
<file path=[Content_Types].xml><?xml version="1.0" encoding="utf-8"?>
<Types xmlns="http://schemas.openxmlformats.org/package/2006/content-types">
  <Default Extension="bin" ContentType="application/vnd.openxmlformats-officedocument.oleObject"/>
  <Default Extension="png" ContentType="image/png"/>
  <Default Extension="vsd" ContentType="application/vnd.visio"/>
  <Default Extension="emf" ContentType="image/x-emf"/>
  <Default Extension="jpeg" ContentType="image/jpeg"/>
  <Default Extension="rels" ContentType="application/vnd.openxmlformats-package.relationships+xml"/>
  <Default Extension="wmf" ContentType="image/x-wmf"/>
  <Default Extension="docx" ContentType="application/vnd.openxmlformats-officedocument.wordprocessingml.document"/>
  <Default Extension="vsdx" ContentType="application/vnd.ms-visio.drawing"/>
  <Default Extension="xml" ContentType="application/xml"/>
  <Override PartName="/word/document.xml" ContentType="application/vnd.openxmlformats-officedocument.wordprocessingml.document.main+xml"/>
  <Override PartName="/word/footer20.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9.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9.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2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12.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13.xml" ContentType="application/vnd.openxmlformats-officedocument.wordprocessingml.footer+xml"/>
  <Override PartName="/word/footer32.xml" ContentType="application/vnd.openxmlformats-officedocument.wordprocessingml.footer+xml"/>
  <Override PartName="/word/footer11.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19DDA2" w14:textId="39FAD839" w:rsidR="006E0A2C" w:rsidRPr="00A34169" w:rsidRDefault="004B48CC" w:rsidP="006E0A2C">
      <w:pPr>
        <w:rPr>
          <w:rFonts w:cs="Calibri"/>
        </w:rPr>
      </w:pPr>
      <w:r>
        <w:rPr>
          <w:noProof/>
        </w:rPr>
        <w:pict w14:anchorId="100037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84" type="#_x0000_t75" style="position:absolute;margin-left:-88.8pt;margin-top:-69.8pt;width:607.7pt;height:840.15pt;z-index:4;mso-position-horizontal-relative:text;mso-position-vertical-relative:text">
            <v:imagedata r:id="rId8" o:title="GHG inventory 2022 cover"/>
          </v:shape>
        </w:pict>
      </w:r>
    </w:p>
    <w:p w14:paraId="715890CD" w14:textId="685257B0" w:rsidR="006E0A2C" w:rsidRDefault="006E0A2C" w:rsidP="006E0A2C">
      <w:pPr>
        <w:sectPr w:rsidR="006E0A2C" w:rsidSect="00BC772D">
          <w:headerReference w:type="default" r:id="rId9"/>
          <w:footerReference w:type="default" r:id="rId10"/>
          <w:pgSz w:w="11907" w:h="16840" w:code="9"/>
          <w:pgMar w:top="1418" w:right="1701" w:bottom="1418" w:left="1701" w:header="567" w:footer="567" w:gutter="0"/>
          <w:cols w:space="720"/>
        </w:sectPr>
      </w:pPr>
    </w:p>
    <w:p w14:paraId="7DFD7D5A" w14:textId="77777777" w:rsidR="001660FA" w:rsidRDefault="001660FA" w:rsidP="00CA79D1">
      <w:pPr>
        <w:pStyle w:val="BodyText"/>
        <w:spacing w:after="0"/>
      </w:pPr>
    </w:p>
    <w:p w14:paraId="34BD6ECA" w14:textId="77777777" w:rsidR="001660FA" w:rsidRDefault="001660FA" w:rsidP="00CA79D1">
      <w:pPr>
        <w:pStyle w:val="BodyText"/>
        <w:spacing w:after="0"/>
      </w:pPr>
    </w:p>
    <w:p w14:paraId="151C0B12" w14:textId="77777777" w:rsidR="00CA79D1" w:rsidRDefault="00CA79D1" w:rsidP="00CA79D1">
      <w:pPr>
        <w:pStyle w:val="BodyText"/>
        <w:spacing w:after="0"/>
      </w:pPr>
    </w:p>
    <w:p w14:paraId="2E711F0F" w14:textId="77777777" w:rsidR="00CA79D1" w:rsidRDefault="00CA79D1" w:rsidP="00CA79D1">
      <w:pPr>
        <w:pStyle w:val="BodyText"/>
        <w:spacing w:after="0"/>
      </w:pPr>
    </w:p>
    <w:p w14:paraId="4993CDD4" w14:textId="77777777" w:rsidR="00CA79D1" w:rsidRDefault="00CA79D1" w:rsidP="00CA79D1">
      <w:pPr>
        <w:pStyle w:val="BodyText"/>
        <w:spacing w:after="0"/>
      </w:pPr>
    </w:p>
    <w:p w14:paraId="7396126D" w14:textId="1D4C59C1" w:rsidR="00801348" w:rsidRDefault="00DE6A75" w:rsidP="00DE6A75">
      <w:pPr>
        <w:pStyle w:val="Imprint"/>
        <w:spacing w:after="120"/>
        <w:jc w:val="left"/>
        <w:rPr>
          <w:rFonts w:cs="Calibri"/>
        </w:rPr>
      </w:pPr>
      <w:r w:rsidRPr="00DE6A75">
        <w:rPr>
          <w:rFonts w:cs="Calibri"/>
          <w:color w:val="000000"/>
        </w:rPr>
        <w:t xml:space="preserve">This document may be cited as: Ministry for the Environment. 2022. </w:t>
      </w:r>
      <w:r w:rsidRPr="00DE6A75">
        <w:rPr>
          <w:rFonts w:cs="Calibri"/>
          <w:i/>
          <w:iCs/>
          <w:color w:val="000000"/>
        </w:rPr>
        <w:t xml:space="preserve">New Zealand’s Greenhouse Gas Inventory 1990–2020. </w:t>
      </w:r>
      <w:r w:rsidRPr="00DE6A75">
        <w:rPr>
          <w:rFonts w:cs="Calibri"/>
          <w:color w:val="000000"/>
        </w:rPr>
        <w:t>Wellington: Ministry for the Environment.</w:t>
      </w:r>
    </w:p>
    <w:p w14:paraId="49EB8915" w14:textId="77777777" w:rsidR="00801348" w:rsidRDefault="00801348" w:rsidP="00C54211">
      <w:pPr>
        <w:pStyle w:val="Imprint"/>
        <w:spacing w:after="120"/>
        <w:jc w:val="left"/>
        <w:rPr>
          <w:rFonts w:cs="Calibri"/>
        </w:rPr>
      </w:pPr>
    </w:p>
    <w:p w14:paraId="735232FB" w14:textId="77777777" w:rsidR="00801348" w:rsidRDefault="00801348" w:rsidP="00CA79D1">
      <w:pPr>
        <w:pStyle w:val="Imprint"/>
        <w:spacing w:after="120"/>
        <w:jc w:val="left"/>
        <w:rPr>
          <w:rFonts w:cs="Calibri"/>
        </w:rPr>
      </w:pPr>
    </w:p>
    <w:p w14:paraId="0690C61D" w14:textId="77777777" w:rsidR="00801348" w:rsidRDefault="00801348" w:rsidP="00C54211">
      <w:pPr>
        <w:pStyle w:val="Imprint"/>
        <w:spacing w:after="120"/>
        <w:jc w:val="left"/>
        <w:rPr>
          <w:rFonts w:cs="Calibri"/>
        </w:rPr>
      </w:pPr>
    </w:p>
    <w:p w14:paraId="3D80E403" w14:textId="77777777" w:rsidR="00801348" w:rsidRDefault="00801348" w:rsidP="00C54211">
      <w:pPr>
        <w:pStyle w:val="Imprint"/>
        <w:spacing w:after="120"/>
        <w:jc w:val="left"/>
        <w:rPr>
          <w:rFonts w:cs="Calibri"/>
        </w:rPr>
      </w:pPr>
    </w:p>
    <w:p w14:paraId="728C2396" w14:textId="77777777" w:rsidR="00CA79D1" w:rsidRDefault="00CA79D1" w:rsidP="00CA79D1"/>
    <w:p w14:paraId="3D3654B9" w14:textId="77777777" w:rsidR="00CA79D1" w:rsidRDefault="00CA79D1" w:rsidP="00CA79D1"/>
    <w:p w14:paraId="55BD1F5E" w14:textId="77777777" w:rsidR="00CA79D1" w:rsidRPr="00CA79D1" w:rsidRDefault="00CA79D1" w:rsidP="00CA79D1"/>
    <w:p w14:paraId="7375C2ED" w14:textId="77777777" w:rsidR="00801348" w:rsidRDefault="00801348" w:rsidP="00C54211">
      <w:pPr>
        <w:pStyle w:val="Imprint"/>
        <w:spacing w:after="120"/>
        <w:jc w:val="left"/>
        <w:rPr>
          <w:rFonts w:cs="Calibri"/>
        </w:rPr>
      </w:pPr>
    </w:p>
    <w:p w14:paraId="063BD37F" w14:textId="77777777" w:rsidR="00801348" w:rsidRDefault="00801348" w:rsidP="00C54211">
      <w:pPr>
        <w:pStyle w:val="Imprint"/>
        <w:spacing w:after="120"/>
        <w:jc w:val="left"/>
        <w:rPr>
          <w:rFonts w:cs="Calibri"/>
        </w:rPr>
      </w:pPr>
    </w:p>
    <w:p w14:paraId="2A353B4D" w14:textId="77777777" w:rsidR="00801348" w:rsidRDefault="00801348" w:rsidP="00C54211">
      <w:pPr>
        <w:pStyle w:val="Imprint"/>
        <w:spacing w:after="120"/>
        <w:jc w:val="left"/>
        <w:rPr>
          <w:rFonts w:cs="Calibri"/>
        </w:rPr>
      </w:pPr>
    </w:p>
    <w:p w14:paraId="0476855F" w14:textId="77777777" w:rsidR="00801348" w:rsidRDefault="00801348" w:rsidP="00C54211">
      <w:pPr>
        <w:pStyle w:val="Imprint"/>
        <w:spacing w:after="120"/>
        <w:jc w:val="left"/>
        <w:rPr>
          <w:rFonts w:cs="Calibri"/>
        </w:rPr>
      </w:pPr>
    </w:p>
    <w:p w14:paraId="2FCEDA6B" w14:textId="77777777" w:rsidR="00801348" w:rsidRDefault="00801348" w:rsidP="00C54211">
      <w:pPr>
        <w:pStyle w:val="Imprint"/>
        <w:spacing w:after="120"/>
        <w:jc w:val="left"/>
        <w:rPr>
          <w:rFonts w:cs="Calibri"/>
        </w:rPr>
      </w:pPr>
    </w:p>
    <w:p w14:paraId="24ACFA5E" w14:textId="77777777" w:rsidR="00801348" w:rsidRDefault="00801348" w:rsidP="00C54211">
      <w:pPr>
        <w:pStyle w:val="Imprint"/>
        <w:spacing w:after="120"/>
        <w:jc w:val="left"/>
        <w:rPr>
          <w:rFonts w:cs="Calibri"/>
        </w:rPr>
      </w:pPr>
    </w:p>
    <w:p w14:paraId="78BB4562" w14:textId="77777777" w:rsidR="00801348" w:rsidRDefault="00801348" w:rsidP="00C54211">
      <w:pPr>
        <w:pStyle w:val="Imprint"/>
        <w:spacing w:after="120"/>
        <w:jc w:val="left"/>
        <w:rPr>
          <w:rFonts w:cs="Calibri"/>
        </w:rPr>
      </w:pPr>
    </w:p>
    <w:p w14:paraId="1603A99F" w14:textId="77777777" w:rsidR="00801348" w:rsidRDefault="00801348" w:rsidP="00C54211">
      <w:pPr>
        <w:pStyle w:val="Imprint"/>
        <w:spacing w:after="120"/>
        <w:jc w:val="left"/>
        <w:rPr>
          <w:rFonts w:cs="Calibri"/>
        </w:rPr>
      </w:pPr>
    </w:p>
    <w:p w14:paraId="77854C45" w14:textId="77777777" w:rsidR="00801348" w:rsidRDefault="00801348" w:rsidP="00C54211">
      <w:pPr>
        <w:pStyle w:val="Imprint"/>
        <w:spacing w:after="120"/>
        <w:jc w:val="left"/>
        <w:rPr>
          <w:rFonts w:cs="Calibri"/>
        </w:rPr>
      </w:pPr>
    </w:p>
    <w:p w14:paraId="3D5363D6" w14:textId="258EEF76" w:rsidR="003F5D86" w:rsidRDefault="003F5D86" w:rsidP="00C54211">
      <w:pPr>
        <w:pStyle w:val="Imprint"/>
        <w:spacing w:after="120"/>
        <w:jc w:val="left"/>
        <w:rPr>
          <w:rFonts w:cs="Arial"/>
        </w:rPr>
      </w:pPr>
      <w:r>
        <w:rPr>
          <w:rFonts w:cs="Calibri"/>
        </w:rPr>
        <w:t>Volume 1, Chapters 1–15</w:t>
      </w:r>
    </w:p>
    <w:p w14:paraId="6DB7F989" w14:textId="2FE69E4B" w:rsidR="0096512C" w:rsidRPr="00BF1C36" w:rsidRDefault="0096512C" w:rsidP="0096512C">
      <w:pPr>
        <w:pStyle w:val="Imprint"/>
        <w:spacing w:before="240"/>
        <w:jc w:val="left"/>
      </w:pPr>
      <w:r w:rsidRPr="00BF1C36">
        <w:rPr>
          <w:rFonts w:cs="Arial"/>
        </w:rPr>
        <w:t xml:space="preserve">Submitted to the United Nations </w:t>
      </w:r>
      <w:r w:rsidRPr="00BF1C36">
        <w:rPr>
          <w:rFonts w:cs="Arial"/>
        </w:rPr>
        <w:br/>
        <w:t>Framework Convention on Climate Change</w:t>
      </w:r>
      <w:r>
        <w:rPr>
          <w:rFonts w:cs="Arial"/>
        </w:rPr>
        <w:br/>
      </w:r>
      <w:r w:rsidR="00CB58A2">
        <w:rPr>
          <w:rFonts w:cs="Arial"/>
        </w:rPr>
        <w:t>April</w:t>
      </w:r>
      <w:r w:rsidRPr="0096512C">
        <w:rPr>
          <w:rFonts w:cs="Arial"/>
        </w:rPr>
        <w:t xml:space="preserve"> </w:t>
      </w:r>
      <w:r w:rsidRPr="00CB58A2">
        <w:rPr>
          <w:rFonts w:cs="Arial"/>
        </w:rPr>
        <w:t>20</w:t>
      </w:r>
      <w:r w:rsidR="0068545A" w:rsidRPr="00CB58A2">
        <w:rPr>
          <w:rFonts w:cs="Arial"/>
        </w:rPr>
        <w:t>22</w:t>
      </w:r>
    </w:p>
    <w:p w14:paraId="45ED00B8" w14:textId="4512D393" w:rsidR="0096512C" w:rsidRDefault="00A005FC" w:rsidP="0096512C">
      <w:pPr>
        <w:pStyle w:val="Imprint"/>
        <w:jc w:val="left"/>
        <w:rPr>
          <w:rFonts w:cs="Arial"/>
        </w:rPr>
      </w:pPr>
      <w:r>
        <w:rPr>
          <w:rFonts w:cs="Calibri"/>
        </w:rPr>
        <w:t>Published in April 2022 by the</w:t>
      </w:r>
      <w:r>
        <w:rPr>
          <w:rFonts w:cs="Arial"/>
        </w:rPr>
        <w:br/>
      </w:r>
      <w:r w:rsidR="0096512C" w:rsidRPr="00BF1C36">
        <w:rPr>
          <w:rFonts w:cs="Arial"/>
        </w:rPr>
        <w:t xml:space="preserve">Ministry for the Environment </w:t>
      </w:r>
      <w:r w:rsidR="0096512C" w:rsidRPr="00BF1C36">
        <w:rPr>
          <w:rFonts w:cs="Arial"/>
        </w:rPr>
        <w:br/>
        <w:t>Manatū Mō Te Taiao</w:t>
      </w:r>
      <w:r w:rsidR="0096512C" w:rsidRPr="00BF1C36">
        <w:rPr>
          <w:rFonts w:cs="Arial"/>
        </w:rPr>
        <w:br/>
        <w:t>PO Box 10-362, Wellington, New Zealand</w:t>
      </w:r>
    </w:p>
    <w:p w14:paraId="304167BD" w14:textId="4863A38E" w:rsidR="0096512C" w:rsidRDefault="0096512C" w:rsidP="00A005FC">
      <w:pPr>
        <w:pStyle w:val="Imprint"/>
        <w:tabs>
          <w:tab w:val="left" w:pos="709"/>
        </w:tabs>
        <w:spacing w:after="0"/>
        <w:jc w:val="left"/>
      </w:pPr>
      <w:r>
        <w:t>IS</w:t>
      </w:r>
      <w:r w:rsidR="00A005FC">
        <w:t>S</w:t>
      </w:r>
      <w:r>
        <w:t>N:</w:t>
      </w:r>
      <w:r>
        <w:tab/>
      </w:r>
      <w:r w:rsidR="00F40786">
        <w:rPr>
          <w:lang w:eastAsia="en-GB"/>
        </w:rPr>
        <w:t xml:space="preserve">1179-223X </w:t>
      </w:r>
      <w:r w:rsidRPr="00F71183">
        <w:t>(electronic)</w:t>
      </w:r>
    </w:p>
    <w:p w14:paraId="58358FC8" w14:textId="63B212BC" w:rsidR="0096512C" w:rsidRDefault="0096512C" w:rsidP="0096512C">
      <w:pPr>
        <w:pStyle w:val="Imprint"/>
        <w:tabs>
          <w:tab w:val="left" w:pos="709"/>
        </w:tabs>
        <w:jc w:val="left"/>
        <w:rPr>
          <w:lang w:eastAsia="en-GB"/>
        </w:rPr>
      </w:pPr>
      <w:r w:rsidRPr="00F71183">
        <w:t xml:space="preserve">Publication number: </w:t>
      </w:r>
      <w:r w:rsidR="00EA7125">
        <w:rPr>
          <w:lang w:eastAsia="en-GB"/>
        </w:rPr>
        <w:t>ME 1635</w:t>
      </w:r>
    </w:p>
    <w:p w14:paraId="0859FEB5" w14:textId="4C2FF1BD" w:rsidR="00197A5F" w:rsidRDefault="00197A5F" w:rsidP="00197A5F">
      <w:pPr>
        <w:rPr>
          <w:rFonts w:cs="Calibri"/>
        </w:rPr>
      </w:pPr>
      <w:r>
        <w:rPr>
          <w:rFonts w:cs="Calibri"/>
        </w:rPr>
        <w:t>© Crown copyright New Zealand 2022</w:t>
      </w:r>
    </w:p>
    <w:p w14:paraId="195679AD" w14:textId="77777777" w:rsidR="00197A5F" w:rsidRDefault="00197A5F" w:rsidP="00197A5F">
      <w:pPr>
        <w:rPr>
          <w:rFonts w:cs="Calibri"/>
        </w:rPr>
      </w:pPr>
    </w:p>
    <w:p w14:paraId="021AE970" w14:textId="77777777" w:rsidR="00197A5F" w:rsidRDefault="00197A5F" w:rsidP="00197A5F">
      <w:pPr>
        <w:autoSpaceDE w:val="0"/>
        <w:autoSpaceDN w:val="0"/>
        <w:adjustRightInd w:val="0"/>
        <w:rPr>
          <w:rFonts w:cs="Calibri"/>
          <w:color w:val="000000"/>
        </w:rPr>
      </w:pPr>
      <w:r>
        <w:rPr>
          <w:rFonts w:cs="Calibri"/>
          <w:color w:val="000000"/>
        </w:rPr>
        <w:t>This document is available on the Ministry for the Environment website:</w:t>
      </w:r>
    </w:p>
    <w:p w14:paraId="19D9C87F" w14:textId="27D80F02" w:rsidR="006E0A2C" w:rsidRDefault="00197A5F" w:rsidP="00AD184B">
      <w:r>
        <w:rPr>
          <w:rFonts w:cs="Calibri"/>
          <w:color w:val="32819D"/>
        </w:rPr>
        <w:t>www.environment.govt.nz</w:t>
      </w:r>
      <w:r>
        <w:rPr>
          <w:rFonts w:cs="Calibri"/>
          <w:color w:val="000000"/>
        </w:rPr>
        <w:t>.</w:t>
      </w:r>
    </w:p>
    <w:p w14:paraId="52ED65A2" w14:textId="77777777" w:rsidR="006E0A2C" w:rsidRDefault="006E0A2C" w:rsidP="006E0A2C">
      <w:pPr>
        <w:sectPr w:rsidR="006E0A2C" w:rsidSect="00801348">
          <w:headerReference w:type="default" r:id="rId11"/>
          <w:footerReference w:type="default" r:id="rId12"/>
          <w:pgSz w:w="11907" w:h="16840" w:code="9"/>
          <w:pgMar w:top="1701" w:right="1701" w:bottom="1701" w:left="1701" w:header="567" w:footer="567" w:gutter="0"/>
          <w:pgNumType w:fmt="lowerRoman"/>
          <w:cols w:space="720"/>
        </w:sectPr>
      </w:pPr>
    </w:p>
    <w:p w14:paraId="7C63E6A3" w14:textId="1C6B8A64" w:rsidR="00640C2E" w:rsidRDefault="00640C2E" w:rsidP="00640C2E">
      <w:pPr>
        <w:pStyle w:val="Heading1"/>
      </w:pPr>
      <w:bookmarkStart w:id="0" w:name="_Toc99659081"/>
      <w:r>
        <w:lastRenderedPageBreak/>
        <w:t>Acknowledgements</w:t>
      </w:r>
      <w:bookmarkEnd w:id="0"/>
    </w:p>
    <w:p w14:paraId="55251938" w14:textId="77777777" w:rsidR="00843284" w:rsidRPr="00BE78CA" w:rsidRDefault="00843284" w:rsidP="00843284">
      <w:pPr>
        <w:pStyle w:val="BodyText"/>
      </w:pPr>
      <w:r w:rsidRPr="00BE78CA">
        <w:t>The Ministry for the Environment thanks and acknowledges the many experts from central and local government agencies, industry and science organisations that contributed to the development of this inventory.</w:t>
      </w:r>
    </w:p>
    <w:p w14:paraId="0B45653E" w14:textId="77777777" w:rsidR="00843284" w:rsidRPr="00BE78CA" w:rsidRDefault="00843284" w:rsidP="00843284">
      <w:pPr>
        <w:pStyle w:val="Heading6"/>
      </w:pPr>
      <w:r w:rsidRPr="00BE78CA">
        <w:t>Key contributors</w:t>
      </w:r>
    </w:p>
    <w:p w14:paraId="0049C495" w14:textId="77777777" w:rsidR="00843284" w:rsidRPr="00BE78CA" w:rsidRDefault="00843284" w:rsidP="00843284">
      <w:pPr>
        <w:spacing w:before="200"/>
        <w:rPr>
          <w:b/>
          <w:i/>
        </w:rPr>
      </w:pPr>
      <w:r w:rsidRPr="00BE78CA">
        <w:rPr>
          <w:b/>
          <w:i/>
        </w:rPr>
        <w:t xml:space="preserve">Ministry for the Environment </w:t>
      </w:r>
    </w:p>
    <w:p w14:paraId="29073F6D" w14:textId="63C14393" w:rsidR="00843284" w:rsidRPr="00BE78CA" w:rsidRDefault="00843284" w:rsidP="00843284">
      <w:pPr>
        <w:pStyle w:val="BodyText"/>
        <w:spacing w:before="80" w:after="0"/>
      </w:pPr>
      <w:r>
        <w:t>Andrea Brandon</w:t>
      </w:r>
      <w:r w:rsidRPr="009158D6">
        <w:t xml:space="preserve"> (National Inventory Focal Point, National Inventory Compiler, cross</w:t>
      </w:r>
      <w:r w:rsidR="006F0144">
        <w:noBreakHyphen/>
      </w:r>
      <w:r w:rsidRPr="009158D6">
        <w:t>sector analyses)</w:t>
      </w:r>
    </w:p>
    <w:p w14:paraId="16191464" w14:textId="77777777" w:rsidR="00843284" w:rsidRDefault="00843284" w:rsidP="00843284">
      <w:pPr>
        <w:pStyle w:val="BodyText"/>
        <w:spacing w:before="80" w:after="0"/>
      </w:pPr>
      <w:r>
        <w:t>Antony Gomez</w:t>
      </w:r>
      <w:r w:rsidRPr="00BE78CA">
        <w:t xml:space="preserve"> (Technical Lead, cross-sector analyses</w:t>
      </w:r>
      <w:r>
        <w:t>, automation</w:t>
      </w:r>
      <w:r w:rsidRPr="00BE78CA">
        <w:t>)</w:t>
      </w:r>
    </w:p>
    <w:p w14:paraId="5B2FEF62" w14:textId="39A72C02" w:rsidR="00843284" w:rsidRDefault="00843284" w:rsidP="00843284">
      <w:pPr>
        <w:pStyle w:val="BodyText"/>
        <w:spacing w:before="80" w:after="0"/>
      </w:pPr>
      <w:r>
        <w:t>Zavia Hands-Smith (</w:t>
      </w:r>
      <w:r w:rsidRPr="00BE78CA">
        <w:t>quality assurance and quality control (QA/QC) manager</w:t>
      </w:r>
      <w:r>
        <w:t xml:space="preserve">, Tokelau, </w:t>
      </w:r>
      <w:r w:rsidRPr="00BE78CA">
        <w:t>cross</w:t>
      </w:r>
      <w:r w:rsidR="006F0144">
        <w:noBreakHyphen/>
      </w:r>
      <w:r w:rsidRPr="00BE78CA">
        <w:t>sector analyses</w:t>
      </w:r>
      <w:r>
        <w:t>, automation)</w:t>
      </w:r>
    </w:p>
    <w:p w14:paraId="58FF5F23" w14:textId="77777777" w:rsidR="00843284" w:rsidRPr="00BE78CA" w:rsidRDefault="00843284" w:rsidP="00843284">
      <w:pPr>
        <w:pStyle w:val="BodyText"/>
        <w:spacing w:before="80" w:after="0"/>
      </w:pPr>
      <w:r>
        <w:t>Chris Bean (Waste, QA/QC, cross-sector analyses, automation)</w:t>
      </w:r>
    </w:p>
    <w:p w14:paraId="57F1A811" w14:textId="77777777" w:rsidR="00843284" w:rsidRPr="00BE78CA" w:rsidRDefault="00843284" w:rsidP="00843284">
      <w:pPr>
        <w:pStyle w:val="BodyText"/>
        <w:spacing w:before="80" w:after="0"/>
        <w:rPr>
          <w:b/>
        </w:rPr>
      </w:pPr>
      <w:r w:rsidRPr="00BE78CA">
        <w:t>Ted Jamieson</w:t>
      </w:r>
      <w:r w:rsidRPr="00BE78CA">
        <w:rPr>
          <w:i/>
        </w:rPr>
        <w:t xml:space="preserve"> </w:t>
      </w:r>
      <w:r w:rsidRPr="00BE78CA">
        <w:t>(Industrial Processes and Product Use (IPPU))</w:t>
      </w:r>
    </w:p>
    <w:p w14:paraId="6CC972A8" w14:textId="77777777" w:rsidR="00843284" w:rsidRPr="00BE78CA" w:rsidRDefault="00843284" w:rsidP="00843284">
      <w:pPr>
        <w:pStyle w:val="BodyText"/>
        <w:spacing w:before="80" w:after="0"/>
      </w:pPr>
      <w:r w:rsidRPr="00BE78CA">
        <w:t>Heather Martindale (Land Use, Land-Use Change and Forestry (LULUCF) and Kyoto Protocol (KP-LULUCF))</w:t>
      </w:r>
    </w:p>
    <w:p w14:paraId="0740991C" w14:textId="77777777" w:rsidR="00843284" w:rsidRPr="00BE78CA" w:rsidRDefault="00843284" w:rsidP="00843284">
      <w:pPr>
        <w:pStyle w:val="BodyText"/>
        <w:spacing w:before="80" w:after="0"/>
      </w:pPr>
      <w:r w:rsidRPr="004C3276">
        <w:t>Frances Barnett (IPPU, supplementary products</w:t>
      </w:r>
      <w:r>
        <w:t>, automation</w:t>
      </w:r>
      <w:r w:rsidRPr="004C3276">
        <w:t>)</w:t>
      </w:r>
    </w:p>
    <w:p w14:paraId="543E873C" w14:textId="77777777" w:rsidR="00843284" w:rsidRDefault="00843284" w:rsidP="00843284">
      <w:pPr>
        <w:pStyle w:val="BodyText"/>
        <w:spacing w:before="80" w:after="0"/>
      </w:pPr>
      <w:r>
        <w:t>Charissa Billings</w:t>
      </w:r>
      <w:r w:rsidRPr="00BE78CA">
        <w:t xml:space="preserve"> (</w:t>
      </w:r>
      <w:r>
        <w:t>Tokelau</w:t>
      </w:r>
      <w:r w:rsidRPr="00BE78CA">
        <w:t>, QA/QC)</w:t>
      </w:r>
    </w:p>
    <w:p w14:paraId="7DD6EE3F" w14:textId="77777777" w:rsidR="00843284" w:rsidRDefault="00843284" w:rsidP="00843284">
      <w:pPr>
        <w:pStyle w:val="BodyText"/>
        <w:spacing w:before="80" w:after="0"/>
      </w:pPr>
      <w:r w:rsidRPr="005E734F">
        <w:t>Hannah Brill (</w:t>
      </w:r>
      <w:r>
        <w:t>QA/</w:t>
      </w:r>
      <w:r w:rsidRPr="005E734F">
        <w:t>QC, methodological improvements)</w:t>
      </w:r>
    </w:p>
    <w:p w14:paraId="397EE4D8" w14:textId="71F91AF1" w:rsidR="00843284" w:rsidRPr="00BE78CA" w:rsidRDefault="00843284" w:rsidP="00843284">
      <w:pPr>
        <w:pStyle w:val="BodyText"/>
        <w:spacing w:before="80" w:after="0"/>
      </w:pPr>
      <w:r w:rsidRPr="00BE78CA">
        <w:t>Ivan Chirino-Valle (Waste</w:t>
      </w:r>
      <w:r w:rsidR="001D793F">
        <w:t>, QA/QC</w:t>
      </w:r>
      <w:r w:rsidRPr="00BE78CA">
        <w:t>)</w:t>
      </w:r>
    </w:p>
    <w:p w14:paraId="541DF2FB" w14:textId="77777777" w:rsidR="00843284" w:rsidRPr="00BE78CA" w:rsidRDefault="00843284" w:rsidP="00843284">
      <w:pPr>
        <w:pStyle w:val="BodyText"/>
        <w:spacing w:before="80" w:after="0"/>
      </w:pPr>
      <w:r>
        <w:t>Logan Ashmore and Daniel Lawrence</w:t>
      </w:r>
      <w:r w:rsidRPr="00BE78CA">
        <w:t xml:space="preserve"> (automation)</w:t>
      </w:r>
    </w:p>
    <w:p w14:paraId="1BFF7016" w14:textId="77777777" w:rsidR="00843284" w:rsidRPr="00BE78CA" w:rsidRDefault="00843284" w:rsidP="00843284">
      <w:pPr>
        <w:pStyle w:val="BodyText"/>
        <w:spacing w:before="80" w:after="0"/>
      </w:pPr>
      <w:r w:rsidRPr="00BE78CA">
        <w:t>Helen Plume (principal reviewer: cross-sector analyses, general advice and guidance)</w:t>
      </w:r>
    </w:p>
    <w:p w14:paraId="317BBADC" w14:textId="77777777" w:rsidR="00843284" w:rsidRPr="00BE78CA" w:rsidRDefault="00843284" w:rsidP="00843284">
      <w:pPr>
        <w:pStyle w:val="BodyText"/>
        <w:spacing w:before="80" w:after="0"/>
      </w:pPr>
      <w:r w:rsidRPr="00BE78CA">
        <w:t>Marion Sorez (planning and monitoring</w:t>
      </w:r>
      <w:r>
        <w:t>, automation</w:t>
      </w:r>
      <w:r w:rsidRPr="00BE78CA">
        <w:t>)</w:t>
      </w:r>
    </w:p>
    <w:p w14:paraId="72BC4C9B" w14:textId="77777777" w:rsidR="00843284" w:rsidRPr="00BE78CA" w:rsidRDefault="00843284" w:rsidP="00843284">
      <w:pPr>
        <w:pStyle w:val="BodyText"/>
        <w:spacing w:before="80" w:after="0"/>
      </w:pPr>
      <w:r>
        <w:t>Hemi Smiler, Meredith Davis</w:t>
      </w:r>
      <w:r w:rsidRPr="00BE78CA">
        <w:t xml:space="preserve"> and Katherine Wilson (general advice and guidance)</w:t>
      </w:r>
    </w:p>
    <w:p w14:paraId="3CD3C979" w14:textId="3EDB7B62" w:rsidR="00843284" w:rsidRPr="00BE78CA" w:rsidRDefault="00843284" w:rsidP="00843284">
      <w:pPr>
        <w:pStyle w:val="BodyText"/>
        <w:spacing w:before="80" w:after="0"/>
      </w:pPr>
      <w:r>
        <w:t xml:space="preserve">Debbie Barber, </w:t>
      </w:r>
      <w:r w:rsidRPr="009E3650">
        <w:t>Feilidh Dwyer</w:t>
      </w:r>
      <w:r>
        <w:t>,</w:t>
      </w:r>
      <w:r w:rsidRPr="009E3650">
        <w:t xml:space="preserve"> </w:t>
      </w:r>
      <w:r w:rsidR="00910341" w:rsidRPr="00910341">
        <w:t>Ellie Neal</w:t>
      </w:r>
      <w:r w:rsidR="00BB2421">
        <w:t xml:space="preserve">, </w:t>
      </w:r>
      <w:r>
        <w:t>Daisy Smith</w:t>
      </w:r>
      <w:r w:rsidRPr="00BE78CA">
        <w:t xml:space="preserve"> and Emily Wikingi (communications and publishing)</w:t>
      </w:r>
    </w:p>
    <w:p w14:paraId="23E507D7" w14:textId="77777777" w:rsidR="00843284" w:rsidRPr="00BE78CA" w:rsidRDefault="00843284" w:rsidP="00843284">
      <w:pPr>
        <w:spacing w:before="200"/>
        <w:rPr>
          <w:b/>
          <w:i/>
        </w:rPr>
      </w:pPr>
      <w:r w:rsidRPr="00BE78CA">
        <w:rPr>
          <w:b/>
          <w:i/>
        </w:rPr>
        <w:t>Ministry for Primary Industries</w:t>
      </w:r>
    </w:p>
    <w:p w14:paraId="246A97A0" w14:textId="77777777" w:rsidR="00843284" w:rsidRDefault="00843284" w:rsidP="00843284">
      <w:pPr>
        <w:spacing w:before="80"/>
        <w:rPr>
          <w:rFonts w:cs="Calibri"/>
          <w:color w:val="000000"/>
          <w:shd w:val="clear" w:color="auto" w:fill="FFFFFF"/>
        </w:rPr>
      </w:pPr>
      <w:r w:rsidRPr="005874C6">
        <w:rPr>
          <w:rFonts w:cs="Calibri"/>
          <w:color w:val="000000"/>
        </w:rPr>
        <w:t>Ben Morrow, Leeza Speranskaya and Joel Gibbs (Agriculture)</w:t>
      </w:r>
      <w:r>
        <w:rPr>
          <w:rFonts w:cs="Calibri"/>
          <w:color w:val="000000"/>
          <w:shd w:val="clear" w:color="auto" w:fill="FFFFFF"/>
        </w:rPr>
        <w:t> </w:t>
      </w:r>
    </w:p>
    <w:p w14:paraId="2847AAC5" w14:textId="77777777" w:rsidR="00843284" w:rsidRPr="00BE78CA" w:rsidRDefault="00843284" w:rsidP="00843284">
      <w:pPr>
        <w:spacing w:before="200"/>
        <w:rPr>
          <w:b/>
          <w:i/>
        </w:rPr>
      </w:pPr>
      <w:r w:rsidRPr="00BE78CA">
        <w:rPr>
          <w:b/>
          <w:i/>
        </w:rPr>
        <w:t>Ministry of Business, Innovation and Employment</w:t>
      </w:r>
    </w:p>
    <w:p w14:paraId="606F12A5" w14:textId="77777777" w:rsidR="00843284" w:rsidRPr="00594C64" w:rsidRDefault="00843284" w:rsidP="00843284">
      <w:pPr>
        <w:pStyle w:val="BodyText"/>
        <w:spacing w:before="80" w:after="0"/>
      </w:pPr>
      <w:r w:rsidRPr="00BE78CA">
        <w:t>Mic</w:t>
      </w:r>
      <w:r w:rsidRPr="00594C64">
        <w:t>hael Smith and Finbar Maunsell (Energy, IPPU: carbon dioxide)</w:t>
      </w:r>
    </w:p>
    <w:p w14:paraId="202B1DEF" w14:textId="77777777" w:rsidR="00843284" w:rsidRPr="00BE78CA" w:rsidRDefault="00843284" w:rsidP="00843284">
      <w:pPr>
        <w:pStyle w:val="BodyText"/>
        <w:spacing w:before="80" w:after="0"/>
      </w:pPr>
      <w:r w:rsidRPr="00594C64">
        <w:t>Bryan Field (QA/QC: Energy)</w:t>
      </w:r>
    </w:p>
    <w:p w14:paraId="31281312" w14:textId="77777777" w:rsidR="00843284" w:rsidRPr="00BE78CA" w:rsidRDefault="00843284" w:rsidP="00843284">
      <w:pPr>
        <w:spacing w:before="200"/>
        <w:rPr>
          <w:b/>
          <w:i/>
        </w:rPr>
      </w:pPr>
      <w:r w:rsidRPr="00BE78CA">
        <w:rPr>
          <w:b/>
          <w:i/>
        </w:rPr>
        <w:t>Environmental Protection Authority</w:t>
      </w:r>
    </w:p>
    <w:p w14:paraId="69706AAF" w14:textId="77777777" w:rsidR="00843284" w:rsidRPr="00984C85" w:rsidRDefault="00843284" w:rsidP="00843284">
      <w:pPr>
        <w:pStyle w:val="BodyText"/>
        <w:spacing w:before="80" w:after="0"/>
      </w:pPr>
      <w:r w:rsidRPr="00984C85">
        <w:t>Dave Stuart, Cindy Yap and Johanna Milius (National Registry)</w:t>
      </w:r>
    </w:p>
    <w:p w14:paraId="18B9B0EA" w14:textId="77777777" w:rsidR="00843284" w:rsidRPr="00BE78CA" w:rsidRDefault="00843284" w:rsidP="00843284">
      <w:pPr>
        <w:spacing w:before="200"/>
        <w:rPr>
          <w:b/>
          <w:bCs/>
          <w:i/>
          <w:iCs/>
        </w:rPr>
      </w:pPr>
      <w:r w:rsidRPr="00BE78CA">
        <w:rPr>
          <w:b/>
          <w:bCs/>
          <w:i/>
          <w:iCs/>
        </w:rPr>
        <w:t>Ministry of Foreign Affairs and Trade</w:t>
      </w:r>
    </w:p>
    <w:p w14:paraId="26C4C5B8" w14:textId="10E7C651" w:rsidR="00843284" w:rsidRPr="00BE78CA" w:rsidRDefault="00843284" w:rsidP="00843284">
      <w:pPr>
        <w:pStyle w:val="BodyText"/>
        <w:spacing w:before="80" w:after="0"/>
      </w:pPr>
      <w:r>
        <w:t xml:space="preserve">Tiana Carter and </w:t>
      </w:r>
      <w:r w:rsidRPr="00EA4F51">
        <w:t>Anna Broadhurst</w:t>
      </w:r>
      <w:r w:rsidRPr="00BE78CA">
        <w:t xml:space="preserve"> (</w:t>
      </w:r>
      <w:r>
        <w:t>i</w:t>
      </w:r>
      <w:r w:rsidRPr="00BE78CA">
        <w:t xml:space="preserve">nformation on </w:t>
      </w:r>
      <w:r>
        <w:t>m</w:t>
      </w:r>
      <w:r w:rsidRPr="00BE78CA">
        <w:t xml:space="preserve">inimisation of </w:t>
      </w:r>
      <w:r>
        <w:t>a</w:t>
      </w:r>
      <w:r w:rsidRPr="00BE78CA">
        <w:t>dverse </w:t>
      </w:r>
      <w:r>
        <w:t>i</w:t>
      </w:r>
      <w:r w:rsidRPr="00BE78CA">
        <w:t>mpacts)</w:t>
      </w:r>
    </w:p>
    <w:p w14:paraId="65E1ECF9" w14:textId="77777777" w:rsidR="00843284" w:rsidRPr="00BE78CA" w:rsidRDefault="00843284" w:rsidP="00843284">
      <w:pPr>
        <w:keepNext/>
        <w:spacing w:before="200"/>
        <w:rPr>
          <w:b/>
          <w:bCs/>
          <w:i/>
          <w:iCs/>
        </w:rPr>
      </w:pPr>
      <w:r w:rsidRPr="7438A4FF">
        <w:rPr>
          <w:b/>
          <w:bCs/>
          <w:i/>
          <w:iCs/>
        </w:rPr>
        <w:lastRenderedPageBreak/>
        <w:t>Tokelau Government</w:t>
      </w:r>
    </w:p>
    <w:p w14:paraId="274CF116" w14:textId="77777777" w:rsidR="00843284" w:rsidRPr="00BE78CA" w:rsidRDefault="00843284" w:rsidP="00843284">
      <w:pPr>
        <w:pStyle w:val="BodyText"/>
        <w:keepNext/>
        <w:spacing w:before="80" w:after="0"/>
      </w:pPr>
      <w:r w:rsidRPr="00BE78CA">
        <w:t>Kele Lui, Tokelau Ministry of Climate, Oceans and Resilience (general advice and guidance)</w:t>
      </w:r>
    </w:p>
    <w:p w14:paraId="4DC9B0A8" w14:textId="77777777" w:rsidR="00843284" w:rsidRPr="00BE78CA" w:rsidRDefault="00843284" w:rsidP="00843284">
      <w:pPr>
        <w:pStyle w:val="BodyText"/>
        <w:keepNext/>
        <w:spacing w:before="80" w:after="0"/>
      </w:pPr>
      <w:r w:rsidRPr="00BE78CA">
        <w:t>Celine Lose, Tokelau Ministry of Climate, Oceans and Resilience (general advice and guidance)</w:t>
      </w:r>
    </w:p>
    <w:p w14:paraId="4D8B0ACD" w14:textId="77777777" w:rsidR="00843284" w:rsidRPr="00BE78CA" w:rsidRDefault="00843284" w:rsidP="00843284">
      <w:pPr>
        <w:pStyle w:val="BodyText"/>
        <w:spacing w:before="80" w:after="0"/>
      </w:pPr>
      <w:r w:rsidRPr="00BE78CA">
        <w:t>Paula Faiva, Tokelau Ministry of Climate, Oceans and Resilience (general advice and guidance)</w:t>
      </w:r>
    </w:p>
    <w:p w14:paraId="6A2A3848" w14:textId="77777777" w:rsidR="00843284" w:rsidRPr="00BE78CA" w:rsidRDefault="00843284" w:rsidP="00843284">
      <w:pPr>
        <w:pStyle w:val="BodyText"/>
        <w:spacing w:before="80" w:after="80"/>
      </w:pPr>
      <w:r>
        <w:t>Penehuro Lefale, LeA International (peer review, general advice and guidance)</w:t>
      </w:r>
    </w:p>
    <w:p w14:paraId="70BE0BE1" w14:textId="77777777" w:rsidR="00843284" w:rsidRPr="00BE78CA" w:rsidRDefault="00843284" w:rsidP="00843284">
      <w:pPr>
        <w:keepNext/>
        <w:spacing w:before="240" w:after="60"/>
        <w:outlineLvl w:val="5"/>
        <w:rPr>
          <w:b/>
          <w:iCs/>
        </w:rPr>
      </w:pPr>
      <w:r w:rsidRPr="00BE78CA">
        <w:rPr>
          <w:b/>
          <w:iCs/>
        </w:rPr>
        <w:t>Technical contributors and contracted specialists</w:t>
      </w:r>
    </w:p>
    <w:p w14:paraId="45DA9BE4" w14:textId="77777777" w:rsidR="00843284" w:rsidRPr="00BE78CA" w:rsidRDefault="00843284" w:rsidP="00843284">
      <w:pPr>
        <w:spacing w:before="200"/>
        <w:rPr>
          <w:b/>
          <w:i/>
        </w:rPr>
      </w:pPr>
      <w:r w:rsidRPr="00BE78CA">
        <w:rPr>
          <w:b/>
          <w:i/>
        </w:rPr>
        <w:t>Industrial Processes and Product Use sector</w:t>
      </w:r>
    </w:p>
    <w:p w14:paraId="6E9B5C0E" w14:textId="77777777" w:rsidR="00843284" w:rsidRPr="00BE78CA" w:rsidRDefault="00843284" w:rsidP="00843284">
      <w:pPr>
        <w:pStyle w:val="BodyText"/>
        <w:spacing w:before="80" w:after="0"/>
      </w:pPr>
      <w:r w:rsidRPr="00BE78CA">
        <w:t>Wayne Hennessy (Verum Group)</w:t>
      </w:r>
    </w:p>
    <w:p w14:paraId="59278A4F" w14:textId="77777777" w:rsidR="00843284" w:rsidRPr="00BE78CA" w:rsidRDefault="00843284" w:rsidP="00843284">
      <w:pPr>
        <w:keepNext/>
        <w:spacing w:before="200"/>
        <w:rPr>
          <w:b/>
          <w:bCs/>
          <w:i/>
          <w:iCs/>
        </w:rPr>
      </w:pPr>
      <w:r w:rsidRPr="00BE78CA">
        <w:rPr>
          <w:b/>
          <w:i/>
        </w:rPr>
        <w:t xml:space="preserve">Agriculture sector </w:t>
      </w:r>
    </w:p>
    <w:p w14:paraId="5CF1D10A" w14:textId="77777777" w:rsidR="00843284" w:rsidRPr="00340B7F" w:rsidRDefault="00843284" w:rsidP="00843284">
      <w:pPr>
        <w:pStyle w:val="BodyText"/>
        <w:spacing w:before="80" w:after="80"/>
      </w:pPr>
      <w:r w:rsidRPr="00340B7F">
        <w:t>Brendon Welten, Geoff Mercer, Chris Smith, Mike Sprosen and Steward Ledgard (AgResearch), Paul Muir, Beverley Thomson and Kathleen Ward (On-Farm Research) </w:t>
      </w:r>
    </w:p>
    <w:p w14:paraId="43ED4C64" w14:textId="4CA60CC6" w:rsidR="00843284" w:rsidRPr="00AF702A" w:rsidRDefault="00843284" w:rsidP="00843284">
      <w:pPr>
        <w:pStyle w:val="BodyText"/>
        <w:spacing w:before="80" w:after="80"/>
      </w:pPr>
      <w:r w:rsidRPr="00340B7F">
        <w:t>Gerald Rys, William Aitkenhead, Leo Mercer, Jamie Ash, Kate Simpson, Matt Funaki, Kieran</w:t>
      </w:r>
      <w:r w:rsidR="0085658D">
        <w:t> </w:t>
      </w:r>
      <w:r w:rsidRPr="00340B7F">
        <w:t>Parsons, Nicole Olivares (Ministry for Primary Industries) and Jasmine Evaroa (Ministry</w:t>
      </w:r>
      <w:r w:rsidR="0085658D">
        <w:t> </w:t>
      </w:r>
      <w:r w:rsidRPr="00340B7F">
        <w:t>for the Environment)</w:t>
      </w:r>
      <w:r w:rsidRPr="00AF702A">
        <w:t> </w:t>
      </w:r>
    </w:p>
    <w:p w14:paraId="0198776B" w14:textId="77777777" w:rsidR="00843284" w:rsidRPr="00BE78CA" w:rsidRDefault="00843284" w:rsidP="00843284">
      <w:pPr>
        <w:pStyle w:val="BodyText"/>
        <w:spacing w:before="200" w:after="0"/>
      </w:pPr>
      <w:r w:rsidRPr="00BE78CA">
        <w:rPr>
          <w:b/>
          <w:i/>
        </w:rPr>
        <w:t>Land Use, Land-Use Change and Forestry sector (LULUCF) and Kyoto Protocol – LULUCF</w:t>
      </w:r>
    </w:p>
    <w:p w14:paraId="5129E43D" w14:textId="77777777" w:rsidR="00843284" w:rsidRPr="00BE78CA" w:rsidRDefault="00843284" w:rsidP="00843284">
      <w:pPr>
        <w:pStyle w:val="BodyText"/>
        <w:spacing w:before="80" w:after="0"/>
        <w:rPr>
          <w:rFonts w:eastAsia="Calibri"/>
        </w:rPr>
      </w:pPr>
      <w:r w:rsidRPr="4E5F2730">
        <w:rPr>
          <w:rFonts w:eastAsia="Calibri"/>
        </w:rPr>
        <w:t>Deborah Burgess, Charlie Clark, Asher Cook, Michael Cooper, Rachel Innes and Prem Sivakanthan (Ministry for the Environment), Craig Elvidge (Ministry for Primary Industries)</w:t>
      </w:r>
    </w:p>
    <w:p w14:paraId="4F25E3FC" w14:textId="77777777" w:rsidR="00843284" w:rsidRPr="00BE78CA" w:rsidRDefault="00843284" w:rsidP="00843284">
      <w:pPr>
        <w:spacing w:before="200"/>
        <w:rPr>
          <w:b/>
          <w:i/>
        </w:rPr>
      </w:pPr>
      <w:r w:rsidRPr="00BE78CA">
        <w:rPr>
          <w:b/>
          <w:i/>
        </w:rPr>
        <w:t>Waste sector</w:t>
      </w:r>
    </w:p>
    <w:p w14:paraId="7BA80818" w14:textId="77777777" w:rsidR="00843284" w:rsidRDefault="00843284" w:rsidP="00843284">
      <w:pPr>
        <w:pStyle w:val="BodyText"/>
        <w:spacing w:before="80" w:after="0"/>
        <w:rPr>
          <w:rFonts w:eastAsia="Calibri"/>
        </w:rPr>
      </w:pPr>
      <w:r>
        <w:rPr>
          <w:rFonts w:eastAsia="Calibri"/>
        </w:rPr>
        <w:t>Ella van Gool, Nigel Donovan and Jenny Marshall (Ministry for the Environment)</w:t>
      </w:r>
    </w:p>
    <w:p w14:paraId="784B80D8" w14:textId="77777777" w:rsidR="00843284" w:rsidRPr="00BE78CA" w:rsidRDefault="00843284" w:rsidP="00843284">
      <w:pPr>
        <w:keepNext/>
        <w:spacing w:before="200"/>
        <w:rPr>
          <w:b/>
          <w:i/>
        </w:rPr>
      </w:pPr>
      <w:r w:rsidRPr="00BE78CA">
        <w:rPr>
          <w:b/>
          <w:i/>
        </w:rPr>
        <w:t>Publication and supplementary products</w:t>
      </w:r>
    </w:p>
    <w:p w14:paraId="039ACFB0" w14:textId="77777777" w:rsidR="00843284" w:rsidRPr="00BE78CA" w:rsidRDefault="00843284" w:rsidP="00843284">
      <w:pPr>
        <w:pStyle w:val="BodyText"/>
        <w:spacing w:before="80" w:after="0"/>
        <w:rPr>
          <w:rFonts w:eastAsia="Calibri"/>
        </w:rPr>
      </w:pPr>
      <w:r w:rsidRPr="00BE78CA">
        <w:rPr>
          <w:rFonts w:eastAsia="Calibri"/>
        </w:rPr>
        <w:t>Jenny Heine</w:t>
      </w:r>
      <w:r>
        <w:rPr>
          <w:rFonts w:eastAsia="Calibri"/>
        </w:rPr>
        <w:t xml:space="preserve"> and Tanya Tremewan</w:t>
      </w:r>
      <w:r w:rsidRPr="00BE78CA">
        <w:rPr>
          <w:rFonts w:eastAsia="Calibri"/>
        </w:rPr>
        <w:t xml:space="preserve"> (proof reading and formatting)</w:t>
      </w:r>
    </w:p>
    <w:p w14:paraId="651E5818" w14:textId="6834C36F" w:rsidR="00843284" w:rsidRDefault="00843284" w:rsidP="00843284">
      <w:pPr>
        <w:pStyle w:val="BodyText"/>
        <w:spacing w:before="80" w:after="0"/>
        <w:rPr>
          <w:rFonts w:eastAsia="Calibri"/>
        </w:rPr>
      </w:pPr>
      <w:r>
        <w:rPr>
          <w:rFonts w:eastAsia="Calibri"/>
        </w:rPr>
        <w:t>Hēmi Kelly</w:t>
      </w:r>
      <w:r w:rsidR="00B54524">
        <w:rPr>
          <w:rFonts w:eastAsia="Calibri"/>
        </w:rPr>
        <w:t xml:space="preserve"> and Ruth Smith</w:t>
      </w:r>
      <w:r>
        <w:rPr>
          <w:rFonts w:eastAsia="Calibri"/>
        </w:rPr>
        <w:t xml:space="preserve"> (supplementary products: translation)</w:t>
      </w:r>
    </w:p>
    <w:p w14:paraId="582683A8" w14:textId="77777777" w:rsidR="00843284" w:rsidRPr="00BE78CA" w:rsidRDefault="00843284" w:rsidP="00843284">
      <w:pPr>
        <w:pStyle w:val="BodyText"/>
        <w:spacing w:before="80" w:after="0"/>
        <w:rPr>
          <w:rFonts w:eastAsia="Calibri"/>
        </w:rPr>
      </w:pPr>
      <w:r w:rsidRPr="00BE78CA">
        <w:rPr>
          <w:rFonts w:eastAsia="Calibri"/>
        </w:rPr>
        <w:t>Typeface (supplementary products: infographics)</w:t>
      </w:r>
    </w:p>
    <w:p w14:paraId="5895B64C" w14:textId="77777777" w:rsidR="00843284" w:rsidRPr="00BE78CA" w:rsidRDefault="00843284" w:rsidP="00843284">
      <w:pPr>
        <w:pStyle w:val="BodyText"/>
        <w:spacing w:before="80" w:after="0"/>
        <w:rPr>
          <w:rFonts w:eastAsia="Calibri"/>
        </w:rPr>
      </w:pPr>
      <w:r w:rsidRPr="00BE78CA">
        <w:rPr>
          <w:rFonts w:eastAsia="Calibri"/>
        </w:rPr>
        <w:t>Datacom (supplementary products: emissions tracker)</w:t>
      </w:r>
    </w:p>
    <w:p w14:paraId="3D0C8BEC" w14:textId="77777777" w:rsidR="00640C2E" w:rsidRDefault="00640C2E" w:rsidP="00640C2E"/>
    <w:p w14:paraId="0B5F07AB" w14:textId="77777777" w:rsidR="00703BF3" w:rsidRPr="00640C2E" w:rsidRDefault="00703BF3" w:rsidP="00640C2E"/>
    <w:p w14:paraId="049B30A6" w14:textId="77777777" w:rsidR="00703BF3" w:rsidRDefault="00703BF3" w:rsidP="00543478">
      <w:pPr>
        <w:pStyle w:val="ContentsHeading"/>
        <w:rPr>
          <w:b w:val="0"/>
          <w:bCs w:val="0"/>
        </w:rPr>
        <w:sectPr w:rsidR="00703BF3" w:rsidSect="00715D39">
          <w:headerReference w:type="even" r:id="rId13"/>
          <w:headerReference w:type="default" r:id="rId14"/>
          <w:footerReference w:type="even" r:id="rId15"/>
          <w:footerReference w:type="default" r:id="rId16"/>
          <w:pgSz w:w="11907" w:h="16840" w:code="9"/>
          <w:pgMar w:top="1418" w:right="1701" w:bottom="1418" w:left="1701" w:header="567" w:footer="567" w:gutter="0"/>
          <w:pgNumType w:fmt="lowerRoman"/>
          <w:cols w:space="720"/>
        </w:sectPr>
      </w:pPr>
    </w:p>
    <w:p w14:paraId="7860EC36" w14:textId="390B6129" w:rsidR="006E0A2C" w:rsidRPr="00543478" w:rsidRDefault="006E0A2C" w:rsidP="00543478">
      <w:pPr>
        <w:pStyle w:val="ContentsHeading"/>
      </w:pPr>
      <w:r w:rsidRPr="00BC6694">
        <w:rPr>
          <w:b w:val="0"/>
          <w:bCs w:val="0"/>
        </w:rPr>
        <w:lastRenderedPageBreak/>
        <w:t>Contents</w:t>
      </w:r>
    </w:p>
    <w:p w14:paraId="5DA0EA52" w14:textId="4B087FC6" w:rsidR="00F45677" w:rsidRPr="00B04620" w:rsidRDefault="00297D92">
      <w:pPr>
        <w:pStyle w:val="TOC1"/>
        <w:rPr>
          <w:sz w:val="22"/>
        </w:rPr>
      </w:pPr>
      <w:r>
        <w:rPr>
          <w:sz w:val="28"/>
        </w:rPr>
        <w:fldChar w:fldCharType="begin"/>
      </w:r>
      <w:r>
        <w:rPr>
          <w:sz w:val="28"/>
        </w:rPr>
        <w:instrText xml:space="preserve"> TOC \h \z \t "Heading 1,1,Heading 2,2" </w:instrText>
      </w:r>
      <w:r>
        <w:rPr>
          <w:sz w:val="28"/>
        </w:rPr>
        <w:fldChar w:fldCharType="separate"/>
      </w:r>
      <w:hyperlink w:anchor="_Toc99659081" w:history="1">
        <w:r w:rsidR="00F45677" w:rsidRPr="003A6FA4">
          <w:rPr>
            <w:rStyle w:val="Hyperlink"/>
          </w:rPr>
          <w:t>Acknowledgements</w:t>
        </w:r>
        <w:r w:rsidR="00F45677">
          <w:rPr>
            <w:webHidden/>
          </w:rPr>
          <w:tab/>
        </w:r>
        <w:r w:rsidR="00F45677">
          <w:rPr>
            <w:webHidden/>
          </w:rPr>
          <w:fldChar w:fldCharType="begin"/>
        </w:r>
        <w:r w:rsidR="00F45677">
          <w:rPr>
            <w:webHidden/>
          </w:rPr>
          <w:instrText xml:space="preserve"> PAGEREF _Toc99659081 \h </w:instrText>
        </w:r>
        <w:r w:rsidR="00F45677">
          <w:rPr>
            <w:webHidden/>
          </w:rPr>
        </w:r>
        <w:r w:rsidR="00F45677">
          <w:rPr>
            <w:webHidden/>
          </w:rPr>
          <w:fldChar w:fldCharType="separate"/>
        </w:r>
        <w:r w:rsidR="009D338D">
          <w:rPr>
            <w:webHidden/>
          </w:rPr>
          <w:t>iii</w:t>
        </w:r>
        <w:r w:rsidR="00F45677">
          <w:rPr>
            <w:webHidden/>
          </w:rPr>
          <w:fldChar w:fldCharType="end"/>
        </w:r>
      </w:hyperlink>
    </w:p>
    <w:p w14:paraId="014A24BC" w14:textId="14E66B21" w:rsidR="00F45677" w:rsidRPr="00B04620" w:rsidRDefault="004B48CC">
      <w:pPr>
        <w:pStyle w:val="TOC1"/>
        <w:rPr>
          <w:sz w:val="22"/>
        </w:rPr>
      </w:pPr>
      <w:hyperlink w:anchor="_Toc99659082" w:history="1">
        <w:r w:rsidR="00F45677" w:rsidRPr="003A6FA4">
          <w:rPr>
            <w:rStyle w:val="Hyperlink"/>
          </w:rPr>
          <w:t>Tables</w:t>
        </w:r>
        <w:r w:rsidR="00F45677">
          <w:rPr>
            <w:webHidden/>
          </w:rPr>
          <w:tab/>
        </w:r>
        <w:r w:rsidR="00F45677">
          <w:rPr>
            <w:webHidden/>
          </w:rPr>
          <w:fldChar w:fldCharType="begin"/>
        </w:r>
        <w:r w:rsidR="00F45677">
          <w:rPr>
            <w:webHidden/>
          </w:rPr>
          <w:instrText xml:space="preserve"> PAGEREF _Toc99659082 \h </w:instrText>
        </w:r>
        <w:r w:rsidR="00F45677">
          <w:rPr>
            <w:webHidden/>
          </w:rPr>
        </w:r>
        <w:r w:rsidR="00F45677">
          <w:rPr>
            <w:webHidden/>
          </w:rPr>
          <w:fldChar w:fldCharType="separate"/>
        </w:r>
        <w:r w:rsidR="009D338D">
          <w:rPr>
            <w:webHidden/>
          </w:rPr>
          <w:t>ix</w:t>
        </w:r>
        <w:r w:rsidR="00F45677">
          <w:rPr>
            <w:webHidden/>
          </w:rPr>
          <w:fldChar w:fldCharType="end"/>
        </w:r>
      </w:hyperlink>
    </w:p>
    <w:p w14:paraId="146FE4B7" w14:textId="6B478B62" w:rsidR="00F45677" w:rsidRPr="00B04620" w:rsidRDefault="004B48CC">
      <w:pPr>
        <w:pStyle w:val="TOC1"/>
        <w:rPr>
          <w:sz w:val="22"/>
        </w:rPr>
      </w:pPr>
      <w:hyperlink w:anchor="_Toc99659083" w:history="1">
        <w:r w:rsidR="00F45677" w:rsidRPr="003A6FA4">
          <w:rPr>
            <w:rStyle w:val="Hyperlink"/>
          </w:rPr>
          <w:t>Figures</w:t>
        </w:r>
        <w:r w:rsidR="00F45677">
          <w:rPr>
            <w:webHidden/>
          </w:rPr>
          <w:tab/>
        </w:r>
        <w:r w:rsidR="00F45677">
          <w:rPr>
            <w:webHidden/>
          </w:rPr>
          <w:fldChar w:fldCharType="begin"/>
        </w:r>
        <w:r w:rsidR="00F45677">
          <w:rPr>
            <w:webHidden/>
          </w:rPr>
          <w:instrText xml:space="preserve"> PAGEREF _Toc99659083 \h </w:instrText>
        </w:r>
        <w:r w:rsidR="00F45677">
          <w:rPr>
            <w:webHidden/>
          </w:rPr>
        </w:r>
        <w:r w:rsidR="00F45677">
          <w:rPr>
            <w:webHidden/>
          </w:rPr>
          <w:fldChar w:fldCharType="separate"/>
        </w:r>
        <w:r w:rsidR="009D338D">
          <w:rPr>
            <w:webHidden/>
          </w:rPr>
          <w:t>xvi</w:t>
        </w:r>
        <w:r w:rsidR="00F45677">
          <w:rPr>
            <w:webHidden/>
          </w:rPr>
          <w:fldChar w:fldCharType="end"/>
        </w:r>
      </w:hyperlink>
    </w:p>
    <w:p w14:paraId="23A5FE99" w14:textId="4CCF6255" w:rsidR="00F45677" w:rsidRPr="00B04620" w:rsidRDefault="004B48CC">
      <w:pPr>
        <w:pStyle w:val="TOC1"/>
        <w:rPr>
          <w:sz w:val="22"/>
        </w:rPr>
      </w:pPr>
      <w:hyperlink w:anchor="_Toc99659084" w:history="1">
        <w:r w:rsidR="00F45677" w:rsidRPr="003A6FA4">
          <w:rPr>
            <w:rStyle w:val="Hyperlink"/>
          </w:rPr>
          <w:t>Abbreviations</w:t>
        </w:r>
        <w:r w:rsidR="00F45677">
          <w:rPr>
            <w:webHidden/>
          </w:rPr>
          <w:tab/>
        </w:r>
        <w:r w:rsidR="00F45677">
          <w:rPr>
            <w:webHidden/>
          </w:rPr>
          <w:fldChar w:fldCharType="begin"/>
        </w:r>
        <w:r w:rsidR="00F45677">
          <w:rPr>
            <w:webHidden/>
          </w:rPr>
          <w:instrText xml:space="preserve"> PAGEREF _Toc99659084 \h </w:instrText>
        </w:r>
        <w:r w:rsidR="00F45677">
          <w:rPr>
            <w:webHidden/>
          </w:rPr>
        </w:r>
        <w:r w:rsidR="00F45677">
          <w:rPr>
            <w:webHidden/>
          </w:rPr>
          <w:fldChar w:fldCharType="separate"/>
        </w:r>
        <w:r w:rsidR="009D338D">
          <w:rPr>
            <w:webHidden/>
          </w:rPr>
          <w:t>xix</w:t>
        </w:r>
        <w:r w:rsidR="00F45677">
          <w:rPr>
            <w:webHidden/>
          </w:rPr>
          <w:fldChar w:fldCharType="end"/>
        </w:r>
      </w:hyperlink>
    </w:p>
    <w:p w14:paraId="322508D0" w14:textId="46BDC1D6" w:rsidR="00F45677" w:rsidRPr="00B04620" w:rsidRDefault="004B48CC">
      <w:pPr>
        <w:pStyle w:val="TOC1"/>
        <w:rPr>
          <w:sz w:val="22"/>
        </w:rPr>
      </w:pPr>
      <w:hyperlink w:anchor="_Toc99659085" w:history="1">
        <w:r w:rsidR="00F45677" w:rsidRPr="003A6FA4">
          <w:rPr>
            <w:rStyle w:val="Hyperlink"/>
          </w:rPr>
          <w:t>Executive summary</w:t>
        </w:r>
        <w:r w:rsidR="00F45677">
          <w:rPr>
            <w:webHidden/>
          </w:rPr>
          <w:tab/>
        </w:r>
        <w:r w:rsidR="00F45677">
          <w:rPr>
            <w:webHidden/>
          </w:rPr>
          <w:fldChar w:fldCharType="begin"/>
        </w:r>
        <w:r w:rsidR="00F45677">
          <w:rPr>
            <w:webHidden/>
          </w:rPr>
          <w:instrText xml:space="preserve"> PAGEREF _Toc99659085 \h </w:instrText>
        </w:r>
        <w:r w:rsidR="00F45677">
          <w:rPr>
            <w:webHidden/>
          </w:rPr>
        </w:r>
        <w:r w:rsidR="00F45677">
          <w:rPr>
            <w:webHidden/>
          </w:rPr>
          <w:fldChar w:fldCharType="separate"/>
        </w:r>
        <w:r w:rsidR="009D338D">
          <w:rPr>
            <w:webHidden/>
          </w:rPr>
          <w:t>xxiv</w:t>
        </w:r>
        <w:r w:rsidR="00F45677">
          <w:rPr>
            <w:webHidden/>
          </w:rPr>
          <w:fldChar w:fldCharType="end"/>
        </w:r>
      </w:hyperlink>
    </w:p>
    <w:p w14:paraId="51CFF1DC" w14:textId="471DAA4F" w:rsidR="00F45677" w:rsidRPr="00B04620" w:rsidRDefault="004B48CC">
      <w:pPr>
        <w:pStyle w:val="TOC2"/>
        <w:rPr>
          <w:sz w:val="22"/>
        </w:rPr>
      </w:pPr>
      <w:hyperlink w:anchor="_Toc99659086" w:history="1">
        <w:r w:rsidR="00F45677" w:rsidRPr="003A6FA4">
          <w:rPr>
            <w:rStyle w:val="Hyperlink"/>
          </w:rPr>
          <w:t>ES.1</w:t>
        </w:r>
        <w:r w:rsidR="00F45677" w:rsidRPr="00B04620">
          <w:rPr>
            <w:sz w:val="22"/>
          </w:rPr>
          <w:tab/>
        </w:r>
        <w:r w:rsidR="00F45677" w:rsidRPr="003A6FA4">
          <w:rPr>
            <w:rStyle w:val="Hyperlink"/>
          </w:rPr>
          <w:t>Background</w:t>
        </w:r>
        <w:r w:rsidR="00F45677">
          <w:rPr>
            <w:webHidden/>
          </w:rPr>
          <w:tab/>
        </w:r>
        <w:r w:rsidR="00F45677">
          <w:rPr>
            <w:webHidden/>
          </w:rPr>
          <w:fldChar w:fldCharType="begin"/>
        </w:r>
        <w:r w:rsidR="00F45677">
          <w:rPr>
            <w:webHidden/>
          </w:rPr>
          <w:instrText xml:space="preserve"> PAGEREF _Toc99659086 \h </w:instrText>
        </w:r>
        <w:r w:rsidR="00F45677">
          <w:rPr>
            <w:webHidden/>
          </w:rPr>
        </w:r>
        <w:r w:rsidR="00F45677">
          <w:rPr>
            <w:webHidden/>
          </w:rPr>
          <w:fldChar w:fldCharType="separate"/>
        </w:r>
        <w:r w:rsidR="009D338D">
          <w:rPr>
            <w:webHidden/>
          </w:rPr>
          <w:t>xxv</w:t>
        </w:r>
        <w:r w:rsidR="00F45677">
          <w:rPr>
            <w:webHidden/>
          </w:rPr>
          <w:fldChar w:fldCharType="end"/>
        </w:r>
      </w:hyperlink>
    </w:p>
    <w:p w14:paraId="317E6265" w14:textId="308A23DB" w:rsidR="00F45677" w:rsidRPr="00B04620" w:rsidRDefault="004B48CC">
      <w:pPr>
        <w:pStyle w:val="TOC2"/>
        <w:rPr>
          <w:sz w:val="22"/>
        </w:rPr>
      </w:pPr>
      <w:hyperlink w:anchor="_Toc99659087" w:history="1">
        <w:r w:rsidR="00F45677" w:rsidRPr="003A6FA4">
          <w:rPr>
            <w:rStyle w:val="Hyperlink"/>
          </w:rPr>
          <w:t xml:space="preserve">ES.2 </w:t>
        </w:r>
        <w:r w:rsidR="00F45677" w:rsidRPr="00B04620">
          <w:rPr>
            <w:sz w:val="22"/>
          </w:rPr>
          <w:tab/>
        </w:r>
        <w:r w:rsidR="00F45677" w:rsidRPr="003A6FA4">
          <w:rPr>
            <w:rStyle w:val="Hyperlink"/>
          </w:rPr>
          <w:t>National trends</w:t>
        </w:r>
        <w:r w:rsidR="00F45677">
          <w:rPr>
            <w:webHidden/>
          </w:rPr>
          <w:tab/>
        </w:r>
        <w:r w:rsidR="00F45677">
          <w:rPr>
            <w:webHidden/>
          </w:rPr>
          <w:fldChar w:fldCharType="begin"/>
        </w:r>
        <w:r w:rsidR="00F45677">
          <w:rPr>
            <w:webHidden/>
          </w:rPr>
          <w:instrText xml:space="preserve"> PAGEREF _Toc99659087 \h </w:instrText>
        </w:r>
        <w:r w:rsidR="00F45677">
          <w:rPr>
            <w:webHidden/>
          </w:rPr>
        </w:r>
        <w:r w:rsidR="00F45677">
          <w:rPr>
            <w:webHidden/>
          </w:rPr>
          <w:fldChar w:fldCharType="separate"/>
        </w:r>
        <w:r w:rsidR="009D338D">
          <w:rPr>
            <w:webHidden/>
          </w:rPr>
          <w:t>xxv</w:t>
        </w:r>
        <w:r w:rsidR="00F45677">
          <w:rPr>
            <w:webHidden/>
          </w:rPr>
          <w:fldChar w:fldCharType="end"/>
        </w:r>
      </w:hyperlink>
    </w:p>
    <w:p w14:paraId="58919A33" w14:textId="77A6B19F" w:rsidR="00F45677" w:rsidRPr="00B04620" w:rsidRDefault="004B48CC">
      <w:pPr>
        <w:pStyle w:val="TOC2"/>
        <w:rPr>
          <w:sz w:val="22"/>
        </w:rPr>
      </w:pPr>
      <w:hyperlink w:anchor="_Toc99659088" w:history="1">
        <w:r w:rsidR="00F45677" w:rsidRPr="003A6FA4">
          <w:rPr>
            <w:rStyle w:val="Hyperlink"/>
          </w:rPr>
          <w:t xml:space="preserve">ES.3 </w:t>
        </w:r>
        <w:r w:rsidR="00F45677" w:rsidRPr="00B04620">
          <w:rPr>
            <w:sz w:val="22"/>
          </w:rPr>
          <w:tab/>
        </w:r>
        <w:r w:rsidR="00F45677" w:rsidRPr="003A6FA4">
          <w:rPr>
            <w:rStyle w:val="Hyperlink"/>
          </w:rPr>
          <w:t>Greenhouse gas trends</w:t>
        </w:r>
        <w:r w:rsidR="00F45677">
          <w:rPr>
            <w:webHidden/>
          </w:rPr>
          <w:tab/>
        </w:r>
        <w:r w:rsidR="00F45677">
          <w:rPr>
            <w:webHidden/>
          </w:rPr>
          <w:fldChar w:fldCharType="begin"/>
        </w:r>
        <w:r w:rsidR="00F45677">
          <w:rPr>
            <w:webHidden/>
          </w:rPr>
          <w:instrText xml:space="preserve"> PAGEREF _Toc99659088 \h </w:instrText>
        </w:r>
        <w:r w:rsidR="00F45677">
          <w:rPr>
            <w:webHidden/>
          </w:rPr>
        </w:r>
        <w:r w:rsidR="00F45677">
          <w:rPr>
            <w:webHidden/>
          </w:rPr>
          <w:fldChar w:fldCharType="separate"/>
        </w:r>
        <w:r w:rsidR="009D338D">
          <w:rPr>
            <w:webHidden/>
          </w:rPr>
          <w:t>xxviii</w:t>
        </w:r>
        <w:r w:rsidR="00F45677">
          <w:rPr>
            <w:webHidden/>
          </w:rPr>
          <w:fldChar w:fldCharType="end"/>
        </w:r>
      </w:hyperlink>
    </w:p>
    <w:p w14:paraId="64D58ABD" w14:textId="7D0E5C88" w:rsidR="00F45677" w:rsidRPr="00B04620" w:rsidRDefault="004B48CC">
      <w:pPr>
        <w:pStyle w:val="TOC2"/>
        <w:rPr>
          <w:sz w:val="22"/>
        </w:rPr>
      </w:pPr>
      <w:hyperlink w:anchor="_Toc99659089" w:history="1">
        <w:r w:rsidR="00F45677" w:rsidRPr="003A6FA4">
          <w:rPr>
            <w:rStyle w:val="Hyperlink"/>
          </w:rPr>
          <w:t xml:space="preserve">ES.4 </w:t>
        </w:r>
        <w:r w:rsidR="00F45677" w:rsidRPr="00B04620">
          <w:rPr>
            <w:sz w:val="22"/>
          </w:rPr>
          <w:tab/>
        </w:r>
        <w:r w:rsidR="00F45677" w:rsidRPr="003A6FA4">
          <w:rPr>
            <w:rStyle w:val="Hyperlink"/>
          </w:rPr>
          <w:t>Sector trends</w:t>
        </w:r>
        <w:r w:rsidR="00F45677">
          <w:rPr>
            <w:webHidden/>
          </w:rPr>
          <w:tab/>
        </w:r>
        <w:r w:rsidR="00F45677">
          <w:rPr>
            <w:webHidden/>
          </w:rPr>
          <w:fldChar w:fldCharType="begin"/>
        </w:r>
        <w:r w:rsidR="00F45677">
          <w:rPr>
            <w:webHidden/>
          </w:rPr>
          <w:instrText xml:space="preserve"> PAGEREF _Toc99659089 \h </w:instrText>
        </w:r>
        <w:r w:rsidR="00F45677">
          <w:rPr>
            <w:webHidden/>
          </w:rPr>
        </w:r>
        <w:r w:rsidR="00F45677">
          <w:rPr>
            <w:webHidden/>
          </w:rPr>
          <w:fldChar w:fldCharType="separate"/>
        </w:r>
        <w:r w:rsidR="009D338D">
          <w:rPr>
            <w:webHidden/>
          </w:rPr>
          <w:t>xxix</w:t>
        </w:r>
        <w:r w:rsidR="00F45677">
          <w:rPr>
            <w:webHidden/>
          </w:rPr>
          <w:fldChar w:fldCharType="end"/>
        </w:r>
      </w:hyperlink>
    </w:p>
    <w:p w14:paraId="6F386A4C" w14:textId="56A0A514" w:rsidR="00F45677" w:rsidRPr="00B04620" w:rsidRDefault="004B48CC">
      <w:pPr>
        <w:pStyle w:val="TOC2"/>
        <w:rPr>
          <w:sz w:val="22"/>
        </w:rPr>
      </w:pPr>
      <w:hyperlink w:anchor="_Toc99659090" w:history="1">
        <w:r w:rsidR="00F45677" w:rsidRPr="003A6FA4">
          <w:rPr>
            <w:rStyle w:val="Hyperlink"/>
          </w:rPr>
          <w:t xml:space="preserve">ES.5 </w:t>
        </w:r>
        <w:r w:rsidR="00F45677" w:rsidRPr="00B04620">
          <w:rPr>
            <w:sz w:val="22"/>
          </w:rPr>
          <w:tab/>
        </w:r>
        <w:r w:rsidR="00F45677" w:rsidRPr="003A6FA4">
          <w:rPr>
            <w:rStyle w:val="Hyperlink"/>
          </w:rPr>
          <w:t>Activities under Article 3.3 and Article 3.4 of the Kyoto Protocol (chapter 11)</w:t>
        </w:r>
        <w:r w:rsidR="00F45677">
          <w:rPr>
            <w:webHidden/>
          </w:rPr>
          <w:tab/>
        </w:r>
        <w:r w:rsidR="00F45677">
          <w:rPr>
            <w:webHidden/>
          </w:rPr>
          <w:fldChar w:fldCharType="begin"/>
        </w:r>
        <w:r w:rsidR="00F45677">
          <w:rPr>
            <w:webHidden/>
          </w:rPr>
          <w:instrText xml:space="preserve"> PAGEREF _Toc99659090 \h </w:instrText>
        </w:r>
        <w:r w:rsidR="00F45677">
          <w:rPr>
            <w:webHidden/>
          </w:rPr>
        </w:r>
        <w:r w:rsidR="00F45677">
          <w:rPr>
            <w:webHidden/>
          </w:rPr>
          <w:fldChar w:fldCharType="separate"/>
        </w:r>
        <w:r w:rsidR="009D338D">
          <w:rPr>
            <w:webHidden/>
          </w:rPr>
          <w:t>xxxvii</w:t>
        </w:r>
        <w:r w:rsidR="00F45677">
          <w:rPr>
            <w:webHidden/>
          </w:rPr>
          <w:fldChar w:fldCharType="end"/>
        </w:r>
      </w:hyperlink>
    </w:p>
    <w:p w14:paraId="6252C631" w14:textId="0514C74D" w:rsidR="00F45677" w:rsidRPr="00B04620" w:rsidRDefault="004B48CC">
      <w:pPr>
        <w:pStyle w:val="TOC2"/>
        <w:rPr>
          <w:sz w:val="22"/>
        </w:rPr>
      </w:pPr>
      <w:hyperlink w:anchor="_Toc99659091" w:history="1">
        <w:r w:rsidR="00F45677" w:rsidRPr="003A6FA4">
          <w:rPr>
            <w:rStyle w:val="Hyperlink"/>
          </w:rPr>
          <w:t xml:space="preserve">ES.6 </w:t>
        </w:r>
        <w:r w:rsidR="00F45677" w:rsidRPr="00B04620">
          <w:rPr>
            <w:sz w:val="22"/>
          </w:rPr>
          <w:tab/>
        </w:r>
        <w:r w:rsidR="00F45677" w:rsidRPr="003A6FA4">
          <w:rPr>
            <w:rStyle w:val="Hyperlink"/>
          </w:rPr>
          <w:t>Improvements introduced</w:t>
        </w:r>
        <w:r w:rsidR="00F45677">
          <w:rPr>
            <w:webHidden/>
          </w:rPr>
          <w:tab/>
        </w:r>
        <w:r w:rsidR="00F45677">
          <w:rPr>
            <w:webHidden/>
          </w:rPr>
          <w:fldChar w:fldCharType="begin"/>
        </w:r>
        <w:r w:rsidR="00F45677">
          <w:rPr>
            <w:webHidden/>
          </w:rPr>
          <w:instrText xml:space="preserve"> PAGEREF _Toc99659091 \h </w:instrText>
        </w:r>
        <w:r w:rsidR="00F45677">
          <w:rPr>
            <w:webHidden/>
          </w:rPr>
        </w:r>
        <w:r w:rsidR="00F45677">
          <w:rPr>
            <w:webHidden/>
          </w:rPr>
          <w:fldChar w:fldCharType="separate"/>
        </w:r>
        <w:r w:rsidR="009D338D">
          <w:rPr>
            <w:webHidden/>
          </w:rPr>
          <w:t>xxxix</w:t>
        </w:r>
        <w:r w:rsidR="00F45677">
          <w:rPr>
            <w:webHidden/>
          </w:rPr>
          <w:fldChar w:fldCharType="end"/>
        </w:r>
      </w:hyperlink>
    </w:p>
    <w:p w14:paraId="1C8A24E3" w14:textId="58A5BBEA" w:rsidR="00F45677" w:rsidRPr="00B04620" w:rsidRDefault="004B48CC">
      <w:pPr>
        <w:pStyle w:val="TOC2"/>
        <w:rPr>
          <w:sz w:val="22"/>
        </w:rPr>
      </w:pPr>
      <w:hyperlink w:anchor="_Toc99659092" w:history="1">
        <w:r w:rsidR="00F45677" w:rsidRPr="003A6FA4">
          <w:rPr>
            <w:rStyle w:val="Hyperlink"/>
          </w:rPr>
          <w:t xml:space="preserve">ES.7 </w:t>
        </w:r>
        <w:r w:rsidR="00F45677" w:rsidRPr="00B04620">
          <w:rPr>
            <w:sz w:val="22"/>
          </w:rPr>
          <w:tab/>
        </w:r>
        <w:r w:rsidR="00F45677" w:rsidRPr="003A6FA4">
          <w:rPr>
            <w:rStyle w:val="Hyperlink"/>
          </w:rPr>
          <w:t>National registry (chapters 12 and 14)</w:t>
        </w:r>
        <w:r w:rsidR="00F45677">
          <w:rPr>
            <w:webHidden/>
          </w:rPr>
          <w:tab/>
        </w:r>
        <w:r w:rsidR="00F45677">
          <w:rPr>
            <w:webHidden/>
          </w:rPr>
          <w:fldChar w:fldCharType="begin"/>
        </w:r>
        <w:r w:rsidR="00F45677">
          <w:rPr>
            <w:webHidden/>
          </w:rPr>
          <w:instrText xml:space="preserve"> PAGEREF _Toc99659092 \h </w:instrText>
        </w:r>
        <w:r w:rsidR="00F45677">
          <w:rPr>
            <w:webHidden/>
          </w:rPr>
        </w:r>
        <w:r w:rsidR="00F45677">
          <w:rPr>
            <w:webHidden/>
          </w:rPr>
          <w:fldChar w:fldCharType="separate"/>
        </w:r>
        <w:r w:rsidR="009D338D">
          <w:rPr>
            <w:webHidden/>
          </w:rPr>
          <w:t>xlii</w:t>
        </w:r>
        <w:r w:rsidR="00F45677">
          <w:rPr>
            <w:webHidden/>
          </w:rPr>
          <w:fldChar w:fldCharType="end"/>
        </w:r>
      </w:hyperlink>
    </w:p>
    <w:p w14:paraId="7AB5DF32" w14:textId="149113B6" w:rsidR="00F45677" w:rsidRPr="00B04620" w:rsidRDefault="004B48CC">
      <w:pPr>
        <w:pStyle w:val="TOC2"/>
        <w:rPr>
          <w:sz w:val="22"/>
        </w:rPr>
      </w:pPr>
      <w:hyperlink w:anchor="_Toc99659093" w:history="1">
        <w:r w:rsidR="00F45677" w:rsidRPr="003A6FA4">
          <w:rPr>
            <w:rStyle w:val="Hyperlink"/>
          </w:rPr>
          <w:t>Executive summary: References</w:t>
        </w:r>
        <w:r w:rsidR="00F45677">
          <w:rPr>
            <w:webHidden/>
          </w:rPr>
          <w:tab/>
        </w:r>
        <w:r w:rsidR="00F45677">
          <w:rPr>
            <w:webHidden/>
          </w:rPr>
          <w:fldChar w:fldCharType="begin"/>
        </w:r>
        <w:r w:rsidR="00F45677">
          <w:rPr>
            <w:webHidden/>
          </w:rPr>
          <w:instrText xml:space="preserve"> PAGEREF _Toc99659093 \h </w:instrText>
        </w:r>
        <w:r w:rsidR="00F45677">
          <w:rPr>
            <w:webHidden/>
          </w:rPr>
        </w:r>
        <w:r w:rsidR="00F45677">
          <w:rPr>
            <w:webHidden/>
          </w:rPr>
          <w:fldChar w:fldCharType="separate"/>
        </w:r>
        <w:r w:rsidR="009D338D">
          <w:rPr>
            <w:webHidden/>
          </w:rPr>
          <w:t>xliii</w:t>
        </w:r>
        <w:r w:rsidR="00F45677">
          <w:rPr>
            <w:webHidden/>
          </w:rPr>
          <w:fldChar w:fldCharType="end"/>
        </w:r>
      </w:hyperlink>
    </w:p>
    <w:p w14:paraId="2E406CFD" w14:textId="56D5AA25" w:rsidR="00F45677" w:rsidRPr="00B04620" w:rsidRDefault="004B48CC">
      <w:pPr>
        <w:pStyle w:val="TOC1"/>
        <w:rPr>
          <w:sz w:val="22"/>
        </w:rPr>
      </w:pPr>
      <w:hyperlink w:anchor="_Toc99659094" w:history="1">
        <w:r w:rsidR="00F45677" w:rsidRPr="003A6FA4">
          <w:rPr>
            <w:rStyle w:val="Hyperlink"/>
          </w:rPr>
          <w:t>Chapter 1: Introduction</w:t>
        </w:r>
        <w:r w:rsidR="00F45677">
          <w:rPr>
            <w:webHidden/>
          </w:rPr>
          <w:tab/>
        </w:r>
        <w:r w:rsidR="00F45677">
          <w:rPr>
            <w:webHidden/>
          </w:rPr>
          <w:fldChar w:fldCharType="begin"/>
        </w:r>
        <w:r w:rsidR="00F45677">
          <w:rPr>
            <w:webHidden/>
          </w:rPr>
          <w:instrText xml:space="preserve"> PAGEREF _Toc99659094 \h </w:instrText>
        </w:r>
        <w:r w:rsidR="00F45677">
          <w:rPr>
            <w:webHidden/>
          </w:rPr>
        </w:r>
        <w:r w:rsidR="00F45677">
          <w:rPr>
            <w:webHidden/>
          </w:rPr>
          <w:fldChar w:fldCharType="separate"/>
        </w:r>
        <w:r w:rsidR="009D338D">
          <w:rPr>
            <w:webHidden/>
          </w:rPr>
          <w:t>1</w:t>
        </w:r>
        <w:r w:rsidR="00F45677">
          <w:rPr>
            <w:webHidden/>
          </w:rPr>
          <w:fldChar w:fldCharType="end"/>
        </w:r>
      </w:hyperlink>
    </w:p>
    <w:p w14:paraId="78A1E812" w14:textId="724D15AE" w:rsidR="00F45677" w:rsidRPr="00B04620" w:rsidRDefault="004B48CC">
      <w:pPr>
        <w:pStyle w:val="TOC2"/>
        <w:rPr>
          <w:sz w:val="22"/>
        </w:rPr>
      </w:pPr>
      <w:hyperlink w:anchor="_Toc99659095" w:history="1">
        <w:r w:rsidR="00F45677" w:rsidRPr="003A6FA4">
          <w:rPr>
            <w:rStyle w:val="Hyperlink"/>
          </w:rPr>
          <w:t xml:space="preserve">1.1 </w:t>
        </w:r>
        <w:r w:rsidR="00F45677" w:rsidRPr="00B04620">
          <w:rPr>
            <w:sz w:val="22"/>
          </w:rPr>
          <w:tab/>
        </w:r>
        <w:r w:rsidR="00F45677" w:rsidRPr="003A6FA4">
          <w:rPr>
            <w:rStyle w:val="Hyperlink"/>
          </w:rPr>
          <w:t>Background</w:t>
        </w:r>
        <w:r w:rsidR="00F45677">
          <w:rPr>
            <w:webHidden/>
          </w:rPr>
          <w:tab/>
        </w:r>
        <w:r w:rsidR="00F45677">
          <w:rPr>
            <w:webHidden/>
          </w:rPr>
          <w:fldChar w:fldCharType="begin"/>
        </w:r>
        <w:r w:rsidR="00F45677">
          <w:rPr>
            <w:webHidden/>
          </w:rPr>
          <w:instrText xml:space="preserve"> PAGEREF _Toc99659095 \h </w:instrText>
        </w:r>
        <w:r w:rsidR="00F45677">
          <w:rPr>
            <w:webHidden/>
          </w:rPr>
        </w:r>
        <w:r w:rsidR="00F45677">
          <w:rPr>
            <w:webHidden/>
          </w:rPr>
          <w:fldChar w:fldCharType="separate"/>
        </w:r>
        <w:r w:rsidR="009D338D">
          <w:rPr>
            <w:webHidden/>
          </w:rPr>
          <w:t>1</w:t>
        </w:r>
        <w:r w:rsidR="00F45677">
          <w:rPr>
            <w:webHidden/>
          </w:rPr>
          <w:fldChar w:fldCharType="end"/>
        </w:r>
      </w:hyperlink>
    </w:p>
    <w:p w14:paraId="7650E349" w14:textId="181E4D23" w:rsidR="00F45677" w:rsidRPr="00B04620" w:rsidRDefault="004B48CC">
      <w:pPr>
        <w:pStyle w:val="TOC2"/>
        <w:rPr>
          <w:sz w:val="22"/>
        </w:rPr>
      </w:pPr>
      <w:hyperlink w:anchor="_Toc99659096" w:history="1">
        <w:r w:rsidR="00F45677" w:rsidRPr="003A6FA4">
          <w:rPr>
            <w:rStyle w:val="Hyperlink"/>
          </w:rPr>
          <w:t xml:space="preserve">1.2 </w:t>
        </w:r>
        <w:r w:rsidR="00F45677" w:rsidRPr="00B04620">
          <w:rPr>
            <w:sz w:val="22"/>
          </w:rPr>
          <w:tab/>
        </w:r>
        <w:r w:rsidR="00F45677" w:rsidRPr="003A6FA4">
          <w:rPr>
            <w:rStyle w:val="Hyperlink"/>
          </w:rPr>
          <w:t>Description of the national inventory arrangements</w:t>
        </w:r>
        <w:r w:rsidR="00F45677">
          <w:rPr>
            <w:webHidden/>
          </w:rPr>
          <w:tab/>
        </w:r>
        <w:r w:rsidR="00F45677">
          <w:rPr>
            <w:webHidden/>
          </w:rPr>
          <w:fldChar w:fldCharType="begin"/>
        </w:r>
        <w:r w:rsidR="00F45677">
          <w:rPr>
            <w:webHidden/>
          </w:rPr>
          <w:instrText xml:space="preserve"> PAGEREF _Toc99659096 \h </w:instrText>
        </w:r>
        <w:r w:rsidR="00F45677">
          <w:rPr>
            <w:webHidden/>
          </w:rPr>
        </w:r>
        <w:r w:rsidR="00F45677">
          <w:rPr>
            <w:webHidden/>
          </w:rPr>
          <w:fldChar w:fldCharType="separate"/>
        </w:r>
        <w:r w:rsidR="009D338D">
          <w:rPr>
            <w:webHidden/>
          </w:rPr>
          <w:t>4</w:t>
        </w:r>
        <w:r w:rsidR="00F45677">
          <w:rPr>
            <w:webHidden/>
          </w:rPr>
          <w:fldChar w:fldCharType="end"/>
        </w:r>
      </w:hyperlink>
    </w:p>
    <w:p w14:paraId="182C6554" w14:textId="5BC3ECFF" w:rsidR="00F45677" w:rsidRPr="00B04620" w:rsidRDefault="004B48CC">
      <w:pPr>
        <w:pStyle w:val="TOC2"/>
        <w:rPr>
          <w:sz w:val="22"/>
        </w:rPr>
      </w:pPr>
      <w:hyperlink w:anchor="_Toc99659097" w:history="1">
        <w:r w:rsidR="00F45677" w:rsidRPr="003A6FA4">
          <w:rPr>
            <w:rStyle w:val="Hyperlink"/>
          </w:rPr>
          <w:t xml:space="preserve">1.3 </w:t>
        </w:r>
        <w:r w:rsidR="00F45677" w:rsidRPr="00B04620">
          <w:rPr>
            <w:sz w:val="22"/>
          </w:rPr>
          <w:tab/>
        </w:r>
        <w:r w:rsidR="00F45677" w:rsidRPr="003A6FA4">
          <w:rPr>
            <w:rStyle w:val="Hyperlink"/>
          </w:rPr>
          <w:t>Inventory preparation: data collection, processing and storage</w:t>
        </w:r>
        <w:r w:rsidR="00F45677">
          <w:rPr>
            <w:webHidden/>
          </w:rPr>
          <w:tab/>
        </w:r>
        <w:r w:rsidR="00F45677">
          <w:rPr>
            <w:webHidden/>
          </w:rPr>
          <w:fldChar w:fldCharType="begin"/>
        </w:r>
        <w:r w:rsidR="00F45677">
          <w:rPr>
            <w:webHidden/>
          </w:rPr>
          <w:instrText xml:space="preserve"> PAGEREF _Toc99659097 \h </w:instrText>
        </w:r>
        <w:r w:rsidR="00F45677">
          <w:rPr>
            <w:webHidden/>
          </w:rPr>
        </w:r>
        <w:r w:rsidR="00F45677">
          <w:rPr>
            <w:webHidden/>
          </w:rPr>
          <w:fldChar w:fldCharType="separate"/>
        </w:r>
        <w:r w:rsidR="009D338D">
          <w:rPr>
            <w:webHidden/>
          </w:rPr>
          <w:t>15</w:t>
        </w:r>
        <w:r w:rsidR="00F45677">
          <w:rPr>
            <w:webHidden/>
          </w:rPr>
          <w:fldChar w:fldCharType="end"/>
        </w:r>
      </w:hyperlink>
    </w:p>
    <w:p w14:paraId="7A37FA17" w14:textId="5B692476" w:rsidR="00F45677" w:rsidRPr="00B04620" w:rsidRDefault="004B48CC">
      <w:pPr>
        <w:pStyle w:val="TOC2"/>
        <w:rPr>
          <w:sz w:val="22"/>
        </w:rPr>
      </w:pPr>
      <w:hyperlink w:anchor="_Toc99659098" w:history="1">
        <w:r w:rsidR="00F45677" w:rsidRPr="003A6FA4">
          <w:rPr>
            <w:rStyle w:val="Hyperlink"/>
          </w:rPr>
          <w:t xml:space="preserve">1.4 </w:t>
        </w:r>
        <w:r w:rsidR="00F45677" w:rsidRPr="00B04620">
          <w:rPr>
            <w:sz w:val="22"/>
          </w:rPr>
          <w:tab/>
        </w:r>
        <w:r w:rsidR="00F45677" w:rsidRPr="003A6FA4">
          <w:rPr>
            <w:rStyle w:val="Hyperlink"/>
          </w:rPr>
          <w:t>Methodologies and data sources used</w:t>
        </w:r>
        <w:r w:rsidR="00F45677">
          <w:rPr>
            <w:webHidden/>
          </w:rPr>
          <w:tab/>
        </w:r>
        <w:r w:rsidR="00F45677">
          <w:rPr>
            <w:webHidden/>
          </w:rPr>
          <w:fldChar w:fldCharType="begin"/>
        </w:r>
        <w:r w:rsidR="00F45677">
          <w:rPr>
            <w:webHidden/>
          </w:rPr>
          <w:instrText xml:space="preserve"> PAGEREF _Toc99659098 \h </w:instrText>
        </w:r>
        <w:r w:rsidR="00F45677">
          <w:rPr>
            <w:webHidden/>
          </w:rPr>
        </w:r>
        <w:r w:rsidR="00F45677">
          <w:rPr>
            <w:webHidden/>
          </w:rPr>
          <w:fldChar w:fldCharType="separate"/>
        </w:r>
        <w:r w:rsidR="009D338D">
          <w:rPr>
            <w:webHidden/>
          </w:rPr>
          <w:t>16</w:t>
        </w:r>
        <w:r w:rsidR="00F45677">
          <w:rPr>
            <w:webHidden/>
          </w:rPr>
          <w:fldChar w:fldCharType="end"/>
        </w:r>
      </w:hyperlink>
    </w:p>
    <w:p w14:paraId="5082357F" w14:textId="3DAD87A5" w:rsidR="00F45677" w:rsidRPr="00B04620" w:rsidRDefault="004B48CC">
      <w:pPr>
        <w:pStyle w:val="TOC2"/>
        <w:rPr>
          <w:sz w:val="22"/>
        </w:rPr>
      </w:pPr>
      <w:hyperlink w:anchor="_Toc99659099" w:history="1">
        <w:r w:rsidR="00F45677" w:rsidRPr="003A6FA4">
          <w:rPr>
            <w:rStyle w:val="Hyperlink"/>
          </w:rPr>
          <w:t xml:space="preserve">1.5 </w:t>
        </w:r>
        <w:r w:rsidR="00F45677" w:rsidRPr="00B04620">
          <w:rPr>
            <w:sz w:val="22"/>
          </w:rPr>
          <w:tab/>
        </w:r>
        <w:r w:rsidR="00F45677" w:rsidRPr="003A6FA4">
          <w:rPr>
            <w:rStyle w:val="Hyperlink"/>
          </w:rPr>
          <w:t>Key categories</w:t>
        </w:r>
        <w:r w:rsidR="00F45677">
          <w:rPr>
            <w:webHidden/>
          </w:rPr>
          <w:tab/>
        </w:r>
        <w:r w:rsidR="00F45677">
          <w:rPr>
            <w:webHidden/>
          </w:rPr>
          <w:fldChar w:fldCharType="begin"/>
        </w:r>
        <w:r w:rsidR="00F45677">
          <w:rPr>
            <w:webHidden/>
          </w:rPr>
          <w:instrText xml:space="preserve"> PAGEREF _Toc99659099 \h </w:instrText>
        </w:r>
        <w:r w:rsidR="00F45677">
          <w:rPr>
            <w:webHidden/>
          </w:rPr>
        </w:r>
        <w:r w:rsidR="00F45677">
          <w:rPr>
            <w:webHidden/>
          </w:rPr>
          <w:fldChar w:fldCharType="separate"/>
        </w:r>
        <w:r w:rsidR="009D338D">
          <w:rPr>
            <w:webHidden/>
          </w:rPr>
          <w:t>19</w:t>
        </w:r>
        <w:r w:rsidR="00F45677">
          <w:rPr>
            <w:webHidden/>
          </w:rPr>
          <w:fldChar w:fldCharType="end"/>
        </w:r>
      </w:hyperlink>
    </w:p>
    <w:p w14:paraId="2E4B2DC4" w14:textId="4B8AD2FD" w:rsidR="00F45677" w:rsidRPr="00B04620" w:rsidRDefault="004B48CC">
      <w:pPr>
        <w:pStyle w:val="TOC2"/>
        <w:rPr>
          <w:sz w:val="22"/>
        </w:rPr>
      </w:pPr>
      <w:hyperlink w:anchor="_Toc99659100" w:history="1">
        <w:r w:rsidR="00F45677" w:rsidRPr="003A6FA4">
          <w:rPr>
            <w:rStyle w:val="Hyperlink"/>
          </w:rPr>
          <w:t xml:space="preserve">1.6 </w:t>
        </w:r>
        <w:r w:rsidR="00F45677" w:rsidRPr="00B04620">
          <w:rPr>
            <w:sz w:val="22"/>
          </w:rPr>
          <w:tab/>
        </w:r>
        <w:r w:rsidR="00F45677" w:rsidRPr="003A6FA4">
          <w:rPr>
            <w:rStyle w:val="Hyperlink"/>
          </w:rPr>
          <w:t>Inventory uncertainty</w:t>
        </w:r>
        <w:r w:rsidR="00F45677">
          <w:rPr>
            <w:webHidden/>
          </w:rPr>
          <w:tab/>
        </w:r>
        <w:r w:rsidR="00F45677">
          <w:rPr>
            <w:webHidden/>
          </w:rPr>
          <w:fldChar w:fldCharType="begin"/>
        </w:r>
        <w:r w:rsidR="00F45677">
          <w:rPr>
            <w:webHidden/>
          </w:rPr>
          <w:instrText xml:space="preserve"> PAGEREF _Toc99659100 \h </w:instrText>
        </w:r>
        <w:r w:rsidR="00F45677">
          <w:rPr>
            <w:webHidden/>
          </w:rPr>
        </w:r>
        <w:r w:rsidR="00F45677">
          <w:rPr>
            <w:webHidden/>
          </w:rPr>
          <w:fldChar w:fldCharType="separate"/>
        </w:r>
        <w:r w:rsidR="009D338D">
          <w:rPr>
            <w:webHidden/>
          </w:rPr>
          <w:t>30</w:t>
        </w:r>
        <w:r w:rsidR="00F45677">
          <w:rPr>
            <w:webHidden/>
          </w:rPr>
          <w:fldChar w:fldCharType="end"/>
        </w:r>
      </w:hyperlink>
    </w:p>
    <w:p w14:paraId="15278FDF" w14:textId="7F4D9F29" w:rsidR="00F45677" w:rsidRPr="00B04620" w:rsidRDefault="004B48CC">
      <w:pPr>
        <w:pStyle w:val="TOC2"/>
        <w:rPr>
          <w:sz w:val="22"/>
        </w:rPr>
      </w:pPr>
      <w:hyperlink w:anchor="_Toc99659101" w:history="1">
        <w:r w:rsidR="00F45677" w:rsidRPr="003A6FA4">
          <w:rPr>
            <w:rStyle w:val="Hyperlink"/>
          </w:rPr>
          <w:t xml:space="preserve">1.7 </w:t>
        </w:r>
        <w:r w:rsidR="00F45677" w:rsidRPr="00B04620">
          <w:rPr>
            <w:sz w:val="22"/>
          </w:rPr>
          <w:tab/>
        </w:r>
        <w:r w:rsidR="00F45677" w:rsidRPr="003A6FA4">
          <w:rPr>
            <w:rStyle w:val="Hyperlink"/>
          </w:rPr>
          <w:t>Inventory completeness</w:t>
        </w:r>
        <w:r w:rsidR="00F45677">
          <w:rPr>
            <w:webHidden/>
          </w:rPr>
          <w:tab/>
        </w:r>
        <w:r w:rsidR="00F45677">
          <w:rPr>
            <w:webHidden/>
          </w:rPr>
          <w:fldChar w:fldCharType="begin"/>
        </w:r>
        <w:r w:rsidR="00F45677">
          <w:rPr>
            <w:webHidden/>
          </w:rPr>
          <w:instrText xml:space="preserve"> PAGEREF _Toc99659101 \h </w:instrText>
        </w:r>
        <w:r w:rsidR="00F45677">
          <w:rPr>
            <w:webHidden/>
          </w:rPr>
        </w:r>
        <w:r w:rsidR="00F45677">
          <w:rPr>
            <w:webHidden/>
          </w:rPr>
          <w:fldChar w:fldCharType="separate"/>
        </w:r>
        <w:r w:rsidR="009D338D">
          <w:rPr>
            <w:webHidden/>
          </w:rPr>
          <w:t>32</w:t>
        </w:r>
        <w:r w:rsidR="00F45677">
          <w:rPr>
            <w:webHidden/>
          </w:rPr>
          <w:fldChar w:fldCharType="end"/>
        </w:r>
      </w:hyperlink>
    </w:p>
    <w:p w14:paraId="29C7256C" w14:textId="2D30C950" w:rsidR="00F45677" w:rsidRPr="00B04620" w:rsidRDefault="004B48CC">
      <w:pPr>
        <w:pStyle w:val="TOC2"/>
        <w:rPr>
          <w:sz w:val="22"/>
        </w:rPr>
      </w:pPr>
      <w:hyperlink w:anchor="_Toc99659102" w:history="1">
        <w:r w:rsidR="00F45677" w:rsidRPr="003A6FA4">
          <w:rPr>
            <w:rStyle w:val="Hyperlink"/>
          </w:rPr>
          <w:t xml:space="preserve">1.8 </w:t>
        </w:r>
        <w:r w:rsidR="00F45677" w:rsidRPr="00B04620">
          <w:rPr>
            <w:sz w:val="22"/>
          </w:rPr>
          <w:tab/>
        </w:r>
        <w:r w:rsidR="00F45677" w:rsidRPr="003A6FA4">
          <w:rPr>
            <w:rStyle w:val="Hyperlink"/>
          </w:rPr>
          <w:t>National registry</w:t>
        </w:r>
        <w:r w:rsidR="00F45677">
          <w:rPr>
            <w:webHidden/>
          </w:rPr>
          <w:tab/>
        </w:r>
        <w:r w:rsidR="00F45677">
          <w:rPr>
            <w:webHidden/>
          </w:rPr>
          <w:fldChar w:fldCharType="begin"/>
        </w:r>
        <w:r w:rsidR="00F45677">
          <w:rPr>
            <w:webHidden/>
          </w:rPr>
          <w:instrText xml:space="preserve"> PAGEREF _Toc99659102 \h </w:instrText>
        </w:r>
        <w:r w:rsidR="00F45677">
          <w:rPr>
            <w:webHidden/>
          </w:rPr>
        </w:r>
        <w:r w:rsidR="00F45677">
          <w:rPr>
            <w:webHidden/>
          </w:rPr>
          <w:fldChar w:fldCharType="separate"/>
        </w:r>
        <w:r w:rsidR="009D338D">
          <w:rPr>
            <w:webHidden/>
          </w:rPr>
          <w:t>33</w:t>
        </w:r>
        <w:r w:rsidR="00F45677">
          <w:rPr>
            <w:webHidden/>
          </w:rPr>
          <w:fldChar w:fldCharType="end"/>
        </w:r>
      </w:hyperlink>
    </w:p>
    <w:p w14:paraId="57F357AE" w14:textId="15874E50" w:rsidR="00F45677" w:rsidRPr="00B04620" w:rsidRDefault="004B48CC">
      <w:pPr>
        <w:pStyle w:val="TOC2"/>
        <w:rPr>
          <w:sz w:val="22"/>
        </w:rPr>
      </w:pPr>
      <w:hyperlink w:anchor="_Toc99659103" w:history="1">
        <w:r w:rsidR="00F45677" w:rsidRPr="003A6FA4">
          <w:rPr>
            <w:rStyle w:val="Hyperlink"/>
          </w:rPr>
          <w:t xml:space="preserve">1.9 </w:t>
        </w:r>
        <w:r w:rsidR="00F45677" w:rsidRPr="00B04620">
          <w:rPr>
            <w:sz w:val="22"/>
          </w:rPr>
          <w:tab/>
        </w:r>
        <w:r w:rsidR="00F45677" w:rsidRPr="003A6FA4">
          <w:rPr>
            <w:rStyle w:val="Hyperlink"/>
          </w:rPr>
          <w:t>New Zealand’s Emissions Trading Scheme</w:t>
        </w:r>
        <w:r w:rsidR="00F45677">
          <w:rPr>
            <w:webHidden/>
          </w:rPr>
          <w:tab/>
        </w:r>
        <w:r w:rsidR="00F45677">
          <w:rPr>
            <w:webHidden/>
          </w:rPr>
          <w:fldChar w:fldCharType="begin"/>
        </w:r>
        <w:r w:rsidR="00F45677">
          <w:rPr>
            <w:webHidden/>
          </w:rPr>
          <w:instrText xml:space="preserve"> PAGEREF _Toc99659103 \h </w:instrText>
        </w:r>
        <w:r w:rsidR="00F45677">
          <w:rPr>
            <w:webHidden/>
          </w:rPr>
        </w:r>
        <w:r w:rsidR="00F45677">
          <w:rPr>
            <w:webHidden/>
          </w:rPr>
          <w:fldChar w:fldCharType="separate"/>
        </w:r>
        <w:r w:rsidR="009D338D">
          <w:rPr>
            <w:webHidden/>
          </w:rPr>
          <w:t>34</w:t>
        </w:r>
        <w:r w:rsidR="00F45677">
          <w:rPr>
            <w:webHidden/>
          </w:rPr>
          <w:fldChar w:fldCharType="end"/>
        </w:r>
      </w:hyperlink>
    </w:p>
    <w:p w14:paraId="2D7797F0" w14:textId="1EA6644B" w:rsidR="00F45677" w:rsidRPr="00B04620" w:rsidRDefault="004B48CC">
      <w:pPr>
        <w:pStyle w:val="TOC2"/>
        <w:rPr>
          <w:sz w:val="22"/>
        </w:rPr>
      </w:pPr>
      <w:hyperlink w:anchor="_Toc99659104" w:history="1">
        <w:r w:rsidR="00F45677" w:rsidRPr="003A6FA4">
          <w:rPr>
            <w:rStyle w:val="Hyperlink"/>
          </w:rPr>
          <w:t xml:space="preserve">1.10 </w:t>
        </w:r>
        <w:r w:rsidR="00F45677" w:rsidRPr="00B04620">
          <w:rPr>
            <w:sz w:val="22"/>
          </w:rPr>
          <w:tab/>
        </w:r>
        <w:r w:rsidR="00F45677" w:rsidRPr="003A6FA4">
          <w:rPr>
            <w:rStyle w:val="Hyperlink"/>
          </w:rPr>
          <w:t>Improvements introduced</w:t>
        </w:r>
        <w:r w:rsidR="00F45677">
          <w:rPr>
            <w:webHidden/>
          </w:rPr>
          <w:tab/>
        </w:r>
        <w:r w:rsidR="00F45677">
          <w:rPr>
            <w:webHidden/>
          </w:rPr>
          <w:fldChar w:fldCharType="begin"/>
        </w:r>
        <w:r w:rsidR="00F45677">
          <w:rPr>
            <w:webHidden/>
          </w:rPr>
          <w:instrText xml:space="preserve"> PAGEREF _Toc99659104 \h </w:instrText>
        </w:r>
        <w:r w:rsidR="00F45677">
          <w:rPr>
            <w:webHidden/>
          </w:rPr>
        </w:r>
        <w:r w:rsidR="00F45677">
          <w:rPr>
            <w:webHidden/>
          </w:rPr>
          <w:fldChar w:fldCharType="separate"/>
        </w:r>
        <w:r w:rsidR="009D338D">
          <w:rPr>
            <w:webHidden/>
          </w:rPr>
          <w:t>35</w:t>
        </w:r>
        <w:r w:rsidR="00F45677">
          <w:rPr>
            <w:webHidden/>
          </w:rPr>
          <w:fldChar w:fldCharType="end"/>
        </w:r>
      </w:hyperlink>
    </w:p>
    <w:p w14:paraId="600C90FA" w14:textId="07DBD464" w:rsidR="00F45677" w:rsidRPr="00B04620" w:rsidRDefault="004B48CC">
      <w:pPr>
        <w:pStyle w:val="TOC2"/>
        <w:rPr>
          <w:sz w:val="22"/>
        </w:rPr>
      </w:pPr>
      <w:hyperlink w:anchor="_Toc99659105" w:history="1">
        <w:r w:rsidR="00F45677" w:rsidRPr="003A6FA4">
          <w:rPr>
            <w:rStyle w:val="Hyperlink"/>
          </w:rPr>
          <w:t>Chapter 1: References</w:t>
        </w:r>
        <w:r w:rsidR="00F45677">
          <w:rPr>
            <w:webHidden/>
          </w:rPr>
          <w:tab/>
        </w:r>
        <w:r w:rsidR="00F45677">
          <w:rPr>
            <w:webHidden/>
          </w:rPr>
          <w:fldChar w:fldCharType="begin"/>
        </w:r>
        <w:r w:rsidR="00F45677">
          <w:rPr>
            <w:webHidden/>
          </w:rPr>
          <w:instrText xml:space="preserve"> PAGEREF _Toc99659105 \h </w:instrText>
        </w:r>
        <w:r w:rsidR="00F45677">
          <w:rPr>
            <w:webHidden/>
          </w:rPr>
        </w:r>
        <w:r w:rsidR="00F45677">
          <w:rPr>
            <w:webHidden/>
          </w:rPr>
          <w:fldChar w:fldCharType="separate"/>
        </w:r>
        <w:r w:rsidR="009D338D">
          <w:rPr>
            <w:webHidden/>
          </w:rPr>
          <w:t>39</w:t>
        </w:r>
        <w:r w:rsidR="00F45677">
          <w:rPr>
            <w:webHidden/>
          </w:rPr>
          <w:fldChar w:fldCharType="end"/>
        </w:r>
      </w:hyperlink>
    </w:p>
    <w:p w14:paraId="5D22A8E6" w14:textId="32EA3C2A" w:rsidR="00F45677" w:rsidRPr="00B04620" w:rsidRDefault="004B48CC">
      <w:pPr>
        <w:pStyle w:val="TOC1"/>
        <w:rPr>
          <w:sz w:val="22"/>
        </w:rPr>
      </w:pPr>
      <w:hyperlink w:anchor="_Toc99659106" w:history="1">
        <w:r w:rsidR="00F45677" w:rsidRPr="003A6FA4">
          <w:rPr>
            <w:rStyle w:val="Hyperlink"/>
          </w:rPr>
          <w:t>Chapter 2: Trends in greenhouse gas emissions</w:t>
        </w:r>
        <w:r w:rsidR="00F45677">
          <w:rPr>
            <w:webHidden/>
          </w:rPr>
          <w:tab/>
        </w:r>
        <w:r w:rsidR="00F45677">
          <w:rPr>
            <w:webHidden/>
          </w:rPr>
          <w:fldChar w:fldCharType="begin"/>
        </w:r>
        <w:r w:rsidR="00F45677">
          <w:rPr>
            <w:webHidden/>
          </w:rPr>
          <w:instrText xml:space="preserve"> PAGEREF _Toc99659106 \h </w:instrText>
        </w:r>
        <w:r w:rsidR="00F45677">
          <w:rPr>
            <w:webHidden/>
          </w:rPr>
        </w:r>
        <w:r w:rsidR="00F45677">
          <w:rPr>
            <w:webHidden/>
          </w:rPr>
          <w:fldChar w:fldCharType="separate"/>
        </w:r>
        <w:r w:rsidR="009D338D">
          <w:rPr>
            <w:webHidden/>
          </w:rPr>
          <w:t>42</w:t>
        </w:r>
        <w:r w:rsidR="00F45677">
          <w:rPr>
            <w:webHidden/>
          </w:rPr>
          <w:fldChar w:fldCharType="end"/>
        </w:r>
      </w:hyperlink>
    </w:p>
    <w:p w14:paraId="15B676D8" w14:textId="73E36752" w:rsidR="00F45677" w:rsidRPr="00B04620" w:rsidRDefault="004B48CC">
      <w:pPr>
        <w:pStyle w:val="TOC2"/>
        <w:rPr>
          <w:sz w:val="22"/>
        </w:rPr>
      </w:pPr>
      <w:hyperlink w:anchor="_Toc99659107" w:history="1">
        <w:r w:rsidR="00F45677" w:rsidRPr="003A6FA4">
          <w:rPr>
            <w:rStyle w:val="Hyperlink"/>
          </w:rPr>
          <w:t xml:space="preserve">2.1 </w:t>
        </w:r>
        <w:r w:rsidR="00F45677" w:rsidRPr="00B04620">
          <w:rPr>
            <w:sz w:val="22"/>
          </w:rPr>
          <w:tab/>
        </w:r>
        <w:r w:rsidR="00F45677" w:rsidRPr="003A6FA4">
          <w:rPr>
            <w:rStyle w:val="Hyperlink"/>
          </w:rPr>
          <w:t>Emission trends for aggregated greenhouse gas emissions</w:t>
        </w:r>
        <w:r w:rsidR="00F45677">
          <w:rPr>
            <w:webHidden/>
          </w:rPr>
          <w:tab/>
        </w:r>
        <w:r w:rsidR="00F45677">
          <w:rPr>
            <w:webHidden/>
          </w:rPr>
          <w:fldChar w:fldCharType="begin"/>
        </w:r>
        <w:r w:rsidR="00F45677">
          <w:rPr>
            <w:webHidden/>
          </w:rPr>
          <w:instrText xml:space="preserve"> PAGEREF _Toc99659107 \h </w:instrText>
        </w:r>
        <w:r w:rsidR="00F45677">
          <w:rPr>
            <w:webHidden/>
          </w:rPr>
        </w:r>
        <w:r w:rsidR="00F45677">
          <w:rPr>
            <w:webHidden/>
          </w:rPr>
          <w:fldChar w:fldCharType="separate"/>
        </w:r>
        <w:r w:rsidR="009D338D">
          <w:rPr>
            <w:webHidden/>
          </w:rPr>
          <w:t>42</w:t>
        </w:r>
        <w:r w:rsidR="00F45677">
          <w:rPr>
            <w:webHidden/>
          </w:rPr>
          <w:fldChar w:fldCharType="end"/>
        </w:r>
      </w:hyperlink>
    </w:p>
    <w:p w14:paraId="13F9F68B" w14:textId="6D734A28" w:rsidR="00F45677" w:rsidRPr="00B04620" w:rsidRDefault="004B48CC">
      <w:pPr>
        <w:pStyle w:val="TOC2"/>
        <w:rPr>
          <w:sz w:val="22"/>
        </w:rPr>
      </w:pPr>
      <w:hyperlink w:anchor="_Toc99659108" w:history="1">
        <w:r w:rsidR="00F45677" w:rsidRPr="003A6FA4">
          <w:rPr>
            <w:rStyle w:val="Hyperlink"/>
          </w:rPr>
          <w:t xml:space="preserve">2.2 </w:t>
        </w:r>
        <w:r w:rsidR="00F45677" w:rsidRPr="00B04620">
          <w:rPr>
            <w:sz w:val="22"/>
          </w:rPr>
          <w:tab/>
        </w:r>
        <w:r w:rsidR="00F45677" w:rsidRPr="003A6FA4">
          <w:rPr>
            <w:rStyle w:val="Hyperlink"/>
          </w:rPr>
          <w:t>Emission trends by sector</w:t>
        </w:r>
        <w:r w:rsidR="00F45677">
          <w:rPr>
            <w:webHidden/>
          </w:rPr>
          <w:tab/>
        </w:r>
        <w:r w:rsidR="00F45677">
          <w:rPr>
            <w:webHidden/>
          </w:rPr>
          <w:fldChar w:fldCharType="begin"/>
        </w:r>
        <w:r w:rsidR="00F45677">
          <w:rPr>
            <w:webHidden/>
          </w:rPr>
          <w:instrText xml:space="preserve"> PAGEREF _Toc99659108 \h </w:instrText>
        </w:r>
        <w:r w:rsidR="00F45677">
          <w:rPr>
            <w:webHidden/>
          </w:rPr>
        </w:r>
        <w:r w:rsidR="00F45677">
          <w:rPr>
            <w:webHidden/>
          </w:rPr>
          <w:fldChar w:fldCharType="separate"/>
        </w:r>
        <w:r w:rsidR="009D338D">
          <w:rPr>
            <w:webHidden/>
          </w:rPr>
          <w:t>44</w:t>
        </w:r>
        <w:r w:rsidR="00F45677">
          <w:rPr>
            <w:webHidden/>
          </w:rPr>
          <w:fldChar w:fldCharType="end"/>
        </w:r>
      </w:hyperlink>
    </w:p>
    <w:p w14:paraId="7773DD34" w14:textId="03AB77EA" w:rsidR="00F45677" w:rsidRPr="00B04620" w:rsidRDefault="004B48CC">
      <w:pPr>
        <w:pStyle w:val="TOC2"/>
        <w:rPr>
          <w:sz w:val="22"/>
        </w:rPr>
      </w:pPr>
      <w:hyperlink w:anchor="_Toc99659109" w:history="1">
        <w:r w:rsidR="00F45677" w:rsidRPr="003A6FA4">
          <w:rPr>
            <w:rStyle w:val="Hyperlink"/>
          </w:rPr>
          <w:t xml:space="preserve">2.3 </w:t>
        </w:r>
        <w:r w:rsidR="00F45677" w:rsidRPr="00B04620">
          <w:rPr>
            <w:sz w:val="22"/>
          </w:rPr>
          <w:tab/>
        </w:r>
        <w:r w:rsidR="00F45677" w:rsidRPr="003A6FA4">
          <w:rPr>
            <w:rStyle w:val="Hyperlink"/>
          </w:rPr>
          <w:t>Activities under Article 3.3 and Article 3.4 of the Kyoto Protocol</w:t>
        </w:r>
        <w:r w:rsidR="00F45677">
          <w:rPr>
            <w:webHidden/>
          </w:rPr>
          <w:tab/>
        </w:r>
        <w:r w:rsidR="00F45677">
          <w:rPr>
            <w:webHidden/>
          </w:rPr>
          <w:fldChar w:fldCharType="begin"/>
        </w:r>
        <w:r w:rsidR="00F45677">
          <w:rPr>
            <w:webHidden/>
          </w:rPr>
          <w:instrText xml:space="preserve"> PAGEREF _Toc99659109 \h </w:instrText>
        </w:r>
        <w:r w:rsidR="00F45677">
          <w:rPr>
            <w:webHidden/>
          </w:rPr>
        </w:r>
        <w:r w:rsidR="00F45677">
          <w:rPr>
            <w:webHidden/>
          </w:rPr>
          <w:fldChar w:fldCharType="separate"/>
        </w:r>
        <w:r w:rsidR="009D338D">
          <w:rPr>
            <w:webHidden/>
          </w:rPr>
          <w:t>60</w:t>
        </w:r>
        <w:r w:rsidR="00F45677">
          <w:rPr>
            <w:webHidden/>
          </w:rPr>
          <w:fldChar w:fldCharType="end"/>
        </w:r>
      </w:hyperlink>
    </w:p>
    <w:p w14:paraId="32FA0243" w14:textId="5213207B" w:rsidR="00F45677" w:rsidRPr="00B04620" w:rsidRDefault="004B48CC">
      <w:pPr>
        <w:pStyle w:val="TOC2"/>
        <w:rPr>
          <w:sz w:val="22"/>
        </w:rPr>
      </w:pPr>
      <w:hyperlink w:anchor="_Toc99659110" w:history="1">
        <w:r w:rsidR="00F45677" w:rsidRPr="003A6FA4">
          <w:rPr>
            <w:rStyle w:val="Hyperlink"/>
          </w:rPr>
          <w:t>Chapter 2: References</w:t>
        </w:r>
        <w:r w:rsidR="00F45677">
          <w:rPr>
            <w:webHidden/>
          </w:rPr>
          <w:tab/>
        </w:r>
        <w:r w:rsidR="00F45677">
          <w:rPr>
            <w:webHidden/>
          </w:rPr>
          <w:fldChar w:fldCharType="begin"/>
        </w:r>
        <w:r w:rsidR="00F45677">
          <w:rPr>
            <w:webHidden/>
          </w:rPr>
          <w:instrText xml:space="preserve"> PAGEREF _Toc99659110 \h </w:instrText>
        </w:r>
        <w:r w:rsidR="00F45677">
          <w:rPr>
            <w:webHidden/>
          </w:rPr>
        </w:r>
        <w:r w:rsidR="00F45677">
          <w:rPr>
            <w:webHidden/>
          </w:rPr>
          <w:fldChar w:fldCharType="separate"/>
        </w:r>
        <w:r w:rsidR="009D338D">
          <w:rPr>
            <w:webHidden/>
          </w:rPr>
          <w:t>64</w:t>
        </w:r>
        <w:r w:rsidR="00F45677">
          <w:rPr>
            <w:webHidden/>
          </w:rPr>
          <w:fldChar w:fldCharType="end"/>
        </w:r>
      </w:hyperlink>
    </w:p>
    <w:p w14:paraId="3C358D3F" w14:textId="0936F557" w:rsidR="00F45677" w:rsidRPr="00B04620" w:rsidRDefault="004B48CC">
      <w:pPr>
        <w:pStyle w:val="TOC1"/>
        <w:rPr>
          <w:sz w:val="22"/>
        </w:rPr>
      </w:pPr>
      <w:hyperlink w:anchor="_Toc99659111" w:history="1">
        <w:r w:rsidR="00F45677" w:rsidRPr="003A6FA4">
          <w:rPr>
            <w:rStyle w:val="Hyperlink"/>
            <w:rFonts w:cs="Calibri"/>
            <w:lang w:eastAsia="en-GB"/>
          </w:rPr>
          <w:t>Chapter 3: Energy</w:t>
        </w:r>
        <w:r w:rsidR="00F45677">
          <w:rPr>
            <w:webHidden/>
          </w:rPr>
          <w:tab/>
        </w:r>
        <w:r w:rsidR="00F45677">
          <w:rPr>
            <w:webHidden/>
          </w:rPr>
          <w:fldChar w:fldCharType="begin"/>
        </w:r>
        <w:r w:rsidR="00F45677">
          <w:rPr>
            <w:webHidden/>
          </w:rPr>
          <w:instrText xml:space="preserve"> PAGEREF _Toc99659111 \h </w:instrText>
        </w:r>
        <w:r w:rsidR="00F45677">
          <w:rPr>
            <w:webHidden/>
          </w:rPr>
        </w:r>
        <w:r w:rsidR="00F45677">
          <w:rPr>
            <w:webHidden/>
          </w:rPr>
          <w:fldChar w:fldCharType="separate"/>
        </w:r>
        <w:r w:rsidR="009D338D">
          <w:rPr>
            <w:webHidden/>
          </w:rPr>
          <w:t>65</w:t>
        </w:r>
        <w:r w:rsidR="00F45677">
          <w:rPr>
            <w:webHidden/>
          </w:rPr>
          <w:fldChar w:fldCharType="end"/>
        </w:r>
      </w:hyperlink>
    </w:p>
    <w:p w14:paraId="6D78799C" w14:textId="5E488B44" w:rsidR="00F45677" w:rsidRPr="00B04620" w:rsidRDefault="004B48CC">
      <w:pPr>
        <w:pStyle w:val="TOC2"/>
        <w:rPr>
          <w:sz w:val="22"/>
        </w:rPr>
      </w:pPr>
      <w:hyperlink w:anchor="_Toc99659112" w:history="1">
        <w:r w:rsidR="00F45677" w:rsidRPr="003A6FA4">
          <w:rPr>
            <w:rStyle w:val="Hyperlink"/>
            <w:rFonts w:cs="Calibri"/>
          </w:rPr>
          <w:t>3.1</w:t>
        </w:r>
        <w:r w:rsidR="00F45677" w:rsidRPr="00B04620">
          <w:rPr>
            <w:sz w:val="22"/>
          </w:rPr>
          <w:tab/>
        </w:r>
        <w:r w:rsidR="00F45677" w:rsidRPr="003A6FA4">
          <w:rPr>
            <w:rStyle w:val="Hyperlink"/>
            <w:rFonts w:cs="Calibri"/>
          </w:rPr>
          <w:t>Sector overview</w:t>
        </w:r>
        <w:r w:rsidR="00F45677">
          <w:rPr>
            <w:webHidden/>
          </w:rPr>
          <w:tab/>
        </w:r>
        <w:r w:rsidR="00F45677">
          <w:rPr>
            <w:webHidden/>
          </w:rPr>
          <w:fldChar w:fldCharType="begin"/>
        </w:r>
        <w:r w:rsidR="00F45677">
          <w:rPr>
            <w:webHidden/>
          </w:rPr>
          <w:instrText xml:space="preserve"> PAGEREF _Toc99659112 \h </w:instrText>
        </w:r>
        <w:r w:rsidR="00F45677">
          <w:rPr>
            <w:webHidden/>
          </w:rPr>
        </w:r>
        <w:r w:rsidR="00F45677">
          <w:rPr>
            <w:webHidden/>
          </w:rPr>
          <w:fldChar w:fldCharType="separate"/>
        </w:r>
        <w:r w:rsidR="009D338D">
          <w:rPr>
            <w:webHidden/>
          </w:rPr>
          <w:t>65</w:t>
        </w:r>
        <w:r w:rsidR="00F45677">
          <w:rPr>
            <w:webHidden/>
          </w:rPr>
          <w:fldChar w:fldCharType="end"/>
        </w:r>
      </w:hyperlink>
    </w:p>
    <w:p w14:paraId="41DE39B4" w14:textId="2BF4841D" w:rsidR="00F45677" w:rsidRPr="00B04620" w:rsidRDefault="004B48CC">
      <w:pPr>
        <w:pStyle w:val="TOC2"/>
        <w:rPr>
          <w:sz w:val="22"/>
        </w:rPr>
      </w:pPr>
      <w:hyperlink w:anchor="_Toc99659113" w:history="1">
        <w:r w:rsidR="00F45677" w:rsidRPr="003A6FA4">
          <w:rPr>
            <w:rStyle w:val="Hyperlink"/>
            <w:rFonts w:cs="Calibri"/>
          </w:rPr>
          <w:t>3.2</w:t>
        </w:r>
        <w:r w:rsidR="00F45677" w:rsidRPr="00B04620">
          <w:rPr>
            <w:sz w:val="22"/>
          </w:rPr>
          <w:tab/>
        </w:r>
        <w:r w:rsidR="00F45677" w:rsidRPr="003A6FA4">
          <w:rPr>
            <w:rStyle w:val="Hyperlink"/>
            <w:rFonts w:cs="Calibri"/>
          </w:rPr>
          <w:t>Background information</w:t>
        </w:r>
        <w:r w:rsidR="00F45677">
          <w:rPr>
            <w:webHidden/>
          </w:rPr>
          <w:tab/>
        </w:r>
        <w:r w:rsidR="00F45677">
          <w:rPr>
            <w:webHidden/>
          </w:rPr>
          <w:fldChar w:fldCharType="begin"/>
        </w:r>
        <w:r w:rsidR="00F45677">
          <w:rPr>
            <w:webHidden/>
          </w:rPr>
          <w:instrText xml:space="preserve"> PAGEREF _Toc99659113 \h </w:instrText>
        </w:r>
        <w:r w:rsidR="00F45677">
          <w:rPr>
            <w:webHidden/>
          </w:rPr>
        </w:r>
        <w:r w:rsidR="00F45677">
          <w:rPr>
            <w:webHidden/>
          </w:rPr>
          <w:fldChar w:fldCharType="separate"/>
        </w:r>
        <w:r w:rsidR="009D338D">
          <w:rPr>
            <w:webHidden/>
          </w:rPr>
          <w:t>68</w:t>
        </w:r>
        <w:r w:rsidR="00F45677">
          <w:rPr>
            <w:webHidden/>
          </w:rPr>
          <w:fldChar w:fldCharType="end"/>
        </w:r>
      </w:hyperlink>
    </w:p>
    <w:p w14:paraId="055874C1" w14:textId="7F9B208C" w:rsidR="00F45677" w:rsidRPr="00B04620" w:rsidRDefault="004B48CC">
      <w:pPr>
        <w:pStyle w:val="TOC2"/>
        <w:rPr>
          <w:sz w:val="22"/>
        </w:rPr>
      </w:pPr>
      <w:hyperlink w:anchor="_Toc99659114" w:history="1">
        <w:r w:rsidR="00F45677" w:rsidRPr="003A6FA4">
          <w:rPr>
            <w:rStyle w:val="Hyperlink"/>
            <w:rFonts w:cs="Calibri"/>
          </w:rPr>
          <w:t>3.3</w:t>
        </w:r>
        <w:r w:rsidR="00F45677" w:rsidRPr="00B04620">
          <w:rPr>
            <w:sz w:val="22"/>
          </w:rPr>
          <w:tab/>
        </w:r>
        <w:r w:rsidR="00F45677" w:rsidRPr="003A6FA4">
          <w:rPr>
            <w:rStyle w:val="Hyperlink"/>
            <w:rFonts w:cs="Calibri"/>
          </w:rPr>
          <w:t>Fuel combustion (CRF 1.A)</w:t>
        </w:r>
        <w:r w:rsidR="00F45677">
          <w:rPr>
            <w:webHidden/>
          </w:rPr>
          <w:tab/>
        </w:r>
        <w:r w:rsidR="00F45677">
          <w:rPr>
            <w:webHidden/>
          </w:rPr>
          <w:fldChar w:fldCharType="begin"/>
        </w:r>
        <w:r w:rsidR="00F45677">
          <w:rPr>
            <w:webHidden/>
          </w:rPr>
          <w:instrText xml:space="preserve"> PAGEREF _Toc99659114 \h </w:instrText>
        </w:r>
        <w:r w:rsidR="00F45677">
          <w:rPr>
            <w:webHidden/>
          </w:rPr>
        </w:r>
        <w:r w:rsidR="00F45677">
          <w:rPr>
            <w:webHidden/>
          </w:rPr>
          <w:fldChar w:fldCharType="separate"/>
        </w:r>
        <w:r w:rsidR="009D338D">
          <w:rPr>
            <w:webHidden/>
          </w:rPr>
          <w:t>71</w:t>
        </w:r>
        <w:r w:rsidR="00F45677">
          <w:rPr>
            <w:webHidden/>
          </w:rPr>
          <w:fldChar w:fldCharType="end"/>
        </w:r>
      </w:hyperlink>
    </w:p>
    <w:p w14:paraId="2D83B2BB" w14:textId="18914C83" w:rsidR="00F45677" w:rsidRPr="00B04620" w:rsidRDefault="004B48CC">
      <w:pPr>
        <w:pStyle w:val="TOC2"/>
        <w:rPr>
          <w:sz w:val="22"/>
        </w:rPr>
      </w:pPr>
      <w:hyperlink w:anchor="_Toc99659115" w:history="1">
        <w:r w:rsidR="00F45677" w:rsidRPr="003A6FA4">
          <w:rPr>
            <w:rStyle w:val="Hyperlink"/>
            <w:rFonts w:cs="Calibri"/>
          </w:rPr>
          <w:t>3.4</w:t>
        </w:r>
        <w:r w:rsidR="00F45677" w:rsidRPr="00B04620">
          <w:rPr>
            <w:sz w:val="22"/>
          </w:rPr>
          <w:tab/>
        </w:r>
        <w:r w:rsidR="00F45677" w:rsidRPr="003A6FA4">
          <w:rPr>
            <w:rStyle w:val="Hyperlink"/>
            <w:rFonts w:cs="Calibri"/>
          </w:rPr>
          <w:t>Fugitive emissions from fuels (CRF 1.B)</w:t>
        </w:r>
        <w:r w:rsidR="00F45677">
          <w:rPr>
            <w:webHidden/>
          </w:rPr>
          <w:tab/>
        </w:r>
        <w:r w:rsidR="00F45677">
          <w:rPr>
            <w:webHidden/>
          </w:rPr>
          <w:fldChar w:fldCharType="begin"/>
        </w:r>
        <w:r w:rsidR="00F45677">
          <w:rPr>
            <w:webHidden/>
          </w:rPr>
          <w:instrText xml:space="preserve"> PAGEREF _Toc99659115 \h </w:instrText>
        </w:r>
        <w:r w:rsidR="00F45677">
          <w:rPr>
            <w:webHidden/>
          </w:rPr>
        </w:r>
        <w:r w:rsidR="00F45677">
          <w:rPr>
            <w:webHidden/>
          </w:rPr>
          <w:fldChar w:fldCharType="separate"/>
        </w:r>
        <w:r w:rsidR="009D338D">
          <w:rPr>
            <w:webHidden/>
          </w:rPr>
          <w:t>102</w:t>
        </w:r>
        <w:r w:rsidR="00F45677">
          <w:rPr>
            <w:webHidden/>
          </w:rPr>
          <w:fldChar w:fldCharType="end"/>
        </w:r>
      </w:hyperlink>
    </w:p>
    <w:p w14:paraId="306C86A0" w14:textId="0643A35A" w:rsidR="00F45677" w:rsidRPr="00B04620" w:rsidRDefault="004B48CC">
      <w:pPr>
        <w:pStyle w:val="TOC2"/>
        <w:rPr>
          <w:sz w:val="22"/>
        </w:rPr>
      </w:pPr>
      <w:hyperlink w:anchor="_Toc99659116" w:history="1">
        <w:r w:rsidR="00F45677" w:rsidRPr="003A6FA4">
          <w:rPr>
            <w:rStyle w:val="Hyperlink"/>
            <w:rFonts w:cs="Calibri"/>
          </w:rPr>
          <w:t>Chapter 3: References</w:t>
        </w:r>
        <w:r w:rsidR="00F45677">
          <w:rPr>
            <w:webHidden/>
          </w:rPr>
          <w:tab/>
        </w:r>
        <w:r w:rsidR="00F45677">
          <w:rPr>
            <w:webHidden/>
          </w:rPr>
          <w:fldChar w:fldCharType="begin"/>
        </w:r>
        <w:r w:rsidR="00F45677">
          <w:rPr>
            <w:webHidden/>
          </w:rPr>
          <w:instrText xml:space="preserve"> PAGEREF _Toc99659116 \h </w:instrText>
        </w:r>
        <w:r w:rsidR="00F45677">
          <w:rPr>
            <w:webHidden/>
          </w:rPr>
        </w:r>
        <w:r w:rsidR="00F45677">
          <w:rPr>
            <w:webHidden/>
          </w:rPr>
          <w:fldChar w:fldCharType="separate"/>
        </w:r>
        <w:r w:rsidR="009D338D">
          <w:rPr>
            <w:webHidden/>
          </w:rPr>
          <w:t>112</w:t>
        </w:r>
        <w:r w:rsidR="00F45677">
          <w:rPr>
            <w:webHidden/>
          </w:rPr>
          <w:fldChar w:fldCharType="end"/>
        </w:r>
      </w:hyperlink>
    </w:p>
    <w:p w14:paraId="4E758808" w14:textId="4CC464B1" w:rsidR="00F45677" w:rsidRPr="00B04620" w:rsidRDefault="004B48CC">
      <w:pPr>
        <w:pStyle w:val="TOC1"/>
        <w:rPr>
          <w:sz w:val="22"/>
        </w:rPr>
      </w:pPr>
      <w:hyperlink w:anchor="_Toc99659117" w:history="1">
        <w:r w:rsidR="00F45677" w:rsidRPr="003A6FA4">
          <w:rPr>
            <w:rStyle w:val="Hyperlink"/>
          </w:rPr>
          <w:t>Chapter 4: Industrial Processes and Product Use (IPPU)</w:t>
        </w:r>
        <w:r w:rsidR="00F45677">
          <w:rPr>
            <w:webHidden/>
          </w:rPr>
          <w:tab/>
        </w:r>
        <w:r w:rsidR="00F45677">
          <w:rPr>
            <w:webHidden/>
          </w:rPr>
          <w:fldChar w:fldCharType="begin"/>
        </w:r>
        <w:r w:rsidR="00F45677">
          <w:rPr>
            <w:webHidden/>
          </w:rPr>
          <w:instrText xml:space="preserve"> PAGEREF _Toc99659117 \h </w:instrText>
        </w:r>
        <w:r w:rsidR="00F45677">
          <w:rPr>
            <w:webHidden/>
          </w:rPr>
        </w:r>
        <w:r w:rsidR="00F45677">
          <w:rPr>
            <w:webHidden/>
          </w:rPr>
          <w:fldChar w:fldCharType="separate"/>
        </w:r>
        <w:r w:rsidR="009D338D">
          <w:rPr>
            <w:webHidden/>
          </w:rPr>
          <w:t>114</w:t>
        </w:r>
        <w:r w:rsidR="00F45677">
          <w:rPr>
            <w:webHidden/>
          </w:rPr>
          <w:fldChar w:fldCharType="end"/>
        </w:r>
      </w:hyperlink>
    </w:p>
    <w:p w14:paraId="0DF087EE" w14:textId="3272860F" w:rsidR="00F45677" w:rsidRPr="00B04620" w:rsidRDefault="004B48CC">
      <w:pPr>
        <w:pStyle w:val="TOC2"/>
        <w:rPr>
          <w:sz w:val="22"/>
        </w:rPr>
      </w:pPr>
      <w:hyperlink w:anchor="_Toc99659118" w:history="1">
        <w:r w:rsidR="00F45677" w:rsidRPr="003A6FA4">
          <w:rPr>
            <w:rStyle w:val="Hyperlink"/>
          </w:rPr>
          <w:t xml:space="preserve">4.1 </w:t>
        </w:r>
        <w:r w:rsidR="00F45677" w:rsidRPr="00B04620">
          <w:rPr>
            <w:sz w:val="22"/>
          </w:rPr>
          <w:tab/>
        </w:r>
        <w:r w:rsidR="00F45677" w:rsidRPr="003A6FA4">
          <w:rPr>
            <w:rStyle w:val="Hyperlink"/>
          </w:rPr>
          <w:t>Sector overview</w:t>
        </w:r>
        <w:r w:rsidR="00F45677">
          <w:rPr>
            <w:webHidden/>
          </w:rPr>
          <w:tab/>
        </w:r>
        <w:r w:rsidR="00F45677">
          <w:rPr>
            <w:webHidden/>
          </w:rPr>
          <w:fldChar w:fldCharType="begin"/>
        </w:r>
        <w:r w:rsidR="00F45677">
          <w:rPr>
            <w:webHidden/>
          </w:rPr>
          <w:instrText xml:space="preserve"> PAGEREF _Toc99659118 \h </w:instrText>
        </w:r>
        <w:r w:rsidR="00F45677">
          <w:rPr>
            <w:webHidden/>
          </w:rPr>
        </w:r>
        <w:r w:rsidR="00F45677">
          <w:rPr>
            <w:webHidden/>
          </w:rPr>
          <w:fldChar w:fldCharType="separate"/>
        </w:r>
        <w:r w:rsidR="009D338D">
          <w:rPr>
            <w:webHidden/>
          </w:rPr>
          <w:t>114</w:t>
        </w:r>
        <w:r w:rsidR="00F45677">
          <w:rPr>
            <w:webHidden/>
          </w:rPr>
          <w:fldChar w:fldCharType="end"/>
        </w:r>
      </w:hyperlink>
    </w:p>
    <w:p w14:paraId="5F9B73F3" w14:textId="4EFE00BF" w:rsidR="00F45677" w:rsidRPr="00B04620" w:rsidRDefault="004B48CC">
      <w:pPr>
        <w:pStyle w:val="TOC2"/>
        <w:rPr>
          <w:sz w:val="22"/>
        </w:rPr>
      </w:pPr>
      <w:hyperlink w:anchor="_Toc99659119" w:history="1">
        <w:r w:rsidR="00F45677" w:rsidRPr="003A6FA4">
          <w:rPr>
            <w:rStyle w:val="Hyperlink"/>
          </w:rPr>
          <w:t>4.2</w:t>
        </w:r>
        <w:r w:rsidR="00F45677" w:rsidRPr="00B04620">
          <w:rPr>
            <w:sz w:val="22"/>
          </w:rPr>
          <w:tab/>
        </w:r>
        <w:r w:rsidR="00F45677" w:rsidRPr="003A6FA4">
          <w:rPr>
            <w:rStyle w:val="Hyperlink"/>
          </w:rPr>
          <w:t>Mineral industry (2.A)</w:t>
        </w:r>
        <w:r w:rsidR="00F45677">
          <w:rPr>
            <w:webHidden/>
          </w:rPr>
          <w:tab/>
        </w:r>
        <w:r w:rsidR="00F45677">
          <w:rPr>
            <w:webHidden/>
          </w:rPr>
          <w:fldChar w:fldCharType="begin"/>
        </w:r>
        <w:r w:rsidR="00F45677">
          <w:rPr>
            <w:webHidden/>
          </w:rPr>
          <w:instrText xml:space="preserve"> PAGEREF _Toc99659119 \h </w:instrText>
        </w:r>
        <w:r w:rsidR="00F45677">
          <w:rPr>
            <w:webHidden/>
          </w:rPr>
        </w:r>
        <w:r w:rsidR="00F45677">
          <w:rPr>
            <w:webHidden/>
          </w:rPr>
          <w:fldChar w:fldCharType="separate"/>
        </w:r>
        <w:r w:rsidR="009D338D">
          <w:rPr>
            <w:webHidden/>
          </w:rPr>
          <w:t>119</w:t>
        </w:r>
        <w:r w:rsidR="00F45677">
          <w:rPr>
            <w:webHidden/>
          </w:rPr>
          <w:fldChar w:fldCharType="end"/>
        </w:r>
      </w:hyperlink>
    </w:p>
    <w:p w14:paraId="69BC1DD9" w14:textId="2C39FB5D" w:rsidR="00F45677" w:rsidRPr="00B04620" w:rsidRDefault="004B48CC">
      <w:pPr>
        <w:pStyle w:val="TOC2"/>
        <w:rPr>
          <w:sz w:val="22"/>
        </w:rPr>
      </w:pPr>
      <w:hyperlink w:anchor="_Toc99659120" w:history="1">
        <w:r w:rsidR="00F45677" w:rsidRPr="003A6FA4">
          <w:rPr>
            <w:rStyle w:val="Hyperlink"/>
          </w:rPr>
          <w:t>4.3</w:t>
        </w:r>
        <w:r w:rsidR="00F45677" w:rsidRPr="00B04620">
          <w:rPr>
            <w:sz w:val="22"/>
          </w:rPr>
          <w:tab/>
        </w:r>
        <w:r w:rsidR="00F45677" w:rsidRPr="003A6FA4">
          <w:rPr>
            <w:rStyle w:val="Hyperlink"/>
          </w:rPr>
          <w:t>Chemical industry (2.B)</w:t>
        </w:r>
        <w:r w:rsidR="00F45677">
          <w:rPr>
            <w:webHidden/>
          </w:rPr>
          <w:tab/>
        </w:r>
        <w:r w:rsidR="00F45677">
          <w:rPr>
            <w:webHidden/>
          </w:rPr>
          <w:fldChar w:fldCharType="begin"/>
        </w:r>
        <w:r w:rsidR="00F45677">
          <w:rPr>
            <w:webHidden/>
          </w:rPr>
          <w:instrText xml:space="preserve"> PAGEREF _Toc99659120 \h </w:instrText>
        </w:r>
        <w:r w:rsidR="00F45677">
          <w:rPr>
            <w:webHidden/>
          </w:rPr>
        </w:r>
        <w:r w:rsidR="00F45677">
          <w:rPr>
            <w:webHidden/>
          </w:rPr>
          <w:fldChar w:fldCharType="separate"/>
        </w:r>
        <w:r w:rsidR="009D338D">
          <w:rPr>
            <w:webHidden/>
          </w:rPr>
          <w:t>124</w:t>
        </w:r>
        <w:r w:rsidR="00F45677">
          <w:rPr>
            <w:webHidden/>
          </w:rPr>
          <w:fldChar w:fldCharType="end"/>
        </w:r>
      </w:hyperlink>
    </w:p>
    <w:p w14:paraId="70D1EF3C" w14:textId="3A852F8F" w:rsidR="00F45677" w:rsidRPr="00B04620" w:rsidRDefault="004B48CC">
      <w:pPr>
        <w:pStyle w:val="TOC2"/>
        <w:rPr>
          <w:sz w:val="22"/>
        </w:rPr>
      </w:pPr>
      <w:hyperlink w:anchor="_Toc99659121" w:history="1">
        <w:r w:rsidR="00F45677" w:rsidRPr="003A6FA4">
          <w:rPr>
            <w:rStyle w:val="Hyperlink"/>
          </w:rPr>
          <w:t>4.4</w:t>
        </w:r>
        <w:r w:rsidR="00F45677" w:rsidRPr="00B04620">
          <w:rPr>
            <w:sz w:val="22"/>
          </w:rPr>
          <w:tab/>
        </w:r>
        <w:r w:rsidR="00F45677" w:rsidRPr="003A6FA4">
          <w:rPr>
            <w:rStyle w:val="Hyperlink"/>
          </w:rPr>
          <w:t>Metal industry (2.C)</w:t>
        </w:r>
        <w:r w:rsidR="00F45677">
          <w:rPr>
            <w:webHidden/>
          </w:rPr>
          <w:tab/>
        </w:r>
        <w:r w:rsidR="00F45677">
          <w:rPr>
            <w:webHidden/>
          </w:rPr>
          <w:fldChar w:fldCharType="begin"/>
        </w:r>
        <w:r w:rsidR="00F45677">
          <w:rPr>
            <w:webHidden/>
          </w:rPr>
          <w:instrText xml:space="preserve"> PAGEREF _Toc99659121 \h </w:instrText>
        </w:r>
        <w:r w:rsidR="00F45677">
          <w:rPr>
            <w:webHidden/>
          </w:rPr>
        </w:r>
        <w:r w:rsidR="00F45677">
          <w:rPr>
            <w:webHidden/>
          </w:rPr>
          <w:fldChar w:fldCharType="separate"/>
        </w:r>
        <w:r w:rsidR="009D338D">
          <w:rPr>
            <w:webHidden/>
          </w:rPr>
          <w:t>128</w:t>
        </w:r>
        <w:r w:rsidR="00F45677">
          <w:rPr>
            <w:webHidden/>
          </w:rPr>
          <w:fldChar w:fldCharType="end"/>
        </w:r>
      </w:hyperlink>
    </w:p>
    <w:p w14:paraId="40D3D618" w14:textId="62098499" w:rsidR="00F45677" w:rsidRPr="00B04620" w:rsidRDefault="004B48CC">
      <w:pPr>
        <w:pStyle w:val="TOC2"/>
        <w:rPr>
          <w:sz w:val="22"/>
        </w:rPr>
      </w:pPr>
      <w:hyperlink w:anchor="_Toc99659122" w:history="1">
        <w:r w:rsidR="00F45677" w:rsidRPr="003A6FA4">
          <w:rPr>
            <w:rStyle w:val="Hyperlink"/>
          </w:rPr>
          <w:t>4.5</w:t>
        </w:r>
        <w:r w:rsidR="00F45677" w:rsidRPr="00B04620">
          <w:rPr>
            <w:sz w:val="22"/>
          </w:rPr>
          <w:tab/>
        </w:r>
        <w:r w:rsidR="00F45677" w:rsidRPr="003A6FA4">
          <w:rPr>
            <w:rStyle w:val="Hyperlink"/>
          </w:rPr>
          <w:t>Non-energy products from fuels and solvent use (2.D)</w:t>
        </w:r>
        <w:r w:rsidR="00F45677">
          <w:rPr>
            <w:webHidden/>
          </w:rPr>
          <w:tab/>
        </w:r>
        <w:r w:rsidR="00F45677">
          <w:rPr>
            <w:webHidden/>
          </w:rPr>
          <w:fldChar w:fldCharType="begin"/>
        </w:r>
        <w:r w:rsidR="00F45677">
          <w:rPr>
            <w:webHidden/>
          </w:rPr>
          <w:instrText xml:space="preserve"> PAGEREF _Toc99659122 \h </w:instrText>
        </w:r>
        <w:r w:rsidR="00F45677">
          <w:rPr>
            <w:webHidden/>
          </w:rPr>
        </w:r>
        <w:r w:rsidR="00F45677">
          <w:rPr>
            <w:webHidden/>
          </w:rPr>
          <w:fldChar w:fldCharType="separate"/>
        </w:r>
        <w:r w:rsidR="009D338D">
          <w:rPr>
            <w:webHidden/>
          </w:rPr>
          <w:t>134</w:t>
        </w:r>
        <w:r w:rsidR="00F45677">
          <w:rPr>
            <w:webHidden/>
          </w:rPr>
          <w:fldChar w:fldCharType="end"/>
        </w:r>
      </w:hyperlink>
    </w:p>
    <w:p w14:paraId="19C935F5" w14:textId="4792165B" w:rsidR="00F45677" w:rsidRPr="00B04620" w:rsidRDefault="004B48CC">
      <w:pPr>
        <w:pStyle w:val="TOC2"/>
        <w:rPr>
          <w:sz w:val="22"/>
        </w:rPr>
      </w:pPr>
      <w:hyperlink w:anchor="_Toc99659123" w:history="1">
        <w:r w:rsidR="00F45677" w:rsidRPr="003A6FA4">
          <w:rPr>
            <w:rStyle w:val="Hyperlink"/>
          </w:rPr>
          <w:t>4.6</w:t>
        </w:r>
        <w:r w:rsidR="00F45677" w:rsidRPr="00B04620">
          <w:rPr>
            <w:sz w:val="22"/>
          </w:rPr>
          <w:tab/>
        </w:r>
        <w:r w:rsidR="00F45677" w:rsidRPr="003A6FA4">
          <w:rPr>
            <w:rStyle w:val="Hyperlink"/>
          </w:rPr>
          <w:t>Electronics industry (2.E)</w:t>
        </w:r>
        <w:r w:rsidR="00F45677">
          <w:rPr>
            <w:webHidden/>
          </w:rPr>
          <w:tab/>
        </w:r>
        <w:r w:rsidR="00F45677">
          <w:rPr>
            <w:webHidden/>
          </w:rPr>
          <w:fldChar w:fldCharType="begin"/>
        </w:r>
        <w:r w:rsidR="00F45677">
          <w:rPr>
            <w:webHidden/>
          </w:rPr>
          <w:instrText xml:space="preserve"> PAGEREF _Toc99659123 \h </w:instrText>
        </w:r>
        <w:r w:rsidR="00F45677">
          <w:rPr>
            <w:webHidden/>
          </w:rPr>
        </w:r>
        <w:r w:rsidR="00F45677">
          <w:rPr>
            <w:webHidden/>
          </w:rPr>
          <w:fldChar w:fldCharType="separate"/>
        </w:r>
        <w:r w:rsidR="009D338D">
          <w:rPr>
            <w:webHidden/>
          </w:rPr>
          <w:t>137</w:t>
        </w:r>
        <w:r w:rsidR="00F45677">
          <w:rPr>
            <w:webHidden/>
          </w:rPr>
          <w:fldChar w:fldCharType="end"/>
        </w:r>
      </w:hyperlink>
    </w:p>
    <w:p w14:paraId="5727A64F" w14:textId="5938AEF0" w:rsidR="00F45677" w:rsidRPr="00B04620" w:rsidRDefault="004B48CC">
      <w:pPr>
        <w:pStyle w:val="TOC2"/>
        <w:rPr>
          <w:sz w:val="22"/>
        </w:rPr>
      </w:pPr>
      <w:hyperlink w:anchor="_Toc99659124" w:history="1">
        <w:r w:rsidR="00F45677" w:rsidRPr="003A6FA4">
          <w:rPr>
            <w:rStyle w:val="Hyperlink"/>
          </w:rPr>
          <w:t>4.7</w:t>
        </w:r>
        <w:r w:rsidR="00F45677" w:rsidRPr="00B04620">
          <w:rPr>
            <w:sz w:val="22"/>
          </w:rPr>
          <w:tab/>
        </w:r>
        <w:r w:rsidR="00F45677" w:rsidRPr="003A6FA4">
          <w:rPr>
            <w:rStyle w:val="Hyperlink"/>
          </w:rPr>
          <w:t>Product uses as substitutes for ODS (2.F)</w:t>
        </w:r>
        <w:r w:rsidR="00F45677">
          <w:rPr>
            <w:webHidden/>
          </w:rPr>
          <w:tab/>
        </w:r>
        <w:r w:rsidR="00F45677">
          <w:rPr>
            <w:webHidden/>
          </w:rPr>
          <w:fldChar w:fldCharType="begin"/>
        </w:r>
        <w:r w:rsidR="00F45677">
          <w:rPr>
            <w:webHidden/>
          </w:rPr>
          <w:instrText xml:space="preserve"> PAGEREF _Toc99659124 \h </w:instrText>
        </w:r>
        <w:r w:rsidR="00F45677">
          <w:rPr>
            <w:webHidden/>
          </w:rPr>
        </w:r>
        <w:r w:rsidR="00F45677">
          <w:rPr>
            <w:webHidden/>
          </w:rPr>
          <w:fldChar w:fldCharType="separate"/>
        </w:r>
        <w:r w:rsidR="009D338D">
          <w:rPr>
            <w:webHidden/>
          </w:rPr>
          <w:t>137</w:t>
        </w:r>
        <w:r w:rsidR="00F45677">
          <w:rPr>
            <w:webHidden/>
          </w:rPr>
          <w:fldChar w:fldCharType="end"/>
        </w:r>
      </w:hyperlink>
    </w:p>
    <w:p w14:paraId="27240848" w14:textId="7747155A" w:rsidR="00F45677" w:rsidRPr="00B04620" w:rsidRDefault="004B48CC">
      <w:pPr>
        <w:pStyle w:val="TOC2"/>
        <w:rPr>
          <w:sz w:val="22"/>
        </w:rPr>
      </w:pPr>
      <w:hyperlink w:anchor="_Toc99659125" w:history="1">
        <w:r w:rsidR="00F45677" w:rsidRPr="003A6FA4">
          <w:rPr>
            <w:rStyle w:val="Hyperlink"/>
          </w:rPr>
          <w:t>4.8</w:t>
        </w:r>
        <w:r w:rsidR="00F45677" w:rsidRPr="00B04620">
          <w:rPr>
            <w:sz w:val="22"/>
          </w:rPr>
          <w:tab/>
        </w:r>
        <w:r w:rsidR="00F45677" w:rsidRPr="003A6FA4">
          <w:rPr>
            <w:rStyle w:val="Hyperlink"/>
          </w:rPr>
          <w:t>Other product manufacture and use (2.G)</w:t>
        </w:r>
        <w:r w:rsidR="00F45677">
          <w:rPr>
            <w:webHidden/>
          </w:rPr>
          <w:tab/>
        </w:r>
        <w:r w:rsidR="00F45677">
          <w:rPr>
            <w:webHidden/>
          </w:rPr>
          <w:fldChar w:fldCharType="begin"/>
        </w:r>
        <w:r w:rsidR="00F45677">
          <w:rPr>
            <w:webHidden/>
          </w:rPr>
          <w:instrText xml:space="preserve"> PAGEREF _Toc99659125 \h </w:instrText>
        </w:r>
        <w:r w:rsidR="00F45677">
          <w:rPr>
            <w:webHidden/>
          </w:rPr>
        </w:r>
        <w:r w:rsidR="00F45677">
          <w:rPr>
            <w:webHidden/>
          </w:rPr>
          <w:fldChar w:fldCharType="separate"/>
        </w:r>
        <w:r w:rsidR="009D338D">
          <w:rPr>
            <w:webHidden/>
          </w:rPr>
          <w:t>145</w:t>
        </w:r>
        <w:r w:rsidR="00F45677">
          <w:rPr>
            <w:webHidden/>
          </w:rPr>
          <w:fldChar w:fldCharType="end"/>
        </w:r>
      </w:hyperlink>
    </w:p>
    <w:p w14:paraId="2C5E74FE" w14:textId="2E0857FE" w:rsidR="00F45677" w:rsidRPr="00B04620" w:rsidRDefault="004B48CC">
      <w:pPr>
        <w:pStyle w:val="TOC2"/>
        <w:rPr>
          <w:sz w:val="22"/>
        </w:rPr>
      </w:pPr>
      <w:hyperlink w:anchor="_Toc99659126" w:history="1">
        <w:r w:rsidR="00F45677" w:rsidRPr="003A6FA4">
          <w:rPr>
            <w:rStyle w:val="Hyperlink"/>
          </w:rPr>
          <w:t>Chapter 4: References</w:t>
        </w:r>
        <w:r w:rsidR="00F45677">
          <w:rPr>
            <w:webHidden/>
          </w:rPr>
          <w:tab/>
        </w:r>
        <w:r w:rsidR="00F45677">
          <w:rPr>
            <w:webHidden/>
          </w:rPr>
          <w:fldChar w:fldCharType="begin"/>
        </w:r>
        <w:r w:rsidR="00F45677">
          <w:rPr>
            <w:webHidden/>
          </w:rPr>
          <w:instrText xml:space="preserve"> PAGEREF _Toc99659126 \h </w:instrText>
        </w:r>
        <w:r w:rsidR="00F45677">
          <w:rPr>
            <w:webHidden/>
          </w:rPr>
        </w:r>
        <w:r w:rsidR="00F45677">
          <w:rPr>
            <w:webHidden/>
          </w:rPr>
          <w:fldChar w:fldCharType="separate"/>
        </w:r>
        <w:r w:rsidR="009D338D">
          <w:rPr>
            <w:webHidden/>
          </w:rPr>
          <w:t>148</w:t>
        </w:r>
        <w:r w:rsidR="00F45677">
          <w:rPr>
            <w:webHidden/>
          </w:rPr>
          <w:fldChar w:fldCharType="end"/>
        </w:r>
      </w:hyperlink>
    </w:p>
    <w:p w14:paraId="3EBB0F03" w14:textId="407E01EF" w:rsidR="00F45677" w:rsidRPr="00B04620" w:rsidRDefault="004B48CC">
      <w:pPr>
        <w:pStyle w:val="TOC1"/>
        <w:rPr>
          <w:sz w:val="22"/>
        </w:rPr>
      </w:pPr>
      <w:hyperlink w:anchor="_Toc99659127" w:history="1">
        <w:r w:rsidR="00F45677" w:rsidRPr="003A6FA4">
          <w:rPr>
            <w:rStyle w:val="Hyperlink"/>
          </w:rPr>
          <w:t>Chapter 5: Agriculture</w:t>
        </w:r>
        <w:r w:rsidR="00F45677">
          <w:rPr>
            <w:webHidden/>
          </w:rPr>
          <w:tab/>
        </w:r>
        <w:r w:rsidR="00F45677">
          <w:rPr>
            <w:webHidden/>
          </w:rPr>
          <w:fldChar w:fldCharType="begin"/>
        </w:r>
        <w:r w:rsidR="00F45677">
          <w:rPr>
            <w:webHidden/>
          </w:rPr>
          <w:instrText xml:space="preserve"> PAGEREF _Toc99659127 \h </w:instrText>
        </w:r>
        <w:r w:rsidR="00F45677">
          <w:rPr>
            <w:webHidden/>
          </w:rPr>
        </w:r>
        <w:r w:rsidR="00F45677">
          <w:rPr>
            <w:webHidden/>
          </w:rPr>
          <w:fldChar w:fldCharType="separate"/>
        </w:r>
        <w:r w:rsidR="009D338D">
          <w:rPr>
            <w:webHidden/>
          </w:rPr>
          <w:t>149</w:t>
        </w:r>
        <w:r w:rsidR="00F45677">
          <w:rPr>
            <w:webHidden/>
          </w:rPr>
          <w:fldChar w:fldCharType="end"/>
        </w:r>
      </w:hyperlink>
    </w:p>
    <w:p w14:paraId="293BBEA8" w14:textId="1B4932A0" w:rsidR="00F45677" w:rsidRPr="00B04620" w:rsidRDefault="004B48CC">
      <w:pPr>
        <w:pStyle w:val="TOC2"/>
        <w:rPr>
          <w:sz w:val="22"/>
        </w:rPr>
      </w:pPr>
      <w:hyperlink w:anchor="_Toc99659128" w:history="1">
        <w:r w:rsidR="00F45677" w:rsidRPr="003A6FA4">
          <w:rPr>
            <w:rStyle w:val="Hyperlink"/>
          </w:rPr>
          <w:t xml:space="preserve">5.1 </w:t>
        </w:r>
        <w:r w:rsidR="00F45677" w:rsidRPr="00B04620">
          <w:rPr>
            <w:sz w:val="22"/>
          </w:rPr>
          <w:tab/>
        </w:r>
        <w:r w:rsidR="00F45677" w:rsidRPr="003A6FA4">
          <w:rPr>
            <w:rStyle w:val="Hyperlink"/>
          </w:rPr>
          <w:t>Sector overview</w:t>
        </w:r>
        <w:r w:rsidR="00F45677">
          <w:rPr>
            <w:webHidden/>
          </w:rPr>
          <w:tab/>
        </w:r>
        <w:r w:rsidR="00F45677">
          <w:rPr>
            <w:webHidden/>
          </w:rPr>
          <w:fldChar w:fldCharType="begin"/>
        </w:r>
        <w:r w:rsidR="00F45677">
          <w:rPr>
            <w:webHidden/>
          </w:rPr>
          <w:instrText xml:space="preserve"> PAGEREF _Toc99659128 \h </w:instrText>
        </w:r>
        <w:r w:rsidR="00F45677">
          <w:rPr>
            <w:webHidden/>
          </w:rPr>
        </w:r>
        <w:r w:rsidR="00F45677">
          <w:rPr>
            <w:webHidden/>
          </w:rPr>
          <w:fldChar w:fldCharType="separate"/>
        </w:r>
        <w:r w:rsidR="009D338D">
          <w:rPr>
            <w:webHidden/>
          </w:rPr>
          <w:t>149</w:t>
        </w:r>
        <w:r w:rsidR="00F45677">
          <w:rPr>
            <w:webHidden/>
          </w:rPr>
          <w:fldChar w:fldCharType="end"/>
        </w:r>
      </w:hyperlink>
    </w:p>
    <w:p w14:paraId="740E0154" w14:textId="2FDCE5B8" w:rsidR="00F45677" w:rsidRPr="00B04620" w:rsidRDefault="004B48CC">
      <w:pPr>
        <w:pStyle w:val="TOC2"/>
        <w:rPr>
          <w:sz w:val="22"/>
        </w:rPr>
      </w:pPr>
      <w:hyperlink w:anchor="_Toc99659129" w:history="1">
        <w:r w:rsidR="00F45677" w:rsidRPr="003A6FA4">
          <w:rPr>
            <w:rStyle w:val="Hyperlink"/>
          </w:rPr>
          <w:t>5.2</w:t>
        </w:r>
        <w:r w:rsidR="00F45677" w:rsidRPr="00B04620">
          <w:rPr>
            <w:sz w:val="22"/>
          </w:rPr>
          <w:tab/>
        </w:r>
        <w:r w:rsidR="00F45677" w:rsidRPr="003A6FA4">
          <w:rPr>
            <w:rStyle w:val="Hyperlink"/>
          </w:rPr>
          <w:t>Enteric fermentation (CRF 3.A)</w:t>
        </w:r>
        <w:r w:rsidR="00F45677">
          <w:rPr>
            <w:webHidden/>
          </w:rPr>
          <w:tab/>
        </w:r>
        <w:r w:rsidR="00F45677">
          <w:rPr>
            <w:webHidden/>
          </w:rPr>
          <w:fldChar w:fldCharType="begin"/>
        </w:r>
        <w:r w:rsidR="00F45677">
          <w:rPr>
            <w:webHidden/>
          </w:rPr>
          <w:instrText xml:space="preserve"> PAGEREF _Toc99659129 \h </w:instrText>
        </w:r>
        <w:r w:rsidR="00F45677">
          <w:rPr>
            <w:webHidden/>
          </w:rPr>
        </w:r>
        <w:r w:rsidR="00F45677">
          <w:rPr>
            <w:webHidden/>
          </w:rPr>
          <w:fldChar w:fldCharType="separate"/>
        </w:r>
        <w:r w:rsidR="009D338D">
          <w:rPr>
            <w:webHidden/>
          </w:rPr>
          <w:t>172</w:t>
        </w:r>
        <w:r w:rsidR="00F45677">
          <w:rPr>
            <w:webHidden/>
          </w:rPr>
          <w:fldChar w:fldCharType="end"/>
        </w:r>
      </w:hyperlink>
    </w:p>
    <w:p w14:paraId="5855EC99" w14:textId="7B53EBC8" w:rsidR="00F45677" w:rsidRPr="00B04620" w:rsidRDefault="004B48CC">
      <w:pPr>
        <w:pStyle w:val="TOC2"/>
        <w:rPr>
          <w:sz w:val="22"/>
        </w:rPr>
      </w:pPr>
      <w:hyperlink w:anchor="_Toc99659130" w:history="1">
        <w:r w:rsidR="00F45677" w:rsidRPr="003A6FA4">
          <w:rPr>
            <w:rStyle w:val="Hyperlink"/>
          </w:rPr>
          <w:t>5.3</w:t>
        </w:r>
        <w:r w:rsidR="00F45677" w:rsidRPr="00B04620">
          <w:rPr>
            <w:sz w:val="22"/>
          </w:rPr>
          <w:tab/>
        </w:r>
        <w:r w:rsidR="00F45677" w:rsidRPr="003A6FA4">
          <w:rPr>
            <w:rStyle w:val="Hyperlink"/>
          </w:rPr>
          <w:t>Manure management (CRF 3.B)</w:t>
        </w:r>
        <w:r w:rsidR="00F45677">
          <w:rPr>
            <w:webHidden/>
          </w:rPr>
          <w:tab/>
        </w:r>
        <w:r w:rsidR="00F45677">
          <w:rPr>
            <w:webHidden/>
          </w:rPr>
          <w:fldChar w:fldCharType="begin"/>
        </w:r>
        <w:r w:rsidR="00F45677">
          <w:rPr>
            <w:webHidden/>
          </w:rPr>
          <w:instrText xml:space="preserve"> PAGEREF _Toc99659130 \h </w:instrText>
        </w:r>
        <w:r w:rsidR="00F45677">
          <w:rPr>
            <w:webHidden/>
          </w:rPr>
        </w:r>
        <w:r w:rsidR="00F45677">
          <w:rPr>
            <w:webHidden/>
          </w:rPr>
          <w:fldChar w:fldCharType="separate"/>
        </w:r>
        <w:r w:rsidR="009D338D">
          <w:rPr>
            <w:webHidden/>
          </w:rPr>
          <w:t>182</w:t>
        </w:r>
        <w:r w:rsidR="00F45677">
          <w:rPr>
            <w:webHidden/>
          </w:rPr>
          <w:fldChar w:fldCharType="end"/>
        </w:r>
      </w:hyperlink>
    </w:p>
    <w:p w14:paraId="736297CC" w14:textId="76560330" w:rsidR="00F45677" w:rsidRPr="00B04620" w:rsidRDefault="004B48CC">
      <w:pPr>
        <w:pStyle w:val="TOC2"/>
        <w:rPr>
          <w:sz w:val="22"/>
        </w:rPr>
      </w:pPr>
      <w:hyperlink w:anchor="_Toc99659131" w:history="1">
        <w:r w:rsidR="00F45677" w:rsidRPr="003A6FA4">
          <w:rPr>
            <w:rStyle w:val="Hyperlink"/>
          </w:rPr>
          <w:t>5.4</w:t>
        </w:r>
        <w:r w:rsidR="00F45677" w:rsidRPr="00B04620">
          <w:rPr>
            <w:sz w:val="22"/>
          </w:rPr>
          <w:tab/>
        </w:r>
        <w:r w:rsidR="00F45677" w:rsidRPr="003A6FA4">
          <w:rPr>
            <w:rStyle w:val="Hyperlink"/>
          </w:rPr>
          <w:t>Rice cultivation (CRF 3.C)</w:t>
        </w:r>
        <w:r w:rsidR="00F45677">
          <w:rPr>
            <w:webHidden/>
          </w:rPr>
          <w:tab/>
        </w:r>
        <w:r w:rsidR="00F45677">
          <w:rPr>
            <w:webHidden/>
          </w:rPr>
          <w:fldChar w:fldCharType="begin"/>
        </w:r>
        <w:r w:rsidR="00F45677">
          <w:rPr>
            <w:webHidden/>
          </w:rPr>
          <w:instrText xml:space="preserve"> PAGEREF _Toc99659131 \h </w:instrText>
        </w:r>
        <w:r w:rsidR="00F45677">
          <w:rPr>
            <w:webHidden/>
          </w:rPr>
        </w:r>
        <w:r w:rsidR="00F45677">
          <w:rPr>
            <w:webHidden/>
          </w:rPr>
          <w:fldChar w:fldCharType="separate"/>
        </w:r>
        <w:r w:rsidR="009D338D">
          <w:rPr>
            <w:webHidden/>
          </w:rPr>
          <w:t>193</w:t>
        </w:r>
        <w:r w:rsidR="00F45677">
          <w:rPr>
            <w:webHidden/>
          </w:rPr>
          <w:fldChar w:fldCharType="end"/>
        </w:r>
      </w:hyperlink>
    </w:p>
    <w:p w14:paraId="286674BB" w14:textId="14C04D16" w:rsidR="00F45677" w:rsidRPr="00B04620" w:rsidRDefault="004B48CC">
      <w:pPr>
        <w:pStyle w:val="TOC2"/>
        <w:rPr>
          <w:sz w:val="22"/>
        </w:rPr>
      </w:pPr>
      <w:hyperlink w:anchor="_Toc99659132" w:history="1">
        <w:r w:rsidR="00F45677" w:rsidRPr="003A6FA4">
          <w:rPr>
            <w:rStyle w:val="Hyperlink"/>
          </w:rPr>
          <w:t>5.5</w:t>
        </w:r>
        <w:r w:rsidR="00F45677" w:rsidRPr="00B04620">
          <w:rPr>
            <w:sz w:val="22"/>
          </w:rPr>
          <w:tab/>
        </w:r>
        <w:r w:rsidR="00F45677" w:rsidRPr="003A6FA4">
          <w:rPr>
            <w:rStyle w:val="Hyperlink"/>
          </w:rPr>
          <w:t>Agricultural soils (CRF 3.D)</w:t>
        </w:r>
        <w:r w:rsidR="00F45677">
          <w:rPr>
            <w:webHidden/>
          </w:rPr>
          <w:tab/>
        </w:r>
        <w:r w:rsidR="00F45677">
          <w:rPr>
            <w:webHidden/>
          </w:rPr>
          <w:fldChar w:fldCharType="begin"/>
        </w:r>
        <w:r w:rsidR="00F45677">
          <w:rPr>
            <w:webHidden/>
          </w:rPr>
          <w:instrText xml:space="preserve"> PAGEREF _Toc99659132 \h </w:instrText>
        </w:r>
        <w:r w:rsidR="00F45677">
          <w:rPr>
            <w:webHidden/>
          </w:rPr>
        </w:r>
        <w:r w:rsidR="00F45677">
          <w:rPr>
            <w:webHidden/>
          </w:rPr>
          <w:fldChar w:fldCharType="separate"/>
        </w:r>
        <w:r w:rsidR="009D338D">
          <w:rPr>
            <w:webHidden/>
          </w:rPr>
          <w:t>193</w:t>
        </w:r>
        <w:r w:rsidR="00F45677">
          <w:rPr>
            <w:webHidden/>
          </w:rPr>
          <w:fldChar w:fldCharType="end"/>
        </w:r>
      </w:hyperlink>
    </w:p>
    <w:p w14:paraId="7D98FB14" w14:textId="0A77D8E9" w:rsidR="00F45677" w:rsidRPr="00B04620" w:rsidRDefault="004B48CC">
      <w:pPr>
        <w:pStyle w:val="TOC2"/>
        <w:rPr>
          <w:sz w:val="22"/>
        </w:rPr>
      </w:pPr>
      <w:hyperlink w:anchor="_Toc99659133" w:history="1">
        <w:r w:rsidR="00F45677" w:rsidRPr="003A6FA4">
          <w:rPr>
            <w:rStyle w:val="Hyperlink"/>
          </w:rPr>
          <w:t>5.6</w:t>
        </w:r>
        <w:r w:rsidR="00F45677" w:rsidRPr="00B04620">
          <w:rPr>
            <w:sz w:val="22"/>
          </w:rPr>
          <w:tab/>
        </w:r>
        <w:r w:rsidR="00F45677" w:rsidRPr="003A6FA4">
          <w:rPr>
            <w:rStyle w:val="Hyperlink"/>
          </w:rPr>
          <w:t>Prescribed burning of savanna (CRF 3.E)</w:t>
        </w:r>
        <w:r w:rsidR="00F45677">
          <w:rPr>
            <w:webHidden/>
          </w:rPr>
          <w:tab/>
        </w:r>
        <w:r w:rsidR="00F45677">
          <w:rPr>
            <w:webHidden/>
          </w:rPr>
          <w:fldChar w:fldCharType="begin"/>
        </w:r>
        <w:r w:rsidR="00F45677">
          <w:rPr>
            <w:webHidden/>
          </w:rPr>
          <w:instrText xml:space="preserve"> PAGEREF _Toc99659133 \h </w:instrText>
        </w:r>
        <w:r w:rsidR="00F45677">
          <w:rPr>
            <w:webHidden/>
          </w:rPr>
        </w:r>
        <w:r w:rsidR="00F45677">
          <w:rPr>
            <w:webHidden/>
          </w:rPr>
          <w:fldChar w:fldCharType="separate"/>
        </w:r>
        <w:r w:rsidR="009D338D">
          <w:rPr>
            <w:webHidden/>
          </w:rPr>
          <w:t>219</w:t>
        </w:r>
        <w:r w:rsidR="00F45677">
          <w:rPr>
            <w:webHidden/>
          </w:rPr>
          <w:fldChar w:fldCharType="end"/>
        </w:r>
      </w:hyperlink>
    </w:p>
    <w:p w14:paraId="70E5239A" w14:textId="68344B7E" w:rsidR="00F45677" w:rsidRPr="00B04620" w:rsidRDefault="004B48CC">
      <w:pPr>
        <w:pStyle w:val="TOC2"/>
        <w:rPr>
          <w:sz w:val="22"/>
        </w:rPr>
      </w:pPr>
      <w:hyperlink w:anchor="_Toc99659134" w:history="1">
        <w:r w:rsidR="00F45677" w:rsidRPr="003A6FA4">
          <w:rPr>
            <w:rStyle w:val="Hyperlink"/>
          </w:rPr>
          <w:t>5.7</w:t>
        </w:r>
        <w:r w:rsidR="00F45677" w:rsidRPr="00B04620">
          <w:rPr>
            <w:sz w:val="22"/>
          </w:rPr>
          <w:tab/>
        </w:r>
        <w:r w:rsidR="00F45677" w:rsidRPr="003A6FA4">
          <w:rPr>
            <w:rStyle w:val="Hyperlink"/>
          </w:rPr>
          <w:t>Field burning of agricultural residues (CRF 3.F)</w:t>
        </w:r>
        <w:r w:rsidR="00F45677">
          <w:rPr>
            <w:webHidden/>
          </w:rPr>
          <w:tab/>
        </w:r>
        <w:r w:rsidR="00F45677">
          <w:rPr>
            <w:webHidden/>
          </w:rPr>
          <w:fldChar w:fldCharType="begin"/>
        </w:r>
        <w:r w:rsidR="00F45677">
          <w:rPr>
            <w:webHidden/>
          </w:rPr>
          <w:instrText xml:space="preserve"> PAGEREF _Toc99659134 \h </w:instrText>
        </w:r>
        <w:r w:rsidR="00F45677">
          <w:rPr>
            <w:webHidden/>
          </w:rPr>
        </w:r>
        <w:r w:rsidR="00F45677">
          <w:rPr>
            <w:webHidden/>
          </w:rPr>
          <w:fldChar w:fldCharType="separate"/>
        </w:r>
        <w:r w:rsidR="009D338D">
          <w:rPr>
            <w:webHidden/>
          </w:rPr>
          <w:t>219</w:t>
        </w:r>
        <w:r w:rsidR="00F45677">
          <w:rPr>
            <w:webHidden/>
          </w:rPr>
          <w:fldChar w:fldCharType="end"/>
        </w:r>
      </w:hyperlink>
    </w:p>
    <w:p w14:paraId="2193B62B" w14:textId="0DB2C103" w:rsidR="00F45677" w:rsidRPr="00B04620" w:rsidRDefault="004B48CC">
      <w:pPr>
        <w:pStyle w:val="TOC2"/>
        <w:rPr>
          <w:sz w:val="22"/>
        </w:rPr>
      </w:pPr>
      <w:hyperlink w:anchor="_Toc99659135" w:history="1">
        <w:r w:rsidR="00F45677" w:rsidRPr="003A6FA4">
          <w:rPr>
            <w:rStyle w:val="Hyperlink"/>
          </w:rPr>
          <w:t>5.8</w:t>
        </w:r>
        <w:r w:rsidR="00F45677" w:rsidRPr="00B04620">
          <w:rPr>
            <w:sz w:val="22"/>
          </w:rPr>
          <w:tab/>
        </w:r>
        <w:r w:rsidR="00F45677" w:rsidRPr="003A6FA4">
          <w:rPr>
            <w:rStyle w:val="Hyperlink"/>
          </w:rPr>
          <w:t>Liming (CRF 3.G)</w:t>
        </w:r>
        <w:r w:rsidR="00F45677">
          <w:rPr>
            <w:webHidden/>
          </w:rPr>
          <w:tab/>
        </w:r>
        <w:r w:rsidR="00F45677">
          <w:rPr>
            <w:webHidden/>
          </w:rPr>
          <w:fldChar w:fldCharType="begin"/>
        </w:r>
        <w:r w:rsidR="00F45677">
          <w:rPr>
            <w:webHidden/>
          </w:rPr>
          <w:instrText xml:space="preserve"> PAGEREF _Toc99659135 \h </w:instrText>
        </w:r>
        <w:r w:rsidR="00F45677">
          <w:rPr>
            <w:webHidden/>
          </w:rPr>
        </w:r>
        <w:r w:rsidR="00F45677">
          <w:rPr>
            <w:webHidden/>
          </w:rPr>
          <w:fldChar w:fldCharType="separate"/>
        </w:r>
        <w:r w:rsidR="009D338D">
          <w:rPr>
            <w:webHidden/>
          </w:rPr>
          <w:t>223</w:t>
        </w:r>
        <w:r w:rsidR="00F45677">
          <w:rPr>
            <w:webHidden/>
          </w:rPr>
          <w:fldChar w:fldCharType="end"/>
        </w:r>
      </w:hyperlink>
    </w:p>
    <w:p w14:paraId="3AC066C3" w14:textId="1AFF47E0" w:rsidR="00F45677" w:rsidRPr="00B04620" w:rsidRDefault="004B48CC">
      <w:pPr>
        <w:pStyle w:val="TOC2"/>
        <w:rPr>
          <w:sz w:val="22"/>
        </w:rPr>
      </w:pPr>
      <w:hyperlink w:anchor="_Toc99659136" w:history="1">
        <w:r w:rsidR="00F45677" w:rsidRPr="003A6FA4">
          <w:rPr>
            <w:rStyle w:val="Hyperlink"/>
          </w:rPr>
          <w:t>5.9</w:t>
        </w:r>
        <w:r w:rsidR="00F45677" w:rsidRPr="00B04620">
          <w:rPr>
            <w:sz w:val="22"/>
          </w:rPr>
          <w:tab/>
        </w:r>
        <w:r w:rsidR="00F45677" w:rsidRPr="003A6FA4">
          <w:rPr>
            <w:rStyle w:val="Hyperlink"/>
          </w:rPr>
          <w:t>Urea application (CRF 3.H)</w:t>
        </w:r>
        <w:r w:rsidR="00F45677">
          <w:rPr>
            <w:webHidden/>
          </w:rPr>
          <w:tab/>
        </w:r>
        <w:r w:rsidR="00F45677">
          <w:rPr>
            <w:webHidden/>
          </w:rPr>
          <w:fldChar w:fldCharType="begin"/>
        </w:r>
        <w:r w:rsidR="00F45677">
          <w:rPr>
            <w:webHidden/>
          </w:rPr>
          <w:instrText xml:space="preserve"> PAGEREF _Toc99659136 \h </w:instrText>
        </w:r>
        <w:r w:rsidR="00F45677">
          <w:rPr>
            <w:webHidden/>
          </w:rPr>
        </w:r>
        <w:r w:rsidR="00F45677">
          <w:rPr>
            <w:webHidden/>
          </w:rPr>
          <w:fldChar w:fldCharType="separate"/>
        </w:r>
        <w:r w:rsidR="009D338D">
          <w:rPr>
            <w:webHidden/>
          </w:rPr>
          <w:t>226</w:t>
        </w:r>
        <w:r w:rsidR="00F45677">
          <w:rPr>
            <w:webHidden/>
          </w:rPr>
          <w:fldChar w:fldCharType="end"/>
        </w:r>
      </w:hyperlink>
    </w:p>
    <w:p w14:paraId="02332A33" w14:textId="003ADE57" w:rsidR="00F45677" w:rsidRPr="00B04620" w:rsidRDefault="004B48CC">
      <w:pPr>
        <w:pStyle w:val="TOC2"/>
        <w:rPr>
          <w:sz w:val="22"/>
        </w:rPr>
      </w:pPr>
      <w:hyperlink w:anchor="_Toc99659137" w:history="1">
        <w:r w:rsidR="00F45677" w:rsidRPr="003A6FA4">
          <w:rPr>
            <w:rStyle w:val="Hyperlink"/>
          </w:rPr>
          <w:t xml:space="preserve">5.10 </w:t>
        </w:r>
        <w:r w:rsidR="00F45677" w:rsidRPr="00B04620">
          <w:rPr>
            <w:sz w:val="22"/>
          </w:rPr>
          <w:tab/>
        </w:r>
        <w:r w:rsidR="00F45677" w:rsidRPr="003A6FA4">
          <w:rPr>
            <w:rStyle w:val="Hyperlink"/>
          </w:rPr>
          <w:t>Other carbon-containing fertilisers (CRF 3.I)</w:t>
        </w:r>
        <w:r w:rsidR="00F45677">
          <w:rPr>
            <w:webHidden/>
          </w:rPr>
          <w:tab/>
        </w:r>
        <w:r w:rsidR="00F45677">
          <w:rPr>
            <w:webHidden/>
          </w:rPr>
          <w:fldChar w:fldCharType="begin"/>
        </w:r>
        <w:r w:rsidR="00F45677">
          <w:rPr>
            <w:webHidden/>
          </w:rPr>
          <w:instrText xml:space="preserve"> PAGEREF _Toc99659137 \h </w:instrText>
        </w:r>
        <w:r w:rsidR="00F45677">
          <w:rPr>
            <w:webHidden/>
          </w:rPr>
        </w:r>
        <w:r w:rsidR="00F45677">
          <w:rPr>
            <w:webHidden/>
          </w:rPr>
          <w:fldChar w:fldCharType="separate"/>
        </w:r>
        <w:r w:rsidR="009D338D">
          <w:rPr>
            <w:webHidden/>
          </w:rPr>
          <w:t>227</w:t>
        </w:r>
        <w:r w:rsidR="00F45677">
          <w:rPr>
            <w:webHidden/>
          </w:rPr>
          <w:fldChar w:fldCharType="end"/>
        </w:r>
      </w:hyperlink>
    </w:p>
    <w:p w14:paraId="7FE69474" w14:textId="0AB2D886" w:rsidR="00F45677" w:rsidRPr="00B04620" w:rsidRDefault="004B48CC">
      <w:pPr>
        <w:pStyle w:val="TOC2"/>
        <w:rPr>
          <w:sz w:val="22"/>
        </w:rPr>
      </w:pPr>
      <w:hyperlink w:anchor="_Toc99659138" w:history="1">
        <w:r w:rsidR="00F45677" w:rsidRPr="003A6FA4">
          <w:rPr>
            <w:rStyle w:val="Hyperlink"/>
          </w:rPr>
          <w:t>Chapter 5: References</w:t>
        </w:r>
        <w:r w:rsidR="00F45677">
          <w:rPr>
            <w:webHidden/>
          </w:rPr>
          <w:tab/>
        </w:r>
        <w:r w:rsidR="00F45677">
          <w:rPr>
            <w:webHidden/>
          </w:rPr>
          <w:fldChar w:fldCharType="begin"/>
        </w:r>
        <w:r w:rsidR="00F45677">
          <w:rPr>
            <w:webHidden/>
          </w:rPr>
          <w:instrText xml:space="preserve"> PAGEREF _Toc99659138 \h </w:instrText>
        </w:r>
        <w:r w:rsidR="00F45677">
          <w:rPr>
            <w:webHidden/>
          </w:rPr>
        </w:r>
        <w:r w:rsidR="00F45677">
          <w:rPr>
            <w:webHidden/>
          </w:rPr>
          <w:fldChar w:fldCharType="separate"/>
        </w:r>
        <w:r w:rsidR="009D338D">
          <w:rPr>
            <w:webHidden/>
          </w:rPr>
          <w:t>228</w:t>
        </w:r>
        <w:r w:rsidR="00F45677">
          <w:rPr>
            <w:webHidden/>
          </w:rPr>
          <w:fldChar w:fldCharType="end"/>
        </w:r>
      </w:hyperlink>
    </w:p>
    <w:p w14:paraId="4BDA339B" w14:textId="6AB49A08" w:rsidR="00F45677" w:rsidRPr="00B04620" w:rsidRDefault="004B48CC">
      <w:pPr>
        <w:pStyle w:val="TOC1"/>
        <w:rPr>
          <w:sz w:val="22"/>
        </w:rPr>
      </w:pPr>
      <w:hyperlink w:anchor="_Toc99659139" w:history="1">
        <w:r w:rsidR="00F45677" w:rsidRPr="003A6FA4">
          <w:rPr>
            <w:rStyle w:val="Hyperlink"/>
          </w:rPr>
          <w:t>Chapter 6: Land Use, Land-Use Change and Forestry (LULUCF)</w:t>
        </w:r>
        <w:r w:rsidR="00F45677">
          <w:rPr>
            <w:webHidden/>
          </w:rPr>
          <w:tab/>
        </w:r>
        <w:r w:rsidR="00F45677">
          <w:rPr>
            <w:webHidden/>
          </w:rPr>
          <w:fldChar w:fldCharType="begin"/>
        </w:r>
        <w:r w:rsidR="00F45677">
          <w:rPr>
            <w:webHidden/>
          </w:rPr>
          <w:instrText xml:space="preserve"> PAGEREF _Toc99659139 \h </w:instrText>
        </w:r>
        <w:r w:rsidR="00F45677">
          <w:rPr>
            <w:webHidden/>
          </w:rPr>
        </w:r>
        <w:r w:rsidR="00F45677">
          <w:rPr>
            <w:webHidden/>
          </w:rPr>
          <w:fldChar w:fldCharType="separate"/>
        </w:r>
        <w:r w:rsidR="009D338D">
          <w:rPr>
            <w:webHidden/>
          </w:rPr>
          <w:t>234</w:t>
        </w:r>
        <w:r w:rsidR="00F45677">
          <w:rPr>
            <w:webHidden/>
          </w:rPr>
          <w:fldChar w:fldCharType="end"/>
        </w:r>
      </w:hyperlink>
    </w:p>
    <w:p w14:paraId="0CFAAFD5" w14:textId="096AECFA" w:rsidR="00F45677" w:rsidRPr="00B04620" w:rsidRDefault="004B48CC">
      <w:pPr>
        <w:pStyle w:val="TOC2"/>
        <w:rPr>
          <w:sz w:val="22"/>
        </w:rPr>
      </w:pPr>
      <w:hyperlink w:anchor="_Toc99659140" w:history="1">
        <w:r w:rsidR="00F45677" w:rsidRPr="003A6FA4">
          <w:rPr>
            <w:rStyle w:val="Hyperlink"/>
          </w:rPr>
          <w:t>6.1</w:t>
        </w:r>
        <w:r w:rsidR="00F45677" w:rsidRPr="00B04620">
          <w:rPr>
            <w:sz w:val="22"/>
          </w:rPr>
          <w:tab/>
        </w:r>
        <w:r w:rsidR="00F45677" w:rsidRPr="003A6FA4">
          <w:rPr>
            <w:rStyle w:val="Hyperlink"/>
          </w:rPr>
          <w:t>Sector overview</w:t>
        </w:r>
        <w:r w:rsidR="00F45677">
          <w:rPr>
            <w:webHidden/>
          </w:rPr>
          <w:tab/>
        </w:r>
        <w:r w:rsidR="00F45677">
          <w:rPr>
            <w:webHidden/>
          </w:rPr>
          <w:fldChar w:fldCharType="begin"/>
        </w:r>
        <w:r w:rsidR="00F45677">
          <w:rPr>
            <w:webHidden/>
          </w:rPr>
          <w:instrText xml:space="preserve"> PAGEREF _Toc99659140 \h </w:instrText>
        </w:r>
        <w:r w:rsidR="00F45677">
          <w:rPr>
            <w:webHidden/>
          </w:rPr>
        </w:r>
        <w:r w:rsidR="00F45677">
          <w:rPr>
            <w:webHidden/>
          </w:rPr>
          <w:fldChar w:fldCharType="separate"/>
        </w:r>
        <w:r w:rsidR="009D338D">
          <w:rPr>
            <w:webHidden/>
          </w:rPr>
          <w:t>234</w:t>
        </w:r>
        <w:r w:rsidR="00F45677">
          <w:rPr>
            <w:webHidden/>
          </w:rPr>
          <w:fldChar w:fldCharType="end"/>
        </w:r>
      </w:hyperlink>
    </w:p>
    <w:p w14:paraId="08382EC9" w14:textId="557DDD25" w:rsidR="00F45677" w:rsidRPr="00B04620" w:rsidRDefault="004B48CC">
      <w:pPr>
        <w:pStyle w:val="TOC2"/>
        <w:rPr>
          <w:sz w:val="22"/>
        </w:rPr>
      </w:pPr>
      <w:hyperlink w:anchor="_Toc99659141" w:history="1">
        <w:r w:rsidR="00F45677" w:rsidRPr="003A6FA4">
          <w:rPr>
            <w:rStyle w:val="Hyperlink"/>
          </w:rPr>
          <w:t>6.2</w:t>
        </w:r>
        <w:r w:rsidR="00F45677" w:rsidRPr="00B04620">
          <w:rPr>
            <w:sz w:val="22"/>
          </w:rPr>
          <w:tab/>
        </w:r>
        <w:r w:rsidR="00F45677" w:rsidRPr="003A6FA4">
          <w:rPr>
            <w:rStyle w:val="Hyperlink"/>
          </w:rPr>
          <w:t>Representation of land areas</w:t>
        </w:r>
        <w:r w:rsidR="00F45677">
          <w:rPr>
            <w:webHidden/>
          </w:rPr>
          <w:tab/>
        </w:r>
        <w:r w:rsidR="00F45677">
          <w:rPr>
            <w:webHidden/>
          </w:rPr>
          <w:fldChar w:fldCharType="begin"/>
        </w:r>
        <w:r w:rsidR="00F45677">
          <w:rPr>
            <w:webHidden/>
          </w:rPr>
          <w:instrText xml:space="preserve"> PAGEREF _Toc99659141 \h </w:instrText>
        </w:r>
        <w:r w:rsidR="00F45677">
          <w:rPr>
            <w:webHidden/>
          </w:rPr>
        </w:r>
        <w:r w:rsidR="00F45677">
          <w:rPr>
            <w:webHidden/>
          </w:rPr>
          <w:fldChar w:fldCharType="separate"/>
        </w:r>
        <w:r w:rsidR="009D338D">
          <w:rPr>
            <w:webHidden/>
          </w:rPr>
          <w:t>244</w:t>
        </w:r>
        <w:r w:rsidR="00F45677">
          <w:rPr>
            <w:webHidden/>
          </w:rPr>
          <w:fldChar w:fldCharType="end"/>
        </w:r>
      </w:hyperlink>
    </w:p>
    <w:p w14:paraId="6E679588" w14:textId="1D777289" w:rsidR="00F45677" w:rsidRPr="00B04620" w:rsidRDefault="004B48CC">
      <w:pPr>
        <w:pStyle w:val="TOC2"/>
        <w:rPr>
          <w:sz w:val="22"/>
        </w:rPr>
      </w:pPr>
      <w:hyperlink w:anchor="_Toc99659142" w:history="1">
        <w:r w:rsidR="00F45677" w:rsidRPr="003A6FA4">
          <w:rPr>
            <w:rStyle w:val="Hyperlink"/>
          </w:rPr>
          <w:t>6.3</w:t>
        </w:r>
        <w:r w:rsidR="00F45677" w:rsidRPr="00B04620">
          <w:rPr>
            <w:sz w:val="22"/>
          </w:rPr>
          <w:tab/>
        </w:r>
        <w:r w:rsidR="00F45677" w:rsidRPr="003A6FA4">
          <w:rPr>
            <w:rStyle w:val="Hyperlink"/>
          </w:rPr>
          <w:t>Forest land (CRF 4A)</w:t>
        </w:r>
        <w:r w:rsidR="00F45677">
          <w:rPr>
            <w:webHidden/>
          </w:rPr>
          <w:tab/>
        </w:r>
        <w:r w:rsidR="00F45677">
          <w:rPr>
            <w:webHidden/>
          </w:rPr>
          <w:fldChar w:fldCharType="begin"/>
        </w:r>
        <w:r w:rsidR="00F45677">
          <w:rPr>
            <w:webHidden/>
          </w:rPr>
          <w:instrText xml:space="preserve"> PAGEREF _Toc99659142 \h </w:instrText>
        </w:r>
        <w:r w:rsidR="00F45677">
          <w:rPr>
            <w:webHidden/>
          </w:rPr>
        </w:r>
        <w:r w:rsidR="00F45677">
          <w:rPr>
            <w:webHidden/>
          </w:rPr>
          <w:fldChar w:fldCharType="separate"/>
        </w:r>
        <w:r w:rsidR="009D338D">
          <w:rPr>
            <w:webHidden/>
          </w:rPr>
          <w:t>250</w:t>
        </w:r>
        <w:r w:rsidR="00F45677">
          <w:rPr>
            <w:webHidden/>
          </w:rPr>
          <w:fldChar w:fldCharType="end"/>
        </w:r>
      </w:hyperlink>
    </w:p>
    <w:p w14:paraId="16E06B4F" w14:textId="44D1B413" w:rsidR="00F45677" w:rsidRPr="00B04620" w:rsidRDefault="004B48CC">
      <w:pPr>
        <w:pStyle w:val="TOC2"/>
        <w:rPr>
          <w:sz w:val="22"/>
        </w:rPr>
      </w:pPr>
      <w:hyperlink w:anchor="_Toc99659143" w:history="1">
        <w:r w:rsidR="00F45677" w:rsidRPr="003A6FA4">
          <w:rPr>
            <w:rStyle w:val="Hyperlink"/>
          </w:rPr>
          <w:t>6.4</w:t>
        </w:r>
        <w:r w:rsidR="00F45677" w:rsidRPr="00B04620">
          <w:rPr>
            <w:sz w:val="22"/>
          </w:rPr>
          <w:tab/>
        </w:r>
        <w:r w:rsidR="00F45677" w:rsidRPr="003A6FA4">
          <w:rPr>
            <w:rStyle w:val="Hyperlink"/>
          </w:rPr>
          <w:t>Cropland (CRF 4B)</w:t>
        </w:r>
        <w:r w:rsidR="00F45677">
          <w:rPr>
            <w:webHidden/>
          </w:rPr>
          <w:tab/>
        </w:r>
        <w:r w:rsidR="00F45677">
          <w:rPr>
            <w:webHidden/>
          </w:rPr>
          <w:fldChar w:fldCharType="begin"/>
        </w:r>
        <w:r w:rsidR="00F45677">
          <w:rPr>
            <w:webHidden/>
          </w:rPr>
          <w:instrText xml:space="preserve"> PAGEREF _Toc99659143 \h </w:instrText>
        </w:r>
        <w:r w:rsidR="00F45677">
          <w:rPr>
            <w:webHidden/>
          </w:rPr>
        </w:r>
        <w:r w:rsidR="00F45677">
          <w:rPr>
            <w:webHidden/>
          </w:rPr>
          <w:fldChar w:fldCharType="separate"/>
        </w:r>
        <w:r w:rsidR="009D338D">
          <w:rPr>
            <w:webHidden/>
          </w:rPr>
          <w:t>265</w:t>
        </w:r>
        <w:r w:rsidR="00F45677">
          <w:rPr>
            <w:webHidden/>
          </w:rPr>
          <w:fldChar w:fldCharType="end"/>
        </w:r>
      </w:hyperlink>
    </w:p>
    <w:p w14:paraId="3A817491" w14:textId="6D3A6D04" w:rsidR="00F45677" w:rsidRPr="00B04620" w:rsidRDefault="004B48CC">
      <w:pPr>
        <w:pStyle w:val="TOC2"/>
        <w:rPr>
          <w:sz w:val="22"/>
        </w:rPr>
      </w:pPr>
      <w:hyperlink w:anchor="_Toc99659144" w:history="1">
        <w:r w:rsidR="00F45677" w:rsidRPr="003A6FA4">
          <w:rPr>
            <w:rStyle w:val="Hyperlink"/>
          </w:rPr>
          <w:t>6.5</w:t>
        </w:r>
        <w:r w:rsidR="00F45677" w:rsidRPr="00B04620">
          <w:rPr>
            <w:sz w:val="22"/>
          </w:rPr>
          <w:tab/>
        </w:r>
        <w:r w:rsidR="00F45677" w:rsidRPr="003A6FA4">
          <w:rPr>
            <w:rStyle w:val="Hyperlink"/>
          </w:rPr>
          <w:t>Grassland (CRF 4C)</w:t>
        </w:r>
        <w:r w:rsidR="00F45677">
          <w:rPr>
            <w:webHidden/>
          </w:rPr>
          <w:tab/>
        </w:r>
        <w:r w:rsidR="00F45677">
          <w:rPr>
            <w:webHidden/>
          </w:rPr>
          <w:fldChar w:fldCharType="begin"/>
        </w:r>
        <w:r w:rsidR="00F45677">
          <w:rPr>
            <w:webHidden/>
          </w:rPr>
          <w:instrText xml:space="preserve"> PAGEREF _Toc99659144 \h </w:instrText>
        </w:r>
        <w:r w:rsidR="00F45677">
          <w:rPr>
            <w:webHidden/>
          </w:rPr>
        </w:r>
        <w:r w:rsidR="00F45677">
          <w:rPr>
            <w:webHidden/>
          </w:rPr>
          <w:fldChar w:fldCharType="separate"/>
        </w:r>
        <w:r w:rsidR="009D338D">
          <w:rPr>
            <w:webHidden/>
          </w:rPr>
          <w:t>272</w:t>
        </w:r>
        <w:r w:rsidR="00F45677">
          <w:rPr>
            <w:webHidden/>
          </w:rPr>
          <w:fldChar w:fldCharType="end"/>
        </w:r>
      </w:hyperlink>
    </w:p>
    <w:p w14:paraId="1361A15D" w14:textId="2C2528C8" w:rsidR="00F45677" w:rsidRPr="00B04620" w:rsidRDefault="004B48CC">
      <w:pPr>
        <w:pStyle w:val="TOC2"/>
        <w:rPr>
          <w:sz w:val="22"/>
        </w:rPr>
      </w:pPr>
      <w:hyperlink w:anchor="_Toc99659145" w:history="1">
        <w:r w:rsidR="00F45677" w:rsidRPr="003A6FA4">
          <w:rPr>
            <w:rStyle w:val="Hyperlink"/>
          </w:rPr>
          <w:t>6.6</w:t>
        </w:r>
        <w:r w:rsidR="00F45677" w:rsidRPr="00B04620">
          <w:rPr>
            <w:sz w:val="22"/>
          </w:rPr>
          <w:tab/>
        </w:r>
        <w:r w:rsidR="00F45677" w:rsidRPr="003A6FA4">
          <w:rPr>
            <w:rStyle w:val="Hyperlink"/>
          </w:rPr>
          <w:t>Wetlands (CRF 4D)</w:t>
        </w:r>
        <w:r w:rsidR="00F45677">
          <w:rPr>
            <w:webHidden/>
          </w:rPr>
          <w:tab/>
        </w:r>
        <w:r w:rsidR="00F45677">
          <w:rPr>
            <w:webHidden/>
          </w:rPr>
          <w:fldChar w:fldCharType="begin"/>
        </w:r>
        <w:r w:rsidR="00F45677">
          <w:rPr>
            <w:webHidden/>
          </w:rPr>
          <w:instrText xml:space="preserve"> PAGEREF _Toc99659145 \h </w:instrText>
        </w:r>
        <w:r w:rsidR="00F45677">
          <w:rPr>
            <w:webHidden/>
          </w:rPr>
        </w:r>
        <w:r w:rsidR="00F45677">
          <w:rPr>
            <w:webHidden/>
          </w:rPr>
          <w:fldChar w:fldCharType="separate"/>
        </w:r>
        <w:r w:rsidR="009D338D">
          <w:rPr>
            <w:webHidden/>
          </w:rPr>
          <w:t>277</w:t>
        </w:r>
        <w:r w:rsidR="00F45677">
          <w:rPr>
            <w:webHidden/>
          </w:rPr>
          <w:fldChar w:fldCharType="end"/>
        </w:r>
      </w:hyperlink>
    </w:p>
    <w:p w14:paraId="23783997" w14:textId="3FCBC2A5" w:rsidR="00F45677" w:rsidRPr="00B04620" w:rsidRDefault="004B48CC">
      <w:pPr>
        <w:pStyle w:val="TOC2"/>
        <w:rPr>
          <w:sz w:val="22"/>
        </w:rPr>
      </w:pPr>
      <w:hyperlink w:anchor="_Toc99659146" w:history="1">
        <w:r w:rsidR="00F45677" w:rsidRPr="003A6FA4">
          <w:rPr>
            <w:rStyle w:val="Hyperlink"/>
          </w:rPr>
          <w:t>6.7</w:t>
        </w:r>
        <w:r w:rsidR="00F45677" w:rsidRPr="00B04620">
          <w:rPr>
            <w:sz w:val="22"/>
          </w:rPr>
          <w:tab/>
        </w:r>
        <w:r w:rsidR="00F45677" w:rsidRPr="003A6FA4">
          <w:rPr>
            <w:rStyle w:val="Hyperlink"/>
          </w:rPr>
          <w:t>Settlements (CRF 4E)</w:t>
        </w:r>
        <w:r w:rsidR="00F45677">
          <w:rPr>
            <w:webHidden/>
          </w:rPr>
          <w:tab/>
        </w:r>
        <w:r w:rsidR="00F45677">
          <w:rPr>
            <w:webHidden/>
          </w:rPr>
          <w:fldChar w:fldCharType="begin"/>
        </w:r>
        <w:r w:rsidR="00F45677">
          <w:rPr>
            <w:webHidden/>
          </w:rPr>
          <w:instrText xml:space="preserve"> PAGEREF _Toc99659146 \h </w:instrText>
        </w:r>
        <w:r w:rsidR="00F45677">
          <w:rPr>
            <w:webHidden/>
          </w:rPr>
        </w:r>
        <w:r w:rsidR="00F45677">
          <w:rPr>
            <w:webHidden/>
          </w:rPr>
          <w:fldChar w:fldCharType="separate"/>
        </w:r>
        <w:r w:rsidR="009D338D">
          <w:rPr>
            <w:webHidden/>
          </w:rPr>
          <w:t>281</w:t>
        </w:r>
        <w:r w:rsidR="00F45677">
          <w:rPr>
            <w:webHidden/>
          </w:rPr>
          <w:fldChar w:fldCharType="end"/>
        </w:r>
      </w:hyperlink>
    </w:p>
    <w:p w14:paraId="5646104C" w14:textId="4C2C621B" w:rsidR="00F45677" w:rsidRPr="00B04620" w:rsidRDefault="004B48CC">
      <w:pPr>
        <w:pStyle w:val="TOC2"/>
        <w:rPr>
          <w:sz w:val="22"/>
        </w:rPr>
      </w:pPr>
      <w:hyperlink w:anchor="_Toc99659147" w:history="1">
        <w:r w:rsidR="00F45677" w:rsidRPr="003A6FA4">
          <w:rPr>
            <w:rStyle w:val="Hyperlink"/>
          </w:rPr>
          <w:t>6.8</w:t>
        </w:r>
        <w:r w:rsidR="00F45677" w:rsidRPr="00B04620">
          <w:rPr>
            <w:sz w:val="22"/>
          </w:rPr>
          <w:tab/>
        </w:r>
        <w:r w:rsidR="00F45677" w:rsidRPr="003A6FA4">
          <w:rPr>
            <w:rStyle w:val="Hyperlink"/>
          </w:rPr>
          <w:t>Other land (CRF 4F)</w:t>
        </w:r>
        <w:r w:rsidR="00F45677">
          <w:rPr>
            <w:webHidden/>
          </w:rPr>
          <w:tab/>
        </w:r>
        <w:r w:rsidR="00F45677">
          <w:rPr>
            <w:webHidden/>
          </w:rPr>
          <w:fldChar w:fldCharType="begin"/>
        </w:r>
        <w:r w:rsidR="00F45677">
          <w:rPr>
            <w:webHidden/>
          </w:rPr>
          <w:instrText xml:space="preserve"> PAGEREF _Toc99659147 \h </w:instrText>
        </w:r>
        <w:r w:rsidR="00F45677">
          <w:rPr>
            <w:webHidden/>
          </w:rPr>
        </w:r>
        <w:r w:rsidR="00F45677">
          <w:rPr>
            <w:webHidden/>
          </w:rPr>
          <w:fldChar w:fldCharType="separate"/>
        </w:r>
        <w:r w:rsidR="009D338D">
          <w:rPr>
            <w:webHidden/>
          </w:rPr>
          <w:t>284</w:t>
        </w:r>
        <w:r w:rsidR="00F45677">
          <w:rPr>
            <w:webHidden/>
          </w:rPr>
          <w:fldChar w:fldCharType="end"/>
        </w:r>
      </w:hyperlink>
    </w:p>
    <w:p w14:paraId="58EC2786" w14:textId="26AA3040" w:rsidR="00F45677" w:rsidRPr="00B04620" w:rsidRDefault="004B48CC">
      <w:pPr>
        <w:pStyle w:val="TOC2"/>
        <w:rPr>
          <w:sz w:val="22"/>
        </w:rPr>
      </w:pPr>
      <w:hyperlink w:anchor="_Toc99659148" w:history="1">
        <w:r w:rsidR="00F45677" w:rsidRPr="003A6FA4">
          <w:rPr>
            <w:rStyle w:val="Hyperlink"/>
          </w:rPr>
          <w:t>6.9</w:t>
        </w:r>
        <w:r w:rsidR="00F45677" w:rsidRPr="00B04620">
          <w:rPr>
            <w:sz w:val="22"/>
          </w:rPr>
          <w:tab/>
        </w:r>
        <w:r w:rsidR="00F45677" w:rsidRPr="003A6FA4">
          <w:rPr>
            <w:rStyle w:val="Hyperlink"/>
          </w:rPr>
          <w:t>Harvested wood products (CRF 4G)</w:t>
        </w:r>
        <w:r w:rsidR="00F45677">
          <w:rPr>
            <w:webHidden/>
          </w:rPr>
          <w:tab/>
        </w:r>
        <w:r w:rsidR="00F45677">
          <w:rPr>
            <w:webHidden/>
          </w:rPr>
          <w:fldChar w:fldCharType="begin"/>
        </w:r>
        <w:r w:rsidR="00F45677">
          <w:rPr>
            <w:webHidden/>
          </w:rPr>
          <w:instrText xml:space="preserve"> PAGEREF _Toc99659148 \h </w:instrText>
        </w:r>
        <w:r w:rsidR="00F45677">
          <w:rPr>
            <w:webHidden/>
          </w:rPr>
        </w:r>
        <w:r w:rsidR="00F45677">
          <w:rPr>
            <w:webHidden/>
          </w:rPr>
          <w:fldChar w:fldCharType="separate"/>
        </w:r>
        <w:r w:rsidR="009D338D">
          <w:rPr>
            <w:webHidden/>
          </w:rPr>
          <w:t>287</w:t>
        </w:r>
        <w:r w:rsidR="00F45677">
          <w:rPr>
            <w:webHidden/>
          </w:rPr>
          <w:fldChar w:fldCharType="end"/>
        </w:r>
      </w:hyperlink>
    </w:p>
    <w:p w14:paraId="76B51971" w14:textId="1510636E" w:rsidR="00F45677" w:rsidRPr="00B04620" w:rsidRDefault="004B48CC">
      <w:pPr>
        <w:pStyle w:val="TOC2"/>
        <w:rPr>
          <w:sz w:val="22"/>
        </w:rPr>
      </w:pPr>
      <w:hyperlink w:anchor="_Toc99659149" w:history="1">
        <w:r w:rsidR="00F45677" w:rsidRPr="003A6FA4">
          <w:rPr>
            <w:rStyle w:val="Hyperlink"/>
          </w:rPr>
          <w:t>6.10</w:t>
        </w:r>
        <w:r w:rsidR="00F45677" w:rsidRPr="00B04620">
          <w:rPr>
            <w:sz w:val="22"/>
          </w:rPr>
          <w:tab/>
        </w:r>
        <w:r w:rsidR="00F45677" w:rsidRPr="003A6FA4">
          <w:rPr>
            <w:rStyle w:val="Hyperlink"/>
          </w:rPr>
          <w:t>Non-CO</w:t>
        </w:r>
        <w:r w:rsidR="00F45677" w:rsidRPr="003A6FA4">
          <w:rPr>
            <w:rStyle w:val="Hyperlink"/>
            <w:vertAlign w:val="subscript"/>
          </w:rPr>
          <w:t>2</w:t>
        </w:r>
        <w:r w:rsidR="00F45677" w:rsidRPr="003A6FA4">
          <w:rPr>
            <w:rStyle w:val="Hyperlink"/>
          </w:rPr>
          <w:t xml:space="preserve"> emissions (CRF 4(I–V))</w:t>
        </w:r>
        <w:r w:rsidR="00F45677">
          <w:rPr>
            <w:webHidden/>
          </w:rPr>
          <w:tab/>
        </w:r>
        <w:r w:rsidR="00F45677">
          <w:rPr>
            <w:webHidden/>
          </w:rPr>
          <w:fldChar w:fldCharType="begin"/>
        </w:r>
        <w:r w:rsidR="00F45677">
          <w:rPr>
            <w:webHidden/>
          </w:rPr>
          <w:instrText xml:space="preserve"> PAGEREF _Toc99659149 \h </w:instrText>
        </w:r>
        <w:r w:rsidR="00F45677">
          <w:rPr>
            <w:webHidden/>
          </w:rPr>
        </w:r>
        <w:r w:rsidR="00F45677">
          <w:rPr>
            <w:webHidden/>
          </w:rPr>
          <w:fldChar w:fldCharType="separate"/>
        </w:r>
        <w:r w:rsidR="009D338D">
          <w:rPr>
            <w:webHidden/>
          </w:rPr>
          <w:t>291</w:t>
        </w:r>
        <w:r w:rsidR="00F45677">
          <w:rPr>
            <w:webHidden/>
          </w:rPr>
          <w:fldChar w:fldCharType="end"/>
        </w:r>
      </w:hyperlink>
    </w:p>
    <w:p w14:paraId="1C9DF51F" w14:textId="4CE2431D" w:rsidR="00F45677" w:rsidRPr="00B04620" w:rsidRDefault="004B48CC">
      <w:pPr>
        <w:pStyle w:val="TOC2"/>
        <w:rPr>
          <w:sz w:val="22"/>
        </w:rPr>
      </w:pPr>
      <w:hyperlink w:anchor="_Toc99659150" w:history="1">
        <w:r w:rsidR="00F45677" w:rsidRPr="003A6FA4">
          <w:rPr>
            <w:rStyle w:val="Hyperlink"/>
          </w:rPr>
          <w:t>Chapter 6: References</w:t>
        </w:r>
        <w:r w:rsidR="00F45677">
          <w:rPr>
            <w:webHidden/>
          </w:rPr>
          <w:tab/>
        </w:r>
        <w:r w:rsidR="00F45677">
          <w:rPr>
            <w:webHidden/>
          </w:rPr>
          <w:fldChar w:fldCharType="begin"/>
        </w:r>
        <w:r w:rsidR="00F45677">
          <w:rPr>
            <w:webHidden/>
          </w:rPr>
          <w:instrText xml:space="preserve"> PAGEREF _Toc99659150 \h </w:instrText>
        </w:r>
        <w:r w:rsidR="00F45677">
          <w:rPr>
            <w:webHidden/>
          </w:rPr>
        </w:r>
        <w:r w:rsidR="00F45677">
          <w:rPr>
            <w:webHidden/>
          </w:rPr>
          <w:fldChar w:fldCharType="separate"/>
        </w:r>
        <w:r w:rsidR="009D338D">
          <w:rPr>
            <w:webHidden/>
          </w:rPr>
          <w:t>299</w:t>
        </w:r>
        <w:r w:rsidR="00F45677">
          <w:rPr>
            <w:webHidden/>
          </w:rPr>
          <w:fldChar w:fldCharType="end"/>
        </w:r>
      </w:hyperlink>
    </w:p>
    <w:p w14:paraId="72D15D7B" w14:textId="642EB62F" w:rsidR="00F45677" w:rsidRPr="00B04620" w:rsidRDefault="004B48CC">
      <w:pPr>
        <w:pStyle w:val="TOC1"/>
        <w:rPr>
          <w:sz w:val="22"/>
        </w:rPr>
      </w:pPr>
      <w:hyperlink w:anchor="_Toc99659151" w:history="1">
        <w:r w:rsidR="00F45677" w:rsidRPr="003A6FA4">
          <w:rPr>
            <w:rStyle w:val="Hyperlink"/>
          </w:rPr>
          <w:t>Chapter 7: Waste</w:t>
        </w:r>
        <w:r w:rsidR="00F45677">
          <w:rPr>
            <w:webHidden/>
          </w:rPr>
          <w:tab/>
        </w:r>
        <w:r w:rsidR="00F45677">
          <w:rPr>
            <w:webHidden/>
          </w:rPr>
          <w:fldChar w:fldCharType="begin"/>
        </w:r>
        <w:r w:rsidR="00F45677">
          <w:rPr>
            <w:webHidden/>
          </w:rPr>
          <w:instrText xml:space="preserve"> PAGEREF _Toc99659151 \h </w:instrText>
        </w:r>
        <w:r w:rsidR="00F45677">
          <w:rPr>
            <w:webHidden/>
          </w:rPr>
        </w:r>
        <w:r w:rsidR="00F45677">
          <w:rPr>
            <w:webHidden/>
          </w:rPr>
          <w:fldChar w:fldCharType="separate"/>
        </w:r>
        <w:r w:rsidR="009D338D">
          <w:rPr>
            <w:webHidden/>
          </w:rPr>
          <w:t>302</w:t>
        </w:r>
        <w:r w:rsidR="00F45677">
          <w:rPr>
            <w:webHidden/>
          </w:rPr>
          <w:fldChar w:fldCharType="end"/>
        </w:r>
      </w:hyperlink>
    </w:p>
    <w:p w14:paraId="64FC32DD" w14:textId="556C0FBF" w:rsidR="00F45677" w:rsidRPr="00B04620" w:rsidRDefault="004B48CC">
      <w:pPr>
        <w:pStyle w:val="TOC2"/>
        <w:rPr>
          <w:sz w:val="22"/>
        </w:rPr>
      </w:pPr>
      <w:hyperlink w:anchor="_Toc99659152" w:history="1">
        <w:r w:rsidR="00F45677" w:rsidRPr="003A6FA4">
          <w:rPr>
            <w:rStyle w:val="Hyperlink"/>
          </w:rPr>
          <w:t xml:space="preserve">7.1 </w:t>
        </w:r>
        <w:r w:rsidR="00F45677" w:rsidRPr="00B04620">
          <w:rPr>
            <w:sz w:val="22"/>
          </w:rPr>
          <w:tab/>
        </w:r>
        <w:r w:rsidR="00F45677" w:rsidRPr="003A6FA4">
          <w:rPr>
            <w:rStyle w:val="Hyperlink"/>
          </w:rPr>
          <w:t>Sector overview</w:t>
        </w:r>
        <w:r w:rsidR="00F45677">
          <w:rPr>
            <w:webHidden/>
          </w:rPr>
          <w:tab/>
        </w:r>
        <w:r w:rsidR="00F45677">
          <w:rPr>
            <w:webHidden/>
          </w:rPr>
          <w:fldChar w:fldCharType="begin"/>
        </w:r>
        <w:r w:rsidR="00F45677">
          <w:rPr>
            <w:webHidden/>
          </w:rPr>
          <w:instrText xml:space="preserve"> PAGEREF _Toc99659152 \h </w:instrText>
        </w:r>
        <w:r w:rsidR="00F45677">
          <w:rPr>
            <w:webHidden/>
          </w:rPr>
        </w:r>
        <w:r w:rsidR="00F45677">
          <w:rPr>
            <w:webHidden/>
          </w:rPr>
          <w:fldChar w:fldCharType="separate"/>
        </w:r>
        <w:r w:rsidR="009D338D">
          <w:rPr>
            <w:webHidden/>
          </w:rPr>
          <w:t>302</w:t>
        </w:r>
        <w:r w:rsidR="00F45677">
          <w:rPr>
            <w:webHidden/>
          </w:rPr>
          <w:fldChar w:fldCharType="end"/>
        </w:r>
      </w:hyperlink>
    </w:p>
    <w:p w14:paraId="3A3839CD" w14:textId="2C772E31" w:rsidR="00F45677" w:rsidRPr="00B04620" w:rsidRDefault="004B48CC">
      <w:pPr>
        <w:pStyle w:val="TOC2"/>
        <w:rPr>
          <w:sz w:val="22"/>
        </w:rPr>
      </w:pPr>
      <w:hyperlink w:anchor="_Toc99659153" w:history="1">
        <w:r w:rsidR="00F45677" w:rsidRPr="003A6FA4">
          <w:rPr>
            <w:rStyle w:val="Hyperlink"/>
          </w:rPr>
          <w:t xml:space="preserve">7.2 </w:t>
        </w:r>
        <w:r w:rsidR="00F45677" w:rsidRPr="00B04620">
          <w:rPr>
            <w:sz w:val="22"/>
          </w:rPr>
          <w:tab/>
        </w:r>
        <w:r w:rsidR="00F45677" w:rsidRPr="003A6FA4">
          <w:rPr>
            <w:rStyle w:val="Hyperlink"/>
          </w:rPr>
          <w:t>Solid waste disposal (5.A)</w:t>
        </w:r>
        <w:r w:rsidR="00F45677">
          <w:rPr>
            <w:webHidden/>
          </w:rPr>
          <w:tab/>
        </w:r>
        <w:r w:rsidR="00F45677">
          <w:rPr>
            <w:webHidden/>
          </w:rPr>
          <w:fldChar w:fldCharType="begin"/>
        </w:r>
        <w:r w:rsidR="00F45677">
          <w:rPr>
            <w:webHidden/>
          </w:rPr>
          <w:instrText xml:space="preserve"> PAGEREF _Toc99659153 \h </w:instrText>
        </w:r>
        <w:r w:rsidR="00F45677">
          <w:rPr>
            <w:webHidden/>
          </w:rPr>
        </w:r>
        <w:r w:rsidR="00F45677">
          <w:rPr>
            <w:webHidden/>
          </w:rPr>
          <w:fldChar w:fldCharType="separate"/>
        </w:r>
        <w:r w:rsidR="009D338D">
          <w:rPr>
            <w:webHidden/>
          </w:rPr>
          <w:t>307</w:t>
        </w:r>
        <w:r w:rsidR="00F45677">
          <w:rPr>
            <w:webHidden/>
          </w:rPr>
          <w:fldChar w:fldCharType="end"/>
        </w:r>
      </w:hyperlink>
    </w:p>
    <w:p w14:paraId="1A0E4E6F" w14:textId="24E942B0" w:rsidR="00F45677" w:rsidRPr="00B04620" w:rsidRDefault="004B48CC">
      <w:pPr>
        <w:pStyle w:val="TOC2"/>
        <w:rPr>
          <w:sz w:val="22"/>
        </w:rPr>
      </w:pPr>
      <w:hyperlink w:anchor="_Toc99659154" w:history="1">
        <w:r w:rsidR="00F45677" w:rsidRPr="003A6FA4">
          <w:rPr>
            <w:rStyle w:val="Hyperlink"/>
          </w:rPr>
          <w:t xml:space="preserve">7.3 </w:t>
        </w:r>
        <w:r w:rsidR="00F45677" w:rsidRPr="00B04620">
          <w:rPr>
            <w:sz w:val="22"/>
          </w:rPr>
          <w:tab/>
        </w:r>
        <w:r w:rsidR="00F45677" w:rsidRPr="003A6FA4">
          <w:rPr>
            <w:rStyle w:val="Hyperlink"/>
          </w:rPr>
          <w:t>Biological treatment of solid waste (5.B)</w:t>
        </w:r>
        <w:r w:rsidR="00F45677">
          <w:rPr>
            <w:webHidden/>
          </w:rPr>
          <w:tab/>
        </w:r>
        <w:r w:rsidR="00F45677">
          <w:rPr>
            <w:webHidden/>
          </w:rPr>
          <w:fldChar w:fldCharType="begin"/>
        </w:r>
        <w:r w:rsidR="00F45677">
          <w:rPr>
            <w:webHidden/>
          </w:rPr>
          <w:instrText xml:space="preserve"> PAGEREF _Toc99659154 \h </w:instrText>
        </w:r>
        <w:r w:rsidR="00F45677">
          <w:rPr>
            <w:webHidden/>
          </w:rPr>
        </w:r>
        <w:r w:rsidR="00F45677">
          <w:rPr>
            <w:webHidden/>
          </w:rPr>
          <w:fldChar w:fldCharType="separate"/>
        </w:r>
        <w:r w:rsidR="009D338D">
          <w:rPr>
            <w:webHidden/>
          </w:rPr>
          <w:t>322</w:t>
        </w:r>
        <w:r w:rsidR="00F45677">
          <w:rPr>
            <w:webHidden/>
          </w:rPr>
          <w:fldChar w:fldCharType="end"/>
        </w:r>
      </w:hyperlink>
    </w:p>
    <w:p w14:paraId="31E3AD73" w14:textId="3912B2BA" w:rsidR="00F45677" w:rsidRPr="00B04620" w:rsidRDefault="004B48CC">
      <w:pPr>
        <w:pStyle w:val="TOC2"/>
        <w:rPr>
          <w:sz w:val="22"/>
        </w:rPr>
      </w:pPr>
      <w:hyperlink w:anchor="_Toc99659155" w:history="1">
        <w:r w:rsidR="00F45677" w:rsidRPr="003A6FA4">
          <w:rPr>
            <w:rStyle w:val="Hyperlink"/>
          </w:rPr>
          <w:t xml:space="preserve">7.4 </w:t>
        </w:r>
        <w:r w:rsidR="00F45677" w:rsidRPr="00B04620">
          <w:rPr>
            <w:sz w:val="22"/>
          </w:rPr>
          <w:tab/>
        </w:r>
        <w:r w:rsidR="00F45677" w:rsidRPr="003A6FA4">
          <w:rPr>
            <w:rStyle w:val="Hyperlink"/>
          </w:rPr>
          <w:t>Incineration and open burning of waste (5.C)</w:t>
        </w:r>
        <w:r w:rsidR="00F45677">
          <w:rPr>
            <w:webHidden/>
          </w:rPr>
          <w:tab/>
        </w:r>
        <w:r w:rsidR="00F45677">
          <w:rPr>
            <w:webHidden/>
          </w:rPr>
          <w:fldChar w:fldCharType="begin"/>
        </w:r>
        <w:r w:rsidR="00F45677">
          <w:rPr>
            <w:webHidden/>
          </w:rPr>
          <w:instrText xml:space="preserve"> PAGEREF _Toc99659155 \h </w:instrText>
        </w:r>
        <w:r w:rsidR="00F45677">
          <w:rPr>
            <w:webHidden/>
          </w:rPr>
        </w:r>
        <w:r w:rsidR="00F45677">
          <w:rPr>
            <w:webHidden/>
          </w:rPr>
          <w:fldChar w:fldCharType="separate"/>
        </w:r>
        <w:r w:rsidR="009D338D">
          <w:rPr>
            <w:webHidden/>
          </w:rPr>
          <w:t>323</w:t>
        </w:r>
        <w:r w:rsidR="00F45677">
          <w:rPr>
            <w:webHidden/>
          </w:rPr>
          <w:fldChar w:fldCharType="end"/>
        </w:r>
      </w:hyperlink>
    </w:p>
    <w:p w14:paraId="0681E64E" w14:textId="6C33EA52" w:rsidR="00F45677" w:rsidRPr="00B04620" w:rsidRDefault="004B48CC">
      <w:pPr>
        <w:pStyle w:val="TOC2"/>
        <w:rPr>
          <w:sz w:val="22"/>
        </w:rPr>
      </w:pPr>
      <w:hyperlink w:anchor="_Toc99659156" w:history="1">
        <w:r w:rsidR="00F45677" w:rsidRPr="003A6FA4">
          <w:rPr>
            <w:rStyle w:val="Hyperlink"/>
          </w:rPr>
          <w:t xml:space="preserve">7.5 </w:t>
        </w:r>
        <w:r w:rsidR="00F45677" w:rsidRPr="00B04620">
          <w:rPr>
            <w:sz w:val="22"/>
          </w:rPr>
          <w:tab/>
        </w:r>
        <w:r w:rsidR="00F45677" w:rsidRPr="003A6FA4">
          <w:rPr>
            <w:rStyle w:val="Hyperlink"/>
          </w:rPr>
          <w:t>Wastewater treatment and discharge (5.D)</w:t>
        </w:r>
        <w:r w:rsidR="00F45677">
          <w:rPr>
            <w:webHidden/>
          </w:rPr>
          <w:tab/>
        </w:r>
        <w:r w:rsidR="00F45677">
          <w:rPr>
            <w:webHidden/>
          </w:rPr>
          <w:fldChar w:fldCharType="begin"/>
        </w:r>
        <w:r w:rsidR="00F45677">
          <w:rPr>
            <w:webHidden/>
          </w:rPr>
          <w:instrText xml:space="preserve"> PAGEREF _Toc99659156 \h </w:instrText>
        </w:r>
        <w:r w:rsidR="00F45677">
          <w:rPr>
            <w:webHidden/>
          </w:rPr>
        </w:r>
        <w:r w:rsidR="00F45677">
          <w:rPr>
            <w:webHidden/>
          </w:rPr>
          <w:fldChar w:fldCharType="separate"/>
        </w:r>
        <w:r w:rsidR="009D338D">
          <w:rPr>
            <w:webHidden/>
          </w:rPr>
          <w:t>329</w:t>
        </w:r>
        <w:r w:rsidR="00F45677">
          <w:rPr>
            <w:webHidden/>
          </w:rPr>
          <w:fldChar w:fldCharType="end"/>
        </w:r>
      </w:hyperlink>
    </w:p>
    <w:p w14:paraId="406CE36D" w14:textId="0DCC59ED" w:rsidR="00F45677" w:rsidRPr="00B04620" w:rsidRDefault="004B48CC">
      <w:pPr>
        <w:pStyle w:val="TOC2"/>
        <w:rPr>
          <w:sz w:val="22"/>
        </w:rPr>
      </w:pPr>
      <w:hyperlink w:anchor="_Toc99659157" w:history="1">
        <w:r w:rsidR="00F45677" w:rsidRPr="003A6FA4">
          <w:rPr>
            <w:rStyle w:val="Hyperlink"/>
          </w:rPr>
          <w:t>Chapter 7: References</w:t>
        </w:r>
        <w:r w:rsidR="00F45677">
          <w:rPr>
            <w:webHidden/>
          </w:rPr>
          <w:tab/>
        </w:r>
        <w:r w:rsidR="00F45677">
          <w:rPr>
            <w:webHidden/>
          </w:rPr>
          <w:fldChar w:fldCharType="begin"/>
        </w:r>
        <w:r w:rsidR="00F45677">
          <w:rPr>
            <w:webHidden/>
          </w:rPr>
          <w:instrText xml:space="preserve"> PAGEREF _Toc99659157 \h </w:instrText>
        </w:r>
        <w:r w:rsidR="00F45677">
          <w:rPr>
            <w:webHidden/>
          </w:rPr>
        </w:r>
        <w:r w:rsidR="00F45677">
          <w:rPr>
            <w:webHidden/>
          </w:rPr>
          <w:fldChar w:fldCharType="separate"/>
        </w:r>
        <w:r w:rsidR="009D338D">
          <w:rPr>
            <w:webHidden/>
          </w:rPr>
          <w:t>342</w:t>
        </w:r>
        <w:r w:rsidR="00F45677">
          <w:rPr>
            <w:webHidden/>
          </w:rPr>
          <w:fldChar w:fldCharType="end"/>
        </w:r>
      </w:hyperlink>
    </w:p>
    <w:p w14:paraId="2C5DA311" w14:textId="4078B83C" w:rsidR="00F45677" w:rsidRPr="00B04620" w:rsidRDefault="004B48CC">
      <w:pPr>
        <w:pStyle w:val="TOC1"/>
        <w:rPr>
          <w:sz w:val="22"/>
        </w:rPr>
      </w:pPr>
      <w:hyperlink w:anchor="_Toc99659158" w:history="1">
        <w:r w:rsidR="00F45677" w:rsidRPr="003A6FA4">
          <w:rPr>
            <w:rStyle w:val="Hyperlink"/>
          </w:rPr>
          <w:t>Chapter 8: Tokelau (other) sector</w:t>
        </w:r>
        <w:r w:rsidR="00F45677">
          <w:rPr>
            <w:webHidden/>
          </w:rPr>
          <w:tab/>
        </w:r>
        <w:r w:rsidR="00F45677">
          <w:rPr>
            <w:webHidden/>
          </w:rPr>
          <w:fldChar w:fldCharType="begin"/>
        </w:r>
        <w:r w:rsidR="00F45677">
          <w:rPr>
            <w:webHidden/>
          </w:rPr>
          <w:instrText xml:space="preserve"> PAGEREF _Toc99659158 \h </w:instrText>
        </w:r>
        <w:r w:rsidR="00F45677">
          <w:rPr>
            <w:webHidden/>
          </w:rPr>
        </w:r>
        <w:r w:rsidR="00F45677">
          <w:rPr>
            <w:webHidden/>
          </w:rPr>
          <w:fldChar w:fldCharType="separate"/>
        </w:r>
        <w:r w:rsidR="009D338D">
          <w:rPr>
            <w:webHidden/>
          </w:rPr>
          <w:t>344</w:t>
        </w:r>
        <w:r w:rsidR="00F45677">
          <w:rPr>
            <w:webHidden/>
          </w:rPr>
          <w:fldChar w:fldCharType="end"/>
        </w:r>
      </w:hyperlink>
    </w:p>
    <w:p w14:paraId="1F458E2E" w14:textId="36D28F8F" w:rsidR="00F45677" w:rsidRPr="00B04620" w:rsidRDefault="004B48CC">
      <w:pPr>
        <w:pStyle w:val="TOC2"/>
        <w:rPr>
          <w:sz w:val="22"/>
        </w:rPr>
      </w:pPr>
      <w:hyperlink w:anchor="_Toc99659159" w:history="1">
        <w:r w:rsidR="00F45677" w:rsidRPr="003A6FA4">
          <w:rPr>
            <w:rStyle w:val="Hyperlink"/>
          </w:rPr>
          <w:t xml:space="preserve">8.1 </w:t>
        </w:r>
        <w:r w:rsidR="00F45677" w:rsidRPr="00B04620">
          <w:rPr>
            <w:sz w:val="22"/>
          </w:rPr>
          <w:tab/>
        </w:r>
        <w:r w:rsidR="00F45677" w:rsidRPr="003A6FA4">
          <w:rPr>
            <w:rStyle w:val="Hyperlink"/>
          </w:rPr>
          <w:t>Tokelau overview</w:t>
        </w:r>
        <w:r w:rsidR="00F45677">
          <w:rPr>
            <w:webHidden/>
          </w:rPr>
          <w:tab/>
        </w:r>
        <w:r w:rsidR="00F45677">
          <w:rPr>
            <w:webHidden/>
          </w:rPr>
          <w:fldChar w:fldCharType="begin"/>
        </w:r>
        <w:r w:rsidR="00F45677">
          <w:rPr>
            <w:webHidden/>
          </w:rPr>
          <w:instrText xml:space="preserve"> PAGEREF _Toc99659159 \h </w:instrText>
        </w:r>
        <w:r w:rsidR="00F45677">
          <w:rPr>
            <w:webHidden/>
          </w:rPr>
        </w:r>
        <w:r w:rsidR="00F45677">
          <w:rPr>
            <w:webHidden/>
          </w:rPr>
          <w:fldChar w:fldCharType="separate"/>
        </w:r>
        <w:r w:rsidR="009D338D">
          <w:rPr>
            <w:webHidden/>
          </w:rPr>
          <w:t>344</w:t>
        </w:r>
        <w:r w:rsidR="00F45677">
          <w:rPr>
            <w:webHidden/>
          </w:rPr>
          <w:fldChar w:fldCharType="end"/>
        </w:r>
      </w:hyperlink>
    </w:p>
    <w:p w14:paraId="4A6C4DBB" w14:textId="3D5EA56F" w:rsidR="00F45677" w:rsidRPr="00B04620" w:rsidRDefault="004B48CC">
      <w:pPr>
        <w:pStyle w:val="TOC2"/>
        <w:rPr>
          <w:sz w:val="22"/>
        </w:rPr>
      </w:pPr>
      <w:hyperlink w:anchor="_Toc99659160" w:history="1">
        <w:r w:rsidR="00F45677" w:rsidRPr="003A6FA4">
          <w:rPr>
            <w:rStyle w:val="Hyperlink"/>
          </w:rPr>
          <w:t xml:space="preserve">8.2 </w:t>
        </w:r>
        <w:r w:rsidR="00F45677" w:rsidRPr="00B04620">
          <w:rPr>
            <w:sz w:val="22"/>
          </w:rPr>
          <w:tab/>
        </w:r>
        <w:r w:rsidR="00F45677" w:rsidRPr="003A6FA4">
          <w:rPr>
            <w:rStyle w:val="Hyperlink"/>
          </w:rPr>
          <w:t>Energy emissions from Tokelau (CRF 6. Tokelau_1)</w:t>
        </w:r>
        <w:r w:rsidR="00F45677">
          <w:rPr>
            <w:webHidden/>
          </w:rPr>
          <w:tab/>
        </w:r>
        <w:r w:rsidR="00F45677">
          <w:rPr>
            <w:webHidden/>
          </w:rPr>
          <w:fldChar w:fldCharType="begin"/>
        </w:r>
        <w:r w:rsidR="00F45677">
          <w:rPr>
            <w:webHidden/>
          </w:rPr>
          <w:instrText xml:space="preserve"> PAGEREF _Toc99659160 \h </w:instrText>
        </w:r>
        <w:r w:rsidR="00F45677">
          <w:rPr>
            <w:webHidden/>
          </w:rPr>
        </w:r>
        <w:r w:rsidR="00F45677">
          <w:rPr>
            <w:webHidden/>
          </w:rPr>
          <w:fldChar w:fldCharType="separate"/>
        </w:r>
        <w:r w:rsidR="009D338D">
          <w:rPr>
            <w:webHidden/>
          </w:rPr>
          <w:t>352</w:t>
        </w:r>
        <w:r w:rsidR="00F45677">
          <w:rPr>
            <w:webHidden/>
          </w:rPr>
          <w:fldChar w:fldCharType="end"/>
        </w:r>
      </w:hyperlink>
    </w:p>
    <w:p w14:paraId="37EEE2AA" w14:textId="7F34F738" w:rsidR="00F45677" w:rsidRPr="00B04620" w:rsidRDefault="004B48CC">
      <w:pPr>
        <w:pStyle w:val="TOC2"/>
        <w:rPr>
          <w:sz w:val="22"/>
        </w:rPr>
      </w:pPr>
      <w:hyperlink w:anchor="_Toc99659161" w:history="1">
        <w:r w:rsidR="00F45677" w:rsidRPr="003A6FA4">
          <w:rPr>
            <w:rStyle w:val="Hyperlink"/>
          </w:rPr>
          <w:t>8.3</w:t>
        </w:r>
        <w:r w:rsidR="00F45677" w:rsidRPr="00B04620">
          <w:rPr>
            <w:sz w:val="22"/>
          </w:rPr>
          <w:tab/>
        </w:r>
        <w:r w:rsidR="00F45677" w:rsidRPr="003A6FA4">
          <w:rPr>
            <w:rStyle w:val="Hyperlink"/>
          </w:rPr>
          <w:t>Emissions from Industrial Processes and Product Use in Tokelau (CRF 6. Tokelau_2)</w:t>
        </w:r>
        <w:r w:rsidR="00F45677">
          <w:rPr>
            <w:webHidden/>
          </w:rPr>
          <w:tab/>
        </w:r>
        <w:r w:rsidR="00F45677">
          <w:rPr>
            <w:webHidden/>
          </w:rPr>
          <w:fldChar w:fldCharType="begin"/>
        </w:r>
        <w:r w:rsidR="00F45677">
          <w:rPr>
            <w:webHidden/>
          </w:rPr>
          <w:instrText xml:space="preserve"> PAGEREF _Toc99659161 \h </w:instrText>
        </w:r>
        <w:r w:rsidR="00F45677">
          <w:rPr>
            <w:webHidden/>
          </w:rPr>
        </w:r>
        <w:r w:rsidR="00F45677">
          <w:rPr>
            <w:webHidden/>
          </w:rPr>
          <w:fldChar w:fldCharType="separate"/>
        </w:r>
        <w:r w:rsidR="009D338D">
          <w:rPr>
            <w:webHidden/>
          </w:rPr>
          <w:t>359</w:t>
        </w:r>
        <w:r w:rsidR="00F45677">
          <w:rPr>
            <w:webHidden/>
          </w:rPr>
          <w:fldChar w:fldCharType="end"/>
        </w:r>
      </w:hyperlink>
    </w:p>
    <w:p w14:paraId="627A6487" w14:textId="630C0B77" w:rsidR="00F45677" w:rsidRPr="00B04620" w:rsidRDefault="004B48CC">
      <w:pPr>
        <w:pStyle w:val="TOC2"/>
        <w:rPr>
          <w:sz w:val="22"/>
        </w:rPr>
      </w:pPr>
      <w:hyperlink w:anchor="_Toc99659162" w:history="1">
        <w:r w:rsidR="00F45677" w:rsidRPr="003A6FA4">
          <w:rPr>
            <w:rStyle w:val="Hyperlink"/>
          </w:rPr>
          <w:t>8.4</w:t>
        </w:r>
        <w:r w:rsidR="00F45677" w:rsidRPr="00B04620">
          <w:rPr>
            <w:sz w:val="22"/>
          </w:rPr>
          <w:tab/>
        </w:r>
        <w:r w:rsidR="00F45677" w:rsidRPr="003A6FA4">
          <w:rPr>
            <w:rStyle w:val="Hyperlink"/>
          </w:rPr>
          <w:t>Emissions from the Agriculture sector in Tokelau (CRF 6. Tokelau_3)</w:t>
        </w:r>
        <w:r w:rsidR="00F45677">
          <w:rPr>
            <w:webHidden/>
          </w:rPr>
          <w:tab/>
        </w:r>
        <w:r w:rsidR="00F45677">
          <w:rPr>
            <w:webHidden/>
          </w:rPr>
          <w:fldChar w:fldCharType="begin"/>
        </w:r>
        <w:r w:rsidR="00F45677">
          <w:rPr>
            <w:webHidden/>
          </w:rPr>
          <w:instrText xml:space="preserve"> PAGEREF _Toc99659162 \h </w:instrText>
        </w:r>
        <w:r w:rsidR="00F45677">
          <w:rPr>
            <w:webHidden/>
          </w:rPr>
        </w:r>
        <w:r w:rsidR="00F45677">
          <w:rPr>
            <w:webHidden/>
          </w:rPr>
          <w:fldChar w:fldCharType="separate"/>
        </w:r>
        <w:r w:rsidR="009D338D">
          <w:rPr>
            <w:webHidden/>
          </w:rPr>
          <w:t>363</w:t>
        </w:r>
        <w:r w:rsidR="00F45677">
          <w:rPr>
            <w:webHidden/>
          </w:rPr>
          <w:fldChar w:fldCharType="end"/>
        </w:r>
      </w:hyperlink>
    </w:p>
    <w:p w14:paraId="0C6F87E8" w14:textId="64F8A9B6" w:rsidR="00F45677" w:rsidRPr="00B04620" w:rsidRDefault="004B48CC">
      <w:pPr>
        <w:pStyle w:val="TOC2"/>
        <w:rPr>
          <w:sz w:val="22"/>
        </w:rPr>
      </w:pPr>
      <w:hyperlink w:anchor="_Toc99659163" w:history="1">
        <w:r w:rsidR="00F45677" w:rsidRPr="003A6FA4">
          <w:rPr>
            <w:rStyle w:val="Hyperlink"/>
          </w:rPr>
          <w:t xml:space="preserve">8.5 </w:t>
        </w:r>
        <w:r w:rsidR="00F45677" w:rsidRPr="00B04620">
          <w:rPr>
            <w:sz w:val="22"/>
          </w:rPr>
          <w:tab/>
        </w:r>
        <w:r w:rsidR="00F45677" w:rsidRPr="003A6FA4">
          <w:rPr>
            <w:rStyle w:val="Hyperlink"/>
          </w:rPr>
          <w:t>Emissions from the Waste sector in Tokelau (CRF 6 Tokelau_5)</w:t>
        </w:r>
        <w:r w:rsidR="00F45677">
          <w:rPr>
            <w:webHidden/>
          </w:rPr>
          <w:tab/>
        </w:r>
        <w:r w:rsidR="00F45677">
          <w:rPr>
            <w:webHidden/>
          </w:rPr>
          <w:fldChar w:fldCharType="begin"/>
        </w:r>
        <w:r w:rsidR="00F45677">
          <w:rPr>
            <w:webHidden/>
          </w:rPr>
          <w:instrText xml:space="preserve"> PAGEREF _Toc99659163 \h </w:instrText>
        </w:r>
        <w:r w:rsidR="00F45677">
          <w:rPr>
            <w:webHidden/>
          </w:rPr>
        </w:r>
        <w:r w:rsidR="00F45677">
          <w:rPr>
            <w:webHidden/>
          </w:rPr>
          <w:fldChar w:fldCharType="separate"/>
        </w:r>
        <w:r w:rsidR="009D338D">
          <w:rPr>
            <w:webHidden/>
          </w:rPr>
          <w:t>366</w:t>
        </w:r>
        <w:r w:rsidR="00F45677">
          <w:rPr>
            <w:webHidden/>
          </w:rPr>
          <w:fldChar w:fldCharType="end"/>
        </w:r>
      </w:hyperlink>
    </w:p>
    <w:p w14:paraId="2DBD823C" w14:textId="646E2DFD" w:rsidR="00F45677" w:rsidRPr="00B04620" w:rsidRDefault="004B48CC">
      <w:pPr>
        <w:pStyle w:val="TOC2"/>
        <w:rPr>
          <w:sz w:val="22"/>
        </w:rPr>
      </w:pPr>
      <w:hyperlink w:anchor="_Toc99659164" w:history="1">
        <w:r w:rsidR="00F45677" w:rsidRPr="003A6FA4">
          <w:rPr>
            <w:rStyle w:val="Hyperlink"/>
          </w:rPr>
          <w:t>Chapter 8: References</w:t>
        </w:r>
        <w:r w:rsidR="00F45677">
          <w:rPr>
            <w:webHidden/>
          </w:rPr>
          <w:tab/>
        </w:r>
        <w:r w:rsidR="00F45677">
          <w:rPr>
            <w:webHidden/>
          </w:rPr>
          <w:fldChar w:fldCharType="begin"/>
        </w:r>
        <w:r w:rsidR="00F45677">
          <w:rPr>
            <w:webHidden/>
          </w:rPr>
          <w:instrText xml:space="preserve"> PAGEREF _Toc99659164 \h </w:instrText>
        </w:r>
        <w:r w:rsidR="00F45677">
          <w:rPr>
            <w:webHidden/>
          </w:rPr>
        </w:r>
        <w:r w:rsidR="00F45677">
          <w:rPr>
            <w:webHidden/>
          </w:rPr>
          <w:fldChar w:fldCharType="separate"/>
        </w:r>
        <w:r w:rsidR="009D338D">
          <w:rPr>
            <w:webHidden/>
          </w:rPr>
          <w:t>373</w:t>
        </w:r>
        <w:r w:rsidR="00F45677">
          <w:rPr>
            <w:webHidden/>
          </w:rPr>
          <w:fldChar w:fldCharType="end"/>
        </w:r>
      </w:hyperlink>
    </w:p>
    <w:p w14:paraId="5A39FF0D" w14:textId="4B7A5595" w:rsidR="00F45677" w:rsidRPr="00B04620" w:rsidRDefault="004B48CC">
      <w:pPr>
        <w:pStyle w:val="TOC1"/>
        <w:rPr>
          <w:sz w:val="22"/>
        </w:rPr>
      </w:pPr>
      <w:hyperlink w:anchor="_Toc99659165" w:history="1">
        <w:r w:rsidR="00F45677" w:rsidRPr="003A6FA4">
          <w:rPr>
            <w:rStyle w:val="Hyperlink"/>
          </w:rPr>
          <w:t>Chapter 9: Indirect carbon dioxide and nitrous oxide emissions</w:t>
        </w:r>
        <w:r w:rsidR="00F45677">
          <w:rPr>
            <w:webHidden/>
          </w:rPr>
          <w:tab/>
        </w:r>
        <w:r w:rsidR="00F45677">
          <w:rPr>
            <w:webHidden/>
          </w:rPr>
          <w:fldChar w:fldCharType="begin"/>
        </w:r>
        <w:r w:rsidR="00F45677">
          <w:rPr>
            <w:webHidden/>
          </w:rPr>
          <w:instrText xml:space="preserve"> PAGEREF _Toc99659165 \h </w:instrText>
        </w:r>
        <w:r w:rsidR="00F45677">
          <w:rPr>
            <w:webHidden/>
          </w:rPr>
        </w:r>
        <w:r w:rsidR="00F45677">
          <w:rPr>
            <w:webHidden/>
          </w:rPr>
          <w:fldChar w:fldCharType="separate"/>
        </w:r>
        <w:r w:rsidR="009D338D">
          <w:rPr>
            <w:webHidden/>
          </w:rPr>
          <w:t>374</w:t>
        </w:r>
        <w:r w:rsidR="00F45677">
          <w:rPr>
            <w:webHidden/>
          </w:rPr>
          <w:fldChar w:fldCharType="end"/>
        </w:r>
      </w:hyperlink>
    </w:p>
    <w:p w14:paraId="7DFA8BF5" w14:textId="314F30EB" w:rsidR="00F45677" w:rsidRPr="00B04620" w:rsidRDefault="004B48CC">
      <w:pPr>
        <w:pStyle w:val="TOC1"/>
        <w:rPr>
          <w:sz w:val="22"/>
        </w:rPr>
      </w:pPr>
      <w:hyperlink w:anchor="_Toc99659166" w:history="1">
        <w:r w:rsidR="00F45677" w:rsidRPr="003A6FA4">
          <w:rPr>
            <w:rStyle w:val="Hyperlink"/>
          </w:rPr>
          <w:t>Chapter 10: Recalculations and improvements</w:t>
        </w:r>
        <w:r w:rsidR="00F45677">
          <w:rPr>
            <w:webHidden/>
          </w:rPr>
          <w:tab/>
        </w:r>
        <w:r w:rsidR="00F45677">
          <w:rPr>
            <w:webHidden/>
          </w:rPr>
          <w:fldChar w:fldCharType="begin"/>
        </w:r>
        <w:r w:rsidR="00F45677">
          <w:rPr>
            <w:webHidden/>
          </w:rPr>
          <w:instrText xml:space="preserve"> PAGEREF _Toc99659166 \h </w:instrText>
        </w:r>
        <w:r w:rsidR="00F45677">
          <w:rPr>
            <w:webHidden/>
          </w:rPr>
        </w:r>
        <w:r w:rsidR="00F45677">
          <w:rPr>
            <w:webHidden/>
          </w:rPr>
          <w:fldChar w:fldCharType="separate"/>
        </w:r>
        <w:r w:rsidR="009D338D">
          <w:rPr>
            <w:webHidden/>
          </w:rPr>
          <w:t>375</w:t>
        </w:r>
        <w:r w:rsidR="00F45677">
          <w:rPr>
            <w:webHidden/>
          </w:rPr>
          <w:fldChar w:fldCharType="end"/>
        </w:r>
      </w:hyperlink>
    </w:p>
    <w:p w14:paraId="0FD827F9" w14:textId="19F8D9F3" w:rsidR="00F45677" w:rsidRPr="00B04620" w:rsidRDefault="004B48CC">
      <w:pPr>
        <w:pStyle w:val="TOC2"/>
        <w:rPr>
          <w:sz w:val="22"/>
        </w:rPr>
      </w:pPr>
      <w:hyperlink w:anchor="_Toc99659167" w:history="1">
        <w:r w:rsidR="00F45677" w:rsidRPr="003A6FA4">
          <w:rPr>
            <w:rStyle w:val="Hyperlink"/>
          </w:rPr>
          <w:t xml:space="preserve">10.1 </w:t>
        </w:r>
        <w:r w:rsidR="00F45677" w:rsidRPr="00B04620">
          <w:rPr>
            <w:sz w:val="22"/>
          </w:rPr>
          <w:tab/>
        </w:r>
        <w:r w:rsidR="00F45677" w:rsidRPr="003A6FA4">
          <w:rPr>
            <w:rStyle w:val="Hyperlink"/>
          </w:rPr>
          <w:t>Implications and justifications</w:t>
        </w:r>
        <w:r w:rsidR="00F45677">
          <w:rPr>
            <w:webHidden/>
          </w:rPr>
          <w:tab/>
        </w:r>
        <w:r w:rsidR="00F45677">
          <w:rPr>
            <w:webHidden/>
          </w:rPr>
          <w:fldChar w:fldCharType="begin"/>
        </w:r>
        <w:r w:rsidR="00F45677">
          <w:rPr>
            <w:webHidden/>
          </w:rPr>
          <w:instrText xml:space="preserve"> PAGEREF _Toc99659167 \h </w:instrText>
        </w:r>
        <w:r w:rsidR="00F45677">
          <w:rPr>
            <w:webHidden/>
          </w:rPr>
        </w:r>
        <w:r w:rsidR="00F45677">
          <w:rPr>
            <w:webHidden/>
          </w:rPr>
          <w:fldChar w:fldCharType="separate"/>
        </w:r>
        <w:r w:rsidR="009D338D">
          <w:rPr>
            <w:webHidden/>
          </w:rPr>
          <w:t>375</w:t>
        </w:r>
        <w:r w:rsidR="00F45677">
          <w:rPr>
            <w:webHidden/>
          </w:rPr>
          <w:fldChar w:fldCharType="end"/>
        </w:r>
      </w:hyperlink>
    </w:p>
    <w:p w14:paraId="72823992" w14:textId="4BB852D5" w:rsidR="00F45677" w:rsidRPr="00B04620" w:rsidRDefault="004B48CC">
      <w:pPr>
        <w:pStyle w:val="TOC2"/>
        <w:rPr>
          <w:sz w:val="22"/>
        </w:rPr>
      </w:pPr>
      <w:hyperlink w:anchor="_Toc99659168" w:history="1">
        <w:r w:rsidR="00F45677" w:rsidRPr="003A6FA4">
          <w:rPr>
            <w:rStyle w:val="Hyperlink"/>
          </w:rPr>
          <w:t>10.2 Recalculations and planned improvements in response to the review process</w:t>
        </w:r>
        <w:r w:rsidR="00F45677">
          <w:rPr>
            <w:webHidden/>
          </w:rPr>
          <w:tab/>
        </w:r>
        <w:r w:rsidR="00F45677">
          <w:rPr>
            <w:webHidden/>
          </w:rPr>
          <w:fldChar w:fldCharType="begin"/>
        </w:r>
        <w:r w:rsidR="00F45677">
          <w:rPr>
            <w:webHidden/>
          </w:rPr>
          <w:instrText xml:space="preserve"> PAGEREF _Toc99659168 \h </w:instrText>
        </w:r>
        <w:r w:rsidR="00F45677">
          <w:rPr>
            <w:webHidden/>
          </w:rPr>
        </w:r>
        <w:r w:rsidR="00F45677">
          <w:rPr>
            <w:webHidden/>
          </w:rPr>
          <w:fldChar w:fldCharType="separate"/>
        </w:r>
        <w:r w:rsidR="009D338D">
          <w:rPr>
            <w:webHidden/>
          </w:rPr>
          <w:t>388</w:t>
        </w:r>
        <w:r w:rsidR="00F45677">
          <w:rPr>
            <w:webHidden/>
          </w:rPr>
          <w:fldChar w:fldCharType="end"/>
        </w:r>
      </w:hyperlink>
    </w:p>
    <w:p w14:paraId="08E78623" w14:textId="59378237" w:rsidR="00F45677" w:rsidRPr="00B04620" w:rsidRDefault="004B48CC">
      <w:pPr>
        <w:pStyle w:val="TOC2"/>
        <w:rPr>
          <w:sz w:val="22"/>
        </w:rPr>
      </w:pPr>
      <w:hyperlink w:anchor="_Toc99659169" w:history="1">
        <w:r w:rsidR="00F45677" w:rsidRPr="003A6FA4">
          <w:rPr>
            <w:rStyle w:val="Hyperlink"/>
          </w:rPr>
          <w:t>Chapter 10: References</w:t>
        </w:r>
        <w:r w:rsidR="00F45677">
          <w:rPr>
            <w:webHidden/>
          </w:rPr>
          <w:tab/>
        </w:r>
        <w:r w:rsidR="00F45677">
          <w:rPr>
            <w:webHidden/>
          </w:rPr>
          <w:fldChar w:fldCharType="begin"/>
        </w:r>
        <w:r w:rsidR="00F45677">
          <w:rPr>
            <w:webHidden/>
          </w:rPr>
          <w:instrText xml:space="preserve"> PAGEREF _Toc99659169 \h </w:instrText>
        </w:r>
        <w:r w:rsidR="00F45677">
          <w:rPr>
            <w:webHidden/>
          </w:rPr>
        </w:r>
        <w:r w:rsidR="00F45677">
          <w:rPr>
            <w:webHidden/>
          </w:rPr>
          <w:fldChar w:fldCharType="separate"/>
        </w:r>
        <w:r w:rsidR="009D338D">
          <w:rPr>
            <w:webHidden/>
          </w:rPr>
          <w:t>404</w:t>
        </w:r>
        <w:r w:rsidR="00F45677">
          <w:rPr>
            <w:webHidden/>
          </w:rPr>
          <w:fldChar w:fldCharType="end"/>
        </w:r>
      </w:hyperlink>
    </w:p>
    <w:p w14:paraId="35119600" w14:textId="1D358445" w:rsidR="00F45677" w:rsidRPr="00B04620" w:rsidRDefault="004B48CC">
      <w:pPr>
        <w:pStyle w:val="TOC1"/>
        <w:rPr>
          <w:sz w:val="22"/>
        </w:rPr>
      </w:pPr>
      <w:hyperlink w:anchor="_Toc99659170" w:history="1">
        <w:r w:rsidR="00F45677" w:rsidRPr="003A6FA4">
          <w:rPr>
            <w:rStyle w:val="Hyperlink"/>
          </w:rPr>
          <w:t>Chapter 11: KP-LULUCF</w:t>
        </w:r>
        <w:r w:rsidR="00F45677">
          <w:rPr>
            <w:webHidden/>
          </w:rPr>
          <w:tab/>
        </w:r>
        <w:r w:rsidR="00F45677">
          <w:rPr>
            <w:webHidden/>
          </w:rPr>
          <w:fldChar w:fldCharType="begin"/>
        </w:r>
        <w:r w:rsidR="00F45677">
          <w:rPr>
            <w:webHidden/>
          </w:rPr>
          <w:instrText xml:space="preserve"> PAGEREF _Toc99659170 \h </w:instrText>
        </w:r>
        <w:r w:rsidR="00F45677">
          <w:rPr>
            <w:webHidden/>
          </w:rPr>
        </w:r>
        <w:r w:rsidR="00F45677">
          <w:rPr>
            <w:webHidden/>
          </w:rPr>
          <w:fldChar w:fldCharType="separate"/>
        </w:r>
        <w:r w:rsidR="009D338D">
          <w:rPr>
            <w:webHidden/>
          </w:rPr>
          <w:t>405</w:t>
        </w:r>
        <w:r w:rsidR="00F45677">
          <w:rPr>
            <w:webHidden/>
          </w:rPr>
          <w:fldChar w:fldCharType="end"/>
        </w:r>
      </w:hyperlink>
    </w:p>
    <w:p w14:paraId="7EB45B0F" w14:textId="4AC2B430" w:rsidR="00F45677" w:rsidRPr="00B04620" w:rsidRDefault="004B48CC">
      <w:pPr>
        <w:pStyle w:val="TOC2"/>
        <w:rPr>
          <w:sz w:val="22"/>
        </w:rPr>
      </w:pPr>
      <w:hyperlink w:anchor="_Toc99659171" w:history="1">
        <w:r w:rsidR="00F45677" w:rsidRPr="003A6FA4">
          <w:rPr>
            <w:rStyle w:val="Hyperlink"/>
          </w:rPr>
          <w:t xml:space="preserve">11.1 </w:t>
        </w:r>
        <w:r w:rsidR="00F45677" w:rsidRPr="00B04620">
          <w:rPr>
            <w:sz w:val="22"/>
          </w:rPr>
          <w:tab/>
        </w:r>
        <w:r w:rsidR="00F45677" w:rsidRPr="003A6FA4">
          <w:rPr>
            <w:rStyle w:val="Hyperlink"/>
          </w:rPr>
          <w:t>General information</w:t>
        </w:r>
        <w:r w:rsidR="00F45677">
          <w:rPr>
            <w:webHidden/>
          </w:rPr>
          <w:tab/>
        </w:r>
        <w:r w:rsidR="00F45677">
          <w:rPr>
            <w:webHidden/>
          </w:rPr>
          <w:fldChar w:fldCharType="begin"/>
        </w:r>
        <w:r w:rsidR="00F45677">
          <w:rPr>
            <w:webHidden/>
          </w:rPr>
          <w:instrText xml:space="preserve"> PAGEREF _Toc99659171 \h </w:instrText>
        </w:r>
        <w:r w:rsidR="00F45677">
          <w:rPr>
            <w:webHidden/>
          </w:rPr>
        </w:r>
        <w:r w:rsidR="00F45677">
          <w:rPr>
            <w:webHidden/>
          </w:rPr>
          <w:fldChar w:fldCharType="separate"/>
        </w:r>
        <w:r w:rsidR="009D338D">
          <w:rPr>
            <w:webHidden/>
          </w:rPr>
          <w:t>405</w:t>
        </w:r>
        <w:r w:rsidR="00F45677">
          <w:rPr>
            <w:webHidden/>
          </w:rPr>
          <w:fldChar w:fldCharType="end"/>
        </w:r>
      </w:hyperlink>
    </w:p>
    <w:p w14:paraId="68163F37" w14:textId="26BF5FBF" w:rsidR="00F45677" w:rsidRPr="00B04620" w:rsidRDefault="004B48CC">
      <w:pPr>
        <w:pStyle w:val="TOC2"/>
        <w:rPr>
          <w:sz w:val="22"/>
        </w:rPr>
      </w:pPr>
      <w:hyperlink w:anchor="_Toc99659172" w:history="1">
        <w:r w:rsidR="00F45677" w:rsidRPr="003A6FA4">
          <w:rPr>
            <w:rStyle w:val="Hyperlink"/>
          </w:rPr>
          <w:t>11.2</w:t>
        </w:r>
        <w:r w:rsidR="00F45677" w:rsidRPr="00B04620">
          <w:rPr>
            <w:sz w:val="22"/>
          </w:rPr>
          <w:tab/>
        </w:r>
        <w:r w:rsidR="00F45677" w:rsidRPr="003A6FA4">
          <w:rPr>
            <w:rStyle w:val="Hyperlink"/>
          </w:rPr>
          <w:t>Land-related information</w:t>
        </w:r>
        <w:r w:rsidR="00F45677">
          <w:rPr>
            <w:webHidden/>
          </w:rPr>
          <w:tab/>
        </w:r>
        <w:r w:rsidR="00F45677">
          <w:rPr>
            <w:webHidden/>
          </w:rPr>
          <w:fldChar w:fldCharType="begin"/>
        </w:r>
        <w:r w:rsidR="00F45677">
          <w:rPr>
            <w:webHidden/>
          </w:rPr>
          <w:instrText xml:space="preserve"> PAGEREF _Toc99659172 \h </w:instrText>
        </w:r>
        <w:r w:rsidR="00F45677">
          <w:rPr>
            <w:webHidden/>
          </w:rPr>
        </w:r>
        <w:r w:rsidR="00F45677">
          <w:rPr>
            <w:webHidden/>
          </w:rPr>
          <w:fldChar w:fldCharType="separate"/>
        </w:r>
        <w:r w:rsidR="009D338D">
          <w:rPr>
            <w:webHidden/>
          </w:rPr>
          <w:t>410</w:t>
        </w:r>
        <w:r w:rsidR="00F45677">
          <w:rPr>
            <w:webHidden/>
          </w:rPr>
          <w:fldChar w:fldCharType="end"/>
        </w:r>
      </w:hyperlink>
    </w:p>
    <w:p w14:paraId="3884090F" w14:textId="339E7B7D" w:rsidR="00F45677" w:rsidRPr="00B04620" w:rsidRDefault="004B48CC">
      <w:pPr>
        <w:pStyle w:val="TOC2"/>
        <w:rPr>
          <w:sz w:val="22"/>
        </w:rPr>
      </w:pPr>
      <w:hyperlink w:anchor="_Toc99659173" w:history="1">
        <w:r w:rsidR="00F45677" w:rsidRPr="003A6FA4">
          <w:rPr>
            <w:rStyle w:val="Hyperlink"/>
          </w:rPr>
          <w:t>11.3</w:t>
        </w:r>
        <w:r w:rsidR="00F45677" w:rsidRPr="00B04620">
          <w:rPr>
            <w:sz w:val="22"/>
          </w:rPr>
          <w:tab/>
        </w:r>
        <w:r w:rsidR="00F45677" w:rsidRPr="003A6FA4">
          <w:rPr>
            <w:rStyle w:val="Hyperlink"/>
          </w:rPr>
          <w:t>Activity-specific information</w:t>
        </w:r>
        <w:r w:rsidR="00F45677">
          <w:rPr>
            <w:webHidden/>
          </w:rPr>
          <w:tab/>
        </w:r>
        <w:r w:rsidR="00F45677">
          <w:rPr>
            <w:webHidden/>
          </w:rPr>
          <w:fldChar w:fldCharType="begin"/>
        </w:r>
        <w:r w:rsidR="00F45677">
          <w:rPr>
            <w:webHidden/>
          </w:rPr>
          <w:instrText xml:space="preserve"> PAGEREF _Toc99659173 \h </w:instrText>
        </w:r>
        <w:r w:rsidR="00F45677">
          <w:rPr>
            <w:webHidden/>
          </w:rPr>
        </w:r>
        <w:r w:rsidR="00F45677">
          <w:rPr>
            <w:webHidden/>
          </w:rPr>
          <w:fldChar w:fldCharType="separate"/>
        </w:r>
        <w:r w:rsidR="009D338D">
          <w:rPr>
            <w:webHidden/>
          </w:rPr>
          <w:t>412</w:t>
        </w:r>
        <w:r w:rsidR="00F45677">
          <w:rPr>
            <w:webHidden/>
          </w:rPr>
          <w:fldChar w:fldCharType="end"/>
        </w:r>
      </w:hyperlink>
    </w:p>
    <w:p w14:paraId="3C5C4364" w14:textId="73D11293" w:rsidR="00F45677" w:rsidRPr="00B04620" w:rsidRDefault="004B48CC">
      <w:pPr>
        <w:pStyle w:val="TOC2"/>
        <w:rPr>
          <w:sz w:val="22"/>
        </w:rPr>
      </w:pPr>
      <w:hyperlink w:anchor="_Toc99659174" w:history="1">
        <w:r w:rsidR="00F45677" w:rsidRPr="003A6FA4">
          <w:rPr>
            <w:rStyle w:val="Hyperlink"/>
          </w:rPr>
          <w:t>11.4</w:t>
        </w:r>
        <w:r w:rsidR="00F45677" w:rsidRPr="00B04620">
          <w:rPr>
            <w:sz w:val="22"/>
          </w:rPr>
          <w:tab/>
        </w:r>
        <w:r w:rsidR="00F45677" w:rsidRPr="003A6FA4">
          <w:rPr>
            <w:rStyle w:val="Hyperlink"/>
          </w:rPr>
          <w:t>Other methodological issues</w:t>
        </w:r>
        <w:r w:rsidR="00F45677">
          <w:rPr>
            <w:webHidden/>
          </w:rPr>
          <w:tab/>
        </w:r>
        <w:r w:rsidR="00F45677">
          <w:rPr>
            <w:webHidden/>
          </w:rPr>
          <w:fldChar w:fldCharType="begin"/>
        </w:r>
        <w:r w:rsidR="00F45677">
          <w:rPr>
            <w:webHidden/>
          </w:rPr>
          <w:instrText xml:space="preserve"> PAGEREF _Toc99659174 \h </w:instrText>
        </w:r>
        <w:r w:rsidR="00F45677">
          <w:rPr>
            <w:webHidden/>
          </w:rPr>
        </w:r>
        <w:r w:rsidR="00F45677">
          <w:rPr>
            <w:webHidden/>
          </w:rPr>
          <w:fldChar w:fldCharType="separate"/>
        </w:r>
        <w:r w:rsidR="009D338D">
          <w:rPr>
            <w:webHidden/>
          </w:rPr>
          <w:t>429</w:t>
        </w:r>
        <w:r w:rsidR="00F45677">
          <w:rPr>
            <w:webHidden/>
          </w:rPr>
          <w:fldChar w:fldCharType="end"/>
        </w:r>
      </w:hyperlink>
    </w:p>
    <w:p w14:paraId="3A921CFC" w14:textId="5DDDA125" w:rsidR="00F45677" w:rsidRPr="00B04620" w:rsidRDefault="004B48CC">
      <w:pPr>
        <w:pStyle w:val="TOC2"/>
        <w:rPr>
          <w:sz w:val="22"/>
        </w:rPr>
      </w:pPr>
      <w:hyperlink w:anchor="_Toc99659175" w:history="1">
        <w:r w:rsidR="00F45677" w:rsidRPr="003A6FA4">
          <w:rPr>
            <w:rStyle w:val="Hyperlink"/>
          </w:rPr>
          <w:t xml:space="preserve">11.5 </w:t>
        </w:r>
        <w:r w:rsidR="00F45677" w:rsidRPr="00B04620">
          <w:rPr>
            <w:sz w:val="22"/>
          </w:rPr>
          <w:tab/>
        </w:r>
        <w:r w:rsidR="00F45677" w:rsidRPr="003A6FA4">
          <w:rPr>
            <w:rStyle w:val="Hyperlink"/>
          </w:rPr>
          <w:t>Demonstration that activities apply</w:t>
        </w:r>
        <w:r w:rsidR="00F45677">
          <w:rPr>
            <w:webHidden/>
          </w:rPr>
          <w:tab/>
        </w:r>
        <w:r w:rsidR="00F45677">
          <w:rPr>
            <w:webHidden/>
          </w:rPr>
          <w:fldChar w:fldCharType="begin"/>
        </w:r>
        <w:r w:rsidR="00F45677">
          <w:rPr>
            <w:webHidden/>
          </w:rPr>
          <w:instrText xml:space="preserve"> PAGEREF _Toc99659175 \h </w:instrText>
        </w:r>
        <w:r w:rsidR="00F45677">
          <w:rPr>
            <w:webHidden/>
          </w:rPr>
        </w:r>
        <w:r w:rsidR="00F45677">
          <w:rPr>
            <w:webHidden/>
          </w:rPr>
          <w:fldChar w:fldCharType="separate"/>
        </w:r>
        <w:r w:rsidR="009D338D">
          <w:rPr>
            <w:webHidden/>
          </w:rPr>
          <w:t>432</w:t>
        </w:r>
        <w:r w:rsidR="00F45677">
          <w:rPr>
            <w:webHidden/>
          </w:rPr>
          <w:fldChar w:fldCharType="end"/>
        </w:r>
      </w:hyperlink>
    </w:p>
    <w:p w14:paraId="126EB83B" w14:textId="205976AA" w:rsidR="00F45677" w:rsidRPr="00B04620" w:rsidRDefault="004B48CC">
      <w:pPr>
        <w:pStyle w:val="TOC2"/>
        <w:rPr>
          <w:sz w:val="22"/>
        </w:rPr>
      </w:pPr>
      <w:hyperlink w:anchor="_Toc99659176" w:history="1">
        <w:r w:rsidR="00F45677" w:rsidRPr="003A6FA4">
          <w:rPr>
            <w:rStyle w:val="Hyperlink"/>
          </w:rPr>
          <w:t>11.6</w:t>
        </w:r>
        <w:r w:rsidR="00F45677" w:rsidRPr="00B04620">
          <w:rPr>
            <w:sz w:val="22"/>
          </w:rPr>
          <w:tab/>
        </w:r>
        <w:r w:rsidR="00F45677" w:rsidRPr="003A6FA4">
          <w:rPr>
            <w:rStyle w:val="Hyperlink"/>
          </w:rPr>
          <w:t>Other information</w:t>
        </w:r>
        <w:r w:rsidR="00F45677">
          <w:rPr>
            <w:webHidden/>
          </w:rPr>
          <w:tab/>
        </w:r>
        <w:r w:rsidR="00F45677">
          <w:rPr>
            <w:webHidden/>
          </w:rPr>
          <w:fldChar w:fldCharType="begin"/>
        </w:r>
        <w:r w:rsidR="00F45677">
          <w:rPr>
            <w:webHidden/>
          </w:rPr>
          <w:instrText xml:space="preserve"> PAGEREF _Toc99659176 \h </w:instrText>
        </w:r>
        <w:r w:rsidR="00F45677">
          <w:rPr>
            <w:webHidden/>
          </w:rPr>
        </w:r>
        <w:r w:rsidR="00F45677">
          <w:rPr>
            <w:webHidden/>
          </w:rPr>
          <w:fldChar w:fldCharType="separate"/>
        </w:r>
        <w:r w:rsidR="009D338D">
          <w:rPr>
            <w:webHidden/>
          </w:rPr>
          <w:t>436</w:t>
        </w:r>
        <w:r w:rsidR="00F45677">
          <w:rPr>
            <w:webHidden/>
          </w:rPr>
          <w:fldChar w:fldCharType="end"/>
        </w:r>
      </w:hyperlink>
    </w:p>
    <w:p w14:paraId="3C9E6A41" w14:textId="1F9067E0" w:rsidR="00F45677" w:rsidRPr="00B04620" w:rsidRDefault="004B48CC">
      <w:pPr>
        <w:pStyle w:val="TOC2"/>
        <w:rPr>
          <w:sz w:val="22"/>
        </w:rPr>
      </w:pPr>
      <w:hyperlink w:anchor="_Toc99659177" w:history="1">
        <w:r w:rsidR="00F45677" w:rsidRPr="003A6FA4">
          <w:rPr>
            <w:rStyle w:val="Hyperlink"/>
          </w:rPr>
          <w:t>11.7</w:t>
        </w:r>
        <w:r w:rsidR="00F45677" w:rsidRPr="00B04620">
          <w:rPr>
            <w:sz w:val="22"/>
          </w:rPr>
          <w:tab/>
        </w:r>
        <w:r w:rsidR="00F45677" w:rsidRPr="003A6FA4">
          <w:rPr>
            <w:rStyle w:val="Hyperlink"/>
          </w:rPr>
          <w:t>Information relating to Article 6</w:t>
        </w:r>
        <w:r w:rsidR="00F45677">
          <w:rPr>
            <w:webHidden/>
          </w:rPr>
          <w:tab/>
        </w:r>
        <w:r w:rsidR="00F45677">
          <w:rPr>
            <w:webHidden/>
          </w:rPr>
          <w:fldChar w:fldCharType="begin"/>
        </w:r>
        <w:r w:rsidR="00F45677">
          <w:rPr>
            <w:webHidden/>
          </w:rPr>
          <w:instrText xml:space="preserve"> PAGEREF _Toc99659177 \h </w:instrText>
        </w:r>
        <w:r w:rsidR="00F45677">
          <w:rPr>
            <w:webHidden/>
          </w:rPr>
        </w:r>
        <w:r w:rsidR="00F45677">
          <w:rPr>
            <w:webHidden/>
          </w:rPr>
          <w:fldChar w:fldCharType="separate"/>
        </w:r>
        <w:r w:rsidR="009D338D">
          <w:rPr>
            <w:webHidden/>
          </w:rPr>
          <w:t>436</w:t>
        </w:r>
        <w:r w:rsidR="00F45677">
          <w:rPr>
            <w:webHidden/>
          </w:rPr>
          <w:fldChar w:fldCharType="end"/>
        </w:r>
      </w:hyperlink>
    </w:p>
    <w:p w14:paraId="245F09A5" w14:textId="196E4E1E" w:rsidR="00F45677" w:rsidRPr="00B04620" w:rsidRDefault="004B48CC">
      <w:pPr>
        <w:pStyle w:val="TOC2"/>
        <w:rPr>
          <w:sz w:val="22"/>
        </w:rPr>
      </w:pPr>
      <w:hyperlink w:anchor="_Toc99659178" w:history="1">
        <w:r w:rsidR="00F45677" w:rsidRPr="003A6FA4">
          <w:rPr>
            <w:rStyle w:val="Hyperlink"/>
          </w:rPr>
          <w:t>Chapter 11: References</w:t>
        </w:r>
        <w:r w:rsidR="00F45677">
          <w:rPr>
            <w:webHidden/>
          </w:rPr>
          <w:tab/>
        </w:r>
        <w:r w:rsidR="00F45677">
          <w:rPr>
            <w:webHidden/>
          </w:rPr>
          <w:fldChar w:fldCharType="begin"/>
        </w:r>
        <w:r w:rsidR="00F45677">
          <w:rPr>
            <w:webHidden/>
          </w:rPr>
          <w:instrText xml:space="preserve"> PAGEREF _Toc99659178 \h </w:instrText>
        </w:r>
        <w:r w:rsidR="00F45677">
          <w:rPr>
            <w:webHidden/>
          </w:rPr>
        </w:r>
        <w:r w:rsidR="00F45677">
          <w:rPr>
            <w:webHidden/>
          </w:rPr>
          <w:fldChar w:fldCharType="separate"/>
        </w:r>
        <w:r w:rsidR="009D338D">
          <w:rPr>
            <w:webHidden/>
          </w:rPr>
          <w:t>437</w:t>
        </w:r>
        <w:r w:rsidR="00F45677">
          <w:rPr>
            <w:webHidden/>
          </w:rPr>
          <w:fldChar w:fldCharType="end"/>
        </w:r>
      </w:hyperlink>
    </w:p>
    <w:p w14:paraId="6D01C419" w14:textId="16AFD6C9" w:rsidR="00F45677" w:rsidRPr="00B04620" w:rsidRDefault="004B48CC">
      <w:pPr>
        <w:pStyle w:val="TOC1"/>
        <w:rPr>
          <w:sz w:val="22"/>
        </w:rPr>
      </w:pPr>
      <w:hyperlink w:anchor="_Toc99659179" w:history="1">
        <w:r w:rsidR="00F45677" w:rsidRPr="003A6FA4">
          <w:rPr>
            <w:rStyle w:val="Hyperlink"/>
          </w:rPr>
          <w:t>Chapter 12: Information on accounting of the Kyoto Protocol units</w:t>
        </w:r>
        <w:r w:rsidR="00F45677">
          <w:rPr>
            <w:webHidden/>
          </w:rPr>
          <w:tab/>
        </w:r>
        <w:r w:rsidR="00F45677">
          <w:rPr>
            <w:webHidden/>
          </w:rPr>
          <w:fldChar w:fldCharType="begin"/>
        </w:r>
        <w:r w:rsidR="00F45677">
          <w:rPr>
            <w:webHidden/>
          </w:rPr>
          <w:instrText xml:space="preserve"> PAGEREF _Toc99659179 \h </w:instrText>
        </w:r>
        <w:r w:rsidR="00F45677">
          <w:rPr>
            <w:webHidden/>
          </w:rPr>
        </w:r>
        <w:r w:rsidR="00F45677">
          <w:rPr>
            <w:webHidden/>
          </w:rPr>
          <w:fldChar w:fldCharType="separate"/>
        </w:r>
        <w:r w:rsidR="009D338D">
          <w:rPr>
            <w:webHidden/>
          </w:rPr>
          <w:t>439</w:t>
        </w:r>
        <w:r w:rsidR="00F45677">
          <w:rPr>
            <w:webHidden/>
          </w:rPr>
          <w:fldChar w:fldCharType="end"/>
        </w:r>
      </w:hyperlink>
    </w:p>
    <w:p w14:paraId="77CCE605" w14:textId="226B0CD7" w:rsidR="00F45677" w:rsidRPr="00B04620" w:rsidRDefault="004B48CC">
      <w:pPr>
        <w:pStyle w:val="TOC2"/>
        <w:rPr>
          <w:sz w:val="22"/>
        </w:rPr>
      </w:pPr>
      <w:hyperlink w:anchor="_Toc99659180" w:history="1">
        <w:r w:rsidR="00F45677" w:rsidRPr="003A6FA4">
          <w:rPr>
            <w:rStyle w:val="Hyperlink"/>
          </w:rPr>
          <w:t>12.1</w:t>
        </w:r>
        <w:r w:rsidR="00F45677" w:rsidRPr="00B04620">
          <w:rPr>
            <w:sz w:val="22"/>
          </w:rPr>
          <w:tab/>
        </w:r>
        <w:r w:rsidR="00F45677" w:rsidRPr="003A6FA4">
          <w:rPr>
            <w:rStyle w:val="Hyperlink"/>
          </w:rPr>
          <w:t>Background information</w:t>
        </w:r>
        <w:r w:rsidR="00F45677">
          <w:rPr>
            <w:webHidden/>
          </w:rPr>
          <w:tab/>
        </w:r>
        <w:r w:rsidR="00F45677">
          <w:rPr>
            <w:webHidden/>
          </w:rPr>
          <w:fldChar w:fldCharType="begin"/>
        </w:r>
        <w:r w:rsidR="00F45677">
          <w:rPr>
            <w:webHidden/>
          </w:rPr>
          <w:instrText xml:space="preserve"> PAGEREF _Toc99659180 \h </w:instrText>
        </w:r>
        <w:r w:rsidR="00F45677">
          <w:rPr>
            <w:webHidden/>
          </w:rPr>
        </w:r>
        <w:r w:rsidR="00F45677">
          <w:rPr>
            <w:webHidden/>
          </w:rPr>
          <w:fldChar w:fldCharType="separate"/>
        </w:r>
        <w:r w:rsidR="009D338D">
          <w:rPr>
            <w:webHidden/>
          </w:rPr>
          <w:t>439</w:t>
        </w:r>
        <w:r w:rsidR="00F45677">
          <w:rPr>
            <w:webHidden/>
          </w:rPr>
          <w:fldChar w:fldCharType="end"/>
        </w:r>
      </w:hyperlink>
    </w:p>
    <w:p w14:paraId="0AA1403C" w14:textId="2C97333E" w:rsidR="00F45677" w:rsidRPr="00B04620" w:rsidRDefault="004B48CC">
      <w:pPr>
        <w:pStyle w:val="TOC2"/>
        <w:rPr>
          <w:sz w:val="22"/>
        </w:rPr>
      </w:pPr>
      <w:hyperlink w:anchor="_Toc99659181" w:history="1">
        <w:r w:rsidR="00F45677" w:rsidRPr="003A6FA4">
          <w:rPr>
            <w:rStyle w:val="Hyperlink"/>
          </w:rPr>
          <w:t>12.2</w:t>
        </w:r>
        <w:r w:rsidR="00F45677" w:rsidRPr="00B04620">
          <w:rPr>
            <w:sz w:val="22"/>
          </w:rPr>
          <w:tab/>
        </w:r>
        <w:r w:rsidR="00F45677" w:rsidRPr="003A6FA4">
          <w:rPr>
            <w:rStyle w:val="Hyperlink"/>
          </w:rPr>
          <w:t>Summary of the standard electronic format tables for reporting Kyoto Protocol units</w:t>
        </w:r>
        <w:r w:rsidR="00F45677">
          <w:rPr>
            <w:webHidden/>
          </w:rPr>
          <w:tab/>
        </w:r>
        <w:r w:rsidR="00F45677">
          <w:rPr>
            <w:webHidden/>
          </w:rPr>
          <w:fldChar w:fldCharType="begin"/>
        </w:r>
        <w:r w:rsidR="00F45677">
          <w:rPr>
            <w:webHidden/>
          </w:rPr>
          <w:instrText xml:space="preserve"> PAGEREF _Toc99659181 \h </w:instrText>
        </w:r>
        <w:r w:rsidR="00F45677">
          <w:rPr>
            <w:webHidden/>
          </w:rPr>
        </w:r>
        <w:r w:rsidR="00F45677">
          <w:rPr>
            <w:webHidden/>
          </w:rPr>
          <w:fldChar w:fldCharType="separate"/>
        </w:r>
        <w:r w:rsidR="009D338D">
          <w:rPr>
            <w:webHidden/>
          </w:rPr>
          <w:t>439</w:t>
        </w:r>
        <w:r w:rsidR="00F45677">
          <w:rPr>
            <w:webHidden/>
          </w:rPr>
          <w:fldChar w:fldCharType="end"/>
        </w:r>
      </w:hyperlink>
    </w:p>
    <w:p w14:paraId="6729FF5B" w14:textId="6B0CE9C4" w:rsidR="00F45677" w:rsidRPr="00B04620" w:rsidRDefault="004B48CC">
      <w:pPr>
        <w:pStyle w:val="TOC2"/>
        <w:rPr>
          <w:sz w:val="22"/>
        </w:rPr>
      </w:pPr>
      <w:hyperlink w:anchor="_Toc99659182" w:history="1">
        <w:r w:rsidR="00F45677" w:rsidRPr="003A6FA4">
          <w:rPr>
            <w:rStyle w:val="Hyperlink"/>
          </w:rPr>
          <w:t>12.3</w:t>
        </w:r>
        <w:r w:rsidR="00F45677" w:rsidRPr="00B04620">
          <w:rPr>
            <w:sz w:val="22"/>
          </w:rPr>
          <w:tab/>
        </w:r>
        <w:r w:rsidR="00F45677" w:rsidRPr="003A6FA4">
          <w:rPr>
            <w:rStyle w:val="Hyperlink"/>
          </w:rPr>
          <w:t>Discrepancies and notifications</w:t>
        </w:r>
        <w:r w:rsidR="00F45677">
          <w:rPr>
            <w:webHidden/>
          </w:rPr>
          <w:tab/>
        </w:r>
        <w:r w:rsidR="00F45677">
          <w:rPr>
            <w:webHidden/>
          </w:rPr>
          <w:fldChar w:fldCharType="begin"/>
        </w:r>
        <w:r w:rsidR="00F45677">
          <w:rPr>
            <w:webHidden/>
          </w:rPr>
          <w:instrText xml:space="preserve"> PAGEREF _Toc99659182 \h </w:instrText>
        </w:r>
        <w:r w:rsidR="00F45677">
          <w:rPr>
            <w:webHidden/>
          </w:rPr>
        </w:r>
        <w:r w:rsidR="00F45677">
          <w:rPr>
            <w:webHidden/>
          </w:rPr>
          <w:fldChar w:fldCharType="separate"/>
        </w:r>
        <w:r w:rsidR="009D338D">
          <w:rPr>
            <w:webHidden/>
          </w:rPr>
          <w:t>440</w:t>
        </w:r>
        <w:r w:rsidR="00F45677">
          <w:rPr>
            <w:webHidden/>
          </w:rPr>
          <w:fldChar w:fldCharType="end"/>
        </w:r>
      </w:hyperlink>
    </w:p>
    <w:p w14:paraId="513643CA" w14:textId="2E2AADE5" w:rsidR="00F45677" w:rsidRPr="00B04620" w:rsidRDefault="004B48CC">
      <w:pPr>
        <w:pStyle w:val="TOC2"/>
        <w:rPr>
          <w:sz w:val="22"/>
        </w:rPr>
      </w:pPr>
      <w:hyperlink w:anchor="_Toc99659183" w:history="1">
        <w:r w:rsidR="00F45677" w:rsidRPr="003A6FA4">
          <w:rPr>
            <w:rStyle w:val="Hyperlink"/>
          </w:rPr>
          <w:t>12.4</w:t>
        </w:r>
        <w:r w:rsidR="00F45677" w:rsidRPr="00B04620">
          <w:rPr>
            <w:sz w:val="22"/>
          </w:rPr>
          <w:tab/>
        </w:r>
        <w:r w:rsidR="00F45677" w:rsidRPr="003A6FA4">
          <w:rPr>
            <w:rStyle w:val="Hyperlink"/>
          </w:rPr>
          <w:t>Publicly accessible information</w:t>
        </w:r>
        <w:r w:rsidR="00F45677">
          <w:rPr>
            <w:webHidden/>
          </w:rPr>
          <w:tab/>
        </w:r>
        <w:r w:rsidR="00F45677">
          <w:rPr>
            <w:webHidden/>
          </w:rPr>
          <w:fldChar w:fldCharType="begin"/>
        </w:r>
        <w:r w:rsidR="00F45677">
          <w:rPr>
            <w:webHidden/>
          </w:rPr>
          <w:instrText xml:space="preserve"> PAGEREF _Toc99659183 \h </w:instrText>
        </w:r>
        <w:r w:rsidR="00F45677">
          <w:rPr>
            <w:webHidden/>
          </w:rPr>
        </w:r>
        <w:r w:rsidR="00F45677">
          <w:rPr>
            <w:webHidden/>
          </w:rPr>
          <w:fldChar w:fldCharType="separate"/>
        </w:r>
        <w:r w:rsidR="009D338D">
          <w:rPr>
            <w:webHidden/>
          </w:rPr>
          <w:t>440</w:t>
        </w:r>
        <w:r w:rsidR="00F45677">
          <w:rPr>
            <w:webHidden/>
          </w:rPr>
          <w:fldChar w:fldCharType="end"/>
        </w:r>
      </w:hyperlink>
    </w:p>
    <w:p w14:paraId="29D36E48" w14:textId="4C7D7EBB" w:rsidR="00F45677" w:rsidRPr="00B04620" w:rsidRDefault="004B48CC">
      <w:pPr>
        <w:pStyle w:val="TOC2"/>
        <w:rPr>
          <w:sz w:val="22"/>
        </w:rPr>
      </w:pPr>
      <w:hyperlink w:anchor="_Toc99659184" w:history="1">
        <w:r w:rsidR="00F45677" w:rsidRPr="003A6FA4">
          <w:rPr>
            <w:rStyle w:val="Hyperlink"/>
          </w:rPr>
          <w:t>12.5</w:t>
        </w:r>
        <w:r w:rsidR="00F45677" w:rsidRPr="00B04620">
          <w:rPr>
            <w:sz w:val="22"/>
          </w:rPr>
          <w:tab/>
        </w:r>
        <w:r w:rsidR="00F45677" w:rsidRPr="003A6FA4">
          <w:rPr>
            <w:rStyle w:val="Hyperlink"/>
          </w:rPr>
          <w:t>Calculation of the commitment period reserve</w:t>
        </w:r>
        <w:r w:rsidR="00F45677">
          <w:rPr>
            <w:webHidden/>
          </w:rPr>
          <w:tab/>
        </w:r>
        <w:r w:rsidR="00F45677">
          <w:rPr>
            <w:webHidden/>
          </w:rPr>
          <w:fldChar w:fldCharType="begin"/>
        </w:r>
        <w:r w:rsidR="00F45677">
          <w:rPr>
            <w:webHidden/>
          </w:rPr>
          <w:instrText xml:space="preserve"> PAGEREF _Toc99659184 \h </w:instrText>
        </w:r>
        <w:r w:rsidR="00F45677">
          <w:rPr>
            <w:webHidden/>
          </w:rPr>
        </w:r>
        <w:r w:rsidR="00F45677">
          <w:rPr>
            <w:webHidden/>
          </w:rPr>
          <w:fldChar w:fldCharType="separate"/>
        </w:r>
        <w:r w:rsidR="009D338D">
          <w:rPr>
            <w:webHidden/>
          </w:rPr>
          <w:t>444</w:t>
        </w:r>
        <w:r w:rsidR="00F45677">
          <w:rPr>
            <w:webHidden/>
          </w:rPr>
          <w:fldChar w:fldCharType="end"/>
        </w:r>
      </w:hyperlink>
    </w:p>
    <w:p w14:paraId="2F3A8817" w14:textId="3ED123F1" w:rsidR="00F45677" w:rsidRPr="00B04620" w:rsidRDefault="004B48CC">
      <w:pPr>
        <w:pStyle w:val="TOC2"/>
        <w:rPr>
          <w:sz w:val="22"/>
        </w:rPr>
      </w:pPr>
      <w:hyperlink w:anchor="_Toc99659185" w:history="1">
        <w:r w:rsidR="00F45677" w:rsidRPr="003A6FA4">
          <w:rPr>
            <w:rStyle w:val="Hyperlink"/>
          </w:rPr>
          <w:t>Chapter 12: Reference</w:t>
        </w:r>
        <w:r w:rsidR="00F45677">
          <w:rPr>
            <w:webHidden/>
          </w:rPr>
          <w:tab/>
        </w:r>
        <w:r w:rsidR="00F45677">
          <w:rPr>
            <w:webHidden/>
          </w:rPr>
          <w:fldChar w:fldCharType="begin"/>
        </w:r>
        <w:r w:rsidR="00F45677">
          <w:rPr>
            <w:webHidden/>
          </w:rPr>
          <w:instrText xml:space="preserve"> PAGEREF _Toc99659185 \h </w:instrText>
        </w:r>
        <w:r w:rsidR="00F45677">
          <w:rPr>
            <w:webHidden/>
          </w:rPr>
        </w:r>
        <w:r w:rsidR="00F45677">
          <w:rPr>
            <w:webHidden/>
          </w:rPr>
          <w:fldChar w:fldCharType="separate"/>
        </w:r>
        <w:r w:rsidR="009D338D">
          <w:rPr>
            <w:webHidden/>
          </w:rPr>
          <w:t>446</w:t>
        </w:r>
        <w:r w:rsidR="00F45677">
          <w:rPr>
            <w:webHidden/>
          </w:rPr>
          <w:fldChar w:fldCharType="end"/>
        </w:r>
      </w:hyperlink>
    </w:p>
    <w:p w14:paraId="73839C37" w14:textId="14F47704" w:rsidR="00F45677" w:rsidRPr="00B04620" w:rsidRDefault="004B48CC">
      <w:pPr>
        <w:pStyle w:val="TOC1"/>
        <w:rPr>
          <w:sz w:val="22"/>
        </w:rPr>
      </w:pPr>
      <w:hyperlink w:anchor="_Toc99659186" w:history="1">
        <w:r w:rsidR="00F45677" w:rsidRPr="003A6FA4">
          <w:rPr>
            <w:rStyle w:val="Hyperlink"/>
          </w:rPr>
          <w:t>Chapter 13: Information on changes to the national inventory system</w:t>
        </w:r>
        <w:r w:rsidR="00F45677">
          <w:rPr>
            <w:webHidden/>
          </w:rPr>
          <w:tab/>
        </w:r>
        <w:r w:rsidR="00F45677">
          <w:rPr>
            <w:webHidden/>
          </w:rPr>
          <w:fldChar w:fldCharType="begin"/>
        </w:r>
        <w:r w:rsidR="00F45677">
          <w:rPr>
            <w:webHidden/>
          </w:rPr>
          <w:instrText xml:space="preserve"> PAGEREF _Toc99659186 \h </w:instrText>
        </w:r>
        <w:r w:rsidR="00F45677">
          <w:rPr>
            <w:webHidden/>
          </w:rPr>
        </w:r>
        <w:r w:rsidR="00F45677">
          <w:rPr>
            <w:webHidden/>
          </w:rPr>
          <w:fldChar w:fldCharType="separate"/>
        </w:r>
        <w:r w:rsidR="009D338D">
          <w:rPr>
            <w:webHidden/>
          </w:rPr>
          <w:t>447</w:t>
        </w:r>
        <w:r w:rsidR="00F45677">
          <w:rPr>
            <w:webHidden/>
          </w:rPr>
          <w:fldChar w:fldCharType="end"/>
        </w:r>
      </w:hyperlink>
    </w:p>
    <w:p w14:paraId="1B0CDD39" w14:textId="1FD7959F" w:rsidR="00F45677" w:rsidRPr="00B04620" w:rsidRDefault="004B48CC">
      <w:pPr>
        <w:pStyle w:val="TOC1"/>
        <w:rPr>
          <w:sz w:val="22"/>
        </w:rPr>
      </w:pPr>
      <w:hyperlink w:anchor="_Toc99659187" w:history="1">
        <w:r w:rsidR="00F45677" w:rsidRPr="003A6FA4">
          <w:rPr>
            <w:rStyle w:val="Hyperlink"/>
          </w:rPr>
          <w:t>Chapter 14: Information on changes to the national registry</w:t>
        </w:r>
        <w:r w:rsidR="00F45677">
          <w:rPr>
            <w:webHidden/>
          </w:rPr>
          <w:tab/>
        </w:r>
        <w:r w:rsidR="00F45677">
          <w:rPr>
            <w:webHidden/>
          </w:rPr>
          <w:fldChar w:fldCharType="begin"/>
        </w:r>
        <w:r w:rsidR="00F45677">
          <w:rPr>
            <w:webHidden/>
          </w:rPr>
          <w:instrText xml:space="preserve"> PAGEREF _Toc99659187 \h </w:instrText>
        </w:r>
        <w:r w:rsidR="00F45677">
          <w:rPr>
            <w:webHidden/>
          </w:rPr>
        </w:r>
        <w:r w:rsidR="00F45677">
          <w:rPr>
            <w:webHidden/>
          </w:rPr>
          <w:fldChar w:fldCharType="separate"/>
        </w:r>
        <w:r w:rsidR="009D338D">
          <w:rPr>
            <w:webHidden/>
          </w:rPr>
          <w:t>448</w:t>
        </w:r>
        <w:r w:rsidR="00F45677">
          <w:rPr>
            <w:webHidden/>
          </w:rPr>
          <w:fldChar w:fldCharType="end"/>
        </w:r>
      </w:hyperlink>
    </w:p>
    <w:p w14:paraId="578F9545" w14:textId="37C6C80B" w:rsidR="00F45677" w:rsidRPr="00B04620" w:rsidRDefault="004B48CC">
      <w:pPr>
        <w:pStyle w:val="TOC1"/>
        <w:rPr>
          <w:sz w:val="22"/>
        </w:rPr>
      </w:pPr>
      <w:hyperlink w:anchor="_Toc99659188" w:history="1">
        <w:r w:rsidR="00F45677" w:rsidRPr="003A6FA4">
          <w:rPr>
            <w:rStyle w:val="Hyperlink"/>
          </w:rPr>
          <w:t>Chapter 15: Information on minimisation of adverse impacts</w:t>
        </w:r>
        <w:r w:rsidR="00F45677">
          <w:rPr>
            <w:webHidden/>
          </w:rPr>
          <w:tab/>
        </w:r>
        <w:r w:rsidR="00F45677">
          <w:rPr>
            <w:webHidden/>
          </w:rPr>
          <w:fldChar w:fldCharType="begin"/>
        </w:r>
        <w:r w:rsidR="00F45677">
          <w:rPr>
            <w:webHidden/>
          </w:rPr>
          <w:instrText xml:space="preserve"> PAGEREF _Toc99659188 \h </w:instrText>
        </w:r>
        <w:r w:rsidR="00F45677">
          <w:rPr>
            <w:webHidden/>
          </w:rPr>
        </w:r>
        <w:r w:rsidR="00F45677">
          <w:rPr>
            <w:webHidden/>
          </w:rPr>
          <w:fldChar w:fldCharType="separate"/>
        </w:r>
        <w:r w:rsidR="009D338D">
          <w:rPr>
            <w:webHidden/>
          </w:rPr>
          <w:t>450</w:t>
        </w:r>
        <w:r w:rsidR="00F45677">
          <w:rPr>
            <w:webHidden/>
          </w:rPr>
          <w:fldChar w:fldCharType="end"/>
        </w:r>
      </w:hyperlink>
    </w:p>
    <w:p w14:paraId="3A5E4F6F" w14:textId="56F9CD13" w:rsidR="00F45677" w:rsidRPr="00B04620" w:rsidRDefault="004B48CC">
      <w:pPr>
        <w:pStyle w:val="TOC2"/>
        <w:rPr>
          <w:sz w:val="22"/>
        </w:rPr>
      </w:pPr>
      <w:hyperlink w:anchor="_Toc99659189" w:history="1">
        <w:r w:rsidR="00F45677" w:rsidRPr="003A6FA4">
          <w:rPr>
            <w:rStyle w:val="Hyperlink"/>
          </w:rPr>
          <w:t xml:space="preserve">15.1 </w:t>
        </w:r>
        <w:r w:rsidR="00F45677" w:rsidRPr="00B04620">
          <w:rPr>
            <w:sz w:val="22"/>
          </w:rPr>
          <w:tab/>
        </w:r>
        <w:r w:rsidR="00F45677" w:rsidRPr="003A6FA4">
          <w:rPr>
            <w:rStyle w:val="Hyperlink"/>
          </w:rPr>
          <w:t>Overview</w:t>
        </w:r>
        <w:r w:rsidR="00F45677">
          <w:rPr>
            <w:webHidden/>
          </w:rPr>
          <w:tab/>
        </w:r>
        <w:r w:rsidR="00F45677">
          <w:rPr>
            <w:webHidden/>
          </w:rPr>
          <w:fldChar w:fldCharType="begin"/>
        </w:r>
        <w:r w:rsidR="00F45677">
          <w:rPr>
            <w:webHidden/>
          </w:rPr>
          <w:instrText xml:space="preserve"> PAGEREF _Toc99659189 \h </w:instrText>
        </w:r>
        <w:r w:rsidR="00F45677">
          <w:rPr>
            <w:webHidden/>
          </w:rPr>
        </w:r>
        <w:r w:rsidR="00F45677">
          <w:rPr>
            <w:webHidden/>
          </w:rPr>
          <w:fldChar w:fldCharType="separate"/>
        </w:r>
        <w:r w:rsidR="009D338D">
          <w:rPr>
            <w:webHidden/>
          </w:rPr>
          <w:t>450</w:t>
        </w:r>
        <w:r w:rsidR="00F45677">
          <w:rPr>
            <w:webHidden/>
          </w:rPr>
          <w:fldChar w:fldCharType="end"/>
        </w:r>
      </w:hyperlink>
    </w:p>
    <w:p w14:paraId="4F1A2738" w14:textId="6CA476A0" w:rsidR="00F45677" w:rsidRPr="00B04620" w:rsidRDefault="004B48CC">
      <w:pPr>
        <w:pStyle w:val="TOC2"/>
        <w:rPr>
          <w:sz w:val="22"/>
        </w:rPr>
      </w:pPr>
      <w:hyperlink w:anchor="_Toc99659190" w:history="1">
        <w:r w:rsidR="00F45677" w:rsidRPr="003A6FA4">
          <w:rPr>
            <w:rStyle w:val="Hyperlink"/>
          </w:rPr>
          <w:t xml:space="preserve">15.2 </w:t>
        </w:r>
        <w:r w:rsidR="00F45677" w:rsidRPr="00B04620">
          <w:rPr>
            <w:sz w:val="22"/>
          </w:rPr>
          <w:tab/>
        </w:r>
        <w:r w:rsidR="00F45677" w:rsidRPr="003A6FA4">
          <w:rPr>
            <w:rStyle w:val="Hyperlink"/>
          </w:rPr>
          <w:t>Market imperfections, fiscal incentives, tax and duty exemptions and subsidies</w:t>
        </w:r>
        <w:r w:rsidR="00F45677">
          <w:rPr>
            <w:webHidden/>
          </w:rPr>
          <w:tab/>
        </w:r>
        <w:r w:rsidR="00F45677">
          <w:rPr>
            <w:webHidden/>
          </w:rPr>
          <w:fldChar w:fldCharType="begin"/>
        </w:r>
        <w:r w:rsidR="00F45677">
          <w:rPr>
            <w:webHidden/>
          </w:rPr>
          <w:instrText xml:space="preserve"> PAGEREF _Toc99659190 \h </w:instrText>
        </w:r>
        <w:r w:rsidR="00F45677">
          <w:rPr>
            <w:webHidden/>
          </w:rPr>
        </w:r>
        <w:r w:rsidR="00F45677">
          <w:rPr>
            <w:webHidden/>
          </w:rPr>
          <w:fldChar w:fldCharType="separate"/>
        </w:r>
        <w:r w:rsidR="009D338D">
          <w:rPr>
            <w:webHidden/>
          </w:rPr>
          <w:t>451</w:t>
        </w:r>
        <w:r w:rsidR="00F45677">
          <w:rPr>
            <w:webHidden/>
          </w:rPr>
          <w:fldChar w:fldCharType="end"/>
        </w:r>
      </w:hyperlink>
    </w:p>
    <w:p w14:paraId="395F7DA4" w14:textId="3556321C" w:rsidR="00F45677" w:rsidRPr="00B04620" w:rsidRDefault="004B48CC">
      <w:pPr>
        <w:pStyle w:val="TOC2"/>
        <w:rPr>
          <w:sz w:val="22"/>
        </w:rPr>
      </w:pPr>
      <w:hyperlink w:anchor="_Toc99659191" w:history="1">
        <w:r w:rsidR="00F45677" w:rsidRPr="003A6FA4">
          <w:rPr>
            <w:rStyle w:val="Hyperlink"/>
          </w:rPr>
          <w:t xml:space="preserve">15.3 </w:t>
        </w:r>
        <w:r w:rsidR="00F45677" w:rsidRPr="00B04620">
          <w:rPr>
            <w:sz w:val="22"/>
          </w:rPr>
          <w:tab/>
        </w:r>
        <w:r w:rsidR="00F45677" w:rsidRPr="003A6FA4">
          <w:rPr>
            <w:rStyle w:val="Hyperlink"/>
          </w:rPr>
          <w:t>Removal of inefficient fossil fuel subsidies</w:t>
        </w:r>
        <w:r w:rsidR="00F45677">
          <w:rPr>
            <w:webHidden/>
          </w:rPr>
          <w:tab/>
        </w:r>
        <w:r w:rsidR="00F45677">
          <w:rPr>
            <w:webHidden/>
          </w:rPr>
          <w:fldChar w:fldCharType="begin"/>
        </w:r>
        <w:r w:rsidR="00F45677">
          <w:rPr>
            <w:webHidden/>
          </w:rPr>
          <w:instrText xml:space="preserve"> PAGEREF _Toc99659191 \h </w:instrText>
        </w:r>
        <w:r w:rsidR="00F45677">
          <w:rPr>
            <w:webHidden/>
          </w:rPr>
        </w:r>
        <w:r w:rsidR="00F45677">
          <w:rPr>
            <w:webHidden/>
          </w:rPr>
          <w:fldChar w:fldCharType="separate"/>
        </w:r>
        <w:r w:rsidR="009D338D">
          <w:rPr>
            <w:webHidden/>
          </w:rPr>
          <w:t>452</w:t>
        </w:r>
        <w:r w:rsidR="00F45677">
          <w:rPr>
            <w:webHidden/>
          </w:rPr>
          <w:fldChar w:fldCharType="end"/>
        </w:r>
      </w:hyperlink>
    </w:p>
    <w:p w14:paraId="1F63BE71" w14:textId="49982305" w:rsidR="00F45677" w:rsidRPr="00B04620" w:rsidRDefault="004B48CC">
      <w:pPr>
        <w:pStyle w:val="TOC2"/>
        <w:rPr>
          <w:sz w:val="22"/>
        </w:rPr>
      </w:pPr>
      <w:hyperlink w:anchor="_Toc99659192" w:history="1">
        <w:r w:rsidR="00F45677" w:rsidRPr="003A6FA4">
          <w:rPr>
            <w:rStyle w:val="Hyperlink"/>
          </w:rPr>
          <w:t xml:space="preserve">15.4 </w:t>
        </w:r>
        <w:r w:rsidR="00F45677" w:rsidRPr="00B04620">
          <w:rPr>
            <w:sz w:val="22"/>
          </w:rPr>
          <w:tab/>
        </w:r>
        <w:r w:rsidR="00F45677" w:rsidRPr="003A6FA4">
          <w:rPr>
            <w:rStyle w:val="Hyperlink"/>
          </w:rPr>
          <w:t>Technological development of non-energy uses of fossil fuels</w:t>
        </w:r>
        <w:r w:rsidR="00F45677">
          <w:rPr>
            <w:webHidden/>
          </w:rPr>
          <w:tab/>
        </w:r>
        <w:r w:rsidR="00F45677">
          <w:rPr>
            <w:webHidden/>
          </w:rPr>
          <w:fldChar w:fldCharType="begin"/>
        </w:r>
        <w:r w:rsidR="00F45677">
          <w:rPr>
            <w:webHidden/>
          </w:rPr>
          <w:instrText xml:space="preserve"> PAGEREF _Toc99659192 \h </w:instrText>
        </w:r>
        <w:r w:rsidR="00F45677">
          <w:rPr>
            <w:webHidden/>
          </w:rPr>
        </w:r>
        <w:r w:rsidR="00F45677">
          <w:rPr>
            <w:webHidden/>
          </w:rPr>
          <w:fldChar w:fldCharType="separate"/>
        </w:r>
        <w:r w:rsidR="009D338D">
          <w:rPr>
            <w:webHidden/>
          </w:rPr>
          <w:t>453</w:t>
        </w:r>
        <w:r w:rsidR="00F45677">
          <w:rPr>
            <w:webHidden/>
          </w:rPr>
          <w:fldChar w:fldCharType="end"/>
        </w:r>
      </w:hyperlink>
    </w:p>
    <w:p w14:paraId="508DC1ED" w14:textId="2C420141" w:rsidR="00F45677" w:rsidRPr="00B04620" w:rsidRDefault="004B48CC">
      <w:pPr>
        <w:pStyle w:val="TOC2"/>
        <w:rPr>
          <w:sz w:val="22"/>
        </w:rPr>
      </w:pPr>
      <w:hyperlink w:anchor="_Toc99659193" w:history="1">
        <w:r w:rsidR="00F45677" w:rsidRPr="003A6FA4">
          <w:rPr>
            <w:rStyle w:val="Hyperlink"/>
          </w:rPr>
          <w:t xml:space="preserve">15.5 </w:t>
        </w:r>
        <w:r w:rsidR="00F45677" w:rsidRPr="00B04620">
          <w:rPr>
            <w:sz w:val="22"/>
          </w:rPr>
          <w:tab/>
        </w:r>
        <w:r w:rsidR="00F45677" w:rsidRPr="003A6FA4">
          <w:rPr>
            <w:rStyle w:val="Hyperlink"/>
          </w:rPr>
          <w:t>Carbon capture and storage technology development</w:t>
        </w:r>
        <w:r w:rsidR="00F45677">
          <w:rPr>
            <w:webHidden/>
          </w:rPr>
          <w:tab/>
        </w:r>
        <w:r w:rsidR="00F45677">
          <w:rPr>
            <w:webHidden/>
          </w:rPr>
          <w:fldChar w:fldCharType="begin"/>
        </w:r>
        <w:r w:rsidR="00F45677">
          <w:rPr>
            <w:webHidden/>
          </w:rPr>
          <w:instrText xml:space="preserve"> PAGEREF _Toc99659193 \h </w:instrText>
        </w:r>
        <w:r w:rsidR="00F45677">
          <w:rPr>
            <w:webHidden/>
          </w:rPr>
        </w:r>
        <w:r w:rsidR="00F45677">
          <w:rPr>
            <w:webHidden/>
          </w:rPr>
          <w:fldChar w:fldCharType="separate"/>
        </w:r>
        <w:r w:rsidR="009D338D">
          <w:rPr>
            <w:webHidden/>
          </w:rPr>
          <w:t>453</w:t>
        </w:r>
        <w:r w:rsidR="00F45677">
          <w:rPr>
            <w:webHidden/>
          </w:rPr>
          <w:fldChar w:fldCharType="end"/>
        </w:r>
      </w:hyperlink>
    </w:p>
    <w:p w14:paraId="695588DF" w14:textId="054463B7" w:rsidR="00F45677" w:rsidRPr="00B04620" w:rsidRDefault="004B48CC">
      <w:pPr>
        <w:pStyle w:val="TOC2"/>
        <w:rPr>
          <w:sz w:val="22"/>
        </w:rPr>
      </w:pPr>
      <w:hyperlink w:anchor="_Toc99659194" w:history="1">
        <w:r w:rsidR="00F45677" w:rsidRPr="003A6FA4">
          <w:rPr>
            <w:rStyle w:val="Hyperlink"/>
          </w:rPr>
          <w:t xml:space="preserve">15.6 </w:t>
        </w:r>
        <w:r w:rsidR="00F45677" w:rsidRPr="00B04620">
          <w:rPr>
            <w:sz w:val="22"/>
          </w:rPr>
          <w:tab/>
        </w:r>
        <w:r w:rsidR="00F45677" w:rsidRPr="003A6FA4">
          <w:rPr>
            <w:rStyle w:val="Hyperlink"/>
          </w:rPr>
          <w:t>Improvements in fossil fuel efficiencies</w:t>
        </w:r>
        <w:r w:rsidR="00F45677">
          <w:rPr>
            <w:webHidden/>
          </w:rPr>
          <w:tab/>
        </w:r>
        <w:r w:rsidR="00F45677">
          <w:rPr>
            <w:webHidden/>
          </w:rPr>
          <w:fldChar w:fldCharType="begin"/>
        </w:r>
        <w:r w:rsidR="00F45677">
          <w:rPr>
            <w:webHidden/>
          </w:rPr>
          <w:instrText xml:space="preserve"> PAGEREF _Toc99659194 \h </w:instrText>
        </w:r>
        <w:r w:rsidR="00F45677">
          <w:rPr>
            <w:webHidden/>
          </w:rPr>
        </w:r>
        <w:r w:rsidR="00F45677">
          <w:rPr>
            <w:webHidden/>
          </w:rPr>
          <w:fldChar w:fldCharType="separate"/>
        </w:r>
        <w:r w:rsidR="009D338D">
          <w:rPr>
            <w:webHidden/>
          </w:rPr>
          <w:t>453</w:t>
        </w:r>
        <w:r w:rsidR="00F45677">
          <w:rPr>
            <w:webHidden/>
          </w:rPr>
          <w:fldChar w:fldCharType="end"/>
        </w:r>
      </w:hyperlink>
    </w:p>
    <w:p w14:paraId="1170C2CF" w14:textId="696F8EF3" w:rsidR="00F45677" w:rsidRPr="00B04620" w:rsidRDefault="004B48CC">
      <w:pPr>
        <w:pStyle w:val="TOC2"/>
        <w:rPr>
          <w:sz w:val="22"/>
        </w:rPr>
      </w:pPr>
      <w:hyperlink w:anchor="_Toc99659195" w:history="1">
        <w:r w:rsidR="00F45677" w:rsidRPr="003A6FA4">
          <w:rPr>
            <w:rStyle w:val="Hyperlink"/>
          </w:rPr>
          <w:t xml:space="preserve">15.7 </w:t>
        </w:r>
        <w:r w:rsidR="00F45677" w:rsidRPr="00B04620">
          <w:rPr>
            <w:sz w:val="22"/>
          </w:rPr>
          <w:tab/>
        </w:r>
        <w:r w:rsidR="00F45677" w:rsidRPr="003A6FA4">
          <w:rPr>
            <w:rStyle w:val="Hyperlink"/>
          </w:rPr>
          <w:t>Assistance to non-Annex I Parties dependent on the export and consumption of fossil fuels for diversifying their economies</w:t>
        </w:r>
        <w:r w:rsidR="00F45677">
          <w:rPr>
            <w:webHidden/>
          </w:rPr>
          <w:tab/>
        </w:r>
        <w:r w:rsidR="00F45677">
          <w:rPr>
            <w:webHidden/>
          </w:rPr>
          <w:fldChar w:fldCharType="begin"/>
        </w:r>
        <w:r w:rsidR="00F45677">
          <w:rPr>
            <w:webHidden/>
          </w:rPr>
          <w:instrText xml:space="preserve"> PAGEREF _Toc99659195 \h </w:instrText>
        </w:r>
        <w:r w:rsidR="00F45677">
          <w:rPr>
            <w:webHidden/>
          </w:rPr>
        </w:r>
        <w:r w:rsidR="00F45677">
          <w:rPr>
            <w:webHidden/>
          </w:rPr>
          <w:fldChar w:fldCharType="separate"/>
        </w:r>
        <w:r w:rsidR="009D338D">
          <w:rPr>
            <w:webHidden/>
          </w:rPr>
          <w:t>454</w:t>
        </w:r>
        <w:r w:rsidR="00F45677">
          <w:rPr>
            <w:webHidden/>
          </w:rPr>
          <w:fldChar w:fldCharType="end"/>
        </w:r>
      </w:hyperlink>
    </w:p>
    <w:p w14:paraId="2DEE32FA" w14:textId="67720968" w:rsidR="00F45677" w:rsidRPr="00B04620" w:rsidRDefault="004B48CC">
      <w:pPr>
        <w:pStyle w:val="TOC2"/>
        <w:rPr>
          <w:sz w:val="22"/>
        </w:rPr>
      </w:pPr>
      <w:hyperlink w:anchor="_Toc99659196" w:history="1">
        <w:r w:rsidR="00F45677" w:rsidRPr="003A6FA4">
          <w:rPr>
            <w:rStyle w:val="Hyperlink"/>
          </w:rPr>
          <w:t>15.8</w:t>
        </w:r>
        <w:r w:rsidR="00F45677" w:rsidRPr="00B04620">
          <w:rPr>
            <w:sz w:val="22"/>
          </w:rPr>
          <w:tab/>
        </w:r>
        <w:r w:rsidR="00F45677" w:rsidRPr="003A6FA4">
          <w:rPr>
            <w:rStyle w:val="Hyperlink"/>
          </w:rPr>
          <w:t>New Zealand’s IDC climate commitment</w:t>
        </w:r>
        <w:r w:rsidR="00F45677">
          <w:rPr>
            <w:webHidden/>
          </w:rPr>
          <w:tab/>
        </w:r>
        <w:r w:rsidR="00F45677">
          <w:rPr>
            <w:webHidden/>
          </w:rPr>
          <w:fldChar w:fldCharType="begin"/>
        </w:r>
        <w:r w:rsidR="00F45677">
          <w:rPr>
            <w:webHidden/>
          </w:rPr>
          <w:instrText xml:space="preserve"> PAGEREF _Toc99659196 \h </w:instrText>
        </w:r>
        <w:r w:rsidR="00F45677">
          <w:rPr>
            <w:webHidden/>
          </w:rPr>
        </w:r>
        <w:r w:rsidR="00F45677">
          <w:rPr>
            <w:webHidden/>
          </w:rPr>
          <w:fldChar w:fldCharType="separate"/>
        </w:r>
        <w:r w:rsidR="009D338D">
          <w:rPr>
            <w:webHidden/>
          </w:rPr>
          <w:t>455</w:t>
        </w:r>
        <w:r w:rsidR="00F45677">
          <w:rPr>
            <w:webHidden/>
          </w:rPr>
          <w:fldChar w:fldCharType="end"/>
        </w:r>
      </w:hyperlink>
    </w:p>
    <w:p w14:paraId="26266801" w14:textId="500C67CF" w:rsidR="00F45677" w:rsidRPr="00B04620" w:rsidRDefault="004B48CC">
      <w:pPr>
        <w:pStyle w:val="TOC2"/>
        <w:rPr>
          <w:sz w:val="22"/>
        </w:rPr>
      </w:pPr>
      <w:hyperlink w:anchor="_Toc99659197" w:history="1">
        <w:r w:rsidR="00F45677" w:rsidRPr="003A6FA4">
          <w:rPr>
            <w:rStyle w:val="Hyperlink"/>
          </w:rPr>
          <w:t>Chapter 15: Reference</w:t>
        </w:r>
        <w:r w:rsidR="00F45677">
          <w:rPr>
            <w:webHidden/>
          </w:rPr>
          <w:tab/>
        </w:r>
        <w:r w:rsidR="00F45677">
          <w:rPr>
            <w:webHidden/>
          </w:rPr>
          <w:fldChar w:fldCharType="begin"/>
        </w:r>
        <w:r w:rsidR="00F45677">
          <w:rPr>
            <w:webHidden/>
          </w:rPr>
          <w:instrText xml:space="preserve"> PAGEREF _Toc99659197 \h </w:instrText>
        </w:r>
        <w:r w:rsidR="00F45677">
          <w:rPr>
            <w:webHidden/>
          </w:rPr>
        </w:r>
        <w:r w:rsidR="00F45677">
          <w:rPr>
            <w:webHidden/>
          </w:rPr>
          <w:fldChar w:fldCharType="separate"/>
        </w:r>
        <w:r w:rsidR="009D338D">
          <w:rPr>
            <w:webHidden/>
          </w:rPr>
          <w:t>456</w:t>
        </w:r>
        <w:r w:rsidR="00F45677">
          <w:rPr>
            <w:webHidden/>
          </w:rPr>
          <w:fldChar w:fldCharType="end"/>
        </w:r>
      </w:hyperlink>
    </w:p>
    <w:p w14:paraId="1760AF6D" w14:textId="2A70B745" w:rsidR="00E55B2E" w:rsidRDefault="00297D92" w:rsidP="00A34169">
      <w:r>
        <w:rPr>
          <w:noProof/>
          <w:sz w:val="28"/>
        </w:rPr>
        <w:fldChar w:fldCharType="end"/>
      </w:r>
    </w:p>
    <w:p w14:paraId="07D3C7F5" w14:textId="77777777" w:rsidR="00E55B2E" w:rsidRDefault="00E55B2E" w:rsidP="00AE488C">
      <w:pPr>
        <w:pStyle w:val="Heading1"/>
        <w:sectPr w:rsidR="00E55B2E" w:rsidSect="00715D39">
          <w:footerReference w:type="even" r:id="rId17"/>
          <w:pgSz w:w="11907" w:h="16840" w:code="9"/>
          <w:pgMar w:top="1418" w:right="1701" w:bottom="1418" w:left="1701" w:header="567" w:footer="567" w:gutter="0"/>
          <w:pgNumType w:fmt="lowerRoman"/>
          <w:cols w:space="720"/>
        </w:sectPr>
      </w:pPr>
    </w:p>
    <w:p w14:paraId="2CC787D4" w14:textId="358343FB" w:rsidR="006E0A2C" w:rsidRPr="00C21B54" w:rsidRDefault="006E0A2C" w:rsidP="00AE488C">
      <w:pPr>
        <w:pStyle w:val="Heading1"/>
      </w:pPr>
      <w:bookmarkStart w:id="1" w:name="_Toc99659082"/>
      <w:r w:rsidRPr="00C21B54">
        <w:lastRenderedPageBreak/>
        <w:t>Tables</w:t>
      </w:r>
      <w:bookmarkEnd w:id="1"/>
    </w:p>
    <w:p w14:paraId="41940687" w14:textId="21C1E7DC" w:rsidR="0096366C" w:rsidRPr="00B04620" w:rsidRDefault="00D10D90" w:rsidP="00BD3700">
      <w:pPr>
        <w:pStyle w:val="TableofFigures"/>
        <w:ind w:left="1560" w:hanging="1560"/>
        <w:rPr>
          <w:noProof/>
          <w:sz w:val="22"/>
        </w:rPr>
      </w:pPr>
      <w:r>
        <w:rPr>
          <w:rFonts w:ascii="Arial" w:hAnsi="Arial"/>
        </w:rPr>
        <w:fldChar w:fldCharType="begin"/>
      </w:r>
      <w:r>
        <w:rPr>
          <w:rFonts w:ascii="Arial" w:hAnsi="Arial"/>
        </w:rPr>
        <w:instrText xml:space="preserve"> TOC \h \z \t "Table" \c </w:instrText>
      </w:r>
      <w:r>
        <w:rPr>
          <w:rFonts w:ascii="Arial" w:hAnsi="Arial"/>
        </w:rPr>
        <w:fldChar w:fldCharType="separate"/>
      </w:r>
      <w:hyperlink w:anchor="_Toc99659198" w:history="1">
        <w:r w:rsidR="0096366C" w:rsidRPr="00BE1CA1">
          <w:rPr>
            <w:rStyle w:val="Hyperlink"/>
            <w:noProof/>
          </w:rPr>
          <w:t>Table ES 3.1</w:t>
        </w:r>
        <w:r w:rsidR="0096366C" w:rsidRPr="00B04620">
          <w:rPr>
            <w:noProof/>
            <w:sz w:val="22"/>
          </w:rPr>
          <w:tab/>
        </w:r>
        <w:r w:rsidR="0096366C" w:rsidRPr="00BE1CA1">
          <w:rPr>
            <w:rStyle w:val="Hyperlink"/>
            <w:noProof/>
          </w:rPr>
          <w:t>New Zealand’s gross emissions by gas in 1990 and 2020</w:t>
        </w:r>
        <w:r w:rsidR="0096366C">
          <w:rPr>
            <w:noProof/>
            <w:webHidden/>
          </w:rPr>
          <w:tab/>
        </w:r>
        <w:r w:rsidR="0096366C">
          <w:rPr>
            <w:noProof/>
            <w:webHidden/>
          </w:rPr>
          <w:fldChar w:fldCharType="begin"/>
        </w:r>
        <w:r w:rsidR="0096366C">
          <w:rPr>
            <w:noProof/>
            <w:webHidden/>
          </w:rPr>
          <w:instrText xml:space="preserve"> PAGEREF _Toc99659198 \h </w:instrText>
        </w:r>
        <w:r w:rsidR="0096366C">
          <w:rPr>
            <w:noProof/>
            <w:webHidden/>
          </w:rPr>
        </w:r>
        <w:r w:rsidR="0096366C">
          <w:rPr>
            <w:noProof/>
            <w:webHidden/>
          </w:rPr>
          <w:fldChar w:fldCharType="separate"/>
        </w:r>
        <w:r w:rsidR="009D338D">
          <w:rPr>
            <w:noProof/>
            <w:webHidden/>
          </w:rPr>
          <w:t>xxviii</w:t>
        </w:r>
        <w:r w:rsidR="0096366C">
          <w:rPr>
            <w:noProof/>
            <w:webHidden/>
          </w:rPr>
          <w:fldChar w:fldCharType="end"/>
        </w:r>
      </w:hyperlink>
    </w:p>
    <w:p w14:paraId="66CB3611" w14:textId="4465B2A6" w:rsidR="0096366C" w:rsidRPr="00B04620" w:rsidRDefault="004B48CC" w:rsidP="00BD3700">
      <w:pPr>
        <w:pStyle w:val="TableofFigures"/>
        <w:ind w:left="1560" w:hanging="1560"/>
        <w:rPr>
          <w:noProof/>
          <w:sz w:val="22"/>
        </w:rPr>
      </w:pPr>
      <w:hyperlink w:anchor="_Toc99659199" w:history="1">
        <w:r w:rsidR="0096366C" w:rsidRPr="00BE1CA1">
          <w:rPr>
            <w:rStyle w:val="Hyperlink"/>
            <w:noProof/>
          </w:rPr>
          <w:t>Table ES 3.2</w:t>
        </w:r>
        <w:r w:rsidR="0096366C" w:rsidRPr="00B04620">
          <w:rPr>
            <w:noProof/>
            <w:sz w:val="22"/>
          </w:rPr>
          <w:tab/>
        </w:r>
        <w:r w:rsidR="0096366C" w:rsidRPr="00BE1CA1">
          <w:rPr>
            <w:rStyle w:val="Hyperlink"/>
            <w:noProof/>
          </w:rPr>
          <w:t>New Zealand’s indirect greenhouse gas emissions (excluding LULUCF) in 1990 and</w:t>
        </w:r>
        <w:r w:rsidR="00B5617C">
          <w:rPr>
            <w:rStyle w:val="Hyperlink"/>
            <w:noProof/>
          </w:rPr>
          <w:t> </w:t>
        </w:r>
        <w:r w:rsidR="0096366C" w:rsidRPr="00BE1CA1">
          <w:rPr>
            <w:rStyle w:val="Hyperlink"/>
            <w:noProof/>
          </w:rPr>
          <w:t>2020</w:t>
        </w:r>
        <w:r w:rsidR="0096366C">
          <w:rPr>
            <w:noProof/>
            <w:webHidden/>
          </w:rPr>
          <w:tab/>
        </w:r>
        <w:r w:rsidR="0096366C">
          <w:rPr>
            <w:noProof/>
            <w:webHidden/>
          </w:rPr>
          <w:fldChar w:fldCharType="begin"/>
        </w:r>
        <w:r w:rsidR="0096366C">
          <w:rPr>
            <w:noProof/>
            <w:webHidden/>
          </w:rPr>
          <w:instrText xml:space="preserve"> PAGEREF _Toc99659199 \h </w:instrText>
        </w:r>
        <w:r w:rsidR="0096366C">
          <w:rPr>
            <w:noProof/>
            <w:webHidden/>
          </w:rPr>
        </w:r>
        <w:r w:rsidR="0096366C">
          <w:rPr>
            <w:noProof/>
            <w:webHidden/>
          </w:rPr>
          <w:fldChar w:fldCharType="separate"/>
        </w:r>
        <w:r w:rsidR="009D338D">
          <w:rPr>
            <w:noProof/>
            <w:webHidden/>
          </w:rPr>
          <w:t>xxix</w:t>
        </w:r>
        <w:r w:rsidR="0096366C">
          <w:rPr>
            <w:noProof/>
            <w:webHidden/>
          </w:rPr>
          <w:fldChar w:fldCharType="end"/>
        </w:r>
      </w:hyperlink>
    </w:p>
    <w:p w14:paraId="1CE61FE4" w14:textId="274C9520" w:rsidR="0096366C" w:rsidRPr="00B04620" w:rsidRDefault="004B48CC" w:rsidP="00BD3700">
      <w:pPr>
        <w:pStyle w:val="TableofFigures"/>
        <w:ind w:left="1560" w:hanging="1560"/>
        <w:rPr>
          <w:noProof/>
          <w:sz w:val="22"/>
        </w:rPr>
      </w:pPr>
      <w:hyperlink w:anchor="_Toc99659200" w:history="1">
        <w:r w:rsidR="0096366C" w:rsidRPr="00BE1CA1">
          <w:rPr>
            <w:rStyle w:val="Hyperlink"/>
            <w:noProof/>
          </w:rPr>
          <w:t>Table ES 4.1</w:t>
        </w:r>
        <w:r w:rsidR="0096366C" w:rsidRPr="00B04620">
          <w:rPr>
            <w:noProof/>
            <w:sz w:val="22"/>
          </w:rPr>
          <w:tab/>
        </w:r>
        <w:r w:rsidR="0096366C" w:rsidRPr="00BE1CA1">
          <w:rPr>
            <w:rStyle w:val="Hyperlink"/>
            <w:noProof/>
          </w:rPr>
          <w:t>New Zealand’s emissions by sector in 1990 and 2020</w:t>
        </w:r>
        <w:r w:rsidR="0096366C">
          <w:rPr>
            <w:noProof/>
            <w:webHidden/>
          </w:rPr>
          <w:tab/>
        </w:r>
        <w:r w:rsidR="0096366C">
          <w:rPr>
            <w:noProof/>
            <w:webHidden/>
          </w:rPr>
          <w:fldChar w:fldCharType="begin"/>
        </w:r>
        <w:r w:rsidR="0096366C">
          <w:rPr>
            <w:noProof/>
            <w:webHidden/>
          </w:rPr>
          <w:instrText xml:space="preserve"> PAGEREF _Toc99659200 \h </w:instrText>
        </w:r>
        <w:r w:rsidR="0096366C">
          <w:rPr>
            <w:noProof/>
            <w:webHidden/>
          </w:rPr>
        </w:r>
        <w:r w:rsidR="0096366C">
          <w:rPr>
            <w:noProof/>
            <w:webHidden/>
          </w:rPr>
          <w:fldChar w:fldCharType="separate"/>
        </w:r>
        <w:r w:rsidR="009D338D">
          <w:rPr>
            <w:noProof/>
            <w:webHidden/>
          </w:rPr>
          <w:t>xxx</w:t>
        </w:r>
        <w:r w:rsidR="0096366C">
          <w:rPr>
            <w:noProof/>
            <w:webHidden/>
          </w:rPr>
          <w:fldChar w:fldCharType="end"/>
        </w:r>
      </w:hyperlink>
    </w:p>
    <w:p w14:paraId="43622F04" w14:textId="1B3C620A" w:rsidR="0096366C" w:rsidRPr="00B04620" w:rsidRDefault="004B48CC" w:rsidP="00BD3700">
      <w:pPr>
        <w:pStyle w:val="TableofFigures"/>
        <w:tabs>
          <w:tab w:val="left" w:pos="1701"/>
        </w:tabs>
        <w:ind w:left="1560" w:hanging="1560"/>
        <w:rPr>
          <w:noProof/>
          <w:sz w:val="22"/>
        </w:rPr>
      </w:pPr>
      <w:hyperlink w:anchor="_Toc99659201" w:history="1">
        <w:r w:rsidR="0096366C" w:rsidRPr="00BE1CA1">
          <w:rPr>
            <w:rStyle w:val="Hyperlink"/>
            <w:noProof/>
          </w:rPr>
          <w:t>Table ES 5.1(a)</w:t>
        </w:r>
        <w:r w:rsidR="0096366C" w:rsidRPr="00B04620">
          <w:rPr>
            <w:noProof/>
            <w:sz w:val="22"/>
          </w:rPr>
          <w:tab/>
        </w:r>
        <w:r w:rsidR="0096366C" w:rsidRPr="00BE1CA1">
          <w:rPr>
            <w:rStyle w:val="Hyperlink"/>
            <w:noProof/>
          </w:rPr>
          <w:t xml:space="preserve">New Zealand’s land use areas for </w:t>
        </w:r>
        <w:r w:rsidR="0096366C" w:rsidRPr="00BE1CA1">
          <w:rPr>
            <w:rStyle w:val="Hyperlink"/>
            <w:i/>
            <w:iCs/>
            <w:noProof/>
          </w:rPr>
          <w:t>Afforestation and reforestation</w:t>
        </w:r>
        <w:r w:rsidR="0096366C" w:rsidRPr="00BE1CA1">
          <w:rPr>
            <w:rStyle w:val="Hyperlink"/>
            <w:noProof/>
          </w:rPr>
          <w:t xml:space="preserve">, </w:t>
        </w:r>
        <w:r w:rsidR="0096366C" w:rsidRPr="00BE1CA1">
          <w:rPr>
            <w:rStyle w:val="Hyperlink"/>
            <w:i/>
            <w:iCs/>
            <w:noProof/>
          </w:rPr>
          <w:t>Deforestation</w:t>
        </w:r>
        <w:r w:rsidR="0096366C" w:rsidRPr="00BE1CA1">
          <w:rPr>
            <w:rStyle w:val="Hyperlink"/>
            <w:noProof/>
          </w:rPr>
          <w:t xml:space="preserve"> and </w:t>
        </w:r>
        <w:r w:rsidR="0096366C" w:rsidRPr="00BE1CA1">
          <w:rPr>
            <w:rStyle w:val="Hyperlink"/>
            <w:i/>
            <w:iCs/>
            <w:noProof/>
          </w:rPr>
          <w:t>Forest management</w:t>
        </w:r>
        <w:r w:rsidR="0096366C">
          <w:rPr>
            <w:noProof/>
            <w:webHidden/>
          </w:rPr>
          <w:tab/>
        </w:r>
        <w:r w:rsidR="0096366C">
          <w:rPr>
            <w:noProof/>
            <w:webHidden/>
          </w:rPr>
          <w:fldChar w:fldCharType="begin"/>
        </w:r>
        <w:r w:rsidR="0096366C">
          <w:rPr>
            <w:noProof/>
            <w:webHidden/>
          </w:rPr>
          <w:instrText xml:space="preserve"> PAGEREF _Toc99659201 \h </w:instrText>
        </w:r>
        <w:r w:rsidR="0096366C">
          <w:rPr>
            <w:noProof/>
            <w:webHidden/>
          </w:rPr>
        </w:r>
        <w:r w:rsidR="0096366C">
          <w:rPr>
            <w:noProof/>
            <w:webHidden/>
          </w:rPr>
          <w:fldChar w:fldCharType="separate"/>
        </w:r>
        <w:r w:rsidR="009D338D">
          <w:rPr>
            <w:noProof/>
            <w:webHidden/>
          </w:rPr>
          <w:t>xxxviii</w:t>
        </w:r>
        <w:r w:rsidR="0096366C">
          <w:rPr>
            <w:noProof/>
            <w:webHidden/>
          </w:rPr>
          <w:fldChar w:fldCharType="end"/>
        </w:r>
      </w:hyperlink>
    </w:p>
    <w:p w14:paraId="28B28758" w14:textId="224EBD29" w:rsidR="0096366C" w:rsidRPr="00B04620" w:rsidRDefault="004B48CC" w:rsidP="00BD3700">
      <w:pPr>
        <w:pStyle w:val="TableofFigures"/>
        <w:tabs>
          <w:tab w:val="left" w:pos="1701"/>
        </w:tabs>
        <w:ind w:left="1560" w:hanging="1560"/>
        <w:rPr>
          <w:noProof/>
          <w:sz w:val="22"/>
        </w:rPr>
      </w:pPr>
      <w:hyperlink w:anchor="_Toc99659202" w:history="1">
        <w:r w:rsidR="0096366C" w:rsidRPr="00BE1CA1">
          <w:rPr>
            <w:rStyle w:val="Hyperlink"/>
            <w:noProof/>
          </w:rPr>
          <w:t>Table ES 5.1(b)</w:t>
        </w:r>
        <w:r w:rsidR="0096366C" w:rsidRPr="00B04620">
          <w:rPr>
            <w:noProof/>
            <w:sz w:val="22"/>
          </w:rPr>
          <w:tab/>
        </w:r>
        <w:r w:rsidR="0096366C" w:rsidRPr="00BE1CA1">
          <w:rPr>
            <w:rStyle w:val="Hyperlink"/>
            <w:noProof/>
          </w:rPr>
          <w:t xml:space="preserve">New Zealand’s net emissions and accounting quantity by year for </w:t>
        </w:r>
        <w:r w:rsidR="0096366C" w:rsidRPr="00BE1CA1">
          <w:rPr>
            <w:rStyle w:val="Hyperlink"/>
            <w:i/>
            <w:iCs/>
            <w:noProof/>
          </w:rPr>
          <w:t>Afforestation and reforestation</w:t>
        </w:r>
        <w:r w:rsidR="0096366C" w:rsidRPr="00BE1CA1">
          <w:rPr>
            <w:rStyle w:val="Hyperlink"/>
            <w:noProof/>
          </w:rPr>
          <w:t xml:space="preserve">, </w:t>
        </w:r>
        <w:r w:rsidR="0096366C" w:rsidRPr="00BE1CA1">
          <w:rPr>
            <w:rStyle w:val="Hyperlink"/>
            <w:i/>
            <w:iCs/>
            <w:noProof/>
          </w:rPr>
          <w:t>Deforestation</w:t>
        </w:r>
        <w:r w:rsidR="0096366C" w:rsidRPr="00BE1CA1">
          <w:rPr>
            <w:rStyle w:val="Hyperlink"/>
            <w:noProof/>
          </w:rPr>
          <w:t xml:space="preserve"> and </w:t>
        </w:r>
        <w:r w:rsidR="0096366C" w:rsidRPr="00BE1CA1">
          <w:rPr>
            <w:rStyle w:val="Hyperlink"/>
            <w:i/>
            <w:iCs/>
            <w:noProof/>
          </w:rPr>
          <w:t>Forest management</w:t>
        </w:r>
        <w:r w:rsidR="0096366C">
          <w:rPr>
            <w:noProof/>
            <w:webHidden/>
          </w:rPr>
          <w:tab/>
        </w:r>
        <w:r w:rsidR="0096366C">
          <w:rPr>
            <w:noProof/>
            <w:webHidden/>
          </w:rPr>
          <w:fldChar w:fldCharType="begin"/>
        </w:r>
        <w:r w:rsidR="0096366C">
          <w:rPr>
            <w:noProof/>
            <w:webHidden/>
          </w:rPr>
          <w:instrText xml:space="preserve"> PAGEREF _Toc99659202 \h </w:instrText>
        </w:r>
        <w:r w:rsidR="0096366C">
          <w:rPr>
            <w:noProof/>
            <w:webHidden/>
          </w:rPr>
        </w:r>
        <w:r w:rsidR="0096366C">
          <w:rPr>
            <w:noProof/>
            <w:webHidden/>
          </w:rPr>
          <w:fldChar w:fldCharType="separate"/>
        </w:r>
        <w:r w:rsidR="009D338D">
          <w:rPr>
            <w:noProof/>
            <w:webHidden/>
          </w:rPr>
          <w:t>xxxviii</w:t>
        </w:r>
        <w:r w:rsidR="0096366C">
          <w:rPr>
            <w:noProof/>
            <w:webHidden/>
          </w:rPr>
          <w:fldChar w:fldCharType="end"/>
        </w:r>
      </w:hyperlink>
    </w:p>
    <w:p w14:paraId="63FEFB1B" w14:textId="553BBEB2" w:rsidR="0096366C" w:rsidRPr="00B04620" w:rsidRDefault="004B48CC" w:rsidP="00BD3700">
      <w:pPr>
        <w:pStyle w:val="TableofFigures"/>
        <w:ind w:left="1560" w:hanging="1560"/>
        <w:rPr>
          <w:noProof/>
          <w:sz w:val="22"/>
        </w:rPr>
      </w:pPr>
      <w:hyperlink w:anchor="_Toc99659203" w:history="1">
        <w:r w:rsidR="0096366C" w:rsidRPr="00BE1CA1">
          <w:rPr>
            <w:rStyle w:val="Hyperlink"/>
            <w:noProof/>
          </w:rPr>
          <w:t>Table 1.2.1</w:t>
        </w:r>
        <w:r w:rsidR="0096366C" w:rsidRPr="00B04620">
          <w:rPr>
            <w:noProof/>
            <w:sz w:val="22"/>
          </w:rPr>
          <w:tab/>
        </w:r>
        <w:r w:rsidR="0096366C" w:rsidRPr="00BE1CA1">
          <w:rPr>
            <w:rStyle w:val="Hyperlink"/>
            <w:noProof/>
          </w:rPr>
          <w:t>Agency responsible for each sector</w:t>
        </w:r>
        <w:r w:rsidR="0096366C">
          <w:rPr>
            <w:noProof/>
            <w:webHidden/>
          </w:rPr>
          <w:tab/>
        </w:r>
        <w:r w:rsidR="0096366C">
          <w:rPr>
            <w:noProof/>
            <w:webHidden/>
          </w:rPr>
          <w:fldChar w:fldCharType="begin"/>
        </w:r>
        <w:r w:rsidR="0096366C">
          <w:rPr>
            <w:noProof/>
            <w:webHidden/>
          </w:rPr>
          <w:instrText xml:space="preserve"> PAGEREF _Toc99659203 \h </w:instrText>
        </w:r>
        <w:r w:rsidR="0096366C">
          <w:rPr>
            <w:noProof/>
            <w:webHidden/>
          </w:rPr>
        </w:r>
        <w:r w:rsidR="0096366C">
          <w:rPr>
            <w:noProof/>
            <w:webHidden/>
          </w:rPr>
          <w:fldChar w:fldCharType="separate"/>
        </w:r>
        <w:r w:rsidR="009D338D">
          <w:rPr>
            <w:noProof/>
            <w:webHidden/>
          </w:rPr>
          <w:t>12</w:t>
        </w:r>
        <w:r w:rsidR="0096366C">
          <w:rPr>
            <w:noProof/>
            <w:webHidden/>
          </w:rPr>
          <w:fldChar w:fldCharType="end"/>
        </w:r>
      </w:hyperlink>
    </w:p>
    <w:p w14:paraId="47F4273B" w14:textId="1FC1C036" w:rsidR="0096366C" w:rsidRPr="00B04620" w:rsidRDefault="004B48CC" w:rsidP="00BD3700">
      <w:pPr>
        <w:pStyle w:val="TableofFigures"/>
        <w:ind w:left="1560" w:hanging="1560"/>
        <w:rPr>
          <w:noProof/>
          <w:sz w:val="22"/>
        </w:rPr>
      </w:pPr>
      <w:hyperlink w:anchor="_Toc99659204" w:history="1">
        <w:r w:rsidR="0096366C" w:rsidRPr="00BE1CA1">
          <w:rPr>
            <w:rStyle w:val="Hyperlink"/>
            <w:noProof/>
          </w:rPr>
          <w:t>Table 1.5.1</w:t>
        </w:r>
        <w:r w:rsidR="0096366C" w:rsidRPr="00B04620">
          <w:rPr>
            <w:noProof/>
            <w:sz w:val="22"/>
          </w:rPr>
          <w:tab/>
        </w:r>
        <w:r w:rsidR="0096366C" w:rsidRPr="00BE1CA1">
          <w:rPr>
            <w:rStyle w:val="Hyperlink"/>
            <w:noProof/>
          </w:rPr>
          <w:t>Summary of New Zealand’s key categories for the 2020 level assessment and the trend assessment for 1990 to 2020 (including LULUCF activities)</w:t>
        </w:r>
        <w:r w:rsidR="0096366C">
          <w:rPr>
            <w:noProof/>
            <w:webHidden/>
          </w:rPr>
          <w:tab/>
        </w:r>
        <w:r w:rsidR="0096366C">
          <w:rPr>
            <w:noProof/>
            <w:webHidden/>
          </w:rPr>
          <w:fldChar w:fldCharType="begin"/>
        </w:r>
        <w:r w:rsidR="0096366C">
          <w:rPr>
            <w:noProof/>
            <w:webHidden/>
          </w:rPr>
          <w:instrText xml:space="preserve"> PAGEREF _Toc99659204 \h </w:instrText>
        </w:r>
        <w:r w:rsidR="0096366C">
          <w:rPr>
            <w:noProof/>
            <w:webHidden/>
          </w:rPr>
        </w:r>
        <w:r w:rsidR="0096366C">
          <w:rPr>
            <w:noProof/>
            <w:webHidden/>
          </w:rPr>
          <w:fldChar w:fldCharType="separate"/>
        </w:r>
        <w:r w:rsidR="009D338D">
          <w:rPr>
            <w:noProof/>
            <w:webHidden/>
          </w:rPr>
          <w:t>20</w:t>
        </w:r>
        <w:r w:rsidR="0096366C">
          <w:rPr>
            <w:noProof/>
            <w:webHidden/>
          </w:rPr>
          <w:fldChar w:fldCharType="end"/>
        </w:r>
      </w:hyperlink>
    </w:p>
    <w:p w14:paraId="7C91D5E6" w14:textId="41F065C5" w:rsidR="0096366C" w:rsidRPr="00B04620" w:rsidRDefault="004B48CC" w:rsidP="00BD3700">
      <w:pPr>
        <w:pStyle w:val="TableofFigures"/>
        <w:ind w:left="1560" w:hanging="1560"/>
        <w:rPr>
          <w:noProof/>
          <w:sz w:val="22"/>
        </w:rPr>
      </w:pPr>
      <w:hyperlink w:anchor="_Toc99659205" w:history="1">
        <w:r w:rsidR="0096366C" w:rsidRPr="00BE1CA1">
          <w:rPr>
            <w:rStyle w:val="Hyperlink"/>
            <w:noProof/>
          </w:rPr>
          <w:t xml:space="preserve">Table 1.5.2(a &amp; b) </w:t>
        </w:r>
        <w:r w:rsidR="0096366C" w:rsidRPr="00B04620">
          <w:rPr>
            <w:noProof/>
            <w:sz w:val="22"/>
          </w:rPr>
          <w:tab/>
        </w:r>
        <w:r w:rsidR="0096366C" w:rsidRPr="00BE1CA1">
          <w:rPr>
            <w:rStyle w:val="Hyperlink"/>
            <w:bCs/>
            <w:noProof/>
          </w:rPr>
          <w:t>2020</w:t>
        </w:r>
        <w:r w:rsidR="0096366C" w:rsidRPr="00BE1CA1">
          <w:rPr>
            <w:rStyle w:val="Hyperlink"/>
            <w:noProof/>
          </w:rPr>
          <w:t xml:space="preserve"> level assessment for New Zealand’s key category analysis including LULUCF (a) and excluding LULUCF (b)</w:t>
        </w:r>
        <w:r w:rsidR="0096366C">
          <w:rPr>
            <w:noProof/>
            <w:webHidden/>
          </w:rPr>
          <w:tab/>
        </w:r>
        <w:r w:rsidR="0096366C">
          <w:rPr>
            <w:noProof/>
            <w:webHidden/>
          </w:rPr>
          <w:fldChar w:fldCharType="begin"/>
        </w:r>
        <w:r w:rsidR="0096366C">
          <w:rPr>
            <w:noProof/>
            <w:webHidden/>
          </w:rPr>
          <w:instrText xml:space="preserve"> PAGEREF _Toc99659205 \h </w:instrText>
        </w:r>
        <w:r w:rsidR="0096366C">
          <w:rPr>
            <w:noProof/>
            <w:webHidden/>
          </w:rPr>
        </w:r>
        <w:r w:rsidR="0096366C">
          <w:rPr>
            <w:noProof/>
            <w:webHidden/>
          </w:rPr>
          <w:fldChar w:fldCharType="separate"/>
        </w:r>
        <w:r w:rsidR="009D338D">
          <w:rPr>
            <w:noProof/>
            <w:webHidden/>
          </w:rPr>
          <w:t>22</w:t>
        </w:r>
        <w:r w:rsidR="0096366C">
          <w:rPr>
            <w:noProof/>
            <w:webHidden/>
          </w:rPr>
          <w:fldChar w:fldCharType="end"/>
        </w:r>
      </w:hyperlink>
    </w:p>
    <w:p w14:paraId="01C7E619" w14:textId="5ECE78BF" w:rsidR="0096366C" w:rsidRPr="00B04620" w:rsidRDefault="004B48CC" w:rsidP="00BD3700">
      <w:pPr>
        <w:pStyle w:val="TableofFigures"/>
        <w:tabs>
          <w:tab w:val="left" w:pos="2268"/>
        </w:tabs>
        <w:ind w:left="1560" w:hanging="1560"/>
        <w:rPr>
          <w:noProof/>
          <w:sz w:val="22"/>
        </w:rPr>
      </w:pPr>
      <w:hyperlink w:anchor="_Toc99659206" w:history="1">
        <w:r w:rsidR="0096366C" w:rsidRPr="00BE1CA1">
          <w:rPr>
            <w:rStyle w:val="Hyperlink"/>
            <w:noProof/>
          </w:rPr>
          <w:t xml:space="preserve">Table 1.5.3(a &amp; b) </w:t>
        </w:r>
        <w:r w:rsidR="0096366C" w:rsidRPr="00B04620">
          <w:rPr>
            <w:noProof/>
            <w:sz w:val="22"/>
          </w:rPr>
          <w:tab/>
        </w:r>
        <w:r w:rsidR="0096366C" w:rsidRPr="00BE1CA1">
          <w:rPr>
            <w:rStyle w:val="Hyperlink"/>
            <w:bCs/>
            <w:noProof/>
          </w:rPr>
          <w:t>1990</w:t>
        </w:r>
        <w:r w:rsidR="0096366C" w:rsidRPr="00BE1CA1">
          <w:rPr>
            <w:rStyle w:val="Hyperlink"/>
            <w:noProof/>
          </w:rPr>
          <w:t>–</w:t>
        </w:r>
        <w:r w:rsidR="0096366C" w:rsidRPr="00BE1CA1">
          <w:rPr>
            <w:rStyle w:val="Hyperlink"/>
            <w:bCs/>
            <w:noProof/>
          </w:rPr>
          <w:t>2020</w:t>
        </w:r>
        <w:r w:rsidR="0096366C" w:rsidRPr="00BE1CA1">
          <w:rPr>
            <w:rStyle w:val="Hyperlink"/>
            <w:noProof/>
          </w:rPr>
          <w:t xml:space="preserve"> trend assessment for New Zealand’s key category analysis including LULUCF (a) and excluding LULUCF (b)</w:t>
        </w:r>
        <w:r w:rsidR="0096366C">
          <w:rPr>
            <w:noProof/>
            <w:webHidden/>
          </w:rPr>
          <w:tab/>
        </w:r>
        <w:r w:rsidR="0096366C">
          <w:rPr>
            <w:noProof/>
            <w:webHidden/>
          </w:rPr>
          <w:fldChar w:fldCharType="begin"/>
        </w:r>
        <w:r w:rsidR="0096366C">
          <w:rPr>
            <w:noProof/>
            <w:webHidden/>
          </w:rPr>
          <w:instrText xml:space="preserve"> PAGEREF _Toc99659206 \h </w:instrText>
        </w:r>
        <w:r w:rsidR="0096366C">
          <w:rPr>
            <w:noProof/>
            <w:webHidden/>
          </w:rPr>
        </w:r>
        <w:r w:rsidR="0096366C">
          <w:rPr>
            <w:noProof/>
            <w:webHidden/>
          </w:rPr>
          <w:fldChar w:fldCharType="separate"/>
        </w:r>
        <w:r w:rsidR="009D338D">
          <w:rPr>
            <w:noProof/>
            <w:webHidden/>
          </w:rPr>
          <w:t>25</w:t>
        </w:r>
        <w:r w:rsidR="0096366C">
          <w:rPr>
            <w:noProof/>
            <w:webHidden/>
          </w:rPr>
          <w:fldChar w:fldCharType="end"/>
        </w:r>
      </w:hyperlink>
    </w:p>
    <w:p w14:paraId="6CD30533" w14:textId="082CAB9C" w:rsidR="0096366C" w:rsidRPr="00B04620" w:rsidRDefault="004B48CC" w:rsidP="00BD3700">
      <w:pPr>
        <w:pStyle w:val="TableofFigures"/>
        <w:ind w:left="1560" w:hanging="1560"/>
        <w:rPr>
          <w:noProof/>
          <w:sz w:val="22"/>
        </w:rPr>
      </w:pPr>
      <w:hyperlink w:anchor="_Toc99659207" w:history="1">
        <w:r w:rsidR="0096366C" w:rsidRPr="00BE1CA1">
          <w:rPr>
            <w:rStyle w:val="Hyperlink"/>
            <w:noProof/>
          </w:rPr>
          <w:t>Table 1.9.1</w:t>
        </w:r>
        <w:r w:rsidR="0096366C" w:rsidRPr="00B04620">
          <w:rPr>
            <w:noProof/>
            <w:sz w:val="22"/>
          </w:rPr>
          <w:tab/>
        </w:r>
        <w:r w:rsidR="0096366C" w:rsidRPr="00BE1CA1">
          <w:rPr>
            <w:rStyle w:val="Hyperlink"/>
            <w:noProof/>
          </w:rPr>
          <w:t>Dates for sector entry into the New Zealand Emissions Trading Scheme</w:t>
        </w:r>
        <w:r w:rsidR="0096366C">
          <w:rPr>
            <w:noProof/>
            <w:webHidden/>
          </w:rPr>
          <w:tab/>
        </w:r>
        <w:r w:rsidR="0096366C">
          <w:rPr>
            <w:noProof/>
            <w:webHidden/>
          </w:rPr>
          <w:fldChar w:fldCharType="begin"/>
        </w:r>
        <w:r w:rsidR="0096366C">
          <w:rPr>
            <w:noProof/>
            <w:webHidden/>
          </w:rPr>
          <w:instrText xml:space="preserve"> PAGEREF _Toc99659207 \h </w:instrText>
        </w:r>
        <w:r w:rsidR="0096366C">
          <w:rPr>
            <w:noProof/>
            <w:webHidden/>
          </w:rPr>
        </w:r>
        <w:r w:rsidR="0096366C">
          <w:rPr>
            <w:noProof/>
            <w:webHidden/>
          </w:rPr>
          <w:fldChar w:fldCharType="separate"/>
        </w:r>
        <w:r w:rsidR="009D338D">
          <w:rPr>
            <w:noProof/>
            <w:webHidden/>
          </w:rPr>
          <w:t>35</w:t>
        </w:r>
        <w:r w:rsidR="0096366C">
          <w:rPr>
            <w:noProof/>
            <w:webHidden/>
          </w:rPr>
          <w:fldChar w:fldCharType="end"/>
        </w:r>
      </w:hyperlink>
    </w:p>
    <w:p w14:paraId="767B779A" w14:textId="49E1E839" w:rsidR="0096366C" w:rsidRPr="00B04620" w:rsidRDefault="004B48CC" w:rsidP="00BD3700">
      <w:pPr>
        <w:pStyle w:val="TableofFigures"/>
        <w:ind w:left="1560" w:hanging="1560"/>
        <w:rPr>
          <w:noProof/>
          <w:sz w:val="22"/>
        </w:rPr>
      </w:pPr>
      <w:hyperlink w:anchor="_Toc99659208" w:history="1">
        <w:r w:rsidR="0096366C" w:rsidRPr="00BE1CA1">
          <w:rPr>
            <w:rStyle w:val="Hyperlink"/>
            <w:noProof/>
          </w:rPr>
          <w:t>Table 2.2.1</w:t>
        </w:r>
        <w:r w:rsidR="0096366C" w:rsidRPr="00B04620">
          <w:rPr>
            <w:noProof/>
            <w:sz w:val="22"/>
          </w:rPr>
          <w:tab/>
        </w:r>
        <w:r w:rsidR="0096366C" w:rsidRPr="00BE1CA1">
          <w:rPr>
            <w:rStyle w:val="Hyperlink"/>
            <w:noProof/>
          </w:rPr>
          <w:t xml:space="preserve">New Zealand’s emissions by sector between </w:t>
        </w:r>
        <w:r w:rsidR="0096366C" w:rsidRPr="00BE1CA1">
          <w:rPr>
            <w:rStyle w:val="Hyperlink"/>
            <w:bCs/>
            <w:noProof/>
          </w:rPr>
          <w:t>1990</w:t>
        </w:r>
        <w:r w:rsidR="0096366C" w:rsidRPr="00BE1CA1">
          <w:rPr>
            <w:rStyle w:val="Hyperlink"/>
            <w:noProof/>
          </w:rPr>
          <w:t xml:space="preserve"> and </w:t>
        </w:r>
        <w:r w:rsidR="0096366C" w:rsidRPr="00BE1CA1">
          <w:rPr>
            <w:rStyle w:val="Hyperlink"/>
            <w:bCs/>
            <w:noProof/>
          </w:rPr>
          <w:t>2020</w:t>
        </w:r>
        <w:r w:rsidR="0096366C">
          <w:rPr>
            <w:noProof/>
            <w:webHidden/>
          </w:rPr>
          <w:tab/>
        </w:r>
        <w:r w:rsidR="0096366C">
          <w:rPr>
            <w:noProof/>
            <w:webHidden/>
          </w:rPr>
          <w:fldChar w:fldCharType="begin"/>
        </w:r>
        <w:r w:rsidR="0096366C">
          <w:rPr>
            <w:noProof/>
            <w:webHidden/>
          </w:rPr>
          <w:instrText xml:space="preserve"> PAGEREF _Toc99659208 \h </w:instrText>
        </w:r>
        <w:r w:rsidR="0096366C">
          <w:rPr>
            <w:noProof/>
            <w:webHidden/>
          </w:rPr>
        </w:r>
        <w:r w:rsidR="0096366C">
          <w:rPr>
            <w:noProof/>
            <w:webHidden/>
          </w:rPr>
          <w:fldChar w:fldCharType="separate"/>
        </w:r>
        <w:r w:rsidR="009D338D">
          <w:rPr>
            <w:noProof/>
            <w:webHidden/>
          </w:rPr>
          <w:t>48</w:t>
        </w:r>
        <w:r w:rsidR="0096366C">
          <w:rPr>
            <w:noProof/>
            <w:webHidden/>
          </w:rPr>
          <w:fldChar w:fldCharType="end"/>
        </w:r>
      </w:hyperlink>
    </w:p>
    <w:p w14:paraId="79A84C72" w14:textId="7FA5DCB4" w:rsidR="0096366C" w:rsidRPr="00B04620" w:rsidRDefault="004B48CC" w:rsidP="00BD3700">
      <w:pPr>
        <w:pStyle w:val="TableofFigures"/>
        <w:ind w:left="1560" w:hanging="1560"/>
        <w:rPr>
          <w:noProof/>
          <w:sz w:val="22"/>
        </w:rPr>
      </w:pPr>
      <w:hyperlink w:anchor="_Toc99659209" w:history="1">
        <w:r w:rsidR="0096366C" w:rsidRPr="00BE1CA1">
          <w:rPr>
            <w:rStyle w:val="Hyperlink"/>
            <w:noProof/>
          </w:rPr>
          <w:t>Table 2.2.2</w:t>
        </w:r>
        <w:r w:rsidR="0096366C" w:rsidRPr="00B04620">
          <w:rPr>
            <w:noProof/>
            <w:sz w:val="22"/>
          </w:rPr>
          <w:tab/>
        </w:r>
        <w:r w:rsidR="0096366C" w:rsidRPr="00BE1CA1">
          <w:rPr>
            <w:rStyle w:val="Hyperlink"/>
            <w:noProof/>
          </w:rPr>
          <w:t>Emissions from Tokelau</w:t>
        </w:r>
        <w:r w:rsidR="0096366C">
          <w:rPr>
            <w:noProof/>
            <w:webHidden/>
          </w:rPr>
          <w:tab/>
        </w:r>
        <w:r w:rsidR="0096366C">
          <w:rPr>
            <w:noProof/>
            <w:webHidden/>
          </w:rPr>
          <w:fldChar w:fldCharType="begin"/>
        </w:r>
        <w:r w:rsidR="0096366C">
          <w:rPr>
            <w:noProof/>
            <w:webHidden/>
          </w:rPr>
          <w:instrText xml:space="preserve"> PAGEREF _Toc99659209 \h </w:instrText>
        </w:r>
        <w:r w:rsidR="0096366C">
          <w:rPr>
            <w:noProof/>
            <w:webHidden/>
          </w:rPr>
        </w:r>
        <w:r w:rsidR="0096366C">
          <w:rPr>
            <w:noProof/>
            <w:webHidden/>
          </w:rPr>
          <w:fldChar w:fldCharType="separate"/>
        </w:r>
        <w:r w:rsidR="009D338D">
          <w:rPr>
            <w:noProof/>
            <w:webHidden/>
          </w:rPr>
          <w:t>59</w:t>
        </w:r>
        <w:r w:rsidR="0096366C">
          <w:rPr>
            <w:noProof/>
            <w:webHidden/>
          </w:rPr>
          <w:fldChar w:fldCharType="end"/>
        </w:r>
      </w:hyperlink>
    </w:p>
    <w:p w14:paraId="4889BB35" w14:textId="36D4DA85" w:rsidR="0096366C" w:rsidRPr="00B04620" w:rsidRDefault="004B48CC" w:rsidP="00BD3700">
      <w:pPr>
        <w:pStyle w:val="TableofFigures"/>
        <w:ind w:left="1560" w:hanging="1560"/>
        <w:rPr>
          <w:noProof/>
          <w:sz w:val="22"/>
        </w:rPr>
      </w:pPr>
      <w:hyperlink w:anchor="_Toc99659210" w:history="1">
        <w:r w:rsidR="0096366C" w:rsidRPr="00BE1CA1">
          <w:rPr>
            <w:rStyle w:val="Hyperlink"/>
            <w:noProof/>
          </w:rPr>
          <w:t>Table 2.3.1</w:t>
        </w:r>
        <w:r w:rsidR="0096366C" w:rsidRPr="00B04620">
          <w:rPr>
            <w:noProof/>
            <w:sz w:val="22"/>
          </w:rPr>
          <w:tab/>
        </w:r>
        <w:r w:rsidR="0096366C" w:rsidRPr="00BE1CA1">
          <w:rPr>
            <w:rStyle w:val="Hyperlink"/>
            <w:noProof/>
          </w:rPr>
          <w:t>New Zealand’s net emissions and removals from land subject to activities under Article 3.3 and Forest management under Article 3.4 of the Kyoto Protocol</w:t>
        </w:r>
        <w:r w:rsidR="0096366C">
          <w:rPr>
            <w:noProof/>
            <w:webHidden/>
          </w:rPr>
          <w:tab/>
        </w:r>
        <w:r w:rsidR="0096366C">
          <w:rPr>
            <w:noProof/>
            <w:webHidden/>
          </w:rPr>
          <w:fldChar w:fldCharType="begin"/>
        </w:r>
        <w:r w:rsidR="0096366C">
          <w:rPr>
            <w:noProof/>
            <w:webHidden/>
          </w:rPr>
          <w:instrText xml:space="preserve"> PAGEREF _Toc99659210 \h </w:instrText>
        </w:r>
        <w:r w:rsidR="0096366C">
          <w:rPr>
            <w:noProof/>
            <w:webHidden/>
          </w:rPr>
        </w:r>
        <w:r w:rsidR="0096366C">
          <w:rPr>
            <w:noProof/>
            <w:webHidden/>
          </w:rPr>
          <w:fldChar w:fldCharType="separate"/>
        </w:r>
        <w:r w:rsidR="009D338D">
          <w:rPr>
            <w:noProof/>
            <w:webHidden/>
          </w:rPr>
          <w:t>62</w:t>
        </w:r>
        <w:r w:rsidR="0096366C">
          <w:rPr>
            <w:noProof/>
            <w:webHidden/>
          </w:rPr>
          <w:fldChar w:fldCharType="end"/>
        </w:r>
      </w:hyperlink>
    </w:p>
    <w:p w14:paraId="66DFBB97" w14:textId="2B46C782" w:rsidR="0096366C" w:rsidRPr="00B04620" w:rsidRDefault="004B48CC" w:rsidP="00BD3700">
      <w:pPr>
        <w:pStyle w:val="TableofFigures"/>
        <w:ind w:left="1560" w:hanging="1560"/>
        <w:rPr>
          <w:noProof/>
          <w:sz w:val="22"/>
        </w:rPr>
      </w:pPr>
      <w:hyperlink w:anchor="_Toc99659211" w:history="1">
        <w:r w:rsidR="0096366C" w:rsidRPr="00BE1CA1">
          <w:rPr>
            <w:rStyle w:val="Hyperlink"/>
            <w:noProof/>
          </w:rPr>
          <w:t xml:space="preserve">Table 3.1.1 </w:t>
        </w:r>
        <w:r w:rsidR="0096366C" w:rsidRPr="00B04620">
          <w:rPr>
            <w:noProof/>
            <w:sz w:val="22"/>
          </w:rPr>
          <w:tab/>
        </w:r>
        <w:r w:rsidR="0096366C" w:rsidRPr="00BE1CA1">
          <w:rPr>
            <w:rStyle w:val="Hyperlink"/>
            <w:noProof/>
          </w:rPr>
          <w:t>Key categories in the Energy sector</w:t>
        </w:r>
        <w:r w:rsidR="0096366C">
          <w:rPr>
            <w:noProof/>
            <w:webHidden/>
          </w:rPr>
          <w:tab/>
        </w:r>
        <w:r w:rsidR="0096366C">
          <w:rPr>
            <w:noProof/>
            <w:webHidden/>
          </w:rPr>
          <w:fldChar w:fldCharType="begin"/>
        </w:r>
        <w:r w:rsidR="0096366C">
          <w:rPr>
            <w:noProof/>
            <w:webHidden/>
          </w:rPr>
          <w:instrText xml:space="preserve"> PAGEREF _Toc99659211 \h </w:instrText>
        </w:r>
        <w:r w:rsidR="0096366C">
          <w:rPr>
            <w:noProof/>
            <w:webHidden/>
          </w:rPr>
        </w:r>
        <w:r w:rsidR="0096366C">
          <w:rPr>
            <w:noProof/>
            <w:webHidden/>
          </w:rPr>
          <w:fldChar w:fldCharType="separate"/>
        </w:r>
        <w:r w:rsidR="009D338D">
          <w:rPr>
            <w:noProof/>
            <w:webHidden/>
          </w:rPr>
          <w:t>67</w:t>
        </w:r>
        <w:r w:rsidR="0096366C">
          <w:rPr>
            <w:noProof/>
            <w:webHidden/>
          </w:rPr>
          <w:fldChar w:fldCharType="end"/>
        </w:r>
      </w:hyperlink>
    </w:p>
    <w:p w14:paraId="302C79CE" w14:textId="736B8611" w:rsidR="0096366C" w:rsidRPr="00B04620" w:rsidRDefault="004B48CC" w:rsidP="00BD3700">
      <w:pPr>
        <w:pStyle w:val="TableofFigures"/>
        <w:ind w:left="1560" w:hanging="1560"/>
        <w:rPr>
          <w:noProof/>
          <w:sz w:val="22"/>
        </w:rPr>
      </w:pPr>
      <w:hyperlink w:anchor="_Toc99659212" w:history="1">
        <w:r w:rsidR="0096366C" w:rsidRPr="00BE1CA1">
          <w:rPr>
            <w:rStyle w:val="Hyperlink"/>
            <w:rFonts w:cs="Calibri"/>
            <w:noProof/>
          </w:rPr>
          <w:t xml:space="preserve">Table 3.2.1 </w:t>
        </w:r>
        <w:r w:rsidR="0096366C" w:rsidRPr="00B04620">
          <w:rPr>
            <w:noProof/>
            <w:sz w:val="22"/>
          </w:rPr>
          <w:tab/>
        </w:r>
        <w:r w:rsidR="0096366C" w:rsidRPr="00BE1CA1">
          <w:rPr>
            <w:rStyle w:val="Hyperlink"/>
            <w:rFonts w:cs="Calibri"/>
            <w:noProof/>
          </w:rPr>
          <w:t>Use of natural gas as a feedstock in New Zealand</w:t>
        </w:r>
        <w:r w:rsidR="0096366C">
          <w:rPr>
            <w:noProof/>
            <w:webHidden/>
          </w:rPr>
          <w:tab/>
        </w:r>
        <w:r w:rsidR="0096366C">
          <w:rPr>
            <w:noProof/>
            <w:webHidden/>
          </w:rPr>
          <w:fldChar w:fldCharType="begin"/>
        </w:r>
        <w:r w:rsidR="0096366C">
          <w:rPr>
            <w:noProof/>
            <w:webHidden/>
          </w:rPr>
          <w:instrText xml:space="preserve"> PAGEREF _Toc99659212 \h </w:instrText>
        </w:r>
        <w:r w:rsidR="0096366C">
          <w:rPr>
            <w:noProof/>
            <w:webHidden/>
          </w:rPr>
        </w:r>
        <w:r w:rsidR="0096366C">
          <w:rPr>
            <w:noProof/>
            <w:webHidden/>
          </w:rPr>
          <w:fldChar w:fldCharType="separate"/>
        </w:r>
        <w:r w:rsidR="009D338D">
          <w:rPr>
            <w:noProof/>
            <w:webHidden/>
          </w:rPr>
          <w:t>69</w:t>
        </w:r>
        <w:r w:rsidR="0096366C">
          <w:rPr>
            <w:noProof/>
            <w:webHidden/>
          </w:rPr>
          <w:fldChar w:fldCharType="end"/>
        </w:r>
      </w:hyperlink>
    </w:p>
    <w:p w14:paraId="3549A788" w14:textId="366B3506" w:rsidR="0096366C" w:rsidRPr="00B04620" w:rsidRDefault="004B48CC" w:rsidP="00BD3700">
      <w:pPr>
        <w:pStyle w:val="TableofFigures"/>
        <w:ind w:left="1560" w:hanging="1560"/>
        <w:rPr>
          <w:noProof/>
          <w:sz w:val="22"/>
        </w:rPr>
      </w:pPr>
      <w:hyperlink w:anchor="_Toc99659213" w:history="1">
        <w:r w:rsidR="0096366C" w:rsidRPr="00BE1CA1">
          <w:rPr>
            <w:rStyle w:val="Hyperlink"/>
            <w:rFonts w:cs="Calibri"/>
            <w:noProof/>
          </w:rPr>
          <w:t>Table 3.3.1</w:t>
        </w:r>
        <w:r w:rsidR="0096366C" w:rsidRPr="00B04620">
          <w:rPr>
            <w:noProof/>
            <w:sz w:val="22"/>
          </w:rPr>
          <w:tab/>
        </w:r>
        <w:r w:rsidR="0096366C" w:rsidRPr="00BE1CA1">
          <w:rPr>
            <w:rStyle w:val="Hyperlink"/>
            <w:rFonts w:cs="Calibri"/>
            <w:noProof/>
          </w:rPr>
          <w:t>Uncertainty for New Zealand’s Energy sector emission estimates for 2020</w:t>
        </w:r>
        <w:r w:rsidR="0096366C">
          <w:rPr>
            <w:noProof/>
            <w:webHidden/>
          </w:rPr>
          <w:tab/>
        </w:r>
        <w:r w:rsidR="0096366C">
          <w:rPr>
            <w:noProof/>
            <w:webHidden/>
          </w:rPr>
          <w:fldChar w:fldCharType="begin"/>
        </w:r>
        <w:r w:rsidR="0096366C">
          <w:rPr>
            <w:noProof/>
            <w:webHidden/>
          </w:rPr>
          <w:instrText xml:space="preserve"> PAGEREF _Toc99659213 \h </w:instrText>
        </w:r>
        <w:r w:rsidR="0096366C">
          <w:rPr>
            <w:noProof/>
            <w:webHidden/>
          </w:rPr>
        </w:r>
        <w:r w:rsidR="0096366C">
          <w:rPr>
            <w:noProof/>
            <w:webHidden/>
          </w:rPr>
          <w:fldChar w:fldCharType="separate"/>
        </w:r>
        <w:r w:rsidR="009D338D">
          <w:rPr>
            <w:noProof/>
            <w:webHidden/>
          </w:rPr>
          <w:t>80</w:t>
        </w:r>
        <w:r w:rsidR="0096366C">
          <w:rPr>
            <w:noProof/>
            <w:webHidden/>
          </w:rPr>
          <w:fldChar w:fldCharType="end"/>
        </w:r>
      </w:hyperlink>
    </w:p>
    <w:p w14:paraId="65ACE21F" w14:textId="623F0C7D" w:rsidR="0096366C" w:rsidRPr="00B04620" w:rsidRDefault="004B48CC" w:rsidP="00BD3700">
      <w:pPr>
        <w:pStyle w:val="TableofFigures"/>
        <w:ind w:left="1560" w:hanging="1560"/>
        <w:rPr>
          <w:noProof/>
          <w:sz w:val="22"/>
        </w:rPr>
      </w:pPr>
      <w:hyperlink w:anchor="_Toc99659214" w:history="1">
        <w:r w:rsidR="0096366C" w:rsidRPr="00BE1CA1">
          <w:rPr>
            <w:rStyle w:val="Hyperlink"/>
            <w:noProof/>
          </w:rPr>
          <w:t>Table 3.3.2</w:t>
        </w:r>
        <w:r w:rsidR="0096366C" w:rsidRPr="00B04620">
          <w:rPr>
            <w:noProof/>
            <w:sz w:val="22"/>
          </w:rPr>
          <w:tab/>
        </w:r>
        <w:r w:rsidR="0096366C" w:rsidRPr="00BE1CA1">
          <w:rPr>
            <w:rStyle w:val="Hyperlink"/>
            <w:noProof/>
          </w:rPr>
          <w:t xml:space="preserve">Key categories for 1.A.1 </w:t>
        </w:r>
        <w:r w:rsidR="0096366C" w:rsidRPr="00BE1CA1">
          <w:rPr>
            <w:rStyle w:val="Hyperlink"/>
            <w:i/>
            <w:iCs/>
            <w:noProof/>
          </w:rPr>
          <w:t>Energy industries</w:t>
        </w:r>
        <w:r w:rsidR="0096366C">
          <w:rPr>
            <w:noProof/>
            <w:webHidden/>
          </w:rPr>
          <w:tab/>
        </w:r>
        <w:r w:rsidR="0096366C">
          <w:rPr>
            <w:noProof/>
            <w:webHidden/>
          </w:rPr>
          <w:fldChar w:fldCharType="begin"/>
        </w:r>
        <w:r w:rsidR="0096366C">
          <w:rPr>
            <w:noProof/>
            <w:webHidden/>
          </w:rPr>
          <w:instrText xml:space="preserve"> PAGEREF _Toc99659214 \h </w:instrText>
        </w:r>
        <w:r w:rsidR="0096366C">
          <w:rPr>
            <w:noProof/>
            <w:webHidden/>
          </w:rPr>
        </w:r>
        <w:r w:rsidR="0096366C">
          <w:rPr>
            <w:noProof/>
            <w:webHidden/>
          </w:rPr>
          <w:fldChar w:fldCharType="separate"/>
        </w:r>
        <w:r w:rsidR="009D338D">
          <w:rPr>
            <w:noProof/>
            <w:webHidden/>
          </w:rPr>
          <w:t>81</w:t>
        </w:r>
        <w:r w:rsidR="0096366C">
          <w:rPr>
            <w:noProof/>
            <w:webHidden/>
          </w:rPr>
          <w:fldChar w:fldCharType="end"/>
        </w:r>
      </w:hyperlink>
    </w:p>
    <w:p w14:paraId="346BB7AC" w14:textId="4E4579A8" w:rsidR="0096366C" w:rsidRPr="00B04620" w:rsidRDefault="004B48CC" w:rsidP="00BD3700">
      <w:pPr>
        <w:pStyle w:val="TableofFigures"/>
        <w:ind w:left="1560" w:hanging="1560"/>
        <w:rPr>
          <w:noProof/>
          <w:sz w:val="22"/>
        </w:rPr>
      </w:pPr>
      <w:hyperlink w:anchor="_Toc99659215" w:history="1">
        <w:r w:rsidR="0096366C" w:rsidRPr="00BE1CA1">
          <w:rPr>
            <w:rStyle w:val="Hyperlink"/>
            <w:noProof/>
          </w:rPr>
          <w:t>Table 3.3.3</w:t>
        </w:r>
        <w:r w:rsidR="0096366C" w:rsidRPr="00B04620">
          <w:rPr>
            <w:noProof/>
            <w:sz w:val="22"/>
          </w:rPr>
          <w:tab/>
        </w:r>
        <w:r w:rsidR="0096366C" w:rsidRPr="00BE1CA1">
          <w:rPr>
            <w:rStyle w:val="Hyperlink"/>
            <w:noProof/>
          </w:rPr>
          <w:t xml:space="preserve">Key categories for 1.A.2 </w:t>
        </w:r>
        <w:r w:rsidR="0096366C" w:rsidRPr="00BE1CA1">
          <w:rPr>
            <w:rStyle w:val="Hyperlink"/>
            <w:i/>
            <w:iCs/>
            <w:noProof/>
          </w:rPr>
          <w:t>Manufacturing industries and construction</w:t>
        </w:r>
        <w:r w:rsidR="0096366C">
          <w:rPr>
            <w:noProof/>
            <w:webHidden/>
          </w:rPr>
          <w:tab/>
        </w:r>
        <w:r w:rsidR="0096366C">
          <w:rPr>
            <w:noProof/>
            <w:webHidden/>
          </w:rPr>
          <w:fldChar w:fldCharType="begin"/>
        </w:r>
        <w:r w:rsidR="0096366C">
          <w:rPr>
            <w:noProof/>
            <w:webHidden/>
          </w:rPr>
          <w:instrText xml:space="preserve"> PAGEREF _Toc99659215 \h </w:instrText>
        </w:r>
        <w:r w:rsidR="0096366C">
          <w:rPr>
            <w:noProof/>
            <w:webHidden/>
          </w:rPr>
        </w:r>
        <w:r w:rsidR="0096366C">
          <w:rPr>
            <w:noProof/>
            <w:webHidden/>
          </w:rPr>
          <w:fldChar w:fldCharType="separate"/>
        </w:r>
        <w:r w:rsidR="009D338D">
          <w:rPr>
            <w:noProof/>
            <w:webHidden/>
          </w:rPr>
          <w:t>85</w:t>
        </w:r>
        <w:r w:rsidR="0096366C">
          <w:rPr>
            <w:noProof/>
            <w:webHidden/>
          </w:rPr>
          <w:fldChar w:fldCharType="end"/>
        </w:r>
      </w:hyperlink>
    </w:p>
    <w:p w14:paraId="2372175B" w14:textId="225BF057" w:rsidR="0096366C" w:rsidRPr="00B04620" w:rsidRDefault="004B48CC" w:rsidP="00BD3700">
      <w:pPr>
        <w:pStyle w:val="TableofFigures"/>
        <w:ind w:left="1560" w:hanging="1560"/>
        <w:rPr>
          <w:noProof/>
          <w:sz w:val="22"/>
        </w:rPr>
      </w:pPr>
      <w:hyperlink w:anchor="_Toc99659216" w:history="1">
        <w:r w:rsidR="0096366C" w:rsidRPr="00BE1CA1">
          <w:rPr>
            <w:rStyle w:val="Hyperlink"/>
            <w:rFonts w:cs="Calibri"/>
            <w:noProof/>
          </w:rPr>
          <w:t xml:space="preserve">Table 3.3.4 </w:t>
        </w:r>
        <w:r w:rsidR="0096366C" w:rsidRPr="00B04620">
          <w:rPr>
            <w:noProof/>
            <w:sz w:val="22"/>
          </w:rPr>
          <w:tab/>
        </w:r>
        <w:r w:rsidR="0096366C" w:rsidRPr="00BE1CA1">
          <w:rPr>
            <w:rStyle w:val="Hyperlink"/>
            <w:rFonts w:cs="Calibri"/>
            <w:noProof/>
          </w:rPr>
          <w:t xml:space="preserve">Solid biomass splits for 2006 that were used to disaggregate the </w:t>
        </w:r>
        <w:r w:rsidR="0096366C" w:rsidRPr="00BE1CA1">
          <w:rPr>
            <w:rStyle w:val="Hyperlink"/>
            <w:rFonts w:cs="Calibri"/>
            <w:i/>
            <w:iCs/>
            <w:noProof/>
          </w:rPr>
          <w:t>Manufacturing industries and construction</w:t>
        </w:r>
        <w:r w:rsidR="0096366C" w:rsidRPr="00BE1CA1">
          <w:rPr>
            <w:rStyle w:val="Hyperlink"/>
            <w:rFonts w:cs="Calibri"/>
            <w:noProof/>
          </w:rPr>
          <w:t xml:space="preserve"> category between 1990 and 2020</w:t>
        </w:r>
        <w:r w:rsidR="0096366C">
          <w:rPr>
            <w:noProof/>
            <w:webHidden/>
          </w:rPr>
          <w:tab/>
        </w:r>
        <w:r w:rsidR="0096366C">
          <w:rPr>
            <w:noProof/>
            <w:webHidden/>
          </w:rPr>
          <w:fldChar w:fldCharType="begin"/>
        </w:r>
        <w:r w:rsidR="0096366C">
          <w:rPr>
            <w:noProof/>
            <w:webHidden/>
          </w:rPr>
          <w:instrText xml:space="preserve"> PAGEREF _Toc99659216 \h </w:instrText>
        </w:r>
        <w:r w:rsidR="0096366C">
          <w:rPr>
            <w:noProof/>
            <w:webHidden/>
          </w:rPr>
        </w:r>
        <w:r w:rsidR="0096366C">
          <w:rPr>
            <w:noProof/>
            <w:webHidden/>
          </w:rPr>
          <w:fldChar w:fldCharType="separate"/>
        </w:r>
        <w:r w:rsidR="009D338D">
          <w:rPr>
            <w:noProof/>
            <w:webHidden/>
          </w:rPr>
          <w:t>86</w:t>
        </w:r>
        <w:r w:rsidR="0096366C">
          <w:rPr>
            <w:noProof/>
            <w:webHidden/>
          </w:rPr>
          <w:fldChar w:fldCharType="end"/>
        </w:r>
      </w:hyperlink>
    </w:p>
    <w:p w14:paraId="6AF6B7AD" w14:textId="34C217A8" w:rsidR="0096366C" w:rsidRPr="00B04620" w:rsidRDefault="004B48CC" w:rsidP="00BD3700">
      <w:pPr>
        <w:pStyle w:val="TableofFigures"/>
        <w:ind w:left="1560" w:hanging="1560"/>
        <w:rPr>
          <w:noProof/>
          <w:sz w:val="22"/>
        </w:rPr>
      </w:pPr>
      <w:hyperlink w:anchor="_Toc99659217" w:history="1">
        <w:r w:rsidR="0096366C" w:rsidRPr="00BE1CA1">
          <w:rPr>
            <w:rStyle w:val="Hyperlink"/>
            <w:rFonts w:cs="Calibri"/>
            <w:noProof/>
          </w:rPr>
          <w:t xml:space="preserve">Table 3.3.5 </w:t>
        </w:r>
        <w:r w:rsidR="0096366C" w:rsidRPr="00B04620">
          <w:rPr>
            <w:noProof/>
            <w:sz w:val="22"/>
          </w:rPr>
          <w:tab/>
        </w:r>
        <w:r w:rsidR="0096366C" w:rsidRPr="00BE1CA1">
          <w:rPr>
            <w:rStyle w:val="Hyperlink"/>
            <w:rFonts w:cs="Calibri"/>
            <w:noProof/>
          </w:rPr>
          <w:t>Energy intensity values used to disaggregate liquid fuel use for manufacturing (gigajoules </w:t>
        </w:r>
        <w:r w:rsidR="0096366C" w:rsidRPr="00BE1CA1">
          <w:rPr>
            <w:rStyle w:val="Hyperlink"/>
            <w:noProof/>
          </w:rPr>
          <w:t>per </w:t>
        </w:r>
        <w:r w:rsidR="0096366C" w:rsidRPr="00BE1CA1">
          <w:rPr>
            <w:rStyle w:val="Hyperlink"/>
            <w:rFonts w:cs="Calibri"/>
            <w:noProof/>
          </w:rPr>
          <w:t>gross domestic product index)</w:t>
        </w:r>
        <w:r w:rsidR="0096366C">
          <w:rPr>
            <w:noProof/>
            <w:webHidden/>
          </w:rPr>
          <w:tab/>
        </w:r>
        <w:r w:rsidR="0096366C">
          <w:rPr>
            <w:noProof/>
            <w:webHidden/>
          </w:rPr>
          <w:fldChar w:fldCharType="begin"/>
        </w:r>
        <w:r w:rsidR="0096366C">
          <w:rPr>
            <w:noProof/>
            <w:webHidden/>
          </w:rPr>
          <w:instrText xml:space="preserve"> PAGEREF _Toc99659217 \h </w:instrText>
        </w:r>
        <w:r w:rsidR="0096366C">
          <w:rPr>
            <w:noProof/>
            <w:webHidden/>
          </w:rPr>
        </w:r>
        <w:r w:rsidR="0096366C">
          <w:rPr>
            <w:noProof/>
            <w:webHidden/>
          </w:rPr>
          <w:fldChar w:fldCharType="separate"/>
        </w:r>
        <w:r w:rsidR="009D338D">
          <w:rPr>
            <w:noProof/>
            <w:webHidden/>
          </w:rPr>
          <w:t>87</w:t>
        </w:r>
        <w:r w:rsidR="0096366C">
          <w:rPr>
            <w:noProof/>
            <w:webHidden/>
          </w:rPr>
          <w:fldChar w:fldCharType="end"/>
        </w:r>
      </w:hyperlink>
    </w:p>
    <w:p w14:paraId="15F15BD7" w14:textId="7CE57DD2" w:rsidR="0096366C" w:rsidRPr="00B04620" w:rsidRDefault="004B48CC" w:rsidP="00BD3700">
      <w:pPr>
        <w:pStyle w:val="TableofFigures"/>
        <w:ind w:left="1560" w:hanging="1560"/>
        <w:rPr>
          <w:noProof/>
          <w:sz w:val="22"/>
        </w:rPr>
      </w:pPr>
      <w:hyperlink w:anchor="_Toc99659218" w:history="1">
        <w:r w:rsidR="0096366C" w:rsidRPr="00BE1CA1">
          <w:rPr>
            <w:rStyle w:val="Hyperlink"/>
            <w:noProof/>
          </w:rPr>
          <w:t>Table 3.3.6</w:t>
        </w:r>
        <w:r w:rsidR="0096366C" w:rsidRPr="00B04620">
          <w:rPr>
            <w:noProof/>
            <w:sz w:val="22"/>
          </w:rPr>
          <w:tab/>
        </w:r>
        <w:r w:rsidR="0096366C" w:rsidRPr="00BE1CA1">
          <w:rPr>
            <w:rStyle w:val="Hyperlink"/>
            <w:noProof/>
          </w:rPr>
          <w:t xml:space="preserve">Key categories for 1.A.3 </w:t>
        </w:r>
        <w:r w:rsidR="0096366C" w:rsidRPr="00BE1CA1">
          <w:rPr>
            <w:rStyle w:val="Hyperlink"/>
            <w:i/>
            <w:iCs/>
            <w:noProof/>
          </w:rPr>
          <w:t>Transport</w:t>
        </w:r>
        <w:r w:rsidR="0096366C">
          <w:rPr>
            <w:noProof/>
            <w:webHidden/>
          </w:rPr>
          <w:tab/>
        </w:r>
        <w:r w:rsidR="0096366C">
          <w:rPr>
            <w:noProof/>
            <w:webHidden/>
          </w:rPr>
          <w:fldChar w:fldCharType="begin"/>
        </w:r>
        <w:r w:rsidR="0096366C">
          <w:rPr>
            <w:noProof/>
            <w:webHidden/>
          </w:rPr>
          <w:instrText xml:space="preserve"> PAGEREF _Toc99659218 \h </w:instrText>
        </w:r>
        <w:r w:rsidR="0096366C">
          <w:rPr>
            <w:noProof/>
            <w:webHidden/>
          </w:rPr>
        </w:r>
        <w:r w:rsidR="0096366C">
          <w:rPr>
            <w:noProof/>
            <w:webHidden/>
          </w:rPr>
          <w:fldChar w:fldCharType="separate"/>
        </w:r>
        <w:r w:rsidR="009D338D">
          <w:rPr>
            <w:noProof/>
            <w:webHidden/>
          </w:rPr>
          <w:t>91</w:t>
        </w:r>
        <w:r w:rsidR="0096366C">
          <w:rPr>
            <w:noProof/>
            <w:webHidden/>
          </w:rPr>
          <w:fldChar w:fldCharType="end"/>
        </w:r>
      </w:hyperlink>
    </w:p>
    <w:p w14:paraId="675D0179" w14:textId="5142568B" w:rsidR="0096366C" w:rsidRPr="00B04620" w:rsidRDefault="004B48CC" w:rsidP="00BD3700">
      <w:pPr>
        <w:pStyle w:val="TableofFigures"/>
        <w:ind w:left="1560" w:hanging="1560"/>
        <w:rPr>
          <w:noProof/>
          <w:sz w:val="22"/>
        </w:rPr>
      </w:pPr>
      <w:hyperlink w:anchor="_Toc99659219" w:history="1">
        <w:r w:rsidR="0096366C" w:rsidRPr="00BE1CA1">
          <w:rPr>
            <w:rStyle w:val="Hyperlink"/>
            <w:noProof/>
          </w:rPr>
          <w:t>Table 3.3.7</w:t>
        </w:r>
        <w:r w:rsidR="0096366C" w:rsidRPr="00B04620">
          <w:rPr>
            <w:noProof/>
            <w:sz w:val="22"/>
          </w:rPr>
          <w:tab/>
        </w:r>
        <w:r w:rsidR="0096366C" w:rsidRPr="00BE1CA1">
          <w:rPr>
            <w:rStyle w:val="Hyperlink"/>
            <w:noProof/>
          </w:rPr>
          <w:t xml:space="preserve">Key categories for 1.A.4 </w:t>
        </w:r>
        <w:r w:rsidR="0096366C" w:rsidRPr="00BE1CA1">
          <w:rPr>
            <w:rStyle w:val="Hyperlink"/>
            <w:i/>
            <w:iCs/>
            <w:noProof/>
            <w:lang w:eastAsia="en-GB"/>
          </w:rPr>
          <w:t>Other sectors</w:t>
        </w:r>
        <w:r w:rsidR="0096366C">
          <w:rPr>
            <w:noProof/>
            <w:webHidden/>
          </w:rPr>
          <w:tab/>
        </w:r>
        <w:r w:rsidR="0096366C">
          <w:rPr>
            <w:noProof/>
            <w:webHidden/>
          </w:rPr>
          <w:fldChar w:fldCharType="begin"/>
        </w:r>
        <w:r w:rsidR="0096366C">
          <w:rPr>
            <w:noProof/>
            <w:webHidden/>
          </w:rPr>
          <w:instrText xml:space="preserve"> PAGEREF _Toc99659219 \h </w:instrText>
        </w:r>
        <w:r w:rsidR="0096366C">
          <w:rPr>
            <w:noProof/>
            <w:webHidden/>
          </w:rPr>
        </w:r>
        <w:r w:rsidR="0096366C">
          <w:rPr>
            <w:noProof/>
            <w:webHidden/>
          </w:rPr>
          <w:fldChar w:fldCharType="separate"/>
        </w:r>
        <w:r w:rsidR="009D338D">
          <w:rPr>
            <w:noProof/>
            <w:webHidden/>
          </w:rPr>
          <w:t>100</w:t>
        </w:r>
        <w:r w:rsidR="0096366C">
          <w:rPr>
            <w:noProof/>
            <w:webHidden/>
          </w:rPr>
          <w:fldChar w:fldCharType="end"/>
        </w:r>
      </w:hyperlink>
    </w:p>
    <w:p w14:paraId="760E6BE6" w14:textId="65506156" w:rsidR="0096366C" w:rsidRPr="00B04620" w:rsidRDefault="004B48CC" w:rsidP="00BD3700">
      <w:pPr>
        <w:pStyle w:val="TableofFigures"/>
        <w:ind w:left="1560" w:hanging="1560"/>
        <w:rPr>
          <w:noProof/>
          <w:sz w:val="22"/>
        </w:rPr>
      </w:pPr>
      <w:hyperlink w:anchor="_Toc99659220" w:history="1">
        <w:r w:rsidR="0096366C" w:rsidRPr="00BE1CA1">
          <w:rPr>
            <w:rStyle w:val="Hyperlink"/>
            <w:noProof/>
          </w:rPr>
          <w:t xml:space="preserve">Table 3.3.8 </w:t>
        </w:r>
        <w:r w:rsidR="0096366C" w:rsidRPr="00B04620">
          <w:rPr>
            <w:noProof/>
            <w:sz w:val="22"/>
          </w:rPr>
          <w:tab/>
        </w:r>
        <w:r w:rsidR="0096366C" w:rsidRPr="00BE1CA1">
          <w:rPr>
            <w:rStyle w:val="Hyperlink"/>
            <w:noProof/>
          </w:rPr>
          <w:t>Split of fuel oil activity for ‘other primary industry’</w:t>
        </w:r>
        <w:r w:rsidR="0096366C">
          <w:rPr>
            <w:noProof/>
            <w:webHidden/>
          </w:rPr>
          <w:tab/>
        </w:r>
        <w:r w:rsidR="0096366C">
          <w:rPr>
            <w:noProof/>
            <w:webHidden/>
          </w:rPr>
          <w:fldChar w:fldCharType="begin"/>
        </w:r>
        <w:r w:rsidR="0096366C">
          <w:rPr>
            <w:noProof/>
            <w:webHidden/>
          </w:rPr>
          <w:instrText xml:space="preserve"> PAGEREF _Toc99659220 \h </w:instrText>
        </w:r>
        <w:r w:rsidR="0096366C">
          <w:rPr>
            <w:noProof/>
            <w:webHidden/>
          </w:rPr>
        </w:r>
        <w:r w:rsidR="0096366C">
          <w:rPr>
            <w:noProof/>
            <w:webHidden/>
          </w:rPr>
          <w:fldChar w:fldCharType="separate"/>
        </w:r>
        <w:r w:rsidR="009D338D">
          <w:rPr>
            <w:noProof/>
            <w:webHidden/>
          </w:rPr>
          <w:t>100</w:t>
        </w:r>
        <w:r w:rsidR="0096366C">
          <w:rPr>
            <w:noProof/>
            <w:webHidden/>
          </w:rPr>
          <w:fldChar w:fldCharType="end"/>
        </w:r>
      </w:hyperlink>
    </w:p>
    <w:p w14:paraId="224E5ACE" w14:textId="0BD41F67" w:rsidR="0096366C" w:rsidRPr="00B04620" w:rsidRDefault="004B48CC" w:rsidP="00BD3700">
      <w:pPr>
        <w:pStyle w:val="TableofFigures"/>
        <w:ind w:left="1560" w:hanging="1560"/>
        <w:rPr>
          <w:noProof/>
          <w:sz w:val="22"/>
        </w:rPr>
      </w:pPr>
      <w:hyperlink w:anchor="_Toc99659221" w:history="1">
        <w:r w:rsidR="0096366C" w:rsidRPr="00BE1CA1">
          <w:rPr>
            <w:rStyle w:val="Hyperlink"/>
            <w:noProof/>
          </w:rPr>
          <w:t>Table 3.4.1</w:t>
        </w:r>
        <w:r w:rsidR="0096366C" w:rsidRPr="00B04620">
          <w:rPr>
            <w:noProof/>
            <w:sz w:val="22"/>
          </w:rPr>
          <w:tab/>
        </w:r>
        <w:r w:rsidR="0096366C" w:rsidRPr="00BE1CA1">
          <w:rPr>
            <w:rStyle w:val="Hyperlink"/>
            <w:noProof/>
          </w:rPr>
          <w:t xml:space="preserve">Key categories for 1.B </w:t>
        </w:r>
        <w:r w:rsidR="0096366C" w:rsidRPr="00BE1CA1">
          <w:rPr>
            <w:rStyle w:val="Hyperlink"/>
            <w:i/>
            <w:iCs/>
            <w:noProof/>
          </w:rPr>
          <w:t>Fugitive emissions</w:t>
        </w:r>
        <w:r w:rsidR="0096366C">
          <w:rPr>
            <w:noProof/>
            <w:webHidden/>
          </w:rPr>
          <w:tab/>
        </w:r>
        <w:r w:rsidR="0096366C">
          <w:rPr>
            <w:noProof/>
            <w:webHidden/>
          </w:rPr>
          <w:fldChar w:fldCharType="begin"/>
        </w:r>
        <w:r w:rsidR="0096366C">
          <w:rPr>
            <w:noProof/>
            <w:webHidden/>
          </w:rPr>
          <w:instrText xml:space="preserve"> PAGEREF _Toc99659221 \h </w:instrText>
        </w:r>
        <w:r w:rsidR="0096366C">
          <w:rPr>
            <w:noProof/>
            <w:webHidden/>
          </w:rPr>
        </w:r>
        <w:r w:rsidR="0096366C">
          <w:rPr>
            <w:noProof/>
            <w:webHidden/>
          </w:rPr>
          <w:fldChar w:fldCharType="separate"/>
        </w:r>
        <w:r w:rsidR="009D338D">
          <w:rPr>
            <w:noProof/>
            <w:webHidden/>
          </w:rPr>
          <w:t>103</w:t>
        </w:r>
        <w:r w:rsidR="0096366C">
          <w:rPr>
            <w:noProof/>
            <w:webHidden/>
          </w:rPr>
          <w:fldChar w:fldCharType="end"/>
        </w:r>
      </w:hyperlink>
    </w:p>
    <w:p w14:paraId="32FE5B3E" w14:textId="27F107B5" w:rsidR="0096366C" w:rsidRPr="00B04620" w:rsidRDefault="004B48CC" w:rsidP="00BD3700">
      <w:pPr>
        <w:pStyle w:val="TableofFigures"/>
        <w:ind w:left="1560" w:hanging="1560"/>
        <w:rPr>
          <w:noProof/>
          <w:sz w:val="22"/>
        </w:rPr>
      </w:pPr>
      <w:hyperlink w:anchor="_Toc99659222" w:history="1">
        <w:r w:rsidR="0096366C" w:rsidRPr="00BE1CA1">
          <w:rPr>
            <w:rStyle w:val="Hyperlink"/>
            <w:rFonts w:cs="Calibri"/>
            <w:noProof/>
          </w:rPr>
          <w:t xml:space="preserve">Table 3.4.2 </w:t>
        </w:r>
        <w:r w:rsidR="0096366C" w:rsidRPr="00B04620">
          <w:rPr>
            <w:noProof/>
            <w:sz w:val="22"/>
          </w:rPr>
          <w:tab/>
        </w:r>
        <w:r w:rsidR="0096366C" w:rsidRPr="00BE1CA1">
          <w:rPr>
            <w:rStyle w:val="Hyperlink"/>
            <w:rFonts w:cs="Calibri"/>
            <w:noProof/>
          </w:rPr>
          <w:t>Details of abandoned underground mines in the North Island</w:t>
        </w:r>
        <w:r w:rsidR="0096366C">
          <w:rPr>
            <w:noProof/>
            <w:webHidden/>
          </w:rPr>
          <w:tab/>
        </w:r>
        <w:r w:rsidR="0096366C">
          <w:rPr>
            <w:noProof/>
            <w:webHidden/>
          </w:rPr>
          <w:fldChar w:fldCharType="begin"/>
        </w:r>
        <w:r w:rsidR="0096366C">
          <w:rPr>
            <w:noProof/>
            <w:webHidden/>
          </w:rPr>
          <w:instrText xml:space="preserve"> PAGEREF _Toc99659222 \h </w:instrText>
        </w:r>
        <w:r w:rsidR="0096366C">
          <w:rPr>
            <w:noProof/>
            <w:webHidden/>
          </w:rPr>
        </w:r>
        <w:r w:rsidR="0096366C">
          <w:rPr>
            <w:noProof/>
            <w:webHidden/>
          </w:rPr>
          <w:fldChar w:fldCharType="separate"/>
        </w:r>
        <w:r w:rsidR="009D338D">
          <w:rPr>
            <w:noProof/>
            <w:webHidden/>
          </w:rPr>
          <w:t>105</w:t>
        </w:r>
        <w:r w:rsidR="0096366C">
          <w:rPr>
            <w:noProof/>
            <w:webHidden/>
          </w:rPr>
          <w:fldChar w:fldCharType="end"/>
        </w:r>
      </w:hyperlink>
    </w:p>
    <w:p w14:paraId="62FF1B29" w14:textId="6E679421" w:rsidR="0096366C" w:rsidRPr="00B04620" w:rsidRDefault="004B48CC" w:rsidP="00BD3700">
      <w:pPr>
        <w:pStyle w:val="TableofFigures"/>
        <w:ind w:left="1560" w:hanging="1560"/>
        <w:rPr>
          <w:noProof/>
          <w:sz w:val="22"/>
        </w:rPr>
      </w:pPr>
      <w:hyperlink w:anchor="_Toc99659223" w:history="1">
        <w:r w:rsidR="0096366C" w:rsidRPr="00BE1CA1">
          <w:rPr>
            <w:rStyle w:val="Hyperlink"/>
            <w:noProof/>
          </w:rPr>
          <w:t xml:space="preserve">Table 4.1.1 </w:t>
        </w:r>
        <w:r w:rsidR="0096366C" w:rsidRPr="00B04620">
          <w:rPr>
            <w:noProof/>
            <w:sz w:val="22"/>
          </w:rPr>
          <w:tab/>
        </w:r>
        <w:r w:rsidR="0096366C" w:rsidRPr="00BE1CA1">
          <w:rPr>
            <w:rStyle w:val="Hyperlink"/>
            <w:noProof/>
          </w:rPr>
          <w:t>New Zealand’s greenhouse gas emissions for the IPPU sector by category in 1990 and 2020</w:t>
        </w:r>
        <w:r w:rsidR="0096366C">
          <w:rPr>
            <w:noProof/>
            <w:webHidden/>
          </w:rPr>
          <w:tab/>
        </w:r>
        <w:r w:rsidR="0096366C">
          <w:rPr>
            <w:noProof/>
            <w:webHidden/>
          </w:rPr>
          <w:fldChar w:fldCharType="begin"/>
        </w:r>
        <w:r w:rsidR="0096366C">
          <w:rPr>
            <w:noProof/>
            <w:webHidden/>
          </w:rPr>
          <w:instrText xml:space="preserve"> PAGEREF _Toc99659223 \h </w:instrText>
        </w:r>
        <w:r w:rsidR="0096366C">
          <w:rPr>
            <w:noProof/>
            <w:webHidden/>
          </w:rPr>
        </w:r>
        <w:r w:rsidR="0096366C">
          <w:rPr>
            <w:noProof/>
            <w:webHidden/>
          </w:rPr>
          <w:fldChar w:fldCharType="separate"/>
        </w:r>
        <w:r w:rsidR="009D338D">
          <w:rPr>
            <w:noProof/>
            <w:webHidden/>
          </w:rPr>
          <w:t>116</w:t>
        </w:r>
        <w:r w:rsidR="0096366C">
          <w:rPr>
            <w:noProof/>
            <w:webHidden/>
          </w:rPr>
          <w:fldChar w:fldCharType="end"/>
        </w:r>
      </w:hyperlink>
    </w:p>
    <w:p w14:paraId="6FC1D23A" w14:textId="2E22074A" w:rsidR="0096366C" w:rsidRPr="00B04620" w:rsidRDefault="004B48CC" w:rsidP="00BD3700">
      <w:pPr>
        <w:pStyle w:val="TableofFigures"/>
        <w:ind w:left="1560" w:hanging="1560"/>
        <w:rPr>
          <w:noProof/>
          <w:sz w:val="22"/>
        </w:rPr>
      </w:pPr>
      <w:hyperlink w:anchor="_Toc99659224" w:history="1">
        <w:r w:rsidR="0096366C" w:rsidRPr="00BE1CA1">
          <w:rPr>
            <w:rStyle w:val="Hyperlink"/>
            <w:noProof/>
          </w:rPr>
          <w:t xml:space="preserve">Table 4.1.2 </w:t>
        </w:r>
        <w:r w:rsidR="0096366C" w:rsidRPr="00B04620">
          <w:rPr>
            <w:noProof/>
            <w:sz w:val="22"/>
          </w:rPr>
          <w:tab/>
        </w:r>
        <w:r w:rsidR="0096366C" w:rsidRPr="00BE1CA1">
          <w:rPr>
            <w:rStyle w:val="Hyperlink"/>
            <w:noProof/>
          </w:rPr>
          <w:t>Key categories in the IPPU sector</w:t>
        </w:r>
        <w:r w:rsidR="0096366C">
          <w:rPr>
            <w:noProof/>
            <w:webHidden/>
          </w:rPr>
          <w:tab/>
        </w:r>
        <w:r w:rsidR="0096366C">
          <w:rPr>
            <w:noProof/>
            <w:webHidden/>
          </w:rPr>
          <w:fldChar w:fldCharType="begin"/>
        </w:r>
        <w:r w:rsidR="0096366C">
          <w:rPr>
            <w:noProof/>
            <w:webHidden/>
          </w:rPr>
          <w:instrText xml:space="preserve"> PAGEREF _Toc99659224 \h </w:instrText>
        </w:r>
        <w:r w:rsidR="0096366C">
          <w:rPr>
            <w:noProof/>
            <w:webHidden/>
          </w:rPr>
        </w:r>
        <w:r w:rsidR="0096366C">
          <w:rPr>
            <w:noProof/>
            <w:webHidden/>
          </w:rPr>
          <w:fldChar w:fldCharType="separate"/>
        </w:r>
        <w:r w:rsidR="009D338D">
          <w:rPr>
            <w:noProof/>
            <w:webHidden/>
          </w:rPr>
          <w:t>117</w:t>
        </w:r>
        <w:r w:rsidR="0096366C">
          <w:rPr>
            <w:noProof/>
            <w:webHidden/>
          </w:rPr>
          <w:fldChar w:fldCharType="end"/>
        </w:r>
      </w:hyperlink>
    </w:p>
    <w:p w14:paraId="79AAEF35" w14:textId="111B1CDB" w:rsidR="0096366C" w:rsidRPr="00B04620" w:rsidRDefault="004B48CC" w:rsidP="00BD3700">
      <w:pPr>
        <w:pStyle w:val="TableofFigures"/>
        <w:ind w:left="1560" w:hanging="1560"/>
        <w:rPr>
          <w:noProof/>
          <w:sz w:val="22"/>
        </w:rPr>
      </w:pPr>
      <w:hyperlink w:anchor="_Toc99659225" w:history="1">
        <w:r w:rsidR="0096366C" w:rsidRPr="00BE1CA1">
          <w:rPr>
            <w:rStyle w:val="Hyperlink"/>
            <w:noProof/>
          </w:rPr>
          <w:t>Table 4.2.1</w:t>
        </w:r>
        <w:r w:rsidR="0096366C" w:rsidRPr="00B04620">
          <w:rPr>
            <w:noProof/>
            <w:sz w:val="22"/>
          </w:rPr>
          <w:tab/>
        </w:r>
        <w:r w:rsidR="0096366C" w:rsidRPr="00BE1CA1">
          <w:rPr>
            <w:rStyle w:val="Hyperlink"/>
            <w:noProof/>
          </w:rPr>
          <w:t>Uncertainty in emissions from mineral products</w:t>
        </w:r>
        <w:r w:rsidR="0096366C">
          <w:rPr>
            <w:noProof/>
            <w:webHidden/>
          </w:rPr>
          <w:tab/>
        </w:r>
        <w:r w:rsidR="0096366C">
          <w:rPr>
            <w:noProof/>
            <w:webHidden/>
          </w:rPr>
          <w:fldChar w:fldCharType="begin"/>
        </w:r>
        <w:r w:rsidR="0096366C">
          <w:rPr>
            <w:noProof/>
            <w:webHidden/>
          </w:rPr>
          <w:instrText xml:space="preserve"> PAGEREF _Toc99659225 \h </w:instrText>
        </w:r>
        <w:r w:rsidR="0096366C">
          <w:rPr>
            <w:noProof/>
            <w:webHidden/>
          </w:rPr>
        </w:r>
        <w:r w:rsidR="0096366C">
          <w:rPr>
            <w:noProof/>
            <w:webHidden/>
          </w:rPr>
          <w:fldChar w:fldCharType="separate"/>
        </w:r>
        <w:r w:rsidR="009D338D">
          <w:rPr>
            <w:noProof/>
            <w:webHidden/>
          </w:rPr>
          <w:t>123</w:t>
        </w:r>
        <w:r w:rsidR="0096366C">
          <w:rPr>
            <w:noProof/>
            <w:webHidden/>
          </w:rPr>
          <w:fldChar w:fldCharType="end"/>
        </w:r>
      </w:hyperlink>
    </w:p>
    <w:p w14:paraId="2DA7B313" w14:textId="14EDF98E" w:rsidR="0096366C" w:rsidRPr="00B04620" w:rsidRDefault="004B48CC" w:rsidP="00BD3700">
      <w:pPr>
        <w:pStyle w:val="TableofFigures"/>
        <w:ind w:left="1560" w:hanging="1560"/>
        <w:rPr>
          <w:noProof/>
          <w:sz w:val="22"/>
        </w:rPr>
      </w:pPr>
      <w:hyperlink w:anchor="_Toc99659226" w:history="1">
        <w:r w:rsidR="0096366C" w:rsidRPr="00BE1CA1">
          <w:rPr>
            <w:rStyle w:val="Hyperlink"/>
            <w:noProof/>
          </w:rPr>
          <w:t>Table 4.3.1</w:t>
        </w:r>
        <w:r w:rsidR="0096366C" w:rsidRPr="00B04620">
          <w:rPr>
            <w:noProof/>
            <w:sz w:val="22"/>
          </w:rPr>
          <w:tab/>
        </w:r>
        <w:r w:rsidR="0096366C" w:rsidRPr="00BE1CA1">
          <w:rPr>
            <w:rStyle w:val="Hyperlink"/>
            <w:noProof/>
          </w:rPr>
          <w:t>Country-specific emission factors for indirect emissions</w:t>
        </w:r>
        <w:r w:rsidR="0096366C">
          <w:rPr>
            <w:noProof/>
            <w:webHidden/>
          </w:rPr>
          <w:tab/>
        </w:r>
        <w:r w:rsidR="0096366C">
          <w:rPr>
            <w:noProof/>
            <w:webHidden/>
          </w:rPr>
          <w:fldChar w:fldCharType="begin"/>
        </w:r>
        <w:r w:rsidR="0096366C">
          <w:rPr>
            <w:noProof/>
            <w:webHidden/>
          </w:rPr>
          <w:instrText xml:space="preserve"> PAGEREF _Toc99659226 \h </w:instrText>
        </w:r>
        <w:r w:rsidR="0096366C">
          <w:rPr>
            <w:noProof/>
            <w:webHidden/>
          </w:rPr>
        </w:r>
        <w:r w:rsidR="0096366C">
          <w:rPr>
            <w:noProof/>
            <w:webHidden/>
          </w:rPr>
          <w:fldChar w:fldCharType="separate"/>
        </w:r>
        <w:r w:rsidR="009D338D">
          <w:rPr>
            <w:noProof/>
            <w:webHidden/>
          </w:rPr>
          <w:t>127</w:t>
        </w:r>
        <w:r w:rsidR="0096366C">
          <w:rPr>
            <w:noProof/>
            <w:webHidden/>
          </w:rPr>
          <w:fldChar w:fldCharType="end"/>
        </w:r>
      </w:hyperlink>
    </w:p>
    <w:p w14:paraId="158DAC42" w14:textId="66DE586D" w:rsidR="0096366C" w:rsidRPr="00B04620" w:rsidRDefault="004B48CC" w:rsidP="00BD3700">
      <w:pPr>
        <w:pStyle w:val="TableofFigures"/>
        <w:ind w:left="1560" w:hanging="1560"/>
        <w:rPr>
          <w:noProof/>
          <w:sz w:val="22"/>
        </w:rPr>
      </w:pPr>
      <w:hyperlink w:anchor="_Toc99659227" w:history="1">
        <w:r w:rsidR="0096366C" w:rsidRPr="00BE1CA1">
          <w:rPr>
            <w:rStyle w:val="Hyperlink"/>
            <w:noProof/>
          </w:rPr>
          <w:t>Table 4.3.2</w:t>
        </w:r>
        <w:r w:rsidR="0096366C" w:rsidRPr="00B04620">
          <w:rPr>
            <w:noProof/>
            <w:sz w:val="22"/>
          </w:rPr>
          <w:tab/>
        </w:r>
        <w:r w:rsidR="0096366C" w:rsidRPr="00BE1CA1">
          <w:rPr>
            <w:rStyle w:val="Hyperlink"/>
            <w:noProof/>
          </w:rPr>
          <w:t xml:space="preserve">Uncertainty in emissions from the </w:t>
        </w:r>
        <w:r w:rsidR="0096366C" w:rsidRPr="00BE1CA1">
          <w:rPr>
            <w:rStyle w:val="Hyperlink"/>
            <w:i/>
            <w:noProof/>
          </w:rPr>
          <w:t>Chemical industry</w:t>
        </w:r>
        <w:r w:rsidR="0096366C" w:rsidRPr="00BE1CA1">
          <w:rPr>
            <w:rStyle w:val="Hyperlink"/>
            <w:noProof/>
          </w:rPr>
          <w:t xml:space="preserve"> category</w:t>
        </w:r>
        <w:r w:rsidR="0096366C">
          <w:rPr>
            <w:noProof/>
            <w:webHidden/>
          </w:rPr>
          <w:tab/>
        </w:r>
        <w:r w:rsidR="0096366C">
          <w:rPr>
            <w:noProof/>
            <w:webHidden/>
          </w:rPr>
          <w:fldChar w:fldCharType="begin"/>
        </w:r>
        <w:r w:rsidR="0096366C">
          <w:rPr>
            <w:noProof/>
            <w:webHidden/>
          </w:rPr>
          <w:instrText xml:space="preserve"> PAGEREF _Toc99659227 \h </w:instrText>
        </w:r>
        <w:r w:rsidR="0096366C">
          <w:rPr>
            <w:noProof/>
            <w:webHidden/>
          </w:rPr>
        </w:r>
        <w:r w:rsidR="0096366C">
          <w:rPr>
            <w:noProof/>
            <w:webHidden/>
          </w:rPr>
          <w:fldChar w:fldCharType="separate"/>
        </w:r>
        <w:r w:rsidR="009D338D">
          <w:rPr>
            <w:noProof/>
            <w:webHidden/>
          </w:rPr>
          <w:t>127</w:t>
        </w:r>
        <w:r w:rsidR="0096366C">
          <w:rPr>
            <w:noProof/>
            <w:webHidden/>
          </w:rPr>
          <w:fldChar w:fldCharType="end"/>
        </w:r>
      </w:hyperlink>
    </w:p>
    <w:p w14:paraId="771616F9" w14:textId="5D95E159" w:rsidR="0096366C" w:rsidRPr="00B04620" w:rsidRDefault="004B48CC" w:rsidP="00BD3700">
      <w:pPr>
        <w:pStyle w:val="TableofFigures"/>
        <w:ind w:left="1560" w:hanging="1560"/>
        <w:rPr>
          <w:noProof/>
          <w:sz w:val="22"/>
        </w:rPr>
      </w:pPr>
      <w:hyperlink w:anchor="_Toc99659228" w:history="1">
        <w:r w:rsidR="0096366C" w:rsidRPr="00BE1CA1">
          <w:rPr>
            <w:rStyle w:val="Hyperlink"/>
            <w:noProof/>
          </w:rPr>
          <w:t>Table 4.4.1</w:t>
        </w:r>
        <w:r w:rsidR="0096366C" w:rsidRPr="00B04620">
          <w:rPr>
            <w:noProof/>
            <w:sz w:val="22"/>
          </w:rPr>
          <w:tab/>
        </w:r>
        <w:r w:rsidR="0096366C" w:rsidRPr="00BE1CA1">
          <w:rPr>
            <w:rStyle w:val="Hyperlink"/>
            <w:noProof/>
          </w:rPr>
          <w:t>Typical analysis from New Zealand Steel Limited of the primary concentrate (provided by New Zealand Steel Limited)</w:t>
        </w:r>
        <w:r w:rsidR="0096366C">
          <w:rPr>
            <w:noProof/>
            <w:webHidden/>
          </w:rPr>
          <w:tab/>
        </w:r>
        <w:r w:rsidR="0096366C">
          <w:rPr>
            <w:noProof/>
            <w:webHidden/>
          </w:rPr>
          <w:fldChar w:fldCharType="begin"/>
        </w:r>
        <w:r w:rsidR="0096366C">
          <w:rPr>
            <w:noProof/>
            <w:webHidden/>
          </w:rPr>
          <w:instrText xml:space="preserve"> PAGEREF _Toc99659228 \h </w:instrText>
        </w:r>
        <w:r w:rsidR="0096366C">
          <w:rPr>
            <w:noProof/>
            <w:webHidden/>
          </w:rPr>
        </w:r>
        <w:r w:rsidR="0096366C">
          <w:rPr>
            <w:noProof/>
            <w:webHidden/>
          </w:rPr>
          <w:fldChar w:fldCharType="separate"/>
        </w:r>
        <w:r w:rsidR="009D338D">
          <w:rPr>
            <w:noProof/>
            <w:webHidden/>
          </w:rPr>
          <w:t>129</w:t>
        </w:r>
        <w:r w:rsidR="0096366C">
          <w:rPr>
            <w:noProof/>
            <w:webHidden/>
          </w:rPr>
          <w:fldChar w:fldCharType="end"/>
        </w:r>
      </w:hyperlink>
    </w:p>
    <w:p w14:paraId="257C34BC" w14:textId="5B4D16F1" w:rsidR="0096366C" w:rsidRPr="00B04620" w:rsidRDefault="004B48CC" w:rsidP="00BD3700">
      <w:pPr>
        <w:pStyle w:val="TableofFigures"/>
        <w:ind w:left="1560" w:hanging="1560"/>
        <w:rPr>
          <w:noProof/>
          <w:sz w:val="22"/>
        </w:rPr>
      </w:pPr>
      <w:hyperlink w:anchor="_Toc99659229" w:history="1">
        <w:r w:rsidR="0096366C" w:rsidRPr="00BE1CA1">
          <w:rPr>
            <w:rStyle w:val="Hyperlink"/>
            <w:noProof/>
          </w:rPr>
          <w:t>Table 4.4.2</w:t>
        </w:r>
        <w:r w:rsidR="0096366C" w:rsidRPr="00B04620">
          <w:rPr>
            <w:noProof/>
            <w:sz w:val="22"/>
          </w:rPr>
          <w:tab/>
        </w:r>
        <w:r w:rsidR="0096366C" w:rsidRPr="00BE1CA1">
          <w:rPr>
            <w:rStyle w:val="Hyperlink"/>
            <w:noProof/>
          </w:rPr>
          <w:t>Uncertainty in emissions from the metal industry</w:t>
        </w:r>
        <w:r w:rsidR="0096366C">
          <w:rPr>
            <w:noProof/>
            <w:webHidden/>
          </w:rPr>
          <w:tab/>
        </w:r>
        <w:r w:rsidR="0096366C">
          <w:rPr>
            <w:noProof/>
            <w:webHidden/>
          </w:rPr>
          <w:fldChar w:fldCharType="begin"/>
        </w:r>
        <w:r w:rsidR="0096366C">
          <w:rPr>
            <w:noProof/>
            <w:webHidden/>
          </w:rPr>
          <w:instrText xml:space="preserve"> PAGEREF _Toc99659229 \h </w:instrText>
        </w:r>
        <w:r w:rsidR="0096366C">
          <w:rPr>
            <w:noProof/>
            <w:webHidden/>
          </w:rPr>
        </w:r>
        <w:r w:rsidR="0096366C">
          <w:rPr>
            <w:noProof/>
            <w:webHidden/>
          </w:rPr>
          <w:fldChar w:fldCharType="separate"/>
        </w:r>
        <w:r w:rsidR="009D338D">
          <w:rPr>
            <w:noProof/>
            <w:webHidden/>
          </w:rPr>
          <w:t>133</w:t>
        </w:r>
        <w:r w:rsidR="0096366C">
          <w:rPr>
            <w:noProof/>
            <w:webHidden/>
          </w:rPr>
          <w:fldChar w:fldCharType="end"/>
        </w:r>
      </w:hyperlink>
    </w:p>
    <w:p w14:paraId="28FFE7E4" w14:textId="473C21FF" w:rsidR="0096366C" w:rsidRPr="00B04620" w:rsidRDefault="004B48CC" w:rsidP="00BD3700">
      <w:pPr>
        <w:pStyle w:val="TableofFigures"/>
        <w:ind w:left="1560" w:hanging="1560"/>
        <w:rPr>
          <w:noProof/>
          <w:sz w:val="22"/>
        </w:rPr>
      </w:pPr>
      <w:hyperlink w:anchor="_Toc99659230" w:history="1">
        <w:r w:rsidR="0096366C" w:rsidRPr="00BE1CA1">
          <w:rPr>
            <w:rStyle w:val="Hyperlink"/>
            <w:noProof/>
          </w:rPr>
          <w:t>Table 4.4.3</w:t>
        </w:r>
        <w:r w:rsidR="0096366C" w:rsidRPr="00B04620">
          <w:rPr>
            <w:noProof/>
            <w:sz w:val="22"/>
          </w:rPr>
          <w:tab/>
        </w:r>
        <w:r w:rsidR="0096366C" w:rsidRPr="00BE1CA1">
          <w:rPr>
            <w:rStyle w:val="Hyperlink"/>
            <w:noProof/>
          </w:rPr>
          <w:t>Explanation of variations in New Zealand’s aluminium emissions</w:t>
        </w:r>
        <w:r w:rsidR="0096366C">
          <w:rPr>
            <w:noProof/>
            <w:webHidden/>
          </w:rPr>
          <w:tab/>
        </w:r>
        <w:r w:rsidR="0096366C">
          <w:rPr>
            <w:noProof/>
            <w:webHidden/>
          </w:rPr>
          <w:fldChar w:fldCharType="begin"/>
        </w:r>
        <w:r w:rsidR="0096366C">
          <w:rPr>
            <w:noProof/>
            <w:webHidden/>
          </w:rPr>
          <w:instrText xml:space="preserve"> PAGEREF _Toc99659230 \h </w:instrText>
        </w:r>
        <w:r w:rsidR="0096366C">
          <w:rPr>
            <w:noProof/>
            <w:webHidden/>
          </w:rPr>
        </w:r>
        <w:r w:rsidR="0096366C">
          <w:rPr>
            <w:noProof/>
            <w:webHidden/>
          </w:rPr>
          <w:fldChar w:fldCharType="separate"/>
        </w:r>
        <w:r w:rsidR="009D338D">
          <w:rPr>
            <w:noProof/>
            <w:webHidden/>
          </w:rPr>
          <w:t>133</w:t>
        </w:r>
        <w:r w:rsidR="0096366C">
          <w:rPr>
            <w:noProof/>
            <w:webHidden/>
          </w:rPr>
          <w:fldChar w:fldCharType="end"/>
        </w:r>
      </w:hyperlink>
    </w:p>
    <w:p w14:paraId="7C6FD643" w14:textId="005A2D1F" w:rsidR="0096366C" w:rsidRPr="00B04620" w:rsidRDefault="004B48CC" w:rsidP="00BD3700">
      <w:pPr>
        <w:pStyle w:val="TableofFigures"/>
        <w:ind w:left="1560" w:hanging="1560"/>
        <w:rPr>
          <w:noProof/>
          <w:sz w:val="22"/>
        </w:rPr>
      </w:pPr>
      <w:hyperlink w:anchor="_Toc99659231" w:history="1">
        <w:r w:rsidR="0096366C" w:rsidRPr="00BE1CA1">
          <w:rPr>
            <w:rStyle w:val="Hyperlink"/>
            <w:noProof/>
          </w:rPr>
          <w:t xml:space="preserve">Table 4.5.1 </w:t>
        </w:r>
        <w:r w:rsidR="0096366C" w:rsidRPr="00B04620">
          <w:rPr>
            <w:noProof/>
            <w:sz w:val="22"/>
          </w:rPr>
          <w:tab/>
        </w:r>
        <w:r w:rsidR="0096366C" w:rsidRPr="00BE1CA1">
          <w:rPr>
            <w:rStyle w:val="Hyperlink"/>
            <w:noProof/>
          </w:rPr>
          <w:t>Calculation of NMVOC emissions from road paving</w:t>
        </w:r>
        <w:r w:rsidR="0096366C">
          <w:rPr>
            <w:noProof/>
            <w:webHidden/>
          </w:rPr>
          <w:tab/>
        </w:r>
        <w:r w:rsidR="0096366C">
          <w:rPr>
            <w:noProof/>
            <w:webHidden/>
          </w:rPr>
          <w:fldChar w:fldCharType="begin"/>
        </w:r>
        <w:r w:rsidR="0096366C">
          <w:rPr>
            <w:noProof/>
            <w:webHidden/>
          </w:rPr>
          <w:instrText xml:space="preserve"> PAGEREF _Toc99659231 \h </w:instrText>
        </w:r>
        <w:r w:rsidR="0096366C">
          <w:rPr>
            <w:noProof/>
            <w:webHidden/>
          </w:rPr>
        </w:r>
        <w:r w:rsidR="0096366C">
          <w:rPr>
            <w:noProof/>
            <w:webHidden/>
          </w:rPr>
          <w:fldChar w:fldCharType="separate"/>
        </w:r>
        <w:r w:rsidR="009D338D">
          <w:rPr>
            <w:noProof/>
            <w:webHidden/>
          </w:rPr>
          <w:t>136</w:t>
        </w:r>
        <w:r w:rsidR="0096366C">
          <w:rPr>
            <w:noProof/>
            <w:webHidden/>
          </w:rPr>
          <w:fldChar w:fldCharType="end"/>
        </w:r>
      </w:hyperlink>
    </w:p>
    <w:p w14:paraId="697BD0A2" w14:textId="6EC08606" w:rsidR="0096366C" w:rsidRPr="00B04620" w:rsidRDefault="004B48CC" w:rsidP="00BD3700">
      <w:pPr>
        <w:pStyle w:val="TableofFigures"/>
        <w:ind w:left="1560" w:hanging="1560"/>
        <w:rPr>
          <w:noProof/>
          <w:sz w:val="22"/>
        </w:rPr>
      </w:pPr>
      <w:hyperlink w:anchor="_Toc99659232" w:history="1">
        <w:r w:rsidR="0096366C" w:rsidRPr="00BE1CA1">
          <w:rPr>
            <w:rStyle w:val="Hyperlink"/>
            <w:noProof/>
          </w:rPr>
          <w:t xml:space="preserve">Table 4.5.2 </w:t>
        </w:r>
        <w:r w:rsidR="0096366C" w:rsidRPr="00B04620">
          <w:rPr>
            <w:noProof/>
            <w:sz w:val="22"/>
          </w:rPr>
          <w:tab/>
        </w:r>
        <w:r w:rsidR="0096366C" w:rsidRPr="00BE1CA1">
          <w:rPr>
            <w:rStyle w:val="Hyperlink"/>
            <w:noProof/>
          </w:rPr>
          <w:t>Fraction of bitumen in road paving material</w:t>
        </w:r>
        <w:r w:rsidR="0096366C">
          <w:rPr>
            <w:noProof/>
            <w:webHidden/>
          </w:rPr>
          <w:tab/>
        </w:r>
        <w:r w:rsidR="0096366C">
          <w:rPr>
            <w:noProof/>
            <w:webHidden/>
          </w:rPr>
          <w:fldChar w:fldCharType="begin"/>
        </w:r>
        <w:r w:rsidR="0096366C">
          <w:rPr>
            <w:noProof/>
            <w:webHidden/>
          </w:rPr>
          <w:instrText xml:space="preserve"> PAGEREF _Toc99659232 \h </w:instrText>
        </w:r>
        <w:r w:rsidR="0096366C">
          <w:rPr>
            <w:noProof/>
            <w:webHidden/>
          </w:rPr>
        </w:r>
        <w:r w:rsidR="0096366C">
          <w:rPr>
            <w:noProof/>
            <w:webHidden/>
          </w:rPr>
          <w:fldChar w:fldCharType="separate"/>
        </w:r>
        <w:r w:rsidR="009D338D">
          <w:rPr>
            <w:noProof/>
            <w:webHidden/>
          </w:rPr>
          <w:t>136</w:t>
        </w:r>
        <w:r w:rsidR="0096366C">
          <w:rPr>
            <w:noProof/>
            <w:webHidden/>
          </w:rPr>
          <w:fldChar w:fldCharType="end"/>
        </w:r>
      </w:hyperlink>
    </w:p>
    <w:p w14:paraId="4DFFC046" w14:textId="0ECE2319" w:rsidR="0096366C" w:rsidRPr="00B04620" w:rsidRDefault="004B48CC">
      <w:pPr>
        <w:pStyle w:val="TableofFigures"/>
        <w:rPr>
          <w:noProof/>
          <w:sz w:val="22"/>
        </w:rPr>
      </w:pPr>
      <w:hyperlink w:anchor="_Toc99659233" w:history="1">
        <w:r w:rsidR="0096366C" w:rsidRPr="00BE1CA1">
          <w:rPr>
            <w:rStyle w:val="Hyperlink"/>
            <w:noProof/>
          </w:rPr>
          <w:t>Table 4.5.3</w:t>
        </w:r>
        <w:r w:rsidR="0096366C" w:rsidRPr="00B04620">
          <w:rPr>
            <w:noProof/>
            <w:sz w:val="22"/>
          </w:rPr>
          <w:tab/>
        </w:r>
        <w:r w:rsidR="0096366C" w:rsidRPr="00BE1CA1">
          <w:rPr>
            <w:rStyle w:val="Hyperlink"/>
            <w:noProof/>
          </w:rPr>
          <w:t>Uncertainty in emissions in non-energy products from fuels and solvent use</w:t>
        </w:r>
        <w:r w:rsidR="0096366C">
          <w:rPr>
            <w:noProof/>
            <w:webHidden/>
          </w:rPr>
          <w:tab/>
        </w:r>
        <w:r w:rsidR="0096366C">
          <w:rPr>
            <w:noProof/>
            <w:webHidden/>
          </w:rPr>
          <w:fldChar w:fldCharType="begin"/>
        </w:r>
        <w:r w:rsidR="0096366C">
          <w:rPr>
            <w:noProof/>
            <w:webHidden/>
          </w:rPr>
          <w:instrText xml:space="preserve"> PAGEREF _Toc99659233 \h </w:instrText>
        </w:r>
        <w:r w:rsidR="0096366C">
          <w:rPr>
            <w:noProof/>
            <w:webHidden/>
          </w:rPr>
        </w:r>
        <w:r w:rsidR="0096366C">
          <w:rPr>
            <w:noProof/>
            <w:webHidden/>
          </w:rPr>
          <w:fldChar w:fldCharType="separate"/>
        </w:r>
        <w:r w:rsidR="009D338D">
          <w:rPr>
            <w:noProof/>
            <w:webHidden/>
          </w:rPr>
          <w:t>136</w:t>
        </w:r>
        <w:r w:rsidR="0096366C">
          <w:rPr>
            <w:noProof/>
            <w:webHidden/>
          </w:rPr>
          <w:fldChar w:fldCharType="end"/>
        </w:r>
      </w:hyperlink>
    </w:p>
    <w:p w14:paraId="67802D12" w14:textId="4D05ECA4" w:rsidR="0096366C" w:rsidRPr="00B04620" w:rsidRDefault="004B48CC">
      <w:pPr>
        <w:pStyle w:val="TableofFigures"/>
        <w:rPr>
          <w:noProof/>
          <w:sz w:val="22"/>
        </w:rPr>
      </w:pPr>
      <w:hyperlink w:anchor="_Toc99659234" w:history="1">
        <w:r w:rsidR="0096366C" w:rsidRPr="00BE1CA1">
          <w:rPr>
            <w:rStyle w:val="Hyperlink"/>
            <w:noProof/>
          </w:rPr>
          <w:t>Table 4.7.1</w:t>
        </w:r>
        <w:r w:rsidR="0096366C" w:rsidRPr="00B04620">
          <w:rPr>
            <w:noProof/>
            <w:sz w:val="22"/>
          </w:rPr>
          <w:tab/>
        </w:r>
        <w:r w:rsidR="0096366C" w:rsidRPr="00BE1CA1">
          <w:rPr>
            <w:rStyle w:val="Hyperlink"/>
            <w:noProof/>
          </w:rPr>
          <w:t>Average charge of HFC-134a in mobile air conditioners, 2009</w:t>
        </w:r>
        <w:r w:rsidR="0096366C">
          <w:rPr>
            <w:noProof/>
            <w:webHidden/>
          </w:rPr>
          <w:tab/>
        </w:r>
        <w:r w:rsidR="0096366C">
          <w:rPr>
            <w:noProof/>
            <w:webHidden/>
          </w:rPr>
          <w:fldChar w:fldCharType="begin"/>
        </w:r>
        <w:r w:rsidR="0096366C">
          <w:rPr>
            <w:noProof/>
            <w:webHidden/>
          </w:rPr>
          <w:instrText xml:space="preserve"> PAGEREF _Toc99659234 \h </w:instrText>
        </w:r>
        <w:r w:rsidR="0096366C">
          <w:rPr>
            <w:noProof/>
            <w:webHidden/>
          </w:rPr>
        </w:r>
        <w:r w:rsidR="0096366C">
          <w:rPr>
            <w:noProof/>
            <w:webHidden/>
          </w:rPr>
          <w:fldChar w:fldCharType="separate"/>
        </w:r>
        <w:r w:rsidR="009D338D">
          <w:rPr>
            <w:noProof/>
            <w:webHidden/>
          </w:rPr>
          <w:t>139</w:t>
        </w:r>
        <w:r w:rsidR="0096366C">
          <w:rPr>
            <w:noProof/>
            <w:webHidden/>
          </w:rPr>
          <w:fldChar w:fldCharType="end"/>
        </w:r>
      </w:hyperlink>
    </w:p>
    <w:p w14:paraId="3B4DFE1B" w14:textId="70C056D2" w:rsidR="0096366C" w:rsidRPr="00B04620" w:rsidRDefault="004B48CC">
      <w:pPr>
        <w:pStyle w:val="TableofFigures"/>
        <w:rPr>
          <w:noProof/>
          <w:sz w:val="22"/>
        </w:rPr>
      </w:pPr>
      <w:hyperlink w:anchor="_Toc99659235" w:history="1">
        <w:r w:rsidR="0096366C" w:rsidRPr="00BE1CA1">
          <w:rPr>
            <w:rStyle w:val="Hyperlink"/>
            <w:noProof/>
          </w:rPr>
          <w:t>Table 4.7.2</w:t>
        </w:r>
        <w:r w:rsidR="0096366C" w:rsidRPr="00B04620">
          <w:rPr>
            <w:noProof/>
            <w:sz w:val="22"/>
          </w:rPr>
          <w:tab/>
        </w:r>
        <w:r w:rsidR="0096366C" w:rsidRPr="00BE1CA1">
          <w:rPr>
            <w:rStyle w:val="Hyperlink"/>
            <w:noProof/>
          </w:rPr>
          <w:t>Summary of methodological tiers by sub-application</w:t>
        </w:r>
        <w:r w:rsidR="0096366C">
          <w:rPr>
            <w:noProof/>
            <w:webHidden/>
          </w:rPr>
          <w:tab/>
        </w:r>
        <w:r w:rsidR="0096366C">
          <w:rPr>
            <w:noProof/>
            <w:webHidden/>
          </w:rPr>
          <w:fldChar w:fldCharType="begin"/>
        </w:r>
        <w:r w:rsidR="0096366C">
          <w:rPr>
            <w:noProof/>
            <w:webHidden/>
          </w:rPr>
          <w:instrText xml:space="preserve"> PAGEREF _Toc99659235 \h </w:instrText>
        </w:r>
        <w:r w:rsidR="0096366C">
          <w:rPr>
            <w:noProof/>
            <w:webHidden/>
          </w:rPr>
        </w:r>
        <w:r w:rsidR="0096366C">
          <w:rPr>
            <w:noProof/>
            <w:webHidden/>
          </w:rPr>
          <w:fldChar w:fldCharType="separate"/>
        </w:r>
        <w:r w:rsidR="009D338D">
          <w:rPr>
            <w:noProof/>
            <w:webHidden/>
          </w:rPr>
          <w:t>141</w:t>
        </w:r>
        <w:r w:rsidR="0096366C">
          <w:rPr>
            <w:noProof/>
            <w:webHidden/>
          </w:rPr>
          <w:fldChar w:fldCharType="end"/>
        </w:r>
      </w:hyperlink>
    </w:p>
    <w:p w14:paraId="3A1A213C" w14:textId="40BBFE02" w:rsidR="0096366C" w:rsidRPr="00B04620" w:rsidRDefault="004B48CC">
      <w:pPr>
        <w:pStyle w:val="TableofFigures"/>
        <w:rPr>
          <w:noProof/>
          <w:sz w:val="22"/>
        </w:rPr>
      </w:pPr>
      <w:hyperlink w:anchor="_Toc99659236" w:history="1">
        <w:r w:rsidR="0096366C" w:rsidRPr="00BE1CA1">
          <w:rPr>
            <w:rStyle w:val="Hyperlink"/>
            <w:noProof/>
          </w:rPr>
          <w:t xml:space="preserve">Table 4.7.3 </w:t>
        </w:r>
        <w:r w:rsidR="0096366C" w:rsidRPr="00B04620">
          <w:rPr>
            <w:noProof/>
            <w:sz w:val="22"/>
          </w:rPr>
          <w:tab/>
        </w:r>
        <w:r w:rsidR="0096366C" w:rsidRPr="00BE1CA1">
          <w:rPr>
            <w:rStyle w:val="Hyperlink"/>
            <w:noProof/>
          </w:rPr>
          <w:t>New Zealand’s uncertainties in product uses as substitutes for ODS</w:t>
        </w:r>
        <w:r w:rsidR="0096366C">
          <w:rPr>
            <w:noProof/>
            <w:webHidden/>
          </w:rPr>
          <w:tab/>
        </w:r>
        <w:r w:rsidR="0096366C">
          <w:rPr>
            <w:noProof/>
            <w:webHidden/>
          </w:rPr>
          <w:fldChar w:fldCharType="begin"/>
        </w:r>
        <w:r w:rsidR="0096366C">
          <w:rPr>
            <w:noProof/>
            <w:webHidden/>
          </w:rPr>
          <w:instrText xml:space="preserve"> PAGEREF _Toc99659236 \h </w:instrText>
        </w:r>
        <w:r w:rsidR="0096366C">
          <w:rPr>
            <w:noProof/>
            <w:webHidden/>
          </w:rPr>
        </w:r>
        <w:r w:rsidR="0096366C">
          <w:rPr>
            <w:noProof/>
            <w:webHidden/>
          </w:rPr>
          <w:fldChar w:fldCharType="separate"/>
        </w:r>
        <w:r w:rsidR="009D338D">
          <w:rPr>
            <w:noProof/>
            <w:webHidden/>
          </w:rPr>
          <w:t>143</w:t>
        </w:r>
        <w:r w:rsidR="0096366C">
          <w:rPr>
            <w:noProof/>
            <w:webHidden/>
          </w:rPr>
          <w:fldChar w:fldCharType="end"/>
        </w:r>
      </w:hyperlink>
    </w:p>
    <w:p w14:paraId="1779C2F5" w14:textId="0362E034" w:rsidR="0096366C" w:rsidRPr="00B04620" w:rsidRDefault="004B48CC">
      <w:pPr>
        <w:pStyle w:val="TableofFigures"/>
        <w:rPr>
          <w:noProof/>
          <w:sz w:val="22"/>
        </w:rPr>
      </w:pPr>
      <w:hyperlink w:anchor="_Toc99659237" w:history="1">
        <w:r w:rsidR="0096366C" w:rsidRPr="00BE1CA1">
          <w:rPr>
            <w:rStyle w:val="Hyperlink"/>
            <w:noProof/>
          </w:rPr>
          <w:t>Table 4.8.1</w:t>
        </w:r>
        <w:r w:rsidR="0096366C" w:rsidRPr="00B04620">
          <w:rPr>
            <w:noProof/>
            <w:sz w:val="22"/>
          </w:rPr>
          <w:tab/>
        </w:r>
        <w:r w:rsidR="0096366C" w:rsidRPr="00BE1CA1">
          <w:rPr>
            <w:rStyle w:val="Hyperlink"/>
            <w:noProof/>
          </w:rPr>
          <w:t>Uncertainty in emissions from other product manufacture and use</w:t>
        </w:r>
        <w:r w:rsidR="0096366C">
          <w:rPr>
            <w:noProof/>
            <w:webHidden/>
          </w:rPr>
          <w:tab/>
        </w:r>
        <w:r w:rsidR="0096366C">
          <w:rPr>
            <w:noProof/>
            <w:webHidden/>
          </w:rPr>
          <w:fldChar w:fldCharType="begin"/>
        </w:r>
        <w:r w:rsidR="0096366C">
          <w:rPr>
            <w:noProof/>
            <w:webHidden/>
          </w:rPr>
          <w:instrText xml:space="preserve"> PAGEREF _Toc99659237 \h </w:instrText>
        </w:r>
        <w:r w:rsidR="0096366C">
          <w:rPr>
            <w:noProof/>
            <w:webHidden/>
          </w:rPr>
        </w:r>
        <w:r w:rsidR="0096366C">
          <w:rPr>
            <w:noProof/>
            <w:webHidden/>
          </w:rPr>
          <w:fldChar w:fldCharType="separate"/>
        </w:r>
        <w:r w:rsidR="009D338D">
          <w:rPr>
            <w:noProof/>
            <w:webHidden/>
          </w:rPr>
          <w:t>147</w:t>
        </w:r>
        <w:r w:rsidR="0096366C">
          <w:rPr>
            <w:noProof/>
            <w:webHidden/>
          </w:rPr>
          <w:fldChar w:fldCharType="end"/>
        </w:r>
      </w:hyperlink>
    </w:p>
    <w:p w14:paraId="3538E169" w14:textId="45875F35" w:rsidR="0096366C" w:rsidRPr="00B04620" w:rsidRDefault="004B48CC">
      <w:pPr>
        <w:pStyle w:val="TableofFigures"/>
        <w:rPr>
          <w:noProof/>
          <w:sz w:val="22"/>
        </w:rPr>
      </w:pPr>
      <w:hyperlink w:anchor="_Toc99659238" w:history="1">
        <w:r w:rsidR="0096366C" w:rsidRPr="00BE1CA1">
          <w:rPr>
            <w:rStyle w:val="Hyperlink"/>
            <w:rFonts w:cs="Calibri"/>
            <w:noProof/>
          </w:rPr>
          <w:t xml:space="preserve">Table 5.1.1 </w:t>
        </w:r>
        <w:r w:rsidR="0096366C" w:rsidRPr="00B04620">
          <w:rPr>
            <w:noProof/>
            <w:sz w:val="22"/>
          </w:rPr>
          <w:tab/>
        </w:r>
        <w:r w:rsidR="0096366C" w:rsidRPr="00BE1CA1">
          <w:rPr>
            <w:rStyle w:val="Hyperlink"/>
            <w:rFonts w:cs="Calibri"/>
            <w:noProof/>
          </w:rPr>
          <w:t>Trends and relative contribution of New Zealand’s agricultural greenhouse gas emissions by category between 1990 and 2020</w:t>
        </w:r>
        <w:r w:rsidR="0096366C">
          <w:rPr>
            <w:noProof/>
            <w:webHidden/>
          </w:rPr>
          <w:tab/>
        </w:r>
        <w:r w:rsidR="0096366C">
          <w:rPr>
            <w:noProof/>
            <w:webHidden/>
          </w:rPr>
          <w:fldChar w:fldCharType="begin"/>
        </w:r>
        <w:r w:rsidR="0096366C">
          <w:rPr>
            <w:noProof/>
            <w:webHidden/>
          </w:rPr>
          <w:instrText xml:space="preserve"> PAGEREF _Toc99659238 \h </w:instrText>
        </w:r>
        <w:r w:rsidR="0096366C">
          <w:rPr>
            <w:noProof/>
            <w:webHidden/>
          </w:rPr>
        </w:r>
        <w:r w:rsidR="0096366C">
          <w:rPr>
            <w:noProof/>
            <w:webHidden/>
          </w:rPr>
          <w:fldChar w:fldCharType="separate"/>
        </w:r>
        <w:r w:rsidR="009D338D">
          <w:rPr>
            <w:noProof/>
            <w:webHidden/>
          </w:rPr>
          <w:t>149</w:t>
        </w:r>
        <w:r w:rsidR="0096366C">
          <w:rPr>
            <w:noProof/>
            <w:webHidden/>
          </w:rPr>
          <w:fldChar w:fldCharType="end"/>
        </w:r>
      </w:hyperlink>
    </w:p>
    <w:p w14:paraId="622C39A8" w14:textId="704F8159" w:rsidR="0096366C" w:rsidRPr="00B04620" w:rsidRDefault="004B48CC">
      <w:pPr>
        <w:pStyle w:val="TableofFigures"/>
        <w:rPr>
          <w:noProof/>
          <w:sz w:val="22"/>
        </w:rPr>
      </w:pPr>
      <w:hyperlink w:anchor="_Toc99659239" w:history="1">
        <w:r w:rsidR="0096366C" w:rsidRPr="00BE1CA1">
          <w:rPr>
            <w:rStyle w:val="Hyperlink"/>
            <w:noProof/>
          </w:rPr>
          <w:t xml:space="preserve">Table 5.1.2 </w:t>
        </w:r>
        <w:r w:rsidR="0096366C" w:rsidRPr="00B04620">
          <w:rPr>
            <w:noProof/>
            <w:sz w:val="22"/>
          </w:rPr>
          <w:tab/>
        </w:r>
        <w:r w:rsidR="0096366C" w:rsidRPr="00BE1CA1">
          <w:rPr>
            <w:rStyle w:val="Hyperlink"/>
            <w:noProof/>
          </w:rPr>
          <w:t>Key categories in the Agriculture sector</w:t>
        </w:r>
        <w:r w:rsidR="0096366C">
          <w:rPr>
            <w:noProof/>
            <w:webHidden/>
          </w:rPr>
          <w:tab/>
        </w:r>
        <w:r w:rsidR="0096366C">
          <w:rPr>
            <w:noProof/>
            <w:webHidden/>
          </w:rPr>
          <w:fldChar w:fldCharType="begin"/>
        </w:r>
        <w:r w:rsidR="0096366C">
          <w:rPr>
            <w:noProof/>
            <w:webHidden/>
          </w:rPr>
          <w:instrText xml:space="preserve"> PAGEREF _Toc99659239 \h </w:instrText>
        </w:r>
        <w:r w:rsidR="0096366C">
          <w:rPr>
            <w:noProof/>
            <w:webHidden/>
          </w:rPr>
        </w:r>
        <w:r w:rsidR="0096366C">
          <w:rPr>
            <w:noProof/>
            <w:webHidden/>
          </w:rPr>
          <w:fldChar w:fldCharType="separate"/>
        </w:r>
        <w:r w:rsidR="009D338D">
          <w:rPr>
            <w:noProof/>
            <w:webHidden/>
          </w:rPr>
          <w:t>154</w:t>
        </w:r>
        <w:r w:rsidR="0096366C">
          <w:rPr>
            <w:noProof/>
            <w:webHidden/>
          </w:rPr>
          <w:fldChar w:fldCharType="end"/>
        </w:r>
      </w:hyperlink>
    </w:p>
    <w:p w14:paraId="55ACCAEE" w14:textId="7C425EF6" w:rsidR="0096366C" w:rsidRPr="00B04620" w:rsidRDefault="004B48CC">
      <w:pPr>
        <w:pStyle w:val="TableofFigures"/>
        <w:rPr>
          <w:noProof/>
          <w:sz w:val="22"/>
        </w:rPr>
      </w:pPr>
      <w:hyperlink w:anchor="_Toc99659240" w:history="1">
        <w:r w:rsidR="0096366C" w:rsidRPr="00BE1CA1">
          <w:rPr>
            <w:rStyle w:val="Hyperlink"/>
            <w:rFonts w:cs="Calibri"/>
            <w:noProof/>
          </w:rPr>
          <w:t xml:space="preserve">Table 5.1.3 </w:t>
        </w:r>
        <w:r w:rsidR="0096366C" w:rsidRPr="00B04620">
          <w:rPr>
            <w:noProof/>
            <w:sz w:val="22"/>
          </w:rPr>
          <w:tab/>
        </w:r>
        <w:r w:rsidR="0096366C" w:rsidRPr="00BE1CA1">
          <w:rPr>
            <w:rStyle w:val="Hyperlink"/>
            <w:rFonts w:cs="Calibri"/>
            <w:noProof/>
          </w:rPr>
          <w:t>Methods and emission factors in the Agriculture sector</w:t>
        </w:r>
        <w:r w:rsidR="0096366C">
          <w:rPr>
            <w:noProof/>
            <w:webHidden/>
          </w:rPr>
          <w:tab/>
        </w:r>
        <w:r w:rsidR="0096366C">
          <w:rPr>
            <w:noProof/>
            <w:webHidden/>
          </w:rPr>
          <w:fldChar w:fldCharType="begin"/>
        </w:r>
        <w:r w:rsidR="0096366C">
          <w:rPr>
            <w:noProof/>
            <w:webHidden/>
          </w:rPr>
          <w:instrText xml:space="preserve"> PAGEREF _Toc99659240 \h </w:instrText>
        </w:r>
        <w:r w:rsidR="0096366C">
          <w:rPr>
            <w:noProof/>
            <w:webHidden/>
          </w:rPr>
        </w:r>
        <w:r w:rsidR="0096366C">
          <w:rPr>
            <w:noProof/>
            <w:webHidden/>
          </w:rPr>
          <w:fldChar w:fldCharType="separate"/>
        </w:r>
        <w:r w:rsidR="009D338D">
          <w:rPr>
            <w:noProof/>
            <w:webHidden/>
          </w:rPr>
          <w:t>155</w:t>
        </w:r>
        <w:r w:rsidR="0096366C">
          <w:rPr>
            <w:noProof/>
            <w:webHidden/>
          </w:rPr>
          <w:fldChar w:fldCharType="end"/>
        </w:r>
      </w:hyperlink>
    </w:p>
    <w:p w14:paraId="60F1F1B0" w14:textId="13E071C1" w:rsidR="0096366C" w:rsidRPr="00B04620" w:rsidRDefault="004B48CC">
      <w:pPr>
        <w:pStyle w:val="TableofFigures"/>
        <w:rPr>
          <w:noProof/>
          <w:sz w:val="22"/>
        </w:rPr>
      </w:pPr>
      <w:hyperlink w:anchor="_Toc99659241" w:history="1">
        <w:r w:rsidR="0096366C" w:rsidRPr="00BE1CA1">
          <w:rPr>
            <w:rStyle w:val="Hyperlink"/>
            <w:noProof/>
          </w:rPr>
          <w:t xml:space="preserve">Table 5.1.4 </w:t>
        </w:r>
        <w:r w:rsidR="0096366C" w:rsidRPr="00B04620">
          <w:rPr>
            <w:noProof/>
            <w:sz w:val="22"/>
          </w:rPr>
          <w:tab/>
        </w:r>
        <w:r w:rsidR="0096366C" w:rsidRPr="00BE1CA1">
          <w:rPr>
            <w:rStyle w:val="Hyperlink"/>
            <w:noProof/>
          </w:rPr>
          <w:t>Agriculture sectoral approval process for inventory recalculations and improvements</w:t>
        </w:r>
        <w:r w:rsidR="0096366C">
          <w:rPr>
            <w:noProof/>
            <w:webHidden/>
          </w:rPr>
          <w:tab/>
        </w:r>
        <w:r w:rsidR="0096366C">
          <w:rPr>
            <w:noProof/>
            <w:webHidden/>
          </w:rPr>
          <w:fldChar w:fldCharType="begin"/>
        </w:r>
        <w:r w:rsidR="0096366C">
          <w:rPr>
            <w:noProof/>
            <w:webHidden/>
          </w:rPr>
          <w:instrText xml:space="preserve"> PAGEREF _Toc99659241 \h </w:instrText>
        </w:r>
        <w:r w:rsidR="0096366C">
          <w:rPr>
            <w:noProof/>
            <w:webHidden/>
          </w:rPr>
        </w:r>
        <w:r w:rsidR="0096366C">
          <w:rPr>
            <w:noProof/>
            <w:webHidden/>
          </w:rPr>
          <w:fldChar w:fldCharType="separate"/>
        </w:r>
        <w:r w:rsidR="009D338D">
          <w:rPr>
            <w:noProof/>
            <w:webHidden/>
          </w:rPr>
          <w:t>169</w:t>
        </w:r>
        <w:r w:rsidR="0096366C">
          <w:rPr>
            <w:noProof/>
            <w:webHidden/>
          </w:rPr>
          <w:fldChar w:fldCharType="end"/>
        </w:r>
      </w:hyperlink>
    </w:p>
    <w:p w14:paraId="3CD1D5FD" w14:textId="43F514DD" w:rsidR="0096366C" w:rsidRPr="00B04620" w:rsidRDefault="004B48CC">
      <w:pPr>
        <w:pStyle w:val="TableofFigures"/>
        <w:rPr>
          <w:noProof/>
          <w:sz w:val="22"/>
        </w:rPr>
      </w:pPr>
      <w:hyperlink w:anchor="_Toc99659242" w:history="1">
        <w:r w:rsidR="0096366C" w:rsidRPr="00BE1CA1">
          <w:rPr>
            <w:rStyle w:val="Hyperlink"/>
            <w:rFonts w:cs="Calibri"/>
            <w:noProof/>
          </w:rPr>
          <w:t>Table 5.2.1</w:t>
        </w:r>
        <w:r w:rsidR="0096366C" w:rsidRPr="00B04620">
          <w:rPr>
            <w:noProof/>
            <w:sz w:val="22"/>
          </w:rPr>
          <w:tab/>
        </w:r>
        <w:r w:rsidR="0096366C" w:rsidRPr="00BE1CA1">
          <w:rPr>
            <w:rStyle w:val="Hyperlink"/>
            <w:rFonts w:cs="Calibri"/>
            <w:noProof/>
          </w:rPr>
          <w:t>Trends and relative contribution of enteric fermentation (methane expressed in kt CO</w:t>
        </w:r>
        <w:r w:rsidR="0096366C" w:rsidRPr="00BE1CA1">
          <w:rPr>
            <w:rStyle w:val="Hyperlink"/>
            <w:rFonts w:cs="Calibri"/>
            <w:noProof/>
            <w:vertAlign w:val="subscript"/>
          </w:rPr>
          <w:t>2</w:t>
        </w:r>
        <w:r w:rsidR="0096366C" w:rsidRPr="00BE1CA1">
          <w:rPr>
            <w:rStyle w:val="Hyperlink"/>
            <w:rFonts w:cs="Calibri"/>
            <w:noProof/>
          </w:rPr>
          <w:t>-e) from livestock categories between 1990 and 2020</w:t>
        </w:r>
        <w:r w:rsidR="0096366C">
          <w:rPr>
            <w:noProof/>
            <w:webHidden/>
          </w:rPr>
          <w:tab/>
        </w:r>
        <w:r w:rsidR="0096366C">
          <w:rPr>
            <w:noProof/>
            <w:webHidden/>
          </w:rPr>
          <w:fldChar w:fldCharType="begin"/>
        </w:r>
        <w:r w:rsidR="0096366C">
          <w:rPr>
            <w:noProof/>
            <w:webHidden/>
          </w:rPr>
          <w:instrText xml:space="preserve"> PAGEREF _Toc99659242 \h </w:instrText>
        </w:r>
        <w:r w:rsidR="0096366C">
          <w:rPr>
            <w:noProof/>
            <w:webHidden/>
          </w:rPr>
        </w:r>
        <w:r w:rsidR="0096366C">
          <w:rPr>
            <w:noProof/>
            <w:webHidden/>
          </w:rPr>
          <w:fldChar w:fldCharType="separate"/>
        </w:r>
        <w:r w:rsidR="009D338D">
          <w:rPr>
            <w:noProof/>
            <w:webHidden/>
          </w:rPr>
          <w:t>173</w:t>
        </w:r>
        <w:r w:rsidR="0096366C">
          <w:rPr>
            <w:noProof/>
            <w:webHidden/>
          </w:rPr>
          <w:fldChar w:fldCharType="end"/>
        </w:r>
      </w:hyperlink>
    </w:p>
    <w:p w14:paraId="590B17B6" w14:textId="0638389E" w:rsidR="0096366C" w:rsidRPr="00B04620" w:rsidRDefault="004B48CC">
      <w:pPr>
        <w:pStyle w:val="TableofFigures"/>
        <w:rPr>
          <w:noProof/>
          <w:sz w:val="22"/>
        </w:rPr>
      </w:pPr>
      <w:hyperlink w:anchor="_Toc99659243" w:history="1">
        <w:r w:rsidR="0096366C" w:rsidRPr="00BE1CA1">
          <w:rPr>
            <w:rStyle w:val="Hyperlink"/>
            <w:rFonts w:cs="Calibri"/>
            <w:noProof/>
          </w:rPr>
          <w:t>Table 5.2.2</w:t>
        </w:r>
        <w:r w:rsidR="0096366C" w:rsidRPr="00B04620">
          <w:rPr>
            <w:noProof/>
            <w:sz w:val="22"/>
          </w:rPr>
          <w:tab/>
        </w:r>
        <w:r w:rsidR="0096366C" w:rsidRPr="00BE1CA1">
          <w:rPr>
            <w:rStyle w:val="Hyperlink"/>
            <w:rFonts w:cs="Calibri"/>
            <w:noProof/>
          </w:rPr>
          <w:t>Methane (CH</w:t>
        </w:r>
        <w:r w:rsidR="0096366C" w:rsidRPr="00BE1CA1">
          <w:rPr>
            <w:rStyle w:val="Hyperlink"/>
            <w:rFonts w:cs="Calibri"/>
            <w:noProof/>
            <w:vertAlign w:val="subscript"/>
          </w:rPr>
          <w:t>4</w:t>
        </w:r>
        <w:r w:rsidR="0096366C" w:rsidRPr="00BE1CA1">
          <w:rPr>
            <w:rStyle w:val="Hyperlink"/>
            <w:rFonts w:cs="Calibri"/>
            <w:noProof/>
          </w:rPr>
          <w:t>) emissions and gross energy intake (GEI) from New Zealand measurements and IPCC (2006) default values</w:t>
        </w:r>
        <w:r w:rsidR="0096366C">
          <w:rPr>
            <w:noProof/>
            <w:webHidden/>
          </w:rPr>
          <w:tab/>
        </w:r>
        <w:r w:rsidR="0096366C">
          <w:rPr>
            <w:noProof/>
            <w:webHidden/>
          </w:rPr>
          <w:fldChar w:fldCharType="begin"/>
        </w:r>
        <w:r w:rsidR="0096366C">
          <w:rPr>
            <w:noProof/>
            <w:webHidden/>
          </w:rPr>
          <w:instrText xml:space="preserve"> PAGEREF _Toc99659243 \h </w:instrText>
        </w:r>
        <w:r w:rsidR="0096366C">
          <w:rPr>
            <w:noProof/>
            <w:webHidden/>
          </w:rPr>
        </w:r>
        <w:r w:rsidR="0096366C">
          <w:rPr>
            <w:noProof/>
            <w:webHidden/>
          </w:rPr>
          <w:fldChar w:fldCharType="separate"/>
        </w:r>
        <w:r w:rsidR="009D338D">
          <w:rPr>
            <w:noProof/>
            <w:webHidden/>
          </w:rPr>
          <w:t>176</w:t>
        </w:r>
        <w:r w:rsidR="0096366C">
          <w:rPr>
            <w:noProof/>
            <w:webHidden/>
          </w:rPr>
          <w:fldChar w:fldCharType="end"/>
        </w:r>
      </w:hyperlink>
    </w:p>
    <w:p w14:paraId="199981ED" w14:textId="09E1D263" w:rsidR="0096366C" w:rsidRPr="00B04620" w:rsidRDefault="004B48CC">
      <w:pPr>
        <w:pStyle w:val="TableofFigures"/>
        <w:rPr>
          <w:noProof/>
          <w:sz w:val="22"/>
        </w:rPr>
      </w:pPr>
      <w:hyperlink w:anchor="_Toc99659244" w:history="1">
        <w:r w:rsidR="0096366C" w:rsidRPr="00BE1CA1">
          <w:rPr>
            <w:rStyle w:val="Hyperlink"/>
            <w:rFonts w:cs="Calibri"/>
            <w:noProof/>
          </w:rPr>
          <w:t>Table 5.2.3</w:t>
        </w:r>
        <w:r w:rsidR="0096366C" w:rsidRPr="00B04620">
          <w:rPr>
            <w:noProof/>
            <w:sz w:val="22"/>
          </w:rPr>
          <w:tab/>
        </w:r>
        <w:r w:rsidR="0096366C" w:rsidRPr="00BE1CA1">
          <w:rPr>
            <w:rStyle w:val="Hyperlink"/>
            <w:rFonts w:cs="Calibri"/>
            <w:noProof/>
          </w:rPr>
          <w:t>New Zealand’s implied emission factors for enteric fermentation from 1990 to 2020</w:t>
        </w:r>
        <w:r w:rsidR="0096366C">
          <w:rPr>
            <w:noProof/>
            <w:webHidden/>
          </w:rPr>
          <w:tab/>
        </w:r>
        <w:r w:rsidR="0096366C">
          <w:rPr>
            <w:noProof/>
            <w:webHidden/>
          </w:rPr>
          <w:fldChar w:fldCharType="begin"/>
        </w:r>
        <w:r w:rsidR="0096366C">
          <w:rPr>
            <w:noProof/>
            <w:webHidden/>
          </w:rPr>
          <w:instrText xml:space="preserve"> PAGEREF _Toc99659244 \h </w:instrText>
        </w:r>
        <w:r w:rsidR="0096366C">
          <w:rPr>
            <w:noProof/>
            <w:webHidden/>
          </w:rPr>
        </w:r>
        <w:r w:rsidR="0096366C">
          <w:rPr>
            <w:noProof/>
            <w:webHidden/>
          </w:rPr>
          <w:fldChar w:fldCharType="separate"/>
        </w:r>
        <w:r w:rsidR="009D338D">
          <w:rPr>
            <w:noProof/>
            <w:webHidden/>
          </w:rPr>
          <w:t>176</w:t>
        </w:r>
        <w:r w:rsidR="0096366C">
          <w:rPr>
            <w:noProof/>
            <w:webHidden/>
          </w:rPr>
          <w:fldChar w:fldCharType="end"/>
        </w:r>
      </w:hyperlink>
    </w:p>
    <w:p w14:paraId="311A2EA6" w14:textId="3198D590" w:rsidR="0096366C" w:rsidRPr="00B04620" w:rsidRDefault="004B48CC">
      <w:pPr>
        <w:pStyle w:val="TableofFigures"/>
        <w:rPr>
          <w:noProof/>
          <w:sz w:val="22"/>
        </w:rPr>
      </w:pPr>
      <w:hyperlink w:anchor="_Toc99659245" w:history="1">
        <w:r w:rsidR="0096366C" w:rsidRPr="00BE1CA1">
          <w:rPr>
            <w:rStyle w:val="Hyperlink"/>
            <w:rFonts w:cs="Calibri"/>
            <w:noProof/>
          </w:rPr>
          <w:t>Table 5.2.4</w:t>
        </w:r>
        <w:r w:rsidR="0096366C" w:rsidRPr="00B04620">
          <w:rPr>
            <w:noProof/>
            <w:sz w:val="22"/>
          </w:rPr>
          <w:tab/>
        </w:r>
        <w:r w:rsidR="0096366C" w:rsidRPr="00BE1CA1">
          <w:rPr>
            <w:rStyle w:val="Hyperlink"/>
            <w:rFonts w:cs="Calibri"/>
            <w:noProof/>
          </w:rPr>
          <w:t>New Zealand’s uncertainty in the annual estimate of enteric fermentation emissions for 1990 and 2020, estimated using the 95 per cent confidence interval (±16 per cent)</w:t>
        </w:r>
        <w:r w:rsidR="0096366C">
          <w:rPr>
            <w:noProof/>
            <w:webHidden/>
          </w:rPr>
          <w:tab/>
        </w:r>
        <w:r w:rsidR="0096366C">
          <w:rPr>
            <w:noProof/>
            <w:webHidden/>
          </w:rPr>
          <w:fldChar w:fldCharType="begin"/>
        </w:r>
        <w:r w:rsidR="0096366C">
          <w:rPr>
            <w:noProof/>
            <w:webHidden/>
          </w:rPr>
          <w:instrText xml:space="preserve"> PAGEREF _Toc99659245 \h </w:instrText>
        </w:r>
        <w:r w:rsidR="0096366C">
          <w:rPr>
            <w:noProof/>
            <w:webHidden/>
          </w:rPr>
        </w:r>
        <w:r w:rsidR="0096366C">
          <w:rPr>
            <w:noProof/>
            <w:webHidden/>
          </w:rPr>
          <w:fldChar w:fldCharType="separate"/>
        </w:r>
        <w:r w:rsidR="009D338D">
          <w:rPr>
            <w:noProof/>
            <w:webHidden/>
          </w:rPr>
          <w:t>179</w:t>
        </w:r>
        <w:r w:rsidR="0096366C">
          <w:rPr>
            <w:noProof/>
            <w:webHidden/>
          </w:rPr>
          <w:fldChar w:fldCharType="end"/>
        </w:r>
      </w:hyperlink>
    </w:p>
    <w:p w14:paraId="547C7011" w14:textId="412F1F1D" w:rsidR="0096366C" w:rsidRPr="00B04620" w:rsidRDefault="004B48CC">
      <w:pPr>
        <w:pStyle w:val="TableofFigures"/>
        <w:rPr>
          <w:noProof/>
          <w:sz w:val="22"/>
        </w:rPr>
      </w:pPr>
      <w:hyperlink w:anchor="_Toc99659246" w:history="1">
        <w:r w:rsidR="0096366C" w:rsidRPr="00BE1CA1">
          <w:rPr>
            <w:rStyle w:val="Hyperlink"/>
            <w:rFonts w:cs="Calibri"/>
            <w:noProof/>
          </w:rPr>
          <w:t>Table 5.2.5</w:t>
        </w:r>
        <w:r w:rsidR="0096366C" w:rsidRPr="00B04620">
          <w:rPr>
            <w:noProof/>
            <w:sz w:val="22"/>
          </w:rPr>
          <w:tab/>
        </w:r>
        <w:r w:rsidR="0096366C" w:rsidRPr="00BE1CA1">
          <w:rPr>
            <w:rStyle w:val="Hyperlink"/>
            <w:rFonts w:cs="Calibri"/>
            <w:noProof/>
          </w:rPr>
          <w:t>Comparison of the IPCC (2006) default emission factor and country-specific implied emission factors (IEFs) for methane (CH</w:t>
        </w:r>
        <w:r w:rsidR="0096366C" w:rsidRPr="00BE1CA1">
          <w:rPr>
            <w:rStyle w:val="Hyperlink"/>
            <w:rFonts w:cs="Calibri"/>
            <w:noProof/>
            <w:vertAlign w:val="subscript"/>
          </w:rPr>
          <w:t>4</w:t>
        </w:r>
        <w:r w:rsidR="0096366C" w:rsidRPr="00BE1CA1">
          <w:rPr>
            <w:rStyle w:val="Hyperlink"/>
            <w:rFonts w:cs="Calibri"/>
            <w:noProof/>
          </w:rPr>
          <w:t xml:space="preserve">) from </w:t>
        </w:r>
        <w:r w:rsidR="0096366C" w:rsidRPr="00BE1CA1">
          <w:rPr>
            <w:rStyle w:val="Hyperlink"/>
            <w:rFonts w:cs="Calibri"/>
            <w:i/>
            <w:iCs/>
            <w:noProof/>
          </w:rPr>
          <w:t>Enteric fermentation</w:t>
        </w:r>
        <w:r w:rsidR="0096366C" w:rsidRPr="00BE1CA1">
          <w:rPr>
            <w:rStyle w:val="Hyperlink"/>
            <w:rFonts w:cs="Calibri"/>
            <w:noProof/>
          </w:rPr>
          <w:t xml:space="preserve"> for </w:t>
        </w:r>
        <w:r w:rsidR="0096366C" w:rsidRPr="00BE1CA1">
          <w:rPr>
            <w:rStyle w:val="Hyperlink"/>
            <w:rFonts w:cs="Calibri"/>
            <w:i/>
            <w:iCs/>
            <w:noProof/>
          </w:rPr>
          <w:t>Dairy cattle</w:t>
        </w:r>
        <w:r w:rsidR="0096366C" w:rsidRPr="00BE1CA1">
          <w:rPr>
            <w:rStyle w:val="Hyperlink"/>
            <w:rFonts w:cs="Calibri"/>
            <w:noProof/>
          </w:rPr>
          <w:t xml:space="preserve">, </w:t>
        </w:r>
        <w:r w:rsidR="0096366C" w:rsidRPr="00BE1CA1">
          <w:rPr>
            <w:rStyle w:val="Hyperlink"/>
            <w:rFonts w:cs="Calibri"/>
            <w:i/>
            <w:iCs/>
            <w:noProof/>
          </w:rPr>
          <w:t>Non</w:t>
        </w:r>
        <w:r w:rsidR="0096366C" w:rsidRPr="00BE1CA1">
          <w:rPr>
            <w:rStyle w:val="Hyperlink"/>
            <w:rFonts w:cs="Calibri"/>
            <w:i/>
            <w:iCs/>
            <w:noProof/>
          </w:rPr>
          <w:noBreakHyphen/>
          <w:t>dairy</w:t>
        </w:r>
        <w:r w:rsidR="0096366C" w:rsidRPr="00BE1CA1">
          <w:rPr>
            <w:rStyle w:val="Hyperlink"/>
            <w:rFonts w:cs="Calibri"/>
            <w:noProof/>
          </w:rPr>
          <w:t xml:space="preserve"> (beef) </w:t>
        </w:r>
        <w:r w:rsidR="0096366C" w:rsidRPr="00BE1CA1">
          <w:rPr>
            <w:rStyle w:val="Hyperlink"/>
            <w:rFonts w:cs="Calibri"/>
            <w:i/>
            <w:iCs/>
            <w:noProof/>
          </w:rPr>
          <w:t>cattle</w:t>
        </w:r>
        <w:r w:rsidR="0096366C" w:rsidRPr="00BE1CA1">
          <w:rPr>
            <w:rStyle w:val="Hyperlink"/>
            <w:rFonts w:cs="Calibri"/>
            <w:noProof/>
          </w:rPr>
          <w:t xml:space="preserve"> and </w:t>
        </w:r>
        <w:r w:rsidR="0096366C" w:rsidRPr="00BE1CA1">
          <w:rPr>
            <w:rStyle w:val="Hyperlink"/>
            <w:rFonts w:cs="Calibri"/>
            <w:i/>
            <w:iCs/>
            <w:noProof/>
          </w:rPr>
          <w:t>Sheep</w:t>
        </w:r>
        <w:r w:rsidR="0096366C">
          <w:rPr>
            <w:noProof/>
            <w:webHidden/>
          </w:rPr>
          <w:tab/>
        </w:r>
        <w:r w:rsidR="0096366C">
          <w:rPr>
            <w:noProof/>
            <w:webHidden/>
          </w:rPr>
          <w:fldChar w:fldCharType="begin"/>
        </w:r>
        <w:r w:rsidR="0096366C">
          <w:rPr>
            <w:noProof/>
            <w:webHidden/>
          </w:rPr>
          <w:instrText xml:space="preserve"> PAGEREF _Toc99659246 \h </w:instrText>
        </w:r>
        <w:r w:rsidR="0096366C">
          <w:rPr>
            <w:noProof/>
            <w:webHidden/>
          </w:rPr>
        </w:r>
        <w:r w:rsidR="0096366C">
          <w:rPr>
            <w:noProof/>
            <w:webHidden/>
          </w:rPr>
          <w:fldChar w:fldCharType="separate"/>
        </w:r>
        <w:r w:rsidR="009D338D">
          <w:rPr>
            <w:noProof/>
            <w:webHidden/>
          </w:rPr>
          <w:t>180</w:t>
        </w:r>
        <w:r w:rsidR="0096366C">
          <w:rPr>
            <w:noProof/>
            <w:webHidden/>
          </w:rPr>
          <w:fldChar w:fldCharType="end"/>
        </w:r>
      </w:hyperlink>
    </w:p>
    <w:p w14:paraId="44E42D3E" w14:textId="1386B9A2" w:rsidR="0096366C" w:rsidRPr="00B04620" w:rsidRDefault="004B48CC">
      <w:pPr>
        <w:pStyle w:val="TableofFigures"/>
        <w:rPr>
          <w:noProof/>
          <w:sz w:val="22"/>
        </w:rPr>
      </w:pPr>
      <w:hyperlink w:anchor="_Toc99659247" w:history="1">
        <w:r w:rsidR="0096366C" w:rsidRPr="00BE1CA1">
          <w:rPr>
            <w:rStyle w:val="Hyperlink"/>
            <w:rFonts w:cs="Calibri"/>
            <w:noProof/>
          </w:rPr>
          <w:t>Table 5.3.1</w:t>
        </w:r>
        <w:r w:rsidR="0096366C" w:rsidRPr="00B04620">
          <w:rPr>
            <w:noProof/>
            <w:sz w:val="22"/>
          </w:rPr>
          <w:tab/>
        </w:r>
        <w:r w:rsidR="0096366C" w:rsidRPr="00BE1CA1">
          <w:rPr>
            <w:rStyle w:val="Hyperlink"/>
            <w:rFonts w:cs="Calibri"/>
            <w:noProof/>
          </w:rPr>
          <w:t xml:space="preserve">Trends and relative contribution of methane and nitrous oxide emissions under the </w:t>
        </w:r>
        <w:r w:rsidR="0096366C" w:rsidRPr="00BE1CA1">
          <w:rPr>
            <w:rStyle w:val="Hyperlink"/>
            <w:rFonts w:cs="Calibri"/>
            <w:i/>
            <w:iCs/>
            <w:noProof/>
          </w:rPr>
          <w:t>Manure management</w:t>
        </w:r>
        <w:r w:rsidR="0096366C" w:rsidRPr="00BE1CA1">
          <w:rPr>
            <w:rStyle w:val="Hyperlink"/>
            <w:rFonts w:cs="Calibri"/>
            <w:noProof/>
          </w:rPr>
          <w:t xml:space="preserve"> category between 1990 and 2020</w:t>
        </w:r>
        <w:r w:rsidR="0096366C">
          <w:rPr>
            <w:noProof/>
            <w:webHidden/>
          </w:rPr>
          <w:tab/>
        </w:r>
        <w:r w:rsidR="0096366C">
          <w:rPr>
            <w:noProof/>
            <w:webHidden/>
          </w:rPr>
          <w:fldChar w:fldCharType="begin"/>
        </w:r>
        <w:r w:rsidR="0096366C">
          <w:rPr>
            <w:noProof/>
            <w:webHidden/>
          </w:rPr>
          <w:instrText xml:space="preserve"> PAGEREF _Toc99659247 \h </w:instrText>
        </w:r>
        <w:r w:rsidR="0096366C">
          <w:rPr>
            <w:noProof/>
            <w:webHidden/>
          </w:rPr>
        </w:r>
        <w:r w:rsidR="0096366C">
          <w:rPr>
            <w:noProof/>
            <w:webHidden/>
          </w:rPr>
          <w:fldChar w:fldCharType="separate"/>
        </w:r>
        <w:r w:rsidR="009D338D">
          <w:rPr>
            <w:noProof/>
            <w:webHidden/>
          </w:rPr>
          <w:t>183</w:t>
        </w:r>
        <w:r w:rsidR="0096366C">
          <w:rPr>
            <w:noProof/>
            <w:webHidden/>
          </w:rPr>
          <w:fldChar w:fldCharType="end"/>
        </w:r>
      </w:hyperlink>
    </w:p>
    <w:p w14:paraId="00A8810A" w14:textId="46C41DE7" w:rsidR="0096366C" w:rsidRPr="00B04620" w:rsidRDefault="004B48CC">
      <w:pPr>
        <w:pStyle w:val="TableofFigures"/>
        <w:rPr>
          <w:noProof/>
          <w:sz w:val="22"/>
        </w:rPr>
      </w:pPr>
      <w:hyperlink w:anchor="_Toc99659248" w:history="1">
        <w:r w:rsidR="0096366C" w:rsidRPr="00BE1CA1">
          <w:rPr>
            <w:rStyle w:val="Hyperlink"/>
            <w:rFonts w:cs="Calibri"/>
            <w:noProof/>
          </w:rPr>
          <w:t>Table 5.3.2</w:t>
        </w:r>
        <w:r w:rsidR="0096366C" w:rsidRPr="00B04620">
          <w:rPr>
            <w:noProof/>
            <w:sz w:val="22"/>
          </w:rPr>
          <w:tab/>
        </w:r>
        <w:r w:rsidR="0096366C" w:rsidRPr="00BE1CA1">
          <w:rPr>
            <w:rStyle w:val="Hyperlink"/>
            <w:rFonts w:cs="Calibri"/>
            <w:noProof/>
          </w:rPr>
          <w:t>Distribution of livestock waste across animal waste management systems in New Zealand</w:t>
        </w:r>
        <w:r w:rsidR="0096366C">
          <w:rPr>
            <w:noProof/>
            <w:webHidden/>
          </w:rPr>
          <w:tab/>
        </w:r>
        <w:r w:rsidR="0096366C">
          <w:rPr>
            <w:noProof/>
            <w:webHidden/>
          </w:rPr>
          <w:fldChar w:fldCharType="begin"/>
        </w:r>
        <w:r w:rsidR="0096366C">
          <w:rPr>
            <w:noProof/>
            <w:webHidden/>
          </w:rPr>
          <w:instrText xml:space="preserve"> PAGEREF _Toc99659248 \h </w:instrText>
        </w:r>
        <w:r w:rsidR="0096366C">
          <w:rPr>
            <w:noProof/>
            <w:webHidden/>
          </w:rPr>
        </w:r>
        <w:r w:rsidR="0096366C">
          <w:rPr>
            <w:noProof/>
            <w:webHidden/>
          </w:rPr>
          <w:fldChar w:fldCharType="separate"/>
        </w:r>
        <w:r w:rsidR="009D338D">
          <w:rPr>
            <w:noProof/>
            <w:webHidden/>
          </w:rPr>
          <w:t>184</w:t>
        </w:r>
        <w:r w:rsidR="0096366C">
          <w:rPr>
            <w:noProof/>
            <w:webHidden/>
          </w:rPr>
          <w:fldChar w:fldCharType="end"/>
        </w:r>
      </w:hyperlink>
    </w:p>
    <w:p w14:paraId="5B6B041E" w14:textId="04DD33FD" w:rsidR="0096366C" w:rsidRPr="00B04620" w:rsidRDefault="004B48CC">
      <w:pPr>
        <w:pStyle w:val="TableofFigures"/>
        <w:rPr>
          <w:noProof/>
          <w:sz w:val="22"/>
        </w:rPr>
      </w:pPr>
      <w:hyperlink w:anchor="_Toc99659249" w:history="1">
        <w:r w:rsidR="0096366C" w:rsidRPr="00BE1CA1">
          <w:rPr>
            <w:rStyle w:val="Hyperlink"/>
            <w:rFonts w:cs="Calibri"/>
            <w:noProof/>
          </w:rPr>
          <w:t>Table 5.3.3</w:t>
        </w:r>
        <w:r w:rsidR="0096366C" w:rsidRPr="00B04620">
          <w:rPr>
            <w:noProof/>
            <w:sz w:val="22"/>
          </w:rPr>
          <w:tab/>
        </w:r>
        <w:r w:rsidR="0096366C" w:rsidRPr="00BE1CA1">
          <w:rPr>
            <w:rStyle w:val="Hyperlink"/>
            <w:rFonts w:cs="Calibri"/>
            <w:noProof/>
          </w:rPr>
          <w:t>Nitrogen excretion rates (N</w:t>
        </w:r>
        <w:r w:rsidR="0096366C" w:rsidRPr="00BE1CA1">
          <w:rPr>
            <w:rStyle w:val="Hyperlink"/>
            <w:rFonts w:cs="Calibri"/>
            <w:noProof/>
            <w:vertAlign w:val="subscript"/>
          </w:rPr>
          <w:t>ex</w:t>
        </w:r>
        <w:r w:rsidR="0096366C" w:rsidRPr="00BE1CA1">
          <w:rPr>
            <w:rStyle w:val="Hyperlink"/>
            <w:rFonts w:cs="Calibri"/>
            <w:noProof/>
          </w:rPr>
          <w:t>) for New Zealand’s major livestock categories from 1990 to 2020</w:t>
        </w:r>
        <w:r w:rsidR="0096366C">
          <w:rPr>
            <w:noProof/>
            <w:webHidden/>
          </w:rPr>
          <w:tab/>
        </w:r>
        <w:r w:rsidR="0096366C">
          <w:rPr>
            <w:noProof/>
            <w:webHidden/>
          </w:rPr>
          <w:fldChar w:fldCharType="begin"/>
        </w:r>
        <w:r w:rsidR="0096366C">
          <w:rPr>
            <w:noProof/>
            <w:webHidden/>
          </w:rPr>
          <w:instrText xml:space="preserve"> PAGEREF _Toc99659249 \h </w:instrText>
        </w:r>
        <w:r w:rsidR="0096366C">
          <w:rPr>
            <w:noProof/>
            <w:webHidden/>
          </w:rPr>
        </w:r>
        <w:r w:rsidR="0096366C">
          <w:rPr>
            <w:noProof/>
            <w:webHidden/>
          </w:rPr>
          <w:fldChar w:fldCharType="separate"/>
        </w:r>
        <w:r w:rsidR="009D338D">
          <w:rPr>
            <w:noProof/>
            <w:webHidden/>
          </w:rPr>
          <w:t>187</w:t>
        </w:r>
        <w:r w:rsidR="0096366C">
          <w:rPr>
            <w:noProof/>
            <w:webHidden/>
          </w:rPr>
          <w:fldChar w:fldCharType="end"/>
        </w:r>
      </w:hyperlink>
    </w:p>
    <w:p w14:paraId="3389E88A" w14:textId="2A9CD89B" w:rsidR="0096366C" w:rsidRPr="00B04620" w:rsidRDefault="004B48CC">
      <w:pPr>
        <w:pStyle w:val="TableofFigures"/>
        <w:rPr>
          <w:noProof/>
          <w:sz w:val="22"/>
        </w:rPr>
      </w:pPr>
      <w:hyperlink w:anchor="_Toc99659250" w:history="1">
        <w:r w:rsidR="0096366C" w:rsidRPr="00BE1CA1">
          <w:rPr>
            <w:rStyle w:val="Hyperlink"/>
            <w:rFonts w:cs="Calibri"/>
            <w:noProof/>
          </w:rPr>
          <w:t>Table 5.3.4</w:t>
        </w:r>
        <w:r w:rsidR="0096366C" w:rsidRPr="00B04620">
          <w:rPr>
            <w:noProof/>
            <w:sz w:val="22"/>
          </w:rPr>
          <w:tab/>
        </w:r>
        <w:r w:rsidR="0096366C" w:rsidRPr="00BE1CA1">
          <w:rPr>
            <w:rStyle w:val="Hyperlink"/>
            <w:rFonts w:cs="Calibri"/>
            <w:noProof/>
          </w:rPr>
          <w:t>Nitrogen excretion (N</w:t>
        </w:r>
        <w:r w:rsidR="0096366C" w:rsidRPr="00BE1CA1">
          <w:rPr>
            <w:rStyle w:val="Hyperlink"/>
            <w:rFonts w:cs="Calibri"/>
            <w:noProof/>
            <w:vertAlign w:val="subscript"/>
          </w:rPr>
          <w:t>ex</w:t>
        </w:r>
        <w:r w:rsidR="0096366C" w:rsidRPr="00BE1CA1">
          <w:rPr>
            <w:rStyle w:val="Hyperlink"/>
            <w:rFonts w:cs="Calibri"/>
            <w:noProof/>
          </w:rPr>
          <w:t>) rates for New Zealand’s swine and goats from 1990 to 2020</w:t>
        </w:r>
        <w:r w:rsidR="0096366C">
          <w:rPr>
            <w:noProof/>
            <w:webHidden/>
          </w:rPr>
          <w:tab/>
        </w:r>
        <w:r w:rsidR="0096366C">
          <w:rPr>
            <w:noProof/>
            <w:webHidden/>
          </w:rPr>
          <w:fldChar w:fldCharType="begin"/>
        </w:r>
        <w:r w:rsidR="0096366C">
          <w:rPr>
            <w:noProof/>
            <w:webHidden/>
          </w:rPr>
          <w:instrText xml:space="preserve"> PAGEREF _Toc99659250 \h </w:instrText>
        </w:r>
        <w:r w:rsidR="0096366C">
          <w:rPr>
            <w:noProof/>
            <w:webHidden/>
          </w:rPr>
        </w:r>
        <w:r w:rsidR="0096366C">
          <w:rPr>
            <w:noProof/>
            <w:webHidden/>
          </w:rPr>
          <w:fldChar w:fldCharType="separate"/>
        </w:r>
        <w:r w:rsidR="009D338D">
          <w:rPr>
            <w:noProof/>
            <w:webHidden/>
          </w:rPr>
          <w:t>189</w:t>
        </w:r>
        <w:r w:rsidR="0096366C">
          <w:rPr>
            <w:noProof/>
            <w:webHidden/>
          </w:rPr>
          <w:fldChar w:fldCharType="end"/>
        </w:r>
      </w:hyperlink>
    </w:p>
    <w:p w14:paraId="4CAABBD1" w14:textId="3B0E1C1D" w:rsidR="0096366C" w:rsidRPr="00B04620" w:rsidRDefault="004B48CC">
      <w:pPr>
        <w:pStyle w:val="TableofFigures"/>
        <w:rPr>
          <w:noProof/>
          <w:sz w:val="22"/>
        </w:rPr>
      </w:pPr>
      <w:hyperlink w:anchor="_Toc99659251" w:history="1">
        <w:r w:rsidR="0096366C" w:rsidRPr="00BE1CA1">
          <w:rPr>
            <w:rStyle w:val="Hyperlink"/>
            <w:rFonts w:cs="Calibri"/>
            <w:noProof/>
          </w:rPr>
          <w:t>Table 5.3.5</w:t>
        </w:r>
        <w:r w:rsidR="0096366C" w:rsidRPr="00B04620">
          <w:rPr>
            <w:noProof/>
            <w:sz w:val="22"/>
          </w:rPr>
          <w:tab/>
        </w:r>
        <w:r w:rsidR="0096366C" w:rsidRPr="00BE1CA1">
          <w:rPr>
            <w:rStyle w:val="Hyperlink"/>
            <w:rFonts w:cs="Calibri"/>
            <w:noProof/>
          </w:rPr>
          <w:t>IPCC default values for the fraction of managed manure nitrogen that volatilises as ammonia and oxides of nitrogen (Frac</w:t>
        </w:r>
        <w:r w:rsidR="0096366C" w:rsidRPr="00BE1CA1">
          <w:rPr>
            <w:rStyle w:val="Hyperlink"/>
            <w:rFonts w:cs="Calibri"/>
            <w:noProof/>
            <w:vertAlign w:val="subscript"/>
          </w:rPr>
          <w:t>GasMS</w:t>
        </w:r>
        <w:r w:rsidR="0096366C" w:rsidRPr="00BE1CA1">
          <w:rPr>
            <w:rStyle w:val="Hyperlink"/>
            <w:rFonts w:cs="Calibri"/>
            <w:noProof/>
          </w:rPr>
          <w:t>/100) for livestock categories per manure management system in New Zealand</w:t>
        </w:r>
        <w:r w:rsidR="0096366C">
          <w:rPr>
            <w:noProof/>
            <w:webHidden/>
          </w:rPr>
          <w:tab/>
        </w:r>
        <w:r w:rsidR="0096366C">
          <w:rPr>
            <w:noProof/>
            <w:webHidden/>
          </w:rPr>
          <w:fldChar w:fldCharType="begin"/>
        </w:r>
        <w:r w:rsidR="0096366C">
          <w:rPr>
            <w:noProof/>
            <w:webHidden/>
          </w:rPr>
          <w:instrText xml:space="preserve"> PAGEREF _Toc99659251 \h </w:instrText>
        </w:r>
        <w:r w:rsidR="0096366C">
          <w:rPr>
            <w:noProof/>
            <w:webHidden/>
          </w:rPr>
        </w:r>
        <w:r w:rsidR="0096366C">
          <w:rPr>
            <w:noProof/>
            <w:webHidden/>
          </w:rPr>
          <w:fldChar w:fldCharType="separate"/>
        </w:r>
        <w:r w:rsidR="009D338D">
          <w:rPr>
            <w:noProof/>
            <w:webHidden/>
          </w:rPr>
          <w:t>191</w:t>
        </w:r>
        <w:r w:rsidR="0096366C">
          <w:rPr>
            <w:noProof/>
            <w:webHidden/>
          </w:rPr>
          <w:fldChar w:fldCharType="end"/>
        </w:r>
      </w:hyperlink>
    </w:p>
    <w:p w14:paraId="4CF417EB" w14:textId="2BA5CD9E" w:rsidR="0096366C" w:rsidRPr="00B04620" w:rsidRDefault="004B48CC">
      <w:pPr>
        <w:pStyle w:val="TableofFigures"/>
        <w:rPr>
          <w:noProof/>
          <w:sz w:val="22"/>
        </w:rPr>
      </w:pPr>
      <w:hyperlink w:anchor="_Toc99659252" w:history="1">
        <w:r w:rsidR="0096366C" w:rsidRPr="00BE1CA1">
          <w:rPr>
            <w:rStyle w:val="Hyperlink"/>
            <w:rFonts w:cs="Calibri"/>
            <w:noProof/>
          </w:rPr>
          <w:t>Table 5.3.6</w:t>
        </w:r>
        <w:r w:rsidR="0096366C" w:rsidRPr="00B04620">
          <w:rPr>
            <w:noProof/>
            <w:sz w:val="22"/>
          </w:rPr>
          <w:tab/>
        </w:r>
        <w:r w:rsidR="0096366C" w:rsidRPr="00BE1CA1">
          <w:rPr>
            <w:rStyle w:val="Hyperlink"/>
            <w:rFonts w:cs="Calibri"/>
            <w:noProof/>
          </w:rPr>
          <w:t>Comparison of IPCC (2006) table 10A-4 default emission factors and country-specific implied emission factors (IEFs) for methane from manure management</w:t>
        </w:r>
        <w:r w:rsidR="0096366C">
          <w:rPr>
            <w:noProof/>
            <w:webHidden/>
          </w:rPr>
          <w:tab/>
        </w:r>
        <w:r w:rsidR="0096366C">
          <w:rPr>
            <w:noProof/>
            <w:webHidden/>
          </w:rPr>
          <w:fldChar w:fldCharType="begin"/>
        </w:r>
        <w:r w:rsidR="0096366C">
          <w:rPr>
            <w:noProof/>
            <w:webHidden/>
          </w:rPr>
          <w:instrText xml:space="preserve"> PAGEREF _Toc99659252 \h </w:instrText>
        </w:r>
        <w:r w:rsidR="0096366C">
          <w:rPr>
            <w:noProof/>
            <w:webHidden/>
          </w:rPr>
        </w:r>
        <w:r w:rsidR="0096366C">
          <w:rPr>
            <w:noProof/>
            <w:webHidden/>
          </w:rPr>
          <w:fldChar w:fldCharType="separate"/>
        </w:r>
        <w:r w:rsidR="009D338D">
          <w:rPr>
            <w:noProof/>
            <w:webHidden/>
          </w:rPr>
          <w:t>192</w:t>
        </w:r>
        <w:r w:rsidR="0096366C">
          <w:rPr>
            <w:noProof/>
            <w:webHidden/>
          </w:rPr>
          <w:fldChar w:fldCharType="end"/>
        </w:r>
      </w:hyperlink>
    </w:p>
    <w:p w14:paraId="4B4667CA" w14:textId="7F9667C0" w:rsidR="0096366C" w:rsidRPr="00B04620" w:rsidRDefault="004B48CC">
      <w:pPr>
        <w:pStyle w:val="TableofFigures"/>
        <w:rPr>
          <w:noProof/>
          <w:sz w:val="22"/>
        </w:rPr>
      </w:pPr>
      <w:hyperlink w:anchor="_Toc99659253" w:history="1">
        <w:r w:rsidR="0096366C" w:rsidRPr="00BE1CA1">
          <w:rPr>
            <w:rStyle w:val="Hyperlink"/>
            <w:rFonts w:cs="Calibri"/>
            <w:noProof/>
          </w:rPr>
          <w:t>Table 5.5.1</w:t>
        </w:r>
        <w:r w:rsidR="0096366C" w:rsidRPr="00B04620">
          <w:rPr>
            <w:noProof/>
            <w:sz w:val="22"/>
          </w:rPr>
          <w:tab/>
        </w:r>
        <w:r w:rsidR="0096366C" w:rsidRPr="00BE1CA1">
          <w:rPr>
            <w:rStyle w:val="Hyperlink"/>
            <w:rFonts w:cs="Calibri"/>
            <w:noProof/>
          </w:rPr>
          <w:t xml:space="preserve">Trends and relative contribution of nitrous oxide emissions from </w:t>
        </w:r>
        <w:r w:rsidR="0096366C" w:rsidRPr="00BE1CA1">
          <w:rPr>
            <w:rStyle w:val="Hyperlink"/>
            <w:rFonts w:cs="Calibri"/>
            <w:i/>
            <w:iCs/>
            <w:noProof/>
          </w:rPr>
          <w:t>Agricultural soils</w:t>
        </w:r>
        <w:r w:rsidR="0096366C" w:rsidRPr="00BE1CA1">
          <w:rPr>
            <w:rStyle w:val="Hyperlink"/>
            <w:rFonts w:cs="Calibri"/>
            <w:noProof/>
          </w:rPr>
          <w:t xml:space="preserve"> categories between 1990 and 2020</w:t>
        </w:r>
        <w:r w:rsidR="0096366C">
          <w:rPr>
            <w:noProof/>
            <w:webHidden/>
          </w:rPr>
          <w:tab/>
        </w:r>
        <w:r w:rsidR="0096366C">
          <w:rPr>
            <w:noProof/>
            <w:webHidden/>
          </w:rPr>
          <w:fldChar w:fldCharType="begin"/>
        </w:r>
        <w:r w:rsidR="0096366C">
          <w:rPr>
            <w:noProof/>
            <w:webHidden/>
          </w:rPr>
          <w:instrText xml:space="preserve"> PAGEREF _Toc99659253 \h </w:instrText>
        </w:r>
        <w:r w:rsidR="0096366C">
          <w:rPr>
            <w:noProof/>
            <w:webHidden/>
          </w:rPr>
        </w:r>
        <w:r w:rsidR="0096366C">
          <w:rPr>
            <w:noProof/>
            <w:webHidden/>
          </w:rPr>
          <w:fldChar w:fldCharType="separate"/>
        </w:r>
        <w:r w:rsidR="009D338D">
          <w:rPr>
            <w:noProof/>
            <w:webHidden/>
          </w:rPr>
          <w:t>195</w:t>
        </w:r>
        <w:r w:rsidR="0096366C">
          <w:rPr>
            <w:noProof/>
            <w:webHidden/>
          </w:rPr>
          <w:fldChar w:fldCharType="end"/>
        </w:r>
      </w:hyperlink>
    </w:p>
    <w:p w14:paraId="67088CEB" w14:textId="3998F699" w:rsidR="0096366C" w:rsidRPr="00B04620" w:rsidRDefault="004B48CC">
      <w:pPr>
        <w:pStyle w:val="TableofFigures"/>
        <w:rPr>
          <w:noProof/>
          <w:sz w:val="22"/>
        </w:rPr>
      </w:pPr>
      <w:hyperlink w:anchor="_Toc99659254" w:history="1">
        <w:r w:rsidR="0096366C" w:rsidRPr="00BE1CA1">
          <w:rPr>
            <w:rStyle w:val="Hyperlink"/>
            <w:rFonts w:cs="Calibri"/>
            <w:noProof/>
          </w:rPr>
          <w:t>Table 5.5.2</w:t>
        </w:r>
        <w:r w:rsidR="0096366C" w:rsidRPr="00B04620">
          <w:rPr>
            <w:noProof/>
            <w:sz w:val="22"/>
          </w:rPr>
          <w:tab/>
        </w:r>
        <w:r w:rsidR="0096366C" w:rsidRPr="00BE1CA1">
          <w:rPr>
            <w:rStyle w:val="Hyperlink"/>
            <w:rFonts w:cs="Calibri"/>
            <w:noProof/>
          </w:rPr>
          <w:t xml:space="preserve">Nitrous oxide emission factors for </w:t>
        </w:r>
        <w:r w:rsidR="0096366C" w:rsidRPr="00BE1CA1">
          <w:rPr>
            <w:rStyle w:val="Hyperlink"/>
            <w:rFonts w:cs="Calibri"/>
            <w:i/>
            <w:iCs/>
            <w:noProof/>
          </w:rPr>
          <w:t>Agricultural soils</w:t>
        </w:r>
        <w:r w:rsidR="0096366C" w:rsidRPr="00BE1CA1">
          <w:rPr>
            <w:rStyle w:val="Hyperlink"/>
            <w:rFonts w:cs="Calibri"/>
            <w:noProof/>
          </w:rPr>
          <w:t xml:space="preserve"> in New Zealand, excluding EF</w:t>
        </w:r>
        <w:r w:rsidR="0096366C" w:rsidRPr="00BE1CA1">
          <w:rPr>
            <w:rStyle w:val="Hyperlink"/>
            <w:rFonts w:cs="Calibri"/>
            <w:noProof/>
            <w:vertAlign w:val="subscript"/>
          </w:rPr>
          <w:t>3,PRP</w:t>
        </w:r>
        <w:r w:rsidR="0096366C" w:rsidRPr="00BE1CA1">
          <w:rPr>
            <w:rStyle w:val="Hyperlink"/>
            <w:rFonts w:cs="Calibri"/>
            <w:noProof/>
            <w:vertAlign w:val="subscript"/>
          </w:rPr>
          <w:noBreakHyphen/>
          <w:t xml:space="preserve"> URINE</w:t>
        </w:r>
        <w:r w:rsidR="0096366C" w:rsidRPr="00BE1CA1">
          <w:rPr>
            <w:rStyle w:val="Hyperlink"/>
            <w:rFonts w:cs="Calibri"/>
            <w:noProof/>
          </w:rPr>
          <w:t xml:space="preserve"> for cattle, sheep and deer</w:t>
        </w:r>
        <w:r w:rsidR="0096366C">
          <w:rPr>
            <w:noProof/>
            <w:webHidden/>
          </w:rPr>
          <w:tab/>
        </w:r>
        <w:r w:rsidR="0096366C">
          <w:rPr>
            <w:noProof/>
            <w:webHidden/>
          </w:rPr>
          <w:fldChar w:fldCharType="begin"/>
        </w:r>
        <w:r w:rsidR="0096366C">
          <w:rPr>
            <w:noProof/>
            <w:webHidden/>
          </w:rPr>
          <w:instrText xml:space="preserve"> PAGEREF _Toc99659254 \h </w:instrText>
        </w:r>
        <w:r w:rsidR="0096366C">
          <w:rPr>
            <w:noProof/>
            <w:webHidden/>
          </w:rPr>
        </w:r>
        <w:r w:rsidR="0096366C">
          <w:rPr>
            <w:noProof/>
            <w:webHidden/>
          </w:rPr>
          <w:fldChar w:fldCharType="separate"/>
        </w:r>
        <w:r w:rsidR="009D338D">
          <w:rPr>
            <w:noProof/>
            <w:webHidden/>
          </w:rPr>
          <w:t>197</w:t>
        </w:r>
        <w:r w:rsidR="0096366C">
          <w:rPr>
            <w:noProof/>
            <w:webHidden/>
          </w:rPr>
          <w:fldChar w:fldCharType="end"/>
        </w:r>
      </w:hyperlink>
    </w:p>
    <w:p w14:paraId="4E12F9B9" w14:textId="78CA817B" w:rsidR="0096366C" w:rsidRPr="00B04620" w:rsidRDefault="004B48CC">
      <w:pPr>
        <w:pStyle w:val="TableofFigures"/>
        <w:rPr>
          <w:noProof/>
          <w:sz w:val="22"/>
        </w:rPr>
      </w:pPr>
      <w:hyperlink w:anchor="_Toc99659255" w:history="1">
        <w:r w:rsidR="0096366C" w:rsidRPr="00BE1CA1">
          <w:rPr>
            <w:rStyle w:val="Hyperlink"/>
            <w:rFonts w:cs="Calibri"/>
            <w:noProof/>
          </w:rPr>
          <w:t>Table 5.5.3</w:t>
        </w:r>
        <w:r w:rsidR="0096366C" w:rsidRPr="00B04620">
          <w:rPr>
            <w:noProof/>
            <w:sz w:val="22"/>
          </w:rPr>
          <w:tab/>
        </w:r>
        <w:r w:rsidR="0096366C" w:rsidRPr="00BE1CA1">
          <w:rPr>
            <w:rStyle w:val="Hyperlink"/>
            <w:rFonts w:cs="Calibri"/>
            <w:noProof/>
          </w:rPr>
          <w:t>Direct nitrous oxide (N</w:t>
        </w:r>
        <w:r w:rsidR="0096366C" w:rsidRPr="00BE1CA1">
          <w:rPr>
            <w:rStyle w:val="Hyperlink"/>
            <w:rFonts w:cs="Calibri"/>
            <w:noProof/>
            <w:vertAlign w:val="subscript"/>
          </w:rPr>
          <w:t>2</w:t>
        </w:r>
        <w:r w:rsidR="0096366C" w:rsidRPr="00BE1CA1">
          <w:rPr>
            <w:rStyle w:val="Hyperlink"/>
            <w:rFonts w:cs="Calibri"/>
            <w:noProof/>
          </w:rPr>
          <w:t>O) emission factors for urine deposited by cattle, sheep and deer, by livestock type and slope, using values calculated by van der Weerden et al. (2019, 2020)</w:t>
        </w:r>
        <w:r w:rsidR="0096366C">
          <w:rPr>
            <w:noProof/>
            <w:webHidden/>
          </w:rPr>
          <w:tab/>
        </w:r>
        <w:r w:rsidR="0096366C">
          <w:rPr>
            <w:noProof/>
            <w:webHidden/>
          </w:rPr>
          <w:fldChar w:fldCharType="begin"/>
        </w:r>
        <w:r w:rsidR="0096366C">
          <w:rPr>
            <w:noProof/>
            <w:webHidden/>
          </w:rPr>
          <w:instrText xml:space="preserve"> PAGEREF _Toc99659255 \h </w:instrText>
        </w:r>
        <w:r w:rsidR="0096366C">
          <w:rPr>
            <w:noProof/>
            <w:webHidden/>
          </w:rPr>
        </w:r>
        <w:r w:rsidR="0096366C">
          <w:rPr>
            <w:noProof/>
            <w:webHidden/>
          </w:rPr>
          <w:fldChar w:fldCharType="separate"/>
        </w:r>
        <w:r w:rsidR="009D338D">
          <w:rPr>
            <w:noProof/>
            <w:webHidden/>
          </w:rPr>
          <w:t>197</w:t>
        </w:r>
        <w:r w:rsidR="0096366C">
          <w:rPr>
            <w:noProof/>
            <w:webHidden/>
          </w:rPr>
          <w:fldChar w:fldCharType="end"/>
        </w:r>
      </w:hyperlink>
    </w:p>
    <w:p w14:paraId="49030CB1" w14:textId="33672076" w:rsidR="0096366C" w:rsidRPr="00B04620" w:rsidRDefault="004B48CC">
      <w:pPr>
        <w:pStyle w:val="TableofFigures"/>
        <w:rPr>
          <w:noProof/>
          <w:sz w:val="22"/>
        </w:rPr>
      </w:pPr>
      <w:hyperlink w:anchor="_Toc99659256" w:history="1">
        <w:r w:rsidR="0096366C" w:rsidRPr="00BE1CA1">
          <w:rPr>
            <w:rStyle w:val="Hyperlink"/>
            <w:rFonts w:cs="Calibri"/>
            <w:noProof/>
          </w:rPr>
          <w:t>Table 5.5.4</w:t>
        </w:r>
        <w:r w:rsidR="0096366C" w:rsidRPr="00B04620">
          <w:rPr>
            <w:noProof/>
            <w:sz w:val="22"/>
          </w:rPr>
          <w:tab/>
        </w:r>
        <w:r w:rsidR="0096366C" w:rsidRPr="00BE1CA1">
          <w:rPr>
            <w:rStyle w:val="Hyperlink"/>
            <w:rFonts w:cs="Calibri"/>
            <w:noProof/>
          </w:rPr>
          <w:t>Parameters for indirect nitrous oxide (N</w:t>
        </w:r>
        <w:r w:rsidR="0096366C" w:rsidRPr="00BE1CA1">
          <w:rPr>
            <w:rStyle w:val="Hyperlink"/>
            <w:rFonts w:cs="Calibri"/>
            <w:noProof/>
            <w:vertAlign w:val="subscript"/>
          </w:rPr>
          <w:t>2</w:t>
        </w:r>
        <w:r w:rsidR="0096366C" w:rsidRPr="00BE1CA1">
          <w:rPr>
            <w:rStyle w:val="Hyperlink"/>
            <w:rFonts w:cs="Calibri"/>
            <w:noProof/>
          </w:rPr>
          <w:t xml:space="preserve">O) emissions from </w:t>
        </w:r>
        <w:r w:rsidR="0096366C" w:rsidRPr="00BE1CA1">
          <w:rPr>
            <w:rStyle w:val="Hyperlink"/>
            <w:rFonts w:cs="Calibri"/>
            <w:i/>
            <w:iCs/>
            <w:noProof/>
          </w:rPr>
          <w:t>Agricultural soils</w:t>
        </w:r>
        <w:r w:rsidR="0096366C" w:rsidRPr="00BE1CA1">
          <w:rPr>
            <w:rStyle w:val="Hyperlink"/>
            <w:rFonts w:cs="Calibri"/>
            <w:noProof/>
          </w:rPr>
          <w:t xml:space="preserve"> in New Zealand</w:t>
        </w:r>
        <w:r w:rsidR="0096366C">
          <w:rPr>
            <w:noProof/>
            <w:webHidden/>
          </w:rPr>
          <w:tab/>
        </w:r>
        <w:r w:rsidR="0096366C">
          <w:rPr>
            <w:noProof/>
            <w:webHidden/>
          </w:rPr>
          <w:fldChar w:fldCharType="begin"/>
        </w:r>
        <w:r w:rsidR="0096366C">
          <w:rPr>
            <w:noProof/>
            <w:webHidden/>
          </w:rPr>
          <w:instrText xml:space="preserve"> PAGEREF _Toc99659256 \h </w:instrText>
        </w:r>
        <w:r w:rsidR="0096366C">
          <w:rPr>
            <w:noProof/>
            <w:webHidden/>
          </w:rPr>
        </w:r>
        <w:r w:rsidR="0096366C">
          <w:rPr>
            <w:noProof/>
            <w:webHidden/>
          </w:rPr>
          <w:fldChar w:fldCharType="separate"/>
        </w:r>
        <w:r w:rsidR="009D338D">
          <w:rPr>
            <w:noProof/>
            <w:webHidden/>
          </w:rPr>
          <w:t>197</w:t>
        </w:r>
        <w:r w:rsidR="0096366C">
          <w:rPr>
            <w:noProof/>
            <w:webHidden/>
          </w:rPr>
          <w:fldChar w:fldCharType="end"/>
        </w:r>
      </w:hyperlink>
    </w:p>
    <w:p w14:paraId="150ABE04" w14:textId="5BE21B1B" w:rsidR="0096366C" w:rsidRPr="00B04620" w:rsidRDefault="004B48CC">
      <w:pPr>
        <w:pStyle w:val="TableofFigures"/>
        <w:rPr>
          <w:noProof/>
          <w:sz w:val="22"/>
        </w:rPr>
      </w:pPr>
      <w:hyperlink w:anchor="_Toc99659257" w:history="1">
        <w:r w:rsidR="0096366C" w:rsidRPr="00BE1CA1">
          <w:rPr>
            <w:rStyle w:val="Hyperlink"/>
            <w:rFonts w:cs="Calibri"/>
            <w:noProof/>
          </w:rPr>
          <w:t>Table 5.5.5</w:t>
        </w:r>
        <w:r w:rsidR="0096366C" w:rsidRPr="00B04620">
          <w:rPr>
            <w:noProof/>
            <w:sz w:val="22"/>
          </w:rPr>
          <w:tab/>
        </w:r>
        <w:r w:rsidR="0096366C" w:rsidRPr="00BE1CA1">
          <w:rPr>
            <w:rStyle w:val="Hyperlink"/>
            <w:rFonts w:cs="Calibri"/>
            <w:noProof/>
          </w:rPr>
          <w:t>Emission factors and parameter values for use of mitigation technologies</w:t>
        </w:r>
        <w:r w:rsidR="0096366C">
          <w:rPr>
            <w:noProof/>
            <w:webHidden/>
          </w:rPr>
          <w:tab/>
        </w:r>
        <w:r w:rsidR="0096366C">
          <w:rPr>
            <w:noProof/>
            <w:webHidden/>
          </w:rPr>
          <w:fldChar w:fldCharType="begin"/>
        </w:r>
        <w:r w:rsidR="0096366C">
          <w:rPr>
            <w:noProof/>
            <w:webHidden/>
          </w:rPr>
          <w:instrText xml:space="preserve"> PAGEREF _Toc99659257 \h </w:instrText>
        </w:r>
        <w:r w:rsidR="0096366C">
          <w:rPr>
            <w:noProof/>
            <w:webHidden/>
          </w:rPr>
        </w:r>
        <w:r w:rsidR="0096366C">
          <w:rPr>
            <w:noProof/>
            <w:webHidden/>
          </w:rPr>
          <w:fldChar w:fldCharType="separate"/>
        </w:r>
        <w:r w:rsidR="009D338D">
          <w:rPr>
            <w:noProof/>
            <w:webHidden/>
          </w:rPr>
          <w:t>198</w:t>
        </w:r>
        <w:r w:rsidR="0096366C">
          <w:rPr>
            <w:noProof/>
            <w:webHidden/>
          </w:rPr>
          <w:fldChar w:fldCharType="end"/>
        </w:r>
      </w:hyperlink>
    </w:p>
    <w:p w14:paraId="58285F84" w14:textId="2BF35C80" w:rsidR="0096366C" w:rsidRPr="00B04620" w:rsidRDefault="004B48CC">
      <w:pPr>
        <w:pStyle w:val="TableofFigures"/>
        <w:rPr>
          <w:noProof/>
          <w:sz w:val="22"/>
        </w:rPr>
      </w:pPr>
      <w:hyperlink w:anchor="_Toc99659258" w:history="1">
        <w:r w:rsidR="0096366C" w:rsidRPr="00BE1CA1">
          <w:rPr>
            <w:rStyle w:val="Hyperlink"/>
            <w:rFonts w:cs="Calibri"/>
            <w:noProof/>
          </w:rPr>
          <w:t>Table 5.5.6</w:t>
        </w:r>
        <w:r w:rsidR="0096366C" w:rsidRPr="00B04620">
          <w:rPr>
            <w:noProof/>
            <w:sz w:val="22"/>
          </w:rPr>
          <w:tab/>
        </w:r>
        <w:r w:rsidR="0096366C" w:rsidRPr="00BE1CA1">
          <w:rPr>
            <w:rStyle w:val="Hyperlink"/>
            <w:rFonts w:cs="Calibri"/>
            <w:noProof/>
          </w:rPr>
          <w:t>Number of replicate-level EF</w:t>
        </w:r>
        <w:r w:rsidR="0096366C" w:rsidRPr="00BE1CA1">
          <w:rPr>
            <w:rStyle w:val="Hyperlink"/>
            <w:rFonts w:cs="Calibri"/>
            <w:noProof/>
            <w:vertAlign w:val="subscript"/>
          </w:rPr>
          <w:t>3</w:t>
        </w:r>
        <w:r w:rsidR="0096366C" w:rsidRPr="00BE1CA1">
          <w:rPr>
            <w:rStyle w:val="Hyperlink"/>
            <w:rFonts w:cs="Calibri"/>
            <w:noProof/>
          </w:rPr>
          <w:t xml:space="preserve"> values collated by the van der Weerden et al. (2019, 2020) analysis, for each nitrogen source and topography (number of individual trials shown in brackets)</w:t>
        </w:r>
        <w:r w:rsidR="0096366C">
          <w:rPr>
            <w:noProof/>
            <w:webHidden/>
          </w:rPr>
          <w:tab/>
        </w:r>
        <w:r w:rsidR="0096366C">
          <w:rPr>
            <w:noProof/>
            <w:webHidden/>
          </w:rPr>
          <w:fldChar w:fldCharType="begin"/>
        </w:r>
        <w:r w:rsidR="0096366C">
          <w:rPr>
            <w:noProof/>
            <w:webHidden/>
          </w:rPr>
          <w:instrText xml:space="preserve"> PAGEREF _Toc99659258 \h </w:instrText>
        </w:r>
        <w:r w:rsidR="0096366C">
          <w:rPr>
            <w:noProof/>
            <w:webHidden/>
          </w:rPr>
        </w:r>
        <w:r w:rsidR="0096366C">
          <w:rPr>
            <w:noProof/>
            <w:webHidden/>
          </w:rPr>
          <w:fldChar w:fldCharType="separate"/>
        </w:r>
        <w:r w:rsidR="009D338D">
          <w:rPr>
            <w:noProof/>
            <w:webHidden/>
          </w:rPr>
          <w:t>203</w:t>
        </w:r>
        <w:r w:rsidR="0096366C">
          <w:rPr>
            <w:noProof/>
            <w:webHidden/>
          </w:rPr>
          <w:fldChar w:fldCharType="end"/>
        </w:r>
      </w:hyperlink>
    </w:p>
    <w:p w14:paraId="1FE53069" w14:textId="06EC2ACB" w:rsidR="0096366C" w:rsidRPr="00B04620" w:rsidRDefault="004B48CC">
      <w:pPr>
        <w:pStyle w:val="TableofFigures"/>
        <w:rPr>
          <w:noProof/>
          <w:sz w:val="22"/>
        </w:rPr>
      </w:pPr>
      <w:hyperlink w:anchor="_Toc99659259" w:history="1">
        <w:r w:rsidR="0096366C" w:rsidRPr="00BE1CA1">
          <w:rPr>
            <w:rStyle w:val="Hyperlink"/>
            <w:rFonts w:cs="Calibri"/>
            <w:noProof/>
          </w:rPr>
          <w:t>Table 5.5.7</w:t>
        </w:r>
        <w:r w:rsidR="0096366C" w:rsidRPr="00B04620">
          <w:rPr>
            <w:noProof/>
            <w:sz w:val="22"/>
          </w:rPr>
          <w:tab/>
        </w:r>
        <w:r w:rsidR="0096366C" w:rsidRPr="00BE1CA1">
          <w:rPr>
            <w:rStyle w:val="Hyperlink"/>
            <w:rFonts w:cs="Calibri"/>
            <w:noProof/>
          </w:rPr>
          <w:t>Number of replicate-level EF</w:t>
        </w:r>
        <w:r w:rsidR="0096366C" w:rsidRPr="00BE1CA1">
          <w:rPr>
            <w:rStyle w:val="Hyperlink"/>
            <w:rFonts w:cs="Calibri"/>
            <w:noProof/>
            <w:vertAlign w:val="subscript"/>
          </w:rPr>
          <w:t>3</w:t>
        </w:r>
        <w:r w:rsidR="0096366C" w:rsidRPr="00BE1CA1">
          <w:rPr>
            <w:rStyle w:val="Hyperlink"/>
            <w:rFonts w:cs="Calibri"/>
            <w:noProof/>
          </w:rPr>
          <w:t xml:space="preserve"> values collated by the van der Weerden et al. (2019, 2020) analysis, for each nitrogen source, season that trial was undertaken and topography</w:t>
        </w:r>
        <w:r w:rsidR="0096366C">
          <w:rPr>
            <w:noProof/>
            <w:webHidden/>
          </w:rPr>
          <w:tab/>
        </w:r>
        <w:r w:rsidR="0096366C">
          <w:rPr>
            <w:noProof/>
            <w:webHidden/>
          </w:rPr>
          <w:fldChar w:fldCharType="begin"/>
        </w:r>
        <w:r w:rsidR="0096366C">
          <w:rPr>
            <w:noProof/>
            <w:webHidden/>
          </w:rPr>
          <w:instrText xml:space="preserve"> PAGEREF _Toc99659259 \h </w:instrText>
        </w:r>
        <w:r w:rsidR="0096366C">
          <w:rPr>
            <w:noProof/>
            <w:webHidden/>
          </w:rPr>
        </w:r>
        <w:r w:rsidR="0096366C">
          <w:rPr>
            <w:noProof/>
            <w:webHidden/>
          </w:rPr>
          <w:fldChar w:fldCharType="separate"/>
        </w:r>
        <w:r w:rsidR="009D338D">
          <w:rPr>
            <w:noProof/>
            <w:webHidden/>
          </w:rPr>
          <w:t>204</w:t>
        </w:r>
        <w:r w:rsidR="0096366C">
          <w:rPr>
            <w:noProof/>
            <w:webHidden/>
          </w:rPr>
          <w:fldChar w:fldCharType="end"/>
        </w:r>
      </w:hyperlink>
    </w:p>
    <w:p w14:paraId="367EDD60" w14:textId="7E309740" w:rsidR="0096366C" w:rsidRPr="00B04620" w:rsidRDefault="004B48CC">
      <w:pPr>
        <w:pStyle w:val="TableofFigures"/>
        <w:rPr>
          <w:noProof/>
          <w:sz w:val="22"/>
        </w:rPr>
      </w:pPr>
      <w:hyperlink w:anchor="_Toc99659260" w:history="1">
        <w:r w:rsidR="0096366C" w:rsidRPr="00BE1CA1">
          <w:rPr>
            <w:rStyle w:val="Hyperlink"/>
            <w:rFonts w:cs="Calibri"/>
            <w:noProof/>
          </w:rPr>
          <w:t>Table 5.5.8</w:t>
        </w:r>
        <w:r w:rsidR="0096366C" w:rsidRPr="00B04620">
          <w:rPr>
            <w:noProof/>
            <w:sz w:val="22"/>
          </w:rPr>
          <w:tab/>
        </w:r>
        <w:r w:rsidR="0096366C" w:rsidRPr="00BE1CA1">
          <w:rPr>
            <w:rStyle w:val="Hyperlink"/>
            <w:rFonts w:cs="Calibri"/>
            <w:noProof/>
          </w:rPr>
          <w:t>Trends and relative contribution of direct nitrous oxide emissions from urine and dung deposited by grazing animals per livestock category between 1990 and 2020</w:t>
        </w:r>
        <w:r w:rsidR="0096366C">
          <w:rPr>
            <w:noProof/>
            <w:webHidden/>
          </w:rPr>
          <w:tab/>
        </w:r>
        <w:r w:rsidR="0096366C">
          <w:rPr>
            <w:noProof/>
            <w:webHidden/>
          </w:rPr>
          <w:fldChar w:fldCharType="begin"/>
        </w:r>
        <w:r w:rsidR="0096366C">
          <w:rPr>
            <w:noProof/>
            <w:webHidden/>
          </w:rPr>
          <w:instrText xml:space="preserve"> PAGEREF _Toc99659260 \h </w:instrText>
        </w:r>
        <w:r w:rsidR="0096366C">
          <w:rPr>
            <w:noProof/>
            <w:webHidden/>
          </w:rPr>
        </w:r>
        <w:r w:rsidR="0096366C">
          <w:rPr>
            <w:noProof/>
            <w:webHidden/>
          </w:rPr>
          <w:fldChar w:fldCharType="separate"/>
        </w:r>
        <w:r w:rsidR="009D338D">
          <w:rPr>
            <w:noProof/>
            <w:webHidden/>
          </w:rPr>
          <w:t>206</w:t>
        </w:r>
        <w:r w:rsidR="0096366C">
          <w:rPr>
            <w:noProof/>
            <w:webHidden/>
          </w:rPr>
          <w:fldChar w:fldCharType="end"/>
        </w:r>
      </w:hyperlink>
    </w:p>
    <w:p w14:paraId="3BFF6C50" w14:textId="683C4B06" w:rsidR="0096366C" w:rsidRPr="00B04620" w:rsidRDefault="004B48CC">
      <w:pPr>
        <w:pStyle w:val="TableofFigures"/>
        <w:rPr>
          <w:noProof/>
          <w:sz w:val="22"/>
        </w:rPr>
      </w:pPr>
      <w:hyperlink w:anchor="_Toc99659261" w:history="1">
        <w:r w:rsidR="0096366C" w:rsidRPr="00BE1CA1">
          <w:rPr>
            <w:rStyle w:val="Hyperlink"/>
            <w:rFonts w:cs="Calibri"/>
            <w:noProof/>
          </w:rPr>
          <w:t>Table 5.5.9</w:t>
        </w:r>
        <w:r w:rsidR="0096366C" w:rsidRPr="00B04620">
          <w:rPr>
            <w:noProof/>
            <w:sz w:val="22"/>
          </w:rPr>
          <w:tab/>
        </w:r>
        <w:r w:rsidR="0096366C" w:rsidRPr="00BE1CA1">
          <w:rPr>
            <w:rStyle w:val="Hyperlink"/>
            <w:rFonts w:cs="Calibri"/>
            <w:noProof/>
          </w:rPr>
          <w:t>Mitigation impact of urease inhibitors on nitrous oxide emissions from volatilisation, from 2001 to 2020</w:t>
        </w:r>
        <w:r w:rsidR="0096366C">
          <w:rPr>
            <w:noProof/>
            <w:webHidden/>
          </w:rPr>
          <w:tab/>
        </w:r>
        <w:r w:rsidR="0096366C">
          <w:rPr>
            <w:noProof/>
            <w:webHidden/>
          </w:rPr>
          <w:fldChar w:fldCharType="begin"/>
        </w:r>
        <w:r w:rsidR="0096366C">
          <w:rPr>
            <w:noProof/>
            <w:webHidden/>
          </w:rPr>
          <w:instrText xml:space="preserve"> PAGEREF _Toc99659261 \h </w:instrText>
        </w:r>
        <w:r w:rsidR="0096366C">
          <w:rPr>
            <w:noProof/>
            <w:webHidden/>
          </w:rPr>
        </w:r>
        <w:r w:rsidR="0096366C">
          <w:rPr>
            <w:noProof/>
            <w:webHidden/>
          </w:rPr>
          <w:fldChar w:fldCharType="separate"/>
        </w:r>
        <w:r w:rsidR="009D338D">
          <w:rPr>
            <w:noProof/>
            <w:webHidden/>
          </w:rPr>
          <w:t>212</w:t>
        </w:r>
        <w:r w:rsidR="0096366C">
          <w:rPr>
            <w:noProof/>
            <w:webHidden/>
          </w:rPr>
          <w:fldChar w:fldCharType="end"/>
        </w:r>
      </w:hyperlink>
    </w:p>
    <w:p w14:paraId="50EB1AFE" w14:textId="4A6A472B" w:rsidR="0096366C" w:rsidRPr="00B04620" w:rsidRDefault="004B48CC">
      <w:pPr>
        <w:pStyle w:val="TableofFigures"/>
        <w:rPr>
          <w:noProof/>
          <w:sz w:val="22"/>
        </w:rPr>
      </w:pPr>
      <w:hyperlink w:anchor="_Toc99659262" w:history="1">
        <w:r w:rsidR="0096366C" w:rsidRPr="00BE1CA1">
          <w:rPr>
            <w:rStyle w:val="Hyperlink"/>
            <w:rFonts w:cs="Calibri"/>
            <w:noProof/>
          </w:rPr>
          <w:t>Table 5.5.10</w:t>
        </w:r>
        <w:r w:rsidR="0096366C" w:rsidRPr="00B04620">
          <w:rPr>
            <w:noProof/>
            <w:sz w:val="22"/>
          </w:rPr>
          <w:tab/>
        </w:r>
        <w:r w:rsidR="0096366C" w:rsidRPr="00BE1CA1">
          <w:rPr>
            <w:rStyle w:val="Hyperlink"/>
            <w:rFonts w:cs="Calibri"/>
            <w:noProof/>
          </w:rPr>
          <w:t>Emission factors, parameters and mitigation for New Zealand’s dicyandiamide inhibitor calculations from 2007 to 2012</w:t>
        </w:r>
        <w:r w:rsidR="0096366C">
          <w:rPr>
            <w:noProof/>
            <w:webHidden/>
          </w:rPr>
          <w:tab/>
        </w:r>
        <w:r w:rsidR="0096366C">
          <w:rPr>
            <w:noProof/>
            <w:webHidden/>
          </w:rPr>
          <w:fldChar w:fldCharType="begin"/>
        </w:r>
        <w:r w:rsidR="0096366C">
          <w:rPr>
            <w:noProof/>
            <w:webHidden/>
          </w:rPr>
          <w:instrText xml:space="preserve"> PAGEREF _Toc99659262 \h </w:instrText>
        </w:r>
        <w:r w:rsidR="0096366C">
          <w:rPr>
            <w:noProof/>
            <w:webHidden/>
          </w:rPr>
        </w:r>
        <w:r w:rsidR="0096366C">
          <w:rPr>
            <w:noProof/>
            <w:webHidden/>
          </w:rPr>
          <w:fldChar w:fldCharType="separate"/>
        </w:r>
        <w:r w:rsidR="009D338D">
          <w:rPr>
            <w:noProof/>
            <w:webHidden/>
          </w:rPr>
          <w:t>214</w:t>
        </w:r>
        <w:r w:rsidR="0096366C">
          <w:rPr>
            <w:noProof/>
            <w:webHidden/>
          </w:rPr>
          <w:fldChar w:fldCharType="end"/>
        </w:r>
      </w:hyperlink>
    </w:p>
    <w:p w14:paraId="66776B9F" w14:textId="2AB24374" w:rsidR="0096366C" w:rsidRPr="00B04620" w:rsidRDefault="004B48CC">
      <w:pPr>
        <w:pStyle w:val="TableofFigures"/>
        <w:rPr>
          <w:noProof/>
          <w:sz w:val="22"/>
        </w:rPr>
      </w:pPr>
      <w:hyperlink w:anchor="_Toc99659263" w:history="1">
        <w:r w:rsidR="0096366C" w:rsidRPr="00BE1CA1">
          <w:rPr>
            <w:rStyle w:val="Hyperlink"/>
            <w:rFonts w:cs="Calibri"/>
            <w:noProof/>
          </w:rPr>
          <w:t>Table 5.5.11</w:t>
        </w:r>
        <w:r w:rsidR="0096366C" w:rsidRPr="00B04620">
          <w:rPr>
            <w:noProof/>
            <w:sz w:val="22"/>
          </w:rPr>
          <w:tab/>
        </w:r>
        <w:r w:rsidR="0096366C" w:rsidRPr="00BE1CA1">
          <w:rPr>
            <w:rStyle w:val="Hyperlink"/>
            <w:rFonts w:cs="Calibri"/>
            <w:noProof/>
          </w:rPr>
          <w:t xml:space="preserve">New Zealand’s uncertainties in </w:t>
        </w:r>
        <w:r w:rsidR="0096366C" w:rsidRPr="00BE1CA1">
          <w:rPr>
            <w:rStyle w:val="Hyperlink"/>
            <w:rFonts w:cs="Calibri"/>
            <w:noProof/>
            <w:spacing w:val="-2"/>
          </w:rPr>
          <w:t>nitrous oxide</w:t>
        </w:r>
        <w:r w:rsidR="0096366C" w:rsidRPr="00BE1CA1">
          <w:rPr>
            <w:rStyle w:val="Hyperlink"/>
            <w:rFonts w:cs="Calibri"/>
            <w:noProof/>
          </w:rPr>
          <w:t xml:space="preserve"> (N</w:t>
        </w:r>
        <w:r w:rsidR="0096366C" w:rsidRPr="00BE1CA1">
          <w:rPr>
            <w:rStyle w:val="Hyperlink"/>
            <w:rFonts w:cs="Calibri"/>
            <w:noProof/>
            <w:vertAlign w:val="subscript"/>
          </w:rPr>
          <w:t>2</w:t>
        </w:r>
        <w:r w:rsidR="0096366C" w:rsidRPr="00BE1CA1">
          <w:rPr>
            <w:rStyle w:val="Hyperlink"/>
            <w:rFonts w:cs="Calibri"/>
            <w:noProof/>
          </w:rPr>
          <w:t xml:space="preserve">O) emissions from </w:t>
        </w:r>
        <w:r w:rsidR="0096366C" w:rsidRPr="00BE1CA1">
          <w:rPr>
            <w:rStyle w:val="Hyperlink"/>
            <w:rFonts w:cs="Calibri"/>
            <w:i/>
            <w:iCs/>
            <w:noProof/>
          </w:rPr>
          <w:t>Agricultural soils</w:t>
        </w:r>
        <w:r w:rsidR="0096366C" w:rsidRPr="00BE1CA1">
          <w:rPr>
            <w:rStyle w:val="Hyperlink"/>
            <w:rFonts w:cs="Calibri"/>
            <w:noProof/>
          </w:rPr>
          <w:t xml:space="preserve"> for 1990, 2002, 2012 and 2016 estimated using Monte Carlo simulation (1990, 2002), the 95 per cent confidence interval (2012) and the analytical method (2020)</w:t>
        </w:r>
        <w:r w:rsidR="0096366C">
          <w:rPr>
            <w:noProof/>
            <w:webHidden/>
          </w:rPr>
          <w:tab/>
        </w:r>
        <w:r w:rsidR="0096366C">
          <w:rPr>
            <w:noProof/>
            <w:webHidden/>
          </w:rPr>
          <w:fldChar w:fldCharType="begin"/>
        </w:r>
        <w:r w:rsidR="0096366C">
          <w:rPr>
            <w:noProof/>
            <w:webHidden/>
          </w:rPr>
          <w:instrText xml:space="preserve"> PAGEREF _Toc99659263 \h </w:instrText>
        </w:r>
        <w:r w:rsidR="0096366C">
          <w:rPr>
            <w:noProof/>
            <w:webHidden/>
          </w:rPr>
        </w:r>
        <w:r w:rsidR="0096366C">
          <w:rPr>
            <w:noProof/>
            <w:webHidden/>
          </w:rPr>
          <w:fldChar w:fldCharType="separate"/>
        </w:r>
        <w:r w:rsidR="009D338D">
          <w:rPr>
            <w:noProof/>
            <w:webHidden/>
          </w:rPr>
          <w:t>214</w:t>
        </w:r>
        <w:r w:rsidR="0096366C">
          <w:rPr>
            <w:noProof/>
            <w:webHidden/>
          </w:rPr>
          <w:fldChar w:fldCharType="end"/>
        </w:r>
      </w:hyperlink>
    </w:p>
    <w:p w14:paraId="0E689B71" w14:textId="10C4F434" w:rsidR="0096366C" w:rsidRPr="00B04620" w:rsidRDefault="004B48CC">
      <w:pPr>
        <w:pStyle w:val="TableofFigures"/>
        <w:rPr>
          <w:noProof/>
          <w:sz w:val="22"/>
        </w:rPr>
      </w:pPr>
      <w:hyperlink w:anchor="_Toc99659264" w:history="1">
        <w:r w:rsidR="0096366C" w:rsidRPr="00BE1CA1">
          <w:rPr>
            <w:rStyle w:val="Hyperlink"/>
            <w:rFonts w:cs="Calibri"/>
            <w:noProof/>
          </w:rPr>
          <w:t>Table 5.5.12</w:t>
        </w:r>
        <w:r w:rsidR="0096366C" w:rsidRPr="00B04620">
          <w:rPr>
            <w:noProof/>
            <w:sz w:val="22"/>
          </w:rPr>
          <w:tab/>
        </w:r>
        <w:r w:rsidR="0096366C" w:rsidRPr="00BE1CA1">
          <w:rPr>
            <w:rStyle w:val="Hyperlink"/>
            <w:rFonts w:cs="Calibri"/>
            <w:noProof/>
          </w:rPr>
          <w:t>Comparison of New Zealand’s implied emission factors (IEFs) for EF</w:t>
        </w:r>
        <w:r w:rsidR="0096366C" w:rsidRPr="00BE1CA1">
          <w:rPr>
            <w:rStyle w:val="Hyperlink"/>
            <w:rFonts w:cs="Calibri"/>
            <w:noProof/>
            <w:vertAlign w:val="subscript"/>
          </w:rPr>
          <w:t>1</w:t>
        </w:r>
        <w:r w:rsidR="0096366C" w:rsidRPr="00BE1CA1">
          <w:rPr>
            <w:rStyle w:val="Hyperlink"/>
            <w:rFonts w:cs="Calibri"/>
            <w:noProof/>
          </w:rPr>
          <w:t xml:space="preserve"> (synthetic nitrogen fertiliser) and EF</w:t>
        </w:r>
        <w:r w:rsidR="0096366C" w:rsidRPr="00BE1CA1">
          <w:rPr>
            <w:rStyle w:val="Hyperlink"/>
            <w:rFonts w:cs="Calibri"/>
            <w:noProof/>
            <w:vertAlign w:val="subscript"/>
          </w:rPr>
          <w:t>3(PRP)</w:t>
        </w:r>
        <w:r w:rsidR="0096366C" w:rsidRPr="00BE1CA1">
          <w:rPr>
            <w:rStyle w:val="Hyperlink"/>
            <w:rFonts w:cs="Calibri"/>
            <w:noProof/>
          </w:rPr>
          <w:t xml:space="preserve"> (pasture, range and paddock manure) with the IPCC default and the Australian-specific value</w:t>
        </w:r>
        <w:r w:rsidR="0096366C">
          <w:rPr>
            <w:noProof/>
            <w:webHidden/>
          </w:rPr>
          <w:tab/>
        </w:r>
        <w:r w:rsidR="0096366C">
          <w:rPr>
            <w:noProof/>
            <w:webHidden/>
          </w:rPr>
          <w:fldChar w:fldCharType="begin"/>
        </w:r>
        <w:r w:rsidR="0096366C">
          <w:rPr>
            <w:noProof/>
            <w:webHidden/>
          </w:rPr>
          <w:instrText xml:space="preserve"> PAGEREF _Toc99659264 \h </w:instrText>
        </w:r>
        <w:r w:rsidR="0096366C">
          <w:rPr>
            <w:noProof/>
            <w:webHidden/>
          </w:rPr>
        </w:r>
        <w:r w:rsidR="0096366C">
          <w:rPr>
            <w:noProof/>
            <w:webHidden/>
          </w:rPr>
          <w:fldChar w:fldCharType="separate"/>
        </w:r>
        <w:r w:rsidR="009D338D">
          <w:rPr>
            <w:noProof/>
            <w:webHidden/>
          </w:rPr>
          <w:t>216</w:t>
        </w:r>
        <w:r w:rsidR="0096366C">
          <w:rPr>
            <w:noProof/>
            <w:webHidden/>
          </w:rPr>
          <w:fldChar w:fldCharType="end"/>
        </w:r>
      </w:hyperlink>
    </w:p>
    <w:p w14:paraId="5E1FE802" w14:textId="1BBA79CE" w:rsidR="0096366C" w:rsidRPr="00B04620" w:rsidRDefault="004B48CC">
      <w:pPr>
        <w:pStyle w:val="TableofFigures"/>
        <w:rPr>
          <w:noProof/>
          <w:sz w:val="22"/>
        </w:rPr>
      </w:pPr>
      <w:hyperlink w:anchor="_Toc99659265" w:history="1">
        <w:r w:rsidR="0096366C" w:rsidRPr="00BE1CA1">
          <w:rPr>
            <w:rStyle w:val="Hyperlink"/>
            <w:rFonts w:cs="Calibri"/>
            <w:noProof/>
          </w:rPr>
          <w:t>Table 5.5.13</w:t>
        </w:r>
        <w:r w:rsidR="0096366C" w:rsidRPr="00B04620">
          <w:rPr>
            <w:noProof/>
            <w:sz w:val="22"/>
          </w:rPr>
          <w:tab/>
        </w:r>
        <w:r w:rsidR="0096366C" w:rsidRPr="00BE1CA1">
          <w:rPr>
            <w:rStyle w:val="Hyperlink"/>
            <w:rFonts w:cs="Calibri"/>
            <w:noProof/>
          </w:rPr>
          <w:t>Comparison of New Zealand’s country-specific factors for volatilisation (Frac</w:t>
        </w:r>
        <w:r w:rsidR="0096366C" w:rsidRPr="00BE1CA1">
          <w:rPr>
            <w:rStyle w:val="Hyperlink"/>
            <w:rFonts w:cs="Calibri"/>
            <w:noProof/>
            <w:vertAlign w:val="subscript"/>
          </w:rPr>
          <w:t>GASF</w:t>
        </w:r>
        <w:r w:rsidR="0096366C" w:rsidRPr="00BE1CA1">
          <w:rPr>
            <w:rStyle w:val="Hyperlink"/>
            <w:rFonts w:cs="Calibri"/>
            <w:noProof/>
          </w:rPr>
          <w:t>, Frac</w:t>
        </w:r>
        <w:r w:rsidR="0096366C" w:rsidRPr="00BE1CA1">
          <w:rPr>
            <w:rStyle w:val="Hyperlink"/>
            <w:rFonts w:cs="Calibri"/>
            <w:noProof/>
            <w:vertAlign w:val="subscript"/>
          </w:rPr>
          <w:t>GASM</w:t>
        </w:r>
        <w:r w:rsidR="0096366C" w:rsidRPr="00BE1CA1">
          <w:rPr>
            <w:rStyle w:val="Hyperlink"/>
            <w:rFonts w:cs="Calibri"/>
            <w:noProof/>
          </w:rPr>
          <w:t>) and leaching and runoff (Frac</w:t>
        </w:r>
        <w:r w:rsidR="0096366C" w:rsidRPr="00BE1CA1">
          <w:rPr>
            <w:rStyle w:val="Hyperlink"/>
            <w:rFonts w:cs="Calibri"/>
            <w:noProof/>
            <w:vertAlign w:val="subscript"/>
          </w:rPr>
          <w:t>LEACH-(H)</w:t>
        </w:r>
        <w:r w:rsidR="0096366C" w:rsidRPr="00BE1CA1">
          <w:rPr>
            <w:rStyle w:val="Hyperlink"/>
            <w:rFonts w:cs="Calibri"/>
            <w:noProof/>
          </w:rPr>
          <w:t>) with the IPCC default value and the Australian implied emission factor (IEF)</w:t>
        </w:r>
        <w:r w:rsidR="0096366C">
          <w:rPr>
            <w:noProof/>
            <w:webHidden/>
          </w:rPr>
          <w:tab/>
        </w:r>
        <w:r w:rsidR="0096366C">
          <w:rPr>
            <w:noProof/>
            <w:webHidden/>
          </w:rPr>
          <w:fldChar w:fldCharType="begin"/>
        </w:r>
        <w:r w:rsidR="0096366C">
          <w:rPr>
            <w:noProof/>
            <w:webHidden/>
          </w:rPr>
          <w:instrText xml:space="preserve"> PAGEREF _Toc99659265 \h </w:instrText>
        </w:r>
        <w:r w:rsidR="0096366C">
          <w:rPr>
            <w:noProof/>
            <w:webHidden/>
          </w:rPr>
        </w:r>
        <w:r w:rsidR="0096366C">
          <w:rPr>
            <w:noProof/>
            <w:webHidden/>
          </w:rPr>
          <w:fldChar w:fldCharType="separate"/>
        </w:r>
        <w:r w:rsidR="009D338D">
          <w:rPr>
            <w:noProof/>
            <w:webHidden/>
          </w:rPr>
          <w:t>216</w:t>
        </w:r>
        <w:r w:rsidR="0096366C">
          <w:rPr>
            <w:noProof/>
            <w:webHidden/>
          </w:rPr>
          <w:fldChar w:fldCharType="end"/>
        </w:r>
      </w:hyperlink>
    </w:p>
    <w:p w14:paraId="09148A25" w14:textId="2B39C402" w:rsidR="0096366C" w:rsidRPr="00B04620" w:rsidRDefault="004B48CC">
      <w:pPr>
        <w:pStyle w:val="TableofFigures"/>
        <w:rPr>
          <w:noProof/>
          <w:sz w:val="22"/>
        </w:rPr>
      </w:pPr>
      <w:hyperlink w:anchor="_Toc99659266" w:history="1">
        <w:r w:rsidR="0096366C" w:rsidRPr="00BE1CA1">
          <w:rPr>
            <w:rStyle w:val="Hyperlink"/>
            <w:rFonts w:cs="Calibri"/>
            <w:noProof/>
          </w:rPr>
          <w:t>Table 5.5.14</w:t>
        </w:r>
        <w:r w:rsidR="0096366C" w:rsidRPr="00B04620">
          <w:rPr>
            <w:noProof/>
            <w:sz w:val="22"/>
          </w:rPr>
          <w:tab/>
        </w:r>
        <w:r w:rsidR="0096366C" w:rsidRPr="00BE1CA1">
          <w:rPr>
            <w:rStyle w:val="Hyperlink"/>
            <w:rFonts w:cs="Calibri"/>
            <w:noProof/>
          </w:rPr>
          <w:t>Comparison of current and previous emissions estimates before and after change to the Frac</w:t>
        </w:r>
        <w:r w:rsidR="0096366C" w:rsidRPr="00BE1CA1">
          <w:rPr>
            <w:rStyle w:val="Hyperlink"/>
            <w:rFonts w:cs="Calibri"/>
            <w:noProof/>
            <w:vertAlign w:val="subscript"/>
          </w:rPr>
          <w:t>LEACH</w:t>
        </w:r>
        <w:r w:rsidR="0096366C" w:rsidRPr="00BE1CA1">
          <w:rPr>
            <w:rStyle w:val="Hyperlink"/>
            <w:rFonts w:cs="Calibri"/>
            <w:noProof/>
          </w:rPr>
          <w:t> value used in the Agriculture inventory</w:t>
        </w:r>
        <w:r w:rsidR="0096366C">
          <w:rPr>
            <w:noProof/>
            <w:webHidden/>
          </w:rPr>
          <w:tab/>
        </w:r>
        <w:r w:rsidR="0096366C">
          <w:rPr>
            <w:noProof/>
            <w:webHidden/>
          </w:rPr>
          <w:fldChar w:fldCharType="begin"/>
        </w:r>
        <w:r w:rsidR="0096366C">
          <w:rPr>
            <w:noProof/>
            <w:webHidden/>
          </w:rPr>
          <w:instrText xml:space="preserve"> PAGEREF _Toc99659266 \h </w:instrText>
        </w:r>
        <w:r w:rsidR="0096366C">
          <w:rPr>
            <w:noProof/>
            <w:webHidden/>
          </w:rPr>
        </w:r>
        <w:r w:rsidR="0096366C">
          <w:rPr>
            <w:noProof/>
            <w:webHidden/>
          </w:rPr>
          <w:fldChar w:fldCharType="separate"/>
        </w:r>
        <w:r w:rsidR="009D338D">
          <w:rPr>
            <w:noProof/>
            <w:webHidden/>
          </w:rPr>
          <w:t>217</w:t>
        </w:r>
        <w:r w:rsidR="0096366C">
          <w:rPr>
            <w:noProof/>
            <w:webHidden/>
          </w:rPr>
          <w:fldChar w:fldCharType="end"/>
        </w:r>
      </w:hyperlink>
    </w:p>
    <w:p w14:paraId="740452C1" w14:textId="3446023A" w:rsidR="0096366C" w:rsidRPr="00B04620" w:rsidRDefault="004B48CC">
      <w:pPr>
        <w:pStyle w:val="TableofFigures"/>
        <w:rPr>
          <w:noProof/>
          <w:sz w:val="22"/>
        </w:rPr>
      </w:pPr>
      <w:hyperlink w:anchor="_Toc99659267" w:history="1">
        <w:r w:rsidR="0096366C" w:rsidRPr="00BE1CA1">
          <w:rPr>
            <w:rStyle w:val="Hyperlink"/>
            <w:rFonts w:cs="Calibri"/>
            <w:noProof/>
          </w:rPr>
          <w:t>Table 5.7.1</w:t>
        </w:r>
        <w:r w:rsidR="0096366C" w:rsidRPr="00B04620">
          <w:rPr>
            <w:noProof/>
            <w:sz w:val="22"/>
          </w:rPr>
          <w:tab/>
        </w:r>
        <w:r w:rsidR="0096366C" w:rsidRPr="00BE1CA1">
          <w:rPr>
            <w:rStyle w:val="Hyperlink"/>
            <w:rFonts w:cs="Calibri"/>
            <w:noProof/>
          </w:rPr>
          <w:t>Emission ratios for agricultural residue burning</w:t>
        </w:r>
        <w:r w:rsidR="0096366C">
          <w:rPr>
            <w:noProof/>
            <w:webHidden/>
          </w:rPr>
          <w:tab/>
        </w:r>
        <w:r w:rsidR="0096366C">
          <w:rPr>
            <w:noProof/>
            <w:webHidden/>
          </w:rPr>
          <w:fldChar w:fldCharType="begin"/>
        </w:r>
        <w:r w:rsidR="0096366C">
          <w:rPr>
            <w:noProof/>
            <w:webHidden/>
          </w:rPr>
          <w:instrText xml:space="preserve"> PAGEREF _Toc99659267 \h </w:instrText>
        </w:r>
        <w:r w:rsidR="0096366C">
          <w:rPr>
            <w:noProof/>
            <w:webHidden/>
          </w:rPr>
        </w:r>
        <w:r w:rsidR="0096366C">
          <w:rPr>
            <w:noProof/>
            <w:webHidden/>
          </w:rPr>
          <w:fldChar w:fldCharType="separate"/>
        </w:r>
        <w:r w:rsidR="009D338D">
          <w:rPr>
            <w:noProof/>
            <w:webHidden/>
          </w:rPr>
          <w:t>220</w:t>
        </w:r>
        <w:r w:rsidR="0096366C">
          <w:rPr>
            <w:noProof/>
            <w:webHidden/>
          </w:rPr>
          <w:fldChar w:fldCharType="end"/>
        </w:r>
      </w:hyperlink>
    </w:p>
    <w:p w14:paraId="64E7A17C" w14:textId="5E26E259" w:rsidR="0096366C" w:rsidRPr="00B04620" w:rsidRDefault="004B48CC">
      <w:pPr>
        <w:pStyle w:val="TableofFigures"/>
        <w:rPr>
          <w:noProof/>
          <w:sz w:val="22"/>
        </w:rPr>
      </w:pPr>
      <w:hyperlink w:anchor="_Toc99659268" w:history="1">
        <w:r w:rsidR="0096366C" w:rsidRPr="00BE1CA1">
          <w:rPr>
            <w:rStyle w:val="Hyperlink"/>
            <w:rFonts w:cs="Calibri"/>
            <w:noProof/>
          </w:rPr>
          <w:t xml:space="preserve">Table 5.7.2 </w:t>
        </w:r>
        <w:r w:rsidR="0096366C" w:rsidRPr="00B04620">
          <w:rPr>
            <w:noProof/>
            <w:sz w:val="22"/>
          </w:rPr>
          <w:tab/>
        </w:r>
        <w:r w:rsidR="0096366C" w:rsidRPr="00BE1CA1">
          <w:rPr>
            <w:rStyle w:val="Hyperlink"/>
            <w:rFonts w:cs="Calibri"/>
            <w:noProof/>
          </w:rPr>
          <w:t>Values used to calculate New Zealand emissions from burning of agricultural residues</w:t>
        </w:r>
        <w:r w:rsidR="0096366C">
          <w:rPr>
            <w:noProof/>
            <w:webHidden/>
          </w:rPr>
          <w:tab/>
        </w:r>
        <w:r w:rsidR="0096366C">
          <w:rPr>
            <w:noProof/>
            <w:webHidden/>
          </w:rPr>
          <w:fldChar w:fldCharType="begin"/>
        </w:r>
        <w:r w:rsidR="0096366C">
          <w:rPr>
            <w:noProof/>
            <w:webHidden/>
          </w:rPr>
          <w:instrText xml:space="preserve"> PAGEREF _Toc99659268 \h </w:instrText>
        </w:r>
        <w:r w:rsidR="0096366C">
          <w:rPr>
            <w:noProof/>
            <w:webHidden/>
          </w:rPr>
        </w:r>
        <w:r w:rsidR="0096366C">
          <w:rPr>
            <w:noProof/>
            <w:webHidden/>
          </w:rPr>
          <w:fldChar w:fldCharType="separate"/>
        </w:r>
        <w:r w:rsidR="009D338D">
          <w:rPr>
            <w:noProof/>
            <w:webHidden/>
          </w:rPr>
          <w:t>221</w:t>
        </w:r>
        <w:r w:rsidR="0096366C">
          <w:rPr>
            <w:noProof/>
            <w:webHidden/>
          </w:rPr>
          <w:fldChar w:fldCharType="end"/>
        </w:r>
      </w:hyperlink>
    </w:p>
    <w:p w14:paraId="252AF721" w14:textId="185731CB" w:rsidR="0096366C" w:rsidRPr="00B04620" w:rsidRDefault="004B48CC">
      <w:pPr>
        <w:pStyle w:val="TableofFigures"/>
        <w:rPr>
          <w:noProof/>
          <w:sz w:val="22"/>
        </w:rPr>
      </w:pPr>
      <w:hyperlink w:anchor="_Toc99659269" w:history="1">
        <w:r w:rsidR="0096366C" w:rsidRPr="00BE1CA1">
          <w:rPr>
            <w:rStyle w:val="Hyperlink"/>
            <w:rFonts w:cs="Calibri"/>
            <w:noProof/>
          </w:rPr>
          <w:t>Table 5.8.1</w:t>
        </w:r>
        <w:r w:rsidR="0096366C" w:rsidRPr="00B04620">
          <w:rPr>
            <w:noProof/>
            <w:sz w:val="22"/>
          </w:rPr>
          <w:tab/>
        </w:r>
        <w:r w:rsidR="0096366C" w:rsidRPr="00BE1CA1">
          <w:rPr>
            <w:rStyle w:val="Hyperlink"/>
            <w:rFonts w:cs="Calibri"/>
            <w:noProof/>
          </w:rPr>
          <w:t>Comparison of current and previous emissions estimates before and after the updated assumption of lime purity in the Agriculture inventory</w:t>
        </w:r>
        <w:r w:rsidR="0096366C">
          <w:rPr>
            <w:noProof/>
            <w:webHidden/>
          </w:rPr>
          <w:tab/>
        </w:r>
        <w:r w:rsidR="0096366C">
          <w:rPr>
            <w:noProof/>
            <w:webHidden/>
          </w:rPr>
          <w:fldChar w:fldCharType="begin"/>
        </w:r>
        <w:r w:rsidR="0096366C">
          <w:rPr>
            <w:noProof/>
            <w:webHidden/>
          </w:rPr>
          <w:instrText xml:space="preserve"> PAGEREF _Toc99659269 \h </w:instrText>
        </w:r>
        <w:r w:rsidR="0096366C">
          <w:rPr>
            <w:noProof/>
            <w:webHidden/>
          </w:rPr>
        </w:r>
        <w:r w:rsidR="0096366C">
          <w:rPr>
            <w:noProof/>
            <w:webHidden/>
          </w:rPr>
          <w:fldChar w:fldCharType="separate"/>
        </w:r>
        <w:r w:rsidR="009D338D">
          <w:rPr>
            <w:noProof/>
            <w:webHidden/>
          </w:rPr>
          <w:t>225</w:t>
        </w:r>
        <w:r w:rsidR="0096366C">
          <w:rPr>
            <w:noProof/>
            <w:webHidden/>
          </w:rPr>
          <w:fldChar w:fldCharType="end"/>
        </w:r>
      </w:hyperlink>
    </w:p>
    <w:p w14:paraId="7C5761BC" w14:textId="6DE1B703" w:rsidR="0096366C" w:rsidRPr="00B04620" w:rsidRDefault="004B48CC">
      <w:pPr>
        <w:pStyle w:val="TableofFigures"/>
        <w:rPr>
          <w:noProof/>
          <w:sz w:val="22"/>
        </w:rPr>
      </w:pPr>
      <w:hyperlink w:anchor="_Toc99659270" w:history="1">
        <w:r w:rsidR="0096366C" w:rsidRPr="00BE1CA1">
          <w:rPr>
            <w:rStyle w:val="Hyperlink"/>
            <w:noProof/>
          </w:rPr>
          <w:t xml:space="preserve">Table 6.1.1 </w:t>
        </w:r>
        <w:r w:rsidR="0096366C" w:rsidRPr="00B04620">
          <w:rPr>
            <w:noProof/>
            <w:sz w:val="22"/>
          </w:rPr>
          <w:tab/>
        </w:r>
        <w:r w:rsidR="0096366C" w:rsidRPr="00BE1CA1">
          <w:rPr>
            <w:rStyle w:val="Hyperlink"/>
            <w:noProof/>
          </w:rPr>
          <w:t>New Zealand’s greenhouse gas net emissions for the LULUCF sector by land use category in 1990 and 2020</w:t>
        </w:r>
        <w:r w:rsidR="0096366C">
          <w:rPr>
            <w:noProof/>
            <w:webHidden/>
          </w:rPr>
          <w:tab/>
        </w:r>
        <w:r w:rsidR="0096366C">
          <w:rPr>
            <w:noProof/>
            <w:webHidden/>
          </w:rPr>
          <w:fldChar w:fldCharType="begin"/>
        </w:r>
        <w:r w:rsidR="0096366C">
          <w:rPr>
            <w:noProof/>
            <w:webHidden/>
          </w:rPr>
          <w:instrText xml:space="preserve"> PAGEREF _Toc99659270 \h </w:instrText>
        </w:r>
        <w:r w:rsidR="0096366C">
          <w:rPr>
            <w:noProof/>
            <w:webHidden/>
          </w:rPr>
        </w:r>
        <w:r w:rsidR="0096366C">
          <w:rPr>
            <w:noProof/>
            <w:webHidden/>
          </w:rPr>
          <w:fldChar w:fldCharType="separate"/>
        </w:r>
        <w:r w:rsidR="009D338D">
          <w:rPr>
            <w:noProof/>
            <w:webHidden/>
          </w:rPr>
          <w:t>234</w:t>
        </w:r>
        <w:r w:rsidR="0096366C">
          <w:rPr>
            <w:noProof/>
            <w:webHidden/>
          </w:rPr>
          <w:fldChar w:fldCharType="end"/>
        </w:r>
      </w:hyperlink>
    </w:p>
    <w:p w14:paraId="3F4D64B4" w14:textId="5D33351A" w:rsidR="0096366C" w:rsidRPr="00B04620" w:rsidRDefault="004B48CC">
      <w:pPr>
        <w:pStyle w:val="TableofFigures"/>
        <w:rPr>
          <w:noProof/>
          <w:sz w:val="22"/>
        </w:rPr>
      </w:pPr>
      <w:hyperlink w:anchor="_Toc99659271" w:history="1">
        <w:r w:rsidR="0096366C" w:rsidRPr="00BE1CA1">
          <w:rPr>
            <w:rStyle w:val="Hyperlink"/>
            <w:noProof/>
          </w:rPr>
          <w:t xml:space="preserve">Table 6.1.2 </w:t>
        </w:r>
        <w:r w:rsidR="0096366C" w:rsidRPr="00B04620">
          <w:rPr>
            <w:noProof/>
            <w:sz w:val="22"/>
          </w:rPr>
          <w:tab/>
        </w:r>
        <w:r w:rsidR="0096366C" w:rsidRPr="00BE1CA1">
          <w:rPr>
            <w:rStyle w:val="Hyperlink"/>
            <w:noProof/>
          </w:rPr>
          <w:t>New Zealand’s greenhouse gas net emissions for the LULUCF sector by land use category in 2019 and 2020</w:t>
        </w:r>
        <w:r w:rsidR="0096366C">
          <w:rPr>
            <w:noProof/>
            <w:webHidden/>
          </w:rPr>
          <w:tab/>
        </w:r>
        <w:r w:rsidR="0096366C">
          <w:rPr>
            <w:noProof/>
            <w:webHidden/>
          </w:rPr>
          <w:fldChar w:fldCharType="begin"/>
        </w:r>
        <w:r w:rsidR="0096366C">
          <w:rPr>
            <w:noProof/>
            <w:webHidden/>
          </w:rPr>
          <w:instrText xml:space="preserve"> PAGEREF _Toc99659271 \h </w:instrText>
        </w:r>
        <w:r w:rsidR="0096366C">
          <w:rPr>
            <w:noProof/>
            <w:webHidden/>
          </w:rPr>
        </w:r>
        <w:r w:rsidR="0096366C">
          <w:rPr>
            <w:noProof/>
            <w:webHidden/>
          </w:rPr>
          <w:fldChar w:fldCharType="separate"/>
        </w:r>
        <w:r w:rsidR="009D338D">
          <w:rPr>
            <w:noProof/>
            <w:webHidden/>
          </w:rPr>
          <w:t>235</w:t>
        </w:r>
        <w:r w:rsidR="0096366C">
          <w:rPr>
            <w:noProof/>
            <w:webHidden/>
          </w:rPr>
          <w:fldChar w:fldCharType="end"/>
        </w:r>
      </w:hyperlink>
    </w:p>
    <w:p w14:paraId="171D2D87" w14:textId="739D5986" w:rsidR="0096366C" w:rsidRPr="00B04620" w:rsidRDefault="004B48CC">
      <w:pPr>
        <w:pStyle w:val="TableofFigures"/>
        <w:rPr>
          <w:noProof/>
          <w:sz w:val="22"/>
        </w:rPr>
      </w:pPr>
      <w:hyperlink w:anchor="_Toc99659272" w:history="1">
        <w:r w:rsidR="0096366C" w:rsidRPr="00BE1CA1">
          <w:rPr>
            <w:rStyle w:val="Hyperlink"/>
            <w:noProof/>
          </w:rPr>
          <w:t xml:space="preserve">Table 6.1.3 </w:t>
        </w:r>
        <w:r w:rsidR="0096366C" w:rsidRPr="00B04620">
          <w:rPr>
            <w:noProof/>
            <w:sz w:val="22"/>
          </w:rPr>
          <w:tab/>
        </w:r>
        <w:r w:rsidR="0096366C" w:rsidRPr="00BE1CA1">
          <w:rPr>
            <w:rStyle w:val="Hyperlink"/>
            <w:noProof/>
          </w:rPr>
          <w:t>Land use in New Zealand in 2020</w:t>
        </w:r>
        <w:r w:rsidR="0096366C">
          <w:rPr>
            <w:noProof/>
            <w:webHidden/>
          </w:rPr>
          <w:tab/>
        </w:r>
        <w:r w:rsidR="0096366C">
          <w:rPr>
            <w:noProof/>
            <w:webHidden/>
          </w:rPr>
          <w:fldChar w:fldCharType="begin"/>
        </w:r>
        <w:r w:rsidR="0096366C">
          <w:rPr>
            <w:noProof/>
            <w:webHidden/>
          </w:rPr>
          <w:instrText xml:space="preserve"> PAGEREF _Toc99659272 \h </w:instrText>
        </w:r>
        <w:r w:rsidR="0096366C">
          <w:rPr>
            <w:noProof/>
            <w:webHidden/>
          </w:rPr>
        </w:r>
        <w:r w:rsidR="0096366C">
          <w:rPr>
            <w:noProof/>
            <w:webHidden/>
          </w:rPr>
          <w:fldChar w:fldCharType="separate"/>
        </w:r>
        <w:r w:rsidR="009D338D">
          <w:rPr>
            <w:noProof/>
            <w:webHidden/>
          </w:rPr>
          <w:t>237</w:t>
        </w:r>
        <w:r w:rsidR="0096366C">
          <w:rPr>
            <w:noProof/>
            <w:webHidden/>
          </w:rPr>
          <w:fldChar w:fldCharType="end"/>
        </w:r>
      </w:hyperlink>
    </w:p>
    <w:p w14:paraId="5568493E" w14:textId="3637429D" w:rsidR="0096366C" w:rsidRPr="00B04620" w:rsidRDefault="004B48CC">
      <w:pPr>
        <w:pStyle w:val="TableofFigures"/>
        <w:rPr>
          <w:noProof/>
          <w:sz w:val="22"/>
        </w:rPr>
      </w:pPr>
      <w:hyperlink w:anchor="_Toc99659273" w:history="1">
        <w:r w:rsidR="0096366C" w:rsidRPr="00BE1CA1">
          <w:rPr>
            <w:rStyle w:val="Hyperlink"/>
            <w:noProof/>
          </w:rPr>
          <w:t>Table 6.1.4</w:t>
        </w:r>
        <w:r w:rsidR="0096366C" w:rsidRPr="00B04620">
          <w:rPr>
            <w:noProof/>
            <w:sz w:val="22"/>
          </w:rPr>
          <w:tab/>
        </w:r>
        <w:r w:rsidR="0096366C" w:rsidRPr="00BE1CA1">
          <w:rPr>
            <w:rStyle w:val="Hyperlink"/>
            <w:noProof/>
          </w:rPr>
          <w:t>Relationships between land use, carbon pool and method of calculation used by New Zealand</w:t>
        </w:r>
        <w:r w:rsidR="0096366C">
          <w:rPr>
            <w:noProof/>
            <w:webHidden/>
          </w:rPr>
          <w:tab/>
        </w:r>
        <w:r w:rsidR="0096366C">
          <w:rPr>
            <w:noProof/>
            <w:webHidden/>
          </w:rPr>
          <w:fldChar w:fldCharType="begin"/>
        </w:r>
        <w:r w:rsidR="0096366C">
          <w:rPr>
            <w:noProof/>
            <w:webHidden/>
          </w:rPr>
          <w:instrText xml:space="preserve"> PAGEREF _Toc99659273 \h </w:instrText>
        </w:r>
        <w:r w:rsidR="0096366C">
          <w:rPr>
            <w:noProof/>
            <w:webHidden/>
          </w:rPr>
        </w:r>
        <w:r w:rsidR="0096366C">
          <w:rPr>
            <w:noProof/>
            <w:webHidden/>
          </w:rPr>
          <w:fldChar w:fldCharType="separate"/>
        </w:r>
        <w:r w:rsidR="009D338D">
          <w:rPr>
            <w:noProof/>
            <w:webHidden/>
          </w:rPr>
          <w:t>238</w:t>
        </w:r>
        <w:r w:rsidR="0096366C">
          <w:rPr>
            <w:noProof/>
            <w:webHidden/>
          </w:rPr>
          <w:fldChar w:fldCharType="end"/>
        </w:r>
      </w:hyperlink>
    </w:p>
    <w:p w14:paraId="1CCEA804" w14:textId="75CB3730" w:rsidR="0096366C" w:rsidRPr="00B04620" w:rsidRDefault="004B48CC">
      <w:pPr>
        <w:pStyle w:val="TableofFigures"/>
        <w:rPr>
          <w:noProof/>
          <w:sz w:val="22"/>
        </w:rPr>
      </w:pPr>
      <w:hyperlink w:anchor="_Toc99659274" w:history="1">
        <w:r w:rsidR="0096366C" w:rsidRPr="00BE1CA1">
          <w:rPr>
            <w:rStyle w:val="Hyperlink"/>
            <w:noProof/>
          </w:rPr>
          <w:t>Table 6.1.5</w:t>
        </w:r>
        <w:r w:rsidR="0096366C" w:rsidRPr="00B04620">
          <w:rPr>
            <w:noProof/>
            <w:sz w:val="22"/>
          </w:rPr>
          <w:tab/>
        </w:r>
        <w:r w:rsidR="0096366C" w:rsidRPr="00BE1CA1">
          <w:rPr>
            <w:rStyle w:val="Hyperlink"/>
            <w:noProof/>
          </w:rPr>
          <w:t>Land use categories making the greatest contribution to uncertainty in the LULUCF sector</w:t>
        </w:r>
        <w:r w:rsidR="0096366C">
          <w:rPr>
            <w:noProof/>
            <w:webHidden/>
          </w:rPr>
          <w:tab/>
        </w:r>
        <w:r w:rsidR="0096366C">
          <w:rPr>
            <w:noProof/>
            <w:webHidden/>
          </w:rPr>
          <w:fldChar w:fldCharType="begin"/>
        </w:r>
        <w:r w:rsidR="0096366C">
          <w:rPr>
            <w:noProof/>
            <w:webHidden/>
          </w:rPr>
          <w:instrText xml:space="preserve"> PAGEREF _Toc99659274 \h </w:instrText>
        </w:r>
        <w:r w:rsidR="0096366C">
          <w:rPr>
            <w:noProof/>
            <w:webHidden/>
          </w:rPr>
        </w:r>
        <w:r w:rsidR="0096366C">
          <w:rPr>
            <w:noProof/>
            <w:webHidden/>
          </w:rPr>
          <w:fldChar w:fldCharType="separate"/>
        </w:r>
        <w:r w:rsidR="009D338D">
          <w:rPr>
            <w:noProof/>
            <w:webHidden/>
          </w:rPr>
          <w:t>241</w:t>
        </w:r>
        <w:r w:rsidR="0096366C">
          <w:rPr>
            <w:noProof/>
            <w:webHidden/>
          </w:rPr>
          <w:fldChar w:fldCharType="end"/>
        </w:r>
      </w:hyperlink>
    </w:p>
    <w:p w14:paraId="3F1068C9" w14:textId="7A2A580E" w:rsidR="0096366C" w:rsidRPr="00B04620" w:rsidRDefault="004B48CC">
      <w:pPr>
        <w:pStyle w:val="TableofFigures"/>
        <w:rPr>
          <w:noProof/>
          <w:sz w:val="22"/>
        </w:rPr>
      </w:pPr>
      <w:hyperlink w:anchor="_Toc99659275" w:history="1">
        <w:r w:rsidR="0096366C" w:rsidRPr="00BE1CA1">
          <w:rPr>
            <w:rStyle w:val="Hyperlink"/>
            <w:noProof/>
          </w:rPr>
          <w:t>Table 6.1.6</w:t>
        </w:r>
        <w:r w:rsidR="0096366C" w:rsidRPr="00B04620">
          <w:rPr>
            <w:noProof/>
            <w:sz w:val="22"/>
          </w:rPr>
          <w:tab/>
        </w:r>
        <w:r w:rsidR="0096366C" w:rsidRPr="00BE1CA1">
          <w:rPr>
            <w:rStyle w:val="Hyperlink"/>
            <w:noProof/>
          </w:rPr>
          <w:t>Recalculations to New Zealand’s total net LULUCF emissions for 1990 and 2019</w:t>
        </w:r>
        <w:r w:rsidR="0096366C">
          <w:rPr>
            <w:noProof/>
            <w:webHidden/>
          </w:rPr>
          <w:tab/>
        </w:r>
        <w:r w:rsidR="0096366C">
          <w:rPr>
            <w:noProof/>
            <w:webHidden/>
          </w:rPr>
          <w:fldChar w:fldCharType="begin"/>
        </w:r>
        <w:r w:rsidR="0096366C">
          <w:rPr>
            <w:noProof/>
            <w:webHidden/>
          </w:rPr>
          <w:instrText xml:space="preserve"> PAGEREF _Toc99659275 \h </w:instrText>
        </w:r>
        <w:r w:rsidR="0096366C">
          <w:rPr>
            <w:noProof/>
            <w:webHidden/>
          </w:rPr>
        </w:r>
        <w:r w:rsidR="0096366C">
          <w:rPr>
            <w:noProof/>
            <w:webHidden/>
          </w:rPr>
          <w:fldChar w:fldCharType="separate"/>
        </w:r>
        <w:r w:rsidR="009D338D">
          <w:rPr>
            <w:noProof/>
            <w:webHidden/>
          </w:rPr>
          <w:t>241</w:t>
        </w:r>
        <w:r w:rsidR="0096366C">
          <w:rPr>
            <w:noProof/>
            <w:webHidden/>
          </w:rPr>
          <w:fldChar w:fldCharType="end"/>
        </w:r>
      </w:hyperlink>
    </w:p>
    <w:p w14:paraId="7390BDDC" w14:textId="03A0B449" w:rsidR="0096366C" w:rsidRPr="00B04620" w:rsidRDefault="004B48CC">
      <w:pPr>
        <w:pStyle w:val="TableofFigures"/>
        <w:rPr>
          <w:noProof/>
          <w:sz w:val="22"/>
        </w:rPr>
      </w:pPr>
      <w:hyperlink w:anchor="_Toc99659276" w:history="1">
        <w:r w:rsidR="0096366C" w:rsidRPr="00BE1CA1">
          <w:rPr>
            <w:rStyle w:val="Hyperlink"/>
            <w:noProof/>
          </w:rPr>
          <w:t>Table 6.1.7</w:t>
        </w:r>
        <w:r w:rsidR="0096366C" w:rsidRPr="00B04620">
          <w:rPr>
            <w:noProof/>
            <w:sz w:val="22"/>
          </w:rPr>
          <w:tab/>
        </w:r>
        <w:r w:rsidR="0096366C" w:rsidRPr="00BE1CA1">
          <w:rPr>
            <w:rStyle w:val="Hyperlink"/>
            <w:noProof/>
          </w:rPr>
          <w:t>Recalculations to New Zealand’s net LULUCF emissions for 1990 and 2019 by category</w:t>
        </w:r>
        <w:r w:rsidR="0096366C">
          <w:rPr>
            <w:noProof/>
            <w:webHidden/>
          </w:rPr>
          <w:tab/>
        </w:r>
        <w:r w:rsidR="0096366C">
          <w:rPr>
            <w:noProof/>
            <w:webHidden/>
          </w:rPr>
          <w:fldChar w:fldCharType="begin"/>
        </w:r>
        <w:r w:rsidR="0096366C">
          <w:rPr>
            <w:noProof/>
            <w:webHidden/>
          </w:rPr>
          <w:instrText xml:space="preserve"> PAGEREF _Toc99659276 \h </w:instrText>
        </w:r>
        <w:r w:rsidR="0096366C">
          <w:rPr>
            <w:noProof/>
            <w:webHidden/>
          </w:rPr>
        </w:r>
        <w:r w:rsidR="0096366C">
          <w:rPr>
            <w:noProof/>
            <w:webHidden/>
          </w:rPr>
          <w:fldChar w:fldCharType="separate"/>
        </w:r>
        <w:r w:rsidR="009D338D">
          <w:rPr>
            <w:noProof/>
            <w:webHidden/>
          </w:rPr>
          <w:t>242</w:t>
        </w:r>
        <w:r w:rsidR="0096366C">
          <w:rPr>
            <w:noProof/>
            <w:webHidden/>
          </w:rPr>
          <w:fldChar w:fldCharType="end"/>
        </w:r>
      </w:hyperlink>
    </w:p>
    <w:p w14:paraId="12D08EC5" w14:textId="4006A80F" w:rsidR="0096366C" w:rsidRPr="00B04620" w:rsidRDefault="004B48CC">
      <w:pPr>
        <w:pStyle w:val="TableofFigures"/>
        <w:rPr>
          <w:noProof/>
          <w:sz w:val="22"/>
        </w:rPr>
      </w:pPr>
      <w:hyperlink w:anchor="_Toc99659277" w:history="1">
        <w:r w:rsidR="0096366C" w:rsidRPr="00BE1CA1">
          <w:rPr>
            <w:rStyle w:val="Hyperlink"/>
            <w:noProof/>
          </w:rPr>
          <w:t>Table 6.2.1</w:t>
        </w:r>
        <w:r w:rsidR="0096366C" w:rsidRPr="00B04620">
          <w:rPr>
            <w:noProof/>
            <w:sz w:val="22"/>
          </w:rPr>
          <w:tab/>
        </w:r>
        <w:r w:rsidR="0096366C" w:rsidRPr="00BE1CA1">
          <w:rPr>
            <w:rStyle w:val="Hyperlink"/>
            <w:noProof/>
          </w:rPr>
          <w:t>New Zealand’s land-use change matrix from 1962 to 1989</w:t>
        </w:r>
        <w:r w:rsidR="0096366C">
          <w:rPr>
            <w:noProof/>
            <w:webHidden/>
          </w:rPr>
          <w:tab/>
        </w:r>
        <w:r w:rsidR="0096366C">
          <w:rPr>
            <w:noProof/>
            <w:webHidden/>
          </w:rPr>
          <w:fldChar w:fldCharType="begin"/>
        </w:r>
        <w:r w:rsidR="0096366C">
          <w:rPr>
            <w:noProof/>
            <w:webHidden/>
          </w:rPr>
          <w:instrText xml:space="preserve"> PAGEREF _Toc99659277 \h </w:instrText>
        </w:r>
        <w:r w:rsidR="0096366C">
          <w:rPr>
            <w:noProof/>
            <w:webHidden/>
          </w:rPr>
        </w:r>
        <w:r w:rsidR="0096366C">
          <w:rPr>
            <w:noProof/>
            <w:webHidden/>
          </w:rPr>
          <w:fldChar w:fldCharType="separate"/>
        </w:r>
        <w:r w:rsidR="009D338D">
          <w:rPr>
            <w:noProof/>
            <w:webHidden/>
          </w:rPr>
          <w:t>246</w:t>
        </w:r>
        <w:r w:rsidR="0096366C">
          <w:rPr>
            <w:noProof/>
            <w:webHidden/>
          </w:rPr>
          <w:fldChar w:fldCharType="end"/>
        </w:r>
      </w:hyperlink>
    </w:p>
    <w:p w14:paraId="6601DA21" w14:textId="327DDD39" w:rsidR="0096366C" w:rsidRPr="00B04620" w:rsidRDefault="004B48CC">
      <w:pPr>
        <w:pStyle w:val="TableofFigures"/>
        <w:rPr>
          <w:noProof/>
          <w:sz w:val="22"/>
        </w:rPr>
      </w:pPr>
      <w:hyperlink w:anchor="_Toc99659278" w:history="1">
        <w:r w:rsidR="0096366C" w:rsidRPr="00BE1CA1">
          <w:rPr>
            <w:rStyle w:val="Hyperlink"/>
            <w:noProof/>
          </w:rPr>
          <w:t>Table 6.2.2</w:t>
        </w:r>
        <w:r w:rsidR="0096366C" w:rsidRPr="00B04620">
          <w:rPr>
            <w:noProof/>
            <w:sz w:val="22"/>
          </w:rPr>
          <w:tab/>
        </w:r>
        <w:r w:rsidR="0096366C" w:rsidRPr="00BE1CA1">
          <w:rPr>
            <w:rStyle w:val="Hyperlink"/>
            <w:noProof/>
          </w:rPr>
          <w:t>New Zealand’s land use categories and land uses</w:t>
        </w:r>
        <w:r w:rsidR="0096366C">
          <w:rPr>
            <w:noProof/>
            <w:webHidden/>
          </w:rPr>
          <w:tab/>
        </w:r>
        <w:r w:rsidR="0096366C">
          <w:rPr>
            <w:noProof/>
            <w:webHidden/>
          </w:rPr>
          <w:fldChar w:fldCharType="begin"/>
        </w:r>
        <w:r w:rsidR="0096366C">
          <w:rPr>
            <w:noProof/>
            <w:webHidden/>
          </w:rPr>
          <w:instrText xml:space="preserve"> PAGEREF _Toc99659278 \h </w:instrText>
        </w:r>
        <w:r w:rsidR="0096366C">
          <w:rPr>
            <w:noProof/>
            <w:webHidden/>
          </w:rPr>
        </w:r>
        <w:r w:rsidR="0096366C">
          <w:rPr>
            <w:noProof/>
            <w:webHidden/>
          </w:rPr>
          <w:fldChar w:fldCharType="separate"/>
        </w:r>
        <w:r w:rsidR="009D338D">
          <w:rPr>
            <w:noProof/>
            <w:webHidden/>
          </w:rPr>
          <w:t>247</w:t>
        </w:r>
        <w:r w:rsidR="0096366C">
          <w:rPr>
            <w:noProof/>
            <w:webHidden/>
          </w:rPr>
          <w:fldChar w:fldCharType="end"/>
        </w:r>
      </w:hyperlink>
    </w:p>
    <w:p w14:paraId="701A1786" w14:textId="10B25CF1" w:rsidR="0096366C" w:rsidRPr="00B04620" w:rsidRDefault="004B48CC">
      <w:pPr>
        <w:pStyle w:val="TableofFigures"/>
        <w:rPr>
          <w:noProof/>
          <w:sz w:val="22"/>
        </w:rPr>
      </w:pPr>
      <w:hyperlink w:anchor="_Toc99659279" w:history="1">
        <w:r w:rsidR="0096366C" w:rsidRPr="00BE1CA1">
          <w:rPr>
            <w:rStyle w:val="Hyperlink"/>
            <w:noProof/>
          </w:rPr>
          <w:t>Table 6.2.3</w:t>
        </w:r>
        <w:r w:rsidR="0096366C" w:rsidRPr="00B04620">
          <w:rPr>
            <w:noProof/>
            <w:sz w:val="22"/>
          </w:rPr>
          <w:tab/>
        </w:r>
        <w:r w:rsidR="0096366C" w:rsidRPr="00BE1CA1">
          <w:rPr>
            <w:rStyle w:val="Hyperlink"/>
            <w:noProof/>
          </w:rPr>
          <w:t>New Zealand’s mapping definitions for each land use</w:t>
        </w:r>
        <w:r w:rsidR="0096366C">
          <w:rPr>
            <w:noProof/>
            <w:webHidden/>
          </w:rPr>
          <w:tab/>
        </w:r>
        <w:r w:rsidR="0096366C">
          <w:rPr>
            <w:noProof/>
            <w:webHidden/>
          </w:rPr>
          <w:fldChar w:fldCharType="begin"/>
        </w:r>
        <w:r w:rsidR="0096366C">
          <w:rPr>
            <w:noProof/>
            <w:webHidden/>
          </w:rPr>
          <w:instrText xml:space="preserve"> PAGEREF _Toc99659279 \h </w:instrText>
        </w:r>
        <w:r w:rsidR="0096366C">
          <w:rPr>
            <w:noProof/>
            <w:webHidden/>
          </w:rPr>
        </w:r>
        <w:r w:rsidR="0096366C">
          <w:rPr>
            <w:noProof/>
            <w:webHidden/>
          </w:rPr>
          <w:fldChar w:fldCharType="separate"/>
        </w:r>
        <w:r w:rsidR="009D338D">
          <w:rPr>
            <w:noProof/>
            <w:webHidden/>
          </w:rPr>
          <w:t>247</w:t>
        </w:r>
        <w:r w:rsidR="0096366C">
          <w:rPr>
            <w:noProof/>
            <w:webHidden/>
          </w:rPr>
          <w:fldChar w:fldCharType="end"/>
        </w:r>
      </w:hyperlink>
    </w:p>
    <w:p w14:paraId="34057354" w14:textId="2B414AA3" w:rsidR="0096366C" w:rsidRPr="00B04620" w:rsidRDefault="004B48CC">
      <w:pPr>
        <w:pStyle w:val="TableofFigures"/>
        <w:rPr>
          <w:noProof/>
          <w:sz w:val="22"/>
        </w:rPr>
      </w:pPr>
      <w:hyperlink w:anchor="_Toc99659280" w:history="1">
        <w:r w:rsidR="0096366C" w:rsidRPr="00BE1CA1">
          <w:rPr>
            <w:rStyle w:val="Hyperlink"/>
            <w:noProof/>
          </w:rPr>
          <w:t>Table 6.3.1</w:t>
        </w:r>
        <w:r w:rsidR="0096366C" w:rsidRPr="00B04620">
          <w:rPr>
            <w:noProof/>
            <w:sz w:val="22"/>
          </w:rPr>
          <w:tab/>
        </w:r>
        <w:r w:rsidR="0096366C" w:rsidRPr="00BE1CA1">
          <w:rPr>
            <w:rStyle w:val="Hyperlink"/>
            <w:noProof/>
          </w:rPr>
          <w:t xml:space="preserve">New Zealand’s land-use change for the </w:t>
        </w:r>
        <w:r w:rsidR="0096366C" w:rsidRPr="00BE1CA1">
          <w:rPr>
            <w:rStyle w:val="Hyperlink"/>
            <w:i/>
            <w:noProof/>
          </w:rPr>
          <w:t>Forest land</w:t>
        </w:r>
        <w:r w:rsidR="0096366C" w:rsidRPr="00BE1CA1">
          <w:rPr>
            <w:rStyle w:val="Hyperlink"/>
            <w:noProof/>
          </w:rPr>
          <w:t xml:space="preserve"> category, and associated CO</w:t>
        </w:r>
        <w:r w:rsidR="0096366C" w:rsidRPr="00BE1CA1">
          <w:rPr>
            <w:rStyle w:val="Hyperlink"/>
            <w:noProof/>
            <w:vertAlign w:val="subscript"/>
          </w:rPr>
          <w:t>2</w:t>
        </w:r>
        <w:r w:rsidR="0096366C" w:rsidRPr="00BE1CA1">
          <w:rPr>
            <w:rStyle w:val="Hyperlink"/>
            <w:noProof/>
          </w:rPr>
          <w:t>-e emissions, in 1990 and 2020</w:t>
        </w:r>
        <w:r w:rsidR="0096366C">
          <w:rPr>
            <w:noProof/>
            <w:webHidden/>
          </w:rPr>
          <w:tab/>
        </w:r>
        <w:r w:rsidR="0096366C">
          <w:rPr>
            <w:noProof/>
            <w:webHidden/>
          </w:rPr>
          <w:fldChar w:fldCharType="begin"/>
        </w:r>
        <w:r w:rsidR="0096366C">
          <w:rPr>
            <w:noProof/>
            <w:webHidden/>
          </w:rPr>
          <w:instrText xml:space="preserve"> PAGEREF _Toc99659280 \h </w:instrText>
        </w:r>
        <w:r w:rsidR="0096366C">
          <w:rPr>
            <w:noProof/>
            <w:webHidden/>
          </w:rPr>
        </w:r>
        <w:r w:rsidR="0096366C">
          <w:rPr>
            <w:noProof/>
            <w:webHidden/>
          </w:rPr>
          <w:fldChar w:fldCharType="separate"/>
        </w:r>
        <w:r w:rsidR="009D338D">
          <w:rPr>
            <w:noProof/>
            <w:webHidden/>
          </w:rPr>
          <w:t>250</w:t>
        </w:r>
        <w:r w:rsidR="0096366C">
          <w:rPr>
            <w:noProof/>
            <w:webHidden/>
          </w:rPr>
          <w:fldChar w:fldCharType="end"/>
        </w:r>
      </w:hyperlink>
    </w:p>
    <w:p w14:paraId="50263CE6" w14:textId="5BB6218C" w:rsidR="0096366C" w:rsidRPr="00B04620" w:rsidRDefault="004B48CC">
      <w:pPr>
        <w:pStyle w:val="TableofFigures"/>
        <w:rPr>
          <w:noProof/>
          <w:sz w:val="22"/>
        </w:rPr>
      </w:pPr>
      <w:hyperlink w:anchor="_Toc99659281" w:history="1">
        <w:r w:rsidR="0096366C" w:rsidRPr="00BE1CA1">
          <w:rPr>
            <w:rStyle w:val="Hyperlink"/>
            <w:noProof/>
          </w:rPr>
          <w:t>Table 6.3.2</w:t>
        </w:r>
        <w:r w:rsidR="0096366C" w:rsidRPr="00B04620">
          <w:rPr>
            <w:noProof/>
            <w:sz w:val="22"/>
          </w:rPr>
          <w:tab/>
        </w:r>
        <w:r w:rsidR="0096366C" w:rsidRPr="00BE1CA1">
          <w:rPr>
            <w:rStyle w:val="Hyperlink"/>
            <w:noProof/>
          </w:rPr>
          <w:t>Change in land area and associated CO</w:t>
        </w:r>
        <w:r w:rsidR="0096366C" w:rsidRPr="00BE1CA1">
          <w:rPr>
            <w:rStyle w:val="Hyperlink"/>
            <w:noProof/>
            <w:vertAlign w:val="subscript"/>
          </w:rPr>
          <w:t>2</w:t>
        </w:r>
        <w:r w:rsidR="0096366C" w:rsidRPr="00BE1CA1">
          <w:rPr>
            <w:rStyle w:val="Hyperlink"/>
            <w:noProof/>
          </w:rPr>
          <w:t xml:space="preserve"> emissions from carbon stock change between 1990 and 2020 for New Zealand’s</w:t>
        </w:r>
        <w:r w:rsidR="0096366C" w:rsidRPr="00BE1CA1">
          <w:rPr>
            <w:rStyle w:val="Hyperlink"/>
            <w:i/>
            <w:noProof/>
          </w:rPr>
          <w:t xml:space="preserve"> Forest land</w:t>
        </w:r>
        <w:r w:rsidR="0096366C">
          <w:rPr>
            <w:noProof/>
            <w:webHidden/>
          </w:rPr>
          <w:tab/>
        </w:r>
        <w:r w:rsidR="0096366C">
          <w:rPr>
            <w:noProof/>
            <w:webHidden/>
          </w:rPr>
          <w:fldChar w:fldCharType="begin"/>
        </w:r>
        <w:r w:rsidR="0096366C">
          <w:rPr>
            <w:noProof/>
            <w:webHidden/>
          </w:rPr>
          <w:instrText xml:space="preserve"> PAGEREF _Toc99659281 \h </w:instrText>
        </w:r>
        <w:r w:rsidR="0096366C">
          <w:rPr>
            <w:noProof/>
            <w:webHidden/>
          </w:rPr>
        </w:r>
        <w:r w:rsidR="0096366C">
          <w:rPr>
            <w:noProof/>
            <w:webHidden/>
          </w:rPr>
          <w:fldChar w:fldCharType="separate"/>
        </w:r>
        <w:r w:rsidR="009D338D">
          <w:rPr>
            <w:noProof/>
            <w:webHidden/>
          </w:rPr>
          <w:t>251</w:t>
        </w:r>
        <w:r w:rsidR="0096366C">
          <w:rPr>
            <w:noProof/>
            <w:webHidden/>
          </w:rPr>
          <w:fldChar w:fldCharType="end"/>
        </w:r>
      </w:hyperlink>
    </w:p>
    <w:p w14:paraId="65FB2629" w14:textId="154371D0" w:rsidR="0096366C" w:rsidRPr="00B04620" w:rsidRDefault="004B48CC">
      <w:pPr>
        <w:pStyle w:val="TableofFigures"/>
        <w:rPr>
          <w:noProof/>
          <w:sz w:val="22"/>
        </w:rPr>
      </w:pPr>
      <w:hyperlink w:anchor="_Toc99659282" w:history="1">
        <w:r w:rsidR="0096366C" w:rsidRPr="00BE1CA1">
          <w:rPr>
            <w:rStyle w:val="Hyperlink"/>
            <w:noProof/>
          </w:rPr>
          <w:t>Table 6.3.3</w:t>
        </w:r>
        <w:r w:rsidR="0096366C" w:rsidRPr="00B04620">
          <w:rPr>
            <w:noProof/>
            <w:sz w:val="22"/>
          </w:rPr>
          <w:tab/>
        </w:r>
        <w:r w:rsidR="0096366C" w:rsidRPr="00BE1CA1">
          <w:rPr>
            <w:rStyle w:val="Hyperlink"/>
            <w:noProof/>
          </w:rPr>
          <w:t>New Zealand’s net carbon stock change by carbon pool for the</w:t>
        </w:r>
        <w:r w:rsidR="0096366C" w:rsidRPr="00BE1CA1">
          <w:rPr>
            <w:rStyle w:val="Hyperlink"/>
            <w:rFonts w:cs="Arial Bold"/>
            <w:noProof/>
          </w:rPr>
          <w:t xml:space="preserve"> </w:t>
        </w:r>
        <w:r w:rsidR="0096366C" w:rsidRPr="00BE1CA1">
          <w:rPr>
            <w:rStyle w:val="Hyperlink"/>
            <w:rFonts w:cs="Arial Bold"/>
            <w:i/>
            <w:noProof/>
          </w:rPr>
          <w:t>Forest</w:t>
        </w:r>
        <w:r w:rsidR="0096366C" w:rsidRPr="00BE1CA1">
          <w:rPr>
            <w:rStyle w:val="Hyperlink"/>
            <w:i/>
            <w:noProof/>
          </w:rPr>
          <w:t xml:space="preserve"> land </w:t>
        </w:r>
        <w:r w:rsidR="0096366C" w:rsidRPr="00BE1CA1">
          <w:rPr>
            <w:rStyle w:val="Hyperlink"/>
            <w:noProof/>
          </w:rPr>
          <w:t>category from 1990 to 2020</w:t>
        </w:r>
        <w:r w:rsidR="0096366C">
          <w:rPr>
            <w:noProof/>
            <w:webHidden/>
          </w:rPr>
          <w:tab/>
        </w:r>
        <w:r w:rsidR="0096366C">
          <w:rPr>
            <w:noProof/>
            <w:webHidden/>
          </w:rPr>
          <w:fldChar w:fldCharType="begin"/>
        </w:r>
        <w:r w:rsidR="0096366C">
          <w:rPr>
            <w:noProof/>
            <w:webHidden/>
          </w:rPr>
          <w:instrText xml:space="preserve"> PAGEREF _Toc99659282 \h </w:instrText>
        </w:r>
        <w:r w:rsidR="0096366C">
          <w:rPr>
            <w:noProof/>
            <w:webHidden/>
          </w:rPr>
        </w:r>
        <w:r w:rsidR="0096366C">
          <w:rPr>
            <w:noProof/>
            <w:webHidden/>
          </w:rPr>
          <w:fldChar w:fldCharType="separate"/>
        </w:r>
        <w:r w:rsidR="009D338D">
          <w:rPr>
            <w:noProof/>
            <w:webHidden/>
          </w:rPr>
          <w:t>251</w:t>
        </w:r>
        <w:r w:rsidR="0096366C">
          <w:rPr>
            <w:noProof/>
            <w:webHidden/>
          </w:rPr>
          <w:fldChar w:fldCharType="end"/>
        </w:r>
      </w:hyperlink>
    </w:p>
    <w:p w14:paraId="6EF3CE3B" w14:textId="4CBD5C29" w:rsidR="0096366C" w:rsidRPr="00B04620" w:rsidRDefault="004B48CC">
      <w:pPr>
        <w:pStyle w:val="TableofFigures"/>
        <w:rPr>
          <w:noProof/>
          <w:sz w:val="22"/>
        </w:rPr>
      </w:pPr>
      <w:hyperlink w:anchor="_Toc99659283" w:history="1">
        <w:r w:rsidR="0096366C" w:rsidRPr="00BE1CA1">
          <w:rPr>
            <w:rStyle w:val="Hyperlink"/>
            <w:noProof/>
          </w:rPr>
          <w:t>Table 6.3.4</w:t>
        </w:r>
        <w:r w:rsidR="0096366C" w:rsidRPr="00B04620">
          <w:rPr>
            <w:noProof/>
            <w:sz w:val="22"/>
          </w:rPr>
          <w:tab/>
        </w:r>
        <w:r w:rsidR="0096366C" w:rsidRPr="00BE1CA1">
          <w:rPr>
            <w:rStyle w:val="Hyperlink"/>
            <w:noProof/>
          </w:rPr>
          <w:t xml:space="preserve">New Zealand’s </w:t>
        </w:r>
        <w:r w:rsidR="0096366C" w:rsidRPr="00BE1CA1">
          <w:rPr>
            <w:rStyle w:val="Hyperlink"/>
            <w:i/>
            <w:noProof/>
          </w:rPr>
          <w:t xml:space="preserve">Forest land </w:t>
        </w:r>
        <w:r w:rsidR="0096366C" w:rsidRPr="00BE1CA1">
          <w:rPr>
            <w:rStyle w:val="Hyperlink"/>
            <w:noProof/>
          </w:rPr>
          <w:t>subject to deforestation, 1990 and 2020</w:t>
        </w:r>
        <w:r w:rsidR="0096366C">
          <w:rPr>
            <w:noProof/>
            <w:webHidden/>
          </w:rPr>
          <w:tab/>
        </w:r>
        <w:r w:rsidR="0096366C">
          <w:rPr>
            <w:noProof/>
            <w:webHidden/>
          </w:rPr>
          <w:fldChar w:fldCharType="begin"/>
        </w:r>
        <w:r w:rsidR="0096366C">
          <w:rPr>
            <w:noProof/>
            <w:webHidden/>
          </w:rPr>
          <w:instrText xml:space="preserve"> PAGEREF _Toc99659283 \h </w:instrText>
        </w:r>
        <w:r w:rsidR="0096366C">
          <w:rPr>
            <w:noProof/>
            <w:webHidden/>
          </w:rPr>
        </w:r>
        <w:r w:rsidR="0096366C">
          <w:rPr>
            <w:noProof/>
            <w:webHidden/>
          </w:rPr>
          <w:fldChar w:fldCharType="separate"/>
        </w:r>
        <w:r w:rsidR="009D338D">
          <w:rPr>
            <w:noProof/>
            <w:webHidden/>
          </w:rPr>
          <w:t>254</w:t>
        </w:r>
        <w:r w:rsidR="0096366C">
          <w:rPr>
            <w:noProof/>
            <w:webHidden/>
          </w:rPr>
          <w:fldChar w:fldCharType="end"/>
        </w:r>
      </w:hyperlink>
    </w:p>
    <w:p w14:paraId="1A3B9763" w14:textId="7553B4D8" w:rsidR="0096366C" w:rsidRPr="00B04620" w:rsidRDefault="004B48CC">
      <w:pPr>
        <w:pStyle w:val="TableofFigures"/>
        <w:rPr>
          <w:noProof/>
          <w:sz w:val="22"/>
        </w:rPr>
      </w:pPr>
      <w:hyperlink w:anchor="_Toc99659284" w:history="1">
        <w:r w:rsidR="0096366C" w:rsidRPr="00BE1CA1">
          <w:rPr>
            <w:rStyle w:val="Hyperlink"/>
            <w:noProof/>
          </w:rPr>
          <w:t>Table 6.3.5</w:t>
        </w:r>
        <w:r w:rsidR="0096366C" w:rsidRPr="00B04620">
          <w:rPr>
            <w:noProof/>
            <w:sz w:val="22"/>
          </w:rPr>
          <w:tab/>
        </w:r>
        <w:r w:rsidR="0096366C" w:rsidRPr="00BE1CA1">
          <w:rPr>
            <w:rStyle w:val="Hyperlink"/>
            <w:noProof/>
          </w:rPr>
          <w:t>Pre-1990 natural forest subcategories and description</w:t>
        </w:r>
        <w:r w:rsidR="0096366C">
          <w:rPr>
            <w:noProof/>
            <w:webHidden/>
          </w:rPr>
          <w:tab/>
        </w:r>
        <w:r w:rsidR="0096366C">
          <w:rPr>
            <w:noProof/>
            <w:webHidden/>
          </w:rPr>
          <w:fldChar w:fldCharType="begin"/>
        </w:r>
        <w:r w:rsidR="0096366C">
          <w:rPr>
            <w:noProof/>
            <w:webHidden/>
          </w:rPr>
          <w:instrText xml:space="preserve"> PAGEREF _Toc99659284 \h </w:instrText>
        </w:r>
        <w:r w:rsidR="0096366C">
          <w:rPr>
            <w:noProof/>
            <w:webHidden/>
          </w:rPr>
        </w:r>
        <w:r w:rsidR="0096366C">
          <w:rPr>
            <w:noProof/>
            <w:webHidden/>
          </w:rPr>
          <w:fldChar w:fldCharType="separate"/>
        </w:r>
        <w:r w:rsidR="009D338D">
          <w:rPr>
            <w:noProof/>
            <w:webHidden/>
          </w:rPr>
          <w:t>255</w:t>
        </w:r>
        <w:r w:rsidR="0096366C">
          <w:rPr>
            <w:noProof/>
            <w:webHidden/>
          </w:rPr>
          <w:fldChar w:fldCharType="end"/>
        </w:r>
      </w:hyperlink>
    </w:p>
    <w:p w14:paraId="7B2B5E71" w14:textId="6BC222C8" w:rsidR="0096366C" w:rsidRPr="00B04620" w:rsidRDefault="004B48CC">
      <w:pPr>
        <w:pStyle w:val="TableofFigures"/>
        <w:rPr>
          <w:noProof/>
          <w:sz w:val="22"/>
        </w:rPr>
      </w:pPr>
      <w:hyperlink w:anchor="_Toc99659285" w:history="1">
        <w:r w:rsidR="0096366C" w:rsidRPr="00BE1CA1">
          <w:rPr>
            <w:rStyle w:val="Hyperlink"/>
            <w:noProof/>
          </w:rPr>
          <w:t>Table 6.3.6</w:t>
        </w:r>
        <w:r w:rsidR="0096366C" w:rsidRPr="00B04620">
          <w:rPr>
            <w:noProof/>
            <w:sz w:val="22"/>
          </w:rPr>
          <w:tab/>
        </w:r>
        <w:r w:rsidR="0096366C" w:rsidRPr="00BE1CA1">
          <w:rPr>
            <w:rStyle w:val="Hyperlink"/>
            <w:noProof/>
          </w:rPr>
          <w:t>Areas of tall and regenerating pre-1990 natural forest</w:t>
        </w:r>
        <w:r w:rsidR="0096366C">
          <w:rPr>
            <w:noProof/>
            <w:webHidden/>
          </w:rPr>
          <w:tab/>
        </w:r>
        <w:r w:rsidR="0096366C">
          <w:rPr>
            <w:noProof/>
            <w:webHidden/>
          </w:rPr>
          <w:fldChar w:fldCharType="begin"/>
        </w:r>
        <w:r w:rsidR="0096366C">
          <w:rPr>
            <w:noProof/>
            <w:webHidden/>
          </w:rPr>
          <w:instrText xml:space="preserve"> PAGEREF _Toc99659285 \h </w:instrText>
        </w:r>
        <w:r w:rsidR="0096366C">
          <w:rPr>
            <w:noProof/>
            <w:webHidden/>
          </w:rPr>
        </w:r>
        <w:r w:rsidR="0096366C">
          <w:rPr>
            <w:noProof/>
            <w:webHidden/>
          </w:rPr>
          <w:fldChar w:fldCharType="separate"/>
        </w:r>
        <w:r w:rsidR="009D338D">
          <w:rPr>
            <w:noProof/>
            <w:webHidden/>
          </w:rPr>
          <w:t>255</w:t>
        </w:r>
        <w:r w:rsidR="0096366C">
          <w:rPr>
            <w:noProof/>
            <w:webHidden/>
          </w:rPr>
          <w:fldChar w:fldCharType="end"/>
        </w:r>
      </w:hyperlink>
    </w:p>
    <w:p w14:paraId="49D31F12" w14:textId="26AAB90C" w:rsidR="0096366C" w:rsidRPr="00B04620" w:rsidRDefault="004B48CC">
      <w:pPr>
        <w:pStyle w:val="TableofFigures"/>
        <w:rPr>
          <w:noProof/>
          <w:sz w:val="22"/>
        </w:rPr>
      </w:pPr>
      <w:hyperlink w:anchor="_Toc99659286" w:history="1">
        <w:r w:rsidR="0096366C" w:rsidRPr="00BE1CA1">
          <w:rPr>
            <w:rStyle w:val="Hyperlink"/>
            <w:noProof/>
          </w:rPr>
          <w:t>Table 6.3.7</w:t>
        </w:r>
        <w:r w:rsidR="0096366C" w:rsidRPr="00B04620">
          <w:rPr>
            <w:noProof/>
            <w:sz w:val="22"/>
          </w:rPr>
          <w:tab/>
        </w:r>
        <w:r w:rsidR="0096366C" w:rsidRPr="00BE1CA1">
          <w:rPr>
            <w:rStyle w:val="Hyperlink"/>
            <w:noProof/>
          </w:rPr>
          <w:t>New Zealand’s areas of pre-1990 natural forest deforestation estimated by type from 1990</w:t>
        </w:r>
        <w:r w:rsidR="0096366C" w:rsidRPr="00BE1CA1">
          <w:rPr>
            <w:rStyle w:val="Hyperlink"/>
            <w:rFonts w:ascii="Arial" w:hAnsi="Arial" w:cs="Arial"/>
            <w:noProof/>
          </w:rPr>
          <w:t> </w:t>
        </w:r>
        <w:r w:rsidR="0096366C" w:rsidRPr="00BE1CA1">
          <w:rPr>
            <w:rStyle w:val="Hyperlink"/>
            <w:noProof/>
          </w:rPr>
          <w:t>to</w:t>
        </w:r>
        <w:r w:rsidR="0096366C" w:rsidRPr="00BE1CA1">
          <w:rPr>
            <w:rStyle w:val="Hyperlink"/>
            <w:rFonts w:ascii="Arial" w:hAnsi="Arial" w:cs="Arial"/>
            <w:noProof/>
          </w:rPr>
          <w:t> </w:t>
        </w:r>
        <w:r w:rsidR="0096366C" w:rsidRPr="00BE1CA1">
          <w:rPr>
            <w:rStyle w:val="Hyperlink"/>
            <w:noProof/>
          </w:rPr>
          <w:t>2020</w:t>
        </w:r>
        <w:r w:rsidR="0096366C">
          <w:rPr>
            <w:noProof/>
            <w:webHidden/>
          </w:rPr>
          <w:tab/>
        </w:r>
        <w:r w:rsidR="0096366C">
          <w:rPr>
            <w:noProof/>
            <w:webHidden/>
          </w:rPr>
          <w:fldChar w:fldCharType="begin"/>
        </w:r>
        <w:r w:rsidR="0096366C">
          <w:rPr>
            <w:noProof/>
            <w:webHidden/>
          </w:rPr>
          <w:instrText xml:space="preserve"> PAGEREF _Toc99659286 \h </w:instrText>
        </w:r>
        <w:r w:rsidR="0096366C">
          <w:rPr>
            <w:noProof/>
            <w:webHidden/>
          </w:rPr>
        </w:r>
        <w:r w:rsidR="0096366C">
          <w:rPr>
            <w:noProof/>
            <w:webHidden/>
          </w:rPr>
          <w:fldChar w:fldCharType="separate"/>
        </w:r>
        <w:r w:rsidR="009D338D">
          <w:rPr>
            <w:noProof/>
            <w:webHidden/>
          </w:rPr>
          <w:t>255</w:t>
        </w:r>
        <w:r w:rsidR="0096366C">
          <w:rPr>
            <w:noProof/>
            <w:webHidden/>
          </w:rPr>
          <w:fldChar w:fldCharType="end"/>
        </w:r>
      </w:hyperlink>
    </w:p>
    <w:p w14:paraId="435BBF7E" w14:textId="0843B55E" w:rsidR="0096366C" w:rsidRPr="00B04620" w:rsidRDefault="004B48CC">
      <w:pPr>
        <w:pStyle w:val="TableofFigures"/>
        <w:rPr>
          <w:noProof/>
          <w:sz w:val="22"/>
        </w:rPr>
      </w:pPr>
      <w:hyperlink w:anchor="_Toc99659287" w:history="1">
        <w:r w:rsidR="0096366C" w:rsidRPr="00BE1CA1">
          <w:rPr>
            <w:rStyle w:val="Hyperlink"/>
            <w:noProof/>
          </w:rPr>
          <w:t>Table 6.3.8</w:t>
        </w:r>
        <w:r w:rsidR="0096366C" w:rsidRPr="00B04620">
          <w:rPr>
            <w:noProof/>
            <w:sz w:val="22"/>
          </w:rPr>
          <w:tab/>
        </w:r>
        <w:r w:rsidR="0096366C" w:rsidRPr="00BE1CA1">
          <w:rPr>
            <w:rStyle w:val="Hyperlink"/>
            <w:noProof/>
          </w:rPr>
          <w:t>Summary of methods used to calculate New Zealand’s forest biomass carbon stock from plot data</w:t>
        </w:r>
        <w:r w:rsidR="0096366C">
          <w:rPr>
            <w:noProof/>
            <w:webHidden/>
          </w:rPr>
          <w:tab/>
        </w:r>
        <w:r w:rsidR="0096366C">
          <w:rPr>
            <w:noProof/>
            <w:webHidden/>
          </w:rPr>
          <w:fldChar w:fldCharType="begin"/>
        </w:r>
        <w:r w:rsidR="0096366C">
          <w:rPr>
            <w:noProof/>
            <w:webHidden/>
          </w:rPr>
          <w:instrText xml:space="preserve"> PAGEREF _Toc99659287 \h </w:instrText>
        </w:r>
        <w:r w:rsidR="0096366C">
          <w:rPr>
            <w:noProof/>
            <w:webHidden/>
          </w:rPr>
        </w:r>
        <w:r w:rsidR="0096366C">
          <w:rPr>
            <w:noProof/>
            <w:webHidden/>
          </w:rPr>
          <w:fldChar w:fldCharType="separate"/>
        </w:r>
        <w:r w:rsidR="009D338D">
          <w:rPr>
            <w:noProof/>
            <w:webHidden/>
          </w:rPr>
          <w:t>258</w:t>
        </w:r>
        <w:r w:rsidR="0096366C">
          <w:rPr>
            <w:noProof/>
            <w:webHidden/>
          </w:rPr>
          <w:fldChar w:fldCharType="end"/>
        </w:r>
      </w:hyperlink>
    </w:p>
    <w:p w14:paraId="31CE2954" w14:textId="74E7121E" w:rsidR="0096366C" w:rsidRPr="00B04620" w:rsidRDefault="004B48CC">
      <w:pPr>
        <w:pStyle w:val="TableofFigures"/>
        <w:rPr>
          <w:noProof/>
          <w:sz w:val="22"/>
        </w:rPr>
      </w:pPr>
      <w:hyperlink w:anchor="_Toc99659288" w:history="1">
        <w:r w:rsidR="0096366C" w:rsidRPr="00BE1CA1">
          <w:rPr>
            <w:rStyle w:val="Hyperlink"/>
            <w:noProof/>
          </w:rPr>
          <w:t>Table 6.3.9</w:t>
        </w:r>
        <w:r w:rsidR="0096366C" w:rsidRPr="00B04620">
          <w:rPr>
            <w:noProof/>
            <w:sz w:val="22"/>
          </w:rPr>
          <w:tab/>
        </w:r>
        <w:r w:rsidR="0096366C" w:rsidRPr="00BE1CA1">
          <w:rPr>
            <w:rStyle w:val="Hyperlink"/>
            <w:noProof/>
          </w:rPr>
          <w:t xml:space="preserve">Uncertainty in carbon stock change emissions in 2020 from </w:t>
        </w:r>
        <w:r w:rsidR="0096366C" w:rsidRPr="00BE1CA1">
          <w:rPr>
            <w:rStyle w:val="Hyperlink"/>
            <w:i/>
            <w:noProof/>
          </w:rPr>
          <w:t>Forest land</w:t>
        </w:r>
        <w:r w:rsidR="0096366C">
          <w:rPr>
            <w:noProof/>
            <w:webHidden/>
          </w:rPr>
          <w:tab/>
        </w:r>
        <w:r w:rsidR="0096366C">
          <w:rPr>
            <w:noProof/>
            <w:webHidden/>
          </w:rPr>
          <w:fldChar w:fldCharType="begin"/>
        </w:r>
        <w:r w:rsidR="0096366C">
          <w:rPr>
            <w:noProof/>
            <w:webHidden/>
          </w:rPr>
          <w:instrText xml:space="preserve"> PAGEREF _Toc99659288 \h </w:instrText>
        </w:r>
        <w:r w:rsidR="0096366C">
          <w:rPr>
            <w:noProof/>
            <w:webHidden/>
          </w:rPr>
        </w:r>
        <w:r w:rsidR="0096366C">
          <w:rPr>
            <w:noProof/>
            <w:webHidden/>
          </w:rPr>
          <w:fldChar w:fldCharType="separate"/>
        </w:r>
        <w:r w:rsidR="009D338D">
          <w:rPr>
            <w:noProof/>
            <w:webHidden/>
          </w:rPr>
          <w:t>260</w:t>
        </w:r>
        <w:r w:rsidR="0096366C">
          <w:rPr>
            <w:noProof/>
            <w:webHidden/>
          </w:rPr>
          <w:fldChar w:fldCharType="end"/>
        </w:r>
      </w:hyperlink>
    </w:p>
    <w:p w14:paraId="4D144C37" w14:textId="58FCFC31" w:rsidR="0096366C" w:rsidRPr="00B04620" w:rsidRDefault="004B48CC">
      <w:pPr>
        <w:pStyle w:val="TableofFigures"/>
        <w:rPr>
          <w:noProof/>
          <w:sz w:val="22"/>
        </w:rPr>
      </w:pPr>
      <w:hyperlink w:anchor="_Toc99659289" w:history="1">
        <w:r w:rsidR="0096366C" w:rsidRPr="00BE1CA1">
          <w:rPr>
            <w:rStyle w:val="Hyperlink"/>
            <w:noProof/>
          </w:rPr>
          <w:t xml:space="preserve">Table 6.3.10 </w:t>
        </w:r>
        <w:r w:rsidR="0096366C" w:rsidRPr="00B04620">
          <w:rPr>
            <w:noProof/>
            <w:sz w:val="22"/>
          </w:rPr>
          <w:tab/>
        </w:r>
        <w:r w:rsidR="0096366C" w:rsidRPr="00BE1CA1">
          <w:rPr>
            <w:rStyle w:val="Hyperlink"/>
            <w:noProof/>
          </w:rPr>
          <w:t xml:space="preserve">Recalculations of New Zealand’s estimates for the </w:t>
        </w:r>
        <w:r w:rsidR="0096366C" w:rsidRPr="00BE1CA1">
          <w:rPr>
            <w:rStyle w:val="Hyperlink"/>
            <w:i/>
            <w:noProof/>
          </w:rPr>
          <w:t>Forest land</w:t>
        </w:r>
        <w:r w:rsidR="0096366C" w:rsidRPr="00BE1CA1">
          <w:rPr>
            <w:rStyle w:val="Hyperlink"/>
            <w:noProof/>
          </w:rPr>
          <w:t xml:space="preserve"> category in 1990 and 2019</w:t>
        </w:r>
        <w:r w:rsidR="0096366C">
          <w:rPr>
            <w:noProof/>
            <w:webHidden/>
          </w:rPr>
          <w:tab/>
        </w:r>
        <w:r w:rsidR="0096366C">
          <w:rPr>
            <w:noProof/>
            <w:webHidden/>
          </w:rPr>
          <w:fldChar w:fldCharType="begin"/>
        </w:r>
        <w:r w:rsidR="0096366C">
          <w:rPr>
            <w:noProof/>
            <w:webHidden/>
          </w:rPr>
          <w:instrText xml:space="preserve"> PAGEREF _Toc99659289 \h </w:instrText>
        </w:r>
        <w:r w:rsidR="0096366C">
          <w:rPr>
            <w:noProof/>
            <w:webHidden/>
          </w:rPr>
        </w:r>
        <w:r w:rsidR="0096366C">
          <w:rPr>
            <w:noProof/>
            <w:webHidden/>
          </w:rPr>
          <w:fldChar w:fldCharType="separate"/>
        </w:r>
        <w:r w:rsidR="009D338D">
          <w:rPr>
            <w:noProof/>
            <w:webHidden/>
          </w:rPr>
          <w:t>261</w:t>
        </w:r>
        <w:r w:rsidR="0096366C">
          <w:rPr>
            <w:noProof/>
            <w:webHidden/>
          </w:rPr>
          <w:fldChar w:fldCharType="end"/>
        </w:r>
      </w:hyperlink>
    </w:p>
    <w:p w14:paraId="1EBCA583" w14:textId="1A692300" w:rsidR="0096366C" w:rsidRPr="00B04620" w:rsidRDefault="004B48CC">
      <w:pPr>
        <w:pStyle w:val="TableofFigures"/>
        <w:rPr>
          <w:noProof/>
          <w:sz w:val="22"/>
        </w:rPr>
      </w:pPr>
      <w:hyperlink w:anchor="_Toc99659290" w:history="1">
        <w:r w:rsidR="0096366C" w:rsidRPr="00BE1CA1">
          <w:rPr>
            <w:rStyle w:val="Hyperlink"/>
            <w:noProof/>
          </w:rPr>
          <w:t>Table 6.4.1</w:t>
        </w:r>
        <w:r w:rsidR="0096366C" w:rsidRPr="00B04620">
          <w:rPr>
            <w:noProof/>
            <w:sz w:val="22"/>
          </w:rPr>
          <w:tab/>
        </w:r>
        <w:r w:rsidR="0096366C" w:rsidRPr="00BE1CA1">
          <w:rPr>
            <w:rStyle w:val="Hyperlink"/>
            <w:noProof/>
          </w:rPr>
          <w:t xml:space="preserve">New Zealand’s land-use change by </w:t>
        </w:r>
        <w:r w:rsidR="0096366C" w:rsidRPr="00BE1CA1">
          <w:rPr>
            <w:rStyle w:val="Hyperlink"/>
            <w:i/>
            <w:noProof/>
          </w:rPr>
          <w:t>Cropland</w:t>
        </w:r>
        <w:r w:rsidR="0096366C" w:rsidRPr="00BE1CA1">
          <w:rPr>
            <w:rStyle w:val="Hyperlink"/>
            <w:noProof/>
          </w:rPr>
          <w:t xml:space="preserve"> category, and associated  CO</w:t>
        </w:r>
        <w:r w:rsidR="0096366C" w:rsidRPr="00BE1CA1">
          <w:rPr>
            <w:rStyle w:val="Hyperlink"/>
            <w:noProof/>
            <w:vertAlign w:val="subscript"/>
          </w:rPr>
          <w:t>2</w:t>
        </w:r>
        <w:r w:rsidR="0096366C" w:rsidRPr="00BE1CA1">
          <w:rPr>
            <w:rStyle w:val="Hyperlink"/>
            <w:noProof/>
          </w:rPr>
          <w:t>-e emissions, 1990 and 2020</w:t>
        </w:r>
        <w:r w:rsidR="0096366C">
          <w:rPr>
            <w:noProof/>
            <w:webHidden/>
          </w:rPr>
          <w:tab/>
        </w:r>
        <w:r w:rsidR="0096366C">
          <w:rPr>
            <w:noProof/>
            <w:webHidden/>
          </w:rPr>
          <w:fldChar w:fldCharType="begin"/>
        </w:r>
        <w:r w:rsidR="0096366C">
          <w:rPr>
            <w:noProof/>
            <w:webHidden/>
          </w:rPr>
          <w:instrText xml:space="preserve"> PAGEREF _Toc99659290 \h </w:instrText>
        </w:r>
        <w:r w:rsidR="0096366C">
          <w:rPr>
            <w:noProof/>
            <w:webHidden/>
          </w:rPr>
        </w:r>
        <w:r w:rsidR="0096366C">
          <w:rPr>
            <w:noProof/>
            <w:webHidden/>
          </w:rPr>
          <w:fldChar w:fldCharType="separate"/>
        </w:r>
        <w:r w:rsidR="009D338D">
          <w:rPr>
            <w:noProof/>
            <w:webHidden/>
          </w:rPr>
          <w:t>266</w:t>
        </w:r>
        <w:r w:rsidR="0096366C">
          <w:rPr>
            <w:noProof/>
            <w:webHidden/>
          </w:rPr>
          <w:fldChar w:fldCharType="end"/>
        </w:r>
      </w:hyperlink>
    </w:p>
    <w:p w14:paraId="462649A9" w14:textId="4D663150" w:rsidR="0096366C" w:rsidRPr="00B04620" w:rsidRDefault="004B48CC">
      <w:pPr>
        <w:pStyle w:val="TableofFigures"/>
        <w:rPr>
          <w:noProof/>
          <w:sz w:val="22"/>
        </w:rPr>
      </w:pPr>
      <w:hyperlink w:anchor="_Toc99659291" w:history="1">
        <w:r w:rsidR="0096366C" w:rsidRPr="00BE1CA1">
          <w:rPr>
            <w:rStyle w:val="Hyperlink"/>
            <w:noProof/>
          </w:rPr>
          <w:t>Table 6.4.2</w:t>
        </w:r>
        <w:r w:rsidR="0096366C" w:rsidRPr="00B04620">
          <w:rPr>
            <w:noProof/>
            <w:sz w:val="22"/>
          </w:rPr>
          <w:tab/>
        </w:r>
        <w:r w:rsidR="0096366C" w:rsidRPr="00BE1CA1">
          <w:rPr>
            <w:rStyle w:val="Hyperlink"/>
            <w:noProof/>
          </w:rPr>
          <w:t>New Zealand’s carbon stock change by carbon pool for the</w:t>
        </w:r>
        <w:r w:rsidR="0096366C" w:rsidRPr="00BE1CA1">
          <w:rPr>
            <w:rStyle w:val="Hyperlink"/>
            <w:rFonts w:cs="Arial Bold"/>
            <w:noProof/>
          </w:rPr>
          <w:t xml:space="preserve"> </w:t>
        </w:r>
        <w:r w:rsidR="0096366C" w:rsidRPr="00BE1CA1">
          <w:rPr>
            <w:rStyle w:val="Hyperlink"/>
            <w:rFonts w:cs="Arial Bold"/>
            <w:i/>
            <w:noProof/>
          </w:rPr>
          <w:t>Crop</w:t>
        </w:r>
        <w:r w:rsidR="0096366C" w:rsidRPr="00BE1CA1">
          <w:rPr>
            <w:rStyle w:val="Hyperlink"/>
            <w:i/>
            <w:noProof/>
          </w:rPr>
          <w:t>land</w:t>
        </w:r>
        <w:r w:rsidR="0096366C" w:rsidRPr="00BE1CA1">
          <w:rPr>
            <w:rStyle w:val="Hyperlink"/>
            <w:noProof/>
          </w:rPr>
          <w:t xml:space="preserve"> category from 1990 to 2020</w:t>
        </w:r>
        <w:r w:rsidR="0096366C">
          <w:rPr>
            <w:noProof/>
            <w:webHidden/>
          </w:rPr>
          <w:tab/>
        </w:r>
        <w:r w:rsidR="0096366C">
          <w:rPr>
            <w:noProof/>
            <w:webHidden/>
          </w:rPr>
          <w:fldChar w:fldCharType="begin"/>
        </w:r>
        <w:r w:rsidR="0096366C">
          <w:rPr>
            <w:noProof/>
            <w:webHidden/>
          </w:rPr>
          <w:instrText xml:space="preserve"> PAGEREF _Toc99659291 \h </w:instrText>
        </w:r>
        <w:r w:rsidR="0096366C">
          <w:rPr>
            <w:noProof/>
            <w:webHidden/>
          </w:rPr>
        </w:r>
        <w:r w:rsidR="0096366C">
          <w:rPr>
            <w:noProof/>
            <w:webHidden/>
          </w:rPr>
          <w:fldChar w:fldCharType="separate"/>
        </w:r>
        <w:r w:rsidR="009D338D">
          <w:rPr>
            <w:noProof/>
            <w:webHidden/>
          </w:rPr>
          <w:t>266</w:t>
        </w:r>
        <w:r w:rsidR="0096366C">
          <w:rPr>
            <w:noProof/>
            <w:webHidden/>
          </w:rPr>
          <w:fldChar w:fldCharType="end"/>
        </w:r>
      </w:hyperlink>
    </w:p>
    <w:p w14:paraId="45E4C5A4" w14:textId="6C7C02E5" w:rsidR="0096366C" w:rsidRPr="00B04620" w:rsidRDefault="004B48CC">
      <w:pPr>
        <w:pStyle w:val="TableofFigures"/>
        <w:rPr>
          <w:noProof/>
          <w:sz w:val="22"/>
        </w:rPr>
      </w:pPr>
      <w:hyperlink w:anchor="_Toc99659292" w:history="1">
        <w:r w:rsidR="0096366C" w:rsidRPr="00BE1CA1">
          <w:rPr>
            <w:rStyle w:val="Hyperlink"/>
            <w:noProof/>
          </w:rPr>
          <w:t>Table 6.4.3</w:t>
        </w:r>
        <w:r w:rsidR="0096366C" w:rsidRPr="00B04620">
          <w:rPr>
            <w:noProof/>
            <w:sz w:val="22"/>
          </w:rPr>
          <w:tab/>
        </w:r>
        <w:r w:rsidR="0096366C" w:rsidRPr="00BE1CA1">
          <w:rPr>
            <w:rStyle w:val="Hyperlink"/>
            <w:noProof/>
          </w:rPr>
          <w:t xml:space="preserve">New Zealand’s land-use change by </w:t>
        </w:r>
        <w:r w:rsidR="0096366C" w:rsidRPr="00BE1CA1">
          <w:rPr>
            <w:rStyle w:val="Hyperlink"/>
            <w:i/>
            <w:noProof/>
          </w:rPr>
          <w:t>Cropland</w:t>
        </w:r>
        <w:r w:rsidR="0096366C" w:rsidRPr="00BE1CA1">
          <w:rPr>
            <w:rStyle w:val="Hyperlink"/>
            <w:noProof/>
          </w:rPr>
          <w:t xml:space="preserve"> land use, and associated CO</w:t>
        </w:r>
        <w:r w:rsidR="0096366C" w:rsidRPr="00BE1CA1">
          <w:rPr>
            <w:rStyle w:val="Hyperlink"/>
            <w:noProof/>
            <w:vertAlign w:val="subscript"/>
          </w:rPr>
          <w:t>2</w:t>
        </w:r>
        <w:r w:rsidR="0096366C" w:rsidRPr="00BE1CA1">
          <w:rPr>
            <w:rStyle w:val="Hyperlink"/>
            <w:noProof/>
          </w:rPr>
          <w:t xml:space="preserve"> emissions from carbon stock change, from 1990 to 2020</w:t>
        </w:r>
        <w:r w:rsidR="0096366C">
          <w:rPr>
            <w:noProof/>
            <w:webHidden/>
          </w:rPr>
          <w:tab/>
        </w:r>
        <w:r w:rsidR="0096366C">
          <w:rPr>
            <w:noProof/>
            <w:webHidden/>
          </w:rPr>
          <w:fldChar w:fldCharType="begin"/>
        </w:r>
        <w:r w:rsidR="0096366C">
          <w:rPr>
            <w:noProof/>
            <w:webHidden/>
          </w:rPr>
          <w:instrText xml:space="preserve"> PAGEREF _Toc99659292 \h </w:instrText>
        </w:r>
        <w:r w:rsidR="0096366C">
          <w:rPr>
            <w:noProof/>
            <w:webHidden/>
          </w:rPr>
        </w:r>
        <w:r w:rsidR="0096366C">
          <w:rPr>
            <w:noProof/>
            <w:webHidden/>
          </w:rPr>
          <w:fldChar w:fldCharType="separate"/>
        </w:r>
        <w:r w:rsidR="009D338D">
          <w:rPr>
            <w:noProof/>
            <w:webHidden/>
          </w:rPr>
          <w:t>267</w:t>
        </w:r>
        <w:r w:rsidR="0096366C">
          <w:rPr>
            <w:noProof/>
            <w:webHidden/>
          </w:rPr>
          <w:fldChar w:fldCharType="end"/>
        </w:r>
      </w:hyperlink>
    </w:p>
    <w:p w14:paraId="747EF7F8" w14:textId="365E5F27" w:rsidR="0096366C" w:rsidRPr="00B04620" w:rsidRDefault="004B48CC">
      <w:pPr>
        <w:pStyle w:val="TableofFigures"/>
        <w:rPr>
          <w:noProof/>
          <w:sz w:val="22"/>
        </w:rPr>
      </w:pPr>
      <w:hyperlink w:anchor="_Toc99659293" w:history="1">
        <w:r w:rsidR="0096366C" w:rsidRPr="00BE1CA1">
          <w:rPr>
            <w:rStyle w:val="Hyperlink"/>
            <w:noProof/>
          </w:rPr>
          <w:t>Table 6.4.4</w:t>
        </w:r>
        <w:r w:rsidR="0096366C" w:rsidRPr="00B04620">
          <w:rPr>
            <w:noProof/>
            <w:sz w:val="22"/>
          </w:rPr>
          <w:tab/>
        </w:r>
        <w:r w:rsidR="0096366C" w:rsidRPr="00BE1CA1">
          <w:rPr>
            <w:rStyle w:val="Hyperlink"/>
            <w:noProof/>
          </w:rPr>
          <w:t xml:space="preserve">New Zealand’s land-use change for the </w:t>
        </w:r>
        <w:r w:rsidR="0096366C" w:rsidRPr="00BE1CA1">
          <w:rPr>
            <w:rStyle w:val="Hyperlink"/>
            <w:i/>
            <w:noProof/>
          </w:rPr>
          <w:t>Cropland</w:t>
        </w:r>
        <w:r w:rsidR="0096366C" w:rsidRPr="00BE1CA1">
          <w:rPr>
            <w:rStyle w:val="Hyperlink"/>
            <w:noProof/>
          </w:rPr>
          <w:t xml:space="preserve"> category from 1990 to 2020</w:t>
        </w:r>
        <w:r w:rsidR="0096366C">
          <w:rPr>
            <w:noProof/>
            <w:webHidden/>
          </w:rPr>
          <w:tab/>
        </w:r>
        <w:r w:rsidR="0096366C">
          <w:rPr>
            <w:noProof/>
            <w:webHidden/>
          </w:rPr>
          <w:fldChar w:fldCharType="begin"/>
        </w:r>
        <w:r w:rsidR="0096366C">
          <w:rPr>
            <w:noProof/>
            <w:webHidden/>
          </w:rPr>
          <w:instrText xml:space="preserve"> PAGEREF _Toc99659293 \h </w:instrText>
        </w:r>
        <w:r w:rsidR="0096366C">
          <w:rPr>
            <w:noProof/>
            <w:webHidden/>
          </w:rPr>
        </w:r>
        <w:r w:rsidR="0096366C">
          <w:rPr>
            <w:noProof/>
            <w:webHidden/>
          </w:rPr>
          <w:fldChar w:fldCharType="separate"/>
        </w:r>
        <w:r w:rsidR="009D338D">
          <w:rPr>
            <w:noProof/>
            <w:webHidden/>
          </w:rPr>
          <w:t>267</w:t>
        </w:r>
        <w:r w:rsidR="0096366C">
          <w:rPr>
            <w:noProof/>
            <w:webHidden/>
          </w:rPr>
          <w:fldChar w:fldCharType="end"/>
        </w:r>
      </w:hyperlink>
    </w:p>
    <w:p w14:paraId="45FBEBAA" w14:textId="7182C1CC" w:rsidR="0096366C" w:rsidRPr="00B04620" w:rsidRDefault="004B48CC">
      <w:pPr>
        <w:pStyle w:val="TableofFigures"/>
        <w:rPr>
          <w:noProof/>
          <w:sz w:val="22"/>
        </w:rPr>
      </w:pPr>
      <w:hyperlink w:anchor="_Toc99659294" w:history="1">
        <w:r w:rsidR="0096366C" w:rsidRPr="00BE1CA1">
          <w:rPr>
            <w:rStyle w:val="Hyperlink"/>
            <w:noProof/>
          </w:rPr>
          <w:t>Table 6.4.5</w:t>
        </w:r>
        <w:r w:rsidR="0096366C" w:rsidRPr="00B04620">
          <w:rPr>
            <w:noProof/>
            <w:sz w:val="22"/>
          </w:rPr>
          <w:tab/>
        </w:r>
        <w:r w:rsidR="0096366C" w:rsidRPr="00BE1CA1">
          <w:rPr>
            <w:rStyle w:val="Hyperlink"/>
            <w:noProof/>
          </w:rPr>
          <w:t>Summary of New Zealand’s carbon stock change emission factors for the </w:t>
        </w:r>
        <w:r w:rsidR="0096366C" w:rsidRPr="00BE1CA1">
          <w:rPr>
            <w:rStyle w:val="Hyperlink"/>
            <w:i/>
            <w:noProof/>
          </w:rPr>
          <w:t>Cropland</w:t>
        </w:r>
        <w:r w:rsidR="0096366C" w:rsidRPr="00BE1CA1">
          <w:rPr>
            <w:rStyle w:val="Hyperlink"/>
            <w:noProof/>
          </w:rPr>
          <w:t xml:space="preserve"> category</w:t>
        </w:r>
        <w:r w:rsidR="0096366C">
          <w:rPr>
            <w:noProof/>
            <w:webHidden/>
          </w:rPr>
          <w:tab/>
        </w:r>
        <w:r w:rsidR="0096366C">
          <w:rPr>
            <w:noProof/>
            <w:webHidden/>
          </w:rPr>
          <w:fldChar w:fldCharType="begin"/>
        </w:r>
        <w:r w:rsidR="0096366C">
          <w:rPr>
            <w:noProof/>
            <w:webHidden/>
          </w:rPr>
          <w:instrText xml:space="preserve"> PAGEREF _Toc99659294 \h </w:instrText>
        </w:r>
        <w:r w:rsidR="0096366C">
          <w:rPr>
            <w:noProof/>
            <w:webHidden/>
          </w:rPr>
        </w:r>
        <w:r w:rsidR="0096366C">
          <w:rPr>
            <w:noProof/>
            <w:webHidden/>
          </w:rPr>
          <w:fldChar w:fldCharType="separate"/>
        </w:r>
        <w:r w:rsidR="009D338D">
          <w:rPr>
            <w:noProof/>
            <w:webHidden/>
          </w:rPr>
          <w:t>268</w:t>
        </w:r>
        <w:r w:rsidR="0096366C">
          <w:rPr>
            <w:noProof/>
            <w:webHidden/>
          </w:rPr>
          <w:fldChar w:fldCharType="end"/>
        </w:r>
      </w:hyperlink>
    </w:p>
    <w:p w14:paraId="6C8CBB49" w14:textId="163B7EC8" w:rsidR="0096366C" w:rsidRPr="00B04620" w:rsidRDefault="004B48CC">
      <w:pPr>
        <w:pStyle w:val="TableofFigures"/>
        <w:rPr>
          <w:noProof/>
          <w:sz w:val="22"/>
        </w:rPr>
      </w:pPr>
      <w:hyperlink w:anchor="_Toc99659295" w:history="1">
        <w:r w:rsidR="0096366C" w:rsidRPr="00BE1CA1">
          <w:rPr>
            <w:rStyle w:val="Hyperlink"/>
            <w:noProof/>
          </w:rPr>
          <w:t>Table 6.4.6</w:t>
        </w:r>
        <w:r w:rsidR="0096366C" w:rsidRPr="00B04620">
          <w:rPr>
            <w:noProof/>
            <w:sz w:val="22"/>
          </w:rPr>
          <w:tab/>
        </w:r>
        <w:r w:rsidR="0096366C" w:rsidRPr="00BE1CA1">
          <w:rPr>
            <w:rStyle w:val="Hyperlink"/>
            <w:noProof/>
          </w:rPr>
          <w:t xml:space="preserve">Uncertainty in net carbon stock change emissions in 2020 for </w:t>
        </w:r>
        <w:r w:rsidR="0096366C" w:rsidRPr="00BE1CA1">
          <w:rPr>
            <w:rStyle w:val="Hyperlink"/>
            <w:bCs/>
            <w:noProof/>
          </w:rPr>
          <w:t xml:space="preserve">the </w:t>
        </w:r>
        <w:r w:rsidR="0096366C" w:rsidRPr="00BE1CA1">
          <w:rPr>
            <w:rStyle w:val="Hyperlink"/>
            <w:i/>
            <w:noProof/>
          </w:rPr>
          <w:t>Cropland</w:t>
        </w:r>
        <w:r w:rsidR="0096366C" w:rsidRPr="00BE1CA1">
          <w:rPr>
            <w:rStyle w:val="Hyperlink"/>
            <w:noProof/>
          </w:rPr>
          <w:t xml:space="preserve"> </w:t>
        </w:r>
        <w:r w:rsidR="0096366C" w:rsidRPr="00BE1CA1">
          <w:rPr>
            <w:rStyle w:val="Hyperlink"/>
            <w:bCs/>
            <w:iCs/>
            <w:noProof/>
          </w:rPr>
          <w:t>category</w:t>
        </w:r>
        <w:r w:rsidR="0096366C">
          <w:rPr>
            <w:noProof/>
            <w:webHidden/>
          </w:rPr>
          <w:tab/>
        </w:r>
        <w:r w:rsidR="0096366C">
          <w:rPr>
            <w:noProof/>
            <w:webHidden/>
          </w:rPr>
          <w:fldChar w:fldCharType="begin"/>
        </w:r>
        <w:r w:rsidR="0096366C">
          <w:rPr>
            <w:noProof/>
            <w:webHidden/>
          </w:rPr>
          <w:instrText xml:space="preserve"> PAGEREF _Toc99659295 \h </w:instrText>
        </w:r>
        <w:r w:rsidR="0096366C">
          <w:rPr>
            <w:noProof/>
            <w:webHidden/>
          </w:rPr>
        </w:r>
        <w:r w:rsidR="0096366C">
          <w:rPr>
            <w:noProof/>
            <w:webHidden/>
          </w:rPr>
          <w:fldChar w:fldCharType="separate"/>
        </w:r>
        <w:r w:rsidR="009D338D">
          <w:rPr>
            <w:noProof/>
            <w:webHidden/>
          </w:rPr>
          <w:t>270</w:t>
        </w:r>
        <w:r w:rsidR="0096366C">
          <w:rPr>
            <w:noProof/>
            <w:webHidden/>
          </w:rPr>
          <w:fldChar w:fldCharType="end"/>
        </w:r>
      </w:hyperlink>
    </w:p>
    <w:p w14:paraId="6DF9DA40" w14:textId="332C64A2" w:rsidR="0096366C" w:rsidRPr="00B04620" w:rsidRDefault="004B48CC">
      <w:pPr>
        <w:pStyle w:val="TableofFigures"/>
        <w:rPr>
          <w:noProof/>
          <w:sz w:val="22"/>
        </w:rPr>
      </w:pPr>
      <w:hyperlink w:anchor="_Toc99659296" w:history="1">
        <w:r w:rsidR="0096366C" w:rsidRPr="00BE1CA1">
          <w:rPr>
            <w:rStyle w:val="Hyperlink"/>
            <w:noProof/>
          </w:rPr>
          <w:t>Table 6.4.7</w:t>
        </w:r>
        <w:r w:rsidR="0096366C" w:rsidRPr="00B04620">
          <w:rPr>
            <w:noProof/>
            <w:sz w:val="22"/>
          </w:rPr>
          <w:tab/>
        </w:r>
        <w:r w:rsidR="0096366C" w:rsidRPr="00BE1CA1">
          <w:rPr>
            <w:rStyle w:val="Hyperlink"/>
            <w:noProof/>
          </w:rPr>
          <w:t xml:space="preserve">Recalculations of New Zealand’s net emissions from the </w:t>
        </w:r>
        <w:r w:rsidR="0096366C" w:rsidRPr="00BE1CA1">
          <w:rPr>
            <w:rStyle w:val="Hyperlink"/>
            <w:i/>
            <w:noProof/>
          </w:rPr>
          <w:t>Cropland</w:t>
        </w:r>
        <w:r w:rsidR="0096366C" w:rsidRPr="00BE1CA1">
          <w:rPr>
            <w:rStyle w:val="Hyperlink"/>
            <w:noProof/>
          </w:rPr>
          <w:t xml:space="preserve"> category in 1990 and 2019</w:t>
        </w:r>
        <w:r w:rsidR="0096366C">
          <w:rPr>
            <w:noProof/>
            <w:webHidden/>
          </w:rPr>
          <w:tab/>
        </w:r>
        <w:r w:rsidR="0096366C">
          <w:rPr>
            <w:noProof/>
            <w:webHidden/>
          </w:rPr>
          <w:fldChar w:fldCharType="begin"/>
        </w:r>
        <w:r w:rsidR="0096366C">
          <w:rPr>
            <w:noProof/>
            <w:webHidden/>
          </w:rPr>
          <w:instrText xml:space="preserve"> PAGEREF _Toc99659296 \h </w:instrText>
        </w:r>
        <w:r w:rsidR="0096366C">
          <w:rPr>
            <w:noProof/>
            <w:webHidden/>
          </w:rPr>
        </w:r>
        <w:r w:rsidR="0096366C">
          <w:rPr>
            <w:noProof/>
            <w:webHidden/>
          </w:rPr>
          <w:fldChar w:fldCharType="separate"/>
        </w:r>
        <w:r w:rsidR="009D338D">
          <w:rPr>
            <w:noProof/>
            <w:webHidden/>
          </w:rPr>
          <w:t>271</w:t>
        </w:r>
        <w:r w:rsidR="0096366C">
          <w:rPr>
            <w:noProof/>
            <w:webHidden/>
          </w:rPr>
          <w:fldChar w:fldCharType="end"/>
        </w:r>
      </w:hyperlink>
    </w:p>
    <w:p w14:paraId="2536B779" w14:textId="0B404E66" w:rsidR="0096366C" w:rsidRPr="00B04620" w:rsidRDefault="004B48CC">
      <w:pPr>
        <w:pStyle w:val="TableofFigures"/>
        <w:rPr>
          <w:noProof/>
          <w:sz w:val="22"/>
        </w:rPr>
      </w:pPr>
      <w:hyperlink w:anchor="_Toc99659297" w:history="1">
        <w:r w:rsidR="0096366C" w:rsidRPr="00BE1CA1">
          <w:rPr>
            <w:rStyle w:val="Hyperlink"/>
            <w:noProof/>
          </w:rPr>
          <w:t>Table 6.5.1</w:t>
        </w:r>
        <w:r w:rsidR="0096366C" w:rsidRPr="00B04620">
          <w:rPr>
            <w:noProof/>
            <w:sz w:val="22"/>
          </w:rPr>
          <w:tab/>
        </w:r>
        <w:r w:rsidR="0096366C" w:rsidRPr="00BE1CA1">
          <w:rPr>
            <w:rStyle w:val="Hyperlink"/>
            <w:noProof/>
          </w:rPr>
          <w:t xml:space="preserve">New Zealand’s land-use change for the </w:t>
        </w:r>
        <w:r w:rsidR="0096366C" w:rsidRPr="00BE1CA1">
          <w:rPr>
            <w:rStyle w:val="Hyperlink"/>
            <w:i/>
            <w:noProof/>
          </w:rPr>
          <w:t>Grassland</w:t>
        </w:r>
        <w:r w:rsidR="0096366C" w:rsidRPr="00BE1CA1">
          <w:rPr>
            <w:rStyle w:val="Hyperlink"/>
            <w:noProof/>
          </w:rPr>
          <w:t xml:space="preserve"> category, and associated CO</w:t>
        </w:r>
        <w:r w:rsidR="0096366C" w:rsidRPr="00BE1CA1">
          <w:rPr>
            <w:rStyle w:val="Hyperlink"/>
            <w:noProof/>
            <w:vertAlign w:val="subscript"/>
          </w:rPr>
          <w:t>2</w:t>
        </w:r>
        <w:r w:rsidR="0096366C" w:rsidRPr="00BE1CA1">
          <w:rPr>
            <w:rStyle w:val="Hyperlink"/>
            <w:noProof/>
          </w:rPr>
          <w:noBreakHyphen/>
          <w:t>e emissions, from 1990 to 2020</w:t>
        </w:r>
        <w:r w:rsidR="0096366C">
          <w:rPr>
            <w:noProof/>
            <w:webHidden/>
          </w:rPr>
          <w:tab/>
        </w:r>
        <w:r w:rsidR="0096366C">
          <w:rPr>
            <w:noProof/>
            <w:webHidden/>
          </w:rPr>
          <w:fldChar w:fldCharType="begin"/>
        </w:r>
        <w:r w:rsidR="0096366C">
          <w:rPr>
            <w:noProof/>
            <w:webHidden/>
          </w:rPr>
          <w:instrText xml:space="preserve"> PAGEREF _Toc99659297 \h </w:instrText>
        </w:r>
        <w:r w:rsidR="0096366C">
          <w:rPr>
            <w:noProof/>
            <w:webHidden/>
          </w:rPr>
        </w:r>
        <w:r w:rsidR="0096366C">
          <w:rPr>
            <w:noProof/>
            <w:webHidden/>
          </w:rPr>
          <w:fldChar w:fldCharType="separate"/>
        </w:r>
        <w:r w:rsidR="009D338D">
          <w:rPr>
            <w:noProof/>
            <w:webHidden/>
          </w:rPr>
          <w:t>272</w:t>
        </w:r>
        <w:r w:rsidR="0096366C">
          <w:rPr>
            <w:noProof/>
            <w:webHidden/>
          </w:rPr>
          <w:fldChar w:fldCharType="end"/>
        </w:r>
      </w:hyperlink>
    </w:p>
    <w:p w14:paraId="3F2957ED" w14:textId="1B1AB05A" w:rsidR="0096366C" w:rsidRPr="00B04620" w:rsidRDefault="004B48CC">
      <w:pPr>
        <w:pStyle w:val="TableofFigures"/>
        <w:rPr>
          <w:noProof/>
          <w:sz w:val="22"/>
        </w:rPr>
      </w:pPr>
      <w:hyperlink w:anchor="_Toc99659298" w:history="1">
        <w:r w:rsidR="0096366C" w:rsidRPr="00BE1CA1">
          <w:rPr>
            <w:rStyle w:val="Hyperlink"/>
            <w:noProof/>
          </w:rPr>
          <w:t>Table 6.5.2</w:t>
        </w:r>
        <w:r w:rsidR="0096366C" w:rsidRPr="00B04620">
          <w:rPr>
            <w:noProof/>
            <w:sz w:val="22"/>
          </w:rPr>
          <w:tab/>
        </w:r>
        <w:r w:rsidR="0096366C" w:rsidRPr="00BE1CA1">
          <w:rPr>
            <w:rStyle w:val="Hyperlink"/>
            <w:noProof/>
          </w:rPr>
          <w:t>Grassland with woody biomass sub-classification and description</w:t>
        </w:r>
        <w:r w:rsidR="0096366C">
          <w:rPr>
            <w:noProof/>
            <w:webHidden/>
          </w:rPr>
          <w:tab/>
        </w:r>
        <w:r w:rsidR="0096366C">
          <w:rPr>
            <w:noProof/>
            <w:webHidden/>
          </w:rPr>
          <w:fldChar w:fldCharType="begin"/>
        </w:r>
        <w:r w:rsidR="0096366C">
          <w:rPr>
            <w:noProof/>
            <w:webHidden/>
          </w:rPr>
          <w:instrText xml:space="preserve"> PAGEREF _Toc99659298 \h </w:instrText>
        </w:r>
        <w:r w:rsidR="0096366C">
          <w:rPr>
            <w:noProof/>
            <w:webHidden/>
          </w:rPr>
        </w:r>
        <w:r w:rsidR="0096366C">
          <w:rPr>
            <w:noProof/>
            <w:webHidden/>
          </w:rPr>
          <w:fldChar w:fldCharType="separate"/>
        </w:r>
        <w:r w:rsidR="009D338D">
          <w:rPr>
            <w:noProof/>
            <w:webHidden/>
          </w:rPr>
          <w:t>273</w:t>
        </w:r>
        <w:r w:rsidR="0096366C">
          <w:rPr>
            <w:noProof/>
            <w:webHidden/>
          </w:rPr>
          <w:fldChar w:fldCharType="end"/>
        </w:r>
      </w:hyperlink>
    </w:p>
    <w:p w14:paraId="301EF711" w14:textId="22926A0C" w:rsidR="0096366C" w:rsidRPr="00B04620" w:rsidRDefault="004B48CC">
      <w:pPr>
        <w:pStyle w:val="TableofFigures"/>
        <w:rPr>
          <w:noProof/>
          <w:sz w:val="22"/>
        </w:rPr>
      </w:pPr>
      <w:hyperlink w:anchor="_Toc99659299" w:history="1">
        <w:r w:rsidR="0096366C" w:rsidRPr="00BE1CA1">
          <w:rPr>
            <w:rStyle w:val="Hyperlink"/>
            <w:noProof/>
          </w:rPr>
          <w:t>Table 6.5.3</w:t>
        </w:r>
        <w:r w:rsidR="0096366C" w:rsidRPr="00B04620">
          <w:rPr>
            <w:noProof/>
            <w:sz w:val="22"/>
          </w:rPr>
          <w:tab/>
        </w:r>
        <w:r w:rsidR="0096366C" w:rsidRPr="00BE1CA1">
          <w:rPr>
            <w:rStyle w:val="Hyperlink"/>
            <w:noProof/>
          </w:rPr>
          <w:t>New Zealand’s carbon stock change by carbon pool for the</w:t>
        </w:r>
        <w:r w:rsidR="0096366C" w:rsidRPr="00BE1CA1">
          <w:rPr>
            <w:rStyle w:val="Hyperlink"/>
            <w:rFonts w:cs="Arial Bold"/>
            <w:noProof/>
          </w:rPr>
          <w:t xml:space="preserve"> </w:t>
        </w:r>
        <w:r w:rsidR="0096366C" w:rsidRPr="00BE1CA1">
          <w:rPr>
            <w:rStyle w:val="Hyperlink"/>
            <w:rFonts w:cs="Arial Bold"/>
            <w:i/>
            <w:noProof/>
          </w:rPr>
          <w:t>Grassland</w:t>
        </w:r>
        <w:r w:rsidR="0096366C" w:rsidRPr="00BE1CA1">
          <w:rPr>
            <w:rStyle w:val="Hyperlink"/>
            <w:noProof/>
          </w:rPr>
          <w:t xml:space="preserve"> category from 1990 to 2020</w:t>
        </w:r>
        <w:r w:rsidR="0096366C">
          <w:rPr>
            <w:noProof/>
            <w:webHidden/>
          </w:rPr>
          <w:tab/>
        </w:r>
        <w:r w:rsidR="0096366C">
          <w:rPr>
            <w:noProof/>
            <w:webHidden/>
          </w:rPr>
          <w:fldChar w:fldCharType="begin"/>
        </w:r>
        <w:r w:rsidR="0096366C">
          <w:rPr>
            <w:noProof/>
            <w:webHidden/>
          </w:rPr>
          <w:instrText xml:space="preserve"> PAGEREF _Toc99659299 \h </w:instrText>
        </w:r>
        <w:r w:rsidR="0096366C">
          <w:rPr>
            <w:noProof/>
            <w:webHidden/>
          </w:rPr>
        </w:r>
        <w:r w:rsidR="0096366C">
          <w:rPr>
            <w:noProof/>
            <w:webHidden/>
          </w:rPr>
          <w:fldChar w:fldCharType="separate"/>
        </w:r>
        <w:r w:rsidR="009D338D">
          <w:rPr>
            <w:noProof/>
            <w:webHidden/>
          </w:rPr>
          <w:t>273</w:t>
        </w:r>
        <w:r w:rsidR="0096366C">
          <w:rPr>
            <w:noProof/>
            <w:webHidden/>
          </w:rPr>
          <w:fldChar w:fldCharType="end"/>
        </w:r>
      </w:hyperlink>
    </w:p>
    <w:p w14:paraId="2EF90418" w14:textId="6B4B4BD9" w:rsidR="0096366C" w:rsidRPr="00B04620" w:rsidRDefault="004B48CC">
      <w:pPr>
        <w:pStyle w:val="TableofFigures"/>
        <w:rPr>
          <w:noProof/>
          <w:sz w:val="22"/>
        </w:rPr>
      </w:pPr>
      <w:hyperlink w:anchor="_Toc99659300" w:history="1">
        <w:r w:rsidR="0096366C" w:rsidRPr="00BE1CA1">
          <w:rPr>
            <w:rStyle w:val="Hyperlink"/>
            <w:noProof/>
          </w:rPr>
          <w:t>Table 6.5.4</w:t>
        </w:r>
        <w:r w:rsidR="0096366C" w:rsidRPr="00B04620">
          <w:rPr>
            <w:noProof/>
            <w:sz w:val="22"/>
          </w:rPr>
          <w:tab/>
        </w:r>
        <w:r w:rsidR="0096366C" w:rsidRPr="00BE1CA1">
          <w:rPr>
            <w:rStyle w:val="Hyperlink"/>
            <w:noProof/>
          </w:rPr>
          <w:t xml:space="preserve">Summary of New Zealand’s biomass emission factors for </w:t>
        </w:r>
        <w:r w:rsidR="0096366C" w:rsidRPr="00BE1CA1">
          <w:rPr>
            <w:rStyle w:val="Hyperlink"/>
            <w:i/>
            <w:noProof/>
          </w:rPr>
          <w:t>Grassland</w:t>
        </w:r>
        <w:r w:rsidR="0096366C">
          <w:rPr>
            <w:noProof/>
            <w:webHidden/>
          </w:rPr>
          <w:tab/>
        </w:r>
        <w:r w:rsidR="0096366C">
          <w:rPr>
            <w:noProof/>
            <w:webHidden/>
          </w:rPr>
          <w:fldChar w:fldCharType="begin"/>
        </w:r>
        <w:r w:rsidR="0096366C">
          <w:rPr>
            <w:noProof/>
            <w:webHidden/>
          </w:rPr>
          <w:instrText xml:space="preserve"> PAGEREF _Toc99659300 \h </w:instrText>
        </w:r>
        <w:r w:rsidR="0096366C">
          <w:rPr>
            <w:noProof/>
            <w:webHidden/>
          </w:rPr>
        </w:r>
        <w:r w:rsidR="0096366C">
          <w:rPr>
            <w:noProof/>
            <w:webHidden/>
          </w:rPr>
          <w:fldChar w:fldCharType="separate"/>
        </w:r>
        <w:r w:rsidR="009D338D">
          <w:rPr>
            <w:noProof/>
            <w:webHidden/>
          </w:rPr>
          <w:t>274</w:t>
        </w:r>
        <w:r w:rsidR="0096366C">
          <w:rPr>
            <w:noProof/>
            <w:webHidden/>
          </w:rPr>
          <w:fldChar w:fldCharType="end"/>
        </w:r>
      </w:hyperlink>
    </w:p>
    <w:p w14:paraId="221EDA0C" w14:textId="054B4506" w:rsidR="0096366C" w:rsidRPr="00B04620" w:rsidRDefault="004B48CC">
      <w:pPr>
        <w:pStyle w:val="TableofFigures"/>
        <w:rPr>
          <w:noProof/>
          <w:sz w:val="22"/>
        </w:rPr>
      </w:pPr>
      <w:hyperlink w:anchor="_Toc99659301" w:history="1">
        <w:r w:rsidR="0096366C" w:rsidRPr="00BE1CA1">
          <w:rPr>
            <w:rStyle w:val="Hyperlink"/>
            <w:noProof/>
          </w:rPr>
          <w:t>Table 6.5.5</w:t>
        </w:r>
        <w:r w:rsidR="0096366C" w:rsidRPr="00B04620">
          <w:rPr>
            <w:noProof/>
            <w:sz w:val="22"/>
          </w:rPr>
          <w:tab/>
        </w:r>
        <w:r w:rsidR="0096366C" w:rsidRPr="00BE1CA1">
          <w:rPr>
            <w:rStyle w:val="Hyperlink"/>
            <w:noProof/>
          </w:rPr>
          <w:t xml:space="preserve">Uncertainty in carbon stock change emissions in 2020 for </w:t>
        </w:r>
        <w:r w:rsidR="0096366C" w:rsidRPr="00BE1CA1">
          <w:rPr>
            <w:rStyle w:val="Hyperlink"/>
            <w:i/>
            <w:noProof/>
          </w:rPr>
          <w:t>Grassland</w:t>
        </w:r>
        <w:r w:rsidR="0096366C">
          <w:rPr>
            <w:noProof/>
            <w:webHidden/>
          </w:rPr>
          <w:tab/>
        </w:r>
        <w:r w:rsidR="0096366C">
          <w:rPr>
            <w:noProof/>
            <w:webHidden/>
          </w:rPr>
          <w:fldChar w:fldCharType="begin"/>
        </w:r>
        <w:r w:rsidR="0096366C">
          <w:rPr>
            <w:noProof/>
            <w:webHidden/>
          </w:rPr>
          <w:instrText xml:space="preserve"> PAGEREF _Toc99659301 \h </w:instrText>
        </w:r>
        <w:r w:rsidR="0096366C">
          <w:rPr>
            <w:noProof/>
            <w:webHidden/>
          </w:rPr>
        </w:r>
        <w:r w:rsidR="0096366C">
          <w:rPr>
            <w:noProof/>
            <w:webHidden/>
          </w:rPr>
          <w:fldChar w:fldCharType="separate"/>
        </w:r>
        <w:r w:rsidR="009D338D">
          <w:rPr>
            <w:noProof/>
            <w:webHidden/>
          </w:rPr>
          <w:t>276</w:t>
        </w:r>
        <w:r w:rsidR="0096366C">
          <w:rPr>
            <w:noProof/>
            <w:webHidden/>
          </w:rPr>
          <w:fldChar w:fldCharType="end"/>
        </w:r>
      </w:hyperlink>
    </w:p>
    <w:p w14:paraId="149FC339" w14:textId="290D5E3F" w:rsidR="0096366C" w:rsidRPr="00B04620" w:rsidRDefault="004B48CC">
      <w:pPr>
        <w:pStyle w:val="TableofFigures"/>
        <w:rPr>
          <w:noProof/>
          <w:sz w:val="22"/>
        </w:rPr>
      </w:pPr>
      <w:hyperlink w:anchor="_Toc99659302" w:history="1">
        <w:r w:rsidR="0096366C" w:rsidRPr="00BE1CA1">
          <w:rPr>
            <w:rStyle w:val="Hyperlink"/>
            <w:noProof/>
          </w:rPr>
          <w:t>Table 6.5.6</w:t>
        </w:r>
        <w:r w:rsidR="0096366C" w:rsidRPr="00B04620">
          <w:rPr>
            <w:noProof/>
            <w:sz w:val="22"/>
          </w:rPr>
          <w:tab/>
        </w:r>
        <w:r w:rsidR="0096366C" w:rsidRPr="00BE1CA1">
          <w:rPr>
            <w:rStyle w:val="Hyperlink"/>
            <w:noProof/>
          </w:rPr>
          <w:t xml:space="preserve">Recalculations of New Zealand’s net emissions from the </w:t>
        </w:r>
        <w:r w:rsidR="0096366C" w:rsidRPr="00BE1CA1">
          <w:rPr>
            <w:rStyle w:val="Hyperlink"/>
            <w:i/>
            <w:noProof/>
          </w:rPr>
          <w:t>Grassland</w:t>
        </w:r>
        <w:r w:rsidR="0096366C" w:rsidRPr="00BE1CA1">
          <w:rPr>
            <w:rStyle w:val="Hyperlink"/>
            <w:noProof/>
          </w:rPr>
          <w:t xml:space="preserve"> category in 1990 and 2019</w:t>
        </w:r>
        <w:r w:rsidR="0096366C">
          <w:rPr>
            <w:noProof/>
            <w:webHidden/>
          </w:rPr>
          <w:tab/>
        </w:r>
        <w:r w:rsidR="0096366C">
          <w:rPr>
            <w:noProof/>
            <w:webHidden/>
          </w:rPr>
          <w:fldChar w:fldCharType="begin"/>
        </w:r>
        <w:r w:rsidR="0096366C">
          <w:rPr>
            <w:noProof/>
            <w:webHidden/>
          </w:rPr>
          <w:instrText xml:space="preserve"> PAGEREF _Toc99659302 \h </w:instrText>
        </w:r>
        <w:r w:rsidR="0096366C">
          <w:rPr>
            <w:noProof/>
            <w:webHidden/>
          </w:rPr>
        </w:r>
        <w:r w:rsidR="0096366C">
          <w:rPr>
            <w:noProof/>
            <w:webHidden/>
          </w:rPr>
          <w:fldChar w:fldCharType="separate"/>
        </w:r>
        <w:r w:rsidR="009D338D">
          <w:rPr>
            <w:noProof/>
            <w:webHidden/>
          </w:rPr>
          <w:t>277</w:t>
        </w:r>
        <w:r w:rsidR="0096366C">
          <w:rPr>
            <w:noProof/>
            <w:webHidden/>
          </w:rPr>
          <w:fldChar w:fldCharType="end"/>
        </w:r>
      </w:hyperlink>
    </w:p>
    <w:p w14:paraId="50111269" w14:textId="7CD4C4BB" w:rsidR="0096366C" w:rsidRPr="00B04620" w:rsidRDefault="004B48CC">
      <w:pPr>
        <w:pStyle w:val="TableofFigures"/>
        <w:rPr>
          <w:noProof/>
          <w:sz w:val="22"/>
        </w:rPr>
      </w:pPr>
      <w:hyperlink w:anchor="_Toc99659303" w:history="1">
        <w:r w:rsidR="0096366C" w:rsidRPr="00BE1CA1">
          <w:rPr>
            <w:rStyle w:val="Hyperlink"/>
            <w:noProof/>
          </w:rPr>
          <w:t>Table 6.6.1</w:t>
        </w:r>
        <w:r w:rsidR="0096366C" w:rsidRPr="00B04620">
          <w:rPr>
            <w:noProof/>
            <w:sz w:val="22"/>
          </w:rPr>
          <w:tab/>
        </w:r>
        <w:r w:rsidR="0096366C" w:rsidRPr="00BE1CA1">
          <w:rPr>
            <w:rStyle w:val="Hyperlink"/>
            <w:noProof/>
          </w:rPr>
          <w:t xml:space="preserve">New Zealand’s land-use change for the </w:t>
        </w:r>
        <w:r w:rsidR="0096366C" w:rsidRPr="00BE1CA1">
          <w:rPr>
            <w:rStyle w:val="Hyperlink"/>
            <w:i/>
            <w:noProof/>
          </w:rPr>
          <w:t>Wetlands</w:t>
        </w:r>
        <w:r w:rsidR="0096366C" w:rsidRPr="00BE1CA1">
          <w:rPr>
            <w:rStyle w:val="Hyperlink"/>
            <w:noProof/>
          </w:rPr>
          <w:t xml:space="preserve"> category, and associated CO</w:t>
        </w:r>
        <w:r w:rsidR="0096366C" w:rsidRPr="00BE1CA1">
          <w:rPr>
            <w:rStyle w:val="Hyperlink"/>
            <w:noProof/>
            <w:vertAlign w:val="subscript"/>
          </w:rPr>
          <w:t>2</w:t>
        </w:r>
        <w:r w:rsidR="0096366C" w:rsidRPr="00BE1CA1">
          <w:rPr>
            <w:rStyle w:val="Hyperlink"/>
            <w:noProof/>
          </w:rPr>
          <w:noBreakHyphen/>
          <w:t>e emissions, in 1990 and 2020</w:t>
        </w:r>
        <w:r w:rsidR="0096366C">
          <w:rPr>
            <w:noProof/>
            <w:webHidden/>
          </w:rPr>
          <w:tab/>
        </w:r>
        <w:r w:rsidR="0096366C">
          <w:rPr>
            <w:noProof/>
            <w:webHidden/>
          </w:rPr>
          <w:fldChar w:fldCharType="begin"/>
        </w:r>
        <w:r w:rsidR="0096366C">
          <w:rPr>
            <w:noProof/>
            <w:webHidden/>
          </w:rPr>
          <w:instrText xml:space="preserve"> PAGEREF _Toc99659303 \h </w:instrText>
        </w:r>
        <w:r w:rsidR="0096366C">
          <w:rPr>
            <w:noProof/>
            <w:webHidden/>
          </w:rPr>
        </w:r>
        <w:r w:rsidR="0096366C">
          <w:rPr>
            <w:noProof/>
            <w:webHidden/>
          </w:rPr>
          <w:fldChar w:fldCharType="separate"/>
        </w:r>
        <w:r w:rsidR="009D338D">
          <w:rPr>
            <w:noProof/>
            <w:webHidden/>
          </w:rPr>
          <w:t>278</w:t>
        </w:r>
        <w:r w:rsidR="0096366C">
          <w:rPr>
            <w:noProof/>
            <w:webHidden/>
          </w:rPr>
          <w:fldChar w:fldCharType="end"/>
        </w:r>
      </w:hyperlink>
    </w:p>
    <w:p w14:paraId="39FC2288" w14:textId="62FB554C" w:rsidR="0096366C" w:rsidRPr="00B04620" w:rsidRDefault="004B48CC">
      <w:pPr>
        <w:pStyle w:val="TableofFigures"/>
        <w:rPr>
          <w:noProof/>
          <w:sz w:val="22"/>
        </w:rPr>
      </w:pPr>
      <w:hyperlink w:anchor="_Toc99659304" w:history="1">
        <w:r w:rsidR="0096366C" w:rsidRPr="00BE1CA1">
          <w:rPr>
            <w:rStyle w:val="Hyperlink"/>
            <w:noProof/>
          </w:rPr>
          <w:t>Table 6.6.2</w:t>
        </w:r>
        <w:r w:rsidR="0096366C" w:rsidRPr="00B04620">
          <w:rPr>
            <w:noProof/>
            <w:sz w:val="22"/>
          </w:rPr>
          <w:tab/>
        </w:r>
        <w:r w:rsidR="0096366C" w:rsidRPr="00BE1CA1">
          <w:rPr>
            <w:rStyle w:val="Hyperlink"/>
            <w:noProof/>
          </w:rPr>
          <w:t xml:space="preserve">New Zealand’s carbon stock change by carbon pool for the </w:t>
        </w:r>
        <w:r w:rsidR="0096366C" w:rsidRPr="00BE1CA1">
          <w:rPr>
            <w:rStyle w:val="Hyperlink"/>
            <w:i/>
            <w:noProof/>
          </w:rPr>
          <w:t>Wetlands</w:t>
        </w:r>
        <w:r w:rsidR="0096366C" w:rsidRPr="00BE1CA1">
          <w:rPr>
            <w:rStyle w:val="Hyperlink"/>
            <w:noProof/>
          </w:rPr>
          <w:t xml:space="preserve"> category from 1990 to 2020</w:t>
        </w:r>
        <w:r w:rsidR="0096366C">
          <w:rPr>
            <w:noProof/>
            <w:webHidden/>
          </w:rPr>
          <w:tab/>
        </w:r>
        <w:r w:rsidR="0096366C">
          <w:rPr>
            <w:noProof/>
            <w:webHidden/>
          </w:rPr>
          <w:fldChar w:fldCharType="begin"/>
        </w:r>
        <w:r w:rsidR="0096366C">
          <w:rPr>
            <w:noProof/>
            <w:webHidden/>
          </w:rPr>
          <w:instrText xml:space="preserve"> PAGEREF _Toc99659304 \h </w:instrText>
        </w:r>
        <w:r w:rsidR="0096366C">
          <w:rPr>
            <w:noProof/>
            <w:webHidden/>
          </w:rPr>
        </w:r>
        <w:r w:rsidR="0096366C">
          <w:rPr>
            <w:noProof/>
            <w:webHidden/>
          </w:rPr>
          <w:fldChar w:fldCharType="separate"/>
        </w:r>
        <w:r w:rsidR="009D338D">
          <w:rPr>
            <w:noProof/>
            <w:webHidden/>
          </w:rPr>
          <w:t>278</w:t>
        </w:r>
        <w:r w:rsidR="0096366C">
          <w:rPr>
            <w:noProof/>
            <w:webHidden/>
          </w:rPr>
          <w:fldChar w:fldCharType="end"/>
        </w:r>
      </w:hyperlink>
    </w:p>
    <w:p w14:paraId="18C593D3" w14:textId="3C8C8DE4" w:rsidR="0096366C" w:rsidRPr="00B04620" w:rsidRDefault="004B48CC">
      <w:pPr>
        <w:pStyle w:val="TableofFigures"/>
        <w:rPr>
          <w:noProof/>
          <w:sz w:val="22"/>
        </w:rPr>
      </w:pPr>
      <w:hyperlink w:anchor="_Toc99659305" w:history="1">
        <w:r w:rsidR="0096366C" w:rsidRPr="00BE1CA1">
          <w:rPr>
            <w:rStyle w:val="Hyperlink"/>
            <w:noProof/>
          </w:rPr>
          <w:t>Table 6.6.3</w:t>
        </w:r>
        <w:r w:rsidR="0096366C" w:rsidRPr="00B04620">
          <w:rPr>
            <w:noProof/>
            <w:sz w:val="22"/>
          </w:rPr>
          <w:tab/>
        </w:r>
        <w:r w:rsidR="0096366C" w:rsidRPr="00BE1CA1">
          <w:rPr>
            <w:rStyle w:val="Hyperlink"/>
            <w:noProof/>
          </w:rPr>
          <w:t xml:space="preserve">Uncertainty in carbon stock change emissions in 2020 for </w:t>
        </w:r>
        <w:r w:rsidR="0096366C" w:rsidRPr="00BE1CA1">
          <w:rPr>
            <w:rStyle w:val="Hyperlink"/>
            <w:i/>
            <w:noProof/>
          </w:rPr>
          <w:t>Wetlands</w:t>
        </w:r>
        <w:r w:rsidR="0096366C">
          <w:rPr>
            <w:noProof/>
            <w:webHidden/>
          </w:rPr>
          <w:tab/>
        </w:r>
        <w:r w:rsidR="0096366C">
          <w:rPr>
            <w:noProof/>
            <w:webHidden/>
          </w:rPr>
          <w:fldChar w:fldCharType="begin"/>
        </w:r>
        <w:r w:rsidR="0096366C">
          <w:rPr>
            <w:noProof/>
            <w:webHidden/>
          </w:rPr>
          <w:instrText xml:space="preserve"> PAGEREF _Toc99659305 \h </w:instrText>
        </w:r>
        <w:r w:rsidR="0096366C">
          <w:rPr>
            <w:noProof/>
            <w:webHidden/>
          </w:rPr>
        </w:r>
        <w:r w:rsidR="0096366C">
          <w:rPr>
            <w:noProof/>
            <w:webHidden/>
          </w:rPr>
          <w:fldChar w:fldCharType="separate"/>
        </w:r>
        <w:r w:rsidR="009D338D">
          <w:rPr>
            <w:noProof/>
            <w:webHidden/>
          </w:rPr>
          <w:t>281</w:t>
        </w:r>
        <w:r w:rsidR="0096366C">
          <w:rPr>
            <w:noProof/>
            <w:webHidden/>
          </w:rPr>
          <w:fldChar w:fldCharType="end"/>
        </w:r>
      </w:hyperlink>
    </w:p>
    <w:p w14:paraId="6EC4C603" w14:textId="73A62490" w:rsidR="0096366C" w:rsidRPr="00B04620" w:rsidRDefault="004B48CC">
      <w:pPr>
        <w:pStyle w:val="TableofFigures"/>
        <w:rPr>
          <w:noProof/>
          <w:sz w:val="22"/>
        </w:rPr>
      </w:pPr>
      <w:hyperlink w:anchor="_Toc99659306" w:history="1">
        <w:r w:rsidR="0096366C" w:rsidRPr="00BE1CA1">
          <w:rPr>
            <w:rStyle w:val="Hyperlink"/>
            <w:noProof/>
          </w:rPr>
          <w:t>Table 6.6.4</w:t>
        </w:r>
        <w:r w:rsidR="0096366C" w:rsidRPr="00B04620">
          <w:rPr>
            <w:noProof/>
            <w:sz w:val="22"/>
          </w:rPr>
          <w:tab/>
        </w:r>
        <w:r w:rsidR="0096366C" w:rsidRPr="00BE1CA1">
          <w:rPr>
            <w:rStyle w:val="Hyperlink"/>
            <w:noProof/>
          </w:rPr>
          <w:t xml:space="preserve">Recalculations for New Zealand’s net emissions from the </w:t>
        </w:r>
        <w:r w:rsidR="0096366C" w:rsidRPr="00BE1CA1">
          <w:rPr>
            <w:rStyle w:val="Hyperlink"/>
            <w:i/>
            <w:noProof/>
          </w:rPr>
          <w:t>Wetlands</w:t>
        </w:r>
        <w:r w:rsidR="0096366C" w:rsidRPr="00BE1CA1">
          <w:rPr>
            <w:rStyle w:val="Hyperlink"/>
            <w:noProof/>
          </w:rPr>
          <w:t xml:space="preserve"> category in 1990 and 2019</w:t>
        </w:r>
        <w:r w:rsidR="0096366C">
          <w:rPr>
            <w:noProof/>
            <w:webHidden/>
          </w:rPr>
          <w:tab/>
        </w:r>
        <w:r w:rsidR="0096366C">
          <w:rPr>
            <w:noProof/>
            <w:webHidden/>
          </w:rPr>
          <w:fldChar w:fldCharType="begin"/>
        </w:r>
        <w:r w:rsidR="0096366C">
          <w:rPr>
            <w:noProof/>
            <w:webHidden/>
          </w:rPr>
          <w:instrText xml:space="preserve"> PAGEREF _Toc99659306 \h </w:instrText>
        </w:r>
        <w:r w:rsidR="0096366C">
          <w:rPr>
            <w:noProof/>
            <w:webHidden/>
          </w:rPr>
        </w:r>
        <w:r w:rsidR="0096366C">
          <w:rPr>
            <w:noProof/>
            <w:webHidden/>
          </w:rPr>
          <w:fldChar w:fldCharType="separate"/>
        </w:r>
        <w:r w:rsidR="009D338D">
          <w:rPr>
            <w:noProof/>
            <w:webHidden/>
          </w:rPr>
          <w:t>281</w:t>
        </w:r>
        <w:r w:rsidR="0096366C">
          <w:rPr>
            <w:noProof/>
            <w:webHidden/>
          </w:rPr>
          <w:fldChar w:fldCharType="end"/>
        </w:r>
      </w:hyperlink>
    </w:p>
    <w:p w14:paraId="0DED626B" w14:textId="68E2B664" w:rsidR="0096366C" w:rsidRPr="00B04620" w:rsidRDefault="004B48CC">
      <w:pPr>
        <w:pStyle w:val="TableofFigures"/>
        <w:rPr>
          <w:noProof/>
          <w:sz w:val="22"/>
        </w:rPr>
      </w:pPr>
      <w:hyperlink w:anchor="_Toc99659307" w:history="1">
        <w:r w:rsidR="0096366C" w:rsidRPr="00BE1CA1">
          <w:rPr>
            <w:rStyle w:val="Hyperlink"/>
            <w:noProof/>
          </w:rPr>
          <w:t>Table 6.7.1</w:t>
        </w:r>
        <w:r w:rsidR="0096366C" w:rsidRPr="00B04620">
          <w:rPr>
            <w:noProof/>
            <w:sz w:val="22"/>
          </w:rPr>
          <w:tab/>
        </w:r>
        <w:r w:rsidR="0096366C" w:rsidRPr="00BE1CA1">
          <w:rPr>
            <w:rStyle w:val="Hyperlink"/>
            <w:noProof/>
          </w:rPr>
          <w:t xml:space="preserve">New Zealand’s land-use change for the </w:t>
        </w:r>
        <w:r w:rsidR="0096366C" w:rsidRPr="00BE1CA1">
          <w:rPr>
            <w:rStyle w:val="Hyperlink"/>
            <w:i/>
            <w:noProof/>
          </w:rPr>
          <w:t>Settlements</w:t>
        </w:r>
        <w:r w:rsidR="0096366C" w:rsidRPr="00BE1CA1">
          <w:rPr>
            <w:rStyle w:val="Hyperlink"/>
            <w:noProof/>
          </w:rPr>
          <w:t xml:space="preserve"> category, and associated CO</w:t>
        </w:r>
        <w:r w:rsidR="0096366C" w:rsidRPr="00BE1CA1">
          <w:rPr>
            <w:rStyle w:val="Hyperlink"/>
            <w:noProof/>
            <w:vertAlign w:val="subscript"/>
          </w:rPr>
          <w:t>2</w:t>
        </w:r>
        <w:r w:rsidR="0096366C" w:rsidRPr="00BE1CA1">
          <w:rPr>
            <w:rStyle w:val="Hyperlink"/>
            <w:noProof/>
          </w:rPr>
          <w:noBreakHyphen/>
          <w:t>e emissions, from 1990 to 2020</w:t>
        </w:r>
        <w:r w:rsidR="0096366C">
          <w:rPr>
            <w:noProof/>
            <w:webHidden/>
          </w:rPr>
          <w:tab/>
        </w:r>
        <w:r w:rsidR="0096366C">
          <w:rPr>
            <w:noProof/>
            <w:webHidden/>
          </w:rPr>
          <w:fldChar w:fldCharType="begin"/>
        </w:r>
        <w:r w:rsidR="0096366C">
          <w:rPr>
            <w:noProof/>
            <w:webHidden/>
          </w:rPr>
          <w:instrText xml:space="preserve"> PAGEREF _Toc99659307 \h </w:instrText>
        </w:r>
        <w:r w:rsidR="0096366C">
          <w:rPr>
            <w:noProof/>
            <w:webHidden/>
          </w:rPr>
        </w:r>
        <w:r w:rsidR="0096366C">
          <w:rPr>
            <w:noProof/>
            <w:webHidden/>
          </w:rPr>
          <w:fldChar w:fldCharType="separate"/>
        </w:r>
        <w:r w:rsidR="009D338D">
          <w:rPr>
            <w:noProof/>
            <w:webHidden/>
          </w:rPr>
          <w:t>282</w:t>
        </w:r>
        <w:r w:rsidR="0096366C">
          <w:rPr>
            <w:noProof/>
            <w:webHidden/>
          </w:rPr>
          <w:fldChar w:fldCharType="end"/>
        </w:r>
      </w:hyperlink>
    </w:p>
    <w:p w14:paraId="66E56A20" w14:textId="1C60EFA1" w:rsidR="0096366C" w:rsidRPr="00B04620" w:rsidRDefault="004B48CC">
      <w:pPr>
        <w:pStyle w:val="TableofFigures"/>
        <w:rPr>
          <w:noProof/>
          <w:sz w:val="22"/>
        </w:rPr>
      </w:pPr>
      <w:hyperlink w:anchor="_Toc99659308" w:history="1">
        <w:r w:rsidR="0096366C" w:rsidRPr="00BE1CA1">
          <w:rPr>
            <w:rStyle w:val="Hyperlink"/>
            <w:noProof/>
          </w:rPr>
          <w:t>Table 6.7.2</w:t>
        </w:r>
        <w:r w:rsidR="0096366C" w:rsidRPr="00B04620">
          <w:rPr>
            <w:noProof/>
            <w:sz w:val="22"/>
          </w:rPr>
          <w:tab/>
        </w:r>
        <w:r w:rsidR="0096366C" w:rsidRPr="00BE1CA1">
          <w:rPr>
            <w:rStyle w:val="Hyperlink"/>
            <w:noProof/>
          </w:rPr>
          <w:t xml:space="preserve">New Zealand’s carbon stock change by carbon pool for the </w:t>
        </w:r>
        <w:r w:rsidR="0096366C" w:rsidRPr="00BE1CA1">
          <w:rPr>
            <w:rStyle w:val="Hyperlink"/>
            <w:i/>
            <w:noProof/>
          </w:rPr>
          <w:t>Settlements</w:t>
        </w:r>
        <w:r w:rsidR="0096366C" w:rsidRPr="00BE1CA1">
          <w:rPr>
            <w:rStyle w:val="Hyperlink"/>
            <w:noProof/>
          </w:rPr>
          <w:t xml:space="preserve"> category from 1990 to 2020</w:t>
        </w:r>
        <w:r w:rsidR="0096366C">
          <w:rPr>
            <w:noProof/>
            <w:webHidden/>
          </w:rPr>
          <w:tab/>
        </w:r>
        <w:r w:rsidR="0096366C">
          <w:rPr>
            <w:noProof/>
            <w:webHidden/>
          </w:rPr>
          <w:fldChar w:fldCharType="begin"/>
        </w:r>
        <w:r w:rsidR="0096366C">
          <w:rPr>
            <w:noProof/>
            <w:webHidden/>
          </w:rPr>
          <w:instrText xml:space="preserve"> PAGEREF _Toc99659308 \h </w:instrText>
        </w:r>
        <w:r w:rsidR="0096366C">
          <w:rPr>
            <w:noProof/>
            <w:webHidden/>
          </w:rPr>
        </w:r>
        <w:r w:rsidR="0096366C">
          <w:rPr>
            <w:noProof/>
            <w:webHidden/>
          </w:rPr>
          <w:fldChar w:fldCharType="separate"/>
        </w:r>
        <w:r w:rsidR="009D338D">
          <w:rPr>
            <w:noProof/>
            <w:webHidden/>
          </w:rPr>
          <w:t>282</w:t>
        </w:r>
        <w:r w:rsidR="0096366C">
          <w:rPr>
            <w:noProof/>
            <w:webHidden/>
          </w:rPr>
          <w:fldChar w:fldCharType="end"/>
        </w:r>
      </w:hyperlink>
    </w:p>
    <w:p w14:paraId="0A2543DE" w14:textId="1A58ED8D" w:rsidR="0096366C" w:rsidRPr="00B04620" w:rsidRDefault="004B48CC">
      <w:pPr>
        <w:pStyle w:val="TableofFigures"/>
        <w:rPr>
          <w:noProof/>
          <w:sz w:val="22"/>
        </w:rPr>
      </w:pPr>
      <w:hyperlink w:anchor="_Toc99659309" w:history="1">
        <w:r w:rsidR="0096366C" w:rsidRPr="00BE1CA1">
          <w:rPr>
            <w:rStyle w:val="Hyperlink"/>
            <w:noProof/>
          </w:rPr>
          <w:t>Table 6.7.3</w:t>
        </w:r>
        <w:r w:rsidR="0096366C" w:rsidRPr="00B04620">
          <w:rPr>
            <w:noProof/>
            <w:sz w:val="22"/>
          </w:rPr>
          <w:tab/>
        </w:r>
        <w:r w:rsidR="0096366C" w:rsidRPr="00BE1CA1">
          <w:rPr>
            <w:rStyle w:val="Hyperlink"/>
            <w:noProof/>
          </w:rPr>
          <w:t>Recalculations for New Zealand’s net emissions from the Settlements category in 1990 and 2019</w:t>
        </w:r>
        <w:r w:rsidR="0096366C">
          <w:rPr>
            <w:noProof/>
            <w:webHidden/>
          </w:rPr>
          <w:tab/>
        </w:r>
        <w:r w:rsidR="0096366C">
          <w:rPr>
            <w:noProof/>
            <w:webHidden/>
          </w:rPr>
          <w:fldChar w:fldCharType="begin"/>
        </w:r>
        <w:r w:rsidR="0096366C">
          <w:rPr>
            <w:noProof/>
            <w:webHidden/>
          </w:rPr>
          <w:instrText xml:space="preserve"> PAGEREF _Toc99659309 \h </w:instrText>
        </w:r>
        <w:r w:rsidR="0096366C">
          <w:rPr>
            <w:noProof/>
            <w:webHidden/>
          </w:rPr>
        </w:r>
        <w:r w:rsidR="0096366C">
          <w:rPr>
            <w:noProof/>
            <w:webHidden/>
          </w:rPr>
          <w:fldChar w:fldCharType="separate"/>
        </w:r>
        <w:r w:rsidR="009D338D">
          <w:rPr>
            <w:noProof/>
            <w:webHidden/>
          </w:rPr>
          <w:t>284</w:t>
        </w:r>
        <w:r w:rsidR="0096366C">
          <w:rPr>
            <w:noProof/>
            <w:webHidden/>
          </w:rPr>
          <w:fldChar w:fldCharType="end"/>
        </w:r>
      </w:hyperlink>
    </w:p>
    <w:p w14:paraId="52A940E3" w14:textId="24C068B2" w:rsidR="0096366C" w:rsidRPr="00B04620" w:rsidRDefault="004B48CC">
      <w:pPr>
        <w:pStyle w:val="TableofFigures"/>
        <w:rPr>
          <w:noProof/>
          <w:sz w:val="22"/>
        </w:rPr>
      </w:pPr>
      <w:hyperlink w:anchor="_Toc99659310" w:history="1">
        <w:r w:rsidR="0096366C" w:rsidRPr="00BE1CA1">
          <w:rPr>
            <w:rStyle w:val="Hyperlink"/>
            <w:noProof/>
          </w:rPr>
          <w:t>Table 6.8.1</w:t>
        </w:r>
        <w:r w:rsidR="0096366C" w:rsidRPr="00B04620">
          <w:rPr>
            <w:noProof/>
            <w:sz w:val="22"/>
          </w:rPr>
          <w:tab/>
        </w:r>
        <w:r w:rsidR="0096366C" w:rsidRPr="00BE1CA1">
          <w:rPr>
            <w:rStyle w:val="Hyperlink"/>
            <w:noProof/>
          </w:rPr>
          <w:t xml:space="preserve">New Zealand’s land-use change for the land use category </w:t>
        </w:r>
        <w:r w:rsidR="0096366C" w:rsidRPr="00BE1CA1">
          <w:rPr>
            <w:rStyle w:val="Hyperlink"/>
            <w:i/>
            <w:noProof/>
          </w:rPr>
          <w:t>Other land</w:t>
        </w:r>
        <w:r w:rsidR="0096366C" w:rsidRPr="00BE1CA1">
          <w:rPr>
            <w:rStyle w:val="Hyperlink"/>
            <w:noProof/>
          </w:rPr>
          <w:t xml:space="preserve"> from 1990 to 2020</w:t>
        </w:r>
        <w:r w:rsidR="0096366C">
          <w:rPr>
            <w:noProof/>
            <w:webHidden/>
          </w:rPr>
          <w:tab/>
        </w:r>
        <w:r w:rsidR="0096366C">
          <w:rPr>
            <w:noProof/>
            <w:webHidden/>
          </w:rPr>
          <w:fldChar w:fldCharType="begin"/>
        </w:r>
        <w:r w:rsidR="0096366C">
          <w:rPr>
            <w:noProof/>
            <w:webHidden/>
          </w:rPr>
          <w:instrText xml:space="preserve"> PAGEREF _Toc99659310 \h </w:instrText>
        </w:r>
        <w:r w:rsidR="0096366C">
          <w:rPr>
            <w:noProof/>
            <w:webHidden/>
          </w:rPr>
        </w:r>
        <w:r w:rsidR="0096366C">
          <w:rPr>
            <w:noProof/>
            <w:webHidden/>
          </w:rPr>
          <w:fldChar w:fldCharType="separate"/>
        </w:r>
        <w:r w:rsidR="009D338D">
          <w:rPr>
            <w:noProof/>
            <w:webHidden/>
          </w:rPr>
          <w:t>285</w:t>
        </w:r>
        <w:r w:rsidR="0096366C">
          <w:rPr>
            <w:noProof/>
            <w:webHidden/>
          </w:rPr>
          <w:fldChar w:fldCharType="end"/>
        </w:r>
      </w:hyperlink>
    </w:p>
    <w:p w14:paraId="422B28DE" w14:textId="512916DC" w:rsidR="0096366C" w:rsidRPr="00B04620" w:rsidRDefault="004B48CC">
      <w:pPr>
        <w:pStyle w:val="TableofFigures"/>
        <w:rPr>
          <w:noProof/>
          <w:sz w:val="22"/>
        </w:rPr>
      </w:pPr>
      <w:hyperlink w:anchor="_Toc99659311" w:history="1">
        <w:r w:rsidR="0096366C" w:rsidRPr="00BE1CA1">
          <w:rPr>
            <w:rStyle w:val="Hyperlink"/>
            <w:noProof/>
          </w:rPr>
          <w:t>Table 6.8.2</w:t>
        </w:r>
        <w:r w:rsidR="0096366C" w:rsidRPr="00B04620">
          <w:rPr>
            <w:noProof/>
            <w:sz w:val="22"/>
          </w:rPr>
          <w:tab/>
        </w:r>
        <w:r w:rsidR="0096366C" w:rsidRPr="00BE1CA1">
          <w:rPr>
            <w:rStyle w:val="Hyperlink"/>
            <w:noProof/>
          </w:rPr>
          <w:t xml:space="preserve">Summary of New Zealand emission factors for the land use category </w:t>
        </w:r>
        <w:r w:rsidR="0096366C" w:rsidRPr="00BE1CA1">
          <w:rPr>
            <w:rStyle w:val="Hyperlink"/>
            <w:i/>
            <w:noProof/>
          </w:rPr>
          <w:t>Other land</w:t>
        </w:r>
        <w:r w:rsidR="0096366C">
          <w:rPr>
            <w:noProof/>
            <w:webHidden/>
          </w:rPr>
          <w:tab/>
        </w:r>
        <w:r w:rsidR="0096366C">
          <w:rPr>
            <w:noProof/>
            <w:webHidden/>
          </w:rPr>
          <w:fldChar w:fldCharType="begin"/>
        </w:r>
        <w:r w:rsidR="0096366C">
          <w:rPr>
            <w:noProof/>
            <w:webHidden/>
          </w:rPr>
          <w:instrText xml:space="preserve"> PAGEREF _Toc99659311 \h </w:instrText>
        </w:r>
        <w:r w:rsidR="0096366C">
          <w:rPr>
            <w:noProof/>
            <w:webHidden/>
          </w:rPr>
        </w:r>
        <w:r w:rsidR="0096366C">
          <w:rPr>
            <w:noProof/>
            <w:webHidden/>
          </w:rPr>
          <w:fldChar w:fldCharType="separate"/>
        </w:r>
        <w:r w:rsidR="009D338D">
          <w:rPr>
            <w:noProof/>
            <w:webHidden/>
          </w:rPr>
          <w:t>285</w:t>
        </w:r>
        <w:r w:rsidR="0096366C">
          <w:rPr>
            <w:noProof/>
            <w:webHidden/>
          </w:rPr>
          <w:fldChar w:fldCharType="end"/>
        </w:r>
      </w:hyperlink>
    </w:p>
    <w:p w14:paraId="0CCBB5C7" w14:textId="42D640AC" w:rsidR="0096366C" w:rsidRPr="00B04620" w:rsidRDefault="004B48CC">
      <w:pPr>
        <w:pStyle w:val="TableofFigures"/>
        <w:rPr>
          <w:noProof/>
          <w:sz w:val="22"/>
        </w:rPr>
      </w:pPr>
      <w:hyperlink w:anchor="_Toc99659312" w:history="1">
        <w:r w:rsidR="0096366C" w:rsidRPr="00BE1CA1">
          <w:rPr>
            <w:rStyle w:val="Hyperlink"/>
            <w:noProof/>
          </w:rPr>
          <w:t>Table 6.8.3</w:t>
        </w:r>
        <w:r w:rsidR="0096366C" w:rsidRPr="00B04620">
          <w:rPr>
            <w:noProof/>
            <w:sz w:val="22"/>
          </w:rPr>
          <w:tab/>
        </w:r>
        <w:r w:rsidR="0096366C" w:rsidRPr="00BE1CA1">
          <w:rPr>
            <w:rStyle w:val="Hyperlink"/>
            <w:noProof/>
          </w:rPr>
          <w:t>Recalculations for New Zealand’s net emissions from the Other land category in 1990 and 2019</w:t>
        </w:r>
        <w:r w:rsidR="0096366C">
          <w:rPr>
            <w:noProof/>
            <w:webHidden/>
          </w:rPr>
          <w:tab/>
        </w:r>
        <w:r w:rsidR="0096366C">
          <w:rPr>
            <w:noProof/>
            <w:webHidden/>
          </w:rPr>
          <w:fldChar w:fldCharType="begin"/>
        </w:r>
        <w:r w:rsidR="0096366C">
          <w:rPr>
            <w:noProof/>
            <w:webHidden/>
          </w:rPr>
          <w:instrText xml:space="preserve"> PAGEREF _Toc99659312 \h </w:instrText>
        </w:r>
        <w:r w:rsidR="0096366C">
          <w:rPr>
            <w:noProof/>
            <w:webHidden/>
          </w:rPr>
        </w:r>
        <w:r w:rsidR="0096366C">
          <w:rPr>
            <w:noProof/>
            <w:webHidden/>
          </w:rPr>
          <w:fldChar w:fldCharType="separate"/>
        </w:r>
        <w:r w:rsidR="009D338D">
          <w:rPr>
            <w:noProof/>
            <w:webHidden/>
          </w:rPr>
          <w:t>286</w:t>
        </w:r>
        <w:r w:rsidR="0096366C">
          <w:rPr>
            <w:noProof/>
            <w:webHidden/>
          </w:rPr>
          <w:fldChar w:fldCharType="end"/>
        </w:r>
      </w:hyperlink>
    </w:p>
    <w:p w14:paraId="7E0940B2" w14:textId="1B8A7FA1" w:rsidR="0096366C" w:rsidRPr="00B04620" w:rsidRDefault="004B48CC">
      <w:pPr>
        <w:pStyle w:val="TableofFigures"/>
        <w:rPr>
          <w:noProof/>
          <w:sz w:val="22"/>
        </w:rPr>
      </w:pPr>
      <w:hyperlink w:anchor="_Toc99659313" w:history="1">
        <w:r w:rsidR="0096366C" w:rsidRPr="00BE1CA1">
          <w:rPr>
            <w:rStyle w:val="Hyperlink"/>
            <w:noProof/>
          </w:rPr>
          <w:t>Table 6.9.1</w:t>
        </w:r>
        <w:r w:rsidR="0096366C" w:rsidRPr="00B04620">
          <w:rPr>
            <w:noProof/>
            <w:sz w:val="22"/>
          </w:rPr>
          <w:tab/>
        </w:r>
        <w:r w:rsidR="0096366C" w:rsidRPr="00BE1CA1">
          <w:rPr>
            <w:rStyle w:val="Hyperlink"/>
            <w:noProof/>
          </w:rPr>
          <w:t xml:space="preserve">Conversion factors for </w:t>
        </w:r>
        <w:r w:rsidR="0096366C" w:rsidRPr="00BE1CA1">
          <w:rPr>
            <w:rStyle w:val="Hyperlink"/>
            <w:i/>
            <w:noProof/>
          </w:rPr>
          <w:t>Harvested wood products</w:t>
        </w:r>
        <w:r w:rsidR="0096366C" w:rsidRPr="00BE1CA1">
          <w:rPr>
            <w:rStyle w:val="Hyperlink"/>
            <w:noProof/>
          </w:rPr>
          <w:t xml:space="preserve"> produced from New Zealand wood in New Zealand</w:t>
        </w:r>
        <w:r w:rsidR="0096366C">
          <w:rPr>
            <w:noProof/>
            <w:webHidden/>
          </w:rPr>
          <w:tab/>
        </w:r>
        <w:r w:rsidR="0096366C">
          <w:rPr>
            <w:noProof/>
            <w:webHidden/>
          </w:rPr>
          <w:fldChar w:fldCharType="begin"/>
        </w:r>
        <w:r w:rsidR="0096366C">
          <w:rPr>
            <w:noProof/>
            <w:webHidden/>
          </w:rPr>
          <w:instrText xml:space="preserve"> PAGEREF _Toc99659313 \h </w:instrText>
        </w:r>
        <w:r w:rsidR="0096366C">
          <w:rPr>
            <w:noProof/>
            <w:webHidden/>
          </w:rPr>
        </w:r>
        <w:r w:rsidR="0096366C">
          <w:rPr>
            <w:noProof/>
            <w:webHidden/>
          </w:rPr>
          <w:fldChar w:fldCharType="separate"/>
        </w:r>
        <w:r w:rsidR="009D338D">
          <w:rPr>
            <w:noProof/>
            <w:webHidden/>
          </w:rPr>
          <w:t>289</w:t>
        </w:r>
        <w:r w:rsidR="0096366C">
          <w:rPr>
            <w:noProof/>
            <w:webHidden/>
          </w:rPr>
          <w:fldChar w:fldCharType="end"/>
        </w:r>
      </w:hyperlink>
    </w:p>
    <w:p w14:paraId="4403EFB7" w14:textId="1053C8AC" w:rsidR="0096366C" w:rsidRPr="00B04620" w:rsidRDefault="004B48CC">
      <w:pPr>
        <w:pStyle w:val="TableofFigures"/>
        <w:rPr>
          <w:noProof/>
          <w:sz w:val="22"/>
        </w:rPr>
      </w:pPr>
      <w:hyperlink w:anchor="_Toc99659314" w:history="1">
        <w:r w:rsidR="0096366C" w:rsidRPr="00BE1CA1">
          <w:rPr>
            <w:rStyle w:val="Hyperlink"/>
            <w:noProof/>
          </w:rPr>
          <w:t>Table 6.9.2</w:t>
        </w:r>
        <w:r w:rsidR="0096366C" w:rsidRPr="00B04620">
          <w:rPr>
            <w:noProof/>
            <w:sz w:val="22"/>
          </w:rPr>
          <w:tab/>
        </w:r>
        <w:r w:rsidR="0096366C" w:rsidRPr="00BE1CA1">
          <w:rPr>
            <w:rStyle w:val="Hyperlink"/>
            <w:noProof/>
          </w:rPr>
          <w:t>Comparison of weighted half-lives for harvested wood products produced in export markets and the defaults applied in the IPCC, 2014 guidance</w:t>
        </w:r>
        <w:r w:rsidR="0096366C">
          <w:rPr>
            <w:noProof/>
            <w:webHidden/>
          </w:rPr>
          <w:tab/>
        </w:r>
        <w:r w:rsidR="0096366C">
          <w:rPr>
            <w:noProof/>
            <w:webHidden/>
          </w:rPr>
          <w:fldChar w:fldCharType="begin"/>
        </w:r>
        <w:r w:rsidR="0096366C">
          <w:rPr>
            <w:noProof/>
            <w:webHidden/>
          </w:rPr>
          <w:instrText xml:space="preserve"> PAGEREF _Toc99659314 \h </w:instrText>
        </w:r>
        <w:r w:rsidR="0096366C">
          <w:rPr>
            <w:noProof/>
            <w:webHidden/>
          </w:rPr>
        </w:r>
        <w:r w:rsidR="0096366C">
          <w:rPr>
            <w:noProof/>
            <w:webHidden/>
          </w:rPr>
          <w:fldChar w:fldCharType="separate"/>
        </w:r>
        <w:r w:rsidR="009D338D">
          <w:rPr>
            <w:noProof/>
            <w:webHidden/>
          </w:rPr>
          <w:t>290</w:t>
        </w:r>
        <w:r w:rsidR="0096366C">
          <w:rPr>
            <w:noProof/>
            <w:webHidden/>
          </w:rPr>
          <w:fldChar w:fldCharType="end"/>
        </w:r>
      </w:hyperlink>
    </w:p>
    <w:p w14:paraId="66100D7B" w14:textId="12FC0742" w:rsidR="0096366C" w:rsidRPr="00B04620" w:rsidRDefault="004B48CC">
      <w:pPr>
        <w:pStyle w:val="TableofFigures"/>
        <w:rPr>
          <w:noProof/>
          <w:sz w:val="22"/>
        </w:rPr>
      </w:pPr>
      <w:hyperlink w:anchor="_Toc99659315" w:history="1">
        <w:r w:rsidR="0096366C" w:rsidRPr="00BE1CA1">
          <w:rPr>
            <w:rStyle w:val="Hyperlink"/>
            <w:noProof/>
          </w:rPr>
          <w:t>Table 6.9.3</w:t>
        </w:r>
        <w:r w:rsidR="0096366C" w:rsidRPr="00B04620">
          <w:rPr>
            <w:noProof/>
            <w:sz w:val="22"/>
          </w:rPr>
          <w:tab/>
        </w:r>
        <w:r w:rsidR="0096366C" w:rsidRPr="00BE1CA1">
          <w:rPr>
            <w:rStyle w:val="Hyperlink"/>
            <w:noProof/>
          </w:rPr>
          <w:t xml:space="preserve">Recalculations for New Zealand’s net emissions from the </w:t>
        </w:r>
        <w:r w:rsidR="0096366C" w:rsidRPr="00BE1CA1">
          <w:rPr>
            <w:rStyle w:val="Hyperlink"/>
            <w:i/>
            <w:noProof/>
          </w:rPr>
          <w:t>Harvested wood products</w:t>
        </w:r>
        <w:r w:rsidR="0096366C" w:rsidRPr="00BE1CA1">
          <w:rPr>
            <w:rStyle w:val="Hyperlink"/>
            <w:noProof/>
          </w:rPr>
          <w:t xml:space="preserve"> category in 1990 and 2019</w:t>
        </w:r>
        <w:r w:rsidR="0096366C">
          <w:rPr>
            <w:noProof/>
            <w:webHidden/>
          </w:rPr>
          <w:tab/>
        </w:r>
        <w:r w:rsidR="0096366C">
          <w:rPr>
            <w:noProof/>
            <w:webHidden/>
          </w:rPr>
          <w:fldChar w:fldCharType="begin"/>
        </w:r>
        <w:r w:rsidR="0096366C">
          <w:rPr>
            <w:noProof/>
            <w:webHidden/>
          </w:rPr>
          <w:instrText xml:space="preserve"> PAGEREF _Toc99659315 \h </w:instrText>
        </w:r>
        <w:r w:rsidR="0096366C">
          <w:rPr>
            <w:noProof/>
            <w:webHidden/>
          </w:rPr>
        </w:r>
        <w:r w:rsidR="0096366C">
          <w:rPr>
            <w:noProof/>
            <w:webHidden/>
          </w:rPr>
          <w:fldChar w:fldCharType="separate"/>
        </w:r>
        <w:r w:rsidR="009D338D">
          <w:rPr>
            <w:noProof/>
            <w:webHidden/>
          </w:rPr>
          <w:t>291</w:t>
        </w:r>
        <w:r w:rsidR="0096366C">
          <w:rPr>
            <w:noProof/>
            <w:webHidden/>
          </w:rPr>
          <w:fldChar w:fldCharType="end"/>
        </w:r>
      </w:hyperlink>
    </w:p>
    <w:p w14:paraId="10E204E6" w14:textId="7EE08CC6" w:rsidR="0096366C" w:rsidRPr="00B04620" w:rsidRDefault="004B48CC">
      <w:pPr>
        <w:pStyle w:val="TableofFigures"/>
        <w:rPr>
          <w:noProof/>
          <w:sz w:val="22"/>
        </w:rPr>
      </w:pPr>
      <w:hyperlink w:anchor="_Toc99659316" w:history="1">
        <w:r w:rsidR="0096366C" w:rsidRPr="00BE1CA1">
          <w:rPr>
            <w:rStyle w:val="Hyperlink"/>
            <w:noProof/>
          </w:rPr>
          <w:t>Table 6.10.1</w:t>
        </w:r>
        <w:r w:rsidR="0096366C" w:rsidRPr="00B04620">
          <w:rPr>
            <w:noProof/>
            <w:sz w:val="22"/>
          </w:rPr>
          <w:tab/>
        </w:r>
        <w:r w:rsidR="0096366C" w:rsidRPr="00BE1CA1">
          <w:rPr>
            <w:rStyle w:val="Hyperlink"/>
            <w:noProof/>
          </w:rPr>
          <w:t>N</w:t>
        </w:r>
        <w:r w:rsidR="0096366C" w:rsidRPr="00BE1CA1">
          <w:rPr>
            <w:rStyle w:val="Hyperlink"/>
            <w:noProof/>
            <w:vertAlign w:val="subscript"/>
          </w:rPr>
          <w:t>2</w:t>
        </w:r>
        <w:r w:rsidR="0096366C" w:rsidRPr="00BE1CA1">
          <w:rPr>
            <w:rStyle w:val="Hyperlink"/>
            <w:noProof/>
          </w:rPr>
          <w:t>O emissions from soils associated with land-use change reported in the LULUCF sector from 1990 to 2020</w:t>
        </w:r>
        <w:r w:rsidR="0096366C">
          <w:rPr>
            <w:noProof/>
            <w:webHidden/>
          </w:rPr>
          <w:tab/>
        </w:r>
        <w:r w:rsidR="0096366C">
          <w:rPr>
            <w:noProof/>
            <w:webHidden/>
          </w:rPr>
          <w:fldChar w:fldCharType="begin"/>
        </w:r>
        <w:r w:rsidR="0096366C">
          <w:rPr>
            <w:noProof/>
            <w:webHidden/>
          </w:rPr>
          <w:instrText xml:space="preserve"> PAGEREF _Toc99659316 \h </w:instrText>
        </w:r>
        <w:r w:rsidR="0096366C">
          <w:rPr>
            <w:noProof/>
            <w:webHidden/>
          </w:rPr>
        </w:r>
        <w:r w:rsidR="0096366C">
          <w:rPr>
            <w:noProof/>
            <w:webHidden/>
          </w:rPr>
          <w:fldChar w:fldCharType="separate"/>
        </w:r>
        <w:r w:rsidR="009D338D">
          <w:rPr>
            <w:noProof/>
            <w:webHidden/>
          </w:rPr>
          <w:t>291</w:t>
        </w:r>
        <w:r w:rsidR="0096366C">
          <w:rPr>
            <w:noProof/>
            <w:webHidden/>
          </w:rPr>
          <w:fldChar w:fldCharType="end"/>
        </w:r>
      </w:hyperlink>
    </w:p>
    <w:p w14:paraId="49E29D88" w14:textId="29820991" w:rsidR="0096366C" w:rsidRPr="00B04620" w:rsidRDefault="004B48CC">
      <w:pPr>
        <w:pStyle w:val="TableofFigures"/>
        <w:rPr>
          <w:noProof/>
          <w:sz w:val="22"/>
        </w:rPr>
      </w:pPr>
      <w:hyperlink w:anchor="_Toc99659317" w:history="1">
        <w:r w:rsidR="0096366C" w:rsidRPr="00BE1CA1">
          <w:rPr>
            <w:rStyle w:val="Hyperlink"/>
            <w:noProof/>
          </w:rPr>
          <w:t>Table 6.10.2</w:t>
        </w:r>
        <w:r w:rsidR="0096366C" w:rsidRPr="00B04620">
          <w:rPr>
            <w:noProof/>
            <w:sz w:val="22"/>
          </w:rPr>
          <w:tab/>
        </w:r>
        <w:r w:rsidR="0096366C" w:rsidRPr="00BE1CA1">
          <w:rPr>
            <w:rStyle w:val="Hyperlink"/>
            <w:noProof/>
          </w:rPr>
          <w:t>Net N</w:t>
        </w:r>
        <w:r w:rsidR="0096366C" w:rsidRPr="00BE1CA1">
          <w:rPr>
            <w:rStyle w:val="Hyperlink"/>
            <w:noProof/>
            <w:vertAlign w:val="subscript"/>
          </w:rPr>
          <w:t>2</w:t>
        </w:r>
        <w:r w:rsidR="0096366C" w:rsidRPr="00BE1CA1">
          <w:rPr>
            <w:rStyle w:val="Hyperlink"/>
            <w:noProof/>
          </w:rPr>
          <w:t>O emissions from nitrogen in soils associated with land-use change in 2020</w:t>
        </w:r>
        <w:r w:rsidR="0096366C">
          <w:rPr>
            <w:noProof/>
            <w:webHidden/>
          </w:rPr>
          <w:tab/>
        </w:r>
        <w:r w:rsidR="0096366C">
          <w:rPr>
            <w:noProof/>
            <w:webHidden/>
          </w:rPr>
          <w:fldChar w:fldCharType="begin"/>
        </w:r>
        <w:r w:rsidR="0096366C">
          <w:rPr>
            <w:noProof/>
            <w:webHidden/>
          </w:rPr>
          <w:instrText xml:space="preserve"> PAGEREF _Toc99659317 \h </w:instrText>
        </w:r>
        <w:r w:rsidR="0096366C">
          <w:rPr>
            <w:noProof/>
            <w:webHidden/>
          </w:rPr>
        </w:r>
        <w:r w:rsidR="0096366C">
          <w:rPr>
            <w:noProof/>
            <w:webHidden/>
          </w:rPr>
          <w:fldChar w:fldCharType="separate"/>
        </w:r>
        <w:r w:rsidR="009D338D">
          <w:rPr>
            <w:noProof/>
            <w:webHidden/>
          </w:rPr>
          <w:t>294</w:t>
        </w:r>
        <w:r w:rsidR="0096366C">
          <w:rPr>
            <w:noProof/>
            <w:webHidden/>
          </w:rPr>
          <w:fldChar w:fldCharType="end"/>
        </w:r>
      </w:hyperlink>
    </w:p>
    <w:p w14:paraId="15C24A2B" w14:textId="621C8B89" w:rsidR="0096366C" w:rsidRPr="00B04620" w:rsidRDefault="004B48CC">
      <w:pPr>
        <w:pStyle w:val="TableofFigures"/>
        <w:rPr>
          <w:noProof/>
          <w:sz w:val="22"/>
        </w:rPr>
      </w:pPr>
      <w:hyperlink w:anchor="_Toc99659318" w:history="1">
        <w:r w:rsidR="0096366C" w:rsidRPr="00BE1CA1">
          <w:rPr>
            <w:rStyle w:val="Hyperlink"/>
            <w:noProof/>
          </w:rPr>
          <w:t>Table 6.10.3</w:t>
        </w:r>
        <w:r w:rsidR="0096366C" w:rsidRPr="00B04620">
          <w:rPr>
            <w:noProof/>
            <w:sz w:val="22"/>
          </w:rPr>
          <w:tab/>
        </w:r>
        <w:r w:rsidR="0096366C" w:rsidRPr="00BE1CA1">
          <w:rPr>
            <w:rStyle w:val="Hyperlink"/>
            <w:noProof/>
          </w:rPr>
          <w:t>Non-CO</w:t>
        </w:r>
        <w:r w:rsidR="0096366C" w:rsidRPr="00BE1CA1">
          <w:rPr>
            <w:rStyle w:val="Hyperlink"/>
            <w:noProof/>
            <w:vertAlign w:val="subscript"/>
          </w:rPr>
          <w:t>2</w:t>
        </w:r>
        <w:r w:rsidR="0096366C" w:rsidRPr="00BE1CA1">
          <w:rPr>
            <w:rStyle w:val="Hyperlink"/>
            <w:noProof/>
          </w:rPr>
          <w:t xml:space="preserve"> emissions from </w:t>
        </w:r>
        <w:r w:rsidR="0096366C" w:rsidRPr="00BE1CA1">
          <w:rPr>
            <w:rStyle w:val="Hyperlink"/>
            <w:i/>
            <w:noProof/>
          </w:rPr>
          <w:t>Biomass burning</w:t>
        </w:r>
        <w:r w:rsidR="0096366C">
          <w:rPr>
            <w:noProof/>
            <w:webHidden/>
          </w:rPr>
          <w:tab/>
        </w:r>
        <w:r w:rsidR="0096366C">
          <w:rPr>
            <w:noProof/>
            <w:webHidden/>
          </w:rPr>
          <w:fldChar w:fldCharType="begin"/>
        </w:r>
        <w:r w:rsidR="0096366C">
          <w:rPr>
            <w:noProof/>
            <w:webHidden/>
          </w:rPr>
          <w:instrText xml:space="preserve"> PAGEREF _Toc99659318 \h </w:instrText>
        </w:r>
        <w:r w:rsidR="0096366C">
          <w:rPr>
            <w:noProof/>
            <w:webHidden/>
          </w:rPr>
        </w:r>
        <w:r w:rsidR="0096366C">
          <w:rPr>
            <w:noProof/>
            <w:webHidden/>
          </w:rPr>
          <w:fldChar w:fldCharType="separate"/>
        </w:r>
        <w:r w:rsidR="009D338D">
          <w:rPr>
            <w:noProof/>
            <w:webHidden/>
          </w:rPr>
          <w:t>294</w:t>
        </w:r>
        <w:r w:rsidR="0096366C">
          <w:rPr>
            <w:noProof/>
            <w:webHidden/>
          </w:rPr>
          <w:fldChar w:fldCharType="end"/>
        </w:r>
      </w:hyperlink>
    </w:p>
    <w:p w14:paraId="59A40C57" w14:textId="3E10EB8C" w:rsidR="0096366C" w:rsidRPr="00B04620" w:rsidRDefault="004B48CC">
      <w:pPr>
        <w:pStyle w:val="TableofFigures"/>
        <w:rPr>
          <w:noProof/>
          <w:sz w:val="22"/>
        </w:rPr>
      </w:pPr>
      <w:hyperlink w:anchor="_Toc99659319" w:history="1">
        <w:r w:rsidR="0096366C" w:rsidRPr="00BE1CA1">
          <w:rPr>
            <w:rStyle w:val="Hyperlink"/>
            <w:noProof/>
          </w:rPr>
          <w:t>Table 6.10.4</w:t>
        </w:r>
        <w:r w:rsidR="0096366C" w:rsidRPr="00B04620">
          <w:rPr>
            <w:noProof/>
            <w:sz w:val="22"/>
          </w:rPr>
          <w:tab/>
        </w:r>
        <w:r w:rsidR="0096366C" w:rsidRPr="00BE1CA1">
          <w:rPr>
            <w:rStyle w:val="Hyperlink"/>
            <w:noProof/>
          </w:rPr>
          <w:t xml:space="preserve">Summary of </w:t>
        </w:r>
        <w:r w:rsidR="0096366C" w:rsidRPr="00BE1CA1">
          <w:rPr>
            <w:rStyle w:val="Hyperlink"/>
            <w:i/>
            <w:noProof/>
          </w:rPr>
          <w:t>Biomass burning</w:t>
        </w:r>
        <w:r w:rsidR="0096366C" w:rsidRPr="00BE1CA1">
          <w:rPr>
            <w:rStyle w:val="Hyperlink"/>
            <w:noProof/>
          </w:rPr>
          <w:t xml:space="preserve"> carbon fractions and emission factors</w:t>
        </w:r>
        <w:r w:rsidR="0096366C">
          <w:rPr>
            <w:noProof/>
            <w:webHidden/>
          </w:rPr>
          <w:tab/>
        </w:r>
        <w:r w:rsidR="0096366C">
          <w:rPr>
            <w:noProof/>
            <w:webHidden/>
          </w:rPr>
          <w:fldChar w:fldCharType="begin"/>
        </w:r>
        <w:r w:rsidR="0096366C">
          <w:rPr>
            <w:noProof/>
            <w:webHidden/>
          </w:rPr>
          <w:instrText xml:space="preserve"> PAGEREF _Toc99659319 \h </w:instrText>
        </w:r>
        <w:r w:rsidR="0096366C">
          <w:rPr>
            <w:noProof/>
            <w:webHidden/>
          </w:rPr>
        </w:r>
        <w:r w:rsidR="0096366C">
          <w:rPr>
            <w:noProof/>
            <w:webHidden/>
          </w:rPr>
          <w:fldChar w:fldCharType="separate"/>
        </w:r>
        <w:r w:rsidR="009D338D">
          <w:rPr>
            <w:noProof/>
            <w:webHidden/>
          </w:rPr>
          <w:t>296</w:t>
        </w:r>
        <w:r w:rsidR="0096366C">
          <w:rPr>
            <w:noProof/>
            <w:webHidden/>
          </w:rPr>
          <w:fldChar w:fldCharType="end"/>
        </w:r>
      </w:hyperlink>
    </w:p>
    <w:p w14:paraId="057A52B4" w14:textId="08583B39" w:rsidR="0096366C" w:rsidRPr="00B04620" w:rsidRDefault="004B48CC">
      <w:pPr>
        <w:pStyle w:val="TableofFigures"/>
        <w:rPr>
          <w:noProof/>
          <w:sz w:val="22"/>
        </w:rPr>
      </w:pPr>
      <w:hyperlink w:anchor="_Toc99659320" w:history="1">
        <w:r w:rsidR="0096366C" w:rsidRPr="00BE1CA1">
          <w:rPr>
            <w:rStyle w:val="Hyperlink"/>
            <w:noProof/>
          </w:rPr>
          <w:t>Table 6.10.5</w:t>
        </w:r>
        <w:r w:rsidR="0096366C" w:rsidRPr="00B04620">
          <w:rPr>
            <w:noProof/>
            <w:sz w:val="22"/>
          </w:rPr>
          <w:tab/>
        </w:r>
        <w:r w:rsidR="0096366C" w:rsidRPr="00BE1CA1">
          <w:rPr>
            <w:rStyle w:val="Hyperlink"/>
            <w:noProof/>
          </w:rPr>
          <w:t xml:space="preserve">Summary of </w:t>
        </w:r>
        <w:r w:rsidR="0096366C" w:rsidRPr="00BE1CA1">
          <w:rPr>
            <w:rStyle w:val="Hyperlink"/>
            <w:i/>
            <w:noProof/>
          </w:rPr>
          <w:t>Biomass burning</w:t>
        </w:r>
        <w:r w:rsidR="0096366C" w:rsidRPr="00BE1CA1">
          <w:rPr>
            <w:rStyle w:val="Hyperlink"/>
            <w:noProof/>
          </w:rPr>
          <w:t xml:space="preserve"> combustion factor values</w:t>
        </w:r>
        <w:r w:rsidR="0096366C">
          <w:rPr>
            <w:noProof/>
            <w:webHidden/>
          </w:rPr>
          <w:tab/>
        </w:r>
        <w:r w:rsidR="0096366C">
          <w:rPr>
            <w:noProof/>
            <w:webHidden/>
          </w:rPr>
          <w:fldChar w:fldCharType="begin"/>
        </w:r>
        <w:r w:rsidR="0096366C">
          <w:rPr>
            <w:noProof/>
            <w:webHidden/>
          </w:rPr>
          <w:instrText xml:space="preserve"> PAGEREF _Toc99659320 \h </w:instrText>
        </w:r>
        <w:r w:rsidR="0096366C">
          <w:rPr>
            <w:noProof/>
            <w:webHidden/>
          </w:rPr>
        </w:r>
        <w:r w:rsidR="0096366C">
          <w:rPr>
            <w:noProof/>
            <w:webHidden/>
          </w:rPr>
          <w:fldChar w:fldCharType="separate"/>
        </w:r>
        <w:r w:rsidR="009D338D">
          <w:rPr>
            <w:noProof/>
            <w:webHidden/>
          </w:rPr>
          <w:t>297</w:t>
        </w:r>
        <w:r w:rsidR="0096366C">
          <w:rPr>
            <w:noProof/>
            <w:webHidden/>
          </w:rPr>
          <w:fldChar w:fldCharType="end"/>
        </w:r>
      </w:hyperlink>
    </w:p>
    <w:p w14:paraId="40C388D9" w14:textId="4E227DC4" w:rsidR="0096366C" w:rsidRPr="00B04620" w:rsidRDefault="004B48CC">
      <w:pPr>
        <w:pStyle w:val="TableofFigures"/>
        <w:rPr>
          <w:noProof/>
          <w:sz w:val="22"/>
        </w:rPr>
      </w:pPr>
      <w:hyperlink w:anchor="_Toc99659321" w:history="1">
        <w:r w:rsidR="0096366C" w:rsidRPr="00BE1CA1">
          <w:rPr>
            <w:rStyle w:val="Hyperlink"/>
            <w:noProof/>
          </w:rPr>
          <w:t>Table 7.1.1</w:t>
        </w:r>
        <w:r w:rsidR="0096366C" w:rsidRPr="00B04620">
          <w:rPr>
            <w:noProof/>
            <w:sz w:val="22"/>
          </w:rPr>
          <w:tab/>
        </w:r>
        <w:r w:rsidR="0096366C" w:rsidRPr="00BE1CA1">
          <w:rPr>
            <w:rStyle w:val="Hyperlink"/>
            <w:noProof/>
          </w:rPr>
          <w:t xml:space="preserve">New Zealand’s greenhouse gas emissions for the Waste sector by source category in </w:t>
        </w:r>
        <w:r w:rsidR="0096366C" w:rsidRPr="00BE1CA1">
          <w:rPr>
            <w:rStyle w:val="Hyperlink"/>
            <w:bCs/>
            <w:noProof/>
          </w:rPr>
          <w:t>1990</w:t>
        </w:r>
        <w:r w:rsidR="0096366C" w:rsidRPr="00BE1CA1">
          <w:rPr>
            <w:rStyle w:val="Hyperlink"/>
            <w:noProof/>
          </w:rPr>
          <w:t> and </w:t>
        </w:r>
        <w:r w:rsidR="0096366C" w:rsidRPr="00BE1CA1">
          <w:rPr>
            <w:rStyle w:val="Hyperlink"/>
            <w:bCs/>
            <w:noProof/>
          </w:rPr>
          <w:t>2020</w:t>
        </w:r>
        <w:r w:rsidR="0096366C">
          <w:rPr>
            <w:noProof/>
            <w:webHidden/>
          </w:rPr>
          <w:tab/>
        </w:r>
        <w:r w:rsidR="0096366C">
          <w:rPr>
            <w:noProof/>
            <w:webHidden/>
          </w:rPr>
          <w:fldChar w:fldCharType="begin"/>
        </w:r>
        <w:r w:rsidR="0096366C">
          <w:rPr>
            <w:noProof/>
            <w:webHidden/>
          </w:rPr>
          <w:instrText xml:space="preserve"> PAGEREF _Toc99659321 \h </w:instrText>
        </w:r>
        <w:r w:rsidR="0096366C">
          <w:rPr>
            <w:noProof/>
            <w:webHidden/>
          </w:rPr>
        </w:r>
        <w:r w:rsidR="0096366C">
          <w:rPr>
            <w:noProof/>
            <w:webHidden/>
          </w:rPr>
          <w:fldChar w:fldCharType="separate"/>
        </w:r>
        <w:r w:rsidR="009D338D">
          <w:rPr>
            <w:noProof/>
            <w:webHidden/>
          </w:rPr>
          <w:t>304</w:t>
        </w:r>
        <w:r w:rsidR="0096366C">
          <w:rPr>
            <w:noProof/>
            <w:webHidden/>
          </w:rPr>
          <w:fldChar w:fldCharType="end"/>
        </w:r>
      </w:hyperlink>
    </w:p>
    <w:p w14:paraId="2865D549" w14:textId="4E32E8F2" w:rsidR="0096366C" w:rsidRPr="00B04620" w:rsidRDefault="004B48CC">
      <w:pPr>
        <w:pStyle w:val="TableofFigures"/>
        <w:rPr>
          <w:noProof/>
          <w:sz w:val="22"/>
        </w:rPr>
      </w:pPr>
      <w:hyperlink w:anchor="_Toc99659322" w:history="1">
        <w:r w:rsidR="0096366C" w:rsidRPr="00BE1CA1">
          <w:rPr>
            <w:rStyle w:val="Hyperlink"/>
            <w:noProof/>
          </w:rPr>
          <w:t>Table 7.1.2</w:t>
        </w:r>
        <w:r w:rsidR="0096366C" w:rsidRPr="00B04620">
          <w:rPr>
            <w:noProof/>
            <w:sz w:val="22"/>
          </w:rPr>
          <w:tab/>
        </w:r>
        <w:r w:rsidR="0096366C" w:rsidRPr="00BE1CA1">
          <w:rPr>
            <w:rStyle w:val="Hyperlink"/>
            <w:noProof/>
          </w:rPr>
          <w:t>Key categories in the Waste sector</w:t>
        </w:r>
        <w:r w:rsidR="0096366C">
          <w:rPr>
            <w:noProof/>
            <w:webHidden/>
          </w:rPr>
          <w:tab/>
        </w:r>
        <w:r w:rsidR="0096366C">
          <w:rPr>
            <w:noProof/>
            <w:webHidden/>
          </w:rPr>
          <w:fldChar w:fldCharType="begin"/>
        </w:r>
        <w:r w:rsidR="0096366C">
          <w:rPr>
            <w:noProof/>
            <w:webHidden/>
          </w:rPr>
          <w:instrText xml:space="preserve"> PAGEREF _Toc99659322 \h </w:instrText>
        </w:r>
        <w:r w:rsidR="0096366C">
          <w:rPr>
            <w:noProof/>
            <w:webHidden/>
          </w:rPr>
        </w:r>
        <w:r w:rsidR="0096366C">
          <w:rPr>
            <w:noProof/>
            <w:webHidden/>
          </w:rPr>
          <w:fldChar w:fldCharType="separate"/>
        </w:r>
        <w:r w:rsidR="009D338D">
          <w:rPr>
            <w:noProof/>
            <w:webHidden/>
          </w:rPr>
          <w:t>305</w:t>
        </w:r>
        <w:r w:rsidR="0096366C">
          <w:rPr>
            <w:noProof/>
            <w:webHidden/>
          </w:rPr>
          <w:fldChar w:fldCharType="end"/>
        </w:r>
      </w:hyperlink>
    </w:p>
    <w:p w14:paraId="65B40CF0" w14:textId="5B6C9951" w:rsidR="0096366C" w:rsidRPr="00B04620" w:rsidRDefault="004B48CC">
      <w:pPr>
        <w:pStyle w:val="TableofFigures"/>
        <w:rPr>
          <w:noProof/>
          <w:sz w:val="22"/>
        </w:rPr>
      </w:pPr>
      <w:hyperlink w:anchor="_Toc99659323" w:history="1">
        <w:r w:rsidR="0096366C" w:rsidRPr="00BE1CA1">
          <w:rPr>
            <w:rStyle w:val="Hyperlink"/>
            <w:noProof/>
          </w:rPr>
          <w:t>Table 7.2.1</w:t>
        </w:r>
        <w:r w:rsidR="0096366C" w:rsidRPr="00B04620">
          <w:rPr>
            <w:noProof/>
            <w:sz w:val="22"/>
          </w:rPr>
          <w:tab/>
        </w:r>
        <w:r w:rsidR="0096366C" w:rsidRPr="00BE1CA1">
          <w:rPr>
            <w:rStyle w:val="Hyperlink"/>
            <w:noProof/>
          </w:rPr>
          <w:t>Landfill emissions in the common reporting format table</w:t>
        </w:r>
        <w:r w:rsidR="0096366C">
          <w:rPr>
            <w:noProof/>
            <w:webHidden/>
          </w:rPr>
          <w:tab/>
        </w:r>
        <w:r w:rsidR="0096366C">
          <w:rPr>
            <w:noProof/>
            <w:webHidden/>
          </w:rPr>
          <w:fldChar w:fldCharType="begin"/>
        </w:r>
        <w:r w:rsidR="0096366C">
          <w:rPr>
            <w:noProof/>
            <w:webHidden/>
          </w:rPr>
          <w:instrText xml:space="preserve"> PAGEREF _Toc99659323 \h </w:instrText>
        </w:r>
        <w:r w:rsidR="0096366C">
          <w:rPr>
            <w:noProof/>
            <w:webHidden/>
          </w:rPr>
        </w:r>
        <w:r w:rsidR="0096366C">
          <w:rPr>
            <w:noProof/>
            <w:webHidden/>
          </w:rPr>
          <w:fldChar w:fldCharType="separate"/>
        </w:r>
        <w:r w:rsidR="009D338D">
          <w:rPr>
            <w:noProof/>
            <w:webHidden/>
          </w:rPr>
          <w:t>308</w:t>
        </w:r>
        <w:r w:rsidR="0096366C">
          <w:rPr>
            <w:noProof/>
            <w:webHidden/>
          </w:rPr>
          <w:fldChar w:fldCharType="end"/>
        </w:r>
      </w:hyperlink>
    </w:p>
    <w:p w14:paraId="47612E9A" w14:textId="45D80207" w:rsidR="0096366C" w:rsidRPr="00B04620" w:rsidRDefault="004B48CC">
      <w:pPr>
        <w:pStyle w:val="TableofFigures"/>
        <w:rPr>
          <w:noProof/>
          <w:sz w:val="22"/>
        </w:rPr>
      </w:pPr>
      <w:hyperlink w:anchor="_Toc99659324" w:history="1">
        <w:r w:rsidR="0096366C" w:rsidRPr="00BE1CA1">
          <w:rPr>
            <w:rStyle w:val="Hyperlink"/>
            <w:noProof/>
          </w:rPr>
          <w:t>Table 7.2.2</w:t>
        </w:r>
        <w:r w:rsidR="0096366C" w:rsidRPr="00B04620">
          <w:rPr>
            <w:noProof/>
            <w:sz w:val="22"/>
          </w:rPr>
          <w:tab/>
        </w:r>
        <w:r w:rsidR="0096366C" w:rsidRPr="00BE1CA1">
          <w:rPr>
            <w:rStyle w:val="Hyperlink"/>
            <w:noProof/>
          </w:rPr>
          <w:t xml:space="preserve">Landfill categories in </w:t>
        </w:r>
        <w:r w:rsidR="0096366C" w:rsidRPr="00BE1CA1">
          <w:rPr>
            <w:rStyle w:val="Hyperlink"/>
            <w:bCs/>
            <w:noProof/>
          </w:rPr>
          <w:t>2020</w:t>
        </w:r>
        <w:r w:rsidR="0096366C">
          <w:rPr>
            <w:noProof/>
            <w:webHidden/>
          </w:rPr>
          <w:tab/>
        </w:r>
        <w:r w:rsidR="0096366C">
          <w:rPr>
            <w:noProof/>
            <w:webHidden/>
          </w:rPr>
          <w:fldChar w:fldCharType="begin"/>
        </w:r>
        <w:r w:rsidR="0096366C">
          <w:rPr>
            <w:noProof/>
            <w:webHidden/>
          </w:rPr>
          <w:instrText xml:space="preserve"> PAGEREF _Toc99659324 \h </w:instrText>
        </w:r>
        <w:r w:rsidR="0096366C">
          <w:rPr>
            <w:noProof/>
            <w:webHidden/>
          </w:rPr>
        </w:r>
        <w:r w:rsidR="0096366C">
          <w:rPr>
            <w:noProof/>
            <w:webHidden/>
          </w:rPr>
          <w:fldChar w:fldCharType="separate"/>
        </w:r>
        <w:r w:rsidR="009D338D">
          <w:rPr>
            <w:noProof/>
            <w:webHidden/>
          </w:rPr>
          <w:t>310</w:t>
        </w:r>
        <w:r w:rsidR="0096366C">
          <w:rPr>
            <w:noProof/>
            <w:webHidden/>
          </w:rPr>
          <w:fldChar w:fldCharType="end"/>
        </w:r>
      </w:hyperlink>
    </w:p>
    <w:p w14:paraId="7645947F" w14:textId="4FAA06E4" w:rsidR="0096366C" w:rsidRPr="00B04620" w:rsidRDefault="004B48CC">
      <w:pPr>
        <w:pStyle w:val="TableofFigures"/>
        <w:rPr>
          <w:noProof/>
          <w:sz w:val="22"/>
        </w:rPr>
      </w:pPr>
      <w:hyperlink w:anchor="_Toc99659325" w:history="1">
        <w:r w:rsidR="0096366C" w:rsidRPr="00BE1CA1">
          <w:rPr>
            <w:rStyle w:val="Hyperlink"/>
            <w:noProof/>
          </w:rPr>
          <w:t>Table 7.2.3</w:t>
        </w:r>
        <w:r w:rsidR="0096366C" w:rsidRPr="00B04620">
          <w:rPr>
            <w:noProof/>
            <w:sz w:val="22"/>
          </w:rPr>
          <w:tab/>
        </w:r>
        <w:r w:rsidR="0096366C" w:rsidRPr="00BE1CA1">
          <w:rPr>
            <w:rStyle w:val="Hyperlink"/>
            <w:noProof/>
          </w:rPr>
          <w:t>Solid waste deposited to municipal and uncategorised landfills from 1950 to </w:t>
        </w:r>
        <w:r w:rsidR="0096366C" w:rsidRPr="00BE1CA1">
          <w:rPr>
            <w:rStyle w:val="Hyperlink"/>
            <w:bCs/>
            <w:noProof/>
          </w:rPr>
          <w:t>2020</w:t>
        </w:r>
        <w:r w:rsidR="0096366C">
          <w:rPr>
            <w:noProof/>
            <w:webHidden/>
          </w:rPr>
          <w:tab/>
        </w:r>
        <w:r w:rsidR="0096366C">
          <w:rPr>
            <w:noProof/>
            <w:webHidden/>
          </w:rPr>
          <w:fldChar w:fldCharType="begin"/>
        </w:r>
        <w:r w:rsidR="0096366C">
          <w:rPr>
            <w:noProof/>
            <w:webHidden/>
          </w:rPr>
          <w:instrText xml:space="preserve"> PAGEREF _Toc99659325 \h </w:instrText>
        </w:r>
        <w:r w:rsidR="0096366C">
          <w:rPr>
            <w:noProof/>
            <w:webHidden/>
          </w:rPr>
        </w:r>
        <w:r w:rsidR="0096366C">
          <w:rPr>
            <w:noProof/>
            <w:webHidden/>
          </w:rPr>
          <w:fldChar w:fldCharType="separate"/>
        </w:r>
        <w:r w:rsidR="009D338D">
          <w:rPr>
            <w:noProof/>
            <w:webHidden/>
          </w:rPr>
          <w:t>310</w:t>
        </w:r>
        <w:r w:rsidR="0096366C">
          <w:rPr>
            <w:noProof/>
            <w:webHidden/>
          </w:rPr>
          <w:fldChar w:fldCharType="end"/>
        </w:r>
      </w:hyperlink>
    </w:p>
    <w:p w14:paraId="665EC212" w14:textId="032CD6E2" w:rsidR="0096366C" w:rsidRPr="00B04620" w:rsidRDefault="004B48CC">
      <w:pPr>
        <w:pStyle w:val="TableofFigures"/>
        <w:rPr>
          <w:noProof/>
          <w:sz w:val="22"/>
        </w:rPr>
      </w:pPr>
      <w:hyperlink w:anchor="_Toc99659326" w:history="1">
        <w:r w:rsidR="0096366C" w:rsidRPr="00BE1CA1">
          <w:rPr>
            <w:rStyle w:val="Hyperlink"/>
            <w:noProof/>
          </w:rPr>
          <w:t>Table 7.2.4</w:t>
        </w:r>
        <w:r w:rsidR="0096366C" w:rsidRPr="00B04620">
          <w:rPr>
            <w:noProof/>
            <w:sz w:val="22"/>
          </w:rPr>
          <w:tab/>
        </w:r>
        <w:r w:rsidR="0096366C" w:rsidRPr="00BE1CA1">
          <w:rPr>
            <w:rStyle w:val="Hyperlink"/>
            <w:noProof/>
          </w:rPr>
          <w:t>Solid waste deposited to unmanaged landfills from 1950 to </w:t>
        </w:r>
        <w:r w:rsidR="0096366C" w:rsidRPr="00BE1CA1">
          <w:rPr>
            <w:rStyle w:val="Hyperlink"/>
            <w:bCs/>
            <w:noProof/>
          </w:rPr>
          <w:t>2020</w:t>
        </w:r>
        <w:r w:rsidR="0096366C">
          <w:rPr>
            <w:noProof/>
            <w:webHidden/>
          </w:rPr>
          <w:tab/>
        </w:r>
        <w:r w:rsidR="0096366C">
          <w:rPr>
            <w:noProof/>
            <w:webHidden/>
          </w:rPr>
          <w:fldChar w:fldCharType="begin"/>
        </w:r>
        <w:r w:rsidR="0096366C">
          <w:rPr>
            <w:noProof/>
            <w:webHidden/>
          </w:rPr>
          <w:instrText xml:space="preserve"> PAGEREF _Toc99659326 \h </w:instrText>
        </w:r>
        <w:r w:rsidR="0096366C">
          <w:rPr>
            <w:noProof/>
            <w:webHidden/>
          </w:rPr>
        </w:r>
        <w:r w:rsidR="0096366C">
          <w:rPr>
            <w:noProof/>
            <w:webHidden/>
          </w:rPr>
          <w:fldChar w:fldCharType="separate"/>
        </w:r>
        <w:r w:rsidR="009D338D">
          <w:rPr>
            <w:noProof/>
            <w:webHidden/>
          </w:rPr>
          <w:t>313</w:t>
        </w:r>
        <w:r w:rsidR="0096366C">
          <w:rPr>
            <w:noProof/>
            <w:webHidden/>
          </w:rPr>
          <w:fldChar w:fldCharType="end"/>
        </w:r>
      </w:hyperlink>
    </w:p>
    <w:p w14:paraId="5C482925" w14:textId="263BB8A6" w:rsidR="0096366C" w:rsidRPr="00B04620" w:rsidRDefault="004B48CC">
      <w:pPr>
        <w:pStyle w:val="TableofFigures"/>
        <w:rPr>
          <w:noProof/>
          <w:sz w:val="22"/>
        </w:rPr>
      </w:pPr>
      <w:hyperlink w:anchor="_Toc99659327" w:history="1">
        <w:r w:rsidR="0096366C" w:rsidRPr="00BE1CA1">
          <w:rPr>
            <w:rStyle w:val="Hyperlink"/>
            <w:noProof/>
          </w:rPr>
          <w:t>Table 7.2.5</w:t>
        </w:r>
        <w:r w:rsidR="0096366C" w:rsidRPr="00B04620">
          <w:rPr>
            <w:noProof/>
            <w:sz w:val="22"/>
          </w:rPr>
          <w:tab/>
        </w:r>
        <w:r w:rsidR="0096366C" w:rsidRPr="00BE1CA1">
          <w:rPr>
            <w:rStyle w:val="Hyperlink"/>
            <w:noProof/>
          </w:rPr>
          <w:t>Estimated composition of waste to municipal landfills from 1950 to </w:t>
        </w:r>
        <w:r w:rsidR="0096366C" w:rsidRPr="00BE1CA1">
          <w:rPr>
            <w:rStyle w:val="Hyperlink"/>
            <w:bCs/>
            <w:noProof/>
          </w:rPr>
          <w:t>2020</w:t>
        </w:r>
        <w:r w:rsidR="0096366C">
          <w:rPr>
            <w:noProof/>
            <w:webHidden/>
          </w:rPr>
          <w:tab/>
        </w:r>
        <w:r w:rsidR="0096366C">
          <w:rPr>
            <w:noProof/>
            <w:webHidden/>
          </w:rPr>
          <w:fldChar w:fldCharType="begin"/>
        </w:r>
        <w:r w:rsidR="0096366C">
          <w:rPr>
            <w:noProof/>
            <w:webHidden/>
          </w:rPr>
          <w:instrText xml:space="preserve"> PAGEREF _Toc99659327 \h </w:instrText>
        </w:r>
        <w:r w:rsidR="0096366C">
          <w:rPr>
            <w:noProof/>
            <w:webHidden/>
          </w:rPr>
        </w:r>
        <w:r w:rsidR="0096366C">
          <w:rPr>
            <w:noProof/>
            <w:webHidden/>
          </w:rPr>
          <w:fldChar w:fldCharType="separate"/>
        </w:r>
        <w:r w:rsidR="009D338D">
          <w:rPr>
            <w:noProof/>
            <w:webHidden/>
          </w:rPr>
          <w:t>316</w:t>
        </w:r>
        <w:r w:rsidR="0096366C">
          <w:rPr>
            <w:noProof/>
            <w:webHidden/>
          </w:rPr>
          <w:fldChar w:fldCharType="end"/>
        </w:r>
      </w:hyperlink>
    </w:p>
    <w:p w14:paraId="575F4CE7" w14:textId="73A5D80D" w:rsidR="0096366C" w:rsidRPr="00B04620" w:rsidRDefault="004B48CC">
      <w:pPr>
        <w:pStyle w:val="TableofFigures"/>
        <w:rPr>
          <w:noProof/>
          <w:sz w:val="22"/>
        </w:rPr>
      </w:pPr>
      <w:hyperlink w:anchor="_Toc99659328" w:history="1">
        <w:r w:rsidR="0096366C" w:rsidRPr="00BE1CA1">
          <w:rPr>
            <w:rStyle w:val="Hyperlink"/>
            <w:noProof/>
          </w:rPr>
          <w:t>Table 7.2.6</w:t>
        </w:r>
        <w:r w:rsidR="0096366C" w:rsidRPr="00B04620">
          <w:rPr>
            <w:noProof/>
            <w:sz w:val="22"/>
          </w:rPr>
          <w:tab/>
        </w:r>
        <w:r w:rsidR="0096366C" w:rsidRPr="00BE1CA1">
          <w:rPr>
            <w:rStyle w:val="Hyperlink"/>
            <w:noProof/>
          </w:rPr>
          <w:t>Parameters by waste type that determine the quantity and rate of methane generation</w:t>
        </w:r>
        <w:r w:rsidR="0096366C">
          <w:rPr>
            <w:noProof/>
            <w:webHidden/>
          </w:rPr>
          <w:tab/>
        </w:r>
        <w:r w:rsidR="0096366C">
          <w:rPr>
            <w:noProof/>
            <w:webHidden/>
          </w:rPr>
          <w:fldChar w:fldCharType="begin"/>
        </w:r>
        <w:r w:rsidR="0096366C">
          <w:rPr>
            <w:noProof/>
            <w:webHidden/>
          </w:rPr>
          <w:instrText xml:space="preserve"> PAGEREF _Toc99659328 \h </w:instrText>
        </w:r>
        <w:r w:rsidR="0096366C">
          <w:rPr>
            <w:noProof/>
            <w:webHidden/>
          </w:rPr>
        </w:r>
        <w:r w:rsidR="0096366C">
          <w:rPr>
            <w:noProof/>
            <w:webHidden/>
          </w:rPr>
          <w:fldChar w:fldCharType="separate"/>
        </w:r>
        <w:r w:rsidR="009D338D">
          <w:rPr>
            <w:noProof/>
            <w:webHidden/>
          </w:rPr>
          <w:t>317</w:t>
        </w:r>
        <w:r w:rsidR="0096366C">
          <w:rPr>
            <w:noProof/>
            <w:webHidden/>
          </w:rPr>
          <w:fldChar w:fldCharType="end"/>
        </w:r>
      </w:hyperlink>
    </w:p>
    <w:p w14:paraId="7E16194C" w14:textId="0D91F3EA" w:rsidR="0096366C" w:rsidRPr="00B04620" w:rsidRDefault="004B48CC">
      <w:pPr>
        <w:pStyle w:val="TableofFigures"/>
        <w:rPr>
          <w:noProof/>
          <w:sz w:val="22"/>
        </w:rPr>
      </w:pPr>
      <w:hyperlink w:anchor="_Toc99659329" w:history="1">
        <w:r w:rsidR="0096366C" w:rsidRPr="00BE1CA1">
          <w:rPr>
            <w:rStyle w:val="Hyperlink"/>
            <w:noProof/>
          </w:rPr>
          <w:t>Table 7.2.7</w:t>
        </w:r>
        <w:r w:rsidR="0096366C" w:rsidRPr="00B04620">
          <w:rPr>
            <w:noProof/>
            <w:sz w:val="22"/>
          </w:rPr>
          <w:tab/>
        </w:r>
        <w:r w:rsidR="0096366C" w:rsidRPr="00BE1CA1">
          <w:rPr>
            <w:rStyle w:val="Hyperlink"/>
            <w:noProof/>
          </w:rPr>
          <w:t>Summary of parameters for municipal landfills</w:t>
        </w:r>
        <w:r w:rsidR="0096366C">
          <w:rPr>
            <w:noProof/>
            <w:webHidden/>
          </w:rPr>
          <w:tab/>
        </w:r>
        <w:r w:rsidR="0096366C">
          <w:rPr>
            <w:noProof/>
            <w:webHidden/>
          </w:rPr>
          <w:fldChar w:fldCharType="begin"/>
        </w:r>
        <w:r w:rsidR="0096366C">
          <w:rPr>
            <w:noProof/>
            <w:webHidden/>
          </w:rPr>
          <w:instrText xml:space="preserve"> PAGEREF _Toc99659329 \h </w:instrText>
        </w:r>
        <w:r w:rsidR="0096366C">
          <w:rPr>
            <w:noProof/>
            <w:webHidden/>
          </w:rPr>
        </w:r>
        <w:r w:rsidR="0096366C">
          <w:rPr>
            <w:noProof/>
            <w:webHidden/>
          </w:rPr>
          <w:fldChar w:fldCharType="separate"/>
        </w:r>
        <w:r w:rsidR="009D338D">
          <w:rPr>
            <w:noProof/>
            <w:webHidden/>
          </w:rPr>
          <w:t>318</w:t>
        </w:r>
        <w:r w:rsidR="0096366C">
          <w:rPr>
            <w:noProof/>
            <w:webHidden/>
          </w:rPr>
          <w:fldChar w:fldCharType="end"/>
        </w:r>
      </w:hyperlink>
    </w:p>
    <w:p w14:paraId="30D58194" w14:textId="47B0044C" w:rsidR="0096366C" w:rsidRPr="00B04620" w:rsidRDefault="004B48CC">
      <w:pPr>
        <w:pStyle w:val="TableofFigures"/>
        <w:rPr>
          <w:noProof/>
          <w:sz w:val="22"/>
        </w:rPr>
      </w:pPr>
      <w:hyperlink w:anchor="_Toc99659330" w:history="1">
        <w:r w:rsidR="0096366C" w:rsidRPr="00BE1CA1">
          <w:rPr>
            <w:rStyle w:val="Hyperlink"/>
            <w:noProof/>
          </w:rPr>
          <w:t>Table 7.2.8</w:t>
        </w:r>
        <w:r w:rsidR="0096366C" w:rsidRPr="00B04620">
          <w:rPr>
            <w:noProof/>
            <w:sz w:val="22"/>
          </w:rPr>
          <w:tab/>
        </w:r>
        <w:r w:rsidR="0096366C" w:rsidRPr="00BE1CA1">
          <w:rPr>
            <w:rStyle w:val="Hyperlink"/>
            <w:noProof/>
          </w:rPr>
          <w:t>Summary of parameters for non-municipal landfills and farm fills</w:t>
        </w:r>
        <w:r w:rsidR="0096366C">
          <w:rPr>
            <w:noProof/>
            <w:webHidden/>
          </w:rPr>
          <w:tab/>
        </w:r>
        <w:r w:rsidR="0096366C">
          <w:rPr>
            <w:noProof/>
            <w:webHidden/>
          </w:rPr>
          <w:fldChar w:fldCharType="begin"/>
        </w:r>
        <w:r w:rsidR="0096366C">
          <w:rPr>
            <w:noProof/>
            <w:webHidden/>
          </w:rPr>
          <w:instrText xml:space="preserve"> PAGEREF _Toc99659330 \h </w:instrText>
        </w:r>
        <w:r w:rsidR="0096366C">
          <w:rPr>
            <w:noProof/>
            <w:webHidden/>
          </w:rPr>
        </w:r>
        <w:r w:rsidR="0096366C">
          <w:rPr>
            <w:noProof/>
            <w:webHidden/>
          </w:rPr>
          <w:fldChar w:fldCharType="separate"/>
        </w:r>
        <w:r w:rsidR="009D338D">
          <w:rPr>
            <w:noProof/>
            <w:webHidden/>
          </w:rPr>
          <w:t>320</w:t>
        </w:r>
        <w:r w:rsidR="0096366C">
          <w:rPr>
            <w:noProof/>
            <w:webHidden/>
          </w:rPr>
          <w:fldChar w:fldCharType="end"/>
        </w:r>
      </w:hyperlink>
    </w:p>
    <w:p w14:paraId="09D8E61B" w14:textId="4304C741" w:rsidR="0096366C" w:rsidRPr="00B04620" w:rsidRDefault="004B48CC">
      <w:pPr>
        <w:pStyle w:val="TableofFigures"/>
        <w:rPr>
          <w:noProof/>
          <w:sz w:val="22"/>
        </w:rPr>
      </w:pPr>
      <w:hyperlink w:anchor="_Toc99659331" w:history="1">
        <w:r w:rsidR="0096366C" w:rsidRPr="00BE1CA1">
          <w:rPr>
            <w:rStyle w:val="Hyperlink"/>
            <w:noProof/>
          </w:rPr>
          <w:t>Table 7.2.9</w:t>
        </w:r>
        <w:r w:rsidR="0096366C" w:rsidRPr="00B04620">
          <w:rPr>
            <w:noProof/>
            <w:sz w:val="22"/>
          </w:rPr>
          <w:tab/>
        </w:r>
        <w:r w:rsidR="0096366C" w:rsidRPr="00BE1CA1">
          <w:rPr>
            <w:rStyle w:val="Hyperlink"/>
            <w:noProof/>
          </w:rPr>
          <w:t xml:space="preserve">Uncertainty in emissions from </w:t>
        </w:r>
        <w:r w:rsidR="0096366C" w:rsidRPr="00BE1CA1">
          <w:rPr>
            <w:rStyle w:val="Hyperlink"/>
            <w:i/>
            <w:iCs/>
            <w:noProof/>
          </w:rPr>
          <w:t>Solid waste disposal</w:t>
        </w:r>
        <w:r w:rsidR="0096366C">
          <w:rPr>
            <w:noProof/>
            <w:webHidden/>
          </w:rPr>
          <w:tab/>
        </w:r>
        <w:r w:rsidR="0096366C">
          <w:rPr>
            <w:noProof/>
            <w:webHidden/>
          </w:rPr>
          <w:fldChar w:fldCharType="begin"/>
        </w:r>
        <w:r w:rsidR="0096366C">
          <w:rPr>
            <w:noProof/>
            <w:webHidden/>
          </w:rPr>
          <w:instrText xml:space="preserve"> PAGEREF _Toc99659331 \h </w:instrText>
        </w:r>
        <w:r w:rsidR="0096366C">
          <w:rPr>
            <w:noProof/>
            <w:webHidden/>
          </w:rPr>
        </w:r>
        <w:r w:rsidR="0096366C">
          <w:rPr>
            <w:noProof/>
            <w:webHidden/>
          </w:rPr>
          <w:fldChar w:fldCharType="separate"/>
        </w:r>
        <w:r w:rsidR="009D338D">
          <w:rPr>
            <w:noProof/>
            <w:webHidden/>
          </w:rPr>
          <w:t>321</w:t>
        </w:r>
        <w:r w:rsidR="0096366C">
          <w:rPr>
            <w:noProof/>
            <w:webHidden/>
          </w:rPr>
          <w:fldChar w:fldCharType="end"/>
        </w:r>
      </w:hyperlink>
    </w:p>
    <w:p w14:paraId="61005D64" w14:textId="693D86C5" w:rsidR="0096366C" w:rsidRPr="00B04620" w:rsidRDefault="004B48CC">
      <w:pPr>
        <w:pStyle w:val="TableofFigures"/>
        <w:rPr>
          <w:noProof/>
          <w:sz w:val="22"/>
        </w:rPr>
      </w:pPr>
      <w:hyperlink w:anchor="_Toc99659332" w:history="1">
        <w:r w:rsidR="0096366C" w:rsidRPr="00BE1CA1">
          <w:rPr>
            <w:rStyle w:val="Hyperlink"/>
            <w:noProof/>
          </w:rPr>
          <w:t>Table 7.3.1</w:t>
        </w:r>
        <w:r w:rsidR="0096366C" w:rsidRPr="00B04620">
          <w:rPr>
            <w:noProof/>
            <w:sz w:val="22"/>
          </w:rPr>
          <w:tab/>
        </w:r>
        <w:r w:rsidR="0096366C" w:rsidRPr="00BE1CA1">
          <w:rPr>
            <w:rStyle w:val="Hyperlink"/>
            <w:noProof/>
          </w:rPr>
          <w:t>Emission factors applied to estimate emissions from composting</w:t>
        </w:r>
        <w:r w:rsidR="0096366C">
          <w:rPr>
            <w:noProof/>
            <w:webHidden/>
          </w:rPr>
          <w:tab/>
        </w:r>
        <w:r w:rsidR="0096366C">
          <w:rPr>
            <w:noProof/>
            <w:webHidden/>
          </w:rPr>
          <w:fldChar w:fldCharType="begin"/>
        </w:r>
        <w:r w:rsidR="0096366C">
          <w:rPr>
            <w:noProof/>
            <w:webHidden/>
          </w:rPr>
          <w:instrText xml:space="preserve"> PAGEREF _Toc99659332 \h </w:instrText>
        </w:r>
        <w:r w:rsidR="0096366C">
          <w:rPr>
            <w:noProof/>
            <w:webHidden/>
          </w:rPr>
        </w:r>
        <w:r w:rsidR="0096366C">
          <w:rPr>
            <w:noProof/>
            <w:webHidden/>
          </w:rPr>
          <w:fldChar w:fldCharType="separate"/>
        </w:r>
        <w:r w:rsidR="009D338D">
          <w:rPr>
            <w:noProof/>
            <w:webHidden/>
          </w:rPr>
          <w:t>322</w:t>
        </w:r>
        <w:r w:rsidR="0096366C">
          <w:rPr>
            <w:noProof/>
            <w:webHidden/>
          </w:rPr>
          <w:fldChar w:fldCharType="end"/>
        </w:r>
      </w:hyperlink>
    </w:p>
    <w:p w14:paraId="660BBF62" w14:textId="4EFBD0BB" w:rsidR="0096366C" w:rsidRPr="00B04620" w:rsidRDefault="004B48CC">
      <w:pPr>
        <w:pStyle w:val="TableofFigures"/>
        <w:rPr>
          <w:noProof/>
          <w:sz w:val="22"/>
        </w:rPr>
      </w:pPr>
      <w:hyperlink w:anchor="_Toc99659333" w:history="1">
        <w:r w:rsidR="0096366C" w:rsidRPr="00BE1CA1">
          <w:rPr>
            <w:rStyle w:val="Hyperlink"/>
            <w:noProof/>
          </w:rPr>
          <w:t>Table 7.3.2</w:t>
        </w:r>
        <w:r w:rsidR="0096366C" w:rsidRPr="00B04620">
          <w:rPr>
            <w:noProof/>
            <w:sz w:val="22"/>
          </w:rPr>
          <w:tab/>
        </w:r>
        <w:r w:rsidR="0096366C" w:rsidRPr="00BE1CA1">
          <w:rPr>
            <w:rStyle w:val="Hyperlink"/>
            <w:noProof/>
          </w:rPr>
          <w:t>Uncertainty in emissions from composting</w:t>
        </w:r>
        <w:r w:rsidR="0096366C">
          <w:rPr>
            <w:noProof/>
            <w:webHidden/>
          </w:rPr>
          <w:tab/>
        </w:r>
        <w:r w:rsidR="0096366C">
          <w:rPr>
            <w:noProof/>
            <w:webHidden/>
          </w:rPr>
          <w:fldChar w:fldCharType="begin"/>
        </w:r>
        <w:r w:rsidR="0096366C">
          <w:rPr>
            <w:noProof/>
            <w:webHidden/>
          </w:rPr>
          <w:instrText xml:space="preserve"> PAGEREF _Toc99659333 \h </w:instrText>
        </w:r>
        <w:r w:rsidR="0096366C">
          <w:rPr>
            <w:noProof/>
            <w:webHidden/>
          </w:rPr>
        </w:r>
        <w:r w:rsidR="0096366C">
          <w:rPr>
            <w:noProof/>
            <w:webHidden/>
          </w:rPr>
          <w:fldChar w:fldCharType="separate"/>
        </w:r>
        <w:r w:rsidR="009D338D">
          <w:rPr>
            <w:noProof/>
            <w:webHidden/>
          </w:rPr>
          <w:t>323</w:t>
        </w:r>
        <w:r w:rsidR="0096366C">
          <w:rPr>
            <w:noProof/>
            <w:webHidden/>
          </w:rPr>
          <w:fldChar w:fldCharType="end"/>
        </w:r>
      </w:hyperlink>
    </w:p>
    <w:p w14:paraId="6BBA0EAE" w14:textId="28693953" w:rsidR="0096366C" w:rsidRPr="00B04620" w:rsidRDefault="004B48CC">
      <w:pPr>
        <w:pStyle w:val="TableofFigures"/>
        <w:rPr>
          <w:noProof/>
          <w:sz w:val="22"/>
        </w:rPr>
      </w:pPr>
      <w:hyperlink w:anchor="_Toc99659334" w:history="1">
        <w:r w:rsidR="0096366C" w:rsidRPr="00BE1CA1">
          <w:rPr>
            <w:rStyle w:val="Hyperlink"/>
            <w:noProof/>
          </w:rPr>
          <w:t>Table 7.4.1</w:t>
        </w:r>
        <w:r w:rsidR="0096366C" w:rsidRPr="00B04620">
          <w:rPr>
            <w:noProof/>
            <w:sz w:val="22"/>
          </w:rPr>
          <w:tab/>
        </w:r>
        <w:r w:rsidR="0096366C" w:rsidRPr="00BE1CA1">
          <w:rPr>
            <w:rStyle w:val="Hyperlink"/>
            <w:noProof/>
          </w:rPr>
          <w:t xml:space="preserve">Emissions from </w:t>
        </w:r>
        <w:r w:rsidR="0096366C" w:rsidRPr="00BE1CA1">
          <w:rPr>
            <w:rStyle w:val="Hyperlink"/>
            <w:i/>
            <w:iCs/>
            <w:noProof/>
          </w:rPr>
          <w:t>Incineration and open burning of waste</w:t>
        </w:r>
        <w:r w:rsidR="0096366C" w:rsidRPr="00BE1CA1">
          <w:rPr>
            <w:rStyle w:val="Hyperlink"/>
            <w:noProof/>
          </w:rPr>
          <w:t xml:space="preserve"> (5.C)</w:t>
        </w:r>
        <w:r w:rsidR="0096366C">
          <w:rPr>
            <w:noProof/>
            <w:webHidden/>
          </w:rPr>
          <w:tab/>
        </w:r>
        <w:r w:rsidR="0096366C">
          <w:rPr>
            <w:noProof/>
            <w:webHidden/>
          </w:rPr>
          <w:fldChar w:fldCharType="begin"/>
        </w:r>
        <w:r w:rsidR="0096366C">
          <w:rPr>
            <w:noProof/>
            <w:webHidden/>
          </w:rPr>
          <w:instrText xml:space="preserve"> PAGEREF _Toc99659334 \h </w:instrText>
        </w:r>
        <w:r w:rsidR="0096366C">
          <w:rPr>
            <w:noProof/>
            <w:webHidden/>
          </w:rPr>
        </w:r>
        <w:r w:rsidR="0096366C">
          <w:rPr>
            <w:noProof/>
            <w:webHidden/>
          </w:rPr>
          <w:fldChar w:fldCharType="separate"/>
        </w:r>
        <w:r w:rsidR="009D338D">
          <w:rPr>
            <w:noProof/>
            <w:webHidden/>
          </w:rPr>
          <w:t>324</w:t>
        </w:r>
        <w:r w:rsidR="0096366C">
          <w:rPr>
            <w:noProof/>
            <w:webHidden/>
          </w:rPr>
          <w:fldChar w:fldCharType="end"/>
        </w:r>
      </w:hyperlink>
    </w:p>
    <w:p w14:paraId="5BD2219F" w14:textId="22EB7EF8" w:rsidR="0096366C" w:rsidRPr="00B04620" w:rsidRDefault="004B48CC">
      <w:pPr>
        <w:pStyle w:val="TableofFigures"/>
        <w:rPr>
          <w:noProof/>
          <w:sz w:val="22"/>
        </w:rPr>
      </w:pPr>
      <w:hyperlink w:anchor="_Toc99659335" w:history="1">
        <w:r w:rsidR="0096366C" w:rsidRPr="00BE1CA1">
          <w:rPr>
            <w:rStyle w:val="Hyperlink"/>
            <w:noProof/>
          </w:rPr>
          <w:t>Table 7.4.2</w:t>
        </w:r>
        <w:r w:rsidR="0096366C" w:rsidRPr="00B04620">
          <w:rPr>
            <w:noProof/>
            <w:sz w:val="22"/>
          </w:rPr>
          <w:tab/>
        </w:r>
        <w:r w:rsidR="0096366C" w:rsidRPr="00BE1CA1">
          <w:rPr>
            <w:rStyle w:val="Hyperlink"/>
            <w:noProof/>
          </w:rPr>
          <w:t xml:space="preserve">Amounts of waste incinerated from </w:t>
        </w:r>
        <w:r w:rsidR="0096366C" w:rsidRPr="00BE1CA1">
          <w:rPr>
            <w:rStyle w:val="Hyperlink"/>
            <w:bCs/>
            <w:noProof/>
          </w:rPr>
          <w:t>1990</w:t>
        </w:r>
        <w:r w:rsidR="0096366C" w:rsidRPr="00BE1CA1">
          <w:rPr>
            <w:rStyle w:val="Hyperlink"/>
            <w:noProof/>
          </w:rPr>
          <w:t> to </w:t>
        </w:r>
        <w:r w:rsidR="0096366C" w:rsidRPr="00BE1CA1">
          <w:rPr>
            <w:rStyle w:val="Hyperlink"/>
            <w:bCs/>
            <w:noProof/>
          </w:rPr>
          <w:t>2020</w:t>
        </w:r>
        <w:r w:rsidR="0096366C">
          <w:rPr>
            <w:noProof/>
            <w:webHidden/>
          </w:rPr>
          <w:tab/>
        </w:r>
        <w:r w:rsidR="0096366C">
          <w:rPr>
            <w:noProof/>
            <w:webHidden/>
          </w:rPr>
          <w:fldChar w:fldCharType="begin"/>
        </w:r>
        <w:r w:rsidR="0096366C">
          <w:rPr>
            <w:noProof/>
            <w:webHidden/>
          </w:rPr>
          <w:instrText xml:space="preserve"> PAGEREF _Toc99659335 \h </w:instrText>
        </w:r>
        <w:r w:rsidR="0096366C">
          <w:rPr>
            <w:noProof/>
            <w:webHidden/>
          </w:rPr>
        </w:r>
        <w:r w:rsidR="0096366C">
          <w:rPr>
            <w:noProof/>
            <w:webHidden/>
          </w:rPr>
          <w:fldChar w:fldCharType="separate"/>
        </w:r>
        <w:r w:rsidR="009D338D">
          <w:rPr>
            <w:noProof/>
            <w:webHidden/>
          </w:rPr>
          <w:t>325</w:t>
        </w:r>
        <w:r w:rsidR="0096366C">
          <w:rPr>
            <w:noProof/>
            <w:webHidden/>
          </w:rPr>
          <w:fldChar w:fldCharType="end"/>
        </w:r>
      </w:hyperlink>
    </w:p>
    <w:p w14:paraId="2760A6B5" w14:textId="2C9AE278" w:rsidR="0096366C" w:rsidRPr="00B04620" w:rsidRDefault="004B48CC">
      <w:pPr>
        <w:pStyle w:val="TableofFigures"/>
        <w:rPr>
          <w:noProof/>
          <w:sz w:val="22"/>
        </w:rPr>
      </w:pPr>
      <w:hyperlink w:anchor="_Toc99659336" w:history="1">
        <w:r w:rsidR="0096366C" w:rsidRPr="00BE1CA1">
          <w:rPr>
            <w:rStyle w:val="Hyperlink"/>
            <w:noProof/>
          </w:rPr>
          <w:t>Table 7.4.3</w:t>
        </w:r>
        <w:r w:rsidR="0096366C" w:rsidRPr="00B04620">
          <w:rPr>
            <w:noProof/>
            <w:sz w:val="22"/>
          </w:rPr>
          <w:tab/>
        </w:r>
        <w:r w:rsidR="0096366C" w:rsidRPr="00BE1CA1">
          <w:rPr>
            <w:rStyle w:val="Hyperlink"/>
            <w:noProof/>
          </w:rPr>
          <w:t>Values applied to estimate carbon dioxide emissions from open burning of rural waste</w:t>
        </w:r>
        <w:r w:rsidR="0096366C">
          <w:rPr>
            <w:noProof/>
            <w:webHidden/>
          </w:rPr>
          <w:tab/>
        </w:r>
        <w:r w:rsidR="0096366C">
          <w:rPr>
            <w:noProof/>
            <w:webHidden/>
          </w:rPr>
          <w:fldChar w:fldCharType="begin"/>
        </w:r>
        <w:r w:rsidR="0096366C">
          <w:rPr>
            <w:noProof/>
            <w:webHidden/>
          </w:rPr>
          <w:instrText xml:space="preserve"> PAGEREF _Toc99659336 \h </w:instrText>
        </w:r>
        <w:r w:rsidR="0096366C">
          <w:rPr>
            <w:noProof/>
            <w:webHidden/>
          </w:rPr>
        </w:r>
        <w:r w:rsidR="0096366C">
          <w:rPr>
            <w:noProof/>
            <w:webHidden/>
          </w:rPr>
          <w:fldChar w:fldCharType="separate"/>
        </w:r>
        <w:r w:rsidR="009D338D">
          <w:rPr>
            <w:noProof/>
            <w:webHidden/>
          </w:rPr>
          <w:t>326</w:t>
        </w:r>
        <w:r w:rsidR="0096366C">
          <w:rPr>
            <w:noProof/>
            <w:webHidden/>
          </w:rPr>
          <w:fldChar w:fldCharType="end"/>
        </w:r>
      </w:hyperlink>
    </w:p>
    <w:p w14:paraId="41E82E58" w14:textId="053C08CF" w:rsidR="0096366C" w:rsidRPr="00B04620" w:rsidRDefault="004B48CC">
      <w:pPr>
        <w:pStyle w:val="TableofFigures"/>
        <w:rPr>
          <w:noProof/>
          <w:sz w:val="22"/>
        </w:rPr>
      </w:pPr>
      <w:hyperlink w:anchor="_Toc99659337" w:history="1">
        <w:r w:rsidR="0096366C" w:rsidRPr="00BE1CA1">
          <w:rPr>
            <w:rStyle w:val="Hyperlink"/>
            <w:noProof/>
          </w:rPr>
          <w:t>Table 7.4.4</w:t>
        </w:r>
        <w:r w:rsidR="0096366C" w:rsidRPr="00B04620">
          <w:rPr>
            <w:noProof/>
            <w:sz w:val="22"/>
          </w:rPr>
          <w:tab/>
        </w:r>
        <w:r w:rsidR="0096366C" w:rsidRPr="00BE1CA1">
          <w:rPr>
            <w:rStyle w:val="Hyperlink"/>
            <w:noProof/>
          </w:rPr>
          <w:t>Parameter values applied to estimate emissions from incineration</w:t>
        </w:r>
        <w:r w:rsidR="0096366C">
          <w:rPr>
            <w:noProof/>
            <w:webHidden/>
          </w:rPr>
          <w:tab/>
        </w:r>
        <w:r w:rsidR="0096366C">
          <w:rPr>
            <w:noProof/>
            <w:webHidden/>
          </w:rPr>
          <w:fldChar w:fldCharType="begin"/>
        </w:r>
        <w:r w:rsidR="0096366C">
          <w:rPr>
            <w:noProof/>
            <w:webHidden/>
          </w:rPr>
          <w:instrText xml:space="preserve"> PAGEREF _Toc99659337 \h </w:instrText>
        </w:r>
        <w:r w:rsidR="0096366C">
          <w:rPr>
            <w:noProof/>
            <w:webHidden/>
          </w:rPr>
        </w:r>
        <w:r w:rsidR="0096366C">
          <w:rPr>
            <w:noProof/>
            <w:webHidden/>
          </w:rPr>
          <w:fldChar w:fldCharType="separate"/>
        </w:r>
        <w:r w:rsidR="009D338D">
          <w:rPr>
            <w:noProof/>
            <w:webHidden/>
          </w:rPr>
          <w:t>326</w:t>
        </w:r>
        <w:r w:rsidR="0096366C">
          <w:rPr>
            <w:noProof/>
            <w:webHidden/>
          </w:rPr>
          <w:fldChar w:fldCharType="end"/>
        </w:r>
      </w:hyperlink>
    </w:p>
    <w:p w14:paraId="0346AF7A" w14:textId="60373DEE" w:rsidR="0096366C" w:rsidRPr="00B04620" w:rsidRDefault="004B48CC">
      <w:pPr>
        <w:pStyle w:val="TableofFigures"/>
        <w:rPr>
          <w:noProof/>
          <w:sz w:val="22"/>
        </w:rPr>
      </w:pPr>
      <w:hyperlink w:anchor="_Toc99659338" w:history="1">
        <w:r w:rsidR="0096366C" w:rsidRPr="00BE1CA1">
          <w:rPr>
            <w:rStyle w:val="Hyperlink"/>
            <w:noProof/>
          </w:rPr>
          <w:t>Table 7.4.5</w:t>
        </w:r>
        <w:r w:rsidR="0096366C" w:rsidRPr="00B04620">
          <w:rPr>
            <w:noProof/>
            <w:sz w:val="22"/>
          </w:rPr>
          <w:tab/>
        </w:r>
        <w:r w:rsidR="0096366C" w:rsidRPr="00BE1CA1">
          <w:rPr>
            <w:rStyle w:val="Hyperlink"/>
            <w:noProof/>
          </w:rPr>
          <w:t>Parameters used to estimate emissions from open burning</w:t>
        </w:r>
        <w:r w:rsidR="0096366C">
          <w:rPr>
            <w:noProof/>
            <w:webHidden/>
          </w:rPr>
          <w:tab/>
        </w:r>
        <w:r w:rsidR="0096366C">
          <w:rPr>
            <w:noProof/>
            <w:webHidden/>
          </w:rPr>
          <w:fldChar w:fldCharType="begin"/>
        </w:r>
        <w:r w:rsidR="0096366C">
          <w:rPr>
            <w:noProof/>
            <w:webHidden/>
          </w:rPr>
          <w:instrText xml:space="preserve"> PAGEREF _Toc99659338 \h </w:instrText>
        </w:r>
        <w:r w:rsidR="0096366C">
          <w:rPr>
            <w:noProof/>
            <w:webHidden/>
          </w:rPr>
        </w:r>
        <w:r w:rsidR="0096366C">
          <w:rPr>
            <w:noProof/>
            <w:webHidden/>
          </w:rPr>
          <w:fldChar w:fldCharType="separate"/>
        </w:r>
        <w:r w:rsidR="009D338D">
          <w:rPr>
            <w:noProof/>
            <w:webHidden/>
          </w:rPr>
          <w:t>327</w:t>
        </w:r>
        <w:r w:rsidR="0096366C">
          <w:rPr>
            <w:noProof/>
            <w:webHidden/>
          </w:rPr>
          <w:fldChar w:fldCharType="end"/>
        </w:r>
      </w:hyperlink>
    </w:p>
    <w:p w14:paraId="49C69610" w14:textId="054539D2" w:rsidR="0096366C" w:rsidRPr="00B04620" w:rsidRDefault="004B48CC">
      <w:pPr>
        <w:pStyle w:val="TableofFigures"/>
        <w:rPr>
          <w:noProof/>
          <w:sz w:val="22"/>
        </w:rPr>
      </w:pPr>
      <w:hyperlink w:anchor="_Toc99659339" w:history="1">
        <w:r w:rsidR="0096366C" w:rsidRPr="00BE1CA1">
          <w:rPr>
            <w:rStyle w:val="Hyperlink"/>
            <w:noProof/>
          </w:rPr>
          <w:t>Table 7.4.6</w:t>
        </w:r>
        <w:r w:rsidR="0096366C" w:rsidRPr="00B04620">
          <w:rPr>
            <w:noProof/>
            <w:sz w:val="22"/>
          </w:rPr>
          <w:tab/>
        </w:r>
        <w:r w:rsidR="0096366C" w:rsidRPr="00BE1CA1">
          <w:rPr>
            <w:rStyle w:val="Hyperlink"/>
            <w:noProof/>
          </w:rPr>
          <w:t xml:space="preserve">Uncertainty in emissions from </w:t>
        </w:r>
        <w:r w:rsidR="0096366C" w:rsidRPr="00BE1CA1">
          <w:rPr>
            <w:rStyle w:val="Hyperlink"/>
            <w:i/>
            <w:iCs/>
            <w:noProof/>
          </w:rPr>
          <w:t>Incineration and open burning of waste</w:t>
        </w:r>
        <w:r w:rsidR="0096366C">
          <w:rPr>
            <w:noProof/>
            <w:webHidden/>
          </w:rPr>
          <w:tab/>
        </w:r>
        <w:r w:rsidR="0096366C">
          <w:rPr>
            <w:noProof/>
            <w:webHidden/>
          </w:rPr>
          <w:fldChar w:fldCharType="begin"/>
        </w:r>
        <w:r w:rsidR="0096366C">
          <w:rPr>
            <w:noProof/>
            <w:webHidden/>
          </w:rPr>
          <w:instrText xml:space="preserve"> PAGEREF _Toc99659339 \h </w:instrText>
        </w:r>
        <w:r w:rsidR="0096366C">
          <w:rPr>
            <w:noProof/>
            <w:webHidden/>
          </w:rPr>
        </w:r>
        <w:r w:rsidR="0096366C">
          <w:rPr>
            <w:noProof/>
            <w:webHidden/>
          </w:rPr>
          <w:fldChar w:fldCharType="separate"/>
        </w:r>
        <w:r w:rsidR="009D338D">
          <w:rPr>
            <w:noProof/>
            <w:webHidden/>
          </w:rPr>
          <w:t>328</w:t>
        </w:r>
        <w:r w:rsidR="0096366C">
          <w:rPr>
            <w:noProof/>
            <w:webHidden/>
          </w:rPr>
          <w:fldChar w:fldCharType="end"/>
        </w:r>
      </w:hyperlink>
    </w:p>
    <w:p w14:paraId="6277CD3D" w14:textId="4FAA3DFE" w:rsidR="0096366C" w:rsidRPr="00B04620" w:rsidRDefault="004B48CC">
      <w:pPr>
        <w:pStyle w:val="TableofFigures"/>
        <w:rPr>
          <w:noProof/>
          <w:sz w:val="22"/>
        </w:rPr>
      </w:pPr>
      <w:hyperlink w:anchor="_Toc99659340" w:history="1">
        <w:r w:rsidR="0096366C" w:rsidRPr="00BE1CA1">
          <w:rPr>
            <w:rStyle w:val="Hyperlink"/>
            <w:noProof/>
          </w:rPr>
          <w:t>Table 7.5.1</w:t>
        </w:r>
        <w:r w:rsidR="0096366C" w:rsidRPr="00B04620">
          <w:rPr>
            <w:noProof/>
            <w:sz w:val="22"/>
          </w:rPr>
          <w:tab/>
        </w:r>
        <w:r w:rsidR="0096366C" w:rsidRPr="00BE1CA1">
          <w:rPr>
            <w:rStyle w:val="Hyperlink"/>
            <w:noProof/>
          </w:rPr>
          <w:t>Emissions from Wastewater treatment and discharge (5.D)</w:t>
        </w:r>
        <w:r w:rsidR="0096366C">
          <w:rPr>
            <w:noProof/>
            <w:webHidden/>
          </w:rPr>
          <w:tab/>
        </w:r>
        <w:r w:rsidR="0096366C">
          <w:rPr>
            <w:noProof/>
            <w:webHidden/>
          </w:rPr>
          <w:fldChar w:fldCharType="begin"/>
        </w:r>
        <w:r w:rsidR="0096366C">
          <w:rPr>
            <w:noProof/>
            <w:webHidden/>
          </w:rPr>
          <w:instrText xml:space="preserve"> PAGEREF _Toc99659340 \h </w:instrText>
        </w:r>
        <w:r w:rsidR="0096366C">
          <w:rPr>
            <w:noProof/>
            <w:webHidden/>
          </w:rPr>
        </w:r>
        <w:r w:rsidR="0096366C">
          <w:rPr>
            <w:noProof/>
            <w:webHidden/>
          </w:rPr>
          <w:fldChar w:fldCharType="separate"/>
        </w:r>
        <w:r w:rsidR="009D338D">
          <w:rPr>
            <w:noProof/>
            <w:webHidden/>
          </w:rPr>
          <w:t>329</w:t>
        </w:r>
        <w:r w:rsidR="0096366C">
          <w:rPr>
            <w:noProof/>
            <w:webHidden/>
          </w:rPr>
          <w:fldChar w:fldCharType="end"/>
        </w:r>
      </w:hyperlink>
    </w:p>
    <w:p w14:paraId="29097D72" w14:textId="4BBF7D08" w:rsidR="0096366C" w:rsidRPr="00B04620" w:rsidRDefault="004B48CC">
      <w:pPr>
        <w:pStyle w:val="TableofFigures"/>
        <w:rPr>
          <w:noProof/>
          <w:sz w:val="22"/>
        </w:rPr>
      </w:pPr>
      <w:hyperlink w:anchor="_Toc99659341" w:history="1">
        <w:r w:rsidR="0096366C" w:rsidRPr="00BE1CA1">
          <w:rPr>
            <w:rStyle w:val="Hyperlink"/>
            <w:noProof/>
          </w:rPr>
          <w:t>Table 7.5.2</w:t>
        </w:r>
        <w:r w:rsidR="0096366C" w:rsidRPr="00B04620">
          <w:rPr>
            <w:noProof/>
            <w:sz w:val="22"/>
          </w:rPr>
          <w:tab/>
        </w:r>
        <w:r w:rsidR="0096366C" w:rsidRPr="00BE1CA1">
          <w:rPr>
            <w:rStyle w:val="Hyperlink"/>
            <w:noProof/>
          </w:rPr>
          <w:t>Activity data and key factors for domestic wastewater from 1990 to 2020</w:t>
        </w:r>
        <w:r w:rsidR="0096366C">
          <w:rPr>
            <w:noProof/>
            <w:webHidden/>
          </w:rPr>
          <w:tab/>
        </w:r>
        <w:r w:rsidR="0096366C">
          <w:rPr>
            <w:noProof/>
            <w:webHidden/>
          </w:rPr>
          <w:fldChar w:fldCharType="begin"/>
        </w:r>
        <w:r w:rsidR="0096366C">
          <w:rPr>
            <w:noProof/>
            <w:webHidden/>
          </w:rPr>
          <w:instrText xml:space="preserve"> PAGEREF _Toc99659341 \h </w:instrText>
        </w:r>
        <w:r w:rsidR="0096366C">
          <w:rPr>
            <w:noProof/>
            <w:webHidden/>
          </w:rPr>
        </w:r>
        <w:r w:rsidR="0096366C">
          <w:rPr>
            <w:noProof/>
            <w:webHidden/>
          </w:rPr>
          <w:fldChar w:fldCharType="separate"/>
        </w:r>
        <w:r w:rsidR="009D338D">
          <w:rPr>
            <w:noProof/>
            <w:webHidden/>
          </w:rPr>
          <w:t>331</w:t>
        </w:r>
        <w:r w:rsidR="0096366C">
          <w:rPr>
            <w:noProof/>
            <w:webHidden/>
          </w:rPr>
          <w:fldChar w:fldCharType="end"/>
        </w:r>
      </w:hyperlink>
    </w:p>
    <w:p w14:paraId="6C1E418C" w14:textId="220122CD" w:rsidR="0096366C" w:rsidRPr="00B04620" w:rsidRDefault="004B48CC">
      <w:pPr>
        <w:pStyle w:val="TableofFigures"/>
        <w:rPr>
          <w:noProof/>
          <w:sz w:val="22"/>
        </w:rPr>
      </w:pPr>
      <w:hyperlink w:anchor="_Toc99659342" w:history="1">
        <w:r w:rsidR="0096366C" w:rsidRPr="00BE1CA1">
          <w:rPr>
            <w:rStyle w:val="Hyperlink"/>
            <w:noProof/>
          </w:rPr>
          <w:t>Table 7.5.3</w:t>
        </w:r>
        <w:r w:rsidR="0096366C" w:rsidRPr="00B04620">
          <w:rPr>
            <w:noProof/>
            <w:sz w:val="22"/>
          </w:rPr>
          <w:tab/>
        </w:r>
        <w:r w:rsidR="0096366C" w:rsidRPr="00BE1CA1">
          <w:rPr>
            <w:rStyle w:val="Hyperlink"/>
            <w:noProof/>
          </w:rPr>
          <w:t>Total organic product producing methane from industrial wastewater from 1990 to 2020</w:t>
        </w:r>
        <w:r w:rsidR="0096366C">
          <w:rPr>
            <w:noProof/>
            <w:webHidden/>
          </w:rPr>
          <w:tab/>
        </w:r>
        <w:r w:rsidR="0096366C">
          <w:rPr>
            <w:noProof/>
            <w:webHidden/>
          </w:rPr>
          <w:fldChar w:fldCharType="begin"/>
        </w:r>
        <w:r w:rsidR="0096366C">
          <w:rPr>
            <w:noProof/>
            <w:webHidden/>
          </w:rPr>
          <w:instrText xml:space="preserve"> PAGEREF _Toc99659342 \h </w:instrText>
        </w:r>
        <w:r w:rsidR="0096366C">
          <w:rPr>
            <w:noProof/>
            <w:webHidden/>
          </w:rPr>
        </w:r>
        <w:r w:rsidR="0096366C">
          <w:rPr>
            <w:noProof/>
            <w:webHidden/>
          </w:rPr>
          <w:fldChar w:fldCharType="separate"/>
        </w:r>
        <w:r w:rsidR="009D338D">
          <w:rPr>
            <w:noProof/>
            <w:webHidden/>
          </w:rPr>
          <w:t>331</w:t>
        </w:r>
        <w:r w:rsidR="0096366C">
          <w:rPr>
            <w:noProof/>
            <w:webHidden/>
          </w:rPr>
          <w:fldChar w:fldCharType="end"/>
        </w:r>
      </w:hyperlink>
    </w:p>
    <w:p w14:paraId="5FC58E78" w14:textId="54A2B842" w:rsidR="0096366C" w:rsidRPr="00B04620" w:rsidRDefault="004B48CC">
      <w:pPr>
        <w:pStyle w:val="TableofFigures"/>
        <w:rPr>
          <w:noProof/>
          <w:sz w:val="22"/>
        </w:rPr>
      </w:pPr>
      <w:hyperlink w:anchor="_Toc99659343" w:history="1">
        <w:r w:rsidR="0096366C" w:rsidRPr="00BE1CA1">
          <w:rPr>
            <w:rStyle w:val="Hyperlink"/>
            <w:noProof/>
          </w:rPr>
          <w:t>Table 7.5.4</w:t>
        </w:r>
        <w:r w:rsidR="0096366C" w:rsidRPr="00B04620">
          <w:rPr>
            <w:noProof/>
            <w:sz w:val="22"/>
          </w:rPr>
          <w:tab/>
        </w:r>
        <w:r w:rsidR="0096366C" w:rsidRPr="00BE1CA1">
          <w:rPr>
            <w:rStyle w:val="Hyperlink"/>
            <w:noProof/>
          </w:rPr>
          <w:t>Nitrogen in effluent from industrial wastewater from 1990 to 2020</w:t>
        </w:r>
        <w:r w:rsidR="0096366C">
          <w:rPr>
            <w:noProof/>
            <w:webHidden/>
          </w:rPr>
          <w:tab/>
        </w:r>
        <w:r w:rsidR="0096366C">
          <w:rPr>
            <w:noProof/>
            <w:webHidden/>
          </w:rPr>
          <w:fldChar w:fldCharType="begin"/>
        </w:r>
        <w:r w:rsidR="0096366C">
          <w:rPr>
            <w:noProof/>
            <w:webHidden/>
          </w:rPr>
          <w:instrText xml:space="preserve"> PAGEREF _Toc99659343 \h </w:instrText>
        </w:r>
        <w:r w:rsidR="0096366C">
          <w:rPr>
            <w:noProof/>
            <w:webHidden/>
          </w:rPr>
        </w:r>
        <w:r w:rsidR="0096366C">
          <w:rPr>
            <w:noProof/>
            <w:webHidden/>
          </w:rPr>
          <w:fldChar w:fldCharType="separate"/>
        </w:r>
        <w:r w:rsidR="009D338D">
          <w:rPr>
            <w:noProof/>
            <w:webHidden/>
          </w:rPr>
          <w:t>332</w:t>
        </w:r>
        <w:r w:rsidR="0096366C">
          <w:rPr>
            <w:noProof/>
            <w:webHidden/>
          </w:rPr>
          <w:fldChar w:fldCharType="end"/>
        </w:r>
      </w:hyperlink>
    </w:p>
    <w:p w14:paraId="38F7801D" w14:textId="2EF211CA" w:rsidR="0096366C" w:rsidRPr="00B04620" w:rsidRDefault="004B48CC">
      <w:pPr>
        <w:pStyle w:val="TableofFigures"/>
        <w:rPr>
          <w:noProof/>
          <w:sz w:val="22"/>
        </w:rPr>
      </w:pPr>
      <w:hyperlink w:anchor="_Toc99659344" w:history="1">
        <w:r w:rsidR="0096366C" w:rsidRPr="00BE1CA1">
          <w:rPr>
            <w:rStyle w:val="Hyperlink"/>
            <w:noProof/>
          </w:rPr>
          <w:t>Table 7.5.5</w:t>
        </w:r>
        <w:r w:rsidR="0096366C" w:rsidRPr="00B04620">
          <w:rPr>
            <w:noProof/>
            <w:sz w:val="22"/>
          </w:rPr>
          <w:tab/>
        </w:r>
        <w:r w:rsidR="0096366C" w:rsidRPr="00BE1CA1">
          <w:rPr>
            <w:rStyle w:val="Hyperlink"/>
            <w:noProof/>
          </w:rPr>
          <w:t>Methods used for calculating emissions from wastewater treatment</w:t>
        </w:r>
        <w:r w:rsidR="0096366C">
          <w:rPr>
            <w:noProof/>
            <w:webHidden/>
          </w:rPr>
          <w:tab/>
        </w:r>
        <w:r w:rsidR="0096366C">
          <w:rPr>
            <w:noProof/>
            <w:webHidden/>
          </w:rPr>
          <w:fldChar w:fldCharType="begin"/>
        </w:r>
        <w:r w:rsidR="0096366C">
          <w:rPr>
            <w:noProof/>
            <w:webHidden/>
          </w:rPr>
          <w:instrText xml:space="preserve"> PAGEREF _Toc99659344 \h </w:instrText>
        </w:r>
        <w:r w:rsidR="0096366C">
          <w:rPr>
            <w:noProof/>
            <w:webHidden/>
          </w:rPr>
        </w:r>
        <w:r w:rsidR="0096366C">
          <w:rPr>
            <w:noProof/>
            <w:webHidden/>
          </w:rPr>
          <w:fldChar w:fldCharType="separate"/>
        </w:r>
        <w:r w:rsidR="009D338D">
          <w:rPr>
            <w:noProof/>
            <w:webHidden/>
          </w:rPr>
          <w:t>335</w:t>
        </w:r>
        <w:r w:rsidR="0096366C">
          <w:rPr>
            <w:noProof/>
            <w:webHidden/>
          </w:rPr>
          <w:fldChar w:fldCharType="end"/>
        </w:r>
      </w:hyperlink>
    </w:p>
    <w:p w14:paraId="09FAAF4E" w14:textId="21A58781" w:rsidR="0096366C" w:rsidRPr="00B04620" w:rsidRDefault="004B48CC">
      <w:pPr>
        <w:pStyle w:val="TableofFigures"/>
        <w:rPr>
          <w:noProof/>
          <w:sz w:val="22"/>
        </w:rPr>
      </w:pPr>
      <w:hyperlink w:anchor="_Toc99659345" w:history="1">
        <w:r w:rsidR="0096366C" w:rsidRPr="00BE1CA1">
          <w:rPr>
            <w:rStyle w:val="Hyperlink"/>
            <w:noProof/>
          </w:rPr>
          <w:t>Table 7.5.6</w:t>
        </w:r>
        <w:r w:rsidR="0096366C" w:rsidRPr="00B04620">
          <w:rPr>
            <w:noProof/>
            <w:sz w:val="22"/>
          </w:rPr>
          <w:tab/>
        </w:r>
        <w:r w:rsidR="0096366C" w:rsidRPr="00BE1CA1">
          <w:rPr>
            <w:rStyle w:val="Hyperlink"/>
            <w:noProof/>
          </w:rPr>
          <w:t>Parameter values applied by New Zealand for estimating methane emissions for domestic wastewater treatment</w:t>
        </w:r>
        <w:r w:rsidR="0096366C">
          <w:rPr>
            <w:noProof/>
            <w:webHidden/>
          </w:rPr>
          <w:tab/>
        </w:r>
        <w:r w:rsidR="0096366C">
          <w:rPr>
            <w:noProof/>
            <w:webHidden/>
          </w:rPr>
          <w:fldChar w:fldCharType="begin"/>
        </w:r>
        <w:r w:rsidR="0096366C">
          <w:rPr>
            <w:noProof/>
            <w:webHidden/>
          </w:rPr>
          <w:instrText xml:space="preserve"> PAGEREF _Toc99659345 \h </w:instrText>
        </w:r>
        <w:r w:rsidR="0096366C">
          <w:rPr>
            <w:noProof/>
            <w:webHidden/>
          </w:rPr>
        </w:r>
        <w:r w:rsidR="0096366C">
          <w:rPr>
            <w:noProof/>
            <w:webHidden/>
          </w:rPr>
          <w:fldChar w:fldCharType="separate"/>
        </w:r>
        <w:r w:rsidR="009D338D">
          <w:rPr>
            <w:noProof/>
            <w:webHidden/>
          </w:rPr>
          <w:t>336</w:t>
        </w:r>
        <w:r w:rsidR="0096366C">
          <w:rPr>
            <w:noProof/>
            <w:webHidden/>
          </w:rPr>
          <w:fldChar w:fldCharType="end"/>
        </w:r>
      </w:hyperlink>
    </w:p>
    <w:p w14:paraId="712403D9" w14:textId="11BAF942" w:rsidR="0096366C" w:rsidRPr="00B04620" w:rsidRDefault="004B48CC">
      <w:pPr>
        <w:pStyle w:val="TableofFigures"/>
        <w:rPr>
          <w:noProof/>
          <w:sz w:val="22"/>
        </w:rPr>
      </w:pPr>
      <w:hyperlink w:anchor="_Toc99659346" w:history="1">
        <w:r w:rsidR="0096366C" w:rsidRPr="00BE1CA1">
          <w:rPr>
            <w:rStyle w:val="Hyperlink"/>
            <w:noProof/>
          </w:rPr>
          <w:t>Table 7.5.7</w:t>
        </w:r>
        <w:r w:rsidR="0096366C" w:rsidRPr="00B04620">
          <w:rPr>
            <w:noProof/>
            <w:sz w:val="22"/>
          </w:rPr>
          <w:tab/>
        </w:r>
        <w:r w:rsidR="0096366C" w:rsidRPr="00BE1CA1">
          <w:rPr>
            <w:rStyle w:val="Hyperlink"/>
            <w:noProof/>
          </w:rPr>
          <w:t>Parameter values applied by New Zealand for estimating nitrous oxide emissions from domestic and commercial wastewater treatment</w:t>
        </w:r>
        <w:r w:rsidR="0096366C">
          <w:rPr>
            <w:noProof/>
            <w:webHidden/>
          </w:rPr>
          <w:tab/>
        </w:r>
        <w:r w:rsidR="0096366C">
          <w:rPr>
            <w:noProof/>
            <w:webHidden/>
          </w:rPr>
          <w:fldChar w:fldCharType="begin"/>
        </w:r>
        <w:r w:rsidR="0096366C">
          <w:rPr>
            <w:noProof/>
            <w:webHidden/>
          </w:rPr>
          <w:instrText xml:space="preserve"> PAGEREF _Toc99659346 \h </w:instrText>
        </w:r>
        <w:r w:rsidR="0096366C">
          <w:rPr>
            <w:noProof/>
            <w:webHidden/>
          </w:rPr>
        </w:r>
        <w:r w:rsidR="0096366C">
          <w:rPr>
            <w:noProof/>
            <w:webHidden/>
          </w:rPr>
          <w:fldChar w:fldCharType="separate"/>
        </w:r>
        <w:r w:rsidR="009D338D">
          <w:rPr>
            <w:noProof/>
            <w:webHidden/>
          </w:rPr>
          <w:t>337</w:t>
        </w:r>
        <w:r w:rsidR="0096366C">
          <w:rPr>
            <w:noProof/>
            <w:webHidden/>
          </w:rPr>
          <w:fldChar w:fldCharType="end"/>
        </w:r>
      </w:hyperlink>
    </w:p>
    <w:p w14:paraId="0DB484BC" w14:textId="07A7C39A" w:rsidR="0096366C" w:rsidRPr="00B04620" w:rsidRDefault="004B48CC">
      <w:pPr>
        <w:pStyle w:val="TableofFigures"/>
        <w:rPr>
          <w:noProof/>
          <w:sz w:val="22"/>
        </w:rPr>
      </w:pPr>
      <w:hyperlink w:anchor="_Toc99659347" w:history="1">
        <w:r w:rsidR="0096366C" w:rsidRPr="00BE1CA1">
          <w:rPr>
            <w:rStyle w:val="Hyperlink"/>
            <w:noProof/>
          </w:rPr>
          <w:t>Table 7.5.8</w:t>
        </w:r>
        <w:r w:rsidR="0096366C" w:rsidRPr="00B04620">
          <w:rPr>
            <w:noProof/>
            <w:sz w:val="22"/>
          </w:rPr>
          <w:tab/>
        </w:r>
        <w:r w:rsidR="0096366C" w:rsidRPr="00BE1CA1">
          <w:rPr>
            <w:rStyle w:val="Hyperlink"/>
            <w:noProof/>
          </w:rPr>
          <w:t>Parameter values applied by New Zealand for estimating methane emissions from wastewater treatment by the meat industry</w:t>
        </w:r>
        <w:r w:rsidR="0096366C">
          <w:rPr>
            <w:noProof/>
            <w:webHidden/>
          </w:rPr>
          <w:tab/>
        </w:r>
        <w:r w:rsidR="0096366C">
          <w:rPr>
            <w:noProof/>
            <w:webHidden/>
          </w:rPr>
          <w:fldChar w:fldCharType="begin"/>
        </w:r>
        <w:r w:rsidR="0096366C">
          <w:rPr>
            <w:noProof/>
            <w:webHidden/>
          </w:rPr>
          <w:instrText xml:space="preserve"> PAGEREF _Toc99659347 \h </w:instrText>
        </w:r>
        <w:r w:rsidR="0096366C">
          <w:rPr>
            <w:noProof/>
            <w:webHidden/>
          </w:rPr>
        </w:r>
        <w:r w:rsidR="0096366C">
          <w:rPr>
            <w:noProof/>
            <w:webHidden/>
          </w:rPr>
          <w:fldChar w:fldCharType="separate"/>
        </w:r>
        <w:r w:rsidR="009D338D">
          <w:rPr>
            <w:noProof/>
            <w:webHidden/>
          </w:rPr>
          <w:t>337</w:t>
        </w:r>
        <w:r w:rsidR="0096366C">
          <w:rPr>
            <w:noProof/>
            <w:webHidden/>
          </w:rPr>
          <w:fldChar w:fldCharType="end"/>
        </w:r>
      </w:hyperlink>
    </w:p>
    <w:p w14:paraId="6154DF29" w14:textId="23C52AD8" w:rsidR="0096366C" w:rsidRPr="00B04620" w:rsidRDefault="004B48CC">
      <w:pPr>
        <w:pStyle w:val="TableofFigures"/>
        <w:rPr>
          <w:noProof/>
          <w:sz w:val="22"/>
        </w:rPr>
      </w:pPr>
      <w:hyperlink w:anchor="_Toc99659348" w:history="1">
        <w:r w:rsidR="0096366C" w:rsidRPr="00BE1CA1">
          <w:rPr>
            <w:rStyle w:val="Hyperlink"/>
            <w:noProof/>
          </w:rPr>
          <w:t>Table 7.5.9</w:t>
        </w:r>
        <w:r w:rsidR="0096366C" w:rsidRPr="00B04620">
          <w:rPr>
            <w:noProof/>
            <w:sz w:val="22"/>
          </w:rPr>
          <w:tab/>
        </w:r>
        <w:r w:rsidR="0096366C" w:rsidRPr="00BE1CA1">
          <w:rPr>
            <w:rStyle w:val="Hyperlink"/>
            <w:noProof/>
          </w:rPr>
          <w:t>Parameter values applied by New Zealand for estimating methane emissions for wastewater treatment by the pulp and paper industry</w:t>
        </w:r>
        <w:r w:rsidR="0096366C">
          <w:rPr>
            <w:noProof/>
            <w:webHidden/>
          </w:rPr>
          <w:tab/>
        </w:r>
        <w:r w:rsidR="0096366C">
          <w:rPr>
            <w:noProof/>
            <w:webHidden/>
          </w:rPr>
          <w:fldChar w:fldCharType="begin"/>
        </w:r>
        <w:r w:rsidR="0096366C">
          <w:rPr>
            <w:noProof/>
            <w:webHidden/>
          </w:rPr>
          <w:instrText xml:space="preserve"> PAGEREF _Toc99659348 \h </w:instrText>
        </w:r>
        <w:r w:rsidR="0096366C">
          <w:rPr>
            <w:noProof/>
            <w:webHidden/>
          </w:rPr>
        </w:r>
        <w:r w:rsidR="0096366C">
          <w:rPr>
            <w:noProof/>
            <w:webHidden/>
          </w:rPr>
          <w:fldChar w:fldCharType="separate"/>
        </w:r>
        <w:r w:rsidR="009D338D">
          <w:rPr>
            <w:noProof/>
            <w:webHidden/>
          </w:rPr>
          <w:t>338</w:t>
        </w:r>
        <w:r w:rsidR="0096366C">
          <w:rPr>
            <w:noProof/>
            <w:webHidden/>
          </w:rPr>
          <w:fldChar w:fldCharType="end"/>
        </w:r>
      </w:hyperlink>
    </w:p>
    <w:p w14:paraId="100210F2" w14:textId="2ACBAFB6" w:rsidR="0096366C" w:rsidRPr="00B04620" w:rsidRDefault="004B48CC">
      <w:pPr>
        <w:pStyle w:val="TableofFigures"/>
        <w:rPr>
          <w:noProof/>
          <w:sz w:val="22"/>
        </w:rPr>
      </w:pPr>
      <w:hyperlink w:anchor="_Toc99659349" w:history="1">
        <w:r w:rsidR="0096366C" w:rsidRPr="00BE1CA1">
          <w:rPr>
            <w:rStyle w:val="Hyperlink"/>
            <w:noProof/>
          </w:rPr>
          <w:t>Table 7.5.10</w:t>
        </w:r>
        <w:r w:rsidR="0096366C" w:rsidRPr="00B04620">
          <w:rPr>
            <w:noProof/>
            <w:sz w:val="22"/>
          </w:rPr>
          <w:tab/>
        </w:r>
        <w:r w:rsidR="0096366C" w:rsidRPr="00BE1CA1">
          <w:rPr>
            <w:rStyle w:val="Hyperlink"/>
            <w:noProof/>
          </w:rPr>
          <w:t>Parameter values applied by New Zealand for estimating methane emissions for wastewater treatment by the wine industry</w:t>
        </w:r>
        <w:r w:rsidR="0096366C">
          <w:rPr>
            <w:noProof/>
            <w:webHidden/>
          </w:rPr>
          <w:tab/>
        </w:r>
        <w:r w:rsidR="0096366C">
          <w:rPr>
            <w:noProof/>
            <w:webHidden/>
          </w:rPr>
          <w:fldChar w:fldCharType="begin"/>
        </w:r>
        <w:r w:rsidR="0096366C">
          <w:rPr>
            <w:noProof/>
            <w:webHidden/>
          </w:rPr>
          <w:instrText xml:space="preserve"> PAGEREF _Toc99659349 \h </w:instrText>
        </w:r>
        <w:r w:rsidR="0096366C">
          <w:rPr>
            <w:noProof/>
            <w:webHidden/>
          </w:rPr>
        </w:r>
        <w:r w:rsidR="0096366C">
          <w:rPr>
            <w:noProof/>
            <w:webHidden/>
          </w:rPr>
          <w:fldChar w:fldCharType="separate"/>
        </w:r>
        <w:r w:rsidR="009D338D">
          <w:rPr>
            <w:noProof/>
            <w:webHidden/>
          </w:rPr>
          <w:t>338</w:t>
        </w:r>
        <w:r w:rsidR="0096366C">
          <w:rPr>
            <w:noProof/>
            <w:webHidden/>
          </w:rPr>
          <w:fldChar w:fldCharType="end"/>
        </w:r>
      </w:hyperlink>
    </w:p>
    <w:p w14:paraId="3A50E0B7" w14:textId="76D7A5AF" w:rsidR="0096366C" w:rsidRPr="00B04620" w:rsidRDefault="004B48CC">
      <w:pPr>
        <w:pStyle w:val="TableofFigures"/>
        <w:rPr>
          <w:noProof/>
          <w:sz w:val="22"/>
        </w:rPr>
      </w:pPr>
      <w:hyperlink w:anchor="_Toc99659350" w:history="1">
        <w:r w:rsidR="0096366C" w:rsidRPr="00BE1CA1">
          <w:rPr>
            <w:rStyle w:val="Hyperlink"/>
            <w:noProof/>
          </w:rPr>
          <w:t>Table 7.5.11</w:t>
        </w:r>
        <w:r w:rsidR="0096366C" w:rsidRPr="00B04620">
          <w:rPr>
            <w:noProof/>
            <w:sz w:val="22"/>
          </w:rPr>
          <w:tab/>
        </w:r>
        <w:r w:rsidR="0096366C" w:rsidRPr="00BE1CA1">
          <w:rPr>
            <w:rStyle w:val="Hyperlink"/>
            <w:noProof/>
          </w:rPr>
          <w:t>Parameter values applied by New Zealand for estimating methane emissions for wastewater treatment by the wool scouring industry</w:t>
        </w:r>
        <w:r w:rsidR="0096366C">
          <w:rPr>
            <w:noProof/>
            <w:webHidden/>
          </w:rPr>
          <w:tab/>
        </w:r>
        <w:r w:rsidR="0096366C">
          <w:rPr>
            <w:noProof/>
            <w:webHidden/>
          </w:rPr>
          <w:fldChar w:fldCharType="begin"/>
        </w:r>
        <w:r w:rsidR="0096366C">
          <w:rPr>
            <w:noProof/>
            <w:webHidden/>
          </w:rPr>
          <w:instrText xml:space="preserve"> PAGEREF _Toc99659350 \h </w:instrText>
        </w:r>
        <w:r w:rsidR="0096366C">
          <w:rPr>
            <w:noProof/>
            <w:webHidden/>
          </w:rPr>
        </w:r>
        <w:r w:rsidR="0096366C">
          <w:rPr>
            <w:noProof/>
            <w:webHidden/>
          </w:rPr>
          <w:fldChar w:fldCharType="separate"/>
        </w:r>
        <w:r w:rsidR="009D338D">
          <w:rPr>
            <w:noProof/>
            <w:webHidden/>
          </w:rPr>
          <w:t>338</w:t>
        </w:r>
        <w:r w:rsidR="0096366C">
          <w:rPr>
            <w:noProof/>
            <w:webHidden/>
          </w:rPr>
          <w:fldChar w:fldCharType="end"/>
        </w:r>
      </w:hyperlink>
    </w:p>
    <w:p w14:paraId="4BC9AD4A" w14:textId="68BD14BA" w:rsidR="0096366C" w:rsidRPr="00B04620" w:rsidRDefault="004B48CC">
      <w:pPr>
        <w:pStyle w:val="TableofFigures"/>
        <w:rPr>
          <w:noProof/>
          <w:sz w:val="22"/>
        </w:rPr>
      </w:pPr>
      <w:hyperlink w:anchor="_Toc99659351" w:history="1">
        <w:r w:rsidR="0096366C" w:rsidRPr="00BE1CA1">
          <w:rPr>
            <w:rStyle w:val="Hyperlink"/>
            <w:noProof/>
          </w:rPr>
          <w:t>Table 7.5.12</w:t>
        </w:r>
        <w:r w:rsidR="0096366C" w:rsidRPr="00B04620">
          <w:rPr>
            <w:noProof/>
            <w:sz w:val="22"/>
          </w:rPr>
          <w:tab/>
        </w:r>
        <w:r w:rsidR="0096366C" w:rsidRPr="00BE1CA1">
          <w:rPr>
            <w:rStyle w:val="Hyperlink"/>
            <w:noProof/>
          </w:rPr>
          <w:t>Parameter values applied by New Zealand for estimating methane emissions for wastewater treatment by the leather and skins industry</w:t>
        </w:r>
        <w:r w:rsidR="0096366C">
          <w:rPr>
            <w:noProof/>
            <w:webHidden/>
          </w:rPr>
          <w:tab/>
        </w:r>
        <w:r w:rsidR="0096366C">
          <w:rPr>
            <w:noProof/>
            <w:webHidden/>
          </w:rPr>
          <w:fldChar w:fldCharType="begin"/>
        </w:r>
        <w:r w:rsidR="0096366C">
          <w:rPr>
            <w:noProof/>
            <w:webHidden/>
          </w:rPr>
          <w:instrText xml:space="preserve"> PAGEREF _Toc99659351 \h </w:instrText>
        </w:r>
        <w:r w:rsidR="0096366C">
          <w:rPr>
            <w:noProof/>
            <w:webHidden/>
          </w:rPr>
        </w:r>
        <w:r w:rsidR="0096366C">
          <w:rPr>
            <w:noProof/>
            <w:webHidden/>
          </w:rPr>
          <w:fldChar w:fldCharType="separate"/>
        </w:r>
        <w:r w:rsidR="009D338D">
          <w:rPr>
            <w:noProof/>
            <w:webHidden/>
          </w:rPr>
          <w:t>339</w:t>
        </w:r>
        <w:r w:rsidR="0096366C">
          <w:rPr>
            <w:noProof/>
            <w:webHidden/>
          </w:rPr>
          <w:fldChar w:fldCharType="end"/>
        </w:r>
      </w:hyperlink>
    </w:p>
    <w:p w14:paraId="1309BD70" w14:textId="4767F65B" w:rsidR="0096366C" w:rsidRPr="00B04620" w:rsidRDefault="004B48CC">
      <w:pPr>
        <w:pStyle w:val="TableofFigures"/>
        <w:rPr>
          <w:noProof/>
          <w:sz w:val="22"/>
        </w:rPr>
      </w:pPr>
      <w:hyperlink w:anchor="_Toc99659352" w:history="1">
        <w:r w:rsidR="0096366C" w:rsidRPr="00BE1CA1">
          <w:rPr>
            <w:rStyle w:val="Hyperlink"/>
            <w:noProof/>
          </w:rPr>
          <w:t>Table 7.5.13</w:t>
        </w:r>
        <w:r w:rsidR="0096366C" w:rsidRPr="00B04620">
          <w:rPr>
            <w:noProof/>
            <w:sz w:val="22"/>
          </w:rPr>
          <w:tab/>
        </w:r>
        <w:r w:rsidR="0096366C" w:rsidRPr="00BE1CA1">
          <w:rPr>
            <w:rStyle w:val="Hyperlink"/>
            <w:noProof/>
          </w:rPr>
          <w:t>Parameter values applied by New Zealand for estimating nitrous oxide emissions for wastewater treatment for the meat industry</w:t>
        </w:r>
        <w:r w:rsidR="0096366C">
          <w:rPr>
            <w:noProof/>
            <w:webHidden/>
          </w:rPr>
          <w:tab/>
        </w:r>
        <w:r w:rsidR="0096366C">
          <w:rPr>
            <w:noProof/>
            <w:webHidden/>
          </w:rPr>
          <w:fldChar w:fldCharType="begin"/>
        </w:r>
        <w:r w:rsidR="0096366C">
          <w:rPr>
            <w:noProof/>
            <w:webHidden/>
          </w:rPr>
          <w:instrText xml:space="preserve"> PAGEREF _Toc99659352 \h </w:instrText>
        </w:r>
        <w:r w:rsidR="0096366C">
          <w:rPr>
            <w:noProof/>
            <w:webHidden/>
          </w:rPr>
        </w:r>
        <w:r w:rsidR="0096366C">
          <w:rPr>
            <w:noProof/>
            <w:webHidden/>
          </w:rPr>
          <w:fldChar w:fldCharType="separate"/>
        </w:r>
        <w:r w:rsidR="009D338D">
          <w:rPr>
            <w:noProof/>
            <w:webHidden/>
          </w:rPr>
          <w:t>339</w:t>
        </w:r>
        <w:r w:rsidR="0096366C">
          <w:rPr>
            <w:noProof/>
            <w:webHidden/>
          </w:rPr>
          <w:fldChar w:fldCharType="end"/>
        </w:r>
      </w:hyperlink>
    </w:p>
    <w:p w14:paraId="77B52516" w14:textId="3D99D98C" w:rsidR="0096366C" w:rsidRPr="00B04620" w:rsidRDefault="004B48CC">
      <w:pPr>
        <w:pStyle w:val="TableofFigures"/>
        <w:rPr>
          <w:noProof/>
          <w:sz w:val="22"/>
        </w:rPr>
      </w:pPr>
      <w:hyperlink w:anchor="_Toc99659353" w:history="1">
        <w:r w:rsidR="0096366C" w:rsidRPr="00BE1CA1">
          <w:rPr>
            <w:rStyle w:val="Hyperlink"/>
            <w:noProof/>
          </w:rPr>
          <w:t>Table 7.5.14</w:t>
        </w:r>
        <w:r w:rsidR="0096366C" w:rsidRPr="00B04620">
          <w:rPr>
            <w:noProof/>
            <w:sz w:val="22"/>
          </w:rPr>
          <w:tab/>
        </w:r>
        <w:r w:rsidR="0096366C" w:rsidRPr="00BE1CA1">
          <w:rPr>
            <w:rStyle w:val="Hyperlink"/>
            <w:noProof/>
          </w:rPr>
          <w:t>Parameter values applied by New Zealand for estimating nitrous oxide emissions for wastewater treatment for the dairy processing industry</w:t>
        </w:r>
        <w:r w:rsidR="0096366C">
          <w:rPr>
            <w:noProof/>
            <w:webHidden/>
          </w:rPr>
          <w:tab/>
        </w:r>
        <w:r w:rsidR="0096366C">
          <w:rPr>
            <w:noProof/>
            <w:webHidden/>
          </w:rPr>
          <w:fldChar w:fldCharType="begin"/>
        </w:r>
        <w:r w:rsidR="0096366C">
          <w:rPr>
            <w:noProof/>
            <w:webHidden/>
          </w:rPr>
          <w:instrText xml:space="preserve"> PAGEREF _Toc99659353 \h </w:instrText>
        </w:r>
        <w:r w:rsidR="0096366C">
          <w:rPr>
            <w:noProof/>
            <w:webHidden/>
          </w:rPr>
        </w:r>
        <w:r w:rsidR="0096366C">
          <w:rPr>
            <w:noProof/>
            <w:webHidden/>
          </w:rPr>
          <w:fldChar w:fldCharType="separate"/>
        </w:r>
        <w:r w:rsidR="009D338D">
          <w:rPr>
            <w:noProof/>
            <w:webHidden/>
          </w:rPr>
          <w:t>340</w:t>
        </w:r>
        <w:r w:rsidR="0096366C">
          <w:rPr>
            <w:noProof/>
            <w:webHidden/>
          </w:rPr>
          <w:fldChar w:fldCharType="end"/>
        </w:r>
      </w:hyperlink>
    </w:p>
    <w:p w14:paraId="7B5CAE0E" w14:textId="53942499" w:rsidR="0096366C" w:rsidRPr="00B04620" w:rsidRDefault="004B48CC">
      <w:pPr>
        <w:pStyle w:val="TableofFigures"/>
        <w:rPr>
          <w:noProof/>
          <w:sz w:val="22"/>
        </w:rPr>
      </w:pPr>
      <w:hyperlink w:anchor="_Toc99659354" w:history="1">
        <w:r w:rsidR="0096366C" w:rsidRPr="00BE1CA1">
          <w:rPr>
            <w:rStyle w:val="Hyperlink"/>
            <w:noProof/>
          </w:rPr>
          <w:t>Table 7.5.15</w:t>
        </w:r>
        <w:r w:rsidR="0096366C" w:rsidRPr="00B04620">
          <w:rPr>
            <w:noProof/>
            <w:sz w:val="22"/>
          </w:rPr>
          <w:tab/>
        </w:r>
        <w:r w:rsidR="0096366C" w:rsidRPr="00BE1CA1">
          <w:rPr>
            <w:rStyle w:val="Hyperlink"/>
            <w:noProof/>
          </w:rPr>
          <w:t>Parameter values applied by New Zealand for estimating nitrous oxide emissions for wastewater treatment for the leather and skins industry</w:t>
        </w:r>
        <w:r w:rsidR="0096366C">
          <w:rPr>
            <w:noProof/>
            <w:webHidden/>
          </w:rPr>
          <w:tab/>
        </w:r>
        <w:r w:rsidR="0096366C">
          <w:rPr>
            <w:noProof/>
            <w:webHidden/>
          </w:rPr>
          <w:fldChar w:fldCharType="begin"/>
        </w:r>
        <w:r w:rsidR="0096366C">
          <w:rPr>
            <w:noProof/>
            <w:webHidden/>
          </w:rPr>
          <w:instrText xml:space="preserve"> PAGEREF _Toc99659354 \h </w:instrText>
        </w:r>
        <w:r w:rsidR="0096366C">
          <w:rPr>
            <w:noProof/>
            <w:webHidden/>
          </w:rPr>
        </w:r>
        <w:r w:rsidR="0096366C">
          <w:rPr>
            <w:noProof/>
            <w:webHidden/>
          </w:rPr>
          <w:fldChar w:fldCharType="separate"/>
        </w:r>
        <w:r w:rsidR="009D338D">
          <w:rPr>
            <w:noProof/>
            <w:webHidden/>
          </w:rPr>
          <w:t>340</w:t>
        </w:r>
        <w:r w:rsidR="0096366C">
          <w:rPr>
            <w:noProof/>
            <w:webHidden/>
          </w:rPr>
          <w:fldChar w:fldCharType="end"/>
        </w:r>
      </w:hyperlink>
    </w:p>
    <w:p w14:paraId="2D8E5309" w14:textId="227339EC" w:rsidR="0096366C" w:rsidRPr="00B04620" w:rsidRDefault="004B48CC">
      <w:pPr>
        <w:pStyle w:val="TableofFigures"/>
        <w:rPr>
          <w:noProof/>
          <w:sz w:val="22"/>
        </w:rPr>
      </w:pPr>
      <w:hyperlink w:anchor="_Toc99659355" w:history="1">
        <w:r w:rsidR="0096366C" w:rsidRPr="00BE1CA1">
          <w:rPr>
            <w:rStyle w:val="Hyperlink"/>
            <w:noProof/>
          </w:rPr>
          <w:t>Table 7.5.16</w:t>
        </w:r>
        <w:r w:rsidR="0096366C" w:rsidRPr="00B04620">
          <w:rPr>
            <w:noProof/>
            <w:sz w:val="22"/>
          </w:rPr>
          <w:tab/>
        </w:r>
        <w:r w:rsidR="0096366C" w:rsidRPr="00BE1CA1">
          <w:rPr>
            <w:rStyle w:val="Hyperlink"/>
            <w:noProof/>
          </w:rPr>
          <w:t>Uncertainty in emissions from wastewater</w:t>
        </w:r>
        <w:r w:rsidR="0096366C">
          <w:rPr>
            <w:noProof/>
            <w:webHidden/>
          </w:rPr>
          <w:tab/>
        </w:r>
        <w:r w:rsidR="0096366C">
          <w:rPr>
            <w:noProof/>
            <w:webHidden/>
          </w:rPr>
          <w:fldChar w:fldCharType="begin"/>
        </w:r>
        <w:r w:rsidR="0096366C">
          <w:rPr>
            <w:noProof/>
            <w:webHidden/>
          </w:rPr>
          <w:instrText xml:space="preserve"> PAGEREF _Toc99659355 \h </w:instrText>
        </w:r>
        <w:r w:rsidR="0096366C">
          <w:rPr>
            <w:noProof/>
            <w:webHidden/>
          </w:rPr>
        </w:r>
        <w:r w:rsidR="0096366C">
          <w:rPr>
            <w:noProof/>
            <w:webHidden/>
          </w:rPr>
          <w:fldChar w:fldCharType="separate"/>
        </w:r>
        <w:r w:rsidR="009D338D">
          <w:rPr>
            <w:noProof/>
            <w:webHidden/>
          </w:rPr>
          <w:t>340</w:t>
        </w:r>
        <w:r w:rsidR="0096366C">
          <w:rPr>
            <w:noProof/>
            <w:webHidden/>
          </w:rPr>
          <w:fldChar w:fldCharType="end"/>
        </w:r>
      </w:hyperlink>
    </w:p>
    <w:p w14:paraId="4814552A" w14:textId="46CB272E" w:rsidR="0096366C" w:rsidRPr="00B04620" w:rsidRDefault="004B48CC">
      <w:pPr>
        <w:pStyle w:val="TableofFigures"/>
        <w:rPr>
          <w:noProof/>
          <w:sz w:val="22"/>
        </w:rPr>
      </w:pPr>
      <w:hyperlink w:anchor="_Toc99659356" w:history="1">
        <w:r w:rsidR="0096366C" w:rsidRPr="00BE1CA1">
          <w:rPr>
            <w:rStyle w:val="Hyperlink"/>
            <w:noProof/>
          </w:rPr>
          <w:t xml:space="preserve">Table 8.1.1 </w:t>
        </w:r>
        <w:r w:rsidR="0096366C" w:rsidRPr="00B04620">
          <w:rPr>
            <w:noProof/>
            <w:sz w:val="22"/>
          </w:rPr>
          <w:tab/>
        </w:r>
        <w:r w:rsidR="0096366C" w:rsidRPr="00BE1CA1">
          <w:rPr>
            <w:rStyle w:val="Hyperlink"/>
            <w:noProof/>
          </w:rPr>
          <w:t>Gross emissions from Tokelau by gas in 1990 and 2020</w:t>
        </w:r>
        <w:r w:rsidR="0096366C">
          <w:rPr>
            <w:noProof/>
            <w:webHidden/>
          </w:rPr>
          <w:tab/>
        </w:r>
        <w:r w:rsidR="0096366C">
          <w:rPr>
            <w:noProof/>
            <w:webHidden/>
          </w:rPr>
          <w:fldChar w:fldCharType="begin"/>
        </w:r>
        <w:r w:rsidR="0096366C">
          <w:rPr>
            <w:noProof/>
            <w:webHidden/>
          </w:rPr>
          <w:instrText xml:space="preserve"> PAGEREF _Toc99659356 \h </w:instrText>
        </w:r>
        <w:r w:rsidR="0096366C">
          <w:rPr>
            <w:noProof/>
            <w:webHidden/>
          </w:rPr>
        </w:r>
        <w:r w:rsidR="0096366C">
          <w:rPr>
            <w:noProof/>
            <w:webHidden/>
          </w:rPr>
          <w:fldChar w:fldCharType="separate"/>
        </w:r>
        <w:r w:rsidR="009D338D">
          <w:rPr>
            <w:noProof/>
            <w:webHidden/>
          </w:rPr>
          <w:t>347</w:t>
        </w:r>
        <w:r w:rsidR="0096366C">
          <w:rPr>
            <w:noProof/>
            <w:webHidden/>
          </w:rPr>
          <w:fldChar w:fldCharType="end"/>
        </w:r>
      </w:hyperlink>
    </w:p>
    <w:p w14:paraId="4F13FE61" w14:textId="09F6D616" w:rsidR="0096366C" w:rsidRPr="00B04620" w:rsidRDefault="004B48CC">
      <w:pPr>
        <w:pStyle w:val="TableofFigures"/>
        <w:rPr>
          <w:noProof/>
          <w:sz w:val="22"/>
        </w:rPr>
      </w:pPr>
      <w:hyperlink w:anchor="_Toc99659357" w:history="1">
        <w:r w:rsidR="0096366C" w:rsidRPr="00BE1CA1">
          <w:rPr>
            <w:rStyle w:val="Hyperlink"/>
            <w:noProof/>
          </w:rPr>
          <w:t>Table 8.1.2</w:t>
        </w:r>
        <w:r w:rsidR="0096366C" w:rsidRPr="00B04620">
          <w:rPr>
            <w:noProof/>
            <w:sz w:val="22"/>
          </w:rPr>
          <w:tab/>
        </w:r>
        <w:r w:rsidR="0096366C" w:rsidRPr="00BE1CA1">
          <w:rPr>
            <w:rStyle w:val="Hyperlink"/>
            <w:noProof/>
          </w:rPr>
          <w:t>Key sources for activity data in Tokelau</w:t>
        </w:r>
        <w:r w:rsidR="0096366C">
          <w:rPr>
            <w:noProof/>
            <w:webHidden/>
          </w:rPr>
          <w:tab/>
        </w:r>
        <w:r w:rsidR="0096366C">
          <w:rPr>
            <w:noProof/>
            <w:webHidden/>
          </w:rPr>
          <w:fldChar w:fldCharType="begin"/>
        </w:r>
        <w:r w:rsidR="0096366C">
          <w:rPr>
            <w:noProof/>
            <w:webHidden/>
          </w:rPr>
          <w:instrText xml:space="preserve"> PAGEREF _Toc99659357 \h </w:instrText>
        </w:r>
        <w:r w:rsidR="0096366C">
          <w:rPr>
            <w:noProof/>
            <w:webHidden/>
          </w:rPr>
        </w:r>
        <w:r w:rsidR="0096366C">
          <w:rPr>
            <w:noProof/>
            <w:webHidden/>
          </w:rPr>
          <w:fldChar w:fldCharType="separate"/>
        </w:r>
        <w:r w:rsidR="009D338D">
          <w:rPr>
            <w:noProof/>
            <w:webHidden/>
          </w:rPr>
          <w:t>350</w:t>
        </w:r>
        <w:r w:rsidR="0096366C">
          <w:rPr>
            <w:noProof/>
            <w:webHidden/>
          </w:rPr>
          <w:fldChar w:fldCharType="end"/>
        </w:r>
      </w:hyperlink>
    </w:p>
    <w:p w14:paraId="4D12AC13" w14:textId="0B5D5632" w:rsidR="0096366C" w:rsidRPr="00B04620" w:rsidRDefault="004B48CC">
      <w:pPr>
        <w:pStyle w:val="TableofFigures"/>
        <w:rPr>
          <w:noProof/>
          <w:sz w:val="22"/>
        </w:rPr>
      </w:pPr>
      <w:hyperlink w:anchor="_Toc99659358" w:history="1">
        <w:r w:rsidR="0096366C" w:rsidRPr="00BE1CA1">
          <w:rPr>
            <w:rStyle w:val="Hyperlink"/>
            <w:noProof/>
          </w:rPr>
          <w:t>Table 8.2.1</w:t>
        </w:r>
        <w:r w:rsidR="0096366C" w:rsidRPr="00B04620">
          <w:rPr>
            <w:noProof/>
            <w:sz w:val="22"/>
          </w:rPr>
          <w:tab/>
        </w:r>
        <w:r w:rsidR="0096366C" w:rsidRPr="00BE1CA1">
          <w:rPr>
            <w:rStyle w:val="Hyperlink"/>
            <w:noProof/>
          </w:rPr>
          <w:t xml:space="preserve">Uncertainties for the </w:t>
        </w:r>
        <w:r w:rsidR="0096366C" w:rsidRPr="00BE1CA1">
          <w:rPr>
            <w:rStyle w:val="Hyperlink"/>
            <w:i/>
            <w:noProof/>
          </w:rPr>
          <w:t>Energy industries</w:t>
        </w:r>
        <w:r w:rsidR="0096366C" w:rsidRPr="00BE1CA1">
          <w:rPr>
            <w:rStyle w:val="Hyperlink"/>
            <w:noProof/>
          </w:rPr>
          <w:t xml:space="preserve"> category</w:t>
        </w:r>
        <w:r w:rsidR="0096366C">
          <w:rPr>
            <w:noProof/>
            <w:webHidden/>
          </w:rPr>
          <w:tab/>
        </w:r>
        <w:r w:rsidR="0096366C">
          <w:rPr>
            <w:noProof/>
            <w:webHidden/>
          </w:rPr>
          <w:fldChar w:fldCharType="begin"/>
        </w:r>
        <w:r w:rsidR="0096366C">
          <w:rPr>
            <w:noProof/>
            <w:webHidden/>
          </w:rPr>
          <w:instrText xml:space="preserve"> PAGEREF _Toc99659358 \h </w:instrText>
        </w:r>
        <w:r w:rsidR="0096366C">
          <w:rPr>
            <w:noProof/>
            <w:webHidden/>
          </w:rPr>
        </w:r>
        <w:r w:rsidR="0096366C">
          <w:rPr>
            <w:noProof/>
            <w:webHidden/>
          </w:rPr>
          <w:fldChar w:fldCharType="separate"/>
        </w:r>
        <w:r w:rsidR="009D338D">
          <w:rPr>
            <w:noProof/>
            <w:webHidden/>
          </w:rPr>
          <w:t>355</w:t>
        </w:r>
        <w:r w:rsidR="0096366C">
          <w:rPr>
            <w:noProof/>
            <w:webHidden/>
          </w:rPr>
          <w:fldChar w:fldCharType="end"/>
        </w:r>
      </w:hyperlink>
    </w:p>
    <w:p w14:paraId="606030C3" w14:textId="7187613A" w:rsidR="0096366C" w:rsidRPr="00B04620" w:rsidRDefault="004B48CC">
      <w:pPr>
        <w:pStyle w:val="TableofFigures"/>
        <w:rPr>
          <w:noProof/>
          <w:sz w:val="22"/>
        </w:rPr>
      </w:pPr>
      <w:hyperlink w:anchor="_Toc99659359" w:history="1">
        <w:r w:rsidR="0096366C" w:rsidRPr="00BE1CA1">
          <w:rPr>
            <w:rStyle w:val="Hyperlink"/>
            <w:noProof/>
          </w:rPr>
          <w:t>Table 8.2.2</w:t>
        </w:r>
        <w:r w:rsidR="0096366C" w:rsidRPr="00B04620">
          <w:rPr>
            <w:noProof/>
            <w:sz w:val="22"/>
          </w:rPr>
          <w:tab/>
        </w:r>
        <w:r w:rsidR="0096366C" w:rsidRPr="00BE1CA1">
          <w:rPr>
            <w:rStyle w:val="Hyperlink"/>
            <w:noProof/>
          </w:rPr>
          <w:t xml:space="preserve">Uncertainties for the </w:t>
        </w:r>
        <w:r w:rsidR="0096366C" w:rsidRPr="00BE1CA1">
          <w:rPr>
            <w:rStyle w:val="Hyperlink"/>
            <w:i/>
            <w:noProof/>
          </w:rPr>
          <w:t xml:space="preserve">Other sectors – Residential </w:t>
        </w:r>
        <w:r w:rsidR="0096366C" w:rsidRPr="00BE1CA1">
          <w:rPr>
            <w:rStyle w:val="Hyperlink"/>
            <w:noProof/>
          </w:rPr>
          <w:t>category</w:t>
        </w:r>
        <w:r w:rsidR="0096366C">
          <w:rPr>
            <w:noProof/>
            <w:webHidden/>
          </w:rPr>
          <w:tab/>
        </w:r>
        <w:r w:rsidR="0096366C">
          <w:rPr>
            <w:noProof/>
            <w:webHidden/>
          </w:rPr>
          <w:fldChar w:fldCharType="begin"/>
        </w:r>
        <w:r w:rsidR="0096366C">
          <w:rPr>
            <w:noProof/>
            <w:webHidden/>
          </w:rPr>
          <w:instrText xml:space="preserve"> PAGEREF _Toc99659359 \h </w:instrText>
        </w:r>
        <w:r w:rsidR="0096366C">
          <w:rPr>
            <w:noProof/>
            <w:webHidden/>
          </w:rPr>
        </w:r>
        <w:r w:rsidR="0096366C">
          <w:rPr>
            <w:noProof/>
            <w:webHidden/>
          </w:rPr>
          <w:fldChar w:fldCharType="separate"/>
        </w:r>
        <w:r w:rsidR="009D338D">
          <w:rPr>
            <w:noProof/>
            <w:webHidden/>
          </w:rPr>
          <w:t>357</w:t>
        </w:r>
        <w:r w:rsidR="0096366C">
          <w:rPr>
            <w:noProof/>
            <w:webHidden/>
          </w:rPr>
          <w:fldChar w:fldCharType="end"/>
        </w:r>
      </w:hyperlink>
    </w:p>
    <w:p w14:paraId="653B9D34" w14:textId="1E634DF9" w:rsidR="0096366C" w:rsidRPr="00B04620" w:rsidRDefault="004B48CC">
      <w:pPr>
        <w:pStyle w:val="TableofFigures"/>
        <w:rPr>
          <w:noProof/>
          <w:sz w:val="22"/>
        </w:rPr>
      </w:pPr>
      <w:hyperlink w:anchor="_Toc99659360" w:history="1">
        <w:r w:rsidR="0096366C" w:rsidRPr="00BE1CA1">
          <w:rPr>
            <w:rStyle w:val="Hyperlink"/>
            <w:noProof/>
          </w:rPr>
          <w:t>Table 8.2.3</w:t>
        </w:r>
        <w:r w:rsidR="0096366C" w:rsidRPr="00B04620">
          <w:rPr>
            <w:noProof/>
            <w:sz w:val="22"/>
          </w:rPr>
          <w:tab/>
        </w:r>
        <w:r w:rsidR="0096366C" w:rsidRPr="00BE1CA1">
          <w:rPr>
            <w:rStyle w:val="Hyperlink"/>
            <w:noProof/>
          </w:rPr>
          <w:t xml:space="preserve">Uncertainties for the </w:t>
        </w:r>
        <w:r w:rsidR="0096366C" w:rsidRPr="00BE1CA1">
          <w:rPr>
            <w:rStyle w:val="Hyperlink"/>
            <w:i/>
            <w:noProof/>
          </w:rPr>
          <w:t>Mobile combustion</w:t>
        </w:r>
        <w:r w:rsidR="0096366C" w:rsidRPr="00BE1CA1">
          <w:rPr>
            <w:rStyle w:val="Hyperlink"/>
            <w:noProof/>
          </w:rPr>
          <w:t xml:space="preserve"> category</w:t>
        </w:r>
        <w:r w:rsidR="0096366C">
          <w:rPr>
            <w:noProof/>
            <w:webHidden/>
          </w:rPr>
          <w:tab/>
        </w:r>
        <w:r w:rsidR="0096366C">
          <w:rPr>
            <w:noProof/>
            <w:webHidden/>
          </w:rPr>
          <w:fldChar w:fldCharType="begin"/>
        </w:r>
        <w:r w:rsidR="0096366C">
          <w:rPr>
            <w:noProof/>
            <w:webHidden/>
          </w:rPr>
          <w:instrText xml:space="preserve"> PAGEREF _Toc99659360 \h </w:instrText>
        </w:r>
        <w:r w:rsidR="0096366C">
          <w:rPr>
            <w:noProof/>
            <w:webHidden/>
          </w:rPr>
        </w:r>
        <w:r w:rsidR="0096366C">
          <w:rPr>
            <w:noProof/>
            <w:webHidden/>
          </w:rPr>
          <w:fldChar w:fldCharType="separate"/>
        </w:r>
        <w:r w:rsidR="009D338D">
          <w:rPr>
            <w:noProof/>
            <w:webHidden/>
          </w:rPr>
          <w:t>359</w:t>
        </w:r>
        <w:r w:rsidR="0096366C">
          <w:rPr>
            <w:noProof/>
            <w:webHidden/>
          </w:rPr>
          <w:fldChar w:fldCharType="end"/>
        </w:r>
      </w:hyperlink>
    </w:p>
    <w:p w14:paraId="3B0AB11A" w14:textId="0A5B8EF2" w:rsidR="0096366C" w:rsidRPr="00B04620" w:rsidRDefault="004B48CC">
      <w:pPr>
        <w:pStyle w:val="TableofFigures"/>
        <w:rPr>
          <w:noProof/>
          <w:sz w:val="22"/>
        </w:rPr>
      </w:pPr>
      <w:hyperlink w:anchor="_Toc99659361" w:history="1">
        <w:r w:rsidR="0096366C" w:rsidRPr="00BE1CA1">
          <w:rPr>
            <w:rStyle w:val="Hyperlink"/>
            <w:noProof/>
          </w:rPr>
          <w:t>Table 8.3.1</w:t>
        </w:r>
        <w:r w:rsidR="0096366C" w:rsidRPr="00B04620">
          <w:rPr>
            <w:noProof/>
            <w:sz w:val="22"/>
          </w:rPr>
          <w:tab/>
        </w:r>
        <w:r w:rsidR="0096366C" w:rsidRPr="00BE1CA1">
          <w:rPr>
            <w:rStyle w:val="Hyperlink"/>
            <w:noProof/>
          </w:rPr>
          <w:t xml:space="preserve">Uncertainties for </w:t>
        </w:r>
        <w:r w:rsidR="0096366C" w:rsidRPr="00BE1CA1">
          <w:rPr>
            <w:rStyle w:val="Hyperlink"/>
            <w:i/>
            <w:noProof/>
          </w:rPr>
          <w:t>Refrigeration and air conditioning</w:t>
        </w:r>
        <w:r w:rsidR="0096366C" w:rsidRPr="00BE1CA1">
          <w:rPr>
            <w:rStyle w:val="Hyperlink"/>
            <w:noProof/>
          </w:rPr>
          <w:t xml:space="preserve"> category</w:t>
        </w:r>
        <w:r w:rsidR="0096366C">
          <w:rPr>
            <w:noProof/>
            <w:webHidden/>
          </w:rPr>
          <w:tab/>
        </w:r>
        <w:r w:rsidR="0096366C">
          <w:rPr>
            <w:noProof/>
            <w:webHidden/>
          </w:rPr>
          <w:fldChar w:fldCharType="begin"/>
        </w:r>
        <w:r w:rsidR="0096366C">
          <w:rPr>
            <w:noProof/>
            <w:webHidden/>
          </w:rPr>
          <w:instrText xml:space="preserve"> PAGEREF _Toc99659361 \h </w:instrText>
        </w:r>
        <w:r w:rsidR="0096366C">
          <w:rPr>
            <w:noProof/>
            <w:webHidden/>
          </w:rPr>
        </w:r>
        <w:r w:rsidR="0096366C">
          <w:rPr>
            <w:noProof/>
            <w:webHidden/>
          </w:rPr>
          <w:fldChar w:fldCharType="separate"/>
        </w:r>
        <w:r w:rsidR="009D338D">
          <w:rPr>
            <w:noProof/>
            <w:webHidden/>
          </w:rPr>
          <w:t>362</w:t>
        </w:r>
        <w:r w:rsidR="0096366C">
          <w:rPr>
            <w:noProof/>
            <w:webHidden/>
          </w:rPr>
          <w:fldChar w:fldCharType="end"/>
        </w:r>
      </w:hyperlink>
    </w:p>
    <w:p w14:paraId="24390ACA" w14:textId="6B0055BE" w:rsidR="0096366C" w:rsidRPr="00B04620" w:rsidRDefault="004B48CC">
      <w:pPr>
        <w:pStyle w:val="TableofFigures"/>
        <w:rPr>
          <w:noProof/>
          <w:sz w:val="22"/>
        </w:rPr>
      </w:pPr>
      <w:hyperlink w:anchor="_Toc99659362" w:history="1">
        <w:r w:rsidR="0096366C" w:rsidRPr="00BE1CA1">
          <w:rPr>
            <w:rStyle w:val="Hyperlink"/>
            <w:noProof/>
          </w:rPr>
          <w:t>Table 8.3.2</w:t>
        </w:r>
        <w:r w:rsidR="0096366C" w:rsidRPr="00B04620">
          <w:rPr>
            <w:noProof/>
            <w:sz w:val="22"/>
          </w:rPr>
          <w:tab/>
        </w:r>
        <w:r w:rsidR="0096366C" w:rsidRPr="00BE1CA1">
          <w:rPr>
            <w:rStyle w:val="Hyperlink"/>
            <w:noProof/>
          </w:rPr>
          <w:t xml:space="preserve">Uncertainty in emissions from </w:t>
        </w:r>
        <w:r w:rsidR="0096366C" w:rsidRPr="00BE1CA1">
          <w:rPr>
            <w:rStyle w:val="Hyperlink"/>
            <w:i/>
            <w:noProof/>
          </w:rPr>
          <w:t>Other product manufacture and use</w:t>
        </w:r>
        <w:r w:rsidR="0096366C" w:rsidRPr="00BE1CA1">
          <w:rPr>
            <w:rStyle w:val="Hyperlink"/>
            <w:noProof/>
          </w:rPr>
          <w:t xml:space="preserve"> category</w:t>
        </w:r>
        <w:r w:rsidR="0096366C">
          <w:rPr>
            <w:noProof/>
            <w:webHidden/>
          </w:rPr>
          <w:tab/>
        </w:r>
        <w:r w:rsidR="0096366C">
          <w:rPr>
            <w:noProof/>
            <w:webHidden/>
          </w:rPr>
          <w:fldChar w:fldCharType="begin"/>
        </w:r>
        <w:r w:rsidR="0096366C">
          <w:rPr>
            <w:noProof/>
            <w:webHidden/>
          </w:rPr>
          <w:instrText xml:space="preserve"> PAGEREF _Toc99659362 \h </w:instrText>
        </w:r>
        <w:r w:rsidR="0096366C">
          <w:rPr>
            <w:noProof/>
            <w:webHidden/>
          </w:rPr>
        </w:r>
        <w:r w:rsidR="0096366C">
          <w:rPr>
            <w:noProof/>
            <w:webHidden/>
          </w:rPr>
          <w:fldChar w:fldCharType="separate"/>
        </w:r>
        <w:r w:rsidR="009D338D">
          <w:rPr>
            <w:noProof/>
            <w:webHidden/>
          </w:rPr>
          <w:t>363</w:t>
        </w:r>
        <w:r w:rsidR="0096366C">
          <w:rPr>
            <w:noProof/>
            <w:webHidden/>
          </w:rPr>
          <w:fldChar w:fldCharType="end"/>
        </w:r>
      </w:hyperlink>
    </w:p>
    <w:p w14:paraId="3B5FA0C7" w14:textId="49B96783" w:rsidR="0096366C" w:rsidRPr="00B04620" w:rsidRDefault="004B48CC">
      <w:pPr>
        <w:pStyle w:val="TableofFigures"/>
        <w:rPr>
          <w:noProof/>
          <w:sz w:val="22"/>
        </w:rPr>
      </w:pPr>
      <w:hyperlink w:anchor="_Toc99659363" w:history="1">
        <w:r w:rsidR="0096366C" w:rsidRPr="00BE1CA1">
          <w:rPr>
            <w:rStyle w:val="Hyperlink"/>
            <w:noProof/>
          </w:rPr>
          <w:t xml:space="preserve">Table 8.4.1 </w:t>
        </w:r>
        <w:r w:rsidR="0096366C" w:rsidRPr="00B04620">
          <w:rPr>
            <w:noProof/>
            <w:sz w:val="22"/>
          </w:rPr>
          <w:tab/>
        </w:r>
        <w:r w:rsidR="0096366C" w:rsidRPr="00BE1CA1">
          <w:rPr>
            <w:rStyle w:val="Hyperlink"/>
            <w:noProof/>
          </w:rPr>
          <w:t>Number of livestock in Tokelau (2016)</w:t>
        </w:r>
        <w:r w:rsidR="0096366C">
          <w:rPr>
            <w:noProof/>
            <w:webHidden/>
          </w:rPr>
          <w:tab/>
        </w:r>
        <w:r w:rsidR="0096366C">
          <w:rPr>
            <w:noProof/>
            <w:webHidden/>
          </w:rPr>
          <w:fldChar w:fldCharType="begin"/>
        </w:r>
        <w:r w:rsidR="0096366C">
          <w:rPr>
            <w:noProof/>
            <w:webHidden/>
          </w:rPr>
          <w:instrText xml:space="preserve"> PAGEREF _Toc99659363 \h </w:instrText>
        </w:r>
        <w:r w:rsidR="0096366C">
          <w:rPr>
            <w:noProof/>
            <w:webHidden/>
          </w:rPr>
        </w:r>
        <w:r w:rsidR="0096366C">
          <w:rPr>
            <w:noProof/>
            <w:webHidden/>
          </w:rPr>
          <w:fldChar w:fldCharType="separate"/>
        </w:r>
        <w:r w:rsidR="009D338D">
          <w:rPr>
            <w:noProof/>
            <w:webHidden/>
          </w:rPr>
          <w:t>365</w:t>
        </w:r>
        <w:r w:rsidR="0096366C">
          <w:rPr>
            <w:noProof/>
            <w:webHidden/>
          </w:rPr>
          <w:fldChar w:fldCharType="end"/>
        </w:r>
      </w:hyperlink>
    </w:p>
    <w:p w14:paraId="5EA7D160" w14:textId="6663E923" w:rsidR="0096366C" w:rsidRPr="00B04620" w:rsidRDefault="004B48CC">
      <w:pPr>
        <w:pStyle w:val="TableofFigures"/>
        <w:rPr>
          <w:noProof/>
          <w:sz w:val="22"/>
        </w:rPr>
      </w:pPr>
      <w:hyperlink w:anchor="_Toc99659364" w:history="1">
        <w:r w:rsidR="0096366C" w:rsidRPr="00BE1CA1">
          <w:rPr>
            <w:rStyle w:val="Hyperlink"/>
            <w:rFonts w:eastAsia="Calibri"/>
            <w:noProof/>
          </w:rPr>
          <w:t>Table 8.5.1</w:t>
        </w:r>
        <w:r w:rsidR="0096366C" w:rsidRPr="00B04620">
          <w:rPr>
            <w:noProof/>
            <w:sz w:val="22"/>
          </w:rPr>
          <w:tab/>
        </w:r>
        <w:r w:rsidR="0096366C" w:rsidRPr="00BE1CA1">
          <w:rPr>
            <w:rStyle w:val="Hyperlink"/>
            <w:rFonts w:eastAsia="Calibri"/>
            <w:noProof/>
          </w:rPr>
          <w:t>Summary of parameters for uncategorised landfills in Tokelau</w:t>
        </w:r>
        <w:r w:rsidR="0096366C">
          <w:rPr>
            <w:noProof/>
            <w:webHidden/>
          </w:rPr>
          <w:tab/>
        </w:r>
        <w:r w:rsidR="0096366C">
          <w:rPr>
            <w:noProof/>
            <w:webHidden/>
          </w:rPr>
          <w:fldChar w:fldCharType="begin"/>
        </w:r>
        <w:r w:rsidR="0096366C">
          <w:rPr>
            <w:noProof/>
            <w:webHidden/>
          </w:rPr>
          <w:instrText xml:space="preserve"> PAGEREF _Toc99659364 \h </w:instrText>
        </w:r>
        <w:r w:rsidR="0096366C">
          <w:rPr>
            <w:noProof/>
            <w:webHidden/>
          </w:rPr>
        </w:r>
        <w:r w:rsidR="0096366C">
          <w:rPr>
            <w:noProof/>
            <w:webHidden/>
          </w:rPr>
          <w:fldChar w:fldCharType="separate"/>
        </w:r>
        <w:r w:rsidR="009D338D">
          <w:rPr>
            <w:noProof/>
            <w:webHidden/>
          </w:rPr>
          <w:t>368</w:t>
        </w:r>
        <w:r w:rsidR="0096366C">
          <w:rPr>
            <w:noProof/>
            <w:webHidden/>
          </w:rPr>
          <w:fldChar w:fldCharType="end"/>
        </w:r>
      </w:hyperlink>
    </w:p>
    <w:p w14:paraId="67183CF8" w14:textId="225678BF" w:rsidR="0096366C" w:rsidRPr="00B04620" w:rsidRDefault="004B48CC">
      <w:pPr>
        <w:pStyle w:val="TableofFigures"/>
        <w:rPr>
          <w:noProof/>
          <w:sz w:val="22"/>
        </w:rPr>
      </w:pPr>
      <w:hyperlink w:anchor="_Toc99659365" w:history="1">
        <w:r w:rsidR="0096366C" w:rsidRPr="00BE1CA1">
          <w:rPr>
            <w:rStyle w:val="Hyperlink"/>
            <w:noProof/>
          </w:rPr>
          <w:t>Table 8.5.2</w:t>
        </w:r>
        <w:r w:rsidR="0096366C" w:rsidRPr="00B04620">
          <w:rPr>
            <w:noProof/>
            <w:sz w:val="22"/>
          </w:rPr>
          <w:tab/>
        </w:r>
        <w:r w:rsidR="0096366C" w:rsidRPr="00BE1CA1">
          <w:rPr>
            <w:rStyle w:val="Hyperlink"/>
            <w:noProof/>
          </w:rPr>
          <w:t xml:space="preserve">Uncertainty in emissions from the </w:t>
        </w:r>
        <w:r w:rsidR="0096366C" w:rsidRPr="00BE1CA1">
          <w:rPr>
            <w:rStyle w:val="Hyperlink"/>
            <w:i/>
            <w:noProof/>
          </w:rPr>
          <w:t>Solid waste disposal</w:t>
        </w:r>
        <w:r w:rsidR="0096366C" w:rsidRPr="00BE1CA1">
          <w:rPr>
            <w:rStyle w:val="Hyperlink"/>
            <w:noProof/>
          </w:rPr>
          <w:t xml:space="preserve"> category</w:t>
        </w:r>
        <w:r w:rsidR="0096366C">
          <w:rPr>
            <w:noProof/>
            <w:webHidden/>
          </w:rPr>
          <w:tab/>
        </w:r>
        <w:r w:rsidR="0096366C">
          <w:rPr>
            <w:noProof/>
            <w:webHidden/>
          </w:rPr>
          <w:fldChar w:fldCharType="begin"/>
        </w:r>
        <w:r w:rsidR="0096366C">
          <w:rPr>
            <w:noProof/>
            <w:webHidden/>
          </w:rPr>
          <w:instrText xml:space="preserve"> PAGEREF _Toc99659365 \h </w:instrText>
        </w:r>
        <w:r w:rsidR="0096366C">
          <w:rPr>
            <w:noProof/>
            <w:webHidden/>
          </w:rPr>
        </w:r>
        <w:r w:rsidR="0096366C">
          <w:rPr>
            <w:noProof/>
            <w:webHidden/>
          </w:rPr>
          <w:fldChar w:fldCharType="separate"/>
        </w:r>
        <w:r w:rsidR="009D338D">
          <w:rPr>
            <w:noProof/>
            <w:webHidden/>
          </w:rPr>
          <w:t>368</w:t>
        </w:r>
        <w:r w:rsidR="0096366C">
          <w:rPr>
            <w:noProof/>
            <w:webHidden/>
          </w:rPr>
          <w:fldChar w:fldCharType="end"/>
        </w:r>
      </w:hyperlink>
    </w:p>
    <w:p w14:paraId="27E7E1EB" w14:textId="72C17075" w:rsidR="0096366C" w:rsidRPr="00B04620" w:rsidRDefault="004B48CC">
      <w:pPr>
        <w:pStyle w:val="TableofFigures"/>
        <w:rPr>
          <w:noProof/>
          <w:sz w:val="22"/>
        </w:rPr>
      </w:pPr>
      <w:hyperlink w:anchor="_Toc99659366" w:history="1">
        <w:r w:rsidR="0096366C" w:rsidRPr="00BE1CA1">
          <w:rPr>
            <w:rStyle w:val="Hyperlink"/>
            <w:rFonts w:eastAsia="Calibri" w:cs="Arial"/>
            <w:noProof/>
          </w:rPr>
          <w:t>Table 8.5.3</w:t>
        </w:r>
        <w:r w:rsidR="0096366C" w:rsidRPr="00B04620">
          <w:rPr>
            <w:noProof/>
            <w:sz w:val="22"/>
          </w:rPr>
          <w:tab/>
        </w:r>
        <w:r w:rsidR="0096366C" w:rsidRPr="00BE1CA1">
          <w:rPr>
            <w:rStyle w:val="Hyperlink"/>
            <w:rFonts w:eastAsia="Calibri" w:cs="Arial"/>
            <w:noProof/>
          </w:rPr>
          <w:t xml:space="preserve">Composition data and carbon content used for estimating emissions from </w:t>
        </w:r>
        <w:r w:rsidR="0096366C" w:rsidRPr="00BE1CA1">
          <w:rPr>
            <w:rStyle w:val="Hyperlink"/>
            <w:rFonts w:eastAsia="Calibri" w:cs="Arial"/>
            <w:i/>
            <w:noProof/>
          </w:rPr>
          <w:t>Open burning of waste</w:t>
        </w:r>
        <w:r w:rsidR="0096366C">
          <w:rPr>
            <w:noProof/>
            <w:webHidden/>
          </w:rPr>
          <w:tab/>
        </w:r>
        <w:r w:rsidR="0096366C">
          <w:rPr>
            <w:noProof/>
            <w:webHidden/>
          </w:rPr>
          <w:fldChar w:fldCharType="begin"/>
        </w:r>
        <w:r w:rsidR="0096366C">
          <w:rPr>
            <w:noProof/>
            <w:webHidden/>
          </w:rPr>
          <w:instrText xml:space="preserve"> PAGEREF _Toc99659366 \h </w:instrText>
        </w:r>
        <w:r w:rsidR="0096366C">
          <w:rPr>
            <w:noProof/>
            <w:webHidden/>
          </w:rPr>
        </w:r>
        <w:r w:rsidR="0096366C">
          <w:rPr>
            <w:noProof/>
            <w:webHidden/>
          </w:rPr>
          <w:fldChar w:fldCharType="separate"/>
        </w:r>
        <w:r w:rsidR="009D338D">
          <w:rPr>
            <w:noProof/>
            <w:webHidden/>
          </w:rPr>
          <w:t>369</w:t>
        </w:r>
        <w:r w:rsidR="0096366C">
          <w:rPr>
            <w:noProof/>
            <w:webHidden/>
          </w:rPr>
          <w:fldChar w:fldCharType="end"/>
        </w:r>
      </w:hyperlink>
    </w:p>
    <w:p w14:paraId="05D2B676" w14:textId="77F49E6E" w:rsidR="0096366C" w:rsidRPr="00B04620" w:rsidRDefault="004B48CC">
      <w:pPr>
        <w:pStyle w:val="TableofFigures"/>
        <w:rPr>
          <w:noProof/>
          <w:sz w:val="22"/>
        </w:rPr>
      </w:pPr>
      <w:hyperlink w:anchor="_Toc99659367" w:history="1">
        <w:r w:rsidR="0096366C" w:rsidRPr="00BE1CA1">
          <w:rPr>
            <w:rStyle w:val="Hyperlink"/>
            <w:noProof/>
          </w:rPr>
          <w:t>Table 8.5.4</w:t>
        </w:r>
        <w:r w:rsidR="0096366C" w:rsidRPr="00B04620">
          <w:rPr>
            <w:noProof/>
            <w:sz w:val="22"/>
          </w:rPr>
          <w:tab/>
        </w:r>
        <w:r w:rsidR="0096366C" w:rsidRPr="00BE1CA1">
          <w:rPr>
            <w:rStyle w:val="Hyperlink"/>
            <w:noProof/>
          </w:rPr>
          <w:t xml:space="preserve">Uncertainty in emissions from </w:t>
        </w:r>
        <w:r w:rsidR="0096366C" w:rsidRPr="00BE1CA1">
          <w:rPr>
            <w:rStyle w:val="Hyperlink"/>
            <w:i/>
            <w:noProof/>
          </w:rPr>
          <w:t>Open burning of waste</w:t>
        </w:r>
        <w:r w:rsidR="0096366C" w:rsidRPr="00BE1CA1">
          <w:rPr>
            <w:rStyle w:val="Hyperlink"/>
            <w:noProof/>
          </w:rPr>
          <w:t xml:space="preserve"> for Tokelau</w:t>
        </w:r>
        <w:r w:rsidR="0096366C">
          <w:rPr>
            <w:noProof/>
            <w:webHidden/>
          </w:rPr>
          <w:tab/>
        </w:r>
        <w:r w:rsidR="0096366C">
          <w:rPr>
            <w:noProof/>
            <w:webHidden/>
          </w:rPr>
          <w:fldChar w:fldCharType="begin"/>
        </w:r>
        <w:r w:rsidR="0096366C">
          <w:rPr>
            <w:noProof/>
            <w:webHidden/>
          </w:rPr>
          <w:instrText xml:space="preserve"> PAGEREF _Toc99659367 \h </w:instrText>
        </w:r>
        <w:r w:rsidR="0096366C">
          <w:rPr>
            <w:noProof/>
            <w:webHidden/>
          </w:rPr>
        </w:r>
        <w:r w:rsidR="0096366C">
          <w:rPr>
            <w:noProof/>
            <w:webHidden/>
          </w:rPr>
          <w:fldChar w:fldCharType="separate"/>
        </w:r>
        <w:r w:rsidR="009D338D">
          <w:rPr>
            <w:noProof/>
            <w:webHidden/>
          </w:rPr>
          <w:t>370</w:t>
        </w:r>
        <w:r w:rsidR="0096366C">
          <w:rPr>
            <w:noProof/>
            <w:webHidden/>
          </w:rPr>
          <w:fldChar w:fldCharType="end"/>
        </w:r>
      </w:hyperlink>
    </w:p>
    <w:p w14:paraId="7FAE8848" w14:textId="7E157772" w:rsidR="0096366C" w:rsidRPr="00B04620" w:rsidRDefault="004B48CC">
      <w:pPr>
        <w:pStyle w:val="TableofFigures"/>
        <w:rPr>
          <w:noProof/>
          <w:sz w:val="22"/>
        </w:rPr>
      </w:pPr>
      <w:hyperlink w:anchor="_Toc99659368" w:history="1">
        <w:r w:rsidR="0096366C" w:rsidRPr="00BE1CA1">
          <w:rPr>
            <w:rStyle w:val="Hyperlink"/>
            <w:noProof/>
          </w:rPr>
          <w:t>Table 8.5.5</w:t>
        </w:r>
        <w:r w:rsidR="0096366C" w:rsidRPr="00B04620">
          <w:rPr>
            <w:noProof/>
            <w:sz w:val="22"/>
          </w:rPr>
          <w:tab/>
        </w:r>
        <w:r w:rsidR="0096366C" w:rsidRPr="00BE1CA1">
          <w:rPr>
            <w:rStyle w:val="Hyperlink"/>
            <w:noProof/>
          </w:rPr>
          <w:t>Parameters for estimating methane emissions for Tokelau wastewater treatment</w:t>
        </w:r>
        <w:r w:rsidR="0096366C">
          <w:rPr>
            <w:noProof/>
            <w:webHidden/>
          </w:rPr>
          <w:tab/>
        </w:r>
        <w:r w:rsidR="0096366C">
          <w:rPr>
            <w:noProof/>
            <w:webHidden/>
          </w:rPr>
          <w:fldChar w:fldCharType="begin"/>
        </w:r>
        <w:r w:rsidR="0096366C">
          <w:rPr>
            <w:noProof/>
            <w:webHidden/>
          </w:rPr>
          <w:instrText xml:space="preserve"> PAGEREF _Toc99659368 \h </w:instrText>
        </w:r>
        <w:r w:rsidR="0096366C">
          <w:rPr>
            <w:noProof/>
            <w:webHidden/>
          </w:rPr>
        </w:r>
        <w:r w:rsidR="0096366C">
          <w:rPr>
            <w:noProof/>
            <w:webHidden/>
          </w:rPr>
          <w:fldChar w:fldCharType="separate"/>
        </w:r>
        <w:r w:rsidR="009D338D">
          <w:rPr>
            <w:noProof/>
            <w:webHidden/>
          </w:rPr>
          <w:t>371</w:t>
        </w:r>
        <w:r w:rsidR="0096366C">
          <w:rPr>
            <w:noProof/>
            <w:webHidden/>
          </w:rPr>
          <w:fldChar w:fldCharType="end"/>
        </w:r>
      </w:hyperlink>
    </w:p>
    <w:p w14:paraId="65AF33EE" w14:textId="0B9DDDE4" w:rsidR="0096366C" w:rsidRPr="00B04620" w:rsidRDefault="004B48CC">
      <w:pPr>
        <w:pStyle w:val="TableofFigures"/>
        <w:rPr>
          <w:noProof/>
          <w:sz w:val="22"/>
        </w:rPr>
      </w:pPr>
      <w:hyperlink w:anchor="_Toc99659369" w:history="1">
        <w:r w:rsidR="0096366C" w:rsidRPr="00BE1CA1">
          <w:rPr>
            <w:rStyle w:val="Hyperlink"/>
            <w:noProof/>
          </w:rPr>
          <w:t>Table 8.5.6</w:t>
        </w:r>
        <w:r w:rsidR="0096366C" w:rsidRPr="00B04620">
          <w:rPr>
            <w:noProof/>
            <w:sz w:val="22"/>
          </w:rPr>
          <w:tab/>
        </w:r>
        <w:r w:rsidR="0096366C" w:rsidRPr="00BE1CA1">
          <w:rPr>
            <w:rStyle w:val="Hyperlink"/>
            <w:noProof/>
          </w:rPr>
          <w:t>Parameter values applied for estimating nitrous oxide emissions for Tokelau wastewater treatment</w:t>
        </w:r>
        <w:r w:rsidR="0096366C">
          <w:rPr>
            <w:noProof/>
            <w:webHidden/>
          </w:rPr>
          <w:tab/>
        </w:r>
        <w:r w:rsidR="0096366C">
          <w:rPr>
            <w:noProof/>
            <w:webHidden/>
          </w:rPr>
          <w:fldChar w:fldCharType="begin"/>
        </w:r>
        <w:r w:rsidR="0096366C">
          <w:rPr>
            <w:noProof/>
            <w:webHidden/>
          </w:rPr>
          <w:instrText xml:space="preserve"> PAGEREF _Toc99659369 \h </w:instrText>
        </w:r>
        <w:r w:rsidR="0096366C">
          <w:rPr>
            <w:noProof/>
            <w:webHidden/>
          </w:rPr>
        </w:r>
        <w:r w:rsidR="0096366C">
          <w:rPr>
            <w:noProof/>
            <w:webHidden/>
          </w:rPr>
          <w:fldChar w:fldCharType="separate"/>
        </w:r>
        <w:r w:rsidR="009D338D">
          <w:rPr>
            <w:noProof/>
            <w:webHidden/>
          </w:rPr>
          <w:t>371</w:t>
        </w:r>
        <w:r w:rsidR="0096366C">
          <w:rPr>
            <w:noProof/>
            <w:webHidden/>
          </w:rPr>
          <w:fldChar w:fldCharType="end"/>
        </w:r>
      </w:hyperlink>
    </w:p>
    <w:p w14:paraId="0D682262" w14:textId="0092F177" w:rsidR="0096366C" w:rsidRPr="00B04620" w:rsidRDefault="004B48CC">
      <w:pPr>
        <w:pStyle w:val="TableofFigures"/>
        <w:rPr>
          <w:noProof/>
          <w:sz w:val="22"/>
        </w:rPr>
      </w:pPr>
      <w:hyperlink w:anchor="_Toc99659370" w:history="1">
        <w:r w:rsidR="0096366C" w:rsidRPr="00BE1CA1">
          <w:rPr>
            <w:rStyle w:val="Hyperlink"/>
            <w:noProof/>
          </w:rPr>
          <w:t>Table 8.5.7</w:t>
        </w:r>
        <w:r w:rsidR="0096366C" w:rsidRPr="00B04620">
          <w:rPr>
            <w:noProof/>
            <w:sz w:val="22"/>
          </w:rPr>
          <w:tab/>
        </w:r>
        <w:r w:rsidR="0096366C" w:rsidRPr="00BE1CA1">
          <w:rPr>
            <w:rStyle w:val="Hyperlink"/>
            <w:noProof/>
          </w:rPr>
          <w:t>Uncertainty in emissions from domestic wastewater</w:t>
        </w:r>
        <w:r w:rsidR="0096366C">
          <w:rPr>
            <w:noProof/>
            <w:webHidden/>
          </w:rPr>
          <w:tab/>
        </w:r>
        <w:r w:rsidR="0096366C">
          <w:rPr>
            <w:noProof/>
            <w:webHidden/>
          </w:rPr>
          <w:fldChar w:fldCharType="begin"/>
        </w:r>
        <w:r w:rsidR="0096366C">
          <w:rPr>
            <w:noProof/>
            <w:webHidden/>
          </w:rPr>
          <w:instrText xml:space="preserve"> PAGEREF _Toc99659370 \h </w:instrText>
        </w:r>
        <w:r w:rsidR="0096366C">
          <w:rPr>
            <w:noProof/>
            <w:webHidden/>
          </w:rPr>
        </w:r>
        <w:r w:rsidR="0096366C">
          <w:rPr>
            <w:noProof/>
            <w:webHidden/>
          </w:rPr>
          <w:fldChar w:fldCharType="separate"/>
        </w:r>
        <w:r w:rsidR="009D338D">
          <w:rPr>
            <w:noProof/>
            <w:webHidden/>
          </w:rPr>
          <w:t>372</w:t>
        </w:r>
        <w:r w:rsidR="0096366C">
          <w:rPr>
            <w:noProof/>
            <w:webHidden/>
          </w:rPr>
          <w:fldChar w:fldCharType="end"/>
        </w:r>
      </w:hyperlink>
    </w:p>
    <w:p w14:paraId="6EFBB2CF" w14:textId="3C59AB51" w:rsidR="0096366C" w:rsidRPr="00B04620" w:rsidRDefault="004B48CC">
      <w:pPr>
        <w:pStyle w:val="TableofFigures"/>
        <w:rPr>
          <w:noProof/>
          <w:sz w:val="22"/>
        </w:rPr>
      </w:pPr>
      <w:hyperlink w:anchor="_Toc99659371" w:history="1">
        <w:r w:rsidR="0096366C" w:rsidRPr="00BE1CA1">
          <w:rPr>
            <w:rStyle w:val="Hyperlink"/>
            <w:noProof/>
          </w:rPr>
          <w:t>Table 10.1.1</w:t>
        </w:r>
        <w:r w:rsidR="0096366C" w:rsidRPr="00B04620">
          <w:rPr>
            <w:noProof/>
            <w:sz w:val="22"/>
          </w:rPr>
          <w:tab/>
        </w:r>
        <w:r w:rsidR="0096366C" w:rsidRPr="00BE1CA1">
          <w:rPr>
            <w:rStyle w:val="Hyperlink"/>
            <w:noProof/>
          </w:rPr>
          <w:t>Recalculations that led to the greatest increase in emissions estimates in each sector</w:t>
        </w:r>
        <w:r w:rsidR="0096366C">
          <w:rPr>
            <w:noProof/>
            <w:webHidden/>
          </w:rPr>
          <w:tab/>
        </w:r>
        <w:r w:rsidR="0096366C">
          <w:rPr>
            <w:noProof/>
            <w:webHidden/>
          </w:rPr>
          <w:fldChar w:fldCharType="begin"/>
        </w:r>
        <w:r w:rsidR="0096366C">
          <w:rPr>
            <w:noProof/>
            <w:webHidden/>
          </w:rPr>
          <w:instrText xml:space="preserve"> PAGEREF _Toc99659371 \h </w:instrText>
        </w:r>
        <w:r w:rsidR="0096366C">
          <w:rPr>
            <w:noProof/>
            <w:webHidden/>
          </w:rPr>
        </w:r>
        <w:r w:rsidR="0096366C">
          <w:rPr>
            <w:noProof/>
            <w:webHidden/>
          </w:rPr>
          <w:fldChar w:fldCharType="separate"/>
        </w:r>
        <w:r w:rsidR="009D338D">
          <w:rPr>
            <w:noProof/>
            <w:webHidden/>
          </w:rPr>
          <w:t>376</w:t>
        </w:r>
        <w:r w:rsidR="0096366C">
          <w:rPr>
            <w:noProof/>
            <w:webHidden/>
          </w:rPr>
          <w:fldChar w:fldCharType="end"/>
        </w:r>
      </w:hyperlink>
    </w:p>
    <w:p w14:paraId="4907ABA8" w14:textId="4FCE8766" w:rsidR="0096366C" w:rsidRPr="00B04620" w:rsidRDefault="004B48CC">
      <w:pPr>
        <w:pStyle w:val="TableofFigures"/>
        <w:rPr>
          <w:noProof/>
          <w:sz w:val="22"/>
        </w:rPr>
      </w:pPr>
      <w:hyperlink w:anchor="_Toc99659372" w:history="1">
        <w:r w:rsidR="0096366C" w:rsidRPr="00BE1CA1">
          <w:rPr>
            <w:rStyle w:val="Hyperlink"/>
            <w:noProof/>
          </w:rPr>
          <w:t>Table 10.1.2</w:t>
        </w:r>
        <w:r w:rsidR="0096366C" w:rsidRPr="00B04620">
          <w:rPr>
            <w:noProof/>
            <w:sz w:val="22"/>
          </w:rPr>
          <w:tab/>
        </w:r>
        <w:r w:rsidR="0096366C" w:rsidRPr="00BE1CA1">
          <w:rPr>
            <w:rStyle w:val="Hyperlink"/>
            <w:noProof/>
          </w:rPr>
          <w:t>Recalculations that led to the greatest decrease in emissions estimates in each sector</w:t>
        </w:r>
        <w:r w:rsidR="0096366C">
          <w:rPr>
            <w:noProof/>
            <w:webHidden/>
          </w:rPr>
          <w:tab/>
        </w:r>
        <w:r w:rsidR="0096366C">
          <w:rPr>
            <w:noProof/>
            <w:webHidden/>
          </w:rPr>
          <w:fldChar w:fldCharType="begin"/>
        </w:r>
        <w:r w:rsidR="0096366C">
          <w:rPr>
            <w:noProof/>
            <w:webHidden/>
          </w:rPr>
          <w:instrText xml:space="preserve"> PAGEREF _Toc99659372 \h </w:instrText>
        </w:r>
        <w:r w:rsidR="0096366C">
          <w:rPr>
            <w:noProof/>
            <w:webHidden/>
          </w:rPr>
        </w:r>
        <w:r w:rsidR="0096366C">
          <w:rPr>
            <w:noProof/>
            <w:webHidden/>
          </w:rPr>
          <w:fldChar w:fldCharType="separate"/>
        </w:r>
        <w:r w:rsidR="009D338D">
          <w:rPr>
            <w:noProof/>
            <w:webHidden/>
          </w:rPr>
          <w:t>377</w:t>
        </w:r>
        <w:r w:rsidR="0096366C">
          <w:rPr>
            <w:noProof/>
            <w:webHidden/>
          </w:rPr>
          <w:fldChar w:fldCharType="end"/>
        </w:r>
      </w:hyperlink>
    </w:p>
    <w:p w14:paraId="46511AA2" w14:textId="7D4C3B9A" w:rsidR="0096366C" w:rsidRPr="00B04620" w:rsidRDefault="004B48CC">
      <w:pPr>
        <w:pStyle w:val="TableofFigures"/>
        <w:rPr>
          <w:noProof/>
          <w:sz w:val="22"/>
        </w:rPr>
      </w:pPr>
      <w:hyperlink w:anchor="_Toc99659373" w:history="1">
        <w:r w:rsidR="0096366C" w:rsidRPr="00BE1CA1">
          <w:rPr>
            <w:rStyle w:val="Hyperlink"/>
            <w:noProof/>
          </w:rPr>
          <w:t>Table 10.1.3</w:t>
        </w:r>
        <w:r w:rsidR="0096366C" w:rsidRPr="00B04620">
          <w:rPr>
            <w:noProof/>
            <w:sz w:val="22"/>
          </w:rPr>
          <w:tab/>
        </w:r>
        <w:r w:rsidR="0096366C" w:rsidRPr="00BE1CA1">
          <w:rPr>
            <w:rStyle w:val="Hyperlink"/>
            <w:noProof/>
          </w:rPr>
          <w:t>Explanations and justifications for recalculations in the Energy sector</w:t>
        </w:r>
        <w:r w:rsidR="0096366C">
          <w:rPr>
            <w:noProof/>
            <w:webHidden/>
          </w:rPr>
          <w:tab/>
        </w:r>
        <w:r w:rsidR="0096366C">
          <w:rPr>
            <w:noProof/>
            <w:webHidden/>
          </w:rPr>
          <w:fldChar w:fldCharType="begin"/>
        </w:r>
        <w:r w:rsidR="0096366C">
          <w:rPr>
            <w:noProof/>
            <w:webHidden/>
          </w:rPr>
          <w:instrText xml:space="preserve"> PAGEREF _Toc99659373 \h </w:instrText>
        </w:r>
        <w:r w:rsidR="0096366C">
          <w:rPr>
            <w:noProof/>
            <w:webHidden/>
          </w:rPr>
        </w:r>
        <w:r w:rsidR="0096366C">
          <w:rPr>
            <w:noProof/>
            <w:webHidden/>
          </w:rPr>
          <w:fldChar w:fldCharType="separate"/>
        </w:r>
        <w:r w:rsidR="009D338D">
          <w:rPr>
            <w:noProof/>
            <w:webHidden/>
          </w:rPr>
          <w:t>377</w:t>
        </w:r>
        <w:r w:rsidR="0096366C">
          <w:rPr>
            <w:noProof/>
            <w:webHidden/>
          </w:rPr>
          <w:fldChar w:fldCharType="end"/>
        </w:r>
      </w:hyperlink>
    </w:p>
    <w:p w14:paraId="30778115" w14:textId="7E41A98D" w:rsidR="0096366C" w:rsidRPr="00B04620" w:rsidRDefault="004B48CC">
      <w:pPr>
        <w:pStyle w:val="TableofFigures"/>
        <w:rPr>
          <w:noProof/>
          <w:sz w:val="22"/>
        </w:rPr>
      </w:pPr>
      <w:hyperlink w:anchor="_Toc99659374" w:history="1">
        <w:r w:rsidR="0096366C" w:rsidRPr="00BE1CA1">
          <w:rPr>
            <w:rStyle w:val="Hyperlink"/>
            <w:noProof/>
          </w:rPr>
          <w:t>Table 10.1.4</w:t>
        </w:r>
        <w:r w:rsidR="0096366C" w:rsidRPr="00B04620">
          <w:rPr>
            <w:noProof/>
            <w:sz w:val="22"/>
          </w:rPr>
          <w:tab/>
        </w:r>
        <w:r w:rsidR="0096366C" w:rsidRPr="00BE1CA1">
          <w:rPr>
            <w:rStyle w:val="Hyperlink"/>
            <w:noProof/>
          </w:rPr>
          <w:t>Explanations and justifications for recalculations in the IPPU sector</w:t>
        </w:r>
        <w:r w:rsidR="0096366C">
          <w:rPr>
            <w:noProof/>
            <w:webHidden/>
          </w:rPr>
          <w:tab/>
        </w:r>
        <w:r w:rsidR="0096366C">
          <w:rPr>
            <w:noProof/>
            <w:webHidden/>
          </w:rPr>
          <w:fldChar w:fldCharType="begin"/>
        </w:r>
        <w:r w:rsidR="0096366C">
          <w:rPr>
            <w:noProof/>
            <w:webHidden/>
          </w:rPr>
          <w:instrText xml:space="preserve"> PAGEREF _Toc99659374 \h </w:instrText>
        </w:r>
        <w:r w:rsidR="0096366C">
          <w:rPr>
            <w:noProof/>
            <w:webHidden/>
          </w:rPr>
        </w:r>
        <w:r w:rsidR="0096366C">
          <w:rPr>
            <w:noProof/>
            <w:webHidden/>
          </w:rPr>
          <w:fldChar w:fldCharType="separate"/>
        </w:r>
        <w:r w:rsidR="009D338D">
          <w:rPr>
            <w:noProof/>
            <w:webHidden/>
          </w:rPr>
          <w:t>378</w:t>
        </w:r>
        <w:r w:rsidR="0096366C">
          <w:rPr>
            <w:noProof/>
            <w:webHidden/>
          </w:rPr>
          <w:fldChar w:fldCharType="end"/>
        </w:r>
      </w:hyperlink>
    </w:p>
    <w:p w14:paraId="739FE05D" w14:textId="379F6DA9" w:rsidR="0096366C" w:rsidRPr="00B04620" w:rsidRDefault="004B48CC">
      <w:pPr>
        <w:pStyle w:val="TableofFigures"/>
        <w:rPr>
          <w:noProof/>
          <w:sz w:val="22"/>
        </w:rPr>
      </w:pPr>
      <w:hyperlink w:anchor="_Toc99659375" w:history="1">
        <w:r w:rsidR="0096366C" w:rsidRPr="00BE1CA1">
          <w:rPr>
            <w:rStyle w:val="Hyperlink"/>
            <w:noProof/>
          </w:rPr>
          <w:t>Table 10.1.5</w:t>
        </w:r>
        <w:r w:rsidR="0096366C" w:rsidRPr="00B04620">
          <w:rPr>
            <w:noProof/>
            <w:sz w:val="22"/>
          </w:rPr>
          <w:tab/>
        </w:r>
        <w:r w:rsidR="0096366C" w:rsidRPr="00BE1CA1">
          <w:rPr>
            <w:rStyle w:val="Hyperlink"/>
            <w:noProof/>
          </w:rPr>
          <w:t xml:space="preserve">Comparison of current and previous emissions estimates before and after change to the area of </w:t>
        </w:r>
        <w:r w:rsidR="0096366C" w:rsidRPr="00BE1CA1">
          <w:rPr>
            <w:rStyle w:val="Hyperlink"/>
            <w:i/>
            <w:iCs/>
            <w:noProof/>
          </w:rPr>
          <w:t>Leaching and runoff</w:t>
        </w:r>
        <w:r w:rsidR="0096366C" w:rsidRPr="00BE1CA1">
          <w:rPr>
            <w:rStyle w:val="Hyperlink"/>
            <w:noProof/>
          </w:rPr>
          <w:t xml:space="preserve"> used in the inventory</w:t>
        </w:r>
        <w:r w:rsidR="0096366C">
          <w:rPr>
            <w:noProof/>
            <w:webHidden/>
          </w:rPr>
          <w:tab/>
        </w:r>
        <w:r w:rsidR="0096366C">
          <w:rPr>
            <w:noProof/>
            <w:webHidden/>
          </w:rPr>
          <w:fldChar w:fldCharType="begin"/>
        </w:r>
        <w:r w:rsidR="0096366C">
          <w:rPr>
            <w:noProof/>
            <w:webHidden/>
          </w:rPr>
          <w:instrText xml:space="preserve"> PAGEREF _Toc99659375 \h </w:instrText>
        </w:r>
        <w:r w:rsidR="0096366C">
          <w:rPr>
            <w:noProof/>
            <w:webHidden/>
          </w:rPr>
        </w:r>
        <w:r w:rsidR="0096366C">
          <w:rPr>
            <w:noProof/>
            <w:webHidden/>
          </w:rPr>
          <w:fldChar w:fldCharType="separate"/>
        </w:r>
        <w:r w:rsidR="009D338D">
          <w:rPr>
            <w:noProof/>
            <w:webHidden/>
          </w:rPr>
          <w:t>380</w:t>
        </w:r>
        <w:r w:rsidR="0096366C">
          <w:rPr>
            <w:noProof/>
            <w:webHidden/>
          </w:rPr>
          <w:fldChar w:fldCharType="end"/>
        </w:r>
      </w:hyperlink>
    </w:p>
    <w:p w14:paraId="576F328A" w14:textId="51A18780" w:rsidR="0096366C" w:rsidRPr="00B04620" w:rsidRDefault="004B48CC">
      <w:pPr>
        <w:pStyle w:val="TableofFigures"/>
        <w:rPr>
          <w:noProof/>
          <w:sz w:val="22"/>
        </w:rPr>
      </w:pPr>
      <w:hyperlink w:anchor="_Toc99659376" w:history="1">
        <w:r w:rsidR="0096366C" w:rsidRPr="00BE1CA1">
          <w:rPr>
            <w:rStyle w:val="Hyperlink"/>
            <w:noProof/>
          </w:rPr>
          <w:t>Table 10.1.6</w:t>
        </w:r>
        <w:r w:rsidR="0096366C" w:rsidRPr="00B04620">
          <w:rPr>
            <w:noProof/>
            <w:sz w:val="22"/>
          </w:rPr>
          <w:tab/>
        </w:r>
        <w:r w:rsidR="0096366C" w:rsidRPr="00BE1CA1">
          <w:rPr>
            <w:rStyle w:val="Hyperlink"/>
            <w:noProof/>
          </w:rPr>
          <w:t>Comparison of current and previous emissions estimates before and after the updated assumption of lime purity in the Agriculture inventory</w:t>
        </w:r>
        <w:r w:rsidR="0096366C">
          <w:rPr>
            <w:noProof/>
            <w:webHidden/>
          </w:rPr>
          <w:tab/>
        </w:r>
        <w:r w:rsidR="0096366C">
          <w:rPr>
            <w:noProof/>
            <w:webHidden/>
          </w:rPr>
          <w:fldChar w:fldCharType="begin"/>
        </w:r>
        <w:r w:rsidR="0096366C">
          <w:rPr>
            <w:noProof/>
            <w:webHidden/>
          </w:rPr>
          <w:instrText xml:space="preserve"> PAGEREF _Toc99659376 \h </w:instrText>
        </w:r>
        <w:r w:rsidR="0096366C">
          <w:rPr>
            <w:noProof/>
            <w:webHidden/>
          </w:rPr>
        </w:r>
        <w:r w:rsidR="0096366C">
          <w:rPr>
            <w:noProof/>
            <w:webHidden/>
          </w:rPr>
          <w:fldChar w:fldCharType="separate"/>
        </w:r>
        <w:r w:rsidR="009D338D">
          <w:rPr>
            <w:noProof/>
            <w:webHidden/>
          </w:rPr>
          <w:t>381</w:t>
        </w:r>
        <w:r w:rsidR="0096366C">
          <w:rPr>
            <w:noProof/>
            <w:webHidden/>
          </w:rPr>
          <w:fldChar w:fldCharType="end"/>
        </w:r>
      </w:hyperlink>
    </w:p>
    <w:p w14:paraId="5FF2C18E" w14:textId="47DB08BE" w:rsidR="0096366C" w:rsidRPr="00B04620" w:rsidRDefault="004B48CC">
      <w:pPr>
        <w:pStyle w:val="TableofFigures"/>
        <w:rPr>
          <w:noProof/>
          <w:sz w:val="22"/>
        </w:rPr>
      </w:pPr>
      <w:hyperlink w:anchor="_Toc99659377" w:history="1">
        <w:r w:rsidR="0096366C" w:rsidRPr="00BE1CA1">
          <w:rPr>
            <w:rStyle w:val="Hyperlink"/>
            <w:noProof/>
          </w:rPr>
          <w:t>Table 10.1.7</w:t>
        </w:r>
        <w:r w:rsidR="0096366C" w:rsidRPr="00B04620">
          <w:rPr>
            <w:noProof/>
            <w:sz w:val="22"/>
          </w:rPr>
          <w:tab/>
        </w:r>
        <w:r w:rsidR="0096366C" w:rsidRPr="00BE1CA1">
          <w:rPr>
            <w:rStyle w:val="Hyperlink"/>
            <w:noProof/>
          </w:rPr>
          <w:t>Explanations and justifications for recalculations in the LULUCF sector</w:t>
        </w:r>
        <w:r w:rsidR="0096366C">
          <w:rPr>
            <w:noProof/>
            <w:webHidden/>
          </w:rPr>
          <w:tab/>
        </w:r>
        <w:r w:rsidR="0096366C">
          <w:rPr>
            <w:noProof/>
            <w:webHidden/>
          </w:rPr>
          <w:fldChar w:fldCharType="begin"/>
        </w:r>
        <w:r w:rsidR="0096366C">
          <w:rPr>
            <w:noProof/>
            <w:webHidden/>
          </w:rPr>
          <w:instrText xml:space="preserve"> PAGEREF _Toc99659377 \h </w:instrText>
        </w:r>
        <w:r w:rsidR="0096366C">
          <w:rPr>
            <w:noProof/>
            <w:webHidden/>
          </w:rPr>
        </w:r>
        <w:r w:rsidR="0096366C">
          <w:rPr>
            <w:noProof/>
            <w:webHidden/>
          </w:rPr>
          <w:fldChar w:fldCharType="separate"/>
        </w:r>
        <w:r w:rsidR="009D338D">
          <w:rPr>
            <w:noProof/>
            <w:webHidden/>
          </w:rPr>
          <w:t>383</w:t>
        </w:r>
        <w:r w:rsidR="0096366C">
          <w:rPr>
            <w:noProof/>
            <w:webHidden/>
          </w:rPr>
          <w:fldChar w:fldCharType="end"/>
        </w:r>
      </w:hyperlink>
    </w:p>
    <w:p w14:paraId="7EF8543A" w14:textId="354EEA29" w:rsidR="0096366C" w:rsidRPr="00B04620" w:rsidRDefault="004B48CC">
      <w:pPr>
        <w:pStyle w:val="TableofFigures"/>
        <w:rPr>
          <w:noProof/>
          <w:sz w:val="22"/>
        </w:rPr>
      </w:pPr>
      <w:hyperlink w:anchor="_Toc99659378" w:history="1">
        <w:r w:rsidR="0096366C" w:rsidRPr="00BE1CA1">
          <w:rPr>
            <w:rStyle w:val="Hyperlink"/>
            <w:noProof/>
          </w:rPr>
          <w:t>Table 10.1.8</w:t>
        </w:r>
        <w:r w:rsidR="0096366C" w:rsidRPr="00B04620">
          <w:rPr>
            <w:noProof/>
            <w:sz w:val="22"/>
          </w:rPr>
          <w:tab/>
        </w:r>
        <w:r w:rsidR="0096366C" w:rsidRPr="00BE1CA1">
          <w:rPr>
            <w:rStyle w:val="Hyperlink"/>
            <w:noProof/>
          </w:rPr>
          <w:t>Explanations and justifications for recalculations in the Waste sector</w:t>
        </w:r>
        <w:r w:rsidR="0096366C">
          <w:rPr>
            <w:noProof/>
            <w:webHidden/>
          </w:rPr>
          <w:tab/>
        </w:r>
        <w:r w:rsidR="0096366C">
          <w:rPr>
            <w:noProof/>
            <w:webHidden/>
          </w:rPr>
          <w:fldChar w:fldCharType="begin"/>
        </w:r>
        <w:r w:rsidR="0096366C">
          <w:rPr>
            <w:noProof/>
            <w:webHidden/>
          </w:rPr>
          <w:instrText xml:space="preserve"> PAGEREF _Toc99659378 \h </w:instrText>
        </w:r>
        <w:r w:rsidR="0096366C">
          <w:rPr>
            <w:noProof/>
            <w:webHidden/>
          </w:rPr>
        </w:r>
        <w:r w:rsidR="0096366C">
          <w:rPr>
            <w:noProof/>
            <w:webHidden/>
          </w:rPr>
          <w:fldChar w:fldCharType="separate"/>
        </w:r>
        <w:r w:rsidR="009D338D">
          <w:rPr>
            <w:noProof/>
            <w:webHidden/>
          </w:rPr>
          <w:t>385</w:t>
        </w:r>
        <w:r w:rsidR="0096366C">
          <w:rPr>
            <w:noProof/>
            <w:webHidden/>
          </w:rPr>
          <w:fldChar w:fldCharType="end"/>
        </w:r>
      </w:hyperlink>
    </w:p>
    <w:p w14:paraId="17C427A3" w14:textId="77C2AF39" w:rsidR="0096366C" w:rsidRPr="00B04620" w:rsidRDefault="004B48CC">
      <w:pPr>
        <w:pStyle w:val="TableofFigures"/>
        <w:rPr>
          <w:noProof/>
          <w:sz w:val="22"/>
        </w:rPr>
      </w:pPr>
      <w:hyperlink w:anchor="_Toc99659379" w:history="1">
        <w:r w:rsidR="0096366C" w:rsidRPr="00BE1CA1">
          <w:rPr>
            <w:rStyle w:val="Hyperlink"/>
            <w:noProof/>
          </w:rPr>
          <w:t>Table 10.1.9</w:t>
        </w:r>
        <w:r w:rsidR="0096366C" w:rsidRPr="00B04620">
          <w:rPr>
            <w:noProof/>
            <w:sz w:val="22"/>
          </w:rPr>
          <w:tab/>
        </w:r>
        <w:r w:rsidR="0096366C" w:rsidRPr="00BE1CA1">
          <w:rPr>
            <w:rStyle w:val="Hyperlink"/>
            <w:noProof/>
          </w:rPr>
          <w:t>Explanations and justifications for recalculations of New Zealand’s previous Kyoto Protocol estimates</w:t>
        </w:r>
        <w:r w:rsidR="0096366C">
          <w:rPr>
            <w:noProof/>
            <w:webHidden/>
          </w:rPr>
          <w:tab/>
        </w:r>
        <w:r w:rsidR="0096366C">
          <w:rPr>
            <w:noProof/>
            <w:webHidden/>
          </w:rPr>
          <w:fldChar w:fldCharType="begin"/>
        </w:r>
        <w:r w:rsidR="0096366C">
          <w:rPr>
            <w:noProof/>
            <w:webHidden/>
          </w:rPr>
          <w:instrText xml:space="preserve"> PAGEREF _Toc99659379 \h </w:instrText>
        </w:r>
        <w:r w:rsidR="0096366C">
          <w:rPr>
            <w:noProof/>
            <w:webHidden/>
          </w:rPr>
        </w:r>
        <w:r w:rsidR="0096366C">
          <w:rPr>
            <w:noProof/>
            <w:webHidden/>
          </w:rPr>
          <w:fldChar w:fldCharType="separate"/>
        </w:r>
        <w:r w:rsidR="009D338D">
          <w:rPr>
            <w:noProof/>
            <w:webHidden/>
          </w:rPr>
          <w:t>387</w:t>
        </w:r>
        <w:r w:rsidR="0096366C">
          <w:rPr>
            <w:noProof/>
            <w:webHidden/>
          </w:rPr>
          <w:fldChar w:fldCharType="end"/>
        </w:r>
      </w:hyperlink>
    </w:p>
    <w:p w14:paraId="5B3167B6" w14:textId="7711D676" w:rsidR="0096366C" w:rsidRPr="00B04620" w:rsidRDefault="004B48CC">
      <w:pPr>
        <w:pStyle w:val="TableofFigures"/>
        <w:rPr>
          <w:noProof/>
          <w:sz w:val="22"/>
        </w:rPr>
      </w:pPr>
      <w:hyperlink w:anchor="_Toc99659380" w:history="1">
        <w:r w:rsidR="0096366C" w:rsidRPr="00BE1CA1">
          <w:rPr>
            <w:rStyle w:val="Hyperlink"/>
            <w:noProof/>
          </w:rPr>
          <w:t>Table 10.1.10</w:t>
        </w:r>
        <w:r w:rsidR="0096366C" w:rsidRPr="00B04620">
          <w:rPr>
            <w:noProof/>
            <w:sz w:val="22"/>
          </w:rPr>
          <w:tab/>
        </w:r>
        <w:r w:rsidR="0096366C" w:rsidRPr="00BE1CA1">
          <w:rPr>
            <w:rStyle w:val="Hyperlink"/>
            <w:noProof/>
          </w:rPr>
          <w:t>Impact of the recalculations of New Zealand’s net emissions estimates under Articles 3.3 and 3.4 of the Kyoto Protocol in 2019</w:t>
        </w:r>
        <w:r w:rsidR="0096366C">
          <w:rPr>
            <w:noProof/>
            <w:webHidden/>
          </w:rPr>
          <w:tab/>
        </w:r>
        <w:r w:rsidR="0096366C">
          <w:rPr>
            <w:noProof/>
            <w:webHidden/>
          </w:rPr>
          <w:fldChar w:fldCharType="begin"/>
        </w:r>
        <w:r w:rsidR="0096366C">
          <w:rPr>
            <w:noProof/>
            <w:webHidden/>
          </w:rPr>
          <w:instrText xml:space="preserve"> PAGEREF _Toc99659380 \h </w:instrText>
        </w:r>
        <w:r w:rsidR="0096366C">
          <w:rPr>
            <w:noProof/>
            <w:webHidden/>
          </w:rPr>
        </w:r>
        <w:r w:rsidR="0096366C">
          <w:rPr>
            <w:noProof/>
            <w:webHidden/>
          </w:rPr>
          <w:fldChar w:fldCharType="separate"/>
        </w:r>
        <w:r w:rsidR="009D338D">
          <w:rPr>
            <w:noProof/>
            <w:webHidden/>
          </w:rPr>
          <w:t>387</w:t>
        </w:r>
        <w:r w:rsidR="0096366C">
          <w:rPr>
            <w:noProof/>
            <w:webHidden/>
          </w:rPr>
          <w:fldChar w:fldCharType="end"/>
        </w:r>
      </w:hyperlink>
    </w:p>
    <w:p w14:paraId="1164A69C" w14:textId="5170FF5B" w:rsidR="0096366C" w:rsidRPr="00B04620" w:rsidRDefault="004B48CC">
      <w:pPr>
        <w:pStyle w:val="TableofFigures"/>
        <w:rPr>
          <w:noProof/>
          <w:sz w:val="22"/>
        </w:rPr>
      </w:pPr>
      <w:hyperlink w:anchor="_Toc99659381" w:history="1">
        <w:r w:rsidR="0096366C" w:rsidRPr="00BE1CA1">
          <w:rPr>
            <w:rStyle w:val="Hyperlink"/>
            <w:noProof/>
          </w:rPr>
          <w:t>Table 10.1.11</w:t>
        </w:r>
        <w:r w:rsidR="0096366C" w:rsidRPr="00B04620">
          <w:rPr>
            <w:noProof/>
            <w:sz w:val="22"/>
          </w:rPr>
          <w:tab/>
        </w:r>
        <w:r w:rsidR="0096366C" w:rsidRPr="00BE1CA1">
          <w:rPr>
            <w:rStyle w:val="Hyperlink"/>
            <w:noProof/>
          </w:rPr>
          <w:t>Recalculations to New Zealand’s 2019 activity data under the Kyoto Protocol</w:t>
        </w:r>
        <w:r w:rsidR="0096366C">
          <w:rPr>
            <w:noProof/>
            <w:webHidden/>
          </w:rPr>
          <w:tab/>
        </w:r>
        <w:r w:rsidR="0096366C">
          <w:rPr>
            <w:noProof/>
            <w:webHidden/>
          </w:rPr>
          <w:fldChar w:fldCharType="begin"/>
        </w:r>
        <w:r w:rsidR="0096366C">
          <w:rPr>
            <w:noProof/>
            <w:webHidden/>
          </w:rPr>
          <w:instrText xml:space="preserve"> PAGEREF _Toc99659381 \h </w:instrText>
        </w:r>
        <w:r w:rsidR="0096366C">
          <w:rPr>
            <w:noProof/>
            <w:webHidden/>
          </w:rPr>
        </w:r>
        <w:r w:rsidR="0096366C">
          <w:rPr>
            <w:noProof/>
            <w:webHidden/>
          </w:rPr>
          <w:fldChar w:fldCharType="separate"/>
        </w:r>
        <w:r w:rsidR="009D338D">
          <w:rPr>
            <w:noProof/>
            <w:webHidden/>
          </w:rPr>
          <w:t>388</w:t>
        </w:r>
        <w:r w:rsidR="0096366C">
          <w:rPr>
            <w:noProof/>
            <w:webHidden/>
          </w:rPr>
          <w:fldChar w:fldCharType="end"/>
        </w:r>
      </w:hyperlink>
    </w:p>
    <w:p w14:paraId="5D585AF4" w14:textId="7F7F96C1" w:rsidR="0096366C" w:rsidRPr="00B04620" w:rsidRDefault="004B48CC">
      <w:pPr>
        <w:pStyle w:val="TableofFigures"/>
        <w:rPr>
          <w:noProof/>
          <w:sz w:val="22"/>
        </w:rPr>
      </w:pPr>
      <w:hyperlink w:anchor="_Toc99659382" w:history="1">
        <w:r w:rsidR="0096366C" w:rsidRPr="00BE1CA1">
          <w:rPr>
            <w:rStyle w:val="Hyperlink"/>
            <w:noProof/>
          </w:rPr>
          <w:t>Table 10.2.1</w:t>
        </w:r>
        <w:r w:rsidR="0096366C" w:rsidRPr="00B04620">
          <w:rPr>
            <w:noProof/>
            <w:sz w:val="22"/>
          </w:rPr>
          <w:tab/>
        </w:r>
        <w:r w:rsidR="0096366C" w:rsidRPr="00BE1CA1">
          <w:rPr>
            <w:rStyle w:val="Hyperlink"/>
            <w:noProof/>
          </w:rPr>
          <w:t>New Zealand’s responses to recommendations in tables 3 and 4 of the 2019 assessment review report that remain relevant as issues raised in earlier reviews</w:t>
        </w:r>
        <w:r w:rsidR="0096366C">
          <w:rPr>
            <w:noProof/>
            <w:webHidden/>
          </w:rPr>
          <w:tab/>
        </w:r>
        <w:r w:rsidR="0096366C">
          <w:rPr>
            <w:noProof/>
            <w:webHidden/>
          </w:rPr>
          <w:fldChar w:fldCharType="begin"/>
        </w:r>
        <w:r w:rsidR="0096366C">
          <w:rPr>
            <w:noProof/>
            <w:webHidden/>
          </w:rPr>
          <w:instrText xml:space="preserve"> PAGEREF _Toc99659382 \h </w:instrText>
        </w:r>
        <w:r w:rsidR="0096366C">
          <w:rPr>
            <w:noProof/>
            <w:webHidden/>
          </w:rPr>
        </w:r>
        <w:r w:rsidR="0096366C">
          <w:rPr>
            <w:noProof/>
            <w:webHidden/>
          </w:rPr>
          <w:fldChar w:fldCharType="separate"/>
        </w:r>
        <w:r w:rsidR="009D338D">
          <w:rPr>
            <w:noProof/>
            <w:webHidden/>
          </w:rPr>
          <w:t>388</w:t>
        </w:r>
        <w:r w:rsidR="0096366C">
          <w:rPr>
            <w:noProof/>
            <w:webHidden/>
          </w:rPr>
          <w:fldChar w:fldCharType="end"/>
        </w:r>
      </w:hyperlink>
    </w:p>
    <w:p w14:paraId="21A629E5" w14:textId="6923F8B9" w:rsidR="0096366C" w:rsidRPr="00B04620" w:rsidRDefault="004B48CC">
      <w:pPr>
        <w:pStyle w:val="TableofFigures"/>
        <w:rPr>
          <w:noProof/>
          <w:sz w:val="22"/>
        </w:rPr>
      </w:pPr>
      <w:hyperlink w:anchor="_Toc99659383" w:history="1">
        <w:r w:rsidR="0096366C" w:rsidRPr="00BE1CA1">
          <w:rPr>
            <w:rStyle w:val="Hyperlink"/>
            <w:noProof/>
          </w:rPr>
          <w:t>Table 10.2.2</w:t>
        </w:r>
        <w:r w:rsidR="0096366C" w:rsidRPr="00B04620">
          <w:rPr>
            <w:noProof/>
            <w:sz w:val="22"/>
          </w:rPr>
          <w:tab/>
        </w:r>
        <w:r w:rsidR="0096366C" w:rsidRPr="00BE1CA1">
          <w:rPr>
            <w:rStyle w:val="Hyperlink"/>
            <w:noProof/>
          </w:rPr>
          <w:t>New Zealand’s responses to recommendations in table 5 of the 2019 assessment review report from the review of New Zealand’s 2019 inventory submission</w:t>
        </w:r>
        <w:r w:rsidR="0096366C">
          <w:rPr>
            <w:noProof/>
            <w:webHidden/>
          </w:rPr>
          <w:tab/>
        </w:r>
        <w:r w:rsidR="0096366C">
          <w:rPr>
            <w:noProof/>
            <w:webHidden/>
          </w:rPr>
          <w:fldChar w:fldCharType="begin"/>
        </w:r>
        <w:r w:rsidR="0096366C">
          <w:rPr>
            <w:noProof/>
            <w:webHidden/>
          </w:rPr>
          <w:instrText xml:space="preserve"> PAGEREF _Toc99659383 \h </w:instrText>
        </w:r>
        <w:r w:rsidR="0096366C">
          <w:rPr>
            <w:noProof/>
            <w:webHidden/>
          </w:rPr>
        </w:r>
        <w:r w:rsidR="0096366C">
          <w:rPr>
            <w:noProof/>
            <w:webHidden/>
          </w:rPr>
          <w:fldChar w:fldCharType="separate"/>
        </w:r>
        <w:r w:rsidR="009D338D">
          <w:rPr>
            <w:noProof/>
            <w:webHidden/>
          </w:rPr>
          <w:t>392</w:t>
        </w:r>
        <w:r w:rsidR="0096366C">
          <w:rPr>
            <w:noProof/>
            <w:webHidden/>
          </w:rPr>
          <w:fldChar w:fldCharType="end"/>
        </w:r>
      </w:hyperlink>
    </w:p>
    <w:p w14:paraId="7EA1F534" w14:textId="24973EA4" w:rsidR="0096366C" w:rsidRPr="00B04620" w:rsidRDefault="004B48CC">
      <w:pPr>
        <w:pStyle w:val="TableofFigures"/>
        <w:rPr>
          <w:noProof/>
          <w:sz w:val="22"/>
        </w:rPr>
      </w:pPr>
      <w:hyperlink w:anchor="_Toc99659384" w:history="1">
        <w:r w:rsidR="0096366C" w:rsidRPr="00BE1CA1">
          <w:rPr>
            <w:rStyle w:val="Hyperlink"/>
            <w:noProof/>
          </w:rPr>
          <w:t>Table 11.1.1</w:t>
        </w:r>
        <w:r w:rsidR="0096366C" w:rsidRPr="00B04620">
          <w:rPr>
            <w:noProof/>
            <w:sz w:val="22"/>
          </w:rPr>
          <w:tab/>
        </w:r>
        <w:r w:rsidR="0096366C" w:rsidRPr="00BE1CA1">
          <w:rPr>
            <w:rStyle w:val="Hyperlink"/>
            <w:noProof/>
          </w:rPr>
          <w:t>New Zealand’s emissions under Article 3.3 and Article 3.4 of the Kyoto Protocol during the second reporting period</w:t>
        </w:r>
        <w:r w:rsidR="0096366C">
          <w:rPr>
            <w:noProof/>
            <w:webHidden/>
          </w:rPr>
          <w:tab/>
        </w:r>
        <w:r w:rsidR="0096366C">
          <w:rPr>
            <w:noProof/>
            <w:webHidden/>
          </w:rPr>
          <w:fldChar w:fldCharType="begin"/>
        </w:r>
        <w:r w:rsidR="0096366C">
          <w:rPr>
            <w:noProof/>
            <w:webHidden/>
          </w:rPr>
          <w:instrText xml:space="preserve"> PAGEREF _Toc99659384 \h </w:instrText>
        </w:r>
        <w:r w:rsidR="0096366C">
          <w:rPr>
            <w:noProof/>
            <w:webHidden/>
          </w:rPr>
        </w:r>
        <w:r w:rsidR="0096366C">
          <w:rPr>
            <w:noProof/>
            <w:webHidden/>
          </w:rPr>
          <w:fldChar w:fldCharType="separate"/>
        </w:r>
        <w:r w:rsidR="009D338D">
          <w:rPr>
            <w:noProof/>
            <w:webHidden/>
          </w:rPr>
          <w:t>406</w:t>
        </w:r>
        <w:r w:rsidR="0096366C">
          <w:rPr>
            <w:noProof/>
            <w:webHidden/>
          </w:rPr>
          <w:fldChar w:fldCharType="end"/>
        </w:r>
      </w:hyperlink>
    </w:p>
    <w:p w14:paraId="2648C2E1" w14:textId="29F0927C" w:rsidR="0096366C" w:rsidRPr="00B04620" w:rsidRDefault="004B48CC">
      <w:pPr>
        <w:pStyle w:val="TableofFigures"/>
        <w:rPr>
          <w:noProof/>
          <w:sz w:val="22"/>
        </w:rPr>
      </w:pPr>
      <w:hyperlink w:anchor="_Toc99659385" w:history="1">
        <w:r w:rsidR="0096366C" w:rsidRPr="00BE1CA1">
          <w:rPr>
            <w:rStyle w:val="Hyperlink"/>
            <w:noProof/>
          </w:rPr>
          <w:t>Table 11.1.2</w:t>
        </w:r>
        <w:r w:rsidR="0096366C" w:rsidRPr="00B04620">
          <w:rPr>
            <w:noProof/>
            <w:sz w:val="22"/>
          </w:rPr>
          <w:tab/>
        </w:r>
        <w:r w:rsidR="0096366C" w:rsidRPr="00BE1CA1">
          <w:rPr>
            <w:rStyle w:val="Hyperlink"/>
            <w:noProof/>
          </w:rPr>
          <w:t>New Zealand’s accounting quantity under Article 3.3 and Article 3.4 of the Kyoto Protocol during the second reporting period</w:t>
        </w:r>
        <w:r w:rsidR="0096366C">
          <w:rPr>
            <w:noProof/>
            <w:webHidden/>
          </w:rPr>
          <w:tab/>
        </w:r>
        <w:r w:rsidR="0096366C">
          <w:rPr>
            <w:noProof/>
            <w:webHidden/>
          </w:rPr>
          <w:fldChar w:fldCharType="begin"/>
        </w:r>
        <w:r w:rsidR="0096366C">
          <w:rPr>
            <w:noProof/>
            <w:webHidden/>
          </w:rPr>
          <w:instrText xml:space="preserve"> PAGEREF _Toc99659385 \h </w:instrText>
        </w:r>
        <w:r w:rsidR="0096366C">
          <w:rPr>
            <w:noProof/>
            <w:webHidden/>
          </w:rPr>
        </w:r>
        <w:r w:rsidR="0096366C">
          <w:rPr>
            <w:noProof/>
            <w:webHidden/>
          </w:rPr>
          <w:fldChar w:fldCharType="separate"/>
        </w:r>
        <w:r w:rsidR="009D338D">
          <w:rPr>
            <w:noProof/>
            <w:webHidden/>
          </w:rPr>
          <w:t>407</w:t>
        </w:r>
        <w:r w:rsidR="0096366C">
          <w:rPr>
            <w:noProof/>
            <w:webHidden/>
          </w:rPr>
          <w:fldChar w:fldCharType="end"/>
        </w:r>
      </w:hyperlink>
    </w:p>
    <w:p w14:paraId="5068F64C" w14:textId="17F38A21" w:rsidR="0096366C" w:rsidRPr="00B04620" w:rsidRDefault="004B48CC">
      <w:pPr>
        <w:pStyle w:val="TableofFigures"/>
        <w:rPr>
          <w:noProof/>
          <w:sz w:val="22"/>
        </w:rPr>
      </w:pPr>
      <w:hyperlink w:anchor="_Toc99659386" w:history="1">
        <w:r w:rsidR="0096366C" w:rsidRPr="00BE1CA1">
          <w:rPr>
            <w:rStyle w:val="Hyperlink"/>
            <w:noProof/>
          </w:rPr>
          <w:t>Table 11.1.3</w:t>
        </w:r>
        <w:r w:rsidR="0096366C" w:rsidRPr="00B04620">
          <w:rPr>
            <w:noProof/>
            <w:sz w:val="22"/>
          </w:rPr>
          <w:tab/>
        </w:r>
        <w:r w:rsidR="0096366C" w:rsidRPr="00BE1CA1">
          <w:rPr>
            <w:rStyle w:val="Hyperlink"/>
            <w:noProof/>
          </w:rPr>
          <w:t>New Zealand’s emissions for the second commitment period of the Kyoto Protocol by greenhouse gas source category</w:t>
        </w:r>
        <w:r w:rsidR="0096366C">
          <w:rPr>
            <w:noProof/>
            <w:webHidden/>
          </w:rPr>
          <w:tab/>
        </w:r>
        <w:r w:rsidR="0096366C">
          <w:rPr>
            <w:noProof/>
            <w:webHidden/>
          </w:rPr>
          <w:fldChar w:fldCharType="begin"/>
        </w:r>
        <w:r w:rsidR="0096366C">
          <w:rPr>
            <w:noProof/>
            <w:webHidden/>
          </w:rPr>
          <w:instrText xml:space="preserve"> PAGEREF _Toc99659386 \h </w:instrText>
        </w:r>
        <w:r w:rsidR="0096366C">
          <w:rPr>
            <w:noProof/>
            <w:webHidden/>
          </w:rPr>
        </w:r>
        <w:r w:rsidR="0096366C">
          <w:rPr>
            <w:noProof/>
            <w:webHidden/>
          </w:rPr>
          <w:fldChar w:fldCharType="separate"/>
        </w:r>
        <w:r w:rsidR="009D338D">
          <w:rPr>
            <w:noProof/>
            <w:webHidden/>
          </w:rPr>
          <w:t>408</w:t>
        </w:r>
        <w:r w:rsidR="0096366C">
          <w:rPr>
            <w:noProof/>
            <w:webHidden/>
          </w:rPr>
          <w:fldChar w:fldCharType="end"/>
        </w:r>
      </w:hyperlink>
    </w:p>
    <w:p w14:paraId="65BDA32A" w14:textId="23E7A652" w:rsidR="0096366C" w:rsidRPr="00B04620" w:rsidRDefault="004B48CC">
      <w:pPr>
        <w:pStyle w:val="TableofFigures"/>
        <w:rPr>
          <w:noProof/>
          <w:sz w:val="22"/>
        </w:rPr>
      </w:pPr>
      <w:hyperlink w:anchor="_Toc99659387" w:history="1">
        <w:r w:rsidR="0096366C" w:rsidRPr="00BE1CA1">
          <w:rPr>
            <w:rStyle w:val="Hyperlink"/>
            <w:noProof/>
          </w:rPr>
          <w:t>Table 11.1.4</w:t>
        </w:r>
        <w:r w:rsidR="0096366C" w:rsidRPr="00B04620">
          <w:rPr>
            <w:noProof/>
            <w:sz w:val="22"/>
          </w:rPr>
          <w:tab/>
        </w:r>
        <w:r w:rsidR="0096366C" w:rsidRPr="00BE1CA1">
          <w:rPr>
            <w:rStyle w:val="Hyperlink"/>
            <w:noProof/>
          </w:rPr>
          <w:t xml:space="preserve">Parameters defining </w:t>
        </w:r>
        <w:r w:rsidR="0096366C" w:rsidRPr="00BE1CA1">
          <w:rPr>
            <w:rStyle w:val="Hyperlink"/>
            <w:i/>
            <w:iCs/>
            <w:noProof/>
          </w:rPr>
          <w:t>Forest land</w:t>
        </w:r>
        <w:r w:rsidR="0096366C" w:rsidRPr="00BE1CA1">
          <w:rPr>
            <w:rStyle w:val="Hyperlink"/>
            <w:noProof/>
          </w:rPr>
          <w:t xml:space="preserve"> in New Zealand</w:t>
        </w:r>
        <w:r w:rsidR="0096366C">
          <w:rPr>
            <w:noProof/>
            <w:webHidden/>
          </w:rPr>
          <w:tab/>
        </w:r>
        <w:r w:rsidR="0096366C">
          <w:rPr>
            <w:noProof/>
            <w:webHidden/>
          </w:rPr>
          <w:fldChar w:fldCharType="begin"/>
        </w:r>
        <w:r w:rsidR="0096366C">
          <w:rPr>
            <w:noProof/>
            <w:webHidden/>
          </w:rPr>
          <w:instrText xml:space="preserve"> PAGEREF _Toc99659387 \h </w:instrText>
        </w:r>
        <w:r w:rsidR="0096366C">
          <w:rPr>
            <w:noProof/>
            <w:webHidden/>
          </w:rPr>
        </w:r>
        <w:r w:rsidR="0096366C">
          <w:rPr>
            <w:noProof/>
            <w:webHidden/>
          </w:rPr>
          <w:fldChar w:fldCharType="separate"/>
        </w:r>
        <w:r w:rsidR="009D338D">
          <w:rPr>
            <w:noProof/>
            <w:webHidden/>
          </w:rPr>
          <w:t>409</w:t>
        </w:r>
        <w:r w:rsidR="0096366C">
          <w:rPr>
            <w:noProof/>
            <w:webHidden/>
          </w:rPr>
          <w:fldChar w:fldCharType="end"/>
        </w:r>
      </w:hyperlink>
    </w:p>
    <w:p w14:paraId="37296F21" w14:textId="3DB18D21" w:rsidR="0096366C" w:rsidRPr="00B04620" w:rsidRDefault="004B48CC">
      <w:pPr>
        <w:pStyle w:val="TableofFigures"/>
        <w:rPr>
          <w:noProof/>
          <w:sz w:val="22"/>
        </w:rPr>
      </w:pPr>
      <w:hyperlink w:anchor="_Toc99659388" w:history="1">
        <w:r w:rsidR="0096366C" w:rsidRPr="00BE1CA1">
          <w:rPr>
            <w:rStyle w:val="Hyperlink"/>
            <w:noProof/>
          </w:rPr>
          <w:t>Table 11.2.1</w:t>
        </w:r>
        <w:r w:rsidR="0096366C" w:rsidRPr="00B04620">
          <w:rPr>
            <w:noProof/>
            <w:sz w:val="22"/>
          </w:rPr>
          <w:tab/>
        </w:r>
        <w:r w:rsidR="0096366C" w:rsidRPr="00BE1CA1">
          <w:rPr>
            <w:rStyle w:val="Hyperlink"/>
            <w:noProof/>
          </w:rPr>
          <w:t>Relationship between mapped land-use changes and activities reported under Article 3.3 and Article 3.4</w:t>
        </w:r>
        <w:r w:rsidR="0096366C">
          <w:rPr>
            <w:noProof/>
            <w:webHidden/>
          </w:rPr>
          <w:tab/>
        </w:r>
        <w:r w:rsidR="0096366C">
          <w:rPr>
            <w:noProof/>
            <w:webHidden/>
          </w:rPr>
          <w:fldChar w:fldCharType="begin"/>
        </w:r>
        <w:r w:rsidR="0096366C">
          <w:rPr>
            <w:noProof/>
            <w:webHidden/>
          </w:rPr>
          <w:instrText xml:space="preserve"> PAGEREF _Toc99659388 \h </w:instrText>
        </w:r>
        <w:r w:rsidR="0096366C">
          <w:rPr>
            <w:noProof/>
            <w:webHidden/>
          </w:rPr>
        </w:r>
        <w:r w:rsidR="0096366C">
          <w:rPr>
            <w:noProof/>
            <w:webHidden/>
          </w:rPr>
          <w:fldChar w:fldCharType="separate"/>
        </w:r>
        <w:r w:rsidR="009D338D">
          <w:rPr>
            <w:noProof/>
            <w:webHidden/>
          </w:rPr>
          <w:t>411</w:t>
        </w:r>
        <w:r w:rsidR="0096366C">
          <w:rPr>
            <w:noProof/>
            <w:webHidden/>
          </w:rPr>
          <w:fldChar w:fldCharType="end"/>
        </w:r>
      </w:hyperlink>
    </w:p>
    <w:p w14:paraId="4B991BE8" w14:textId="4AEA65D8" w:rsidR="0096366C" w:rsidRPr="00B04620" w:rsidRDefault="004B48CC">
      <w:pPr>
        <w:pStyle w:val="TableofFigures"/>
        <w:rPr>
          <w:noProof/>
          <w:sz w:val="22"/>
        </w:rPr>
      </w:pPr>
      <w:hyperlink w:anchor="_Toc99659389" w:history="1">
        <w:r w:rsidR="0096366C" w:rsidRPr="00BE1CA1">
          <w:rPr>
            <w:rStyle w:val="Hyperlink"/>
            <w:noProof/>
          </w:rPr>
          <w:t>Table 11.3.1</w:t>
        </w:r>
        <w:r w:rsidR="0096366C" w:rsidRPr="00B04620">
          <w:rPr>
            <w:noProof/>
            <w:sz w:val="22"/>
          </w:rPr>
          <w:tab/>
        </w:r>
        <w:r w:rsidR="0096366C" w:rsidRPr="00BE1CA1">
          <w:rPr>
            <w:rStyle w:val="Hyperlink"/>
            <w:noProof/>
          </w:rPr>
          <w:t xml:space="preserve">New Zealand’s estimated annual area under </w:t>
        </w:r>
        <w:r w:rsidR="0096366C" w:rsidRPr="00BE1CA1">
          <w:rPr>
            <w:rStyle w:val="Hyperlink"/>
            <w:i/>
            <w:iCs/>
            <w:noProof/>
          </w:rPr>
          <w:t>Afforestation and reforestation</w:t>
        </w:r>
        <w:r w:rsidR="0096366C" w:rsidRPr="00BE1CA1">
          <w:rPr>
            <w:rStyle w:val="Hyperlink"/>
            <w:noProof/>
            <w:vertAlign w:val="subscript"/>
          </w:rPr>
          <w:t xml:space="preserve"> </w:t>
        </w:r>
        <w:r w:rsidR="0096366C" w:rsidRPr="00BE1CA1">
          <w:rPr>
            <w:rStyle w:val="Hyperlink"/>
            <w:noProof/>
          </w:rPr>
          <w:t>from 1990 to 2020</w:t>
        </w:r>
        <w:r w:rsidR="0096366C">
          <w:rPr>
            <w:noProof/>
            <w:webHidden/>
          </w:rPr>
          <w:tab/>
        </w:r>
        <w:r w:rsidR="0096366C">
          <w:rPr>
            <w:noProof/>
            <w:webHidden/>
          </w:rPr>
          <w:fldChar w:fldCharType="begin"/>
        </w:r>
        <w:r w:rsidR="0096366C">
          <w:rPr>
            <w:noProof/>
            <w:webHidden/>
          </w:rPr>
          <w:instrText xml:space="preserve"> PAGEREF _Toc99659389 \h </w:instrText>
        </w:r>
        <w:r w:rsidR="0096366C">
          <w:rPr>
            <w:noProof/>
            <w:webHidden/>
          </w:rPr>
        </w:r>
        <w:r w:rsidR="0096366C">
          <w:rPr>
            <w:noProof/>
            <w:webHidden/>
          </w:rPr>
          <w:fldChar w:fldCharType="separate"/>
        </w:r>
        <w:r w:rsidR="009D338D">
          <w:rPr>
            <w:noProof/>
            <w:webHidden/>
          </w:rPr>
          <w:t>413</w:t>
        </w:r>
        <w:r w:rsidR="0096366C">
          <w:rPr>
            <w:noProof/>
            <w:webHidden/>
          </w:rPr>
          <w:fldChar w:fldCharType="end"/>
        </w:r>
      </w:hyperlink>
    </w:p>
    <w:p w14:paraId="4BD061BB" w14:textId="6D952928" w:rsidR="0096366C" w:rsidRPr="00B04620" w:rsidRDefault="004B48CC">
      <w:pPr>
        <w:pStyle w:val="TableofFigures"/>
        <w:rPr>
          <w:noProof/>
          <w:sz w:val="22"/>
        </w:rPr>
      </w:pPr>
      <w:hyperlink w:anchor="_Toc99659390" w:history="1">
        <w:r w:rsidR="0096366C" w:rsidRPr="00BE1CA1">
          <w:rPr>
            <w:rStyle w:val="Hyperlink"/>
            <w:noProof/>
          </w:rPr>
          <w:t>Table 11.3.2</w:t>
        </w:r>
        <w:r w:rsidR="0096366C" w:rsidRPr="00B04620">
          <w:rPr>
            <w:noProof/>
            <w:sz w:val="22"/>
          </w:rPr>
          <w:tab/>
        </w:r>
        <w:r w:rsidR="0096366C" w:rsidRPr="00BE1CA1">
          <w:rPr>
            <w:rStyle w:val="Hyperlink"/>
            <w:noProof/>
          </w:rPr>
          <w:t xml:space="preserve">New Zealand’s estimated annual area under </w:t>
        </w:r>
        <w:r w:rsidR="0096366C" w:rsidRPr="00BE1CA1">
          <w:rPr>
            <w:rStyle w:val="Hyperlink"/>
            <w:i/>
            <w:iCs/>
            <w:noProof/>
          </w:rPr>
          <w:t>Afforestation and reforestation</w:t>
        </w:r>
        <w:r w:rsidR="0096366C" w:rsidRPr="00BE1CA1">
          <w:rPr>
            <w:rStyle w:val="Hyperlink"/>
            <w:noProof/>
            <w:vertAlign w:val="subscript"/>
          </w:rPr>
          <w:t xml:space="preserve"> </w:t>
        </w:r>
        <w:r w:rsidR="0096366C" w:rsidRPr="00BE1CA1">
          <w:rPr>
            <w:rStyle w:val="Hyperlink"/>
            <w:noProof/>
          </w:rPr>
          <w:t>from 2013 to 2020</w:t>
        </w:r>
        <w:r w:rsidR="0096366C">
          <w:rPr>
            <w:noProof/>
            <w:webHidden/>
          </w:rPr>
          <w:tab/>
        </w:r>
        <w:r w:rsidR="0096366C">
          <w:rPr>
            <w:noProof/>
            <w:webHidden/>
          </w:rPr>
          <w:fldChar w:fldCharType="begin"/>
        </w:r>
        <w:r w:rsidR="0096366C">
          <w:rPr>
            <w:noProof/>
            <w:webHidden/>
          </w:rPr>
          <w:instrText xml:space="preserve"> PAGEREF _Toc99659390 \h </w:instrText>
        </w:r>
        <w:r w:rsidR="0096366C">
          <w:rPr>
            <w:noProof/>
            <w:webHidden/>
          </w:rPr>
        </w:r>
        <w:r w:rsidR="0096366C">
          <w:rPr>
            <w:noProof/>
            <w:webHidden/>
          </w:rPr>
          <w:fldChar w:fldCharType="separate"/>
        </w:r>
        <w:r w:rsidR="009D338D">
          <w:rPr>
            <w:noProof/>
            <w:webHidden/>
          </w:rPr>
          <w:t>414</w:t>
        </w:r>
        <w:r w:rsidR="0096366C">
          <w:rPr>
            <w:noProof/>
            <w:webHidden/>
          </w:rPr>
          <w:fldChar w:fldCharType="end"/>
        </w:r>
      </w:hyperlink>
    </w:p>
    <w:p w14:paraId="14422398" w14:textId="02A13AFF" w:rsidR="0096366C" w:rsidRPr="00B04620" w:rsidRDefault="004B48CC">
      <w:pPr>
        <w:pStyle w:val="TableofFigures"/>
        <w:rPr>
          <w:noProof/>
          <w:sz w:val="22"/>
        </w:rPr>
      </w:pPr>
      <w:hyperlink w:anchor="_Toc99659391" w:history="1">
        <w:r w:rsidR="0096366C" w:rsidRPr="00BE1CA1">
          <w:rPr>
            <w:rStyle w:val="Hyperlink"/>
            <w:noProof/>
          </w:rPr>
          <w:t>Table 11.3.3</w:t>
        </w:r>
        <w:r w:rsidR="0096366C" w:rsidRPr="00B04620">
          <w:rPr>
            <w:noProof/>
            <w:sz w:val="22"/>
          </w:rPr>
          <w:tab/>
        </w:r>
        <w:r w:rsidR="0096366C" w:rsidRPr="00BE1CA1">
          <w:rPr>
            <w:rStyle w:val="Hyperlink"/>
            <w:noProof/>
          </w:rPr>
          <w:t xml:space="preserve">New Zealand’s </w:t>
        </w:r>
        <w:r w:rsidR="0096366C" w:rsidRPr="00BE1CA1">
          <w:rPr>
            <w:rStyle w:val="Hyperlink"/>
            <w:i/>
            <w:iCs/>
            <w:noProof/>
          </w:rPr>
          <w:t>Afforestation and reforestation</w:t>
        </w:r>
        <w:r w:rsidR="0096366C" w:rsidRPr="00BE1CA1">
          <w:rPr>
            <w:rStyle w:val="Hyperlink"/>
            <w:noProof/>
          </w:rPr>
          <w:t xml:space="preserve"> reconciliation between Kyoto Protocol and Intergovernmental Panel on Climate Change Convention reporting from 2008 to 2020</w:t>
        </w:r>
        <w:r w:rsidR="0096366C">
          <w:rPr>
            <w:noProof/>
            <w:webHidden/>
          </w:rPr>
          <w:tab/>
        </w:r>
        <w:r w:rsidR="0096366C">
          <w:rPr>
            <w:noProof/>
            <w:webHidden/>
          </w:rPr>
          <w:fldChar w:fldCharType="begin"/>
        </w:r>
        <w:r w:rsidR="0096366C">
          <w:rPr>
            <w:noProof/>
            <w:webHidden/>
          </w:rPr>
          <w:instrText xml:space="preserve"> PAGEREF _Toc99659391 \h </w:instrText>
        </w:r>
        <w:r w:rsidR="0096366C">
          <w:rPr>
            <w:noProof/>
            <w:webHidden/>
          </w:rPr>
        </w:r>
        <w:r w:rsidR="0096366C">
          <w:rPr>
            <w:noProof/>
            <w:webHidden/>
          </w:rPr>
          <w:fldChar w:fldCharType="separate"/>
        </w:r>
        <w:r w:rsidR="009D338D">
          <w:rPr>
            <w:noProof/>
            <w:webHidden/>
          </w:rPr>
          <w:t>415</w:t>
        </w:r>
        <w:r w:rsidR="0096366C">
          <w:rPr>
            <w:noProof/>
            <w:webHidden/>
          </w:rPr>
          <w:fldChar w:fldCharType="end"/>
        </w:r>
      </w:hyperlink>
    </w:p>
    <w:p w14:paraId="485C3DD5" w14:textId="6A588ED6" w:rsidR="0096366C" w:rsidRPr="00B04620" w:rsidRDefault="004B48CC">
      <w:pPr>
        <w:pStyle w:val="TableofFigures"/>
        <w:rPr>
          <w:noProof/>
          <w:sz w:val="22"/>
        </w:rPr>
      </w:pPr>
      <w:hyperlink w:anchor="_Toc99659392" w:history="1">
        <w:r w:rsidR="0096366C" w:rsidRPr="00BE1CA1">
          <w:rPr>
            <w:rStyle w:val="Hyperlink"/>
            <w:noProof/>
          </w:rPr>
          <w:t>Table 11.3.4</w:t>
        </w:r>
        <w:r w:rsidR="0096366C" w:rsidRPr="00B04620">
          <w:rPr>
            <w:noProof/>
            <w:sz w:val="22"/>
          </w:rPr>
          <w:tab/>
        </w:r>
        <w:r w:rsidR="0096366C" w:rsidRPr="00BE1CA1">
          <w:rPr>
            <w:rStyle w:val="Hyperlink"/>
            <w:noProof/>
          </w:rPr>
          <w:t>Area of New Zealand subject to deforestation</w:t>
        </w:r>
        <w:r w:rsidR="0096366C">
          <w:rPr>
            <w:noProof/>
            <w:webHidden/>
          </w:rPr>
          <w:tab/>
        </w:r>
        <w:r w:rsidR="0096366C">
          <w:rPr>
            <w:noProof/>
            <w:webHidden/>
          </w:rPr>
          <w:fldChar w:fldCharType="begin"/>
        </w:r>
        <w:r w:rsidR="0096366C">
          <w:rPr>
            <w:noProof/>
            <w:webHidden/>
          </w:rPr>
          <w:instrText xml:space="preserve"> PAGEREF _Toc99659392 \h </w:instrText>
        </w:r>
        <w:r w:rsidR="0096366C">
          <w:rPr>
            <w:noProof/>
            <w:webHidden/>
          </w:rPr>
        </w:r>
        <w:r w:rsidR="0096366C">
          <w:rPr>
            <w:noProof/>
            <w:webHidden/>
          </w:rPr>
          <w:fldChar w:fldCharType="separate"/>
        </w:r>
        <w:r w:rsidR="009D338D">
          <w:rPr>
            <w:noProof/>
            <w:webHidden/>
          </w:rPr>
          <w:t>418</w:t>
        </w:r>
        <w:r w:rsidR="0096366C">
          <w:rPr>
            <w:noProof/>
            <w:webHidden/>
          </w:rPr>
          <w:fldChar w:fldCharType="end"/>
        </w:r>
      </w:hyperlink>
    </w:p>
    <w:p w14:paraId="15BCF663" w14:textId="7A602405" w:rsidR="0096366C" w:rsidRPr="00B04620" w:rsidRDefault="004B48CC">
      <w:pPr>
        <w:pStyle w:val="TableofFigures"/>
        <w:rPr>
          <w:noProof/>
          <w:sz w:val="22"/>
        </w:rPr>
      </w:pPr>
      <w:hyperlink w:anchor="_Toc99659393" w:history="1">
        <w:r w:rsidR="0096366C" w:rsidRPr="00BE1CA1">
          <w:rPr>
            <w:rStyle w:val="Hyperlink"/>
            <w:noProof/>
          </w:rPr>
          <w:t xml:space="preserve">Table 11.3.5 </w:t>
        </w:r>
        <w:r w:rsidR="0096366C" w:rsidRPr="00B04620">
          <w:rPr>
            <w:noProof/>
            <w:sz w:val="22"/>
          </w:rPr>
          <w:tab/>
        </w:r>
        <w:r w:rsidR="0096366C" w:rsidRPr="00BE1CA1">
          <w:rPr>
            <w:rStyle w:val="Hyperlink"/>
            <w:noProof/>
          </w:rPr>
          <w:t xml:space="preserve">Comparison of the annual average net emissions for </w:t>
        </w:r>
        <w:r w:rsidR="0096366C" w:rsidRPr="00BE1CA1">
          <w:rPr>
            <w:rStyle w:val="Hyperlink"/>
            <w:i/>
            <w:noProof/>
          </w:rPr>
          <w:t>Forest management</w:t>
        </w:r>
        <w:r w:rsidR="0096366C" w:rsidRPr="00BE1CA1">
          <w:rPr>
            <w:rStyle w:val="Hyperlink"/>
            <w:noProof/>
          </w:rPr>
          <w:t xml:space="preserve"> and the F</w:t>
        </w:r>
        <w:r w:rsidR="0096366C" w:rsidRPr="00BE1CA1">
          <w:rPr>
            <w:rStyle w:val="Hyperlink"/>
            <w:iCs/>
            <w:noProof/>
          </w:rPr>
          <w:t>MRL</w:t>
        </w:r>
        <w:r w:rsidR="0096366C" w:rsidRPr="00BE1CA1">
          <w:rPr>
            <w:rStyle w:val="Hyperlink"/>
            <w:i/>
            <w:noProof/>
            <w:vertAlign w:val="subscript"/>
          </w:rPr>
          <w:t>cor</w:t>
        </w:r>
        <w:r w:rsidR="0096366C" w:rsidRPr="00BE1CA1">
          <w:rPr>
            <w:rStyle w:val="Hyperlink"/>
            <w:bCs/>
            <w:i/>
            <w:noProof/>
            <w:spacing w:val="-2"/>
            <w:vertAlign w:val="subscript"/>
          </w:rPr>
          <w:t xml:space="preserve">r </w:t>
        </w:r>
        <w:r w:rsidR="0096366C" w:rsidRPr="00BE1CA1">
          <w:rPr>
            <w:rStyle w:val="Hyperlink"/>
            <w:noProof/>
          </w:rPr>
          <w:t>over the commitment period</w:t>
        </w:r>
        <w:r w:rsidR="0096366C">
          <w:rPr>
            <w:noProof/>
            <w:webHidden/>
          </w:rPr>
          <w:tab/>
        </w:r>
        <w:r w:rsidR="0096366C">
          <w:rPr>
            <w:noProof/>
            <w:webHidden/>
          </w:rPr>
          <w:fldChar w:fldCharType="begin"/>
        </w:r>
        <w:r w:rsidR="0096366C">
          <w:rPr>
            <w:noProof/>
            <w:webHidden/>
          </w:rPr>
          <w:instrText xml:space="preserve"> PAGEREF _Toc99659393 \h </w:instrText>
        </w:r>
        <w:r w:rsidR="0096366C">
          <w:rPr>
            <w:noProof/>
            <w:webHidden/>
          </w:rPr>
        </w:r>
        <w:r w:rsidR="0096366C">
          <w:rPr>
            <w:noProof/>
            <w:webHidden/>
          </w:rPr>
          <w:fldChar w:fldCharType="separate"/>
        </w:r>
        <w:r w:rsidR="009D338D">
          <w:rPr>
            <w:noProof/>
            <w:webHidden/>
          </w:rPr>
          <w:t>421</w:t>
        </w:r>
        <w:r w:rsidR="0096366C">
          <w:rPr>
            <w:noProof/>
            <w:webHidden/>
          </w:rPr>
          <w:fldChar w:fldCharType="end"/>
        </w:r>
      </w:hyperlink>
    </w:p>
    <w:p w14:paraId="0D44FDEC" w14:textId="6249BBD8" w:rsidR="0096366C" w:rsidRPr="00B04620" w:rsidRDefault="004B48CC">
      <w:pPr>
        <w:pStyle w:val="TableofFigures"/>
        <w:rPr>
          <w:noProof/>
          <w:sz w:val="22"/>
        </w:rPr>
      </w:pPr>
      <w:hyperlink w:anchor="_Toc99659394" w:history="1">
        <w:r w:rsidR="0096366C" w:rsidRPr="00BE1CA1">
          <w:rPr>
            <w:rStyle w:val="Hyperlink"/>
            <w:noProof/>
          </w:rPr>
          <w:t>Table 11.3.6</w:t>
        </w:r>
        <w:r w:rsidR="0096366C" w:rsidRPr="00B04620">
          <w:rPr>
            <w:noProof/>
            <w:sz w:val="22"/>
          </w:rPr>
          <w:tab/>
        </w:r>
        <w:r w:rsidR="0096366C" w:rsidRPr="00BE1CA1">
          <w:rPr>
            <w:rStyle w:val="Hyperlink"/>
            <w:noProof/>
          </w:rPr>
          <w:t>Carbon equivalent forests (2013–20)</w:t>
        </w:r>
        <w:r w:rsidR="0096366C">
          <w:rPr>
            <w:noProof/>
            <w:webHidden/>
          </w:rPr>
          <w:tab/>
        </w:r>
        <w:r w:rsidR="0096366C">
          <w:rPr>
            <w:noProof/>
            <w:webHidden/>
          </w:rPr>
          <w:fldChar w:fldCharType="begin"/>
        </w:r>
        <w:r w:rsidR="0096366C">
          <w:rPr>
            <w:noProof/>
            <w:webHidden/>
          </w:rPr>
          <w:instrText xml:space="preserve"> PAGEREF _Toc99659394 \h </w:instrText>
        </w:r>
        <w:r w:rsidR="0096366C">
          <w:rPr>
            <w:noProof/>
            <w:webHidden/>
          </w:rPr>
        </w:r>
        <w:r w:rsidR="0096366C">
          <w:rPr>
            <w:noProof/>
            <w:webHidden/>
          </w:rPr>
          <w:fldChar w:fldCharType="separate"/>
        </w:r>
        <w:r w:rsidR="009D338D">
          <w:rPr>
            <w:noProof/>
            <w:webHidden/>
          </w:rPr>
          <w:t>424</w:t>
        </w:r>
        <w:r w:rsidR="0096366C">
          <w:rPr>
            <w:noProof/>
            <w:webHidden/>
          </w:rPr>
          <w:fldChar w:fldCharType="end"/>
        </w:r>
      </w:hyperlink>
    </w:p>
    <w:p w14:paraId="2ACE04ED" w14:textId="5097F592" w:rsidR="0096366C" w:rsidRPr="00B04620" w:rsidRDefault="004B48CC">
      <w:pPr>
        <w:pStyle w:val="TableofFigures"/>
        <w:rPr>
          <w:noProof/>
          <w:sz w:val="22"/>
        </w:rPr>
      </w:pPr>
      <w:hyperlink w:anchor="_Toc99659395" w:history="1">
        <w:r w:rsidR="0096366C" w:rsidRPr="00BE1CA1">
          <w:rPr>
            <w:rStyle w:val="Hyperlink"/>
            <w:noProof/>
          </w:rPr>
          <w:t>Table 11.3.7</w:t>
        </w:r>
        <w:r w:rsidR="0096366C" w:rsidRPr="00B04620">
          <w:rPr>
            <w:noProof/>
            <w:sz w:val="22"/>
          </w:rPr>
          <w:tab/>
        </w:r>
        <w:r w:rsidR="0096366C" w:rsidRPr="00BE1CA1">
          <w:rPr>
            <w:rStyle w:val="Hyperlink"/>
            <w:noProof/>
          </w:rPr>
          <w:t>Nitrous oxide emissions from the drainage of organic soils in 2020 by activity</w:t>
        </w:r>
        <w:r w:rsidR="0096366C">
          <w:rPr>
            <w:noProof/>
            <w:webHidden/>
          </w:rPr>
          <w:tab/>
        </w:r>
        <w:r w:rsidR="0096366C">
          <w:rPr>
            <w:noProof/>
            <w:webHidden/>
          </w:rPr>
          <w:fldChar w:fldCharType="begin"/>
        </w:r>
        <w:r w:rsidR="0096366C">
          <w:rPr>
            <w:noProof/>
            <w:webHidden/>
          </w:rPr>
          <w:instrText xml:space="preserve"> PAGEREF _Toc99659395 \h </w:instrText>
        </w:r>
        <w:r w:rsidR="0096366C">
          <w:rPr>
            <w:noProof/>
            <w:webHidden/>
          </w:rPr>
        </w:r>
        <w:r w:rsidR="0096366C">
          <w:rPr>
            <w:noProof/>
            <w:webHidden/>
          </w:rPr>
          <w:fldChar w:fldCharType="separate"/>
        </w:r>
        <w:r w:rsidR="009D338D">
          <w:rPr>
            <w:noProof/>
            <w:webHidden/>
          </w:rPr>
          <w:t>427</w:t>
        </w:r>
        <w:r w:rsidR="0096366C">
          <w:rPr>
            <w:noProof/>
            <w:webHidden/>
          </w:rPr>
          <w:fldChar w:fldCharType="end"/>
        </w:r>
      </w:hyperlink>
    </w:p>
    <w:p w14:paraId="3C9FC8CC" w14:textId="5F8764B2" w:rsidR="0096366C" w:rsidRPr="00B04620" w:rsidRDefault="004B48CC">
      <w:pPr>
        <w:pStyle w:val="TableofFigures"/>
        <w:rPr>
          <w:noProof/>
          <w:sz w:val="22"/>
        </w:rPr>
      </w:pPr>
      <w:hyperlink w:anchor="_Toc99659396" w:history="1">
        <w:r w:rsidR="0096366C" w:rsidRPr="00BE1CA1">
          <w:rPr>
            <w:rStyle w:val="Hyperlink"/>
            <w:noProof/>
          </w:rPr>
          <w:t>Table 11.3.8</w:t>
        </w:r>
        <w:r w:rsidR="0096366C" w:rsidRPr="00B04620">
          <w:rPr>
            <w:noProof/>
            <w:sz w:val="22"/>
          </w:rPr>
          <w:tab/>
        </w:r>
        <w:r w:rsidR="0096366C" w:rsidRPr="00BE1CA1">
          <w:rPr>
            <w:rStyle w:val="Hyperlink"/>
            <w:noProof/>
          </w:rPr>
          <w:t>Nitrous oxide emissions from nitrogen mineralisation and immobilisation soils in 2020 by activity</w:t>
        </w:r>
        <w:r w:rsidR="0096366C">
          <w:rPr>
            <w:noProof/>
            <w:webHidden/>
          </w:rPr>
          <w:tab/>
        </w:r>
        <w:r w:rsidR="0096366C">
          <w:rPr>
            <w:noProof/>
            <w:webHidden/>
          </w:rPr>
          <w:fldChar w:fldCharType="begin"/>
        </w:r>
        <w:r w:rsidR="0096366C">
          <w:rPr>
            <w:noProof/>
            <w:webHidden/>
          </w:rPr>
          <w:instrText xml:space="preserve"> PAGEREF _Toc99659396 \h </w:instrText>
        </w:r>
        <w:r w:rsidR="0096366C">
          <w:rPr>
            <w:noProof/>
            <w:webHidden/>
          </w:rPr>
        </w:r>
        <w:r w:rsidR="0096366C">
          <w:rPr>
            <w:noProof/>
            <w:webHidden/>
          </w:rPr>
          <w:fldChar w:fldCharType="separate"/>
        </w:r>
        <w:r w:rsidR="009D338D">
          <w:rPr>
            <w:noProof/>
            <w:webHidden/>
          </w:rPr>
          <w:t>427</w:t>
        </w:r>
        <w:r w:rsidR="0096366C">
          <w:rPr>
            <w:noProof/>
            <w:webHidden/>
          </w:rPr>
          <w:fldChar w:fldCharType="end"/>
        </w:r>
      </w:hyperlink>
    </w:p>
    <w:p w14:paraId="58E705A3" w14:textId="69A0CB9A" w:rsidR="0096366C" w:rsidRPr="00B04620" w:rsidRDefault="004B48CC">
      <w:pPr>
        <w:pStyle w:val="TableofFigures"/>
        <w:rPr>
          <w:noProof/>
          <w:sz w:val="22"/>
        </w:rPr>
      </w:pPr>
      <w:hyperlink w:anchor="_Toc99659397" w:history="1">
        <w:r w:rsidR="0096366C" w:rsidRPr="00BE1CA1">
          <w:rPr>
            <w:rStyle w:val="Hyperlink"/>
            <w:noProof/>
          </w:rPr>
          <w:t xml:space="preserve">Table 11.4.1 </w:t>
        </w:r>
        <w:r w:rsidR="0096366C" w:rsidRPr="00B04620">
          <w:rPr>
            <w:noProof/>
            <w:sz w:val="22"/>
          </w:rPr>
          <w:tab/>
        </w:r>
        <w:r w:rsidR="0096366C" w:rsidRPr="00BE1CA1">
          <w:rPr>
            <w:rStyle w:val="Hyperlink"/>
            <w:noProof/>
          </w:rPr>
          <w:t xml:space="preserve">Uncertainty in New Zealand’s estimates for </w:t>
        </w:r>
        <w:r w:rsidR="0096366C" w:rsidRPr="00BE1CA1">
          <w:rPr>
            <w:rStyle w:val="Hyperlink"/>
            <w:i/>
            <w:iCs/>
            <w:noProof/>
          </w:rPr>
          <w:t>Afforestation and reforestation</w:t>
        </w:r>
        <w:r w:rsidR="0096366C" w:rsidRPr="00BE1CA1">
          <w:rPr>
            <w:rStyle w:val="Hyperlink"/>
            <w:noProof/>
          </w:rPr>
          <w:t xml:space="preserve">, </w:t>
        </w:r>
        <w:r w:rsidR="0096366C" w:rsidRPr="00BE1CA1">
          <w:rPr>
            <w:rStyle w:val="Hyperlink"/>
            <w:i/>
            <w:iCs/>
            <w:noProof/>
          </w:rPr>
          <w:t>Deforestation</w:t>
        </w:r>
        <w:r w:rsidR="0096366C" w:rsidRPr="00BE1CA1">
          <w:rPr>
            <w:rStyle w:val="Hyperlink"/>
            <w:noProof/>
          </w:rPr>
          <w:t xml:space="preserve"> and </w:t>
        </w:r>
        <w:r w:rsidR="0096366C" w:rsidRPr="00BE1CA1">
          <w:rPr>
            <w:rStyle w:val="Hyperlink"/>
            <w:i/>
            <w:iCs/>
            <w:noProof/>
          </w:rPr>
          <w:t>Forest management</w:t>
        </w:r>
        <w:r w:rsidR="0096366C" w:rsidRPr="00BE1CA1">
          <w:rPr>
            <w:rStyle w:val="Hyperlink"/>
            <w:noProof/>
          </w:rPr>
          <w:t xml:space="preserve"> in 2020</w:t>
        </w:r>
        <w:r w:rsidR="0096366C">
          <w:rPr>
            <w:noProof/>
            <w:webHidden/>
          </w:rPr>
          <w:tab/>
        </w:r>
        <w:r w:rsidR="0096366C">
          <w:rPr>
            <w:noProof/>
            <w:webHidden/>
          </w:rPr>
          <w:fldChar w:fldCharType="begin"/>
        </w:r>
        <w:r w:rsidR="0096366C">
          <w:rPr>
            <w:noProof/>
            <w:webHidden/>
          </w:rPr>
          <w:instrText xml:space="preserve"> PAGEREF _Toc99659397 \h </w:instrText>
        </w:r>
        <w:r w:rsidR="0096366C">
          <w:rPr>
            <w:noProof/>
            <w:webHidden/>
          </w:rPr>
        </w:r>
        <w:r w:rsidR="0096366C">
          <w:rPr>
            <w:noProof/>
            <w:webHidden/>
          </w:rPr>
          <w:fldChar w:fldCharType="separate"/>
        </w:r>
        <w:r w:rsidR="009D338D">
          <w:rPr>
            <w:noProof/>
            <w:webHidden/>
          </w:rPr>
          <w:t>429</w:t>
        </w:r>
        <w:r w:rsidR="0096366C">
          <w:rPr>
            <w:noProof/>
            <w:webHidden/>
          </w:rPr>
          <w:fldChar w:fldCharType="end"/>
        </w:r>
      </w:hyperlink>
    </w:p>
    <w:p w14:paraId="31D01BA7" w14:textId="67EE9C65" w:rsidR="0096366C" w:rsidRPr="00B04620" w:rsidRDefault="004B48CC">
      <w:pPr>
        <w:pStyle w:val="TableofFigures"/>
        <w:rPr>
          <w:noProof/>
          <w:sz w:val="22"/>
        </w:rPr>
      </w:pPr>
      <w:hyperlink w:anchor="_Toc99659398" w:history="1">
        <w:r w:rsidR="0096366C" w:rsidRPr="00BE1CA1">
          <w:rPr>
            <w:rStyle w:val="Hyperlink"/>
            <w:noProof/>
          </w:rPr>
          <w:t xml:space="preserve">Table 11.4.2 </w:t>
        </w:r>
        <w:r w:rsidR="0096366C" w:rsidRPr="00B04620">
          <w:rPr>
            <w:noProof/>
            <w:sz w:val="22"/>
          </w:rPr>
          <w:tab/>
        </w:r>
        <w:r w:rsidR="0096366C" w:rsidRPr="00BE1CA1">
          <w:rPr>
            <w:rStyle w:val="Hyperlink"/>
            <w:noProof/>
          </w:rPr>
          <w:t xml:space="preserve">Total uncertainty in New Zealand’s estimates for </w:t>
        </w:r>
        <w:r w:rsidR="0096366C" w:rsidRPr="00BE1CA1">
          <w:rPr>
            <w:rStyle w:val="Hyperlink"/>
            <w:i/>
            <w:iCs/>
            <w:noProof/>
          </w:rPr>
          <w:t>Afforestation and reforestation</w:t>
        </w:r>
        <w:r w:rsidR="0096366C" w:rsidRPr="00BE1CA1">
          <w:rPr>
            <w:rStyle w:val="Hyperlink"/>
            <w:noProof/>
          </w:rPr>
          <w:t xml:space="preserve">, </w:t>
        </w:r>
        <w:r w:rsidR="0096366C" w:rsidRPr="00BE1CA1">
          <w:rPr>
            <w:rStyle w:val="Hyperlink"/>
            <w:i/>
            <w:iCs/>
            <w:noProof/>
          </w:rPr>
          <w:t>Deforestation</w:t>
        </w:r>
        <w:r w:rsidR="0096366C" w:rsidRPr="00BE1CA1">
          <w:rPr>
            <w:rStyle w:val="Hyperlink"/>
            <w:noProof/>
          </w:rPr>
          <w:t xml:space="preserve"> and </w:t>
        </w:r>
        <w:r w:rsidR="0096366C" w:rsidRPr="00BE1CA1">
          <w:rPr>
            <w:rStyle w:val="Hyperlink"/>
            <w:i/>
            <w:iCs/>
            <w:noProof/>
          </w:rPr>
          <w:t>Forest management</w:t>
        </w:r>
        <w:r w:rsidR="0096366C" w:rsidRPr="00BE1CA1">
          <w:rPr>
            <w:rStyle w:val="Hyperlink"/>
            <w:noProof/>
          </w:rPr>
          <w:t xml:space="preserve"> in 2020</w:t>
        </w:r>
        <w:r w:rsidR="0096366C">
          <w:rPr>
            <w:noProof/>
            <w:webHidden/>
          </w:rPr>
          <w:tab/>
        </w:r>
        <w:r w:rsidR="0096366C">
          <w:rPr>
            <w:noProof/>
            <w:webHidden/>
          </w:rPr>
          <w:fldChar w:fldCharType="begin"/>
        </w:r>
        <w:r w:rsidR="0096366C">
          <w:rPr>
            <w:noProof/>
            <w:webHidden/>
          </w:rPr>
          <w:instrText xml:space="preserve"> PAGEREF _Toc99659398 \h </w:instrText>
        </w:r>
        <w:r w:rsidR="0096366C">
          <w:rPr>
            <w:noProof/>
            <w:webHidden/>
          </w:rPr>
        </w:r>
        <w:r w:rsidR="0096366C">
          <w:rPr>
            <w:noProof/>
            <w:webHidden/>
          </w:rPr>
          <w:fldChar w:fldCharType="separate"/>
        </w:r>
        <w:r w:rsidR="009D338D">
          <w:rPr>
            <w:noProof/>
            <w:webHidden/>
          </w:rPr>
          <w:t>430</w:t>
        </w:r>
        <w:r w:rsidR="0096366C">
          <w:rPr>
            <w:noProof/>
            <w:webHidden/>
          </w:rPr>
          <w:fldChar w:fldCharType="end"/>
        </w:r>
      </w:hyperlink>
    </w:p>
    <w:p w14:paraId="17C19C8E" w14:textId="45D31D13" w:rsidR="0096366C" w:rsidRPr="00B04620" w:rsidRDefault="004B48CC">
      <w:pPr>
        <w:pStyle w:val="TableofFigures"/>
        <w:rPr>
          <w:noProof/>
          <w:sz w:val="22"/>
        </w:rPr>
      </w:pPr>
      <w:hyperlink w:anchor="_Toc99659399" w:history="1">
        <w:r w:rsidR="0096366C" w:rsidRPr="00BE1CA1">
          <w:rPr>
            <w:rStyle w:val="Hyperlink"/>
            <w:noProof/>
          </w:rPr>
          <w:t>Table 11.4.3</w:t>
        </w:r>
        <w:r w:rsidR="0096366C" w:rsidRPr="00B04620">
          <w:rPr>
            <w:noProof/>
            <w:sz w:val="22"/>
          </w:rPr>
          <w:tab/>
        </w:r>
        <w:r w:rsidR="0096366C" w:rsidRPr="00BE1CA1">
          <w:rPr>
            <w:rStyle w:val="Hyperlink"/>
            <w:noProof/>
          </w:rPr>
          <w:t>Recalculations of New Zealand’s 2019 activity data under Article 3.3 and Article 3.4 of the Kyoto Protocol</w:t>
        </w:r>
        <w:r w:rsidR="0096366C">
          <w:rPr>
            <w:noProof/>
            <w:webHidden/>
          </w:rPr>
          <w:tab/>
        </w:r>
        <w:r w:rsidR="0096366C">
          <w:rPr>
            <w:noProof/>
            <w:webHidden/>
          </w:rPr>
          <w:fldChar w:fldCharType="begin"/>
        </w:r>
        <w:r w:rsidR="0096366C">
          <w:rPr>
            <w:noProof/>
            <w:webHidden/>
          </w:rPr>
          <w:instrText xml:space="preserve"> PAGEREF _Toc99659399 \h </w:instrText>
        </w:r>
        <w:r w:rsidR="0096366C">
          <w:rPr>
            <w:noProof/>
            <w:webHidden/>
          </w:rPr>
        </w:r>
        <w:r w:rsidR="0096366C">
          <w:rPr>
            <w:noProof/>
            <w:webHidden/>
          </w:rPr>
          <w:fldChar w:fldCharType="separate"/>
        </w:r>
        <w:r w:rsidR="009D338D">
          <w:rPr>
            <w:noProof/>
            <w:webHidden/>
          </w:rPr>
          <w:t>431</w:t>
        </w:r>
        <w:r w:rsidR="0096366C">
          <w:rPr>
            <w:noProof/>
            <w:webHidden/>
          </w:rPr>
          <w:fldChar w:fldCharType="end"/>
        </w:r>
      </w:hyperlink>
    </w:p>
    <w:p w14:paraId="799FA09D" w14:textId="16D5754D" w:rsidR="0096366C" w:rsidRPr="00B04620" w:rsidRDefault="004B48CC">
      <w:pPr>
        <w:pStyle w:val="TableofFigures"/>
        <w:rPr>
          <w:noProof/>
          <w:sz w:val="22"/>
        </w:rPr>
      </w:pPr>
      <w:hyperlink w:anchor="_Toc99659400" w:history="1">
        <w:r w:rsidR="0096366C" w:rsidRPr="00BE1CA1">
          <w:rPr>
            <w:rStyle w:val="Hyperlink"/>
            <w:noProof/>
          </w:rPr>
          <w:t>Table 11.4.4</w:t>
        </w:r>
        <w:r w:rsidR="0096366C" w:rsidRPr="00B04620">
          <w:rPr>
            <w:noProof/>
            <w:sz w:val="22"/>
          </w:rPr>
          <w:tab/>
        </w:r>
        <w:r w:rsidR="0096366C" w:rsidRPr="00BE1CA1">
          <w:rPr>
            <w:rStyle w:val="Hyperlink"/>
            <w:noProof/>
          </w:rPr>
          <w:t>Recalculations of New Zealand’s total net emissions estimates from 2013 under Article 3.3 and Article 3.4 of the Kyoto Protocol</w:t>
        </w:r>
        <w:r w:rsidR="0096366C">
          <w:rPr>
            <w:noProof/>
            <w:webHidden/>
          </w:rPr>
          <w:tab/>
        </w:r>
        <w:r w:rsidR="0096366C">
          <w:rPr>
            <w:noProof/>
            <w:webHidden/>
          </w:rPr>
          <w:fldChar w:fldCharType="begin"/>
        </w:r>
        <w:r w:rsidR="0096366C">
          <w:rPr>
            <w:noProof/>
            <w:webHidden/>
          </w:rPr>
          <w:instrText xml:space="preserve"> PAGEREF _Toc99659400 \h </w:instrText>
        </w:r>
        <w:r w:rsidR="0096366C">
          <w:rPr>
            <w:noProof/>
            <w:webHidden/>
          </w:rPr>
        </w:r>
        <w:r w:rsidR="0096366C">
          <w:rPr>
            <w:noProof/>
            <w:webHidden/>
          </w:rPr>
          <w:fldChar w:fldCharType="separate"/>
        </w:r>
        <w:r w:rsidR="009D338D">
          <w:rPr>
            <w:noProof/>
            <w:webHidden/>
          </w:rPr>
          <w:t>432</w:t>
        </w:r>
        <w:r w:rsidR="0096366C">
          <w:rPr>
            <w:noProof/>
            <w:webHidden/>
          </w:rPr>
          <w:fldChar w:fldCharType="end"/>
        </w:r>
      </w:hyperlink>
    </w:p>
    <w:p w14:paraId="7BE1AD9A" w14:textId="5DE27D34" w:rsidR="0096366C" w:rsidRPr="00B04620" w:rsidRDefault="004B48CC">
      <w:pPr>
        <w:pStyle w:val="TableofFigures"/>
        <w:rPr>
          <w:noProof/>
          <w:sz w:val="22"/>
        </w:rPr>
      </w:pPr>
      <w:hyperlink w:anchor="_Toc99659401" w:history="1">
        <w:r w:rsidR="0096366C" w:rsidRPr="00BE1CA1">
          <w:rPr>
            <w:rStyle w:val="Hyperlink"/>
            <w:noProof/>
          </w:rPr>
          <w:t xml:space="preserve">Table 11.5.1 </w:t>
        </w:r>
        <w:r w:rsidR="0096366C" w:rsidRPr="00B04620">
          <w:rPr>
            <w:noProof/>
            <w:sz w:val="22"/>
          </w:rPr>
          <w:tab/>
        </w:r>
        <w:r w:rsidR="0096366C" w:rsidRPr="00BE1CA1">
          <w:rPr>
            <w:rStyle w:val="Hyperlink"/>
            <w:noProof/>
          </w:rPr>
          <w:t>Area of land destocked in New Zealand in 2017 that has not yet been classified</w:t>
        </w:r>
        <w:r w:rsidR="0096366C">
          <w:rPr>
            <w:noProof/>
            <w:webHidden/>
          </w:rPr>
          <w:tab/>
        </w:r>
        <w:r w:rsidR="0096366C">
          <w:rPr>
            <w:noProof/>
            <w:webHidden/>
          </w:rPr>
          <w:fldChar w:fldCharType="begin"/>
        </w:r>
        <w:r w:rsidR="0096366C">
          <w:rPr>
            <w:noProof/>
            <w:webHidden/>
          </w:rPr>
          <w:instrText xml:space="preserve"> PAGEREF _Toc99659401 \h </w:instrText>
        </w:r>
        <w:r w:rsidR="0096366C">
          <w:rPr>
            <w:noProof/>
            <w:webHidden/>
          </w:rPr>
        </w:r>
        <w:r w:rsidR="0096366C">
          <w:rPr>
            <w:noProof/>
            <w:webHidden/>
          </w:rPr>
          <w:fldChar w:fldCharType="separate"/>
        </w:r>
        <w:r w:rsidR="009D338D">
          <w:rPr>
            <w:noProof/>
            <w:webHidden/>
          </w:rPr>
          <w:t>435</w:t>
        </w:r>
        <w:r w:rsidR="0096366C">
          <w:rPr>
            <w:noProof/>
            <w:webHidden/>
          </w:rPr>
          <w:fldChar w:fldCharType="end"/>
        </w:r>
      </w:hyperlink>
    </w:p>
    <w:p w14:paraId="1BCDF5D8" w14:textId="350EAEB9" w:rsidR="0096366C" w:rsidRPr="00B04620" w:rsidRDefault="004B48CC">
      <w:pPr>
        <w:pStyle w:val="TableofFigures"/>
        <w:rPr>
          <w:noProof/>
          <w:sz w:val="22"/>
        </w:rPr>
      </w:pPr>
      <w:hyperlink w:anchor="_Toc99659402" w:history="1">
        <w:r w:rsidR="0096366C" w:rsidRPr="00BE1CA1">
          <w:rPr>
            <w:rStyle w:val="Hyperlink"/>
            <w:noProof/>
          </w:rPr>
          <w:t>Table 12.2.1</w:t>
        </w:r>
        <w:r w:rsidR="0096366C" w:rsidRPr="00B04620">
          <w:rPr>
            <w:noProof/>
            <w:sz w:val="22"/>
          </w:rPr>
          <w:tab/>
        </w:r>
        <w:r w:rsidR="0096366C" w:rsidRPr="00BE1CA1">
          <w:rPr>
            <w:rStyle w:val="Hyperlink"/>
            <w:noProof/>
          </w:rPr>
          <w:t>New Zealand’s submission of the standard electronic format</w:t>
        </w:r>
        <w:r w:rsidR="0096366C">
          <w:rPr>
            <w:noProof/>
            <w:webHidden/>
          </w:rPr>
          <w:tab/>
        </w:r>
        <w:r w:rsidR="0096366C">
          <w:rPr>
            <w:noProof/>
            <w:webHidden/>
          </w:rPr>
          <w:fldChar w:fldCharType="begin"/>
        </w:r>
        <w:r w:rsidR="0096366C">
          <w:rPr>
            <w:noProof/>
            <w:webHidden/>
          </w:rPr>
          <w:instrText xml:space="preserve"> PAGEREF _Toc99659402 \h </w:instrText>
        </w:r>
        <w:r w:rsidR="0096366C">
          <w:rPr>
            <w:noProof/>
            <w:webHidden/>
          </w:rPr>
        </w:r>
        <w:r w:rsidR="0096366C">
          <w:rPr>
            <w:noProof/>
            <w:webHidden/>
          </w:rPr>
          <w:fldChar w:fldCharType="separate"/>
        </w:r>
        <w:r w:rsidR="009D338D">
          <w:rPr>
            <w:noProof/>
            <w:webHidden/>
          </w:rPr>
          <w:t>440</w:t>
        </w:r>
        <w:r w:rsidR="0096366C">
          <w:rPr>
            <w:noProof/>
            <w:webHidden/>
          </w:rPr>
          <w:fldChar w:fldCharType="end"/>
        </w:r>
      </w:hyperlink>
    </w:p>
    <w:p w14:paraId="475D0D8D" w14:textId="4EB4AD60" w:rsidR="0096366C" w:rsidRPr="00B04620" w:rsidRDefault="004B48CC">
      <w:pPr>
        <w:pStyle w:val="TableofFigures"/>
        <w:rPr>
          <w:noProof/>
          <w:sz w:val="22"/>
        </w:rPr>
      </w:pPr>
      <w:hyperlink w:anchor="_Toc99659403" w:history="1">
        <w:r w:rsidR="0096366C" w:rsidRPr="00BE1CA1">
          <w:rPr>
            <w:rStyle w:val="Hyperlink"/>
            <w:rFonts w:cs="Calibri"/>
            <w:noProof/>
          </w:rPr>
          <w:t>Table 12.3.1</w:t>
        </w:r>
        <w:r w:rsidR="0096366C" w:rsidRPr="00B04620">
          <w:rPr>
            <w:noProof/>
            <w:sz w:val="22"/>
          </w:rPr>
          <w:tab/>
        </w:r>
        <w:r w:rsidR="0096366C" w:rsidRPr="00BE1CA1">
          <w:rPr>
            <w:rStyle w:val="Hyperlink"/>
            <w:rFonts w:cs="Calibri"/>
            <w:noProof/>
          </w:rPr>
          <w:t>Discrepancies and notifications from New Zealand’s national registry</w:t>
        </w:r>
        <w:r w:rsidR="0096366C">
          <w:rPr>
            <w:noProof/>
            <w:webHidden/>
          </w:rPr>
          <w:tab/>
        </w:r>
        <w:r w:rsidR="0096366C">
          <w:rPr>
            <w:noProof/>
            <w:webHidden/>
          </w:rPr>
          <w:fldChar w:fldCharType="begin"/>
        </w:r>
        <w:r w:rsidR="0096366C">
          <w:rPr>
            <w:noProof/>
            <w:webHidden/>
          </w:rPr>
          <w:instrText xml:space="preserve"> PAGEREF _Toc99659403 \h </w:instrText>
        </w:r>
        <w:r w:rsidR="0096366C">
          <w:rPr>
            <w:noProof/>
            <w:webHidden/>
          </w:rPr>
        </w:r>
        <w:r w:rsidR="0096366C">
          <w:rPr>
            <w:noProof/>
            <w:webHidden/>
          </w:rPr>
          <w:fldChar w:fldCharType="separate"/>
        </w:r>
        <w:r w:rsidR="009D338D">
          <w:rPr>
            <w:noProof/>
            <w:webHidden/>
          </w:rPr>
          <w:t>440</w:t>
        </w:r>
        <w:r w:rsidR="0096366C">
          <w:rPr>
            <w:noProof/>
            <w:webHidden/>
          </w:rPr>
          <w:fldChar w:fldCharType="end"/>
        </w:r>
      </w:hyperlink>
    </w:p>
    <w:p w14:paraId="57DDA8E5" w14:textId="44E2789D" w:rsidR="0096366C" w:rsidRPr="00B04620" w:rsidRDefault="004B48CC">
      <w:pPr>
        <w:pStyle w:val="TableofFigures"/>
        <w:rPr>
          <w:noProof/>
          <w:sz w:val="22"/>
        </w:rPr>
      </w:pPr>
      <w:hyperlink w:anchor="_Toc99659404" w:history="1">
        <w:r w:rsidR="0096366C" w:rsidRPr="00BE1CA1">
          <w:rPr>
            <w:rStyle w:val="Hyperlink"/>
            <w:rFonts w:cs="Calibri"/>
            <w:noProof/>
          </w:rPr>
          <w:t>Table 12.4.1</w:t>
        </w:r>
        <w:r w:rsidR="0096366C" w:rsidRPr="00B04620">
          <w:rPr>
            <w:noProof/>
            <w:sz w:val="22"/>
          </w:rPr>
          <w:tab/>
        </w:r>
        <w:r w:rsidR="0096366C" w:rsidRPr="00BE1CA1">
          <w:rPr>
            <w:rStyle w:val="Hyperlink"/>
            <w:rFonts w:cs="Calibri"/>
            <w:noProof/>
          </w:rPr>
          <w:t>List of the publicly accessible information in New Zealand’s national registry</w:t>
        </w:r>
        <w:r w:rsidR="0096366C">
          <w:rPr>
            <w:noProof/>
            <w:webHidden/>
          </w:rPr>
          <w:tab/>
        </w:r>
        <w:r w:rsidR="0096366C">
          <w:rPr>
            <w:noProof/>
            <w:webHidden/>
          </w:rPr>
          <w:fldChar w:fldCharType="begin"/>
        </w:r>
        <w:r w:rsidR="0096366C">
          <w:rPr>
            <w:noProof/>
            <w:webHidden/>
          </w:rPr>
          <w:instrText xml:space="preserve"> PAGEREF _Toc99659404 \h </w:instrText>
        </w:r>
        <w:r w:rsidR="0096366C">
          <w:rPr>
            <w:noProof/>
            <w:webHidden/>
          </w:rPr>
        </w:r>
        <w:r w:rsidR="0096366C">
          <w:rPr>
            <w:noProof/>
            <w:webHidden/>
          </w:rPr>
          <w:fldChar w:fldCharType="separate"/>
        </w:r>
        <w:r w:rsidR="009D338D">
          <w:rPr>
            <w:noProof/>
            <w:webHidden/>
          </w:rPr>
          <w:t>441</w:t>
        </w:r>
        <w:r w:rsidR="0096366C">
          <w:rPr>
            <w:noProof/>
            <w:webHidden/>
          </w:rPr>
          <w:fldChar w:fldCharType="end"/>
        </w:r>
      </w:hyperlink>
    </w:p>
    <w:p w14:paraId="6DA54EC0" w14:textId="2DEAFC9A" w:rsidR="0096366C" w:rsidRPr="00B04620" w:rsidRDefault="004B48CC">
      <w:pPr>
        <w:pStyle w:val="TableofFigures"/>
        <w:rPr>
          <w:noProof/>
          <w:sz w:val="22"/>
        </w:rPr>
      </w:pPr>
      <w:hyperlink w:anchor="_Toc99659405" w:history="1">
        <w:r w:rsidR="0096366C" w:rsidRPr="00BE1CA1">
          <w:rPr>
            <w:rStyle w:val="Hyperlink"/>
            <w:noProof/>
          </w:rPr>
          <w:t xml:space="preserve">Table 14.1 </w:t>
        </w:r>
        <w:r w:rsidR="0096366C" w:rsidRPr="00B04620">
          <w:rPr>
            <w:noProof/>
            <w:sz w:val="22"/>
          </w:rPr>
          <w:tab/>
        </w:r>
        <w:r w:rsidR="0096366C" w:rsidRPr="00BE1CA1">
          <w:rPr>
            <w:rStyle w:val="Hyperlink"/>
            <w:noProof/>
          </w:rPr>
          <w:t>Changes made to New Zealand’s national registry</w:t>
        </w:r>
        <w:r w:rsidR="0096366C">
          <w:rPr>
            <w:noProof/>
            <w:webHidden/>
          </w:rPr>
          <w:tab/>
        </w:r>
        <w:r w:rsidR="0096366C">
          <w:rPr>
            <w:noProof/>
            <w:webHidden/>
          </w:rPr>
          <w:fldChar w:fldCharType="begin"/>
        </w:r>
        <w:r w:rsidR="0096366C">
          <w:rPr>
            <w:noProof/>
            <w:webHidden/>
          </w:rPr>
          <w:instrText xml:space="preserve"> PAGEREF _Toc99659405 \h </w:instrText>
        </w:r>
        <w:r w:rsidR="0096366C">
          <w:rPr>
            <w:noProof/>
            <w:webHidden/>
          </w:rPr>
        </w:r>
        <w:r w:rsidR="0096366C">
          <w:rPr>
            <w:noProof/>
            <w:webHidden/>
          </w:rPr>
          <w:fldChar w:fldCharType="separate"/>
        </w:r>
        <w:r w:rsidR="009D338D">
          <w:rPr>
            <w:noProof/>
            <w:webHidden/>
          </w:rPr>
          <w:t>448</w:t>
        </w:r>
        <w:r w:rsidR="0096366C">
          <w:rPr>
            <w:noProof/>
            <w:webHidden/>
          </w:rPr>
          <w:fldChar w:fldCharType="end"/>
        </w:r>
      </w:hyperlink>
    </w:p>
    <w:p w14:paraId="79CB1BB9" w14:textId="55CA558A" w:rsidR="0096366C" w:rsidRPr="00B04620" w:rsidRDefault="004B48CC">
      <w:pPr>
        <w:pStyle w:val="TableofFigures"/>
        <w:rPr>
          <w:noProof/>
          <w:sz w:val="22"/>
        </w:rPr>
      </w:pPr>
      <w:hyperlink w:anchor="_Toc99659406" w:history="1">
        <w:r w:rsidR="0096366C" w:rsidRPr="00BE1CA1">
          <w:rPr>
            <w:rStyle w:val="Hyperlink"/>
            <w:rFonts w:cs="Calibri"/>
            <w:noProof/>
          </w:rPr>
          <w:t>Table 14.2</w:t>
        </w:r>
        <w:r w:rsidR="0096366C" w:rsidRPr="00B04620">
          <w:rPr>
            <w:noProof/>
            <w:sz w:val="22"/>
          </w:rPr>
          <w:tab/>
        </w:r>
        <w:r w:rsidR="0096366C" w:rsidRPr="00BE1CA1">
          <w:rPr>
            <w:rStyle w:val="Hyperlink"/>
            <w:rFonts w:cs="Calibri"/>
            <w:noProof/>
          </w:rPr>
          <w:t>Previous recommendations for New Zealand from the expert review team</w:t>
        </w:r>
        <w:r w:rsidR="0096366C">
          <w:rPr>
            <w:noProof/>
            <w:webHidden/>
          </w:rPr>
          <w:tab/>
        </w:r>
        <w:r w:rsidR="0096366C">
          <w:rPr>
            <w:noProof/>
            <w:webHidden/>
          </w:rPr>
          <w:fldChar w:fldCharType="begin"/>
        </w:r>
        <w:r w:rsidR="0096366C">
          <w:rPr>
            <w:noProof/>
            <w:webHidden/>
          </w:rPr>
          <w:instrText xml:space="preserve"> PAGEREF _Toc99659406 \h </w:instrText>
        </w:r>
        <w:r w:rsidR="0096366C">
          <w:rPr>
            <w:noProof/>
            <w:webHidden/>
          </w:rPr>
        </w:r>
        <w:r w:rsidR="0096366C">
          <w:rPr>
            <w:noProof/>
            <w:webHidden/>
          </w:rPr>
          <w:fldChar w:fldCharType="separate"/>
        </w:r>
        <w:r w:rsidR="009D338D">
          <w:rPr>
            <w:noProof/>
            <w:webHidden/>
          </w:rPr>
          <w:t>448</w:t>
        </w:r>
        <w:r w:rsidR="0096366C">
          <w:rPr>
            <w:noProof/>
            <w:webHidden/>
          </w:rPr>
          <w:fldChar w:fldCharType="end"/>
        </w:r>
      </w:hyperlink>
    </w:p>
    <w:p w14:paraId="7FF391B2" w14:textId="1C40B981" w:rsidR="0096366C" w:rsidRPr="00B04620" w:rsidRDefault="004B48CC">
      <w:pPr>
        <w:pStyle w:val="TableofFigures"/>
        <w:rPr>
          <w:noProof/>
          <w:sz w:val="22"/>
        </w:rPr>
      </w:pPr>
      <w:hyperlink w:anchor="_Toc99659407" w:history="1">
        <w:r w:rsidR="0096366C" w:rsidRPr="00BE1CA1">
          <w:rPr>
            <w:rStyle w:val="Hyperlink"/>
            <w:noProof/>
          </w:rPr>
          <w:t xml:space="preserve">Table 14.3 </w:t>
        </w:r>
        <w:r w:rsidR="0096366C" w:rsidRPr="00B04620">
          <w:rPr>
            <w:noProof/>
            <w:sz w:val="22"/>
          </w:rPr>
          <w:tab/>
        </w:r>
        <w:r w:rsidR="0096366C" w:rsidRPr="00BE1CA1">
          <w:rPr>
            <w:rStyle w:val="Hyperlink"/>
            <w:noProof/>
          </w:rPr>
          <w:t>Contact details</w:t>
        </w:r>
        <w:r w:rsidR="0096366C">
          <w:rPr>
            <w:noProof/>
            <w:webHidden/>
          </w:rPr>
          <w:tab/>
        </w:r>
        <w:r w:rsidR="0096366C">
          <w:rPr>
            <w:noProof/>
            <w:webHidden/>
          </w:rPr>
          <w:fldChar w:fldCharType="begin"/>
        </w:r>
        <w:r w:rsidR="0096366C">
          <w:rPr>
            <w:noProof/>
            <w:webHidden/>
          </w:rPr>
          <w:instrText xml:space="preserve"> PAGEREF _Toc99659407 \h </w:instrText>
        </w:r>
        <w:r w:rsidR="0096366C">
          <w:rPr>
            <w:noProof/>
            <w:webHidden/>
          </w:rPr>
        </w:r>
        <w:r w:rsidR="0096366C">
          <w:rPr>
            <w:noProof/>
            <w:webHidden/>
          </w:rPr>
          <w:fldChar w:fldCharType="separate"/>
        </w:r>
        <w:r w:rsidR="009D338D">
          <w:rPr>
            <w:noProof/>
            <w:webHidden/>
          </w:rPr>
          <w:t>449</w:t>
        </w:r>
        <w:r w:rsidR="0096366C">
          <w:rPr>
            <w:noProof/>
            <w:webHidden/>
          </w:rPr>
          <w:fldChar w:fldCharType="end"/>
        </w:r>
      </w:hyperlink>
    </w:p>
    <w:p w14:paraId="17C41EC8" w14:textId="3E2965DB" w:rsidR="006E0A2C" w:rsidRDefault="00D10D90" w:rsidP="006E0A2C">
      <w:r>
        <w:rPr>
          <w:rFonts w:ascii="Arial" w:hAnsi="Arial"/>
          <w:sz w:val="20"/>
        </w:rPr>
        <w:fldChar w:fldCharType="end"/>
      </w:r>
    </w:p>
    <w:p w14:paraId="2677FA4A" w14:textId="77777777" w:rsidR="00E853F3" w:rsidRDefault="00E853F3" w:rsidP="006E0A2C"/>
    <w:p w14:paraId="756513E4" w14:textId="0B0B45EB" w:rsidR="00C21B54" w:rsidRDefault="00BD2058" w:rsidP="00AE488C">
      <w:pPr>
        <w:pStyle w:val="Heading1"/>
      </w:pPr>
      <w:bookmarkStart w:id="2" w:name="_Toc99659083"/>
      <w:r>
        <w:br w:type="page"/>
      </w:r>
      <w:r w:rsidR="00C21B54">
        <w:lastRenderedPageBreak/>
        <w:t>Figures</w:t>
      </w:r>
      <w:bookmarkEnd w:id="2"/>
    </w:p>
    <w:p w14:paraId="1E5A1BB0" w14:textId="38C29CB4" w:rsidR="00DF2443" w:rsidRPr="00B04620" w:rsidRDefault="00D63953">
      <w:pPr>
        <w:pStyle w:val="TableofFigures"/>
        <w:rPr>
          <w:noProof/>
          <w:sz w:val="22"/>
        </w:rPr>
      </w:pPr>
      <w:r>
        <w:rPr>
          <w:rFonts w:ascii="Arial" w:hAnsi="Arial"/>
        </w:rPr>
        <w:fldChar w:fldCharType="begin"/>
      </w:r>
      <w:r>
        <w:rPr>
          <w:rFonts w:ascii="Arial" w:hAnsi="Arial"/>
        </w:rPr>
        <w:instrText xml:space="preserve"> TOC \h \z \t "Figure" \c </w:instrText>
      </w:r>
      <w:r>
        <w:rPr>
          <w:rFonts w:ascii="Arial" w:hAnsi="Arial"/>
        </w:rPr>
        <w:fldChar w:fldCharType="separate"/>
      </w:r>
      <w:hyperlink w:anchor="_Toc99695993" w:history="1">
        <w:r w:rsidR="00DF2443" w:rsidRPr="00D251FE">
          <w:rPr>
            <w:rStyle w:val="Hyperlink"/>
            <w:noProof/>
          </w:rPr>
          <w:t>Figure ES 2.1</w:t>
        </w:r>
        <w:r w:rsidR="00DF2443" w:rsidRPr="00B04620">
          <w:rPr>
            <w:noProof/>
            <w:sz w:val="22"/>
          </w:rPr>
          <w:tab/>
        </w:r>
        <w:r w:rsidR="00DF2443" w:rsidRPr="00D251FE">
          <w:rPr>
            <w:rStyle w:val="Hyperlink"/>
            <w:noProof/>
          </w:rPr>
          <w:t>New Zealand’s gross and net emissions (under the Convention) from 1990 to 2020</w:t>
        </w:r>
        <w:r w:rsidR="00DF2443">
          <w:rPr>
            <w:noProof/>
            <w:webHidden/>
          </w:rPr>
          <w:tab/>
        </w:r>
        <w:r w:rsidR="00DF2443">
          <w:rPr>
            <w:noProof/>
            <w:webHidden/>
          </w:rPr>
          <w:fldChar w:fldCharType="begin"/>
        </w:r>
        <w:r w:rsidR="00DF2443">
          <w:rPr>
            <w:noProof/>
            <w:webHidden/>
          </w:rPr>
          <w:instrText xml:space="preserve"> PAGEREF _Toc99695993 \h </w:instrText>
        </w:r>
        <w:r w:rsidR="00DF2443">
          <w:rPr>
            <w:noProof/>
            <w:webHidden/>
          </w:rPr>
        </w:r>
        <w:r w:rsidR="00DF2443">
          <w:rPr>
            <w:noProof/>
            <w:webHidden/>
          </w:rPr>
          <w:fldChar w:fldCharType="separate"/>
        </w:r>
        <w:r w:rsidR="009D338D">
          <w:rPr>
            <w:noProof/>
            <w:webHidden/>
          </w:rPr>
          <w:t>xxvi</w:t>
        </w:r>
        <w:r w:rsidR="00DF2443">
          <w:rPr>
            <w:noProof/>
            <w:webHidden/>
          </w:rPr>
          <w:fldChar w:fldCharType="end"/>
        </w:r>
      </w:hyperlink>
    </w:p>
    <w:p w14:paraId="01E4E8F0" w14:textId="0484445A" w:rsidR="00DF2443" w:rsidRPr="00B04620" w:rsidRDefault="004B48CC">
      <w:pPr>
        <w:pStyle w:val="TableofFigures"/>
        <w:rPr>
          <w:noProof/>
          <w:sz w:val="22"/>
        </w:rPr>
      </w:pPr>
      <w:hyperlink w:anchor="_Toc99695994" w:history="1">
        <w:r w:rsidR="00DF2443" w:rsidRPr="00D251FE">
          <w:rPr>
            <w:rStyle w:val="Hyperlink"/>
            <w:noProof/>
          </w:rPr>
          <w:t>Figure ES 3.1</w:t>
        </w:r>
        <w:r w:rsidR="00DF2443" w:rsidRPr="00B04620">
          <w:rPr>
            <w:noProof/>
            <w:sz w:val="22"/>
          </w:rPr>
          <w:tab/>
        </w:r>
        <w:r w:rsidR="00DF2443" w:rsidRPr="00D251FE">
          <w:rPr>
            <w:rStyle w:val="Hyperlink"/>
            <w:noProof/>
          </w:rPr>
          <w:t>New Zealand’s gross emissions by gas in 1990 and 2020</w:t>
        </w:r>
        <w:r w:rsidR="00DF2443">
          <w:rPr>
            <w:noProof/>
            <w:webHidden/>
          </w:rPr>
          <w:tab/>
        </w:r>
        <w:r w:rsidR="00DF2443">
          <w:rPr>
            <w:noProof/>
            <w:webHidden/>
          </w:rPr>
          <w:fldChar w:fldCharType="begin"/>
        </w:r>
        <w:r w:rsidR="00DF2443">
          <w:rPr>
            <w:noProof/>
            <w:webHidden/>
          </w:rPr>
          <w:instrText xml:space="preserve"> PAGEREF _Toc99695994 \h </w:instrText>
        </w:r>
        <w:r w:rsidR="00DF2443">
          <w:rPr>
            <w:noProof/>
            <w:webHidden/>
          </w:rPr>
        </w:r>
        <w:r w:rsidR="00DF2443">
          <w:rPr>
            <w:noProof/>
            <w:webHidden/>
          </w:rPr>
          <w:fldChar w:fldCharType="separate"/>
        </w:r>
        <w:r w:rsidR="009D338D">
          <w:rPr>
            <w:noProof/>
            <w:webHidden/>
          </w:rPr>
          <w:t>xxviii</w:t>
        </w:r>
        <w:r w:rsidR="00DF2443">
          <w:rPr>
            <w:noProof/>
            <w:webHidden/>
          </w:rPr>
          <w:fldChar w:fldCharType="end"/>
        </w:r>
      </w:hyperlink>
    </w:p>
    <w:p w14:paraId="45C8E2EE" w14:textId="42239BEB" w:rsidR="00DF2443" w:rsidRPr="00B04620" w:rsidRDefault="004B48CC">
      <w:pPr>
        <w:pStyle w:val="TableofFigures"/>
        <w:rPr>
          <w:noProof/>
          <w:sz w:val="22"/>
        </w:rPr>
      </w:pPr>
      <w:hyperlink w:anchor="_Toc99695995" w:history="1">
        <w:r w:rsidR="00DF2443" w:rsidRPr="00D251FE">
          <w:rPr>
            <w:rStyle w:val="Hyperlink"/>
            <w:noProof/>
          </w:rPr>
          <w:t>Figure ES 4.1</w:t>
        </w:r>
        <w:r w:rsidR="00DF2443" w:rsidRPr="00B04620">
          <w:rPr>
            <w:noProof/>
            <w:sz w:val="22"/>
          </w:rPr>
          <w:tab/>
        </w:r>
        <w:r w:rsidR="00DF2443" w:rsidRPr="00D251FE">
          <w:rPr>
            <w:rStyle w:val="Hyperlink"/>
            <w:noProof/>
          </w:rPr>
          <w:t>Trends in New Zealand’s greenhouse gas emissions by sector from 1990 to 2020</w:t>
        </w:r>
        <w:r w:rsidR="00DF2443">
          <w:rPr>
            <w:noProof/>
            <w:webHidden/>
          </w:rPr>
          <w:tab/>
        </w:r>
        <w:r w:rsidR="00DF2443">
          <w:rPr>
            <w:noProof/>
            <w:webHidden/>
          </w:rPr>
          <w:fldChar w:fldCharType="begin"/>
        </w:r>
        <w:r w:rsidR="00DF2443">
          <w:rPr>
            <w:noProof/>
            <w:webHidden/>
          </w:rPr>
          <w:instrText xml:space="preserve"> PAGEREF _Toc99695995 \h </w:instrText>
        </w:r>
        <w:r w:rsidR="00DF2443">
          <w:rPr>
            <w:noProof/>
            <w:webHidden/>
          </w:rPr>
        </w:r>
        <w:r w:rsidR="00DF2443">
          <w:rPr>
            <w:noProof/>
            <w:webHidden/>
          </w:rPr>
          <w:fldChar w:fldCharType="separate"/>
        </w:r>
        <w:r w:rsidR="009D338D">
          <w:rPr>
            <w:noProof/>
            <w:webHidden/>
          </w:rPr>
          <w:t>xxx</w:t>
        </w:r>
        <w:r w:rsidR="00DF2443">
          <w:rPr>
            <w:noProof/>
            <w:webHidden/>
          </w:rPr>
          <w:fldChar w:fldCharType="end"/>
        </w:r>
      </w:hyperlink>
    </w:p>
    <w:p w14:paraId="46B69097" w14:textId="7B2CC102" w:rsidR="00DF2443" w:rsidRPr="00B04620" w:rsidRDefault="004B48CC">
      <w:pPr>
        <w:pStyle w:val="TableofFigures"/>
        <w:rPr>
          <w:noProof/>
          <w:sz w:val="22"/>
        </w:rPr>
      </w:pPr>
      <w:hyperlink w:anchor="_Toc99695996" w:history="1">
        <w:r w:rsidR="00DF2443" w:rsidRPr="00D251FE">
          <w:rPr>
            <w:rStyle w:val="Hyperlink"/>
            <w:noProof/>
          </w:rPr>
          <w:t>Figure ES 4.2</w:t>
        </w:r>
        <w:r w:rsidR="00DF2443" w:rsidRPr="00B04620">
          <w:rPr>
            <w:noProof/>
            <w:sz w:val="22"/>
          </w:rPr>
          <w:tab/>
        </w:r>
        <w:r w:rsidR="00DF2443" w:rsidRPr="00D251FE">
          <w:rPr>
            <w:rStyle w:val="Hyperlink"/>
            <w:noProof/>
          </w:rPr>
          <w:t>Change in New Zealand’s emissions by sector, comparing 1990 and 2020</w:t>
        </w:r>
        <w:r w:rsidR="00DF2443">
          <w:rPr>
            <w:noProof/>
            <w:webHidden/>
          </w:rPr>
          <w:tab/>
        </w:r>
        <w:r w:rsidR="00DF2443">
          <w:rPr>
            <w:noProof/>
            <w:webHidden/>
          </w:rPr>
          <w:fldChar w:fldCharType="begin"/>
        </w:r>
        <w:r w:rsidR="00DF2443">
          <w:rPr>
            <w:noProof/>
            <w:webHidden/>
          </w:rPr>
          <w:instrText xml:space="preserve"> PAGEREF _Toc99695996 \h </w:instrText>
        </w:r>
        <w:r w:rsidR="00DF2443">
          <w:rPr>
            <w:noProof/>
            <w:webHidden/>
          </w:rPr>
        </w:r>
        <w:r w:rsidR="00DF2443">
          <w:rPr>
            <w:noProof/>
            <w:webHidden/>
          </w:rPr>
          <w:fldChar w:fldCharType="separate"/>
        </w:r>
        <w:r w:rsidR="009D338D">
          <w:rPr>
            <w:noProof/>
            <w:webHidden/>
          </w:rPr>
          <w:t>xxxi</w:t>
        </w:r>
        <w:r w:rsidR="00DF2443">
          <w:rPr>
            <w:noProof/>
            <w:webHidden/>
          </w:rPr>
          <w:fldChar w:fldCharType="end"/>
        </w:r>
      </w:hyperlink>
    </w:p>
    <w:p w14:paraId="64D5D050" w14:textId="289A1973" w:rsidR="00DF2443" w:rsidRPr="00B04620" w:rsidRDefault="004B48CC">
      <w:pPr>
        <w:pStyle w:val="TableofFigures"/>
        <w:rPr>
          <w:noProof/>
          <w:sz w:val="22"/>
        </w:rPr>
      </w:pPr>
      <w:hyperlink w:anchor="_Toc99695997" w:history="1">
        <w:r w:rsidR="00DF2443" w:rsidRPr="00D251FE">
          <w:rPr>
            <w:rStyle w:val="Hyperlink"/>
            <w:noProof/>
          </w:rPr>
          <w:t>Figure ES 4.4</w:t>
        </w:r>
        <w:r w:rsidR="00DF2443" w:rsidRPr="00B04620">
          <w:rPr>
            <w:noProof/>
            <w:sz w:val="22"/>
          </w:rPr>
          <w:tab/>
        </w:r>
        <w:r w:rsidR="00DF2443" w:rsidRPr="00D251FE">
          <w:rPr>
            <w:rStyle w:val="Hyperlink"/>
            <w:noProof/>
          </w:rPr>
          <w:t>New Zealand’s LULUCF sector net emissions from 1990 to 2020</w:t>
        </w:r>
        <w:r w:rsidR="00DF2443">
          <w:rPr>
            <w:noProof/>
            <w:webHidden/>
          </w:rPr>
          <w:tab/>
        </w:r>
        <w:r w:rsidR="00DF2443">
          <w:rPr>
            <w:noProof/>
            <w:webHidden/>
          </w:rPr>
          <w:fldChar w:fldCharType="begin"/>
        </w:r>
        <w:r w:rsidR="00DF2443">
          <w:rPr>
            <w:noProof/>
            <w:webHidden/>
          </w:rPr>
          <w:instrText xml:space="preserve"> PAGEREF _Toc99695997 \h </w:instrText>
        </w:r>
        <w:r w:rsidR="00DF2443">
          <w:rPr>
            <w:noProof/>
            <w:webHidden/>
          </w:rPr>
        </w:r>
        <w:r w:rsidR="00DF2443">
          <w:rPr>
            <w:noProof/>
            <w:webHidden/>
          </w:rPr>
          <w:fldChar w:fldCharType="separate"/>
        </w:r>
        <w:r w:rsidR="009D338D">
          <w:rPr>
            <w:noProof/>
            <w:webHidden/>
          </w:rPr>
          <w:t>xxxv</w:t>
        </w:r>
        <w:r w:rsidR="00DF2443">
          <w:rPr>
            <w:noProof/>
            <w:webHidden/>
          </w:rPr>
          <w:fldChar w:fldCharType="end"/>
        </w:r>
      </w:hyperlink>
    </w:p>
    <w:p w14:paraId="79A576A2" w14:textId="3710532D" w:rsidR="00DF2443" w:rsidRPr="00B04620" w:rsidRDefault="004B48CC">
      <w:pPr>
        <w:pStyle w:val="TableofFigures"/>
        <w:rPr>
          <w:noProof/>
          <w:sz w:val="22"/>
        </w:rPr>
      </w:pPr>
      <w:hyperlink w:anchor="_Toc99695998" w:history="1">
        <w:r w:rsidR="00DF2443" w:rsidRPr="00D251FE">
          <w:rPr>
            <w:rStyle w:val="Hyperlink"/>
            <w:noProof/>
          </w:rPr>
          <w:t>Figure 1.2.1</w:t>
        </w:r>
        <w:r w:rsidR="00DF2443" w:rsidRPr="00B04620">
          <w:rPr>
            <w:noProof/>
            <w:sz w:val="22"/>
          </w:rPr>
          <w:tab/>
        </w:r>
        <w:r w:rsidR="00DF2443" w:rsidRPr="00D251FE">
          <w:rPr>
            <w:rStyle w:val="Hyperlink"/>
            <w:noProof/>
          </w:rPr>
          <w:t>New Zealand’s inventory system at a glance: how different agencies are involved</w:t>
        </w:r>
        <w:r w:rsidR="00DF2443">
          <w:rPr>
            <w:noProof/>
            <w:webHidden/>
          </w:rPr>
          <w:tab/>
        </w:r>
        <w:r w:rsidR="00DF2443">
          <w:rPr>
            <w:noProof/>
            <w:webHidden/>
          </w:rPr>
          <w:fldChar w:fldCharType="begin"/>
        </w:r>
        <w:r w:rsidR="00DF2443">
          <w:rPr>
            <w:noProof/>
            <w:webHidden/>
          </w:rPr>
          <w:instrText xml:space="preserve"> PAGEREF _Toc99695998 \h </w:instrText>
        </w:r>
        <w:r w:rsidR="00DF2443">
          <w:rPr>
            <w:noProof/>
            <w:webHidden/>
          </w:rPr>
        </w:r>
        <w:r w:rsidR="00DF2443">
          <w:rPr>
            <w:noProof/>
            <w:webHidden/>
          </w:rPr>
          <w:fldChar w:fldCharType="separate"/>
        </w:r>
        <w:r w:rsidR="009D338D">
          <w:rPr>
            <w:noProof/>
            <w:webHidden/>
          </w:rPr>
          <w:t>8</w:t>
        </w:r>
        <w:r w:rsidR="00DF2443">
          <w:rPr>
            <w:noProof/>
            <w:webHidden/>
          </w:rPr>
          <w:fldChar w:fldCharType="end"/>
        </w:r>
      </w:hyperlink>
    </w:p>
    <w:p w14:paraId="5BC5226E" w14:textId="1002A44D" w:rsidR="00DF2443" w:rsidRPr="00B04620" w:rsidRDefault="004B48CC">
      <w:pPr>
        <w:pStyle w:val="TableofFigures"/>
        <w:rPr>
          <w:noProof/>
          <w:sz w:val="22"/>
        </w:rPr>
      </w:pPr>
      <w:hyperlink w:anchor="_Toc99695999" w:history="1">
        <w:r w:rsidR="00DF2443" w:rsidRPr="00D251FE">
          <w:rPr>
            <w:rStyle w:val="Hyperlink"/>
            <w:noProof/>
          </w:rPr>
          <w:t>Figure 1.2.2</w:t>
        </w:r>
        <w:r w:rsidR="00DF2443" w:rsidRPr="00B04620">
          <w:rPr>
            <w:noProof/>
            <w:sz w:val="22"/>
          </w:rPr>
          <w:tab/>
        </w:r>
        <w:r w:rsidR="00DF2443" w:rsidRPr="00D251FE">
          <w:rPr>
            <w:rStyle w:val="Hyperlink"/>
            <w:noProof/>
          </w:rPr>
          <w:t>Summary of New Zealand’s inventory planning and preparation</w:t>
        </w:r>
        <w:r w:rsidR="00DF2443">
          <w:rPr>
            <w:noProof/>
            <w:webHidden/>
          </w:rPr>
          <w:tab/>
        </w:r>
        <w:r w:rsidR="00DF2443">
          <w:rPr>
            <w:noProof/>
            <w:webHidden/>
          </w:rPr>
          <w:fldChar w:fldCharType="begin"/>
        </w:r>
        <w:r w:rsidR="00DF2443">
          <w:rPr>
            <w:noProof/>
            <w:webHidden/>
          </w:rPr>
          <w:instrText xml:space="preserve"> PAGEREF _Toc99695999 \h </w:instrText>
        </w:r>
        <w:r w:rsidR="00DF2443">
          <w:rPr>
            <w:noProof/>
            <w:webHidden/>
          </w:rPr>
        </w:r>
        <w:r w:rsidR="00DF2443">
          <w:rPr>
            <w:noProof/>
            <w:webHidden/>
          </w:rPr>
          <w:fldChar w:fldCharType="separate"/>
        </w:r>
        <w:r w:rsidR="009D338D">
          <w:rPr>
            <w:noProof/>
            <w:webHidden/>
          </w:rPr>
          <w:t>9</w:t>
        </w:r>
        <w:r w:rsidR="00DF2443">
          <w:rPr>
            <w:noProof/>
            <w:webHidden/>
          </w:rPr>
          <w:fldChar w:fldCharType="end"/>
        </w:r>
      </w:hyperlink>
    </w:p>
    <w:p w14:paraId="34C6C049" w14:textId="6FE9DA60" w:rsidR="00DF2443" w:rsidRPr="00B04620" w:rsidRDefault="004B48CC">
      <w:pPr>
        <w:pStyle w:val="TableofFigures"/>
        <w:rPr>
          <w:noProof/>
          <w:sz w:val="22"/>
        </w:rPr>
      </w:pPr>
      <w:hyperlink w:anchor="_Toc99696000" w:history="1">
        <w:r w:rsidR="00DF2443" w:rsidRPr="00D251FE">
          <w:rPr>
            <w:rStyle w:val="Hyperlink"/>
            <w:bCs/>
            <w:noProof/>
          </w:rPr>
          <w:t>Figure 2.1.1</w:t>
        </w:r>
        <w:r w:rsidR="00DF2443" w:rsidRPr="00B04620">
          <w:rPr>
            <w:noProof/>
            <w:sz w:val="22"/>
          </w:rPr>
          <w:tab/>
        </w:r>
        <w:r w:rsidR="00DF2443" w:rsidRPr="00D251FE">
          <w:rPr>
            <w:rStyle w:val="Hyperlink"/>
            <w:bCs/>
            <w:noProof/>
          </w:rPr>
          <w:t>New Zealand’s gross and net emissions (under the Convention) from 1990 to 2020</w:t>
        </w:r>
        <w:r w:rsidR="00DF2443">
          <w:rPr>
            <w:noProof/>
            <w:webHidden/>
          </w:rPr>
          <w:tab/>
        </w:r>
        <w:r w:rsidR="00DF2443">
          <w:rPr>
            <w:noProof/>
            <w:webHidden/>
          </w:rPr>
          <w:fldChar w:fldCharType="begin"/>
        </w:r>
        <w:r w:rsidR="00DF2443">
          <w:rPr>
            <w:noProof/>
            <w:webHidden/>
          </w:rPr>
          <w:instrText xml:space="preserve"> PAGEREF _Toc99696000 \h </w:instrText>
        </w:r>
        <w:r w:rsidR="00DF2443">
          <w:rPr>
            <w:noProof/>
            <w:webHidden/>
          </w:rPr>
        </w:r>
        <w:r w:rsidR="00DF2443">
          <w:rPr>
            <w:noProof/>
            <w:webHidden/>
          </w:rPr>
          <w:fldChar w:fldCharType="separate"/>
        </w:r>
        <w:r w:rsidR="009D338D">
          <w:rPr>
            <w:noProof/>
            <w:webHidden/>
          </w:rPr>
          <w:t>43</w:t>
        </w:r>
        <w:r w:rsidR="00DF2443">
          <w:rPr>
            <w:noProof/>
            <w:webHidden/>
          </w:rPr>
          <w:fldChar w:fldCharType="end"/>
        </w:r>
      </w:hyperlink>
    </w:p>
    <w:p w14:paraId="47CB80B1" w14:textId="2B82DD35" w:rsidR="00DF2443" w:rsidRPr="00B04620" w:rsidRDefault="004B48CC">
      <w:pPr>
        <w:pStyle w:val="TableofFigures"/>
        <w:rPr>
          <w:noProof/>
          <w:sz w:val="22"/>
        </w:rPr>
      </w:pPr>
      <w:hyperlink w:anchor="_Toc99696001" w:history="1">
        <w:r w:rsidR="00DF2443" w:rsidRPr="00D251FE">
          <w:rPr>
            <w:rStyle w:val="Hyperlink"/>
            <w:noProof/>
          </w:rPr>
          <w:t>Figure 2.2.1</w:t>
        </w:r>
        <w:r w:rsidR="00DF2443" w:rsidRPr="00B04620">
          <w:rPr>
            <w:noProof/>
            <w:sz w:val="22"/>
          </w:rPr>
          <w:tab/>
        </w:r>
        <w:r w:rsidR="00DF2443" w:rsidRPr="00D251FE">
          <w:rPr>
            <w:rStyle w:val="Hyperlink"/>
            <w:noProof/>
          </w:rPr>
          <w:t xml:space="preserve">New Zealand’s emissions by sector in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_Toc99696001 \h </w:instrText>
        </w:r>
        <w:r w:rsidR="00DF2443">
          <w:rPr>
            <w:noProof/>
            <w:webHidden/>
          </w:rPr>
        </w:r>
        <w:r w:rsidR="00DF2443">
          <w:rPr>
            <w:noProof/>
            <w:webHidden/>
          </w:rPr>
          <w:fldChar w:fldCharType="separate"/>
        </w:r>
        <w:r w:rsidR="009D338D">
          <w:rPr>
            <w:noProof/>
            <w:webHidden/>
          </w:rPr>
          <w:t>45</w:t>
        </w:r>
        <w:r w:rsidR="00DF2443">
          <w:rPr>
            <w:noProof/>
            <w:webHidden/>
          </w:rPr>
          <w:fldChar w:fldCharType="end"/>
        </w:r>
      </w:hyperlink>
    </w:p>
    <w:p w14:paraId="6514EDC6" w14:textId="31F36B08" w:rsidR="00DF2443" w:rsidRPr="00B04620" w:rsidRDefault="004B48CC">
      <w:pPr>
        <w:pStyle w:val="TableofFigures"/>
        <w:rPr>
          <w:noProof/>
          <w:sz w:val="22"/>
        </w:rPr>
      </w:pPr>
      <w:hyperlink w:anchor="_Toc99696002" w:history="1">
        <w:r w:rsidR="00DF2443" w:rsidRPr="00D251FE">
          <w:rPr>
            <w:rStyle w:val="Hyperlink"/>
            <w:noProof/>
          </w:rPr>
          <w:t>Figure 2.2.2</w:t>
        </w:r>
        <w:r w:rsidR="00DF2443" w:rsidRPr="00B04620">
          <w:rPr>
            <w:noProof/>
            <w:sz w:val="22"/>
          </w:rPr>
          <w:tab/>
        </w:r>
        <w:r w:rsidR="00DF2443" w:rsidRPr="00D251FE">
          <w:rPr>
            <w:rStyle w:val="Hyperlink"/>
            <w:noProof/>
          </w:rPr>
          <w:t xml:space="preserve">New Zealand’s gross emissions by gas in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_Toc99696002 \h </w:instrText>
        </w:r>
        <w:r w:rsidR="00DF2443">
          <w:rPr>
            <w:noProof/>
            <w:webHidden/>
          </w:rPr>
        </w:r>
        <w:r w:rsidR="00DF2443">
          <w:rPr>
            <w:noProof/>
            <w:webHidden/>
          </w:rPr>
          <w:fldChar w:fldCharType="separate"/>
        </w:r>
        <w:r w:rsidR="009D338D">
          <w:rPr>
            <w:noProof/>
            <w:webHidden/>
          </w:rPr>
          <w:t>46</w:t>
        </w:r>
        <w:r w:rsidR="00DF2443">
          <w:rPr>
            <w:noProof/>
            <w:webHidden/>
          </w:rPr>
          <w:fldChar w:fldCharType="end"/>
        </w:r>
      </w:hyperlink>
    </w:p>
    <w:p w14:paraId="6EF2BF36" w14:textId="43898557" w:rsidR="00DF2443" w:rsidRPr="00B04620" w:rsidRDefault="004B48CC">
      <w:pPr>
        <w:pStyle w:val="TableofFigures"/>
        <w:rPr>
          <w:noProof/>
          <w:sz w:val="22"/>
        </w:rPr>
      </w:pPr>
      <w:hyperlink w:anchor="_Toc99696003" w:history="1">
        <w:r w:rsidR="00DF2443" w:rsidRPr="00D251FE">
          <w:rPr>
            <w:rStyle w:val="Hyperlink"/>
            <w:bCs/>
            <w:noProof/>
          </w:rPr>
          <w:t>Figure 2.2.3</w:t>
        </w:r>
        <w:r w:rsidR="00DF2443" w:rsidRPr="00B04620">
          <w:rPr>
            <w:noProof/>
            <w:sz w:val="22"/>
          </w:rPr>
          <w:tab/>
        </w:r>
        <w:r w:rsidR="00DF2443" w:rsidRPr="00D251FE">
          <w:rPr>
            <w:rStyle w:val="Hyperlink"/>
            <w:noProof/>
          </w:rPr>
          <w:t>Trends in New Zealand’s greenhouse gas emissions by sector from 1990 to 2020</w:t>
        </w:r>
        <w:r w:rsidR="00DF2443">
          <w:rPr>
            <w:noProof/>
            <w:webHidden/>
          </w:rPr>
          <w:tab/>
        </w:r>
        <w:r w:rsidR="00DF2443">
          <w:rPr>
            <w:noProof/>
            <w:webHidden/>
          </w:rPr>
          <w:fldChar w:fldCharType="begin"/>
        </w:r>
        <w:r w:rsidR="00DF2443">
          <w:rPr>
            <w:noProof/>
            <w:webHidden/>
          </w:rPr>
          <w:instrText xml:space="preserve"> PAGEREF _Toc99696003 \h </w:instrText>
        </w:r>
        <w:r w:rsidR="00DF2443">
          <w:rPr>
            <w:noProof/>
            <w:webHidden/>
          </w:rPr>
        </w:r>
        <w:r w:rsidR="00DF2443">
          <w:rPr>
            <w:noProof/>
            <w:webHidden/>
          </w:rPr>
          <w:fldChar w:fldCharType="separate"/>
        </w:r>
        <w:r w:rsidR="009D338D">
          <w:rPr>
            <w:noProof/>
            <w:webHidden/>
          </w:rPr>
          <w:t>47</w:t>
        </w:r>
        <w:r w:rsidR="00DF2443">
          <w:rPr>
            <w:noProof/>
            <w:webHidden/>
          </w:rPr>
          <w:fldChar w:fldCharType="end"/>
        </w:r>
      </w:hyperlink>
    </w:p>
    <w:p w14:paraId="719E653D" w14:textId="15CBFACB" w:rsidR="00DF2443" w:rsidRPr="00B04620" w:rsidRDefault="004B48CC">
      <w:pPr>
        <w:pStyle w:val="TableofFigures"/>
        <w:rPr>
          <w:noProof/>
          <w:sz w:val="22"/>
        </w:rPr>
      </w:pPr>
      <w:hyperlink w:anchor="_Toc99696004" w:history="1">
        <w:r w:rsidR="00DF2443" w:rsidRPr="00D251FE">
          <w:rPr>
            <w:rStyle w:val="Hyperlink"/>
            <w:noProof/>
          </w:rPr>
          <w:t>Figure 2.2.4</w:t>
        </w:r>
        <w:r w:rsidR="00DF2443" w:rsidRPr="00B04620">
          <w:rPr>
            <w:noProof/>
            <w:sz w:val="22"/>
          </w:rPr>
          <w:tab/>
        </w:r>
        <w:r w:rsidR="00DF2443" w:rsidRPr="00D251FE">
          <w:rPr>
            <w:rStyle w:val="Hyperlink"/>
            <w:noProof/>
          </w:rPr>
          <w:t xml:space="preserve">Change in New Zealand’s emissions by sector comparing </w:t>
        </w:r>
        <w:r w:rsidR="00DF2443" w:rsidRPr="00D251FE">
          <w:rPr>
            <w:rStyle w:val="Hyperlink"/>
            <w:bCs/>
            <w:noProof/>
          </w:rPr>
          <w:t>1990</w:t>
        </w:r>
        <w:r w:rsidR="00DF2443" w:rsidRPr="00D251FE">
          <w:rPr>
            <w:rStyle w:val="Hyperlink"/>
            <w:noProof/>
          </w:rPr>
          <w:t xml:space="preserve"> and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_Toc99696004 \h </w:instrText>
        </w:r>
        <w:r w:rsidR="00DF2443">
          <w:rPr>
            <w:noProof/>
            <w:webHidden/>
          </w:rPr>
        </w:r>
        <w:r w:rsidR="00DF2443">
          <w:rPr>
            <w:noProof/>
            <w:webHidden/>
          </w:rPr>
          <w:fldChar w:fldCharType="separate"/>
        </w:r>
        <w:r w:rsidR="009D338D">
          <w:rPr>
            <w:noProof/>
            <w:webHidden/>
          </w:rPr>
          <w:t>48</w:t>
        </w:r>
        <w:r w:rsidR="00DF2443">
          <w:rPr>
            <w:noProof/>
            <w:webHidden/>
          </w:rPr>
          <w:fldChar w:fldCharType="end"/>
        </w:r>
      </w:hyperlink>
    </w:p>
    <w:p w14:paraId="649EC148" w14:textId="1DADCB61" w:rsidR="00DF2443" w:rsidRPr="00B04620" w:rsidRDefault="004B48CC">
      <w:pPr>
        <w:pStyle w:val="TableofFigures"/>
        <w:rPr>
          <w:noProof/>
          <w:sz w:val="22"/>
        </w:rPr>
      </w:pPr>
      <w:hyperlink w:anchor="_Toc99696005" w:history="1">
        <w:r w:rsidR="00DF2443" w:rsidRPr="00D251FE">
          <w:rPr>
            <w:rStyle w:val="Hyperlink"/>
            <w:noProof/>
          </w:rPr>
          <w:t>Figure 2.2.5</w:t>
        </w:r>
        <w:r w:rsidR="00DF2443" w:rsidRPr="00B04620">
          <w:rPr>
            <w:noProof/>
            <w:sz w:val="22"/>
          </w:rPr>
          <w:tab/>
        </w:r>
        <w:r w:rsidR="00DF2443" w:rsidRPr="00D251FE">
          <w:rPr>
            <w:rStyle w:val="Hyperlink"/>
            <w:noProof/>
          </w:rPr>
          <w:t xml:space="preserve">Absolute change in New Zealand’s gross emissions by sector from </w:t>
        </w:r>
        <w:r w:rsidR="00DF2443" w:rsidRPr="00D251FE">
          <w:rPr>
            <w:rStyle w:val="Hyperlink"/>
            <w:bCs/>
            <w:noProof/>
          </w:rPr>
          <w:t>1990</w:t>
        </w:r>
        <w:r w:rsidR="00DF2443" w:rsidRPr="00D251FE">
          <w:rPr>
            <w:rStyle w:val="Hyperlink"/>
            <w:noProof/>
          </w:rPr>
          <w:t> to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_Toc99696005 \h </w:instrText>
        </w:r>
        <w:r w:rsidR="00DF2443">
          <w:rPr>
            <w:noProof/>
            <w:webHidden/>
          </w:rPr>
        </w:r>
        <w:r w:rsidR="00DF2443">
          <w:rPr>
            <w:noProof/>
            <w:webHidden/>
          </w:rPr>
          <w:fldChar w:fldCharType="separate"/>
        </w:r>
        <w:r w:rsidR="009D338D">
          <w:rPr>
            <w:noProof/>
            <w:webHidden/>
          </w:rPr>
          <w:t>49</w:t>
        </w:r>
        <w:r w:rsidR="00DF2443">
          <w:rPr>
            <w:noProof/>
            <w:webHidden/>
          </w:rPr>
          <w:fldChar w:fldCharType="end"/>
        </w:r>
      </w:hyperlink>
    </w:p>
    <w:p w14:paraId="3969C531" w14:textId="10AA28C2" w:rsidR="00DF2443" w:rsidRPr="00B04620" w:rsidRDefault="004B48CC">
      <w:pPr>
        <w:pStyle w:val="TableofFigures"/>
        <w:rPr>
          <w:noProof/>
          <w:sz w:val="22"/>
        </w:rPr>
      </w:pPr>
      <w:hyperlink w:anchor="_Toc99696006" w:history="1">
        <w:r w:rsidR="00DF2443" w:rsidRPr="00D251FE">
          <w:rPr>
            <w:rStyle w:val="Hyperlink"/>
            <w:noProof/>
          </w:rPr>
          <w:t>Figure 2.2.6</w:t>
        </w:r>
        <w:r w:rsidR="00DF2443" w:rsidRPr="00B04620">
          <w:rPr>
            <w:noProof/>
            <w:sz w:val="22"/>
          </w:rPr>
          <w:tab/>
        </w:r>
        <w:r w:rsidR="00DF2443" w:rsidRPr="00D251FE">
          <w:rPr>
            <w:rStyle w:val="Hyperlink"/>
            <w:noProof/>
          </w:rPr>
          <w:t xml:space="preserve">Absolute change in net emissions from the LULUCF sector from </w:t>
        </w:r>
        <w:r w:rsidR="00DF2443" w:rsidRPr="00D251FE">
          <w:rPr>
            <w:rStyle w:val="Hyperlink"/>
            <w:bCs/>
            <w:noProof/>
          </w:rPr>
          <w:t>1990</w:t>
        </w:r>
        <w:r w:rsidR="00DF2443" w:rsidRPr="00D251FE">
          <w:rPr>
            <w:rStyle w:val="Hyperlink"/>
            <w:noProof/>
          </w:rPr>
          <w:t> to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_Toc99696006 \h </w:instrText>
        </w:r>
        <w:r w:rsidR="00DF2443">
          <w:rPr>
            <w:noProof/>
            <w:webHidden/>
          </w:rPr>
        </w:r>
        <w:r w:rsidR="00DF2443">
          <w:rPr>
            <w:noProof/>
            <w:webHidden/>
          </w:rPr>
          <w:fldChar w:fldCharType="separate"/>
        </w:r>
        <w:r w:rsidR="009D338D">
          <w:rPr>
            <w:noProof/>
            <w:webHidden/>
          </w:rPr>
          <w:t>50</w:t>
        </w:r>
        <w:r w:rsidR="00DF2443">
          <w:rPr>
            <w:noProof/>
            <w:webHidden/>
          </w:rPr>
          <w:fldChar w:fldCharType="end"/>
        </w:r>
      </w:hyperlink>
    </w:p>
    <w:p w14:paraId="29BEC111" w14:textId="3BABC512" w:rsidR="00DF2443" w:rsidRPr="00B04620" w:rsidRDefault="004B48CC">
      <w:pPr>
        <w:pStyle w:val="TableofFigures"/>
        <w:rPr>
          <w:noProof/>
          <w:sz w:val="22"/>
        </w:rPr>
      </w:pPr>
      <w:hyperlink w:anchor="_Toc99696007" w:history="1">
        <w:r w:rsidR="00DF2443" w:rsidRPr="00D251FE">
          <w:rPr>
            <w:rStyle w:val="Hyperlink"/>
            <w:noProof/>
          </w:rPr>
          <w:t>Figure 2.2.7</w:t>
        </w:r>
        <w:r w:rsidR="00DF2443" w:rsidRPr="00B04620">
          <w:rPr>
            <w:noProof/>
            <w:sz w:val="22"/>
          </w:rPr>
          <w:tab/>
        </w:r>
        <w:r w:rsidR="00DF2443" w:rsidRPr="00D251FE">
          <w:rPr>
            <w:rStyle w:val="Hyperlink"/>
            <w:noProof/>
          </w:rPr>
          <w:t xml:space="preserve">New Zealand’s Energy sector emissions from </w:t>
        </w:r>
        <w:r w:rsidR="00DF2443" w:rsidRPr="00D251FE">
          <w:rPr>
            <w:rStyle w:val="Hyperlink"/>
            <w:bCs/>
            <w:noProof/>
          </w:rPr>
          <w:t>1990</w:t>
        </w:r>
        <w:r w:rsidR="00DF2443" w:rsidRPr="00D251FE">
          <w:rPr>
            <w:rStyle w:val="Hyperlink"/>
            <w:noProof/>
          </w:rPr>
          <w:t> to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_Toc99696007 \h </w:instrText>
        </w:r>
        <w:r w:rsidR="00DF2443">
          <w:rPr>
            <w:noProof/>
            <w:webHidden/>
          </w:rPr>
        </w:r>
        <w:r w:rsidR="00DF2443">
          <w:rPr>
            <w:noProof/>
            <w:webHidden/>
          </w:rPr>
          <w:fldChar w:fldCharType="separate"/>
        </w:r>
        <w:r w:rsidR="009D338D">
          <w:rPr>
            <w:noProof/>
            <w:webHidden/>
          </w:rPr>
          <w:t>51</w:t>
        </w:r>
        <w:r w:rsidR="00DF2443">
          <w:rPr>
            <w:noProof/>
            <w:webHidden/>
          </w:rPr>
          <w:fldChar w:fldCharType="end"/>
        </w:r>
      </w:hyperlink>
    </w:p>
    <w:p w14:paraId="160181F8" w14:textId="610F03FB" w:rsidR="00DF2443" w:rsidRPr="00B04620" w:rsidRDefault="004B48CC">
      <w:pPr>
        <w:pStyle w:val="TableofFigures"/>
        <w:rPr>
          <w:noProof/>
          <w:sz w:val="22"/>
        </w:rPr>
      </w:pPr>
      <w:hyperlink w:anchor="_Toc99696008" w:history="1">
        <w:r w:rsidR="00DF2443" w:rsidRPr="00D251FE">
          <w:rPr>
            <w:rStyle w:val="Hyperlink"/>
            <w:noProof/>
          </w:rPr>
          <w:t>Figure 2.2.8</w:t>
        </w:r>
        <w:r w:rsidR="00DF2443" w:rsidRPr="00B04620">
          <w:rPr>
            <w:noProof/>
            <w:sz w:val="22"/>
          </w:rPr>
          <w:tab/>
        </w:r>
        <w:r w:rsidR="00DF2443" w:rsidRPr="00D251FE">
          <w:rPr>
            <w:rStyle w:val="Hyperlink"/>
            <w:noProof/>
          </w:rPr>
          <w:t xml:space="preserve">New Zealand’s IPPU sector emissions from </w:t>
        </w:r>
        <w:r w:rsidR="00DF2443" w:rsidRPr="00D251FE">
          <w:rPr>
            <w:rStyle w:val="Hyperlink"/>
            <w:bCs/>
            <w:noProof/>
          </w:rPr>
          <w:t>1990</w:t>
        </w:r>
        <w:r w:rsidR="00DF2443" w:rsidRPr="00D251FE">
          <w:rPr>
            <w:rStyle w:val="Hyperlink"/>
            <w:noProof/>
          </w:rPr>
          <w:t> to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_Toc99696008 \h </w:instrText>
        </w:r>
        <w:r w:rsidR="00DF2443">
          <w:rPr>
            <w:noProof/>
            <w:webHidden/>
          </w:rPr>
        </w:r>
        <w:r w:rsidR="00DF2443">
          <w:rPr>
            <w:noProof/>
            <w:webHidden/>
          </w:rPr>
          <w:fldChar w:fldCharType="separate"/>
        </w:r>
        <w:r w:rsidR="009D338D">
          <w:rPr>
            <w:noProof/>
            <w:webHidden/>
          </w:rPr>
          <w:t>53</w:t>
        </w:r>
        <w:r w:rsidR="00DF2443">
          <w:rPr>
            <w:noProof/>
            <w:webHidden/>
          </w:rPr>
          <w:fldChar w:fldCharType="end"/>
        </w:r>
      </w:hyperlink>
    </w:p>
    <w:p w14:paraId="52E3C3EF" w14:textId="04AAE436" w:rsidR="00DF2443" w:rsidRPr="00B04620" w:rsidRDefault="004B48CC">
      <w:pPr>
        <w:pStyle w:val="TableofFigures"/>
        <w:rPr>
          <w:noProof/>
          <w:sz w:val="22"/>
        </w:rPr>
      </w:pPr>
      <w:hyperlink w:anchor="_Toc99696009" w:history="1">
        <w:r w:rsidR="00DF2443" w:rsidRPr="00D251FE">
          <w:rPr>
            <w:rStyle w:val="Hyperlink"/>
            <w:noProof/>
          </w:rPr>
          <w:t>Figure 2.2.9</w:t>
        </w:r>
        <w:r w:rsidR="00DF2443" w:rsidRPr="00B04620">
          <w:rPr>
            <w:noProof/>
            <w:sz w:val="22"/>
          </w:rPr>
          <w:tab/>
        </w:r>
        <w:r w:rsidR="00DF2443" w:rsidRPr="00D251FE">
          <w:rPr>
            <w:rStyle w:val="Hyperlink"/>
            <w:noProof/>
          </w:rPr>
          <w:t xml:space="preserve">New Zealand’s Agriculture sector emissions from </w:t>
        </w:r>
        <w:r w:rsidR="00DF2443" w:rsidRPr="00D251FE">
          <w:rPr>
            <w:rStyle w:val="Hyperlink"/>
            <w:bCs/>
            <w:noProof/>
          </w:rPr>
          <w:t>1990</w:t>
        </w:r>
        <w:r w:rsidR="00DF2443" w:rsidRPr="00D251FE">
          <w:rPr>
            <w:rStyle w:val="Hyperlink"/>
            <w:noProof/>
          </w:rPr>
          <w:t> to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_Toc99696009 \h </w:instrText>
        </w:r>
        <w:r w:rsidR="00DF2443">
          <w:rPr>
            <w:noProof/>
            <w:webHidden/>
          </w:rPr>
        </w:r>
        <w:r w:rsidR="00DF2443">
          <w:rPr>
            <w:noProof/>
            <w:webHidden/>
          </w:rPr>
          <w:fldChar w:fldCharType="separate"/>
        </w:r>
        <w:r w:rsidR="009D338D">
          <w:rPr>
            <w:noProof/>
            <w:webHidden/>
          </w:rPr>
          <w:t>55</w:t>
        </w:r>
        <w:r w:rsidR="00DF2443">
          <w:rPr>
            <w:noProof/>
            <w:webHidden/>
          </w:rPr>
          <w:fldChar w:fldCharType="end"/>
        </w:r>
      </w:hyperlink>
    </w:p>
    <w:p w14:paraId="06E0948D" w14:textId="7A8B9301" w:rsidR="00DF2443" w:rsidRPr="00B04620" w:rsidRDefault="004B48CC">
      <w:pPr>
        <w:pStyle w:val="TableofFigures"/>
        <w:rPr>
          <w:noProof/>
          <w:sz w:val="22"/>
        </w:rPr>
      </w:pPr>
      <w:hyperlink w:anchor="_Toc99696010" w:history="1">
        <w:r w:rsidR="00DF2443" w:rsidRPr="00D251FE">
          <w:rPr>
            <w:rStyle w:val="Hyperlink"/>
            <w:noProof/>
          </w:rPr>
          <w:t>Figure 2.2.10</w:t>
        </w:r>
        <w:r w:rsidR="00DF2443" w:rsidRPr="00B04620">
          <w:rPr>
            <w:noProof/>
            <w:sz w:val="22"/>
          </w:rPr>
          <w:tab/>
        </w:r>
        <w:r w:rsidR="00DF2443" w:rsidRPr="00D251FE">
          <w:rPr>
            <w:rStyle w:val="Hyperlink"/>
            <w:noProof/>
          </w:rPr>
          <w:t xml:space="preserve">New Zealand’s LULUCF sector net emissions from </w:t>
        </w:r>
        <w:r w:rsidR="00DF2443" w:rsidRPr="00D251FE">
          <w:rPr>
            <w:rStyle w:val="Hyperlink"/>
            <w:bCs/>
            <w:noProof/>
          </w:rPr>
          <w:t>1990</w:t>
        </w:r>
        <w:r w:rsidR="00DF2443" w:rsidRPr="00D251FE">
          <w:rPr>
            <w:rStyle w:val="Hyperlink"/>
            <w:noProof/>
          </w:rPr>
          <w:t> to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_Toc99696010 \h </w:instrText>
        </w:r>
        <w:r w:rsidR="00DF2443">
          <w:rPr>
            <w:noProof/>
            <w:webHidden/>
          </w:rPr>
        </w:r>
        <w:r w:rsidR="00DF2443">
          <w:rPr>
            <w:noProof/>
            <w:webHidden/>
          </w:rPr>
          <w:fldChar w:fldCharType="separate"/>
        </w:r>
        <w:r w:rsidR="009D338D">
          <w:rPr>
            <w:noProof/>
            <w:webHidden/>
          </w:rPr>
          <w:t>57</w:t>
        </w:r>
        <w:r w:rsidR="00DF2443">
          <w:rPr>
            <w:noProof/>
            <w:webHidden/>
          </w:rPr>
          <w:fldChar w:fldCharType="end"/>
        </w:r>
      </w:hyperlink>
    </w:p>
    <w:p w14:paraId="70AF87D6" w14:textId="53180082" w:rsidR="00DF2443" w:rsidRPr="00B04620" w:rsidRDefault="004B48CC">
      <w:pPr>
        <w:pStyle w:val="TableofFigures"/>
        <w:rPr>
          <w:noProof/>
          <w:sz w:val="22"/>
        </w:rPr>
      </w:pPr>
      <w:hyperlink w:anchor="_Toc99696011" w:history="1">
        <w:r w:rsidR="00DF2443" w:rsidRPr="00D251FE">
          <w:rPr>
            <w:rStyle w:val="Hyperlink"/>
            <w:noProof/>
          </w:rPr>
          <w:t>Figure 2.2.11</w:t>
        </w:r>
        <w:r w:rsidR="00DF2443" w:rsidRPr="00B04620">
          <w:rPr>
            <w:noProof/>
            <w:sz w:val="22"/>
          </w:rPr>
          <w:tab/>
        </w:r>
        <w:r w:rsidR="00DF2443" w:rsidRPr="00D251FE">
          <w:rPr>
            <w:rStyle w:val="Hyperlink"/>
            <w:noProof/>
          </w:rPr>
          <w:t xml:space="preserve">New Zealand’s Waste sector emissions from </w:t>
        </w:r>
        <w:r w:rsidR="00DF2443" w:rsidRPr="00D251FE">
          <w:rPr>
            <w:rStyle w:val="Hyperlink"/>
            <w:bCs/>
            <w:noProof/>
          </w:rPr>
          <w:t>1990</w:t>
        </w:r>
        <w:r w:rsidR="00DF2443" w:rsidRPr="00D251FE">
          <w:rPr>
            <w:rStyle w:val="Hyperlink"/>
            <w:noProof/>
          </w:rPr>
          <w:t> to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_Toc99696011 \h </w:instrText>
        </w:r>
        <w:r w:rsidR="00DF2443">
          <w:rPr>
            <w:noProof/>
            <w:webHidden/>
          </w:rPr>
        </w:r>
        <w:r w:rsidR="00DF2443">
          <w:rPr>
            <w:noProof/>
            <w:webHidden/>
          </w:rPr>
          <w:fldChar w:fldCharType="separate"/>
        </w:r>
        <w:r w:rsidR="009D338D">
          <w:rPr>
            <w:noProof/>
            <w:webHidden/>
          </w:rPr>
          <w:t>58</w:t>
        </w:r>
        <w:r w:rsidR="00DF2443">
          <w:rPr>
            <w:noProof/>
            <w:webHidden/>
          </w:rPr>
          <w:fldChar w:fldCharType="end"/>
        </w:r>
      </w:hyperlink>
    </w:p>
    <w:p w14:paraId="18FB19CD" w14:textId="38C59907" w:rsidR="00DF2443" w:rsidRPr="00B04620" w:rsidRDefault="004B48CC">
      <w:pPr>
        <w:pStyle w:val="TableofFigures"/>
        <w:rPr>
          <w:noProof/>
          <w:sz w:val="22"/>
        </w:rPr>
      </w:pPr>
      <w:hyperlink w:anchor="_Toc99696012" w:history="1">
        <w:r w:rsidR="00DF2443" w:rsidRPr="00D251FE">
          <w:rPr>
            <w:rStyle w:val="Hyperlink"/>
            <w:noProof/>
          </w:rPr>
          <w:t>Figure 2.2.12</w:t>
        </w:r>
        <w:r w:rsidR="00DF2443" w:rsidRPr="00B04620">
          <w:rPr>
            <w:noProof/>
            <w:sz w:val="22"/>
          </w:rPr>
          <w:tab/>
        </w:r>
        <w:r w:rsidR="00DF2443" w:rsidRPr="00D251FE">
          <w:rPr>
            <w:rStyle w:val="Hyperlink"/>
            <w:noProof/>
          </w:rPr>
          <w:t xml:space="preserve">Emissions by sector for Tokelau from </w:t>
        </w:r>
        <w:r w:rsidR="00DF2443" w:rsidRPr="00D251FE">
          <w:rPr>
            <w:rStyle w:val="Hyperlink"/>
            <w:bCs/>
            <w:noProof/>
          </w:rPr>
          <w:t>1990</w:t>
        </w:r>
        <w:r w:rsidR="00DF2443" w:rsidRPr="00D251FE">
          <w:rPr>
            <w:rStyle w:val="Hyperlink"/>
            <w:noProof/>
          </w:rPr>
          <w:t> to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_Toc99696012 \h </w:instrText>
        </w:r>
        <w:r w:rsidR="00DF2443">
          <w:rPr>
            <w:noProof/>
            <w:webHidden/>
          </w:rPr>
        </w:r>
        <w:r w:rsidR="00DF2443">
          <w:rPr>
            <w:noProof/>
            <w:webHidden/>
          </w:rPr>
          <w:fldChar w:fldCharType="separate"/>
        </w:r>
        <w:r w:rsidR="009D338D">
          <w:rPr>
            <w:noProof/>
            <w:webHidden/>
          </w:rPr>
          <w:t>60</w:t>
        </w:r>
        <w:r w:rsidR="00DF2443">
          <w:rPr>
            <w:noProof/>
            <w:webHidden/>
          </w:rPr>
          <w:fldChar w:fldCharType="end"/>
        </w:r>
      </w:hyperlink>
    </w:p>
    <w:p w14:paraId="74198717" w14:textId="1C49460F" w:rsidR="00DF2443" w:rsidRPr="00B04620" w:rsidRDefault="004B48CC">
      <w:pPr>
        <w:pStyle w:val="TableofFigures"/>
        <w:rPr>
          <w:noProof/>
          <w:sz w:val="22"/>
        </w:rPr>
      </w:pPr>
      <w:hyperlink w:anchor="_Toc99696013" w:history="1">
        <w:r w:rsidR="00DF2443" w:rsidRPr="00D251FE">
          <w:rPr>
            <w:rStyle w:val="Hyperlink"/>
            <w:rFonts w:cs="Calibri"/>
            <w:noProof/>
          </w:rPr>
          <w:t>Figure 3.1.1</w:t>
        </w:r>
        <w:r w:rsidR="00DF2443" w:rsidRPr="00B04620">
          <w:rPr>
            <w:noProof/>
            <w:sz w:val="22"/>
          </w:rPr>
          <w:tab/>
        </w:r>
        <w:r w:rsidR="00DF2443" w:rsidRPr="00D251FE">
          <w:rPr>
            <w:rStyle w:val="Hyperlink"/>
            <w:rFonts w:cs="Calibri"/>
            <w:noProof/>
          </w:rPr>
          <w:t>New Zealand’s Energy sector emissions from 1990 to 2020</w:t>
        </w:r>
        <w:r w:rsidR="00DF2443">
          <w:rPr>
            <w:noProof/>
            <w:webHidden/>
          </w:rPr>
          <w:tab/>
        </w:r>
        <w:r w:rsidR="00DF2443">
          <w:rPr>
            <w:noProof/>
            <w:webHidden/>
          </w:rPr>
          <w:fldChar w:fldCharType="begin"/>
        </w:r>
        <w:r w:rsidR="00DF2443">
          <w:rPr>
            <w:noProof/>
            <w:webHidden/>
          </w:rPr>
          <w:instrText xml:space="preserve"> PAGEREF _Toc99696013 \h </w:instrText>
        </w:r>
        <w:r w:rsidR="00DF2443">
          <w:rPr>
            <w:noProof/>
            <w:webHidden/>
          </w:rPr>
        </w:r>
        <w:r w:rsidR="00DF2443">
          <w:rPr>
            <w:noProof/>
            <w:webHidden/>
          </w:rPr>
          <w:fldChar w:fldCharType="separate"/>
        </w:r>
        <w:r w:rsidR="009D338D">
          <w:rPr>
            <w:noProof/>
            <w:webHidden/>
          </w:rPr>
          <w:t>66</w:t>
        </w:r>
        <w:r w:rsidR="00DF2443">
          <w:rPr>
            <w:noProof/>
            <w:webHidden/>
          </w:rPr>
          <w:fldChar w:fldCharType="end"/>
        </w:r>
      </w:hyperlink>
    </w:p>
    <w:p w14:paraId="12607159" w14:textId="32A2F489" w:rsidR="00DF2443" w:rsidRPr="00B04620" w:rsidRDefault="004B48CC">
      <w:pPr>
        <w:pStyle w:val="TableofFigures"/>
        <w:rPr>
          <w:noProof/>
          <w:sz w:val="22"/>
        </w:rPr>
      </w:pPr>
      <w:hyperlink w:anchor="_Toc99696014" w:history="1">
        <w:r w:rsidR="00DF2443" w:rsidRPr="00D251FE">
          <w:rPr>
            <w:rStyle w:val="Hyperlink"/>
            <w:rFonts w:cs="Calibri"/>
            <w:noProof/>
          </w:rPr>
          <w:t>Figure 3.2.1</w:t>
        </w:r>
        <w:r w:rsidR="00DF2443" w:rsidRPr="00B04620">
          <w:rPr>
            <w:noProof/>
            <w:sz w:val="22"/>
          </w:rPr>
          <w:tab/>
        </w:r>
        <w:r w:rsidR="00DF2443" w:rsidRPr="00D251FE">
          <w:rPr>
            <w:rStyle w:val="Hyperlink"/>
            <w:rFonts w:cs="Calibri"/>
            <w:noProof/>
          </w:rPr>
          <w:t>Natural gas consumption by end use type from 1990 to 2020</w:t>
        </w:r>
        <w:r w:rsidR="00DF2443">
          <w:rPr>
            <w:noProof/>
            <w:webHidden/>
          </w:rPr>
          <w:tab/>
        </w:r>
        <w:r w:rsidR="00DF2443">
          <w:rPr>
            <w:noProof/>
            <w:webHidden/>
          </w:rPr>
          <w:fldChar w:fldCharType="begin"/>
        </w:r>
        <w:r w:rsidR="00DF2443">
          <w:rPr>
            <w:noProof/>
            <w:webHidden/>
          </w:rPr>
          <w:instrText xml:space="preserve"> PAGEREF _Toc99696014 \h </w:instrText>
        </w:r>
        <w:r w:rsidR="00DF2443">
          <w:rPr>
            <w:noProof/>
            <w:webHidden/>
          </w:rPr>
        </w:r>
        <w:r w:rsidR="00DF2443">
          <w:rPr>
            <w:noProof/>
            <w:webHidden/>
          </w:rPr>
          <w:fldChar w:fldCharType="separate"/>
        </w:r>
        <w:r w:rsidR="009D338D">
          <w:rPr>
            <w:noProof/>
            <w:webHidden/>
          </w:rPr>
          <w:t>70</w:t>
        </w:r>
        <w:r w:rsidR="00DF2443">
          <w:rPr>
            <w:noProof/>
            <w:webHidden/>
          </w:rPr>
          <w:fldChar w:fldCharType="end"/>
        </w:r>
      </w:hyperlink>
    </w:p>
    <w:p w14:paraId="18E91DB4" w14:textId="0330CC58" w:rsidR="00DF2443" w:rsidRPr="00B04620" w:rsidRDefault="004B48CC">
      <w:pPr>
        <w:pStyle w:val="TableofFigures"/>
        <w:rPr>
          <w:noProof/>
          <w:sz w:val="22"/>
        </w:rPr>
      </w:pPr>
      <w:hyperlink w:anchor="_Toc99696015" w:history="1">
        <w:r w:rsidR="00DF2443" w:rsidRPr="00D251FE">
          <w:rPr>
            <w:rStyle w:val="Hyperlink"/>
            <w:rFonts w:cs="Calibri"/>
            <w:noProof/>
          </w:rPr>
          <w:t>Figure 3.3.1</w:t>
        </w:r>
        <w:r w:rsidR="00DF2443" w:rsidRPr="00B04620">
          <w:rPr>
            <w:noProof/>
            <w:sz w:val="22"/>
          </w:rPr>
          <w:tab/>
        </w:r>
        <w:r w:rsidR="00DF2443" w:rsidRPr="00D251FE">
          <w:rPr>
            <w:rStyle w:val="Hyperlink"/>
            <w:rFonts w:cs="Calibri"/>
            <w:noProof/>
          </w:rPr>
          <w:t>Change in New Zealand’s emissions from the fuel combustion categories from 1990 to 2020</w:t>
        </w:r>
        <w:r w:rsidR="00DF2443">
          <w:rPr>
            <w:noProof/>
            <w:webHidden/>
          </w:rPr>
          <w:tab/>
        </w:r>
        <w:r w:rsidR="00DF2443">
          <w:rPr>
            <w:noProof/>
            <w:webHidden/>
          </w:rPr>
          <w:fldChar w:fldCharType="begin"/>
        </w:r>
        <w:r w:rsidR="00DF2443">
          <w:rPr>
            <w:noProof/>
            <w:webHidden/>
          </w:rPr>
          <w:instrText xml:space="preserve"> PAGEREF _Toc99696015 \h </w:instrText>
        </w:r>
        <w:r w:rsidR="00DF2443">
          <w:rPr>
            <w:noProof/>
            <w:webHidden/>
          </w:rPr>
        </w:r>
        <w:r w:rsidR="00DF2443">
          <w:rPr>
            <w:noProof/>
            <w:webHidden/>
          </w:rPr>
          <w:fldChar w:fldCharType="separate"/>
        </w:r>
        <w:r w:rsidR="009D338D">
          <w:rPr>
            <w:noProof/>
            <w:webHidden/>
          </w:rPr>
          <w:t>72</w:t>
        </w:r>
        <w:r w:rsidR="00DF2443">
          <w:rPr>
            <w:noProof/>
            <w:webHidden/>
          </w:rPr>
          <w:fldChar w:fldCharType="end"/>
        </w:r>
      </w:hyperlink>
    </w:p>
    <w:p w14:paraId="422548F9" w14:textId="075FE760" w:rsidR="00DF2443" w:rsidRPr="00B04620" w:rsidRDefault="004B48CC">
      <w:pPr>
        <w:pStyle w:val="TableofFigures"/>
        <w:rPr>
          <w:noProof/>
          <w:sz w:val="22"/>
        </w:rPr>
      </w:pPr>
      <w:hyperlink w:anchor="_Toc99696016" w:history="1">
        <w:r w:rsidR="00DF2443" w:rsidRPr="00D251FE">
          <w:rPr>
            <w:rStyle w:val="Hyperlink"/>
            <w:rFonts w:cs="Calibri"/>
            <w:noProof/>
          </w:rPr>
          <w:t xml:space="preserve">Figure 3.3.2 </w:t>
        </w:r>
        <w:r w:rsidR="00DF2443" w:rsidRPr="00B04620">
          <w:rPr>
            <w:noProof/>
            <w:sz w:val="22"/>
          </w:rPr>
          <w:tab/>
        </w:r>
        <w:r w:rsidR="00DF2443" w:rsidRPr="00D251FE">
          <w:rPr>
            <w:rStyle w:val="Hyperlink"/>
            <w:rFonts w:cs="Calibri"/>
            <w:noProof/>
          </w:rPr>
          <w:t>Energy sector quality control process map</w:t>
        </w:r>
        <w:r w:rsidR="00DF2443">
          <w:rPr>
            <w:noProof/>
            <w:webHidden/>
          </w:rPr>
          <w:tab/>
        </w:r>
        <w:r w:rsidR="00DF2443">
          <w:rPr>
            <w:noProof/>
            <w:webHidden/>
          </w:rPr>
          <w:fldChar w:fldCharType="begin"/>
        </w:r>
        <w:r w:rsidR="00DF2443">
          <w:rPr>
            <w:noProof/>
            <w:webHidden/>
          </w:rPr>
          <w:instrText xml:space="preserve"> PAGEREF _Toc99696016 \h </w:instrText>
        </w:r>
        <w:r w:rsidR="00DF2443">
          <w:rPr>
            <w:noProof/>
            <w:webHidden/>
          </w:rPr>
        </w:r>
        <w:r w:rsidR="00DF2443">
          <w:rPr>
            <w:noProof/>
            <w:webHidden/>
          </w:rPr>
          <w:fldChar w:fldCharType="separate"/>
        </w:r>
        <w:r w:rsidR="009D338D">
          <w:rPr>
            <w:noProof/>
            <w:webHidden/>
          </w:rPr>
          <w:t>78</w:t>
        </w:r>
        <w:r w:rsidR="00DF2443">
          <w:rPr>
            <w:noProof/>
            <w:webHidden/>
          </w:rPr>
          <w:fldChar w:fldCharType="end"/>
        </w:r>
      </w:hyperlink>
    </w:p>
    <w:p w14:paraId="2B6D5658" w14:textId="6BF52764" w:rsidR="00DF2443" w:rsidRPr="00B04620" w:rsidRDefault="004B48CC">
      <w:pPr>
        <w:pStyle w:val="TableofFigures"/>
        <w:rPr>
          <w:noProof/>
          <w:sz w:val="22"/>
        </w:rPr>
      </w:pPr>
      <w:hyperlink w:anchor="_Toc99696017" w:history="1">
        <w:r w:rsidR="00DF2443" w:rsidRPr="00D251FE">
          <w:rPr>
            <w:rStyle w:val="Hyperlink"/>
            <w:rFonts w:cs="Calibri"/>
            <w:noProof/>
          </w:rPr>
          <w:t xml:space="preserve">Figure 3.3.3 </w:t>
        </w:r>
        <w:r w:rsidR="00DF2443" w:rsidRPr="00B04620">
          <w:rPr>
            <w:noProof/>
            <w:sz w:val="22"/>
          </w:rPr>
          <w:tab/>
        </w:r>
        <w:r w:rsidR="00DF2443" w:rsidRPr="00D251FE">
          <w:rPr>
            <w:rStyle w:val="Hyperlink"/>
            <w:rFonts w:cs="Calibri"/>
            <w:noProof/>
          </w:rPr>
          <w:t>Carbon dioxide implied emission factor (IEF) – Liquid fuel combustion from 1990 to 2020</w:t>
        </w:r>
        <w:r w:rsidR="00DF2443">
          <w:rPr>
            <w:noProof/>
            <w:webHidden/>
          </w:rPr>
          <w:tab/>
        </w:r>
        <w:r w:rsidR="00DF2443">
          <w:rPr>
            <w:noProof/>
            <w:webHidden/>
          </w:rPr>
          <w:fldChar w:fldCharType="begin"/>
        </w:r>
        <w:r w:rsidR="00DF2443">
          <w:rPr>
            <w:noProof/>
            <w:webHidden/>
          </w:rPr>
          <w:instrText xml:space="preserve"> PAGEREF _Toc99696017 \h </w:instrText>
        </w:r>
        <w:r w:rsidR="00DF2443">
          <w:rPr>
            <w:noProof/>
            <w:webHidden/>
          </w:rPr>
        </w:r>
        <w:r w:rsidR="00DF2443">
          <w:rPr>
            <w:noProof/>
            <w:webHidden/>
          </w:rPr>
          <w:fldChar w:fldCharType="separate"/>
        </w:r>
        <w:r w:rsidR="009D338D">
          <w:rPr>
            <w:noProof/>
            <w:webHidden/>
          </w:rPr>
          <w:t>79</w:t>
        </w:r>
        <w:r w:rsidR="00DF2443">
          <w:rPr>
            <w:noProof/>
            <w:webHidden/>
          </w:rPr>
          <w:fldChar w:fldCharType="end"/>
        </w:r>
      </w:hyperlink>
    </w:p>
    <w:p w14:paraId="1C96384D" w14:textId="75F2767D" w:rsidR="00DF2443" w:rsidRPr="00B04620" w:rsidRDefault="004B48CC">
      <w:pPr>
        <w:pStyle w:val="TableofFigures"/>
        <w:rPr>
          <w:noProof/>
          <w:sz w:val="22"/>
        </w:rPr>
      </w:pPr>
      <w:hyperlink w:anchor="_Toc99696018" w:history="1">
        <w:r w:rsidR="00DF2443" w:rsidRPr="00D251FE">
          <w:rPr>
            <w:rStyle w:val="Hyperlink"/>
            <w:rFonts w:cs="Calibri"/>
            <w:noProof/>
          </w:rPr>
          <w:t xml:space="preserve">Figure 3.3.4 </w:t>
        </w:r>
        <w:r w:rsidR="00DF2443" w:rsidRPr="00B04620">
          <w:rPr>
            <w:noProof/>
            <w:sz w:val="22"/>
          </w:rPr>
          <w:tab/>
        </w:r>
        <w:r w:rsidR="00DF2443" w:rsidRPr="00D251FE">
          <w:rPr>
            <w:rStyle w:val="Hyperlink"/>
            <w:rFonts w:cs="Calibri"/>
            <w:noProof/>
          </w:rPr>
          <w:t>Carbon dioxide implied emission factor (IEF) – Solid fuel combustion from 1990 to 2020</w:t>
        </w:r>
        <w:r w:rsidR="00DF2443">
          <w:rPr>
            <w:noProof/>
            <w:webHidden/>
          </w:rPr>
          <w:tab/>
        </w:r>
        <w:r w:rsidR="00DF2443">
          <w:rPr>
            <w:noProof/>
            <w:webHidden/>
          </w:rPr>
          <w:fldChar w:fldCharType="begin"/>
        </w:r>
        <w:r w:rsidR="00DF2443">
          <w:rPr>
            <w:noProof/>
            <w:webHidden/>
          </w:rPr>
          <w:instrText xml:space="preserve"> PAGEREF _Toc99696018 \h </w:instrText>
        </w:r>
        <w:r w:rsidR="00DF2443">
          <w:rPr>
            <w:noProof/>
            <w:webHidden/>
          </w:rPr>
        </w:r>
        <w:r w:rsidR="00DF2443">
          <w:rPr>
            <w:noProof/>
            <w:webHidden/>
          </w:rPr>
          <w:fldChar w:fldCharType="separate"/>
        </w:r>
        <w:r w:rsidR="009D338D">
          <w:rPr>
            <w:noProof/>
            <w:webHidden/>
          </w:rPr>
          <w:t>79</w:t>
        </w:r>
        <w:r w:rsidR="00DF2443">
          <w:rPr>
            <w:noProof/>
            <w:webHidden/>
          </w:rPr>
          <w:fldChar w:fldCharType="end"/>
        </w:r>
      </w:hyperlink>
    </w:p>
    <w:p w14:paraId="49FA9CA4" w14:textId="4E943444" w:rsidR="00DF2443" w:rsidRPr="00B04620" w:rsidRDefault="004B48CC">
      <w:pPr>
        <w:pStyle w:val="TableofFigures"/>
        <w:rPr>
          <w:noProof/>
          <w:sz w:val="22"/>
        </w:rPr>
      </w:pPr>
      <w:hyperlink w:anchor="_Toc99696019" w:history="1">
        <w:r w:rsidR="00DF2443" w:rsidRPr="00D251FE">
          <w:rPr>
            <w:rStyle w:val="Hyperlink"/>
            <w:rFonts w:cs="Calibri"/>
            <w:noProof/>
          </w:rPr>
          <w:t>Figure 3.3.5</w:t>
        </w:r>
        <w:r w:rsidR="00DF2443" w:rsidRPr="00B04620">
          <w:rPr>
            <w:noProof/>
            <w:sz w:val="22"/>
          </w:rPr>
          <w:tab/>
        </w:r>
        <w:r w:rsidR="00DF2443" w:rsidRPr="00D251FE">
          <w:rPr>
            <w:rStyle w:val="Hyperlink"/>
            <w:rFonts w:cs="Calibri"/>
            <w:noProof/>
            <w:lang w:eastAsia="en-GB"/>
          </w:rPr>
          <w:t xml:space="preserve">Carbon dioxide implied emission factor </w:t>
        </w:r>
        <w:r w:rsidR="00DF2443" w:rsidRPr="00D251FE">
          <w:rPr>
            <w:rStyle w:val="Hyperlink"/>
            <w:rFonts w:cs="Calibri"/>
            <w:noProof/>
          </w:rPr>
          <w:t>(IEF)</w:t>
        </w:r>
        <w:r w:rsidR="00DF2443" w:rsidRPr="00D251FE">
          <w:rPr>
            <w:rStyle w:val="Hyperlink"/>
            <w:rFonts w:cs="Calibri"/>
            <w:noProof/>
            <w:lang w:eastAsia="en-GB"/>
          </w:rPr>
          <w:t xml:space="preserve"> – Gaseous fuel combustion </w:t>
        </w:r>
        <w:r w:rsidR="00DF2443" w:rsidRPr="00D251FE">
          <w:rPr>
            <w:rStyle w:val="Hyperlink"/>
            <w:rFonts w:cs="Calibri"/>
            <w:noProof/>
          </w:rPr>
          <w:t>from 1990 to 2020</w:t>
        </w:r>
        <w:r w:rsidR="00DF2443">
          <w:rPr>
            <w:noProof/>
            <w:webHidden/>
          </w:rPr>
          <w:tab/>
        </w:r>
        <w:r w:rsidR="00DF2443">
          <w:rPr>
            <w:noProof/>
            <w:webHidden/>
          </w:rPr>
          <w:fldChar w:fldCharType="begin"/>
        </w:r>
        <w:r w:rsidR="00DF2443">
          <w:rPr>
            <w:noProof/>
            <w:webHidden/>
          </w:rPr>
          <w:instrText xml:space="preserve"> PAGEREF _Toc99696019 \h </w:instrText>
        </w:r>
        <w:r w:rsidR="00DF2443">
          <w:rPr>
            <w:noProof/>
            <w:webHidden/>
          </w:rPr>
        </w:r>
        <w:r w:rsidR="00DF2443">
          <w:rPr>
            <w:noProof/>
            <w:webHidden/>
          </w:rPr>
          <w:fldChar w:fldCharType="separate"/>
        </w:r>
        <w:r w:rsidR="009D338D">
          <w:rPr>
            <w:noProof/>
            <w:webHidden/>
          </w:rPr>
          <w:t>80</w:t>
        </w:r>
        <w:r w:rsidR="00DF2443">
          <w:rPr>
            <w:noProof/>
            <w:webHidden/>
          </w:rPr>
          <w:fldChar w:fldCharType="end"/>
        </w:r>
      </w:hyperlink>
    </w:p>
    <w:p w14:paraId="2E582209" w14:textId="48388B19" w:rsidR="00DF2443" w:rsidRPr="00B04620" w:rsidRDefault="004B48CC">
      <w:pPr>
        <w:pStyle w:val="TableofFigures"/>
        <w:rPr>
          <w:noProof/>
          <w:sz w:val="22"/>
        </w:rPr>
      </w:pPr>
      <w:hyperlink w:anchor="_Toc99696020" w:history="1">
        <w:r w:rsidR="00DF2443" w:rsidRPr="00D251FE">
          <w:rPr>
            <w:rStyle w:val="Hyperlink"/>
            <w:rFonts w:cs="Calibri"/>
            <w:noProof/>
          </w:rPr>
          <w:t>Figure 3.3.6</w:t>
        </w:r>
        <w:r w:rsidR="00DF2443" w:rsidRPr="00B04620">
          <w:rPr>
            <w:noProof/>
            <w:sz w:val="22"/>
          </w:rPr>
          <w:tab/>
        </w:r>
        <w:r w:rsidR="00DF2443" w:rsidRPr="00D251FE">
          <w:rPr>
            <w:rStyle w:val="Hyperlink"/>
            <w:rFonts w:cs="Calibri"/>
            <w:noProof/>
            <w:lang w:eastAsia="en-GB"/>
          </w:rPr>
          <w:t xml:space="preserve">New Zealand’s </w:t>
        </w:r>
        <w:r w:rsidR="00DF2443" w:rsidRPr="00D251FE">
          <w:rPr>
            <w:rStyle w:val="Hyperlink"/>
            <w:rFonts w:cs="Calibri"/>
            <w:noProof/>
          </w:rPr>
          <w:t>electricity</w:t>
        </w:r>
        <w:r w:rsidR="00DF2443" w:rsidRPr="00D251FE">
          <w:rPr>
            <w:rStyle w:val="Hyperlink"/>
            <w:rFonts w:cs="Calibri"/>
            <w:noProof/>
            <w:lang w:eastAsia="en-GB"/>
          </w:rPr>
          <w:t xml:space="preserve"> generation by source from 1990 to 2020</w:t>
        </w:r>
        <w:r w:rsidR="00DF2443">
          <w:rPr>
            <w:noProof/>
            <w:webHidden/>
          </w:rPr>
          <w:tab/>
        </w:r>
        <w:r w:rsidR="00DF2443">
          <w:rPr>
            <w:noProof/>
            <w:webHidden/>
          </w:rPr>
          <w:fldChar w:fldCharType="begin"/>
        </w:r>
        <w:r w:rsidR="00DF2443">
          <w:rPr>
            <w:noProof/>
            <w:webHidden/>
          </w:rPr>
          <w:instrText xml:space="preserve"> PAGEREF _Toc99696020 \h </w:instrText>
        </w:r>
        <w:r w:rsidR="00DF2443">
          <w:rPr>
            <w:noProof/>
            <w:webHidden/>
          </w:rPr>
        </w:r>
        <w:r w:rsidR="00DF2443">
          <w:rPr>
            <w:noProof/>
            <w:webHidden/>
          </w:rPr>
          <w:fldChar w:fldCharType="separate"/>
        </w:r>
        <w:r w:rsidR="009D338D">
          <w:rPr>
            <w:noProof/>
            <w:webHidden/>
          </w:rPr>
          <w:t>82</w:t>
        </w:r>
        <w:r w:rsidR="00DF2443">
          <w:rPr>
            <w:noProof/>
            <w:webHidden/>
          </w:rPr>
          <w:fldChar w:fldCharType="end"/>
        </w:r>
      </w:hyperlink>
    </w:p>
    <w:p w14:paraId="061E80AD" w14:textId="0DB1D715" w:rsidR="00DF2443" w:rsidRPr="00B04620" w:rsidRDefault="004B48CC">
      <w:pPr>
        <w:pStyle w:val="TableofFigures"/>
        <w:rPr>
          <w:noProof/>
          <w:sz w:val="22"/>
        </w:rPr>
      </w:pPr>
      <w:hyperlink w:anchor="_Toc99696021" w:history="1">
        <w:r w:rsidR="00DF2443" w:rsidRPr="00D251FE">
          <w:rPr>
            <w:rStyle w:val="Hyperlink"/>
            <w:rFonts w:cs="Calibri"/>
            <w:noProof/>
          </w:rPr>
          <w:t>Figure 3.3.7</w:t>
        </w:r>
        <w:r w:rsidR="00DF2443" w:rsidRPr="00B04620">
          <w:rPr>
            <w:noProof/>
            <w:sz w:val="22"/>
          </w:rPr>
          <w:tab/>
        </w:r>
        <w:r w:rsidR="00DF2443" w:rsidRPr="00D251FE">
          <w:rPr>
            <w:rStyle w:val="Hyperlink"/>
            <w:rFonts w:cs="Calibri"/>
            <w:noProof/>
            <w:lang w:eastAsia="en-GB"/>
          </w:rPr>
          <w:t>Decision tree to identify a main activity electricity generator or an autoproducer</w:t>
        </w:r>
        <w:r w:rsidR="00DF2443">
          <w:rPr>
            <w:noProof/>
            <w:webHidden/>
          </w:rPr>
          <w:tab/>
        </w:r>
        <w:r w:rsidR="00DF2443">
          <w:rPr>
            <w:noProof/>
            <w:webHidden/>
          </w:rPr>
          <w:fldChar w:fldCharType="begin"/>
        </w:r>
        <w:r w:rsidR="00DF2443">
          <w:rPr>
            <w:noProof/>
            <w:webHidden/>
          </w:rPr>
          <w:instrText xml:space="preserve"> PAGEREF _Toc99696021 \h </w:instrText>
        </w:r>
        <w:r w:rsidR="00DF2443">
          <w:rPr>
            <w:noProof/>
            <w:webHidden/>
          </w:rPr>
        </w:r>
        <w:r w:rsidR="00DF2443">
          <w:rPr>
            <w:noProof/>
            <w:webHidden/>
          </w:rPr>
          <w:fldChar w:fldCharType="separate"/>
        </w:r>
        <w:r w:rsidR="009D338D">
          <w:rPr>
            <w:noProof/>
            <w:webHidden/>
          </w:rPr>
          <w:t>83</w:t>
        </w:r>
        <w:r w:rsidR="00DF2443">
          <w:rPr>
            <w:noProof/>
            <w:webHidden/>
          </w:rPr>
          <w:fldChar w:fldCharType="end"/>
        </w:r>
      </w:hyperlink>
    </w:p>
    <w:p w14:paraId="5B3B124F" w14:textId="425C5F57" w:rsidR="00DF2443" w:rsidRPr="00B04620" w:rsidRDefault="004B48CC">
      <w:pPr>
        <w:pStyle w:val="TableofFigures"/>
        <w:rPr>
          <w:noProof/>
          <w:sz w:val="22"/>
        </w:rPr>
      </w:pPr>
      <w:hyperlink w:anchor="_Toc99696022" w:history="1">
        <w:r w:rsidR="00DF2443" w:rsidRPr="00D251FE">
          <w:rPr>
            <w:rStyle w:val="Hyperlink"/>
            <w:noProof/>
          </w:rPr>
          <w:t xml:space="preserve">Figure 3.3.8 </w:t>
        </w:r>
        <w:r w:rsidR="00DF2443" w:rsidRPr="00B04620">
          <w:rPr>
            <w:noProof/>
            <w:sz w:val="22"/>
          </w:rPr>
          <w:tab/>
        </w:r>
        <w:r w:rsidR="00DF2443" w:rsidRPr="00D251FE">
          <w:rPr>
            <w:rStyle w:val="Hyperlink"/>
            <w:noProof/>
          </w:rPr>
          <w:t xml:space="preserve">Proportions used for </w:t>
        </w:r>
        <w:r w:rsidR="00DF2443" w:rsidRPr="00D251FE">
          <w:rPr>
            <w:rStyle w:val="Hyperlink"/>
            <w:i/>
            <w:iCs/>
            <w:noProof/>
          </w:rPr>
          <w:t>Manufacturing industries and construction</w:t>
        </w:r>
        <w:r w:rsidR="00DF2443" w:rsidRPr="00D251FE">
          <w:rPr>
            <w:rStyle w:val="Hyperlink"/>
            <w:noProof/>
          </w:rPr>
          <w:t xml:space="preserve"> category </w:t>
        </w:r>
        <w:r w:rsidR="009B0041">
          <w:rPr>
            <w:rStyle w:val="Hyperlink"/>
            <w:noProof/>
          </w:rPr>
          <w:br/>
        </w:r>
        <w:r w:rsidR="00DF2443" w:rsidRPr="00D251FE">
          <w:rPr>
            <w:rStyle w:val="Hyperlink"/>
            <w:noProof/>
          </w:rPr>
          <w:t>–</w:t>
        </w:r>
        <w:r w:rsidR="009B0041">
          <w:rPr>
            <w:rStyle w:val="Hyperlink"/>
            <w:noProof/>
          </w:rPr>
          <w:t xml:space="preserve"> </w:t>
        </w:r>
        <w:r w:rsidR="00DF2443" w:rsidRPr="00D251FE">
          <w:rPr>
            <w:rStyle w:val="Hyperlink"/>
            <w:noProof/>
          </w:rPr>
          <w:t>Gasoline from 1990 to 2020</w:t>
        </w:r>
        <w:r w:rsidR="00DF2443">
          <w:rPr>
            <w:noProof/>
            <w:webHidden/>
          </w:rPr>
          <w:tab/>
        </w:r>
        <w:r w:rsidR="00DF2443">
          <w:rPr>
            <w:noProof/>
            <w:webHidden/>
          </w:rPr>
          <w:fldChar w:fldCharType="begin"/>
        </w:r>
        <w:r w:rsidR="00DF2443">
          <w:rPr>
            <w:noProof/>
            <w:webHidden/>
          </w:rPr>
          <w:instrText xml:space="preserve"> PAGEREF _Toc99696022 \h </w:instrText>
        </w:r>
        <w:r w:rsidR="00DF2443">
          <w:rPr>
            <w:noProof/>
            <w:webHidden/>
          </w:rPr>
        </w:r>
        <w:r w:rsidR="00DF2443">
          <w:rPr>
            <w:noProof/>
            <w:webHidden/>
          </w:rPr>
          <w:fldChar w:fldCharType="separate"/>
        </w:r>
        <w:r w:rsidR="009D338D">
          <w:rPr>
            <w:noProof/>
            <w:webHidden/>
          </w:rPr>
          <w:t>88</w:t>
        </w:r>
        <w:r w:rsidR="00DF2443">
          <w:rPr>
            <w:noProof/>
            <w:webHidden/>
          </w:rPr>
          <w:fldChar w:fldCharType="end"/>
        </w:r>
      </w:hyperlink>
    </w:p>
    <w:p w14:paraId="043A5A03" w14:textId="76C48D65" w:rsidR="00DF2443" w:rsidRPr="00B04620" w:rsidRDefault="004B48CC">
      <w:pPr>
        <w:pStyle w:val="TableofFigures"/>
        <w:rPr>
          <w:noProof/>
          <w:sz w:val="22"/>
        </w:rPr>
      </w:pPr>
      <w:hyperlink w:anchor="_Toc99696023" w:history="1">
        <w:r w:rsidR="00DF2443" w:rsidRPr="00D251FE">
          <w:rPr>
            <w:rStyle w:val="Hyperlink"/>
            <w:noProof/>
          </w:rPr>
          <w:t xml:space="preserve">Figure 3.3.9 </w:t>
        </w:r>
        <w:r w:rsidR="00DF2443" w:rsidRPr="00B04620">
          <w:rPr>
            <w:noProof/>
            <w:sz w:val="22"/>
          </w:rPr>
          <w:tab/>
        </w:r>
        <w:r w:rsidR="00DF2443" w:rsidRPr="00D251FE">
          <w:rPr>
            <w:rStyle w:val="Hyperlink"/>
            <w:noProof/>
          </w:rPr>
          <w:t xml:space="preserve">Proportions used for </w:t>
        </w:r>
        <w:r w:rsidR="00DF2443" w:rsidRPr="00D251FE">
          <w:rPr>
            <w:rStyle w:val="Hyperlink"/>
            <w:i/>
            <w:iCs/>
            <w:noProof/>
          </w:rPr>
          <w:t>Manufacturing industries and construction</w:t>
        </w:r>
        <w:r w:rsidR="00DF2443" w:rsidRPr="00D251FE">
          <w:rPr>
            <w:rStyle w:val="Hyperlink"/>
            <w:noProof/>
          </w:rPr>
          <w:t xml:space="preserve"> category </w:t>
        </w:r>
        <w:r w:rsidR="009B0041">
          <w:rPr>
            <w:rStyle w:val="Hyperlink"/>
            <w:noProof/>
          </w:rPr>
          <w:br/>
        </w:r>
        <w:r w:rsidR="00DF2443" w:rsidRPr="00D251FE">
          <w:rPr>
            <w:rStyle w:val="Hyperlink"/>
            <w:noProof/>
          </w:rPr>
          <w:t>–</w:t>
        </w:r>
        <w:r w:rsidR="009B0041">
          <w:rPr>
            <w:rStyle w:val="Hyperlink"/>
            <w:noProof/>
          </w:rPr>
          <w:t xml:space="preserve"> </w:t>
        </w:r>
        <w:r w:rsidR="00DF2443" w:rsidRPr="00D251FE">
          <w:rPr>
            <w:rStyle w:val="Hyperlink"/>
            <w:noProof/>
          </w:rPr>
          <w:t>Diesel from 1990 to 2020</w:t>
        </w:r>
        <w:r w:rsidR="00DF2443">
          <w:rPr>
            <w:noProof/>
            <w:webHidden/>
          </w:rPr>
          <w:tab/>
        </w:r>
        <w:r w:rsidR="00DF2443">
          <w:rPr>
            <w:noProof/>
            <w:webHidden/>
          </w:rPr>
          <w:fldChar w:fldCharType="begin"/>
        </w:r>
        <w:r w:rsidR="00DF2443">
          <w:rPr>
            <w:noProof/>
            <w:webHidden/>
          </w:rPr>
          <w:instrText xml:space="preserve"> PAGEREF _Toc99696023 \h </w:instrText>
        </w:r>
        <w:r w:rsidR="00DF2443">
          <w:rPr>
            <w:noProof/>
            <w:webHidden/>
          </w:rPr>
        </w:r>
        <w:r w:rsidR="00DF2443">
          <w:rPr>
            <w:noProof/>
            <w:webHidden/>
          </w:rPr>
          <w:fldChar w:fldCharType="separate"/>
        </w:r>
        <w:r w:rsidR="009D338D">
          <w:rPr>
            <w:noProof/>
            <w:webHidden/>
          </w:rPr>
          <w:t>88</w:t>
        </w:r>
        <w:r w:rsidR="00DF2443">
          <w:rPr>
            <w:noProof/>
            <w:webHidden/>
          </w:rPr>
          <w:fldChar w:fldCharType="end"/>
        </w:r>
      </w:hyperlink>
    </w:p>
    <w:p w14:paraId="4D9BDB7D" w14:textId="31F32586" w:rsidR="00DF2443" w:rsidRPr="00B04620" w:rsidRDefault="004B48CC">
      <w:pPr>
        <w:pStyle w:val="TableofFigures"/>
        <w:rPr>
          <w:noProof/>
          <w:sz w:val="22"/>
        </w:rPr>
      </w:pPr>
      <w:hyperlink w:anchor="_Toc99696024" w:history="1">
        <w:r w:rsidR="00DF2443" w:rsidRPr="00D251FE">
          <w:rPr>
            <w:rStyle w:val="Hyperlink"/>
            <w:noProof/>
          </w:rPr>
          <w:t xml:space="preserve">Figure 3.3.10 </w:t>
        </w:r>
        <w:r w:rsidR="00DF2443" w:rsidRPr="00B04620">
          <w:rPr>
            <w:noProof/>
            <w:sz w:val="22"/>
          </w:rPr>
          <w:tab/>
        </w:r>
        <w:r w:rsidR="00DF2443" w:rsidRPr="00D251FE">
          <w:rPr>
            <w:rStyle w:val="Hyperlink"/>
            <w:noProof/>
          </w:rPr>
          <w:t xml:space="preserve">Proportions used for </w:t>
        </w:r>
        <w:r w:rsidR="00DF2443" w:rsidRPr="00D251FE">
          <w:rPr>
            <w:rStyle w:val="Hyperlink"/>
            <w:i/>
            <w:iCs/>
            <w:noProof/>
          </w:rPr>
          <w:t>Manufacturing industries and construction</w:t>
        </w:r>
        <w:r w:rsidR="00DF2443" w:rsidRPr="00D251FE">
          <w:rPr>
            <w:rStyle w:val="Hyperlink"/>
            <w:noProof/>
          </w:rPr>
          <w:t xml:space="preserve"> category </w:t>
        </w:r>
        <w:r w:rsidR="009B0041">
          <w:rPr>
            <w:rStyle w:val="Hyperlink"/>
            <w:noProof/>
          </w:rPr>
          <w:br/>
        </w:r>
        <w:r w:rsidR="00DF2443" w:rsidRPr="00D251FE">
          <w:rPr>
            <w:rStyle w:val="Hyperlink"/>
            <w:noProof/>
          </w:rPr>
          <w:t>–</w:t>
        </w:r>
        <w:r w:rsidR="009B0041">
          <w:rPr>
            <w:rStyle w:val="Hyperlink"/>
            <w:noProof/>
          </w:rPr>
          <w:t xml:space="preserve"> </w:t>
        </w:r>
        <w:r w:rsidR="00DF2443" w:rsidRPr="00D251FE">
          <w:rPr>
            <w:rStyle w:val="Hyperlink"/>
            <w:noProof/>
          </w:rPr>
          <w:t>Fuel oil from 1990 to 2020</w:t>
        </w:r>
        <w:r w:rsidR="00DF2443">
          <w:rPr>
            <w:noProof/>
            <w:webHidden/>
          </w:rPr>
          <w:tab/>
        </w:r>
        <w:r w:rsidR="00DF2443">
          <w:rPr>
            <w:noProof/>
            <w:webHidden/>
          </w:rPr>
          <w:fldChar w:fldCharType="begin"/>
        </w:r>
        <w:r w:rsidR="00DF2443">
          <w:rPr>
            <w:noProof/>
            <w:webHidden/>
          </w:rPr>
          <w:instrText xml:space="preserve"> PAGEREF _Toc99696024 \h </w:instrText>
        </w:r>
        <w:r w:rsidR="00DF2443">
          <w:rPr>
            <w:noProof/>
            <w:webHidden/>
          </w:rPr>
        </w:r>
        <w:r w:rsidR="00DF2443">
          <w:rPr>
            <w:noProof/>
            <w:webHidden/>
          </w:rPr>
          <w:fldChar w:fldCharType="separate"/>
        </w:r>
        <w:r w:rsidR="009D338D">
          <w:rPr>
            <w:noProof/>
            <w:webHidden/>
          </w:rPr>
          <w:t>88</w:t>
        </w:r>
        <w:r w:rsidR="00DF2443">
          <w:rPr>
            <w:noProof/>
            <w:webHidden/>
          </w:rPr>
          <w:fldChar w:fldCharType="end"/>
        </w:r>
      </w:hyperlink>
    </w:p>
    <w:p w14:paraId="6F401F4D" w14:textId="2DD54C4D" w:rsidR="00DF2443" w:rsidRPr="00B04620" w:rsidRDefault="004B48CC">
      <w:pPr>
        <w:pStyle w:val="TableofFigures"/>
        <w:rPr>
          <w:noProof/>
          <w:sz w:val="22"/>
        </w:rPr>
      </w:pPr>
      <w:hyperlink w:anchor="_Toc99696025" w:history="1">
        <w:r w:rsidR="00DF2443" w:rsidRPr="00D251FE">
          <w:rPr>
            <w:rStyle w:val="Hyperlink"/>
            <w:rFonts w:cs="Calibri"/>
            <w:noProof/>
          </w:rPr>
          <w:t>Figure 3.3.11</w:t>
        </w:r>
        <w:r w:rsidR="00DF2443" w:rsidRPr="00D251FE">
          <w:rPr>
            <w:rStyle w:val="Hyperlink"/>
            <w:rFonts w:cs="Calibri"/>
            <w:noProof/>
            <w:lang w:eastAsia="en-GB"/>
          </w:rPr>
          <w:t xml:space="preserve"> </w:t>
        </w:r>
        <w:r w:rsidR="00DF2443" w:rsidRPr="00B04620">
          <w:rPr>
            <w:noProof/>
            <w:sz w:val="22"/>
          </w:rPr>
          <w:tab/>
        </w:r>
        <w:r w:rsidR="00DF2443" w:rsidRPr="00D251FE">
          <w:rPr>
            <w:rStyle w:val="Hyperlink"/>
            <w:rFonts w:cs="Calibri"/>
            <w:noProof/>
            <w:lang w:eastAsia="en-GB"/>
          </w:rPr>
          <w:t>Splicing method decision tree for gasoline emissions</w:t>
        </w:r>
        <w:r w:rsidR="00DF2443">
          <w:rPr>
            <w:noProof/>
            <w:webHidden/>
          </w:rPr>
          <w:tab/>
        </w:r>
        <w:r w:rsidR="00DF2443">
          <w:rPr>
            <w:noProof/>
            <w:webHidden/>
          </w:rPr>
          <w:fldChar w:fldCharType="begin"/>
        </w:r>
        <w:r w:rsidR="00DF2443">
          <w:rPr>
            <w:noProof/>
            <w:webHidden/>
          </w:rPr>
          <w:instrText xml:space="preserve"> PAGEREF _Toc99696025 \h </w:instrText>
        </w:r>
        <w:r w:rsidR="00DF2443">
          <w:rPr>
            <w:noProof/>
            <w:webHidden/>
          </w:rPr>
        </w:r>
        <w:r w:rsidR="00DF2443">
          <w:rPr>
            <w:noProof/>
            <w:webHidden/>
          </w:rPr>
          <w:fldChar w:fldCharType="separate"/>
        </w:r>
        <w:r w:rsidR="009D338D">
          <w:rPr>
            <w:noProof/>
            <w:webHidden/>
          </w:rPr>
          <w:t>93</w:t>
        </w:r>
        <w:r w:rsidR="00DF2443">
          <w:rPr>
            <w:noProof/>
            <w:webHidden/>
          </w:rPr>
          <w:fldChar w:fldCharType="end"/>
        </w:r>
      </w:hyperlink>
    </w:p>
    <w:p w14:paraId="09FDC576" w14:textId="39B67299" w:rsidR="00DF2443" w:rsidRPr="00B04620" w:rsidRDefault="004B48CC">
      <w:pPr>
        <w:pStyle w:val="TableofFigures"/>
        <w:rPr>
          <w:noProof/>
          <w:sz w:val="22"/>
        </w:rPr>
      </w:pPr>
      <w:hyperlink w:anchor="_Toc99696026" w:history="1">
        <w:r w:rsidR="00DF2443" w:rsidRPr="00D251FE">
          <w:rPr>
            <w:rStyle w:val="Hyperlink"/>
            <w:rFonts w:cs="Calibri"/>
            <w:noProof/>
          </w:rPr>
          <w:t xml:space="preserve">Figure 3.4.1 </w:t>
        </w:r>
        <w:r w:rsidR="00DF2443" w:rsidRPr="00B04620">
          <w:rPr>
            <w:noProof/>
            <w:sz w:val="22"/>
          </w:rPr>
          <w:tab/>
        </w:r>
        <w:r w:rsidR="00DF2443" w:rsidRPr="00D251FE">
          <w:rPr>
            <w:rStyle w:val="Hyperlink"/>
            <w:rFonts w:cs="Calibri"/>
            <w:noProof/>
          </w:rPr>
          <w:t xml:space="preserve">Schematic diagram of the use of geothermal fluid for electricity generation </w:t>
        </w:r>
        <w:r w:rsidR="00E511CB">
          <w:rPr>
            <w:rStyle w:val="Hyperlink"/>
            <w:rFonts w:cs="Calibri"/>
            <w:noProof/>
          </w:rPr>
          <w:br/>
        </w:r>
        <w:r w:rsidR="00DF2443" w:rsidRPr="00D251FE">
          <w:rPr>
            <w:rStyle w:val="Hyperlink"/>
            <w:rFonts w:cs="Calibri"/>
            <w:noProof/>
          </w:rPr>
          <w:t>– as at Wairakei and Ohaaki geothermal stations (New Zealand Institute of Chemistry, 1998)</w:t>
        </w:r>
        <w:r w:rsidR="00DF2443">
          <w:rPr>
            <w:noProof/>
            <w:webHidden/>
          </w:rPr>
          <w:tab/>
        </w:r>
        <w:r w:rsidR="00DF2443">
          <w:rPr>
            <w:noProof/>
            <w:webHidden/>
          </w:rPr>
          <w:fldChar w:fldCharType="begin"/>
        </w:r>
        <w:r w:rsidR="00DF2443">
          <w:rPr>
            <w:noProof/>
            <w:webHidden/>
          </w:rPr>
          <w:instrText xml:space="preserve"> PAGEREF _Toc99696026 \h </w:instrText>
        </w:r>
        <w:r w:rsidR="00DF2443">
          <w:rPr>
            <w:noProof/>
            <w:webHidden/>
          </w:rPr>
        </w:r>
        <w:r w:rsidR="00DF2443">
          <w:rPr>
            <w:noProof/>
            <w:webHidden/>
          </w:rPr>
          <w:fldChar w:fldCharType="separate"/>
        </w:r>
        <w:r w:rsidR="009D338D">
          <w:rPr>
            <w:noProof/>
            <w:webHidden/>
          </w:rPr>
          <w:t>108</w:t>
        </w:r>
        <w:r w:rsidR="00DF2443">
          <w:rPr>
            <w:noProof/>
            <w:webHidden/>
          </w:rPr>
          <w:fldChar w:fldCharType="end"/>
        </w:r>
      </w:hyperlink>
    </w:p>
    <w:p w14:paraId="678CF657" w14:textId="58743DDE" w:rsidR="00DF2443" w:rsidRPr="00B04620" w:rsidRDefault="004B48CC">
      <w:pPr>
        <w:pStyle w:val="TableofFigures"/>
        <w:rPr>
          <w:noProof/>
          <w:sz w:val="22"/>
        </w:rPr>
      </w:pPr>
      <w:hyperlink w:anchor="_Toc99696027" w:history="1">
        <w:r w:rsidR="00DF2443" w:rsidRPr="00D251FE">
          <w:rPr>
            <w:rStyle w:val="Hyperlink"/>
            <w:noProof/>
          </w:rPr>
          <w:t>Figure 4.1.1</w:t>
        </w:r>
        <w:r w:rsidR="00DF2443" w:rsidRPr="00B04620">
          <w:rPr>
            <w:noProof/>
            <w:sz w:val="22"/>
          </w:rPr>
          <w:tab/>
        </w:r>
        <w:r w:rsidR="00DF2443" w:rsidRPr="00D251FE">
          <w:rPr>
            <w:rStyle w:val="Hyperlink"/>
            <w:noProof/>
          </w:rPr>
          <w:t>New Zealand’s annual emissions from the IPPU sector from 1990 to 2020</w:t>
        </w:r>
        <w:r w:rsidR="00DF2443">
          <w:rPr>
            <w:noProof/>
            <w:webHidden/>
          </w:rPr>
          <w:tab/>
        </w:r>
        <w:r w:rsidR="00DF2443">
          <w:rPr>
            <w:noProof/>
            <w:webHidden/>
          </w:rPr>
          <w:fldChar w:fldCharType="begin"/>
        </w:r>
        <w:r w:rsidR="00DF2443">
          <w:rPr>
            <w:noProof/>
            <w:webHidden/>
          </w:rPr>
          <w:instrText xml:space="preserve"> PAGEREF _Toc99696027 \h </w:instrText>
        </w:r>
        <w:r w:rsidR="00DF2443">
          <w:rPr>
            <w:noProof/>
            <w:webHidden/>
          </w:rPr>
        </w:r>
        <w:r w:rsidR="00DF2443">
          <w:rPr>
            <w:noProof/>
            <w:webHidden/>
          </w:rPr>
          <w:fldChar w:fldCharType="separate"/>
        </w:r>
        <w:r w:rsidR="009D338D">
          <w:rPr>
            <w:noProof/>
            <w:webHidden/>
          </w:rPr>
          <w:t>116</w:t>
        </w:r>
        <w:r w:rsidR="00DF2443">
          <w:rPr>
            <w:noProof/>
            <w:webHidden/>
          </w:rPr>
          <w:fldChar w:fldCharType="end"/>
        </w:r>
      </w:hyperlink>
    </w:p>
    <w:p w14:paraId="25D34378" w14:textId="1E786BDB" w:rsidR="00DF2443" w:rsidRPr="00B04620" w:rsidRDefault="004B48CC">
      <w:pPr>
        <w:pStyle w:val="TableofFigures"/>
        <w:rPr>
          <w:noProof/>
          <w:sz w:val="22"/>
        </w:rPr>
      </w:pPr>
      <w:hyperlink w:anchor="_Toc99696028" w:history="1">
        <w:r w:rsidR="00DF2443" w:rsidRPr="00D251FE">
          <w:rPr>
            <w:rStyle w:val="Hyperlink"/>
            <w:noProof/>
          </w:rPr>
          <w:t>Figure 4.1.2</w:t>
        </w:r>
        <w:r w:rsidR="00DF2443" w:rsidRPr="00B04620">
          <w:rPr>
            <w:noProof/>
            <w:sz w:val="22"/>
          </w:rPr>
          <w:tab/>
        </w:r>
        <w:r w:rsidR="00DF2443" w:rsidRPr="00D251FE">
          <w:rPr>
            <w:rStyle w:val="Hyperlink"/>
            <w:noProof/>
          </w:rPr>
          <w:t>Change in New Zealand’s emissions from the IPPU sector from 1990 to 2020</w:t>
        </w:r>
        <w:r w:rsidR="00DF2443">
          <w:rPr>
            <w:noProof/>
            <w:webHidden/>
          </w:rPr>
          <w:tab/>
        </w:r>
        <w:r w:rsidR="00DF2443">
          <w:rPr>
            <w:noProof/>
            <w:webHidden/>
          </w:rPr>
          <w:fldChar w:fldCharType="begin"/>
        </w:r>
        <w:r w:rsidR="00DF2443">
          <w:rPr>
            <w:noProof/>
            <w:webHidden/>
          </w:rPr>
          <w:instrText xml:space="preserve"> PAGEREF _Toc99696028 \h </w:instrText>
        </w:r>
        <w:r w:rsidR="00DF2443">
          <w:rPr>
            <w:noProof/>
            <w:webHidden/>
          </w:rPr>
        </w:r>
        <w:r w:rsidR="00DF2443">
          <w:rPr>
            <w:noProof/>
            <w:webHidden/>
          </w:rPr>
          <w:fldChar w:fldCharType="separate"/>
        </w:r>
        <w:r w:rsidR="009D338D">
          <w:rPr>
            <w:noProof/>
            <w:webHidden/>
          </w:rPr>
          <w:t>116</w:t>
        </w:r>
        <w:r w:rsidR="00DF2443">
          <w:rPr>
            <w:noProof/>
            <w:webHidden/>
          </w:rPr>
          <w:fldChar w:fldCharType="end"/>
        </w:r>
      </w:hyperlink>
    </w:p>
    <w:p w14:paraId="34D02098" w14:textId="66506E63" w:rsidR="00DF2443" w:rsidRPr="00B04620" w:rsidRDefault="004B48CC">
      <w:pPr>
        <w:pStyle w:val="TableofFigures"/>
        <w:rPr>
          <w:noProof/>
          <w:sz w:val="22"/>
        </w:rPr>
      </w:pPr>
      <w:hyperlink w:anchor="_Toc99696029" w:history="1">
        <w:r w:rsidR="00DF2443" w:rsidRPr="00D251FE">
          <w:rPr>
            <w:rStyle w:val="Hyperlink"/>
            <w:noProof/>
          </w:rPr>
          <w:t xml:space="preserve">Figure 4.1.3 </w:t>
        </w:r>
        <w:r w:rsidR="00DF2443" w:rsidRPr="00B04620">
          <w:rPr>
            <w:noProof/>
            <w:sz w:val="22"/>
          </w:rPr>
          <w:tab/>
        </w:r>
        <w:r w:rsidR="00DF2443" w:rsidRPr="00D251FE">
          <w:rPr>
            <w:rStyle w:val="Hyperlink"/>
            <w:noProof/>
          </w:rPr>
          <w:t>Example: Tier 1 quality checks for the IPPU sector</w:t>
        </w:r>
        <w:r w:rsidR="00DF2443">
          <w:rPr>
            <w:noProof/>
            <w:webHidden/>
          </w:rPr>
          <w:tab/>
        </w:r>
        <w:r w:rsidR="00DF2443">
          <w:rPr>
            <w:noProof/>
            <w:webHidden/>
          </w:rPr>
          <w:fldChar w:fldCharType="begin"/>
        </w:r>
        <w:r w:rsidR="00DF2443">
          <w:rPr>
            <w:noProof/>
            <w:webHidden/>
          </w:rPr>
          <w:instrText xml:space="preserve"> PAGEREF _Toc99696029 \h </w:instrText>
        </w:r>
        <w:r w:rsidR="00DF2443">
          <w:rPr>
            <w:noProof/>
            <w:webHidden/>
          </w:rPr>
        </w:r>
        <w:r w:rsidR="00DF2443">
          <w:rPr>
            <w:noProof/>
            <w:webHidden/>
          </w:rPr>
          <w:fldChar w:fldCharType="separate"/>
        </w:r>
        <w:r w:rsidR="009D338D">
          <w:rPr>
            <w:noProof/>
            <w:webHidden/>
          </w:rPr>
          <w:t>119</w:t>
        </w:r>
        <w:r w:rsidR="00DF2443">
          <w:rPr>
            <w:noProof/>
            <w:webHidden/>
          </w:rPr>
          <w:fldChar w:fldCharType="end"/>
        </w:r>
      </w:hyperlink>
    </w:p>
    <w:p w14:paraId="2F7F446E" w14:textId="59EF51BB" w:rsidR="00DF2443" w:rsidRPr="00B04620" w:rsidRDefault="004B48CC">
      <w:pPr>
        <w:pStyle w:val="TableofFigures"/>
        <w:rPr>
          <w:noProof/>
          <w:sz w:val="22"/>
        </w:rPr>
      </w:pPr>
      <w:hyperlink w:anchor="_Toc99696030" w:history="1">
        <w:r w:rsidR="00DF2443" w:rsidRPr="00D251FE">
          <w:rPr>
            <w:rStyle w:val="Hyperlink"/>
            <w:noProof/>
          </w:rPr>
          <w:t xml:space="preserve">Figure 4.4.1 </w:t>
        </w:r>
        <w:r w:rsidR="00DF2443" w:rsidRPr="00B04620">
          <w:rPr>
            <w:noProof/>
            <w:sz w:val="22"/>
          </w:rPr>
          <w:tab/>
        </w:r>
        <w:r w:rsidR="00DF2443" w:rsidRPr="00D251FE">
          <w:rPr>
            <w:rStyle w:val="Hyperlink"/>
            <w:noProof/>
          </w:rPr>
          <w:t>Simplified schematic of iron and steel production in New Zealand</w:t>
        </w:r>
        <w:r w:rsidR="00DF2443">
          <w:rPr>
            <w:noProof/>
            <w:webHidden/>
          </w:rPr>
          <w:tab/>
        </w:r>
        <w:r w:rsidR="00DF2443">
          <w:rPr>
            <w:noProof/>
            <w:webHidden/>
          </w:rPr>
          <w:fldChar w:fldCharType="begin"/>
        </w:r>
        <w:r w:rsidR="00DF2443">
          <w:rPr>
            <w:noProof/>
            <w:webHidden/>
          </w:rPr>
          <w:instrText xml:space="preserve"> PAGEREF _Toc99696030 \h </w:instrText>
        </w:r>
        <w:r w:rsidR="00DF2443">
          <w:rPr>
            <w:noProof/>
            <w:webHidden/>
          </w:rPr>
        </w:r>
        <w:r w:rsidR="00DF2443">
          <w:rPr>
            <w:noProof/>
            <w:webHidden/>
          </w:rPr>
          <w:fldChar w:fldCharType="separate"/>
        </w:r>
        <w:r w:rsidR="009D338D">
          <w:rPr>
            <w:noProof/>
            <w:webHidden/>
          </w:rPr>
          <w:t>130</w:t>
        </w:r>
        <w:r w:rsidR="00DF2443">
          <w:rPr>
            <w:noProof/>
            <w:webHidden/>
          </w:rPr>
          <w:fldChar w:fldCharType="end"/>
        </w:r>
      </w:hyperlink>
    </w:p>
    <w:p w14:paraId="4071084D" w14:textId="4424A15C" w:rsidR="00DF2443" w:rsidRPr="00B04620" w:rsidRDefault="004B48CC">
      <w:pPr>
        <w:pStyle w:val="TableofFigures"/>
        <w:rPr>
          <w:noProof/>
          <w:sz w:val="22"/>
        </w:rPr>
      </w:pPr>
      <w:hyperlink w:anchor="_Toc99696031" w:history="1">
        <w:r w:rsidR="00DF2443" w:rsidRPr="00D251FE">
          <w:rPr>
            <w:rStyle w:val="Hyperlink"/>
            <w:noProof/>
          </w:rPr>
          <w:t>Figure 5.1.1</w:t>
        </w:r>
        <w:r w:rsidR="00DF2443" w:rsidRPr="00B04620">
          <w:rPr>
            <w:noProof/>
            <w:sz w:val="22"/>
          </w:rPr>
          <w:tab/>
        </w:r>
        <w:r w:rsidR="00DF2443" w:rsidRPr="00D251FE">
          <w:rPr>
            <w:rStyle w:val="Hyperlink"/>
            <w:noProof/>
          </w:rPr>
          <w:t>Change in New Zealand’s emissions from the Agriculture sector from 1990 to 2020</w:t>
        </w:r>
        <w:r w:rsidR="00DF2443">
          <w:rPr>
            <w:noProof/>
            <w:webHidden/>
          </w:rPr>
          <w:tab/>
        </w:r>
        <w:r w:rsidR="00DF2443">
          <w:rPr>
            <w:noProof/>
            <w:webHidden/>
          </w:rPr>
          <w:fldChar w:fldCharType="begin"/>
        </w:r>
        <w:r w:rsidR="00DF2443">
          <w:rPr>
            <w:noProof/>
            <w:webHidden/>
          </w:rPr>
          <w:instrText xml:space="preserve"> PAGEREF _Toc99696031 \h </w:instrText>
        </w:r>
        <w:r w:rsidR="00DF2443">
          <w:rPr>
            <w:noProof/>
            <w:webHidden/>
          </w:rPr>
        </w:r>
        <w:r w:rsidR="00DF2443">
          <w:rPr>
            <w:noProof/>
            <w:webHidden/>
          </w:rPr>
          <w:fldChar w:fldCharType="separate"/>
        </w:r>
        <w:r w:rsidR="009D338D">
          <w:rPr>
            <w:noProof/>
            <w:webHidden/>
          </w:rPr>
          <w:t>150</w:t>
        </w:r>
        <w:r w:rsidR="00DF2443">
          <w:rPr>
            <w:noProof/>
            <w:webHidden/>
          </w:rPr>
          <w:fldChar w:fldCharType="end"/>
        </w:r>
      </w:hyperlink>
    </w:p>
    <w:p w14:paraId="4B5851BB" w14:textId="15139F4E" w:rsidR="00DF2443" w:rsidRPr="00B04620" w:rsidRDefault="004B48CC">
      <w:pPr>
        <w:pStyle w:val="TableofFigures"/>
        <w:rPr>
          <w:noProof/>
          <w:sz w:val="22"/>
        </w:rPr>
      </w:pPr>
      <w:hyperlink w:anchor="_Toc99696032" w:history="1">
        <w:r w:rsidR="00DF2443" w:rsidRPr="00D251FE">
          <w:rPr>
            <w:rStyle w:val="Hyperlink"/>
            <w:noProof/>
          </w:rPr>
          <w:t>Figure 5.1.2</w:t>
        </w:r>
        <w:r w:rsidR="00DF2443" w:rsidRPr="00B04620">
          <w:rPr>
            <w:noProof/>
            <w:sz w:val="22"/>
          </w:rPr>
          <w:tab/>
        </w:r>
        <w:r w:rsidR="00DF2443" w:rsidRPr="00D251FE">
          <w:rPr>
            <w:rStyle w:val="Hyperlink"/>
            <w:noProof/>
          </w:rPr>
          <w:t>New Zealand’s Agriculture sector emissions from 1990 to 2020</w:t>
        </w:r>
        <w:r w:rsidR="00DF2443">
          <w:rPr>
            <w:noProof/>
            <w:webHidden/>
          </w:rPr>
          <w:tab/>
        </w:r>
        <w:r w:rsidR="00DF2443">
          <w:rPr>
            <w:noProof/>
            <w:webHidden/>
          </w:rPr>
          <w:fldChar w:fldCharType="begin"/>
        </w:r>
        <w:r w:rsidR="00DF2443">
          <w:rPr>
            <w:noProof/>
            <w:webHidden/>
          </w:rPr>
          <w:instrText xml:space="preserve"> PAGEREF _Toc99696032 \h </w:instrText>
        </w:r>
        <w:r w:rsidR="00DF2443">
          <w:rPr>
            <w:noProof/>
            <w:webHidden/>
          </w:rPr>
        </w:r>
        <w:r w:rsidR="00DF2443">
          <w:rPr>
            <w:noProof/>
            <w:webHidden/>
          </w:rPr>
          <w:fldChar w:fldCharType="separate"/>
        </w:r>
        <w:r w:rsidR="009D338D">
          <w:rPr>
            <w:noProof/>
            <w:webHidden/>
          </w:rPr>
          <w:t>151</w:t>
        </w:r>
        <w:r w:rsidR="00DF2443">
          <w:rPr>
            <w:noProof/>
            <w:webHidden/>
          </w:rPr>
          <w:fldChar w:fldCharType="end"/>
        </w:r>
      </w:hyperlink>
    </w:p>
    <w:p w14:paraId="16445205" w14:textId="3C53C1EC" w:rsidR="00DF2443" w:rsidRPr="00B04620" w:rsidRDefault="004B48CC">
      <w:pPr>
        <w:pStyle w:val="TableofFigures"/>
        <w:rPr>
          <w:noProof/>
          <w:sz w:val="22"/>
        </w:rPr>
      </w:pPr>
      <w:hyperlink w:anchor="_Toc99696033" w:history="1">
        <w:r w:rsidR="00DF2443" w:rsidRPr="00D251FE">
          <w:rPr>
            <w:rStyle w:val="Hyperlink"/>
            <w:noProof/>
          </w:rPr>
          <w:t xml:space="preserve">Figure 5.1.3a </w:t>
        </w:r>
        <w:r w:rsidR="00DF2443" w:rsidRPr="00B04620">
          <w:rPr>
            <w:noProof/>
            <w:sz w:val="22"/>
          </w:rPr>
          <w:tab/>
        </w:r>
        <w:r w:rsidR="00DF2443" w:rsidRPr="00D251FE">
          <w:rPr>
            <w:rStyle w:val="Hyperlink"/>
            <w:noProof/>
          </w:rPr>
          <w:t>Populations of New Zealand’s dairy cattle, beef cattle and deer from 1990 to 2020  (June year ending)</w:t>
        </w:r>
        <w:r w:rsidR="00DF2443">
          <w:rPr>
            <w:noProof/>
            <w:webHidden/>
          </w:rPr>
          <w:tab/>
        </w:r>
        <w:r w:rsidR="00DF2443">
          <w:rPr>
            <w:noProof/>
            <w:webHidden/>
          </w:rPr>
          <w:fldChar w:fldCharType="begin"/>
        </w:r>
        <w:r w:rsidR="00DF2443">
          <w:rPr>
            <w:noProof/>
            <w:webHidden/>
          </w:rPr>
          <w:instrText xml:space="preserve"> PAGEREF _Toc99696033 \h </w:instrText>
        </w:r>
        <w:r w:rsidR="00DF2443">
          <w:rPr>
            <w:noProof/>
            <w:webHidden/>
          </w:rPr>
        </w:r>
        <w:r w:rsidR="00DF2443">
          <w:rPr>
            <w:noProof/>
            <w:webHidden/>
          </w:rPr>
          <w:fldChar w:fldCharType="separate"/>
        </w:r>
        <w:r w:rsidR="009D338D">
          <w:rPr>
            <w:noProof/>
            <w:webHidden/>
          </w:rPr>
          <w:t>152</w:t>
        </w:r>
        <w:r w:rsidR="00DF2443">
          <w:rPr>
            <w:noProof/>
            <w:webHidden/>
          </w:rPr>
          <w:fldChar w:fldCharType="end"/>
        </w:r>
      </w:hyperlink>
    </w:p>
    <w:p w14:paraId="560B508C" w14:textId="57860C43" w:rsidR="00DF2443" w:rsidRPr="00B04620" w:rsidRDefault="004B48CC">
      <w:pPr>
        <w:pStyle w:val="TableofFigures"/>
        <w:rPr>
          <w:noProof/>
          <w:sz w:val="22"/>
        </w:rPr>
      </w:pPr>
      <w:hyperlink w:anchor="_Toc99696034" w:history="1">
        <w:r w:rsidR="00DF2443" w:rsidRPr="00D251FE">
          <w:rPr>
            <w:rStyle w:val="Hyperlink"/>
            <w:noProof/>
          </w:rPr>
          <w:t xml:space="preserve">Figure 5.1.3b </w:t>
        </w:r>
        <w:r w:rsidR="00DF2443" w:rsidRPr="00B04620">
          <w:rPr>
            <w:noProof/>
            <w:sz w:val="22"/>
          </w:rPr>
          <w:tab/>
        </w:r>
        <w:r w:rsidR="00DF2443" w:rsidRPr="00D251FE">
          <w:rPr>
            <w:rStyle w:val="Hyperlink"/>
            <w:noProof/>
          </w:rPr>
          <w:t>Population of New Zealand’s sheep from 1990 to 2020 (June year ending)</w:t>
        </w:r>
        <w:r w:rsidR="00DF2443">
          <w:rPr>
            <w:noProof/>
            <w:webHidden/>
          </w:rPr>
          <w:tab/>
        </w:r>
        <w:r w:rsidR="00DF2443">
          <w:rPr>
            <w:noProof/>
            <w:webHidden/>
          </w:rPr>
          <w:fldChar w:fldCharType="begin"/>
        </w:r>
        <w:r w:rsidR="00DF2443">
          <w:rPr>
            <w:noProof/>
            <w:webHidden/>
          </w:rPr>
          <w:instrText xml:space="preserve"> PAGEREF _Toc99696034 \h </w:instrText>
        </w:r>
        <w:r w:rsidR="00DF2443">
          <w:rPr>
            <w:noProof/>
            <w:webHidden/>
          </w:rPr>
        </w:r>
        <w:r w:rsidR="00DF2443">
          <w:rPr>
            <w:noProof/>
            <w:webHidden/>
          </w:rPr>
          <w:fldChar w:fldCharType="separate"/>
        </w:r>
        <w:r w:rsidR="009D338D">
          <w:rPr>
            <w:noProof/>
            <w:webHidden/>
          </w:rPr>
          <w:t>153</w:t>
        </w:r>
        <w:r w:rsidR="00DF2443">
          <w:rPr>
            <w:noProof/>
            <w:webHidden/>
          </w:rPr>
          <w:fldChar w:fldCharType="end"/>
        </w:r>
      </w:hyperlink>
    </w:p>
    <w:p w14:paraId="0B1DF6AF" w14:textId="7B7A74D4" w:rsidR="00DF2443" w:rsidRPr="00B04620" w:rsidRDefault="004B48CC">
      <w:pPr>
        <w:pStyle w:val="TableofFigures"/>
        <w:rPr>
          <w:noProof/>
          <w:sz w:val="22"/>
        </w:rPr>
      </w:pPr>
      <w:hyperlink w:anchor="_Toc99696035" w:history="1">
        <w:r w:rsidR="00DF2443" w:rsidRPr="00D251FE">
          <w:rPr>
            <w:rStyle w:val="Hyperlink"/>
            <w:noProof/>
          </w:rPr>
          <w:t>Figure 5.1.4</w:t>
        </w:r>
        <w:r w:rsidR="00DF2443" w:rsidRPr="00B04620">
          <w:rPr>
            <w:noProof/>
            <w:sz w:val="22"/>
          </w:rPr>
          <w:tab/>
        </w:r>
        <w:r w:rsidR="00DF2443" w:rsidRPr="00D251FE">
          <w:rPr>
            <w:rStyle w:val="Hyperlink"/>
            <w:noProof/>
          </w:rPr>
          <w:t>Dairy milk productivity and implied enteric fermentation methane emission factors for dairy cows from 1990 to 2020</w:t>
        </w:r>
        <w:r w:rsidR="00DF2443">
          <w:rPr>
            <w:noProof/>
            <w:webHidden/>
          </w:rPr>
          <w:tab/>
        </w:r>
        <w:r w:rsidR="00DF2443">
          <w:rPr>
            <w:noProof/>
            <w:webHidden/>
          </w:rPr>
          <w:fldChar w:fldCharType="begin"/>
        </w:r>
        <w:r w:rsidR="00DF2443">
          <w:rPr>
            <w:noProof/>
            <w:webHidden/>
          </w:rPr>
          <w:instrText xml:space="preserve"> PAGEREF _Toc99696035 \h </w:instrText>
        </w:r>
        <w:r w:rsidR="00DF2443">
          <w:rPr>
            <w:noProof/>
            <w:webHidden/>
          </w:rPr>
        </w:r>
        <w:r w:rsidR="00DF2443">
          <w:rPr>
            <w:noProof/>
            <w:webHidden/>
          </w:rPr>
          <w:fldChar w:fldCharType="separate"/>
        </w:r>
        <w:r w:rsidR="009D338D">
          <w:rPr>
            <w:noProof/>
            <w:webHidden/>
          </w:rPr>
          <w:t>154</w:t>
        </w:r>
        <w:r w:rsidR="00DF2443">
          <w:rPr>
            <w:noProof/>
            <w:webHidden/>
          </w:rPr>
          <w:fldChar w:fldCharType="end"/>
        </w:r>
      </w:hyperlink>
    </w:p>
    <w:p w14:paraId="178D59AA" w14:textId="04A52F03" w:rsidR="00DF2443" w:rsidRPr="00B04620" w:rsidRDefault="004B48CC">
      <w:pPr>
        <w:pStyle w:val="TableofFigures"/>
        <w:rPr>
          <w:noProof/>
          <w:sz w:val="22"/>
        </w:rPr>
      </w:pPr>
      <w:hyperlink w:anchor="_Toc99696036" w:history="1">
        <w:r w:rsidR="00DF2443" w:rsidRPr="00D251FE">
          <w:rPr>
            <w:rStyle w:val="Hyperlink"/>
            <w:noProof/>
          </w:rPr>
          <w:t xml:space="preserve">Figure 5.1.5 </w:t>
        </w:r>
        <w:r w:rsidR="00DF2443" w:rsidRPr="00B04620">
          <w:rPr>
            <w:noProof/>
            <w:sz w:val="22"/>
          </w:rPr>
          <w:tab/>
        </w:r>
        <w:r w:rsidR="00DF2443" w:rsidRPr="00D251FE">
          <w:rPr>
            <w:rStyle w:val="Hyperlink"/>
            <w:noProof/>
          </w:rPr>
          <w:t>Simplified methodology for calculating emissions for major ruminant livestock categories</w:t>
        </w:r>
        <w:r w:rsidR="00DF2443">
          <w:rPr>
            <w:noProof/>
            <w:webHidden/>
          </w:rPr>
          <w:tab/>
        </w:r>
        <w:r w:rsidR="00DF2443">
          <w:rPr>
            <w:noProof/>
            <w:webHidden/>
          </w:rPr>
          <w:fldChar w:fldCharType="begin"/>
        </w:r>
        <w:r w:rsidR="00DF2443">
          <w:rPr>
            <w:noProof/>
            <w:webHidden/>
          </w:rPr>
          <w:instrText xml:space="preserve"> PAGEREF _Toc99696036 \h </w:instrText>
        </w:r>
        <w:r w:rsidR="00DF2443">
          <w:rPr>
            <w:noProof/>
            <w:webHidden/>
          </w:rPr>
        </w:r>
        <w:r w:rsidR="00DF2443">
          <w:rPr>
            <w:noProof/>
            <w:webHidden/>
          </w:rPr>
          <w:fldChar w:fldCharType="separate"/>
        </w:r>
        <w:r w:rsidR="009D338D">
          <w:rPr>
            <w:noProof/>
            <w:webHidden/>
          </w:rPr>
          <w:t>157</w:t>
        </w:r>
        <w:r w:rsidR="00DF2443">
          <w:rPr>
            <w:noProof/>
            <w:webHidden/>
          </w:rPr>
          <w:fldChar w:fldCharType="end"/>
        </w:r>
      </w:hyperlink>
    </w:p>
    <w:p w14:paraId="24B58A2E" w14:textId="0B4BB45D" w:rsidR="00DF2443" w:rsidRPr="00B04620" w:rsidRDefault="004B48CC">
      <w:pPr>
        <w:pStyle w:val="TableofFigures"/>
        <w:rPr>
          <w:noProof/>
          <w:sz w:val="22"/>
        </w:rPr>
      </w:pPr>
      <w:hyperlink w:anchor="_Toc99696037" w:history="1">
        <w:r w:rsidR="00DF2443" w:rsidRPr="00D251FE">
          <w:rPr>
            <w:rStyle w:val="Hyperlink"/>
            <w:noProof/>
          </w:rPr>
          <w:t xml:space="preserve">Figure 5.1.6 </w:t>
        </w:r>
        <w:r w:rsidR="00DF2443" w:rsidRPr="00B04620">
          <w:rPr>
            <w:noProof/>
            <w:sz w:val="22"/>
          </w:rPr>
          <w:tab/>
        </w:r>
        <w:r w:rsidR="00DF2443" w:rsidRPr="00D251FE">
          <w:rPr>
            <w:rStyle w:val="Hyperlink"/>
            <w:noProof/>
          </w:rPr>
          <w:t>National monthly milk production in New Zealand from 2018 to 2020</w:t>
        </w:r>
        <w:r w:rsidR="00DF2443">
          <w:rPr>
            <w:noProof/>
            <w:webHidden/>
          </w:rPr>
          <w:tab/>
        </w:r>
        <w:r w:rsidR="00DF2443">
          <w:rPr>
            <w:noProof/>
            <w:webHidden/>
          </w:rPr>
          <w:fldChar w:fldCharType="begin"/>
        </w:r>
        <w:r w:rsidR="00DF2443">
          <w:rPr>
            <w:noProof/>
            <w:webHidden/>
          </w:rPr>
          <w:instrText xml:space="preserve"> PAGEREF _Toc99696037 \h </w:instrText>
        </w:r>
        <w:r w:rsidR="00DF2443">
          <w:rPr>
            <w:noProof/>
            <w:webHidden/>
          </w:rPr>
        </w:r>
        <w:r w:rsidR="00DF2443">
          <w:rPr>
            <w:noProof/>
            <w:webHidden/>
          </w:rPr>
          <w:fldChar w:fldCharType="separate"/>
        </w:r>
        <w:r w:rsidR="009D338D">
          <w:rPr>
            <w:noProof/>
            <w:webHidden/>
          </w:rPr>
          <w:t>161</w:t>
        </w:r>
        <w:r w:rsidR="00DF2443">
          <w:rPr>
            <w:noProof/>
            <w:webHidden/>
          </w:rPr>
          <w:fldChar w:fldCharType="end"/>
        </w:r>
      </w:hyperlink>
    </w:p>
    <w:p w14:paraId="6382BBC2" w14:textId="7505959F" w:rsidR="00DF2443" w:rsidRPr="00B04620" w:rsidRDefault="004B48CC">
      <w:pPr>
        <w:pStyle w:val="TableofFigures"/>
        <w:rPr>
          <w:noProof/>
          <w:sz w:val="22"/>
        </w:rPr>
      </w:pPr>
      <w:hyperlink w:anchor="_Toc99696038" w:history="1">
        <w:r w:rsidR="00DF2443" w:rsidRPr="00D251FE">
          <w:rPr>
            <w:rStyle w:val="Hyperlink"/>
            <w:noProof/>
          </w:rPr>
          <w:t xml:space="preserve">Figure 5.1.7 </w:t>
        </w:r>
        <w:r w:rsidR="00DF2443" w:rsidRPr="00B04620">
          <w:rPr>
            <w:noProof/>
            <w:sz w:val="22"/>
          </w:rPr>
          <w:tab/>
        </w:r>
        <w:r w:rsidR="00DF2443" w:rsidRPr="00D251FE">
          <w:rPr>
            <w:rStyle w:val="Hyperlink"/>
            <w:noProof/>
          </w:rPr>
          <w:t>Agriculture sectoral approval process for inventory recalculations and improvements</w:t>
        </w:r>
        <w:r w:rsidR="00DF2443">
          <w:rPr>
            <w:noProof/>
            <w:webHidden/>
          </w:rPr>
          <w:tab/>
        </w:r>
        <w:r w:rsidR="00DF2443">
          <w:rPr>
            <w:noProof/>
            <w:webHidden/>
          </w:rPr>
          <w:fldChar w:fldCharType="begin"/>
        </w:r>
        <w:r w:rsidR="00DF2443">
          <w:rPr>
            <w:noProof/>
            <w:webHidden/>
          </w:rPr>
          <w:instrText xml:space="preserve"> PAGEREF _Toc99696038 \h </w:instrText>
        </w:r>
        <w:r w:rsidR="00DF2443">
          <w:rPr>
            <w:noProof/>
            <w:webHidden/>
          </w:rPr>
        </w:r>
        <w:r w:rsidR="00DF2443">
          <w:rPr>
            <w:noProof/>
            <w:webHidden/>
          </w:rPr>
          <w:fldChar w:fldCharType="separate"/>
        </w:r>
        <w:r w:rsidR="009D338D">
          <w:rPr>
            <w:noProof/>
            <w:webHidden/>
          </w:rPr>
          <w:t>167</w:t>
        </w:r>
        <w:r w:rsidR="00DF2443">
          <w:rPr>
            <w:noProof/>
            <w:webHidden/>
          </w:rPr>
          <w:fldChar w:fldCharType="end"/>
        </w:r>
      </w:hyperlink>
    </w:p>
    <w:p w14:paraId="2969F265" w14:textId="1B0530F2" w:rsidR="00DF2443" w:rsidRPr="00B04620" w:rsidRDefault="004B48CC">
      <w:pPr>
        <w:pStyle w:val="TableofFigures"/>
        <w:rPr>
          <w:noProof/>
          <w:sz w:val="22"/>
        </w:rPr>
      </w:pPr>
      <w:hyperlink w:anchor="_Toc99696039" w:history="1">
        <w:r w:rsidR="00DF2443" w:rsidRPr="00D251FE">
          <w:rPr>
            <w:rStyle w:val="Hyperlink"/>
            <w:noProof/>
          </w:rPr>
          <w:t>Figure 5.2.1</w:t>
        </w:r>
        <w:r w:rsidR="00DF2443" w:rsidRPr="00B04620">
          <w:rPr>
            <w:noProof/>
            <w:sz w:val="22"/>
          </w:rPr>
          <w:tab/>
        </w:r>
        <w:r w:rsidR="00DF2443" w:rsidRPr="00D251FE">
          <w:rPr>
            <w:rStyle w:val="Hyperlink"/>
            <w:noProof/>
          </w:rPr>
          <w:t>Schematic diagram showing how New Zealand’s emissions from enteric fermentation for cattle and deer are calculated</w:t>
        </w:r>
        <w:r w:rsidR="00DF2443">
          <w:rPr>
            <w:noProof/>
            <w:webHidden/>
          </w:rPr>
          <w:tab/>
        </w:r>
        <w:r w:rsidR="00DF2443">
          <w:rPr>
            <w:noProof/>
            <w:webHidden/>
          </w:rPr>
          <w:fldChar w:fldCharType="begin"/>
        </w:r>
        <w:r w:rsidR="00DF2443">
          <w:rPr>
            <w:noProof/>
            <w:webHidden/>
          </w:rPr>
          <w:instrText xml:space="preserve"> PAGEREF _Toc99696039 \h </w:instrText>
        </w:r>
        <w:r w:rsidR="00DF2443">
          <w:rPr>
            <w:noProof/>
            <w:webHidden/>
          </w:rPr>
        </w:r>
        <w:r w:rsidR="00DF2443">
          <w:rPr>
            <w:noProof/>
            <w:webHidden/>
          </w:rPr>
          <w:fldChar w:fldCharType="separate"/>
        </w:r>
        <w:r w:rsidR="009D338D">
          <w:rPr>
            <w:noProof/>
            <w:webHidden/>
          </w:rPr>
          <w:t>174</w:t>
        </w:r>
        <w:r w:rsidR="00DF2443">
          <w:rPr>
            <w:noProof/>
            <w:webHidden/>
          </w:rPr>
          <w:fldChar w:fldCharType="end"/>
        </w:r>
      </w:hyperlink>
    </w:p>
    <w:p w14:paraId="6084DC43" w14:textId="1C8AF392" w:rsidR="00DF2443" w:rsidRPr="00B04620" w:rsidRDefault="004B48CC">
      <w:pPr>
        <w:pStyle w:val="TableofFigures"/>
        <w:rPr>
          <w:noProof/>
          <w:sz w:val="22"/>
        </w:rPr>
      </w:pPr>
      <w:hyperlink w:anchor="_Toc99696040" w:history="1">
        <w:r w:rsidR="00DF2443" w:rsidRPr="00D251FE">
          <w:rPr>
            <w:rStyle w:val="Hyperlink"/>
            <w:noProof/>
          </w:rPr>
          <w:t>Figure 5.5.1</w:t>
        </w:r>
        <w:r w:rsidR="00DF2443" w:rsidRPr="00B04620">
          <w:rPr>
            <w:noProof/>
            <w:sz w:val="22"/>
          </w:rPr>
          <w:tab/>
        </w:r>
        <w:r w:rsidR="00DF2443" w:rsidRPr="00D251FE">
          <w:rPr>
            <w:rStyle w:val="Hyperlink"/>
            <w:noProof/>
          </w:rPr>
          <w:t xml:space="preserve">Sources of nitrous oxide emissions from </w:t>
        </w:r>
        <w:r w:rsidR="00DF2443" w:rsidRPr="00D251FE">
          <w:rPr>
            <w:rStyle w:val="Hyperlink"/>
            <w:i/>
            <w:iCs/>
            <w:noProof/>
          </w:rPr>
          <w:t>Agricultural soils</w:t>
        </w:r>
        <w:r w:rsidR="00DF2443" w:rsidRPr="00D251FE">
          <w:rPr>
            <w:rStyle w:val="Hyperlink"/>
            <w:noProof/>
          </w:rPr>
          <w:t>, showing the contribution of each source to emissions through both direct and indirect pathways</w:t>
        </w:r>
        <w:r w:rsidR="00DF2443">
          <w:rPr>
            <w:noProof/>
            <w:webHidden/>
          </w:rPr>
          <w:tab/>
        </w:r>
        <w:r w:rsidR="00DF2443">
          <w:rPr>
            <w:noProof/>
            <w:webHidden/>
          </w:rPr>
          <w:fldChar w:fldCharType="begin"/>
        </w:r>
        <w:r w:rsidR="00DF2443">
          <w:rPr>
            <w:noProof/>
            <w:webHidden/>
          </w:rPr>
          <w:instrText xml:space="preserve"> PAGEREF _Toc99696040 \h </w:instrText>
        </w:r>
        <w:r w:rsidR="00DF2443">
          <w:rPr>
            <w:noProof/>
            <w:webHidden/>
          </w:rPr>
        </w:r>
        <w:r w:rsidR="00DF2443">
          <w:rPr>
            <w:noProof/>
            <w:webHidden/>
          </w:rPr>
          <w:fldChar w:fldCharType="separate"/>
        </w:r>
        <w:r w:rsidR="009D338D">
          <w:rPr>
            <w:noProof/>
            <w:webHidden/>
          </w:rPr>
          <w:t>194</w:t>
        </w:r>
        <w:r w:rsidR="00DF2443">
          <w:rPr>
            <w:noProof/>
            <w:webHidden/>
          </w:rPr>
          <w:fldChar w:fldCharType="end"/>
        </w:r>
      </w:hyperlink>
    </w:p>
    <w:p w14:paraId="6402F2CB" w14:textId="66E58911" w:rsidR="00DF2443" w:rsidRPr="00B04620" w:rsidRDefault="004B48CC">
      <w:pPr>
        <w:pStyle w:val="TableofFigures"/>
        <w:rPr>
          <w:noProof/>
          <w:sz w:val="22"/>
        </w:rPr>
      </w:pPr>
      <w:hyperlink w:anchor="_Toc99696041" w:history="1">
        <w:r w:rsidR="00DF2443" w:rsidRPr="00D251FE">
          <w:rPr>
            <w:rStyle w:val="Hyperlink"/>
            <w:noProof/>
          </w:rPr>
          <w:t>Figure 5.5.2</w:t>
        </w:r>
        <w:r w:rsidR="00DF2443" w:rsidRPr="00B04620">
          <w:rPr>
            <w:noProof/>
            <w:sz w:val="22"/>
          </w:rPr>
          <w:tab/>
        </w:r>
        <w:r w:rsidR="00DF2443" w:rsidRPr="00D251FE">
          <w:rPr>
            <w:rStyle w:val="Hyperlink"/>
            <w:noProof/>
          </w:rPr>
          <w:t>Synthetic nitrogen fertiliser use in New Zealand from 1990 to 2020</w:t>
        </w:r>
        <w:r w:rsidR="00DF2443">
          <w:rPr>
            <w:noProof/>
            <w:webHidden/>
          </w:rPr>
          <w:tab/>
        </w:r>
        <w:r w:rsidR="00DF2443">
          <w:rPr>
            <w:noProof/>
            <w:webHidden/>
          </w:rPr>
          <w:fldChar w:fldCharType="begin"/>
        </w:r>
        <w:r w:rsidR="00DF2443">
          <w:rPr>
            <w:noProof/>
            <w:webHidden/>
          </w:rPr>
          <w:instrText xml:space="preserve"> PAGEREF _Toc99696041 \h </w:instrText>
        </w:r>
        <w:r w:rsidR="00DF2443">
          <w:rPr>
            <w:noProof/>
            <w:webHidden/>
          </w:rPr>
        </w:r>
        <w:r w:rsidR="00DF2443">
          <w:rPr>
            <w:noProof/>
            <w:webHidden/>
          </w:rPr>
          <w:fldChar w:fldCharType="separate"/>
        </w:r>
        <w:r w:rsidR="009D338D">
          <w:rPr>
            <w:noProof/>
            <w:webHidden/>
          </w:rPr>
          <w:t>199</w:t>
        </w:r>
        <w:r w:rsidR="00DF2443">
          <w:rPr>
            <w:noProof/>
            <w:webHidden/>
          </w:rPr>
          <w:fldChar w:fldCharType="end"/>
        </w:r>
      </w:hyperlink>
    </w:p>
    <w:p w14:paraId="60294AA2" w14:textId="349F16A7" w:rsidR="00DF2443" w:rsidRPr="00B04620" w:rsidRDefault="004B48CC">
      <w:pPr>
        <w:pStyle w:val="TableofFigures"/>
        <w:rPr>
          <w:noProof/>
          <w:sz w:val="22"/>
        </w:rPr>
      </w:pPr>
      <w:hyperlink w:anchor="_Toc99696042" w:history="1">
        <w:r w:rsidR="00DF2443" w:rsidRPr="00D251FE">
          <w:rPr>
            <w:rStyle w:val="Hyperlink"/>
            <w:noProof/>
          </w:rPr>
          <w:t>Figure 5.5.3</w:t>
        </w:r>
        <w:r w:rsidR="00DF2443" w:rsidRPr="00B04620">
          <w:rPr>
            <w:noProof/>
            <w:sz w:val="22"/>
          </w:rPr>
          <w:tab/>
        </w:r>
        <w:r w:rsidR="00DF2443" w:rsidRPr="00D251FE">
          <w:rPr>
            <w:rStyle w:val="Hyperlink"/>
            <w:noProof/>
          </w:rPr>
          <w:t>Percentage of synthetic nitrogen fertiliser derived from urea from 1990 to 2020</w:t>
        </w:r>
        <w:r w:rsidR="00DF2443">
          <w:rPr>
            <w:noProof/>
            <w:webHidden/>
          </w:rPr>
          <w:tab/>
        </w:r>
        <w:r w:rsidR="00DF2443">
          <w:rPr>
            <w:noProof/>
            <w:webHidden/>
          </w:rPr>
          <w:fldChar w:fldCharType="begin"/>
        </w:r>
        <w:r w:rsidR="00DF2443">
          <w:rPr>
            <w:noProof/>
            <w:webHidden/>
          </w:rPr>
          <w:instrText xml:space="preserve"> PAGEREF _Toc99696042 \h </w:instrText>
        </w:r>
        <w:r w:rsidR="00DF2443">
          <w:rPr>
            <w:noProof/>
            <w:webHidden/>
          </w:rPr>
        </w:r>
        <w:r w:rsidR="00DF2443">
          <w:rPr>
            <w:noProof/>
            <w:webHidden/>
          </w:rPr>
          <w:fldChar w:fldCharType="separate"/>
        </w:r>
        <w:r w:rsidR="009D338D">
          <w:rPr>
            <w:noProof/>
            <w:webHidden/>
          </w:rPr>
          <w:t>200</w:t>
        </w:r>
        <w:r w:rsidR="00DF2443">
          <w:rPr>
            <w:noProof/>
            <w:webHidden/>
          </w:rPr>
          <w:fldChar w:fldCharType="end"/>
        </w:r>
      </w:hyperlink>
    </w:p>
    <w:p w14:paraId="2B21107B" w14:textId="46A1E361" w:rsidR="00DF2443" w:rsidRPr="00B04620" w:rsidRDefault="004B48CC">
      <w:pPr>
        <w:pStyle w:val="TableofFigures"/>
        <w:rPr>
          <w:noProof/>
          <w:sz w:val="22"/>
        </w:rPr>
      </w:pPr>
      <w:hyperlink w:anchor="_Toc99696043" w:history="1">
        <w:r w:rsidR="00DF2443" w:rsidRPr="00D251FE">
          <w:rPr>
            <w:rStyle w:val="Hyperlink"/>
            <w:noProof/>
          </w:rPr>
          <w:t>Figure 5.8.1</w:t>
        </w:r>
        <w:r w:rsidR="00DF2443" w:rsidRPr="00B04620">
          <w:rPr>
            <w:noProof/>
            <w:sz w:val="22"/>
          </w:rPr>
          <w:tab/>
        </w:r>
        <w:r w:rsidR="00DF2443" w:rsidRPr="00D251FE">
          <w:rPr>
            <w:rStyle w:val="Hyperlink"/>
            <w:noProof/>
          </w:rPr>
          <w:t>Limestone usage on agricultural land in New Zealand from 1990 to 2020</w:t>
        </w:r>
        <w:r w:rsidR="00DF2443">
          <w:rPr>
            <w:noProof/>
            <w:webHidden/>
          </w:rPr>
          <w:tab/>
        </w:r>
        <w:r w:rsidR="00DF2443">
          <w:rPr>
            <w:noProof/>
            <w:webHidden/>
          </w:rPr>
          <w:fldChar w:fldCharType="begin"/>
        </w:r>
        <w:r w:rsidR="00DF2443">
          <w:rPr>
            <w:noProof/>
            <w:webHidden/>
          </w:rPr>
          <w:instrText xml:space="preserve"> PAGEREF _Toc99696043 \h </w:instrText>
        </w:r>
        <w:r w:rsidR="00DF2443">
          <w:rPr>
            <w:noProof/>
            <w:webHidden/>
          </w:rPr>
        </w:r>
        <w:r w:rsidR="00DF2443">
          <w:rPr>
            <w:noProof/>
            <w:webHidden/>
          </w:rPr>
          <w:fldChar w:fldCharType="separate"/>
        </w:r>
        <w:r w:rsidR="009D338D">
          <w:rPr>
            <w:noProof/>
            <w:webHidden/>
          </w:rPr>
          <w:t>224</w:t>
        </w:r>
        <w:r w:rsidR="00DF2443">
          <w:rPr>
            <w:noProof/>
            <w:webHidden/>
          </w:rPr>
          <w:fldChar w:fldCharType="end"/>
        </w:r>
      </w:hyperlink>
    </w:p>
    <w:p w14:paraId="2E81FA2E" w14:textId="5BF6BC78" w:rsidR="00DF2443" w:rsidRPr="00B04620" w:rsidRDefault="004B48CC">
      <w:pPr>
        <w:pStyle w:val="TableofFigures"/>
        <w:rPr>
          <w:noProof/>
          <w:sz w:val="22"/>
        </w:rPr>
      </w:pPr>
      <w:hyperlink w:anchor="_Toc99696044" w:history="1">
        <w:r w:rsidR="00DF2443" w:rsidRPr="00D251FE">
          <w:rPr>
            <w:rStyle w:val="Hyperlink"/>
            <w:noProof/>
          </w:rPr>
          <w:t>Figure 5.8.2</w:t>
        </w:r>
        <w:r w:rsidR="00DF2443" w:rsidRPr="00B04620">
          <w:rPr>
            <w:noProof/>
            <w:sz w:val="22"/>
          </w:rPr>
          <w:tab/>
        </w:r>
        <w:r w:rsidR="00DF2443" w:rsidRPr="00D251FE">
          <w:rPr>
            <w:rStyle w:val="Hyperlink"/>
            <w:noProof/>
          </w:rPr>
          <w:t>Dolomite usage on agricultural land in New Zealand from 1990 to 2020</w:t>
        </w:r>
        <w:r w:rsidR="00DF2443">
          <w:rPr>
            <w:noProof/>
            <w:webHidden/>
          </w:rPr>
          <w:tab/>
        </w:r>
        <w:r w:rsidR="00DF2443">
          <w:rPr>
            <w:noProof/>
            <w:webHidden/>
          </w:rPr>
          <w:fldChar w:fldCharType="begin"/>
        </w:r>
        <w:r w:rsidR="00DF2443">
          <w:rPr>
            <w:noProof/>
            <w:webHidden/>
          </w:rPr>
          <w:instrText xml:space="preserve"> PAGEREF _Toc99696044 \h </w:instrText>
        </w:r>
        <w:r w:rsidR="00DF2443">
          <w:rPr>
            <w:noProof/>
            <w:webHidden/>
          </w:rPr>
        </w:r>
        <w:r w:rsidR="00DF2443">
          <w:rPr>
            <w:noProof/>
            <w:webHidden/>
          </w:rPr>
          <w:fldChar w:fldCharType="separate"/>
        </w:r>
        <w:r w:rsidR="009D338D">
          <w:rPr>
            <w:noProof/>
            <w:webHidden/>
          </w:rPr>
          <w:t>224</w:t>
        </w:r>
        <w:r w:rsidR="00DF2443">
          <w:rPr>
            <w:noProof/>
            <w:webHidden/>
          </w:rPr>
          <w:fldChar w:fldCharType="end"/>
        </w:r>
      </w:hyperlink>
    </w:p>
    <w:p w14:paraId="4B6772BA" w14:textId="2E00C821" w:rsidR="00DF2443" w:rsidRPr="00B04620" w:rsidRDefault="004B48CC">
      <w:pPr>
        <w:pStyle w:val="TableofFigures"/>
        <w:rPr>
          <w:noProof/>
          <w:sz w:val="22"/>
        </w:rPr>
      </w:pPr>
      <w:hyperlink w:anchor="_Toc99696045" w:history="1">
        <w:r w:rsidR="00DF2443" w:rsidRPr="00D251FE">
          <w:rPr>
            <w:rStyle w:val="Hyperlink"/>
            <w:noProof/>
          </w:rPr>
          <w:t>Figure 6.1.1</w:t>
        </w:r>
        <w:r w:rsidR="00DF2443" w:rsidRPr="00B04620">
          <w:rPr>
            <w:noProof/>
            <w:sz w:val="22"/>
          </w:rPr>
          <w:tab/>
        </w:r>
        <w:r w:rsidR="00DF2443" w:rsidRPr="00D251FE">
          <w:rPr>
            <w:rStyle w:val="Hyperlink"/>
            <w:noProof/>
          </w:rPr>
          <w:t>New Zealand’s annual emissions from the LULUCF sector from 1990 to 2020</w:t>
        </w:r>
        <w:r w:rsidR="00DF2443">
          <w:rPr>
            <w:noProof/>
            <w:webHidden/>
          </w:rPr>
          <w:tab/>
        </w:r>
        <w:r w:rsidR="00DF2443">
          <w:rPr>
            <w:noProof/>
            <w:webHidden/>
          </w:rPr>
          <w:fldChar w:fldCharType="begin"/>
        </w:r>
        <w:r w:rsidR="00DF2443">
          <w:rPr>
            <w:noProof/>
            <w:webHidden/>
          </w:rPr>
          <w:instrText xml:space="preserve"> PAGEREF _Toc99696045 \h </w:instrText>
        </w:r>
        <w:r w:rsidR="00DF2443">
          <w:rPr>
            <w:noProof/>
            <w:webHidden/>
          </w:rPr>
        </w:r>
        <w:r w:rsidR="00DF2443">
          <w:rPr>
            <w:noProof/>
            <w:webHidden/>
          </w:rPr>
          <w:fldChar w:fldCharType="separate"/>
        </w:r>
        <w:r w:rsidR="009D338D">
          <w:rPr>
            <w:noProof/>
            <w:webHidden/>
          </w:rPr>
          <w:t>235</w:t>
        </w:r>
        <w:r w:rsidR="00DF2443">
          <w:rPr>
            <w:noProof/>
            <w:webHidden/>
          </w:rPr>
          <w:fldChar w:fldCharType="end"/>
        </w:r>
      </w:hyperlink>
    </w:p>
    <w:p w14:paraId="5AA9365D" w14:textId="7F499AD7" w:rsidR="00DF2443" w:rsidRPr="00B04620" w:rsidRDefault="004B48CC">
      <w:pPr>
        <w:pStyle w:val="TableofFigures"/>
        <w:rPr>
          <w:noProof/>
          <w:sz w:val="22"/>
        </w:rPr>
      </w:pPr>
      <w:hyperlink w:anchor="_Toc99696046" w:history="1">
        <w:r w:rsidR="00DF2443" w:rsidRPr="00D251FE">
          <w:rPr>
            <w:rStyle w:val="Hyperlink"/>
            <w:noProof/>
          </w:rPr>
          <w:t>Figure 6.1.2</w:t>
        </w:r>
        <w:r w:rsidR="00DF2443" w:rsidRPr="00B04620">
          <w:rPr>
            <w:noProof/>
            <w:sz w:val="22"/>
          </w:rPr>
          <w:tab/>
        </w:r>
        <w:r w:rsidR="00DF2443" w:rsidRPr="00D251FE">
          <w:rPr>
            <w:rStyle w:val="Hyperlink"/>
            <w:noProof/>
          </w:rPr>
          <w:t>Comparison of afforestation and deforestation rates with the changing NZ ETS unit price from 2004 to 2020</w:t>
        </w:r>
        <w:r w:rsidR="00DF2443">
          <w:rPr>
            <w:noProof/>
            <w:webHidden/>
          </w:rPr>
          <w:tab/>
        </w:r>
        <w:r w:rsidR="00DF2443">
          <w:rPr>
            <w:noProof/>
            <w:webHidden/>
          </w:rPr>
          <w:fldChar w:fldCharType="begin"/>
        </w:r>
        <w:r w:rsidR="00DF2443">
          <w:rPr>
            <w:noProof/>
            <w:webHidden/>
          </w:rPr>
          <w:instrText xml:space="preserve"> PAGEREF _Toc99696046 \h </w:instrText>
        </w:r>
        <w:r w:rsidR="00DF2443">
          <w:rPr>
            <w:noProof/>
            <w:webHidden/>
          </w:rPr>
        </w:r>
        <w:r w:rsidR="00DF2443">
          <w:rPr>
            <w:noProof/>
            <w:webHidden/>
          </w:rPr>
          <w:fldChar w:fldCharType="separate"/>
        </w:r>
        <w:r w:rsidR="009D338D">
          <w:rPr>
            <w:noProof/>
            <w:webHidden/>
          </w:rPr>
          <w:t>237</w:t>
        </w:r>
        <w:r w:rsidR="00DF2443">
          <w:rPr>
            <w:noProof/>
            <w:webHidden/>
          </w:rPr>
          <w:fldChar w:fldCharType="end"/>
        </w:r>
      </w:hyperlink>
    </w:p>
    <w:p w14:paraId="28978419" w14:textId="5C2A0346" w:rsidR="00DF2443" w:rsidRPr="00B04620" w:rsidRDefault="004B48CC">
      <w:pPr>
        <w:pStyle w:val="TableofFigures"/>
        <w:rPr>
          <w:noProof/>
          <w:sz w:val="22"/>
        </w:rPr>
      </w:pPr>
      <w:hyperlink w:anchor="_Toc99696047" w:history="1">
        <w:r w:rsidR="00DF2443" w:rsidRPr="00D251FE">
          <w:rPr>
            <w:rStyle w:val="Hyperlink"/>
            <w:noProof/>
          </w:rPr>
          <w:t>Figure 6.2.1</w:t>
        </w:r>
        <w:r w:rsidR="00DF2443" w:rsidRPr="00B04620">
          <w:rPr>
            <w:noProof/>
            <w:sz w:val="22"/>
          </w:rPr>
          <w:tab/>
        </w:r>
        <w:r w:rsidR="00DF2443" w:rsidRPr="00D251FE">
          <w:rPr>
            <w:rStyle w:val="Hyperlink"/>
            <w:noProof/>
          </w:rPr>
          <w:t>Land use map of New Zealand as at 31 December 2016</w:t>
        </w:r>
        <w:r w:rsidR="00DF2443">
          <w:rPr>
            <w:noProof/>
            <w:webHidden/>
          </w:rPr>
          <w:tab/>
        </w:r>
        <w:r w:rsidR="00DF2443">
          <w:rPr>
            <w:noProof/>
            <w:webHidden/>
          </w:rPr>
          <w:fldChar w:fldCharType="begin"/>
        </w:r>
        <w:r w:rsidR="00DF2443">
          <w:rPr>
            <w:noProof/>
            <w:webHidden/>
          </w:rPr>
          <w:instrText xml:space="preserve"> PAGEREF _Toc99696047 \h </w:instrText>
        </w:r>
        <w:r w:rsidR="00DF2443">
          <w:rPr>
            <w:noProof/>
            <w:webHidden/>
          </w:rPr>
        </w:r>
        <w:r w:rsidR="00DF2443">
          <w:rPr>
            <w:noProof/>
            <w:webHidden/>
          </w:rPr>
          <w:fldChar w:fldCharType="separate"/>
        </w:r>
        <w:r w:rsidR="009D338D">
          <w:rPr>
            <w:noProof/>
            <w:webHidden/>
          </w:rPr>
          <w:t>245</w:t>
        </w:r>
        <w:r w:rsidR="00DF2443">
          <w:rPr>
            <w:noProof/>
            <w:webHidden/>
          </w:rPr>
          <w:fldChar w:fldCharType="end"/>
        </w:r>
      </w:hyperlink>
    </w:p>
    <w:p w14:paraId="57B385A7" w14:textId="0C410A1B" w:rsidR="00DF2443" w:rsidRPr="00B04620" w:rsidRDefault="004B48CC">
      <w:pPr>
        <w:pStyle w:val="TableofFigures"/>
        <w:rPr>
          <w:noProof/>
          <w:sz w:val="22"/>
        </w:rPr>
      </w:pPr>
      <w:hyperlink w:anchor="_Toc99696048" w:history="1">
        <w:r w:rsidR="00DF2443" w:rsidRPr="00D251FE">
          <w:rPr>
            <w:rStyle w:val="Hyperlink"/>
            <w:noProof/>
          </w:rPr>
          <w:t>Figure 6.3.1</w:t>
        </w:r>
        <w:r w:rsidR="00DF2443" w:rsidRPr="00B04620">
          <w:rPr>
            <w:noProof/>
            <w:sz w:val="22"/>
          </w:rPr>
          <w:tab/>
        </w:r>
        <w:r w:rsidR="00DF2443" w:rsidRPr="00D251FE">
          <w:rPr>
            <w:rStyle w:val="Hyperlink"/>
            <w:noProof/>
          </w:rPr>
          <w:t>Annual areas of afforestation/reforestation in New Zealand from 1990 to 2020</w:t>
        </w:r>
        <w:r w:rsidR="00DF2443">
          <w:rPr>
            <w:noProof/>
            <w:webHidden/>
          </w:rPr>
          <w:tab/>
        </w:r>
        <w:r w:rsidR="00DF2443">
          <w:rPr>
            <w:noProof/>
            <w:webHidden/>
          </w:rPr>
          <w:fldChar w:fldCharType="begin"/>
        </w:r>
        <w:r w:rsidR="00DF2443">
          <w:rPr>
            <w:noProof/>
            <w:webHidden/>
          </w:rPr>
          <w:instrText xml:space="preserve"> PAGEREF _Toc99696048 \h </w:instrText>
        </w:r>
        <w:r w:rsidR="00DF2443">
          <w:rPr>
            <w:noProof/>
            <w:webHidden/>
          </w:rPr>
        </w:r>
        <w:r w:rsidR="00DF2443">
          <w:rPr>
            <w:noProof/>
            <w:webHidden/>
          </w:rPr>
          <w:fldChar w:fldCharType="separate"/>
        </w:r>
        <w:r w:rsidR="009D338D">
          <w:rPr>
            <w:noProof/>
            <w:webHidden/>
          </w:rPr>
          <w:t>252</w:t>
        </w:r>
        <w:r w:rsidR="00DF2443">
          <w:rPr>
            <w:noProof/>
            <w:webHidden/>
          </w:rPr>
          <w:fldChar w:fldCharType="end"/>
        </w:r>
      </w:hyperlink>
    </w:p>
    <w:p w14:paraId="1D1B37F4" w14:textId="0783CD7A" w:rsidR="00DF2443" w:rsidRPr="00B04620" w:rsidRDefault="004B48CC">
      <w:pPr>
        <w:pStyle w:val="TableofFigures"/>
        <w:rPr>
          <w:noProof/>
          <w:sz w:val="22"/>
        </w:rPr>
      </w:pPr>
      <w:hyperlink w:anchor="_Toc99696049" w:history="1">
        <w:r w:rsidR="00DF2443" w:rsidRPr="00D251FE">
          <w:rPr>
            <w:rStyle w:val="Hyperlink"/>
            <w:noProof/>
          </w:rPr>
          <w:t>Figure 6.3.2</w:t>
        </w:r>
        <w:r w:rsidR="00DF2443" w:rsidRPr="00B04620">
          <w:rPr>
            <w:noProof/>
            <w:sz w:val="22"/>
          </w:rPr>
          <w:tab/>
        </w:r>
        <w:r w:rsidR="00DF2443" w:rsidRPr="00D251FE">
          <w:rPr>
            <w:rStyle w:val="Hyperlink"/>
            <w:noProof/>
          </w:rPr>
          <w:t>New Zealand’s net carbon dioxide removals by post-1989 planted forests from 1990 to 2020</w:t>
        </w:r>
        <w:r w:rsidR="00DF2443">
          <w:rPr>
            <w:noProof/>
            <w:webHidden/>
          </w:rPr>
          <w:tab/>
        </w:r>
        <w:r w:rsidR="00DF2443">
          <w:rPr>
            <w:noProof/>
            <w:webHidden/>
          </w:rPr>
          <w:fldChar w:fldCharType="begin"/>
        </w:r>
        <w:r w:rsidR="00DF2443">
          <w:rPr>
            <w:noProof/>
            <w:webHidden/>
          </w:rPr>
          <w:instrText xml:space="preserve"> PAGEREF _Toc99696049 \h </w:instrText>
        </w:r>
        <w:r w:rsidR="00DF2443">
          <w:rPr>
            <w:noProof/>
            <w:webHidden/>
          </w:rPr>
        </w:r>
        <w:r w:rsidR="00DF2443">
          <w:rPr>
            <w:noProof/>
            <w:webHidden/>
          </w:rPr>
          <w:fldChar w:fldCharType="separate"/>
        </w:r>
        <w:r w:rsidR="009D338D">
          <w:rPr>
            <w:noProof/>
            <w:webHidden/>
          </w:rPr>
          <w:t>253</w:t>
        </w:r>
        <w:r w:rsidR="00DF2443">
          <w:rPr>
            <w:noProof/>
            <w:webHidden/>
          </w:rPr>
          <w:fldChar w:fldCharType="end"/>
        </w:r>
      </w:hyperlink>
    </w:p>
    <w:p w14:paraId="383E4EC7" w14:textId="381315CE" w:rsidR="00DF2443" w:rsidRPr="00B04620" w:rsidRDefault="004B48CC">
      <w:pPr>
        <w:pStyle w:val="TableofFigures"/>
        <w:rPr>
          <w:noProof/>
          <w:sz w:val="22"/>
        </w:rPr>
      </w:pPr>
      <w:hyperlink w:anchor="_Toc99696050" w:history="1">
        <w:r w:rsidR="00DF2443" w:rsidRPr="00D251FE">
          <w:rPr>
            <w:rStyle w:val="Hyperlink"/>
            <w:noProof/>
          </w:rPr>
          <w:t>Figure 6.3.3</w:t>
        </w:r>
        <w:r w:rsidR="00DF2443" w:rsidRPr="00B04620">
          <w:rPr>
            <w:noProof/>
            <w:sz w:val="22"/>
          </w:rPr>
          <w:tab/>
        </w:r>
        <w:r w:rsidR="00DF2443" w:rsidRPr="00D251FE">
          <w:rPr>
            <w:rStyle w:val="Hyperlink"/>
            <w:noProof/>
          </w:rPr>
          <w:t>New Zealand’s area of planted forest harvest (inclusive of deforestation) from 1990 to 2020</w:t>
        </w:r>
        <w:r w:rsidR="00DF2443">
          <w:rPr>
            <w:noProof/>
            <w:webHidden/>
          </w:rPr>
          <w:tab/>
        </w:r>
        <w:r w:rsidR="00DF2443">
          <w:rPr>
            <w:noProof/>
            <w:webHidden/>
          </w:rPr>
          <w:fldChar w:fldCharType="begin"/>
        </w:r>
        <w:r w:rsidR="00DF2443">
          <w:rPr>
            <w:noProof/>
            <w:webHidden/>
          </w:rPr>
          <w:instrText xml:space="preserve"> PAGEREF _Toc99696050 \h </w:instrText>
        </w:r>
        <w:r w:rsidR="00DF2443">
          <w:rPr>
            <w:noProof/>
            <w:webHidden/>
          </w:rPr>
        </w:r>
        <w:r w:rsidR="00DF2443">
          <w:rPr>
            <w:noProof/>
            <w:webHidden/>
          </w:rPr>
          <w:fldChar w:fldCharType="separate"/>
        </w:r>
        <w:r w:rsidR="009D338D">
          <w:rPr>
            <w:noProof/>
            <w:webHidden/>
          </w:rPr>
          <w:t>253</w:t>
        </w:r>
        <w:r w:rsidR="00DF2443">
          <w:rPr>
            <w:noProof/>
            <w:webHidden/>
          </w:rPr>
          <w:fldChar w:fldCharType="end"/>
        </w:r>
      </w:hyperlink>
    </w:p>
    <w:p w14:paraId="4960F88A" w14:textId="40286FC5" w:rsidR="00DF2443" w:rsidRPr="00B04620" w:rsidRDefault="004B48CC">
      <w:pPr>
        <w:pStyle w:val="TableofFigures"/>
        <w:rPr>
          <w:noProof/>
          <w:sz w:val="22"/>
        </w:rPr>
      </w:pPr>
      <w:hyperlink w:anchor="_Toc99696051" w:history="1">
        <w:r w:rsidR="00DF2443" w:rsidRPr="00D251FE">
          <w:rPr>
            <w:rStyle w:val="Hyperlink"/>
            <w:noProof/>
          </w:rPr>
          <w:t>Figure 6.3.4</w:t>
        </w:r>
        <w:r w:rsidR="00DF2443" w:rsidRPr="00B04620">
          <w:rPr>
            <w:noProof/>
            <w:sz w:val="22"/>
          </w:rPr>
          <w:tab/>
        </w:r>
        <w:r w:rsidR="00DF2443" w:rsidRPr="00D251FE">
          <w:rPr>
            <w:rStyle w:val="Hyperlink"/>
            <w:noProof/>
          </w:rPr>
          <w:t xml:space="preserve">New Zealand’s area of deforestation since 1990, by </w:t>
        </w:r>
        <w:r w:rsidR="00DF2443" w:rsidRPr="00D251FE">
          <w:rPr>
            <w:rStyle w:val="Hyperlink"/>
            <w:i/>
            <w:noProof/>
          </w:rPr>
          <w:t>Forest land</w:t>
        </w:r>
        <w:r w:rsidR="00DF2443" w:rsidRPr="00D251FE">
          <w:rPr>
            <w:rStyle w:val="Hyperlink"/>
            <w:noProof/>
          </w:rPr>
          <w:t xml:space="preserve"> category</w:t>
        </w:r>
        <w:r w:rsidR="00DF2443">
          <w:rPr>
            <w:noProof/>
            <w:webHidden/>
          </w:rPr>
          <w:tab/>
        </w:r>
        <w:r w:rsidR="00DF2443">
          <w:rPr>
            <w:noProof/>
            <w:webHidden/>
          </w:rPr>
          <w:fldChar w:fldCharType="begin"/>
        </w:r>
        <w:r w:rsidR="00DF2443">
          <w:rPr>
            <w:noProof/>
            <w:webHidden/>
          </w:rPr>
          <w:instrText xml:space="preserve"> PAGEREF _Toc99696051 \h </w:instrText>
        </w:r>
        <w:r w:rsidR="00DF2443">
          <w:rPr>
            <w:noProof/>
            <w:webHidden/>
          </w:rPr>
        </w:r>
        <w:r w:rsidR="00DF2443">
          <w:rPr>
            <w:noProof/>
            <w:webHidden/>
          </w:rPr>
          <w:fldChar w:fldCharType="separate"/>
        </w:r>
        <w:r w:rsidR="009D338D">
          <w:rPr>
            <w:noProof/>
            <w:webHidden/>
          </w:rPr>
          <w:t>254</w:t>
        </w:r>
        <w:r w:rsidR="00DF2443">
          <w:rPr>
            <w:noProof/>
            <w:webHidden/>
          </w:rPr>
          <w:fldChar w:fldCharType="end"/>
        </w:r>
      </w:hyperlink>
    </w:p>
    <w:p w14:paraId="282BB494" w14:textId="4D9239DC" w:rsidR="00DF2443" w:rsidRPr="00B04620" w:rsidRDefault="004B48CC">
      <w:pPr>
        <w:pStyle w:val="TableofFigures"/>
        <w:rPr>
          <w:noProof/>
          <w:sz w:val="22"/>
        </w:rPr>
      </w:pPr>
      <w:hyperlink w:anchor="_Toc99696052" w:history="1">
        <w:r w:rsidR="00DF2443" w:rsidRPr="00D251FE">
          <w:rPr>
            <w:rStyle w:val="Hyperlink"/>
            <w:noProof/>
          </w:rPr>
          <w:t>Figure 6.3.5</w:t>
        </w:r>
        <w:r w:rsidR="00DF2443" w:rsidRPr="00B04620">
          <w:rPr>
            <w:noProof/>
            <w:sz w:val="22"/>
          </w:rPr>
          <w:tab/>
        </w:r>
        <w:r w:rsidR="00DF2443" w:rsidRPr="00D251FE">
          <w:rPr>
            <w:rStyle w:val="Hyperlink"/>
            <w:noProof/>
          </w:rPr>
          <w:t>Location of New Zealand’s pre-1990 forest carbon monitoring plots</w:t>
        </w:r>
        <w:r w:rsidR="00DF2443">
          <w:rPr>
            <w:noProof/>
            <w:webHidden/>
          </w:rPr>
          <w:tab/>
        </w:r>
        <w:r w:rsidR="00DF2443">
          <w:rPr>
            <w:noProof/>
            <w:webHidden/>
          </w:rPr>
          <w:fldChar w:fldCharType="begin"/>
        </w:r>
        <w:r w:rsidR="00DF2443">
          <w:rPr>
            <w:noProof/>
            <w:webHidden/>
          </w:rPr>
          <w:instrText xml:space="preserve"> PAGEREF _Toc99696052 \h </w:instrText>
        </w:r>
        <w:r w:rsidR="00DF2443">
          <w:rPr>
            <w:noProof/>
            <w:webHidden/>
          </w:rPr>
        </w:r>
        <w:r w:rsidR="00DF2443">
          <w:rPr>
            <w:noProof/>
            <w:webHidden/>
          </w:rPr>
          <w:fldChar w:fldCharType="separate"/>
        </w:r>
        <w:r w:rsidR="009D338D">
          <w:rPr>
            <w:noProof/>
            <w:webHidden/>
          </w:rPr>
          <w:t>256</w:t>
        </w:r>
        <w:r w:rsidR="00DF2443">
          <w:rPr>
            <w:noProof/>
            <w:webHidden/>
          </w:rPr>
          <w:fldChar w:fldCharType="end"/>
        </w:r>
      </w:hyperlink>
    </w:p>
    <w:p w14:paraId="2FBB6191" w14:textId="2A8D9A74" w:rsidR="00DF2443" w:rsidRPr="00B04620" w:rsidRDefault="004B48CC">
      <w:pPr>
        <w:pStyle w:val="TableofFigures"/>
        <w:rPr>
          <w:noProof/>
          <w:sz w:val="22"/>
        </w:rPr>
      </w:pPr>
      <w:hyperlink w:anchor="_Toc99696053" w:history="1">
        <w:r w:rsidR="00DF2443" w:rsidRPr="00D251FE">
          <w:rPr>
            <w:rStyle w:val="Hyperlink"/>
            <w:noProof/>
          </w:rPr>
          <w:t>Figure 6.3.6</w:t>
        </w:r>
        <w:r w:rsidR="00DF2443" w:rsidRPr="00B04620">
          <w:rPr>
            <w:noProof/>
            <w:sz w:val="22"/>
          </w:rPr>
          <w:tab/>
        </w:r>
        <w:r w:rsidR="00DF2443" w:rsidRPr="00D251FE">
          <w:rPr>
            <w:rStyle w:val="Hyperlink"/>
            <w:noProof/>
          </w:rPr>
          <w:t>Location of New Zealand’s post-1989 forest plots</w:t>
        </w:r>
        <w:r w:rsidR="00DF2443">
          <w:rPr>
            <w:noProof/>
            <w:webHidden/>
          </w:rPr>
          <w:tab/>
        </w:r>
        <w:r w:rsidR="00DF2443">
          <w:rPr>
            <w:noProof/>
            <w:webHidden/>
          </w:rPr>
          <w:fldChar w:fldCharType="begin"/>
        </w:r>
        <w:r w:rsidR="00DF2443">
          <w:rPr>
            <w:noProof/>
            <w:webHidden/>
          </w:rPr>
          <w:instrText xml:space="preserve"> PAGEREF _Toc99696053 \h </w:instrText>
        </w:r>
        <w:r w:rsidR="00DF2443">
          <w:rPr>
            <w:noProof/>
            <w:webHidden/>
          </w:rPr>
        </w:r>
        <w:r w:rsidR="00DF2443">
          <w:rPr>
            <w:noProof/>
            <w:webHidden/>
          </w:rPr>
          <w:fldChar w:fldCharType="separate"/>
        </w:r>
        <w:r w:rsidR="009D338D">
          <w:rPr>
            <w:noProof/>
            <w:webHidden/>
          </w:rPr>
          <w:t>257</w:t>
        </w:r>
        <w:r w:rsidR="00DF2443">
          <w:rPr>
            <w:noProof/>
            <w:webHidden/>
          </w:rPr>
          <w:fldChar w:fldCharType="end"/>
        </w:r>
      </w:hyperlink>
    </w:p>
    <w:p w14:paraId="429ABC4F" w14:textId="4985623D" w:rsidR="00DF2443" w:rsidRPr="00B04620" w:rsidRDefault="004B48CC">
      <w:pPr>
        <w:pStyle w:val="TableofFigures"/>
        <w:rPr>
          <w:noProof/>
          <w:sz w:val="22"/>
        </w:rPr>
      </w:pPr>
      <w:hyperlink w:anchor="_Toc99696054" w:history="1">
        <w:r w:rsidR="00DF2443" w:rsidRPr="00D251FE">
          <w:rPr>
            <w:rStyle w:val="Hyperlink"/>
            <w:noProof/>
          </w:rPr>
          <w:t>Figure 6.9.1</w:t>
        </w:r>
        <w:r w:rsidR="00DF2443" w:rsidRPr="00B04620">
          <w:rPr>
            <w:noProof/>
            <w:sz w:val="22"/>
          </w:rPr>
          <w:tab/>
        </w:r>
        <w:r w:rsidR="00DF2443" w:rsidRPr="00D251FE">
          <w:rPr>
            <w:rStyle w:val="Hyperlink"/>
            <w:noProof/>
          </w:rPr>
          <w:t>Volume of roundwood produced and exported between 1990 to 2020</w:t>
        </w:r>
        <w:r w:rsidR="00DF2443">
          <w:rPr>
            <w:noProof/>
            <w:webHidden/>
          </w:rPr>
          <w:tab/>
        </w:r>
        <w:r w:rsidR="00DF2443">
          <w:rPr>
            <w:noProof/>
            <w:webHidden/>
          </w:rPr>
          <w:fldChar w:fldCharType="begin"/>
        </w:r>
        <w:r w:rsidR="00DF2443">
          <w:rPr>
            <w:noProof/>
            <w:webHidden/>
          </w:rPr>
          <w:instrText xml:space="preserve"> PAGEREF _Toc99696054 \h </w:instrText>
        </w:r>
        <w:r w:rsidR="00DF2443">
          <w:rPr>
            <w:noProof/>
            <w:webHidden/>
          </w:rPr>
        </w:r>
        <w:r w:rsidR="00DF2443">
          <w:rPr>
            <w:noProof/>
            <w:webHidden/>
          </w:rPr>
          <w:fldChar w:fldCharType="separate"/>
        </w:r>
        <w:r w:rsidR="009D338D">
          <w:rPr>
            <w:noProof/>
            <w:webHidden/>
          </w:rPr>
          <w:t>287</w:t>
        </w:r>
        <w:r w:rsidR="00DF2443">
          <w:rPr>
            <w:noProof/>
            <w:webHidden/>
          </w:rPr>
          <w:fldChar w:fldCharType="end"/>
        </w:r>
      </w:hyperlink>
    </w:p>
    <w:p w14:paraId="45370B39" w14:textId="06425024" w:rsidR="00DF2443" w:rsidRPr="00B04620" w:rsidRDefault="004B48CC">
      <w:pPr>
        <w:pStyle w:val="TableofFigures"/>
        <w:rPr>
          <w:noProof/>
          <w:sz w:val="22"/>
        </w:rPr>
      </w:pPr>
      <w:hyperlink w:anchor="_Toc99696055" w:history="1">
        <w:r w:rsidR="00DF2443" w:rsidRPr="00D251FE">
          <w:rPr>
            <w:rStyle w:val="Hyperlink"/>
            <w:noProof/>
          </w:rPr>
          <w:t>Figure 7.1.1</w:t>
        </w:r>
        <w:r w:rsidR="00DF2443" w:rsidRPr="00B04620">
          <w:rPr>
            <w:noProof/>
            <w:sz w:val="22"/>
          </w:rPr>
          <w:tab/>
        </w:r>
        <w:r w:rsidR="00DF2443" w:rsidRPr="00D251FE">
          <w:rPr>
            <w:rStyle w:val="Hyperlink"/>
            <w:noProof/>
          </w:rPr>
          <w:t>Flows of solid waste generation and disposal in New Zealand</w:t>
        </w:r>
        <w:r w:rsidR="00DF2443">
          <w:rPr>
            <w:noProof/>
            <w:webHidden/>
          </w:rPr>
          <w:tab/>
        </w:r>
        <w:r w:rsidR="00DF2443">
          <w:rPr>
            <w:noProof/>
            <w:webHidden/>
          </w:rPr>
          <w:fldChar w:fldCharType="begin"/>
        </w:r>
        <w:r w:rsidR="00DF2443">
          <w:rPr>
            <w:noProof/>
            <w:webHidden/>
          </w:rPr>
          <w:instrText xml:space="preserve"> PAGEREF _Toc99696055 \h </w:instrText>
        </w:r>
        <w:r w:rsidR="00DF2443">
          <w:rPr>
            <w:noProof/>
            <w:webHidden/>
          </w:rPr>
        </w:r>
        <w:r w:rsidR="00DF2443">
          <w:rPr>
            <w:noProof/>
            <w:webHidden/>
          </w:rPr>
          <w:fldChar w:fldCharType="separate"/>
        </w:r>
        <w:r w:rsidR="009D338D">
          <w:rPr>
            <w:noProof/>
            <w:webHidden/>
          </w:rPr>
          <w:t>303</w:t>
        </w:r>
        <w:r w:rsidR="00DF2443">
          <w:rPr>
            <w:noProof/>
            <w:webHidden/>
          </w:rPr>
          <w:fldChar w:fldCharType="end"/>
        </w:r>
      </w:hyperlink>
    </w:p>
    <w:p w14:paraId="6BB67274" w14:textId="31768977" w:rsidR="00DF2443" w:rsidRPr="00B04620" w:rsidRDefault="004B48CC">
      <w:pPr>
        <w:pStyle w:val="TableofFigures"/>
        <w:rPr>
          <w:noProof/>
          <w:sz w:val="22"/>
        </w:rPr>
      </w:pPr>
      <w:hyperlink w:anchor="_Toc99696056" w:history="1">
        <w:r w:rsidR="00DF2443" w:rsidRPr="00D251FE">
          <w:rPr>
            <w:rStyle w:val="Hyperlink"/>
            <w:noProof/>
          </w:rPr>
          <w:t>Figure 7.1.2</w:t>
        </w:r>
        <w:r w:rsidR="00DF2443" w:rsidRPr="00B04620">
          <w:rPr>
            <w:noProof/>
            <w:sz w:val="22"/>
          </w:rPr>
          <w:tab/>
        </w:r>
        <w:r w:rsidR="00DF2443" w:rsidRPr="00D251FE">
          <w:rPr>
            <w:rStyle w:val="Hyperlink"/>
            <w:noProof/>
          </w:rPr>
          <w:t xml:space="preserve">Profile of emissions from New Zealand’s Waste sector by source category from </w:t>
        </w:r>
        <w:r w:rsidR="00DF2443" w:rsidRPr="00D251FE">
          <w:rPr>
            <w:rStyle w:val="Hyperlink"/>
            <w:bCs/>
            <w:noProof/>
          </w:rPr>
          <w:t>1990</w:t>
        </w:r>
        <w:r w:rsidR="00DF2443" w:rsidRPr="00D251FE">
          <w:rPr>
            <w:rStyle w:val="Hyperlink"/>
            <w:noProof/>
          </w:rPr>
          <w:t> to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_Toc99696056 \h </w:instrText>
        </w:r>
        <w:r w:rsidR="00DF2443">
          <w:rPr>
            <w:noProof/>
            <w:webHidden/>
          </w:rPr>
        </w:r>
        <w:r w:rsidR="00DF2443">
          <w:rPr>
            <w:noProof/>
            <w:webHidden/>
          </w:rPr>
          <w:fldChar w:fldCharType="separate"/>
        </w:r>
        <w:r w:rsidR="009D338D">
          <w:rPr>
            <w:noProof/>
            <w:webHidden/>
          </w:rPr>
          <w:t>304</w:t>
        </w:r>
        <w:r w:rsidR="00DF2443">
          <w:rPr>
            <w:noProof/>
            <w:webHidden/>
          </w:rPr>
          <w:fldChar w:fldCharType="end"/>
        </w:r>
      </w:hyperlink>
    </w:p>
    <w:p w14:paraId="5151C9CB" w14:textId="0EED9BB0" w:rsidR="00DF2443" w:rsidRPr="00B04620" w:rsidRDefault="004B48CC">
      <w:pPr>
        <w:pStyle w:val="TableofFigures"/>
        <w:rPr>
          <w:noProof/>
          <w:sz w:val="22"/>
        </w:rPr>
      </w:pPr>
      <w:hyperlink w:anchor="_Toc99696057" w:history="1">
        <w:r w:rsidR="00DF2443" w:rsidRPr="00D251FE">
          <w:rPr>
            <w:rStyle w:val="Hyperlink"/>
            <w:noProof/>
          </w:rPr>
          <w:t>Figure 7.1.3</w:t>
        </w:r>
        <w:r w:rsidR="00DF2443" w:rsidRPr="00B04620">
          <w:rPr>
            <w:noProof/>
            <w:sz w:val="22"/>
          </w:rPr>
          <w:tab/>
        </w:r>
        <w:r w:rsidR="00DF2443" w:rsidRPr="00D251FE">
          <w:rPr>
            <w:rStyle w:val="Hyperlink"/>
            <w:noProof/>
          </w:rPr>
          <w:t xml:space="preserve">Change in New Zealand’s emissions from the Waste sector by source category from </w:t>
        </w:r>
        <w:r w:rsidR="00DF2443" w:rsidRPr="00D251FE">
          <w:rPr>
            <w:rStyle w:val="Hyperlink"/>
            <w:bCs/>
            <w:noProof/>
          </w:rPr>
          <w:t>1990</w:t>
        </w:r>
        <w:r w:rsidR="00DF2443" w:rsidRPr="00D251FE">
          <w:rPr>
            <w:rStyle w:val="Hyperlink"/>
            <w:noProof/>
          </w:rPr>
          <w:t> to </w:t>
        </w:r>
        <w:r w:rsidR="00DF2443" w:rsidRPr="00D251FE">
          <w:rPr>
            <w:rStyle w:val="Hyperlink"/>
            <w:bCs/>
            <w:noProof/>
          </w:rPr>
          <w:t>2020</w:t>
        </w:r>
        <w:r w:rsidR="00DF2443">
          <w:rPr>
            <w:noProof/>
            <w:webHidden/>
          </w:rPr>
          <w:tab/>
        </w:r>
        <w:r w:rsidR="00DF2443">
          <w:rPr>
            <w:noProof/>
            <w:webHidden/>
          </w:rPr>
          <w:fldChar w:fldCharType="begin"/>
        </w:r>
        <w:r w:rsidR="00DF2443">
          <w:rPr>
            <w:noProof/>
            <w:webHidden/>
          </w:rPr>
          <w:instrText xml:space="preserve"> PAGEREF _Toc99696057 \h </w:instrText>
        </w:r>
        <w:r w:rsidR="00DF2443">
          <w:rPr>
            <w:noProof/>
            <w:webHidden/>
          </w:rPr>
        </w:r>
        <w:r w:rsidR="00DF2443">
          <w:rPr>
            <w:noProof/>
            <w:webHidden/>
          </w:rPr>
          <w:fldChar w:fldCharType="separate"/>
        </w:r>
        <w:r w:rsidR="009D338D">
          <w:rPr>
            <w:noProof/>
            <w:webHidden/>
          </w:rPr>
          <w:t>305</w:t>
        </w:r>
        <w:r w:rsidR="00DF2443">
          <w:rPr>
            <w:noProof/>
            <w:webHidden/>
          </w:rPr>
          <w:fldChar w:fldCharType="end"/>
        </w:r>
      </w:hyperlink>
    </w:p>
    <w:p w14:paraId="49B7621D" w14:textId="0CA2DF41" w:rsidR="00DF2443" w:rsidRPr="00B04620" w:rsidRDefault="004B48CC">
      <w:pPr>
        <w:pStyle w:val="TableofFigures"/>
        <w:rPr>
          <w:noProof/>
          <w:sz w:val="22"/>
        </w:rPr>
      </w:pPr>
      <w:hyperlink w:anchor="_Toc99696058" w:history="1">
        <w:r w:rsidR="00DF2443" w:rsidRPr="00D251FE">
          <w:rPr>
            <w:rStyle w:val="Hyperlink"/>
            <w:noProof/>
          </w:rPr>
          <w:t>Figure 7.1.4</w:t>
        </w:r>
        <w:r w:rsidR="00DF2443" w:rsidRPr="00B04620">
          <w:rPr>
            <w:noProof/>
            <w:sz w:val="22"/>
          </w:rPr>
          <w:tab/>
        </w:r>
        <w:r w:rsidR="00DF2443" w:rsidRPr="00D251FE">
          <w:rPr>
            <w:rStyle w:val="Hyperlink"/>
            <w:noProof/>
          </w:rPr>
          <w:t>Tier 1 quality checks for the Waste sector</w:t>
        </w:r>
        <w:r w:rsidR="00DF2443">
          <w:rPr>
            <w:noProof/>
            <w:webHidden/>
          </w:rPr>
          <w:tab/>
        </w:r>
        <w:r w:rsidR="00DF2443">
          <w:rPr>
            <w:noProof/>
            <w:webHidden/>
          </w:rPr>
          <w:fldChar w:fldCharType="begin"/>
        </w:r>
        <w:r w:rsidR="00DF2443">
          <w:rPr>
            <w:noProof/>
            <w:webHidden/>
          </w:rPr>
          <w:instrText xml:space="preserve"> PAGEREF _Toc99696058 \h </w:instrText>
        </w:r>
        <w:r w:rsidR="00DF2443">
          <w:rPr>
            <w:noProof/>
            <w:webHidden/>
          </w:rPr>
        </w:r>
        <w:r w:rsidR="00DF2443">
          <w:rPr>
            <w:noProof/>
            <w:webHidden/>
          </w:rPr>
          <w:fldChar w:fldCharType="separate"/>
        </w:r>
        <w:r w:rsidR="009D338D">
          <w:rPr>
            <w:noProof/>
            <w:webHidden/>
          </w:rPr>
          <w:t>307</w:t>
        </w:r>
        <w:r w:rsidR="00DF2443">
          <w:rPr>
            <w:noProof/>
            <w:webHidden/>
          </w:rPr>
          <w:fldChar w:fldCharType="end"/>
        </w:r>
      </w:hyperlink>
    </w:p>
    <w:p w14:paraId="1B3BC58F" w14:textId="53789CE8" w:rsidR="00DF2443" w:rsidRPr="00B04620" w:rsidRDefault="004B48CC">
      <w:pPr>
        <w:pStyle w:val="TableofFigures"/>
        <w:rPr>
          <w:noProof/>
          <w:sz w:val="22"/>
        </w:rPr>
      </w:pPr>
      <w:hyperlink w:anchor="_Toc99696059" w:history="1">
        <w:r w:rsidR="00DF2443" w:rsidRPr="00D251FE">
          <w:rPr>
            <w:rStyle w:val="Hyperlink"/>
            <w:noProof/>
          </w:rPr>
          <w:t xml:space="preserve">Figure 8.1.1 </w:t>
        </w:r>
        <w:r w:rsidR="00DF2443" w:rsidRPr="00B04620">
          <w:rPr>
            <w:noProof/>
            <w:sz w:val="22"/>
          </w:rPr>
          <w:tab/>
        </w:r>
        <w:r w:rsidR="00DF2443" w:rsidRPr="00D251FE">
          <w:rPr>
            <w:rStyle w:val="Hyperlink"/>
            <w:noProof/>
          </w:rPr>
          <w:t>Map of Tokelau</w:t>
        </w:r>
        <w:r w:rsidR="00DF2443">
          <w:rPr>
            <w:noProof/>
            <w:webHidden/>
          </w:rPr>
          <w:tab/>
        </w:r>
        <w:r w:rsidR="00DF2443">
          <w:rPr>
            <w:noProof/>
            <w:webHidden/>
          </w:rPr>
          <w:fldChar w:fldCharType="begin"/>
        </w:r>
        <w:r w:rsidR="00DF2443">
          <w:rPr>
            <w:noProof/>
            <w:webHidden/>
          </w:rPr>
          <w:instrText xml:space="preserve"> PAGEREF _Toc99696059 \h </w:instrText>
        </w:r>
        <w:r w:rsidR="00DF2443">
          <w:rPr>
            <w:noProof/>
            <w:webHidden/>
          </w:rPr>
        </w:r>
        <w:r w:rsidR="00DF2443">
          <w:rPr>
            <w:noProof/>
            <w:webHidden/>
          </w:rPr>
          <w:fldChar w:fldCharType="separate"/>
        </w:r>
        <w:r w:rsidR="009D338D">
          <w:rPr>
            <w:noProof/>
            <w:webHidden/>
          </w:rPr>
          <w:t>344</w:t>
        </w:r>
        <w:r w:rsidR="00DF2443">
          <w:rPr>
            <w:noProof/>
            <w:webHidden/>
          </w:rPr>
          <w:fldChar w:fldCharType="end"/>
        </w:r>
      </w:hyperlink>
    </w:p>
    <w:p w14:paraId="5F16BC50" w14:textId="0440697E" w:rsidR="00DF2443" w:rsidRPr="00B04620" w:rsidRDefault="004B48CC">
      <w:pPr>
        <w:pStyle w:val="TableofFigures"/>
        <w:rPr>
          <w:noProof/>
          <w:sz w:val="22"/>
        </w:rPr>
      </w:pPr>
      <w:hyperlink w:anchor="_Toc99696060" w:history="1">
        <w:r w:rsidR="00DF2443" w:rsidRPr="00D251FE">
          <w:rPr>
            <w:rStyle w:val="Hyperlink"/>
            <w:noProof/>
          </w:rPr>
          <w:t xml:space="preserve">Figure 8.1.2 </w:t>
        </w:r>
        <w:r w:rsidR="00DF2443" w:rsidRPr="00B04620">
          <w:rPr>
            <w:noProof/>
            <w:sz w:val="22"/>
          </w:rPr>
          <w:tab/>
        </w:r>
        <w:r w:rsidR="00DF2443" w:rsidRPr="00D251FE">
          <w:rPr>
            <w:rStyle w:val="Hyperlink"/>
            <w:noProof/>
          </w:rPr>
          <w:t>Tokelau’s emissions by gas in 2020</w:t>
        </w:r>
        <w:r w:rsidR="00DF2443">
          <w:rPr>
            <w:noProof/>
            <w:webHidden/>
          </w:rPr>
          <w:tab/>
        </w:r>
        <w:r w:rsidR="00DF2443">
          <w:rPr>
            <w:noProof/>
            <w:webHidden/>
          </w:rPr>
          <w:fldChar w:fldCharType="begin"/>
        </w:r>
        <w:r w:rsidR="00DF2443">
          <w:rPr>
            <w:noProof/>
            <w:webHidden/>
          </w:rPr>
          <w:instrText xml:space="preserve"> PAGEREF _Toc99696060 \h </w:instrText>
        </w:r>
        <w:r w:rsidR="00DF2443">
          <w:rPr>
            <w:noProof/>
            <w:webHidden/>
          </w:rPr>
        </w:r>
        <w:r w:rsidR="00DF2443">
          <w:rPr>
            <w:noProof/>
            <w:webHidden/>
          </w:rPr>
          <w:fldChar w:fldCharType="separate"/>
        </w:r>
        <w:r w:rsidR="009D338D">
          <w:rPr>
            <w:noProof/>
            <w:webHidden/>
          </w:rPr>
          <w:t>346</w:t>
        </w:r>
        <w:r w:rsidR="00DF2443">
          <w:rPr>
            <w:noProof/>
            <w:webHidden/>
          </w:rPr>
          <w:fldChar w:fldCharType="end"/>
        </w:r>
      </w:hyperlink>
    </w:p>
    <w:p w14:paraId="06434034" w14:textId="5F43CC40" w:rsidR="00DF2443" w:rsidRPr="00B04620" w:rsidRDefault="004B48CC">
      <w:pPr>
        <w:pStyle w:val="TableofFigures"/>
        <w:rPr>
          <w:noProof/>
          <w:sz w:val="22"/>
        </w:rPr>
      </w:pPr>
      <w:hyperlink w:anchor="_Toc99696061" w:history="1">
        <w:r w:rsidR="00DF2443" w:rsidRPr="00D251FE">
          <w:rPr>
            <w:rStyle w:val="Hyperlink"/>
            <w:noProof/>
          </w:rPr>
          <w:t xml:space="preserve">Figure 8.1.3 </w:t>
        </w:r>
        <w:r w:rsidR="00DF2443" w:rsidRPr="00B04620">
          <w:rPr>
            <w:noProof/>
            <w:sz w:val="22"/>
          </w:rPr>
          <w:tab/>
        </w:r>
        <w:r w:rsidR="00DF2443" w:rsidRPr="00D251FE">
          <w:rPr>
            <w:rStyle w:val="Hyperlink"/>
            <w:noProof/>
          </w:rPr>
          <w:t>Tokelau’s emissions by sector in 2020</w:t>
        </w:r>
        <w:r w:rsidR="00DF2443">
          <w:rPr>
            <w:noProof/>
            <w:webHidden/>
          </w:rPr>
          <w:tab/>
        </w:r>
        <w:r w:rsidR="00DF2443">
          <w:rPr>
            <w:noProof/>
            <w:webHidden/>
          </w:rPr>
          <w:fldChar w:fldCharType="begin"/>
        </w:r>
        <w:r w:rsidR="00DF2443">
          <w:rPr>
            <w:noProof/>
            <w:webHidden/>
          </w:rPr>
          <w:instrText xml:space="preserve"> PAGEREF _Toc99696061 \h </w:instrText>
        </w:r>
        <w:r w:rsidR="00DF2443">
          <w:rPr>
            <w:noProof/>
            <w:webHidden/>
          </w:rPr>
        </w:r>
        <w:r w:rsidR="00DF2443">
          <w:rPr>
            <w:noProof/>
            <w:webHidden/>
          </w:rPr>
          <w:fldChar w:fldCharType="separate"/>
        </w:r>
        <w:r w:rsidR="009D338D">
          <w:rPr>
            <w:noProof/>
            <w:webHidden/>
          </w:rPr>
          <w:t>347</w:t>
        </w:r>
        <w:r w:rsidR="00DF2443">
          <w:rPr>
            <w:noProof/>
            <w:webHidden/>
          </w:rPr>
          <w:fldChar w:fldCharType="end"/>
        </w:r>
      </w:hyperlink>
    </w:p>
    <w:p w14:paraId="5D02B706" w14:textId="5707E3AE" w:rsidR="00DF2443" w:rsidRPr="00B04620" w:rsidRDefault="004B48CC">
      <w:pPr>
        <w:pStyle w:val="TableofFigures"/>
        <w:rPr>
          <w:noProof/>
          <w:sz w:val="22"/>
        </w:rPr>
      </w:pPr>
      <w:hyperlink w:anchor="_Toc99696062" w:history="1">
        <w:r w:rsidR="00DF2443" w:rsidRPr="00D251FE">
          <w:rPr>
            <w:rStyle w:val="Hyperlink"/>
            <w:rFonts w:eastAsia="Calibri"/>
            <w:noProof/>
          </w:rPr>
          <w:t xml:space="preserve">Figure 8.1.4 </w:t>
        </w:r>
        <w:r w:rsidR="00DF2443" w:rsidRPr="00B04620">
          <w:rPr>
            <w:noProof/>
            <w:sz w:val="22"/>
          </w:rPr>
          <w:tab/>
        </w:r>
        <w:r w:rsidR="00DF2443" w:rsidRPr="00D251FE">
          <w:rPr>
            <w:rStyle w:val="Hyperlink"/>
            <w:rFonts w:eastAsia="Calibri"/>
            <w:noProof/>
          </w:rPr>
          <w:t>Emissions by sector for Tokelau (kt CO</w:t>
        </w:r>
        <w:r w:rsidR="00DF2443" w:rsidRPr="00D251FE">
          <w:rPr>
            <w:rStyle w:val="Hyperlink"/>
            <w:rFonts w:eastAsia="Calibri"/>
            <w:noProof/>
            <w:vertAlign w:val="subscript"/>
          </w:rPr>
          <w:t>2</w:t>
        </w:r>
        <w:r w:rsidR="00DF2443" w:rsidRPr="00D251FE">
          <w:rPr>
            <w:rStyle w:val="Hyperlink"/>
            <w:rFonts w:eastAsia="Calibri"/>
            <w:noProof/>
          </w:rPr>
          <w:t>-e) from 1990 to 2020</w:t>
        </w:r>
        <w:r w:rsidR="00DF2443">
          <w:rPr>
            <w:noProof/>
            <w:webHidden/>
          </w:rPr>
          <w:tab/>
        </w:r>
        <w:r w:rsidR="00DF2443">
          <w:rPr>
            <w:noProof/>
            <w:webHidden/>
          </w:rPr>
          <w:fldChar w:fldCharType="begin"/>
        </w:r>
        <w:r w:rsidR="00DF2443">
          <w:rPr>
            <w:noProof/>
            <w:webHidden/>
          </w:rPr>
          <w:instrText xml:space="preserve"> PAGEREF _Toc99696062 \h </w:instrText>
        </w:r>
        <w:r w:rsidR="00DF2443">
          <w:rPr>
            <w:noProof/>
            <w:webHidden/>
          </w:rPr>
        </w:r>
        <w:r w:rsidR="00DF2443">
          <w:rPr>
            <w:noProof/>
            <w:webHidden/>
          </w:rPr>
          <w:fldChar w:fldCharType="separate"/>
        </w:r>
        <w:r w:rsidR="009D338D">
          <w:rPr>
            <w:noProof/>
            <w:webHidden/>
          </w:rPr>
          <w:t>348</w:t>
        </w:r>
        <w:r w:rsidR="00DF2443">
          <w:rPr>
            <w:noProof/>
            <w:webHidden/>
          </w:rPr>
          <w:fldChar w:fldCharType="end"/>
        </w:r>
      </w:hyperlink>
    </w:p>
    <w:p w14:paraId="4C343A7E" w14:textId="43C75CCB" w:rsidR="00DF2443" w:rsidRPr="00B04620" w:rsidRDefault="004B48CC">
      <w:pPr>
        <w:pStyle w:val="TableofFigures"/>
        <w:rPr>
          <w:noProof/>
          <w:sz w:val="22"/>
        </w:rPr>
      </w:pPr>
      <w:hyperlink w:anchor="_Toc99696063" w:history="1">
        <w:r w:rsidR="00DF2443" w:rsidRPr="00D251FE">
          <w:rPr>
            <w:rStyle w:val="Hyperlink"/>
            <w:noProof/>
          </w:rPr>
          <w:t xml:space="preserve">Figure 8.2.1 </w:t>
        </w:r>
        <w:r w:rsidR="00DF2443" w:rsidRPr="00B04620">
          <w:rPr>
            <w:noProof/>
            <w:sz w:val="22"/>
          </w:rPr>
          <w:tab/>
        </w:r>
        <w:r w:rsidR="00DF2443" w:rsidRPr="00D251FE">
          <w:rPr>
            <w:rStyle w:val="Hyperlink"/>
            <w:noProof/>
          </w:rPr>
          <w:t>Cluster block diagram for Tokelau’s solar project</w:t>
        </w:r>
        <w:r w:rsidR="00DF2443">
          <w:rPr>
            <w:noProof/>
            <w:webHidden/>
          </w:rPr>
          <w:tab/>
        </w:r>
        <w:r w:rsidR="00DF2443">
          <w:rPr>
            <w:noProof/>
            <w:webHidden/>
          </w:rPr>
          <w:fldChar w:fldCharType="begin"/>
        </w:r>
        <w:r w:rsidR="00DF2443">
          <w:rPr>
            <w:noProof/>
            <w:webHidden/>
          </w:rPr>
          <w:instrText xml:space="preserve"> PAGEREF _Toc99696063 \h </w:instrText>
        </w:r>
        <w:r w:rsidR="00DF2443">
          <w:rPr>
            <w:noProof/>
            <w:webHidden/>
          </w:rPr>
        </w:r>
        <w:r w:rsidR="00DF2443">
          <w:rPr>
            <w:noProof/>
            <w:webHidden/>
          </w:rPr>
          <w:fldChar w:fldCharType="separate"/>
        </w:r>
        <w:r w:rsidR="009D338D">
          <w:rPr>
            <w:noProof/>
            <w:webHidden/>
          </w:rPr>
          <w:t>353</w:t>
        </w:r>
        <w:r w:rsidR="00DF2443">
          <w:rPr>
            <w:noProof/>
            <w:webHidden/>
          </w:rPr>
          <w:fldChar w:fldCharType="end"/>
        </w:r>
      </w:hyperlink>
    </w:p>
    <w:p w14:paraId="0AB4E166" w14:textId="6E7BB0F5" w:rsidR="00DF2443" w:rsidRPr="00B04620" w:rsidRDefault="004B48CC">
      <w:pPr>
        <w:pStyle w:val="TableofFigures"/>
        <w:rPr>
          <w:noProof/>
          <w:sz w:val="22"/>
        </w:rPr>
      </w:pPr>
      <w:hyperlink w:anchor="_Toc99696064" w:history="1">
        <w:r w:rsidR="00DF2443" w:rsidRPr="00D251FE">
          <w:rPr>
            <w:rStyle w:val="Hyperlink"/>
            <w:rFonts w:eastAsia="Calibri"/>
            <w:noProof/>
          </w:rPr>
          <w:t xml:space="preserve">Figure 8.2.2 </w:t>
        </w:r>
        <w:r w:rsidR="00DF2443" w:rsidRPr="00B04620">
          <w:rPr>
            <w:noProof/>
            <w:sz w:val="22"/>
          </w:rPr>
          <w:tab/>
        </w:r>
        <w:r w:rsidR="00DF2443" w:rsidRPr="00D251FE">
          <w:rPr>
            <w:rStyle w:val="Hyperlink"/>
            <w:rFonts w:eastAsia="Calibri"/>
            <w:noProof/>
          </w:rPr>
          <w:t>Energy emissions by category for Tokelau (kt CO</w:t>
        </w:r>
        <w:r w:rsidR="00DF2443" w:rsidRPr="00D251FE">
          <w:rPr>
            <w:rStyle w:val="Hyperlink"/>
            <w:rFonts w:eastAsia="Calibri"/>
            <w:noProof/>
            <w:vertAlign w:val="subscript"/>
          </w:rPr>
          <w:t>2</w:t>
        </w:r>
        <w:r w:rsidR="00DF2443" w:rsidRPr="00D251FE">
          <w:rPr>
            <w:rStyle w:val="Hyperlink"/>
            <w:rFonts w:eastAsia="Calibri"/>
            <w:noProof/>
          </w:rPr>
          <w:t>-e) from 1990 to 2020</w:t>
        </w:r>
        <w:r w:rsidR="00DF2443">
          <w:rPr>
            <w:noProof/>
            <w:webHidden/>
          </w:rPr>
          <w:tab/>
        </w:r>
        <w:r w:rsidR="00DF2443">
          <w:rPr>
            <w:noProof/>
            <w:webHidden/>
          </w:rPr>
          <w:fldChar w:fldCharType="begin"/>
        </w:r>
        <w:r w:rsidR="00DF2443">
          <w:rPr>
            <w:noProof/>
            <w:webHidden/>
          </w:rPr>
          <w:instrText xml:space="preserve"> PAGEREF _Toc99696064 \h </w:instrText>
        </w:r>
        <w:r w:rsidR="00DF2443">
          <w:rPr>
            <w:noProof/>
            <w:webHidden/>
          </w:rPr>
        </w:r>
        <w:r w:rsidR="00DF2443">
          <w:rPr>
            <w:noProof/>
            <w:webHidden/>
          </w:rPr>
          <w:fldChar w:fldCharType="separate"/>
        </w:r>
        <w:r w:rsidR="009D338D">
          <w:rPr>
            <w:noProof/>
            <w:webHidden/>
          </w:rPr>
          <w:t>354</w:t>
        </w:r>
        <w:r w:rsidR="00DF2443">
          <w:rPr>
            <w:noProof/>
            <w:webHidden/>
          </w:rPr>
          <w:fldChar w:fldCharType="end"/>
        </w:r>
      </w:hyperlink>
    </w:p>
    <w:p w14:paraId="5837AF90" w14:textId="3BF13E4C" w:rsidR="00DF2443" w:rsidRPr="00B04620" w:rsidRDefault="004B48CC">
      <w:pPr>
        <w:pStyle w:val="TableofFigures"/>
        <w:rPr>
          <w:noProof/>
          <w:sz w:val="22"/>
        </w:rPr>
      </w:pPr>
      <w:hyperlink w:anchor="_Toc99696065" w:history="1">
        <w:r w:rsidR="00DF2443" w:rsidRPr="00D251FE">
          <w:rPr>
            <w:rStyle w:val="Hyperlink"/>
            <w:rFonts w:eastAsia="Calibri"/>
            <w:noProof/>
          </w:rPr>
          <w:t xml:space="preserve">Figure 8.3.1 </w:t>
        </w:r>
        <w:r w:rsidR="00DF2443" w:rsidRPr="00B04620">
          <w:rPr>
            <w:noProof/>
            <w:sz w:val="22"/>
          </w:rPr>
          <w:tab/>
        </w:r>
        <w:r w:rsidR="00DF2443" w:rsidRPr="00D251FE">
          <w:rPr>
            <w:rStyle w:val="Hyperlink"/>
            <w:rFonts w:eastAsia="Calibri"/>
            <w:noProof/>
          </w:rPr>
          <w:t>IPPU emissions by category for Tokelau (kt CO</w:t>
        </w:r>
        <w:r w:rsidR="00DF2443" w:rsidRPr="00D251FE">
          <w:rPr>
            <w:rStyle w:val="Hyperlink"/>
            <w:rFonts w:eastAsia="Calibri"/>
            <w:noProof/>
            <w:vertAlign w:val="subscript"/>
          </w:rPr>
          <w:t>2</w:t>
        </w:r>
        <w:r w:rsidR="00DF2443" w:rsidRPr="00D251FE">
          <w:rPr>
            <w:rStyle w:val="Hyperlink"/>
            <w:rFonts w:eastAsia="Calibri"/>
            <w:noProof/>
          </w:rPr>
          <w:t>-e) from 1990 to 2020</w:t>
        </w:r>
        <w:r w:rsidR="00DF2443">
          <w:rPr>
            <w:noProof/>
            <w:webHidden/>
          </w:rPr>
          <w:tab/>
        </w:r>
        <w:r w:rsidR="00DF2443">
          <w:rPr>
            <w:noProof/>
            <w:webHidden/>
          </w:rPr>
          <w:fldChar w:fldCharType="begin"/>
        </w:r>
        <w:r w:rsidR="00DF2443">
          <w:rPr>
            <w:noProof/>
            <w:webHidden/>
          </w:rPr>
          <w:instrText xml:space="preserve"> PAGEREF _Toc99696065 \h </w:instrText>
        </w:r>
        <w:r w:rsidR="00DF2443">
          <w:rPr>
            <w:noProof/>
            <w:webHidden/>
          </w:rPr>
        </w:r>
        <w:r w:rsidR="00DF2443">
          <w:rPr>
            <w:noProof/>
            <w:webHidden/>
          </w:rPr>
          <w:fldChar w:fldCharType="separate"/>
        </w:r>
        <w:r w:rsidR="009D338D">
          <w:rPr>
            <w:noProof/>
            <w:webHidden/>
          </w:rPr>
          <w:t>360</w:t>
        </w:r>
        <w:r w:rsidR="00DF2443">
          <w:rPr>
            <w:noProof/>
            <w:webHidden/>
          </w:rPr>
          <w:fldChar w:fldCharType="end"/>
        </w:r>
      </w:hyperlink>
    </w:p>
    <w:p w14:paraId="6B571947" w14:textId="7777D7F9" w:rsidR="00DF2443" w:rsidRPr="00B04620" w:rsidRDefault="004B48CC">
      <w:pPr>
        <w:pStyle w:val="TableofFigures"/>
        <w:rPr>
          <w:noProof/>
          <w:sz w:val="22"/>
        </w:rPr>
      </w:pPr>
      <w:hyperlink w:anchor="_Toc99696066" w:history="1">
        <w:r w:rsidR="00DF2443" w:rsidRPr="00D251FE">
          <w:rPr>
            <w:rStyle w:val="Hyperlink"/>
            <w:rFonts w:eastAsia="Calibri"/>
            <w:noProof/>
          </w:rPr>
          <w:t xml:space="preserve">Figure 8.3.2 </w:t>
        </w:r>
        <w:r w:rsidR="00DF2443" w:rsidRPr="00B04620">
          <w:rPr>
            <w:noProof/>
            <w:sz w:val="22"/>
          </w:rPr>
          <w:tab/>
        </w:r>
        <w:r w:rsidR="00DF2443" w:rsidRPr="00D251FE">
          <w:rPr>
            <w:rStyle w:val="Hyperlink"/>
            <w:rFonts w:eastAsia="Calibri"/>
            <w:noProof/>
          </w:rPr>
          <w:t>Agriculture emissions by category for Tokelau (kt CO</w:t>
        </w:r>
        <w:r w:rsidR="00DF2443" w:rsidRPr="00D251FE">
          <w:rPr>
            <w:rStyle w:val="Hyperlink"/>
            <w:rFonts w:eastAsia="Calibri"/>
            <w:noProof/>
            <w:vertAlign w:val="subscript"/>
          </w:rPr>
          <w:t>2</w:t>
        </w:r>
        <w:r w:rsidR="00DF2443" w:rsidRPr="00D251FE">
          <w:rPr>
            <w:rStyle w:val="Hyperlink"/>
            <w:rFonts w:eastAsia="Calibri"/>
            <w:noProof/>
          </w:rPr>
          <w:t>-e) from 1990 to 2020</w:t>
        </w:r>
        <w:r w:rsidR="00DF2443">
          <w:rPr>
            <w:noProof/>
            <w:webHidden/>
          </w:rPr>
          <w:tab/>
        </w:r>
        <w:r w:rsidR="00DF2443">
          <w:rPr>
            <w:noProof/>
            <w:webHidden/>
          </w:rPr>
          <w:fldChar w:fldCharType="begin"/>
        </w:r>
        <w:r w:rsidR="00DF2443">
          <w:rPr>
            <w:noProof/>
            <w:webHidden/>
          </w:rPr>
          <w:instrText xml:space="preserve"> PAGEREF _Toc99696066 \h </w:instrText>
        </w:r>
        <w:r w:rsidR="00DF2443">
          <w:rPr>
            <w:noProof/>
            <w:webHidden/>
          </w:rPr>
        </w:r>
        <w:r w:rsidR="00DF2443">
          <w:rPr>
            <w:noProof/>
            <w:webHidden/>
          </w:rPr>
          <w:fldChar w:fldCharType="separate"/>
        </w:r>
        <w:r w:rsidR="009D338D">
          <w:rPr>
            <w:noProof/>
            <w:webHidden/>
          </w:rPr>
          <w:t>364</w:t>
        </w:r>
        <w:r w:rsidR="00DF2443">
          <w:rPr>
            <w:noProof/>
            <w:webHidden/>
          </w:rPr>
          <w:fldChar w:fldCharType="end"/>
        </w:r>
      </w:hyperlink>
    </w:p>
    <w:p w14:paraId="07719D33" w14:textId="25539661" w:rsidR="00DF2443" w:rsidRPr="00B04620" w:rsidRDefault="004B48CC">
      <w:pPr>
        <w:pStyle w:val="TableofFigures"/>
        <w:rPr>
          <w:noProof/>
          <w:sz w:val="22"/>
        </w:rPr>
      </w:pPr>
      <w:hyperlink w:anchor="_Toc99696067" w:history="1">
        <w:r w:rsidR="00DF2443" w:rsidRPr="00D251FE">
          <w:rPr>
            <w:rStyle w:val="Hyperlink"/>
            <w:rFonts w:eastAsia="Calibri"/>
            <w:noProof/>
          </w:rPr>
          <w:t xml:space="preserve">Figure 8.5.1 </w:t>
        </w:r>
        <w:r w:rsidR="00DF2443" w:rsidRPr="00B04620">
          <w:rPr>
            <w:noProof/>
            <w:sz w:val="22"/>
          </w:rPr>
          <w:tab/>
        </w:r>
        <w:r w:rsidR="00DF2443" w:rsidRPr="00D251FE">
          <w:rPr>
            <w:rStyle w:val="Hyperlink"/>
            <w:rFonts w:eastAsia="Calibri"/>
            <w:noProof/>
          </w:rPr>
          <w:t>Waste sector emissions by category for Tokelau (kt CO</w:t>
        </w:r>
        <w:r w:rsidR="00DF2443" w:rsidRPr="00D251FE">
          <w:rPr>
            <w:rStyle w:val="Hyperlink"/>
            <w:rFonts w:eastAsia="Calibri"/>
            <w:noProof/>
            <w:vertAlign w:val="subscript"/>
          </w:rPr>
          <w:t>2</w:t>
        </w:r>
        <w:r w:rsidR="00DF2443" w:rsidRPr="00D251FE">
          <w:rPr>
            <w:rStyle w:val="Hyperlink"/>
            <w:rFonts w:eastAsia="Calibri"/>
            <w:noProof/>
          </w:rPr>
          <w:t>-e) from 1990 to 2020</w:t>
        </w:r>
        <w:r w:rsidR="00DF2443">
          <w:rPr>
            <w:noProof/>
            <w:webHidden/>
          </w:rPr>
          <w:tab/>
        </w:r>
        <w:r w:rsidR="00DF2443">
          <w:rPr>
            <w:noProof/>
            <w:webHidden/>
          </w:rPr>
          <w:fldChar w:fldCharType="begin"/>
        </w:r>
        <w:r w:rsidR="00DF2443">
          <w:rPr>
            <w:noProof/>
            <w:webHidden/>
          </w:rPr>
          <w:instrText xml:space="preserve"> PAGEREF _Toc99696067 \h </w:instrText>
        </w:r>
        <w:r w:rsidR="00DF2443">
          <w:rPr>
            <w:noProof/>
            <w:webHidden/>
          </w:rPr>
        </w:r>
        <w:r w:rsidR="00DF2443">
          <w:rPr>
            <w:noProof/>
            <w:webHidden/>
          </w:rPr>
          <w:fldChar w:fldCharType="separate"/>
        </w:r>
        <w:r w:rsidR="009D338D">
          <w:rPr>
            <w:noProof/>
            <w:webHidden/>
          </w:rPr>
          <w:t>367</w:t>
        </w:r>
        <w:r w:rsidR="00DF2443">
          <w:rPr>
            <w:noProof/>
            <w:webHidden/>
          </w:rPr>
          <w:fldChar w:fldCharType="end"/>
        </w:r>
      </w:hyperlink>
    </w:p>
    <w:p w14:paraId="2CA8704A" w14:textId="7241B760" w:rsidR="00DF2443" w:rsidRPr="00B04620" w:rsidRDefault="004B48CC">
      <w:pPr>
        <w:pStyle w:val="TableofFigures"/>
        <w:rPr>
          <w:noProof/>
          <w:sz w:val="22"/>
        </w:rPr>
      </w:pPr>
      <w:hyperlink w:anchor="_Toc99696068" w:history="1">
        <w:r w:rsidR="00DF2443" w:rsidRPr="00D251FE">
          <w:rPr>
            <w:rStyle w:val="Hyperlink"/>
            <w:noProof/>
          </w:rPr>
          <w:t>Figure 10.1.1</w:t>
        </w:r>
        <w:r w:rsidR="00DF2443" w:rsidRPr="00B04620">
          <w:rPr>
            <w:noProof/>
            <w:sz w:val="22"/>
          </w:rPr>
          <w:tab/>
        </w:r>
        <w:r w:rsidR="00DF2443" w:rsidRPr="00D251FE">
          <w:rPr>
            <w:rStyle w:val="Hyperlink"/>
            <w:noProof/>
          </w:rPr>
          <w:t>Effect of recalculations on New Zealand’s gross greenhouse gas emissions estimates from 1990 to 2019</w:t>
        </w:r>
        <w:r w:rsidR="00DF2443">
          <w:rPr>
            <w:noProof/>
            <w:webHidden/>
          </w:rPr>
          <w:tab/>
        </w:r>
        <w:r w:rsidR="00DF2443">
          <w:rPr>
            <w:noProof/>
            <w:webHidden/>
          </w:rPr>
          <w:fldChar w:fldCharType="begin"/>
        </w:r>
        <w:r w:rsidR="00DF2443">
          <w:rPr>
            <w:noProof/>
            <w:webHidden/>
          </w:rPr>
          <w:instrText xml:space="preserve"> PAGEREF _Toc99696068 \h </w:instrText>
        </w:r>
        <w:r w:rsidR="00DF2443">
          <w:rPr>
            <w:noProof/>
            <w:webHidden/>
          </w:rPr>
        </w:r>
        <w:r w:rsidR="00DF2443">
          <w:rPr>
            <w:noProof/>
            <w:webHidden/>
          </w:rPr>
          <w:fldChar w:fldCharType="separate"/>
        </w:r>
        <w:r w:rsidR="009D338D">
          <w:rPr>
            <w:noProof/>
            <w:webHidden/>
          </w:rPr>
          <w:t>376</w:t>
        </w:r>
        <w:r w:rsidR="00DF2443">
          <w:rPr>
            <w:noProof/>
            <w:webHidden/>
          </w:rPr>
          <w:fldChar w:fldCharType="end"/>
        </w:r>
      </w:hyperlink>
    </w:p>
    <w:p w14:paraId="54E89AA7" w14:textId="466E6230" w:rsidR="00DF2443" w:rsidRPr="00B04620" w:rsidRDefault="004B48CC">
      <w:pPr>
        <w:pStyle w:val="TableofFigures"/>
        <w:rPr>
          <w:noProof/>
          <w:sz w:val="22"/>
        </w:rPr>
      </w:pPr>
      <w:hyperlink w:anchor="_Toc99696069" w:history="1">
        <w:r w:rsidR="00DF2443" w:rsidRPr="00D251FE">
          <w:rPr>
            <w:rStyle w:val="Hyperlink"/>
            <w:bCs/>
            <w:noProof/>
          </w:rPr>
          <w:t>Figure 10.1.2</w:t>
        </w:r>
        <w:r w:rsidR="00DF2443" w:rsidRPr="00B04620">
          <w:rPr>
            <w:noProof/>
            <w:sz w:val="22"/>
          </w:rPr>
          <w:tab/>
        </w:r>
        <w:r w:rsidR="00DF2443" w:rsidRPr="00D251FE">
          <w:rPr>
            <w:rStyle w:val="Hyperlink"/>
            <w:bCs/>
            <w:noProof/>
          </w:rPr>
          <w:t>Effect of changes to activity data on emissions estimates from New Zealand’s Energy sector from 1990 to 2019</w:t>
        </w:r>
        <w:r w:rsidR="00DF2443">
          <w:rPr>
            <w:noProof/>
            <w:webHidden/>
          </w:rPr>
          <w:tab/>
        </w:r>
        <w:r w:rsidR="00DF2443">
          <w:rPr>
            <w:noProof/>
            <w:webHidden/>
          </w:rPr>
          <w:fldChar w:fldCharType="begin"/>
        </w:r>
        <w:r w:rsidR="00DF2443">
          <w:rPr>
            <w:noProof/>
            <w:webHidden/>
          </w:rPr>
          <w:instrText xml:space="preserve"> PAGEREF _Toc99696069 \h </w:instrText>
        </w:r>
        <w:r w:rsidR="00DF2443">
          <w:rPr>
            <w:noProof/>
            <w:webHidden/>
          </w:rPr>
        </w:r>
        <w:r w:rsidR="00DF2443">
          <w:rPr>
            <w:noProof/>
            <w:webHidden/>
          </w:rPr>
          <w:fldChar w:fldCharType="separate"/>
        </w:r>
        <w:r w:rsidR="009D338D">
          <w:rPr>
            <w:noProof/>
            <w:webHidden/>
          </w:rPr>
          <w:t>378</w:t>
        </w:r>
        <w:r w:rsidR="00DF2443">
          <w:rPr>
            <w:noProof/>
            <w:webHidden/>
          </w:rPr>
          <w:fldChar w:fldCharType="end"/>
        </w:r>
      </w:hyperlink>
    </w:p>
    <w:p w14:paraId="7A81D55A" w14:textId="55F1F059" w:rsidR="00DF2443" w:rsidRPr="00B04620" w:rsidRDefault="004B48CC">
      <w:pPr>
        <w:pStyle w:val="TableofFigures"/>
        <w:rPr>
          <w:noProof/>
          <w:sz w:val="22"/>
        </w:rPr>
      </w:pPr>
      <w:hyperlink w:anchor="_Toc99696070" w:history="1">
        <w:r w:rsidR="00DF2443" w:rsidRPr="00D251FE">
          <w:rPr>
            <w:rStyle w:val="Hyperlink"/>
            <w:noProof/>
          </w:rPr>
          <w:t>Figure 10.1.3</w:t>
        </w:r>
        <w:r w:rsidR="00DF2443" w:rsidRPr="00B04620">
          <w:rPr>
            <w:noProof/>
            <w:sz w:val="22"/>
          </w:rPr>
          <w:tab/>
        </w:r>
        <w:r w:rsidR="00DF2443" w:rsidRPr="00D251FE">
          <w:rPr>
            <w:rStyle w:val="Hyperlink"/>
            <w:noProof/>
          </w:rPr>
          <w:t>Effect of recalculations on emissions estimates from the IPPU sector from 1990 to 2019</w:t>
        </w:r>
        <w:r w:rsidR="00DF2443">
          <w:rPr>
            <w:noProof/>
            <w:webHidden/>
          </w:rPr>
          <w:tab/>
        </w:r>
        <w:r w:rsidR="00DF2443">
          <w:rPr>
            <w:noProof/>
            <w:webHidden/>
          </w:rPr>
          <w:fldChar w:fldCharType="begin"/>
        </w:r>
        <w:r w:rsidR="00DF2443">
          <w:rPr>
            <w:noProof/>
            <w:webHidden/>
          </w:rPr>
          <w:instrText xml:space="preserve"> PAGEREF _Toc99696070 \h </w:instrText>
        </w:r>
        <w:r w:rsidR="00DF2443">
          <w:rPr>
            <w:noProof/>
            <w:webHidden/>
          </w:rPr>
        </w:r>
        <w:r w:rsidR="00DF2443">
          <w:rPr>
            <w:noProof/>
            <w:webHidden/>
          </w:rPr>
          <w:fldChar w:fldCharType="separate"/>
        </w:r>
        <w:r w:rsidR="009D338D">
          <w:rPr>
            <w:noProof/>
            <w:webHidden/>
          </w:rPr>
          <w:t>379</w:t>
        </w:r>
        <w:r w:rsidR="00DF2443">
          <w:rPr>
            <w:noProof/>
            <w:webHidden/>
          </w:rPr>
          <w:fldChar w:fldCharType="end"/>
        </w:r>
      </w:hyperlink>
    </w:p>
    <w:p w14:paraId="61E2D1FB" w14:textId="036B80AA" w:rsidR="00DF2443" w:rsidRPr="00B04620" w:rsidRDefault="004B48CC">
      <w:pPr>
        <w:pStyle w:val="TableofFigures"/>
        <w:rPr>
          <w:noProof/>
          <w:sz w:val="22"/>
        </w:rPr>
      </w:pPr>
      <w:hyperlink w:anchor="_Toc99696071" w:history="1">
        <w:r w:rsidR="00DF2443" w:rsidRPr="00D251FE">
          <w:rPr>
            <w:rStyle w:val="Hyperlink"/>
            <w:bCs/>
            <w:noProof/>
          </w:rPr>
          <w:t>Figure 10.1.4</w:t>
        </w:r>
        <w:r w:rsidR="00DF2443" w:rsidRPr="00B04620">
          <w:rPr>
            <w:noProof/>
            <w:sz w:val="22"/>
          </w:rPr>
          <w:tab/>
        </w:r>
        <w:r w:rsidR="00DF2443" w:rsidRPr="00D251FE">
          <w:rPr>
            <w:rStyle w:val="Hyperlink"/>
            <w:bCs/>
            <w:noProof/>
          </w:rPr>
          <w:t>Effect of recalculations on emissions estimates from New Zealand’s Agriculture sector from 1990 to 2019</w:t>
        </w:r>
        <w:r w:rsidR="00DF2443">
          <w:rPr>
            <w:noProof/>
            <w:webHidden/>
          </w:rPr>
          <w:tab/>
        </w:r>
        <w:r w:rsidR="00DF2443">
          <w:rPr>
            <w:noProof/>
            <w:webHidden/>
          </w:rPr>
          <w:fldChar w:fldCharType="begin"/>
        </w:r>
        <w:r w:rsidR="00DF2443">
          <w:rPr>
            <w:noProof/>
            <w:webHidden/>
          </w:rPr>
          <w:instrText xml:space="preserve"> PAGEREF _Toc99696071 \h </w:instrText>
        </w:r>
        <w:r w:rsidR="00DF2443">
          <w:rPr>
            <w:noProof/>
            <w:webHidden/>
          </w:rPr>
        </w:r>
        <w:r w:rsidR="00DF2443">
          <w:rPr>
            <w:noProof/>
            <w:webHidden/>
          </w:rPr>
          <w:fldChar w:fldCharType="separate"/>
        </w:r>
        <w:r w:rsidR="009D338D">
          <w:rPr>
            <w:noProof/>
            <w:webHidden/>
          </w:rPr>
          <w:t>382</w:t>
        </w:r>
        <w:r w:rsidR="00DF2443">
          <w:rPr>
            <w:noProof/>
            <w:webHidden/>
          </w:rPr>
          <w:fldChar w:fldCharType="end"/>
        </w:r>
      </w:hyperlink>
    </w:p>
    <w:p w14:paraId="559E86CA" w14:textId="2F2ACCBD" w:rsidR="00DF2443" w:rsidRPr="00B04620" w:rsidRDefault="004B48CC">
      <w:pPr>
        <w:pStyle w:val="TableofFigures"/>
        <w:rPr>
          <w:noProof/>
          <w:sz w:val="22"/>
        </w:rPr>
      </w:pPr>
      <w:hyperlink w:anchor="_Toc99696072" w:history="1">
        <w:r w:rsidR="00DF2443" w:rsidRPr="00D251FE">
          <w:rPr>
            <w:rStyle w:val="Hyperlink"/>
            <w:bCs/>
            <w:noProof/>
          </w:rPr>
          <w:t>Figure 10.1.5</w:t>
        </w:r>
        <w:r w:rsidR="00DF2443" w:rsidRPr="00B04620">
          <w:rPr>
            <w:noProof/>
            <w:sz w:val="22"/>
          </w:rPr>
          <w:tab/>
        </w:r>
        <w:r w:rsidR="00DF2443" w:rsidRPr="00D251FE">
          <w:rPr>
            <w:rStyle w:val="Hyperlink"/>
            <w:bCs/>
            <w:noProof/>
          </w:rPr>
          <w:t>Effect of recalculations on net emissions estimates from New Zealand’s LULUCF sector from 1990 to 2019</w:t>
        </w:r>
        <w:r w:rsidR="00DF2443">
          <w:rPr>
            <w:noProof/>
            <w:webHidden/>
          </w:rPr>
          <w:tab/>
        </w:r>
        <w:r w:rsidR="00DF2443">
          <w:rPr>
            <w:noProof/>
            <w:webHidden/>
          </w:rPr>
          <w:fldChar w:fldCharType="begin"/>
        </w:r>
        <w:r w:rsidR="00DF2443">
          <w:rPr>
            <w:noProof/>
            <w:webHidden/>
          </w:rPr>
          <w:instrText xml:space="preserve"> PAGEREF _Toc99696072 \h </w:instrText>
        </w:r>
        <w:r w:rsidR="00DF2443">
          <w:rPr>
            <w:noProof/>
            <w:webHidden/>
          </w:rPr>
        </w:r>
        <w:r w:rsidR="00DF2443">
          <w:rPr>
            <w:noProof/>
            <w:webHidden/>
          </w:rPr>
          <w:fldChar w:fldCharType="separate"/>
        </w:r>
        <w:r w:rsidR="009D338D">
          <w:rPr>
            <w:noProof/>
            <w:webHidden/>
          </w:rPr>
          <w:t>383</w:t>
        </w:r>
        <w:r w:rsidR="00DF2443">
          <w:rPr>
            <w:noProof/>
            <w:webHidden/>
          </w:rPr>
          <w:fldChar w:fldCharType="end"/>
        </w:r>
      </w:hyperlink>
    </w:p>
    <w:p w14:paraId="3DA5CFD8" w14:textId="68242714" w:rsidR="00DF2443" w:rsidRPr="00B04620" w:rsidRDefault="004B48CC">
      <w:pPr>
        <w:pStyle w:val="TableofFigures"/>
        <w:rPr>
          <w:noProof/>
          <w:sz w:val="22"/>
        </w:rPr>
      </w:pPr>
      <w:hyperlink w:anchor="_Toc99696073" w:history="1">
        <w:r w:rsidR="00DF2443" w:rsidRPr="00D251FE">
          <w:rPr>
            <w:rStyle w:val="Hyperlink"/>
            <w:bCs/>
            <w:noProof/>
          </w:rPr>
          <w:t>Figure 10.1.6</w:t>
        </w:r>
        <w:r w:rsidR="00DF2443" w:rsidRPr="00B04620">
          <w:rPr>
            <w:noProof/>
            <w:sz w:val="22"/>
          </w:rPr>
          <w:tab/>
        </w:r>
        <w:r w:rsidR="00DF2443" w:rsidRPr="00D251FE">
          <w:rPr>
            <w:rStyle w:val="Hyperlink"/>
            <w:bCs/>
            <w:noProof/>
          </w:rPr>
          <w:t>Effect of recalculations on emissions estimates from New Zealand’s Waste sector from 1990 to 2019</w:t>
        </w:r>
        <w:r w:rsidR="00DF2443">
          <w:rPr>
            <w:noProof/>
            <w:webHidden/>
          </w:rPr>
          <w:tab/>
        </w:r>
        <w:r w:rsidR="00DF2443">
          <w:rPr>
            <w:noProof/>
            <w:webHidden/>
          </w:rPr>
          <w:fldChar w:fldCharType="begin"/>
        </w:r>
        <w:r w:rsidR="00DF2443">
          <w:rPr>
            <w:noProof/>
            <w:webHidden/>
          </w:rPr>
          <w:instrText xml:space="preserve"> PAGEREF _Toc99696073 \h </w:instrText>
        </w:r>
        <w:r w:rsidR="00DF2443">
          <w:rPr>
            <w:noProof/>
            <w:webHidden/>
          </w:rPr>
        </w:r>
        <w:r w:rsidR="00DF2443">
          <w:rPr>
            <w:noProof/>
            <w:webHidden/>
          </w:rPr>
          <w:fldChar w:fldCharType="separate"/>
        </w:r>
        <w:r w:rsidR="009D338D">
          <w:rPr>
            <w:noProof/>
            <w:webHidden/>
          </w:rPr>
          <w:t>384</w:t>
        </w:r>
        <w:r w:rsidR="00DF2443">
          <w:rPr>
            <w:noProof/>
            <w:webHidden/>
          </w:rPr>
          <w:fldChar w:fldCharType="end"/>
        </w:r>
      </w:hyperlink>
    </w:p>
    <w:p w14:paraId="1D2370DB" w14:textId="5C04C5A3" w:rsidR="00DF2443" w:rsidRPr="00B04620" w:rsidRDefault="004B48CC">
      <w:pPr>
        <w:pStyle w:val="TableofFigures"/>
        <w:rPr>
          <w:noProof/>
          <w:sz w:val="22"/>
        </w:rPr>
      </w:pPr>
      <w:hyperlink w:anchor="_Toc99696074" w:history="1">
        <w:r w:rsidR="00DF2443" w:rsidRPr="00D251FE">
          <w:rPr>
            <w:rStyle w:val="Hyperlink"/>
            <w:bCs/>
            <w:noProof/>
          </w:rPr>
          <w:t>Figure 10.1.7</w:t>
        </w:r>
        <w:r w:rsidR="00DF2443" w:rsidRPr="00B04620">
          <w:rPr>
            <w:noProof/>
            <w:sz w:val="22"/>
          </w:rPr>
          <w:tab/>
        </w:r>
        <w:r w:rsidR="00DF2443" w:rsidRPr="00D251FE">
          <w:rPr>
            <w:rStyle w:val="Hyperlink"/>
            <w:bCs/>
            <w:noProof/>
          </w:rPr>
          <w:t>Effect of recalculations on emissions estimates from the Tokelau sector from 1990 to 2019</w:t>
        </w:r>
        <w:r w:rsidR="00DF2443">
          <w:rPr>
            <w:noProof/>
            <w:webHidden/>
          </w:rPr>
          <w:tab/>
        </w:r>
        <w:r w:rsidR="00DF2443">
          <w:rPr>
            <w:noProof/>
            <w:webHidden/>
          </w:rPr>
          <w:fldChar w:fldCharType="begin"/>
        </w:r>
        <w:r w:rsidR="00DF2443">
          <w:rPr>
            <w:noProof/>
            <w:webHidden/>
          </w:rPr>
          <w:instrText xml:space="preserve"> PAGEREF _Toc99696074 \h </w:instrText>
        </w:r>
        <w:r w:rsidR="00DF2443">
          <w:rPr>
            <w:noProof/>
            <w:webHidden/>
          </w:rPr>
        </w:r>
        <w:r w:rsidR="00DF2443">
          <w:rPr>
            <w:noProof/>
            <w:webHidden/>
          </w:rPr>
          <w:fldChar w:fldCharType="separate"/>
        </w:r>
        <w:r w:rsidR="009D338D">
          <w:rPr>
            <w:noProof/>
            <w:webHidden/>
          </w:rPr>
          <w:t>386</w:t>
        </w:r>
        <w:r w:rsidR="00DF2443">
          <w:rPr>
            <w:noProof/>
            <w:webHidden/>
          </w:rPr>
          <w:fldChar w:fldCharType="end"/>
        </w:r>
      </w:hyperlink>
    </w:p>
    <w:p w14:paraId="73AD3DCC" w14:textId="439D9CDE" w:rsidR="00DF2443" w:rsidRPr="00B04620" w:rsidRDefault="004B48CC">
      <w:pPr>
        <w:pStyle w:val="TableofFigures"/>
        <w:rPr>
          <w:noProof/>
          <w:sz w:val="22"/>
        </w:rPr>
      </w:pPr>
      <w:hyperlink w:anchor="_Toc99696075" w:history="1">
        <w:r w:rsidR="00DF2443" w:rsidRPr="00D251FE">
          <w:rPr>
            <w:rStyle w:val="Hyperlink"/>
            <w:noProof/>
          </w:rPr>
          <w:t>Figure 11.3.1</w:t>
        </w:r>
        <w:r w:rsidR="00DF2443" w:rsidRPr="00B04620">
          <w:rPr>
            <w:noProof/>
            <w:sz w:val="22"/>
          </w:rPr>
          <w:tab/>
        </w:r>
        <w:r w:rsidR="00DF2443" w:rsidRPr="00D251FE">
          <w:rPr>
            <w:rStyle w:val="Hyperlink"/>
            <w:noProof/>
          </w:rPr>
          <w:t>New Zealand’s annual areas of deforestation from 1990 to 2020</w:t>
        </w:r>
        <w:r w:rsidR="00DF2443">
          <w:rPr>
            <w:noProof/>
            <w:webHidden/>
          </w:rPr>
          <w:tab/>
        </w:r>
        <w:r w:rsidR="00DF2443">
          <w:rPr>
            <w:noProof/>
            <w:webHidden/>
          </w:rPr>
          <w:fldChar w:fldCharType="begin"/>
        </w:r>
        <w:r w:rsidR="00DF2443">
          <w:rPr>
            <w:noProof/>
            <w:webHidden/>
          </w:rPr>
          <w:instrText xml:space="preserve"> PAGEREF _Toc99696075 \h </w:instrText>
        </w:r>
        <w:r w:rsidR="00DF2443">
          <w:rPr>
            <w:noProof/>
            <w:webHidden/>
          </w:rPr>
        </w:r>
        <w:r w:rsidR="00DF2443">
          <w:rPr>
            <w:noProof/>
            <w:webHidden/>
          </w:rPr>
          <w:fldChar w:fldCharType="separate"/>
        </w:r>
        <w:r w:rsidR="009D338D">
          <w:rPr>
            <w:noProof/>
            <w:webHidden/>
          </w:rPr>
          <w:t>419</w:t>
        </w:r>
        <w:r w:rsidR="00DF2443">
          <w:rPr>
            <w:noProof/>
            <w:webHidden/>
          </w:rPr>
          <w:fldChar w:fldCharType="end"/>
        </w:r>
      </w:hyperlink>
    </w:p>
    <w:p w14:paraId="5828BCCF" w14:textId="27742F49" w:rsidR="00DF2443" w:rsidRPr="00B04620" w:rsidRDefault="004B48CC">
      <w:pPr>
        <w:pStyle w:val="TableofFigures"/>
        <w:rPr>
          <w:noProof/>
          <w:sz w:val="22"/>
        </w:rPr>
      </w:pPr>
      <w:hyperlink w:anchor="_Toc99696076" w:history="1">
        <w:r w:rsidR="00DF2443" w:rsidRPr="00D251FE">
          <w:rPr>
            <w:rStyle w:val="Hyperlink"/>
            <w:noProof/>
          </w:rPr>
          <w:t xml:space="preserve">Figure 11.3.2 </w:t>
        </w:r>
        <w:r w:rsidR="00DF2443" w:rsidRPr="00B04620">
          <w:rPr>
            <w:noProof/>
            <w:sz w:val="22"/>
          </w:rPr>
          <w:tab/>
        </w:r>
        <w:r w:rsidR="00DF2443" w:rsidRPr="00D251FE">
          <w:rPr>
            <w:rStyle w:val="Hyperlink"/>
            <w:noProof/>
          </w:rPr>
          <w:t>Annual harvest area for the FMRL</w:t>
        </w:r>
        <w:r w:rsidR="00DF2443" w:rsidRPr="00D251FE">
          <w:rPr>
            <w:rStyle w:val="Hyperlink"/>
            <w:i/>
            <w:iCs/>
            <w:noProof/>
            <w:spacing w:val="-2"/>
            <w:vertAlign w:val="subscript"/>
          </w:rPr>
          <w:t>corr</w:t>
        </w:r>
        <w:r w:rsidR="00DF2443" w:rsidRPr="00D251FE">
          <w:rPr>
            <w:rStyle w:val="Hyperlink"/>
            <w:noProof/>
            <w:spacing w:val="-2"/>
          </w:rPr>
          <w:t xml:space="preserve"> and </w:t>
        </w:r>
        <w:r w:rsidR="00DF2443" w:rsidRPr="00D251FE">
          <w:rPr>
            <w:rStyle w:val="Hyperlink"/>
            <w:i/>
            <w:noProof/>
            <w:spacing w:val="-2"/>
          </w:rPr>
          <w:t>Forest management</w:t>
        </w:r>
        <w:r w:rsidR="00DF2443" w:rsidRPr="00D251FE">
          <w:rPr>
            <w:rStyle w:val="Hyperlink"/>
            <w:noProof/>
            <w:spacing w:val="-2"/>
          </w:rPr>
          <w:t>, from 2009</w:t>
        </w:r>
        <w:r w:rsidR="00E511CB">
          <w:rPr>
            <w:rStyle w:val="Hyperlink"/>
            <w:noProof/>
            <w:spacing w:val="-2"/>
          </w:rPr>
          <w:t> </w:t>
        </w:r>
        <w:r w:rsidR="00DF2443" w:rsidRPr="00D251FE">
          <w:rPr>
            <w:rStyle w:val="Hyperlink"/>
            <w:noProof/>
            <w:spacing w:val="-2"/>
          </w:rPr>
          <w:t>to</w:t>
        </w:r>
        <w:r w:rsidR="00E511CB">
          <w:rPr>
            <w:rStyle w:val="Hyperlink"/>
            <w:noProof/>
            <w:spacing w:val="-2"/>
          </w:rPr>
          <w:t> </w:t>
        </w:r>
        <w:r w:rsidR="00DF2443" w:rsidRPr="00D251FE">
          <w:rPr>
            <w:rStyle w:val="Hyperlink"/>
            <w:noProof/>
            <w:spacing w:val="-2"/>
          </w:rPr>
          <w:t>2020</w:t>
        </w:r>
        <w:r w:rsidR="00DF2443">
          <w:rPr>
            <w:noProof/>
            <w:webHidden/>
          </w:rPr>
          <w:tab/>
        </w:r>
        <w:r w:rsidR="00DF2443">
          <w:rPr>
            <w:noProof/>
            <w:webHidden/>
          </w:rPr>
          <w:fldChar w:fldCharType="begin"/>
        </w:r>
        <w:r w:rsidR="00DF2443">
          <w:rPr>
            <w:noProof/>
            <w:webHidden/>
          </w:rPr>
          <w:instrText xml:space="preserve"> PAGEREF _Toc99696076 \h </w:instrText>
        </w:r>
        <w:r w:rsidR="00DF2443">
          <w:rPr>
            <w:noProof/>
            <w:webHidden/>
          </w:rPr>
        </w:r>
        <w:r w:rsidR="00DF2443">
          <w:rPr>
            <w:noProof/>
            <w:webHidden/>
          </w:rPr>
          <w:fldChar w:fldCharType="separate"/>
        </w:r>
        <w:r w:rsidR="009D338D">
          <w:rPr>
            <w:noProof/>
            <w:webHidden/>
          </w:rPr>
          <w:t>422</w:t>
        </w:r>
        <w:r w:rsidR="00DF2443">
          <w:rPr>
            <w:noProof/>
            <w:webHidden/>
          </w:rPr>
          <w:fldChar w:fldCharType="end"/>
        </w:r>
      </w:hyperlink>
    </w:p>
    <w:p w14:paraId="2DE03B39" w14:textId="4B22D58D" w:rsidR="00DF2443" w:rsidRPr="00B04620" w:rsidRDefault="004B48CC">
      <w:pPr>
        <w:pStyle w:val="TableofFigures"/>
        <w:rPr>
          <w:noProof/>
          <w:sz w:val="22"/>
        </w:rPr>
      </w:pPr>
      <w:hyperlink w:anchor="_Toc99696077" w:history="1">
        <w:r w:rsidR="00DF2443" w:rsidRPr="00D251FE">
          <w:rPr>
            <w:rStyle w:val="Hyperlink"/>
            <w:noProof/>
          </w:rPr>
          <w:t xml:space="preserve">Figure 11.3.3 </w:t>
        </w:r>
        <w:r w:rsidR="00DF2443" w:rsidRPr="00B04620">
          <w:rPr>
            <w:noProof/>
            <w:sz w:val="22"/>
          </w:rPr>
          <w:tab/>
        </w:r>
        <w:r w:rsidR="00DF2443" w:rsidRPr="00D251FE">
          <w:rPr>
            <w:rStyle w:val="Hyperlink"/>
            <w:noProof/>
          </w:rPr>
          <w:t>Comparison of emissions for the planted forest estate for the FMRL</w:t>
        </w:r>
        <w:r w:rsidR="00DF2443" w:rsidRPr="00D251FE">
          <w:rPr>
            <w:rStyle w:val="Hyperlink"/>
            <w:i/>
            <w:iCs/>
            <w:noProof/>
            <w:spacing w:val="-2"/>
            <w:vertAlign w:val="subscript"/>
          </w:rPr>
          <w:t>corr</w:t>
        </w:r>
        <w:r w:rsidR="00DF2443" w:rsidRPr="00D251FE">
          <w:rPr>
            <w:rStyle w:val="Hyperlink"/>
            <w:noProof/>
            <w:spacing w:val="-2"/>
          </w:rPr>
          <w:t xml:space="preserve"> and </w:t>
        </w:r>
        <w:r w:rsidR="00DF2443" w:rsidRPr="00D251FE">
          <w:rPr>
            <w:rStyle w:val="Hyperlink"/>
            <w:i/>
            <w:noProof/>
            <w:spacing w:val="-2"/>
          </w:rPr>
          <w:t>Forest management</w:t>
        </w:r>
        <w:r w:rsidR="00DF2443" w:rsidRPr="00D251FE">
          <w:rPr>
            <w:rStyle w:val="Hyperlink"/>
            <w:noProof/>
            <w:spacing w:val="-2"/>
          </w:rPr>
          <w:t>, from 2009-to 2020</w:t>
        </w:r>
        <w:r w:rsidR="00DF2443">
          <w:rPr>
            <w:noProof/>
            <w:webHidden/>
          </w:rPr>
          <w:tab/>
        </w:r>
        <w:r w:rsidR="00DF2443">
          <w:rPr>
            <w:noProof/>
            <w:webHidden/>
          </w:rPr>
          <w:fldChar w:fldCharType="begin"/>
        </w:r>
        <w:r w:rsidR="00DF2443">
          <w:rPr>
            <w:noProof/>
            <w:webHidden/>
          </w:rPr>
          <w:instrText xml:space="preserve"> PAGEREF _Toc99696077 \h </w:instrText>
        </w:r>
        <w:r w:rsidR="00DF2443">
          <w:rPr>
            <w:noProof/>
            <w:webHidden/>
          </w:rPr>
        </w:r>
        <w:r w:rsidR="00DF2443">
          <w:rPr>
            <w:noProof/>
            <w:webHidden/>
          </w:rPr>
          <w:fldChar w:fldCharType="separate"/>
        </w:r>
        <w:r w:rsidR="009D338D">
          <w:rPr>
            <w:noProof/>
            <w:webHidden/>
          </w:rPr>
          <w:t>422</w:t>
        </w:r>
        <w:r w:rsidR="00DF2443">
          <w:rPr>
            <w:noProof/>
            <w:webHidden/>
          </w:rPr>
          <w:fldChar w:fldCharType="end"/>
        </w:r>
      </w:hyperlink>
    </w:p>
    <w:p w14:paraId="0E4CD460" w14:textId="25152307" w:rsidR="00DF2443" w:rsidRPr="00B04620" w:rsidRDefault="004B48CC">
      <w:pPr>
        <w:pStyle w:val="TableofFigures"/>
        <w:rPr>
          <w:noProof/>
          <w:sz w:val="22"/>
        </w:rPr>
      </w:pPr>
      <w:hyperlink w:anchor="_Toc99696078" w:history="1">
        <w:r w:rsidR="00DF2443" w:rsidRPr="00D251FE">
          <w:rPr>
            <w:rStyle w:val="Hyperlink"/>
            <w:noProof/>
          </w:rPr>
          <w:t xml:space="preserve">Figure 11.3.4 </w:t>
        </w:r>
        <w:r w:rsidR="00DF2443" w:rsidRPr="00B04620">
          <w:rPr>
            <w:noProof/>
            <w:sz w:val="22"/>
          </w:rPr>
          <w:tab/>
        </w:r>
        <w:r w:rsidR="00DF2443" w:rsidRPr="00D251FE">
          <w:rPr>
            <w:rStyle w:val="Hyperlink"/>
            <w:noProof/>
          </w:rPr>
          <w:t xml:space="preserve">Comparison of emissions for </w:t>
        </w:r>
        <w:r w:rsidR="00DF2443" w:rsidRPr="00D251FE">
          <w:rPr>
            <w:rStyle w:val="Hyperlink"/>
            <w:i/>
            <w:iCs/>
            <w:noProof/>
          </w:rPr>
          <w:t>Harvested wood products</w:t>
        </w:r>
        <w:r w:rsidR="00DF2443" w:rsidRPr="00D251FE">
          <w:rPr>
            <w:rStyle w:val="Hyperlink"/>
            <w:noProof/>
          </w:rPr>
          <w:t xml:space="preserve"> for the FMRL</w:t>
        </w:r>
        <w:r w:rsidR="00DF2443" w:rsidRPr="00D251FE">
          <w:rPr>
            <w:rStyle w:val="Hyperlink"/>
            <w:i/>
            <w:iCs/>
            <w:noProof/>
            <w:spacing w:val="-2"/>
            <w:vertAlign w:val="subscript"/>
          </w:rPr>
          <w:t>corr</w:t>
        </w:r>
        <w:r w:rsidR="00DF2443" w:rsidRPr="00D251FE">
          <w:rPr>
            <w:rStyle w:val="Hyperlink"/>
            <w:noProof/>
            <w:spacing w:val="-2"/>
          </w:rPr>
          <w:t xml:space="preserve"> and </w:t>
        </w:r>
        <w:r w:rsidR="00DF2443" w:rsidRPr="00D251FE">
          <w:rPr>
            <w:rStyle w:val="Hyperlink"/>
            <w:i/>
            <w:iCs/>
            <w:noProof/>
            <w:spacing w:val="-2"/>
          </w:rPr>
          <w:t>Forest management</w:t>
        </w:r>
        <w:r w:rsidR="00DF2443" w:rsidRPr="00D251FE">
          <w:rPr>
            <w:rStyle w:val="Hyperlink"/>
            <w:noProof/>
            <w:spacing w:val="-2"/>
          </w:rPr>
          <w:t>, from 2009-to 2020</w:t>
        </w:r>
        <w:r w:rsidR="00DF2443">
          <w:rPr>
            <w:noProof/>
            <w:webHidden/>
          </w:rPr>
          <w:tab/>
        </w:r>
        <w:r w:rsidR="00DF2443">
          <w:rPr>
            <w:noProof/>
            <w:webHidden/>
          </w:rPr>
          <w:fldChar w:fldCharType="begin"/>
        </w:r>
        <w:r w:rsidR="00DF2443">
          <w:rPr>
            <w:noProof/>
            <w:webHidden/>
          </w:rPr>
          <w:instrText xml:space="preserve"> PAGEREF _Toc99696078 \h </w:instrText>
        </w:r>
        <w:r w:rsidR="00DF2443">
          <w:rPr>
            <w:noProof/>
            <w:webHidden/>
          </w:rPr>
        </w:r>
        <w:r w:rsidR="00DF2443">
          <w:rPr>
            <w:noProof/>
            <w:webHidden/>
          </w:rPr>
          <w:fldChar w:fldCharType="separate"/>
        </w:r>
        <w:r w:rsidR="009D338D">
          <w:rPr>
            <w:noProof/>
            <w:webHidden/>
          </w:rPr>
          <w:t>423</w:t>
        </w:r>
        <w:r w:rsidR="00DF2443">
          <w:rPr>
            <w:noProof/>
            <w:webHidden/>
          </w:rPr>
          <w:fldChar w:fldCharType="end"/>
        </w:r>
      </w:hyperlink>
    </w:p>
    <w:p w14:paraId="347C121C" w14:textId="4F212ACE" w:rsidR="00DF2443" w:rsidRPr="00B04620" w:rsidRDefault="004B48CC">
      <w:pPr>
        <w:pStyle w:val="TableofFigures"/>
        <w:rPr>
          <w:noProof/>
          <w:sz w:val="22"/>
        </w:rPr>
      </w:pPr>
      <w:hyperlink w:anchor="_Toc99696079" w:history="1">
        <w:r w:rsidR="00DF2443" w:rsidRPr="00D251FE">
          <w:rPr>
            <w:rStyle w:val="Hyperlink"/>
            <w:noProof/>
          </w:rPr>
          <w:t>Figure 11.5.1</w:t>
        </w:r>
        <w:r w:rsidR="00DF2443" w:rsidRPr="00B04620">
          <w:rPr>
            <w:noProof/>
            <w:sz w:val="22"/>
          </w:rPr>
          <w:tab/>
        </w:r>
        <w:r w:rsidR="00DF2443" w:rsidRPr="00D251FE">
          <w:rPr>
            <w:rStyle w:val="Hyperlink"/>
            <w:noProof/>
          </w:rPr>
          <w:t>Verification of deforestation in New Zealand</w:t>
        </w:r>
        <w:r w:rsidR="00DF2443">
          <w:rPr>
            <w:noProof/>
            <w:webHidden/>
          </w:rPr>
          <w:tab/>
        </w:r>
        <w:r w:rsidR="00DF2443">
          <w:rPr>
            <w:noProof/>
            <w:webHidden/>
          </w:rPr>
          <w:fldChar w:fldCharType="begin"/>
        </w:r>
        <w:r w:rsidR="00DF2443">
          <w:rPr>
            <w:noProof/>
            <w:webHidden/>
          </w:rPr>
          <w:instrText xml:space="preserve"> PAGEREF _Toc99696079 \h </w:instrText>
        </w:r>
        <w:r w:rsidR="00DF2443">
          <w:rPr>
            <w:noProof/>
            <w:webHidden/>
          </w:rPr>
        </w:r>
        <w:r w:rsidR="00DF2443">
          <w:rPr>
            <w:noProof/>
            <w:webHidden/>
          </w:rPr>
          <w:fldChar w:fldCharType="separate"/>
        </w:r>
        <w:r w:rsidR="009D338D">
          <w:rPr>
            <w:noProof/>
            <w:webHidden/>
          </w:rPr>
          <w:t>434</w:t>
        </w:r>
        <w:r w:rsidR="00DF2443">
          <w:rPr>
            <w:noProof/>
            <w:webHidden/>
          </w:rPr>
          <w:fldChar w:fldCharType="end"/>
        </w:r>
      </w:hyperlink>
    </w:p>
    <w:p w14:paraId="155A70C0" w14:textId="16CF8E99" w:rsidR="00C21B54" w:rsidRDefault="00D63953" w:rsidP="00C21B54">
      <w:r>
        <w:rPr>
          <w:rFonts w:ascii="Arial" w:hAnsi="Arial"/>
          <w:sz w:val="20"/>
        </w:rPr>
        <w:fldChar w:fldCharType="end"/>
      </w:r>
    </w:p>
    <w:p w14:paraId="49A42255" w14:textId="77777777" w:rsidR="00C21B54" w:rsidRDefault="00C21B54" w:rsidP="006E0A2C"/>
    <w:p w14:paraId="6F202864" w14:textId="77777777" w:rsidR="00042F08" w:rsidRDefault="00042F08" w:rsidP="00AE488C">
      <w:pPr>
        <w:pStyle w:val="Heading1"/>
        <w:sectPr w:rsidR="00042F08" w:rsidSect="00715D39">
          <w:footerReference w:type="even" r:id="rId18"/>
          <w:pgSz w:w="11907" w:h="16840" w:code="9"/>
          <w:pgMar w:top="1418" w:right="1701" w:bottom="1418" w:left="1701" w:header="567" w:footer="567" w:gutter="0"/>
          <w:pgNumType w:fmt="lowerRoman"/>
          <w:cols w:space="720"/>
        </w:sectPr>
      </w:pPr>
    </w:p>
    <w:p w14:paraId="7432E79B" w14:textId="1774990C" w:rsidR="00F10D80" w:rsidRDefault="00F10D80" w:rsidP="00AE488C">
      <w:pPr>
        <w:pStyle w:val="Heading1"/>
      </w:pPr>
      <w:bookmarkStart w:id="3" w:name="_Toc99659084"/>
      <w:r>
        <w:lastRenderedPageBreak/>
        <w:t>Abbreviations</w:t>
      </w:r>
      <w:bookmarkEnd w:id="3"/>
    </w:p>
    <w:tbl>
      <w:tblPr>
        <w:tblW w:w="8618" w:type="dxa"/>
        <w:tblLook w:val="04A0" w:firstRow="1" w:lastRow="0" w:firstColumn="1" w:lastColumn="0" w:noHBand="0" w:noVBand="1"/>
      </w:tblPr>
      <w:tblGrid>
        <w:gridCol w:w="1526"/>
        <w:gridCol w:w="7092"/>
      </w:tblGrid>
      <w:tr w:rsidR="00E56455" w:rsidRPr="00927A54" w14:paraId="62CACDA6" w14:textId="77777777" w:rsidTr="00B05614">
        <w:tc>
          <w:tcPr>
            <w:tcW w:w="1526" w:type="dxa"/>
            <w:shd w:val="clear" w:color="auto" w:fill="auto"/>
          </w:tcPr>
          <w:p w14:paraId="0E51E900"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AAP</w:t>
            </w:r>
          </w:p>
        </w:tc>
        <w:tc>
          <w:tcPr>
            <w:tcW w:w="7092" w:type="dxa"/>
            <w:shd w:val="clear" w:color="auto" w:fill="auto"/>
          </w:tcPr>
          <w:p w14:paraId="77646D87"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average animal population</w:t>
            </w:r>
          </w:p>
        </w:tc>
      </w:tr>
      <w:tr w:rsidR="00E56455" w:rsidRPr="00927A54" w14:paraId="69EC70E0" w14:textId="77777777" w:rsidTr="00B05614">
        <w:tc>
          <w:tcPr>
            <w:tcW w:w="1526" w:type="dxa"/>
            <w:shd w:val="clear" w:color="auto" w:fill="auto"/>
          </w:tcPr>
          <w:p w14:paraId="19405204"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AAU</w:t>
            </w:r>
          </w:p>
        </w:tc>
        <w:tc>
          <w:tcPr>
            <w:tcW w:w="7092" w:type="dxa"/>
            <w:shd w:val="clear" w:color="auto" w:fill="auto"/>
          </w:tcPr>
          <w:p w14:paraId="53972ED5"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assigned amount unit</w:t>
            </w:r>
          </w:p>
        </w:tc>
      </w:tr>
      <w:tr w:rsidR="00E56455" w:rsidRPr="00927A54" w14:paraId="101427B7" w14:textId="77777777" w:rsidTr="00B05614">
        <w:tc>
          <w:tcPr>
            <w:tcW w:w="1526" w:type="dxa"/>
            <w:shd w:val="clear" w:color="auto" w:fill="auto"/>
          </w:tcPr>
          <w:p w14:paraId="2EB336DD"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AD</w:t>
            </w:r>
          </w:p>
        </w:tc>
        <w:tc>
          <w:tcPr>
            <w:tcW w:w="7092" w:type="dxa"/>
            <w:shd w:val="clear" w:color="auto" w:fill="auto"/>
          </w:tcPr>
          <w:p w14:paraId="2C4C8EEF"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activity data</w:t>
            </w:r>
          </w:p>
        </w:tc>
      </w:tr>
      <w:tr w:rsidR="00E56455" w:rsidRPr="00927A54" w14:paraId="72F0FB65" w14:textId="77777777" w:rsidTr="00B05614">
        <w:tc>
          <w:tcPr>
            <w:tcW w:w="1526" w:type="dxa"/>
            <w:shd w:val="clear" w:color="auto" w:fill="auto"/>
          </w:tcPr>
          <w:p w14:paraId="7044567E"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AGB</w:t>
            </w:r>
          </w:p>
        </w:tc>
        <w:tc>
          <w:tcPr>
            <w:tcW w:w="7092" w:type="dxa"/>
            <w:shd w:val="clear" w:color="auto" w:fill="auto"/>
          </w:tcPr>
          <w:p w14:paraId="08B716C3"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above-ground biomass</w:t>
            </w:r>
          </w:p>
        </w:tc>
      </w:tr>
      <w:tr w:rsidR="00E56455" w:rsidRPr="00927A54" w14:paraId="28B14528" w14:textId="77777777" w:rsidTr="00B05614">
        <w:tc>
          <w:tcPr>
            <w:tcW w:w="1526" w:type="dxa"/>
            <w:shd w:val="clear" w:color="auto" w:fill="auto"/>
          </w:tcPr>
          <w:p w14:paraId="21E9599D"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AIC</w:t>
            </w:r>
          </w:p>
        </w:tc>
        <w:tc>
          <w:tcPr>
            <w:tcW w:w="7092" w:type="dxa"/>
            <w:shd w:val="clear" w:color="auto" w:fill="auto"/>
          </w:tcPr>
          <w:p w14:paraId="101FA2B2"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Akaike information criterion</w:t>
            </w:r>
          </w:p>
        </w:tc>
      </w:tr>
      <w:tr w:rsidR="00E56455" w:rsidRPr="00927A54" w14:paraId="178D8C1D" w14:textId="77777777" w:rsidTr="00B05614">
        <w:tc>
          <w:tcPr>
            <w:tcW w:w="1526" w:type="dxa"/>
            <w:shd w:val="clear" w:color="auto" w:fill="auto"/>
          </w:tcPr>
          <w:p w14:paraId="33B6D5BD" w14:textId="77777777" w:rsidR="00E56455" w:rsidRPr="00927A54" w:rsidRDefault="00E56455" w:rsidP="00042F08">
            <w:pPr>
              <w:pStyle w:val="BodyText"/>
              <w:spacing w:after="0"/>
              <w:rPr>
                <w:rFonts w:eastAsia="Calibri" w:cs="Calibri"/>
                <w:b/>
                <w:bCs/>
                <w:sz w:val="20"/>
                <w:szCs w:val="20"/>
              </w:rPr>
            </w:pPr>
            <w:r w:rsidRPr="00927A54">
              <w:rPr>
                <w:rFonts w:cs="Calibri"/>
                <w:b/>
                <w:bCs/>
                <w:spacing w:val="-2"/>
                <w:sz w:val="20"/>
                <w:szCs w:val="20"/>
              </w:rPr>
              <w:t>ANZSIC</w:t>
            </w:r>
          </w:p>
        </w:tc>
        <w:tc>
          <w:tcPr>
            <w:tcW w:w="7092" w:type="dxa"/>
            <w:shd w:val="clear" w:color="auto" w:fill="auto"/>
          </w:tcPr>
          <w:p w14:paraId="08329512" w14:textId="77777777" w:rsidR="00E56455" w:rsidRPr="00927A54" w:rsidRDefault="00E56455" w:rsidP="00042F08">
            <w:pPr>
              <w:pStyle w:val="BodyText"/>
              <w:spacing w:after="0"/>
              <w:rPr>
                <w:rFonts w:eastAsia="Calibri" w:cs="Calibri"/>
                <w:sz w:val="20"/>
                <w:szCs w:val="20"/>
              </w:rPr>
            </w:pPr>
            <w:r w:rsidRPr="00927A54">
              <w:rPr>
                <w:rFonts w:cs="Calibri"/>
                <w:spacing w:val="-2"/>
                <w:sz w:val="20"/>
                <w:szCs w:val="20"/>
              </w:rPr>
              <w:t>Australian and New Zealand Standard Industrial Classification</w:t>
            </w:r>
          </w:p>
        </w:tc>
      </w:tr>
      <w:tr w:rsidR="00E56455" w:rsidRPr="00927A54" w14:paraId="35FD4C78" w14:textId="77777777" w:rsidTr="00B05614">
        <w:tc>
          <w:tcPr>
            <w:tcW w:w="1526" w:type="dxa"/>
            <w:shd w:val="clear" w:color="auto" w:fill="auto"/>
          </w:tcPr>
          <w:p w14:paraId="2C44ED55"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APEC</w:t>
            </w:r>
          </w:p>
        </w:tc>
        <w:tc>
          <w:tcPr>
            <w:tcW w:w="7092" w:type="dxa"/>
            <w:shd w:val="clear" w:color="auto" w:fill="auto"/>
          </w:tcPr>
          <w:p w14:paraId="6B51A394"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 xml:space="preserve">Asia-Pacific Economic Cooperation </w:t>
            </w:r>
          </w:p>
        </w:tc>
      </w:tr>
      <w:tr w:rsidR="00E56455" w:rsidRPr="00927A54" w14:paraId="7CEF8223" w14:textId="77777777" w:rsidTr="00B05614">
        <w:tc>
          <w:tcPr>
            <w:tcW w:w="1526" w:type="dxa"/>
            <w:shd w:val="clear" w:color="auto" w:fill="auto"/>
          </w:tcPr>
          <w:p w14:paraId="516B5A0E"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ARR </w:t>
            </w:r>
          </w:p>
        </w:tc>
        <w:tc>
          <w:tcPr>
            <w:tcW w:w="7092" w:type="dxa"/>
            <w:shd w:val="clear" w:color="auto" w:fill="auto"/>
          </w:tcPr>
          <w:p w14:paraId="1E6AA959"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assessment review report</w:t>
            </w:r>
          </w:p>
        </w:tc>
      </w:tr>
      <w:tr w:rsidR="00E56455" w:rsidRPr="00927A54" w14:paraId="30F1F1F5" w14:textId="77777777" w:rsidTr="00B05614">
        <w:tc>
          <w:tcPr>
            <w:tcW w:w="1526" w:type="dxa"/>
            <w:shd w:val="clear" w:color="auto" w:fill="auto"/>
          </w:tcPr>
          <w:p w14:paraId="0B606B82"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BERG</w:t>
            </w:r>
          </w:p>
        </w:tc>
        <w:tc>
          <w:tcPr>
            <w:tcW w:w="7092" w:type="dxa"/>
            <w:shd w:val="clear" w:color="auto" w:fill="auto"/>
          </w:tcPr>
          <w:p w14:paraId="0D091832"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Biological Emissions Reference Group</w:t>
            </w:r>
          </w:p>
        </w:tc>
      </w:tr>
      <w:tr w:rsidR="00E56455" w:rsidRPr="00927A54" w14:paraId="79B1B24F" w14:textId="77777777" w:rsidTr="00B05614">
        <w:tc>
          <w:tcPr>
            <w:tcW w:w="1526" w:type="dxa"/>
            <w:shd w:val="clear" w:color="auto" w:fill="auto"/>
          </w:tcPr>
          <w:p w14:paraId="4CDC1BE5"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BOD</w:t>
            </w:r>
          </w:p>
        </w:tc>
        <w:tc>
          <w:tcPr>
            <w:tcW w:w="7092" w:type="dxa"/>
            <w:shd w:val="clear" w:color="auto" w:fill="auto"/>
          </w:tcPr>
          <w:p w14:paraId="3326FC81"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biochemical oxygen demand</w:t>
            </w:r>
          </w:p>
        </w:tc>
      </w:tr>
      <w:tr w:rsidR="00E56455" w:rsidRPr="00927A54" w14:paraId="71812A25" w14:textId="77777777" w:rsidTr="00B05614">
        <w:tc>
          <w:tcPr>
            <w:tcW w:w="1526" w:type="dxa"/>
            <w:shd w:val="clear" w:color="auto" w:fill="auto"/>
          </w:tcPr>
          <w:p w14:paraId="31126B8C"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BRANZ</w:t>
            </w:r>
          </w:p>
        </w:tc>
        <w:tc>
          <w:tcPr>
            <w:tcW w:w="7092" w:type="dxa"/>
            <w:shd w:val="clear" w:color="auto" w:fill="auto"/>
          </w:tcPr>
          <w:p w14:paraId="2AB4B499"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Building Research Association of New Zealand</w:t>
            </w:r>
          </w:p>
        </w:tc>
      </w:tr>
      <w:tr w:rsidR="00E56455" w:rsidRPr="00927A54" w14:paraId="19950123" w14:textId="77777777" w:rsidTr="00B05614">
        <w:tc>
          <w:tcPr>
            <w:tcW w:w="1526" w:type="dxa"/>
            <w:shd w:val="clear" w:color="auto" w:fill="auto"/>
          </w:tcPr>
          <w:p w14:paraId="033AC21C"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C</w:t>
            </w:r>
          </w:p>
        </w:tc>
        <w:tc>
          <w:tcPr>
            <w:tcW w:w="7092" w:type="dxa"/>
            <w:shd w:val="clear" w:color="auto" w:fill="auto"/>
          </w:tcPr>
          <w:p w14:paraId="0035589C"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Carbon</w:t>
            </w:r>
          </w:p>
        </w:tc>
      </w:tr>
      <w:tr w:rsidR="00E56455" w:rsidRPr="00927A54" w14:paraId="6455953F" w14:textId="77777777" w:rsidTr="00B05614">
        <w:tc>
          <w:tcPr>
            <w:tcW w:w="1526" w:type="dxa"/>
            <w:shd w:val="clear" w:color="auto" w:fill="auto"/>
          </w:tcPr>
          <w:p w14:paraId="0459697D" w14:textId="77777777" w:rsidR="00E56455" w:rsidRPr="00927A54" w:rsidRDefault="00E56455" w:rsidP="00042F08">
            <w:pPr>
              <w:pStyle w:val="BodyText"/>
              <w:spacing w:after="0"/>
              <w:rPr>
                <w:rFonts w:eastAsia="Calibri" w:cs="Calibri"/>
                <w:b/>
                <w:sz w:val="20"/>
                <w:szCs w:val="20"/>
              </w:rPr>
            </w:pPr>
            <w:r w:rsidRPr="00927A54">
              <w:rPr>
                <w:rFonts w:cs="Calibri"/>
                <w:b/>
                <w:sz w:val="20"/>
                <w:szCs w:val="20"/>
              </w:rPr>
              <w:t>C</w:t>
            </w:r>
            <w:r w:rsidRPr="00927A54">
              <w:rPr>
                <w:rFonts w:cs="Calibri"/>
                <w:b/>
                <w:sz w:val="20"/>
                <w:szCs w:val="20"/>
                <w:vertAlign w:val="subscript"/>
              </w:rPr>
              <w:t>2</w:t>
            </w:r>
            <w:r w:rsidRPr="00927A54">
              <w:rPr>
                <w:rFonts w:cs="Calibri"/>
                <w:b/>
                <w:sz w:val="20"/>
                <w:szCs w:val="20"/>
              </w:rPr>
              <w:t>F</w:t>
            </w:r>
            <w:r w:rsidRPr="00927A54">
              <w:rPr>
                <w:rFonts w:cs="Calibri"/>
                <w:b/>
                <w:sz w:val="20"/>
                <w:szCs w:val="20"/>
                <w:vertAlign w:val="subscript"/>
              </w:rPr>
              <w:t>6</w:t>
            </w:r>
          </w:p>
        </w:tc>
        <w:tc>
          <w:tcPr>
            <w:tcW w:w="7092" w:type="dxa"/>
            <w:shd w:val="clear" w:color="auto" w:fill="auto"/>
          </w:tcPr>
          <w:p w14:paraId="75309874"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perfluoroethane</w:t>
            </w:r>
          </w:p>
        </w:tc>
      </w:tr>
      <w:tr w:rsidR="00E56455" w:rsidRPr="00927A54" w14:paraId="10F71B6D" w14:textId="77777777" w:rsidTr="00B05614">
        <w:tc>
          <w:tcPr>
            <w:tcW w:w="1526" w:type="dxa"/>
            <w:shd w:val="clear" w:color="auto" w:fill="auto"/>
          </w:tcPr>
          <w:p w14:paraId="424B7C83" w14:textId="77777777" w:rsidR="00E56455" w:rsidRPr="00927A54" w:rsidRDefault="00E56455" w:rsidP="00042F08">
            <w:pPr>
              <w:pStyle w:val="BodyText"/>
              <w:spacing w:after="0"/>
              <w:rPr>
                <w:rFonts w:cs="Calibri"/>
                <w:b/>
                <w:sz w:val="20"/>
                <w:szCs w:val="20"/>
              </w:rPr>
            </w:pPr>
            <w:r w:rsidRPr="00927A54">
              <w:rPr>
                <w:rFonts w:cs="Calibri"/>
                <w:b/>
                <w:sz w:val="20"/>
                <w:szCs w:val="20"/>
              </w:rPr>
              <w:t>C</w:t>
            </w:r>
            <w:r w:rsidRPr="00927A54">
              <w:rPr>
                <w:rFonts w:cs="Calibri"/>
                <w:b/>
                <w:sz w:val="20"/>
                <w:szCs w:val="20"/>
                <w:vertAlign w:val="subscript"/>
              </w:rPr>
              <w:t>3</w:t>
            </w:r>
            <w:r w:rsidRPr="00927A54">
              <w:rPr>
                <w:rFonts w:cs="Calibri"/>
                <w:b/>
                <w:sz w:val="20"/>
                <w:szCs w:val="20"/>
              </w:rPr>
              <w:t>F</w:t>
            </w:r>
            <w:r w:rsidRPr="00927A54">
              <w:rPr>
                <w:rFonts w:cs="Calibri"/>
                <w:b/>
                <w:sz w:val="20"/>
                <w:szCs w:val="20"/>
                <w:vertAlign w:val="subscript"/>
              </w:rPr>
              <w:t>8</w:t>
            </w:r>
          </w:p>
        </w:tc>
        <w:tc>
          <w:tcPr>
            <w:tcW w:w="7092" w:type="dxa"/>
            <w:shd w:val="clear" w:color="auto" w:fill="auto"/>
          </w:tcPr>
          <w:p w14:paraId="64F47345" w14:textId="77777777" w:rsidR="00E56455" w:rsidRPr="00927A54" w:rsidRDefault="00E56455" w:rsidP="00042F08">
            <w:pPr>
              <w:pStyle w:val="BodyText"/>
              <w:spacing w:after="0"/>
              <w:rPr>
                <w:rFonts w:cs="Calibri"/>
                <w:sz w:val="20"/>
                <w:szCs w:val="20"/>
              </w:rPr>
            </w:pPr>
            <w:r w:rsidRPr="00927A54">
              <w:rPr>
                <w:rFonts w:cs="Calibri"/>
                <w:sz w:val="20"/>
                <w:szCs w:val="20"/>
              </w:rPr>
              <w:t xml:space="preserve">perfluoropropane </w:t>
            </w:r>
          </w:p>
        </w:tc>
      </w:tr>
      <w:tr w:rsidR="00E56455" w:rsidRPr="00927A54" w14:paraId="6C31D351" w14:textId="77777777" w:rsidTr="00B05614">
        <w:tc>
          <w:tcPr>
            <w:tcW w:w="1526" w:type="dxa"/>
            <w:shd w:val="clear" w:color="auto" w:fill="auto"/>
          </w:tcPr>
          <w:p w14:paraId="72E3D3A6" w14:textId="77777777" w:rsidR="00E56455" w:rsidRPr="00BB2421" w:rsidRDefault="00E56455" w:rsidP="00042F08">
            <w:pPr>
              <w:pStyle w:val="BodyText"/>
              <w:spacing w:after="0"/>
              <w:rPr>
                <w:rFonts w:cs="Calibri"/>
                <w:b/>
                <w:bCs/>
                <w:sz w:val="20"/>
                <w:szCs w:val="20"/>
                <w:highlight w:val="yellow"/>
              </w:rPr>
            </w:pPr>
            <w:r w:rsidRPr="00BB2421">
              <w:rPr>
                <w:rFonts w:cs="Calibri"/>
                <w:b/>
                <w:bCs/>
                <w:sz w:val="20"/>
                <w:szCs w:val="20"/>
              </w:rPr>
              <w:t>CaCO</w:t>
            </w:r>
            <w:r w:rsidRPr="00BB2421">
              <w:rPr>
                <w:rFonts w:cs="Calibri"/>
                <w:b/>
                <w:bCs/>
                <w:sz w:val="20"/>
                <w:szCs w:val="20"/>
                <w:vertAlign w:val="subscript"/>
              </w:rPr>
              <w:t>3</w:t>
            </w:r>
          </w:p>
        </w:tc>
        <w:tc>
          <w:tcPr>
            <w:tcW w:w="7092" w:type="dxa"/>
            <w:shd w:val="clear" w:color="auto" w:fill="auto"/>
          </w:tcPr>
          <w:p w14:paraId="293B8A35" w14:textId="77777777" w:rsidR="00E56455" w:rsidRPr="00927A54" w:rsidRDefault="00E56455" w:rsidP="00042F08">
            <w:pPr>
              <w:pStyle w:val="BodyText"/>
              <w:spacing w:after="0"/>
              <w:rPr>
                <w:rFonts w:cs="Calibri"/>
                <w:sz w:val="20"/>
                <w:szCs w:val="20"/>
                <w:highlight w:val="yellow"/>
              </w:rPr>
            </w:pPr>
            <w:r w:rsidRPr="00927A54">
              <w:rPr>
                <w:rFonts w:cs="Calibri"/>
                <w:sz w:val="20"/>
                <w:szCs w:val="20"/>
              </w:rPr>
              <w:t>calcium carbonate</w:t>
            </w:r>
          </w:p>
        </w:tc>
      </w:tr>
      <w:tr w:rsidR="00E56455" w:rsidRPr="00927A54" w14:paraId="10A39710" w14:textId="77777777" w:rsidTr="00B05614">
        <w:tc>
          <w:tcPr>
            <w:tcW w:w="1526" w:type="dxa"/>
            <w:shd w:val="clear" w:color="auto" w:fill="auto"/>
          </w:tcPr>
          <w:p w14:paraId="4E84AFE1" w14:textId="77777777" w:rsidR="00E56455" w:rsidRPr="00927A54" w:rsidRDefault="00E56455" w:rsidP="00042F08">
            <w:pPr>
              <w:pStyle w:val="BodyText"/>
              <w:spacing w:after="0"/>
              <w:rPr>
                <w:rFonts w:eastAsia="Calibri" w:cs="Calibri"/>
                <w:b/>
                <w:sz w:val="20"/>
                <w:szCs w:val="20"/>
              </w:rPr>
            </w:pPr>
            <w:r w:rsidRPr="00927A54">
              <w:rPr>
                <w:rFonts w:cs="Calibri"/>
                <w:b/>
                <w:sz w:val="20"/>
                <w:szCs w:val="20"/>
              </w:rPr>
              <w:t>CaO</w:t>
            </w:r>
          </w:p>
        </w:tc>
        <w:tc>
          <w:tcPr>
            <w:tcW w:w="7092" w:type="dxa"/>
            <w:shd w:val="clear" w:color="auto" w:fill="auto"/>
          </w:tcPr>
          <w:p w14:paraId="535C227A"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 xml:space="preserve">calcium oxide </w:t>
            </w:r>
          </w:p>
        </w:tc>
      </w:tr>
      <w:tr w:rsidR="00E56455" w:rsidRPr="00927A54" w14:paraId="442E2932" w14:textId="77777777" w:rsidTr="00B05614">
        <w:tc>
          <w:tcPr>
            <w:tcW w:w="1526" w:type="dxa"/>
            <w:shd w:val="clear" w:color="auto" w:fill="auto"/>
          </w:tcPr>
          <w:p w14:paraId="6EE6F423" w14:textId="77777777" w:rsidR="00E56455" w:rsidRPr="00927A54" w:rsidRDefault="00E56455" w:rsidP="00042F08">
            <w:pPr>
              <w:pStyle w:val="BodyText"/>
              <w:spacing w:after="0"/>
              <w:rPr>
                <w:rFonts w:cs="Calibri"/>
                <w:b/>
                <w:sz w:val="20"/>
                <w:szCs w:val="20"/>
              </w:rPr>
            </w:pPr>
            <w:r w:rsidRPr="00927A54">
              <w:rPr>
                <w:rFonts w:cs="Calibri"/>
                <w:b/>
                <w:sz w:val="20"/>
                <w:szCs w:val="20"/>
              </w:rPr>
              <w:t>Ca(OH)</w:t>
            </w:r>
            <w:r w:rsidRPr="00927A54">
              <w:rPr>
                <w:rFonts w:cs="Calibri"/>
                <w:b/>
                <w:sz w:val="20"/>
                <w:szCs w:val="20"/>
                <w:vertAlign w:val="subscript"/>
              </w:rPr>
              <w:t>2</w:t>
            </w:r>
          </w:p>
        </w:tc>
        <w:tc>
          <w:tcPr>
            <w:tcW w:w="7092" w:type="dxa"/>
            <w:shd w:val="clear" w:color="auto" w:fill="auto"/>
          </w:tcPr>
          <w:p w14:paraId="2D30CCD1" w14:textId="77777777" w:rsidR="00E56455" w:rsidRPr="00927A54" w:rsidRDefault="00E56455" w:rsidP="00042F08">
            <w:pPr>
              <w:pStyle w:val="BodyText"/>
              <w:spacing w:after="0"/>
              <w:rPr>
                <w:rFonts w:cs="Calibri"/>
                <w:sz w:val="20"/>
                <w:szCs w:val="20"/>
              </w:rPr>
            </w:pPr>
            <w:r w:rsidRPr="00927A54">
              <w:rPr>
                <w:rFonts w:cs="Calibri"/>
                <w:sz w:val="20"/>
                <w:szCs w:val="20"/>
              </w:rPr>
              <w:t>calcium hydroxide</w:t>
            </w:r>
          </w:p>
        </w:tc>
      </w:tr>
      <w:tr w:rsidR="00E56455" w:rsidRPr="00927A54" w14:paraId="6811EFB3" w14:textId="77777777" w:rsidTr="00B05614">
        <w:tc>
          <w:tcPr>
            <w:tcW w:w="1526" w:type="dxa"/>
            <w:shd w:val="clear" w:color="auto" w:fill="auto"/>
          </w:tcPr>
          <w:p w14:paraId="39EF30A4" w14:textId="77777777" w:rsidR="00E56455" w:rsidRPr="00927A54" w:rsidRDefault="00E56455" w:rsidP="00042F08">
            <w:pPr>
              <w:pStyle w:val="BodyText"/>
              <w:spacing w:after="0"/>
              <w:rPr>
                <w:rFonts w:cs="Calibri"/>
                <w:b/>
                <w:sz w:val="20"/>
                <w:szCs w:val="20"/>
              </w:rPr>
            </w:pPr>
            <w:r w:rsidRPr="00927A54">
              <w:rPr>
                <w:rFonts w:cs="Calibri"/>
                <w:b/>
                <w:sz w:val="20"/>
                <w:szCs w:val="20"/>
              </w:rPr>
              <w:t>CCF</w:t>
            </w:r>
            <w:r w:rsidRPr="00927A54">
              <w:rPr>
                <w:rFonts w:cs="Calibri"/>
                <w:b/>
                <w:sz w:val="20"/>
                <w:szCs w:val="20"/>
                <w:vertAlign w:val="subscript"/>
              </w:rPr>
              <w:t>i</w:t>
            </w:r>
          </w:p>
        </w:tc>
        <w:tc>
          <w:tcPr>
            <w:tcW w:w="7092" w:type="dxa"/>
            <w:shd w:val="clear" w:color="auto" w:fill="auto"/>
          </w:tcPr>
          <w:p w14:paraId="2829D660" w14:textId="77777777" w:rsidR="00E56455" w:rsidRPr="00927A54" w:rsidRDefault="00E56455" w:rsidP="00042F08">
            <w:pPr>
              <w:pStyle w:val="BodyText"/>
              <w:spacing w:after="0"/>
              <w:rPr>
                <w:rFonts w:cs="Calibri"/>
                <w:sz w:val="20"/>
                <w:szCs w:val="20"/>
              </w:rPr>
            </w:pPr>
            <w:r w:rsidRPr="00927A54">
              <w:rPr>
                <w:rFonts w:cs="Calibri"/>
                <w:spacing w:val="-2"/>
                <w:sz w:val="20"/>
                <w:szCs w:val="20"/>
              </w:rPr>
              <w:t>carbon content factor</w:t>
            </w:r>
          </w:p>
        </w:tc>
      </w:tr>
      <w:tr w:rsidR="00E56455" w:rsidRPr="00927A54" w14:paraId="3E690B5E" w14:textId="77777777" w:rsidTr="00B05614">
        <w:tc>
          <w:tcPr>
            <w:tcW w:w="1526" w:type="dxa"/>
            <w:shd w:val="clear" w:color="auto" w:fill="auto"/>
          </w:tcPr>
          <w:p w14:paraId="1325832B" w14:textId="77777777" w:rsidR="00E56455" w:rsidRPr="00927A54" w:rsidRDefault="00E56455" w:rsidP="00042F08">
            <w:pPr>
              <w:pStyle w:val="BodyText"/>
              <w:spacing w:after="0"/>
              <w:rPr>
                <w:rFonts w:cs="Calibri"/>
                <w:b/>
                <w:sz w:val="20"/>
                <w:szCs w:val="20"/>
              </w:rPr>
            </w:pPr>
            <w:r w:rsidRPr="00927A54">
              <w:rPr>
                <w:rFonts w:cs="Calibri"/>
                <w:b/>
                <w:sz w:val="20"/>
                <w:szCs w:val="20"/>
              </w:rPr>
              <w:t>CDM</w:t>
            </w:r>
          </w:p>
        </w:tc>
        <w:tc>
          <w:tcPr>
            <w:tcW w:w="7092" w:type="dxa"/>
            <w:shd w:val="clear" w:color="auto" w:fill="auto"/>
          </w:tcPr>
          <w:p w14:paraId="2125B3A2" w14:textId="77777777" w:rsidR="00E56455" w:rsidRPr="00927A54" w:rsidRDefault="00E56455" w:rsidP="00042F08">
            <w:pPr>
              <w:pStyle w:val="BodyText"/>
              <w:spacing w:after="0"/>
              <w:rPr>
                <w:rFonts w:cs="Calibri"/>
                <w:sz w:val="20"/>
                <w:szCs w:val="20"/>
              </w:rPr>
            </w:pPr>
            <w:r w:rsidRPr="00927A54">
              <w:rPr>
                <w:rFonts w:cs="Calibri"/>
                <w:sz w:val="20"/>
                <w:szCs w:val="20"/>
              </w:rPr>
              <w:t>Clean Development Mechanism</w:t>
            </w:r>
          </w:p>
        </w:tc>
      </w:tr>
      <w:tr w:rsidR="00E56455" w:rsidRPr="00927A54" w14:paraId="5971DD69" w14:textId="77777777" w:rsidTr="00B05614">
        <w:tc>
          <w:tcPr>
            <w:tcW w:w="1526" w:type="dxa"/>
            <w:shd w:val="clear" w:color="auto" w:fill="auto"/>
          </w:tcPr>
          <w:p w14:paraId="5EE5F3DB"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CEF </w:t>
            </w:r>
          </w:p>
        </w:tc>
        <w:tc>
          <w:tcPr>
            <w:tcW w:w="7092" w:type="dxa"/>
            <w:shd w:val="clear" w:color="auto" w:fill="auto"/>
          </w:tcPr>
          <w:p w14:paraId="36C9092D"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carbon equivalent forest</w:t>
            </w:r>
          </w:p>
        </w:tc>
      </w:tr>
      <w:tr w:rsidR="00E56455" w:rsidRPr="00927A54" w14:paraId="22A8FE26" w14:textId="77777777" w:rsidTr="00B05614">
        <w:tc>
          <w:tcPr>
            <w:tcW w:w="1526" w:type="dxa"/>
            <w:shd w:val="clear" w:color="auto" w:fill="auto"/>
          </w:tcPr>
          <w:p w14:paraId="0047EBBA" w14:textId="64BBB77D"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CEF</w:t>
            </w:r>
            <w:r w:rsidRPr="00927A54">
              <w:rPr>
                <w:rFonts w:eastAsia="Calibri" w:cs="Calibri"/>
                <w:b/>
                <w:sz w:val="20"/>
                <w:szCs w:val="20"/>
                <w:vertAlign w:val="subscript"/>
              </w:rPr>
              <w:t>HC</w:t>
            </w:r>
            <w:r w:rsidRPr="00927A54">
              <w:rPr>
                <w:rFonts w:eastAsia="Calibri" w:cs="Calibri"/>
                <w:b/>
                <w:sz w:val="20"/>
                <w:szCs w:val="20"/>
              </w:rPr>
              <w:t xml:space="preserve"> </w:t>
            </w:r>
          </w:p>
        </w:tc>
        <w:tc>
          <w:tcPr>
            <w:tcW w:w="7092" w:type="dxa"/>
            <w:shd w:val="clear" w:color="auto" w:fill="auto"/>
          </w:tcPr>
          <w:p w14:paraId="622AE53B"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carbon equivalent forest (harvested and converted)</w:t>
            </w:r>
          </w:p>
        </w:tc>
      </w:tr>
      <w:tr w:rsidR="00E56455" w:rsidRPr="00927A54" w14:paraId="3BA64D68" w14:textId="77777777" w:rsidTr="00B05614">
        <w:tc>
          <w:tcPr>
            <w:tcW w:w="1526" w:type="dxa"/>
            <w:shd w:val="clear" w:color="auto" w:fill="auto"/>
          </w:tcPr>
          <w:p w14:paraId="482AC761"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CEF</w:t>
            </w:r>
            <w:r w:rsidRPr="0042156E">
              <w:rPr>
                <w:rFonts w:eastAsia="Calibri" w:cs="Calibri"/>
                <w:b/>
                <w:caps/>
                <w:sz w:val="20"/>
                <w:szCs w:val="20"/>
                <w:vertAlign w:val="subscript"/>
              </w:rPr>
              <w:t>ne</w:t>
            </w:r>
            <w:r w:rsidRPr="00927A54">
              <w:rPr>
                <w:rFonts w:eastAsia="Calibri" w:cs="Calibri"/>
                <w:b/>
                <w:sz w:val="20"/>
                <w:szCs w:val="20"/>
                <w:vertAlign w:val="subscript"/>
              </w:rPr>
              <w:t xml:space="preserve"> </w:t>
            </w:r>
          </w:p>
        </w:tc>
        <w:tc>
          <w:tcPr>
            <w:tcW w:w="7092" w:type="dxa"/>
            <w:shd w:val="clear" w:color="auto" w:fill="auto"/>
          </w:tcPr>
          <w:p w14:paraId="2C2FAA55"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carbon equivalent forest (newly established)</w:t>
            </w:r>
          </w:p>
        </w:tc>
      </w:tr>
      <w:tr w:rsidR="00E56455" w:rsidRPr="00927A54" w14:paraId="436168BA" w14:textId="77777777" w:rsidTr="00B05614">
        <w:tc>
          <w:tcPr>
            <w:tcW w:w="1526" w:type="dxa"/>
            <w:shd w:val="clear" w:color="auto" w:fill="auto"/>
          </w:tcPr>
          <w:p w14:paraId="75F4500A"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CER</w:t>
            </w:r>
          </w:p>
        </w:tc>
        <w:tc>
          <w:tcPr>
            <w:tcW w:w="7092" w:type="dxa"/>
            <w:shd w:val="clear" w:color="auto" w:fill="auto"/>
          </w:tcPr>
          <w:p w14:paraId="38AF97DA"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 xml:space="preserve">certified emission reduction unit </w:t>
            </w:r>
          </w:p>
        </w:tc>
      </w:tr>
      <w:tr w:rsidR="00E56455" w:rsidRPr="00927A54" w14:paraId="4C1A7B4C" w14:textId="77777777" w:rsidTr="00B05614">
        <w:tc>
          <w:tcPr>
            <w:tcW w:w="1526" w:type="dxa"/>
            <w:shd w:val="clear" w:color="auto" w:fill="auto"/>
          </w:tcPr>
          <w:p w14:paraId="0AFB7BF1" w14:textId="77777777" w:rsidR="00E56455" w:rsidRPr="00927A54" w:rsidRDefault="00E56455" w:rsidP="00042F08">
            <w:pPr>
              <w:pStyle w:val="BodyText"/>
              <w:spacing w:after="0"/>
              <w:rPr>
                <w:rFonts w:eastAsia="Calibri" w:cs="Calibri"/>
                <w:b/>
                <w:sz w:val="20"/>
                <w:szCs w:val="20"/>
              </w:rPr>
            </w:pPr>
            <w:r w:rsidRPr="00927A54">
              <w:rPr>
                <w:rFonts w:cs="Calibri"/>
                <w:b/>
                <w:sz w:val="20"/>
                <w:szCs w:val="20"/>
              </w:rPr>
              <w:t>CF</w:t>
            </w:r>
            <w:r w:rsidRPr="00927A54">
              <w:rPr>
                <w:rFonts w:cs="Calibri"/>
                <w:b/>
                <w:sz w:val="20"/>
                <w:szCs w:val="20"/>
                <w:vertAlign w:val="subscript"/>
              </w:rPr>
              <w:t>4</w:t>
            </w:r>
          </w:p>
        </w:tc>
        <w:tc>
          <w:tcPr>
            <w:tcW w:w="7092" w:type="dxa"/>
            <w:shd w:val="clear" w:color="auto" w:fill="auto"/>
          </w:tcPr>
          <w:p w14:paraId="6CCE9441"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perfluoromethane</w:t>
            </w:r>
          </w:p>
        </w:tc>
      </w:tr>
      <w:tr w:rsidR="00E56455" w:rsidRPr="00927A54" w14:paraId="3470CB0B" w14:textId="77777777" w:rsidTr="00B05614">
        <w:tc>
          <w:tcPr>
            <w:tcW w:w="1526" w:type="dxa"/>
            <w:shd w:val="clear" w:color="auto" w:fill="auto"/>
          </w:tcPr>
          <w:p w14:paraId="2EF8EBDA" w14:textId="77777777" w:rsidR="00E56455" w:rsidRPr="00927A54" w:rsidRDefault="00E56455" w:rsidP="00042F08">
            <w:pPr>
              <w:pStyle w:val="BodyText"/>
              <w:spacing w:after="0"/>
              <w:rPr>
                <w:rFonts w:eastAsia="Calibri" w:cs="Calibri"/>
                <w:b/>
                <w:sz w:val="20"/>
                <w:szCs w:val="20"/>
              </w:rPr>
            </w:pPr>
            <w:r w:rsidRPr="00927A54">
              <w:rPr>
                <w:rFonts w:cs="Calibri"/>
                <w:b/>
                <w:sz w:val="20"/>
                <w:szCs w:val="20"/>
              </w:rPr>
              <w:t>CFC</w:t>
            </w:r>
          </w:p>
        </w:tc>
        <w:tc>
          <w:tcPr>
            <w:tcW w:w="7092" w:type="dxa"/>
            <w:shd w:val="clear" w:color="auto" w:fill="auto"/>
          </w:tcPr>
          <w:p w14:paraId="1E7CCA7C"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chlorofluorocarbon</w:t>
            </w:r>
          </w:p>
        </w:tc>
      </w:tr>
      <w:tr w:rsidR="00E56455" w:rsidRPr="00927A54" w14:paraId="4D6B3838" w14:textId="77777777" w:rsidTr="00B05614">
        <w:tc>
          <w:tcPr>
            <w:tcW w:w="1526" w:type="dxa"/>
            <w:shd w:val="clear" w:color="auto" w:fill="auto"/>
          </w:tcPr>
          <w:p w14:paraId="662A3039"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CH</w:t>
            </w:r>
            <w:r w:rsidRPr="00927A54">
              <w:rPr>
                <w:rFonts w:eastAsia="Calibri" w:cs="Calibri"/>
                <w:b/>
                <w:sz w:val="20"/>
                <w:szCs w:val="20"/>
                <w:vertAlign w:val="subscript"/>
              </w:rPr>
              <w:t>4</w:t>
            </w:r>
          </w:p>
        </w:tc>
        <w:tc>
          <w:tcPr>
            <w:tcW w:w="7092" w:type="dxa"/>
            <w:shd w:val="clear" w:color="auto" w:fill="auto"/>
          </w:tcPr>
          <w:p w14:paraId="7B88E2A1"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methane</w:t>
            </w:r>
          </w:p>
        </w:tc>
      </w:tr>
      <w:tr w:rsidR="00E56455" w:rsidRPr="00927A54" w14:paraId="3AB92626" w14:textId="77777777" w:rsidTr="00B05614">
        <w:tc>
          <w:tcPr>
            <w:tcW w:w="1526" w:type="dxa"/>
            <w:shd w:val="clear" w:color="auto" w:fill="auto"/>
          </w:tcPr>
          <w:p w14:paraId="25588E64"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CMP </w:t>
            </w:r>
          </w:p>
        </w:tc>
        <w:tc>
          <w:tcPr>
            <w:tcW w:w="7092" w:type="dxa"/>
            <w:shd w:val="clear" w:color="auto" w:fill="auto"/>
          </w:tcPr>
          <w:p w14:paraId="515B6832"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Conference of the Parties serving as the meeting of the Parties to the Kyoto Protocol</w:t>
            </w:r>
          </w:p>
        </w:tc>
      </w:tr>
      <w:tr w:rsidR="00E56455" w:rsidRPr="00927A54" w14:paraId="18105453" w14:textId="77777777" w:rsidTr="00B05614">
        <w:tc>
          <w:tcPr>
            <w:tcW w:w="1526" w:type="dxa"/>
            <w:shd w:val="clear" w:color="auto" w:fill="auto"/>
          </w:tcPr>
          <w:p w14:paraId="6BF94D6E" w14:textId="77777777" w:rsidR="00E56455" w:rsidRPr="00927A54" w:rsidRDefault="00E56455" w:rsidP="00042F08">
            <w:pPr>
              <w:pStyle w:val="BodyText"/>
              <w:spacing w:after="0"/>
              <w:rPr>
                <w:rFonts w:eastAsia="Calibri" w:cs="Calibri"/>
                <w:b/>
                <w:sz w:val="20"/>
                <w:szCs w:val="20"/>
              </w:rPr>
            </w:pPr>
            <w:r w:rsidRPr="00927A54">
              <w:rPr>
                <w:rFonts w:cs="Calibri"/>
                <w:b/>
                <w:sz w:val="20"/>
                <w:szCs w:val="20"/>
                <w:lang w:eastAsia="en-GB"/>
              </w:rPr>
              <w:t>CNG</w:t>
            </w:r>
          </w:p>
        </w:tc>
        <w:tc>
          <w:tcPr>
            <w:tcW w:w="7092" w:type="dxa"/>
            <w:shd w:val="clear" w:color="auto" w:fill="auto"/>
          </w:tcPr>
          <w:p w14:paraId="561C55B1" w14:textId="77777777" w:rsidR="00E56455" w:rsidRPr="00927A54" w:rsidRDefault="00E56455" w:rsidP="00042F08">
            <w:pPr>
              <w:pStyle w:val="BodyText"/>
              <w:spacing w:after="0"/>
              <w:rPr>
                <w:rFonts w:eastAsia="Calibri" w:cs="Calibri"/>
                <w:sz w:val="20"/>
                <w:szCs w:val="20"/>
              </w:rPr>
            </w:pPr>
            <w:r w:rsidRPr="00927A54">
              <w:rPr>
                <w:rFonts w:cs="Calibri"/>
                <w:sz w:val="20"/>
                <w:szCs w:val="20"/>
                <w:lang w:eastAsia="en-GB"/>
              </w:rPr>
              <w:t>compressed natural gas</w:t>
            </w:r>
          </w:p>
        </w:tc>
      </w:tr>
      <w:tr w:rsidR="00E56455" w:rsidRPr="00927A54" w14:paraId="2E5ED536" w14:textId="77777777" w:rsidTr="00B05614">
        <w:tc>
          <w:tcPr>
            <w:tcW w:w="1526" w:type="dxa"/>
            <w:shd w:val="clear" w:color="auto" w:fill="auto"/>
          </w:tcPr>
          <w:p w14:paraId="457FB2A4"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CO </w:t>
            </w:r>
          </w:p>
        </w:tc>
        <w:tc>
          <w:tcPr>
            <w:tcW w:w="7092" w:type="dxa"/>
            <w:shd w:val="clear" w:color="auto" w:fill="auto"/>
          </w:tcPr>
          <w:p w14:paraId="4EF52A26"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carbon monoxide</w:t>
            </w:r>
          </w:p>
        </w:tc>
      </w:tr>
      <w:tr w:rsidR="00E56455" w:rsidRPr="00927A54" w14:paraId="56CACC4D" w14:textId="77777777" w:rsidTr="00B05614">
        <w:tc>
          <w:tcPr>
            <w:tcW w:w="1526" w:type="dxa"/>
            <w:shd w:val="clear" w:color="auto" w:fill="auto"/>
          </w:tcPr>
          <w:p w14:paraId="0726578E"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COD</w:t>
            </w:r>
          </w:p>
        </w:tc>
        <w:tc>
          <w:tcPr>
            <w:tcW w:w="7092" w:type="dxa"/>
            <w:shd w:val="clear" w:color="auto" w:fill="auto"/>
          </w:tcPr>
          <w:p w14:paraId="64F99B61"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chemical oxygen demand</w:t>
            </w:r>
          </w:p>
        </w:tc>
      </w:tr>
      <w:tr w:rsidR="00E56455" w:rsidRPr="00927A54" w14:paraId="1C13FCF6" w14:textId="77777777" w:rsidTr="00B05614">
        <w:tc>
          <w:tcPr>
            <w:tcW w:w="1526" w:type="dxa"/>
            <w:shd w:val="clear" w:color="auto" w:fill="auto"/>
          </w:tcPr>
          <w:p w14:paraId="3D0C8DAD"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COP</w:t>
            </w:r>
          </w:p>
        </w:tc>
        <w:tc>
          <w:tcPr>
            <w:tcW w:w="7092" w:type="dxa"/>
            <w:shd w:val="clear" w:color="auto" w:fill="auto"/>
          </w:tcPr>
          <w:p w14:paraId="25A3E850"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Conference of the Parties</w:t>
            </w:r>
          </w:p>
        </w:tc>
      </w:tr>
      <w:tr w:rsidR="00E56455" w:rsidRPr="00927A54" w14:paraId="11116243" w14:textId="77777777" w:rsidTr="00B05614">
        <w:tc>
          <w:tcPr>
            <w:tcW w:w="1526" w:type="dxa"/>
            <w:shd w:val="clear" w:color="auto" w:fill="auto"/>
          </w:tcPr>
          <w:p w14:paraId="45DC302D"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CO</w:t>
            </w:r>
            <w:r w:rsidRPr="00927A54">
              <w:rPr>
                <w:rFonts w:eastAsia="Calibri" w:cs="Calibri"/>
                <w:b/>
                <w:sz w:val="20"/>
                <w:szCs w:val="20"/>
                <w:vertAlign w:val="subscript"/>
              </w:rPr>
              <w:t>2</w:t>
            </w:r>
            <w:r w:rsidRPr="00927A54">
              <w:rPr>
                <w:rFonts w:eastAsia="Calibri" w:cs="Calibri"/>
                <w:b/>
                <w:sz w:val="20"/>
                <w:szCs w:val="20"/>
              </w:rPr>
              <w:t xml:space="preserve"> </w:t>
            </w:r>
          </w:p>
        </w:tc>
        <w:tc>
          <w:tcPr>
            <w:tcW w:w="7092" w:type="dxa"/>
            <w:shd w:val="clear" w:color="auto" w:fill="auto"/>
          </w:tcPr>
          <w:p w14:paraId="2B30FAC7"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carbon dioxide</w:t>
            </w:r>
          </w:p>
        </w:tc>
      </w:tr>
      <w:tr w:rsidR="00E56455" w:rsidRPr="00927A54" w14:paraId="1930B6D6" w14:textId="77777777" w:rsidTr="00B05614">
        <w:tc>
          <w:tcPr>
            <w:tcW w:w="1526" w:type="dxa"/>
            <w:shd w:val="clear" w:color="auto" w:fill="auto"/>
          </w:tcPr>
          <w:p w14:paraId="62F36021"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CO</w:t>
            </w:r>
            <w:r w:rsidRPr="00927A54">
              <w:rPr>
                <w:rFonts w:eastAsia="Calibri" w:cs="Calibri"/>
                <w:b/>
                <w:sz w:val="20"/>
                <w:szCs w:val="20"/>
                <w:vertAlign w:val="subscript"/>
              </w:rPr>
              <w:t>2</w:t>
            </w:r>
            <w:r w:rsidRPr="00927A54">
              <w:rPr>
                <w:rFonts w:eastAsia="Calibri" w:cs="Calibri"/>
                <w:b/>
                <w:sz w:val="20"/>
                <w:szCs w:val="20"/>
              </w:rPr>
              <w:t>-e</w:t>
            </w:r>
          </w:p>
        </w:tc>
        <w:tc>
          <w:tcPr>
            <w:tcW w:w="7092" w:type="dxa"/>
            <w:shd w:val="clear" w:color="auto" w:fill="auto"/>
          </w:tcPr>
          <w:p w14:paraId="2DBBD03E"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carbon dioxide equivalent</w:t>
            </w:r>
          </w:p>
        </w:tc>
      </w:tr>
      <w:tr w:rsidR="00E56455" w:rsidRPr="00927A54" w14:paraId="5286C042" w14:textId="77777777" w:rsidTr="00B05614">
        <w:tc>
          <w:tcPr>
            <w:tcW w:w="1526" w:type="dxa"/>
            <w:shd w:val="clear" w:color="auto" w:fill="auto"/>
          </w:tcPr>
          <w:p w14:paraId="7CE30130"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CP1</w:t>
            </w:r>
          </w:p>
        </w:tc>
        <w:tc>
          <w:tcPr>
            <w:tcW w:w="7092" w:type="dxa"/>
            <w:shd w:val="clear" w:color="auto" w:fill="auto"/>
          </w:tcPr>
          <w:p w14:paraId="2BB17949"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first commitment period under the Kyoto Protocol</w:t>
            </w:r>
          </w:p>
        </w:tc>
      </w:tr>
      <w:tr w:rsidR="00E56455" w:rsidRPr="00927A54" w14:paraId="68B69AD4" w14:textId="77777777" w:rsidTr="00B05614">
        <w:tc>
          <w:tcPr>
            <w:tcW w:w="1526" w:type="dxa"/>
            <w:shd w:val="clear" w:color="auto" w:fill="auto"/>
          </w:tcPr>
          <w:p w14:paraId="168A7C8B"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CP2</w:t>
            </w:r>
          </w:p>
        </w:tc>
        <w:tc>
          <w:tcPr>
            <w:tcW w:w="7092" w:type="dxa"/>
            <w:shd w:val="clear" w:color="auto" w:fill="auto"/>
          </w:tcPr>
          <w:p w14:paraId="59D8AECB"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second commitment period under the Kyoto Protocol</w:t>
            </w:r>
          </w:p>
        </w:tc>
      </w:tr>
      <w:tr w:rsidR="00E56455" w:rsidRPr="00927A54" w14:paraId="363B7A16" w14:textId="77777777" w:rsidTr="00B05614">
        <w:tc>
          <w:tcPr>
            <w:tcW w:w="1526" w:type="dxa"/>
            <w:shd w:val="clear" w:color="auto" w:fill="auto"/>
          </w:tcPr>
          <w:p w14:paraId="405EA53C"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lastRenderedPageBreak/>
              <w:t>CRA</w:t>
            </w:r>
          </w:p>
        </w:tc>
        <w:tc>
          <w:tcPr>
            <w:tcW w:w="7092" w:type="dxa"/>
            <w:shd w:val="clear" w:color="auto" w:fill="auto"/>
          </w:tcPr>
          <w:p w14:paraId="09F5D00F"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Calculation and Reporting Application</w:t>
            </w:r>
          </w:p>
        </w:tc>
      </w:tr>
      <w:tr w:rsidR="00E56455" w:rsidRPr="00927A54" w14:paraId="63C9FA4D" w14:textId="77777777" w:rsidTr="00B05614">
        <w:tc>
          <w:tcPr>
            <w:tcW w:w="1526" w:type="dxa"/>
            <w:shd w:val="clear" w:color="auto" w:fill="auto"/>
          </w:tcPr>
          <w:p w14:paraId="22C75F08"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CRF </w:t>
            </w:r>
          </w:p>
        </w:tc>
        <w:tc>
          <w:tcPr>
            <w:tcW w:w="7092" w:type="dxa"/>
            <w:shd w:val="clear" w:color="auto" w:fill="auto"/>
          </w:tcPr>
          <w:p w14:paraId="559582DB"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common reporting format</w:t>
            </w:r>
          </w:p>
        </w:tc>
      </w:tr>
      <w:tr w:rsidR="00E56455" w:rsidRPr="00927A54" w14:paraId="7793CF29" w14:textId="77777777" w:rsidTr="00B05614">
        <w:tc>
          <w:tcPr>
            <w:tcW w:w="1526" w:type="dxa"/>
            <w:shd w:val="clear" w:color="auto" w:fill="auto"/>
          </w:tcPr>
          <w:p w14:paraId="569447A5" w14:textId="77777777" w:rsidR="00E56455" w:rsidRPr="00927A54" w:rsidRDefault="00E56455" w:rsidP="00042F08">
            <w:pPr>
              <w:pStyle w:val="BodyText"/>
              <w:spacing w:after="0"/>
              <w:rPr>
                <w:rFonts w:cs="Calibri"/>
                <w:b/>
                <w:bCs/>
                <w:sz w:val="20"/>
                <w:szCs w:val="20"/>
              </w:rPr>
            </w:pPr>
            <w:r w:rsidRPr="00927A54">
              <w:rPr>
                <w:rFonts w:cs="Calibri"/>
                <w:b/>
                <w:bCs/>
                <w:sz w:val="20"/>
                <w:szCs w:val="20"/>
              </w:rPr>
              <w:t>CSC</w:t>
            </w:r>
          </w:p>
        </w:tc>
        <w:tc>
          <w:tcPr>
            <w:tcW w:w="7092" w:type="dxa"/>
            <w:shd w:val="clear" w:color="auto" w:fill="auto"/>
          </w:tcPr>
          <w:p w14:paraId="118D5F75" w14:textId="77777777" w:rsidR="00E56455" w:rsidRPr="00927A54" w:rsidRDefault="00E56455" w:rsidP="00042F08">
            <w:pPr>
              <w:pStyle w:val="BodyText"/>
              <w:spacing w:after="0"/>
              <w:rPr>
                <w:rFonts w:cs="Calibri"/>
                <w:sz w:val="20"/>
                <w:szCs w:val="20"/>
              </w:rPr>
            </w:pPr>
            <w:r w:rsidRPr="00927A54">
              <w:rPr>
                <w:rFonts w:cs="Calibri"/>
                <w:sz w:val="20"/>
                <w:szCs w:val="20"/>
              </w:rPr>
              <w:t>carbon stock change</w:t>
            </w:r>
          </w:p>
        </w:tc>
      </w:tr>
      <w:tr w:rsidR="00E56455" w:rsidRPr="00927A54" w14:paraId="0E8E7A1F" w14:textId="77777777" w:rsidTr="00B05614">
        <w:tc>
          <w:tcPr>
            <w:tcW w:w="1526" w:type="dxa"/>
            <w:shd w:val="clear" w:color="auto" w:fill="auto"/>
          </w:tcPr>
          <w:p w14:paraId="7C7F58EB" w14:textId="77777777" w:rsidR="00E56455" w:rsidRPr="00927A54" w:rsidRDefault="00E56455" w:rsidP="00042F08">
            <w:pPr>
              <w:pStyle w:val="BodyText"/>
              <w:spacing w:after="0"/>
              <w:rPr>
                <w:rFonts w:eastAsia="Calibri" w:cs="Calibri"/>
                <w:b/>
                <w:bCs/>
                <w:sz w:val="20"/>
                <w:szCs w:val="20"/>
              </w:rPr>
            </w:pPr>
            <w:r w:rsidRPr="00927A54">
              <w:rPr>
                <w:rFonts w:cs="Calibri"/>
                <w:b/>
                <w:bCs/>
                <w:sz w:val="20"/>
                <w:szCs w:val="20"/>
              </w:rPr>
              <w:t>CSIRO</w:t>
            </w:r>
          </w:p>
        </w:tc>
        <w:tc>
          <w:tcPr>
            <w:tcW w:w="7092" w:type="dxa"/>
            <w:shd w:val="clear" w:color="auto" w:fill="auto"/>
          </w:tcPr>
          <w:p w14:paraId="3C83277B"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Commonwealth Scientific and Industrial Research Organisation</w:t>
            </w:r>
          </w:p>
        </w:tc>
      </w:tr>
      <w:tr w:rsidR="00E56455" w:rsidRPr="00927A54" w14:paraId="0AE3BF10" w14:textId="77777777" w:rsidTr="00B05614">
        <w:tc>
          <w:tcPr>
            <w:tcW w:w="1526" w:type="dxa"/>
            <w:shd w:val="clear" w:color="auto" w:fill="auto"/>
          </w:tcPr>
          <w:p w14:paraId="0AEFA1F9"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DCD</w:t>
            </w:r>
          </w:p>
        </w:tc>
        <w:tc>
          <w:tcPr>
            <w:tcW w:w="7092" w:type="dxa"/>
            <w:shd w:val="clear" w:color="auto" w:fill="auto"/>
          </w:tcPr>
          <w:p w14:paraId="26259577"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dicyandiamide</w:t>
            </w:r>
          </w:p>
        </w:tc>
      </w:tr>
      <w:tr w:rsidR="00E56455" w:rsidRPr="00927A54" w14:paraId="71593DEC" w14:textId="77777777" w:rsidTr="00B05614">
        <w:tc>
          <w:tcPr>
            <w:tcW w:w="1526" w:type="dxa"/>
            <w:shd w:val="clear" w:color="auto" w:fill="auto"/>
          </w:tcPr>
          <w:p w14:paraId="5E259191" w14:textId="77777777" w:rsidR="00E56455" w:rsidRPr="00927A54" w:rsidRDefault="00E56455" w:rsidP="00042F08">
            <w:pPr>
              <w:pStyle w:val="BodyText"/>
              <w:spacing w:after="0"/>
              <w:rPr>
                <w:rFonts w:eastAsia="Calibri" w:cs="Calibri"/>
                <w:b/>
                <w:bCs/>
                <w:sz w:val="20"/>
                <w:szCs w:val="20"/>
              </w:rPr>
            </w:pPr>
            <w:r w:rsidRPr="00927A54">
              <w:rPr>
                <w:rFonts w:cs="Calibri"/>
                <w:b/>
                <w:bCs/>
                <w:spacing w:val="-2"/>
                <w:sz w:val="20"/>
                <w:szCs w:val="20"/>
              </w:rPr>
              <w:t>DDOC</w:t>
            </w:r>
          </w:p>
        </w:tc>
        <w:tc>
          <w:tcPr>
            <w:tcW w:w="7092" w:type="dxa"/>
            <w:shd w:val="clear" w:color="auto" w:fill="auto"/>
          </w:tcPr>
          <w:p w14:paraId="624E4FD3" w14:textId="77777777" w:rsidR="00E56455" w:rsidRPr="00927A54" w:rsidRDefault="00E56455" w:rsidP="00042F08">
            <w:pPr>
              <w:pStyle w:val="BodyText"/>
              <w:spacing w:after="0"/>
              <w:rPr>
                <w:rFonts w:eastAsia="Calibri" w:cs="Calibri"/>
                <w:sz w:val="20"/>
                <w:szCs w:val="20"/>
              </w:rPr>
            </w:pPr>
            <w:r w:rsidRPr="00927A54">
              <w:rPr>
                <w:rFonts w:cs="Calibri"/>
                <w:spacing w:val="-2"/>
                <w:sz w:val="20"/>
                <w:szCs w:val="20"/>
              </w:rPr>
              <w:t>decomposable degradable organic carbon</w:t>
            </w:r>
          </w:p>
        </w:tc>
      </w:tr>
      <w:tr w:rsidR="00E56455" w:rsidRPr="00927A54" w14:paraId="77454D8B" w14:textId="77777777" w:rsidTr="00B05614">
        <w:tc>
          <w:tcPr>
            <w:tcW w:w="1526" w:type="dxa"/>
            <w:shd w:val="clear" w:color="auto" w:fill="auto"/>
          </w:tcPr>
          <w:p w14:paraId="67EF7756"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DEF</w:t>
            </w:r>
          </w:p>
        </w:tc>
        <w:tc>
          <w:tcPr>
            <w:tcW w:w="7092" w:type="dxa"/>
            <w:shd w:val="clear" w:color="auto" w:fill="auto"/>
          </w:tcPr>
          <w:p w14:paraId="68C20BA3"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diesel exhaust fluid</w:t>
            </w:r>
          </w:p>
        </w:tc>
      </w:tr>
      <w:tr w:rsidR="00E56455" w:rsidRPr="00927A54" w14:paraId="4927DDBE" w14:textId="77777777" w:rsidTr="00B05614">
        <w:tc>
          <w:tcPr>
            <w:tcW w:w="1526" w:type="dxa"/>
            <w:shd w:val="clear" w:color="auto" w:fill="auto"/>
          </w:tcPr>
          <w:p w14:paraId="6B3316CE"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DMD</w:t>
            </w:r>
          </w:p>
        </w:tc>
        <w:tc>
          <w:tcPr>
            <w:tcW w:w="7092" w:type="dxa"/>
            <w:shd w:val="clear" w:color="auto" w:fill="auto"/>
          </w:tcPr>
          <w:p w14:paraId="21FEDB18"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dry-matter digestibility</w:t>
            </w:r>
          </w:p>
        </w:tc>
      </w:tr>
      <w:tr w:rsidR="00E56455" w:rsidRPr="00927A54" w14:paraId="598C3A78" w14:textId="77777777" w:rsidTr="00B05614">
        <w:tc>
          <w:tcPr>
            <w:tcW w:w="1526" w:type="dxa"/>
            <w:shd w:val="clear" w:color="auto" w:fill="auto"/>
          </w:tcPr>
          <w:p w14:paraId="19729A71"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DMI</w:t>
            </w:r>
          </w:p>
        </w:tc>
        <w:tc>
          <w:tcPr>
            <w:tcW w:w="7092" w:type="dxa"/>
            <w:shd w:val="clear" w:color="auto" w:fill="auto"/>
          </w:tcPr>
          <w:p w14:paraId="5C9BA16A"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dry-matter intake</w:t>
            </w:r>
          </w:p>
        </w:tc>
      </w:tr>
      <w:tr w:rsidR="00E56455" w:rsidRPr="00927A54" w14:paraId="448B9561" w14:textId="77777777" w:rsidTr="00B05614">
        <w:tc>
          <w:tcPr>
            <w:tcW w:w="1526" w:type="dxa"/>
            <w:shd w:val="clear" w:color="auto" w:fill="auto"/>
          </w:tcPr>
          <w:p w14:paraId="73ABFB10" w14:textId="77777777" w:rsidR="00E56455" w:rsidRPr="00927A54" w:rsidRDefault="00E56455" w:rsidP="00042F08">
            <w:pPr>
              <w:pStyle w:val="BodyText"/>
              <w:spacing w:after="0"/>
              <w:rPr>
                <w:rFonts w:eastAsia="Calibri" w:cs="Calibri"/>
                <w:b/>
                <w:sz w:val="20"/>
                <w:szCs w:val="20"/>
              </w:rPr>
            </w:pPr>
            <w:r w:rsidRPr="00927A54">
              <w:rPr>
                <w:rFonts w:cs="Calibri"/>
                <w:b/>
                <w:sz w:val="20"/>
                <w:szCs w:val="20"/>
              </w:rPr>
              <w:t>DOC</w:t>
            </w:r>
          </w:p>
        </w:tc>
        <w:tc>
          <w:tcPr>
            <w:tcW w:w="7092" w:type="dxa"/>
            <w:shd w:val="clear" w:color="auto" w:fill="auto"/>
          </w:tcPr>
          <w:p w14:paraId="27CB7D1D"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degradable organic carbon</w:t>
            </w:r>
          </w:p>
        </w:tc>
      </w:tr>
      <w:tr w:rsidR="00E56455" w:rsidRPr="00927A54" w14:paraId="46913441" w14:textId="77777777" w:rsidTr="00B05614">
        <w:tc>
          <w:tcPr>
            <w:tcW w:w="1526" w:type="dxa"/>
            <w:shd w:val="clear" w:color="auto" w:fill="auto"/>
          </w:tcPr>
          <w:p w14:paraId="39EE8DE5" w14:textId="77777777" w:rsidR="00E56455" w:rsidRPr="00927A54" w:rsidRDefault="00E56455" w:rsidP="00042F08">
            <w:pPr>
              <w:pStyle w:val="BodyText"/>
              <w:spacing w:after="0"/>
              <w:rPr>
                <w:rFonts w:cs="Calibri"/>
                <w:b/>
                <w:bCs/>
                <w:sz w:val="20"/>
                <w:szCs w:val="20"/>
              </w:rPr>
            </w:pPr>
            <w:r w:rsidRPr="00927A54">
              <w:rPr>
                <w:rFonts w:cs="Calibri"/>
                <w:b/>
                <w:bCs/>
                <w:sz w:val="20"/>
                <w:szCs w:val="20"/>
              </w:rPr>
              <w:t>DOCf</w:t>
            </w:r>
          </w:p>
        </w:tc>
        <w:tc>
          <w:tcPr>
            <w:tcW w:w="7092" w:type="dxa"/>
            <w:shd w:val="clear" w:color="auto" w:fill="auto"/>
          </w:tcPr>
          <w:p w14:paraId="0FC65400" w14:textId="77777777" w:rsidR="00E56455" w:rsidRPr="00927A54" w:rsidRDefault="00E56455" w:rsidP="00042F08">
            <w:pPr>
              <w:pStyle w:val="BodyText"/>
              <w:spacing w:after="0"/>
              <w:rPr>
                <w:rFonts w:cs="Calibri"/>
                <w:sz w:val="20"/>
                <w:szCs w:val="20"/>
              </w:rPr>
            </w:pPr>
            <w:r w:rsidRPr="00927A54">
              <w:rPr>
                <w:rFonts w:cs="Calibri"/>
                <w:sz w:val="20"/>
                <w:szCs w:val="20"/>
              </w:rPr>
              <w:t>fraction of degradable organic carbon</w:t>
            </w:r>
          </w:p>
        </w:tc>
      </w:tr>
      <w:tr w:rsidR="00E56455" w:rsidRPr="00927A54" w14:paraId="0E172844" w14:textId="77777777" w:rsidTr="00B05614">
        <w:tc>
          <w:tcPr>
            <w:tcW w:w="1526" w:type="dxa"/>
            <w:shd w:val="clear" w:color="auto" w:fill="auto"/>
          </w:tcPr>
          <w:p w14:paraId="4B8E7A8E"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DPFI</w:t>
            </w:r>
          </w:p>
        </w:tc>
        <w:tc>
          <w:tcPr>
            <w:tcW w:w="7092" w:type="dxa"/>
            <w:shd w:val="clear" w:color="auto" w:fill="auto"/>
          </w:tcPr>
          <w:p w14:paraId="3400645E"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 xml:space="preserve">Delivery of Petroleum Fuels by Industry </w:t>
            </w:r>
          </w:p>
        </w:tc>
      </w:tr>
      <w:tr w:rsidR="00E56455" w:rsidRPr="00927A54" w14:paraId="6AFA4C84" w14:textId="77777777" w:rsidTr="00B05614">
        <w:tc>
          <w:tcPr>
            <w:tcW w:w="1526" w:type="dxa"/>
            <w:shd w:val="clear" w:color="auto" w:fill="auto"/>
          </w:tcPr>
          <w:p w14:paraId="2970826F"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EEZ</w:t>
            </w:r>
          </w:p>
        </w:tc>
        <w:tc>
          <w:tcPr>
            <w:tcW w:w="7092" w:type="dxa"/>
            <w:shd w:val="clear" w:color="auto" w:fill="auto"/>
          </w:tcPr>
          <w:p w14:paraId="5C48ABF9"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Exclusive Economic Zone</w:t>
            </w:r>
          </w:p>
        </w:tc>
      </w:tr>
      <w:tr w:rsidR="00E56455" w:rsidRPr="00927A54" w14:paraId="7DCC62AC" w14:textId="77777777" w:rsidTr="00B05614">
        <w:tc>
          <w:tcPr>
            <w:tcW w:w="1526" w:type="dxa"/>
            <w:shd w:val="clear" w:color="auto" w:fill="auto"/>
          </w:tcPr>
          <w:p w14:paraId="1F5654B9"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EF </w:t>
            </w:r>
          </w:p>
        </w:tc>
        <w:tc>
          <w:tcPr>
            <w:tcW w:w="7092" w:type="dxa"/>
            <w:shd w:val="clear" w:color="auto" w:fill="auto"/>
          </w:tcPr>
          <w:p w14:paraId="4DFCFEEB"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emission factor</w:t>
            </w:r>
          </w:p>
        </w:tc>
      </w:tr>
      <w:tr w:rsidR="00E56455" w:rsidRPr="00927A54" w14:paraId="516DEE8C" w14:textId="77777777" w:rsidTr="00B05614">
        <w:tc>
          <w:tcPr>
            <w:tcW w:w="1526" w:type="dxa"/>
            <w:shd w:val="clear" w:color="auto" w:fill="auto"/>
          </w:tcPr>
          <w:p w14:paraId="24F25081"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EF</w:t>
            </w:r>
            <w:r w:rsidRPr="00927A54">
              <w:rPr>
                <w:rFonts w:eastAsia="Calibri" w:cs="Calibri"/>
                <w:b/>
                <w:sz w:val="20"/>
                <w:szCs w:val="20"/>
                <w:vertAlign w:val="subscript"/>
              </w:rPr>
              <w:t>3</w:t>
            </w:r>
          </w:p>
        </w:tc>
        <w:tc>
          <w:tcPr>
            <w:tcW w:w="7092" w:type="dxa"/>
            <w:shd w:val="clear" w:color="auto" w:fill="auto"/>
          </w:tcPr>
          <w:p w14:paraId="7F072D9D"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emission factor for N</w:t>
            </w:r>
            <w:r w:rsidRPr="00927A54">
              <w:rPr>
                <w:rFonts w:cs="Calibri"/>
                <w:sz w:val="20"/>
                <w:szCs w:val="20"/>
                <w:vertAlign w:val="subscript"/>
              </w:rPr>
              <w:t>2</w:t>
            </w:r>
            <w:r w:rsidRPr="00927A54">
              <w:rPr>
                <w:rFonts w:cs="Calibri"/>
                <w:sz w:val="20"/>
                <w:szCs w:val="20"/>
              </w:rPr>
              <w:t>O emissions from urine and dung nitrogen</w:t>
            </w:r>
          </w:p>
        </w:tc>
      </w:tr>
      <w:tr w:rsidR="00E56455" w:rsidRPr="00927A54" w14:paraId="4545EF4D" w14:textId="77777777" w:rsidTr="00B05614">
        <w:tc>
          <w:tcPr>
            <w:tcW w:w="1526" w:type="dxa"/>
            <w:shd w:val="clear" w:color="auto" w:fill="auto"/>
          </w:tcPr>
          <w:p w14:paraId="01655D49" w14:textId="77777777" w:rsidR="00E56455" w:rsidRPr="00927A54" w:rsidRDefault="00E56455" w:rsidP="00042F08">
            <w:pPr>
              <w:pStyle w:val="BodyText"/>
              <w:spacing w:after="0"/>
              <w:rPr>
                <w:rFonts w:eastAsia="Calibri" w:cs="Calibri"/>
                <w:b/>
                <w:bCs/>
                <w:sz w:val="20"/>
                <w:szCs w:val="20"/>
              </w:rPr>
            </w:pPr>
            <w:r w:rsidRPr="00927A54">
              <w:rPr>
                <w:rFonts w:cs="Calibri"/>
                <w:b/>
                <w:bCs/>
                <w:sz w:val="20"/>
                <w:szCs w:val="20"/>
              </w:rPr>
              <w:t>EF</w:t>
            </w:r>
            <w:r w:rsidRPr="00927A54">
              <w:rPr>
                <w:rFonts w:cs="Calibri"/>
                <w:b/>
                <w:bCs/>
                <w:sz w:val="20"/>
                <w:szCs w:val="20"/>
                <w:vertAlign w:val="subscript"/>
              </w:rPr>
              <w:t>3,PRP</w:t>
            </w:r>
          </w:p>
        </w:tc>
        <w:tc>
          <w:tcPr>
            <w:tcW w:w="7092" w:type="dxa"/>
            <w:shd w:val="clear" w:color="auto" w:fill="auto"/>
          </w:tcPr>
          <w:p w14:paraId="28B866A1"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emission factor for N</w:t>
            </w:r>
            <w:r w:rsidRPr="00927A54">
              <w:rPr>
                <w:rFonts w:cs="Calibri"/>
                <w:sz w:val="20"/>
                <w:szCs w:val="20"/>
                <w:vertAlign w:val="subscript"/>
              </w:rPr>
              <w:t>2</w:t>
            </w:r>
            <w:r w:rsidRPr="00927A54">
              <w:rPr>
                <w:rFonts w:cs="Calibri"/>
                <w:sz w:val="20"/>
                <w:szCs w:val="20"/>
              </w:rPr>
              <w:t>O emissions from urine and dung nitrogen deposited on pasture, range and paddock by grazing animals</w:t>
            </w:r>
          </w:p>
        </w:tc>
      </w:tr>
      <w:tr w:rsidR="00E56455" w:rsidRPr="00927A54" w14:paraId="05EF6FCD" w14:textId="77777777" w:rsidTr="00B05614">
        <w:tc>
          <w:tcPr>
            <w:tcW w:w="1526" w:type="dxa"/>
            <w:shd w:val="clear" w:color="auto" w:fill="auto"/>
          </w:tcPr>
          <w:p w14:paraId="26FA46E3"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EPA</w:t>
            </w:r>
          </w:p>
        </w:tc>
        <w:tc>
          <w:tcPr>
            <w:tcW w:w="7092" w:type="dxa"/>
            <w:shd w:val="clear" w:color="auto" w:fill="auto"/>
          </w:tcPr>
          <w:p w14:paraId="6A7E2F74"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Environmental Protection Authority</w:t>
            </w:r>
          </w:p>
        </w:tc>
      </w:tr>
      <w:tr w:rsidR="00E56455" w:rsidRPr="00927A54" w14:paraId="6B001750" w14:textId="77777777" w:rsidTr="00B05614">
        <w:tc>
          <w:tcPr>
            <w:tcW w:w="1526" w:type="dxa"/>
            <w:shd w:val="clear" w:color="auto" w:fill="auto"/>
          </w:tcPr>
          <w:p w14:paraId="4DA0CC36"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ERT </w:t>
            </w:r>
          </w:p>
        </w:tc>
        <w:tc>
          <w:tcPr>
            <w:tcW w:w="7092" w:type="dxa"/>
            <w:shd w:val="clear" w:color="auto" w:fill="auto"/>
          </w:tcPr>
          <w:p w14:paraId="2CC70B0F"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expert review team</w:t>
            </w:r>
          </w:p>
        </w:tc>
      </w:tr>
      <w:tr w:rsidR="00E56455" w:rsidRPr="00927A54" w14:paraId="5248525B" w14:textId="77777777" w:rsidTr="00B05614">
        <w:tc>
          <w:tcPr>
            <w:tcW w:w="1526" w:type="dxa"/>
            <w:shd w:val="clear" w:color="auto" w:fill="auto"/>
          </w:tcPr>
          <w:p w14:paraId="7D8B423C"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ERU</w:t>
            </w:r>
          </w:p>
        </w:tc>
        <w:tc>
          <w:tcPr>
            <w:tcW w:w="7092" w:type="dxa"/>
            <w:shd w:val="clear" w:color="auto" w:fill="auto"/>
          </w:tcPr>
          <w:p w14:paraId="6278E078"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emission reduction unit</w:t>
            </w:r>
          </w:p>
        </w:tc>
      </w:tr>
      <w:tr w:rsidR="00E56455" w:rsidRPr="00927A54" w14:paraId="12E2ED0A" w14:textId="77777777" w:rsidTr="00B05614">
        <w:tc>
          <w:tcPr>
            <w:tcW w:w="1526" w:type="dxa"/>
            <w:shd w:val="clear" w:color="auto" w:fill="auto"/>
          </w:tcPr>
          <w:p w14:paraId="3B8C4314"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ETS</w:t>
            </w:r>
          </w:p>
        </w:tc>
        <w:tc>
          <w:tcPr>
            <w:tcW w:w="7092" w:type="dxa"/>
            <w:shd w:val="clear" w:color="auto" w:fill="auto"/>
          </w:tcPr>
          <w:p w14:paraId="0EF61DD3"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Emissions Trading Scheme</w:t>
            </w:r>
          </w:p>
        </w:tc>
      </w:tr>
      <w:tr w:rsidR="00E56455" w:rsidRPr="00927A54" w14:paraId="6289A362" w14:textId="77777777" w:rsidTr="00B05614">
        <w:tc>
          <w:tcPr>
            <w:tcW w:w="1526" w:type="dxa"/>
            <w:shd w:val="clear" w:color="auto" w:fill="auto"/>
          </w:tcPr>
          <w:p w14:paraId="0E7C8CD5"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FAME</w:t>
            </w:r>
          </w:p>
        </w:tc>
        <w:tc>
          <w:tcPr>
            <w:tcW w:w="7092" w:type="dxa"/>
            <w:shd w:val="clear" w:color="auto" w:fill="auto"/>
          </w:tcPr>
          <w:p w14:paraId="5B338532"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fatty acid methyl ester</w:t>
            </w:r>
          </w:p>
        </w:tc>
      </w:tr>
      <w:tr w:rsidR="00E56455" w:rsidRPr="00927A54" w14:paraId="2F5DD16A" w14:textId="77777777" w:rsidTr="00B05614">
        <w:tc>
          <w:tcPr>
            <w:tcW w:w="1526" w:type="dxa"/>
            <w:shd w:val="clear" w:color="auto" w:fill="auto"/>
          </w:tcPr>
          <w:p w14:paraId="554DC6BC"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FAO </w:t>
            </w:r>
          </w:p>
        </w:tc>
        <w:tc>
          <w:tcPr>
            <w:tcW w:w="7092" w:type="dxa"/>
            <w:shd w:val="clear" w:color="auto" w:fill="auto"/>
          </w:tcPr>
          <w:p w14:paraId="23CDF5DC"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 xml:space="preserve">Food and Agriculture Organization </w:t>
            </w:r>
          </w:p>
        </w:tc>
      </w:tr>
      <w:tr w:rsidR="00E56455" w:rsidRPr="00927A54" w14:paraId="2F060DC3" w14:textId="77777777" w:rsidTr="00B05614">
        <w:tc>
          <w:tcPr>
            <w:tcW w:w="1526" w:type="dxa"/>
            <w:shd w:val="clear" w:color="auto" w:fill="auto"/>
          </w:tcPr>
          <w:p w14:paraId="3D3796D7"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FAOSTAT </w:t>
            </w:r>
          </w:p>
        </w:tc>
        <w:tc>
          <w:tcPr>
            <w:tcW w:w="7092" w:type="dxa"/>
            <w:shd w:val="clear" w:color="auto" w:fill="auto"/>
          </w:tcPr>
          <w:p w14:paraId="18A28CF3"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Database produced by the Statistics Division of the Food and Agriculture Organization the United Nations</w:t>
            </w:r>
          </w:p>
        </w:tc>
      </w:tr>
      <w:tr w:rsidR="00E56455" w:rsidRPr="00927A54" w14:paraId="43148A82" w14:textId="77777777" w:rsidTr="00B05614">
        <w:tc>
          <w:tcPr>
            <w:tcW w:w="1526" w:type="dxa"/>
            <w:shd w:val="clear" w:color="auto" w:fill="auto"/>
          </w:tcPr>
          <w:p w14:paraId="164AB042"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FDM</w:t>
            </w:r>
          </w:p>
        </w:tc>
        <w:tc>
          <w:tcPr>
            <w:tcW w:w="7092" w:type="dxa"/>
            <w:shd w:val="clear" w:color="auto" w:fill="auto"/>
          </w:tcPr>
          <w:p w14:paraId="4A589337"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faecal dry matter</w:t>
            </w:r>
          </w:p>
        </w:tc>
      </w:tr>
      <w:tr w:rsidR="00E56455" w:rsidRPr="00927A54" w14:paraId="0A3EA556" w14:textId="77777777" w:rsidTr="00B05614">
        <w:tc>
          <w:tcPr>
            <w:tcW w:w="1526" w:type="dxa"/>
            <w:shd w:val="clear" w:color="auto" w:fill="auto"/>
          </w:tcPr>
          <w:p w14:paraId="06127BCA"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FENZ</w:t>
            </w:r>
          </w:p>
        </w:tc>
        <w:tc>
          <w:tcPr>
            <w:tcW w:w="7092" w:type="dxa"/>
            <w:shd w:val="clear" w:color="auto" w:fill="auto"/>
          </w:tcPr>
          <w:p w14:paraId="0E23B0B4"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Fire and Emergency New Zealand</w:t>
            </w:r>
          </w:p>
        </w:tc>
      </w:tr>
      <w:tr w:rsidR="00E56455" w:rsidRPr="00927A54" w14:paraId="1B9D22DA" w14:textId="77777777" w:rsidTr="00B05614">
        <w:tc>
          <w:tcPr>
            <w:tcW w:w="1526" w:type="dxa"/>
            <w:shd w:val="clear" w:color="auto" w:fill="auto"/>
          </w:tcPr>
          <w:p w14:paraId="205993B5" w14:textId="58ACB1E6"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FMRL</w:t>
            </w:r>
          </w:p>
        </w:tc>
        <w:tc>
          <w:tcPr>
            <w:tcW w:w="7092" w:type="dxa"/>
            <w:shd w:val="clear" w:color="auto" w:fill="auto"/>
          </w:tcPr>
          <w:p w14:paraId="27845AD3"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forest management reference level</w:t>
            </w:r>
          </w:p>
        </w:tc>
      </w:tr>
      <w:tr w:rsidR="00E56455" w:rsidRPr="00927A54" w14:paraId="46E38B74" w14:textId="77777777" w:rsidTr="00B05614">
        <w:tc>
          <w:tcPr>
            <w:tcW w:w="1526" w:type="dxa"/>
            <w:shd w:val="clear" w:color="auto" w:fill="auto"/>
          </w:tcPr>
          <w:p w14:paraId="764EC2A2"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FFSR</w:t>
            </w:r>
          </w:p>
        </w:tc>
        <w:tc>
          <w:tcPr>
            <w:tcW w:w="7092" w:type="dxa"/>
            <w:shd w:val="clear" w:color="auto" w:fill="auto"/>
          </w:tcPr>
          <w:p w14:paraId="468DBEF5"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Fossil Fuel Subsidy Reform</w:t>
            </w:r>
          </w:p>
        </w:tc>
      </w:tr>
      <w:tr w:rsidR="00E56455" w:rsidRPr="00927A54" w14:paraId="05304F01" w14:textId="77777777" w:rsidTr="00B05614">
        <w:tc>
          <w:tcPr>
            <w:tcW w:w="1526" w:type="dxa"/>
            <w:shd w:val="clear" w:color="auto" w:fill="auto"/>
          </w:tcPr>
          <w:p w14:paraId="2269C1CD" w14:textId="743198B2"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FMRL</w:t>
            </w:r>
            <w:r w:rsidRPr="00927A54">
              <w:rPr>
                <w:rFonts w:eastAsia="Calibri" w:cs="Calibri"/>
                <w:b/>
                <w:i/>
                <w:sz w:val="20"/>
                <w:szCs w:val="20"/>
                <w:vertAlign w:val="subscript"/>
              </w:rPr>
              <w:t>corr</w:t>
            </w:r>
          </w:p>
        </w:tc>
        <w:tc>
          <w:tcPr>
            <w:tcW w:w="7092" w:type="dxa"/>
            <w:shd w:val="clear" w:color="auto" w:fill="auto"/>
          </w:tcPr>
          <w:p w14:paraId="4E3C9516"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technically corrected forest management reference level</w:t>
            </w:r>
          </w:p>
        </w:tc>
      </w:tr>
      <w:tr w:rsidR="00E56455" w:rsidRPr="00927A54" w14:paraId="6C822BDC" w14:textId="77777777" w:rsidTr="00B05614">
        <w:tc>
          <w:tcPr>
            <w:tcW w:w="1526" w:type="dxa"/>
            <w:shd w:val="clear" w:color="auto" w:fill="auto"/>
          </w:tcPr>
          <w:p w14:paraId="29537CF5"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FOD</w:t>
            </w:r>
          </w:p>
        </w:tc>
        <w:tc>
          <w:tcPr>
            <w:tcW w:w="7092" w:type="dxa"/>
            <w:shd w:val="clear" w:color="auto" w:fill="auto"/>
          </w:tcPr>
          <w:p w14:paraId="02ED8133"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 xml:space="preserve">first order decay </w:t>
            </w:r>
          </w:p>
        </w:tc>
      </w:tr>
      <w:tr w:rsidR="00E56455" w:rsidRPr="00927A54" w14:paraId="5B0B2C0C" w14:textId="77777777" w:rsidTr="00B05614">
        <w:tc>
          <w:tcPr>
            <w:tcW w:w="1526" w:type="dxa"/>
            <w:shd w:val="clear" w:color="auto" w:fill="auto"/>
          </w:tcPr>
          <w:p w14:paraId="58D988D0"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FOLPI </w:t>
            </w:r>
          </w:p>
        </w:tc>
        <w:tc>
          <w:tcPr>
            <w:tcW w:w="7092" w:type="dxa"/>
            <w:shd w:val="clear" w:color="auto" w:fill="auto"/>
          </w:tcPr>
          <w:p w14:paraId="2C628814"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Forestry-Oriented Linear Programming Interpreter</w:t>
            </w:r>
          </w:p>
        </w:tc>
      </w:tr>
      <w:tr w:rsidR="00E56455" w:rsidRPr="00927A54" w14:paraId="36BF9027" w14:textId="77777777" w:rsidTr="00B05614">
        <w:tc>
          <w:tcPr>
            <w:tcW w:w="1526" w:type="dxa"/>
            <w:shd w:val="clear" w:color="auto" w:fill="auto"/>
          </w:tcPr>
          <w:p w14:paraId="56A5BED2"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GDP</w:t>
            </w:r>
          </w:p>
        </w:tc>
        <w:tc>
          <w:tcPr>
            <w:tcW w:w="7092" w:type="dxa"/>
            <w:shd w:val="clear" w:color="auto" w:fill="auto"/>
          </w:tcPr>
          <w:p w14:paraId="2F965ECC"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gross domestic product</w:t>
            </w:r>
          </w:p>
        </w:tc>
      </w:tr>
      <w:tr w:rsidR="00E56455" w:rsidRPr="00927A54" w14:paraId="7212688D" w14:textId="77777777" w:rsidTr="00B05614">
        <w:tc>
          <w:tcPr>
            <w:tcW w:w="1526" w:type="dxa"/>
            <w:shd w:val="clear" w:color="auto" w:fill="auto"/>
          </w:tcPr>
          <w:p w14:paraId="6E09EC0D"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GEI</w:t>
            </w:r>
          </w:p>
        </w:tc>
        <w:tc>
          <w:tcPr>
            <w:tcW w:w="7092" w:type="dxa"/>
            <w:shd w:val="clear" w:color="auto" w:fill="auto"/>
          </w:tcPr>
          <w:p w14:paraId="0DB19E4B"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gross energy intake</w:t>
            </w:r>
          </w:p>
        </w:tc>
      </w:tr>
      <w:tr w:rsidR="00E56455" w:rsidRPr="00927A54" w14:paraId="1BB70579" w14:textId="77777777" w:rsidTr="00B05614">
        <w:tc>
          <w:tcPr>
            <w:tcW w:w="1526" w:type="dxa"/>
            <w:shd w:val="clear" w:color="auto" w:fill="auto"/>
          </w:tcPr>
          <w:p w14:paraId="4741EA19"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Gg</w:t>
            </w:r>
          </w:p>
        </w:tc>
        <w:tc>
          <w:tcPr>
            <w:tcW w:w="7092" w:type="dxa"/>
            <w:shd w:val="clear" w:color="auto" w:fill="auto"/>
          </w:tcPr>
          <w:p w14:paraId="46BEAB1B"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gigagram(s)</w:t>
            </w:r>
          </w:p>
        </w:tc>
      </w:tr>
      <w:tr w:rsidR="00E56455" w:rsidRPr="00927A54" w14:paraId="1D7B7513" w14:textId="77777777" w:rsidTr="00B05614">
        <w:tc>
          <w:tcPr>
            <w:tcW w:w="1526" w:type="dxa"/>
            <w:shd w:val="clear" w:color="auto" w:fill="auto"/>
          </w:tcPr>
          <w:p w14:paraId="5759C48E"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GHG</w:t>
            </w:r>
          </w:p>
        </w:tc>
        <w:tc>
          <w:tcPr>
            <w:tcW w:w="7092" w:type="dxa"/>
            <w:shd w:val="clear" w:color="auto" w:fill="auto"/>
          </w:tcPr>
          <w:p w14:paraId="29D64E02" w14:textId="52237059"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greenhouse gas</w:t>
            </w:r>
          </w:p>
        </w:tc>
      </w:tr>
      <w:tr w:rsidR="00E56455" w:rsidRPr="00927A54" w14:paraId="109B9E29" w14:textId="77777777" w:rsidTr="00B05614">
        <w:tc>
          <w:tcPr>
            <w:tcW w:w="1526" w:type="dxa"/>
            <w:shd w:val="clear" w:color="auto" w:fill="auto"/>
          </w:tcPr>
          <w:p w14:paraId="24472548"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GIS</w:t>
            </w:r>
          </w:p>
        </w:tc>
        <w:tc>
          <w:tcPr>
            <w:tcW w:w="7092" w:type="dxa"/>
            <w:shd w:val="clear" w:color="auto" w:fill="auto"/>
          </w:tcPr>
          <w:p w14:paraId="586E0AA7"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geographic information system</w:t>
            </w:r>
          </w:p>
        </w:tc>
      </w:tr>
      <w:tr w:rsidR="00E56455" w:rsidRPr="00927A54" w14:paraId="1151F2F7" w14:textId="77777777" w:rsidTr="00B05614">
        <w:tc>
          <w:tcPr>
            <w:tcW w:w="1526" w:type="dxa"/>
            <w:shd w:val="clear" w:color="auto" w:fill="auto"/>
          </w:tcPr>
          <w:p w14:paraId="3D0F372D"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GJ</w:t>
            </w:r>
          </w:p>
        </w:tc>
        <w:tc>
          <w:tcPr>
            <w:tcW w:w="7092" w:type="dxa"/>
            <w:shd w:val="clear" w:color="auto" w:fill="auto"/>
          </w:tcPr>
          <w:p w14:paraId="0BC4A09A"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gigajoule(s)</w:t>
            </w:r>
          </w:p>
        </w:tc>
      </w:tr>
      <w:tr w:rsidR="00E56455" w:rsidRPr="00927A54" w14:paraId="737F5FEF" w14:textId="77777777" w:rsidTr="00B05614">
        <w:tc>
          <w:tcPr>
            <w:tcW w:w="1526" w:type="dxa"/>
            <w:shd w:val="clear" w:color="auto" w:fill="auto"/>
          </w:tcPr>
          <w:p w14:paraId="0FE297FE" w14:textId="77777777" w:rsidR="00E56455" w:rsidRPr="00927A54" w:rsidRDefault="00E56455" w:rsidP="00042F08">
            <w:pPr>
              <w:pStyle w:val="BodyText"/>
              <w:spacing w:after="0"/>
              <w:rPr>
                <w:rFonts w:cs="Calibri"/>
                <w:b/>
                <w:sz w:val="20"/>
                <w:szCs w:val="20"/>
              </w:rPr>
            </w:pPr>
            <w:r w:rsidRPr="00927A54">
              <w:rPr>
                <w:rFonts w:cs="Calibri"/>
                <w:b/>
                <w:sz w:val="20"/>
                <w:szCs w:val="20"/>
              </w:rPr>
              <w:t>GPS</w:t>
            </w:r>
          </w:p>
        </w:tc>
        <w:tc>
          <w:tcPr>
            <w:tcW w:w="7092" w:type="dxa"/>
            <w:shd w:val="clear" w:color="auto" w:fill="auto"/>
          </w:tcPr>
          <w:p w14:paraId="02EDAFD6"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global positioning system</w:t>
            </w:r>
          </w:p>
        </w:tc>
      </w:tr>
      <w:tr w:rsidR="00E56455" w:rsidRPr="00927A54" w14:paraId="41E471F3" w14:textId="77777777" w:rsidTr="00B05614">
        <w:tc>
          <w:tcPr>
            <w:tcW w:w="1526" w:type="dxa"/>
            <w:shd w:val="clear" w:color="auto" w:fill="auto"/>
          </w:tcPr>
          <w:p w14:paraId="789040B2" w14:textId="77777777" w:rsidR="00E56455" w:rsidRPr="00927A54" w:rsidRDefault="00E56455" w:rsidP="00042F08">
            <w:pPr>
              <w:pStyle w:val="BodyText"/>
              <w:spacing w:after="0"/>
              <w:rPr>
                <w:rFonts w:cs="Calibri"/>
                <w:b/>
                <w:sz w:val="20"/>
                <w:szCs w:val="20"/>
              </w:rPr>
            </w:pPr>
            <w:r w:rsidRPr="00927A54">
              <w:rPr>
                <w:rFonts w:cs="Calibri"/>
                <w:b/>
                <w:sz w:val="20"/>
                <w:szCs w:val="20"/>
              </w:rPr>
              <w:lastRenderedPageBreak/>
              <w:t>GRA</w:t>
            </w:r>
          </w:p>
        </w:tc>
        <w:tc>
          <w:tcPr>
            <w:tcW w:w="7092" w:type="dxa"/>
            <w:shd w:val="clear" w:color="auto" w:fill="auto"/>
          </w:tcPr>
          <w:p w14:paraId="510EDA95"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Global Research Alliance on Agricultural Greenhouse Gases</w:t>
            </w:r>
          </w:p>
        </w:tc>
      </w:tr>
      <w:tr w:rsidR="00E56455" w:rsidRPr="00927A54" w14:paraId="5B900C2E" w14:textId="77777777" w:rsidTr="00B05614">
        <w:tc>
          <w:tcPr>
            <w:tcW w:w="1526" w:type="dxa"/>
            <w:shd w:val="clear" w:color="auto" w:fill="auto"/>
          </w:tcPr>
          <w:p w14:paraId="73F45FB9" w14:textId="77777777" w:rsidR="00E56455" w:rsidRPr="00927A54" w:rsidRDefault="00E56455" w:rsidP="00042F08">
            <w:pPr>
              <w:pStyle w:val="BodyText"/>
              <w:spacing w:after="0"/>
              <w:rPr>
                <w:rFonts w:cs="Calibri"/>
                <w:b/>
                <w:sz w:val="20"/>
                <w:szCs w:val="20"/>
              </w:rPr>
            </w:pPr>
            <w:r w:rsidRPr="00927A54">
              <w:rPr>
                <w:rFonts w:cs="Calibri"/>
                <w:b/>
                <w:sz w:val="20"/>
                <w:szCs w:val="20"/>
              </w:rPr>
              <w:t>GST</w:t>
            </w:r>
          </w:p>
        </w:tc>
        <w:tc>
          <w:tcPr>
            <w:tcW w:w="7092" w:type="dxa"/>
            <w:shd w:val="clear" w:color="auto" w:fill="auto"/>
          </w:tcPr>
          <w:p w14:paraId="0109445B"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 xml:space="preserve">goods and services tax </w:t>
            </w:r>
          </w:p>
        </w:tc>
      </w:tr>
      <w:tr w:rsidR="00E56455" w:rsidRPr="00927A54" w14:paraId="0D6A28F4" w14:textId="77777777" w:rsidTr="00B05614">
        <w:tc>
          <w:tcPr>
            <w:tcW w:w="1526" w:type="dxa"/>
            <w:shd w:val="clear" w:color="auto" w:fill="auto"/>
          </w:tcPr>
          <w:p w14:paraId="40303899" w14:textId="77777777" w:rsidR="00E56455" w:rsidRPr="00927A54" w:rsidRDefault="00E56455" w:rsidP="00042F08">
            <w:pPr>
              <w:pStyle w:val="BodyText"/>
              <w:spacing w:after="0"/>
              <w:rPr>
                <w:rFonts w:cs="Calibri"/>
                <w:b/>
                <w:sz w:val="20"/>
                <w:szCs w:val="20"/>
              </w:rPr>
            </w:pPr>
            <w:r w:rsidRPr="00927A54">
              <w:rPr>
                <w:rFonts w:cs="Calibri"/>
                <w:b/>
                <w:sz w:val="20"/>
                <w:szCs w:val="20"/>
              </w:rPr>
              <w:t>G20</w:t>
            </w:r>
          </w:p>
        </w:tc>
        <w:tc>
          <w:tcPr>
            <w:tcW w:w="7092" w:type="dxa"/>
            <w:shd w:val="clear" w:color="auto" w:fill="auto"/>
          </w:tcPr>
          <w:p w14:paraId="14F81C80"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Group of Twenty</w:t>
            </w:r>
          </w:p>
        </w:tc>
      </w:tr>
      <w:tr w:rsidR="00E56455" w:rsidRPr="00927A54" w14:paraId="54899A7A" w14:textId="77777777" w:rsidTr="00B05614">
        <w:tc>
          <w:tcPr>
            <w:tcW w:w="1526" w:type="dxa"/>
            <w:shd w:val="clear" w:color="auto" w:fill="auto"/>
          </w:tcPr>
          <w:p w14:paraId="3CB1D2EF"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ha</w:t>
            </w:r>
          </w:p>
        </w:tc>
        <w:tc>
          <w:tcPr>
            <w:tcW w:w="7092" w:type="dxa"/>
            <w:shd w:val="clear" w:color="auto" w:fill="auto"/>
          </w:tcPr>
          <w:p w14:paraId="0CF600CE"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hectare(s)</w:t>
            </w:r>
          </w:p>
        </w:tc>
      </w:tr>
      <w:tr w:rsidR="00E56455" w:rsidRPr="00927A54" w14:paraId="3699BD44" w14:textId="77777777" w:rsidTr="00B05614">
        <w:tc>
          <w:tcPr>
            <w:tcW w:w="1526" w:type="dxa"/>
            <w:shd w:val="clear" w:color="auto" w:fill="auto"/>
          </w:tcPr>
          <w:p w14:paraId="3DF82AA3"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HCFC</w:t>
            </w:r>
          </w:p>
        </w:tc>
        <w:tc>
          <w:tcPr>
            <w:tcW w:w="7092" w:type="dxa"/>
            <w:shd w:val="clear" w:color="auto" w:fill="auto"/>
          </w:tcPr>
          <w:p w14:paraId="748893C4"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hydrochlorofluorocarbon</w:t>
            </w:r>
          </w:p>
        </w:tc>
      </w:tr>
      <w:tr w:rsidR="00E56455" w:rsidRPr="00927A54" w14:paraId="4DCF8CC9" w14:textId="77777777" w:rsidTr="00B05614">
        <w:tc>
          <w:tcPr>
            <w:tcW w:w="1526" w:type="dxa"/>
            <w:shd w:val="clear" w:color="auto" w:fill="auto"/>
          </w:tcPr>
          <w:p w14:paraId="42FEA54E"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HFC</w:t>
            </w:r>
          </w:p>
        </w:tc>
        <w:tc>
          <w:tcPr>
            <w:tcW w:w="7092" w:type="dxa"/>
            <w:shd w:val="clear" w:color="auto" w:fill="auto"/>
          </w:tcPr>
          <w:p w14:paraId="3E1885BE"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hydrofluorocarbon</w:t>
            </w:r>
          </w:p>
        </w:tc>
      </w:tr>
      <w:tr w:rsidR="00E56455" w:rsidRPr="00927A54" w14:paraId="06969878" w14:textId="77777777" w:rsidTr="00B05614">
        <w:tc>
          <w:tcPr>
            <w:tcW w:w="1526" w:type="dxa"/>
            <w:shd w:val="clear" w:color="auto" w:fill="auto"/>
          </w:tcPr>
          <w:p w14:paraId="2E58CECA"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HFO</w:t>
            </w:r>
          </w:p>
        </w:tc>
        <w:tc>
          <w:tcPr>
            <w:tcW w:w="7092" w:type="dxa"/>
            <w:shd w:val="clear" w:color="auto" w:fill="auto"/>
          </w:tcPr>
          <w:p w14:paraId="2001F812"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hydrofluoroolefin</w:t>
            </w:r>
          </w:p>
        </w:tc>
      </w:tr>
      <w:tr w:rsidR="00E56455" w:rsidRPr="00927A54" w14:paraId="23176942" w14:textId="77777777" w:rsidTr="00B05614">
        <w:tc>
          <w:tcPr>
            <w:tcW w:w="1526" w:type="dxa"/>
            <w:shd w:val="clear" w:color="auto" w:fill="auto"/>
          </w:tcPr>
          <w:p w14:paraId="5A63E379"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IAE</w:t>
            </w:r>
          </w:p>
        </w:tc>
        <w:tc>
          <w:tcPr>
            <w:tcW w:w="7092" w:type="dxa"/>
            <w:shd w:val="clear" w:color="auto" w:fill="auto"/>
          </w:tcPr>
          <w:p w14:paraId="451A756B" w14:textId="77777777" w:rsidR="00E56455" w:rsidRPr="00927A54" w:rsidRDefault="00E56455" w:rsidP="00042F08">
            <w:pPr>
              <w:pStyle w:val="BodyText"/>
              <w:spacing w:after="0"/>
              <w:rPr>
                <w:rFonts w:eastAsia="Calibri" w:cs="Calibri"/>
                <w:sz w:val="20"/>
                <w:szCs w:val="20"/>
              </w:rPr>
            </w:pPr>
            <w:r w:rsidRPr="00927A54">
              <w:rPr>
                <w:rFonts w:cs="Calibri"/>
                <w:sz w:val="20"/>
                <w:szCs w:val="20"/>
                <w:lang w:eastAsia="en-GB"/>
              </w:rPr>
              <w:t>International Energy Agency</w:t>
            </w:r>
          </w:p>
        </w:tc>
      </w:tr>
      <w:tr w:rsidR="00E56455" w:rsidRPr="00927A54" w14:paraId="76998D28" w14:textId="77777777" w:rsidTr="00B05614">
        <w:tc>
          <w:tcPr>
            <w:tcW w:w="1526" w:type="dxa"/>
            <w:shd w:val="clear" w:color="auto" w:fill="auto"/>
          </w:tcPr>
          <w:p w14:paraId="542DC538"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IDC</w:t>
            </w:r>
          </w:p>
        </w:tc>
        <w:tc>
          <w:tcPr>
            <w:tcW w:w="7092" w:type="dxa"/>
            <w:shd w:val="clear" w:color="auto" w:fill="auto"/>
          </w:tcPr>
          <w:p w14:paraId="7AF3D0AE" w14:textId="77777777" w:rsidR="00E56455" w:rsidRPr="00927A54" w:rsidRDefault="00E56455" w:rsidP="00042F08">
            <w:pPr>
              <w:pStyle w:val="BodyText"/>
              <w:spacing w:after="0"/>
              <w:rPr>
                <w:rFonts w:cs="Calibri"/>
                <w:sz w:val="20"/>
                <w:szCs w:val="20"/>
                <w:lang w:eastAsia="en-GB"/>
              </w:rPr>
            </w:pPr>
            <w:r w:rsidRPr="00927A54">
              <w:rPr>
                <w:rFonts w:cs="Calibri"/>
                <w:sz w:val="20"/>
                <w:szCs w:val="20"/>
                <w:lang w:eastAsia="en-GB"/>
              </w:rPr>
              <w:t>International Development Cooperation</w:t>
            </w:r>
          </w:p>
        </w:tc>
      </w:tr>
      <w:tr w:rsidR="00E56455" w:rsidRPr="00927A54" w14:paraId="603CE42D" w14:textId="77777777" w:rsidTr="00B05614">
        <w:tc>
          <w:tcPr>
            <w:tcW w:w="1526" w:type="dxa"/>
            <w:shd w:val="clear" w:color="auto" w:fill="auto"/>
          </w:tcPr>
          <w:p w14:paraId="7BC931BC"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IE</w:t>
            </w:r>
          </w:p>
        </w:tc>
        <w:tc>
          <w:tcPr>
            <w:tcW w:w="7092" w:type="dxa"/>
            <w:shd w:val="clear" w:color="auto" w:fill="auto"/>
          </w:tcPr>
          <w:p w14:paraId="70860363"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included elsewhere</w:t>
            </w:r>
          </w:p>
        </w:tc>
      </w:tr>
      <w:tr w:rsidR="00E56455" w:rsidRPr="00927A54" w14:paraId="31994700" w14:textId="77777777" w:rsidTr="00B05614">
        <w:tc>
          <w:tcPr>
            <w:tcW w:w="1526" w:type="dxa"/>
            <w:shd w:val="clear" w:color="auto" w:fill="auto"/>
          </w:tcPr>
          <w:p w14:paraId="1B0A6BE4"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IEF</w:t>
            </w:r>
          </w:p>
        </w:tc>
        <w:tc>
          <w:tcPr>
            <w:tcW w:w="7092" w:type="dxa"/>
            <w:shd w:val="clear" w:color="auto" w:fill="auto"/>
          </w:tcPr>
          <w:p w14:paraId="79D9BFA0"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implied emission factor</w:t>
            </w:r>
          </w:p>
        </w:tc>
      </w:tr>
      <w:tr w:rsidR="00E56455" w:rsidRPr="00927A54" w14:paraId="12C2BBB6" w14:textId="77777777" w:rsidTr="00B05614">
        <w:tc>
          <w:tcPr>
            <w:tcW w:w="1526" w:type="dxa"/>
            <w:shd w:val="clear" w:color="auto" w:fill="auto"/>
          </w:tcPr>
          <w:p w14:paraId="604597CD"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IPCC </w:t>
            </w:r>
          </w:p>
        </w:tc>
        <w:tc>
          <w:tcPr>
            <w:tcW w:w="7092" w:type="dxa"/>
            <w:shd w:val="clear" w:color="auto" w:fill="auto"/>
          </w:tcPr>
          <w:p w14:paraId="68DD7447"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Intergovernmental Panel on Climate Change</w:t>
            </w:r>
          </w:p>
        </w:tc>
      </w:tr>
      <w:tr w:rsidR="00E56455" w:rsidRPr="00927A54" w14:paraId="0E83FA55" w14:textId="77777777" w:rsidTr="00B05614">
        <w:tc>
          <w:tcPr>
            <w:tcW w:w="1526" w:type="dxa"/>
            <w:shd w:val="clear" w:color="auto" w:fill="auto"/>
          </w:tcPr>
          <w:p w14:paraId="53A7E884"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IPPU </w:t>
            </w:r>
          </w:p>
        </w:tc>
        <w:tc>
          <w:tcPr>
            <w:tcW w:w="7092" w:type="dxa"/>
            <w:shd w:val="clear" w:color="auto" w:fill="auto"/>
          </w:tcPr>
          <w:p w14:paraId="6B900105"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Industrial Processes and Product Use</w:t>
            </w:r>
          </w:p>
        </w:tc>
      </w:tr>
      <w:tr w:rsidR="00E56455" w:rsidRPr="00927A54" w14:paraId="0587A6F8" w14:textId="77777777" w:rsidTr="00B05614">
        <w:tc>
          <w:tcPr>
            <w:tcW w:w="1526" w:type="dxa"/>
            <w:shd w:val="clear" w:color="auto" w:fill="auto"/>
          </w:tcPr>
          <w:p w14:paraId="7827365D" w14:textId="77777777" w:rsidR="00E56455" w:rsidRPr="00927A54" w:rsidRDefault="00E56455" w:rsidP="00042F08">
            <w:pPr>
              <w:pStyle w:val="BodyText"/>
              <w:spacing w:after="0"/>
              <w:rPr>
                <w:rFonts w:eastAsia="Calibri" w:cs="Calibri"/>
                <w:b/>
                <w:sz w:val="20"/>
                <w:szCs w:val="20"/>
              </w:rPr>
            </w:pPr>
            <w:r w:rsidRPr="00927A54">
              <w:rPr>
                <w:rFonts w:cs="Calibri"/>
                <w:b/>
                <w:sz w:val="20"/>
                <w:szCs w:val="20"/>
              </w:rPr>
              <w:t>IRENA</w:t>
            </w:r>
          </w:p>
        </w:tc>
        <w:tc>
          <w:tcPr>
            <w:tcW w:w="7092" w:type="dxa"/>
            <w:shd w:val="clear" w:color="auto" w:fill="auto"/>
          </w:tcPr>
          <w:p w14:paraId="135D836D"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 xml:space="preserve">International Renewable Energy Agency </w:t>
            </w:r>
          </w:p>
        </w:tc>
      </w:tr>
      <w:tr w:rsidR="00E56455" w:rsidRPr="00927A54" w14:paraId="69F806A0" w14:textId="77777777" w:rsidTr="00B05614">
        <w:tc>
          <w:tcPr>
            <w:tcW w:w="1526" w:type="dxa"/>
            <w:shd w:val="clear" w:color="auto" w:fill="auto"/>
          </w:tcPr>
          <w:p w14:paraId="401D3EAD" w14:textId="77777777" w:rsidR="00E56455" w:rsidRPr="00927A54" w:rsidRDefault="00E56455" w:rsidP="00042F08">
            <w:pPr>
              <w:pStyle w:val="BodyText"/>
              <w:spacing w:after="0"/>
              <w:rPr>
                <w:rFonts w:cs="Calibri"/>
                <w:b/>
                <w:sz w:val="20"/>
                <w:szCs w:val="20"/>
              </w:rPr>
            </w:pPr>
            <w:r w:rsidRPr="00927A54">
              <w:rPr>
                <w:rFonts w:cs="Calibri"/>
                <w:b/>
                <w:sz w:val="20"/>
                <w:szCs w:val="20"/>
              </w:rPr>
              <w:t>kg</w:t>
            </w:r>
          </w:p>
        </w:tc>
        <w:tc>
          <w:tcPr>
            <w:tcW w:w="7092" w:type="dxa"/>
            <w:shd w:val="clear" w:color="auto" w:fill="auto"/>
          </w:tcPr>
          <w:p w14:paraId="3CFA50BC" w14:textId="77777777" w:rsidR="00E56455" w:rsidRPr="00927A54" w:rsidRDefault="00E56455" w:rsidP="00042F08">
            <w:pPr>
              <w:pStyle w:val="BodyText"/>
              <w:spacing w:after="0"/>
              <w:rPr>
                <w:rFonts w:cs="Calibri"/>
                <w:sz w:val="20"/>
                <w:szCs w:val="20"/>
              </w:rPr>
            </w:pPr>
            <w:r w:rsidRPr="00927A54">
              <w:rPr>
                <w:rFonts w:cs="Calibri"/>
                <w:sz w:val="20"/>
                <w:szCs w:val="20"/>
              </w:rPr>
              <w:t>kilogram(s)</w:t>
            </w:r>
          </w:p>
        </w:tc>
      </w:tr>
      <w:tr w:rsidR="00E56455" w:rsidRPr="00927A54" w14:paraId="71752875" w14:textId="77777777" w:rsidTr="00B05614">
        <w:tc>
          <w:tcPr>
            <w:tcW w:w="1526" w:type="dxa"/>
            <w:shd w:val="clear" w:color="auto" w:fill="auto"/>
          </w:tcPr>
          <w:p w14:paraId="6B230928" w14:textId="77777777" w:rsidR="00E56455" w:rsidRPr="00927A54" w:rsidRDefault="00E56455" w:rsidP="00042F08">
            <w:pPr>
              <w:pStyle w:val="BodyText"/>
              <w:spacing w:after="0"/>
              <w:rPr>
                <w:rFonts w:cs="Calibri"/>
                <w:b/>
                <w:sz w:val="20"/>
                <w:szCs w:val="20"/>
              </w:rPr>
            </w:pPr>
            <w:r w:rsidRPr="00927A54">
              <w:rPr>
                <w:rFonts w:cs="Calibri"/>
                <w:b/>
                <w:sz w:val="20"/>
                <w:szCs w:val="20"/>
              </w:rPr>
              <w:t>kha</w:t>
            </w:r>
          </w:p>
        </w:tc>
        <w:tc>
          <w:tcPr>
            <w:tcW w:w="7092" w:type="dxa"/>
            <w:shd w:val="clear" w:color="auto" w:fill="auto"/>
          </w:tcPr>
          <w:p w14:paraId="3A2325FD" w14:textId="77777777" w:rsidR="00E56455" w:rsidRPr="00927A54" w:rsidRDefault="00E56455" w:rsidP="00042F08">
            <w:pPr>
              <w:pStyle w:val="BodyText"/>
              <w:spacing w:after="0"/>
              <w:rPr>
                <w:rFonts w:cs="Calibri"/>
                <w:sz w:val="20"/>
                <w:szCs w:val="20"/>
              </w:rPr>
            </w:pPr>
            <w:r w:rsidRPr="00927A54">
              <w:rPr>
                <w:rFonts w:cs="Calibri"/>
                <w:sz w:val="20"/>
                <w:szCs w:val="20"/>
              </w:rPr>
              <w:t>kilohectare(s)</w:t>
            </w:r>
          </w:p>
        </w:tc>
      </w:tr>
      <w:tr w:rsidR="00E56455" w:rsidRPr="00927A54" w14:paraId="7C0FA1D6" w14:textId="77777777" w:rsidTr="00B05614">
        <w:tc>
          <w:tcPr>
            <w:tcW w:w="1526" w:type="dxa"/>
            <w:shd w:val="clear" w:color="auto" w:fill="auto"/>
          </w:tcPr>
          <w:p w14:paraId="369E10A2" w14:textId="77777777" w:rsidR="00E56455" w:rsidRPr="00927A54" w:rsidRDefault="00E56455" w:rsidP="00042F08">
            <w:pPr>
              <w:pStyle w:val="BodyText"/>
              <w:spacing w:after="0"/>
              <w:rPr>
                <w:rFonts w:cs="Calibri"/>
                <w:b/>
                <w:sz w:val="20"/>
                <w:szCs w:val="20"/>
              </w:rPr>
            </w:pPr>
            <w:r w:rsidRPr="00927A54">
              <w:rPr>
                <w:rFonts w:cs="Calibri"/>
                <w:b/>
                <w:sz w:val="20"/>
                <w:szCs w:val="20"/>
              </w:rPr>
              <w:t>kJ</w:t>
            </w:r>
          </w:p>
        </w:tc>
        <w:tc>
          <w:tcPr>
            <w:tcW w:w="7092" w:type="dxa"/>
            <w:shd w:val="clear" w:color="auto" w:fill="auto"/>
          </w:tcPr>
          <w:p w14:paraId="68F0E1B4" w14:textId="77777777" w:rsidR="00E56455" w:rsidRPr="00927A54" w:rsidRDefault="00E56455" w:rsidP="00042F08">
            <w:pPr>
              <w:pStyle w:val="BodyText"/>
              <w:spacing w:after="0"/>
              <w:rPr>
                <w:rFonts w:cs="Calibri"/>
                <w:sz w:val="20"/>
                <w:szCs w:val="20"/>
              </w:rPr>
            </w:pPr>
            <w:r w:rsidRPr="00927A54">
              <w:rPr>
                <w:rFonts w:cs="Calibri"/>
                <w:sz w:val="20"/>
                <w:szCs w:val="20"/>
              </w:rPr>
              <w:t>kilojoule(s)</w:t>
            </w:r>
          </w:p>
        </w:tc>
      </w:tr>
      <w:tr w:rsidR="00E56455" w:rsidRPr="00927A54" w14:paraId="16DAA45A" w14:textId="77777777" w:rsidTr="00B05614">
        <w:tc>
          <w:tcPr>
            <w:tcW w:w="1526" w:type="dxa"/>
            <w:shd w:val="clear" w:color="auto" w:fill="auto"/>
          </w:tcPr>
          <w:p w14:paraId="7EC07AB6"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KP</w:t>
            </w:r>
          </w:p>
        </w:tc>
        <w:tc>
          <w:tcPr>
            <w:tcW w:w="7092" w:type="dxa"/>
            <w:shd w:val="clear" w:color="auto" w:fill="auto"/>
          </w:tcPr>
          <w:p w14:paraId="39308E94"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Kyoto Protocol</w:t>
            </w:r>
          </w:p>
        </w:tc>
      </w:tr>
      <w:tr w:rsidR="00E56455" w:rsidRPr="00927A54" w14:paraId="672899E0" w14:textId="77777777" w:rsidTr="00B05614">
        <w:tc>
          <w:tcPr>
            <w:tcW w:w="1526" w:type="dxa"/>
            <w:shd w:val="clear" w:color="auto" w:fill="auto"/>
          </w:tcPr>
          <w:p w14:paraId="5CDFC957"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KP-LULUCF</w:t>
            </w:r>
          </w:p>
        </w:tc>
        <w:tc>
          <w:tcPr>
            <w:tcW w:w="7092" w:type="dxa"/>
            <w:shd w:val="clear" w:color="auto" w:fill="auto"/>
          </w:tcPr>
          <w:p w14:paraId="103BF4BC"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Land Use, Land-Use Change and Forestry activities under the Kyoto Protocol</w:t>
            </w:r>
          </w:p>
        </w:tc>
      </w:tr>
      <w:tr w:rsidR="00E56455" w:rsidRPr="00927A54" w14:paraId="320CEA49" w14:textId="77777777" w:rsidTr="00B05614">
        <w:tc>
          <w:tcPr>
            <w:tcW w:w="1526" w:type="dxa"/>
            <w:shd w:val="clear" w:color="auto" w:fill="auto"/>
          </w:tcPr>
          <w:p w14:paraId="1BA40E74"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kt</w:t>
            </w:r>
          </w:p>
        </w:tc>
        <w:tc>
          <w:tcPr>
            <w:tcW w:w="7092" w:type="dxa"/>
            <w:shd w:val="clear" w:color="auto" w:fill="auto"/>
          </w:tcPr>
          <w:p w14:paraId="7FCB3714"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kilotonne(s)</w:t>
            </w:r>
          </w:p>
        </w:tc>
      </w:tr>
      <w:tr w:rsidR="00E56455" w:rsidRPr="00927A54" w14:paraId="2AE69E0A" w14:textId="77777777" w:rsidTr="00B05614">
        <w:tc>
          <w:tcPr>
            <w:tcW w:w="1526" w:type="dxa"/>
            <w:shd w:val="clear" w:color="auto" w:fill="auto"/>
          </w:tcPr>
          <w:p w14:paraId="3484BB47"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LCDB</w:t>
            </w:r>
          </w:p>
        </w:tc>
        <w:tc>
          <w:tcPr>
            <w:tcW w:w="7092" w:type="dxa"/>
            <w:shd w:val="clear" w:color="auto" w:fill="auto"/>
          </w:tcPr>
          <w:p w14:paraId="63115494" w14:textId="674A47DE"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Land Cover Database</w:t>
            </w:r>
          </w:p>
        </w:tc>
      </w:tr>
      <w:tr w:rsidR="00E56455" w:rsidRPr="00927A54" w14:paraId="49D51F95" w14:textId="77777777" w:rsidTr="00B05614">
        <w:tc>
          <w:tcPr>
            <w:tcW w:w="1526" w:type="dxa"/>
            <w:shd w:val="clear" w:color="auto" w:fill="auto"/>
          </w:tcPr>
          <w:p w14:paraId="6C49AB2A"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lCER </w:t>
            </w:r>
          </w:p>
        </w:tc>
        <w:tc>
          <w:tcPr>
            <w:tcW w:w="7092" w:type="dxa"/>
            <w:shd w:val="clear" w:color="auto" w:fill="auto"/>
          </w:tcPr>
          <w:p w14:paraId="613859AD"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long-term certified emission reduction unit</w:t>
            </w:r>
          </w:p>
        </w:tc>
      </w:tr>
      <w:tr w:rsidR="00E56455" w:rsidRPr="00927A54" w14:paraId="02889096" w14:textId="77777777" w:rsidTr="00B05614">
        <w:tc>
          <w:tcPr>
            <w:tcW w:w="1526" w:type="dxa"/>
            <w:shd w:val="clear" w:color="auto" w:fill="auto"/>
          </w:tcPr>
          <w:p w14:paraId="102979E3"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LFG</w:t>
            </w:r>
          </w:p>
        </w:tc>
        <w:tc>
          <w:tcPr>
            <w:tcW w:w="7092" w:type="dxa"/>
            <w:shd w:val="clear" w:color="auto" w:fill="auto"/>
          </w:tcPr>
          <w:p w14:paraId="2235BC61"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landfill gas</w:t>
            </w:r>
          </w:p>
        </w:tc>
      </w:tr>
      <w:tr w:rsidR="00E56455" w:rsidRPr="00927A54" w14:paraId="2AC8DB78" w14:textId="77777777" w:rsidTr="00B05614">
        <w:tc>
          <w:tcPr>
            <w:tcW w:w="1526" w:type="dxa"/>
            <w:shd w:val="clear" w:color="auto" w:fill="auto"/>
          </w:tcPr>
          <w:p w14:paraId="4C1F7893"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LIC</w:t>
            </w:r>
          </w:p>
        </w:tc>
        <w:tc>
          <w:tcPr>
            <w:tcW w:w="7092" w:type="dxa"/>
            <w:shd w:val="clear" w:color="auto" w:fill="auto"/>
          </w:tcPr>
          <w:p w14:paraId="6E616E14"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Livestock Improvement Corporation</w:t>
            </w:r>
          </w:p>
        </w:tc>
      </w:tr>
      <w:tr w:rsidR="00E56455" w:rsidRPr="00927A54" w14:paraId="255710BC" w14:textId="77777777" w:rsidTr="00B05614">
        <w:tc>
          <w:tcPr>
            <w:tcW w:w="1526" w:type="dxa"/>
            <w:shd w:val="clear" w:color="auto" w:fill="auto"/>
          </w:tcPr>
          <w:p w14:paraId="76985B23"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LiDAR</w:t>
            </w:r>
          </w:p>
        </w:tc>
        <w:tc>
          <w:tcPr>
            <w:tcW w:w="7092" w:type="dxa"/>
            <w:shd w:val="clear" w:color="auto" w:fill="auto"/>
          </w:tcPr>
          <w:p w14:paraId="4DED5808"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Light Detection and Ranging</w:t>
            </w:r>
          </w:p>
        </w:tc>
      </w:tr>
      <w:tr w:rsidR="00E56455" w:rsidRPr="00927A54" w14:paraId="79B4ABC5" w14:textId="77777777" w:rsidTr="00B05614">
        <w:tc>
          <w:tcPr>
            <w:tcW w:w="1526" w:type="dxa"/>
            <w:shd w:val="clear" w:color="auto" w:fill="auto"/>
          </w:tcPr>
          <w:p w14:paraId="1829D05F" w14:textId="77777777" w:rsidR="00E56455" w:rsidRPr="00927A54" w:rsidRDefault="00E56455" w:rsidP="00042F08">
            <w:pPr>
              <w:pStyle w:val="BodyText"/>
              <w:spacing w:after="0"/>
              <w:rPr>
                <w:rFonts w:eastAsia="Calibri" w:cs="Calibri"/>
                <w:b/>
                <w:sz w:val="20"/>
                <w:szCs w:val="20"/>
              </w:rPr>
            </w:pPr>
            <w:r w:rsidRPr="00927A54">
              <w:rPr>
                <w:rFonts w:cs="Calibri"/>
                <w:b/>
                <w:sz w:val="20"/>
                <w:szCs w:val="20"/>
                <w:lang w:eastAsia="en-GB"/>
              </w:rPr>
              <w:t>LPG</w:t>
            </w:r>
          </w:p>
        </w:tc>
        <w:tc>
          <w:tcPr>
            <w:tcW w:w="7092" w:type="dxa"/>
            <w:shd w:val="clear" w:color="auto" w:fill="auto"/>
          </w:tcPr>
          <w:p w14:paraId="172B7859"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liquefied petroleu</w:t>
            </w:r>
            <w:r w:rsidRPr="00927A54">
              <w:rPr>
                <w:rFonts w:cs="Calibri"/>
                <w:sz w:val="20"/>
                <w:szCs w:val="20"/>
                <w:lang w:eastAsia="en-GB"/>
              </w:rPr>
              <w:t>m gas</w:t>
            </w:r>
          </w:p>
        </w:tc>
      </w:tr>
      <w:tr w:rsidR="00E56455" w:rsidRPr="00927A54" w14:paraId="1D63A77C" w14:textId="77777777" w:rsidTr="00B05614">
        <w:tc>
          <w:tcPr>
            <w:tcW w:w="1526" w:type="dxa"/>
            <w:shd w:val="clear" w:color="auto" w:fill="auto"/>
          </w:tcPr>
          <w:p w14:paraId="232EA2AC"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LUCAS</w:t>
            </w:r>
          </w:p>
        </w:tc>
        <w:tc>
          <w:tcPr>
            <w:tcW w:w="7092" w:type="dxa"/>
            <w:shd w:val="clear" w:color="auto" w:fill="auto"/>
          </w:tcPr>
          <w:p w14:paraId="4F236EEF"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Land Use and Carbon Analysis System</w:t>
            </w:r>
          </w:p>
        </w:tc>
      </w:tr>
      <w:tr w:rsidR="00E56455" w:rsidRPr="00927A54" w14:paraId="4EE2B15F" w14:textId="77777777" w:rsidTr="00B05614">
        <w:tc>
          <w:tcPr>
            <w:tcW w:w="1526" w:type="dxa"/>
            <w:shd w:val="clear" w:color="auto" w:fill="auto"/>
          </w:tcPr>
          <w:p w14:paraId="131CFFAA"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LUE</w:t>
            </w:r>
          </w:p>
        </w:tc>
        <w:tc>
          <w:tcPr>
            <w:tcW w:w="7092" w:type="dxa"/>
            <w:shd w:val="clear" w:color="auto" w:fill="auto"/>
          </w:tcPr>
          <w:p w14:paraId="5A88D866"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land use effect</w:t>
            </w:r>
          </w:p>
        </w:tc>
      </w:tr>
      <w:tr w:rsidR="00E56455" w:rsidRPr="00927A54" w14:paraId="2DCA26E7" w14:textId="77777777" w:rsidTr="00B05614">
        <w:tc>
          <w:tcPr>
            <w:tcW w:w="1526" w:type="dxa"/>
            <w:shd w:val="clear" w:color="auto" w:fill="auto"/>
          </w:tcPr>
          <w:p w14:paraId="69BB6E10"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LULUCF</w:t>
            </w:r>
          </w:p>
        </w:tc>
        <w:tc>
          <w:tcPr>
            <w:tcW w:w="7092" w:type="dxa"/>
            <w:shd w:val="clear" w:color="auto" w:fill="auto"/>
          </w:tcPr>
          <w:p w14:paraId="567A52DF"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Land Use, Land-Use Change and Forestry</w:t>
            </w:r>
          </w:p>
        </w:tc>
      </w:tr>
      <w:tr w:rsidR="00E56455" w:rsidRPr="00927A54" w14:paraId="2F1866F3" w14:textId="77777777" w:rsidTr="00B05614">
        <w:tc>
          <w:tcPr>
            <w:tcW w:w="1526" w:type="dxa"/>
            <w:shd w:val="clear" w:color="auto" w:fill="auto"/>
          </w:tcPr>
          <w:p w14:paraId="3F43495B"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LUM</w:t>
            </w:r>
          </w:p>
        </w:tc>
        <w:tc>
          <w:tcPr>
            <w:tcW w:w="7092" w:type="dxa"/>
            <w:shd w:val="clear" w:color="auto" w:fill="auto"/>
          </w:tcPr>
          <w:p w14:paraId="1361EEF2"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land use map</w:t>
            </w:r>
          </w:p>
        </w:tc>
      </w:tr>
      <w:tr w:rsidR="00E56455" w:rsidRPr="00927A54" w14:paraId="14E68D1E" w14:textId="77777777" w:rsidTr="00B05614">
        <w:tc>
          <w:tcPr>
            <w:tcW w:w="1526" w:type="dxa"/>
            <w:shd w:val="clear" w:color="auto" w:fill="auto"/>
          </w:tcPr>
          <w:p w14:paraId="5632321F"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MBIE </w:t>
            </w:r>
          </w:p>
        </w:tc>
        <w:tc>
          <w:tcPr>
            <w:tcW w:w="7092" w:type="dxa"/>
            <w:shd w:val="clear" w:color="auto" w:fill="auto"/>
          </w:tcPr>
          <w:p w14:paraId="5EB9B1CA"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Ministry of Business, Innovation and Employment</w:t>
            </w:r>
          </w:p>
        </w:tc>
      </w:tr>
      <w:tr w:rsidR="00E56455" w:rsidRPr="00927A54" w14:paraId="4A1269BA" w14:textId="77777777" w:rsidTr="00B05614">
        <w:tc>
          <w:tcPr>
            <w:tcW w:w="1526" w:type="dxa"/>
            <w:shd w:val="clear" w:color="auto" w:fill="auto"/>
          </w:tcPr>
          <w:p w14:paraId="6BC07F9A"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MCF</w:t>
            </w:r>
          </w:p>
        </w:tc>
        <w:tc>
          <w:tcPr>
            <w:tcW w:w="7092" w:type="dxa"/>
            <w:shd w:val="clear" w:color="auto" w:fill="auto"/>
          </w:tcPr>
          <w:p w14:paraId="52EC30A1" w14:textId="27B3EF8F"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methane co</w:t>
            </w:r>
            <w:r w:rsidR="007965CA">
              <w:rPr>
                <w:rFonts w:eastAsia="Calibri" w:cs="Calibri"/>
                <w:sz w:val="20"/>
                <w:szCs w:val="20"/>
              </w:rPr>
              <w:t>nversio</w:t>
            </w:r>
            <w:r w:rsidRPr="00927A54">
              <w:rPr>
                <w:rFonts w:eastAsia="Calibri" w:cs="Calibri"/>
                <w:sz w:val="20"/>
                <w:szCs w:val="20"/>
              </w:rPr>
              <w:t>n factor</w:t>
            </w:r>
          </w:p>
        </w:tc>
      </w:tr>
      <w:tr w:rsidR="00E56455" w:rsidRPr="00927A54" w14:paraId="24746D9F" w14:textId="77777777" w:rsidTr="00B05614">
        <w:tc>
          <w:tcPr>
            <w:tcW w:w="1526" w:type="dxa"/>
            <w:shd w:val="clear" w:color="auto" w:fill="auto"/>
          </w:tcPr>
          <w:p w14:paraId="3F6EEB39"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MDI</w:t>
            </w:r>
          </w:p>
        </w:tc>
        <w:tc>
          <w:tcPr>
            <w:tcW w:w="7092" w:type="dxa"/>
            <w:shd w:val="clear" w:color="auto" w:fill="auto"/>
          </w:tcPr>
          <w:p w14:paraId="1D42BDB4"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metered dose inhaler</w:t>
            </w:r>
          </w:p>
        </w:tc>
      </w:tr>
      <w:tr w:rsidR="00E56455" w:rsidRPr="00927A54" w14:paraId="3301A937" w14:textId="77777777" w:rsidTr="00B05614">
        <w:tc>
          <w:tcPr>
            <w:tcW w:w="1526" w:type="dxa"/>
            <w:shd w:val="clear" w:color="auto" w:fill="auto"/>
          </w:tcPr>
          <w:p w14:paraId="219E2E53"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MDO</w:t>
            </w:r>
          </w:p>
        </w:tc>
        <w:tc>
          <w:tcPr>
            <w:tcW w:w="7092" w:type="dxa"/>
            <w:shd w:val="clear" w:color="auto" w:fill="auto"/>
          </w:tcPr>
          <w:p w14:paraId="4C63FD85"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marine diesel oil</w:t>
            </w:r>
          </w:p>
        </w:tc>
      </w:tr>
      <w:tr w:rsidR="00E56455" w:rsidRPr="00927A54" w14:paraId="2DFBBBE4" w14:textId="77777777" w:rsidTr="00B05614">
        <w:tc>
          <w:tcPr>
            <w:tcW w:w="1526" w:type="dxa"/>
            <w:shd w:val="clear" w:color="auto" w:fill="auto"/>
          </w:tcPr>
          <w:p w14:paraId="61C56AE9"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ME</w:t>
            </w:r>
          </w:p>
        </w:tc>
        <w:tc>
          <w:tcPr>
            <w:tcW w:w="7092" w:type="dxa"/>
            <w:shd w:val="clear" w:color="auto" w:fill="auto"/>
          </w:tcPr>
          <w:p w14:paraId="6DA354DE"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metabolisable energy</w:t>
            </w:r>
          </w:p>
        </w:tc>
      </w:tr>
      <w:tr w:rsidR="00E56455" w:rsidRPr="00927A54" w14:paraId="56AB188F" w14:textId="77777777" w:rsidTr="00B05614">
        <w:tc>
          <w:tcPr>
            <w:tcW w:w="1526" w:type="dxa"/>
            <w:shd w:val="clear" w:color="auto" w:fill="auto"/>
          </w:tcPr>
          <w:p w14:paraId="2D63DB64"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MFAT</w:t>
            </w:r>
          </w:p>
        </w:tc>
        <w:tc>
          <w:tcPr>
            <w:tcW w:w="7092" w:type="dxa"/>
            <w:shd w:val="clear" w:color="auto" w:fill="auto"/>
          </w:tcPr>
          <w:p w14:paraId="6AE462B1"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Ministry of Foreign Affairs and Trade</w:t>
            </w:r>
          </w:p>
        </w:tc>
      </w:tr>
      <w:tr w:rsidR="00E56455" w:rsidRPr="00927A54" w14:paraId="1FE9DA85" w14:textId="77777777" w:rsidTr="00B05614">
        <w:tc>
          <w:tcPr>
            <w:tcW w:w="1526" w:type="dxa"/>
            <w:shd w:val="clear" w:color="auto" w:fill="auto"/>
          </w:tcPr>
          <w:p w14:paraId="7CDA1451"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MfE</w:t>
            </w:r>
          </w:p>
        </w:tc>
        <w:tc>
          <w:tcPr>
            <w:tcW w:w="7092" w:type="dxa"/>
            <w:shd w:val="clear" w:color="auto" w:fill="auto"/>
          </w:tcPr>
          <w:p w14:paraId="554A569E"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Ministry for the Environment</w:t>
            </w:r>
          </w:p>
        </w:tc>
      </w:tr>
      <w:tr w:rsidR="00E56455" w:rsidRPr="00927A54" w14:paraId="2DC5B761" w14:textId="77777777" w:rsidTr="00B05614">
        <w:tc>
          <w:tcPr>
            <w:tcW w:w="1526" w:type="dxa"/>
            <w:shd w:val="clear" w:color="auto" w:fill="auto"/>
          </w:tcPr>
          <w:p w14:paraId="6970E21A" w14:textId="77777777" w:rsidR="00E56455" w:rsidRPr="00927A54" w:rsidRDefault="00E56455" w:rsidP="00042F08">
            <w:pPr>
              <w:pStyle w:val="BodyText"/>
              <w:spacing w:after="0"/>
              <w:rPr>
                <w:rFonts w:eastAsia="Calibri" w:cs="Calibri"/>
                <w:b/>
                <w:sz w:val="20"/>
                <w:szCs w:val="20"/>
              </w:rPr>
            </w:pPr>
            <w:r w:rsidRPr="00927A54">
              <w:rPr>
                <w:rFonts w:cs="Calibri"/>
                <w:b/>
                <w:sz w:val="20"/>
                <w:szCs w:val="20"/>
              </w:rPr>
              <w:t>MgO</w:t>
            </w:r>
          </w:p>
        </w:tc>
        <w:tc>
          <w:tcPr>
            <w:tcW w:w="7092" w:type="dxa"/>
            <w:shd w:val="clear" w:color="auto" w:fill="auto"/>
          </w:tcPr>
          <w:p w14:paraId="2A9EEBB8"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magnesium oxide</w:t>
            </w:r>
          </w:p>
        </w:tc>
      </w:tr>
      <w:tr w:rsidR="00E56455" w:rsidRPr="00927A54" w14:paraId="599F0711" w14:textId="77777777" w:rsidTr="00B05614">
        <w:tc>
          <w:tcPr>
            <w:tcW w:w="1526" w:type="dxa"/>
            <w:shd w:val="clear" w:color="auto" w:fill="auto"/>
          </w:tcPr>
          <w:p w14:paraId="1518CD4C" w14:textId="77777777" w:rsidR="00E56455" w:rsidRPr="00927A54" w:rsidRDefault="00E56455" w:rsidP="00042F08">
            <w:pPr>
              <w:pStyle w:val="BodyText"/>
              <w:spacing w:after="0"/>
              <w:rPr>
                <w:rFonts w:cs="Calibri"/>
                <w:b/>
                <w:sz w:val="20"/>
                <w:szCs w:val="20"/>
              </w:rPr>
            </w:pPr>
            <w:r w:rsidRPr="00927A54">
              <w:rPr>
                <w:rFonts w:cs="Calibri"/>
                <w:b/>
                <w:sz w:val="20"/>
                <w:szCs w:val="20"/>
              </w:rPr>
              <w:lastRenderedPageBreak/>
              <w:t>MiCORE</w:t>
            </w:r>
          </w:p>
        </w:tc>
        <w:tc>
          <w:tcPr>
            <w:tcW w:w="7092" w:type="dxa"/>
            <w:shd w:val="clear" w:color="auto" w:fill="auto"/>
          </w:tcPr>
          <w:p w14:paraId="738893E7" w14:textId="77777777" w:rsidR="00E56455" w:rsidRPr="00927A54" w:rsidRDefault="00E56455" w:rsidP="00042F08">
            <w:pPr>
              <w:pStyle w:val="BodyText"/>
              <w:spacing w:after="0"/>
              <w:rPr>
                <w:rFonts w:cs="Calibri"/>
                <w:sz w:val="20"/>
                <w:szCs w:val="20"/>
              </w:rPr>
            </w:pPr>
            <w:r w:rsidRPr="00927A54">
              <w:rPr>
                <w:rFonts w:cs="Calibri"/>
                <w:sz w:val="20"/>
                <w:szCs w:val="20"/>
              </w:rPr>
              <w:t>Ministry of Climate, Oceans and Resilience (Tokelau)</w:t>
            </w:r>
          </w:p>
        </w:tc>
      </w:tr>
      <w:tr w:rsidR="00E56455" w:rsidRPr="00927A54" w14:paraId="42DC1C5E" w14:textId="77777777" w:rsidTr="00B05614">
        <w:tc>
          <w:tcPr>
            <w:tcW w:w="1526" w:type="dxa"/>
            <w:shd w:val="clear" w:color="auto" w:fill="auto"/>
          </w:tcPr>
          <w:p w14:paraId="44DF04A5" w14:textId="77777777" w:rsidR="00E56455" w:rsidRPr="00927A54" w:rsidRDefault="00E56455" w:rsidP="00042F08">
            <w:pPr>
              <w:pStyle w:val="BodyText"/>
              <w:spacing w:after="0"/>
              <w:rPr>
                <w:rFonts w:cs="Calibri"/>
                <w:b/>
                <w:sz w:val="20"/>
                <w:szCs w:val="20"/>
              </w:rPr>
            </w:pPr>
            <w:r w:rsidRPr="00927A54">
              <w:rPr>
                <w:rFonts w:cs="Calibri"/>
                <w:b/>
                <w:sz w:val="20"/>
                <w:szCs w:val="20"/>
              </w:rPr>
              <w:t>MJ</w:t>
            </w:r>
          </w:p>
        </w:tc>
        <w:tc>
          <w:tcPr>
            <w:tcW w:w="7092" w:type="dxa"/>
            <w:shd w:val="clear" w:color="auto" w:fill="auto"/>
          </w:tcPr>
          <w:p w14:paraId="3AC2163E" w14:textId="77777777" w:rsidR="00E56455" w:rsidRPr="00927A54" w:rsidRDefault="00E56455" w:rsidP="00042F08">
            <w:pPr>
              <w:pStyle w:val="BodyText"/>
              <w:spacing w:after="0"/>
              <w:rPr>
                <w:rFonts w:cs="Calibri"/>
                <w:sz w:val="20"/>
                <w:szCs w:val="20"/>
              </w:rPr>
            </w:pPr>
            <w:r w:rsidRPr="00927A54">
              <w:rPr>
                <w:rFonts w:cs="Calibri"/>
                <w:sz w:val="20"/>
                <w:szCs w:val="20"/>
              </w:rPr>
              <w:t>megajoule(s)</w:t>
            </w:r>
          </w:p>
        </w:tc>
      </w:tr>
      <w:tr w:rsidR="00E56455" w:rsidRPr="00927A54" w14:paraId="46207F32" w14:textId="77777777" w:rsidTr="00B05614">
        <w:tc>
          <w:tcPr>
            <w:tcW w:w="1526" w:type="dxa"/>
            <w:shd w:val="clear" w:color="auto" w:fill="auto"/>
          </w:tcPr>
          <w:p w14:paraId="113925CE"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MOS</w:t>
            </w:r>
          </w:p>
        </w:tc>
        <w:tc>
          <w:tcPr>
            <w:tcW w:w="7092" w:type="dxa"/>
            <w:shd w:val="clear" w:color="auto" w:fill="auto"/>
          </w:tcPr>
          <w:p w14:paraId="586C19A4"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 xml:space="preserve">Monthly Oil Supply </w:t>
            </w:r>
          </w:p>
        </w:tc>
      </w:tr>
      <w:tr w:rsidR="00E56455" w:rsidRPr="00927A54" w14:paraId="0F12E6F9" w14:textId="77777777" w:rsidTr="00B05614">
        <w:tc>
          <w:tcPr>
            <w:tcW w:w="1526" w:type="dxa"/>
            <w:shd w:val="clear" w:color="auto" w:fill="auto"/>
          </w:tcPr>
          <w:p w14:paraId="67BC7A1A"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MPI</w:t>
            </w:r>
          </w:p>
        </w:tc>
        <w:tc>
          <w:tcPr>
            <w:tcW w:w="7092" w:type="dxa"/>
            <w:shd w:val="clear" w:color="auto" w:fill="auto"/>
          </w:tcPr>
          <w:p w14:paraId="44A52896"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Ministry for Primary Industries</w:t>
            </w:r>
          </w:p>
        </w:tc>
      </w:tr>
      <w:tr w:rsidR="00E56455" w:rsidRPr="00EE5245" w14:paraId="48116E0E" w14:textId="77777777" w:rsidTr="00B05614">
        <w:tc>
          <w:tcPr>
            <w:tcW w:w="1526" w:type="dxa"/>
            <w:shd w:val="clear" w:color="auto" w:fill="auto"/>
          </w:tcPr>
          <w:p w14:paraId="6333A82F" w14:textId="77777777" w:rsidR="00E56455" w:rsidRPr="00EE5245" w:rsidRDefault="00E56455" w:rsidP="00042F08">
            <w:pPr>
              <w:pStyle w:val="BodyText"/>
              <w:spacing w:after="0"/>
              <w:rPr>
                <w:rFonts w:eastAsia="Calibri" w:cs="Calibri"/>
                <w:b/>
                <w:sz w:val="20"/>
                <w:szCs w:val="20"/>
                <w:highlight w:val="yellow"/>
              </w:rPr>
            </w:pPr>
            <w:r w:rsidRPr="00EE5245">
              <w:rPr>
                <w:rFonts w:eastAsia="Calibri" w:cs="Calibri"/>
                <w:b/>
                <w:sz w:val="20"/>
                <w:szCs w:val="20"/>
              </w:rPr>
              <w:t>MSW</w:t>
            </w:r>
          </w:p>
        </w:tc>
        <w:tc>
          <w:tcPr>
            <w:tcW w:w="7092" w:type="dxa"/>
            <w:shd w:val="clear" w:color="auto" w:fill="auto"/>
          </w:tcPr>
          <w:p w14:paraId="4FC80916" w14:textId="77777777" w:rsidR="00E56455" w:rsidRPr="00EE5245" w:rsidRDefault="00E56455" w:rsidP="00042F08">
            <w:pPr>
              <w:pStyle w:val="BodyText"/>
              <w:spacing w:after="0"/>
              <w:rPr>
                <w:rFonts w:eastAsia="Calibri" w:cs="Calibri"/>
                <w:sz w:val="20"/>
                <w:szCs w:val="20"/>
                <w:highlight w:val="yellow"/>
              </w:rPr>
            </w:pPr>
            <w:r w:rsidRPr="00EE5245">
              <w:rPr>
                <w:rFonts w:cs="Calibri"/>
                <w:sz w:val="20"/>
                <w:szCs w:val="20"/>
              </w:rPr>
              <w:t>municipal waste disposal</w:t>
            </w:r>
          </w:p>
        </w:tc>
      </w:tr>
      <w:tr w:rsidR="00E56455" w:rsidRPr="00927A54" w14:paraId="715B327A" w14:textId="77777777" w:rsidTr="00B05614">
        <w:tc>
          <w:tcPr>
            <w:tcW w:w="1526" w:type="dxa"/>
            <w:shd w:val="clear" w:color="auto" w:fill="auto"/>
          </w:tcPr>
          <w:p w14:paraId="5FB7D97D"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Mt</w:t>
            </w:r>
          </w:p>
        </w:tc>
        <w:tc>
          <w:tcPr>
            <w:tcW w:w="7092" w:type="dxa"/>
            <w:shd w:val="clear" w:color="auto" w:fill="auto"/>
          </w:tcPr>
          <w:p w14:paraId="2B1F786A"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megatonne(s) or million tonne(s)</w:t>
            </w:r>
          </w:p>
        </w:tc>
      </w:tr>
      <w:tr w:rsidR="00E56455" w:rsidRPr="00927A54" w14:paraId="457E8D6E" w14:textId="77777777" w:rsidTr="00B05614">
        <w:tc>
          <w:tcPr>
            <w:tcW w:w="1526" w:type="dxa"/>
            <w:shd w:val="clear" w:color="auto" w:fill="auto"/>
          </w:tcPr>
          <w:p w14:paraId="52AC6675"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MW</w:t>
            </w:r>
          </w:p>
        </w:tc>
        <w:tc>
          <w:tcPr>
            <w:tcW w:w="7092" w:type="dxa"/>
            <w:shd w:val="clear" w:color="auto" w:fill="auto"/>
          </w:tcPr>
          <w:p w14:paraId="3AE38553"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megawatt(s)</w:t>
            </w:r>
          </w:p>
        </w:tc>
      </w:tr>
      <w:tr w:rsidR="00E56455" w:rsidRPr="00927A54" w14:paraId="6D21FDDC" w14:textId="77777777" w:rsidTr="00B05614">
        <w:tc>
          <w:tcPr>
            <w:tcW w:w="1526" w:type="dxa"/>
            <w:shd w:val="clear" w:color="auto" w:fill="auto"/>
          </w:tcPr>
          <w:p w14:paraId="23048B5B"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N</w:t>
            </w:r>
          </w:p>
        </w:tc>
        <w:tc>
          <w:tcPr>
            <w:tcW w:w="7092" w:type="dxa"/>
            <w:shd w:val="clear" w:color="auto" w:fill="auto"/>
          </w:tcPr>
          <w:p w14:paraId="0062E619"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nitrogen</w:t>
            </w:r>
          </w:p>
        </w:tc>
      </w:tr>
      <w:tr w:rsidR="00E56455" w:rsidRPr="00927A54" w14:paraId="3D909643" w14:textId="77777777" w:rsidTr="00B05614">
        <w:tc>
          <w:tcPr>
            <w:tcW w:w="1526" w:type="dxa"/>
            <w:shd w:val="clear" w:color="auto" w:fill="auto"/>
          </w:tcPr>
          <w:p w14:paraId="4C14C447"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N</w:t>
            </w:r>
            <w:r w:rsidRPr="00927A54">
              <w:rPr>
                <w:rFonts w:eastAsia="Calibri" w:cs="Calibri"/>
                <w:b/>
                <w:sz w:val="20"/>
                <w:szCs w:val="20"/>
                <w:vertAlign w:val="subscript"/>
              </w:rPr>
              <w:t>2</w:t>
            </w:r>
            <w:r w:rsidRPr="00927A54">
              <w:rPr>
                <w:rFonts w:eastAsia="Calibri" w:cs="Calibri"/>
                <w:b/>
                <w:sz w:val="20"/>
                <w:szCs w:val="20"/>
              </w:rPr>
              <w:t xml:space="preserve">O </w:t>
            </w:r>
          </w:p>
        </w:tc>
        <w:tc>
          <w:tcPr>
            <w:tcW w:w="7092" w:type="dxa"/>
            <w:shd w:val="clear" w:color="auto" w:fill="auto"/>
          </w:tcPr>
          <w:p w14:paraId="53BABA79"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nitrous oxide</w:t>
            </w:r>
          </w:p>
        </w:tc>
      </w:tr>
      <w:tr w:rsidR="00E56455" w:rsidRPr="00927A54" w14:paraId="5C9AC7A5" w14:textId="77777777" w:rsidTr="00B05614">
        <w:tc>
          <w:tcPr>
            <w:tcW w:w="1526" w:type="dxa"/>
            <w:shd w:val="clear" w:color="auto" w:fill="auto"/>
          </w:tcPr>
          <w:p w14:paraId="6EE16E2A"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NA </w:t>
            </w:r>
          </w:p>
        </w:tc>
        <w:tc>
          <w:tcPr>
            <w:tcW w:w="7092" w:type="dxa"/>
            <w:shd w:val="clear" w:color="auto" w:fill="auto"/>
          </w:tcPr>
          <w:p w14:paraId="594C3BB0"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not applicable</w:t>
            </w:r>
          </w:p>
        </w:tc>
      </w:tr>
      <w:tr w:rsidR="00E56455" w:rsidRPr="00927A54" w14:paraId="37E41307" w14:textId="77777777" w:rsidTr="00B05614">
        <w:tc>
          <w:tcPr>
            <w:tcW w:w="1526" w:type="dxa"/>
            <w:shd w:val="clear" w:color="auto" w:fill="auto"/>
          </w:tcPr>
          <w:p w14:paraId="38E9F6AF"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NE</w:t>
            </w:r>
          </w:p>
        </w:tc>
        <w:tc>
          <w:tcPr>
            <w:tcW w:w="7092" w:type="dxa"/>
            <w:shd w:val="clear" w:color="auto" w:fill="auto"/>
          </w:tcPr>
          <w:p w14:paraId="02A96714"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not estimated</w:t>
            </w:r>
          </w:p>
        </w:tc>
      </w:tr>
      <w:tr w:rsidR="00E56455" w:rsidRPr="00927A54" w14:paraId="3C49EB9D" w14:textId="77777777" w:rsidTr="00B05614">
        <w:tc>
          <w:tcPr>
            <w:tcW w:w="1526" w:type="dxa"/>
            <w:shd w:val="clear" w:color="auto" w:fill="auto"/>
          </w:tcPr>
          <w:p w14:paraId="43BAC631"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NEFD </w:t>
            </w:r>
          </w:p>
        </w:tc>
        <w:tc>
          <w:tcPr>
            <w:tcW w:w="7092" w:type="dxa"/>
            <w:shd w:val="clear" w:color="auto" w:fill="auto"/>
          </w:tcPr>
          <w:p w14:paraId="6F521DB0"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National Exotic Forest Description</w:t>
            </w:r>
          </w:p>
        </w:tc>
      </w:tr>
      <w:tr w:rsidR="00E56455" w:rsidRPr="00927A54" w14:paraId="07454026" w14:textId="77777777" w:rsidTr="00B05614">
        <w:tc>
          <w:tcPr>
            <w:tcW w:w="1526" w:type="dxa"/>
            <w:shd w:val="clear" w:color="auto" w:fill="auto"/>
          </w:tcPr>
          <w:p w14:paraId="7AE0B77B" w14:textId="77777777" w:rsidR="00E56455" w:rsidRPr="00927A54" w:rsidRDefault="00E56455" w:rsidP="00042F08">
            <w:pPr>
              <w:pStyle w:val="BodyText"/>
              <w:spacing w:after="0"/>
              <w:rPr>
                <w:rFonts w:eastAsia="Calibri" w:cs="Calibri"/>
                <w:b/>
                <w:sz w:val="20"/>
                <w:szCs w:val="20"/>
              </w:rPr>
            </w:pPr>
            <w:r w:rsidRPr="00927A54">
              <w:rPr>
                <w:rFonts w:cs="Calibri"/>
                <w:b/>
                <w:sz w:val="20"/>
                <w:szCs w:val="20"/>
              </w:rPr>
              <w:t>N</w:t>
            </w:r>
            <w:r w:rsidRPr="00927A54">
              <w:rPr>
                <w:rFonts w:cs="Calibri"/>
                <w:b/>
                <w:sz w:val="20"/>
                <w:szCs w:val="20"/>
                <w:vertAlign w:val="subscript"/>
              </w:rPr>
              <w:t>ex</w:t>
            </w:r>
          </w:p>
        </w:tc>
        <w:tc>
          <w:tcPr>
            <w:tcW w:w="7092" w:type="dxa"/>
            <w:shd w:val="clear" w:color="auto" w:fill="auto"/>
          </w:tcPr>
          <w:p w14:paraId="19EBD489"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 xml:space="preserve">nitrogen excretion rates </w:t>
            </w:r>
          </w:p>
        </w:tc>
      </w:tr>
      <w:tr w:rsidR="00E56455" w:rsidRPr="00927A54" w14:paraId="50717243" w14:textId="77777777" w:rsidTr="00B05614">
        <w:tc>
          <w:tcPr>
            <w:tcW w:w="1526" w:type="dxa"/>
            <w:shd w:val="clear" w:color="auto" w:fill="auto"/>
          </w:tcPr>
          <w:p w14:paraId="06BAA403"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NF</w:t>
            </w:r>
            <w:r w:rsidRPr="00927A54">
              <w:rPr>
                <w:rFonts w:eastAsia="Calibri" w:cs="Calibri"/>
                <w:b/>
                <w:sz w:val="20"/>
                <w:szCs w:val="20"/>
                <w:vertAlign w:val="subscript"/>
              </w:rPr>
              <w:t>3</w:t>
            </w:r>
          </w:p>
        </w:tc>
        <w:tc>
          <w:tcPr>
            <w:tcW w:w="7092" w:type="dxa"/>
            <w:shd w:val="clear" w:color="auto" w:fill="auto"/>
          </w:tcPr>
          <w:p w14:paraId="4132AF07"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nitrogen trifluoride</w:t>
            </w:r>
          </w:p>
        </w:tc>
      </w:tr>
      <w:tr w:rsidR="00E56455" w:rsidRPr="00927A54" w14:paraId="79AD6740" w14:textId="77777777" w:rsidTr="00B05614">
        <w:tc>
          <w:tcPr>
            <w:tcW w:w="1526" w:type="dxa"/>
            <w:shd w:val="clear" w:color="auto" w:fill="auto"/>
          </w:tcPr>
          <w:p w14:paraId="2B396290" w14:textId="77777777" w:rsidR="00E56455" w:rsidRPr="00927A54" w:rsidRDefault="00E56455" w:rsidP="00042F08">
            <w:pPr>
              <w:pStyle w:val="BodyText"/>
              <w:spacing w:after="0"/>
              <w:rPr>
                <w:rFonts w:eastAsia="Calibri" w:cs="Calibri"/>
                <w:b/>
                <w:sz w:val="20"/>
                <w:szCs w:val="20"/>
              </w:rPr>
            </w:pPr>
            <w:r w:rsidRPr="00927A54">
              <w:rPr>
                <w:rFonts w:cs="Calibri"/>
                <w:b/>
                <w:sz w:val="20"/>
                <w:szCs w:val="20"/>
              </w:rPr>
              <w:t>NH</w:t>
            </w:r>
            <w:r w:rsidRPr="00927A54">
              <w:rPr>
                <w:rFonts w:cs="Calibri"/>
                <w:b/>
                <w:sz w:val="20"/>
                <w:szCs w:val="20"/>
                <w:vertAlign w:val="subscript"/>
              </w:rPr>
              <w:t>3</w:t>
            </w:r>
          </w:p>
        </w:tc>
        <w:tc>
          <w:tcPr>
            <w:tcW w:w="7092" w:type="dxa"/>
            <w:shd w:val="clear" w:color="auto" w:fill="auto"/>
          </w:tcPr>
          <w:p w14:paraId="5386E935"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ammonia</w:t>
            </w:r>
          </w:p>
        </w:tc>
      </w:tr>
      <w:tr w:rsidR="00E56455" w:rsidRPr="00927A54" w14:paraId="34BE3425" w14:textId="77777777" w:rsidTr="00B05614">
        <w:tc>
          <w:tcPr>
            <w:tcW w:w="1526" w:type="dxa"/>
            <w:shd w:val="clear" w:color="auto" w:fill="auto"/>
          </w:tcPr>
          <w:p w14:paraId="0C5EE9A8"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NIR</w:t>
            </w:r>
          </w:p>
        </w:tc>
        <w:tc>
          <w:tcPr>
            <w:tcW w:w="7092" w:type="dxa"/>
            <w:shd w:val="clear" w:color="auto" w:fill="auto"/>
          </w:tcPr>
          <w:p w14:paraId="3036789F"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national inventory report</w:t>
            </w:r>
          </w:p>
        </w:tc>
      </w:tr>
      <w:tr w:rsidR="00E56455" w:rsidRPr="00927A54" w14:paraId="19BDE85E" w14:textId="77777777" w:rsidTr="00B05614">
        <w:tc>
          <w:tcPr>
            <w:tcW w:w="1526" w:type="dxa"/>
            <w:shd w:val="clear" w:color="auto" w:fill="auto"/>
          </w:tcPr>
          <w:p w14:paraId="7FE334BF"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NMVOC</w:t>
            </w:r>
          </w:p>
        </w:tc>
        <w:tc>
          <w:tcPr>
            <w:tcW w:w="7092" w:type="dxa"/>
            <w:shd w:val="clear" w:color="auto" w:fill="auto"/>
          </w:tcPr>
          <w:p w14:paraId="4A6B8443"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non-methane volatile organic compound</w:t>
            </w:r>
          </w:p>
        </w:tc>
      </w:tr>
      <w:tr w:rsidR="00E56455" w:rsidRPr="00927A54" w14:paraId="4614104C" w14:textId="77777777" w:rsidTr="00B05614">
        <w:tc>
          <w:tcPr>
            <w:tcW w:w="1526" w:type="dxa"/>
            <w:shd w:val="clear" w:color="auto" w:fill="auto"/>
          </w:tcPr>
          <w:p w14:paraId="25881273"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NO</w:t>
            </w:r>
          </w:p>
        </w:tc>
        <w:tc>
          <w:tcPr>
            <w:tcW w:w="7092" w:type="dxa"/>
            <w:shd w:val="clear" w:color="auto" w:fill="auto"/>
          </w:tcPr>
          <w:p w14:paraId="7038975F"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not occurring</w:t>
            </w:r>
          </w:p>
        </w:tc>
      </w:tr>
      <w:tr w:rsidR="00E56455" w:rsidRPr="00927A54" w14:paraId="406AA61A" w14:textId="77777777" w:rsidTr="00B05614">
        <w:tc>
          <w:tcPr>
            <w:tcW w:w="1526" w:type="dxa"/>
            <w:shd w:val="clear" w:color="auto" w:fill="auto"/>
          </w:tcPr>
          <w:p w14:paraId="0AC205F6"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NO</w:t>
            </w:r>
            <w:r w:rsidRPr="00927A54">
              <w:rPr>
                <w:rFonts w:eastAsia="Calibri" w:cs="Calibri"/>
                <w:b/>
                <w:sz w:val="20"/>
                <w:szCs w:val="20"/>
                <w:vertAlign w:val="subscript"/>
              </w:rPr>
              <w:t>3</w:t>
            </w:r>
          </w:p>
        </w:tc>
        <w:tc>
          <w:tcPr>
            <w:tcW w:w="7092" w:type="dxa"/>
            <w:shd w:val="clear" w:color="auto" w:fill="auto"/>
          </w:tcPr>
          <w:p w14:paraId="506B5362"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nitrate</w:t>
            </w:r>
          </w:p>
        </w:tc>
      </w:tr>
      <w:tr w:rsidR="00E56455" w:rsidRPr="00927A54" w14:paraId="641AB9D3" w14:textId="77777777" w:rsidTr="00B05614">
        <w:tc>
          <w:tcPr>
            <w:tcW w:w="1526" w:type="dxa"/>
            <w:shd w:val="clear" w:color="auto" w:fill="auto"/>
          </w:tcPr>
          <w:p w14:paraId="56730292"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NO</w:t>
            </w:r>
            <w:r w:rsidRPr="00927A54">
              <w:rPr>
                <w:rFonts w:eastAsia="Calibri" w:cs="Calibri"/>
                <w:b/>
                <w:sz w:val="20"/>
                <w:szCs w:val="20"/>
                <w:vertAlign w:val="subscript"/>
              </w:rPr>
              <w:t>x</w:t>
            </w:r>
          </w:p>
        </w:tc>
        <w:tc>
          <w:tcPr>
            <w:tcW w:w="7092" w:type="dxa"/>
            <w:shd w:val="clear" w:color="auto" w:fill="auto"/>
          </w:tcPr>
          <w:p w14:paraId="15366DB0"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nitrogen oxides (other than nitrous oxide)</w:t>
            </w:r>
          </w:p>
        </w:tc>
      </w:tr>
      <w:tr w:rsidR="00E56455" w:rsidRPr="00927A54" w14:paraId="275EDB24" w14:textId="77777777" w:rsidTr="00B05614">
        <w:tc>
          <w:tcPr>
            <w:tcW w:w="1526" w:type="dxa"/>
            <w:shd w:val="clear" w:color="auto" w:fill="auto"/>
          </w:tcPr>
          <w:p w14:paraId="6A304E5C"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NZAGRC</w:t>
            </w:r>
          </w:p>
        </w:tc>
        <w:tc>
          <w:tcPr>
            <w:tcW w:w="7092" w:type="dxa"/>
            <w:shd w:val="clear" w:color="auto" w:fill="auto"/>
          </w:tcPr>
          <w:p w14:paraId="5A3B1343"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New Zealand Agricultural Greenhouse Gas Research Centre</w:t>
            </w:r>
          </w:p>
        </w:tc>
      </w:tr>
      <w:tr w:rsidR="00E56455" w:rsidRPr="00927A54" w14:paraId="072BDED7" w14:textId="77777777" w:rsidTr="00B05614">
        <w:tc>
          <w:tcPr>
            <w:tcW w:w="1526" w:type="dxa"/>
            <w:shd w:val="clear" w:color="auto" w:fill="auto"/>
          </w:tcPr>
          <w:p w14:paraId="7D09B9D5" w14:textId="77777777" w:rsidR="00E56455" w:rsidRPr="00927A54" w:rsidRDefault="00E56455" w:rsidP="00042F08">
            <w:pPr>
              <w:pStyle w:val="BodyText"/>
              <w:spacing w:after="0"/>
              <w:rPr>
                <w:rFonts w:eastAsia="Calibri" w:cs="Calibri"/>
                <w:b/>
                <w:sz w:val="20"/>
                <w:szCs w:val="20"/>
              </w:rPr>
            </w:pPr>
            <w:r w:rsidRPr="00927A54">
              <w:rPr>
                <w:rFonts w:cs="Calibri"/>
                <w:b/>
                <w:sz w:val="20"/>
                <w:szCs w:val="20"/>
              </w:rPr>
              <w:t>NZAS</w:t>
            </w:r>
          </w:p>
        </w:tc>
        <w:tc>
          <w:tcPr>
            <w:tcW w:w="7092" w:type="dxa"/>
            <w:shd w:val="clear" w:color="auto" w:fill="auto"/>
          </w:tcPr>
          <w:p w14:paraId="792B24B3"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New Zealand Aluminium Smelters Limited</w:t>
            </w:r>
          </w:p>
        </w:tc>
      </w:tr>
      <w:tr w:rsidR="00E56455" w:rsidRPr="00927A54" w14:paraId="1D332AF0" w14:textId="77777777" w:rsidTr="00B05614">
        <w:tc>
          <w:tcPr>
            <w:tcW w:w="1526" w:type="dxa"/>
            <w:shd w:val="clear" w:color="auto" w:fill="auto"/>
          </w:tcPr>
          <w:p w14:paraId="3910A2AA"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NZ ETS </w:t>
            </w:r>
          </w:p>
        </w:tc>
        <w:tc>
          <w:tcPr>
            <w:tcW w:w="7092" w:type="dxa"/>
            <w:shd w:val="clear" w:color="auto" w:fill="auto"/>
          </w:tcPr>
          <w:p w14:paraId="4E3D3550"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New Zealand Emissions Trading Scheme</w:t>
            </w:r>
          </w:p>
        </w:tc>
      </w:tr>
      <w:tr w:rsidR="00E56455" w:rsidRPr="00927A54" w14:paraId="1FF5BE9E" w14:textId="77777777" w:rsidTr="00B05614">
        <w:tc>
          <w:tcPr>
            <w:tcW w:w="1526" w:type="dxa"/>
            <w:shd w:val="clear" w:color="auto" w:fill="auto"/>
          </w:tcPr>
          <w:p w14:paraId="4F02E9BE"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NZLRI</w:t>
            </w:r>
          </w:p>
        </w:tc>
        <w:tc>
          <w:tcPr>
            <w:tcW w:w="7092" w:type="dxa"/>
            <w:shd w:val="clear" w:color="auto" w:fill="auto"/>
          </w:tcPr>
          <w:p w14:paraId="3DCDEC79"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New Zealand Land Resource Inventory</w:t>
            </w:r>
          </w:p>
        </w:tc>
      </w:tr>
      <w:tr w:rsidR="00E56455" w:rsidRPr="00927A54" w14:paraId="26D5B50A" w14:textId="77777777" w:rsidTr="00B05614">
        <w:tc>
          <w:tcPr>
            <w:tcW w:w="1526" w:type="dxa"/>
            <w:shd w:val="clear" w:color="auto" w:fill="auto"/>
          </w:tcPr>
          <w:p w14:paraId="319E7304"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NZU</w:t>
            </w:r>
          </w:p>
        </w:tc>
        <w:tc>
          <w:tcPr>
            <w:tcW w:w="7092" w:type="dxa"/>
            <w:shd w:val="clear" w:color="auto" w:fill="auto"/>
          </w:tcPr>
          <w:p w14:paraId="26AF1C19"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New Zealand Unit</w:t>
            </w:r>
          </w:p>
        </w:tc>
      </w:tr>
      <w:tr w:rsidR="00E56455" w:rsidRPr="00927A54" w14:paraId="1B6C32C1" w14:textId="77777777" w:rsidTr="00B05614">
        <w:tc>
          <w:tcPr>
            <w:tcW w:w="1526" w:type="dxa"/>
            <w:shd w:val="clear" w:color="auto" w:fill="auto"/>
          </w:tcPr>
          <w:p w14:paraId="0D658D04"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ODS</w:t>
            </w:r>
          </w:p>
        </w:tc>
        <w:tc>
          <w:tcPr>
            <w:tcW w:w="7092" w:type="dxa"/>
            <w:shd w:val="clear" w:color="auto" w:fill="auto"/>
          </w:tcPr>
          <w:p w14:paraId="0BDF9538"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ozone depleting substances</w:t>
            </w:r>
          </w:p>
        </w:tc>
      </w:tr>
      <w:tr w:rsidR="00E56455" w:rsidRPr="00927A54" w14:paraId="0D9F0748" w14:textId="77777777" w:rsidTr="00B05614">
        <w:tc>
          <w:tcPr>
            <w:tcW w:w="1526" w:type="dxa"/>
            <w:shd w:val="clear" w:color="auto" w:fill="auto"/>
          </w:tcPr>
          <w:p w14:paraId="20E3CC70"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OECD</w:t>
            </w:r>
          </w:p>
        </w:tc>
        <w:tc>
          <w:tcPr>
            <w:tcW w:w="7092" w:type="dxa"/>
            <w:shd w:val="clear" w:color="auto" w:fill="auto"/>
          </w:tcPr>
          <w:p w14:paraId="5E26B29D"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 xml:space="preserve">Organisation for Economic Co-operation and Development </w:t>
            </w:r>
          </w:p>
        </w:tc>
      </w:tr>
      <w:tr w:rsidR="00E56455" w:rsidRPr="00927A54" w14:paraId="4BAD10B5" w14:textId="77777777" w:rsidTr="00B05614">
        <w:tc>
          <w:tcPr>
            <w:tcW w:w="1526" w:type="dxa"/>
            <w:shd w:val="clear" w:color="auto" w:fill="auto"/>
          </w:tcPr>
          <w:p w14:paraId="4A63EDDC"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PFC</w:t>
            </w:r>
          </w:p>
        </w:tc>
        <w:tc>
          <w:tcPr>
            <w:tcW w:w="7092" w:type="dxa"/>
            <w:shd w:val="clear" w:color="auto" w:fill="auto"/>
          </w:tcPr>
          <w:p w14:paraId="76A8FADE"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perfluorocarbon</w:t>
            </w:r>
          </w:p>
        </w:tc>
      </w:tr>
      <w:tr w:rsidR="00E56455" w:rsidRPr="00927A54" w14:paraId="77EBB71E" w14:textId="77777777" w:rsidTr="00B05614">
        <w:tc>
          <w:tcPr>
            <w:tcW w:w="1526" w:type="dxa"/>
            <w:shd w:val="clear" w:color="auto" w:fill="auto"/>
          </w:tcPr>
          <w:p w14:paraId="4966C58C" w14:textId="380BC9AA" w:rsidR="00E56455" w:rsidRPr="00927A54" w:rsidRDefault="00E56455" w:rsidP="00042F08">
            <w:pPr>
              <w:pStyle w:val="BodyText"/>
              <w:spacing w:after="0"/>
              <w:rPr>
                <w:rFonts w:eastAsia="Calibri" w:cs="Calibri"/>
                <w:b/>
                <w:bCs/>
                <w:sz w:val="20"/>
                <w:szCs w:val="20"/>
              </w:rPr>
            </w:pPr>
            <w:r w:rsidRPr="00927A54">
              <w:rPr>
                <w:rFonts w:cs="Calibri"/>
                <w:b/>
                <w:bCs/>
                <w:sz w:val="20"/>
                <w:szCs w:val="20"/>
              </w:rPr>
              <w:t>PGgRc</w:t>
            </w:r>
          </w:p>
        </w:tc>
        <w:tc>
          <w:tcPr>
            <w:tcW w:w="7092" w:type="dxa"/>
            <w:shd w:val="clear" w:color="auto" w:fill="auto"/>
          </w:tcPr>
          <w:p w14:paraId="06B564E1"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Pastoral Greenhouse Gas Research Consortium</w:t>
            </w:r>
          </w:p>
        </w:tc>
      </w:tr>
      <w:tr w:rsidR="00E56455" w:rsidRPr="00927A54" w14:paraId="2553D985" w14:textId="77777777" w:rsidTr="00B05614">
        <w:tc>
          <w:tcPr>
            <w:tcW w:w="1526" w:type="dxa"/>
            <w:shd w:val="clear" w:color="auto" w:fill="auto"/>
          </w:tcPr>
          <w:p w14:paraId="28DD009F"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PJ</w:t>
            </w:r>
          </w:p>
        </w:tc>
        <w:tc>
          <w:tcPr>
            <w:tcW w:w="7092" w:type="dxa"/>
            <w:shd w:val="clear" w:color="auto" w:fill="auto"/>
          </w:tcPr>
          <w:p w14:paraId="416D9E04"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petajoule(s)</w:t>
            </w:r>
          </w:p>
        </w:tc>
      </w:tr>
      <w:tr w:rsidR="00E56455" w:rsidRPr="00927A54" w14:paraId="394902AD" w14:textId="77777777" w:rsidTr="00B05614">
        <w:tc>
          <w:tcPr>
            <w:tcW w:w="1526" w:type="dxa"/>
            <w:shd w:val="clear" w:color="auto" w:fill="auto"/>
          </w:tcPr>
          <w:p w14:paraId="1CCC8388"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PSP</w:t>
            </w:r>
          </w:p>
        </w:tc>
        <w:tc>
          <w:tcPr>
            <w:tcW w:w="7092" w:type="dxa"/>
            <w:shd w:val="clear" w:color="auto" w:fill="auto"/>
          </w:tcPr>
          <w:p w14:paraId="6CDEC56E"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permanent sample plot</w:t>
            </w:r>
          </w:p>
        </w:tc>
      </w:tr>
      <w:tr w:rsidR="00E56455" w:rsidRPr="00927A54" w14:paraId="790BDAEC" w14:textId="77777777" w:rsidTr="00B05614">
        <w:tc>
          <w:tcPr>
            <w:tcW w:w="1526" w:type="dxa"/>
            <w:shd w:val="clear" w:color="auto" w:fill="auto"/>
          </w:tcPr>
          <w:p w14:paraId="40F8681C"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PV</w:t>
            </w:r>
          </w:p>
        </w:tc>
        <w:tc>
          <w:tcPr>
            <w:tcW w:w="7092" w:type="dxa"/>
            <w:shd w:val="clear" w:color="auto" w:fill="auto"/>
          </w:tcPr>
          <w:p w14:paraId="14BEDC08"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photovoltaics</w:t>
            </w:r>
          </w:p>
        </w:tc>
      </w:tr>
      <w:tr w:rsidR="00E56455" w:rsidRPr="00927A54" w14:paraId="66869EA1" w14:textId="77777777" w:rsidTr="00B05614">
        <w:tc>
          <w:tcPr>
            <w:tcW w:w="1526" w:type="dxa"/>
            <w:shd w:val="clear" w:color="auto" w:fill="auto"/>
          </w:tcPr>
          <w:p w14:paraId="56DA7C87"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QA</w:t>
            </w:r>
          </w:p>
        </w:tc>
        <w:tc>
          <w:tcPr>
            <w:tcW w:w="7092" w:type="dxa"/>
            <w:shd w:val="clear" w:color="auto" w:fill="auto"/>
          </w:tcPr>
          <w:p w14:paraId="16E83D5C"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quality assurance</w:t>
            </w:r>
          </w:p>
        </w:tc>
      </w:tr>
      <w:tr w:rsidR="00E56455" w:rsidRPr="00927A54" w14:paraId="4D11C56C" w14:textId="77777777" w:rsidTr="00B05614">
        <w:tc>
          <w:tcPr>
            <w:tcW w:w="1526" w:type="dxa"/>
            <w:shd w:val="clear" w:color="auto" w:fill="auto"/>
          </w:tcPr>
          <w:p w14:paraId="558066C5"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QC </w:t>
            </w:r>
          </w:p>
        </w:tc>
        <w:tc>
          <w:tcPr>
            <w:tcW w:w="7092" w:type="dxa"/>
            <w:shd w:val="clear" w:color="auto" w:fill="auto"/>
          </w:tcPr>
          <w:p w14:paraId="39F37D11"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quality control</w:t>
            </w:r>
          </w:p>
        </w:tc>
      </w:tr>
      <w:tr w:rsidR="00E56455" w:rsidRPr="00927A54" w14:paraId="6B654CB9" w14:textId="77777777" w:rsidTr="00B05614">
        <w:tc>
          <w:tcPr>
            <w:tcW w:w="1526" w:type="dxa"/>
            <w:shd w:val="clear" w:color="auto" w:fill="auto"/>
          </w:tcPr>
          <w:p w14:paraId="3DCFAEAE"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RGG</w:t>
            </w:r>
          </w:p>
        </w:tc>
        <w:tc>
          <w:tcPr>
            <w:tcW w:w="7092" w:type="dxa"/>
            <w:shd w:val="clear" w:color="auto" w:fill="auto"/>
          </w:tcPr>
          <w:p w14:paraId="636D1902"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 xml:space="preserve">Reporting Governance Group </w:t>
            </w:r>
          </w:p>
        </w:tc>
      </w:tr>
      <w:tr w:rsidR="00E56455" w:rsidRPr="00927A54" w14:paraId="5D7A4BBC" w14:textId="77777777" w:rsidTr="00B05614">
        <w:tc>
          <w:tcPr>
            <w:tcW w:w="1526" w:type="dxa"/>
            <w:shd w:val="clear" w:color="auto" w:fill="auto"/>
          </w:tcPr>
          <w:p w14:paraId="283D3DBC"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RMU</w:t>
            </w:r>
          </w:p>
        </w:tc>
        <w:tc>
          <w:tcPr>
            <w:tcW w:w="7092" w:type="dxa"/>
            <w:shd w:val="clear" w:color="auto" w:fill="auto"/>
          </w:tcPr>
          <w:p w14:paraId="507617C2"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removal unit</w:t>
            </w:r>
          </w:p>
        </w:tc>
      </w:tr>
      <w:tr w:rsidR="00E56455" w:rsidRPr="00927A54" w14:paraId="07A16426" w14:textId="77777777" w:rsidTr="00B05614">
        <w:tc>
          <w:tcPr>
            <w:tcW w:w="1526" w:type="dxa"/>
            <w:shd w:val="clear" w:color="auto" w:fill="auto"/>
          </w:tcPr>
          <w:p w14:paraId="37B85878"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SDGs</w:t>
            </w:r>
          </w:p>
        </w:tc>
        <w:tc>
          <w:tcPr>
            <w:tcW w:w="7092" w:type="dxa"/>
            <w:shd w:val="clear" w:color="auto" w:fill="auto"/>
          </w:tcPr>
          <w:p w14:paraId="3626C006"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Sustainable Development Goals</w:t>
            </w:r>
          </w:p>
        </w:tc>
      </w:tr>
      <w:tr w:rsidR="00E56455" w:rsidRPr="00927A54" w14:paraId="1D931845" w14:textId="77777777" w:rsidTr="00B05614">
        <w:tc>
          <w:tcPr>
            <w:tcW w:w="1526" w:type="dxa"/>
            <w:shd w:val="clear" w:color="auto" w:fill="auto"/>
          </w:tcPr>
          <w:p w14:paraId="558BC199"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SEF</w:t>
            </w:r>
          </w:p>
        </w:tc>
        <w:tc>
          <w:tcPr>
            <w:tcW w:w="7092" w:type="dxa"/>
            <w:shd w:val="clear" w:color="auto" w:fill="auto"/>
          </w:tcPr>
          <w:p w14:paraId="6D8EE278"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standard electronic format</w:t>
            </w:r>
          </w:p>
        </w:tc>
      </w:tr>
      <w:tr w:rsidR="00E56455" w:rsidRPr="00927A54" w14:paraId="470E5F47" w14:textId="77777777" w:rsidTr="00B05614">
        <w:tc>
          <w:tcPr>
            <w:tcW w:w="1526" w:type="dxa"/>
            <w:shd w:val="clear" w:color="auto" w:fill="auto"/>
          </w:tcPr>
          <w:p w14:paraId="2F16E084"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lastRenderedPageBreak/>
              <w:t>SF</w:t>
            </w:r>
            <w:r w:rsidRPr="00927A54">
              <w:rPr>
                <w:rFonts w:eastAsia="Calibri" w:cs="Calibri"/>
                <w:b/>
                <w:sz w:val="20"/>
                <w:szCs w:val="20"/>
                <w:vertAlign w:val="subscript"/>
              </w:rPr>
              <w:t>6</w:t>
            </w:r>
          </w:p>
        </w:tc>
        <w:tc>
          <w:tcPr>
            <w:tcW w:w="7092" w:type="dxa"/>
            <w:shd w:val="clear" w:color="auto" w:fill="auto"/>
          </w:tcPr>
          <w:p w14:paraId="1BAFEC71"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sulphur hexafluoride</w:t>
            </w:r>
          </w:p>
        </w:tc>
      </w:tr>
      <w:tr w:rsidR="00E56455" w:rsidRPr="00927A54" w14:paraId="518EAE44" w14:textId="77777777" w:rsidTr="00B05614">
        <w:tc>
          <w:tcPr>
            <w:tcW w:w="1526" w:type="dxa"/>
            <w:shd w:val="clear" w:color="auto" w:fill="auto"/>
          </w:tcPr>
          <w:p w14:paraId="0D69F16D"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SIDS</w:t>
            </w:r>
          </w:p>
        </w:tc>
        <w:tc>
          <w:tcPr>
            <w:tcW w:w="7092" w:type="dxa"/>
            <w:shd w:val="clear" w:color="auto" w:fill="auto"/>
          </w:tcPr>
          <w:p w14:paraId="345F92C7"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Small Island Developing States</w:t>
            </w:r>
          </w:p>
        </w:tc>
      </w:tr>
      <w:tr w:rsidR="00E56455" w:rsidRPr="00927A54" w14:paraId="47FA74F9" w14:textId="77777777" w:rsidTr="00B05614">
        <w:tc>
          <w:tcPr>
            <w:tcW w:w="1526" w:type="dxa"/>
            <w:shd w:val="clear" w:color="auto" w:fill="auto"/>
          </w:tcPr>
          <w:p w14:paraId="69C0359A"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SO</w:t>
            </w:r>
            <w:r w:rsidRPr="00927A54">
              <w:rPr>
                <w:rFonts w:eastAsia="Calibri" w:cs="Calibri"/>
                <w:b/>
                <w:sz w:val="20"/>
                <w:szCs w:val="20"/>
                <w:vertAlign w:val="subscript"/>
              </w:rPr>
              <w:t>2</w:t>
            </w:r>
          </w:p>
        </w:tc>
        <w:tc>
          <w:tcPr>
            <w:tcW w:w="7092" w:type="dxa"/>
            <w:shd w:val="clear" w:color="auto" w:fill="auto"/>
          </w:tcPr>
          <w:p w14:paraId="0DD5390E"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sulphur dioxide</w:t>
            </w:r>
          </w:p>
        </w:tc>
      </w:tr>
      <w:tr w:rsidR="00E56455" w:rsidRPr="00927A54" w14:paraId="52E5A16C" w14:textId="77777777" w:rsidTr="00B05614">
        <w:tc>
          <w:tcPr>
            <w:tcW w:w="1526" w:type="dxa"/>
            <w:shd w:val="clear" w:color="auto" w:fill="auto"/>
          </w:tcPr>
          <w:p w14:paraId="6E6658B5"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SOC</w:t>
            </w:r>
          </w:p>
        </w:tc>
        <w:tc>
          <w:tcPr>
            <w:tcW w:w="7092" w:type="dxa"/>
            <w:shd w:val="clear" w:color="auto" w:fill="auto"/>
          </w:tcPr>
          <w:p w14:paraId="6766194E"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soil organic carbon</w:t>
            </w:r>
          </w:p>
        </w:tc>
      </w:tr>
      <w:tr w:rsidR="00E56455" w:rsidRPr="00927A54" w14:paraId="0A0CE591" w14:textId="77777777" w:rsidTr="00B05614">
        <w:tc>
          <w:tcPr>
            <w:tcW w:w="1526" w:type="dxa"/>
            <w:shd w:val="clear" w:color="auto" w:fill="auto"/>
          </w:tcPr>
          <w:p w14:paraId="4E6E8F24"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Soil CMS</w:t>
            </w:r>
          </w:p>
        </w:tc>
        <w:tc>
          <w:tcPr>
            <w:tcW w:w="7092" w:type="dxa"/>
            <w:shd w:val="clear" w:color="auto" w:fill="auto"/>
          </w:tcPr>
          <w:p w14:paraId="027628EE"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Soil Carbon Monitoring System</w:t>
            </w:r>
          </w:p>
        </w:tc>
      </w:tr>
      <w:tr w:rsidR="00E56455" w:rsidRPr="00927A54" w14:paraId="53D5C498" w14:textId="77777777" w:rsidTr="00B05614">
        <w:tc>
          <w:tcPr>
            <w:tcW w:w="1526" w:type="dxa"/>
            <w:shd w:val="clear" w:color="auto" w:fill="auto"/>
          </w:tcPr>
          <w:p w14:paraId="2BCF9A83" w14:textId="77777777" w:rsidR="00E56455" w:rsidRPr="00927A54" w:rsidRDefault="00E56455" w:rsidP="00042F08">
            <w:pPr>
              <w:pStyle w:val="BodyText"/>
              <w:spacing w:after="0"/>
              <w:rPr>
                <w:rFonts w:cs="Calibri"/>
                <w:b/>
                <w:bCs/>
                <w:sz w:val="20"/>
                <w:szCs w:val="20"/>
              </w:rPr>
            </w:pPr>
            <w:r w:rsidRPr="00927A54">
              <w:rPr>
                <w:rFonts w:cs="Calibri"/>
                <w:b/>
                <w:bCs/>
                <w:sz w:val="20"/>
                <w:szCs w:val="20"/>
              </w:rPr>
              <w:t>SWAP</w:t>
            </w:r>
          </w:p>
        </w:tc>
        <w:tc>
          <w:tcPr>
            <w:tcW w:w="7092" w:type="dxa"/>
            <w:shd w:val="clear" w:color="auto" w:fill="auto"/>
          </w:tcPr>
          <w:p w14:paraId="56674BDA" w14:textId="77777777" w:rsidR="00E56455" w:rsidRPr="001C30F2" w:rsidRDefault="00E56455" w:rsidP="00042F08">
            <w:pPr>
              <w:pStyle w:val="BodyText"/>
              <w:spacing w:after="0"/>
              <w:rPr>
                <w:rFonts w:cs="Calibri"/>
                <w:iCs/>
                <w:sz w:val="20"/>
                <w:szCs w:val="20"/>
              </w:rPr>
            </w:pPr>
            <w:r w:rsidRPr="001C30F2">
              <w:rPr>
                <w:rFonts w:cs="Calibri"/>
                <w:iCs/>
                <w:sz w:val="20"/>
                <w:szCs w:val="20"/>
              </w:rPr>
              <w:t>Solid Waste Analysis Protocol</w:t>
            </w:r>
          </w:p>
        </w:tc>
      </w:tr>
      <w:tr w:rsidR="00E56455" w:rsidRPr="00927A54" w14:paraId="09CBA63F" w14:textId="77777777" w:rsidTr="00B05614">
        <w:tc>
          <w:tcPr>
            <w:tcW w:w="1526" w:type="dxa"/>
            <w:shd w:val="clear" w:color="auto" w:fill="auto"/>
          </w:tcPr>
          <w:p w14:paraId="4AE3EE02" w14:textId="77777777" w:rsidR="00E56455" w:rsidRPr="00927A54" w:rsidRDefault="00E56455" w:rsidP="00042F08">
            <w:pPr>
              <w:pStyle w:val="BodyText"/>
              <w:spacing w:after="0"/>
              <w:rPr>
                <w:rFonts w:eastAsia="Calibri" w:cs="Calibri"/>
                <w:b/>
                <w:bCs/>
                <w:sz w:val="20"/>
                <w:szCs w:val="20"/>
              </w:rPr>
            </w:pPr>
            <w:r w:rsidRPr="00927A54">
              <w:rPr>
                <w:rFonts w:cs="Calibri"/>
                <w:b/>
                <w:bCs/>
                <w:sz w:val="20"/>
                <w:szCs w:val="20"/>
              </w:rPr>
              <w:t>SWDS</w:t>
            </w:r>
          </w:p>
        </w:tc>
        <w:tc>
          <w:tcPr>
            <w:tcW w:w="7092" w:type="dxa"/>
            <w:shd w:val="clear" w:color="auto" w:fill="auto"/>
          </w:tcPr>
          <w:p w14:paraId="252EA70F" w14:textId="77777777" w:rsidR="00E56455" w:rsidRPr="00927A54" w:rsidRDefault="00E56455" w:rsidP="00042F08">
            <w:pPr>
              <w:pStyle w:val="BodyText"/>
              <w:spacing w:after="0"/>
              <w:rPr>
                <w:rFonts w:eastAsia="Calibri" w:cs="Calibri"/>
                <w:sz w:val="20"/>
                <w:szCs w:val="20"/>
              </w:rPr>
            </w:pPr>
            <w:r w:rsidRPr="00927A54">
              <w:rPr>
                <w:rFonts w:cs="Calibri"/>
                <w:sz w:val="20"/>
                <w:szCs w:val="20"/>
              </w:rPr>
              <w:t>solid waste disposable sites</w:t>
            </w:r>
          </w:p>
        </w:tc>
      </w:tr>
      <w:tr w:rsidR="00E56455" w:rsidRPr="00927A54" w14:paraId="4EF63FBC" w14:textId="77777777" w:rsidTr="00B05614">
        <w:tc>
          <w:tcPr>
            <w:tcW w:w="1526" w:type="dxa"/>
            <w:shd w:val="clear" w:color="auto" w:fill="auto"/>
          </w:tcPr>
          <w:p w14:paraId="64B5706A"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t</w:t>
            </w:r>
          </w:p>
        </w:tc>
        <w:tc>
          <w:tcPr>
            <w:tcW w:w="7092" w:type="dxa"/>
            <w:shd w:val="clear" w:color="auto" w:fill="auto"/>
          </w:tcPr>
          <w:p w14:paraId="1FA66ED2"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tonne(s)</w:t>
            </w:r>
          </w:p>
        </w:tc>
      </w:tr>
      <w:tr w:rsidR="00E56455" w:rsidRPr="00927A54" w14:paraId="57265589" w14:textId="77777777" w:rsidTr="00B05614">
        <w:tc>
          <w:tcPr>
            <w:tcW w:w="1526" w:type="dxa"/>
            <w:shd w:val="clear" w:color="auto" w:fill="auto"/>
          </w:tcPr>
          <w:p w14:paraId="57F7FA25"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tC</w:t>
            </w:r>
          </w:p>
        </w:tc>
        <w:tc>
          <w:tcPr>
            <w:tcW w:w="7092" w:type="dxa"/>
            <w:shd w:val="clear" w:color="auto" w:fill="auto"/>
          </w:tcPr>
          <w:p w14:paraId="5F443807"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tonne(s) carbon</w:t>
            </w:r>
          </w:p>
        </w:tc>
      </w:tr>
      <w:tr w:rsidR="00E56455" w:rsidRPr="00927A54" w14:paraId="688BD251" w14:textId="77777777" w:rsidTr="00B05614">
        <w:tc>
          <w:tcPr>
            <w:tcW w:w="1526" w:type="dxa"/>
            <w:shd w:val="clear" w:color="auto" w:fill="auto"/>
          </w:tcPr>
          <w:p w14:paraId="74AC3F4F"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TACCC</w:t>
            </w:r>
          </w:p>
        </w:tc>
        <w:tc>
          <w:tcPr>
            <w:tcW w:w="7092" w:type="dxa"/>
            <w:shd w:val="clear" w:color="auto" w:fill="auto"/>
          </w:tcPr>
          <w:p w14:paraId="0F05B20A"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transparency, accuracy, completeness, consistency and comparability</w:t>
            </w:r>
          </w:p>
        </w:tc>
      </w:tr>
      <w:tr w:rsidR="00E56455" w:rsidRPr="00927A54" w14:paraId="58CD4FF3" w14:textId="77777777" w:rsidTr="00B05614">
        <w:tc>
          <w:tcPr>
            <w:tcW w:w="1526" w:type="dxa"/>
            <w:shd w:val="clear" w:color="auto" w:fill="auto"/>
          </w:tcPr>
          <w:p w14:paraId="57105F77"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tCER </w:t>
            </w:r>
          </w:p>
        </w:tc>
        <w:tc>
          <w:tcPr>
            <w:tcW w:w="7092" w:type="dxa"/>
            <w:shd w:val="clear" w:color="auto" w:fill="auto"/>
          </w:tcPr>
          <w:p w14:paraId="2A2B439B"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temporary certified emission reduction unit</w:t>
            </w:r>
          </w:p>
        </w:tc>
      </w:tr>
      <w:tr w:rsidR="00E56455" w:rsidRPr="00927A54" w14:paraId="790249BC" w14:textId="77777777" w:rsidTr="00B05614">
        <w:tc>
          <w:tcPr>
            <w:tcW w:w="1526" w:type="dxa"/>
            <w:shd w:val="clear" w:color="auto" w:fill="auto"/>
          </w:tcPr>
          <w:p w14:paraId="5780F16C"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TJ</w:t>
            </w:r>
          </w:p>
        </w:tc>
        <w:tc>
          <w:tcPr>
            <w:tcW w:w="7092" w:type="dxa"/>
            <w:shd w:val="clear" w:color="auto" w:fill="auto"/>
          </w:tcPr>
          <w:p w14:paraId="08BA9567"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terajoule(s)</w:t>
            </w:r>
          </w:p>
        </w:tc>
      </w:tr>
      <w:tr w:rsidR="00E56455" w:rsidRPr="00927A54" w14:paraId="2B42E6E4" w14:textId="77777777" w:rsidTr="00B05614">
        <w:tc>
          <w:tcPr>
            <w:tcW w:w="1526" w:type="dxa"/>
            <w:shd w:val="clear" w:color="auto" w:fill="auto"/>
          </w:tcPr>
          <w:p w14:paraId="67D3AFC6"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TOW</w:t>
            </w:r>
          </w:p>
        </w:tc>
        <w:tc>
          <w:tcPr>
            <w:tcW w:w="7092" w:type="dxa"/>
            <w:shd w:val="clear" w:color="auto" w:fill="auto"/>
          </w:tcPr>
          <w:p w14:paraId="3F0B3026"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total organic product in wastewater</w:t>
            </w:r>
          </w:p>
        </w:tc>
      </w:tr>
      <w:tr w:rsidR="00E56455" w:rsidRPr="00927A54" w14:paraId="168145A9" w14:textId="77777777" w:rsidTr="00B05614">
        <w:tc>
          <w:tcPr>
            <w:tcW w:w="1526" w:type="dxa"/>
            <w:shd w:val="clear" w:color="auto" w:fill="auto"/>
          </w:tcPr>
          <w:p w14:paraId="40A07E70"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UEF</w:t>
            </w:r>
          </w:p>
        </w:tc>
        <w:tc>
          <w:tcPr>
            <w:tcW w:w="7092" w:type="dxa"/>
            <w:shd w:val="clear" w:color="auto" w:fill="auto"/>
          </w:tcPr>
          <w:p w14:paraId="681F5EB5" w14:textId="37444138"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unique emission factor</w:t>
            </w:r>
          </w:p>
        </w:tc>
      </w:tr>
      <w:tr w:rsidR="00E56455" w:rsidRPr="00927A54" w14:paraId="5D18C0A6" w14:textId="77777777" w:rsidTr="00B05614">
        <w:tc>
          <w:tcPr>
            <w:tcW w:w="1526" w:type="dxa"/>
            <w:shd w:val="clear" w:color="auto" w:fill="auto"/>
          </w:tcPr>
          <w:p w14:paraId="785A1A31"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 xml:space="preserve">UNFCCC </w:t>
            </w:r>
          </w:p>
        </w:tc>
        <w:tc>
          <w:tcPr>
            <w:tcW w:w="7092" w:type="dxa"/>
            <w:shd w:val="clear" w:color="auto" w:fill="auto"/>
          </w:tcPr>
          <w:p w14:paraId="33ABB3AD" w14:textId="77777777" w:rsidR="00E56455" w:rsidRPr="00927A54" w:rsidRDefault="00E56455" w:rsidP="00042F08">
            <w:pPr>
              <w:pStyle w:val="BodyText"/>
              <w:spacing w:after="0"/>
              <w:rPr>
                <w:rFonts w:eastAsia="Calibri" w:cs="Calibri"/>
                <w:sz w:val="20"/>
                <w:szCs w:val="20"/>
              </w:rPr>
            </w:pPr>
            <w:r w:rsidRPr="00927A54">
              <w:rPr>
                <w:rFonts w:eastAsia="Calibri" w:cs="Calibri"/>
                <w:sz w:val="20"/>
                <w:szCs w:val="20"/>
              </w:rPr>
              <w:t xml:space="preserve">United Nations Framework Convention on Climate Change </w:t>
            </w:r>
          </w:p>
        </w:tc>
      </w:tr>
      <w:tr w:rsidR="00E56455" w:rsidRPr="00927A54" w14:paraId="128C3CC2" w14:textId="77777777" w:rsidTr="00B05614">
        <w:tc>
          <w:tcPr>
            <w:tcW w:w="1526" w:type="dxa"/>
            <w:shd w:val="clear" w:color="auto" w:fill="auto"/>
          </w:tcPr>
          <w:p w14:paraId="19A3811D" w14:textId="77777777" w:rsidR="00E56455" w:rsidRPr="00927A54" w:rsidRDefault="00E56455" w:rsidP="00042F08">
            <w:pPr>
              <w:pStyle w:val="BodyText"/>
              <w:spacing w:after="0"/>
              <w:rPr>
                <w:rFonts w:eastAsia="Calibri" w:cs="Calibri"/>
                <w:b/>
                <w:sz w:val="20"/>
                <w:szCs w:val="20"/>
              </w:rPr>
            </w:pPr>
            <w:r w:rsidRPr="00927A54">
              <w:rPr>
                <w:rFonts w:eastAsia="Calibri" w:cs="Calibri"/>
                <w:b/>
                <w:sz w:val="20"/>
                <w:szCs w:val="20"/>
              </w:rPr>
              <w:t>WTO</w:t>
            </w:r>
          </w:p>
        </w:tc>
        <w:tc>
          <w:tcPr>
            <w:tcW w:w="7092" w:type="dxa"/>
            <w:shd w:val="clear" w:color="auto" w:fill="auto"/>
          </w:tcPr>
          <w:p w14:paraId="309D0316" w14:textId="5086DF9A" w:rsidR="00E56455" w:rsidRPr="00927A54" w:rsidRDefault="00E56455" w:rsidP="00042F08">
            <w:pPr>
              <w:pStyle w:val="BodyText"/>
              <w:spacing w:after="0"/>
              <w:rPr>
                <w:rFonts w:eastAsia="Calibri" w:cs="Calibri"/>
                <w:sz w:val="20"/>
                <w:szCs w:val="20"/>
              </w:rPr>
            </w:pPr>
            <w:r w:rsidRPr="00927A54">
              <w:rPr>
                <w:rFonts w:cs="Calibri"/>
                <w:sz w:val="20"/>
                <w:szCs w:val="20"/>
              </w:rPr>
              <w:t>World Trade Organization</w:t>
            </w:r>
          </w:p>
        </w:tc>
      </w:tr>
    </w:tbl>
    <w:p w14:paraId="10D7FB07" w14:textId="77777777" w:rsidR="00F10D80" w:rsidRDefault="00F10D80" w:rsidP="006E0A2C"/>
    <w:p w14:paraId="6CDC9F92" w14:textId="77777777" w:rsidR="00F10D80" w:rsidRDefault="00F10D80" w:rsidP="006E0A2C"/>
    <w:p w14:paraId="00B5AC5C" w14:textId="77777777" w:rsidR="00F10D80" w:rsidRDefault="00F10D80" w:rsidP="006E0A2C"/>
    <w:p w14:paraId="38C5F3A4" w14:textId="77777777" w:rsidR="006E0A2C" w:rsidRDefault="006E0A2C" w:rsidP="006E0A2C">
      <w:pPr>
        <w:sectPr w:rsidR="006E0A2C" w:rsidSect="00715D39">
          <w:footerReference w:type="even" r:id="rId19"/>
          <w:pgSz w:w="11907" w:h="16840" w:code="9"/>
          <w:pgMar w:top="1418" w:right="1701" w:bottom="1418" w:left="1701" w:header="567" w:footer="567" w:gutter="0"/>
          <w:pgNumType w:fmt="lowerRoman"/>
          <w:cols w:space="720"/>
        </w:sectPr>
      </w:pPr>
    </w:p>
    <w:p w14:paraId="7EFFB387" w14:textId="77777777" w:rsidR="00442E6D" w:rsidRPr="002A40C0" w:rsidRDefault="00442E6D" w:rsidP="00442E6D">
      <w:pPr>
        <w:pStyle w:val="Heading1"/>
      </w:pPr>
      <w:bookmarkStart w:id="4" w:name="_Toc99659085"/>
      <w:bookmarkStart w:id="5" w:name="executive-summary"/>
      <w:r w:rsidRPr="002A40C0">
        <w:lastRenderedPageBreak/>
        <w:t>Executive summary</w:t>
      </w:r>
      <w:bookmarkEnd w:id="4"/>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42" w:type="dxa"/>
          <w:right w:w="28" w:type="dxa"/>
        </w:tblCellMar>
        <w:tblLook w:val="04A0" w:firstRow="1" w:lastRow="0" w:firstColumn="1" w:lastColumn="0" w:noHBand="0" w:noVBand="1"/>
      </w:tblPr>
      <w:tblGrid>
        <w:gridCol w:w="8495"/>
      </w:tblGrid>
      <w:tr w:rsidR="00442E6D" w:rsidRPr="002A40C0" w14:paraId="63A61A33" w14:textId="77777777" w:rsidTr="00B04620">
        <w:tc>
          <w:tcPr>
            <w:tcW w:w="8495" w:type="dxa"/>
            <w:shd w:val="clear" w:color="auto" w:fill="auto"/>
          </w:tcPr>
          <w:p w14:paraId="3297422C" w14:textId="77777777" w:rsidR="00442E6D" w:rsidRPr="002A40C0" w:rsidRDefault="00442E6D" w:rsidP="00B04620">
            <w:pPr>
              <w:pStyle w:val="Keypointshead"/>
              <w:spacing w:before="200" w:after="120"/>
              <w:jc w:val="both"/>
            </w:pPr>
            <w:r w:rsidRPr="00B04620">
              <w:rPr>
                <w:sz w:val="21"/>
                <w:szCs w:val="21"/>
              </w:rPr>
              <w:t>Key points</w:t>
            </w:r>
          </w:p>
          <w:p w14:paraId="6FD25CD6" w14:textId="77777777" w:rsidR="00442E6D" w:rsidRPr="002A40C0" w:rsidRDefault="00442E6D" w:rsidP="00B04620">
            <w:pPr>
              <w:pStyle w:val="Keypointshead"/>
              <w:spacing w:after="80"/>
              <w:jc w:val="both"/>
            </w:pPr>
            <w:r w:rsidRPr="00B04620">
              <w:rPr>
                <w:bCs/>
              </w:rPr>
              <w:t>In 2020</w:t>
            </w:r>
          </w:p>
          <w:p w14:paraId="74406930" w14:textId="77777777" w:rsidR="00442E6D" w:rsidRPr="002A40C0" w:rsidRDefault="00442E6D" w:rsidP="00B04620">
            <w:pPr>
              <w:pStyle w:val="Keypointsbullet"/>
              <w:spacing w:before="0" w:after="60"/>
              <w:ind w:right="227"/>
            </w:pPr>
            <w:r w:rsidRPr="002A40C0">
              <w:t>New Zealand’s gross greenhouse gas emissions were 78,778 kilotonnes carbon dioxide equivalent (kt CO</w:t>
            </w:r>
            <w:r w:rsidRPr="00B04620">
              <w:rPr>
                <w:vertAlign w:val="subscript"/>
              </w:rPr>
              <w:t>2</w:t>
            </w:r>
            <w:r w:rsidRPr="002A40C0">
              <w:t>-e), comprising 44 per cent carbon dioxide, 44 per cent methane, 11 per cent nitrous oxide and 2 per cent fluorinated gases.</w:t>
            </w:r>
          </w:p>
          <w:p w14:paraId="6610428F" w14:textId="77777777" w:rsidR="00442E6D" w:rsidRPr="002A40C0" w:rsidRDefault="00442E6D" w:rsidP="00B04620">
            <w:pPr>
              <w:pStyle w:val="Keypointsbullet"/>
              <w:spacing w:before="0" w:after="60"/>
              <w:jc w:val="both"/>
            </w:pPr>
            <w:r w:rsidRPr="002A40C0">
              <w:t>The Agriculture and Energy sectors were the two largest contributors to gross emissions, at 50 per cent and 40 per cent respectively.</w:t>
            </w:r>
          </w:p>
          <w:p w14:paraId="18D645FD" w14:textId="6838E1E4" w:rsidR="00442E6D" w:rsidRPr="002A40C0" w:rsidRDefault="00442E6D" w:rsidP="00B04620">
            <w:pPr>
              <w:pStyle w:val="Keypointsbullet"/>
              <w:spacing w:before="0" w:after="60"/>
              <w:jc w:val="both"/>
            </w:pPr>
            <w:r w:rsidRPr="002A40C0">
              <w:t>The Land Use, Land-Use Change and Forestry (LULUCF) sector offset 30 per cent of New Zealand’s gross</w:t>
            </w:r>
            <w:r w:rsidR="004305B1">
              <w:t> </w:t>
            </w:r>
            <w:r w:rsidRPr="002A40C0">
              <w:t>emissions.</w:t>
            </w:r>
          </w:p>
          <w:p w14:paraId="6F47ACCF" w14:textId="77777777" w:rsidR="00442E6D" w:rsidRPr="002A40C0" w:rsidRDefault="00442E6D" w:rsidP="00B04620">
            <w:pPr>
              <w:pStyle w:val="Keypointsbullet"/>
              <w:spacing w:before="0" w:after="60"/>
              <w:ind w:right="227"/>
            </w:pPr>
            <w:r w:rsidRPr="002A40C0">
              <w:t>New Zealand’s net emissions were 55,465 kt CO</w:t>
            </w:r>
            <w:r w:rsidRPr="00B04620">
              <w:rPr>
                <w:vertAlign w:val="subscript"/>
              </w:rPr>
              <w:t>2</w:t>
            </w:r>
            <w:r w:rsidRPr="002A40C0">
              <w:t>-e.</w:t>
            </w:r>
          </w:p>
          <w:p w14:paraId="2BBD805B" w14:textId="77777777" w:rsidR="00442E6D" w:rsidRPr="002A40C0" w:rsidRDefault="00442E6D" w:rsidP="00B04620">
            <w:pPr>
              <w:pStyle w:val="Keypointshead"/>
              <w:spacing w:before="120" w:after="60"/>
              <w:jc w:val="both"/>
            </w:pPr>
            <w:r w:rsidRPr="00B04620">
              <w:rPr>
                <w:bCs/>
              </w:rPr>
              <w:t>Since 1990</w:t>
            </w:r>
          </w:p>
          <w:p w14:paraId="1FF1DFFA" w14:textId="77777777" w:rsidR="00442E6D" w:rsidRPr="002A40C0" w:rsidRDefault="00442E6D" w:rsidP="00B04620">
            <w:pPr>
              <w:pStyle w:val="Keypointsbullet"/>
              <w:spacing w:before="0" w:after="60"/>
              <w:ind w:right="227"/>
            </w:pPr>
            <w:r w:rsidRPr="002A40C0">
              <w:t>New Zealand’s gross emissions have increased by 21 per cent (13,581 kt CO</w:t>
            </w:r>
            <w:r w:rsidRPr="00B04620">
              <w:rPr>
                <w:vertAlign w:val="subscript"/>
              </w:rPr>
              <w:t>2</w:t>
            </w:r>
            <w:r w:rsidRPr="002A40C0">
              <w:t>-e). The five emission sources that contributed the most to this increase were:</w:t>
            </w:r>
          </w:p>
          <w:p w14:paraId="1D2A4726" w14:textId="77777777" w:rsidR="00442E6D" w:rsidRPr="002A40C0" w:rsidRDefault="00442E6D" w:rsidP="00B04620">
            <w:pPr>
              <w:pStyle w:val="Keypointsub-bullet"/>
              <w:spacing w:before="0" w:after="60"/>
              <w:ind w:right="227"/>
            </w:pPr>
            <w:r w:rsidRPr="002A40C0">
              <w:t>enteric fermentation from an increase in the dairy cattle population (methane)</w:t>
            </w:r>
          </w:p>
          <w:p w14:paraId="79F841A9" w14:textId="77777777" w:rsidR="00442E6D" w:rsidRPr="002A40C0" w:rsidRDefault="00442E6D" w:rsidP="00B04620">
            <w:pPr>
              <w:pStyle w:val="Keypointsub-bullet"/>
              <w:spacing w:before="0" w:after="60"/>
              <w:ind w:right="227"/>
            </w:pPr>
            <w:r w:rsidRPr="002A40C0">
              <w:t>fuel use in road transport due to traffic growth (carbon dioxide)</w:t>
            </w:r>
          </w:p>
          <w:p w14:paraId="43FBEDD3" w14:textId="77777777" w:rsidR="00442E6D" w:rsidRPr="002A40C0" w:rsidRDefault="00442E6D" w:rsidP="00B04620">
            <w:pPr>
              <w:pStyle w:val="Keypointsub-bullet"/>
              <w:spacing w:before="0" w:after="60"/>
              <w:ind w:right="227"/>
            </w:pPr>
            <w:r w:rsidRPr="002A40C0">
              <w:t>increased fertiliser use on agricultural soils (nitrous oxide)</w:t>
            </w:r>
          </w:p>
          <w:p w14:paraId="32DF9431" w14:textId="77777777" w:rsidR="00442E6D" w:rsidRPr="002A40C0" w:rsidRDefault="00442E6D" w:rsidP="00B04620">
            <w:pPr>
              <w:pStyle w:val="Keypointsub-bullet"/>
              <w:spacing w:before="0" w:after="60"/>
              <w:ind w:right="227"/>
            </w:pPr>
            <w:r w:rsidRPr="002A40C0">
              <w:t>fuel use in manufacturing industries and construction due to economic growth (carbon dioxide)</w:t>
            </w:r>
          </w:p>
          <w:p w14:paraId="4644DBCA" w14:textId="77777777" w:rsidR="00442E6D" w:rsidRPr="002A40C0" w:rsidRDefault="00442E6D" w:rsidP="00B04620">
            <w:pPr>
              <w:pStyle w:val="Keypointsub-bullet"/>
              <w:spacing w:before="0" w:after="60"/>
              <w:ind w:right="227"/>
            </w:pPr>
            <w:r w:rsidRPr="002A40C0">
              <w:t>industrial and household refrigeration and air-conditioning systems from increased use of hydrofluorocarbon-based refrigerants (fluorinated gases) that replaced ozone depleting substances.</w:t>
            </w:r>
          </w:p>
          <w:p w14:paraId="5AB0B2DE" w14:textId="1B6702CC" w:rsidR="00442E6D" w:rsidRPr="002A40C0" w:rsidRDefault="00442E6D" w:rsidP="00B04620">
            <w:pPr>
              <w:pStyle w:val="Keypointsbullet"/>
              <w:spacing w:before="0" w:after="60"/>
            </w:pPr>
            <w:r w:rsidRPr="002A40C0">
              <w:t xml:space="preserve">Emissions from the Waste sector have decreased by 17 per cent (674 kt </w:t>
            </w:r>
            <w:r w:rsidRPr="00BB553C">
              <w:t>CO</w:t>
            </w:r>
            <w:r w:rsidRPr="00B04620">
              <w:rPr>
                <w:vertAlign w:val="subscript"/>
              </w:rPr>
              <w:t>2</w:t>
            </w:r>
            <w:r w:rsidR="00F23B71">
              <w:t>-</w:t>
            </w:r>
            <w:r w:rsidRPr="00BB553C">
              <w:t>e</w:t>
            </w:r>
            <w:r w:rsidRPr="002A40C0">
              <w:t>), due to ongoing improvements in the management of solid waste disposal at municipal landfills.</w:t>
            </w:r>
          </w:p>
          <w:p w14:paraId="47CACA5C" w14:textId="77777777" w:rsidR="00442E6D" w:rsidRPr="002A40C0" w:rsidRDefault="00442E6D" w:rsidP="00B04620">
            <w:pPr>
              <w:pStyle w:val="Keypointsbullet"/>
              <w:spacing w:before="0" w:after="60"/>
            </w:pPr>
            <w:r w:rsidRPr="002A40C0">
              <w:t>New Zealand’s net emissions have increased by 26 per cent (11,497 kt CO</w:t>
            </w:r>
            <w:r w:rsidRPr="00B04620">
              <w:rPr>
                <w:vertAlign w:val="subscript"/>
              </w:rPr>
              <w:t>2</w:t>
            </w:r>
            <w:r w:rsidRPr="002A40C0">
              <w:t>-e) due to the underlying increase in gross emissions.</w:t>
            </w:r>
          </w:p>
          <w:p w14:paraId="49C211D9" w14:textId="77777777" w:rsidR="00442E6D" w:rsidRPr="002A40C0" w:rsidRDefault="00442E6D" w:rsidP="00B04620">
            <w:pPr>
              <w:pStyle w:val="Keypointshead"/>
              <w:spacing w:before="120" w:after="60"/>
            </w:pPr>
            <w:r w:rsidRPr="002A40C0">
              <w:t>Between 2019 and 2020</w:t>
            </w:r>
          </w:p>
          <w:p w14:paraId="35339749" w14:textId="77777777" w:rsidR="00442E6D" w:rsidRPr="002A40C0" w:rsidRDefault="00442E6D" w:rsidP="00B04620">
            <w:pPr>
              <w:pStyle w:val="Keypointsbullet"/>
              <w:spacing w:before="0" w:after="60"/>
            </w:pPr>
            <w:r w:rsidRPr="002A40C0">
              <w:t>Gross emissions decreased by 3 per cent, which was largely because of a decrease in emissions from the Energy sector (by 7 per cent or 2,459 kt CO</w:t>
            </w:r>
            <w:r w:rsidRPr="00B04620">
              <w:rPr>
                <w:vertAlign w:val="subscript"/>
              </w:rPr>
              <w:t>2</w:t>
            </w:r>
            <w:r w:rsidRPr="002A40C0">
              <w:t>-e). The decrease in Energy sector emissions was driven mainly by:</w:t>
            </w:r>
          </w:p>
          <w:p w14:paraId="173FA31D" w14:textId="77777777" w:rsidR="00442E6D" w:rsidRPr="002A40C0" w:rsidRDefault="00442E6D" w:rsidP="00B04620">
            <w:pPr>
              <w:pStyle w:val="Keypointsub-bullet"/>
              <w:spacing w:before="0" w:after="60"/>
            </w:pPr>
            <w:r w:rsidRPr="002A40C0">
              <w:t>a decrease in fuel use in road transport due to COVID-19 pandemic restrictions (carbon dioxide)</w:t>
            </w:r>
          </w:p>
          <w:p w14:paraId="7F614FF8" w14:textId="77777777" w:rsidR="00442E6D" w:rsidRPr="002A40C0" w:rsidRDefault="00442E6D" w:rsidP="00B04620">
            <w:pPr>
              <w:pStyle w:val="Keypointsub-bullet"/>
              <w:spacing w:before="0" w:after="60"/>
            </w:pPr>
            <w:r w:rsidRPr="002A40C0">
              <w:t>a decrease in fuel use in manufacturing industries and construction due to COVID-19 restrictions (carbon dioxide)</w:t>
            </w:r>
          </w:p>
          <w:p w14:paraId="5345E563" w14:textId="77777777" w:rsidR="00442E6D" w:rsidRPr="002A40C0" w:rsidRDefault="00442E6D" w:rsidP="00B04620">
            <w:pPr>
              <w:pStyle w:val="Keypointsub-bullet"/>
              <w:spacing w:before="0" w:after="60"/>
            </w:pPr>
            <w:r w:rsidRPr="002A40C0">
              <w:t>a decrease in fuel use from domestic aviation also due to COVID-19 restrictions (carbon dioxide).</w:t>
            </w:r>
          </w:p>
          <w:p w14:paraId="3B7DF064" w14:textId="77777777" w:rsidR="00442E6D" w:rsidRPr="002A40C0" w:rsidRDefault="00442E6D" w:rsidP="00B04620">
            <w:pPr>
              <w:pStyle w:val="Keypointsbullet"/>
              <w:spacing w:before="0" w:after="60"/>
            </w:pPr>
            <w:r w:rsidRPr="002A40C0">
              <w:t>Emissions from the Industrial Processes and Product Use sector decreased by 5 per cent, also due to COVID-19 restrictions.</w:t>
            </w:r>
          </w:p>
          <w:p w14:paraId="697BF59B" w14:textId="77777777" w:rsidR="00442E6D" w:rsidRPr="002A40C0" w:rsidRDefault="00442E6D" w:rsidP="00B04620">
            <w:pPr>
              <w:pStyle w:val="Keypointsbullet"/>
              <w:spacing w:before="0" w:after="60"/>
            </w:pPr>
            <w:r w:rsidRPr="002A40C0">
              <w:t xml:space="preserve">Emissions from the Agriculture and Waste sectors changed only by small annual variations of 0.2 and 1.3 per cent respectively. </w:t>
            </w:r>
          </w:p>
          <w:p w14:paraId="538A2DE0" w14:textId="77777777" w:rsidR="00442E6D" w:rsidRPr="002A40C0" w:rsidRDefault="00442E6D" w:rsidP="00B04620">
            <w:pPr>
              <w:pStyle w:val="Keypointsbullet"/>
              <w:spacing w:before="0" w:after="60"/>
              <w:ind w:right="227"/>
            </w:pPr>
            <w:r w:rsidRPr="002A40C0">
              <w:t>Net emissions decreased by 5 per cent (3,117 kt CO</w:t>
            </w:r>
            <w:r w:rsidRPr="00B04620">
              <w:rPr>
                <w:vertAlign w:val="subscript"/>
              </w:rPr>
              <w:t>2</w:t>
            </w:r>
            <w:r w:rsidRPr="002A40C0">
              <w:t>-e), due to the decrease in gross emissions (2,839 kt CO</w:t>
            </w:r>
            <w:r w:rsidRPr="00B04620">
              <w:rPr>
                <w:vertAlign w:val="subscript"/>
              </w:rPr>
              <w:t>2</w:t>
            </w:r>
            <w:r w:rsidRPr="002A40C0">
              <w:t>-e) as well as an increase in net removals of 1 per cent (278 kt CO</w:t>
            </w:r>
            <w:r w:rsidRPr="00B04620">
              <w:rPr>
                <w:vertAlign w:val="subscript"/>
              </w:rPr>
              <w:t>2</w:t>
            </w:r>
            <w:r w:rsidRPr="002A40C0">
              <w:t>-e) from the LULUCF sector.</w:t>
            </w:r>
          </w:p>
          <w:p w14:paraId="770EB9CC" w14:textId="77777777" w:rsidR="00442E6D" w:rsidRPr="002A40C0" w:rsidRDefault="00442E6D" w:rsidP="00B04620">
            <w:pPr>
              <w:pStyle w:val="Keypointshead"/>
              <w:spacing w:before="120" w:after="60"/>
              <w:jc w:val="both"/>
            </w:pPr>
            <w:r w:rsidRPr="002A40C0">
              <w:t>Methodological changes</w:t>
            </w:r>
          </w:p>
          <w:p w14:paraId="0AFAB5A2" w14:textId="77777777" w:rsidR="00442E6D" w:rsidRPr="002A40C0" w:rsidRDefault="00442E6D" w:rsidP="00B04620">
            <w:pPr>
              <w:pStyle w:val="Keypointsbullet"/>
              <w:spacing w:before="0" w:after="60"/>
            </w:pPr>
            <w:r w:rsidRPr="002A40C0">
              <w:t>Emissions estimates across the entire time series are recalculated due to improvements introduced to the inventory this year. The largest impacts on inventory estimates this year are from:</w:t>
            </w:r>
          </w:p>
          <w:p w14:paraId="4F16B854" w14:textId="77777777" w:rsidR="00442E6D" w:rsidRPr="002A40C0" w:rsidRDefault="00442E6D" w:rsidP="00B04620">
            <w:pPr>
              <w:pStyle w:val="Keypointsub-bullet"/>
              <w:spacing w:before="0" w:after="60"/>
            </w:pPr>
            <w:r w:rsidRPr="002A40C0">
              <w:t>updated carbon stock change estimates in pre-1990 planted forests due to revised yield tables and improvements to the forest and harvest age modelling</w:t>
            </w:r>
          </w:p>
          <w:p w14:paraId="35AA5C5D" w14:textId="77777777" w:rsidR="00442E6D" w:rsidRPr="002A40C0" w:rsidRDefault="00442E6D" w:rsidP="00B04620">
            <w:pPr>
              <w:pStyle w:val="Keypointsub-bullet"/>
              <w:spacing w:before="0" w:after="60"/>
            </w:pPr>
            <w:r w:rsidRPr="002A40C0">
              <w:t>revised emission estimates for diesel oil use in heavy vehicles. This is a result of applying newly obtained disaggregated activity data for diesel oil use by mode (i.e., cars, light trucks, heavy trucks/buses, and motorcycles). This change has no impact on overall road transport emissions; it just involves a reallocation among modes.</w:t>
            </w:r>
          </w:p>
        </w:tc>
      </w:tr>
    </w:tbl>
    <w:p w14:paraId="7647FC21" w14:textId="77777777" w:rsidR="00442E6D" w:rsidRPr="002A40C0" w:rsidRDefault="00442E6D" w:rsidP="00442E6D">
      <w:pPr>
        <w:pStyle w:val="Heading2"/>
      </w:pPr>
      <w:bookmarkStart w:id="6" w:name="_Toc99659086"/>
      <w:bookmarkStart w:id="7" w:name="es.1-background"/>
      <w:r w:rsidRPr="002A40C0">
        <w:lastRenderedPageBreak/>
        <w:t>ES.1</w:t>
      </w:r>
      <w:r w:rsidRPr="002A40C0">
        <w:tab/>
        <w:t>Background</w:t>
      </w:r>
      <w:bookmarkEnd w:id="6"/>
    </w:p>
    <w:p w14:paraId="42A06384" w14:textId="77777777" w:rsidR="00442E6D" w:rsidRPr="002A40C0" w:rsidRDefault="00442E6D" w:rsidP="0077206B">
      <w:pPr>
        <w:pStyle w:val="BodyText"/>
        <w:spacing w:before="100"/>
      </w:pPr>
      <w:r w:rsidRPr="002A40C0">
        <w:rPr>
          <w:i/>
          <w:iCs/>
        </w:rPr>
        <w:t>New Zealand’s Greenhouse Gas Inventory</w:t>
      </w:r>
      <w:r w:rsidRPr="002A40C0">
        <w:t xml:space="preserve"> (the inventory) is the official annual report of all anthropogenic (human-induced) emissions and removals of greenhouse gases (GHGs) in New Zealand. It measures New Zealand’s progress against obligations under the United Nations Framework Convention on Climate Change (the Convention) and the Kyoto Protocol and is the official basis for measuring New Zealand’s progress towards its international emissions reduction targets.</w:t>
      </w:r>
    </w:p>
    <w:p w14:paraId="1E169D97" w14:textId="77777777" w:rsidR="00442E6D" w:rsidRPr="002A40C0" w:rsidRDefault="00442E6D" w:rsidP="0077206B">
      <w:pPr>
        <w:pStyle w:val="BodyText"/>
        <w:spacing w:before="100" w:after="100"/>
      </w:pPr>
      <w:r w:rsidRPr="002A40C0">
        <w:t>The 2022 submission consists of the common reporting format (CRF) database containing inventory data for 1990 to 2020 that cover all emissions and removals in New Zealand together with this publication, the national inventory report, which is a narrative that presents major emission trends and methodologies for estimating emissions and removals. It also includes sections on the inventory uncertainties, recalculations and improvements. In addition, the standard electronic format tables that contain data on emission units and emission reduction units in the national registry and any unit transfers between the registers of different countries are included in this submission.</w:t>
      </w:r>
    </w:p>
    <w:p w14:paraId="64A86D24" w14:textId="77777777" w:rsidR="00442E6D" w:rsidRPr="002A40C0" w:rsidRDefault="00442E6D" w:rsidP="0077206B">
      <w:pPr>
        <w:pStyle w:val="BodyText"/>
        <w:spacing w:before="100" w:after="100"/>
      </w:pPr>
      <w:r w:rsidRPr="002A40C0">
        <w:t>Inventory reporting under the Convention covers seven direct GHGs: carbon dioxide (CO</w:t>
      </w:r>
      <w:r w:rsidRPr="002A40C0">
        <w:rPr>
          <w:vertAlign w:val="subscript"/>
        </w:rPr>
        <w:t>2</w:t>
      </w:r>
      <w:r w:rsidRPr="002A40C0">
        <w:t>), methane (CH</w:t>
      </w:r>
      <w:r w:rsidRPr="002A40C0">
        <w:rPr>
          <w:vertAlign w:val="subscript"/>
        </w:rPr>
        <w:t>4</w:t>
      </w:r>
      <w:r w:rsidRPr="002A40C0">
        <w:t>), nitrous oxide (N</w:t>
      </w:r>
      <w:r w:rsidRPr="002A40C0">
        <w:rPr>
          <w:vertAlign w:val="subscript"/>
        </w:rPr>
        <w:t>2</w:t>
      </w:r>
      <w:r w:rsidRPr="002A40C0">
        <w:t>O), hydrofluorocarbons (HFCs), perfluorocarbons (PFCs), sulphur hexafluoride (SF</w:t>
      </w:r>
      <w:r w:rsidRPr="002A40C0">
        <w:rPr>
          <w:vertAlign w:val="subscript"/>
        </w:rPr>
        <w:t>6</w:t>
      </w:r>
      <w:r w:rsidRPr="002A40C0">
        <w:t>) and nitrogen trifluoride (NF</w:t>
      </w:r>
      <w:r w:rsidRPr="002A40C0">
        <w:rPr>
          <w:vertAlign w:val="subscript"/>
        </w:rPr>
        <w:t>3</w:t>
      </w:r>
      <w:r w:rsidRPr="002A40C0">
        <w:t>).</w:t>
      </w:r>
      <w:r w:rsidRPr="002A40C0">
        <w:rPr>
          <w:rStyle w:val="FootnoteReference"/>
        </w:rPr>
        <w:footnoteReference w:id="1"/>
      </w:r>
      <w:r w:rsidRPr="002A40C0">
        <w:t xml:space="preserve"> Indirect GHGs</w:t>
      </w:r>
      <w:r w:rsidRPr="002A40C0">
        <w:rPr>
          <w:rStyle w:val="FootnoteReference"/>
        </w:rPr>
        <w:footnoteReference w:id="2"/>
      </w:r>
      <w:r w:rsidRPr="002A40C0">
        <w:t xml:space="preserve"> are also included; however, only emissions and removals of the direct GHGs are included in estimates of total national emissions under the Convention and accounted for under the Kyoto Protocol.</w:t>
      </w:r>
    </w:p>
    <w:p w14:paraId="2C6FDC44" w14:textId="77777777" w:rsidR="00442E6D" w:rsidRPr="002A40C0" w:rsidRDefault="00442E6D" w:rsidP="0077206B">
      <w:pPr>
        <w:pStyle w:val="BodyText"/>
        <w:spacing w:before="100" w:after="100"/>
      </w:pPr>
      <w:r w:rsidRPr="002A40C0">
        <w:t>New Zealand’s gases are reported under five sectors: Energy, Industrial Processes and Product Use (IPPU), Agriculture, Land Use, Land-Use Change and Forestry (LULUCF) and Waste. Tokelau’s emissions are also reported separately by sector as ‘Other’.</w:t>
      </w:r>
    </w:p>
    <w:p w14:paraId="5A61DC8A" w14:textId="77777777" w:rsidR="00442E6D" w:rsidRPr="002A40C0" w:rsidRDefault="00442E6D" w:rsidP="0077206B">
      <w:pPr>
        <w:pStyle w:val="BodyText"/>
        <w:spacing w:before="100" w:after="100"/>
      </w:pPr>
      <w:r w:rsidRPr="002A40C0">
        <w:t>New Zealand ratified the Convention on 16 September 1993 and the Paris Agreement on 4 October 2016. The extension (as of 13 November 2017) of New Zealand’s ratification of the Convention and the Paris Agreement to include Tokelau means, among other things, that New Zealand’s national inventory shall include GHG emissions and removals estimates from Tokelau. Starting from the 2019 submission, emissions from Tokelau have been included in New Zealand’s greenhouse inventory.</w:t>
      </w:r>
    </w:p>
    <w:p w14:paraId="7756910A" w14:textId="77777777" w:rsidR="00442E6D" w:rsidRPr="002A40C0" w:rsidRDefault="00442E6D" w:rsidP="00442E6D">
      <w:pPr>
        <w:pStyle w:val="Heading2"/>
      </w:pPr>
      <w:bookmarkStart w:id="8" w:name="_Toc99659087"/>
      <w:bookmarkStart w:id="9" w:name="es.2-national-trends"/>
      <w:bookmarkEnd w:id="7"/>
      <w:r w:rsidRPr="002A40C0">
        <w:t xml:space="preserve">ES.2 </w:t>
      </w:r>
      <w:r w:rsidRPr="002A40C0">
        <w:tab/>
        <w:t>National trends</w:t>
      </w:r>
      <w:bookmarkEnd w:id="8"/>
    </w:p>
    <w:p w14:paraId="4F0736F3" w14:textId="77777777" w:rsidR="00442E6D" w:rsidRPr="002A40C0" w:rsidRDefault="00442E6D" w:rsidP="0077206B">
      <w:pPr>
        <w:pStyle w:val="Heading4"/>
        <w:spacing w:before="160"/>
      </w:pPr>
      <w:r w:rsidRPr="002A40C0">
        <w:t>Gross emissions</w:t>
      </w:r>
    </w:p>
    <w:p w14:paraId="62D3EE1A" w14:textId="77777777" w:rsidR="00442E6D" w:rsidRPr="002A40C0" w:rsidRDefault="00442E6D" w:rsidP="00442E6D">
      <w:pPr>
        <w:pStyle w:val="BodyText"/>
      </w:pPr>
      <w:r w:rsidRPr="002A40C0">
        <w:t>Gross emissions include those from the Energy, IPPU, Agriculture and Waste sectors and Tokelau, but do not include emissions and removals from the LULUCF sector (UNFCCC, 2013).</w:t>
      </w:r>
    </w:p>
    <w:p w14:paraId="776255E0" w14:textId="77777777" w:rsidR="00442E6D" w:rsidRPr="002A40C0" w:rsidRDefault="00442E6D" w:rsidP="00442E6D">
      <w:pPr>
        <w:pStyle w:val="Heading5"/>
      </w:pPr>
      <w:r w:rsidRPr="002A40C0">
        <w:t>1990–2020</w:t>
      </w:r>
    </w:p>
    <w:p w14:paraId="12856AF0" w14:textId="77777777" w:rsidR="00442E6D" w:rsidRPr="002A40C0" w:rsidRDefault="00442E6D" w:rsidP="00442E6D">
      <w:pPr>
        <w:pStyle w:val="BodyText"/>
      </w:pPr>
      <w:r w:rsidRPr="002A40C0">
        <w:t>In 1990, New Zealand’s gross GHG emissions were 65,197.0 kilotonnes carbon dioxide equivalent (kt CO</w:t>
      </w:r>
      <w:r w:rsidRPr="002A40C0">
        <w:rPr>
          <w:vertAlign w:val="subscript"/>
        </w:rPr>
        <w:t>2</w:t>
      </w:r>
      <w:r w:rsidRPr="002A40C0">
        <w:t>-e). Between 1990 and 2020, GHG emissions increased by 13,581.4 kt CO</w:t>
      </w:r>
      <w:r w:rsidRPr="002A40C0">
        <w:rPr>
          <w:vertAlign w:val="subscript"/>
        </w:rPr>
        <w:t>2</w:t>
      </w:r>
      <w:r w:rsidRPr="002A40C0">
        <w:t>-e (20.8 per cent) to 78,778.4 kt CO</w:t>
      </w:r>
      <w:r w:rsidRPr="002A40C0">
        <w:rPr>
          <w:vertAlign w:val="subscript"/>
        </w:rPr>
        <w:t>2</w:t>
      </w:r>
      <w:r w:rsidRPr="002A40C0">
        <w:t>-e in 2020 (see figure ES 2.1). From 1990 to 2020, the average annual growth in gross emissions was 0.6 per cent.</w:t>
      </w:r>
    </w:p>
    <w:p w14:paraId="236436B5" w14:textId="31C2916E" w:rsidR="00442E6D" w:rsidRPr="002A40C0" w:rsidRDefault="00442E6D" w:rsidP="00442E6D">
      <w:pPr>
        <w:pStyle w:val="Figure"/>
      </w:pPr>
      <w:bookmarkStart w:id="10" w:name="_Toc99695993"/>
      <w:r w:rsidRPr="002A40C0">
        <w:lastRenderedPageBreak/>
        <w:t>Figure ES 2.1</w:t>
      </w:r>
      <w:r w:rsidRPr="002A40C0">
        <w:tab/>
        <w:t>New Zealand’s gross and net emissions (under the Convention) from 1990</w:t>
      </w:r>
      <w:r w:rsidR="000F3AFE">
        <w:t> </w:t>
      </w:r>
      <w:r w:rsidRPr="002A40C0">
        <w:t>to</w:t>
      </w:r>
      <w:r w:rsidR="000F3AFE">
        <w:t> </w:t>
      </w:r>
      <w:r w:rsidRPr="002A40C0">
        <w:t>2020</w:t>
      </w:r>
      <w:bookmarkEnd w:id="10"/>
    </w:p>
    <w:p w14:paraId="56937619" w14:textId="2F223DE2" w:rsidR="00442E6D" w:rsidRPr="002A40C0" w:rsidRDefault="004B48CC" w:rsidP="00442E6D">
      <w:pPr>
        <w:pStyle w:val="BodyText"/>
      </w:pPr>
      <w:r>
        <w:rPr>
          <w:noProof/>
        </w:rPr>
        <w:pict w14:anchorId="0A0D961F">
          <v:shape id="_x0000_i1026" type="#_x0000_t75" style="width:425.3pt;height:313.1pt;visibility:visible;mso-wrap-style:square">
            <v:imagedata r:id="rId20" o:title="" cropbottom="1049f"/>
          </v:shape>
        </w:pict>
      </w:r>
    </w:p>
    <w:p w14:paraId="72268DB2" w14:textId="77777777" w:rsidR="00442E6D" w:rsidRPr="002A40C0" w:rsidRDefault="00442E6D" w:rsidP="00442E6D">
      <w:pPr>
        <w:pStyle w:val="BodyText"/>
      </w:pPr>
      <w:r w:rsidRPr="002A40C0">
        <w:t xml:space="preserve">The emission categories that contributed the most to this increase in gross emissions were: </w:t>
      </w:r>
      <w:r w:rsidRPr="002A40C0">
        <w:rPr>
          <w:i/>
          <w:iCs/>
        </w:rPr>
        <w:t>Enteric fermentation</w:t>
      </w:r>
      <w:r w:rsidRPr="002A40C0">
        <w:rPr>
          <w:rStyle w:val="FootnoteReference"/>
        </w:rPr>
        <w:footnoteReference w:id="3"/>
      </w:r>
      <w:r w:rsidRPr="002A40C0">
        <w:t xml:space="preserve"> </w:t>
      </w:r>
      <w:r w:rsidRPr="002A40C0">
        <w:rPr>
          <w:i/>
          <w:iCs/>
        </w:rPr>
        <w:t>from dairy cattle</w:t>
      </w:r>
      <w:r w:rsidRPr="002A40C0">
        <w:t xml:space="preserve">, </w:t>
      </w:r>
      <w:r w:rsidRPr="002A40C0">
        <w:rPr>
          <w:i/>
          <w:iCs/>
        </w:rPr>
        <w:t>Road transportation</w:t>
      </w:r>
      <w:r w:rsidRPr="002A40C0">
        <w:t xml:space="preserve">, </w:t>
      </w:r>
      <w:r w:rsidRPr="002A40C0">
        <w:rPr>
          <w:i/>
          <w:iCs/>
        </w:rPr>
        <w:t>Agricultural soils</w:t>
      </w:r>
      <w:r w:rsidRPr="002A40C0">
        <w:t xml:space="preserve">, </w:t>
      </w:r>
      <w:r w:rsidRPr="002A40C0">
        <w:rPr>
          <w:i/>
          <w:iCs/>
        </w:rPr>
        <w:t>Manufacturing industries and construction</w:t>
      </w:r>
      <w:r w:rsidRPr="002A40C0">
        <w:t xml:space="preserve"> (especially the categories </w:t>
      </w:r>
      <w:r w:rsidRPr="002A40C0">
        <w:rPr>
          <w:i/>
          <w:iCs/>
        </w:rPr>
        <w:t>Chemicals</w:t>
      </w:r>
      <w:r w:rsidRPr="002A40C0">
        <w:t xml:space="preserve"> and </w:t>
      </w:r>
      <w:r w:rsidRPr="002A40C0">
        <w:rPr>
          <w:i/>
          <w:iCs/>
        </w:rPr>
        <w:t>Food processing, beverages and tobacco</w:t>
      </w:r>
      <w:r w:rsidRPr="002A40C0">
        <w:t xml:space="preserve">) and </w:t>
      </w:r>
      <w:r w:rsidRPr="002A40C0">
        <w:rPr>
          <w:i/>
          <w:iCs/>
        </w:rPr>
        <w:t>Product uses as substitutes for ODS</w:t>
      </w:r>
      <w:r w:rsidRPr="002A40C0">
        <w:t>.</w:t>
      </w:r>
      <w:r w:rsidRPr="002A40C0">
        <w:rPr>
          <w:rStyle w:val="FootnoteReference"/>
        </w:rPr>
        <w:footnoteReference w:id="4"/>
      </w:r>
    </w:p>
    <w:p w14:paraId="4C16E617" w14:textId="77777777" w:rsidR="00442E6D" w:rsidRPr="002A40C0" w:rsidRDefault="00442E6D" w:rsidP="00442E6D">
      <w:pPr>
        <w:pStyle w:val="Heading5"/>
      </w:pPr>
      <w:r w:rsidRPr="002A40C0">
        <w:t>2019–2020</w:t>
      </w:r>
    </w:p>
    <w:p w14:paraId="2585E716" w14:textId="77777777" w:rsidR="00442E6D" w:rsidRPr="002A40C0" w:rsidRDefault="00442E6D" w:rsidP="00C2386F">
      <w:pPr>
        <w:pStyle w:val="BodyText"/>
      </w:pPr>
      <w:r w:rsidRPr="002A40C0">
        <w:t>Between 2019 and 2020, New Zealand’s gross emissions decreased by 2,838.7 kt CO</w:t>
      </w:r>
      <w:r w:rsidRPr="002A40C0">
        <w:rPr>
          <w:vertAlign w:val="subscript"/>
        </w:rPr>
        <w:t>2</w:t>
      </w:r>
      <w:r w:rsidRPr="002A40C0">
        <w:t>-e (3.5 per cent). The main cause was a decrease in emissions from the Energy sector (of 2,459.0 kt CO</w:t>
      </w:r>
      <w:r w:rsidRPr="002A40C0">
        <w:rPr>
          <w:vertAlign w:val="subscript"/>
        </w:rPr>
        <w:t>2</w:t>
      </w:r>
      <w:r w:rsidRPr="002A40C0">
        <w:t>-e or 7.2 per cent) due to COVID-19 pandemic restrictions. In particular, this was mainly due to a decrease in emissions from reduced fuel use in:</w:t>
      </w:r>
    </w:p>
    <w:p w14:paraId="1CFEEB98" w14:textId="77777777" w:rsidR="00442E6D" w:rsidRPr="002A40C0" w:rsidRDefault="00442E6D" w:rsidP="00442E6D">
      <w:pPr>
        <w:pStyle w:val="Bullet"/>
        <w:tabs>
          <w:tab w:val="num" w:pos="567"/>
        </w:tabs>
      </w:pPr>
      <w:r w:rsidRPr="002A40C0">
        <w:rPr>
          <w:i/>
          <w:iCs/>
        </w:rPr>
        <w:t>Road transportation</w:t>
      </w:r>
      <w:r w:rsidRPr="002A40C0">
        <w:t xml:space="preserve"> (CO</w:t>
      </w:r>
      <w:r w:rsidRPr="002A40C0">
        <w:rPr>
          <w:vertAlign w:val="subscript"/>
        </w:rPr>
        <w:t>2</w:t>
      </w:r>
      <w:r w:rsidRPr="002A40C0">
        <w:t>)</w:t>
      </w:r>
    </w:p>
    <w:p w14:paraId="7AA0ED53" w14:textId="77777777" w:rsidR="00442E6D" w:rsidRPr="002A40C0" w:rsidRDefault="00442E6D" w:rsidP="00442E6D">
      <w:pPr>
        <w:pStyle w:val="Bullet"/>
        <w:tabs>
          <w:tab w:val="num" w:pos="567"/>
        </w:tabs>
      </w:pPr>
      <w:r w:rsidRPr="002A40C0">
        <w:rPr>
          <w:i/>
          <w:iCs/>
        </w:rPr>
        <w:t>Manufacturing industries and construction</w:t>
      </w:r>
      <w:r w:rsidRPr="002A40C0">
        <w:t xml:space="preserve"> (CO</w:t>
      </w:r>
      <w:r w:rsidRPr="002A40C0">
        <w:rPr>
          <w:vertAlign w:val="subscript"/>
        </w:rPr>
        <w:t>2</w:t>
      </w:r>
      <w:r w:rsidRPr="002A40C0">
        <w:t>)</w:t>
      </w:r>
    </w:p>
    <w:p w14:paraId="0ABD7175" w14:textId="77777777" w:rsidR="00442E6D" w:rsidRPr="002A40C0" w:rsidRDefault="00442E6D" w:rsidP="00442E6D">
      <w:pPr>
        <w:pStyle w:val="Bullet"/>
        <w:tabs>
          <w:tab w:val="num" w:pos="567"/>
        </w:tabs>
      </w:pPr>
      <w:r w:rsidRPr="002A40C0">
        <w:rPr>
          <w:i/>
          <w:iCs/>
        </w:rPr>
        <w:t>Domestic aviation</w:t>
      </w:r>
      <w:r w:rsidRPr="002A40C0">
        <w:t xml:space="preserve"> (CO</w:t>
      </w:r>
      <w:r w:rsidRPr="002A40C0">
        <w:rPr>
          <w:vertAlign w:val="subscript"/>
        </w:rPr>
        <w:t>2</w:t>
      </w:r>
      <w:r w:rsidRPr="002A40C0">
        <w:t>).</w:t>
      </w:r>
    </w:p>
    <w:p w14:paraId="20B642FD" w14:textId="77777777" w:rsidR="00442E6D" w:rsidRPr="002A40C0" w:rsidRDefault="00442E6D" w:rsidP="00442E6D">
      <w:pPr>
        <w:pStyle w:val="BodyText"/>
      </w:pPr>
      <w:r w:rsidRPr="002A40C0">
        <w:t>Emissions from the IPPU sector decreased by 5.0 per cent, which is also the result of COVID-19 restrictions. Emissions from the Agriculture and Waste sectors changed only by small annual variations of 0.2 and 1.3 per cent respectively.</w:t>
      </w:r>
    </w:p>
    <w:p w14:paraId="0B34A134" w14:textId="77777777" w:rsidR="00442E6D" w:rsidRPr="002A40C0" w:rsidRDefault="00442E6D" w:rsidP="00442E6D">
      <w:pPr>
        <w:pStyle w:val="Heading4"/>
      </w:pPr>
      <w:r w:rsidRPr="002A40C0">
        <w:lastRenderedPageBreak/>
        <w:t>Net emissions – reporting under the Convention</w:t>
      </w:r>
    </w:p>
    <w:p w14:paraId="7D1911B1" w14:textId="06986EFB" w:rsidR="00442E6D" w:rsidRPr="002A40C0" w:rsidRDefault="00442E6D" w:rsidP="00442E6D">
      <w:pPr>
        <w:pStyle w:val="BodyText"/>
      </w:pPr>
      <w:r w:rsidRPr="002A40C0">
        <w:t>Net emissions include gross emissions as defined above (i.e., from the Energy, IPPU, Agriculture and Waste sectors, including Tokelau) and net emissions from the LULUCF sector,</w:t>
      </w:r>
      <w:r w:rsidR="00E83161">
        <w:t> </w:t>
      </w:r>
      <w:r w:rsidRPr="002A40C0">
        <w:t>as reported under the Convention.</w:t>
      </w:r>
    </w:p>
    <w:p w14:paraId="45C8B048" w14:textId="1D89DDA4" w:rsidR="00442E6D" w:rsidRPr="002A40C0" w:rsidRDefault="00442E6D" w:rsidP="00442E6D">
      <w:pPr>
        <w:pStyle w:val="BodyText"/>
      </w:pPr>
      <w:r w:rsidRPr="002A40C0">
        <w:t>In 1990, New Zealand’s net emissions were 43,967.8 kt CO</w:t>
      </w:r>
      <w:r w:rsidRPr="002A40C0">
        <w:rPr>
          <w:vertAlign w:val="subscript"/>
        </w:rPr>
        <w:t>2</w:t>
      </w:r>
      <w:r w:rsidRPr="002A40C0">
        <w:t>-e. Between 1990 and 2020, net</w:t>
      </w:r>
      <w:r w:rsidR="00E83161">
        <w:t> </w:t>
      </w:r>
      <w:r w:rsidRPr="002A40C0">
        <w:t>GHG emissions increased by 11,497.3 kt CO</w:t>
      </w:r>
      <w:r w:rsidRPr="002A40C0">
        <w:rPr>
          <w:vertAlign w:val="subscript"/>
        </w:rPr>
        <w:t>2</w:t>
      </w:r>
      <w:r w:rsidRPr="002A40C0">
        <w:t>-e (26.1 per cent) to 55,465.1 kt CO</w:t>
      </w:r>
      <w:r w:rsidRPr="002A40C0">
        <w:rPr>
          <w:vertAlign w:val="subscript"/>
        </w:rPr>
        <w:t>2</w:t>
      </w:r>
      <w:r w:rsidRPr="002A40C0">
        <w:t>-e (see</w:t>
      </w:r>
      <w:r w:rsidR="00E83161">
        <w:t> </w:t>
      </w:r>
      <w:r w:rsidRPr="002A40C0">
        <w:t>figure ES 2.1).</w:t>
      </w:r>
    </w:p>
    <w:p w14:paraId="3F1F9319" w14:textId="77777777" w:rsidR="00442E6D" w:rsidRPr="002A40C0" w:rsidRDefault="00442E6D" w:rsidP="00442E6D">
      <w:pPr>
        <w:pStyle w:val="BodyText"/>
      </w:pPr>
      <w:r w:rsidRPr="002A40C0">
        <w:t xml:space="preserve">The four categories that contributed the most to the increase in net emissions between 1990 and 2020 were </w:t>
      </w:r>
      <w:r w:rsidRPr="002A40C0">
        <w:rPr>
          <w:i/>
          <w:iCs/>
        </w:rPr>
        <w:t>Land converted to forest land</w:t>
      </w:r>
      <w:r w:rsidRPr="002A40C0">
        <w:t xml:space="preserve">, </w:t>
      </w:r>
      <w:r w:rsidRPr="002A40C0">
        <w:rPr>
          <w:i/>
          <w:iCs/>
        </w:rPr>
        <w:t>Enteric fermentation from dairy cattle</w:t>
      </w:r>
      <w:r w:rsidRPr="002A40C0">
        <w:t xml:space="preserve">, </w:t>
      </w:r>
      <w:r w:rsidRPr="002A40C0">
        <w:rPr>
          <w:i/>
          <w:iCs/>
        </w:rPr>
        <w:t>Road transportation</w:t>
      </w:r>
      <w:r w:rsidRPr="002A40C0">
        <w:t xml:space="preserve"> and </w:t>
      </w:r>
      <w:r w:rsidRPr="002A40C0">
        <w:rPr>
          <w:i/>
          <w:iCs/>
        </w:rPr>
        <w:t>Agriculture soils</w:t>
      </w:r>
      <w:r w:rsidRPr="002A40C0">
        <w:t>.</w:t>
      </w:r>
    </w:p>
    <w:p w14:paraId="395AF0DC" w14:textId="77777777" w:rsidR="00442E6D" w:rsidRPr="002A40C0" w:rsidRDefault="00442E6D" w:rsidP="00442E6D">
      <w:pPr>
        <w:pStyle w:val="Heading4"/>
      </w:pPr>
      <w:bookmarkStart w:id="11" w:name="accounting-for-new-zealands-2020-target"/>
      <w:r w:rsidRPr="002A40C0">
        <w:t>Accounting for New Zealand’s 2020 target</w:t>
      </w:r>
    </w:p>
    <w:p w14:paraId="70D70C66" w14:textId="77777777" w:rsidR="00442E6D" w:rsidRPr="002A40C0" w:rsidRDefault="00442E6D" w:rsidP="00442E6D">
      <w:pPr>
        <w:pStyle w:val="BodyText"/>
      </w:pPr>
      <w:r w:rsidRPr="002A40C0">
        <w:t xml:space="preserve">For the period 2013 to 2020, New Zealand’s target is to reduce emissions to 5 per cent below 1990 levels by 2020. New Zealand has taken its target under the Convention. New Zealand will apply the Kyoto Protocol framework of rules to account for its target, to ensure New Zealand’s actions are transparent and have integrity. This means New Zealand will count net removals from Article 3.3 – </w:t>
      </w:r>
      <w:r w:rsidRPr="002A40C0">
        <w:rPr>
          <w:i/>
          <w:iCs/>
        </w:rPr>
        <w:t>Afforestation and reforestation</w:t>
      </w:r>
      <w:r w:rsidRPr="002A40C0">
        <w:t xml:space="preserve"> and </w:t>
      </w:r>
      <w:r w:rsidRPr="002A40C0">
        <w:rPr>
          <w:i/>
          <w:iCs/>
        </w:rPr>
        <w:t>Deforestation</w:t>
      </w:r>
      <w:r w:rsidRPr="002A40C0">
        <w:t xml:space="preserve"> and Article 3.4 – </w:t>
      </w:r>
      <w:r w:rsidRPr="002A40C0">
        <w:rPr>
          <w:i/>
          <w:iCs/>
        </w:rPr>
        <w:t>Forest management</w:t>
      </w:r>
      <w:r w:rsidRPr="002A40C0">
        <w:t xml:space="preserve"> of the Kyoto Protocol towards its emissions reduction target.</w:t>
      </w:r>
    </w:p>
    <w:p w14:paraId="05039527" w14:textId="77777777" w:rsidR="00442E6D" w:rsidRPr="002A40C0" w:rsidRDefault="00442E6D" w:rsidP="00442E6D">
      <w:pPr>
        <w:pStyle w:val="BodyText"/>
      </w:pPr>
      <w:r w:rsidRPr="002A40C0">
        <w:t>Following the Kyoto Protocol rules, New Zealand’s emissions budget for the period 2013 to 2020 is 509,774,982 tonnes CO</w:t>
      </w:r>
      <w:r w:rsidRPr="002A40C0">
        <w:rPr>
          <w:vertAlign w:val="subscript"/>
        </w:rPr>
        <w:t>2</w:t>
      </w:r>
      <w:r w:rsidRPr="002A40C0">
        <w:t xml:space="preserve">-e. This is based on the gross emissions data for 1990 included in New Zealand’s 2016 inventory submission. For more details, refer to </w:t>
      </w:r>
      <w:r w:rsidRPr="002A40C0">
        <w:rPr>
          <w:i/>
          <w:iCs/>
        </w:rPr>
        <w:t>New Zealand’s Initial Report to Facilitate the Calculation of its Emissions Budget for the Period 2013 to 2020</w:t>
      </w:r>
      <w:r w:rsidRPr="002A40C0">
        <w:t xml:space="preserve"> (Ministry for the Environment, 2016).</w:t>
      </w:r>
    </w:p>
    <w:p w14:paraId="757DA273" w14:textId="77777777" w:rsidR="00442E6D" w:rsidRPr="002A40C0" w:rsidRDefault="00442E6D" w:rsidP="00442E6D">
      <w:pPr>
        <w:pStyle w:val="BodyText"/>
      </w:pPr>
      <w:r w:rsidRPr="002A40C0">
        <w:t>The emissions budget is calculated as the total cumulative emissions New Zealand would emit on a straight-line track from a 1990 level in 2010 (equal to gross emissions in 1990 from the Initial Report) to the target in 2020 (i.e., the same amount multiplied by 0.95).</w:t>
      </w:r>
    </w:p>
    <w:p w14:paraId="6FCE1933" w14:textId="77777777" w:rsidR="00442E6D" w:rsidRPr="002A40C0" w:rsidRDefault="00442E6D" w:rsidP="00442E6D">
      <w:pPr>
        <w:pStyle w:val="BodyText"/>
      </w:pPr>
      <w:r w:rsidRPr="002A40C0">
        <w:t>To measure progress towards New Zealand’s 2020 target, annual gross emissions values from this submission, as the final submission for the period, will be summed for 2013 to 2020. This will represent the quantity of gross emissions for which New Zealand is responsible.</w:t>
      </w:r>
    </w:p>
    <w:p w14:paraId="50A9AA72" w14:textId="77777777" w:rsidR="00442E6D" w:rsidRPr="002A40C0" w:rsidRDefault="00442E6D" w:rsidP="00442E6D">
      <w:pPr>
        <w:pStyle w:val="BodyText"/>
      </w:pPr>
      <w:r w:rsidRPr="002A40C0">
        <w:t>For the target period, based on this submission, New Zealand’s gross emissions sum to 639,600.7 kt CO</w:t>
      </w:r>
      <w:r w:rsidRPr="002A40C0">
        <w:rPr>
          <w:vertAlign w:val="subscript"/>
        </w:rPr>
        <w:t>2</w:t>
      </w:r>
      <w:r w:rsidRPr="002A40C0">
        <w:t>-e. The contribution towards New Zealand’s target from LULUCF activities under the Kyoto Protocol is a net removal of 123,281.1 kt CO</w:t>
      </w:r>
      <w:r w:rsidRPr="002A40C0">
        <w:rPr>
          <w:vertAlign w:val="subscript"/>
        </w:rPr>
        <w:t>2</w:t>
      </w:r>
      <w:r w:rsidRPr="002A40C0">
        <w:t>-e (see chapter 2, section 2.3 for details).</w:t>
      </w:r>
    </w:p>
    <w:p w14:paraId="17FCA711" w14:textId="77777777" w:rsidR="00442E6D" w:rsidRPr="002A40C0" w:rsidRDefault="00442E6D" w:rsidP="00442E6D">
      <w:pPr>
        <w:pStyle w:val="BodyText"/>
      </w:pPr>
      <w:r w:rsidRPr="002A40C0">
        <w:t>The accounting rules for the LULUCF activities reported under Articles 3.3 and 3.4 of the Kyoto Protocol are explained in chapter 11.</w:t>
      </w:r>
    </w:p>
    <w:p w14:paraId="52A1EDDF" w14:textId="77777777" w:rsidR="00442E6D" w:rsidRPr="002A40C0" w:rsidRDefault="00442E6D" w:rsidP="00442E6D">
      <w:pPr>
        <w:pStyle w:val="BodyText"/>
      </w:pPr>
      <w:r w:rsidRPr="002A40C0">
        <w:t>In addition, New Zealand can access sufficient Kyoto units (carry-over from the first commitment period) for the purpose of meeting its 2013 to 2020 target, if required, pending the outcome of the expert review team’s review of this submission.</w:t>
      </w:r>
    </w:p>
    <w:p w14:paraId="292F74C8" w14:textId="77777777" w:rsidR="00442E6D" w:rsidRPr="002A40C0" w:rsidRDefault="00442E6D" w:rsidP="00442E6D">
      <w:pPr>
        <w:pStyle w:val="BodyText"/>
      </w:pPr>
      <w:r w:rsidRPr="002A40C0">
        <w:t xml:space="preserve">On the basis of this submission, and pending its review, New Zealand is on track to meet its 2013 to 2020 target. Refer to New Zealand’s </w:t>
      </w:r>
      <w:hyperlink r:id="rId21" w:history="1">
        <w:r w:rsidRPr="002A40C0">
          <w:rPr>
            <w:rStyle w:val="Hyperlink"/>
          </w:rPr>
          <w:t>latest net position</w:t>
        </w:r>
      </w:hyperlink>
      <w:r w:rsidRPr="002A40C0">
        <w:t xml:space="preserve"> for details.</w:t>
      </w:r>
    </w:p>
    <w:p w14:paraId="1C9FDE4C" w14:textId="77777777" w:rsidR="00442E6D" w:rsidRPr="002A40C0" w:rsidRDefault="00442E6D" w:rsidP="00442E6D">
      <w:pPr>
        <w:pStyle w:val="Heading2"/>
      </w:pPr>
      <w:bookmarkStart w:id="12" w:name="_Toc99659088"/>
      <w:bookmarkStart w:id="13" w:name="es.3-greenhouse-gas-trends"/>
      <w:bookmarkEnd w:id="9"/>
      <w:bookmarkEnd w:id="11"/>
      <w:r w:rsidRPr="002A40C0">
        <w:lastRenderedPageBreak/>
        <w:t xml:space="preserve">ES.3 </w:t>
      </w:r>
      <w:r w:rsidRPr="002A40C0">
        <w:tab/>
        <w:t>Greenhouse gas trends</w:t>
      </w:r>
      <w:bookmarkEnd w:id="12"/>
    </w:p>
    <w:p w14:paraId="3C1FC195" w14:textId="77777777" w:rsidR="00442E6D" w:rsidRPr="002A40C0" w:rsidRDefault="00442E6D" w:rsidP="00442E6D">
      <w:pPr>
        <w:pStyle w:val="BodyText"/>
      </w:pPr>
      <w:r w:rsidRPr="002A40C0">
        <w:t>Inventory reporting under the Convention covers the following direct GHGs: CO</w:t>
      </w:r>
      <w:r w:rsidRPr="002A40C0">
        <w:rPr>
          <w:vertAlign w:val="subscript"/>
        </w:rPr>
        <w:t>2</w:t>
      </w:r>
      <w:r w:rsidRPr="002A40C0">
        <w:t>, CH</w:t>
      </w:r>
      <w:r w:rsidRPr="002A40C0">
        <w:rPr>
          <w:vertAlign w:val="subscript"/>
        </w:rPr>
        <w:t>4</w:t>
      </w:r>
      <w:r w:rsidRPr="002A40C0">
        <w:t>, N</w:t>
      </w:r>
      <w:r w:rsidRPr="002A40C0">
        <w:rPr>
          <w:vertAlign w:val="subscript"/>
        </w:rPr>
        <w:t>2</w:t>
      </w:r>
      <w:r w:rsidRPr="002A40C0">
        <w:t>O, SF</w:t>
      </w:r>
      <w:r w:rsidRPr="002A40C0">
        <w:rPr>
          <w:vertAlign w:val="subscript"/>
        </w:rPr>
        <w:t>6</w:t>
      </w:r>
      <w:r w:rsidRPr="002A40C0">
        <w:t>, PFCs, HFCs and NF</w:t>
      </w:r>
      <w:r w:rsidRPr="002A40C0">
        <w:rPr>
          <w:vertAlign w:val="subscript"/>
        </w:rPr>
        <w:t>3</w:t>
      </w:r>
      <w:r w:rsidRPr="002A40C0">
        <w:t>. No NF</w:t>
      </w:r>
      <w:r w:rsidRPr="002A40C0">
        <w:rPr>
          <w:vertAlign w:val="subscript"/>
        </w:rPr>
        <w:t>3</w:t>
      </w:r>
      <w:r w:rsidRPr="002A40C0">
        <w:t xml:space="preserve"> data are included in this report because NF</w:t>
      </w:r>
      <w:r w:rsidRPr="002A40C0">
        <w:rPr>
          <w:vertAlign w:val="subscript"/>
        </w:rPr>
        <w:t>3</w:t>
      </w:r>
      <w:r w:rsidRPr="002A40C0">
        <w:t xml:space="preserve"> emissions do not occur in New Zealand.</w:t>
      </w:r>
    </w:p>
    <w:p w14:paraId="29523EE8" w14:textId="77777777" w:rsidR="00442E6D" w:rsidRPr="002A40C0" w:rsidRDefault="00442E6D" w:rsidP="00442E6D">
      <w:pPr>
        <w:pStyle w:val="BodyText"/>
      </w:pPr>
      <w:r w:rsidRPr="002A40C0">
        <w:t>Table ES 3.1 provides a summary of emissions for each gas in 1990 and 2020 and the changes since 1990. This is also illustrated in figure ES 3.1.</w:t>
      </w:r>
    </w:p>
    <w:p w14:paraId="53441296" w14:textId="77777777" w:rsidR="00442E6D" w:rsidRPr="002A40C0" w:rsidRDefault="00442E6D" w:rsidP="00442E6D">
      <w:pPr>
        <w:pStyle w:val="Table"/>
      </w:pPr>
      <w:bookmarkStart w:id="14" w:name="_Toc99659198"/>
      <w:r w:rsidRPr="002A40C0">
        <w:t>Table ES 3.1</w:t>
      </w:r>
      <w:r w:rsidRPr="002A40C0">
        <w:tab/>
        <w:t>New Zealand’s gross emissions by gas in 1990 and 2020</w:t>
      </w:r>
      <w:bookmarkEnd w:id="14"/>
    </w:p>
    <w:tbl>
      <w:tblPr>
        <w:tblW w:w="8505" w:type="dxa"/>
        <w:tblInd w:w="113"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2547"/>
        <w:gridCol w:w="1276"/>
        <w:gridCol w:w="1275"/>
        <w:gridCol w:w="1701"/>
        <w:gridCol w:w="1706"/>
      </w:tblGrid>
      <w:tr w:rsidR="00442E6D" w:rsidRPr="00442E6D" w14:paraId="25436B69" w14:textId="77777777" w:rsidTr="00E83161">
        <w:trPr>
          <w:cantSplit/>
          <w:tblHeader/>
        </w:trPr>
        <w:tc>
          <w:tcPr>
            <w:tcW w:w="2547" w:type="dxa"/>
            <w:shd w:val="clear" w:color="auto" w:fill="1B556B"/>
            <w:tcMar>
              <w:top w:w="0" w:type="dxa"/>
              <w:left w:w="85" w:type="dxa"/>
              <w:bottom w:w="0" w:type="dxa"/>
              <w:right w:w="85" w:type="dxa"/>
            </w:tcMar>
            <w:vAlign w:val="bottom"/>
          </w:tcPr>
          <w:p w14:paraId="7589E931" w14:textId="77777777" w:rsidR="00442E6D" w:rsidRPr="00442E6D" w:rsidRDefault="00442E6D" w:rsidP="00B063F2">
            <w:pPr>
              <w:pStyle w:val="TableTextBold"/>
              <w:rPr>
                <w:noProof w:val="0"/>
                <w:color w:val="FFFFFF"/>
              </w:rPr>
            </w:pPr>
            <w:r w:rsidRPr="00442E6D">
              <w:rPr>
                <w:rFonts w:eastAsia="Calibri"/>
                <w:noProof w:val="0"/>
                <w:color w:val="FFFFFF"/>
              </w:rPr>
              <w:t>Direct greenhouse gas emissions</w:t>
            </w:r>
          </w:p>
        </w:tc>
        <w:tc>
          <w:tcPr>
            <w:tcW w:w="1276" w:type="dxa"/>
            <w:shd w:val="clear" w:color="auto" w:fill="1B556B"/>
            <w:tcMar>
              <w:top w:w="0" w:type="dxa"/>
              <w:left w:w="85" w:type="dxa"/>
              <w:bottom w:w="0" w:type="dxa"/>
              <w:right w:w="85" w:type="dxa"/>
            </w:tcMar>
            <w:vAlign w:val="bottom"/>
          </w:tcPr>
          <w:p w14:paraId="46C401CC" w14:textId="77777777" w:rsidR="00442E6D" w:rsidRPr="00442E6D" w:rsidRDefault="00442E6D" w:rsidP="00B063F2">
            <w:pPr>
              <w:pStyle w:val="TableTextBold"/>
              <w:jc w:val="right"/>
              <w:rPr>
                <w:noProof w:val="0"/>
                <w:color w:val="FFFFFF"/>
              </w:rPr>
            </w:pPr>
            <w:r w:rsidRPr="00442E6D">
              <w:rPr>
                <w:rFonts w:eastAsia="Calibri"/>
                <w:noProof w:val="0"/>
                <w:color w:val="FFFFFF"/>
              </w:rPr>
              <w:t>1990</w:t>
            </w:r>
          </w:p>
        </w:tc>
        <w:tc>
          <w:tcPr>
            <w:tcW w:w="1275" w:type="dxa"/>
            <w:shd w:val="clear" w:color="auto" w:fill="1B556B"/>
            <w:tcMar>
              <w:top w:w="0" w:type="dxa"/>
              <w:left w:w="85" w:type="dxa"/>
              <w:bottom w:w="0" w:type="dxa"/>
              <w:right w:w="85" w:type="dxa"/>
            </w:tcMar>
            <w:vAlign w:val="bottom"/>
          </w:tcPr>
          <w:p w14:paraId="6885D8D5" w14:textId="77777777" w:rsidR="00442E6D" w:rsidRPr="00442E6D" w:rsidRDefault="00442E6D" w:rsidP="00B063F2">
            <w:pPr>
              <w:pStyle w:val="TableTextBold"/>
              <w:jc w:val="right"/>
              <w:rPr>
                <w:noProof w:val="0"/>
                <w:color w:val="FFFFFF"/>
              </w:rPr>
            </w:pPr>
            <w:r w:rsidRPr="00442E6D">
              <w:rPr>
                <w:rFonts w:eastAsia="Calibri"/>
                <w:noProof w:val="0"/>
                <w:color w:val="FFFFFF"/>
              </w:rPr>
              <w:t>2020</w:t>
            </w:r>
          </w:p>
        </w:tc>
        <w:tc>
          <w:tcPr>
            <w:tcW w:w="1701" w:type="dxa"/>
            <w:shd w:val="clear" w:color="auto" w:fill="1B556B"/>
            <w:tcMar>
              <w:top w:w="0" w:type="dxa"/>
              <w:left w:w="85" w:type="dxa"/>
              <w:bottom w:w="0" w:type="dxa"/>
              <w:right w:w="85" w:type="dxa"/>
            </w:tcMar>
            <w:vAlign w:val="bottom"/>
          </w:tcPr>
          <w:p w14:paraId="71DC4888" w14:textId="77777777" w:rsidR="00442E6D" w:rsidRPr="00442E6D" w:rsidRDefault="00442E6D" w:rsidP="00B063F2">
            <w:pPr>
              <w:pStyle w:val="TableTextBold"/>
              <w:jc w:val="right"/>
              <w:rPr>
                <w:noProof w:val="0"/>
                <w:color w:val="FFFFFF"/>
              </w:rPr>
            </w:pPr>
            <w:r w:rsidRPr="00442E6D">
              <w:rPr>
                <w:rFonts w:eastAsia="Calibri"/>
                <w:noProof w:val="0"/>
                <w:color w:val="FFFFFF"/>
              </w:rPr>
              <w:t xml:space="preserve">Change from 1990 </w:t>
            </w:r>
            <w:r w:rsidRPr="00442E6D">
              <w:rPr>
                <w:rFonts w:eastAsia="Calibri"/>
                <w:noProof w:val="0"/>
                <w:color w:val="FFFFFF"/>
              </w:rPr>
              <w:br/>
              <w:t>(kt CO</w:t>
            </w:r>
            <w:r w:rsidRPr="00442E6D">
              <w:rPr>
                <w:rFonts w:eastAsia="Calibri"/>
                <w:noProof w:val="0"/>
                <w:color w:val="FFFFFF"/>
                <w:vertAlign w:val="subscript"/>
              </w:rPr>
              <w:t>2</w:t>
            </w:r>
            <w:r w:rsidRPr="00442E6D">
              <w:rPr>
                <w:rFonts w:eastAsia="Calibri"/>
                <w:noProof w:val="0"/>
                <w:color w:val="FFFFFF"/>
              </w:rPr>
              <w:t>-equivalent)</w:t>
            </w:r>
          </w:p>
        </w:tc>
        <w:tc>
          <w:tcPr>
            <w:tcW w:w="1706" w:type="dxa"/>
            <w:shd w:val="clear" w:color="auto" w:fill="1B556B"/>
            <w:tcMar>
              <w:top w:w="0" w:type="dxa"/>
              <w:left w:w="85" w:type="dxa"/>
              <w:bottom w:w="0" w:type="dxa"/>
              <w:right w:w="85" w:type="dxa"/>
            </w:tcMar>
            <w:vAlign w:val="bottom"/>
          </w:tcPr>
          <w:p w14:paraId="2AD76B7D" w14:textId="77777777" w:rsidR="00442E6D" w:rsidRPr="00442E6D" w:rsidRDefault="00442E6D" w:rsidP="00B063F2">
            <w:pPr>
              <w:pStyle w:val="TableTextBold"/>
              <w:jc w:val="right"/>
              <w:rPr>
                <w:noProof w:val="0"/>
                <w:color w:val="FFFFFF"/>
              </w:rPr>
            </w:pPr>
            <w:r w:rsidRPr="00442E6D">
              <w:rPr>
                <w:rFonts w:eastAsia="Calibri"/>
                <w:noProof w:val="0"/>
                <w:color w:val="FFFFFF"/>
              </w:rPr>
              <w:t xml:space="preserve">Change from 1990 </w:t>
            </w:r>
            <w:r w:rsidRPr="00442E6D">
              <w:rPr>
                <w:rFonts w:eastAsia="Calibri"/>
                <w:noProof w:val="0"/>
                <w:color w:val="FFFFFF"/>
              </w:rPr>
              <w:br/>
              <w:t>(%)</w:t>
            </w:r>
          </w:p>
        </w:tc>
      </w:tr>
      <w:tr w:rsidR="00442E6D" w:rsidRPr="002A40C0" w14:paraId="478CD045" w14:textId="77777777" w:rsidTr="00E83161">
        <w:trPr>
          <w:cantSplit/>
          <w:trHeight w:val="283"/>
        </w:trPr>
        <w:tc>
          <w:tcPr>
            <w:tcW w:w="2547" w:type="dxa"/>
            <w:shd w:val="clear" w:color="auto" w:fill="FFFFFF"/>
            <w:tcMar>
              <w:top w:w="0" w:type="dxa"/>
              <w:left w:w="85" w:type="dxa"/>
              <w:bottom w:w="0" w:type="dxa"/>
              <w:right w:w="85" w:type="dxa"/>
            </w:tcMar>
            <w:vAlign w:val="center"/>
          </w:tcPr>
          <w:p w14:paraId="267C5C2F" w14:textId="77777777" w:rsidR="00442E6D" w:rsidRPr="002A40C0" w:rsidRDefault="00442E6D" w:rsidP="00B063F2">
            <w:pPr>
              <w:pStyle w:val="TableText"/>
            </w:pPr>
            <w:r w:rsidRPr="002A40C0">
              <w:rPr>
                <w:rFonts w:eastAsia="Calibri"/>
              </w:rPr>
              <w:t>CO</w:t>
            </w:r>
            <w:r w:rsidRPr="002A40C0">
              <w:rPr>
                <w:rFonts w:eastAsia="Calibri"/>
                <w:vertAlign w:val="subscript"/>
              </w:rPr>
              <w:t>2</w:t>
            </w:r>
          </w:p>
        </w:tc>
        <w:tc>
          <w:tcPr>
            <w:tcW w:w="1276" w:type="dxa"/>
            <w:shd w:val="clear" w:color="auto" w:fill="FFFFFF"/>
            <w:tcMar>
              <w:top w:w="0" w:type="dxa"/>
              <w:left w:w="85" w:type="dxa"/>
              <w:bottom w:w="0" w:type="dxa"/>
              <w:right w:w="85" w:type="dxa"/>
            </w:tcMar>
            <w:vAlign w:val="center"/>
          </w:tcPr>
          <w:p w14:paraId="0BE94407" w14:textId="77777777" w:rsidR="00442E6D" w:rsidRPr="002A40C0" w:rsidRDefault="00442E6D" w:rsidP="00B063F2">
            <w:pPr>
              <w:pStyle w:val="TableText"/>
              <w:jc w:val="right"/>
            </w:pPr>
            <w:r w:rsidRPr="002A40C0">
              <w:rPr>
                <w:rFonts w:eastAsia="Calibri"/>
              </w:rPr>
              <w:t>25,502.5</w:t>
            </w:r>
          </w:p>
        </w:tc>
        <w:tc>
          <w:tcPr>
            <w:tcW w:w="1275" w:type="dxa"/>
            <w:shd w:val="clear" w:color="auto" w:fill="FFFFFF"/>
            <w:tcMar>
              <w:top w:w="0" w:type="dxa"/>
              <w:left w:w="85" w:type="dxa"/>
              <w:bottom w:w="0" w:type="dxa"/>
              <w:right w:w="85" w:type="dxa"/>
            </w:tcMar>
            <w:vAlign w:val="center"/>
          </w:tcPr>
          <w:p w14:paraId="0EE388ED" w14:textId="77777777" w:rsidR="00442E6D" w:rsidRPr="002A40C0" w:rsidRDefault="00442E6D" w:rsidP="00B063F2">
            <w:pPr>
              <w:pStyle w:val="TableText"/>
              <w:jc w:val="right"/>
            </w:pPr>
            <w:r w:rsidRPr="002A40C0">
              <w:rPr>
                <w:rFonts w:eastAsia="Calibri"/>
              </w:rPr>
              <w:t>34,456.8</w:t>
            </w:r>
          </w:p>
        </w:tc>
        <w:tc>
          <w:tcPr>
            <w:tcW w:w="1701" w:type="dxa"/>
            <w:shd w:val="clear" w:color="auto" w:fill="FFFFFF"/>
            <w:tcMar>
              <w:top w:w="0" w:type="dxa"/>
              <w:left w:w="85" w:type="dxa"/>
              <w:bottom w:w="0" w:type="dxa"/>
              <w:right w:w="85" w:type="dxa"/>
            </w:tcMar>
            <w:vAlign w:val="center"/>
          </w:tcPr>
          <w:p w14:paraId="4A08B168" w14:textId="77777777" w:rsidR="00442E6D" w:rsidRPr="002A40C0" w:rsidRDefault="00442E6D" w:rsidP="00B063F2">
            <w:pPr>
              <w:pStyle w:val="TableText"/>
              <w:jc w:val="right"/>
            </w:pPr>
            <w:r w:rsidRPr="002A40C0">
              <w:rPr>
                <w:rFonts w:eastAsia="Calibri"/>
              </w:rPr>
              <w:t>8,954.2</w:t>
            </w:r>
          </w:p>
        </w:tc>
        <w:tc>
          <w:tcPr>
            <w:tcW w:w="1706" w:type="dxa"/>
            <w:shd w:val="clear" w:color="auto" w:fill="FFFFFF"/>
            <w:tcMar>
              <w:top w:w="0" w:type="dxa"/>
              <w:left w:w="85" w:type="dxa"/>
              <w:bottom w:w="0" w:type="dxa"/>
              <w:right w:w="85" w:type="dxa"/>
            </w:tcMar>
            <w:vAlign w:val="center"/>
          </w:tcPr>
          <w:p w14:paraId="4A8ABD4B" w14:textId="77777777" w:rsidR="00442E6D" w:rsidRPr="002A40C0" w:rsidRDefault="00442E6D" w:rsidP="00B063F2">
            <w:pPr>
              <w:pStyle w:val="TableText"/>
              <w:jc w:val="right"/>
            </w:pPr>
            <w:r w:rsidRPr="002A40C0">
              <w:rPr>
                <w:rFonts w:eastAsia="Calibri"/>
              </w:rPr>
              <w:t>35.1%</w:t>
            </w:r>
          </w:p>
        </w:tc>
      </w:tr>
      <w:tr w:rsidR="00442E6D" w:rsidRPr="002A40C0" w14:paraId="666336C3" w14:textId="77777777" w:rsidTr="00E83161">
        <w:trPr>
          <w:cantSplit/>
          <w:trHeight w:val="283"/>
        </w:trPr>
        <w:tc>
          <w:tcPr>
            <w:tcW w:w="2547" w:type="dxa"/>
            <w:shd w:val="clear" w:color="auto" w:fill="FFFFFF"/>
            <w:tcMar>
              <w:top w:w="0" w:type="dxa"/>
              <w:left w:w="85" w:type="dxa"/>
              <w:bottom w:w="0" w:type="dxa"/>
              <w:right w:w="85" w:type="dxa"/>
            </w:tcMar>
            <w:vAlign w:val="center"/>
          </w:tcPr>
          <w:p w14:paraId="001EC1BC" w14:textId="77777777" w:rsidR="00442E6D" w:rsidRPr="002A40C0" w:rsidRDefault="00442E6D" w:rsidP="00B063F2">
            <w:pPr>
              <w:pStyle w:val="TableText"/>
            </w:pPr>
            <w:r w:rsidRPr="002A40C0">
              <w:rPr>
                <w:rFonts w:eastAsia="Calibri"/>
              </w:rPr>
              <w:t>CH</w:t>
            </w:r>
            <w:r w:rsidRPr="002A40C0">
              <w:rPr>
                <w:rFonts w:eastAsia="Calibri"/>
                <w:vertAlign w:val="subscript"/>
              </w:rPr>
              <w:t>4</w:t>
            </w:r>
          </w:p>
        </w:tc>
        <w:tc>
          <w:tcPr>
            <w:tcW w:w="1276" w:type="dxa"/>
            <w:shd w:val="clear" w:color="auto" w:fill="FFFFFF"/>
            <w:tcMar>
              <w:top w:w="0" w:type="dxa"/>
              <w:left w:w="85" w:type="dxa"/>
              <w:bottom w:w="0" w:type="dxa"/>
              <w:right w:w="85" w:type="dxa"/>
            </w:tcMar>
            <w:vAlign w:val="center"/>
          </w:tcPr>
          <w:p w14:paraId="36FAF488" w14:textId="77777777" w:rsidR="00442E6D" w:rsidRPr="002A40C0" w:rsidRDefault="00442E6D" w:rsidP="00B063F2">
            <w:pPr>
              <w:pStyle w:val="TableText"/>
              <w:jc w:val="right"/>
            </w:pPr>
            <w:r w:rsidRPr="002A40C0">
              <w:rPr>
                <w:rFonts w:eastAsia="Calibri"/>
              </w:rPr>
              <w:t>32,972.5</w:t>
            </w:r>
          </w:p>
        </w:tc>
        <w:tc>
          <w:tcPr>
            <w:tcW w:w="1275" w:type="dxa"/>
            <w:shd w:val="clear" w:color="auto" w:fill="FFFFFF"/>
            <w:tcMar>
              <w:top w:w="0" w:type="dxa"/>
              <w:left w:w="85" w:type="dxa"/>
              <w:bottom w:w="0" w:type="dxa"/>
              <w:right w:w="85" w:type="dxa"/>
            </w:tcMar>
            <w:vAlign w:val="center"/>
          </w:tcPr>
          <w:p w14:paraId="5483D7D4" w14:textId="77777777" w:rsidR="00442E6D" w:rsidRPr="002A40C0" w:rsidRDefault="00442E6D" w:rsidP="00B063F2">
            <w:pPr>
              <w:pStyle w:val="TableText"/>
              <w:jc w:val="right"/>
            </w:pPr>
            <w:r w:rsidRPr="002A40C0">
              <w:rPr>
                <w:rFonts w:eastAsia="Calibri"/>
              </w:rPr>
              <w:t>34,272.9</w:t>
            </w:r>
          </w:p>
        </w:tc>
        <w:tc>
          <w:tcPr>
            <w:tcW w:w="1701" w:type="dxa"/>
            <w:shd w:val="clear" w:color="auto" w:fill="FFFFFF"/>
            <w:tcMar>
              <w:top w:w="0" w:type="dxa"/>
              <w:left w:w="85" w:type="dxa"/>
              <w:bottom w:w="0" w:type="dxa"/>
              <w:right w:w="85" w:type="dxa"/>
            </w:tcMar>
            <w:vAlign w:val="center"/>
          </w:tcPr>
          <w:p w14:paraId="60FBC0BF" w14:textId="77777777" w:rsidR="00442E6D" w:rsidRPr="002A40C0" w:rsidRDefault="00442E6D" w:rsidP="00B063F2">
            <w:pPr>
              <w:pStyle w:val="TableText"/>
              <w:jc w:val="right"/>
            </w:pPr>
            <w:r w:rsidRPr="002A40C0">
              <w:rPr>
                <w:rFonts w:eastAsia="Calibri"/>
              </w:rPr>
              <w:t>1,300.4</w:t>
            </w:r>
          </w:p>
        </w:tc>
        <w:tc>
          <w:tcPr>
            <w:tcW w:w="1706" w:type="dxa"/>
            <w:shd w:val="clear" w:color="auto" w:fill="FFFFFF"/>
            <w:tcMar>
              <w:top w:w="0" w:type="dxa"/>
              <w:left w:w="85" w:type="dxa"/>
              <w:bottom w:w="0" w:type="dxa"/>
              <w:right w:w="85" w:type="dxa"/>
            </w:tcMar>
            <w:vAlign w:val="center"/>
          </w:tcPr>
          <w:p w14:paraId="351E4C55" w14:textId="77777777" w:rsidR="00442E6D" w:rsidRPr="002A40C0" w:rsidRDefault="00442E6D" w:rsidP="00B063F2">
            <w:pPr>
              <w:pStyle w:val="TableText"/>
              <w:jc w:val="right"/>
            </w:pPr>
            <w:r w:rsidRPr="002A40C0">
              <w:rPr>
                <w:rFonts w:eastAsia="Calibri"/>
              </w:rPr>
              <w:t>3.9%</w:t>
            </w:r>
          </w:p>
        </w:tc>
      </w:tr>
      <w:tr w:rsidR="00442E6D" w:rsidRPr="002A40C0" w14:paraId="34B3E480" w14:textId="77777777" w:rsidTr="00E83161">
        <w:trPr>
          <w:cantSplit/>
          <w:trHeight w:val="283"/>
        </w:trPr>
        <w:tc>
          <w:tcPr>
            <w:tcW w:w="2547" w:type="dxa"/>
            <w:shd w:val="clear" w:color="auto" w:fill="FFFFFF"/>
            <w:tcMar>
              <w:top w:w="0" w:type="dxa"/>
              <w:left w:w="85" w:type="dxa"/>
              <w:bottom w:w="0" w:type="dxa"/>
              <w:right w:w="85" w:type="dxa"/>
            </w:tcMar>
            <w:vAlign w:val="center"/>
          </w:tcPr>
          <w:p w14:paraId="0738C789" w14:textId="77777777" w:rsidR="00442E6D" w:rsidRPr="002A40C0" w:rsidRDefault="00442E6D" w:rsidP="00B063F2">
            <w:pPr>
              <w:pStyle w:val="TableText"/>
            </w:pPr>
            <w:r w:rsidRPr="002A40C0">
              <w:rPr>
                <w:rFonts w:eastAsia="Calibri"/>
              </w:rPr>
              <w:t>N</w:t>
            </w:r>
            <w:r w:rsidRPr="002A40C0">
              <w:rPr>
                <w:rFonts w:eastAsia="Calibri"/>
                <w:vertAlign w:val="subscript"/>
              </w:rPr>
              <w:t>2</w:t>
            </w:r>
            <w:r w:rsidRPr="002A40C0">
              <w:rPr>
                <w:rFonts w:eastAsia="Calibri"/>
              </w:rPr>
              <w:t>O</w:t>
            </w:r>
          </w:p>
        </w:tc>
        <w:tc>
          <w:tcPr>
            <w:tcW w:w="1276" w:type="dxa"/>
            <w:shd w:val="clear" w:color="auto" w:fill="FFFFFF"/>
            <w:tcMar>
              <w:top w:w="0" w:type="dxa"/>
              <w:left w:w="85" w:type="dxa"/>
              <w:bottom w:w="0" w:type="dxa"/>
              <w:right w:w="85" w:type="dxa"/>
            </w:tcMar>
            <w:vAlign w:val="center"/>
          </w:tcPr>
          <w:p w14:paraId="284B8D71" w14:textId="77777777" w:rsidR="00442E6D" w:rsidRPr="002A40C0" w:rsidRDefault="00442E6D" w:rsidP="00B063F2">
            <w:pPr>
              <w:pStyle w:val="TableText"/>
              <w:jc w:val="right"/>
            </w:pPr>
            <w:r w:rsidRPr="002A40C0">
              <w:rPr>
                <w:rFonts w:eastAsia="Calibri"/>
              </w:rPr>
              <w:t>5,792.0</w:t>
            </w:r>
          </w:p>
        </w:tc>
        <w:tc>
          <w:tcPr>
            <w:tcW w:w="1275" w:type="dxa"/>
            <w:shd w:val="clear" w:color="auto" w:fill="FFFFFF"/>
            <w:tcMar>
              <w:top w:w="0" w:type="dxa"/>
              <w:left w:w="85" w:type="dxa"/>
              <w:bottom w:w="0" w:type="dxa"/>
              <w:right w:w="85" w:type="dxa"/>
            </w:tcMar>
            <w:vAlign w:val="center"/>
          </w:tcPr>
          <w:p w14:paraId="757DE424" w14:textId="77777777" w:rsidR="00442E6D" w:rsidRPr="002A40C0" w:rsidRDefault="00442E6D" w:rsidP="00B063F2">
            <w:pPr>
              <w:pStyle w:val="TableText"/>
              <w:jc w:val="right"/>
            </w:pPr>
            <w:r w:rsidRPr="002A40C0">
              <w:rPr>
                <w:rFonts w:eastAsia="Calibri"/>
              </w:rPr>
              <w:t>8,463.8</w:t>
            </w:r>
          </w:p>
        </w:tc>
        <w:tc>
          <w:tcPr>
            <w:tcW w:w="1701" w:type="dxa"/>
            <w:shd w:val="clear" w:color="auto" w:fill="FFFFFF"/>
            <w:tcMar>
              <w:top w:w="0" w:type="dxa"/>
              <w:left w:w="85" w:type="dxa"/>
              <w:bottom w:w="0" w:type="dxa"/>
              <w:right w:w="85" w:type="dxa"/>
            </w:tcMar>
            <w:vAlign w:val="center"/>
          </w:tcPr>
          <w:p w14:paraId="79A62CD7" w14:textId="77777777" w:rsidR="00442E6D" w:rsidRPr="002A40C0" w:rsidRDefault="00442E6D" w:rsidP="00B063F2">
            <w:pPr>
              <w:pStyle w:val="TableText"/>
              <w:jc w:val="right"/>
            </w:pPr>
            <w:r w:rsidRPr="002A40C0">
              <w:rPr>
                <w:rFonts w:eastAsia="Calibri"/>
              </w:rPr>
              <w:t>2,671.7</w:t>
            </w:r>
          </w:p>
        </w:tc>
        <w:tc>
          <w:tcPr>
            <w:tcW w:w="1706" w:type="dxa"/>
            <w:shd w:val="clear" w:color="auto" w:fill="FFFFFF"/>
            <w:tcMar>
              <w:top w:w="0" w:type="dxa"/>
              <w:left w:w="85" w:type="dxa"/>
              <w:bottom w:w="0" w:type="dxa"/>
              <w:right w:w="85" w:type="dxa"/>
            </w:tcMar>
            <w:vAlign w:val="center"/>
          </w:tcPr>
          <w:p w14:paraId="7713265E" w14:textId="77777777" w:rsidR="00442E6D" w:rsidRPr="002A40C0" w:rsidRDefault="00442E6D" w:rsidP="00B063F2">
            <w:pPr>
              <w:pStyle w:val="TableText"/>
              <w:jc w:val="right"/>
            </w:pPr>
            <w:r w:rsidRPr="002A40C0">
              <w:rPr>
                <w:rFonts w:eastAsia="Calibri"/>
              </w:rPr>
              <w:t>46.1%</w:t>
            </w:r>
          </w:p>
        </w:tc>
      </w:tr>
      <w:tr w:rsidR="00442E6D" w:rsidRPr="002A40C0" w14:paraId="143F3841" w14:textId="77777777" w:rsidTr="00E83161">
        <w:trPr>
          <w:cantSplit/>
          <w:trHeight w:val="283"/>
        </w:trPr>
        <w:tc>
          <w:tcPr>
            <w:tcW w:w="2547" w:type="dxa"/>
            <w:shd w:val="clear" w:color="auto" w:fill="FFFFFF"/>
            <w:tcMar>
              <w:top w:w="0" w:type="dxa"/>
              <w:left w:w="85" w:type="dxa"/>
              <w:bottom w:w="0" w:type="dxa"/>
              <w:right w:w="85" w:type="dxa"/>
            </w:tcMar>
            <w:vAlign w:val="center"/>
          </w:tcPr>
          <w:p w14:paraId="7451E22E" w14:textId="77777777" w:rsidR="00442E6D" w:rsidRPr="002A40C0" w:rsidRDefault="00442E6D" w:rsidP="00B063F2">
            <w:pPr>
              <w:pStyle w:val="TableText"/>
            </w:pPr>
            <w:r w:rsidRPr="002A40C0">
              <w:rPr>
                <w:rFonts w:eastAsia="Calibri"/>
              </w:rPr>
              <w:t>HFCs</w:t>
            </w:r>
          </w:p>
        </w:tc>
        <w:tc>
          <w:tcPr>
            <w:tcW w:w="1276" w:type="dxa"/>
            <w:shd w:val="clear" w:color="auto" w:fill="FFFFFF"/>
            <w:tcMar>
              <w:top w:w="0" w:type="dxa"/>
              <w:left w:w="85" w:type="dxa"/>
              <w:bottom w:w="0" w:type="dxa"/>
              <w:right w:w="85" w:type="dxa"/>
            </w:tcMar>
            <w:vAlign w:val="center"/>
          </w:tcPr>
          <w:p w14:paraId="045EFD32" w14:textId="77777777" w:rsidR="00442E6D" w:rsidRPr="002A40C0" w:rsidRDefault="00442E6D" w:rsidP="00B063F2">
            <w:pPr>
              <w:pStyle w:val="TableText"/>
              <w:jc w:val="right"/>
            </w:pPr>
            <w:r w:rsidRPr="002A40C0">
              <w:rPr>
                <w:rFonts w:eastAsia="Calibri"/>
              </w:rPr>
              <w:t>Not occurring</w:t>
            </w:r>
          </w:p>
        </w:tc>
        <w:tc>
          <w:tcPr>
            <w:tcW w:w="1275" w:type="dxa"/>
            <w:shd w:val="clear" w:color="auto" w:fill="FFFFFF"/>
            <w:tcMar>
              <w:top w:w="0" w:type="dxa"/>
              <w:left w:w="85" w:type="dxa"/>
              <w:bottom w:w="0" w:type="dxa"/>
              <w:right w:w="85" w:type="dxa"/>
            </w:tcMar>
            <w:vAlign w:val="center"/>
          </w:tcPr>
          <w:p w14:paraId="4B240BA7" w14:textId="77777777" w:rsidR="00442E6D" w:rsidRPr="002A40C0" w:rsidRDefault="00442E6D" w:rsidP="00B063F2">
            <w:pPr>
              <w:pStyle w:val="TableText"/>
              <w:jc w:val="right"/>
            </w:pPr>
            <w:r w:rsidRPr="002A40C0">
              <w:rPr>
                <w:rFonts w:eastAsia="Calibri"/>
              </w:rPr>
              <w:t>1,480.3</w:t>
            </w:r>
          </w:p>
        </w:tc>
        <w:tc>
          <w:tcPr>
            <w:tcW w:w="1701" w:type="dxa"/>
            <w:shd w:val="clear" w:color="auto" w:fill="FFFFFF"/>
            <w:tcMar>
              <w:top w:w="0" w:type="dxa"/>
              <w:left w:w="85" w:type="dxa"/>
              <w:bottom w:w="0" w:type="dxa"/>
              <w:right w:w="85" w:type="dxa"/>
            </w:tcMar>
            <w:vAlign w:val="center"/>
          </w:tcPr>
          <w:p w14:paraId="40DFF11E" w14:textId="77777777" w:rsidR="00442E6D" w:rsidRPr="002A40C0" w:rsidRDefault="00442E6D" w:rsidP="00B063F2">
            <w:pPr>
              <w:pStyle w:val="TableText"/>
              <w:jc w:val="right"/>
            </w:pPr>
            <w:r w:rsidRPr="002A40C0">
              <w:rPr>
                <w:rFonts w:eastAsia="Calibri"/>
              </w:rPr>
              <w:t>1,480.3</w:t>
            </w:r>
          </w:p>
        </w:tc>
        <w:tc>
          <w:tcPr>
            <w:tcW w:w="1706" w:type="dxa"/>
            <w:shd w:val="clear" w:color="auto" w:fill="FFFFFF"/>
            <w:tcMar>
              <w:top w:w="0" w:type="dxa"/>
              <w:left w:w="85" w:type="dxa"/>
              <w:bottom w:w="0" w:type="dxa"/>
              <w:right w:w="85" w:type="dxa"/>
            </w:tcMar>
            <w:vAlign w:val="center"/>
          </w:tcPr>
          <w:p w14:paraId="6A31D181" w14:textId="77777777" w:rsidR="00442E6D" w:rsidRPr="002A40C0" w:rsidRDefault="00442E6D" w:rsidP="00B063F2">
            <w:pPr>
              <w:pStyle w:val="TableText"/>
              <w:jc w:val="right"/>
            </w:pPr>
            <w:r w:rsidRPr="002A40C0">
              <w:rPr>
                <w:rFonts w:eastAsia="Calibri"/>
              </w:rPr>
              <w:t>NA</w:t>
            </w:r>
          </w:p>
        </w:tc>
      </w:tr>
      <w:tr w:rsidR="00442E6D" w:rsidRPr="002A40C0" w14:paraId="6EE4F7AB" w14:textId="77777777" w:rsidTr="00E83161">
        <w:trPr>
          <w:cantSplit/>
          <w:trHeight w:val="283"/>
        </w:trPr>
        <w:tc>
          <w:tcPr>
            <w:tcW w:w="2547" w:type="dxa"/>
            <w:shd w:val="clear" w:color="auto" w:fill="FFFFFF"/>
            <w:tcMar>
              <w:top w:w="0" w:type="dxa"/>
              <w:left w:w="85" w:type="dxa"/>
              <w:bottom w:w="0" w:type="dxa"/>
              <w:right w:w="85" w:type="dxa"/>
            </w:tcMar>
            <w:vAlign w:val="center"/>
          </w:tcPr>
          <w:p w14:paraId="585DC8CA" w14:textId="77777777" w:rsidR="00442E6D" w:rsidRPr="002A40C0" w:rsidRDefault="00442E6D" w:rsidP="00B063F2">
            <w:pPr>
              <w:pStyle w:val="TableText"/>
            </w:pPr>
            <w:r w:rsidRPr="002A40C0">
              <w:rPr>
                <w:rFonts w:eastAsia="Calibri"/>
              </w:rPr>
              <w:t>PFCs</w:t>
            </w:r>
          </w:p>
        </w:tc>
        <w:tc>
          <w:tcPr>
            <w:tcW w:w="1276" w:type="dxa"/>
            <w:shd w:val="clear" w:color="auto" w:fill="FFFFFF"/>
            <w:tcMar>
              <w:top w:w="0" w:type="dxa"/>
              <w:left w:w="85" w:type="dxa"/>
              <w:bottom w:w="0" w:type="dxa"/>
              <w:right w:w="85" w:type="dxa"/>
            </w:tcMar>
            <w:vAlign w:val="center"/>
          </w:tcPr>
          <w:p w14:paraId="20ECC98C" w14:textId="77777777" w:rsidR="00442E6D" w:rsidRPr="002A40C0" w:rsidRDefault="00442E6D" w:rsidP="00B063F2">
            <w:pPr>
              <w:pStyle w:val="TableText"/>
              <w:jc w:val="right"/>
            </w:pPr>
            <w:r w:rsidRPr="002A40C0">
              <w:rPr>
                <w:rFonts w:eastAsia="Calibri"/>
              </w:rPr>
              <w:t>909.9</w:t>
            </w:r>
          </w:p>
        </w:tc>
        <w:tc>
          <w:tcPr>
            <w:tcW w:w="1275" w:type="dxa"/>
            <w:shd w:val="clear" w:color="auto" w:fill="FFFFFF"/>
            <w:tcMar>
              <w:top w:w="0" w:type="dxa"/>
              <w:left w:w="85" w:type="dxa"/>
              <w:bottom w:w="0" w:type="dxa"/>
              <w:right w:w="85" w:type="dxa"/>
            </w:tcMar>
            <w:vAlign w:val="center"/>
          </w:tcPr>
          <w:p w14:paraId="36FCC35F" w14:textId="77777777" w:rsidR="00442E6D" w:rsidRPr="002A40C0" w:rsidRDefault="00442E6D" w:rsidP="00B063F2">
            <w:pPr>
              <w:pStyle w:val="TableText"/>
              <w:jc w:val="right"/>
            </w:pPr>
            <w:r w:rsidRPr="002A40C0">
              <w:rPr>
                <w:rFonts w:eastAsia="Calibri"/>
              </w:rPr>
              <w:t>87.9</w:t>
            </w:r>
          </w:p>
        </w:tc>
        <w:tc>
          <w:tcPr>
            <w:tcW w:w="1701" w:type="dxa"/>
            <w:shd w:val="clear" w:color="auto" w:fill="FFFFFF"/>
            <w:tcMar>
              <w:top w:w="0" w:type="dxa"/>
              <w:left w:w="85" w:type="dxa"/>
              <w:bottom w:w="0" w:type="dxa"/>
              <w:right w:w="85" w:type="dxa"/>
            </w:tcMar>
            <w:vAlign w:val="center"/>
          </w:tcPr>
          <w:p w14:paraId="19DFE03E" w14:textId="77777777" w:rsidR="00442E6D" w:rsidRPr="002A40C0" w:rsidRDefault="00442E6D" w:rsidP="00B063F2">
            <w:pPr>
              <w:pStyle w:val="TableText"/>
              <w:jc w:val="right"/>
            </w:pPr>
            <w:r w:rsidRPr="002A40C0">
              <w:rPr>
                <w:rFonts w:eastAsia="Calibri"/>
              </w:rPr>
              <w:t>–822.0</w:t>
            </w:r>
          </w:p>
        </w:tc>
        <w:tc>
          <w:tcPr>
            <w:tcW w:w="1706" w:type="dxa"/>
            <w:shd w:val="clear" w:color="auto" w:fill="FFFFFF"/>
            <w:tcMar>
              <w:top w:w="0" w:type="dxa"/>
              <w:left w:w="85" w:type="dxa"/>
              <w:bottom w:w="0" w:type="dxa"/>
              <w:right w:w="85" w:type="dxa"/>
            </w:tcMar>
            <w:vAlign w:val="center"/>
          </w:tcPr>
          <w:p w14:paraId="3CAA5E00" w14:textId="77777777" w:rsidR="00442E6D" w:rsidRPr="002A40C0" w:rsidRDefault="00442E6D" w:rsidP="00B063F2">
            <w:pPr>
              <w:pStyle w:val="TableText"/>
              <w:jc w:val="right"/>
            </w:pPr>
            <w:r w:rsidRPr="002A40C0">
              <w:rPr>
                <w:rFonts w:eastAsia="Calibri"/>
              </w:rPr>
              <w:t>–90.3%</w:t>
            </w:r>
          </w:p>
        </w:tc>
      </w:tr>
      <w:tr w:rsidR="00442E6D" w:rsidRPr="002A40C0" w14:paraId="6D8F9AB8" w14:textId="77777777" w:rsidTr="00E83161">
        <w:trPr>
          <w:cantSplit/>
          <w:trHeight w:val="283"/>
        </w:trPr>
        <w:tc>
          <w:tcPr>
            <w:tcW w:w="2547" w:type="dxa"/>
            <w:shd w:val="clear" w:color="auto" w:fill="FFFFFF"/>
            <w:tcMar>
              <w:top w:w="0" w:type="dxa"/>
              <w:left w:w="85" w:type="dxa"/>
              <w:bottom w:w="0" w:type="dxa"/>
              <w:right w:w="85" w:type="dxa"/>
            </w:tcMar>
            <w:vAlign w:val="center"/>
          </w:tcPr>
          <w:p w14:paraId="60FE5ADF" w14:textId="77777777" w:rsidR="00442E6D" w:rsidRPr="002A40C0" w:rsidRDefault="00442E6D" w:rsidP="00B063F2">
            <w:pPr>
              <w:pStyle w:val="TableText"/>
            </w:pPr>
            <w:r w:rsidRPr="002A40C0">
              <w:rPr>
                <w:rFonts w:eastAsia="Calibri"/>
              </w:rPr>
              <w:t>SF</w:t>
            </w:r>
            <w:r w:rsidRPr="002A40C0">
              <w:rPr>
                <w:rFonts w:eastAsia="Calibri"/>
                <w:vertAlign w:val="subscript"/>
              </w:rPr>
              <w:t>6</w:t>
            </w:r>
          </w:p>
        </w:tc>
        <w:tc>
          <w:tcPr>
            <w:tcW w:w="1276" w:type="dxa"/>
            <w:shd w:val="clear" w:color="auto" w:fill="FFFFFF"/>
            <w:tcMar>
              <w:top w:w="0" w:type="dxa"/>
              <w:left w:w="85" w:type="dxa"/>
              <w:bottom w:w="0" w:type="dxa"/>
              <w:right w:w="85" w:type="dxa"/>
            </w:tcMar>
            <w:vAlign w:val="center"/>
          </w:tcPr>
          <w:p w14:paraId="18F111AE" w14:textId="77777777" w:rsidR="00442E6D" w:rsidRPr="002A40C0" w:rsidRDefault="00442E6D" w:rsidP="00B063F2">
            <w:pPr>
              <w:pStyle w:val="TableText"/>
              <w:jc w:val="right"/>
            </w:pPr>
            <w:r w:rsidRPr="002A40C0">
              <w:rPr>
                <w:rFonts w:eastAsia="Calibri"/>
              </w:rPr>
              <w:t>20.0</w:t>
            </w:r>
          </w:p>
        </w:tc>
        <w:tc>
          <w:tcPr>
            <w:tcW w:w="1275" w:type="dxa"/>
            <w:shd w:val="clear" w:color="auto" w:fill="FFFFFF"/>
            <w:tcMar>
              <w:top w:w="0" w:type="dxa"/>
              <w:left w:w="85" w:type="dxa"/>
              <w:bottom w:w="0" w:type="dxa"/>
              <w:right w:w="85" w:type="dxa"/>
            </w:tcMar>
            <w:vAlign w:val="center"/>
          </w:tcPr>
          <w:p w14:paraId="733FEC91" w14:textId="77777777" w:rsidR="00442E6D" w:rsidRPr="002A40C0" w:rsidRDefault="00442E6D" w:rsidP="00B063F2">
            <w:pPr>
              <w:pStyle w:val="TableText"/>
              <w:jc w:val="right"/>
            </w:pPr>
            <w:r w:rsidRPr="002A40C0">
              <w:rPr>
                <w:rFonts w:eastAsia="Calibri"/>
              </w:rPr>
              <w:t>16.7</w:t>
            </w:r>
          </w:p>
        </w:tc>
        <w:tc>
          <w:tcPr>
            <w:tcW w:w="1701" w:type="dxa"/>
            <w:shd w:val="clear" w:color="auto" w:fill="FFFFFF"/>
            <w:tcMar>
              <w:top w:w="0" w:type="dxa"/>
              <w:left w:w="85" w:type="dxa"/>
              <w:bottom w:w="0" w:type="dxa"/>
              <w:right w:w="85" w:type="dxa"/>
            </w:tcMar>
            <w:vAlign w:val="center"/>
          </w:tcPr>
          <w:p w14:paraId="766364E4" w14:textId="77777777" w:rsidR="00442E6D" w:rsidRPr="002A40C0" w:rsidRDefault="00442E6D" w:rsidP="00B063F2">
            <w:pPr>
              <w:pStyle w:val="TableText"/>
              <w:jc w:val="right"/>
            </w:pPr>
            <w:r w:rsidRPr="002A40C0">
              <w:rPr>
                <w:rFonts w:eastAsia="Calibri"/>
              </w:rPr>
              <w:t>–3.3</w:t>
            </w:r>
          </w:p>
        </w:tc>
        <w:tc>
          <w:tcPr>
            <w:tcW w:w="1706" w:type="dxa"/>
            <w:shd w:val="clear" w:color="auto" w:fill="FFFFFF"/>
            <w:tcMar>
              <w:top w:w="0" w:type="dxa"/>
              <w:left w:w="85" w:type="dxa"/>
              <w:bottom w:w="0" w:type="dxa"/>
              <w:right w:w="85" w:type="dxa"/>
            </w:tcMar>
            <w:vAlign w:val="center"/>
          </w:tcPr>
          <w:p w14:paraId="5E228686" w14:textId="77777777" w:rsidR="00442E6D" w:rsidRPr="002A40C0" w:rsidRDefault="00442E6D" w:rsidP="00B063F2">
            <w:pPr>
              <w:pStyle w:val="TableText"/>
              <w:jc w:val="right"/>
            </w:pPr>
            <w:r w:rsidRPr="002A40C0">
              <w:rPr>
                <w:rFonts w:eastAsia="Calibri"/>
              </w:rPr>
              <w:t>–16.5%</w:t>
            </w:r>
          </w:p>
        </w:tc>
      </w:tr>
      <w:tr w:rsidR="00442E6D" w:rsidRPr="002A40C0" w14:paraId="3AFAE00C" w14:textId="77777777" w:rsidTr="00E83161">
        <w:trPr>
          <w:cantSplit/>
          <w:trHeight w:val="283"/>
        </w:trPr>
        <w:tc>
          <w:tcPr>
            <w:tcW w:w="2547" w:type="dxa"/>
            <w:shd w:val="clear" w:color="auto" w:fill="FFFFFF"/>
            <w:tcMar>
              <w:top w:w="0" w:type="dxa"/>
              <w:left w:w="85" w:type="dxa"/>
              <w:bottom w:w="0" w:type="dxa"/>
              <w:right w:w="85" w:type="dxa"/>
            </w:tcMar>
            <w:vAlign w:val="center"/>
          </w:tcPr>
          <w:p w14:paraId="392F6F18" w14:textId="77777777" w:rsidR="00442E6D" w:rsidRPr="002A40C0" w:rsidRDefault="00442E6D" w:rsidP="00B063F2">
            <w:pPr>
              <w:pStyle w:val="Tableboldblue"/>
            </w:pPr>
            <w:r w:rsidRPr="002A40C0">
              <w:rPr>
                <w:rFonts w:eastAsia="Calibri"/>
              </w:rPr>
              <w:t>Gross, all gases</w:t>
            </w:r>
          </w:p>
        </w:tc>
        <w:tc>
          <w:tcPr>
            <w:tcW w:w="1276" w:type="dxa"/>
            <w:shd w:val="clear" w:color="auto" w:fill="FFFFFF"/>
            <w:tcMar>
              <w:top w:w="0" w:type="dxa"/>
              <w:left w:w="85" w:type="dxa"/>
              <w:bottom w:w="0" w:type="dxa"/>
              <w:right w:w="85" w:type="dxa"/>
            </w:tcMar>
            <w:vAlign w:val="center"/>
          </w:tcPr>
          <w:p w14:paraId="6BC5B512" w14:textId="77777777" w:rsidR="00442E6D" w:rsidRPr="002A40C0" w:rsidRDefault="00442E6D" w:rsidP="00B063F2">
            <w:pPr>
              <w:pStyle w:val="Tableboldblue"/>
              <w:jc w:val="right"/>
            </w:pPr>
            <w:r w:rsidRPr="002A40C0">
              <w:rPr>
                <w:rFonts w:eastAsia="Calibri"/>
              </w:rPr>
              <w:t>65,197.0</w:t>
            </w:r>
          </w:p>
        </w:tc>
        <w:tc>
          <w:tcPr>
            <w:tcW w:w="1275" w:type="dxa"/>
            <w:shd w:val="clear" w:color="auto" w:fill="FFFFFF"/>
            <w:tcMar>
              <w:top w:w="0" w:type="dxa"/>
              <w:left w:w="85" w:type="dxa"/>
              <w:bottom w:w="0" w:type="dxa"/>
              <w:right w:w="85" w:type="dxa"/>
            </w:tcMar>
            <w:vAlign w:val="center"/>
          </w:tcPr>
          <w:p w14:paraId="1AC06D13" w14:textId="77777777" w:rsidR="00442E6D" w:rsidRPr="002A40C0" w:rsidRDefault="00442E6D" w:rsidP="00B063F2">
            <w:pPr>
              <w:pStyle w:val="Tableboldblue"/>
              <w:jc w:val="right"/>
            </w:pPr>
            <w:r w:rsidRPr="002A40C0">
              <w:rPr>
                <w:rFonts w:eastAsia="Calibri"/>
              </w:rPr>
              <w:t>78,778.4</w:t>
            </w:r>
          </w:p>
        </w:tc>
        <w:tc>
          <w:tcPr>
            <w:tcW w:w="1701" w:type="dxa"/>
            <w:shd w:val="clear" w:color="auto" w:fill="FFFFFF"/>
            <w:tcMar>
              <w:top w:w="0" w:type="dxa"/>
              <w:left w:w="85" w:type="dxa"/>
              <w:bottom w:w="0" w:type="dxa"/>
              <w:right w:w="85" w:type="dxa"/>
            </w:tcMar>
            <w:vAlign w:val="center"/>
          </w:tcPr>
          <w:p w14:paraId="63253D5A" w14:textId="77777777" w:rsidR="00442E6D" w:rsidRPr="002A40C0" w:rsidRDefault="00442E6D" w:rsidP="00B063F2">
            <w:pPr>
              <w:pStyle w:val="Tableboldblue"/>
              <w:jc w:val="right"/>
            </w:pPr>
            <w:r w:rsidRPr="002A40C0">
              <w:rPr>
                <w:rFonts w:eastAsia="Calibri"/>
              </w:rPr>
              <w:t>13,581.4</w:t>
            </w:r>
          </w:p>
        </w:tc>
        <w:tc>
          <w:tcPr>
            <w:tcW w:w="1706" w:type="dxa"/>
            <w:shd w:val="clear" w:color="auto" w:fill="FFFFFF"/>
            <w:tcMar>
              <w:top w:w="0" w:type="dxa"/>
              <w:left w:w="85" w:type="dxa"/>
              <w:bottom w:w="0" w:type="dxa"/>
              <w:right w:w="85" w:type="dxa"/>
            </w:tcMar>
            <w:vAlign w:val="center"/>
          </w:tcPr>
          <w:p w14:paraId="26AFA287" w14:textId="77777777" w:rsidR="00442E6D" w:rsidRPr="002A40C0" w:rsidRDefault="00442E6D" w:rsidP="00B063F2">
            <w:pPr>
              <w:pStyle w:val="Tableboldblue"/>
              <w:jc w:val="right"/>
            </w:pPr>
            <w:r w:rsidRPr="002A40C0">
              <w:rPr>
                <w:rFonts w:eastAsia="Calibri"/>
              </w:rPr>
              <w:t>20.8%</w:t>
            </w:r>
          </w:p>
        </w:tc>
      </w:tr>
    </w:tbl>
    <w:p w14:paraId="4571FF61" w14:textId="77777777" w:rsidR="00442E6D" w:rsidRPr="002A40C0" w:rsidRDefault="00442E6D" w:rsidP="00442E6D">
      <w:pPr>
        <w:pStyle w:val="Noteundertable"/>
      </w:pPr>
      <w:r w:rsidRPr="002A40C0">
        <w:rPr>
          <w:b/>
          <w:bCs/>
        </w:rPr>
        <w:t>Note:</w:t>
      </w:r>
      <w:r w:rsidRPr="002A40C0">
        <w:tab/>
        <w:t>Gross emissions exclude net removals from the LULUCF sector. The percentage change for HFCs is not applicable (NA) because no emissions of HFCs occurred in 1990. Columns may not total due to rounding. Percentages presented are calculated from unrounded values.</w:t>
      </w:r>
    </w:p>
    <w:p w14:paraId="415F0FF8" w14:textId="77777777" w:rsidR="00442E6D" w:rsidRPr="002A40C0" w:rsidRDefault="00442E6D" w:rsidP="00442E6D">
      <w:pPr>
        <w:pStyle w:val="Figure"/>
      </w:pPr>
      <w:bookmarkStart w:id="15" w:name="_Toc99695994"/>
      <w:r w:rsidRPr="002A40C0">
        <w:t>Figure ES 3.1</w:t>
      </w:r>
      <w:r w:rsidRPr="002A40C0">
        <w:tab/>
        <w:t>New Zealand’s gross emissions by gas in 1990 and 2020</w:t>
      </w:r>
      <w:bookmarkEnd w:id="15"/>
    </w:p>
    <w:p w14:paraId="76F46DDD" w14:textId="09C4C513" w:rsidR="00442E6D" w:rsidRPr="002A40C0" w:rsidRDefault="004B48CC" w:rsidP="00442E6D">
      <w:pPr>
        <w:pStyle w:val="BodyText"/>
      </w:pPr>
      <w:r>
        <w:rPr>
          <w:noProof/>
        </w:rPr>
        <w:pict w14:anchorId="5B37E122">
          <v:shape id="_x0000_i1027" type="#_x0000_t75" style="width:425.3pt;height:311.45pt;visibility:visible;mso-wrap-style:square">
            <v:imagedata r:id="rId22" o:title="" cropbottom="1388f"/>
          </v:shape>
        </w:pict>
      </w:r>
    </w:p>
    <w:p w14:paraId="1A27B026" w14:textId="38459F32" w:rsidR="00442E6D" w:rsidRPr="002A40C0" w:rsidRDefault="00442E6D" w:rsidP="00E83161">
      <w:pPr>
        <w:pStyle w:val="BodyText"/>
        <w:keepLines/>
      </w:pPr>
      <w:r w:rsidRPr="002A40C0">
        <w:lastRenderedPageBreak/>
        <w:t>In 1990, CH</w:t>
      </w:r>
      <w:r w:rsidRPr="002A40C0">
        <w:rPr>
          <w:vertAlign w:val="subscript"/>
        </w:rPr>
        <w:t>4</w:t>
      </w:r>
      <w:r w:rsidRPr="002A40C0">
        <w:t xml:space="preserve"> made up the largest proportion of gross emissions, while in 2020, CO</w:t>
      </w:r>
      <w:r w:rsidRPr="002A40C0">
        <w:rPr>
          <w:vertAlign w:val="subscript"/>
        </w:rPr>
        <w:t>2</w:t>
      </w:r>
      <w:r w:rsidRPr="002A40C0">
        <w:t xml:space="preserve"> and CH</w:t>
      </w:r>
      <w:r w:rsidRPr="002A40C0">
        <w:rPr>
          <w:vertAlign w:val="subscript"/>
        </w:rPr>
        <w:t>4</w:t>
      </w:r>
      <w:r w:rsidRPr="002A40C0">
        <w:t xml:space="preserve"> contributed the largest proportions (43.7 per cent and 43.5 per cent respectively) to the gross national emissions (see figure ES 3.2). While emissions of CH</w:t>
      </w:r>
      <w:r w:rsidRPr="002A40C0">
        <w:rPr>
          <w:vertAlign w:val="subscript"/>
        </w:rPr>
        <w:t>4</w:t>
      </w:r>
      <w:r w:rsidRPr="002A40C0">
        <w:t xml:space="preserve"> have also increased over</w:t>
      </w:r>
      <w:r w:rsidR="00E83161">
        <w:t> </w:t>
      </w:r>
      <w:r w:rsidRPr="002A40C0">
        <w:t>this time, the proportion of CH</w:t>
      </w:r>
      <w:r w:rsidRPr="002A40C0">
        <w:rPr>
          <w:vertAlign w:val="subscript"/>
        </w:rPr>
        <w:t>4</w:t>
      </w:r>
      <w:r w:rsidRPr="002A40C0">
        <w:t xml:space="preserve"> relative to other gases in the inventory has decreased over the time series, because CO</w:t>
      </w:r>
      <w:r w:rsidRPr="002A40C0">
        <w:rPr>
          <w:vertAlign w:val="subscript"/>
        </w:rPr>
        <w:t>2</w:t>
      </w:r>
      <w:r w:rsidRPr="002A40C0">
        <w:t xml:space="preserve"> emissions have increased by a greater amount.</w:t>
      </w:r>
    </w:p>
    <w:p w14:paraId="7F9D54D4" w14:textId="77777777" w:rsidR="00442E6D" w:rsidRPr="002A40C0" w:rsidRDefault="00442E6D" w:rsidP="00442E6D">
      <w:pPr>
        <w:pStyle w:val="BodyText"/>
      </w:pPr>
      <w:r w:rsidRPr="002A40C0">
        <w:t>This trend reflects the increase in CO</w:t>
      </w:r>
      <w:r w:rsidRPr="002A40C0">
        <w:rPr>
          <w:vertAlign w:val="subscript"/>
        </w:rPr>
        <w:t>2</w:t>
      </w:r>
      <w:r w:rsidRPr="002A40C0">
        <w:t xml:space="preserve"> emissions from the Energy sector as the biggest contributor of CO</w:t>
      </w:r>
      <w:r w:rsidRPr="002A40C0">
        <w:rPr>
          <w:vertAlign w:val="subscript"/>
        </w:rPr>
        <w:t>2</w:t>
      </w:r>
      <w:r w:rsidRPr="002A40C0">
        <w:t xml:space="preserve"> to New Zealand’s gross emissions (ranging between 87.0 per cent and 89.0 per cent of gross CO</w:t>
      </w:r>
      <w:r w:rsidRPr="002A40C0">
        <w:rPr>
          <w:vertAlign w:val="subscript"/>
        </w:rPr>
        <w:t>2</w:t>
      </w:r>
      <w:r w:rsidRPr="002A40C0">
        <w:t xml:space="preserve"> emissions across the entire time series).</w:t>
      </w:r>
    </w:p>
    <w:p w14:paraId="51CC3D9A" w14:textId="77777777" w:rsidR="00442E6D" w:rsidRPr="002A40C0" w:rsidRDefault="00442E6D" w:rsidP="00442E6D">
      <w:pPr>
        <w:pStyle w:val="BodyText"/>
      </w:pPr>
      <w:r w:rsidRPr="002A40C0">
        <w:t>In 2020, removals from the LULUCF sector were 23,313.3 kt CO</w:t>
      </w:r>
      <w:r w:rsidRPr="002A40C0">
        <w:rPr>
          <w:vertAlign w:val="subscript"/>
        </w:rPr>
        <w:t>2</w:t>
      </w:r>
      <w:r w:rsidRPr="002A40C0">
        <w:t>-e. This offset 29.6 per cent of New Zealand’s gross emissions.</w:t>
      </w:r>
    </w:p>
    <w:p w14:paraId="23642F10" w14:textId="77777777" w:rsidR="00442E6D" w:rsidRPr="002A40C0" w:rsidRDefault="00442E6D" w:rsidP="00442E6D">
      <w:pPr>
        <w:pStyle w:val="BodyText"/>
      </w:pPr>
      <w:r w:rsidRPr="002A40C0">
        <w:t>Between 1990 and 2020, the amount of CO</w:t>
      </w:r>
      <w:r w:rsidRPr="002A40C0">
        <w:rPr>
          <w:vertAlign w:val="subscript"/>
        </w:rPr>
        <w:t>2</w:t>
      </w:r>
      <w:r w:rsidRPr="002A40C0">
        <w:t>-e removed from the atmosphere by the LULUCF sector increased by 2,084.0 kt CO</w:t>
      </w:r>
      <w:r w:rsidRPr="002A40C0">
        <w:rPr>
          <w:vertAlign w:val="subscript"/>
        </w:rPr>
        <w:t>2</w:t>
      </w:r>
      <w:r w:rsidRPr="002A40C0">
        <w:t>-e (9.8 per cent) from the 1990 level of 21,229.2 kt CO</w:t>
      </w:r>
      <w:r w:rsidRPr="002A40C0">
        <w:rPr>
          <w:vertAlign w:val="subscript"/>
        </w:rPr>
        <w:t>2</w:t>
      </w:r>
      <w:r w:rsidRPr="002A40C0">
        <w:t>-e. This is largely due to an increase in the production of harvested wood products, which have compensated for the emissions from the increase in forest harvesting.</w:t>
      </w:r>
    </w:p>
    <w:p w14:paraId="556E44CA" w14:textId="77777777" w:rsidR="00442E6D" w:rsidRPr="002A40C0" w:rsidRDefault="00442E6D" w:rsidP="00442E6D">
      <w:pPr>
        <w:pStyle w:val="Heading4"/>
      </w:pPr>
      <w:bookmarkStart w:id="16" w:name="indirect-gases"/>
      <w:r w:rsidRPr="002A40C0">
        <w:t>Indirect gases</w:t>
      </w:r>
    </w:p>
    <w:p w14:paraId="0251DA45" w14:textId="77777777" w:rsidR="00442E6D" w:rsidRPr="002A40C0" w:rsidRDefault="00442E6D" w:rsidP="00442E6D">
      <w:pPr>
        <w:pStyle w:val="BodyText"/>
      </w:pPr>
      <w:r w:rsidRPr="002A40C0">
        <w:t>Indirect GHGs are included in inventory reporting but are not counted in emissions totals. These indirect gases are carbon monoxide (CO), sulphur dioxide (SO</w:t>
      </w:r>
      <w:r w:rsidRPr="002A40C0">
        <w:rPr>
          <w:vertAlign w:val="subscript"/>
        </w:rPr>
        <w:t>2</w:t>
      </w:r>
      <w:r w:rsidRPr="002A40C0">
        <w:t>), oxides of nitrogen (NO</w:t>
      </w:r>
      <w:r w:rsidRPr="002A40C0">
        <w:rPr>
          <w:vertAlign w:val="subscript"/>
        </w:rPr>
        <w:t>X</w:t>
      </w:r>
      <w:r w:rsidRPr="002A40C0">
        <w:t>) and non-methane volatile organic compounds (NMVOCs). Table ES 3.2 summarises New Zealand’s indirect GHG emissions in 1990 and 2020 as well as the change between these years.</w:t>
      </w:r>
    </w:p>
    <w:p w14:paraId="192F373A" w14:textId="77777777" w:rsidR="00442E6D" w:rsidRPr="002A40C0" w:rsidRDefault="00442E6D" w:rsidP="00442E6D">
      <w:pPr>
        <w:pStyle w:val="Table"/>
      </w:pPr>
      <w:bookmarkStart w:id="17" w:name="_Toc99659199"/>
      <w:r w:rsidRPr="002A40C0">
        <w:t>Table ES 3.2</w:t>
      </w:r>
      <w:r w:rsidRPr="002A40C0">
        <w:tab/>
        <w:t>New Zealand’s indirect greenhouse gas emissions (excluding LULUCF) in 1990 and 2020</w:t>
      </w:r>
      <w:bookmarkEnd w:id="17"/>
    </w:p>
    <w:tbl>
      <w:tblPr>
        <w:tblW w:w="8505" w:type="dxa"/>
        <w:tblInd w:w="113"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82"/>
        <w:gridCol w:w="718"/>
        <w:gridCol w:w="718"/>
        <w:gridCol w:w="1931"/>
        <w:gridCol w:w="1856"/>
      </w:tblGrid>
      <w:tr w:rsidR="00442E6D" w:rsidRPr="00442E6D" w14:paraId="0AF8DD4A" w14:textId="77777777" w:rsidTr="00E83161">
        <w:trPr>
          <w:cantSplit/>
          <w:tblHeader/>
        </w:trPr>
        <w:tc>
          <w:tcPr>
            <w:tcW w:w="0" w:type="auto"/>
            <w:shd w:val="clear" w:color="auto" w:fill="1B556B"/>
            <w:tcMar>
              <w:top w:w="0" w:type="dxa"/>
              <w:left w:w="85" w:type="dxa"/>
              <w:bottom w:w="0" w:type="dxa"/>
              <w:right w:w="85" w:type="dxa"/>
            </w:tcMar>
            <w:vAlign w:val="bottom"/>
          </w:tcPr>
          <w:p w14:paraId="43665B5A" w14:textId="77777777" w:rsidR="00442E6D" w:rsidRPr="00442E6D" w:rsidRDefault="00442E6D" w:rsidP="00B063F2">
            <w:pPr>
              <w:pStyle w:val="TableTextBold"/>
              <w:rPr>
                <w:noProof w:val="0"/>
                <w:color w:val="FFFFFF"/>
              </w:rPr>
            </w:pPr>
            <w:r w:rsidRPr="00442E6D">
              <w:rPr>
                <w:rFonts w:eastAsia="Calibri"/>
                <w:noProof w:val="0"/>
                <w:color w:val="FFFFFF"/>
              </w:rPr>
              <w:t>Indirect greenhouse gas emissions</w:t>
            </w:r>
          </w:p>
        </w:tc>
        <w:tc>
          <w:tcPr>
            <w:tcW w:w="0" w:type="auto"/>
            <w:shd w:val="clear" w:color="auto" w:fill="1B556B"/>
            <w:tcMar>
              <w:top w:w="0" w:type="dxa"/>
              <w:left w:w="85" w:type="dxa"/>
              <w:bottom w:w="0" w:type="dxa"/>
              <w:right w:w="85" w:type="dxa"/>
            </w:tcMar>
            <w:vAlign w:val="bottom"/>
          </w:tcPr>
          <w:p w14:paraId="48CB6DC7" w14:textId="77777777" w:rsidR="00442E6D" w:rsidRPr="00442E6D" w:rsidRDefault="00442E6D" w:rsidP="00B063F2">
            <w:pPr>
              <w:pStyle w:val="TableTextBold"/>
              <w:rPr>
                <w:noProof w:val="0"/>
                <w:color w:val="FFFFFF"/>
              </w:rPr>
            </w:pPr>
            <w:r w:rsidRPr="00442E6D">
              <w:rPr>
                <w:rFonts w:eastAsia="Calibri"/>
                <w:noProof w:val="0"/>
                <w:color w:val="FFFFFF"/>
              </w:rPr>
              <w:t>1990</w:t>
            </w:r>
          </w:p>
        </w:tc>
        <w:tc>
          <w:tcPr>
            <w:tcW w:w="0" w:type="auto"/>
            <w:shd w:val="clear" w:color="auto" w:fill="1B556B"/>
            <w:tcMar>
              <w:top w:w="0" w:type="dxa"/>
              <w:left w:w="85" w:type="dxa"/>
              <w:bottom w:w="0" w:type="dxa"/>
              <w:right w:w="85" w:type="dxa"/>
            </w:tcMar>
            <w:vAlign w:val="bottom"/>
          </w:tcPr>
          <w:p w14:paraId="3F3F3C37" w14:textId="77777777" w:rsidR="00442E6D" w:rsidRPr="00442E6D" w:rsidRDefault="00442E6D" w:rsidP="00B063F2">
            <w:pPr>
              <w:pStyle w:val="TableTextBold"/>
              <w:rPr>
                <w:noProof w:val="0"/>
                <w:color w:val="FFFFFF"/>
              </w:rPr>
            </w:pPr>
            <w:r w:rsidRPr="00442E6D">
              <w:rPr>
                <w:rFonts w:eastAsia="Calibri"/>
                <w:noProof w:val="0"/>
                <w:color w:val="FFFFFF"/>
              </w:rPr>
              <w:t>2020</w:t>
            </w:r>
          </w:p>
        </w:tc>
        <w:tc>
          <w:tcPr>
            <w:tcW w:w="0" w:type="auto"/>
            <w:shd w:val="clear" w:color="auto" w:fill="1B556B"/>
            <w:tcMar>
              <w:top w:w="0" w:type="dxa"/>
              <w:left w:w="85" w:type="dxa"/>
              <w:bottom w:w="0" w:type="dxa"/>
              <w:right w:w="85" w:type="dxa"/>
            </w:tcMar>
            <w:vAlign w:val="bottom"/>
          </w:tcPr>
          <w:p w14:paraId="77F5EA69" w14:textId="77777777" w:rsidR="00442E6D" w:rsidRPr="00442E6D" w:rsidRDefault="00442E6D" w:rsidP="00B063F2">
            <w:pPr>
              <w:pStyle w:val="TableTextBold"/>
              <w:jc w:val="right"/>
              <w:rPr>
                <w:noProof w:val="0"/>
                <w:color w:val="FFFFFF"/>
              </w:rPr>
            </w:pPr>
            <w:r w:rsidRPr="00442E6D">
              <w:rPr>
                <w:rFonts w:eastAsia="Calibri"/>
                <w:noProof w:val="0"/>
                <w:color w:val="FFFFFF"/>
              </w:rPr>
              <w:t xml:space="preserve">Change from 1990 </w:t>
            </w:r>
            <w:r w:rsidRPr="00442E6D">
              <w:rPr>
                <w:rFonts w:eastAsia="Calibri"/>
                <w:noProof w:val="0"/>
                <w:color w:val="FFFFFF"/>
              </w:rPr>
              <w:br/>
              <w:t>(kt CO</w:t>
            </w:r>
            <w:r w:rsidRPr="00442E6D">
              <w:rPr>
                <w:rFonts w:eastAsia="Calibri"/>
                <w:noProof w:val="0"/>
                <w:color w:val="FFFFFF"/>
                <w:vertAlign w:val="subscript"/>
              </w:rPr>
              <w:t>2</w:t>
            </w:r>
            <w:r w:rsidRPr="00442E6D">
              <w:rPr>
                <w:rFonts w:eastAsia="Calibri"/>
                <w:noProof w:val="0"/>
                <w:color w:val="FFFFFF"/>
              </w:rPr>
              <w:t>-equivalent)</w:t>
            </w:r>
          </w:p>
        </w:tc>
        <w:tc>
          <w:tcPr>
            <w:tcW w:w="0" w:type="auto"/>
            <w:shd w:val="clear" w:color="auto" w:fill="1B556B"/>
            <w:tcMar>
              <w:top w:w="0" w:type="dxa"/>
              <w:left w:w="85" w:type="dxa"/>
              <w:bottom w:w="0" w:type="dxa"/>
              <w:right w:w="85" w:type="dxa"/>
            </w:tcMar>
            <w:vAlign w:val="bottom"/>
          </w:tcPr>
          <w:p w14:paraId="302EB595" w14:textId="77777777" w:rsidR="00442E6D" w:rsidRPr="00442E6D" w:rsidRDefault="00442E6D" w:rsidP="00B063F2">
            <w:pPr>
              <w:pStyle w:val="TableTextBold"/>
              <w:jc w:val="right"/>
              <w:rPr>
                <w:noProof w:val="0"/>
                <w:color w:val="FFFFFF"/>
              </w:rPr>
            </w:pPr>
            <w:r w:rsidRPr="00442E6D">
              <w:rPr>
                <w:rFonts w:eastAsia="Calibri"/>
                <w:noProof w:val="0"/>
                <w:color w:val="FFFFFF"/>
              </w:rPr>
              <w:t xml:space="preserve">Change from 1990 </w:t>
            </w:r>
            <w:r w:rsidRPr="00442E6D">
              <w:rPr>
                <w:rFonts w:eastAsia="Calibri"/>
                <w:noProof w:val="0"/>
                <w:color w:val="FFFFFF"/>
              </w:rPr>
              <w:br/>
              <w:t>(%)</w:t>
            </w:r>
          </w:p>
        </w:tc>
      </w:tr>
      <w:tr w:rsidR="00442E6D" w:rsidRPr="002A40C0" w14:paraId="5002BA03" w14:textId="77777777" w:rsidTr="00E83161">
        <w:trPr>
          <w:cantSplit/>
        </w:trPr>
        <w:tc>
          <w:tcPr>
            <w:tcW w:w="0" w:type="auto"/>
            <w:shd w:val="clear" w:color="auto" w:fill="FFFFFF"/>
            <w:tcMar>
              <w:top w:w="0" w:type="dxa"/>
              <w:left w:w="85" w:type="dxa"/>
              <w:bottom w:w="0" w:type="dxa"/>
              <w:right w:w="85" w:type="dxa"/>
            </w:tcMar>
            <w:vAlign w:val="center"/>
          </w:tcPr>
          <w:p w14:paraId="084E104A" w14:textId="77777777" w:rsidR="00442E6D" w:rsidRPr="002A40C0" w:rsidRDefault="00442E6D" w:rsidP="00B063F2">
            <w:pPr>
              <w:pStyle w:val="TableText"/>
            </w:pPr>
            <w:r w:rsidRPr="002A40C0">
              <w:rPr>
                <w:rFonts w:eastAsia="Calibri"/>
              </w:rPr>
              <w:t>CO</w:t>
            </w:r>
          </w:p>
        </w:tc>
        <w:tc>
          <w:tcPr>
            <w:tcW w:w="0" w:type="auto"/>
            <w:shd w:val="clear" w:color="auto" w:fill="FFFFFF"/>
            <w:tcMar>
              <w:top w:w="0" w:type="dxa"/>
              <w:left w:w="85" w:type="dxa"/>
              <w:bottom w:w="0" w:type="dxa"/>
              <w:right w:w="85" w:type="dxa"/>
            </w:tcMar>
            <w:vAlign w:val="center"/>
          </w:tcPr>
          <w:p w14:paraId="35D3A766" w14:textId="77777777" w:rsidR="00442E6D" w:rsidRPr="002A40C0" w:rsidRDefault="00442E6D" w:rsidP="00B063F2">
            <w:pPr>
              <w:pStyle w:val="TableText"/>
            </w:pPr>
            <w:r w:rsidRPr="002A40C0">
              <w:rPr>
                <w:rFonts w:eastAsia="Calibri"/>
              </w:rPr>
              <w:t>604.2</w:t>
            </w:r>
          </w:p>
        </w:tc>
        <w:tc>
          <w:tcPr>
            <w:tcW w:w="0" w:type="auto"/>
            <w:shd w:val="clear" w:color="auto" w:fill="FFFFFF"/>
            <w:tcMar>
              <w:top w:w="0" w:type="dxa"/>
              <w:left w:w="85" w:type="dxa"/>
              <w:bottom w:w="0" w:type="dxa"/>
              <w:right w:w="85" w:type="dxa"/>
            </w:tcMar>
            <w:vAlign w:val="center"/>
          </w:tcPr>
          <w:p w14:paraId="13C9B698" w14:textId="77777777" w:rsidR="00442E6D" w:rsidRPr="002A40C0" w:rsidRDefault="00442E6D" w:rsidP="00B063F2">
            <w:pPr>
              <w:pStyle w:val="TableText"/>
            </w:pPr>
            <w:r w:rsidRPr="002A40C0">
              <w:rPr>
                <w:rFonts w:eastAsia="Calibri"/>
              </w:rPr>
              <w:t>657.5</w:t>
            </w:r>
          </w:p>
        </w:tc>
        <w:tc>
          <w:tcPr>
            <w:tcW w:w="0" w:type="auto"/>
            <w:shd w:val="clear" w:color="auto" w:fill="FFFFFF"/>
            <w:tcMar>
              <w:top w:w="0" w:type="dxa"/>
              <w:left w:w="85" w:type="dxa"/>
              <w:bottom w:w="0" w:type="dxa"/>
              <w:right w:w="85" w:type="dxa"/>
            </w:tcMar>
            <w:vAlign w:val="center"/>
          </w:tcPr>
          <w:p w14:paraId="3C6EA416" w14:textId="77777777" w:rsidR="00442E6D" w:rsidRPr="002A40C0" w:rsidRDefault="00442E6D" w:rsidP="00B063F2">
            <w:pPr>
              <w:pStyle w:val="TableText"/>
              <w:jc w:val="right"/>
            </w:pPr>
            <w:r w:rsidRPr="002A40C0">
              <w:rPr>
                <w:rFonts w:eastAsia="Calibri"/>
              </w:rPr>
              <w:t>53.3</w:t>
            </w:r>
          </w:p>
        </w:tc>
        <w:tc>
          <w:tcPr>
            <w:tcW w:w="0" w:type="auto"/>
            <w:shd w:val="clear" w:color="auto" w:fill="FFFFFF"/>
            <w:tcMar>
              <w:top w:w="0" w:type="dxa"/>
              <w:left w:w="85" w:type="dxa"/>
              <w:bottom w:w="0" w:type="dxa"/>
              <w:right w:w="85" w:type="dxa"/>
            </w:tcMar>
            <w:vAlign w:val="center"/>
          </w:tcPr>
          <w:p w14:paraId="7B99A2AD" w14:textId="77777777" w:rsidR="00442E6D" w:rsidRPr="002A40C0" w:rsidRDefault="00442E6D" w:rsidP="00B063F2">
            <w:pPr>
              <w:pStyle w:val="TableText"/>
              <w:jc w:val="right"/>
            </w:pPr>
            <w:r w:rsidRPr="002A40C0">
              <w:rPr>
                <w:rFonts w:eastAsia="Calibri"/>
              </w:rPr>
              <w:t xml:space="preserve"> 8.8</w:t>
            </w:r>
          </w:p>
        </w:tc>
      </w:tr>
      <w:tr w:rsidR="00442E6D" w:rsidRPr="002A40C0" w14:paraId="23E5704A" w14:textId="77777777" w:rsidTr="00E83161">
        <w:trPr>
          <w:cantSplit/>
        </w:trPr>
        <w:tc>
          <w:tcPr>
            <w:tcW w:w="0" w:type="auto"/>
            <w:shd w:val="clear" w:color="auto" w:fill="FFFFFF"/>
            <w:tcMar>
              <w:top w:w="0" w:type="dxa"/>
              <w:left w:w="85" w:type="dxa"/>
              <w:bottom w:w="0" w:type="dxa"/>
              <w:right w:w="85" w:type="dxa"/>
            </w:tcMar>
            <w:vAlign w:val="center"/>
          </w:tcPr>
          <w:p w14:paraId="13A6E5FA" w14:textId="77777777" w:rsidR="00442E6D" w:rsidRPr="002A40C0" w:rsidRDefault="00442E6D" w:rsidP="00B063F2">
            <w:pPr>
              <w:pStyle w:val="TableText"/>
            </w:pPr>
            <w:r w:rsidRPr="002A40C0">
              <w:rPr>
                <w:rFonts w:eastAsia="Calibri"/>
              </w:rPr>
              <w:t>NMVOCs</w:t>
            </w:r>
          </w:p>
        </w:tc>
        <w:tc>
          <w:tcPr>
            <w:tcW w:w="0" w:type="auto"/>
            <w:shd w:val="clear" w:color="auto" w:fill="FFFFFF"/>
            <w:tcMar>
              <w:top w:w="0" w:type="dxa"/>
              <w:left w:w="85" w:type="dxa"/>
              <w:bottom w:w="0" w:type="dxa"/>
              <w:right w:w="85" w:type="dxa"/>
            </w:tcMar>
            <w:vAlign w:val="center"/>
          </w:tcPr>
          <w:p w14:paraId="04D155FB" w14:textId="77777777" w:rsidR="00442E6D" w:rsidRPr="002A40C0" w:rsidRDefault="00442E6D" w:rsidP="00B063F2">
            <w:pPr>
              <w:pStyle w:val="TableText"/>
            </w:pPr>
            <w:r w:rsidRPr="002A40C0">
              <w:rPr>
                <w:rFonts w:eastAsia="Calibri"/>
              </w:rPr>
              <w:t>143.7</w:t>
            </w:r>
          </w:p>
        </w:tc>
        <w:tc>
          <w:tcPr>
            <w:tcW w:w="0" w:type="auto"/>
            <w:shd w:val="clear" w:color="auto" w:fill="FFFFFF"/>
            <w:tcMar>
              <w:top w:w="0" w:type="dxa"/>
              <w:left w:w="85" w:type="dxa"/>
              <w:bottom w:w="0" w:type="dxa"/>
              <w:right w:w="85" w:type="dxa"/>
            </w:tcMar>
            <w:vAlign w:val="center"/>
          </w:tcPr>
          <w:p w14:paraId="6DDC2D76" w14:textId="77777777" w:rsidR="00442E6D" w:rsidRPr="002A40C0" w:rsidRDefault="00442E6D" w:rsidP="00B063F2">
            <w:pPr>
              <w:pStyle w:val="TableText"/>
            </w:pPr>
            <w:r w:rsidRPr="002A40C0">
              <w:rPr>
                <w:rFonts w:eastAsia="Calibri"/>
              </w:rPr>
              <w:t>176.4</w:t>
            </w:r>
          </w:p>
        </w:tc>
        <w:tc>
          <w:tcPr>
            <w:tcW w:w="0" w:type="auto"/>
            <w:shd w:val="clear" w:color="auto" w:fill="FFFFFF"/>
            <w:tcMar>
              <w:top w:w="0" w:type="dxa"/>
              <w:left w:w="85" w:type="dxa"/>
              <w:bottom w:w="0" w:type="dxa"/>
              <w:right w:w="85" w:type="dxa"/>
            </w:tcMar>
            <w:vAlign w:val="center"/>
          </w:tcPr>
          <w:p w14:paraId="32C8F94F" w14:textId="77777777" w:rsidR="00442E6D" w:rsidRPr="002A40C0" w:rsidRDefault="00442E6D" w:rsidP="00B063F2">
            <w:pPr>
              <w:pStyle w:val="TableText"/>
              <w:jc w:val="right"/>
            </w:pPr>
            <w:r w:rsidRPr="002A40C0">
              <w:rPr>
                <w:rFonts w:eastAsia="Calibri"/>
              </w:rPr>
              <w:t>32.7</w:t>
            </w:r>
          </w:p>
        </w:tc>
        <w:tc>
          <w:tcPr>
            <w:tcW w:w="0" w:type="auto"/>
            <w:shd w:val="clear" w:color="auto" w:fill="FFFFFF"/>
            <w:tcMar>
              <w:top w:w="0" w:type="dxa"/>
              <w:left w:w="85" w:type="dxa"/>
              <w:bottom w:w="0" w:type="dxa"/>
              <w:right w:w="85" w:type="dxa"/>
            </w:tcMar>
            <w:vAlign w:val="center"/>
          </w:tcPr>
          <w:p w14:paraId="631125D6" w14:textId="77777777" w:rsidR="00442E6D" w:rsidRPr="002A40C0" w:rsidRDefault="00442E6D" w:rsidP="00B063F2">
            <w:pPr>
              <w:pStyle w:val="TableText"/>
              <w:jc w:val="right"/>
            </w:pPr>
            <w:r w:rsidRPr="002A40C0">
              <w:rPr>
                <w:rFonts w:eastAsia="Calibri"/>
              </w:rPr>
              <w:t>22.8</w:t>
            </w:r>
          </w:p>
        </w:tc>
      </w:tr>
      <w:tr w:rsidR="00442E6D" w:rsidRPr="002A40C0" w14:paraId="502C8B6B" w14:textId="77777777" w:rsidTr="00E83161">
        <w:trPr>
          <w:cantSplit/>
        </w:trPr>
        <w:tc>
          <w:tcPr>
            <w:tcW w:w="0" w:type="auto"/>
            <w:shd w:val="clear" w:color="auto" w:fill="FFFFFF"/>
            <w:tcMar>
              <w:top w:w="0" w:type="dxa"/>
              <w:left w:w="85" w:type="dxa"/>
              <w:bottom w:w="0" w:type="dxa"/>
              <w:right w:w="85" w:type="dxa"/>
            </w:tcMar>
            <w:vAlign w:val="center"/>
          </w:tcPr>
          <w:p w14:paraId="34118FCA" w14:textId="77777777" w:rsidR="00442E6D" w:rsidRPr="002A40C0" w:rsidRDefault="00442E6D" w:rsidP="00B063F2">
            <w:pPr>
              <w:pStyle w:val="TableText"/>
            </w:pPr>
            <w:r w:rsidRPr="002A40C0">
              <w:rPr>
                <w:rFonts w:eastAsia="Calibri"/>
              </w:rPr>
              <w:t>NO</w:t>
            </w:r>
            <w:r w:rsidRPr="002A40C0">
              <w:rPr>
                <w:rFonts w:eastAsia="Calibri"/>
                <w:vertAlign w:val="subscript"/>
              </w:rPr>
              <w:t>X</w:t>
            </w:r>
          </w:p>
        </w:tc>
        <w:tc>
          <w:tcPr>
            <w:tcW w:w="0" w:type="auto"/>
            <w:shd w:val="clear" w:color="auto" w:fill="FFFFFF"/>
            <w:tcMar>
              <w:top w:w="0" w:type="dxa"/>
              <w:left w:w="85" w:type="dxa"/>
              <w:bottom w:w="0" w:type="dxa"/>
              <w:right w:w="85" w:type="dxa"/>
            </w:tcMar>
            <w:vAlign w:val="center"/>
          </w:tcPr>
          <w:p w14:paraId="20C6081C" w14:textId="77777777" w:rsidR="00442E6D" w:rsidRPr="002A40C0" w:rsidRDefault="00442E6D" w:rsidP="00B063F2">
            <w:pPr>
              <w:pStyle w:val="TableText"/>
            </w:pPr>
            <w:r w:rsidRPr="002A40C0">
              <w:rPr>
                <w:rFonts w:eastAsia="Calibri"/>
              </w:rPr>
              <w:t>102.0</w:t>
            </w:r>
          </w:p>
        </w:tc>
        <w:tc>
          <w:tcPr>
            <w:tcW w:w="0" w:type="auto"/>
            <w:shd w:val="clear" w:color="auto" w:fill="FFFFFF"/>
            <w:tcMar>
              <w:top w:w="0" w:type="dxa"/>
              <w:left w:w="85" w:type="dxa"/>
              <w:bottom w:w="0" w:type="dxa"/>
              <w:right w:w="85" w:type="dxa"/>
            </w:tcMar>
            <w:vAlign w:val="center"/>
          </w:tcPr>
          <w:p w14:paraId="6831D7D6" w14:textId="77777777" w:rsidR="00442E6D" w:rsidRPr="002A40C0" w:rsidRDefault="00442E6D" w:rsidP="00B063F2">
            <w:pPr>
              <w:pStyle w:val="TableText"/>
            </w:pPr>
            <w:r w:rsidRPr="002A40C0">
              <w:rPr>
                <w:rFonts w:eastAsia="Calibri"/>
              </w:rPr>
              <w:t>162.5</w:t>
            </w:r>
          </w:p>
        </w:tc>
        <w:tc>
          <w:tcPr>
            <w:tcW w:w="0" w:type="auto"/>
            <w:shd w:val="clear" w:color="auto" w:fill="FFFFFF"/>
            <w:tcMar>
              <w:top w:w="0" w:type="dxa"/>
              <w:left w:w="85" w:type="dxa"/>
              <w:bottom w:w="0" w:type="dxa"/>
              <w:right w:w="85" w:type="dxa"/>
            </w:tcMar>
            <w:vAlign w:val="center"/>
          </w:tcPr>
          <w:p w14:paraId="5B321963" w14:textId="77777777" w:rsidR="00442E6D" w:rsidRPr="002A40C0" w:rsidRDefault="00442E6D" w:rsidP="00B063F2">
            <w:pPr>
              <w:pStyle w:val="TableText"/>
              <w:jc w:val="right"/>
            </w:pPr>
            <w:r w:rsidRPr="002A40C0">
              <w:rPr>
                <w:rFonts w:eastAsia="Calibri"/>
              </w:rPr>
              <w:t>60.</w:t>
            </w:r>
            <w:r w:rsidRPr="002A40C0" w:rsidDel="00270179">
              <w:rPr>
                <w:rFonts w:eastAsia="Calibri"/>
              </w:rPr>
              <w:t>5</w:t>
            </w:r>
          </w:p>
        </w:tc>
        <w:tc>
          <w:tcPr>
            <w:tcW w:w="0" w:type="auto"/>
            <w:shd w:val="clear" w:color="auto" w:fill="FFFFFF"/>
            <w:tcMar>
              <w:top w:w="0" w:type="dxa"/>
              <w:left w:w="85" w:type="dxa"/>
              <w:bottom w:w="0" w:type="dxa"/>
              <w:right w:w="85" w:type="dxa"/>
            </w:tcMar>
            <w:vAlign w:val="center"/>
          </w:tcPr>
          <w:p w14:paraId="2C04D357" w14:textId="77777777" w:rsidR="00442E6D" w:rsidRPr="002A40C0" w:rsidRDefault="00442E6D" w:rsidP="00B063F2">
            <w:pPr>
              <w:pStyle w:val="TableText"/>
              <w:jc w:val="right"/>
            </w:pPr>
            <w:r w:rsidRPr="002A40C0">
              <w:rPr>
                <w:rFonts w:eastAsia="Calibri"/>
              </w:rPr>
              <w:t>59.4</w:t>
            </w:r>
          </w:p>
        </w:tc>
      </w:tr>
      <w:tr w:rsidR="00442E6D" w:rsidRPr="002A40C0" w14:paraId="35F0EF63" w14:textId="77777777" w:rsidTr="00E83161">
        <w:trPr>
          <w:cantSplit/>
        </w:trPr>
        <w:tc>
          <w:tcPr>
            <w:tcW w:w="0" w:type="auto"/>
            <w:shd w:val="clear" w:color="auto" w:fill="FFFFFF"/>
            <w:tcMar>
              <w:top w:w="0" w:type="dxa"/>
              <w:left w:w="85" w:type="dxa"/>
              <w:bottom w:w="0" w:type="dxa"/>
              <w:right w:w="85" w:type="dxa"/>
            </w:tcMar>
            <w:vAlign w:val="center"/>
          </w:tcPr>
          <w:p w14:paraId="57ED6767" w14:textId="77777777" w:rsidR="00442E6D" w:rsidRPr="002A40C0" w:rsidRDefault="00442E6D" w:rsidP="00B063F2">
            <w:pPr>
              <w:pStyle w:val="TableText"/>
            </w:pPr>
            <w:r w:rsidRPr="002A40C0">
              <w:rPr>
                <w:rFonts w:eastAsia="Calibri"/>
              </w:rPr>
              <w:t>SO</w:t>
            </w:r>
            <w:r w:rsidRPr="002A40C0">
              <w:rPr>
                <w:rFonts w:eastAsia="Calibri"/>
                <w:vertAlign w:val="subscript"/>
              </w:rPr>
              <w:t>2</w:t>
            </w:r>
          </w:p>
        </w:tc>
        <w:tc>
          <w:tcPr>
            <w:tcW w:w="0" w:type="auto"/>
            <w:shd w:val="clear" w:color="auto" w:fill="FFFFFF"/>
            <w:tcMar>
              <w:top w:w="0" w:type="dxa"/>
              <w:left w:w="85" w:type="dxa"/>
              <w:bottom w:w="0" w:type="dxa"/>
              <w:right w:w="85" w:type="dxa"/>
            </w:tcMar>
            <w:vAlign w:val="center"/>
          </w:tcPr>
          <w:p w14:paraId="49A4CAF6" w14:textId="77777777" w:rsidR="00442E6D" w:rsidRPr="002A40C0" w:rsidRDefault="00442E6D" w:rsidP="00B063F2">
            <w:pPr>
              <w:pStyle w:val="TableText"/>
            </w:pPr>
            <w:r w:rsidRPr="002A40C0">
              <w:rPr>
                <w:rFonts w:eastAsia="Calibri"/>
              </w:rPr>
              <w:t xml:space="preserve"> 58.6</w:t>
            </w:r>
          </w:p>
        </w:tc>
        <w:tc>
          <w:tcPr>
            <w:tcW w:w="0" w:type="auto"/>
            <w:shd w:val="clear" w:color="auto" w:fill="FFFFFF"/>
            <w:tcMar>
              <w:top w:w="0" w:type="dxa"/>
              <w:left w:w="85" w:type="dxa"/>
              <w:bottom w:w="0" w:type="dxa"/>
              <w:right w:w="85" w:type="dxa"/>
            </w:tcMar>
            <w:vAlign w:val="center"/>
          </w:tcPr>
          <w:p w14:paraId="520B1276" w14:textId="77777777" w:rsidR="00442E6D" w:rsidRPr="002A40C0" w:rsidRDefault="00442E6D" w:rsidP="00B063F2">
            <w:pPr>
              <w:pStyle w:val="TableText"/>
            </w:pPr>
            <w:r w:rsidRPr="002A40C0">
              <w:rPr>
                <w:rFonts w:eastAsia="Calibri"/>
              </w:rPr>
              <w:t xml:space="preserve"> 68.7</w:t>
            </w:r>
          </w:p>
        </w:tc>
        <w:tc>
          <w:tcPr>
            <w:tcW w:w="0" w:type="auto"/>
            <w:shd w:val="clear" w:color="auto" w:fill="FFFFFF"/>
            <w:tcMar>
              <w:top w:w="0" w:type="dxa"/>
              <w:left w:w="85" w:type="dxa"/>
              <w:bottom w:w="0" w:type="dxa"/>
              <w:right w:w="85" w:type="dxa"/>
            </w:tcMar>
            <w:vAlign w:val="center"/>
          </w:tcPr>
          <w:p w14:paraId="0DD02392" w14:textId="77777777" w:rsidR="00442E6D" w:rsidRPr="002A40C0" w:rsidRDefault="00442E6D" w:rsidP="00B063F2">
            <w:pPr>
              <w:pStyle w:val="TableText"/>
              <w:jc w:val="right"/>
            </w:pPr>
            <w:r w:rsidRPr="002A40C0">
              <w:rPr>
                <w:rFonts w:eastAsia="Calibri"/>
              </w:rPr>
              <w:t>10.1</w:t>
            </w:r>
          </w:p>
        </w:tc>
        <w:tc>
          <w:tcPr>
            <w:tcW w:w="0" w:type="auto"/>
            <w:shd w:val="clear" w:color="auto" w:fill="FFFFFF"/>
            <w:tcMar>
              <w:top w:w="0" w:type="dxa"/>
              <w:left w:w="85" w:type="dxa"/>
              <w:bottom w:w="0" w:type="dxa"/>
              <w:right w:w="85" w:type="dxa"/>
            </w:tcMar>
            <w:vAlign w:val="center"/>
          </w:tcPr>
          <w:p w14:paraId="04F13E55" w14:textId="77777777" w:rsidR="00442E6D" w:rsidRPr="002A40C0" w:rsidRDefault="00442E6D" w:rsidP="00B063F2">
            <w:pPr>
              <w:pStyle w:val="TableText"/>
              <w:jc w:val="right"/>
            </w:pPr>
            <w:r w:rsidRPr="002A40C0">
              <w:rPr>
                <w:rFonts w:eastAsia="Calibri"/>
              </w:rPr>
              <w:t>17.3</w:t>
            </w:r>
          </w:p>
        </w:tc>
      </w:tr>
    </w:tbl>
    <w:p w14:paraId="771C7EC1" w14:textId="77777777" w:rsidR="00442E6D" w:rsidRPr="002A40C0" w:rsidRDefault="00442E6D" w:rsidP="00442E6D">
      <w:pPr>
        <w:pStyle w:val="Noteundertable"/>
      </w:pPr>
      <w:r w:rsidRPr="002A40C0">
        <w:rPr>
          <w:b/>
          <w:bCs/>
        </w:rPr>
        <w:t>Note:</w:t>
      </w:r>
      <w:r w:rsidRPr="002A40C0">
        <w:tab/>
        <w:t>Columns may not total due to rounding. Percentages presented are calculated from unrounded values.</w:t>
      </w:r>
    </w:p>
    <w:p w14:paraId="1B37B17E" w14:textId="77777777" w:rsidR="00442E6D" w:rsidRPr="002A40C0" w:rsidRDefault="00442E6D" w:rsidP="00442E6D">
      <w:pPr>
        <w:pStyle w:val="Heading2"/>
      </w:pPr>
      <w:bookmarkStart w:id="18" w:name="_Toc99659089"/>
      <w:bookmarkStart w:id="19" w:name="es.4-sector-trends"/>
      <w:bookmarkEnd w:id="13"/>
      <w:bookmarkEnd w:id="16"/>
      <w:r w:rsidRPr="002A40C0">
        <w:t xml:space="preserve">ES.4 </w:t>
      </w:r>
      <w:r w:rsidRPr="002A40C0">
        <w:tab/>
        <w:t>Sector trends</w:t>
      </w:r>
      <w:bookmarkEnd w:id="18"/>
    </w:p>
    <w:p w14:paraId="42A10085" w14:textId="77777777" w:rsidR="00442E6D" w:rsidRPr="002A40C0" w:rsidRDefault="00442E6D" w:rsidP="00442E6D">
      <w:pPr>
        <w:pStyle w:val="BodyText"/>
      </w:pPr>
      <w:r w:rsidRPr="002A40C0">
        <w:t>Figure ES 4.1 shows the contribution to net emissions that each inventory sector made. The Agriculture and Energy sectors dominate New Zealand’s gross emissions. Together, these sectors produced almost 90 per cent of New Zealand’s annual gross GHG emissions from 1990 to 2020. The IPPU and Waste sectors produce relatively small amounts of GHGs, contributing between 4 per cent and 6 per cent to the annual gross emissions for the entire time series. Conversely, the LULUCF sector was a net sink of GHG emissions between 1990 and 2020.</w:t>
      </w:r>
    </w:p>
    <w:p w14:paraId="359DCEAD" w14:textId="6668452D" w:rsidR="00442E6D" w:rsidRPr="002A40C0" w:rsidRDefault="00442E6D" w:rsidP="00442E6D">
      <w:pPr>
        <w:pStyle w:val="Figure"/>
      </w:pPr>
      <w:bookmarkStart w:id="20" w:name="_Toc99695995"/>
      <w:r w:rsidRPr="002A40C0">
        <w:lastRenderedPageBreak/>
        <w:t>Figure ES 4.1</w:t>
      </w:r>
      <w:r w:rsidRPr="002A40C0">
        <w:tab/>
        <w:t>Trends in New Zealand’s greenhouse gas emissions by sector from 1990</w:t>
      </w:r>
      <w:r w:rsidR="001945C1">
        <w:t> </w:t>
      </w:r>
      <w:r w:rsidRPr="002A40C0">
        <w:t>to</w:t>
      </w:r>
      <w:r w:rsidR="001945C1">
        <w:t> </w:t>
      </w:r>
      <w:r w:rsidRPr="002A40C0">
        <w:t>2020</w:t>
      </w:r>
      <w:bookmarkEnd w:id="20"/>
    </w:p>
    <w:p w14:paraId="020E8CF5" w14:textId="46C674E9" w:rsidR="00442E6D" w:rsidRPr="002A40C0" w:rsidRDefault="004B48CC" w:rsidP="00442E6D">
      <w:pPr>
        <w:pStyle w:val="BodyText"/>
      </w:pPr>
      <w:r>
        <w:rPr>
          <w:noProof/>
        </w:rPr>
        <w:pict w14:anchorId="54C5E3F1">
          <v:shape id="_x0000_i1028" type="#_x0000_t75" alt="Chart, line chart&#10;&#10;Description automatically generated" style="width:425.3pt;height:316.45pt;visibility:visible;mso-wrap-style:square">
            <v:imagedata r:id="rId23" o:title="Chart, line chart&#10;&#10;Description automatically generated" croptop="1f" cropbottom="1222f"/>
          </v:shape>
        </w:pict>
      </w:r>
    </w:p>
    <w:p w14:paraId="034238C6" w14:textId="77777777" w:rsidR="00442E6D" w:rsidRPr="002A40C0" w:rsidRDefault="00442E6D" w:rsidP="00442E6D">
      <w:pPr>
        <w:pStyle w:val="Noteundertable"/>
      </w:pPr>
      <w:r w:rsidRPr="002A40C0">
        <w:rPr>
          <w:b/>
          <w:bCs/>
        </w:rPr>
        <w:t>Note:</w:t>
      </w:r>
      <w:r w:rsidRPr="002A40C0">
        <w:t xml:space="preserve"> Net removals from the LULUCF sector are as reported under the Convention (chapter 6).</w:t>
      </w:r>
    </w:p>
    <w:p w14:paraId="1E88A607" w14:textId="546302A2" w:rsidR="00442E6D" w:rsidRPr="002A40C0" w:rsidRDefault="00442E6D" w:rsidP="00442E6D">
      <w:pPr>
        <w:pStyle w:val="BodyText"/>
      </w:pPr>
      <w:r w:rsidRPr="002A40C0">
        <w:t>Table ES 4.1 and figure ES 4.2 summarise emissions by sector in 1990 and 2020 as well as the</w:t>
      </w:r>
      <w:r w:rsidR="00E83161">
        <w:t> </w:t>
      </w:r>
      <w:r w:rsidRPr="002A40C0">
        <w:t>change between those years. A more detailed description of the emission trends for each sector is presented in chapter 2.</w:t>
      </w:r>
    </w:p>
    <w:p w14:paraId="7B561774" w14:textId="77777777" w:rsidR="00442E6D" w:rsidRPr="002A40C0" w:rsidRDefault="00442E6D" w:rsidP="00442E6D">
      <w:pPr>
        <w:pStyle w:val="Table"/>
      </w:pPr>
      <w:bookmarkStart w:id="21" w:name="_Toc99659200"/>
      <w:r w:rsidRPr="002A40C0">
        <w:t>Table ES 4.1</w:t>
      </w:r>
      <w:r w:rsidRPr="002A40C0">
        <w:tab/>
        <w:t>New Zealand’s emissions by sector in 1990 and 2020</w:t>
      </w:r>
      <w:bookmarkEnd w:id="21"/>
    </w:p>
    <w:tbl>
      <w:tblPr>
        <w:tblW w:w="8505" w:type="dxa"/>
        <w:tblInd w:w="113"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1843"/>
        <w:gridCol w:w="1418"/>
        <w:gridCol w:w="1417"/>
        <w:gridCol w:w="1985"/>
        <w:gridCol w:w="1842"/>
      </w:tblGrid>
      <w:tr w:rsidR="00442E6D" w:rsidRPr="00442E6D" w14:paraId="66DDB8AC" w14:textId="77777777" w:rsidTr="00E83161">
        <w:trPr>
          <w:cantSplit/>
          <w:tblHeader/>
        </w:trPr>
        <w:tc>
          <w:tcPr>
            <w:tcW w:w="1843" w:type="dxa"/>
            <w:shd w:val="clear" w:color="auto" w:fill="1B556B"/>
            <w:tcMar>
              <w:top w:w="0" w:type="dxa"/>
              <w:left w:w="85" w:type="dxa"/>
              <w:bottom w:w="0" w:type="dxa"/>
              <w:right w:w="85" w:type="dxa"/>
            </w:tcMar>
            <w:vAlign w:val="bottom"/>
          </w:tcPr>
          <w:p w14:paraId="30CEA930" w14:textId="77777777" w:rsidR="00442E6D" w:rsidRPr="00442E6D" w:rsidRDefault="00442E6D" w:rsidP="00B063F2">
            <w:pPr>
              <w:pStyle w:val="TableTextBold"/>
              <w:rPr>
                <w:noProof w:val="0"/>
                <w:color w:val="FFFFFF"/>
              </w:rPr>
            </w:pPr>
            <w:r w:rsidRPr="00442E6D">
              <w:rPr>
                <w:rFonts w:eastAsia="Calibri"/>
                <w:noProof w:val="0"/>
                <w:color w:val="FFFFFF"/>
              </w:rPr>
              <w:t>Sector</w:t>
            </w:r>
          </w:p>
        </w:tc>
        <w:tc>
          <w:tcPr>
            <w:tcW w:w="1418" w:type="dxa"/>
            <w:shd w:val="clear" w:color="auto" w:fill="1B556B"/>
            <w:tcMar>
              <w:top w:w="0" w:type="dxa"/>
              <w:left w:w="85" w:type="dxa"/>
              <w:bottom w:w="0" w:type="dxa"/>
              <w:right w:w="85" w:type="dxa"/>
            </w:tcMar>
            <w:vAlign w:val="bottom"/>
          </w:tcPr>
          <w:p w14:paraId="033D6D95" w14:textId="77777777" w:rsidR="00442E6D" w:rsidRPr="00442E6D" w:rsidRDefault="00442E6D" w:rsidP="00B063F2">
            <w:pPr>
              <w:pStyle w:val="TableTextBold"/>
              <w:jc w:val="center"/>
              <w:rPr>
                <w:noProof w:val="0"/>
                <w:color w:val="FFFFFF"/>
              </w:rPr>
            </w:pPr>
            <w:r w:rsidRPr="00442E6D">
              <w:rPr>
                <w:rFonts w:eastAsia="Calibri"/>
                <w:noProof w:val="0"/>
                <w:color w:val="FFFFFF"/>
              </w:rPr>
              <w:t>1990</w:t>
            </w:r>
          </w:p>
        </w:tc>
        <w:tc>
          <w:tcPr>
            <w:tcW w:w="1417" w:type="dxa"/>
            <w:shd w:val="clear" w:color="auto" w:fill="1B556B"/>
            <w:tcMar>
              <w:top w:w="0" w:type="dxa"/>
              <w:left w:w="85" w:type="dxa"/>
              <w:bottom w:w="0" w:type="dxa"/>
              <w:right w:w="85" w:type="dxa"/>
            </w:tcMar>
            <w:vAlign w:val="bottom"/>
          </w:tcPr>
          <w:p w14:paraId="66A1AA1E" w14:textId="77777777" w:rsidR="00442E6D" w:rsidRPr="00442E6D" w:rsidRDefault="00442E6D" w:rsidP="00B063F2">
            <w:pPr>
              <w:pStyle w:val="TableTextBold"/>
              <w:jc w:val="center"/>
              <w:rPr>
                <w:noProof w:val="0"/>
                <w:color w:val="FFFFFF"/>
              </w:rPr>
            </w:pPr>
            <w:r w:rsidRPr="00442E6D">
              <w:rPr>
                <w:rFonts w:eastAsia="Calibri"/>
                <w:noProof w:val="0"/>
                <w:color w:val="FFFFFF"/>
              </w:rPr>
              <w:t>2020</w:t>
            </w:r>
          </w:p>
        </w:tc>
        <w:tc>
          <w:tcPr>
            <w:tcW w:w="1985" w:type="dxa"/>
            <w:shd w:val="clear" w:color="auto" w:fill="1B556B"/>
            <w:tcMar>
              <w:top w:w="0" w:type="dxa"/>
              <w:left w:w="85" w:type="dxa"/>
              <w:bottom w:w="0" w:type="dxa"/>
              <w:right w:w="85" w:type="dxa"/>
            </w:tcMar>
            <w:vAlign w:val="bottom"/>
          </w:tcPr>
          <w:p w14:paraId="63083B8E" w14:textId="77777777" w:rsidR="00442E6D" w:rsidRPr="00442E6D" w:rsidRDefault="00442E6D" w:rsidP="00B063F2">
            <w:pPr>
              <w:pStyle w:val="TableTextBold"/>
              <w:jc w:val="right"/>
              <w:rPr>
                <w:noProof w:val="0"/>
                <w:color w:val="FFFFFF"/>
              </w:rPr>
            </w:pPr>
            <w:r w:rsidRPr="00442E6D">
              <w:rPr>
                <w:rFonts w:eastAsia="Calibri"/>
                <w:noProof w:val="0"/>
                <w:color w:val="FFFFFF"/>
              </w:rPr>
              <w:t xml:space="preserve">Change from 1990 </w:t>
            </w:r>
            <w:r w:rsidRPr="00442E6D">
              <w:rPr>
                <w:rFonts w:eastAsia="Calibri"/>
                <w:noProof w:val="0"/>
                <w:color w:val="FFFFFF"/>
              </w:rPr>
              <w:br/>
              <w:t>(kt CO</w:t>
            </w:r>
            <w:r w:rsidRPr="00442E6D">
              <w:rPr>
                <w:rFonts w:eastAsia="Calibri"/>
                <w:noProof w:val="0"/>
                <w:color w:val="FFFFFF"/>
                <w:vertAlign w:val="subscript"/>
              </w:rPr>
              <w:t>2</w:t>
            </w:r>
            <w:r w:rsidRPr="00442E6D">
              <w:rPr>
                <w:rFonts w:eastAsia="Calibri"/>
                <w:noProof w:val="0"/>
                <w:color w:val="FFFFFF"/>
              </w:rPr>
              <w:t>-equivalent)</w:t>
            </w:r>
          </w:p>
        </w:tc>
        <w:tc>
          <w:tcPr>
            <w:tcW w:w="1842" w:type="dxa"/>
            <w:shd w:val="clear" w:color="auto" w:fill="1B556B"/>
            <w:tcMar>
              <w:top w:w="0" w:type="dxa"/>
              <w:left w:w="85" w:type="dxa"/>
              <w:bottom w:w="0" w:type="dxa"/>
              <w:right w:w="85" w:type="dxa"/>
            </w:tcMar>
            <w:vAlign w:val="bottom"/>
          </w:tcPr>
          <w:p w14:paraId="4DE1B4B1" w14:textId="77777777" w:rsidR="00442E6D" w:rsidRPr="00442E6D" w:rsidRDefault="00442E6D" w:rsidP="00B063F2">
            <w:pPr>
              <w:pStyle w:val="TableTextBold"/>
              <w:jc w:val="right"/>
              <w:rPr>
                <w:noProof w:val="0"/>
                <w:color w:val="FFFFFF"/>
              </w:rPr>
            </w:pPr>
            <w:r w:rsidRPr="00442E6D">
              <w:rPr>
                <w:rFonts w:eastAsia="Calibri"/>
                <w:noProof w:val="0"/>
                <w:color w:val="FFFFFF"/>
              </w:rPr>
              <w:t xml:space="preserve">Change from 1990 </w:t>
            </w:r>
            <w:r w:rsidRPr="00442E6D">
              <w:rPr>
                <w:rFonts w:eastAsia="Calibri"/>
                <w:noProof w:val="0"/>
                <w:color w:val="FFFFFF"/>
              </w:rPr>
              <w:br/>
              <w:t>(%)</w:t>
            </w:r>
          </w:p>
        </w:tc>
      </w:tr>
      <w:tr w:rsidR="00442E6D" w:rsidRPr="002A40C0" w14:paraId="5C6EE1E4" w14:textId="77777777" w:rsidTr="00E83161">
        <w:trPr>
          <w:cantSplit/>
          <w:trHeight w:val="283"/>
        </w:trPr>
        <w:tc>
          <w:tcPr>
            <w:tcW w:w="1843" w:type="dxa"/>
            <w:shd w:val="clear" w:color="auto" w:fill="FFFFFF"/>
            <w:tcMar>
              <w:top w:w="0" w:type="dxa"/>
              <w:left w:w="85" w:type="dxa"/>
              <w:bottom w:w="0" w:type="dxa"/>
              <w:right w:w="85" w:type="dxa"/>
            </w:tcMar>
            <w:vAlign w:val="center"/>
          </w:tcPr>
          <w:p w14:paraId="63029E89" w14:textId="77777777" w:rsidR="00442E6D" w:rsidRPr="002A40C0" w:rsidRDefault="00442E6D" w:rsidP="00B063F2">
            <w:pPr>
              <w:pStyle w:val="TableText"/>
            </w:pPr>
            <w:r w:rsidRPr="002A40C0">
              <w:rPr>
                <w:rFonts w:eastAsia="Calibri"/>
              </w:rPr>
              <w:t>Energy</w:t>
            </w:r>
          </w:p>
        </w:tc>
        <w:tc>
          <w:tcPr>
            <w:tcW w:w="1418" w:type="dxa"/>
            <w:shd w:val="clear" w:color="auto" w:fill="FFFFFF"/>
            <w:tcMar>
              <w:top w:w="0" w:type="dxa"/>
              <w:left w:w="85" w:type="dxa"/>
              <w:bottom w:w="0" w:type="dxa"/>
              <w:right w:w="85" w:type="dxa"/>
            </w:tcMar>
            <w:vAlign w:val="center"/>
          </w:tcPr>
          <w:p w14:paraId="7688D7DD" w14:textId="77777777" w:rsidR="00442E6D" w:rsidRPr="002A40C0" w:rsidRDefault="00442E6D" w:rsidP="00B063F2">
            <w:pPr>
              <w:pStyle w:val="TableText"/>
              <w:jc w:val="center"/>
            </w:pPr>
            <w:r w:rsidRPr="002A40C0">
              <w:rPr>
                <w:rFonts w:eastAsia="Calibri"/>
              </w:rPr>
              <w:t>23,877.9</w:t>
            </w:r>
          </w:p>
        </w:tc>
        <w:tc>
          <w:tcPr>
            <w:tcW w:w="1417" w:type="dxa"/>
            <w:shd w:val="clear" w:color="auto" w:fill="FFFFFF"/>
            <w:tcMar>
              <w:top w:w="0" w:type="dxa"/>
              <w:left w:w="85" w:type="dxa"/>
              <w:bottom w:w="0" w:type="dxa"/>
              <w:right w:w="85" w:type="dxa"/>
            </w:tcMar>
            <w:vAlign w:val="center"/>
          </w:tcPr>
          <w:p w14:paraId="7ACE4147" w14:textId="77777777" w:rsidR="00442E6D" w:rsidRPr="002A40C0" w:rsidRDefault="00442E6D" w:rsidP="00B063F2">
            <w:pPr>
              <w:pStyle w:val="TableText"/>
              <w:jc w:val="center"/>
            </w:pPr>
            <w:r w:rsidRPr="002A40C0">
              <w:rPr>
                <w:rFonts w:eastAsia="Calibri"/>
              </w:rPr>
              <w:t>31,461.4</w:t>
            </w:r>
          </w:p>
        </w:tc>
        <w:tc>
          <w:tcPr>
            <w:tcW w:w="1985" w:type="dxa"/>
            <w:shd w:val="clear" w:color="auto" w:fill="FFFFFF"/>
            <w:tcMar>
              <w:top w:w="0" w:type="dxa"/>
              <w:left w:w="85" w:type="dxa"/>
              <w:bottom w:w="0" w:type="dxa"/>
              <w:right w:w="85" w:type="dxa"/>
            </w:tcMar>
            <w:vAlign w:val="center"/>
          </w:tcPr>
          <w:p w14:paraId="55AB34B5" w14:textId="77777777" w:rsidR="00442E6D" w:rsidRPr="002A40C0" w:rsidRDefault="00442E6D" w:rsidP="00B063F2">
            <w:pPr>
              <w:pStyle w:val="TableText"/>
              <w:jc w:val="right"/>
            </w:pPr>
            <w:r w:rsidRPr="002A40C0">
              <w:rPr>
                <w:rFonts w:eastAsia="Calibri"/>
              </w:rPr>
              <w:t>7,583.5</w:t>
            </w:r>
          </w:p>
        </w:tc>
        <w:tc>
          <w:tcPr>
            <w:tcW w:w="1842" w:type="dxa"/>
            <w:shd w:val="clear" w:color="auto" w:fill="FFFFFF"/>
            <w:tcMar>
              <w:top w:w="0" w:type="dxa"/>
              <w:left w:w="85" w:type="dxa"/>
              <w:bottom w:w="0" w:type="dxa"/>
              <w:right w:w="85" w:type="dxa"/>
            </w:tcMar>
            <w:vAlign w:val="center"/>
          </w:tcPr>
          <w:p w14:paraId="2411DD98" w14:textId="77777777" w:rsidR="00442E6D" w:rsidRPr="002A40C0" w:rsidRDefault="00442E6D" w:rsidP="00B063F2">
            <w:pPr>
              <w:pStyle w:val="TableText"/>
              <w:jc w:val="right"/>
            </w:pPr>
            <w:r w:rsidRPr="002A40C0">
              <w:rPr>
                <w:rFonts w:eastAsia="Calibri"/>
              </w:rPr>
              <w:t>31.8%</w:t>
            </w:r>
          </w:p>
        </w:tc>
      </w:tr>
      <w:tr w:rsidR="00442E6D" w:rsidRPr="002A40C0" w14:paraId="76C959E0" w14:textId="77777777" w:rsidTr="00E83161">
        <w:trPr>
          <w:cantSplit/>
          <w:trHeight w:val="283"/>
        </w:trPr>
        <w:tc>
          <w:tcPr>
            <w:tcW w:w="1843" w:type="dxa"/>
            <w:shd w:val="clear" w:color="auto" w:fill="FFFFFF"/>
            <w:tcMar>
              <w:top w:w="0" w:type="dxa"/>
              <w:left w:w="85" w:type="dxa"/>
              <w:bottom w:w="0" w:type="dxa"/>
              <w:right w:w="85" w:type="dxa"/>
            </w:tcMar>
            <w:vAlign w:val="center"/>
          </w:tcPr>
          <w:p w14:paraId="24DCC138" w14:textId="77777777" w:rsidR="00442E6D" w:rsidRPr="002A40C0" w:rsidRDefault="00442E6D" w:rsidP="00B063F2">
            <w:pPr>
              <w:pStyle w:val="TableText"/>
            </w:pPr>
            <w:r w:rsidRPr="002A40C0">
              <w:rPr>
                <w:rFonts w:eastAsia="Calibri"/>
              </w:rPr>
              <w:t>IPPU</w:t>
            </w:r>
          </w:p>
        </w:tc>
        <w:tc>
          <w:tcPr>
            <w:tcW w:w="1418" w:type="dxa"/>
            <w:shd w:val="clear" w:color="auto" w:fill="FFFFFF"/>
            <w:tcMar>
              <w:top w:w="0" w:type="dxa"/>
              <w:left w:w="85" w:type="dxa"/>
              <w:bottom w:w="0" w:type="dxa"/>
              <w:right w:w="85" w:type="dxa"/>
            </w:tcMar>
            <w:vAlign w:val="center"/>
          </w:tcPr>
          <w:p w14:paraId="43ED4F92" w14:textId="77777777" w:rsidR="00442E6D" w:rsidRPr="002A40C0" w:rsidRDefault="00442E6D" w:rsidP="00B063F2">
            <w:pPr>
              <w:pStyle w:val="TableText"/>
              <w:jc w:val="center"/>
            </w:pPr>
            <w:r w:rsidRPr="002A40C0">
              <w:rPr>
                <w:rFonts w:eastAsia="Calibri"/>
              </w:rPr>
              <w:t>3,579.9</w:t>
            </w:r>
          </w:p>
        </w:tc>
        <w:tc>
          <w:tcPr>
            <w:tcW w:w="1417" w:type="dxa"/>
            <w:shd w:val="clear" w:color="auto" w:fill="FFFFFF"/>
            <w:tcMar>
              <w:top w:w="0" w:type="dxa"/>
              <w:left w:w="85" w:type="dxa"/>
              <w:bottom w:w="0" w:type="dxa"/>
              <w:right w:w="85" w:type="dxa"/>
            </w:tcMar>
            <w:vAlign w:val="center"/>
          </w:tcPr>
          <w:p w14:paraId="02125FCC" w14:textId="77777777" w:rsidR="00442E6D" w:rsidRPr="002A40C0" w:rsidRDefault="00442E6D" w:rsidP="00B063F2">
            <w:pPr>
              <w:pStyle w:val="TableText"/>
              <w:jc w:val="center"/>
            </w:pPr>
            <w:r w:rsidRPr="002A40C0">
              <w:rPr>
                <w:rFonts w:eastAsia="Calibri"/>
              </w:rPr>
              <w:t>4,618.4</w:t>
            </w:r>
          </w:p>
        </w:tc>
        <w:tc>
          <w:tcPr>
            <w:tcW w:w="1985" w:type="dxa"/>
            <w:shd w:val="clear" w:color="auto" w:fill="FFFFFF"/>
            <w:tcMar>
              <w:top w:w="0" w:type="dxa"/>
              <w:left w:w="85" w:type="dxa"/>
              <w:bottom w:w="0" w:type="dxa"/>
              <w:right w:w="85" w:type="dxa"/>
            </w:tcMar>
            <w:vAlign w:val="center"/>
          </w:tcPr>
          <w:p w14:paraId="15F1BABA" w14:textId="77777777" w:rsidR="00442E6D" w:rsidRPr="002A40C0" w:rsidRDefault="00442E6D" w:rsidP="00B063F2">
            <w:pPr>
              <w:pStyle w:val="TableText"/>
              <w:jc w:val="right"/>
            </w:pPr>
            <w:r w:rsidRPr="002A40C0">
              <w:rPr>
                <w:rFonts w:eastAsia="Calibri"/>
              </w:rPr>
              <w:t>1,038.4</w:t>
            </w:r>
          </w:p>
        </w:tc>
        <w:tc>
          <w:tcPr>
            <w:tcW w:w="1842" w:type="dxa"/>
            <w:shd w:val="clear" w:color="auto" w:fill="FFFFFF"/>
            <w:tcMar>
              <w:top w:w="0" w:type="dxa"/>
              <w:left w:w="85" w:type="dxa"/>
              <w:bottom w:w="0" w:type="dxa"/>
              <w:right w:w="85" w:type="dxa"/>
            </w:tcMar>
            <w:vAlign w:val="center"/>
          </w:tcPr>
          <w:p w14:paraId="75952C17" w14:textId="77777777" w:rsidR="00442E6D" w:rsidRPr="002A40C0" w:rsidRDefault="00442E6D" w:rsidP="00B063F2">
            <w:pPr>
              <w:pStyle w:val="TableText"/>
              <w:jc w:val="right"/>
            </w:pPr>
            <w:r w:rsidRPr="002A40C0">
              <w:rPr>
                <w:rFonts w:eastAsia="Calibri"/>
              </w:rPr>
              <w:t>29.0%</w:t>
            </w:r>
          </w:p>
        </w:tc>
      </w:tr>
      <w:tr w:rsidR="00442E6D" w:rsidRPr="002A40C0" w14:paraId="7045F3DA" w14:textId="77777777" w:rsidTr="00E83161">
        <w:trPr>
          <w:cantSplit/>
          <w:trHeight w:val="283"/>
        </w:trPr>
        <w:tc>
          <w:tcPr>
            <w:tcW w:w="1843" w:type="dxa"/>
            <w:shd w:val="clear" w:color="auto" w:fill="FFFFFF"/>
            <w:tcMar>
              <w:top w:w="0" w:type="dxa"/>
              <w:left w:w="85" w:type="dxa"/>
              <w:bottom w:w="0" w:type="dxa"/>
              <w:right w:w="85" w:type="dxa"/>
            </w:tcMar>
            <w:vAlign w:val="center"/>
          </w:tcPr>
          <w:p w14:paraId="2589D964" w14:textId="77777777" w:rsidR="00442E6D" w:rsidRPr="002A40C0" w:rsidRDefault="00442E6D" w:rsidP="00B063F2">
            <w:pPr>
              <w:pStyle w:val="TableText"/>
            </w:pPr>
            <w:r w:rsidRPr="002A40C0">
              <w:rPr>
                <w:rFonts w:eastAsia="Calibri"/>
              </w:rPr>
              <w:t>Agriculture</w:t>
            </w:r>
          </w:p>
        </w:tc>
        <w:tc>
          <w:tcPr>
            <w:tcW w:w="1418" w:type="dxa"/>
            <w:shd w:val="clear" w:color="auto" w:fill="FFFFFF"/>
            <w:tcMar>
              <w:top w:w="0" w:type="dxa"/>
              <w:left w:w="85" w:type="dxa"/>
              <w:bottom w:w="0" w:type="dxa"/>
              <w:right w:w="85" w:type="dxa"/>
            </w:tcMar>
            <w:vAlign w:val="center"/>
          </w:tcPr>
          <w:p w14:paraId="3465A446" w14:textId="77777777" w:rsidR="00442E6D" w:rsidRPr="002A40C0" w:rsidRDefault="00442E6D" w:rsidP="00B063F2">
            <w:pPr>
              <w:pStyle w:val="TableText"/>
              <w:jc w:val="center"/>
            </w:pPr>
            <w:r w:rsidRPr="002A40C0">
              <w:rPr>
                <w:rFonts w:eastAsia="Calibri"/>
              </w:rPr>
              <w:t>33,792.9</w:t>
            </w:r>
          </w:p>
        </w:tc>
        <w:tc>
          <w:tcPr>
            <w:tcW w:w="1417" w:type="dxa"/>
            <w:shd w:val="clear" w:color="auto" w:fill="FFFFFF"/>
            <w:tcMar>
              <w:top w:w="0" w:type="dxa"/>
              <w:left w:w="85" w:type="dxa"/>
              <w:bottom w:w="0" w:type="dxa"/>
              <w:right w:w="85" w:type="dxa"/>
            </w:tcMar>
            <w:vAlign w:val="center"/>
          </w:tcPr>
          <w:p w14:paraId="3A5BEE31" w14:textId="77777777" w:rsidR="00442E6D" w:rsidRPr="002A40C0" w:rsidRDefault="00442E6D" w:rsidP="00B063F2">
            <w:pPr>
              <w:pStyle w:val="TableText"/>
              <w:jc w:val="center"/>
            </w:pPr>
            <w:r w:rsidRPr="002A40C0">
              <w:rPr>
                <w:rFonts w:eastAsia="Calibri"/>
              </w:rPr>
              <w:t>39,425.5</w:t>
            </w:r>
          </w:p>
        </w:tc>
        <w:tc>
          <w:tcPr>
            <w:tcW w:w="1985" w:type="dxa"/>
            <w:shd w:val="clear" w:color="auto" w:fill="FFFFFF"/>
            <w:tcMar>
              <w:top w:w="0" w:type="dxa"/>
              <w:left w:w="85" w:type="dxa"/>
              <w:bottom w:w="0" w:type="dxa"/>
              <w:right w:w="85" w:type="dxa"/>
            </w:tcMar>
            <w:vAlign w:val="center"/>
          </w:tcPr>
          <w:p w14:paraId="73CDA2B1" w14:textId="77777777" w:rsidR="00442E6D" w:rsidRPr="002A40C0" w:rsidRDefault="00442E6D" w:rsidP="00B063F2">
            <w:pPr>
              <w:pStyle w:val="TableText"/>
              <w:jc w:val="right"/>
            </w:pPr>
            <w:r w:rsidRPr="002A40C0">
              <w:rPr>
                <w:rFonts w:eastAsia="Calibri"/>
              </w:rPr>
              <w:t>5,632.7</w:t>
            </w:r>
          </w:p>
        </w:tc>
        <w:tc>
          <w:tcPr>
            <w:tcW w:w="1842" w:type="dxa"/>
            <w:shd w:val="clear" w:color="auto" w:fill="FFFFFF"/>
            <w:tcMar>
              <w:top w:w="0" w:type="dxa"/>
              <w:left w:w="85" w:type="dxa"/>
              <w:bottom w:w="0" w:type="dxa"/>
              <w:right w:w="85" w:type="dxa"/>
            </w:tcMar>
            <w:vAlign w:val="center"/>
          </w:tcPr>
          <w:p w14:paraId="32E758C9" w14:textId="77777777" w:rsidR="00442E6D" w:rsidRPr="002A40C0" w:rsidRDefault="00442E6D" w:rsidP="00B063F2">
            <w:pPr>
              <w:pStyle w:val="TableText"/>
              <w:jc w:val="right"/>
            </w:pPr>
            <w:r w:rsidRPr="002A40C0">
              <w:rPr>
                <w:rFonts w:eastAsia="Calibri"/>
              </w:rPr>
              <w:t>16.7%</w:t>
            </w:r>
          </w:p>
        </w:tc>
      </w:tr>
      <w:tr w:rsidR="00442E6D" w:rsidRPr="002A40C0" w14:paraId="312602A6" w14:textId="77777777" w:rsidTr="00E83161">
        <w:trPr>
          <w:cantSplit/>
          <w:trHeight w:val="283"/>
        </w:trPr>
        <w:tc>
          <w:tcPr>
            <w:tcW w:w="1843" w:type="dxa"/>
            <w:shd w:val="clear" w:color="auto" w:fill="FFFFFF"/>
            <w:tcMar>
              <w:top w:w="0" w:type="dxa"/>
              <w:left w:w="85" w:type="dxa"/>
              <w:bottom w:w="0" w:type="dxa"/>
              <w:right w:w="85" w:type="dxa"/>
            </w:tcMar>
            <w:vAlign w:val="center"/>
          </w:tcPr>
          <w:p w14:paraId="46A8F46C" w14:textId="77777777" w:rsidR="00442E6D" w:rsidRPr="002A40C0" w:rsidRDefault="00442E6D" w:rsidP="00B063F2">
            <w:pPr>
              <w:pStyle w:val="TableText"/>
            </w:pPr>
            <w:r w:rsidRPr="002A40C0">
              <w:rPr>
                <w:rFonts w:eastAsia="Calibri"/>
              </w:rPr>
              <w:t>Waste</w:t>
            </w:r>
          </w:p>
        </w:tc>
        <w:tc>
          <w:tcPr>
            <w:tcW w:w="1418" w:type="dxa"/>
            <w:shd w:val="clear" w:color="auto" w:fill="FFFFFF"/>
            <w:tcMar>
              <w:top w:w="0" w:type="dxa"/>
              <w:left w:w="85" w:type="dxa"/>
              <w:bottom w:w="0" w:type="dxa"/>
              <w:right w:w="85" w:type="dxa"/>
            </w:tcMar>
            <w:vAlign w:val="center"/>
          </w:tcPr>
          <w:p w14:paraId="5AB5A162" w14:textId="77777777" w:rsidR="00442E6D" w:rsidRPr="002A40C0" w:rsidRDefault="00442E6D" w:rsidP="00B063F2">
            <w:pPr>
              <w:pStyle w:val="TableText"/>
              <w:jc w:val="center"/>
            </w:pPr>
            <w:r w:rsidRPr="002A40C0">
              <w:rPr>
                <w:rFonts w:eastAsia="Calibri"/>
              </w:rPr>
              <w:t>3,943.1</w:t>
            </w:r>
          </w:p>
        </w:tc>
        <w:tc>
          <w:tcPr>
            <w:tcW w:w="1417" w:type="dxa"/>
            <w:shd w:val="clear" w:color="auto" w:fill="FFFFFF"/>
            <w:tcMar>
              <w:top w:w="0" w:type="dxa"/>
              <w:left w:w="85" w:type="dxa"/>
              <w:bottom w:w="0" w:type="dxa"/>
              <w:right w:w="85" w:type="dxa"/>
            </w:tcMar>
            <w:vAlign w:val="center"/>
          </w:tcPr>
          <w:p w14:paraId="04FD17C1" w14:textId="77777777" w:rsidR="00442E6D" w:rsidRPr="002A40C0" w:rsidRDefault="00442E6D" w:rsidP="00B063F2">
            <w:pPr>
              <w:pStyle w:val="TableText"/>
              <w:jc w:val="center"/>
            </w:pPr>
            <w:r w:rsidRPr="002A40C0">
              <w:rPr>
                <w:rFonts w:eastAsia="Calibri"/>
              </w:rPr>
              <w:t>3,268.9</w:t>
            </w:r>
          </w:p>
        </w:tc>
        <w:tc>
          <w:tcPr>
            <w:tcW w:w="1985" w:type="dxa"/>
            <w:shd w:val="clear" w:color="auto" w:fill="FFFFFF"/>
            <w:tcMar>
              <w:top w:w="0" w:type="dxa"/>
              <w:left w:w="85" w:type="dxa"/>
              <w:bottom w:w="0" w:type="dxa"/>
              <w:right w:w="85" w:type="dxa"/>
            </w:tcMar>
            <w:vAlign w:val="center"/>
          </w:tcPr>
          <w:p w14:paraId="7C84F0D8" w14:textId="77777777" w:rsidR="00442E6D" w:rsidRPr="002A40C0" w:rsidRDefault="00442E6D" w:rsidP="00B063F2">
            <w:pPr>
              <w:pStyle w:val="TableText"/>
              <w:jc w:val="right"/>
            </w:pPr>
            <w:r w:rsidRPr="002A40C0">
              <w:rPr>
                <w:rFonts w:eastAsia="Calibri"/>
              </w:rPr>
              <w:t>–674.2</w:t>
            </w:r>
          </w:p>
        </w:tc>
        <w:tc>
          <w:tcPr>
            <w:tcW w:w="1842" w:type="dxa"/>
            <w:shd w:val="clear" w:color="auto" w:fill="FFFFFF"/>
            <w:tcMar>
              <w:top w:w="0" w:type="dxa"/>
              <w:left w:w="85" w:type="dxa"/>
              <w:bottom w:w="0" w:type="dxa"/>
              <w:right w:w="85" w:type="dxa"/>
            </w:tcMar>
            <w:vAlign w:val="center"/>
          </w:tcPr>
          <w:p w14:paraId="13189558" w14:textId="77777777" w:rsidR="00442E6D" w:rsidRPr="002A40C0" w:rsidRDefault="00442E6D" w:rsidP="00B063F2">
            <w:pPr>
              <w:pStyle w:val="TableText"/>
              <w:jc w:val="right"/>
            </w:pPr>
            <w:r w:rsidRPr="002A40C0">
              <w:rPr>
                <w:rFonts w:eastAsia="Calibri"/>
              </w:rPr>
              <w:t>–17.1%</w:t>
            </w:r>
          </w:p>
        </w:tc>
      </w:tr>
      <w:tr w:rsidR="00442E6D" w:rsidRPr="002A40C0" w14:paraId="796E13AB" w14:textId="77777777" w:rsidTr="00E83161">
        <w:trPr>
          <w:cantSplit/>
          <w:trHeight w:val="283"/>
        </w:trPr>
        <w:tc>
          <w:tcPr>
            <w:tcW w:w="1843" w:type="dxa"/>
            <w:shd w:val="clear" w:color="auto" w:fill="FFFFFF"/>
            <w:tcMar>
              <w:top w:w="0" w:type="dxa"/>
              <w:left w:w="85" w:type="dxa"/>
              <w:bottom w:w="0" w:type="dxa"/>
              <w:right w:w="85" w:type="dxa"/>
            </w:tcMar>
            <w:vAlign w:val="center"/>
          </w:tcPr>
          <w:p w14:paraId="1A405E31" w14:textId="77777777" w:rsidR="00442E6D" w:rsidRPr="002A40C0" w:rsidRDefault="00442E6D" w:rsidP="00B063F2">
            <w:pPr>
              <w:pStyle w:val="TableText"/>
            </w:pPr>
            <w:r w:rsidRPr="002A40C0">
              <w:rPr>
                <w:rFonts w:eastAsia="Calibri"/>
              </w:rPr>
              <w:t>Tokelau</w:t>
            </w:r>
          </w:p>
        </w:tc>
        <w:tc>
          <w:tcPr>
            <w:tcW w:w="1418" w:type="dxa"/>
            <w:shd w:val="clear" w:color="auto" w:fill="FFFFFF"/>
            <w:tcMar>
              <w:top w:w="0" w:type="dxa"/>
              <w:left w:w="85" w:type="dxa"/>
              <w:bottom w:w="0" w:type="dxa"/>
              <w:right w:w="85" w:type="dxa"/>
            </w:tcMar>
            <w:vAlign w:val="center"/>
          </w:tcPr>
          <w:p w14:paraId="326A4702" w14:textId="77777777" w:rsidR="00442E6D" w:rsidRPr="002A40C0" w:rsidRDefault="00442E6D" w:rsidP="00B063F2">
            <w:pPr>
              <w:pStyle w:val="TableText"/>
              <w:jc w:val="center"/>
            </w:pPr>
            <w:r w:rsidRPr="002A40C0">
              <w:rPr>
                <w:rFonts w:eastAsia="Calibri"/>
              </w:rPr>
              <w:t>3.2</w:t>
            </w:r>
          </w:p>
        </w:tc>
        <w:tc>
          <w:tcPr>
            <w:tcW w:w="1417" w:type="dxa"/>
            <w:shd w:val="clear" w:color="auto" w:fill="FFFFFF"/>
            <w:tcMar>
              <w:top w:w="0" w:type="dxa"/>
              <w:left w:w="85" w:type="dxa"/>
              <w:bottom w:w="0" w:type="dxa"/>
              <w:right w:w="85" w:type="dxa"/>
            </w:tcMar>
            <w:vAlign w:val="center"/>
          </w:tcPr>
          <w:p w14:paraId="3232DCF6" w14:textId="77777777" w:rsidR="00442E6D" w:rsidRPr="002A40C0" w:rsidRDefault="00442E6D" w:rsidP="00B063F2">
            <w:pPr>
              <w:pStyle w:val="TableText"/>
              <w:jc w:val="center"/>
            </w:pPr>
            <w:r w:rsidRPr="002A40C0">
              <w:rPr>
                <w:rFonts w:eastAsia="Calibri"/>
              </w:rPr>
              <w:t>4.2</w:t>
            </w:r>
          </w:p>
        </w:tc>
        <w:tc>
          <w:tcPr>
            <w:tcW w:w="1985" w:type="dxa"/>
            <w:shd w:val="clear" w:color="auto" w:fill="FFFFFF"/>
            <w:tcMar>
              <w:top w:w="0" w:type="dxa"/>
              <w:left w:w="85" w:type="dxa"/>
              <w:bottom w:w="0" w:type="dxa"/>
              <w:right w:w="85" w:type="dxa"/>
            </w:tcMar>
            <w:vAlign w:val="center"/>
          </w:tcPr>
          <w:p w14:paraId="64539CE9" w14:textId="77777777" w:rsidR="00442E6D" w:rsidRPr="002A40C0" w:rsidRDefault="00442E6D" w:rsidP="00B063F2">
            <w:pPr>
              <w:pStyle w:val="TableText"/>
              <w:jc w:val="right"/>
            </w:pPr>
            <w:r w:rsidRPr="002A40C0">
              <w:rPr>
                <w:rFonts w:eastAsia="Calibri"/>
              </w:rPr>
              <w:t>1.0</w:t>
            </w:r>
          </w:p>
        </w:tc>
        <w:tc>
          <w:tcPr>
            <w:tcW w:w="1842" w:type="dxa"/>
            <w:shd w:val="clear" w:color="auto" w:fill="FFFFFF"/>
            <w:tcMar>
              <w:top w:w="0" w:type="dxa"/>
              <w:left w:w="85" w:type="dxa"/>
              <w:bottom w:w="0" w:type="dxa"/>
              <w:right w:w="85" w:type="dxa"/>
            </w:tcMar>
            <w:vAlign w:val="center"/>
          </w:tcPr>
          <w:p w14:paraId="76B784C9" w14:textId="77777777" w:rsidR="00442E6D" w:rsidRPr="002A40C0" w:rsidRDefault="00442E6D" w:rsidP="00B063F2">
            <w:pPr>
              <w:pStyle w:val="TableText"/>
              <w:jc w:val="right"/>
            </w:pPr>
            <w:r w:rsidRPr="002A40C0">
              <w:rPr>
                <w:rFonts w:eastAsia="Calibri"/>
              </w:rPr>
              <w:t>31.9%</w:t>
            </w:r>
          </w:p>
        </w:tc>
      </w:tr>
      <w:tr w:rsidR="00442E6D" w:rsidRPr="002A40C0" w14:paraId="1151D405" w14:textId="77777777" w:rsidTr="00E83161">
        <w:trPr>
          <w:cantSplit/>
          <w:trHeight w:val="283"/>
        </w:trPr>
        <w:tc>
          <w:tcPr>
            <w:tcW w:w="1843" w:type="dxa"/>
            <w:shd w:val="clear" w:color="auto" w:fill="FFFFFF"/>
            <w:tcMar>
              <w:top w:w="0" w:type="dxa"/>
              <w:left w:w="85" w:type="dxa"/>
              <w:bottom w:w="0" w:type="dxa"/>
              <w:right w:w="85" w:type="dxa"/>
            </w:tcMar>
            <w:vAlign w:val="center"/>
          </w:tcPr>
          <w:p w14:paraId="0EF582AE" w14:textId="77777777" w:rsidR="00442E6D" w:rsidRPr="002A40C0" w:rsidRDefault="00442E6D" w:rsidP="00B063F2">
            <w:pPr>
              <w:pStyle w:val="Tableboldblue"/>
            </w:pPr>
            <w:r w:rsidRPr="002A40C0">
              <w:rPr>
                <w:rFonts w:eastAsia="Calibri"/>
              </w:rPr>
              <w:t>Gross</w:t>
            </w:r>
          </w:p>
        </w:tc>
        <w:tc>
          <w:tcPr>
            <w:tcW w:w="1418" w:type="dxa"/>
            <w:shd w:val="clear" w:color="auto" w:fill="FFFFFF"/>
            <w:tcMar>
              <w:top w:w="0" w:type="dxa"/>
              <w:left w:w="85" w:type="dxa"/>
              <w:bottom w:w="0" w:type="dxa"/>
              <w:right w:w="85" w:type="dxa"/>
            </w:tcMar>
            <w:vAlign w:val="center"/>
          </w:tcPr>
          <w:p w14:paraId="7BA314EA" w14:textId="77777777" w:rsidR="00442E6D" w:rsidRPr="002A40C0" w:rsidRDefault="00442E6D" w:rsidP="00B063F2">
            <w:pPr>
              <w:pStyle w:val="Tableboldblue"/>
              <w:jc w:val="center"/>
            </w:pPr>
            <w:r w:rsidRPr="002A40C0">
              <w:rPr>
                <w:rFonts w:eastAsia="Calibri"/>
              </w:rPr>
              <w:t>65,197.0</w:t>
            </w:r>
          </w:p>
        </w:tc>
        <w:tc>
          <w:tcPr>
            <w:tcW w:w="1417" w:type="dxa"/>
            <w:shd w:val="clear" w:color="auto" w:fill="FFFFFF"/>
            <w:tcMar>
              <w:top w:w="0" w:type="dxa"/>
              <w:left w:w="85" w:type="dxa"/>
              <w:bottom w:w="0" w:type="dxa"/>
              <w:right w:w="85" w:type="dxa"/>
            </w:tcMar>
            <w:vAlign w:val="center"/>
          </w:tcPr>
          <w:p w14:paraId="3A664EB1" w14:textId="77777777" w:rsidR="00442E6D" w:rsidRPr="002A40C0" w:rsidRDefault="00442E6D" w:rsidP="00B063F2">
            <w:pPr>
              <w:pStyle w:val="Tableboldblue"/>
              <w:jc w:val="center"/>
            </w:pPr>
            <w:r w:rsidRPr="002A40C0">
              <w:rPr>
                <w:rFonts w:eastAsia="Calibri"/>
              </w:rPr>
              <w:t>78,778.4</w:t>
            </w:r>
          </w:p>
        </w:tc>
        <w:tc>
          <w:tcPr>
            <w:tcW w:w="1985" w:type="dxa"/>
            <w:shd w:val="clear" w:color="auto" w:fill="FFFFFF"/>
            <w:tcMar>
              <w:top w:w="0" w:type="dxa"/>
              <w:left w:w="85" w:type="dxa"/>
              <w:bottom w:w="0" w:type="dxa"/>
              <w:right w:w="85" w:type="dxa"/>
            </w:tcMar>
            <w:vAlign w:val="center"/>
          </w:tcPr>
          <w:p w14:paraId="01E5B58B" w14:textId="77777777" w:rsidR="00442E6D" w:rsidRPr="002A40C0" w:rsidRDefault="00442E6D" w:rsidP="00B063F2">
            <w:pPr>
              <w:pStyle w:val="Tableboldblue"/>
              <w:jc w:val="right"/>
            </w:pPr>
            <w:r w:rsidRPr="002A40C0">
              <w:rPr>
                <w:rFonts w:eastAsia="Calibri"/>
              </w:rPr>
              <w:t>13,581.4</w:t>
            </w:r>
          </w:p>
        </w:tc>
        <w:tc>
          <w:tcPr>
            <w:tcW w:w="1842" w:type="dxa"/>
            <w:shd w:val="clear" w:color="auto" w:fill="FFFFFF"/>
            <w:tcMar>
              <w:top w:w="0" w:type="dxa"/>
              <w:left w:w="85" w:type="dxa"/>
              <w:bottom w:w="0" w:type="dxa"/>
              <w:right w:w="85" w:type="dxa"/>
            </w:tcMar>
            <w:vAlign w:val="center"/>
          </w:tcPr>
          <w:p w14:paraId="647255C8" w14:textId="77777777" w:rsidR="00442E6D" w:rsidRPr="002A40C0" w:rsidRDefault="00442E6D" w:rsidP="00B063F2">
            <w:pPr>
              <w:pStyle w:val="Tableboldblue"/>
              <w:jc w:val="right"/>
            </w:pPr>
            <w:r w:rsidRPr="002A40C0">
              <w:rPr>
                <w:rFonts w:eastAsia="Calibri"/>
              </w:rPr>
              <w:t>20.8%</w:t>
            </w:r>
          </w:p>
        </w:tc>
      </w:tr>
      <w:tr w:rsidR="00442E6D" w:rsidRPr="002A40C0" w14:paraId="2F6FBF09" w14:textId="77777777" w:rsidTr="00E83161">
        <w:trPr>
          <w:cantSplit/>
          <w:trHeight w:val="283"/>
        </w:trPr>
        <w:tc>
          <w:tcPr>
            <w:tcW w:w="1843" w:type="dxa"/>
            <w:shd w:val="clear" w:color="auto" w:fill="FFFFFF"/>
            <w:tcMar>
              <w:top w:w="0" w:type="dxa"/>
              <w:left w:w="85" w:type="dxa"/>
              <w:bottom w:w="0" w:type="dxa"/>
              <w:right w:w="85" w:type="dxa"/>
            </w:tcMar>
            <w:vAlign w:val="center"/>
          </w:tcPr>
          <w:p w14:paraId="0B3F7FB0" w14:textId="77777777" w:rsidR="00442E6D" w:rsidRPr="002A40C0" w:rsidRDefault="00442E6D" w:rsidP="00B063F2">
            <w:pPr>
              <w:pStyle w:val="TableText"/>
            </w:pPr>
            <w:r w:rsidRPr="002A40C0">
              <w:rPr>
                <w:rFonts w:eastAsia="Calibri"/>
              </w:rPr>
              <w:t>LULUCF</w:t>
            </w:r>
          </w:p>
        </w:tc>
        <w:tc>
          <w:tcPr>
            <w:tcW w:w="1418" w:type="dxa"/>
            <w:shd w:val="clear" w:color="auto" w:fill="FFFFFF"/>
            <w:tcMar>
              <w:top w:w="0" w:type="dxa"/>
              <w:left w:w="85" w:type="dxa"/>
              <w:bottom w:w="0" w:type="dxa"/>
              <w:right w:w="85" w:type="dxa"/>
            </w:tcMar>
            <w:vAlign w:val="center"/>
          </w:tcPr>
          <w:p w14:paraId="1E123B70" w14:textId="77777777" w:rsidR="00442E6D" w:rsidRPr="002A40C0" w:rsidRDefault="00442E6D" w:rsidP="00B063F2">
            <w:pPr>
              <w:pStyle w:val="TableText"/>
              <w:jc w:val="center"/>
            </w:pPr>
            <w:r w:rsidRPr="002A40C0">
              <w:rPr>
                <w:rFonts w:eastAsia="Calibri"/>
              </w:rPr>
              <w:t>–21,229.2</w:t>
            </w:r>
          </w:p>
        </w:tc>
        <w:tc>
          <w:tcPr>
            <w:tcW w:w="1417" w:type="dxa"/>
            <w:shd w:val="clear" w:color="auto" w:fill="FFFFFF"/>
            <w:tcMar>
              <w:top w:w="0" w:type="dxa"/>
              <w:left w:w="85" w:type="dxa"/>
              <w:bottom w:w="0" w:type="dxa"/>
              <w:right w:w="85" w:type="dxa"/>
            </w:tcMar>
            <w:vAlign w:val="center"/>
          </w:tcPr>
          <w:p w14:paraId="3C7EE984" w14:textId="77777777" w:rsidR="00442E6D" w:rsidRPr="002A40C0" w:rsidRDefault="00442E6D" w:rsidP="00B063F2">
            <w:pPr>
              <w:pStyle w:val="TableText"/>
              <w:jc w:val="center"/>
            </w:pPr>
            <w:r w:rsidRPr="002A40C0">
              <w:rPr>
                <w:rFonts w:eastAsia="Calibri"/>
              </w:rPr>
              <w:t>–23,313.3</w:t>
            </w:r>
          </w:p>
        </w:tc>
        <w:tc>
          <w:tcPr>
            <w:tcW w:w="1985" w:type="dxa"/>
            <w:shd w:val="clear" w:color="auto" w:fill="FFFFFF"/>
            <w:tcMar>
              <w:top w:w="0" w:type="dxa"/>
              <w:left w:w="85" w:type="dxa"/>
              <w:bottom w:w="0" w:type="dxa"/>
              <w:right w:w="85" w:type="dxa"/>
            </w:tcMar>
            <w:vAlign w:val="center"/>
          </w:tcPr>
          <w:p w14:paraId="6BD13EC6" w14:textId="77777777" w:rsidR="00442E6D" w:rsidRPr="002A40C0" w:rsidRDefault="00442E6D" w:rsidP="00B063F2">
            <w:pPr>
              <w:pStyle w:val="TableText"/>
              <w:jc w:val="right"/>
            </w:pPr>
            <w:r w:rsidRPr="002A40C0">
              <w:rPr>
                <w:rFonts w:eastAsia="Calibri"/>
              </w:rPr>
              <w:t>–2,084.0</w:t>
            </w:r>
          </w:p>
        </w:tc>
        <w:tc>
          <w:tcPr>
            <w:tcW w:w="1842" w:type="dxa"/>
            <w:shd w:val="clear" w:color="auto" w:fill="FFFFFF"/>
            <w:tcMar>
              <w:top w:w="0" w:type="dxa"/>
              <w:left w:w="85" w:type="dxa"/>
              <w:bottom w:w="0" w:type="dxa"/>
              <w:right w:w="85" w:type="dxa"/>
            </w:tcMar>
            <w:vAlign w:val="center"/>
          </w:tcPr>
          <w:p w14:paraId="55621941" w14:textId="77777777" w:rsidR="00442E6D" w:rsidRPr="002A40C0" w:rsidRDefault="00442E6D" w:rsidP="00B063F2">
            <w:pPr>
              <w:pStyle w:val="TableText"/>
              <w:jc w:val="right"/>
            </w:pPr>
            <w:r w:rsidRPr="002A40C0">
              <w:rPr>
                <w:rFonts w:eastAsia="Calibri"/>
              </w:rPr>
              <w:t>–9.8%</w:t>
            </w:r>
          </w:p>
        </w:tc>
      </w:tr>
      <w:tr w:rsidR="00442E6D" w:rsidRPr="002A40C0" w14:paraId="51839615" w14:textId="77777777" w:rsidTr="00E83161">
        <w:trPr>
          <w:cantSplit/>
          <w:trHeight w:val="283"/>
        </w:trPr>
        <w:tc>
          <w:tcPr>
            <w:tcW w:w="1843" w:type="dxa"/>
            <w:shd w:val="clear" w:color="auto" w:fill="FFFFFF"/>
            <w:tcMar>
              <w:top w:w="0" w:type="dxa"/>
              <w:left w:w="85" w:type="dxa"/>
              <w:bottom w:w="0" w:type="dxa"/>
              <w:right w:w="85" w:type="dxa"/>
            </w:tcMar>
            <w:vAlign w:val="center"/>
          </w:tcPr>
          <w:p w14:paraId="6D008FBD" w14:textId="77777777" w:rsidR="00442E6D" w:rsidRPr="002A40C0" w:rsidRDefault="00442E6D" w:rsidP="00B063F2">
            <w:pPr>
              <w:pStyle w:val="Tableboldblue"/>
            </w:pPr>
            <w:r w:rsidRPr="002A40C0">
              <w:rPr>
                <w:rFonts w:eastAsia="Calibri"/>
              </w:rPr>
              <w:t>Net</w:t>
            </w:r>
          </w:p>
        </w:tc>
        <w:tc>
          <w:tcPr>
            <w:tcW w:w="1418" w:type="dxa"/>
            <w:shd w:val="clear" w:color="auto" w:fill="FFFFFF"/>
            <w:tcMar>
              <w:top w:w="0" w:type="dxa"/>
              <w:left w:w="85" w:type="dxa"/>
              <w:bottom w:w="0" w:type="dxa"/>
              <w:right w:w="85" w:type="dxa"/>
            </w:tcMar>
            <w:vAlign w:val="center"/>
          </w:tcPr>
          <w:p w14:paraId="49972CD6" w14:textId="77777777" w:rsidR="00442E6D" w:rsidRPr="002A40C0" w:rsidRDefault="00442E6D" w:rsidP="00B063F2">
            <w:pPr>
              <w:pStyle w:val="Tableboldblue"/>
              <w:jc w:val="center"/>
            </w:pPr>
            <w:r w:rsidRPr="002A40C0">
              <w:rPr>
                <w:rFonts w:eastAsia="Calibri"/>
              </w:rPr>
              <w:t>43,967.8</w:t>
            </w:r>
          </w:p>
        </w:tc>
        <w:tc>
          <w:tcPr>
            <w:tcW w:w="1417" w:type="dxa"/>
            <w:shd w:val="clear" w:color="auto" w:fill="FFFFFF"/>
            <w:tcMar>
              <w:top w:w="0" w:type="dxa"/>
              <w:left w:w="85" w:type="dxa"/>
              <w:bottom w:w="0" w:type="dxa"/>
              <w:right w:w="85" w:type="dxa"/>
            </w:tcMar>
            <w:vAlign w:val="center"/>
          </w:tcPr>
          <w:p w14:paraId="479FEC3A" w14:textId="77777777" w:rsidR="00442E6D" w:rsidRPr="002A40C0" w:rsidRDefault="00442E6D" w:rsidP="00B063F2">
            <w:pPr>
              <w:pStyle w:val="Tableboldblue"/>
              <w:jc w:val="center"/>
            </w:pPr>
            <w:r w:rsidRPr="002A40C0">
              <w:rPr>
                <w:rFonts w:eastAsia="Calibri"/>
              </w:rPr>
              <w:t>55,465.1</w:t>
            </w:r>
          </w:p>
        </w:tc>
        <w:tc>
          <w:tcPr>
            <w:tcW w:w="1985" w:type="dxa"/>
            <w:shd w:val="clear" w:color="auto" w:fill="FFFFFF"/>
            <w:tcMar>
              <w:top w:w="0" w:type="dxa"/>
              <w:left w:w="85" w:type="dxa"/>
              <w:bottom w:w="0" w:type="dxa"/>
              <w:right w:w="85" w:type="dxa"/>
            </w:tcMar>
            <w:vAlign w:val="center"/>
          </w:tcPr>
          <w:p w14:paraId="5D3648C8" w14:textId="77777777" w:rsidR="00442E6D" w:rsidRPr="002A40C0" w:rsidRDefault="00442E6D" w:rsidP="00B063F2">
            <w:pPr>
              <w:pStyle w:val="Tableboldblue"/>
              <w:jc w:val="right"/>
            </w:pPr>
            <w:r w:rsidRPr="002A40C0">
              <w:rPr>
                <w:rFonts w:eastAsia="Calibri"/>
              </w:rPr>
              <w:t>11,497.3</w:t>
            </w:r>
          </w:p>
        </w:tc>
        <w:tc>
          <w:tcPr>
            <w:tcW w:w="1842" w:type="dxa"/>
            <w:shd w:val="clear" w:color="auto" w:fill="FFFFFF"/>
            <w:tcMar>
              <w:top w:w="0" w:type="dxa"/>
              <w:left w:w="85" w:type="dxa"/>
              <w:bottom w:w="0" w:type="dxa"/>
              <w:right w:w="85" w:type="dxa"/>
            </w:tcMar>
            <w:vAlign w:val="center"/>
          </w:tcPr>
          <w:p w14:paraId="06930716" w14:textId="77777777" w:rsidR="00442E6D" w:rsidRPr="002A40C0" w:rsidRDefault="00442E6D" w:rsidP="00B063F2">
            <w:pPr>
              <w:pStyle w:val="Tableboldblue"/>
              <w:jc w:val="right"/>
            </w:pPr>
            <w:r w:rsidRPr="002A40C0">
              <w:rPr>
                <w:rFonts w:eastAsia="Calibri"/>
              </w:rPr>
              <w:t>26.1%</w:t>
            </w:r>
          </w:p>
        </w:tc>
      </w:tr>
    </w:tbl>
    <w:p w14:paraId="40217B38" w14:textId="77777777" w:rsidR="00442E6D" w:rsidRPr="002A40C0" w:rsidRDefault="00442E6D" w:rsidP="00442E6D">
      <w:pPr>
        <w:pStyle w:val="Noteundertable"/>
      </w:pPr>
      <w:r w:rsidRPr="002A40C0">
        <w:rPr>
          <w:b/>
          <w:bCs/>
        </w:rPr>
        <w:t>Note:</w:t>
      </w:r>
      <w:r w:rsidRPr="002A40C0">
        <w:tab/>
        <w:t>Net emissions from the LULUCF sector are reported as a negative number because the sector removes more CO</w:t>
      </w:r>
      <w:r w:rsidRPr="002A40C0">
        <w:rPr>
          <w:vertAlign w:val="subscript"/>
        </w:rPr>
        <w:t>2</w:t>
      </w:r>
      <w:r w:rsidRPr="002A40C0">
        <w:t xml:space="preserve"> from the atmosphere than it emits (see chapter 6). Columns may not total due to rounding. Percentages presented are calculated from unrounded values. For Tokelau contributions, see chapter 2, table 2.1.1.</w:t>
      </w:r>
    </w:p>
    <w:p w14:paraId="5F80FA25" w14:textId="77777777" w:rsidR="00442E6D" w:rsidRPr="002A40C0" w:rsidRDefault="00442E6D" w:rsidP="00442E6D">
      <w:pPr>
        <w:pStyle w:val="Figure"/>
      </w:pPr>
      <w:bookmarkStart w:id="22" w:name="_Toc99695996"/>
      <w:r w:rsidRPr="002A40C0">
        <w:lastRenderedPageBreak/>
        <w:t>Figure ES 4.2</w:t>
      </w:r>
      <w:r w:rsidRPr="002A40C0">
        <w:tab/>
        <w:t>Change in New Zealand’s emissions by sector, comparing 1990 and 2020</w:t>
      </w:r>
      <w:bookmarkEnd w:id="22"/>
    </w:p>
    <w:p w14:paraId="72093F5F" w14:textId="55522AAD" w:rsidR="00442E6D" w:rsidRPr="002A40C0" w:rsidRDefault="004B48CC" w:rsidP="00442E6D">
      <w:pPr>
        <w:pStyle w:val="BodyText"/>
      </w:pPr>
      <w:r>
        <w:rPr>
          <w:noProof/>
        </w:rPr>
        <w:pict w14:anchorId="6279BC81">
          <v:shape id="_x0000_i1029" type="#_x0000_t75" style="width:425.3pt;height:316.45pt;visibility:visible;mso-wrap-style:square">
            <v:imagedata r:id="rId24" o:title="" cropbottom="986f"/>
          </v:shape>
        </w:pict>
      </w:r>
    </w:p>
    <w:p w14:paraId="67D108DC" w14:textId="77777777" w:rsidR="00442E6D" w:rsidRPr="002A40C0" w:rsidRDefault="00442E6D" w:rsidP="00442E6D">
      <w:pPr>
        <w:pStyle w:val="Heading3"/>
      </w:pPr>
      <w:bookmarkStart w:id="23" w:name="sector-specific-trends"/>
      <w:r w:rsidRPr="002A40C0">
        <w:t>Sector-specific trends</w:t>
      </w:r>
    </w:p>
    <w:p w14:paraId="594DC8BF" w14:textId="77777777" w:rsidR="00442E6D" w:rsidRPr="002A40C0" w:rsidRDefault="00442E6D" w:rsidP="00442E6D">
      <w:pPr>
        <w:pStyle w:val="Heading4"/>
      </w:pPr>
      <w:bookmarkStart w:id="24" w:name="energy-chapter-3"/>
      <w:r w:rsidRPr="002A40C0">
        <w:t>Energy (chapter 3)</w:t>
      </w:r>
    </w:p>
    <w:p w14:paraId="181B25A6" w14:textId="77777777" w:rsidR="00442E6D" w:rsidRPr="002A40C0" w:rsidRDefault="00442E6D" w:rsidP="00442E6D">
      <w:pPr>
        <w:pStyle w:val="Heading5"/>
      </w:pPr>
      <w:r w:rsidRPr="002A40C0">
        <w:t>2020</w:t>
      </w:r>
    </w:p>
    <w:p w14:paraId="6480181C" w14:textId="77777777" w:rsidR="00442E6D" w:rsidRPr="002A40C0" w:rsidRDefault="00442E6D" w:rsidP="00442E6D">
      <w:pPr>
        <w:pStyle w:val="BodyText"/>
      </w:pPr>
      <w:r w:rsidRPr="002A40C0">
        <w:t>In 2020, emissions from the Energy sector contributed 31,461.4 kt CO</w:t>
      </w:r>
      <w:r w:rsidRPr="002A40C0">
        <w:rPr>
          <w:vertAlign w:val="subscript"/>
        </w:rPr>
        <w:t>2</w:t>
      </w:r>
      <w:r w:rsidRPr="002A40C0">
        <w:t>-e or 39.9 per cent of New Zealand’s gross greenhouse gas emissions (see chapter 2, figure 2.2.1).</w:t>
      </w:r>
    </w:p>
    <w:p w14:paraId="2129DCF7" w14:textId="77777777" w:rsidR="00442E6D" w:rsidRPr="002A40C0" w:rsidRDefault="00442E6D" w:rsidP="00442E6D">
      <w:pPr>
        <w:pStyle w:val="BodyText"/>
      </w:pPr>
      <w:r w:rsidRPr="002A40C0">
        <w:t xml:space="preserve">The largest sources of emissions in the Energy sector were the </w:t>
      </w:r>
      <w:r w:rsidRPr="002A40C0">
        <w:rPr>
          <w:i/>
          <w:iCs/>
        </w:rPr>
        <w:t>Road transportation</w:t>
      </w:r>
      <w:r w:rsidRPr="002A40C0">
        <w:t xml:space="preserve"> category, contributing 12,023.2 kt CO</w:t>
      </w:r>
      <w:r w:rsidRPr="002A40C0">
        <w:rPr>
          <w:vertAlign w:val="subscript"/>
        </w:rPr>
        <w:t>2</w:t>
      </w:r>
      <w:r w:rsidRPr="002A40C0">
        <w:t xml:space="preserve">-e (38.2 per cent), and the </w:t>
      </w:r>
      <w:r w:rsidRPr="002A40C0">
        <w:rPr>
          <w:i/>
          <w:iCs/>
        </w:rPr>
        <w:t>Manufacturing industries and construction</w:t>
      </w:r>
      <w:r w:rsidRPr="002A40C0">
        <w:t xml:space="preserve"> category, contributing 6,681.6 kt CO</w:t>
      </w:r>
      <w:r w:rsidRPr="002A40C0">
        <w:rPr>
          <w:vertAlign w:val="subscript"/>
        </w:rPr>
        <w:t>2</w:t>
      </w:r>
      <w:r w:rsidRPr="002A40C0">
        <w:t>-e (21.2 per cent) to Energy emissions.</w:t>
      </w:r>
    </w:p>
    <w:p w14:paraId="5E0EADB2" w14:textId="77777777" w:rsidR="00442E6D" w:rsidRPr="002A40C0" w:rsidRDefault="00442E6D" w:rsidP="00442E6D">
      <w:pPr>
        <w:pStyle w:val="Heading5"/>
      </w:pPr>
      <w:r w:rsidRPr="002A40C0">
        <w:t>1990–2020</w:t>
      </w:r>
    </w:p>
    <w:p w14:paraId="742A67D1" w14:textId="77777777" w:rsidR="00442E6D" w:rsidRPr="002A40C0" w:rsidRDefault="00442E6D" w:rsidP="00442E6D">
      <w:pPr>
        <w:pStyle w:val="BodyText"/>
      </w:pPr>
      <w:r w:rsidRPr="002A40C0">
        <w:t>In 2020, emissions from the Energy sector increased by 31.8 per cent (7,583.5 kt CO</w:t>
      </w:r>
      <w:r w:rsidRPr="002A40C0">
        <w:rPr>
          <w:vertAlign w:val="subscript"/>
        </w:rPr>
        <w:t>2</w:t>
      </w:r>
      <w:r w:rsidRPr="002A40C0">
        <w:t>-e) from the 1990 level of 23,877.9 kt CO</w:t>
      </w:r>
      <w:r w:rsidRPr="002A40C0">
        <w:rPr>
          <w:vertAlign w:val="subscript"/>
        </w:rPr>
        <w:t>2</w:t>
      </w:r>
      <w:r w:rsidRPr="002A40C0">
        <w:t>-e.</w:t>
      </w:r>
    </w:p>
    <w:p w14:paraId="19DDBB2F" w14:textId="77777777" w:rsidR="00442E6D" w:rsidRPr="002A40C0" w:rsidRDefault="00442E6D" w:rsidP="00442E6D">
      <w:pPr>
        <w:pStyle w:val="BodyText"/>
      </w:pPr>
      <w:r w:rsidRPr="002A40C0">
        <w:t xml:space="preserve">This growth in emissions is primarily from </w:t>
      </w:r>
      <w:r w:rsidRPr="002A40C0">
        <w:rPr>
          <w:i/>
          <w:iCs/>
        </w:rPr>
        <w:t>Road transportation</w:t>
      </w:r>
      <w:r w:rsidRPr="002A40C0">
        <w:t>, which increased by 5,194.1 kt CO</w:t>
      </w:r>
      <w:r w:rsidRPr="002A40C0">
        <w:rPr>
          <w:vertAlign w:val="subscript"/>
        </w:rPr>
        <w:t>2</w:t>
      </w:r>
      <w:r w:rsidRPr="002A40C0">
        <w:t xml:space="preserve">-e (76.1 per cent), </w:t>
      </w:r>
      <w:r w:rsidRPr="002A40C0">
        <w:rPr>
          <w:i/>
          <w:iCs/>
        </w:rPr>
        <w:t>Food processing, beverages and tobacco</w:t>
      </w:r>
      <w:r w:rsidRPr="002A40C0">
        <w:t>, which increased by 1,387.0 kt CO</w:t>
      </w:r>
      <w:r w:rsidRPr="002A40C0">
        <w:rPr>
          <w:vertAlign w:val="subscript"/>
        </w:rPr>
        <w:t>2</w:t>
      </w:r>
      <w:r w:rsidRPr="002A40C0">
        <w:t xml:space="preserve">-e (83.0 per cent), and </w:t>
      </w:r>
      <w:r w:rsidRPr="002A40C0">
        <w:rPr>
          <w:i/>
          <w:iCs/>
        </w:rPr>
        <w:t>Public electricity and heat production</w:t>
      </w:r>
      <w:r w:rsidRPr="002A40C0">
        <w:t>, which increased by 1,127.4 kt CO</w:t>
      </w:r>
      <w:r w:rsidRPr="002A40C0">
        <w:rPr>
          <w:vertAlign w:val="subscript"/>
        </w:rPr>
        <w:t>2</w:t>
      </w:r>
      <w:r w:rsidRPr="002A40C0">
        <w:t>-e (32.3 per cent).</w:t>
      </w:r>
    </w:p>
    <w:p w14:paraId="6A62B018" w14:textId="77777777" w:rsidR="00442E6D" w:rsidRPr="002A40C0" w:rsidRDefault="00442E6D" w:rsidP="00442E6D">
      <w:pPr>
        <w:pStyle w:val="BodyText"/>
      </w:pPr>
      <w:r w:rsidRPr="002A40C0">
        <w:t xml:space="preserve">In 2020, emissions from </w:t>
      </w:r>
      <w:r w:rsidRPr="002A40C0">
        <w:rPr>
          <w:i/>
          <w:iCs/>
        </w:rPr>
        <w:t>Manufacture of solid fuels and other energy industries</w:t>
      </w:r>
      <w:r w:rsidRPr="002A40C0">
        <w:t xml:space="preserve"> were lower than the 1990 level by 1,452.7 kt CO</w:t>
      </w:r>
      <w:r w:rsidRPr="002A40C0">
        <w:rPr>
          <w:vertAlign w:val="subscript"/>
        </w:rPr>
        <w:t>2</w:t>
      </w:r>
      <w:r w:rsidRPr="002A40C0">
        <w:t>-e (84.6 per cent). This decrease is primarily due to the end to synthetic gasoline production in 1997.</w:t>
      </w:r>
    </w:p>
    <w:p w14:paraId="670A877F" w14:textId="77777777" w:rsidR="00442E6D" w:rsidRPr="002A40C0" w:rsidRDefault="00442E6D" w:rsidP="00442E6D">
      <w:pPr>
        <w:pStyle w:val="BodyText"/>
      </w:pPr>
      <w:r w:rsidRPr="002A40C0">
        <w:lastRenderedPageBreak/>
        <w:t>Figure ES 4.1 shows the Energy sector emissions time series from 1990 to 2020. The trend shows emissions increased until around 2005, after which a flat to decreasing trend has occurred in Energy sector emissions.</w:t>
      </w:r>
    </w:p>
    <w:p w14:paraId="19FCF9DE" w14:textId="77777777" w:rsidR="00442E6D" w:rsidRPr="002A40C0" w:rsidRDefault="00442E6D" w:rsidP="00442E6D">
      <w:pPr>
        <w:pStyle w:val="Heading5"/>
      </w:pPr>
      <w:r w:rsidRPr="002A40C0">
        <w:t>2019–2020</w:t>
      </w:r>
    </w:p>
    <w:p w14:paraId="190A6E40" w14:textId="77777777" w:rsidR="00442E6D" w:rsidRPr="002A40C0" w:rsidRDefault="00442E6D" w:rsidP="00442E6D">
      <w:pPr>
        <w:pStyle w:val="BodyText"/>
      </w:pPr>
      <w:r w:rsidRPr="002A40C0">
        <w:t xml:space="preserve">The 2020 calendar year saw disruption to economic activity in New Zealand, with the Energy sector experiencing the effects of the COVID-19 pandemic throughout the year. This saw significant changes to the supply of and demand for energy in New Zealand. For in-depth analysis and commentary, see </w:t>
      </w:r>
      <w:r w:rsidRPr="002A40C0">
        <w:rPr>
          <w:i/>
          <w:iCs/>
        </w:rPr>
        <w:t>Energy in New Zealand</w:t>
      </w:r>
      <w:r w:rsidRPr="002A40C0">
        <w:t xml:space="preserve"> (MBIE, 2021), section C: Impacts of COVID-19.</w:t>
      </w:r>
    </w:p>
    <w:p w14:paraId="4034545B" w14:textId="77777777" w:rsidR="00442E6D" w:rsidRPr="002A40C0" w:rsidRDefault="00442E6D" w:rsidP="00442E6D">
      <w:pPr>
        <w:pStyle w:val="BodyText"/>
      </w:pPr>
      <w:r w:rsidRPr="002A40C0">
        <w:t>Between 2019 and 2020, emissions from the Energy sector decreased by 2,459.0 kt CO</w:t>
      </w:r>
      <w:r w:rsidRPr="002A40C0">
        <w:rPr>
          <w:vertAlign w:val="subscript"/>
        </w:rPr>
        <w:t>2</w:t>
      </w:r>
      <w:r w:rsidRPr="002A40C0">
        <w:t>-e (7.2 per cent). This is primarily due to the 1,093.0 kt CO</w:t>
      </w:r>
      <w:r w:rsidRPr="002A40C0">
        <w:rPr>
          <w:vertAlign w:val="subscript"/>
        </w:rPr>
        <w:t>2</w:t>
      </w:r>
      <w:r w:rsidRPr="002A40C0">
        <w:t xml:space="preserve">-e (8.3 per cent) decrease in emissions from 1.A.3.b </w:t>
      </w:r>
      <w:r w:rsidRPr="002A40C0">
        <w:rPr>
          <w:i/>
          <w:iCs/>
        </w:rPr>
        <w:t>Road transportation</w:t>
      </w:r>
      <w:r w:rsidRPr="002A40C0">
        <w:t>, followed by a decrease of 315.3 kt CO</w:t>
      </w:r>
      <w:r w:rsidRPr="002A40C0">
        <w:rPr>
          <w:vertAlign w:val="subscript"/>
        </w:rPr>
        <w:t>2</w:t>
      </w:r>
      <w:r w:rsidRPr="002A40C0">
        <w:t xml:space="preserve">-e (30.8 per cent) from category 1.A.3.a </w:t>
      </w:r>
      <w:r w:rsidRPr="002A40C0">
        <w:rPr>
          <w:i/>
          <w:iCs/>
        </w:rPr>
        <w:t>Domestic aviation</w:t>
      </w:r>
      <w:r w:rsidRPr="002A40C0">
        <w:t>.</w:t>
      </w:r>
    </w:p>
    <w:p w14:paraId="32950F5C" w14:textId="77777777" w:rsidR="00442E6D" w:rsidRPr="002A40C0" w:rsidRDefault="00442E6D" w:rsidP="00442E6D">
      <w:pPr>
        <w:pStyle w:val="BodyText"/>
      </w:pPr>
      <w:r w:rsidRPr="002A40C0">
        <w:t xml:space="preserve">The decrease was partially offset by an increase from category 1.A.1.a </w:t>
      </w:r>
      <w:r w:rsidRPr="002A40C0">
        <w:rPr>
          <w:i/>
          <w:iCs/>
        </w:rPr>
        <w:t>Public electricity and heat production</w:t>
      </w:r>
      <w:r w:rsidRPr="002A40C0">
        <w:t xml:space="preserve"> of 401.5 kt CO</w:t>
      </w:r>
      <w:r w:rsidRPr="002A40C0">
        <w:rPr>
          <w:vertAlign w:val="subscript"/>
        </w:rPr>
        <w:t>2</w:t>
      </w:r>
      <w:r w:rsidRPr="002A40C0">
        <w:t>-e (9.5 per cent).</w:t>
      </w:r>
    </w:p>
    <w:p w14:paraId="1B7B1045" w14:textId="77777777" w:rsidR="00442E6D" w:rsidRPr="002A40C0" w:rsidRDefault="00442E6D" w:rsidP="00442E6D">
      <w:pPr>
        <w:pStyle w:val="BodyText"/>
      </w:pPr>
      <w:r w:rsidRPr="002A40C0">
        <w:t>A decrease of 847.6 kt CO</w:t>
      </w:r>
      <w:r w:rsidRPr="002A40C0">
        <w:rPr>
          <w:vertAlign w:val="subscript"/>
        </w:rPr>
        <w:t>2</w:t>
      </w:r>
      <w:r w:rsidRPr="002A40C0">
        <w:t xml:space="preserve">-e (11.3 per cent) also occurred in emissions from category 1.A.2 </w:t>
      </w:r>
      <w:r w:rsidRPr="002A40C0">
        <w:rPr>
          <w:i/>
          <w:iCs/>
        </w:rPr>
        <w:t>Manufacturing industries and construction</w:t>
      </w:r>
      <w:r w:rsidRPr="002A40C0">
        <w:t>.</w:t>
      </w:r>
    </w:p>
    <w:p w14:paraId="5B2BE45B" w14:textId="77777777" w:rsidR="00442E6D" w:rsidRPr="002A40C0" w:rsidRDefault="00442E6D" w:rsidP="00442E6D">
      <w:pPr>
        <w:pStyle w:val="Heading4"/>
      </w:pPr>
      <w:bookmarkStart w:id="25" w:name="ippu-chapter-4"/>
      <w:bookmarkEnd w:id="24"/>
      <w:r w:rsidRPr="002A40C0">
        <w:t>IPPU (chapter 4)</w:t>
      </w:r>
    </w:p>
    <w:p w14:paraId="3DE4673A" w14:textId="77777777" w:rsidR="00442E6D" w:rsidRPr="002A40C0" w:rsidRDefault="00442E6D" w:rsidP="00442E6D">
      <w:pPr>
        <w:pStyle w:val="Heading5"/>
      </w:pPr>
      <w:r w:rsidRPr="002A40C0">
        <w:t>2020</w:t>
      </w:r>
    </w:p>
    <w:p w14:paraId="7E58F2AF" w14:textId="5A236B3C" w:rsidR="00442E6D" w:rsidRPr="002A40C0" w:rsidRDefault="00442E6D" w:rsidP="00442E6D">
      <w:pPr>
        <w:pStyle w:val="BodyText"/>
      </w:pPr>
      <w:r w:rsidRPr="002A40C0">
        <w:t>In 2020, emissions from the IPPU sector contributed 4,618.4 kt CO</w:t>
      </w:r>
      <w:r w:rsidRPr="002A40C0">
        <w:rPr>
          <w:vertAlign w:val="subscript"/>
        </w:rPr>
        <w:t>2</w:t>
      </w:r>
      <w:r w:rsidRPr="002A40C0">
        <w:t>-e or 5.9 per cent of New</w:t>
      </w:r>
      <w:r w:rsidR="0016025B">
        <w:t> </w:t>
      </w:r>
      <w:r w:rsidRPr="002A40C0">
        <w:t>Zealand’s gross GHG emissions.</w:t>
      </w:r>
    </w:p>
    <w:p w14:paraId="356322E1" w14:textId="77777777" w:rsidR="00442E6D" w:rsidRPr="002A40C0" w:rsidRDefault="00442E6D" w:rsidP="00442E6D">
      <w:pPr>
        <w:pStyle w:val="BodyText"/>
      </w:pPr>
      <w:r w:rsidRPr="002A40C0">
        <w:t xml:space="preserve">The largest category is the </w:t>
      </w:r>
      <w:r w:rsidRPr="002A40C0">
        <w:rPr>
          <w:i/>
          <w:iCs/>
        </w:rPr>
        <w:t>Metal industry</w:t>
      </w:r>
      <w:r w:rsidRPr="002A40C0">
        <w:t>, with substantial CO</w:t>
      </w:r>
      <w:r w:rsidRPr="002A40C0">
        <w:rPr>
          <w:vertAlign w:val="subscript"/>
        </w:rPr>
        <w:t>2</w:t>
      </w:r>
      <w:r w:rsidRPr="002A40C0">
        <w:t xml:space="preserve"> emissions from the </w:t>
      </w:r>
      <w:r w:rsidRPr="002A40C0">
        <w:rPr>
          <w:i/>
          <w:iCs/>
        </w:rPr>
        <w:t>Iron and steel production</w:t>
      </w:r>
      <w:r w:rsidRPr="002A40C0">
        <w:t xml:space="preserve"> and </w:t>
      </w:r>
      <w:r w:rsidRPr="002A40C0">
        <w:rPr>
          <w:i/>
          <w:iCs/>
        </w:rPr>
        <w:t>Aluminium production</w:t>
      </w:r>
      <w:r w:rsidRPr="002A40C0">
        <w:t xml:space="preserve"> categories. The </w:t>
      </w:r>
      <w:r w:rsidRPr="002A40C0">
        <w:rPr>
          <w:i/>
          <w:iCs/>
        </w:rPr>
        <w:t>Mineral industry</w:t>
      </w:r>
      <w:r w:rsidRPr="002A40C0">
        <w:t xml:space="preserve"> and </w:t>
      </w:r>
      <w:r w:rsidRPr="002A40C0">
        <w:rPr>
          <w:i/>
          <w:iCs/>
        </w:rPr>
        <w:t>Chemical industry</w:t>
      </w:r>
      <w:r w:rsidRPr="002A40C0">
        <w:t xml:space="preserve"> categories also contribute significant CO</w:t>
      </w:r>
      <w:r w:rsidRPr="002A40C0">
        <w:rPr>
          <w:vertAlign w:val="subscript"/>
        </w:rPr>
        <w:t>2</w:t>
      </w:r>
      <w:r w:rsidRPr="002A40C0">
        <w:t xml:space="preserve"> emissions, and most of the non-CO</w:t>
      </w:r>
      <w:r w:rsidRPr="002A40C0">
        <w:rPr>
          <w:vertAlign w:val="subscript"/>
        </w:rPr>
        <w:t>2</w:t>
      </w:r>
      <w:r w:rsidRPr="002A40C0">
        <w:t xml:space="preserve"> emissions come from the </w:t>
      </w:r>
      <w:r w:rsidRPr="002A40C0">
        <w:rPr>
          <w:i/>
          <w:iCs/>
        </w:rPr>
        <w:t>Product uses as substitutes for ODS</w:t>
      </w:r>
      <w:r w:rsidRPr="002A40C0">
        <w:t xml:space="preserve"> category.</w:t>
      </w:r>
    </w:p>
    <w:p w14:paraId="373DDC98" w14:textId="77777777" w:rsidR="00442E6D" w:rsidRPr="002A40C0" w:rsidRDefault="00442E6D" w:rsidP="00442E6D">
      <w:pPr>
        <w:pStyle w:val="BodyText"/>
      </w:pPr>
      <w:r w:rsidRPr="002A40C0">
        <w:t>The IPPU sector also produces smaller amounts of CH</w:t>
      </w:r>
      <w:r w:rsidRPr="002A40C0">
        <w:rPr>
          <w:vertAlign w:val="subscript"/>
        </w:rPr>
        <w:t>4</w:t>
      </w:r>
      <w:r w:rsidRPr="002A40C0">
        <w:t xml:space="preserve"> from methanol production and N</w:t>
      </w:r>
      <w:r w:rsidRPr="002A40C0">
        <w:rPr>
          <w:vertAlign w:val="subscript"/>
        </w:rPr>
        <w:t>2</w:t>
      </w:r>
      <w:r w:rsidRPr="002A40C0">
        <w:t xml:space="preserve">O used for medical applications in the </w:t>
      </w:r>
      <w:r w:rsidRPr="002A40C0">
        <w:rPr>
          <w:i/>
          <w:iCs/>
        </w:rPr>
        <w:t>Other product manufacture and use</w:t>
      </w:r>
      <w:r w:rsidRPr="002A40C0">
        <w:t xml:space="preserve"> category.</w:t>
      </w:r>
    </w:p>
    <w:p w14:paraId="5B44784D" w14:textId="77777777" w:rsidR="00442E6D" w:rsidRPr="002A40C0" w:rsidRDefault="00442E6D" w:rsidP="00442E6D">
      <w:pPr>
        <w:pStyle w:val="BodyText"/>
      </w:pPr>
      <w:r w:rsidRPr="002A40C0">
        <w:t xml:space="preserve">Coal and natural gas are also used on a significant scale for energy in these industries, and related emissions are reported under the Energy sector in the category </w:t>
      </w:r>
      <w:r w:rsidRPr="002A40C0">
        <w:rPr>
          <w:i/>
          <w:iCs/>
        </w:rPr>
        <w:t>Manufacturing industries and construction</w:t>
      </w:r>
      <w:r w:rsidRPr="002A40C0">
        <w:t>.</w:t>
      </w:r>
    </w:p>
    <w:p w14:paraId="6CC80DF1" w14:textId="77777777" w:rsidR="00442E6D" w:rsidRPr="002A40C0" w:rsidRDefault="00442E6D" w:rsidP="00442E6D">
      <w:pPr>
        <w:pStyle w:val="BodyText"/>
      </w:pPr>
      <w:r w:rsidRPr="002A40C0">
        <w:t>The emissions by category are shown in chapter 4, table 4.1.1.</w:t>
      </w:r>
    </w:p>
    <w:p w14:paraId="51CBCCF0" w14:textId="77777777" w:rsidR="00442E6D" w:rsidRPr="002A40C0" w:rsidRDefault="00442E6D" w:rsidP="00442E6D">
      <w:pPr>
        <w:pStyle w:val="Heading5"/>
      </w:pPr>
      <w:r w:rsidRPr="002A40C0">
        <w:t>1990–2020</w:t>
      </w:r>
    </w:p>
    <w:p w14:paraId="1281ECBB" w14:textId="77777777" w:rsidR="00442E6D" w:rsidRPr="002A40C0" w:rsidRDefault="00442E6D" w:rsidP="00442E6D">
      <w:pPr>
        <w:pStyle w:val="BodyText"/>
      </w:pPr>
      <w:r w:rsidRPr="002A40C0">
        <w:t>Emissions from the IPPU sector in 2020 were 1,038.4 kt CO</w:t>
      </w:r>
      <w:r w:rsidRPr="002A40C0">
        <w:rPr>
          <w:vertAlign w:val="subscript"/>
        </w:rPr>
        <w:t>2</w:t>
      </w:r>
      <w:r w:rsidRPr="002A40C0">
        <w:t>-e (29.0 per cent) higher than emissions in 1990 (3,579.9 kt CO</w:t>
      </w:r>
      <w:r w:rsidRPr="002A40C0">
        <w:rPr>
          <w:vertAlign w:val="subscript"/>
        </w:rPr>
        <w:t>2</w:t>
      </w:r>
      <w:r w:rsidRPr="002A40C0">
        <w:t>-e).</w:t>
      </w:r>
    </w:p>
    <w:p w14:paraId="1D6377BC" w14:textId="72530473" w:rsidR="00442E6D" w:rsidRPr="002A40C0" w:rsidRDefault="00442E6D" w:rsidP="0016025B">
      <w:pPr>
        <w:pStyle w:val="BodyText"/>
      </w:pPr>
      <w:r w:rsidRPr="002A40C0">
        <w:t xml:space="preserve">This increase was mainly driven by increasing emissions from the </w:t>
      </w:r>
      <w:r w:rsidRPr="002A40C0">
        <w:rPr>
          <w:i/>
          <w:iCs/>
        </w:rPr>
        <w:t>Product uses as substitutes for ODS</w:t>
      </w:r>
      <w:r w:rsidRPr="002A40C0">
        <w:t xml:space="preserve"> category, due to the introduction of HFCs to replace ODS in refrigeration and air conditioning and the increased use of household and commercial air conditioning. Carbon dioxide emissions have also increased due to increased production of metals, lime and cement, </w:t>
      </w:r>
      <w:r w:rsidRPr="002A40C0">
        <w:lastRenderedPageBreak/>
        <w:t xml:space="preserve">but at a slower rate and in 2020 the increase was offset by reduced emissions due to COVID-19 restrictions. Emissions of PFCs have reduced substantially due to improved management of anode effects in the </w:t>
      </w:r>
      <w:r w:rsidRPr="002A40C0">
        <w:rPr>
          <w:i/>
          <w:iCs/>
        </w:rPr>
        <w:t>Aluminium production category</w:t>
      </w:r>
      <w:r w:rsidRPr="002A40C0">
        <w:t xml:space="preserve"> and emissions of N</w:t>
      </w:r>
      <w:r w:rsidRPr="002A40C0">
        <w:rPr>
          <w:vertAlign w:val="subscript"/>
        </w:rPr>
        <w:t>2</w:t>
      </w:r>
      <w:r w:rsidRPr="002A40C0">
        <w:t xml:space="preserve">O used for medical applications have reduced somewhat in the </w:t>
      </w:r>
      <w:r w:rsidRPr="002A40C0">
        <w:rPr>
          <w:i/>
          <w:iCs/>
        </w:rPr>
        <w:t>Other product manufacture and use</w:t>
      </w:r>
      <w:r w:rsidRPr="002A40C0">
        <w:t xml:space="preserve"> category. The</w:t>
      </w:r>
      <w:r w:rsidR="0016025B">
        <w:t> </w:t>
      </w:r>
      <w:r w:rsidRPr="002A40C0">
        <w:t>trends are shown in chapter 4, figures 4.1.1 and 4.1.2.</w:t>
      </w:r>
    </w:p>
    <w:p w14:paraId="0BF52AD0" w14:textId="77777777" w:rsidR="00442E6D" w:rsidRPr="002A40C0" w:rsidRDefault="00442E6D" w:rsidP="00442E6D">
      <w:pPr>
        <w:pStyle w:val="Heading5"/>
      </w:pPr>
      <w:r w:rsidRPr="002A40C0">
        <w:t>2019–2020</w:t>
      </w:r>
    </w:p>
    <w:p w14:paraId="577813ED" w14:textId="77777777" w:rsidR="00442E6D" w:rsidRPr="002A40C0" w:rsidRDefault="00442E6D" w:rsidP="00442E6D">
      <w:pPr>
        <w:pStyle w:val="BodyText"/>
      </w:pPr>
      <w:r w:rsidRPr="002A40C0">
        <w:t>Between 2019 and 2020, emissions from the IPPU sector decreased by 242.7 kt CO</w:t>
      </w:r>
      <w:r w:rsidRPr="002A40C0">
        <w:rPr>
          <w:vertAlign w:val="subscript"/>
        </w:rPr>
        <w:t>2</w:t>
      </w:r>
      <w:r w:rsidRPr="002A40C0">
        <w:t>-e (5.0 per cent).</w:t>
      </w:r>
    </w:p>
    <w:p w14:paraId="34A144F0" w14:textId="77777777" w:rsidR="00442E6D" w:rsidRPr="002A40C0" w:rsidRDefault="00442E6D" w:rsidP="00442E6D">
      <w:pPr>
        <w:pStyle w:val="BodyText"/>
      </w:pPr>
      <w:r w:rsidRPr="002A40C0">
        <w:t xml:space="preserve">This change was the net result of a significant decrease in emissions from the </w:t>
      </w:r>
      <w:r w:rsidRPr="002A40C0">
        <w:rPr>
          <w:i/>
          <w:iCs/>
        </w:rPr>
        <w:t>Metal industry</w:t>
      </w:r>
      <w:r w:rsidRPr="002A40C0">
        <w:t xml:space="preserve"> category (109.5 kt CO</w:t>
      </w:r>
      <w:r w:rsidRPr="002A40C0">
        <w:rPr>
          <w:vertAlign w:val="subscript"/>
        </w:rPr>
        <w:t>2</w:t>
      </w:r>
      <w:r w:rsidRPr="002A40C0">
        <w:t>-e or 4.7 per cent), and smaller decreases in other categories, due to plant shutdowns related to COVID-19 and consequent decreased production. A contributing factor was the national lockdown in force from 26 March to 27 May 2020.</w:t>
      </w:r>
    </w:p>
    <w:p w14:paraId="29DE7CDC" w14:textId="77777777" w:rsidR="00442E6D" w:rsidRPr="002A40C0" w:rsidRDefault="00442E6D" w:rsidP="00442E6D">
      <w:pPr>
        <w:pStyle w:val="Heading4"/>
      </w:pPr>
      <w:bookmarkStart w:id="26" w:name="agriculture-chapter-5"/>
      <w:bookmarkEnd w:id="25"/>
      <w:r w:rsidRPr="002A40C0">
        <w:t>Agriculture (chapter 5)</w:t>
      </w:r>
    </w:p>
    <w:p w14:paraId="5768DD4F" w14:textId="77777777" w:rsidR="00442E6D" w:rsidRPr="002A40C0" w:rsidRDefault="00442E6D" w:rsidP="0016025B">
      <w:pPr>
        <w:pStyle w:val="Heading5"/>
        <w:spacing w:before="180"/>
      </w:pPr>
      <w:r w:rsidRPr="002A40C0">
        <w:t>2020</w:t>
      </w:r>
    </w:p>
    <w:p w14:paraId="6CFF1449" w14:textId="77777777" w:rsidR="00442E6D" w:rsidRPr="002A40C0" w:rsidRDefault="00442E6D" w:rsidP="00442E6D">
      <w:pPr>
        <w:pStyle w:val="BodyText"/>
      </w:pPr>
      <w:r w:rsidRPr="002A40C0">
        <w:t>In 2020, emissions from the Agriculture sector contributed 39,425.5 kt CO</w:t>
      </w:r>
      <w:r w:rsidRPr="002A40C0">
        <w:rPr>
          <w:vertAlign w:val="subscript"/>
        </w:rPr>
        <w:t>2</w:t>
      </w:r>
      <w:r w:rsidRPr="002A40C0">
        <w:t>-e, representing 50.0 per cent of New Zealand’s gross GHG emissions in 2020 (see chapter 5, figure 5.1.2).</w:t>
      </w:r>
    </w:p>
    <w:p w14:paraId="10BA26A3" w14:textId="77777777" w:rsidR="00442E6D" w:rsidRPr="002A40C0" w:rsidRDefault="00442E6D" w:rsidP="00442E6D">
      <w:pPr>
        <w:pStyle w:val="BodyText"/>
      </w:pPr>
      <w:r w:rsidRPr="002A40C0">
        <w:rPr>
          <w:i/>
          <w:iCs/>
        </w:rPr>
        <w:t>Enteric fermentation</w:t>
      </w:r>
      <w:r w:rsidRPr="002A40C0">
        <w:t xml:space="preserve"> was the main source of Agriculture emissions, contributing 73.1 per cent (28,831.5 kt CO</w:t>
      </w:r>
      <w:r w:rsidRPr="002A40C0">
        <w:rPr>
          <w:vertAlign w:val="subscript"/>
        </w:rPr>
        <w:t>2</w:t>
      </w:r>
      <w:r w:rsidRPr="002A40C0">
        <w:t xml:space="preserve">-e) of the sector’s emissions. </w:t>
      </w:r>
      <w:r w:rsidRPr="002A40C0">
        <w:rPr>
          <w:i/>
          <w:iCs/>
        </w:rPr>
        <w:t>Agricultural soils</w:t>
      </w:r>
      <w:r w:rsidRPr="002A40C0">
        <w:t xml:space="preserve"> (20.0 per cent) was the second largest source followed by </w:t>
      </w:r>
      <w:r w:rsidRPr="002A40C0">
        <w:rPr>
          <w:i/>
          <w:iCs/>
        </w:rPr>
        <w:t>Manure management</w:t>
      </w:r>
      <w:r w:rsidRPr="002A40C0">
        <w:t xml:space="preserve"> (4.4 per cent). </w:t>
      </w:r>
      <w:r w:rsidRPr="002A40C0">
        <w:rPr>
          <w:i/>
          <w:iCs/>
        </w:rPr>
        <w:t>Urea application</w:t>
      </w:r>
      <w:r w:rsidRPr="002A40C0">
        <w:t xml:space="preserve"> and </w:t>
      </w:r>
      <w:r w:rsidRPr="002A40C0">
        <w:rPr>
          <w:i/>
          <w:iCs/>
        </w:rPr>
        <w:t>Liming</w:t>
      </w:r>
      <w:r w:rsidRPr="002A40C0">
        <w:t xml:space="preserve"> contributed 1.4 per cent and 1.0 per cent respectively. </w:t>
      </w:r>
      <w:r w:rsidRPr="002A40C0">
        <w:rPr>
          <w:i/>
          <w:iCs/>
        </w:rPr>
        <w:t>Field burning of agricultural residues</w:t>
      </w:r>
      <w:r w:rsidRPr="002A40C0">
        <w:t xml:space="preserve"> contributed the remaining 0.1 per cent.</w:t>
      </w:r>
    </w:p>
    <w:p w14:paraId="50690744" w14:textId="77777777" w:rsidR="00442E6D" w:rsidRPr="002A40C0" w:rsidRDefault="00442E6D" w:rsidP="00442E6D">
      <w:pPr>
        <w:pStyle w:val="Heading5"/>
      </w:pPr>
      <w:r w:rsidRPr="002A40C0">
        <w:t>1990–2020</w:t>
      </w:r>
    </w:p>
    <w:p w14:paraId="6848A38D" w14:textId="77777777" w:rsidR="00442E6D" w:rsidRPr="002A40C0" w:rsidRDefault="00442E6D" w:rsidP="00442E6D">
      <w:pPr>
        <w:pStyle w:val="BodyText"/>
      </w:pPr>
      <w:r w:rsidRPr="002A40C0">
        <w:t>In 2020, New Zealand’s Agriculture sector emissions were 16.7 per cent (5,632.7 kt CO</w:t>
      </w:r>
      <w:r w:rsidRPr="002A40C0">
        <w:rPr>
          <w:vertAlign w:val="subscript"/>
        </w:rPr>
        <w:t>2</w:t>
      </w:r>
      <w:r w:rsidRPr="002A40C0">
        <w:t>-e) above the 1990 level of 33,792.9 kt CO</w:t>
      </w:r>
      <w:r w:rsidRPr="002A40C0">
        <w:rPr>
          <w:vertAlign w:val="subscript"/>
        </w:rPr>
        <w:t>2</w:t>
      </w:r>
      <w:r w:rsidRPr="002A40C0">
        <w:t>-e (see table ES 4.1).</w:t>
      </w:r>
    </w:p>
    <w:p w14:paraId="45B74EFC" w14:textId="77777777" w:rsidR="00442E6D" w:rsidRPr="002A40C0" w:rsidRDefault="00442E6D" w:rsidP="00442E6D">
      <w:pPr>
        <w:pStyle w:val="BodyText"/>
      </w:pPr>
      <w:r w:rsidRPr="002A40C0">
        <w:t>The greatest contributions to the increase since 1990 are a 48.7 per cent (2,581.9 kt CO</w:t>
      </w:r>
      <w:r w:rsidRPr="002A40C0">
        <w:rPr>
          <w:vertAlign w:val="subscript"/>
        </w:rPr>
        <w:t>2</w:t>
      </w:r>
      <w:r w:rsidRPr="002A40C0">
        <w:t>-e) increase in N</w:t>
      </w:r>
      <w:r w:rsidRPr="002A40C0">
        <w:rPr>
          <w:vertAlign w:val="subscript"/>
        </w:rPr>
        <w:t>2</w:t>
      </w:r>
      <w:r w:rsidRPr="002A40C0">
        <w:t xml:space="preserve">O emissions from </w:t>
      </w:r>
      <w:r w:rsidRPr="002A40C0">
        <w:rPr>
          <w:i/>
          <w:iCs/>
        </w:rPr>
        <w:t>Agricultural soils</w:t>
      </w:r>
      <w:r w:rsidRPr="002A40C0">
        <w:t xml:space="preserve"> and a 5.4 per cent (1,481.1 kt CO</w:t>
      </w:r>
      <w:r w:rsidRPr="002A40C0">
        <w:rPr>
          <w:vertAlign w:val="subscript"/>
        </w:rPr>
        <w:t>2</w:t>
      </w:r>
      <w:r w:rsidRPr="002A40C0">
        <w:t>-e) increase in CH</w:t>
      </w:r>
      <w:r w:rsidRPr="002A40C0">
        <w:rPr>
          <w:vertAlign w:val="subscript"/>
        </w:rPr>
        <w:t>4</w:t>
      </w:r>
      <w:r w:rsidRPr="002A40C0">
        <w:t xml:space="preserve"> emissions from </w:t>
      </w:r>
      <w:r w:rsidRPr="002A40C0">
        <w:rPr>
          <w:i/>
          <w:iCs/>
        </w:rPr>
        <w:t>Enteric fermentation</w:t>
      </w:r>
      <w:r w:rsidRPr="002A40C0">
        <w:t>.</w:t>
      </w:r>
    </w:p>
    <w:p w14:paraId="245DEF91" w14:textId="77777777" w:rsidR="00442E6D" w:rsidRPr="002A40C0" w:rsidRDefault="00442E6D" w:rsidP="00442E6D">
      <w:pPr>
        <w:pStyle w:val="BodyText"/>
      </w:pPr>
      <w:r w:rsidRPr="002A40C0">
        <w:t>The increase in N</w:t>
      </w:r>
      <w:r w:rsidRPr="002A40C0">
        <w:rPr>
          <w:vertAlign w:val="subscript"/>
        </w:rPr>
        <w:t>2</w:t>
      </w:r>
      <w:r w:rsidRPr="002A40C0">
        <w:t xml:space="preserve">O emissions from </w:t>
      </w:r>
      <w:r w:rsidRPr="002A40C0">
        <w:rPr>
          <w:i/>
          <w:iCs/>
        </w:rPr>
        <w:t>Agricultural soils</w:t>
      </w:r>
      <w:r w:rsidRPr="002A40C0">
        <w:t xml:space="preserve"> is primarily a result of increased application of synthetic nitrogen fertiliser by around 693 per cent since 1990. The main reason for this is an increase in dairy farming.</w:t>
      </w:r>
    </w:p>
    <w:p w14:paraId="42BC553C" w14:textId="77777777" w:rsidR="00442E6D" w:rsidRPr="002A40C0" w:rsidRDefault="00442E6D" w:rsidP="00442E6D">
      <w:pPr>
        <w:pStyle w:val="BodyText"/>
      </w:pPr>
      <w:r w:rsidRPr="002A40C0">
        <w:t xml:space="preserve">The increase in emissions from </w:t>
      </w:r>
      <w:r w:rsidRPr="002A40C0">
        <w:rPr>
          <w:i/>
          <w:iCs/>
        </w:rPr>
        <w:t>Enteric fermentation</w:t>
      </w:r>
      <w:r w:rsidRPr="002A40C0">
        <w:t xml:space="preserve"> is driven by an increase in dairy cattle numbers, which has been partially offset by decreases in beef cattle and sheep numbers. The change in animal populations since 1990 reflects the relative financial returns in each animal sector (it has been more profitable to farm dairy cattle than beef cattle or sheep in New Zealand over the reporting period) and changes in New Zealand’s regulatory environment, especially connected to improving freshwater quality.</w:t>
      </w:r>
    </w:p>
    <w:p w14:paraId="4E1EA42E" w14:textId="77777777" w:rsidR="00442E6D" w:rsidRPr="002A40C0" w:rsidRDefault="00442E6D" w:rsidP="00442E6D">
      <w:pPr>
        <w:pStyle w:val="Heading5"/>
      </w:pPr>
      <w:r w:rsidRPr="002A40C0">
        <w:t>2019–2020</w:t>
      </w:r>
    </w:p>
    <w:p w14:paraId="088D5A32" w14:textId="77777777" w:rsidR="00442E6D" w:rsidRPr="002A40C0" w:rsidRDefault="00442E6D" w:rsidP="00442E6D">
      <w:pPr>
        <w:pStyle w:val="BodyText"/>
      </w:pPr>
      <w:r w:rsidRPr="002A40C0">
        <w:t>Between 2019 and 2020, total agricultural emissions decreased by 0.2 per cent (93.1 kt CO</w:t>
      </w:r>
      <w:r w:rsidRPr="002A40C0">
        <w:rPr>
          <w:vertAlign w:val="subscript"/>
        </w:rPr>
        <w:t>2</w:t>
      </w:r>
      <w:r w:rsidRPr="002A40C0">
        <w:t>-e) due to a reduction in emissions from sheep, urea application and liming. This comprises:</w:t>
      </w:r>
    </w:p>
    <w:p w14:paraId="31C9EFB4" w14:textId="77777777" w:rsidR="00442E6D" w:rsidRPr="002A40C0" w:rsidRDefault="00442E6D" w:rsidP="00442E6D">
      <w:pPr>
        <w:pStyle w:val="Bullet"/>
        <w:tabs>
          <w:tab w:val="num" w:pos="567"/>
        </w:tabs>
      </w:pPr>
      <w:r w:rsidRPr="002A40C0">
        <w:lastRenderedPageBreak/>
        <w:t>emissions from sheep (CH</w:t>
      </w:r>
      <w:r w:rsidRPr="002A40C0">
        <w:rPr>
          <w:vertAlign w:val="subscript"/>
        </w:rPr>
        <w:t>4</w:t>
      </w:r>
      <w:r w:rsidRPr="002A40C0">
        <w:t xml:space="preserve"> and N</w:t>
      </w:r>
      <w:r w:rsidRPr="002A40C0">
        <w:rPr>
          <w:vertAlign w:val="subscript"/>
        </w:rPr>
        <w:t>2</w:t>
      </w:r>
      <w:r w:rsidRPr="002A40C0">
        <w:t>O), which reduced by 2.8 per cent (268.3 kt CO</w:t>
      </w:r>
      <w:r w:rsidRPr="002A40C0">
        <w:rPr>
          <w:vertAlign w:val="subscript"/>
        </w:rPr>
        <w:t>2</w:t>
      </w:r>
      <w:r w:rsidRPr="002A40C0">
        <w:t>-e) due to a further decrease in the sheep population</w:t>
      </w:r>
    </w:p>
    <w:p w14:paraId="2AFDA76E" w14:textId="77777777" w:rsidR="00442E6D" w:rsidRPr="002A40C0" w:rsidRDefault="00442E6D" w:rsidP="00442E6D">
      <w:pPr>
        <w:pStyle w:val="Bullet"/>
        <w:tabs>
          <w:tab w:val="num" w:pos="567"/>
        </w:tabs>
      </w:pPr>
      <w:r w:rsidRPr="002A40C0">
        <w:rPr>
          <w:i/>
          <w:iCs/>
        </w:rPr>
        <w:t xml:space="preserve">Liming </w:t>
      </w:r>
      <w:r w:rsidRPr="002A40C0">
        <w:t>emissions (CO</w:t>
      </w:r>
      <w:r w:rsidRPr="002A40C0">
        <w:rPr>
          <w:vertAlign w:val="subscript"/>
        </w:rPr>
        <w:t>2</w:t>
      </w:r>
      <w:r w:rsidRPr="002A40C0">
        <w:t>), which reduced by 9.0 per cent (40.3 kt CO</w:t>
      </w:r>
      <w:r w:rsidRPr="002A40C0">
        <w:rPr>
          <w:vertAlign w:val="subscript"/>
        </w:rPr>
        <w:t>2</w:t>
      </w:r>
      <w:r w:rsidRPr="002A40C0">
        <w:t>-e) due to a decrease in the use of lime</w:t>
      </w:r>
    </w:p>
    <w:p w14:paraId="600CF509" w14:textId="77777777" w:rsidR="00442E6D" w:rsidRPr="002A40C0" w:rsidRDefault="00442E6D" w:rsidP="00442E6D">
      <w:pPr>
        <w:pStyle w:val="Bullet"/>
        <w:tabs>
          <w:tab w:val="num" w:pos="567"/>
        </w:tabs>
      </w:pPr>
      <w:r w:rsidRPr="002A40C0">
        <w:rPr>
          <w:i/>
          <w:iCs/>
        </w:rPr>
        <w:t xml:space="preserve">Urea application </w:t>
      </w:r>
      <w:r w:rsidRPr="002A40C0">
        <w:t>emissions (CO</w:t>
      </w:r>
      <w:r w:rsidRPr="002A40C0">
        <w:rPr>
          <w:vertAlign w:val="subscript"/>
        </w:rPr>
        <w:t>2</w:t>
      </w:r>
      <w:r w:rsidRPr="002A40C0">
        <w:t>), which reduced by 5.0 per cent (28.7 kt CO</w:t>
      </w:r>
      <w:r w:rsidRPr="002A40C0">
        <w:rPr>
          <w:vertAlign w:val="subscript"/>
        </w:rPr>
        <w:t>2</w:t>
      </w:r>
      <w:r w:rsidRPr="002A40C0">
        <w:t>-e) due to a decrease in the use of urea fertiliser.</w:t>
      </w:r>
    </w:p>
    <w:p w14:paraId="6C213E72" w14:textId="77777777" w:rsidR="00442E6D" w:rsidRPr="002A40C0" w:rsidRDefault="00442E6D" w:rsidP="00442E6D">
      <w:pPr>
        <w:pStyle w:val="BodyText"/>
      </w:pPr>
      <w:r w:rsidRPr="002A40C0">
        <w:t>Emissions from other activities increased, but were not enough to offset the overall decrease in agricultural emissions. These increases comprise emissions from:</w:t>
      </w:r>
    </w:p>
    <w:p w14:paraId="526595FF" w14:textId="77777777" w:rsidR="00442E6D" w:rsidRPr="002A40C0" w:rsidRDefault="00442E6D" w:rsidP="00442E6D">
      <w:pPr>
        <w:pStyle w:val="Bullet"/>
        <w:tabs>
          <w:tab w:val="num" w:pos="567"/>
        </w:tabs>
      </w:pPr>
      <w:r w:rsidRPr="002A40C0">
        <w:t>inorganic fertiliser, which increased by 7.5 per cent (128.5 kt CO</w:t>
      </w:r>
      <w:r w:rsidRPr="002A40C0">
        <w:rPr>
          <w:vertAlign w:val="subscript"/>
        </w:rPr>
        <w:t>2</w:t>
      </w:r>
      <w:r w:rsidRPr="002A40C0">
        <w:t>-e)</w:t>
      </w:r>
    </w:p>
    <w:p w14:paraId="1E3837C6" w14:textId="77777777" w:rsidR="00442E6D" w:rsidRPr="002A40C0" w:rsidRDefault="00442E6D" w:rsidP="00442E6D">
      <w:pPr>
        <w:pStyle w:val="Bullet"/>
        <w:tabs>
          <w:tab w:val="num" w:pos="567"/>
        </w:tabs>
      </w:pPr>
      <w:r w:rsidRPr="002A40C0">
        <w:t>non-dairy (beef) cattle, which increased by 1.2 per cent (84.0 kt CO</w:t>
      </w:r>
      <w:r w:rsidRPr="002A40C0">
        <w:rPr>
          <w:vertAlign w:val="subscript"/>
        </w:rPr>
        <w:t>2</w:t>
      </w:r>
      <w:r w:rsidRPr="002A40C0">
        <w:t>-e) as the population recovered from a decrease in 2019</w:t>
      </w:r>
    </w:p>
    <w:p w14:paraId="6DC05C20" w14:textId="77777777" w:rsidR="00442E6D" w:rsidRPr="002A40C0" w:rsidRDefault="00442E6D" w:rsidP="00442E6D">
      <w:pPr>
        <w:pStyle w:val="Bullet"/>
        <w:tabs>
          <w:tab w:val="num" w:pos="567"/>
        </w:tabs>
      </w:pPr>
      <w:r w:rsidRPr="002A40C0">
        <w:t>dairy cattle, which increased by 0.2 per cent (31.2 kt CO</w:t>
      </w:r>
      <w:r w:rsidRPr="002A40C0">
        <w:rPr>
          <w:vertAlign w:val="subscript"/>
        </w:rPr>
        <w:t>2</w:t>
      </w:r>
      <w:r w:rsidRPr="002A40C0">
        <w:t>-e) due a slight increase in the population.</w:t>
      </w:r>
    </w:p>
    <w:p w14:paraId="079B367B" w14:textId="77777777" w:rsidR="00442E6D" w:rsidRPr="002A40C0" w:rsidRDefault="00442E6D" w:rsidP="00442E6D">
      <w:pPr>
        <w:pStyle w:val="Heading4"/>
      </w:pPr>
      <w:bookmarkStart w:id="27" w:name="lulucf-chapter-6"/>
      <w:bookmarkEnd w:id="26"/>
      <w:r w:rsidRPr="002A40C0">
        <w:t>LULUCF (chapter 6)</w:t>
      </w:r>
    </w:p>
    <w:p w14:paraId="6885D417" w14:textId="77777777" w:rsidR="00442E6D" w:rsidRPr="002A40C0" w:rsidRDefault="00442E6D" w:rsidP="00442E6D">
      <w:pPr>
        <w:pStyle w:val="BodyText"/>
      </w:pPr>
      <w:r w:rsidRPr="002A40C0">
        <w:t>The following information on LULUCF summarises reporting under the Convention. Reporting for Article 3.3 and Article 3.4 LULUCF activities under the Kyoto Protocol is covered in section ES.5 and chapter 2, section 2.3.</w:t>
      </w:r>
    </w:p>
    <w:p w14:paraId="7126542A" w14:textId="77777777" w:rsidR="00442E6D" w:rsidRPr="002A40C0" w:rsidRDefault="00442E6D" w:rsidP="00442E6D">
      <w:pPr>
        <w:pStyle w:val="Heading5"/>
      </w:pPr>
      <w:r w:rsidRPr="002A40C0">
        <w:t>2020</w:t>
      </w:r>
    </w:p>
    <w:p w14:paraId="6677B8FB" w14:textId="77777777" w:rsidR="00442E6D" w:rsidRPr="002A40C0" w:rsidRDefault="00442E6D" w:rsidP="00442E6D">
      <w:pPr>
        <w:pStyle w:val="BodyText"/>
      </w:pPr>
      <w:r w:rsidRPr="002A40C0">
        <w:t>In 2020, net emissions from the LULUCF sector were –23,313.3 kt CO</w:t>
      </w:r>
      <w:r w:rsidRPr="002A40C0">
        <w:rPr>
          <w:vertAlign w:val="subscript"/>
        </w:rPr>
        <w:t>2</w:t>
      </w:r>
      <w:r w:rsidRPr="002A40C0">
        <w:t>-e or –29.6 per cent of New Zealand’s gross greenhouse gas emissions. This comprises net removals of –23,666.2 kt of CO</w:t>
      </w:r>
      <w:r w:rsidRPr="002A40C0">
        <w:rPr>
          <w:vertAlign w:val="subscript"/>
        </w:rPr>
        <w:t>2</w:t>
      </w:r>
      <w:r w:rsidRPr="002A40C0">
        <w:t xml:space="preserve">, </w:t>
      </w:r>
      <w:r w:rsidRPr="002A40C0">
        <w:rPr>
          <w:spacing w:val="-2"/>
        </w:rPr>
        <w:t>and emissions of 81.7 kt CO</w:t>
      </w:r>
      <w:r w:rsidRPr="002A40C0">
        <w:rPr>
          <w:spacing w:val="-2"/>
          <w:vertAlign w:val="subscript"/>
        </w:rPr>
        <w:t>2</w:t>
      </w:r>
      <w:r w:rsidRPr="002A40C0">
        <w:rPr>
          <w:spacing w:val="-2"/>
        </w:rPr>
        <w:t>-e of CH</w:t>
      </w:r>
      <w:r w:rsidRPr="002A40C0">
        <w:rPr>
          <w:spacing w:val="-2"/>
          <w:vertAlign w:val="subscript"/>
        </w:rPr>
        <w:t>4</w:t>
      </w:r>
      <w:r w:rsidRPr="002A40C0">
        <w:rPr>
          <w:spacing w:val="-2"/>
        </w:rPr>
        <w:t xml:space="preserve"> and 271.3 kt CO</w:t>
      </w:r>
      <w:r w:rsidRPr="002A40C0">
        <w:rPr>
          <w:spacing w:val="-2"/>
          <w:vertAlign w:val="subscript"/>
        </w:rPr>
        <w:t>2</w:t>
      </w:r>
      <w:r w:rsidRPr="002A40C0">
        <w:rPr>
          <w:spacing w:val="-2"/>
        </w:rPr>
        <w:t>-e of N</w:t>
      </w:r>
      <w:r w:rsidRPr="002A40C0">
        <w:rPr>
          <w:spacing w:val="-2"/>
          <w:vertAlign w:val="subscript"/>
        </w:rPr>
        <w:t>2</w:t>
      </w:r>
      <w:r w:rsidRPr="002A40C0">
        <w:rPr>
          <w:spacing w:val="-2"/>
        </w:rPr>
        <w:t>O. The category contributing</w:t>
      </w:r>
      <w:r w:rsidRPr="002A40C0">
        <w:t xml:space="preserve"> the most to both removals and emissions is </w:t>
      </w:r>
      <w:r w:rsidRPr="002A40C0">
        <w:rPr>
          <w:i/>
          <w:iCs/>
        </w:rPr>
        <w:t>Forest land remaining forest land</w:t>
      </w:r>
      <w:r w:rsidRPr="002A40C0">
        <w:t>. This is because large removals result from the growth of all forests on this land and there are also large emissions from the sustainable harvest of New Zealand’s plantation forests.</w:t>
      </w:r>
    </w:p>
    <w:p w14:paraId="1A005A6A" w14:textId="77777777" w:rsidR="00442E6D" w:rsidRPr="002A40C0" w:rsidRDefault="00442E6D" w:rsidP="00442E6D">
      <w:pPr>
        <w:pStyle w:val="Heading5"/>
      </w:pPr>
      <w:r w:rsidRPr="002A40C0">
        <w:t>1990–2020</w:t>
      </w:r>
    </w:p>
    <w:p w14:paraId="1A995732" w14:textId="77777777" w:rsidR="00442E6D" w:rsidRPr="002A40C0" w:rsidRDefault="00442E6D" w:rsidP="00442E6D">
      <w:pPr>
        <w:pStyle w:val="BodyText"/>
      </w:pPr>
      <w:r w:rsidRPr="002A40C0">
        <w:t>Removals in 2020 have increased by 2,084.0 kt CO</w:t>
      </w:r>
      <w:r w:rsidRPr="002A40C0">
        <w:rPr>
          <w:vertAlign w:val="subscript"/>
        </w:rPr>
        <w:t>2</w:t>
      </w:r>
      <w:r w:rsidRPr="002A40C0">
        <w:t>-e (9.8 per cent) from –21,229.2 kt CO</w:t>
      </w:r>
      <w:r w:rsidRPr="002A40C0">
        <w:rPr>
          <w:vertAlign w:val="subscript"/>
        </w:rPr>
        <w:t>2</w:t>
      </w:r>
      <w:r w:rsidRPr="002A40C0">
        <w:t>-e in 1990 (see chapter 6, table 6.1.1 and figure 6.1.1). This is largely due to an increase in the production of harvested wood products, which have compensated for the emissions from the increase in forest harvesting.</w:t>
      </w:r>
    </w:p>
    <w:p w14:paraId="07B2E5F8" w14:textId="40139AF6" w:rsidR="00442E6D" w:rsidRPr="002A40C0" w:rsidRDefault="00442E6D" w:rsidP="00442E6D">
      <w:pPr>
        <w:pStyle w:val="BodyText"/>
      </w:pPr>
      <w:r w:rsidRPr="002A40C0">
        <w:t>The main influences on the fluctuations in removals from the LULUCF sector (see figure ES 4.4) are afforestation, harvesting and deforestation rates. Harvesting rates are driven by a number of factors, particularly forest age and log prices. Deforestation rates are driven largely by the</w:t>
      </w:r>
      <w:r w:rsidR="002477F8">
        <w:t> </w:t>
      </w:r>
      <w:r w:rsidRPr="002A40C0">
        <w:t>relative profitability of forestry compared with alternative land uses. The increase in net</w:t>
      </w:r>
      <w:r w:rsidR="002477F8">
        <w:t> </w:t>
      </w:r>
      <w:r w:rsidRPr="002A40C0">
        <w:t>emissions between 2004 and 2007 was mainly due to the increase in planted forest deforestation that occurred leading up to 2008, immediately before the introduction of the New Zealand Emissions Trading Scheme (NZ ETS).</w:t>
      </w:r>
      <w:r w:rsidRPr="002A40C0">
        <w:rPr>
          <w:rStyle w:val="FootnoteReference"/>
        </w:rPr>
        <w:footnoteReference w:id="5"/>
      </w:r>
      <w:r w:rsidRPr="002A40C0">
        <w:t xml:space="preserve"> In 2019 and 2020, rates of afforestation significantly increased. This increase probably occurred because of policy initiatives that provided incentives for afforestation as well as higher carbon prices in the NZ ETS that resulted from the announcements leading up to the Climate Change Response (Emissions Trading Reform) Amendment Bill and its passing into law in June 2020.</w:t>
      </w:r>
    </w:p>
    <w:p w14:paraId="752D1589" w14:textId="5C9A6FE0" w:rsidR="00442E6D" w:rsidRPr="002A40C0" w:rsidRDefault="00442E6D" w:rsidP="00D3798D">
      <w:pPr>
        <w:pStyle w:val="Figure"/>
        <w:spacing w:after="80"/>
      </w:pPr>
      <w:bookmarkStart w:id="28" w:name="_Toc99695997"/>
      <w:r w:rsidRPr="002A40C0">
        <w:lastRenderedPageBreak/>
        <w:t>Figure ES 4.4</w:t>
      </w:r>
      <w:r w:rsidRPr="002A40C0">
        <w:tab/>
        <w:t>New Zealand’s LULUCF sector net emissions from 1990</w:t>
      </w:r>
      <w:r w:rsidR="00E27875">
        <w:t> </w:t>
      </w:r>
      <w:r w:rsidRPr="002A40C0">
        <w:t>to</w:t>
      </w:r>
      <w:r w:rsidR="00E27875">
        <w:t> </w:t>
      </w:r>
      <w:r w:rsidRPr="002A40C0">
        <w:t>2020</w:t>
      </w:r>
      <w:bookmarkEnd w:id="28"/>
    </w:p>
    <w:p w14:paraId="5DA01CAF" w14:textId="5778A829" w:rsidR="00442E6D" w:rsidRPr="002477F8" w:rsidRDefault="004B48CC" w:rsidP="00D3798D">
      <w:pPr>
        <w:pStyle w:val="BodyText"/>
        <w:spacing w:after="80"/>
      </w:pPr>
      <w:r>
        <w:rPr>
          <w:noProof/>
        </w:rPr>
        <w:pict w14:anchorId="7DFDB21D">
          <v:shape id="_x0000_i1030" type="#_x0000_t75" style="width:417.75pt;height:309.75pt;visibility:visible;mso-wrap-style:square">
            <v:imagedata r:id="rId25" o:title="" cropbottom="1388f"/>
          </v:shape>
        </w:pict>
      </w:r>
    </w:p>
    <w:p w14:paraId="62793F69" w14:textId="77777777" w:rsidR="00442E6D" w:rsidRPr="002A40C0" w:rsidRDefault="00442E6D" w:rsidP="00442E6D">
      <w:pPr>
        <w:pStyle w:val="Heading5"/>
      </w:pPr>
      <w:r w:rsidRPr="002A40C0">
        <w:t>2019–2020</w:t>
      </w:r>
    </w:p>
    <w:p w14:paraId="6082972E" w14:textId="77777777" w:rsidR="00442E6D" w:rsidRPr="002A40C0" w:rsidRDefault="00442E6D" w:rsidP="00442E6D">
      <w:pPr>
        <w:pStyle w:val="BodyText"/>
      </w:pPr>
      <w:r w:rsidRPr="002A40C0">
        <w:t>Net removals from the LULUCF sector increased between 2019 and 2020 by 278.3 kt CO</w:t>
      </w:r>
      <w:r w:rsidRPr="002A40C0">
        <w:rPr>
          <w:vertAlign w:val="subscript"/>
        </w:rPr>
        <w:t>2</w:t>
      </w:r>
      <w:r w:rsidRPr="002A40C0">
        <w:t>-e (1.2 per cent) (see chapter 6, table 6.1.2).</w:t>
      </w:r>
    </w:p>
    <w:p w14:paraId="0CEE991B" w14:textId="77777777" w:rsidR="00442E6D" w:rsidRPr="002A40C0" w:rsidRDefault="00442E6D" w:rsidP="00442E6D">
      <w:pPr>
        <w:pStyle w:val="BodyText"/>
      </w:pPr>
      <w:r w:rsidRPr="002A40C0">
        <w:t xml:space="preserve">The largest change occurred in the </w:t>
      </w:r>
      <w:r w:rsidRPr="002A40C0">
        <w:rPr>
          <w:i/>
          <w:iCs/>
        </w:rPr>
        <w:t>Harvested wood products</w:t>
      </w:r>
      <w:r w:rsidRPr="002A40C0">
        <w:t xml:space="preserve"> category, with an increase in emissions of 2,203.3 kt CO</w:t>
      </w:r>
      <w:r w:rsidRPr="002A40C0">
        <w:rPr>
          <w:vertAlign w:val="subscript"/>
        </w:rPr>
        <w:t>2</w:t>
      </w:r>
      <w:r w:rsidRPr="002A40C0">
        <w:t xml:space="preserve">-e. The reason for this change was that the production of harvested wood products fell due to disruptions in processing and logistics related to COVID-19. The </w:t>
      </w:r>
      <w:r w:rsidRPr="002A40C0">
        <w:rPr>
          <w:i/>
          <w:iCs/>
        </w:rPr>
        <w:t>Grassland</w:t>
      </w:r>
      <w:r w:rsidRPr="002A40C0">
        <w:t xml:space="preserve"> category had the second largest change, with a decrease in emissions of 1,802.9 kt CO</w:t>
      </w:r>
      <w:r w:rsidRPr="002A40C0">
        <w:rPr>
          <w:vertAlign w:val="subscript"/>
        </w:rPr>
        <w:t>2</w:t>
      </w:r>
      <w:r w:rsidRPr="002A40C0">
        <w:t xml:space="preserve">-e, driven by reduced deforestation of planted forest, resulting in fewer conversions from </w:t>
      </w:r>
      <w:r w:rsidRPr="002A40C0">
        <w:rPr>
          <w:i/>
          <w:iCs/>
        </w:rPr>
        <w:t>Forest land</w:t>
      </w:r>
      <w:r w:rsidRPr="002A40C0">
        <w:t xml:space="preserve"> to </w:t>
      </w:r>
      <w:r w:rsidRPr="002A40C0">
        <w:rPr>
          <w:i/>
          <w:iCs/>
        </w:rPr>
        <w:t>Grassland</w:t>
      </w:r>
      <w:r w:rsidRPr="002A40C0">
        <w:t>.</w:t>
      </w:r>
    </w:p>
    <w:p w14:paraId="387448AC" w14:textId="77777777" w:rsidR="00442E6D" w:rsidRPr="002A40C0" w:rsidRDefault="00442E6D" w:rsidP="00442E6D">
      <w:pPr>
        <w:pStyle w:val="Heading4"/>
      </w:pPr>
      <w:bookmarkStart w:id="29" w:name="waste-chapter-7"/>
      <w:bookmarkEnd w:id="27"/>
      <w:r w:rsidRPr="002A40C0">
        <w:t>Waste (chapter 7)</w:t>
      </w:r>
    </w:p>
    <w:p w14:paraId="6014BA3C" w14:textId="77777777" w:rsidR="00442E6D" w:rsidRPr="002A40C0" w:rsidRDefault="00442E6D" w:rsidP="00D3798D">
      <w:pPr>
        <w:pStyle w:val="Heading5"/>
        <w:spacing w:before="160"/>
      </w:pPr>
      <w:r w:rsidRPr="002A40C0">
        <w:t>2020</w:t>
      </w:r>
    </w:p>
    <w:p w14:paraId="16398224" w14:textId="77777777" w:rsidR="00442E6D" w:rsidRPr="002A40C0" w:rsidRDefault="00442E6D" w:rsidP="00442E6D">
      <w:pPr>
        <w:pStyle w:val="BodyText"/>
      </w:pPr>
      <w:r w:rsidRPr="002A40C0">
        <w:t>In 2020, emissions from the Waste sector contributed 3,268.9 kt CO</w:t>
      </w:r>
      <w:r w:rsidRPr="002A40C0">
        <w:rPr>
          <w:vertAlign w:val="subscript"/>
        </w:rPr>
        <w:t>2</w:t>
      </w:r>
      <w:r w:rsidRPr="002A40C0">
        <w:t xml:space="preserve">-e or 4.1 per cent of New Zealand’s gross GHG emissions. The largest source category is </w:t>
      </w:r>
      <w:r w:rsidRPr="002A40C0">
        <w:rPr>
          <w:i/>
          <w:iCs/>
        </w:rPr>
        <w:t>Solid waste disposal</w:t>
      </w:r>
      <w:r w:rsidRPr="002A40C0">
        <w:t>, as shown in chapter 7, table 7.1.1 (emissions by source category).</w:t>
      </w:r>
    </w:p>
    <w:p w14:paraId="37425999" w14:textId="77777777" w:rsidR="00442E6D" w:rsidRPr="002A40C0" w:rsidRDefault="00442E6D" w:rsidP="00442E6D">
      <w:pPr>
        <w:pStyle w:val="Heading5"/>
      </w:pPr>
      <w:r w:rsidRPr="002A40C0">
        <w:t>1990–2020</w:t>
      </w:r>
    </w:p>
    <w:p w14:paraId="0774171B" w14:textId="77777777" w:rsidR="00442E6D" w:rsidRPr="002A40C0" w:rsidRDefault="00442E6D" w:rsidP="00442E6D">
      <w:pPr>
        <w:pStyle w:val="BodyText"/>
      </w:pPr>
      <w:r w:rsidRPr="002A40C0">
        <w:t>In 2020, emissions from the Waste sector decreased by 17.1 per cent (674.2 kt CO</w:t>
      </w:r>
      <w:r w:rsidRPr="002A40C0">
        <w:rPr>
          <w:vertAlign w:val="subscript"/>
        </w:rPr>
        <w:t>2</w:t>
      </w:r>
      <w:r w:rsidRPr="002A40C0">
        <w:t>-e), from 3,943.1 kt CO</w:t>
      </w:r>
      <w:r w:rsidRPr="002A40C0">
        <w:rPr>
          <w:vertAlign w:val="subscript"/>
        </w:rPr>
        <w:t>2</w:t>
      </w:r>
      <w:r w:rsidRPr="002A40C0">
        <w:t>-e in 1990.</w:t>
      </w:r>
    </w:p>
    <w:p w14:paraId="0BA71618" w14:textId="77777777" w:rsidR="00442E6D" w:rsidRPr="002A40C0" w:rsidRDefault="00442E6D" w:rsidP="00442E6D">
      <w:pPr>
        <w:pStyle w:val="BodyText"/>
      </w:pPr>
      <w:r w:rsidRPr="002A40C0">
        <w:t>Annual emissions increased between 1990 and 2002, peaking at 4,468.9 kt CO</w:t>
      </w:r>
      <w:r w:rsidRPr="002A40C0">
        <w:rPr>
          <w:vertAlign w:val="subscript"/>
        </w:rPr>
        <w:t>2</w:t>
      </w:r>
      <w:r w:rsidRPr="002A40C0">
        <w:t xml:space="preserve">-e in 2002, and have generally decreased since that time. Growth in population and economic activity since </w:t>
      </w:r>
      <w:r w:rsidRPr="002A40C0">
        <w:lastRenderedPageBreak/>
        <w:t>1990 has resulted in increasing volumes of solid waste and wastewater for the whole of the time series. Ongoing improvements in the management of solid waste disposal at municipal landfills have meant total Waste sector emissions have been trending down since 2005, in spite of increasing volumes of solid waste and wastewater. The reduction in emissions is primarily the result of increased CH</w:t>
      </w:r>
      <w:r w:rsidRPr="002A40C0">
        <w:rPr>
          <w:vertAlign w:val="subscript"/>
        </w:rPr>
        <w:t>4</w:t>
      </w:r>
      <w:r w:rsidRPr="002A40C0">
        <w:t xml:space="preserve"> recovery driven by the National Environmental Standards for Air Quality introduced in 2004 and also by the NZ ETS since 2013. The trends are shown in chapter 2, figure 2.2.11 and in chapter 7, figures 7.1.2 and 7.1.3.</w:t>
      </w:r>
    </w:p>
    <w:p w14:paraId="24073B70" w14:textId="77777777" w:rsidR="00442E6D" w:rsidRPr="002A40C0" w:rsidRDefault="00442E6D" w:rsidP="00442E6D">
      <w:pPr>
        <w:pStyle w:val="Heading5"/>
      </w:pPr>
      <w:r w:rsidRPr="002A40C0">
        <w:t>2019–2020</w:t>
      </w:r>
    </w:p>
    <w:p w14:paraId="447FEB50" w14:textId="77777777" w:rsidR="00442E6D" w:rsidRPr="002A40C0" w:rsidRDefault="00442E6D" w:rsidP="00442E6D">
      <w:pPr>
        <w:pStyle w:val="BodyText"/>
      </w:pPr>
      <w:r w:rsidRPr="002A40C0">
        <w:t>Between 2019 and 2020, emissions from the Waste sector decreased by 43.8 kt CO</w:t>
      </w:r>
      <w:r w:rsidRPr="002A40C0">
        <w:rPr>
          <w:vertAlign w:val="subscript"/>
        </w:rPr>
        <w:t>2</w:t>
      </w:r>
      <w:r w:rsidRPr="002A40C0">
        <w:t>-e (1.3 per cent). This decrease is largely the result of decreases in CH</w:t>
      </w:r>
      <w:r w:rsidRPr="002A40C0">
        <w:rPr>
          <w:vertAlign w:val="subscript"/>
        </w:rPr>
        <w:t>4</w:t>
      </w:r>
      <w:r w:rsidRPr="002A40C0">
        <w:t xml:space="preserve"> emissions in the </w:t>
      </w:r>
      <w:r w:rsidRPr="002A40C0">
        <w:rPr>
          <w:i/>
          <w:iCs/>
        </w:rPr>
        <w:t>Solid waste disposal</w:t>
      </w:r>
      <w:r w:rsidRPr="002A40C0">
        <w:t xml:space="preserve"> category, due to changes in the composition of waste disposed to municipal landfills.</w:t>
      </w:r>
    </w:p>
    <w:p w14:paraId="7A733BAB" w14:textId="77777777" w:rsidR="00442E6D" w:rsidRPr="002A40C0" w:rsidRDefault="00442E6D" w:rsidP="00442E6D">
      <w:pPr>
        <w:pStyle w:val="Heading4"/>
      </w:pPr>
      <w:bookmarkStart w:id="30" w:name="other-tokelau-chapter-8"/>
      <w:bookmarkEnd w:id="29"/>
      <w:r w:rsidRPr="002A40C0">
        <w:t>Other (Tokelau – chapter 8)</w:t>
      </w:r>
    </w:p>
    <w:p w14:paraId="31C506A2" w14:textId="77777777" w:rsidR="00442E6D" w:rsidRPr="002A40C0" w:rsidRDefault="00442E6D" w:rsidP="00442E6D">
      <w:pPr>
        <w:pStyle w:val="Heading5"/>
      </w:pPr>
      <w:r w:rsidRPr="002A40C0">
        <w:t>2020</w:t>
      </w:r>
    </w:p>
    <w:p w14:paraId="6E9C43E6" w14:textId="77777777" w:rsidR="00442E6D" w:rsidRPr="002A40C0" w:rsidRDefault="00442E6D" w:rsidP="00442E6D">
      <w:pPr>
        <w:pStyle w:val="BodyText"/>
      </w:pPr>
      <w:r w:rsidRPr="002A40C0">
        <w:t>In 2020, emissions from Tokelau contributed 4.18 kt CO</w:t>
      </w:r>
      <w:r w:rsidRPr="002A40C0">
        <w:rPr>
          <w:vertAlign w:val="subscript"/>
        </w:rPr>
        <w:t>2</w:t>
      </w:r>
      <w:r w:rsidRPr="002A40C0">
        <w:t>-e or 0.005 per cent of New Zealand’s gross GHG emissions (see table ES 4.1).</w:t>
      </w:r>
    </w:p>
    <w:p w14:paraId="7BE5C098" w14:textId="77777777" w:rsidR="00442E6D" w:rsidRPr="002A40C0" w:rsidRDefault="00442E6D" w:rsidP="00442E6D">
      <w:pPr>
        <w:pStyle w:val="BodyText"/>
      </w:pPr>
      <w:r w:rsidRPr="002A40C0">
        <w:t xml:space="preserve">The largest source category is </w:t>
      </w:r>
      <w:r w:rsidRPr="002A40C0">
        <w:rPr>
          <w:i/>
          <w:iCs/>
        </w:rPr>
        <w:t>Domestic navigation</w:t>
      </w:r>
      <w:r w:rsidRPr="002A40C0">
        <w:t>, which contributed 2.08 kt CO</w:t>
      </w:r>
      <w:r w:rsidRPr="002A40C0">
        <w:rPr>
          <w:vertAlign w:val="subscript"/>
        </w:rPr>
        <w:t>2</w:t>
      </w:r>
      <w:r w:rsidRPr="002A40C0">
        <w:t>-e (86.3 per cent of all energy emissions and 49.7 per cent of gross emissions from Tokelau).</w:t>
      </w:r>
    </w:p>
    <w:p w14:paraId="381A72BE" w14:textId="77777777" w:rsidR="00442E6D" w:rsidRPr="002A40C0" w:rsidRDefault="00442E6D" w:rsidP="00442E6D">
      <w:pPr>
        <w:pStyle w:val="Heading5"/>
      </w:pPr>
      <w:r w:rsidRPr="002A40C0">
        <w:t>1990–2020</w:t>
      </w:r>
    </w:p>
    <w:p w14:paraId="69B0AFAC" w14:textId="77777777" w:rsidR="00442E6D" w:rsidRPr="002A40C0" w:rsidRDefault="00442E6D" w:rsidP="00442E6D">
      <w:pPr>
        <w:pStyle w:val="BodyText"/>
      </w:pPr>
      <w:r w:rsidRPr="002A40C0">
        <w:t>In 1990, the total emissions from Tokelau were 3.17 kt CO</w:t>
      </w:r>
      <w:r w:rsidRPr="002A40C0">
        <w:rPr>
          <w:vertAlign w:val="subscript"/>
        </w:rPr>
        <w:t>2</w:t>
      </w:r>
      <w:r w:rsidRPr="002A40C0">
        <w:t>-e. Between 1990 and 2020, total emissions increased by 31.9 per cent (1.01 kt CO</w:t>
      </w:r>
      <w:r w:rsidRPr="002A40C0">
        <w:rPr>
          <w:vertAlign w:val="subscript"/>
        </w:rPr>
        <w:t>2</w:t>
      </w:r>
      <w:r w:rsidRPr="002A40C0">
        <w:t>-e) to 4.18 kt CO</w:t>
      </w:r>
      <w:r w:rsidRPr="002A40C0">
        <w:rPr>
          <w:vertAlign w:val="subscript"/>
        </w:rPr>
        <w:t>2</w:t>
      </w:r>
      <w:r w:rsidRPr="002A40C0">
        <w:t>-e.</w:t>
      </w:r>
    </w:p>
    <w:p w14:paraId="3A5052B8" w14:textId="77777777" w:rsidR="00442E6D" w:rsidRPr="002A40C0" w:rsidRDefault="00442E6D" w:rsidP="00442E6D">
      <w:pPr>
        <w:pStyle w:val="BodyText"/>
      </w:pPr>
      <w:r w:rsidRPr="002A40C0">
        <w:t xml:space="preserve">The emission categories that contributed the most to this change were </w:t>
      </w:r>
      <w:r w:rsidRPr="002A40C0">
        <w:rPr>
          <w:i/>
          <w:iCs/>
        </w:rPr>
        <w:t>Domestic navigation</w:t>
      </w:r>
      <w:r w:rsidRPr="002A40C0">
        <w:t xml:space="preserve"> and </w:t>
      </w:r>
      <w:r w:rsidRPr="002A40C0">
        <w:rPr>
          <w:i/>
          <w:iCs/>
        </w:rPr>
        <w:t>Electricity generation</w:t>
      </w:r>
      <w:r w:rsidRPr="002A40C0">
        <w:t>.</w:t>
      </w:r>
    </w:p>
    <w:p w14:paraId="368232A3" w14:textId="77777777" w:rsidR="00442E6D" w:rsidRPr="002A40C0" w:rsidRDefault="00442E6D" w:rsidP="00442E6D">
      <w:pPr>
        <w:pStyle w:val="BodyText"/>
      </w:pPr>
      <w:r w:rsidRPr="002A40C0">
        <w:t xml:space="preserve">The changes in </w:t>
      </w:r>
      <w:r w:rsidRPr="002A40C0">
        <w:rPr>
          <w:i/>
          <w:iCs/>
        </w:rPr>
        <w:t>Domestic navigation</w:t>
      </w:r>
      <w:r w:rsidRPr="002A40C0">
        <w:t xml:space="preserve"> are a result of Tokelau gaining ownership and use of the ferry </w:t>
      </w:r>
      <w:r w:rsidRPr="002A40C0">
        <w:rPr>
          <w:i/>
          <w:iCs/>
        </w:rPr>
        <w:t>Mataliki</w:t>
      </w:r>
      <w:r w:rsidRPr="002A40C0">
        <w:t xml:space="preserve"> in 2016, cargo vessel </w:t>
      </w:r>
      <w:r w:rsidRPr="002A40C0">
        <w:rPr>
          <w:i/>
          <w:iCs/>
        </w:rPr>
        <w:t>Kalopaga</w:t>
      </w:r>
      <w:r w:rsidRPr="002A40C0">
        <w:t xml:space="preserve"> in 2018 and passenger vessel </w:t>
      </w:r>
      <w:r w:rsidRPr="002A40C0">
        <w:rPr>
          <w:i/>
          <w:iCs/>
        </w:rPr>
        <w:t>Fetu o te Moana</w:t>
      </w:r>
      <w:r w:rsidRPr="002A40C0">
        <w:t xml:space="preserve"> in 2019. This led to an increasing number of sea voyages between the atolls, which in turn increased transport emissions. Emissions from Tokelau’s IPPU sector have also increased mainly due to the introduction of air conditioning after 2006. Further changes in Tokelau’s Energy sector emissions are a significant rise (by nearly 400 per cent) and then drop (by 82.5 per cent) in consumption of imported petroleum products used for electricity production in Tokelau. Emissions from Tokelau’s Agriculture sector decreased slightly as a result of a reduced pig population.</w:t>
      </w:r>
    </w:p>
    <w:p w14:paraId="3BDD703B" w14:textId="77777777" w:rsidR="00442E6D" w:rsidRPr="002A40C0" w:rsidRDefault="00442E6D" w:rsidP="00442E6D">
      <w:pPr>
        <w:pStyle w:val="BodyText"/>
      </w:pPr>
      <w:r w:rsidRPr="002A40C0">
        <w:t>The trends are best demonstrated in chapter 2, figure 2.2.12 and in chapter 8.</w:t>
      </w:r>
    </w:p>
    <w:p w14:paraId="3927592E" w14:textId="77777777" w:rsidR="00442E6D" w:rsidRPr="002A40C0" w:rsidRDefault="00442E6D" w:rsidP="00442E6D">
      <w:pPr>
        <w:pStyle w:val="Heading5"/>
      </w:pPr>
      <w:r w:rsidRPr="002A40C0">
        <w:t>2019–2020</w:t>
      </w:r>
    </w:p>
    <w:p w14:paraId="35951A12" w14:textId="77777777" w:rsidR="00442E6D" w:rsidRPr="002A40C0" w:rsidRDefault="00442E6D" w:rsidP="00442E6D">
      <w:pPr>
        <w:pStyle w:val="BodyText"/>
      </w:pPr>
      <w:r w:rsidRPr="002A40C0">
        <w:t>Total Tokelau emissions in 2020 were 0.12 kt CO</w:t>
      </w:r>
      <w:r w:rsidRPr="002A40C0">
        <w:rPr>
          <w:vertAlign w:val="subscript"/>
        </w:rPr>
        <w:t>2</w:t>
      </w:r>
      <w:r w:rsidRPr="002A40C0">
        <w:t>-e (2.8 per cent) lower than emissions in 2019. The lower emissions are largely the result of decreases in CO</w:t>
      </w:r>
      <w:r w:rsidRPr="002A40C0">
        <w:rPr>
          <w:vertAlign w:val="subscript"/>
        </w:rPr>
        <w:t>2</w:t>
      </w:r>
      <w:r w:rsidRPr="002A40C0">
        <w:t xml:space="preserve"> emissions in the </w:t>
      </w:r>
      <w:r w:rsidRPr="002A40C0">
        <w:rPr>
          <w:i/>
          <w:iCs/>
        </w:rPr>
        <w:t>Domestic navigation</w:t>
      </w:r>
      <w:r w:rsidRPr="002A40C0">
        <w:t xml:space="preserve"> category, due to decreased shipping within Tokelau. This decrease is largely the result of lockdowns that occurred during the COVID-19 pandemic.</w:t>
      </w:r>
    </w:p>
    <w:p w14:paraId="3415EEA5" w14:textId="5F24EDD6" w:rsidR="00442E6D" w:rsidRPr="002A40C0" w:rsidRDefault="00442E6D" w:rsidP="00442E6D">
      <w:pPr>
        <w:pStyle w:val="Heading2"/>
      </w:pPr>
      <w:bookmarkStart w:id="31" w:name="_Toc99659090"/>
      <w:bookmarkStart w:id="32" w:name="Xe61861c086d75407fde7e209cbdfcbc398e0b07"/>
      <w:bookmarkEnd w:id="19"/>
      <w:bookmarkEnd w:id="23"/>
      <w:bookmarkEnd w:id="30"/>
      <w:r w:rsidRPr="002A40C0">
        <w:lastRenderedPageBreak/>
        <w:t xml:space="preserve">ES.5 </w:t>
      </w:r>
      <w:r w:rsidRPr="002A40C0">
        <w:tab/>
        <w:t>Activities under Article 3.3 and Article 3.4 of</w:t>
      </w:r>
      <w:r w:rsidR="006D0B04">
        <w:t> </w:t>
      </w:r>
      <w:r w:rsidRPr="002A40C0">
        <w:t>the Kyoto Protocol (chapter 11)</w:t>
      </w:r>
      <w:bookmarkEnd w:id="31"/>
    </w:p>
    <w:p w14:paraId="4870FC12" w14:textId="6F113C84" w:rsidR="00442E6D" w:rsidRPr="002A40C0" w:rsidRDefault="00442E6D" w:rsidP="00442E6D">
      <w:pPr>
        <w:pStyle w:val="BodyText"/>
      </w:pPr>
      <w:r w:rsidRPr="002A40C0">
        <w:t xml:space="preserve">Under the Kyoto Protocol, accounting for and therefore reporting on </w:t>
      </w:r>
      <w:r w:rsidRPr="002A40C0">
        <w:rPr>
          <w:i/>
        </w:rPr>
        <w:t>Afforestation and reforestation</w:t>
      </w:r>
      <w:r w:rsidRPr="002A40C0">
        <w:t xml:space="preserve"> and </w:t>
      </w:r>
      <w:r w:rsidRPr="002A40C0">
        <w:rPr>
          <w:i/>
        </w:rPr>
        <w:t>Deforestation</w:t>
      </w:r>
      <w:r w:rsidRPr="002A40C0">
        <w:t xml:space="preserve"> activities since 1990, and </w:t>
      </w:r>
      <w:r w:rsidRPr="002A40C0">
        <w:rPr>
          <w:i/>
        </w:rPr>
        <w:t>Forest management</w:t>
      </w:r>
      <w:r w:rsidRPr="002A40C0">
        <w:t xml:space="preserve"> is mandatory during the second commitment period (CP2). This is a change from the first commitment period (CP1), when accounting for </w:t>
      </w:r>
      <w:r w:rsidRPr="002A40C0">
        <w:rPr>
          <w:i/>
        </w:rPr>
        <w:t>Forest management</w:t>
      </w:r>
      <w:r w:rsidRPr="002A40C0">
        <w:t xml:space="preserve"> was voluntary for Annex I Parties. Reporting on the Kyoto Protocol, Article 3.4 activities </w:t>
      </w:r>
      <w:r w:rsidRPr="002A40C0">
        <w:rPr>
          <w:i/>
        </w:rPr>
        <w:t>Cropland management</w:t>
      </w:r>
      <w:r w:rsidRPr="002A40C0">
        <w:t xml:space="preserve">, </w:t>
      </w:r>
      <w:r w:rsidRPr="002A40C0">
        <w:rPr>
          <w:i/>
        </w:rPr>
        <w:t>Grazing land management</w:t>
      </w:r>
      <w:r w:rsidRPr="002A40C0">
        <w:t xml:space="preserve">, </w:t>
      </w:r>
      <w:r w:rsidRPr="002A40C0">
        <w:rPr>
          <w:i/>
        </w:rPr>
        <w:t>Revegetation</w:t>
      </w:r>
      <w:r w:rsidRPr="002A40C0">
        <w:t xml:space="preserve"> and </w:t>
      </w:r>
      <w:r w:rsidRPr="002A40C0">
        <w:rPr>
          <w:i/>
        </w:rPr>
        <w:t>Wetland drainage and rewetting</w:t>
      </w:r>
      <w:r w:rsidRPr="002A40C0">
        <w:t xml:space="preserve"> is voluntary for the 2013 to</w:t>
      </w:r>
      <w:r w:rsidR="006D0B04">
        <w:t> </w:t>
      </w:r>
      <w:r w:rsidRPr="002A40C0">
        <w:t>2020 period. New Zealand has not elected to account for any of these voluntary categories and therefore does not report on any of them.</w:t>
      </w:r>
    </w:p>
    <w:p w14:paraId="318306FF" w14:textId="77777777" w:rsidR="00442E6D" w:rsidRPr="002A40C0" w:rsidRDefault="00442E6D" w:rsidP="00442E6D">
      <w:pPr>
        <w:pStyle w:val="BodyText"/>
      </w:pPr>
      <w:r w:rsidRPr="002A40C0">
        <w:t>More information on how New Zealand accounts against its target is provided in section ES.2.</w:t>
      </w:r>
    </w:p>
    <w:p w14:paraId="0AB030EB" w14:textId="77777777" w:rsidR="00442E6D" w:rsidRPr="002A40C0" w:rsidRDefault="00442E6D" w:rsidP="00442E6D">
      <w:pPr>
        <w:pStyle w:val="BodyText"/>
      </w:pPr>
      <w:r w:rsidRPr="002A40C0">
        <w:t>New Zealand reports on activities under Articles 3.3 and 3.4 of the Kyoto Protocol by monitoring trends in land use. The Ministry for the Environment tracks forest land use and periodically produces land use maps. This information is supplemented by forestry statistics produced by the Ministry for Primary Industries. These data sources are used to detect the following trends in land use.</w:t>
      </w:r>
    </w:p>
    <w:p w14:paraId="24515767" w14:textId="77777777" w:rsidR="00442E6D" w:rsidRPr="002A40C0" w:rsidRDefault="00442E6D" w:rsidP="00442E6D">
      <w:pPr>
        <w:pStyle w:val="Heading5"/>
      </w:pPr>
      <w:r w:rsidRPr="002A40C0">
        <w:t>Afforestation and reforestation</w:t>
      </w:r>
    </w:p>
    <w:p w14:paraId="5F92CE74" w14:textId="098E98E0" w:rsidR="00442E6D" w:rsidRPr="002A40C0" w:rsidRDefault="00442E6D" w:rsidP="00442E6D">
      <w:pPr>
        <w:pStyle w:val="BodyText"/>
      </w:pPr>
      <w:r w:rsidRPr="002A40C0">
        <w:t xml:space="preserve">The net area subject to </w:t>
      </w:r>
      <w:r w:rsidRPr="002A40C0">
        <w:rPr>
          <w:i/>
        </w:rPr>
        <w:t>Afforestation and reforestation</w:t>
      </w:r>
      <w:r w:rsidRPr="002A40C0">
        <w:t xml:space="preserve"> activities between 1990 and 2020 was</w:t>
      </w:r>
      <w:r w:rsidR="006D0B04">
        <w:t> </w:t>
      </w:r>
      <w:r w:rsidRPr="002A40C0">
        <w:t>775,385 hectares (see table ES 5.1(a)). This excludes the area subsequently converted to</w:t>
      </w:r>
      <w:r w:rsidR="006D0B04">
        <w:t> </w:t>
      </w:r>
      <w:r w:rsidRPr="002A40C0">
        <w:t xml:space="preserve">another land use, which is reported as a </w:t>
      </w:r>
      <w:r w:rsidRPr="002A40C0">
        <w:rPr>
          <w:i/>
          <w:iCs/>
        </w:rPr>
        <w:t>Deforestation</w:t>
      </w:r>
      <w:r w:rsidRPr="002A40C0">
        <w:t xml:space="preserve"> activity. The provisional estimate</w:t>
      </w:r>
      <w:r w:rsidRPr="002A40C0">
        <w:rPr>
          <w:rStyle w:val="FootnoteReference"/>
        </w:rPr>
        <w:footnoteReference w:id="6"/>
      </w:r>
      <w:r w:rsidRPr="002A40C0">
        <w:t xml:space="preserve"> of</w:t>
      </w:r>
      <w:r w:rsidR="006D0B04">
        <w:t> </w:t>
      </w:r>
      <w:r w:rsidRPr="002A40C0">
        <w:rPr>
          <w:i/>
        </w:rPr>
        <w:t>Afforestation and reforestation</w:t>
      </w:r>
      <w:r w:rsidRPr="002A40C0">
        <w:t xml:space="preserve"> for 2020 is 40,887 hectares. </w:t>
      </w:r>
    </w:p>
    <w:p w14:paraId="1E070F49" w14:textId="77777777" w:rsidR="00442E6D" w:rsidRPr="002A40C0" w:rsidRDefault="00442E6D" w:rsidP="00442E6D">
      <w:pPr>
        <w:pStyle w:val="Heading5"/>
      </w:pPr>
      <w:r w:rsidRPr="002A40C0">
        <w:t>Deforestation</w:t>
      </w:r>
    </w:p>
    <w:p w14:paraId="0FE22084" w14:textId="77777777" w:rsidR="00442E6D" w:rsidRPr="002A40C0" w:rsidRDefault="00442E6D" w:rsidP="00442E6D">
      <w:pPr>
        <w:pStyle w:val="BodyText"/>
      </w:pPr>
      <w:r w:rsidRPr="002A40C0">
        <w:t>The area deforested between 1 January 1990 and 31 December 2020 was 214,077 hectares (see table ES 5.1(a)). The provisional estimate</w:t>
      </w:r>
      <w:r w:rsidRPr="002A40C0">
        <w:rPr>
          <w:rStyle w:val="FootnoteReference"/>
        </w:rPr>
        <w:footnoteReference w:id="7"/>
      </w:r>
      <w:r w:rsidRPr="002A40C0">
        <w:t xml:space="preserve"> of area subject to </w:t>
      </w:r>
      <w:r w:rsidRPr="002A40C0">
        <w:rPr>
          <w:i/>
          <w:iCs/>
        </w:rPr>
        <w:t>Deforestation</w:t>
      </w:r>
      <w:r w:rsidRPr="002A40C0">
        <w:t xml:space="preserve"> in 2020 was 2,443 hectares. In 2020, net emissions from </w:t>
      </w:r>
      <w:r w:rsidRPr="002A40C0">
        <w:rPr>
          <w:i/>
          <w:iCs/>
        </w:rPr>
        <w:t>Deforestation</w:t>
      </w:r>
      <w:r w:rsidRPr="002A40C0">
        <w:t xml:space="preserve"> were 1,320.5 kt CO</w:t>
      </w:r>
      <w:r w:rsidRPr="002A40C0">
        <w:rPr>
          <w:vertAlign w:val="subscript"/>
        </w:rPr>
        <w:t>2</w:t>
      </w:r>
      <w:r w:rsidRPr="002A40C0">
        <w:t>-e, compared with 3,131.8 kt CO</w:t>
      </w:r>
      <w:r w:rsidRPr="002A40C0">
        <w:rPr>
          <w:vertAlign w:val="subscript"/>
        </w:rPr>
        <w:t>2</w:t>
      </w:r>
      <w:r w:rsidRPr="002A40C0">
        <w:t>-e in 2019 (a 57.8 per cent decrease).</w:t>
      </w:r>
    </w:p>
    <w:p w14:paraId="710615E2" w14:textId="77777777" w:rsidR="00442E6D" w:rsidRPr="002A40C0" w:rsidRDefault="00442E6D" w:rsidP="00442E6D">
      <w:pPr>
        <w:pStyle w:val="Heading5"/>
      </w:pPr>
      <w:r w:rsidRPr="002A40C0">
        <w:t>Forest management</w:t>
      </w:r>
    </w:p>
    <w:p w14:paraId="11826635" w14:textId="2F940FDE" w:rsidR="00442E6D" w:rsidRPr="002A40C0" w:rsidRDefault="00442E6D" w:rsidP="00442E6D">
      <w:pPr>
        <w:pStyle w:val="BodyText"/>
      </w:pPr>
      <w:r w:rsidRPr="002A40C0">
        <w:t xml:space="preserve">The total area reported under </w:t>
      </w:r>
      <w:r w:rsidRPr="002A40C0">
        <w:rPr>
          <w:i/>
          <w:iCs/>
        </w:rPr>
        <w:t>Forest management</w:t>
      </w:r>
      <w:r w:rsidRPr="002A40C0">
        <w:t xml:space="preserve"> at the end of 2020 was 9,198,965 hectares, equivalent to 34.2 per cent of New Zealand’s total land area (see table ES 5.1(a)). This category includes all land that was forest at 1 January 1990 and has not been deforested since 1990. Net removals on this land in 2020 were 16,031.9 kt CO</w:t>
      </w:r>
      <w:r w:rsidRPr="002A40C0">
        <w:rPr>
          <w:vertAlign w:val="subscript"/>
        </w:rPr>
        <w:t>2</w:t>
      </w:r>
      <w:r w:rsidRPr="002A40C0">
        <w:t>-e, including net removals of 7,118.4</w:t>
      </w:r>
      <w:r w:rsidR="00D3798D">
        <w:t> </w:t>
      </w:r>
      <w:r w:rsidRPr="002A40C0">
        <w:t>kt CO</w:t>
      </w:r>
      <w:r w:rsidRPr="002A40C0">
        <w:rPr>
          <w:vertAlign w:val="subscript"/>
        </w:rPr>
        <w:t>2</w:t>
      </w:r>
      <w:r w:rsidRPr="002A40C0">
        <w:t xml:space="preserve">-e from the </w:t>
      </w:r>
      <w:r w:rsidRPr="002A40C0">
        <w:rPr>
          <w:i/>
          <w:iCs/>
        </w:rPr>
        <w:t>Harvested wood products</w:t>
      </w:r>
      <w:r w:rsidRPr="002A40C0">
        <w:t xml:space="preserve"> category.</w:t>
      </w:r>
    </w:p>
    <w:p w14:paraId="5297B055" w14:textId="77777777" w:rsidR="00442E6D" w:rsidRPr="002A40C0" w:rsidRDefault="00442E6D" w:rsidP="00442E6D">
      <w:pPr>
        <w:pStyle w:val="Table"/>
      </w:pPr>
      <w:bookmarkStart w:id="33" w:name="_Toc99659201"/>
      <w:r w:rsidRPr="002A40C0">
        <w:lastRenderedPageBreak/>
        <w:t>Table ES 5.1(a)</w:t>
      </w:r>
      <w:r w:rsidRPr="002A40C0">
        <w:tab/>
        <w:t xml:space="preserve">New Zealand’s land use areas for </w:t>
      </w:r>
      <w:r w:rsidRPr="002A40C0">
        <w:rPr>
          <w:i/>
          <w:iCs/>
        </w:rPr>
        <w:t>Afforestation and reforestation</w:t>
      </w:r>
      <w:r w:rsidRPr="002A40C0">
        <w:t xml:space="preserve">, </w:t>
      </w:r>
      <w:r w:rsidRPr="002A40C0">
        <w:rPr>
          <w:i/>
          <w:iCs/>
        </w:rPr>
        <w:t>Deforestation</w:t>
      </w:r>
      <w:r w:rsidRPr="002A40C0">
        <w:t xml:space="preserve"> and </w:t>
      </w:r>
      <w:r w:rsidRPr="002A40C0">
        <w:rPr>
          <w:i/>
          <w:iCs/>
        </w:rPr>
        <w:t>Forest management</w:t>
      </w:r>
      <w:bookmarkEnd w:id="33"/>
    </w:p>
    <w:tbl>
      <w:tblPr>
        <w:tblW w:w="8505" w:type="dxa"/>
        <w:tblBorders>
          <w:top w:val="single" w:sz="4" w:space="0" w:color="1B556B"/>
          <w:bottom w:val="single" w:sz="4" w:space="0" w:color="1B556B"/>
          <w:insideH w:val="single" w:sz="4" w:space="0" w:color="1B556B"/>
          <w:insideV w:val="single" w:sz="4" w:space="0" w:color="1B556B"/>
        </w:tblBorders>
        <w:tblLayout w:type="fixed"/>
        <w:tblCellMar>
          <w:left w:w="85" w:type="dxa"/>
          <w:right w:w="85" w:type="dxa"/>
        </w:tblCellMar>
        <w:tblLook w:val="0420" w:firstRow="1" w:lastRow="0" w:firstColumn="0" w:lastColumn="0" w:noHBand="0" w:noVBand="1"/>
      </w:tblPr>
      <w:tblGrid>
        <w:gridCol w:w="1301"/>
        <w:gridCol w:w="894"/>
        <w:gridCol w:w="900"/>
        <w:gridCol w:w="904"/>
        <w:gridCol w:w="899"/>
        <w:gridCol w:w="901"/>
        <w:gridCol w:w="901"/>
        <w:gridCol w:w="901"/>
        <w:gridCol w:w="904"/>
      </w:tblGrid>
      <w:tr w:rsidR="00442E6D" w:rsidRPr="00442E6D" w14:paraId="0AEE7D03" w14:textId="77777777" w:rsidTr="00B063F2">
        <w:trPr>
          <w:cantSplit/>
          <w:tblHeader/>
        </w:trPr>
        <w:tc>
          <w:tcPr>
            <w:tcW w:w="1304" w:type="dxa"/>
            <w:tcBorders>
              <w:bottom w:val="nil"/>
              <w:right w:val="nil"/>
            </w:tcBorders>
            <w:shd w:val="clear" w:color="auto" w:fill="1B556B"/>
            <w:tcMar>
              <w:top w:w="0" w:type="dxa"/>
              <w:left w:w="85" w:type="dxa"/>
              <w:bottom w:w="0" w:type="dxa"/>
              <w:right w:w="85" w:type="dxa"/>
            </w:tcMar>
            <w:vAlign w:val="center"/>
          </w:tcPr>
          <w:p w14:paraId="205485BF" w14:textId="77777777" w:rsidR="00442E6D" w:rsidRPr="00442E6D" w:rsidRDefault="00442E6D" w:rsidP="006D0B04">
            <w:pPr>
              <w:pStyle w:val="TableTextBold"/>
              <w:keepNext/>
              <w:spacing w:after="0"/>
              <w:rPr>
                <w:rFonts w:cs="Calibri"/>
                <w:noProof w:val="0"/>
                <w:color w:val="FFFFFF"/>
                <w:szCs w:val="16"/>
              </w:rPr>
            </w:pPr>
          </w:p>
        </w:tc>
        <w:tc>
          <w:tcPr>
            <w:tcW w:w="897" w:type="dxa"/>
            <w:tcBorders>
              <w:left w:val="nil"/>
              <w:bottom w:val="nil"/>
              <w:right w:val="nil"/>
            </w:tcBorders>
            <w:shd w:val="clear" w:color="auto" w:fill="1B556B"/>
            <w:tcMar>
              <w:top w:w="0" w:type="dxa"/>
              <w:left w:w="85" w:type="dxa"/>
              <w:bottom w:w="0" w:type="dxa"/>
              <w:right w:w="85" w:type="dxa"/>
            </w:tcMar>
            <w:vAlign w:val="center"/>
          </w:tcPr>
          <w:p w14:paraId="659BB432" w14:textId="77777777" w:rsidR="00442E6D" w:rsidRPr="00442E6D" w:rsidRDefault="00442E6D" w:rsidP="006D0B04">
            <w:pPr>
              <w:pStyle w:val="TableTextBold"/>
              <w:keepNext/>
              <w:spacing w:after="0"/>
              <w:jc w:val="right"/>
              <w:rPr>
                <w:rFonts w:cs="Calibri"/>
                <w:noProof w:val="0"/>
                <w:color w:val="FFFFFF"/>
                <w:szCs w:val="16"/>
              </w:rPr>
            </w:pPr>
            <w:r w:rsidRPr="00442E6D">
              <w:rPr>
                <w:rFonts w:eastAsia="Calibri" w:cs="Calibri"/>
                <w:noProof w:val="0"/>
                <w:color w:val="FFFFFF"/>
                <w:szCs w:val="16"/>
              </w:rPr>
              <w:t>2013</w:t>
            </w:r>
          </w:p>
        </w:tc>
        <w:tc>
          <w:tcPr>
            <w:tcW w:w="903" w:type="dxa"/>
            <w:tcBorders>
              <w:left w:val="nil"/>
              <w:bottom w:val="nil"/>
              <w:right w:val="nil"/>
            </w:tcBorders>
            <w:shd w:val="clear" w:color="auto" w:fill="1B556B"/>
            <w:tcMar>
              <w:top w:w="0" w:type="dxa"/>
              <w:left w:w="85" w:type="dxa"/>
              <w:bottom w:w="0" w:type="dxa"/>
              <w:right w:w="85" w:type="dxa"/>
            </w:tcMar>
            <w:vAlign w:val="center"/>
          </w:tcPr>
          <w:p w14:paraId="215CCAC4" w14:textId="77777777" w:rsidR="00442E6D" w:rsidRPr="00442E6D" w:rsidRDefault="00442E6D" w:rsidP="006D0B04">
            <w:pPr>
              <w:pStyle w:val="TableTextBold"/>
              <w:keepNext/>
              <w:spacing w:after="0"/>
              <w:jc w:val="right"/>
              <w:rPr>
                <w:rFonts w:cs="Calibri"/>
                <w:noProof w:val="0"/>
                <w:color w:val="FFFFFF"/>
                <w:szCs w:val="16"/>
              </w:rPr>
            </w:pPr>
            <w:r w:rsidRPr="00442E6D">
              <w:rPr>
                <w:rFonts w:eastAsia="Calibri" w:cs="Calibri"/>
                <w:noProof w:val="0"/>
                <w:color w:val="FFFFFF"/>
                <w:szCs w:val="16"/>
              </w:rPr>
              <w:t>2014</w:t>
            </w:r>
          </w:p>
        </w:tc>
        <w:tc>
          <w:tcPr>
            <w:tcW w:w="907" w:type="dxa"/>
            <w:tcBorders>
              <w:left w:val="nil"/>
              <w:bottom w:val="nil"/>
              <w:right w:val="nil"/>
            </w:tcBorders>
            <w:shd w:val="clear" w:color="auto" w:fill="1B556B"/>
            <w:tcMar>
              <w:top w:w="0" w:type="dxa"/>
              <w:left w:w="85" w:type="dxa"/>
              <w:bottom w:w="0" w:type="dxa"/>
              <w:right w:w="85" w:type="dxa"/>
            </w:tcMar>
            <w:vAlign w:val="center"/>
          </w:tcPr>
          <w:p w14:paraId="7FDB8A8E" w14:textId="77777777" w:rsidR="00442E6D" w:rsidRPr="00442E6D" w:rsidRDefault="00442E6D" w:rsidP="006D0B04">
            <w:pPr>
              <w:pStyle w:val="TableTextBold"/>
              <w:keepNext/>
              <w:spacing w:after="0"/>
              <w:jc w:val="right"/>
              <w:rPr>
                <w:rFonts w:cs="Calibri"/>
                <w:noProof w:val="0"/>
                <w:color w:val="FFFFFF"/>
                <w:szCs w:val="16"/>
              </w:rPr>
            </w:pPr>
            <w:r w:rsidRPr="00442E6D">
              <w:rPr>
                <w:rFonts w:eastAsia="Calibri" w:cs="Calibri"/>
                <w:noProof w:val="0"/>
                <w:color w:val="FFFFFF"/>
                <w:szCs w:val="16"/>
              </w:rPr>
              <w:t>2015</w:t>
            </w:r>
          </w:p>
        </w:tc>
        <w:tc>
          <w:tcPr>
            <w:tcW w:w="902" w:type="dxa"/>
            <w:tcBorders>
              <w:left w:val="nil"/>
              <w:bottom w:val="nil"/>
              <w:right w:val="nil"/>
            </w:tcBorders>
            <w:shd w:val="clear" w:color="auto" w:fill="1B556B"/>
            <w:tcMar>
              <w:top w:w="0" w:type="dxa"/>
              <w:left w:w="85" w:type="dxa"/>
              <w:bottom w:w="0" w:type="dxa"/>
              <w:right w:w="85" w:type="dxa"/>
            </w:tcMar>
            <w:vAlign w:val="center"/>
          </w:tcPr>
          <w:p w14:paraId="245F631F" w14:textId="77777777" w:rsidR="00442E6D" w:rsidRPr="00442E6D" w:rsidRDefault="00442E6D" w:rsidP="006D0B04">
            <w:pPr>
              <w:pStyle w:val="TableTextBold"/>
              <w:keepNext/>
              <w:spacing w:after="0"/>
              <w:jc w:val="right"/>
              <w:rPr>
                <w:rFonts w:cs="Calibri"/>
                <w:noProof w:val="0"/>
                <w:color w:val="FFFFFF"/>
                <w:szCs w:val="16"/>
              </w:rPr>
            </w:pPr>
            <w:r w:rsidRPr="00442E6D">
              <w:rPr>
                <w:rFonts w:eastAsia="Calibri" w:cs="Calibri"/>
                <w:noProof w:val="0"/>
                <w:color w:val="FFFFFF"/>
                <w:szCs w:val="16"/>
              </w:rPr>
              <w:t>2016</w:t>
            </w:r>
          </w:p>
        </w:tc>
        <w:tc>
          <w:tcPr>
            <w:tcW w:w="904" w:type="dxa"/>
            <w:tcBorders>
              <w:left w:val="nil"/>
              <w:bottom w:val="nil"/>
              <w:right w:val="nil"/>
            </w:tcBorders>
            <w:shd w:val="clear" w:color="auto" w:fill="1B556B"/>
            <w:tcMar>
              <w:top w:w="0" w:type="dxa"/>
              <w:left w:w="85" w:type="dxa"/>
              <w:bottom w:w="0" w:type="dxa"/>
              <w:right w:w="85" w:type="dxa"/>
            </w:tcMar>
            <w:vAlign w:val="center"/>
          </w:tcPr>
          <w:p w14:paraId="7A6A67B6" w14:textId="77777777" w:rsidR="00442E6D" w:rsidRPr="00442E6D" w:rsidRDefault="00442E6D" w:rsidP="006D0B04">
            <w:pPr>
              <w:pStyle w:val="TableTextBold"/>
              <w:keepNext/>
              <w:spacing w:after="0"/>
              <w:jc w:val="right"/>
              <w:rPr>
                <w:rFonts w:cs="Calibri"/>
                <w:noProof w:val="0"/>
                <w:color w:val="FFFFFF"/>
                <w:szCs w:val="16"/>
              </w:rPr>
            </w:pPr>
            <w:r w:rsidRPr="00442E6D">
              <w:rPr>
                <w:rFonts w:eastAsia="Calibri" w:cs="Calibri"/>
                <w:noProof w:val="0"/>
                <w:color w:val="FFFFFF"/>
                <w:szCs w:val="16"/>
              </w:rPr>
              <w:t>2017</w:t>
            </w:r>
          </w:p>
        </w:tc>
        <w:tc>
          <w:tcPr>
            <w:tcW w:w="904" w:type="dxa"/>
            <w:tcBorders>
              <w:left w:val="nil"/>
              <w:bottom w:val="nil"/>
              <w:right w:val="nil"/>
            </w:tcBorders>
            <w:shd w:val="clear" w:color="auto" w:fill="1B556B"/>
            <w:tcMar>
              <w:top w:w="0" w:type="dxa"/>
              <w:left w:w="85" w:type="dxa"/>
              <w:bottom w:w="0" w:type="dxa"/>
              <w:right w:w="85" w:type="dxa"/>
            </w:tcMar>
            <w:vAlign w:val="center"/>
          </w:tcPr>
          <w:p w14:paraId="5F19ADF2" w14:textId="77777777" w:rsidR="00442E6D" w:rsidRPr="00442E6D" w:rsidRDefault="00442E6D" w:rsidP="006D0B04">
            <w:pPr>
              <w:pStyle w:val="TableTextBold"/>
              <w:keepNext/>
              <w:spacing w:after="0"/>
              <w:jc w:val="right"/>
              <w:rPr>
                <w:rFonts w:cs="Calibri"/>
                <w:noProof w:val="0"/>
                <w:color w:val="FFFFFF"/>
                <w:szCs w:val="16"/>
              </w:rPr>
            </w:pPr>
            <w:r w:rsidRPr="00442E6D">
              <w:rPr>
                <w:rFonts w:eastAsia="Calibri" w:cs="Calibri"/>
                <w:noProof w:val="0"/>
                <w:color w:val="FFFFFF"/>
                <w:szCs w:val="16"/>
              </w:rPr>
              <w:t>2018</w:t>
            </w:r>
          </w:p>
        </w:tc>
        <w:tc>
          <w:tcPr>
            <w:tcW w:w="904" w:type="dxa"/>
            <w:tcBorders>
              <w:left w:val="nil"/>
              <w:bottom w:val="nil"/>
              <w:right w:val="nil"/>
            </w:tcBorders>
            <w:shd w:val="clear" w:color="auto" w:fill="1B556B"/>
            <w:tcMar>
              <w:top w:w="0" w:type="dxa"/>
              <w:left w:w="85" w:type="dxa"/>
              <w:bottom w:w="0" w:type="dxa"/>
              <w:right w:w="85" w:type="dxa"/>
            </w:tcMar>
            <w:vAlign w:val="center"/>
          </w:tcPr>
          <w:p w14:paraId="77330E6D" w14:textId="77777777" w:rsidR="00442E6D" w:rsidRPr="00442E6D" w:rsidRDefault="00442E6D" w:rsidP="006D0B04">
            <w:pPr>
              <w:pStyle w:val="TableTextBold"/>
              <w:keepNext/>
              <w:spacing w:after="0"/>
              <w:jc w:val="right"/>
              <w:rPr>
                <w:rFonts w:cs="Calibri"/>
                <w:noProof w:val="0"/>
                <w:color w:val="FFFFFF"/>
                <w:szCs w:val="16"/>
              </w:rPr>
            </w:pPr>
            <w:r w:rsidRPr="00442E6D">
              <w:rPr>
                <w:rFonts w:eastAsia="Calibri" w:cs="Calibri"/>
                <w:noProof w:val="0"/>
                <w:color w:val="FFFFFF"/>
                <w:szCs w:val="16"/>
              </w:rPr>
              <w:t>2019</w:t>
            </w:r>
          </w:p>
        </w:tc>
        <w:tc>
          <w:tcPr>
            <w:tcW w:w="907" w:type="dxa"/>
            <w:tcBorders>
              <w:left w:val="nil"/>
              <w:bottom w:val="nil"/>
            </w:tcBorders>
            <w:shd w:val="clear" w:color="auto" w:fill="1B556B"/>
            <w:tcMar>
              <w:top w:w="0" w:type="dxa"/>
              <w:left w:w="85" w:type="dxa"/>
              <w:bottom w:w="0" w:type="dxa"/>
              <w:right w:w="85" w:type="dxa"/>
            </w:tcMar>
            <w:vAlign w:val="center"/>
          </w:tcPr>
          <w:p w14:paraId="7CBD72EA" w14:textId="77777777" w:rsidR="00442E6D" w:rsidRPr="00442E6D" w:rsidRDefault="00442E6D" w:rsidP="006D0B04">
            <w:pPr>
              <w:pStyle w:val="TableTextBold"/>
              <w:keepNext/>
              <w:spacing w:after="0"/>
              <w:jc w:val="right"/>
              <w:rPr>
                <w:rFonts w:cs="Calibri"/>
                <w:noProof w:val="0"/>
                <w:color w:val="FFFFFF"/>
                <w:szCs w:val="16"/>
              </w:rPr>
            </w:pPr>
            <w:r w:rsidRPr="00442E6D">
              <w:rPr>
                <w:rFonts w:eastAsia="Calibri" w:cs="Calibri"/>
                <w:noProof w:val="0"/>
                <w:color w:val="FFFFFF"/>
                <w:szCs w:val="16"/>
              </w:rPr>
              <w:t>2020</w:t>
            </w:r>
          </w:p>
        </w:tc>
      </w:tr>
      <w:tr w:rsidR="00442E6D" w:rsidRPr="00442E6D" w14:paraId="4DF0F585" w14:textId="77777777" w:rsidTr="00B063F2">
        <w:trPr>
          <w:cantSplit/>
        </w:trPr>
        <w:tc>
          <w:tcPr>
            <w:tcW w:w="1304" w:type="dxa"/>
            <w:gridSpan w:val="9"/>
            <w:tcBorders>
              <w:top w:val="nil"/>
            </w:tcBorders>
            <w:shd w:val="clear" w:color="auto" w:fill="1B556B"/>
            <w:tcMar>
              <w:top w:w="0" w:type="dxa"/>
              <w:left w:w="85" w:type="dxa"/>
              <w:bottom w:w="0" w:type="dxa"/>
              <w:right w:w="85" w:type="dxa"/>
            </w:tcMar>
            <w:vAlign w:val="center"/>
          </w:tcPr>
          <w:p w14:paraId="7A3E9542" w14:textId="77777777" w:rsidR="00442E6D" w:rsidRPr="00442E6D" w:rsidRDefault="00442E6D" w:rsidP="00B063F2">
            <w:pPr>
              <w:pStyle w:val="TableTextBold"/>
              <w:rPr>
                <w:rFonts w:cs="Calibri"/>
                <w:noProof w:val="0"/>
                <w:color w:val="FFFFFF"/>
                <w:szCs w:val="16"/>
              </w:rPr>
            </w:pPr>
            <w:r w:rsidRPr="00442E6D">
              <w:rPr>
                <w:rFonts w:eastAsia="Calibri" w:cs="Calibri"/>
                <w:noProof w:val="0"/>
                <w:color w:val="FFFFFF"/>
                <w:szCs w:val="16"/>
              </w:rPr>
              <w:t>Afforestation and reforestation</w:t>
            </w:r>
          </w:p>
        </w:tc>
      </w:tr>
      <w:tr w:rsidR="00442E6D" w:rsidRPr="002A40C0" w14:paraId="5885035F" w14:textId="77777777" w:rsidTr="00B5164F">
        <w:trPr>
          <w:cantSplit/>
        </w:trPr>
        <w:tc>
          <w:tcPr>
            <w:tcW w:w="1304" w:type="dxa"/>
            <w:shd w:val="clear" w:color="auto" w:fill="FFFFFF"/>
            <w:tcMar>
              <w:top w:w="0" w:type="dxa"/>
              <w:left w:w="85" w:type="dxa"/>
              <w:bottom w:w="0" w:type="dxa"/>
              <w:right w:w="85" w:type="dxa"/>
            </w:tcMar>
            <w:vAlign w:val="bottom"/>
          </w:tcPr>
          <w:p w14:paraId="3007C290" w14:textId="77777777" w:rsidR="00442E6D" w:rsidRPr="002A40C0" w:rsidRDefault="00442E6D" w:rsidP="00B063F2">
            <w:pPr>
              <w:pStyle w:val="TableText"/>
              <w:rPr>
                <w:rFonts w:cs="Calibri"/>
                <w:szCs w:val="16"/>
              </w:rPr>
            </w:pPr>
            <w:r w:rsidRPr="002A40C0">
              <w:rPr>
                <w:rFonts w:eastAsia="Calibri" w:cs="Calibri"/>
                <w:szCs w:val="16"/>
              </w:rPr>
              <w:t>Net cumulative area since 1990 (ha)</w:t>
            </w:r>
          </w:p>
        </w:tc>
        <w:tc>
          <w:tcPr>
            <w:tcW w:w="897" w:type="dxa"/>
            <w:shd w:val="clear" w:color="auto" w:fill="FFFFFF"/>
            <w:tcMar>
              <w:top w:w="0" w:type="dxa"/>
              <w:left w:w="85" w:type="dxa"/>
              <w:bottom w:w="0" w:type="dxa"/>
              <w:right w:w="85" w:type="dxa"/>
            </w:tcMar>
            <w:vAlign w:val="bottom"/>
          </w:tcPr>
          <w:p w14:paraId="34BFE096" w14:textId="77777777" w:rsidR="00442E6D" w:rsidRPr="002A40C0" w:rsidRDefault="00442E6D" w:rsidP="00B063F2">
            <w:pPr>
              <w:pStyle w:val="TableText"/>
              <w:jc w:val="right"/>
              <w:rPr>
                <w:rFonts w:cs="Calibri"/>
                <w:szCs w:val="16"/>
              </w:rPr>
            </w:pPr>
            <w:r w:rsidRPr="002A40C0">
              <w:rPr>
                <w:rFonts w:eastAsia="Calibri" w:cs="Calibri"/>
                <w:szCs w:val="16"/>
              </w:rPr>
              <w:t>687,861</w:t>
            </w:r>
          </w:p>
        </w:tc>
        <w:tc>
          <w:tcPr>
            <w:tcW w:w="903" w:type="dxa"/>
            <w:shd w:val="clear" w:color="auto" w:fill="FFFFFF"/>
            <w:tcMar>
              <w:top w:w="0" w:type="dxa"/>
              <w:left w:w="85" w:type="dxa"/>
              <w:bottom w:w="0" w:type="dxa"/>
              <w:right w:w="85" w:type="dxa"/>
            </w:tcMar>
            <w:vAlign w:val="bottom"/>
          </w:tcPr>
          <w:p w14:paraId="40179EE7" w14:textId="77777777" w:rsidR="00442E6D" w:rsidRPr="002A40C0" w:rsidRDefault="00442E6D" w:rsidP="00B063F2">
            <w:pPr>
              <w:pStyle w:val="TableText"/>
              <w:jc w:val="right"/>
              <w:rPr>
                <w:rFonts w:cs="Calibri"/>
                <w:szCs w:val="16"/>
              </w:rPr>
            </w:pPr>
            <w:r w:rsidRPr="002A40C0">
              <w:rPr>
                <w:rFonts w:eastAsia="Calibri" w:cs="Calibri"/>
                <w:szCs w:val="16"/>
              </w:rPr>
              <w:t>690,819</w:t>
            </w:r>
          </w:p>
        </w:tc>
        <w:tc>
          <w:tcPr>
            <w:tcW w:w="907" w:type="dxa"/>
            <w:shd w:val="clear" w:color="auto" w:fill="FFFFFF"/>
            <w:tcMar>
              <w:top w:w="0" w:type="dxa"/>
              <w:left w:w="85" w:type="dxa"/>
              <w:bottom w:w="0" w:type="dxa"/>
              <w:right w:w="85" w:type="dxa"/>
            </w:tcMar>
            <w:vAlign w:val="bottom"/>
          </w:tcPr>
          <w:p w14:paraId="6537D789" w14:textId="77777777" w:rsidR="00442E6D" w:rsidRPr="002A40C0" w:rsidRDefault="00442E6D" w:rsidP="00B063F2">
            <w:pPr>
              <w:pStyle w:val="TableText"/>
              <w:jc w:val="right"/>
              <w:rPr>
                <w:rFonts w:cs="Calibri"/>
                <w:szCs w:val="16"/>
              </w:rPr>
            </w:pPr>
            <w:r w:rsidRPr="002A40C0">
              <w:rPr>
                <w:rFonts w:eastAsia="Calibri" w:cs="Calibri"/>
                <w:szCs w:val="16"/>
              </w:rPr>
              <w:t>694,233</w:t>
            </w:r>
          </w:p>
        </w:tc>
        <w:tc>
          <w:tcPr>
            <w:tcW w:w="902" w:type="dxa"/>
            <w:shd w:val="clear" w:color="auto" w:fill="FFFFFF"/>
            <w:tcMar>
              <w:top w:w="0" w:type="dxa"/>
              <w:left w:w="85" w:type="dxa"/>
              <w:bottom w:w="0" w:type="dxa"/>
              <w:right w:w="85" w:type="dxa"/>
            </w:tcMar>
            <w:vAlign w:val="bottom"/>
          </w:tcPr>
          <w:p w14:paraId="2A5497E2" w14:textId="77777777" w:rsidR="00442E6D" w:rsidRPr="002A40C0" w:rsidRDefault="00442E6D" w:rsidP="00B063F2">
            <w:pPr>
              <w:pStyle w:val="TableText"/>
              <w:jc w:val="right"/>
              <w:rPr>
                <w:rFonts w:cs="Calibri"/>
                <w:szCs w:val="16"/>
              </w:rPr>
            </w:pPr>
            <w:r w:rsidRPr="002A40C0">
              <w:rPr>
                <w:rFonts w:eastAsia="Calibri" w:cs="Calibri"/>
                <w:szCs w:val="16"/>
              </w:rPr>
              <w:t>696,925</w:t>
            </w:r>
          </w:p>
        </w:tc>
        <w:tc>
          <w:tcPr>
            <w:tcW w:w="904" w:type="dxa"/>
            <w:shd w:val="clear" w:color="auto" w:fill="FFFFFF"/>
            <w:tcMar>
              <w:top w:w="0" w:type="dxa"/>
              <w:left w:w="85" w:type="dxa"/>
              <w:bottom w:w="0" w:type="dxa"/>
              <w:right w:w="85" w:type="dxa"/>
            </w:tcMar>
            <w:vAlign w:val="bottom"/>
          </w:tcPr>
          <w:p w14:paraId="0A538F46" w14:textId="77777777" w:rsidR="00442E6D" w:rsidRPr="002A40C0" w:rsidRDefault="00442E6D" w:rsidP="00B063F2">
            <w:pPr>
              <w:pStyle w:val="TableText"/>
              <w:jc w:val="right"/>
              <w:rPr>
                <w:rFonts w:cs="Calibri"/>
                <w:szCs w:val="16"/>
              </w:rPr>
            </w:pPr>
            <w:r w:rsidRPr="002A40C0">
              <w:rPr>
                <w:rFonts w:eastAsia="Calibri" w:cs="Calibri"/>
                <w:szCs w:val="16"/>
              </w:rPr>
              <w:t>702,355</w:t>
            </w:r>
          </w:p>
        </w:tc>
        <w:tc>
          <w:tcPr>
            <w:tcW w:w="904" w:type="dxa"/>
            <w:shd w:val="clear" w:color="auto" w:fill="FFFFFF"/>
            <w:tcMar>
              <w:top w:w="0" w:type="dxa"/>
              <w:left w:w="85" w:type="dxa"/>
              <w:bottom w:w="0" w:type="dxa"/>
              <w:right w:w="85" w:type="dxa"/>
            </w:tcMar>
            <w:vAlign w:val="bottom"/>
          </w:tcPr>
          <w:p w14:paraId="42AC1F8F" w14:textId="77777777" w:rsidR="00442E6D" w:rsidRPr="002A40C0" w:rsidRDefault="00442E6D" w:rsidP="00B063F2">
            <w:pPr>
              <w:pStyle w:val="TableText"/>
              <w:jc w:val="right"/>
              <w:rPr>
                <w:rFonts w:cs="Calibri"/>
                <w:szCs w:val="16"/>
              </w:rPr>
            </w:pPr>
            <w:r w:rsidRPr="002A40C0">
              <w:rPr>
                <w:rFonts w:eastAsia="Calibri" w:cs="Calibri"/>
                <w:szCs w:val="16"/>
              </w:rPr>
              <w:t>709,838</w:t>
            </w:r>
          </w:p>
        </w:tc>
        <w:tc>
          <w:tcPr>
            <w:tcW w:w="904" w:type="dxa"/>
            <w:shd w:val="clear" w:color="auto" w:fill="FFFFFF"/>
            <w:tcMar>
              <w:top w:w="0" w:type="dxa"/>
              <w:left w:w="85" w:type="dxa"/>
              <w:bottom w:w="0" w:type="dxa"/>
              <w:right w:w="85" w:type="dxa"/>
            </w:tcMar>
            <w:vAlign w:val="bottom"/>
          </w:tcPr>
          <w:p w14:paraId="60439474" w14:textId="77777777" w:rsidR="00442E6D" w:rsidRPr="002A40C0" w:rsidRDefault="00442E6D" w:rsidP="00B063F2">
            <w:pPr>
              <w:pStyle w:val="TableText"/>
              <w:jc w:val="right"/>
              <w:rPr>
                <w:rFonts w:cs="Calibri"/>
                <w:szCs w:val="16"/>
              </w:rPr>
            </w:pPr>
            <w:r w:rsidRPr="002A40C0">
              <w:rPr>
                <w:rFonts w:eastAsia="Calibri" w:cs="Calibri"/>
                <w:szCs w:val="16"/>
              </w:rPr>
              <w:t>735,240</w:t>
            </w:r>
          </w:p>
        </w:tc>
        <w:tc>
          <w:tcPr>
            <w:tcW w:w="907" w:type="dxa"/>
            <w:shd w:val="clear" w:color="auto" w:fill="FFFFFF"/>
            <w:tcMar>
              <w:top w:w="0" w:type="dxa"/>
              <w:left w:w="85" w:type="dxa"/>
              <w:bottom w:w="0" w:type="dxa"/>
              <w:right w:w="85" w:type="dxa"/>
            </w:tcMar>
            <w:vAlign w:val="bottom"/>
          </w:tcPr>
          <w:p w14:paraId="1BA30860" w14:textId="77777777" w:rsidR="00442E6D" w:rsidRPr="002A40C0" w:rsidRDefault="00442E6D" w:rsidP="00B063F2">
            <w:pPr>
              <w:pStyle w:val="TableText"/>
              <w:jc w:val="right"/>
              <w:rPr>
                <w:rFonts w:cs="Calibri"/>
                <w:szCs w:val="16"/>
              </w:rPr>
            </w:pPr>
            <w:r w:rsidRPr="002A40C0">
              <w:rPr>
                <w:rFonts w:eastAsia="Calibri" w:cs="Calibri"/>
                <w:szCs w:val="16"/>
              </w:rPr>
              <w:t>775,385</w:t>
            </w:r>
          </w:p>
        </w:tc>
      </w:tr>
      <w:tr w:rsidR="00442E6D" w:rsidRPr="002A40C0" w14:paraId="2061C695" w14:textId="77777777" w:rsidTr="00B5164F">
        <w:trPr>
          <w:cantSplit/>
        </w:trPr>
        <w:tc>
          <w:tcPr>
            <w:tcW w:w="1304" w:type="dxa"/>
            <w:shd w:val="clear" w:color="auto" w:fill="FFFFFF"/>
            <w:tcMar>
              <w:top w:w="0" w:type="dxa"/>
              <w:left w:w="85" w:type="dxa"/>
              <w:bottom w:w="0" w:type="dxa"/>
              <w:right w:w="85" w:type="dxa"/>
            </w:tcMar>
            <w:vAlign w:val="bottom"/>
          </w:tcPr>
          <w:p w14:paraId="01DF2BB5" w14:textId="77777777" w:rsidR="00442E6D" w:rsidRPr="002A40C0" w:rsidRDefault="00442E6D" w:rsidP="00B063F2">
            <w:pPr>
              <w:pStyle w:val="TableText"/>
              <w:rPr>
                <w:rFonts w:cs="Calibri"/>
                <w:szCs w:val="16"/>
              </w:rPr>
            </w:pPr>
            <w:r w:rsidRPr="002A40C0">
              <w:rPr>
                <w:rFonts w:eastAsia="Calibri" w:cs="Calibri"/>
                <w:szCs w:val="16"/>
              </w:rPr>
              <w:t>Area in calendar year (ha)</w:t>
            </w:r>
          </w:p>
        </w:tc>
        <w:tc>
          <w:tcPr>
            <w:tcW w:w="897" w:type="dxa"/>
            <w:shd w:val="clear" w:color="auto" w:fill="FFFFFF"/>
            <w:tcMar>
              <w:top w:w="0" w:type="dxa"/>
              <w:left w:w="85" w:type="dxa"/>
              <w:bottom w:w="0" w:type="dxa"/>
              <w:right w:w="85" w:type="dxa"/>
            </w:tcMar>
            <w:vAlign w:val="bottom"/>
          </w:tcPr>
          <w:p w14:paraId="699C6A36" w14:textId="77777777" w:rsidR="00442E6D" w:rsidRPr="002A40C0" w:rsidRDefault="00442E6D" w:rsidP="00B063F2">
            <w:pPr>
              <w:pStyle w:val="TableText"/>
              <w:jc w:val="right"/>
              <w:rPr>
                <w:rFonts w:cs="Calibri"/>
                <w:szCs w:val="16"/>
              </w:rPr>
            </w:pPr>
            <w:r w:rsidRPr="002A40C0">
              <w:rPr>
                <w:rFonts w:eastAsia="Calibri" w:cs="Calibri"/>
                <w:szCs w:val="16"/>
              </w:rPr>
              <w:t>7,285</w:t>
            </w:r>
          </w:p>
        </w:tc>
        <w:tc>
          <w:tcPr>
            <w:tcW w:w="903" w:type="dxa"/>
            <w:shd w:val="clear" w:color="auto" w:fill="FFFFFF"/>
            <w:tcMar>
              <w:top w:w="0" w:type="dxa"/>
              <w:left w:w="85" w:type="dxa"/>
              <w:bottom w:w="0" w:type="dxa"/>
              <w:right w:w="85" w:type="dxa"/>
            </w:tcMar>
            <w:vAlign w:val="bottom"/>
          </w:tcPr>
          <w:p w14:paraId="30A380F2" w14:textId="77777777" w:rsidR="00442E6D" w:rsidRPr="002A40C0" w:rsidRDefault="00442E6D" w:rsidP="00B063F2">
            <w:pPr>
              <w:pStyle w:val="TableText"/>
              <w:jc w:val="right"/>
              <w:rPr>
                <w:rFonts w:cs="Calibri"/>
                <w:szCs w:val="16"/>
              </w:rPr>
            </w:pPr>
            <w:r w:rsidRPr="002A40C0">
              <w:rPr>
                <w:rFonts w:eastAsia="Calibri" w:cs="Calibri"/>
                <w:szCs w:val="16"/>
              </w:rPr>
              <w:t>5,937</w:t>
            </w:r>
          </w:p>
        </w:tc>
        <w:tc>
          <w:tcPr>
            <w:tcW w:w="907" w:type="dxa"/>
            <w:shd w:val="clear" w:color="auto" w:fill="FFFFFF"/>
            <w:tcMar>
              <w:top w:w="0" w:type="dxa"/>
              <w:left w:w="85" w:type="dxa"/>
              <w:bottom w:w="0" w:type="dxa"/>
              <w:right w:w="85" w:type="dxa"/>
            </w:tcMar>
            <w:vAlign w:val="bottom"/>
          </w:tcPr>
          <w:p w14:paraId="0B96A0E7" w14:textId="77777777" w:rsidR="00442E6D" w:rsidRPr="002A40C0" w:rsidRDefault="00442E6D" w:rsidP="00B063F2">
            <w:pPr>
              <w:pStyle w:val="TableText"/>
              <w:jc w:val="right"/>
              <w:rPr>
                <w:rFonts w:cs="Calibri"/>
                <w:szCs w:val="16"/>
              </w:rPr>
            </w:pPr>
            <w:r w:rsidRPr="002A40C0">
              <w:rPr>
                <w:rFonts w:eastAsia="Calibri" w:cs="Calibri"/>
                <w:szCs w:val="16"/>
              </w:rPr>
              <w:t>5,937</w:t>
            </w:r>
          </w:p>
        </w:tc>
        <w:tc>
          <w:tcPr>
            <w:tcW w:w="902" w:type="dxa"/>
            <w:shd w:val="clear" w:color="auto" w:fill="FFFFFF"/>
            <w:tcMar>
              <w:top w:w="0" w:type="dxa"/>
              <w:left w:w="85" w:type="dxa"/>
              <w:bottom w:w="0" w:type="dxa"/>
              <w:right w:w="85" w:type="dxa"/>
            </w:tcMar>
            <w:vAlign w:val="bottom"/>
          </w:tcPr>
          <w:p w14:paraId="2CA7815B" w14:textId="77777777" w:rsidR="00442E6D" w:rsidRPr="002A40C0" w:rsidRDefault="00442E6D" w:rsidP="00B063F2">
            <w:pPr>
              <w:pStyle w:val="TableText"/>
              <w:jc w:val="right"/>
              <w:rPr>
                <w:rFonts w:cs="Calibri"/>
                <w:szCs w:val="16"/>
              </w:rPr>
            </w:pPr>
            <w:r w:rsidRPr="002A40C0">
              <w:rPr>
                <w:rFonts w:eastAsia="Calibri" w:cs="Calibri"/>
                <w:szCs w:val="16"/>
              </w:rPr>
              <w:t>5,784</w:t>
            </w:r>
          </w:p>
        </w:tc>
        <w:tc>
          <w:tcPr>
            <w:tcW w:w="904" w:type="dxa"/>
            <w:shd w:val="clear" w:color="auto" w:fill="FFFFFF"/>
            <w:tcMar>
              <w:top w:w="0" w:type="dxa"/>
              <w:left w:w="85" w:type="dxa"/>
              <w:bottom w:w="0" w:type="dxa"/>
              <w:right w:w="85" w:type="dxa"/>
            </w:tcMar>
            <w:vAlign w:val="bottom"/>
          </w:tcPr>
          <w:p w14:paraId="311A45D1" w14:textId="77777777" w:rsidR="00442E6D" w:rsidRPr="002A40C0" w:rsidRDefault="00442E6D" w:rsidP="00B063F2">
            <w:pPr>
              <w:pStyle w:val="TableText"/>
              <w:jc w:val="right"/>
              <w:rPr>
                <w:rFonts w:cs="Calibri"/>
                <w:szCs w:val="16"/>
              </w:rPr>
            </w:pPr>
            <w:r w:rsidRPr="002A40C0">
              <w:rPr>
                <w:rFonts w:eastAsia="Calibri" w:cs="Calibri"/>
                <w:szCs w:val="16"/>
              </w:rPr>
              <w:t>8,434</w:t>
            </w:r>
          </w:p>
        </w:tc>
        <w:tc>
          <w:tcPr>
            <w:tcW w:w="904" w:type="dxa"/>
            <w:shd w:val="clear" w:color="auto" w:fill="FFFFFF"/>
            <w:tcMar>
              <w:top w:w="0" w:type="dxa"/>
              <w:left w:w="85" w:type="dxa"/>
              <w:bottom w:w="0" w:type="dxa"/>
              <w:right w:w="85" w:type="dxa"/>
            </w:tcMar>
            <w:vAlign w:val="bottom"/>
          </w:tcPr>
          <w:p w14:paraId="57F540E2" w14:textId="77777777" w:rsidR="00442E6D" w:rsidRPr="002A40C0" w:rsidRDefault="00442E6D" w:rsidP="00B063F2">
            <w:pPr>
              <w:pStyle w:val="TableText"/>
              <w:jc w:val="right"/>
              <w:rPr>
                <w:rFonts w:cs="Calibri"/>
                <w:szCs w:val="16"/>
              </w:rPr>
            </w:pPr>
            <w:r w:rsidRPr="002A40C0">
              <w:rPr>
                <w:rFonts w:eastAsia="Calibri" w:cs="Calibri"/>
                <w:szCs w:val="16"/>
              </w:rPr>
              <w:t>8,779</w:t>
            </w:r>
          </w:p>
        </w:tc>
        <w:tc>
          <w:tcPr>
            <w:tcW w:w="904" w:type="dxa"/>
            <w:shd w:val="clear" w:color="auto" w:fill="FFFFFF"/>
            <w:tcMar>
              <w:top w:w="0" w:type="dxa"/>
              <w:left w:w="85" w:type="dxa"/>
              <w:bottom w:w="0" w:type="dxa"/>
              <w:right w:w="85" w:type="dxa"/>
            </w:tcMar>
            <w:vAlign w:val="bottom"/>
          </w:tcPr>
          <w:p w14:paraId="76C715C2" w14:textId="77777777" w:rsidR="00442E6D" w:rsidRPr="002A40C0" w:rsidRDefault="00442E6D" w:rsidP="00B063F2">
            <w:pPr>
              <w:pStyle w:val="TableText"/>
              <w:jc w:val="right"/>
              <w:rPr>
                <w:rFonts w:cs="Calibri"/>
                <w:szCs w:val="16"/>
              </w:rPr>
            </w:pPr>
            <w:r w:rsidRPr="002A40C0">
              <w:rPr>
                <w:rFonts w:eastAsia="Calibri" w:cs="Calibri"/>
                <w:szCs w:val="16"/>
              </w:rPr>
              <w:t>27,070</w:t>
            </w:r>
          </w:p>
        </w:tc>
        <w:tc>
          <w:tcPr>
            <w:tcW w:w="907" w:type="dxa"/>
            <w:shd w:val="clear" w:color="auto" w:fill="FFFFFF"/>
            <w:tcMar>
              <w:top w:w="0" w:type="dxa"/>
              <w:left w:w="85" w:type="dxa"/>
              <w:bottom w:w="0" w:type="dxa"/>
              <w:right w:w="85" w:type="dxa"/>
            </w:tcMar>
            <w:vAlign w:val="bottom"/>
          </w:tcPr>
          <w:p w14:paraId="4E9AB6C0" w14:textId="77777777" w:rsidR="00442E6D" w:rsidRPr="002A40C0" w:rsidRDefault="00442E6D" w:rsidP="00B063F2">
            <w:pPr>
              <w:pStyle w:val="TableText"/>
              <w:jc w:val="right"/>
              <w:rPr>
                <w:rFonts w:cs="Calibri"/>
                <w:szCs w:val="16"/>
              </w:rPr>
            </w:pPr>
            <w:r w:rsidRPr="002A40C0">
              <w:rPr>
                <w:rFonts w:eastAsia="Calibri" w:cs="Calibri"/>
                <w:szCs w:val="16"/>
              </w:rPr>
              <w:t>40,887</w:t>
            </w:r>
          </w:p>
        </w:tc>
      </w:tr>
      <w:tr w:rsidR="00442E6D" w:rsidRPr="002A40C0" w14:paraId="03358651" w14:textId="77777777" w:rsidTr="00B5164F">
        <w:trPr>
          <w:cantSplit/>
        </w:trPr>
        <w:tc>
          <w:tcPr>
            <w:tcW w:w="1304" w:type="dxa"/>
            <w:gridSpan w:val="9"/>
            <w:shd w:val="clear" w:color="auto" w:fill="1B556B"/>
            <w:tcMar>
              <w:top w:w="0" w:type="dxa"/>
              <w:left w:w="85" w:type="dxa"/>
              <w:bottom w:w="0" w:type="dxa"/>
              <w:right w:w="85" w:type="dxa"/>
            </w:tcMar>
            <w:vAlign w:val="bottom"/>
          </w:tcPr>
          <w:p w14:paraId="620C0C02" w14:textId="77777777" w:rsidR="00442E6D" w:rsidRPr="002A40C0" w:rsidRDefault="00442E6D" w:rsidP="00B063F2">
            <w:pPr>
              <w:pStyle w:val="TableText"/>
              <w:rPr>
                <w:rFonts w:cs="Calibri"/>
                <w:szCs w:val="16"/>
              </w:rPr>
            </w:pPr>
            <w:r w:rsidRPr="002A40C0">
              <w:rPr>
                <w:rFonts w:eastAsia="Calibri" w:cs="Calibri"/>
                <w:b/>
                <w:color w:val="FFFFFF"/>
                <w:szCs w:val="16"/>
              </w:rPr>
              <w:t>Deforestation</w:t>
            </w:r>
          </w:p>
        </w:tc>
      </w:tr>
      <w:tr w:rsidR="00442E6D" w:rsidRPr="002A40C0" w14:paraId="51713D02" w14:textId="77777777" w:rsidTr="00B5164F">
        <w:trPr>
          <w:cantSplit/>
        </w:trPr>
        <w:tc>
          <w:tcPr>
            <w:tcW w:w="1304" w:type="dxa"/>
            <w:shd w:val="clear" w:color="auto" w:fill="FFFFFF"/>
            <w:tcMar>
              <w:top w:w="0" w:type="dxa"/>
              <w:left w:w="85" w:type="dxa"/>
              <w:bottom w:w="0" w:type="dxa"/>
              <w:right w:w="85" w:type="dxa"/>
            </w:tcMar>
            <w:vAlign w:val="bottom"/>
          </w:tcPr>
          <w:p w14:paraId="376E7FE2" w14:textId="77777777" w:rsidR="00442E6D" w:rsidRPr="002A40C0" w:rsidRDefault="00442E6D" w:rsidP="00B063F2">
            <w:pPr>
              <w:pStyle w:val="TableText"/>
              <w:rPr>
                <w:rFonts w:cs="Calibri"/>
                <w:szCs w:val="16"/>
              </w:rPr>
            </w:pPr>
            <w:r w:rsidRPr="002A40C0">
              <w:rPr>
                <w:rFonts w:eastAsia="Calibri" w:cs="Calibri"/>
                <w:szCs w:val="16"/>
              </w:rPr>
              <w:t>Net cumulative area since 1990 (ha)</w:t>
            </w:r>
          </w:p>
        </w:tc>
        <w:tc>
          <w:tcPr>
            <w:tcW w:w="897" w:type="dxa"/>
            <w:shd w:val="clear" w:color="auto" w:fill="FFFFFF"/>
            <w:tcMar>
              <w:top w:w="0" w:type="dxa"/>
              <w:left w:w="85" w:type="dxa"/>
              <w:bottom w:w="0" w:type="dxa"/>
              <w:right w:w="85" w:type="dxa"/>
            </w:tcMar>
            <w:vAlign w:val="bottom"/>
          </w:tcPr>
          <w:p w14:paraId="252CCC42" w14:textId="77777777" w:rsidR="00442E6D" w:rsidRPr="002A40C0" w:rsidRDefault="00442E6D" w:rsidP="00B063F2">
            <w:pPr>
              <w:pStyle w:val="TableText"/>
              <w:jc w:val="right"/>
              <w:rPr>
                <w:rFonts w:cs="Calibri"/>
                <w:szCs w:val="16"/>
              </w:rPr>
            </w:pPr>
            <w:r w:rsidRPr="002A40C0">
              <w:rPr>
                <w:rFonts w:eastAsia="Calibri" w:cs="Calibri"/>
                <w:szCs w:val="16"/>
              </w:rPr>
              <w:t>172,456</w:t>
            </w:r>
          </w:p>
        </w:tc>
        <w:tc>
          <w:tcPr>
            <w:tcW w:w="903" w:type="dxa"/>
            <w:shd w:val="clear" w:color="auto" w:fill="FFFFFF"/>
            <w:tcMar>
              <w:top w:w="0" w:type="dxa"/>
              <w:left w:w="85" w:type="dxa"/>
              <w:bottom w:w="0" w:type="dxa"/>
              <w:right w:w="85" w:type="dxa"/>
            </w:tcMar>
            <w:vAlign w:val="bottom"/>
          </w:tcPr>
          <w:p w14:paraId="42A4D193" w14:textId="77777777" w:rsidR="00442E6D" w:rsidRPr="002A40C0" w:rsidRDefault="00442E6D" w:rsidP="00B063F2">
            <w:pPr>
              <w:pStyle w:val="TableText"/>
              <w:jc w:val="right"/>
              <w:rPr>
                <w:rFonts w:cs="Calibri"/>
                <w:szCs w:val="16"/>
              </w:rPr>
            </w:pPr>
            <w:r w:rsidRPr="002A40C0">
              <w:rPr>
                <w:rFonts w:eastAsia="Calibri" w:cs="Calibri"/>
                <w:szCs w:val="16"/>
              </w:rPr>
              <w:t>182,963</w:t>
            </w:r>
          </w:p>
        </w:tc>
        <w:tc>
          <w:tcPr>
            <w:tcW w:w="907" w:type="dxa"/>
            <w:shd w:val="clear" w:color="auto" w:fill="FFFFFF"/>
            <w:tcMar>
              <w:top w:w="0" w:type="dxa"/>
              <w:left w:w="85" w:type="dxa"/>
              <w:bottom w:w="0" w:type="dxa"/>
              <w:right w:w="85" w:type="dxa"/>
            </w:tcMar>
            <w:vAlign w:val="bottom"/>
          </w:tcPr>
          <w:p w14:paraId="4808C6D3" w14:textId="77777777" w:rsidR="00442E6D" w:rsidRPr="002A40C0" w:rsidRDefault="00442E6D" w:rsidP="00B063F2">
            <w:pPr>
              <w:pStyle w:val="TableText"/>
              <w:jc w:val="right"/>
              <w:rPr>
                <w:rFonts w:cs="Calibri"/>
                <w:szCs w:val="16"/>
              </w:rPr>
            </w:pPr>
            <w:r w:rsidRPr="002A40C0">
              <w:rPr>
                <w:rFonts w:eastAsia="Calibri" w:cs="Calibri"/>
                <w:szCs w:val="16"/>
              </w:rPr>
              <w:t>190,942</w:t>
            </w:r>
          </w:p>
        </w:tc>
        <w:tc>
          <w:tcPr>
            <w:tcW w:w="902" w:type="dxa"/>
            <w:shd w:val="clear" w:color="auto" w:fill="FFFFFF"/>
            <w:tcMar>
              <w:top w:w="0" w:type="dxa"/>
              <w:left w:w="85" w:type="dxa"/>
              <w:bottom w:w="0" w:type="dxa"/>
              <w:right w:w="85" w:type="dxa"/>
            </w:tcMar>
            <w:vAlign w:val="bottom"/>
          </w:tcPr>
          <w:p w14:paraId="13C05F00" w14:textId="77777777" w:rsidR="00442E6D" w:rsidRPr="002A40C0" w:rsidRDefault="00442E6D" w:rsidP="00B063F2">
            <w:pPr>
              <w:pStyle w:val="TableText"/>
              <w:jc w:val="right"/>
              <w:rPr>
                <w:rFonts w:cs="Calibri"/>
                <w:szCs w:val="16"/>
              </w:rPr>
            </w:pPr>
            <w:r w:rsidRPr="002A40C0">
              <w:rPr>
                <w:rFonts w:eastAsia="Calibri" w:cs="Calibri"/>
                <w:szCs w:val="16"/>
              </w:rPr>
              <w:t>198,104</w:t>
            </w:r>
          </w:p>
        </w:tc>
        <w:tc>
          <w:tcPr>
            <w:tcW w:w="904" w:type="dxa"/>
            <w:shd w:val="clear" w:color="auto" w:fill="FFFFFF"/>
            <w:tcMar>
              <w:top w:w="0" w:type="dxa"/>
              <w:left w:w="85" w:type="dxa"/>
              <w:bottom w:w="0" w:type="dxa"/>
              <w:right w:w="85" w:type="dxa"/>
            </w:tcMar>
            <w:vAlign w:val="bottom"/>
          </w:tcPr>
          <w:p w14:paraId="56094E60" w14:textId="77777777" w:rsidR="00442E6D" w:rsidRPr="002A40C0" w:rsidRDefault="00442E6D" w:rsidP="00B063F2">
            <w:pPr>
              <w:pStyle w:val="TableText"/>
              <w:jc w:val="right"/>
              <w:rPr>
                <w:rFonts w:cs="Calibri"/>
                <w:szCs w:val="16"/>
              </w:rPr>
            </w:pPr>
            <w:r w:rsidRPr="002A40C0">
              <w:rPr>
                <w:rFonts w:eastAsia="Calibri" w:cs="Calibri"/>
                <w:szCs w:val="16"/>
              </w:rPr>
              <w:t>203,048</w:t>
            </w:r>
          </w:p>
        </w:tc>
        <w:tc>
          <w:tcPr>
            <w:tcW w:w="904" w:type="dxa"/>
            <w:shd w:val="clear" w:color="auto" w:fill="FFFFFF"/>
            <w:tcMar>
              <w:top w:w="0" w:type="dxa"/>
              <w:left w:w="85" w:type="dxa"/>
              <w:bottom w:w="0" w:type="dxa"/>
              <w:right w:w="85" w:type="dxa"/>
            </w:tcMar>
            <w:vAlign w:val="bottom"/>
          </w:tcPr>
          <w:p w14:paraId="3E10AEBD" w14:textId="77777777" w:rsidR="00442E6D" w:rsidRPr="002A40C0" w:rsidRDefault="00442E6D" w:rsidP="00B063F2">
            <w:pPr>
              <w:pStyle w:val="TableText"/>
              <w:jc w:val="right"/>
              <w:rPr>
                <w:rFonts w:cs="Calibri"/>
                <w:szCs w:val="16"/>
              </w:rPr>
            </w:pPr>
            <w:r w:rsidRPr="002A40C0">
              <w:rPr>
                <w:rFonts w:eastAsia="Calibri" w:cs="Calibri"/>
                <w:szCs w:val="16"/>
              </w:rPr>
              <w:t>206,874</w:t>
            </w:r>
          </w:p>
        </w:tc>
        <w:tc>
          <w:tcPr>
            <w:tcW w:w="904" w:type="dxa"/>
            <w:shd w:val="clear" w:color="auto" w:fill="FFFFFF"/>
            <w:tcMar>
              <w:top w:w="0" w:type="dxa"/>
              <w:left w:w="85" w:type="dxa"/>
              <w:bottom w:w="0" w:type="dxa"/>
              <w:right w:w="85" w:type="dxa"/>
            </w:tcMar>
            <w:vAlign w:val="bottom"/>
          </w:tcPr>
          <w:p w14:paraId="210C57C9" w14:textId="77777777" w:rsidR="00442E6D" w:rsidRPr="002A40C0" w:rsidRDefault="00442E6D" w:rsidP="00B063F2">
            <w:pPr>
              <w:pStyle w:val="TableText"/>
              <w:jc w:val="right"/>
              <w:rPr>
                <w:rFonts w:cs="Calibri"/>
                <w:szCs w:val="16"/>
              </w:rPr>
            </w:pPr>
            <w:r w:rsidRPr="002A40C0">
              <w:rPr>
                <w:rFonts w:eastAsia="Calibri" w:cs="Calibri"/>
                <w:szCs w:val="16"/>
              </w:rPr>
              <w:t>211,633</w:t>
            </w:r>
          </w:p>
        </w:tc>
        <w:tc>
          <w:tcPr>
            <w:tcW w:w="907" w:type="dxa"/>
            <w:shd w:val="clear" w:color="auto" w:fill="FFFFFF"/>
            <w:tcMar>
              <w:top w:w="0" w:type="dxa"/>
              <w:left w:w="85" w:type="dxa"/>
              <w:bottom w:w="0" w:type="dxa"/>
              <w:right w:w="85" w:type="dxa"/>
            </w:tcMar>
            <w:vAlign w:val="bottom"/>
          </w:tcPr>
          <w:p w14:paraId="71908CAA" w14:textId="77777777" w:rsidR="00442E6D" w:rsidRPr="002A40C0" w:rsidRDefault="00442E6D" w:rsidP="00B063F2">
            <w:pPr>
              <w:pStyle w:val="TableText"/>
              <w:jc w:val="right"/>
              <w:rPr>
                <w:rFonts w:cs="Calibri"/>
                <w:szCs w:val="16"/>
              </w:rPr>
            </w:pPr>
            <w:r w:rsidRPr="002A40C0">
              <w:rPr>
                <w:rFonts w:eastAsia="Calibri" w:cs="Calibri"/>
                <w:szCs w:val="16"/>
              </w:rPr>
              <w:t>214,077</w:t>
            </w:r>
          </w:p>
        </w:tc>
      </w:tr>
      <w:tr w:rsidR="00442E6D" w:rsidRPr="002A40C0" w14:paraId="1B793D8C" w14:textId="77777777" w:rsidTr="00B5164F">
        <w:trPr>
          <w:cantSplit/>
        </w:trPr>
        <w:tc>
          <w:tcPr>
            <w:tcW w:w="1304" w:type="dxa"/>
            <w:shd w:val="clear" w:color="auto" w:fill="FFFFFF"/>
            <w:tcMar>
              <w:top w:w="0" w:type="dxa"/>
              <w:left w:w="85" w:type="dxa"/>
              <w:bottom w:w="0" w:type="dxa"/>
              <w:right w:w="85" w:type="dxa"/>
            </w:tcMar>
            <w:vAlign w:val="bottom"/>
          </w:tcPr>
          <w:p w14:paraId="003E5B42" w14:textId="77777777" w:rsidR="00442E6D" w:rsidRPr="002A40C0" w:rsidRDefault="00442E6D" w:rsidP="00B063F2">
            <w:pPr>
              <w:pStyle w:val="TableText"/>
              <w:rPr>
                <w:rFonts w:cs="Calibri"/>
                <w:szCs w:val="16"/>
              </w:rPr>
            </w:pPr>
            <w:r w:rsidRPr="002A40C0">
              <w:rPr>
                <w:rFonts w:eastAsia="Calibri" w:cs="Calibri"/>
                <w:szCs w:val="16"/>
              </w:rPr>
              <w:t>Area in calendar year (ha)</w:t>
            </w:r>
          </w:p>
        </w:tc>
        <w:tc>
          <w:tcPr>
            <w:tcW w:w="897" w:type="dxa"/>
            <w:shd w:val="clear" w:color="auto" w:fill="FFFFFF"/>
            <w:tcMar>
              <w:top w:w="0" w:type="dxa"/>
              <w:left w:w="85" w:type="dxa"/>
              <w:bottom w:w="0" w:type="dxa"/>
              <w:right w:w="85" w:type="dxa"/>
            </w:tcMar>
            <w:vAlign w:val="bottom"/>
          </w:tcPr>
          <w:p w14:paraId="733FAB2C" w14:textId="77777777" w:rsidR="00442E6D" w:rsidRPr="002A40C0" w:rsidRDefault="00442E6D" w:rsidP="00B063F2">
            <w:pPr>
              <w:pStyle w:val="TableText"/>
              <w:jc w:val="right"/>
              <w:rPr>
                <w:rFonts w:cs="Calibri"/>
                <w:szCs w:val="16"/>
              </w:rPr>
            </w:pPr>
            <w:r w:rsidRPr="002A40C0">
              <w:rPr>
                <w:rFonts w:eastAsia="Calibri" w:cs="Calibri"/>
                <w:szCs w:val="16"/>
              </w:rPr>
              <w:t>13,897</w:t>
            </w:r>
          </w:p>
        </w:tc>
        <w:tc>
          <w:tcPr>
            <w:tcW w:w="903" w:type="dxa"/>
            <w:shd w:val="clear" w:color="auto" w:fill="FFFFFF"/>
            <w:tcMar>
              <w:top w:w="0" w:type="dxa"/>
              <w:left w:w="85" w:type="dxa"/>
              <w:bottom w:w="0" w:type="dxa"/>
              <w:right w:w="85" w:type="dxa"/>
            </w:tcMar>
            <w:vAlign w:val="bottom"/>
          </w:tcPr>
          <w:p w14:paraId="6C9699AA" w14:textId="77777777" w:rsidR="00442E6D" w:rsidRPr="002A40C0" w:rsidRDefault="00442E6D" w:rsidP="00B063F2">
            <w:pPr>
              <w:pStyle w:val="TableText"/>
              <w:jc w:val="right"/>
              <w:rPr>
                <w:rFonts w:cs="Calibri"/>
                <w:szCs w:val="16"/>
              </w:rPr>
            </w:pPr>
            <w:r w:rsidRPr="002A40C0">
              <w:rPr>
                <w:rFonts w:eastAsia="Calibri" w:cs="Calibri"/>
                <w:szCs w:val="16"/>
              </w:rPr>
              <w:t>10,507</w:t>
            </w:r>
          </w:p>
        </w:tc>
        <w:tc>
          <w:tcPr>
            <w:tcW w:w="907" w:type="dxa"/>
            <w:shd w:val="clear" w:color="auto" w:fill="FFFFFF"/>
            <w:tcMar>
              <w:top w:w="0" w:type="dxa"/>
              <w:left w:w="85" w:type="dxa"/>
              <w:bottom w:w="0" w:type="dxa"/>
              <w:right w:w="85" w:type="dxa"/>
            </w:tcMar>
            <w:vAlign w:val="bottom"/>
          </w:tcPr>
          <w:p w14:paraId="6891FF86" w14:textId="77777777" w:rsidR="00442E6D" w:rsidRPr="002A40C0" w:rsidRDefault="00442E6D" w:rsidP="00B063F2">
            <w:pPr>
              <w:pStyle w:val="TableText"/>
              <w:jc w:val="right"/>
              <w:rPr>
                <w:rFonts w:cs="Calibri"/>
                <w:szCs w:val="16"/>
              </w:rPr>
            </w:pPr>
            <w:r w:rsidRPr="002A40C0">
              <w:rPr>
                <w:rFonts w:eastAsia="Calibri" w:cs="Calibri"/>
                <w:szCs w:val="16"/>
              </w:rPr>
              <w:t>7,980</w:t>
            </w:r>
          </w:p>
        </w:tc>
        <w:tc>
          <w:tcPr>
            <w:tcW w:w="902" w:type="dxa"/>
            <w:shd w:val="clear" w:color="auto" w:fill="FFFFFF"/>
            <w:tcMar>
              <w:top w:w="0" w:type="dxa"/>
              <w:left w:w="85" w:type="dxa"/>
              <w:bottom w:w="0" w:type="dxa"/>
              <w:right w:w="85" w:type="dxa"/>
            </w:tcMar>
            <w:vAlign w:val="bottom"/>
          </w:tcPr>
          <w:p w14:paraId="44049FC1" w14:textId="77777777" w:rsidR="00442E6D" w:rsidRPr="002A40C0" w:rsidRDefault="00442E6D" w:rsidP="00B063F2">
            <w:pPr>
              <w:pStyle w:val="TableText"/>
              <w:jc w:val="right"/>
              <w:rPr>
                <w:rFonts w:eastAsia="Calibri" w:cs="Calibri"/>
                <w:szCs w:val="16"/>
              </w:rPr>
            </w:pPr>
            <w:r w:rsidRPr="002A40C0">
              <w:rPr>
                <w:rFonts w:eastAsia="Calibri" w:cs="Calibri"/>
                <w:szCs w:val="16"/>
              </w:rPr>
              <w:t>7,162</w:t>
            </w:r>
          </w:p>
        </w:tc>
        <w:tc>
          <w:tcPr>
            <w:tcW w:w="904" w:type="dxa"/>
            <w:shd w:val="clear" w:color="auto" w:fill="FFFFFF"/>
            <w:tcMar>
              <w:top w:w="0" w:type="dxa"/>
              <w:left w:w="85" w:type="dxa"/>
              <w:bottom w:w="0" w:type="dxa"/>
              <w:right w:w="85" w:type="dxa"/>
            </w:tcMar>
            <w:vAlign w:val="bottom"/>
          </w:tcPr>
          <w:p w14:paraId="0071946C" w14:textId="77777777" w:rsidR="00442E6D" w:rsidRPr="002A40C0" w:rsidRDefault="00442E6D" w:rsidP="00B063F2">
            <w:pPr>
              <w:pStyle w:val="TableText"/>
              <w:jc w:val="right"/>
              <w:rPr>
                <w:rFonts w:eastAsia="Calibri" w:cs="Calibri"/>
                <w:szCs w:val="16"/>
              </w:rPr>
            </w:pPr>
            <w:r w:rsidRPr="002A40C0">
              <w:rPr>
                <w:rFonts w:eastAsia="Calibri" w:cs="Calibri"/>
                <w:szCs w:val="16"/>
              </w:rPr>
              <w:t>4,944</w:t>
            </w:r>
          </w:p>
        </w:tc>
        <w:tc>
          <w:tcPr>
            <w:tcW w:w="904" w:type="dxa"/>
            <w:shd w:val="clear" w:color="auto" w:fill="FFFFFF"/>
            <w:tcMar>
              <w:top w:w="0" w:type="dxa"/>
              <w:left w:w="85" w:type="dxa"/>
              <w:bottom w:w="0" w:type="dxa"/>
              <w:right w:w="85" w:type="dxa"/>
            </w:tcMar>
            <w:vAlign w:val="bottom"/>
          </w:tcPr>
          <w:p w14:paraId="20579687" w14:textId="77777777" w:rsidR="00442E6D" w:rsidRPr="002A40C0" w:rsidRDefault="00442E6D" w:rsidP="00B063F2">
            <w:pPr>
              <w:pStyle w:val="TableText"/>
              <w:jc w:val="right"/>
              <w:rPr>
                <w:rFonts w:eastAsia="Calibri" w:cs="Calibri"/>
                <w:szCs w:val="16"/>
              </w:rPr>
            </w:pPr>
            <w:r w:rsidRPr="002A40C0">
              <w:rPr>
                <w:rFonts w:eastAsia="Calibri" w:cs="Calibri"/>
                <w:szCs w:val="16"/>
              </w:rPr>
              <w:t>3,826</w:t>
            </w:r>
          </w:p>
        </w:tc>
        <w:tc>
          <w:tcPr>
            <w:tcW w:w="904" w:type="dxa"/>
            <w:shd w:val="clear" w:color="auto" w:fill="FFFFFF"/>
            <w:tcMar>
              <w:top w:w="0" w:type="dxa"/>
              <w:left w:w="85" w:type="dxa"/>
              <w:bottom w:w="0" w:type="dxa"/>
              <w:right w:w="85" w:type="dxa"/>
            </w:tcMar>
            <w:vAlign w:val="bottom"/>
          </w:tcPr>
          <w:p w14:paraId="5B3681B9" w14:textId="77777777" w:rsidR="00442E6D" w:rsidRPr="002A40C0" w:rsidRDefault="00442E6D" w:rsidP="00B063F2">
            <w:pPr>
              <w:pStyle w:val="TableText"/>
              <w:jc w:val="right"/>
              <w:rPr>
                <w:rFonts w:eastAsia="Calibri" w:cs="Calibri"/>
                <w:szCs w:val="16"/>
              </w:rPr>
            </w:pPr>
            <w:r w:rsidRPr="002A40C0">
              <w:rPr>
                <w:rFonts w:eastAsia="Calibri" w:cs="Calibri"/>
                <w:szCs w:val="16"/>
              </w:rPr>
              <w:t>4,759</w:t>
            </w:r>
          </w:p>
        </w:tc>
        <w:tc>
          <w:tcPr>
            <w:tcW w:w="907" w:type="dxa"/>
            <w:shd w:val="clear" w:color="auto" w:fill="FFFFFF"/>
            <w:tcMar>
              <w:top w:w="0" w:type="dxa"/>
              <w:left w:w="85" w:type="dxa"/>
              <w:bottom w:w="0" w:type="dxa"/>
              <w:right w:w="85" w:type="dxa"/>
            </w:tcMar>
            <w:vAlign w:val="bottom"/>
          </w:tcPr>
          <w:p w14:paraId="551B82E4" w14:textId="77777777" w:rsidR="00442E6D" w:rsidRPr="002A40C0" w:rsidRDefault="00442E6D" w:rsidP="00B063F2">
            <w:pPr>
              <w:pStyle w:val="TableText"/>
              <w:jc w:val="right"/>
              <w:rPr>
                <w:rFonts w:eastAsia="Calibri" w:cs="Calibri"/>
                <w:szCs w:val="16"/>
              </w:rPr>
            </w:pPr>
            <w:r w:rsidRPr="002A40C0">
              <w:rPr>
                <w:rFonts w:eastAsia="Calibri" w:cs="Calibri"/>
                <w:szCs w:val="16"/>
              </w:rPr>
              <w:t>2,443</w:t>
            </w:r>
          </w:p>
        </w:tc>
      </w:tr>
      <w:tr w:rsidR="00442E6D" w:rsidRPr="00442E6D" w14:paraId="0DBFCBC7" w14:textId="77777777" w:rsidTr="00B5164F">
        <w:trPr>
          <w:cantSplit/>
        </w:trPr>
        <w:tc>
          <w:tcPr>
            <w:tcW w:w="1304" w:type="dxa"/>
            <w:gridSpan w:val="9"/>
            <w:shd w:val="clear" w:color="auto" w:fill="1B556B"/>
            <w:tcMar>
              <w:top w:w="0" w:type="dxa"/>
              <w:left w:w="85" w:type="dxa"/>
              <w:bottom w:w="0" w:type="dxa"/>
              <w:right w:w="85" w:type="dxa"/>
            </w:tcMar>
            <w:vAlign w:val="bottom"/>
          </w:tcPr>
          <w:p w14:paraId="153AD9BC" w14:textId="77777777" w:rsidR="00442E6D" w:rsidRPr="00442E6D" w:rsidRDefault="00442E6D" w:rsidP="00B063F2">
            <w:pPr>
              <w:pStyle w:val="TableTextBold"/>
              <w:rPr>
                <w:rFonts w:cs="Calibri"/>
                <w:noProof w:val="0"/>
                <w:color w:val="FFFFFF"/>
                <w:szCs w:val="16"/>
              </w:rPr>
            </w:pPr>
            <w:r w:rsidRPr="00442E6D">
              <w:rPr>
                <w:rFonts w:eastAsia="Calibri" w:cs="Calibri"/>
                <w:noProof w:val="0"/>
                <w:color w:val="FFFFFF"/>
                <w:szCs w:val="16"/>
              </w:rPr>
              <w:t>Forest management</w:t>
            </w:r>
          </w:p>
        </w:tc>
      </w:tr>
      <w:tr w:rsidR="00442E6D" w:rsidRPr="002A40C0" w14:paraId="61A0F64D" w14:textId="77777777" w:rsidTr="00B5164F">
        <w:trPr>
          <w:cantSplit/>
        </w:trPr>
        <w:tc>
          <w:tcPr>
            <w:tcW w:w="1304" w:type="dxa"/>
            <w:shd w:val="clear" w:color="auto" w:fill="FFFFFF"/>
            <w:tcMar>
              <w:top w:w="0" w:type="dxa"/>
              <w:left w:w="85" w:type="dxa"/>
              <w:bottom w:w="0" w:type="dxa"/>
              <w:right w:w="85" w:type="dxa"/>
            </w:tcMar>
            <w:vAlign w:val="bottom"/>
          </w:tcPr>
          <w:p w14:paraId="11F959E7" w14:textId="77777777" w:rsidR="00442E6D" w:rsidRPr="002A40C0" w:rsidRDefault="00442E6D" w:rsidP="00B063F2">
            <w:pPr>
              <w:pStyle w:val="TableText"/>
              <w:rPr>
                <w:rFonts w:cs="Calibri"/>
                <w:szCs w:val="16"/>
              </w:rPr>
            </w:pPr>
            <w:r w:rsidRPr="002A40C0">
              <w:rPr>
                <w:rFonts w:eastAsia="Calibri" w:cs="Calibri"/>
                <w:szCs w:val="16"/>
              </w:rPr>
              <w:t>Net cumulative area since 1990 (ha)</w:t>
            </w:r>
          </w:p>
        </w:tc>
        <w:tc>
          <w:tcPr>
            <w:tcW w:w="897" w:type="dxa"/>
            <w:shd w:val="clear" w:color="auto" w:fill="FFFFFF"/>
            <w:tcMar>
              <w:top w:w="0" w:type="dxa"/>
              <w:left w:w="85" w:type="dxa"/>
              <w:bottom w:w="0" w:type="dxa"/>
              <w:right w:w="85" w:type="dxa"/>
            </w:tcMar>
            <w:vAlign w:val="bottom"/>
          </w:tcPr>
          <w:p w14:paraId="25FAA6C5" w14:textId="77777777" w:rsidR="00442E6D" w:rsidRPr="002A40C0" w:rsidRDefault="00442E6D" w:rsidP="00B063F2">
            <w:pPr>
              <w:pStyle w:val="TableText"/>
              <w:jc w:val="right"/>
              <w:rPr>
                <w:rFonts w:cs="Calibri"/>
                <w:szCs w:val="16"/>
              </w:rPr>
            </w:pPr>
            <w:r w:rsidRPr="002A40C0">
              <w:rPr>
                <w:rFonts w:eastAsia="Calibri" w:cs="Calibri"/>
                <w:szCs w:val="16"/>
              </w:rPr>
              <w:t>9,220,386</w:t>
            </w:r>
          </w:p>
        </w:tc>
        <w:tc>
          <w:tcPr>
            <w:tcW w:w="903" w:type="dxa"/>
            <w:shd w:val="clear" w:color="auto" w:fill="FFFFFF"/>
            <w:tcMar>
              <w:top w:w="0" w:type="dxa"/>
              <w:left w:w="85" w:type="dxa"/>
              <w:bottom w:w="0" w:type="dxa"/>
              <w:right w:w="85" w:type="dxa"/>
            </w:tcMar>
            <w:vAlign w:val="bottom"/>
          </w:tcPr>
          <w:p w14:paraId="1BDCA1B8" w14:textId="77777777" w:rsidR="00442E6D" w:rsidRPr="002A40C0" w:rsidRDefault="00442E6D" w:rsidP="00B063F2">
            <w:pPr>
              <w:pStyle w:val="TableText"/>
              <w:jc w:val="right"/>
              <w:rPr>
                <w:rFonts w:cs="Calibri"/>
                <w:szCs w:val="16"/>
              </w:rPr>
            </w:pPr>
            <w:r w:rsidRPr="002A40C0">
              <w:rPr>
                <w:rFonts w:eastAsia="Calibri" w:cs="Calibri"/>
                <w:szCs w:val="16"/>
              </w:rPr>
              <w:t>9,212,857</w:t>
            </w:r>
          </w:p>
        </w:tc>
        <w:tc>
          <w:tcPr>
            <w:tcW w:w="907" w:type="dxa"/>
            <w:shd w:val="clear" w:color="auto" w:fill="FFFFFF"/>
            <w:tcMar>
              <w:top w:w="0" w:type="dxa"/>
              <w:left w:w="85" w:type="dxa"/>
              <w:bottom w:w="0" w:type="dxa"/>
              <w:right w:w="85" w:type="dxa"/>
            </w:tcMar>
            <w:vAlign w:val="bottom"/>
          </w:tcPr>
          <w:p w14:paraId="7A34D4A0" w14:textId="77777777" w:rsidR="00442E6D" w:rsidRPr="002A40C0" w:rsidRDefault="00442E6D" w:rsidP="00B063F2">
            <w:pPr>
              <w:pStyle w:val="TableText"/>
              <w:jc w:val="right"/>
              <w:rPr>
                <w:rFonts w:cs="Calibri"/>
                <w:szCs w:val="16"/>
              </w:rPr>
            </w:pPr>
            <w:r w:rsidRPr="002A40C0">
              <w:rPr>
                <w:rFonts w:eastAsia="Calibri" w:cs="Calibri"/>
                <w:szCs w:val="16"/>
              </w:rPr>
              <w:t>9,207,401</w:t>
            </w:r>
          </w:p>
        </w:tc>
        <w:tc>
          <w:tcPr>
            <w:tcW w:w="902" w:type="dxa"/>
            <w:shd w:val="clear" w:color="auto" w:fill="FFFFFF"/>
            <w:tcMar>
              <w:top w:w="0" w:type="dxa"/>
              <w:left w:w="85" w:type="dxa"/>
              <w:bottom w:w="0" w:type="dxa"/>
              <w:right w:w="85" w:type="dxa"/>
            </w:tcMar>
            <w:vAlign w:val="bottom"/>
          </w:tcPr>
          <w:p w14:paraId="57CDF496" w14:textId="77777777" w:rsidR="00442E6D" w:rsidRPr="002A40C0" w:rsidRDefault="00442E6D" w:rsidP="00B063F2">
            <w:pPr>
              <w:pStyle w:val="TableText"/>
              <w:jc w:val="right"/>
              <w:rPr>
                <w:rFonts w:cs="Calibri"/>
                <w:szCs w:val="16"/>
              </w:rPr>
            </w:pPr>
            <w:r w:rsidRPr="002A40C0">
              <w:rPr>
                <w:rFonts w:eastAsia="Calibri" w:cs="Calibri"/>
                <w:szCs w:val="16"/>
              </w:rPr>
              <w:t>9,203,943</w:t>
            </w:r>
          </w:p>
        </w:tc>
        <w:tc>
          <w:tcPr>
            <w:tcW w:w="904" w:type="dxa"/>
            <w:shd w:val="clear" w:color="auto" w:fill="FFFFFF"/>
            <w:tcMar>
              <w:top w:w="0" w:type="dxa"/>
              <w:left w:w="85" w:type="dxa"/>
              <w:bottom w:w="0" w:type="dxa"/>
              <w:right w:w="85" w:type="dxa"/>
            </w:tcMar>
            <w:vAlign w:val="bottom"/>
          </w:tcPr>
          <w:p w14:paraId="132CFF14" w14:textId="77777777" w:rsidR="00442E6D" w:rsidRPr="002A40C0" w:rsidRDefault="00442E6D" w:rsidP="00B063F2">
            <w:pPr>
              <w:pStyle w:val="TableText"/>
              <w:jc w:val="right"/>
              <w:rPr>
                <w:rFonts w:cs="Calibri"/>
                <w:szCs w:val="16"/>
              </w:rPr>
            </w:pPr>
            <w:r w:rsidRPr="002A40C0">
              <w:rPr>
                <w:rFonts w:eastAsia="Calibri" w:cs="Calibri"/>
                <w:szCs w:val="16"/>
              </w:rPr>
              <w:t>9,203,689</w:t>
            </w:r>
          </w:p>
        </w:tc>
        <w:tc>
          <w:tcPr>
            <w:tcW w:w="904" w:type="dxa"/>
            <w:shd w:val="clear" w:color="auto" w:fill="FFFFFF"/>
            <w:tcMar>
              <w:top w:w="0" w:type="dxa"/>
              <w:left w:w="85" w:type="dxa"/>
              <w:bottom w:w="0" w:type="dxa"/>
              <w:right w:w="85" w:type="dxa"/>
            </w:tcMar>
            <w:vAlign w:val="bottom"/>
          </w:tcPr>
          <w:p w14:paraId="40425AE9" w14:textId="77777777" w:rsidR="00442E6D" w:rsidRPr="002A40C0" w:rsidRDefault="00442E6D" w:rsidP="00B063F2">
            <w:pPr>
              <w:pStyle w:val="TableText"/>
              <w:jc w:val="right"/>
              <w:rPr>
                <w:rFonts w:cs="Calibri"/>
                <w:szCs w:val="16"/>
              </w:rPr>
            </w:pPr>
            <w:r w:rsidRPr="002A40C0">
              <w:rPr>
                <w:rFonts w:eastAsia="Calibri" w:cs="Calibri"/>
                <w:szCs w:val="16"/>
              </w:rPr>
              <w:t>9,202,953</w:t>
            </w:r>
          </w:p>
        </w:tc>
        <w:tc>
          <w:tcPr>
            <w:tcW w:w="904" w:type="dxa"/>
            <w:shd w:val="clear" w:color="auto" w:fill="FFFFFF"/>
            <w:tcMar>
              <w:top w:w="0" w:type="dxa"/>
              <w:left w:w="85" w:type="dxa"/>
              <w:bottom w:w="0" w:type="dxa"/>
              <w:right w:w="85" w:type="dxa"/>
            </w:tcMar>
            <w:vAlign w:val="bottom"/>
          </w:tcPr>
          <w:p w14:paraId="4CA682C5" w14:textId="77777777" w:rsidR="00442E6D" w:rsidRPr="002A40C0" w:rsidRDefault="00442E6D" w:rsidP="00B063F2">
            <w:pPr>
              <w:pStyle w:val="TableText"/>
              <w:jc w:val="right"/>
              <w:rPr>
                <w:rFonts w:cs="Calibri"/>
                <w:szCs w:val="16"/>
              </w:rPr>
            </w:pPr>
            <w:r w:rsidRPr="002A40C0">
              <w:rPr>
                <w:rFonts w:eastAsia="Calibri" w:cs="Calibri"/>
                <w:szCs w:val="16"/>
              </w:rPr>
              <w:t>9,200,443</w:t>
            </w:r>
          </w:p>
        </w:tc>
        <w:tc>
          <w:tcPr>
            <w:tcW w:w="907" w:type="dxa"/>
            <w:shd w:val="clear" w:color="auto" w:fill="FFFFFF"/>
            <w:tcMar>
              <w:top w:w="0" w:type="dxa"/>
              <w:left w:w="85" w:type="dxa"/>
              <w:bottom w:w="0" w:type="dxa"/>
              <w:right w:w="85" w:type="dxa"/>
            </w:tcMar>
            <w:vAlign w:val="bottom"/>
          </w:tcPr>
          <w:p w14:paraId="2AF3AF83" w14:textId="77777777" w:rsidR="00442E6D" w:rsidRPr="002A40C0" w:rsidRDefault="00442E6D" w:rsidP="00B063F2">
            <w:pPr>
              <w:pStyle w:val="TableText"/>
              <w:jc w:val="right"/>
              <w:rPr>
                <w:rFonts w:cs="Calibri"/>
                <w:szCs w:val="16"/>
              </w:rPr>
            </w:pPr>
            <w:r w:rsidRPr="002A40C0">
              <w:rPr>
                <w:rFonts w:eastAsia="Calibri" w:cs="Calibri"/>
                <w:szCs w:val="16"/>
              </w:rPr>
              <w:t>9,198,965</w:t>
            </w:r>
          </w:p>
        </w:tc>
      </w:tr>
      <w:tr w:rsidR="00442E6D" w:rsidRPr="00442E6D" w14:paraId="1A70E673" w14:textId="77777777" w:rsidTr="00B5164F">
        <w:trPr>
          <w:cantSplit/>
        </w:trPr>
        <w:tc>
          <w:tcPr>
            <w:tcW w:w="1304" w:type="dxa"/>
            <w:gridSpan w:val="9"/>
            <w:shd w:val="clear" w:color="auto" w:fill="1B556B"/>
            <w:tcMar>
              <w:top w:w="0" w:type="dxa"/>
              <w:left w:w="85" w:type="dxa"/>
              <w:bottom w:w="0" w:type="dxa"/>
              <w:right w:w="85" w:type="dxa"/>
            </w:tcMar>
            <w:vAlign w:val="bottom"/>
          </w:tcPr>
          <w:p w14:paraId="7715CD46" w14:textId="77777777" w:rsidR="00442E6D" w:rsidRPr="00442E6D" w:rsidRDefault="00442E6D" w:rsidP="00B063F2">
            <w:pPr>
              <w:pStyle w:val="TableTextBold"/>
              <w:rPr>
                <w:rFonts w:cs="Calibri"/>
                <w:noProof w:val="0"/>
                <w:color w:val="FFFFFF"/>
                <w:szCs w:val="16"/>
              </w:rPr>
            </w:pPr>
            <w:r w:rsidRPr="00442E6D">
              <w:rPr>
                <w:rFonts w:eastAsia="Calibri" w:cs="Calibri"/>
                <w:noProof w:val="0"/>
                <w:color w:val="FFFFFF"/>
                <w:szCs w:val="16"/>
              </w:rPr>
              <w:t>Total</w:t>
            </w:r>
          </w:p>
        </w:tc>
      </w:tr>
      <w:tr w:rsidR="00442E6D" w:rsidRPr="002A40C0" w14:paraId="53EC4647" w14:textId="77777777" w:rsidTr="00B5164F">
        <w:trPr>
          <w:cantSplit/>
        </w:trPr>
        <w:tc>
          <w:tcPr>
            <w:tcW w:w="1304" w:type="dxa"/>
            <w:shd w:val="clear" w:color="auto" w:fill="FFFFFF"/>
            <w:tcMar>
              <w:top w:w="0" w:type="dxa"/>
              <w:left w:w="85" w:type="dxa"/>
              <w:bottom w:w="0" w:type="dxa"/>
              <w:right w:w="85" w:type="dxa"/>
            </w:tcMar>
            <w:vAlign w:val="bottom"/>
          </w:tcPr>
          <w:p w14:paraId="78459288" w14:textId="77777777" w:rsidR="00442E6D" w:rsidRPr="002A40C0" w:rsidRDefault="00442E6D" w:rsidP="006D0B04">
            <w:pPr>
              <w:pStyle w:val="Tableboldblue"/>
            </w:pPr>
            <w:r w:rsidRPr="002A40C0">
              <w:rPr>
                <w:rFonts w:eastAsia="Calibri"/>
              </w:rPr>
              <w:t xml:space="preserve">Total area </w:t>
            </w:r>
            <w:r w:rsidRPr="006D0B04">
              <w:rPr>
                <w:rFonts w:eastAsia="Calibri"/>
              </w:rPr>
              <w:t>included</w:t>
            </w:r>
            <w:r w:rsidRPr="002A40C0">
              <w:rPr>
                <w:rFonts w:eastAsia="Calibri"/>
              </w:rPr>
              <w:t xml:space="preserve"> (ha)</w:t>
            </w:r>
          </w:p>
        </w:tc>
        <w:tc>
          <w:tcPr>
            <w:tcW w:w="897" w:type="dxa"/>
            <w:shd w:val="clear" w:color="auto" w:fill="FFFFFF"/>
            <w:tcMar>
              <w:top w:w="0" w:type="dxa"/>
              <w:left w:w="57" w:type="dxa"/>
              <w:bottom w:w="0" w:type="dxa"/>
              <w:right w:w="85" w:type="dxa"/>
            </w:tcMar>
            <w:vAlign w:val="bottom"/>
          </w:tcPr>
          <w:p w14:paraId="2013538F" w14:textId="77777777" w:rsidR="00442E6D" w:rsidRPr="002A40C0" w:rsidRDefault="00442E6D" w:rsidP="00B063F2">
            <w:pPr>
              <w:pStyle w:val="Tableboldblue"/>
              <w:jc w:val="right"/>
              <w:rPr>
                <w:rFonts w:cs="Calibri"/>
                <w:szCs w:val="16"/>
              </w:rPr>
            </w:pPr>
            <w:r w:rsidRPr="002A40C0">
              <w:rPr>
                <w:rFonts w:eastAsia="Calibri" w:cs="Calibri"/>
                <w:szCs w:val="16"/>
              </w:rPr>
              <w:t>10,080,703</w:t>
            </w:r>
          </w:p>
        </w:tc>
        <w:tc>
          <w:tcPr>
            <w:tcW w:w="903" w:type="dxa"/>
            <w:shd w:val="clear" w:color="auto" w:fill="FFFFFF"/>
            <w:tcMar>
              <w:top w:w="0" w:type="dxa"/>
              <w:left w:w="57" w:type="dxa"/>
              <w:bottom w:w="0" w:type="dxa"/>
              <w:right w:w="85" w:type="dxa"/>
            </w:tcMar>
            <w:vAlign w:val="bottom"/>
          </w:tcPr>
          <w:p w14:paraId="20795B02" w14:textId="77777777" w:rsidR="00442E6D" w:rsidRPr="002A40C0" w:rsidRDefault="00442E6D" w:rsidP="00B063F2">
            <w:pPr>
              <w:pStyle w:val="Tableboldblue"/>
              <w:jc w:val="right"/>
              <w:rPr>
                <w:rFonts w:cs="Calibri"/>
                <w:szCs w:val="16"/>
              </w:rPr>
            </w:pPr>
            <w:r w:rsidRPr="002A40C0">
              <w:rPr>
                <w:rFonts w:eastAsia="Calibri" w:cs="Calibri"/>
                <w:szCs w:val="16"/>
              </w:rPr>
              <w:t>10,086,639</w:t>
            </w:r>
          </w:p>
        </w:tc>
        <w:tc>
          <w:tcPr>
            <w:tcW w:w="907" w:type="dxa"/>
            <w:shd w:val="clear" w:color="auto" w:fill="FFFFFF"/>
            <w:tcMar>
              <w:top w:w="0" w:type="dxa"/>
              <w:left w:w="57" w:type="dxa"/>
              <w:bottom w:w="0" w:type="dxa"/>
              <w:right w:w="85" w:type="dxa"/>
            </w:tcMar>
            <w:vAlign w:val="bottom"/>
          </w:tcPr>
          <w:p w14:paraId="6AA52F32" w14:textId="77777777" w:rsidR="00442E6D" w:rsidRPr="002A40C0" w:rsidRDefault="00442E6D" w:rsidP="00B063F2">
            <w:pPr>
              <w:pStyle w:val="Tableboldblue"/>
              <w:jc w:val="right"/>
              <w:rPr>
                <w:rFonts w:cs="Calibri"/>
                <w:szCs w:val="16"/>
              </w:rPr>
            </w:pPr>
            <w:r w:rsidRPr="002A40C0">
              <w:rPr>
                <w:rFonts w:eastAsia="Calibri" w:cs="Calibri"/>
                <w:szCs w:val="16"/>
              </w:rPr>
              <w:t>10,092,576</w:t>
            </w:r>
          </w:p>
        </w:tc>
        <w:tc>
          <w:tcPr>
            <w:tcW w:w="902" w:type="dxa"/>
            <w:shd w:val="clear" w:color="auto" w:fill="FFFFFF"/>
            <w:tcMar>
              <w:top w:w="0" w:type="dxa"/>
              <w:left w:w="57" w:type="dxa"/>
              <w:bottom w:w="0" w:type="dxa"/>
              <w:right w:w="85" w:type="dxa"/>
            </w:tcMar>
            <w:vAlign w:val="bottom"/>
          </w:tcPr>
          <w:p w14:paraId="5E107857" w14:textId="77777777" w:rsidR="00442E6D" w:rsidRPr="002A40C0" w:rsidRDefault="00442E6D" w:rsidP="00B063F2">
            <w:pPr>
              <w:pStyle w:val="Tableboldblue"/>
              <w:jc w:val="right"/>
              <w:rPr>
                <w:rFonts w:cs="Calibri"/>
                <w:szCs w:val="16"/>
              </w:rPr>
            </w:pPr>
            <w:r w:rsidRPr="002A40C0">
              <w:rPr>
                <w:rFonts w:eastAsia="Calibri" w:cs="Calibri"/>
                <w:szCs w:val="16"/>
              </w:rPr>
              <w:t>10,098,972</w:t>
            </w:r>
          </w:p>
        </w:tc>
        <w:tc>
          <w:tcPr>
            <w:tcW w:w="904" w:type="dxa"/>
            <w:shd w:val="clear" w:color="auto" w:fill="FFFFFF"/>
            <w:tcMar>
              <w:top w:w="0" w:type="dxa"/>
              <w:left w:w="57" w:type="dxa"/>
              <w:bottom w:w="0" w:type="dxa"/>
              <w:right w:w="85" w:type="dxa"/>
            </w:tcMar>
            <w:vAlign w:val="bottom"/>
          </w:tcPr>
          <w:p w14:paraId="38E58004" w14:textId="77777777" w:rsidR="00442E6D" w:rsidRPr="002A40C0" w:rsidRDefault="00442E6D" w:rsidP="00B063F2">
            <w:pPr>
              <w:pStyle w:val="Tableboldblue"/>
              <w:jc w:val="right"/>
              <w:rPr>
                <w:rFonts w:cs="Calibri"/>
                <w:szCs w:val="16"/>
              </w:rPr>
            </w:pPr>
            <w:r w:rsidRPr="002A40C0">
              <w:rPr>
                <w:rFonts w:eastAsia="Calibri" w:cs="Calibri"/>
                <w:szCs w:val="16"/>
              </w:rPr>
              <w:t>10,109,092</w:t>
            </w:r>
          </w:p>
        </w:tc>
        <w:tc>
          <w:tcPr>
            <w:tcW w:w="904" w:type="dxa"/>
            <w:shd w:val="clear" w:color="auto" w:fill="FFFFFF"/>
            <w:tcMar>
              <w:top w:w="0" w:type="dxa"/>
              <w:left w:w="57" w:type="dxa"/>
              <w:bottom w:w="0" w:type="dxa"/>
              <w:right w:w="85" w:type="dxa"/>
            </w:tcMar>
            <w:vAlign w:val="bottom"/>
          </w:tcPr>
          <w:p w14:paraId="576CEE32" w14:textId="77777777" w:rsidR="00442E6D" w:rsidRPr="002A40C0" w:rsidRDefault="00442E6D" w:rsidP="00B063F2">
            <w:pPr>
              <w:pStyle w:val="Tableboldblue"/>
              <w:jc w:val="right"/>
              <w:rPr>
                <w:rFonts w:cs="Calibri"/>
                <w:szCs w:val="16"/>
              </w:rPr>
            </w:pPr>
            <w:r w:rsidRPr="002A40C0">
              <w:rPr>
                <w:rFonts w:eastAsia="Calibri" w:cs="Calibri"/>
                <w:szCs w:val="16"/>
              </w:rPr>
              <w:t>10,119,666</w:t>
            </w:r>
          </w:p>
        </w:tc>
        <w:tc>
          <w:tcPr>
            <w:tcW w:w="904" w:type="dxa"/>
            <w:shd w:val="clear" w:color="auto" w:fill="FFFFFF"/>
            <w:tcMar>
              <w:top w:w="0" w:type="dxa"/>
              <w:left w:w="57" w:type="dxa"/>
              <w:bottom w:w="0" w:type="dxa"/>
              <w:right w:w="85" w:type="dxa"/>
            </w:tcMar>
            <w:vAlign w:val="bottom"/>
          </w:tcPr>
          <w:p w14:paraId="08FADEB7" w14:textId="77777777" w:rsidR="00442E6D" w:rsidRPr="002A40C0" w:rsidRDefault="00442E6D" w:rsidP="00B063F2">
            <w:pPr>
              <w:pStyle w:val="Tableboldblue"/>
              <w:jc w:val="right"/>
              <w:rPr>
                <w:rFonts w:cs="Calibri"/>
                <w:szCs w:val="16"/>
              </w:rPr>
            </w:pPr>
            <w:r w:rsidRPr="002A40C0">
              <w:rPr>
                <w:rFonts w:eastAsia="Calibri" w:cs="Calibri"/>
                <w:szCs w:val="16"/>
              </w:rPr>
              <w:t>10,147,316</w:t>
            </w:r>
          </w:p>
        </w:tc>
        <w:tc>
          <w:tcPr>
            <w:tcW w:w="907" w:type="dxa"/>
            <w:shd w:val="clear" w:color="auto" w:fill="FFFFFF"/>
            <w:tcMar>
              <w:top w:w="0" w:type="dxa"/>
              <w:left w:w="57" w:type="dxa"/>
              <w:bottom w:w="0" w:type="dxa"/>
              <w:right w:w="85" w:type="dxa"/>
            </w:tcMar>
            <w:vAlign w:val="bottom"/>
          </w:tcPr>
          <w:p w14:paraId="1B3ED133" w14:textId="77777777" w:rsidR="00442E6D" w:rsidRPr="002A40C0" w:rsidRDefault="00442E6D" w:rsidP="00B063F2">
            <w:pPr>
              <w:pStyle w:val="Tableboldblue"/>
              <w:jc w:val="right"/>
              <w:rPr>
                <w:rFonts w:cs="Calibri"/>
                <w:szCs w:val="16"/>
              </w:rPr>
            </w:pPr>
            <w:r w:rsidRPr="002A40C0">
              <w:rPr>
                <w:rFonts w:eastAsia="Calibri" w:cs="Calibri"/>
                <w:szCs w:val="16"/>
              </w:rPr>
              <w:t>10,188,427</w:t>
            </w:r>
          </w:p>
        </w:tc>
      </w:tr>
    </w:tbl>
    <w:p w14:paraId="2A50E6D7" w14:textId="77777777" w:rsidR="00442E6D" w:rsidRPr="002A40C0" w:rsidRDefault="00442E6D" w:rsidP="00442E6D">
      <w:pPr>
        <w:pStyle w:val="Noteundertable"/>
      </w:pPr>
      <w:r w:rsidRPr="002A40C0">
        <w:rPr>
          <w:b/>
          <w:bCs/>
        </w:rPr>
        <w:t>Note:</w:t>
      </w:r>
      <w:r w:rsidRPr="002A40C0">
        <w:tab/>
        <w:t xml:space="preserve">All figures for 2017, 2018, 2019 and 2020 are provisional. </w:t>
      </w:r>
      <w:r w:rsidRPr="002A40C0">
        <w:rPr>
          <w:i/>
          <w:iCs/>
        </w:rPr>
        <w:t>Afforestation and reforestation</w:t>
      </w:r>
      <w:r w:rsidRPr="002A40C0">
        <w:t xml:space="preserve"> refers to new forest established since 31 December 1989, except for areas of carbon equivalent forest. This means the areas differ from those reported in chapter 6 because the carbon equivalent forest provision means some new forest is reported under </w:t>
      </w:r>
      <w:r w:rsidRPr="002A40C0">
        <w:rPr>
          <w:i/>
          <w:iCs/>
        </w:rPr>
        <w:t>Forest management</w:t>
      </w:r>
      <w:r w:rsidRPr="002A40C0">
        <w:t>. Columns may not total due to rounding.</w:t>
      </w:r>
    </w:p>
    <w:p w14:paraId="7CB47FCC" w14:textId="77777777" w:rsidR="00442E6D" w:rsidRPr="002A40C0" w:rsidRDefault="00442E6D" w:rsidP="00442E6D">
      <w:pPr>
        <w:pStyle w:val="Heading5"/>
      </w:pPr>
      <w:bookmarkStart w:id="34" w:name="emissions-and-removals-in-2020"/>
      <w:r w:rsidRPr="002A40C0">
        <w:t xml:space="preserve">Emissions and removals in </w:t>
      </w:r>
      <w:r w:rsidRPr="002A40C0">
        <w:rPr>
          <w:bCs w:val="0"/>
        </w:rPr>
        <w:t>2020</w:t>
      </w:r>
    </w:p>
    <w:p w14:paraId="3397B011" w14:textId="77777777" w:rsidR="00442E6D" w:rsidRPr="002A40C0" w:rsidRDefault="00442E6D" w:rsidP="00442E6D">
      <w:pPr>
        <w:pStyle w:val="BodyText"/>
      </w:pPr>
      <w:r w:rsidRPr="002A40C0">
        <w:t>The emissions and removals associated with the above land-use changes are:</w:t>
      </w:r>
    </w:p>
    <w:p w14:paraId="5D4A58DC" w14:textId="77777777" w:rsidR="00442E6D" w:rsidRPr="002A40C0" w:rsidRDefault="00442E6D" w:rsidP="00442E6D">
      <w:pPr>
        <w:pStyle w:val="Bullet"/>
        <w:tabs>
          <w:tab w:val="num" w:pos="567"/>
        </w:tabs>
      </w:pPr>
      <w:r w:rsidRPr="002A40C0">
        <w:t>net removals of 14,764.7</w:t>
      </w:r>
      <w:r>
        <w:t xml:space="preserve"> </w:t>
      </w:r>
      <w:r w:rsidRPr="002A40C0">
        <w:t>kt CO</w:t>
      </w:r>
      <w:r w:rsidRPr="002A40C0">
        <w:rPr>
          <w:vertAlign w:val="subscript"/>
        </w:rPr>
        <w:t>2</w:t>
      </w:r>
      <w:r w:rsidRPr="002A40C0">
        <w:t xml:space="preserve">-e for </w:t>
      </w:r>
      <w:r w:rsidRPr="002A40C0">
        <w:rPr>
          <w:i/>
        </w:rPr>
        <w:t>Afforestation and reforestation</w:t>
      </w:r>
    </w:p>
    <w:p w14:paraId="083FE437" w14:textId="77777777" w:rsidR="00442E6D" w:rsidRPr="002A40C0" w:rsidRDefault="00442E6D" w:rsidP="00442E6D">
      <w:pPr>
        <w:pStyle w:val="Bullet"/>
        <w:tabs>
          <w:tab w:val="num" w:pos="567"/>
        </w:tabs>
      </w:pPr>
      <w:r w:rsidRPr="002A40C0">
        <w:t>net emissions of 1,320.5</w:t>
      </w:r>
      <w:r>
        <w:t xml:space="preserve"> </w:t>
      </w:r>
      <w:r w:rsidRPr="002A40C0">
        <w:t>kt CO</w:t>
      </w:r>
      <w:r w:rsidRPr="002A40C0">
        <w:rPr>
          <w:vertAlign w:val="subscript"/>
        </w:rPr>
        <w:t>2</w:t>
      </w:r>
      <w:r w:rsidRPr="002A40C0">
        <w:t xml:space="preserve">-e for </w:t>
      </w:r>
      <w:r w:rsidRPr="002A40C0">
        <w:rPr>
          <w:i/>
        </w:rPr>
        <w:t>Deforestation</w:t>
      </w:r>
    </w:p>
    <w:p w14:paraId="1622C1DD" w14:textId="77777777" w:rsidR="00442E6D" w:rsidRPr="002A40C0" w:rsidRDefault="00442E6D" w:rsidP="00442E6D">
      <w:pPr>
        <w:pStyle w:val="Bullet"/>
        <w:tabs>
          <w:tab w:val="num" w:pos="567"/>
        </w:tabs>
      </w:pPr>
      <w:r w:rsidRPr="002A40C0">
        <w:t>net removals of 16,031.9</w:t>
      </w:r>
      <w:r>
        <w:t xml:space="preserve"> </w:t>
      </w:r>
      <w:r w:rsidRPr="002A40C0">
        <w:t>kt CO</w:t>
      </w:r>
      <w:r w:rsidRPr="002A40C0">
        <w:rPr>
          <w:vertAlign w:val="subscript"/>
        </w:rPr>
        <w:t>2</w:t>
      </w:r>
      <w:r w:rsidRPr="002A40C0">
        <w:t xml:space="preserve">-e for </w:t>
      </w:r>
      <w:r w:rsidRPr="002A40C0">
        <w:rPr>
          <w:i/>
        </w:rPr>
        <w:t>Forest management</w:t>
      </w:r>
      <w:r w:rsidRPr="002A40C0">
        <w:t>.</w:t>
      </w:r>
    </w:p>
    <w:p w14:paraId="4E73F162" w14:textId="77777777" w:rsidR="00442E6D" w:rsidRPr="002A40C0" w:rsidRDefault="00442E6D" w:rsidP="00442E6D">
      <w:pPr>
        <w:pStyle w:val="Heading5"/>
      </w:pPr>
      <w:bookmarkStart w:id="35" w:name="emissions-and-removals-from-2013-to-2020"/>
      <w:bookmarkEnd w:id="34"/>
      <w:r w:rsidRPr="002A40C0">
        <w:t xml:space="preserve">Emissions and removals from 2013 to </w:t>
      </w:r>
      <w:r w:rsidRPr="002A40C0">
        <w:rPr>
          <w:bCs w:val="0"/>
        </w:rPr>
        <w:t>2020</w:t>
      </w:r>
    </w:p>
    <w:p w14:paraId="51001BFC" w14:textId="77777777" w:rsidR="00442E6D" w:rsidRPr="002A40C0" w:rsidRDefault="00442E6D" w:rsidP="00442E6D">
      <w:pPr>
        <w:pStyle w:val="BodyText"/>
      </w:pPr>
      <w:r w:rsidRPr="002A40C0">
        <w:t>Estimates of emissions and removals for activities under Articles 3.3 and 3.4 of the Kyoto Protocol for the period 2013 to 2020 are included in the inventory because these are used to establish the accounting quantity. This is the value that New Zealand can use towards meeting its 2020 target (see table ES 5.1(b)). The specific rules that apply when accounting against a target are explained in chapter 11, section 11.3.4.</w:t>
      </w:r>
    </w:p>
    <w:p w14:paraId="0C3E7528" w14:textId="77777777" w:rsidR="00442E6D" w:rsidRPr="002A40C0" w:rsidRDefault="00442E6D" w:rsidP="00442E6D">
      <w:pPr>
        <w:pStyle w:val="Table"/>
      </w:pPr>
      <w:bookmarkStart w:id="36" w:name="_Toc99659202"/>
      <w:r w:rsidRPr="002A40C0">
        <w:t>Table ES 5.1(b)</w:t>
      </w:r>
      <w:r w:rsidRPr="002A40C0">
        <w:tab/>
        <w:t xml:space="preserve">New Zealand’s net emissions and accounting quantity by year for </w:t>
      </w:r>
      <w:r w:rsidRPr="002A40C0">
        <w:rPr>
          <w:i/>
          <w:iCs/>
        </w:rPr>
        <w:t>Afforestation and reforestation</w:t>
      </w:r>
      <w:r w:rsidRPr="002A40C0">
        <w:t xml:space="preserve">, </w:t>
      </w:r>
      <w:r w:rsidRPr="002A40C0">
        <w:rPr>
          <w:i/>
          <w:iCs/>
        </w:rPr>
        <w:t>Deforestation</w:t>
      </w:r>
      <w:r w:rsidRPr="002A40C0">
        <w:t xml:space="preserve"> and </w:t>
      </w:r>
      <w:r w:rsidRPr="002A40C0">
        <w:rPr>
          <w:i/>
          <w:iCs/>
        </w:rPr>
        <w:t>Forest management</w:t>
      </w:r>
      <w:bookmarkEnd w:id="36"/>
    </w:p>
    <w:tbl>
      <w:tblPr>
        <w:tblW w:w="8505"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1530"/>
        <w:gridCol w:w="871"/>
        <w:gridCol w:w="872"/>
        <w:gridCol w:w="872"/>
        <w:gridCol w:w="872"/>
        <w:gridCol w:w="872"/>
        <w:gridCol w:w="872"/>
        <w:gridCol w:w="872"/>
        <w:gridCol w:w="872"/>
      </w:tblGrid>
      <w:tr w:rsidR="00442E6D" w:rsidRPr="00442E6D" w14:paraId="33FDC64F" w14:textId="77777777" w:rsidTr="00B063F2">
        <w:trPr>
          <w:cantSplit/>
          <w:tblHeader/>
        </w:trPr>
        <w:tc>
          <w:tcPr>
            <w:tcW w:w="1531" w:type="dxa"/>
            <w:shd w:val="clear" w:color="auto" w:fill="1B556B"/>
            <w:tcMar>
              <w:top w:w="0" w:type="dxa"/>
              <w:left w:w="85" w:type="dxa"/>
              <w:bottom w:w="0" w:type="dxa"/>
              <w:right w:w="85" w:type="dxa"/>
            </w:tcMar>
            <w:vAlign w:val="center"/>
          </w:tcPr>
          <w:p w14:paraId="53213481" w14:textId="77777777" w:rsidR="00442E6D" w:rsidRPr="00442E6D" w:rsidRDefault="00442E6D" w:rsidP="00B063F2">
            <w:pPr>
              <w:pStyle w:val="TableTextBold"/>
              <w:rPr>
                <w:noProof w:val="0"/>
                <w:color w:val="FFFFFF"/>
              </w:rPr>
            </w:pPr>
            <w:r w:rsidRPr="00442E6D">
              <w:rPr>
                <w:rFonts w:eastAsia="Calibri"/>
                <w:noProof w:val="0"/>
                <w:color w:val="FFFFFF"/>
              </w:rPr>
              <w:t>Activity</w:t>
            </w:r>
          </w:p>
        </w:tc>
        <w:tc>
          <w:tcPr>
            <w:tcW w:w="0" w:type="auto"/>
            <w:shd w:val="clear" w:color="auto" w:fill="1B556B"/>
            <w:tcMar>
              <w:top w:w="0" w:type="dxa"/>
              <w:left w:w="85" w:type="dxa"/>
              <w:bottom w:w="0" w:type="dxa"/>
              <w:right w:w="85" w:type="dxa"/>
            </w:tcMar>
            <w:vAlign w:val="center"/>
          </w:tcPr>
          <w:p w14:paraId="3BE822D0" w14:textId="77777777" w:rsidR="00442E6D" w:rsidRPr="00442E6D" w:rsidRDefault="00442E6D" w:rsidP="00B063F2">
            <w:pPr>
              <w:pStyle w:val="TableTextBold"/>
              <w:jc w:val="right"/>
              <w:rPr>
                <w:noProof w:val="0"/>
                <w:color w:val="FFFFFF"/>
              </w:rPr>
            </w:pPr>
            <w:r w:rsidRPr="00442E6D">
              <w:rPr>
                <w:rFonts w:eastAsia="Calibri"/>
                <w:noProof w:val="0"/>
                <w:color w:val="FFFFFF"/>
              </w:rPr>
              <w:t>2013</w:t>
            </w:r>
          </w:p>
        </w:tc>
        <w:tc>
          <w:tcPr>
            <w:tcW w:w="0" w:type="auto"/>
            <w:shd w:val="clear" w:color="auto" w:fill="1B556B"/>
            <w:tcMar>
              <w:top w:w="0" w:type="dxa"/>
              <w:left w:w="85" w:type="dxa"/>
              <w:bottom w:w="0" w:type="dxa"/>
              <w:right w:w="85" w:type="dxa"/>
            </w:tcMar>
            <w:vAlign w:val="center"/>
          </w:tcPr>
          <w:p w14:paraId="538C5942" w14:textId="77777777" w:rsidR="00442E6D" w:rsidRPr="00442E6D" w:rsidRDefault="00442E6D" w:rsidP="00B063F2">
            <w:pPr>
              <w:pStyle w:val="TableTextBold"/>
              <w:jc w:val="right"/>
              <w:rPr>
                <w:noProof w:val="0"/>
                <w:color w:val="FFFFFF"/>
              </w:rPr>
            </w:pPr>
            <w:r w:rsidRPr="00442E6D">
              <w:rPr>
                <w:rFonts w:eastAsia="Calibri"/>
                <w:noProof w:val="0"/>
                <w:color w:val="FFFFFF"/>
              </w:rPr>
              <w:t>2014</w:t>
            </w:r>
          </w:p>
        </w:tc>
        <w:tc>
          <w:tcPr>
            <w:tcW w:w="0" w:type="auto"/>
            <w:shd w:val="clear" w:color="auto" w:fill="1B556B"/>
            <w:tcMar>
              <w:top w:w="0" w:type="dxa"/>
              <w:left w:w="85" w:type="dxa"/>
              <w:bottom w:w="0" w:type="dxa"/>
              <w:right w:w="85" w:type="dxa"/>
            </w:tcMar>
            <w:vAlign w:val="center"/>
          </w:tcPr>
          <w:p w14:paraId="4A490EB2" w14:textId="77777777" w:rsidR="00442E6D" w:rsidRPr="00442E6D" w:rsidRDefault="00442E6D" w:rsidP="00B063F2">
            <w:pPr>
              <w:pStyle w:val="TableTextBold"/>
              <w:jc w:val="right"/>
              <w:rPr>
                <w:noProof w:val="0"/>
                <w:color w:val="FFFFFF"/>
              </w:rPr>
            </w:pPr>
            <w:r w:rsidRPr="00442E6D">
              <w:rPr>
                <w:rFonts w:eastAsia="Calibri"/>
                <w:noProof w:val="0"/>
                <w:color w:val="FFFFFF"/>
              </w:rPr>
              <w:t>2015</w:t>
            </w:r>
          </w:p>
        </w:tc>
        <w:tc>
          <w:tcPr>
            <w:tcW w:w="0" w:type="auto"/>
            <w:shd w:val="clear" w:color="auto" w:fill="1B556B"/>
            <w:tcMar>
              <w:top w:w="0" w:type="dxa"/>
              <w:left w:w="85" w:type="dxa"/>
              <w:bottom w:w="0" w:type="dxa"/>
              <w:right w:w="85" w:type="dxa"/>
            </w:tcMar>
            <w:vAlign w:val="center"/>
          </w:tcPr>
          <w:p w14:paraId="6FC594B5" w14:textId="77777777" w:rsidR="00442E6D" w:rsidRPr="00442E6D" w:rsidRDefault="00442E6D" w:rsidP="00B063F2">
            <w:pPr>
              <w:pStyle w:val="TableTextBold"/>
              <w:jc w:val="right"/>
              <w:rPr>
                <w:noProof w:val="0"/>
                <w:color w:val="FFFFFF"/>
              </w:rPr>
            </w:pPr>
            <w:r w:rsidRPr="00442E6D">
              <w:rPr>
                <w:rFonts w:eastAsia="Calibri"/>
                <w:noProof w:val="0"/>
                <w:color w:val="FFFFFF"/>
              </w:rPr>
              <w:t>2016</w:t>
            </w:r>
          </w:p>
        </w:tc>
        <w:tc>
          <w:tcPr>
            <w:tcW w:w="0" w:type="auto"/>
            <w:shd w:val="clear" w:color="auto" w:fill="1B556B"/>
            <w:tcMar>
              <w:top w:w="0" w:type="dxa"/>
              <w:left w:w="85" w:type="dxa"/>
              <w:bottom w:w="0" w:type="dxa"/>
              <w:right w:w="85" w:type="dxa"/>
            </w:tcMar>
            <w:vAlign w:val="center"/>
          </w:tcPr>
          <w:p w14:paraId="09E6DFFD" w14:textId="77777777" w:rsidR="00442E6D" w:rsidRPr="00442E6D" w:rsidRDefault="00442E6D" w:rsidP="00B063F2">
            <w:pPr>
              <w:pStyle w:val="TableTextBold"/>
              <w:jc w:val="right"/>
              <w:rPr>
                <w:noProof w:val="0"/>
                <w:color w:val="FFFFFF"/>
              </w:rPr>
            </w:pPr>
            <w:r w:rsidRPr="00442E6D">
              <w:rPr>
                <w:rFonts w:eastAsia="Calibri"/>
                <w:noProof w:val="0"/>
                <w:color w:val="FFFFFF"/>
              </w:rPr>
              <w:t>2017</w:t>
            </w:r>
          </w:p>
        </w:tc>
        <w:tc>
          <w:tcPr>
            <w:tcW w:w="0" w:type="auto"/>
            <w:shd w:val="clear" w:color="auto" w:fill="1B556B"/>
            <w:tcMar>
              <w:top w:w="0" w:type="dxa"/>
              <w:left w:w="85" w:type="dxa"/>
              <w:bottom w:w="0" w:type="dxa"/>
              <w:right w:w="85" w:type="dxa"/>
            </w:tcMar>
            <w:vAlign w:val="center"/>
          </w:tcPr>
          <w:p w14:paraId="792BA6AD" w14:textId="77777777" w:rsidR="00442E6D" w:rsidRPr="00442E6D" w:rsidRDefault="00442E6D" w:rsidP="00B063F2">
            <w:pPr>
              <w:pStyle w:val="TableTextBold"/>
              <w:jc w:val="right"/>
              <w:rPr>
                <w:noProof w:val="0"/>
                <w:color w:val="FFFFFF"/>
              </w:rPr>
            </w:pPr>
            <w:r w:rsidRPr="00442E6D">
              <w:rPr>
                <w:rFonts w:eastAsia="Calibri"/>
                <w:noProof w:val="0"/>
                <w:color w:val="FFFFFF"/>
              </w:rPr>
              <w:t>2018</w:t>
            </w:r>
          </w:p>
        </w:tc>
        <w:tc>
          <w:tcPr>
            <w:tcW w:w="0" w:type="auto"/>
            <w:shd w:val="clear" w:color="auto" w:fill="1B556B"/>
            <w:tcMar>
              <w:top w:w="0" w:type="dxa"/>
              <w:left w:w="85" w:type="dxa"/>
              <w:bottom w:w="0" w:type="dxa"/>
              <w:right w:w="85" w:type="dxa"/>
            </w:tcMar>
            <w:vAlign w:val="center"/>
          </w:tcPr>
          <w:p w14:paraId="1AA63CC7" w14:textId="77777777" w:rsidR="00442E6D" w:rsidRPr="00442E6D" w:rsidRDefault="00442E6D" w:rsidP="00B063F2">
            <w:pPr>
              <w:pStyle w:val="TableTextBold"/>
              <w:jc w:val="right"/>
              <w:rPr>
                <w:noProof w:val="0"/>
                <w:color w:val="FFFFFF"/>
              </w:rPr>
            </w:pPr>
            <w:r w:rsidRPr="00442E6D">
              <w:rPr>
                <w:rFonts w:eastAsia="Calibri"/>
                <w:noProof w:val="0"/>
                <w:color w:val="FFFFFF"/>
              </w:rPr>
              <w:t>2019</w:t>
            </w:r>
          </w:p>
        </w:tc>
        <w:tc>
          <w:tcPr>
            <w:tcW w:w="0" w:type="auto"/>
            <w:shd w:val="clear" w:color="auto" w:fill="1B556B"/>
            <w:tcMar>
              <w:top w:w="0" w:type="dxa"/>
              <w:left w:w="85" w:type="dxa"/>
              <w:bottom w:w="0" w:type="dxa"/>
              <w:right w:w="85" w:type="dxa"/>
            </w:tcMar>
            <w:vAlign w:val="center"/>
          </w:tcPr>
          <w:p w14:paraId="76765091" w14:textId="77777777" w:rsidR="00442E6D" w:rsidRPr="00442E6D" w:rsidRDefault="00442E6D" w:rsidP="00B063F2">
            <w:pPr>
              <w:pStyle w:val="TableTextBold"/>
              <w:jc w:val="right"/>
              <w:rPr>
                <w:noProof w:val="0"/>
                <w:color w:val="FFFFFF"/>
              </w:rPr>
            </w:pPr>
            <w:r w:rsidRPr="00442E6D">
              <w:rPr>
                <w:rFonts w:eastAsia="Calibri"/>
                <w:noProof w:val="0"/>
                <w:color w:val="FFFFFF"/>
              </w:rPr>
              <w:t>2020</w:t>
            </w:r>
          </w:p>
        </w:tc>
      </w:tr>
      <w:tr w:rsidR="00442E6D" w:rsidRPr="002A40C0" w14:paraId="6F6AF6E1" w14:textId="77777777" w:rsidTr="00B5164F">
        <w:trPr>
          <w:cantSplit/>
          <w:trHeight w:val="283"/>
        </w:trPr>
        <w:tc>
          <w:tcPr>
            <w:tcW w:w="1531" w:type="dxa"/>
            <w:shd w:val="clear" w:color="auto" w:fill="FFFFFF"/>
            <w:tcMar>
              <w:top w:w="0" w:type="dxa"/>
              <w:left w:w="85" w:type="dxa"/>
              <w:bottom w:w="0" w:type="dxa"/>
              <w:right w:w="85" w:type="dxa"/>
            </w:tcMar>
            <w:vAlign w:val="bottom"/>
          </w:tcPr>
          <w:p w14:paraId="29AD9373" w14:textId="77777777" w:rsidR="00442E6D" w:rsidRPr="002A40C0" w:rsidRDefault="00442E6D" w:rsidP="00B063F2">
            <w:pPr>
              <w:pStyle w:val="TableText"/>
            </w:pPr>
            <w:r w:rsidRPr="002A40C0">
              <w:rPr>
                <w:rFonts w:eastAsia="Calibri"/>
              </w:rPr>
              <w:t>Afforestation and reforestation</w:t>
            </w:r>
          </w:p>
        </w:tc>
        <w:tc>
          <w:tcPr>
            <w:tcW w:w="0" w:type="auto"/>
            <w:shd w:val="clear" w:color="auto" w:fill="FFFFFF"/>
            <w:tcMar>
              <w:top w:w="0" w:type="dxa"/>
              <w:left w:w="85" w:type="dxa"/>
              <w:bottom w:w="0" w:type="dxa"/>
              <w:right w:w="85" w:type="dxa"/>
            </w:tcMar>
            <w:vAlign w:val="bottom"/>
          </w:tcPr>
          <w:p w14:paraId="02FE78F3" w14:textId="77777777" w:rsidR="00442E6D" w:rsidRPr="002A40C0" w:rsidRDefault="00442E6D" w:rsidP="00B063F2">
            <w:pPr>
              <w:pStyle w:val="TableText"/>
              <w:jc w:val="right"/>
            </w:pPr>
            <w:r w:rsidRPr="002A40C0">
              <w:rPr>
                <w:rFonts w:eastAsia="Calibri"/>
              </w:rPr>
              <w:t>–17,520.3</w:t>
            </w:r>
          </w:p>
        </w:tc>
        <w:tc>
          <w:tcPr>
            <w:tcW w:w="0" w:type="auto"/>
            <w:shd w:val="clear" w:color="auto" w:fill="FFFFFF"/>
            <w:tcMar>
              <w:top w:w="0" w:type="dxa"/>
              <w:left w:w="85" w:type="dxa"/>
              <w:bottom w:w="0" w:type="dxa"/>
              <w:right w:w="85" w:type="dxa"/>
            </w:tcMar>
            <w:vAlign w:val="bottom"/>
          </w:tcPr>
          <w:p w14:paraId="7772B167" w14:textId="77777777" w:rsidR="00442E6D" w:rsidRPr="002A40C0" w:rsidRDefault="00442E6D" w:rsidP="00B063F2">
            <w:pPr>
              <w:pStyle w:val="TableText"/>
              <w:jc w:val="right"/>
            </w:pPr>
            <w:r w:rsidRPr="002A40C0">
              <w:rPr>
                <w:rFonts w:eastAsia="Calibri"/>
              </w:rPr>
              <w:t>–17,913.5</w:t>
            </w:r>
          </w:p>
        </w:tc>
        <w:tc>
          <w:tcPr>
            <w:tcW w:w="0" w:type="auto"/>
            <w:shd w:val="clear" w:color="auto" w:fill="FFFFFF"/>
            <w:tcMar>
              <w:top w:w="0" w:type="dxa"/>
              <w:left w:w="85" w:type="dxa"/>
              <w:bottom w:w="0" w:type="dxa"/>
              <w:right w:w="85" w:type="dxa"/>
            </w:tcMar>
            <w:vAlign w:val="bottom"/>
          </w:tcPr>
          <w:p w14:paraId="060CC64B" w14:textId="77777777" w:rsidR="00442E6D" w:rsidRPr="002A40C0" w:rsidRDefault="00442E6D" w:rsidP="00B063F2">
            <w:pPr>
              <w:pStyle w:val="TableText"/>
              <w:jc w:val="right"/>
            </w:pPr>
            <w:r w:rsidRPr="002A40C0">
              <w:rPr>
                <w:rFonts w:eastAsia="Calibri"/>
              </w:rPr>
              <w:t>–18,054.1</w:t>
            </w:r>
          </w:p>
        </w:tc>
        <w:tc>
          <w:tcPr>
            <w:tcW w:w="0" w:type="auto"/>
            <w:shd w:val="clear" w:color="auto" w:fill="FFFFFF"/>
            <w:tcMar>
              <w:top w:w="0" w:type="dxa"/>
              <w:left w:w="85" w:type="dxa"/>
              <w:bottom w:w="0" w:type="dxa"/>
              <w:right w:w="85" w:type="dxa"/>
            </w:tcMar>
            <w:vAlign w:val="bottom"/>
          </w:tcPr>
          <w:p w14:paraId="331FD7D4" w14:textId="77777777" w:rsidR="00442E6D" w:rsidRPr="002A40C0" w:rsidRDefault="00442E6D" w:rsidP="00B063F2">
            <w:pPr>
              <w:pStyle w:val="TableText"/>
              <w:jc w:val="right"/>
            </w:pPr>
            <w:r w:rsidRPr="002A40C0">
              <w:rPr>
                <w:rFonts w:eastAsia="Calibri"/>
              </w:rPr>
              <w:t>–18,004.8</w:t>
            </w:r>
          </w:p>
        </w:tc>
        <w:tc>
          <w:tcPr>
            <w:tcW w:w="0" w:type="auto"/>
            <w:shd w:val="clear" w:color="auto" w:fill="FFFFFF"/>
            <w:tcMar>
              <w:top w:w="0" w:type="dxa"/>
              <w:left w:w="85" w:type="dxa"/>
              <w:bottom w:w="0" w:type="dxa"/>
              <w:right w:w="85" w:type="dxa"/>
            </w:tcMar>
            <w:vAlign w:val="bottom"/>
          </w:tcPr>
          <w:p w14:paraId="67A7BCC6" w14:textId="77777777" w:rsidR="00442E6D" w:rsidRPr="002A40C0" w:rsidRDefault="00442E6D" w:rsidP="00B063F2">
            <w:pPr>
              <w:pStyle w:val="TableText"/>
              <w:jc w:val="right"/>
            </w:pPr>
            <w:r w:rsidRPr="002A40C0">
              <w:rPr>
                <w:rFonts w:eastAsia="Calibri"/>
              </w:rPr>
              <w:t>–18,486.5</w:t>
            </w:r>
          </w:p>
        </w:tc>
        <w:tc>
          <w:tcPr>
            <w:tcW w:w="0" w:type="auto"/>
            <w:shd w:val="clear" w:color="auto" w:fill="FFFFFF"/>
            <w:tcMar>
              <w:top w:w="0" w:type="dxa"/>
              <w:left w:w="85" w:type="dxa"/>
              <w:bottom w:w="0" w:type="dxa"/>
              <w:right w:w="85" w:type="dxa"/>
            </w:tcMar>
            <w:vAlign w:val="bottom"/>
          </w:tcPr>
          <w:p w14:paraId="2901F330" w14:textId="77777777" w:rsidR="00442E6D" w:rsidRPr="002A40C0" w:rsidRDefault="00442E6D" w:rsidP="00B063F2">
            <w:pPr>
              <w:pStyle w:val="TableText"/>
              <w:jc w:val="right"/>
            </w:pPr>
            <w:r w:rsidRPr="002A40C0">
              <w:rPr>
                <w:rFonts w:eastAsia="Calibri"/>
              </w:rPr>
              <w:t>–17,741.1</w:t>
            </w:r>
          </w:p>
        </w:tc>
        <w:tc>
          <w:tcPr>
            <w:tcW w:w="0" w:type="auto"/>
            <w:shd w:val="clear" w:color="auto" w:fill="FFFFFF"/>
            <w:tcMar>
              <w:top w:w="0" w:type="dxa"/>
              <w:left w:w="85" w:type="dxa"/>
              <w:bottom w:w="0" w:type="dxa"/>
              <w:right w:w="85" w:type="dxa"/>
            </w:tcMar>
            <w:vAlign w:val="bottom"/>
          </w:tcPr>
          <w:p w14:paraId="4ADB4A8F" w14:textId="77777777" w:rsidR="00442E6D" w:rsidRPr="002A40C0" w:rsidRDefault="00442E6D" w:rsidP="00B063F2">
            <w:pPr>
              <w:pStyle w:val="TableText"/>
              <w:jc w:val="right"/>
            </w:pPr>
            <w:r w:rsidRPr="002A40C0">
              <w:rPr>
                <w:rFonts w:eastAsia="Calibri"/>
              </w:rPr>
              <w:t>–16,733.5</w:t>
            </w:r>
          </w:p>
        </w:tc>
        <w:tc>
          <w:tcPr>
            <w:tcW w:w="0" w:type="auto"/>
            <w:shd w:val="clear" w:color="auto" w:fill="FFFFFF"/>
            <w:tcMar>
              <w:top w:w="0" w:type="dxa"/>
              <w:left w:w="85" w:type="dxa"/>
              <w:bottom w:w="0" w:type="dxa"/>
              <w:right w:w="85" w:type="dxa"/>
            </w:tcMar>
            <w:vAlign w:val="bottom"/>
          </w:tcPr>
          <w:p w14:paraId="59C82CC9" w14:textId="77777777" w:rsidR="00442E6D" w:rsidRPr="002A40C0" w:rsidRDefault="00442E6D" w:rsidP="00B063F2">
            <w:pPr>
              <w:pStyle w:val="TableText"/>
              <w:jc w:val="right"/>
            </w:pPr>
            <w:r w:rsidRPr="002A40C0">
              <w:rPr>
                <w:rFonts w:eastAsia="Calibri"/>
              </w:rPr>
              <w:t>–14,764.7</w:t>
            </w:r>
          </w:p>
        </w:tc>
      </w:tr>
      <w:tr w:rsidR="00442E6D" w:rsidRPr="002A40C0" w14:paraId="37448D41" w14:textId="77777777" w:rsidTr="00B5164F">
        <w:trPr>
          <w:cantSplit/>
          <w:trHeight w:val="283"/>
        </w:trPr>
        <w:tc>
          <w:tcPr>
            <w:tcW w:w="1531" w:type="dxa"/>
            <w:shd w:val="clear" w:color="auto" w:fill="FFFFFF"/>
            <w:tcMar>
              <w:top w:w="0" w:type="dxa"/>
              <w:left w:w="85" w:type="dxa"/>
              <w:bottom w:w="0" w:type="dxa"/>
              <w:right w:w="85" w:type="dxa"/>
            </w:tcMar>
            <w:vAlign w:val="bottom"/>
          </w:tcPr>
          <w:p w14:paraId="758E0A19" w14:textId="77777777" w:rsidR="00442E6D" w:rsidRPr="002A40C0" w:rsidRDefault="00442E6D" w:rsidP="00B063F2">
            <w:pPr>
              <w:pStyle w:val="TableText"/>
            </w:pPr>
            <w:r w:rsidRPr="002A40C0">
              <w:rPr>
                <w:rFonts w:eastAsia="Calibri"/>
              </w:rPr>
              <w:t>Deforestation</w:t>
            </w:r>
          </w:p>
        </w:tc>
        <w:tc>
          <w:tcPr>
            <w:tcW w:w="0" w:type="auto"/>
            <w:shd w:val="clear" w:color="auto" w:fill="FFFFFF"/>
            <w:tcMar>
              <w:top w:w="0" w:type="dxa"/>
              <w:left w:w="85" w:type="dxa"/>
              <w:bottom w:w="0" w:type="dxa"/>
              <w:right w:w="85" w:type="dxa"/>
            </w:tcMar>
            <w:vAlign w:val="bottom"/>
          </w:tcPr>
          <w:p w14:paraId="652664BB" w14:textId="77777777" w:rsidR="00442E6D" w:rsidRPr="002A40C0" w:rsidRDefault="00442E6D" w:rsidP="00B063F2">
            <w:pPr>
              <w:pStyle w:val="TableText"/>
              <w:jc w:val="right"/>
            </w:pPr>
            <w:r w:rsidRPr="002A40C0">
              <w:rPr>
                <w:rFonts w:eastAsia="Calibri"/>
              </w:rPr>
              <w:t>8,936.6</w:t>
            </w:r>
          </w:p>
        </w:tc>
        <w:tc>
          <w:tcPr>
            <w:tcW w:w="0" w:type="auto"/>
            <w:shd w:val="clear" w:color="auto" w:fill="FFFFFF"/>
            <w:tcMar>
              <w:top w:w="0" w:type="dxa"/>
              <w:left w:w="85" w:type="dxa"/>
              <w:bottom w:w="0" w:type="dxa"/>
              <w:right w:w="85" w:type="dxa"/>
            </w:tcMar>
            <w:vAlign w:val="bottom"/>
          </w:tcPr>
          <w:p w14:paraId="0CF33952" w14:textId="77777777" w:rsidR="00442E6D" w:rsidRPr="002A40C0" w:rsidRDefault="00442E6D" w:rsidP="00B063F2">
            <w:pPr>
              <w:pStyle w:val="TableText"/>
              <w:jc w:val="right"/>
            </w:pPr>
            <w:r w:rsidRPr="002A40C0">
              <w:rPr>
                <w:rFonts w:eastAsia="Calibri"/>
              </w:rPr>
              <w:t>6,657.5</w:t>
            </w:r>
          </w:p>
        </w:tc>
        <w:tc>
          <w:tcPr>
            <w:tcW w:w="0" w:type="auto"/>
            <w:shd w:val="clear" w:color="auto" w:fill="FFFFFF"/>
            <w:tcMar>
              <w:top w:w="0" w:type="dxa"/>
              <w:left w:w="85" w:type="dxa"/>
              <w:bottom w:w="0" w:type="dxa"/>
              <w:right w:w="85" w:type="dxa"/>
            </w:tcMar>
            <w:vAlign w:val="bottom"/>
          </w:tcPr>
          <w:p w14:paraId="69EABB07" w14:textId="77777777" w:rsidR="00442E6D" w:rsidRPr="002A40C0" w:rsidRDefault="00442E6D" w:rsidP="00B063F2">
            <w:pPr>
              <w:pStyle w:val="TableText"/>
              <w:jc w:val="right"/>
            </w:pPr>
            <w:r w:rsidRPr="002A40C0">
              <w:rPr>
                <w:rFonts w:eastAsia="Calibri"/>
              </w:rPr>
              <w:t>4,965.37</w:t>
            </w:r>
          </w:p>
        </w:tc>
        <w:tc>
          <w:tcPr>
            <w:tcW w:w="0" w:type="auto"/>
            <w:shd w:val="clear" w:color="auto" w:fill="FFFFFF"/>
            <w:tcMar>
              <w:top w:w="0" w:type="dxa"/>
              <w:left w:w="85" w:type="dxa"/>
              <w:bottom w:w="0" w:type="dxa"/>
              <w:right w:w="85" w:type="dxa"/>
            </w:tcMar>
            <w:vAlign w:val="bottom"/>
          </w:tcPr>
          <w:p w14:paraId="6D15FD3E" w14:textId="77777777" w:rsidR="00442E6D" w:rsidRPr="002A40C0" w:rsidRDefault="00442E6D" w:rsidP="00B063F2">
            <w:pPr>
              <w:pStyle w:val="TableText"/>
              <w:jc w:val="right"/>
            </w:pPr>
            <w:r w:rsidRPr="002A40C0">
              <w:rPr>
                <w:rFonts w:eastAsia="Calibri"/>
              </w:rPr>
              <w:t>4,442.4</w:t>
            </w:r>
          </w:p>
        </w:tc>
        <w:tc>
          <w:tcPr>
            <w:tcW w:w="0" w:type="auto"/>
            <w:shd w:val="clear" w:color="auto" w:fill="FFFFFF"/>
            <w:tcMar>
              <w:top w:w="0" w:type="dxa"/>
              <w:left w:w="85" w:type="dxa"/>
              <w:bottom w:w="0" w:type="dxa"/>
              <w:right w:w="85" w:type="dxa"/>
            </w:tcMar>
            <w:vAlign w:val="bottom"/>
          </w:tcPr>
          <w:p w14:paraId="7FA11D78" w14:textId="77777777" w:rsidR="00442E6D" w:rsidRPr="002A40C0" w:rsidRDefault="00442E6D" w:rsidP="00B063F2">
            <w:pPr>
              <w:pStyle w:val="TableText"/>
              <w:jc w:val="right"/>
            </w:pPr>
            <w:r w:rsidRPr="002A40C0">
              <w:rPr>
                <w:rFonts w:eastAsia="Calibri"/>
              </w:rPr>
              <w:t>2,845.7</w:t>
            </w:r>
          </w:p>
        </w:tc>
        <w:tc>
          <w:tcPr>
            <w:tcW w:w="0" w:type="auto"/>
            <w:shd w:val="clear" w:color="auto" w:fill="FFFFFF"/>
            <w:tcMar>
              <w:top w:w="0" w:type="dxa"/>
              <w:left w:w="85" w:type="dxa"/>
              <w:bottom w:w="0" w:type="dxa"/>
              <w:right w:w="85" w:type="dxa"/>
            </w:tcMar>
            <w:vAlign w:val="bottom"/>
          </w:tcPr>
          <w:p w14:paraId="62F47ECD" w14:textId="77777777" w:rsidR="00442E6D" w:rsidRPr="002A40C0" w:rsidRDefault="00442E6D" w:rsidP="00B063F2">
            <w:pPr>
              <w:pStyle w:val="TableText"/>
              <w:jc w:val="right"/>
            </w:pPr>
            <w:r w:rsidRPr="002A40C0">
              <w:rPr>
                <w:rFonts w:eastAsia="Calibri"/>
              </w:rPr>
              <w:t>2,319.2</w:t>
            </w:r>
          </w:p>
        </w:tc>
        <w:tc>
          <w:tcPr>
            <w:tcW w:w="0" w:type="auto"/>
            <w:shd w:val="clear" w:color="auto" w:fill="FFFFFF"/>
            <w:tcMar>
              <w:top w:w="0" w:type="dxa"/>
              <w:left w:w="85" w:type="dxa"/>
              <w:bottom w:w="0" w:type="dxa"/>
              <w:right w:w="85" w:type="dxa"/>
            </w:tcMar>
            <w:vAlign w:val="bottom"/>
          </w:tcPr>
          <w:p w14:paraId="58B16233" w14:textId="77777777" w:rsidR="00442E6D" w:rsidRPr="002A40C0" w:rsidRDefault="00442E6D" w:rsidP="00B063F2">
            <w:pPr>
              <w:pStyle w:val="TableText"/>
              <w:jc w:val="right"/>
            </w:pPr>
            <w:r w:rsidRPr="002A40C0">
              <w:rPr>
                <w:rFonts w:eastAsia="Calibri"/>
              </w:rPr>
              <w:t>3,131.8</w:t>
            </w:r>
          </w:p>
        </w:tc>
        <w:tc>
          <w:tcPr>
            <w:tcW w:w="0" w:type="auto"/>
            <w:shd w:val="clear" w:color="auto" w:fill="FFFFFF"/>
            <w:tcMar>
              <w:top w:w="0" w:type="dxa"/>
              <w:left w:w="85" w:type="dxa"/>
              <w:bottom w:w="0" w:type="dxa"/>
              <w:right w:w="85" w:type="dxa"/>
            </w:tcMar>
            <w:vAlign w:val="bottom"/>
          </w:tcPr>
          <w:p w14:paraId="281135AA" w14:textId="77777777" w:rsidR="00442E6D" w:rsidRPr="002A40C0" w:rsidRDefault="00442E6D" w:rsidP="00B063F2">
            <w:pPr>
              <w:pStyle w:val="TableText"/>
              <w:jc w:val="right"/>
            </w:pPr>
            <w:r w:rsidRPr="002A40C0">
              <w:rPr>
                <w:rFonts w:eastAsia="Calibri"/>
              </w:rPr>
              <w:t>1,320.5</w:t>
            </w:r>
          </w:p>
        </w:tc>
      </w:tr>
      <w:tr w:rsidR="00442E6D" w:rsidRPr="002A40C0" w14:paraId="7E1F62AC" w14:textId="77777777" w:rsidTr="00B5164F">
        <w:trPr>
          <w:cantSplit/>
          <w:trHeight w:val="283"/>
        </w:trPr>
        <w:tc>
          <w:tcPr>
            <w:tcW w:w="1531" w:type="dxa"/>
            <w:shd w:val="clear" w:color="auto" w:fill="FFFFFF"/>
            <w:tcMar>
              <w:top w:w="0" w:type="dxa"/>
              <w:left w:w="85" w:type="dxa"/>
              <w:bottom w:w="0" w:type="dxa"/>
              <w:right w:w="85" w:type="dxa"/>
            </w:tcMar>
            <w:vAlign w:val="bottom"/>
          </w:tcPr>
          <w:p w14:paraId="5BEBCFED" w14:textId="77777777" w:rsidR="00442E6D" w:rsidRPr="002A40C0" w:rsidRDefault="00442E6D" w:rsidP="00B063F2">
            <w:pPr>
              <w:pStyle w:val="TableText"/>
            </w:pPr>
            <w:r w:rsidRPr="002A40C0">
              <w:rPr>
                <w:rFonts w:eastAsia="Calibri"/>
              </w:rPr>
              <w:t>Forest management</w:t>
            </w:r>
          </w:p>
        </w:tc>
        <w:tc>
          <w:tcPr>
            <w:tcW w:w="0" w:type="auto"/>
            <w:shd w:val="clear" w:color="auto" w:fill="FFFFFF"/>
            <w:tcMar>
              <w:top w:w="0" w:type="dxa"/>
              <w:left w:w="85" w:type="dxa"/>
              <w:bottom w:w="0" w:type="dxa"/>
              <w:right w:w="85" w:type="dxa"/>
            </w:tcMar>
            <w:vAlign w:val="bottom"/>
          </w:tcPr>
          <w:p w14:paraId="0094A4B9" w14:textId="77777777" w:rsidR="00442E6D" w:rsidRPr="002A40C0" w:rsidRDefault="00442E6D" w:rsidP="00B063F2">
            <w:pPr>
              <w:pStyle w:val="TableText"/>
              <w:jc w:val="right"/>
              <w:rPr>
                <w:rFonts w:eastAsia="Calibri"/>
              </w:rPr>
            </w:pPr>
            <w:r w:rsidRPr="002A40C0">
              <w:rPr>
                <w:rFonts w:eastAsia="Calibri"/>
              </w:rPr>
              <w:t xml:space="preserve">–24,180.7 </w:t>
            </w:r>
          </w:p>
        </w:tc>
        <w:tc>
          <w:tcPr>
            <w:tcW w:w="0" w:type="auto"/>
            <w:shd w:val="clear" w:color="auto" w:fill="FFFFFF"/>
            <w:tcMar>
              <w:top w:w="0" w:type="dxa"/>
              <w:left w:w="85" w:type="dxa"/>
              <w:bottom w:w="0" w:type="dxa"/>
              <w:right w:w="85" w:type="dxa"/>
            </w:tcMar>
            <w:vAlign w:val="bottom"/>
          </w:tcPr>
          <w:p w14:paraId="617FF6B7" w14:textId="77777777" w:rsidR="00442E6D" w:rsidRPr="002A40C0" w:rsidRDefault="00442E6D" w:rsidP="00B063F2">
            <w:pPr>
              <w:pStyle w:val="TableText"/>
              <w:jc w:val="right"/>
              <w:rPr>
                <w:rFonts w:eastAsia="Calibri"/>
              </w:rPr>
            </w:pPr>
            <w:r w:rsidRPr="002A40C0">
              <w:rPr>
                <w:rFonts w:eastAsia="Calibri"/>
              </w:rPr>
              <w:t xml:space="preserve">–21,978.2 </w:t>
            </w:r>
          </w:p>
        </w:tc>
        <w:tc>
          <w:tcPr>
            <w:tcW w:w="0" w:type="auto"/>
            <w:shd w:val="clear" w:color="auto" w:fill="FFFFFF"/>
            <w:tcMar>
              <w:top w:w="0" w:type="dxa"/>
              <w:left w:w="85" w:type="dxa"/>
              <w:bottom w:w="0" w:type="dxa"/>
              <w:right w:w="85" w:type="dxa"/>
            </w:tcMar>
            <w:vAlign w:val="bottom"/>
          </w:tcPr>
          <w:p w14:paraId="0528BC74" w14:textId="77777777" w:rsidR="00442E6D" w:rsidRPr="002A40C0" w:rsidRDefault="00442E6D" w:rsidP="00B063F2">
            <w:pPr>
              <w:pStyle w:val="TableText"/>
              <w:jc w:val="right"/>
              <w:rPr>
                <w:rFonts w:eastAsia="Calibri"/>
              </w:rPr>
            </w:pPr>
            <w:r w:rsidRPr="002A40C0">
              <w:rPr>
                <w:rFonts w:eastAsia="Calibri"/>
              </w:rPr>
              <w:t xml:space="preserve">–20,019.5 </w:t>
            </w:r>
          </w:p>
        </w:tc>
        <w:tc>
          <w:tcPr>
            <w:tcW w:w="0" w:type="auto"/>
            <w:shd w:val="clear" w:color="auto" w:fill="FFFFFF"/>
            <w:tcMar>
              <w:top w:w="0" w:type="dxa"/>
              <w:left w:w="85" w:type="dxa"/>
              <w:bottom w:w="0" w:type="dxa"/>
              <w:right w:w="85" w:type="dxa"/>
            </w:tcMar>
            <w:vAlign w:val="bottom"/>
          </w:tcPr>
          <w:p w14:paraId="06D25149" w14:textId="77777777" w:rsidR="00442E6D" w:rsidRPr="002A40C0" w:rsidRDefault="00442E6D" w:rsidP="00B063F2">
            <w:pPr>
              <w:pStyle w:val="TableText"/>
              <w:jc w:val="right"/>
              <w:rPr>
                <w:rFonts w:eastAsia="Calibri"/>
              </w:rPr>
            </w:pPr>
            <w:r w:rsidRPr="002A40C0">
              <w:rPr>
                <w:rFonts w:eastAsia="Calibri"/>
              </w:rPr>
              <w:t xml:space="preserve">–18,515.0 </w:t>
            </w:r>
          </w:p>
        </w:tc>
        <w:tc>
          <w:tcPr>
            <w:tcW w:w="0" w:type="auto"/>
            <w:shd w:val="clear" w:color="auto" w:fill="FFFFFF"/>
            <w:tcMar>
              <w:top w:w="0" w:type="dxa"/>
              <w:left w:w="85" w:type="dxa"/>
              <w:bottom w:w="0" w:type="dxa"/>
              <w:right w:w="85" w:type="dxa"/>
            </w:tcMar>
            <w:vAlign w:val="bottom"/>
          </w:tcPr>
          <w:p w14:paraId="4D851843" w14:textId="77777777" w:rsidR="00442E6D" w:rsidRPr="002A40C0" w:rsidRDefault="00442E6D" w:rsidP="00B063F2">
            <w:pPr>
              <w:pStyle w:val="TableText"/>
              <w:jc w:val="right"/>
              <w:rPr>
                <w:rFonts w:eastAsia="Calibri"/>
              </w:rPr>
            </w:pPr>
            <w:r w:rsidRPr="002A40C0">
              <w:rPr>
                <w:rFonts w:eastAsia="Calibri"/>
              </w:rPr>
              <w:t xml:space="preserve">–15,503.6 </w:t>
            </w:r>
          </w:p>
        </w:tc>
        <w:tc>
          <w:tcPr>
            <w:tcW w:w="0" w:type="auto"/>
            <w:shd w:val="clear" w:color="auto" w:fill="FFFFFF"/>
            <w:tcMar>
              <w:top w:w="0" w:type="dxa"/>
              <w:left w:w="85" w:type="dxa"/>
              <w:bottom w:w="0" w:type="dxa"/>
              <w:right w:w="85" w:type="dxa"/>
            </w:tcMar>
            <w:vAlign w:val="bottom"/>
          </w:tcPr>
          <w:p w14:paraId="0600ABC5" w14:textId="77777777" w:rsidR="00442E6D" w:rsidRPr="002A40C0" w:rsidRDefault="00442E6D" w:rsidP="00B063F2">
            <w:pPr>
              <w:pStyle w:val="TableText"/>
              <w:jc w:val="right"/>
              <w:rPr>
                <w:rFonts w:eastAsia="Calibri"/>
              </w:rPr>
            </w:pPr>
            <w:r w:rsidRPr="002A40C0">
              <w:rPr>
                <w:rFonts w:eastAsia="Calibri"/>
              </w:rPr>
              <w:t xml:space="preserve">–15,247.1 </w:t>
            </w:r>
          </w:p>
        </w:tc>
        <w:tc>
          <w:tcPr>
            <w:tcW w:w="0" w:type="auto"/>
            <w:shd w:val="clear" w:color="auto" w:fill="FFFFFF"/>
            <w:tcMar>
              <w:top w:w="0" w:type="dxa"/>
              <w:left w:w="85" w:type="dxa"/>
              <w:bottom w:w="0" w:type="dxa"/>
              <w:right w:w="85" w:type="dxa"/>
            </w:tcMar>
            <w:vAlign w:val="bottom"/>
          </w:tcPr>
          <w:p w14:paraId="62CA477B" w14:textId="77777777" w:rsidR="00442E6D" w:rsidRPr="002A40C0" w:rsidRDefault="00442E6D" w:rsidP="00B063F2">
            <w:pPr>
              <w:pStyle w:val="TableText"/>
              <w:jc w:val="right"/>
              <w:rPr>
                <w:rFonts w:eastAsia="Calibri"/>
              </w:rPr>
            </w:pPr>
            <w:r w:rsidRPr="002A40C0">
              <w:rPr>
                <w:rFonts w:eastAsia="Calibri"/>
              </w:rPr>
              <w:t xml:space="preserve">–15,220.7 </w:t>
            </w:r>
          </w:p>
        </w:tc>
        <w:tc>
          <w:tcPr>
            <w:tcW w:w="0" w:type="auto"/>
            <w:shd w:val="clear" w:color="auto" w:fill="FFFFFF"/>
            <w:tcMar>
              <w:top w:w="0" w:type="dxa"/>
              <w:left w:w="85" w:type="dxa"/>
              <w:bottom w:w="0" w:type="dxa"/>
              <w:right w:w="85" w:type="dxa"/>
            </w:tcMar>
            <w:vAlign w:val="bottom"/>
          </w:tcPr>
          <w:p w14:paraId="05252C41" w14:textId="77777777" w:rsidR="00442E6D" w:rsidRPr="002A40C0" w:rsidRDefault="00442E6D" w:rsidP="00B063F2">
            <w:pPr>
              <w:pStyle w:val="TableText"/>
              <w:jc w:val="right"/>
              <w:rPr>
                <w:rFonts w:eastAsia="Calibri"/>
              </w:rPr>
            </w:pPr>
            <w:r w:rsidRPr="002A40C0">
              <w:rPr>
                <w:rFonts w:eastAsia="Calibri"/>
              </w:rPr>
              <w:t xml:space="preserve">–16,031.9 </w:t>
            </w:r>
          </w:p>
        </w:tc>
      </w:tr>
      <w:tr w:rsidR="00442E6D" w:rsidRPr="002A40C0" w14:paraId="72377036" w14:textId="77777777" w:rsidTr="00B5164F">
        <w:trPr>
          <w:cantSplit/>
          <w:trHeight w:val="283"/>
        </w:trPr>
        <w:tc>
          <w:tcPr>
            <w:tcW w:w="1531" w:type="dxa"/>
            <w:shd w:val="clear" w:color="auto" w:fill="FFFFFF"/>
            <w:tcMar>
              <w:top w:w="0" w:type="dxa"/>
              <w:left w:w="85" w:type="dxa"/>
              <w:bottom w:w="0" w:type="dxa"/>
              <w:right w:w="85" w:type="dxa"/>
            </w:tcMar>
            <w:vAlign w:val="bottom"/>
          </w:tcPr>
          <w:p w14:paraId="15194F02" w14:textId="77777777" w:rsidR="00442E6D" w:rsidRPr="002A40C0" w:rsidRDefault="00442E6D" w:rsidP="00B063F2">
            <w:pPr>
              <w:pStyle w:val="Tableboldblue"/>
            </w:pPr>
            <w:r w:rsidRPr="002A40C0">
              <w:rPr>
                <w:rFonts w:eastAsia="Calibri"/>
              </w:rPr>
              <w:t>Net emissions (kt CO</w:t>
            </w:r>
            <w:r w:rsidRPr="002A40C0">
              <w:rPr>
                <w:rFonts w:eastAsia="Calibri"/>
                <w:vertAlign w:val="subscript"/>
              </w:rPr>
              <w:t>2</w:t>
            </w:r>
            <w:r w:rsidRPr="002A40C0">
              <w:rPr>
                <w:rFonts w:eastAsia="Calibri"/>
              </w:rPr>
              <w:t>-e)</w:t>
            </w:r>
          </w:p>
        </w:tc>
        <w:tc>
          <w:tcPr>
            <w:tcW w:w="0" w:type="auto"/>
            <w:shd w:val="clear" w:color="auto" w:fill="FFFFFF"/>
            <w:tcMar>
              <w:top w:w="0" w:type="dxa"/>
              <w:left w:w="85" w:type="dxa"/>
              <w:bottom w:w="0" w:type="dxa"/>
              <w:right w:w="85" w:type="dxa"/>
            </w:tcMar>
            <w:vAlign w:val="bottom"/>
          </w:tcPr>
          <w:p w14:paraId="06F8B035" w14:textId="77777777" w:rsidR="00442E6D" w:rsidRPr="002A40C0" w:rsidRDefault="00442E6D" w:rsidP="00B5164F">
            <w:pPr>
              <w:pStyle w:val="Tableboldblue"/>
              <w:rPr>
                <w:rFonts w:eastAsia="Calibri"/>
              </w:rPr>
            </w:pPr>
            <w:r w:rsidRPr="002A40C0">
              <w:rPr>
                <w:rFonts w:eastAsia="Calibri"/>
              </w:rPr>
              <w:t xml:space="preserve">–32,764.3 </w:t>
            </w:r>
          </w:p>
        </w:tc>
        <w:tc>
          <w:tcPr>
            <w:tcW w:w="0" w:type="auto"/>
            <w:shd w:val="clear" w:color="auto" w:fill="FFFFFF"/>
            <w:tcMar>
              <w:top w:w="0" w:type="dxa"/>
              <w:left w:w="85" w:type="dxa"/>
              <w:bottom w:w="0" w:type="dxa"/>
              <w:right w:w="85" w:type="dxa"/>
            </w:tcMar>
            <w:vAlign w:val="bottom"/>
          </w:tcPr>
          <w:p w14:paraId="0D8CA8BD" w14:textId="77777777" w:rsidR="00442E6D" w:rsidRPr="002A40C0" w:rsidRDefault="00442E6D" w:rsidP="00B5164F">
            <w:pPr>
              <w:pStyle w:val="Tableboldblue"/>
              <w:rPr>
                <w:rFonts w:eastAsia="Calibri"/>
              </w:rPr>
            </w:pPr>
            <w:r w:rsidRPr="002A40C0">
              <w:rPr>
                <w:rFonts w:eastAsia="Calibri"/>
              </w:rPr>
              <w:t xml:space="preserve">–33,234.2 </w:t>
            </w:r>
          </w:p>
        </w:tc>
        <w:tc>
          <w:tcPr>
            <w:tcW w:w="0" w:type="auto"/>
            <w:shd w:val="clear" w:color="auto" w:fill="FFFFFF"/>
            <w:tcMar>
              <w:top w:w="0" w:type="dxa"/>
              <w:left w:w="85" w:type="dxa"/>
              <w:bottom w:w="0" w:type="dxa"/>
              <w:right w:w="85" w:type="dxa"/>
            </w:tcMar>
            <w:vAlign w:val="bottom"/>
          </w:tcPr>
          <w:p w14:paraId="68321913" w14:textId="77777777" w:rsidR="00442E6D" w:rsidRPr="002A40C0" w:rsidRDefault="00442E6D" w:rsidP="00B5164F">
            <w:pPr>
              <w:pStyle w:val="Tableboldblue"/>
              <w:rPr>
                <w:rFonts w:eastAsia="Calibri"/>
              </w:rPr>
            </w:pPr>
            <w:r w:rsidRPr="002A40C0">
              <w:rPr>
                <w:rFonts w:eastAsia="Calibri"/>
              </w:rPr>
              <w:t xml:space="preserve">–33,108.3 </w:t>
            </w:r>
          </w:p>
        </w:tc>
        <w:tc>
          <w:tcPr>
            <w:tcW w:w="0" w:type="auto"/>
            <w:shd w:val="clear" w:color="auto" w:fill="FFFFFF"/>
            <w:tcMar>
              <w:top w:w="0" w:type="dxa"/>
              <w:left w:w="85" w:type="dxa"/>
              <w:bottom w:w="0" w:type="dxa"/>
              <w:right w:w="85" w:type="dxa"/>
            </w:tcMar>
            <w:vAlign w:val="bottom"/>
          </w:tcPr>
          <w:p w14:paraId="64F8D381" w14:textId="77777777" w:rsidR="00442E6D" w:rsidRPr="002A40C0" w:rsidRDefault="00442E6D" w:rsidP="00B5164F">
            <w:pPr>
              <w:pStyle w:val="Tableboldblue"/>
              <w:rPr>
                <w:rFonts w:eastAsia="Calibri"/>
              </w:rPr>
            </w:pPr>
            <w:r w:rsidRPr="002A40C0">
              <w:rPr>
                <w:rFonts w:eastAsia="Calibri"/>
              </w:rPr>
              <w:t xml:space="preserve">–32,077.4 </w:t>
            </w:r>
          </w:p>
        </w:tc>
        <w:tc>
          <w:tcPr>
            <w:tcW w:w="0" w:type="auto"/>
            <w:shd w:val="clear" w:color="auto" w:fill="FFFFFF"/>
            <w:tcMar>
              <w:top w:w="0" w:type="dxa"/>
              <w:left w:w="85" w:type="dxa"/>
              <w:bottom w:w="0" w:type="dxa"/>
              <w:right w:w="85" w:type="dxa"/>
            </w:tcMar>
            <w:vAlign w:val="bottom"/>
          </w:tcPr>
          <w:p w14:paraId="38D6E164" w14:textId="77777777" w:rsidR="00442E6D" w:rsidRPr="002A40C0" w:rsidRDefault="00442E6D" w:rsidP="00B5164F">
            <w:pPr>
              <w:pStyle w:val="Tableboldblue"/>
              <w:rPr>
                <w:rFonts w:eastAsia="Calibri"/>
              </w:rPr>
            </w:pPr>
            <w:r w:rsidRPr="002A40C0">
              <w:rPr>
                <w:rFonts w:eastAsia="Calibri"/>
              </w:rPr>
              <w:t xml:space="preserve">–31,144.4 </w:t>
            </w:r>
          </w:p>
        </w:tc>
        <w:tc>
          <w:tcPr>
            <w:tcW w:w="0" w:type="auto"/>
            <w:shd w:val="clear" w:color="auto" w:fill="FFFFFF"/>
            <w:tcMar>
              <w:top w:w="0" w:type="dxa"/>
              <w:left w:w="85" w:type="dxa"/>
              <w:bottom w:w="0" w:type="dxa"/>
              <w:right w:w="85" w:type="dxa"/>
            </w:tcMar>
            <w:vAlign w:val="bottom"/>
          </w:tcPr>
          <w:p w14:paraId="269197E4" w14:textId="77777777" w:rsidR="00442E6D" w:rsidRPr="002A40C0" w:rsidRDefault="00442E6D" w:rsidP="00B5164F">
            <w:pPr>
              <w:pStyle w:val="Tableboldblue"/>
              <w:rPr>
                <w:rFonts w:eastAsia="Calibri"/>
              </w:rPr>
            </w:pPr>
            <w:r w:rsidRPr="002A40C0">
              <w:rPr>
                <w:rFonts w:eastAsia="Calibri"/>
              </w:rPr>
              <w:t xml:space="preserve">–30,669.0 </w:t>
            </w:r>
          </w:p>
        </w:tc>
        <w:tc>
          <w:tcPr>
            <w:tcW w:w="0" w:type="auto"/>
            <w:shd w:val="clear" w:color="auto" w:fill="FFFFFF"/>
            <w:tcMar>
              <w:top w:w="0" w:type="dxa"/>
              <w:left w:w="85" w:type="dxa"/>
              <w:bottom w:w="0" w:type="dxa"/>
              <w:right w:w="85" w:type="dxa"/>
            </w:tcMar>
            <w:vAlign w:val="bottom"/>
          </w:tcPr>
          <w:p w14:paraId="3A7CC225" w14:textId="77777777" w:rsidR="00442E6D" w:rsidRPr="002A40C0" w:rsidRDefault="00442E6D" w:rsidP="00B5164F">
            <w:pPr>
              <w:pStyle w:val="Tableboldblue"/>
              <w:rPr>
                <w:rFonts w:eastAsia="Calibri"/>
              </w:rPr>
            </w:pPr>
            <w:r w:rsidRPr="002A40C0">
              <w:rPr>
                <w:rFonts w:eastAsia="Calibri"/>
              </w:rPr>
              <w:t xml:space="preserve">–28,822.5 </w:t>
            </w:r>
          </w:p>
        </w:tc>
        <w:tc>
          <w:tcPr>
            <w:tcW w:w="0" w:type="auto"/>
            <w:shd w:val="clear" w:color="auto" w:fill="FFFFFF"/>
            <w:tcMar>
              <w:top w:w="0" w:type="dxa"/>
              <w:left w:w="85" w:type="dxa"/>
              <w:bottom w:w="0" w:type="dxa"/>
              <w:right w:w="85" w:type="dxa"/>
            </w:tcMar>
            <w:vAlign w:val="bottom"/>
          </w:tcPr>
          <w:p w14:paraId="5F30E7BF" w14:textId="77777777" w:rsidR="00442E6D" w:rsidRPr="002A40C0" w:rsidRDefault="00442E6D" w:rsidP="00B5164F">
            <w:pPr>
              <w:pStyle w:val="Tableboldblue"/>
              <w:rPr>
                <w:rFonts w:eastAsia="Calibri"/>
              </w:rPr>
            </w:pPr>
            <w:r w:rsidRPr="002A40C0">
              <w:rPr>
                <w:rFonts w:eastAsia="Calibri"/>
              </w:rPr>
              <w:t xml:space="preserve">–29,476.1 </w:t>
            </w:r>
          </w:p>
        </w:tc>
      </w:tr>
    </w:tbl>
    <w:p w14:paraId="53D8C20D" w14:textId="77777777" w:rsidR="00442E6D" w:rsidRPr="002A40C0" w:rsidRDefault="00442E6D" w:rsidP="00442E6D">
      <w:pPr>
        <w:pStyle w:val="Noteundertable"/>
      </w:pPr>
      <w:r w:rsidRPr="002A40C0">
        <w:rPr>
          <w:b/>
          <w:bCs/>
        </w:rPr>
        <w:lastRenderedPageBreak/>
        <w:t>Note:</w:t>
      </w:r>
      <w:r w:rsidRPr="002A40C0">
        <w:tab/>
        <w:t xml:space="preserve">All figures for 2017, 2018, 2019 and 2020 are provisional. The accounting quantity includes net emissions from </w:t>
      </w:r>
      <w:r w:rsidRPr="002A40C0">
        <w:rPr>
          <w:i/>
          <w:iCs/>
        </w:rPr>
        <w:t>Forest management</w:t>
      </w:r>
      <w:r w:rsidRPr="002A40C0">
        <w:t xml:space="preserve"> because these are accounted for this year against a forest management reference level and the cap applied; for further information, see chapter 11, section 11.3.4. Removals are expressed as </w:t>
      </w:r>
      <w:r w:rsidRPr="002A40C0">
        <w:rPr>
          <w:spacing w:val="-2"/>
        </w:rPr>
        <w:t xml:space="preserve">a negative value as per section 2.2.3 of the 2006 IPCC Guidelines (IPCC, 2006). </w:t>
      </w:r>
      <w:r w:rsidRPr="002A40C0">
        <w:rPr>
          <w:i/>
          <w:iCs/>
          <w:spacing w:val="-2"/>
        </w:rPr>
        <w:t>Afforestation and reforestation</w:t>
      </w:r>
      <w:r w:rsidRPr="002A40C0">
        <w:rPr>
          <w:i/>
          <w:iCs/>
        </w:rPr>
        <w:t xml:space="preserve"> </w:t>
      </w:r>
      <w:r w:rsidRPr="002A40C0">
        <w:t xml:space="preserve">refers to new forest established since 31 December 1989; </w:t>
      </w:r>
      <w:r w:rsidRPr="002A40C0">
        <w:rPr>
          <w:i/>
          <w:iCs/>
        </w:rPr>
        <w:t>Forest management</w:t>
      </w:r>
      <w:r w:rsidRPr="002A40C0">
        <w:t xml:space="preserve"> refers to forests that were established before 1 January 1990. Columns may not total due to rounding.</w:t>
      </w:r>
    </w:p>
    <w:p w14:paraId="3D993F12" w14:textId="77777777" w:rsidR="00442E6D" w:rsidRPr="002A40C0" w:rsidRDefault="00442E6D" w:rsidP="00442E6D">
      <w:pPr>
        <w:pStyle w:val="Heading2"/>
      </w:pPr>
      <w:bookmarkStart w:id="37" w:name="_Toc99659091"/>
      <w:bookmarkStart w:id="38" w:name="es.6-improvements-introduced"/>
      <w:bookmarkEnd w:id="32"/>
      <w:bookmarkEnd w:id="35"/>
      <w:r w:rsidRPr="002A40C0">
        <w:t xml:space="preserve">ES.6 </w:t>
      </w:r>
      <w:r w:rsidRPr="002A40C0">
        <w:tab/>
        <w:t>Improvements introduced</w:t>
      </w:r>
      <w:bookmarkEnd w:id="37"/>
    </w:p>
    <w:p w14:paraId="3B1560EB" w14:textId="77777777" w:rsidR="00442E6D" w:rsidRPr="002A40C0" w:rsidRDefault="00442E6D" w:rsidP="00442E6D">
      <w:pPr>
        <w:pStyle w:val="BodyText"/>
      </w:pPr>
      <w:r w:rsidRPr="002A40C0">
        <w:t>The inventory follows a process of continuous improvement consistent with the IPCC principles. The IPCC 2006 Guidelines (IPCC, 2006) provide guidance on building and maintaining inventories that are consistent, comparable, complete, accurate and transparent in a manner that improves inventory quality over time. A range of improvements has been made to the inventory since the last submission. Improvements are made from year to year, to follow recommendations from international expert review teams, correct errors and implement additional changes planned by the agencies involved in preparing the inventory.</w:t>
      </w:r>
    </w:p>
    <w:p w14:paraId="3E33E6DF" w14:textId="77777777" w:rsidR="00442E6D" w:rsidRPr="002A40C0" w:rsidRDefault="00442E6D" w:rsidP="00442E6D">
      <w:pPr>
        <w:pStyle w:val="BodyText"/>
      </w:pPr>
      <w:r w:rsidRPr="002A40C0">
        <w:t>When improvements are made, it is good practice to recalculate the whole time series from 1990 to the current inventory year to ensure a consistent time series. This means estimates of emissions and/or removals in a given year may differ from emissions and/or removals reported in the previous submission.</w:t>
      </w:r>
    </w:p>
    <w:p w14:paraId="682CC822" w14:textId="77777777" w:rsidR="00442E6D" w:rsidRPr="002A40C0" w:rsidRDefault="00442E6D" w:rsidP="00442E6D">
      <w:pPr>
        <w:pStyle w:val="BodyText"/>
      </w:pPr>
      <w:r w:rsidRPr="002A40C0">
        <w:t>The main improvements by sector are outlined below. Chapter 10 provides information on all recalculations made to the estimates.</w:t>
      </w:r>
    </w:p>
    <w:p w14:paraId="1906B95D" w14:textId="77777777" w:rsidR="00442E6D" w:rsidRPr="002A40C0" w:rsidRDefault="00442E6D" w:rsidP="00442E6D">
      <w:pPr>
        <w:pStyle w:val="Heading4"/>
      </w:pPr>
      <w:bookmarkStart w:id="39" w:name="energy-chapter-3-1"/>
      <w:r w:rsidRPr="002A40C0">
        <w:t>Energy (chapter 3)</w:t>
      </w:r>
    </w:p>
    <w:p w14:paraId="3201E5AD" w14:textId="77777777" w:rsidR="00442E6D" w:rsidRPr="002A40C0" w:rsidRDefault="00442E6D" w:rsidP="00442E6D">
      <w:pPr>
        <w:pStyle w:val="BodyText"/>
      </w:pPr>
      <w:r w:rsidRPr="002A40C0">
        <w:t>A number of improvements have been introduced for the 2022 submission. Some were made in response to expert review team recommendations and, for instance, involve the use of more disaggregated data or reallocation of emissions. Details on these improvements are presented in chapter 10. Other improvements in accuracy have resulted from the standard revision of activity data. Energy activity data for the years 1990 to 2019 have been updated according to the latest energy statistics published by the Ministry of Business, Innovation and Employment (MBIE, 2021).</w:t>
      </w:r>
    </w:p>
    <w:p w14:paraId="0DD4DCDE" w14:textId="77777777" w:rsidR="00442E6D" w:rsidRPr="002A40C0" w:rsidRDefault="00442E6D" w:rsidP="00442E6D">
      <w:pPr>
        <w:pStyle w:val="BodyText"/>
      </w:pPr>
      <w:r w:rsidRPr="002A40C0">
        <w:t>Projects to implement further improvements for the reference approach and sectoral approach are ongoing. The system for tracking and calculating emissions within the Energy sector was previously migrated to the R programming language to improve data management. A further project to streamline and simplify the greenhouse gas reporting data system was completed in 2021. This project identified a number of minor inconsistencies and bugs that were addressed. Several upstream data systems, including the energy balance tables, have also been translated into the R programming language, to improve data management. Furthermore, work is progressing well on the construction of a new, comprehensive system for fuel properties data management. It is expected to be commissioned before New Zealand’s next submission. All source-specific planned improvements are discussed in their corresponding sections in chapter 3.</w:t>
      </w:r>
    </w:p>
    <w:p w14:paraId="3A29DAE9" w14:textId="77777777" w:rsidR="00442E6D" w:rsidRPr="002A40C0" w:rsidRDefault="00442E6D" w:rsidP="00442E6D">
      <w:pPr>
        <w:pStyle w:val="BodyText"/>
      </w:pPr>
      <w:r w:rsidRPr="002A40C0">
        <w:t>Changes to activity data in the Energy sector have resulted in a 0.6 per cent (133.2 kt CO</w:t>
      </w:r>
      <w:r w:rsidRPr="002A40C0">
        <w:rPr>
          <w:vertAlign w:val="subscript"/>
        </w:rPr>
        <w:t>2</w:t>
      </w:r>
      <w:r w:rsidRPr="002A40C0">
        <w:t>-e) increase in estimated energy emissions in 1990 and a 0.7 per cent (241.4 kt CO</w:t>
      </w:r>
      <w:r w:rsidRPr="002A40C0">
        <w:rPr>
          <w:vertAlign w:val="subscript"/>
        </w:rPr>
        <w:t>2</w:t>
      </w:r>
      <w:r w:rsidRPr="002A40C0">
        <w:t>-e) decrease in estimated energy emissions in 2019.</w:t>
      </w:r>
    </w:p>
    <w:p w14:paraId="72BFE133" w14:textId="77777777" w:rsidR="00442E6D" w:rsidRPr="002A40C0" w:rsidRDefault="00442E6D" w:rsidP="00442E6D">
      <w:pPr>
        <w:pStyle w:val="Heading4"/>
      </w:pPr>
      <w:bookmarkStart w:id="40" w:name="ippu-chapter-4-1"/>
      <w:bookmarkEnd w:id="39"/>
      <w:r w:rsidRPr="002A40C0">
        <w:lastRenderedPageBreak/>
        <w:t>IPPU (chapter 4)</w:t>
      </w:r>
    </w:p>
    <w:p w14:paraId="462F6972" w14:textId="77777777" w:rsidR="00442E6D" w:rsidRPr="002A40C0" w:rsidRDefault="00442E6D" w:rsidP="00A0394F">
      <w:pPr>
        <w:pStyle w:val="BodyText"/>
        <w:spacing w:before="100" w:after="100"/>
      </w:pPr>
      <w:r w:rsidRPr="002A40C0">
        <w:t xml:space="preserve">For this submission, amounts of refrigerant added to equipment in the </w:t>
      </w:r>
      <w:r w:rsidRPr="002A40C0">
        <w:rPr>
          <w:i/>
          <w:iCs/>
        </w:rPr>
        <w:t>Refrigeration and air conditioning</w:t>
      </w:r>
      <w:r w:rsidRPr="002A40C0">
        <w:t xml:space="preserve"> category were re-estimated to better account for changes in stocks held by importers and users.</w:t>
      </w:r>
    </w:p>
    <w:p w14:paraId="23ED2770" w14:textId="77777777" w:rsidR="00442E6D" w:rsidRPr="002A40C0" w:rsidRDefault="00442E6D" w:rsidP="00A0394F">
      <w:pPr>
        <w:pStyle w:val="BodyText"/>
        <w:spacing w:before="100" w:after="100"/>
      </w:pPr>
      <w:r w:rsidRPr="002A40C0">
        <w:t>Chapter 4, section 4.1.7 contains more details about improvements and recalculations for the IPPU sector.</w:t>
      </w:r>
    </w:p>
    <w:p w14:paraId="5C0EB22D" w14:textId="77777777" w:rsidR="00442E6D" w:rsidRPr="002A40C0" w:rsidRDefault="00442E6D" w:rsidP="00A0394F">
      <w:pPr>
        <w:pStyle w:val="BodyText"/>
        <w:spacing w:before="100" w:after="100"/>
      </w:pPr>
      <w:r w:rsidRPr="002A40C0">
        <w:t>Improvements and recalculations made in the IPPU sector have resulted in no change for 1990 and a 5.0 per cent decrease in estimated emissions for 2019 (254.9 kt CO</w:t>
      </w:r>
      <w:r w:rsidRPr="002A40C0">
        <w:rPr>
          <w:vertAlign w:val="subscript"/>
        </w:rPr>
        <w:t>2</w:t>
      </w:r>
      <w:r w:rsidRPr="002A40C0">
        <w:t>-e).</w:t>
      </w:r>
    </w:p>
    <w:p w14:paraId="3AD654EB" w14:textId="77777777" w:rsidR="00442E6D" w:rsidRPr="002A40C0" w:rsidRDefault="00442E6D" w:rsidP="00442E6D">
      <w:pPr>
        <w:pStyle w:val="Heading4"/>
      </w:pPr>
      <w:bookmarkStart w:id="41" w:name="agriculture-chapter-5-1"/>
      <w:bookmarkEnd w:id="40"/>
      <w:r w:rsidRPr="002A40C0">
        <w:t>Agriculture (chapter 5)</w:t>
      </w:r>
    </w:p>
    <w:p w14:paraId="4B849CC7" w14:textId="77777777" w:rsidR="00442E6D" w:rsidRPr="002A40C0" w:rsidRDefault="00442E6D" w:rsidP="00A0394F">
      <w:pPr>
        <w:pStyle w:val="BodyText"/>
        <w:spacing w:after="100"/>
      </w:pPr>
      <w:r w:rsidRPr="002A40C0">
        <w:t>New Zealand has made the following improvements and corrections to the Agriculture sector.</w:t>
      </w:r>
    </w:p>
    <w:p w14:paraId="397F5D3A" w14:textId="77777777" w:rsidR="00442E6D" w:rsidRPr="002A40C0" w:rsidRDefault="00442E6D" w:rsidP="00A0394F">
      <w:pPr>
        <w:pStyle w:val="Bullet"/>
        <w:tabs>
          <w:tab w:val="num" w:pos="567"/>
        </w:tabs>
        <w:spacing w:after="100"/>
      </w:pPr>
      <w:r w:rsidRPr="002A40C0">
        <w:t>Updated Frac</w:t>
      </w:r>
      <w:r w:rsidRPr="002A40C0">
        <w:rPr>
          <w:vertAlign w:val="subscript"/>
        </w:rPr>
        <w:t>LEACH</w:t>
      </w:r>
      <w:r w:rsidRPr="002A40C0">
        <w:t xml:space="preserve"> values for cropland were adopted for the entire time series (from 1990 to 2020). Further detail on this improvement can be found in chapter 5, section 5.5.5, chapter 10, section 10.1.3 and annex 3.</w:t>
      </w:r>
    </w:p>
    <w:p w14:paraId="6628593A" w14:textId="77777777" w:rsidR="00442E6D" w:rsidRPr="002A40C0" w:rsidRDefault="00442E6D" w:rsidP="00A0394F">
      <w:pPr>
        <w:pStyle w:val="Bullet"/>
        <w:spacing w:after="100"/>
      </w:pPr>
      <w:r w:rsidRPr="002A40C0">
        <w:t xml:space="preserve">The assumption regarding the purity of agricultural lime applied to soils was updated. </w:t>
      </w:r>
    </w:p>
    <w:p w14:paraId="34F3FA23" w14:textId="77777777" w:rsidR="00442E6D" w:rsidRPr="002A40C0" w:rsidRDefault="00442E6D" w:rsidP="00A0394F">
      <w:pPr>
        <w:pStyle w:val="BodyText"/>
        <w:spacing w:before="100" w:after="100"/>
      </w:pPr>
      <w:r w:rsidRPr="002A40C0">
        <w:t>Further details on these improvements can be found in chapter 5, section 5.8.6, chapter 10, section 10.1.3 and annex 3.</w:t>
      </w:r>
    </w:p>
    <w:p w14:paraId="0ECFD20E" w14:textId="77777777" w:rsidR="00442E6D" w:rsidRPr="002A40C0" w:rsidRDefault="00442E6D" w:rsidP="00A0394F">
      <w:pPr>
        <w:pStyle w:val="BodyText"/>
        <w:spacing w:before="100" w:after="100"/>
      </w:pPr>
      <w:r w:rsidRPr="002A40C0">
        <w:t xml:space="preserve">Improvements and recalculations made to the Agriculture sector in the 2022 submission have only had a small </w:t>
      </w:r>
      <w:r w:rsidRPr="00A0394F">
        <w:t>impact</w:t>
      </w:r>
      <w:r w:rsidRPr="002A40C0">
        <w:t xml:space="preserve"> on emissions. They resulted in a 0.18 percent (62.3 kt CO</w:t>
      </w:r>
      <w:r w:rsidRPr="002A40C0">
        <w:rPr>
          <w:vertAlign w:val="subscript"/>
        </w:rPr>
        <w:t>2</w:t>
      </w:r>
      <w:r w:rsidRPr="002A40C0">
        <w:t>-e) decrease in estimated agricultural emissions in 1990 and a 0.22 percent (85.4 kt CO</w:t>
      </w:r>
      <w:r w:rsidRPr="002A40C0">
        <w:rPr>
          <w:vertAlign w:val="subscript"/>
        </w:rPr>
        <w:t>2</w:t>
      </w:r>
      <w:r w:rsidRPr="002A40C0">
        <w:noBreakHyphen/>
        <w:t>e) decrease in estimated agricultural emissions in 2020.</w:t>
      </w:r>
    </w:p>
    <w:p w14:paraId="55BA258C" w14:textId="77777777" w:rsidR="00442E6D" w:rsidRPr="002A40C0" w:rsidRDefault="00442E6D" w:rsidP="00442E6D">
      <w:pPr>
        <w:pStyle w:val="Heading4"/>
      </w:pPr>
      <w:bookmarkStart w:id="42" w:name="lulucf-chapter-6-1"/>
      <w:bookmarkEnd w:id="41"/>
      <w:r w:rsidRPr="002A40C0">
        <w:t>LULUCF (chapter 6)</w:t>
      </w:r>
    </w:p>
    <w:p w14:paraId="613F4A1E" w14:textId="031B0999" w:rsidR="00442E6D" w:rsidRPr="002A40C0" w:rsidRDefault="00442E6D" w:rsidP="00A0394F">
      <w:pPr>
        <w:pStyle w:val="BodyText"/>
        <w:spacing w:before="100" w:after="100"/>
      </w:pPr>
      <w:r w:rsidRPr="002A40C0">
        <w:t>The main differences between this submission and estimates of New Zealand’s LULUCF net removals reported in the previous submission result from the following (in decreasing order of</w:t>
      </w:r>
      <w:r w:rsidR="00A0394F">
        <w:t> </w:t>
      </w:r>
      <w:r w:rsidRPr="002A40C0">
        <w:t>magnitude).</w:t>
      </w:r>
    </w:p>
    <w:p w14:paraId="540B4E11" w14:textId="77777777" w:rsidR="00442E6D" w:rsidRPr="002A40C0" w:rsidRDefault="00442E6D" w:rsidP="00A0394F">
      <w:pPr>
        <w:pStyle w:val="Bullet"/>
        <w:tabs>
          <w:tab w:val="num" w:pos="567"/>
        </w:tabs>
        <w:spacing w:after="100"/>
      </w:pPr>
      <w:r w:rsidRPr="002A40C0">
        <w:t>The methods used to estimate the planted forest average harvest age, harvest age profile (harvest area by age) and forest age profile have been updated. These changes have been made to improve the accuracy of the ages at which we report pre-1990 or post-1989 planted forest being harvested or deforested. These updates result in an increase in estimated emissions of approximately 1,700 kt CO</w:t>
      </w:r>
      <w:r w:rsidRPr="002A40C0">
        <w:rPr>
          <w:vertAlign w:val="subscript"/>
        </w:rPr>
        <w:t>2</w:t>
      </w:r>
      <w:r w:rsidRPr="002A40C0">
        <w:t>-e in 1990 and 100 kt CO</w:t>
      </w:r>
      <w:r w:rsidRPr="002A40C0">
        <w:rPr>
          <w:vertAlign w:val="subscript"/>
        </w:rPr>
        <w:t>2</w:t>
      </w:r>
      <w:r w:rsidRPr="002A40C0">
        <w:t>-e in 2019.</w:t>
      </w:r>
    </w:p>
    <w:p w14:paraId="50BED4F7" w14:textId="77777777" w:rsidR="00442E6D" w:rsidRPr="002A40C0" w:rsidRDefault="00442E6D" w:rsidP="00A0394F">
      <w:pPr>
        <w:pStyle w:val="Bullet"/>
        <w:tabs>
          <w:tab w:val="num" w:pos="567"/>
        </w:tabs>
        <w:spacing w:after="100"/>
      </w:pPr>
      <w:r w:rsidRPr="002A40C0">
        <w:t>The yield tables used for pre-1990 and post-1989 planted forest have been updated to provide more accurate and up-to-date estimates of carbon stock change. All planted forest yield tables have been updated to include plots measured in the 2020 national forest inventory. The period-specific yield tables used for pre-1990 planted forest have also been updated to reflect different planting periods. Changes to the planted forest yield tables have resulted in a decrease in emissions of approximately 115 kt CO</w:t>
      </w:r>
      <w:r w:rsidRPr="002A40C0">
        <w:rPr>
          <w:vertAlign w:val="subscript"/>
        </w:rPr>
        <w:t>2</w:t>
      </w:r>
      <w:r w:rsidRPr="002A40C0">
        <w:t>-e in 1990 and an increase in emissions of approximately 1,460 kt CO</w:t>
      </w:r>
      <w:r w:rsidRPr="002A40C0">
        <w:rPr>
          <w:vertAlign w:val="subscript"/>
        </w:rPr>
        <w:t>2</w:t>
      </w:r>
      <w:r w:rsidRPr="002A40C0">
        <w:t>-e in 2019.</w:t>
      </w:r>
    </w:p>
    <w:p w14:paraId="43FCEC0F" w14:textId="77777777" w:rsidR="00442E6D" w:rsidRPr="002A40C0" w:rsidRDefault="00442E6D" w:rsidP="00A0394F">
      <w:pPr>
        <w:pStyle w:val="Bullet"/>
        <w:tabs>
          <w:tab w:val="num" w:pos="567"/>
        </w:tabs>
        <w:spacing w:after="100"/>
      </w:pPr>
      <w:r w:rsidRPr="002A40C0">
        <w:t>The way in which the pre-1990 natural forest is classified has been updated to ensure consistency between the classification of tall and regenerating forest and assigning emission factors to forest area based on forest type. Additionally, the assumption that tall forests were in steady state has been revised so that a carbon stock change per hectare estimate is now also included for the tall forest component. Collectively, these changes have resulted in an increase in annual emissions estimates of approximately 1,300 kt CO</w:t>
      </w:r>
      <w:r w:rsidRPr="002A40C0">
        <w:rPr>
          <w:vertAlign w:val="subscript"/>
        </w:rPr>
        <w:t>2</w:t>
      </w:r>
      <w:r w:rsidRPr="002A40C0">
        <w:t>-e across the time series.</w:t>
      </w:r>
    </w:p>
    <w:p w14:paraId="58F8DD9B" w14:textId="77777777" w:rsidR="00442E6D" w:rsidRPr="002A40C0" w:rsidRDefault="00442E6D" w:rsidP="00442E6D">
      <w:pPr>
        <w:pStyle w:val="BodyText"/>
      </w:pPr>
      <w:r w:rsidRPr="002A40C0">
        <w:lastRenderedPageBreak/>
        <w:t>Chapter 6, section 6.1.4 and its land use category-specific sections contain more details about improvements and recalculations for the LULUCF sector.</w:t>
      </w:r>
    </w:p>
    <w:p w14:paraId="5E5A5B33" w14:textId="77777777" w:rsidR="00442E6D" w:rsidRPr="002A40C0" w:rsidRDefault="00442E6D" w:rsidP="00442E6D">
      <w:pPr>
        <w:pStyle w:val="BodyText"/>
      </w:pPr>
      <w:r w:rsidRPr="002A40C0">
        <w:t>Improvements made to the LULUCF sector have resulted in a 11.6 per cent (2,785.2 kt CO</w:t>
      </w:r>
      <w:r w:rsidRPr="002A40C0">
        <w:rPr>
          <w:vertAlign w:val="subscript"/>
        </w:rPr>
        <w:t>2</w:t>
      </w:r>
      <w:r w:rsidRPr="002A40C0">
        <w:t xml:space="preserve"> e) decrease in net LULUCF removal estimates in 1990 and a 16.0 per cent (4,390.2 kt CO</w:t>
      </w:r>
      <w:r w:rsidRPr="002A40C0">
        <w:rPr>
          <w:vertAlign w:val="subscript"/>
        </w:rPr>
        <w:t>2</w:t>
      </w:r>
      <w:r w:rsidRPr="002A40C0">
        <w:t>-e) decrease in net LULUCF removal estimates in 2019.</w:t>
      </w:r>
    </w:p>
    <w:p w14:paraId="4B698FD7" w14:textId="77777777" w:rsidR="00442E6D" w:rsidRPr="002A40C0" w:rsidRDefault="00442E6D" w:rsidP="00442E6D">
      <w:pPr>
        <w:pStyle w:val="Heading4"/>
      </w:pPr>
      <w:bookmarkStart w:id="43" w:name="waste-chapter-7-1"/>
      <w:bookmarkEnd w:id="42"/>
      <w:r w:rsidRPr="002A40C0">
        <w:t>Waste (chapter 7)</w:t>
      </w:r>
    </w:p>
    <w:p w14:paraId="2BBFFC8E" w14:textId="21F50540" w:rsidR="00442E6D" w:rsidRPr="002A40C0" w:rsidRDefault="00442E6D" w:rsidP="00442E6D">
      <w:pPr>
        <w:pStyle w:val="BodyText"/>
      </w:pPr>
      <w:r w:rsidRPr="002A40C0">
        <w:t>Improvements and recalculations made to estimates in the Waste sector have resulted in a</w:t>
      </w:r>
      <w:r w:rsidR="003C323B">
        <w:t> </w:t>
      </w:r>
      <w:r w:rsidRPr="002A40C0">
        <w:t>0.5 per cent (18.2 kt CO</w:t>
      </w:r>
      <w:r w:rsidRPr="002A40C0">
        <w:rPr>
          <w:vertAlign w:val="subscript"/>
        </w:rPr>
        <w:t>2</w:t>
      </w:r>
      <w:r w:rsidRPr="002A40C0">
        <w:t>-e) decrease in estimated emissions in 1990 and a 0.1 per cent (4.2 kt CO</w:t>
      </w:r>
      <w:r w:rsidRPr="002A40C0">
        <w:rPr>
          <w:vertAlign w:val="subscript"/>
        </w:rPr>
        <w:t>2</w:t>
      </w:r>
      <w:r w:rsidRPr="002A40C0">
        <w:t>-e) decrease in estimated emissions in 2019.</w:t>
      </w:r>
    </w:p>
    <w:p w14:paraId="7F489811" w14:textId="77777777" w:rsidR="00442E6D" w:rsidRPr="002A40C0" w:rsidRDefault="00442E6D" w:rsidP="00442E6D">
      <w:pPr>
        <w:pStyle w:val="BodyText"/>
      </w:pPr>
      <w:r w:rsidRPr="002A40C0">
        <w:t>Minor changes have been made for three categories in the 2022 submission. These include:</w:t>
      </w:r>
    </w:p>
    <w:p w14:paraId="1EFEC521" w14:textId="77777777" w:rsidR="00442E6D" w:rsidRPr="002A40C0" w:rsidRDefault="00442E6D" w:rsidP="00442E6D">
      <w:pPr>
        <w:pStyle w:val="Bullet"/>
        <w:tabs>
          <w:tab w:val="num" w:pos="567"/>
        </w:tabs>
      </w:pPr>
      <w:r w:rsidRPr="002A40C0">
        <w:t xml:space="preserve">updates to activity data for </w:t>
      </w:r>
      <w:r w:rsidRPr="002A40C0">
        <w:rPr>
          <w:i/>
          <w:iCs/>
        </w:rPr>
        <w:t>Managed waste disposal sites</w:t>
      </w:r>
    </w:p>
    <w:p w14:paraId="2EDD4DB1" w14:textId="77777777" w:rsidR="00442E6D" w:rsidRPr="002A40C0" w:rsidRDefault="00442E6D" w:rsidP="00442E6D">
      <w:pPr>
        <w:pStyle w:val="Bullet"/>
        <w:tabs>
          <w:tab w:val="num" w:pos="567"/>
        </w:tabs>
      </w:pPr>
      <w:r w:rsidRPr="002A40C0">
        <w:t xml:space="preserve">updates to activity data for non-municipal landfills, part of the </w:t>
      </w:r>
      <w:r w:rsidRPr="002A40C0">
        <w:rPr>
          <w:i/>
          <w:iCs/>
        </w:rPr>
        <w:t>Unmanaged waste disposal sites</w:t>
      </w:r>
      <w:r w:rsidRPr="002A40C0">
        <w:t xml:space="preserve"> category</w:t>
      </w:r>
    </w:p>
    <w:p w14:paraId="7AFA5CCF" w14:textId="77777777" w:rsidR="00442E6D" w:rsidRPr="002A40C0" w:rsidRDefault="00442E6D" w:rsidP="00442E6D">
      <w:pPr>
        <w:pStyle w:val="Bullet"/>
        <w:tabs>
          <w:tab w:val="num" w:pos="567"/>
        </w:tabs>
      </w:pPr>
      <w:r w:rsidRPr="002A40C0">
        <w:t xml:space="preserve">a correction to total carbon content in paper/card in the </w:t>
      </w:r>
      <w:r w:rsidRPr="002A40C0">
        <w:rPr>
          <w:i/>
          <w:iCs/>
        </w:rPr>
        <w:t>Open burning of waste</w:t>
      </w:r>
      <w:r w:rsidRPr="002A40C0">
        <w:t xml:space="preserve"> category. </w:t>
      </w:r>
    </w:p>
    <w:p w14:paraId="71C76569" w14:textId="77777777" w:rsidR="00442E6D" w:rsidRPr="002A40C0" w:rsidRDefault="00442E6D" w:rsidP="00442E6D">
      <w:pPr>
        <w:pStyle w:val="BodyText"/>
      </w:pPr>
      <w:r w:rsidRPr="002A40C0">
        <w:t>Further details can be found under methodological issues for each source category in chapter 7 and also in chapter 10.</w:t>
      </w:r>
    </w:p>
    <w:p w14:paraId="098A62DC" w14:textId="77777777" w:rsidR="00442E6D" w:rsidRPr="002A40C0" w:rsidRDefault="00442E6D" w:rsidP="00442E6D">
      <w:pPr>
        <w:pStyle w:val="Heading4"/>
      </w:pPr>
      <w:bookmarkStart w:id="44" w:name="other-tokelau-chapter-8-1"/>
      <w:bookmarkEnd w:id="43"/>
      <w:r w:rsidRPr="002A40C0">
        <w:t>Other (Tokelau – chapter 8)</w:t>
      </w:r>
    </w:p>
    <w:p w14:paraId="1CFF5330" w14:textId="77777777" w:rsidR="00442E6D" w:rsidRPr="002A40C0" w:rsidRDefault="00442E6D" w:rsidP="00442E6D">
      <w:pPr>
        <w:pStyle w:val="BodyText"/>
      </w:pPr>
      <w:r w:rsidRPr="002A40C0">
        <w:t>One minor recalculation has been made in the Tokelau emission estimates since the 2021 submission. The recalculation made for Tokelau has resulted in no change in emissions in 1990 and a 0.1 per cent (0.0023 kt CO</w:t>
      </w:r>
      <w:r w:rsidRPr="002A40C0">
        <w:rPr>
          <w:vertAlign w:val="subscript"/>
        </w:rPr>
        <w:t>2</w:t>
      </w:r>
      <w:r w:rsidRPr="002A40C0">
        <w:t>-e) increase in emissions in 2019.</w:t>
      </w:r>
    </w:p>
    <w:p w14:paraId="0A2713EF" w14:textId="77777777" w:rsidR="00442E6D" w:rsidRPr="002A40C0" w:rsidRDefault="00442E6D" w:rsidP="00442E6D">
      <w:pPr>
        <w:pStyle w:val="Heading4"/>
      </w:pPr>
      <w:bookmarkStart w:id="45" w:name="kp-lulucf-chapter-11"/>
      <w:bookmarkEnd w:id="44"/>
      <w:r w:rsidRPr="002A40C0">
        <w:t>KP-LULUCF (chapter 11)</w:t>
      </w:r>
    </w:p>
    <w:p w14:paraId="183473D8" w14:textId="77777777" w:rsidR="00442E6D" w:rsidRPr="002A40C0" w:rsidRDefault="00442E6D" w:rsidP="00442E6D">
      <w:pPr>
        <w:pStyle w:val="BodyText"/>
      </w:pPr>
      <w:r w:rsidRPr="002A40C0">
        <w:t>Improvements have been introduced to the LULUCF sector for the 2022 submission, resulting in recalculations for all three Kyoto Protocol (KP) activities. These improvements are listed in chapter 1 and chapter 11 (KP-LULUCF).</w:t>
      </w:r>
    </w:p>
    <w:p w14:paraId="2F4CEBE7" w14:textId="77777777" w:rsidR="00442E6D" w:rsidRPr="002A40C0" w:rsidRDefault="00442E6D" w:rsidP="00442E6D">
      <w:pPr>
        <w:pStyle w:val="BodyText"/>
      </w:pPr>
      <w:r w:rsidRPr="002A40C0">
        <w:t>The LULUCF improvements that impact the KP-LULUCF sector include:</w:t>
      </w:r>
    </w:p>
    <w:p w14:paraId="3502CCDE" w14:textId="77777777" w:rsidR="00442E6D" w:rsidRPr="002A40C0" w:rsidRDefault="00442E6D" w:rsidP="00442E6D">
      <w:pPr>
        <w:pStyle w:val="Bullet"/>
        <w:tabs>
          <w:tab w:val="num" w:pos="567"/>
        </w:tabs>
      </w:pPr>
      <w:r w:rsidRPr="002A40C0">
        <w:t xml:space="preserve">updated methods to estimate the planted forest average harvest age, harvest age profile (harvest area by age) and forest age profile </w:t>
      </w:r>
    </w:p>
    <w:p w14:paraId="477A3338" w14:textId="77777777" w:rsidR="00442E6D" w:rsidRPr="002A40C0" w:rsidRDefault="00442E6D" w:rsidP="00442E6D">
      <w:pPr>
        <w:pStyle w:val="Bullet"/>
        <w:tabs>
          <w:tab w:val="num" w:pos="567"/>
        </w:tabs>
      </w:pPr>
      <w:r w:rsidRPr="002A40C0">
        <w:t>revised pre-1990 and post-1989 planted forest yield tables</w:t>
      </w:r>
    </w:p>
    <w:p w14:paraId="360BCBA1" w14:textId="77777777" w:rsidR="00442E6D" w:rsidRPr="002A40C0" w:rsidRDefault="00442E6D" w:rsidP="00442E6D">
      <w:pPr>
        <w:pStyle w:val="Bullet"/>
        <w:tabs>
          <w:tab w:val="num" w:pos="567"/>
        </w:tabs>
      </w:pPr>
      <w:r w:rsidRPr="002A40C0">
        <w:t>alignment of the method to classify tall and regenerating natural forest area with the stock change methods</w:t>
      </w:r>
    </w:p>
    <w:p w14:paraId="7D8FA29F" w14:textId="77777777" w:rsidR="00442E6D" w:rsidRPr="002A40C0" w:rsidRDefault="00442E6D" w:rsidP="00442E6D">
      <w:pPr>
        <w:pStyle w:val="Bullet"/>
        <w:tabs>
          <w:tab w:val="num" w:pos="567"/>
        </w:tabs>
      </w:pPr>
      <w:r w:rsidRPr="002A40C0">
        <w:t>revision of the assumption that tall natural forests were in steady state</w:t>
      </w:r>
    </w:p>
    <w:p w14:paraId="0A5EA460" w14:textId="065DA5B8" w:rsidR="00442E6D" w:rsidRPr="002A40C0" w:rsidRDefault="00442E6D" w:rsidP="00442E6D">
      <w:pPr>
        <w:pStyle w:val="Bullet"/>
        <w:tabs>
          <w:tab w:val="num" w:pos="567"/>
        </w:tabs>
      </w:pPr>
      <w:r w:rsidRPr="002A40C0">
        <w:rPr>
          <w:lang w:eastAsia="en-US"/>
        </w:rPr>
        <w:t xml:space="preserve">inclusion of emissions from </w:t>
      </w:r>
      <w:r w:rsidRPr="002A40C0">
        <w:t xml:space="preserve">the drainage of managed soils on land classified under </w:t>
      </w:r>
      <w:r w:rsidRPr="002A40C0">
        <w:rPr>
          <w:i/>
          <w:iCs/>
        </w:rPr>
        <w:t>Forest</w:t>
      </w:r>
      <w:r w:rsidR="00DA0DDD">
        <w:rPr>
          <w:i/>
          <w:iCs/>
        </w:rPr>
        <w:t> </w:t>
      </w:r>
      <w:r w:rsidRPr="002A40C0">
        <w:rPr>
          <w:i/>
          <w:iCs/>
        </w:rPr>
        <w:t>management.</w:t>
      </w:r>
    </w:p>
    <w:p w14:paraId="6BD4BF07" w14:textId="77777777" w:rsidR="00442E6D" w:rsidRPr="002A40C0" w:rsidRDefault="00442E6D" w:rsidP="00442E6D">
      <w:pPr>
        <w:pStyle w:val="Heading4"/>
      </w:pPr>
      <w:bookmarkStart w:id="46" w:name="Xfefb940a4f195fdf3cba221b6def840433b79bc"/>
      <w:bookmarkEnd w:id="45"/>
      <w:r w:rsidRPr="002A40C0">
        <w:t>Improvements to national inventory system</w:t>
      </w:r>
    </w:p>
    <w:p w14:paraId="5BB16CAC" w14:textId="77777777" w:rsidR="00442E6D" w:rsidRPr="002A40C0" w:rsidRDefault="00442E6D" w:rsidP="00442E6D">
      <w:pPr>
        <w:pStyle w:val="BodyText"/>
      </w:pPr>
      <w:r w:rsidRPr="002A40C0">
        <w:t>No changes have been made in the legal or institutional arrangements in the national inventory system since the 2021 submission.</w:t>
      </w:r>
    </w:p>
    <w:p w14:paraId="40A2E983" w14:textId="77777777" w:rsidR="00442E6D" w:rsidRPr="002A40C0" w:rsidRDefault="00442E6D" w:rsidP="00442E6D">
      <w:pPr>
        <w:pStyle w:val="Heading2"/>
      </w:pPr>
      <w:bookmarkStart w:id="47" w:name="_Toc99659092"/>
      <w:bookmarkStart w:id="48" w:name="X94dfde0b0b37efd291022644587edd0f4723674"/>
      <w:bookmarkEnd w:id="38"/>
      <w:bookmarkEnd w:id="46"/>
      <w:r w:rsidRPr="002A40C0">
        <w:lastRenderedPageBreak/>
        <w:t xml:space="preserve">ES.7 </w:t>
      </w:r>
      <w:r w:rsidRPr="002A40C0">
        <w:tab/>
        <w:t>National registry (chapters 12 and 14)</w:t>
      </w:r>
      <w:bookmarkEnd w:id="47"/>
    </w:p>
    <w:p w14:paraId="44E51710" w14:textId="77777777" w:rsidR="00442E6D" w:rsidRPr="002A40C0" w:rsidRDefault="00442E6D" w:rsidP="00442E6D">
      <w:pPr>
        <w:pStyle w:val="BodyText"/>
      </w:pPr>
      <w:r w:rsidRPr="002A40C0">
        <w:t>The national registry (the New Zealand Emissions Trading Register or the Register) is New Zealand’s online facility to manage the accounting, reporting and reconciliation of emissions, unit holdings and transactions as part of the NZ ETS. The Environmental Protection Authority is designated as the agency responsible for implementing and operating New Zealand’s national registry under the Kyoto Protocol. The Register is electronic and accessible via the internet (</w:t>
      </w:r>
      <w:hyperlink r:id="rId26">
        <w:r w:rsidRPr="002A40C0">
          <w:rPr>
            <w:rStyle w:val="Hyperlink"/>
          </w:rPr>
          <w:t>www.emissionsregister.govt.nz</w:t>
        </w:r>
      </w:hyperlink>
      <w:r w:rsidRPr="002A40C0">
        <w:t>).</w:t>
      </w:r>
    </w:p>
    <w:p w14:paraId="23B29DCD" w14:textId="77777777" w:rsidR="00442E6D" w:rsidRPr="002A40C0" w:rsidRDefault="00442E6D" w:rsidP="00442E6D">
      <w:pPr>
        <w:pStyle w:val="BodyText"/>
      </w:pPr>
      <w:r w:rsidRPr="002A40C0">
        <w:t>In January 2008, New Zealand’s national registry was issued with New Zealand’s assigned amount of 309,564,733 metric tonnes CO</w:t>
      </w:r>
      <w:r w:rsidRPr="002A40C0">
        <w:rPr>
          <w:vertAlign w:val="subscript"/>
        </w:rPr>
        <w:t>2</w:t>
      </w:r>
      <w:r w:rsidRPr="002A40C0">
        <w:t>-e for CP1 (covering the five-year period 2008 to 2012).</w:t>
      </w:r>
    </w:p>
    <w:p w14:paraId="165C84E9" w14:textId="77777777" w:rsidR="00442E6D" w:rsidRPr="002A40C0" w:rsidRDefault="00442E6D" w:rsidP="00442E6D">
      <w:pPr>
        <w:pStyle w:val="BodyText"/>
      </w:pPr>
      <w:r w:rsidRPr="002A40C0">
        <w:t>At the beginning of the calendar year 2021, New Zealand’s national registry held 308,343,858 CP1 assigned amount units (AAUs), 110,744,560 CP1 emission reduction units (ERUs), 21,685,909 CP1 certified emission reduction units (CERs) and 100,845,399 CP1 removal units (RMUs). The number and mix of units held at the end of 2021 were the same as at the beginning of 2021, because no international transactions occurred during this period and this value includes the units retired to meet CP1 obligations. No CP2 units were held by New Zealand in 2021.</w:t>
      </w:r>
    </w:p>
    <w:p w14:paraId="7663A466" w14:textId="77777777" w:rsidR="00442E6D" w:rsidRPr="002A40C0" w:rsidRDefault="00442E6D" w:rsidP="00442E6D">
      <w:pPr>
        <w:pStyle w:val="BodyText"/>
      </w:pPr>
      <w:r w:rsidRPr="002A40C0">
        <w:t>At the end of 2021, the units held in New Zealand’s national registry remained at 308,343,858 AAUs, 110,744,560 ERUs, 21,685,909 CERs and 100,845,399 RMUs.</w:t>
      </w:r>
    </w:p>
    <w:p w14:paraId="67A6E160" w14:textId="77777777" w:rsidR="00442E6D" w:rsidRPr="002A40C0" w:rsidRDefault="00442E6D" w:rsidP="00442E6D">
      <w:pPr>
        <w:pStyle w:val="BodyText"/>
      </w:pPr>
      <w:r w:rsidRPr="002A40C0">
        <w:t>New Zealand’s national registry did not hold any temporary CERs or long-term CERs during 2021.</w:t>
      </w:r>
    </w:p>
    <w:p w14:paraId="082117B0" w14:textId="77777777" w:rsidR="00442E6D" w:rsidRPr="002A40C0" w:rsidRDefault="00442E6D" w:rsidP="00442E6D">
      <w:pPr>
        <w:pStyle w:val="BodyText"/>
      </w:pPr>
      <w:r w:rsidRPr="002A40C0">
        <w:t>For further information, refer to chapters 12 and 14, as well as the standard electronic format tables on New Zealand Emissions Trading Register holdings and transactions that were submitted to the United Nations Framework Convention on Climate Change along with this submission.</w:t>
      </w:r>
    </w:p>
    <w:p w14:paraId="40A32CD3" w14:textId="0422F9F3" w:rsidR="00442E6D" w:rsidRPr="002A40C0" w:rsidRDefault="00442E6D" w:rsidP="00E52ADA">
      <w:pPr>
        <w:pStyle w:val="Heading2"/>
        <w:spacing w:before="0" w:after="360"/>
      </w:pPr>
      <w:r w:rsidRPr="002A40C0">
        <w:br w:type="page"/>
      </w:r>
      <w:bookmarkStart w:id="49" w:name="_Toc99659093"/>
      <w:bookmarkStart w:id="50" w:name="executive-summary-references"/>
      <w:bookmarkEnd w:id="48"/>
      <w:r w:rsidRPr="002A40C0">
        <w:lastRenderedPageBreak/>
        <w:t>Executive summary: References</w:t>
      </w:r>
      <w:bookmarkEnd w:id="49"/>
    </w:p>
    <w:p w14:paraId="4EFB655B" w14:textId="77777777" w:rsidR="00442E6D" w:rsidRPr="002A40C0" w:rsidRDefault="00442E6D" w:rsidP="00442E6D">
      <w:pPr>
        <w:pStyle w:val="References"/>
      </w:pPr>
      <w:r w:rsidRPr="002A40C0">
        <w:t xml:space="preserve">IPCC. 2006. Eggleston HS, Buendia L, Miwa K, Ngara T, Tanabe K (eds). </w:t>
      </w:r>
      <w:r w:rsidRPr="002A40C0">
        <w:rPr>
          <w:i/>
          <w:iCs/>
        </w:rPr>
        <w:t>2006 IPCC Guidelines for National Greenhouse Gas Inventories. Volume 4. Agriculture, Forestry and Other Land Use.</w:t>
      </w:r>
      <w:r w:rsidRPr="002A40C0">
        <w:t xml:space="preserve"> IPCC National Greenhouse Gas Inventories Programme. Japan: Institute for Global Environmental Strategies for IPCC.</w:t>
      </w:r>
    </w:p>
    <w:p w14:paraId="1D6C3192" w14:textId="77777777" w:rsidR="00442E6D" w:rsidRPr="002A40C0" w:rsidRDefault="00442E6D" w:rsidP="00442E6D">
      <w:pPr>
        <w:pStyle w:val="References"/>
      </w:pPr>
      <w:r w:rsidRPr="002A40C0">
        <w:t xml:space="preserve">Manley B. 2021. </w:t>
      </w:r>
      <w:r w:rsidRPr="002A40C0">
        <w:rPr>
          <w:i/>
          <w:iCs/>
        </w:rPr>
        <w:t>Afforestation and Deforestation Intentions Survey 2020</w:t>
      </w:r>
      <w:r w:rsidRPr="002A40C0">
        <w:t xml:space="preserve">. </w:t>
      </w:r>
      <w:r w:rsidRPr="002A40C0">
        <w:rPr>
          <w:rFonts w:cs="Calibri"/>
          <w:color w:val="000000"/>
          <w:szCs w:val="20"/>
          <w:shd w:val="clear" w:color="auto" w:fill="FFFFFF"/>
        </w:rPr>
        <w:t>Wellington: Ministry for Primary Industries. </w:t>
      </w:r>
    </w:p>
    <w:p w14:paraId="5AB67BE3" w14:textId="77777777" w:rsidR="00442E6D" w:rsidRPr="002A40C0" w:rsidRDefault="00442E6D" w:rsidP="00442E6D">
      <w:pPr>
        <w:pStyle w:val="References"/>
      </w:pPr>
      <w:r w:rsidRPr="002A40C0">
        <w:t xml:space="preserve">Ministry for the Environment. 2016. </w:t>
      </w:r>
      <w:r w:rsidRPr="002A40C0">
        <w:rPr>
          <w:i/>
          <w:iCs/>
        </w:rPr>
        <w:t>New Zealand’s Initial Report to Facilitate the Calculation of its Emissions Budget for the Period 2013 to 2020</w:t>
      </w:r>
      <w:r w:rsidRPr="002A40C0">
        <w:t>. Wellington: Ministry for the Environment.</w:t>
      </w:r>
    </w:p>
    <w:p w14:paraId="25BBA91B" w14:textId="77777777" w:rsidR="00442E6D" w:rsidRPr="002A40C0" w:rsidRDefault="00442E6D" w:rsidP="00442E6D">
      <w:pPr>
        <w:pStyle w:val="References"/>
      </w:pPr>
      <w:r w:rsidRPr="002A40C0">
        <w:t xml:space="preserve">MBIE. 2021. </w:t>
      </w:r>
      <w:r w:rsidRPr="002A40C0">
        <w:rPr>
          <w:i/>
          <w:iCs/>
        </w:rPr>
        <w:t>Energy in New Zealand</w:t>
      </w:r>
      <w:r w:rsidRPr="002A40C0">
        <w:t>. Wellington: Ministry of Business, Innovation and Employment. Retrieved from www.mbie.govt.nz/building-and-energy/energy-and-natural-resources/energy-statistics-and-modelling/energy-publications-and-technical-papers/energy-in-new-zealand/ (September 2021).</w:t>
      </w:r>
    </w:p>
    <w:p w14:paraId="2B532B08" w14:textId="77777777" w:rsidR="00442E6D" w:rsidRPr="002A40C0" w:rsidRDefault="00442E6D" w:rsidP="00442E6D">
      <w:pPr>
        <w:pStyle w:val="References"/>
      </w:pPr>
      <w:r w:rsidRPr="002A40C0">
        <w:t xml:space="preserve">UNFCCC. 2013. FCCC/CP/2013/10/Add.3. </w:t>
      </w:r>
      <w:r w:rsidRPr="002A40C0">
        <w:rPr>
          <w:i/>
          <w:iCs/>
        </w:rPr>
        <w:t>Report of the Conference of the Parties on its nineteenth session, held in Warsaw from 11 to 23 November 2013: Addendum; Decision 24/CP.19 Revision of the UNFCCC reporting guidelines on annual inventories for Parties included in Annex I to the Convention</w:t>
      </w:r>
      <w:r w:rsidRPr="002A40C0">
        <w:t>.</w:t>
      </w:r>
      <w:bookmarkEnd w:id="5"/>
      <w:bookmarkEnd w:id="50"/>
    </w:p>
    <w:p w14:paraId="43C097A8" w14:textId="77777777" w:rsidR="00DF1483" w:rsidRDefault="00DF1483" w:rsidP="00DF1483"/>
    <w:p w14:paraId="2699E4F0" w14:textId="77777777" w:rsidR="00DF1483" w:rsidRDefault="00DF1483" w:rsidP="00DF1483"/>
    <w:p w14:paraId="3F239B51" w14:textId="77777777" w:rsidR="00DF1483" w:rsidRDefault="00DF1483" w:rsidP="00DF1483"/>
    <w:p w14:paraId="64FBE060" w14:textId="77777777" w:rsidR="00DB72F5" w:rsidRDefault="00DB72F5" w:rsidP="004B119E">
      <w:pPr>
        <w:pStyle w:val="Heading1"/>
        <w:sectPr w:rsidR="00DB72F5" w:rsidSect="00171C22">
          <w:headerReference w:type="even" r:id="rId27"/>
          <w:headerReference w:type="default" r:id="rId28"/>
          <w:footerReference w:type="even" r:id="rId29"/>
          <w:footerReference w:type="default" r:id="rId30"/>
          <w:pgSz w:w="11907" w:h="16840" w:code="9"/>
          <w:pgMar w:top="1418" w:right="1701" w:bottom="1418" w:left="1701" w:header="567" w:footer="567" w:gutter="0"/>
          <w:pgNumType w:fmt="lowerRoman"/>
          <w:cols w:space="720"/>
        </w:sectPr>
      </w:pPr>
    </w:p>
    <w:p w14:paraId="324313D8" w14:textId="77777777" w:rsidR="00BB3E1E" w:rsidRPr="00241762" w:rsidRDefault="00BB3E1E" w:rsidP="00BB3E1E">
      <w:pPr>
        <w:pStyle w:val="Heading1"/>
      </w:pPr>
      <w:bookmarkStart w:id="51" w:name="_Toc99659094"/>
      <w:bookmarkStart w:id="52" w:name="chapter-1-introduction"/>
      <w:r w:rsidRPr="00241762">
        <w:lastRenderedPageBreak/>
        <w:t>Chapter 1: Introduction</w:t>
      </w:r>
      <w:bookmarkEnd w:id="51"/>
    </w:p>
    <w:p w14:paraId="525D1498" w14:textId="77777777" w:rsidR="00BB3E1E" w:rsidRPr="00241762" w:rsidRDefault="00BB3E1E" w:rsidP="00171C22">
      <w:pPr>
        <w:pStyle w:val="Heading2"/>
        <w:spacing w:before="240"/>
      </w:pPr>
      <w:bookmarkStart w:id="53" w:name="_Toc99659095"/>
      <w:bookmarkStart w:id="54" w:name="background"/>
      <w:r w:rsidRPr="00241762">
        <w:t xml:space="preserve">1.1 </w:t>
      </w:r>
      <w:r>
        <w:tab/>
      </w:r>
      <w:r w:rsidRPr="00241762">
        <w:t>Background</w:t>
      </w:r>
      <w:bookmarkEnd w:id="53"/>
    </w:p>
    <w:p w14:paraId="57EBDDDD" w14:textId="2BCF9E0C" w:rsidR="00BB3E1E" w:rsidRDefault="00BB3E1E" w:rsidP="00BB3E1E">
      <w:pPr>
        <w:pStyle w:val="BodyText"/>
      </w:pPr>
      <w:r w:rsidRPr="00241762">
        <w:t>Greenhouse gases</w:t>
      </w:r>
      <w:r>
        <w:t xml:space="preserve"> (GHGs)</w:t>
      </w:r>
      <w:r w:rsidRPr="00241762">
        <w:t xml:space="preserve"> in the Earth’s atmosphere trap warmth from the sun and make life</w:t>
      </w:r>
      <w:r w:rsidR="00171C22">
        <w:t> </w:t>
      </w:r>
      <w:r w:rsidRPr="00241762">
        <w:t xml:space="preserve">as we know it possible. The Intergovernmental Panel on Climate Change (IPCC) Sixth Assessment </w:t>
      </w:r>
      <w:r w:rsidRPr="00966A25">
        <w:t>Report</w:t>
      </w:r>
      <w:r w:rsidRPr="00241762">
        <w:t xml:space="preserve"> (IPCC, 2021) confirms that the</w:t>
      </w:r>
      <w:r>
        <w:t xml:space="preserve"> evidence showing</w:t>
      </w:r>
      <w:r w:rsidRPr="00241762">
        <w:t xml:space="preserve"> human</w:t>
      </w:r>
      <w:r>
        <w:t>s have an</w:t>
      </w:r>
      <w:r w:rsidRPr="00241762">
        <w:t xml:space="preserve"> influence on the climate system is unequivocal. </w:t>
      </w:r>
      <w:r>
        <w:t>H</w:t>
      </w:r>
      <w:r w:rsidRPr="00241762">
        <w:t xml:space="preserve">uman-induced climate change </w:t>
      </w:r>
      <w:r>
        <w:t>is evident in</w:t>
      </w:r>
      <w:r w:rsidRPr="00241762">
        <w:t xml:space="preserve"> extreme weather events all around the world. Many of these events, including heatwaves, </w:t>
      </w:r>
      <w:r>
        <w:t>severe</w:t>
      </w:r>
      <w:r w:rsidRPr="00241762" w:rsidDel="007A48C3">
        <w:t xml:space="preserve"> </w:t>
      </w:r>
      <w:r w:rsidRPr="00241762">
        <w:t xml:space="preserve">rainfall and droughts, have become more frequent and </w:t>
      </w:r>
      <w:r>
        <w:t>extreme</w:t>
      </w:r>
      <w:r w:rsidRPr="00241762">
        <w:t xml:space="preserve"> as a result of climate change and will continue to intensify. </w:t>
      </w:r>
    </w:p>
    <w:p w14:paraId="0EAB4E8A" w14:textId="77777777" w:rsidR="00BB3E1E" w:rsidRPr="00241762" w:rsidRDefault="00BB3E1E" w:rsidP="00BB3E1E">
      <w:pPr>
        <w:pStyle w:val="BodyText"/>
      </w:pPr>
      <w:r w:rsidRPr="00241762">
        <w:t>Some of the changes to the climate system, including sea</w:t>
      </w:r>
      <w:r>
        <w:t>-</w:t>
      </w:r>
      <w:r w:rsidRPr="00241762">
        <w:t xml:space="preserve">level rise and loss of glaciers, are irreversible over centuries to millennia. The rate and magnitude of these committed changes, however, still depend on future greenhouse gas emissions. While the IPCC (2021) revised its estimate upwards of how much warming has occurred already, scenarios show that we can still limit warming to 1.5°C. </w:t>
      </w:r>
      <w:r>
        <w:t>To do that, the world must achieve</w:t>
      </w:r>
      <w:r w:rsidRPr="00241762">
        <w:t xml:space="preserve"> net zero </w:t>
      </w:r>
      <w:r>
        <w:t>carbon dioxide (</w:t>
      </w:r>
      <w:r w:rsidRPr="00241762">
        <w:t>CO</w:t>
      </w:r>
      <w:r w:rsidRPr="00241762">
        <w:rPr>
          <w:vertAlign w:val="subscript"/>
        </w:rPr>
        <w:t>2</w:t>
      </w:r>
      <w:r>
        <w:t>)</w:t>
      </w:r>
      <w:r w:rsidRPr="00241762">
        <w:t xml:space="preserve"> emissions</w:t>
      </w:r>
      <w:r>
        <w:t xml:space="preserve"> by</w:t>
      </w:r>
      <w:r w:rsidRPr="00241762">
        <w:t xml:space="preserve"> around 2050 along with deep reductions in other greenhouse gases.</w:t>
      </w:r>
    </w:p>
    <w:p w14:paraId="5CF0C325" w14:textId="77777777" w:rsidR="00BB3E1E" w:rsidRPr="00241762" w:rsidRDefault="00BB3E1E" w:rsidP="002B54C3">
      <w:pPr>
        <w:pStyle w:val="Heading3"/>
        <w:spacing w:line="320" w:lineRule="atLeast"/>
      </w:pPr>
      <w:bookmarkStart w:id="55" w:name="X4dac08bfba5c2a4ded8b3b0ba006c0f41387bd8"/>
      <w:r w:rsidRPr="00241762">
        <w:t xml:space="preserve">1.1.1 </w:t>
      </w:r>
      <w:r>
        <w:tab/>
      </w:r>
      <w:r w:rsidRPr="00241762">
        <w:t>United Nations Framework Convention on Climate</w:t>
      </w:r>
      <w:r>
        <w:t> </w:t>
      </w:r>
      <w:r w:rsidRPr="00241762">
        <w:t>Change</w:t>
      </w:r>
    </w:p>
    <w:p w14:paraId="1B7B596E" w14:textId="29D0E7ED" w:rsidR="00BB3E1E" w:rsidRPr="00241762" w:rsidRDefault="00BB3E1E" w:rsidP="00BB3E1E">
      <w:pPr>
        <w:pStyle w:val="BodyText"/>
      </w:pPr>
      <w:r w:rsidRPr="00241762">
        <w:t>The</w:t>
      </w:r>
      <w:r>
        <w:t xml:space="preserve"> IPCC assesses the</w:t>
      </w:r>
      <w:r w:rsidRPr="00241762">
        <w:t xml:space="preserve"> science of climate change. In 1990, </w:t>
      </w:r>
      <w:r>
        <w:t>it</w:t>
      </w:r>
      <w:r w:rsidRPr="00241762">
        <w:t xml:space="preserve"> concluded that human-induced climate change was a threat to our future. In response, the United Nations General Assembly convened a series of meetings that culminated in the adoption of the United Nations Framework Convention on Climate Change (</w:t>
      </w:r>
      <w:r>
        <w:t xml:space="preserve">UNFCCC or </w:t>
      </w:r>
      <w:r w:rsidRPr="00241762">
        <w:t>the Convention) at the Earth Summit in</w:t>
      </w:r>
      <w:r w:rsidR="00171C22">
        <w:t> </w:t>
      </w:r>
      <w:r w:rsidRPr="00241762">
        <w:t>Rio de Janeiro in May 1992.</w:t>
      </w:r>
    </w:p>
    <w:p w14:paraId="66229585" w14:textId="77777777" w:rsidR="00BB3E1E" w:rsidRPr="00241762" w:rsidRDefault="00BB3E1E" w:rsidP="00BB3E1E">
      <w:pPr>
        <w:pStyle w:val="BodyText"/>
      </w:pPr>
      <w:r w:rsidRPr="00241762">
        <w:t>The Convention has been signed and ratified by 197 nations, including New Zealand, and took effect on 21 March 1994.</w:t>
      </w:r>
    </w:p>
    <w:p w14:paraId="57CEF0DF" w14:textId="77777777" w:rsidR="00BB3E1E" w:rsidRPr="00241762" w:rsidRDefault="00BB3E1E" w:rsidP="00BB3E1E">
      <w:pPr>
        <w:pStyle w:val="BodyText"/>
      </w:pPr>
      <w:r w:rsidRPr="00241762">
        <w:t>The main objective of the Convention (UNFCCC, 1992, Article 2) is to achieve:</w:t>
      </w:r>
    </w:p>
    <w:p w14:paraId="38FB87E2" w14:textId="77777777" w:rsidR="00BB3E1E" w:rsidRPr="00241762" w:rsidRDefault="00BB3E1E" w:rsidP="00BB3E1E">
      <w:pPr>
        <w:pStyle w:val="Quote"/>
      </w:pPr>
      <w:r w:rsidRPr="00241762">
        <w:t xml:space="preserve">… stabilization of greenhouse gas concentrations in the atmosphere at a level that would prevent dangerous anthropogenic interference with the climate system. Such a level should be achieved within a time-frame sufficient to allow ecosystems to adapt naturally to climate change, to ensure that food </w:t>
      </w:r>
      <w:r w:rsidRPr="00966A25">
        <w:t>production</w:t>
      </w:r>
      <w:r w:rsidRPr="00241762">
        <w:t xml:space="preserve"> is not threatened and to enable economic development to proceed in a sustainable manner.</w:t>
      </w:r>
    </w:p>
    <w:p w14:paraId="2498C005" w14:textId="77777777" w:rsidR="00BB3E1E" w:rsidRPr="00241762" w:rsidRDefault="00BB3E1E" w:rsidP="00BB3E1E">
      <w:pPr>
        <w:pStyle w:val="BodyText"/>
      </w:pPr>
      <w:r w:rsidRPr="00241762">
        <w:t>All countries that ratify the Convention (the Parties) are required to take action to address</w:t>
      </w:r>
      <w:r>
        <w:t xml:space="preserve"> </w:t>
      </w:r>
      <w:r w:rsidRPr="00241762">
        <w:t xml:space="preserve">climate change, including </w:t>
      </w:r>
      <w:r>
        <w:t xml:space="preserve">by </w:t>
      </w:r>
      <w:r w:rsidRPr="00241762">
        <w:t xml:space="preserve">monitoring trends in anthropogenic GHG emissions. </w:t>
      </w:r>
      <w:r>
        <w:t>Producing t</w:t>
      </w:r>
      <w:r w:rsidRPr="00241762">
        <w:t>he annual inventory of GHG emissions and removals fulfils this obligation. Parties are also obliged to protect and enhance carbon sinks and reservoirs, for example, forests, and implement measures that assist in national and/or regional climate change adaptation and mitigation. In addition, Parties listed in Annex II</w:t>
      </w:r>
      <w:r w:rsidRPr="00241762">
        <w:rPr>
          <w:rStyle w:val="FootnoteReference"/>
        </w:rPr>
        <w:footnoteReference w:id="8"/>
      </w:r>
      <w:r w:rsidRPr="00241762">
        <w:t xml:space="preserve"> to the Convention commit to providing </w:t>
      </w:r>
      <w:r w:rsidRPr="00241762">
        <w:lastRenderedPageBreak/>
        <w:t>technology transfer, capacity building and financial assistance to non-Annex I</w:t>
      </w:r>
      <w:r w:rsidRPr="00241762">
        <w:rPr>
          <w:rStyle w:val="FootnoteReference"/>
        </w:rPr>
        <w:footnoteReference w:id="9"/>
      </w:r>
      <w:r w:rsidRPr="00241762">
        <w:t xml:space="preserve"> Parties (developing country </w:t>
      </w:r>
      <w:r>
        <w:t>P</w:t>
      </w:r>
      <w:r w:rsidRPr="00241762">
        <w:t>arties).</w:t>
      </w:r>
    </w:p>
    <w:p w14:paraId="130B4E45" w14:textId="77777777" w:rsidR="00BB3E1E" w:rsidRPr="00241762" w:rsidRDefault="00BB3E1E" w:rsidP="00BB3E1E">
      <w:pPr>
        <w:pStyle w:val="BodyText"/>
      </w:pPr>
      <w:r w:rsidRPr="00241762">
        <w:t>Annex I Parties also agreed to aim to return GHG emissions to 1990 levels by the year 2000. Only a few Annex I Parties made appreciable progress towards achieving this aim. The international community recognised that the existing commitments in the Convention were not enough to ensure GHG</w:t>
      </w:r>
      <w:r>
        <w:t>s</w:t>
      </w:r>
      <w:r w:rsidRPr="00241762">
        <w:t xml:space="preserve"> would be stabilised at a safe level. In response, in 1995, Parties launched a new round of talks to provide stronger and more detailed commitments for Annex I Parties. After two-and-a-half years of negotiations, the Kyoto Protocol was adopted in Kyoto, Japan on 11 December 1997. New Zealand ratified the Kyoto Protocol on 19 December 2002. The Protocol came into force on 16 February 2005.</w:t>
      </w:r>
    </w:p>
    <w:p w14:paraId="33C6675D" w14:textId="7D31FDFF" w:rsidR="00BB3E1E" w:rsidRPr="00241762" w:rsidRDefault="00BB3E1E" w:rsidP="00BB3E1E">
      <w:pPr>
        <w:pStyle w:val="BodyText"/>
      </w:pPr>
      <w:r w:rsidRPr="00241762">
        <w:t>To accelerate and intensify the actions and investments needed for a sustainable low</w:t>
      </w:r>
      <w:r>
        <w:t>-</w:t>
      </w:r>
      <w:r w:rsidRPr="00241762">
        <w:t>carbon</w:t>
      </w:r>
      <w:r w:rsidR="00E1208E">
        <w:t> </w:t>
      </w:r>
      <w:r w:rsidRPr="00241762">
        <w:t>future, Parties to the Convention reached a landmark agreement in Paris, France on</w:t>
      </w:r>
      <w:r w:rsidR="00E1208E">
        <w:t> </w:t>
      </w:r>
      <w:r w:rsidRPr="00241762">
        <w:t>12</w:t>
      </w:r>
      <w:r w:rsidR="00E1208E">
        <w:t> </w:t>
      </w:r>
      <w:r w:rsidRPr="00241762">
        <w:t>December 2015; the Paris Agreement. New Zealand ratified the Paris Agreement on 4</w:t>
      </w:r>
      <w:r w:rsidR="00E1208E">
        <w:t> </w:t>
      </w:r>
      <w:r w:rsidRPr="00241762">
        <w:t>October 2016. The extension (as of 13 November 2017) of New Zealand’s ratification of the Convention and the Paris Agreement to include Tokelau means, among other things, that New</w:t>
      </w:r>
      <w:r w:rsidR="00E1208E">
        <w:t> </w:t>
      </w:r>
      <w:r w:rsidRPr="00241762">
        <w:t xml:space="preserve">Zealand’s national inventory shall include GHG emissions and removals estimates from Tokelau. Since the 2019 submission, the inventory </w:t>
      </w:r>
      <w:r>
        <w:t xml:space="preserve">has included </w:t>
      </w:r>
      <w:r w:rsidRPr="00241762">
        <w:t>gross emissions from Tokelau.</w:t>
      </w:r>
    </w:p>
    <w:p w14:paraId="5D781A66" w14:textId="77777777" w:rsidR="00BB3E1E" w:rsidRPr="00241762" w:rsidRDefault="00BB3E1E" w:rsidP="00BB3E1E">
      <w:pPr>
        <w:pStyle w:val="Heading3"/>
      </w:pPr>
      <w:bookmarkStart w:id="56" w:name="kyoto-protocol"/>
      <w:bookmarkEnd w:id="55"/>
      <w:r w:rsidRPr="00241762">
        <w:t xml:space="preserve">1.1.2 </w:t>
      </w:r>
      <w:r>
        <w:tab/>
      </w:r>
      <w:r w:rsidRPr="00241762">
        <w:t>Kyoto Protocol</w:t>
      </w:r>
    </w:p>
    <w:p w14:paraId="63999D0F" w14:textId="0C617D9D" w:rsidR="00BB3E1E" w:rsidRPr="00241762" w:rsidRDefault="00BB3E1E" w:rsidP="00BB3E1E">
      <w:pPr>
        <w:pStyle w:val="BodyText"/>
      </w:pPr>
      <w:r w:rsidRPr="00241762">
        <w:t>The Kyoto Protocol shares and expands on the Convention’s objectives, principles and institutions. Only Parties to the Convention that have also become Parties to the Protocol (by</w:t>
      </w:r>
      <w:r w:rsidR="00E1208E">
        <w:t> </w:t>
      </w:r>
      <w:r w:rsidRPr="00241762">
        <w:t>ratifying, accepting, approving or acceding to it) are bound by the Protocol’s commitments, noting that GHG targets in the Kyoto Protocol only apply to Annex I Parties. The original objective of the Kyoto Protocol was to reduce the aggregate emissions of six GHGs from Annex I Parties to the Kyoto Protocol, together with targets for the first commitment period (CP1)</w:t>
      </w:r>
      <w:r>
        <w:t>,</w:t>
      </w:r>
      <w:r w:rsidRPr="00241762">
        <w:t xml:space="preserve"> by at least 5 per cent below 1990 levels in the CP1 (2008</w:t>
      </w:r>
      <w:r>
        <w:t xml:space="preserve"> to 20</w:t>
      </w:r>
      <w:r w:rsidRPr="00241762">
        <w:t>12). New Zealand’s target in CP1 was to return emissions to 1990 levels</w:t>
      </w:r>
      <w:r w:rsidRPr="00241762">
        <w:rPr>
          <w:rStyle w:val="FootnoteReference"/>
        </w:rPr>
        <w:footnoteReference w:id="10"/>
      </w:r>
      <w:r w:rsidRPr="00241762">
        <w:t xml:space="preserve"> on average over the commitment period or otherwise take responsibility for the excess.</w:t>
      </w:r>
    </w:p>
    <w:p w14:paraId="172B38C5" w14:textId="4DED536B" w:rsidR="00BB3E1E" w:rsidRPr="00241762" w:rsidRDefault="00BB3E1E" w:rsidP="00BB3E1E">
      <w:pPr>
        <w:pStyle w:val="BodyText"/>
      </w:pPr>
      <w:r w:rsidRPr="00241762">
        <w:t>The eighth session of the Conference of the Parties serving as the meeting of the Parties to the</w:t>
      </w:r>
      <w:r w:rsidR="00E1208E">
        <w:t> </w:t>
      </w:r>
      <w:r w:rsidRPr="00241762">
        <w:t>Kyoto Protocol (Doha, Qatar, November to December 2012) agreed to amendments to the Kyoto Protocol for the period 2013 to 2020, including new targets in an amended Annex B.</w:t>
      </w:r>
      <w:r w:rsidRPr="00241762">
        <w:rPr>
          <w:rStyle w:val="FootnoteReference"/>
        </w:rPr>
        <w:footnoteReference w:id="11"/>
      </w:r>
    </w:p>
    <w:p w14:paraId="702D9BC1" w14:textId="6B1000B6" w:rsidR="00BB3E1E" w:rsidRPr="00241762" w:rsidRDefault="00BB3E1E" w:rsidP="00BB3E1E">
      <w:pPr>
        <w:pStyle w:val="BodyText"/>
      </w:pPr>
      <w:r w:rsidRPr="00241762">
        <w:t xml:space="preserve">For the period 2013 to 2020, New Zealand’s target </w:t>
      </w:r>
      <w:r>
        <w:t>wa</w:t>
      </w:r>
      <w:r w:rsidRPr="00241762">
        <w:t>s to reduce emissions to 5 per cent below 1990 levels by 2020. New Zealand has taken this target under the Convention and does</w:t>
      </w:r>
      <w:r w:rsidR="00E1208E">
        <w:t> </w:t>
      </w:r>
      <w:r w:rsidRPr="00241762">
        <w:t xml:space="preserve">not have a commitment listed in the amended Annex B of the Kyoto Protocol. However, </w:t>
      </w:r>
      <w:r w:rsidRPr="00241762">
        <w:lastRenderedPageBreak/>
        <w:t>New</w:t>
      </w:r>
      <w:r w:rsidR="00E1208E">
        <w:t> </w:t>
      </w:r>
      <w:r w:rsidRPr="00241762">
        <w:t>Zealand remains a Party to the Kyoto Protocol and applies the Kyoto Protocol framework of rules to meeting its target for the 2013 to 2020 period.</w:t>
      </w:r>
    </w:p>
    <w:p w14:paraId="20BD322D" w14:textId="1203554D" w:rsidR="00BB3E1E" w:rsidRPr="00241762" w:rsidRDefault="00BB3E1E" w:rsidP="00BB3E1E">
      <w:pPr>
        <w:pStyle w:val="BodyText"/>
      </w:pPr>
      <w:r w:rsidRPr="00241762">
        <w:t xml:space="preserve">When reporting emissions and removals from the Land Use, Land-Use Change and Forestry (LULUCF) sector, New Zealand uses the land-based approach, set out in the </w:t>
      </w:r>
      <w:r w:rsidRPr="00241762">
        <w:rPr>
          <w:i/>
          <w:iCs/>
        </w:rPr>
        <w:t>2006 IPCC Guidelines for National Greenhouse Gas Inventories</w:t>
      </w:r>
      <w:r w:rsidRPr="00241762">
        <w:t xml:space="preserve"> (IPCC, 2006a). For the period 2013 to 2020,</w:t>
      </w:r>
      <w:r w:rsidR="00482678">
        <w:t> </w:t>
      </w:r>
      <w:r w:rsidRPr="00241762">
        <w:t xml:space="preserve">New Zealand has also completed activity-based reporting under Article 3.3 of the Kyoto Protocol for the categories </w:t>
      </w:r>
      <w:r w:rsidRPr="00241762">
        <w:rPr>
          <w:i/>
          <w:iCs/>
        </w:rPr>
        <w:t>Afforestation</w:t>
      </w:r>
      <w:r>
        <w:rPr>
          <w:i/>
          <w:iCs/>
        </w:rPr>
        <w:t xml:space="preserve"> and</w:t>
      </w:r>
      <w:r w:rsidRPr="00241762">
        <w:t xml:space="preserve"> </w:t>
      </w:r>
      <w:r>
        <w:rPr>
          <w:i/>
          <w:iCs/>
        </w:rPr>
        <w:t>r</w:t>
      </w:r>
      <w:r w:rsidRPr="00241762">
        <w:rPr>
          <w:i/>
          <w:iCs/>
        </w:rPr>
        <w:t xml:space="preserve">eforestation </w:t>
      </w:r>
      <w:r w:rsidRPr="00F91A80">
        <w:t>and</w:t>
      </w:r>
      <w:r w:rsidRPr="00241762">
        <w:rPr>
          <w:i/>
          <w:iCs/>
        </w:rPr>
        <w:t xml:space="preserve"> Deforestation</w:t>
      </w:r>
      <w:r w:rsidRPr="00241762">
        <w:t xml:space="preserve">, and under Article 3.4 for </w:t>
      </w:r>
      <w:r w:rsidRPr="00241762">
        <w:rPr>
          <w:i/>
          <w:iCs/>
        </w:rPr>
        <w:t>Forest management</w:t>
      </w:r>
      <w:r w:rsidRPr="00241762">
        <w:t>.</w:t>
      </w:r>
    </w:p>
    <w:p w14:paraId="153AB3F4" w14:textId="77777777" w:rsidR="00BB3E1E" w:rsidRPr="00241762" w:rsidRDefault="00BB3E1E" w:rsidP="00BB3E1E">
      <w:pPr>
        <w:pStyle w:val="Heading3"/>
      </w:pPr>
      <w:bookmarkStart w:id="57" w:name="the-inventory"/>
      <w:bookmarkEnd w:id="56"/>
      <w:r w:rsidRPr="00241762">
        <w:t xml:space="preserve">1.1.3 </w:t>
      </w:r>
      <w:r>
        <w:tab/>
      </w:r>
      <w:r w:rsidRPr="00241762">
        <w:t>The inventory</w:t>
      </w:r>
    </w:p>
    <w:p w14:paraId="081655AF" w14:textId="77777777" w:rsidR="00BB3E1E" w:rsidRPr="00241762" w:rsidRDefault="00BB3E1E" w:rsidP="00BB3E1E">
      <w:pPr>
        <w:pStyle w:val="BodyText"/>
      </w:pPr>
      <w:r w:rsidRPr="00241762">
        <w:t xml:space="preserve">The Convention covers emissions and removals of all anthropogenic GHGs not controlled by the Montreal Protocol. </w:t>
      </w:r>
      <w:r w:rsidRPr="00241762">
        <w:rPr>
          <w:i/>
          <w:iCs/>
        </w:rPr>
        <w:t>New Zealand’s Greenhouse Gas Inventory</w:t>
      </w:r>
      <w:r w:rsidRPr="00241762">
        <w:t xml:space="preserve"> (the inventory) is the official annual report of these emissions and removals in New Zealand.</w:t>
      </w:r>
    </w:p>
    <w:p w14:paraId="5BE1DD55" w14:textId="0392129D" w:rsidR="00BB3E1E" w:rsidRPr="00241762" w:rsidRDefault="00BB3E1E" w:rsidP="00BB3E1E">
      <w:pPr>
        <w:pStyle w:val="BodyText"/>
      </w:pPr>
      <w:r w:rsidRPr="00241762">
        <w:t>The methodologies, content and format of the inventory are described in the 2006 IPCC Guidelines (IPCC, 2006b) and reporting guidelines agreed by the Conference of the Parties to</w:t>
      </w:r>
      <w:r w:rsidR="00482678">
        <w:t> </w:t>
      </w:r>
      <w:r w:rsidRPr="00241762">
        <w:t>the Convention and Conference of the Parties serving as the meeting of the Parties to the Kyoto Protocol (CMP). The most recent reporting guidelines for inventory reporting under the Convention are FCCC/CP/2013/10/Add.3 (UNFCCC, 2013</w:t>
      </w:r>
      <w:r>
        <w:t>a</w:t>
      </w:r>
      <w:r w:rsidRPr="00241762">
        <w:t>). As per the Convention reporting guidelines, New Zealand follows the 2006 IPCC Guidelines in prepar</w:t>
      </w:r>
      <w:r>
        <w:t>ing</w:t>
      </w:r>
      <w:r w:rsidRPr="00241762">
        <w:t xml:space="preserve"> the inventory. New</w:t>
      </w:r>
      <w:r w:rsidR="00796B5D">
        <w:t> </w:t>
      </w:r>
      <w:r w:rsidRPr="00241762">
        <w:t>Zealand applies the 100-year global warming potential values from the IPCC Fourth Assessment Report</w:t>
      </w:r>
      <w:r>
        <w:t xml:space="preserve"> (UNFCCC, 2013a).</w:t>
      </w:r>
    </w:p>
    <w:p w14:paraId="02F50004" w14:textId="67D78A2D" w:rsidR="00BB3E1E" w:rsidRPr="00241762" w:rsidRDefault="00BB3E1E" w:rsidP="00BB3E1E">
      <w:pPr>
        <w:pStyle w:val="BodyText"/>
      </w:pPr>
      <w:r w:rsidRPr="00241762">
        <w:t>A complete inventory submission contains two main components: the national inventory report (NIR) and the common reporting format (CRF) tables. In addition, the inventory submission includes standard electronic format (SEF) tables that show holdings and transactions of units transferred and acquired under the Kyoto Protocol. Inventories are subject to a technical review process administered by the UNFCCC secretariat. The results of</w:t>
      </w:r>
      <w:r w:rsidR="00796B5D">
        <w:t> </w:t>
      </w:r>
      <w:r w:rsidRPr="00241762">
        <w:t xml:space="preserve">these reviews are available on the </w:t>
      </w:r>
      <w:r>
        <w:t xml:space="preserve">Convention </w:t>
      </w:r>
      <w:r w:rsidRPr="00241762">
        <w:t>website (</w:t>
      </w:r>
      <w:hyperlink r:id="rId31">
        <w:r w:rsidRPr="00102120">
          <w:rPr>
            <w:rStyle w:val="Hyperlink"/>
          </w:rPr>
          <w:t>www.unfccc.int</w:t>
        </w:r>
      </w:hyperlink>
      <w:r w:rsidRPr="00241762">
        <w:t>).</w:t>
      </w:r>
    </w:p>
    <w:p w14:paraId="0C0E4FC8" w14:textId="77777777" w:rsidR="00BB3E1E" w:rsidRPr="00241762" w:rsidRDefault="00BB3E1E" w:rsidP="00BB3E1E">
      <w:pPr>
        <w:pStyle w:val="BodyText"/>
      </w:pPr>
      <w:r w:rsidRPr="00241762">
        <w:t>The inventory reports on emissions and removals of the gases CO</w:t>
      </w:r>
      <w:r w:rsidRPr="00241762">
        <w:rPr>
          <w:vertAlign w:val="subscript"/>
        </w:rPr>
        <w:t>2</w:t>
      </w:r>
      <w:r w:rsidRPr="00241762">
        <w:t>, methane (CH</w:t>
      </w:r>
      <w:r w:rsidRPr="00241762">
        <w:rPr>
          <w:vertAlign w:val="subscript"/>
        </w:rPr>
        <w:t>4</w:t>
      </w:r>
      <w:r w:rsidRPr="00241762">
        <w:t>), nitrous oxide (N</w:t>
      </w:r>
      <w:r w:rsidRPr="00241762">
        <w:rPr>
          <w:vertAlign w:val="subscript"/>
        </w:rPr>
        <w:t>2</w:t>
      </w:r>
      <w:r w:rsidRPr="00241762">
        <w:t>O), hydrofluorocarbons (HFCs), perfluorocarbons (PFCs), sulphur hexafluoride (SF</w:t>
      </w:r>
      <w:r w:rsidRPr="00241762">
        <w:rPr>
          <w:vertAlign w:val="subscript"/>
        </w:rPr>
        <w:t>6</w:t>
      </w:r>
      <w:r w:rsidRPr="00241762">
        <w:t>) and nitrogen trifluoride (NF</w:t>
      </w:r>
      <w:r w:rsidRPr="00241762">
        <w:rPr>
          <w:vertAlign w:val="subscript"/>
        </w:rPr>
        <w:t>3</w:t>
      </w:r>
      <w:r w:rsidRPr="00241762">
        <w:t>).</w:t>
      </w:r>
      <w:r w:rsidRPr="00241762">
        <w:rPr>
          <w:rStyle w:val="FootnoteReference"/>
        </w:rPr>
        <w:footnoteReference w:id="12"/>
      </w:r>
      <w:r w:rsidRPr="00241762">
        <w:t xml:space="preserve"> The indirect GHGs,</w:t>
      </w:r>
      <w:r w:rsidRPr="00241762">
        <w:rPr>
          <w:rStyle w:val="FootnoteReference"/>
        </w:rPr>
        <w:footnoteReference w:id="13"/>
      </w:r>
      <w:r w:rsidRPr="00241762">
        <w:t xml:space="preserve"> carbon monoxide (CO), sulphur dioxide (SO</w:t>
      </w:r>
      <w:r w:rsidRPr="00241762">
        <w:rPr>
          <w:vertAlign w:val="subscript"/>
        </w:rPr>
        <w:t>2</w:t>
      </w:r>
      <w:r w:rsidRPr="00241762">
        <w:t>), oxides of nitrogen (NO</w:t>
      </w:r>
      <w:r w:rsidRPr="00241762">
        <w:rPr>
          <w:vertAlign w:val="subscript"/>
        </w:rPr>
        <w:t>X</w:t>
      </w:r>
      <w:r w:rsidRPr="00241762">
        <w:t>) and non-methane volatile organic compounds (NMVOCs), are also included. Only emissions and removals of the direct GHGs (CO</w:t>
      </w:r>
      <w:r w:rsidRPr="00241762">
        <w:rPr>
          <w:vertAlign w:val="subscript"/>
        </w:rPr>
        <w:t>2</w:t>
      </w:r>
      <w:r w:rsidRPr="00241762">
        <w:t>, CH</w:t>
      </w:r>
      <w:r w:rsidRPr="00241762">
        <w:rPr>
          <w:vertAlign w:val="subscript"/>
        </w:rPr>
        <w:t>4</w:t>
      </w:r>
      <w:r w:rsidRPr="00241762">
        <w:t>, N</w:t>
      </w:r>
      <w:r w:rsidRPr="00241762">
        <w:rPr>
          <w:vertAlign w:val="subscript"/>
        </w:rPr>
        <w:t>2</w:t>
      </w:r>
      <w:r w:rsidRPr="00241762">
        <w:t>O, SF</w:t>
      </w:r>
      <w:r w:rsidRPr="00241762">
        <w:rPr>
          <w:vertAlign w:val="subscript"/>
        </w:rPr>
        <w:t>6</w:t>
      </w:r>
      <w:r w:rsidRPr="00241762">
        <w:t xml:space="preserve">, PFCs, HFCs </w:t>
      </w:r>
      <w:r w:rsidRPr="00796B5D">
        <w:rPr>
          <w:spacing w:val="-2"/>
        </w:rPr>
        <w:t>and NF</w:t>
      </w:r>
      <w:r w:rsidRPr="00796B5D">
        <w:rPr>
          <w:spacing w:val="-2"/>
          <w:vertAlign w:val="subscript"/>
        </w:rPr>
        <w:t>3</w:t>
      </w:r>
      <w:r w:rsidRPr="00796B5D">
        <w:rPr>
          <w:spacing w:val="-2"/>
        </w:rPr>
        <w:t>) are reported in total gross and net emissions under the Convention and are accounted</w:t>
      </w:r>
      <w:r w:rsidRPr="00241762">
        <w:t xml:space="preserve"> for under the Kyoto Protocol. The gases are reported under five sectors and gross emissions include those from Energy, Industrial Processes and Product Use (IPPU), Agriculture and Waste, but do not include emissions and removals from the LULUCF sector (UNFCCC, 2013</w:t>
      </w:r>
      <w:r>
        <w:t>a</w:t>
      </w:r>
      <w:r w:rsidRPr="00241762">
        <w:t>).</w:t>
      </w:r>
    </w:p>
    <w:p w14:paraId="1C175339" w14:textId="77777777" w:rsidR="00BB3E1E" w:rsidRPr="00241762" w:rsidRDefault="00BB3E1E" w:rsidP="00BB3E1E">
      <w:pPr>
        <w:pStyle w:val="BodyText"/>
      </w:pPr>
      <w:r w:rsidRPr="00241762">
        <w:lastRenderedPageBreak/>
        <w:t>Since the 2019 submission, GHG emissions from Tokelau, New Zealand’s overseas dependent territory,</w:t>
      </w:r>
      <w:r w:rsidRPr="00241762">
        <w:rPr>
          <w:rStyle w:val="FootnoteReference"/>
        </w:rPr>
        <w:footnoteReference w:id="14"/>
      </w:r>
      <w:r w:rsidRPr="00241762">
        <w:t xml:space="preserve"> have been included in the inventory.</w:t>
      </w:r>
    </w:p>
    <w:p w14:paraId="45E07894" w14:textId="77777777" w:rsidR="00BB3E1E" w:rsidRPr="00241762" w:rsidRDefault="00BB3E1E" w:rsidP="00BB3E1E">
      <w:pPr>
        <w:pStyle w:val="BodyText"/>
      </w:pPr>
      <w:r w:rsidRPr="00241762">
        <w:t>Reporting on afforestation, reforestation and deforestation activities since 1990 (</w:t>
      </w:r>
      <w:r>
        <w:t xml:space="preserve">under </w:t>
      </w:r>
      <w:r w:rsidRPr="00241762">
        <w:t xml:space="preserve">Article 3.3 </w:t>
      </w:r>
      <w:r>
        <w:t xml:space="preserve">of </w:t>
      </w:r>
      <w:r w:rsidRPr="00241762">
        <w:t xml:space="preserve">the Kyoto Protocol) and forest management activities (under Article 3.4 of the Kyoto Protocol) </w:t>
      </w:r>
      <w:r>
        <w:t>is</w:t>
      </w:r>
      <w:r w:rsidRPr="00241762">
        <w:t xml:space="preserve"> mandatory during the 2013 to 2020 period of the Kyoto Protocol. The definitions of afforestation, reforestation, deforestation and forest management activities are consistent with Decision 16/CMP.1 (UNFCCC, 2005a).</w:t>
      </w:r>
    </w:p>
    <w:p w14:paraId="4F7EB047" w14:textId="77777777" w:rsidR="00BB3E1E" w:rsidRPr="00241762" w:rsidRDefault="00BB3E1E" w:rsidP="00BB3E1E">
      <w:pPr>
        <w:pStyle w:val="Heading3"/>
      </w:pPr>
      <w:bookmarkStart w:id="58" w:name="supplementary-information-required"/>
      <w:bookmarkEnd w:id="57"/>
      <w:r w:rsidRPr="00241762">
        <w:t xml:space="preserve">1.1.4 </w:t>
      </w:r>
      <w:r>
        <w:tab/>
      </w:r>
      <w:r w:rsidRPr="00241762">
        <w:t>Supplementary information required</w:t>
      </w:r>
    </w:p>
    <w:p w14:paraId="4A3D622B" w14:textId="77777777" w:rsidR="00BB3E1E" w:rsidRPr="00241762" w:rsidRDefault="00BB3E1E" w:rsidP="00BB3E1E">
      <w:pPr>
        <w:pStyle w:val="BodyText"/>
      </w:pPr>
      <w:r w:rsidRPr="00241762">
        <w:t>Following guidelines adopted by the CMP for reporting under Article 7.1 of the Kyoto Protocol, New Zealand includes supplementary information in its annual inventory submission.</w:t>
      </w:r>
    </w:p>
    <w:p w14:paraId="2FEBE550" w14:textId="77777777" w:rsidR="00BB3E1E" w:rsidRPr="00241762" w:rsidRDefault="00BB3E1E" w:rsidP="00BB3E1E">
      <w:pPr>
        <w:pStyle w:val="BodyText"/>
      </w:pPr>
      <w:r w:rsidRPr="00241762">
        <w:t>The supplementary information covers:</w:t>
      </w:r>
    </w:p>
    <w:p w14:paraId="07C8F1CD" w14:textId="77777777" w:rsidR="00BB3E1E" w:rsidRPr="00241762" w:rsidRDefault="00BB3E1E" w:rsidP="00BB3E1E">
      <w:pPr>
        <w:pStyle w:val="Bullet"/>
        <w:tabs>
          <w:tab w:val="num" w:pos="567"/>
        </w:tabs>
      </w:pPr>
      <w:r w:rsidRPr="00102120">
        <w:t>information</w:t>
      </w:r>
      <w:r w:rsidRPr="00241762">
        <w:t xml:space="preserve"> on emissions and removals for each activity under Article 3.3, and forest management activities under Article 3.4 (chapter 11)</w:t>
      </w:r>
    </w:p>
    <w:p w14:paraId="42F100BE" w14:textId="77777777" w:rsidR="00BB3E1E" w:rsidRPr="00241762" w:rsidRDefault="00BB3E1E" w:rsidP="00BB3E1E">
      <w:pPr>
        <w:pStyle w:val="Bullet"/>
        <w:tabs>
          <w:tab w:val="num" w:pos="567"/>
        </w:tabs>
      </w:pPr>
      <w:r w:rsidRPr="00241762">
        <w:t>holdings and transactions of units transferred and acquired under Kyoto Protocol mechanisms (chapter 12)</w:t>
      </w:r>
    </w:p>
    <w:p w14:paraId="32B64680" w14:textId="77777777" w:rsidR="00BB3E1E" w:rsidRPr="00241762" w:rsidRDefault="00BB3E1E" w:rsidP="00BB3E1E">
      <w:pPr>
        <w:pStyle w:val="Bullet"/>
        <w:tabs>
          <w:tab w:val="num" w:pos="567"/>
        </w:tabs>
      </w:pPr>
      <w:r w:rsidRPr="00241762">
        <w:t>significant changes to the national system for estimating emissions and removals (chapter 13) and to the Kyoto Protocol unit registry (chapter 14)</w:t>
      </w:r>
    </w:p>
    <w:p w14:paraId="15BB6F4C" w14:textId="77777777" w:rsidR="00BB3E1E" w:rsidRPr="00241762" w:rsidRDefault="00BB3E1E" w:rsidP="00BB3E1E">
      <w:pPr>
        <w:pStyle w:val="Bullet"/>
        <w:tabs>
          <w:tab w:val="num" w:pos="567"/>
        </w:tabs>
      </w:pPr>
      <w:r w:rsidRPr="00241762">
        <w:t>information related to the implementation of Article 3.14 on the minimisation of adverse impacts on developing country Parties (chapter 15).</w:t>
      </w:r>
    </w:p>
    <w:p w14:paraId="52A9856F" w14:textId="77777777" w:rsidR="00BB3E1E" w:rsidRPr="00241762" w:rsidRDefault="00BB3E1E" w:rsidP="00BB3E1E">
      <w:pPr>
        <w:pStyle w:val="Heading2"/>
      </w:pPr>
      <w:bookmarkStart w:id="59" w:name="_Toc99659096"/>
      <w:bookmarkStart w:id="60" w:name="X3d8ef0902c11d2c20ca27020f96f283b7720eed"/>
      <w:bookmarkEnd w:id="54"/>
      <w:bookmarkEnd w:id="58"/>
      <w:r w:rsidRPr="00241762">
        <w:t xml:space="preserve">1.2 </w:t>
      </w:r>
      <w:r>
        <w:tab/>
      </w:r>
      <w:r w:rsidRPr="00241762">
        <w:t>Description of the national inventory arrangements</w:t>
      </w:r>
      <w:bookmarkEnd w:id="59"/>
    </w:p>
    <w:p w14:paraId="4C70D076" w14:textId="77777777" w:rsidR="00BB3E1E" w:rsidRPr="00241762" w:rsidRDefault="00BB3E1E" w:rsidP="00BB3E1E">
      <w:pPr>
        <w:pStyle w:val="Heading3"/>
        <w:spacing w:before="240"/>
      </w:pPr>
      <w:bookmarkStart w:id="61" w:name="Xcd9072cb7f9986ae7704ae8a82e4c52ab339908"/>
      <w:r w:rsidRPr="00241762">
        <w:t xml:space="preserve">1.2.1 </w:t>
      </w:r>
      <w:r>
        <w:tab/>
      </w:r>
      <w:r w:rsidRPr="00241762">
        <w:t>Institutional, legal and procedural arrangements</w:t>
      </w:r>
    </w:p>
    <w:p w14:paraId="1EFA103E" w14:textId="2A23B366" w:rsidR="00BB3E1E" w:rsidRPr="00241762" w:rsidRDefault="00BB3E1E" w:rsidP="00BB3E1E">
      <w:pPr>
        <w:pStyle w:val="BodyText"/>
      </w:pPr>
      <w:r w:rsidRPr="00241762">
        <w:t>In 2002 New Zealand enacted the Climate Change Response Act 2002</w:t>
      </w:r>
      <w:r>
        <w:t xml:space="preserve"> (the Act).</w:t>
      </w:r>
      <w:r w:rsidRPr="00241762">
        <w:rPr>
          <w:rStyle w:val="FootnoteReference"/>
        </w:rPr>
        <w:footnoteReference w:id="15"/>
      </w:r>
      <w:r w:rsidRPr="00241762">
        <w:t xml:space="preserve"> This enabled New Zealand to meet its international obligations under the Convention and Kyoto Protocol. A</w:t>
      </w:r>
      <w:r w:rsidR="003C4C83">
        <w:t> </w:t>
      </w:r>
      <w:r w:rsidRPr="00241762">
        <w:t>Prime Ministerial directive for the administration of the Act named the Ministry for the Environment (MfE) as New Zealand’s ‘inventory agency’. Part 3, section 32, of the Act specifies the following functions and requirements.</w:t>
      </w:r>
    </w:p>
    <w:p w14:paraId="7A4DD809" w14:textId="77777777" w:rsidR="00BB3E1E" w:rsidRPr="00102120" w:rsidRDefault="00BB3E1E" w:rsidP="0021547D">
      <w:pPr>
        <w:pStyle w:val="Numberedparagraph"/>
      </w:pPr>
      <w:r w:rsidRPr="00102120">
        <w:t xml:space="preserve">The primary </w:t>
      </w:r>
      <w:r w:rsidRPr="0021547D">
        <w:t>functions</w:t>
      </w:r>
      <w:r w:rsidRPr="00102120">
        <w:t xml:space="preserve"> of New Zealand’s inventory agency are to:</w:t>
      </w:r>
    </w:p>
    <w:p w14:paraId="1765D658" w14:textId="77777777" w:rsidR="00BB3E1E" w:rsidRPr="00241762" w:rsidRDefault="00BB3E1E" w:rsidP="00361448">
      <w:pPr>
        <w:pStyle w:val="Sub-bullet"/>
        <w:numPr>
          <w:ilvl w:val="0"/>
          <w:numId w:val="34"/>
        </w:numPr>
      </w:pPr>
      <w:r w:rsidRPr="00241762">
        <w:t>estimate annually New Zealand’s human-induced emissions by sources and removals by sinks of greenhouse gases</w:t>
      </w:r>
    </w:p>
    <w:p w14:paraId="38DCB839" w14:textId="77777777" w:rsidR="00BB3E1E" w:rsidRPr="00241762" w:rsidRDefault="00BB3E1E" w:rsidP="00361448">
      <w:pPr>
        <w:pStyle w:val="Sub-bullet"/>
        <w:numPr>
          <w:ilvl w:val="0"/>
          <w:numId w:val="34"/>
        </w:numPr>
      </w:pPr>
      <w:r w:rsidRPr="00241762">
        <w:t xml:space="preserve">prepare </w:t>
      </w:r>
      <w:r>
        <w:t xml:space="preserve">all of </w:t>
      </w:r>
      <w:r w:rsidRPr="00241762">
        <w:t>the following reports for the purpose of discharging New Zealand’s obligations:</w:t>
      </w:r>
    </w:p>
    <w:p w14:paraId="06943CC6" w14:textId="77777777" w:rsidR="00BB3E1E" w:rsidRPr="00241762" w:rsidRDefault="00BB3E1E" w:rsidP="00361448">
      <w:pPr>
        <w:numPr>
          <w:ilvl w:val="1"/>
          <w:numId w:val="32"/>
        </w:numPr>
        <w:tabs>
          <w:tab w:val="clear" w:pos="794"/>
        </w:tabs>
        <w:spacing w:after="120" w:line="280" w:lineRule="atLeast"/>
      </w:pPr>
      <w:r w:rsidRPr="00241762">
        <w:lastRenderedPageBreak/>
        <w:t>New Zealand’s annual inventory report under Articles 4 and 12 of the Convention and Article 7.1 of the Protocol, including (but not limited to) the quantities of long-term certified emission reduction units and temporary certified emission reduction units that have expired or have been replaced, retired or cancelled</w:t>
      </w:r>
    </w:p>
    <w:p w14:paraId="7FEC3824" w14:textId="77777777" w:rsidR="00BB3E1E" w:rsidRPr="00241762" w:rsidRDefault="00BB3E1E" w:rsidP="00361448">
      <w:pPr>
        <w:numPr>
          <w:ilvl w:val="1"/>
          <w:numId w:val="32"/>
        </w:numPr>
        <w:tabs>
          <w:tab w:val="clear" w:pos="794"/>
        </w:tabs>
        <w:spacing w:after="120" w:line="280" w:lineRule="atLeast"/>
      </w:pPr>
      <w:r w:rsidRPr="00241762">
        <w:t>report of information by New Zealand under Article 13 of the Paris Agreement</w:t>
      </w:r>
      <w:r w:rsidRPr="00241762">
        <w:rPr>
          <w:rStyle w:val="FootnoteReference"/>
        </w:rPr>
        <w:footnoteReference w:id="16"/>
      </w:r>
    </w:p>
    <w:p w14:paraId="2432B078" w14:textId="77777777" w:rsidR="00BB3E1E" w:rsidRPr="00241762" w:rsidRDefault="00BB3E1E" w:rsidP="00361448">
      <w:pPr>
        <w:numPr>
          <w:ilvl w:val="1"/>
          <w:numId w:val="32"/>
        </w:numPr>
        <w:tabs>
          <w:tab w:val="clear" w:pos="794"/>
        </w:tabs>
        <w:spacing w:after="120" w:line="280" w:lineRule="atLeast"/>
      </w:pPr>
      <w:r w:rsidRPr="00241762">
        <w:t>New Zealand’s national communication (or periodic report) under Article 7.2 of the Kyoto Protocol and Article 12 of the Convention.</w:t>
      </w:r>
    </w:p>
    <w:p w14:paraId="47A8BAF1" w14:textId="77777777" w:rsidR="00BB3E1E" w:rsidRPr="00241762" w:rsidRDefault="00BB3E1E" w:rsidP="0021547D">
      <w:pPr>
        <w:pStyle w:val="Numberedparagraph"/>
      </w:pPr>
      <w:r w:rsidRPr="00241762">
        <w:t>In carrying out its functions, the inventory agency must:</w:t>
      </w:r>
    </w:p>
    <w:p w14:paraId="2F18971A" w14:textId="77777777" w:rsidR="00BB3E1E" w:rsidRPr="00241762" w:rsidRDefault="00BB3E1E" w:rsidP="00361448">
      <w:pPr>
        <w:pStyle w:val="Sub-bullet"/>
        <w:numPr>
          <w:ilvl w:val="0"/>
          <w:numId w:val="34"/>
        </w:numPr>
      </w:pPr>
      <w:r w:rsidRPr="00241762">
        <w:t>identify source categories</w:t>
      </w:r>
    </w:p>
    <w:p w14:paraId="5D699B55" w14:textId="77777777" w:rsidR="00BB3E1E" w:rsidRPr="00241762" w:rsidRDefault="00BB3E1E" w:rsidP="00361448">
      <w:pPr>
        <w:pStyle w:val="Sub-bullet"/>
        <w:numPr>
          <w:ilvl w:val="0"/>
          <w:numId w:val="34"/>
        </w:numPr>
      </w:pPr>
      <w:r w:rsidRPr="00241762">
        <w:t>collect data by means of:</w:t>
      </w:r>
    </w:p>
    <w:p w14:paraId="3778F262" w14:textId="77777777" w:rsidR="00BB3E1E" w:rsidRPr="00241762" w:rsidRDefault="00BB3E1E" w:rsidP="00361448">
      <w:pPr>
        <w:numPr>
          <w:ilvl w:val="1"/>
          <w:numId w:val="33"/>
        </w:numPr>
        <w:tabs>
          <w:tab w:val="clear" w:pos="794"/>
        </w:tabs>
        <w:spacing w:after="120" w:line="280" w:lineRule="atLeast"/>
      </w:pPr>
      <w:r w:rsidRPr="00241762">
        <w:t>voluntary collection</w:t>
      </w:r>
    </w:p>
    <w:p w14:paraId="35F75FA9" w14:textId="77777777" w:rsidR="00BB3E1E" w:rsidRPr="00241762" w:rsidRDefault="00BB3E1E" w:rsidP="00361448">
      <w:pPr>
        <w:numPr>
          <w:ilvl w:val="1"/>
          <w:numId w:val="33"/>
        </w:numPr>
        <w:tabs>
          <w:tab w:val="clear" w:pos="794"/>
        </w:tabs>
        <w:spacing w:after="120" w:line="280" w:lineRule="atLeast"/>
      </w:pPr>
      <w:r w:rsidRPr="00241762">
        <w:t>collection from government agencies and other agencies that hold relevant information</w:t>
      </w:r>
    </w:p>
    <w:p w14:paraId="6E1DA9DD" w14:textId="77777777" w:rsidR="00BB3E1E" w:rsidRPr="00241762" w:rsidRDefault="00BB3E1E" w:rsidP="00361448">
      <w:pPr>
        <w:numPr>
          <w:ilvl w:val="1"/>
          <w:numId w:val="33"/>
        </w:numPr>
        <w:tabs>
          <w:tab w:val="clear" w:pos="794"/>
        </w:tabs>
        <w:spacing w:after="120" w:line="280" w:lineRule="atLeast"/>
      </w:pPr>
      <w:r w:rsidRPr="00241762">
        <w:t>collection in accordance with regulations made under this Part (if any)</w:t>
      </w:r>
    </w:p>
    <w:p w14:paraId="030A6A77" w14:textId="77777777" w:rsidR="00BB3E1E" w:rsidRPr="00241762" w:rsidRDefault="00BB3E1E" w:rsidP="00361448">
      <w:pPr>
        <w:pStyle w:val="Sub-bullet"/>
        <w:numPr>
          <w:ilvl w:val="0"/>
          <w:numId w:val="34"/>
        </w:numPr>
      </w:pPr>
      <w:r w:rsidRPr="00241762">
        <w:t>estimate the emissions and removals by sinks for each source category</w:t>
      </w:r>
    </w:p>
    <w:p w14:paraId="41A30F5A" w14:textId="77777777" w:rsidR="00BB3E1E" w:rsidRPr="00241762" w:rsidRDefault="00BB3E1E" w:rsidP="00361448">
      <w:pPr>
        <w:pStyle w:val="Sub-bullet"/>
        <w:numPr>
          <w:ilvl w:val="0"/>
          <w:numId w:val="34"/>
        </w:numPr>
      </w:pPr>
      <w:r w:rsidRPr="00241762">
        <w:t>undertake assessments on uncertainties</w:t>
      </w:r>
    </w:p>
    <w:p w14:paraId="2790CB69" w14:textId="77777777" w:rsidR="00BB3E1E" w:rsidRPr="00241762" w:rsidRDefault="00BB3E1E" w:rsidP="00361448">
      <w:pPr>
        <w:pStyle w:val="Sub-bullet"/>
        <w:numPr>
          <w:ilvl w:val="0"/>
          <w:numId w:val="34"/>
        </w:numPr>
      </w:pPr>
      <w:r w:rsidRPr="00241762">
        <w:t>undertake procedures to verify the data</w:t>
      </w:r>
    </w:p>
    <w:p w14:paraId="78D85235" w14:textId="77777777" w:rsidR="00BB3E1E" w:rsidRPr="00241762" w:rsidRDefault="00BB3E1E" w:rsidP="00361448">
      <w:pPr>
        <w:pStyle w:val="Sub-bullet"/>
        <w:numPr>
          <w:ilvl w:val="0"/>
          <w:numId w:val="34"/>
        </w:numPr>
      </w:pPr>
      <w:r w:rsidRPr="00241762">
        <w:t>retain information and documents to show how the estimates were determined.</w:t>
      </w:r>
    </w:p>
    <w:p w14:paraId="1DD6BE02" w14:textId="77777777" w:rsidR="00BB3E1E" w:rsidRPr="00241762" w:rsidRDefault="00BB3E1E" w:rsidP="00BB3E1E">
      <w:pPr>
        <w:pStyle w:val="BodyText"/>
      </w:pPr>
      <w:r w:rsidRPr="00241762">
        <w:t>Compliance provisions in section 36 of the Act authoris</w:t>
      </w:r>
      <w:r>
        <w:t>e</w:t>
      </w:r>
      <w:r w:rsidRPr="00241762">
        <w:t xml:space="preserve"> inspectors to collect information needed to estimate emissions or removals of GHGs.</w:t>
      </w:r>
    </w:p>
    <w:p w14:paraId="524404DA" w14:textId="77777777" w:rsidR="00BB3E1E" w:rsidRPr="00241762" w:rsidRDefault="00BB3E1E" w:rsidP="00BB3E1E">
      <w:pPr>
        <w:pStyle w:val="BodyText"/>
      </w:pPr>
      <w:r w:rsidRPr="00241762">
        <w:t>On 13 November 2017, New Zealand also extended its ratification of the Convention and the Paris Agreement to include Tokelau. This means,</w:t>
      </w:r>
      <w:r>
        <w:t xml:space="preserve"> among other things</w:t>
      </w:r>
      <w:r w:rsidRPr="00241762">
        <w:t>, that New Zealand’s national GHG inventory now includes emissions estimates from Tokelau. F</w:t>
      </w:r>
      <w:r>
        <w:t>or f</w:t>
      </w:r>
      <w:r w:rsidRPr="00241762">
        <w:t>urther details</w:t>
      </w:r>
      <w:r>
        <w:t>, see</w:t>
      </w:r>
      <w:r w:rsidRPr="00241762">
        <w:t xml:space="preserve"> chapter 8, section 8.1.3.</w:t>
      </w:r>
    </w:p>
    <w:p w14:paraId="167B0CE5" w14:textId="77777777" w:rsidR="00BB3E1E" w:rsidRPr="00241762" w:rsidRDefault="00BB3E1E" w:rsidP="00BB3E1E">
      <w:pPr>
        <w:pStyle w:val="Heading3"/>
      </w:pPr>
      <w:bookmarkStart w:id="62" w:name="X66a5f8ee1ef6794df3c860c9737842c37eb9602"/>
      <w:bookmarkEnd w:id="61"/>
      <w:r w:rsidRPr="00241762">
        <w:t xml:space="preserve">1.2.2 </w:t>
      </w:r>
      <w:r>
        <w:tab/>
      </w:r>
      <w:r w:rsidRPr="00241762">
        <w:t>Inventory planning, preparation and management</w:t>
      </w:r>
    </w:p>
    <w:p w14:paraId="09AA5DAC" w14:textId="77777777" w:rsidR="00BB3E1E" w:rsidRPr="00241762" w:rsidRDefault="00BB3E1E" w:rsidP="00BB3E1E">
      <w:pPr>
        <w:pStyle w:val="BodyText"/>
      </w:pPr>
      <w:r w:rsidRPr="00241762">
        <w:t xml:space="preserve">Article 5.1 of the Kyoto Protocol </w:t>
      </w:r>
      <w:r>
        <w:t xml:space="preserve">requires </w:t>
      </w:r>
      <w:r w:rsidRPr="00241762">
        <w:t>New Zealand to have a national system for its inventory. New Zealand provided a full description of the national system in its initial report under the Kyoto Protocol (Ministry for the Environment, 2006). Changes to the national inventory system are documented in section 1.2.4 and chapter 13.</w:t>
      </w:r>
    </w:p>
    <w:p w14:paraId="67D856F7" w14:textId="77777777" w:rsidR="00BB3E1E" w:rsidRPr="00241762" w:rsidRDefault="00BB3E1E" w:rsidP="00BB3E1E">
      <w:pPr>
        <w:pStyle w:val="BodyText"/>
      </w:pPr>
      <w:r w:rsidRPr="00241762">
        <w:t>New Zealand has developed national inventory system guidelines that document the tasks required to officially submit the inventory. These guidelines cover multiple aspects of the production of the inventory: inventory management, inventory planning and preparation, quality assurance and quality control (QA/QC) processes, communication and error management. This is a living document that is updated as required.</w:t>
      </w:r>
    </w:p>
    <w:p w14:paraId="718D2682" w14:textId="77777777" w:rsidR="00BB3E1E" w:rsidRPr="0021547D" w:rsidRDefault="00BB3E1E" w:rsidP="0021547D">
      <w:pPr>
        <w:pStyle w:val="Heading4"/>
      </w:pPr>
      <w:bookmarkStart w:id="63" w:name="inventory-management"/>
      <w:r w:rsidRPr="00241762">
        <w:lastRenderedPageBreak/>
        <w:t>Inventory management</w:t>
      </w:r>
    </w:p>
    <w:p w14:paraId="4F0B2ED4" w14:textId="1135BD56" w:rsidR="00BB3E1E" w:rsidRPr="00241762" w:rsidRDefault="00BB3E1E" w:rsidP="00BB3E1E">
      <w:pPr>
        <w:pStyle w:val="BodyText"/>
      </w:pPr>
      <w:r w:rsidRPr="00241762">
        <w:t>New Zealand applies a hybrid (centralised/distributed) approach to the production of the inventory. MfE, as New Zealand’s inventory agency</w:t>
      </w:r>
      <w:r>
        <w:t>,</w:t>
      </w:r>
      <w:r w:rsidRPr="00241762">
        <w:t xml:space="preserve"> </w:t>
      </w:r>
      <w:r>
        <w:t>m</w:t>
      </w:r>
      <w:r w:rsidRPr="00241762">
        <w:t>anage</w:t>
      </w:r>
      <w:r>
        <w:t>s</w:t>
      </w:r>
      <w:r w:rsidRPr="00241762">
        <w:t xml:space="preserve"> and coordinat</w:t>
      </w:r>
      <w:r>
        <w:t>es</w:t>
      </w:r>
      <w:r w:rsidRPr="00241762">
        <w:t xml:space="preserve"> the inventory production, compil</w:t>
      </w:r>
      <w:r>
        <w:t>es and</w:t>
      </w:r>
      <w:r w:rsidRPr="00241762">
        <w:t xml:space="preserve"> publi</w:t>
      </w:r>
      <w:r>
        <w:t>shes the inventory,</w:t>
      </w:r>
      <w:r w:rsidRPr="00241762">
        <w:t xml:space="preserve"> and submi</w:t>
      </w:r>
      <w:r>
        <w:t>ts it</w:t>
      </w:r>
      <w:r w:rsidRPr="00241762">
        <w:t xml:space="preserve"> to the UNFCCC secretariat, in</w:t>
      </w:r>
      <w:r w:rsidR="0021547D">
        <w:t> </w:t>
      </w:r>
      <w:r w:rsidRPr="00241762">
        <w:t xml:space="preserve">a centralised manner. The National Inventory Compiler is based at MfE. A number of designated government departments </w:t>
      </w:r>
      <w:r>
        <w:t>carry out s</w:t>
      </w:r>
      <w:r w:rsidRPr="00241762">
        <w:t xml:space="preserve">ector-specific work, which includes obtaining and processing activity data, estimating emissions, preparing sectoral CRF or SEF tables and writing sectoral inventory chapters. Arrangements with these government departments have evolved as resources and capacity have allowed and as understanding of the reporting requirements has </w:t>
      </w:r>
      <w:r>
        <w:t>increased</w:t>
      </w:r>
      <w:r w:rsidRPr="00241762">
        <w:t>.</w:t>
      </w:r>
    </w:p>
    <w:p w14:paraId="7B10608A" w14:textId="77777777" w:rsidR="00BB3E1E" w:rsidRPr="00241762" w:rsidRDefault="00BB3E1E" w:rsidP="00BB3E1E">
      <w:pPr>
        <w:pStyle w:val="BodyText"/>
      </w:pPr>
      <w:r w:rsidRPr="00241762">
        <w:t>Inventory governance within each sector, as well as sector-level quality control, is managed by the department responsible for the sector. The Reporting Governance Group (RGG) provides cross-agency governance over the climate change reporting, modelling and projections of GHG emissions and removals. The RGG is chaired by the manager of the inventory compilation team (within MfE)</w:t>
      </w:r>
      <w:r>
        <w:t>. I</w:t>
      </w:r>
      <w:r w:rsidRPr="00241762">
        <w:t>ts membership includes representation from the Ministry for Primary Industries (MPI), the Ministry of Business, Innovation and Employment (MBIE) and the Environmental Protection Authority (EPA), as well as observers (Ministry of Foreign Affairs and Trade (MFAT), Government of Tokelau and Stats NZ). The main roles and expectations of the RGG include:</w:t>
      </w:r>
    </w:p>
    <w:p w14:paraId="3E54930E" w14:textId="77777777" w:rsidR="00BB3E1E" w:rsidRPr="0021547D" w:rsidRDefault="00BB3E1E" w:rsidP="0021547D">
      <w:pPr>
        <w:pStyle w:val="Bullet"/>
      </w:pPr>
      <w:r w:rsidRPr="0021547D">
        <w:t>guiding, conferring and approving (on the basis of advice from technical experts) major inventory recalculations and improvements, GHG emissions projections and their assumptions, analytical systems and tools for climate change reporting, planning and priorities, key messages, and management of stakeholders and risks</w:t>
      </w:r>
    </w:p>
    <w:p w14:paraId="4D9A62EA" w14:textId="77777777" w:rsidR="00BB3E1E" w:rsidRPr="0021547D" w:rsidRDefault="00BB3E1E" w:rsidP="0021547D">
      <w:pPr>
        <w:pStyle w:val="Bullet"/>
      </w:pPr>
      <w:r w:rsidRPr="0021547D">
        <w:t>focusing on the delivery of reporting commitments to meet national and international requirements</w:t>
      </w:r>
    </w:p>
    <w:p w14:paraId="36D19B40" w14:textId="77777777" w:rsidR="00BB3E1E" w:rsidRPr="00241762" w:rsidRDefault="00BB3E1E" w:rsidP="0021547D">
      <w:pPr>
        <w:pStyle w:val="Bullet"/>
      </w:pPr>
      <w:r w:rsidRPr="0021547D">
        <w:t>provi</w:t>
      </w:r>
      <w:r w:rsidRPr="00241762">
        <w:t>ding reporting leadership and guidance to analysts and technical specialists involved in this work</w:t>
      </w:r>
    </w:p>
    <w:p w14:paraId="223DC3D6" w14:textId="77777777" w:rsidR="00BB3E1E" w:rsidRPr="00241762" w:rsidRDefault="00BB3E1E" w:rsidP="00BB3E1E">
      <w:pPr>
        <w:pStyle w:val="Bullet"/>
        <w:tabs>
          <w:tab w:val="num" w:pos="567"/>
        </w:tabs>
      </w:pPr>
      <w:r w:rsidRPr="00241762">
        <w:t>sharing information, providing feedback and resolving any differences among departments that impact on the delivery of the work programme</w:t>
      </w:r>
    </w:p>
    <w:p w14:paraId="368EBD90" w14:textId="550E523E" w:rsidR="00BB3E1E" w:rsidRPr="00241762" w:rsidRDefault="00BB3E1E" w:rsidP="00BB3E1E">
      <w:pPr>
        <w:pStyle w:val="Bullet"/>
        <w:tabs>
          <w:tab w:val="num" w:pos="567"/>
        </w:tabs>
      </w:pPr>
      <w:r w:rsidRPr="00241762">
        <w:t>monitoring and reporting to a Climate Change Directors Group (a cross-agency group that</w:t>
      </w:r>
      <w:r w:rsidR="00CC18EB">
        <w:t> </w:t>
      </w:r>
      <w:r w:rsidRPr="00241762">
        <w:t>oversees New Zealand’s international and domestic climate change policy) on the ‘big</w:t>
      </w:r>
      <w:r w:rsidR="00CC18EB">
        <w:t> </w:t>
      </w:r>
      <w:r w:rsidRPr="00241762">
        <w:t>picture’ of the reporting work programme, direction, progress in delivery and capability to deliver.</w:t>
      </w:r>
    </w:p>
    <w:p w14:paraId="1D0B0878" w14:textId="77777777" w:rsidR="00BB3E1E" w:rsidRPr="00241762" w:rsidRDefault="00BB3E1E" w:rsidP="00BB3E1E">
      <w:pPr>
        <w:pStyle w:val="BodyText"/>
      </w:pPr>
      <w:r w:rsidRPr="00241762">
        <w:t>Apart from its overall inventory coordination role, MfE compiles estimates for:</w:t>
      </w:r>
    </w:p>
    <w:p w14:paraId="4B509E30" w14:textId="77777777" w:rsidR="00BB3E1E" w:rsidRPr="00241762" w:rsidRDefault="00BB3E1E" w:rsidP="00BB3E1E">
      <w:pPr>
        <w:pStyle w:val="Bullet"/>
        <w:tabs>
          <w:tab w:val="num" w:pos="567"/>
        </w:tabs>
      </w:pPr>
      <w:r w:rsidRPr="00241762">
        <w:t xml:space="preserve">emissions </w:t>
      </w:r>
      <w:r>
        <w:t xml:space="preserve">for </w:t>
      </w:r>
      <w:r w:rsidRPr="00241762">
        <w:t>the IPPU sector (non-CO</w:t>
      </w:r>
      <w:r w:rsidRPr="00241762">
        <w:rPr>
          <w:vertAlign w:val="subscript"/>
        </w:rPr>
        <w:t>2</w:t>
      </w:r>
      <w:r w:rsidRPr="00241762">
        <w:t xml:space="preserve"> gases through industry surveys and CO</w:t>
      </w:r>
      <w:r w:rsidRPr="00241762">
        <w:rPr>
          <w:vertAlign w:val="subscript"/>
        </w:rPr>
        <w:t>2</w:t>
      </w:r>
      <w:r w:rsidRPr="00241762">
        <w:t xml:space="preserve"> data provided by MBIE and the EPA)</w:t>
      </w:r>
    </w:p>
    <w:p w14:paraId="6ED172EC" w14:textId="77777777" w:rsidR="00BB3E1E" w:rsidRPr="00241762" w:rsidRDefault="00BB3E1E" w:rsidP="00BB3E1E">
      <w:pPr>
        <w:pStyle w:val="Bullet"/>
        <w:tabs>
          <w:tab w:val="num" w:pos="567"/>
        </w:tabs>
      </w:pPr>
      <w:r w:rsidRPr="00241762">
        <w:t xml:space="preserve">emissions </w:t>
      </w:r>
      <w:r>
        <w:t xml:space="preserve">for </w:t>
      </w:r>
      <w:r w:rsidRPr="00241762">
        <w:t>the Waste sector</w:t>
      </w:r>
    </w:p>
    <w:p w14:paraId="7432BF9E" w14:textId="77777777" w:rsidR="00BB3E1E" w:rsidRPr="00241762" w:rsidRDefault="00BB3E1E" w:rsidP="00BB3E1E">
      <w:pPr>
        <w:pStyle w:val="Bullet"/>
        <w:tabs>
          <w:tab w:val="num" w:pos="567"/>
        </w:tabs>
      </w:pPr>
      <w:r w:rsidRPr="00241762">
        <w:t>emissions and removals for the LULUCF sector</w:t>
      </w:r>
    </w:p>
    <w:p w14:paraId="59EE0237" w14:textId="77777777" w:rsidR="00BB3E1E" w:rsidRPr="00241762" w:rsidRDefault="00BB3E1E" w:rsidP="00BB3E1E">
      <w:pPr>
        <w:pStyle w:val="Bullet"/>
        <w:tabs>
          <w:tab w:val="num" w:pos="567"/>
        </w:tabs>
      </w:pPr>
      <w:r w:rsidRPr="00241762">
        <w:t xml:space="preserve">emissions </w:t>
      </w:r>
      <w:r>
        <w:t xml:space="preserve">for </w:t>
      </w:r>
      <w:r w:rsidRPr="00241762">
        <w:t>Article 3.3 and Article 3.4 activities under the Kyoto Protocol.</w:t>
      </w:r>
    </w:p>
    <w:p w14:paraId="1AD7CE86" w14:textId="0A9A9772" w:rsidR="00BB3E1E" w:rsidRPr="00241762" w:rsidRDefault="00BB3E1E" w:rsidP="00BB3E1E">
      <w:pPr>
        <w:pStyle w:val="BodyText"/>
      </w:pPr>
      <w:r w:rsidRPr="00241762">
        <w:t>MfE conducts field measurement programmes within the LULUCF sector. It undertakes land use mapping from satellite imagery to report on emissions and removals for the LULUCF sector</w:t>
      </w:r>
      <w:r w:rsidR="00E57A75">
        <w:t> </w:t>
      </w:r>
      <w:r w:rsidRPr="00241762">
        <w:t>and Article 3.3 and Article 3.4 activities under the Kyoto Protocol. This is supplemented with data from forestry grant schemes, harvested wood products production and non-CO</w:t>
      </w:r>
      <w:r w:rsidRPr="00241762">
        <w:rPr>
          <w:vertAlign w:val="subscript"/>
        </w:rPr>
        <w:t>2</w:t>
      </w:r>
      <w:r w:rsidRPr="00241762">
        <w:t xml:space="preserve"> emissions </w:t>
      </w:r>
      <w:r>
        <w:t>that</w:t>
      </w:r>
      <w:r w:rsidRPr="00241762">
        <w:t xml:space="preserve"> </w:t>
      </w:r>
      <w:r>
        <w:t>are</w:t>
      </w:r>
      <w:r w:rsidRPr="00241762">
        <w:t xml:space="preserve"> collected through surveys of the sector.</w:t>
      </w:r>
    </w:p>
    <w:p w14:paraId="641ABCA6" w14:textId="45DE0149" w:rsidR="00BB3E1E" w:rsidRPr="00241762" w:rsidRDefault="00BB3E1E" w:rsidP="00BB3E1E">
      <w:pPr>
        <w:pStyle w:val="BodyText"/>
      </w:pPr>
      <w:r w:rsidRPr="00241762">
        <w:lastRenderedPageBreak/>
        <w:t>MfE coordinates the preparation of Tokelau’s inventory data and information with the Tokelau</w:t>
      </w:r>
      <w:r w:rsidR="00E57A75">
        <w:t> </w:t>
      </w:r>
      <w:r w:rsidRPr="00241762">
        <w:t>Ministry of Climate, Oceans and Resilience (MiCORE; formerly known as the Climate</w:t>
      </w:r>
      <w:r w:rsidR="00E57A75">
        <w:t> </w:t>
      </w:r>
      <w:r w:rsidRPr="00241762">
        <w:t>Change Agency).</w:t>
      </w:r>
    </w:p>
    <w:p w14:paraId="70C42191" w14:textId="77777777" w:rsidR="00BB3E1E" w:rsidRPr="00241762" w:rsidRDefault="00BB3E1E" w:rsidP="00BB3E1E">
      <w:pPr>
        <w:pStyle w:val="BodyText"/>
      </w:pPr>
      <w:r w:rsidRPr="00241762">
        <w:t>MBIE estimates all emissions from the Energy sector and CO</w:t>
      </w:r>
      <w:r w:rsidRPr="00241762">
        <w:rPr>
          <w:vertAlign w:val="subscript"/>
        </w:rPr>
        <w:t>2</w:t>
      </w:r>
      <w:r w:rsidRPr="00241762">
        <w:t xml:space="preserve"> emissions from the IPPU sector, based in part on Emissions Trading Scheme (ETS) returns.</w:t>
      </w:r>
    </w:p>
    <w:p w14:paraId="2F489BC8" w14:textId="77777777" w:rsidR="00BB3E1E" w:rsidRPr="00241762" w:rsidRDefault="00BB3E1E" w:rsidP="00BB3E1E">
      <w:pPr>
        <w:pStyle w:val="BodyText"/>
      </w:pPr>
      <w:r w:rsidRPr="00241762">
        <w:t xml:space="preserve">MPI estimates emissions from the Agriculture sector. The estimates are underpinned by research and modelling undertaken at New Zealand’s Crown </w:t>
      </w:r>
      <w:r>
        <w:t>r</w:t>
      </w:r>
      <w:r w:rsidRPr="00241762">
        <w:t xml:space="preserve">esearch </w:t>
      </w:r>
      <w:r>
        <w:t>i</w:t>
      </w:r>
      <w:r w:rsidRPr="00241762">
        <w:t>nstitutes, universities and private research companies, and survey data collected by the national statistics agency Stats NZ and key sector organisations.</w:t>
      </w:r>
    </w:p>
    <w:p w14:paraId="0F8D14E9" w14:textId="77777777" w:rsidR="00BB3E1E" w:rsidRPr="00241762" w:rsidRDefault="00BB3E1E" w:rsidP="00BB3E1E">
      <w:pPr>
        <w:pStyle w:val="BodyText"/>
      </w:pPr>
      <w:r w:rsidRPr="00241762">
        <w:t>MFAT provides information on the minimisation of adverse impacts under Article 13.4 of the Kyoto Protocol, as reported in chapter 15.</w:t>
      </w:r>
    </w:p>
    <w:p w14:paraId="3267EC89" w14:textId="77777777" w:rsidR="00BB3E1E" w:rsidRPr="00241762" w:rsidRDefault="00BB3E1E" w:rsidP="00BB3E1E">
      <w:pPr>
        <w:pStyle w:val="BodyText"/>
      </w:pPr>
      <w:r w:rsidRPr="00241762">
        <w:t xml:space="preserve">MiCORE and the Tokelau National Statistics Office coordinate efforts in activity data collection and data processing </w:t>
      </w:r>
      <w:r>
        <w:t>to</w:t>
      </w:r>
      <w:r w:rsidRPr="00241762">
        <w:t xml:space="preserve"> estimat</w:t>
      </w:r>
      <w:r>
        <w:t>e</w:t>
      </w:r>
      <w:r w:rsidRPr="00241762">
        <w:t xml:space="preserve"> emissions from Tokelau for all inventory sectors.</w:t>
      </w:r>
    </w:p>
    <w:p w14:paraId="57EA1EF5" w14:textId="799BFF0D" w:rsidR="00BB3E1E" w:rsidRPr="00241762" w:rsidRDefault="00BB3E1E" w:rsidP="00BB3E1E">
      <w:pPr>
        <w:pStyle w:val="BodyText"/>
      </w:pPr>
      <w:r w:rsidRPr="00241762">
        <w:t>The Climate Change Response Act 2002 establishes the requirement for a registry and a registrar. The EPA is the designated agency responsible for implement</w:t>
      </w:r>
      <w:r>
        <w:t>ing</w:t>
      </w:r>
      <w:r w:rsidRPr="00241762">
        <w:t xml:space="preserve"> and operati</w:t>
      </w:r>
      <w:r>
        <w:t>ng</w:t>
      </w:r>
      <w:r w:rsidRPr="00241762">
        <w:t xml:space="preserve"> New</w:t>
      </w:r>
      <w:r w:rsidR="00CC18EB">
        <w:t> </w:t>
      </w:r>
      <w:r w:rsidRPr="00241762">
        <w:t>Zealand’s national registry under the Kyoto Protocol, the New Zealand Emissions Trading</w:t>
      </w:r>
      <w:r w:rsidR="00CC18EB">
        <w:t> </w:t>
      </w:r>
      <w:r w:rsidRPr="00241762">
        <w:t>Register. The registry is electronic and accessible via the internet (</w:t>
      </w:r>
      <w:hyperlink r:id="rId32">
        <w:r w:rsidRPr="00241762">
          <w:rPr>
            <w:rStyle w:val="Hyperlink"/>
          </w:rPr>
          <w:t>www.emissionsregister.govt.nz</w:t>
        </w:r>
      </w:hyperlink>
      <w:r w:rsidRPr="00241762">
        <w:t>). Information on the annual holdings and transactions of</w:t>
      </w:r>
      <w:r w:rsidR="00E57A75">
        <w:t> </w:t>
      </w:r>
      <w:r w:rsidRPr="00241762">
        <w:t>transferred and acquired units under the Kyoto Protocol is provided in the SEF tables accompanying this submission. Refer to chapters 12 and 14 for further information.</w:t>
      </w:r>
    </w:p>
    <w:p w14:paraId="4BB27904" w14:textId="0BB49B2A" w:rsidR="00BB3E1E" w:rsidRPr="00241762" w:rsidRDefault="00BB3E1E" w:rsidP="00BB3E1E">
      <w:pPr>
        <w:pStyle w:val="BodyText"/>
      </w:pPr>
      <w:r w:rsidRPr="00241762">
        <w:t>The above arrangements are presented in figure 1.2.1, which shows the specific responsibilities of different agencies involved in the inventory production as well as their</w:t>
      </w:r>
      <w:r w:rsidR="007557EC">
        <w:t> </w:t>
      </w:r>
      <w:r w:rsidRPr="00241762">
        <w:t>contribution to the submission.</w:t>
      </w:r>
    </w:p>
    <w:p w14:paraId="18D96A65" w14:textId="77777777" w:rsidR="00BB3E1E" w:rsidRPr="00241762" w:rsidRDefault="00BB3E1E" w:rsidP="007557EC">
      <w:pPr>
        <w:pStyle w:val="Figure"/>
      </w:pPr>
      <w:bookmarkStart w:id="64" w:name="_Toc99695998"/>
      <w:r w:rsidRPr="00241762">
        <w:lastRenderedPageBreak/>
        <w:t>Figure 1.2.1</w:t>
      </w:r>
      <w:r w:rsidRPr="00241762">
        <w:tab/>
        <w:t xml:space="preserve">New Zealand’s </w:t>
      </w:r>
      <w:r w:rsidRPr="007557EC">
        <w:t>inventory</w:t>
      </w:r>
      <w:r w:rsidRPr="00241762">
        <w:t xml:space="preserve"> system at a glance: how different agencies are involved</w:t>
      </w:r>
      <w:bookmarkEnd w:id="64"/>
    </w:p>
    <w:p w14:paraId="67D3534B" w14:textId="2B390D65" w:rsidR="00BB3E1E" w:rsidRPr="00241762" w:rsidRDefault="004B48CC" w:rsidP="00BB3E1E">
      <w:pPr>
        <w:pStyle w:val="BodyText"/>
      </w:pPr>
      <w:r>
        <w:rPr>
          <w:noProof/>
        </w:rPr>
        <w:pict w14:anchorId="2139387E">
          <v:shape id="_x0000_i1031" type="#_x0000_t75" style="width:424.45pt;height:446.25pt;visibility:visible;mso-wrap-style:square">
            <v:imagedata r:id="rId33" o:title=""/>
          </v:shape>
        </w:pict>
      </w:r>
    </w:p>
    <w:p w14:paraId="312F63B3" w14:textId="79F4D596" w:rsidR="00BB3E1E" w:rsidRPr="00241762" w:rsidRDefault="00BB3E1E" w:rsidP="00BB3E1E">
      <w:pPr>
        <w:pStyle w:val="Noteundertable"/>
      </w:pPr>
      <w:r w:rsidRPr="00241762">
        <w:rPr>
          <w:b/>
          <w:bCs/>
        </w:rPr>
        <w:t>Note:</w:t>
      </w:r>
      <w:r w:rsidRPr="00241762">
        <w:tab/>
        <w:t>EPA = Environmental Protection Authority; ETS = Emissions Trading Scheme; IPPU = Industrial Processes and</w:t>
      </w:r>
      <w:r w:rsidR="007557EC">
        <w:t> </w:t>
      </w:r>
      <w:r w:rsidRPr="00241762">
        <w:t>Product Use; KP</w:t>
      </w:r>
      <w:r>
        <w:t>-</w:t>
      </w:r>
      <w:r w:rsidRPr="00241762">
        <w:t>LULUCF = Land Use, Land-Use Change and Forestry activities under the Kyoto Protocol;</w:t>
      </w:r>
      <w:r w:rsidR="007557EC">
        <w:t> </w:t>
      </w:r>
      <w:r w:rsidRPr="00241762">
        <w:t>LULUCF = Land Use, Land-Use Change and Forestry; MBIE = Ministry of Business, Innovation and</w:t>
      </w:r>
      <w:r w:rsidR="007557EC">
        <w:t> </w:t>
      </w:r>
      <w:r w:rsidRPr="00241762">
        <w:t>Employment; MFAT = Ministry of Foreign Affairs and Trade; MfE = Ministry for the Environment; MiCORE = Ministry of Climate, Oceans and Resilience (Tokelau); MPI = Ministry for Primary Industries; QC</w:t>
      </w:r>
      <w:r w:rsidR="007557EC">
        <w:t> </w:t>
      </w:r>
      <w:r w:rsidRPr="00241762">
        <w:t>=</w:t>
      </w:r>
      <w:r w:rsidR="007557EC">
        <w:t> </w:t>
      </w:r>
      <w:r w:rsidRPr="00241762">
        <w:t>quality control.</w:t>
      </w:r>
    </w:p>
    <w:p w14:paraId="0210A2BF" w14:textId="77777777" w:rsidR="00BB3E1E" w:rsidRPr="00241762" w:rsidRDefault="00BB3E1E" w:rsidP="007557EC">
      <w:pPr>
        <w:pStyle w:val="Heading4"/>
      </w:pPr>
      <w:bookmarkStart w:id="65" w:name="inventory-planning-and-preparation"/>
      <w:bookmarkEnd w:id="63"/>
      <w:r w:rsidRPr="00241762">
        <w:lastRenderedPageBreak/>
        <w:t>Inventory planning and preparation</w:t>
      </w:r>
    </w:p>
    <w:p w14:paraId="53402F42" w14:textId="77777777" w:rsidR="00BB3E1E" w:rsidRPr="00241762" w:rsidRDefault="00BB3E1E" w:rsidP="007557EC">
      <w:pPr>
        <w:pStyle w:val="BodyText"/>
        <w:keepNext/>
      </w:pPr>
      <w:r w:rsidRPr="00241762">
        <w:t>Figure 1.2.2 summar</w:t>
      </w:r>
      <w:r>
        <w:t>ises</w:t>
      </w:r>
      <w:r w:rsidRPr="00241762">
        <w:t xml:space="preserve"> the inventory planning and preparation process.</w:t>
      </w:r>
    </w:p>
    <w:p w14:paraId="6061E7D2" w14:textId="77777777" w:rsidR="00BB3E1E" w:rsidRPr="00241762" w:rsidRDefault="00BB3E1E" w:rsidP="00BB3E1E">
      <w:pPr>
        <w:pStyle w:val="Figure"/>
      </w:pPr>
      <w:bookmarkStart w:id="66" w:name="_Toc99695999"/>
      <w:r w:rsidRPr="00241762">
        <w:t>Figure 1.2.2</w:t>
      </w:r>
      <w:r w:rsidRPr="00241762">
        <w:tab/>
        <w:t>Summary of New Zealand’s inventory planning and preparation</w:t>
      </w:r>
      <w:bookmarkEnd w:id="66"/>
    </w:p>
    <w:p w14:paraId="270742E6" w14:textId="0B57096C" w:rsidR="00BB3E1E" w:rsidRPr="00241762" w:rsidRDefault="007557EC" w:rsidP="00BB3E1E">
      <w:pPr>
        <w:pStyle w:val="BodyText"/>
      </w:pPr>
      <w:r>
        <w:object w:dxaOrig="9624" w:dyaOrig="11377" w14:anchorId="29476038">
          <v:shape id="_x0000_i1032" type="#_x0000_t75" style="width:417.75pt;height:496.45pt" o:ole="">
            <v:imagedata r:id="rId34" o:title=""/>
          </v:shape>
          <o:OLEObject Type="Embed" ProgID="Visio.Drawing.15" ShapeID="_x0000_i1032" DrawAspect="Content" ObjectID="_1710830376" r:id="rId35"/>
        </w:object>
      </w:r>
    </w:p>
    <w:p w14:paraId="5C9E42B3" w14:textId="77777777" w:rsidR="00BB3E1E" w:rsidRPr="00241762" w:rsidRDefault="00BB3E1E" w:rsidP="00BB3E1E">
      <w:pPr>
        <w:pStyle w:val="Noteundertable"/>
      </w:pPr>
      <w:r w:rsidRPr="00241762">
        <w:rPr>
          <w:b/>
          <w:bCs/>
        </w:rPr>
        <w:t>Note:</w:t>
      </w:r>
      <w:r w:rsidRPr="00241762">
        <w:tab/>
        <w:t>CRF = common reporting format; NIR = National Inventory Report; PR = peer review;</w:t>
      </w:r>
      <w:r w:rsidRPr="00241762">
        <w:br/>
        <w:t>QC = quality control.</w:t>
      </w:r>
    </w:p>
    <w:p w14:paraId="3E71C25E" w14:textId="77777777" w:rsidR="00BB3E1E" w:rsidRPr="00241762" w:rsidRDefault="00BB3E1E" w:rsidP="00BB3E1E">
      <w:pPr>
        <w:pStyle w:val="Heading5"/>
      </w:pPr>
      <w:bookmarkStart w:id="67" w:name="inventory-planning"/>
      <w:r w:rsidRPr="00241762">
        <w:t>Inventory planning</w:t>
      </w:r>
    </w:p>
    <w:p w14:paraId="2D3A54DC" w14:textId="77777777" w:rsidR="00BB3E1E" w:rsidRPr="00241762" w:rsidRDefault="00BB3E1E" w:rsidP="00BB3E1E">
      <w:pPr>
        <w:pStyle w:val="BodyText"/>
      </w:pPr>
      <w:r w:rsidRPr="00241762">
        <w:t>Inventory planning is a two-phase process. The first phase, intrinsic sectoral planning, involves planning for the inventory compilation at the sector level. This includes planning for technical projects, actions and procedures that are specific to each sector. The second phase, national compilation and publication planning, involves planning for the cross-sectoral compilation.</w:t>
      </w:r>
    </w:p>
    <w:p w14:paraId="31D6450E" w14:textId="77777777" w:rsidR="00BB3E1E" w:rsidRPr="00241762" w:rsidRDefault="00BB3E1E" w:rsidP="00BB3E1E">
      <w:pPr>
        <w:pStyle w:val="BodyText"/>
      </w:pPr>
      <w:r w:rsidRPr="00241762">
        <w:lastRenderedPageBreak/>
        <w:t>Once the intrinsic sectoral planning is complete, the plans are coordinated between the agencies and adjustments made as necessary. This usually happens through a lessons learned workshop and a production planning workshop. The lessons learned workshop is dedicated to analysi</w:t>
      </w:r>
      <w:r>
        <w:t>ng</w:t>
      </w:r>
      <w:r w:rsidRPr="00241762">
        <w:t xml:space="preserve"> what worked well and what did not in the previous inventory cycle. During the production planning workshop, the following are discussed and agreed:</w:t>
      </w:r>
    </w:p>
    <w:p w14:paraId="0423E85B" w14:textId="77777777" w:rsidR="00BB3E1E" w:rsidRPr="003E134D" w:rsidRDefault="00BB3E1E" w:rsidP="00BB3E1E">
      <w:pPr>
        <w:pStyle w:val="Bullet"/>
        <w:tabs>
          <w:tab w:val="num" w:pos="567"/>
        </w:tabs>
      </w:pPr>
      <w:r w:rsidRPr="00241762">
        <w:t>inventory deliv</w:t>
      </w:r>
      <w:r w:rsidRPr="003E134D">
        <w:t>erables</w:t>
      </w:r>
    </w:p>
    <w:p w14:paraId="70959C5C" w14:textId="77777777" w:rsidR="00BB3E1E" w:rsidRPr="003E134D" w:rsidRDefault="00BB3E1E" w:rsidP="00BB3E1E">
      <w:pPr>
        <w:pStyle w:val="Bullet"/>
        <w:tabs>
          <w:tab w:val="num" w:pos="567"/>
        </w:tabs>
      </w:pPr>
      <w:r w:rsidRPr="003E134D">
        <w:t>QC deliverables</w:t>
      </w:r>
    </w:p>
    <w:p w14:paraId="369C6331" w14:textId="77777777" w:rsidR="00BB3E1E" w:rsidRPr="003E134D" w:rsidRDefault="00BB3E1E" w:rsidP="00BB3E1E">
      <w:pPr>
        <w:pStyle w:val="Bullet"/>
        <w:tabs>
          <w:tab w:val="num" w:pos="567"/>
        </w:tabs>
      </w:pPr>
      <w:r w:rsidRPr="003E134D">
        <w:t>schedule of major milestones</w:t>
      </w:r>
    </w:p>
    <w:p w14:paraId="28962CB0" w14:textId="77777777" w:rsidR="00BB3E1E" w:rsidRPr="003E134D" w:rsidRDefault="00BB3E1E" w:rsidP="00BB3E1E">
      <w:pPr>
        <w:pStyle w:val="Bullet"/>
        <w:tabs>
          <w:tab w:val="num" w:pos="567"/>
        </w:tabs>
      </w:pPr>
      <w:r w:rsidRPr="003E134D">
        <w:t>changes to chapter structure</w:t>
      </w:r>
    </w:p>
    <w:p w14:paraId="243D2645" w14:textId="77777777" w:rsidR="00BB3E1E" w:rsidRPr="00241762" w:rsidRDefault="00BB3E1E" w:rsidP="00BB3E1E">
      <w:pPr>
        <w:pStyle w:val="Bullet"/>
        <w:tabs>
          <w:tab w:val="num" w:pos="567"/>
        </w:tabs>
      </w:pPr>
      <w:r w:rsidRPr="003E134D">
        <w:t>approach for solvin</w:t>
      </w:r>
      <w:r w:rsidRPr="00241762">
        <w:t>g problems during inventory preparation.</w:t>
      </w:r>
    </w:p>
    <w:p w14:paraId="58F1DFBC" w14:textId="1F105893" w:rsidR="00BB3E1E" w:rsidRPr="00241762" w:rsidRDefault="00BB3E1E" w:rsidP="00BB3E1E">
      <w:pPr>
        <w:pStyle w:val="BodyText"/>
      </w:pPr>
      <w:r w:rsidRPr="00241762">
        <w:t>The second phase of the inventory planning, the national compilation and publication planning</w:t>
      </w:r>
      <w:r>
        <w:t>,</w:t>
      </w:r>
      <w:r w:rsidRPr="00241762">
        <w:t xml:space="preserve"> is comprised of two workshops. The first</w:t>
      </w:r>
      <w:r>
        <w:t xml:space="preserve"> workshop, scheduled</w:t>
      </w:r>
      <w:r w:rsidRPr="00D24C28">
        <w:t xml:space="preserve"> </w:t>
      </w:r>
      <w:r w:rsidRPr="00241762">
        <w:t>towards the end of</w:t>
      </w:r>
      <w:r w:rsidR="007557EC">
        <w:t> </w:t>
      </w:r>
      <w:r w:rsidRPr="00241762">
        <w:t>each calendar year</w:t>
      </w:r>
      <w:r>
        <w:t>,</w:t>
      </w:r>
      <w:r w:rsidRPr="00241762">
        <w:t xml:space="preserve"> is dedicated to cross-sectoral compilation and publication planning. Participants include MfE’s publication and public liaison teams as well as the inventory production team. </w:t>
      </w:r>
      <w:r>
        <w:t>They discuss</w:t>
      </w:r>
      <w:r w:rsidRPr="00241762">
        <w:t xml:space="preserve"> different aspects of the compilation process and </w:t>
      </w:r>
      <w:r>
        <w:t xml:space="preserve">agree on </w:t>
      </w:r>
      <w:r w:rsidRPr="00241762">
        <w:t>a detailed plan for the cross-sectoral compilation and publication.</w:t>
      </w:r>
      <w:r>
        <w:t xml:space="preserve"> Timelines</w:t>
      </w:r>
      <w:r w:rsidRPr="00241762">
        <w:t xml:space="preserve"> discussed and agreed</w:t>
      </w:r>
      <w:r>
        <w:t xml:space="preserve"> cover</w:t>
      </w:r>
      <w:r w:rsidRPr="00241762">
        <w:t>:</w:t>
      </w:r>
    </w:p>
    <w:p w14:paraId="522111C0" w14:textId="77777777" w:rsidR="00BB3E1E" w:rsidRPr="00F97132" w:rsidRDefault="00BB3E1E" w:rsidP="00BB3E1E">
      <w:pPr>
        <w:pStyle w:val="Bullet"/>
        <w:tabs>
          <w:tab w:val="num" w:pos="567"/>
        </w:tabs>
      </w:pPr>
      <w:r w:rsidRPr="00241762">
        <w:t>national co</w:t>
      </w:r>
      <w:r w:rsidRPr="00F97132">
        <w:t xml:space="preserve">mpilation </w:t>
      </w:r>
    </w:p>
    <w:p w14:paraId="59B2E683" w14:textId="77777777" w:rsidR="00BB3E1E" w:rsidRPr="00F97132" w:rsidRDefault="00BB3E1E" w:rsidP="00BB3E1E">
      <w:pPr>
        <w:pStyle w:val="Bullet"/>
        <w:tabs>
          <w:tab w:val="num" w:pos="567"/>
        </w:tabs>
      </w:pPr>
      <w:r w:rsidRPr="00F97132">
        <w:t xml:space="preserve">publication </w:t>
      </w:r>
    </w:p>
    <w:p w14:paraId="3F4221C8" w14:textId="77777777" w:rsidR="00BB3E1E" w:rsidRPr="00241762" w:rsidRDefault="00BB3E1E" w:rsidP="00BB3E1E">
      <w:pPr>
        <w:pStyle w:val="Bullet"/>
        <w:tabs>
          <w:tab w:val="num" w:pos="567"/>
        </w:tabs>
      </w:pPr>
      <w:r w:rsidRPr="00F97132">
        <w:t>public relat</w:t>
      </w:r>
      <w:r w:rsidRPr="00241762">
        <w:t>ions.</w:t>
      </w:r>
    </w:p>
    <w:p w14:paraId="6716C89A" w14:textId="77777777" w:rsidR="00BB3E1E" w:rsidRPr="00241762" w:rsidRDefault="00BB3E1E" w:rsidP="00BB3E1E">
      <w:pPr>
        <w:pStyle w:val="BodyText"/>
      </w:pPr>
      <w:r w:rsidRPr="00241762">
        <w:t>Lessons learned are also considered in developing the plan.</w:t>
      </w:r>
    </w:p>
    <w:p w14:paraId="701A98B4" w14:textId="52AA061B" w:rsidR="00BB3E1E" w:rsidRPr="00241762" w:rsidRDefault="00BB3E1E" w:rsidP="00BB3E1E">
      <w:pPr>
        <w:pStyle w:val="BodyText"/>
      </w:pPr>
      <w:r w:rsidRPr="00241762">
        <w:t>The</w:t>
      </w:r>
      <w:r>
        <w:t xml:space="preserve"> second workshop in the</w:t>
      </w:r>
      <w:r w:rsidRPr="00241762">
        <w:t xml:space="preserve"> second phase of the inventory planning </w:t>
      </w:r>
      <w:r>
        <w:t xml:space="preserve">is </w:t>
      </w:r>
      <w:r w:rsidRPr="00241762">
        <w:t>dedicated to key messages for the inventory, which is an integral part of the cross-sectoral compilation. The</w:t>
      </w:r>
      <w:r w:rsidR="007557EC">
        <w:t> </w:t>
      </w:r>
      <w:r w:rsidRPr="00241762">
        <w:t>workshop’s output is the set of key inventory messages agreed among the sector leads, National Inventory Compiler and primary peer reviewers. The key messages are used for both the NIR and the inventory summary on MfE’s website, which presents a brief description of the</w:t>
      </w:r>
      <w:r w:rsidR="007557EC">
        <w:t> </w:t>
      </w:r>
      <w:r w:rsidRPr="00241762">
        <w:t>inventory findings.</w:t>
      </w:r>
    </w:p>
    <w:p w14:paraId="47612CA6" w14:textId="77777777" w:rsidR="00BB3E1E" w:rsidRPr="00241762" w:rsidRDefault="00BB3E1E" w:rsidP="00BB3E1E">
      <w:pPr>
        <w:pStyle w:val="BodyText"/>
      </w:pPr>
      <w:r w:rsidRPr="00241762">
        <w:t xml:space="preserve">The inventory planning process for Tokelau is governed by a </w:t>
      </w:r>
      <w:r>
        <w:t>M</w:t>
      </w:r>
      <w:r w:rsidRPr="00241762">
        <w:t xml:space="preserve">emorandum of </w:t>
      </w:r>
      <w:r>
        <w:t>U</w:t>
      </w:r>
      <w:r w:rsidRPr="00241762">
        <w:t>nderstanding between New Zealand and Tokelau. F</w:t>
      </w:r>
      <w:r>
        <w:t>or f</w:t>
      </w:r>
      <w:r w:rsidRPr="00241762">
        <w:t>urther information</w:t>
      </w:r>
      <w:r>
        <w:t>, see</w:t>
      </w:r>
      <w:r w:rsidRPr="00241762">
        <w:t xml:space="preserve"> chapter 8.</w:t>
      </w:r>
    </w:p>
    <w:p w14:paraId="75FAAE80" w14:textId="77777777" w:rsidR="00BB3E1E" w:rsidRPr="00241762" w:rsidRDefault="00BB3E1E" w:rsidP="00BB3E1E">
      <w:pPr>
        <w:pStyle w:val="Heading5"/>
      </w:pPr>
      <w:bookmarkStart w:id="68" w:name="inventory-preparation"/>
      <w:bookmarkEnd w:id="67"/>
      <w:r w:rsidRPr="00241762">
        <w:t>Inventory preparation</w:t>
      </w:r>
    </w:p>
    <w:p w14:paraId="2D05484E" w14:textId="77777777" w:rsidR="00BB3E1E" w:rsidRPr="00241762" w:rsidRDefault="00BB3E1E" w:rsidP="00BB3E1E">
      <w:pPr>
        <w:pStyle w:val="BodyText"/>
      </w:pPr>
      <w:r w:rsidRPr="00241762">
        <w:t>The inventory preparation cycle has three phases: data collection and preliminary processing</w:t>
      </w:r>
      <w:r>
        <w:t>;</w:t>
      </w:r>
      <w:r w:rsidRPr="00241762">
        <w:t xml:space="preserve"> final data processing and chapter preparation</w:t>
      </w:r>
      <w:r>
        <w:t>;</w:t>
      </w:r>
      <w:r w:rsidRPr="00241762">
        <w:t xml:space="preserve"> and the national inventory compilation.</w:t>
      </w:r>
    </w:p>
    <w:p w14:paraId="3EB3B014" w14:textId="77777777" w:rsidR="00BB3E1E" w:rsidRPr="00241762" w:rsidRDefault="00BB3E1E" w:rsidP="00BB3E1E">
      <w:pPr>
        <w:pStyle w:val="BodyText"/>
      </w:pPr>
      <w:r w:rsidRPr="00241762">
        <w:t>The first phase, data collection and preliminary processing (June</w:t>
      </w:r>
      <w:r>
        <w:t xml:space="preserve"> to </w:t>
      </w:r>
      <w:r w:rsidRPr="00241762">
        <w:t>October), includes data cleansing, data checks and preliminary formatting of data for further use. This phase may also include analysing potential improvements and related recalculations involved in the inventory.</w:t>
      </w:r>
    </w:p>
    <w:p w14:paraId="0E76BDA5" w14:textId="14A2A236" w:rsidR="00BB3E1E" w:rsidRPr="00241762" w:rsidRDefault="00BB3E1E" w:rsidP="00BB3E1E">
      <w:pPr>
        <w:pStyle w:val="BodyText"/>
      </w:pPr>
      <w:r w:rsidRPr="00241762">
        <w:t>The second phase of the inventory preparation (October</w:t>
      </w:r>
      <w:r>
        <w:t xml:space="preserve"> to </w:t>
      </w:r>
      <w:r w:rsidRPr="00241762">
        <w:t>January) includes final data processing and drafting of sector chapters. During this phase, emissions estimates are finalised, final data quality control and verification are performed, data are loaded into the</w:t>
      </w:r>
      <w:r w:rsidR="00D315C7">
        <w:t> </w:t>
      </w:r>
      <w:r w:rsidRPr="00241762">
        <w:t>CRF</w:t>
      </w:r>
      <w:r w:rsidR="00D315C7">
        <w:t> </w:t>
      </w:r>
      <w:r w:rsidRPr="00241762">
        <w:t>Reporter and sector chapters are updated, reviewed and approved.</w:t>
      </w:r>
    </w:p>
    <w:p w14:paraId="7C561644" w14:textId="77777777" w:rsidR="00BB3E1E" w:rsidRPr="00241762" w:rsidRDefault="00BB3E1E" w:rsidP="00BB3E1E">
      <w:pPr>
        <w:pStyle w:val="BodyText"/>
      </w:pPr>
      <w:r w:rsidRPr="00241762">
        <w:lastRenderedPageBreak/>
        <w:t>The final phase of the inventory preparation (February</w:t>
      </w:r>
      <w:r>
        <w:t xml:space="preserve"> to </w:t>
      </w:r>
      <w:r w:rsidRPr="00241762">
        <w:t xml:space="preserve">April) includes cross-sector analyses, national inventory compilation and publication, </w:t>
      </w:r>
      <w:r>
        <w:t>and</w:t>
      </w:r>
      <w:r w:rsidRPr="00241762">
        <w:t xml:space="preserve"> the production of supplementary material for New Zealand’s Minister of Climate Change and the general public. Since 2020 the inventory compilation team has been developing and implementing new automated processes for the compilation of some of its cross-sector chapters.</w:t>
      </w:r>
    </w:p>
    <w:p w14:paraId="0DA118CE" w14:textId="77777777" w:rsidR="00BB3E1E" w:rsidRPr="00241762" w:rsidRDefault="00BB3E1E" w:rsidP="00BB3E1E">
      <w:pPr>
        <w:pStyle w:val="BodyText"/>
      </w:pPr>
      <w:r w:rsidRPr="00241762">
        <w:t>Tokelau follows the same inventory preparation cycle. The inventory data from Tokelau are prepared in November and undergo the same processes as the rest of the inventory.</w:t>
      </w:r>
    </w:p>
    <w:p w14:paraId="7841521A" w14:textId="77777777" w:rsidR="00BB3E1E" w:rsidRPr="00241762" w:rsidRDefault="00BB3E1E" w:rsidP="00BB3E1E">
      <w:pPr>
        <w:pStyle w:val="BodyText"/>
      </w:pPr>
      <w:r w:rsidRPr="00241762">
        <w:t xml:space="preserve">During the inventory planning and preparation cycles, the National Inventory Compiler and inventory project manager have regular meetings with sector leads and experts to ensure that all issues are addressed and the production proceeds as planned. The inventory QC </w:t>
      </w:r>
      <w:r>
        <w:t>m</w:t>
      </w:r>
      <w:r w:rsidRPr="00241762">
        <w:t xml:space="preserve">anager also has regular meetings with sector leads to monitor QC processes and procedures that are in place to ensure the quality of the final product meets the Convention standards and the QC deliverables are produced according to the agreed plan. Both the National Inventory Compiler and the QC </w:t>
      </w:r>
      <w:r>
        <w:t>m</w:t>
      </w:r>
      <w:r w:rsidRPr="00241762">
        <w:t>anager provide technical support and advice to the sector leads when required.</w:t>
      </w:r>
    </w:p>
    <w:p w14:paraId="7CF7A348" w14:textId="77777777" w:rsidR="00BB3E1E" w:rsidRPr="00241762" w:rsidRDefault="00BB3E1E" w:rsidP="00BB3E1E">
      <w:pPr>
        <w:pStyle w:val="Heading3"/>
      </w:pPr>
      <w:bookmarkStart w:id="69" w:name="X722f3597d7002e4931c785416b4c553dac341c5"/>
      <w:bookmarkEnd w:id="62"/>
      <w:bookmarkEnd w:id="65"/>
      <w:bookmarkEnd w:id="68"/>
      <w:r w:rsidRPr="00241762">
        <w:t xml:space="preserve">1.2.3 </w:t>
      </w:r>
      <w:r>
        <w:tab/>
      </w:r>
      <w:r w:rsidRPr="00241762">
        <w:t>Quality assurance and quality control and verification</w:t>
      </w:r>
      <w:r>
        <w:t> </w:t>
      </w:r>
      <w:r w:rsidRPr="00241762">
        <w:t>plan</w:t>
      </w:r>
    </w:p>
    <w:p w14:paraId="433FFA77" w14:textId="77777777" w:rsidR="00BB3E1E" w:rsidRPr="00241762" w:rsidRDefault="00BB3E1E" w:rsidP="00BB3E1E">
      <w:pPr>
        <w:pStyle w:val="BodyText"/>
      </w:pPr>
      <w:r w:rsidRPr="00241762">
        <w:t xml:space="preserve">Quality assurance and quality control are integral parts of preparing New Zealand’s inventory. </w:t>
      </w:r>
      <w:r w:rsidRPr="00D315C7">
        <w:rPr>
          <w:spacing w:val="-2"/>
        </w:rPr>
        <w:t>MfE’s QA/QC plan, following reporting guidelines under the Convention (UNFCCC, 2006, 2013a),</w:t>
      </w:r>
      <w:r w:rsidRPr="00241762">
        <w:t xml:space="preserve"> formalises the documentation and archiving of the QA/QC procedures. This plan has been updated over time as the QC tools have been developed and, where possible, automated. Details of the QA/QC activities performed during the compilation of the 2022 submission are discussed in the relevant sections below. Examples of QC checks are provided in the Excel spreadsheets accompanying this submission.</w:t>
      </w:r>
    </w:p>
    <w:p w14:paraId="08788412" w14:textId="77777777" w:rsidR="00BB3E1E" w:rsidRPr="00241762" w:rsidRDefault="00BB3E1E" w:rsidP="00BB3E1E">
      <w:pPr>
        <w:pStyle w:val="Heading4"/>
      </w:pPr>
      <w:bookmarkStart w:id="70" w:name="quality-control"/>
      <w:r w:rsidRPr="00241762">
        <w:t>Quality control</w:t>
      </w:r>
    </w:p>
    <w:p w14:paraId="126F5C0A" w14:textId="2DC01C39" w:rsidR="00BB3E1E" w:rsidRPr="00241762" w:rsidRDefault="00BB3E1E" w:rsidP="00BB3E1E">
      <w:pPr>
        <w:pStyle w:val="BodyText"/>
      </w:pPr>
      <w:r w:rsidRPr="00241762">
        <w:t>The focus of New Zealand’s QC plan is to meet the transparency, accuracy, completeness, consistency and comparability (TACCC) principles while ensuring efficient use of resources, and</w:t>
      </w:r>
      <w:r w:rsidR="00D315C7">
        <w:t> </w:t>
      </w:r>
      <w:r w:rsidRPr="00241762">
        <w:t>to mitigate QC-related risks in the inventory planning and preparation process.</w:t>
      </w:r>
    </w:p>
    <w:p w14:paraId="552AB9A2" w14:textId="77777777" w:rsidR="00BB3E1E" w:rsidRPr="00241762" w:rsidRDefault="00BB3E1E" w:rsidP="00BB3E1E">
      <w:pPr>
        <w:pStyle w:val="BodyText"/>
      </w:pPr>
      <w:r w:rsidRPr="00241762">
        <w:t>The main elements of the QA/QC plan include:</w:t>
      </w:r>
    </w:p>
    <w:p w14:paraId="6320590F" w14:textId="77777777" w:rsidR="00BB3E1E" w:rsidRPr="00B13805" w:rsidRDefault="00BB3E1E" w:rsidP="00BB3E1E">
      <w:pPr>
        <w:pStyle w:val="Bullet"/>
        <w:tabs>
          <w:tab w:val="num" w:pos="567"/>
        </w:tabs>
      </w:pPr>
      <w:r w:rsidRPr="00241762">
        <w:t xml:space="preserve">revising the QC </w:t>
      </w:r>
      <w:r w:rsidRPr="00B13805">
        <w:t>deliverables to ensure they are fit for purpose, well supported with relevant templates and adapted to the changes in the inventory software tools</w:t>
      </w:r>
    </w:p>
    <w:p w14:paraId="6B059327" w14:textId="77777777" w:rsidR="00BB3E1E" w:rsidRPr="00B13805" w:rsidRDefault="00BB3E1E" w:rsidP="00BB3E1E">
      <w:pPr>
        <w:pStyle w:val="Bullet"/>
        <w:tabs>
          <w:tab w:val="num" w:pos="567"/>
        </w:tabs>
      </w:pPr>
      <w:r w:rsidRPr="00B13805">
        <w:t>reinforcing the error-checking process by providing dedicated personnel and support to the sector leads</w:t>
      </w:r>
    </w:p>
    <w:p w14:paraId="4FEB1EED" w14:textId="77777777" w:rsidR="00BB3E1E" w:rsidRPr="00B13805" w:rsidRDefault="00BB3E1E" w:rsidP="00BB3E1E">
      <w:pPr>
        <w:pStyle w:val="Bullet"/>
        <w:tabs>
          <w:tab w:val="num" w:pos="567"/>
        </w:tabs>
      </w:pPr>
      <w:r w:rsidRPr="00B13805">
        <w:t>applying automated inventory tools, where available, to minimise the number of errors during data transfers</w:t>
      </w:r>
    </w:p>
    <w:p w14:paraId="0A0E4956" w14:textId="77777777" w:rsidR="00BB3E1E" w:rsidRPr="00B13805" w:rsidRDefault="00BB3E1E" w:rsidP="00BB3E1E">
      <w:pPr>
        <w:pStyle w:val="Bullet"/>
        <w:tabs>
          <w:tab w:val="num" w:pos="567"/>
        </w:tabs>
      </w:pPr>
      <w:r w:rsidRPr="00B13805">
        <w:t>adjusting QC tools to accommodate any changes in the CRF Reporter software that have been introduced since the previous submission</w:t>
      </w:r>
    </w:p>
    <w:p w14:paraId="6120168C" w14:textId="77777777" w:rsidR="00BB3E1E" w:rsidRPr="00B13805" w:rsidRDefault="00BB3E1E" w:rsidP="00BB3E1E">
      <w:pPr>
        <w:pStyle w:val="Bullet"/>
        <w:tabs>
          <w:tab w:val="num" w:pos="567"/>
        </w:tabs>
      </w:pPr>
      <w:r w:rsidRPr="00B13805">
        <w:t>performing CRF data integrity checks and adhering to the reporting guidelines once data compilation in each sector is complete</w:t>
      </w:r>
    </w:p>
    <w:p w14:paraId="270DDC71" w14:textId="77777777" w:rsidR="00BB3E1E" w:rsidRPr="00241762" w:rsidRDefault="00BB3E1E" w:rsidP="00BB3E1E">
      <w:pPr>
        <w:pStyle w:val="Bullet"/>
        <w:tabs>
          <w:tab w:val="num" w:pos="567"/>
        </w:tabs>
      </w:pPr>
      <w:r w:rsidRPr="00B13805">
        <w:t xml:space="preserve">ensuring the chapters in the inventory and their structure demonstrate transparency of the methods and </w:t>
      </w:r>
      <w:r w:rsidRPr="00241762">
        <w:t>incorporate suggestions from previous inventory reviews.</w:t>
      </w:r>
    </w:p>
    <w:p w14:paraId="59CE9DE3" w14:textId="77777777" w:rsidR="00BB3E1E" w:rsidRPr="00241762" w:rsidRDefault="00BB3E1E" w:rsidP="00BB3E1E">
      <w:pPr>
        <w:pStyle w:val="BodyText"/>
      </w:pPr>
      <w:r w:rsidRPr="00241762">
        <w:lastRenderedPageBreak/>
        <w:t>Completion of the IPCC 2006 Tier 1 QC check sheets for each sector is the responsibility of the sector leads</w:t>
      </w:r>
      <w:r>
        <w:t xml:space="preserve"> (see table 1.2.1 for a list of the responsible agencies)</w:t>
      </w:r>
      <w:r w:rsidRPr="00241762">
        <w:t>. The Tier 1 checks are in line with the 2006 IPCC Guidelines (IPCC, 2006b). Wherever possible, manual checking has been replaced by, or supplemented with, automated checks.</w:t>
      </w:r>
    </w:p>
    <w:p w14:paraId="668BE833" w14:textId="43D3B5F0" w:rsidR="00BB3E1E" w:rsidRPr="00241762" w:rsidRDefault="00BB3E1E" w:rsidP="00BB3E1E">
      <w:pPr>
        <w:pStyle w:val="BodyText"/>
      </w:pPr>
      <w:r w:rsidRPr="00241762">
        <w:t>The sectoral contributions to the inventory, that is, sector chapters and data preparation, and</w:t>
      </w:r>
      <w:r w:rsidR="00D315C7">
        <w:t> </w:t>
      </w:r>
      <w:r w:rsidRPr="00241762">
        <w:t>Tier 1 QC checks were signed off by the responsible agency before final approval of the inventory by the national inventory agency (MfE) and submission to the UNFCCC</w:t>
      </w:r>
      <w:r>
        <w:t xml:space="preserve"> secretariat</w:t>
      </w:r>
      <w:r w:rsidRPr="00241762">
        <w:t>.</w:t>
      </w:r>
    </w:p>
    <w:p w14:paraId="2057EB75" w14:textId="50D868AD" w:rsidR="00BB3E1E" w:rsidRPr="00241762" w:rsidRDefault="00BB3E1E" w:rsidP="00BB3E1E">
      <w:pPr>
        <w:pStyle w:val="BodyText"/>
      </w:pPr>
      <w:r w:rsidRPr="00241762">
        <w:t>MfE used the QC-checking procedures included in the CRF Reporter to ensure the data submitted to the UNFCCC secretariat are complete. In addition, data in the CRF tables were</w:t>
      </w:r>
      <w:r w:rsidR="00D315C7">
        <w:t> </w:t>
      </w:r>
      <w:r w:rsidRPr="00241762">
        <w:t>checked for anomalies, errors and omissions.</w:t>
      </w:r>
    </w:p>
    <w:p w14:paraId="67F0B5CD" w14:textId="696463A4" w:rsidR="00BB3E1E" w:rsidRPr="00241762" w:rsidRDefault="00BB3E1E" w:rsidP="00BB3E1E">
      <w:pPr>
        <w:pStyle w:val="BodyText"/>
      </w:pPr>
      <w:r w:rsidRPr="00241762">
        <w:t>After the CRF data were compiled in each inventory sector, MfE personnel reviewed the CRF</w:t>
      </w:r>
      <w:r w:rsidR="00A66358">
        <w:t> </w:t>
      </w:r>
      <w:r w:rsidRPr="00241762">
        <w:t xml:space="preserve">data for each sector and category for data integrity and time-series consistency </w:t>
      </w:r>
      <w:r>
        <w:t>before</w:t>
      </w:r>
      <w:r w:rsidRPr="00241762">
        <w:t xml:space="preserve"> sector finalisation. Th</w:t>
      </w:r>
      <w:r>
        <w:t>e purpose of this review</w:t>
      </w:r>
      <w:r w:rsidRPr="00241762">
        <w:t xml:space="preserve"> is to ensure that the CRF </w:t>
      </w:r>
      <w:r>
        <w:t xml:space="preserve">Reporter </w:t>
      </w:r>
      <w:r w:rsidRPr="00241762">
        <w:t xml:space="preserve">does not contain blank entries in the reported categories, and </w:t>
      </w:r>
      <w:r>
        <w:t xml:space="preserve">that </w:t>
      </w:r>
      <w:r w:rsidRPr="00241762">
        <w:t xml:space="preserve">all instances of using the ‘IE’ (included elsewhere) and ‘NE’ (not estimated) notation keys for GHG emissions, as well as large variations in the implied emission factors, have been explained. The results of these checks were provided to the sector leads </w:t>
      </w:r>
      <w:r>
        <w:t>so they could</w:t>
      </w:r>
      <w:r w:rsidRPr="00241762">
        <w:t xml:space="preserve"> make any corrections and include the relevant references and explanations, if required, in order to finalise the CRF data for each inventory sector.</w:t>
      </w:r>
    </w:p>
    <w:p w14:paraId="187B728F" w14:textId="77777777" w:rsidR="00BB3E1E" w:rsidRPr="00241762" w:rsidRDefault="00BB3E1E" w:rsidP="00BB3E1E">
      <w:pPr>
        <w:pStyle w:val="BodyText"/>
      </w:pPr>
      <w:r w:rsidRPr="00241762">
        <w:t>Annex 6 contains details of the QA/QC processes applied during the preparation of the inventory.</w:t>
      </w:r>
    </w:p>
    <w:p w14:paraId="52E69FCE" w14:textId="77777777" w:rsidR="00BB3E1E" w:rsidRPr="00A66358" w:rsidRDefault="00BB3E1E" w:rsidP="00A66358">
      <w:pPr>
        <w:pStyle w:val="Table"/>
      </w:pPr>
      <w:bookmarkStart w:id="71" w:name="_Toc99659203"/>
      <w:r w:rsidRPr="00241762">
        <w:t>Table 1.2.</w:t>
      </w:r>
      <w:r>
        <w:t>1</w:t>
      </w:r>
      <w:r w:rsidRPr="00241762">
        <w:tab/>
        <w:t>Agency responsible for each sector</w:t>
      </w:r>
      <w:bookmarkEnd w:id="71"/>
    </w:p>
    <w:tbl>
      <w:tblPr>
        <w:tblW w:w="8505" w:type="dxa"/>
        <w:tblInd w:w="113"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371"/>
        <w:gridCol w:w="5134"/>
      </w:tblGrid>
      <w:tr w:rsidR="00BB3E1E" w:rsidRPr="00BB3E1E" w14:paraId="198753F6" w14:textId="77777777" w:rsidTr="00B05614">
        <w:trPr>
          <w:cantSplit/>
          <w:tblHeader/>
        </w:trPr>
        <w:tc>
          <w:tcPr>
            <w:tcW w:w="0" w:type="auto"/>
            <w:shd w:val="clear" w:color="auto" w:fill="1B556B"/>
            <w:tcMar>
              <w:top w:w="0" w:type="dxa"/>
              <w:left w:w="108" w:type="dxa"/>
              <w:bottom w:w="0" w:type="dxa"/>
              <w:right w:w="108" w:type="dxa"/>
            </w:tcMar>
          </w:tcPr>
          <w:p w14:paraId="748D8317" w14:textId="77777777" w:rsidR="00BB3E1E" w:rsidRPr="00BB3E1E" w:rsidRDefault="00BB3E1E" w:rsidP="00B05614">
            <w:pPr>
              <w:pStyle w:val="TableTextBold"/>
              <w:rPr>
                <w:color w:val="FFFFFF"/>
              </w:rPr>
            </w:pPr>
            <w:r w:rsidRPr="00BB3E1E">
              <w:rPr>
                <w:rFonts w:eastAsia="Calibri"/>
                <w:color w:val="FFFFFF"/>
              </w:rPr>
              <w:t>Responsibility</w:t>
            </w:r>
          </w:p>
        </w:tc>
        <w:tc>
          <w:tcPr>
            <w:tcW w:w="0" w:type="auto"/>
            <w:shd w:val="clear" w:color="auto" w:fill="1B556B"/>
            <w:tcMar>
              <w:top w:w="0" w:type="dxa"/>
              <w:left w:w="108" w:type="dxa"/>
              <w:bottom w:w="0" w:type="dxa"/>
              <w:right w:w="108" w:type="dxa"/>
            </w:tcMar>
          </w:tcPr>
          <w:p w14:paraId="73EB00B7" w14:textId="77777777" w:rsidR="00BB3E1E" w:rsidRPr="00BB3E1E" w:rsidRDefault="00BB3E1E" w:rsidP="00B05614">
            <w:pPr>
              <w:pStyle w:val="TableTextBold"/>
              <w:rPr>
                <w:color w:val="FFFFFF"/>
              </w:rPr>
            </w:pPr>
            <w:r w:rsidRPr="00BB3E1E">
              <w:rPr>
                <w:rFonts w:eastAsia="Calibri"/>
                <w:color w:val="FFFFFF"/>
              </w:rPr>
              <w:t>Responsible New Zealand agency</w:t>
            </w:r>
          </w:p>
        </w:tc>
      </w:tr>
      <w:tr w:rsidR="00BB3E1E" w:rsidRPr="00102120" w14:paraId="18DF1A00" w14:textId="77777777" w:rsidTr="00B05614">
        <w:trPr>
          <w:cantSplit/>
        </w:trPr>
        <w:tc>
          <w:tcPr>
            <w:tcW w:w="0" w:type="auto"/>
            <w:shd w:val="clear" w:color="auto" w:fill="FFFFFF"/>
            <w:tcMar>
              <w:top w:w="0" w:type="dxa"/>
              <w:left w:w="108" w:type="dxa"/>
              <w:bottom w:w="0" w:type="dxa"/>
              <w:right w:w="108" w:type="dxa"/>
            </w:tcMar>
          </w:tcPr>
          <w:p w14:paraId="77ACB1FF" w14:textId="77777777" w:rsidR="00BB3E1E" w:rsidRPr="00102120" w:rsidRDefault="00BB3E1E" w:rsidP="00B05614">
            <w:pPr>
              <w:pStyle w:val="TableText"/>
            </w:pPr>
            <w:r w:rsidRPr="00102120">
              <w:rPr>
                <w:rFonts w:eastAsia="Calibri"/>
              </w:rPr>
              <w:t>Energy sector</w:t>
            </w:r>
          </w:p>
        </w:tc>
        <w:tc>
          <w:tcPr>
            <w:tcW w:w="0" w:type="auto"/>
            <w:shd w:val="clear" w:color="auto" w:fill="FFFFFF"/>
            <w:tcMar>
              <w:top w:w="0" w:type="dxa"/>
              <w:left w:w="108" w:type="dxa"/>
              <w:bottom w:w="0" w:type="dxa"/>
              <w:right w:w="108" w:type="dxa"/>
            </w:tcMar>
          </w:tcPr>
          <w:p w14:paraId="3735753B" w14:textId="77777777" w:rsidR="00BB3E1E" w:rsidRPr="00102120" w:rsidRDefault="00BB3E1E" w:rsidP="00B05614">
            <w:pPr>
              <w:pStyle w:val="TableText"/>
            </w:pPr>
            <w:r w:rsidRPr="00102120">
              <w:rPr>
                <w:rFonts w:eastAsia="Calibri"/>
              </w:rPr>
              <w:t>Ministry of Business, Innovation and Employment</w:t>
            </w:r>
          </w:p>
        </w:tc>
      </w:tr>
      <w:tr w:rsidR="00BB3E1E" w:rsidRPr="00102120" w14:paraId="3CEC6546" w14:textId="77777777" w:rsidTr="00B05614">
        <w:trPr>
          <w:cantSplit/>
        </w:trPr>
        <w:tc>
          <w:tcPr>
            <w:tcW w:w="0" w:type="auto"/>
            <w:shd w:val="clear" w:color="auto" w:fill="FFFFFF"/>
            <w:tcMar>
              <w:top w:w="0" w:type="dxa"/>
              <w:left w:w="108" w:type="dxa"/>
              <w:bottom w:w="0" w:type="dxa"/>
              <w:right w:w="108" w:type="dxa"/>
            </w:tcMar>
          </w:tcPr>
          <w:p w14:paraId="41F52301" w14:textId="77777777" w:rsidR="00BB3E1E" w:rsidRPr="00102120" w:rsidRDefault="00BB3E1E" w:rsidP="00B05614">
            <w:pPr>
              <w:pStyle w:val="TableText"/>
            </w:pPr>
            <w:r w:rsidRPr="00102120">
              <w:rPr>
                <w:rFonts w:eastAsia="Calibri"/>
              </w:rPr>
              <w:t>IPPU sector</w:t>
            </w:r>
          </w:p>
        </w:tc>
        <w:tc>
          <w:tcPr>
            <w:tcW w:w="0" w:type="auto"/>
            <w:shd w:val="clear" w:color="auto" w:fill="FFFFFF"/>
            <w:tcMar>
              <w:top w:w="0" w:type="dxa"/>
              <w:left w:w="108" w:type="dxa"/>
              <w:bottom w:w="0" w:type="dxa"/>
              <w:right w:w="108" w:type="dxa"/>
            </w:tcMar>
          </w:tcPr>
          <w:p w14:paraId="744CAF42" w14:textId="77777777" w:rsidR="00BB3E1E" w:rsidRPr="00102120" w:rsidRDefault="00BB3E1E" w:rsidP="00B05614">
            <w:pPr>
              <w:pStyle w:val="TableText"/>
            </w:pPr>
            <w:r w:rsidRPr="00102120">
              <w:rPr>
                <w:rFonts w:eastAsia="Calibri"/>
              </w:rPr>
              <w:t>Ministry for the Environment</w:t>
            </w:r>
          </w:p>
        </w:tc>
      </w:tr>
      <w:tr w:rsidR="00BB3E1E" w:rsidRPr="00102120" w14:paraId="12929F0A" w14:textId="77777777" w:rsidTr="00B05614">
        <w:trPr>
          <w:cantSplit/>
        </w:trPr>
        <w:tc>
          <w:tcPr>
            <w:tcW w:w="0" w:type="auto"/>
            <w:shd w:val="clear" w:color="auto" w:fill="FFFFFF"/>
            <w:tcMar>
              <w:top w:w="0" w:type="dxa"/>
              <w:left w:w="108" w:type="dxa"/>
              <w:bottom w:w="0" w:type="dxa"/>
              <w:right w:w="108" w:type="dxa"/>
            </w:tcMar>
          </w:tcPr>
          <w:p w14:paraId="53F5F04A" w14:textId="77777777" w:rsidR="00BB3E1E" w:rsidRPr="00102120" w:rsidRDefault="00BB3E1E" w:rsidP="00B05614">
            <w:pPr>
              <w:pStyle w:val="TableText"/>
            </w:pPr>
            <w:r w:rsidRPr="00102120">
              <w:rPr>
                <w:rFonts w:eastAsia="Calibri"/>
              </w:rPr>
              <w:t>LULUCF sector and KP-LULUCF</w:t>
            </w:r>
          </w:p>
        </w:tc>
        <w:tc>
          <w:tcPr>
            <w:tcW w:w="0" w:type="auto"/>
            <w:shd w:val="clear" w:color="auto" w:fill="FFFFFF"/>
            <w:tcMar>
              <w:top w:w="0" w:type="dxa"/>
              <w:left w:w="108" w:type="dxa"/>
              <w:bottom w:w="0" w:type="dxa"/>
              <w:right w:w="108" w:type="dxa"/>
            </w:tcMar>
          </w:tcPr>
          <w:p w14:paraId="1D103A20" w14:textId="77777777" w:rsidR="00BB3E1E" w:rsidRPr="00102120" w:rsidRDefault="00BB3E1E" w:rsidP="00B05614">
            <w:pPr>
              <w:pStyle w:val="TableText"/>
            </w:pPr>
            <w:r w:rsidRPr="00102120">
              <w:rPr>
                <w:rFonts w:eastAsia="Calibri"/>
              </w:rPr>
              <w:t>Ministry for the Environment</w:t>
            </w:r>
          </w:p>
        </w:tc>
      </w:tr>
      <w:tr w:rsidR="00BB3E1E" w:rsidRPr="00102120" w14:paraId="6A46A6D2" w14:textId="77777777" w:rsidTr="00B05614">
        <w:trPr>
          <w:cantSplit/>
        </w:trPr>
        <w:tc>
          <w:tcPr>
            <w:tcW w:w="0" w:type="auto"/>
            <w:shd w:val="clear" w:color="auto" w:fill="FFFFFF"/>
            <w:tcMar>
              <w:top w:w="0" w:type="dxa"/>
              <w:left w:w="108" w:type="dxa"/>
              <w:bottom w:w="0" w:type="dxa"/>
              <w:right w:w="108" w:type="dxa"/>
            </w:tcMar>
          </w:tcPr>
          <w:p w14:paraId="1DEC0C11" w14:textId="77777777" w:rsidR="00BB3E1E" w:rsidRPr="00102120" w:rsidRDefault="00BB3E1E" w:rsidP="00B05614">
            <w:pPr>
              <w:pStyle w:val="TableText"/>
            </w:pPr>
            <w:r w:rsidRPr="00102120">
              <w:rPr>
                <w:rFonts w:eastAsia="Calibri"/>
              </w:rPr>
              <w:t>Waste sector</w:t>
            </w:r>
          </w:p>
        </w:tc>
        <w:tc>
          <w:tcPr>
            <w:tcW w:w="0" w:type="auto"/>
            <w:shd w:val="clear" w:color="auto" w:fill="FFFFFF"/>
            <w:tcMar>
              <w:top w:w="0" w:type="dxa"/>
              <w:left w:w="108" w:type="dxa"/>
              <w:bottom w:w="0" w:type="dxa"/>
              <w:right w:w="108" w:type="dxa"/>
            </w:tcMar>
          </w:tcPr>
          <w:p w14:paraId="03979BF5" w14:textId="77777777" w:rsidR="00BB3E1E" w:rsidRPr="00102120" w:rsidRDefault="00BB3E1E" w:rsidP="00B05614">
            <w:pPr>
              <w:pStyle w:val="TableText"/>
            </w:pPr>
            <w:r w:rsidRPr="00102120">
              <w:rPr>
                <w:rFonts w:eastAsia="Calibri"/>
              </w:rPr>
              <w:t>Ministry for the Environment</w:t>
            </w:r>
          </w:p>
        </w:tc>
      </w:tr>
      <w:tr w:rsidR="00BB3E1E" w:rsidRPr="00102120" w14:paraId="199DF084" w14:textId="77777777" w:rsidTr="00B05614">
        <w:trPr>
          <w:cantSplit/>
        </w:trPr>
        <w:tc>
          <w:tcPr>
            <w:tcW w:w="0" w:type="auto"/>
            <w:shd w:val="clear" w:color="auto" w:fill="FFFFFF"/>
            <w:tcMar>
              <w:top w:w="0" w:type="dxa"/>
              <w:left w:w="108" w:type="dxa"/>
              <w:bottom w:w="0" w:type="dxa"/>
              <w:right w:w="108" w:type="dxa"/>
            </w:tcMar>
          </w:tcPr>
          <w:p w14:paraId="337AB58F" w14:textId="77777777" w:rsidR="00BB3E1E" w:rsidRPr="00102120" w:rsidRDefault="00BB3E1E" w:rsidP="00B05614">
            <w:pPr>
              <w:pStyle w:val="TableText"/>
            </w:pPr>
            <w:r w:rsidRPr="00102120">
              <w:rPr>
                <w:rFonts w:eastAsia="Calibri"/>
              </w:rPr>
              <w:t>Tokelau</w:t>
            </w:r>
          </w:p>
        </w:tc>
        <w:tc>
          <w:tcPr>
            <w:tcW w:w="0" w:type="auto"/>
            <w:shd w:val="clear" w:color="auto" w:fill="FFFFFF"/>
            <w:tcMar>
              <w:top w:w="0" w:type="dxa"/>
              <w:left w:w="108" w:type="dxa"/>
              <w:bottom w:w="0" w:type="dxa"/>
              <w:right w:w="108" w:type="dxa"/>
            </w:tcMar>
          </w:tcPr>
          <w:p w14:paraId="0593FEAD" w14:textId="77777777" w:rsidR="00BB3E1E" w:rsidRPr="00102120" w:rsidRDefault="00BB3E1E" w:rsidP="00B05614">
            <w:pPr>
              <w:pStyle w:val="TableText"/>
            </w:pPr>
            <w:r w:rsidRPr="00102120">
              <w:rPr>
                <w:rFonts w:eastAsia="Calibri"/>
              </w:rPr>
              <w:t>Ministry for the Environment, Tokelau Government</w:t>
            </w:r>
          </w:p>
        </w:tc>
      </w:tr>
      <w:tr w:rsidR="00BB3E1E" w:rsidRPr="00102120" w14:paraId="2D272ECD" w14:textId="77777777" w:rsidTr="00B05614">
        <w:trPr>
          <w:cantSplit/>
        </w:trPr>
        <w:tc>
          <w:tcPr>
            <w:tcW w:w="0" w:type="auto"/>
            <w:shd w:val="clear" w:color="auto" w:fill="FFFFFF"/>
            <w:tcMar>
              <w:top w:w="0" w:type="dxa"/>
              <w:left w:w="108" w:type="dxa"/>
              <w:bottom w:w="0" w:type="dxa"/>
              <w:right w:w="108" w:type="dxa"/>
            </w:tcMar>
          </w:tcPr>
          <w:p w14:paraId="5B20BE3C" w14:textId="77777777" w:rsidR="00BB3E1E" w:rsidRPr="00102120" w:rsidRDefault="00BB3E1E" w:rsidP="00B05614">
            <w:pPr>
              <w:pStyle w:val="TableText"/>
            </w:pPr>
            <w:r w:rsidRPr="00102120">
              <w:rPr>
                <w:rFonts w:eastAsia="Calibri"/>
              </w:rPr>
              <w:t>Agriculture sector</w:t>
            </w:r>
          </w:p>
        </w:tc>
        <w:tc>
          <w:tcPr>
            <w:tcW w:w="0" w:type="auto"/>
            <w:shd w:val="clear" w:color="auto" w:fill="FFFFFF"/>
            <w:tcMar>
              <w:top w:w="0" w:type="dxa"/>
              <w:left w:w="108" w:type="dxa"/>
              <w:bottom w:w="0" w:type="dxa"/>
              <w:right w:w="108" w:type="dxa"/>
            </w:tcMar>
          </w:tcPr>
          <w:p w14:paraId="122EEC2D" w14:textId="77777777" w:rsidR="00BB3E1E" w:rsidRPr="00102120" w:rsidRDefault="00BB3E1E" w:rsidP="00B05614">
            <w:pPr>
              <w:pStyle w:val="TableText"/>
            </w:pPr>
            <w:r w:rsidRPr="00102120">
              <w:rPr>
                <w:rFonts w:eastAsia="Calibri"/>
              </w:rPr>
              <w:t>Ministry for Primary Industries</w:t>
            </w:r>
          </w:p>
        </w:tc>
      </w:tr>
      <w:tr w:rsidR="00BB3E1E" w:rsidRPr="00102120" w14:paraId="27870B5C" w14:textId="77777777" w:rsidTr="00B05614">
        <w:trPr>
          <w:cantSplit/>
        </w:trPr>
        <w:tc>
          <w:tcPr>
            <w:tcW w:w="0" w:type="auto"/>
            <w:shd w:val="clear" w:color="auto" w:fill="FFFFFF"/>
            <w:tcMar>
              <w:top w:w="0" w:type="dxa"/>
              <w:left w:w="108" w:type="dxa"/>
              <w:bottom w:w="0" w:type="dxa"/>
              <w:right w:w="108" w:type="dxa"/>
            </w:tcMar>
          </w:tcPr>
          <w:p w14:paraId="533B27A4" w14:textId="77777777" w:rsidR="00BB3E1E" w:rsidRPr="00102120" w:rsidRDefault="00BB3E1E" w:rsidP="00B05614">
            <w:pPr>
              <w:pStyle w:val="TableText"/>
            </w:pPr>
            <w:r w:rsidRPr="00102120">
              <w:rPr>
                <w:rFonts w:eastAsia="Calibri"/>
              </w:rPr>
              <w:t>Registry</w:t>
            </w:r>
          </w:p>
        </w:tc>
        <w:tc>
          <w:tcPr>
            <w:tcW w:w="0" w:type="auto"/>
            <w:shd w:val="clear" w:color="auto" w:fill="FFFFFF"/>
            <w:tcMar>
              <w:top w:w="0" w:type="dxa"/>
              <w:left w:w="108" w:type="dxa"/>
              <w:bottom w:w="0" w:type="dxa"/>
              <w:right w:w="108" w:type="dxa"/>
            </w:tcMar>
          </w:tcPr>
          <w:p w14:paraId="1F6CAF1F" w14:textId="77777777" w:rsidR="00BB3E1E" w:rsidRPr="00102120" w:rsidRDefault="00BB3E1E" w:rsidP="00B05614">
            <w:pPr>
              <w:pStyle w:val="TableText"/>
            </w:pPr>
            <w:r w:rsidRPr="00102120">
              <w:rPr>
                <w:rFonts w:eastAsia="Calibri"/>
              </w:rPr>
              <w:t>Environmental Protection Authority</w:t>
            </w:r>
          </w:p>
        </w:tc>
      </w:tr>
      <w:tr w:rsidR="00BB3E1E" w:rsidRPr="00102120" w14:paraId="1C8EB3DD" w14:textId="77777777" w:rsidTr="00B05614">
        <w:trPr>
          <w:cantSplit/>
        </w:trPr>
        <w:tc>
          <w:tcPr>
            <w:tcW w:w="0" w:type="auto"/>
            <w:shd w:val="clear" w:color="auto" w:fill="FFFFFF"/>
            <w:tcMar>
              <w:top w:w="0" w:type="dxa"/>
              <w:left w:w="108" w:type="dxa"/>
              <w:bottom w:w="0" w:type="dxa"/>
              <w:right w:w="108" w:type="dxa"/>
            </w:tcMar>
          </w:tcPr>
          <w:p w14:paraId="02CB8CC3" w14:textId="77777777" w:rsidR="00BB3E1E" w:rsidRPr="00102120" w:rsidRDefault="00BB3E1E" w:rsidP="00B05614">
            <w:pPr>
              <w:pStyle w:val="TableText"/>
            </w:pPr>
            <w:r w:rsidRPr="00102120">
              <w:rPr>
                <w:rFonts w:eastAsia="Calibri"/>
              </w:rPr>
              <w:t>Minimisation of adverse impacts</w:t>
            </w:r>
          </w:p>
        </w:tc>
        <w:tc>
          <w:tcPr>
            <w:tcW w:w="0" w:type="auto"/>
            <w:shd w:val="clear" w:color="auto" w:fill="FFFFFF"/>
            <w:tcMar>
              <w:top w:w="0" w:type="dxa"/>
              <w:left w:w="108" w:type="dxa"/>
              <w:bottom w:w="0" w:type="dxa"/>
              <w:right w:w="108" w:type="dxa"/>
            </w:tcMar>
          </w:tcPr>
          <w:p w14:paraId="55E3BB21" w14:textId="77777777" w:rsidR="00BB3E1E" w:rsidRPr="00102120" w:rsidRDefault="00BB3E1E" w:rsidP="00B05614">
            <w:pPr>
              <w:pStyle w:val="TableText"/>
            </w:pPr>
            <w:r w:rsidRPr="00102120">
              <w:rPr>
                <w:rFonts w:eastAsia="Calibri"/>
              </w:rPr>
              <w:t>Ministry of Foreign Affairs and Trade </w:t>
            </w:r>
          </w:p>
        </w:tc>
      </w:tr>
      <w:tr w:rsidR="00BB3E1E" w:rsidRPr="00102120" w14:paraId="5F605B51" w14:textId="77777777" w:rsidTr="00B05614">
        <w:trPr>
          <w:cantSplit/>
        </w:trPr>
        <w:tc>
          <w:tcPr>
            <w:tcW w:w="0" w:type="auto"/>
            <w:shd w:val="clear" w:color="auto" w:fill="FFFFFF"/>
            <w:tcMar>
              <w:top w:w="0" w:type="dxa"/>
              <w:left w:w="108" w:type="dxa"/>
              <w:bottom w:w="0" w:type="dxa"/>
              <w:right w:w="108" w:type="dxa"/>
            </w:tcMar>
          </w:tcPr>
          <w:p w14:paraId="2996EBB8" w14:textId="77777777" w:rsidR="00BB3E1E" w:rsidRPr="00102120" w:rsidRDefault="00BB3E1E" w:rsidP="00B05614">
            <w:pPr>
              <w:pStyle w:val="TableText"/>
            </w:pPr>
            <w:r w:rsidRPr="00102120">
              <w:rPr>
                <w:rFonts w:eastAsia="Calibri"/>
              </w:rPr>
              <w:t>National inventory agency</w:t>
            </w:r>
          </w:p>
        </w:tc>
        <w:tc>
          <w:tcPr>
            <w:tcW w:w="0" w:type="auto"/>
            <w:shd w:val="clear" w:color="auto" w:fill="FFFFFF"/>
            <w:tcMar>
              <w:top w:w="0" w:type="dxa"/>
              <w:left w:w="108" w:type="dxa"/>
              <w:bottom w:w="0" w:type="dxa"/>
              <w:right w:w="108" w:type="dxa"/>
            </w:tcMar>
          </w:tcPr>
          <w:p w14:paraId="1DDDC1CB" w14:textId="77777777" w:rsidR="00BB3E1E" w:rsidRPr="00102120" w:rsidRDefault="00BB3E1E" w:rsidP="00B05614">
            <w:pPr>
              <w:pStyle w:val="TableText"/>
            </w:pPr>
            <w:r w:rsidRPr="00102120">
              <w:rPr>
                <w:rFonts w:eastAsia="Calibri"/>
              </w:rPr>
              <w:t>Ministry for the Environment</w:t>
            </w:r>
          </w:p>
        </w:tc>
      </w:tr>
    </w:tbl>
    <w:p w14:paraId="0E9C12B6" w14:textId="77777777" w:rsidR="00BB3E1E" w:rsidRPr="00241762" w:rsidRDefault="00BB3E1E" w:rsidP="00BB3E1E">
      <w:pPr>
        <w:pStyle w:val="BodyText"/>
        <w:spacing w:before="240"/>
      </w:pPr>
      <w:r w:rsidRPr="00241762">
        <w:t>The Energy and Agriculture activity data provided by Stats NZ are official national statistics (Tier 1)</w:t>
      </w:r>
      <w:r>
        <w:t>. A</w:t>
      </w:r>
      <w:r w:rsidRPr="00241762">
        <w:t xml:space="preserve">s such, </w:t>
      </w:r>
      <w:r>
        <w:t xml:space="preserve">they </w:t>
      </w:r>
      <w:r w:rsidRPr="00241762">
        <w:t>are subject to their own rigorous QA/QC procedures.</w:t>
      </w:r>
    </w:p>
    <w:p w14:paraId="14869342" w14:textId="77777777" w:rsidR="00BB3E1E" w:rsidRPr="00241762" w:rsidRDefault="00BB3E1E" w:rsidP="00BB3E1E">
      <w:pPr>
        <w:pStyle w:val="BodyText"/>
      </w:pPr>
      <w:r w:rsidRPr="00241762">
        <w:t>Human population and animal production statistics provided by Stats NZ were also used for estimating emissions from the Waste sector.</w:t>
      </w:r>
    </w:p>
    <w:p w14:paraId="09CBF4DD" w14:textId="62CF8DF4" w:rsidR="00BB3E1E" w:rsidRPr="00241762" w:rsidRDefault="00BB3E1E" w:rsidP="00BB3E1E">
      <w:pPr>
        <w:pStyle w:val="BodyText"/>
      </w:pPr>
      <w:r w:rsidRPr="00241762">
        <w:t>Tokelau’s activity data undergo QC processes at the Tokelau National Statistics Office. Tokelau’s inventory estimates in the CRF undergo QA/QC processes</w:t>
      </w:r>
      <w:r w:rsidRPr="003E78A8">
        <w:t xml:space="preserve"> </w:t>
      </w:r>
      <w:r>
        <w:t xml:space="preserve">that are </w:t>
      </w:r>
      <w:r w:rsidRPr="00241762">
        <w:t xml:space="preserve">similar </w:t>
      </w:r>
      <w:r>
        <w:t>to</w:t>
      </w:r>
      <w:r w:rsidRPr="00241762">
        <w:t xml:space="preserve"> </w:t>
      </w:r>
      <w:r>
        <w:t>those of</w:t>
      </w:r>
      <w:r w:rsidR="00091FF4">
        <w:t> </w:t>
      </w:r>
      <w:r w:rsidRPr="00241762">
        <w:t>other inventory sectors.</w:t>
      </w:r>
    </w:p>
    <w:p w14:paraId="707D8A5D" w14:textId="77777777" w:rsidR="00BB3E1E" w:rsidRPr="00241762" w:rsidRDefault="00BB3E1E" w:rsidP="00BB3E1E">
      <w:pPr>
        <w:pStyle w:val="Heading4"/>
      </w:pPr>
      <w:bookmarkStart w:id="72" w:name="quality-assurance"/>
      <w:bookmarkEnd w:id="70"/>
      <w:r w:rsidRPr="00241762">
        <w:lastRenderedPageBreak/>
        <w:t>Quality assurance</w:t>
      </w:r>
    </w:p>
    <w:p w14:paraId="1B3207F3" w14:textId="2E8C8483" w:rsidR="00BB3E1E" w:rsidRPr="00241762" w:rsidRDefault="00BB3E1E" w:rsidP="00CB5367">
      <w:pPr>
        <w:pStyle w:val="BodyText"/>
        <w:spacing w:before="100"/>
      </w:pPr>
      <w:r w:rsidRPr="00241762">
        <w:t>New Zealand’s QA system includes prioritisation of improvements, processes around accepting</w:t>
      </w:r>
      <w:r w:rsidR="00091FF4">
        <w:t> </w:t>
      </w:r>
      <w:r w:rsidRPr="00241762">
        <w:t xml:space="preserve">improvements into the inventory, in-depth review of sector inventories or their components every 5 to 10 years, and improving the expertise of key contributors to the inventory. The government audit agency (Audit New Zealand) makes annual audits of the inventory performance. New Zealand also considers the international inventory reviews performed by the expert review teams under the </w:t>
      </w:r>
      <w:r>
        <w:t>Convention</w:t>
      </w:r>
      <w:r w:rsidRPr="00241762">
        <w:t xml:space="preserve"> as an important element of </w:t>
      </w:r>
      <w:r>
        <w:t>QA</w:t>
      </w:r>
      <w:r w:rsidRPr="00241762">
        <w:t>.</w:t>
      </w:r>
      <w:r w:rsidR="00091FF4">
        <w:t> </w:t>
      </w:r>
      <w:r w:rsidRPr="00241762">
        <w:t xml:space="preserve">The main aspects of </w:t>
      </w:r>
      <w:r>
        <w:t>QA</w:t>
      </w:r>
      <w:r w:rsidRPr="00241762">
        <w:t xml:space="preserve"> are explained in detail below.</w:t>
      </w:r>
    </w:p>
    <w:p w14:paraId="6967B9FC" w14:textId="77777777" w:rsidR="00BB3E1E" w:rsidRPr="00241762" w:rsidRDefault="00BB3E1E" w:rsidP="00CB5367">
      <w:pPr>
        <w:pStyle w:val="BodyText"/>
        <w:spacing w:before="100"/>
      </w:pPr>
      <w:r w:rsidRPr="00241762">
        <w:t>All sector leads are encouraged to schedule QA audits of their systems at least every five years.</w:t>
      </w:r>
    </w:p>
    <w:p w14:paraId="4B56E80A" w14:textId="77777777" w:rsidR="00BB3E1E" w:rsidRPr="00241762" w:rsidRDefault="00BB3E1E" w:rsidP="00CB5367">
      <w:pPr>
        <w:pStyle w:val="BodyText"/>
        <w:spacing w:before="100"/>
      </w:pPr>
      <w:r w:rsidRPr="00241762">
        <w:t>The Energy sector lead discuss</w:t>
      </w:r>
      <w:r>
        <w:t>ed</w:t>
      </w:r>
      <w:r w:rsidRPr="00241762">
        <w:t xml:space="preserve"> sectoral issues with the Danish inventory team during bilateral meetings in 2017 dedicated to different aspects of the Energy sectoral inventory</w:t>
      </w:r>
      <w:r>
        <w:t>.</w:t>
      </w:r>
      <w:r w:rsidRPr="00241762">
        <w:t xml:space="preserve"> </w:t>
      </w:r>
      <w:r>
        <w:t>S</w:t>
      </w:r>
      <w:r w:rsidRPr="00241762">
        <w:t>pecific</w:t>
      </w:r>
      <w:r>
        <w:t xml:space="preserve"> issues covered were</w:t>
      </w:r>
      <w:r w:rsidRPr="00241762">
        <w:t>: data sources, data collection and verification processes; using the New Zealand Emissions Trading Scheme (NZ ETS) data for higher</w:t>
      </w:r>
      <w:r>
        <w:t>-</w:t>
      </w:r>
      <w:r w:rsidRPr="00241762">
        <w:t>tier methods in the Energy sector; applying higher</w:t>
      </w:r>
      <w:r>
        <w:t>-</w:t>
      </w:r>
      <w:r w:rsidRPr="00241762">
        <w:t>tier methods for road transport; disaggregation of non-road liquid fuel use; and fugitive emissions from fuels. In 2019, an external consultant was contracted to review and develop a QA plan for the Energy sector. Most recommendations from that review have already been implemented, and work continues on addressing the remaining issues.</w:t>
      </w:r>
    </w:p>
    <w:p w14:paraId="6010AC43" w14:textId="77777777" w:rsidR="00BB3E1E" w:rsidRPr="00241762" w:rsidRDefault="00BB3E1E" w:rsidP="00CB5367">
      <w:pPr>
        <w:pStyle w:val="BodyText"/>
        <w:spacing w:before="100"/>
      </w:pPr>
      <w:r w:rsidRPr="00241762">
        <w:t xml:space="preserve">The Agriculture sector completed a major QA review of its calculation models with an external party in 2013. Since then, other QA activities for </w:t>
      </w:r>
      <w:r>
        <w:t>A</w:t>
      </w:r>
      <w:r w:rsidRPr="00241762">
        <w:t>griculture</w:t>
      </w:r>
      <w:r>
        <w:t xml:space="preserve"> have</w:t>
      </w:r>
      <w:r w:rsidRPr="00241762">
        <w:t xml:space="preserve"> includ</w:t>
      </w:r>
      <w:r>
        <w:t>ed</w:t>
      </w:r>
      <w:r w:rsidRPr="00241762">
        <w:t xml:space="preserve"> a bilateral review with Australia in 2014, and an external review of equations used to determine metabolisable energy requirements in 2016. For more information, see chapter 5, section 5.1.6.</w:t>
      </w:r>
    </w:p>
    <w:p w14:paraId="7AAD5E01" w14:textId="77777777" w:rsidR="00BB3E1E" w:rsidRPr="00091FF4" w:rsidRDefault="00BB3E1E" w:rsidP="00091FF4">
      <w:pPr>
        <w:pStyle w:val="Heading5"/>
      </w:pPr>
      <w:bookmarkStart w:id="73" w:name="prioritisation-of-improvements"/>
      <w:r w:rsidRPr="00241762">
        <w:t>Prioritisation of improvements</w:t>
      </w:r>
    </w:p>
    <w:p w14:paraId="67FC3A22" w14:textId="77777777" w:rsidR="00BB3E1E" w:rsidRPr="00241762" w:rsidRDefault="00BB3E1E" w:rsidP="00CB5367">
      <w:pPr>
        <w:pStyle w:val="BodyText"/>
        <w:spacing w:before="100"/>
      </w:pPr>
      <w:r w:rsidRPr="00241762">
        <w:t>Priorities for the development of the inventory are guided by:</w:t>
      </w:r>
    </w:p>
    <w:p w14:paraId="524F083C" w14:textId="77777777" w:rsidR="00BB3E1E" w:rsidRPr="003971DE" w:rsidRDefault="00BB3E1E" w:rsidP="00BB3E1E">
      <w:pPr>
        <w:pStyle w:val="Bullet"/>
        <w:tabs>
          <w:tab w:val="num" w:pos="567"/>
        </w:tabs>
      </w:pPr>
      <w:r w:rsidRPr="00241762">
        <w:t>the results of key cate</w:t>
      </w:r>
      <w:r w:rsidRPr="003971DE">
        <w:t>gory analyses (level and trend)</w:t>
      </w:r>
    </w:p>
    <w:p w14:paraId="3CFBD67D" w14:textId="77777777" w:rsidR="00BB3E1E" w:rsidRPr="003971DE" w:rsidRDefault="00BB3E1E" w:rsidP="00BB3E1E">
      <w:pPr>
        <w:pStyle w:val="Bullet"/>
        <w:tabs>
          <w:tab w:val="num" w:pos="567"/>
        </w:tabs>
      </w:pPr>
      <w:r w:rsidRPr="003971DE">
        <w:t>the degree of improvement to be achieved for existing emission and removal estimates</w:t>
      </w:r>
    </w:p>
    <w:p w14:paraId="24605A72" w14:textId="77777777" w:rsidR="00BB3E1E" w:rsidRPr="003971DE" w:rsidRDefault="00BB3E1E" w:rsidP="00BB3E1E">
      <w:pPr>
        <w:pStyle w:val="Bullet"/>
        <w:tabs>
          <w:tab w:val="num" w:pos="567"/>
        </w:tabs>
      </w:pPr>
      <w:r w:rsidRPr="003971DE">
        <w:t>the availability of resources required to implement the change</w:t>
      </w:r>
    </w:p>
    <w:p w14:paraId="1F7A8382" w14:textId="77777777" w:rsidR="00BB3E1E" w:rsidRPr="00241762" w:rsidRDefault="00BB3E1E" w:rsidP="00BB3E1E">
      <w:pPr>
        <w:pStyle w:val="Bullet"/>
        <w:tabs>
          <w:tab w:val="num" w:pos="567"/>
        </w:tabs>
      </w:pPr>
      <w:r w:rsidRPr="003971DE">
        <w:t>recommendations fr</w:t>
      </w:r>
      <w:r w:rsidRPr="00241762">
        <w:t>om previous international reviews of the inventory.</w:t>
      </w:r>
    </w:p>
    <w:p w14:paraId="3A13DFA1" w14:textId="77777777" w:rsidR="00BB3E1E" w:rsidRPr="00241762" w:rsidRDefault="00BB3E1E" w:rsidP="00CB5367">
      <w:pPr>
        <w:pStyle w:val="BodyText"/>
        <w:spacing w:before="100"/>
      </w:pPr>
      <w:r w:rsidRPr="00241762">
        <w:t xml:space="preserve">Uncertainties are also considered in prioritising improvements. For example, if a change in a methodological approach may lead to a significant increase </w:t>
      </w:r>
      <w:r>
        <w:t>in</w:t>
      </w:r>
      <w:r w:rsidRPr="00241762">
        <w:t xml:space="preserve"> uncertainty of the estimates, </w:t>
      </w:r>
      <w:r w:rsidRPr="00091FF4">
        <w:rPr>
          <w:spacing w:val="-2"/>
        </w:rPr>
        <w:t>then the proposed change may be rejected on the basis of an undesired increase in uncertainty.</w:t>
      </w:r>
      <w:r w:rsidRPr="00241762">
        <w:t xml:space="preserve"> Otherwise, if the proposed improvement is not expected to affect the uncertainty significantly or will </w:t>
      </w:r>
      <w:r>
        <w:t>reduce</w:t>
      </w:r>
      <w:r w:rsidRPr="00241762">
        <w:t xml:space="preserve"> uncertainty, then the change is likely to be accepted. Sectors are encouraged to develop annual inventory improvement and QA and QC plans to reflect current and future development of the inventory.</w:t>
      </w:r>
    </w:p>
    <w:p w14:paraId="2776EF51" w14:textId="77777777" w:rsidR="00BB3E1E" w:rsidRPr="00241762" w:rsidRDefault="00BB3E1E" w:rsidP="00BB3E1E">
      <w:pPr>
        <w:pStyle w:val="Heading5"/>
      </w:pPr>
      <w:bookmarkStart w:id="74" w:name="Xd4042aa741d773d9c1b3b9e3747cdd2889229e4"/>
      <w:bookmarkEnd w:id="73"/>
      <w:r w:rsidRPr="00241762">
        <w:t>Acceptance of improvements and recalculations</w:t>
      </w:r>
    </w:p>
    <w:p w14:paraId="18C7C960" w14:textId="654F3B06" w:rsidR="00BB3E1E" w:rsidRPr="00241762" w:rsidRDefault="00BB3E1E" w:rsidP="00CB5367">
      <w:pPr>
        <w:pStyle w:val="BodyText"/>
        <w:spacing w:before="100"/>
      </w:pPr>
      <w:r w:rsidRPr="00241762">
        <w:t>All proposed improvements in the inventory undergo peer review by an independent expert or</w:t>
      </w:r>
      <w:r w:rsidR="00091FF4">
        <w:t> </w:t>
      </w:r>
      <w:r w:rsidRPr="00241762">
        <w:t xml:space="preserve">a group of experts. The change will be included in the inventory only if the peer reviewer concludes that the change is consistent with </w:t>
      </w:r>
      <w:r>
        <w:t xml:space="preserve">2006 </w:t>
      </w:r>
      <w:r w:rsidRPr="00241762">
        <w:t xml:space="preserve">IPCC </w:t>
      </w:r>
      <w:r>
        <w:t>G</w:t>
      </w:r>
      <w:r w:rsidRPr="00241762">
        <w:t>uidelines</w:t>
      </w:r>
      <w:r>
        <w:t xml:space="preserve"> (IPCC, 2006b)</w:t>
      </w:r>
      <w:r w:rsidRPr="00241762">
        <w:t xml:space="preserve"> for the preparation and continuous improvement of national greenhouse gas inventories.</w:t>
      </w:r>
    </w:p>
    <w:p w14:paraId="43851E46" w14:textId="48B2C46F" w:rsidR="00BB3E1E" w:rsidRPr="00241762" w:rsidRDefault="00BB3E1E" w:rsidP="00CB5367">
      <w:pPr>
        <w:pStyle w:val="BodyText"/>
        <w:spacing w:before="100"/>
      </w:pPr>
      <w:r w:rsidRPr="00241762">
        <w:t xml:space="preserve">Given the significance of the </w:t>
      </w:r>
      <w:r w:rsidRPr="00CB5367">
        <w:t>Agriculture</w:t>
      </w:r>
      <w:r w:rsidRPr="00241762">
        <w:t xml:space="preserve"> sector to New Zealand’s emissions, the Government established the Agriculture Inventory Advisory Panel, an independent group of experts, to assess whether proposed improvements and recalculations in the sector are scientifically </w:t>
      </w:r>
      <w:r w:rsidRPr="00241762">
        <w:lastRenderedPageBreak/>
        <w:t>robust enough to include in the inventory. Reports and/or papers on proposed changes must</w:t>
      </w:r>
      <w:r w:rsidR="00091FF4">
        <w:t> </w:t>
      </w:r>
      <w:r w:rsidRPr="00241762">
        <w:t>be peer reviewed before they are presented to the panel, which then advises MPI of its</w:t>
      </w:r>
      <w:r w:rsidR="00091FF4">
        <w:t> </w:t>
      </w:r>
      <w:r w:rsidRPr="00241762">
        <w:t>recommendations. Refer to chapter 5, section 5.1.5 for further details.</w:t>
      </w:r>
    </w:p>
    <w:p w14:paraId="64E73852" w14:textId="2238164D" w:rsidR="00BB3E1E" w:rsidRPr="00241762" w:rsidRDefault="00BB3E1E" w:rsidP="00CB5367">
      <w:pPr>
        <w:pStyle w:val="BodyText"/>
        <w:spacing w:before="100" w:after="100"/>
      </w:pPr>
      <w:r w:rsidRPr="00241762">
        <w:t>All recalculations</w:t>
      </w:r>
      <w:r>
        <w:t xml:space="preserve"> for</w:t>
      </w:r>
      <w:r w:rsidRPr="00241762">
        <w:t xml:space="preserve"> and improvements to the inventory require the approval of the RGG. The</w:t>
      </w:r>
      <w:r w:rsidR="00091FF4">
        <w:t> </w:t>
      </w:r>
      <w:r w:rsidRPr="00241762">
        <w:t>recalculations need to be sufficiently explained in terms of improving one or more of the TACCC principles. If</w:t>
      </w:r>
      <w:r>
        <w:t>,</w:t>
      </w:r>
      <w:r w:rsidRPr="00241762">
        <w:t xml:space="preserve"> due to </w:t>
      </w:r>
      <w:r>
        <w:t xml:space="preserve">the </w:t>
      </w:r>
      <w:r w:rsidRPr="00241762">
        <w:t xml:space="preserve">recalculations, emissions from the recalculated category </w:t>
      </w:r>
      <w:r>
        <w:t>are higher than</w:t>
      </w:r>
      <w:r w:rsidRPr="00241762">
        <w:t xml:space="preserve"> 500 kilotonnes carbon dioxide equivalent (kt CO</w:t>
      </w:r>
      <w:r w:rsidRPr="00241762">
        <w:rPr>
          <w:vertAlign w:val="subscript"/>
        </w:rPr>
        <w:t>2</w:t>
      </w:r>
      <w:r w:rsidRPr="00241762">
        <w:t>-e), the results</w:t>
      </w:r>
      <w:r>
        <w:t xml:space="preserve"> of</w:t>
      </w:r>
      <w:r w:rsidRPr="00241762">
        <w:t xml:space="preserve"> and reasons for the recalculations are recorded in the Recalculation form. The recalculations and explanations are documented and archived for future reference.</w:t>
      </w:r>
    </w:p>
    <w:p w14:paraId="15689A47" w14:textId="77777777" w:rsidR="00BB3E1E" w:rsidRPr="00241762" w:rsidRDefault="00BB3E1E" w:rsidP="00BB3E1E">
      <w:pPr>
        <w:pStyle w:val="Heading4"/>
      </w:pPr>
      <w:bookmarkStart w:id="75" w:name="verification-activities"/>
      <w:bookmarkEnd w:id="72"/>
      <w:bookmarkEnd w:id="74"/>
      <w:r w:rsidRPr="00241762">
        <w:t>Verification activities</w:t>
      </w:r>
    </w:p>
    <w:p w14:paraId="68F34C43" w14:textId="77777777" w:rsidR="00BB3E1E" w:rsidRPr="00241762" w:rsidRDefault="00BB3E1E" w:rsidP="00CB5367">
      <w:pPr>
        <w:pStyle w:val="BodyText"/>
        <w:spacing w:before="100" w:after="100"/>
      </w:pPr>
      <w:r w:rsidRPr="00241762">
        <w:t xml:space="preserve">Where relevant, further verification activities carried out for a sector are discussed in the sector-specific </w:t>
      </w:r>
      <w:r>
        <w:t>chapters</w:t>
      </w:r>
      <w:r w:rsidRPr="00241762">
        <w:t xml:space="preserve"> of this report. Section 1.9.2 provides information about the verification method that has become available for the inventory by using data from the NZ ETS.</w:t>
      </w:r>
    </w:p>
    <w:p w14:paraId="58C1A890" w14:textId="77777777" w:rsidR="00BB3E1E" w:rsidRPr="00241762" w:rsidRDefault="00BB3E1E" w:rsidP="00CB5367">
      <w:pPr>
        <w:pStyle w:val="BodyText"/>
        <w:spacing w:before="100" w:after="100"/>
      </w:pPr>
      <w:r w:rsidRPr="00241762">
        <w:t xml:space="preserve">In the Energy sector, the reference approach is used </w:t>
      </w:r>
      <w:r>
        <w:t>to</w:t>
      </w:r>
      <w:r w:rsidRPr="00241762">
        <w:t xml:space="preserve"> verif</w:t>
      </w:r>
      <w:r>
        <w:t>y</w:t>
      </w:r>
      <w:r w:rsidRPr="00241762">
        <w:t xml:space="preserve"> the emission</w:t>
      </w:r>
      <w:r>
        <w:t>s</w:t>
      </w:r>
      <w:r w:rsidRPr="00241762">
        <w:t xml:space="preserve"> estimates for CO</w:t>
      </w:r>
      <w:r w:rsidRPr="00241762">
        <w:rPr>
          <w:vertAlign w:val="subscript"/>
        </w:rPr>
        <w:t>2</w:t>
      </w:r>
      <w:r w:rsidRPr="00241762">
        <w:t xml:space="preserve"> obtained from the sectoral approach.</w:t>
      </w:r>
    </w:p>
    <w:p w14:paraId="186C90AE" w14:textId="77777777" w:rsidR="00BB3E1E" w:rsidRPr="00241762" w:rsidRDefault="00BB3E1E" w:rsidP="00BB3E1E">
      <w:pPr>
        <w:pStyle w:val="Heading4"/>
      </w:pPr>
      <w:bookmarkStart w:id="76" w:name="treatment-of-confidentiality-issues"/>
      <w:bookmarkEnd w:id="75"/>
      <w:r w:rsidRPr="00241762">
        <w:t>Treatment of confidentiality issues</w:t>
      </w:r>
    </w:p>
    <w:p w14:paraId="17F71A10" w14:textId="77777777" w:rsidR="00BB3E1E" w:rsidRPr="00241762" w:rsidRDefault="00BB3E1E" w:rsidP="00CB5367">
      <w:pPr>
        <w:pStyle w:val="BodyText"/>
        <w:spacing w:before="100" w:after="100"/>
      </w:pPr>
      <w:r w:rsidRPr="00241762">
        <w:t>When specific emissions and activity data in the inventory can result in identifying individuals and/or individual businesses and, therefore, affect their wellbeing, commercial interest in trade and/or negotiations, those data are considered to be confidential.</w:t>
      </w:r>
    </w:p>
    <w:p w14:paraId="7DAF89C9" w14:textId="77777777" w:rsidR="00BB3E1E" w:rsidRPr="00241762" w:rsidRDefault="00BB3E1E" w:rsidP="00CB5367">
      <w:pPr>
        <w:pStyle w:val="BodyText"/>
        <w:spacing w:before="100" w:after="100"/>
      </w:pPr>
      <w:r w:rsidRPr="00241762">
        <w:t xml:space="preserve">New Zealand’s </w:t>
      </w:r>
      <w:r w:rsidRPr="00D20AFE">
        <w:t>Tier 1 Statistics Protocol</w:t>
      </w:r>
      <w:r w:rsidRPr="00241762">
        <w:t xml:space="preserve"> </w:t>
      </w:r>
      <w:r>
        <w:t xml:space="preserve">(Stats NZ, 2007) </w:t>
      </w:r>
      <w:r w:rsidRPr="00241762">
        <w:t xml:space="preserve">is a part of its national circumstances. The relevant definition of confidentiality (protocol 4) is </w:t>
      </w:r>
      <w:r>
        <w:t>as follows</w:t>
      </w:r>
      <w:r w:rsidRPr="00241762">
        <w:t>.</w:t>
      </w:r>
    </w:p>
    <w:p w14:paraId="5245EA24" w14:textId="7DBFD06B" w:rsidR="00BB3E1E" w:rsidRPr="00241762" w:rsidRDefault="00BB3E1E" w:rsidP="00CB5367">
      <w:pPr>
        <w:pStyle w:val="Bullet"/>
        <w:tabs>
          <w:tab w:val="num" w:pos="567"/>
        </w:tabs>
        <w:spacing w:after="100"/>
      </w:pPr>
      <w:r w:rsidRPr="00241762">
        <w:t>Confidentiality refers to the protection of individuals’ and organisations’ information, and</w:t>
      </w:r>
      <w:r w:rsidR="00CB5367">
        <w:t> </w:t>
      </w:r>
      <w:r w:rsidRPr="00241762">
        <w:t>ensuring that the information is not made available or disclosed to unauthorised individuals or entities.</w:t>
      </w:r>
    </w:p>
    <w:p w14:paraId="5F34464F" w14:textId="4C10C02A" w:rsidR="00BB3E1E" w:rsidRPr="00241762" w:rsidRDefault="00BB3E1E" w:rsidP="00CB5367">
      <w:pPr>
        <w:pStyle w:val="Bullet"/>
        <w:tabs>
          <w:tab w:val="num" w:pos="567"/>
        </w:tabs>
        <w:spacing w:after="100"/>
      </w:pPr>
      <w:r w:rsidRPr="00241762">
        <w:t>The protection of respondents’ information is a cornerstone of maintaining the integrity of</w:t>
      </w:r>
      <w:r w:rsidR="00CB5367">
        <w:t> </w:t>
      </w:r>
      <w:r w:rsidRPr="00241762">
        <w:t>the Official Statistics System.</w:t>
      </w:r>
    </w:p>
    <w:p w14:paraId="737A3FBB" w14:textId="77777777" w:rsidR="00BB3E1E" w:rsidRPr="00241762" w:rsidRDefault="00BB3E1E" w:rsidP="00CB5367">
      <w:pPr>
        <w:pStyle w:val="BodyText"/>
        <w:spacing w:before="100"/>
      </w:pPr>
      <w:r w:rsidRPr="00241762">
        <w:t xml:space="preserve">Confidential data </w:t>
      </w:r>
      <w:r>
        <w:t>are</w:t>
      </w:r>
      <w:r w:rsidRPr="00241762">
        <w:t xml:space="preserve"> aggregated so as to draw out the information that is important to the user, without disclosing confidential data (IPCC, 2006b). For New Zealand, confidentiality issues largely apply to sources of emissions in the Energy and IPPU sectors, where an entire industry or source category is often represented by just one or two companies. Therefore, a practice of presenting information as an ‘industry average’ is often not applicable in New Zealand because this would breach business confidentiality. Confidential information is held by the agencies preparing the inventory sector estimates (MPI, MBIE, EPA and MfE), and each agency has security procedures (e.g., password-restricted access to files on computers) to </w:t>
      </w:r>
      <w:r>
        <w:t>keep</w:t>
      </w:r>
      <w:r w:rsidRPr="00241762">
        <w:t xml:space="preserve"> the data confidential.</w:t>
      </w:r>
    </w:p>
    <w:p w14:paraId="33EBCC84" w14:textId="77777777" w:rsidR="00BB3E1E" w:rsidRPr="00241762" w:rsidRDefault="00BB3E1E" w:rsidP="00CB5367">
      <w:pPr>
        <w:pStyle w:val="BodyText"/>
        <w:spacing w:before="100"/>
      </w:pPr>
      <w:r w:rsidRPr="00241762">
        <w:t>To protect the confidentiality of businesses that contribute data to the inventory (as appropriate), two approaches are used</w:t>
      </w:r>
      <w:r>
        <w:t>.</w:t>
      </w:r>
    </w:p>
    <w:p w14:paraId="7811A6DC" w14:textId="36702AA0" w:rsidR="00BB3E1E" w:rsidRPr="00627092" w:rsidRDefault="00BB3E1E" w:rsidP="00CB5367">
      <w:pPr>
        <w:pStyle w:val="Bullet"/>
      </w:pPr>
      <w:r w:rsidRPr="00CB5367">
        <w:rPr>
          <w:spacing w:val="-2"/>
        </w:rPr>
        <w:t>Where emissions can be reported without compromising confidentiality, the corresponding</w:t>
      </w:r>
      <w:r w:rsidRPr="00627092">
        <w:t xml:space="preserve"> activity data are not reported and are marked as confidential in the CRF</w:t>
      </w:r>
      <w:r w:rsidR="00CB5367">
        <w:t xml:space="preserve"> </w:t>
      </w:r>
      <w:r w:rsidRPr="00627092">
        <w:t>tables</w:t>
      </w:r>
      <w:r>
        <w:t>.</w:t>
      </w:r>
    </w:p>
    <w:p w14:paraId="583B4DFE" w14:textId="77777777" w:rsidR="00BB3E1E" w:rsidRPr="00241762" w:rsidRDefault="00BB3E1E" w:rsidP="00BB3E1E">
      <w:pPr>
        <w:pStyle w:val="Bullet"/>
        <w:tabs>
          <w:tab w:val="num" w:pos="567"/>
        </w:tabs>
      </w:pPr>
      <w:r>
        <w:t>W</w:t>
      </w:r>
      <w:r w:rsidRPr="00627092">
        <w:t>here reporting emissions data would risk breaching confidentiality, the emissions data are aggre</w:t>
      </w:r>
      <w:r w:rsidRPr="00241762">
        <w:t>gated with other emissions from a different source category. The notation key ‘IE’ is used.</w:t>
      </w:r>
    </w:p>
    <w:p w14:paraId="762BDDB7" w14:textId="77777777" w:rsidR="00BB3E1E" w:rsidRPr="00241762" w:rsidRDefault="00BB3E1E" w:rsidP="00BB3E1E">
      <w:pPr>
        <w:pStyle w:val="BodyText"/>
      </w:pPr>
      <w:r w:rsidRPr="00CB5367">
        <w:rPr>
          <w:spacing w:val="-2"/>
        </w:rPr>
        <w:lastRenderedPageBreak/>
        <w:t xml:space="preserve">In the IPPU sector, activity data for the categories </w:t>
      </w:r>
      <w:r w:rsidRPr="00CB5367">
        <w:rPr>
          <w:i/>
          <w:iCs/>
          <w:spacing w:val="-2"/>
        </w:rPr>
        <w:t>Iron and steel production</w:t>
      </w:r>
      <w:r w:rsidRPr="00CB5367">
        <w:rPr>
          <w:spacing w:val="-2"/>
        </w:rPr>
        <w:t xml:space="preserve">, </w:t>
      </w:r>
      <w:r w:rsidRPr="00CB5367">
        <w:rPr>
          <w:i/>
          <w:iCs/>
          <w:spacing w:val="-2"/>
        </w:rPr>
        <w:t>Cement production</w:t>
      </w:r>
      <w:r w:rsidRPr="00241762">
        <w:t xml:space="preserve"> and </w:t>
      </w:r>
      <w:r w:rsidRPr="00241762">
        <w:rPr>
          <w:i/>
          <w:iCs/>
        </w:rPr>
        <w:t>Glass production</w:t>
      </w:r>
      <w:r w:rsidRPr="00241762">
        <w:t xml:space="preserve"> are marked as confidential. Emissions for </w:t>
      </w:r>
      <w:r w:rsidRPr="00241762">
        <w:rPr>
          <w:i/>
          <w:iCs/>
        </w:rPr>
        <w:t>Glass production</w:t>
      </w:r>
      <w:r w:rsidRPr="00241762">
        <w:t xml:space="preserve"> are reported under the </w:t>
      </w:r>
      <w:r w:rsidRPr="00241762">
        <w:rPr>
          <w:i/>
          <w:iCs/>
        </w:rPr>
        <w:t>Other uses of carbonates</w:t>
      </w:r>
      <w:r w:rsidRPr="00241762">
        <w:t xml:space="preserve"> category.</w:t>
      </w:r>
    </w:p>
    <w:p w14:paraId="0BE5AA86" w14:textId="77777777" w:rsidR="00BB3E1E" w:rsidRPr="00241762" w:rsidRDefault="00BB3E1E" w:rsidP="00BB3E1E">
      <w:pPr>
        <w:pStyle w:val="Heading3"/>
      </w:pPr>
      <w:bookmarkStart w:id="77" w:name="X4f8f91a13464da7240f59eb505c948e76b7a652"/>
      <w:bookmarkEnd w:id="69"/>
      <w:bookmarkEnd w:id="76"/>
      <w:r w:rsidRPr="00241762">
        <w:t xml:space="preserve">1.2.4 </w:t>
      </w:r>
      <w:r>
        <w:tab/>
      </w:r>
      <w:r w:rsidRPr="00241762">
        <w:t>Changes in national inventory arrangements since the previous annual greenhouse gas inventory submission</w:t>
      </w:r>
    </w:p>
    <w:p w14:paraId="04CB7FAB" w14:textId="77777777" w:rsidR="00BB3E1E" w:rsidRPr="00241762" w:rsidRDefault="00BB3E1E" w:rsidP="00BB3E1E">
      <w:pPr>
        <w:pStyle w:val="BodyText"/>
      </w:pPr>
      <w:r w:rsidRPr="00241762">
        <w:t xml:space="preserve">No changes have been made in the legal or institutional arrangements in the </w:t>
      </w:r>
      <w:r>
        <w:t>n</w:t>
      </w:r>
      <w:r w:rsidRPr="00241762">
        <w:t xml:space="preserve">ational </w:t>
      </w:r>
      <w:r>
        <w:t>i</w:t>
      </w:r>
      <w:r w:rsidRPr="00241762">
        <w:t xml:space="preserve">nventory </w:t>
      </w:r>
      <w:r>
        <w:t>s</w:t>
      </w:r>
      <w:r w:rsidRPr="00241762">
        <w:t>ystem since the last (2021) submission.</w:t>
      </w:r>
    </w:p>
    <w:p w14:paraId="0DED8450" w14:textId="77777777" w:rsidR="00BB3E1E" w:rsidRPr="00241762" w:rsidRDefault="00BB3E1E" w:rsidP="00BB3E1E">
      <w:pPr>
        <w:pStyle w:val="Heading2"/>
      </w:pPr>
      <w:bookmarkStart w:id="78" w:name="_Toc99659097"/>
      <w:bookmarkStart w:id="79" w:name="X1f491e03dacef9b92f948d6be6f0685beea979b"/>
      <w:bookmarkEnd w:id="60"/>
      <w:bookmarkEnd w:id="77"/>
      <w:r w:rsidRPr="00241762">
        <w:t xml:space="preserve">1.3 </w:t>
      </w:r>
      <w:r>
        <w:tab/>
      </w:r>
      <w:r w:rsidRPr="00241762">
        <w:t>Inventory preparation: data collection, processing and storage</w:t>
      </w:r>
      <w:bookmarkEnd w:id="78"/>
    </w:p>
    <w:p w14:paraId="6BF9A596" w14:textId="77777777" w:rsidR="00BB3E1E" w:rsidRPr="00241762" w:rsidRDefault="00BB3E1E" w:rsidP="00BB3E1E">
      <w:pPr>
        <w:pStyle w:val="BodyText"/>
      </w:pPr>
      <w:r w:rsidRPr="00241762">
        <w:t xml:space="preserve">Inventory planning and preparation </w:t>
      </w:r>
      <w:r>
        <w:t>are</w:t>
      </w:r>
      <w:r w:rsidRPr="00241762">
        <w:t xml:space="preserve"> described in section 1.2.2</w:t>
      </w:r>
    </w:p>
    <w:p w14:paraId="635251FE" w14:textId="77777777" w:rsidR="00BB3E1E" w:rsidRPr="00241762" w:rsidRDefault="00BB3E1E" w:rsidP="00BB3E1E">
      <w:pPr>
        <w:pStyle w:val="BodyText"/>
      </w:pPr>
      <w:r w:rsidRPr="00241762">
        <w:t xml:space="preserve">The National Inventory Compiler coordinates the calculation of level and trend uncertainties, </w:t>
      </w:r>
      <w:r w:rsidRPr="00CB5367">
        <w:rPr>
          <w:spacing w:val="-2"/>
        </w:rPr>
        <w:t>along with key category assessment, and finalises the inventory. The inventory is then approved</w:t>
      </w:r>
      <w:r w:rsidRPr="00241762">
        <w:t xml:space="preserve"> for publication by the New Zealand Secretary for the Environment before submission to the UNFCCC secretariat.</w:t>
      </w:r>
    </w:p>
    <w:p w14:paraId="682069B1" w14:textId="77777777" w:rsidR="00BB3E1E" w:rsidRPr="00241762" w:rsidRDefault="00BB3E1E" w:rsidP="00BB3E1E">
      <w:pPr>
        <w:pStyle w:val="BodyText"/>
      </w:pPr>
      <w:r w:rsidRPr="00241762">
        <w:t xml:space="preserve">The inventory and all required data for the submission are stored at MfE in a restricted file system. The inventory is published on the MfE and </w:t>
      </w:r>
      <w:r>
        <w:t xml:space="preserve">Convention </w:t>
      </w:r>
      <w:r w:rsidRPr="00241762">
        <w:t>websites.</w:t>
      </w:r>
    </w:p>
    <w:p w14:paraId="3E83A522" w14:textId="77777777" w:rsidR="00BB3E1E" w:rsidRPr="00241762" w:rsidRDefault="00BB3E1E" w:rsidP="00BB3E1E">
      <w:pPr>
        <w:pStyle w:val="Heading4"/>
      </w:pPr>
      <w:bookmarkStart w:id="80" w:name="data-archiving-security-and-recovery"/>
      <w:r w:rsidRPr="00241762">
        <w:t>Data archiving, security and recovery</w:t>
      </w:r>
    </w:p>
    <w:p w14:paraId="5B62F087" w14:textId="77777777" w:rsidR="00BB3E1E" w:rsidRPr="00241762" w:rsidRDefault="00BB3E1E" w:rsidP="00BB3E1E">
      <w:pPr>
        <w:pStyle w:val="BodyText"/>
      </w:pPr>
      <w:r w:rsidRPr="00241762">
        <w:t>To provide data security and file recovery for the inventory in the event of a disaster, a distributive strategy for storage is in place. This includes storing inventory files using different types of storage devices (local and networked storage devices) in different geographical locations. The changes to all files are backed up on a daily basis, and the entire system is backed up on a weekly basis.</w:t>
      </w:r>
    </w:p>
    <w:p w14:paraId="7DB24973" w14:textId="77777777" w:rsidR="00BB3E1E" w:rsidRPr="00241762" w:rsidRDefault="00BB3E1E" w:rsidP="00BB3E1E">
      <w:pPr>
        <w:pStyle w:val="BodyText"/>
      </w:pPr>
      <w:r w:rsidRPr="00241762">
        <w:t>New Zealand’s inventory archiving system reflects the distributed system</w:t>
      </w:r>
      <w:r>
        <w:t>, as follows</w:t>
      </w:r>
      <w:r w:rsidRPr="00241762">
        <w:t>.</w:t>
      </w:r>
    </w:p>
    <w:p w14:paraId="3BB8BBE3" w14:textId="7424EFDE" w:rsidR="00BB3E1E" w:rsidRPr="008F1628" w:rsidRDefault="00BB3E1E" w:rsidP="00BB3E1E">
      <w:pPr>
        <w:pStyle w:val="Bullet"/>
        <w:tabs>
          <w:tab w:val="num" w:pos="567"/>
        </w:tabs>
      </w:pPr>
      <w:r>
        <w:t>A</w:t>
      </w:r>
      <w:r w:rsidRPr="00241762">
        <w:t>ll files for the inventory are stored in MfE’s secure file management system and backed up on several diff</w:t>
      </w:r>
      <w:r w:rsidRPr="008F1628">
        <w:t>erent devices held in different locations. This covers all data files and supplementary materials as part of the submission for the inventory, CRF tables, database</w:t>
      </w:r>
      <w:r w:rsidR="00CE5A42">
        <w:t> </w:t>
      </w:r>
      <w:r w:rsidRPr="008F1628">
        <w:t>back-up files from the CRF Reporter, sectoral chapters, the compiled inventory, confirmations of sign-off, communication between New Zealand’s inventory team and the</w:t>
      </w:r>
      <w:r w:rsidR="00CE5A42">
        <w:t> </w:t>
      </w:r>
      <w:r w:rsidRPr="008F1628">
        <w:t>expert review team, national inventory system, process maps, project planning and documentation, and other related documents for the inventory</w:t>
      </w:r>
      <w:r>
        <w:t>.</w:t>
      </w:r>
    </w:p>
    <w:p w14:paraId="390CB7BA" w14:textId="77777777" w:rsidR="00BB3E1E" w:rsidRPr="008F1628" w:rsidRDefault="00BB3E1E" w:rsidP="00BB3E1E">
      <w:pPr>
        <w:pStyle w:val="Bullet"/>
        <w:tabs>
          <w:tab w:val="num" w:pos="567"/>
        </w:tabs>
      </w:pPr>
      <w:r>
        <w:t>E</w:t>
      </w:r>
      <w:r w:rsidRPr="008F1628">
        <w:t>ach sectoral agency keeps its data in secure file systems, including communication with contractors, activity data, emission factors, preliminary calculations and specific software applications containing sectoral data models</w:t>
      </w:r>
      <w:r>
        <w:t>.</w:t>
      </w:r>
    </w:p>
    <w:p w14:paraId="37F12041" w14:textId="77777777" w:rsidR="00BB3E1E" w:rsidRPr="008F1628" w:rsidRDefault="00BB3E1E" w:rsidP="00BB3E1E">
      <w:pPr>
        <w:pStyle w:val="Bullet"/>
        <w:tabs>
          <w:tab w:val="num" w:pos="567"/>
        </w:tabs>
      </w:pPr>
      <w:r>
        <w:t>E</w:t>
      </w:r>
      <w:r w:rsidRPr="008F1628">
        <w:t xml:space="preserve">ach of the agencies involved in the preparation of the inventory has security procedures </w:t>
      </w:r>
      <w:r w:rsidRPr="00CE5A42">
        <w:rPr>
          <w:spacing w:val="-2"/>
        </w:rPr>
        <w:t>in case of natural disasters, fire, flood or other accidents, which are kept at a high standard.</w:t>
      </w:r>
    </w:p>
    <w:p w14:paraId="386F349B" w14:textId="77777777" w:rsidR="00BB3E1E" w:rsidRPr="00241762" w:rsidRDefault="00BB3E1E" w:rsidP="00BB3E1E">
      <w:pPr>
        <w:pStyle w:val="Heading2"/>
      </w:pPr>
      <w:bookmarkStart w:id="81" w:name="_Toc99659098"/>
      <w:bookmarkStart w:id="82" w:name="methodologies-and-data-sources-used"/>
      <w:bookmarkEnd w:id="79"/>
      <w:bookmarkEnd w:id="80"/>
      <w:r w:rsidRPr="00241762">
        <w:lastRenderedPageBreak/>
        <w:t xml:space="preserve">1.4 </w:t>
      </w:r>
      <w:r>
        <w:tab/>
      </w:r>
      <w:r w:rsidRPr="00241762">
        <w:t>Methodologies and data sources used</w:t>
      </w:r>
      <w:bookmarkEnd w:id="81"/>
    </w:p>
    <w:p w14:paraId="1D41F3BB" w14:textId="77777777" w:rsidR="00BB3E1E" w:rsidRPr="00241762" w:rsidRDefault="00BB3E1E" w:rsidP="0091592A">
      <w:pPr>
        <w:pStyle w:val="BodyText"/>
        <w:keepLines/>
        <w:spacing w:before="100" w:after="100"/>
      </w:pPr>
      <w:r w:rsidRPr="00241762">
        <w:t xml:space="preserve">The guiding documents in the inventory’s preparation are the </w:t>
      </w:r>
      <w:r w:rsidRPr="00241762">
        <w:rPr>
          <w:i/>
          <w:iCs/>
        </w:rPr>
        <w:t>2006 IPCC Guidelines for National Greenhouse Gas Inventories</w:t>
      </w:r>
      <w:r w:rsidRPr="00241762">
        <w:t xml:space="preserve"> (IPCC, 2006b), the </w:t>
      </w:r>
      <w:r w:rsidRPr="00241762">
        <w:rPr>
          <w:i/>
          <w:iCs/>
        </w:rPr>
        <w:t>2013 Revised Supplementary Methods and Good Practice Guidance Arising from the Kyoto Protocol</w:t>
      </w:r>
      <w:r w:rsidRPr="00241762">
        <w:t xml:space="preserve"> (IPCC, 2014), the revised </w:t>
      </w:r>
      <w:r w:rsidRPr="00241762">
        <w:rPr>
          <w:i/>
          <w:iCs/>
        </w:rPr>
        <w:t>UNFCCC reporting guidelines on annual inventories for Parties included in Annex I to the Convention</w:t>
      </w:r>
      <w:r w:rsidRPr="00241762">
        <w:t xml:space="preserve"> (UNFCCC, 2013</w:t>
      </w:r>
      <w:r>
        <w:t>a</w:t>
      </w:r>
      <w:r w:rsidRPr="00241762">
        <w:t xml:space="preserve">) and the Kyoto Protocol decisions </w:t>
      </w:r>
      <w:r>
        <w:t>on</w:t>
      </w:r>
      <w:r w:rsidRPr="00241762">
        <w:t xml:space="preserve"> reporting and review (UNFCCC, 2005a–k, 2012, 2013</w:t>
      </w:r>
      <w:r>
        <w:t>b</w:t>
      </w:r>
      <w:r w:rsidRPr="00241762">
        <w:t>, 2016a, 2016b).</w:t>
      </w:r>
    </w:p>
    <w:p w14:paraId="0630031C" w14:textId="69C3B370" w:rsidR="00BB3E1E" w:rsidRPr="00241762" w:rsidRDefault="00BB3E1E" w:rsidP="0091592A">
      <w:pPr>
        <w:pStyle w:val="BodyText"/>
        <w:spacing w:before="100" w:after="100"/>
      </w:pPr>
      <w:r w:rsidRPr="00241762">
        <w:t>A number of possible methodologies for calculating emissions or removals from a given category are provided (IPCC, 2006b). In most cases, these possibilities represent calculations of</w:t>
      </w:r>
      <w:r w:rsidR="00CE5A42">
        <w:t> </w:t>
      </w:r>
      <w:r w:rsidRPr="00241762">
        <w:t>the same form where the differences are in the level of detail at which the calculations are carried out. The methodologies are provided in a structure of three tiers that describe and connect the various levels of detail at which estimates can be made. The choice of method depends on factors such as the importance of the inventory category and the availability of data. The tiered structure ensures that estimates calculated at a highly detailed level can be aggregated up to a common minimum level of detail for comparison with all other reporting countries. The methods for estimating emissions and/or removals are distinguished between the tiers as follows</w:t>
      </w:r>
      <w:r>
        <w:t>.</w:t>
      </w:r>
    </w:p>
    <w:p w14:paraId="7AF40928" w14:textId="77777777" w:rsidR="00BB3E1E" w:rsidRPr="003F1B9C" w:rsidRDefault="00BB3E1E" w:rsidP="0091592A">
      <w:pPr>
        <w:pStyle w:val="Bullet"/>
        <w:tabs>
          <w:tab w:val="num" w:pos="567"/>
        </w:tabs>
        <w:spacing w:after="100"/>
      </w:pPr>
      <w:r w:rsidRPr="00241762">
        <w:t>Tier 1 met</w:t>
      </w:r>
      <w:r w:rsidRPr="003F1B9C">
        <w:t>hods apply IPCC default emission factors and use IPCC default methods</w:t>
      </w:r>
      <w:r>
        <w:t>.</w:t>
      </w:r>
    </w:p>
    <w:p w14:paraId="7F104860" w14:textId="77777777" w:rsidR="00BB3E1E" w:rsidRPr="003F1B9C" w:rsidRDefault="00BB3E1E" w:rsidP="0091592A">
      <w:pPr>
        <w:pStyle w:val="Bullet"/>
        <w:tabs>
          <w:tab w:val="num" w:pos="567"/>
        </w:tabs>
        <w:spacing w:after="100"/>
      </w:pPr>
      <w:r w:rsidRPr="003F1B9C">
        <w:t>Tier 2 methods apply country-specific emission factors and use IPCC default methods</w:t>
      </w:r>
      <w:r>
        <w:t>.</w:t>
      </w:r>
    </w:p>
    <w:p w14:paraId="2EB58D07" w14:textId="77777777" w:rsidR="00BB3E1E" w:rsidRPr="00241762" w:rsidRDefault="00BB3E1E" w:rsidP="0091592A">
      <w:pPr>
        <w:pStyle w:val="Bullet"/>
        <w:tabs>
          <w:tab w:val="num" w:pos="567"/>
        </w:tabs>
        <w:spacing w:after="100"/>
      </w:pPr>
      <w:r w:rsidRPr="003F1B9C">
        <w:t>Tier 3 methods</w:t>
      </w:r>
      <w:r w:rsidRPr="00241762">
        <w:t xml:space="preserve"> apply country-specific emission factors and use country-specific methods.</w:t>
      </w:r>
    </w:p>
    <w:p w14:paraId="05F00CA7" w14:textId="77777777" w:rsidR="00BB3E1E" w:rsidRPr="00241762" w:rsidRDefault="00BB3E1E" w:rsidP="0091592A">
      <w:pPr>
        <w:pStyle w:val="BodyText"/>
        <w:spacing w:before="100" w:after="100"/>
      </w:pPr>
      <w:r>
        <w:t>This section provides a brief description of the m</w:t>
      </w:r>
      <w:r w:rsidRPr="00241762">
        <w:t>ethodology for each sector in the inventory. Refer to each sector chapter for more detail.</w:t>
      </w:r>
    </w:p>
    <w:p w14:paraId="6522249A" w14:textId="77777777" w:rsidR="00BB3E1E" w:rsidRPr="00241762" w:rsidRDefault="00BB3E1E" w:rsidP="00BB3E1E">
      <w:pPr>
        <w:pStyle w:val="Heading4"/>
      </w:pPr>
      <w:r w:rsidRPr="00241762">
        <w:t>Energy</w:t>
      </w:r>
    </w:p>
    <w:p w14:paraId="69E32227" w14:textId="77777777" w:rsidR="00BB3E1E" w:rsidRPr="00241762" w:rsidRDefault="00BB3E1E" w:rsidP="0091592A">
      <w:pPr>
        <w:pStyle w:val="BodyText"/>
        <w:spacing w:before="100" w:after="100"/>
      </w:pPr>
      <w:r w:rsidRPr="00241762">
        <w:t>Greenhouse gas emissions from the Energy sector are calculated using a detailed sectoral approach. This bottom-up approach is demand based; it involves processing energy data collected on a regular basis through various surveys. For verification, New Zealand also applies the IPCC reference approach to estimate CO</w:t>
      </w:r>
      <w:r w:rsidRPr="00241762">
        <w:rPr>
          <w:vertAlign w:val="subscript"/>
        </w:rPr>
        <w:t>2</w:t>
      </w:r>
      <w:r w:rsidRPr="00241762">
        <w:t xml:space="preserve"> emissions from fuel combustion for the time series 1990 to 2020 (see annex 4).</w:t>
      </w:r>
    </w:p>
    <w:p w14:paraId="49A215D3" w14:textId="77777777" w:rsidR="00BB3E1E" w:rsidRPr="00241762" w:rsidRDefault="00BB3E1E" w:rsidP="0091592A">
      <w:pPr>
        <w:pStyle w:val="BodyText"/>
        <w:spacing w:before="100" w:after="100"/>
      </w:pPr>
      <w:r w:rsidRPr="00241762">
        <w:t xml:space="preserve">The activity data used for the sectoral approach are referred to as ‘observed’ energy-use figures. These are based on surveys and questionnaires administered by MBIE. The differences between ‘calculated’ and ‘observed’ figures are reported as statistical differences in the energy balance tables released along with </w:t>
      </w:r>
      <w:r w:rsidRPr="00241762">
        <w:rPr>
          <w:i/>
          <w:iCs/>
        </w:rPr>
        <w:t>Energy in New Zealand</w:t>
      </w:r>
      <w:r w:rsidRPr="00241762">
        <w:t xml:space="preserve"> (MBIE, 2021). Note that, due to the intervening time between the publication of </w:t>
      </w:r>
      <w:r w:rsidRPr="00241762">
        <w:rPr>
          <w:i/>
          <w:iCs/>
        </w:rPr>
        <w:t>Energy in New Zealand</w:t>
      </w:r>
      <w:r w:rsidRPr="00241762">
        <w:t xml:space="preserve"> and the preparation of this submission, some data revisions may have occurred.</w:t>
      </w:r>
    </w:p>
    <w:p w14:paraId="6A2C0974" w14:textId="77777777" w:rsidR="00BB3E1E" w:rsidRPr="00241762" w:rsidRDefault="00BB3E1E" w:rsidP="00BB3E1E">
      <w:pPr>
        <w:pStyle w:val="Heading4"/>
      </w:pPr>
      <w:bookmarkStart w:id="83" w:name="ippu"/>
      <w:r w:rsidRPr="00241762">
        <w:t>IPPU</w:t>
      </w:r>
    </w:p>
    <w:p w14:paraId="3673A41F" w14:textId="77777777" w:rsidR="00BB3E1E" w:rsidRPr="00241762" w:rsidRDefault="00BB3E1E" w:rsidP="0091592A">
      <w:pPr>
        <w:pStyle w:val="BodyText"/>
        <w:spacing w:before="100" w:after="100"/>
      </w:pPr>
      <w:r w:rsidRPr="00241762">
        <w:t xml:space="preserve">Activity data in the IPPU sector have been derived from a variety of sources. In the </w:t>
      </w:r>
      <w:r w:rsidRPr="00241762">
        <w:rPr>
          <w:i/>
          <w:iCs/>
        </w:rPr>
        <w:t>Mineral industry</w:t>
      </w:r>
      <w:r w:rsidRPr="00241762">
        <w:t xml:space="preserve"> category, the primary data source is emissions data reported under the NZ ETS. For the </w:t>
      </w:r>
      <w:r w:rsidRPr="00241762">
        <w:rPr>
          <w:i/>
          <w:iCs/>
        </w:rPr>
        <w:t>Chemical industry</w:t>
      </w:r>
      <w:r w:rsidRPr="00241762">
        <w:t xml:space="preserve"> and </w:t>
      </w:r>
      <w:r w:rsidRPr="00241762">
        <w:rPr>
          <w:i/>
          <w:iCs/>
        </w:rPr>
        <w:t>Metal industry</w:t>
      </w:r>
      <w:r w:rsidRPr="00241762">
        <w:t xml:space="preserve"> categories, data (including activity data) are provided </w:t>
      </w:r>
      <w:r w:rsidRPr="00506539">
        <w:rPr>
          <w:spacing w:val="-2"/>
        </w:rPr>
        <w:t xml:space="preserve">to MBIE in response to an annual survey. For some large-scale activities in the </w:t>
      </w:r>
      <w:r w:rsidRPr="00506539">
        <w:rPr>
          <w:i/>
          <w:iCs/>
          <w:spacing w:val="-2"/>
        </w:rPr>
        <w:t>Mineral industry</w:t>
      </w:r>
      <w:r w:rsidRPr="00506539">
        <w:rPr>
          <w:spacing w:val="-2"/>
        </w:rPr>
        <w:t>,</w:t>
      </w:r>
      <w:r w:rsidRPr="00241762">
        <w:t xml:space="preserve"> </w:t>
      </w:r>
      <w:r w:rsidRPr="00241762">
        <w:rPr>
          <w:i/>
          <w:iCs/>
        </w:rPr>
        <w:t>Chemical industry</w:t>
      </w:r>
      <w:r w:rsidRPr="00241762">
        <w:t xml:space="preserve"> and </w:t>
      </w:r>
      <w:r w:rsidRPr="00241762">
        <w:rPr>
          <w:i/>
          <w:iCs/>
        </w:rPr>
        <w:t>Metal industry</w:t>
      </w:r>
      <w:r w:rsidRPr="00241762">
        <w:t xml:space="preserve"> categories, which are carried out by only one or two companies in New Zealand, activity data are reported as confidential in the CRF tables.</w:t>
      </w:r>
    </w:p>
    <w:p w14:paraId="0D6C1234" w14:textId="640B76D9" w:rsidR="00BB3E1E" w:rsidRPr="00241762" w:rsidRDefault="00BB3E1E" w:rsidP="0091592A">
      <w:pPr>
        <w:pStyle w:val="BodyText"/>
        <w:spacing w:before="100" w:after="100"/>
      </w:pPr>
      <w:r w:rsidRPr="00241762">
        <w:t xml:space="preserve">Emissions data for glass production (2.A.3) are reported in category 2.A.4 to aggregate the data with other sources and preserve confidentiality. Also, data on emissions from hydrogen making at the Marsden Point oil refinery are reported in the </w:t>
      </w:r>
      <w:r w:rsidRPr="00241762">
        <w:rPr>
          <w:i/>
          <w:iCs/>
        </w:rPr>
        <w:t>Chemical industry</w:t>
      </w:r>
      <w:r w:rsidRPr="00241762">
        <w:t xml:space="preserve"> source </w:t>
      </w:r>
      <w:r w:rsidRPr="00241762">
        <w:lastRenderedPageBreak/>
        <w:t>category. This allows data from New Zealand’s only industrial hydrogen-making process, which</w:t>
      </w:r>
      <w:r w:rsidR="00506539">
        <w:t> </w:t>
      </w:r>
      <w:r w:rsidRPr="00241762">
        <w:t>is smaller in scale than refining, to be aggregated and kept confidential.</w:t>
      </w:r>
    </w:p>
    <w:p w14:paraId="06031FAC" w14:textId="48C0E9F6" w:rsidR="00BB3E1E" w:rsidRPr="00241762" w:rsidRDefault="00BB3E1E" w:rsidP="00BB3E1E">
      <w:pPr>
        <w:pStyle w:val="BodyText"/>
      </w:pPr>
      <w:r w:rsidRPr="00241762">
        <w:t xml:space="preserve">For the </w:t>
      </w:r>
      <w:r w:rsidRPr="00241762">
        <w:rPr>
          <w:i/>
          <w:iCs/>
        </w:rPr>
        <w:t>Product uses as substitutes for ODS</w:t>
      </w:r>
      <w:r w:rsidRPr="00241762">
        <w:rPr>
          <w:rStyle w:val="FootnoteReference"/>
        </w:rPr>
        <w:footnoteReference w:id="17"/>
      </w:r>
      <w:r w:rsidRPr="00241762">
        <w:t xml:space="preserve"> category, updated activity data have been obtained through a detailed annual survey covering the electrical, refrigeration and other industry participants (Verum Group Ltd, unpublished) as well as importers of HFCs and other</w:t>
      </w:r>
      <w:r w:rsidR="00506539">
        <w:t> </w:t>
      </w:r>
      <w:r w:rsidRPr="00241762">
        <w:t>substances in this category. New Zealand uses a combination of Tier 1 and Tier 2 methodologies for the IPPU sector. Tier 2 methods are used for all key categories.</w:t>
      </w:r>
    </w:p>
    <w:p w14:paraId="40E2C79A" w14:textId="77777777" w:rsidR="00BB3E1E" w:rsidRPr="00241762" w:rsidRDefault="00BB3E1E" w:rsidP="00BB3E1E">
      <w:pPr>
        <w:pStyle w:val="BodyText"/>
      </w:pPr>
      <w:r w:rsidRPr="00241762">
        <w:t xml:space="preserve">For the small amounts of indirect GHG emissions reported in the </w:t>
      </w:r>
      <w:r w:rsidRPr="00241762">
        <w:rPr>
          <w:i/>
          <w:iCs/>
        </w:rPr>
        <w:t>Chemical industry</w:t>
      </w:r>
      <w:r w:rsidRPr="00241762">
        <w:t xml:space="preserve"> category and the </w:t>
      </w:r>
      <w:r w:rsidRPr="00241762">
        <w:rPr>
          <w:i/>
          <w:iCs/>
        </w:rPr>
        <w:t>Other product manufacture and use</w:t>
      </w:r>
      <w:r w:rsidRPr="00241762">
        <w:t xml:space="preserve"> category, data were obtained by a detailed industry survey and analysis (CRL Energy Ltd, unpublished). Emissions and activity data have been extrapolated for the years since 2006.</w:t>
      </w:r>
    </w:p>
    <w:p w14:paraId="571028AC" w14:textId="77777777" w:rsidR="00BB3E1E" w:rsidRPr="00241762" w:rsidRDefault="00BB3E1E" w:rsidP="00BB3E1E">
      <w:pPr>
        <w:pStyle w:val="BodyText"/>
      </w:pPr>
      <w:r w:rsidRPr="00241762">
        <w:t>Country-specific emission factors have been used where available, including for emissions of indirect GHGs.</w:t>
      </w:r>
    </w:p>
    <w:bookmarkEnd w:id="83"/>
    <w:p w14:paraId="21F54480" w14:textId="77777777" w:rsidR="00BB3E1E" w:rsidRPr="00241762" w:rsidRDefault="00BB3E1E" w:rsidP="00BB3E1E">
      <w:pPr>
        <w:pStyle w:val="Heading4"/>
      </w:pPr>
      <w:r w:rsidRPr="00241762">
        <w:t>Agriculture</w:t>
      </w:r>
    </w:p>
    <w:p w14:paraId="59519932" w14:textId="038B0C24" w:rsidR="00BB3E1E" w:rsidRPr="00241762" w:rsidRDefault="00BB3E1E" w:rsidP="00BB3E1E">
      <w:pPr>
        <w:pStyle w:val="BodyText"/>
      </w:pPr>
      <w:r w:rsidRPr="00241762">
        <w:t>New Zealand has developed a largely Tier 2 (with some Tier 1 aspects) methodology with country-specific emission factors for a range of emission sources. This methodology uses detailed data on livestock population and production to calculate livestock energy requirements for four major livestock categories (</w:t>
      </w:r>
      <w:r w:rsidRPr="00241762">
        <w:rPr>
          <w:i/>
          <w:iCs/>
        </w:rPr>
        <w:t>Dairy cattle, Non-dairy</w:t>
      </w:r>
      <w:r w:rsidRPr="007A4318">
        <w:t xml:space="preserve"> (beef)</w:t>
      </w:r>
      <w:r w:rsidRPr="00241762">
        <w:rPr>
          <w:i/>
          <w:iCs/>
        </w:rPr>
        <w:t xml:space="preserve"> cattle, Sheep</w:t>
      </w:r>
      <w:r w:rsidR="00506539">
        <w:rPr>
          <w:i/>
          <w:iCs/>
        </w:rPr>
        <w:t> </w:t>
      </w:r>
      <w:r w:rsidRPr="00E35EE0">
        <w:t>and</w:t>
      </w:r>
      <w:r w:rsidRPr="00241762">
        <w:rPr>
          <w:i/>
          <w:iCs/>
        </w:rPr>
        <w:t xml:space="preserve"> Deer</w:t>
      </w:r>
      <w:r w:rsidRPr="00241762">
        <w:t>). Other livestock are classified as ‘minor’ due to their small total contribution to agricultural emissions and are outlined below. Animal population data are collected by Stats</w:t>
      </w:r>
      <w:r w:rsidR="00506539">
        <w:t> </w:t>
      </w:r>
      <w:r w:rsidRPr="00241762">
        <w:t>NZ. Productivity data are available from the Livestock Improvement Corporation and industry organisations, such as Beef + Lamb New Zealand Ltd and Deer Industry New Zealand, which regularly collect animal sector statistics. Statistics on animal carcass weights are collected by MPI and are used to derive live weights.</w:t>
      </w:r>
    </w:p>
    <w:p w14:paraId="2A6F03EF" w14:textId="0C718397" w:rsidR="00BB3E1E" w:rsidRPr="00241762" w:rsidRDefault="00BB3E1E" w:rsidP="00BB3E1E">
      <w:pPr>
        <w:pStyle w:val="BodyText"/>
      </w:pPr>
      <w:r w:rsidRPr="00241762">
        <w:t>Other livestock species combined (</w:t>
      </w:r>
      <w:r w:rsidRPr="00241762">
        <w:rPr>
          <w:i/>
          <w:iCs/>
        </w:rPr>
        <w:t>Swine</w:t>
      </w:r>
      <w:r w:rsidRPr="00241762">
        <w:t xml:space="preserve">, </w:t>
      </w:r>
      <w:r w:rsidRPr="00241762">
        <w:rPr>
          <w:i/>
          <w:iCs/>
        </w:rPr>
        <w:t>Goats</w:t>
      </w:r>
      <w:r w:rsidRPr="00241762">
        <w:t xml:space="preserve">, </w:t>
      </w:r>
      <w:r w:rsidRPr="00241762">
        <w:rPr>
          <w:i/>
          <w:iCs/>
        </w:rPr>
        <w:t>Horses</w:t>
      </w:r>
      <w:r w:rsidRPr="00241762">
        <w:t xml:space="preserve">, </w:t>
      </w:r>
      <w:r w:rsidR="007E618D">
        <w:t>l</w:t>
      </w:r>
      <w:r w:rsidRPr="007E618D">
        <w:t>lamas and alpacas</w:t>
      </w:r>
      <w:r w:rsidRPr="00241762">
        <w:t xml:space="preserve">, </w:t>
      </w:r>
      <w:r w:rsidRPr="00241762">
        <w:rPr>
          <w:i/>
          <w:iCs/>
        </w:rPr>
        <w:t>Mules and asses</w:t>
      </w:r>
      <w:r w:rsidRPr="00241762">
        <w:t xml:space="preserve"> and </w:t>
      </w:r>
      <w:r w:rsidRPr="00241762">
        <w:rPr>
          <w:i/>
          <w:iCs/>
        </w:rPr>
        <w:t>Poultry</w:t>
      </w:r>
      <w:r w:rsidRPr="00241762">
        <w:t>) account for only 0.5 per cent of New Zealand’s agriculture emissions. Emissions from these minor livestock species are estimated using Tier 1 methods. Where information is</w:t>
      </w:r>
      <w:r w:rsidR="00274FE8">
        <w:t> </w:t>
      </w:r>
      <w:r w:rsidRPr="00241762">
        <w:t>available, New Zealand has used country-specific emission methodology and factors. Rabbits</w:t>
      </w:r>
      <w:r w:rsidR="00274FE8">
        <w:t> </w:t>
      </w:r>
      <w:r w:rsidRPr="00241762">
        <w:t>are considered an agricultural pest in New Zealand and, based on expert opinion, only</w:t>
      </w:r>
      <w:r w:rsidR="0091592A">
        <w:t> </w:t>
      </w:r>
      <w:r w:rsidRPr="00241762">
        <w:t>a very small number of rabbits are farmed in the country (R Sanson, pers. comm., 2019). Subsequently, emissions from farmed rabbits are not estimated because their emissions are insignificant. There is no known farming of other fur-bearing animals in New Zealand.</w:t>
      </w:r>
    </w:p>
    <w:p w14:paraId="7FF6A975" w14:textId="69C7992E" w:rsidR="00BB3E1E" w:rsidRPr="00241762" w:rsidRDefault="00BB3E1E" w:rsidP="00BB3E1E">
      <w:pPr>
        <w:pStyle w:val="BodyText"/>
      </w:pPr>
      <w:r w:rsidRPr="00241762">
        <w:t xml:space="preserve">For estimating emissions from the </w:t>
      </w:r>
      <w:r w:rsidRPr="00241762">
        <w:rPr>
          <w:i/>
          <w:iCs/>
        </w:rPr>
        <w:t>Agricultural soils</w:t>
      </w:r>
      <w:r w:rsidRPr="00241762">
        <w:t xml:space="preserve"> category, New Zealand uses methodologies based on the 2006 IPCC Guidelines</w:t>
      </w:r>
      <w:r>
        <w:t xml:space="preserve"> (IPCC, 2006b)</w:t>
      </w:r>
      <w:r w:rsidRPr="00241762">
        <w:t>, the outputs of the Tier 2 livestock population characterisation, modelling of the livestock nutrition and energy requirements, and data on the application of nitrogen fertilisers. New Zealand uses a combination of default and country-specific emission factors and parameters to calculate N</w:t>
      </w:r>
      <w:r w:rsidRPr="00241762">
        <w:rPr>
          <w:vertAlign w:val="subscript"/>
        </w:rPr>
        <w:t>2</w:t>
      </w:r>
      <w:r w:rsidRPr="00241762">
        <w:t>O</w:t>
      </w:r>
      <w:r w:rsidR="0091592A">
        <w:t> </w:t>
      </w:r>
      <w:r w:rsidRPr="00241762">
        <w:t xml:space="preserve">emissions from the </w:t>
      </w:r>
      <w:r w:rsidRPr="00241762">
        <w:rPr>
          <w:i/>
          <w:iCs/>
        </w:rPr>
        <w:t>Agricultural soils</w:t>
      </w:r>
      <w:r w:rsidRPr="00241762">
        <w:t xml:space="preserve"> category. Details on these emission factors and parameters are </w:t>
      </w:r>
      <w:r>
        <w:t>given</w:t>
      </w:r>
      <w:r w:rsidRPr="00241762">
        <w:t xml:space="preserve"> in chapter 5 (tables 5.5.2, 5.5.3 and 5.5.4) and annex 3 (tables A3.1.5, A3.1.6 and A3.1.7). </w:t>
      </w:r>
      <w:r>
        <w:t>Chapter 5, t</w:t>
      </w:r>
      <w:r w:rsidRPr="00241762">
        <w:t>able 5.5.5 contains the parameters used to estimate emissions where specific mitigation technologies are used.</w:t>
      </w:r>
    </w:p>
    <w:p w14:paraId="34CFF234" w14:textId="73DD47E6" w:rsidR="00BB3E1E" w:rsidRPr="00241762" w:rsidRDefault="00BB3E1E" w:rsidP="00BB3E1E">
      <w:pPr>
        <w:pStyle w:val="BodyText"/>
      </w:pPr>
      <w:r w:rsidRPr="00241762">
        <w:lastRenderedPageBreak/>
        <w:t xml:space="preserve">Activity data for the </w:t>
      </w:r>
      <w:r w:rsidRPr="00241762">
        <w:rPr>
          <w:i/>
          <w:iCs/>
        </w:rPr>
        <w:t>Liming</w:t>
      </w:r>
      <w:r w:rsidRPr="00241762">
        <w:t xml:space="preserve"> category are obtained from Stats NZ, and activity data on the use</w:t>
      </w:r>
      <w:r w:rsidR="00440BCF">
        <w:t> </w:t>
      </w:r>
      <w:r w:rsidRPr="00241762">
        <w:t>of synthetic fertiliser containing nitrogen are provided by the Fertiliser Association of New</w:t>
      </w:r>
      <w:r w:rsidR="00440BCF">
        <w:t> </w:t>
      </w:r>
      <w:r w:rsidRPr="00241762">
        <w:t xml:space="preserve">Zealand. A Tier 2 (model) approach is used to calculate emissions from the </w:t>
      </w:r>
      <w:r w:rsidRPr="00241762">
        <w:rPr>
          <w:i/>
          <w:iCs/>
        </w:rPr>
        <w:t>Burning of</w:t>
      </w:r>
      <w:r w:rsidR="00440BCF">
        <w:rPr>
          <w:i/>
          <w:iCs/>
        </w:rPr>
        <w:t> </w:t>
      </w:r>
      <w:r w:rsidRPr="00241762">
        <w:rPr>
          <w:i/>
          <w:iCs/>
        </w:rPr>
        <w:t>agricultural residues</w:t>
      </w:r>
      <w:r w:rsidRPr="00241762">
        <w:t xml:space="preserve"> category. </w:t>
      </w:r>
      <w:r>
        <w:t>N</w:t>
      </w:r>
      <w:r w:rsidRPr="00241762">
        <w:t>o rice cultivation or CO</w:t>
      </w:r>
      <w:r w:rsidRPr="00241762">
        <w:rPr>
          <w:vertAlign w:val="subscript"/>
        </w:rPr>
        <w:t>2</w:t>
      </w:r>
      <w:r w:rsidRPr="00241762">
        <w:t xml:space="preserve"> emissions from other carbon-containing fertilisers</w:t>
      </w:r>
      <w:r>
        <w:t xml:space="preserve"> occur</w:t>
      </w:r>
      <w:r w:rsidRPr="00241762">
        <w:t xml:space="preserve"> in New Zealand.</w:t>
      </w:r>
    </w:p>
    <w:p w14:paraId="288B82BE" w14:textId="77777777" w:rsidR="00BB3E1E" w:rsidRPr="00241762" w:rsidRDefault="00BB3E1E" w:rsidP="00BB3E1E">
      <w:pPr>
        <w:pStyle w:val="Heading4"/>
      </w:pPr>
      <w:bookmarkStart w:id="84" w:name="lulucf-and-kp-lulucf"/>
      <w:r w:rsidRPr="00241762">
        <w:t>LULUCF and KP-LULUCF</w:t>
      </w:r>
    </w:p>
    <w:p w14:paraId="0B23824D" w14:textId="562E5EBD" w:rsidR="00BB3E1E" w:rsidRPr="00241762" w:rsidRDefault="00BB3E1E" w:rsidP="00BB3E1E">
      <w:pPr>
        <w:pStyle w:val="BodyText"/>
      </w:pPr>
      <w:r w:rsidRPr="00241762">
        <w:t>New Zealand uses a combination of Tier 1, Tier 2 and Tier 3 methodologies for estimating emissions and removals for the LULUCF sector under the Convention and</w:t>
      </w:r>
      <w:r>
        <w:t xml:space="preserve"> for</w:t>
      </w:r>
      <w:r w:rsidRPr="00241762">
        <w:t xml:space="preserve"> Article 3.3 and Article 3.4 activities under the Kyoto Protocol. Tier 2 or Tier 3 approaches have been applied to</w:t>
      </w:r>
      <w:r w:rsidR="00440BCF">
        <w:t> </w:t>
      </w:r>
      <w:r w:rsidRPr="00241762">
        <w:t xml:space="preserve">estimate biomass carbon in the pools with the most living biomass at maturity: </w:t>
      </w:r>
      <w:r w:rsidRPr="00241762">
        <w:rPr>
          <w:i/>
          <w:iCs/>
        </w:rPr>
        <w:t>Pre-1990 natural forest</w:t>
      </w:r>
      <w:r w:rsidRPr="00241762">
        <w:t xml:space="preserve">, </w:t>
      </w:r>
      <w:r w:rsidRPr="00241762">
        <w:rPr>
          <w:i/>
          <w:iCs/>
        </w:rPr>
        <w:t>Pre-1990 planted forest</w:t>
      </w:r>
      <w:r w:rsidRPr="00241762">
        <w:t xml:space="preserve">, </w:t>
      </w:r>
      <w:r w:rsidRPr="00241762">
        <w:rPr>
          <w:i/>
          <w:iCs/>
        </w:rPr>
        <w:t>Post-1989 natural forest</w:t>
      </w:r>
      <w:r w:rsidRPr="00241762">
        <w:t xml:space="preserve">, </w:t>
      </w:r>
      <w:r w:rsidRPr="00241762">
        <w:rPr>
          <w:i/>
          <w:iCs/>
        </w:rPr>
        <w:t>Post-1989 planted forest</w:t>
      </w:r>
      <w:r w:rsidRPr="00241762">
        <w:t xml:space="preserve">, </w:t>
      </w:r>
      <w:r w:rsidRPr="00241762">
        <w:rPr>
          <w:i/>
          <w:iCs/>
        </w:rPr>
        <w:t>Perennial cropland</w:t>
      </w:r>
      <w:r w:rsidRPr="00241762">
        <w:t xml:space="preserve"> and </w:t>
      </w:r>
      <w:r w:rsidRPr="00241762">
        <w:rPr>
          <w:i/>
          <w:iCs/>
        </w:rPr>
        <w:t>Grassland with woody biomass</w:t>
      </w:r>
      <w:r w:rsidRPr="00241762">
        <w:t xml:space="preserve">. For all other land-use categories, a Tier 1 approach is used for estimating biomass carbon. A Tier 2 modelling approach has also been used to estimate carbon changes in the mineral soil component of the soil organic matter pool, while Tier 1 is used for organic soils. Furthermore, a Tier 2 approach has been used to estimate carbon stock changes in the </w:t>
      </w:r>
      <w:r w:rsidRPr="00241762">
        <w:rPr>
          <w:i/>
          <w:iCs/>
        </w:rPr>
        <w:t>Harvested wood products</w:t>
      </w:r>
      <w:r w:rsidRPr="00241762">
        <w:t xml:space="preserve"> category.</w:t>
      </w:r>
    </w:p>
    <w:p w14:paraId="6C4A7E31" w14:textId="77777777" w:rsidR="00BB3E1E" w:rsidRPr="00241762" w:rsidRDefault="00BB3E1E" w:rsidP="00BB3E1E">
      <w:pPr>
        <w:pStyle w:val="BodyText"/>
      </w:pPr>
      <w:r w:rsidRPr="00241762">
        <w:t>New Zealand has established a data collection and modelling program for the LULUCF sector called the Land Use and Carbon Analysis System (LUCAS). The LUCAS program includes:</w:t>
      </w:r>
    </w:p>
    <w:p w14:paraId="00D7FCD0" w14:textId="77777777" w:rsidR="00BB3E1E" w:rsidRPr="00235981" w:rsidRDefault="00BB3E1E" w:rsidP="00BB3E1E">
      <w:pPr>
        <w:pStyle w:val="Bullet"/>
        <w:tabs>
          <w:tab w:val="num" w:pos="567"/>
        </w:tabs>
      </w:pPr>
      <w:r w:rsidRPr="00241762">
        <w:t>use of field plot measur</w:t>
      </w:r>
      <w:r w:rsidRPr="00235981">
        <w:t>ements for natural and planted forests</w:t>
      </w:r>
    </w:p>
    <w:p w14:paraId="790A7753" w14:textId="77777777" w:rsidR="00BB3E1E" w:rsidRPr="00235981" w:rsidRDefault="00BB3E1E" w:rsidP="00BB3E1E">
      <w:pPr>
        <w:pStyle w:val="Bullet"/>
        <w:tabs>
          <w:tab w:val="num" w:pos="567"/>
        </w:tabs>
      </w:pPr>
      <w:r w:rsidRPr="00235981">
        <w:t>use of allometric models and a forest carbon modelling system to estimate carbon stock and carbon stock change in natural and planted forests respectively (Paul et al., 2020, unpublished(a), unpublished(b), unpublished(c); Paul and Wakelin, unpublished)</w:t>
      </w:r>
    </w:p>
    <w:p w14:paraId="21909B19" w14:textId="77777777" w:rsidR="00BB3E1E" w:rsidRPr="00235981" w:rsidRDefault="00BB3E1E" w:rsidP="00BB3E1E">
      <w:pPr>
        <w:pStyle w:val="Bullet"/>
        <w:tabs>
          <w:tab w:val="num" w:pos="567"/>
        </w:tabs>
      </w:pPr>
      <w:r w:rsidRPr="00235981">
        <w:t>wall-to-wall land use mapping for 1990, 2008, 2012 and 2016 using satellite and aircraft remotely sensed imagery, with additional information on post-1989 forest afforestation and deforestation of planted forest used for estimating the change</w:t>
      </w:r>
    </w:p>
    <w:p w14:paraId="439ADB55" w14:textId="77777777" w:rsidR="00BB3E1E" w:rsidRPr="00241762" w:rsidRDefault="00BB3E1E" w:rsidP="00BB3E1E">
      <w:pPr>
        <w:pStyle w:val="Bullet"/>
        <w:tabs>
          <w:tab w:val="num" w:pos="567"/>
        </w:tabs>
      </w:pPr>
      <w:r w:rsidRPr="00235981">
        <w:t>development of databases</w:t>
      </w:r>
      <w:r w:rsidRPr="00241762">
        <w:t xml:space="preserve"> and applications to store and process all data associated with LULUCF activities.</w:t>
      </w:r>
    </w:p>
    <w:bookmarkEnd w:id="84"/>
    <w:p w14:paraId="26DD3023" w14:textId="77777777" w:rsidR="00BB3E1E" w:rsidRPr="00241762" w:rsidRDefault="00BB3E1E" w:rsidP="00BB3E1E">
      <w:pPr>
        <w:pStyle w:val="Heading4"/>
      </w:pPr>
      <w:r w:rsidRPr="00241762">
        <w:t>Waste</w:t>
      </w:r>
    </w:p>
    <w:p w14:paraId="0E8C638B" w14:textId="77777777" w:rsidR="00BB3E1E" w:rsidRPr="00241762" w:rsidRDefault="00BB3E1E" w:rsidP="00BB3E1E">
      <w:pPr>
        <w:pStyle w:val="BodyText"/>
      </w:pPr>
      <w:r w:rsidRPr="00241762">
        <w:t>Activity data</w:t>
      </w:r>
      <w:r>
        <w:t xml:space="preserve"> for the Waste sector</w:t>
      </w:r>
      <w:r w:rsidRPr="00241762">
        <w:t xml:space="preserve"> have come from a variety of sources. Municipal solid waste disposal data, from mandatory reporting under the Waste Minimisation Act 2008 and from the NZ ETS, were used for the years for which they are available (2010 onwards). Activity data for all other sources were based on specific surveys. Interpolation based on gross domestic product (GDP) or population is used for other years.</w:t>
      </w:r>
    </w:p>
    <w:p w14:paraId="3AD38125" w14:textId="77777777" w:rsidR="00BB3E1E" w:rsidRPr="00241762" w:rsidRDefault="00BB3E1E" w:rsidP="00BB3E1E">
      <w:pPr>
        <w:pStyle w:val="BodyText"/>
      </w:pPr>
      <w:r w:rsidRPr="00241762">
        <w:t xml:space="preserve">New Zealand uses Tier 2 methodologies for estimating emissions from the </w:t>
      </w:r>
      <w:r w:rsidRPr="00241762">
        <w:rPr>
          <w:i/>
          <w:iCs/>
        </w:rPr>
        <w:t>Solid waste disposal</w:t>
      </w:r>
      <w:r w:rsidRPr="00241762">
        <w:t xml:space="preserve"> source category, which is a key category, and for some wastewater emissions. Tier 1 methods are used to estimate other emissions from the Waste sector.</w:t>
      </w:r>
    </w:p>
    <w:p w14:paraId="5F0E4460" w14:textId="55198B69" w:rsidR="00BB3E1E" w:rsidRPr="00241762" w:rsidRDefault="00BB3E1E" w:rsidP="00BB3E1E">
      <w:pPr>
        <w:pStyle w:val="BodyText"/>
      </w:pPr>
      <w:r w:rsidRPr="00241762">
        <w:t xml:space="preserve">Country-specific emission factors have been used where available, including parameters for municipal waste (Eunomia, unpublished) and for treatment of some types of industrial wastewater (Cardno, </w:t>
      </w:r>
      <w:r w:rsidR="0005592A">
        <w:t>2015</w:t>
      </w:r>
      <w:r w:rsidRPr="00241762">
        <w:t>).</w:t>
      </w:r>
    </w:p>
    <w:p w14:paraId="41621235" w14:textId="77777777" w:rsidR="00BB3E1E" w:rsidRPr="00241762" w:rsidRDefault="00BB3E1E" w:rsidP="00BB3E1E">
      <w:pPr>
        <w:pStyle w:val="BodyText"/>
      </w:pPr>
      <w:r w:rsidRPr="00241762">
        <w:t>Methodological issues are discussed under each source category in chapter 7.</w:t>
      </w:r>
    </w:p>
    <w:p w14:paraId="6A615457" w14:textId="77777777" w:rsidR="00BB3E1E" w:rsidRPr="00241762" w:rsidRDefault="00BB3E1E" w:rsidP="00BB3E1E">
      <w:pPr>
        <w:pStyle w:val="Heading4"/>
      </w:pPr>
      <w:r w:rsidRPr="00241762">
        <w:lastRenderedPageBreak/>
        <w:t>Other sector (Tokelau)</w:t>
      </w:r>
    </w:p>
    <w:p w14:paraId="32ED8CAF" w14:textId="77777777" w:rsidR="00BB3E1E" w:rsidRPr="00241762" w:rsidRDefault="00BB3E1E" w:rsidP="00BB3E1E">
      <w:pPr>
        <w:pStyle w:val="BodyText"/>
      </w:pPr>
      <w:r w:rsidRPr="00241762">
        <w:t>The Tokelau National Statistics Office collects and processes activity data from Tokelau for inventory preparation. Chapter 8, table 8.1.2 contains the key sources of the activity data from Tokelau used in Tokelau’s GHG inventory.</w:t>
      </w:r>
    </w:p>
    <w:p w14:paraId="5E3AF1CF" w14:textId="77777777" w:rsidR="00BB3E1E" w:rsidRPr="00241762" w:rsidRDefault="00BB3E1E" w:rsidP="00BB3E1E">
      <w:pPr>
        <w:pStyle w:val="Heading2"/>
      </w:pPr>
      <w:bookmarkStart w:id="85" w:name="_Toc99659099"/>
      <w:bookmarkStart w:id="86" w:name="key-categories"/>
      <w:bookmarkEnd w:id="82"/>
      <w:r w:rsidRPr="00241762">
        <w:t xml:space="preserve">1.5 </w:t>
      </w:r>
      <w:r>
        <w:tab/>
      </w:r>
      <w:r w:rsidRPr="00241762">
        <w:t>Key categories</w:t>
      </w:r>
      <w:bookmarkEnd w:id="85"/>
    </w:p>
    <w:p w14:paraId="165B830B" w14:textId="77777777" w:rsidR="00BB3E1E" w:rsidRPr="00241762" w:rsidRDefault="00BB3E1E" w:rsidP="00440BCF">
      <w:pPr>
        <w:pStyle w:val="Heading3"/>
        <w:spacing w:before="240"/>
      </w:pPr>
      <w:bookmarkStart w:id="87" w:name="reporting-under-the-convention"/>
      <w:r w:rsidRPr="00241762">
        <w:t xml:space="preserve">1.5.1 </w:t>
      </w:r>
      <w:r>
        <w:tab/>
      </w:r>
      <w:r w:rsidRPr="00241762">
        <w:t>Reporting under the Convention</w:t>
      </w:r>
    </w:p>
    <w:p w14:paraId="4FBF059A" w14:textId="77777777" w:rsidR="00BB3E1E" w:rsidRPr="00241762" w:rsidRDefault="00BB3E1E" w:rsidP="00BB3E1E">
      <w:pPr>
        <w:pStyle w:val="BodyText"/>
      </w:pPr>
      <w:r w:rsidRPr="00241762">
        <w:t>The 2006 IPCC Guidelines</w:t>
      </w:r>
      <w:r>
        <w:t xml:space="preserve"> (IPPC, 2006b)</w:t>
      </w:r>
      <w:r w:rsidRPr="00241762">
        <w:t xml:space="preserve"> identify a key category as:</w:t>
      </w:r>
    </w:p>
    <w:p w14:paraId="6E46BF28" w14:textId="77777777" w:rsidR="00BB3E1E" w:rsidRPr="00241762" w:rsidRDefault="00BB3E1E" w:rsidP="00BB3E1E">
      <w:pPr>
        <w:pStyle w:val="Quote"/>
      </w:pPr>
      <w:r w:rsidRPr="00241762">
        <w:t>…</w:t>
      </w:r>
      <w:r>
        <w:t xml:space="preserve"> </w:t>
      </w:r>
      <w:r w:rsidRPr="00241762">
        <w:t>one that is prioritised within the National Inventory System because its estimate has a significant influence on a country’s total Inventory of direct greenhouse gases in terms of the absolute level of emissions, the trend in emissions, or both.</w:t>
      </w:r>
    </w:p>
    <w:p w14:paraId="2B20560C" w14:textId="77777777" w:rsidR="00BB3E1E" w:rsidRPr="00241762" w:rsidRDefault="00BB3E1E" w:rsidP="00BB3E1E">
      <w:pPr>
        <w:pStyle w:val="BodyText"/>
      </w:pPr>
      <w:r w:rsidRPr="00241762">
        <w:t>Key categories identified within the inventory are used to prioritise inventory improvements.</w:t>
      </w:r>
    </w:p>
    <w:p w14:paraId="1291CF39" w14:textId="77777777" w:rsidR="00BB3E1E" w:rsidRPr="00241762" w:rsidRDefault="00BB3E1E" w:rsidP="00BB3E1E">
      <w:pPr>
        <w:pStyle w:val="BodyText"/>
      </w:pPr>
      <w:r w:rsidRPr="00241762">
        <w:t xml:space="preserve">The key categories in the inventory have been assessed using the </w:t>
      </w:r>
      <w:r>
        <w:t>a</w:t>
      </w:r>
      <w:r w:rsidRPr="00241762">
        <w:t xml:space="preserve">pproach 1 level (L1) and </w:t>
      </w:r>
      <w:r>
        <w:t>a</w:t>
      </w:r>
      <w:r w:rsidRPr="00241762">
        <w:t>pproach 1 trend (T1) methodologies from the 2006 IPCC Guidelines</w:t>
      </w:r>
      <w:r>
        <w:t xml:space="preserve"> (IPPC, 2006b). This is</w:t>
      </w:r>
      <w:r w:rsidRPr="00241762">
        <w:t xml:space="preserve"> because some categories in the inventory apply default uncertainty values for emission</w:t>
      </w:r>
      <w:r>
        <w:t>s</w:t>
      </w:r>
      <w:r w:rsidRPr="00241762">
        <w:t xml:space="preserve"> estimates, and developing country-specific uncertainty values is resource prohibitive.</w:t>
      </w:r>
    </w:p>
    <w:p w14:paraId="7EC76E68" w14:textId="3DB191EF" w:rsidR="00BB3E1E" w:rsidRPr="00241762" w:rsidRDefault="00BB3E1E" w:rsidP="00BB3E1E">
      <w:pPr>
        <w:pStyle w:val="BodyText"/>
      </w:pPr>
      <w:r w:rsidRPr="00241762">
        <w:t>The key category analysis identifies key categories of emissions and removals as those that sum to 95 per cent of the gross or net level of emissions and those that are within the top 95</w:t>
      </w:r>
      <w:r w:rsidR="00440BCF">
        <w:t> </w:t>
      </w:r>
      <w:r w:rsidRPr="00241762">
        <w:t>per cent of the categories that contribute to the change between 1990 and 2020, or the trend of emissions. New Zealand does not currently use qualitative assessment to identify any key categories. The key categories identified in the 2020 year are summarised in table 1.5.1. In</w:t>
      </w:r>
      <w:r w:rsidR="00440BCF">
        <w:t> </w:t>
      </w:r>
      <w:r w:rsidRPr="00241762">
        <w:t>accordance with the 2006 IPCC Guidelines</w:t>
      </w:r>
      <w:r>
        <w:t xml:space="preserve"> (IPCC, 2006b)</w:t>
      </w:r>
      <w:r w:rsidRPr="00241762">
        <w:t>, the key category analysis is performed once for the inventory excluding the LULUCF sector and then repeated for the inventory including the LULUCF sector. Non-LULUCF categories that are identified as key in the</w:t>
      </w:r>
      <w:r w:rsidR="00440BCF">
        <w:t> </w:t>
      </w:r>
      <w:r w:rsidRPr="00241762">
        <w:t xml:space="preserve">first analysis are still counted even when they are not identified as a key category </w:t>
      </w:r>
      <w:r>
        <w:t>in the analysis that includes</w:t>
      </w:r>
      <w:r w:rsidRPr="00241762">
        <w:t xml:space="preserve"> the LULUCF sector.</w:t>
      </w:r>
    </w:p>
    <w:p w14:paraId="43E38E88" w14:textId="0AC60491" w:rsidR="00BB3E1E" w:rsidRPr="00241762" w:rsidRDefault="00BB3E1E" w:rsidP="00BB3E1E">
      <w:pPr>
        <w:pStyle w:val="BodyText"/>
      </w:pPr>
      <w:r w:rsidRPr="00241762">
        <w:t>The key category analysis performed for the inventory differs from that produced in the CRF</w:t>
      </w:r>
      <w:r w:rsidR="00440BCF">
        <w:t> </w:t>
      </w:r>
      <w:r w:rsidRPr="00241762">
        <w:t>tables, because the level of aggregation of categories is adjusted to better reflect New</w:t>
      </w:r>
      <w:r w:rsidR="00440BCF">
        <w:t> </w:t>
      </w:r>
      <w:r w:rsidRPr="00241762">
        <w:t>Zealand’s emissions profile. Specifically, a large proportion of emissions from the Energy</w:t>
      </w:r>
      <w:r w:rsidR="00440BCF">
        <w:t> </w:t>
      </w:r>
      <w:r w:rsidRPr="00241762">
        <w:t xml:space="preserve">and Agriculture sectors </w:t>
      </w:r>
      <w:r>
        <w:t>is</w:t>
      </w:r>
      <w:r w:rsidRPr="00241762">
        <w:t xml:space="preserve"> disaggregated further than the key category analysis generated in the CRF tables, to allow for a more evenly proportioned analysis of categories.</w:t>
      </w:r>
    </w:p>
    <w:p w14:paraId="0BDFCFE6" w14:textId="77777777" w:rsidR="00BB3E1E" w:rsidRPr="00241762" w:rsidRDefault="00BB3E1E" w:rsidP="00BB3E1E">
      <w:pPr>
        <w:pStyle w:val="BodyText"/>
      </w:pPr>
      <w:r w:rsidRPr="00241762">
        <w:t xml:space="preserve">Table 1.5.2(a) identifies that the major contributions to the level analysis of net emissions for </w:t>
      </w:r>
      <w:r w:rsidRPr="00217AC0">
        <w:t xml:space="preserve">2020 </w:t>
      </w:r>
      <w:r w:rsidRPr="00241762">
        <w:t>are:</w:t>
      </w:r>
    </w:p>
    <w:p w14:paraId="243771E3" w14:textId="77777777" w:rsidR="00BB3E1E" w:rsidRPr="00EA4F34" w:rsidRDefault="00BB3E1E" w:rsidP="00BB3E1E">
      <w:pPr>
        <w:pStyle w:val="Bullet"/>
        <w:tabs>
          <w:tab w:val="num" w:pos="567"/>
        </w:tabs>
      </w:pPr>
      <w:r w:rsidRPr="00241762">
        <w:t>CO</w:t>
      </w:r>
      <w:r w:rsidRPr="00241762">
        <w:rPr>
          <w:vertAlign w:val="subscript"/>
        </w:rPr>
        <w:t>2</w:t>
      </w:r>
      <w:r w:rsidRPr="00241762">
        <w:t xml:space="preserve"> emissions fro</w:t>
      </w:r>
      <w:r w:rsidRPr="00EA4F34">
        <w:t xml:space="preserve">m </w:t>
      </w:r>
      <w:r w:rsidRPr="00FC393A">
        <w:rPr>
          <w:i/>
          <w:iCs/>
        </w:rPr>
        <w:t xml:space="preserve">Forest land – Forest </w:t>
      </w:r>
      <w:r>
        <w:rPr>
          <w:i/>
          <w:iCs/>
        </w:rPr>
        <w:t>l</w:t>
      </w:r>
      <w:r w:rsidRPr="00FC393A">
        <w:rPr>
          <w:i/>
          <w:iCs/>
        </w:rPr>
        <w:t xml:space="preserve">and </w:t>
      </w:r>
      <w:r>
        <w:rPr>
          <w:i/>
          <w:iCs/>
        </w:rPr>
        <w:t>r</w:t>
      </w:r>
      <w:r w:rsidRPr="00FC393A">
        <w:rPr>
          <w:i/>
          <w:iCs/>
        </w:rPr>
        <w:t xml:space="preserve">emaining </w:t>
      </w:r>
      <w:r>
        <w:rPr>
          <w:i/>
          <w:iCs/>
        </w:rPr>
        <w:t>f</w:t>
      </w:r>
      <w:r w:rsidRPr="00FC393A">
        <w:rPr>
          <w:i/>
          <w:iCs/>
        </w:rPr>
        <w:t xml:space="preserve">orest </w:t>
      </w:r>
      <w:r>
        <w:rPr>
          <w:i/>
          <w:iCs/>
        </w:rPr>
        <w:t>l</w:t>
      </w:r>
      <w:r w:rsidRPr="00FC393A">
        <w:rPr>
          <w:i/>
          <w:iCs/>
        </w:rPr>
        <w:t>and</w:t>
      </w:r>
      <w:r w:rsidRPr="00EA4F34">
        <w:t xml:space="preserve"> (14.1 per cent)</w:t>
      </w:r>
    </w:p>
    <w:p w14:paraId="7E18E84E" w14:textId="77777777" w:rsidR="00BB3E1E" w:rsidRPr="00EA4F34" w:rsidRDefault="00BB3E1E" w:rsidP="00BB3E1E">
      <w:pPr>
        <w:pStyle w:val="Bullet"/>
        <w:tabs>
          <w:tab w:val="num" w:pos="567"/>
        </w:tabs>
      </w:pPr>
      <w:r w:rsidRPr="00EA4F34">
        <w:t>CH</w:t>
      </w:r>
      <w:r w:rsidRPr="00B62529">
        <w:rPr>
          <w:sz w:val="20"/>
          <w:szCs w:val="20"/>
          <w:vertAlign w:val="subscript"/>
        </w:rPr>
        <w:t>4</w:t>
      </w:r>
      <w:r w:rsidRPr="00EA4F34">
        <w:t xml:space="preserve"> emissions from </w:t>
      </w:r>
      <w:r w:rsidRPr="00FC393A">
        <w:rPr>
          <w:i/>
          <w:iCs/>
        </w:rPr>
        <w:t>Dairy cattle – Enteric fermentation</w:t>
      </w:r>
      <w:r w:rsidRPr="00EA4F34">
        <w:t xml:space="preserve"> (12.9 per cent)</w:t>
      </w:r>
    </w:p>
    <w:p w14:paraId="1C94E62F" w14:textId="77777777" w:rsidR="00BB3E1E" w:rsidRPr="00EA4F34" w:rsidRDefault="00BB3E1E" w:rsidP="00BB3E1E">
      <w:pPr>
        <w:pStyle w:val="Bullet"/>
        <w:tabs>
          <w:tab w:val="num" w:pos="567"/>
        </w:tabs>
      </w:pPr>
      <w:r w:rsidRPr="00EA4F34">
        <w:t>CO</w:t>
      </w:r>
      <w:r w:rsidRPr="00FC393A">
        <w:rPr>
          <w:vertAlign w:val="subscript"/>
        </w:rPr>
        <w:t>2</w:t>
      </w:r>
      <w:r w:rsidRPr="00EA4F34">
        <w:t xml:space="preserve"> emissions from </w:t>
      </w:r>
      <w:r w:rsidRPr="00FC393A">
        <w:rPr>
          <w:i/>
          <w:iCs/>
        </w:rPr>
        <w:t>Road transportation – Liquid fuels</w:t>
      </w:r>
      <w:r w:rsidRPr="00EA4F34">
        <w:t xml:space="preserve"> (10.9 per cent)</w:t>
      </w:r>
    </w:p>
    <w:p w14:paraId="174F57A4" w14:textId="77777777" w:rsidR="00BB3E1E" w:rsidRPr="00241762" w:rsidRDefault="00BB3E1E" w:rsidP="00BB3E1E">
      <w:pPr>
        <w:pStyle w:val="Bullet"/>
        <w:tabs>
          <w:tab w:val="num" w:pos="567"/>
        </w:tabs>
      </w:pPr>
      <w:r w:rsidRPr="00EA4F34">
        <w:t>CH</w:t>
      </w:r>
      <w:r w:rsidRPr="00FC393A">
        <w:rPr>
          <w:vertAlign w:val="subscript"/>
        </w:rPr>
        <w:t>4</w:t>
      </w:r>
      <w:r w:rsidRPr="00EA4F34">
        <w:t xml:space="preserve"> emissions </w:t>
      </w:r>
      <w:r w:rsidRPr="00241762">
        <w:t xml:space="preserve">from </w:t>
      </w:r>
      <w:r w:rsidRPr="00B62529">
        <w:rPr>
          <w:i/>
          <w:iCs/>
        </w:rPr>
        <w:t>Sheep – Enteric fermentation</w:t>
      </w:r>
      <w:r w:rsidRPr="00241762">
        <w:t xml:space="preserve"> (7.6 per cent).</w:t>
      </w:r>
    </w:p>
    <w:p w14:paraId="59E1FBC1" w14:textId="331C9D73" w:rsidR="00BB3E1E" w:rsidRPr="00241762" w:rsidRDefault="00BB3E1E" w:rsidP="00BB3E1E">
      <w:pPr>
        <w:pStyle w:val="BodyText"/>
      </w:pPr>
      <w:r w:rsidRPr="00241762">
        <w:t>As detailed in table 1.5.3(a), the key categories that were identified as having the largest relative influence on the trend, when compared with the average change in net emissions from</w:t>
      </w:r>
      <w:r w:rsidR="00440BCF">
        <w:t> </w:t>
      </w:r>
      <w:r w:rsidRPr="00217AC0">
        <w:t>1990 to 2020, a</w:t>
      </w:r>
      <w:r w:rsidRPr="00241762">
        <w:t>re:</w:t>
      </w:r>
    </w:p>
    <w:p w14:paraId="4D83F866" w14:textId="4C4C1637" w:rsidR="00BB3E1E" w:rsidRPr="00241762" w:rsidRDefault="00BB3E1E" w:rsidP="00BB3E1E">
      <w:pPr>
        <w:pStyle w:val="Bullet"/>
        <w:tabs>
          <w:tab w:val="num" w:pos="567"/>
        </w:tabs>
      </w:pPr>
      <w:r w:rsidRPr="00241762">
        <w:lastRenderedPageBreak/>
        <w:t>CO</w:t>
      </w:r>
      <w:r w:rsidRPr="00241762">
        <w:rPr>
          <w:vertAlign w:val="subscript"/>
        </w:rPr>
        <w:t>2</w:t>
      </w:r>
      <w:r w:rsidRPr="00241762">
        <w:t xml:space="preserve"> emissions from </w:t>
      </w:r>
      <w:r w:rsidRPr="00241762">
        <w:rPr>
          <w:i/>
          <w:iCs/>
        </w:rPr>
        <w:t xml:space="preserve">Forest land – Forest </w:t>
      </w:r>
      <w:r>
        <w:rPr>
          <w:i/>
          <w:iCs/>
        </w:rPr>
        <w:t>l</w:t>
      </w:r>
      <w:r w:rsidRPr="00241762">
        <w:rPr>
          <w:i/>
          <w:iCs/>
        </w:rPr>
        <w:t xml:space="preserve">and </w:t>
      </w:r>
      <w:r>
        <w:rPr>
          <w:i/>
          <w:iCs/>
        </w:rPr>
        <w:t>r</w:t>
      </w:r>
      <w:r w:rsidRPr="00241762">
        <w:rPr>
          <w:i/>
          <w:iCs/>
        </w:rPr>
        <w:t xml:space="preserve">emaining </w:t>
      </w:r>
      <w:r>
        <w:rPr>
          <w:i/>
          <w:iCs/>
        </w:rPr>
        <w:t>f</w:t>
      </w:r>
      <w:r w:rsidRPr="00241762">
        <w:rPr>
          <w:i/>
          <w:iCs/>
        </w:rPr>
        <w:t xml:space="preserve">orest </w:t>
      </w:r>
      <w:r>
        <w:rPr>
          <w:i/>
          <w:iCs/>
        </w:rPr>
        <w:t>l</w:t>
      </w:r>
      <w:r w:rsidRPr="00241762">
        <w:rPr>
          <w:i/>
          <w:iCs/>
        </w:rPr>
        <w:t>and</w:t>
      </w:r>
      <w:r w:rsidRPr="00241762">
        <w:t xml:space="preserve"> (19.0 per cent as a</w:t>
      </w:r>
      <w:r w:rsidR="00440BCF">
        <w:t> </w:t>
      </w:r>
      <w:r w:rsidRPr="00241762">
        <w:t>decrease)</w:t>
      </w:r>
    </w:p>
    <w:p w14:paraId="5ADD405D" w14:textId="77777777" w:rsidR="00BB3E1E" w:rsidRPr="00241762" w:rsidRDefault="00BB3E1E" w:rsidP="00BB3E1E">
      <w:pPr>
        <w:pStyle w:val="Bullet"/>
        <w:tabs>
          <w:tab w:val="num" w:pos="567"/>
        </w:tabs>
      </w:pPr>
      <w:r w:rsidRPr="00241762">
        <w:t>CH</w:t>
      </w:r>
      <w:r w:rsidRPr="00241762">
        <w:rPr>
          <w:vertAlign w:val="subscript"/>
        </w:rPr>
        <w:t>4</w:t>
      </w:r>
      <w:r w:rsidRPr="00241762">
        <w:t xml:space="preserve"> emissions from </w:t>
      </w:r>
      <w:r w:rsidRPr="00241762">
        <w:rPr>
          <w:i/>
          <w:iCs/>
        </w:rPr>
        <w:t>Sheep – Enteric fermentation</w:t>
      </w:r>
      <w:r w:rsidRPr="00241762">
        <w:t xml:space="preserve"> (13.8 per cent as a decrease)</w:t>
      </w:r>
    </w:p>
    <w:p w14:paraId="74FB0B6B" w14:textId="77777777" w:rsidR="00BB3E1E" w:rsidRPr="00241762" w:rsidRDefault="00BB3E1E" w:rsidP="00BB3E1E">
      <w:pPr>
        <w:pStyle w:val="Bullet"/>
        <w:tabs>
          <w:tab w:val="num" w:pos="567"/>
        </w:tabs>
      </w:pPr>
      <w:r w:rsidRPr="00241762">
        <w:t>CO</w:t>
      </w:r>
      <w:r w:rsidRPr="00241762">
        <w:rPr>
          <w:vertAlign w:val="subscript"/>
        </w:rPr>
        <w:t>2</w:t>
      </w:r>
      <w:r w:rsidRPr="00241762">
        <w:t xml:space="preserve"> emissions from </w:t>
      </w:r>
      <w:r w:rsidRPr="00241762">
        <w:rPr>
          <w:i/>
          <w:iCs/>
        </w:rPr>
        <w:t xml:space="preserve">Forest land – Land </w:t>
      </w:r>
      <w:r>
        <w:rPr>
          <w:i/>
          <w:iCs/>
        </w:rPr>
        <w:t>c</w:t>
      </w:r>
      <w:r w:rsidRPr="00241762">
        <w:rPr>
          <w:i/>
          <w:iCs/>
        </w:rPr>
        <w:t xml:space="preserve">onverted to </w:t>
      </w:r>
      <w:r>
        <w:rPr>
          <w:i/>
          <w:iCs/>
        </w:rPr>
        <w:t>f</w:t>
      </w:r>
      <w:r w:rsidRPr="00241762">
        <w:rPr>
          <w:i/>
          <w:iCs/>
        </w:rPr>
        <w:t xml:space="preserve">orest </w:t>
      </w:r>
      <w:r>
        <w:rPr>
          <w:i/>
          <w:iCs/>
        </w:rPr>
        <w:t>l</w:t>
      </w:r>
      <w:r w:rsidRPr="00241762">
        <w:rPr>
          <w:i/>
          <w:iCs/>
        </w:rPr>
        <w:t>and</w:t>
      </w:r>
      <w:r w:rsidRPr="00241762">
        <w:t xml:space="preserve"> (12.2 per cent as an increase)</w:t>
      </w:r>
    </w:p>
    <w:p w14:paraId="5DF20DB1" w14:textId="77777777" w:rsidR="00BB3E1E" w:rsidRPr="00241762" w:rsidRDefault="00BB3E1E" w:rsidP="00BB3E1E">
      <w:pPr>
        <w:pStyle w:val="Bullet"/>
        <w:tabs>
          <w:tab w:val="num" w:pos="567"/>
        </w:tabs>
      </w:pPr>
      <w:r w:rsidRPr="00241762">
        <w:t>CH</w:t>
      </w:r>
      <w:r w:rsidRPr="00241762">
        <w:rPr>
          <w:vertAlign w:val="subscript"/>
        </w:rPr>
        <w:t>4</w:t>
      </w:r>
      <w:r w:rsidRPr="00241762">
        <w:t xml:space="preserve"> emissions from </w:t>
      </w:r>
      <w:r w:rsidRPr="00241762">
        <w:rPr>
          <w:i/>
          <w:iCs/>
        </w:rPr>
        <w:t>Dairy cattle – Enteric fermentation</w:t>
      </w:r>
      <w:r w:rsidRPr="00241762">
        <w:t xml:space="preserve"> (8.6 per cent as an increase).</w:t>
      </w:r>
    </w:p>
    <w:p w14:paraId="2A042907" w14:textId="77777777" w:rsidR="00BB3E1E" w:rsidRPr="00241762" w:rsidRDefault="00BB3E1E" w:rsidP="00BB3E1E">
      <w:pPr>
        <w:pStyle w:val="BodyText"/>
      </w:pPr>
      <w:r w:rsidRPr="00241762">
        <w:t xml:space="preserve">For gross emissions, table 1.5.2(b) identifies that the major contributions to the level analysis for </w:t>
      </w:r>
      <w:r w:rsidRPr="00217AC0">
        <w:t xml:space="preserve">2020 </w:t>
      </w:r>
      <w:r w:rsidRPr="00241762">
        <w:t>are:</w:t>
      </w:r>
    </w:p>
    <w:p w14:paraId="7CA6B054" w14:textId="77777777" w:rsidR="00BB3E1E" w:rsidRPr="00241762" w:rsidRDefault="00BB3E1E" w:rsidP="00BB3E1E">
      <w:pPr>
        <w:pStyle w:val="Bullet"/>
        <w:tabs>
          <w:tab w:val="num" w:pos="567"/>
        </w:tabs>
      </w:pPr>
      <w:r w:rsidRPr="00241762">
        <w:t>CH</w:t>
      </w:r>
      <w:r w:rsidRPr="00241762">
        <w:rPr>
          <w:vertAlign w:val="subscript"/>
        </w:rPr>
        <w:t>4</w:t>
      </w:r>
      <w:r w:rsidRPr="00241762">
        <w:t xml:space="preserve"> emissions from </w:t>
      </w:r>
      <w:r w:rsidRPr="00241762">
        <w:rPr>
          <w:i/>
          <w:iCs/>
        </w:rPr>
        <w:t>Dairy cattle</w:t>
      </w:r>
      <w:r w:rsidRPr="00241762">
        <w:t xml:space="preserve"> – </w:t>
      </w:r>
      <w:r w:rsidRPr="00241762">
        <w:rPr>
          <w:i/>
          <w:iCs/>
        </w:rPr>
        <w:t>Enteric fermentation</w:t>
      </w:r>
      <w:r w:rsidRPr="00241762">
        <w:t xml:space="preserve"> (17.8 per cent)</w:t>
      </w:r>
    </w:p>
    <w:p w14:paraId="21C78EF6" w14:textId="77777777" w:rsidR="00BB3E1E" w:rsidRPr="00241762" w:rsidRDefault="00BB3E1E" w:rsidP="00BB3E1E">
      <w:pPr>
        <w:pStyle w:val="Bullet"/>
        <w:tabs>
          <w:tab w:val="num" w:pos="567"/>
        </w:tabs>
      </w:pPr>
      <w:r w:rsidRPr="00241762">
        <w:t>CO</w:t>
      </w:r>
      <w:r w:rsidRPr="00241762">
        <w:rPr>
          <w:vertAlign w:val="subscript"/>
        </w:rPr>
        <w:t>2</w:t>
      </w:r>
      <w:r w:rsidRPr="00241762">
        <w:t xml:space="preserve"> emissions from </w:t>
      </w:r>
      <w:r w:rsidRPr="00241762">
        <w:rPr>
          <w:i/>
          <w:iCs/>
        </w:rPr>
        <w:t>Road transportation – Liquid fuels</w:t>
      </w:r>
      <w:r w:rsidRPr="00241762">
        <w:t xml:space="preserve"> (15.2 per cent)</w:t>
      </w:r>
    </w:p>
    <w:p w14:paraId="7FC4445C" w14:textId="77777777" w:rsidR="00BB3E1E" w:rsidRPr="00241762" w:rsidRDefault="00BB3E1E" w:rsidP="00BB3E1E">
      <w:pPr>
        <w:pStyle w:val="Bullet"/>
        <w:tabs>
          <w:tab w:val="num" w:pos="567"/>
        </w:tabs>
      </w:pPr>
      <w:r w:rsidRPr="00241762">
        <w:t>CH</w:t>
      </w:r>
      <w:r w:rsidRPr="00241762">
        <w:rPr>
          <w:vertAlign w:val="subscript"/>
        </w:rPr>
        <w:t>4</w:t>
      </w:r>
      <w:r w:rsidRPr="00241762">
        <w:t xml:space="preserve"> emissions from </w:t>
      </w:r>
      <w:r w:rsidRPr="00241762">
        <w:rPr>
          <w:i/>
          <w:iCs/>
        </w:rPr>
        <w:t>Sheep – Enteric fermentation</w:t>
      </w:r>
      <w:r w:rsidRPr="00241762">
        <w:t xml:space="preserve"> (10.5 per cent)</w:t>
      </w:r>
    </w:p>
    <w:p w14:paraId="277F8B30" w14:textId="77777777" w:rsidR="00BB3E1E" w:rsidRPr="00241762" w:rsidRDefault="00BB3E1E" w:rsidP="00BB3E1E">
      <w:pPr>
        <w:pStyle w:val="Bullet"/>
        <w:tabs>
          <w:tab w:val="num" w:pos="567"/>
        </w:tabs>
      </w:pPr>
      <w:r w:rsidRPr="00241762">
        <w:t>CH</w:t>
      </w:r>
      <w:r w:rsidRPr="00241762">
        <w:rPr>
          <w:vertAlign w:val="subscript"/>
        </w:rPr>
        <w:t>4</w:t>
      </w:r>
      <w:r w:rsidRPr="00241762">
        <w:t xml:space="preserve"> emissions from </w:t>
      </w:r>
      <w:r w:rsidRPr="00B62529">
        <w:rPr>
          <w:i/>
          <w:iCs/>
        </w:rPr>
        <w:t xml:space="preserve">Non-dairy </w:t>
      </w:r>
      <w:r>
        <w:t xml:space="preserve">(beef) </w:t>
      </w:r>
      <w:r w:rsidRPr="00B62529">
        <w:rPr>
          <w:i/>
          <w:iCs/>
        </w:rPr>
        <w:t>cattle – Enteric fermentation</w:t>
      </w:r>
      <w:r w:rsidRPr="00241762">
        <w:t xml:space="preserve"> (7.6 per cent).</w:t>
      </w:r>
    </w:p>
    <w:p w14:paraId="630B7D63" w14:textId="77777777" w:rsidR="00BB3E1E" w:rsidRPr="00241762" w:rsidRDefault="00BB3E1E" w:rsidP="00BB3E1E">
      <w:pPr>
        <w:pStyle w:val="BodyText"/>
      </w:pPr>
      <w:r w:rsidRPr="00241762">
        <w:t>As detailed in table 1.5.3(b), the key categories that were identified as having the largest relative influence on the trend, when compared with the average change in gross emissions from 1990 to 2020, are:</w:t>
      </w:r>
    </w:p>
    <w:p w14:paraId="4AD62DB5" w14:textId="77777777" w:rsidR="00BB3E1E" w:rsidRPr="00241762" w:rsidRDefault="00BB3E1E" w:rsidP="00BB3E1E">
      <w:pPr>
        <w:pStyle w:val="Bullet"/>
        <w:tabs>
          <w:tab w:val="num" w:pos="567"/>
        </w:tabs>
      </w:pPr>
      <w:r w:rsidRPr="00241762">
        <w:t>CH</w:t>
      </w:r>
      <w:r w:rsidRPr="00241762">
        <w:rPr>
          <w:vertAlign w:val="subscript"/>
        </w:rPr>
        <w:t>4</w:t>
      </w:r>
      <w:r w:rsidRPr="00241762">
        <w:t xml:space="preserve"> emissions from </w:t>
      </w:r>
      <w:r w:rsidRPr="00241762">
        <w:rPr>
          <w:i/>
          <w:iCs/>
        </w:rPr>
        <w:t>Sheep</w:t>
      </w:r>
      <w:r w:rsidRPr="00241762">
        <w:t xml:space="preserve"> – </w:t>
      </w:r>
      <w:r w:rsidRPr="00241762">
        <w:rPr>
          <w:i/>
          <w:iCs/>
        </w:rPr>
        <w:t>Enteric fermentation</w:t>
      </w:r>
      <w:r w:rsidRPr="00241762">
        <w:t xml:space="preserve"> (22.2 per cent as a decrease)</w:t>
      </w:r>
    </w:p>
    <w:p w14:paraId="15A4646E" w14:textId="77777777" w:rsidR="00BB3E1E" w:rsidRPr="00241762" w:rsidRDefault="00BB3E1E" w:rsidP="00BB3E1E">
      <w:pPr>
        <w:pStyle w:val="Bullet"/>
        <w:tabs>
          <w:tab w:val="num" w:pos="567"/>
        </w:tabs>
      </w:pPr>
      <w:r w:rsidRPr="00241762">
        <w:t>CH</w:t>
      </w:r>
      <w:r w:rsidRPr="00241762">
        <w:rPr>
          <w:vertAlign w:val="subscript"/>
        </w:rPr>
        <w:t>4</w:t>
      </w:r>
      <w:r w:rsidRPr="00241762">
        <w:t xml:space="preserve"> emissions from </w:t>
      </w:r>
      <w:r w:rsidRPr="00241762">
        <w:rPr>
          <w:i/>
          <w:iCs/>
        </w:rPr>
        <w:t>Dairy cattle</w:t>
      </w:r>
      <w:r w:rsidRPr="00241762">
        <w:t xml:space="preserve"> – </w:t>
      </w:r>
      <w:r w:rsidRPr="00241762">
        <w:rPr>
          <w:i/>
          <w:iCs/>
        </w:rPr>
        <w:t>Enteric fermentation</w:t>
      </w:r>
      <w:r w:rsidRPr="00241762">
        <w:t xml:space="preserve"> (15.8 per cent as an increase)</w:t>
      </w:r>
    </w:p>
    <w:p w14:paraId="5EAD841C" w14:textId="77777777" w:rsidR="00BB3E1E" w:rsidRPr="00241762" w:rsidRDefault="00BB3E1E" w:rsidP="00BB3E1E">
      <w:pPr>
        <w:pStyle w:val="Bullet"/>
        <w:tabs>
          <w:tab w:val="num" w:pos="567"/>
        </w:tabs>
      </w:pPr>
      <w:r w:rsidRPr="00241762">
        <w:t>CO</w:t>
      </w:r>
      <w:r w:rsidRPr="00241762">
        <w:rPr>
          <w:vertAlign w:val="subscript"/>
        </w:rPr>
        <w:t>2</w:t>
      </w:r>
      <w:r w:rsidRPr="00241762">
        <w:t xml:space="preserve"> emissions from </w:t>
      </w:r>
      <w:r w:rsidRPr="00241762">
        <w:rPr>
          <w:i/>
          <w:iCs/>
        </w:rPr>
        <w:t>Road transportation – Liquid fuels</w:t>
      </w:r>
      <w:r w:rsidRPr="00241762">
        <w:t xml:space="preserve"> (9.7 per cent as an increase)</w:t>
      </w:r>
    </w:p>
    <w:p w14:paraId="41B21032" w14:textId="77777777" w:rsidR="00BB3E1E" w:rsidRPr="00241762" w:rsidRDefault="00BB3E1E" w:rsidP="00BB3E1E">
      <w:pPr>
        <w:pStyle w:val="Bullet"/>
        <w:tabs>
          <w:tab w:val="num" w:pos="567"/>
        </w:tabs>
      </w:pPr>
      <w:r w:rsidRPr="00241762">
        <w:t>CO</w:t>
      </w:r>
      <w:r w:rsidRPr="00241762">
        <w:rPr>
          <w:vertAlign w:val="subscript"/>
        </w:rPr>
        <w:t>2</w:t>
      </w:r>
      <w:r w:rsidRPr="00241762">
        <w:t xml:space="preserve"> emissions from </w:t>
      </w:r>
      <w:r w:rsidRPr="00B62529">
        <w:rPr>
          <w:i/>
          <w:iCs/>
        </w:rPr>
        <w:t>Energy industries – Manufacture of solid fuels</w:t>
      </w:r>
      <w:r w:rsidRPr="00241762">
        <w:t xml:space="preserve"> and </w:t>
      </w:r>
      <w:r w:rsidRPr="00B62529">
        <w:rPr>
          <w:i/>
          <w:iCs/>
        </w:rPr>
        <w:t>Other energy industries – Gaseous fuels</w:t>
      </w:r>
      <w:r w:rsidRPr="00241762">
        <w:t xml:space="preserve"> (4.3 per cent as a decrease).</w:t>
      </w:r>
    </w:p>
    <w:p w14:paraId="672428D3" w14:textId="77777777" w:rsidR="00BB3E1E" w:rsidRPr="00241762" w:rsidRDefault="00BB3E1E" w:rsidP="00BB3E1E">
      <w:pPr>
        <w:pStyle w:val="Table"/>
      </w:pPr>
      <w:bookmarkStart w:id="88" w:name="_Toc99659204"/>
      <w:r w:rsidRPr="00241762">
        <w:t>Table 1.5.1</w:t>
      </w:r>
      <w:r w:rsidRPr="00241762">
        <w:tab/>
        <w:t>Summary of New Zealand’s key categories for the 2020 level assessment and the trend assessment for 1990 to 2020 (including LULUCF activities)</w:t>
      </w:r>
      <w:bookmarkEnd w:id="88"/>
    </w:p>
    <w:tbl>
      <w:tblPr>
        <w:tblW w:w="8505" w:type="dxa"/>
        <w:tblInd w:w="113"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1650"/>
        <w:gridCol w:w="4438"/>
        <w:gridCol w:w="540"/>
        <w:gridCol w:w="1877"/>
      </w:tblGrid>
      <w:tr w:rsidR="00BB3E1E" w:rsidRPr="00BB3E1E" w14:paraId="754899E6" w14:textId="77777777" w:rsidTr="006E4A04">
        <w:trPr>
          <w:cantSplit/>
          <w:tblHeader/>
        </w:trPr>
        <w:tc>
          <w:tcPr>
            <w:tcW w:w="1644" w:type="dxa"/>
            <w:shd w:val="clear" w:color="auto" w:fill="1B556B"/>
            <w:tcMar>
              <w:top w:w="0" w:type="dxa"/>
              <w:left w:w="108" w:type="dxa"/>
              <w:bottom w:w="0" w:type="dxa"/>
              <w:right w:w="108" w:type="dxa"/>
            </w:tcMar>
          </w:tcPr>
          <w:p w14:paraId="713F1E9C" w14:textId="77777777" w:rsidR="00BB3E1E" w:rsidRPr="00BB3E1E" w:rsidRDefault="00BB3E1E" w:rsidP="0092047C">
            <w:pPr>
              <w:pStyle w:val="TableTextBold"/>
              <w:spacing w:before="50" w:after="50"/>
              <w:rPr>
                <w:color w:val="FFFFFF"/>
              </w:rPr>
            </w:pPr>
            <w:r w:rsidRPr="00BB3E1E">
              <w:rPr>
                <w:rFonts w:eastAsia="Calibri"/>
                <w:color w:val="FFFFFF"/>
              </w:rPr>
              <w:t>Quantitative method used: IPCC Tier 1</w:t>
            </w:r>
          </w:p>
        </w:tc>
        <w:tc>
          <w:tcPr>
            <w:tcW w:w="4423" w:type="dxa"/>
            <w:shd w:val="clear" w:color="auto" w:fill="1B556B"/>
            <w:tcMar>
              <w:top w:w="0" w:type="dxa"/>
              <w:left w:w="108" w:type="dxa"/>
              <w:bottom w:w="0" w:type="dxa"/>
              <w:right w:w="108" w:type="dxa"/>
            </w:tcMar>
          </w:tcPr>
          <w:p w14:paraId="1D863F75" w14:textId="77777777" w:rsidR="00BB3E1E" w:rsidRPr="00BB3E1E" w:rsidRDefault="00BB3E1E" w:rsidP="0092047C">
            <w:pPr>
              <w:pStyle w:val="TableTextBold"/>
              <w:spacing w:before="50" w:after="50"/>
              <w:rPr>
                <w:color w:val="FFFFFF"/>
              </w:rPr>
            </w:pPr>
          </w:p>
        </w:tc>
        <w:tc>
          <w:tcPr>
            <w:tcW w:w="510" w:type="dxa"/>
            <w:shd w:val="clear" w:color="auto" w:fill="1B556B"/>
            <w:tcMar>
              <w:top w:w="0" w:type="dxa"/>
              <w:left w:w="108" w:type="dxa"/>
              <w:bottom w:w="0" w:type="dxa"/>
              <w:right w:w="108" w:type="dxa"/>
            </w:tcMar>
          </w:tcPr>
          <w:p w14:paraId="423D3DDA" w14:textId="77777777" w:rsidR="00BB3E1E" w:rsidRPr="00BB3E1E" w:rsidRDefault="00BB3E1E" w:rsidP="0092047C">
            <w:pPr>
              <w:pStyle w:val="TableTextBold"/>
              <w:spacing w:before="50" w:after="50"/>
              <w:rPr>
                <w:color w:val="FFFFFF"/>
              </w:rPr>
            </w:pPr>
          </w:p>
        </w:tc>
        <w:tc>
          <w:tcPr>
            <w:tcW w:w="1871" w:type="dxa"/>
            <w:shd w:val="clear" w:color="auto" w:fill="1B556B"/>
            <w:tcMar>
              <w:top w:w="0" w:type="dxa"/>
              <w:left w:w="108" w:type="dxa"/>
              <w:bottom w:w="0" w:type="dxa"/>
              <w:right w:w="108" w:type="dxa"/>
            </w:tcMar>
          </w:tcPr>
          <w:p w14:paraId="427A9F93" w14:textId="77777777" w:rsidR="00BB3E1E" w:rsidRPr="00BB3E1E" w:rsidRDefault="00BB3E1E" w:rsidP="0092047C">
            <w:pPr>
              <w:pStyle w:val="TableTextBold"/>
              <w:spacing w:before="50" w:after="50"/>
              <w:rPr>
                <w:color w:val="FFFFFF"/>
              </w:rPr>
            </w:pPr>
          </w:p>
        </w:tc>
      </w:tr>
      <w:tr w:rsidR="0092047C" w:rsidRPr="00241762" w14:paraId="1183E335" w14:textId="77777777" w:rsidTr="006E4A04">
        <w:trPr>
          <w:cantSplit/>
          <w:tblHeader/>
        </w:trPr>
        <w:tc>
          <w:tcPr>
            <w:tcW w:w="1644" w:type="dxa"/>
            <w:shd w:val="clear" w:color="auto" w:fill="FFFFFF"/>
            <w:tcMar>
              <w:top w:w="0" w:type="dxa"/>
              <w:left w:w="108" w:type="dxa"/>
              <w:bottom w:w="0" w:type="dxa"/>
              <w:right w:w="108" w:type="dxa"/>
            </w:tcMar>
          </w:tcPr>
          <w:p w14:paraId="7D45020A" w14:textId="77777777" w:rsidR="00BB3E1E" w:rsidRPr="00241762" w:rsidRDefault="00BB3E1E" w:rsidP="0092047C">
            <w:pPr>
              <w:pStyle w:val="TableTextBold"/>
              <w:spacing w:before="50" w:after="50"/>
            </w:pPr>
            <w:r w:rsidRPr="00241762">
              <w:rPr>
                <w:rFonts w:eastAsia="Calibri"/>
              </w:rPr>
              <w:t xml:space="preserve">CRF </w:t>
            </w:r>
            <w:r>
              <w:rPr>
                <w:rFonts w:eastAsia="Calibri"/>
              </w:rPr>
              <w:t>c</w:t>
            </w:r>
            <w:r w:rsidRPr="00241762">
              <w:rPr>
                <w:rFonts w:eastAsia="Calibri"/>
              </w:rPr>
              <w:t>ategory code</w:t>
            </w:r>
          </w:p>
        </w:tc>
        <w:tc>
          <w:tcPr>
            <w:tcW w:w="4423" w:type="dxa"/>
            <w:shd w:val="clear" w:color="auto" w:fill="FFFFFF"/>
            <w:tcMar>
              <w:top w:w="0" w:type="dxa"/>
              <w:left w:w="108" w:type="dxa"/>
              <w:bottom w:w="0" w:type="dxa"/>
              <w:right w:w="108" w:type="dxa"/>
            </w:tcMar>
          </w:tcPr>
          <w:p w14:paraId="5B6C32A4" w14:textId="77777777" w:rsidR="00BB3E1E" w:rsidRPr="00241762" w:rsidRDefault="00BB3E1E" w:rsidP="0092047C">
            <w:pPr>
              <w:pStyle w:val="TableTextBold"/>
              <w:spacing w:before="50" w:after="50"/>
            </w:pPr>
            <w:r w:rsidRPr="00241762">
              <w:rPr>
                <w:rFonts w:eastAsia="Calibri"/>
              </w:rPr>
              <w:t xml:space="preserve">IPCC </w:t>
            </w:r>
            <w:r>
              <w:rPr>
                <w:rFonts w:eastAsia="Calibri"/>
              </w:rPr>
              <w:t>c</w:t>
            </w:r>
            <w:r w:rsidRPr="00241762">
              <w:rPr>
                <w:rFonts w:eastAsia="Calibri"/>
              </w:rPr>
              <w:t>ategory</w:t>
            </w:r>
          </w:p>
        </w:tc>
        <w:tc>
          <w:tcPr>
            <w:tcW w:w="510" w:type="dxa"/>
            <w:shd w:val="clear" w:color="auto" w:fill="FFFFFF"/>
            <w:tcMar>
              <w:top w:w="0" w:type="dxa"/>
              <w:left w:w="108" w:type="dxa"/>
              <w:bottom w:w="0" w:type="dxa"/>
              <w:right w:w="108" w:type="dxa"/>
            </w:tcMar>
          </w:tcPr>
          <w:p w14:paraId="60DFA4E7" w14:textId="77777777" w:rsidR="00BB3E1E" w:rsidRPr="00241762" w:rsidRDefault="00BB3E1E" w:rsidP="0092047C">
            <w:pPr>
              <w:pStyle w:val="TableTextBold"/>
              <w:spacing w:before="50" w:after="50"/>
            </w:pPr>
            <w:r w:rsidRPr="00241762">
              <w:rPr>
                <w:rFonts w:eastAsia="Calibri"/>
              </w:rPr>
              <w:t>Gas</w:t>
            </w:r>
          </w:p>
        </w:tc>
        <w:tc>
          <w:tcPr>
            <w:tcW w:w="1871" w:type="dxa"/>
            <w:shd w:val="clear" w:color="auto" w:fill="FFFFFF"/>
            <w:tcMar>
              <w:top w:w="0" w:type="dxa"/>
              <w:left w:w="108" w:type="dxa"/>
              <w:bottom w:w="0" w:type="dxa"/>
              <w:right w:w="108" w:type="dxa"/>
            </w:tcMar>
          </w:tcPr>
          <w:p w14:paraId="7EC61E43" w14:textId="77777777" w:rsidR="00BB3E1E" w:rsidRPr="00241762" w:rsidRDefault="00BB3E1E" w:rsidP="0092047C">
            <w:pPr>
              <w:pStyle w:val="TableTextBold"/>
              <w:spacing w:before="50" w:after="50"/>
            </w:pPr>
            <w:r w:rsidRPr="00241762">
              <w:rPr>
                <w:rFonts w:eastAsia="Calibri"/>
              </w:rPr>
              <w:t>Criteria for identification</w:t>
            </w:r>
          </w:p>
        </w:tc>
      </w:tr>
      <w:tr w:rsidR="00BB3E1E" w:rsidRPr="00241762" w14:paraId="72281736" w14:textId="77777777" w:rsidTr="00B05614">
        <w:trPr>
          <w:cantSplit/>
        </w:trPr>
        <w:tc>
          <w:tcPr>
            <w:tcW w:w="1644" w:type="dxa"/>
            <w:shd w:val="clear" w:color="auto" w:fill="FFFFFF"/>
            <w:tcMar>
              <w:top w:w="0" w:type="dxa"/>
              <w:left w:w="108" w:type="dxa"/>
              <w:bottom w:w="0" w:type="dxa"/>
              <w:right w:w="108" w:type="dxa"/>
            </w:tcMar>
          </w:tcPr>
          <w:p w14:paraId="0BB02D44" w14:textId="77777777" w:rsidR="00BB3E1E" w:rsidRPr="00241762" w:rsidRDefault="00BB3E1E" w:rsidP="0092047C">
            <w:pPr>
              <w:pStyle w:val="TableText"/>
              <w:spacing w:before="50" w:after="50"/>
            </w:pPr>
            <w:r w:rsidRPr="00241762" w:rsidDel="00207B4E">
              <w:t>Energy</w:t>
            </w:r>
          </w:p>
        </w:tc>
        <w:tc>
          <w:tcPr>
            <w:tcW w:w="4423" w:type="dxa"/>
            <w:shd w:val="clear" w:color="auto" w:fill="FFFFFF"/>
            <w:tcMar>
              <w:top w:w="0" w:type="dxa"/>
              <w:left w:w="108" w:type="dxa"/>
              <w:bottom w:w="0" w:type="dxa"/>
              <w:right w:w="108" w:type="dxa"/>
            </w:tcMar>
          </w:tcPr>
          <w:p w14:paraId="00C54859" w14:textId="77777777" w:rsidR="00BB3E1E" w:rsidRPr="00241762" w:rsidRDefault="00BB3E1E" w:rsidP="0092047C">
            <w:pPr>
              <w:pStyle w:val="TableText"/>
              <w:spacing w:before="50" w:after="50"/>
            </w:pPr>
          </w:p>
        </w:tc>
        <w:tc>
          <w:tcPr>
            <w:tcW w:w="510" w:type="dxa"/>
            <w:shd w:val="clear" w:color="auto" w:fill="FFFFFF"/>
            <w:tcMar>
              <w:top w:w="0" w:type="dxa"/>
              <w:left w:w="108" w:type="dxa"/>
              <w:bottom w:w="0" w:type="dxa"/>
              <w:right w:w="108" w:type="dxa"/>
            </w:tcMar>
          </w:tcPr>
          <w:p w14:paraId="2B752C1D" w14:textId="77777777" w:rsidR="00BB3E1E" w:rsidRPr="00241762" w:rsidRDefault="00BB3E1E" w:rsidP="0092047C">
            <w:pPr>
              <w:pStyle w:val="TableText"/>
              <w:spacing w:before="50" w:after="50"/>
            </w:pPr>
          </w:p>
        </w:tc>
        <w:tc>
          <w:tcPr>
            <w:tcW w:w="1871" w:type="dxa"/>
            <w:shd w:val="clear" w:color="auto" w:fill="FFFFFF"/>
            <w:tcMar>
              <w:top w:w="0" w:type="dxa"/>
              <w:left w:w="108" w:type="dxa"/>
              <w:bottom w:w="0" w:type="dxa"/>
              <w:right w:w="108" w:type="dxa"/>
            </w:tcMar>
          </w:tcPr>
          <w:p w14:paraId="492A2DB3" w14:textId="77777777" w:rsidR="00BB3E1E" w:rsidRPr="00241762" w:rsidRDefault="00BB3E1E" w:rsidP="0092047C">
            <w:pPr>
              <w:pStyle w:val="TableText"/>
              <w:spacing w:before="50" w:after="50"/>
            </w:pPr>
          </w:p>
        </w:tc>
      </w:tr>
      <w:tr w:rsidR="00BB3E1E" w:rsidRPr="00241762" w14:paraId="476C17CB" w14:textId="77777777" w:rsidTr="00B05614">
        <w:trPr>
          <w:cantSplit/>
        </w:trPr>
        <w:tc>
          <w:tcPr>
            <w:tcW w:w="1644" w:type="dxa"/>
            <w:shd w:val="clear" w:color="auto" w:fill="FFFFFF"/>
            <w:tcMar>
              <w:top w:w="0" w:type="dxa"/>
              <w:left w:w="108" w:type="dxa"/>
              <w:bottom w:w="0" w:type="dxa"/>
              <w:right w:w="108" w:type="dxa"/>
            </w:tcMar>
          </w:tcPr>
          <w:p w14:paraId="070F596C" w14:textId="77777777" w:rsidR="00BB3E1E" w:rsidRPr="00241762" w:rsidRDefault="00BB3E1E" w:rsidP="0092047C">
            <w:pPr>
              <w:pStyle w:val="TableText"/>
              <w:spacing w:before="50" w:after="50"/>
            </w:pPr>
            <w:r w:rsidRPr="00241762" w:rsidDel="00207B4E">
              <w:t>1.A.1.a</w:t>
            </w:r>
          </w:p>
        </w:tc>
        <w:tc>
          <w:tcPr>
            <w:tcW w:w="4423" w:type="dxa"/>
            <w:shd w:val="clear" w:color="auto" w:fill="FFFFFF"/>
            <w:tcMar>
              <w:top w:w="0" w:type="dxa"/>
              <w:left w:w="108" w:type="dxa"/>
              <w:bottom w:w="0" w:type="dxa"/>
              <w:right w:w="108" w:type="dxa"/>
            </w:tcMar>
          </w:tcPr>
          <w:p w14:paraId="72E63FCD" w14:textId="77777777" w:rsidR="00BB3E1E" w:rsidRPr="00241762" w:rsidRDefault="00BB3E1E" w:rsidP="0092047C">
            <w:pPr>
              <w:pStyle w:val="TableText"/>
              <w:spacing w:before="50" w:after="50"/>
            </w:pPr>
            <w:r w:rsidRPr="00241762" w:rsidDel="00207B4E">
              <w:t>Energy Industries – Public Electricity and Heat Production Gaseous Fuels</w:t>
            </w:r>
          </w:p>
        </w:tc>
        <w:tc>
          <w:tcPr>
            <w:tcW w:w="510" w:type="dxa"/>
            <w:shd w:val="clear" w:color="auto" w:fill="FFFFFF"/>
            <w:tcMar>
              <w:top w:w="0" w:type="dxa"/>
              <w:left w:w="108" w:type="dxa"/>
              <w:bottom w:w="0" w:type="dxa"/>
              <w:right w:w="108" w:type="dxa"/>
            </w:tcMar>
          </w:tcPr>
          <w:p w14:paraId="062A84D3"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2836551E" w14:textId="77777777" w:rsidR="00BB3E1E" w:rsidRPr="00241762" w:rsidRDefault="00BB3E1E" w:rsidP="0092047C">
            <w:pPr>
              <w:pStyle w:val="TableText"/>
              <w:spacing w:before="50" w:after="50"/>
            </w:pPr>
            <w:r w:rsidRPr="00241762" w:rsidDel="00207B4E">
              <w:t>L1, T1</w:t>
            </w:r>
          </w:p>
        </w:tc>
      </w:tr>
      <w:tr w:rsidR="00BB3E1E" w:rsidRPr="00241762" w14:paraId="1578B03C" w14:textId="77777777" w:rsidTr="00B05614">
        <w:trPr>
          <w:cantSplit/>
        </w:trPr>
        <w:tc>
          <w:tcPr>
            <w:tcW w:w="1644" w:type="dxa"/>
            <w:shd w:val="clear" w:color="auto" w:fill="FFFFFF"/>
            <w:tcMar>
              <w:top w:w="0" w:type="dxa"/>
              <w:left w:w="108" w:type="dxa"/>
              <w:bottom w:w="0" w:type="dxa"/>
              <w:right w:w="108" w:type="dxa"/>
            </w:tcMar>
          </w:tcPr>
          <w:p w14:paraId="18D9B3EB" w14:textId="77777777" w:rsidR="00BB3E1E" w:rsidRPr="00241762" w:rsidRDefault="00BB3E1E" w:rsidP="0092047C">
            <w:pPr>
              <w:pStyle w:val="TableText"/>
              <w:spacing w:before="50" w:after="50"/>
              <w:rPr>
                <w:rFonts w:eastAsia="Calibri"/>
                <w:color w:val="000000"/>
              </w:rPr>
            </w:pPr>
            <w:r w:rsidRPr="00241762">
              <w:t>1.A.1.a</w:t>
            </w:r>
          </w:p>
        </w:tc>
        <w:tc>
          <w:tcPr>
            <w:tcW w:w="4423" w:type="dxa"/>
            <w:shd w:val="clear" w:color="auto" w:fill="FFFFFF"/>
            <w:tcMar>
              <w:top w:w="0" w:type="dxa"/>
              <w:left w:w="108" w:type="dxa"/>
              <w:bottom w:w="0" w:type="dxa"/>
              <w:right w:w="108" w:type="dxa"/>
            </w:tcMar>
          </w:tcPr>
          <w:p w14:paraId="72D80ACC" w14:textId="77777777" w:rsidR="00BB3E1E" w:rsidRPr="00241762" w:rsidRDefault="00BB3E1E" w:rsidP="0092047C">
            <w:pPr>
              <w:pStyle w:val="TableText"/>
              <w:spacing w:before="50" w:after="50"/>
              <w:rPr>
                <w:rFonts w:eastAsia="Calibri"/>
                <w:color w:val="000000"/>
              </w:rPr>
            </w:pPr>
            <w:r w:rsidRPr="00241762">
              <w:t>Energy Industries – Public Electricity and Heat Production Solid Fuels</w:t>
            </w:r>
          </w:p>
        </w:tc>
        <w:tc>
          <w:tcPr>
            <w:tcW w:w="510" w:type="dxa"/>
            <w:shd w:val="clear" w:color="auto" w:fill="FFFFFF"/>
            <w:tcMar>
              <w:top w:w="0" w:type="dxa"/>
              <w:left w:w="108" w:type="dxa"/>
              <w:bottom w:w="0" w:type="dxa"/>
              <w:right w:w="108" w:type="dxa"/>
            </w:tcMar>
          </w:tcPr>
          <w:p w14:paraId="65231870" w14:textId="77777777" w:rsidR="00BB3E1E" w:rsidRPr="00241762" w:rsidRDefault="00BB3E1E" w:rsidP="0092047C">
            <w:pPr>
              <w:pStyle w:val="TableText"/>
              <w:spacing w:before="50" w:after="50"/>
              <w:rPr>
                <w:rFonts w:eastAsia="Calibri"/>
                <w:color w:val="000000"/>
              </w:rPr>
            </w:pPr>
            <w:r w:rsidRPr="00241762">
              <w:t>CO</w:t>
            </w:r>
            <w:r w:rsidRPr="00241762">
              <w:rPr>
                <w:vertAlign w:val="subscript"/>
              </w:rPr>
              <w:t>2</w:t>
            </w:r>
          </w:p>
        </w:tc>
        <w:tc>
          <w:tcPr>
            <w:tcW w:w="1871" w:type="dxa"/>
            <w:shd w:val="clear" w:color="auto" w:fill="FFFFFF"/>
            <w:tcMar>
              <w:top w:w="0" w:type="dxa"/>
              <w:left w:w="108" w:type="dxa"/>
              <w:bottom w:w="0" w:type="dxa"/>
              <w:right w:w="108" w:type="dxa"/>
            </w:tcMar>
          </w:tcPr>
          <w:p w14:paraId="0E6D62EC" w14:textId="77777777" w:rsidR="00BB3E1E" w:rsidRPr="00241762" w:rsidRDefault="00BB3E1E" w:rsidP="0092047C">
            <w:pPr>
              <w:pStyle w:val="TableText"/>
              <w:spacing w:before="50" w:after="50"/>
              <w:rPr>
                <w:rFonts w:eastAsia="Calibri"/>
                <w:color w:val="000000"/>
              </w:rPr>
            </w:pPr>
            <w:r w:rsidRPr="00241762">
              <w:t>L1, T1</w:t>
            </w:r>
          </w:p>
        </w:tc>
      </w:tr>
      <w:tr w:rsidR="00BB3E1E" w:rsidRPr="00241762" w14:paraId="63488099" w14:textId="77777777" w:rsidTr="00B05614">
        <w:trPr>
          <w:cantSplit/>
        </w:trPr>
        <w:tc>
          <w:tcPr>
            <w:tcW w:w="1644" w:type="dxa"/>
            <w:shd w:val="clear" w:color="auto" w:fill="FFFFFF"/>
            <w:tcMar>
              <w:top w:w="0" w:type="dxa"/>
              <w:left w:w="108" w:type="dxa"/>
              <w:bottom w:w="0" w:type="dxa"/>
              <w:right w:w="108" w:type="dxa"/>
            </w:tcMar>
          </w:tcPr>
          <w:p w14:paraId="520D9FA0" w14:textId="77777777" w:rsidR="00BB3E1E" w:rsidRPr="00241762" w:rsidRDefault="00BB3E1E" w:rsidP="0092047C">
            <w:pPr>
              <w:pStyle w:val="TableText"/>
              <w:spacing w:before="50" w:after="50"/>
              <w:rPr>
                <w:rFonts w:eastAsia="Calibri"/>
                <w:color w:val="000000"/>
              </w:rPr>
            </w:pPr>
            <w:r w:rsidRPr="00241762">
              <w:t>1.A.1.a</w:t>
            </w:r>
          </w:p>
        </w:tc>
        <w:tc>
          <w:tcPr>
            <w:tcW w:w="4423" w:type="dxa"/>
            <w:shd w:val="clear" w:color="auto" w:fill="FFFFFF"/>
            <w:tcMar>
              <w:top w:w="0" w:type="dxa"/>
              <w:left w:w="108" w:type="dxa"/>
              <w:bottom w:w="0" w:type="dxa"/>
              <w:right w:w="108" w:type="dxa"/>
            </w:tcMar>
          </w:tcPr>
          <w:p w14:paraId="6FB18EF2" w14:textId="77777777" w:rsidR="00BB3E1E" w:rsidRPr="00241762" w:rsidRDefault="00BB3E1E" w:rsidP="0092047C">
            <w:pPr>
              <w:pStyle w:val="TableText"/>
              <w:spacing w:before="50" w:after="50"/>
              <w:rPr>
                <w:rFonts w:eastAsia="Calibri"/>
                <w:color w:val="000000"/>
              </w:rPr>
            </w:pPr>
            <w:r w:rsidRPr="00241762">
              <w:t>Energy Industries – Public Electricity and Heat Production Liquid Fuels</w:t>
            </w:r>
          </w:p>
        </w:tc>
        <w:tc>
          <w:tcPr>
            <w:tcW w:w="510" w:type="dxa"/>
            <w:shd w:val="clear" w:color="auto" w:fill="FFFFFF"/>
            <w:tcMar>
              <w:top w:w="0" w:type="dxa"/>
              <w:left w:w="108" w:type="dxa"/>
              <w:bottom w:w="0" w:type="dxa"/>
              <w:right w:w="108" w:type="dxa"/>
            </w:tcMar>
          </w:tcPr>
          <w:p w14:paraId="09C5C13E" w14:textId="77777777" w:rsidR="00BB3E1E" w:rsidRPr="00241762" w:rsidRDefault="00BB3E1E" w:rsidP="0092047C">
            <w:pPr>
              <w:pStyle w:val="TableText"/>
              <w:spacing w:before="50" w:after="50"/>
              <w:rPr>
                <w:rFonts w:eastAsia="Calibri"/>
                <w:color w:val="000000"/>
              </w:rPr>
            </w:pPr>
            <w:r w:rsidRPr="00241762">
              <w:t>CO</w:t>
            </w:r>
            <w:r w:rsidRPr="00241762">
              <w:rPr>
                <w:vertAlign w:val="subscript"/>
              </w:rPr>
              <w:t>2</w:t>
            </w:r>
          </w:p>
        </w:tc>
        <w:tc>
          <w:tcPr>
            <w:tcW w:w="1871" w:type="dxa"/>
            <w:shd w:val="clear" w:color="auto" w:fill="FFFFFF"/>
            <w:tcMar>
              <w:top w:w="0" w:type="dxa"/>
              <w:left w:w="108" w:type="dxa"/>
              <w:bottom w:w="0" w:type="dxa"/>
              <w:right w:w="108" w:type="dxa"/>
            </w:tcMar>
          </w:tcPr>
          <w:p w14:paraId="02932D96" w14:textId="77777777" w:rsidR="00BB3E1E" w:rsidRPr="00241762" w:rsidRDefault="00BB3E1E" w:rsidP="0092047C">
            <w:pPr>
              <w:pStyle w:val="TableText"/>
              <w:spacing w:before="50" w:after="50"/>
              <w:rPr>
                <w:rFonts w:eastAsia="Calibri"/>
                <w:color w:val="000000"/>
              </w:rPr>
            </w:pPr>
            <w:r w:rsidRPr="00241762">
              <w:t>T1</w:t>
            </w:r>
          </w:p>
        </w:tc>
      </w:tr>
      <w:tr w:rsidR="00BB3E1E" w:rsidRPr="00241762" w14:paraId="180569B2" w14:textId="77777777" w:rsidTr="00B05614">
        <w:trPr>
          <w:cantSplit/>
        </w:trPr>
        <w:tc>
          <w:tcPr>
            <w:tcW w:w="1644" w:type="dxa"/>
            <w:shd w:val="clear" w:color="auto" w:fill="FFFFFF"/>
            <w:tcMar>
              <w:top w:w="0" w:type="dxa"/>
              <w:left w:w="108" w:type="dxa"/>
              <w:bottom w:w="0" w:type="dxa"/>
              <w:right w:w="108" w:type="dxa"/>
            </w:tcMar>
          </w:tcPr>
          <w:p w14:paraId="6F7A54C2" w14:textId="77777777" w:rsidR="00BB3E1E" w:rsidRPr="00241762" w:rsidRDefault="00BB3E1E" w:rsidP="0092047C">
            <w:pPr>
              <w:pStyle w:val="TableText"/>
              <w:spacing w:before="50" w:after="50"/>
            </w:pPr>
            <w:r w:rsidRPr="00241762">
              <w:t>1.A.1.b</w:t>
            </w:r>
          </w:p>
        </w:tc>
        <w:tc>
          <w:tcPr>
            <w:tcW w:w="4423" w:type="dxa"/>
            <w:shd w:val="clear" w:color="auto" w:fill="FFFFFF"/>
            <w:tcMar>
              <w:top w:w="0" w:type="dxa"/>
              <w:left w:w="108" w:type="dxa"/>
              <w:bottom w:w="0" w:type="dxa"/>
              <w:right w:w="108" w:type="dxa"/>
            </w:tcMar>
          </w:tcPr>
          <w:p w14:paraId="43128BE4" w14:textId="77777777" w:rsidR="00BB3E1E" w:rsidRPr="00241762" w:rsidRDefault="00BB3E1E" w:rsidP="0092047C">
            <w:pPr>
              <w:pStyle w:val="TableText"/>
              <w:spacing w:before="50" w:after="50"/>
            </w:pPr>
            <w:r w:rsidRPr="00241762">
              <w:t xml:space="preserve">Energy Industries – Petroleum Refining Liquid </w:t>
            </w:r>
            <w:r w:rsidRPr="00241762" w:rsidDel="00207B4E">
              <w:t>Fuels</w:t>
            </w:r>
          </w:p>
        </w:tc>
        <w:tc>
          <w:tcPr>
            <w:tcW w:w="510" w:type="dxa"/>
            <w:shd w:val="clear" w:color="auto" w:fill="FFFFFF"/>
            <w:tcMar>
              <w:top w:w="0" w:type="dxa"/>
              <w:left w:w="108" w:type="dxa"/>
              <w:bottom w:w="0" w:type="dxa"/>
              <w:right w:w="108" w:type="dxa"/>
            </w:tcMar>
          </w:tcPr>
          <w:p w14:paraId="398D7595"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02E4A11C" w14:textId="77777777" w:rsidR="00BB3E1E" w:rsidRPr="00241762" w:rsidRDefault="00BB3E1E" w:rsidP="0092047C">
            <w:pPr>
              <w:pStyle w:val="TableText"/>
              <w:spacing w:before="50" w:after="50"/>
            </w:pPr>
            <w:r w:rsidRPr="00241762" w:rsidDel="00207B4E">
              <w:t>L1, T1</w:t>
            </w:r>
          </w:p>
        </w:tc>
      </w:tr>
      <w:tr w:rsidR="00BB3E1E" w:rsidRPr="00241762" w14:paraId="4BAEFB9A" w14:textId="77777777" w:rsidTr="00B05614">
        <w:trPr>
          <w:cantSplit/>
        </w:trPr>
        <w:tc>
          <w:tcPr>
            <w:tcW w:w="1644" w:type="dxa"/>
            <w:shd w:val="clear" w:color="auto" w:fill="FFFFFF"/>
            <w:tcMar>
              <w:top w:w="0" w:type="dxa"/>
              <w:left w:w="108" w:type="dxa"/>
              <w:bottom w:w="0" w:type="dxa"/>
              <w:right w:w="108" w:type="dxa"/>
            </w:tcMar>
          </w:tcPr>
          <w:p w14:paraId="22B47FD3" w14:textId="77777777" w:rsidR="00BB3E1E" w:rsidRPr="00241762" w:rsidRDefault="00BB3E1E" w:rsidP="0092047C">
            <w:pPr>
              <w:pStyle w:val="TableText"/>
              <w:spacing w:before="50" w:after="50"/>
            </w:pPr>
            <w:r w:rsidRPr="00241762" w:rsidDel="00207B4E">
              <w:t>1.A.1.b</w:t>
            </w:r>
          </w:p>
        </w:tc>
        <w:tc>
          <w:tcPr>
            <w:tcW w:w="4423" w:type="dxa"/>
            <w:shd w:val="clear" w:color="auto" w:fill="FFFFFF"/>
            <w:tcMar>
              <w:top w:w="0" w:type="dxa"/>
              <w:left w:w="108" w:type="dxa"/>
              <w:bottom w:w="0" w:type="dxa"/>
              <w:right w:w="108" w:type="dxa"/>
            </w:tcMar>
          </w:tcPr>
          <w:p w14:paraId="019887F0" w14:textId="77777777" w:rsidR="00BB3E1E" w:rsidRPr="00241762" w:rsidRDefault="00BB3E1E" w:rsidP="0092047C">
            <w:pPr>
              <w:pStyle w:val="TableText"/>
              <w:spacing w:before="50" w:after="50"/>
            </w:pPr>
            <w:r w:rsidRPr="00241762">
              <w:t xml:space="preserve">Energy Industries – Petroleum Refining Gaseous </w:t>
            </w:r>
            <w:r w:rsidRPr="00241762" w:rsidDel="00207B4E">
              <w:t>Fuels</w:t>
            </w:r>
          </w:p>
        </w:tc>
        <w:tc>
          <w:tcPr>
            <w:tcW w:w="510" w:type="dxa"/>
            <w:shd w:val="clear" w:color="auto" w:fill="FFFFFF"/>
            <w:tcMar>
              <w:top w:w="0" w:type="dxa"/>
              <w:left w:w="108" w:type="dxa"/>
              <w:bottom w:w="0" w:type="dxa"/>
              <w:right w:w="108" w:type="dxa"/>
            </w:tcMar>
          </w:tcPr>
          <w:p w14:paraId="53A3C433"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4CAAB357" w14:textId="77777777" w:rsidR="00BB3E1E" w:rsidRPr="00241762" w:rsidRDefault="00BB3E1E" w:rsidP="0092047C">
            <w:pPr>
              <w:pStyle w:val="TableText"/>
              <w:spacing w:before="50" w:after="50"/>
            </w:pPr>
            <w:r w:rsidRPr="00241762">
              <w:t>T1</w:t>
            </w:r>
          </w:p>
        </w:tc>
      </w:tr>
      <w:tr w:rsidR="00BB3E1E" w:rsidRPr="00241762" w14:paraId="716C921E" w14:textId="77777777" w:rsidTr="00B05614">
        <w:trPr>
          <w:cantSplit/>
        </w:trPr>
        <w:tc>
          <w:tcPr>
            <w:tcW w:w="1644" w:type="dxa"/>
            <w:shd w:val="clear" w:color="auto" w:fill="FFFFFF"/>
            <w:tcMar>
              <w:top w:w="0" w:type="dxa"/>
              <w:left w:w="108" w:type="dxa"/>
              <w:bottom w:w="0" w:type="dxa"/>
              <w:right w:w="108" w:type="dxa"/>
            </w:tcMar>
          </w:tcPr>
          <w:p w14:paraId="12F72B79" w14:textId="77777777" w:rsidR="00BB3E1E" w:rsidRPr="00241762" w:rsidRDefault="00BB3E1E" w:rsidP="0092047C">
            <w:pPr>
              <w:pStyle w:val="TableText"/>
              <w:spacing w:before="50" w:after="50"/>
            </w:pPr>
            <w:r w:rsidRPr="00241762">
              <w:t>1.A.1.c</w:t>
            </w:r>
          </w:p>
        </w:tc>
        <w:tc>
          <w:tcPr>
            <w:tcW w:w="4423" w:type="dxa"/>
            <w:shd w:val="clear" w:color="auto" w:fill="FFFFFF"/>
            <w:tcMar>
              <w:top w:w="0" w:type="dxa"/>
              <w:left w:w="108" w:type="dxa"/>
              <w:bottom w:w="0" w:type="dxa"/>
              <w:right w:w="108" w:type="dxa"/>
            </w:tcMar>
          </w:tcPr>
          <w:p w14:paraId="2F4B8358" w14:textId="77777777" w:rsidR="00BB3E1E" w:rsidRPr="00241762" w:rsidRDefault="00BB3E1E" w:rsidP="0092047C">
            <w:pPr>
              <w:pStyle w:val="TableText"/>
              <w:spacing w:before="50" w:after="50"/>
            </w:pPr>
            <w:r w:rsidRPr="00241762">
              <w:t xml:space="preserve">Energy Industries – Manufacture of Solid Fuels and Other Energy Industries Gaseous </w:t>
            </w:r>
            <w:r w:rsidRPr="00241762" w:rsidDel="00207B4E">
              <w:t>Fuels</w:t>
            </w:r>
          </w:p>
        </w:tc>
        <w:tc>
          <w:tcPr>
            <w:tcW w:w="510" w:type="dxa"/>
            <w:shd w:val="clear" w:color="auto" w:fill="FFFFFF"/>
            <w:tcMar>
              <w:top w:w="0" w:type="dxa"/>
              <w:left w:w="108" w:type="dxa"/>
              <w:bottom w:w="0" w:type="dxa"/>
              <w:right w:w="108" w:type="dxa"/>
            </w:tcMar>
          </w:tcPr>
          <w:p w14:paraId="7EFA9E42"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6F963B44" w14:textId="77777777" w:rsidR="00BB3E1E" w:rsidRPr="00241762" w:rsidRDefault="00BB3E1E" w:rsidP="0092047C">
            <w:pPr>
              <w:pStyle w:val="TableText"/>
              <w:spacing w:before="50" w:after="50"/>
            </w:pPr>
            <w:r w:rsidRPr="00241762" w:rsidDel="00207B4E">
              <w:t>L1, T1</w:t>
            </w:r>
          </w:p>
        </w:tc>
      </w:tr>
      <w:tr w:rsidR="00BB3E1E" w:rsidRPr="00241762" w14:paraId="2ABDD977" w14:textId="77777777" w:rsidTr="00B05614">
        <w:trPr>
          <w:cantSplit/>
        </w:trPr>
        <w:tc>
          <w:tcPr>
            <w:tcW w:w="1644" w:type="dxa"/>
            <w:shd w:val="clear" w:color="auto" w:fill="FFFFFF"/>
            <w:tcMar>
              <w:top w:w="0" w:type="dxa"/>
              <w:left w:w="108" w:type="dxa"/>
              <w:bottom w:w="0" w:type="dxa"/>
              <w:right w:w="108" w:type="dxa"/>
            </w:tcMar>
          </w:tcPr>
          <w:p w14:paraId="6D2E70D2" w14:textId="77777777" w:rsidR="00BB3E1E" w:rsidRPr="00241762" w:rsidRDefault="00BB3E1E" w:rsidP="0092047C">
            <w:pPr>
              <w:pStyle w:val="TableText"/>
              <w:spacing w:before="50" w:after="50"/>
            </w:pPr>
            <w:r w:rsidRPr="00241762">
              <w:t>1.A.2.</w:t>
            </w:r>
            <w:r w:rsidRPr="00241762" w:rsidDel="00207B4E">
              <w:t>c</w:t>
            </w:r>
          </w:p>
        </w:tc>
        <w:tc>
          <w:tcPr>
            <w:tcW w:w="4423" w:type="dxa"/>
            <w:shd w:val="clear" w:color="auto" w:fill="FFFFFF"/>
            <w:tcMar>
              <w:top w:w="0" w:type="dxa"/>
              <w:left w:w="108" w:type="dxa"/>
              <w:bottom w:w="0" w:type="dxa"/>
              <w:right w:w="108" w:type="dxa"/>
            </w:tcMar>
          </w:tcPr>
          <w:p w14:paraId="29AB2618" w14:textId="77777777" w:rsidR="00BB3E1E" w:rsidRPr="00241762" w:rsidRDefault="00BB3E1E" w:rsidP="0092047C">
            <w:pPr>
              <w:pStyle w:val="TableText"/>
              <w:spacing w:before="50" w:after="50"/>
            </w:pPr>
            <w:r w:rsidRPr="00241762">
              <w:t xml:space="preserve">Manufacturing Industries and Construction – Chemicals Gaseous </w:t>
            </w:r>
            <w:r w:rsidRPr="00241762" w:rsidDel="00207B4E">
              <w:t>Fuels</w:t>
            </w:r>
          </w:p>
        </w:tc>
        <w:tc>
          <w:tcPr>
            <w:tcW w:w="510" w:type="dxa"/>
            <w:shd w:val="clear" w:color="auto" w:fill="FFFFFF"/>
            <w:tcMar>
              <w:top w:w="0" w:type="dxa"/>
              <w:left w:w="108" w:type="dxa"/>
              <w:bottom w:w="0" w:type="dxa"/>
              <w:right w:w="108" w:type="dxa"/>
            </w:tcMar>
          </w:tcPr>
          <w:p w14:paraId="25E13FA9"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4D54012C" w14:textId="77777777" w:rsidR="00BB3E1E" w:rsidRPr="00241762" w:rsidRDefault="00BB3E1E" w:rsidP="0092047C">
            <w:pPr>
              <w:pStyle w:val="TableText"/>
              <w:spacing w:before="50" w:after="50"/>
            </w:pPr>
            <w:r w:rsidRPr="00241762" w:rsidDel="00207B4E">
              <w:t>L1, T1</w:t>
            </w:r>
          </w:p>
        </w:tc>
      </w:tr>
      <w:tr w:rsidR="00BB3E1E" w:rsidRPr="00241762" w14:paraId="221A7F10" w14:textId="77777777" w:rsidTr="00B05614">
        <w:trPr>
          <w:cantSplit/>
        </w:trPr>
        <w:tc>
          <w:tcPr>
            <w:tcW w:w="1644" w:type="dxa"/>
            <w:shd w:val="clear" w:color="auto" w:fill="FFFFFF"/>
            <w:tcMar>
              <w:top w:w="0" w:type="dxa"/>
              <w:left w:w="108" w:type="dxa"/>
              <w:bottom w:w="0" w:type="dxa"/>
              <w:right w:w="108" w:type="dxa"/>
            </w:tcMar>
          </w:tcPr>
          <w:p w14:paraId="504C73F6" w14:textId="77777777" w:rsidR="00BB3E1E" w:rsidRPr="00241762" w:rsidRDefault="00BB3E1E" w:rsidP="0092047C">
            <w:pPr>
              <w:pStyle w:val="TableText"/>
              <w:spacing w:before="50" w:after="50"/>
            </w:pPr>
            <w:r w:rsidRPr="00241762">
              <w:t>1.A.2.d</w:t>
            </w:r>
          </w:p>
        </w:tc>
        <w:tc>
          <w:tcPr>
            <w:tcW w:w="4423" w:type="dxa"/>
            <w:shd w:val="clear" w:color="auto" w:fill="FFFFFF"/>
            <w:tcMar>
              <w:top w:w="0" w:type="dxa"/>
              <w:left w:w="108" w:type="dxa"/>
              <w:bottom w:w="0" w:type="dxa"/>
              <w:right w:w="108" w:type="dxa"/>
            </w:tcMar>
          </w:tcPr>
          <w:p w14:paraId="20097405" w14:textId="77777777" w:rsidR="00BB3E1E" w:rsidRPr="00241762" w:rsidRDefault="00BB3E1E" w:rsidP="0092047C">
            <w:pPr>
              <w:pStyle w:val="TableText"/>
              <w:spacing w:before="50" w:after="50"/>
            </w:pPr>
            <w:r w:rsidRPr="00241762">
              <w:t xml:space="preserve">Manufacturing Industries and Construction – Pulp, Paper and Print Gaseous </w:t>
            </w:r>
            <w:r w:rsidRPr="00241762" w:rsidDel="00207B4E">
              <w:t>Fuels</w:t>
            </w:r>
          </w:p>
        </w:tc>
        <w:tc>
          <w:tcPr>
            <w:tcW w:w="510" w:type="dxa"/>
            <w:shd w:val="clear" w:color="auto" w:fill="FFFFFF"/>
            <w:tcMar>
              <w:top w:w="0" w:type="dxa"/>
              <w:left w:w="108" w:type="dxa"/>
              <w:bottom w:w="0" w:type="dxa"/>
              <w:right w:w="108" w:type="dxa"/>
            </w:tcMar>
          </w:tcPr>
          <w:p w14:paraId="25B49A84"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1C98845C" w14:textId="77777777" w:rsidR="00BB3E1E" w:rsidRPr="00241762" w:rsidRDefault="00BB3E1E" w:rsidP="0092047C">
            <w:pPr>
              <w:pStyle w:val="TableText"/>
              <w:spacing w:before="50" w:after="50"/>
            </w:pPr>
            <w:r w:rsidRPr="00241762" w:rsidDel="00207B4E">
              <w:t>L1, T1</w:t>
            </w:r>
          </w:p>
        </w:tc>
      </w:tr>
      <w:tr w:rsidR="00BB3E1E" w:rsidRPr="00241762" w14:paraId="4D1F9B2F" w14:textId="77777777" w:rsidTr="00B05614">
        <w:trPr>
          <w:cantSplit/>
        </w:trPr>
        <w:tc>
          <w:tcPr>
            <w:tcW w:w="1644" w:type="dxa"/>
            <w:shd w:val="clear" w:color="auto" w:fill="FFFFFF"/>
            <w:tcMar>
              <w:top w:w="0" w:type="dxa"/>
              <w:left w:w="108" w:type="dxa"/>
              <w:bottom w:w="0" w:type="dxa"/>
              <w:right w:w="108" w:type="dxa"/>
            </w:tcMar>
          </w:tcPr>
          <w:p w14:paraId="6D8940C8" w14:textId="77777777" w:rsidR="00BB3E1E" w:rsidRPr="00241762" w:rsidRDefault="00BB3E1E" w:rsidP="0092047C">
            <w:pPr>
              <w:pStyle w:val="TableText"/>
              <w:spacing w:before="50" w:after="50"/>
            </w:pPr>
            <w:r w:rsidRPr="00241762" w:rsidDel="00207B4E">
              <w:t>1.A.2.d</w:t>
            </w:r>
          </w:p>
        </w:tc>
        <w:tc>
          <w:tcPr>
            <w:tcW w:w="4423" w:type="dxa"/>
            <w:shd w:val="clear" w:color="auto" w:fill="FFFFFF"/>
            <w:tcMar>
              <w:top w:w="0" w:type="dxa"/>
              <w:left w:w="108" w:type="dxa"/>
              <w:bottom w:w="0" w:type="dxa"/>
              <w:right w:w="108" w:type="dxa"/>
            </w:tcMar>
          </w:tcPr>
          <w:p w14:paraId="45872CCC" w14:textId="77777777" w:rsidR="00BB3E1E" w:rsidRPr="00241762" w:rsidRDefault="00BB3E1E" w:rsidP="0092047C">
            <w:pPr>
              <w:pStyle w:val="TableText"/>
              <w:spacing w:before="50" w:after="50"/>
            </w:pPr>
            <w:r w:rsidRPr="00241762">
              <w:t>Manufacturing Industries and Construction – Pulp, Paper and Print Solid Fuels</w:t>
            </w:r>
          </w:p>
        </w:tc>
        <w:tc>
          <w:tcPr>
            <w:tcW w:w="510" w:type="dxa"/>
            <w:shd w:val="clear" w:color="auto" w:fill="FFFFFF"/>
            <w:tcMar>
              <w:top w:w="0" w:type="dxa"/>
              <w:left w:w="108" w:type="dxa"/>
              <w:bottom w:w="0" w:type="dxa"/>
              <w:right w:w="108" w:type="dxa"/>
            </w:tcMar>
          </w:tcPr>
          <w:p w14:paraId="6DCE5690"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1FDBC4F5" w14:textId="77777777" w:rsidR="00BB3E1E" w:rsidRPr="00241762" w:rsidRDefault="00BB3E1E" w:rsidP="0092047C">
            <w:pPr>
              <w:pStyle w:val="TableText"/>
              <w:spacing w:before="50" w:after="50"/>
            </w:pPr>
            <w:r w:rsidRPr="00241762">
              <w:t>T1</w:t>
            </w:r>
          </w:p>
        </w:tc>
      </w:tr>
      <w:tr w:rsidR="00BB3E1E" w:rsidRPr="00241762" w14:paraId="7D0A80FD" w14:textId="77777777" w:rsidTr="00B05614">
        <w:trPr>
          <w:cantSplit/>
        </w:trPr>
        <w:tc>
          <w:tcPr>
            <w:tcW w:w="1644" w:type="dxa"/>
            <w:shd w:val="clear" w:color="auto" w:fill="FFFFFF"/>
            <w:tcMar>
              <w:top w:w="0" w:type="dxa"/>
              <w:left w:w="108" w:type="dxa"/>
              <w:bottom w:w="0" w:type="dxa"/>
              <w:right w:w="108" w:type="dxa"/>
            </w:tcMar>
          </w:tcPr>
          <w:p w14:paraId="50912C0C" w14:textId="77777777" w:rsidR="00BB3E1E" w:rsidRPr="00241762" w:rsidRDefault="00BB3E1E" w:rsidP="0092047C">
            <w:pPr>
              <w:pStyle w:val="TableText"/>
              <w:spacing w:before="50" w:after="50"/>
            </w:pPr>
            <w:r w:rsidRPr="00241762">
              <w:t>1.A.2.e</w:t>
            </w:r>
          </w:p>
        </w:tc>
        <w:tc>
          <w:tcPr>
            <w:tcW w:w="4423" w:type="dxa"/>
            <w:shd w:val="clear" w:color="auto" w:fill="FFFFFF"/>
            <w:tcMar>
              <w:top w:w="0" w:type="dxa"/>
              <w:left w:w="108" w:type="dxa"/>
              <w:bottom w:w="0" w:type="dxa"/>
              <w:right w:w="108" w:type="dxa"/>
            </w:tcMar>
          </w:tcPr>
          <w:p w14:paraId="6C539742" w14:textId="77777777" w:rsidR="00BB3E1E" w:rsidRPr="00241762" w:rsidRDefault="00BB3E1E" w:rsidP="0092047C">
            <w:pPr>
              <w:pStyle w:val="TableText"/>
              <w:spacing w:before="50" w:after="50"/>
            </w:pPr>
            <w:r w:rsidRPr="00241762">
              <w:t xml:space="preserve">Manufacturing Industries and Construction – Food Processing, Beverages and Tobacco Solid </w:t>
            </w:r>
            <w:r w:rsidRPr="00241762" w:rsidDel="00207B4E">
              <w:t>Fuels</w:t>
            </w:r>
          </w:p>
        </w:tc>
        <w:tc>
          <w:tcPr>
            <w:tcW w:w="510" w:type="dxa"/>
            <w:shd w:val="clear" w:color="auto" w:fill="FFFFFF"/>
            <w:tcMar>
              <w:top w:w="0" w:type="dxa"/>
              <w:left w:w="108" w:type="dxa"/>
              <w:bottom w:w="0" w:type="dxa"/>
              <w:right w:w="108" w:type="dxa"/>
            </w:tcMar>
          </w:tcPr>
          <w:p w14:paraId="5DDEA314"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412329E1" w14:textId="77777777" w:rsidR="00BB3E1E" w:rsidRPr="00241762" w:rsidRDefault="00BB3E1E" w:rsidP="0092047C">
            <w:pPr>
              <w:pStyle w:val="TableText"/>
              <w:spacing w:before="50" w:after="50"/>
            </w:pPr>
            <w:r w:rsidRPr="00241762">
              <w:t xml:space="preserve">L1, </w:t>
            </w:r>
            <w:r w:rsidRPr="00241762" w:rsidDel="00207B4E">
              <w:t>T1</w:t>
            </w:r>
          </w:p>
        </w:tc>
      </w:tr>
      <w:tr w:rsidR="00BB3E1E" w:rsidRPr="00241762" w14:paraId="4E8B1038" w14:textId="77777777" w:rsidTr="00B05614">
        <w:trPr>
          <w:cantSplit/>
        </w:trPr>
        <w:tc>
          <w:tcPr>
            <w:tcW w:w="1644" w:type="dxa"/>
            <w:shd w:val="clear" w:color="auto" w:fill="FFFFFF"/>
            <w:tcMar>
              <w:top w:w="0" w:type="dxa"/>
              <w:left w:w="108" w:type="dxa"/>
              <w:bottom w:w="0" w:type="dxa"/>
              <w:right w:w="108" w:type="dxa"/>
            </w:tcMar>
          </w:tcPr>
          <w:p w14:paraId="17036B77" w14:textId="77777777" w:rsidR="00BB3E1E" w:rsidRPr="00241762" w:rsidRDefault="00BB3E1E" w:rsidP="0092047C">
            <w:pPr>
              <w:pStyle w:val="TableText"/>
              <w:spacing w:before="50" w:after="50"/>
            </w:pPr>
            <w:r w:rsidRPr="00241762" w:rsidDel="00207B4E">
              <w:lastRenderedPageBreak/>
              <w:t>1.A.2.e</w:t>
            </w:r>
          </w:p>
        </w:tc>
        <w:tc>
          <w:tcPr>
            <w:tcW w:w="4423" w:type="dxa"/>
            <w:shd w:val="clear" w:color="auto" w:fill="FFFFFF"/>
            <w:tcMar>
              <w:top w:w="0" w:type="dxa"/>
              <w:left w:w="108" w:type="dxa"/>
              <w:bottom w:w="0" w:type="dxa"/>
              <w:right w:w="108" w:type="dxa"/>
            </w:tcMar>
          </w:tcPr>
          <w:p w14:paraId="793E69F3" w14:textId="77777777" w:rsidR="00BB3E1E" w:rsidRPr="00241762" w:rsidRDefault="00BB3E1E" w:rsidP="0092047C">
            <w:pPr>
              <w:pStyle w:val="TableText"/>
              <w:spacing w:before="50" w:after="50"/>
            </w:pPr>
            <w:r w:rsidRPr="00241762">
              <w:t>Manufacturing Industries and Construction – Food Processing, Beverages and Tobacco Gaseous Fuels</w:t>
            </w:r>
          </w:p>
        </w:tc>
        <w:tc>
          <w:tcPr>
            <w:tcW w:w="510" w:type="dxa"/>
            <w:shd w:val="clear" w:color="auto" w:fill="FFFFFF"/>
            <w:tcMar>
              <w:top w:w="0" w:type="dxa"/>
              <w:left w:w="108" w:type="dxa"/>
              <w:bottom w:w="0" w:type="dxa"/>
              <w:right w:w="108" w:type="dxa"/>
            </w:tcMar>
          </w:tcPr>
          <w:p w14:paraId="6A73988B"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6FB003B4" w14:textId="77777777" w:rsidR="00BB3E1E" w:rsidRPr="00241762" w:rsidRDefault="00BB3E1E" w:rsidP="0092047C">
            <w:pPr>
              <w:pStyle w:val="TableText"/>
              <w:spacing w:before="50" w:after="50"/>
            </w:pPr>
            <w:r w:rsidRPr="00241762" w:rsidDel="00207B4E">
              <w:t>L1, T1</w:t>
            </w:r>
          </w:p>
        </w:tc>
      </w:tr>
      <w:tr w:rsidR="00BB3E1E" w:rsidRPr="00241762" w14:paraId="36DC51EE" w14:textId="77777777" w:rsidTr="00B05614">
        <w:trPr>
          <w:cantSplit/>
        </w:trPr>
        <w:tc>
          <w:tcPr>
            <w:tcW w:w="1644" w:type="dxa"/>
            <w:shd w:val="clear" w:color="auto" w:fill="FFFFFF"/>
            <w:tcMar>
              <w:top w:w="0" w:type="dxa"/>
              <w:left w:w="108" w:type="dxa"/>
              <w:bottom w:w="0" w:type="dxa"/>
              <w:right w:w="108" w:type="dxa"/>
            </w:tcMar>
          </w:tcPr>
          <w:p w14:paraId="47FA09B0" w14:textId="77777777" w:rsidR="00BB3E1E" w:rsidRPr="00241762" w:rsidRDefault="00BB3E1E" w:rsidP="0092047C">
            <w:pPr>
              <w:pStyle w:val="TableText"/>
              <w:spacing w:before="50" w:after="50"/>
            </w:pPr>
            <w:r w:rsidRPr="00241762" w:rsidDel="00207B4E">
              <w:t>1.A.2.e</w:t>
            </w:r>
          </w:p>
        </w:tc>
        <w:tc>
          <w:tcPr>
            <w:tcW w:w="4423" w:type="dxa"/>
            <w:shd w:val="clear" w:color="auto" w:fill="FFFFFF"/>
            <w:tcMar>
              <w:top w:w="0" w:type="dxa"/>
              <w:left w:w="108" w:type="dxa"/>
              <w:bottom w:w="0" w:type="dxa"/>
              <w:right w:w="108" w:type="dxa"/>
            </w:tcMar>
          </w:tcPr>
          <w:p w14:paraId="5E527A81" w14:textId="77777777" w:rsidR="00BB3E1E" w:rsidRPr="00241762" w:rsidRDefault="00BB3E1E" w:rsidP="0092047C">
            <w:pPr>
              <w:pStyle w:val="TableText"/>
              <w:spacing w:before="50" w:after="50"/>
            </w:pPr>
            <w:r w:rsidRPr="00241762">
              <w:t>Manufacturing Industries and Construction – Food Processing, Beverages and Tobacco Liquid Fuels</w:t>
            </w:r>
          </w:p>
        </w:tc>
        <w:tc>
          <w:tcPr>
            <w:tcW w:w="510" w:type="dxa"/>
            <w:shd w:val="clear" w:color="auto" w:fill="FFFFFF"/>
            <w:tcMar>
              <w:top w:w="0" w:type="dxa"/>
              <w:left w:w="108" w:type="dxa"/>
              <w:bottom w:w="0" w:type="dxa"/>
              <w:right w:w="108" w:type="dxa"/>
            </w:tcMar>
          </w:tcPr>
          <w:p w14:paraId="1D329157"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37FE6E5A" w14:textId="77777777" w:rsidR="00BB3E1E" w:rsidRPr="00241762" w:rsidRDefault="00BB3E1E" w:rsidP="0092047C">
            <w:pPr>
              <w:pStyle w:val="TableText"/>
              <w:spacing w:before="50" w:after="50"/>
            </w:pPr>
            <w:r w:rsidRPr="00241762" w:rsidDel="00207B4E">
              <w:t>L1, T1</w:t>
            </w:r>
          </w:p>
        </w:tc>
      </w:tr>
      <w:tr w:rsidR="00BB3E1E" w:rsidRPr="00241762" w14:paraId="1A643D2E" w14:textId="77777777" w:rsidTr="00B05614">
        <w:trPr>
          <w:cantSplit/>
        </w:trPr>
        <w:tc>
          <w:tcPr>
            <w:tcW w:w="1644" w:type="dxa"/>
            <w:shd w:val="clear" w:color="auto" w:fill="FFFFFF"/>
            <w:tcMar>
              <w:top w:w="0" w:type="dxa"/>
              <w:left w:w="108" w:type="dxa"/>
              <w:bottom w:w="0" w:type="dxa"/>
              <w:right w:w="108" w:type="dxa"/>
            </w:tcMar>
          </w:tcPr>
          <w:p w14:paraId="3D3FEC21" w14:textId="77777777" w:rsidR="00BB3E1E" w:rsidRPr="00241762" w:rsidRDefault="00BB3E1E" w:rsidP="0092047C">
            <w:pPr>
              <w:pStyle w:val="TableText"/>
              <w:spacing w:before="50" w:after="50"/>
            </w:pPr>
            <w:r w:rsidRPr="00241762">
              <w:t>1.A.2.f</w:t>
            </w:r>
          </w:p>
        </w:tc>
        <w:tc>
          <w:tcPr>
            <w:tcW w:w="4423" w:type="dxa"/>
            <w:shd w:val="clear" w:color="auto" w:fill="FFFFFF"/>
            <w:tcMar>
              <w:top w:w="0" w:type="dxa"/>
              <w:left w:w="108" w:type="dxa"/>
              <w:bottom w:w="0" w:type="dxa"/>
              <w:right w:w="108" w:type="dxa"/>
            </w:tcMar>
          </w:tcPr>
          <w:p w14:paraId="58529191" w14:textId="77777777" w:rsidR="00BB3E1E" w:rsidRPr="00241762" w:rsidRDefault="00BB3E1E" w:rsidP="0092047C">
            <w:pPr>
              <w:pStyle w:val="TableText"/>
              <w:spacing w:before="50" w:after="50"/>
            </w:pPr>
            <w:r w:rsidRPr="00241762">
              <w:t>Manufacturing Industries and Construction – Non-metallic Minerals Solid Fuels</w:t>
            </w:r>
          </w:p>
        </w:tc>
        <w:tc>
          <w:tcPr>
            <w:tcW w:w="510" w:type="dxa"/>
            <w:shd w:val="clear" w:color="auto" w:fill="FFFFFF"/>
            <w:tcMar>
              <w:top w:w="0" w:type="dxa"/>
              <w:left w:w="108" w:type="dxa"/>
              <w:bottom w:w="0" w:type="dxa"/>
              <w:right w:w="108" w:type="dxa"/>
            </w:tcMar>
          </w:tcPr>
          <w:p w14:paraId="72A750DF"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17D67C1E" w14:textId="77777777" w:rsidR="00BB3E1E" w:rsidRPr="00241762" w:rsidRDefault="00BB3E1E" w:rsidP="0092047C">
            <w:pPr>
              <w:pStyle w:val="TableText"/>
              <w:spacing w:before="50" w:after="50"/>
            </w:pPr>
            <w:r w:rsidRPr="00241762">
              <w:t>T1</w:t>
            </w:r>
          </w:p>
        </w:tc>
      </w:tr>
      <w:tr w:rsidR="00BB3E1E" w:rsidRPr="00241762" w14:paraId="28D40561" w14:textId="77777777" w:rsidTr="00B05614">
        <w:trPr>
          <w:cantSplit/>
        </w:trPr>
        <w:tc>
          <w:tcPr>
            <w:tcW w:w="1644" w:type="dxa"/>
            <w:shd w:val="clear" w:color="auto" w:fill="FFFFFF"/>
            <w:tcMar>
              <w:top w:w="0" w:type="dxa"/>
              <w:left w:w="108" w:type="dxa"/>
              <w:bottom w:w="0" w:type="dxa"/>
              <w:right w:w="108" w:type="dxa"/>
            </w:tcMar>
          </w:tcPr>
          <w:p w14:paraId="128BBC9F" w14:textId="77777777" w:rsidR="00BB3E1E" w:rsidRPr="00241762" w:rsidRDefault="00BB3E1E" w:rsidP="0092047C">
            <w:pPr>
              <w:pStyle w:val="TableText"/>
              <w:spacing w:before="50" w:after="50"/>
            </w:pPr>
            <w:r w:rsidRPr="00241762">
              <w:t>1.A.2.g.iii</w:t>
            </w:r>
          </w:p>
        </w:tc>
        <w:tc>
          <w:tcPr>
            <w:tcW w:w="4423" w:type="dxa"/>
            <w:shd w:val="clear" w:color="auto" w:fill="FFFFFF"/>
            <w:tcMar>
              <w:top w:w="0" w:type="dxa"/>
              <w:left w:w="108" w:type="dxa"/>
              <w:bottom w:w="0" w:type="dxa"/>
              <w:right w:w="108" w:type="dxa"/>
            </w:tcMar>
          </w:tcPr>
          <w:p w14:paraId="15CFC800" w14:textId="77777777" w:rsidR="00BB3E1E" w:rsidRPr="00241762" w:rsidRDefault="00BB3E1E" w:rsidP="0092047C">
            <w:pPr>
              <w:pStyle w:val="TableText"/>
              <w:spacing w:before="50" w:after="50"/>
            </w:pPr>
            <w:r w:rsidRPr="00241762">
              <w:t xml:space="preserve">Other (please specify) – Mining (excluding fuels) and </w:t>
            </w:r>
            <w:r>
              <w:t>Q</w:t>
            </w:r>
            <w:r w:rsidRPr="00241762">
              <w:t>uarrying Liquid Fuels</w:t>
            </w:r>
          </w:p>
        </w:tc>
        <w:tc>
          <w:tcPr>
            <w:tcW w:w="510" w:type="dxa"/>
            <w:shd w:val="clear" w:color="auto" w:fill="FFFFFF"/>
            <w:tcMar>
              <w:top w:w="0" w:type="dxa"/>
              <w:left w:w="108" w:type="dxa"/>
              <w:bottom w:w="0" w:type="dxa"/>
              <w:right w:w="108" w:type="dxa"/>
            </w:tcMar>
          </w:tcPr>
          <w:p w14:paraId="5F38703B"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1336652C" w14:textId="77777777" w:rsidR="00BB3E1E" w:rsidRPr="00241762" w:rsidRDefault="00BB3E1E" w:rsidP="0092047C">
            <w:pPr>
              <w:pStyle w:val="TableText"/>
              <w:spacing w:before="50" w:after="50"/>
            </w:pPr>
            <w:r w:rsidRPr="00241762" w:rsidDel="00207B4E">
              <w:t>L1, T1</w:t>
            </w:r>
          </w:p>
        </w:tc>
      </w:tr>
      <w:tr w:rsidR="00BB3E1E" w:rsidRPr="00241762" w14:paraId="0CC0701E" w14:textId="77777777" w:rsidTr="00B05614">
        <w:trPr>
          <w:cantSplit/>
        </w:trPr>
        <w:tc>
          <w:tcPr>
            <w:tcW w:w="1644" w:type="dxa"/>
            <w:tcBorders>
              <w:bottom w:val="single" w:sz="4" w:space="0" w:color="1B556B"/>
            </w:tcBorders>
            <w:shd w:val="clear" w:color="auto" w:fill="FFFFFF"/>
            <w:tcMar>
              <w:top w:w="0" w:type="dxa"/>
              <w:left w:w="108" w:type="dxa"/>
              <w:bottom w:w="0" w:type="dxa"/>
              <w:right w:w="108" w:type="dxa"/>
            </w:tcMar>
          </w:tcPr>
          <w:p w14:paraId="68DF1D26" w14:textId="77777777" w:rsidR="00BB3E1E" w:rsidRPr="00241762" w:rsidRDefault="00BB3E1E" w:rsidP="0092047C">
            <w:pPr>
              <w:pStyle w:val="TableText"/>
              <w:spacing w:before="50" w:after="50"/>
            </w:pPr>
            <w:r w:rsidRPr="00241762">
              <w:t>1.A.2.g.v</w:t>
            </w:r>
          </w:p>
        </w:tc>
        <w:tc>
          <w:tcPr>
            <w:tcW w:w="4423" w:type="dxa"/>
            <w:tcBorders>
              <w:bottom w:val="single" w:sz="4" w:space="0" w:color="1B556B"/>
            </w:tcBorders>
            <w:shd w:val="clear" w:color="auto" w:fill="FFFFFF"/>
            <w:tcMar>
              <w:top w:w="0" w:type="dxa"/>
              <w:left w:w="108" w:type="dxa"/>
              <w:bottom w:w="0" w:type="dxa"/>
              <w:right w:w="108" w:type="dxa"/>
            </w:tcMar>
          </w:tcPr>
          <w:p w14:paraId="526E1C83" w14:textId="77777777" w:rsidR="00BB3E1E" w:rsidRPr="00241762" w:rsidRDefault="00BB3E1E" w:rsidP="0092047C">
            <w:pPr>
              <w:pStyle w:val="TableText"/>
              <w:spacing w:before="50" w:after="50"/>
            </w:pPr>
            <w:r w:rsidRPr="00241762">
              <w:t>Other (please specify) – Construction</w:t>
            </w:r>
          </w:p>
        </w:tc>
        <w:tc>
          <w:tcPr>
            <w:tcW w:w="510" w:type="dxa"/>
            <w:tcBorders>
              <w:bottom w:val="single" w:sz="4" w:space="0" w:color="1B556B"/>
            </w:tcBorders>
            <w:shd w:val="clear" w:color="auto" w:fill="FFFFFF"/>
            <w:tcMar>
              <w:top w:w="0" w:type="dxa"/>
              <w:left w:w="108" w:type="dxa"/>
              <w:bottom w:w="0" w:type="dxa"/>
              <w:right w:w="108" w:type="dxa"/>
            </w:tcMar>
          </w:tcPr>
          <w:p w14:paraId="6548A208"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tcBorders>
              <w:bottom w:val="single" w:sz="4" w:space="0" w:color="1B556B"/>
            </w:tcBorders>
            <w:shd w:val="clear" w:color="auto" w:fill="FFFFFF"/>
            <w:tcMar>
              <w:top w:w="0" w:type="dxa"/>
              <w:left w:w="108" w:type="dxa"/>
              <w:bottom w:w="0" w:type="dxa"/>
              <w:right w:w="108" w:type="dxa"/>
            </w:tcMar>
          </w:tcPr>
          <w:p w14:paraId="2E7D01F2" w14:textId="77777777" w:rsidR="00BB3E1E" w:rsidRPr="00241762" w:rsidRDefault="00BB3E1E" w:rsidP="0092047C">
            <w:pPr>
              <w:pStyle w:val="TableText"/>
              <w:spacing w:before="50" w:after="50"/>
            </w:pPr>
            <w:r w:rsidRPr="00241762" w:rsidDel="00207B4E">
              <w:t>L1, T1</w:t>
            </w:r>
          </w:p>
        </w:tc>
      </w:tr>
      <w:tr w:rsidR="00BB3E1E" w:rsidRPr="00241762" w14:paraId="4D2838F7" w14:textId="77777777" w:rsidTr="00B05614">
        <w:trPr>
          <w:cantSplit/>
        </w:trPr>
        <w:tc>
          <w:tcPr>
            <w:tcW w:w="1644" w:type="dxa"/>
            <w:shd w:val="clear" w:color="auto" w:fill="FFFFFF"/>
            <w:tcMar>
              <w:top w:w="0" w:type="dxa"/>
              <w:left w:w="108" w:type="dxa"/>
              <w:bottom w:w="0" w:type="dxa"/>
              <w:right w:w="108" w:type="dxa"/>
            </w:tcMar>
          </w:tcPr>
          <w:p w14:paraId="4D99E226" w14:textId="77777777" w:rsidR="00BB3E1E" w:rsidRPr="00241762" w:rsidRDefault="00BB3E1E" w:rsidP="0092047C">
            <w:pPr>
              <w:pStyle w:val="TableText"/>
              <w:spacing w:before="50" w:after="50"/>
            </w:pPr>
            <w:r w:rsidRPr="00241762" w:rsidDel="00207B4E">
              <w:t>1.A.2.g.viii</w:t>
            </w:r>
          </w:p>
        </w:tc>
        <w:tc>
          <w:tcPr>
            <w:tcW w:w="4423" w:type="dxa"/>
            <w:shd w:val="clear" w:color="auto" w:fill="FFFFFF"/>
            <w:tcMar>
              <w:top w:w="0" w:type="dxa"/>
              <w:left w:w="108" w:type="dxa"/>
              <w:bottom w:w="0" w:type="dxa"/>
              <w:right w:w="108" w:type="dxa"/>
            </w:tcMar>
          </w:tcPr>
          <w:p w14:paraId="2385AEF0" w14:textId="77777777" w:rsidR="00BB3E1E" w:rsidRPr="00241762" w:rsidRDefault="00BB3E1E" w:rsidP="0092047C">
            <w:pPr>
              <w:pStyle w:val="TableText"/>
              <w:spacing w:before="50" w:after="50"/>
            </w:pPr>
            <w:r w:rsidRPr="00241762" w:rsidDel="00207B4E">
              <w:t>Other (please specify) – Other (please specify) Liquid Fuels</w:t>
            </w:r>
          </w:p>
        </w:tc>
        <w:tc>
          <w:tcPr>
            <w:tcW w:w="510" w:type="dxa"/>
            <w:shd w:val="clear" w:color="auto" w:fill="FFFFFF"/>
            <w:tcMar>
              <w:top w:w="0" w:type="dxa"/>
              <w:left w:w="108" w:type="dxa"/>
              <w:bottom w:w="0" w:type="dxa"/>
              <w:right w:w="108" w:type="dxa"/>
            </w:tcMar>
          </w:tcPr>
          <w:p w14:paraId="5A94EC93"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1E44B6DF" w14:textId="77777777" w:rsidR="00BB3E1E" w:rsidRPr="00241762" w:rsidRDefault="00BB3E1E" w:rsidP="0092047C">
            <w:pPr>
              <w:pStyle w:val="TableText"/>
              <w:spacing w:before="50" w:after="50"/>
            </w:pPr>
            <w:r w:rsidRPr="00241762" w:rsidDel="00207B4E">
              <w:t>L1, T1</w:t>
            </w:r>
          </w:p>
        </w:tc>
      </w:tr>
      <w:tr w:rsidR="00BB3E1E" w:rsidRPr="00241762" w14:paraId="673A57FE" w14:textId="77777777" w:rsidTr="00B05614">
        <w:trPr>
          <w:cantSplit/>
        </w:trPr>
        <w:tc>
          <w:tcPr>
            <w:tcW w:w="1644" w:type="dxa"/>
            <w:shd w:val="clear" w:color="auto" w:fill="FFFFFF"/>
            <w:tcMar>
              <w:top w:w="0" w:type="dxa"/>
              <w:left w:w="108" w:type="dxa"/>
              <w:bottom w:w="0" w:type="dxa"/>
              <w:right w:w="108" w:type="dxa"/>
            </w:tcMar>
          </w:tcPr>
          <w:p w14:paraId="1B1E3F2A" w14:textId="77777777" w:rsidR="00BB3E1E" w:rsidRPr="00241762" w:rsidRDefault="00BB3E1E" w:rsidP="0092047C">
            <w:pPr>
              <w:pStyle w:val="TableText"/>
              <w:spacing w:before="50" w:after="50"/>
            </w:pPr>
            <w:r w:rsidRPr="00241762" w:rsidDel="00207B4E">
              <w:t>1.A.2.g.viii</w:t>
            </w:r>
          </w:p>
        </w:tc>
        <w:tc>
          <w:tcPr>
            <w:tcW w:w="4423" w:type="dxa"/>
            <w:shd w:val="clear" w:color="auto" w:fill="FFFFFF"/>
            <w:tcMar>
              <w:top w:w="0" w:type="dxa"/>
              <w:left w:w="108" w:type="dxa"/>
              <w:bottom w:w="0" w:type="dxa"/>
              <w:right w:w="108" w:type="dxa"/>
            </w:tcMar>
          </w:tcPr>
          <w:p w14:paraId="7269E328" w14:textId="77777777" w:rsidR="00BB3E1E" w:rsidRPr="00241762" w:rsidRDefault="00BB3E1E" w:rsidP="0092047C">
            <w:pPr>
              <w:pStyle w:val="TableText"/>
              <w:spacing w:before="50" w:after="50"/>
            </w:pPr>
            <w:r w:rsidRPr="00241762" w:rsidDel="00207B4E">
              <w:t>Other (please specify) – Other (please specify) Solid Fuels</w:t>
            </w:r>
          </w:p>
        </w:tc>
        <w:tc>
          <w:tcPr>
            <w:tcW w:w="510" w:type="dxa"/>
            <w:shd w:val="clear" w:color="auto" w:fill="FFFFFF"/>
            <w:tcMar>
              <w:top w:w="0" w:type="dxa"/>
              <w:left w:w="108" w:type="dxa"/>
              <w:bottom w:w="0" w:type="dxa"/>
              <w:right w:w="108" w:type="dxa"/>
            </w:tcMar>
          </w:tcPr>
          <w:p w14:paraId="633C5882"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1D1C717C" w14:textId="77777777" w:rsidR="00BB3E1E" w:rsidRPr="00241762" w:rsidRDefault="00BB3E1E" w:rsidP="0092047C">
            <w:pPr>
              <w:pStyle w:val="TableText"/>
              <w:spacing w:before="50" w:after="50"/>
            </w:pPr>
            <w:r w:rsidRPr="00241762" w:rsidDel="00207B4E">
              <w:t>T1</w:t>
            </w:r>
          </w:p>
        </w:tc>
      </w:tr>
      <w:tr w:rsidR="00BB3E1E" w:rsidRPr="00241762" w14:paraId="416E29F9" w14:textId="77777777" w:rsidTr="00B05614">
        <w:trPr>
          <w:cantSplit/>
        </w:trPr>
        <w:tc>
          <w:tcPr>
            <w:tcW w:w="1644" w:type="dxa"/>
            <w:shd w:val="clear" w:color="auto" w:fill="FFFFFF"/>
            <w:tcMar>
              <w:top w:w="0" w:type="dxa"/>
              <w:left w:w="108" w:type="dxa"/>
              <w:bottom w:w="0" w:type="dxa"/>
              <w:right w:w="108" w:type="dxa"/>
            </w:tcMar>
          </w:tcPr>
          <w:p w14:paraId="444EA315" w14:textId="77777777" w:rsidR="00BB3E1E" w:rsidRPr="00241762" w:rsidRDefault="00BB3E1E" w:rsidP="0092047C">
            <w:pPr>
              <w:pStyle w:val="TableText"/>
              <w:spacing w:before="50" w:after="50"/>
            </w:pPr>
            <w:r w:rsidRPr="00241762" w:rsidDel="00207B4E">
              <w:t>1.A.3.a</w:t>
            </w:r>
          </w:p>
        </w:tc>
        <w:tc>
          <w:tcPr>
            <w:tcW w:w="4423" w:type="dxa"/>
            <w:shd w:val="clear" w:color="auto" w:fill="FFFFFF"/>
            <w:tcMar>
              <w:top w:w="0" w:type="dxa"/>
              <w:left w:w="108" w:type="dxa"/>
              <w:bottom w:w="0" w:type="dxa"/>
              <w:right w:w="108" w:type="dxa"/>
            </w:tcMar>
          </w:tcPr>
          <w:p w14:paraId="17D3477B" w14:textId="77777777" w:rsidR="00BB3E1E" w:rsidRPr="00241762" w:rsidRDefault="00BB3E1E" w:rsidP="0092047C">
            <w:pPr>
              <w:pStyle w:val="TableText"/>
              <w:spacing w:before="50" w:after="50"/>
            </w:pPr>
            <w:r w:rsidRPr="00241762" w:rsidDel="00207B4E">
              <w:t>Domestic Aviation – Jet Kerosene</w:t>
            </w:r>
          </w:p>
        </w:tc>
        <w:tc>
          <w:tcPr>
            <w:tcW w:w="510" w:type="dxa"/>
            <w:shd w:val="clear" w:color="auto" w:fill="FFFFFF"/>
            <w:tcMar>
              <w:top w:w="0" w:type="dxa"/>
              <w:left w:w="108" w:type="dxa"/>
              <w:bottom w:w="0" w:type="dxa"/>
              <w:right w:w="108" w:type="dxa"/>
            </w:tcMar>
          </w:tcPr>
          <w:p w14:paraId="1F69EDE9"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3DD8CE46" w14:textId="77777777" w:rsidR="00BB3E1E" w:rsidRPr="00241762" w:rsidRDefault="00BB3E1E" w:rsidP="0092047C">
            <w:pPr>
              <w:pStyle w:val="TableText"/>
              <w:spacing w:before="50" w:after="50"/>
            </w:pPr>
            <w:r w:rsidRPr="00241762" w:rsidDel="00207B4E">
              <w:t>L1, T1</w:t>
            </w:r>
          </w:p>
        </w:tc>
      </w:tr>
      <w:tr w:rsidR="00BB3E1E" w:rsidRPr="00241762" w14:paraId="31ED0A00" w14:textId="77777777" w:rsidTr="00B05614">
        <w:trPr>
          <w:cantSplit/>
        </w:trPr>
        <w:tc>
          <w:tcPr>
            <w:tcW w:w="1644" w:type="dxa"/>
            <w:shd w:val="clear" w:color="auto" w:fill="FFFFFF"/>
            <w:tcMar>
              <w:top w:w="0" w:type="dxa"/>
              <w:left w:w="108" w:type="dxa"/>
              <w:bottom w:w="0" w:type="dxa"/>
              <w:right w:w="108" w:type="dxa"/>
            </w:tcMar>
          </w:tcPr>
          <w:p w14:paraId="3A4D076E" w14:textId="77777777" w:rsidR="00BB3E1E" w:rsidRPr="00241762" w:rsidRDefault="00BB3E1E" w:rsidP="0092047C">
            <w:pPr>
              <w:pStyle w:val="TableText"/>
              <w:spacing w:before="50" w:after="50"/>
            </w:pPr>
            <w:r w:rsidRPr="00241762" w:rsidDel="00207B4E">
              <w:t>1.A.3.b</w:t>
            </w:r>
          </w:p>
        </w:tc>
        <w:tc>
          <w:tcPr>
            <w:tcW w:w="4423" w:type="dxa"/>
            <w:shd w:val="clear" w:color="auto" w:fill="FFFFFF"/>
            <w:tcMar>
              <w:top w:w="0" w:type="dxa"/>
              <w:left w:w="108" w:type="dxa"/>
              <w:bottom w:w="0" w:type="dxa"/>
              <w:right w:w="108" w:type="dxa"/>
            </w:tcMar>
          </w:tcPr>
          <w:p w14:paraId="3822D5DC" w14:textId="77777777" w:rsidR="00BB3E1E" w:rsidRPr="00241762" w:rsidRDefault="00BB3E1E" w:rsidP="0092047C">
            <w:pPr>
              <w:pStyle w:val="TableText"/>
              <w:spacing w:before="50" w:after="50"/>
            </w:pPr>
            <w:r w:rsidRPr="00241762" w:rsidDel="00207B4E">
              <w:t>Transport – Road Transportation Liquid Fuels</w:t>
            </w:r>
          </w:p>
        </w:tc>
        <w:tc>
          <w:tcPr>
            <w:tcW w:w="510" w:type="dxa"/>
            <w:shd w:val="clear" w:color="auto" w:fill="FFFFFF"/>
            <w:tcMar>
              <w:top w:w="0" w:type="dxa"/>
              <w:left w:w="108" w:type="dxa"/>
              <w:bottom w:w="0" w:type="dxa"/>
              <w:right w:w="108" w:type="dxa"/>
            </w:tcMar>
          </w:tcPr>
          <w:p w14:paraId="2B733D07"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7EF902CA" w14:textId="77777777" w:rsidR="00BB3E1E" w:rsidRPr="00241762" w:rsidRDefault="00BB3E1E" w:rsidP="0092047C">
            <w:pPr>
              <w:pStyle w:val="TableText"/>
              <w:spacing w:before="50" w:after="50"/>
            </w:pPr>
            <w:r w:rsidRPr="00241762" w:rsidDel="00207B4E">
              <w:t>L1, T1</w:t>
            </w:r>
          </w:p>
        </w:tc>
      </w:tr>
      <w:tr w:rsidR="00BB3E1E" w:rsidRPr="00241762" w14:paraId="28BF9CDA" w14:textId="77777777" w:rsidTr="00B05614">
        <w:trPr>
          <w:cantSplit/>
        </w:trPr>
        <w:tc>
          <w:tcPr>
            <w:tcW w:w="1644" w:type="dxa"/>
            <w:shd w:val="clear" w:color="auto" w:fill="FFFFFF"/>
            <w:tcMar>
              <w:top w:w="0" w:type="dxa"/>
              <w:left w:w="108" w:type="dxa"/>
              <w:bottom w:w="0" w:type="dxa"/>
              <w:right w:w="108" w:type="dxa"/>
            </w:tcMar>
          </w:tcPr>
          <w:p w14:paraId="6DA57D56" w14:textId="77777777" w:rsidR="00BB3E1E" w:rsidRPr="00241762" w:rsidRDefault="00BB3E1E" w:rsidP="0092047C">
            <w:pPr>
              <w:pStyle w:val="TableText"/>
              <w:spacing w:before="50" w:after="50"/>
            </w:pPr>
            <w:r w:rsidRPr="00241762" w:rsidDel="00207B4E">
              <w:t>1.A.3.b</w:t>
            </w:r>
          </w:p>
        </w:tc>
        <w:tc>
          <w:tcPr>
            <w:tcW w:w="4423" w:type="dxa"/>
            <w:shd w:val="clear" w:color="auto" w:fill="FFFFFF"/>
            <w:tcMar>
              <w:top w:w="0" w:type="dxa"/>
              <w:left w:w="108" w:type="dxa"/>
              <w:bottom w:w="0" w:type="dxa"/>
              <w:right w:w="108" w:type="dxa"/>
            </w:tcMar>
          </w:tcPr>
          <w:p w14:paraId="00C63632" w14:textId="77777777" w:rsidR="00BB3E1E" w:rsidRPr="00241762" w:rsidRDefault="00BB3E1E" w:rsidP="0092047C">
            <w:pPr>
              <w:pStyle w:val="TableText"/>
              <w:spacing w:before="50" w:after="50"/>
            </w:pPr>
            <w:r w:rsidRPr="00241762" w:rsidDel="00207B4E">
              <w:t>Transport – Road Transportation Gaseous Fuels</w:t>
            </w:r>
          </w:p>
        </w:tc>
        <w:tc>
          <w:tcPr>
            <w:tcW w:w="510" w:type="dxa"/>
            <w:shd w:val="clear" w:color="auto" w:fill="FFFFFF"/>
            <w:tcMar>
              <w:top w:w="0" w:type="dxa"/>
              <w:left w:w="108" w:type="dxa"/>
              <w:bottom w:w="0" w:type="dxa"/>
              <w:right w:w="108" w:type="dxa"/>
            </w:tcMar>
          </w:tcPr>
          <w:p w14:paraId="4F19C9A5"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2B59A299" w14:textId="77777777" w:rsidR="00BB3E1E" w:rsidRPr="00241762" w:rsidRDefault="00BB3E1E" w:rsidP="0092047C">
            <w:pPr>
              <w:pStyle w:val="TableText"/>
              <w:spacing w:before="50" w:after="50"/>
            </w:pPr>
            <w:r w:rsidRPr="00241762" w:rsidDel="00207B4E">
              <w:t>T1</w:t>
            </w:r>
          </w:p>
        </w:tc>
      </w:tr>
      <w:tr w:rsidR="00BB3E1E" w:rsidRPr="00241762" w14:paraId="3459C4B2" w14:textId="77777777" w:rsidTr="00B05614">
        <w:trPr>
          <w:cantSplit/>
        </w:trPr>
        <w:tc>
          <w:tcPr>
            <w:tcW w:w="1644" w:type="dxa"/>
            <w:shd w:val="clear" w:color="auto" w:fill="FFFFFF"/>
            <w:tcMar>
              <w:top w:w="0" w:type="dxa"/>
              <w:left w:w="108" w:type="dxa"/>
              <w:bottom w:w="0" w:type="dxa"/>
              <w:right w:w="108" w:type="dxa"/>
            </w:tcMar>
          </w:tcPr>
          <w:p w14:paraId="59F125CB" w14:textId="77777777" w:rsidR="00BB3E1E" w:rsidRPr="00241762" w:rsidRDefault="00BB3E1E" w:rsidP="0092047C">
            <w:pPr>
              <w:pStyle w:val="TableText"/>
              <w:spacing w:before="50" w:after="50"/>
            </w:pPr>
            <w:r w:rsidRPr="00241762" w:rsidDel="00207B4E">
              <w:t>1.A.3.d</w:t>
            </w:r>
          </w:p>
        </w:tc>
        <w:tc>
          <w:tcPr>
            <w:tcW w:w="4423" w:type="dxa"/>
            <w:shd w:val="clear" w:color="auto" w:fill="FFFFFF"/>
            <w:tcMar>
              <w:top w:w="0" w:type="dxa"/>
              <w:left w:w="108" w:type="dxa"/>
              <w:bottom w:w="0" w:type="dxa"/>
              <w:right w:w="108" w:type="dxa"/>
            </w:tcMar>
          </w:tcPr>
          <w:p w14:paraId="1343CB58" w14:textId="77777777" w:rsidR="00BB3E1E" w:rsidRPr="00241762" w:rsidRDefault="00BB3E1E" w:rsidP="0092047C">
            <w:pPr>
              <w:pStyle w:val="TableText"/>
              <w:spacing w:before="50" w:after="50"/>
            </w:pPr>
            <w:r w:rsidRPr="00241762" w:rsidDel="00207B4E">
              <w:t>Domestic Navigation – Residual Fuel Oil</w:t>
            </w:r>
          </w:p>
        </w:tc>
        <w:tc>
          <w:tcPr>
            <w:tcW w:w="510" w:type="dxa"/>
            <w:shd w:val="clear" w:color="auto" w:fill="FFFFFF"/>
            <w:tcMar>
              <w:top w:w="0" w:type="dxa"/>
              <w:left w:w="108" w:type="dxa"/>
              <w:bottom w:w="0" w:type="dxa"/>
              <w:right w:w="108" w:type="dxa"/>
            </w:tcMar>
          </w:tcPr>
          <w:p w14:paraId="2ADCA658"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6DE63A5C" w14:textId="77777777" w:rsidR="00BB3E1E" w:rsidRPr="00241762" w:rsidRDefault="00BB3E1E" w:rsidP="0092047C">
            <w:pPr>
              <w:pStyle w:val="TableText"/>
              <w:spacing w:before="50" w:after="50"/>
            </w:pPr>
            <w:r w:rsidRPr="00241762" w:rsidDel="00207B4E">
              <w:t>L1</w:t>
            </w:r>
          </w:p>
        </w:tc>
      </w:tr>
      <w:tr w:rsidR="00BB3E1E" w:rsidRPr="00241762" w14:paraId="34FD8600" w14:textId="77777777" w:rsidTr="00B05614">
        <w:trPr>
          <w:cantSplit/>
        </w:trPr>
        <w:tc>
          <w:tcPr>
            <w:tcW w:w="1644" w:type="dxa"/>
            <w:shd w:val="clear" w:color="auto" w:fill="FFFFFF"/>
            <w:tcMar>
              <w:top w:w="0" w:type="dxa"/>
              <w:left w:w="108" w:type="dxa"/>
              <w:bottom w:w="0" w:type="dxa"/>
              <w:right w:w="108" w:type="dxa"/>
            </w:tcMar>
          </w:tcPr>
          <w:p w14:paraId="72DBC271" w14:textId="77777777" w:rsidR="00BB3E1E" w:rsidRPr="00241762" w:rsidRDefault="00BB3E1E" w:rsidP="0092047C">
            <w:pPr>
              <w:pStyle w:val="TableText"/>
              <w:spacing w:before="50" w:after="50"/>
            </w:pPr>
            <w:r w:rsidRPr="00241762" w:rsidDel="00207B4E">
              <w:t>1.A.4.a</w:t>
            </w:r>
          </w:p>
        </w:tc>
        <w:tc>
          <w:tcPr>
            <w:tcW w:w="4423" w:type="dxa"/>
            <w:shd w:val="clear" w:color="auto" w:fill="FFFFFF"/>
            <w:tcMar>
              <w:top w:w="0" w:type="dxa"/>
              <w:left w:w="108" w:type="dxa"/>
              <w:bottom w:w="0" w:type="dxa"/>
              <w:right w:w="108" w:type="dxa"/>
            </w:tcMar>
          </w:tcPr>
          <w:p w14:paraId="73BF6AD3" w14:textId="77777777" w:rsidR="00BB3E1E" w:rsidRPr="00241762" w:rsidRDefault="00BB3E1E" w:rsidP="0092047C">
            <w:pPr>
              <w:pStyle w:val="TableText"/>
              <w:spacing w:before="50" w:after="50"/>
            </w:pPr>
            <w:r w:rsidRPr="00241762" w:rsidDel="00207B4E">
              <w:t>Other Sectors – Commercial/Institutional Liquid Fuels</w:t>
            </w:r>
          </w:p>
        </w:tc>
        <w:tc>
          <w:tcPr>
            <w:tcW w:w="510" w:type="dxa"/>
            <w:shd w:val="clear" w:color="auto" w:fill="FFFFFF"/>
            <w:tcMar>
              <w:top w:w="0" w:type="dxa"/>
              <w:left w:w="108" w:type="dxa"/>
              <w:bottom w:w="0" w:type="dxa"/>
              <w:right w:w="108" w:type="dxa"/>
            </w:tcMar>
          </w:tcPr>
          <w:p w14:paraId="11721193"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6018DDB0" w14:textId="77777777" w:rsidR="00BB3E1E" w:rsidRPr="00241762" w:rsidRDefault="00BB3E1E" w:rsidP="0092047C">
            <w:pPr>
              <w:pStyle w:val="TableText"/>
              <w:spacing w:before="50" w:after="50"/>
            </w:pPr>
            <w:r w:rsidRPr="00241762">
              <w:t>L1, T1</w:t>
            </w:r>
          </w:p>
        </w:tc>
      </w:tr>
      <w:tr w:rsidR="00BB3E1E" w:rsidRPr="00241762" w14:paraId="2B876837" w14:textId="77777777" w:rsidTr="00B05614">
        <w:trPr>
          <w:cantSplit/>
        </w:trPr>
        <w:tc>
          <w:tcPr>
            <w:tcW w:w="1644" w:type="dxa"/>
            <w:shd w:val="clear" w:color="auto" w:fill="FFFFFF"/>
            <w:tcMar>
              <w:top w:w="0" w:type="dxa"/>
              <w:left w:w="108" w:type="dxa"/>
              <w:bottom w:w="0" w:type="dxa"/>
              <w:right w:w="108" w:type="dxa"/>
            </w:tcMar>
          </w:tcPr>
          <w:p w14:paraId="7D0A7867" w14:textId="77777777" w:rsidR="00BB3E1E" w:rsidRPr="00241762" w:rsidRDefault="00BB3E1E" w:rsidP="0092047C">
            <w:pPr>
              <w:pStyle w:val="TableText"/>
              <w:spacing w:before="50" w:after="50"/>
            </w:pPr>
            <w:r w:rsidRPr="00241762" w:rsidDel="00207B4E">
              <w:t>1.A.4.a</w:t>
            </w:r>
          </w:p>
        </w:tc>
        <w:tc>
          <w:tcPr>
            <w:tcW w:w="4423" w:type="dxa"/>
            <w:shd w:val="clear" w:color="auto" w:fill="FFFFFF"/>
            <w:tcMar>
              <w:top w:w="0" w:type="dxa"/>
              <w:left w:w="108" w:type="dxa"/>
              <w:bottom w:w="0" w:type="dxa"/>
              <w:right w:w="108" w:type="dxa"/>
            </w:tcMar>
          </w:tcPr>
          <w:p w14:paraId="15B9EF6C" w14:textId="77777777" w:rsidR="00BB3E1E" w:rsidRPr="00241762" w:rsidRDefault="00BB3E1E" w:rsidP="0092047C">
            <w:pPr>
              <w:pStyle w:val="TableText"/>
              <w:spacing w:before="50" w:after="50"/>
            </w:pPr>
            <w:r w:rsidRPr="00241762" w:rsidDel="00207B4E">
              <w:t>Other Sectors – Commercial/Institutional Gaseous Fuels</w:t>
            </w:r>
          </w:p>
        </w:tc>
        <w:tc>
          <w:tcPr>
            <w:tcW w:w="510" w:type="dxa"/>
            <w:shd w:val="clear" w:color="auto" w:fill="FFFFFF"/>
            <w:tcMar>
              <w:top w:w="0" w:type="dxa"/>
              <w:left w:w="108" w:type="dxa"/>
              <w:bottom w:w="0" w:type="dxa"/>
              <w:right w:w="108" w:type="dxa"/>
            </w:tcMar>
          </w:tcPr>
          <w:p w14:paraId="1922BA35"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644E5107" w14:textId="77777777" w:rsidR="00BB3E1E" w:rsidRPr="00241762" w:rsidRDefault="00BB3E1E" w:rsidP="0092047C">
            <w:pPr>
              <w:pStyle w:val="TableText"/>
              <w:spacing w:before="50" w:after="50"/>
            </w:pPr>
            <w:r w:rsidRPr="00241762" w:rsidDel="00207B4E">
              <w:t>L1, T1</w:t>
            </w:r>
          </w:p>
        </w:tc>
      </w:tr>
      <w:tr w:rsidR="00BB3E1E" w:rsidRPr="00241762" w14:paraId="3888C6B9" w14:textId="77777777" w:rsidTr="00B05614">
        <w:trPr>
          <w:cantSplit/>
        </w:trPr>
        <w:tc>
          <w:tcPr>
            <w:tcW w:w="1644" w:type="dxa"/>
            <w:shd w:val="clear" w:color="auto" w:fill="FFFFFF"/>
            <w:tcMar>
              <w:top w:w="0" w:type="dxa"/>
              <w:left w:w="108" w:type="dxa"/>
              <w:bottom w:w="0" w:type="dxa"/>
              <w:right w:w="108" w:type="dxa"/>
            </w:tcMar>
          </w:tcPr>
          <w:p w14:paraId="04B5C453" w14:textId="77777777" w:rsidR="00BB3E1E" w:rsidRPr="00241762" w:rsidRDefault="00BB3E1E" w:rsidP="0092047C">
            <w:pPr>
              <w:pStyle w:val="TableText"/>
              <w:spacing w:before="50" w:after="50"/>
            </w:pPr>
            <w:r w:rsidRPr="00241762" w:rsidDel="00207B4E">
              <w:t>1.A.4.a</w:t>
            </w:r>
          </w:p>
        </w:tc>
        <w:tc>
          <w:tcPr>
            <w:tcW w:w="4423" w:type="dxa"/>
            <w:shd w:val="clear" w:color="auto" w:fill="FFFFFF"/>
            <w:tcMar>
              <w:top w:w="0" w:type="dxa"/>
              <w:left w:w="108" w:type="dxa"/>
              <w:bottom w:w="0" w:type="dxa"/>
              <w:right w:w="108" w:type="dxa"/>
            </w:tcMar>
          </w:tcPr>
          <w:p w14:paraId="4C395C6C" w14:textId="77777777" w:rsidR="00BB3E1E" w:rsidRPr="00241762" w:rsidRDefault="00BB3E1E" w:rsidP="0092047C">
            <w:pPr>
              <w:pStyle w:val="TableText"/>
              <w:spacing w:before="50" w:after="50"/>
            </w:pPr>
            <w:r w:rsidRPr="00241762" w:rsidDel="00207B4E">
              <w:t>Other Sectors – Commercial/Institutional Solid Fuels</w:t>
            </w:r>
          </w:p>
        </w:tc>
        <w:tc>
          <w:tcPr>
            <w:tcW w:w="510" w:type="dxa"/>
            <w:shd w:val="clear" w:color="auto" w:fill="FFFFFF"/>
            <w:tcMar>
              <w:top w:w="0" w:type="dxa"/>
              <w:left w:w="108" w:type="dxa"/>
              <w:bottom w:w="0" w:type="dxa"/>
              <w:right w:w="108" w:type="dxa"/>
            </w:tcMar>
          </w:tcPr>
          <w:p w14:paraId="4F9B84E2"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1C45B04A" w14:textId="77777777" w:rsidR="00BB3E1E" w:rsidRPr="00241762" w:rsidRDefault="00BB3E1E" w:rsidP="0092047C">
            <w:pPr>
              <w:pStyle w:val="TableText"/>
              <w:spacing w:before="50" w:after="50"/>
            </w:pPr>
            <w:r w:rsidRPr="00241762" w:rsidDel="00207B4E">
              <w:t>T1</w:t>
            </w:r>
          </w:p>
        </w:tc>
      </w:tr>
      <w:tr w:rsidR="00BB3E1E" w:rsidRPr="00241762" w14:paraId="29C9FF86" w14:textId="77777777" w:rsidTr="00B05614">
        <w:trPr>
          <w:cantSplit/>
        </w:trPr>
        <w:tc>
          <w:tcPr>
            <w:tcW w:w="1644" w:type="dxa"/>
            <w:shd w:val="clear" w:color="auto" w:fill="FFFFFF"/>
            <w:tcMar>
              <w:top w:w="0" w:type="dxa"/>
              <w:left w:w="108" w:type="dxa"/>
              <w:bottom w:w="0" w:type="dxa"/>
              <w:right w:w="108" w:type="dxa"/>
            </w:tcMar>
          </w:tcPr>
          <w:p w14:paraId="723C77C1" w14:textId="77777777" w:rsidR="00BB3E1E" w:rsidRPr="00241762" w:rsidRDefault="00BB3E1E" w:rsidP="0092047C">
            <w:pPr>
              <w:pStyle w:val="TableText"/>
              <w:spacing w:before="50" w:after="50"/>
            </w:pPr>
            <w:r w:rsidRPr="00241762" w:rsidDel="00207B4E">
              <w:t>1.A.4.b</w:t>
            </w:r>
          </w:p>
        </w:tc>
        <w:tc>
          <w:tcPr>
            <w:tcW w:w="4423" w:type="dxa"/>
            <w:shd w:val="clear" w:color="auto" w:fill="FFFFFF"/>
            <w:tcMar>
              <w:top w:w="0" w:type="dxa"/>
              <w:left w:w="108" w:type="dxa"/>
              <w:bottom w:w="0" w:type="dxa"/>
              <w:right w:w="108" w:type="dxa"/>
            </w:tcMar>
          </w:tcPr>
          <w:p w14:paraId="14CB0B12" w14:textId="77777777" w:rsidR="00BB3E1E" w:rsidRPr="00241762" w:rsidRDefault="00BB3E1E" w:rsidP="0092047C">
            <w:pPr>
              <w:pStyle w:val="TableText"/>
              <w:spacing w:before="50" w:after="50"/>
            </w:pPr>
            <w:r w:rsidRPr="00241762">
              <w:t xml:space="preserve">Other Sectors – Residential Liquid </w:t>
            </w:r>
            <w:r w:rsidRPr="00241762" w:rsidDel="00207B4E">
              <w:t>Fuels</w:t>
            </w:r>
          </w:p>
        </w:tc>
        <w:tc>
          <w:tcPr>
            <w:tcW w:w="510" w:type="dxa"/>
            <w:shd w:val="clear" w:color="auto" w:fill="FFFFFF"/>
            <w:tcMar>
              <w:top w:w="0" w:type="dxa"/>
              <w:left w:w="108" w:type="dxa"/>
              <w:bottom w:w="0" w:type="dxa"/>
              <w:right w:w="108" w:type="dxa"/>
            </w:tcMar>
          </w:tcPr>
          <w:p w14:paraId="4C747101"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2A20076F" w14:textId="77777777" w:rsidR="00BB3E1E" w:rsidRPr="00241762" w:rsidRDefault="00BB3E1E" w:rsidP="0092047C">
            <w:pPr>
              <w:pStyle w:val="TableText"/>
              <w:spacing w:before="50" w:after="50"/>
            </w:pPr>
            <w:r w:rsidRPr="00241762" w:rsidDel="00207B4E">
              <w:t>L1, T1</w:t>
            </w:r>
          </w:p>
        </w:tc>
      </w:tr>
      <w:tr w:rsidR="00BB3E1E" w:rsidRPr="00241762" w14:paraId="1A74C66F" w14:textId="77777777" w:rsidTr="00B05614">
        <w:trPr>
          <w:cantSplit/>
        </w:trPr>
        <w:tc>
          <w:tcPr>
            <w:tcW w:w="1644" w:type="dxa"/>
            <w:shd w:val="clear" w:color="auto" w:fill="FFFFFF"/>
            <w:tcMar>
              <w:top w:w="0" w:type="dxa"/>
              <w:left w:w="108" w:type="dxa"/>
              <w:bottom w:w="0" w:type="dxa"/>
              <w:right w:w="108" w:type="dxa"/>
            </w:tcMar>
          </w:tcPr>
          <w:p w14:paraId="455C751F" w14:textId="77777777" w:rsidR="00BB3E1E" w:rsidRPr="00241762" w:rsidRDefault="00BB3E1E" w:rsidP="0092047C">
            <w:pPr>
              <w:pStyle w:val="TableText"/>
              <w:spacing w:before="50" w:after="50"/>
            </w:pPr>
            <w:r w:rsidRPr="00241762" w:rsidDel="00207B4E">
              <w:t>1.A.4.b</w:t>
            </w:r>
          </w:p>
        </w:tc>
        <w:tc>
          <w:tcPr>
            <w:tcW w:w="4423" w:type="dxa"/>
            <w:shd w:val="clear" w:color="auto" w:fill="FFFFFF"/>
            <w:tcMar>
              <w:top w:w="0" w:type="dxa"/>
              <w:left w:w="108" w:type="dxa"/>
              <w:bottom w:w="0" w:type="dxa"/>
              <w:right w:w="108" w:type="dxa"/>
            </w:tcMar>
          </w:tcPr>
          <w:p w14:paraId="0705FE02" w14:textId="77777777" w:rsidR="00BB3E1E" w:rsidRPr="00241762" w:rsidRDefault="00BB3E1E" w:rsidP="0092047C">
            <w:pPr>
              <w:pStyle w:val="TableText"/>
              <w:spacing w:before="50" w:after="50"/>
            </w:pPr>
            <w:r w:rsidRPr="00241762">
              <w:t xml:space="preserve">Other Sectors – Residential Gaseous </w:t>
            </w:r>
            <w:r w:rsidRPr="00241762" w:rsidDel="00207B4E">
              <w:t>Fuels</w:t>
            </w:r>
          </w:p>
        </w:tc>
        <w:tc>
          <w:tcPr>
            <w:tcW w:w="510" w:type="dxa"/>
            <w:shd w:val="clear" w:color="auto" w:fill="FFFFFF"/>
            <w:tcMar>
              <w:top w:w="0" w:type="dxa"/>
              <w:left w:w="108" w:type="dxa"/>
              <w:bottom w:w="0" w:type="dxa"/>
              <w:right w:w="108" w:type="dxa"/>
            </w:tcMar>
          </w:tcPr>
          <w:p w14:paraId="0BEE3ABE"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4D503E59" w14:textId="77777777" w:rsidR="00BB3E1E" w:rsidRPr="00241762" w:rsidRDefault="00BB3E1E" w:rsidP="0092047C">
            <w:pPr>
              <w:pStyle w:val="TableText"/>
              <w:spacing w:before="50" w:after="50"/>
            </w:pPr>
            <w:r w:rsidRPr="00241762">
              <w:t>L1, T1</w:t>
            </w:r>
          </w:p>
        </w:tc>
      </w:tr>
      <w:tr w:rsidR="00BB3E1E" w:rsidRPr="00241762" w14:paraId="6DC7A26F" w14:textId="77777777" w:rsidTr="00B05614">
        <w:trPr>
          <w:cantSplit/>
        </w:trPr>
        <w:tc>
          <w:tcPr>
            <w:tcW w:w="1644" w:type="dxa"/>
            <w:shd w:val="clear" w:color="auto" w:fill="FFFFFF"/>
            <w:tcMar>
              <w:top w:w="0" w:type="dxa"/>
              <w:left w:w="108" w:type="dxa"/>
              <w:bottom w:w="0" w:type="dxa"/>
              <w:right w:w="108" w:type="dxa"/>
            </w:tcMar>
          </w:tcPr>
          <w:p w14:paraId="0CED4B99" w14:textId="77777777" w:rsidR="00BB3E1E" w:rsidRPr="00241762" w:rsidRDefault="00BB3E1E" w:rsidP="0092047C">
            <w:pPr>
              <w:pStyle w:val="TableText"/>
              <w:spacing w:before="50" w:after="50"/>
            </w:pPr>
            <w:r w:rsidRPr="00241762" w:rsidDel="00207B4E">
              <w:t>1.A.4.b</w:t>
            </w:r>
          </w:p>
        </w:tc>
        <w:tc>
          <w:tcPr>
            <w:tcW w:w="4423" w:type="dxa"/>
            <w:shd w:val="clear" w:color="auto" w:fill="FFFFFF"/>
            <w:tcMar>
              <w:top w:w="0" w:type="dxa"/>
              <w:left w:w="108" w:type="dxa"/>
              <w:bottom w:w="0" w:type="dxa"/>
              <w:right w:w="108" w:type="dxa"/>
            </w:tcMar>
          </w:tcPr>
          <w:p w14:paraId="0679D3B3" w14:textId="77777777" w:rsidR="00BB3E1E" w:rsidRPr="00241762" w:rsidRDefault="00BB3E1E" w:rsidP="0092047C">
            <w:pPr>
              <w:pStyle w:val="TableText"/>
              <w:spacing w:before="50" w:after="50"/>
            </w:pPr>
            <w:r w:rsidRPr="00241762" w:rsidDel="00207B4E">
              <w:t>Other Sectors – Residential Solid Fuels</w:t>
            </w:r>
          </w:p>
        </w:tc>
        <w:tc>
          <w:tcPr>
            <w:tcW w:w="510" w:type="dxa"/>
            <w:shd w:val="clear" w:color="auto" w:fill="FFFFFF"/>
            <w:tcMar>
              <w:top w:w="0" w:type="dxa"/>
              <w:left w:w="108" w:type="dxa"/>
              <w:bottom w:w="0" w:type="dxa"/>
              <w:right w:w="108" w:type="dxa"/>
            </w:tcMar>
          </w:tcPr>
          <w:p w14:paraId="0ABB2677"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48BF4BB1" w14:textId="77777777" w:rsidR="00BB3E1E" w:rsidRPr="00241762" w:rsidRDefault="00BB3E1E" w:rsidP="0092047C">
            <w:pPr>
              <w:pStyle w:val="TableText"/>
              <w:spacing w:before="50" w:after="50"/>
            </w:pPr>
            <w:r w:rsidRPr="00241762" w:rsidDel="00207B4E">
              <w:t>T1</w:t>
            </w:r>
          </w:p>
        </w:tc>
      </w:tr>
      <w:tr w:rsidR="00BB3E1E" w:rsidRPr="00241762" w14:paraId="5EACD99F" w14:textId="77777777" w:rsidTr="00B05614">
        <w:trPr>
          <w:cantSplit/>
        </w:trPr>
        <w:tc>
          <w:tcPr>
            <w:tcW w:w="1644" w:type="dxa"/>
            <w:shd w:val="clear" w:color="auto" w:fill="FFFFFF"/>
            <w:tcMar>
              <w:top w:w="0" w:type="dxa"/>
              <w:left w:w="108" w:type="dxa"/>
              <w:bottom w:w="0" w:type="dxa"/>
              <w:right w:w="108" w:type="dxa"/>
            </w:tcMar>
          </w:tcPr>
          <w:p w14:paraId="1EAF7410" w14:textId="77777777" w:rsidR="00BB3E1E" w:rsidRPr="00241762" w:rsidRDefault="00BB3E1E" w:rsidP="0092047C">
            <w:pPr>
              <w:pStyle w:val="TableText"/>
              <w:spacing w:before="50" w:after="50"/>
            </w:pPr>
            <w:r w:rsidRPr="00241762" w:rsidDel="00207B4E">
              <w:t>1.A.4.c</w:t>
            </w:r>
          </w:p>
        </w:tc>
        <w:tc>
          <w:tcPr>
            <w:tcW w:w="4423" w:type="dxa"/>
            <w:shd w:val="clear" w:color="auto" w:fill="FFFFFF"/>
            <w:tcMar>
              <w:top w:w="0" w:type="dxa"/>
              <w:left w:w="108" w:type="dxa"/>
              <w:bottom w:w="0" w:type="dxa"/>
              <w:right w:w="108" w:type="dxa"/>
            </w:tcMar>
          </w:tcPr>
          <w:p w14:paraId="4C04477A" w14:textId="77777777" w:rsidR="00BB3E1E" w:rsidRPr="00241762" w:rsidRDefault="00BB3E1E" w:rsidP="0092047C">
            <w:pPr>
              <w:pStyle w:val="TableText"/>
              <w:spacing w:before="50" w:after="50"/>
            </w:pPr>
            <w:r w:rsidRPr="00241762" w:rsidDel="00207B4E">
              <w:t>Other Sectors – Agriculture/Forestry/Fishing Liquid Fuels</w:t>
            </w:r>
          </w:p>
        </w:tc>
        <w:tc>
          <w:tcPr>
            <w:tcW w:w="510" w:type="dxa"/>
            <w:shd w:val="clear" w:color="auto" w:fill="FFFFFF"/>
            <w:tcMar>
              <w:top w:w="0" w:type="dxa"/>
              <w:left w:w="108" w:type="dxa"/>
              <w:bottom w:w="0" w:type="dxa"/>
              <w:right w:w="108" w:type="dxa"/>
            </w:tcMar>
          </w:tcPr>
          <w:p w14:paraId="5B36FFF7"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68068F1A" w14:textId="77777777" w:rsidR="00BB3E1E" w:rsidRPr="00241762" w:rsidRDefault="00BB3E1E" w:rsidP="0092047C">
            <w:pPr>
              <w:pStyle w:val="TableText"/>
              <w:spacing w:before="50" w:after="50"/>
            </w:pPr>
            <w:r w:rsidRPr="00241762">
              <w:t>L1</w:t>
            </w:r>
          </w:p>
        </w:tc>
      </w:tr>
      <w:tr w:rsidR="00BB3E1E" w:rsidRPr="00241762" w14:paraId="067FD479" w14:textId="77777777" w:rsidTr="00B05614">
        <w:trPr>
          <w:cantSplit/>
        </w:trPr>
        <w:tc>
          <w:tcPr>
            <w:tcW w:w="1644" w:type="dxa"/>
            <w:shd w:val="clear" w:color="auto" w:fill="FFFFFF"/>
            <w:tcMar>
              <w:top w:w="0" w:type="dxa"/>
              <w:left w:w="108" w:type="dxa"/>
              <w:bottom w:w="0" w:type="dxa"/>
              <w:right w:w="108" w:type="dxa"/>
            </w:tcMar>
          </w:tcPr>
          <w:p w14:paraId="2825884C" w14:textId="77777777" w:rsidR="00BB3E1E" w:rsidRPr="00241762" w:rsidRDefault="00BB3E1E" w:rsidP="0092047C">
            <w:pPr>
              <w:pStyle w:val="TableText"/>
              <w:spacing w:before="50" w:after="50"/>
            </w:pPr>
            <w:r w:rsidRPr="00241762" w:rsidDel="00207B4E">
              <w:t>1.A.4.c</w:t>
            </w:r>
          </w:p>
        </w:tc>
        <w:tc>
          <w:tcPr>
            <w:tcW w:w="4423" w:type="dxa"/>
            <w:shd w:val="clear" w:color="auto" w:fill="FFFFFF"/>
            <w:tcMar>
              <w:top w:w="0" w:type="dxa"/>
              <w:left w:w="108" w:type="dxa"/>
              <w:bottom w:w="0" w:type="dxa"/>
              <w:right w:w="108" w:type="dxa"/>
            </w:tcMar>
          </w:tcPr>
          <w:p w14:paraId="42EA95CA" w14:textId="77777777" w:rsidR="00BB3E1E" w:rsidRPr="00241762" w:rsidRDefault="00BB3E1E" w:rsidP="0092047C">
            <w:pPr>
              <w:pStyle w:val="TableText"/>
              <w:spacing w:before="50" w:after="50"/>
            </w:pPr>
            <w:r w:rsidRPr="00241762" w:rsidDel="00207B4E">
              <w:t>Other Sectors – Agriculture/Forestry/Fishing Solid Fuels</w:t>
            </w:r>
          </w:p>
        </w:tc>
        <w:tc>
          <w:tcPr>
            <w:tcW w:w="510" w:type="dxa"/>
            <w:shd w:val="clear" w:color="auto" w:fill="FFFFFF"/>
            <w:tcMar>
              <w:top w:w="0" w:type="dxa"/>
              <w:left w:w="108" w:type="dxa"/>
              <w:bottom w:w="0" w:type="dxa"/>
              <w:right w:w="108" w:type="dxa"/>
            </w:tcMar>
          </w:tcPr>
          <w:p w14:paraId="3C81397B"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4486E805" w14:textId="77777777" w:rsidR="00BB3E1E" w:rsidRPr="00241762" w:rsidRDefault="00BB3E1E" w:rsidP="0092047C">
            <w:pPr>
              <w:pStyle w:val="TableText"/>
              <w:spacing w:before="50" w:after="50"/>
            </w:pPr>
            <w:r w:rsidRPr="00241762" w:rsidDel="00207B4E">
              <w:t>T1</w:t>
            </w:r>
          </w:p>
        </w:tc>
      </w:tr>
      <w:tr w:rsidR="00BB3E1E" w:rsidRPr="00241762" w14:paraId="7B9FA7E4" w14:textId="77777777" w:rsidTr="00B05614">
        <w:trPr>
          <w:cantSplit/>
        </w:trPr>
        <w:tc>
          <w:tcPr>
            <w:tcW w:w="1644" w:type="dxa"/>
            <w:shd w:val="clear" w:color="auto" w:fill="FFFFFF"/>
            <w:tcMar>
              <w:top w:w="0" w:type="dxa"/>
              <w:left w:w="108" w:type="dxa"/>
              <w:bottom w:w="0" w:type="dxa"/>
              <w:right w:w="108" w:type="dxa"/>
            </w:tcMar>
          </w:tcPr>
          <w:p w14:paraId="7106D276" w14:textId="77777777" w:rsidR="00BB3E1E" w:rsidRPr="00241762" w:rsidRDefault="00BB3E1E" w:rsidP="0092047C">
            <w:pPr>
              <w:pStyle w:val="TableText"/>
              <w:spacing w:before="50" w:after="50"/>
            </w:pPr>
            <w:r w:rsidRPr="00241762" w:rsidDel="00207B4E">
              <w:t>1.B.1.a.1</w:t>
            </w:r>
          </w:p>
        </w:tc>
        <w:tc>
          <w:tcPr>
            <w:tcW w:w="4423" w:type="dxa"/>
            <w:shd w:val="clear" w:color="auto" w:fill="FFFFFF"/>
            <w:tcMar>
              <w:top w:w="0" w:type="dxa"/>
              <w:left w:w="108" w:type="dxa"/>
              <w:bottom w:w="0" w:type="dxa"/>
              <w:right w:w="108" w:type="dxa"/>
            </w:tcMar>
          </w:tcPr>
          <w:p w14:paraId="2DC4F506" w14:textId="77777777" w:rsidR="00BB3E1E" w:rsidRPr="00241762" w:rsidRDefault="00BB3E1E" w:rsidP="0092047C">
            <w:pPr>
              <w:pStyle w:val="TableText"/>
              <w:spacing w:before="50" w:after="50"/>
            </w:pPr>
            <w:r w:rsidRPr="00241762" w:rsidDel="00207B4E">
              <w:t>Coal Mining and Handling – Underground Mines</w:t>
            </w:r>
          </w:p>
        </w:tc>
        <w:tc>
          <w:tcPr>
            <w:tcW w:w="510" w:type="dxa"/>
            <w:shd w:val="clear" w:color="auto" w:fill="FFFFFF"/>
            <w:tcMar>
              <w:top w:w="0" w:type="dxa"/>
              <w:left w:w="108" w:type="dxa"/>
              <w:bottom w:w="0" w:type="dxa"/>
              <w:right w:w="108" w:type="dxa"/>
            </w:tcMar>
          </w:tcPr>
          <w:p w14:paraId="77F8C044" w14:textId="77777777" w:rsidR="00BB3E1E" w:rsidRPr="00241762" w:rsidRDefault="00BB3E1E" w:rsidP="0092047C">
            <w:pPr>
              <w:pStyle w:val="TableText"/>
              <w:spacing w:before="50" w:after="50"/>
            </w:pPr>
            <w:r w:rsidRPr="00241762" w:rsidDel="00207B4E">
              <w:t>CH</w:t>
            </w:r>
            <w:r w:rsidRPr="00241762" w:rsidDel="00207B4E">
              <w:rPr>
                <w:vertAlign w:val="subscript"/>
              </w:rPr>
              <w:t>4</w:t>
            </w:r>
          </w:p>
        </w:tc>
        <w:tc>
          <w:tcPr>
            <w:tcW w:w="1871" w:type="dxa"/>
            <w:shd w:val="clear" w:color="auto" w:fill="FFFFFF"/>
            <w:tcMar>
              <w:top w:w="0" w:type="dxa"/>
              <w:left w:w="108" w:type="dxa"/>
              <w:bottom w:w="0" w:type="dxa"/>
              <w:right w:w="108" w:type="dxa"/>
            </w:tcMar>
          </w:tcPr>
          <w:p w14:paraId="1CF4EFC9" w14:textId="77777777" w:rsidR="00BB3E1E" w:rsidRPr="00241762" w:rsidRDefault="00BB3E1E" w:rsidP="0092047C">
            <w:pPr>
              <w:pStyle w:val="TableText"/>
              <w:spacing w:before="50" w:after="50"/>
            </w:pPr>
            <w:r w:rsidRPr="00241762" w:rsidDel="00207B4E">
              <w:t>T1</w:t>
            </w:r>
          </w:p>
        </w:tc>
      </w:tr>
      <w:tr w:rsidR="00BB3E1E" w:rsidRPr="00241762" w14:paraId="5C647874" w14:textId="77777777" w:rsidTr="00B05614">
        <w:trPr>
          <w:cantSplit/>
        </w:trPr>
        <w:tc>
          <w:tcPr>
            <w:tcW w:w="1644" w:type="dxa"/>
            <w:shd w:val="clear" w:color="auto" w:fill="FFFFFF"/>
            <w:tcMar>
              <w:top w:w="0" w:type="dxa"/>
              <w:left w:w="108" w:type="dxa"/>
              <w:bottom w:w="0" w:type="dxa"/>
              <w:right w:w="108" w:type="dxa"/>
            </w:tcMar>
          </w:tcPr>
          <w:p w14:paraId="36F8C6AC" w14:textId="77777777" w:rsidR="00BB3E1E" w:rsidRPr="00241762" w:rsidRDefault="00BB3E1E" w:rsidP="0092047C">
            <w:pPr>
              <w:pStyle w:val="TableText"/>
              <w:spacing w:before="50" w:after="50"/>
            </w:pPr>
            <w:r w:rsidRPr="00241762" w:rsidDel="00207B4E">
              <w:t>1.B.2.b.5</w:t>
            </w:r>
          </w:p>
        </w:tc>
        <w:tc>
          <w:tcPr>
            <w:tcW w:w="4423" w:type="dxa"/>
            <w:shd w:val="clear" w:color="auto" w:fill="FFFFFF"/>
            <w:tcMar>
              <w:top w:w="0" w:type="dxa"/>
              <w:left w:w="108" w:type="dxa"/>
              <w:bottom w:w="0" w:type="dxa"/>
              <w:right w:w="108" w:type="dxa"/>
            </w:tcMar>
          </w:tcPr>
          <w:p w14:paraId="00EA7D3E" w14:textId="77777777" w:rsidR="00BB3E1E" w:rsidRPr="00241762" w:rsidRDefault="00BB3E1E" w:rsidP="0092047C">
            <w:pPr>
              <w:pStyle w:val="TableText"/>
              <w:spacing w:before="50" w:after="50"/>
            </w:pPr>
            <w:r w:rsidRPr="00241762" w:rsidDel="00207B4E">
              <w:t>Natural Gas – Distribution</w:t>
            </w:r>
          </w:p>
        </w:tc>
        <w:tc>
          <w:tcPr>
            <w:tcW w:w="510" w:type="dxa"/>
            <w:shd w:val="clear" w:color="auto" w:fill="FFFFFF"/>
            <w:tcMar>
              <w:top w:w="0" w:type="dxa"/>
              <w:left w:w="108" w:type="dxa"/>
              <w:bottom w:w="0" w:type="dxa"/>
              <w:right w:w="108" w:type="dxa"/>
            </w:tcMar>
          </w:tcPr>
          <w:p w14:paraId="3ED37550" w14:textId="77777777" w:rsidR="00BB3E1E" w:rsidRPr="00241762" w:rsidRDefault="00BB3E1E" w:rsidP="0092047C">
            <w:pPr>
              <w:pStyle w:val="TableText"/>
              <w:spacing w:before="50" w:after="50"/>
            </w:pPr>
            <w:r w:rsidRPr="00241762" w:rsidDel="00207B4E">
              <w:t>CH</w:t>
            </w:r>
            <w:r w:rsidRPr="00241762" w:rsidDel="00207B4E">
              <w:rPr>
                <w:vertAlign w:val="subscript"/>
              </w:rPr>
              <w:t>4</w:t>
            </w:r>
          </w:p>
        </w:tc>
        <w:tc>
          <w:tcPr>
            <w:tcW w:w="1871" w:type="dxa"/>
            <w:shd w:val="clear" w:color="auto" w:fill="FFFFFF"/>
            <w:tcMar>
              <w:top w:w="0" w:type="dxa"/>
              <w:left w:w="108" w:type="dxa"/>
              <w:bottom w:w="0" w:type="dxa"/>
              <w:right w:w="108" w:type="dxa"/>
            </w:tcMar>
          </w:tcPr>
          <w:p w14:paraId="514843F9" w14:textId="77777777" w:rsidR="00BB3E1E" w:rsidRPr="00241762" w:rsidRDefault="00BB3E1E" w:rsidP="0092047C">
            <w:pPr>
              <w:pStyle w:val="TableText"/>
              <w:spacing w:before="50" w:after="50"/>
            </w:pPr>
            <w:r w:rsidRPr="00241762" w:rsidDel="00207B4E">
              <w:t>L1, T1</w:t>
            </w:r>
          </w:p>
        </w:tc>
      </w:tr>
      <w:tr w:rsidR="00BB3E1E" w:rsidRPr="00241762" w14:paraId="03E0A168" w14:textId="77777777" w:rsidTr="00B05614">
        <w:trPr>
          <w:cantSplit/>
        </w:trPr>
        <w:tc>
          <w:tcPr>
            <w:tcW w:w="1644" w:type="dxa"/>
            <w:shd w:val="clear" w:color="auto" w:fill="FFFFFF"/>
            <w:tcMar>
              <w:top w:w="0" w:type="dxa"/>
              <w:left w:w="108" w:type="dxa"/>
              <w:bottom w:w="0" w:type="dxa"/>
              <w:right w:w="108" w:type="dxa"/>
            </w:tcMar>
          </w:tcPr>
          <w:p w14:paraId="156DE18B" w14:textId="77777777" w:rsidR="00BB3E1E" w:rsidRPr="00241762" w:rsidRDefault="00BB3E1E" w:rsidP="0092047C">
            <w:pPr>
              <w:pStyle w:val="TableText"/>
              <w:spacing w:before="50" w:after="50"/>
            </w:pPr>
            <w:r w:rsidRPr="00241762" w:rsidDel="00207B4E">
              <w:t>1.B.2.c.1.ii</w:t>
            </w:r>
          </w:p>
        </w:tc>
        <w:tc>
          <w:tcPr>
            <w:tcW w:w="4423" w:type="dxa"/>
            <w:shd w:val="clear" w:color="auto" w:fill="FFFFFF"/>
            <w:tcMar>
              <w:top w:w="0" w:type="dxa"/>
              <w:left w:w="108" w:type="dxa"/>
              <w:bottom w:w="0" w:type="dxa"/>
              <w:right w:w="108" w:type="dxa"/>
            </w:tcMar>
          </w:tcPr>
          <w:p w14:paraId="33725E73" w14:textId="77777777" w:rsidR="00BB3E1E" w:rsidRPr="00241762" w:rsidRDefault="00BB3E1E" w:rsidP="0092047C">
            <w:pPr>
              <w:pStyle w:val="TableText"/>
              <w:spacing w:before="50" w:after="50"/>
            </w:pPr>
            <w:r w:rsidRPr="00241762" w:rsidDel="00207B4E">
              <w:t>Venting – Gas</w:t>
            </w:r>
          </w:p>
        </w:tc>
        <w:tc>
          <w:tcPr>
            <w:tcW w:w="510" w:type="dxa"/>
            <w:shd w:val="clear" w:color="auto" w:fill="FFFFFF"/>
            <w:tcMar>
              <w:top w:w="0" w:type="dxa"/>
              <w:left w:w="108" w:type="dxa"/>
              <w:bottom w:w="0" w:type="dxa"/>
              <w:right w:w="108" w:type="dxa"/>
            </w:tcMar>
          </w:tcPr>
          <w:p w14:paraId="459E2A28"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5FC42C34" w14:textId="77777777" w:rsidR="00BB3E1E" w:rsidRPr="00241762" w:rsidRDefault="00BB3E1E" w:rsidP="0092047C">
            <w:pPr>
              <w:pStyle w:val="TableText"/>
              <w:spacing w:before="50" w:after="50"/>
            </w:pPr>
            <w:r w:rsidRPr="00241762" w:rsidDel="00207B4E">
              <w:t>L1, T1</w:t>
            </w:r>
          </w:p>
        </w:tc>
      </w:tr>
      <w:tr w:rsidR="00BB3E1E" w:rsidRPr="00241762" w14:paraId="300C7049" w14:textId="77777777" w:rsidTr="00B05614">
        <w:trPr>
          <w:cantSplit/>
        </w:trPr>
        <w:tc>
          <w:tcPr>
            <w:tcW w:w="1644" w:type="dxa"/>
            <w:shd w:val="clear" w:color="auto" w:fill="FFFFFF"/>
            <w:tcMar>
              <w:top w:w="0" w:type="dxa"/>
              <w:left w:w="108" w:type="dxa"/>
              <w:bottom w:w="0" w:type="dxa"/>
              <w:right w:w="108" w:type="dxa"/>
            </w:tcMar>
          </w:tcPr>
          <w:p w14:paraId="5B9CD671" w14:textId="77777777" w:rsidR="00BB3E1E" w:rsidRPr="00241762" w:rsidRDefault="00BB3E1E" w:rsidP="0092047C">
            <w:pPr>
              <w:pStyle w:val="TableText"/>
              <w:spacing w:before="50" w:after="50"/>
            </w:pPr>
            <w:r w:rsidRPr="00241762" w:rsidDel="00207B4E">
              <w:t>1.B.2.d</w:t>
            </w:r>
          </w:p>
        </w:tc>
        <w:tc>
          <w:tcPr>
            <w:tcW w:w="4423" w:type="dxa"/>
            <w:shd w:val="clear" w:color="auto" w:fill="FFFFFF"/>
            <w:tcMar>
              <w:top w:w="0" w:type="dxa"/>
              <w:left w:w="108" w:type="dxa"/>
              <w:bottom w:w="0" w:type="dxa"/>
              <w:right w:w="108" w:type="dxa"/>
            </w:tcMar>
          </w:tcPr>
          <w:p w14:paraId="2ADB87B7" w14:textId="77777777" w:rsidR="00BB3E1E" w:rsidRPr="00241762" w:rsidRDefault="00BB3E1E" w:rsidP="0092047C">
            <w:pPr>
              <w:pStyle w:val="TableText"/>
              <w:spacing w:before="50" w:after="50"/>
            </w:pPr>
            <w:r w:rsidRPr="00241762" w:rsidDel="00207B4E">
              <w:t>Other (please specify) – Geothermal</w:t>
            </w:r>
          </w:p>
        </w:tc>
        <w:tc>
          <w:tcPr>
            <w:tcW w:w="510" w:type="dxa"/>
            <w:shd w:val="clear" w:color="auto" w:fill="FFFFFF"/>
            <w:tcMar>
              <w:top w:w="0" w:type="dxa"/>
              <w:left w:w="108" w:type="dxa"/>
              <w:bottom w:w="0" w:type="dxa"/>
              <w:right w:w="108" w:type="dxa"/>
            </w:tcMar>
          </w:tcPr>
          <w:p w14:paraId="42F24914" w14:textId="77777777" w:rsidR="00BB3E1E" w:rsidRPr="00241762" w:rsidRDefault="00BB3E1E" w:rsidP="0092047C">
            <w:pPr>
              <w:pStyle w:val="TableText"/>
              <w:spacing w:before="50" w:after="50"/>
            </w:pPr>
            <w:r w:rsidRPr="00241762">
              <w:t>CO</w:t>
            </w:r>
            <w:r w:rsidRPr="00241762">
              <w:rPr>
                <w:vertAlign w:val="subscript"/>
              </w:rPr>
              <w:t>2</w:t>
            </w:r>
          </w:p>
        </w:tc>
        <w:tc>
          <w:tcPr>
            <w:tcW w:w="1871" w:type="dxa"/>
            <w:shd w:val="clear" w:color="auto" w:fill="FFFFFF"/>
            <w:tcMar>
              <w:top w:w="0" w:type="dxa"/>
              <w:left w:w="108" w:type="dxa"/>
              <w:bottom w:w="0" w:type="dxa"/>
              <w:right w:w="108" w:type="dxa"/>
            </w:tcMar>
          </w:tcPr>
          <w:p w14:paraId="63EA56AF" w14:textId="77777777" w:rsidR="00BB3E1E" w:rsidRPr="00241762" w:rsidRDefault="00BB3E1E" w:rsidP="0092047C">
            <w:pPr>
              <w:pStyle w:val="TableText"/>
              <w:spacing w:before="50" w:after="50"/>
            </w:pPr>
            <w:r w:rsidRPr="00241762" w:rsidDel="00207B4E">
              <w:t>L1, T1</w:t>
            </w:r>
          </w:p>
        </w:tc>
      </w:tr>
      <w:tr w:rsidR="0092047C" w:rsidRPr="00241762" w14:paraId="292CD998" w14:textId="77777777" w:rsidTr="00B05614">
        <w:trPr>
          <w:cantSplit/>
        </w:trPr>
        <w:tc>
          <w:tcPr>
            <w:tcW w:w="1644" w:type="dxa"/>
            <w:shd w:val="clear" w:color="auto" w:fill="FFFFFF"/>
            <w:tcMar>
              <w:top w:w="0" w:type="dxa"/>
              <w:left w:w="108" w:type="dxa"/>
              <w:bottom w:w="0" w:type="dxa"/>
              <w:right w:w="108" w:type="dxa"/>
            </w:tcMar>
          </w:tcPr>
          <w:p w14:paraId="683C6BE5" w14:textId="77777777" w:rsidR="00BB3E1E" w:rsidRPr="00241762" w:rsidRDefault="00BB3E1E" w:rsidP="0092047C">
            <w:pPr>
              <w:pStyle w:val="TableTextBold"/>
              <w:spacing w:before="50" w:after="50"/>
            </w:pPr>
            <w:r w:rsidRPr="00241762" w:rsidDel="00207B4E">
              <w:t>IPPU</w:t>
            </w:r>
          </w:p>
        </w:tc>
        <w:tc>
          <w:tcPr>
            <w:tcW w:w="4423" w:type="dxa"/>
            <w:shd w:val="clear" w:color="auto" w:fill="FFFFFF"/>
            <w:tcMar>
              <w:top w:w="0" w:type="dxa"/>
              <w:left w:w="108" w:type="dxa"/>
              <w:bottom w:w="0" w:type="dxa"/>
              <w:right w:w="108" w:type="dxa"/>
            </w:tcMar>
          </w:tcPr>
          <w:p w14:paraId="7104260D" w14:textId="77777777" w:rsidR="00BB3E1E" w:rsidRPr="00241762" w:rsidRDefault="00BB3E1E" w:rsidP="0092047C">
            <w:pPr>
              <w:pStyle w:val="TableTextBold"/>
              <w:spacing w:before="50" w:after="50"/>
            </w:pPr>
          </w:p>
        </w:tc>
        <w:tc>
          <w:tcPr>
            <w:tcW w:w="510" w:type="dxa"/>
            <w:shd w:val="clear" w:color="auto" w:fill="FFFFFF"/>
            <w:tcMar>
              <w:top w:w="0" w:type="dxa"/>
              <w:left w:w="108" w:type="dxa"/>
              <w:bottom w:w="0" w:type="dxa"/>
              <w:right w:w="108" w:type="dxa"/>
            </w:tcMar>
          </w:tcPr>
          <w:p w14:paraId="4734B636" w14:textId="77777777" w:rsidR="00BB3E1E" w:rsidRPr="00241762" w:rsidRDefault="00BB3E1E" w:rsidP="0092047C">
            <w:pPr>
              <w:pStyle w:val="TableTextBold"/>
              <w:spacing w:before="50" w:after="50"/>
            </w:pPr>
          </w:p>
        </w:tc>
        <w:tc>
          <w:tcPr>
            <w:tcW w:w="1871" w:type="dxa"/>
            <w:shd w:val="clear" w:color="auto" w:fill="FFFFFF"/>
            <w:tcMar>
              <w:top w:w="0" w:type="dxa"/>
              <w:left w:w="108" w:type="dxa"/>
              <w:bottom w:w="0" w:type="dxa"/>
              <w:right w:w="108" w:type="dxa"/>
            </w:tcMar>
          </w:tcPr>
          <w:p w14:paraId="4C3F0843" w14:textId="77777777" w:rsidR="00BB3E1E" w:rsidRPr="00241762" w:rsidRDefault="00BB3E1E" w:rsidP="0092047C">
            <w:pPr>
              <w:pStyle w:val="TableTextBold"/>
              <w:spacing w:before="50" w:after="50"/>
            </w:pPr>
          </w:p>
        </w:tc>
      </w:tr>
      <w:tr w:rsidR="00BB3E1E" w:rsidRPr="00241762" w14:paraId="768B8BD7" w14:textId="77777777" w:rsidTr="00B05614">
        <w:trPr>
          <w:cantSplit/>
        </w:trPr>
        <w:tc>
          <w:tcPr>
            <w:tcW w:w="1644" w:type="dxa"/>
            <w:shd w:val="clear" w:color="auto" w:fill="FFFFFF"/>
            <w:tcMar>
              <w:top w:w="0" w:type="dxa"/>
              <w:left w:w="108" w:type="dxa"/>
              <w:bottom w:w="0" w:type="dxa"/>
              <w:right w:w="108" w:type="dxa"/>
            </w:tcMar>
          </w:tcPr>
          <w:p w14:paraId="38A45B3C" w14:textId="77777777" w:rsidR="00BB3E1E" w:rsidRPr="00241762" w:rsidRDefault="00BB3E1E" w:rsidP="0092047C">
            <w:pPr>
              <w:pStyle w:val="TableText"/>
              <w:spacing w:before="50" w:after="50"/>
            </w:pPr>
            <w:r w:rsidRPr="00241762" w:rsidDel="00207B4E">
              <w:t>2.A.1</w:t>
            </w:r>
          </w:p>
        </w:tc>
        <w:tc>
          <w:tcPr>
            <w:tcW w:w="4423" w:type="dxa"/>
            <w:shd w:val="clear" w:color="auto" w:fill="FFFFFF"/>
            <w:tcMar>
              <w:top w:w="0" w:type="dxa"/>
              <w:left w:w="108" w:type="dxa"/>
              <w:bottom w:w="0" w:type="dxa"/>
              <w:right w:w="108" w:type="dxa"/>
            </w:tcMar>
          </w:tcPr>
          <w:p w14:paraId="144CDD6C" w14:textId="77777777" w:rsidR="00BB3E1E" w:rsidRPr="00241762" w:rsidRDefault="00BB3E1E" w:rsidP="0092047C">
            <w:pPr>
              <w:pStyle w:val="TableText"/>
              <w:spacing w:before="50" w:after="50"/>
            </w:pPr>
            <w:r w:rsidRPr="00241762" w:rsidDel="00207B4E">
              <w:t>Mineral Industry – Cement Production</w:t>
            </w:r>
          </w:p>
        </w:tc>
        <w:tc>
          <w:tcPr>
            <w:tcW w:w="510" w:type="dxa"/>
            <w:shd w:val="clear" w:color="auto" w:fill="FFFFFF"/>
            <w:tcMar>
              <w:top w:w="0" w:type="dxa"/>
              <w:left w:w="108" w:type="dxa"/>
              <w:bottom w:w="0" w:type="dxa"/>
              <w:right w:w="108" w:type="dxa"/>
            </w:tcMar>
          </w:tcPr>
          <w:p w14:paraId="63D73CCB"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5344194D" w14:textId="77777777" w:rsidR="00BB3E1E" w:rsidRPr="00241762" w:rsidRDefault="00BB3E1E" w:rsidP="0092047C">
            <w:pPr>
              <w:pStyle w:val="TableText"/>
              <w:spacing w:before="50" w:after="50"/>
            </w:pPr>
            <w:r w:rsidRPr="00241762" w:rsidDel="00207B4E">
              <w:t>L1, T1</w:t>
            </w:r>
          </w:p>
        </w:tc>
      </w:tr>
      <w:tr w:rsidR="00BB3E1E" w:rsidRPr="00241762" w14:paraId="4C0FAF8B" w14:textId="77777777" w:rsidTr="00B05614">
        <w:trPr>
          <w:cantSplit/>
        </w:trPr>
        <w:tc>
          <w:tcPr>
            <w:tcW w:w="1644" w:type="dxa"/>
            <w:shd w:val="clear" w:color="auto" w:fill="FFFFFF"/>
            <w:tcMar>
              <w:top w:w="0" w:type="dxa"/>
              <w:left w:w="108" w:type="dxa"/>
              <w:bottom w:w="0" w:type="dxa"/>
              <w:right w:w="108" w:type="dxa"/>
            </w:tcMar>
          </w:tcPr>
          <w:p w14:paraId="6280B462" w14:textId="77777777" w:rsidR="00BB3E1E" w:rsidRPr="00241762" w:rsidRDefault="00BB3E1E" w:rsidP="0092047C">
            <w:pPr>
              <w:pStyle w:val="TableText"/>
              <w:spacing w:before="50" w:after="50"/>
            </w:pPr>
            <w:r w:rsidRPr="00241762" w:rsidDel="00207B4E">
              <w:t>2.C.1</w:t>
            </w:r>
          </w:p>
        </w:tc>
        <w:tc>
          <w:tcPr>
            <w:tcW w:w="4423" w:type="dxa"/>
            <w:shd w:val="clear" w:color="auto" w:fill="FFFFFF"/>
            <w:tcMar>
              <w:top w:w="0" w:type="dxa"/>
              <w:left w:w="108" w:type="dxa"/>
              <w:bottom w:w="0" w:type="dxa"/>
              <w:right w:w="108" w:type="dxa"/>
            </w:tcMar>
          </w:tcPr>
          <w:p w14:paraId="7E950869" w14:textId="77777777" w:rsidR="00BB3E1E" w:rsidRPr="00241762" w:rsidRDefault="00BB3E1E" w:rsidP="0092047C">
            <w:pPr>
              <w:pStyle w:val="TableText"/>
              <w:spacing w:before="50" w:after="50"/>
            </w:pPr>
            <w:r w:rsidRPr="00241762" w:rsidDel="00207B4E">
              <w:t>Metal Industry – Iron and Steel Production</w:t>
            </w:r>
          </w:p>
        </w:tc>
        <w:tc>
          <w:tcPr>
            <w:tcW w:w="510" w:type="dxa"/>
            <w:shd w:val="clear" w:color="auto" w:fill="FFFFFF"/>
            <w:tcMar>
              <w:top w:w="0" w:type="dxa"/>
              <w:left w:w="108" w:type="dxa"/>
              <w:bottom w:w="0" w:type="dxa"/>
              <w:right w:w="108" w:type="dxa"/>
            </w:tcMar>
          </w:tcPr>
          <w:p w14:paraId="3670AB2B"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1B635063" w14:textId="77777777" w:rsidR="00BB3E1E" w:rsidRPr="00241762" w:rsidRDefault="00BB3E1E" w:rsidP="0092047C">
            <w:pPr>
              <w:pStyle w:val="TableText"/>
              <w:spacing w:before="50" w:after="50"/>
            </w:pPr>
            <w:r w:rsidRPr="00241762" w:rsidDel="00207B4E">
              <w:t>L1</w:t>
            </w:r>
          </w:p>
        </w:tc>
      </w:tr>
      <w:tr w:rsidR="00BB3E1E" w:rsidRPr="00241762" w14:paraId="26211805" w14:textId="77777777" w:rsidTr="00B05614">
        <w:trPr>
          <w:cantSplit/>
        </w:trPr>
        <w:tc>
          <w:tcPr>
            <w:tcW w:w="1644" w:type="dxa"/>
            <w:shd w:val="clear" w:color="auto" w:fill="FFFFFF"/>
            <w:tcMar>
              <w:top w:w="0" w:type="dxa"/>
              <w:left w:w="108" w:type="dxa"/>
              <w:bottom w:w="0" w:type="dxa"/>
              <w:right w:w="108" w:type="dxa"/>
            </w:tcMar>
          </w:tcPr>
          <w:p w14:paraId="10CE4F93" w14:textId="77777777" w:rsidR="00BB3E1E" w:rsidRPr="00241762" w:rsidRDefault="00BB3E1E" w:rsidP="0092047C">
            <w:pPr>
              <w:pStyle w:val="TableText"/>
              <w:spacing w:before="50" w:after="50"/>
            </w:pPr>
            <w:r w:rsidRPr="00241762" w:rsidDel="00207B4E">
              <w:t>2.C.3</w:t>
            </w:r>
          </w:p>
        </w:tc>
        <w:tc>
          <w:tcPr>
            <w:tcW w:w="4423" w:type="dxa"/>
            <w:shd w:val="clear" w:color="auto" w:fill="FFFFFF"/>
            <w:tcMar>
              <w:top w:w="0" w:type="dxa"/>
              <w:left w:w="108" w:type="dxa"/>
              <w:bottom w:w="0" w:type="dxa"/>
              <w:right w:w="108" w:type="dxa"/>
            </w:tcMar>
          </w:tcPr>
          <w:p w14:paraId="55CF7957" w14:textId="77777777" w:rsidR="00BB3E1E" w:rsidRPr="00241762" w:rsidRDefault="00BB3E1E" w:rsidP="0092047C">
            <w:pPr>
              <w:pStyle w:val="TableText"/>
              <w:spacing w:before="50" w:after="50"/>
            </w:pPr>
            <w:r w:rsidRPr="00241762" w:rsidDel="00207B4E">
              <w:t>Metal Industry – Aluminium Production</w:t>
            </w:r>
          </w:p>
        </w:tc>
        <w:tc>
          <w:tcPr>
            <w:tcW w:w="510" w:type="dxa"/>
            <w:shd w:val="clear" w:color="auto" w:fill="FFFFFF"/>
            <w:tcMar>
              <w:top w:w="0" w:type="dxa"/>
              <w:left w:w="108" w:type="dxa"/>
              <w:bottom w:w="0" w:type="dxa"/>
              <w:right w:w="108" w:type="dxa"/>
            </w:tcMar>
          </w:tcPr>
          <w:p w14:paraId="136EEEA0"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21C538CF" w14:textId="77777777" w:rsidR="00BB3E1E" w:rsidRPr="00241762" w:rsidRDefault="00BB3E1E" w:rsidP="0092047C">
            <w:pPr>
              <w:pStyle w:val="TableText"/>
              <w:spacing w:before="50" w:after="50"/>
            </w:pPr>
            <w:r w:rsidRPr="00241762" w:rsidDel="00207B4E">
              <w:t>L1</w:t>
            </w:r>
          </w:p>
        </w:tc>
      </w:tr>
      <w:tr w:rsidR="00BB3E1E" w:rsidRPr="00241762" w14:paraId="6BF30DFE" w14:textId="77777777" w:rsidTr="00B05614">
        <w:trPr>
          <w:cantSplit/>
        </w:trPr>
        <w:tc>
          <w:tcPr>
            <w:tcW w:w="1644" w:type="dxa"/>
            <w:shd w:val="clear" w:color="auto" w:fill="FFFFFF"/>
            <w:tcMar>
              <w:top w:w="0" w:type="dxa"/>
              <w:left w:w="108" w:type="dxa"/>
              <w:bottom w:w="0" w:type="dxa"/>
              <w:right w:w="108" w:type="dxa"/>
            </w:tcMar>
          </w:tcPr>
          <w:p w14:paraId="5EA341D8" w14:textId="77777777" w:rsidR="00BB3E1E" w:rsidRPr="00241762" w:rsidRDefault="00BB3E1E" w:rsidP="0092047C">
            <w:pPr>
              <w:pStyle w:val="TableText"/>
              <w:spacing w:before="50" w:after="50"/>
            </w:pPr>
            <w:r w:rsidRPr="00241762" w:rsidDel="00207B4E">
              <w:t>2.C.3</w:t>
            </w:r>
          </w:p>
        </w:tc>
        <w:tc>
          <w:tcPr>
            <w:tcW w:w="4423" w:type="dxa"/>
            <w:shd w:val="clear" w:color="auto" w:fill="FFFFFF"/>
            <w:tcMar>
              <w:top w:w="0" w:type="dxa"/>
              <w:left w:w="108" w:type="dxa"/>
              <w:bottom w:w="0" w:type="dxa"/>
              <w:right w:w="108" w:type="dxa"/>
            </w:tcMar>
          </w:tcPr>
          <w:p w14:paraId="3821E6FE" w14:textId="77777777" w:rsidR="00BB3E1E" w:rsidRPr="00241762" w:rsidRDefault="00BB3E1E" w:rsidP="0092047C">
            <w:pPr>
              <w:pStyle w:val="TableText"/>
              <w:spacing w:before="50" w:after="50"/>
            </w:pPr>
            <w:r w:rsidRPr="00241762" w:rsidDel="00207B4E">
              <w:t>Metal Industry – Aluminium Production</w:t>
            </w:r>
          </w:p>
        </w:tc>
        <w:tc>
          <w:tcPr>
            <w:tcW w:w="510" w:type="dxa"/>
            <w:shd w:val="clear" w:color="auto" w:fill="FFFFFF"/>
            <w:tcMar>
              <w:top w:w="0" w:type="dxa"/>
              <w:left w:w="108" w:type="dxa"/>
              <w:bottom w:w="0" w:type="dxa"/>
              <w:right w:w="108" w:type="dxa"/>
            </w:tcMar>
          </w:tcPr>
          <w:p w14:paraId="07A76ADB" w14:textId="77777777" w:rsidR="00BB3E1E" w:rsidRPr="00241762" w:rsidRDefault="00BB3E1E" w:rsidP="0092047C">
            <w:pPr>
              <w:pStyle w:val="TableText"/>
              <w:spacing w:before="50" w:after="50"/>
            </w:pPr>
            <w:r w:rsidRPr="00241762" w:rsidDel="00207B4E">
              <w:t>PFCs</w:t>
            </w:r>
          </w:p>
        </w:tc>
        <w:tc>
          <w:tcPr>
            <w:tcW w:w="1871" w:type="dxa"/>
            <w:shd w:val="clear" w:color="auto" w:fill="FFFFFF"/>
            <w:tcMar>
              <w:top w:w="0" w:type="dxa"/>
              <w:left w:w="108" w:type="dxa"/>
              <w:bottom w:w="0" w:type="dxa"/>
              <w:right w:w="108" w:type="dxa"/>
            </w:tcMar>
          </w:tcPr>
          <w:p w14:paraId="3CBAF919" w14:textId="77777777" w:rsidR="00BB3E1E" w:rsidRPr="00241762" w:rsidRDefault="00BB3E1E" w:rsidP="0092047C">
            <w:pPr>
              <w:pStyle w:val="TableText"/>
              <w:spacing w:before="50" w:after="50"/>
            </w:pPr>
            <w:r w:rsidRPr="00241762" w:rsidDel="00207B4E">
              <w:t>T1</w:t>
            </w:r>
          </w:p>
        </w:tc>
      </w:tr>
      <w:tr w:rsidR="00BB3E1E" w:rsidRPr="00241762" w14:paraId="79B97B56" w14:textId="77777777" w:rsidTr="00B05614">
        <w:trPr>
          <w:cantSplit/>
        </w:trPr>
        <w:tc>
          <w:tcPr>
            <w:tcW w:w="1644" w:type="dxa"/>
            <w:shd w:val="clear" w:color="auto" w:fill="FFFFFF"/>
            <w:tcMar>
              <w:top w:w="0" w:type="dxa"/>
              <w:left w:w="108" w:type="dxa"/>
              <w:bottom w:w="0" w:type="dxa"/>
              <w:right w:w="108" w:type="dxa"/>
            </w:tcMar>
          </w:tcPr>
          <w:p w14:paraId="666CC846" w14:textId="77777777" w:rsidR="00BB3E1E" w:rsidRPr="00241762" w:rsidRDefault="00BB3E1E" w:rsidP="0092047C">
            <w:pPr>
              <w:pStyle w:val="TableText"/>
              <w:spacing w:before="50" w:after="50"/>
            </w:pPr>
            <w:r w:rsidRPr="00241762" w:rsidDel="00207B4E">
              <w:t>2.F.1</w:t>
            </w:r>
          </w:p>
        </w:tc>
        <w:tc>
          <w:tcPr>
            <w:tcW w:w="4423" w:type="dxa"/>
            <w:shd w:val="clear" w:color="auto" w:fill="FFFFFF"/>
            <w:tcMar>
              <w:top w:w="0" w:type="dxa"/>
              <w:left w:w="108" w:type="dxa"/>
              <w:bottom w:w="0" w:type="dxa"/>
              <w:right w:w="108" w:type="dxa"/>
            </w:tcMar>
          </w:tcPr>
          <w:p w14:paraId="764C2122" w14:textId="77777777" w:rsidR="00BB3E1E" w:rsidRPr="00241762" w:rsidRDefault="00BB3E1E" w:rsidP="0092047C">
            <w:pPr>
              <w:pStyle w:val="TableText"/>
              <w:spacing w:before="50" w:after="50"/>
            </w:pPr>
            <w:r w:rsidRPr="00241762" w:rsidDel="00207B4E">
              <w:t xml:space="preserve">Product Uses as Substitutes for ODS – Refrigeration and Air </w:t>
            </w:r>
            <w:r>
              <w:t>C</w:t>
            </w:r>
            <w:r w:rsidRPr="00241762" w:rsidDel="00207B4E">
              <w:t>onditioning</w:t>
            </w:r>
          </w:p>
        </w:tc>
        <w:tc>
          <w:tcPr>
            <w:tcW w:w="510" w:type="dxa"/>
            <w:shd w:val="clear" w:color="auto" w:fill="FFFFFF"/>
            <w:tcMar>
              <w:top w:w="0" w:type="dxa"/>
              <w:left w:w="108" w:type="dxa"/>
              <w:bottom w:w="0" w:type="dxa"/>
              <w:right w:w="108" w:type="dxa"/>
            </w:tcMar>
          </w:tcPr>
          <w:p w14:paraId="61A01148" w14:textId="77777777" w:rsidR="00BB3E1E" w:rsidRPr="00241762" w:rsidRDefault="00BB3E1E" w:rsidP="0092047C">
            <w:pPr>
              <w:pStyle w:val="TableText"/>
              <w:spacing w:before="50" w:after="50"/>
            </w:pPr>
            <w:r w:rsidRPr="00241762">
              <w:t>HFCs</w:t>
            </w:r>
          </w:p>
        </w:tc>
        <w:tc>
          <w:tcPr>
            <w:tcW w:w="1871" w:type="dxa"/>
            <w:shd w:val="clear" w:color="auto" w:fill="FFFFFF"/>
            <w:tcMar>
              <w:top w:w="0" w:type="dxa"/>
              <w:left w:w="108" w:type="dxa"/>
              <w:bottom w:w="0" w:type="dxa"/>
              <w:right w:w="108" w:type="dxa"/>
            </w:tcMar>
          </w:tcPr>
          <w:p w14:paraId="54C3E1C7" w14:textId="77777777" w:rsidR="00BB3E1E" w:rsidRPr="00241762" w:rsidRDefault="00BB3E1E" w:rsidP="0092047C">
            <w:pPr>
              <w:pStyle w:val="TableText"/>
              <w:spacing w:before="50" w:after="50"/>
            </w:pPr>
            <w:r w:rsidRPr="00241762" w:rsidDel="00207B4E">
              <w:t>L1, T1</w:t>
            </w:r>
          </w:p>
        </w:tc>
      </w:tr>
      <w:tr w:rsidR="0092047C" w:rsidRPr="00241762" w14:paraId="0AB11407" w14:textId="77777777" w:rsidTr="00B05614">
        <w:trPr>
          <w:cantSplit/>
        </w:trPr>
        <w:tc>
          <w:tcPr>
            <w:tcW w:w="1644" w:type="dxa"/>
            <w:shd w:val="clear" w:color="auto" w:fill="FFFFFF"/>
            <w:tcMar>
              <w:top w:w="0" w:type="dxa"/>
              <w:left w:w="108" w:type="dxa"/>
              <w:bottom w:w="0" w:type="dxa"/>
              <w:right w:w="108" w:type="dxa"/>
            </w:tcMar>
          </w:tcPr>
          <w:p w14:paraId="5BBD8F99" w14:textId="77777777" w:rsidR="00BB3E1E" w:rsidRPr="00241762" w:rsidRDefault="00BB3E1E" w:rsidP="0092047C">
            <w:pPr>
              <w:pStyle w:val="TableTextBold"/>
              <w:spacing w:before="50" w:after="50"/>
            </w:pPr>
            <w:r w:rsidRPr="00241762" w:rsidDel="00207B4E">
              <w:t>Agriculture</w:t>
            </w:r>
          </w:p>
        </w:tc>
        <w:tc>
          <w:tcPr>
            <w:tcW w:w="4423" w:type="dxa"/>
            <w:shd w:val="clear" w:color="auto" w:fill="FFFFFF"/>
            <w:tcMar>
              <w:top w:w="0" w:type="dxa"/>
              <w:left w:w="108" w:type="dxa"/>
              <w:bottom w:w="0" w:type="dxa"/>
              <w:right w:w="108" w:type="dxa"/>
            </w:tcMar>
          </w:tcPr>
          <w:p w14:paraId="123AB614" w14:textId="77777777" w:rsidR="00BB3E1E" w:rsidRPr="00241762" w:rsidRDefault="00BB3E1E" w:rsidP="0092047C">
            <w:pPr>
              <w:pStyle w:val="TableTextBold"/>
              <w:spacing w:before="50" w:after="50"/>
            </w:pPr>
          </w:p>
        </w:tc>
        <w:tc>
          <w:tcPr>
            <w:tcW w:w="510" w:type="dxa"/>
            <w:shd w:val="clear" w:color="auto" w:fill="FFFFFF"/>
            <w:tcMar>
              <w:top w:w="0" w:type="dxa"/>
              <w:left w:w="108" w:type="dxa"/>
              <w:bottom w:w="0" w:type="dxa"/>
              <w:right w:w="108" w:type="dxa"/>
            </w:tcMar>
          </w:tcPr>
          <w:p w14:paraId="7167DA68" w14:textId="77777777" w:rsidR="00BB3E1E" w:rsidRPr="00241762" w:rsidRDefault="00BB3E1E" w:rsidP="0092047C">
            <w:pPr>
              <w:pStyle w:val="TableTextBold"/>
              <w:spacing w:before="50" w:after="50"/>
            </w:pPr>
          </w:p>
        </w:tc>
        <w:tc>
          <w:tcPr>
            <w:tcW w:w="1871" w:type="dxa"/>
            <w:shd w:val="clear" w:color="auto" w:fill="FFFFFF"/>
            <w:tcMar>
              <w:top w:w="0" w:type="dxa"/>
              <w:left w:w="108" w:type="dxa"/>
              <w:bottom w:w="0" w:type="dxa"/>
              <w:right w:w="108" w:type="dxa"/>
            </w:tcMar>
          </w:tcPr>
          <w:p w14:paraId="3832AA03" w14:textId="77777777" w:rsidR="00BB3E1E" w:rsidRPr="00241762" w:rsidRDefault="00BB3E1E" w:rsidP="0092047C">
            <w:pPr>
              <w:pStyle w:val="TableTextBold"/>
              <w:spacing w:before="50" w:after="50"/>
            </w:pPr>
          </w:p>
        </w:tc>
      </w:tr>
      <w:tr w:rsidR="00BB3E1E" w:rsidRPr="00241762" w14:paraId="192B54FB" w14:textId="77777777" w:rsidTr="00B05614">
        <w:trPr>
          <w:cantSplit/>
        </w:trPr>
        <w:tc>
          <w:tcPr>
            <w:tcW w:w="1644" w:type="dxa"/>
            <w:shd w:val="clear" w:color="auto" w:fill="FFFFFF"/>
            <w:tcMar>
              <w:top w:w="0" w:type="dxa"/>
              <w:left w:w="108" w:type="dxa"/>
              <w:bottom w:w="0" w:type="dxa"/>
              <w:right w:w="108" w:type="dxa"/>
            </w:tcMar>
          </w:tcPr>
          <w:p w14:paraId="465A0957" w14:textId="77777777" w:rsidR="00BB3E1E" w:rsidRPr="00241762" w:rsidRDefault="00BB3E1E" w:rsidP="0092047C">
            <w:pPr>
              <w:pStyle w:val="TableText"/>
              <w:spacing w:before="50" w:after="50"/>
            </w:pPr>
            <w:r w:rsidRPr="00241762" w:rsidDel="00207B4E">
              <w:t>3.A.1</w:t>
            </w:r>
          </w:p>
        </w:tc>
        <w:tc>
          <w:tcPr>
            <w:tcW w:w="4423" w:type="dxa"/>
            <w:shd w:val="clear" w:color="auto" w:fill="FFFFFF"/>
            <w:tcMar>
              <w:top w:w="0" w:type="dxa"/>
              <w:left w:w="108" w:type="dxa"/>
              <w:bottom w:w="0" w:type="dxa"/>
              <w:right w:w="108" w:type="dxa"/>
            </w:tcMar>
          </w:tcPr>
          <w:p w14:paraId="07251C4F" w14:textId="77777777" w:rsidR="00BB3E1E" w:rsidRPr="00241762" w:rsidRDefault="00BB3E1E" w:rsidP="0092047C">
            <w:pPr>
              <w:pStyle w:val="TableText"/>
              <w:spacing w:before="50" w:after="50"/>
            </w:pPr>
            <w:r w:rsidRPr="00241762" w:rsidDel="00207B4E">
              <w:t>Option A – Dairy Cattle</w:t>
            </w:r>
          </w:p>
        </w:tc>
        <w:tc>
          <w:tcPr>
            <w:tcW w:w="510" w:type="dxa"/>
            <w:shd w:val="clear" w:color="auto" w:fill="FFFFFF"/>
            <w:tcMar>
              <w:top w:w="0" w:type="dxa"/>
              <w:left w:w="108" w:type="dxa"/>
              <w:bottom w:w="0" w:type="dxa"/>
              <w:right w:w="108" w:type="dxa"/>
            </w:tcMar>
          </w:tcPr>
          <w:p w14:paraId="35BBC40A" w14:textId="77777777" w:rsidR="00BB3E1E" w:rsidRPr="00241762" w:rsidRDefault="00BB3E1E" w:rsidP="0092047C">
            <w:pPr>
              <w:pStyle w:val="TableText"/>
              <w:spacing w:before="50" w:after="50"/>
            </w:pPr>
            <w:r w:rsidRPr="00241762" w:rsidDel="00207B4E">
              <w:t>CH</w:t>
            </w:r>
            <w:r w:rsidRPr="00241762" w:rsidDel="00207B4E">
              <w:rPr>
                <w:vertAlign w:val="subscript"/>
              </w:rPr>
              <w:t>4</w:t>
            </w:r>
          </w:p>
        </w:tc>
        <w:tc>
          <w:tcPr>
            <w:tcW w:w="1871" w:type="dxa"/>
            <w:shd w:val="clear" w:color="auto" w:fill="FFFFFF"/>
            <w:tcMar>
              <w:top w:w="0" w:type="dxa"/>
              <w:left w:w="108" w:type="dxa"/>
              <w:bottom w:w="0" w:type="dxa"/>
              <w:right w:w="108" w:type="dxa"/>
            </w:tcMar>
          </w:tcPr>
          <w:p w14:paraId="7F5C7617" w14:textId="77777777" w:rsidR="00BB3E1E" w:rsidRPr="00241762" w:rsidRDefault="00BB3E1E" w:rsidP="0092047C">
            <w:pPr>
              <w:pStyle w:val="TableText"/>
              <w:spacing w:before="50" w:after="50"/>
            </w:pPr>
            <w:r w:rsidRPr="00241762" w:rsidDel="00207B4E">
              <w:t>L1, T1</w:t>
            </w:r>
          </w:p>
        </w:tc>
      </w:tr>
      <w:tr w:rsidR="00BB3E1E" w:rsidRPr="00241762" w14:paraId="46A3A79C" w14:textId="77777777" w:rsidTr="00B05614">
        <w:trPr>
          <w:cantSplit/>
        </w:trPr>
        <w:tc>
          <w:tcPr>
            <w:tcW w:w="1644" w:type="dxa"/>
            <w:shd w:val="clear" w:color="auto" w:fill="FFFFFF"/>
            <w:tcMar>
              <w:top w:w="0" w:type="dxa"/>
              <w:left w:w="108" w:type="dxa"/>
              <w:bottom w:w="0" w:type="dxa"/>
              <w:right w:w="108" w:type="dxa"/>
            </w:tcMar>
          </w:tcPr>
          <w:p w14:paraId="2E67E824" w14:textId="77777777" w:rsidR="00BB3E1E" w:rsidRPr="00241762" w:rsidRDefault="00BB3E1E" w:rsidP="0092047C">
            <w:pPr>
              <w:pStyle w:val="TableText"/>
              <w:spacing w:before="50" w:after="50"/>
            </w:pPr>
            <w:r w:rsidRPr="00241762" w:rsidDel="00207B4E">
              <w:t>3.A.1</w:t>
            </w:r>
          </w:p>
        </w:tc>
        <w:tc>
          <w:tcPr>
            <w:tcW w:w="4423" w:type="dxa"/>
            <w:shd w:val="clear" w:color="auto" w:fill="FFFFFF"/>
            <w:tcMar>
              <w:top w:w="0" w:type="dxa"/>
              <w:left w:w="108" w:type="dxa"/>
              <w:bottom w:w="0" w:type="dxa"/>
              <w:right w:w="108" w:type="dxa"/>
            </w:tcMar>
          </w:tcPr>
          <w:p w14:paraId="63418771" w14:textId="77777777" w:rsidR="00BB3E1E" w:rsidRPr="00241762" w:rsidRDefault="00BB3E1E" w:rsidP="0092047C">
            <w:pPr>
              <w:pStyle w:val="TableText"/>
              <w:spacing w:before="50" w:after="50"/>
            </w:pPr>
            <w:r w:rsidRPr="00241762" w:rsidDel="00207B4E">
              <w:t>Option A – Non-</w:t>
            </w:r>
            <w:r w:rsidRPr="00241762">
              <w:t>D</w:t>
            </w:r>
            <w:r w:rsidRPr="00241762" w:rsidDel="00207B4E">
              <w:t xml:space="preserve">airy </w:t>
            </w:r>
            <w:r>
              <w:t>(</w:t>
            </w:r>
            <w:r w:rsidRPr="00BD53F0">
              <w:rPr>
                <w:i/>
                <w:iCs/>
              </w:rPr>
              <w:t>Beef</w:t>
            </w:r>
            <w:r>
              <w:t xml:space="preserve">) </w:t>
            </w:r>
            <w:r w:rsidRPr="00241762" w:rsidDel="00207B4E">
              <w:t>Cattle</w:t>
            </w:r>
          </w:p>
        </w:tc>
        <w:tc>
          <w:tcPr>
            <w:tcW w:w="510" w:type="dxa"/>
            <w:shd w:val="clear" w:color="auto" w:fill="FFFFFF"/>
            <w:tcMar>
              <w:top w:w="0" w:type="dxa"/>
              <w:left w:w="108" w:type="dxa"/>
              <w:bottom w:w="0" w:type="dxa"/>
              <w:right w:w="108" w:type="dxa"/>
            </w:tcMar>
          </w:tcPr>
          <w:p w14:paraId="63F5D623" w14:textId="77777777" w:rsidR="00BB3E1E" w:rsidRPr="00241762" w:rsidRDefault="00BB3E1E" w:rsidP="0092047C">
            <w:pPr>
              <w:pStyle w:val="TableText"/>
              <w:spacing w:before="50" w:after="50"/>
            </w:pPr>
            <w:r w:rsidRPr="00241762" w:rsidDel="00207B4E">
              <w:t>CH</w:t>
            </w:r>
            <w:r w:rsidRPr="00241762" w:rsidDel="00207B4E">
              <w:rPr>
                <w:vertAlign w:val="subscript"/>
              </w:rPr>
              <w:t>4</w:t>
            </w:r>
          </w:p>
        </w:tc>
        <w:tc>
          <w:tcPr>
            <w:tcW w:w="1871" w:type="dxa"/>
            <w:shd w:val="clear" w:color="auto" w:fill="FFFFFF"/>
            <w:tcMar>
              <w:top w:w="0" w:type="dxa"/>
              <w:left w:w="108" w:type="dxa"/>
              <w:bottom w:w="0" w:type="dxa"/>
              <w:right w:w="108" w:type="dxa"/>
            </w:tcMar>
          </w:tcPr>
          <w:p w14:paraId="6924DF9E" w14:textId="77777777" w:rsidR="00BB3E1E" w:rsidRPr="00241762" w:rsidRDefault="00BB3E1E" w:rsidP="0092047C">
            <w:pPr>
              <w:pStyle w:val="TableText"/>
              <w:spacing w:before="50" w:after="50"/>
            </w:pPr>
            <w:r w:rsidRPr="00241762" w:rsidDel="00207B4E">
              <w:t>L1, T1</w:t>
            </w:r>
          </w:p>
        </w:tc>
      </w:tr>
      <w:tr w:rsidR="00BB3E1E" w:rsidRPr="00241762" w14:paraId="2B542ECE" w14:textId="77777777" w:rsidTr="00B05614">
        <w:trPr>
          <w:cantSplit/>
        </w:trPr>
        <w:tc>
          <w:tcPr>
            <w:tcW w:w="1644" w:type="dxa"/>
            <w:shd w:val="clear" w:color="auto" w:fill="FFFFFF"/>
            <w:tcMar>
              <w:top w:w="0" w:type="dxa"/>
              <w:left w:w="108" w:type="dxa"/>
              <w:bottom w:w="0" w:type="dxa"/>
              <w:right w:w="108" w:type="dxa"/>
            </w:tcMar>
          </w:tcPr>
          <w:p w14:paraId="0F61E524" w14:textId="77777777" w:rsidR="00BB3E1E" w:rsidRPr="00241762" w:rsidRDefault="00BB3E1E" w:rsidP="0092047C">
            <w:pPr>
              <w:pStyle w:val="TableText"/>
              <w:spacing w:before="50" w:after="50"/>
            </w:pPr>
            <w:r w:rsidRPr="00241762" w:rsidDel="00207B4E">
              <w:t>3.A.2</w:t>
            </w:r>
          </w:p>
        </w:tc>
        <w:tc>
          <w:tcPr>
            <w:tcW w:w="4423" w:type="dxa"/>
            <w:shd w:val="clear" w:color="auto" w:fill="FFFFFF"/>
            <w:tcMar>
              <w:top w:w="0" w:type="dxa"/>
              <w:left w:w="108" w:type="dxa"/>
              <w:bottom w:w="0" w:type="dxa"/>
              <w:right w:w="108" w:type="dxa"/>
            </w:tcMar>
          </w:tcPr>
          <w:p w14:paraId="39A044E9" w14:textId="77777777" w:rsidR="00BB3E1E" w:rsidRPr="00241762" w:rsidRDefault="00BB3E1E" w:rsidP="0092047C">
            <w:pPr>
              <w:pStyle w:val="TableText"/>
              <w:spacing w:before="50" w:after="50"/>
            </w:pPr>
            <w:r w:rsidRPr="00241762" w:rsidDel="00207B4E">
              <w:t>Other (please specify) – Sheep</w:t>
            </w:r>
          </w:p>
        </w:tc>
        <w:tc>
          <w:tcPr>
            <w:tcW w:w="510" w:type="dxa"/>
            <w:shd w:val="clear" w:color="auto" w:fill="FFFFFF"/>
            <w:tcMar>
              <w:top w:w="0" w:type="dxa"/>
              <w:left w:w="108" w:type="dxa"/>
              <w:bottom w:w="0" w:type="dxa"/>
              <w:right w:w="108" w:type="dxa"/>
            </w:tcMar>
          </w:tcPr>
          <w:p w14:paraId="54806646" w14:textId="77777777" w:rsidR="00BB3E1E" w:rsidRPr="00241762" w:rsidRDefault="00BB3E1E" w:rsidP="0092047C">
            <w:pPr>
              <w:pStyle w:val="TableText"/>
              <w:spacing w:before="50" w:after="50"/>
            </w:pPr>
            <w:r w:rsidRPr="00241762" w:rsidDel="00207B4E">
              <w:t>CH</w:t>
            </w:r>
            <w:r w:rsidRPr="00241762" w:rsidDel="00207B4E">
              <w:rPr>
                <w:vertAlign w:val="subscript"/>
              </w:rPr>
              <w:t>4</w:t>
            </w:r>
          </w:p>
        </w:tc>
        <w:tc>
          <w:tcPr>
            <w:tcW w:w="1871" w:type="dxa"/>
            <w:shd w:val="clear" w:color="auto" w:fill="FFFFFF"/>
            <w:tcMar>
              <w:top w:w="0" w:type="dxa"/>
              <w:left w:w="108" w:type="dxa"/>
              <w:bottom w:w="0" w:type="dxa"/>
              <w:right w:w="108" w:type="dxa"/>
            </w:tcMar>
          </w:tcPr>
          <w:p w14:paraId="5CE07E25" w14:textId="77777777" w:rsidR="00BB3E1E" w:rsidRPr="00241762" w:rsidRDefault="00BB3E1E" w:rsidP="0092047C">
            <w:pPr>
              <w:pStyle w:val="TableText"/>
              <w:spacing w:before="50" w:after="50"/>
            </w:pPr>
            <w:r w:rsidRPr="00241762" w:rsidDel="00207B4E">
              <w:t>L1, T1</w:t>
            </w:r>
          </w:p>
        </w:tc>
      </w:tr>
      <w:tr w:rsidR="00BB3E1E" w:rsidRPr="00241762" w14:paraId="47CA0F22" w14:textId="77777777" w:rsidTr="00B05614">
        <w:trPr>
          <w:cantSplit/>
        </w:trPr>
        <w:tc>
          <w:tcPr>
            <w:tcW w:w="1644" w:type="dxa"/>
            <w:shd w:val="clear" w:color="auto" w:fill="FFFFFF"/>
            <w:tcMar>
              <w:top w:w="0" w:type="dxa"/>
              <w:left w:w="108" w:type="dxa"/>
              <w:bottom w:w="0" w:type="dxa"/>
              <w:right w:w="108" w:type="dxa"/>
            </w:tcMar>
          </w:tcPr>
          <w:p w14:paraId="579454C0" w14:textId="77777777" w:rsidR="00BB3E1E" w:rsidRPr="00241762" w:rsidRDefault="00BB3E1E" w:rsidP="0092047C">
            <w:pPr>
              <w:pStyle w:val="TableText"/>
              <w:spacing w:before="50" w:after="50"/>
            </w:pPr>
            <w:r w:rsidRPr="00241762" w:rsidDel="00207B4E">
              <w:t>3.A.4</w:t>
            </w:r>
          </w:p>
        </w:tc>
        <w:tc>
          <w:tcPr>
            <w:tcW w:w="4423" w:type="dxa"/>
            <w:shd w:val="clear" w:color="auto" w:fill="FFFFFF"/>
            <w:tcMar>
              <w:top w:w="0" w:type="dxa"/>
              <w:left w:w="108" w:type="dxa"/>
              <w:bottom w:w="0" w:type="dxa"/>
              <w:right w:w="108" w:type="dxa"/>
            </w:tcMar>
          </w:tcPr>
          <w:p w14:paraId="70842143" w14:textId="77777777" w:rsidR="00BB3E1E" w:rsidRPr="00241762" w:rsidRDefault="00BB3E1E" w:rsidP="0092047C">
            <w:pPr>
              <w:pStyle w:val="TableText"/>
              <w:spacing w:before="50" w:after="50"/>
            </w:pPr>
            <w:r w:rsidRPr="00241762" w:rsidDel="00207B4E">
              <w:t xml:space="preserve">Other </w:t>
            </w:r>
            <w:r>
              <w:t>L</w:t>
            </w:r>
            <w:r w:rsidRPr="00241762" w:rsidDel="00207B4E">
              <w:t>ivestock – Deer</w:t>
            </w:r>
          </w:p>
        </w:tc>
        <w:tc>
          <w:tcPr>
            <w:tcW w:w="510" w:type="dxa"/>
            <w:shd w:val="clear" w:color="auto" w:fill="FFFFFF"/>
            <w:tcMar>
              <w:top w:w="0" w:type="dxa"/>
              <w:left w:w="108" w:type="dxa"/>
              <w:bottom w:w="0" w:type="dxa"/>
              <w:right w:w="108" w:type="dxa"/>
            </w:tcMar>
          </w:tcPr>
          <w:p w14:paraId="17FD0D8A" w14:textId="77777777" w:rsidR="00BB3E1E" w:rsidRPr="00241762" w:rsidRDefault="00BB3E1E" w:rsidP="0092047C">
            <w:pPr>
              <w:pStyle w:val="TableText"/>
              <w:spacing w:before="50" w:after="50"/>
            </w:pPr>
            <w:r w:rsidRPr="00241762" w:rsidDel="00207B4E">
              <w:t>CH</w:t>
            </w:r>
            <w:r w:rsidRPr="00241762" w:rsidDel="00207B4E">
              <w:rPr>
                <w:vertAlign w:val="subscript"/>
              </w:rPr>
              <w:t>4</w:t>
            </w:r>
          </w:p>
        </w:tc>
        <w:tc>
          <w:tcPr>
            <w:tcW w:w="1871" w:type="dxa"/>
            <w:shd w:val="clear" w:color="auto" w:fill="FFFFFF"/>
            <w:tcMar>
              <w:top w:w="0" w:type="dxa"/>
              <w:left w:w="108" w:type="dxa"/>
              <w:bottom w:w="0" w:type="dxa"/>
              <w:right w:w="108" w:type="dxa"/>
            </w:tcMar>
          </w:tcPr>
          <w:p w14:paraId="61FD26E5" w14:textId="77777777" w:rsidR="00BB3E1E" w:rsidRPr="00241762" w:rsidRDefault="00BB3E1E" w:rsidP="0092047C">
            <w:pPr>
              <w:pStyle w:val="TableText"/>
              <w:spacing w:before="50" w:after="50"/>
            </w:pPr>
            <w:r w:rsidRPr="00241762" w:rsidDel="00207B4E">
              <w:t>L1</w:t>
            </w:r>
          </w:p>
        </w:tc>
      </w:tr>
      <w:tr w:rsidR="00BB3E1E" w:rsidRPr="00241762" w14:paraId="5F807AF6" w14:textId="77777777" w:rsidTr="00B05614">
        <w:trPr>
          <w:cantSplit/>
        </w:trPr>
        <w:tc>
          <w:tcPr>
            <w:tcW w:w="1644" w:type="dxa"/>
            <w:shd w:val="clear" w:color="auto" w:fill="FFFFFF"/>
            <w:tcMar>
              <w:top w:w="0" w:type="dxa"/>
              <w:left w:w="108" w:type="dxa"/>
              <w:bottom w:w="0" w:type="dxa"/>
              <w:right w:w="108" w:type="dxa"/>
            </w:tcMar>
          </w:tcPr>
          <w:p w14:paraId="2DB3736E" w14:textId="77777777" w:rsidR="00BB3E1E" w:rsidRPr="00241762" w:rsidRDefault="00BB3E1E" w:rsidP="0092047C">
            <w:pPr>
              <w:pStyle w:val="TableText"/>
              <w:spacing w:before="50" w:after="50"/>
            </w:pPr>
            <w:r w:rsidRPr="00241762" w:rsidDel="00207B4E">
              <w:t>3.A.4</w:t>
            </w:r>
          </w:p>
        </w:tc>
        <w:tc>
          <w:tcPr>
            <w:tcW w:w="4423" w:type="dxa"/>
            <w:shd w:val="clear" w:color="auto" w:fill="FFFFFF"/>
            <w:tcMar>
              <w:top w:w="0" w:type="dxa"/>
              <w:left w:w="108" w:type="dxa"/>
              <w:bottom w:w="0" w:type="dxa"/>
              <w:right w:w="108" w:type="dxa"/>
            </w:tcMar>
          </w:tcPr>
          <w:p w14:paraId="586001E6" w14:textId="77777777" w:rsidR="00BB3E1E" w:rsidRPr="00241762" w:rsidRDefault="00BB3E1E" w:rsidP="0092047C">
            <w:pPr>
              <w:pStyle w:val="TableText"/>
              <w:spacing w:before="50" w:after="50"/>
            </w:pPr>
            <w:r w:rsidRPr="00241762" w:rsidDel="00207B4E">
              <w:t xml:space="preserve">Other </w:t>
            </w:r>
            <w:r>
              <w:t>L</w:t>
            </w:r>
            <w:r w:rsidRPr="00241762" w:rsidDel="00207B4E">
              <w:t>ivestock – Goats</w:t>
            </w:r>
          </w:p>
        </w:tc>
        <w:tc>
          <w:tcPr>
            <w:tcW w:w="510" w:type="dxa"/>
            <w:shd w:val="clear" w:color="auto" w:fill="FFFFFF"/>
            <w:tcMar>
              <w:top w:w="0" w:type="dxa"/>
              <w:left w:w="108" w:type="dxa"/>
              <w:bottom w:w="0" w:type="dxa"/>
              <w:right w:w="108" w:type="dxa"/>
            </w:tcMar>
          </w:tcPr>
          <w:p w14:paraId="7635C492" w14:textId="77777777" w:rsidR="00BB3E1E" w:rsidRPr="00241762" w:rsidRDefault="00BB3E1E" w:rsidP="0092047C">
            <w:pPr>
              <w:pStyle w:val="TableText"/>
              <w:spacing w:before="50" w:after="50"/>
            </w:pPr>
            <w:r w:rsidRPr="00241762" w:rsidDel="00207B4E">
              <w:t>CH</w:t>
            </w:r>
            <w:r w:rsidRPr="00241762" w:rsidDel="00207B4E">
              <w:rPr>
                <w:vertAlign w:val="subscript"/>
              </w:rPr>
              <w:t>4</w:t>
            </w:r>
          </w:p>
        </w:tc>
        <w:tc>
          <w:tcPr>
            <w:tcW w:w="1871" w:type="dxa"/>
            <w:shd w:val="clear" w:color="auto" w:fill="FFFFFF"/>
            <w:tcMar>
              <w:top w:w="0" w:type="dxa"/>
              <w:left w:w="108" w:type="dxa"/>
              <w:bottom w:w="0" w:type="dxa"/>
              <w:right w:w="108" w:type="dxa"/>
            </w:tcMar>
          </w:tcPr>
          <w:p w14:paraId="07C30416" w14:textId="77777777" w:rsidR="00BB3E1E" w:rsidRPr="00241762" w:rsidRDefault="00BB3E1E" w:rsidP="0092047C">
            <w:pPr>
              <w:pStyle w:val="TableText"/>
              <w:spacing w:before="50" w:after="50"/>
            </w:pPr>
            <w:r w:rsidRPr="00241762" w:rsidDel="00207B4E">
              <w:t>T1</w:t>
            </w:r>
          </w:p>
        </w:tc>
      </w:tr>
      <w:tr w:rsidR="00BB3E1E" w:rsidRPr="00241762" w14:paraId="57951DBE" w14:textId="77777777" w:rsidTr="00B05614">
        <w:trPr>
          <w:cantSplit/>
        </w:trPr>
        <w:tc>
          <w:tcPr>
            <w:tcW w:w="1644" w:type="dxa"/>
            <w:shd w:val="clear" w:color="auto" w:fill="FFFFFF"/>
            <w:tcMar>
              <w:top w:w="0" w:type="dxa"/>
              <w:left w:w="108" w:type="dxa"/>
              <w:bottom w:w="0" w:type="dxa"/>
              <w:right w:w="108" w:type="dxa"/>
            </w:tcMar>
          </w:tcPr>
          <w:p w14:paraId="5EFA0755" w14:textId="77777777" w:rsidR="00BB3E1E" w:rsidRPr="00241762" w:rsidRDefault="00BB3E1E" w:rsidP="0092047C">
            <w:pPr>
              <w:pStyle w:val="TableText"/>
              <w:spacing w:before="50" w:after="50"/>
            </w:pPr>
            <w:r w:rsidRPr="00241762" w:rsidDel="00207B4E">
              <w:t>3.B.1.1</w:t>
            </w:r>
          </w:p>
        </w:tc>
        <w:tc>
          <w:tcPr>
            <w:tcW w:w="4423" w:type="dxa"/>
            <w:shd w:val="clear" w:color="auto" w:fill="FFFFFF"/>
            <w:tcMar>
              <w:top w:w="0" w:type="dxa"/>
              <w:left w:w="108" w:type="dxa"/>
              <w:bottom w:w="0" w:type="dxa"/>
              <w:right w:w="108" w:type="dxa"/>
            </w:tcMar>
          </w:tcPr>
          <w:p w14:paraId="38F82B29" w14:textId="77777777" w:rsidR="00BB3E1E" w:rsidRPr="00241762" w:rsidRDefault="00BB3E1E" w:rsidP="0092047C">
            <w:pPr>
              <w:pStyle w:val="TableText"/>
              <w:spacing w:before="50" w:after="50"/>
            </w:pPr>
            <w:r w:rsidRPr="00241762" w:rsidDel="00207B4E">
              <w:t>Option A – Dairy Cattle</w:t>
            </w:r>
          </w:p>
        </w:tc>
        <w:tc>
          <w:tcPr>
            <w:tcW w:w="510" w:type="dxa"/>
            <w:shd w:val="clear" w:color="auto" w:fill="FFFFFF"/>
            <w:tcMar>
              <w:top w:w="0" w:type="dxa"/>
              <w:left w:w="108" w:type="dxa"/>
              <w:bottom w:w="0" w:type="dxa"/>
              <w:right w:w="108" w:type="dxa"/>
            </w:tcMar>
          </w:tcPr>
          <w:p w14:paraId="239C9139" w14:textId="77777777" w:rsidR="00BB3E1E" w:rsidRPr="00241762" w:rsidRDefault="00BB3E1E" w:rsidP="0092047C">
            <w:pPr>
              <w:pStyle w:val="TableText"/>
              <w:spacing w:before="50" w:after="50"/>
            </w:pPr>
            <w:r w:rsidRPr="00241762" w:rsidDel="00207B4E">
              <w:t>CH</w:t>
            </w:r>
            <w:r w:rsidRPr="00241762" w:rsidDel="00207B4E">
              <w:rPr>
                <w:vertAlign w:val="subscript"/>
              </w:rPr>
              <w:t>4</w:t>
            </w:r>
          </w:p>
        </w:tc>
        <w:tc>
          <w:tcPr>
            <w:tcW w:w="1871" w:type="dxa"/>
            <w:shd w:val="clear" w:color="auto" w:fill="FFFFFF"/>
            <w:tcMar>
              <w:top w:w="0" w:type="dxa"/>
              <w:left w:w="108" w:type="dxa"/>
              <w:bottom w:w="0" w:type="dxa"/>
              <w:right w:w="108" w:type="dxa"/>
            </w:tcMar>
          </w:tcPr>
          <w:p w14:paraId="487BFC91" w14:textId="77777777" w:rsidR="00BB3E1E" w:rsidRPr="00241762" w:rsidRDefault="00BB3E1E" w:rsidP="0092047C">
            <w:pPr>
              <w:pStyle w:val="TableText"/>
              <w:spacing w:before="50" w:after="50"/>
            </w:pPr>
            <w:r w:rsidRPr="00241762" w:rsidDel="00207B4E">
              <w:t>L1, T1</w:t>
            </w:r>
          </w:p>
        </w:tc>
      </w:tr>
      <w:tr w:rsidR="00BB3E1E" w:rsidRPr="00241762" w14:paraId="1D3C53AC" w14:textId="77777777" w:rsidTr="00B05614">
        <w:trPr>
          <w:cantSplit/>
        </w:trPr>
        <w:tc>
          <w:tcPr>
            <w:tcW w:w="1644" w:type="dxa"/>
            <w:shd w:val="clear" w:color="auto" w:fill="FFFFFF"/>
            <w:tcMar>
              <w:top w:w="0" w:type="dxa"/>
              <w:left w:w="108" w:type="dxa"/>
              <w:bottom w:w="0" w:type="dxa"/>
              <w:right w:w="108" w:type="dxa"/>
            </w:tcMar>
          </w:tcPr>
          <w:p w14:paraId="0EA2DE6A" w14:textId="77777777" w:rsidR="00BB3E1E" w:rsidRPr="00241762" w:rsidRDefault="00BB3E1E" w:rsidP="0092047C">
            <w:pPr>
              <w:pStyle w:val="TableText"/>
              <w:spacing w:before="50" w:after="50"/>
            </w:pPr>
            <w:r w:rsidRPr="00241762" w:rsidDel="00207B4E">
              <w:t>3.B.1.2</w:t>
            </w:r>
          </w:p>
        </w:tc>
        <w:tc>
          <w:tcPr>
            <w:tcW w:w="4423" w:type="dxa"/>
            <w:shd w:val="clear" w:color="auto" w:fill="FFFFFF"/>
            <w:tcMar>
              <w:top w:w="0" w:type="dxa"/>
              <w:left w:w="108" w:type="dxa"/>
              <w:bottom w:w="0" w:type="dxa"/>
              <w:right w:w="108" w:type="dxa"/>
            </w:tcMar>
          </w:tcPr>
          <w:p w14:paraId="193B3A90" w14:textId="77777777" w:rsidR="00BB3E1E" w:rsidRPr="00241762" w:rsidRDefault="00BB3E1E" w:rsidP="0092047C">
            <w:pPr>
              <w:pStyle w:val="TableText"/>
              <w:spacing w:before="50" w:after="50"/>
            </w:pPr>
            <w:r w:rsidRPr="00241762" w:rsidDel="00207B4E">
              <w:t>CH</w:t>
            </w:r>
            <w:r w:rsidRPr="00B62529" w:rsidDel="00207B4E">
              <w:rPr>
                <w:vertAlign w:val="subscript"/>
              </w:rPr>
              <w:t>4</w:t>
            </w:r>
            <w:r w:rsidRPr="00241762" w:rsidDel="00207B4E">
              <w:t xml:space="preserve"> Emissions – Sheep</w:t>
            </w:r>
          </w:p>
        </w:tc>
        <w:tc>
          <w:tcPr>
            <w:tcW w:w="510" w:type="dxa"/>
            <w:shd w:val="clear" w:color="auto" w:fill="FFFFFF"/>
            <w:tcMar>
              <w:top w:w="0" w:type="dxa"/>
              <w:left w:w="108" w:type="dxa"/>
              <w:bottom w:w="0" w:type="dxa"/>
              <w:right w:w="108" w:type="dxa"/>
            </w:tcMar>
          </w:tcPr>
          <w:p w14:paraId="104266AE" w14:textId="77777777" w:rsidR="00BB3E1E" w:rsidRPr="00241762" w:rsidRDefault="00BB3E1E" w:rsidP="0092047C">
            <w:pPr>
              <w:pStyle w:val="TableText"/>
              <w:spacing w:before="50" w:after="50"/>
            </w:pPr>
            <w:r w:rsidRPr="00241762" w:rsidDel="00207B4E">
              <w:t>CH</w:t>
            </w:r>
            <w:r w:rsidRPr="00241762" w:rsidDel="00207B4E">
              <w:rPr>
                <w:vertAlign w:val="subscript"/>
              </w:rPr>
              <w:t>4</w:t>
            </w:r>
          </w:p>
        </w:tc>
        <w:tc>
          <w:tcPr>
            <w:tcW w:w="1871" w:type="dxa"/>
            <w:shd w:val="clear" w:color="auto" w:fill="FFFFFF"/>
            <w:tcMar>
              <w:top w:w="0" w:type="dxa"/>
              <w:left w:w="108" w:type="dxa"/>
              <w:bottom w:w="0" w:type="dxa"/>
              <w:right w:w="108" w:type="dxa"/>
            </w:tcMar>
          </w:tcPr>
          <w:p w14:paraId="5E69D5CF" w14:textId="77777777" w:rsidR="00BB3E1E" w:rsidRPr="00241762" w:rsidRDefault="00BB3E1E" w:rsidP="0092047C">
            <w:pPr>
              <w:pStyle w:val="TableText"/>
              <w:spacing w:before="50" w:after="50"/>
            </w:pPr>
            <w:r w:rsidRPr="00241762" w:rsidDel="00207B4E">
              <w:t>T1</w:t>
            </w:r>
          </w:p>
        </w:tc>
      </w:tr>
      <w:tr w:rsidR="00BB3E1E" w:rsidRPr="00241762" w14:paraId="569F0FC0" w14:textId="77777777" w:rsidTr="00B05614">
        <w:trPr>
          <w:cantSplit/>
        </w:trPr>
        <w:tc>
          <w:tcPr>
            <w:tcW w:w="1644" w:type="dxa"/>
            <w:shd w:val="clear" w:color="auto" w:fill="FFFFFF"/>
            <w:tcMar>
              <w:top w:w="0" w:type="dxa"/>
              <w:left w:w="108" w:type="dxa"/>
              <w:bottom w:w="0" w:type="dxa"/>
              <w:right w:w="108" w:type="dxa"/>
            </w:tcMar>
          </w:tcPr>
          <w:p w14:paraId="2E62AF6C" w14:textId="77777777" w:rsidR="00BB3E1E" w:rsidRPr="00241762" w:rsidRDefault="00BB3E1E" w:rsidP="0092047C">
            <w:pPr>
              <w:pStyle w:val="TableText"/>
              <w:spacing w:before="50" w:after="50"/>
            </w:pPr>
            <w:r w:rsidRPr="00241762" w:rsidDel="00207B4E">
              <w:t>3.D.1.1</w:t>
            </w:r>
          </w:p>
        </w:tc>
        <w:tc>
          <w:tcPr>
            <w:tcW w:w="4423" w:type="dxa"/>
            <w:shd w:val="clear" w:color="auto" w:fill="FFFFFF"/>
            <w:tcMar>
              <w:top w:w="0" w:type="dxa"/>
              <w:left w:w="108" w:type="dxa"/>
              <w:bottom w:w="0" w:type="dxa"/>
              <w:right w:w="108" w:type="dxa"/>
            </w:tcMar>
          </w:tcPr>
          <w:p w14:paraId="1AF09615" w14:textId="77777777" w:rsidR="00BB3E1E" w:rsidRPr="00241762" w:rsidRDefault="00BB3E1E" w:rsidP="0092047C">
            <w:pPr>
              <w:pStyle w:val="TableText"/>
              <w:spacing w:before="50" w:after="50"/>
            </w:pPr>
            <w:r w:rsidRPr="00241762">
              <w:t>Direct N</w:t>
            </w:r>
            <w:r w:rsidRPr="00241762">
              <w:rPr>
                <w:vertAlign w:val="subscript"/>
              </w:rPr>
              <w:t>2</w:t>
            </w:r>
            <w:r w:rsidRPr="00241762">
              <w:t>O Emissions from</w:t>
            </w:r>
            <w:r w:rsidRPr="00241762" w:rsidDel="00207B4E">
              <w:t xml:space="preserve"> Managed Soils – Inorganic N Fertili</w:t>
            </w:r>
            <w:r>
              <w:t>s</w:t>
            </w:r>
            <w:r w:rsidRPr="00241762" w:rsidDel="00207B4E">
              <w:t>ers</w:t>
            </w:r>
          </w:p>
        </w:tc>
        <w:tc>
          <w:tcPr>
            <w:tcW w:w="510" w:type="dxa"/>
            <w:shd w:val="clear" w:color="auto" w:fill="FFFFFF"/>
            <w:tcMar>
              <w:top w:w="0" w:type="dxa"/>
              <w:left w:w="108" w:type="dxa"/>
              <w:bottom w:w="0" w:type="dxa"/>
              <w:right w:w="108" w:type="dxa"/>
            </w:tcMar>
          </w:tcPr>
          <w:p w14:paraId="1ABA60EC" w14:textId="77777777" w:rsidR="00BB3E1E" w:rsidRPr="00241762" w:rsidRDefault="00BB3E1E" w:rsidP="0092047C">
            <w:pPr>
              <w:pStyle w:val="TableText"/>
              <w:spacing w:before="50" w:after="50"/>
            </w:pPr>
            <w:r w:rsidRPr="00241762" w:rsidDel="00207B4E">
              <w:t>N</w:t>
            </w:r>
            <w:r w:rsidRPr="00241762" w:rsidDel="00207B4E">
              <w:rPr>
                <w:vertAlign w:val="subscript"/>
              </w:rPr>
              <w:t>2</w:t>
            </w:r>
            <w:r w:rsidRPr="00241762" w:rsidDel="00207B4E">
              <w:t>O</w:t>
            </w:r>
          </w:p>
        </w:tc>
        <w:tc>
          <w:tcPr>
            <w:tcW w:w="1871" w:type="dxa"/>
            <w:shd w:val="clear" w:color="auto" w:fill="FFFFFF"/>
            <w:tcMar>
              <w:top w:w="0" w:type="dxa"/>
              <w:left w:w="108" w:type="dxa"/>
              <w:bottom w:w="0" w:type="dxa"/>
              <w:right w:w="108" w:type="dxa"/>
            </w:tcMar>
          </w:tcPr>
          <w:p w14:paraId="7B250789" w14:textId="77777777" w:rsidR="00BB3E1E" w:rsidRPr="00241762" w:rsidRDefault="00BB3E1E" w:rsidP="0092047C">
            <w:pPr>
              <w:pStyle w:val="TableText"/>
              <w:spacing w:before="50" w:after="50"/>
            </w:pPr>
            <w:r w:rsidRPr="00241762" w:rsidDel="00207B4E">
              <w:t>L1, T1</w:t>
            </w:r>
          </w:p>
        </w:tc>
      </w:tr>
      <w:tr w:rsidR="00BB3E1E" w:rsidRPr="00241762" w14:paraId="55A0248C" w14:textId="77777777" w:rsidTr="00B05614">
        <w:trPr>
          <w:cantSplit/>
        </w:trPr>
        <w:tc>
          <w:tcPr>
            <w:tcW w:w="1644" w:type="dxa"/>
            <w:shd w:val="clear" w:color="auto" w:fill="FFFFFF"/>
            <w:tcMar>
              <w:top w:w="0" w:type="dxa"/>
              <w:left w:w="108" w:type="dxa"/>
              <w:bottom w:w="0" w:type="dxa"/>
              <w:right w:w="108" w:type="dxa"/>
            </w:tcMar>
          </w:tcPr>
          <w:p w14:paraId="2F2C11B1" w14:textId="77777777" w:rsidR="00BB3E1E" w:rsidRPr="00241762" w:rsidRDefault="00BB3E1E" w:rsidP="0092047C">
            <w:pPr>
              <w:pStyle w:val="TableText"/>
              <w:spacing w:before="50" w:after="50"/>
            </w:pPr>
            <w:r w:rsidRPr="00241762" w:rsidDel="00207B4E">
              <w:lastRenderedPageBreak/>
              <w:t>3.D.1.3</w:t>
            </w:r>
          </w:p>
        </w:tc>
        <w:tc>
          <w:tcPr>
            <w:tcW w:w="4423" w:type="dxa"/>
            <w:shd w:val="clear" w:color="auto" w:fill="FFFFFF"/>
            <w:tcMar>
              <w:top w:w="0" w:type="dxa"/>
              <w:left w:w="108" w:type="dxa"/>
              <w:bottom w:w="0" w:type="dxa"/>
              <w:right w:w="108" w:type="dxa"/>
            </w:tcMar>
          </w:tcPr>
          <w:p w14:paraId="48AF7E14" w14:textId="77777777" w:rsidR="00BB3E1E" w:rsidRPr="00241762" w:rsidRDefault="00BB3E1E" w:rsidP="0092047C">
            <w:pPr>
              <w:pStyle w:val="TableText"/>
              <w:spacing w:before="50" w:after="50"/>
            </w:pPr>
            <w:r w:rsidRPr="00241762">
              <w:t>Direct N</w:t>
            </w:r>
            <w:r w:rsidRPr="00241762">
              <w:rPr>
                <w:vertAlign w:val="subscript"/>
              </w:rPr>
              <w:t>2</w:t>
            </w:r>
            <w:r w:rsidRPr="00241762">
              <w:t>O Emissions from</w:t>
            </w:r>
            <w:r w:rsidRPr="00241762" w:rsidDel="00207B4E">
              <w:t xml:space="preserve"> Managed Soils – Urine and Dung Deposited by Grazing Animals</w:t>
            </w:r>
          </w:p>
        </w:tc>
        <w:tc>
          <w:tcPr>
            <w:tcW w:w="510" w:type="dxa"/>
            <w:shd w:val="clear" w:color="auto" w:fill="FFFFFF"/>
            <w:tcMar>
              <w:top w:w="0" w:type="dxa"/>
              <w:left w:w="108" w:type="dxa"/>
              <w:bottom w:w="0" w:type="dxa"/>
              <w:right w:w="108" w:type="dxa"/>
            </w:tcMar>
          </w:tcPr>
          <w:p w14:paraId="0F84A9BF" w14:textId="77777777" w:rsidR="00BB3E1E" w:rsidRPr="00241762" w:rsidRDefault="00BB3E1E" w:rsidP="0092047C">
            <w:pPr>
              <w:pStyle w:val="TableText"/>
              <w:spacing w:before="50" w:after="50"/>
            </w:pPr>
            <w:r w:rsidRPr="00241762" w:rsidDel="00207B4E">
              <w:t>N</w:t>
            </w:r>
            <w:r w:rsidRPr="00241762" w:rsidDel="00207B4E">
              <w:rPr>
                <w:vertAlign w:val="subscript"/>
              </w:rPr>
              <w:t>2</w:t>
            </w:r>
            <w:r w:rsidRPr="00241762" w:rsidDel="00207B4E">
              <w:t>O</w:t>
            </w:r>
          </w:p>
        </w:tc>
        <w:tc>
          <w:tcPr>
            <w:tcW w:w="1871" w:type="dxa"/>
            <w:shd w:val="clear" w:color="auto" w:fill="FFFFFF"/>
            <w:tcMar>
              <w:top w:w="0" w:type="dxa"/>
              <w:left w:w="108" w:type="dxa"/>
              <w:bottom w:w="0" w:type="dxa"/>
              <w:right w:w="108" w:type="dxa"/>
            </w:tcMar>
          </w:tcPr>
          <w:p w14:paraId="6F70CE1D" w14:textId="77777777" w:rsidR="00BB3E1E" w:rsidRPr="00241762" w:rsidRDefault="00BB3E1E" w:rsidP="0092047C">
            <w:pPr>
              <w:pStyle w:val="TableText"/>
              <w:spacing w:before="50" w:after="50"/>
            </w:pPr>
            <w:r w:rsidRPr="00241762" w:rsidDel="00207B4E">
              <w:t>L1, T1</w:t>
            </w:r>
          </w:p>
        </w:tc>
      </w:tr>
      <w:tr w:rsidR="00BB3E1E" w:rsidRPr="00241762" w14:paraId="734A25D9" w14:textId="77777777" w:rsidTr="00B05614">
        <w:trPr>
          <w:cantSplit/>
        </w:trPr>
        <w:tc>
          <w:tcPr>
            <w:tcW w:w="1644" w:type="dxa"/>
            <w:shd w:val="clear" w:color="auto" w:fill="FFFFFF"/>
            <w:tcMar>
              <w:top w:w="0" w:type="dxa"/>
              <w:left w:w="108" w:type="dxa"/>
              <w:bottom w:w="0" w:type="dxa"/>
              <w:right w:w="108" w:type="dxa"/>
            </w:tcMar>
          </w:tcPr>
          <w:p w14:paraId="7BA6EBFE" w14:textId="77777777" w:rsidR="00BB3E1E" w:rsidRPr="00241762" w:rsidRDefault="00BB3E1E" w:rsidP="0092047C">
            <w:pPr>
              <w:pStyle w:val="TableText"/>
              <w:spacing w:before="50" w:after="50"/>
            </w:pPr>
            <w:r w:rsidRPr="00241762" w:rsidDel="00207B4E">
              <w:t>3.D.1.4</w:t>
            </w:r>
          </w:p>
        </w:tc>
        <w:tc>
          <w:tcPr>
            <w:tcW w:w="4423" w:type="dxa"/>
            <w:shd w:val="clear" w:color="auto" w:fill="FFFFFF"/>
            <w:tcMar>
              <w:top w:w="0" w:type="dxa"/>
              <w:left w:w="108" w:type="dxa"/>
              <w:bottom w:w="0" w:type="dxa"/>
              <w:right w:w="108" w:type="dxa"/>
            </w:tcMar>
          </w:tcPr>
          <w:p w14:paraId="4DB86702" w14:textId="77777777" w:rsidR="00BB3E1E" w:rsidRPr="00241762" w:rsidRDefault="00BB3E1E" w:rsidP="0092047C">
            <w:pPr>
              <w:pStyle w:val="TableText"/>
              <w:spacing w:before="50" w:after="50"/>
            </w:pPr>
            <w:r w:rsidRPr="00241762">
              <w:t>Direct N</w:t>
            </w:r>
            <w:r w:rsidRPr="00241762">
              <w:rPr>
                <w:vertAlign w:val="subscript"/>
              </w:rPr>
              <w:t>2</w:t>
            </w:r>
            <w:r w:rsidRPr="00241762">
              <w:t>O Emissions from</w:t>
            </w:r>
            <w:r w:rsidRPr="00241762" w:rsidDel="00207B4E">
              <w:t xml:space="preserve"> Managed Soils – Crop Residues</w:t>
            </w:r>
          </w:p>
        </w:tc>
        <w:tc>
          <w:tcPr>
            <w:tcW w:w="510" w:type="dxa"/>
            <w:shd w:val="clear" w:color="auto" w:fill="FFFFFF"/>
            <w:tcMar>
              <w:top w:w="0" w:type="dxa"/>
              <w:left w:w="108" w:type="dxa"/>
              <w:bottom w:w="0" w:type="dxa"/>
              <w:right w:w="108" w:type="dxa"/>
            </w:tcMar>
          </w:tcPr>
          <w:p w14:paraId="36549BC2" w14:textId="77777777" w:rsidR="00BB3E1E" w:rsidRPr="00241762" w:rsidRDefault="00BB3E1E" w:rsidP="0092047C">
            <w:pPr>
              <w:pStyle w:val="TableText"/>
              <w:spacing w:before="50" w:after="50"/>
            </w:pPr>
            <w:r w:rsidRPr="00241762" w:rsidDel="00207B4E">
              <w:t>N</w:t>
            </w:r>
            <w:r w:rsidRPr="00241762" w:rsidDel="00207B4E">
              <w:rPr>
                <w:vertAlign w:val="subscript"/>
              </w:rPr>
              <w:t>2</w:t>
            </w:r>
            <w:r w:rsidRPr="00241762" w:rsidDel="00207B4E">
              <w:t>O</w:t>
            </w:r>
          </w:p>
        </w:tc>
        <w:tc>
          <w:tcPr>
            <w:tcW w:w="1871" w:type="dxa"/>
            <w:shd w:val="clear" w:color="auto" w:fill="FFFFFF"/>
            <w:tcMar>
              <w:top w:w="0" w:type="dxa"/>
              <w:left w:w="108" w:type="dxa"/>
              <w:bottom w:w="0" w:type="dxa"/>
              <w:right w:w="108" w:type="dxa"/>
            </w:tcMar>
          </w:tcPr>
          <w:p w14:paraId="66E827C2" w14:textId="77777777" w:rsidR="00BB3E1E" w:rsidRPr="00241762" w:rsidRDefault="00BB3E1E" w:rsidP="0092047C">
            <w:pPr>
              <w:pStyle w:val="TableText"/>
              <w:spacing w:before="50" w:after="50"/>
            </w:pPr>
            <w:r w:rsidRPr="00241762" w:rsidDel="00207B4E">
              <w:t>L1</w:t>
            </w:r>
          </w:p>
        </w:tc>
      </w:tr>
      <w:tr w:rsidR="00BB3E1E" w:rsidRPr="00241762" w14:paraId="37E624E2" w14:textId="77777777" w:rsidTr="00B05614">
        <w:trPr>
          <w:cantSplit/>
        </w:trPr>
        <w:tc>
          <w:tcPr>
            <w:tcW w:w="1644" w:type="dxa"/>
            <w:shd w:val="clear" w:color="auto" w:fill="FFFFFF"/>
            <w:tcMar>
              <w:top w:w="0" w:type="dxa"/>
              <w:left w:w="108" w:type="dxa"/>
              <w:bottom w:w="0" w:type="dxa"/>
              <w:right w:w="108" w:type="dxa"/>
            </w:tcMar>
          </w:tcPr>
          <w:p w14:paraId="7E9AF701" w14:textId="77777777" w:rsidR="00BB3E1E" w:rsidRPr="00241762" w:rsidRDefault="00BB3E1E" w:rsidP="0092047C">
            <w:pPr>
              <w:pStyle w:val="TableText"/>
              <w:spacing w:before="50" w:after="50"/>
            </w:pPr>
            <w:r w:rsidRPr="00241762" w:rsidDel="00207B4E">
              <w:t>3.D.1.6</w:t>
            </w:r>
          </w:p>
        </w:tc>
        <w:tc>
          <w:tcPr>
            <w:tcW w:w="4423" w:type="dxa"/>
            <w:shd w:val="clear" w:color="auto" w:fill="FFFFFF"/>
            <w:tcMar>
              <w:top w:w="0" w:type="dxa"/>
              <w:left w:w="108" w:type="dxa"/>
              <w:bottom w:w="0" w:type="dxa"/>
              <w:right w:w="108" w:type="dxa"/>
            </w:tcMar>
          </w:tcPr>
          <w:p w14:paraId="1A02E743" w14:textId="77777777" w:rsidR="00BB3E1E" w:rsidRPr="00241762" w:rsidRDefault="00BB3E1E" w:rsidP="0092047C">
            <w:pPr>
              <w:pStyle w:val="TableText"/>
              <w:spacing w:before="50" w:after="50"/>
            </w:pPr>
            <w:r w:rsidRPr="00241762">
              <w:t>Direct N</w:t>
            </w:r>
            <w:r w:rsidRPr="00241762">
              <w:rPr>
                <w:vertAlign w:val="subscript"/>
              </w:rPr>
              <w:t>2</w:t>
            </w:r>
            <w:r w:rsidRPr="00241762">
              <w:t>O Emissions from</w:t>
            </w:r>
            <w:r w:rsidRPr="00241762" w:rsidDel="00207B4E">
              <w:t xml:space="preserve"> Managed Soils – Cultivation of Organic Soils</w:t>
            </w:r>
          </w:p>
        </w:tc>
        <w:tc>
          <w:tcPr>
            <w:tcW w:w="510" w:type="dxa"/>
            <w:shd w:val="clear" w:color="auto" w:fill="FFFFFF"/>
            <w:tcMar>
              <w:top w:w="0" w:type="dxa"/>
              <w:left w:w="108" w:type="dxa"/>
              <w:bottom w:w="0" w:type="dxa"/>
              <w:right w:w="108" w:type="dxa"/>
            </w:tcMar>
          </w:tcPr>
          <w:p w14:paraId="7C6EBF97" w14:textId="77777777" w:rsidR="00BB3E1E" w:rsidRPr="00241762" w:rsidRDefault="00BB3E1E" w:rsidP="0092047C">
            <w:pPr>
              <w:pStyle w:val="TableText"/>
              <w:spacing w:before="50" w:after="50"/>
            </w:pPr>
            <w:r w:rsidRPr="00241762" w:rsidDel="00207B4E">
              <w:t>N</w:t>
            </w:r>
            <w:r w:rsidRPr="00241762" w:rsidDel="00207B4E">
              <w:rPr>
                <w:vertAlign w:val="subscript"/>
              </w:rPr>
              <w:t>2</w:t>
            </w:r>
            <w:r w:rsidRPr="00241762" w:rsidDel="00207B4E">
              <w:t>O</w:t>
            </w:r>
          </w:p>
        </w:tc>
        <w:tc>
          <w:tcPr>
            <w:tcW w:w="1871" w:type="dxa"/>
            <w:shd w:val="clear" w:color="auto" w:fill="FFFFFF"/>
            <w:tcMar>
              <w:top w:w="0" w:type="dxa"/>
              <w:left w:w="108" w:type="dxa"/>
              <w:bottom w:w="0" w:type="dxa"/>
              <w:right w:w="108" w:type="dxa"/>
            </w:tcMar>
          </w:tcPr>
          <w:p w14:paraId="3FB90448" w14:textId="77777777" w:rsidR="00BB3E1E" w:rsidRPr="00241762" w:rsidRDefault="00BB3E1E" w:rsidP="0092047C">
            <w:pPr>
              <w:pStyle w:val="TableText"/>
              <w:spacing w:before="50" w:after="50"/>
            </w:pPr>
            <w:r w:rsidRPr="00241762" w:rsidDel="00207B4E">
              <w:t>L1, T1</w:t>
            </w:r>
          </w:p>
        </w:tc>
      </w:tr>
      <w:tr w:rsidR="00BB3E1E" w:rsidRPr="00241762" w14:paraId="4A0663FD" w14:textId="77777777" w:rsidTr="00B05614">
        <w:trPr>
          <w:cantSplit/>
        </w:trPr>
        <w:tc>
          <w:tcPr>
            <w:tcW w:w="1644" w:type="dxa"/>
            <w:shd w:val="clear" w:color="auto" w:fill="FFFFFF"/>
            <w:tcMar>
              <w:top w:w="0" w:type="dxa"/>
              <w:left w:w="108" w:type="dxa"/>
              <w:bottom w:w="0" w:type="dxa"/>
              <w:right w:w="108" w:type="dxa"/>
            </w:tcMar>
          </w:tcPr>
          <w:p w14:paraId="1321CD11" w14:textId="77777777" w:rsidR="00BB3E1E" w:rsidRPr="00241762" w:rsidRDefault="00BB3E1E" w:rsidP="0092047C">
            <w:pPr>
              <w:pStyle w:val="TableText"/>
              <w:spacing w:before="50" w:after="50"/>
            </w:pPr>
            <w:r w:rsidRPr="00241762" w:rsidDel="00207B4E">
              <w:t>3.D.2.1</w:t>
            </w:r>
          </w:p>
        </w:tc>
        <w:tc>
          <w:tcPr>
            <w:tcW w:w="4423" w:type="dxa"/>
            <w:shd w:val="clear" w:color="auto" w:fill="FFFFFF"/>
            <w:tcMar>
              <w:top w:w="0" w:type="dxa"/>
              <w:left w:w="108" w:type="dxa"/>
              <w:bottom w:w="0" w:type="dxa"/>
              <w:right w:w="108" w:type="dxa"/>
            </w:tcMar>
          </w:tcPr>
          <w:p w14:paraId="12C4CC49" w14:textId="77777777" w:rsidR="00BB3E1E" w:rsidRPr="00241762" w:rsidRDefault="00BB3E1E" w:rsidP="0092047C">
            <w:pPr>
              <w:pStyle w:val="TableText"/>
              <w:spacing w:before="50" w:after="50"/>
            </w:pPr>
            <w:r w:rsidRPr="00241762">
              <w:t>Indirect N</w:t>
            </w:r>
            <w:r w:rsidRPr="00241762">
              <w:rPr>
                <w:vertAlign w:val="subscript"/>
              </w:rPr>
              <w:t>2</w:t>
            </w:r>
            <w:r w:rsidRPr="00241762">
              <w:t>O Emissions from</w:t>
            </w:r>
            <w:r w:rsidRPr="00241762" w:rsidDel="00207B4E">
              <w:t xml:space="preserve"> Managed Soils – Atmospheric Deposition</w:t>
            </w:r>
          </w:p>
        </w:tc>
        <w:tc>
          <w:tcPr>
            <w:tcW w:w="510" w:type="dxa"/>
            <w:shd w:val="clear" w:color="auto" w:fill="FFFFFF"/>
            <w:tcMar>
              <w:top w:w="0" w:type="dxa"/>
              <w:left w:w="108" w:type="dxa"/>
              <w:bottom w:w="0" w:type="dxa"/>
              <w:right w:w="108" w:type="dxa"/>
            </w:tcMar>
          </w:tcPr>
          <w:p w14:paraId="22DDCE75" w14:textId="77777777" w:rsidR="00BB3E1E" w:rsidRPr="00241762" w:rsidRDefault="00BB3E1E" w:rsidP="0092047C">
            <w:pPr>
              <w:pStyle w:val="TableText"/>
              <w:spacing w:before="50" w:after="50"/>
            </w:pPr>
            <w:r w:rsidRPr="00241762" w:rsidDel="00207B4E">
              <w:t>N</w:t>
            </w:r>
            <w:r w:rsidRPr="00241762" w:rsidDel="00207B4E">
              <w:rPr>
                <w:vertAlign w:val="subscript"/>
              </w:rPr>
              <w:t>2</w:t>
            </w:r>
            <w:r w:rsidRPr="00241762" w:rsidDel="00207B4E">
              <w:t>O</w:t>
            </w:r>
          </w:p>
        </w:tc>
        <w:tc>
          <w:tcPr>
            <w:tcW w:w="1871" w:type="dxa"/>
            <w:shd w:val="clear" w:color="auto" w:fill="FFFFFF"/>
            <w:tcMar>
              <w:top w:w="0" w:type="dxa"/>
              <w:left w:w="108" w:type="dxa"/>
              <w:bottom w:w="0" w:type="dxa"/>
              <w:right w:w="108" w:type="dxa"/>
            </w:tcMar>
          </w:tcPr>
          <w:p w14:paraId="3246325A" w14:textId="77777777" w:rsidR="00BB3E1E" w:rsidRPr="00241762" w:rsidRDefault="00BB3E1E" w:rsidP="0092047C">
            <w:pPr>
              <w:pStyle w:val="TableText"/>
              <w:spacing w:before="50" w:after="50"/>
            </w:pPr>
            <w:r w:rsidRPr="00241762" w:rsidDel="00207B4E">
              <w:t>L1</w:t>
            </w:r>
          </w:p>
        </w:tc>
      </w:tr>
      <w:tr w:rsidR="00BB3E1E" w:rsidRPr="00241762" w14:paraId="11B1FC7C" w14:textId="77777777" w:rsidTr="00B05614">
        <w:trPr>
          <w:cantSplit/>
        </w:trPr>
        <w:tc>
          <w:tcPr>
            <w:tcW w:w="1644" w:type="dxa"/>
            <w:shd w:val="clear" w:color="auto" w:fill="FFFFFF"/>
            <w:tcMar>
              <w:top w:w="0" w:type="dxa"/>
              <w:left w:w="108" w:type="dxa"/>
              <w:bottom w:w="0" w:type="dxa"/>
              <w:right w:w="108" w:type="dxa"/>
            </w:tcMar>
          </w:tcPr>
          <w:p w14:paraId="7236AAB6" w14:textId="77777777" w:rsidR="00BB3E1E" w:rsidRPr="00241762" w:rsidRDefault="00BB3E1E" w:rsidP="0092047C">
            <w:pPr>
              <w:pStyle w:val="TableText"/>
              <w:spacing w:before="50" w:after="50"/>
            </w:pPr>
            <w:r w:rsidRPr="00241762" w:rsidDel="00207B4E">
              <w:t>3.D.2.2</w:t>
            </w:r>
          </w:p>
        </w:tc>
        <w:tc>
          <w:tcPr>
            <w:tcW w:w="4423" w:type="dxa"/>
            <w:shd w:val="clear" w:color="auto" w:fill="FFFFFF"/>
            <w:tcMar>
              <w:top w:w="0" w:type="dxa"/>
              <w:left w:w="108" w:type="dxa"/>
              <w:bottom w:w="0" w:type="dxa"/>
              <w:right w:w="108" w:type="dxa"/>
            </w:tcMar>
          </w:tcPr>
          <w:p w14:paraId="36400519" w14:textId="77777777" w:rsidR="00BB3E1E" w:rsidRPr="00241762" w:rsidRDefault="00BB3E1E" w:rsidP="0092047C">
            <w:pPr>
              <w:pStyle w:val="TableText"/>
              <w:spacing w:before="50" w:after="50"/>
            </w:pPr>
            <w:r w:rsidRPr="00241762">
              <w:t>Indirect N</w:t>
            </w:r>
            <w:r w:rsidRPr="00241762">
              <w:rPr>
                <w:vertAlign w:val="subscript"/>
              </w:rPr>
              <w:t>2</w:t>
            </w:r>
            <w:r w:rsidRPr="00241762">
              <w:t>O Emissions from</w:t>
            </w:r>
            <w:r w:rsidRPr="00241762" w:rsidDel="00207B4E">
              <w:t xml:space="preserve"> Managed Soils – Nitrogen Leaching and Run-off</w:t>
            </w:r>
          </w:p>
        </w:tc>
        <w:tc>
          <w:tcPr>
            <w:tcW w:w="510" w:type="dxa"/>
            <w:shd w:val="clear" w:color="auto" w:fill="FFFFFF"/>
            <w:tcMar>
              <w:top w:w="0" w:type="dxa"/>
              <w:left w:w="108" w:type="dxa"/>
              <w:bottom w:w="0" w:type="dxa"/>
              <w:right w:w="108" w:type="dxa"/>
            </w:tcMar>
          </w:tcPr>
          <w:p w14:paraId="51106905" w14:textId="77777777" w:rsidR="00BB3E1E" w:rsidRPr="00241762" w:rsidRDefault="00BB3E1E" w:rsidP="0092047C">
            <w:pPr>
              <w:pStyle w:val="TableText"/>
              <w:spacing w:before="50" w:after="50"/>
            </w:pPr>
            <w:r w:rsidRPr="00241762" w:rsidDel="00207B4E">
              <w:t>N</w:t>
            </w:r>
            <w:r w:rsidRPr="00241762" w:rsidDel="00207B4E">
              <w:rPr>
                <w:vertAlign w:val="subscript"/>
              </w:rPr>
              <w:t>2</w:t>
            </w:r>
            <w:r w:rsidRPr="00241762" w:rsidDel="00207B4E">
              <w:t>O</w:t>
            </w:r>
          </w:p>
        </w:tc>
        <w:tc>
          <w:tcPr>
            <w:tcW w:w="1871" w:type="dxa"/>
            <w:shd w:val="clear" w:color="auto" w:fill="FFFFFF"/>
            <w:tcMar>
              <w:top w:w="0" w:type="dxa"/>
              <w:left w:w="108" w:type="dxa"/>
              <w:bottom w:w="0" w:type="dxa"/>
              <w:right w:w="108" w:type="dxa"/>
            </w:tcMar>
          </w:tcPr>
          <w:p w14:paraId="7D99D5F4" w14:textId="77777777" w:rsidR="00BB3E1E" w:rsidRPr="00241762" w:rsidRDefault="00BB3E1E" w:rsidP="0092047C">
            <w:pPr>
              <w:pStyle w:val="TableText"/>
              <w:spacing w:before="50" w:after="50"/>
            </w:pPr>
            <w:r w:rsidRPr="00241762" w:rsidDel="00207B4E">
              <w:t>L1</w:t>
            </w:r>
          </w:p>
        </w:tc>
      </w:tr>
      <w:tr w:rsidR="00BB3E1E" w:rsidRPr="00241762" w14:paraId="54E04E00" w14:textId="77777777" w:rsidTr="00B05614">
        <w:trPr>
          <w:cantSplit/>
        </w:trPr>
        <w:tc>
          <w:tcPr>
            <w:tcW w:w="1644" w:type="dxa"/>
            <w:shd w:val="clear" w:color="auto" w:fill="FFFFFF"/>
            <w:tcMar>
              <w:top w:w="0" w:type="dxa"/>
              <w:left w:w="108" w:type="dxa"/>
              <w:bottom w:w="0" w:type="dxa"/>
              <w:right w:w="108" w:type="dxa"/>
            </w:tcMar>
          </w:tcPr>
          <w:p w14:paraId="742FEAD9" w14:textId="77777777" w:rsidR="00BB3E1E" w:rsidRPr="00241762" w:rsidRDefault="00BB3E1E" w:rsidP="0092047C">
            <w:pPr>
              <w:pStyle w:val="TableText"/>
              <w:spacing w:before="50" w:after="50"/>
            </w:pPr>
            <w:r w:rsidRPr="00241762" w:rsidDel="00207B4E">
              <w:t>3.G</w:t>
            </w:r>
          </w:p>
        </w:tc>
        <w:tc>
          <w:tcPr>
            <w:tcW w:w="4423" w:type="dxa"/>
            <w:shd w:val="clear" w:color="auto" w:fill="FFFFFF"/>
            <w:tcMar>
              <w:top w:w="0" w:type="dxa"/>
              <w:left w:w="108" w:type="dxa"/>
              <w:bottom w:w="0" w:type="dxa"/>
              <w:right w:w="108" w:type="dxa"/>
            </w:tcMar>
          </w:tcPr>
          <w:p w14:paraId="6D5183CF" w14:textId="77777777" w:rsidR="00BB3E1E" w:rsidRPr="00241762" w:rsidRDefault="00BB3E1E" w:rsidP="0092047C">
            <w:pPr>
              <w:pStyle w:val="TableText"/>
              <w:spacing w:before="50" w:after="50"/>
            </w:pPr>
            <w:r w:rsidRPr="00241762" w:rsidDel="00207B4E">
              <w:t>Agriculture – Liming</w:t>
            </w:r>
          </w:p>
        </w:tc>
        <w:tc>
          <w:tcPr>
            <w:tcW w:w="510" w:type="dxa"/>
            <w:shd w:val="clear" w:color="auto" w:fill="FFFFFF"/>
            <w:tcMar>
              <w:top w:w="0" w:type="dxa"/>
              <w:left w:w="108" w:type="dxa"/>
              <w:bottom w:w="0" w:type="dxa"/>
              <w:right w:w="108" w:type="dxa"/>
            </w:tcMar>
          </w:tcPr>
          <w:p w14:paraId="6B3A9B80"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426C6EB8" w14:textId="77777777" w:rsidR="00BB3E1E" w:rsidRPr="00241762" w:rsidRDefault="00BB3E1E" w:rsidP="0092047C">
            <w:pPr>
              <w:pStyle w:val="TableText"/>
              <w:spacing w:before="50" w:after="50"/>
            </w:pPr>
            <w:r w:rsidRPr="00241762" w:rsidDel="00207B4E">
              <w:t>L1</w:t>
            </w:r>
          </w:p>
        </w:tc>
      </w:tr>
      <w:tr w:rsidR="00BB3E1E" w:rsidRPr="00241762" w14:paraId="2D41B2D7" w14:textId="77777777" w:rsidTr="00B05614">
        <w:trPr>
          <w:cantSplit/>
        </w:trPr>
        <w:tc>
          <w:tcPr>
            <w:tcW w:w="1644" w:type="dxa"/>
            <w:shd w:val="clear" w:color="auto" w:fill="FFFFFF"/>
            <w:tcMar>
              <w:top w:w="0" w:type="dxa"/>
              <w:left w:w="108" w:type="dxa"/>
              <w:bottom w:w="0" w:type="dxa"/>
              <w:right w:w="108" w:type="dxa"/>
            </w:tcMar>
          </w:tcPr>
          <w:p w14:paraId="3C1D48F1" w14:textId="77777777" w:rsidR="00BB3E1E" w:rsidRPr="00241762" w:rsidRDefault="00BB3E1E" w:rsidP="0092047C">
            <w:pPr>
              <w:pStyle w:val="TableText"/>
              <w:spacing w:before="50" w:after="50"/>
            </w:pPr>
            <w:r w:rsidRPr="00241762" w:rsidDel="00207B4E">
              <w:t>3.H</w:t>
            </w:r>
          </w:p>
        </w:tc>
        <w:tc>
          <w:tcPr>
            <w:tcW w:w="4423" w:type="dxa"/>
            <w:shd w:val="clear" w:color="auto" w:fill="FFFFFF"/>
            <w:tcMar>
              <w:top w:w="0" w:type="dxa"/>
              <w:left w:w="108" w:type="dxa"/>
              <w:bottom w:w="0" w:type="dxa"/>
              <w:right w:w="108" w:type="dxa"/>
            </w:tcMar>
          </w:tcPr>
          <w:p w14:paraId="4A841174" w14:textId="77777777" w:rsidR="00BB3E1E" w:rsidRPr="00241762" w:rsidRDefault="00BB3E1E" w:rsidP="0092047C">
            <w:pPr>
              <w:pStyle w:val="TableText"/>
              <w:spacing w:before="50" w:after="50"/>
            </w:pPr>
            <w:r w:rsidRPr="00241762" w:rsidDel="00207B4E">
              <w:t>Agriculture – Urea Application</w:t>
            </w:r>
          </w:p>
        </w:tc>
        <w:tc>
          <w:tcPr>
            <w:tcW w:w="510" w:type="dxa"/>
            <w:shd w:val="clear" w:color="auto" w:fill="FFFFFF"/>
            <w:tcMar>
              <w:top w:w="0" w:type="dxa"/>
              <w:left w:w="108" w:type="dxa"/>
              <w:bottom w:w="0" w:type="dxa"/>
              <w:right w:w="108" w:type="dxa"/>
            </w:tcMar>
          </w:tcPr>
          <w:p w14:paraId="479E690E" w14:textId="77777777" w:rsidR="00BB3E1E" w:rsidRPr="00241762" w:rsidRDefault="00BB3E1E" w:rsidP="0092047C">
            <w:pPr>
              <w:pStyle w:val="TableText"/>
              <w:spacing w:before="50" w:after="50"/>
            </w:pPr>
            <w:r w:rsidRPr="00241762">
              <w:t>CO</w:t>
            </w:r>
            <w:r w:rsidRPr="00241762">
              <w:rPr>
                <w:vertAlign w:val="subscript"/>
              </w:rPr>
              <w:t>2</w:t>
            </w:r>
          </w:p>
        </w:tc>
        <w:tc>
          <w:tcPr>
            <w:tcW w:w="1871" w:type="dxa"/>
            <w:shd w:val="clear" w:color="auto" w:fill="FFFFFF"/>
            <w:tcMar>
              <w:top w:w="0" w:type="dxa"/>
              <w:left w:w="108" w:type="dxa"/>
              <w:bottom w:w="0" w:type="dxa"/>
              <w:right w:w="108" w:type="dxa"/>
            </w:tcMar>
          </w:tcPr>
          <w:p w14:paraId="233116BA" w14:textId="77777777" w:rsidR="00BB3E1E" w:rsidRPr="00241762" w:rsidRDefault="00BB3E1E" w:rsidP="0092047C">
            <w:pPr>
              <w:pStyle w:val="TableText"/>
              <w:spacing w:before="50" w:after="50"/>
            </w:pPr>
            <w:r w:rsidRPr="00241762" w:rsidDel="00207B4E">
              <w:t>L1, T1</w:t>
            </w:r>
          </w:p>
        </w:tc>
      </w:tr>
      <w:tr w:rsidR="0092047C" w:rsidRPr="00241762" w14:paraId="17E3FA4F" w14:textId="77777777" w:rsidTr="00B05614">
        <w:trPr>
          <w:cantSplit/>
        </w:trPr>
        <w:tc>
          <w:tcPr>
            <w:tcW w:w="1644" w:type="dxa"/>
            <w:shd w:val="clear" w:color="auto" w:fill="FFFFFF"/>
            <w:tcMar>
              <w:top w:w="0" w:type="dxa"/>
              <w:left w:w="108" w:type="dxa"/>
              <w:bottom w:w="0" w:type="dxa"/>
              <w:right w:w="108" w:type="dxa"/>
            </w:tcMar>
          </w:tcPr>
          <w:p w14:paraId="4C76B0B4" w14:textId="77777777" w:rsidR="00BB3E1E" w:rsidRPr="00241762" w:rsidRDefault="00BB3E1E" w:rsidP="0092047C">
            <w:pPr>
              <w:pStyle w:val="TableTextBold"/>
              <w:spacing w:before="50" w:after="50"/>
            </w:pPr>
            <w:r w:rsidRPr="00241762" w:rsidDel="00207B4E">
              <w:t>LULUCF</w:t>
            </w:r>
          </w:p>
        </w:tc>
        <w:tc>
          <w:tcPr>
            <w:tcW w:w="4423" w:type="dxa"/>
            <w:shd w:val="clear" w:color="auto" w:fill="FFFFFF"/>
            <w:tcMar>
              <w:top w:w="0" w:type="dxa"/>
              <w:left w:w="108" w:type="dxa"/>
              <w:bottom w:w="0" w:type="dxa"/>
              <w:right w:w="108" w:type="dxa"/>
            </w:tcMar>
          </w:tcPr>
          <w:p w14:paraId="0065D7FD" w14:textId="77777777" w:rsidR="00BB3E1E" w:rsidRPr="00241762" w:rsidRDefault="00BB3E1E" w:rsidP="0092047C">
            <w:pPr>
              <w:pStyle w:val="TableTextBold"/>
              <w:spacing w:before="50" w:after="50"/>
            </w:pPr>
          </w:p>
        </w:tc>
        <w:tc>
          <w:tcPr>
            <w:tcW w:w="510" w:type="dxa"/>
            <w:shd w:val="clear" w:color="auto" w:fill="FFFFFF"/>
            <w:tcMar>
              <w:top w:w="0" w:type="dxa"/>
              <w:left w:w="108" w:type="dxa"/>
              <w:bottom w:w="0" w:type="dxa"/>
              <w:right w:w="108" w:type="dxa"/>
            </w:tcMar>
          </w:tcPr>
          <w:p w14:paraId="5E1BBC48" w14:textId="77777777" w:rsidR="00BB3E1E" w:rsidRPr="00241762" w:rsidRDefault="00BB3E1E" w:rsidP="0092047C">
            <w:pPr>
              <w:pStyle w:val="TableTextBold"/>
              <w:spacing w:before="50" w:after="50"/>
            </w:pPr>
          </w:p>
        </w:tc>
        <w:tc>
          <w:tcPr>
            <w:tcW w:w="1871" w:type="dxa"/>
            <w:shd w:val="clear" w:color="auto" w:fill="FFFFFF"/>
            <w:tcMar>
              <w:top w:w="0" w:type="dxa"/>
              <w:left w:w="108" w:type="dxa"/>
              <w:bottom w:w="0" w:type="dxa"/>
              <w:right w:w="108" w:type="dxa"/>
            </w:tcMar>
          </w:tcPr>
          <w:p w14:paraId="6912F8E9" w14:textId="77777777" w:rsidR="00BB3E1E" w:rsidRPr="00241762" w:rsidRDefault="00BB3E1E" w:rsidP="0092047C">
            <w:pPr>
              <w:pStyle w:val="TableTextBold"/>
              <w:spacing w:before="50" w:after="50"/>
            </w:pPr>
          </w:p>
        </w:tc>
      </w:tr>
      <w:tr w:rsidR="00BB3E1E" w:rsidRPr="00241762" w14:paraId="387E28A4" w14:textId="77777777" w:rsidTr="00B05614">
        <w:trPr>
          <w:cantSplit/>
        </w:trPr>
        <w:tc>
          <w:tcPr>
            <w:tcW w:w="1644" w:type="dxa"/>
            <w:shd w:val="clear" w:color="auto" w:fill="FFFFFF"/>
            <w:tcMar>
              <w:top w:w="0" w:type="dxa"/>
              <w:left w:w="108" w:type="dxa"/>
              <w:bottom w:w="0" w:type="dxa"/>
              <w:right w:w="108" w:type="dxa"/>
            </w:tcMar>
          </w:tcPr>
          <w:p w14:paraId="20065F40" w14:textId="77777777" w:rsidR="00BB3E1E" w:rsidRPr="00241762" w:rsidRDefault="00BB3E1E" w:rsidP="0092047C">
            <w:pPr>
              <w:pStyle w:val="TableText"/>
              <w:spacing w:before="50" w:after="50"/>
            </w:pPr>
            <w:r w:rsidRPr="00241762" w:rsidDel="00207B4E">
              <w:t>4.A.1</w:t>
            </w:r>
          </w:p>
        </w:tc>
        <w:tc>
          <w:tcPr>
            <w:tcW w:w="4423" w:type="dxa"/>
            <w:shd w:val="clear" w:color="auto" w:fill="FFFFFF"/>
            <w:tcMar>
              <w:top w:w="0" w:type="dxa"/>
              <w:left w:w="108" w:type="dxa"/>
              <w:bottom w:w="0" w:type="dxa"/>
              <w:right w:w="108" w:type="dxa"/>
            </w:tcMar>
          </w:tcPr>
          <w:p w14:paraId="2F80D6B8" w14:textId="77777777" w:rsidR="00BB3E1E" w:rsidRPr="00241762" w:rsidRDefault="00BB3E1E" w:rsidP="0092047C">
            <w:pPr>
              <w:pStyle w:val="TableText"/>
              <w:spacing w:before="50" w:after="50"/>
            </w:pPr>
            <w:r w:rsidRPr="00241762" w:rsidDel="00207B4E">
              <w:t>Forest Land – Forest Land Remaining Forest Land</w:t>
            </w:r>
          </w:p>
        </w:tc>
        <w:tc>
          <w:tcPr>
            <w:tcW w:w="510" w:type="dxa"/>
            <w:shd w:val="clear" w:color="auto" w:fill="FFFFFF"/>
            <w:tcMar>
              <w:top w:w="0" w:type="dxa"/>
              <w:left w:w="108" w:type="dxa"/>
              <w:bottom w:w="0" w:type="dxa"/>
              <w:right w:w="108" w:type="dxa"/>
            </w:tcMar>
          </w:tcPr>
          <w:p w14:paraId="7CBA1AB8"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0AA008CC" w14:textId="77777777" w:rsidR="00BB3E1E" w:rsidRPr="00241762" w:rsidRDefault="00BB3E1E" w:rsidP="0092047C">
            <w:pPr>
              <w:pStyle w:val="TableText"/>
              <w:spacing w:before="50" w:after="50"/>
            </w:pPr>
            <w:r w:rsidRPr="00241762" w:rsidDel="00207B4E">
              <w:t>L1, T1</w:t>
            </w:r>
          </w:p>
        </w:tc>
      </w:tr>
      <w:tr w:rsidR="00BB3E1E" w:rsidRPr="00241762" w14:paraId="3B3D110C" w14:textId="77777777" w:rsidTr="00B05614">
        <w:trPr>
          <w:cantSplit/>
        </w:trPr>
        <w:tc>
          <w:tcPr>
            <w:tcW w:w="1644" w:type="dxa"/>
            <w:shd w:val="clear" w:color="auto" w:fill="FFFFFF"/>
            <w:tcMar>
              <w:top w:w="0" w:type="dxa"/>
              <w:left w:w="108" w:type="dxa"/>
              <w:bottom w:w="0" w:type="dxa"/>
              <w:right w:w="108" w:type="dxa"/>
            </w:tcMar>
          </w:tcPr>
          <w:p w14:paraId="5AE9EDB3" w14:textId="77777777" w:rsidR="00BB3E1E" w:rsidRPr="00241762" w:rsidRDefault="00BB3E1E" w:rsidP="0092047C">
            <w:pPr>
              <w:pStyle w:val="TableText"/>
              <w:spacing w:before="50" w:after="50"/>
            </w:pPr>
            <w:r w:rsidRPr="00241762" w:rsidDel="00207B4E">
              <w:t>4.A.2</w:t>
            </w:r>
          </w:p>
        </w:tc>
        <w:tc>
          <w:tcPr>
            <w:tcW w:w="4423" w:type="dxa"/>
            <w:shd w:val="clear" w:color="auto" w:fill="FFFFFF"/>
            <w:tcMar>
              <w:top w:w="0" w:type="dxa"/>
              <w:left w:w="108" w:type="dxa"/>
              <w:bottom w:w="0" w:type="dxa"/>
              <w:right w:w="108" w:type="dxa"/>
            </w:tcMar>
          </w:tcPr>
          <w:p w14:paraId="5B50C8DD" w14:textId="77777777" w:rsidR="00BB3E1E" w:rsidRPr="00241762" w:rsidRDefault="00BB3E1E" w:rsidP="0092047C">
            <w:pPr>
              <w:pStyle w:val="TableText"/>
              <w:spacing w:before="50" w:after="50"/>
            </w:pPr>
            <w:r w:rsidRPr="00241762" w:rsidDel="00207B4E">
              <w:t>Forest Land – Land Converted to Forest Land</w:t>
            </w:r>
          </w:p>
        </w:tc>
        <w:tc>
          <w:tcPr>
            <w:tcW w:w="510" w:type="dxa"/>
            <w:shd w:val="clear" w:color="auto" w:fill="FFFFFF"/>
            <w:tcMar>
              <w:top w:w="0" w:type="dxa"/>
              <w:left w:w="108" w:type="dxa"/>
              <w:bottom w:w="0" w:type="dxa"/>
              <w:right w:w="108" w:type="dxa"/>
            </w:tcMar>
          </w:tcPr>
          <w:p w14:paraId="4536A226"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5BF759CE" w14:textId="77777777" w:rsidR="00BB3E1E" w:rsidRPr="00241762" w:rsidRDefault="00BB3E1E" w:rsidP="0092047C">
            <w:pPr>
              <w:pStyle w:val="TableText"/>
              <w:spacing w:before="50" w:after="50"/>
            </w:pPr>
            <w:r w:rsidRPr="00241762" w:rsidDel="00207B4E">
              <w:t>L1, T1</w:t>
            </w:r>
          </w:p>
        </w:tc>
      </w:tr>
      <w:tr w:rsidR="00BB3E1E" w:rsidRPr="00241762" w14:paraId="7D7C6CF4" w14:textId="77777777" w:rsidTr="00B05614">
        <w:trPr>
          <w:cantSplit/>
        </w:trPr>
        <w:tc>
          <w:tcPr>
            <w:tcW w:w="1644" w:type="dxa"/>
            <w:shd w:val="clear" w:color="auto" w:fill="FFFFFF"/>
            <w:tcMar>
              <w:top w:w="0" w:type="dxa"/>
              <w:left w:w="108" w:type="dxa"/>
              <w:bottom w:w="0" w:type="dxa"/>
              <w:right w:w="108" w:type="dxa"/>
            </w:tcMar>
          </w:tcPr>
          <w:p w14:paraId="30C3D1B3" w14:textId="77777777" w:rsidR="00BB3E1E" w:rsidRPr="00241762" w:rsidRDefault="00BB3E1E" w:rsidP="0092047C">
            <w:pPr>
              <w:pStyle w:val="TableText"/>
              <w:spacing w:before="50" w:after="50"/>
            </w:pPr>
            <w:r w:rsidRPr="00241762" w:rsidDel="00207B4E">
              <w:t>4.B.1</w:t>
            </w:r>
          </w:p>
        </w:tc>
        <w:tc>
          <w:tcPr>
            <w:tcW w:w="4423" w:type="dxa"/>
            <w:shd w:val="clear" w:color="auto" w:fill="FFFFFF"/>
            <w:tcMar>
              <w:top w:w="0" w:type="dxa"/>
              <w:left w:w="108" w:type="dxa"/>
              <w:bottom w:w="0" w:type="dxa"/>
              <w:right w:w="108" w:type="dxa"/>
            </w:tcMar>
          </w:tcPr>
          <w:p w14:paraId="63509FC9" w14:textId="77777777" w:rsidR="00BB3E1E" w:rsidRPr="00241762" w:rsidRDefault="00BB3E1E" w:rsidP="0092047C">
            <w:pPr>
              <w:pStyle w:val="TableText"/>
              <w:spacing w:before="50" w:after="50"/>
            </w:pPr>
            <w:r w:rsidRPr="00241762" w:rsidDel="00207B4E">
              <w:t>Cropland – Cropland Remaining Cropland</w:t>
            </w:r>
          </w:p>
        </w:tc>
        <w:tc>
          <w:tcPr>
            <w:tcW w:w="510" w:type="dxa"/>
            <w:shd w:val="clear" w:color="auto" w:fill="FFFFFF"/>
            <w:tcMar>
              <w:top w:w="0" w:type="dxa"/>
              <w:left w:w="108" w:type="dxa"/>
              <w:bottom w:w="0" w:type="dxa"/>
              <w:right w:w="108" w:type="dxa"/>
            </w:tcMar>
          </w:tcPr>
          <w:p w14:paraId="270EC11B"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7C12EF8A" w14:textId="77777777" w:rsidR="00BB3E1E" w:rsidRPr="00241762" w:rsidRDefault="00BB3E1E" w:rsidP="0092047C">
            <w:pPr>
              <w:pStyle w:val="TableText"/>
              <w:spacing w:before="50" w:after="50"/>
            </w:pPr>
            <w:r w:rsidRPr="00241762" w:rsidDel="00207B4E">
              <w:t>L1, T1</w:t>
            </w:r>
          </w:p>
        </w:tc>
      </w:tr>
      <w:tr w:rsidR="00BB3E1E" w:rsidRPr="00241762" w14:paraId="5454EAA4" w14:textId="77777777" w:rsidTr="00B05614">
        <w:trPr>
          <w:cantSplit/>
        </w:trPr>
        <w:tc>
          <w:tcPr>
            <w:tcW w:w="1644" w:type="dxa"/>
            <w:shd w:val="clear" w:color="auto" w:fill="FFFFFF"/>
            <w:tcMar>
              <w:top w:w="0" w:type="dxa"/>
              <w:left w:w="108" w:type="dxa"/>
              <w:bottom w:w="0" w:type="dxa"/>
              <w:right w:w="108" w:type="dxa"/>
            </w:tcMar>
          </w:tcPr>
          <w:p w14:paraId="296CB52B" w14:textId="77777777" w:rsidR="00BB3E1E" w:rsidRPr="00241762" w:rsidRDefault="00BB3E1E" w:rsidP="0092047C">
            <w:pPr>
              <w:pStyle w:val="TableText"/>
              <w:spacing w:before="50" w:after="50"/>
            </w:pPr>
            <w:r w:rsidRPr="00241762" w:rsidDel="00207B4E">
              <w:t>4.C.1</w:t>
            </w:r>
          </w:p>
        </w:tc>
        <w:tc>
          <w:tcPr>
            <w:tcW w:w="4423" w:type="dxa"/>
            <w:shd w:val="clear" w:color="auto" w:fill="FFFFFF"/>
            <w:tcMar>
              <w:top w:w="0" w:type="dxa"/>
              <w:left w:w="108" w:type="dxa"/>
              <w:bottom w:w="0" w:type="dxa"/>
              <w:right w:w="108" w:type="dxa"/>
            </w:tcMar>
          </w:tcPr>
          <w:p w14:paraId="4A6EF515" w14:textId="77777777" w:rsidR="00BB3E1E" w:rsidRPr="00241762" w:rsidRDefault="00BB3E1E" w:rsidP="0092047C">
            <w:pPr>
              <w:pStyle w:val="TableText"/>
              <w:spacing w:before="50" w:after="50"/>
            </w:pPr>
            <w:r w:rsidRPr="00241762" w:rsidDel="00207B4E">
              <w:t>Grassland – Grassland Remaining Grassland</w:t>
            </w:r>
          </w:p>
        </w:tc>
        <w:tc>
          <w:tcPr>
            <w:tcW w:w="510" w:type="dxa"/>
            <w:shd w:val="clear" w:color="auto" w:fill="FFFFFF"/>
            <w:tcMar>
              <w:top w:w="0" w:type="dxa"/>
              <w:left w:w="108" w:type="dxa"/>
              <w:bottom w:w="0" w:type="dxa"/>
              <w:right w:w="108" w:type="dxa"/>
            </w:tcMar>
          </w:tcPr>
          <w:p w14:paraId="1DBD04E4"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777165A2" w14:textId="77777777" w:rsidR="00BB3E1E" w:rsidRPr="00241762" w:rsidRDefault="00BB3E1E" w:rsidP="0092047C">
            <w:pPr>
              <w:pStyle w:val="TableText"/>
              <w:spacing w:before="50" w:after="50"/>
            </w:pPr>
            <w:r w:rsidRPr="00241762" w:rsidDel="00207B4E">
              <w:t>L1, T1</w:t>
            </w:r>
          </w:p>
        </w:tc>
      </w:tr>
      <w:tr w:rsidR="00BB3E1E" w:rsidRPr="00241762" w14:paraId="5E3319B6" w14:textId="77777777" w:rsidTr="00B05614">
        <w:trPr>
          <w:cantSplit/>
        </w:trPr>
        <w:tc>
          <w:tcPr>
            <w:tcW w:w="1644" w:type="dxa"/>
            <w:shd w:val="clear" w:color="auto" w:fill="FFFFFF"/>
            <w:tcMar>
              <w:top w:w="0" w:type="dxa"/>
              <w:left w:w="108" w:type="dxa"/>
              <w:bottom w:w="0" w:type="dxa"/>
              <w:right w:w="108" w:type="dxa"/>
            </w:tcMar>
          </w:tcPr>
          <w:p w14:paraId="58BA79E8" w14:textId="77777777" w:rsidR="00BB3E1E" w:rsidRPr="00241762" w:rsidRDefault="00BB3E1E" w:rsidP="0092047C">
            <w:pPr>
              <w:pStyle w:val="TableText"/>
              <w:spacing w:before="50" w:after="50"/>
            </w:pPr>
            <w:r w:rsidRPr="00241762" w:rsidDel="00207B4E">
              <w:t>4.C.2</w:t>
            </w:r>
          </w:p>
        </w:tc>
        <w:tc>
          <w:tcPr>
            <w:tcW w:w="4423" w:type="dxa"/>
            <w:shd w:val="clear" w:color="auto" w:fill="FFFFFF"/>
            <w:tcMar>
              <w:top w:w="0" w:type="dxa"/>
              <w:left w:w="108" w:type="dxa"/>
              <w:bottom w:w="0" w:type="dxa"/>
              <w:right w:w="108" w:type="dxa"/>
            </w:tcMar>
          </w:tcPr>
          <w:p w14:paraId="04E39B71" w14:textId="77777777" w:rsidR="00BB3E1E" w:rsidRPr="00241762" w:rsidRDefault="00BB3E1E" w:rsidP="0092047C">
            <w:pPr>
              <w:pStyle w:val="TableText"/>
              <w:spacing w:before="50" w:after="50"/>
            </w:pPr>
            <w:r w:rsidRPr="00241762" w:rsidDel="00207B4E">
              <w:t>Grassland – Land Converted to Grassland</w:t>
            </w:r>
          </w:p>
        </w:tc>
        <w:tc>
          <w:tcPr>
            <w:tcW w:w="510" w:type="dxa"/>
            <w:shd w:val="clear" w:color="auto" w:fill="FFFFFF"/>
            <w:tcMar>
              <w:top w:w="0" w:type="dxa"/>
              <w:left w:w="108" w:type="dxa"/>
              <w:bottom w:w="0" w:type="dxa"/>
              <w:right w:w="108" w:type="dxa"/>
            </w:tcMar>
          </w:tcPr>
          <w:p w14:paraId="2ACEEF94"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5FC9DD13" w14:textId="77777777" w:rsidR="00BB3E1E" w:rsidRPr="00241762" w:rsidRDefault="00BB3E1E" w:rsidP="0092047C">
            <w:pPr>
              <w:pStyle w:val="TableText"/>
              <w:spacing w:before="50" w:after="50"/>
            </w:pPr>
            <w:r w:rsidRPr="00241762" w:rsidDel="00207B4E">
              <w:t>L1, T1</w:t>
            </w:r>
          </w:p>
        </w:tc>
      </w:tr>
      <w:tr w:rsidR="00BB3E1E" w:rsidRPr="00241762" w14:paraId="7C5B167A" w14:textId="77777777" w:rsidTr="00B05614">
        <w:trPr>
          <w:cantSplit/>
        </w:trPr>
        <w:tc>
          <w:tcPr>
            <w:tcW w:w="1644" w:type="dxa"/>
            <w:shd w:val="clear" w:color="auto" w:fill="FFFFFF"/>
            <w:tcMar>
              <w:top w:w="0" w:type="dxa"/>
              <w:left w:w="108" w:type="dxa"/>
              <w:bottom w:w="0" w:type="dxa"/>
              <w:right w:w="108" w:type="dxa"/>
            </w:tcMar>
          </w:tcPr>
          <w:p w14:paraId="696E45F6" w14:textId="77777777" w:rsidR="00BB3E1E" w:rsidRPr="00241762" w:rsidRDefault="00BB3E1E" w:rsidP="0092047C">
            <w:pPr>
              <w:pStyle w:val="TableText"/>
              <w:spacing w:before="50" w:after="50"/>
            </w:pPr>
            <w:r w:rsidRPr="00241762" w:rsidDel="00207B4E">
              <w:t>4.G</w:t>
            </w:r>
          </w:p>
        </w:tc>
        <w:tc>
          <w:tcPr>
            <w:tcW w:w="4423" w:type="dxa"/>
            <w:shd w:val="clear" w:color="auto" w:fill="FFFFFF"/>
            <w:tcMar>
              <w:top w:w="0" w:type="dxa"/>
              <w:left w:w="108" w:type="dxa"/>
              <w:bottom w:w="0" w:type="dxa"/>
              <w:right w:w="108" w:type="dxa"/>
            </w:tcMar>
          </w:tcPr>
          <w:p w14:paraId="467EEF52" w14:textId="77777777" w:rsidR="00BB3E1E" w:rsidRPr="00241762" w:rsidRDefault="00BB3E1E" w:rsidP="0092047C">
            <w:pPr>
              <w:pStyle w:val="TableText"/>
              <w:spacing w:before="50" w:after="50"/>
            </w:pPr>
            <w:r w:rsidRPr="00241762" w:rsidDel="00207B4E">
              <w:t>Land Use, Land-Use Change and Forestry – Harvested Wood Products</w:t>
            </w:r>
          </w:p>
        </w:tc>
        <w:tc>
          <w:tcPr>
            <w:tcW w:w="510" w:type="dxa"/>
            <w:shd w:val="clear" w:color="auto" w:fill="FFFFFF"/>
            <w:tcMar>
              <w:top w:w="0" w:type="dxa"/>
              <w:left w:w="108" w:type="dxa"/>
              <w:bottom w:w="0" w:type="dxa"/>
              <w:right w:w="108" w:type="dxa"/>
            </w:tcMar>
          </w:tcPr>
          <w:p w14:paraId="0EAFE76C" w14:textId="77777777" w:rsidR="00BB3E1E" w:rsidRPr="00241762" w:rsidRDefault="00BB3E1E" w:rsidP="0092047C">
            <w:pPr>
              <w:pStyle w:val="TableText"/>
              <w:spacing w:before="50" w:after="50"/>
            </w:pPr>
            <w:r w:rsidRPr="00241762">
              <w:t>CO</w:t>
            </w:r>
            <w:r w:rsidRPr="00241762">
              <w:rPr>
                <w:vertAlign w:val="subscript"/>
              </w:rPr>
              <w:t>2</w:t>
            </w:r>
          </w:p>
        </w:tc>
        <w:tc>
          <w:tcPr>
            <w:tcW w:w="1871" w:type="dxa"/>
            <w:shd w:val="clear" w:color="auto" w:fill="FFFFFF"/>
            <w:tcMar>
              <w:top w:w="0" w:type="dxa"/>
              <w:left w:w="108" w:type="dxa"/>
              <w:bottom w:w="0" w:type="dxa"/>
              <w:right w:w="108" w:type="dxa"/>
            </w:tcMar>
          </w:tcPr>
          <w:p w14:paraId="0D4DCA6B" w14:textId="77777777" w:rsidR="00BB3E1E" w:rsidRPr="00241762" w:rsidRDefault="00BB3E1E" w:rsidP="0092047C">
            <w:pPr>
              <w:pStyle w:val="TableText"/>
              <w:spacing w:before="50" w:after="50"/>
            </w:pPr>
            <w:r w:rsidRPr="00241762" w:rsidDel="00207B4E">
              <w:t>L1, T1</w:t>
            </w:r>
          </w:p>
        </w:tc>
      </w:tr>
      <w:tr w:rsidR="0092047C" w:rsidRPr="00241762" w14:paraId="72D9486C" w14:textId="77777777" w:rsidTr="00B05614">
        <w:trPr>
          <w:cantSplit/>
        </w:trPr>
        <w:tc>
          <w:tcPr>
            <w:tcW w:w="1644" w:type="dxa"/>
            <w:shd w:val="clear" w:color="auto" w:fill="FFFFFF"/>
            <w:tcMar>
              <w:top w:w="0" w:type="dxa"/>
              <w:left w:w="108" w:type="dxa"/>
              <w:bottom w:w="0" w:type="dxa"/>
              <w:right w:w="108" w:type="dxa"/>
            </w:tcMar>
          </w:tcPr>
          <w:p w14:paraId="4D7A3B95" w14:textId="77777777" w:rsidR="00BB3E1E" w:rsidRPr="00241762" w:rsidRDefault="00BB3E1E" w:rsidP="0092047C">
            <w:pPr>
              <w:pStyle w:val="TableTextBold"/>
              <w:spacing w:before="50" w:after="50"/>
            </w:pPr>
            <w:r w:rsidRPr="00241762" w:rsidDel="00207B4E">
              <w:t>Waste</w:t>
            </w:r>
          </w:p>
        </w:tc>
        <w:tc>
          <w:tcPr>
            <w:tcW w:w="4423" w:type="dxa"/>
            <w:shd w:val="clear" w:color="auto" w:fill="FFFFFF"/>
            <w:tcMar>
              <w:top w:w="0" w:type="dxa"/>
              <w:left w:w="108" w:type="dxa"/>
              <w:bottom w:w="0" w:type="dxa"/>
              <w:right w:w="108" w:type="dxa"/>
            </w:tcMar>
          </w:tcPr>
          <w:p w14:paraId="654CA74E" w14:textId="77777777" w:rsidR="00BB3E1E" w:rsidRPr="00241762" w:rsidRDefault="00BB3E1E" w:rsidP="0092047C">
            <w:pPr>
              <w:pStyle w:val="TableTextBold"/>
              <w:spacing w:before="50" w:after="50"/>
            </w:pPr>
          </w:p>
        </w:tc>
        <w:tc>
          <w:tcPr>
            <w:tcW w:w="510" w:type="dxa"/>
            <w:shd w:val="clear" w:color="auto" w:fill="FFFFFF"/>
            <w:tcMar>
              <w:top w:w="0" w:type="dxa"/>
              <w:left w:w="108" w:type="dxa"/>
              <w:bottom w:w="0" w:type="dxa"/>
              <w:right w:w="108" w:type="dxa"/>
            </w:tcMar>
          </w:tcPr>
          <w:p w14:paraId="48BB55EB" w14:textId="77777777" w:rsidR="00BB3E1E" w:rsidRPr="00241762" w:rsidRDefault="00BB3E1E" w:rsidP="0092047C">
            <w:pPr>
              <w:pStyle w:val="TableTextBold"/>
              <w:spacing w:before="50" w:after="50"/>
            </w:pPr>
          </w:p>
        </w:tc>
        <w:tc>
          <w:tcPr>
            <w:tcW w:w="1871" w:type="dxa"/>
            <w:shd w:val="clear" w:color="auto" w:fill="FFFFFF"/>
            <w:tcMar>
              <w:top w:w="0" w:type="dxa"/>
              <w:left w:w="108" w:type="dxa"/>
              <w:bottom w:w="0" w:type="dxa"/>
              <w:right w:w="108" w:type="dxa"/>
            </w:tcMar>
          </w:tcPr>
          <w:p w14:paraId="55DBF881" w14:textId="77777777" w:rsidR="00BB3E1E" w:rsidRPr="00241762" w:rsidRDefault="00BB3E1E" w:rsidP="0092047C">
            <w:pPr>
              <w:pStyle w:val="TableTextBold"/>
              <w:spacing w:before="50" w:after="50"/>
            </w:pPr>
          </w:p>
        </w:tc>
      </w:tr>
      <w:tr w:rsidR="00BB3E1E" w:rsidRPr="00241762" w14:paraId="0742ECB3" w14:textId="77777777" w:rsidTr="00B05614">
        <w:trPr>
          <w:cantSplit/>
        </w:trPr>
        <w:tc>
          <w:tcPr>
            <w:tcW w:w="1644" w:type="dxa"/>
            <w:shd w:val="clear" w:color="auto" w:fill="FFFFFF"/>
            <w:tcMar>
              <w:top w:w="0" w:type="dxa"/>
              <w:left w:w="108" w:type="dxa"/>
              <w:bottom w:w="0" w:type="dxa"/>
              <w:right w:w="108" w:type="dxa"/>
            </w:tcMar>
          </w:tcPr>
          <w:p w14:paraId="14BC5617" w14:textId="77777777" w:rsidR="00BB3E1E" w:rsidRPr="00241762" w:rsidRDefault="00BB3E1E" w:rsidP="0092047C">
            <w:pPr>
              <w:pStyle w:val="TableText"/>
              <w:spacing w:before="50" w:after="50"/>
            </w:pPr>
            <w:r w:rsidRPr="00241762" w:rsidDel="00207B4E">
              <w:t>5.A</w:t>
            </w:r>
          </w:p>
        </w:tc>
        <w:tc>
          <w:tcPr>
            <w:tcW w:w="4423" w:type="dxa"/>
            <w:shd w:val="clear" w:color="auto" w:fill="FFFFFF"/>
            <w:tcMar>
              <w:top w:w="0" w:type="dxa"/>
              <w:left w:w="108" w:type="dxa"/>
              <w:bottom w:w="0" w:type="dxa"/>
              <w:right w:w="108" w:type="dxa"/>
            </w:tcMar>
          </w:tcPr>
          <w:p w14:paraId="183F77C4" w14:textId="77777777" w:rsidR="00BB3E1E" w:rsidRPr="00241762" w:rsidRDefault="00BB3E1E" w:rsidP="0092047C">
            <w:pPr>
              <w:pStyle w:val="TableText"/>
              <w:spacing w:before="50" w:after="50"/>
            </w:pPr>
            <w:r w:rsidRPr="00241762" w:rsidDel="00207B4E">
              <w:t>Waste – Solid Waste Disposal</w:t>
            </w:r>
          </w:p>
        </w:tc>
        <w:tc>
          <w:tcPr>
            <w:tcW w:w="510" w:type="dxa"/>
            <w:shd w:val="clear" w:color="auto" w:fill="FFFFFF"/>
            <w:tcMar>
              <w:top w:w="0" w:type="dxa"/>
              <w:left w:w="108" w:type="dxa"/>
              <w:bottom w:w="0" w:type="dxa"/>
              <w:right w:w="108" w:type="dxa"/>
            </w:tcMar>
          </w:tcPr>
          <w:p w14:paraId="55E251A6" w14:textId="77777777" w:rsidR="00BB3E1E" w:rsidRPr="00241762" w:rsidRDefault="00BB3E1E" w:rsidP="0092047C">
            <w:pPr>
              <w:pStyle w:val="TableText"/>
              <w:spacing w:before="50" w:after="50"/>
            </w:pPr>
            <w:r w:rsidRPr="00241762" w:rsidDel="00207B4E">
              <w:t>CH</w:t>
            </w:r>
            <w:r w:rsidRPr="00241762" w:rsidDel="00207B4E">
              <w:rPr>
                <w:vertAlign w:val="subscript"/>
              </w:rPr>
              <w:t>4</w:t>
            </w:r>
          </w:p>
        </w:tc>
        <w:tc>
          <w:tcPr>
            <w:tcW w:w="1871" w:type="dxa"/>
            <w:shd w:val="clear" w:color="auto" w:fill="FFFFFF"/>
            <w:tcMar>
              <w:top w:w="0" w:type="dxa"/>
              <w:left w:w="108" w:type="dxa"/>
              <w:bottom w:w="0" w:type="dxa"/>
              <w:right w:w="108" w:type="dxa"/>
            </w:tcMar>
          </w:tcPr>
          <w:p w14:paraId="66633707" w14:textId="77777777" w:rsidR="00BB3E1E" w:rsidRPr="00241762" w:rsidRDefault="00BB3E1E" w:rsidP="0092047C">
            <w:pPr>
              <w:pStyle w:val="TableText"/>
              <w:spacing w:before="50" w:after="50"/>
            </w:pPr>
            <w:r w:rsidRPr="00241762" w:rsidDel="00207B4E">
              <w:t>L1, T1</w:t>
            </w:r>
          </w:p>
        </w:tc>
      </w:tr>
      <w:tr w:rsidR="00BB3E1E" w:rsidRPr="00241762" w14:paraId="7AB80B9A" w14:textId="77777777" w:rsidTr="00B05614">
        <w:trPr>
          <w:cantSplit/>
        </w:trPr>
        <w:tc>
          <w:tcPr>
            <w:tcW w:w="1644" w:type="dxa"/>
            <w:shd w:val="clear" w:color="auto" w:fill="FFFFFF"/>
            <w:tcMar>
              <w:top w:w="0" w:type="dxa"/>
              <w:left w:w="108" w:type="dxa"/>
              <w:bottom w:w="0" w:type="dxa"/>
              <w:right w:w="108" w:type="dxa"/>
            </w:tcMar>
          </w:tcPr>
          <w:p w14:paraId="2D7F4ABF" w14:textId="77777777" w:rsidR="00BB3E1E" w:rsidRPr="00241762" w:rsidRDefault="00BB3E1E" w:rsidP="0092047C">
            <w:pPr>
              <w:pStyle w:val="TableText"/>
              <w:spacing w:before="50" w:after="50"/>
            </w:pPr>
            <w:r w:rsidRPr="00241762" w:rsidDel="00207B4E">
              <w:t>5.C</w:t>
            </w:r>
          </w:p>
        </w:tc>
        <w:tc>
          <w:tcPr>
            <w:tcW w:w="4423" w:type="dxa"/>
            <w:shd w:val="clear" w:color="auto" w:fill="FFFFFF"/>
            <w:tcMar>
              <w:top w:w="0" w:type="dxa"/>
              <w:left w:w="108" w:type="dxa"/>
              <w:bottom w:w="0" w:type="dxa"/>
              <w:right w:w="108" w:type="dxa"/>
            </w:tcMar>
          </w:tcPr>
          <w:p w14:paraId="07635250" w14:textId="77777777" w:rsidR="00BB3E1E" w:rsidRPr="00241762" w:rsidRDefault="00BB3E1E" w:rsidP="0092047C">
            <w:pPr>
              <w:pStyle w:val="TableText"/>
              <w:spacing w:before="50" w:after="50"/>
            </w:pPr>
            <w:r w:rsidRPr="00241762" w:rsidDel="00207B4E">
              <w:t>Waste – Incineration and Open Burning of Waste</w:t>
            </w:r>
          </w:p>
        </w:tc>
        <w:tc>
          <w:tcPr>
            <w:tcW w:w="510" w:type="dxa"/>
            <w:shd w:val="clear" w:color="auto" w:fill="FFFFFF"/>
            <w:tcMar>
              <w:top w:w="0" w:type="dxa"/>
              <w:left w:w="108" w:type="dxa"/>
              <w:bottom w:w="0" w:type="dxa"/>
              <w:right w:w="108" w:type="dxa"/>
            </w:tcMar>
          </w:tcPr>
          <w:p w14:paraId="08598123" w14:textId="77777777" w:rsidR="00BB3E1E" w:rsidRPr="00241762" w:rsidRDefault="00BB3E1E" w:rsidP="0092047C">
            <w:pPr>
              <w:pStyle w:val="TableText"/>
              <w:spacing w:before="50" w:after="50"/>
            </w:pPr>
            <w:r w:rsidRPr="00241762" w:rsidDel="00207B4E">
              <w:t>CO</w:t>
            </w:r>
            <w:r w:rsidRPr="00241762" w:rsidDel="00207B4E">
              <w:rPr>
                <w:vertAlign w:val="subscript"/>
              </w:rPr>
              <w:t>2</w:t>
            </w:r>
          </w:p>
        </w:tc>
        <w:tc>
          <w:tcPr>
            <w:tcW w:w="1871" w:type="dxa"/>
            <w:shd w:val="clear" w:color="auto" w:fill="FFFFFF"/>
            <w:tcMar>
              <w:top w:w="0" w:type="dxa"/>
              <w:left w:w="108" w:type="dxa"/>
              <w:bottom w:w="0" w:type="dxa"/>
              <w:right w:w="108" w:type="dxa"/>
            </w:tcMar>
          </w:tcPr>
          <w:p w14:paraId="6CBBC66C" w14:textId="77777777" w:rsidR="00BB3E1E" w:rsidRPr="00241762" w:rsidRDefault="00BB3E1E" w:rsidP="0092047C">
            <w:pPr>
              <w:pStyle w:val="TableText"/>
              <w:spacing w:before="50" w:after="50"/>
            </w:pPr>
            <w:r w:rsidRPr="00241762" w:rsidDel="00207B4E">
              <w:t>T1</w:t>
            </w:r>
          </w:p>
        </w:tc>
      </w:tr>
      <w:tr w:rsidR="00BB3E1E" w:rsidRPr="00241762" w14:paraId="5E2035BE" w14:textId="77777777" w:rsidTr="00B05614">
        <w:trPr>
          <w:cantSplit/>
        </w:trPr>
        <w:tc>
          <w:tcPr>
            <w:tcW w:w="1644" w:type="dxa"/>
            <w:shd w:val="clear" w:color="auto" w:fill="FFFFFF"/>
            <w:tcMar>
              <w:top w:w="0" w:type="dxa"/>
              <w:left w:w="108" w:type="dxa"/>
              <w:bottom w:w="0" w:type="dxa"/>
              <w:right w:w="108" w:type="dxa"/>
            </w:tcMar>
          </w:tcPr>
          <w:p w14:paraId="01A20238" w14:textId="77777777" w:rsidR="00BB3E1E" w:rsidRPr="00241762" w:rsidRDefault="00BB3E1E" w:rsidP="0092047C">
            <w:pPr>
              <w:pStyle w:val="TableText"/>
              <w:spacing w:before="50" w:after="50"/>
            </w:pPr>
            <w:r w:rsidRPr="00241762" w:rsidDel="00207B4E">
              <w:t>5.D</w:t>
            </w:r>
          </w:p>
        </w:tc>
        <w:tc>
          <w:tcPr>
            <w:tcW w:w="4423" w:type="dxa"/>
            <w:shd w:val="clear" w:color="auto" w:fill="FFFFFF"/>
            <w:tcMar>
              <w:top w:w="0" w:type="dxa"/>
              <w:left w:w="108" w:type="dxa"/>
              <w:bottom w:w="0" w:type="dxa"/>
              <w:right w:w="108" w:type="dxa"/>
            </w:tcMar>
          </w:tcPr>
          <w:p w14:paraId="3F3BC7C8" w14:textId="77777777" w:rsidR="00BB3E1E" w:rsidRPr="00241762" w:rsidRDefault="00BB3E1E" w:rsidP="0092047C">
            <w:pPr>
              <w:pStyle w:val="TableText"/>
              <w:spacing w:before="50" w:after="50"/>
            </w:pPr>
            <w:r w:rsidRPr="00241762" w:rsidDel="00207B4E">
              <w:t>Waste – Wastewater Treatment and Discharge</w:t>
            </w:r>
          </w:p>
        </w:tc>
        <w:tc>
          <w:tcPr>
            <w:tcW w:w="510" w:type="dxa"/>
            <w:shd w:val="clear" w:color="auto" w:fill="FFFFFF"/>
            <w:tcMar>
              <w:top w:w="0" w:type="dxa"/>
              <w:left w:w="108" w:type="dxa"/>
              <w:bottom w:w="0" w:type="dxa"/>
              <w:right w:w="108" w:type="dxa"/>
            </w:tcMar>
          </w:tcPr>
          <w:p w14:paraId="736C084A" w14:textId="77777777" w:rsidR="00BB3E1E" w:rsidRPr="00241762" w:rsidRDefault="00BB3E1E" w:rsidP="0092047C">
            <w:pPr>
              <w:pStyle w:val="TableText"/>
              <w:spacing w:before="50" w:after="50"/>
            </w:pPr>
            <w:r w:rsidRPr="00241762" w:rsidDel="00207B4E">
              <w:t>CH</w:t>
            </w:r>
            <w:r w:rsidRPr="00241762" w:rsidDel="00207B4E">
              <w:rPr>
                <w:vertAlign w:val="subscript"/>
              </w:rPr>
              <w:t>4</w:t>
            </w:r>
          </w:p>
        </w:tc>
        <w:tc>
          <w:tcPr>
            <w:tcW w:w="1871" w:type="dxa"/>
            <w:shd w:val="clear" w:color="auto" w:fill="FFFFFF"/>
            <w:tcMar>
              <w:top w:w="0" w:type="dxa"/>
              <w:left w:w="108" w:type="dxa"/>
              <w:bottom w:w="0" w:type="dxa"/>
              <w:right w:w="108" w:type="dxa"/>
            </w:tcMar>
          </w:tcPr>
          <w:p w14:paraId="1286F2E0" w14:textId="77777777" w:rsidR="00BB3E1E" w:rsidRPr="00241762" w:rsidRDefault="00BB3E1E" w:rsidP="0092047C">
            <w:pPr>
              <w:pStyle w:val="TableText"/>
              <w:spacing w:before="50" w:after="50"/>
            </w:pPr>
            <w:r w:rsidRPr="00241762" w:rsidDel="00207B4E">
              <w:t>L1</w:t>
            </w:r>
          </w:p>
        </w:tc>
      </w:tr>
    </w:tbl>
    <w:p w14:paraId="14BAA6F9" w14:textId="5AAB9703" w:rsidR="00BB3E1E" w:rsidRPr="00672A64" w:rsidRDefault="00BB3E1E" w:rsidP="00BB3E1E">
      <w:pPr>
        <w:pStyle w:val="Noteundertable"/>
      </w:pPr>
      <w:r w:rsidRPr="00241762">
        <w:rPr>
          <w:b/>
          <w:bCs/>
        </w:rPr>
        <w:t>Note:</w:t>
      </w:r>
      <w:r>
        <w:tab/>
      </w:r>
      <w:r w:rsidRPr="00241762">
        <w:t xml:space="preserve">L1 means a key category is identified under the level analysis – approach 1 and T1 is trend analysis – approach 1. According to the 2006 IPCC Guidelines (IPCC, 2006b), L1 indicates a level assessment for a </w:t>
      </w:r>
      <w:r w:rsidR="00243F76">
        <w:br/>
      </w:r>
      <w:r w:rsidRPr="00241762">
        <w:t>Tier 1 key category, and T1 indicates a trend assessment for a Tier 1 key category.</w:t>
      </w:r>
    </w:p>
    <w:p w14:paraId="56834883" w14:textId="73A3A30C" w:rsidR="00BB3E1E" w:rsidRPr="00241762" w:rsidRDefault="00BB3E1E" w:rsidP="0092047C">
      <w:pPr>
        <w:pStyle w:val="Table"/>
        <w:spacing w:before="240"/>
        <w:ind w:left="1418" w:hanging="1418"/>
      </w:pPr>
      <w:bookmarkStart w:id="89" w:name="_Toc99659205"/>
      <w:r w:rsidRPr="00241762">
        <w:t xml:space="preserve">Table 1.5.2(a &amp; b) </w:t>
      </w:r>
      <w:r>
        <w:tab/>
      </w:r>
      <w:r w:rsidRPr="00241762">
        <w:rPr>
          <w:bCs/>
        </w:rPr>
        <w:t>2020</w:t>
      </w:r>
      <w:r w:rsidRPr="00241762">
        <w:t xml:space="preserve"> level assessment for New Zealand’s key category analysis including LULUCF (a) and</w:t>
      </w:r>
      <w:r w:rsidR="00243F76">
        <w:t> </w:t>
      </w:r>
      <w:r w:rsidRPr="00241762">
        <w:t>excluding LULUCF (b)</w:t>
      </w:r>
      <w:bookmarkEnd w:id="89"/>
    </w:p>
    <w:p w14:paraId="0581AAA0" w14:textId="77777777" w:rsidR="00BB3E1E" w:rsidRPr="003B7FF7" w:rsidRDefault="00BB3E1E" w:rsidP="00BB3E1E">
      <w:pPr>
        <w:pStyle w:val="TableText"/>
        <w:spacing w:after="120"/>
        <w:rPr>
          <w:b/>
          <w:bCs/>
        </w:rPr>
      </w:pPr>
      <w:r w:rsidRPr="003B7FF7">
        <w:rPr>
          <w:b/>
          <w:bCs/>
        </w:rPr>
        <w:t>(a) IPCC Tier 1 category level assessment – including LULUCF (net emissions): 2020</w:t>
      </w:r>
    </w:p>
    <w:tbl>
      <w:tblPr>
        <w:tblW w:w="8505" w:type="dxa"/>
        <w:tblInd w:w="113"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955"/>
        <w:gridCol w:w="3695"/>
        <w:gridCol w:w="511"/>
        <w:gridCol w:w="1474"/>
        <w:gridCol w:w="944"/>
        <w:gridCol w:w="926"/>
      </w:tblGrid>
      <w:tr w:rsidR="00243F76" w:rsidRPr="00BB3E1E" w14:paraId="49E2600C" w14:textId="77777777" w:rsidTr="00BB1EAB">
        <w:trPr>
          <w:cantSplit/>
          <w:tblHeader/>
        </w:trPr>
        <w:tc>
          <w:tcPr>
            <w:tcW w:w="0" w:type="auto"/>
            <w:shd w:val="clear" w:color="auto" w:fill="1B556B"/>
            <w:tcMar>
              <w:top w:w="0" w:type="dxa"/>
              <w:left w:w="85" w:type="dxa"/>
              <w:bottom w:w="0" w:type="dxa"/>
              <w:right w:w="85" w:type="dxa"/>
            </w:tcMar>
            <w:vAlign w:val="bottom"/>
          </w:tcPr>
          <w:p w14:paraId="5A7B7837" w14:textId="77777777" w:rsidR="00BB3E1E" w:rsidRPr="00BB3E1E" w:rsidRDefault="00BB3E1E" w:rsidP="00BB1EAB">
            <w:pPr>
              <w:pStyle w:val="TableTextBold"/>
              <w:spacing w:before="40" w:after="40"/>
              <w:rPr>
                <w:color w:val="FFFFFF"/>
              </w:rPr>
            </w:pPr>
            <w:r w:rsidRPr="00BB3E1E">
              <w:rPr>
                <w:rFonts w:eastAsia="Calibri"/>
                <w:color w:val="FFFFFF"/>
              </w:rPr>
              <w:t>CRF category code</w:t>
            </w:r>
          </w:p>
        </w:tc>
        <w:tc>
          <w:tcPr>
            <w:tcW w:w="3695" w:type="dxa"/>
            <w:shd w:val="clear" w:color="auto" w:fill="1B556B"/>
            <w:tcMar>
              <w:top w:w="0" w:type="dxa"/>
              <w:left w:w="85" w:type="dxa"/>
              <w:bottom w:w="0" w:type="dxa"/>
              <w:right w:w="85" w:type="dxa"/>
            </w:tcMar>
            <w:vAlign w:val="bottom"/>
          </w:tcPr>
          <w:p w14:paraId="4DBFC9BF" w14:textId="77777777" w:rsidR="00BB3E1E" w:rsidRPr="00BB3E1E" w:rsidRDefault="00BB3E1E" w:rsidP="00BB1EAB">
            <w:pPr>
              <w:pStyle w:val="TableTextBold"/>
              <w:spacing w:before="40" w:after="40"/>
              <w:rPr>
                <w:color w:val="FFFFFF"/>
              </w:rPr>
            </w:pPr>
            <w:r w:rsidRPr="00BB3E1E">
              <w:rPr>
                <w:rFonts w:eastAsia="Calibri"/>
                <w:color w:val="FFFFFF"/>
              </w:rPr>
              <w:t>IPCC category</w:t>
            </w:r>
          </w:p>
        </w:tc>
        <w:tc>
          <w:tcPr>
            <w:tcW w:w="511" w:type="dxa"/>
            <w:shd w:val="clear" w:color="auto" w:fill="1B556B"/>
            <w:tcMar>
              <w:top w:w="0" w:type="dxa"/>
              <w:left w:w="85" w:type="dxa"/>
              <w:bottom w:w="0" w:type="dxa"/>
              <w:right w:w="85" w:type="dxa"/>
            </w:tcMar>
            <w:vAlign w:val="bottom"/>
          </w:tcPr>
          <w:p w14:paraId="51AB7037" w14:textId="77777777" w:rsidR="00BB3E1E" w:rsidRPr="00BB3E1E" w:rsidRDefault="00BB3E1E" w:rsidP="00BB1EAB">
            <w:pPr>
              <w:pStyle w:val="TableTextBold"/>
              <w:spacing w:before="40" w:after="40"/>
              <w:rPr>
                <w:color w:val="FFFFFF"/>
              </w:rPr>
            </w:pPr>
            <w:r w:rsidRPr="00BB3E1E">
              <w:rPr>
                <w:rFonts w:eastAsia="Calibri"/>
                <w:color w:val="FFFFFF"/>
              </w:rPr>
              <w:t>Gas</w:t>
            </w:r>
          </w:p>
        </w:tc>
        <w:tc>
          <w:tcPr>
            <w:tcW w:w="1474" w:type="dxa"/>
            <w:shd w:val="clear" w:color="auto" w:fill="1B556B"/>
            <w:tcMar>
              <w:top w:w="0" w:type="dxa"/>
              <w:left w:w="85" w:type="dxa"/>
              <w:bottom w:w="0" w:type="dxa"/>
              <w:right w:w="85" w:type="dxa"/>
            </w:tcMar>
            <w:vAlign w:val="bottom"/>
          </w:tcPr>
          <w:p w14:paraId="38FCC0ED" w14:textId="38F5962B" w:rsidR="00BB3E1E" w:rsidRPr="00BB3E1E" w:rsidRDefault="00BB3E1E" w:rsidP="00BB1EAB">
            <w:pPr>
              <w:pStyle w:val="TableTextBold"/>
              <w:spacing w:before="40" w:after="40"/>
              <w:jc w:val="right"/>
              <w:rPr>
                <w:color w:val="FFFFFF"/>
              </w:rPr>
            </w:pPr>
            <w:r w:rsidRPr="00BB3E1E">
              <w:rPr>
                <w:rFonts w:eastAsia="Calibri"/>
                <w:color w:val="FFFFFF"/>
              </w:rPr>
              <w:t xml:space="preserve">2020 estimate </w:t>
            </w:r>
            <w:r w:rsidR="00243F76">
              <w:rPr>
                <w:rFonts w:eastAsia="Calibri"/>
                <w:color w:val="FFFFFF"/>
              </w:rPr>
              <w:br/>
            </w:r>
            <w:r w:rsidRPr="00BB3E1E">
              <w:rPr>
                <w:rFonts w:eastAsia="Calibri"/>
                <w:color w:val="FFFFFF"/>
              </w:rPr>
              <w:t>(kt CO</w:t>
            </w:r>
            <w:r w:rsidRPr="00BB3E1E">
              <w:rPr>
                <w:rFonts w:eastAsia="Calibri"/>
                <w:color w:val="FFFFFF"/>
                <w:vertAlign w:val="subscript"/>
              </w:rPr>
              <w:t>2</w:t>
            </w:r>
            <w:r w:rsidRPr="00BB3E1E">
              <w:rPr>
                <w:rFonts w:eastAsia="Calibri"/>
                <w:color w:val="FFFFFF"/>
              </w:rPr>
              <w:t>-equivalent)</w:t>
            </w:r>
          </w:p>
        </w:tc>
        <w:tc>
          <w:tcPr>
            <w:tcW w:w="944" w:type="dxa"/>
            <w:shd w:val="clear" w:color="auto" w:fill="1B556B"/>
            <w:tcMar>
              <w:top w:w="0" w:type="dxa"/>
              <w:left w:w="85" w:type="dxa"/>
              <w:bottom w:w="0" w:type="dxa"/>
              <w:right w:w="85" w:type="dxa"/>
            </w:tcMar>
            <w:vAlign w:val="bottom"/>
          </w:tcPr>
          <w:p w14:paraId="538220DC" w14:textId="77777777" w:rsidR="00BB3E1E" w:rsidRPr="00BB3E1E" w:rsidRDefault="00BB3E1E" w:rsidP="00BB1EAB">
            <w:pPr>
              <w:pStyle w:val="TableTextBold"/>
              <w:spacing w:before="40" w:after="40"/>
              <w:jc w:val="right"/>
              <w:rPr>
                <w:color w:val="FFFFFF"/>
              </w:rPr>
            </w:pPr>
            <w:r w:rsidRPr="00BB3E1E">
              <w:rPr>
                <w:rFonts w:eastAsia="Calibri"/>
                <w:color w:val="FFFFFF"/>
              </w:rPr>
              <w:t>Level assessment (%)</w:t>
            </w:r>
          </w:p>
        </w:tc>
        <w:tc>
          <w:tcPr>
            <w:tcW w:w="926" w:type="dxa"/>
            <w:shd w:val="clear" w:color="auto" w:fill="1B556B"/>
            <w:tcMar>
              <w:top w:w="0" w:type="dxa"/>
              <w:left w:w="85" w:type="dxa"/>
              <w:bottom w:w="0" w:type="dxa"/>
              <w:right w:w="85" w:type="dxa"/>
            </w:tcMar>
            <w:vAlign w:val="bottom"/>
          </w:tcPr>
          <w:p w14:paraId="42336CD1" w14:textId="77777777" w:rsidR="00BB3E1E" w:rsidRPr="00BB3E1E" w:rsidRDefault="00BB3E1E" w:rsidP="00BB1EAB">
            <w:pPr>
              <w:pStyle w:val="TableTextBold"/>
              <w:spacing w:before="40" w:after="40"/>
              <w:jc w:val="right"/>
              <w:rPr>
                <w:color w:val="FFFFFF"/>
              </w:rPr>
            </w:pPr>
            <w:r w:rsidRPr="00BB3E1E">
              <w:rPr>
                <w:rFonts w:eastAsia="Calibri"/>
                <w:color w:val="FFFFFF"/>
              </w:rPr>
              <w:t>Cumulative total (%)</w:t>
            </w:r>
          </w:p>
        </w:tc>
      </w:tr>
      <w:tr w:rsidR="00BB3E1E" w:rsidRPr="003B7FF7" w14:paraId="5A399967" w14:textId="77777777" w:rsidTr="00BB1EAB">
        <w:trPr>
          <w:cantSplit/>
        </w:trPr>
        <w:tc>
          <w:tcPr>
            <w:tcW w:w="0" w:type="auto"/>
            <w:shd w:val="clear" w:color="auto" w:fill="auto"/>
            <w:tcMar>
              <w:top w:w="0" w:type="dxa"/>
              <w:left w:w="85" w:type="dxa"/>
              <w:bottom w:w="0" w:type="dxa"/>
              <w:right w:w="85" w:type="dxa"/>
            </w:tcMar>
          </w:tcPr>
          <w:p w14:paraId="0C8B8933" w14:textId="77777777" w:rsidR="00BB3E1E" w:rsidRPr="003B7FF7" w:rsidRDefault="00BB3E1E" w:rsidP="00BB1EAB">
            <w:pPr>
              <w:pStyle w:val="TableText"/>
              <w:spacing w:before="40" w:after="40"/>
            </w:pPr>
            <w:r w:rsidRPr="003B7FF7" w:rsidDel="00B824D6">
              <w:t>4.A.1</w:t>
            </w:r>
          </w:p>
        </w:tc>
        <w:tc>
          <w:tcPr>
            <w:tcW w:w="3695" w:type="dxa"/>
            <w:shd w:val="clear" w:color="auto" w:fill="auto"/>
            <w:tcMar>
              <w:top w:w="0" w:type="dxa"/>
              <w:left w:w="85" w:type="dxa"/>
              <w:bottom w:w="0" w:type="dxa"/>
              <w:right w:w="85" w:type="dxa"/>
            </w:tcMar>
          </w:tcPr>
          <w:p w14:paraId="601B1F06" w14:textId="77777777" w:rsidR="00BB3E1E" w:rsidRPr="003B7FF7" w:rsidRDefault="00BB3E1E" w:rsidP="00BB1EAB">
            <w:pPr>
              <w:pStyle w:val="TableText"/>
              <w:spacing w:before="40" w:after="40"/>
            </w:pPr>
            <w:r w:rsidRPr="003B7FF7" w:rsidDel="00B824D6">
              <w:t>Forest Land – Forest Land Remaining Forest Land</w:t>
            </w:r>
          </w:p>
        </w:tc>
        <w:tc>
          <w:tcPr>
            <w:tcW w:w="511" w:type="dxa"/>
            <w:shd w:val="clear" w:color="auto" w:fill="auto"/>
            <w:tcMar>
              <w:top w:w="0" w:type="dxa"/>
              <w:left w:w="85" w:type="dxa"/>
              <w:bottom w:w="0" w:type="dxa"/>
              <w:right w:w="85" w:type="dxa"/>
            </w:tcMar>
          </w:tcPr>
          <w:p w14:paraId="0B821D8C"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19B43AB6" w14:textId="77777777" w:rsidR="00BB3E1E" w:rsidRPr="003B7FF7" w:rsidRDefault="00BB3E1E" w:rsidP="00BB1EAB">
            <w:pPr>
              <w:pStyle w:val="TableText"/>
              <w:spacing w:before="40" w:after="40"/>
              <w:jc w:val="right"/>
            </w:pPr>
            <w:r w:rsidRPr="003B7FF7" w:rsidDel="00B824D6">
              <w:t>–15,345.3</w:t>
            </w:r>
          </w:p>
        </w:tc>
        <w:tc>
          <w:tcPr>
            <w:tcW w:w="944" w:type="dxa"/>
            <w:shd w:val="clear" w:color="auto" w:fill="auto"/>
            <w:tcMar>
              <w:top w:w="0" w:type="dxa"/>
              <w:left w:w="85" w:type="dxa"/>
              <w:bottom w:w="0" w:type="dxa"/>
              <w:right w:w="85" w:type="dxa"/>
            </w:tcMar>
          </w:tcPr>
          <w:p w14:paraId="323D0A18" w14:textId="77777777" w:rsidR="00BB3E1E" w:rsidRPr="003B7FF7" w:rsidRDefault="00BB3E1E" w:rsidP="00BB1EAB">
            <w:pPr>
              <w:pStyle w:val="TableText"/>
              <w:spacing w:before="40" w:after="40"/>
              <w:jc w:val="right"/>
            </w:pPr>
            <w:r w:rsidRPr="003B7FF7" w:rsidDel="00B824D6">
              <w:t>14.1</w:t>
            </w:r>
          </w:p>
        </w:tc>
        <w:tc>
          <w:tcPr>
            <w:tcW w:w="926" w:type="dxa"/>
            <w:shd w:val="clear" w:color="auto" w:fill="auto"/>
            <w:tcMar>
              <w:top w:w="0" w:type="dxa"/>
              <w:left w:w="85" w:type="dxa"/>
              <w:bottom w:w="0" w:type="dxa"/>
              <w:right w:w="85" w:type="dxa"/>
            </w:tcMar>
          </w:tcPr>
          <w:p w14:paraId="6AB91A7A" w14:textId="77777777" w:rsidR="00BB3E1E" w:rsidRPr="003B7FF7" w:rsidRDefault="00BB3E1E" w:rsidP="00BB1EAB">
            <w:pPr>
              <w:pStyle w:val="TableText"/>
              <w:spacing w:before="40" w:after="40"/>
              <w:jc w:val="right"/>
            </w:pPr>
            <w:r w:rsidRPr="003B7FF7" w:rsidDel="00B824D6">
              <w:t>14.1</w:t>
            </w:r>
          </w:p>
        </w:tc>
      </w:tr>
      <w:tr w:rsidR="00BB3E1E" w:rsidRPr="003B7FF7" w14:paraId="37CC1BC2" w14:textId="77777777" w:rsidTr="00BB1EAB">
        <w:trPr>
          <w:cantSplit/>
        </w:trPr>
        <w:tc>
          <w:tcPr>
            <w:tcW w:w="0" w:type="auto"/>
            <w:shd w:val="clear" w:color="auto" w:fill="auto"/>
            <w:tcMar>
              <w:top w:w="0" w:type="dxa"/>
              <w:left w:w="85" w:type="dxa"/>
              <w:bottom w:w="0" w:type="dxa"/>
              <w:right w:w="85" w:type="dxa"/>
            </w:tcMar>
          </w:tcPr>
          <w:p w14:paraId="6EBEF183" w14:textId="77777777" w:rsidR="00BB3E1E" w:rsidRPr="003B7FF7" w:rsidRDefault="00BB3E1E" w:rsidP="00BB1EAB">
            <w:pPr>
              <w:pStyle w:val="TableText"/>
              <w:spacing w:before="40" w:after="40"/>
            </w:pPr>
            <w:r w:rsidRPr="003B7FF7" w:rsidDel="00B824D6">
              <w:t>3.A.1</w:t>
            </w:r>
          </w:p>
        </w:tc>
        <w:tc>
          <w:tcPr>
            <w:tcW w:w="3695" w:type="dxa"/>
            <w:shd w:val="clear" w:color="auto" w:fill="auto"/>
            <w:tcMar>
              <w:top w:w="0" w:type="dxa"/>
              <w:left w:w="85" w:type="dxa"/>
              <w:bottom w:w="0" w:type="dxa"/>
              <w:right w:w="85" w:type="dxa"/>
            </w:tcMar>
          </w:tcPr>
          <w:p w14:paraId="2E441A6A" w14:textId="77777777" w:rsidR="00BB3E1E" w:rsidRPr="003B7FF7" w:rsidRDefault="00BB3E1E" w:rsidP="00BB1EAB">
            <w:pPr>
              <w:pStyle w:val="TableText"/>
              <w:spacing w:before="40" w:after="40"/>
            </w:pPr>
            <w:r w:rsidRPr="003B7FF7" w:rsidDel="00B824D6">
              <w:t>Option A – Dairy Cattle</w:t>
            </w:r>
          </w:p>
        </w:tc>
        <w:tc>
          <w:tcPr>
            <w:tcW w:w="511" w:type="dxa"/>
            <w:shd w:val="clear" w:color="auto" w:fill="auto"/>
            <w:tcMar>
              <w:top w:w="0" w:type="dxa"/>
              <w:left w:w="85" w:type="dxa"/>
              <w:bottom w:w="0" w:type="dxa"/>
              <w:right w:w="85" w:type="dxa"/>
            </w:tcMar>
          </w:tcPr>
          <w:p w14:paraId="05B616AC" w14:textId="77777777" w:rsidR="00BB3E1E" w:rsidRPr="003B7FF7" w:rsidRDefault="00BB3E1E" w:rsidP="00BB1EAB">
            <w:pPr>
              <w:pStyle w:val="TableText"/>
              <w:spacing w:before="40" w:after="40"/>
            </w:pPr>
            <w:r w:rsidRPr="003B7FF7" w:rsidDel="00B824D6">
              <w:t>CH</w:t>
            </w:r>
            <w:r w:rsidRPr="003B7FF7" w:rsidDel="00B824D6">
              <w:rPr>
                <w:vertAlign w:val="subscript"/>
              </w:rPr>
              <w:t>4</w:t>
            </w:r>
          </w:p>
        </w:tc>
        <w:tc>
          <w:tcPr>
            <w:tcW w:w="1474" w:type="dxa"/>
            <w:shd w:val="clear" w:color="auto" w:fill="auto"/>
            <w:tcMar>
              <w:top w:w="0" w:type="dxa"/>
              <w:left w:w="85" w:type="dxa"/>
              <w:bottom w:w="0" w:type="dxa"/>
              <w:right w:w="85" w:type="dxa"/>
            </w:tcMar>
          </w:tcPr>
          <w:p w14:paraId="359086DF" w14:textId="77777777" w:rsidR="00BB3E1E" w:rsidRPr="003B7FF7" w:rsidRDefault="00BB3E1E" w:rsidP="00BB1EAB">
            <w:pPr>
              <w:pStyle w:val="TableText"/>
              <w:spacing w:before="40" w:after="40"/>
              <w:jc w:val="right"/>
            </w:pPr>
            <w:r w:rsidRPr="003B7FF7" w:rsidDel="00B824D6">
              <w:t>14,034.7</w:t>
            </w:r>
          </w:p>
        </w:tc>
        <w:tc>
          <w:tcPr>
            <w:tcW w:w="944" w:type="dxa"/>
            <w:shd w:val="clear" w:color="auto" w:fill="auto"/>
            <w:tcMar>
              <w:top w:w="0" w:type="dxa"/>
              <w:left w:w="85" w:type="dxa"/>
              <w:bottom w:w="0" w:type="dxa"/>
              <w:right w:w="85" w:type="dxa"/>
            </w:tcMar>
          </w:tcPr>
          <w:p w14:paraId="0492F04F" w14:textId="77777777" w:rsidR="00BB3E1E" w:rsidRPr="003B7FF7" w:rsidRDefault="00BB3E1E" w:rsidP="00BB1EAB">
            <w:pPr>
              <w:pStyle w:val="TableText"/>
              <w:spacing w:before="40" w:after="40"/>
              <w:jc w:val="right"/>
            </w:pPr>
            <w:r w:rsidRPr="003B7FF7" w:rsidDel="00B824D6">
              <w:t>12.9</w:t>
            </w:r>
          </w:p>
        </w:tc>
        <w:tc>
          <w:tcPr>
            <w:tcW w:w="926" w:type="dxa"/>
            <w:shd w:val="clear" w:color="auto" w:fill="auto"/>
            <w:tcMar>
              <w:top w:w="0" w:type="dxa"/>
              <w:left w:w="85" w:type="dxa"/>
              <w:bottom w:w="0" w:type="dxa"/>
              <w:right w:w="85" w:type="dxa"/>
            </w:tcMar>
          </w:tcPr>
          <w:p w14:paraId="1419AB44" w14:textId="77777777" w:rsidR="00BB3E1E" w:rsidRPr="003B7FF7" w:rsidRDefault="00BB3E1E" w:rsidP="00BB1EAB">
            <w:pPr>
              <w:pStyle w:val="TableText"/>
              <w:spacing w:before="40" w:after="40"/>
              <w:jc w:val="right"/>
            </w:pPr>
            <w:r w:rsidRPr="003B7FF7" w:rsidDel="00B824D6">
              <w:t>26.9</w:t>
            </w:r>
          </w:p>
        </w:tc>
      </w:tr>
      <w:tr w:rsidR="00BB3E1E" w:rsidRPr="003B7FF7" w14:paraId="03BD3109" w14:textId="77777777" w:rsidTr="00BB1EAB">
        <w:trPr>
          <w:cantSplit/>
        </w:trPr>
        <w:tc>
          <w:tcPr>
            <w:tcW w:w="0" w:type="auto"/>
            <w:shd w:val="clear" w:color="auto" w:fill="auto"/>
            <w:tcMar>
              <w:top w:w="0" w:type="dxa"/>
              <w:left w:w="85" w:type="dxa"/>
              <w:bottom w:w="0" w:type="dxa"/>
              <w:right w:w="85" w:type="dxa"/>
            </w:tcMar>
          </w:tcPr>
          <w:p w14:paraId="2C51A2F7" w14:textId="77777777" w:rsidR="00BB3E1E" w:rsidRPr="003B7FF7" w:rsidRDefault="00BB3E1E" w:rsidP="00BB1EAB">
            <w:pPr>
              <w:pStyle w:val="TableText"/>
              <w:spacing w:before="40" w:after="40"/>
            </w:pPr>
            <w:r w:rsidRPr="003B7FF7" w:rsidDel="00B824D6">
              <w:t>1.A.3.b</w:t>
            </w:r>
          </w:p>
        </w:tc>
        <w:tc>
          <w:tcPr>
            <w:tcW w:w="3695" w:type="dxa"/>
            <w:shd w:val="clear" w:color="auto" w:fill="auto"/>
            <w:tcMar>
              <w:top w:w="0" w:type="dxa"/>
              <w:left w:w="85" w:type="dxa"/>
              <w:bottom w:w="0" w:type="dxa"/>
              <w:right w:w="85" w:type="dxa"/>
            </w:tcMar>
          </w:tcPr>
          <w:p w14:paraId="52E5AE21" w14:textId="77777777" w:rsidR="00BB3E1E" w:rsidRPr="003B7FF7" w:rsidRDefault="00BB3E1E" w:rsidP="00BB1EAB">
            <w:pPr>
              <w:pStyle w:val="TableText"/>
              <w:spacing w:before="40" w:after="40"/>
            </w:pPr>
            <w:r w:rsidRPr="003B7FF7" w:rsidDel="00B824D6">
              <w:t>Transport – Road Transportation Liquid Fuels</w:t>
            </w:r>
          </w:p>
        </w:tc>
        <w:tc>
          <w:tcPr>
            <w:tcW w:w="511" w:type="dxa"/>
            <w:shd w:val="clear" w:color="auto" w:fill="auto"/>
            <w:tcMar>
              <w:top w:w="0" w:type="dxa"/>
              <w:left w:w="85" w:type="dxa"/>
              <w:bottom w:w="0" w:type="dxa"/>
              <w:right w:w="85" w:type="dxa"/>
            </w:tcMar>
          </w:tcPr>
          <w:p w14:paraId="5055FE01"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0DFE5A49" w14:textId="77777777" w:rsidR="00BB3E1E" w:rsidRPr="003B7FF7" w:rsidRDefault="00BB3E1E" w:rsidP="00BB1EAB">
            <w:pPr>
              <w:pStyle w:val="TableText"/>
              <w:spacing w:before="40" w:after="40"/>
              <w:jc w:val="right"/>
            </w:pPr>
            <w:r w:rsidRPr="003B7FF7" w:rsidDel="00B824D6">
              <w:t>11,947.2</w:t>
            </w:r>
          </w:p>
        </w:tc>
        <w:tc>
          <w:tcPr>
            <w:tcW w:w="944" w:type="dxa"/>
            <w:shd w:val="clear" w:color="auto" w:fill="auto"/>
            <w:tcMar>
              <w:top w:w="0" w:type="dxa"/>
              <w:left w:w="85" w:type="dxa"/>
              <w:bottom w:w="0" w:type="dxa"/>
              <w:right w:w="85" w:type="dxa"/>
            </w:tcMar>
          </w:tcPr>
          <w:p w14:paraId="71DA67E7" w14:textId="77777777" w:rsidR="00BB3E1E" w:rsidRPr="003B7FF7" w:rsidRDefault="00BB3E1E" w:rsidP="00BB1EAB">
            <w:pPr>
              <w:pStyle w:val="TableText"/>
              <w:spacing w:before="40" w:after="40"/>
              <w:jc w:val="right"/>
            </w:pPr>
            <w:r w:rsidRPr="003B7FF7" w:rsidDel="00B824D6">
              <w:t>10.9</w:t>
            </w:r>
          </w:p>
        </w:tc>
        <w:tc>
          <w:tcPr>
            <w:tcW w:w="926" w:type="dxa"/>
            <w:shd w:val="clear" w:color="auto" w:fill="auto"/>
            <w:tcMar>
              <w:top w:w="0" w:type="dxa"/>
              <w:left w:w="85" w:type="dxa"/>
              <w:bottom w:w="0" w:type="dxa"/>
              <w:right w:w="85" w:type="dxa"/>
            </w:tcMar>
          </w:tcPr>
          <w:p w14:paraId="62D0EA66" w14:textId="77777777" w:rsidR="00BB3E1E" w:rsidRPr="003B7FF7" w:rsidRDefault="00BB3E1E" w:rsidP="00BB1EAB">
            <w:pPr>
              <w:pStyle w:val="TableText"/>
              <w:spacing w:before="40" w:after="40"/>
              <w:jc w:val="right"/>
            </w:pPr>
            <w:r w:rsidRPr="003B7FF7" w:rsidDel="00B824D6">
              <w:t>37.9</w:t>
            </w:r>
          </w:p>
        </w:tc>
      </w:tr>
      <w:tr w:rsidR="00BB3E1E" w:rsidRPr="003B7FF7" w14:paraId="26425833" w14:textId="77777777" w:rsidTr="00BB1EAB">
        <w:trPr>
          <w:cantSplit/>
        </w:trPr>
        <w:tc>
          <w:tcPr>
            <w:tcW w:w="0" w:type="auto"/>
            <w:shd w:val="clear" w:color="auto" w:fill="auto"/>
            <w:tcMar>
              <w:top w:w="0" w:type="dxa"/>
              <w:left w:w="85" w:type="dxa"/>
              <w:bottom w:w="0" w:type="dxa"/>
              <w:right w:w="85" w:type="dxa"/>
            </w:tcMar>
          </w:tcPr>
          <w:p w14:paraId="0C0EE1EA" w14:textId="77777777" w:rsidR="00BB3E1E" w:rsidRPr="003B7FF7" w:rsidRDefault="00BB3E1E" w:rsidP="00BB1EAB">
            <w:pPr>
              <w:pStyle w:val="TableText"/>
              <w:spacing w:before="40" w:after="40"/>
            </w:pPr>
            <w:r w:rsidRPr="003B7FF7" w:rsidDel="00B824D6">
              <w:t>3.A.2</w:t>
            </w:r>
          </w:p>
        </w:tc>
        <w:tc>
          <w:tcPr>
            <w:tcW w:w="3695" w:type="dxa"/>
            <w:shd w:val="clear" w:color="auto" w:fill="auto"/>
            <w:tcMar>
              <w:top w:w="0" w:type="dxa"/>
              <w:left w:w="85" w:type="dxa"/>
              <w:bottom w:w="0" w:type="dxa"/>
              <w:right w:w="85" w:type="dxa"/>
            </w:tcMar>
          </w:tcPr>
          <w:p w14:paraId="31FD97F7" w14:textId="77777777" w:rsidR="00BB3E1E" w:rsidRPr="003B7FF7" w:rsidRDefault="00BB3E1E" w:rsidP="00BB1EAB">
            <w:pPr>
              <w:pStyle w:val="TableText"/>
              <w:spacing w:before="40" w:after="40"/>
            </w:pPr>
            <w:r w:rsidRPr="003B7FF7" w:rsidDel="00B824D6">
              <w:t>Other (please specify) – Sheep</w:t>
            </w:r>
          </w:p>
        </w:tc>
        <w:tc>
          <w:tcPr>
            <w:tcW w:w="511" w:type="dxa"/>
            <w:shd w:val="clear" w:color="auto" w:fill="auto"/>
            <w:tcMar>
              <w:top w:w="0" w:type="dxa"/>
              <w:left w:w="85" w:type="dxa"/>
              <w:bottom w:w="0" w:type="dxa"/>
              <w:right w:w="85" w:type="dxa"/>
            </w:tcMar>
          </w:tcPr>
          <w:p w14:paraId="68BB9CEB" w14:textId="77777777" w:rsidR="00BB3E1E" w:rsidRPr="003B7FF7" w:rsidRDefault="00BB3E1E" w:rsidP="00BB1EAB">
            <w:pPr>
              <w:pStyle w:val="TableText"/>
              <w:spacing w:before="40" w:after="40"/>
            </w:pPr>
            <w:r w:rsidRPr="003B7FF7" w:rsidDel="00B824D6">
              <w:t>CH</w:t>
            </w:r>
            <w:r w:rsidRPr="003B7FF7" w:rsidDel="00B824D6">
              <w:rPr>
                <w:vertAlign w:val="subscript"/>
              </w:rPr>
              <w:t>4</w:t>
            </w:r>
          </w:p>
        </w:tc>
        <w:tc>
          <w:tcPr>
            <w:tcW w:w="1474" w:type="dxa"/>
            <w:shd w:val="clear" w:color="auto" w:fill="auto"/>
            <w:tcMar>
              <w:top w:w="0" w:type="dxa"/>
              <w:left w:w="85" w:type="dxa"/>
              <w:bottom w:w="0" w:type="dxa"/>
              <w:right w:w="85" w:type="dxa"/>
            </w:tcMar>
          </w:tcPr>
          <w:p w14:paraId="007FDA70" w14:textId="77777777" w:rsidR="00BB3E1E" w:rsidRPr="003B7FF7" w:rsidRDefault="00BB3E1E" w:rsidP="00BB1EAB">
            <w:pPr>
              <w:pStyle w:val="TableText"/>
              <w:spacing w:before="40" w:after="40"/>
              <w:jc w:val="right"/>
            </w:pPr>
            <w:r w:rsidRPr="003B7FF7" w:rsidDel="00B824D6">
              <w:t>8,271.2</w:t>
            </w:r>
          </w:p>
        </w:tc>
        <w:tc>
          <w:tcPr>
            <w:tcW w:w="944" w:type="dxa"/>
            <w:shd w:val="clear" w:color="auto" w:fill="auto"/>
            <w:tcMar>
              <w:top w:w="0" w:type="dxa"/>
              <w:left w:w="85" w:type="dxa"/>
              <w:bottom w:w="0" w:type="dxa"/>
              <w:right w:w="85" w:type="dxa"/>
            </w:tcMar>
          </w:tcPr>
          <w:p w14:paraId="43EB9FDA" w14:textId="77777777" w:rsidR="00BB3E1E" w:rsidRPr="003B7FF7" w:rsidRDefault="00BB3E1E" w:rsidP="00BB1EAB">
            <w:pPr>
              <w:pStyle w:val="TableText"/>
              <w:spacing w:before="40" w:after="40"/>
              <w:jc w:val="right"/>
            </w:pPr>
            <w:r w:rsidRPr="003B7FF7" w:rsidDel="00B824D6">
              <w:t>7.6</w:t>
            </w:r>
          </w:p>
        </w:tc>
        <w:tc>
          <w:tcPr>
            <w:tcW w:w="926" w:type="dxa"/>
            <w:shd w:val="clear" w:color="auto" w:fill="auto"/>
            <w:tcMar>
              <w:top w:w="0" w:type="dxa"/>
              <w:left w:w="85" w:type="dxa"/>
              <w:bottom w:w="0" w:type="dxa"/>
              <w:right w:w="85" w:type="dxa"/>
            </w:tcMar>
          </w:tcPr>
          <w:p w14:paraId="41604BA2" w14:textId="77777777" w:rsidR="00BB3E1E" w:rsidRPr="003B7FF7" w:rsidRDefault="00BB3E1E" w:rsidP="00BB1EAB">
            <w:pPr>
              <w:pStyle w:val="TableText"/>
              <w:spacing w:before="40" w:after="40"/>
              <w:jc w:val="right"/>
            </w:pPr>
            <w:r w:rsidRPr="003B7FF7" w:rsidDel="00B824D6">
              <w:t>45.5</w:t>
            </w:r>
          </w:p>
        </w:tc>
      </w:tr>
      <w:tr w:rsidR="00BB3E1E" w:rsidRPr="003B7FF7" w14:paraId="584A199D" w14:textId="77777777" w:rsidTr="00BB1EAB">
        <w:trPr>
          <w:cantSplit/>
        </w:trPr>
        <w:tc>
          <w:tcPr>
            <w:tcW w:w="0" w:type="auto"/>
            <w:shd w:val="clear" w:color="auto" w:fill="auto"/>
            <w:tcMar>
              <w:top w:w="0" w:type="dxa"/>
              <w:left w:w="85" w:type="dxa"/>
              <w:bottom w:w="0" w:type="dxa"/>
              <w:right w:w="85" w:type="dxa"/>
            </w:tcMar>
          </w:tcPr>
          <w:p w14:paraId="5A3E67E7" w14:textId="77777777" w:rsidR="00BB3E1E" w:rsidRPr="003B7FF7" w:rsidRDefault="00BB3E1E" w:rsidP="00BB1EAB">
            <w:pPr>
              <w:pStyle w:val="TableText"/>
              <w:spacing w:before="40" w:after="40"/>
            </w:pPr>
            <w:r w:rsidRPr="003B7FF7" w:rsidDel="00B824D6">
              <w:t>4.G</w:t>
            </w:r>
          </w:p>
        </w:tc>
        <w:tc>
          <w:tcPr>
            <w:tcW w:w="3695" w:type="dxa"/>
            <w:shd w:val="clear" w:color="auto" w:fill="auto"/>
            <w:tcMar>
              <w:top w:w="0" w:type="dxa"/>
              <w:left w:w="85" w:type="dxa"/>
              <w:bottom w:w="0" w:type="dxa"/>
              <w:right w:w="85" w:type="dxa"/>
            </w:tcMar>
          </w:tcPr>
          <w:p w14:paraId="2724FEC8" w14:textId="77777777" w:rsidR="00BB3E1E" w:rsidRPr="003B7FF7" w:rsidRDefault="00BB3E1E" w:rsidP="00BB1EAB">
            <w:pPr>
              <w:pStyle w:val="TableText"/>
              <w:spacing w:before="40" w:after="40"/>
            </w:pPr>
            <w:r w:rsidRPr="003B7FF7" w:rsidDel="00B824D6">
              <w:t>Land Use, Land-Use Change and Forestry – Harvested Wood Products</w:t>
            </w:r>
          </w:p>
        </w:tc>
        <w:tc>
          <w:tcPr>
            <w:tcW w:w="511" w:type="dxa"/>
            <w:shd w:val="clear" w:color="auto" w:fill="auto"/>
            <w:tcMar>
              <w:top w:w="0" w:type="dxa"/>
              <w:left w:w="85" w:type="dxa"/>
              <w:bottom w:w="0" w:type="dxa"/>
              <w:right w:w="85" w:type="dxa"/>
            </w:tcMar>
          </w:tcPr>
          <w:p w14:paraId="514F0DC8"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60D0844D" w14:textId="77777777" w:rsidR="00BB3E1E" w:rsidRPr="003B7FF7" w:rsidRDefault="00BB3E1E" w:rsidP="00BB1EAB">
            <w:pPr>
              <w:pStyle w:val="TableText"/>
              <w:spacing w:before="40" w:after="40"/>
              <w:jc w:val="right"/>
            </w:pPr>
            <w:r w:rsidRPr="003B7FF7" w:rsidDel="00B824D6">
              <w:t>–6,834.6</w:t>
            </w:r>
          </w:p>
        </w:tc>
        <w:tc>
          <w:tcPr>
            <w:tcW w:w="944" w:type="dxa"/>
            <w:shd w:val="clear" w:color="auto" w:fill="auto"/>
            <w:tcMar>
              <w:top w:w="0" w:type="dxa"/>
              <w:left w:w="85" w:type="dxa"/>
              <w:bottom w:w="0" w:type="dxa"/>
              <w:right w:w="85" w:type="dxa"/>
            </w:tcMar>
          </w:tcPr>
          <w:p w14:paraId="3A706539" w14:textId="77777777" w:rsidR="00BB3E1E" w:rsidRPr="003B7FF7" w:rsidRDefault="00BB3E1E" w:rsidP="00BB1EAB">
            <w:pPr>
              <w:pStyle w:val="TableText"/>
              <w:spacing w:before="40" w:after="40"/>
              <w:jc w:val="right"/>
            </w:pPr>
            <w:r w:rsidRPr="003B7FF7" w:rsidDel="00B824D6">
              <w:t>6.3</w:t>
            </w:r>
          </w:p>
        </w:tc>
        <w:tc>
          <w:tcPr>
            <w:tcW w:w="926" w:type="dxa"/>
            <w:shd w:val="clear" w:color="auto" w:fill="auto"/>
            <w:tcMar>
              <w:top w:w="0" w:type="dxa"/>
              <w:left w:w="85" w:type="dxa"/>
              <w:bottom w:w="0" w:type="dxa"/>
              <w:right w:w="85" w:type="dxa"/>
            </w:tcMar>
          </w:tcPr>
          <w:p w14:paraId="04E82117" w14:textId="77777777" w:rsidR="00BB3E1E" w:rsidRPr="003B7FF7" w:rsidRDefault="00BB3E1E" w:rsidP="00BB1EAB">
            <w:pPr>
              <w:pStyle w:val="TableText"/>
              <w:spacing w:before="40" w:after="40"/>
              <w:jc w:val="right"/>
            </w:pPr>
            <w:r w:rsidRPr="003B7FF7" w:rsidDel="00B824D6">
              <w:t>51.7</w:t>
            </w:r>
          </w:p>
        </w:tc>
      </w:tr>
      <w:tr w:rsidR="00BB3E1E" w:rsidRPr="003B7FF7" w14:paraId="6FBCAE56" w14:textId="77777777" w:rsidTr="00BB1EAB">
        <w:trPr>
          <w:cantSplit/>
        </w:trPr>
        <w:tc>
          <w:tcPr>
            <w:tcW w:w="0" w:type="auto"/>
            <w:shd w:val="clear" w:color="auto" w:fill="auto"/>
            <w:tcMar>
              <w:top w:w="0" w:type="dxa"/>
              <w:left w:w="85" w:type="dxa"/>
              <w:bottom w:w="0" w:type="dxa"/>
              <w:right w:w="85" w:type="dxa"/>
            </w:tcMar>
          </w:tcPr>
          <w:p w14:paraId="2DC586F6" w14:textId="77777777" w:rsidR="00BB3E1E" w:rsidRPr="003B7FF7" w:rsidRDefault="00BB3E1E" w:rsidP="00BB1EAB">
            <w:pPr>
              <w:pStyle w:val="TableText"/>
              <w:spacing w:before="40" w:after="40"/>
            </w:pPr>
            <w:r w:rsidRPr="003B7FF7" w:rsidDel="00B824D6">
              <w:t>3.A.1</w:t>
            </w:r>
          </w:p>
        </w:tc>
        <w:tc>
          <w:tcPr>
            <w:tcW w:w="3695" w:type="dxa"/>
            <w:shd w:val="clear" w:color="auto" w:fill="auto"/>
            <w:tcMar>
              <w:top w:w="0" w:type="dxa"/>
              <w:left w:w="85" w:type="dxa"/>
              <w:bottom w:w="0" w:type="dxa"/>
              <w:right w:w="85" w:type="dxa"/>
            </w:tcMar>
          </w:tcPr>
          <w:p w14:paraId="0DD74690" w14:textId="77777777" w:rsidR="00BB3E1E" w:rsidRPr="003B7FF7" w:rsidRDefault="00BB3E1E" w:rsidP="00BB1EAB">
            <w:pPr>
              <w:pStyle w:val="TableText"/>
              <w:spacing w:before="40" w:after="40"/>
            </w:pPr>
            <w:r w:rsidRPr="003B7FF7" w:rsidDel="00B824D6">
              <w:t xml:space="preserve">Option A – Non-Dairy </w:t>
            </w:r>
            <w:r w:rsidRPr="003B7FF7">
              <w:t>(</w:t>
            </w:r>
            <w:r w:rsidRPr="003B7FF7">
              <w:rPr>
                <w:i/>
                <w:iCs/>
              </w:rPr>
              <w:t>Beef</w:t>
            </w:r>
            <w:r w:rsidRPr="003B7FF7">
              <w:t xml:space="preserve">) </w:t>
            </w:r>
            <w:r w:rsidRPr="003B7FF7" w:rsidDel="00B824D6">
              <w:t>Cattle</w:t>
            </w:r>
          </w:p>
        </w:tc>
        <w:tc>
          <w:tcPr>
            <w:tcW w:w="511" w:type="dxa"/>
            <w:shd w:val="clear" w:color="auto" w:fill="auto"/>
            <w:tcMar>
              <w:top w:w="0" w:type="dxa"/>
              <w:left w:w="85" w:type="dxa"/>
              <w:bottom w:w="0" w:type="dxa"/>
              <w:right w:w="85" w:type="dxa"/>
            </w:tcMar>
          </w:tcPr>
          <w:p w14:paraId="16BAC8D3" w14:textId="77777777" w:rsidR="00BB3E1E" w:rsidRPr="003B7FF7" w:rsidRDefault="00BB3E1E" w:rsidP="00BB1EAB">
            <w:pPr>
              <w:pStyle w:val="TableText"/>
              <w:spacing w:before="40" w:after="40"/>
            </w:pPr>
            <w:r w:rsidRPr="003B7FF7" w:rsidDel="00B824D6">
              <w:t>CH</w:t>
            </w:r>
            <w:r w:rsidRPr="003B7FF7" w:rsidDel="00B824D6">
              <w:rPr>
                <w:vertAlign w:val="subscript"/>
              </w:rPr>
              <w:t>4</w:t>
            </w:r>
          </w:p>
        </w:tc>
        <w:tc>
          <w:tcPr>
            <w:tcW w:w="1474" w:type="dxa"/>
            <w:shd w:val="clear" w:color="auto" w:fill="auto"/>
            <w:tcMar>
              <w:top w:w="0" w:type="dxa"/>
              <w:left w:w="85" w:type="dxa"/>
              <w:bottom w:w="0" w:type="dxa"/>
              <w:right w:w="85" w:type="dxa"/>
            </w:tcMar>
          </w:tcPr>
          <w:p w14:paraId="16B6F735" w14:textId="77777777" w:rsidR="00BB3E1E" w:rsidRPr="003B7FF7" w:rsidRDefault="00BB3E1E" w:rsidP="00BB1EAB">
            <w:pPr>
              <w:pStyle w:val="TableText"/>
              <w:spacing w:before="40" w:after="40"/>
              <w:jc w:val="right"/>
            </w:pPr>
            <w:r w:rsidRPr="003B7FF7" w:rsidDel="00B824D6">
              <w:t>5,980.9</w:t>
            </w:r>
          </w:p>
        </w:tc>
        <w:tc>
          <w:tcPr>
            <w:tcW w:w="944" w:type="dxa"/>
            <w:shd w:val="clear" w:color="auto" w:fill="auto"/>
            <w:tcMar>
              <w:top w:w="0" w:type="dxa"/>
              <w:left w:w="85" w:type="dxa"/>
              <w:bottom w:w="0" w:type="dxa"/>
              <w:right w:w="85" w:type="dxa"/>
            </w:tcMar>
          </w:tcPr>
          <w:p w14:paraId="04367AB5" w14:textId="77777777" w:rsidR="00BB3E1E" w:rsidRPr="003B7FF7" w:rsidRDefault="00BB3E1E" w:rsidP="00BB1EAB">
            <w:pPr>
              <w:pStyle w:val="TableText"/>
              <w:spacing w:before="40" w:after="40"/>
              <w:jc w:val="right"/>
            </w:pPr>
            <w:r w:rsidRPr="003B7FF7" w:rsidDel="00B824D6">
              <w:t>5.5</w:t>
            </w:r>
          </w:p>
        </w:tc>
        <w:tc>
          <w:tcPr>
            <w:tcW w:w="926" w:type="dxa"/>
            <w:shd w:val="clear" w:color="auto" w:fill="auto"/>
            <w:tcMar>
              <w:top w:w="0" w:type="dxa"/>
              <w:left w:w="85" w:type="dxa"/>
              <w:bottom w:w="0" w:type="dxa"/>
              <w:right w:w="85" w:type="dxa"/>
            </w:tcMar>
          </w:tcPr>
          <w:p w14:paraId="390E2C0D" w14:textId="77777777" w:rsidR="00BB3E1E" w:rsidRPr="003B7FF7" w:rsidRDefault="00BB3E1E" w:rsidP="00BB1EAB">
            <w:pPr>
              <w:pStyle w:val="TableText"/>
              <w:spacing w:before="40" w:after="40"/>
              <w:jc w:val="right"/>
            </w:pPr>
            <w:r w:rsidRPr="003B7FF7" w:rsidDel="00B824D6">
              <w:t>57.2</w:t>
            </w:r>
          </w:p>
        </w:tc>
      </w:tr>
      <w:tr w:rsidR="00BB3E1E" w:rsidRPr="003B7FF7" w14:paraId="7EE2A621" w14:textId="77777777" w:rsidTr="00BB1EAB">
        <w:trPr>
          <w:cantSplit/>
        </w:trPr>
        <w:tc>
          <w:tcPr>
            <w:tcW w:w="0" w:type="auto"/>
            <w:shd w:val="clear" w:color="auto" w:fill="auto"/>
            <w:tcMar>
              <w:top w:w="0" w:type="dxa"/>
              <w:left w:w="85" w:type="dxa"/>
              <w:bottom w:w="0" w:type="dxa"/>
              <w:right w:w="85" w:type="dxa"/>
            </w:tcMar>
          </w:tcPr>
          <w:p w14:paraId="3478FB40" w14:textId="77777777" w:rsidR="00BB3E1E" w:rsidRPr="003B7FF7" w:rsidRDefault="00BB3E1E" w:rsidP="00BB1EAB">
            <w:pPr>
              <w:pStyle w:val="TableText"/>
              <w:spacing w:before="40" w:after="40"/>
            </w:pPr>
            <w:r w:rsidRPr="003B7FF7" w:rsidDel="00B824D6">
              <w:t>4.A.2</w:t>
            </w:r>
          </w:p>
        </w:tc>
        <w:tc>
          <w:tcPr>
            <w:tcW w:w="3695" w:type="dxa"/>
            <w:shd w:val="clear" w:color="auto" w:fill="auto"/>
            <w:tcMar>
              <w:top w:w="0" w:type="dxa"/>
              <w:left w:w="85" w:type="dxa"/>
              <w:bottom w:w="0" w:type="dxa"/>
              <w:right w:w="85" w:type="dxa"/>
            </w:tcMar>
          </w:tcPr>
          <w:p w14:paraId="204B9035" w14:textId="77777777" w:rsidR="00BB3E1E" w:rsidRPr="003B7FF7" w:rsidRDefault="00BB3E1E" w:rsidP="00BB1EAB">
            <w:pPr>
              <w:pStyle w:val="TableText"/>
              <w:spacing w:before="40" w:after="40"/>
            </w:pPr>
            <w:r w:rsidRPr="003B7FF7" w:rsidDel="00B824D6">
              <w:t>Forest Land – Land Converted to Forest Land</w:t>
            </w:r>
          </w:p>
        </w:tc>
        <w:tc>
          <w:tcPr>
            <w:tcW w:w="511" w:type="dxa"/>
            <w:shd w:val="clear" w:color="auto" w:fill="auto"/>
            <w:tcMar>
              <w:top w:w="0" w:type="dxa"/>
              <w:left w:w="85" w:type="dxa"/>
              <w:bottom w:w="0" w:type="dxa"/>
              <w:right w:w="85" w:type="dxa"/>
            </w:tcMar>
          </w:tcPr>
          <w:p w14:paraId="0DE7FF73"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183F891D" w14:textId="77777777" w:rsidR="00BB3E1E" w:rsidRPr="003B7FF7" w:rsidRDefault="00BB3E1E" w:rsidP="00BB1EAB">
            <w:pPr>
              <w:pStyle w:val="TableText"/>
              <w:spacing w:before="40" w:after="40"/>
              <w:jc w:val="right"/>
            </w:pPr>
            <w:r w:rsidRPr="003B7FF7" w:rsidDel="00B824D6">
              <w:t>–4,638.0</w:t>
            </w:r>
          </w:p>
        </w:tc>
        <w:tc>
          <w:tcPr>
            <w:tcW w:w="944" w:type="dxa"/>
            <w:shd w:val="clear" w:color="auto" w:fill="auto"/>
            <w:tcMar>
              <w:top w:w="0" w:type="dxa"/>
              <w:left w:w="85" w:type="dxa"/>
              <w:bottom w:w="0" w:type="dxa"/>
              <w:right w:w="85" w:type="dxa"/>
            </w:tcMar>
          </w:tcPr>
          <w:p w14:paraId="587BE910" w14:textId="77777777" w:rsidR="00BB3E1E" w:rsidRPr="003B7FF7" w:rsidRDefault="00BB3E1E" w:rsidP="00BB1EAB">
            <w:pPr>
              <w:pStyle w:val="TableText"/>
              <w:spacing w:before="40" w:after="40"/>
              <w:jc w:val="right"/>
            </w:pPr>
            <w:r w:rsidRPr="003B7FF7" w:rsidDel="00B824D6">
              <w:t>4.3</w:t>
            </w:r>
          </w:p>
        </w:tc>
        <w:tc>
          <w:tcPr>
            <w:tcW w:w="926" w:type="dxa"/>
            <w:shd w:val="clear" w:color="auto" w:fill="auto"/>
            <w:tcMar>
              <w:top w:w="0" w:type="dxa"/>
              <w:left w:w="85" w:type="dxa"/>
              <w:bottom w:w="0" w:type="dxa"/>
              <w:right w:w="85" w:type="dxa"/>
            </w:tcMar>
          </w:tcPr>
          <w:p w14:paraId="24A8E840" w14:textId="77777777" w:rsidR="00BB3E1E" w:rsidRPr="003B7FF7" w:rsidRDefault="00BB3E1E" w:rsidP="00BB1EAB">
            <w:pPr>
              <w:pStyle w:val="TableText"/>
              <w:spacing w:before="40" w:after="40"/>
              <w:jc w:val="right"/>
            </w:pPr>
            <w:r w:rsidRPr="003B7FF7" w:rsidDel="00B824D6">
              <w:t>61.5</w:t>
            </w:r>
          </w:p>
        </w:tc>
      </w:tr>
      <w:tr w:rsidR="00BB3E1E" w:rsidRPr="003B7FF7" w14:paraId="0E0FD2BB" w14:textId="77777777" w:rsidTr="00BB1EAB">
        <w:trPr>
          <w:cantSplit/>
        </w:trPr>
        <w:tc>
          <w:tcPr>
            <w:tcW w:w="0" w:type="auto"/>
            <w:shd w:val="clear" w:color="auto" w:fill="auto"/>
            <w:tcMar>
              <w:top w:w="0" w:type="dxa"/>
              <w:left w:w="85" w:type="dxa"/>
              <w:bottom w:w="0" w:type="dxa"/>
              <w:right w:w="85" w:type="dxa"/>
            </w:tcMar>
          </w:tcPr>
          <w:p w14:paraId="580C39BF" w14:textId="77777777" w:rsidR="00BB3E1E" w:rsidRPr="003B7FF7" w:rsidRDefault="00BB3E1E" w:rsidP="00BB1EAB">
            <w:pPr>
              <w:pStyle w:val="TableText"/>
              <w:spacing w:before="40" w:after="40"/>
            </w:pPr>
            <w:r w:rsidRPr="003B7FF7" w:rsidDel="00B824D6">
              <w:t>3.D.1.3</w:t>
            </w:r>
          </w:p>
        </w:tc>
        <w:tc>
          <w:tcPr>
            <w:tcW w:w="3695" w:type="dxa"/>
            <w:shd w:val="clear" w:color="auto" w:fill="auto"/>
            <w:tcMar>
              <w:top w:w="0" w:type="dxa"/>
              <w:left w:w="85" w:type="dxa"/>
              <w:bottom w:w="0" w:type="dxa"/>
              <w:right w:w="85" w:type="dxa"/>
            </w:tcMar>
          </w:tcPr>
          <w:p w14:paraId="681034AB" w14:textId="77777777" w:rsidR="00BB3E1E" w:rsidRPr="003B7FF7" w:rsidRDefault="00BB3E1E" w:rsidP="00BB1EAB">
            <w:pPr>
              <w:pStyle w:val="TableText"/>
              <w:spacing w:before="40" w:after="40"/>
            </w:pPr>
            <w:r w:rsidRPr="003B7FF7">
              <w:t>Direct N</w:t>
            </w:r>
            <w:r w:rsidRPr="003B7FF7">
              <w:rPr>
                <w:vertAlign w:val="subscript"/>
              </w:rPr>
              <w:t>2</w:t>
            </w:r>
            <w:r w:rsidRPr="003B7FF7">
              <w:t>O Emissions from</w:t>
            </w:r>
            <w:r w:rsidRPr="003B7FF7" w:rsidDel="00B824D6">
              <w:t xml:space="preserve"> Managed Soils – Urine and Dung Deposited by Grazing Animals</w:t>
            </w:r>
          </w:p>
        </w:tc>
        <w:tc>
          <w:tcPr>
            <w:tcW w:w="511" w:type="dxa"/>
            <w:shd w:val="clear" w:color="auto" w:fill="auto"/>
            <w:tcMar>
              <w:top w:w="0" w:type="dxa"/>
              <w:left w:w="85" w:type="dxa"/>
              <w:bottom w:w="0" w:type="dxa"/>
              <w:right w:w="85" w:type="dxa"/>
            </w:tcMar>
          </w:tcPr>
          <w:p w14:paraId="50C16D9F" w14:textId="77777777" w:rsidR="00BB3E1E" w:rsidRPr="003B7FF7" w:rsidRDefault="00BB3E1E" w:rsidP="00BB1EAB">
            <w:pPr>
              <w:pStyle w:val="TableText"/>
              <w:spacing w:before="40" w:after="40"/>
            </w:pPr>
            <w:r w:rsidRPr="003B7FF7" w:rsidDel="00B824D6">
              <w:t>N</w:t>
            </w:r>
            <w:r w:rsidRPr="003B7FF7" w:rsidDel="00B824D6">
              <w:rPr>
                <w:vertAlign w:val="subscript"/>
              </w:rPr>
              <w:t>2</w:t>
            </w:r>
            <w:r w:rsidRPr="003B7FF7" w:rsidDel="00B824D6">
              <w:t>O</w:t>
            </w:r>
          </w:p>
        </w:tc>
        <w:tc>
          <w:tcPr>
            <w:tcW w:w="1474" w:type="dxa"/>
            <w:shd w:val="clear" w:color="auto" w:fill="auto"/>
            <w:tcMar>
              <w:top w:w="0" w:type="dxa"/>
              <w:left w:w="85" w:type="dxa"/>
              <w:bottom w:w="0" w:type="dxa"/>
              <w:right w:w="85" w:type="dxa"/>
            </w:tcMar>
          </w:tcPr>
          <w:p w14:paraId="27973D03" w14:textId="77777777" w:rsidR="00BB3E1E" w:rsidRPr="003B7FF7" w:rsidRDefault="00BB3E1E" w:rsidP="00BB1EAB">
            <w:pPr>
              <w:pStyle w:val="TableText"/>
              <w:spacing w:before="40" w:after="40"/>
              <w:jc w:val="right"/>
            </w:pPr>
            <w:r w:rsidRPr="003B7FF7" w:rsidDel="00B824D6">
              <w:t>3,890.0</w:t>
            </w:r>
          </w:p>
        </w:tc>
        <w:tc>
          <w:tcPr>
            <w:tcW w:w="944" w:type="dxa"/>
            <w:shd w:val="clear" w:color="auto" w:fill="auto"/>
            <w:tcMar>
              <w:top w:w="0" w:type="dxa"/>
              <w:left w:w="85" w:type="dxa"/>
              <w:bottom w:w="0" w:type="dxa"/>
              <w:right w:w="85" w:type="dxa"/>
            </w:tcMar>
          </w:tcPr>
          <w:p w14:paraId="700C642B" w14:textId="77777777" w:rsidR="00BB3E1E" w:rsidRPr="003B7FF7" w:rsidRDefault="00BB3E1E" w:rsidP="00BB1EAB">
            <w:pPr>
              <w:pStyle w:val="TableText"/>
              <w:spacing w:before="40" w:after="40"/>
              <w:jc w:val="right"/>
            </w:pPr>
            <w:r w:rsidRPr="003B7FF7" w:rsidDel="00B824D6">
              <w:t>3.6</w:t>
            </w:r>
          </w:p>
        </w:tc>
        <w:tc>
          <w:tcPr>
            <w:tcW w:w="926" w:type="dxa"/>
            <w:shd w:val="clear" w:color="auto" w:fill="auto"/>
            <w:tcMar>
              <w:top w:w="0" w:type="dxa"/>
              <w:left w:w="85" w:type="dxa"/>
              <w:bottom w:w="0" w:type="dxa"/>
              <w:right w:w="85" w:type="dxa"/>
            </w:tcMar>
          </w:tcPr>
          <w:p w14:paraId="266BBBC9" w14:textId="77777777" w:rsidR="00BB3E1E" w:rsidRPr="003B7FF7" w:rsidRDefault="00BB3E1E" w:rsidP="00BB1EAB">
            <w:pPr>
              <w:pStyle w:val="TableText"/>
              <w:spacing w:before="40" w:after="40"/>
              <w:jc w:val="right"/>
            </w:pPr>
            <w:r w:rsidRPr="003B7FF7" w:rsidDel="00B824D6">
              <w:t>65.0</w:t>
            </w:r>
          </w:p>
        </w:tc>
      </w:tr>
      <w:tr w:rsidR="00BB3E1E" w:rsidRPr="003B7FF7" w14:paraId="6B1F3A8A" w14:textId="77777777" w:rsidTr="00BB1EAB">
        <w:trPr>
          <w:cantSplit/>
        </w:trPr>
        <w:tc>
          <w:tcPr>
            <w:tcW w:w="0" w:type="auto"/>
            <w:shd w:val="clear" w:color="auto" w:fill="auto"/>
            <w:tcMar>
              <w:top w:w="0" w:type="dxa"/>
              <w:left w:w="85" w:type="dxa"/>
              <w:bottom w:w="0" w:type="dxa"/>
              <w:right w:w="85" w:type="dxa"/>
            </w:tcMar>
          </w:tcPr>
          <w:p w14:paraId="10141911" w14:textId="77777777" w:rsidR="00BB3E1E" w:rsidRPr="003B7FF7" w:rsidRDefault="00BB3E1E" w:rsidP="00BB1EAB">
            <w:pPr>
              <w:pStyle w:val="TableText"/>
              <w:spacing w:before="40" w:after="40"/>
            </w:pPr>
            <w:r w:rsidRPr="003B7FF7" w:rsidDel="00B824D6">
              <w:t>1.A.1.a</w:t>
            </w:r>
          </w:p>
        </w:tc>
        <w:tc>
          <w:tcPr>
            <w:tcW w:w="3695" w:type="dxa"/>
            <w:shd w:val="clear" w:color="auto" w:fill="auto"/>
            <w:tcMar>
              <w:top w:w="0" w:type="dxa"/>
              <w:left w:w="85" w:type="dxa"/>
              <w:bottom w:w="0" w:type="dxa"/>
              <w:right w:w="85" w:type="dxa"/>
            </w:tcMar>
          </w:tcPr>
          <w:p w14:paraId="6E125F70" w14:textId="77777777" w:rsidR="00BB3E1E" w:rsidRPr="003B7FF7" w:rsidRDefault="00BB3E1E" w:rsidP="00BB1EAB">
            <w:pPr>
              <w:pStyle w:val="TableText"/>
              <w:spacing w:before="40" w:after="40"/>
            </w:pPr>
            <w:r w:rsidRPr="003B7FF7" w:rsidDel="00B824D6">
              <w:t>Energy Industries – Public Electricity and Heat Production Gaseous Fuels</w:t>
            </w:r>
          </w:p>
        </w:tc>
        <w:tc>
          <w:tcPr>
            <w:tcW w:w="511" w:type="dxa"/>
            <w:shd w:val="clear" w:color="auto" w:fill="auto"/>
            <w:tcMar>
              <w:top w:w="0" w:type="dxa"/>
              <w:left w:w="85" w:type="dxa"/>
              <w:bottom w:w="0" w:type="dxa"/>
              <w:right w:w="85" w:type="dxa"/>
            </w:tcMar>
          </w:tcPr>
          <w:p w14:paraId="51E449B7"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3DECDF67" w14:textId="77777777" w:rsidR="00BB3E1E" w:rsidRPr="003B7FF7" w:rsidRDefault="00BB3E1E" w:rsidP="00BB1EAB">
            <w:pPr>
              <w:pStyle w:val="TableText"/>
              <w:spacing w:before="40" w:after="40"/>
              <w:jc w:val="right"/>
            </w:pPr>
            <w:r w:rsidRPr="003B7FF7" w:rsidDel="00B824D6">
              <w:t>2,697.3</w:t>
            </w:r>
          </w:p>
        </w:tc>
        <w:tc>
          <w:tcPr>
            <w:tcW w:w="944" w:type="dxa"/>
            <w:shd w:val="clear" w:color="auto" w:fill="auto"/>
            <w:tcMar>
              <w:top w:w="0" w:type="dxa"/>
              <w:left w:w="85" w:type="dxa"/>
              <w:bottom w:w="0" w:type="dxa"/>
              <w:right w:w="85" w:type="dxa"/>
            </w:tcMar>
          </w:tcPr>
          <w:p w14:paraId="434337CD" w14:textId="77777777" w:rsidR="00BB3E1E" w:rsidRPr="003B7FF7" w:rsidRDefault="00BB3E1E" w:rsidP="00BB1EAB">
            <w:pPr>
              <w:pStyle w:val="TableText"/>
              <w:spacing w:before="40" w:after="40"/>
              <w:jc w:val="right"/>
            </w:pPr>
            <w:r w:rsidRPr="003B7FF7" w:rsidDel="00B824D6">
              <w:t>2.5</w:t>
            </w:r>
          </w:p>
        </w:tc>
        <w:tc>
          <w:tcPr>
            <w:tcW w:w="926" w:type="dxa"/>
            <w:shd w:val="clear" w:color="auto" w:fill="auto"/>
            <w:tcMar>
              <w:top w:w="0" w:type="dxa"/>
              <w:left w:w="85" w:type="dxa"/>
              <w:bottom w:w="0" w:type="dxa"/>
              <w:right w:w="85" w:type="dxa"/>
            </w:tcMar>
          </w:tcPr>
          <w:p w14:paraId="04C094F5" w14:textId="77777777" w:rsidR="00BB3E1E" w:rsidRPr="003B7FF7" w:rsidRDefault="00BB3E1E" w:rsidP="00BB1EAB">
            <w:pPr>
              <w:pStyle w:val="TableText"/>
              <w:spacing w:before="40" w:after="40"/>
              <w:jc w:val="right"/>
            </w:pPr>
            <w:r w:rsidRPr="003B7FF7" w:rsidDel="00B824D6">
              <w:t>67.5</w:t>
            </w:r>
          </w:p>
        </w:tc>
      </w:tr>
      <w:tr w:rsidR="00BB3E1E" w:rsidRPr="003B7FF7" w14:paraId="1EDF5FEA" w14:textId="77777777" w:rsidTr="00BB1EAB">
        <w:trPr>
          <w:cantSplit/>
        </w:trPr>
        <w:tc>
          <w:tcPr>
            <w:tcW w:w="0" w:type="auto"/>
            <w:shd w:val="clear" w:color="auto" w:fill="auto"/>
            <w:tcMar>
              <w:top w:w="0" w:type="dxa"/>
              <w:left w:w="85" w:type="dxa"/>
              <w:bottom w:w="0" w:type="dxa"/>
              <w:right w:w="85" w:type="dxa"/>
            </w:tcMar>
          </w:tcPr>
          <w:p w14:paraId="2815C189" w14:textId="77777777" w:rsidR="00BB3E1E" w:rsidRPr="003B7FF7" w:rsidRDefault="00BB3E1E" w:rsidP="00BB1EAB">
            <w:pPr>
              <w:pStyle w:val="TableText"/>
              <w:spacing w:before="40" w:after="40"/>
            </w:pPr>
            <w:r w:rsidRPr="003B7FF7" w:rsidDel="00B824D6">
              <w:t>5.A</w:t>
            </w:r>
          </w:p>
        </w:tc>
        <w:tc>
          <w:tcPr>
            <w:tcW w:w="3695" w:type="dxa"/>
            <w:shd w:val="clear" w:color="auto" w:fill="auto"/>
            <w:tcMar>
              <w:top w:w="0" w:type="dxa"/>
              <w:left w:w="85" w:type="dxa"/>
              <w:bottom w:w="0" w:type="dxa"/>
              <w:right w:w="85" w:type="dxa"/>
            </w:tcMar>
          </w:tcPr>
          <w:p w14:paraId="65AE72EB" w14:textId="77777777" w:rsidR="00BB3E1E" w:rsidRPr="003B7FF7" w:rsidRDefault="00BB3E1E" w:rsidP="00BB1EAB">
            <w:pPr>
              <w:pStyle w:val="TableText"/>
              <w:spacing w:before="40" w:after="40"/>
            </w:pPr>
            <w:r w:rsidRPr="003B7FF7" w:rsidDel="00B824D6">
              <w:t>Waste – Solid Waste Disposal</w:t>
            </w:r>
          </w:p>
        </w:tc>
        <w:tc>
          <w:tcPr>
            <w:tcW w:w="511" w:type="dxa"/>
            <w:shd w:val="clear" w:color="auto" w:fill="auto"/>
            <w:tcMar>
              <w:top w:w="0" w:type="dxa"/>
              <w:left w:w="85" w:type="dxa"/>
              <w:bottom w:w="0" w:type="dxa"/>
              <w:right w:w="85" w:type="dxa"/>
            </w:tcMar>
          </w:tcPr>
          <w:p w14:paraId="707B8C84" w14:textId="77777777" w:rsidR="00BB3E1E" w:rsidRPr="003B7FF7" w:rsidRDefault="00BB3E1E" w:rsidP="00BB1EAB">
            <w:pPr>
              <w:pStyle w:val="TableText"/>
              <w:spacing w:before="40" w:after="40"/>
            </w:pPr>
            <w:r w:rsidRPr="003B7FF7" w:rsidDel="00B824D6">
              <w:t>CH</w:t>
            </w:r>
            <w:r w:rsidRPr="003B7FF7" w:rsidDel="00B824D6">
              <w:rPr>
                <w:vertAlign w:val="subscript"/>
              </w:rPr>
              <w:t>4</w:t>
            </w:r>
          </w:p>
        </w:tc>
        <w:tc>
          <w:tcPr>
            <w:tcW w:w="1474" w:type="dxa"/>
            <w:shd w:val="clear" w:color="auto" w:fill="auto"/>
            <w:tcMar>
              <w:top w:w="0" w:type="dxa"/>
              <w:left w:w="85" w:type="dxa"/>
              <w:bottom w:w="0" w:type="dxa"/>
              <w:right w:w="85" w:type="dxa"/>
            </w:tcMar>
          </w:tcPr>
          <w:p w14:paraId="4ECA9A6A" w14:textId="77777777" w:rsidR="00BB3E1E" w:rsidRPr="003B7FF7" w:rsidRDefault="00BB3E1E" w:rsidP="00BB1EAB">
            <w:pPr>
              <w:pStyle w:val="TableText"/>
              <w:spacing w:before="40" w:after="40"/>
              <w:jc w:val="right"/>
            </w:pPr>
            <w:r w:rsidRPr="003B7FF7" w:rsidDel="00B824D6">
              <w:t>2,637.7</w:t>
            </w:r>
          </w:p>
        </w:tc>
        <w:tc>
          <w:tcPr>
            <w:tcW w:w="944" w:type="dxa"/>
            <w:shd w:val="clear" w:color="auto" w:fill="auto"/>
            <w:tcMar>
              <w:top w:w="0" w:type="dxa"/>
              <w:left w:w="85" w:type="dxa"/>
              <w:bottom w:w="0" w:type="dxa"/>
              <w:right w:w="85" w:type="dxa"/>
            </w:tcMar>
          </w:tcPr>
          <w:p w14:paraId="4D92B517" w14:textId="77777777" w:rsidR="00BB3E1E" w:rsidRPr="003B7FF7" w:rsidRDefault="00BB3E1E" w:rsidP="00BB1EAB">
            <w:pPr>
              <w:pStyle w:val="TableText"/>
              <w:spacing w:before="40" w:after="40"/>
              <w:jc w:val="right"/>
            </w:pPr>
            <w:r w:rsidRPr="003B7FF7" w:rsidDel="00B824D6">
              <w:t>2.4</w:t>
            </w:r>
          </w:p>
        </w:tc>
        <w:tc>
          <w:tcPr>
            <w:tcW w:w="926" w:type="dxa"/>
            <w:shd w:val="clear" w:color="auto" w:fill="auto"/>
            <w:tcMar>
              <w:top w:w="0" w:type="dxa"/>
              <w:left w:w="85" w:type="dxa"/>
              <w:bottom w:w="0" w:type="dxa"/>
              <w:right w:w="85" w:type="dxa"/>
            </w:tcMar>
          </w:tcPr>
          <w:p w14:paraId="103A125E" w14:textId="77777777" w:rsidR="00BB3E1E" w:rsidRPr="003B7FF7" w:rsidRDefault="00BB3E1E" w:rsidP="00BB1EAB">
            <w:pPr>
              <w:pStyle w:val="TableText"/>
              <w:spacing w:before="40" w:after="40"/>
              <w:jc w:val="right"/>
            </w:pPr>
            <w:r w:rsidRPr="003B7FF7" w:rsidDel="00B824D6">
              <w:t>69.9</w:t>
            </w:r>
          </w:p>
        </w:tc>
      </w:tr>
      <w:tr w:rsidR="00BB3E1E" w:rsidRPr="003B7FF7" w14:paraId="59BC084A" w14:textId="77777777" w:rsidTr="00BB1EAB">
        <w:trPr>
          <w:cantSplit/>
        </w:trPr>
        <w:tc>
          <w:tcPr>
            <w:tcW w:w="0" w:type="auto"/>
            <w:shd w:val="clear" w:color="auto" w:fill="auto"/>
            <w:tcMar>
              <w:top w:w="0" w:type="dxa"/>
              <w:left w:w="85" w:type="dxa"/>
              <w:bottom w:w="0" w:type="dxa"/>
              <w:right w:w="85" w:type="dxa"/>
            </w:tcMar>
          </w:tcPr>
          <w:p w14:paraId="7A6F5D96" w14:textId="77777777" w:rsidR="00BB3E1E" w:rsidRPr="003B7FF7" w:rsidRDefault="00BB3E1E" w:rsidP="00BB1EAB">
            <w:pPr>
              <w:pStyle w:val="TableText"/>
              <w:spacing w:before="40" w:after="40"/>
            </w:pPr>
            <w:r w:rsidRPr="003B7FF7" w:rsidDel="00B824D6">
              <w:t>1.A.1.a</w:t>
            </w:r>
          </w:p>
        </w:tc>
        <w:tc>
          <w:tcPr>
            <w:tcW w:w="3695" w:type="dxa"/>
            <w:shd w:val="clear" w:color="auto" w:fill="auto"/>
            <w:tcMar>
              <w:top w:w="0" w:type="dxa"/>
              <w:left w:w="85" w:type="dxa"/>
              <w:bottom w:w="0" w:type="dxa"/>
              <w:right w:w="85" w:type="dxa"/>
            </w:tcMar>
          </w:tcPr>
          <w:p w14:paraId="1D662B92" w14:textId="77777777" w:rsidR="00BB3E1E" w:rsidRPr="003B7FF7" w:rsidRDefault="00BB3E1E" w:rsidP="00BB1EAB">
            <w:pPr>
              <w:pStyle w:val="TableText"/>
              <w:spacing w:before="40" w:after="40"/>
            </w:pPr>
            <w:r w:rsidRPr="003B7FF7" w:rsidDel="00B824D6">
              <w:t>Energy Industries – Public Electricity and Heat Production Solid Fuels</w:t>
            </w:r>
          </w:p>
        </w:tc>
        <w:tc>
          <w:tcPr>
            <w:tcW w:w="511" w:type="dxa"/>
            <w:shd w:val="clear" w:color="auto" w:fill="auto"/>
            <w:tcMar>
              <w:top w:w="0" w:type="dxa"/>
              <w:left w:w="85" w:type="dxa"/>
              <w:bottom w:w="0" w:type="dxa"/>
              <w:right w:w="85" w:type="dxa"/>
            </w:tcMar>
          </w:tcPr>
          <w:p w14:paraId="73A23F0D"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3259CCB6" w14:textId="77777777" w:rsidR="00BB3E1E" w:rsidRPr="003B7FF7" w:rsidRDefault="00BB3E1E" w:rsidP="00BB1EAB">
            <w:pPr>
              <w:pStyle w:val="TableText"/>
              <w:spacing w:before="40" w:after="40"/>
              <w:jc w:val="right"/>
            </w:pPr>
            <w:r w:rsidRPr="003B7FF7" w:rsidDel="00B824D6">
              <w:t>1,809.3</w:t>
            </w:r>
          </w:p>
        </w:tc>
        <w:tc>
          <w:tcPr>
            <w:tcW w:w="944" w:type="dxa"/>
            <w:shd w:val="clear" w:color="auto" w:fill="auto"/>
            <w:tcMar>
              <w:top w:w="0" w:type="dxa"/>
              <w:left w:w="85" w:type="dxa"/>
              <w:bottom w:w="0" w:type="dxa"/>
              <w:right w:w="85" w:type="dxa"/>
            </w:tcMar>
          </w:tcPr>
          <w:p w14:paraId="3A0F26AD" w14:textId="77777777" w:rsidR="00BB3E1E" w:rsidRPr="003B7FF7" w:rsidRDefault="00BB3E1E" w:rsidP="00BB1EAB">
            <w:pPr>
              <w:pStyle w:val="TableText"/>
              <w:spacing w:before="40" w:after="40"/>
              <w:jc w:val="right"/>
            </w:pPr>
            <w:r w:rsidRPr="003B7FF7" w:rsidDel="00B824D6">
              <w:t>1.7</w:t>
            </w:r>
          </w:p>
        </w:tc>
        <w:tc>
          <w:tcPr>
            <w:tcW w:w="926" w:type="dxa"/>
            <w:shd w:val="clear" w:color="auto" w:fill="auto"/>
            <w:tcMar>
              <w:top w:w="0" w:type="dxa"/>
              <w:left w:w="85" w:type="dxa"/>
              <w:bottom w:w="0" w:type="dxa"/>
              <w:right w:w="85" w:type="dxa"/>
            </w:tcMar>
          </w:tcPr>
          <w:p w14:paraId="724B9C67" w14:textId="77777777" w:rsidR="00BB3E1E" w:rsidRPr="003B7FF7" w:rsidRDefault="00BB3E1E" w:rsidP="00BB1EAB">
            <w:pPr>
              <w:pStyle w:val="TableText"/>
              <w:spacing w:before="40" w:after="40"/>
              <w:jc w:val="right"/>
            </w:pPr>
            <w:r w:rsidRPr="003B7FF7" w:rsidDel="00B824D6">
              <w:t>71.6</w:t>
            </w:r>
          </w:p>
        </w:tc>
      </w:tr>
      <w:tr w:rsidR="00BB3E1E" w:rsidRPr="003B7FF7" w14:paraId="5EACFC71" w14:textId="77777777" w:rsidTr="00BB1EAB">
        <w:trPr>
          <w:cantSplit/>
        </w:trPr>
        <w:tc>
          <w:tcPr>
            <w:tcW w:w="0" w:type="auto"/>
            <w:shd w:val="clear" w:color="auto" w:fill="auto"/>
            <w:tcMar>
              <w:top w:w="0" w:type="dxa"/>
              <w:left w:w="85" w:type="dxa"/>
              <w:bottom w:w="0" w:type="dxa"/>
              <w:right w:w="85" w:type="dxa"/>
            </w:tcMar>
          </w:tcPr>
          <w:p w14:paraId="1D96D5E1" w14:textId="77777777" w:rsidR="00BB3E1E" w:rsidRPr="003B7FF7" w:rsidRDefault="00BB3E1E" w:rsidP="00BB1EAB">
            <w:pPr>
              <w:pStyle w:val="TableText"/>
              <w:spacing w:before="40" w:after="40"/>
            </w:pPr>
            <w:r w:rsidRPr="003B7FF7" w:rsidDel="00B824D6">
              <w:lastRenderedPageBreak/>
              <w:t>1.A.2.e</w:t>
            </w:r>
          </w:p>
        </w:tc>
        <w:tc>
          <w:tcPr>
            <w:tcW w:w="3695" w:type="dxa"/>
            <w:shd w:val="clear" w:color="auto" w:fill="auto"/>
            <w:tcMar>
              <w:top w:w="0" w:type="dxa"/>
              <w:left w:w="85" w:type="dxa"/>
              <w:bottom w:w="0" w:type="dxa"/>
              <w:right w:w="85" w:type="dxa"/>
            </w:tcMar>
          </w:tcPr>
          <w:p w14:paraId="3E97C7CB" w14:textId="77777777" w:rsidR="00BB3E1E" w:rsidRPr="003B7FF7" w:rsidRDefault="00BB3E1E" w:rsidP="00BB1EAB">
            <w:pPr>
              <w:pStyle w:val="TableText"/>
              <w:spacing w:before="40" w:after="40"/>
            </w:pPr>
            <w:r w:rsidRPr="003B7FF7" w:rsidDel="00B824D6">
              <w:t>Manufacturing Industries and Construction – Food Processing, Beverages and Tobacco Solid Fuels</w:t>
            </w:r>
          </w:p>
        </w:tc>
        <w:tc>
          <w:tcPr>
            <w:tcW w:w="511" w:type="dxa"/>
            <w:shd w:val="clear" w:color="auto" w:fill="auto"/>
            <w:tcMar>
              <w:top w:w="0" w:type="dxa"/>
              <w:left w:w="85" w:type="dxa"/>
              <w:bottom w:w="0" w:type="dxa"/>
              <w:right w:w="85" w:type="dxa"/>
            </w:tcMar>
          </w:tcPr>
          <w:p w14:paraId="5FD89348"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12971783" w14:textId="77777777" w:rsidR="00BB3E1E" w:rsidRPr="003B7FF7" w:rsidRDefault="00BB3E1E" w:rsidP="00BB1EAB">
            <w:pPr>
              <w:pStyle w:val="TableText"/>
              <w:spacing w:before="40" w:after="40"/>
              <w:jc w:val="right"/>
            </w:pPr>
            <w:r w:rsidRPr="003B7FF7" w:rsidDel="00B824D6">
              <w:t>1,702.0</w:t>
            </w:r>
          </w:p>
        </w:tc>
        <w:tc>
          <w:tcPr>
            <w:tcW w:w="944" w:type="dxa"/>
            <w:shd w:val="clear" w:color="auto" w:fill="auto"/>
            <w:tcMar>
              <w:top w:w="0" w:type="dxa"/>
              <w:left w:w="85" w:type="dxa"/>
              <w:bottom w:w="0" w:type="dxa"/>
              <w:right w:w="85" w:type="dxa"/>
            </w:tcMar>
          </w:tcPr>
          <w:p w14:paraId="496DB4B6" w14:textId="77777777" w:rsidR="00BB3E1E" w:rsidRPr="003B7FF7" w:rsidRDefault="00BB3E1E" w:rsidP="00BB1EAB">
            <w:pPr>
              <w:pStyle w:val="TableText"/>
              <w:spacing w:before="40" w:after="40"/>
              <w:jc w:val="right"/>
            </w:pPr>
            <w:r w:rsidRPr="003B7FF7" w:rsidDel="00B824D6">
              <w:t>1.6</w:t>
            </w:r>
          </w:p>
        </w:tc>
        <w:tc>
          <w:tcPr>
            <w:tcW w:w="926" w:type="dxa"/>
            <w:shd w:val="clear" w:color="auto" w:fill="auto"/>
            <w:tcMar>
              <w:top w:w="0" w:type="dxa"/>
              <w:left w:w="85" w:type="dxa"/>
              <w:bottom w:w="0" w:type="dxa"/>
              <w:right w:w="85" w:type="dxa"/>
            </w:tcMar>
          </w:tcPr>
          <w:p w14:paraId="10BA85D5" w14:textId="77777777" w:rsidR="00BB3E1E" w:rsidRPr="003B7FF7" w:rsidRDefault="00BB3E1E" w:rsidP="00BB1EAB">
            <w:pPr>
              <w:pStyle w:val="TableText"/>
              <w:spacing w:before="40" w:after="40"/>
              <w:jc w:val="right"/>
            </w:pPr>
            <w:r w:rsidRPr="003B7FF7" w:rsidDel="00B824D6">
              <w:t>73.1</w:t>
            </w:r>
          </w:p>
        </w:tc>
      </w:tr>
      <w:tr w:rsidR="00BB3E1E" w:rsidRPr="003B7FF7" w14:paraId="3EEDEA74" w14:textId="77777777" w:rsidTr="00BB1EAB">
        <w:trPr>
          <w:cantSplit/>
        </w:trPr>
        <w:tc>
          <w:tcPr>
            <w:tcW w:w="0" w:type="auto"/>
            <w:shd w:val="clear" w:color="auto" w:fill="auto"/>
            <w:tcMar>
              <w:top w:w="0" w:type="dxa"/>
              <w:left w:w="85" w:type="dxa"/>
              <w:bottom w:w="0" w:type="dxa"/>
              <w:right w:w="85" w:type="dxa"/>
            </w:tcMar>
          </w:tcPr>
          <w:p w14:paraId="2D5D6081" w14:textId="77777777" w:rsidR="00BB3E1E" w:rsidRPr="003B7FF7" w:rsidRDefault="00BB3E1E" w:rsidP="00BB1EAB">
            <w:pPr>
              <w:pStyle w:val="TableText"/>
              <w:spacing w:before="40" w:after="40"/>
            </w:pPr>
            <w:r w:rsidRPr="003B7FF7" w:rsidDel="00B824D6">
              <w:t>2.C.1</w:t>
            </w:r>
          </w:p>
        </w:tc>
        <w:tc>
          <w:tcPr>
            <w:tcW w:w="3695" w:type="dxa"/>
            <w:shd w:val="clear" w:color="auto" w:fill="auto"/>
            <w:tcMar>
              <w:top w:w="0" w:type="dxa"/>
              <w:left w:w="85" w:type="dxa"/>
              <w:bottom w:w="0" w:type="dxa"/>
              <w:right w:w="85" w:type="dxa"/>
            </w:tcMar>
          </w:tcPr>
          <w:p w14:paraId="724C0C74" w14:textId="77777777" w:rsidR="00BB3E1E" w:rsidRPr="003B7FF7" w:rsidRDefault="00BB3E1E" w:rsidP="00BB1EAB">
            <w:pPr>
              <w:pStyle w:val="TableText"/>
              <w:spacing w:before="40" w:after="40"/>
            </w:pPr>
            <w:r w:rsidRPr="003B7FF7" w:rsidDel="00B824D6">
              <w:t>Metal Industry – Iron and Steel Production</w:t>
            </w:r>
          </w:p>
        </w:tc>
        <w:tc>
          <w:tcPr>
            <w:tcW w:w="511" w:type="dxa"/>
            <w:shd w:val="clear" w:color="auto" w:fill="auto"/>
            <w:tcMar>
              <w:top w:w="0" w:type="dxa"/>
              <w:left w:w="85" w:type="dxa"/>
              <w:bottom w:w="0" w:type="dxa"/>
              <w:right w:w="85" w:type="dxa"/>
            </w:tcMar>
          </w:tcPr>
          <w:p w14:paraId="6A86A4F1"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4A72937B" w14:textId="77777777" w:rsidR="00BB3E1E" w:rsidRPr="003B7FF7" w:rsidRDefault="00BB3E1E" w:rsidP="00BB1EAB">
            <w:pPr>
              <w:pStyle w:val="TableText"/>
              <w:spacing w:before="40" w:after="40"/>
              <w:jc w:val="right"/>
            </w:pPr>
            <w:r w:rsidRPr="003B7FF7" w:rsidDel="00B824D6">
              <w:t>1,578.6</w:t>
            </w:r>
          </w:p>
        </w:tc>
        <w:tc>
          <w:tcPr>
            <w:tcW w:w="944" w:type="dxa"/>
            <w:shd w:val="clear" w:color="auto" w:fill="auto"/>
            <w:tcMar>
              <w:top w:w="0" w:type="dxa"/>
              <w:left w:w="85" w:type="dxa"/>
              <w:bottom w:w="0" w:type="dxa"/>
              <w:right w:w="85" w:type="dxa"/>
            </w:tcMar>
          </w:tcPr>
          <w:p w14:paraId="2890BF09" w14:textId="77777777" w:rsidR="00BB3E1E" w:rsidRPr="003B7FF7" w:rsidRDefault="00BB3E1E" w:rsidP="00BB1EAB">
            <w:pPr>
              <w:pStyle w:val="TableText"/>
              <w:spacing w:before="40" w:after="40"/>
              <w:jc w:val="right"/>
            </w:pPr>
            <w:r w:rsidRPr="003B7FF7" w:rsidDel="00B824D6">
              <w:t>1.4</w:t>
            </w:r>
          </w:p>
        </w:tc>
        <w:tc>
          <w:tcPr>
            <w:tcW w:w="926" w:type="dxa"/>
            <w:shd w:val="clear" w:color="auto" w:fill="auto"/>
            <w:tcMar>
              <w:top w:w="0" w:type="dxa"/>
              <w:left w:w="85" w:type="dxa"/>
              <w:bottom w:w="0" w:type="dxa"/>
              <w:right w:w="85" w:type="dxa"/>
            </w:tcMar>
          </w:tcPr>
          <w:p w14:paraId="53FD7E95" w14:textId="77777777" w:rsidR="00BB3E1E" w:rsidRPr="003B7FF7" w:rsidRDefault="00BB3E1E" w:rsidP="00BB1EAB">
            <w:pPr>
              <w:pStyle w:val="TableText"/>
              <w:spacing w:before="40" w:after="40"/>
              <w:jc w:val="right"/>
            </w:pPr>
            <w:r w:rsidRPr="003B7FF7" w:rsidDel="00B824D6">
              <w:t>74.6</w:t>
            </w:r>
          </w:p>
        </w:tc>
      </w:tr>
      <w:tr w:rsidR="00BB3E1E" w:rsidRPr="003B7FF7" w14:paraId="68F7EF83" w14:textId="77777777" w:rsidTr="00BB1EAB">
        <w:trPr>
          <w:cantSplit/>
        </w:trPr>
        <w:tc>
          <w:tcPr>
            <w:tcW w:w="0" w:type="auto"/>
            <w:shd w:val="clear" w:color="auto" w:fill="auto"/>
            <w:tcMar>
              <w:top w:w="0" w:type="dxa"/>
              <w:left w:w="85" w:type="dxa"/>
              <w:bottom w:w="0" w:type="dxa"/>
              <w:right w:w="85" w:type="dxa"/>
            </w:tcMar>
          </w:tcPr>
          <w:p w14:paraId="48483331" w14:textId="77777777" w:rsidR="00BB3E1E" w:rsidRPr="003B7FF7" w:rsidRDefault="00BB3E1E" w:rsidP="00BB1EAB">
            <w:pPr>
              <w:pStyle w:val="TableText"/>
              <w:spacing w:before="40" w:after="40"/>
            </w:pPr>
            <w:r w:rsidRPr="003B7FF7" w:rsidDel="00B824D6">
              <w:t>3.D.1.1</w:t>
            </w:r>
          </w:p>
        </w:tc>
        <w:tc>
          <w:tcPr>
            <w:tcW w:w="3695" w:type="dxa"/>
            <w:shd w:val="clear" w:color="auto" w:fill="auto"/>
            <w:tcMar>
              <w:top w:w="0" w:type="dxa"/>
              <w:left w:w="85" w:type="dxa"/>
              <w:bottom w:w="0" w:type="dxa"/>
              <w:right w:w="85" w:type="dxa"/>
            </w:tcMar>
          </w:tcPr>
          <w:p w14:paraId="14E0AA7B" w14:textId="77777777" w:rsidR="00BB3E1E" w:rsidRPr="003B7FF7" w:rsidRDefault="00BB3E1E" w:rsidP="00BB1EAB">
            <w:pPr>
              <w:pStyle w:val="TableText"/>
              <w:spacing w:before="40" w:after="40"/>
            </w:pPr>
            <w:r w:rsidRPr="003B7FF7">
              <w:t>Direct N</w:t>
            </w:r>
            <w:r w:rsidRPr="003B7FF7">
              <w:rPr>
                <w:vertAlign w:val="subscript"/>
              </w:rPr>
              <w:t>2</w:t>
            </w:r>
            <w:r w:rsidRPr="003B7FF7">
              <w:t>O Emissions from</w:t>
            </w:r>
            <w:r w:rsidRPr="003B7FF7" w:rsidDel="00B824D6">
              <w:t xml:space="preserve"> Managed Soils – Inorganic N Fertili</w:t>
            </w:r>
            <w:r w:rsidRPr="003B7FF7">
              <w:t>s</w:t>
            </w:r>
            <w:r w:rsidRPr="003B7FF7" w:rsidDel="00B824D6">
              <w:t>ers</w:t>
            </w:r>
          </w:p>
        </w:tc>
        <w:tc>
          <w:tcPr>
            <w:tcW w:w="511" w:type="dxa"/>
            <w:shd w:val="clear" w:color="auto" w:fill="auto"/>
            <w:tcMar>
              <w:top w:w="0" w:type="dxa"/>
              <w:left w:w="85" w:type="dxa"/>
              <w:bottom w:w="0" w:type="dxa"/>
              <w:right w:w="85" w:type="dxa"/>
            </w:tcMar>
          </w:tcPr>
          <w:p w14:paraId="09F8F5B2" w14:textId="77777777" w:rsidR="00BB3E1E" w:rsidRPr="003B7FF7" w:rsidRDefault="00BB3E1E" w:rsidP="00BB1EAB">
            <w:pPr>
              <w:pStyle w:val="TableText"/>
              <w:spacing w:before="40" w:after="40"/>
            </w:pPr>
            <w:r w:rsidRPr="003B7FF7" w:rsidDel="00B824D6">
              <w:t>N</w:t>
            </w:r>
            <w:r w:rsidRPr="003B7FF7" w:rsidDel="00B824D6">
              <w:rPr>
                <w:vertAlign w:val="subscript"/>
              </w:rPr>
              <w:t>2</w:t>
            </w:r>
            <w:r w:rsidRPr="003B7FF7" w:rsidDel="00B824D6">
              <w:t>O</w:t>
            </w:r>
          </w:p>
        </w:tc>
        <w:tc>
          <w:tcPr>
            <w:tcW w:w="1474" w:type="dxa"/>
            <w:shd w:val="clear" w:color="auto" w:fill="auto"/>
            <w:tcMar>
              <w:top w:w="0" w:type="dxa"/>
              <w:left w:w="85" w:type="dxa"/>
              <w:bottom w:w="0" w:type="dxa"/>
              <w:right w:w="85" w:type="dxa"/>
            </w:tcMar>
          </w:tcPr>
          <w:p w14:paraId="2EF66C4E" w14:textId="77777777" w:rsidR="00BB3E1E" w:rsidRPr="003B7FF7" w:rsidRDefault="00BB3E1E" w:rsidP="00BB1EAB">
            <w:pPr>
              <w:pStyle w:val="TableText"/>
              <w:spacing w:before="40" w:after="40"/>
              <w:jc w:val="right"/>
            </w:pPr>
            <w:r w:rsidRPr="003B7FF7" w:rsidDel="00B824D6">
              <w:t>1,548.2</w:t>
            </w:r>
          </w:p>
        </w:tc>
        <w:tc>
          <w:tcPr>
            <w:tcW w:w="944" w:type="dxa"/>
            <w:shd w:val="clear" w:color="auto" w:fill="auto"/>
            <w:tcMar>
              <w:top w:w="0" w:type="dxa"/>
              <w:left w:w="85" w:type="dxa"/>
              <w:bottom w:w="0" w:type="dxa"/>
              <w:right w:w="85" w:type="dxa"/>
            </w:tcMar>
          </w:tcPr>
          <w:p w14:paraId="3EA5C07B" w14:textId="77777777" w:rsidR="00BB3E1E" w:rsidRPr="003B7FF7" w:rsidRDefault="00BB3E1E" w:rsidP="00BB1EAB">
            <w:pPr>
              <w:pStyle w:val="TableText"/>
              <w:spacing w:before="40" w:after="40"/>
              <w:jc w:val="right"/>
            </w:pPr>
            <w:r w:rsidRPr="003B7FF7" w:rsidDel="00B824D6">
              <w:t>1.4</w:t>
            </w:r>
          </w:p>
        </w:tc>
        <w:tc>
          <w:tcPr>
            <w:tcW w:w="926" w:type="dxa"/>
            <w:shd w:val="clear" w:color="auto" w:fill="auto"/>
            <w:tcMar>
              <w:top w:w="0" w:type="dxa"/>
              <w:left w:w="85" w:type="dxa"/>
              <w:bottom w:w="0" w:type="dxa"/>
              <w:right w:w="85" w:type="dxa"/>
            </w:tcMar>
          </w:tcPr>
          <w:p w14:paraId="77D607D8" w14:textId="77777777" w:rsidR="00BB3E1E" w:rsidRPr="003B7FF7" w:rsidRDefault="00BB3E1E" w:rsidP="00BB1EAB">
            <w:pPr>
              <w:pStyle w:val="TableText"/>
              <w:spacing w:before="40" w:after="40"/>
              <w:jc w:val="right"/>
            </w:pPr>
            <w:r w:rsidRPr="003B7FF7" w:rsidDel="00B824D6">
              <w:t>76.0</w:t>
            </w:r>
          </w:p>
        </w:tc>
      </w:tr>
      <w:tr w:rsidR="00BB3E1E" w:rsidRPr="003B7FF7" w14:paraId="333DDCAC" w14:textId="77777777" w:rsidTr="00BB1EAB">
        <w:trPr>
          <w:cantSplit/>
        </w:trPr>
        <w:tc>
          <w:tcPr>
            <w:tcW w:w="0" w:type="auto"/>
            <w:shd w:val="clear" w:color="auto" w:fill="auto"/>
            <w:tcMar>
              <w:top w:w="0" w:type="dxa"/>
              <w:left w:w="85" w:type="dxa"/>
              <w:bottom w:w="0" w:type="dxa"/>
              <w:right w:w="85" w:type="dxa"/>
            </w:tcMar>
          </w:tcPr>
          <w:p w14:paraId="0AAC7326" w14:textId="77777777" w:rsidR="00BB3E1E" w:rsidRPr="003B7FF7" w:rsidRDefault="00BB3E1E" w:rsidP="00BB1EAB">
            <w:pPr>
              <w:pStyle w:val="TableText"/>
              <w:spacing w:before="40" w:after="40"/>
            </w:pPr>
            <w:r w:rsidRPr="003B7FF7" w:rsidDel="00B824D6">
              <w:t>1.A.2.c</w:t>
            </w:r>
          </w:p>
        </w:tc>
        <w:tc>
          <w:tcPr>
            <w:tcW w:w="3695" w:type="dxa"/>
            <w:shd w:val="clear" w:color="auto" w:fill="auto"/>
            <w:tcMar>
              <w:top w:w="0" w:type="dxa"/>
              <w:left w:w="85" w:type="dxa"/>
              <w:bottom w:w="0" w:type="dxa"/>
              <w:right w:w="85" w:type="dxa"/>
            </w:tcMar>
          </w:tcPr>
          <w:p w14:paraId="14CA2444" w14:textId="77777777" w:rsidR="00BB3E1E" w:rsidRPr="003B7FF7" w:rsidRDefault="00BB3E1E" w:rsidP="00BB1EAB">
            <w:pPr>
              <w:pStyle w:val="TableText"/>
              <w:spacing w:before="40" w:after="40"/>
            </w:pPr>
            <w:r w:rsidRPr="003B7FF7" w:rsidDel="00B824D6">
              <w:t>Manufacturing Industries and Construction – Chemicals Gaseous Fuels</w:t>
            </w:r>
          </w:p>
        </w:tc>
        <w:tc>
          <w:tcPr>
            <w:tcW w:w="511" w:type="dxa"/>
            <w:shd w:val="clear" w:color="auto" w:fill="auto"/>
            <w:tcMar>
              <w:top w:w="0" w:type="dxa"/>
              <w:left w:w="85" w:type="dxa"/>
              <w:bottom w:w="0" w:type="dxa"/>
              <w:right w:w="85" w:type="dxa"/>
            </w:tcMar>
          </w:tcPr>
          <w:p w14:paraId="29DE05AB"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458C371B" w14:textId="77777777" w:rsidR="00BB3E1E" w:rsidRPr="003B7FF7" w:rsidRDefault="00BB3E1E" w:rsidP="00BB1EAB">
            <w:pPr>
              <w:pStyle w:val="TableText"/>
              <w:spacing w:before="40" w:after="40"/>
              <w:jc w:val="right"/>
            </w:pPr>
            <w:r w:rsidRPr="003B7FF7" w:rsidDel="00B824D6">
              <w:t>1,540.1</w:t>
            </w:r>
          </w:p>
        </w:tc>
        <w:tc>
          <w:tcPr>
            <w:tcW w:w="944" w:type="dxa"/>
            <w:shd w:val="clear" w:color="auto" w:fill="auto"/>
            <w:tcMar>
              <w:top w:w="0" w:type="dxa"/>
              <w:left w:w="85" w:type="dxa"/>
              <w:bottom w:w="0" w:type="dxa"/>
              <w:right w:w="85" w:type="dxa"/>
            </w:tcMar>
          </w:tcPr>
          <w:p w14:paraId="2F2AD350" w14:textId="77777777" w:rsidR="00BB3E1E" w:rsidRPr="003B7FF7" w:rsidRDefault="00BB3E1E" w:rsidP="00BB1EAB">
            <w:pPr>
              <w:pStyle w:val="TableText"/>
              <w:spacing w:before="40" w:after="40"/>
              <w:jc w:val="right"/>
            </w:pPr>
            <w:r w:rsidRPr="003B7FF7" w:rsidDel="00B824D6">
              <w:t>1.4</w:t>
            </w:r>
          </w:p>
        </w:tc>
        <w:tc>
          <w:tcPr>
            <w:tcW w:w="926" w:type="dxa"/>
            <w:shd w:val="clear" w:color="auto" w:fill="auto"/>
            <w:tcMar>
              <w:top w:w="0" w:type="dxa"/>
              <w:left w:w="85" w:type="dxa"/>
              <w:bottom w:w="0" w:type="dxa"/>
              <w:right w:w="85" w:type="dxa"/>
            </w:tcMar>
          </w:tcPr>
          <w:p w14:paraId="18F96900" w14:textId="77777777" w:rsidR="00BB3E1E" w:rsidRPr="003B7FF7" w:rsidRDefault="00BB3E1E" w:rsidP="00BB1EAB">
            <w:pPr>
              <w:pStyle w:val="TableText"/>
              <w:spacing w:before="40" w:after="40"/>
              <w:jc w:val="right"/>
            </w:pPr>
            <w:r w:rsidRPr="003B7FF7" w:rsidDel="00B824D6">
              <w:t>77.4</w:t>
            </w:r>
          </w:p>
        </w:tc>
      </w:tr>
      <w:tr w:rsidR="00BB3E1E" w:rsidRPr="003B7FF7" w14:paraId="563E691B" w14:textId="77777777" w:rsidTr="00BB1EAB">
        <w:trPr>
          <w:cantSplit/>
        </w:trPr>
        <w:tc>
          <w:tcPr>
            <w:tcW w:w="0" w:type="auto"/>
            <w:shd w:val="clear" w:color="auto" w:fill="auto"/>
            <w:tcMar>
              <w:top w:w="0" w:type="dxa"/>
              <w:left w:w="85" w:type="dxa"/>
              <w:bottom w:w="0" w:type="dxa"/>
              <w:right w:w="85" w:type="dxa"/>
            </w:tcMar>
          </w:tcPr>
          <w:p w14:paraId="67478ABF" w14:textId="77777777" w:rsidR="00BB3E1E" w:rsidRPr="003B7FF7" w:rsidRDefault="00BB3E1E" w:rsidP="00BB1EAB">
            <w:pPr>
              <w:pStyle w:val="TableText"/>
              <w:spacing w:before="40" w:after="40"/>
            </w:pPr>
            <w:r w:rsidRPr="003B7FF7" w:rsidDel="00B824D6">
              <w:t>2.F.1</w:t>
            </w:r>
          </w:p>
        </w:tc>
        <w:tc>
          <w:tcPr>
            <w:tcW w:w="3695" w:type="dxa"/>
            <w:shd w:val="clear" w:color="auto" w:fill="auto"/>
            <w:tcMar>
              <w:top w:w="0" w:type="dxa"/>
              <w:left w:w="85" w:type="dxa"/>
              <w:bottom w:w="0" w:type="dxa"/>
              <w:right w:w="85" w:type="dxa"/>
            </w:tcMar>
          </w:tcPr>
          <w:p w14:paraId="3EA2C08A" w14:textId="77777777" w:rsidR="00BB3E1E" w:rsidRPr="003B7FF7" w:rsidRDefault="00BB3E1E" w:rsidP="00BB1EAB">
            <w:pPr>
              <w:pStyle w:val="TableText"/>
              <w:spacing w:before="40" w:after="40"/>
            </w:pPr>
            <w:r w:rsidRPr="003B7FF7" w:rsidDel="00B824D6">
              <w:t xml:space="preserve">Product Uses as Substitutes for ODS – Refrigeration and Air </w:t>
            </w:r>
            <w:r w:rsidRPr="003B7FF7">
              <w:t>C</w:t>
            </w:r>
            <w:r w:rsidRPr="003B7FF7" w:rsidDel="00B824D6">
              <w:t>onditioning</w:t>
            </w:r>
          </w:p>
        </w:tc>
        <w:tc>
          <w:tcPr>
            <w:tcW w:w="511" w:type="dxa"/>
            <w:shd w:val="clear" w:color="auto" w:fill="auto"/>
            <w:tcMar>
              <w:top w:w="0" w:type="dxa"/>
              <w:left w:w="85" w:type="dxa"/>
              <w:bottom w:w="0" w:type="dxa"/>
              <w:right w:w="85" w:type="dxa"/>
            </w:tcMar>
          </w:tcPr>
          <w:p w14:paraId="04C15158" w14:textId="77777777" w:rsidR="00BB3E1E" w:rsidRPr="003B7FF7" w:rsidRDefault="00BB3E1E" w:rsidP="00BB1EAB">
            <w:pPr>
              <w:pStyle w:val="TableText"/>
              <w:spacing w:before="40" w:after="40"/>
            </w:pPr>
            <w:r w:rsidRPr="003B7FF7" w:rsidDel="00B824D6">
              <w:t>HFCs</w:t>
            </w:r>
          </w:p>
        </w:tc>
        <w:tc>
          <w:tcPr>
            <w:tcW w:w="1474" w:type="dxa"/>
            <w:shd w:val="clear" w:color="auto" w:fill="auto"/>
            <w:tcMar>
              <w:top w:w="0" w:type="dxa"/>
              <w:left w:w="85" w:type="dxa"/>
              <w:bottom w:w="0" w:type="dxa"/>
              <w:right w:w="85" w:type="dxa"/>
            </w:tcMar>
          </w:tcPr>
          <w:p w14:paraId="075A3CF8" w14:textId="77777777" w:rsidR="00BB3E1E" w:rsidRPr="003B7FF7" w:rsidRDefault="00BB3E1E" w:rsidP="00BB1EAB">
            <w:pPr>
              <w:pStyle w:val="TableText"/>
              <w:spacing w:before="40" w:after="40"/>
              <w:jc w:val="right"/>
            </w:pPr>
            <w:r w:rsidRPr="003B7FF7" w:rsidDel="00B824D6">
              <w:t>1,391.6</w:t>
            </w:r>
          </w:p>
        </w:tc>
        <w:tc>
          <w:tcPr>
            <w:tcW w:w="944" w:type="dxa"/>
            <w:shd w:val="clear" w:color="auto" w:fill="auto"/>
            <w:tcMar>
              <w:top w:w="0" w:type="dxa"/>
              <w:left w:w="85" w:type="dxa"/>
              <w:bottom w:w="0" w:type="dxa"/>
              <w:right w:w="85" w:type="dxa"/>
            </w:tcMar>
          </w:tcPr>
          <w:p w14:paraId="2BE198B6" w14:textId="77777777" w:rsidR="00BB3E1E" w:rsidRPr="003B7FF7" w:rsidRDefault="00BB3E1E" w:rsidP="00BB1EAB">
            <w:pPr>
              <w:pStyle w:val="TableText"/>
              <w:spacing w:before="40" w:after="40"/>
              <w:jc w:val="right"/>
            </w:pPr>
            <w:r w:rsidRPr="003B7FF7" w:rsidDel="00B824D6">
              <w:t>1.3</w:t>
            </w:r>
          </w:p>
        </w:tc>
        <w:tc>
          <w:tcPr>
            <w:tcW w:w="926" w:type="dxa"/>
            <w:shd w:val="clear" w:color="auto" w:fill="auto"/>
            <w:tcMar>
              <w:top w:w="0" w:type="dxa"/>
              <w:left w:w="85" w:type="dxa"/>
              <w:bottom w:w="0" w:type="dxa"/>
              <w:right w:w="85" w:type="dxa"/>
            </w:tcMar>
          </w:tcPr>
          <w:p w14:paraId="08AC54D0" w14:textId="77777777" w:rsidR="00BB3E1E" w:rsidRPr="003B7FF7" w:rsidRDefault="00BB3E1E" w:rsidP="00BB1EAB">
            <w:pPr>
              <w:pStyle w:val="TableText"/>
              <w:spacing w:before="40" w:after="40"/>
              <w:jc w:val="right"/>
            </w:pPr>
            <w:r w:rsidRPr="003B7FF7" w:rsidDel="00B824D6">
              <w:t>78.7</w:t>
            </w:r>
          </w:p>
        </w:tc>
      </w:tr>
      <w:tr w:rsidR="00BB3E1E" w:rsidRPr="003B7FF7" w14:paraId="0C941A00" w14:textId="77777777" w:rsidTr="00BB1EAB">
        <w:trPr>
          <w:cantSplit/>
        </w:trPr>
        <w:tc>
          <w:tcPr>
            <w:tcW w:w="0" w:type="auto"/>
            <w:shd w:val="clear" w:color="auto" w:fill="auto"/>
            <w:tcMar>
              <w:top w:w="0" w:type="dxa"/>
              <w:left w:w="85" w:type="dxa"/>
              <w:bottom w:w="0" w:type="dxa"/>
              <w:right w:w="85" w:type="dxa"/>
            </w:tcMar>
          </w:tcPr>
          <w:p w14:paraId="33531DD5" w14:textId="77777777" w:rsidR="00BB3E1E" w:rsidRPr="003B7FF7" w:rsidRDefault="00BB3E1E" w:rsidP="00BB1EAB">
            <w:pPr>
              <w:pStyle w:val="TableText"/>
              <w:spacing w:before="40" w:after="40"/>
            </w:pPr>
            <w:r w:rsidRPr="003B7FF7" w:rsidDel="00B824D6">
              <w:t>3.B.1.1</w:t>
            </w:r>
          </w:p>
        </w:tc>
        <w:tc>
          <w:tcPr>
            <w:tcW w:w="3695" w:type="dxa"/>
            <w:shd w:val="clear" w:color="auto" w:fill="auto"/>
            <w:tcMar>
              <w:top w:w="0" w:type="dxa"/>
              <w:left w:w="85" w:type="dxa"/>
              <w:bottom w:w="0" w:type="dxa"/>
              <w:right w:w="85" w:type="dxa"/>
            </w:tcMar>
          </w:tcPr>
          <w:p w14:paraId="16AC32DF" w14:textId="77777777" w:rsidR="00BB3E1E" w:rsidRPr="003B7FF7" w:rsidRDefault="00BB3E1E" w:rsidP="00BB1EAB">
            <w:pPr>
              <w:pStyle w:val="TableText"/>
              <w:spacing w:before="40" w:after="40"/>
            </w:pPr>
            <w:r w:rsidRPr="003B7FF7" w:rsidDel="00B824D6">
              <w:t>Option A – Dairy Cattle</w:t>
            </w:r>
          </w:p>
        </w:tc>
        <w:tc>
          <w:tcPr>
            <w:tcW w:w="511" w:type="dxa"/>
            <w:shd w:val="clear" w:color="auto" w:fill="auto"/>
            <w:tcMar>
              <w:top w:w="0" w:type="dxa"/>
              <w:left w:w="85" w:type="dxa"/>
              <w:bottom w:w="0" w:type="dxa"/>
              <w:right w:w="85" w:type="dxa"/>
            </w:tcMar>
          </w:tcPr>
          <w:p w14:paraId="67285B38" w14:textId="77777777" w:rsidR="00BB3E1E" w:rsidRPr="003B7FF7" w:rsidRDefault="00BB3E1E" w:rsidP="00BB1EAB">
            <w:pPr>
              <w:pStyle w:val="TableText"/>
              <w:spacing w:before="40" w:after="40"/>
            </w:pPr>
            <w:r w:rsidRPr="003B7FF7" w:rsidDel="00B824D6">
              <w:t>CH</w:t>
            </w:r>
            <w:r w:rsidRPr="003B7FF7" w:rsidDel="00B824D6">
              <w:rPr>
                <w:vertAlign w:val="subscript"/>
              </w:rPr>
              <w:t>4</w:t>
            </w:r>
          </w:p>
        </w:tc>
        <w:tc>
          <w:tcPr>
            <w:tcW w:w="1474" w:type="dxa"/>
            <w:shd w:val="clear" w:color="auto" w:fill="auto"/>
            <w:tcMar>
              <w:top w:w="0" w:type="dxa"/>
              <w:left w:w="85" w:type="dxa"/>
              <w:bottom w:w="0" w:type="dxa"/>
              <w:right w:w="85" w:type="dxa"/>
            </w:tcMar>
          </w:tcPr>
          <w:p w14:paraId="124054C1" w14:textId="77777777" w:rsidR="00BB3E1E" w:rsidRPr="003B7FF7" w:rsidRDefault="00BB3E1E" w:rsidP="00BB1EAB">
            <w:pPr>
              <w:pStyle w:val="TableText"/>
              <w:spacing w:before="40" w:after="40"/>
              <w:jc w:val="right"/>
            </w:pPr>
            <w:r w:rsidRPr="003B7FF7" w:rsidDel="00B824D6">
              <w:t>1,387.1</w:t>
            </w:r>
          </w:p>
        </w:tc>
        <w:tc>
          <w:tcPr>
            <w:tcW w:w="944" w:type="dxa"/>
            <w:shd w:val="clear" w:color="auto" w:fill="auto"/>
            <w:tcMar>
              <w:top w:w="0" w:type="dxa"/>
              <w:left w:w="85" w:type="dxa"/>
              <w:bottom w:w="0" w:type="dxa"/>
              <w:right w:w="85" w:type="dxa"/>
            </w:tcMar>
          </w:tcPr>
          <w:p w14:paraId="490028AF" w14:textId="77777777" w:rsidR="00BB3E1E" w:rsidRPr="003B7FF7" w:rsidRDefault="00BB3E1E" w:rsidP="00BB1EAB">
            <w:pPr>
              <w:pStyle w:val="TableText"/>
              <w:spacing w:before="40" w:after="40"/>
              <w:jc w:val="right"/>
            </w:pPr>
            <w:r w:rsidRPr="003B7FF7" w:rsidDel="00B824D6">
              <w:t>1.3</w:t>
            </w:r>
          </w:p>
        </w:tc>
        <w:tc>
          <w:tcPr>
            <w:tcW w:w="926" w:type="dxa"/>
            <w:shd w:val="clear" w:color="auto" w:fill="auto"/>
            <w:tcMar>
              <w:top w:w="0" w:type="dxa"/>
              <w:left w:w="85" w:type="dxa"/>
              <w:bottom w:w="0" w:type="dxa"/>
              <w:right w:w="85" w:type="dxa"/>
            </w:tcMar>
          </w:tcPr>
          <w:p w14:paraId="2625A0BC" w14:textId="77777777" w:rsidR="00BB3E1E" w:rsidRPr="003B7FF7" w:rsidRDefault="00BB3E1E" w:rsidP="00BB1EAB">
            <w:pPr>
              <w:pStyle w:val="TableText"/>
              <w:spacing w:before="40" w:after="40"/>
              <w:jc w:val="right"/>
            </w:pPr>
            <w:r w:rsidRPr="003B7FF7" w:rsidDel="00B824D6">
              <w:t>79.9</w:t>
            </w:r>
          </w:p>
        </w:tc>
      </w:tr>
      <w:tr w:rsidR="00BB3E1E" w:rsidRPr="003B7FF7" w14:paraId="4D0F0DE1" w14:textId="77777777" w:rsidTr="00BB1EAB">
        <w:trPr>
          <w:cantSplit/>
        </w:trPr>
        <w:tc>
          <w:tcPr>
            <w:tcW w:w="0" w:type="auto"/>
            <w:shd w:val="clear" w:color="auto" w:fill="auto"/>
            <w:tcMar>
              <w:top w:w="0" w:type="dxa"/>
              <w:left w:w="85" w:type="dxa"/>
              <w:bottom w:w="0" w:type="dxa"/>
              <w:right w:w="85" w:type="dxa"/>
            </w:tcMar>
          </w:tcPr>
          <w:p w14:paraId="28B63357" w14:textId="77777777" w:rsidR="00BB3E1E" w:rsidRPr="003B7FF7" w:rsidRDefault="00BB3E1E" w:rsidP="00BB1EAB">
            <w:pPr>
              <w:pStyle w:val="TableText"/>
              <w:spacing w:before="40" w:after="40"/>
            </w:pPr>
            <w:r w:rsidRPr="003B7FF7" w:rsidDel="00B824D6">
              <w:t>1.A.4.c</w:t>
            </w:r>
          </w:p>
        </w:tc>
        <w:tc>
          <w:tcPr>
            <w:tcW w:w="3695" w:type="dxa"/>
            <w:shd w:val="clear" w:color="auto" w:fill="auto"/>
            <w:tcMar>
              <w:top w:w="0" w:type="dxa"/>
              <w:left w:w="85" w:type="dxa"/>
              <w:bottom w:w="0" w:type="dxa"/>
              <w:right w:w="85" w:type="dxa"/>
            </w:tcMar>
          </w:tcPr>
          <w:p w14:paraId="70DC5310" w14:textId="77777777" w:rsidR="00BB3E1E" w:rsidRPr="003B7FF7" w:rsidRDefault="00BB3E1E" w:rsidP="00BB1EAB">
            <w:pPr>
              <w:pStyle w:val="TableText"/>
              <w:spacing w:before="40" w:after="40"/>
            </w:pPr>
            <w:r w:rsidRPr="003B7FF7" w:rsidDel="00B824D6">
              <w:t>Other Sectors – Agriculture/Forestry/Fishing Liquid Fuels</w:t>
            </w:r>
          </w:p>
        </w:tc>
        <w:tc>
          <w:tcPr>
            <w:tcW w:w="511" w:type="dxa"/>
            <w:shd w:val="clear" w:color="auto" w:fill="auto"/>
            <w:tcMar>
              <w:top w:w="0" w:type="dxa"/>
              <w:left w:w="85" w:type="dxa"/>
              <w:bottom w:w="0" w:type="dxa"/>
              <w:right w:w="85" w:type="dxa"/>
            </w:tcMar>
          </w:tcPr>
          <w:p w14:paraId="4F6B916F"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6CB73CA4" w14:textId="77777777" w:rsidR="00BB3E1E" w:rsidRPr="003B7FF7" w:rsidRDefault="00BB3E1E" w:rsidP="00BB1EAB">
            <w:pPr>
              <w:pStyle w:val="TableText"/>
              <w:spacing w:before="40" w:after="40"/>
              <w:jc w:val="right"/>
            </w:pPr>
            <w:r w:rsidRPr="003B7FF7" w:rsidDel="00B824D6">
              <w:t>1,362.6</w:t>
            </w:r>
          </w:p>
        </w:tc>
        <w:tc>
          <w:tcPr>
            <w:tcW w:w="944" w:type="dxa"/>
            <w:shd w:val="clear" w:color="auto" w:fill="auto"/>
            <w:tcMar>
              <w:top w:w="0" w:type="dxa"/>
              <w:left w:w="85" w:type="dxa"/>
              <w:bottom w:w="0" w:type="dxa"/>
              <w:right w:w="85" w:type="dxa"/>
            </w:tcMar>
          </w:tcPr>
          <w:p w14:paraId="4C9E604E" w14:textId="77777777" w:rsidR="00BB3E1E" w:rsidRPr="003B7FF7" w:rsidRDefault="00BB3E1E" w:rsidP="00BB1EAB">
            <w:pPr>
              <w:pStyle w:val="TableText"/>
              <w:spacing w:before="40" w:after="40"/>
              <w:jc w:val="right"/>
            </w:pPr>
            <w:r w:rsidRPr="003B7FF7" w:rsidDel="00B824D6">
              <w:t>1.2</w:t>
            </w:r>
          </w:p>
        </w:tc>
        <w:tc>
          <w:tcPr>
            <w:tcW w:w="926" w:type="dxa"/>
            <w:shd w:val="clear" w:color="auto" w:fill="auto"/>
            <w:tcMar>
              <w:top w:w="0" w:type="dxa"/>
              <w:left w:w="85" w:type="dxa"/>
              <w:bottom w:w="0" w:type="dxa"/>
              <w:right w:w="85" w:type="dxa"/>
            </w:tcMar>
          </w:tcPr>
          <w:p w14:paraId="72E16C92" w14:textId="77777777" w:rsidR="00BB3E1E" w:rsidRPr="003B7FF7" w:rsidRDefault="00BB3E1E" w:rsidP="00BB1EAB">
            <w:pPr>
              <w:pStyle w:val="TableText"/>
              <w:spacing w:before="40" w:after="40"/>
              <w:jc w:val="right"/>
            </w:pPr>
            <w:r w:rsidRPr="003B7FF7" w:rsidDel="00B824D6">
              <w:t>81.2</w:t>
            </w:r>
          </w:p>
        </w:tc>
      </w:tr>
      <w:tr w:rsidR="00BB3E1E" w:rsidRPr="003B7FF7" w14:paraId="3DD29C83" w14:textId="77777777" w:rsidTr="00BB1EAB">
        <w:trPr>
          <w:cantSplit/>
        </w:trPr>
        <w:tc>
          <w:tcPr>
            <w:tcW w:w="0" w:type="auto"/>
            <w:shd w:val="clear" w:color="auto" w:fill="auto"/>
            <w:tcMar>
              <w:top w:w="0" w:type="dxa"/>
              <w:left w:w="85" w:type="dxa"/>
              <w:bottom w:w="0" w:type="dxa"/>
              <w:right w:w="85" w:type="dxa"/>
            </w:tcMar>
          </w:tcPr>
          <w:p w14:paraId="55945FDB" w14:textId="77777777" w:rsidR="00BB3E1E" w:rsidRPr="003B7FF7" w:rsidRDefault="00BB3E1E" w:rsidP="00BB1EAB">
            <w:pPr>
              <w:pStyle w:val="TableText"/>
              <w:spacing w:before="40" w:after="40"/>
            </w:pPr>
            <w:r w:rsidRPr="003B7FF7" w:rsidDel="00B824D6">
              <w:t>1.A.4.b</w:t>
            </w:r>
          </w:p>
        </w:tc>
        <w:tc>
          <w:tcPr>
            <w:tcW w:w="3695" w:type="dxa"/>
            <w:shd w:val="clear" w:color="auto" w:fill="auto"/>
            <w:tcMar>
              <w:top w:w="0" w:type="dxa"/>
              <w:left w:w="85" w:type="dxa"/>
              <w:bottom w:w="0" w:type="dxa"/>
              <w:right w:w="85" w:type="dxa"/>
            </w:tcMar>
          </w:tcPr>
          <w:p w14:paraId="382E3CB6" w14:textId="77777777" w:rsidR="00BB3E1E" w:rsidRPr="003B7FF7" w:rsidRDefault="00BB3E1E" w:rsidP="00BB1EAB">
            <w:pPr>
              <w:pStyle w:val="TableText"/>
              <w:spacing w:before="40" w:after="40"/>
            </w:pPr>
            <w:r w:rsidRPr="003B7FF7" w:rsidDel="00B824D6">
              <w:t>Other Sectors – Residential Liquid Fuels</w:t>
            </w:r>
          </w:p>
        </w:tc>
        <w:tc>
          <w:tcPr>
            <w:tcW w:w="511" w:type="dxa"/>
            <w:shd w:val="clear" w:color="auto" w:fill="auto"/>
            <w:tcMar>
              <w:top w:w="0" w:type="dxa"/>
              <w:left w:w="85" w:type="dxa"/>
              <w:bottom w:w="0" w:type="dxa"/>
              <w:right w:w="85" w:type="dxa"/>
            </w:tcMar>
          </w:tcPr>
          <w:p w14:paraId="60DBD806"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6CFB4A13" w14:textId="77777777" w:rsidR="00BB3E1E" w:rsidRPr="003B7FF7" w:rsidRDefault="00BB3E1E" w:rsidP="00BB1EAB">
            <w:pPr>
              <w:pStyle w:val="TableText"/>
              <w:spacing w:before="40" w:after="40"/>
              <w:jc w:val="right"/>
            </w:pPr>
            <w:r w:rsidRPr="003B7FF7" w:rsidDel="00B824D6">
              <w:t>1,313.1</w:t>
            </w:r>
          </w:p>
        </w:tc>
        <w:tc>
          <w:tcPr>
            <w:tcW w:w="944" w:type="dxa"/>
            <w:shd w:val="clear" w:color="auto" w:fill="auto"/>
            <w:tcMar>
              <w:top w:w="0" w:type="dxa"/>
              <w:left w:w="85" w:type="dxa"/>
              <w:bottom w:w="0" w:type="dxa"/>
              <w:right w:w="85" w:type="dxa"/>
            </w:tcMar>
          </w:tcPr>
          <w:p w14:paraId="7F55AA51" w14:textId="77777777" w:rsidR="00BB3E1E" w:rsidRPr="003B7FF7" w:rsidRDefault="00BB3E1E" w:rsidP="00BB1EAB">
            <w:pPr>
              <w:pStyle w:val="TableText"/>
              <w:spacing w:before="40" w:after="40"/>
              <w:jc w:val="right"/>
            </w:pPr>
            <w:r w:rsidRPr="003B7FF7" w:rsidDel="00B824D6">
              <w:t>1.2</w:t>
            </w:r>
          </w:p>
        </w:tc>
        <w:tc>
          <w:tcPr>
            <w:tcW w:w="926" w:type="dxa"/>
            <w:shd w:val="clear" w:color="auto" w:fill="auto"/>
            <w:tcMar>
              <w:top w:w="0" w:type="dxa"/>
              <w:left w:w="85" w:type="dxa"/>
              <w:bottom w:w="0" w:type="dxa"/>
              <w:right w:w="85" w:type="dxa"/>
            </w:tcMar>
          </w:tcPr>
          <w:p w14:paraId="1473E987" w14:textId="77777777" w:rsidR="00BB3E1E" w:rsidRPr="003B7FF7" w:rsidRDefault="00BB3E1E" w:rsidP="00BB1EAB">
            <w:pPr>
              <w:pStyle w:val="TableText"/>
              <w:spacing w:before="40" w:after="40"/>
              <w:jc w:val="right"/>
            </w:pPr>
            <w:r w:rsidRPr="003B7FF7" w:rsidDel="00B824D6">
              <w:t>82.4</w:t>
            </w:r>
          </w:p>
        </w:tc>
      </w:tr>
      <w:tr w:rsidR="00BB3E1E" w:rsidRPr="003B7FF7" w14:paraId="14DBCAFB" w14:textId="77777777" w:rsidTr="00BB1EAB">
        <w:trPr>
          <w:cantSplit/>
        </w:trPr>
        <w:tc>
          <w:tcPr>
            <w:tcW w:w="0" w:type="auto"/>
            <w:shd w:val="clear" w:color="auto" w:fill="auto"/>
            <w:tcMar>
              <w:top w:w="0" w:type="dxa"/>
              <w:left w:w="85" w:type="dxa"/>
              <w:bottom w:w="0" w:type="dxa"/>
              <w:right w:w="85" w:type="dxa"/>
            </w:tcMar>
          </w:tcPr>
          <w:p w14:paraId="53CB1778" w14:textId="77777777" w:rsidR="00BB3E1E" w:rsidRPr="003B7FF7" w:rsidRDefault="00BB3E1E" w:rsidP="00BB1EAB">
            <w:pPr>
              <w:pStyle w:val="TableText"/>
              <w:spacing w:before="40" w:after="40"/>
            </w:pPr>
            <w:r w:rsidRPr="003B7FF7" w:rsidDel="00B824D6">
              <w:t>4.C.2</w:t>
            </w:r>
          </w:p>
        </w:tc>
        <w:tc>
          <w:tcPr>
            <w:tcW w:w="3695" w:type="dxa"/>
            <w:shd w:val="clear" w:color="auto" w:fill="auto"/>
            <w:tcMar>
              <w:top w:w="0" w:type="dxa"/>
              <w:left w:w="85" w:type="dxa"/>
              <w:bottom w:w="0" w:type="dxa"/>
              <w:right w:w="85" w:type="dxa"/>
            </w:tcMar>
          </w:tcPr>
          <w:p w14:paraId="3150342E" w14:textId="77777777" w:rsidR="00BB3E1E" w:rsidRPr="003B7FF7" w:rsidRDefault="00BB3E1E" w:rsidP="00BB1EAB">
            <w:pPr>
              <w:pStyle w:val="TableText"/>
              <w:spacing w:before="40" w:after="40"/>
            </w:pPr>
            <w:r w:rsidRPr="003B7FF7" w:rsidDel="00B824D6">
              <w:t>Grassland – Land Converted to Grassland</w:t>
            </w:r>
          </w:p>
        </w:tc>
        <w:tc>
          <w:tcPr>
            <w:tcW w:w="511" w:type="dxa"/>
            <w:shd w:val="clear" w:color="auto" w:fill="auto"/>
            <w:tcMar>
              <w:top w:w="0" w:type="dxa"/>
              <w:left w:w="85" w:type="dxa"/>
              <w:bottom w:w="0" w:type="dxa"/>
              <w:right w:w="85" w:type="dxa"/>
            </w:tcMar>
          </w:tcPr>
          <w:p w14:paraId="6CEE9D87"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191E3590" w14:textId="77777777" w:rsidR="00BB3E1E" w:rsidRPr="003B7FF7" w:rsidRDefault="00BB3E1E" w:rsidP="00BB1EAB">
            <w:pPr>
              <w:pStyle w:val="TableText"/>
              <w:spacing w:before="40" w:after="40"/>
              <w:jc w:val="right"/>
            </w:pPr>
            <w:r w:rsidRPr="003B7FF7" w:rsidDel="00B824D6">
              <w:t>1,299.0</w:t>
            </w:r>
          </w:p>
        </w:tc>
        <w:tc>
          <w:tcPr>
            <w:tcW w:w="944" w:type="dxa"/>
            <w:shd w:val="clear" w:color="auto" w:fill="auto"/>
            <w:tcMar>
              <w:top w:w="0" w:type="dxa"/>
              <w:left w:w="85" w:type="dxa"/>
              <w:bottom w:w="0" w:type="dxa"/>
              <w:right w:w="85" w:type="dxa"/>
            </w:tcMar>
          </w:tcPr>
          <w:p w14:paraId="36F98FFB" w14:textId="77777777" w:rsidR="00BB3E1E" w:rsidRPr="003B7FF7" w:rsidRDefault="00BB3E1E" w:rsidP="00BB1EAB">
            <w:pPr>
              <w:pStyle w:val="TableText"/>
              <w:spacing w:before="40" w:after="40"/>
              <w:jc w:val="right"/>
            </w:pPr>
            <w:r w:rsidRPr="003B7FF7" w:rsidDel="00B824D6">
              <w:t>1.2</w:t>
            </w:r>
          </w:p>
        </w:tc>
        <w:tc>
          <w:tcPr>
            <w:tcW w:w="926" w:type="dxa"/>
            <w:shd w:val="clear" w:color="auto" w:fill="auto"/>
            <w:tcMar>
              <w:top w:w="0" w:type="dxa"/>
              <w:left w:w="85" w:type="dxa"/>
              <w:bottom w:w="0" w:type="dxa"/>
              <w:right w:w="85" w:type="dxa"/>
            </w:tcMar>
          </w:tcPr>
          <w:p w14:paraId="1F1572A4" w14:textId="77777777" w:rsidR="00BB3E1E" w:rsidRPr="003B7FF7" w:rsidRDefault="00BB3E1E" w:rsidP="00BB1EAB">
            <w:pPr>
              <w:pStyle w:val="TableText"/>
              <w:spacing w:before="40" w:after="40"/>
              <w:jc w:val="right"/>
            </w:pPr>
            <w:r w:rsidRPr="003B7FF7" w:rsidDel="00B824D6">
              <w:t>83.6</w:t>
            </w:r>
          </w:p>
        </w:tc>
      </w:tr>
      <w:tr w:rsidR="00BB3E1E" w:rsidRPr="003B7FF7" w14:paraId="021206B7" w14:textId="77777777" w:rsidTr="00BB1EAB">
        <w:trPr>
          <w:cantSplit/>
        </w:trPr>
        <w:tc>
          <w:tcPr>
            <w:tcW w:w="0" w:type="auto"/>
            <w:shd w:val="clear" w:color="auto" w:fill="auto"/>
            <w:tcMar>
              <w:top w:w="0" w:type="dxa"/>
              <w:left w:w="85" w:type="dxa"/>
              <w:bottom w:w="0" w:type="dxa"/>
              <w:right w:w="85" w:type="dxa"/>
            </w:tcMar>
          </w:tcPr>
          <w:p w14:paraId="4F06CB03" w14:textId="77777777" w:rsidR="00BB3E1E" w:rsidRPr="003B7FF7" w:rsidRDefault="00BB3E1E" w:rsidP="00BB1EAB">
            <w:pPr>
              <w:pStyle w:val="TableText"/>
              <w:spacing w:before="40" w:after="40"/>
            </w:pPr>
            <w:r w:rsidRPr="003B7FF7" w:rsidDel="00B824D6">
              <w:t>4.C.1</w:t>
            </w:r>
          </w:p>
        </w:tc>
        <w:tc>
          <w:tcPr>
            <w:tcW w:w="3695" w:type="dxa"/>
            <w:shd w:val="clear" w:color="auto" w:fill="auto"/>
            <w:tcMar>
              <w:top w:w="0" w:type="dxa"/>
              <w:left w:w="85" w:type="dxa"/>
              <w:bottom w:w="0" w:type="dxa"/>
              <w:right w:w="85" w:type="dxa"/>
            </w:tcMar>
          </w:tcPr>
          <w:p w14:paraId="52A70509" w14:textId="77777777" w:rsidR="00BB3E1E" w:rsidRPr="003B7FF7" w:rsidRDefault="00BB3E1E" w:rsidP="00BB1EAB">
            <w:pPr>
              <w:pStyle w:val="TableText"/>
              <w:spacing w:before="40" w:after="40"/>
            </w:pPr>
            <w:r w:rsidRPr="003B7FF7" w:rsidDel="00B824D6">
              <w:t>Grassland – Grassland Remaining Grassland</w:t>
            </w:r>
          </w:p>
        </w:tc>
        <w:tc>
          <w:tcPr>
            <w:tcW w:w="511" w:type="dxa"/>
            <w:shd w:val="clear" w:color="auto" w:fill="auto"/>
            <w:tcMar>
              <w:top w:w="0" w:type="dxa"/>
              <w:left w:w="85" w:type="dxa"/>
              <w:bottom w:w="0" w:type="dxa"/>
              <w:right w:w="85" w:type="dxa"/>
            </w:tcMar>
          </w:tcPr>
          <w:p w14:paraId="6C790707"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7A0F92CC" w14:textId="77777777" w:rsidR="00BB3E1E" w:rsidRPr="003B7FF7" w:rsidRDefault="00BB3E1E" w:rsidP="00BB1EAB">
            <w:pPr>
              <w:pStyle w:val="TableText"/>
              <w:spacing w:before="40" w:after="40"/>
              <w:jc w:val="right"/>
            </w:pPr>
            <w:r w:rsidRPr="003B7FF7" w:rsidDel="00B824D6">
              <w:t>1,225.5</w:t>
            </w:r>
          </w:p>
        </w:tc>
        <w:tc>
          <w:tcPr>
            <w:tcW w:w="944" w:type="dxa"/>
            <w:shd w:val="clear" w:color="auto" w:fill="auto"/>
            <w:tcMar>
              <w:top w:w="0" w:type="dxa"/>
              <w:left w:w="85" w:type="dxa"/>
              <w:bottom w:w="0" w:type="dxa"/>
              <w:right w:w="85" w:type="dxa"/>
            </w:tcMar>
          </w:tcPr>
          <w:p w14:paraId="427F94AB" w14:textId="77777777" w:rsidR="00BB3E1E" w:rsidRPr="003B7FF7" w:rsidRDefault="00BB3E1E" w:rsidP="00BB1EAB">
            <w:pPr>
              <w:pStyle w:val="TableText"/>
              <w:spacing w:before="40" w:after="40"/>
              <w:jc w:val="right"/>
            </w:pPr>
            <w:r w:rsidRPr="003B7FF7" w:rsidDel="00B824D6">
              <w:t>1.1</w:t>
            </w:r>
          </w:p>
        </w:tc>
        <w:tc>
          <w:tcPr>
            <w:tcW w:w="926" w:type="dxa"/>
            <w:shd w:val="clear" w:color="auto" w:fill="auto"/>
            <w:tcMar>
              <w:top w:w="0" w:type="dxa"/>
              <w:left w:w="85" w:type="dxa"/>
              <w:bottom w:w="0" w:type="dxa"/>
              <w:right w:w="85" w:type="dxa"/>
            </w:tcMar>
          </w:tcPr>
          <w:p w14:paraId="33774800" w14:textId="77777777" w:rsidR="00BB3E1E" w:rsidRPr="003B7FF7" w:rsidRDefault="00BB3E1E" w:rsidP="00BB1EAB">
            <w:pPr>
              <w:pStyle w:val="TableText"/>
              <w:spacing w:before="40" w:after="40"/>
              <w:jc w:val="right"/>
            </w:pPr>
            <w:r w:rsidRPr="003B7FF7" w:rsidDel="00B824D6">
              <w:t>84.7</w:t>
            </w:r>
          </w:p>
        </w:tc>
      </w:tr>
      <w:tr w:rsidR="00BB3E1E" w:rsidRPr="003B7FF7" w14:paraId="1E482268" w14:textId="77777777" w:rsidTr="00BB1EAB">
        <w:trPr>
          <w:cantSplit/>
        </w:trPr>
        <w:tc>
          <w:tcPr>
            <w:tcW w:w="0" w:type="auto"/>
            <w:shd w:val="clear" w:color="auto" w:fill="auto"/>
            <w:tcMar>
              <w:top w:w="0" w:type="dxa"/>
              <w:left w:w="85" w:type="dxa"/>
              <w:bottom w:w="0" w:type="dxa"/>
              <w:right w:w="85" w:type="dxa"/>
            </w:tcMar>
          </w:tcPr>
          <w:p w14:paraId="08983E60" w14:textId="77777777" w:rsidR="00BB3E1E" w:rsidRPr="003B7FF7" w:rsidRDefault="00BB3E1E" w:rsidP="00BB1EAB">
            <w:pPr>
              <w:pStyle w:val="TableText"/>
              <w:spacing w:before="40" w:after="40"/>
            </w:pPr>
            <w:r w:rsidRPr="003B7FF7" w:rsidDel="00B824D6">
              <w:t>1.A.2.e</w:t>
            </w:r>
          </w:p>
        </w:tc>
        <w:tc>
          <w:tcPr>
            <w:tcW w:w="3695" w:type="dxa"/>
            <w:shd w:val="clear" w:color="auto" w:fill="auto"/>
            <w:tcMar>
              <w:top w:w="0" w:type="dxa"/>
              <w:left w:w="85" w:type="dxa"/>
              <w:bottom w:w="0" w:type="dxa"/>
              <w:right w:w="85" w:type="dxa"/>
            </w:tcMar>
          </w:tcPr>
          <w:p w14:paraId="539D9C94" w14:textId="77777777" w:rsidR="00BB3E1E" w:rsidRPr="003B7FF7" w:rsidRDefault="00BB3E1E" w:rsidP="00BB1EAB">
            <w:pPr>
              <w:pStyle w:val="TableText"/>
              <w:spacing w:before="40" w:after="40"/>
            </w:pPr>
            <w:r w:rsidRPr="003B7FF7" w:rsidDel="00B824D6">
              <w:t>Manufacturing Industries and Construction – Food Processing, Beverages and Tobacco Gaseous Fuels</w:t>
            </w:r>
          </w:p>
        </w:tc>
        <w:tc>
          <w:tcPr>
            <w:tcW w:w="511" w:type="dxa"/>
            <w:shd w:val="clear" w:color="auto" w:fill="auto"/>
            <w:tcMar>
              <w:top w:w="0" w:type="dxa"/>
              <w:left w:w="85" w:type="dxa"/>
              <w:bottom w:w="0" w:type="dxa"/>
              <w:right w:w="85" w:type="dxa"/>
            </w:tcMar>
          </w:tcPr>
          <w:p w14:paraId="608CB0F9"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106E1B80" w14:textId="77777777" w:rsidR="00BB3E1E" w:rsidRPr="003B7FF7" w:rsidRDefault="00BB3E1E" w:rsidP="00BB1EAB">
            <w:pPr>
              <w:pStyle w:val="TableText"/>
              <w:spacing w:before="40" w:after="40"/>
              <w:jc w:val="right"/>
            </w:pPr>
            <w:r w:rsidRPr="003B7FF7" w:rsidDel="00B824D6">
              <w:t>1,086.7</w:t>
            </w:r>
          </w:p>
        </w:tc>
        <w:tc>
          <w:tcPr>
            <w:tcW w:w="944" w:type="dxa"/>
            <w:shd w:val="clear" w:color="auto" w:fill="auto"/>
            <w:tcMar>
              <w:top w:w="0" w:type="dxa"/>
              <w:left w:w="85" w:type="dxa"/>
              <w:bottom w:w="0" w:type="dxa"/>
              <w:right w:w="85" w:type="dxa"/>
            </w:tcMar>
          </w:tcPr>
          <w:p w14:paraId="6B21A536" w14:textId="77777777" w:rsidR="00BB3E1E" w:rsidRPr="003B7FF7" w:rsidRDefault="00BB3E1E" w:rsidP="00BB1EAB">
            <w:pPr>
              <w:pStyle w:val="TableText"/>
              <w:spacing w:before="40" w:after="40"/>
              <w:jc w:val="right"/>
            </w:pPr>
            <w:r w:rsidRPr="003B7FF7" w:rsidDel="00B824D6">
              <w:t>1.0</w:t>
            </w:r>
          </w:p>
        </w:tc>
        <w:tc>
          <w:tcPr>
            <w:tcW w:w="926" w:type="dxa"/>
            <w:shd w:val="clear" w:color="auto" w:fill="auto"/>
            <w:tcMar>
              <w:top w:w="0" w:type="dxa"/>
              <w:left w:w="85" w:type="dxa"/>
              <w:bottom w:w="0" w:type="dxa"/>
              <w:right w:w="85" w:type="dxa"/>
            </w:tcMar>
          </w:tcPr>
          <w:p w14:paraId="04CBECCD" w14:textId="77777777" w:rsidR="00BB3E1E" w:rsidRPr="003B7FF7" w:rsidRDefault="00BB3E1E" w:rsidP="00BB1EAB">
            <w:pPr>
              <w:pStyle w:val="TableText"/>
              <w:spacing w:before="40" w:after="40"/>
              <w:jc w:val="right"/>
            </w:pPr>
            <w:r w:rsidRPr="003B7FF7" w:rsidDel="00B824D6">
              <w:t>85.7</w:t>
            </w:r>
          </w:p>
        </w:tc>
      </w:tr>
      <w:tr w:rsidR="00BB3E1E" w:rsidRPr="003B7FF7" w14:paraId="4C277508" w14:textId="77777777" w:rsidTr="00BB1EAB">
        <w:trPr>
          <w:cantSplit/>
        </w:trPr>
        <w:tc>
          <w:tcPr>
            <w:tcW w:w="0" w:type="auto"/>
            <w:shd w:val="clear" w:color="auto" w:fill="auto"/>
            <w:tcMar>
              <w:top w:w="0" w:type="dxa"/>
              <w:left w:w="85" w:type="dxa"/>
              <w:bottom w:w="0" w:type="dxa"/>
              <w:right w:w="85" w:type="dxa"/>
            </w:tcMar>
          </w:tcPr>
          <w:p w14:paraId="505CB085" w14:textId="77777777" w:rsidR="00BB3E1E" w:rsidRPr="003B7FF7" w:rsidRDefault="00BB3E1E" w:rsidP="00BB1EAB">
            <w:pPr>
              <w:pStyle w:val="TableText"/>
              <w:spacing w:before="40" w:after="40"/>
            </w:pPr>
            <w:r w:rsidRPr="003B7FF7" w:rsidDel="00B824D6">
              <w:t>3.D.2.1</w:t>
            </w:r>
          </w:p>
        </w:tc>
        <w:tc>
          <w:tcPr>
            <w:tcW w:w="3695" w:type="dxa"/>
            <w:shd w:val="clear" w:color="auto" w:fill="auto"/>
            <w:tcMar>
              <w:top w:w="0" w:type="dxa"/>
              <w:left w:w="85" w:type="dxa"/>
              <w:bottom w:w="0" w:type="dxa"/>
              <w:right w:w="85" w:type="dxa"/>
            </w:tcMar>
          </w:tcPr>
          <w:p w14:paraId="0EECB5C3" w14:textId="77777777" w:rsidR="00BB3E1E" w:rsidRPr="003B7FF7" w:rsidRDefault="00BB3E1E" w:rsidP="00BB1EAB">
            <w:pPr>
              <w:pStyle w:val="TableText"/>
              <w:spacing w:before="40" w:after="40"/>
            </w:pPr>
            <w:r w:rsidRPr="003B7FF7">
              <w:t>Indirect N</w:t>
            </w:r>
            <w:r w:rsidRPr="003B7FF7">
              <w:rPr>
                <w:vertAlign w:val="subscript"/>
              </w:rPr>
              <w:t>2</w:t>
            </w:r>
            <w:r w:rsidRPr="003B7FF7">
              <w:t>O Emissions from</w:t>
            </w:r>
            <w:r w:rsidRPr="003B7FF7" w:rsidDel="00B824D6">
              <w:t xml:space="preserve"> Managed Soils – Atmospheric Deposition</w:t>
            </w:r>
          </w:p>
        </w:tc>
        <w:tc>
          <w:tcPr>
            <w:tcW w:w="511" w:type="dxa"/>
            <w:shd w:val="clear" w:color="auto" w:fill="auto"/>
            <w:tcMar>
              <w:top w:w="0" w:type="dxa"/>
              <w:left w:w="85" w:type="dxa"/>
              <w:bottom w:w="0" w:type="dxa"/>
              <w:right w:w="85" w:type="dxa"/>
            </w:tcMar>
          </w:tcPr>
          <w:p w14:paraId="2A05AC58" w14:textId="77777777" w:rsidR="00BB3E1E" w:rsidRPr="003B7FF7" w:rsidRDefault="00BB3E1E" w:rsidP="00BB1EAB">
            <w:pPr>
              <w:pStyle w:val="TableText"/>
              <w:spacing w:before="40" w:after="40"/>
            </w:pPr>
            <w:r w:rsidRPr="003B7FF7" w:rsidDel="00B824D6">
              <w:t>N</w:t>
            </w:r>
            <w:r w:rsidRPr="003B7FF7" w:rsidDel="00B824D6">
              <w:rPr>
                <w:vertAlign w:val="subscript"/>
              </w:rPr>
              <w:t>2</w:t>
            </w:r>
            <w:r w:rsidRPr="003B7FF7" w:rsidDel="00B824D6">
              <w:t>O</w:t>
            </w:r>
          </w:p>
        </w:tc>
        <w:tc>
          <w:tcPr>
            <w:tcW w:w="1474" w:type="dxa"/>
            <w:shd w:val="clear" w:color="auto" w:fill="auto"/>
            <w:tcMar>
              <w:top w:w="0" w:type="dxa"/>
              <w:left w:w="85" w:type="dxa"/>
              <w:bottom w:w="0" w:type="dxa"/>
              <w:right w:w="85" w:type="dxa"/>
            </w:tcMar>
          </w:tcPr>
          <w:p w14:paraId="36B16FC8" w14:textId="77777777" w:rsidR="00BB3E1E" w:rsidRPr="003B7FF7" w:rsidRDefault="00BB3E1E" w:rsidP="00BB1EAB">
            <w:pPr>
              <w:pStyle w:val="TableText"/>
              <w:spacing w:before="40" w:after="40"/>
              <w:jc w:val="right"/>
            </w:pPr>
            <w:r w:rsidRPr="003B7FF7" w:rsidDel="00B824D6">
              <w:t>925.2</w:t>
            </w:r>
          </w:p>
        </w:tc>
        <w:tc>
          <w:tcPr>
            <w:tcW w:w="944" w:type="dxa"/>
            <w:shd w:val="clear" w:color="auto" w:fill="auto"/>
            <w:tcMar>
              <w:top w:w="0" w:type="dxa"/>
              <w:left w:w="85" w:type="dxa"/>
              <w:bottom w:w="0" w:type="dxa"/>
              <w:right w:w="85" w:type="dxa"/>
            </w:tcMar>
          </w:tcPr>
          <w:p w14:paraId="501A0DE4" w14:textId="77777777" w:rsidR="00BB3E1E" w:rsidRPr="003B7FF7" w:rsidRDefault="00BB3E1E" w:rsidP="00BB1EAB">
            <w:pPr>
              <w:pStyle w:val="TableText"/>
              <w:spacing w:before="40" w:after="40"/>
              <w:jc w:val="right"/>
            </w:pPr>
            <w:r w:rsidRPr="003B7FF7" w:rsidDel="00B824D6">
              <w:t>0.8</w:t>
            </w:r>
          </w:p>
        </w:tc>
        <w:tc>
          <w:tcPr>
            <w:tcW w:w="926" w:type="dxa"/>
            <w:shd w:val="clear" w:color="auto" w:fill="auto"/>
            <w:tcMar>
              <w:top w:w="0" w:type="dxa"/>
              <w:left w:w="85" w:type="dxa"/>
              <w:bottom w:w="0" w:type="dxa"/>
              <w:right w:w="85" w:type="dxa"/>
            </w:tcMar>
          </w:tcPr>
          <w:p w14:paraId="1293D38D" w14:textId="77777777" w:rsidR="00BB3E1E" w:rsidRPr="003B7FF7" w:rsidRDefault="00BB3E1E" w:rsidP="00BB1EAB">
            <w:pPr>
              <w:pStyle w:val="TableText"/>
              <w:spacing w:before="40" w:after="40"/>
              <w:jc w:val="right"/>
            </w:pPr>
            <w:r w:rsidRPr="003B7FF7" w:rsidDel="00B824D6">
              <w:t>86.6</w:t>
            </w:r>
          </w:p>
        </w:tc>
      </w:tr>
      <w:tr w:rsidR="00BB3E1E" w:rsidRPr="003B7FF7" w14:paraId="346951CE" w14:textId="77777777" w:rsidTr="00BB1EAB">
        <w:trPr>
          <w:cantSplit/>
        </w:trPr>
        <w:tc>
          <w:tcPr>
            <w:tcW w:w="0" w:type="auto"/>
            <w:shd w:val="clear" w:color="auto" w:fill="auto"/>
            <w:tcMar>
              <w:top w:w="0" w:type="dxa"/>
              <w:left w:w="85" w:type="dxa"/>
              <w:bottom w:w="0" w:type="dxa"/>
              <w:right w:w="85" w:type="dxa"/>
            </w:tcMar>
          </w:tcPr>
          <w:p w14:paraId="20C17F36" w14:textId="77777777" w:rsidR="00BB3E1E" w:rsidRPr="003B7FF7" w:rsidRDefault="00BB3E1E" w:rsidP="00BB1EAB">
            <w:pPr>
              <w:pStyle w:val="TableText"/>
              <w:spacing w:before="40" w:after="40"/>
            </w:pPr>
            <w:r w:rsidRPr="003B7FF7" w:rsidDel="00B824D6">
              <w:t>1.A.4.a</w:t>
            </w:r>
          </w:p>
        </w:tc>
        <w:tc>
          <w:tcPr>
            <w:tcW w:w="3695" w:type="dxa"/>
            <w:shd w:val="clear" w:color="auto" w:fill="auto"/>
            <w:tcMar>
              <w:top w:w="0" w:type="dxa"/>
              <w:left w:w="85" w:type="dxa"/>
              <w:bottom w:w="0" w:type="dxa"/>
              <w:right w:w="85" w:type="dxa"/>
            </w:tcMar>
          </w:tcPr>
          <w:p w14:paraId="3A3A0326" w14:textId="77777777" w:rsidR="00BB3E1E" w:rsidRPr="003B7FF7" w:rsidRDefault="00BB3E1E" w:rsidP="00BB1EAB">
            <w:pPr>
              <w:pStyle w:val="TableText"/>
              <w:spacing w:before="40" w:after="40"/>
            </w:pPr>
            <w:r w:rsidRPr="003B7FF7" w:rsidDel="00B824D6">
              <w:t>Other Sectors – Commercial/Institutional Liquid Fuels</w:t>
            </w:r>
          </w:p>
        </w:tc>
        <w:tc>
          <w:tcPr>
            <w:tcW w:w="511" w:type="dxa"/>
            <w:shd w:val="clear" w:color="auto" w:fill="auto"/>
            <w:tcMar>
              <w:top w:w="0" w:type="dxa"/>
              <w:left w:w="85" w:type="dxa"/>
              <w:bottom w:w="0" w:type="dxa"/>
              <w:right w:w="85" w:type="dxa"/>
            </w:tcMar>
          </w:tcPr>
          <w:p w14:paraId="5E979C0C"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794A70FE" w14:textId="77777777" w:rsidR="00BB3E1E" w:rsidRPr="003B7FF7" w:rsidRDefault="00BB3E1E" w:rsidP="00BB1EAB">
            <w:pPr>
              <w:pStyle w:val="TableText"/>
              <w:spacing w:before="40" w:after="40"/>
              <w:jc w:val="right"/>
            </w:pPr>
            <w:r w:rsidRPr="003B7FF7" w:rsidDel="00B824D6">
              <w:t>707.9</w:t>
            </w:r>
          </w:p>
        </w:tc>
        <w:tc>
          <w:tcPr>
            <w:tcW w:w="944" w:type="dxa"/>
            <w:shd w:val="clear" w:color="auto" w:fill="auto"/>
            <w:tcMar>
              <w:top w:w="0" w:type="dxa"/>
              <w:left w:w="85" w:type="dxa"/>
              <w:bottom w:w="0" w:type="dxa"/>
              <w:right w:w="85" w:type="dxa"/>
            </w:tcMar>
          </w:tcPr>
          <w:p w14:paraId="37DDAB0C" w14:textId="77777777" w:rsidR="00BB3E1E" w:rsidRPr="003B7FF7" w:rsidRDefault="00BB3E1E" w:rsidP="00BB1EAB">
            <w:pPr>
              <w:pStyle w:val="TableText"/>
              <w:spacing w:before="40" w:after="40"/>
              <w:jc w:val="right"/>
            </w:pPr>
            <w:r w:rsidRPr="003B7FF7" w:rsidDel="00B824D6">
              <w:t>0.6</w:t>
            </w:r>
          </w:p>
        </w:tc>
        <w:tc>
          <w:tcPr>
            <w:tcW w:w="926" w:type="dxa"/>
            <w:shd w:val="clear" w:color="auto" w:fill="auto"/>
            <w:tcMar>
              <w:top w:w="0" w:type="dxa"/>
              <w:left w:w="85" w:type="dxa"/>
              <w:bottom w:w="0" w:type="dxa"/>
              <w:right w:w="85" w:type="dxa"/>
            </w:tcMar>
          </w:tcPr>
          <w:p w14:paraId="4DF7BF0E" w14:textId="77777777" w:rsidR="00BB3E1E" w:rsidRPr="003B7FF7" w:rsidRDefault="00BB3E1E" w:rsidP="00BB1EAB">
            <w:pPr>
              <w:pStyle w:val="TableText"/>
              <w:spacing w:before="40" w:after="40"/>
              <w:jc w:val="right"/>
            </w:pPr>
            <w:r w:rsidRPr="003B7FF7" w:rsidDel="00B824D6">
              <w:t>87.2</w:t>
            </w:r>
          </w:p>
        </w:tc>
      </w:tr>
      <w:tr w:rsidR="00BB3E1E" w:rsidRPr="003B7FF7" w14:paraId="733A3613" w14:textId="77777777" w:rsidTr="00BB1EAB">
        <w:trPr>
          <w:cantSplit/>
        </w:trPr>
        <w:tc>
          <w:tcPr>
            <w:tcW w:w="0" w:type="auto"/>
            <w:shd w:val="clear" w:color="auto" w:fill="auto"/>
            <w:tcMar>
              <w:top w:w="0" w:type="dxa"/>
              <w:left w:w="85" w:type="dxa"/>
              <w:bottom w:w="0" w:type="dxa"/>
              <w:right w:w="85" w:type="dxa"/>
            </w:tcMar>
          </w:tcPr>
          <w:p w14:paraId="47741DE2" w14:textId="77777777" w:rsidR="00BB3E1E" w:rsidRPr="003B7FF7" w:rsidRDefault="00BB3E1E" w:rsidP="00BB1EAB">
            <w:pPr>
              <w:pStyle w:val="TableText"/>
              <w:spacing w:before="40" w:after="40"/>
            </w:pPr>
            <w:r w:rsidRPr="003B7FF7" w:rsidDel="00B824D6">
              <w:t>1.A.3.a</w:t>
            </w:r>
          </w:p>
        </w:tc>
        <w:tc>
          <w:tcPr>
            <w:tcW w:w="3695" w:type="dxa"/>
            <w:shd w:val="clear" w:color="auto" w:fill="auto"/>
            <w:tcMar>
              <w:top w:w="0" w:type="dxa"/>
              <w:left w:w="85" w:type="dxa"/>
              <w:bottom w:w="0" w:type="dxa"/>
              <w:right w:w="85" w:type="dxa"/>
            </w:tcMar>
          </w:tcPr>
          <w:p w14:paraId="4CAB3CF8" w14:textId="77777777" w:rsidR="00BB3E1E" w:rsidRPr="003B7FF7" w:rsidRDefault="00BB3E1E" w:rsidP="00BB1EAB">
            <w:pPr>
              <w:pStyle w:val="TableText"/>
              <w:spacing w:before="40" w:after="40"/>
            </w:pPr>
            <w:r w:rsidRPr="003B7FF7" w:rsidDel="00B824D6">
              <w:t>Domestic Aviation – Jet Kerosene</w:t>
            </w:r>
          </w:p>
        </w:tc>
        <w:tc>
          <w:tcPr>
            <w:tcW w:w="511" w:type="dxa"/>
            <w:shd w:val="clear" w:color="auto" w:fill="auto"/>
            <w:tcMar>
              <w:top w:w="0" w:type="dxa"/>
              <w:left w:w="85" w:type="dxa"/>
              <w:bottom w:w="0" w:type="dxa"/>
              <w:right w:w="85" w:type="dxa"/>
            </w:tcMar>
          </w:tcPr>
          <w:p w14:paraId="604ED613"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4B778AE4" w14:textId="77777777" w:rsidR="00BB3E1E" w:rsidRPr="003B7FF7" w:rsidRDefault="00BB3E1E" w:rsidP="00BB1EAB">
            <w:pPr>
              <w:pStyle w:val="TableText"/>
              <w:spacing w:before="40" w:after="40"/>
              <w:jc w:val="right"/>
            </w:pPr>
            <w:r w:rsidRPr="003B7FF7" w:rsidDel="00B824D6">
              <w:t>681.4</w:t>
            </w:r>
          </w:p>
        </w:tc>
        <w:tc>
          <w:tcPr>
            <w:tcW w:w="944" w:type="dxa"/>
            <w:shd w:val="clear" w:color="auto" w:fill="auto"/>
            <w:tcMar>
              <w:top w:w="0" w:type="dxa"/>
              <w:left w:w="85" w:type="dxa"/>
              <w:bottom w:w="0" w:type="dxa"/>
              <w:right w:w="85" w:type="dxa"/>
            </w:tcMar>
          </w:tcPr>
          <w:p w14:paraId="44182D90" w14:textId="77777777" w:rsidR="00BB3E1E" w:rsidRPr="003B7FF7" w:rsidRDefault="00BB3E1E" w:rsidP="00BB1EAB">
            <w:pPr>
              <w:pStyle w:val="TableText"/>
              <w:spacing w:before="40" w:after="40"/>
              <w:jc w:val="right"/>
            </w:pPr>
            <w:r w:rsidRPr="003B7FF7" w:rsidDel="00B824D6">
              <w:t>0.6</w:t>
            </w:r>
          </w:p>
        </w:tc>
        <w:tc>
          <w:tcPr>
            <w:tcW w:w="926" w:type="dxa"/>
            <w:shd w:val="clear" w:color="auto" w:fill="auto"/>
            <w:tcMar>
              <w:top w:w="0" w:type="dxa"/>
              <w:left w:w="85" w:type="dxa"/>
              <w:bottom w:w="0" w:type="dxa"/>
              <w:right w:w="85" w:type="dxa"/>
            </w:tcMar>
          </w:tcPr>
          <w:p w14:paraId="6E98B3E4" w14:textId="77777777" w:rsidR="00BB3E1E" w:rsidRPr="003B7FF7" w:rsidRDefault="00BB3E1E" w:rsidP="00BB1EAB">
            <w:pPr>
              <w:pStyle w:val="TableText"/>
              <w:spacing w:before="40" w:after="40"/>
              <w:jc w:val="right"/>
            </w:pPr>
            <w:r w:rsidRPr="003B7FF7" w:rsidDel="00B824D6">
              <w:t>87.8</w:t>
            </w:r>
          </w:p>
        </w:tc>
      </w:tr>
      <w:tr w:rsidR="00BB3E1E" w:rsidRPr="003B7FF7" w14:paraId="27F5FCB7" w14:textId="77777777" w:rsidTr="00BB1EAB">
        <w:trPr>
          <w:cantSplit/>
        </w:trPr>
        <w:tc>
          <w:tcPr>
            <w:tcW w:w="0" w:type="auto"/>
            <w:shd w:val="clear" w:color="auto" w:fill="auto"/>
            <w:tcMar>
              <w:top w:w="0" w:type="dxa"/>
              <w:left w:w="85" w:type="dxa"/>
              <w:bottom w:w="0" w:type="dxa"/>
              <w:right w:w="85" w:type="dxa"/>
            </w:tcMar>
          </w:tcPr>
          <w:p w14:paraId="1B3967AC" w14:textId="77777777" w:rsidR="00BB3E1E" w:rsidRPr="003B7FF7" w:rsidRDefault="00BB3E1E" w:rsidP="00BB1EAB">
            <w:pPr>
              <w:pStyle w:val="TableText"/>
              <w:spacing w:before="40" w:after="40"/>
            </w:pPr>
            <w:r w:rsidRPr="003B7FF7" w:rsidDel="00B824D6">
              <w:t>3.D.1.6</w:t>
            </w:r>
          </w:p>
        </w:tc>
        <w:tc>
          <w:tcPr>
            <w:tcW w:w="3695" w:type="dxa"/>
            <w:shd w:val="clear" w:color="auto" w:fill="auto"/>
            <w:tcMar>
              <w:top w:w="0" w:type="dxa"/>
              <w:left w:w="85" w:type="dxa"/>
              <w:bottom w:w="0" w:type="dxa"/>
              <w:right w:w="85" w:type="dxa"/>
            </w:tcMar>
          </w:tcPr>
          <w:p w14:paraId="044AF333" w14:textId="77777777" w:rsidR="00BB3E1E" w:rsidRPr="003B7FF7" w:rsidRDefault="00BB3E1E" w:rsidP="00BB1EAB">
            <w:pPr>
              <w:pStyle w:val="TableText"/>
              <w:spacing w:before="40" w:after="40"/>
            </w:pPr>
            <w:r w:rsidRPr="003B7FF7">
              <w:t>Direct N</w:t>
            </w:r>
            <w:r w:rsidRPr="003B7FF7">
              <w:rPr>
                <w:vertAlign w:val="subscript"/>
              </w:rPr>
              <w:t>2</w:t>
            </w:r>
            <w:r w:rsidRPr="003B7FF7">
              <w:t>O Emissions from</w:t>
            </w:r>
            <w:r w:rsidRPr="003B7FF7" w:rsidDel="00B824D6">
              <w:t xml:space="preserve"> Managed Soils – Cultivation of Organic Soils</w:t>
            </w:r>
          </w:p>
        </w:tc>
        <w:tc>
          <w:tcPr>
            <w:tcW w:w="511" w:type="dxa"/>
            <w:shd w:val="clear" w:color="auto" w:fill="auto"/>
            <w:tcMar>
              <w:top w:w="0" w:type="dxa"/>
              <w:left w:w="85" w:type="dxa"/>
              <w:bottom w:w="0" w:type="dxa"/>
              <w:right w:w="85" w:type="dxa"/>
            </w:tcMar>
          </w:tcPr>
          <w:p w14:paraId="4A60AA78" w14:textId="77777777" w:rsidR="00BB3E1E" w:rsidRPr="003B7FF7" w:rsidRDefault="00BB3E1E" w:rsidP="00BB1EAB">
            <w:pPr>
              <w:pStyle w:val="TableText"/>
              <w:spacing w:before="40" w:after="40"/>
            </w:pPr>
            <w:r w:rsidRPr="003B7FF7" w:rsidDel="00B824D6">
              <w:t>N</w:t>
            </w:r>
            <w:r w:rsidRPr="003B7FF7" w:rsidDel="00B824D6">
              <w:rPr>
                <w:vertAlign w:val="subscript"/>
              </w:rPr>
              <w:t>2</w:t>
            </w:r>
            <w:r w:rsidRPr="003B7FF7" w:rsidDel="00B824D6">
              <w:t>O</w:t>
            </w:r>
          </w:p>
        </w:tc>
        <w:tc>
          <w:tcPr>
            <w:tcW w:w="1474" w:type="dxa"/>
            <w:shd w:val="clear" w:color="auto" w:fill="auto"/>
            <w:tcMar>
              <w:top w:w="0" w:type="dxa"/>
              <w:left w:w="85" w:type="dxa"/>
              <w:bottom w:w="0" w:type="dxa"/>
              <w:right w:w="85" w:type="dxa"/>
            </w:tcMar>
          </w:tcPr>
          <w:p w14:paraId="7978873F" w14:textId="77777777" w:rsidR="00BB3E1E" w:rsidRPr="003B7FF7" w:rsidRDefault="00BB3E1E" w:rsidP="00BB1EAB">
            <w:pPr>
              <w:pStyle w:val="TableText"/>
              <w:spacing w:before="40" w:after="40"/>
              <w:jc w:val="right"/>
            </w:pPr>
            <w:r w:rsidRPr="003B7FF7" w:rsidDel="00B824D6">
              <w:t>667.6</w:t>
            </w:r>
          </w:p>
        </w:tc>
        <w:tc>
          <w:tcPr>
            <w:tcW w:w="944" w:type="dxa"/>
            <w:shd w:val="clear" w:color="auto" w:fill="auto"/>
            <w:tcMar>
              <w:top w:w="0" w:type="dxa"/>
              <w:left w:w="85" w:type="dxa"/>
              <w:bottom w:w="0" w:type="dxa"/>
              <w:right w:w="85" w:type="dxa"/>
            </w:tcMar>
          </w:tcPr>
          <w:p w14:paraId="1FE96AEF" w14:textId="77777777" w:rsidR="00BB3E1E" w:rsidRPr="003B7FF7" w:rsidRDefault="00BB3E1E" w:rsidP="00BB1EAB">
            <w:pPr>
              <w:pStyle w:val="TableText"/>
              <w:spacing w:before="40" w:after="40"/>
              <w:jc w:val="right"/>
            </w:pPr>
            <w:r w:rsidRPr="003B7FF7" w:rsidDel="00B824D6">
              <w:t>0.6</w:t>
            </w:r>
          </w:p>
        </w:tc>
        <w:tc>
          <w:tcPr>
            <w:tcW w:w="926" w:type="dxa"/>
            <w:shd w:val="clear" w:color="auto" w:fill="auto"/>
            <w:tcMar>
              <w:top w:w="0" w:type="dxa"/>
              <w:left w:w="85" w:type="dxa"/>
              <w:bottom w:w="0" w:type="dxa"/>
              <w:right w:w="85" w:type="dxa"/>
            </w:tcMar>
          </w:tcPr>
          <w:p w14:paraId="58B80DCB" w14:textId="77777777" w:rsidR="00BB3E1E" w:rsidRPr="003B7FF7" w:rsidRDefault="00BB3E1E" w:rsidP="00BB1EAB">
            <w:pPr>
              <w:pStyle w:val="TableText"/>
              <w:spacing w:before="40" w:after="40"/>
              <w:jc w:val="right"/>
            </w:pPr>
            <w:r w:rsidRPr="003B7FF7" w:rsidDel="00B824D6">
              <w:t>88.4</w:t>
            </w:r>
          </w:p>
        </w:tc>
      </w:tr>
      <w:tr w:rsidR="00BB3E1E" w:rsidRPr="003B7FF7" w14:paraId="0A72C6D7" w14:textId="77777777" w:rsidTr="00BB1EAB">
        <w:trPr>
          <w:cantSplit/>
        </w:trPr>
        <w:tc>
          <w:tcPr>
            <w:tcW w:w="0" w:type="auto"/>
            <w:shd w:val="clear" w:color="auto" w:fill="auto"/>
            <w:tcMar>
              <w:top w:w="0" w:type="dxa"/>
              <w:left w:w="85" w:type="dxa"/>
              <w:bottom w:w="0" w:type="dxa"/>
              <w:right w:w="85" w:type="dxa"/>
            </w:tcMar>
          </w:tcPr>
          <w:p w14:paraId="22ECB566" w14:textId="77777777" w:rsidR="00BB3E1E" w:rsidRPr="003B7FF7" w:rsidRDefault="00BB3E1E" w:rsidP="00BB1EAB">
            <w:pPr>
              <w:pStyle w:val="TableText"/>
              <w:spacing w:before="40" w:after="40"/>
            </w:pPr>
            <w:r w:rsidRPr="003B7FF7" w:rsidDel="00B824D6">
              <w:t>2.C.3</w:t>
            </w:r>
          </w:p>
        </w:tc>
        <w:tc>
          <w:tcPr>
            <w:tcW w:w="3695" w:type="dxa"/>
            <w:shd w:val="clear" w:color="auto" w:fill="auto"/>
            <w:tcMar>
              <w:top w:w="0" w:type="dxa"/>
              <w:left w:w="85" w:type="dxa"/>
              <w:bottom w:w="0" w:type="dxa"/>
              <w:right w:w="85" w:type="dxa"/>
            </w:tcMar>
          </w:tcPr>
          <w:p w14:paraId="6DF7D761" w14:textId="77777777" w:rsidR="00BB3E1E" w:rsidRPr="003B7FF7" w:rsidRDefault="00BB3E1E" w:rsidP="00BB1EAB">
            <w:pPr>
              <w:pStyle w:val="TableText"/>
              <w:spacing w:before="40" w:after="40"/>
            </w:pPr>
            <w:r w:rsidRPr="003B7FF7" w:rsidDel="00B824D6">
              <w:t>Metal Industry – Aluminium Production</w:t>
            </w:r>
          </w:p>
        </w:tc>
        <w:tc>
          <w:tcPr>
            <w:tcW w:w="511" w:type="dxa"/>
            <w:shd w:val="clear" w:color="auto" w:fill="auto"/>
            <w:tcMar>
              <w:top w:w="0" w:type="dxa"/>
              <w:left w:w="85" w:type="dxa"/>
              <w:bottom w:w="0" w:type="dxa"/>
              <w:right w:w="85" w:type="dxa"/>
            </w:tcMar>
          </w:tcPr>
          <w:p w14:paraId="580E8F76"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41A27902" w14:textId="77777777" w:rsidR="00BB3E1E" w:rsidRPr="003B7FF7" w:rsidRDefault="00BB3E1E" w:rsidP="00BB1EAB">
            <w:pPr>
              <w:pStyle w:val="TableText"/>
              <w:spacing w:before="40" w:after="40"/>
              <w:jc w:val="right"/>
            </w:pPr>
            <w:r w:rsidRPr="003B7FF7" w:rsidDel="00B824D6">
              <w:t>549.2</w:t>
            </w:r>
          </w:p>
        </w:tc>
        <w:tc>
          <w:tcPr>
            <w:tcW w:w="944" w:type="dxa"/>
            <w:shd w:val="clear" w:color="auto" w:fill="auto"/>
            <w:tcMar>
              <w:top w:w="0" w:type="dxa"/>
              <w:left w:w="85" w:type="dxa"/>
              <w:bottom w:w="0" w:type="dxa"/>
              <w:right w:w="85" w:type="dxa"/>
            </w:tcMar>
          </w:tcPr>
          <w:p w14:paraId="11092516" w14:textId="77777777" w:rsidR="00BB3E1E" w:rsidRPr="003B7FF7" w:rsidRDefault="00BB3E1E" w:rsidP="00BB1EAB">
            <w:pPr>
              <w:pStyle w:val="TableText"/>
              <w:spacing w:before="40" w:after="40"/>
              <w:jc w:val="right"/>
            </w:pPr>
            <w:r w:rsidRPr="003B7FF7" w:rsidDel="00B824D6">
              <w:t>0.5</w:t>
            </w:r>
          </w:p>
        </w:tc>
        <w:tc>
          <w:tcPr>
            <w:tcW w:w="926" w:type="dxa"/>
            <w:shd w:val="clear" w:color="auto" w:fill="auto"/>
            <w:tcMar>
              <w:top w:w="0" w:type="dxa"/>
              <w:left w:w="85" w:type="dxa"/>
              <w:bottom w:w="0" w:type="dxa"/>
              <w:right w:w="85" w:type="dxa"/>
            </w:tcMar>
          </w:tcPr>
          <w:p w14:paraId="26E06AED" w14:textId="77777777" w:rsidR="00BB3E1E" w:rsidRPr="003B7FF7" w:rsidRDefault="00BB3E1E" w:rsidP="00BB1EAB">
            <w:pPr>
              <w:pStyle w:val="TableText"/>
              <w:spacing w:before="40" w:after="40"/>
              <w:jc w:val="right"/>
            </w:pPr>
            <w:r w:rsidRPr="003B7FF7" w:rsidDel="00B824D6">
              <w:t>88.9</w:t>
            </w:r>
          </w:p>
        </w:tc>
      </w:tr>
      <w:tr w:rsidR="00BB3E1E" w:rsidRPr="003B7FF7" w14:paraId="64360197" w14:textId="77777777" w:rsidTr="00BB1EAB">
        <w:trPr>
          <w:cantSplit/>
        </w:trPr>
        <w:tc>
          <w:tcPr>
            <w:tcW w:w="0" w:type="auto"/>
            <w:shd w:val="clear" w:color="auto" w:fill="auto"/>
            <w:tcMar>
              <w:top w:w="0" w:type="dxa"/>
              <w:left w:w="85" w:type="dxa"/>
              <w:bottom w:w="0" w:type="dxa"/>
              <w:right w:w="85" w:type="dxa"/>
            </w:tcMar>
          </w:tcPr>
          <w:p w14:paraId="7042D72E" w14:textId="77777777" w:rsidR="00BB3E1E" w:rsidRPr="003B7FF7" w:rsidRDefault="00BB3E1E" w:rsidP="00BB1EAB">
            <w:pPr>
              <w:pStyle w:val="TableText"/>
              <w:spacing w:before="40" w:after="40"/>
            </w:pPr>
            <w:r w:rsidRPr="003B7FF7" w:rsidDel="00B824D6">
              <w:t>1.A.1.b</w:t>
            </w:r>
          </w:p>
        </w:tc>
        <w:tc>
          <w:tcPr>
            <w:tcW w:w="3695" w:type="dxa"/>
            <w:shd w:val="clear" w:color="auto" w:fill="auto"/>
            <w:tcMar>
              <w:top w:w="0" w:type="dxa"/>
              <w:left w:w="85" w:type="dxa"/>
              <w:bottom w:w="0" w:type="dxa"/>
              <w:right w:w="85" w:type="dxa"/>
            </w:tcMar>
          </w:tcPr>
          <w:p w14:paraId="4F45FEF0" w14:textId="77777777" w:rsidR="00BB3E1E" w:rsidRPr="003B7FF7" w:rsidRDefault="00BB3E1E" w:rsidP="00BB1EAB">
            <w:pPr>
              <w:pStyle w:val="TableText"/>
              <w:spacing w:before="40" w:after="40"/>
            </w:pPr>
            <w:r w:rsidRPr="003B7FF7" w:rsidDel="00B824D6">
              <w:t>Energy Industries – Petroleum Refining Liquid Fuels</w:t>
            </w:r>
          </w:p>
        </w:tc>
        <w:tc>
          <w:tcPr>
            <w:tcW w:w="511" w:type="dxa"/>
            <w:shd w:val="clear" w:color="auto" w:fill="auto"/>
            <w:tcMar>
              <w:top w:w="0" w:type="dxa"/>
              <w:left w:w="85" w:type="dxa"/>
              <w:bottom w:w="0" w:type="dxa"/>
              <w:right w:w="85" w:type="dxa"/>
            </w:tcMar>
          </w:tcPr>
          <w:p w14:paraId="4B522783"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29C29CC4" w14:textId="77777777" w:rsidR="00BB3E1E" w:rsidRPr="003B7FF7" w:rsidRDefault="00BB3E1E" w:rsidP="00BB1EAB">
            <w:pPr>
              <w:pStyle w:val="TableText"/>
              <w:spacing w:before="40" w:after="40"/>
              <w:jc w:val="right"/>
            </w:pPr>
            <w:r w:rsidRPr="003B7FF7" w:rsidDel="00B824D6">
              <w:t>543.8</w:t>
            </w:r>
          </w:p>
        </w:tc>
        <w:tc>
          <w:tcPr>
            <w:tcW w:w="944" w:type="dxa"/>
            <w:shd w:val="clear" w:color="auto" w:fill="auto"/>
            <w:tcMar>
              <w:top w:w="0" w:type="dxa"/>
              <w:left w:w="85" w:type="dxa"/>
              <w:bottom w:w="0" w:type="dxa"/>
              <w:right w:w="85" w:type="dxa"/>
            </w:tcMar>
          </w:tcPr>
          <w:p w14:paraId="2A04CC51" w14:textId="77777777" w:rsidR="00BB3E1E" w:rsidRPr="003B7FF7" w:rsidRDefault="00BB3E1E" w:rsidP="00BB1EAB">
            <w:pPr>
              <w:pStyle w:val="TableText"/>
              <w:spacing w:before="40" w:after="40"/>
              <w:jc w:val="right"/>
            </w:pPr>
            <w:r w:rsidRPr="003B7FF7" w:rsidDel="00B824D6">
              <w:t>0.5</w:t>
            </w:r>
          </w:p>
        </w:tc>
        <w:tc>
          <w:tcPr>
            <w:tcW w:w="926" w:type="dxa"/>
            <w:shd w:val="clear" w:color="auto" w:fill="auto"/>
            <w:tcMar>
              <w:top w:w="0" w:type="dxa"/>
              <w:left w:w="85" w:type="dxa"/>
              <w:bottom w:w="0" w:type="dxa"/>
              <w:right w:w="85" w:type="dxa"/>
            </w:tcMar>
          </w:tcPr>
          <w:p w14:paraId="151F1359" w14:textId="77777777" w:rsidR="00BB3E1E" w:rsidRPr="003B7FF7" w:rsidRDefault="00BB3E1E" w:rsidP="00BB1EAB">
            <w:pPr>
              <w:pStyle w:val="TableText"/>
              <w:spacing w:before="40" w:after="40"/>
              <w:jc w:val="right"/>
            </w:pPr>
            <w:r w:rsidRPr="003B7FF7" w:rsidDel="00B824D6">
              <w:t>89.4</w:t>
            </w:r>
          </w:p>
        </w:tc>
      </w:tr>
      <w:tr w:rsidR="00BB3E1E" w:rsidRPr="003B7FF7" w14:paraId="759BEA5F" w14:textId="77777777" w:rsidTr="00BB1EAB">
        <w:trPr>
          <w:cantSplit/>
        </w:trPr>
        <w:tc>
          <w:tcPr>
            <w:tcW w:w="0" w:type="auto"/>
            <w:shd w:val="clear" w:color="auto" w:fill="auto"/>
            <w:tcMar>
              <w:top w:w="0" w:type="dxa"/>
              <w:left w:w="85" w:type="dxa"/>
              <w:bottom w:w="0" w:type="dxa"/>
              <w:right w:w="85" w:type="dxa"/>
            </w:tcMar>
          </w:tcPr>
          <w:p w14:paraId="06E7E9E8" w14:textId="77777777" w:rsidR="00BB3E1E" w:rsidRPr="003B7FF7" w:rsidRDefault="00BB3E1E" w:rsidP="00BB1EAB">
            <w:pPr>
              <w:pStyle w:val="TableText"/>
              <w:spacing w:before="40" w:after="40"/>
            </w:pPr>
            <w:r w:rsidRPr="003B7FF7" w:rsidDel="00B824D6">
              <w:t>3.H</w:t>
            </w:r>
          </w:p>
        </w:tc>
        <w:tc>
          <w:tcPr>
            <w:tcW w:w="3695" w:type="dxa"/>
            <w:shd w:val="clear" w:color="auto" w:fill="auto"/>
            <w:tcMar>
              <w:top w:w="0" w:type="dxa"/>
              <w:left w:w="85" w:type="dxa"/>
              <w:bottom w:w="0" w:type="dxa"/>
              <w:right w:w="85" w:type="dxa"/>
            </w:tcMar>
          </w:tcPr>
          <w:p w14:paraId="0A0519EA" w14:textId="77777777" w:rsidR="00BB3E1E" w:rsidRPr="003B7FF7" w:rsidRDefault="00BB3E1E" w:rsidP="00BB1EAB">
            <w:pPr>
              <w:pStyle w:val="TableText"/>
              <w:spacing w:before="40" w:after="40"/>
            </w:pPr>
            <w:r w:rsidRPr="003B7FF7" w:rsidDel="00B824D6">
              <w:t>Agriculture – Urea Application</w:t>
            </w:r>
          </w:p>
        </w:tc>
        <w:tc>
          <w:tcPr>
            <w:tcW w:w="511" w:type="dxa"/>
            <w:shd w:val="clear" w:color="auto" w:fill="auto"/>
            <w:tcMar>
              <w:top w:w="0" w:type="dxa"/>
              <w:left w:w="85" w:type="dxa"/>
              <w:bottom w:w="0" w:type="dxa"/>
              <w:right w:w="85" w:type="dxa"/>
            </w:tcMar>
          </w:tcPr>
          <w:p w14:paraId="00BFD511"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5A5DA359" w14:textId="77777777" w:rsidR="00BB3E1E" w:rsidRPr="003B7FF7" w:rsidRDefault="00BB3E1E" w:rsidP="00BB1EAB">
            <w:pPr>
              <w:pStyle w:val="TableText"/>
              <w:spacing w:before="40" w:after="40"/>
              <w:jc w:val="right"/>
            </w:pPr>
            <w:r w:rsidRPr="003B7FF7" w:rsidDel="00B824D6">
              <w:t>542.0</w:t>
            </w:r>
          </w:p>
        </w:tc>
        <w:tc>
          <w:tcPr>
            <w:tcW w:w="944" w:type="dxa"/>
            <w:shd w:val="clear" w:color="auto" w:fill="auto"/>
            <w:tcMar>
              <w:top w:w="0" w:type="dxa"/>
              <w:left w:w="85" w:type="dxa"/>
              <w:bottom w:w="0" w:type="dxa"/>
              <w:right w:w="85" w:type="dxa"/>
            </w:tcMar>
          </w:tcPr>
          <w:p w14:paraId="555073AF" w14:textId="77777777" w:rsidR="00BB3E1E" w:rsidRPr="003B7FF7" w:rsidRDefault="00BB3E1E" w:rsidP="00BB1EAB">
            <w:pPr>
              <w:pStyle w:val="TableText"/>
              <w:spacing w:before="40" w:after="40"/>
              <w:jc w:val="right"/>
            </w:pPr>
            <w:r w:rsidRPr="003B7FF7" w:rsidDel="00B824D6">
              <w:t>0.5</w:t>
            </w:r>
          </w:p>
        </w:tc>
        <w:tc>
          <w:tcPr>
            <w:tcW w:w="926" w:type="dxa"/>
            <w:shd w:val="clear" w:color="auto" w:fill="auto"/>
            <w:tcMar>
              <w:top w:w="0" w:type="dxa"/>
              <w:left w:w="85" w:type="dxa"/>
              <w:bottom w:w="0" w:type="dxa"/>
              <w:right w:w="85" w:type="dxa"/>
            </w:tcMar>
          </w:tcPr>
          <w:p w14:paraId="0A72EA87" w14:textId="77777777" w:rsidR="00BB3E1E" w:rsidRPr="003B7FF7" w:rsidRDefault="00BB3E1E" w:rsidP="00BB1EAB">
            <w:pPr>
              <w:pStyle w:val="TableText"/>
              <w:spacing w:before="40" w:after="40"/>
              <w:jc w:val="right"/>
            </w:pPr>
            <w:r w:rsidRPr="003B7FF7" w:rsidDel="00B824D6">
              <w:t>89.9</w:t>
            </w:r>
          </w:p>
        </w:tc>
      </w:tr>
      <w:tr w:rsidR="00BB3E1E" w:rsidRPr="003B7FF7" w14:paraId="2A0F66FE" w14:textId="77777777" w:rsidTr="00BB1EAB">
        <w:trPr>
          <w:cantSplit/>
        </w:trPr>
        <w:tc>
          <w:tcPr>
            <w:tcW w:w="0" w:type="auto"/>
            <w:shd w:val="clear" w:color="auto" w:fill="auto"/>
            <w:tcMar>
              <w:top w:w="0" w:type="dxa"/>
              <w:left w:w="85" w:type="dxa"/>
              <w:bottom w:w="0" w:type="dxa"/>
              <w:right w:w="85" w:type="dxa"/>
            </w:tcMar>
          </w:tcPr>
          <w:p w14:paraId="797B3A97" w14:textId="77777777" w:rsidR="00BB3E1E" w:rsidRPr="003B7FF7" w:rsidRDefault="00BB3E1E" w:rsidP="00BB1EAB">
            <w:pPr>
              <w:pStyle w:val="TableText"/>
              <w:spacing w:before="40" w:after="40"/>
            </w:pPr>
            <w:r w:rsidRPr="003B7FF7" w:rsidDel="00B824D6">
              <w:t>3.D.2.2</w:t>
            </w:r>
          </w:p>
        </w:tc>
        <w:tc>
          <w:tcPr>
            <w:tcW w:w="3695" w:type="dxa"/>
            <w:shd w:val="clear" w:color="auto" w:fill="auto"/>
            <w:tcMar>
              <w:top w:w="0" w:type="dxa"/>
              <w:left w:w="85" w:type="dxa"/>
              <w:bottom w:w="0" w:type="dxa"/>
              <w:right w:w="85" w:type="dxa"/>
            </w:tcMar>
          </w:tcPr>
          <w:p w14:paraId="0783AB45" w14:textId="77777777" w:rsidR="00BB3E1E" w:rsidRPr="003B7FF7" w:rsidRDefault="00BB3E1E" w:rsidP="00BB1EAB">
            <w:pPr>
              <w:pStyle w:val="TableText"/>
              <w:spacing w:before="40" w:after="40"/>
            </w:pPr>
            <w:r w:rsidRPr="003B7FF7">
              <w:t>Indirect N</w:t>
            </w:r>
            <w:r w:rsidRPr="003B7FF7">
              <w:rPr>
                <w:vertAlign w:val="subscript"/>
              </w:rPr>
              <w:t>2</w:t>
            </w:r>
            <w:r w:rsidRPr="003B7FF7">
              <w:t>O Emissions from</w:t>
            </w:r>
            <w:r w:rsidRPr="003B7FF7" w:rsidDel="00B824D6">
              <w:t xml:space="preserve"> Managed Soils – Nitrogen Leaching and Run-off</w:t>
            </w:r>
          </w:p>
        </w:tc>
        <w:tc>
          <w:tcPr>
            <w:tcW w:w="511" w:type="dxa"/>
            <w:shd w:val="clear" w:color="auto" w:fill="auto"/>
            <w:tcMar>
              <w:top w:w="0" w:type="dxa"/>
              <w:left w:w="85" w:type="dxa"/>
              <w:bottom w:w="0" w:type="dxa"/>
              <w:right w:w="85" w:type="dxa"/>
            </w:tcMar>
          </w:tcPr>
          <w:p w14:paraId="614E25A5" w14:textId="77777777" w:rsidR="00BB3E1E" w:rsidRPr="003B7FF7" w:rsidRDefault="00BB3E1E" w:rsidP="00BB1EAB">
            <w:pPr>
              <w:pStyle w:val="TableText"/>
              <w:spacing w:before="40" w:after="40"/>
            </w:pPr>
            <w:r w:rsidRPr="003B7FF7" w:rsidDel="00B824D6">
              <w:t>N</w:t>
            </w:r>
            <w:r w:rsidRPr="003B7FF7" w:rsidDel="00B824D6">
              <w:rPr>
                <w:vertAlign w:val="subscript"/>
              </w:rPr>
              <w:t>2</w:t>
            </w:r>
            <w:r w:rsidRPr="003B7FF7" w:rsidDel="00B824D6">
              <w:t>O</w:t>
            </w:r>
          </w:p>
        </w:tc>
        <w:tc>
          <w:tcPr>
            <w:tcW w:w="1474" w:type="dxa"/>
            <w:shd w:val="clear" w:color="auto" w:fill="auto"/>
            <w:tcMar>
              <w:top w:w="0" w:type="dxa"/>
              <w:left w:w="85" w:type="dxa"/>
              <w:bottom w:w="0" w:type="dxa"/>
              <w:right w:w="85" w:type="dxa"/>
            </w:tcMar>
          </w:tcPr>
          <w:p w14:paraId="0E0711E5" w14:textId="77777777" w:rsidR="00BB3E1E" w:rsidRPr="003B7FF7" w:rsidRDefault="00BB3E1E" w:rsidP="00BB1EAB">
            <w:pPr>
              <w:pStyle w:val="TableText"/>
              <w:spacing w:before="40" w:after="40"/>
              <w:jc w:val="right"/>
            </w:pPr>
            <w:r w:rsidRPr="003B7FF7" w:rsidDel="00B824D6">
              <w:t>516.9</w:t>
            </w:r>
          </w:p>
        </w:tc>
        <w:tc>
          <w:tcPr>
            <w:tcW w:w="944" w:type="dxa"/>
            <w:shd w:val="clear" w:color="auto" w:fill="auto"/>
            <w:tcMar>
              <w:top w:w="0" w:type="dxa"/>
              <w:left w:w="85" w:type="dxa"/>
              <w:bottom w:w="0" w:type="dxa"/>
              <w:right w:w="85" w:type="dxa"/>
            </w:tcMar>
          </w:tcPr>
          <w:p w14:paraId="404647B2" w14:textId="77777777" w:rsidR="00BB3E1E" w:rsidRPr="003B7FF7" w:rsidRDefault="00BB3E1E" w:rsidP="00BB1EAB">
            <w:pPr>
              <w:pStyle w:val="TableText"/>
              <w:spacing w:before="40" w:after="40"/>
              <w:jc w:val="right"/>
            </w:pPr>
            <w:r w:rsidRPr="003B7FF7" w:rsidDel="00B824D6">
              <w:t>0.5</w:t>
            </w:r>
          </w:p>
        </w:tc>
        <w:tc>
          <w:tcPr>
            <w:tcW w:w="926" w:type="dxa"/>
            <w:shd w:val="clear" w:color="auto" w:fill="auto"/>
            <w:tcMar>
              <w:top w:w="0" w:type="dxa"/>
              <w:left w:w="85" w:type="dxa"/>
              <w:bottom w:w="0" w:type="dxa"/>
              <w:right w:w="85" w:type="dxa"/>
            </w:tcMar>
          </w:tcPr>
          <w:p w14:paraId="633958C5" w14:textId="77777777" w:rsidR="00BB3E1E" w:rsidRPr="003B7FF7" w:rsidRDefault="00BB3E1E" w:rsidP="00BB1EAB">
            <w:pPr>
              <w:pStyle w:val="TableText"/>
              <w:spacing w:before="40" w:after="40"/>
              <w:jc w:val="right"/>
            </w:pPr>
            <w:r w:rsidRPr="003B7FF7" w:rsidDel="00B824D6">
              <w:t>90.4</w:t>
            </w:r>
          </w:p>
        </w:tc>
      </w:tr>
      <w:tr w:rsidR="00BB3E1E" w:rsidRPr="003B7FF7" w14:paraId="61E7F0F1" w14:textId="77777777" w:rsidTr="00BB1EAB">
        <w:trPr>
          <w:cantSplit/>
        </w:trPr>
        <w:tc>
          <w:tcPr>
            <w:tcW w:w="0" w:type="auto"/>
            <w:shd w:val="clear" w:color="auto" w:fill="auto"/>
            <w:tcMar>
              <w:top w:w="0" w:type="dxa"/>
              <w:left w:w="85" w:type="dxa"/>
              <w:bottom w:w="0" w:type="dxa"/>
              <w:right w:w="85" w:type="dxa"/>
            </w:tcMar>
          </w:tcPr>
          <w:p w14:paraId="2BEEE78E" w14:textId="77777777" w:rsidR="00BB3E1E" w:rsidRPr="003B7FF7" w:rsidRDefault="00BB3E1E" w:rsidP="00BB1EAB">
            <w:pPr>
              <w:pStyle w:val="TableText"/>
              <w:spacing w:before="40" w:after="40"/>
            </w:pPr>
            <w:r w:rsidRPr="003B7FF7" w:rsidDel="00B824D6">
              <w:t>3.A.4</w:t>
            </w:r>
          </w:p>
        </w:tc>
        <w:tc>
          <w:tcPr>
            <w:tcW w:w="3695" w:type="dxa"/>
            <w:shd w:val="clear" w:color="auto" w:fill="auto"/>
            <w:tcMar>
              <w:top w:w="0" w:type="dxa"/>
              <w:left w:w="85" w:type="dxa"/>
              <w:bottom w:w="0" w:type="dxa"/>
              <w:right w:w="85" w:type="dxa"/>
            </w:tcMar>
          </w:tcPr>
          <w:p w14:paraId="0735FECB" w14:textId="77777777" w:rsidR="00BB3E1E" w:rsidRPr="003B7FF7" w:rsidRDefault="00BB3E1E" w:rsidP="00BB1EAB">
            <w:pPr>
              <w:pStyle w:val="TableText"/>
              <w:spacing w:before="40" w:after="40"/>
            </w:pPr>
            <w:r w:rsidRPr="003B7FF7" w:rsidDel="00B824D6">
              <w:t xml:space="preserve">Other </w:t>
            </w:r>
            <w:r w:rsidRPr="003B7FF7">
              <w:t>L</w:t>
            </w:r>
            <w:r w:rsidRPr="003B7FF7" w:rsidDel="00B824D6">
              <w:t>ivestock – Deer</w:t>
            </w:r>
          </w:p>
        </w:tc>
        <w:tc>
          <w:tcPr>
            <w:tcW w:w="511" w:type="dxa"/>
            <w:shd w:val="clear" w:color="auto" w:fill="auto"/>
            <w:tcMar>
              <w:top w:w="0" w:type="dxa"/>
              <w:left w:w="85" w:type="dxa"/>
              <w:bottom w:w="0" w:type="dxa"/>
              <w:right w:w="85" w:type="dxa"/>
            </w:tcMar>
          </w:tcPr>
          <w:p w14:paraId="3D7C5ACF" w14:textId="77777777" w:rsidR="00BB3E1E" w:rsidRPr="003B7FF7" w:rsidRDefault="00BB3E1E" w:rsidP="00BB1EAB">
            <w:pPr>
              <w:pStyle w:val="TableText"/>
              <w:spacing w:before="40" w:after="40"/>
            </w:pPr>
            <w:r w:rsidRPr="003B7FF7" w:rsidDel="00B824D6">
              <w:t>CH</w:t>
            </w:r>
            <w:r w:rsidRPr="003B7FF7" w:rsidDel="00B824D6">
              <w:rPr>
                <w:vertAlign w:val="subscript"/>
              </w:rPr>
              <w:t>4</w:t>
            </w:r>
          </w:p>
        </w:tc>
        <w:tc>
          <w:tcPr>
            <w:tcW w:w="1474" w:type="dxa"/>
            <w:shd w:val="clear" w:color="auto" w:fill="auto"/>
            <w:tcMar>
              <w:top w:w="0" w:type="dxa"/>
              <w:left w:w="85" w:type="dxa"/>
              <w:bottom w:w="0" w:type="dxa"/>
              <w:right w:w="85" w:type="dxa"/>
            </w:tcMar>
          </w:tcPr>
          <w:p w14:paraId="66B47F5A" w14:textId="77777777" w:rsidR="00BB3E1E" w:rsidRPr="003B7FF7" w:rsidRDefault="00BB3E1E" w:rsidP="00BB1EAB">
            <w:pPr>
              <w:pStyle w:val="TableText"/>
              <w:spacing w:before="40" w:after="40"/>
              <w:jc w:val="right"/>
            </w:pPr>
            <w:r w:rsidRPr="003B7FF7" w:rsidDel="00B824D6">
              <w:t>497.6</w:t>
            </w:r>
          </w:p>
        </w:tc>
        <w:tc>
          <w:tcPr>
            <w:tcW w:w="944" w:type="dxa"/>
            <w:shd w:val="clear" w:color="auto" w:fill="auto"/>
            <w:tcMar>
              <w:top w:w="0" w:type="dxa"/>
              <w:left w:w="85" w:type="dxa"/>
              <w:bottom w:w="0" w:type="dxa"/>
              <w:right w:w="85" w:type="dxa"/>
            </w:tcMar>
          </w:tcPr>
          <w:p w14:paraId="35869CD4" w14:textId="77777777" w:rsidR="00BB3E1E" w:rsidRPr="003B7FF7" w:rsidRDefault="00BB3E1E" w:rsidP="00BB1EAB">
            <w:pPr>
              <w:pStyle w:val="TableText"/>
              <w:spacing w:before="40" w:after="40"/>
              <w:jc w:val="right"/>
            </w:pPr>
            <w:r w:rsidRPr="003B7FF7" w:rsidDel="00B824D6">
              <w:t>0.5</w:t>
            </w:r>
          </w:p>
        </w:tc>
        <w:tc>
          <w:tcPr>
            <w:tcW w:w="926" w:type="dxa"/>
            <w:shd w:val="clear" w:color="auto" w:fill="auto"/>
            <w:tcMar>
              <w:top w:w="0" w:type="dxa"/>
              <w:left w:w="85" w:type="dxa"/>
              <w:bottom w:w="0" w:type="dxa"/>
              <w:right w:w="85" w:type="dxa"/>
            </w:tcMar>
          </w:tcPr>
          <w:p w14:paraId="083B3188" w14:textId="77777777" w:rsidR="00BB3E1E" w:rsidRPr="003B7FF7" w:rsidRDefault="00BB3E1E" w:rsidP="00BB1EAB">
            <w:pPr>
              <w:pStyle w:val="TableText"/>
              <w:spacing w:before="40" w:after="40"/>
              <w:jc w:val="right"/>
            </w:pPr>
            <w:r w:rsidRPr="003B7FF7" w:rsidDel="00B824D6">
              <w:t>90.9</w:t>
            </w:r>
          </w:p>
        </w:tc>
      </w:tr>
      <w:tr w:rsidR="00BB3E1E" w:rsidRPr="003B7FF7" w14:paraId="064588B2" w14:textId="77777777" w:rsidTr="00BB1EAB">
        <w:trPr>
          <w:cantSplit/>
        </w:trPr>
        <w:tc>
          <w:tcPr>
            <w:tcW w:w="0" w:type="auto"/>
            <w:shd w:val="clear" w:color="auto" w:fill="auto"/>
            <w:tcMar>
              <w:top w:w="0" w:type="dxa"/>
              <w:left w:w="85" w:type="dxa"/>
              <w:bottom w:w="0" w:type="dxa"/>
              <w:right w:w="85" w:type="dxa"/>
            </w:tcMar>
          </w:tcPr>
          <w:p w14:paraId="1A1332C8" w14:textId="77777777" w:rsidR="00BB3E1E" w:rsidRPr="003B7FF7" w:rsidRDefault="00BB3E1E" w:rsidP="00BB1EAB">
            <w:pPr>
              <w:pStyle w:val="TableText"/>
              <w:spacing w:before="40" w:after="40"/>
            </w:pPr>
            <w:r w:rsidRPr="003B7FF7" w:rsidDel="00B824D6">
              <w:t>1.B.2.d</w:t>
            </w:r>
          </w:p>
        </w:tc>
        <w:tc>
          <w:tcPr>
            <w:tcW w:w="3695" w:type="dxa"/>
            <w:shd w:val="clear" w:color="auto" w:fill="auto"/>
            <w:tcMar>
              <w:top w:w="0" w:type="dxa"/>
              <w:left w:w="85" w:type="dxa"/>
              <w:bottom w:w="0" w:type="dxa"/>
              <w:right w:w="85" w:type="dxa"/>
            </w:tcMar>
          </w:tcPr>
          <w:p w14:paraId="6D8FE557" w14:textId="77777777" w:rsidR="00BB3E1E" w:rsidRPr="003B7FF7" w:rsidRDefault="00BB3E1E" w:rsidP="00BB1EAB">
            <w:pPr>
              <w:pStyle w:val="TableText"/>
              <w:spacing w:before="40" w:after="40"/>
            </w:pPr>
            <w:r w:rsidRPr="003B7FF7" w:rsidDel="00B824D6">
              <w:t>Other (please specify) – Geothermal</w:t>
            </w:r>
          </w:p>
        </w:tc>
        <w:tc>
          <w:tcPr>
            <w:tcW w:w="511" w:type="dxa"/>
            <w:shd w:val="clear" w:color="auto" w:fill="auto"/>
            <w:tcMar>
              <w:top w:w="0" w:type="dxa"/>
              <w:left w:w="85" w:type="dxa"/>
              <w:bottom w:w="0" w:type="dxa"/>
              <w:right w:w="85" w:type="dxa"/>
            </w:tcMar>
          </w:tcPr>
          <w:p w14:paraId="445E2DC5"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6C0EBF72" w14:textId="77777777" w:rsidR="00BB3E1E" w:rsidRPr="003B7FF7" w:rsidRDefault="00BB3E1E" w:rsidP="00BB1EAB">
            <w:pPr>
              <w:pStyle w:val="TableText"/>
              <w:spacing w:before="40" w:after="40"/>
              <w:jc w:val="right"/>
            </w:pPr>
            <w:r w:rsidRPr="003B7FF7" w:rsidDel="00B824D6">
              <w:t>449.7</w:t>
            </w:r>
          </w:p>
        </w:tc>
        <w:tc>
          <w:tcPr>
            <w:tcW w:w="944" w:type="dxa"/>
            <w:shd w:val="clear" w:color="auto" w:fill="auto"/>
            <w:tcMar>
              <w:top w:w="0" w:type="dxa"/>
              <w:left w:w="85" w:type="dxa"/>
              <w:bottom w:w="0" w:type="dxa"/>
              <w:right w:w="85" w:type="dxa"/>
            </w:tcMar>
          </w:tcPr>
          <w:p w14:paraId="0CD3734D" w14:textId="77777777" w:rsidR="00BB3E1E" w:rsidRPr="003B7FF7" w:rsidRDefault="00BB3E1E" w:rsidP="00BB1EAB">
            <w:pPr>
              <w:pStyle w:val="TableText"/>
              <w:spacing w:before="40" w:after="40"/>
              <w:jc w:val="right"/>
            </w:pPr>
            <w:r w:rsidRPr="003B7FF7" w:rsidDel="00B824D6">
              <w:t>0.4</w:t>
            </w:r>
          </w:p>
        </w:tc>
        <w:tc>
          <w:tcPr>
            <w:tcW w:w="926" w:type="dxa"/>
            <w:shd w:val="clear" w:color="auto" w:fill="auto"/>
            <w:tcMar>
              <w:top w:w="0" w:type="dxa"/>
              <w:left w:w="85" w:type="dxa"/>
              <w:bottom w:w="0" w:type="dxa"/>
              <w:right w:w="85" w:type="dxa"/>
            </w:tcMar>
          </w:tcPr>
          <w:p w14:paraId="26FB0041" w14:textId="77777777" w:rsidR="00BB3E1E" w:rsidRPr="003B7FF7" w:rsidRDefault="00BB3E1E" w:rsidP="00BB1EAB">
            <w:pPr>
              <w:pStyle w:val="TableText"/>
              <w:spacing w:before="40" w:after="40"/>
              <w:jc w:val="right"/>
            </w:pPr>
            <w:r w:rsidRPr="003B7FF7" w:rsidDel="00B824D6">
              <w:t>91.3</w:t>
            </w:r>
          </w:p>
        </w:tc>
      </w:tr>
      <w:tr w:rsidR="00BB3E1E" w:rsidRPr="003B7FF7" w14:paraId="62525411" w14:textId="77777777" w:rsidTr="00BB1EAB">
        <w:trPr>
          <w:cantSplit/>
        </w:trPr>
        <w:tc>
          <w:tcPr>
            <w:tcW w:w="0" w:type="auto"/>
            <w:shd w:val="clear" w:color="auto" w:fill="auto"/>
            <w:tcMar>
              <w:top w:w="0" w:type="dxa"/>
              <w:left w:w="85" w:type="dxa"/>
              <w:bottom w:w="0" w:type="dxa"/>
              <w:right w:w="85" w:type="dxa"/>
            </w:tcMar>
          </w:tcPr>
          <w:p w14:paraId="3499C84A" w14:textId="77777777" w:rsidR="00BB3E1E" w:rsidRPr="003B7FF7" w:rsidRDefault="00BB3E1E" w:rsidP="00BB1EAB">
            <w:pPr>
              <w:pStyle w:val="TableText"/>
              <w:spacing w:before="40" w:after="40"/>
            </w:pPr>
            <w:r w:rsidRPr="003B7FF7" w:rsidDel="00B824D6">
              <w:t>1.A.2.g.v</w:t>
            </w:r>
          </w:p>
        </w:tc>
        <w:tc>
          <w:tcPr>
            <w:tcW w:w="3695" w:type="dxa"/>
            <w:shd w:val="clear" w:color="auto" w:fill="auto"/>
            <w:tcMar>
              <w:top w:w="0" w:type="dxa"/>
              <w:left w:w="85" w:type="dxa"/>
              <w:bottom w:w="0" w:type="dxa"/>
              <w:right w:w="85" w:type="dxa"/>
            </w:tcMar>
          </w:tcPr>
          <w:p w14:paraId="0AA59E7F" w14:textId="77777777" w:rsidR="00BB3E1E" w:rsidRPr="003B7FF7" w:rsidRDefault="00BB3E1E" w:rsidP="00BB1EAB">
            <w:pPr>
              <w:pStyle w:val="TableText"/>
              <w:spacing w:before="40" w:after="40"/>
            </w:pPr>
            <w:r w:rsidRPr="003B7FF7" w:rsidDel="00B824D6">
              <w:t>Other (please specify) – Construction</w:t>
            </w:r>
          </w:p>
        </w:tc>
        <w:tc>
          <w:tcPr>
            <w:tcW w:w="511" w:type="dxa"/>
            <w:shd w:val="clear" w:color="auto" w:fill="auto"/>
            <w:tcMar>
              <w:top w:w="0" w:type="dxa"/>
              <w:left w:w="85" w:type="dxa"/>
              <w:bottom w:w="0" w:type="dxa"/>
              <w:right w:w="85" w:type="dxa"/>
            </w:tcMar>
          </w:tcPr>
          <w:p w14:paraId="0EBE18ED"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2DCEE4B6" w14:textId="77777777" w:rsidR="00BB3E1E" w:rsidRPr="003B7FF7" w:rsidRDefault="00BB3E1E" w:rsidP="00BB1EAB">
            <w:pPr>
              <w:pStyle w:val="TableText"/>
              <w:spacing w:before="40" w:after="40"/>
              <w:jc w:val="right"/>
            </w:pPr>
            <w:r w:rsidRPr="003B7FF7" w:rsidDel="00B824D6">
              <w:t>446.9</w:t>
            </w:r>
          </w:p>
        </w:tc>
        <w:tc>
          <w:tcPr>
            <w:tcW w:w="944" w:type="dxa"/>
            <w:shd w:val="clear" w:color="auto" w:fill="auto"/>
            <w:tcMar>
              <w:top w:w="0" w:type="dxa"/>
              <w:left w:w="85" w:type="dxa"/>
              <w:bottom w:w="0" w:type="dxa"/>
              <w:right w:w="85" w:type="dxa"/>
            </w:tcMar>
          </w:tcPr>
          <w:p w14:paraId="7528DED3" w14:textId="77777777" w:rsidR="00BB3E1E" w:rsidRPr="003B7FF7" w:rsidRDefault="00BB3E1E" w:rsidP="00BB1EAB">
            <w:pPr>
              <w:pStyle w:val="TableText"/>
              <w:spacing w:before="40" w:after="40"/>
              <w:jc w:val="right"/>
            </w:pPr>
            <w:r w:rsidRPr="003B7FF7" w:rsidDel="00B824D6">
              <w:t>0.4</w:t>
            </w:r>
          </w:p>
        </w:tc>
        <w:tc>
          <w:tcPr>
            <w:tcW w:w="926" w:type="dxa"/>
            <w:shd w:val="clear" w:color="auto" w:fill="auto"/>
            <w:tcMar>
              <w:top w:w="0" w:type="dxa"/>
              <w:left w:w="85" w:type="dxa"/>
              <w:bottom w:w="0" w:type="dxa"/>
              <w:right w:w="85" w:type="dxa"/>
            </w:tcMar>
          </w:tcPr>
          <w:p w14:paraId="3BF93425" w14:textId="77777777" w:rsidR="00BB3E1E" w:rsidRPr="003B7FF7" w:rsidRDefault="00BB3E1E" w:rsidP="00BB1EAB">
            <w:pPr>
              <w:pStyle w:val="TableText"/>
              <w:spacing w:before="40" w:after="40"/>
              <w:jc w:val="right"/>
            </w:pPr>
            <w:r w:rsidRPr="003B7FF7" w:rsidDel="00B824D6">
              <w:t>91.7</w:t>
            </w:r>
          </w:p>
        </w:tc>
      </w:tr>
      <w:tr w:rsidR="00BB3E1E" w:rsidRPr="003B7FF7" w14:paraId="341EAD3D" w14:textId="77777777" w:rsidTr="00BB1EAB">
        <w:trPr>
          <w:cantSplit/>
        </w:trPr>
        <w:tc>
          <w:tcPr>
            <w:tcW w:w="0" w:type="auto"/>
            <w:shd w:val="clear" w:color="auto" w:fill="auto"/>
            <w:tcMar>
              <w:top w:w="0" w:type="dxa"/>
              <w:left w:w="85" w:type="dxa"/>
              <w:bottom w:w="0" w:type="dxa"/>
              <w:right w:w="85" w:type="dxa"/>
            </w:tcMar>
          </w:tcPr>
          <w:p w14:paraId="0B700E35" w14:textId="77777777" w:rsidR="00BB3E1E" w:rsidRPr="003B7FF7" w:rsidRDefault="00BB3E1E" w:rsidP="00BB1EAB">
            <w:pPr>
              <w:pStyle w:val="TableText"/>
              <w:spacing w:before="40" w:after="40"/>
            </w:pPr>
            <w:r w:rsidRPr="003B7FF7" w:rsidDel="00B824D6">
              <w:t>1.A.4.a</w:t>
            </w:r>
          </w:p>
        </w:tc>
        <w:tc>
          <w:tcPr>
            <w:tcW w:w="3695" w:type="dxa"/>
            <w:shd w:val="clear" w:color="auto" w:fill="auto"/>
            <w:tcMar>
              <w:top w:w="0" w:type="dxa"/>
              <w:left w:w="85" w:type="dxa"/>
              <w:bottom w:w="0" w:type="dxa"/>
              <w:right w:w="85" w:type="dxa"/>
            </w:tcMar>
          </w:tcPr>
          <w:p w14:paraId="64DDCEA9" w14:textId="77777777" w:rsidR="00BB3E1E" w:rsidRPr="003B7FF7" w:rsidRDefault="00BB3E1E" w:rsidP="00BB1EAB">
            <w:pPr>
              <w:pStyle w:val="TableText"/>
              <w:spacing w:before="40" w:after="40"/>
            </w:pPr>
            <w:r w:rsidRPr="003B7FF7" w:rsidDel="00B824D6">
              <w:t>Other Sectors – Commercial/Institutional Gaseous Fuels</w:t>
            </w:r>
          </w:p>
        </w:tc>
        <w:tc>
          <w:tcPr>
            <w:tcW w:w="511" w:type="dxa"/>
            <w:shd w:val="clear" w:color="auto" w:fill="auto"/>
            <w:tcMar>
              <w:top w:w="0" w:type="dxa"/>
              <w:left w:w="85" w:type="dxa"/>
              <w:bottom w:w="0" w:type="dxa"/>
              <w:right w:w="85" w:type="dxa"/>
            </w:tcMar>
          </w:tcPr>
          <w:p w14:paraId="2C4E0735"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48773F9D" w14:textId="77777777" w:rsidR="00BB3E1E" w:rsidRPr="003B7FF7" w:rsidRDefault="00BB3E1E" w:rsidP="00BB1EAB">
            <w:pPr>
              <w:pStyle w:val="TableText"/>
              <w:spacing w:before="40" w:after="40"/>
              <w:jc w:val="right"/>
            </w:pPr>
            <w:r w:rsidRPr="003B7FF7" w:rsidDel="00B824D6">
              <w:t>426.6</w:t>
            </w:r>
          </w:p>
        </w:tc>
        <w:tc>
          <w:tcPr>
            <w:tcW w:w="944" w:type="dxa"/>
            <w:shd w:val="clear" w:color="auto" w:fill="auto"/>
            <w:tcMar>
              <w:top w:w="0" w:type="dxa"/>
              <w:left w:w="85" w:type="dxa"/>
              <w:bottom w:w="0" w:type="dxa"/>
              <w:right w:w="85" w:type="dxa"/>
            </w:tcMar>
          </w:tcPr>
          <w:p w14:paraId="21D04F31" w14:textId="77777777" w:rsidR="00BB3E1E" w:rsidRPr="003B7FF7" w:rsidRDefault="00BB3E1E" w:rsidP="00BB1EAB">
            <w:pPr>
              <w:pStyle w:val="TableText"/>
              <w:spacing w:before="40" w:after="40"/>
              <w:jc w:val="right"/>
            </w:pPr>
            <w:r w:rsidRPr="003B7FF7" w:rsidDel="00B824D6">
              <w:t>0.4</w:t>
            </w:r>
          </w:p>
        </w:tc>
        <w:tc>
          <w:tcPr>
            <w:tcW w:w="926" w:type="dxa"/>
            <w:shd w:val="clear" w:color="auto" w:fill="auto"/>
            <w:tcMar>
              <w:top w:w="0" w:type="dxa"/>
              <w:left w:w="85" w:type="dxa"/>
              <w:bottom w:w="0" w:type="dxa"/>
              <w:right w:w="85" w:type="dxa"/>
            </w:tcMar>
          </w:tcPr>
          <w:p w14:paraId="4F7AC685" w14:textId="77777777" w:rsidR="00BB3E1E" w:rsidRPr="003B7FF7" w:rsidRDefault="00BB3E1E" w:rsidP="00BB1EAB">
            <w:pPr>
              <w:pStyle w:val="TableText"/>
              <w:spacing w:before="40" w:after="40"/>
              <w:jc w:val="right"/>
            </w:pPr>
            <w:r w:rsidRPr="003B7FF7" w:rsidDel="00B824D6">
              <w:t>92.1</w:t>
            </w:r>
          </w:p>
        </w:tc>
      </w:tr>
      <w:tr w:rsidR="00BB3E1E" w:rsidRPr="003B7FF7" w14:paraId="326214FD" w14:textId="77777777" w:rsidTr="00BB1EAB">
        <w:trPr>
          <w:cantSplit/>
        </w:trPr>
        <w:tc>
          <w:tcPr>
            <w:tcW w:w="0" w:type="auto"/>
            <w:shd w:val="clear" w:color="auto" w:fill="auto"/>
            <w:tcMar>
              <w:top w:w="0" w:type="dxa"/>
              <w:left w:w="85" w:type="dxa"/>
              <w:bottom w:w="0" w:type="dxa"/>
              <w:right w:w="85" w:type="dxa"/>
            </w:tcMar>
          </w:tcPr>
          <w:p w14:paraId="17E8DD98" w14:textId="77777777" w:rsidR="00BB3E1E" w:rsidRPr="003B7FF7" w:rsidRDefault="00BB3E1E" w:rsidP="00BB1EAB">
            <w:pPr>
              <w:pStyle w:val="TableText"/>
              <w:spacing w:before="40" w:after="40"/>
            </w:pPr>
            <w:r w:rsidRPr="003B7FF7" w:rsidDel="00B824D6">
              <w:t>3.G</w:t>
            </w:r>
          </w:p>
        </w:tc>
        <w:tc>
          <w:tcPr>
            <w:tcW w:w="3695" w:type="dxa"/>
            <w:shd w:val="clear" w:color="auto" w:fill="auto"/>
            <w:tcMar>
              <w:top w:w="0" w:type="dxa"/>
              <w:left w:w="85" w:type="dxa"/>
              <w:bottom w:w="0" w:type="dxa"/>
              <w:right w:w="85" w:type="dxa"/>
            </w:tcMar>
          </w:tcPr>
          <w:p w14:paraId="5B89E14A" w14:textId="77777777" w:rsidR="00BB3E1E" w:rsidRPr="003B7FF7" w:rsidRDefault="00BB3E1E" w:rsidP="00BB1EAB">
            <w:pPr>
              <w:pStyle w:val="TableText"/>
              <w:spacing w:before="40" w:after="40"/>
            </w:pPr>
            <w:r w:rsidRPr="003B7FF7" w:rsidDel="00B824D6">
              <w:t>Agriculture – Liming</w:t>
            </w:r>
          </w:p>
        </w:tc>
        <w:tc>
          <w:tcPr>
            <w:tcW w:w="511" w:type="dxa"/>
            <w:shd w:val="clear" w:color="auto" w:fill="auto"/>
            <w:tcMar>
              <w:top w:w="0" w:type="dxa"/>
              <w:left w:w="85" w:type="dxa"/>
              <w:bottom w:w="0" w:type="dxa"/>
              <w:right w:w="85" w:type="dxa"/>
            </w:tcMar>
          </w:tcPr>
          <w:p w14:paraId="5394C240"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0CED0072" w14:textId="77777777" w:rsidR="00BB3E1E" w:rsidRPr="003B7FF7" w:rsidRDefault="00BB3E1E" w:rsidP="00BB1EAB">
            <w:pPr>
              <w:pStyle w:val="TableText"/>
              <w:spacing w:before="40" w:after="40"/>
              <w:jc w:val="right"/>
            </w:pPr>
            <w:r w:rsidRPr="003B7FF7" w:rsidDel="00B824D6">
              <w:t>409.5</w:t>
            </w:r>
          </w:p>
        </w:tc>
        <w:tc>
          <w:tcPr>
            <w:tcW w:w="944" w:type="dxa"/>
            <w:shd w:val="clear" w:color="auto" w:fill="auto"/>
            <w:tcMar>
              <w:top w:w="0" w:type="dxa"/>
              <w:left w:w="85" w:type="dxa"/>
              <w:bottom w:w="0" w:type="dxa"/>
              <w:right w:w="85" w:type="dxa"/>
            </w:tcMar>
          </w:tcPr>
          <w:p w14:paraId="7B36DE2B" w14:textId="77777777" w:rsidR="00BB3E1E" w:rsidRPr="003B7FF7" w:rsidRDefault="00BB3E1E" w:rsidP="00BB1EAB">
            <w:pPr>
              <w:pStyle w:val="TableText"/>
              <w:spacing w:before="40" w:after="40"/>
              <w:jc w:val="right"/>
            </w:pPr>
            <w:r w:rsidRPr="003B7FF7" w:rsidDel="00B824D6">
              <w:t>0.4</w:t>
            </w:r>
          </w:p>
        </w:tc>
        <w:tc>
          <w:tcPr>
            <w:tcW w:w="926" w:type="dxa"/>
            <w:shd w:val="clear" w:color="auto" w:fill="auto"/>
            <w:tcMar>
              <w:top w:w="0" w:type="dxa"/>
              <w:left w:w="85" w:type="dxa"/>
              <w:bottom w:w="0" w:type="dxa"/>
              <w:right w:w="85" w:type="dxa"/>
            </w:tcMar>
          </w:tcPr>
          <w:p w14:paraId="02F5FFC7" w14:textId="77777777" w:rsidR="00BB3E1E" w:rsidRPr="003B7FF7" w:rsidRDefault="00BB3E1E" w:rsidP="00BB1EAB">
            <w:pPr>
              <w:pStyle w:val="TableText"/>
              <w:spacing w:before="40" w:after="40"/>
              <w:jc w:val="right"/>
            </w:pPr>
            <w:r w:rsidRPr="003B7FF7" w:rsidDel="00B824D6">
              <w:t>92.5</w:t>
            </w:r>
          </w:p>
        </w:tc>
      </w:tr>
      <w:tr w:rsidR="00BB3E1E" w:rsidRPr="003B7FF7" w14:paraId="7D170CEC" w14:textId="77777777" w:rsidTr="00BB1EAB">
        <w:trPr>
          <w:cantSplit/>
        </w:trPr>
        <w:tc>
          <w:tcPr>
            <w:tcW w:w="0" w:type="auto"/>
            <w:shd w:val="clear" w:color="auto" w:fill="auto"/>
            <w:tcMar>
              <w:top w:w="0" w:type="dxa"/>
              <w:left w:w="85" w:type="dxa"/>
              <w:bottom w:w="0" w:type="dxa"/>
              <w:right w:w="85" w:type="dxa"/>
            </w:tcMar>
          </w:tcPr>
          <w:p w14:paraId="77CC0161" w14:textId="77777777" w:rsidR="00BB3E1E" w:rsidRPr="003B7FF7" w:rsidRDefault="00BB3E1E" w:rsidP="00BB1EAB">
            <w:pPr>
              <w:pStyle w:val="TableText"/>
              <w:spacing w:before="40" w:after="40"/>
            </w:pPr>
            <w:r w:rsidRPr="003B7FF7" w:rsidDel="00B824D6">
              <w:t>1.A.4.b</w:t>
            </w:r>
          </w:p>
        </w:tc>
        <w:tc>
          <w:tcPr>
            <w:tcW w:w="3695" w:type="dxa"/>
            <w:shd w:val="clear" w:color="auto" w:fill="auto"/>
            <w:tcMar>
              <w:top w:w="0" w:type="dxa"/>
              <w:left w:w="85" w:type="dxa"/>
              <w:bottom w:w="0" w:type="dxa"/>
              <w:right w:w="85" w:type="dxa"/>
            </w:tcMar>
          </w:tcPr>
          <w:p w14:paraId="685DE46A" w14:textId="77777777" w:rsidR="00BB3E1E" w:rsidRPr="003B7FF7" w:rsidRDefault="00BB3E1E" w:rsidP="00BB1EAB">
            <w:pPr>
              <w:pStyle w:val="TableText"/>
              <w:spacing w:before="40" w:after="40"/>
            </w:pPr>
            <w:r w:rsidRPr="003B7FF7" w:rsidDel="00B824D6">
              <w:t>Other Sectors – Residential Gaseous Fuels</w:t>
            </w:r>
          </w:p>
        </w:tc>
        <w:tc>
          <w:tcPr>
            <w:tcW w:w="511" w:type="dxa"/>
            <w:shd w:val="clear" w:color="auto" w:fill="auto"/>
            <w:tcMar>
              <w:top w:w="0" w:type="dxa"/>
              <w:left w:w="85" w:type="dxa"/>
              <w:bottom w:w="0" w:type="dxa"/>
              <w:right w:w="85" w:type="dxa"/>
            </w:tcMar>
          </w:tcPr>
          <w:p w14:paraId="7510B236"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1C91BD8D" w14:textId="77777777" w:rsidR="00BB3E1E" w:rsidRPr="003B7FF7" w:rsidRDefault="00BB3E1E" w:rsidP="00BB1EAB">
            <w:pPr>
              <w:pStyle w:val="TableText"/>
              <w:spacing w:before="40" w:after="40"/>
              <w:jc w:val="right"/>
            </w:pPr>
            <w:r w:rsidRPr="003B7FF7" w:rsidDel="00B824D6">
              <w:t>388.4</w:t>
            </w:r>
          </w:p>
        </w:tc>
        <w:tc>
          <w:tcPr>
            <w:tcW w:w="944" w:type="dxa"/>
            <w:shd w:val="clear" w:color="auto" w:fill="auto"/>
            <w:tcMar>
              <w:top w:w="0" w:type="dxa"/>
              <w:left w:w="85" w:type="dxa"/>
              <w:bottom w:w="0" w:type="dxa"/>
              <w:right w:w="85" w:type="dxa"/>
            </w:tcMar>
          </w:tcPr>
          <w:p w14:paraId="1E218E7C" w14:textId="77777777" w:rsidR="00BB3E1E" w:rsidRPr="003B7FF7" w:rsidRDefault="00BB3E1E" w:rsidP="00BB1EAB">
            <w:pPr>
              <w:pStyle w:val="TableText"/>
              <w:spacing w:before="40" w:after="40"/>
              <w:jc w:val="right"/>
            </w:pPr>
            <w:r w:rsidRPr="003B7FF7" w:rsidDel="00B824D6">
              <w:t>0.4</w:t>
            </w:r>
          </w:p>
        </w:tc>
        <w:tc>
          <w:tcPr>
            <w:tcW w:w="926" w:type="dxa"/>
            <w:shd w:val="clear" w:color="auto" w:fill="auto"/>
            <w:tcMar>
              <w:top w:w="0" w:type="dxa"/>
              <w:left w:w="85" w:type="dxa"/>
              <w:bottom w:w="0" w:type="dxa"/>
              <w:right w:w="85" w:type="dxa"/>
            </w:tcMar>
          </w:tcPr>
          <w:p w14:paraId="0863F0BC" w14:textId="77777777" w:rsidR="00BB3E1E" w:rsidRPr="003B7FF7" w:rsidRDefault="00BB3E1E" w:rsidP="00BB1EAB">
            <w:pPr>
              <w:pStyle w:val="TableText"/>
              <w:spacing w:before="40" w:after="40"/>
              <w:jc w:val="right"/>
            </w:pPr>
            <w:r w:rsidRPr="003B7FF7" w:rsidDel="00B824D6">
              <w:t>92.8</w:t>
            </w:r>
          </w:p>
        </w:tc>
      </w:tr>
      <w:tr w:rsidR="00BB3E1E" w:rsidRPr="003B7FF7" w14:paraId="36029ED0" w14:textId="77777777" w:rsidTr="00BB1EAB">
        <w:trPr>
          <w:cantSplit/>
        </w:trPr>
        <w:tc>
          <w:tcPr>
            <w:tcW w:w="0" w:type="auto"/>
            <w:shd w:val="clear" w:color="auto" w:fill="auto"/>
            <w:tcMar>
              <w:top w:w="0" w:type="dxa"/>
              <w:left w:w="85" w:type="dxa"/>
              <w:bottom w:w="0" w:type="dxa"/>
              <w:right w:w="85" w:type="dxa"/>
            </w:tcMar>
          </w:tcPr>
          <w:p w14:paraId="7857B583" w14:textId="77777777" w:rsidR="00BB3E1E" w:rsidRPr="003B7FF7" w:rsidRDefault="00BB3E1E" w:rsidP="00BB1EAB">
            <w:pPr>
              <w:pStyle w:val="TableText"/>
              <w:spacing w:before="40" w:after="40"/>
            </w:pPr>
            <w:r w:rsidRPr="003B7FF7" w:rsidDel="00B824D6">
              <w:t>2.A.1</w:t>
            </w:r>
          </w:p>
        </w:tc>
        <w:tc>
          <w:tcPr>
            <w:tcW w:w="3695" w:type="dxa"/>
            <w:shd w:val="clear" w:color="auto" w:fill="auto"/>
            <w:tcMar>
              <w:top w:w="0" w:type="dxa"/>
              <w:left w:w="85" w:type="dxa"/>
              <w:bottom w:w="0" w:type="dxa"/>
              <w:right w:w="85" w:type="dxa"/>
            </w:tcMar>
          </w:tcPr>
          <w:p w14:paraId="57DB657D" w14:textId="77777777" w:rsidR="00BB3E1E" w:rsidRPr="003B7FF7" w:rsidRDefault="00BB3E1E" w:rsidP="00BB1EAB">
            <w:pPr>
              <w:pStyle w:val="TableText"/>
              <w:spacing w:before="40" w:after="40"/>
            </w:pPr>
            <w:r w:rsidRPr="003B7FF7" w:rsidDel="00B824D6">
              <w:t>Mineral Industry – Cement Production</w:t>
            </w:r>
          </w:p>
        </w:tc>
        <w:tc>
          <w:tcPr>
            <w:tcW w:w="511" w:type="dxa"/>
            <w:shd w:val="clear" w:color="auto" w:fill="auto"/>
            <w:tcMar>
              <w:top w:w="0" w:type="dxa"/>
              <w:left w:w="85" w:type="dxa"/>
              <w:bottom w:w="0" w:type="dxa"/>
              <w:right w:w="85" w:type="dxa"/>
            </w:tcMar>
          </w:tcPr>
          <w:p w14:paraId="16D152D7"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7763C131" w14:textId="77777777" w:rsidR="00BB3E1E" w:rsidRPr="003B7FF7" w:rsidRDefault="00BB3E1E" w:rsidP="00BB1EAB">
            <w:pPr>
              <w:pStyle w:val="TableText"/>
              <w:spacing w:before="40" w:after="40"/>
              <w:jc w:val="right"/>
            </w:pPr>
            <w:r w:rsidRPr="003B7FF7" w:rsidDel="00B824D6">
              <w:t>379.2</w:t>
            </w:r>
          </w:p>
        </w:tc>
        <w:tc>
          <w:tcPr>
            <w:tcW w:w="944" w:type="dxa"/>
            <w:shd w:val="clear" w:color="auto" w:fill="auto"/>
            <w:tcMar>
              <w:top w:w="0" w:type="dxa"/>
              <w:left w:w="85" w:type="dxa"/>
              <w:bottom w:w="0" w:type="dxa"/>
              <w:right w:w="85" w:type="dxa"/>
            </w:tcMar>
          </w:tcPr>
          <w:p w14:paraId="48F772C1" w14:textId="77777777" w:rsidR="00BB3E1E" w:rsidRPr="003B7FF7" w:rsidRDefault="00BB3E1E" w:rsidP="00BB1EAB">
            <w:pPr>
              <w:pStyle w:val="TableText"/>
              <w:spacing w:before="40" w:after="40"/>
              <w:jc w:val="right"/>
            </w:pPr>
            <w:r w:rsidRPr="003B7FF7" w:rsidDel="00B824D6">
              <w:t>0.3</w:t>
            </w:r>
          </w:p>
        </w:tc>
        <w:tc>
          <w:tcPr>
            <w:tcW w:w="926" w:type="dxa"/>
            <w:shd w:val="clear" w:color="auto" w:fill="auto"/>
            <w:tcMar>
              <w:top w:w="0" w:type="dxa"/>
              <w:left w:w="85" w:type="dxa"/>
              <w:bottom w:w="0" w:type="dxa"/>
              <w:right w:w="85" w:type="dxa"/>
            </w:tcMar>
          </w:tcPr>
          <w:p w14:paraId="57FA3CFD" w14:textId="77777777" w:rsidR="00BB3E1E" w:rsidRPr="003B7FF7" w:rsidRDefault="00BB3E1E" w:rsidP="00BB1EAB">
            <w:pPr>
              <w:pStyle w:val="TableText"/>
              <w:spacing w:before="40" w:after="40"/>
              <w:jc w:val="right"/>
            </w:pPr>
            <w:r w:rsidRPr="003B7FF7" w:rsidDel="00B824D6">
              <w:t>93.2</w:t>
            </w:r>
          </w:p>
        </w:tc>
      </w:tr>
      <w:tr w:rsidR="00BB3E1E" w:rsidRPr="003B7FF7" w14:paraId="21D0FDB4" w14:textId="77777777" w:rsidTr="00BB1EAB">
        <w:trPr>
          <w:cantSplit/>
        </w:trPr>
        <w:tc>
          <w:tcPr>
            <w:tcW w:w="0" w:type="auto"/>
            <w:shd w:val="clear" w:color="auto" w:fill="auto"/>
            <w:tcMar>
              <w:top w:w="0" w:type="dxa"/>
              <w:left w:w="85" w:type="dxa"/>
              <w:bottom w:w="0" w:type="dxa"/>
              <w:right w:w="85" w:type="dxa"/>
            </w:tcMar>
          </w:tcPr>
          <w:p w14:paraId="1D93506E" w14:textId="77777777" w:rsidR="00BB3E1E" w:rsidRPr="003B7FF7" w:rsidRDefault="00BB3E1E" w:rsidP="00BB1EAB">
            <w:pPr>
              <w:pStyle w:val="TableText"/>
              <w:spacing w:before="40" w:after="40"/>
            </w:pPr>
            <w:r w:rsidRPr="003B7FF7" w:rsidDel="00B824D6">
              <w:t>1.A.2.g.iii</w:t>
            </w:r>
          </w:p>
        </w:tc>
        <w:tc>
          <w:tcPr>
            <w:tcW w:w="3695" w:type="dxa"/>
            <w:shd w:val="clear" w:color="auto" w:fill="auto"/>
            <w:tcMar>
              <w:top w:w="0" w:type="dxa"/>
              <w:left w:w="85" w:type="dxa"/>
              <w:bottom w:w="0" w:type="dxa"/>
              <w:right w:w="85" w:type="dxa"/>
            </w:tcMar>
          </w:tcPr>
          <w:p w14:paraId="37814EA6" w14:textId="77777777" w:rsidR="00BB3E1E" w:rsidRPr="003B7FF7" w:rsidRDefault="00BB3E1E" w:rsidP="00BB1EAB">
            <w:pPr>
              <w:pStyle w:val="TableText"/>
              <w:spacing w:before="40" w:after="40"/>
            </w:pPr>
            <w:r w:rsidRPr="003B7FF7" w:rsidDel="00B824D6">
              <w:t xml:space="preserve">Other (please specify) – Mining (excluding fuels) and </w:t>
            </w:r>
            <w:r w:rsidRPr="003B7FF7">
              <w:t>Q</w:t>
            </w:r>
            <w:r w:rsidRPr="003B7FF7" w:rsidDel="00B824D6">
              <w:t>uarrying Liquid Fuels</w:t>
            </w:r>
          </w:p>
        </w:tc>
        <w:tc>
          <w:tcPr>
            <w:tcW w:w="511" w:type="dxa"/>
            <w:shd w:val="clear" w:color="auto" w:fill="auto"/>
            <w:tcMar>
              <w:top w:w="0" w:type="dxa"/>
              <w:left w:w="85" w:type="dxa"/>
              <w:bottom w:w="0" w:type="dxa"/>
              <w:right w:w="85" w:type="dxa"/>
            </w:tcMar>
          </w:tcPr>
          <w:p w14:paraId="76B3031A"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4C8B039E" w14:textId="77777777" w:rsidR="00BB3E1E" w:rsidRPr="003B7FF7" w:rsidRDefault="00BB3E1E" w:rsidP="00BB1EAB">
            <w:pPr>
              <w:pStyle w:val="TableText"/>
              <w:spacing w:before="40" w:after="40"/>
              <w:jc w:val="right"/>
            </w:pPr>
            <w:r w:rsidRPr="003B7FF7" w:rsidDel="00B824D6">
              <w:t>365.4</w:t>
            </w:r>
          </w:p>
        </w:tc>
        <w:tc>
          <w:tcPr>
            <w:tcW w:w="944" w:type="dxa"/>
            <w:shd w:val="clear" w:color="auto" w:fill="auto"/>
            <w:tcMar>
              <w:top w:w="0" w:type="dxa"/>
              <w:left w:w="85" w:type="dxa"/>
              <w:bottom w:w="0" w:type="dxa"/>
              <w:right w:w="85" w:type="dxa"/>
            </w:tcMar>
          </w:tcPr>
          <w:p w14:paraId="0C1691F4" w14:textId="77777777" w:rsidR="00BB3E1E" w:rsidRPr="003B7FF7" w:rsidRDefault="00BB3E1E" w:rsidP="00BB1EAB">
            <w:pPr>
              <w:pStyle w:val="TableText"/>
              <w:spacing w:before="40" w:after="40"/>
              <w:jc w:val="right"/>
            </w:pPr>
            <w:r w:rsidRPr="003B7FF7" w:rsidDel="00B824D6">
              <w:t>0.3</w:t>
            </w:r>
          </w:p>
        </w:tc>
        <w:tc>
          <w:tcPr>
            <w:tcW w:w="926" w:type="dxa"/>
            <w:shd w:val="clear" w:color="auto" w:fill="auto"/>
            <w:tcMar>
              <w:top w:w="0" w:type="dxa"/>
              <w:left w:w="85" w:type="dxa"/>
              <w:bottom w:w="0" w:type="dxa"/>
              <w:right w:w="85" w:type="dxa"/>
            </w:tcMar>
          </w:tcPr>
          <w:p w14:paraId="58E9F10A" w14:textId="77777777" w:rsidR="00BB3E1E" w:rsidRPr="003B7FF7" w:rsidRDefault="00BB3E1E" w:rsidP="00BB1EAB">
            <w:pPr>
              <w:pStyle w:val="TableText"/>
              <w:spacing w:before="40" w:after="40"/>
              <w:jc w:val="right"/>
            </w:pPr>
            <w:r w:rsidRPr="003B7FF7" w:rsidDel="00B824D6">
              <w:t>93.5</w:t>
            </w:r>
          </w:p>
        </w:tc>
      </w:tr>
      <w:tr w:rsidR="00BB3E1E" w:rsidRPr="003B7FF7" w14:paraId="204672E7" w14:textId="77777777" w:rsidTr="00BB1EAB">
        <w:trPr>
          <w:cantSplit/>
        </w:trPr>
        <w:tc>
          <w:tcPr>
            <w:tcW w:w="0" w:type="auto"/>
            <w:shd w:val="clear" w:color="auto" w:fill="auto"/>
            <w:tcMar>
              <w:top w:w="0" w:type="dxa"/>
              <w:left w:w="85" w:type="dxa"/>
              <w:bottom w:w="0" w:type="dxa"/>
              <w:right w:w="85" w:type="dxa"/>
            </w:tcMar>
          </w:tcPr>
          <w:p w14:paraId="69A19989" w14:textId="77777777" w:rsidR="00BB3E1E" w:rsidRPr="003B7FF7" w:rsidRDefault="00BB3E1E" w:rsidP="00BB1EAB">
            <w:pPr>
              <w:pStyle w:val="TableText"/>
              <w:spacing w:before="40" w:after="40"/>
            </w:pPr>
            <w:r w:rsidRPr="003B7FF7" w:rsidDel="00B824D6">
              <w:t>4.B.1</w:t>
            </w:r>
          </w:p>
        </w:tc>
        <w:tc>
          <w:tcPr>
            <w:tcW w:w="3695" w:type="dxa"/>
            <w:shd w:val="clear" w:color="auto" w:fill="auto"/>
            <w:tcMar>
              <w:top w:w="0" w:type="dxa"/>
              <w:left w:w="85" w:type="dxa"/>
              <w:bottom w:w="0" w:type="dxa"/>
              <w:right w:w="85" w:type="dxa"/>
            </w:tcMar>
          </w:tcPr>
          <w:p w14:paraId="778C10FB" w14:textId="77777777" w:rsidR="00BB3E1E" w:rsidRPr="003B7FF7" w:rsidRDefault="00BB3E1E" w:rsidP="00BB1EAB">
            <w:pPr>
              <w:pStyle w:val="TableText"/>
              <w:spacing w:before="40" w:after="40"/>
            </w:pPr>
            <w:r w:rsidRPr="003B7FF7" w:rsidDel="00B824D6">
              <w:t>Cropland – Cropland Remaining Cropland</w:t>
            </w:r>
          </w:p>
        </w:tc>
        <w:tc>
          <w:tcPr>
            <w:tcW w:w="511" w:type="dxa"/>
            <w:shd w:val="clear" w:color="auto" w:fill="auto"/>
            <w:tcMar>
              <w:top w:w="0" w:type="dxa"/>
              <w:left w:w="85" w:type="dxa"/>
              <w:bottom w:w="0" w:type="dxa"/>
              <w:right w:w="85" w:type="dxa"/>
            </w:tcMar>
          </w:tcPr>
          <w:p w14:paraId="537462D2"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32FFF306" w14:textId="77777777" w:rsidR="00BB3E1E" w:rsidRPr="003B7FF7" w:rsidRDefault="00BB3E1E" w:rsidP="00BB1EAB">
            <w:pPr>
              <w:pStyle w:val="TableText"/>
              <w:spacing w:before="40" w:after="40"/>
              <w:jc w:val="right"/>
            </w:pPr>
            <w:r w:rsidRPr="003B7FF7" w:rsidDel="00B824D6">
              <w:t>318.2</w:t>
            </w:r>
          </w:p>
        </w:tc>
        <w:tc>
          <w:tcPr>
            <w:tcW w:w="944" w:type="dxa"/>
            <w:shd w:val="clear" w:color="auto" w:fill="auto"/>
            <w:tcMar>
              <w:top w:w="0" w:type="dxa"/>
              <w:left w:w="85" w:type="dxa"/>
              <w:bottom w:w="0" w:type="dxa"/>
              <w:right w:w="85" w:type="dxa"/>
            </w:tcMar>
          </w:tcPr>
          <w:p w14:paraId="201AF3C4" w14:textId="77777777" w:rsidR="00BB3E1E" w:rsidRPr="003B7FF7" w:rsidRDefault="00BB3E1E" w:rsidP="00BB1EAB">
            <w:pPr>
              <w:pStyle w:val="TableText"/>
              <w:spacing w:before="40" w:after="40"/>
              <w:jc w:val="right"/>
            </w:pPr>
            <w:r w:rsidRPr="003B7FF7" w:rsidDel="00B824D6">
              <w:t>0.3</w:t>
            </w:r>
          </w:p>
        </w:tc>
        <w:tc>
          <w:tcPr>
            <w:tcW w:w="926" w:type="dxa"/>
            <w:shd w:val="clear" w:color="auto" w:fill="auto"/>
            <w:tcMar>
              <w:top w:w="0" w:type="dxa"/>
              <w:left w:w="85" w:type="dxa"/>
              <w:bottom w:w="0" w:type="dxa"/>
              <w:right w:w="85" w:type="dxa"/>
            </w:tcMar>
          </w:tcPr>
          <w:p w14:paraId="45065DBA" w14:textId="77777777" w:rsidR="00BB3E1E" w:rsidRPr="003B7FF7" w:rsidRDefault="00BB3E1E" w:rsidP="00BB1EAB">
            <w:pPr>
              <w:pStyle w:val="TableText"/>
              <w:spacing w:before="40" w:after="40"/>
              <w:jc w:val="right"/>
            </w:pPr>
            <w:r w:rsidRPr="003B7FF7" w:rsidDel="00B824D6">
              <w:t>93.8</w:t>
            </w:r>
          </w:p>
        </w:tc>
      </w:tr>
      <w:tr w:rsidR="00BB3E1E" w:rsidRPr="003B7FF7" w14:paraId="15CA73F1" w14:textId="77777777" w:rsidTr="00BB1EAB">
        <w:trPr>
          <w:cantSplit/>
        </w:trPr>
        <w:tc>
          <w:tcPr>
            <w:tcW w:w="0" w:type="auto"/>
            <w:shd w:val="clear" w:color="auto" w:fill="auto"/>
            <w:tcMar>
              <w:top w:w="0" w:type="dxa"/>
              <w:left w:w="85" w:type="dxa"/>
              <w:bottom w:w="0" w:type="dxa"/>
              <w:right w:w="85" w:type="dxa"/>
            </w:tcMar>
          </w:tcPr>
          <w:p w14:paraId="49B2C296" w14:textId="77777777" w:rsidR="00BB3E1E" w:rsidRPr="003B7FF7" w:rsidRDefault="00BB3E1E" w:rsidP="00BB1EAB">
            <w:pPr>
              <w:pStyle w:val="TableText"/>
              <w:spacing w:before="40" w:after="40"/>
            </w:pPr>
            <w:r w:rsidRPr="003B7FF7" w:rsidDel="00B824D6">
              <w:t>1.A.2.d</w:t>
            </w:r>
          </w:p>
        </w:tc>
        <w:tc>
          <w:tcPr>
            <w:tcW w:w="3695" w:type="dxa"/>
            <w:shd w:val="clear" w:color="auto" w:fill="auto"/>
            <w:tcMar>
              <w:top w:w="0" w:type="dxa"/>
              <w:left w:w="85" w:type="dxa"/>
              <w:bottom w:w="0" w:type="dxa"/>
              <w:right w:w="85" w:type="dxa"/>
            </w:tcMar>
          </w:tcPr>
          <w:p w14:paraId="69DFD6F2" w14:textId="77777777" w:rsidR="00BB3E1E" w:rsidRPr="003B7FF7" w:rsidRDefault="00BB3E1E" w:rsidP="00BB1EAB">
            <w:pPr>
              <w:pStyle w:val="TableText"/>
              <w:spacing w:before="40" w:after="40"/>
            </w:pPr>
            <w:r w:rsidRPr="003B7FF7" w:rsidDel="00B824D6">
              <w:t>Manufacturing Industries and Construction – Pulp, Paper and Print Gaseous Fuels</w:t>
            </w:r>
          </w:p>
        </w:tc>
        <w:tc>
          <w:tcPr>
            <w:tcW w:w="511" w:type="dxa"/>
            <w:shd w:val="clear" w:color="auto" w:fill="auto"/>
            <w:tcMar>
              <w:top w:w="0" w:type="dxa"/>
              <w:left w:w="85" w:type="dxa"/>
              <w:bottom w:w="0" w:type="dxa"/>
              <w:right w:w="85" w:type="dxa"/>
            </w:tcMar>
          </w:tcPr>
          <w:p w14:paraId="4B45F5AE"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55EEE00A" w14:textId="77777777" w:rsidR="00BB3E1E" w:rsidRPr="003B7FF7" w:rsidRDefault="00BB3E1E" w:rsidP="00BB1EAB">
            <w:pPr>
              <w:pStyle w:val="TableText"/>
              <w:spacing w:before="40" w:after="40"/>
              <w:jc w:val="right"/>
            </w:pPr>
            <w:r w:rsidRPr="003B7FF7" w:rsidDel="00B824D6">
              <w:t>306.7</w:t>
            </w:r>
          </w:p>
        </w:tc>
        <w:tc>
          <w:tcPr>
            <w:tcW w:w="944" w:type="dxa"/>
            <w:shd w:val="clear" w:color="auto" w:fill="auto"/>
            <w:tcMar>
              <w:top w:w="0" w:type="dxa"/>
              <w:left w:w="85" w:type="dxa"/>
              <w:bottom w:w="0" w:type="dxa"/>
              <w:right w:w="85" w:type="dxa"/>
            </w:tcMar>
          </w:tcPr>
          <w:p w14:paraId="4815B294" w14:textId="77777777" w:rsidR="00BB3E1E" w:rsidRPr="003B7FF7" w:rsidRDefault="00BB3E1E" w:rsidP="00BB1EAB">
            <w:pPr>
              <w:pStyle w:val="TableText"/>
              <w:spacing w:before="40" w:after="40"/>
              <w:jc w:val="right"/>
            </w:pPr>
            <w:r w:rsidRPr="003B7FF7" w:rsidDel="00B824D6">
              <w:t>0.3</w:t>
            </w:r>
          </w:p>
        </w:tc>
        <w:tc>
          <w:tcPr>
            <w:tcW w:w="926" w:type="dxa"/>
            <w:shd w:val="clear" w:color="auto" w:fill="auto"/>
            <w:tcMar>
              <w:top w:w="0" w:type="dxa"/>
              <w:left w:w="85" w:type="dxa"/>
              <w:bottom w:w="0" w:type="dxa"/>
              <w:right w:w="85" w:type="dxa"/>
            </w:tcMar>
          </w:tcPr>
          <w:p w14:paraId="0370B488" w14:textId="77777777" w:rsidR="00BB3E1E" w:rsidRPr="003B7FF7" w:rsidRDefault="00BB3E1E" w:rsidP="00BB1EAB">
            <w:pPr>
              <w:pStyle w:val="TableText"/>
              <w:spacing w:before="40" w:after="40"/>
              <w:jc w:val="right"/>
            </w:pPr>
            <w:r w:rsidRPr="003B7FF7" w:rsidDel="00B824D6">
              <w:t>94.1</w:t>
            </w:r>
          </w:p>
        </w:tc>
      </w:tr>
      <w:tr w:rsidR="00BB3E1E" w:rsidRPr="003B7FF7" w14:paraId="67CF4105" w14:textId="77777777" w:rsidTr="00BB1EAB">
        <w:trPr>
          <w:cantSplit/>
        </w:trPr>
        <w:tc>
          <w:tcPr>
            <w:tcW w:w="0" w:type="auto"/>
            <w:shd w:val="clear" w:color="auto" w:fill="auto"/>
            <w:tcMar>
              <w:top w:w="0" w:type="dxa"/>
              <w:left w:w="85" w:type="dxa"/>
              <w:bottom w:w="0" w:type="dxa"/>
              <w:right w:w="85" w:type="dxa"/>
            </w:tcMar>
          </w:tcPr>
          <w:p w14:paraId="12CE9050" w14:textId="77777777" w:rsidR="00BB3E1E" w:rsidRPr="003B7FF7" w:rsidRDefault="00BB3E1E" w:rsidP="00BB1EAB">
            <w:pPr>
              <w:pStyle w:val="TableText"/>
              <w:spacing w:before="40" w:after="40"/>
            </w:pPr>
            <w:r w:rsidRPr="003B7FF7" w:rsidDel="00B824D6">
              <w:t>1.A.3.d</w:t>
            </w:r>
          </w:p>
        </w:tc>
        <w:tc>
          <w:tcPr>
            <w:tcW w:w="3695" w:type="dxa"/>
            <w:shd w:val="clear" w:color="auto" w:fill="auto"/>
            <w:tcMar>
              <w:top w:w="0" w:type="dxa"/>
              <w:left w:w="85" w:type="dxa"/>
              <w:bottom w:w="0" w:type="dxa"/>
              <w:right w:w="85" w:type="dxa"/>
            </w:tcMar>
          </w:tcPr>
          <w:p w14:paraId="1983038A" w14:textId="77777777" w:rsidR="00BB3E1E" w:rsidRPr="003B7FF7" w:rsidRDefault="00BB3E1E" w:rsidP="00BB1EAB">
            <w:pPr>
              <w:pStyle w:val="TableText"/>
              <w:spacing w:before="40" w:after="40"/>
            </w:pPr>
            <w:r w:rsidRPr="003B7FF7" w:rsidDel="00B824D6">
              <w:t>Domestic Navigation – Residual Fuel Oil</w:t>
            </w:r>
          </w:p>
        </w:tc>
        <w:tc>
          <w:tcPr>
            <w:tcW w:w="511" w:type="dxa"/>
            <w:shd w:val="clear" w:color="auto" w:fill="auto"/>
            <w:tcMar>
              <w:top w:w="0" w:type="dxa"/>
              <w:left w:w="85" w:type="dxa"/>
              <w:bottom w:w="0" w:type="dxa"/>
              <w:right w:w="85" w:type="dxa"/>
            </w:tcMar>
          </w:tcPr>
          <w:p w14:paraId="522B7AA1"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690C66DA" w14:textId="77777777" w:rsidR="00BB3E1E" w:rsidRPr="003B7FF7" w:rsidRDefault="00BB3E1E" w:rsidP="00BB1EAB">
            <w:pPr>
              <w:pStyle w:val="TableText"/>
              <w:spacing w:before="40" w:after="40"/>
              <w:jc w:val="right"/>
            </w:pPr>
            <w:r w:rsidRPr="003B7FF7" w:rsidDel="00B824D6">
              <w:t>271.8</w:t>
            </w:r>
          </w:p>
        </w:tc>
        <w:tc>
          <w:tcPr>
            <w:tcW w:w="944" w:type="dxa"/>
            <w:shd w:val="clear" w:color="auto" w:fill="auto"/>
            <w:tcMar>
              <w:top w:w="0" w:type="dxa"/>
              <w:left w:w="85" w:type="dxa"/>
              <w:bottom w:w="0" w:type="dxa"/>
              <w:right w:w="85" w:type="dxa"/>
            </w:tcMar>
          </w:tcPr>
          <w:p w14:paraId="1BD29669" w14:textId="77777777" w:rsidR="00BB3E1E" w:rsidRPr="003B7FF7" w:rsidRDefault="00BB3E1E" w:rsidP="00BB1EAB">
            <w:pPr>
              <w:pStyle w:val="TableText"/>
              <w:spacing w:before="40" w:after="40"/>
              <w:jc w:val="right"/>
            </w:pPr>
            <w:r w:rsidRPr="003B7FF7" w:rsidDel="00B824D6">
              <w:t>0.2</w:t>
            </w:r>
          </w:p>
        </w:tc>
        <w:tc>
          <w:tcPr>
            <w:tcW w:w="926" w:type="dxa"/>
            <w:shd w:val="clear" w:color="auto" w:fill="auto"/>
            <w:tcMar>
              <w:top w:w="0" w:type="dxa"/>
              <w:left w:w="85" w:type="dxa"/>
              <w:bottom w:w="0" w:type="dxa"/>
              <w:right w:w="85" w:type="dxa"/>
            </w:tcMar>
          </w:tcPr>
          <w:p w14:paraId="78E0EC1E" w14:textId="77777777" w:rsidR="00BB3E1E" w:rsidRPr="003B7FF7" w:rsidRDefault="00BB3E1E" w:rsidP="00BB1EAB">
            <w:pPr>
              <w:pStyle w:val="TableText"/>
              <w:spacing w:before="40" w:after="40"/>
              <w:jc w:val="right"/>
            </w:pPr>
            <w:r w:rsidRPr="003B7FF7" w:rsidDel="00B824D6">
              <w:t>94.3</w:t>
            </w:r>
          </w:p>
        </w:tc>
      </w:tr>
      <w:tr w:rsidR="00BB3E1E" w:rsidRPr="003B7FF7" w14:paraId="2B7939FA" w14:textId="77777777" w:rsidTr="00BB1EAB">
        <w:trPr>
          <w:cantSplit/>
        </w:trPr>
        <w:tc>
          <w:tcPr>
            <w:tcW w:w="0" w:type="auto"/>
            <w:shd w:val="clear" w:color="auto" w:fill="auto"/>
            <w:tcMar>
              <w:top w:w="0" w:type="dxa"/>
              <w:left w:w="85" w:type="dxa"/>
              <w:bottom w:w="0" w:type="dxa"/>
              <w:right w:w="85" w:type="dxa"/>
            </w:tcMar>
          </w:tcPr>
          <w:p w14:paraId="14FE3C0E" w14:textId="77777777" w:rsidR="00BB3E1E" w:rsidRPr="003B7FF7" w:rsidRDefault="00BB3E1E" w:rsidP="00BB1EAB">
            <w:pPr>
              <w:pStyle w:val="TableText"/>
              <w:spacing w:before="40" w:after="40"/>
            </w:pPr>
            <w:r w:rsidRPr="003B7FF7" w:rsidDel="00B824D6">
              <w:t>1.A.1.c</w:t>
            </w:r>
          </w:p>
        </w:tc>
        <w:tc>
          <w:tcPr>
            <w:tcW w:w="3695" w:type="dxa"/>
            <w:shd w:val="clear" w:color="auto" w:fill="auto"/>
            <w:tcMar>
              <w:top w:w="0" w:type="dxa"/>
              <w:left w:w="85" w:type="dxa"/>
              <w:bottom w:w="0" w:type="dxa"/>
              <w:right w:w="85" w:type="dxa"/>
            </w:tcMar>
          </w:tcPr>
          <w:p w14:paraId="78529363" w14:textId="77777777" w:rsidR="00BB3E1E" w:rsidRPr="003B7FF7" w:rsidRDefault="00BB3E1E" w:rsidP="00BB1EAB">
            <w:pPr>
              <w:pStyle w:val="TableText"/>
              <w:spacing w:before="40" w:after="40"/>
            </w:pPr>
            <w:r w:rsidRPr="003B7FF7" w:rsidDel="00B824D6">
              <w:t>Energy Industries – Manufacture of Solid Fuels and Other Energy Industries Gaseous Fuels</w:t>
            </w:r>
          </w:p>
        </w:tc>
        <w:tc>
          <w:tcPr>
            <w:tcW w:w="511" w:type="dxa"/>
            <w:shd w:val="clear" w:color="auto" w:fill="auto"/>
            <w:tcMar>
              <w:top w:w="0" w:type="dxa"/>
              <w:left w:w="85" w:type="dxa"/>
              <w:bottom w:w="0" w:type="dxa"/>
              <w:right w:w="85" w:type="dxa"/>
            </w:tcMar>
          </w:tcPr>
          <w:p w14:paraId="12ED46E9" w14:textId="77777777" w:rsidR="00BB3E1E" w:rsidRPr="003B7FF7" w:rsidRDefault="00BB3E1E" w:rsidP="00BB1EAB">
            <w:pPr>
              <w:pStyle w:val="TableText"/>
              <w:spacing w:before="40" w:after="40"/>
            </w:pPr>
            <w:r w:rsidRPr="003B7FF7" w:rsidDel="00B824D6">
              <w:t>CO</w:t>
            </w:r>
            <w:r w:rsidRPr="003B7FF7" w:rsidDel="00B824D6">
              <w:rPr>
                <w:vertAlign w:val="subscript"/>
              </w:rPr>
              <w:t>2</w:t>
            </w:r>
          </w:p>
        </w:tc>
        <w:tc>
          <w:tcPr>
            <w:tcW w:w="1474" w:type="dxa"/>
            <w:shd w:val="clear" w:color="auto" w:fill="auto"/>
            <w:tcMar>
              <w:top w:w="0" w:type="dxa"/>
              <w:left w:w="85" w:type="dxa"/>
              <w:bottom w:w="0" w:type="dxa"/>
              <w:right w:w="85" w:type="dxa"/>
            </w:tcMar>
          </w:tcPr>
          <w:p w14:paraId="33C61B8E" w14:textId="77777777" w:rsidR="00BB3E1E" w:rsidRPr="003B7FF7" w:rsidRDefault="00BB3E1E" w:rsidP="00BB1EAB">
            <w:pPr>
              <w:pStyle w:val="TableText"/>
              <w:spacing w:before="40" w:after="40"/>
              <w:jc w:val="right"/>
            </w:pPr>
            <w:r w:rsidRPr="003B7FF7" w:rsidDel="00B824D6">
              <w:t>263.7</w:t>
            </w:r>
          </w:p>
        </w:tc>
        <w:tc>
          <w:tcPr>
            <w:tcW w:w="944" w:type="dxa"/>
            <w:shd w:val="clear" w:color="auto" w:fill="auto"/>
            <w:tcMar>
              <w:top w:w="0" w:type="dxa"/>
              <w:left w:w="85" w:type="dxa"/>
              <w:bottom w:w="0" w:type="dxa"/>
              <w:right w:w="85" w:type="dxa"/>
            </w:tcMar>
          </w:tcPr>
          <w:p w14:paraId="521BF84B" w14:textId="77777777" w:rsidR="00BB3E1E" w:rsidRPr="003B7FF7" w:rsidRDefault="00BB3E1E" w:rsidP="00BB1EAB">
            <w:pPr>
              <w:pStyle w:val="TableText"/>
              <w:spacing w:before="40" w:after="40"/>
              <w:jc w:val="right"/>
            </w:pPr>
            <w:r w:rsidRPr="003B7FF7" w:rsidDel="00B824D6">
              <w:t>0.2</w:t>
            </w:r>
          </w:p>
        </w:tc>
        <w:tc>
          <w:tcPr>
            <w:tcW w:w="926" w:type="dxa"/>
            <w:shd w:val="clear" w:color="auto" w:fill="auto"/>
            <w:tcMar>
              <w:top w:w="0" w:type="dxa"/>
              <w:left w:w="85" w:type="dxa"/>
              <w:bottom w:w="0" w:type="dxa"/>
              <w:right w:w="85" w:type="dxa"/>
            </w:tcMar>
          </w:tcPr>
          <w:p w14:paraId="161129B1" w14:textId="77777777" w:rsidR="00BB3E1E" w:rsidRPr="003B7FF7" w:rsidRDefault="00BB3E1E" w:rsidP="00BB1EAB">
            <w:pPr>
              <w:pStyle w:val="TableText"/>
              <w:spacing w:before="40" w:after="40"/>
              <w:jc w:val="right"/>
            </w:pPr>
            <w:r w:rsidRPr="003B7FF7" w:rsidDel="00B824D6">
              <w:t>94.6</w:t>
            </w:r>
          </w:p>
        </w:tc>
      </w:tr>
      <w:tr w:rsidR="00BB3E1E" w:rsidRPr="003B7FF7" w14:paraId="7D194FD0" w14:textId="77777777" w:rsidTr="00BB1EAB">
        <w:trPr>
          <w:cantSplit/>
        </w:trPr>
        <w:tc>
          <w:tcPr>
            <w:tcW w:w="0" w:type="auto"/>
            <w:tcBorders>
              <w:bottom w:val="single" w:sz="4" w:space="0" w:color="1B556B"/>
            </w:tcBorders>
            <w:shd w:val="clear" w:color="auto" w:fill="auto"/>
            <w:tcMar>
              <w:top w:w="0" w:type="dxa"/>
              <w:left w:w="85" w:type="dxa"/>
              <w:bottom w:w="0" w:type="dxa"/>
              <w:right w:w="85" w:type="dxa"/>
            </w:tcMar>
          </w:tcPr>
          <w:p w14:paraId="64B1FB05" w14:textId="77777777" w:rsidR="00BB3E1E" w:rsidRPr="003B7FF7" w:rsidRDefault="00BB3E1E" w:rsidP="00BB1EAB">
            <w:pPr>
              <w:pStyle w:val="TableText"/>
              <w:spacing w:before="40" w:after="40"/>
            </w:pPr>
            <w:r w:rsidRPr="003B7FF7" w:rsidDel="00B824D6">
              <w:t>3.D.1.4</w:t>
            </w:r>
          </w:p>
        </w:tc>
        <w:tc>
          <w:tcPr>
            <w:tcW w:w="3695" w:type="dxa"/>
            <w:tcBorders>
              <w:bottom w:val="single" w:sz="4" w:space="0" w:color="1B556B"/>
            </w:tcBorders>
            <w:shd w:val="clear" w:color="auto" w:fill="auto"/>
            <w:tcMar>
              <w:top w:w="0" w:type="dxa"/>
              <w:left w:w="85" w:type="dxa"/>
              <w:bottom w:w="0" w:type="dxa"/>
              <w:right w:w="85" w:type="dxa"/>
            </w:tcMar>
          </w:tcPr>
          <w:p w14:paraId="1AF7C86F" w14:textId="77777777" w:rsidR="00BB3E1E" w:rsidRPr="003B7FF7" w:rsidRDefault="00BB3E1E" w:rsidP="00BB1EAB">
            <w:pPr>
              <w:pStyle w:val="TableText"/>
              <w:spacing w:before="40" w:after="40"/>
            </w:pPr>
            <w:r w:rsidRPr="003B7FF7">
              <w:t>Direct N</w:t>
            </w:r>
            <w:r w:rsidRPr="003B7FF7">
              <w:rPr>
                <w:vertAlign w:val="subscript"/>
              </w:rPr>
              <w:t>2</w:t>
            </w:r>
            <w:r w:rsidRPr="003B7FF7">
              <w:t>O Emissions from</w:t>
            </w:r>
            <w:r w:rsidRPr="003B7FF7" w:rsidDel="00B824D6">
              <w:t xml:space="preserve"> Managed Soils – Crop Residues</w:t>
            </w:r>
          </w:p>
        </w:tc>
        <w:tc>
          <w:tcPr>
            <w:tcW w:w="511" w:type="dxa"/>
            <w:tcBorders>
              <w:bottom w:val="single" w:sz="4" w:space="0" w:color="1B556B"/>
            </w:tcBorders>
            <w:shd w:val="clear" w:color="auto" w:fill="auto"/>
            <w:tcMar>
              <w:top w:w="0" w:type="dxa"/>
              <w:left w:w="85" w:type="dxa"/>
              <w:bottom w:w="0" w:type="dxa"/>
              <w:right w:w="85" w:type="dxa"/>
            </w:tcMar>
          </w:tcPr>
          <w:p w14:paraId="2ED10718" w14:textId="77777777" w:rsidR="00BB3E1E" w:rsidRPr="003B7FF7" w:rsidRDefault="00BB3E1E" w:rsidP="00BB1EAB">
            <w:pPr>
              <w:pStyle w:val="TableText"/>
              <w:spacing w:before="40" w:after="40"/>
            </w:pPr>
            <w:r w:rsidRPr="003B7FF7" w:rsidDel="00B824D6">
              <w:t>N</w:t>
            </w:r>
            <w:r w:rsidRPr="003B7FF7" w:rsidDel="00B824D6">
              <w:rPr>
                <w:vertAlign w:val="subscript"/>
              </w:rPr>
              <w:t>2</w:t>
            </w:r>
            <w:r w:rsidRPr="003B7FF7" w:rsidDel="00B824D6">
              <w:t>O</w:t>
            </w:r>
          </w:p>
        </w:tc>
        <w:tc>
          <w:tcPr>
            <w:tcW w:w="1474" w:type="dxa"/>
            <w:tcBorders>
              <w:bottom w:val="single" w:sz="4" w:space="0" w:color="1B556B"/>
            </w:tcBorders>
            <w:shd w:val="clear" w:color="auto" w:fill="auto"/>
            <w:tcMar>
              <w:top w:w="0" w:type="dxa"/>
              <w:left w:w="85" w:type="dxa"/>
              <w:bottom w:w="0" w:type="dxa"/>
              <w:right w:w="85" w:type="dxa"/>
            </w:tcMar>
          </w:tcPr>
          <w:p w14:paraId="2409E31C" w14:textId="77777777" w:rsidR="00BB3E1E" w:rsidRPr="003B7FF7" w:rsidRDefault="00BB3E1E" w:rsidP="00BB1EAB">
            <w:pPr>
              <w:pStyle w:val="TableText"/>
              <w:spacing w:before="40" w:after="40"/>
              <w:jc w:val="right"/>
            </w:pPr>
            <w:r w:rsidRPr="003B7FF7" w:rsidDel="00B824D6">
              <w:t>258.6</w:t>
            </w:r>
          </w:p>
        </w:tc>
        <w:tc>
          <w:tcPr>
            <w:tcW w:w="944" w:type="dxa"/>
            <w:tcBorders>
              <w:bottom w:val="single" w:sz="4" w:space="0" w:color="1B556B"/>
            </w:tcBorders>
            <w:shd w:val="clear" w:color="auto" w:fill="auto"/>
            <w:tcMar>
              <w:top w:w="0" w:type="dxa"/>
              <w:left w:w="85" w:type="dxa"/>
              <w:bottom w:w="0" w:type="dxa"/>
              <w:right w:w="85" w:type="dxa"/>
            </w:tcMar>
          </w:tcPr>
          <w:p w14:paraId="2A5A7646" w14:textId="77777777" w:rsidR="00BB3E1E" w:rsidRPr="003B7FF7" w:rsidRDefault="00BB3E1E" w:rsidP="00BB1EAB">
            <w:pPr>
              <w:pStyle w:val="TableText"/>
              <w:spacing w:before="40" w:after="40"/>
              <w:jc w:val="right"/>
            </w:pPr>
            <w:r w:rsidRPr="003B7FF7" w:rsidDel="00B824D6">
              <w:t>0.2</w:t>
            </w:r>
          </w:p>
        </w:tc>
        <w:tc>
          <w:tcPr>
            <w:tcW w:w="926" w:type="dxa"/>
            <w:tcBorders>
              <w:bottom w:val="single" w:sz="4" w:space="0" w:color="1B556B"/>
            </w:tcBorders>
            <w:shd w:val="clear" w:color="auto" w:fill="auto"/>
            <w:tcMar>
              <w:top w:w="0" w:type="dxa"/>
              <w:left w:w="85" w:type="dxa"/>
              <w:bottom w:w="0" w:type="dxa"/>
              <w:right w:w="85" w:type="dxa"/>
            </w:tcMar>
          </w:tcPr>
          <w:p w14:paraId="6B7831BF" w14:textId="77777777" w:rsidR="00BB3E1E" w:rsidRPr="003B7FF7" w:rsidRDefault="00BB3E1E" w:rsidP="00BB1EAB">
            <w:pPr>
              <w:pStyle w:val="TableText"/>
              <w:spacing w:before="40" w:after="40"/>
              <w:jc w:val="right"/>
            </w:pPr>
            <w:r w:rsidRPr="003B7FF7" w:rsidDel="00B824D6">
              <w:t>94.8</w:t>
            </w:r>
          </w:p>
        </w:tc>
      </w:tr>
      <w:tr w:rsidR="00BB3E1E" w:rsidRPr="003B7FF7" w14:paraId="1C004F76" w14:textId="77777777" w:rsidTr="00BB1EAB">
        <w:trPr>
          <w:cantSplit/>
        </w:trPr>
        <w:tc>
          <w:tcPr>
            <w:tcW w:w="0" w:type="auto"/>
            <w:shd w:val="clear" w:color="auto" w:fill="auto"/>
            <w:tcMar>
              <w:top w:w="0" w:type="dxa"/>
              <w:left w:w="85" w:type="dxa"/>
              <w:bottom w:w="0" w:type="dxa"/>
              <w:right w:w="85" w:type="dxa"/>
            </w:tcMar>
          </w:tcPr>
          <w:p w14:paraId="4F17E043" w14:textId="77777777" w:rsidR="00BB3E1E" w:rsidRPr="003B7FF7" w:rsidRDefault="00BB3E1E" w:rsidP="00BB1EAB">
            <w:pPr>
              <w:pStyle w:val="TableText"/>
              <w:spacing w:before="40" w:after="40"/>
            </w:pPr>
            <w:r w:rsidRPr="003B7FF7" w:rsidDel="00B824D6">
              <w:t>5.D</w:t>
            </w:r>
          </w:p>
        </w:tc>
        <w:tc>
          <w:tcPr>
            <w:tcW w:w="3695" w:type="dxa"/>
            <w:shd w:val="clear" w:color="auto" w:fill="auto"/>
            <w:tcMar>
              <w:top w:w="0" w:type="dxa"/>
              <w:left w:w="85" w:type="dxa"/>
              <w:bottom w:w="0" w:type="dxa"/>
              <w:right w:w="85" w:type="dxa"/>
            </w:tcMar>
          </w:tcPr>
          <w:p w14:paraId="6203545D" w14:textId="77777777" w:rsidR="00BB3E1E" w:rsidRPr="003B7FF7" w:rsidRDefault="00BB3E1E" w:rsidP="00BB1EAB">
            <w:pPr>
              <w:pStyle w:val="TableText"/>
              <w:spacing w:before="40" w:after="40"/>
            </w:pPr>
            <w:r w:rsidRPr="003B7FF7" w:rsidDel="00B824D6">
              <w:t>Waste – Wastewater Treatment and Discharge</w:t>
            </w:r>
          </w:p>
        </w:tc>
        <w:tc>
          <w:tcPr>
            <w:tcW w:w="511" w:type="dxa"/>
            <w:shd w:val="clear" w:color="auto" w:fill="auto"/>
            <w:tcMar>
              <w:top w:w="0" w:type="dxa"/>
              <w:left w:w="85" w:type="dxa"/>
              <w:bottom w:w="0" w:type="dxa"/>
              <w:right w:w="85" w:type="dxa"/>
            </w:tcMar>
          </w:tcPr>
          <w:p w14:paraId="34C84E73" w14:textId="77777777" w:rsidR="00BB3E1E" w:rsidRPr="003B7FF7" w:rsidRDefault="00BB3E1E" w:rsidP="00BB1EAB">
            <w:pPr>
              <w:pStyle w:val="TableText"/>
              <w:spacing w:before="40" w:after="40"/>
            </w:pPr>
            <w:r w:rsidRPr="003B7FF7" w:rsidDel="00B824D6">
              <w:t>CH</w:t>
            </w:r>
            <w:r w:rsidRPr="003B7FF7" w:rsidDel="00B824D6">
              <w:rPr>
                <w:vertAlign w:val="subscript"/>
              </w:rPr>
              <w:t>4</w:t>
            </w:r>
          </w:p>
        </w:tc>
        <w:tc>
          <w:tcPr>
            <w:tcW w:w="1474" w:type="dxa"/>
            <w:shd w:val="clear" w:color="auto" w:fill="auto"/>
            <w:tcMar>
              <w:top w:w="0" w:type="dxa"/>
              <w:left w:w="85" w:type="dxa"/>
              <w:bottom w:w="0" w:type="dxa"/>
              <w:right w:w="85" w:type="dxa"/>
            </w:tcMar>
          </w:tcPr>
          <w:p w14:paraId="03766361" w14:textId="77777777" w:rsidR="00BB3E1E" w:rsidRPr="003B7FF7" w:rsidRDefault="00BB3E1E" w:rsidP="00BB1EAB">
            <w:pPr>
              <w:pStyle w:val="TableText"/>
              <w:spacing w:before="40" w:after="40"/>
              <w:jc w:val="right"/>
            </w:pPr>
            <w:r w:rsidRPr="003B7FF7" w:rsidDel="00B824D6">
              <w:t>256.9</w:t>
            </w:r>
          </w:p>
        </w:tc>
        <w:tc>
          <w:tcPr>
            <w:tcW w:w="944" w:type="dxa"/>
            <w:shd w:val="clear" w:color="auto" w:fill="auto"/>
            <w:tcMar>
              <w:top w:w="0" w:type="dxa"/>
              <w:left w:w="85" w:type="dxa"/>
              <w:bottom w:w="0" w:type="dxa"/>
              <w:right w:w="85" w:type="dxa"/>
            </w:tcMar>
          </w:tcPr>
          <w:p w14:paraId="6FCF2C4B" w14:textId="77777777" w:rsidR="00BB3E1E" w:rsidRPr="003B7FF7" w:rsidRDefault="00BB3E1E" w:rsidP="00BB1EAB">
            <w:pPr>
              <w:pStyle w:val="TableText"/>
              <w:spacing w:before="40" w:after="40"/>
              <w:jc w:val="right"/>
            </w:pPr>
            <w:r w:rsidRPr="003B7FF7" w:rsidDel="00B824D6">
              <w:t>0.2</w:t>
            </w:r>
          </w:p>
        </w:tc>
        <w:tc>
          <w:tcPr>
            <w:tcW w:w="926" w:type="dxa"/>
            <w:shd w:val="clear" w:color="auto" w:fill="auto"/>
            <w:tcMar>
              <w:top w:w="0" w:type="dxa"/>
              <w:left w:w="85" w:type="dxa"/>
              <w:bottom w:w="0" w:type="dxa"/>
              <w:right w:w="85" w:type="dxa"/>
            </w:tcMar>
          </w:tcPr>
          <w:p w14:paraId="79E331F4" w14:textId="77777777" w:rsidR="00BB3E1E" w:rsidRPr="003B7FF7" w:rsidRDefault="00BB3E1E" w:rsidP="00BB1EAB">
            <w:pPr>
              <w:pStyle w:val="TableText"/>
              <w:spacing w:before="40" w:after="40"/>
              <w:jc w:val="right"/>
            </w:pPr>
            <w:r w:rsidRPr="003B7FF7" w:rsidDel="00B824D6">
              <w:t>95.0</w:t>
            </w:r>
          </w:p>
        </w:tc>
      </w:tr>
    </w:tbl>
    <w:p w14:paraId="52F5120C" w14:textId="77777777" w:rsidR="00BB3E1E" w:rsidRPr="00241762" w:rsidRDefault="00BB3E1E" w:rsidP="00BB1EAB">
      <w:pPr>
        <w:pStyle w:val="TableTextBold"/>
        <w:keepNext/>
        <w:spacing w:before="240" w:after="120"/>
      </w:pPr>
      <w:r>
        <w:lastRenderedPageBreak/>
        <w:t xml:space="preserve">(b) </w:t>
      </w:r>
      <w:r w:rsidRPr="00241762">
        <w:t xml:space="preserve">IPCC Tier 1 category level assessment – excluding LULUCF (gross emissions): </w:t>
      </w:r>
      <w:r w:rsidRPr="00217AC0">
        <w:t>2020</w:t>
      </w:r>
    </w:p>
    <w:tbl>
      <w:tblPr>
        <w:tblW w:w="8505" w:type="dxa"/>
        <w:tblInd w:w="113"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1005"/>
        <w:gridCol w:w="3503"/>
        <w:gridCol w:w="567"/>
        <w:gridCol w:w="1560"/>
        <w:gridCol w:w="944"/>
        <w:gridCol w:w="926"/>
      </w:tblGrid>
      <w:tr w:rsidR="00BB3E1E" w:rsidRPr="00BB3E1E" w14:paraId="26EF5D03" w14:textId="77777777" w:rsidTr="00BB1EAB">
        <w:trPr>
          <w:cantSplit/>
          <w:tblHeader/>
        </w:trPr>
        <w:tc>
          <w:tcPr>
            <w:tcW w:w="0" w:type="auto"/>
            <w:shd w:val="clear" w:color="auto" w:fill="1B556B"/>
            <w:tcMar>
              <w:top w:w="0" w:type="dxa"/>
              <w:left w:w="85" w:type="dxa"/>
              <w:bottom w:w="0" w:type="dxa"/>
              <w:right w:w="85" w:type="dxa"/>
            </w:tcMar>
            <w:vAlign w:val="bottom"/>
          </w:tcPr>
          <w:p w14:paraId="1EC22855" w14:textId="77777777" w:rsidR="00BB3E1E" w:rsidRPr="00BB3E1E" w:rsidRDefault="00BB3E1E" w:rsidP="00B05614">
            <w:pPr>
              <w:pStyle w:val="TableTextBold"/>
              <w:rPr>
                <w:color w:val="FFFFFF"/>
              </w:rPr>
            </w:pPr>
            <w:r w:rsidRPr="00BB3E1E">
              <w:rPr>
                <w:rFonts w:eastAsia="Calibri"/>
                <w:color w:val="FFFFFF"/>
              </w:rPr>
              <w:t>CRF category code</w:t>
            </w:r>
          </w:p>
        </w:tc>
        <w:tc>
          <w:tcPr>
            <w:tcW w:w="3503" w:type="dxa"/>
            <w:shd w:val="clear" w:color="auto" w:fill="1B556B"/>
            <w:tcMar>
              <w:top w:w="0" w:type="dxa"/>
              <w:left w:w="85" w:type="dxa"/>
              <w:bottom w:w="0" w:type="dxa"/>
              <w:right w:w="85" w:type="dxa"/>
            </w:tcMar>
            <w:vAlign w:val="bottom"/>
          </w:tcPr>
          <w:p w14:paraId="199213C8" w14:textId="77777777" w:rsidR="00BB3E1E" w:rsidRPr="00BB3E1E" w:rsidRDefault="00BB3E1E" w:rsidP="00B05614">
            <w:pPr>
              <w:pStyle w:val="TableTextBold"/>
              <w:rPr>
                <w:color w:val="FFFFFF"/>
              </w:rPr>
            </w:pPr>
            <w:r w:rsidRPr="00BB3E1E">
              <w:rPr>
                <w:rFonts w:eastAsia="Calibri"/>
                <w:color w:val="FFFFFF"/>
              </w:rPr>
              <w:t>IPCC category</w:t>
            </w:r>
          </w:p>
        </w:tc>
        <w:tc>
          <w:tcPr>
            <w:tcW w:w="567" w:type="dxa"/>
            <w:shd w:val="clear" w:color="auto" w:fill="1B556B"/>
            <w:tcMar>
              <w:top w:w="0" w:type="dxa"/>
              <w:left w:w="85" w:type="dxa"/>
              <w:bottom w:w="0" w:type="dxa"/>
              <w:right w:w="85" w:type="dxa"/>
            </w:tcMar>
            <w:vAlign w:val="bottom"/>
          </w:tcPr>
          <w:p w14:paraId="140D9D66" w14:textId="77777777" w:rsidR="00BB3E1E" w:rsidRPr="00BB3E1E" w:rsidRDefault="00BB3E1E" w:rsidP="00B05614">
            <w:pPr>
              <w:pStyle w:val="TableTextBold"/>
              <w:rPr>
                <w:color w:val="FFFFFF"/>
              </w:rPr>
            </w:pPr>
            <w:r w:rsidRPr="00BB3E1E">
              <w:rPr>
                <w:rFonts w:eastAsia="Calibri"/>
                <w:color w:val="FFFFFF"/>
              </w:rPr>
              <w:t>Gas</w:t>
            </w:r>
          </w:p>
        </w:tc>
        <w:tc>
          <w:tcPr>
            <w:tcW w:w="1560" w:type="dxa"/>
            <w:shd w:val="clear" w:color="auto" w:fill="1B556B"/>
            <w:tcMar>
              <w:top w:w="0" w:type="dxa"/>
              <w:left w:w="85" w:type="dxa"/>
              <w:bottom w:w="0" w:type="dxa"/>
              <w:right w:w="85" w:type="dxa"/>
            </w:tcMar>
            <w:vAlign w:val="bottom"/>
          </w:tcPr>
          <w:p w14:paraId="695C1F4E" w14:textId="14447712" w:rsidR="00BB3E1E" w:rsidRPr="00BB3E1E" w:rsidRDefault="00BB3E1E" w:rsidP="00B05614">
            <w:pPr>
              <w:pStyle w:val="TableTextBold"/>
              <w:jc w:val="right"/>
              <w:rPr>
                <w:color w:val="FFFFFF"/>
              </w:rPr>
            </w:pPr>
            <w:r w:rsidRPr="00BB3E1E">
              <w:rPr>
                <w:rFonts w:eastAsia="Calibri"/>
                <w:color w:val="FFFFFF"/>
              </w:rPr>
              <w:t xml:space="preserve">2020 estimate </w:t>
            </w:r>
            <w:r w:rsidR="00BB1EAB">
              <w:rPr>
                <w:rFonts w:eastAsia="Calibri"/>
                <w:color w:val="FFFFFF"/>
              </w:rPr>
              <w:br/>
            </w:r>
            <w:r w:rsidRPr="00BB3E1E">
              <w:rPr>
                <w:rFonts w:eastAsia="Calibri"/>
                <w:color w:val="FFFFFF"/>
              </w:rPr>
              <w:t>(kt CO</w:t>
            </w:r>
            <w:r w:rsidRPr="00BB3E1E">
              <w:rPr>
                <w:rFonts w:eastAsia="Calibri"/>
                <w:color w:val="FFFFFF"/>
                <w:vertAlign w:val="subscript"/>
              </w:rPr>
              <w:t>2</w:t>
            </w:r>
            <w:r w:rsidRPr="00BB3E1E">
              <w:rPr>
                <w:rFonts w:eastAsia="Calibri"/>
                <w:color w:val="FFFFFF"/>
              </w:rPr>
              <w:t>-equivalent)</w:t>
            </w:r>
          </w:p>
        </w:tc>
        <w:tc>
          <w:tcPr>
            <w:tcW w:w="944" w:type="dxa"/>
            <w:shd w:val="clear" w:color="auto" w:fill="1B556B"/>
            <w:tcMar>
              <w:top w:w="0" w:type="dxa"/>
              <w:left w:w="85" w:type="dxa"/>
              <w:bottom w:w="0" w:type="dxa"/>
              <w:right w:w="85" w:type="dxa"/>
            </w:tcMar>
            <w:vAlign w:val="bottom"/>
          </w:tcPr>
          <w:p w14:paraId="0E29D798" w14:textId="77777777" w:rsidR="00BB3E1E" w:rsidRPr="00BB3E1E" w:rsidRDefault="00BB3E1E" w:rsidP="00B05614">
            <w:pPr>
              <w:pStyle w:val="TableTextBold"/>
              <w:jc w:val="right"/>
              <w:rPr>
                <w:color w:val="FFFFFF"/>
              </w:rPr>
            </w:pPr>
            <w:r w:rsidRPr="00BB3E1E">
              <w:rPr>
                <w:rFonts w:eastAsia="Calibri"/>
                <w:color w:val="FFFFFF"/>
              </w:rPr>
              <w:t>Level assessment (%)</w:t>
            </w:r>
          </w:p>
        </w:tc>
        <w:tc>
          <w:tcPr>
            <w:tcW w:w="926" w:type="dxa"/>
            <w:shd w:val="clear" w:color="auto" w:fill="1B556B"/>
            <w:tcMar>
              <w:top w:w="0" w:type="dxa"/>
              <w:left w:w="85" w:type="dxa"/>
              <w:bottom w:w="0" w:type="dxa"/>
              <w:right w:w="85" w:type="dxa"/>
            </w:tcMar>
            <w:vAlign w:val="bottom"/>
          </w:tcPr>
          <w:p w14:paraId="7640970A" w14:textId="77777777" w:rsidR="00BB3E1E" w:rsidRPr="00BB3E1E" w:rsidRDefault="00BB3E1E" w:rsidP="00B05614">
            <w:pPr>
              <w:pStyle w:val="TableTextBold"/>
              <w:jc w:val="right"/>
              <w:rPr>
                <w:color w:val="FFFFFF"/>
              </w:rPr>
            </w:pPr>
            <w:r w:rsidRPr="00BB3E1E">
              <w:rPr>
                <w:rFonts w:eastAsia="Calibri"/>
                <w:color w:val="FFFFFF"/>
              </w:rPr>
              <w:t>Cumulative total (%)</w:t>
            </w:r>
          </w:p>
        </w:tc>
      </w:tr>
      <w:tr w:rsidR="00BB3E1E" w:rsidRPr="00E25851" w14:paraId="1A6141E2" w14:textId="77777777" w:rsidTr="00BB1EAB">
        <w:trPr>
          <w:cantSplit/>
          <w:trHeight w:val="283"/>
        </w:trPr>
        <w:tc>
          <w:tcPr>
            <w:tcW w:w="0" w:type="auto"/>
            <w:shd w:val="clear" w:color="auto" w:fill="auto"/>
            <w:tcMar>
              <w:top w:w="0" w:type="dxa"/>
              <w:left w:w="85" w:type="dxa"/>
              <w:bottom w:w="0" w:type="dxa"/>
              <w:right w:w="85" w:type="dxa"/>
            </w:tcMar>
          </w:tcPr>
          <w:p w14:paraId="47CFF1AA" w14:textId="77777777" w:rsidR="00BB3E1E" w:rsidRPr="00E25851" w:rsidRDefault="00BB3E1E" w:rsidP="00B05614">
            <w:pPr>
              <w:pStyle w:val="TableText"/>
              <w:rPr>
                <w:rFonts w:cs="Calibri"/>
                <w:szCs w:val="16"/>
              </w:rPr>
            </w:pPr>
            <w:r w:rsidRPr="00E25851" w:rsidDel="005F18EC">
              <w:rPr>
                <w:rFonts w:cs="Calibri"/>
                <w:szCs w:val="16"/>
              </w:rPr>
              <w:t>3.A.1</w:t>
            </w:r>
          </w:p>
        </w:tc>
        <w:tc>
          <w:tcPr>
            <w:tcW w:w="3503" w:type="dxa"/>
            <w:shd w:val="clear" w:color="auto" w:fill="auto"/>
            <w:tcMar>
              <w:top w:w="0" w:type="dxa"/>
              <w:left w:w="85" w:type="dxa"/>
              <w:bottom w:w="0" w:type="dxa"/>
              <w:right w:w="85" w:type="dxa"/>
            </w:tcMar>
          </w:tcPr>
          <w:p w14:paraId="0F76DBBB" w14:textId="77777777" w:rsidR="00BB3E1E" w:rsidRPr="00E25851" w:rsidRDefault="00BB3E1E" w:rsidP="00B05614">
            <w:pPr>
              <w:pStyle w:val="TableText"/>
              <w:rPr>
                <w:rFonts w:cs="Calibri"/>
                <w:szCs w:val="16"/>
              </w:rPr>
            </w:pPr>
            <w:r w:rsidRPr="00E25851" w:rsidDel="005F18EC">
              <w:rPr>
                <w:rFonts w:cs="Calibri"/>
                <w:szCs w:val="16"/>
              </w:rPr>
              <w:t>Option A – Dairy Cattle</w:t>
            </w:r>
          </w:p>
        </w:tc>
        <w:tc>
          <w:tcPr>
            <w:tcW w:w="567" w:type="dxa"/>
            <w:shd w:val="clear" w:color="auto" w:fill="auto"/>
            <w:tcMar>
              <w:top w:w="0" w:type="dxa"/>
              <w:left w:w="85" w:type="dxa"/>
              <w:bottom w:w="0" w:type="dxa"/>
              <w:right w:w="85" w:type="dxa"/>
            </w:tcMar>
          </w:tcPr>
          <w:p w14:paraId="5DD847A9" w14:textId="77777777" w:rsidR="00BB3E1E" w:rsidRPr="00E25851" w:rsidRDefault="00BB3E1E" w:rsidP="00B05614">
            <w:pPr>
              <w:pStyle w:val="TableText"/>
              <w:rPr>
                <w:rFonts w:cs="Calibri"/>
                <w:szCs w:val="16"/>
              </w:rPr>
            </w:pPr>
            <w:r w:rsidRPr="00E25851" w:rsidDel="005F18EC">
              <w:rPr>
                <w:rFonts w:cs="Calibri"/>
                <w:szCs w:val="16"/>
              </w:rPr>
              <w:t>CH</w:t>
            </w:r>
            <w:r w:rsidRPr="00E25851" w:rsidDel="005F18EC">
              <w:rPr>
                <w:rFonts w:cs="Calibri"/>
                <w:szCs w:val="16"/>
                <w:vertAlign w:val="subscript"/>
              </w:rPr>
              <w:t>4</w:t>
            </w:r>
          </w:p>
        </w:tc>
        <w:tc>
          <w:tcPr>
            <w:tcW w:w="1560" w:type="dxa"/>
            <w:shd w:val="clear" w:color="auto" w:fill="auto"/>
            <w:tcMar>
              <w:top w:w="0" w:type="dxa"/>
              <w:left w:w="85" w:type="dxa"/>
              <w:bottom w:w="0" w:type="dxa"/>
              <w:right w:w="85" w:type="dxa"/>
            </w:tcMar>
          </w:tcPr>
          <w:p w14:paraId="4D41F71C" w14:textId="77777777" w:rsidR="00BB3E1E" w:rsidRPr="00E25851" w:rsidRDefault="00BB3E1E" w:rsidP="00B05614">
            <w:pPr>
              <w:pStyle w:val="TableText"/>
              <w:jc w:val="right"/>
              <w:rPr>
                <w:rFonts w:cs="Calibri"/>
                <w:szCs w:val="16"/>
              </w:rPr>
            </w:pPr>
            <w:r w:rsidRPr="00E25851" w:rsidDel="005F18EC">
              <w:rPr>
                <w:rFonts w:cs="Calibri"/>
                <w:szCs w:val="16"/>
              </w:rPr>
              <w:t>14,034.7</w:t>
            </w:r>
          </w:p>
        </w:tc>
        <w:tc>
          <w:tcPr>
            <w:tcW w:w="944" w:type="dxa"/>
            <w:shd w:val="clear" w:color="auto" w:fill="auto"/>
            <w:tcMar>
              <w:top w:w="0" w:type="dxa"/>
              <w:left w:w="85" w:type="dxa"/>
              <w:bottom w:w="0" w:type="dxa"/>
              <w:right w:w="85" w:type="dxa"/>
            </w:tcMar>
          </w:tcPr>
          <w:p w14:paraId="76B1C968" w14:textId="77777777" w:rsidR="00BB3E1E" w:rsidRPr="00E25851" w:rsidRDefault="00BB3E1E" w:rsidP="00B05614">
            <w:pPr>
              <w:pStyle w:val="TableText"/>
              <w:jc w:val="right"/>
              <w:rPr>
                <w:rFonts w:cs="Calibri"/>
                <w:szCs w:val="16"/>
              </w:rPr>
            </w:pPr>
            <w:r w:rsidRPr="00E25851" w:rsidDel="005F18EC">
              <w:rPr>
                <w:rFonts w:cs="Calibri"/>
                <w:szCs w:val="16"/>
              </w:rPr>
              <w:t>17.8</w:t>
            </w:r>
          </w:p>
        </w:tc>
        <w:tc>
          <w:tcPr>
            <w:tcW w:w="926" w:type="dxa"/>
            <w:shd w:val="clear" w:color="auto" w:fill="auto"/>
            <w:tcMar>
              <w:top w:w="0" w:type="dxa"/>
              <w:left w:w="85" w:type="dxa"/>
              <w:bottom w:w="0" w:type="dxa"/>
              <w:right w:w="85" w:type="dxa"/>
            </w:tcMar>
          </w:tcPr>
          <w:p w14:paraId="1D888BA0" w14:textId="77777777" w:rsidR="00BB3E1E" w:rsidRPr="00E25851" w:rsidRDefault="00BB3E1E" w:rsidP="00B05614">
            <w:pPr>
              <w:pStyle w:val="TableText"/>
              <w:jc w:val="right"/>
              <w:rPr>
                <w:rFonts w:cs="Calibri"/>
                <w:szCs w:val="16"/>
              </w:rPr>
            </w:pPr>
            <w:r w:rsidRPr="00E25851" w:rsidDel="005F18EC">
              <w:rPr>
                <w:rFonts w:cs="Calibri"/>
                <w:szCs w:val="16"/>
              </w:rPr>
              <w:t>17.8</w:t>
            </w:r>
          </w:p>
        </w:tc>
      </w:tr>
      <w:tr w:rsidR="00BB3E1E" w:rsidRPr="00E25851" w14:paraId="3D15F1F1" w14:textId="77777777" w:rsidTr="00BB1EAB">
        <w:trPr>
          <w:cantSplit/>
          <w:trHeight w:val="283"/>
        </w:trPr>
        <w:tc>
          <w:tcPr>
            <w:tcW w:w="0" w:type="auto"/>
            <w:shd w:val="clear" w:color="auto" w:fill="auto"/>
            <w:tcMar>
              <w:top w:w="0" w:type="dxa"/>
              <w:left w:w="85" w:type="dxa"/>
              <w:bottom w:w="0" w:type="dxa"/>
              <w:right w:w="85" w:type="dxa"/>
            </w:tcMar>
          </w:tcPr>
          <w:p w14:paraId="20293CE4" w14:textId="77777777" w:rsidR="00BB3E1E" w:rsidRPr="00E25851" w:rsidRDefault="00BB3E1E" w:rsidP="00B05614">
            <w:pPr>
              <w:pStyle w:val="TableText"/>
              <w:rPr>
                <w:rFonts w:cs="Calibri"/>
                <w:szCs w:val="16"/>
              </w:rPr>
            </w:pPr>
            <w:r w:rsidRPr="00E25851" w:rsidDel="005F18EC">
              <w:rPr>
                <w:rFonts w:cs="Calibri"/>
                <w:szCs w:val="16"/>
              </w:rPr>
              <w:t>1.A.3.b</w:t>
            </w:r>
          </w:p>
        </w:tc>
        <w:tc>
          <w:tcPr>
            <w:tcW w:w="3503" w:type="dxa"/>
            <w:shd w:val="clear" w:color="auto" w:fill="auto"/>
            <w:tcMar>
              <w:top w:w="0" w:type="dxa"/>
              <w:left w:w="85" w:type="dxa"/>
              <w:bottom w:w="0" w:type="dxa"/>
              <w:right w:w="85" w:type="dxa"/>
            </w:tcMar>
          </w:tcPr>
          <w:p w14:paraId="6911BCBC" w14:textId="77777777" w:rsidR="00BB3E1E" w:rsidRPr="00E25851" w:rsidRDefault="00BB3E1E" w:rsidP="00B05614">
            <w:pPr>
              <w:pStyle w:val="TableText"/>
              <w:rPr>
                <w:rFonts w:cs="Calibri"/>
                <w:szCs w:val="16"/>
              </w:rPr>
            </w:pPr>
            <w:r w:rsidRPr="00E25851" w:rsidDel="005F18EC">
              <w:rPr>
                <w:rFonts w:cs="Calibri"/>
                <w:szCs w:val="16"/>
              </w:rPr>
              <w:t>Transport – Road Transportation Liquid Fuels</w:t>
            </w:r>
          </w:p>
        </w:tc>
        <w:tc>
          <w:tcPr>
            <w:tcW w:w="567" w:type="dxa"/>
            <w:shd w:val="clear" w:color="auto" w:fill="auto"/>
            <w:tcMar>
              <w:top w:w="0" w:type="dxa"/>
              <w:left w:w="85" w:type="dxa"/>
              <w:bottom w:w="0" w:type="dxa"/>
              <w:right w:w="85" w:type="dxa"/>
            </w:tcMar>
          </w:tcPr>
          <w:p w14:paraId="68826431"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6D4A9B37" w14:textId="77777777" w:rsidR="00BB3E1E" w:rsidRPr="00E25851" w:rsidRDefault="00BB3E1E" w:rsidP="00B05614">
            <w:pPr>
              <w:pStyle w:val="TableText"/>
              <w:jc w:val="right"/>
              <w:rPr>
                <w:rFonts w:cs="Calibri"/>
                <w:szCs w:val="16"/>
              </w:rPr>
            </w:pPr>
            <w:r w:rsidRPr="00E25851" w:rsidDel="005F18EC">
              <w:rPr>
                <w:rFonts w:cs="Calibri"/>
                <w:szCs w:val="16"/>
              </w:rPr>
              <w:t>11,947.2</w:t>
            </w:r>
          </w:p>
        </w:tc>
        <w:tc>
          <w:tcPr>
            <w:tcW w:w="944" w:type="dxa"/>
            <w:shd w:val="clear" w:color="auto" w:fill="auto"/>
            <w:tcMar>
              <w:top w:w="0" w:type="dxa"/>
              <w:left w:w="85" w:type="dxa"/>
              <w:bottom w:w="0" w:type="dxa"/>
              <w:right w:w="85" w:type="dxa"/>
            </w:tcMar>
          </w:tcPr>
          <w:p w14:paraId="62319101" w14:textId="77777777" w:rsidR="00BB3E1E" w:rsidRPr="00E25851" w:rsidRDefault="00BB3E1E" w:rsidP="00B05614">
            <w:pPr>
              <w:pStyle w:val="TableText"/>
              <w:jc w:val="right"/>
              <w:rPr>
                <w:rFonts w:cs="Calibri"/>
                <w:szCs w:val="16"/>
              </w:rPr>
            </w:pPr>
            <w:r w:rsidRPr="00E25851" w:rsidDel="005F18EC">
              <w:rPr>
                <w:rFonts w:cs="Calibri"/>
                <w:szCs w:val="16"/>
              </w:rPr>
              <w:t>15.2</w:t>
            </w:r>
          </w:p>
        </w:tc>
        <w:tc>
          <w:tcPr>
            <w:tcW w:w="926" w:type="dxa"/>
            <w:shd w:val="clear" w:color="auto" w:fill="auto"/>
            <w:tcMar>
              <w:top w:w="0" w:type="dxa"/>
              <w:left w:w="85" w:type="dxa"/>
              <w:bottom w:w="0" w:type="dxa"/>
              <w:right w:w="85" w:type="dxa"/>
            </w:tcMar>
          </w:tcPr>
          <w:p w14:paraId="2294AF4D" w14:textId="77777777" w:rsidR="00BB3E1E" w:rsidRPr="00E25851" w:rsidRDefault="00BB3E1E" w:rsidP="00B05614">
            <w:pPr>
              <w:pStyle w:val="TableText"/>
              <w:jc w:val="right"/>
              <w:rPr>
                <w:rFonts w:cs="Calibri"/>
                <w:szCs w:val="16"/>
              </w:rPr>
            </w:pPr>
            <w:r w:rsidRPr="00E25851" w:rsidDel="005F18EC">
              <w:rPr>
                <w:rFonts w:cs="Calibri"/>
                <w:szCs w:val="16"/>
              </w:rPr>
              <w:t>33.0</w:t>
            </w:r>
          </w:p>
        </w:tc>
      </w:tr>
      <w:tr w:rsidR="00BB3E1E" w:rsidRPr="00E25851" w14:paraId="4CECB477" w14:textId="77777777" w:rsidTr="00BB1EAB">
        <w:trPr>
          <w:cantSplit/>
          <w:trHeight w:val="283"/>
        </w:trPr>
        <w:tc>
          <w:tcPr>
            <w:tcW w:w="0" w:type="auto"/>
            <w:shd w:val="clear" w:color="auto" w:fill="auto"/>
            <w:tcMar>
              <w:top w:w="0" w:type="dxa"/>
              <w:left w:w="85" w:type="dxa"/>
              <w:bottom w:w="0" w:type="dxa"/>
              <w:right w:w="85" w:type="dxa"/>
            </w:tcMar>
          </w:tcPr>
          <w:p w14:paraId="0DEF83A5" w14:textId="77777777" w:rsidR="00BB3E1E" w:rsidRPr="00E25851" w:rsidRDefault="00BB3E1E" w:rsidP="00B05614">
            <w:pPr>
              <w:pStyle w:val="TableText"/>
              <w:rPr>
                <w:rFonts w:cs="Calibri"/>
                <w:szCs w:val="16"/>
              </w:rPr>
            </w:pPr>
            <w:r w:rsidRPr="00E25851" w:rsidDel="005F18EC">
              <w:rPr>
                <w:rFonts w:cs="Calibri"/>
                <w:szCs w:val="16"/>
              </w:rPr>
              <w:t>3.A.2</w:t>
            </w:r>
          </w:p>
        </w:tc>
        <w:tc>
          <w:tcPr>
            <w:tcW w:w="3503" w:type="dxa"/>
            <w:shd w:val="clear" w:color="auto" w:fill="auto"/>
            <w:tcMar>
              <w:top w:w="0" w:type="dxa"/>
              <w:left w:w="85" w:type="dxa"/>
              <w:bottom w:w="0" w:type="dxa"/>
              <w:right w:w="85" w:type="dxa"/>
            </w:tcMar>
          </w:tcPr>
          <w:p w14:paraId="389A034B" w14:textId="77777777" w:rsidR="00BB3E1E" w:rsidRPr="00E25851" w:rsidRDefault="00BB3E1E" w:rsidP="00B05614">
            <w:pPr>
              <w:pStyle w:val="TableText"/>
              <w:rPr>
                <w:rFonts w:cs="Calibri"/>
                <w:szCs w:val="16"/>
              </w:rPr>
            </w:pPr>
            <w:r w:rsidRPr="00E25851" w:rsidDel="005F18EC">
              <w:rPr>
                <w:rFonts w:cs="Calibri"/>
                <w:szCs w:val="16"/>
              </w:rPr>
              <w:t>Other (please specify) – Sheep</w:t>
            </w:r>
          </w:p>
        </w:tc>
        <w:tc>
          <w:tcPr>
            <w:tcW w:w="567" w:type="dxa"/>
            <w:shd w:val="clear" w:color="auto" w:fill="auto"/>
            <w:tcMar>
              <w:top w:w="0" w:type="dxa"/>
              <w:left w:w="85" w:type="dxa"/>
              <w:bottom w:w="0" w:type="dxa"/>
              <w:right w:w="85" w:type="dxa"/>
            </w:tcMar>
          </w:tcPr>
          <w:p w14:paraId="077D307D" w14:textId="77777777" w:rsidR="00BB3E1E" w:rsidRPr="00E25851" w:rsidRDefault="00BB3E1E" w:rsidP="00B05614">
            <w:pPr>
              <w:pStyle w:val="TableText"/>
              <w:rPr>
                <w:rFonts w:cs="Calibri"/>
                <w:szCs w:val="16"/>
              </w:rPr>
            </w:pPr>
            <w:r w:rsidRPr="00E25851" w:rsidDel="005F18EC">
              <w:rPr>
                <w:rFonts w:cs="Calibri"/>
                <w:szCs w:val="16"/>
              </w:rPr>
              <w:t>CH</w:t>
            </w:r>
            <w:r w:rsidRPr="00E25851" w:rsidDel="005F18EC">
              <w:rPr>
                <w:rFonts w:cs="Calibri"/>
                <w:szCs w:val="16"/>
                <w:vertAlign w:val="subscript"/>
              </w:rPr>
              <w:t>4</w:t>
            </w:r>
          </w:p>
        </w:tc>
        <w:tc>
          <w:tcPr>
            <w:tcW w:w="1560" w:type="dxa"/>
            <w:shd w:val="clear" w:color="auto" w:fill="auto"/>
            <w:tcMar>
              <w:top w:w="0" w:type="dxa"/>
              <w:left w:w="85" w:type="dxa"/>
              <w:bottom w:w="0" w:type="dxa"/>
              <w:right w:w="85" w:type="dxa"/>
            </w:tcMar>
          </w:tcPr>
          <w:p w14:paraId="68B9CF86" w14:textId="77777777" w:rsidR="00BB3E1E" w:rsidRPr="00E25851" w:rsidRDefault="00BB3E1E" w:rsidP="00B05614">
            <w:pPr>
              <w:pStyle w:val="TableText"/>
              <w:jc w:val="right"/>
              <w:rPr>
                <w:rFonts w:cs="Calibri"/>
                <w:szCs w:val="16"/>
              </w:rPr>
            </w:pPr>
            <w:r w:rsidRPr="00E25851" w:rsidDel="005F18EC">
              <w:rPr>
                <w:rFonts w:cs="Calibri"/>
                <w:szCs w:val="16"/>
              </w:rPr>
              <w:t>8,271.2</w:t>
            </w:r>
          </w:p>
        </w:tc>
        <w:tc>
          <w:tcPr>
            <w:tcW w:w="944" w:type="dxa"/>
            <w:shd w:val="clear" w:color="auto" w:fill="auto"/>
            <w:tcMar>
              <w:top w:w="0" w:type="dxa"/>
              <w:left w:w="85" w:type="dxa"/>
              <w:bottom w:w="0" w:type="dxa"/>
              <w:right w:w="85" w:type="dxa"/>
            </w:tcMar>
          </w:tcPr>
          <w:p w14:paraId="3B5B36A6" w14:textId="77777777" w:rsidR="00BB3E1E" w:rsidRPr="00E25851" w:rsidRDefault="00BB3E1E" w:rsidP="00B05614">
            <w:pPr>
              <w:pStyle w:val="TableText"/>
              <w:jc w:val="right"/>
              <w:rPr>
                <w:rFonts w:cs="Calibri"/>
                <w:szCs w:val="16"/>
              </w:rPr>
            </w:pPr>
            <w:r w:rsidRPr="00E25851" w:rsidDel="005F18EC">
              <w:rPr>
                <w:rFonts w:cs="Calibri"/>
                <w:szCs w:val="16"/>
              </w:rPr>
              <w:t>10.5</w:t>
            </w:r>
          </w:p>
        </w:tc>
        <w:tc>
          <w:tcPr>
            <w:tcW w:w="926" w:type="dxa"/>
            <w:shd w:val="clear" w:color="auto" w:fill="auto"/>
            <w:tcMar>
              <w:top w:w="0" w:type="dxa"/>
              <w:left w:w="85" w:type="dxa"/>
              <w:bottom w:w="0" w:type="dxa"/>
              <w:right w:w="85" w:type="dxa"/>
            </w:tcMar>
          </w:tcPr>
          <w:p w14:paraId="354C5885" w14:textId="77777777" w:rsidR="00BB3E1E" w:rsidRPr="00E25851" w:rsidRDefault="00BB3E1E" w:rsidP="00B05614">
            <w:pPr>
              <w:pStyle w:val="TableText"/>
              <w:jc w:val="right"/>
              <w:rPr>
                <w:rFonts w:cs="Calibri"/>
                <w:szCs w:val="16"/>
              </w:rPr>
            </w:pPr>
            <w:r w:rsidRPr="00E25851" w:rsidDel="005F18EC">
              <w:rPr>
                <w:rFonts w:cs="Calibri"/>
                <w:szCs w:val="16"/>
              </w:rPr>
              <w:t>43.5</w:t>
            </w:r>
          </w:p>
        </w:tc>
      </w:tr>
      <w:tr w:rsidR="00BB3E1E" w:rsidRPr="00E25851" w14:paraId="7720A86C" w14:textId="77777777" w:rsidTr="00BB1EAB">
        <w:trPr>
          <w:cantSplit/>
          <w:trHeight w:val="283"/>
        </w:trPr>
        <w:tc>
          <w:tcPr>
            <w:tcW w:w="0" w:type="auto"/>
            <w:shd w:val="clear" w:color="auto" w:fill="auto"/>
            <w:tcMar>
              <w:top w:w="0" w:type="dxa"/>
              <w:left w:w="85" w:type="dxa"/>
              <w:bottom w:w="0" w:type="dxa"/>
              <w:right w:w="85" w:type="dxa"/>
            </w:tcMar>
          </w:tcPr>
          <w:p w14:paraId="2FD42461" w14:textId="77777777" w:rsidR="00BB3E1E" w:rsidRPr="00E25851" w:rsidRDefault="00BB3E1E" w:rsidP="00B05614">
            <w:pPr>
              <w:pStyle w:val="TableText"/>
              <w:rPr>
                <w:rFonts w:cs="Calibri"/>
                <w:szCs w:val="16"/>
              </w:rPr>
            </w:pPr>
            <w:r w:rsidRPr="00E25851" w:rsidDel="005F18EC">
              <w:rPr>
                <w:rFonts w:cs="Calibri"/>
                <w:szCs w:val="16"/>
              </w:rPr>
              <w:t>3.A.1</w:t>
            </w:r>
          </w:p>
        </w:tc>
        <w:tc>
          <w:tcPr>
            <w:tcW w:w="3503" w:type="dxa"/>
            <w:shd w:val="clear" w:color="auto" w:fill="auto"/>
            <w:tcMar>
              <w:top w:w="0" w:type="dxa"/>
              <w:left w:w="85" w:type="dxa"/>
              <w:bottom w:w="0" w:type="dxa"/>
              <w:right w:w="85" w:type="dxa"/>
            </w:tcMar>
          </w:tcPr>
          <w:p w14:paraId="78846D55" w14:textId="77777777" w:rsidR="00BB3E1E" w:rsidRPr="00E25851" w:rsidRDefault="00BB3E1E" w:rsidP="00B05614">
            <w:pPr>
              <w:pStyle w:val="TableText"/>
              <w:rPr>
                <w:rFonts w:cs="Calibri"/>
                <w:szCs w:val="16"/>
              </w:rPr>
            </w:pPr>
            <w:r w:rsidRPr="00E25851" w:rsidDel="005F18EC">
              <w:rPr>
                <w:rFonts w:cs="Calibri"/>
                <w:szCs w:val="16"/>
              </w:rPr>
              <w:t xml:space="preserve">Option A – Non-Dairy </w:t>
            </w:r>
            <w:r w:rsidRPr="00E25851">
              <w:rPr>
                <w:rFonts w:cs="Calibri"/>
                <w:szCs w:val="16"/>
              </w:rPr>
              <w:t>(</w:t>
            </w:r>
            <w:r w:rsidRPr="00E25851">
              <w:rPr>
                <w:rFonts w:cs="Calibri"/>
                <w:i/>
                <w:iCs/>
                <w:szCs w:val="16"/>
              </w:rPr>
              <w:t>Beef</w:t>
            </w:r>
            <w:r w:rsidRPr="00E25851">
              <w:rPr>
                <w:rFonts w:cs="Calibri"/>
                <w:szCs w:val="16"/>
              </w:rPr>
              <w:t xml:space="preserve">) </w:t>
            </w:r>
            <w:r w:rsidRPr="00E25851" w:rsidDel="005F18EC">
              <w:rPr>
                <w:rFonts w:cs="Calibri"/>
                <w:szCs w:val="16"/>
              </w:rPr>
              <w:t>Cattle</w:t>
            </w:r>
          </w:p>
        </w:tc>
        <w:tc>
          <w:tcPr>
            <w:tcW w:w="567" w:type="dxa"/>
            <w:shd w:val="clear" w:color="auto" w:fill="auto"/>
            <w:tcMar>
              <w:top w:w="0" w:type="dxa"/>
              <w:left w:w="85" w:type="dxa"/>
              <w:bottom w:w="0" w:type="dxa"/>
              <w:right w:w="85" w:type="dxa"/>
            </w:tcMar>
          </w:tcPr>
          <w:p w14:paraId="0B635CC1" w14:textId="77777777" w:rsidR="00BB3E1E" w:rsidRPr="00E25851" w:rsidRDefault="00BB3E1E" w:rsidP="00B05614">
            <w:pPr>
              <w:pStyle w:val="TableText"/>
              <w:rPr>
                <w:rFonts w:cs="Calibri"/>
                <w:szCs w:val="16"/>
              </w:rPr>
            </w:pPr>
            <w:r w:rsidRPr="00E25851" w:rsidDel="005F18EC">
              <w:rPr>
                <w:rFonts w:cs="Calibri"/>
                <w:szCs w:val="16"/>
              </w:rPr>
              <w:t>CH</w:t>
            </w:r>
            <w:r w:rsidRPr="00E25851" w:rsidDel="005F18EC">
              <w:rPr>
                <w:rFonts w:cs="Calibri"/>
                <w:szCs w:val="16"/>
                <w:vertAlign w:val="subscript"/>
              </w:rPr>
              <w:t>4</w:t>
            </w:r>
          </w:p>
        </w:tc>
        <w:tc>
          <w:tcPr>
            <w:tcW w:w="1560" w:type="dxa"/>
            <w:shd w:val="clear" w:color="auto" w:fill="auto"/>
            <w:tcMar>
              <w:top w:w="0" w:type="dxa"/>
              <w:left w:w="85" w:type="dxa"/>
              <w:bottom w:w="0" w:type="dxa"/>
              <w:right w:w="85" w:type="dxa"/>
            </w:tcMar>
          </w:tcPr>
          <w:p w14:paraId="7DEA09CA" w14:textId="77777777" w:rsidR="00BB3E1E" w:rsidRPr="00E25851" w:rsidRDefault="00BB3E1E" w:rsidP="00B05614">
            <w:pPr>
              <w:pStyle w:val="TableText"/>
              <w:jc w:val="right"/>
              <w:rPr>
                <w:rFonts w:cs="Calibri"/>
                <w:szCs w:val="16"/>
              </w:rPr>
            </w:pPr>
            <w:r w:rsidRPr="00E25851" w:rsidDel="005F18EC">
              <w:rPr>
                <w:rFonts w:cs="Calibri"/>
                <w:szCs w:val="16"/>
              </w:rPr>
              <w:t>5,980.9</w:t>
            </w:r>
          </w:p>
        </w:tc>
        <w:tc>
          <w:tcPr>
            <w:tcW w:w="944" w:type="dxa"/>
            <w:shd w:val="clear" w:color="auto" w:fill="auto"/>
            <w:tcMar>
              <w:top w:w="0" w:type="dxa"/>
              <w:left w:w="85" w:type="dxa"/>
              <w:bottom w:w="0" w:type="dxa"/>
              <w:right w:w="85" w:type="dxa"/>
            </w:tcMar>
          </w:tcPr>
          <w:p w14:paraId="168674A2" w14:textId="77777777" w:rsidR="00BB3E1E" w:rsidRPr="00E25851" w:rsidRDefault="00BB3E1E" w:rsidP="00B05614">
            <w:pPr>
              <w:pStyle w:val="TableText"/>
              <w:jc w:val="right"/>
              <w:rPr>
                <w:rFonts w:cs="Calibri"/>
                <w:szCs w:val="16"/>
              </w:rPr>
            </w:pPr>
            <w:r w:rsidRPr="00E25851" w:rsidDel="005F18EC">
              <w:rPr>
                <w:rFonts w:cs="Calibri"/>
                <w:szCs w:val="16"/>
              </w:rPr>
              <w:t>7.6</w:t>
            </w:r>
          </w:p>
        </w:tc>
        <w:tc>
          <w:tcPr>
            <w:tcW w:w="926" w:type="dxa"/>
            <w:shd w:val="clear" w:color="auto" w:fill="auto"/>
            <w:tcMar>
              <w:top w:w="0" w:type="dxa"/>
              <w:left w:w="85" w:type="dxa"/>
              <w:bottom w:w="0" w:type="dxa"/>
              <w:right w:w="85" w:type="dxa"/>
            </w:tcMar>
          </w:tcPr>
          <w:p w14:paraId="3F353435" w14:textId="77777777" w:rsidR="00BB3E1E" w:rsidRPr="00E25851" w:rsidRDefault="00BB3E1E" w:rsidP="00B05614">
            <w:pPr>
              <w:pStyle w:val="TableText"/>
              <w:jc w:val="right"/>
              <w:rPr>
                <w:rFonts w:cs="Calibri"/>
                <w:szCs w:val="16"/>
              </w:rPr>
            </w:pPr>
            <w:r w:rsidRPr="00E25851" w:rsidDel="005F18EC">
              <w:rPr>
                <w:rFonts w:cs="Calibri"/>
                <w:szCs w:val="16"/>
              </w:rPr>
              <w:t>51.1</w:t>
            </w:r>
          </w:p>
        </w:tc>
      </w:tr>
      <w:tr w:rsidR="00BB3E1E" w:rsidRPr="00E25851" w14:paraId="37E08104" w14:textId="77777777" w:rsidTr="00BB1EAB">
        <w:trPr>
          <w:cantSplit/>
          <w:trHeight w:val="283"/>
        </w:trPr>
        <w:tc>
          <w:tcPr>
            <w:tcW w:w="0" w:type="auto"/>
            <w:shd w:val="clear" w:color="auto" w:fill="auto"/>
            <w:tcMar>
              <w:top w:w="0" w:type="dxa"/>
              <w:left w:w="85" w:type="dxa"/>
              <w:bottom w:w="0" w:type="dxa"/>
              <w:right w:w="85" w:type="dxa"/>
            </w:tcMar>
          </w:tcPr>
          <w:p w14:paraId="3AEA28E7" w14:textId="77777777" w:rsidR="00BB3E1E" w:rsidRPr="00E25851" w:rsidRDefault="00BB3E1E" w:rsidP="00B05614">
            <w:pPr>
              <w:pStyle w:val="TableText"/>
              <w:rPr>
                <w:rFonts w:cs="Calibri"/>
                <w:szCs w:val="16"/>
              </w:rPr>
            </w:pPr>
            <w:r w:rsidRPr="00E25851" w:rsidDel="005F18EC">
              <w:rPr>
                <w:rFonts w:cs="Calibri"/>
                <w:szCs w:val="16"/>
              </w:rPr>
              <w:t>3.D.1.3</w:t>
            </w:r>
          </w:p>
        </w:tc>
        <w:tc>
          <w:tcPr>
            <w:tcW w:w="3503" w:type="dxa"/>
            <w:shd w:val="clear" w:color="auto" w:fill="auto"/>
            <w:tcMar>
              <w:top w:w="0" w:type="dxa"/>
              <w:left w:w="85" w:type="dxa"/>
              <w:bottom w:w="0" w:type="dxa"/>
              <w:right w:w="85" w:type="dxa"/>
            </w:tcMar>
          </w:tcPr>
          <w:p w14:paraId="442FEE86" w14:textId="77777777" w:rsidR="00BB3E1E" w:rsidRPr="00E25851" w:rsidRDefault="00BB3E1E" w:rsidP="00B05614">
            <w:pPr>
              <w:pStyle w:val="TableText"/>
              <w:rPr>
                <w:rFonts w:cs="Calibri"/>
                <w:szCs w:val="16"/>
              </w:rPr>
            </w:pPr>
            <w:r w:rsidRPr="00E25851">
              <w:rPr>
                <w:rFonts w:cs="Calibri"/>
                <w:szCs w:val="16"/>
              </w:rPr>
              <w:t>Direct N</w:t>
            </w:r>
            <w:r w:rsidRPr="00E25851">
              <w:rPr>
                <w:rFonts w:cs="Calibri"/>
                <w:szCs w:val="16"/>
                <w:vertAlign w:val="subscript"/>
              </w:rPr>
              <w:t>2</w:t>
            </w:r>
            <w:r w:rsidRPr="00E25851">
              <w:rPr>
                <w:rFonts w:cs="Calibri"/>
                <w:szCs w:val="16"/>
              </w:rPr>
              <w:t>O Emissions from</w:t>
            </w:r>
            <w:r w:rsidRPr="00E25851" w:rsidDel="005F18EC">
              <w:rPr>
                <w:rFonts w:cs="Calibri"/>
                <w:szCs w:val="16"/>
              </w:rPr>
              <w:t xml:space="preserve"> Managed Soils – Urine and Dung Deposited by Grazing Animals</w:t>
            </w:r>
          </w:p>
        </w:tc>
        <w:tc>
          <w:tcPr>
            <w:tcW w:w="567" w:type="dxa"/>
            <w:shd w:val="clear" w:color="auto" w:fill="auto"/>
            <w:tcMar>
              <w:top w:w="0" w:type="dxa"/>
              <w:left w:w="85" w:type="dxa"/>
              <w:bottom w:w="0" w:type="dxa"/>
              <w:right w:w="85" w:type="dxa"/>
            </w:tcMar>
          </w:tcPr>
          <w:p w14:paraId="7DDE64E4" w14:textId="77777777" w:rsidR="00BB3E1E" w:rsidRPr="00E25851" w:rsidRDefault="00BB3E1E" w:rsidP="00B05614">
            <w:pPr>
              <w:pStyle w:val="TableText"/>
              <w:rPr>
                <w:rFonts w:cs="Calibri"/>
                <w:szCs w:val="16"/>
              </w:rPr>
            </w:pPr>
            <w:r w:rsidRPr="00E25851" w:rsidDel="005F18EC">
              <w:rPr>
                <w:rFonts w:cs="Calibri"/>
                <w:szCs w:val="16"/>
              </w:rPr>
              <w:t>N</w:t>
            </w:r>
            <w:r w:rsidRPr="00E25851" w:rsidDel="005F18EC">
              <w:rPr>
                <w:rFonts w:cs="Calibri"/>
                <w:szCs w:val="16"/>
                <w:vertAlign w:val="subscript"/>
              </w:rPr>
              <w:t>2</w:t>
            </w:r>
            <w:r w:rsidRPr="00E25851" w:rsidDel="005F18EC">
              <w:rPr>
                <w:rFonts w:cs="Calibri"/>
                <w:szCs w:val="16"/>
              </w:rPr>
              <w:t>O</w:t>
            </w:r>
          </w:p>
        </w:tc>
        <w:tc>
          <w:tcPr>
            <w:tcW w:w="1560" w:type="dxa"/>
            <w:shd w:val="clear" w:color="auto" w:fill="auto"/>
            <w:tcMar>
              <w:top w:w="0" w:type="dxa"/>
              <w:left w:w="85" w:type="dxa"/>
              <w:bottom w:w="0" w:type="dxa"/>
              <w:right w:w="85" w:type="dxa"/>
            </w:tcMar>
          </w:tcPr>
          <w:p w14:paraId="57D17357" w14:textId="77777777" w:rsidR="00BB3E1E" w:rsidRPr="00E25851" w:rsidRDefault="00BB3E1E" w:rsidP="00B05614">
            <w:pPr>
              <w:pStyle w:val="TableText"/>
              <w:jc w:val="right"/>
              <w:rPr>
                <w:rFonts w:cs="Calibri"/>
                <w:szCs w:val="16"/>
              </w:rPr>
            </w:pPr>
            <w:r w:rsidRPr="00E25851" w:rsidDel="005F18EC">
              <w:rPr>
                <w:rFonts w:cs="Calibri"/>
                <w:szCs w:val="16"/>
              </w:rPr>
              <w:t>3,890.0</w:t>
            </w:r>
          </w:p>
        </w:tc>
        <w:tc>
          <w:tcPr>
            <w:tcW w:w="944" w:type="dxa"/>
            <w:shd w:val="clear" w:color="auto" w:fill="auto"/>
            <w:tcMar>
              <w:top w:w="0" w:type="dxa"/>
              <w:left w:w="85" w:type="dxa"/>
              <w:bottom w:w="0" w:type="dxa"/>
              <w:right w:w="85" w:type="dxa"/>
            </w:tcMar>
          </w:tcPr>
          <w:p w14:paraId="1942BBD5" w14:textId="77777777" w:rsidR="00BB3E1E" w:rsidRPr="00E25851" w:rsidRDefault="00BB3E1E" w:rsidP="00B05614">
            <w:pPr>
              <w:pStyle w:val="TableText"/>
              <w:jc w:val="right"/>
              <w:rPr>
                <w:rFonts w:cs="Calibri"/>
                <w:szCs w:val="16"/>
              </w:rPr>
            </w:pPr>
            <w:r w:rsidRPr="00E25851" w:rsidDel="005F18EC">
              <w:rPr>
                <w:rFonts w:cs="Calibri"/>
                <w:szCs w:val="16"/>
              </w:rPr>
              <w:t>4.9</w:t>
            </w:r>
          </w:p>
        </w:tc>
        <w:tc>
          <w:tcPr>
            <w:tcW w:w="926" w:type="dxa"/>
            <w:shd w:val="clear" w:color="auto" w:fill="auto"/>
            <w:tcMar>
              <w:top w:w="0" w:type="dxa"/>
              <w:left w:w="85" w:type="dxa"/>
              <w:bottom w:w="0" w:type="dxa"/>
              <w:right w:w="85" w:type="dxa"/>
            </w:tcMar>
          </w:tcPr>
          <w:p w14:paraId="302C8B15" w14:textId="77777777" w:rsidR="00BB3E1E" w:rsidRPr="00E25851" w:rsidRDefault="00BB3E1E" w:rsidP="00B05614">
            <w:pPr>
              <w:pStyle w:val="TableText"/>
              <w:jc w:val="right"/>
              <w:rPr>
                <w:rFonts w:cs="Calibri"/>
                <w:szCs w:val="16"/>
              </w:rPr>
            </w:pPr>
            <w:r w:rsidRPr="00E25851" w:rsidDel="005F18EC">
              <w:rPr>
                <w:rFonts w:cs="Calibri"/>
                <w:szCs w:val="16"/>
              </w:rPr>
              <w:t>56.0</w:t>
            </w:r>
          </w:p>
        </w:tc>
      </w:tr>
      <w:tr w:rsidR="00BB3E1E" w:rsidRPr="00E25851" w14:paraId="22768CA4" w14:textId="77777777" w:rsidTr="00BB1EAB">
        <w:trPr>
          <w:cantSplit/>
          <w:trHeight w:val="283"/>
        </w:trPr>
        <w:tc>
          <w:tcPr>
            <w:tcW w:w="0" w:type="auto"/>
            <w:shd w:val="clear" w:color="auto" w:fill="auto"/>
            <w:tcMar>
              <w:top w:w="0" w:type="dxa"/>
              <w:left w:w="85" w:type="dxa"/>
              <w:bottom w:w="0" w:type="dxa"/>
              <w:right w:w="85" w:type="dxa"/>
            </w:tcMar>
          </w:tcPr>
          <w:p w14:paraId="3AC24EDF" w14:textId="77777777" w:rsidR="00BB3E1E" w:rsidRPr="00E25851" w:rsidRDefault="00BB3E1E" w:rsidP="00B05614">
            <w:pPr>
              <w:pStyle w:val="TableText"/>
              <w:rPr>
                <w:rFonts w:cs="Calibri"/>
                <w:szCs w:val="16"/>
              </w:rPr>
            </w:pPr>
            <w:r w:rsidRPr="00E25851" w:rsidDel="005F18EC">
              <w:rPr>
                <w:rFonts w:cs="Calibri"/>
                <w:szCs w:val="16"/>
              </w:rPr>
              <w:t>1.A.1.a</w:t>
            </w:r>
          </w:p>
        </w:tc>
        <w:tc>
          <w:tcPr>
            <w:tcW w:w="3503" w:type="dxa"/>
            <w:shd w:val="clear" w:color="auto" w:fill="auto"/>
            <w:tcMar>
              <w:top w:w="0" w:type="dxa"/>
              <w:left w:w="85" w:type="dxa"/>
              <w:bottom w:w="0" w:type="dxa"/>
              <w:right w:w="85" w:type="dxa"/>
            </w:tcMar>
          </w:tcPr>
          <w:p w14:paraId="4B588160" w14:textId="77777777" w:rsidR="00BB3E1E" w:rsidRPr="00E25851" w:rsidRDefault="00BB3E1E" w:rsidP="00B05614">
            <w:pPr>
              <w:pStyle w:val="TableText"/>
              <w:rPr>
                <w:rFonts w:cs="Calibri"/>
                <w:szCs w:val="16"/>
              </w:rPr>
            </w:pPr>
            <w:r w:rsidRPr="00E25851" w:rsidDel="005F18EC">
              <w:rPr>
                <w:rFonts w:cs="Calibri"/>
                <w:szCs w:val="16"/>
              </w:rPr>
              <w:t>Energy Industries – Public Electricity and Heat Production Gaseous Fuels</w:t>
            </w:r>
          </w:p>
        </w:tc>
        <w:tc>
          <w:tcPr>
            <w:tcW w:w="567" w:type="dxa"/>
            <w:shd w:val="clear" w:color="auto" w:fill="auto"/>
            <w:tcMar>
              <w:top w:w="0" w:type="dxa"/>
              <w:left w:w="85" w:type="dxa"/>
              <w:bottom w:w="0" w:type="dxa"/>
              <w:right w:w="85" w:type="dxa"/>
            </w:tcMar>
          </w:tcPr>
          <w:p w14:paraId="1D681AD7"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3DDA7136" w14:textId="77777777" w:rsidR="00BB3E1E" w:rsidRPr="00E25851" w:rsidRDefault="00BB3E1E" w:rsidP="00B05614">
            <w:pPr>
              <w:pStyle w:val="TableText"/>
              <w:jc w:val="right"/>
              <w:rPr>
                <w:rFonts w:cs="Calibri"/>
                <w:szCs w:val="16"/>
              </w:rPr>
            </w:pPr>
            <w:r w:rsidRPr="00E25851" w:rsidDel="005F18EC">
              <w:rPr>
                <w:rFonts w:cs="Calibri"/>
                <w:szCs w:val="16"/>
              </w:rPr>
              <w:t>2,697.3</w:t>
            </w:r>
          </w:p>
        </w:tc>
        <w:tc>
          <w:tcPr>
            <w:tcW w:w="944" w:type="dxa"/>
            <w:shd w:val="clear" w:color="auto" w:fill="auto"/>
            <w:tcMar>
              <w:top w:w="0" w:type="dxa"/>
              <w:left w:w="85" w:type="dxa"/>
              <w:bottom w:w="0" w:type="dxa"/>
              <w:right w:w="85" w:type="dxa"/>
            </w:tcMar>
          </w:tcPr>
          <w:p w14:paraId="00360CEC" w14:textId="77777777" w:rsidR="00BB3E1E" w:rsidRPr="00E25851" w:rsidRDefault="00BB3E1E" w:rsidP="00B05614">
            <w:pPr>
              <w:pStyle w:val="TableText"/>
              <w:jc w:val="right"/>
              <w:rPr>
                <w:rFonts w:cs="Calibri"/>
                <w:szCs w:val="16"/>
              </w:rPr>
            </w:pPr>
            <w:r w:rsidRPr="00E25851" w:rsidDel="005F18EC">
              <w:rPr>
                <w:rFonts w:cs="Calibri"/>
                <w:szCs w:val="16"/>
              </w:rPr>
              <w:t>3.4</w:t>
            </w:r>
          </w:p>
        </w:tc>
        <w:tc>
          <w:tcPr>
            <w:tcW w:w="926" w:type="dxa"/>
            <w:shd w:val="clear" w:color="auto" w:fill="auto"/>
            <w:tcMar>
              <w:top w:w="0" w:type="dxa"/>
              <w:left w:w="85" w:type="dxa"/>
              <w:bottom w:w="0" w:type="dxa"/>
              <w:right w:w="85" w:type="dxa"/>
            </w:tcMar>
          </w:tcPr>
          <w:p w14:paraId="349A6738" w14:textId="77777777" w:rsidR="00BB3E1E" w:rsidRPr="00E25851" w:rsidRDefault="00BB3E1E" w:rsidP="00B05614">
            <w:pPr>
              <w:pStyle w:val="TableText"/>
              <w:jc w:val="right"/>
              <w:rPr>
                <w:rFonts w:cs="Calibri"/>
                <w:szCs w:val="16"/>
              </w:rPr>
            </w:pPr>
            <w:r w:rsidRPr="00E25851" w:rsidDel="005F18EC">
              <w:rPr>
                <w:rFonts w:cs="Calibri"/>
                <w:szCs w:val="16"/>
              </w:rPr>
              <w:t>59.4</w:t>
            </w:r>
          </w:p>
        </w:tc>
      </w:tr>
      <w:tr w:rsidR="00BB3E1E" w:rsidRPr="00E25851" w14:paraId="039D5138" w14:textId="77777777" w:rsidTr="00BB1EAB">
        <w:trPr>
          <w:cantSplit/>
          <w:trHeight w:val="283"/>
        </w:trPr>
        <w:tc>
          <w:tcPr>
            <w:tcW w:w="0" w:type="auto"/>
            <w:shd w:val="clear" w:color="auto" w:fill="auto"/>
            <w:tcMar>
              <w:top w:w="0" w:type="dxa"/>
              <w:left w:w="85" w:type="dxa"/>
              <w:bottom w:w="0" w:type="dxa"/>
              <w:right w:w="85" w:type="dxa"/>
            </w:tcMar>
          </w:tcPr>
          <w:p w14:paraId="38FE2168" w14:textId="77777777" w:rsidR="00BB3E1E" w:rsidRPr="00E25851" w:rsidRDefault="00BB3E1E" w:rsidP="00B05614">
            <w:pPr>
              <w:pStyle w:val="TableText"/>
              <w:rPr>
                <w:rFonts w:cs="Calibri"/>
                <w:szCs w:val="16"/>
              </w:rPr>
            </w:pPr>
            <w:r w:rsidRPr="00E25851" w:rsidDel="005F18EC">
              <w:rPr>
                <w:rFonts w:cs="Calibri"/>
                <w:szCs w:val="16"/>
              </w:rPr>
              <w:t>5.A</w:t>
            </w:r>
          </w:p>
        </w:tc>
        <w:tc>
          <w:tcPr>
            <w:tcW w:w="3503" w:type="dxa"/>
            <w:shd w:val="clear" w:color="auto" w:fill="auto"/>
            <w:tcMar>
              <w:top w:w="0" w:type="dxa"/>
              <w:left w:w="85" w:type="dxa"/>
              <w:bottom w:w="0" w:type="dxa"/>
              <w:right w:w="85" w:type="dxa"/>
            </w:tcMar>
          </w:tcPr>
          <w:p w14:paraId="0854649B" w14:textId="77777777" w:rsidR="00BB3E1E" w:rsidRPr="00E25851" w:rsidRDefault="00BB3E1E" w:rsidP="00B05614">
            <w:pPr>
              <w:pStyle w:val="TableText"/>
              <w:rPr>
                <w:rFonts w:cs="Calibri"/>
                <w:szCs w:val="16"/>
              </w:rPr>
            </w:pPr>
            <w:r w:rsidRPr="00E25851" w:rsidDel="005F18EC">
              <w:rPr>
                <w:rFonts w:cs="Calibri"/>
                <w:szCs w:val="16"/>
              </w:rPr>
              <w:t>Waste – Solid Waste Disposal</w:t>
            </w:r>
          </w:p>
        </w:tc>
        <w:tc>
          <w:tcPr>
            <w:tcW w:w="567" w:type="dxa"/>
            <w:shd w:val="clear" w:color="auto" w:fill="auto"/>
            <w:tcMar>
              <w:top w:w="0" w:type="dxa"/>
              <w:left w:w="85" w:type="dxa"/>
              <w:bottom w:w="0" w:type="dxa"/>
              <w:right w:w="85" w:type="dxa"/>
            </w:tcMar>
          </w:tcPr>
          <w:p w14:paraId="28A44F46" w14:textId="77777777" w:rsidR="00BB3E1E" w:rsidRPr="00E25851" w:rsidRDefault="00BB3E1E" w:rsidP="00B05614">
            <w:pPr>
              <w:pStyle w:val="TableText"/>
              <w:rPr>
                <w:rFonts w:cs="Calibri"/>
                <w:szCs w:val="16"/>
              </w:rPr>
            </w:pPr>
            <w:r w:rsidRPr="00E25851" w:rsidDel="005F18EC">
              <w:rPr>
                <w:rFonts w:cs="Calibri"/>
                <w:szCs w:val="16"/>
              </w:rPr>
              <w:t>CH</w:t>
            </w:r>
            <w:r w:rsidRPr="00E25851" w:rsidDel="005F18EC">
              <w:rPr>
                <w:rFonts w:cs="Calibri"/>
                <w:szCs w:val="16"/>
                <w:vertAlign w:val="subscript"/>
              </w:rPr>
              <w:t>4</w:t>
            </w:r>
          </w:p>
        </w:tc>
        <w:tc>
          <w:tcPr>
            <w:tcW w:w="1560" w:type="dxa"/>
            <w:shd w:val="clear" w:color="auto" w:fill="auto"/>
            <w:tcMar>
              <w:top w:w="0" w:type="dxa"/>
              <w:left w:w="85" w:type="dxa"/>
              <w:bottom w:w="0" w:type="dxa"/>
              <w:right w:w="85" w:type="dxa"/>
            </w:tcMar>
          </w:tcPr>
          <w:p w14:paraId="4281F66A" w14:textId="77777777" w:rsidR="00BB3E1E" w:rsidRPr="00E25851" w:rsidRDefault="00BB3E1E" w:rsidP="00B05614">
            <w:pPr>
              <w:pStyle w:val="TableText"/>
              <w:jc w:val="right"/>
              <w:rPr>
                <w:rFonts w:cs="Calibri"/>
                <w:szCs w:val="16"/>
              </w:rPr>
            </w:pPr>
            <w:r w:rsidRPr="00E25851" w:rsidDel="005F18EC">
              <w:rPr>
                <w:rFonts w:cs="Calibri"/>
                <w:szCs w:val="16"/>
              </w:rPr>
              <w:t>2,637.7</w:t>
            </w:r>
          </w:p>
        </w:tc>
        <w:tc>
          <w:tcPr>
            <w:tcW w:w="944" w:type="dxa"/>
            <w:shd w:val="clear" w:color="auto" w:fill="auto"/>
            <w:tcMar>
              <w:top w:w="0" w:type="dxa"/>
              <w:left w:w="85" w:type="dxa"/>
              <w:bottom w:w="0" w:type="dxa"/>
              <w:right w:w="85" w:type="dxa"/>
            </w:tcMar>
          </w:tcPr>
          <w:p w14:paraId="0ED70D03" w14:textId="77777777" w:rsidR="00BB3E1E" w:rsidRPr="00E25851" w:rsidRDefault="00BB3E1E" w:rsidP="00B05614">
            <w:pPr>
              <w:pStyle w:val="TableText"/>
              <w:jc w:val="right"/>
              <w:rPr>
                <w:rFonts w:cs="Calibri"/>
                <w:szCs w:val="16"/>
              </w:rPr>
            </w:pPr>
            <w:r w:rsidRPr="00E25851" w:rsidDel="005F18EC">
              <w:rPr>
                <w:rFonts w:cs="Calibri"/>
                <w:szCs w:val="16"/>
              </w:rPr>
              <w:t>3.3</w:t>
            </w:r>
          </w:p>
        </w:tc>
        <w:tc>
          <w:tcPr>
            <w:tcW w:w="926" w:type="dxa"/>
            <w:shd w:val="clear" w:color="auto" w:fill="auto"/>
            <w:tcMar>
              <w:top w:w="0" w:type="dxa"/>
              <w:left w:w="85" w:type="dxa"/>
              <w:bottom w:w="0" w:type="dxa"/>
              <w:right w:w="85" w:type="dxa"/>
            </w:tcMar>
          </w:tcPr>
          <w:p w14:paraId="6B1AF106" w14:textId="77777777" w:rsidR="00BB3E1E" w:rsidRPr="00E25851" w:rsidRDefault="00BB3E1E" w:rsidP="00B05614">
            <w:pPr>
              <w:pStyle w:val="TableText"/>
              <w:jc w:val="right"/>
              <w:rPr>
                <w:rFonts w:cs="Calibri"/>
                <w:szCs w:val="16"/>
              </w:rPr>
            </w:pPr>
            <w:r w:rsidRPr="00E25851" w:rsidDel="005F18EC">
              <w:rPr>
                <w:rFonts w:cs="Calibri"/>
                <w:szCs w:val="16"/>
              </w:rPr>
              <w:t>62.8</w:t>
            </w:r>
          </w:p>
        </w:tc>
      </w:tr>
      <w:tr w:rsidR="00BB3E1E" w:rsidRPr="00E25851" w14:paraId="69EAEDDD" w14:textId="77777777" w:rsidTr="00BB1EAB">
        <w:trPr>
          <w:cantSplit/>
          <w:trHeight w:val="283"/>
        </w:trPr>
        <w:tc>
          <w:tcPr>
            <w:tcW w:w="0" w:type="auto"/>
            <w:shd w:val="clear" w:color="auto" w:fill="auto"/>
            <w:tcMar>
              <w:top w:w="0" w:type="dxa"/>
              <w:left w:w="85" w:type="dxa"/>
              <w:bottom w:w="0" w:type="dxa"/>
              <w:right w:w="85" w:type="dxa"/>
            </w:tcMar>
          </w:tcPr>
          <w:p w14:paraId="45418352" w14:textId="77777777" w:rsidR="00BB3E1E" w:rsidRPr="00E25851" w:rsidRDefault="00BB3E1E" w:rsidP="00B05614">
            <w:pPr>
              <w:pStyle w:val="TableText"/>
              <w:rPr>
                <w:rFonts w:cs="Calibri"/>
                <w:szCs w:val="16"/>
              </w:rPr>
            </w:pPr>
            <w:r w:rsidRPr="00E25851" w:rsidDel="005F18EC">
              <w:rPr>
                <w:rFonts w:cs="Calibri"/>
                <w:szCs w:val="16"/>
              </w:rPr>
              <w:t>1.A.1.a</w:t>
            </w:r>
          </w:p>
        </w:tc>
        <w:tc>
          <w:tcPr>
            <w:tcW w:w="3503" w:type="dxa"/>
            <w:shd w:val="clear" w:color="auto" w:fill="auto"/>
            <w:tcMar>
              <w:top w:w="0" w:type="dxa"/>
              <w:left w:w="85" w:type="dxa"/>
              <w:bottom w:w="0" w:type="dxa"/>
              <w:right w:w="85" w:type="dxa"/>
            </w:tcMar>
          </w:tcPr>
          <w:p w14:paraId="7D57C08B" w14:textId="77777777" w:rsidR="00BB3E1E" w:rsidRPr="00E25851" w:rsidRDefault="00BB3E1E" w:rsidP="00B05614">
            <w:pPr>
              <w:pStyle w:val="TableText"/>
              <w:rPr>
                <w:rFonts w:cs="Calibri"/>
                <w:szCs w:val="16"/>
              </w:rPr>
            </w:pPr>
            <w:r w:rsidRPr="00E25851" w:rsidDel="005F18EC">
              <w:rPr>
                <w:rFonts w:cs="Calibri"/>
                <w:szCs w:val="16"/>
              </w:rPr>
              <w:t>Energy Industries – Public Electricity and Heat Production Solid Fuels</w:t>
            </w:r>
          </w:p>
        </w:tc>
        <w:tc>
          <w:tcPr>
            <w:tcW w:w="567" w:type="dxa"/>
            <w:shd w:val="clear" w:color="auto" w:fill="auto"/>
            <w:tcMar>
              <w:top w:w="0" w:type="dxa"/>
              <w:left w:w="85" w:type="dxa"/>
              <w:bottom w:w="0" w:type="dxa"/>
              <w:right w:w="85" w:type="dxa"/>
            </w:tcMar>
          </w:tcPr>
          <w:p w14:paraId="2A8299F2"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6F589FB8" w14:textId="77777777" w:rsidR="00BB3E1E" w:rsidRPr="00E25851" w:rsidRDefault="00BB3E1E" w:rsidP="00B05614">
            <w:pPr>
              <w:pStyle w:val="TableText"/>
              <w:jc w:val="right"/>
              <w:rPr>
                <w:rFonts w:cs="Calibri"/>
                <w:szCs w:val="16"/>
              </w:rPr>
            </w:pPr>
            <w:r w:rsidRPr="00E25851" w:rsidDel="005F18EC">
              <w:rPr>
                <w:rFonts w:cs="Calibri"/>
                <w:szCs w:val="16"/>
              </w:rPr>
              <w:t>1,809.3</w:t>
            </w:r>
          </w:p>
        </w:tc>
        <w:tc>
          <w:tcPr>
            <w:tcW w:w="944" w:type="dxa"/>
            <w:shd w:val="clear" w:color="auto" w:fill="auto"/>
            <w:tcMar>
              <w:top w:w="0" w:type="dxa"/>
              <w:left w:w="85" w:type="dxa"/>
              <w:bottom w:w="0" w:type="dxa"/>
              <w:right w:w="85" w:type="dxa"/>
            </w:tcMar>
          </w:tcPr>
          <w:p w14:paraId="35F448A3" w14:textId="77777777" w:rsidR="00BB3E1E" w:rsidRPr="00E25851" w:rsidRDefault="00BB3E1E" w:rsidP="00B05614">
            <w:pPr>
              <w:pStyle w:val="TableText"/>
              <w:jc w:val="right"/>
              <w:rPr>
                <w:rFonts w:cs="Calibri"/>
                <w:szCs w:val="16"/>
              </w:rPr>
            </w:pPr>
            <w:r w:rsidRPr="00E25851" w:rsidDel="005F18EC">
              <w:rPr>
                <w:rFonts w:cs="Calibri"/>
                <w:szCs w:val="16"/>
              </w:rPr>
              <w:t>2.3</w:t>
            </w:r>
          </w:p>
        </w:tc>
        <w:tc>
          <w:tcPr>
            <w:tcW w:w="926" w:type="dxa"/>
            <w:shd w:val="clear" w:color="auto" w:fill="auto"/>
            <w:tcMar>
              <w:top w:w="0" w:type="dxa"/>
              <w:left w:w="85" w:type="dxa"/>
              <w:bottom w:w="0" w:type="dxa"/>
              <w:right w:w="85" w:type="dxa"/>
            </w:tcMar>
          </w:tcPr>
          <w:p w14:paraId="7793532D" w14:textId="77777777" w:rsidR="00BB3E1E" w:rsidRPr="00E25851" w:rsidRDefault="00BB3E1E" w:rsidP="00B05614">
            <w:pPr>
              <w:pStyle w:val="TableText"/>
              <w:jc w:val="right"/>
              <w:rPr>
                <w:rFonts w:cs="Calibri"/>
                <w:szCs w:val="16"/>
              </w:rPr>
            </w:pPr>
            <w:r w:rsidRPr="00E25851" w:rsidDel="005F18EC">
              <w:rPr>
                <w:rFonts w:cs="Calibri"/>
                <w:szCs w:val="16"/>
              </w:rPr>
              <w:t>65.1</w:t>
            </w:r>
          </w:p>
        </w:tc>
      </w:tr>
      <w:tr w:rsidR="00BB3E1E" w:rsidRPr="00E25851" w14:paraId="71C2AE7B" w14:textId="77777777" w:rsidTr="00BB1EAB">
        <w:trPr>
          <w:cantSplit/>
          <w:trHeight w:val="283"/>
        </w:trPr>
        <w:tc>
          <w:tcPr>
            <w:tcW w:w="0" w:type="auto"/>
            <w:shd w:val="clear" w:color="auto" w:fill="auto"/>
            <w:tcMar>
              <w:top w:w="0" w:type="dxa"/>
              <w:left w:w="85" w:type="dxa"/>
              <w:bottom w:w="0" w:type="dxa"/>
              <w:right w:w="85" w:type="dxa"/>
            </w:tcMar>
          </w:tcPr>
          <w:p w14:paraId="74B435B0" w14:textId="77777777" w:rsidR="00BB3E1E" w:rsidRPr="00E25851" w:rsidRDefault="00BB3E1E" w:rsidP="00B05614">
            <w:pPr>
              <w:pStyle w:val="TableText"/>
              <w:rPr>
                <w:rFonts w:cs="Calibri"/>
                <w:szCs w:val="16"/>
              </w:rPr>
            </w:pPr>
            <w:r w:rsidRPr="00E25851" w:rsidDel="005F18EC">
              <w:rPr>
                <w:rFonts w:cs="Calibri"/>
                <w:szCs w:val="16"/>
              </w:rPr>
              <w:t>1.A.2.e</w:t>
            </w:r>
          </w:p>
        </w:tc>
        <w:tc>
          <w:tcPr>
            <w:tcW w:w="3503" w:type="dxa"/>
            <w:shd w:val="clear" w:color="auto" w:fill="auto"/>
            <w:tcMar>
              <w:top w:w="0" w:type="dxa"/>
              <w:left w:w="85" w:type="dxa"/>
              <w:bottom w:w="0" w:type="dxa"/>
              <w:right w:w="85" w:type="dxa"/>
            </w:tcMar>
          </w:tcPr>
          <w:p w14:paraId="407C8B30" w14:textId="77777777" w:rsidR="00BB3E1E" w:rsidRPr="00E25851" w:rsidRDefault="00BB3E1E" w:rsidP="00B05614">
            <w:pPr>
              <w:pStyle w:val="TableText"/>
              <w:rPr>
                <w:rFonts w:cs="Calibri"/>
                <w:szCs w:val="16"/>
              </w:rPr>
            </w:pPr>
            <w:r w:rsidRPr="00E25851" w:rsidDel="005F18EC">
              <w:rPr>
                <w:rFonts w:cs="Calibri"/>
                <w:szCs w:val="16"/>
              </w:rPr>
              <w:t>Manufacturing Industries and Construction – Food Processing, Beverages and Tobacco Solid Fuels</w:t>
            </w:r>
          </w:p>
        </w:tc>
        <w:tc>
          <w:tcPr>
            <w:tcW w:w="567" w:type="dxa"/>
            <w:shd w:val="clear" w:color="auto" w:fill="auto"/>
            <w:tcMar>
              <w:top w:w="0" w:type="dxa"/>
              <w:left w:w="85" w:type="dxa"/>
              <w:bottom w:w="0" w:type="dxa"/>
              <w:right w:w="85" w:type="dxa"/>
            </w:tcMar>
          </w:tcPr>
          <w:p w14:paraId="04F479CC"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31F133EB" w14:textId="77777777" w:rsidR="00BB3E1E" w:rsidRPr="00E25851" w:rsidRDefault="00BB3E1E" w:rsidP="00B05614">
            <w:pPr>
              <w:pStyle w:val="TableText"/>
              <w:jc w:val="right"/>
              <w:rPr>
                <w:rFonts w:cs="Calibri"/>
                <w:szCs w:val="16"/>
              </w:rPr>
            </w:pPr>
            <w:r w:rsidRPr="00E25851" w:rsidDel="005F18EC">
              <w:rPr>
                <w:rFonts w:cs="Calibri"/>
                <w:szCs w:val="16"/>
              </w:rPr>
              <w:t>1,702.0</w:t>
            </w:r>
          </w:p>
        </w:tc>
        <w:tc>
          <w:tcPr>
            <w:tcW w:w="944" w:type="dxa"/>
            <w:shd w:val="clear" w:color="auto" w:fill="auto"/>
            <w:tcMar>
              <w:top w:w="0" w:type="dxa"/>
              <w:left w:w="85" w:type="dxa"/>
              <w:bottom w:w="0" w:type="dxa"/>
              <w:right w:w="85" w:type="dxa"/>
            </w:tcMar>
          </w:tcPr>
          <w:p w14:paraId="0D6189AD" w14:textId="77777777" w:rsidR="00BB3E1E" w:rsidRPr="00E25851" w:rsidRDefault="00BB3E1E" w:rsidP="00B05614">
            <w:pPr>
              <w:pStyle w:val="TableText"/>
              <w:jc w:val="right"/>
              <w:rPr>
                <w:rFonts w:cs="Calibri"/>
                <w:szCs w:val="16"/>
              </w:rPr>
            </w:pPr>
            <w:r w:rsidRPr="00E25851" w:rsidDel="005F18EC">
              <w:rPr>
                <w:rFonts w:cs="Calibri"/>
                <w:szCs w:val="16"/>
              </w:rPr>
              <w:t>2.2</w:t>
            </w:r>
          </w:p>
        </w:tc>
        <w:tc>
          <w:tcPr>
            <w:tcW w:w="926" w:type="dxa"/>
            <w:shd w:val="clear" w:color="auto" w:fill="auto"/>
            <w:tcMar>
              <w:top w:w="0" w:type="dxa"/>
              <w:left w:w="85" w:type="dxa"/>
              <w:bottom w:w="0" w:type="dxa"/>
              <w:right w:w="85" w:type="dxa"/>
            </w:tcMar>
          </w:tcPr>
          <w:p w14:paraId="71EB7A60" w14:textId="77777777" w:rsidR="00BB3E1E" w:rsidRPr="00E25851" w:rsidRDefault="00BB3E1E" w:rsidP="00B05614">
            <w:pPr>
              <w:pStyle w:val="TableText"/>
              <w:jc w:val="right"/>
              <w:rPr>
                <w:rFonts w:cs="Calibri"/>
                <w:szCs w:val="16"/>
              </w:rPr>
            </w:pPr>
            <w:r w:rsidRPr="00E25851" w:rsidDel="005F18EC">
              <w:rPr>
                <w:rFonts w:cs="Calibri"/>
                <w:szCs w:val="16"/>
              </w:rPr>
              <w:t>67.2</w:t>
            </w:r>
          </w:p>
        </w:tc>
      </w:tr>
      <w:tr w:rsidR="00BB3E1E" w:rsidRPr="00E25851" w14:paraId="7F7A665A" w14:textId="77777777" w:rsidTr="00BB1EAB">
        <w:trPr>
          <w:cantSplit/>
          <w:trHeight w:val="283"/>
        </w:trPr>
        <w:tc>
          <w:tcPr>
            <w:tcW w:w="0" w:type="auto"/>
            <w:shd w:val="clear" w:color="auto" w:fill="auto"/>
            <w:tcMar>
              <w:top w:w="0" w:type="dxa"/>
              <w:left w:w="85" w:type="dxa"/>
              <w:bottom w:w="0" w:type="dxa"/>
              <w:right w:w="85" w:type="dxa"/>
            </w:tcMar>
          </w:tcPr>
          <w:p w14:paraId="54AC9D64" w14:textId="77777777" w:rsidR="00BB3E1E" w:rsidRPr="00E25851" w:rsidRDefault="00BB3E1E" w:rsidP="00B05614">
            <w:pPr>
              <w:pStyle w:val="TableText"/>
              <w:rPr>
                <w:rFonts w:cs="Calibri"/>
                <w:szCs w:val="16"/>
              </w:rPr>
            </w:pPr>
            <w:r w:rsidRPr="00E25851" w:rsidDel="005F18EC">
              <w:rPr>
                <w:rFonts w:cs="Calibri"/>
                <w:szCs w:val="16"/>
              </w:rPr>
              <w:t>2.C.1</w:t>
            </w:r>
          </w:p>
        </w:tc>
        <w:tc>
          <w:tcPr>
            <w:tcW w:w="3503" w:type="dxa"/>
            <w:shd w:val="clear" w:color="auto" w:fill="auto"/>
            <w:tcMar>
              <w:top w:w="0" w:type="dxa"/>
              <w:left w:w="85" w:type="dxa"/>
              <w:bottom w:w="0" w:type="dxa"/>
              <w:right w:w="85" w:type="dxa"/>
            </w:tcMar>
          </w:tcPr>
          <w:p w14:paraId="7D1EF724" w14:textId="77777777" w:rsidR="00BB3E1E" w:rsidRPr="00E25851" w:rsidRDefault="00BB3E1E" w:rsidP="00B05614">
            <w:pPr>
              <w:pStyle w:val="TableText"/>
              <w:rPr>
                <w:rFonts w:cs="Calibri"/>
                <w:szCs w:val="16"/>
              </w:rPr>
            </w:pPr>
            <w:r w:rsidRPr="00E25851" w:rsidDel="005F18EC">
              <w:rPr>
                <w:rFonts w:cs="Calibri"/>
                <w:szCs w:val="16"/>
              </w:rPr>
              <w:t>Metal Industry – Iron and Steel Production</w:t>
            </w:r>
          </w:p>
        </w:tc>
        <w:tc>
          <w:tcPr>
            <w:tcW w:w="567" w:type="dxa"/>
            <w:shd w:val="clear" w:color="auto" w:fill="auto"/>
            <w:tcMar>
              <w:top w:w="0" w:type="dxa"/>
              <w:left w:w="85" w:type="dxa"/>
              <w:bottom w:w="0" w:type="dxa"/>
              <w:right w:w="85" w:type="dxa"/>
            </w:tcMar>
          </w:tcPr>
          <w:p w14:paraId="27FC1CE9"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0DEDE1CD" w14:textId="77777777" w:rsidR="00BB3E1E" w:rsidRPr="00E25851" w:rsidRDefault="00BB3E1E" w:rsidP="00B05614">
            <w:pPr>
              <w:pStyle w:val="TableText"/>
              <w:jc w:val="right"/>
              <w:rPr>
                <w:rFonts w:cs="Calibri"/>
                <w:szCs w:val="16"/>
              </w:rPr>
            </w:pPr>
            <w:r w:rsidRPr="00E25851" w:rsidDel="005F18EC">
              <w:rPr>
                <w:rFonts w:cs="Calibri"/>
                <w:szCs w:val="16"/>
              </w:rPr>
              <w:t>1,578.6</w:t>
            </w:r>
          </w:p>
        </w:tc>
        <w:tc>
          <w:tcPr>
            <w:tcW w:w="944" w:type="dxa"/>
            <w:shd w:val="clear" w:color="auto" w:fill="auto"/>
            <w:tcMar>
              <w:top w:w="0" w:type="dxa"/>
              <w:left w:w="85" w:type="dxa"/>
              <w:bottom w:w="0" w:type="dxa"/>
              <w:right w:w="85" w:type="dxa"/>
            </w:tcMar>
          </w:tcPr>
          <w:p w14:paraId="79FC3010" w14:textId="77777777" w:rsidR="00BB3E1E" w:rsidRPr="00E25851" w:rsidRDefault="00BB3E1E" w:rsidP="00B05614">
            <w:pPr>
              <w:pStyle w:val="TableText"/>
              <w:jc w:val="right"/>
              <w:rPr>
                <w:rFonts w:cs="Calibri"/>
                <w:szCs w:val="16"/>
              </w:rPr>
            </w:pPr>
            <w:r w:rsidRPr="00E25851" w:rsidDel="005F18EC">
              <w:rPr>
                <w:rFonts w:cs="Calibri"/>
                <w:szCs w:val="16"/>
              </w:rPr>
              <w:t>2.0</w:t>
            </w:r>
          </w:p>
        </w:tc>
        <w:tc>
          <w:tcPr>
            <w:tcW w:w="926" w:type="dxa"/>
            <w:shd w:val="clear" w:color="auto" w:fill="auto"/>
            <w:tcMar>
              <w:top w:w="0" w:type="dxa"/>
              <w:left w:w="85" w:type="dxa"/>
              <w:bottom w:w="0" w:type="dxa"/>
              <w:right w:w="85" w:type="dxa"/>
            </w:tcMar>
          </w:tcPr>
          <w:p w14:paraId="5ACCD7A9" w14:textId="77777777" w:rsidR="00BB3E1E" w:rsidRPr="00E25851" w:rsidRDefault="00BB3E1E" w:rsidP="00B05614">
            <w:pPr>
              <w:pStyle w:val="TableText"/>
              <w:jc w:val="right"/>
              <w:rPr>
                <w:rFonts w:cs="Calibri"/>
                <w:szCs w:val="16"/>
              </w:rPr>
            </w:pPr>
            <w:r w:rsidRPr="00E25851" w:rsidDel="005F18EC">
              <w:rPr>
                <w:rFonts w:cs="Calibri"/>
                <w:szCs w:val="16"/>
              </w:rPr>
              <w:t>69.2</w:t>
            </w:r>
          </w:p>
        </w:tc>
      </w:tr>
      <w:tr w:rsidR="00BB3E1E" w:rsidRPr="00E25851" w14:paraId="2A78C9D3" w14:textId="77777777" w:rsidTr="00BB1EAB">
        <w:trPr>
          <w:cantSplit/>
          <w:trHeight w:val="283"/>
        </w:trPr>
        <w:tc>
          <w:tcPr>
            <w:tcW w:w="0" w:type="auto"/>
            <w:shd w:val="clear" w:color="auto" w:fill="auto"/>
            <w:tcMar>
              <w:top w:w="0" w:type="dxa"/>
              <w:left w:w="85" w:type="dxa"/>
              <w:bottom w:w="0" w:type="dxa"/>
              <w:right w:w="85" w:type="dxa"/>
            </w:tcMar>
          </w:tcPr>
          <w:p w14:paraId="15B5837C" w14:textId="77777777" w:rsidR="00BB3E1E" w:rsidRPr="00E25851" w:rsidRDefault="00BB3E1E" w:rsidP="00B05614">
            <w:pPr>
              <w:pStyle w:val="TableText"/>
              <w:rPr>
                <w:rFonts w:cs="Calibri"/>
                <w:szCs w:val="16"/>
              </w:rPr>
            </w:pPr>
            <w:r w:rsidRPr="00E25851" w:rsidDel="005F18EC">
              <w:rPr>
                <w:rFonts w:cs="Calibri"/>
                <w:szCs w:val="16"/>
              </w:rPr>
              <w:t>3.D.1.1</w:t>
            </w:r>
          </w:p>
        </w:tc>
        <w:tc>
          <w:tcPr>
            <w:tcW w:w="3503" w:type="dxa"/>
            <w:shd w:val="clear" w:color="auto" w:fill="auto"/>
            <w:tcMar>
              <w:top w:w="0" w:type="dxa"/>
              <w:left w:w="85" w:type="dxa"/>
              <w:bottom w:w="0" w:type="dxa"/>
              <w:right w:w="85" w:type="dxa"/>
            </w:tcMar>
          </w:tcPr>
          <w:p w14:paraId="6F81D807" w14:textId="77777777" w:rsidR="00BB3E1E" w:rsidRPr="00E25851" w:rsidRDefault="00BB3E1E" w:rsidP="00B05614">
            <w:pPr>
              <w:pStyle w:val="TableText"/>
              <w:rPr>
                <w:rFonts w:cs="Calibri"/>
                <w:szCs w:val="16"/>
              </w:rPr>
            </w:pPr>
            <w:r w:rsidRPr="00E25851">
              <w:rPr>
                <w:rFonts w:cs="Calibri"/>
                <w:szCs w:val="16"/>
              </w:rPr>
              <w:t>Direct N</w:t>
            </w:r>
            <w:r w:rsidRPr="00E25851">
              <w:rPr>
                <w:rFonts w:cs="Calibri"/>
                <w:szCs w:val="16"/>
                <w:vertAlign w:val="subscript"/>
              </w:rPr>
              <w:t>2</w:t>
            </w:r>
            <w:r w:rsidRPr="00E25851">
              <w:rPr>
                <w:rFonts w:cs="Calibri"/>
                <w:szCs w:val="16"/>
              </w:rPr>
              <w:t>O Emissions from</w:t>
            </w:r>
            <w:r w:rsidRPr="00E25851" w:rsidDel="005F18EC">
              <w:rPr>
                <w:rFonts w:cs="Calibri"/>
                <w:szCs w:val="16"/>
              </w:rPr>
              <w:t xml:space="preserve"> Managed Soils – Inorganic N Fertili</w:t>
            </w:r>
            <w:r w:rsidRPr="00E25851">
              <w:rPr>
                <w:rFonts w:cs="Calibri"/>
                <w:szCs w:val="16"/>
              </w:rPr>
              <w:t>s</w:t>
            </w:r>
            <w:r w:rsidRPr="00E25851" w:rsidDel="005F18EC">
              <w:rPr>
                <w:rFonts w:cs="Calibri"/>
                <w:szCs w:val="16"/>
              </w:rPr>
              <w:t>ers</w:t>
            </w:r>
          </w:p>
        </w:tc>
        <w:tc>
          <w:tcPr>
            <w:tcW w:w="567" w:type="dxa"/>
            <w:shd w:val="clear" w:color="auto" w:fill="auto"/>
            <w:tcMar>
              <w:top w:w="0" w:type="dxa"/>
              <w:left w:w="85" w:type="dxa"/>
              <w:bottom w:w="0" w:type="dxa"/>
              <w:right w:w="85" w:type="dxa"/>
            </w:tcMar>
          </w:tcPr>
          <w:p w14:paraId="63497648" w14:textId="77777777" w:rsidR="00BB3E1E" w:rsidRPr="00E25851" w:rsidRDefault="00BB3E1E" w:rsidP="00B05614">
            <w:pPr>
              <w:pStyle w:val="TableText"/>
              <w:rPr>
                <w:rFonts w:cs="Calibri"/>
                <w:szCs w:val="16"/>
              </w:rPr>
            </w:pPr>
            <w:r w:rsidRPr="00E25851" w:rsidDel="005F18EC">
              <w:rPr>
                <w:rFonts w:cs="Calibri"/>
                <w:szCs w:val="16"/>
              </w:rPr>
              <w:t>N</w:t>
            </w:r>
            <w:r w:rsidRPr="00E25851" w:rsidDel="005F18EC">
              <w:rPr>
                <w:rFonts w:cs="Calibri"/>
                <w:szCs w:val="16"/>
                <w:vertAlign w:val="subscript"/>
              </w:rPr>
              <w:t>2</w:t>
            </w:r>
            <w:r w:rsidRPr="00E25851" w:rsidDel="005F18EC">
              <w:rPr>
                <w:rFonts w:cs="Calibri"/>
                <w:szCs w:val="16"/>
              </w:rPr>
              <w:t>O</w:t>
            </w:r>
          </w:p>
        </w:tc>
        <w:tc>
          <w:tcPr>
            <w:tcW w:w="1560" w:type="dxa"/>
            <w:shd w:val="clear" w:color="auto" w:fill="auto"/>
            <w:tcMar>
              <w:top w:w="0" w:type="dxa"/>
              <w:left w:w="85" w:type="dxa"/>
              <w:bottom w:w="0" w:type="dxa"/>
              <w:right w:w="85" w:type="dxa"/>
            </w:tcMar>
          </w:tcPr>
          <w:p w14:paraId="144B9E2C" w14:textId="77777777" w:rsidR="00BB3E1E" w:rsidRPr="00E25851" w:rsidRDefault="00BB3E1E" w:rsidP="00B05614">
            <w:pPr>
              <w:pStyle w:val="TableText"/>
              <w:jc w:val="right"/>
              <w:rPr>
                <w:rFonts w:cs="Calibri"/>
                <w:szCs w:val="16"/>
              </w:rPr>
            </w:pPr>
            <w:r w:rsidRPr="00E25851" w:rsidDel="005F18EC">
              <w:rPr>
                <w:rFonts w:cs="Calibri"/>
                <w:szCs w:val="16"/>
              </w:rPr>
              <w:t>1,548.2</w:t>
            </w:r>
          </w:p>
        </w:tc>
        <w:tc>
          <w:tcPr>
            <w:tcW w:w="944" w:type="dxa"/>
            <w:shd w:val="clear" w:color="auto" w:fill="auto"/>
            <w:tcMar>
              <w:top w:w="0" w:type="dxa"/>
              <w:left w:w="85" w:type="dxa"/>
              <w:bottom w:w="0" w:type="dxa"/>
              <w:right w:w="85" w:type="dxa"/>
            </w:tcMar>
          </w:tcPr>
          <w:p w14:paraId="33FFB4AF" w14:textId="77777777" w:rsidR="00BB3E1E" w:rsidRPr="00E25851" w:rsidRDefault="00BB3E1E" w:rsidP="00B05614">
            <w:pPr>
              <w:pStyle w:val="TableText"/>
              <w:jc w:val="right"/>
              <w:rPr>
                <w:rFonts w:cs="Calibri"/>
                <w:szCs w:val="16"/>
              </w:rPr>
            </w:pPr>
            <w:r w:rsidRPr="00E25851" w:rsidDel="005F18EC">
              <w:rPr>
                <w:rFonts w:cs="Calibri"/>
                <w:szCs w:val="16"/>
              </w:rPr>
              <w:t>2.0</w:t>
            </w:r>
          </w:p>
        </w:tc>
        <w:tc>
          <w:tcPr>
            <w:tcW w:w="926" w:type="dxa"/>
            <w:shd w:val="clear" w:color="auto" w:fill="auto"/>
            <w:tcMar>
              <w:top w:w="0" w:type="dxa"/>
              <w:left w:w="85" w:type="dxa"/>
              <w:bottom w:w="0" w:type="dxa"/>
              <w:right w:w="85" w:type="dxa"/>
            </w:tcMar>
          </w:tcPr>
          <w:p w14:paraId="73C367FA" w14:textId="77777777" w:rsidR="00BB3E1E" w:rsidRPr="00E25851" w:rsidRDefault="00BB3E1E" w:rsidP="00B05614">
            <w:pPr>
              <w:pStyle w:val="TableText"/>
              <w:jc w:val="right"/>
              <w:rPr>
                <w:rFonts w:cs="Calibri"/>
                <w:szCs w:val="16"/>
              </w:rPr>
            </w:pPr>
            <w:r w:rsidRPr="00E25851" w:rsidDel="005F18EC">
              <w:rPr>
                <w:rFonts w:cs="Calibri"/>
                <w:szCs w:val="16"/>
              </w:rPr>
              <w:t>71.2</w:t>
            </w:r>
          </w:p>
        </w:tc>
      </w:tr>
      <w:tr w:rsidR="00BB3E1E" w:rsidRPr="00E25851" w14:paraId="75151279" w14:textId="77777777" w:rsidTr="00BB1EAB">
        <w:trPr>
          <w:cantSplit/>
          <w:trHeight w:val="283"/>
        </w:trPr>
        <w:tc>
          <w:tcPr>
            <w:tcW w:w="0" w:type="auto"/>
            <w:shd w:val="clear" w:color="auto" w:fill="auto"/>
            <w:tcMar>
              <w:top w:w="0" w:type="dxa"/>
              <w:left w:w="85" w:type="dxa"/>
              <w:bottom w:w="0" w:type="dxa"/>
              <w:right w:w="85" w:type="dxa"/>
            </w:tcMar>
          </w:tcPr>
          <w:p w14:paraId="76E35B9F" w14:textId="77777777" w:rsidR="00BB3E1E" w:rsidRPr="00E25851" w:rsidRDefault="00BB3E1E" w:rsidP="00B05614">
            <w:pPr>
              <w:pStyle w:val="TableText"/>
              <w:rPr>
                <w:rFonts w:cs="Calibri"/>
                <w:szCs w:val="16"/>
              </w:rPr>
            </w:pPr>
            <w:r w:rsidRPr="00E25851" w:rsidDel="005F18EC">
              <w:rPr>
                <w:rFonts w:cs="Calibri"/>
                <w:szCs w:val="16"/>
              </w:rPr>
              <w:t>1.A.2.c</w:t>
            </w:r>
          </w:p>
        </w:tc>
        <w:tc>
          <w:tcPr>
            <w:tcW w:w="3503" w:type="dxa"/>
            <w:shd w:val="clear" w:color="auto" w:fill="auto"/>
            <w:tcMar>
              <w:top w:w="0" w:type="dxa"/>
              <w:left w:w="85" w:type="dxa"/>
              <w:bottom w:w="0" w:type="dxa"/>
              <w:right w:w="85" w:type="dxa"/>
            </w:tcMar>
          </w:tcPr>
          <w:p w14:paraId="0B3ED6E7" w14:textId="77777777" w:rsidR="00BB3E1E" w:rsidRPr="00E25851" w:rsidRDefault="00BB3E1E" w:rsidP="00B05614">
            <w:pPr>
              <w:pStyle w:val="TableText"/>
              <w:rPr>
                <w:rFonts w:cs="Calibri"/>
                <w:szCs w:val="16"/>
              </w:rPr>
            </w:pPr>
            <w:r w:rsidRPr="00E25851" w:rsidDel="005F18EC">
              <w:rPr>
                <w:rFonts w:cs="Calibri"/>
                <w:szCs w:val="16"/>
              </w:rPr>
              <w:t>Manufacturing Industries and Construction – Chemicals Gaseous Fuels</w:t>
            </w:r>
          </w:p>
        </w:tc>
        <w:tc>
          <w:tcPr>
            <w:tcW w:w="567" w:type="dxa"/>
            <w:shd w:val="clear" w:color="auto" w:fill="auto"/>
            <w:tcMar>
              <w:top w:w="0" w:type="dxa"/>
              <w:left w:w="85" w:type="dxa"/>
              <w:bottom w:w="0" w:type="dxa"/>
              <w:right w:w="85" w:type="dxa"/>
            </w:tcMar>
          </w:tcPr>
          <w:p w14:paraId="04C72461"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66CB4326" w14:textId="77777777" w:rsidR="00BB3E1E" w:rsidRPr="00E25851" w:rsidRDefault="00BB3E1E" w:rsidP="00B05614">
            <w:pPr>
              <w:pStyle w:val="TableText"/>
              <w:jc w:val="right"/>
              <w:rPr>
                <w:rFonts w:cs="Calibri"/>
                <w:szCs w:val="16"/>
              </w:rPr>
            </w:pPr>
            <w:r w:rsidRPr="00E25851" w:rsidDel="005F18EC">
              <w:rPr>
                <w:rFonts w:cs="Calibri"/>
                <w:szCs w:val="16"/>
              </w:rPr>
              <w:t>1,540.1</w:t>
            </w:r>
          </w:p>
        </w:tc>
        <w:tc>
          <w:tcPr>
            <w:tcW w:w="944" w:type="dxa"/>
            <w:shd w:val="clear" w:color="auto" w:fill="auto"/>
            <w:tcMar>
              <w:top w:w="0" w:type="dxa"/>
              <w:left w:w="85" w:type="dxa"/>
              <w:bottom w:w="0" w:type="dxa"/>
              <w:right w:w="85" w:type="dxa"/>
            </w:tcMar>
          </w:tcPr>
          <w:p w14:paraId="1EDC0590" w14:textId="77777777" w:rsidR="00BB3E1E" w:rsidRPr="00E25851" w:rsidRDefault="00BB3E1E" w:rsidP="00B05614">
            <w:pPr>
              <w:pStyle w:val="TableText"/>
              <w:jc w:val="right"/>
              <w:rPr>
                <w:rFonts w:cs="Calibri"/>
                <w:szCs w:val="16"/>
              </w:rPr>
            </w:pPr>
            <w:r w:rsidRPr="00E25851" w:rsidDel="005F18EC">
              <w:rPr>
                <w:rFonts w:cs="Calibri"/>
                <w:szCs w:val="16"/>
              </w:rPr>
              <w:t>2.0</w:t>
            </w:r>
          </w:p>
        </w:tc>
        <w:tc>
          <w:tcPr>
            <w:tcW w:w="926" w:type="dxa"/>
            <w:shd w:val="clear" w:color="auto" w:fill="auto"/>
            <w:tcMar>
              <w:top w:w="0" w:type="dxa"/>
              <w:left w:w="85" w:type="dxa"/>
              <w:bottom w:w="0" w:type="dxa"/>
              <w:right w:w="85" w:type="dxa"/>
            </w:tcMar>
          </w:tcPr>
          <w:p w14:paraId="79CE2958" w14:textId="77777777" w:rsidR="00BB3E1E" w:rsidRPr="00E25851" w:rsidRDefault="00BB3E1E" w:rsidP="00B05614">
            <w:pPr>
              <w:pStyle w:val="TableText"/>
              <w:jc w:val="right"/>
              <w:rPr>
                <w:rFonts w:cs="Calibri"/>
                <w:szCs w:val="16"/>
              </w:rPr>
            </w:pPr>
            <w:r w:rsidRPr="00E25851" w:rsidDel="005F18EC">
              <w:rPr>
                <w:rFonts w:cs="Calibri"/>
                <w:szCs w:val="16"/>
              </w:rPr>
              <w:t>73.2</w:t>
            </w:r>
          </w:p>
        </w:tc>
      </w:tr>
      <w:tr w:rsidR="00BB3E1E" w:rsidRPr="00E25851" w14:paraId="5412D040" w14:textId="77777777" w:rsidTr="00BB1EAB">
        <w:trPr>
          <w:cantSplit/>
          <w:trHeight w:val="283"/>
        </w:trPr>
        <w:tc>
          <w:tcPr>
            <w:tcW w:w="0" w:type="auto"/>
            <w:shd w:val="clear" w:color="auto" w:fill="auto"/>
            <w:tcMar>
              <w:top w:w="0" w:type="dxa"/>
              <w:left w:w="85" w:type="dxa"/>
              <w:bottom w:w="0" w:type="dxa"/>
              <w:right w:w="85" w:type="dxa"/>
            </w:tcMar>
          </w:tcPr>
          <w:p w14:paraId="44728F63" w14:textId="77777777" w:rsidR="00BB3E1E" w:rsidRPr="00E25851" w:rsidRDefault="00BB3E1E" w:rsidP="00B05614">
            <w:pPr>
              <w:pStyle w:val="TableText"/>
              <w:rPr>
                <w:rFonts w:cs="Calibri"/>
                <w:szCs w:val="16"/>
              </w:rPr>
            </w:pPr>
            <w:r w:rsidRPr="00E25851" w:rsidDel="005F18EC">
              <w:rPr>
                <w:rFonts w:cs="Calibri"/>
                <w:szCs w:val="16"/>
              </w:rPr>
              <w:t>2.F.1</w:t>
            </w:r>
          </w:p>
        </w:tc>
        <w:tc>
          <w:tcPr>
            <w:tcW w:w="3503" w:type="dxa"/>
            <w:shd w:val="clear" w:color="auto" w:fill="auto"/>
            <w:tcMar>
              <w:top w:w="0" w:type="dxa"/>
              <w:left w:w="85" w:type="dxa"/>
              <w:bottom w:w="0" w:type="dxa"/>
              <w:right w:w="85" w:type="dxa"/>
            </w:tcMar>
          </w:tcPr>
          <w:p w14:paraId="79F3A44D" w14:textId="77777777" w:rsidR="00BB3E1E" w:rsidRPr="00E25851" w:rsidRDefault="00BB3E1E" w:rsidP="00B05614">
            <w:pPr>
              <w:pStyle w:val="TableText"/>
              <w:rPr>
                <w:rFonts w:cs="Calibri"/>
                <w:szCs w:val="16"/>
              </w:rPr>
            </w:pPr>
            <w:r w:rsidRPr="00E25851" w:rsidDel="005F18EC">
              <w:rPr>
                <w:rFonts w:cs="Calibri"/>
                <w:szCs w:val="16"/>
              </w:rPr>
              <w:t xml:space="preserve">Product Uses as Substitutes for ODS – Refrigeration and Air </w:t>
            </w:r>
            <w:r w:rsidRPr="00E25851">
              <w:rPr>
                <w:rFonts w:cs="Calibri"/>
                <w:szCs w:val="16"/>
              </w:rPr>
              <w:t>C</w:t>
            </w:r>
            <w:r w:rsidRPr="00E25851" w:rsidDel="005F18EC">
              <w:rPr>
                <w:rFonts w:cs="Calibri"/>
                <w:szCs w:val="16"/>
              </w:rPr>
              <w:t>onditioning</w:t>
            </w:r>
          </w:p>
        </w:tc>
        <w:tc>
          <w:tcPr>
            <w:tcW w:w="567" w:type="dxa"/>
            <w:shd w:val="clear" w:color="auto" w:fill="auto"/>
            <w:tcMar>
              <w:top w:w="0" w:type="dxa"/>
              <w:left w:w="85" w:type="dxa"/>
              <w:bottom w:w="0" w:type="dxa"/>
              <w:right w:w="85" w:type="dxa"/>
            </w:tcMar>
          </w:tcPr>
          <w:p w14:paraId="12F307ED" w14:textId="77777777" w:rsidR="00BB3E1E" w:rsidRPr="00E25851" w:rsidRDefault="00BB3E1E" w:rsidP="00B05614">
            <w:pPr>
              <w:pStyle w:val="TableText"/>
              <w:rPr>
                <w:rFonts w:cs="Calibri"/>
                <w:szCs w:val="16"/>
              </w:rPr>
            </w:pPr>
            <w:r w:rsidRPr="00E25851" w:rsidDel="005F18EC">
              <w:rPr>
                <w:rFonts w:cs="Calibri"/>
                <w:szCs w:val="16"/>
              </w:rPr>
              <w:t>HFCs</w:t>
            </w:r>
          </w:p>
        </w:tc>
        <w:tc>
          <w:tcPr>
            <w:tcW w:w="1560" w:type="dxa"/>
            <w:shd w:val="clear" w:color="auto" w:fill="auto"/>
            <w:tcMar>
              <w:top w:w="0" w:type="dxa"/>
              <w:left w:w="85" w:type="dxa"/>
              <w:bottom w:w="0" w:type="dxa"/>
              <w:right w:w="85" w:type="dxa"/>
            </w:tcMar>
          </w:tcPr>
          <w:p w14:paraId="1083BC95" w14:textId="77777777" w:rsidR="00BB3E1E" w:rsidRPr="00E25851" w:rsidRDefault="00BB3E1E" w:rsidP="00B05614">
            <w:pPr>
              <w:pStyle w:val="TableText"/>
              <w:jc w:val="right"/>
              <w:rPr>
                <w:rFonts w:cs="Calibri"/>
                <w:szCs w:val="16"/>
              </w:rPr>
            </w:pPr>
            <w:r w:rsidRPr="00E25851" w:rsidDel="005F18EC">
              <w:rPr>
                <w:rFonts w:cs="Calibri"/>
                <w:szCs w:val="16"/>
              </w:rPr>
              <w:t>1,391.6</w:t>
            </w:r>
          </w:p>
        </w:tc>
        <w:tc>
          <w:tcPr>
            <w:tcW w:w="944" w:type="dxa"/>
            <w:shd w:val="clear" w:color="auto" w:fill="auto"/>
            <w:tcMar>
              <w:top w:w="0" w:type="dxa"/>
              <w:left w:w="85" w:type="dxa"/>
              <w:bottom w:w="0" w:type="dxa"/>
              <w:right w:w="85" w:type="dxa"/>
            </w:tcMar>
          </w:tcPr>
          <w:p w14:paraId="28E65D6C" w14:textId="77777777" w:rsidR="00BB3E1E" w:rsidRPr="00E25851" w:rsidRDefault="00BB3E1E" w:rsidP="00B05614">
            <w:pPr>
              <w:pStyle w:val="TableText"/>
              <w:jc w:val="right"/>
              <w:rPr>
                <w:rFonts w:cs="Calibri"/>
                <w:szCs w:val="16"/>
              </w:rPr>
            </w:pPr>
            <w:r w:rsidRPr="00E25851" w:rsidDel="005F18EC">
              <w:rPr>
                <w:rFonts w:cs="Calibri"/>
                <w:szCs w:val="16"/>
              </w:rPr>
              <w:t>1.8</w:t>
            </w:r>
          </w:p>
        </w:tc>
        <w:tc>
          <w:tcPr>
            <w:tcW w:w="926" w:type="dxa"/>
            <w:shd w:val="clear" w:color="auto" w:fill="auto"/>
            <w:tcMar>
              <w:top w:w="0" w:type="dxa"/>
              <w:left w:w="85" w:type="dxa"/>
              <w:bottom w:w="0" w:type="dxa"/>
              <w:right w:w="85" w:type="dxa"/>
            </w:tcMar>
          </w:tcPr>
          <w:p w14:paraId="289AC20A" w14:textId="77777777" w:rsidR="00BB3E1E" w:rsidRPr="00E25851" w:rsidRDefault="00BB3E1E" w:rsidP="00B05614">
            <w:pPr>
              <w:pStyle w:val="TableText"/>
              <w:jc w:val="right"/>
              <w:rPr>
                <w:rFonts w:cs="Calibri"/>
                <w:szCs w:val="16"/>
              </w:rPr>
            </w:pPr>
            <w:r w:rsidRPr="00E25851" w:rsidDel="005F18EC">
              <w:rPr>
                <w:rFonts w:cs="Calibri"/>
                <w:szCs w:val="16"/>
              </w:rPr>
              <w:t>74.9</w:t>
            </w:r>
          </w:p>
        </w:tc>
      </w:tr>
      <w:tr w:rsidR="00BB3E1E" w:rsidRPr="00E25851" w14:paraId="1DDD8061" w14:textId="77777777" w:rsidTr="00BB1EAB">
        <w:trPr>
          <w:cantSplit/>
          <w:trHeight w:val="283"/>
        </w:trPr>
        <w:tc>
          <w:tcPr>
            <w:tcW w:w="0" w:type="auto"/>
            <w:shd w:val="clear" w:color="auto" w:fill="auto"/>
            <w:tcMar>
              <w:top w:w="0" w:type="dxa"/>
              <w:left w:w="85" w:type="dxa"/>
              <w:bottom w:w="0" w:type="dxa"/>
              <w:right w:w="85" w:type="dxa"/>
            </w:tcMar>
          </w:tcPr>
          <w:p w14:paraId="70CC0030" w14:textId="77777777" w:rsidR="00BB3E1E" w:rsidRPr="00E25851" w:rsidRDefault="00BB3E1E" w:rsidP="00B05614">
            <w:pPr>
              <w:pStyle w:val="TableText"/>
              <w:rPr>
                <w:rFonts w:cs="Calibri"/>
                <w:szCs w:val="16"/>
              </w:rPr>
            </w:pPr>
            <w:r w:rsidRPr="00E25851" w:rsidDel="005F18EC">
              <w:rPr>
                <w:rFonts w:cs="Calibri"/>
                <w:szCs w:val="16"/>
              </w:rPr>
              <w:t>3.B.1.1</w:t>
            </w:r>
          </w:p>
        </w:tc>
        <w:tc>
          <w:tcPr>
            <w:tcW w:w="3503" w:type="dxa"/>
            <w:shd w:val="clear" w:color="auto" w:fill="auto"/>
            <w:tcMar>
              <w:top w:w="0" w:type="dxa"/>
              <w:left w:w="85" w:type="dxa"/>
              <w:bottom w:w="0" w:type="dxa"/>
              <w:right w:w="85" w:type="dxa"/>
            </w:tcMar>
          </w:tcPr>
          <w:p w14:paraId="5D302294" w14:textId="77777777" w:rsidR="00BB3E1E" w:rsidRPr="00E25851" w:rsidRDefault="00BB3E1E" w:rsidP="00B05614">
            <w:pPr>
              <w:pStyle w:val="TableText"/>
              <w:rPr>
                <w:rFonts w:cs="Calibri"/>
                <w:szCs w:val="16"/>
              </w:rPr>
            </w:pPr>
            <w:r w:rsidRPr="00E25851" w:rsidDel="005F18EC">
              <w:rPr>
                <w:rFonts w:cs="Calibri"/>
                <w:szCs w:val="16"/>
              </w:rPr>
              <w:t>Option A – Dairy Cattle</w:t>
            </w:r>
          </w:p>
        </w:tc>
        <w:tc>
          <w:tcPr>
            <w:tcW w:w="567" w:type="dxa"/>
            <w:shd w:val="clear" w:color="auto" w:fill="auto"/>
            <w:tcMar>
              <w:top w:w="0" w:type="dxa"/>
              <w:left w:w="85" w:type="dxa"/>
              <w:bottom w:w="0" w:type="dxa"/>
              <w:right w:w="85" w:type="dxa"/>
            </w:tcMar>
          </w:tcPr>
          <w:p w14:paraId="1AAB6C66" w14:textId="77777777" w:rsidR="00BB3E1E" w:rsidRPr="00E25851" w:rsidRDefault="00BB3E1E" w:rsidP="00B05614">
            <w:pPr>
              <w:pStyle w:val="TableText"/>
              <w:rPr>
                <w:rFonts w:cs="Calibri"/>
                <w:szCs w:val="16"/>
              </w:rPr>
            </w:pPr>
            <w:r w:rsidRPr="00E25851" w:rsidDel="005F18EC">
              <w:rPr>
                <w:rFonts w:cs="Calibri"/>
                <w:szCs w:val="16"/>
              </w:rPr>
              <w:t>CH</w:t>
            </w:r>
            <w:r w:rsidRPr="00E25851" w:rsidDel="005F18EC">
              <w:rPr>
                <w:rFonts w:cs="Calibri"/>
                <w:szCs w:val="16"/>
                <w:vertAlign w:val="subscript"/>
              </w:rPr>
              <w:t>4</w:t>
            </w:r>
          </w:p>
        </w:tc>
        <w:tc>
          <w:tcPr>
            <w:tcW w:w="1560" w:type="dxa"/>
            <w:shd w:val="clear" w:color="auto" w:fill="auto"/>
            <w:tcMar>
              <w:top w:w="0" w:type="dxa"/>
              <w:left w:w="85" w:type="dxa"/>
              <w:bottom w:w="0" w:type="dxa"/>
              <w:right w:w="85" w:type="dxa"/>
            </w:tcMar>
          </w:tcPr>
          <w:p w14:paraId="3D6A365C" w14:textId="77777777" w:rsidR="00BB3E1E" w:rsidRPr="00E25851" w:rsidRDefault="00BB3E1E" w:rsidP="00B05614">
            <w:pPr>
              <w:pStyle w:val="TableText"/>
              <w:jc w:val="right"/>
              <w:rPr>
                <w:rFonts w:cs="Calibri"/>
                <w:szCs w:val="16"/>
              </w:rPr>
            </w:pPr>
            <w:r w:rsidRPr="00E25851" w:rsidDel="005F18EC">
              <w:rPr>
                <w:rFonts w:cs="Calibri"/>
                <w:szCs w:val="16"/>
              </w:rPr>
              <w:t>1,387.1</w:t>
            </w:r>
          </w:p>
        </w:tc>
        <w:tc>
          <w:tcPr>
            <w:tcW w:w="944" w:type="dxa"/>
            <w:shd w:val="clear" w:color="auto" w:fill="auto"/>
            <w:tcMar>
              <w:top w:w="0" w:type="dxa"/>
              <w:left w:w="85" w:type="dxa"/>
              <w:bottom w:w="0" w:type="dxa"/>
              <w:right w:w="85" w:type="dxa"/>
            </w:tcMar>
          </w:tcPr>
          <w:p w14:paraId="2EB42ED4" w14:textId="77777777" w:rsidR="00BB3E1E" w:rsidRPr="00E25851" w:rsidRDefault="00BB3E1E" w:rsidP="00B05614">
            <w:pPr>
              <w:pStyle w:val="TableText"/>
              <w:jc w:val="right"/>
              <w:rPr>
                <w:rFonts w:cs="Calibri"/>
                <w:szCs w:val="16"/>
              </w:rPr>
            </w:pPr>
            <w:r w:rsidRPr="00E25851" w:rsidDel="005F18EC">
              <w:rPr>
                <w:rFonts w:cs="Calibri"/>
                <w:szCs w:val="16"/>
              </w:rPr>
              <w:t>1.8</w:t>
            </w:r>
          </w:p>
        </w:tc>
        <w:tc>
          <w:tcPr>
            <w:tcW w:w="926" w:type="dxa"/>
            <w:shd w:val="clear" w:color="auto" w:fill="auto"/>
            <w:tcMar>
              <w:top w:w="0" w:type="dxa"/>
              <w:left w:w="85" w:type="dxa"/>
              <w:bottom w:w="0" w:type="dxa"/>
              <w:right w:w="85" w:type="dxa"/>
            </w:tcMar>
          </w:tcPr>
          <w:p w14:paraId="517558D3" w14:textId="77777777" w:rsidR="00BB3E1E" w:rsidRPr="00E25851" w:rsidRDefault="00BB3E1E" w:rsidP="00B05614">
            <w:pPr>
              <w:pStyle w:val="TableText"/>
              <w:jc w:val="right"/>
              <w:rPr>
                <w:rFonts w:cs="Calibri"/>
                <w:szCs w:val="16"/>
              </w:rPr>
            </w:pPr>
            <w:r w:rsidRPr="00E25851" w:rsidDel="005F18EC">
              <w:rPr>
                <w:rFonts w:cs="Calibri"/>
                <w:szCs w:val="16"/>
              </w:rPr>
              <w:t>76.7</w:t>
            </w:r>
          </w:p>
        </w:tc>
      </w:tr>
      <w:tr w:rsidR="00BB3E1E" w:rsidRPr="00E25851" w14:paraId="38CC7D71" w14:textId="77777777" w:rsidTr="00BB1EAB">
        <w:trPr>
          <w:cantSplit/>
          <w:trHeight w:val="283"/>
        </w:trPr>
        <w:tc>
          <w:tcPr>
            <w:tcW w:w="0" w:type="auto"/>
            <w:shd w:val="clear" w:color="auto" w:fill="auto"/>
            <w:tcMar>
              <w:top w:w="0" w:type="dxa"/>
              <w:left w:w="85" w:type="dxa"/>
              <w:bottom w:w="0" w:type="dxa"/>
              <w:right w:w="85" w:type="dxa"/>
            </w:tcMar>
          </w:tcPr>
          <w:p w14:paraId="5592C807" w14:textId="77777777" w:rsidR="00BB3E1E" w:rsidRPr="00E25851" w:rsidRDefault="00BB3E1E" w:rsidP="00B05614">
            <w:pPr>
              <w:pStyle w:val="TableText"/>
              <w:rPr>
                <w:rFonts w:cs="Calibri"/>
                <w:szCs w:val="16"/>
              </w:rPr>
            </w:pPr>
            <w:r w:rsidRPr="00E25851" w:rsidDel="005F18EC">
              <w:rPr>
                <w:rFonts w:cs="Calibri"/>
                <w:szCs w:val="16"/>
              </w:rPr>
              <w:t>1.A.4.c</w:t>
            </w:r>
          </w:p>
        </w:tc>
        <w:tc>
          <w:tcPr>
            <w:tcW w:w="3503" w:type="dxa"/>
            <w:shd w:val="clear" w:color="auto" w:fill="auto"/>
            <w:tcMar>
              <w:top w:w="0" w:type="dxa"/>
              <w:left w:w="85" w:type="dxa"/>
              <w:bottom w:w="0" w:type="dxa"/>
              <w:right w:w="85" w:type="dxa"/>
            </w:tcMar>
          </w:tcPr>
          <w:p w14:paraId="7B10969F" w14:textId="77777777" w:rsidR="00BB3E1E" w:rsidRPr="00E25851" w:rsidRDefault="00BB3E1E" w:rsidP="00B05614">
            <w:pPr>
              <w:pStyle w:val="TableText"/>
              <w:rPr>
                <w:rFonts w:cs="Calibri"/>
                <w:szCs w:val="16"/>
              </w:rPr>
            </w:pPr>
            <w:r w:rsidRPr="00E25851" w:rsidDel="005F18EC">
              <w:rPr>
                <w:rFonts w:cs="Calibri"/>
                <w:szCs w:val="16"/>
              </w:rPr>
              <w:t>Other Sectors – Agriculture/Forestry/Fishing Liquid Fuels</w:t>
            </w:r>
          </w:p>
        </w:tc>
        <w:tc>
          <w:tcPr>
            <w:tcW w:w="567" w:type="dxa"/>
            <w:shd w:val="clear" w:color="auto" w:fill="auto"/>
            <w:tcMar>
              <w:top w:w="0" w:type="dxa"/>
              <w:left w:w="85" w:type="dxa"/>
              <w:bottom w:w="0" w:type="dxa"/>
              <w:right w:w="85" w:type="dxa"/>
            </w:tcMar>
          </w:tcPr>
          <w:p w14:paraId="466F490C"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365231CB" w14:textId="77777777" w:rsidR="00BB3E1E" w:rsidRPr="00E25851" w:rsidRDefault="00BB3E1E" w:rsidP="00B05614">
            <w:pPr>
              <w:pStyle w:val="TableText"/>
              <w:jc w:val="right"/>
              <w:rPr>
                <w:rFonts w:cs="Calibri"/>
                <w:szCs w:val="16"/>
              </w:rPr>
            </w:pPr>
            <w:r w:rsidRPr="00E25851" w:rsidDel="005F18EC">
              <w:rPr>
                <w:rFonts w:cs="Calibri"/>
                <w:szCs w:val="16"/>
              </w:rPr>
              <w:t>1,362.6</w:t>
            </w:r>
          </w:p>
        </w:tc>
        <w:tc>
          <w:tcPr>
            <w:tcW w:w="944" w:type="dxa"/>
            <w:shd w:val="clear" w:color="auto" w:fill="auto"/>
            <w:tcMar>
              <w:top w:w="0" w:type="dxa"/>
              <w:left w:w="85" w:type="dxa"/>
              <w:bottom w:w="0" w:type="dxa"/>
              <w:right w:w="85" w:type="dxa"/>
            </w:tcMar>
          </w:tcPr>
          <w:p w14:paraId="0A4D09D2" w14:textId="77777777" w:rsidR="00BB3E1E" w:rsidRPr="00E25851" w:rsidRDefault="00BB3E1E" w:rsidP="00B05614">
            <w:pPr>
              <w:pStyle w:val="TableText"/>
              <w:jc w:val="right"/>
              <w:rPr>
                <w:rFonts w:cs="Calibri"/>
                <w:szCs w:val="16"/>
              </w:rPr>
            </w:pPr>
            <w:r w:rsidRPr="00E25851" w:rsidDel="005F18EC">
              <w:rPr>
                <w:rFonts w:cs="Calibri"/>
                <w:szCs w:val="16"/>
              </w:rPr>
              <w:t>1.7</w:t>
            </w:r>
          </w:p>
        </w:tc>
        <w:tc>
          <w:tcPr>
            <w:tcW w:w="926" w:type="dxa"/>
            <w:shd w:val="clear" w:color="auto" w:fill="auto"/>
            <w:tcMar>
              <w:top w:w="0" w:type="dxa"/>
              <w:left w:w="85" w:type="dxa"/>
              <w:bottom w:w="0" w:type="dxa"/>
              <w:right w:w="85" w:type="dxa"/>
            </w:tcMar>
          </w:tcPr>
          <w:p w14:paraId="487E854C" w14:textId="77777777" w:rsidR="00BB3E1E" w:rsidRPr="00E25851" w:rsidRDefault="00BB3E1E" w:rsidP="00B05614">
            <w:pPr>
              <w:pStyle w:val="TableText"/>
              <w:jc w:val="right"/>
              <w:rPr>
                <w:rFonts w:cs="Calibri"/>
                <w:szCs w:val="16"/>
              </w:rPr>
            </w:pPr>
            <w:r w:rsidRPr="00E25851" w:rsidDel="005F18EC">
              <w:rPr>
                <w:rFonts w:cs="Calibri"/>
                <w:szCs w:val="16"/>
              </w:rPr>
              <w:t>78.4</w:t>
            </w:r>
          </w:p>
        </w:tc>
      </w:tr>
      <w:tr w:rsidR="00BB3E1E" w:rsidRPr="00E25851" w14:paraId="38470472" w14:textId="77777777" w:rsidTr="00BB1EAB">
        <w:trPr>
          <w:cantSplit/>
          <w:trHeight w:val="283"/>
        </w:trPr>
        <w:tc>
          <w:tcPr>
            <w:tcW w:w="0" w:type="auto"/>
            <w:shd w:val="clear" w:color="auto" w:fill="auto"/>
            <w:tcMar>
              <w:top w:w="0" w:type="dxa"/>
              <w:left w:w="85" w:type="dxa"/>
              <w:bottom w:w="0" w:type="dxa"/>
              <w:right w:w="85" w:type="dxa"/>
            </w:tcMar>
          </w:tcPr>
          <w:p w14:paraId="17F520CF" w14:textId="77777777" w:rsidR="00BB3E1E" w:rsidRPr="00E25851" w:rsidRDefault="00BB3E1E" w:rsidP="00B05614">
            <w:pPr>
              <w:pStyle w:val="TableText"/>
              <w:rPr>
                <w:rFonts w:cs="Calibri"/>
                <w:szCs w:val="16"/>
              </w:rPr>
            </w:pPr>
            <w:r w:rsidRPr="00E25851" w:rsidDel="005F18EC">
              <w:rPr>
                <w:rFonts w:cs="Calibri"/>
                <w:szCs w:val="16"/>
              </w:rPr>
              <w:t>1.A.4.b</w:t>
            </w:r>
          </w:p>
        </w:tc>
        <w:tc>
          <w:tcPr>
            <w:tcW w:w="3503" w:type="dxa"/>
            <w:shd w:val="clear" w:color="auto" w:fill="auto"/>
            <w:tcMar>
              <w:top w:w="0" w:type="dxa"/>
              <w:left w:w="85" w:type="dxa"/>
              <w:bottom w:w="0" w:type="dxa"/>
              <w:right w:w="85" w:type="dxa"/>
            </w:tcMar>
          </w:tcPr>
          <w:p w14:paraId="31F866FD" w14:textId="77777777" w:rsidR="00BB3E1E" w:rsidRPr="00E25851" w:rsidRDefault="00BB3E1E" w:rsidP="00B05614">
            <w:pPr>
              <w:pStyle w:val="TableText"/>
              <w:rPr>
                <w:rFonts w:cs="Calibri"/>
                <w:szCs w:val="16"/>
              </w:rPr>
            </w:pPr>
            <w:r w:rsidRPr="00E25851" w:rsidDel="005F18EC">
              <w:rPr>
                <w:rFonts w:cs="Calibri"/>
                <w:szCs w:val="16"/>
              </w:rPr>
              <w:t>Other Sectors – Residential Liquid Fuels</w:t>
            </w:r>
          </w:p>
        </w:tc>
        <w:tc>
          <w:tcPr>
            <w:tcW w:w="567" w:type="dxa"/>
            <w:shd w:val="clear" w:color="auto" w:fill="auto"/>
            <w:tcMar>
              <w:top w:w="0" w:type="dxa"/>
              <w:left w:w="85" w:type="dxa"/>
              <w:bottom w:w="0" w:type="dxa"/>
              <w:right w:w="85" w:type="dxa"/>
            </w:tcMar>
          </w:tcPr>
          <w:p w14:paraId="2193BDD2"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3BE5E6D3" w14:textId="77777777" w:rsidR="00BB3E1E" w:rsidRPr="00E25851" w:rsidRDefault="00BB3E1E" w:rsidP="00B05614">
            <w:pPr>
              <w:pStyle w:val="TableText"/>
              <w:jc w:val="right"/>
              <w:rPr>
                <w:rFonts w:cs="Calibri"/>
                <w:szCs w:val="16"/>
              </w:rPr>
            </w:pPr>
            <w:r w:rsidRPr="00E25851" w:rsidDel="005F18EC">
              <w:rPr>
                <w:rFonts w:cs="Calibri"/>
                <w:szCs w:val="16"/>
              </w:rPr>
              <w:t>1,313.1</w:t>
            </w:r>
          </w:p>
        </w:tc>
        <w:tc>
          <w:tcPr>
            <w:tcW w:w="944" w:type="dxa"/>
            <w:shd w:val="clear" w:color="auto" w:fill="auto"/>
            <w:tcMar>
              <w:top w:w="0" w:type="dxa"/>
              <w:left w:w="85" w:type="dxa"/>
              <w:bottom w:w="0" w:type="dxa"/>
              <w:right w:w="85" w:type="dxa"/>
            </w:tcMar>
          </w:tcPr>
          <w:p w14:paraId="7DD4F5B4" w14:textId="77777777" w:rsidR="00BB3E1E" w:rsidRPr="00E25851" w:rsidRDefault="00BB3E1E" w:rsidP="00B05614">
            <w:pPr>
              <w:pStyle w:val="TableText"/>
              <w:jc w:val="right"/>
              <w:rPr>
                <w:rFonts w:cs="Calibri"/>
                <w:szCs w:val="16"/>
              </w:rPr>
            </w:pPr>
            <w:r w:rsidRPr="00E25851" w:rsidDel="005F18EC">
              <w:rPr>
                <w:rFonts w:cs="Calibri"/>
                <w:szCs w:val="16"/>
              </w:rPr>
              <w:t>1.7</w:t>
            </w:r>
          </w:p>
        </w:tc>
        <w:tc>
          <w:tcPr>
            <w:tcW w:w="926" w:type="dxa"/>
            <w:shd w:val="clear" w:color="auto" w:fill="auto"/>
            <w:tcMar>
              <w:top w:w="0" w:type="dxa"/>
              <w:left w:w="85" w:type="dxa"/>
              <w:bottom w:w="0" w:type="dxa"/>
              <w:right w:w="85" w:type="dxa"/>
            </w:tcMar>
          </w:tcPr>
          <w:p w14:paraId="6DE2FE69" w14:textId="77777777" w:rsidR="00BB3E1E" w:rsidRPr="00E25851" w:rsidRDefault="00BB3E1E" w:rsidP="00B05614">
            <w:pPr>
              <w:pStyle w:val="TableText"/>
              <w:jc w:val="right"/>
              <w:rPr>
                <w:rFonts w:cs="Calibri"/>
                <w:szCs w:val="16"/>
              </w:rPr>
            </w:pPr>
            <w:r w:rsidRPr="00E25851" w:rsidDel="005F18EC">
              <w:rPr>
                <w:rFonts w:cs="Calibri"/>
                <w:szCs w:val="16"/>
              </w:rPr>
              <w:t>80.1</w:t>
            </w:r>
          </w:p>
        </w:tc>
      </w:tr>
      <w:tr w:rsidR="00BB3E1E" w:rsidRPr="00E25851" w14:paraId="0314CFEA" w14:textId="77777777" w:rsidTr="00BB1EAB">
        <w:trPr>
          <w:cantSplit/>
          <w:trHeight w:val="283"/>
        </w:trPr>
        <w:tc>
          <w:tcPr>
            <w:tcW w:w="0" w:type="auto"/>
            <w:shd w:val="clear" w:color="auto" w:fill="auto"/>
            <w:tcMar>
              <w:top w:w="0" w:type="dxa"/>
              <w:left w:w="85" w:type="dxa"/>
              <w:bottom w:w="0" w:type="dxa"/>
              <w:right w:w="85" w:type="dxa"/>
            </w:tcMar>
          </w:tcPr>
          <w:p w14:paraId="17825E76" w14:textId="77777777" w:rsidR="00BB3E1E" w:rsidRPr="00E25851" w:rsidRDefault="00BB3E1E" w:rsidP="00B05614">
            <w:pPr>
              <w:pStyle w:val="TableText"/>
              <w:rPr>
                <w:rFonts w:cs="Calibri"/>
                <w:szCs w:val="16"/>
              </w:rPr>
            </w:pPr>
            <w:r w:rsidRPr="00E25851" w:rsidDel="005F18EC">
              <w:rPr>
                <w:rFonts w:cs="Calibri"/>
                <w:szCs w:val="16"/>
              </w:rPr>
              <w:t>1.A.2.e</w:t>
            </w:r>
          </w:p>
        </w:tc>
        <w:tc>
          <w:tcPr>
            <w:tcW w:w="3503" w:type="dxa"/>
            <w:shd w:val="clear" w:color="auto" w:fill="auto"/>
            <w:tcMar>
              <w:top w:w="0" w:type="dxa"/>
              <w:left w:w="85" w:type="dxa"/>
              <w:bottom w:w="0" w:type="dxa"/>
              <w:right w:w="85" w:type="dxa"/>
            </w:tcMar>
          </w:tcPr>
          <w:p w14:paraId="7F6E8E8F" w14:textId="77777777" w:rsidR="00BB3E1E" w:rsidRPr="00E25851" w:rsidRDefault="00BB3E1E" w:rsidP="00B05614">
            <w:pPr>
              <w:pStyle w:val="TableText"/>
              <w:rPr>
                <w:rFonts w:cs="Calibri"/>
                <w:szCs w:val="16"/>
              </w:rPr>
            </w:pPr>
            <w:r w:rsidRPr="00E25851" w:rsidDel="005F18EC">
              <w:rPr>
                <w:rFonts w:cs="Calibri"/>
                <w:szCs w:val="16"/>
              </w:rPr>
              <w:t>Manufacturing Industries and Construction – Food Processing, Beverages and Tobacco Gaseous Fuels</w:t>
            </w:r>
          </w:p>
        </w:tc>
        <w:tc>
          <w:tcPr>
            <w:tcW w:w="567" w:type="dxa"/>
            <w:shd w:val="clear" w:color="auto" w:fill="auto"/>
            <w:tcMar>
              <w:top w:w="0" w:type="dxa"/>
              <w:left w:w="85" w:type="dxa"/>
              <w:bottom w:w="0" w:type="dxa"/>
              <w:right w:w="85" w:type="dxa"/>
            </w:tcMar>
          </w:tcPr>
          <w:p w14:paraId="4F5FFEE8"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30C2E6F8" w14:textId="77777777" w:rsidR="00BB3E1E" w:rsidRPr="00E25851" w:rsidRDefault="00BB3E1E" w:rsidP="00B05614">
            <w:pPr>
              <w:pStyle w:val="TableText"/>
              <w:jc w:val="right"/>
              <w:rPr>
                <w:rFonts w:cs="Calibri"/>
                <w:szCs w:val="16"/>
              </w:rPr>
            </w:pPr>
            <w:r w:rsidRPr="00E25851" w:rsidDel="005F18EC">
              <w:rPr>
                <w:rFonts w:cs="Calibri"/>
                <w:szCs w:val="16"/>
              </w:rPr>
              <w:t>1,086.7</w:t>
            </w:r>
          </w:p>
        </w:tc>
        <w:tc>
          <w:tcPr>
            <w:tcW w:w="944" w:type="dxa"/>
            <w:shd w:val="clear" w:color="auto" w:fill="auto"/>
            <w:tcMar>
              <w:top w:w="0" w:type="dxa"/>
              <w:left w:w="85" w:type="dxa"/>
              <w:bottom w:w="0" w:type="dxa"/>
              <w:right w:w="85" w:type="dxa"/>
            </w:tcMar>
          </w:tcPr>
          <w:p w14:paraId="40238605" w14:textId="77777777" w:rsidR="00BB3E1E" w:rsidRPr="00E25851" w:rsidRDefault="00BB3E1E" w:rsidP="00B05614">
            <w:pPr>
              <w:pStyle w:val="TableText"/>
              <w:jc w:val="right"/>
              <w:rPr>
                <w:rFonts w:cs="Calibri"/>
                <w:szCs w:val="16"/>
              </w:rPr>
            </w:pPr>
            <w:r w:rsidRPr="00E25851" w:rsidDel="005F18EC">
              <w:rPr>
                <w:rFonts w:cs="Calibri"/>
                <w:szCs w:val="16"/>
              </w:rPr>
              <w:t>1.4</w:t>
            </w:r>
          </w:p>
        </w:tc>
        <w:tc>
          <w:tcPr>
            <w:tcW w:w="926" w:type="dxa"/>
            <w:shd w:val="clear" w:color="auto" w:fill="auto"/>
            <w:tcMar>
              <w:top w:w="0" w:type="dxa"/>
              <w:left w:w="85" w:type="dxa"/>
              <w:bottom w:w="0" w:type="dxa"/>
              <w:right w:w="85" w:type="dxa"/>
            </w:tcMar>
          </w:tcPr>
          <w:p w14:paraId="2DD9440F" w14:textId="77777777" w:rsidR="00BB3E1E" w:rsidRPr="00E25851" w:rsidRDefault="00BB3E1E" w:rsidP="00B05614">
            <w:pPr>
              <w:pStyle w:val="TableText"/>
              <w:jc w:val="right"/>
              <w:rPr>
                <w:rFonts w:cs="Calibri"/>
                <w:szCs w:val="16"/>
              </w:rPr>
            </w:pPr>
            <w:r w:rsidRPr="00E25851" w:rsidDel="005F18EC">
              <w:rPr>
                <w:rFonts w:cs="Calibri"/>
                <w:szCs w:val="16"/>
              </w:rPr>
              <w:t>81.5</w:t>
            </w:r>
          </w:p>
        </w:tc>
      </w:tr>
      <w:tr w:rsidR="00BB3E1E" w:rsidRPr="00E25851" w14:paraId="3B05C524" w14:textId="77777777" w:rsidTr="00BB1EAB">
        <w:trPr>
          <w:cantSplit/>
          <w:trHeight w:val="283"/>
        </w:trPr>
        <w:tc>
          <w:tcPr>
            <w:tcW w:w="0" w:type="auto"/>
            <w:shd w:val="clear" w:color="auto" w:fill="auto"/>
            <w:tcMar>
              <w:top w:w="0" w:type="dxa"/>
              <w:left w:w="85" w:type="dxa"/>
              <w:bottom w:w="0" w:type="dxa"/>
              <w:right w:w="85" w:type="dxa"/>
            </w:tcMar>
          </w:tcPr>
          <w:p w14:paraId="5078FD07" w14:textId="77777777" w:rsidR="00BB3E1E" w:rsidRPr="00E25851" w:rsidRDefault="00BB3E1E" w:rsidP="00B05614">
            <w:pPr>
              <w:pStyle w:val="TableText"/>
              <w:rPr>
                <w:rFonts w:cs="Calibri"/>
                <w:szCs w:val="16"/>
              </w:rPr>
            </w:pPr>
            <w:r w:rsidRPr="00E25851" w:rsidDel="005F18EC">
              <w:rPr>
                <w:rFonts w:cs="Calibri"/>
                <w:szCs w:val="16"/>
              </w:rPr>
              <w:t>3.D.2.1</w:t>
            </w:r>
          </w:p>
        </w:tc>
        <w:tc>
          <w:tcPr>
            <w:tcW w:w="3503" w:type="dxa"/>
            <w:shd w:val="clear" w:color="auto" w:fill="auto"/>
            <w:tcMar>
              <w:top w:w="0" w:type="dxa"/>
              <w:left w:w="85" w:type="dxa"/>
              <w:bottom w:w="0" w:type="dxa"/>
              <w:right w:w="85" w:type="dxa"/>
            </w:tcMar>
          </w:tcPr>
          <w:p w14:paraId="4C8FD827" w14:textId="77777777" w:rsidR="00BB3E1E" w:rsidRPr="00E25851" w:rsidRDefault="00BB3E1E" w:rsidP="00B05614">
            <w:pPr>
              <w:pStyle w:val="TableText"/>
              <w:rPr>
                <w:rFonts w:cs="Calibri"/>
                <w:szCs w:val="16"/>
              </w:rPr>
            </w:pPr>
            <w:r w:rsidRPr="00E25851">
              <w:rPr>
                <w:rFonts w:cs="Calibri"/>
                <w:szCs w:val="16"/>
              </w:rPr>
              <w:t>Indirect N</w:t>
            </w:r>
            <w:r w:rsidRPr="00E25851">
              <w:rPr>
                <w:rFonts w:cs="Calibri"/>
                <w:szCs w:val="16"/>
                <w:vertAlign w:val="subscript"/>
              </w:rPr>
              <w:t>2</w:t>
            </w:r>
            <w:r w:rsidRPr="00E25851">
              <w:rPr>
                <w:rFonts w:cs="Calibri"/>
                <w:szCs w:val="16"/>
              </w:rPr>
              <w:t>O Emissions from</w:t>
            </w:r>
            <w:r w:rsidRPr="00E25851" w:rsidDel="005F18EC">
              <w:rPr>
                <w:rFonts w:cs="Calibri"/>
                <w:szCs w:val="16"/>
              </w:rPr>
              <w:t xml:space="preserve"> Managed Soils – Atmospheric Deposition</w:t>
            </w:r>
          </w:p>
        </w:tc>
        <w:tc>
          <w:tcPr>
            <w:tcW w:w="567" w:type="dxa"/>
            <w:shd w:val="clear" w:color="auto" w:fill="auto"/>
            <w:tcMar>
              <w:top w:w="0" w:type="dxa"/>
              <w:left w:w="85" w:type="dxa"/>
              <w:bottom w:w="0" w:type="dxa"/>
              <w:right w:w="85" w:type="dxa"/>
            </w:tcMar>
          </w:tcPr>
          <w:p w14:paraId="45641C25" w14:textId="77777777" w:rsidR="00BB3E1E" w:rsidRPr="00E25851" w:rsidRDefault="00BB3E1E" w:rsidP="00B05614">
            <w:pPr>
              <w:pStyle w:val="TableText"/>
              <w:rPr>
                <w:rFonts w:cs="Calibri"/>
                <w:szCs w:val="16"/>
              </w:rPr>
            </w:pPr>
            <w:r w:rsidRPr="00E25851" w:rsidDel="005F18EC">
              <w:rPr>
                <w:rFonts w:cs="Calibri"/>
                <w:szCs w:val="16"/>
              </w:rPr>
              <w:t>N</w:t>
            </w:r>
            <w:r w:rsidRPr="00E25851" w:rsidDel="005F18EC">
              <w:rPr>
                <w:rFonts w:cs="Calibri"/>
                <w:szCs w:val="16"/>
                <w:vertAlign w:val="subscript"/>
              </w:rPr>
              <w:t>2</w:t>
            </w:r>
            <w:r w:rsidRPr="00E25851" w:rsidDel="005F18EC">
              <w:rPr>
                <w:rFonts w:cs="Calibri"/>
                <w:szCs w:val="16"/>
              </w:rPr>
              <w:t>O</w:t>
            </w:r>
          </w:p>
        </w:tc>
        <w:tc>
          <w:tcPr>
            <w:tcW w:w="1560" w:type="dxa"/>
            <w:shd w:val="clear" w:color="auto" w:fill="auto"/>
            <w:tcMar>
              <w:top w:w="0" w:type="dxa"/>
              <w:left w:w="85" w:type="dxa"/>
              <w:bottom w:w="0" w:type="dxa"/>
              <w:right w:w="85" w:type="dxa"/>
            </w:tcMar>
          </w:tcPr>
          <w:p w14:paraId="2C989853" w14:textId="77777777" w:rsidR="00BB3E1E" w:rsidRPr="00E25851" w:rsidRDefault="00BB3E1E" w:rsidP="00B05614">
            <w:pPr>
              <w:pStyle w:val="TableText"/>
              <w:jc w:val="right"/>
              <w:rPr>
                <w:rFonts w:cs="Calibri"/>
                <w:szCs w:val="16"/>
              </w:rPr>
            </w:pPr>
            <w:r w:rsidRPr="00E25851" w:rsidDel="005F18EC">
              <w:rPr>
                <w:rFonts w:cs="Calibri"/>
                <w:szCs w:val="16"/>
              </w:rPr>
              <w:t>925.2</w:t>
            </w:r>
          </w:p>
        </w:tc>
        <w:tc>
          <w:tcPr>
            <w:tcW w:w="944" w:type="dxa"/>
            <w:shd w:val="clear" w:color="auto" w:fill="auto"/>
            <w:tcMar>
              <w:top w:w="0" w:type="dxa"/>
              <w:left w:w="85" w:type="dxa"/>
              <w:bottom w:w="0" w:type="dxa"/>
              <w:right w:w="85" w:type="dxa"/>
            </w:tcMar>
          </w:tcPr>
          <w:p w14:paraId="75187CAB" w14:textId="77777777" w:rsidR="00BB3E1E" w:rsidRPr="00E25851" w:rsidRDefault="00BB3E1E" w:rsidP="00B05614">
            <w:pPr>
              <w:pStyle w:val="TableText"/>
              <w:jc w:val="right"/>
              <w:rPr>
                <w:rFonts w:cs="Calibri"/>
                <w:szCs w:val="16"/>
              </w:rPr>
            </w:pPr>
            <w:r w:rsidRPr="00E25851" w:rsidDel="005F18EC">
              <w:rPr>
                <w:rFonts w:cs="Calibri"/>
                <w:szCs w:val="16"/>
              </w:rPr>
              <w:t>1.2</w:t>
            </w:r>
          </w:p>
        </w:tc>
        <w:tc>
          <w:tcPr>
            <w:tcW w:w="926" w:type="dxa"/>
            <w:shd w:val="clear" w:color="auto" w:fill="auto"/>
            <w:tcMar>
              <w:top w:w="0" w:type="dxa"/>
              <w:left w:w="85" w:type="dxa"/>
              <w:bottom w:w="0" w:type="dxa"/>
              <w:right w:w="85" w:type="dxa"/>
            </w:tcMar>
          </w:tcPr>
          <w:p w14:paraId="4773A821" w14:textId="77777777" w:rsidR="00BB3E1E" w:rsidRPr="00E25851" w:rsidRDefault="00BB3E1E" w:rsidP="00B05614">
            <w:pPr>
              <w:pStyle w:val="TableText"/>
              <w:jc w:val="right"/>
              <w:rPr>
                <w:rFonts w:cs="Calibri"/>
                <w:szCs w:val="16"/>
              </w:rPr>
            </w:pPr>
            <w:r w:rsidRPr="00E25851" w:rsidDel="005F18EC">
              <w:rPr>
                <w:rFonts w:cs="Calibri"/>
                <w:szCs w:val="16"/>
              </w:rPr>
              <w:t>82.6</w:t>
            </w:r>
          </w:p>
        </w:tc>
      </w:tr>
      <w:tr w:rsidR="00BB3E1E" w:rsidRPr="00E25851" w14:paraId="63C894DE" w14:textId="77777777" w:rsidTr="00BB1EAB">
        <w:trPr>
          <w:cantSplit/>
          <w:trHeight w:val="283"/>
        </w:trPr>
        <w:tc>
          <w:tcPr>
            <w:tcW w:w="0" w:type="auto"/>
            <w:shd w:val="clear" w:color="auto" w:fill="auto"/>
            <w:tcMar>
              <w:top w:w="0" w:type="dxa"/>
              <w:left w:w="85" w:type="dxa"/>
              <w:bottom w:w="0" w:type="dxa"/>
              <w:right w:w="85" w:type="dxa"/>
            </w:tcMar>
          </w:tcPr>
          <w:p w14:paraId="6768D709" w14:textId="77777777" w:rsidR="00BB3E1E" w:rsidRPr="00E25851" w:rsidRDefault="00BB3E1E" w:rsidP="00B05614">
            <w:pPr>
              <w:pStyle w:val="TableText"/>
              <w:rPr>
                <w:rFonts w:cs="Calibri"/>
                <w:szCs w:val="16"/>
              </w:rPr>
            </w:pPr>
            <w:r w:rsidRPr="00E25851" w:rsidDel="005F18EC">
              <w:rPr>
                <w:rFonts w:cs="Calibri"/>
                <w:szCs w:val="16"/>
              </w:rPr>
              <w:t>1.A.4.a</w:t>
            </w:r>
          </w:p>
        </w:tc>
        <w:tc>
          <w:tcPr>
            <w:tcW w:w="3503" w:type="dxa"/>
            <w:shd w:val="clear" w:color="auto" w:fill="auto"/>
            <w:tcMar>
              <w:top w:w="0" w:type="dxa"/>
              <w:left w:w="85" w:type="dxa"/>
              <w:bottom w:w="0" w:type="dxa"/>
              <w:right w:w="85" w:type="dxa"/>
            </w:tcMar>
          </w:tcPr>
          <w:p w14:paraId="3C0E4FC2" w14:textId="77777777" w:rsidR="00BB3E1E" w:rsidRPr="00E25851" w:rsidRDefault="00BB3E1E" w:rsidP="00B05614">
            <w:pPr>
              <w:pStyle w:val="TableText"/>
              <w:rPr>
                <w:rFonts w:cs="Calibri"/>
                <w:szCs w:val="16"/>
              </w:rPr>
            </w:pPr>
            <w:r w:rsidRPr="00E25851" w:rsidDel="005F18EC">
              <w:rPr>
                <w:rFonts w:cs="Calibri"/>
                <w:szCs w:val="16"/>
              </w:rPr>
              <w:t>Other Sectors – Commercial/Institutional Liquid Fuels</w:t>
            </w:r>
          </w:p>
        </w:tc>
        <w:tc>
          <w:tcPr>
            <w:tcW w:w="567" w:type="dxa"/>
            <w:shd w:val="clear" w:color="auto" w:fill="auto"/>
            <w:tcMar>
              <w:top w:w="0" w:type="dxa"/>
              <w:left w:w="85" w:type="dxa"/>
              <w:bottom w:w="0" w:type="dxa"/>
              <w:right w:w="85" w:type="dxa"/>
            </w:tcMar>
          </w:tcPr>
          <w:p w14:paraId="0C169701"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59ABA674" w14:textId="77777777" w:rsidR="00BB3E1E" w:rsidRPr="00E25851" w:rsidRDefault="00BB3E1E" w:rsidP="00B05614">
            <w:pPr>
              <w:pStyle w:val="TableText"/>
              <w:jc w:val="right"/>
              <w:rPr>
                <w:rFonts w:cs="Calibri"/>
                <w:szCs w:val="16"/>
              </w:rPr>
            </w:pPr>
            <w:r w:rsidRPr="00E25851" w:rsidDel="005F18EC">
              <w:rPr>
                <w:rFonts w:cs="Calibri"/>
                <w:szCs w:val="16"/>
              </w:rPr>
              <w:t>707.9</w:t>
            </w:r>
          </w:p>
        </w:tc>
        <w:tc>
          <w:tcPr>
            <w:tcW w:w="944" w:type="dxa"/>
            <w:shd w:val="clear" w:color="auto" w:fill="auto"/>
            <w:tcMar>
              <w:top w:w="0" w:type="dxa"/>
              <w:left w:w="85" w:type="dxa"/>
              <w:bottom w:w="0" w:type="dxa"/>
              <w:right w:w="85" w:type="dxa"/>
            </w:tcMar>
          </w:tcPr>
          <w:p w14:paraId="291D869C" w14:textId="77777777" w:rsidR="00BB3E1E" w:rsidRPr="00E25851" w:rsidRDefault="00BB3E1E" w:rsidP="00B05614">
            <w:pPr>
              <w:pStyle w:val="TableText"/>
              <w:jc w:val="right"/>
              <w:rPr>
                <w:rFonts w:cs="Calibri"/>
                <w:szCs w:val="16"/>
              </w:rPr>
            </w:pPr>
            <w:r w:rsidRPr="00E25851" w:rsidDel="005F18EC">
              <w:rPr>
                <w:rFonts w:cs="Calibri"/>
                <w:szCs w:val="16"/>
              </w:rPr>
              <w:t>0.9</w:t>
            </w:r>
          </w:p>
        </w:tc>
        <w:tc>
          <w:tcPr>
            <w:tcW w:w="926" w:type="dxa"/>
            <w:shd w:val="clear" w:color="auto" w:fill="auto"/>
            <w:tcMar>
              <w:top w:w="0" w:type="dxa"/>
              <w:left w:w="85" w:type="dxa"/>
              <w:bottom w:w="0" w:type="dxa"/>
              <w:right w:w="85" w:type="dxa"/>
            </w:tcMar>
          </w:tcPr>
          <w:p w14:paraId="6CC1D9AC" w14:textId="77777777" w:rsidR="00BB3E1E" w:rsidRPr="00E25851" w:rsidRDefault="00BB3E1E" w:rsidP="00B05614">
            <w:pPr>
              <w:pStyle w:val="TableText"/>
              <w:jc w:val="right"/>
              <w:rPr>
                <w:rFonts w:cs="Calibri"/>
                <w:szCs w:val="16"/>
              </w:rPr>
            </w:pPr>
            <w:r w:rsidRPr="00E25851" w:rsidDel="005F18EC">
              <w:rPr>
                <w:rFonts w:cs="Calibri"/>
                <w:szCs w:val="16"/>
              </w:rPr>
              <w:t>83.5</w:t>
            </w:r>
          </w:p>
        </w:tc>
      </w:tr>
      <w:tr w:rsidR="00BB3E1E" w:rsidRPr="00E25851" w14:paraId="4ADDCAD7" w14:textId="77777777" w:rsidTr="00BB1EAB">
        <w:trPr>
          <w:cantSplit/>
          <w:trHeight w:val="283"/>
        </w:trPr>
        <w:tc>
          <w:tcPr>
            <w:tcW w:w="0" w:type="auto"/>
            <w:shd w:val="clear" w:color="auto" w:fill="auto"/>
            <w:tcMar>
              <w:top w:w="0" w:type="dxa"/>
              <w:left w:w="85" w:type="dxa"/>
              <w:bottom w:w="0" w:type="dxa"/>
              <w:right w:w="85" w:type="dxa"/>
            </w:tcMar>
          </w:tcPr>
          <w:p w14:paraId="2103EC61" w14:textId="77777777" w:rsidR="00BB3E1E" w:rsidRPr="00E25851" w:rsidRDefault="00BB3E1E" w:rsidP="00B05614">
            <w:pPr>
              <w:pStyle w:val="TableText"/>
              <w:rPr>
                <w:rFonts w:cs="Calibri"/>
                <w:szCs w:val="16"/>
              </w:rPr>
            </w:pPr>
            <w:r w:rsidRPr="00E25851" w:rsidDel="005F18EC">
              <w:rPr>
                <w:rFonts w:cs="Calibri"/>
                <w:szCs w:val="16"/>
              </w:rPr>
              <w:t>1.A.3.a</w:t>
            </w:r>
          </w:p>
        </w:tc>
        <w:tc>
          <w:tcPr>
            <w:tcW w:w="3503" w:type="dxa"/>
            <w:shd w:val="clear" w:color="auto" w:fill="auto"/>
            <w:tcMar>
              <w:top w:w="0" w:type="dxa"/>
              <w:left w:w="85" w:type="dxa"/>
              <w:bottom w:w="0" w:type="dxa"/>
              <w:right w:w="85" w:type="dxa"/>
            </w:tcMar>
          </w:tcPr>
          <w:p w14:paraId="2E901603" w14:textId="77777777" w:rsidR="00BB3E1E" w:rsidRPr="00E25851" w:rsidRDefault="00BB3E1E" w:rsidP="00B05614">
            <w:pPr>
              <w:pStyle w:val="TableText"/>
              <w:rPr>
                <w:rFonts w:cs="Calibri"/>
                <w:szCs w:val="16"/>
              </w:rPr>
            </w:pPr>
            <w:r w:rsidRPr="00E25851" w:rsidDel="005F18EC">
              <w:rPr>
                <w:rFonts w:cs="Calibri"/>
                <w:szCs w:val="16"/>
              </w:rPr>
              <w:t>Domestic Aviation – Jet Kerosene</w:t>
            </w:r>
          </w:p>
        </w:tc>
        <w:tc>
          <w:tcPr>
            <w:tcW w:w="567" w:type="dxa"/>
            <w:shd w:val="clear" w:color="auto" w:fill="auto"/>
            <w:tcMar>
              <w:top w:w="0" w:type="dxa"/>
              <w:left w:w="85" w:type="dxa"/>
              <w:bottom w:w="0" w:type="dxa"/>
              <w:right w:w="85" w:type="dxa"/>
            </w:tcMar>
          </w:tcPr>
          <w:p w14:paraId="68A94395"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4092AACF" w14:textId="77777777" w:rsidR="00BB3E1E" w:rsidRPr="00E25851" w:rsidRDefault="00BB3E1E" w:rsidP="00B05614">
            <w:pPr>
              <w:pStyle w:val="TableText"/>
              <w:jc w:val="right"/>
              <w:rPr>
                <w:rFonts w:cs="Calibri"/>
                <w:szCs w:val="16"/>
              </w:rPr>
            </w:pPr>
            <w:r w:rsidRPr="00E25851" w:rsidDel="005F18EC">
              <w:rPr>
                <w:rFonts w:cs="Calibri"/>
                <w:szCs w:val="16"/>
              </w:rPr>
              <w:t>681.4</w:t>
            </w:r>
          </w:p>
        </w:tc>
        <w:tc>
          <w:tcPr>
            <w:tcW w:w="944" w:type="dxa"/>
            <w:shd w:val="clear" w:color="auto" w:fill="auto"/>
            <w:tcMar>
              <w:top w:w="0" w:type="dxa"/>
              <w:left w:w="85" w:type="dxa"/>
              <w:bottom w:w="0" w:type="dxa"/>
              <w:right w:w="85" w:type="dxa"/>
            </w:tcMar>
          </w:tcPr>
          <w:p w14:paraId="55AF8E74" w14:textId="77777777" w:rsidR="00BB3E1E" w:rsidRPr="00E25851" w:rsidRDefault="00BB3E1E" w:rsidP="00B05614">
            <w:pPr>
              <w:pStyle w:val="TableText"/>
              <w:jc w:val="right"/>
              <w:rPr>
                <w:rFonts w:cs="Calibri"/>
                <w:szCs w:val="16"/>
              </w:rPr>
            </w:pPr>
            <w:r w:rsidRPr="00E25851" w:rsidDel="005F18EC">
              <w:rPr>
                <w:rFonts w:cs="Calibri"/>
                <w:szCs w:val="16"/>
              </w:rPr>
              <w:t>0.9</w:t>
            </w:r>
          </w:p>
        </w:tc>
        <w:tc>
          <w:tcPr>
            <w:tcW w:w="926" w:type="dxa"/>
            <w:shd w:val="clear" w:color="auto" w:fill="auto"/>
            <w:tcMar>
              <w:top w:w="0" w:type="dxa"/>
              <w:left w:w="85" w:type="dxa"/>
              <w:bottom w:w="0" w:type="dxa"/>
              <w:right w:w="85" w:type="dxa"/>
            </w:tcMar>
          </w:tcPr>
          <w:p w14:paraId="4AF8EE61" w14:textId="77777777" w:rsidR="00BB3E1E" w:rsidRPr="00E25851" w:rsidRDefault="00BB3E1E" w:rsidP="00B05614">
            <w:pPr>
              <w:pStyle w:val="TableText"/>
              <w:jc w:val="right"/>
              <w:rPr>
                <w:rFonts w:cs="Calibri"/>
                <w:szCs w:val="16"/>
              </w:rPr>
            </w:pPr>
            <w:r w:rsidRPr="00E25851" w:rsidDel="005F18EC">
              <w:rPr>
                <w:rFonts w:cs="Calibri"/>
                <w:szCs w:val="16"/>
              </w:rPr>
              <w:t>84.4</w:t>
            </w:r>
          </w:p>
        </w:tc>
      </w:tr>
      <w:tr w:rsidR="00BB3E1E" w:rsidRPr="00E25851" w14:paraId="7C7DD0BA" w14:textId="77777777" w:rsidTr="00BB1EAB">
        <w:trPr>
          <w:cantSplit/>
          <w:trHeight w:val="283"/>
        </w:trPr>
        <w:tc>
          <w:tcPr>
            <w:tcW w:w="0" w:type="auto"/>
            <w:shd w:val="clear" w:color="auto" w:fill="auto"/>
            <w:tcMar>
              <w:top w:w="0" w:type="dxa"/>
              <w:left w:w="85" w:type="dxa"/>
              <w:bottom w:w="0" w:type="dxa"/>
              <w:right w:w="85" w:type="dxa"/>
            </w:tcMar>
          </w:tcPr>
          <w:p w14:paraId="39BB7E83" w14:textId="77777777" w:rsidR="00BB3E1E" w:rsidRPr="00E25851" w:rsidRDefault="00BB3E1E" w:rsidP="00B05614">
            <w:pPr>
              <w:pStyle w:val="TableText"/>
              <w:rPr>
                <w:rFonts w:cs="Calibri"/>
                <w:szCs w:val="16"/>
              </w:rPr>
            </w:pPr>
            <w:r w:rsidRPr="00E25851" w:rsidDel="005F18EC">
              <w:rPr>
                <w:rFonts w:cs="Calibri"/>
                <w:szCs w:val="16"/>
              </w:rPr>
              <w:t>3.D.1.6</w:t>
            </w:r>
          </w:p>
        </w:tc>
        <w:tc>
          <w:tcPr>
            <w:tcW w:w="3503" w:type="dxa"/>
            <w:shd w:val="clear" w:color="auto" w:fill="auto"/>
            <w:tcMar>
              <w:top w:w="0" w:type="dxa"/>
              <w:left w:w="85" w:type="dxa"/>
              <w:bottom w:w="0" w:type="dxa"/>
              <w:right w:w="85" w:type="dxa"/>
            </w:tcMar>
          </w:tcPr>
          <w:p w14:paraId="68F12A59" w14:textId="77777777" w:rsidR="00BB3E1E" w:rsidRPr="00E25851" w:rsidRDefault="00BB3E1E" w:rsidP="00B05614">
            <w:pPr>
              <w:pStyle w:val="TableText"/>
              <w:rPr>
                <w:rFonts w:cs="Calibri"/>
                <w:szCs w:val="16"/>
              </w:rPr>
            </w:pPr>
            <w:r w:rsidRPr="00E25851">
              <w:rPr>
                <w:rFonts w:cs="Calibri"/>
                <w:szCs w:val="16"/>
              </w:rPr>
              <w:t>Direct N</w:t>
            </w:r>
            <w:r w:rsidRPr="00E25851">
              <w:rPr>
                <w:rFonts w:cs="Calibri"/>
                <w:szCs w:val="16"/>
                <w:vertAlign w:val="subscript"/>
              </w:rPr>
              <w:t>2</w:t>
            </w:r>
            <w:r w:rsidRPr="00E25851">
              <w:rPr>
                <w:rFonts w:cs="Calibri"/>
                <w:szCs w:val="16"/>
              </w:rPr>
              <w:t>O Emissions from</w:t>
            </w:r>
            <w:r w:rsidRPr="00E25851" w:rsidDel="005F18EC">
              <w:rPr>
                <w:rFonts w:cs="Calibri"/>
                <w:szCs w:val="16"/>
              </w:rPr>
              <w:t xml:space="preserve"> Managed Soils – Cultivation of Organic Soils</w:t>
            </w:r>
          </w:p>
        </w:tc>
        <w:tc>
          <w:tcPr>
            <w:tcW w:w="567" w:type="dxa"/>
            <w:shd w:val="clear" w:color="auto" w:fill="auto"/>
            <w:tcMar>
              <w:top w:w="0" w:type="dxa"/>
              <w:left w:w="85" w:type="dxa"/>
              <w:bottom w:w="0" w:type="dxa"/>
              <w:right w:w="85" w:type="dxa"/>
            </w:tcMar>
          </w:tcPr>
          <w:p w14:paraId="06F29278" w14:textId="77777777" w:rsidR="00BB3E1E" w:rsidRPr="00E25851" w:rsidRDefault="00BB3E1E" w:rsidP="00B05614">
            <w:pPr>
              <w:pStyle w:val="TableText"/>
              <w:rPr>
                <w:rFonts w:cs="Calibri"/>
                <w:szCs w:val="16"/>
              </w:rPr>
            </w:pPr>
            <w:r w:rsidRPr="00E25851" w:rsidDel="005F18EC">
              <w:rPr>
                <w:rFonts w:cs="Calibri"/>
                <w:szCs w:val="16"/>
              </w:rPr>
              <w:t>N</w:t>
            </w:r>
            <w:r w:rsidRPr="00E25851" w:rsidDel="005F18EC">
              <w:rPr>
                <w:rFonts w:cs="Calibri"/>
                <w:szCs w:val="16"/>
                <w:vertAlign w:val="subscript"/>
              </w:rPr>
              <w:t>2</w:t>
            </w:r>
            <w:r w:rsidRPr="00E25851" w:rsidDel="005F18EC">
              <w:rPr>
                <w:rFonts w:cs="Calibri"/>
                <w:szCs w:val="16"/>
              </w:rPr>
              <w:t>O</w:t>
            </w:r>
          </w:p>
        </w:tc>
        <w:tc>
          <w:tcPr>
            <w:tcW w:w="1560" w:type="dxa"/>
            <w:shd w:val="clear" w:color="auto" w:fill="auto"/>
            <w:tcMar>
              <w:top w:w="0" w:type="dxa"/>
              <w:left w:w="85" w:type="dxa"/>
              <w:bottom w:w="0" w:type="dxa"/>
              <w:right w:w="85" w:type="dxa"/>
            </w:tcMar>
          </w:tcPr>
          <w:p w14:paraId="22E9BBEB" w14:textId="77777777" w:rsidR="00BB3E1E" w:rsidRPr="00E25851" w:rsidRDefault="00BB3E1E" w:rsidP="00B05614">
            <w:pPr>
              <w:pStyle w:val="TableText"/>
              <w:jc w:val="right"/>
              <w:rPr>
                <w:rFonts w:cs="Calibri"/>
                <w:szCs w:val="16"/>
              </w:rPr>
            </w:pPr>
            <w:r w:rsidRPr="00E25851" w:rsidDel="005F18EC">
              <w:rPr>
                <w:rFonts w:cs="Calibri"/>
                <w:szCs w:val="16"/>
              </w:rPr>
              <w:t>667.6</w:t>
            </w:r>
          </w:p>
        </w:tc>
        <w:tc>
          <w:tcPr>
            <w:tcW w:w="944" w:type="dxa"/>
            <w:shd w:val="clear" w:color="auto" w:fill="auto"/>
            <w:tcMar>
              <w:top w:w="0" w:type="dxa"/>
              <w:left w:w="85" w:type="dxa"/>
              <w:bottom w:w="0" w:type="dxa"/>
              <w:right w:w="85" w:type="dxa"/>
            </w:tcMar>
          </w:tcPr>
          <w:p w14:paraId="7BDAF44B" w14:textId="77777777" w:rsidR="00BB3E1E" w:rsidRPr="00E25851" w:rsidRDefault="00BB3E1E" w:rsidP="00B05614">
            <w:pPr>
              <w:pStyle w:val="TableText"/>
              <w:jc w:val="right"/>
              <w:rPr>
                <w:rFonts w:cs="Calibri"/>
                <w:szCs w:val="16"/>
              </w:rPr>
            </w:pPr>
            <w:r w:rsidRPr="00E25851" w:rsidDel="005F18EC">
              <w:rPr>
                <w:rFonts w:cs="Calibri"/>
                <w:szCs w:val="16"/>
              </w:rPr>
              <w:t>0.8</w:t>
            </w:r>
          </w:p>
        </w:tc>
        <w:tc>
          <w:tcPr>
            <w:tcW w:w="926" w:type="dxa"/>
            <w:shd w:val="clear" w:color="auto" w:fill="auto"/>
            <w:tcMar>
              <w:top w:w="0" w:type="dxa"/>
              <w:left w:w="85" w:type="dxa"/>
              <w:bottom w:w="0" w:type="dxa"/>
              <w:right w:w="85" w:type="dxa"/>
            </w:tcMar>
          </w:tcPr>
          <w:p w14:paraId="19DADDDB" w14:textId="77777777" w:rsidR="00BB3E1E" w:rsidRPr="00E25851" w:rsidRDefault="00BB3E1E" w:rsidP="00B05614">
            <w:pPr>
              <w:pStyle w:val="TableText"/>
              <w:jc w:val="right"/>
              <w:rPr>
                <w:rFonts w:cs="Calibri"/>
                <w:szCs w:val="16"/>
              </w:rPr>
            </w:pPr>
            <w:r w:rsidRPr="00E25851" w:rsidDel="005F18EC">
              <w:rPr>
                <w:rFonts w:cs="Calibri"/>
                <w:szCs w:val="16"/>
              </w:rPr>
              <w:t>85.3</w:t>
            </w:r>
          </w:p>
        </w:tc>
      </w:tr>
      <w:tr w:rsidR="00BB3E1E" w:rsidRPr="00E25851" w14:paraId="6BDBE070" w14:textId="77777777" w:rsidTr="00BB1EAB">
        <w:trPr>
          <w:cantSplit/>
          <w:trHeight w:val="283"/>
        </w:trPr>
        <w:tc>
          <w:tcPr>
            <w:tcW w:w="0" w:type="auto"/>
            <w:shd w:val="clear" w:color="auto" w:fill="auto"/>
            <w:tcMar>
              <w:top w:w="0" w:type="dxa"/>
              <w:left w:w="85" w:type="dxa"/>
              <w:bottom w:w="0" w:type="dxa"/>
              <w:right w:w="85" w:type="dxa"/>
            </w:tcMar>
          </w:tcPr>
          <w:p w14:paraId="01BD7C4A" w14:textId="77777777" w:rsidR="00BB3E1E" w:rsidRPr="00E25851" w:rsidRDefault="00BB3E1E" w:rsidP="00B05614">
            <w:pPr>
              <w:pStyle w:val="TableText"/>
              <w:rPr>
                <w:rFonts w:cs="Calibri"/>
                <w:szCs w:val="16"/>
              </w:rPr>
            </w:pPr>
            <w:r w:rsidRPr="00E25851" w:rsidDel="005F18EC">
              <w:rPr>
                <w:rFonts w:cs="Calibri"/>
                <w:szCs w:val="16"/>
              </w:rPr>
              <w:t>2.C.3</w:t>
            </w:r>
          </w:p>
        </w:tc>
        <w:tc>
          <w:tcPr>
            <w:tcW w:w="3503" w:type="dxa"/>
            <w:shd w:val="clear" w:color="auto" w:fill="auto"/>
            <w:tcMar>
              <w:top w:w="0" w:type="dxa"/>
              <w:left w:w="85" w:type="dxa"/>
              <w:bottom w:w="0" w:type="dxa"/>
              <w:right w:w="85" w:type="dxa"/>
            </w:tcMar>
          </w:tcPr>
          <w:p w14:paraId="5D55DB27" w14:textId="77777777" w:rsidR="00BB3E1E" w:rsidRPr="00E25851" w:rsidRDefault="00BB3E1E" w:rsidP="00B05614">
            <w:pPr>
              <w:pStyle w:val="TableText"/>
              <w:rPr>
                <w:rFonts w:cs="Calibri"/>
                <w:szCs w:val="16"/>
              </w:rPr>
            </w:pPr>
            <w:r w:rsidRPr="00E25851" w:rsidDel="005F18EC">
              <w:rPr>
                <w:rFonts w:cs="Calibri"/>
                <w:szCs w:val="16"/>
              </w:rPr>
              <w:t>Metal Industry – Aluminium Production</w:t>
            </w:r>
          </w:p>
        </w:tc>
        <w:tc>
          <w:tcPr>
            <w:tcW w:w="567" w:type="dxa"/>
            <w:shd w:val="clear" w:color="auto" w:fill="auto"/>
            <w:tcMar>
              <w:top w:w="0" w:type="dxa"/>
              <w:left w:w="85" w:type="dxa"/>
              <w:bottom w:w="0" w:type="dxa"/>
              <w:right w:w="85" w:type="dxa"/>
            </w:tcMar>
          </w:tcPr>
          <w:p w14:paraId="41C550D2"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49BA571D" w14:textId="77777777" w:rsidR="00BB3E1E" w:rsidRPr="00E25851" w:rsidRDefault="00BB3E1E" w:rsidP="00B05614">
            <w:pPr>
              <w:pStyle w:val="TableText"/>
              <w:jc w:val="right"/>
              <w:rPr>
                <w:rFonts w:cs="Calibri"/>
                <w:szCs w:val="16"/>
              </w:rPr>
            </w:pPr>
            <w:r w:rsidRPr="00E25851" w:rsidDel="005F18EC">
              <w:rPr>
                <w:rFonts w:cs="Calibri"/>
                <w:szCs w:val="16"/>
              </w:rPr>
              <w:t>549.2</w:t>
            </w:r>
          </w:p>
        </w:tc>
        <w:tc>
          <w:tcPr>
            <w:tcW w:w="944" w:type="dxa"/>
            <w:shd w:val="clear" w:color="auto" w:fill="auto"/>
            <w:tcMar>
              <w:top w:w="0" w:type="dxa"/>
              <w:left w:w="85" w:type="dxa"/>
              <w:bottom w:w="0" w:type="dxa"/>
              <w:right w:w="85" w:type="dxa"/>
            </w:tcMar>
          </w:tcPr>
          <w:p w14:paraId="0CACD0AD" w14:textId="77777777" w:rsidR="00BB3E1E" w:rsidRPr="00E25851" w:rsidRDefault="00BB3E1E" w:rsidP="00B05614">
            <w:pPr>
              <w:pStyle w:val="TableText"/>
              <w:jc w:val="right"/>
              <w:rPr>
                <w:rFonts w:cs="Calibri"/>
                <w:szCs w:val="16"/>
              </w:rPr>
            </w:pPr>
            <w:r w:rsidRPr="00E25851" w:rsidDel="005F18EC">
              <w:rPr>
                <w:rFonts w:cs="Calibri"/>
                <w:szCs w:val="16"/>
              </w:rPr>
              <w:t>0.7</w:t>
            </w:r>
          </w:p>
        </w:tc>
        <w:tc>
          <w:tcPr>
            <w:tcW w:w="926" w:type="dxa"/>
            <w:shd w:val="clear" w:color="auto" w:fill="auto"/>
            <w:tcMar>
              <w:top w:w="0" w:type="dxa"/>
              <w:left w:w="85" w:type="dxa"/>
              <w:bottom w:w="0" w:type="dxa"/>
              <w:right w:w="85" w:type="dxa"/>
            </w:tcMar>
          </w:tcPr>
          <w:p w14:paraId="5CCE27DB" w14:textId="77777777" w:rsidR="00BB3E1E" w:rsidRPr="00E25851" w:rsidRDefault="00BB3E1E" w:rsidP="00B05614">
            <w:pPr>
              <w:pStyle w:val="TableText"/>
              <w:jc w:val="right"/>
              <w:rPr>
                <w:rFonts w:cs="Calibri"/>
                <w:szCs w:val="16"/>
              </w:rPr>
            </w:pPr>
            <w:r w:rsidRPr="00E25851" w:rsidDel="005F18EC">
              <w:rPr>
                <w:rFonts w:cs="Calibri"/>
                <w:szCs w:val="16"/>
              </w:rPr>
              <w:t>85.9</w:t>
            </w:r>
          </w:p>
        </w:tc>
      </w:tr>
      <w:tr w:rsidR="00BB3E1E" w:rsidRPr="00E25851" w14:paraId="6743E90A" w14:textId="77777777" w:rsidTr="00BB1EAB">
        <w:trPr>
          <w:cantSplit/>
          <w:trHeight w:val="283"/>
        </w:trPr>
        <w:tc>
          <w:tcPr>
            <w:tcW w:w="0" w:type="auto"/>
            <w:shd w:val="clear" w:color="auto" w:fill="auto"/>
            <w:tcMar>
              <w:top w:w="0" w:type="dxa"/>
              <w:left w:w="85" w:type="dxa"/>
              <w:bottom w:w="0" w:type="dxa"/>
              <w:right w:w="85" w:type="dxa"/>
            </w:tcMar>
          </w:tcPr>
          <w:p w14:paraId="6D3E0765" w14:textId="77777777" w:rsidR="00BB3E1E" w:rsidRPr="00E25851" w:rsidRDefault="00BB3E1E" w:rsidP="00B05614">
            <w:pPr>
              <w:pStyle w:val="TableText"/>
              <w:rPr>
                <w:rFonts w:cs="Calibri"/>
                <w:szCs w:val="16"/>
              </w:rPr>
            </w:pPr>
            <w:r w:rsidRPr="00E25851" w:rsidDel="005F18EC">
              <w:rPr>
                <w:rFonts w:cs="Calibri"/>
                <w:szCs w:val="16"/>
              </w:rPr>
              <w:t>1.A.1.b</w:t>
            </w:r>
          </w:p>
        </w:tc>
        <w:tc>
          <w:tcPr>
            <w:tcW w:w="3503" w:type="dxa"/>
            <w:shd w:val="clear" w:color="auto" w:fill="auto"/>
            <w:tcMar>
              <w:top w:w="0" w:type="dxa"/>
              <w:left w:w="85" w:type="dxa"/>
              <w:bottom w:w="0" w:type="dxa"/>
              <w:right w:w="85" w:type="dxa"/>
            </w:tcMar>
          </w:tcPr>
          <w:p w14:paraId="7FAE9E4E" w14:textId="77777777" w:rsidR="00BB3E1E" w:rsidRPr="00E25851" w:rsidRDefault="00BB3E1E" w:rsidP="00B05614">
            <w:pPr>
              <w:pStyle w:val="TableText"/>
              <w:rPr>
                <w:rFonts w:cs="Calibri"/>
                <w:szCs w:val="16"/>
              </w:rPr>
            </w:pPr>
            <w:r w:rsidRPr="00E25851" w:rsidDel="005F18EC">
              <w:rPr>
                <w:rFonts w:cs="Calibri"/>
                <w:szCs w:val="16"/>
              </w:rPr>
              <w:t>Energy Industries – Petroleum Refining Liquid Fuels</w:t>
            </w:r>
          </w:p>
        </w:tc>
        <w:tc>
          <w:tcPr>
            <w:tcW w:w="567" w:type="dxa"/>
            <w:shd w:val="clear" w:color="auto" w:fill="auto"/>
            <w:tcMar>
              <w:top w:w="0" w:type="dxa"/>
              <w:left w:w="85" w:type="dxa"/>
              <w:bottom w:w="0" w:type="dxa"/>
              <w:right w:w="85" w:type="dxa"/>
            </w:tcMar>
          </w:tcPr>
          <w:p w14:paraId="68FC16D6"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2A04FD5D" w14:textId="77777777" w:rsidR="00BB3E1E" w:rsidRPr="00E25851" w:rsidRDefault="00BB3E1E" w:rsidP="00B05614">
            <w:pPr>
              <w:pStyle w:val="TableText"/>
              <w:jc w:val="right"/>
              <w:rPr>
                <w:rFonts w:cs="Calibri"/>
                <w:szCs w:val="16"/>
              </w:rPr>
            </w:pPr>
            <w:r w:rsidRPr="00E25851" w:rsidDel="005F18EC">
              <w:rPr>
                <w:rFonts w:cs="Calibri"/>
                <w:szCs w:val="16"/>
              </w:rPr>
              <w:t>543.8</w:t>
            </w:r>
          </w:p>
        </w:tc>
        <w:tc>
          <w:tcPr>
            <w:tcW w:w="944" w:type="dxa"/>
            <w:shd w:val="clear" w:color="auto" w:fill="auto"/>
            <w:tcMar>
              <w:top w:w="0" w:type="dxa"/>
              <w:left w:w="85" w:type="dxa"/>
              <w:bottom w:w="0" w:type="dxa"/>
              <w:right w:w="85" w:type="dxa"/>
            </w:tcMar>
          </w:tcPr>
          <w:p w14:paraId="1C78A8A9" w14:textId="77777777" w:rsidR="00BB3E1E" w:rsidRPr="00E25851" w:rsidRDefault="00BB3E1E" w:rsidP="00B05614">
            <w:pPr>
              <w:pStyle w:val="TableText"/>
              <w:jc w:val="right"/>
              <w:rPr>
                <w:rFonts w:cs="Calibri"/>
                <w:szCs w:val="16"/>
              </w:rPr>
            </w:pPr>
            <w:r w:rsidRPr="00E25851" w:rsidDel="005F18EC">
              <w:rPr>
                <w:rFonts w:cs="Calibri"/>
                <w:szCs w:val="16"/>
              </w:rPr>
              <w:t>0.7</w:t>
            </w:r>
          </w:p>
        </w:tc>
        <w:tc>
          <w:tcPr>
            <w:tcW w:w="926" w:type="dxa"/>
            <w:shd w:val="clear" w:color="auto" w:fill="auto"/>
            <w:tcMar>
              <w:top w:w="0" w:type="dxa"/>
              <w:left w:w="85" w:type="dxa"/>
              <w:bottom w:w="0" w:type="dxa"/>
              <w:right w:w="85" w:type="dxa"/>
            </w:tcMar>
          </w:tcPr>
          <w:p w14:paraId="5BEB26FF" w14:textId="77777777" w:rsidR="00BB3E1E" w:rsidRPr="00E25851" w:rsidRDefault="00BB3E1E" w:rsidP="00B05614">
            <w:pPr>
              <w:pStyle w:val="TableText"/>
              <w:jc w:val="right"/>
              <w:rPr>
                <w:rFonts w:cs="Calibri"/>
                <w:szCs w:val="16"/>
              </w:rPr>
            </w:pPr>
            <w:r w:rsidRPr="00E25851" w:rsidDel="005F18EC">
              <w:rPr>
                <w:rFonts w:cs="Calibri"/>
                <w:szCs w:val="16"/>
              </w:rPr>
              <w:t>86.6</w:t>
            </w:r>
          </w:p>
        </w:tc>
      </w:tr>
      <w:tr w:rsidR="00BB3E1E" w:rsidRPr="00E25851" w14:paraId="62CB5192" w14:textId="77777777" w:rsidTr="00BB1EAB">
        <w:trPr>
          <w:cantSplit/>
          <w:trHeight w:val="283"/>
        </w:trPr>
        <w:tc>
          <w:tcPr>
            <w:tcW w:w="0" w:type="auto"/>
            <w:shd w:val="clear" w:color="auto" w:fill="auto"/>
            <w:tcMar>
              <w:top w:w="0" w:type="dxa"/>
              <w:left w:w="85" w:type="dxa"/>
              <w:bottom w:w="0" w:type="dxa"/>
              <w:right w:w="85" w:type="dxa"/>
            </w:tcMar>
          </w:tcPr>
          <w:p w14:paraId="33500DC2" w14:textId="77777777" w:rsidR="00BB3E1E" w:rsidRPr="00E25851" w:rsidRDefault="00BB3E1E" w:rsidP="00B05614">
            <w:pPr>
              <w:pStyle w:val="TableText"/>
              <w:rPr>
                <w:rFonts w:cs="Calibri"/>
                <w:szCs w:val="16"/>
              </w:rPr>
            </w:pPr>
            <w:r w:rsidRPr="00E25851" w:rsidDel="005F18EC">
              <w:rPr>
                <w:rFonts w:cs="Calibri"/>
                <w:szCs w:val="16"/>
              </w:rPr>
              <w:t>3.H</w:t>
            </w:r>
          </w:p>
        </w:tc>
        <w:tc>
          <w:tcPr>
            <w:tcW w:w="3503" w:type="dxa"/>
            <w:shd w:val="clear" w:color="auto" w:fill="auto"/>
            <w:tcMar>
              <w:top w:w="0" w:type="dxa"/>
              <w:left w:w="85" w:type="dxa"/>
              <w:bottom w:w="0" w:type="dxa"/>
              <w:right w:w="85" w:type="dxa"/>
            </w:tcMar>
          </w:tcPr>
          <w:p w14:paraId="212C9F40" w14:textId="77777777" w:rsidR="00BB3E1E" w:rsidRPr="00E25851" w:rsidRDefault="00BB3E1E" w:rsidP="00B05614">
            <w:pPr>
              <w:pStyle w:val="TableText"/>
              <w:rPr>
                <w:rFonts w:cs="Calibri"/>
                <w:szCs w:val="16"/>
              </w:rPr>
            </w:pPr>
            <w:r w:rsidRPr="00E25851" w:rsidDel="005F18EC">
              <w:rPr>
                <w:rFonts w:cs="Calibri"/>
                <w:szCs w:val="16"/>
              </w:rPr>
              <w:t>Agriculture – Urea Application</w:t>
            </w:r>
          </w:p>
        </w:tc>
        <w:tc>
          <w:tcPr>
            <w:tcW w:w="567" w:type="dxa"/>
            <w:shd w:val="clear" w:color="auto" w:fill="auto"/>
            <w:tcMar>
              <w:top w:w="0" w:type="dxa"/>
              <w:left w:w="85" w:type="dxa"/>
              <w:bottom w:w="0" w:type="dxa"/>
              <w:right w:w="85" w:type="dxa"/>
            </w:tcMar>
          </w:tcPr>
          <w:p w14:paraId="47E61093"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6016A553" w14:textId="77777777" w:rsidR="00BB3E1E" w:rsidRPr="00E25851" w:rsidRDefault="00BB3E1E" w:rsidP="00B05614">
            <w:pPr>
              <w:pStyle w:val="TableText"/>
              <w:jc w:val="right"/>
              <w:rPr>
                <w:rFonts w:cs="Calibri"/>
                <w:szCs w:val="16"/>
              </w:rPr>
            </w:pPr>
            <w:r w:rsidRPr="00E25851" w:rsidDel="005F18EC">
              <w:rPr>
                <w:rFonts w:cs="Calibri"/>
                <w:szCs w:val="16"/>
              </w:rPr>
              <w:t>542.0</w:t>
            </w:r>
          </w:p>
        </w:tc>
        <w:tc>
          <w:tcPr>
            <w:tcW w:w="944" w:type="dxa"/>
            <w:shd w:val="clear" w:color="auto" w:fill="auto"/>
            <w:tcMar>
              <w:top w:w="0" w:type="dxa"/>
              <w:left w:w="85" w:type="dxa"/>
              <w:bottom w:w="0" w:type="dxa"/>
              <w:right w:w="85" w:type="dxa"/>
            </w:tcMar>
          </w:tcPr>
          <w:p w14:paraId="5FD15DC2" w14:textId="77777777" w:rsidR="00BB3E1E" w:rsidRPr="00E25851" w:rsidRDefault="00BB3E1E" w:rsidP="00B05614">
            <w:pPr>
              <w:pStyle w:val="TableText"/>
              <w:jc w:val="right"/>
              <w:rPr>
                <w:rFonts w:cs="Calibri"/>
                <w:szCs w:val="16"/>
              </w:rPr>
            </w:pPr>
            <w:r w:rsidRPr="00E25851" w:rsidDel="005F18EC">
              <w:rPr>
                <w:rFonts w:cs="Calibri"/>
                <w:szCs w:val="16"/>
              </w:rPr>
              <w:t>0.7</w:t>
            </w:r>
          </w:p>
        </w:tc>
        <w:tc>
          <w:tcPr>
            <w:tcW w:w="926" w:type="dxa"/>
            <w:shd w:val="clear" w:color="auto" w:fill="auto"/>
            <w:tcMar>
              <w:top w:w="0" w:type="dxa"/>
              <w:left w:w="85" w:type="dxa"/>
              <w:bottom w:w="0" w:type="dxa"/>
              <w:right w:w="85" w:type="dxa"/>
            </w:tcMar>
          </w:tcPr>
          <w:p w14:paraId="7E06B7EF" w14:textId="77777777" w:rsidR="00BB3E1E" w:rsidRPr="00E25851" w:rsidRDefault="00BB3E1E" w:rsidP="00B05614">
            <w:pPr>
              <w:pStyle w:val="TableText"/>
              <w:jc w:val="right"/>
              <w:rPr>
                <w:rFonts w:cs="Calibri"/>
                <w:szCs w:val="16"/>
              </w:rPr>
            </w:pPr>
            <w:r w:rsidRPr="00E25851" w:rsidDel="005F18EC">
              <w:rPr>
                <w:rFonts w:cs="Calibri"/>
                <w:szCs w:val="16"/>
              </w:rPr>
              <w:t>87.3</w:t>
            </w:r>
          </w:p>
        </w:tc>
      </w:tr>
      <w:tr w:rsidR="00BB3E1E" w:rsidRPr="00E25851" w14:paraId="5DBD2339" w14:textId="77777777" w:rsidTr="00BB1EAB">
        <w:trPr>
          <w:cantSplit/>
          <w:trHeight w:val="283"/>
        </w:trPr>
        <w:tc>
          <w:tcPr>
            <w:tcW w:w="0" w:type="auto"/>
            <w:shd w:val="clear" w:color="auto" w:fill="auto"/>
            <w:tcMar>
              <w:top w:w="0" w:type="dxa"/>
              <w:left w:w="85" w:type="dxa"/>
              <w:bottom w:w="0" w:type="dxa"/>
              <w:right w:w="85" w:type="dxa"/>
            </w:tcMar>
          </w:tcPr>
          <w:p w14:paraId="2D0530B9" w14:textId="77777777" w:rsidR="00BB3E1E" w:rsidRPr="00E25851" w:rsidRDefault="00BB3E1E" w:rsidP="00B05614">
            <w:pPr>
              <w:pStyle w:val="TableText"/>
              <w:rPr>
                <w:rFonts w:cs="Calibri"/>
                <w:szCs w:val="16"/>
              </w:rPr>
            </w:pPr>
            <w:r w:rsidRPr="00E25851" w:rsidDel="005F18EC">
              <w:rPr>
                <w:rFonts w:cs="Calibri"/>
                <w:szCs w:val="16"/>
              </w:rPr>
              <w:t>3.D.2.2</w:t>
            </w:r>
          </w:p>
        </w:tc>
        <w:tc>
          <w:tcPr>
            <w:tcW w:w="3503" w:type="dxa"/>
            <w:shd w:val="clear" w:color="auto" w:fill="auto"/>
            <w:tcMar>
              <w:top w:w="0" w:type="dxa"/>
              <w:left w:w="85" w:type="dxa"/>
              <w:bottom w:w="0" w:type="dxa"/>
              <w:right w:w="85" w:type="dxa"/>
            </w:tcMar>
          </w:tcPr>
          <w:p w14:paraId="3B2AE526" w14:textId="77777777" w:rsidR="00BB3E1E" w:rsidRPr="00E25851" w:rsidRDefault="00BB3E1E" w:rsidP="00B05614">
            <w:pPr>
              <w:pStyle w:val="TableText"/>
              <w:rPr>
                <w:rFonts w:cs="Calibri"/>
                <w:szCs w:val="16"/>
              </w:rPr>
            </w:pPr>
            <w:r w:rsidRPr="00E25851">
              <w:rPr>
                <w:rFonts w:cs="Calibri"/>
                <w:szCs w:val="16"/>
              </w:rPr>
              <w:t>Indirect N</w:t>
            </w:r>
            <w:r w:rsidRPr="00E25851">
              <w:rPr>
                <w:rFonts w:cs="Calibri"/>
                <w:szCs w:val="16"/>
                <w:vertAlign w:val="subscript"/>
              </w:rPr>
              <w:t>2</w:t>
            </w:r>
            <w:r w:rsidRPr="00E25851">
              <w:rPr>
                <w:rFonts w:cs="Calibri"/>
                <w:szCs w:val="16"/>
              </w:rPr>
              <w:t>O Emissions from</w:t>
            </w:r>
            <w:r w:rsidRPr="00E25851" w:rsidDel="005F18EC">
              <w:rPr>
                <w:rFonts w:cs="Calibri"/>
                <w:szCs w:val="16"/>
              </w:rPr>
              <w:t xml:space="preserve"> Managed Soils – Nitrogen Leaching and Run-off</w:t>
            </w:r>
          </w:p>
        </w:tc>
        <w:tc>
          <w:tcPr>
            <w:tcW w:w="567" w:type="dxa"/>
            <w:shd w:val="clear" w:color="auto" w:fill="auto"/>
            <w:tcMar>
              <w:top w:w="0" w:type="dxa"/>
              <w:left w:w="85" w:type="dxa"/>
              <w:bottom w:w="0" w:type="dxa"/>
              <w:right w:w="85" w:type="dxa"/>
            </w:tcMar>
          </w:tcPr>
          <w:p w14:paraId="77A5C8A1" w14:textId="77777777" w:rsidR="00BB3E1E" w:rsidRPr="00E25851" w:rsidRDefault="00BB3E1E" w:rsidP="00B05614">
            <w:pPr>
              <w:pStyle w:val="TableText"/>
              <w:rPr>
                <w:rFonts w:cs="Calibri"/>
                <w:szCs w:val="16"/>
              </w:rPr>
            </w:pPr>
            <w:r w:rsidRPr="00E25851" w:rsidDel="005F18EC">
              <w:rPr>
                <w:rFonts w:cs="Calibri"/>
                <w:szCs w:val="16"/>
              </w:rPr>
              <w:t>N</w:t>
            </w:r>
            <w:r w:rsidRPr="00E25851" w:rsidDel="005F18EC">
              <w:rPr>
                <w:rFonts w:cs="Calibri"/>
                <w:szCs w:val="16"/>
                <w:vertAlign w:val="subscript"/>
              </w:rPr>
              <w:t>2</w:t>
            </w:r>
            <w:r w:rsidRPr="00E25851" w:rsidDel="005F18EC">
              <w:rPr>
                <w:rFonts w:cs="Calibri"/>
                <w:szCs w:val="16"/>
              </w:rPr>
              <w:t>O</w:t>
            </w:r>
          </w:p>
        </w:tc>
        <w:tc>
          <w:tcPr>
            <w:tcW w:w="1560" w:type="dxa"/>
            <w:shd w:val="clear" w:color="auto" w:fill="auto"/>
            <w:tcMar>
              <w:top w:w="0" w:type="dxa"/>
              <w:left w:w="85" w:type="dxa"/>
              <w:bottom w:w="0" w:type="dxa"/>
              <w:right w:w="85" w:type="dxa"/>
            </w:tcMar>
          </w:tcPr>
          <w:p w14:paraId="2E0EC2EC" w14:textId="77777777" w:rsidR="00BB3E1E" w:rsidRPr="00E25851" w:rsidRDefault="00BB3E1E" w:rsidP="00B05614">
            <w:pPr>
              <w:pStyle w:val="TableText"/>
              <w:jc w:val="right"/>
              <w:rPr>
                <w:rFonts w:cs="Calibri"/>
                <w:szCs w:val="16"/>
              </w:rPr>
            </w:pPr>
            <w:r w:rsidRPr="00E25851" w:rsidDel="005F18EC">
              <w:rPr>
                <w:rFonts w:cs="Calibri"/>
                <w:szCs w:val="16"/>
              </w:rPr>
              <w:t>516.9</w:t>
            </w:r>
          </w:p>
        </w:tc>
        <w:tc>
          <w:tcPr>
            <w:tcW w:w="944" w:type="dxa"/>
            <w:shd w:val="clear" w:color="auto" w:fill="auto"/>
            <w:tcMar>
              <w:top w:w="0" w:type="dxa"/>
              <w:left w:w="85" w:type="dxa"/>
              <w:bottom w:w="0" w:type="dxa"/>
              <w:right w:w="85" w:type="dxa"/>
            </w:tcMar>
          </w:tcPr>
          <w:p w14:paraId="0758AA16" w14:textId="77777777" w:rsidR="00BB3E1E" w:rsidRPr="00E25851" w:rsidRDefault="00BB3E1E" w:rsidP="00B05614">
            <w:pPr>
              <w:pStyle w:val="TableText"/>
              <w:jc w:val="right"/>
              <w:rPr>
                <w:rFonts w:cs="Calibri"/>
                <w:szCs w:val="16"/>
              </w:rPr>
            </w:pPr>
            <w:r w:rsidRPr="00E25851" w:rsidDel="005F18EC">
              <w:rPr>
                <w:rFonts w:cs="Calibri"/>
                <w:szCs w:val="16"/>
              </w:rPr>
              <w:t>0.7</w:t>
            </w:r>
          </w:p>
        </w:tc>
        <w:tc>
          <w:tcPr>
            <w:tcW w:w="926" w:type="dxa"/>
            <w:shd w:val="clear" w:color="auto" w:fill="auto"/>
            <w:tcMar>
              <w:top w:w="0" w:type="dxa"/>
              <w:left w:w="85" w:type="dxa"/>
              <w:bottom w:w="0" w:type="dxa"/>
              <w:right w:w="85" w:type="dxa"/>
            </w:tcMar>
          </w:tcPr>
          <w:p w14:paraId="6F81B301" w14:textId="77777777" w:rsidR="00BB3E1E" w:rsidRPr="00E25851" w:rsidRDefault="00BB3E1E" w:rsidP="00B05614">
            <w:pPr>
              <w:pStyle w:val="TableText"/>
              <w:jc w:val="right"/>
              <w:rPr>
                <w:rFonts w:cs="Calibri"/>
                <w:szCs w:val="16"/>
              </w:rPr>
            </w:pPr>
            <w:r w:rsidRPr="00E25851" w:rsidDel="005F18EC">
              <w:rPr>
                <w:rFonts w:cs="Calibri"/>
                <w:szCs w:val="16"/>
              </w:rPr>
              <w:t>88.0</w:t>
            </w:r>
          </w:p>
        </w:tc>
      </w:tr>
      <w:tr w:rsidR="00BB3E1E" w:rsidRPr="00E25851" w14:paraId="6338EC28" w14:textId="77777777" w:rsidTr="00BB1EAB">
        <w:trPr>
          <w:cantSplit/>
          <w:trHeight w:val="283"/>
        </w:trPr>
        <w:tc>
          <w:tcPr>
            <w:tcW w:w="0" w:type="auto"/>
            <w:shd w:val="clear" w:color="auto" w:fill="auto"/>
            <w:tcMar>
              <w:top w:w="0" w:type="dxa"/>
              <w:left w:w="85" w:type="dxa"/>
              <w:bottom w:w="0" w:type="dxa"/>
              <w:right w:w="85" w:type="dxa"/>
            </w:tcMar>
          </w:tcPr>
          <w:p w14:paraId="3BFD3745" w14:textId="77777777" w:rsidR="00BB3E1E" w:rsidRPr="00E25851" w:rsidRDefault="00BB3E1E" w:rsidP="00B05614">
            <w:pPr>
              <w:pStyle w:val="TableText"/>
              <w:rPr>
                <w:rFonts w:cs="Calibri"/>
                <w:szCs w:val="16"/>
              </w:rPr>
            </w:pPr>
            <w:r w:rsidRPr="00E25851" w:rsidDel="005F18EC">
              <w:rPr>
                <w:rFonts w:cs="Calibri"/>
                <w:szCs w:val="16"/>
              </w:rPr>
              <w:t>3.A.4</w:t>
            </w:r>
          </w:p>
        </w:tc>
        <w:tc>
          <w:tcPr>
            <w:tcW w:w="3503" w:type="dxa"/>
            <w:shd w:val="clear" w:color="auto" w:fill="auto"/>
            <w:tcMar>
              <w:top w:w="0" w:type="dxa"/>
              <w:left w:w="85" w:type="dxa"/>
              <w:bottom w:w="0" w:type="dxa"/>
              <w:right w:w="85" w:type="dxa"/>
            </w:tcMar>
          </w:tcPr>
          <w:p w14:paraId="7C3E2BAD" w14:textId="77777777" w:rsidR="00BB3E1E" w:rsidRPr="00E25851" w:rsidRDefault="00BB3E1E" w:rsidP="00B05614">
            <w:pPr>
              <w:pStyle w:val="TableText"/>
              <w:rPr>
                <w:rFonts w:cs="Calibri"/>
                <w:szCs w:val="16"/>
              </w:rPr>
            </w:pPr>
            <w:r w:rsidRPr="00E25851" w:rsidDel="005F18EC">
              <w:rPr>
                <w:rFonts w:cs="Calibri"/>
                <w:szCs w:val="16"/>
              </w:rPr>
              <w:t xml:space="preserve">Other </w:t>
            </w:r>
            <w:r w:rsidRPr="00E25851">
              <w:rPr>
                <w:rFonts w:cs="Calibri"/>
                <w:szCs w:val="16"/>
              </w:rPr>
              <w:t>L</w:t>
            </w:r>
            <w:r w:rsidRPr="00E25851" w:rsidDel="005F18EC">
              <w:rPr>
                <w:rFonts w:cs="Calibri"/>
                <w:szCs w:val="16"/>
              </w:rPr>
              <w:t>ivestock – Deer</w:t>
            </w:r>
          </w:p>
        </w:tc>
        <w:tc>
          <w:tcPr>
            <w:tcW w:w="567" w:type="dxa"/>
            <w:shd w:val="clear" w:color="auto" w:fill="auto"/>
            <w:tcMar>
              <w:top w:w="0" w:type="dxa"/>
              <w:left w:w="85" w:type="dxa"/>
              <w:bottom w:w="0" w:type="dxa"/>
              <w:right w:w="85" w:type="dxa"/>
            </w:tcMar>
          </w:tcPr>
          <w:p w14:paraId="781E9557" w14:textId="77777777" w:rsidR="00BB3E1E" w:rsidRPr="00E25851" w:rsidRDefault="00BB3E1E" w:rsidP="00B05614">
            <w:pPr>
              <w:pStyle w:val="TableText"/>
              <w:rPr>
                <w:rFonts w:cs="Calibri"/>
                <w:szCs w:val="16"/>
              </w:rPr>
            </w:pPr>
            <w:r w:rsidRPr="00E25851" w:rsidDel="005F18EC">
              <w:rPr>
                <w:rFonts w:cs="Calibri"/>
                <w:szCs w:val="16"/>
              </w:rPr>
              <w:t>CH</w:t>
            </w:r>
            <w:r w:rsidRPr="00E25851" w:rsidDel="005F18EC">
              <w:rPr>
                <w:rFonts w:cs="Calibri"/>
                <w:szCs w:val="16"/>
                <w:vertAlign w:val="subscript"/>
              </w:rPr>
              <w:t>4</w:t>
            </w:r>
          </w:p>
        </w:tc>
        <w:tc>
          <w:tcPr>
            <w:tcW w:w="1560" w:type="dxa"/>
            <w:shd w:val="clear" w:color="auto" w:fill="auto"/>
            <w:tcMar>
              <w:top w:w="0" w:type="dxa"/>
              <w:left w:w="85" w:type="dxa"/>
              <w:bottom w:w="0" w:type="dxa"/>
              <w:right w:w="85" w:type="dxa"/>
            </w:tcMar>
          </w:tcPr>
          <w:p w14:paraId="4854106F" w14:textId="77777777" w:rsidR="00BB3E1E" w:rsidRPr="00E25851" w:rsidRDefault="00BB3E1E" w:rsidP="00B05614">
            <w:pPr>
              <w:pStyle w:val="TableText"/>
              <w:jc w:val="right"/>
              <w:rPr>
                <w:rFonts w:cs="Calibri"/>
                <w:szCs w:val="16"/>
              </w:rPr>
            </w:pPr>
            <w:r w:rsidRPr="00E25851" w:rsidDel="005F18EC">
              <w:rPr>
                <w:rFonts w:cs="Calibri"/>
                <w:szCs w:val="16"/>
              </w:rPr>
              <w:t>497.6</w:t>
            </w:r>
          </w:p>
        </w:tc>
        <w:tc>
          <w:tcPr>
            <w:tcW w:w="944" w:type="dxa"/>
            <w:shd w:val="clear" w:color="auto" w:fill="auto"/>
            <w:tcMar>
              <w:top w:w="0" w:type="dxa"/>
              <w:left w:w="85" w:type="dxa"/>
              <w:bottom w:w="0" w:type="dxa"/>
              <w:right w:w="85" w:type="dxa"/>
            </w:tcMar>
          </w:tcPr>
          <w:p w14:paraId="5C074678" w14:textId="77777777" w:rsidR="00BB3E1E" w:rsidRPr="00E25851" w:rsidRDefault="00BB3E1E" w:rsidP="00B05614">
            <w:pPr>
              <w:pStyle w:val="TableText"/>
              <w:jc w:val="right"/>
              <w:rPr>
                <w:rFonts w:cs="Calibri"/>
                <w:szCs w:val="16"/>
              </w:rPr>
            </w:pPr>
            <w:r w:rsidRPr="00E25851" w:rsidDel="005F18EC">
              <w:rPr>
                <w:rFonts w:cs="Calibri"/>
                <w:szCs w:val="16"/>
              </w:rPr>
              <w:t>0.6</w:t>
            </w:r>
          </w:p>
        </w:tc>
        <w:tc>
          <w:tcPr>
            <w:tcW w:w="926" w:type="dxa"/>
            <w:shd w:val="clear" w:color="auto" w:fill="auto"/>
            <w:tcMar>
              <w:top w:w="0" w:type="dxa"/>
              <w:left w:w="85" w:type="dxa"/>
              <w:bottom w:w="0" w:type="dxa"/>
              <w:right w:w="85" w:type="dxa"/>
            </w:tcMar>
          </w:tcPr>
          <w:p w14:paraId="1E2742C3" w14:textId="77777777" w:rsidR="00BB3E1E" w:rsidRPr="00E25851" w:rsidRDefault="00BB3E1E" w:rsidP="00B05614">
            <w:pPr>
              <w:pStyle w:val="TableText"/>
              <w:jc w:val="right"/>
              <w:rPr>
                <w:rFonts w:cs="Calibri"/>
                <w:szCs w:val="16"/>
              </w:rPr>
            </w:pPr>
            <w:r w:rsidRPr="00E25851" w:rsidDel="005F18EC">
              <w:rPr>
                <w:rFonts w:cs="Calibri"/>
                <w:szCs w:val="16"/>
              </w:rPr>
              <w:t>88.6</w:t>
            </w:r>
          </w:p>
        </w:tc>
      </w:tr>
      <w:tr w:rsidR="00BB3E1E" w:rsidRPr="00E25851" w14:paraId="0CF4C10E" w14:textId="77777777" w:rsidTr="00BB1EAB">
        <w:trPr>
          <w:cantSplit/>
          <w:trHeight w:val="283"/>
        </w:trPr>
        <w:tc>
          <w:tcPr>
            <w:tcW w:w="0" w:type="auto"/>
            <w:shd w:val="clear" w:color="auto" w:fill="auto"/>
            <w:tcMar>
              <w:top w:w="0" w:type="dxa"/>
              <w:left w:w="85" w:type="dxa"/>
              <w:bottom w:w="0" w:type="dxa"/>
              <w:right w:w="85" w:type="dxa"/>
            </w:tcMar>
          </w:tcPr>
          <w:p w14:paraId="19C8B903" w14:textId="77777777" w:rsidR="00BB3E1E" w:rsidRPr="00E25851" w:rsidRDefault="00BB3E1E" w:rsidP="00B05614">
            <w:pPr>
              <w:pStyle w:val="TableText"/>
              <w:rPr>
                <w:rFonts w:cs="Calibri"/>
                <w:szCs w:val="16"/>
              </w:rPr>
            </w:pPr>
            <w:r w:rsidRPr="00E25851" w:rsidDel="005F18EC">
              <w:rPr>
                <w:rFonts w:cs="Calibri"/>
                <w:szCs w:val="16"/>
              </w:rPr>
              <w:t>1.B.2.d</w:t>
            </w:r>
          </w:p>
        </w:tc>
        <w:tc>
          <w:tcPr>
            <w:tcW w:w="3503" w:type="dxa"/>
            <w:shd w:val="clear" w:color="auto" w:fill="auto"/>
            <w:tcMar>
              <w:top w:w="0" w:type="dxa"/>
              <w:left w:w="85" w:type="dxa"/>
              <w:bottom w:w="0" w:type="dxa"/>
              <w:right w:w="85" w:type="dxa"/>
            </w:tcMar>
          </w:tcPr>
          <w:p w14:paraId="446E72F1" w14:textId="77777777" w:rsidR="00BB3E1E" w:rsidRPr="00E25851" w:rsidRDefault="00BB3E1E" w:rsidP="00B05614">
            <w:pPr>
              <w:pStyle w:val="TableText"/>
              <w:rPr>
                <w:rFonts w:cs="Calibri"/>
                <w:szCs w:val="16"/>
              </w:rPr>
            </w:pPr>
            <w:r w:rsidRPr="00E25851" w:rsidDel="005F18EC">
              <w:rPr>
                <w:rFonts w:cs="Calibri"/>
                <w:szCs w:val="16"/>
              </w:rPr>
              <w:t>Other (please specify) – Geothermal</w:t>
            </w:r>
          </w:p>
        </w:tc>
        <w:tc>
          <w:tcPr>
            <w:tcW w:w="567" w:type="dxa"/>
            <w:shd w:val="clear" w:color="auto" w:fill="auto"/>
            <w:tcMar>
              <w:top w:w="0" w:type="dxa"/>
              <w:left w:w="85" w:type="dxa"/>
              <w:bottom w:w="0" w:type="dxa"/>
              <w:right w:w="85" w:type="dxa"/>
            </w:tcMar>
          </w:tcPr>
          <w:p w14:paraId="5C3C72FF"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16148C9C" w14:textId="77777777" w:rsidR="00BB3E1E" w:rsidRPr="00E25851" w:rsidRDefault="00BB3E1E" w:rsidP="00B05614">
            <w:pPr>
              <w:pStyle w:val="TableText"/>
              <w:jc w:val="right"/>
              <w:rPr>
                <w:rFonts w:cs="Calibri"/>
                <w:szCs w:val="16"/>
              </w:rPr>
            </w:pPr>
            <w:r w:rsidRPr="00E25851" w:rsidDel="005F18EC">
              <w:rPr>
                <w:rFonts w:cs="Calibri"/>
                <w:szCs w:val="16"/>
              </w:rPr>
              <w:t>449.7</w:t>
            </w:r>
          </w:p>
        </w:tc>
        <w:tc>
          <w:tcPr>
            <w:tcW w:w="944" w:type="dxa"/>
            <w:shd w:val="clear" w:color="auto" w:fill="auto"/>
            <w:tcMar>
              <w:top w:w="0" w:type="dxa"/>
              <w:left w:w="85" w:type="dxa"/>
              <w:bottom w:w="0" w:type="dxa"/>
              <w:right w:w="85" w:type="dxa"/>
            </w:tcMar>
          </w:tcPr>
          <w:p w14:paraId="2D630CB2" w14:textId="77777777" w:rsidR="00BB3E1E" w:rsidRPr="00E25851" w:rsidRDefault="00BB3E1E" w:rsidP="00B05614">
            <w:pPr>
              <w:pStyle w:val="TableText"/>
              <w:jc w:val="right"/>
              <w:rPr>
                <w:rFonts w:cs="Calibri"/>
                <w:szCs w:val="16"/>
              </w:rPr>
            </w:pPr>
            <w:r w:rsidRPr="00E25851" w:rsidDel="005F18EC">
              <w:rPr>
                <w:rFonts w:cs="Calibri"/>
                <w:szCs w:val="16"/>
              </w:rPr>
              <w:t>0.6</w:t>
            </w:r>
          </w:p>
        </w:tc>
        <w:tc>
          <w:tcPr>
            <w:tcW w:w="926" w:type="dxa"/>
            <w:shd w:val="clear" w:color="auto" w:fill="auto"/>
            <w:tcMar>
              <w:top w:w="0" w:type="dxa"/>
              <w:left w:w="85" w:type="dxa"/>
              <w:bottom w:w="0" w:type="dxa"/>
              <w:right w:w="85" w:type="dxa"/>
            </w:tcMar>
          </w:tcPr>
          <w:p w14:paraId="4BEAE234" w14:textId="77777777" w:rsidR="00BB3E1E" w:rsidRPr="00E25851" w:rsidRDefault="00BB3E1E" w:rsidP="00B05614">
            <w:pPr>
              <w:pStyle w:val="TableText"/>
              <w:jc w:val="right"/>
              <w:rPr>
                <w:rFonts w:cs="Calibri"/>
                <w:szCs w:val="16"/>
              </w:rPr>
            </w:pPr>
            <w:r w:rsidRPr="00E25851" w:rsidDel="005F18EC">
              <w:rPr>
                <w:rFonts w:cs="Calibri"/>
                <w:szCs w:val="16"/>
              </w:rPr>
              <w:t>89.2</w:t>
            </w:r>
          </w:p>
        </w:tc>
      </w:tr>
      <w:tr w:rsidR="00BB3E1E" w:rsidRPr="00E25851" w14:paraId="16B674E0" w14:textId="77777777" w:rsidTr="00BB1EAB">
        <w:trPr>
          <w:cantSplit/>
          <w:trHeight w:val="283"/>
        </w:trPr>
        <w:tc>
          <w:tcPr>
            <w:tcW w:w="0" w:type="auto"/>
            <w:shd w:val="clear" w:color="auto" w:fill="auto"/>
            <w:tcMar>
              <w:top w:w="0" w:type="dxa"/>
              <w:left w:w="85" w:type="dxa"/>
              <w:bottom w:w="0" w:type="dxa"/>
              <w:right w:w="85" w:type="dxa"/>
            </w:tcMar>
          </w:tcPr>
          <w:p w14:paraId="249EF999" w14:textId="77777777" w:rsidR="00BB3E1E" w:rsidRPr="00E25851" w:rsidRDefault="00BB3E1E" w:rsidP="00B05614">
            <w:pPr>
              <w:pStyle w:val="TableText"/>
              <w:rPr>
                <w:rFonts w:cs="Calibri"/>
                <w:szCs w:val="16"/>
              </w:rPr>
            </w:pPr>
            <w:r w:rsidRPr="00E25851" w:rsidDel="005F18EC">
              <w:rPr>
                <w:rFonts w:cs="Calibri"/>
                <w:szCs w:val="16"/>
              </w:rPr>
              <w:t>1.A.2.g.v</w:t>
            </w:r>
          </w:p>
        </w:tc>
        <w:tc>
          <w:tcPr>
            <w:tcW w:w="3503" w:type="dxa"/>
            <w:shd w:val="clear" w:color="auto" w:fill="auto"/>
            <w:tcMar>
              <w:top w:w="0" w:type="dxa"/>
              <w:left w:w="85" w:type="dxa"/>
              <w:bottom w:w="0" w:type="dxa"/>
              <w:right w:w="85" w:type="dxa"/>
            </w:tcMar>
          </w:tcPr>
          <w:p w14:paraId="01DA2F50" w14:textId="77777777" w:rsidR="00BB3E1E" w:rsidRPr="00E25851" w:rsidRDefault="00BB3E1E" w:rsidP="00B05614">
            <w:pPr>
              <w:pStyle w:val="TableText"/>
              <w:rPr>
                <w:rFonts w:cs="Calibri"/>
                <w:szCs w:val="16"/>
              </w:rPr>
            </w:pPr>
            <w:r w:rsidRPr="00E25851" w:rsidDel="005F18EC">
              <w:rPr>
                <w:rFonts w:cs="Calibri"/>
                <w:szCs w:val="16"/>
              </w:rPr>
              <w:t>Other (please specify) – Construction</w:t>
            </w:r>
          </w:p>
        </w:tc>
        <w:tc>
          <w:tcPr>
            <w:tcW w:w="567" w:type="dxa"/>
            <w:shd w:val="clear" w:color="auto" w:fill="auto"/>
            <w:tcMar>
              <w:top w:w="0" w:type="dxa"/>
              <w:left w:w="85" w:type="dxa"/>
              <w:bottom w:w="0" w:type="dxa"/>
              <w:right w:w="85" w:type="dxa"/>
            </w:tcMar>
          </w:tcPr>
          <w:p w14:paraId="2A55C38A"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373B56CF" w14:textId="77777777" w:rsidR="00BB3E1E" w:rsidRPr="00E25851" w:rsidRDefault="00BB3E1E" w:rsidP="00B05614">
            <w:pPr>
              <w:pStyle w:val="TableText"/>
              <w:jc w:val="right"/>
              <w:rPr>
                <w:rFonts w:cs="Calibri"/>
                <w:szCs w:val="16"/>
              </w:rPr>
            </w:pPr>
            <w:r w:rsidRPr="00E25851" w:rsidDel="005F18EC">
              <w:rPr>
                <w:rFonts w:cs="Calibri"/>
                <w:szCs w:val="16"/>
              </w:rPr>
              <w:t>446.9</w:t>
            </w:r>
          </w:p>
        </w:tc>
        <w:tc>
          <w:tcPr>
            <w:tcW w:w="944" w:type="dxa"/>
            <w:shd w:val="clear" w:color="auto" w:fill="auto"/>
            <w:tcMar>
              <w:top w:w="0" w:type="dxa"/>
              <w:left w:w="85" w:type="dxa"/>
              <w:bottom w:w="0" w:type="dxa"/>
              <w:right w:w="85" w:type="dxa"/>
            </w:tcMar>
          </w:tcPr>
          <w:p w14:paraId="7A7E0D3A" w14:textId="77777777" w:rsidR="00BB3E1E" w:rsidRPr="00E25851" w:rsidRDefault="00BB3E1E" w:rsidP="00B05614">
            <w:pPr>
              <w:pStyle w:val="TableText"/>
              <w:jc w:val="right"/>
              <w:rPr>
                <w:rFonts w:cs="Calibri"/>
                <w:szCs w:val="16"/>
              </w:rPr>
            </w:pPr>
            <w:r w:rsidRPr="00E25851" w:rsidDel="005F18EC">
              <w:rPr>
                <w:rFonts w:cs="Calibri"/>
                <w:szCs w:val="16"/>
              </w:rPr>
              <w:t>0.6</w:t>
            </w:r>
          </w:p>
        </w:tc>
        <w:tc>
          <w:tcPr>
            <w:tcW w:w="926" w:type="dxa"/>
            <w:shd w:val="clear" w:color="auto" w:fill="auto"/>
            <w:tcMar>
              <w:top w:w="0" w:type="dxa"/>
              <w:left w:w="85" w:type="dxa"/>
              <w:bottom w:w="0" w:type="dxa"/>
              <w:right w:w="85" w:type="dxa"/>
            </w:tcMar>
          </w:tcPr>
          <w:p w14:paraId="50CE5597" w14:textId="77777777" w:rsidR="00BB3E1E" w:rsidRPr="00E25851" w:rsidRDefault="00BB3E1E" w:rsidP="00B05614">
            <w:pPr>
              <w:pStyle w:val="TableText"/>
              <w:jc w:val="right"/>
              <w:rPr>
                <w:rFonts w:cs="Calibri"/>
                <w:szCs w:val="16"/>
              </w:rPr>
            </w:pPr>
            <w:r w:rsidRPr="00E25851" w:rsidDel="005F18EC">
              <w:rPr>
                <w:rFonts w:cs="Calibri"/>
                <w:szCs w:val="16"/>
              </w:rPr>
              <w:t>89.8</w:t>
            </w:r>
          </w:p>
        </w:tc>
      </w:tr>
      <w:tr w:rsidR="00BB3E1E" w:rsidRPr="00E25851" w14:paraId="54F828A2" w14:textId="77777777" w:rsidTr="00BB1EAB">
        <w:trPr>
          <w:cantSplit/>
          <w:trHeight w:val="283"/>
        </w:trPr>
        <w:tc>
          <w:tcPr>
            <w:tcW w:w="0" w:type="auto"/>
            <w:shd w:val="clear" w:color="auto" w:fill="auto"/>
            <w:tcMar>
              <w:top w:w="0" w:type="dxa"/>
              <w:left w:w="85" w:type="dxa"/>
              <w:bottom w:w="0" w:type="dxa"/>
              <w:right w:w="85" w:type="dxa"/>
            </w:tcMar>
          </w:tcPr>
          <w:p w14:paraId="70AE61E1" w14:textId="77777777" w:rsidR="00BB3E1E" w:rsidRPr="00E25851" w:rsidRDefault="00BB3E1E" w:rsidP="00B05614">
            <w:pPr>
              <w:pStyle w:val="TableText"/>
              <w:rPr>
                <w:rFonts w:cs="Calibri"/>
                <w:szCs w:val="16"/>
              </w:rPr>
            </w:pPr>
            <w:r w:rsidRPr="00E25851" w:rsidDel="005F18EC">
              <w:rPr>
                <w:rFonts w:cs="Calibri"/>
                <w:szCs w:val="16"/>
              </w:rPr>
              <w:t>1.A.4.a</w:t>
            </w:r>
          </w:p>
        </w:tc>
        <w:tc>
          <w:tcPr>
            <w:tcW w:w="3503" w:type="dxa"/>
            <w:shd w:val="clear" w:color="auto" w:fill="auto"/>
            <w:tcMar>
              <w:top w:w="0" w:type="dxa"/>
              <w:left w:w="85" w:type="dxa"/>
              <w:bottom w:w="0" w:type="dxa"/>
              <w:right w:w="85" w:type="dxa"/>
            </w:tcMar>
          </w:tcPr>
          <w:p w14:paraId="6CEDF0E4" w14:textId="77777777" w:rsidR="00BB3E1E" w:rsidRPr="00E25851" w:rsidRDefault="00BB3E1E" w:rsidP="00B05614">
            <w:pPr>
              <w:pStyle w:val="TableText"/>
              <w:rPr>
                <w:rFonts w:cs="Calibri"/>
                <w:szCs w:val="16"/>
              </w:rPr>
            </w:pPr>
            <w:r w:rsidRPr="00E25851" w:rsidDel="005F18EC">
              <w:rPr>
                <w:rFonts w:cs="Calibri"/>
                <w:szCs w:val="16"/>
              </w:rPr>
              <w:t>Other Sectors – Commercial/Institutional Gaseous Fuels</w:t>
            </w:r>
          </w:p>
        </w:tc>
        <w:tc>
          <w:tcPr>
            <w:tcW w:w="567" w:type="dxa"/>
            <w:shd w:val="clear" w:color="auto" w:fill="auto"/>
            <w:tcMar>
              <w:top w:w="0" w:type="dxa"/>
              <w:left w:w="85" w:type="dxa"/>
              <w:bottom w:w="0" w:type="dxa"/>
              <w:right w:w="85" w:type="dxa"/>
            </w:tcMar>
          </w:tcPr>
          <w:p w14:paraId="7F3F5A47"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3C7754F2" w14:textId="77777777" w:rsidR="00BB3E1E" w:rsidRPr="00E25851" w:rsidRDefault="00BB3E1E" w:rsidP="00B05614">
            <w:pPr>
              <w:pStyle w:val="TableText"/>
              <w:jc w:val="right"/>
              <w:rPr>
                <w:rFonts w:cs="Calibri"/>
                <w:szCs w:val="16"/>
              </w:rPr>
            </w:pPr>
            <w:r w:rsidRPr="00E25851" w:rsidDel="005F18EC">
              <w:rPr>
                <w:rFonts w:cs="Calibri"/>
                <w:szCs w:val="16"/>
              </w:rPr>
              <w:t>426.6</w:t>
            </w:r>
          </w:p>
        </w:tc>
        <w:tc>
          <w:tcPr>
            <w:tcW w:w="944" w:type="dxa"/>
            <w:shd w:val="clear" w:color="auto" w:fill="auto"/>
            <w:tcMar>
              <w:top w:w="0" w:type="dxa"/>
              <w:left w:w="85" w:type="dxa"/>
              <w:bottom w:w="0" w:type="dxa"/>
              <w:right w:w="85" w:type="dxa"/>
            </w:tcMar>
          </w:tcPr>
          <w:p w14:paraId="4902AB32" w14:textId="77777777" w:rsidR="00BB3E1E" w:rsidRPr="00E25851" w:rsidRDefault="00BB3E1E" w:rsidP="00B05614">
            <w:pPr>
              <w:pStyle w:val="TableText"/>
              <w:jc w:val="right"/>
              <w:rPr>
                <w:rFonts w:cs="Calibri"/>
                <w:szCs w:val="16"/>
              </w:rPr>
            </w:pPr>
            <w:r w:rsidRPr="00E25851" w:rsidDel="005F18EC">
              <w:rPr>
                <w:rFonts w:cs="Calibri"/>
                <w:szCs w:val="16"/>
              </w:rPr>
              <w:t>0.5</w:t>
            </w:r>
          </w:p>
        </w:tc>
        <w:tc>
          <w:tcPr>
            <w:tcW w:w="926" w:type="dxa"/>
            <w:shd w:val="clear" w:color="auto" w:fill="auto"/>
            <w:tcMar>
              <w:top w:w="0" w:type="dxa"/>
              <w:left w:w="85" w:type="dxa"/>
              <w:bottom w:w="0" w:type="dxa"/>
              <w:right w:w="85" w:type="dxa"/>
            </w:tcMar>
          </w:tcPr>
          <w:p w14:paraId="066E6A7E" w14:textId="77777777" w:rsidR="00BB3E1E" w:rsidRPr="00E25851" w:rsidRDefault="00BB3E1E" w:rsidP="00B05614">
            <w:pPr>
              <w:pStyle w:val="TableText"/>
              <w:jc w:val="right"/>
              <w:rPr>
                <w:rFonts w:cs="Calibri"/>
                <w:szCs w:val="16"/>
              </w:rPr>
            </w:pPr>
            <w:r w:rsidRPr="00E25851" w:rsidDel="005F18EC">
              <w:rPr>
                <w:rFonts w:cs="Calibri"/>
                <w:szCs w:val="16"/>
              </w:rPr>
              <w:t>90.3</w:t>
            </w:r>
          </w:p>
        </w:tc>
      </w:tr>
      <w:tr w:rsidR="00BB3E1E" w:rsidRPr="00E25851" w14:paraId="35F1F5B5" w14:textId="77777777" w:rsidTr="00BB1EAB">
        <w:trPr>
          <w:cantSplit/>
          <w:trHeight w:val="283"/>
        </w:trPr>
        <w:tc>
          <w:tcPr>
            <w:tcW w:w="0" w:type="auto"/>
            <w:shd w:val="clear" w:color="auto" w:fill="auto"/>
            <w:tcMar>
              <w:top w:w="0" w:type="dxa"/>
              <w:left w:w="85" w:type="dxa"/>
              <w:bottom w:w="0" w:type="dxa"/>
              <w:right w:w="85" w:type="dxa"/>
            </w:tcMar>
          </w:tcPr>
          <w:p w14:paraId="4F3BA5EB" w14:textId="77777777" w:rsidR="00BB3E1E" w:rsidRPr="00E25851" w:rsidRDefault="00BB3E1E" w:rsidP="00B05614">
            <w:pPr>
              <w:pStyle w:val="TableText"/>
              <w:rPr>
                <w:rFonts w:cs="Calibri"/>
                <w:szCs w:val="16"/>
              </w:rPr>
            </w:pPr>
            <w:r w:rsidRPr="00E25851" w:rsidDel="005F18EC">
              <w:rPr>
                <w:rFonts w:cs="Calibri"/>
                <w:szCs w:val="16"/>
              </w:rPr>
              <w:t>3.G</w:t>
            </w:r>
          </w:p>
        </w:tc>
        <w:tc>
          <w:tcPr>
            <w:tcW w:w="3503" w:type="dxa"/>
            <w:shd w:val="clear" w:color="auto" w:fill="auto"/>
            <w:tcMar>
              <w:top w:w="0" w:type="dxa"/>
              <w:left w:w="85" w:type="dxa"/>
              <w:bottom w:w="0" w:type="dxa"/>
              <w:right w:w="85" w:type="dxa"/>
            </w:tcMar>
          </w:tcPr>
          <w:p w14:paraId="3E5904C2" w14:textId="77777777" w:rsidR="00BB3E1E" w:rsidRPr="00E25851" w:rsidRDefault="00BB3E1E" w:rsidP="00B05614">
            <w:pPr>
              <w:pStyle w:val="TableText"/>
              <w:rPr>
                <w:rFonts w:cs="Calibri"/>
                <w:szCs w:val="16"/>
              </w:rPr>
            </w:pPr>
            <w:r w:rsidRPr="00E25851" w:rsidDel="005F18EC">
              <w:rPr>
                <w:rFonts w:cs="Calibri"/>
                <w:szCs w:val="16"/>
              </w:rPr>
              <w:t>Agriculture – Liming</w:t>
            </w:r>
          </w:p>
        </w:tc>
        <w:tc>
          <w:tcPr>
            <w:tcW w:w="567" w:type="dxa"/>
            <w:shd w:val="clear" w:color="auto" w:fill="auto"/>
            <w:tcMar>
              <w:top w:w="0" w:type="dxa"/>
              <w:left w:w="85" w:type="dxa"/>
              <w:bottom w:w="0" w:type="dxa"/>
              <w:right w:w="85" w:type="dxa"/>
            </w:tcMar>
          </w:tcPr>
          <w:p w14:paraId="78185EE4"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59FD378E" w14:textId="77777777" w:rsidR="00BB3E1E" w:rsidRPr="00E25851" w:rsidRDefault="00BB3E1E" w:rsidP="00B05614">
            <w:pPr>
              <w:pStyle w:val="TableText"/>
              <w:jc w:val="right"/>
              <w:rPr>
                <w:rFonts w:cs="Calibri"/>
                <w:szCs w:val="16"/>
              </w:rPr>
            </w:pPr>
            <w:r w:rsidRPr="00E25851" w:rsidDel="005F18EC">
              <w:rPr>
                <w:rFonts w:cs="Calibri"/>
                <w:szCs w:val="16"/>
              </w:rPr>
              <w:t>409.5</w:t>
            </w:r>
          </w:p>
        </w:tc>
        <w:tc>
          <w:tcPr>
            <w:tcW w:w="944" w:type="dxa"/>
            <w:shd w:val="clear" w:color="auto" w:fill="auto"/>
            <w:tcMar>
              <w:top w:w="0" w:type="dxa"/>
              <w:left w:w="85" w:type="dxa"/>
              <w:bottom w:w="0" w:type="dxa"/>
              <w:right w:w="85" w:type="dxa"/>
            </w:tcMar>
          </w:tcPr>
          <w:p w14:paraId="62491D9F" w14:textId="77777777" w:rsidR="00BB3E1E" w:rsidRPr="00E25851" w:rsidRDefault="00BB3E1E" w:rsidP="00B05614">
            <w:pPr>
              <w:pStyle w:val="TableText"/>
              <w:jc w:val="right"/>
              <w:rPr>
                <w:rFonts w:cs="Calibri"/>
                <w:szCs w:val="16"/>
              </w:rPr>
            </w:pPr>
            <w:r w:rsidRPr="00E25851" w:rsidDel="005F18EC">
              <w:rPr>
                <w:rFonts w:cs="Calibri"/>
                <w:szCs w:val="16"/>
              </w:rPr>
              <w:t>0.5</w:t>
            </w:r>
          </w:p>
        </w:tc>
        <w:tc>
          <w:tcPr>
            <w:tcW w:w="926" w:type="dxa"/>
            <w:shd w:val="clear" w:color="auto" w:fill="auto"/>
            <w:tcMar>
              <w:top w:w="0" w:type="dxa"/>
              <w:left w:w="85" w:type="dxa"/>
              <w:bottom w:w="0" w:type="dxa"/>
              <w:right w:w="85" w:type="dxa"/>
            </w:tcMar>
          </w:tcPr>
          <w:p w14:paraId="2A025134" w14:textId="77777777" w:rsidR="00BB3E1E" w:rsidRPr="00E25851" w:rsidRDefault="00BB3E1E" w:rsidP="00B05614">
            <w:pPr>
              <w:pStyle w:val="TableText"/>
              <w:jc w:val="right"/>
              <w:rPr>
                <w:rFonts w:cs="Calibri"/>
                <w:szCs w:val="16"/>
              </w:rPr>
            </w:pPr>
            <w:r w:rsidRPr="00E25851" w:rsidDel="005F18EC">
              <w:rPr>
                <w:rFonts w:cs="Calibri"/>
                <w:szCs w:val="16"/>
              </w:rPr>
              <w:t>90.8</w:t>
            </w:r>
          </w:p>
        </w:tc>
      </w:tr>
      <w:tr w:rsidR="00BB3E1E" w:rsidRPr="00E25851" w14:paraId="21DDB582" w14:textId="77777777" w:rsidTr="00BB1EAB">
        <w:trPr>
          <w:cantSplit/>
          <w:trHeight w:val="283"/>
        </w:trPr>
        <w:tc>
          <w:tcPr>
            <w:tcW w:w="0" w:type="auto"/>
            <w:shd w:val="clear" w:color="auto" w:fill="auto"/>
            <w:tcMar>
              <w:top w:w="0" w:type="dxa"/>
              <w:left w:w="85" w:type="dxa"/>
              <w:bottom w:w="0" w:type="dxa"/>
              <w:right w:w="85" w:type="dxa"/>
            </w:tcMar>
          </w:tcPr>
          <w:p w14:paraId="1E6BF4FA" w14:textId="77777777" w:rsidR="00BB3E1E" w:rsidRPr="00E25851" w:rsidRDefault="00BB3E1E" w:rsidP="00B05614">
            <w:pPr>
              <w:pStyle w:val="TableText"/>
              <w:rPr>
                <w:rFonts w:cs="Calibri"/>
                <w:szCs w:val="16"/>
              </w:rPr>
            </w:pPr>
            <w:r w:rsidRPr="00E25851" w:rsidDel="005F18EC">
              <w:rPr>
                <w:rFonts w:cs="Calibri"/>
                <w:szCs w:val="16"/>
              </w:rPr>
              <w:t>1.A.4.b</w:t>
            </w:r>
          </w:p>
        </w:tc>
        <w:tc>
          <w:tcPr>
            <w:tcW w:w="3503" w:type="dxa"/>
            <w:shd w:val="clear" w:color="auto" w:fill="auto"/>
            <w:tcMar>
              <w:top w:w="0" w:type="dxa"/>
              <w:left w:w="85" w:type="dxa"/>
              <w:bottom w:w="0" w:type="dxa"/>
              <w:right w:w="85" w:type="dxa"/>
            </w:tcMar>
          </w:tcPr>
          <w:p w14:paraId="2EA1D497" w14:textId="77777777" w:rsidR="00BB3E1E" w:rsidRPr="00E25851" w:rsidRDefault="00BB3E1E" w:rsidP="00B05614">
            <w:pPr>
              <w:pStyle w:val="TableText"/>
              <w:rPr>
                <w:rFonts w:cs="Calibri"/>
                <w:szCs w:val="16"/>
              </w:rPr>
            </w:pPr>
            <w:r w:rsidRPr="00E25851" w:rsidDel="005F18EC">
              <w:rPr>
                <w:rFonts w:cs="Calibri"/>
                <w:szCs w:val="16"/>
              </w:rPr>
              <w:t>Other Sectors – Residential Gaseous Fuels</w:t>
            </w:r>
          </w:p>
        </w:tc>
        <w:tc>
          <w:tcPr>
            <w:tcW w:w="567" w:type="dxa"/>
            <w:shd w:val="clear" w:color="auto" w:fill="auto"/>
            <w:tcMar>
              <w:top w:w="0" w:type="dxa"/>
              <w:left w:w="85" w:type="dxa"/>
              <w:bottom w:w="0" w:type="dxa"/>
              <w:right w:w="85" w:type="dxa"/>
            </w:tcMar>
          </w:tcPr>
          <w:p w14:paraId="1165806C"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7DFC615C" w14:textId="77777777" w:rsidR="00BB3E1E" w:rsidRPr="00E25851" w:rsidRDefault="00BB3E1E" w:rsidP="00B05614">
            <w:pPr>
              <w:pStyle w:val="TableText"/>
              <w:jc w:val="right"/>
              <w:rPr>
                <w:rFonts w:cs="Calibri"/>
                <w:szCs w:val="16"/>
              </w:rPr>
            </w:pPr>
            <w:r w:rsidRPr="00E25851" w:rsidDel="005F18EC">
              <w:rPr>
                <w:rFonts w:cs="Calibri"/>
                <w:szCs w:val="16"/>
              </w:rPr>
              <w:t>388.4</w:t>
            </w:r>
          </w:p>
        </w:tc>
        <w:tc>
          <w:tcPr>
            <w:tcW w:w="944" w:type="dxa"/>
            <w:shd w:val="clear" w:color="auto" w:fill="auto"/>
            <w:tcMar>
              <w:top w:w="0" w:type="dxa"/>
              <w:left w:w="85" w:type="dxa"/>
              <w:bottom w:w="0" w:type="dxa"/>
              <w:right w:w="85" w:type="dxa"/>
            </w:tcMar>
          </w:tcPr>
          <w:p w14:paraId="562FF41E" w14:textId="77777777" w:rsidR="00BB3E1E" w:rsidRPr="00E25851" w:rsidRDefault="00BB3E1E" w:rsidP="00B05614">
            <w:pPr>
              <w:pStyle w:val="TableText"/>
              <w:jc w:val="right"/>
              <w:rPr>
                <w:rFonts w:cs="Calibri"/>
                <w:szCs w:val="16"/>
              </w:rPr>
            </w:pPr>
            <w:r w:rsidRPr="00E25851" w:rsidDel="005F18EC">
              <w:rPr>
                <w:rFonts w:cs="Calibri"/>
                <w:szCs w:val="16"/>
              </w:rPr>
              <w:t>0.5</w:t>
            </w:r>
          </w:p>
        </w:tc>
        <w:tc>
          <w:tcPr>
            <w:tcW w:w="926" w:type="dxa"/>
            <w:shd w:val="clear" w:color="auto" w:fill="auto"/>
            <w:tcMar>
              <w:top w:w="0" w:type="dxa"/>
              <w:left w:w="85" w:type="dxa"/>
              <w:bottom w:w="0" w:type="dxa"/>
              <w:right w:w="85" w:type="dxa"/>
            </w:tcMar>
          </w:tcPr>
          <w:p w14:paraId="08B4F9BE" w14:textId="77777777" w:rsidR="00BB3E1E" w:rsidRPr="00E25851" w:rsidRDefault="00BB3E1E" w:rsidP="00B05614">
            <w:pPr>
              <w:pStyle w:val="TableText"/>
              <w:jc w:val="right"/>
              <w:rPr>
                <w:rFonts w:cs="Calibri"/>
                <w:szCs w:val="16"/>
              </w:rPr>
            </w:pPr>
            <w:r w:rsidRPr="00E25851" w:rsidDel="005F18EC">
              <w:rPr>
                <w:rFonts w:cs="Calibri"/>
                <w:szCs w:val="16"/>
              </w:rPr>
              <w:t>91.3</w:t>
            </w:r>
          </w:p>
        </w:tc>
      </w:tr>
      <w:tr w:rsidR="00BB3E1E" w:rsidRPr="00E25851" w14:paraId="0F4E4761" w14:textId="77777777" w:rsidTr="00BB1EAB">
        <w:trPr>
          <w:cantSplit/>
          <w:trHeight w:val="283"/>
        </w:trPr>
        <w:tc>
          <w:tcPr>
            <w:tcW w:w="0" w:type="auto"/>
            <w:shd w:val="clear" w:color="auto" w:fill="auto"/>
            <w:tcMar>
              <w:top w:w="0" w:type="dxa"/>
              <w:left w:w="85" w:type="dxa"/>
              <w:bottom w:w="0" w:type="dxa"/>
              <w:right w:w="85" w:type="dxa"/>
            </w:tcMar>
          </w:tcPr>
          <w:p w14:paraId="5188FAA4" w14:textId="77777777" w:rsidR="00BB3E1E" w:rsidRPr="00E25851" w:rsidRDefault="00BB3E1E" w:rsidP="00B05614">
            <w:pPr>
              <w:pStyle w:val="TableText"/>
              <w:rPr>
                <w:rFonts w:cs="Calibri"/>
                <w:szCs w:val="16"/>
              </w:rPr>
            </w:pPr>
            <w:r w:rsidRPr="00E25851" w:rsidDel="005F18EC">
              <w:rPr>
                <w:rFonts w:cs="Calibri"/>
                <w:szCs w:val="16"/>
              </w:rPr>
              <w:lastRenderedPageBreak/>
              <w:t>2.A.1</w:t>
            </w:r>
          </w:p>
        </w:tc>
        <w:tc>
          <w:tcPr>
            <w:tcW w:w="3503" w:type="dxa"/>
            <w:shd w:val="clear" w:color="auto" w:fill="auto"/>
            <w:tcMar>
              <w:top w:w="0" w:type="dxa"/>
              <w:left w:w="85" w:type="dxa"/>
              <w:bottom w:w="0" w:type="dxa"/>
              <w:right w:w="85" w:type="dxa"/>
            </w:tcMar>
          </w:tcPr>
          <w:p w14:paraId="0F044B2F" w14:textId="77777777" w:rsidR="00BB3E1E" w:rsidRPr="00E25851" w:rsidRDefault="00BB3E1E" w:rsidP="00B05614">
            <w:pPr>
              <w:pStyle w:val="TableText"/>
              <w:rPr>
                <w:rFonts w:cs="Calibri"/>
                <w:szCs w:val="16"/>
              </w:rPr>
            </w:pPr>
            <w:r w:rsidRPr="00E25851" w:rsidDel="005F18EC">
              <w:rPr>
                <w:rFonts w:cs="Calibri"/>
                <w:szCs w:val="16"/>
              </w:rPr>
              <w:t>Mineral Industry – Cement Production</w:t>
            </w:r>
          </w:p>
        </w:tc>
        <w:tc>
          <w:tcPr>
            <w:tcW w:w="567" w:type="dxa"/>
            <w:shd w:val="clear" w:color="auto" w:fill="auto"/>
            <w:tcMar>
              <w:top w:w="0" w:type="dxa"/>
              <w:left w:w="85" w:type="dxa"/>
              <w:bottom w:w="0" w:type="dxa"/>
              <w:right w:w="85" w:type="dxa"/>
            </w:tcMar>
          </w:tcPr>
          <w:p w14:paraId="32C5093D"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4C0047B8" w14:textId="77777777" w:rsidR="00BB3E1E" w:rsidRPr="00E25851" w:rsidRDefault="00BB3E1E" w:rsidP="00B05614">
            <w:pPr>
              <w:pStyle w:val="TableText"/>
              <w:jc w:val="right"/>
              <w:rPr>
                <w:rFonts w:cs="Calibri"/>
                <w:szCs w:val="16"/>
              </w:rPr>
            </w:pPr>
            <w:r w:rsidRPr="00E25851" w:rsidDel="005F18EC">
              <w:rPr>
                <w:rFonts w:cs="Calibri"/>
                <w:szCs w:val="16"/>
              </w:rPr>
              <w:t>379.2</w:t>
            </w:r>
          </w:p>
        </w:tc>
        <w:tc>
          <w:tcPr>
            <w:tcW w:w="944" w:type="dxa"/>
            <w:shd w:val="clear" w:color="auto" w:fill="auto"/>
            <w:tcMar>
              <w:top w:w="0" w:type="dxa"/>
              <w:left w:w="85" w:type="dxa"/>
              <w:bottom w:w="0" w:type="dxa"/>
              <w:right w:w="85" w:type="dxa"/>
            </w:tcMar>
          </w:tcPr>
          <w:p w14:paraId="41CC4086" w14:textId="77777777" w:rsidR="00BB3E1E" w:rsidRPr="00E25851" w:rsidRDefault="00BB3E1E" w:rsidP="00B05614">
            <w:pPr>
              <w:pStyle w:val="TableText"/>
              <w:jc w:val="right"/>
              <w:rPr>
                <w:rFonts w:cs="Calibri"/>
                <w:szCs w:val="16"/>
              </w:rPr>
            </w:pPr>
            <w:r w:rsidRPr="00E25851" w:rsidDel="005F18EC">
              <w:rPr>
                <w:rFonts w:cs="Calibri"/>
                <w:szCs w:val="16"/>
              </w:rPr>
              <w:t>0.5</w:t>
            </w:r>
          </w:p>
        </w:tc>
        <w:tc>
          <w:tcPr>
            <w:tcW w:w="926" w:type="dxa"/>
            <w:shd w:val="clear" w:color="auto" w:fill="auto"/>
            <w:tcMar>
              <w:top w:w="0" w:type="dxa"/>
              <w:left w:w="85" w:type="dxa"/>
              <w:bottom w:w="0" w:type="dxa"/>
              <w:right w:w="85" w:type="dxa"/>
            </w:tcMar>
          </w:tcPr>
          <w:p w14:paraId="53D436FC" w14:textId="77777777" w:rsidR="00BB3E1E" w:rsidRPr="00E25851" w:rsidRDefault="00BB3E1E" w:rsidP="00B05614">
            <w:pPr>
              <w:pStyle w:val="TableText"/>
              <w:jc w:val="right"/>
              <w:rPr>
                <w:rFonts w:cs="Calibri"/>
                <w:szCs w:val="16"/>
              </w:rPr>
            </w:pPr>
            <w:r w:rsidRPr="00E25851" w:rsidDel="005F18EC">
              <w:rPr>
                <w:rFonts w:cs="Calibri"/>
                <w:szCs w:val="16"/>
              </w:rPr>
              <w:t>91.8</w:t>
            </w:r>
          </w:p>
        </w:tc>
      </w:tr>
      <w:tr w:rsidR="00BB3E1E" w:rsidRPr="00E25851" w14:paraId="35FAAD39" w14:textId="77777777" w:rsidTr="00BB1EAB">
        <w:trPr>
          <w:cantSplit/>
          <w:trHeight w:val="283"/>
        </w:trPr>
        <w:tc>
          <w:tcPr>
            <w:tcW w:w="0" w:type="auto"/>
            <w:shd w:val="clear" w:color="auto" w:fill="auto"/>
            <w:tcMar>
              <w:top w:w="0" w:type="dxa"/>
              <w:left w:w="85" w:type="dxa"/>
              <w:bottom w:w="0" w:type="dxa"/>
              <w:right w:w="85" w:type="dxa"/>
            </w:tcMar>
          </w:tcPr>
          <w:p w14:paraId="491501F2" w14:textId="77777777" w:rsidR="00BB3E1E" w:rsidRPr="00E25851" w:rsidRDefault="00BB3E1E" w:rsidP="00B05614">
            <w:pPr>
              <w:pStyle w:val="TableText"/>
              <w:rPr>
                <w:rFonts w:cs="Calibri"/>
                <w:szCs w:val="16"/>
              </w:rPr>
            </w:pPr>
            <w:r w:rsidRPr="00E25851" w:rsidDel="005F18EC">
              <w:rPr>
                <w:rFonts w:cs="Calibri"/>
                <w:szCs w:val="16"/>
              </w:rPr>
              <w:t>1.A.2.g.iii</w:t>
            </w:r>
          </w:p>
        </w:tc>
        <w:tc>
          <w:tcPr>
            <w:tcW w:w="3503" w:type="dxa"/>
            <w:shd w:val="clear" w:color="auto" w:fill="auto"/>
            <w:tcMar>
              <w:top w:w="0" w:type="dxa"/>
              <w:left w:w="85" w:type="dxa"/>
              <w:bottom w:w="0" w:type="dxa"/>
              <w:right w:w="85" w:type="dxa"/>
            </w:tcMar>
          </w:tcPr>
          <w:p w14:paraId="45F8731C" w14:textId="77777777" w:rsidR="00BB3E1E" w:rsidRPr="00E25851" w:rsidRDefault="00BB3E1E" w:rsidP="00B05614">
            <w:pPr>
              <w:pStyle w:val="TableText"/>
              <w:rPr>
                <w:rFonts w:cs="Calibri"/>
                <w:szCs w:val="16"/>
              </w:rPr>
            </w:pPr>
            <w:r w:rsidRPr="00E25851" w:rsidDel="005F18EC">
              <w:rPr>
                <w:rFonts w:cs="Calibri"/>
                <w:szCs w:val="16"/>
              </w:rPr>
              <w:t xml:space="preserve">Other (please specify) – Mining (excluding fuels) and </w:t>
            </w:r>
            <w:r w:rsidRPr="00E25851">
              <w:rPr>
                <w:rFonts w:cs="Calibri"/>
                <w:szCs w:val="16"/>
              </w:rPr>
              <w:t>Q</w:t>
            </w:r>
            <w:r w:rsidRPr="00E25851" w:rsidDel="005F18EC">
              <w:rPr>
                <w:rFonts w:cs="Calibri"/>
                <w:szCs w:val="16"/>
              </w:rPr>
              <w:t>uarrying Liquid Fuels</w:t>
            </w:r>
          </w:p>
        </w:tc>
        <w:tc>
          <w:tcPr>
            <w:tcW w:w="567" w:type="dxa"/>
            <w:shd w:val="clear" w:color="auto" w:fill="auto"/>
            <w:tcMar>
              <w:top w:w="0" w:type="dxa"/>
              <w:left w:w="85" w:type="dxa"/>
              <w:bottom w:w="0" w:type="dxa"/>
              <w:right w:w="85" w:type="dxa"/>
            </w:tcMar>
          </w:tcPr>
          <w:p w14:paraId="6764DCF9"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237E3A90" w14:textId="77777777" w:rsidR="00BB3E1E" w:rsidRPr="00E25851" w:rsidRDefault="00BB3E1E" w:rsidP="00B05614">
            <w:pPr>
              <w:pStyle w:val="TableText"/>
              <w:jc w:val="right"/>
              <w:rPr>
                <w:rFonts w:cs="Calibri"/>
                <w:szCs w:val="16"/>
              </w:rPr>
            </w:pPr>
            <w:r w:rsidRPr="00E25851" w:rsidDel="005F18EC">
              <w:rPr>
                <w:rFonts w:cs="Calibri"/>
                <w:szCs w:val="16"/>
              </w:rPr>
              <w:t>365.4</w:t>
            </w:r>
          </w:p>
        </w:tc>
        <w:tc>
          <w:tcPr>
            <w:tcW w:w="944" w:type="dxa"/>
            <w:shd w:val="clear" w:color="auto" w:fill="auto"/>
            <w:tcMar>
              <w:top w:w="0" w:type="dxa"/>
              <w:left w:w="85" w:type="dxa"/>
              <w:bottom w:w="0" w:type="dxa"/>
              <w:right w:w="85" w:type="dxa"/>
            </w:tcMar>
          </w:tcPr>
          <w:p w14:paraId="3C9974B0" w14:textId="77777777" w:rsidR="00BB3E1E" w:rsidRPr="00E25851" w:rsidRDefault="00BB3E1E" w:rsidP="00B05614">
            <w:pPr>
              <w:pStyle w:val="TableText"/>
              <w:jc w:val="right"/>
              <w:rPr>
                <w:rFonts w:cs="Calibri"/>
                <w:szCs w:val="16"/>
              </w:rPr>
            </w:pPr>
            <w:r w:rsidRPr="00E25851" w:rsidDel="005F18EC">
              <w:rPr>
                <w:rFonts w:cs="Calibri"/>
                <w:szCs w:val="16"/>
              </w:rPr>
              <w:t>0.5</w:t>
            </w:r>
          </w:p>
        </w:tc>
        <w:tc>
          <w:tcPr>
            <w:tcW w:w="926" w:type="dxa"/>
            <w:shd w:val="clear" w:color="auto" w:fill="auto"/>
            <w:tcMar>
              <w:top w:w="0" w:type="dxa"/>
              <w:left w:w="85" w:type="dxa"/>
              <w:bottom w:w="0" w:type="dxa"/>
              <w:right w:w="85" w:type="dxa"/>
            </w:tcMar>
          </w:tcPr>
          <w:p w14:paraId="661E5DA0" w14:textId="77777777" w:rsidR="00BB3E1E" w:rsidRPr="00E25851" w:rsidRDefault="00BB3E1E" w:rsidP="00B05614">
            <w:pPr>
              <w:pStyle w:val="TableText"/>
              <w:jc w:val="right"/>
              <w:rPr>
                <w:rFonts w:cs="Calibri"/>
                <w:szCs w:val="16"/>
              </w:rPr>
            </w:pPr>
            <w:r w:rsidRPr="00E25851" w:rsidDel="005F18EC">
              <w:rPr>
                <w:rFonts w:cs="Calibri"/>
                <w:szCs w:val="16"/>
              </w:rPr>
              <w:t>92.3</w:t>
            </w:r>
          </w:p>
        </w:tc>
      </w:tr>
      <w:tr w:rsidR="00BB3E1E" w:rsidRPr="00E25851" w14:paraId="32875D80" w14:textId="77777777" w:rsidTr="00BB1EAB">
        <w:trPr>
          <w:cantSplit/>
          <w:trHeight w:val="283"/>
        </w:trPr>
        <w:tc>
          <w:tcPr>
            <w:tcW w:w="0" w:type="auto"/>
            <w:shd w:val="clear" w:color="auto" w:fill="auto"/>
            <w:tcMar>
              <w:top w:w="0" w:type="dxa"/>
              <w:left w:w="85" w:type="dxa"/>
              <w:bottom w:w="0" w:type="dxa"/>
              <w:right w:w="85" w:type="dxa"/>
            </w:tcMar>
          </w:tcPr>
          <w:p w14:paraId="6CD44556" w14:textId="77777777" w:rsidR="00BB3E1E" w:rsidRPr="00E25851" w:rsidRDefault="00BB3E1E" w:rsidP="00B05614">
            <w:pPr>
              <w:pStyle w:val="TableText"/>
              <w:rPr>
                <w:rFonts w:cs="Calibri"/>
                <w:szCs w:val="16"/>
              </w:rPr>
            </w:pPr>
            <w:r w:rsidRPr="00E25851" w:rsidDel="005F18EC">
              <w:rPr>
                <w:rFonts w:cs="Calibri"/>
                <w:szCs w:val="16"/>
              </w:rPr>
              <w:t>1.A.2.d</w:t>
            </w:r>
          </w:p>
        </w:tc>
        <w:tc>
          <w:tcPr>
            <w:tcW w:w="3503" w:type="dxa"/>
            <w:shd w:val="clear" w:color="auto" w:fill="auto"/>
            <w:tcMar>
              <w:top w:w="0" w:type="dxa"/>
              <w:left w:w="85" w:type="dxa"/>
              <w:bottom w:w="0" w:type="dxa"/>
              <w:right w:w="85" w:type="dxa"/>
            </w:tcMar>
          </w:tcPr>
          <w:p w14:paraId="2674E815" w14:textId="77777777" w:rsidR="00BB3E1E" w:rsidRPr="00E25851" w:rsidRDefault="00BB3E1E" w:rsidP="00B05614">
            <w:pPr>
              <w:pStyle w:val="TableText"/>
              <w:rPr>
                <w:rFonts w:cs="Calibri"/>
                <w:szCs w:val="16"/>
              </w:rPr>
            </w:pPr>
            <w:r w:rsidRPr="00E25851" w:rsidDel="005F18EC">
              <w:rPr>
                <w:rFonts w:cs="Calibri"/>
                <w:szCs w:val="16"/>
              </w:rPr>
              <w:t>Manufacturing Industries and Construction – Pulp, Paper and Print Gaseous Fuels</w:t>
            </w:r>
          </w:p>
        </w:tc>
        <w:tc>
          <w:tcPr>
            <w:tcW w:w="567" w:type="dxa"/>
            <w:shd w:val="clear" w:color="auto" w:fill="auto"/>
            <w:tcMar>
              <w:top w:w="0" w:type="dxa"/>
              <w:left w:w="85" w:type="dxa"/>
              <w:bottom w:w="0" w:type="dxa"/>
              <w:right w:w="85" w:type="dxa"/>
            </w:tcMar>
          </w:tcPr>
          <w:p w14:paraId="6DF84092"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67D22429" w14:textId="77777777" w:rsidR="00BB3E1E" w:rsidRPr="00E25851" w:rsidRDefault="00BB3E1E" w:rsidP="00B05614">
            <w:pPr>
              <w:pStyle w:val="TableText"/>
              <w:jc w:val="right"/>
              <w:rPr>
                <w:rFonts w:cs="Calibri"/>
                <w:szCs w:val="16"/>
              </w:rPr>
            </w:pPr>
            <w:r w:rsidRPr="00E25851" w:rsidDel="005F18EC">
              <w:rPr>
                <w:rFonts w:cs="Calibri"/>
                <w:szCs w:val="16"/>
              </w:rPr>
              <w:t>306.7</w:t>
            </w:r>
          </w:p>
        </w:tc>
        <w:tc>
          <w:tcPr>
            <w:tcW w:w="944" w:type="dxa"/>
            <w:shd w:val="clear" w:color="auto" w:fill="auto"/>
            <w:tcMar>
              <w:top w:w="0" w:type="dxa"/>
              <w:left w:w="85" w:type="dxa"/>
              <w:bottom w:w="0" w:type="dxa"/>
              <w:right w:w="85" w:type="dxa"/>
            </w:tcMar>
          </w:tcPr>
          <w:p w14:paraId="03C2344E" w14:textId="77777777" w:rsidR="00BB3E1E" w:rsidRPr="00E25851" w:rsidRDefault="00BB3E1E" w:rsidP="00B05614">
            <w:pPr>
              <w:pStyle w:val="TableText"/>
              <w:jc w:val="right"/>
              <w:rPr>
                <w:rFonts w:cs="Calibri"/>
                <w:szCs w:val="16"/>
              </w:rPr>
            </w:pPr>
            <w:r w:rsidRPr="00E25851" w:rsidDel="005F18EC">
              <w:rPr>
                <w:rFonts w:cs="Calibri"/>
                <w:szCs w:val="16"/>
              </w:rPr>
              <w:t>0.4</w:t>
            </w:r>
          </w:p>
        </w:tc>
        <w:tc>
          <w:tcPr>
            <w:tcW w:w="926" w:type="dxa"/>
            <w:shd w:val="clear" w:color="auto" w:fill="auto"/>
            <w:tcMar>
              <w:top w:w="0" w:type="dxa"/>
              <w:left w:w="85" w:type="dxa"/>
              <w:bottom w:w="0" w:type="dxa"/>
              <w:right w:w="85" w:type="dxa"/>
            </w:tcMar>
          </w:tcPr>
          <w:p w14:paraId="4C5D4E08" w14:textId="77777777" w:rsidR="00BB3E1E" w:rsidRPr="00E25851" w:rsidRDefault="00BB3E1E" w:rsidP="00B05614">
            <w:pPr>
              <w:pStyle w:val="TableText"/>
              <w:jc w:val="right"/>
              <w:rPr>
                <w:rFonts w:cs="Calibri"/>
                <w:szCs w:val="16"/>
              </w:rPr>
            </w:pPr>
            <w:r w:rsidRPr="00E25851" w:rsidDel="005F18EC">
              <w:rPr>
                <w:rFonts w:cs="Calibri"/>
                <w:szCs w:val="16"/>
              </w:rPr>
              <w:t>92.6</w:t>
            </w:r>
          </w:p>
        </w:tc>
      </w:tr>
      <w:tr w:rsidR="00BB3E1E" w:rsidRPr="00E25851" w14:paraId="36BAEF75" w14:textId="77777777" w:rsidTr="00BB1EAB">
        <w:trPr>
          <w:cantSplit/>
          <w:trHeight w:val="283"/>
        </w:trPr>
        <w:tc>
          <w:tcPr>
            <w:tcW w:w="0" w:type="auto"/>
            <w:shd w:val="clear" w:color="auto" w:fill="auto"/>
            <w:tcMar>
              <w:top w:w="0" w:type="dxa"/>
              <w:left w:w="85" w:type="dxa"/>
              <w:bottom w:w="0" w:type="dxa"/>
              <w:right w:w="85" w:type="dxa"/>
            </w:tcMar>
          </w:tcPr>
          <w:p w14:paraId="0E1AD41D" w14:textId="77777777" w:rsidR="00BB3E1E" w:rsidRPr="00E25851" w:rsidRDefault="00BB3E1E" w:rsidP="00B05614">
            <w:pPr>
              <w:pStyle w:val="TableText"/>
              <w:rPr>
                <w:rFonts w:cs="Calibri"/>
                <w:szCs w:val="16"/>
              </w:rPr>
            </w:pPr>
            <w:r w:rsidRPr="00E25851" w:rsidDel="005F18EC">
              <w:rPr>
                <w:rFonts w:cs="Calibri"/>
                <w:szCs w:val="16"/>
              </w:rPr>
              <w:t>1.A.3.d</w:t>
            </w:r>
          </w:p>
        </w:tc>
        <w:tc>
          <w:tcPr>
            <w:tcW w:w="3503" w:type="dxa"/>
            <w:shd w:val="clear" w:color="auto" w:fill="auto"/>
            <w:tcMar>
              <w:top w:w="0" w:type="dxa"/>
              <w:left w:w="85" w:type="dxa"/>
              <w:bottom w:w="0" w:type="dxa"/>
              <w:right w:w="85" w:type="dxa"/>
            </w:tcMar>
          </w:tcPr>
          <w:p w14:paraId="3648237E" w14:textId="77777777" w:rsidR="00BB3E1E" w:rsidRPr="00E25851" w:rsidRDefault="00BB3E1E" w:rsidP="00B05614">
            <w:pPr>
              <w:pStyle w:val="TableText"/>
              <w:rPr>
                <w:rFonts w:cs="Calibri"/>
                <w:szCs w:val="16"/>
              </w:rPr>
            </w:pPr>
            <w:r w:rsidRPr="00E25851" w:rsidDel="005F18EC">
              <w:rPr>
                <w:rFonts w:cs="Calibri"/>
                <w:szCs w:val="16"/>
              </w:rPr>
              <w:t>Domestic Navigation – Residual Fuel Oil</w:t>
            </w:r>
          </w:p>
        </w:tc>
        <w:tc>
          <w:tcPr>
            <w:tcW w:w="567" w:type="dxa"/>
            <w:shd w:val="clear" w:color="auto" w:fill="auto"/>
            <w:tcMar>
              <w:top w:w="0" w:type="dxa"/>
              <w:left w:w="85" w:type="dxa"/>
              <w:bottom w:w="0" w:type="dxa"/>
              <w:right w:w="85" w:type="dxa"/>
            </w:tcMar>
          </w:tcPr>
          <w:p w14:paraId="08867324"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28FBE1CE" w14:textId="77777777" w:rsidR="00BB3E1E" w:rsidRPr="00E25851" w:rsidRDefault="00BB3E1E" w:rsidP="00B05614">
            <w:pPr>
              <w:pStyle w:val="TableText"/>
              <w:jc w:val="right"/>
              <w:rPr>
                <w:rFonts w:cs="Calibri"/>
                <w:szCs w:val="16"/>
              </w:rPr>
            </w:pPr>
            <w:r w:rsidRPr="00E25851" w:rsidDel="005F18EC">
              <w:rPr>
                <w:rFonts w:cs="Calibri"/>
                <w:szCs w:val="16"/>
              </w:rPr>
              <w:t>271.8</w:t>
            </w:r>
          </w:p>
        </w:tc>
        <w:tc>
          <w:tcPr>
            <w:tcW w:w="944" w:type="dxa"/>
            <w:shd w:val="clear" w:color="auto" w:fill="auto"/>
            <w:tcMar>
              <w:top w:w="0" w:type="dxa"/>
              <w:left w:w="85" w:type="dxa"/>
              <w:bottom w:w="0" w:type="dxa"/>
              <w:right w:w="85" w:type="dxa"/>
            </w:tcMar>
          </w:tcPr>
          <w:p w14:paraId="62125860" w14:textId="77777777" w:rsidR="00BB3E1E" w:rsidRPr="00E25851" w:rsidRDefault="00BB3E1E" w:rsidP="00B05614">
            <w:pPr>
              <w:pStyle w:val="TableText"/>
              <w:jc w:val="right"/>
              <w:rPr>
                <w:rFonts w:cs="Calibri"/>
                <w:szCs w:val="16"/>
              </w:rPr>
            </w:pPr>
            <w:r w:rsidRPr="00E25851" w:rsidDel="005F18EC">
              <w:rPr>
                <w:rFonts w:cs="Calibri"/>
                <w:szCs w:val="16"/>
              </w:rPr>
              <w:t>0.3</w:t>
            </w:r>
          </w:p>
        </w:tc>
        <w:tc>
          <w:tcPr>
            <w:tcW w:w="926" w:type="dxa"/>
            <w:shd w:val="clear" w:color="auto" w:fill="auto"/>
            <w:tcMar>
              <w:top w:w="0" w:type="dxa"/>
              <w:left w:w="85" w:type="dxa"/>
              <w:bottom w:w="0" w:type="dxa"/>
              <w:right w:w="85" w:type="dxa"/>
            </w:tcMar>
          </w:tcPr>
          <w:p w14:paraId="74D55215" w14:textId="77777777" w:rsidR="00BB3E1E" w:rsidRPr="00E25851" w:rsidRDefault="00BB3E1E" w:rsidP="00B05614">
            <w:pPr>
              <w:pStyle w:val="TableText"/>
              <w:jc w:val="right"/>
              <w:rPr>
                <w:rFonts w:cs="Calibri"/>
                <w:szCs w:val="16"/>
              </w:rPr>
            </w:pPr>
            <w:r w:rsidRPr="00E25851" w:rsidDel="005F18EC">
              <w:rPr>
                <w:rFonts w:cs="Calibri"/>
                <w:szCs w:val="16"/>
              </w:rPr>
              <w:t>93.0</w:t>
            </w:r>
          </w:p>
        </w:tc>
      </w:tr>
      <w:tr w:rsidR="00BB3E1E" w:rsidRPr="00E25851" w14:paraId="0DA3B493" w14:textId="77777777" w:rsidTr="00BB1EAB">
        <w:trPr>
          <w:cantSplit/>
          <w:trHeight w:val="283"/>
        </w:trPr>
        <w:tc>
          <w:tcPr>
            <w:tcW w:w="0" w:type="auto"/>
            <w:shd w:val="clear" w:color="auto" w:fill="auto"/>
            <w:tcMar>
              <w:top w:w="0" w:type="dxa"/>
              <w:left w:w="85" w:type="dxa"/>
              <w:bottom w:w="0" w:type="dxa"/>
              <w:right w:w="85" w:type="dxa"/>
            </w:tcMar>
          </w:tcPr>
          <w:p w14:paraId="3C8130D9" w14:textId="77777777" w:rsidR="00BB3E1E" w:rsidRPr="00E25851" w:rsidRDefault="00BB3E1E" w:rsidP="00B05614">
            <w:pPr>
              <w:pStyle w:val="TableText"/>
              <w:rPr>
                <w:rFonts w:cs="Calibri"/>
                <w:szCs w:val="16"/>
              </w:rPr>
            </w:pPr>
            <w:r w:rsidRPr="00E25851" w:rsidDel="005F18EC">
              <w:rPr>
                <w:rFonts w:cs="Calibri"/>
                <w:szCs w:val="16"/>
              </w:rPr>
              <w:t>1.A.1.c</w:t>
            </w:r>
          </w:p>
        </w:tc>
        <w:tc>
          <w:tcPr>
            <w:tcW w:w="3503" w:type="dxa"/>
            <w:shd w:val="clear" w:color="auto" w:fill="auto"/>
            <w:tcMar>
              <w:top w:w="0" w:type="dxa"/>
              <w:left w:w="85" w:type="dxa"/>
              <w:bottom w:w="0" w:type="dxa"/>
              <w:right w:w="85" w:type="dxa"/>
            </w:tcMar>
          </w:tcPr>
          <w:p w14:paraId="433BCA66" w14:textId="77777777" w:rsidR="00BB3E1E" w:rsidRPr="00E25851" w:rsidRDefault="00BB3E1E" w:rsidP="00B05614">
            <w:pPr>
              <w:pStyle w:val="TableText"/>
              <w:rPr>
                <w:rFonts w:cs="Calibri"/>
                <w:szCs w:val="16"/>
              </w:rPr>
            </w:pPr>
            <w:r w:rsidRPr="00E25851" w:rsidDel="005F18EC">
              <w:rPr>
                <w:rFonts w:cs="Calibri"/>
                <w:szCs w:val="16"/>
              </w:rPr>
              <w:t>Energy Industries – Manufacture of Solid Fuels and Other Energy Industries Gaseous Fuels</w:t>
            </w:r>
          </w:p>
        </w:tc>
        <w:tc>
          <w:tcPr>
            <w:tcW w:w="567" w:type="dxa"/>
            <w:shd w:val="clear" w:color="auto" w:fill="auto"/>
            <w:tcMar>
              <w:top w:w="0" w:type="dxa"/>
              <w:left w:w="85" w:type="dxa"/>
              <w:bottom w:w="0" w:type="dxa"/>
              <w:right w:w="85" w:type="dxa"/>
            </w:tcMar>
          </w:tcPr>
          <w:p w14:paraId="67D09587"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48053A27" w14:textId="77777777" w:rsidR="00BB3E1E" w:rsidRPr="00E25851" w:rsidRDefault="00BB3E1E" w:rsidP="00B05614">
            <w:pPr>
              <w:pStyle w:val="TableText"/>
              <w:jc w:val="right"/>
              <w:rPr>
                <w:rFonts w:cs="Calibri"/>
                <w:szCs w:val="16"/>
              </w:rPr>
            </w:pPr>
            <w:r w:rsidRPr="00E25851" w:rsidDel="005F18EC">
              <w:rPr>
                <w:rFonts w:cs="Calibri"/>
                <w:szCs w:val="16"/>
              </w:rPr>
              <w:t>263.7</w:t>
            </w:r>
          </w:p>
        </w:tc>
        <w:tc>
          <w:tcPr>
            <w:tcW w:w="944" w:type="dxa"/>
            <w:shd w:val="clear" w:color="auto" w:fill="auto"/>
            <w:tcMar>
              <w:top w:w="0" w:type="dxa"/>
              <w:left w:w="85" w:type="dxa"/>
              <w:bottom w:w="0" w:type="dxa"/>
              <w:right w:w="85" w:type="dxa"/>
            </w:tcMar>
          </w:tcPr>
          <w:p w14:paraId="0B94C968" w14:textId="77777777" w:rsidR="00BB3E1E" w:rsidRPr="00E25851" w:rsidRDefault="00BB3E1E" w:rsidP="00B05614">
            <w:pPr>
              <w:pStyle w:val="TableText"/>
              <w:jc w:val="right"/>
              <w:rPr>
                <w:rFonts w:cs="Calibri"/>
                <w:szCs w:val="16"/>
              </w:rPr>
            </w:pPr>
            <w:r w:rsidRPr="00E25851" w:rsidDel="005F18EC">
              <w:rPr>
                <w:rFonts w:cs="Calibri"/>
                <w:szCs w:val="16"/>
              </w:rPr>
              <w:t>0.3</w:t>
            </w:r>
          </w:p>
        </w:tc>
        <w:tc>
          <w:tcPr>
            <w:tcW w:w="926" w:type="dxa"/>
            <w:shd w:val="clear" w:color="auto" w:fill="auto"/>
            <w:tcMar>
              <w:top w:w="0" w:type="dxa"/>
              <w:left w:w="85" w:type="dxa"/>
              <w:bottom w:w="0" w:type="dxa"/>
              <w:right w:w="85" w:type="dxa"/>
            </w:tcMar>
          </w:tcPr>
          <w:p w14:paraId="65FF4916" w14:textId="77777777" w:rsidR="00BB3E1E" w:rsidRPr="00E25851" w:rsidRDefault="00BB3E1E" w:rsidP="00B05614">
            <w:pPr>
              <w:pStyle w:val="TableText"/>
              <w:jc w:val="right"/>
              <w:rPr>
                <w:rFonts w:cs="Calibri"/>
                <w:szCs w:val="16"/>
              </w:rPr>
            </w:pPr>
            <w:r w:rsidRPr="00E25851" w:rsidDel="005F18EC">
              <w:rPr>
                <w:rFonts w:cs="Calibri"/>
                <w:szCs w:val="16"/>
              </w:rPr>
              <w:t>93.3</w:t>
            </w:r>
          </w:p>
        </w:tc>
      </w:tr>
      <w:tr w:rsidR="00BB3E1E" w:rsidRPr="00E25851" w14:paraId="1469C62E" w14:textId="77777777" w:rsidTr="00BB1EAB">
        <w:trPr>
          <w:cantSplit/>
          <w:trHeight w:val="283"/>
        </w:trPr>
        <w:tc>
          <w:tcPr>
            <w:tcW w:w="0" w:type="auto"/>
            <w:shd w:val="clear" w:color="auto" w:fill="auto"/>
            <w:tcMar>
              <w:top w:w="0" w:type="dxa"/>
              <w:left w:w="85" w:type="dxa"/>
              <w:bottom w:w="0" w:type="dxa"/>
              <w:right w:w="85" w:type="dxa"/>
            </w:tcMar>
          </w:tcPr>
          <w:p w14:paraId="5C532E3D" w14:textId="77777777" w:rsidR="00BB3E1E" w:rsidRPr="00E25851" w:rsidRDefault="00BB3E1E" w:rsidP="00B05614">
            <w:pPr>
              <w:pStyle w:val="TableText"/>
              <w:rPr>
                <w:rFonts w:cs="Calibri"/>
                <w:szCs w:val="16"/>
              </w:rPr>
            </w:pPr>
            <w:r w:rsidRPr="00E25851" w:rsidDel="005F18EC">
              <w:rPr>
                <w:rFonts w:cs="Calibri"/>
                <w:szCs w:val="16"/>
              </w:rPr>
              <w:t>3.D.1.4</w:t>
            </w:r>
          </w:p>
        </w:tc>
        <w:tc>
          <w:tcPr>
            <w:tcW w:w="3503" w:type="dxa"/>
            <w:shd w:val="clear" w:color="auto" w:fill="auto"/>
            <w:tcMar>
              <w:top w:w="0" w:type="dxa"/>
              <w:left w:w="85" w:type="dxa"/>
              <w:bottom w:w="0" w:type="dxa"/>
              <w:right w:w="85" w:type="dxa"/>
            </w:tcMar>
          </w:tcPr>
          <w:p w14:paraId="7E21B4E5" w14:textId="77777777" w:rsidR="00BB3E1E" w:rsidRPr="00E25851" w:rsidRDefault="00BB3E1E" w:rsidP="00B05614">
            <w:pPr>
              <w:pStyle w:val="TableText"/>
              <w:rPr>
                <w:rFonts w:cs="Calibri"/>
                <w:szCs w:val="16"/>
              </w:rPr>
            </w:pPr>
            <w:r w:rsidRPr="00E25851">
              <w:rPr>
                <w:rFonts w:cs="Calibri"/>
                <w:szCs w:val="16"/>
              </w:rPr>
              <w:t>Direct N</w:t>
            </w:r>
            <w:r w:rsidRPr="00E25851">
              <w:rPr>
                <w:rFonts w:cs="Calibri"/>
                <w:szCs w:val="16"/>
                <w:vertAlign w:val="subscript"/>
              </w:rPr>
              <w:t>2</w:t>
            </w:r>
            <w:r w:rsidRPr="00E25851">
              <w:rPr>
                <w:rFonts w:cs="Calibri"/>
                <w:szCs w:val="16"/>
              </w:rPr>
              <w:t>O Emissions from</w:t>
            </w:r>
            <w:r w:rsidRPr="00E25851" w:rsidDel="005F18EC">
              <w:rPr>
                <w:rFonts w:cs="Calibri"/>
                <w:szCs w:val="16"/>
              </w:rPr>
              <w:t xml:space="preserve"> Managed Soils – Crop Residues</w:t>
            </w:r>
          </w:p>
        </w:tc>
        <w:tc>
          <w:tcPr>
            <w:tcW w:w="567" w:type="dxa"/>
            <w:shd w:val="clear" w:color="auto" w:fill="auto"/>
            <w:tcMar>
              <w:top w:w="0" w:type="dxa"/>
              <w:left w:w="85" w:type="dxa"/>
              <w:bottom w:w="0" w:type="dxa"/>
              <w:right w:w="85" w:type="dxa"/>
            </w:tcMar>
          </w:tcPr>
          <w:p w14:paraId="6E25B41E" w14:textId="77777777" w:rsidR="00BB3E1E" w:rsidRPr="00E25851" w:rsidRDefault="00BB3E1E" w:rsidP="00B05614">
            <w:pPr>
              <w:pStyle w:val="TableText"/>
              <w:rPr>
                <w:rFonts w:cs="Calibri"/>
                <w:szCs w:val="16"/>
              </w:rPr>
            </w:pPr>
            <w:r w:rsidRPr="00E25851" w:rsidDel="005F18EC">
              <w:rPr>
                <w:rFonts w:cs="Calibri"/>
                <w:szCs w:val="16"/>
              </w:rPr>
              <w:t>N</w:t>
            </w:r>
            <w:r w:rsidRPr="00E25851" w:rsidDel="005F18EC">
              <w:rPr>
                <w:rFonts w:cs="Calibri"/>
                <w:szCs w:val="16"/>
                <w:vertAlign w:val="subscript"/>
              </w:rPr>
              <w:t>2</w:t>
            </w:r>
            <w:r w:rsidRPr="00E25851" w:rsidDel="005F18EC">
              <w:rPr>
                <w:rFonts w:cs="Calibri"/>
                <w:szCs w:val="16"/>
              </w:rPr>
              <w:t>O</w:t>
            </w:r>
          </w:p>
        </w:tc>
        <w:tc>
          <w:tcPr>
            <w:tcW w:w="1560" w:type="dxa"/>
            <w:shd w:val="clear" w:color="auto" w:fill="auto"/>
            <w:tcMar>
              <w:top w:w="0" w:type="dxa"/>
              <w:left w:w="85" w:type="dxa"/>
              <w:bottom w:w="0" w:type="dxa"/>
              <w:right w:w="85" w:type="dxa"/>
            </w:tcMar>
          </w:tcPr>
          <w:p w14:paraId="377BD7B6" w14:textId="77777777" w:rsidR="00BB3E1E" w:rsidRPr="00E25851" w:rsidRDefault="00BB3E1E" w:rsidP="00B05614">
            <w:pPr>
              <w:pStyle w:val="TableText"/>
              <w:jc w:val="right"/>
              <w:rPr>
                <w:rFonts w:cs="Calibri"/>
                <w:szCs w:val="16"/>
              </w:rPr>
            </w:pPr>
            <w:r w:rsidRPr="00E25851" w:rsidDel="005F18EC">
              <w:rPr>
                <w:rFonts w:cs="Calibri"/>
                <w:szCs w:val="16"/>
              </w:rPr>
              <w:t>258.6</w:t>
            </w:r>
          </w:p>
        </w:tc>
        <w:tc>
          <w:tcPr>
            <w:tcW w:w="944" w:type="dxa"/>
            <w:shd w:val="clear" w:color="auto" w:fill="auto"/>
            <w:tcMar>
              <w:top w:w="0" w:type="dxa"/>
              <w:left w:w="85" w:type="dxa"/>
              <w:bottom w:w="0" w:type="dxa"/>
              <w:right w:w="85" w:type="dxa"/>
            </w:tcMar>
          </w:tcPr>
          <w:p w14:paraId="250F41DA" w14:textId="77777777" w:rsidR="00BB3E1E" w:rsidRPr="00E25851" w:rsidRDefault="00BB3E1E" w:rsidP="00B05614">
            <w:pPr>
              <w:pStyle w:val="TableText"/>
              <w:jc w:val="right"/>
              <w:rPr>
                <w:rFonts w:cs="Calibri"/>
                <w:szCs w:val="16"/>
              </w:rPr>
            </w:pPr>
            <w:r w:rsidRPr="00E25851" w:rsidDel="005F18EC">
              <w:rPr>
                <w:rFonts w:cs="Calibri"/>
                <w:szCs w:val="16"/>
              </w:rPr>
              <w:t>0.3</w:t>
            </w:r>
          </w:p>
        </w:tc>
        <w:tc>
          <w:tcPr>
            <w:tcW w:w="926" w:type="dxa"/>
            <w:shd w:val="clear" w:color="auto" w:fill="auto"/>
            <w:tcMar>
              <w:top w:w="0" w:type="dxa"/>
              <w:left w:w="85" w:type="dxa"/>
              <w:bottom w:w="0" w:type="dxa"/>
              <w:right w:w="85" w:type="dxa"/>
            </w:tcMar>
          </w:tcPr>
          <w:p w14:paraId="555E0EC7" w14:textId="77777777" w:rsidR="00BB3E1E" w:rsidRPr="00E25851" w:rsidRDefault="00BB3E1E" w:rsidP="00B05614">
            <w:pPr>
              <w:pStyle w:val="TableText"/>
              <w:jc w:val="right"/>
              <w:rPr>
                <w:rFonts w:cs="Calibri"/>
                <w:szCs w:val="16"/>
              </w:rPr>
            </w:pPr>
            <w:r w:rsidRPr="00E25851" w:rsidDel="005F18EC">
              <w:rPr>
                <w:rFonts w:cs="Calibri"/>
                <w:szCs w:val="16"/>
              </w:rPr>
              <w:t>93.7</w:t>
            </w:r>
          </w:p>
        </w:tc>
      </w:tr>
      <w:tr w:rsidR="00BB3E1E" w:rsidRPr="00E25851" w14:paraId="01D4120C" w14:textId="77777777" w:rsidTr="00BB1EAB">
        <w:trPr>
          <w:cantSplit/>
          <w:trHeight w:val="283"/>
        </w:trPr>
        <w:tc>
          <w:tcPr>
            <w:tcW w:w="0" w:type="auto"/>
            <w:shd w:val="clear" w:color="auto" w:fill="auto"/>
            <w:tcMar>
              <w:top w:w="0" w:type="dxa"/>
              <w:left w:w="85" w:type="dxa"/>
              <w:bottom w:w="0" w:type="dxa"/>
              <w:right w:w="85" w:type="dxa"/>
            </w:tcMar>
          </w:tcPr>
          <w:p w14:paraId="38E49D0A" w14:textId="77777777" w:rsidR="00BB3E1E" w:rsidRPr="00E25851" w:rsidRDefault="00BB3E1E" w:rsidP="00B05614">
            <w:pPr>
              <w:pStyle w:val="TableText"/>
              <w:rPr>
                <w:rFonts w:cs="Calibri"/>
                <w:szCs w:val="16"/>
              </w:rPr>
            </w:pPr>
            <w:r w:rsidRPr="00E25851" w:rsidDel="005F18EC">
              <w:rPr>
                <w:rFonts w:cs="Calibri"/>
                <w:szCs w:val="16"/>
              </w:rPr>
              <w:t>5.D</w:t>
            </w:r>
          </w:p>
        </w:tc>
        <w:tc>
          <w:tcPr>
            <w:tcW w:w="3503" w:type="dxa"/>
            <w:shd w:val="clear" w:color="auto" w:fill="auto"/>
            <w:tcMar>
              <w:top w:w="0" w:type="dxa"/>
              <w:left w:w="85" w:type="dxa"/>
              <w:bottom w:w="0" w:type="dxa"/>
              <w:right w:w="85" w:type="dxa"/>
            </w:tcMar>
          </w:tcPr>
          <w:p w14:paraId="356969AA" w14:textId="77777777" w:rsidR="00BB3E1E" w:rsidRPr="00E25851" w:rsidRDefault="00BB3E1E" w:rsidP="00B05614">
            <w:pPr>
              <w:pStyle w:val="TableText"/>
              <w:rPr>
                <w:rFonts w:cs="Calibri"/>
                <w:szCs w:val="16"/>
              </w:rPr>
            </w:pPr>
            <w:r w:rsidRPr="00E25851" w:rsidDel="005F18EC">
              <w:rPr>
                <w:rFonts w:cs="Calibri"/>
                <w:szCs w:val="16"/>
              </w:rPr>
              <w:t>Waste – Wastewater Treatment and Discharge</w:t>
            </w:r>
          </w:p>
        </w:tc>
        <w:tc>
          <w:tcPr>
            <w:tcW w:w="567" w:type="dxa"/>
            <w:shd w:val="clear" w:color="auto" w:fill="auto"/>
            <w:tcMar>
              <w:top w:w="0" w:type="dxa"/>
              <w:left w:w="85" w:type="dxa"/>
              <w:bottom w:w="0" w:type="dxa"/>
              <w:right w:w="85" w:type="dxa"/>
            </w:tcMar>
          </w:tcPr>
          <w:p w14:paraId="28078137" w14:textId="77777777" w:rsidR="00BB3E1E" w:rsidRPr="00E25851" w:rsidRDefault="00BB3E1E" w:rsidP="00B05614">
            <w:pPr>
              <w:pStyle w:val="TableText"/>
              <w:rPr>
                <w:rFonts w:cs="Calibri"/>
                <w:szCs w:val="16"/>
              </w:rPr>
            </w:pPr>
            <w:r w:rsidRPr="00E25851" w:rsidDel="005F18EC">
              <w:rPr>
                <w:rFonts w:cs="Calibri"/>
                <w:szCs w:val="16"/>
              </w:rPr>
              <w:t>CH</w:t>
            </w:r>
            <w:r w:rsidRPr="00E25851" w:rsidDel="005F18EC">
              <w:rPr>
                <w:rFonts w:cs="Calibri"/>
                <w:szCs w:val="16"/>
                <w:vertAlign w:val="subscript"/>
              </w:rPr>
              <w:t>4</w:t>
            </w:r>
          </w:p>
        </w:tc>
        <w:tc>
          <w:tcPr>
            <w:tcW w:w="1560" w:type="dxa"/>
            <w:shd w:val="clear" w:color="auto" w:fill="auto"/>
            <w:tcMar>
              <w:top w:w="0" w:type="dxa"/>
              <w:left w:w="85" w:type="dxa"/>
              <w:bottom w:w="0" w:type="dxa"/>
              <w:right w:w="85" w:type="dxa"/>
            </w:tcMar>
          </w:tcPr>
          <w:p w14:paraId="42F4E862" w14:textId="77777777" w:rsidR="00BB3E1E" w:rsidRPr="00E25851" w:rsidRDefault="00BB3E1E" w:rsidP="00B05614">
            <w:pPr>
              <w:pStyle w:val="TableText"/>
              <w:jc w:val="right"/>
              <w:rPr>
                <w:rFonts w:cs="Calibri"/>
                <w:szCs w:val="16"/>
              </w:rPr>
            </w:pPr>
            <w:r w:rsidRPr="00E25851" w:rsidDel="005F18EC">
              <w:rPr>
                <w:rFonts w:cs="Calibri"/>
                <w:szCs w:val="16"/>
              </w:rPr>
              <w:t>256.9</w:t>
            </w:r>
          </w:p>
        </w:tc>
        <w:tc>
          <w:tcPr>
            <w:tcW w:w="944" w:type="dxa"/>
            <w:shd w:val="clear" w:color="auto" w:fill="auto"/>
            <w:tcMar>
              <w:top w:w="0" w:type="dxa"/>
              <w:left w:w="85" w:type="dxa"/>
              <w:bottom w:w="0" w:type="dxa"/>
              <w:right w:w="85" w:type="dxa"/>
            </w:tcMar>
          </w:tcPr>
          <w:p w14:paraId="4883C36E" w14:textId="77777777" w:rsidR="00BB3E1E" w:rsidRPr="00E25851" w:rsidRDefault="00BB3E1E" w:rsidP="00B05614">
            <w:pPr>
              <w:pStyle w:val="TableText"/>
              <w:jc w:val="right"/>
              <w:rPr>
                <w:rFonts w:cs="Calibri"/>
                <w:szCs w:val="16"/>
              </w:rPr>
            </w:pPr>
            <w:r w:rsidRPr="00E25851" w:rsidDel="005F18EC">
              <w:rPr>
                <w:rFonts w:cs="Calibri"/>
                <w:szCs w:val="16"/>
              </w:rPr>
              <w:t>0.3</w:t>
            </w:r>
          </w:p>
        </w:tc>
        <w:tc>
          <w:tcPr>
            <w:tcW w:w="926" w:type="dxa"/>
            <w:shd w:val="clear" w:color="auto" w:fill="auto"/>
            <w:tcMar>
              <w:top w:w="0" w:type="dxa"/>
              <w:left w:w="85" w:type="dxa"/>
              <w:bottom w:w="0" w:type="dxa"/>
              <w:right w:w="85" w:type="dxa"/>
            </w:tcMar>
          </w:tcPr>
          <w:p w14:paraId="01ED25E9" w14:textId="77777777" w:rsidR="00BB3E1E" w:rsidRPr="00E25851" w:rsidRDefault="00BB3E1E" w:rsidP="00B05614">
            <w:pPr>
              <w:pStyle w:val="TableText"/>
              <w:jc w:val="right"/>
              <w:rPr>
                <w:rFonts w:cs="Calibri"/>
                <w:szCs w:val="16"/>
              </w:rPr>
            </w:pPr>
            <w:r w:rsidRPr="00E25851" w:rsidDel="005F18EC">
              <w:rPr>
                <w:rFonts w:cs="Calibri"/>
                <w:szCs w:val="16"/>
              </w:rPr>
              <w:t>94.0</w:t>
            </w:r>
          </w:p>
        </w:tc>
      </w:tr>
      <w:tr w:rsidR="00BB3E1E" w:rsidRPr="00E25851" w14:paraId="42076DB4" w14:textId="77777777" w:rsidTr="00BB1EAB">
        <w:trPr>
          <w:cantSplit/>
          <w:trHeight w:val="283"/>
        </w:trPr>
        <w:tc>
          <w:tcPr>
            <w:tcW w:w="0" w:type="auto"/>
            <w:shd w:val="clear" w:color="auto" w:fill="auto"/>
            <w:tcMar>
              <w:top w:w="0" w:type="dxa"/>
              <w:left w:w="85" w:type="dxa"/>
              <w:bottom w:w="0" w:type="dxa"/>
              <w:right w:w="85" w:type="dxa"/>
            </w:tcMar>
          </w:tcPr>
          <w:p w14:paraId="3FC504E4" w14:textId="77777777" w:rsidR="00BB3E1E" w:rsidRPr="00E25851" w:rsidRDefault="00BB3E1E" w:rsidP="00B05614">
            <w:pPr>
              <w:pStyle w:val="TableText"/>
              <w:rPr>
                <w:rFonts w:cs="Calibri"/>
                <w:szCs w:val="16"/>
              </w:rPr>
            </w:pPr>
            <w:r w:rsidRPr="00E25851" w:rsidDel="005F18EC">
              <w:rPr>
                <w:rFonts w:cs="Calibri"/>
                <w:szCs w:val="16"/>
              </w:rPr>
              <w:t>1.B.2.c.1.ii</w:t>
            </w:r>
          </w:p>
        </w:tc>
        <w:tc>
          <w:tcPr>
            <w:tcW w:w="3503" w:type="dxa"/>
            <w:shd w:val="clear" w:color="auto" w:fill="auto"/>
            <w:tcMar>
              <w:top w:w="0" w:type="dxa"/>
              <w:left w:w="85" w:type="dxa"/>
              <w:bottom w:w="0" w:type="dxa"/>
              <w:right w:w="85" w:type="dxa"/>
            </w:tcMar>
          </w:tcPr>
          <w:p w14:paraId="045987F4" w14:textId="77777777" w:rsidR="00BB3E1E" w:rsidRPr="00E25851" w:rsidRDefault="00BB3E1E" w:rsidP="00B05614">
            <w:pPr>
              <w:pStyle w:val="TableText"/>
              <w:rPr>
                <w:rFonts w:cs="Calibri"/>
                <w:szCs w:val="16"/>
              </w:rPr>
            </w:pPr>
            <w:r w:rsidRPr="00E25851" w:rsidDel="005F18EC">
              <w:rPr>
                <w:rFonts w:cs="Calibri"/>
                <w:szCs w:val="16"/>
              </w:rPr>
              <w:t>Venting – Gas</w:t>
            </w:r>
          </w:p>
        </w:tc>
        <w:tc>
          <w:tcPr>
            <w:tcW w:w="567" w:type="dxa"/>
            <w:shd w:val="clear" w:color="auto" w:fill="auto"/>
            <w:tcMar>
              <w:top w:w="0" w:type="dxa"/>
              <w:left w:w="85" w:type="dxa"/>
              <w:bottom w:w="0" w:type="dxa"/>
              <w:right w:w="85" w:type="dxa"/>
            </w:tcMar>
          </w:tcPr>
          <w:p w14:paraId="79C14167"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05F6FB3E" w14:textId="77777777" w:rsidR="00BB3E1E" w:rsidRPr="00E25851" w:rsidRDefault="00BB3E1E" w:rsidP="00B05614">
            <w:pPr>
              <w:pStyle w:val="TableText"/>
              <w:jc w:val="right"/>
              <w:rPr>
                <w:rFonts w:cs="Calibri"/>
                <w:szCs w:val="16"/>
              </w:rPr>
            </w:pPr>
            <w:r w:rsidRPr="00E25851" w:rsidDel="005F18EC">
              <w:rPr>
                <w:rFonts w:cs="Calibri"/>
                <w:szCs w:val="16"/>
              </w:rPr>
              <w:t>256.6</w:t>
            </w:r>
          </w:p>
        </w:tc>
        <w:tc>
          <w:tcPr>
            <w:tcW w:w="944" w:type="dxa"/>
            <w:shd w:val="clear" w:color="auto" w:fill="auto"/>
            <w:tcMar>
              <w:top w:w="0" w:type="dxa"/>
              <w:left w:w="85" w:type="dxa"/>
              <w:bottom w:w="0" w:type="dxa"/>
              <w:right w:w="85" w:type="dxa"/>
            </w:tcMar>
          </w:tcPr>
          <w:p w14:paraId="6F111F82" w14:textId="77777777" w:rsidR="00BB3E1E" w:rsidRPr="00E25851" w:rsidRDefault="00BB3E1E" w:rsidP="00B05614">
            <w:pPr>
              <w:pStyle w:val="TableText"/>
              <w:jc w:val="right"/>
              <w:rPr>
                <w:rFonts w:cs="Calibri"/>
                <w:szCs w:val="16"/>
              </w:rPr>
            </w:pPr>
            <w:r w:rsidRPr="00E25851" w:rsidDel="005F18EC">
              <w:rPr>
                <w:rFonts w:cs="Calibri"/>
                <w:szCs w:val="16"/>
              </w:rPr>
              <w:t>0.3</w:t>
            </w:r>
          </w:p>
        </w:tc>
        <w:tc>
          <w:tcPr>
            <w:tcW w:w="926" w:type="dxa"/>
            <w:shd w:val="clear" w:color="auto" w:fill="auto"/>
            <w:tcMar>
              <w:top w:w="0" w:type="dxa"/>
              <w:left w:w="85" w:type="dxa"/>
              <w:bottom w:w="0" w:type="dxa"/>
              <w:right w:w="85" w:type="dxa"/>
            </w:tcMar>
          </w:tcPr>
          <w:p w14:paraId="7EF2C1F2" w14:textId="77777777" w:rsidR="00BB3E1E" w:rsidRPr="00E25851" w:rsidRDefault="00BB3E1E" w:rsidP="00B05614">
            <w:pPr>
              <w:pStyle w:val="TableText"/>
              <w:jc w:val="right"/>
              <w:rPr>
                <w:rFonts w:cs="Calibri"/>
                <w:szCs w:val="16"/>
              </w:rPr>
            </w:pPr>
            <w:r w:rsidRPr="00E25851" w:rsidDel="005F18EC">
              <w:rPr>
                <w:rFonts w:cs="Calibri"/>
                <w:szCs w:val="16"/>
              </w:rPr>
              <w:t>94.3</w:t>
            </w:r>
          </w:p>
        </w:tc>
      </w:tr>
      <w:tr w:rsidR="00BB3E1E" w:rsidRPr="00E25851" w14:paraId="25E1A21B" w14:textId="77777777" w:rsidTr="00BB1EAB">
        <w:trPr>
          <w:cantSplit/>
          <w:trHeight w:val="283"/>
        </w:trPr>
        <w:tc>
          <w:tcPr>
            <w:tcW w:w="0" w:type="auto"/>
            <w:shd w:val="clear" w:color="auto" w:fill="auto"/>
            <w:tcMar>
              <w:top w:w="0" w:type="dxa"/>
              <w:left w:w="85" w:type="dxa"/>
              <w:bottom w:w="0" w:type="dxa"/>
              <w:right w:w="85" w:type="dxa"/>
            </w:tcMar>
          </w:tcPr>
          <w:p w14:paraId="320877EB" w14:textId="77777777" w:rsidR="00BB3E1E" w:rsidRPr="00E25851" w:rsidRDefault="00BB3E1E" w:rsidP="00B05614">
            <w:pPr>
              <w:pStyle w:val="TableText"/>
              <w:rPr>
                <w:rFonts w:cs="Calibri"/>
                <w:szCs w:val="16"/>
              </w:rPr>
            </w:pPr>
            <w:r w:rsidRPr="00E25851" w:rsidDel="005F18EC">
              <w:rPr>
                <w:rFonts w:cs="Calibri"/>
                <w:szCs w:val="16"/>
              </w:rPr>
              <w:t>1.A.2.e</w:t>
            </w:r>
          </w:p>
        </w:tc>
        <w:tc>
          <w:tcPr>
            <w:tcW w:w="3503" w:type="dxa"/>
            <w:shd w:val="clear" w:color="auto" w:fill="auto"/>
            <w:tcMar>
              <w:top w:w="0" w:type="dxa"/>
              <w:left w:w="85" w:type="dxa"/>
              <w:bottom w:w="0" w:type="dxa"/>
              <w:right w:w="85" w:type="dxa"/>
            </w:tcMar>
          </w:tcPr>
          <w:p w14:paraId="09ED50EF" w14:textId="77777777" w:rsidR="00BB3E1E" w:rsidRPr="00E25851" w:rsidRDefault="00BB3E1E" w:rsidP="00B05614">
            <w:pPr>
              <w:pStyle w:val="TableText"/>
              <w:rPr>
                <w:rFonts w:cs="Calibri"/>
                <w:szCs w:val="16"/>
              </w:rPr>
            </w:pPr>
            <w:r w:rsidRPr="00E25851" w:rsidDel="005F18EC">
              <w:rPr>
                <w:rFonts w:cs="Calibri"/>
                <w:szCs w:val="16"/>
              </w:rPr>
              <w:t>Manufacturing Industries and Construction – Food Processing, Beverages and Tobacco Liquid Fuels</w:t>
            </w:r>
          </w:p>
        </w:tc>
        <w:tc>
          <w:tcPr>
            <w:tcW w:w="567" w:type="dxa"/>
            <w:shd w:val="clear" w:color="auto" w:fill="auto"/>
            <w:tcMar>
              <w:top w:w="0" w:type="dxa"/>
              <w:left w:w="85" w:type="dxa"/>
              <w:bottom w:w="0" w:type="dxa"/>
              <w:right w:w="85" w:type="dxa"/>
            </w:tcMar>
          </w:tcPr>
          <w:p w14:paraId="70469D24"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60075062" w14:textId="77777777" w:rsidR="00BB3E1E" w:rsidRPr="00E25851" w:rsidRDefault="00BB3E1E" w:rsidP="00B05614">
            <w:pPr>
              <w:pStyle w:val="TableText"/>
              <w:jc w:val="right"/>
              <w:rPr>
                <w:rFonts w:cs="Calibri"/>
                <w:szCs w:val="16"/>
              </w:rPr>
            </w:pPr>
            <w:r w:rsidRPr="00E25851" w:rsidDel="005F18EC">
              <w:rPr>
                <w:rFonts w:cs="Calibri"/>
                <w:szCs w:val="16"/>
              </w:rPr>
              <w:t>255.9</w:t>
            </w:r>
          </w:p>
        </w:tc>
        <w:tc>
          <w:tcPr>
            <w:tcW w:w="944" w:type="dxa"/>
            <w:shd w:val="clear" w:color="auto" w:fill="auto"/>
            <w:tcMar>
              <w:top w:w="0" w:type="dxa"/>
              <w:left w:w="85" w:type="dxa"/>
              <w:bottom w:w="0" w:type="dxa"/>
              <w:right w:w="85" w:type="dxa"/>
            </w:tcMar>
          </w:tcPr>
          <w:p w14:paraId="13A3A56F" w14:textId="77777777" w:rsidR="00BB3E1E" w:rsidRPr="00E25851" w:rsidRDefault="00BB3E1E" w:rsidP="00B05614">
            <w:pPr>
              <w:pStyle w:val="TableText"/>
              <w:jc w:val="right"/>
              <w:rPr>
                <w:rFonts w:cs="Calibri"/>
                <w:szCs w:val="16"/>
              </w:rPr>
            </w:pPr>
            <w:r w:rsidRPr="00E25851" w:rsidDel="005F18EC">
              <w:rPr>
                <w:rFonts w:cs="Calibri"/>
                <w:szCs w:val="16"/>
              </w:rPr>
              <w:t>0.3</w:t>
            </w:r>
          </w:p>
        </w:tc>
        <w:tc>
          <w:tcPr>
            <w:tcW w:w="926" w:type="dxa"/>
            <w:shd w:val="clear" w:color="auto" w:fill="auto"/>
            <w:tcMar>
              <w:top w:w="0" w:type="dxa"/>
              <w:left w:w="85" w:type="dxa"/>
              <w:bottom w:w="0" w:type="dxa"/>
              <w:right w:w="85" w:type="dxa"/>
            </w:tcMar>
          </w:tcPr>
          <w:p w14:paraId="080E4109" w14:textId="77777777" w:rsidR="00BB3E1E" w:rsidRPr="00E25851" w:rsidRDefault="00BB3E1E" w:rsidP="00B05614">
            <w:pPr>
              <w:pStyle w:val="TableText"/>
              <w:jc w:val="right"/>
              <w:rPr>
                <w:rFonts w:cs="Calibri"/>
                <w:szCs w:val="16"/>
              </w:rPr>
            </w:pPr>
            <w:r w:rsidRPr="00E25851" w:rsidDel="005F18EC">
              <w:rPr>
                <w:rFonts w:cs="Calibri"/>
                <w:szCs w:val="16"/>
              </w:rPr>
              <w:t>94.6</w:t>
            </w:r>
          </w:p>
        </w:tc>
      </w:tr>
      <w:tr w:rsidR="00BB3E1E" w:rsidRPr="00E25851" w14:paraId="155C8ED0" w14:textId="77777777" w:rsidTr="00BB1EAB">
        <w:trPr>
          <w:cantSplit/>
          <w:trHeight w:val="283"/>
        </w:trPr>
        <w:tc>
          <w:tcPr>
            <w:tcW w:w="0" w:type="auto"/>
            <w:shd w:val="clear" w:color="auto" w:fill="auto"/>
            <w:tcMar>
              <w:top w:w="0" w:type="dxa"/>
              <w:left w:w="85" w:type="dxa"/>
              <w:bottom w:w="0" w:type="dxa"/>
              <w:right w:w="85" w:type="dxa"/>
            </w:tcMar>
          </w:tcPr>
          <w:p w14:paraId="5C14A340" w14:textId="77777777" w:rsidR="00BB3E1E" w:rsidRPr="00E25851" w:rsidRDefault="00BB3E1E" w:rsidP="00B05614">
            <w:pPr>
              <w:pStyle w:val="TableText"/>
              <w:rPr>
                <w:rFonts w:cs="Calibri"/>
                <w:szCs w:val="16"/>
              </w:rPr>
            </w:pPr>
            <w:r w:rsidRPr="00E25851" w:rsidDel="005F18EC">
              <w:rPr>
                <w:rFonts w:cs="Calibri"/>
                <w:szCs w:val="16"/>
              </w:rPr>
              <w:t>1.A.2.g.viii</w:t>
            </w:r>
          </w:p>
        </w:tc>
        <w:tc>
          <w:tcPr>
            <w:tcW w:w="3503" w:type="dxa"/>
            <w:shd w:val="clear" w:color="auto" w:fill="auto"/>
            <w:tcMar>
              <w:top w:w="0" w:type="dxa"/>
              <w:left w:w="85" w:type="dxa"/>
              <w:bottom w:w="0" w:type="dxa"/>
              <w:right w:w="85" w:type="dxa"/>
            </w:tcMar>
          </w:tcPr>
          <w:p w14:paraId="1EC7A5FE" w14:textId="77777777" w:rsidR="00BB3E1E" w:rsidRPr="00E25851" w:rsidRDefault="00BB3E1E" w:rsidP="00B05614">
            <w:pPr>
              <w:pStyle w:val="TableText"/>
              <w:rPr>
                <w:rFonts w:cs="Calibri"/>
                <w:szCs w:val="16"/>
              </w:rPr>
            </w:pPr>
            <w:r w:rsidRPr="00E25851" w:rsidDel="005F18EC">
              <w:rPr>
                <w:rFonts w:cs="Calibri"/>
                <w:szCs w:val="16"/>
              </w:rPr>
              <w:t>Other (please specify) – Other (please specify) Liquid Fuels</w:t>
            </w:r>
          </w:p>
        </w:tc>
        <w:tc>
          <w:tcPr>
            <w:tcW w:w="567" w:type="dxa"/>
            <w:shd w:val="clear" w:color="auto" w:fill="auto"/>
            <w:tcMar>
              <w:top w:w="0" w:type="dxa"/>
              <w:left w:w="85" w:type="dxa"/>
              <w:bottom w:w="0" w:type="dxa"/>
              <w:right w:w="85" w:type="dxa"/>
            </w:tcMar>
          </w:tcPr>
          <w:p w14:paraId="6C37CFA5" w14:textId="77777777" w:rsidR="00BB3E1E" w:rsidRPr="00E25851" w:rsidRDefault="00BB3E1E" w:rsidP="00B05614">
            <w:pPr>
              <w:pStyle w:val="TableText"/>
              <w:rPr>
                <w:rFonts w:cs="Calibri"/>
                <w:szCs w:val="16"/>
              </w:rPr>
            </w:pPr>
            <w:r w:rsidRPr="00E25851" w:rsidDel="005F18EC">
              <w:rPr>
                <w:rFonts w:cs="Calibri"/>
                <w:szCs w:val="16"/>
              </w:rPr>
              <w:t>CO</w:t>
            </w:r>
            <w:r w:rsidRPr="00E25851" w:rsidDel="005F18EC">
              <w:rPr>
                <w:rFonts w:cs="Calibri"/>
                <w:szCs w:val="16"/>
                <w:vertAlign w:val="subscript"/>
              </w:rPr>
              <w:t>2</w:t>
            </w:r>
          </w:p>
        </w:tc>
        <w:tc>
          <w:tcPr>
            <w:tcW w:w="1560" w:type="dxa"/>
            <w:shd w:val="clear" w:color="auto" w:fill="auto"/>
            <w:tcMar>
              <w:top w:w="0" w:type="dxa"/>
              <w:left w:w="85" w:type="dxa"/>
              <w:bottom w:w="0" w:type="dxa"/>
              <w:right w:w="85" w:type="dxa"/>
            </w:tcMar>
          </w:tcPr>
          <w:p w14:paraId="3425ECFF" w14:textId="77777777" w:rsidR="00BB3E1E" w:rsidRPr="00E25851" w:rsidRDefault="00BB3E1E" w:rsidP="00B05614">
            <w:pPr>
              <w:pStyle w:val="TableText"/>
              <w:jc w:val="right"/>
              <w:rPr>
                <w:rFonts w:cs="Calibri"/>
                <w:szCs w:val="16"/>
              </w:rPr>
            </w:pPr>
            <w:r w:rsidRPr="00E25851" w:rsidDel="005F18EC">
              <w:rPr>
                <w:rFonts w:cs="Calibri"/>
                <w:szCs w:val="16"/>
              </w:rPr>
              <w:t>212.3</w:t>
            </w:r>
          </w:p>
        </w:tc>
        <w:tc>
          <w:tcPr>
            <w:tcW w:w="944" w:type="dxa"/>
            <w:shd w:val="clear" w:color="auto" w:fill="auto"/>
            <w:tcMar>
              <w:top w:w="0" w:type="dxa"/>
              <w:left w:w="85" w:type="dxa"/>
              <w:bottom w:w="0" w:type="dxa"/>
              <w:right w:w="85" w:type="dxa"/>
            </w:tcMar>
          </w:tcPr>
          <w:p w14:paraId="2E01B673" w14:textId="77777777" w:rsidR="00BB3E1E" w:rsidRPr="00E25851" w:rsidRDefault="00BB3E1E" w:rsidP="00B05614">
            <w:pPr>
              <w:pStyle w:val="TableText"/>
              <w:jc w:val="right"/>
              <w:rPr>
                <w:rFonts w:cs="Calibri"/>
                <w:szCs w:val="16"/>
              </w:rPr>
            </w:pPr>
            <w:r w:rsidRPr="00E25851" w:rsidDel="005F18EC">
              <w:rPr>
                <w:rFonts w:cs="Calibri"/>
                <w:szCs w:val="16"/>
              </w:rPr>
              <w:t>0.3</w:t>
            </w:r>
          </w:p>
        </w:tc>
        <w:tc>
          <w:tcPr>
            <w:tcW w:w="926" w:type="dxa"/>
            <w:shd w:val="clear" w:color="auto" w:fill="auto"/>
            <w:tcMar>
              <w:top w:w="0" w:type="dxa"/>
              <w:left w:w="85" w:type="dxa"/>
              <w:bottom w:w="0" w:type="dxa"/>
              <w:right w:w="85" w:type="dxa"/>
            </w:tcMar>
          </w:tcPr>
          <w:p w14:paraId="12C11C04" w14:textId="77777777" w:rsidR="00BB3E1E" w:rsidRPr="00E25851" w:rsidRDefault="00BB3E1E" w:rsidP="00B05614">
            <w:pPr>
              <w:pStyle w:val="TableText"/>
              <w:jc w:val="right"/>
              <w:rPr>
                <w:rFonts w:cs="Calibri"/>
                <w:szCs w:val="16"/>
              </w:rPr>
            </w:pPr>
            <w:r w:rsidRPr="00E25851" w:rsidDel="005F18EC">
              <w:rPr>
                <w:rFonts w:cs="Calibri"/>
                <w:szCs w:val="16"/>
              </w:rPr>
              <w:t>94.9</w:t>
            </w:r>
          </w:p>
        </w:tc>
      </w:tr>
      <w:tr w:rsidR="00BB3E1E" w:rsidRPr="00E25851" w14:paraId="56B8C879" w14:textId="77777777" w:rsidTr="00BB1EAB">
        <w:trPr>
          <w:cantSplit/>
          <w:trHeight w:val="283"/>
        </w:trPr>
        <w:tc>
          <w:tcPr>
            <w:tcW w:w="0" w:type="auto"/>
            <w:shd w:val="clear" w:color="auto" w:fill="auto"/>
            <w:tcMar>
              <w:top w:w="0" w:type="dxa"/>
              <w:left w:w="85" w:type="dxa"/>
              <w:bottom w:w="0" w:type="dxa"/>
              <w:right w:w="85" w:type="dxa"/>
            </w:tcMar>
          </w:tcPr>
          <w:p w14:paraId="1ADF6E5F" w14:textId="77777777" w:rsidR="00BB3E1E" w:rsidRPr="00E25851" w:rsidRDefault="00BB3E1E" w:rsidP="00B05614">
            <w:pPr>
              <w:pStyle w:val="TableText"/>
              <w:rPr>
                <w:rFonts w:cs="Calibri"/>
                <w:szCs w:val="16"/>
              </w:rPr>
            </w:pPr>
            <w:r w:rsidRPr="00E25851" w:rsidDel="005F18EC">
              <w:rPr>
                <w:rFonts w:cs="Calibri"/>
                <w:szCs w:val="16"/>
              </w:rPr>
              <w:t>1.B.2.b.5</w:t>
            </w:r>
          </w:p>
        </w:tc>
        <w:tc>
          <w:tcPr>
            <w:tcW w:w="3503" w:type="dxa"/>
            <w:shd w:val="clear" w:color="auto" w:fill="auto"/>
            <w:tcMar>
              <w:top w:w="0" w:type="dxa"/>
              <w:left w:w="85" w:type="dxa"/>
              <w:bottom w:w="0" w:type="dxa"/>
              <w:right w:w="85" w:type="dxa"/>
            </w:tcMar>
          </w:tcPr>
          <w:p w14:paraId="0899FDD2" w14:textId="77777777" w:rsidR="00BB3E1E" w:rsidRPr="00E25851" w:rsidRDefault="00BB3E1E" w:rsidP="00B05614">
            <w:pPr>
              <w:pStyle w:val="TableText"/>
              <w:rPr>
                <w:rFonts w:cs="Calibri"/>
                <w:szCs w:val="16"/>
              </w:rPr>
            </w:pPr>
            <w:r w:rsidRPr="00E25851" w:rsidDel="005F18EC">
              <w:rPr>
                <w:rFonts w:cs="Calibri"/>
                <w:szCs w:val="16"/>
              </w:rPr>
              <w:t>Natural Gas – Distribution</w:t>
            </w:r>
          </w:p>
        </w:tc>
        <w:tc>
          <w:tcPr>
            <w:tcW w:w="567" w:type="dxa"/>
            <w:shd w:val="clear" w:color="auto" w:fill="auto"/>
            <w:tcMar>
              <w:top w:w="0" w:type="dxa"/>
              <w:left w:w="85" w:type="dxa"/>
              <w:bottom w:w="0" w:type="dxa"/>
              <w:right w:w="85" w:type="dxa"/>
            </w:tcMar>
          </w:tcPr>
          <w:p w14:paraId="16AB0376" w14:textId="77777777" w:rsidR="00BB3E1E" w:rsidRPr="00E25851" w:rsidRDefault="00BB3E1E" w:rsidP="00B05614">
            <w:pPr>
              <w:pStyle w:val="TableText"/>
              <w:rPr>
                <w:rFonts w:cs="Calibri"/>
                <w:szCs w:val="16"/>
              </w:rPr>
            </w:pPr>
            <w:r w:rsidRPr="00E25851" w:rsidDel="005F18EC">
              <w:rPr>
                <w:rFonts w:cs="Calibri"/>
                <w:szCs w:val="16"/>
              </w:rPr>
              <w:t>CH</w:t>
            </w:r>
            <w:r w:rsidRPr="00E25851" w:rsidDel="005F18EC">
              <w:rPr>
                <w:rFonts w:cs="Calibri"/>
                <w:szCs w:val="16"/>
                <w:vertAlign w:val="subscript"/>
              </w:rPr>
              <w:t>4</w:t>
            </w:r>
          </w:p>
        </w:tc>
        <w:tc>
          <w:tcPr>
            <w:tcW w:w="1560" w:type="dxa"/>
            <w:shd w:val="clear" w:color="auto" w:fill="auto"/>
            <w:tcMar>
              <w:top w:w="0" w:type="dxa"/>
              <w:left w:w="85" w:type="dxa"/>
              <w:bottom w:w="0" w:type="dxa"/>
              <w:right w:w="85" w:type="dxa"/>
            </w:tcMar>
          </w:tcPr>
          <w:p w14:paraId="39B072C0" w14:textId="77777777" w:rsidR="00BB3E1E" w:rsidRPr="00E25851" w:rsidRDefault="00BB3E1E" w:rsidP="00B05614">
            <w:pPr>
              <w:pStyle w:val="TableText"/>
              <w:jc w:val="right"/>
              <w:rPr>
                <w:rFonts w:cs="Calibri"/>
                <w:szCs w:val="16"/>
              </w:rPr>
            </w:pPr>
            <w:r w:rsidRPr="00E25851" w:rsidDel="005F18EC">
              <w:rPr>
                <w:rFonts w:cs="Calibri"/>
                <w:szCs w:val="16"/>
              </w:rPr>
              <w:t>192.2</w:t>
            </w:r>
          </w:p>
        </w:tc>
        <w:tc>
          <w:tcPr>
            <w:tcW w:w="944" w:type="dxa"/>
            <w:shd w:val="clear" w:color="auto" w:fill="auto"/>
            <w:tcMar>
              <w:top w:w="0" w:type="dxa"/>
              <w:left w:w="85" w:type="dxa"/>
              <w:bottom w:w="0" w:type="dxa"/>
              <w:right w:w="85" w:type="dxa"/>
            </w:tcMar>
          </w:tcPr>
          <w:p w14:paraId="412F0206" w14:textId="77777777" w:rsidR="00BB3E1E" w:rsidRPr="00E25851" w:rsidRDefault="00BB3E1E" w:rsidP="00B05614">
            <w:pPr>
              <w:pStyle w:val="TableText"/>
              <w:jc w:val="right"/>
              <w:rPr>
                <w:rFonts w:cs="Calibri"/>
                <w:szCs w:val="16"/>
              </w:rPr>
            </w:pPr>
            <w:r w:rsidRPr="00E25851" w:rsidDel="005F18EC">
              <w:rPr>
                <w:rFonts w:cs="Calibri"/>
                <w:szCs w:val="16"/>
              </w:rPr>
              <w:t>0.2</w:t>
            </w:r>
          </w:p>
        </w:tc>
        <w:tc>
          <w:tcPr>
            <w:tcW w:w="926" w:type="dxa"/>
            <w:shd w:val="clear" w:color="auto" w:fill="auto"/>
            <w:tcMar>
              <w:top w:w="0" w:type="dxa"/>
              <w:left w:w="85" w:type="dxa"/>
              <w:bottom w:w="0" w:type="dxa"/>
              <w:right w:w="85" w:type="dxa"/>
            </w:tcMar>
          </w:tcPr>
          <w:p w14:paraId="436D6497" w14:textId="77777777" w:rsidR="00BB3E1E" w:rsidRPr="00E25851" w:rsidRDefault="00BB3E1E" w:rsidP="00B05614">
            <w:pPr>
              <w:pStyle w:val="TableText"/>
              <w:jc w:val="right"/>
              <w:rPr>
                <w:rFonts w:cs="Calibri"/>
                <w:szCs w:val="16"/>
              </w:rPr>
            </w:pPr>
            <w:r w:rsidRPr="00E25851" w:rsidDel="005F18EC">
              <w:rPr>
                <w:rFonts w:cs="Calibri"/>
                <w:szCs w:val="16"/>
              </w:rPr>
              <w:t>95.1</w:t>
            </w:r>
          </w:p>
        </w:tc>
      </w:tr>
    </w:tbl>
    <w:p w14:paraId="09EFBF13" w14:textId="77777777" w:rsidR="00BB3E1E" w:rsidRDefault="00BB3E1E" w:rsidP="00BB1EAB">
      <w:pPr>
        <w:pStyle w:val="BodyText"/>
        <w:spacing w:before="0" w:after="0"/>
      </w:pPr>
    </w:p>
    <w:p w14:paraId="4D81EBB5" w14:textId="653CB33A" w:rsidR="00BB3E1E" w:rsidRPr="00241762" w:rsidRDefault="00BB3E1E" w:rsidP="00BB1EAB">
      <w:pPr>
        <w:pStyle w:val="Table"/>
        <w:ind w:left="1418" w:hanging="1418"/>
      </w:pPr>
      <w:bookmarkStart w:id="90" w:name="_Toc99659206"/>
      <w:r w:rsidRPr="00241762">
        <w:t xml:space="preserve">Table 1.5.3(a &amp; b) </w:t>
      </w:r>
      <w:r>
        <w:tab/>
      </w:r>
      <w:r w:rsidRPr="00241762">
        <w:rPr>
          <w:bCs/>
        </w:rPr>
        <w:t>1990</w:t>
      </w:r>
      <w:r w:rsidRPr="00241762">
        <w:t>–</w:t>
      </w:r>
      <w:r w:rsidRPr="00241762">
        <w:rPr>
          <w:bCs/>
        </w:rPr>
        <w:t>2020</w:t>
      </w:r>
      <w:r w:rsidRPr="00241762">
        <w:t xml:space="preserve"> trend assessment for New Zealand’s key category analysis including LULUCF (a)</w:t>
      </w:r>
      <w:r w:rsidR="00BB1EAB">
        <w:t xml:space="preserve"> </w:t>
      </w:r>
      <w:r w:rsidRPr="00241762">
        <w:t>and</w:t>
      </w:r>
      <w:r w:rsidR="00BB1EAB">
        <w:t> </w:t>
      </w:r>
      <w:r w:rsidRPr="00241762">
        <w:t>excluding LULUCF (b)</w:t>
      </w:r>
      <w:bookmarkEnd w:id="90"/>
    </w:p>
    <w:p w14:paraId="0C3C5440" w14:textId="77777777" w:rsidR="00BB3E1E" w:rsidRPr="00241762" w:rsidRDefault="00BB3E1E" w:rsidP="00BB3E1E">
      <w:pPr>
        <w:pStyle w:val="TableTextBold"/>
        <w:keepNext/>
      </w:pPr>
      <w:r>
        <w:t xml:space="preserve">(a) </w:t>
      </w:r>
      <w:r w:rsidRPr="00241762">
        <w:t>IPCC Tier 1 category trend assessment – including LULUCF (net emissions)</w:t>
      </w:r>
    </w:p>
    <w:tbl>
      <w:tblPr>
        <w:tblW w:w="8505" w:type="dxa"/>
        <w:tblInd w:w="113"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872"/>
        <w:gridCol w:w="2238"/>
        <w:gridCol w:w="492"/>
        <w:gridCol w:w="953"/>
        <w:gridCol w:w="953"/>
        <w:gridCol w:w="958"/>
        <w:gridCol w:w="1070"/>
        <w:gridCol w:w="969"/>
      </w:tblGrid>
      <w:tr w:rsidR="00BB3E1E" w:rsidRPr="00BB3E1E" w14:paraId="03A6404D" w14:textId="77777777" w:rsidTr="00B05614">
        <w:trPr>
          <w:cantSplit/>
          <w:tblHeader/>
        </w:trPr>
        <w:tc>
          <w:tcPr>
            <w:tcW w:w="0" w:type="auto"/>
            <w:shd w:val="clear" w:color="auto" w:fill="1B556B"/>
            <w:tcMar>
              <w:top w:w="0" w:type="dxa"/>
              <w:left w:w="85" w:type="dxa"/>
              <w:bottom w:w="0" w:type="dxa"/>
              <w:right w:w="85" w:type="dxa"/>
            </w:tcMar>
            <w:vAlign w:val="bottom"/>
          </w:tcPr>
          <w:p w14:paraId="0178D865" w14:textId="77777777" w:rsidR="00BB3E1E" w:rsidRPr="00BB3E1E" w:rsidRDefault="00BB3E1E" w:rsidP="00B05614">
            <w:pPr>
              <w:pStyle w:val="TableTextBold"/>
              <w:rPr>
                <w:color w:val="FFFFFF"/>
              </w:rPr>
            </w:pPr>
            <w:r w:rsidRPr="00BB3E1E">
              <w:rPr>
                <w:rFonts w:eastAsia="Calibri"/>
                <w:color w:val="FFFFFF"/>
              </w:rPr>
              <w:t>CRF category code</w:t>
            </w:r>
          </w:p>
        </w:tc>
        <w:tc>
          <w:tcPr>
            <w:tcW w:w="0" w:type="auto"/>
            <w:shd w:val="clear" w:color="auto" w:fill="1B556B"/>
            <w:tcMar>
              <w:top w:w="0" w:type="dxa"/>
              <w:left w:w="85" w:type="dxa"/>
              <w:bottom w:w="0" w:type="dxa"/>
              <w:right w:w="85" w:type="dxa"/>
            </w:tcMar>
            <w:vAlign w:val="bottom"/>
          </w:tcPr>
          <w:p w14:paraId="14125690" w14:textId="77777777" w:rsidR="00BB3E1E" w:rsidRPr="00BB3E1E" w:rsidRDefault="00BB3E1E" w:rsidP="00B05614">
            <w:pPr>
              <w:pStyle w:val="TableTextBold"/>
              <w:rPr>
                <w:color w:val="FFFFFF"/>
              </w:rPr>
            </w:pPr>
            <w:r w:rsidRPr="00BB3E1E">
              <w:rPr>
                <w:rFonts w:eastAsia="Calibri"/>
                <w:color w:val="FFFFFF"/>
              </w:rPr>
              <w:t>IPCC category</w:t>
            </w:r>
          </w:p>
        </w:tc>
        <w:tc>
          <w:tcPr>
            <w:tcW w:w="0" w:type="auto"/>
            <w:shd w:val="clear" w:color="auto" w:fill="1B556B"/>
            <w:tcMar>
              <w:top w:w="0" w:type="dxa"/>
              <w:left w:w="85" w:type="dxa"/>
              <w:bottom w:w="0" w:type="dxa"/>
              <w:right w:w="85" w:type="dxa"/>
            </w:tcMar>
            <w:vAlign w:val="bottom"/>
          </w:tcPr>
          <w:p w14:paraId="1E8F8AD0" w14:textId="77777777" w:rsidR="00BB3E1E" w:rsidRPr="00BB3E1E" w:rsidRDefault="00BB3E1E" w:rsidP="00B05614">
            <w:pPr>
              <w:pStyle w:val="TableTextBold"/>
              <w:rPr>
                <w:color w:val="FFFFFF"/>
              </w:rPr>
            </w:pPr>
            <w:r w:rsidRPr="00BB3E1E">
              <w:rPr>
                <w:rFonts w:eastAsia="Calibri"/>
                <w:color w:val="FFFFFF"/>
              </w:rPr>
              <w:t>Gas</w:t>
            </w:r>
          </w:p>
        </w:tc>
        <w:tc>
          <w:tcPr>
            <w:tcW w:w="0" w:type="auto"/>
            <w:shd w:val="clear" w:color="auto" w:fill="1B556B"/>
            <w:tcMar>
              <w:top w:w="0" w:type="dxa"/>
              <w:left w:w="85" w:type="dxa"/>
              <w:bottom w:w="0" w:type="dxa"/>
              <w:right w:w="85" w:type="dxa"/>
            </w:tcMar>
            <w:vAlign w:val="bottom"/>
          </w:tcPr>
          <w:p w14:paraId="03CD0AE5" w14:textId="64B49F9F" w:rsidR="00BB3E1E" w:rsidRPr="00BB3E1E" w:rsidRDefault="00BB3E1E" w:rsidP="00B05614">
            <w:pPr>
              <w:pStyle w:val="TableTextBold"/>
              <w:jc w:val="right"/>
              <w:rPr>
                <w:color w:val="FFFFFF"/>
              </w:rPr>
            </w:pPr>
            <w:r w:rsidRPr="00BB3E1E">
              <w:rPr>
                <w:rFonts w:eastAsia="Calibri"/>
                <w:color w:val="FFFFFF"/>
              </w:rPr>
              <w:t xml:space="preserve">1990 estimate </w:t>
            </w:r>
            <w:r w:rsidR="00BB1EAB">
              <w:rPr>
                <w:rFonts w:eastAsia="Calibri"/>
                <w:color w:val="FFFFFF"/>
              </w:rPr>
              <w:br/>
            </w:r>
            <w:r w:rsidRPr="00BB3E1E">
              <w:rPr>
                <w:rFonts w:eastAsia="Calibri"/>
                <w:color w:val="FFFFFF"/>
              </w:rPr>
              <w:t>(kt CO</w:t>
            </w:r>
            <w:r w:rsidRPr="00BB3E1E">
              <w:rPr>
                <w:rFonts w:eastAsia="Calibri"/>
                <w:color w:val="FFFFFF"/>
                <w:vertAlign w:val="subscript"/>
              </w:rPr>
              <w:t>2</w:t>
            </w:r>
            <w:r w:rsidRPr="00BB3E1E">
              <w:rPr>
                <w:rFonts w:eastAsia="Calibri"/>
                <w:color w:val="FFFFFF"/>
              </w:rPr>
              <w:t>-equivalent)</w:t>
            </w:r>
          </w:p>
        </w:tc>
        <w:tc>
          <w:tcPr>
            <w:tcW w:w="0" w:type="auto"/>
            <w:shd w:val="clear" w:color="auto" w:fill="1B556B"/>
            <w:tcMar>
              <w:top w:w="0" w:type="dxa"/>
              <w:left w:w="85" w:type="dxa"/>
              <w:bottom w:w="0" w:type="dxa"/>
              <w:right w:w="85" w:type="dxa"/>
            </w:tcMar>
            <w:vAlign w:val="bottom"/>
          </w:tcPr>
          <w:p w14:paraId="6C27AD4C" w14:textId="005C71A7" w:rsidR="00BB3E1E" w:rsidRPr="00BB3E1E" w:rsidRDefault="00BB3E1E" w:rsidP="00B05614">
            <w:pPr>
              <w:pStyle w:val="TableTextBold"/>
              <w:jc w:val="right"/>
              <w:rPr>
                <w:color w:val="FFFFFF"/>
              </w:rPr>
            </w:pPr>
            <w:r w:rsidRPr="00BB3E1E">
              <w:rPr>
                <w:rFonts w:eastAsia="Calibri"/>
                <w:color w:val="FFFFFF"/>
              </w:rPr>
              <w:t xml:space="preserve">2020 estimate </w:t>
            </w:r>
            <w:r w:rsidR="00BB1EAB">
              <w:rPr>
                <w:rFonts w:eastAsia="Calibri"/>
                <w:color w:val="FFFFFF"/>
              </w:rPr>
              <w:br/>
            </w:r>
            <w:r w:rsidRPr="00BB3E1E">
              <w:rPr>
                <w:rFonts w:eastAsia="Calibri"/>
                <w:color w:val="FFFFFF"/>
              </w:rPr>
              <w:t>(kt CO</w:t>
            </w:r>
            <w:r w:rsidRPr="00BB3E1E">
              <w:rPr>
                <w:rFonts w:eastAsia="Calibri"/>
                <w:color w:val="FFFFFF"/>
                <w:vertAlign w:val="subscript"/>
              </w:rPr>
              <w:t>2</w:t>
            </w:r>
            <w:r w:rsidRPr="00BB3E1E">
              <w:rPr>
                <w:rFonts w:eastAsia="Calibri"/>
                <w:color w:val="FFFFFF"/>
              </w:rPr>
              <w:t>-equivalent)</w:t>
            </w:r>
          </w:p>
        </w:tc>
        <w:tc>
          <w:tcPr>
            <w:tcW w:w="0" w:type="auto"/>
            <w:shd w:val="clear" w:color="auto" w:fill="1B556B"/>
            <w:tcMar>
              <w:top w:w="0" w:type="dxa"/>
              <w:left w:w="85" w:type="dxa"/>
              <w:bottom w:w="0" w:type="dxa"/>
              <w:right w:w="85" w:type="dxa"/>
            </w:tcMar>
            <w:vAlign w:val="bottom"/>
          </w:tcPr>
          <w:p w14:paraId="49302459" w14:textId="77777777" w:rsidR="00BB3E1E" w:rsidRPr="00BB3E1E" w:rsidRDefault="00BB3E1E" w:rsidP="00B05614">
            <w:pPr>
              <w:pStyle w:val="TableTextBold"/>
              <w:jc w:val="right"/>
              <w:rPr>
                <w:color w:val="FFFFFF"/>
              </w:rPr>
            </w:pPr>
            <w:r w:rsidRPr="00BB3E1E">
              <w:rPr>
                <w:rFonts w:eastAsia="Calibri"/>
                <w:color w:val="FFFFFF"/>
              </w:rPr>
              <w:t>Trend assessment</w:t>
            </w:r>
          </w:p>
        </w:tc>
        <w:tc>
          <w:tcPr>
            <w:tcW w:w="0" w:type="auto"/>
            <w:shd w:val="clear" w:color="auto" w:fill="1B556B"/>
            <w:tcMar>
              <w:top w:w="0" w:type="dxa"/>
              <w:left w:w="85" w:type="dxa"/>
              <w:bottom w:w="0" w:type="dxa"/>
              <w:right w:w="85" w:type="dxa"/>
            </w:tcMar>
            <w:vAlign w:val="bottom"/>
          </w:tcPr>
          <w:p w14:paraId="56EF4392" w14:textId="77777777" w:rsidR="00BB3E1E" w:rsidRPr="00BB3E1E" w:rsidRDefault="00BB3E1E" w:rsidP="00B05614">
            <w:pPr>
              <w:pStyle w:val="TableTextBold"/>
              <w:jc w:val="right"/>
              <w:rPr>
                <w:color w:val="FFFFFF"/>
              </w:rPr>
            </w:pPr>
            <w:r w:rsidRPr="00BB3E1E">
              <w:rPr>
                <w:rFonts w:eastAsia="Calibri"/>
                <w:color w:val="FFFFFF"/>
              </w:rPr>
              <w:t>Absolute contribution to trend (%)</w:t>
            </w:r>
          </w:p>
        </w:tc>
        <w:tc>
          <w:tcPr>
            <w:tcW w:w="0" w:type="auto"/>
            <w:shd w:val="clear" w:color="auto" w:fill="1B556B"/>
            <w:tcMar>
              <w:top w:w="0" w:type="dxa"/>
              <w:left w:w="85" w:type="dxa"/>
              <w:bottom w:w="0" w:type="dxa"/>
              <w:right w:w="85" w:type="dxa"/>
            </w:tcMar>
            <w:vAlign w:val="bottom"/>
          </w:tcPr>
          <w:p w14:paraId="34001EB1" w14:textId="77777777" w:rsidR="00BB3E1E" w:rsidRPr="00BB3E1E" w:rsidRDefault="00BB3E1E" w:rsidP="00B05614">
            <w:pPr>
              <w:pStyle w:val="TableTextBold"/>
              <w:jc w:val="right"/>
              <w:rPr>
                <w:color w:val="FFFFFF"/>
              </w:rPr>
            </w:pPr>
            <w:r w:rsidRPr="00BB3E1E">
              <w:rPr>
                <w:rFonts w:eastAsia="Calibri"/>
                <w:color w:val="FFFFFF"/>
              </w:rPr>
              <w:t>Absolute cumulative total (%)</w:t>
            </w:r>
          </w:p>
        </w:tc>
      </w:tr>
      <w:tr w:rsidR="00BB3E1E" w:rsidRPr="00076B94" w14:paraId="6587A73F" w14:textId="77777777" w:rsidTr="00B05614">
        <w:trPr>
          <w:cantSplit/>
          <w:trHeight w:val="283"/>
        </w:trPr>
        <w:tc>
          <w:tcPr>
            <w:tcW w:w="0" w:type="auto"/>
            <w:shd w:val="clear" w:color="auto" w:fill="FFFFFF"/>
            <w:tcMar>
              <w:top w:w="0" w:type="dxa"/>
              <w:left w:w="85" w:type="dxa"/>
              <w:bottom w:w="0" w:type="dxa"/>
              <w:right w:w="85" w:type="dxa"/>
            </w:tcMar>
          </w:tcPr>
          <w:p w14:paraId="1BFD6ED7" w14:textId="77777777" w:rsidR="00BB3E1E" w:rsidRPr="00076B94" w:rsidRDefault="00BB3E1E" w:rsidP="00B05614">
            <w:pPr>
              <w:pStyle w:val="TableText"/>
            </w:pPr>
            <w:r w:rsidRPr="00076B94" w:rsidDel="00C35CA4">
              <w:t>4.A.1</w:t>
            </w:r>
          </w:p>
        </w:tc>
        <w:tc>
          <w:tcPr>
            <w:tcW w:w="0" w:type="auto"/>
            <w:shd w:val="clear" w:color="auto" w:fill="FFFFFF"/>
            <w:tcMar>
              <w:top w:w="0" w:type="dxa"/>
              <w:left w:w="85" w:type="dxa"/>
              <w:bottom w:w="0" w:type="dxa"/>
              <w:right w:w="85" w:type="dxa"/>
            </w:tcMar>
          </w:tcPr>
          <w:p w14:paraId="6491EFAA" w14:textId="77777777" w:rsidR="00BB3E1E" w:rsidRPr="00076B94" w:rsidRDefault="00BB3E1E" w:rsidP="00B05614">
            <w:pPr>
              <w:pStyle w:val="TableText"/>
            </w:pPr>
            <w:r w:rsidRPr="00076B94">
              <w:t xml:space="preserve">Forest Land – Forest Land Remaining Forest </w:t>
            </w:r>
            <w:r w:rsidRPr="00076B94" w:rsidDel="00C35CA4">
              <w:t>Land</w:t>
            </w:r>
          </w:p>
        </w:tc>
        <w:tc>
          <w:tcPr>
            <w:tcW w:w="0" w:type="auto"/>
            <w:shd w:val="clear" w:color="auto" w:fill="FFFFFF"/>
            <w:tcMar>
              <w:top w:w="0" w:type="dxa"/>
              <w:left w:w="85" w:type="dxa"/>
              <w:bottom w:w="0" w:type="dxa"/>
              <w:right w:w="85" w:type="dxa"/>
            </w:tcMar>
          </w:tcPr>
          <w:p w14:paraId="4DA44A7D"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32CA6F4F" w14:textId="77777777" w:rsidR="00BB3E1E" w:rsidRPr="00076B94" w:rsidRDefault="00BB3E1E" w:rsidP="00B05614">
            <w:pPr>
              <w:pStyle w:val="TableText"/>
              <w:jc w:val="right"/>
            </w:pPr>
            <w:r w:rsidRPr="00076B94">
              <w:t>–1,965.5</w:t>
            </w:r>
          </w:p>
        </w:tc>
        <w:tc>
          <w:tcPr>
            <w:tcW w:w="0" w:type="auto"/>
            <w:shd w:val="clear" w:color="auto" w:fill="FFFFFF"/>
            <w:tcMar>
              <w:top w:w="0" w:type="dxa"/>
              <w:left w:w="85" w:type="dxa"/>
              <w:bottom w:w="0" w:type="dxa"/>
              <w:right w:w="85" w:type="dxa"/>
            </w:tcMar>
          </w:tcPr>
          <w:p w14:paraId="1B1CF1A2" w14:textId="77777777" w:rsidR="00BB3E1E" w:rsidRPr="00076B94" w:rsidRDefault="00BB3E1E" w:rsidP="00B05614">
            <w:pPr>
              <w:pStyle w:val="TableText"/>
              <w:jc w:val="right"/>
            </w:pPr>
            <w:r w:rsidRPr="00076B94">
              <w:t>–15,345.3</w:t>
            </w:r>
          </w:p>
        </w:tc>
        <w:tc>
          <w:tcPr>
            <w:tcW w:w="0" w:type="auto"/>
            <w:shd w:val="clear" w:color="auto" w:fill="FFFFFF"/>
            <w:tcMar>
              <w:top w:w="0" w:type="dxa"/>
              <w:left w:w="85" w:type="dxa"/>
              <w:bottom w:w="0" w:type="dxa"/>
              <w:right w:w="85" w:type="dxa"/>
            </w:tcMar>
          </w:tcPr>
          <w:p w14:paraId="406E95B7" w14:textId="77777777" w:rsidR="00BB3E1E" w:rsidRPr="00076B94" w:rsidRDefault="00BB3E1E" w:rsidP="00B05614">
            <w:pPr>
              <w:pStyle w:val="TableText"/>
              <w:jc w:val="right"/>
            </w:pPr>
            <w:r w:rsidRPr="00076B94">
              <w:t>0.155</w:t>
            </w:r>
          </w:p>
        </w:tc>
        <w:tc>
          <w:tcPr>
            <w:tcW w:w="0" w:type="auto"/>
            <w:shd w:val="clear" w:color="auto" w:fill="FFFFFF"/>
            <w:tcMar>
              <w:top w:w="0" w:type="dxa"/>
              <w:left w:w="85" w:type="dxa"/>
              <w:bottom w:w="0" w:type="dxa"/>
              <w:right w:w="85" w:type="dxa"/>
            </w:tcMar>
          </w:tcPr>
          <w:p w14:paraId="6D725A5B" w14:textId="77777777" w:rsidR="00BB3E1E" w:rsidRPr="00076B94" w:rsidRDefault="00BB3E1E" w:rsidP="00B05614">
            <w:pPr>
              <w:pStyle w:val="TableText"/>
              <w:jc w:val="right"/>
            </w:pPr>
            <w:r w:rsidRPr="00076B94">
              <w:t>19.0</w:t>
            </w:r>
          </w:p>
        </w:tc>
        <w:tc>
          <w:tcPr>
            <w:tcW w:w="0" w:type="auto"/>
            <w:shd w:val="clear" w:color="auto" w:fill="FFFFFF"/>
            <w:tcMar>
              <w:top w:w="0" w:type="dxa"/>
              <w:left w:w="85" w:type="dxa"/>
              <w:bottom w:w="0" w:type="dxa"/>
              <w:right w:w="85" w:type="dxa"/>
            </w:tcMar>
          </w:tcPr>
          <w:p w14:paraId="57013CD5" w14:textId="77777777" w:rsidR="00BB3E1E" w:rsidRPr="00076B94" w:rsidRDefault="00BB3E1E" w:rsidP="00B05614">
            <w:pPr>
              <w:pStyle w:val="TableText"/>
              <w:jc w:val="right"/>
            </w:pPr>
            <w:r w:rsidRPr="00076B94">
              <w:t>19.0</w:t>
            </w:r>
          </w:p>
        </w:tc>
      </w:tr>
      <w:tr w:rsidR="00BB3E1E" w:rsidRPr="00076B94" w14:paraId="7BA4BAAD" w14:textId="77777777" w:rsidTr="00B05614">
        <w:trPr>
          <w:cantSplit/>
          <w:trHeight w:val="283"/>
        </w:trPr>
        <w:tc>
          <w:tcPr>
            <w:tcW w:w="0" w:type="auto"/>
            <w:shd w:val="clear" w:color="auto" w:fill="FFFFFF"/>
            <w:tcMar>
              <w:top w:w="0" w:type="dxa"/>
              <w:left w:w="85" w:type="dxa"/>
              <w:bottom w:w="0" w:type="dxa"/>
              <w:right w:w="85" w:type="dxa"/>
            </w:tcMar>
          </w:tcPr>
          <w:p w14:paraId="2027FCFF" w14:textId="77777777" w:rsidR="00BB3E1E" w:rsidRPr="00076B94" w:rsidRDefault="00BB3E1E" w:rsidP="00B05614">
            <w:pPr>
              <w:pStyle w:val="TableText"/>
            </w:pPr>
            <w:r w:rsidRPr="00076B94" w:rsidDel="00C35CA4">
              <w:t>3.A.2</w:t>
            </w:r>
          </w:p>
        </w:tc>
        <w:tc>
          <w:tcPr>
            <w:tcW w:w="0" w:type="auto"/>
            <w:shd w:val="clear" w:color="auto" w:fill="FFFFFF"/>
            <w:tcMar>
              <w:top w:w="0" w:type="dxa"/>
              <w:left w:w="85" w:type="dxa"/>
              <w:bottom w:w="0" w:type="dxa"/>
              <w:right w:w="85" w:type="dxa"/>
            </w:tcMar>
          </w:tcPr>
          <w:p w14:paraId="392185B3" w14:textId="77777777" w:rsidR="00BB3E1E" w:rsidRPr="00076B94" w:rsidRDefault="00BB3E1E" w:rsidP="00B05614">
            <w:pPr>
              <w:pStyle w:val="TableText"/>
            </w:pPr>
            <w:r w:rsidRPr="00076B94">
              <w:t xml:space="preserve">Other (please specify) – </w:t>
            </w:r>
            <w:r w:rsidRPr="00076B94" w:rsidDel="00C35CA4">
              <w:t>Sheep</w:t>
            </w:r>
          </w:p>
        </w:tc>
        <w:tc>
          <w:tcPr>
            <w:tcW w:w="0" w:type="auto"/>
            <w:shd w:val="clear" w:color="auto" w:fill="FFFFFF"/>
            <w:tcMar>
              <w:top w:w="0" w:type="dxa"/>
              <w:left w:w="85" w:type="dxa"/>
              <w:bottom w:w="0" w:type="dxa"/>
              <w:right w:w="85" w:type="dxa"/>
            </w:tcMar>
          </w:tcPr>
          <w:p w14:paraId="5612ED4E" w14:textId="77777777" w:rsidR="00BB3E1E" w:rsidRPr="00076B94" w:rsidRDefault="00BB3E1E" w:rsidP="00B05614">
            <w:pPr>
              <w:pStyle w:val="TableText"/>
            </w:pPr>
            <w:r w:rsidRPr="00076B94" w:rsidDel="00C35CA4">
              <w:t>CH</w:t>
            </w:r>
            <w:r w:rsidRPr="00076B94" w:rsidDel="00C35CA4">
              <w:rPr>
                <w:vertAlign w:val="subscript"/>
              </w:rPr>
              <w:t>4</w:t>
            </w:r>
          </w:p>
        </w:tc>
        <w:tc>
          <w:tcPr>
            <w:tcW w:w="0" w:type="auto"/>
            <w:shd w:val="clear" w:color="auto" w:fill="FFFFFF"/>
            <w:tcMar>
              <w:top w:w="0" w:type="dxa"/>
              <w:left w:w="85" w:type="dxa"/>
              <w:bottom w:w="0" w:type="dxa"/>
              <w:right w:w="85" w:type="dxa"/>
            </w:tcMar>
          </w:tcPr>
          <w:p w14:paraId="2F26BBE7" w14:textId="77777777" w:rsidR="00BB3E1E" w:rsidRPr="00076B94" w:rsidRDefault="00BB3E1E" w:rsidP="00B05614">
            <w:pPr>
              <w:pStyle w:val="TableText"/>
              <w:jc w:val="right"/>
            </w:pPr>
            <w:r w:rsidRPr="00076B94">
              <w:t>14,557.9</w:t>
            </w:r>
          </w:p>
        </w:tc>
        <w:tc>
          <w:tcPr>
            <w:tcW w:w="0" w:type="auto"/>
            <w:shd w:val="clear" w:color="auto" w:fill="FFFFFF"/>
            <w:tcMar>
              <w:top w:w="0" w:type="dxa"/>
              <w:left w:w="85" w:type="dxa"/>
              <w:bottom w:w="0" w:type="dxa"/>
              <w:right w:w="85" w:type="dxa"/>
            </w:tcMar>
          </w:tcPr>
          <w:p w14:paraId="7C035C57" w14:textId="77777777" w:rsidR="00BB3E1E" w:rsidRPr="00076B94" w:rsidRDefault="00BB3E1E" w:rsidP="00B05614">
            <w:pPr>
              <w:pStyle w:val="TableText"/>
              <w:jc w:val="right"/>
            </w:pPr>
            <w:r w:rsidRPr="00076B94">
              <w:t>8,271.2</w:t>
            </w:r>
          </w:p>
        </w:tc>
        <w:tc>
          <w:tcPr>
            <w:tcW w:w="0" w:type="auto"/>
            <w:shd w:val="clear" w:color="auto" w:fill="FFFFFF"/>
            <w:tcMar>
              <w:top w:w="0" w:type="dxa"/>
              <w:left w:w="85" w:type="dxa"/>
              <w:bottom w:w="0" w:type="dxa"/>
              <w:right w:w="85" w:type="dxa"/>
            </w:tcMar>
          </w:tcPr>
          <w:p w14:paraId="27FA6420" w14:textId="77777777" w:rsidR="00BB3E1E" w:rsidRPr="00076B94" w:rsidRDefault="00BB3E1E" w:rsidP="00B05614">
            <w:pPr>
              <w:pStyle w:val="TableText"/>
              <w:jc w:val="right"/>
            </w:pPr>
            <w:r w:rsidRPr="00076B94">
              <w:t>0.113</w:t>
            </w:r>
          </w:p>
        </w:tc>
        <w:tc>
          <w:tcPr>
            <w:tcW w:w="0" w:type="auto"/>
            <w:shd w:val="clear" w:color="auto" w:fill="FFFFFF"/>
            <w:tcMar>
              <w:top w:w="0" w:type="dxa"/>
              <w:left w:w="85" w:type="dxa"/>
              <w:bottom w:w="0" w:type="dxa"/>
              <w:right w:w="85" w:type="dxa"/>
            </w:tcMar>
          </w:tcPr>
          <w:p w14:paraId="4BDFF677" w14:textId="77777777" w:rsidR="00BB3E1E" w:rsidRPr="00076B94" w:rsidRDefault="00BB3E1E" w:rsidP="00B05614">
            <w:pPr>
              <w:pStyle w:val="TableText"/>
              <w:jc w:val="right"/>
            </w:pPr>
            <w:r w:rsidRPr="00076B94">
              <w:t>13.8</w:t>
            </w:r>
          </w:p>
        </w:tc>
        <w:tc>
          <w:tcPr>
            <w:tcW w:w="0" w:type="auto"/>
            <w:shd w:val="clear" w:color="auto" w:fill="FFFFFF"/>
            <w:tcMar>
              <w:top w:w="0" w:type="dxa"/>
              <w:left w:w="85" w:type="dxa"/>
              <w:bottom w:w="0" w:type="dxa"/>
              <w:right w:w="85" w:type="dxa"/>
            </w:tcMar>
          </w:tcPr>
          <w:p w14:paraId="69FF2113" w14:textId="77777777" w:rsidR="00BB3E1E" w:rsidRPr="00076B94" w:rsidRDefault="00BB3E1E" w:rsidP="00B05614">
            <w:pPr>
              <w:pStyle w:val="TableText"/>
              <w:jc w:val="right"/>
            </w:pPr>
            <w:r w:rsidRPr="00076B94">
              <w:t>32.9</w:t>
            </w:r>
          </w:p>
        </w:tc>
      </w:tr>
      <w:tr w:rsidR="00BB3E1E" w:rsidRPr="00076B94" w14:paraId="6DFD31F5" w14:textId="77777777" w:rsidTr="00B05614">
        <w:trPr>
          <w:cantSplit/>
          <w:trHeight w:val="283"/>
        </w:trPr>
        <w:tc>
          <w:tcPr>
            <w:tcW w:w="0" w:type="auto"/>
            <w:shd w:val="clear" w:color="auto" w:fill="FFFFFF"/>
            <w:tcMar>
              <w:top w:w="0" w:type="dxa"/>
              <w:left w:w="85" w:type="dxa"/>
              <w:bottom w:w="0" w:type="dxa"/>
              <w:right w:w="85" w:type="dxa"/>
            </w:tcMar>
          </w:tcPr>
          <w:p w14:paraId="799A8ACF" w14:textId="77777777" w:rsidR="00BB3E1E" w:rsidRPr="00076B94" w:rsidRDefault="00BB3E1E" w:rsidP="00B05614">
            <w:pPr>
              <w:pStyle w:val="TableText"/>
            </w:pPr>
            <w:r w:rsidRPr="00076B94" w:rsidDel="00C35CA4">
              <w:t>4.A.2</w:t>
            </w:r>
          </w:p>
        </w:tc>
        <w:tc>
          <w:tcPr>
            <w:tcW w:w="0" w:type="auto"/>
            <w:shd w:val="clear" w:color="auto" w:fill="FFFFFF"/>
            <w:tcMar>
              <w:top w:w="0" w:type="dxa"/>
              <w:left w:w="85" w:type="dxa"/>
              <w:bottom w:w="0" w:type="dxa"/>
              <w:right w:w="85" w:type="dxa"/>
            </w:tcMar>
          </w:tcPr>
          <w:p w14:paraId="38CC3317" w14:textId="77777777" w:rsidR="00BB3E1E" w:rsidRPr="00076B94" w:rsidRDefault="00BB3E1E" w:rsidP="00B05614">
            <w:pPr>
              <w:pStyle w:val="TableText"/>
            </w:pPr>
            <w:r w:rsidRPr="00076B94">
              <w:t xml:space="preserve">Forest Land – Land Converted to Forest </w:t>
            </w:r>
            <w:r w:rsidRPr="00076B94" w:rsidDel="00C35CA4">
              <w:t>Land</w:t>
            </w:r>
          </w:p>
        </w:tc>
        <w:tc>
          <w:tcPr>
            <w:tcW w:w="0" w:type="auto"/>
            <w:shd w:val="clear" w:color="auto" w:fill="FFFFFF"/>
            <w:tcMar>
              <w:top w:w="0" w:type="dxa"/>
              <w:left w:w="85" w:type="dxa"/>
              <w:bottom w:w="0" w:type="dxa"/>
              <w:right w:w="85" w:type="dxa"/>
            </w:tcMar>
          </w:tcPr>
          <w:p w14:paraId="0CD0D7FE"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42FAEE8F" w14:textId="77777777" w:rsidR="00BB3E1E" w:rsidRPr="00076B94" w:rsidRDefault="00BB3E1E" w:rsidP="00B05614">
            <w:pPr>
              <w:pStyle w:val="TableText"/>
              <w:jc w:val="right"/>
            </w:pPr>
            <w:r w:rsidRPr="00076B94">
              <w:t>–18,334.3</w:t>
            </w:r>
          </w:p>
        </w:tc>
        <w:tc>
          <w:tcPr>
            <w:tcW w:w="0" w:type="auto"/>
            <w:shd w:val="clear" w:color="auto" w:fill="FFFFFF"/>
            <w:tcMar>
              <w:top w:w="0" w:type="dxa"/>
              <w:left w:w="85" w:type="dxa"/>
              <w:bottom w:w="0" w:type="dxa"/>
              <w:right w:w="85" w:type="dxa"/>
            </w:tcMar>
          </w:tcPr>
          <w:p w14:paraId="2F9EC223" w14:textId="77777777" w:rsidR="00BB3E1E" w:rsidRPr="00076B94" w:rsidRDefault="00BB3E1E" w:rsidP="00B05614">
            <w:pPr>
              <w:pStyle w:val="TableText"/>
              <w:jc w:val="right"/>
            </w:pPr>
            <w:r w:rsidRPr="00076B94">
              <w:t>–4,638.0</w:t>
            </w:r>
          </w:p>
        </w:tc>
        <w:tc>
          <w:tcPr>
            <w:tcW w:w="0" w:type="auto"/>
            <w:shd w:val="clear" w:color="auto" w:fill="FFFFFF"/>
            <w:tcMar>
              <w:top w:w="0" w:type="dxa"/>
              <w:left w:w="85" w:type="dxa"/>
              <w:bottom w:w="0" w:type="dxa"/>
              <w:right w:w="85" w:type="dxa"/>
            </w:tcMar>
          </w:tcPr>
          <w:p w14:paraId="788A788D" w14:textId="77777777" w:rsidR="00BB3E1E" w:rsidRPr="00076B94" w:rsidRDefault="00BB3E1E" w:rsidP="00B05614">
            <w:pPr>
              <w:pStyle w:val="TableText"/>
              <w:jc w:val="right"/>
            </w:pPr>
            <w:r w:rsidRPr="00076B94">
              <w:t>0.099</w:t>
            </w:r>
          </w:p>
        </w:tc>
        <w:tc>
          <w:tcPr>
            <w:tcW w:w="0" w:type="auto"/>
            <w:shd w:val="clear" w:color="auto" w:fill="FFFFFF"/>
            <w:tcMar>
              <w:top w:w="0" w:type="dxa"/>
              <w:left w:w="85" w:type="dxa"/>
              <w:bottom w:w="0" w:type="dxa"/>
              <w:right w:w="85" w:type="dxa"/>
            </w:tcMar>
          </w:tcPr>
          <w:p w14:paraId="733FB022" w14:textId="77777777" w:rsidR="00BB3E1E" w:rsidRPr="00076B94" w:rsidRDefault="00BB3E1E" w:rsidP="00B05614">
            <w:pPr>
              <w:pStyle w:val="TableText"/>
              <w:jc w:val="right"/>
            </w:pPr>
            <w:r w:rsidRPr="00076B94">
              <w:t>12.2</w:t>
            </w:r>
          </w:p>
        </w:tc>
        <w:tc>
          <w:tcPr>
            <w:tcW w:w="0" w:type="auto"/>
            <w:shd w:val="clear" w:color="auto" w:fill="FFFFFF"/>
            <w:tcMar>
              <w:top w:w="0" w:type="dxa"/>
              <w:left w:w="85" w:type="dxa"/>
              <w:bottom w:w="0" w:type="dxa"/>
              <w:right w:w="85" w:type="dxa"/>
            </w:tcMar>
          </w:tcPr>
          <w:p w14:paraId="6D54EC61" w14:textId="77777777" w:rsidR="00BB3E1E" w:rsidRPr="00076B94" w:rsidRDefault="00BB3E1E" w:rsidP="00B05614">
            <w:pPr>
              <w:pStyle w:val="TableText"/>
              <w:jc w:val="right"/>
            </w:pPr>
            <w:r w:rsidRPr="00076B94">
              <w:t>45.1</w:t>
            </w:r>
          </w:p>
        </w:tc>
      </w:tr>
      <w:tr w:rsidR="00BB3E1E" w:rsidRPr="00076B94" w14:paraId="7C711355" w14:textId="77777777" w:rsidTr="00B05614">
        <w:trPr>
          <w:cantSplit/>
          <w:trHeight w:val="283"/>
        </w:trPr>
        <w:tc>
          <w:tcPr>
            <w:tcW w:w="0" w:type="auto"/>
            <w:shd w:val="clear" w:color="auto" w:fill="FFFFFF"/>
            <w:tcMar>
              <w:top w:w="0" w:type="dxa"/>
              <w:left w:w="85" w:type="dxa"/>
              <w:bottom w:w="0" w:type="dxa"/>
              <w:right w:w="85" w:type="dxa"/>
            </w:tcMar>
          </w:tcPr>
          <w:p w14:paraId="2572736D" w14:textId="77777777" w:rsidR="00BB3E1E" w:rsidRPr="00076B94" w:rsidRDefault="00BB3E1E" w:rsidP="00B05614">
            <w:pPr>
              <w:pStyle w:val="TableText"/>
            </w:pPr>
            <w:r w:rsidRPr="00076B94" w:rsidDel="00C35CA4">
              <w:t>3.A.1</w:t>
            </w:r>
          </w:p>
        </w:tc>
        <w:tc>
          <w:tcPr>
            <w:tcW w:w="0" w:type="auto"/>
            <w:shd w:val="clear" w:color="auto" w:fill="FFFFFF"/>
            <w:tcMar>
              <w:top w:w="0" w:type="dxa"/>
              <w:left w:w="85" w:type="dxa"/>
              <w:bottom w:w="0" w:type="dxa"/>
              <w:right w:w="85" w:type="dxa"/>
            </w:tcMar>
          </w:tcPr>
          <w:p w14:paraId="32C2D3F9" w14:textId="77777777" w:rsidR="00BB3E1E" w:rsidRPr="00076B94" w:rsidRDefault="00BB3E1E" w:rsidP="00B05614">
            <w:pPr>
              <w:pStyle w:val="TableText"/>
            </w:pPr>
            <w:r w:rsidRPr="00076B94">
              <w:t xml:space="preserve">Option A – Dairy </w:t>
            </w:r>
            <w:r w:rsidRPr="00076B94" w:rsidDel="00C35CA4">
              <w:t>Cattle</w:t>
            </w:r>
          </w:p>
        </w:tc>
        <w:tc>
          <w:tcPr>
            <w:tcW w:w="0" w:type="auto"/>
            <w:shd w:val="clear" w:color="auto" w:fill="FFFFFF"/>
            <w:tcMar>
              <w:top w:w="0" w:type="dxa"/>
              <w:left w:w="85" w:type="dxa"/>
              <w:bottom w:w="0" w:type="dxa"/>
              <w:right w:w="85" w:type="dxa"/>
            </w:tcMar>
          </w:tcPr>
          <w:p w14:paraId="774AB3D9" w14:textId="77777777" w:rsidR="00BB3E1E" w:rsidRPr="00076B94" w:rsidRDefault="00BB3E1E" w:rsidP="00B05614">
            <w:pPr>
              <w:pStyle w:val="TableText"/>
            </w:pPr>
            <w:r w:rsidRPr="00076B94" w:rsidDel="00C35CA4">
              <w:t>CH</w:t>
            </w:r>
            <w:r w:rsidRPr="00076B94" w:rsidDel="00C35CA4">
              <w:rPr>
                <w:vertAlign w:val="subscript"/>
              </w:rPr>
              <w:t>4</w:t>
            </w:r>
          </w:p>
        </w:tc>
        <w:tc>
          <w:tcPr>
            <w:tcW w:w="0" w:type="auto"/>
            <w:shd w:val="clear" w:color="auto" w:fill="FFFFFF"/>
            <w:tcMar>
              <w:top w:w="0" w:type="dxa"/>
              <w:left w:w="85" w:type="dxa"/>
              <w:bottom w:w="0" w:type="dxa"/>
              <w:right w:w="85" w:type="dxa"/>
            </w:tcMar>
          </w:tcPr>
          <w:p w14:paraId="07E2751C" w14:textId="77777777" w:rsidR="00BB3E1E" w:rsidRPr="00076B94" w:rsidRDefault="00BB3E1E" w:rsidP="00B05614">
            <w:pPr>
              <w:pStyle w:val="TableText"/>
              <w:jc w:val="right"/>
            </w:pPr>
            <w:r w:rsidRPr="00076B94">
              <w:t>6,147.3</w:t>
            </w:r>
          </w:p>
        </w:tc>
        <w:tc>
          <w:tcPr>
            <w:tcW w:w="0" w:type="auto"/>
            <w:shd w:val="clear" w:color="auto" w:fill="FFFFFF"/>
            <w:tcMar>
              <w:top w:w="0" w:type="dxa"/>
              <w:left w:w="85" w:type="dxa"/>
              <w:bottom w:w="0" w:type="dxa"/>
              <w:right w:w="85" w:type="dxa"/>
            </w:tcMar>
          </w:tcPr>
          <w:p w14:paraId="15B36E98" w14:textId="77777777" w:rsidR="00BB3E1E" w:rsidRPr="00076B94" w:rsidRDefault="00BB3E1E" w:rsidP="00B05614">
            <w:pPr>
              <w:pStyle w:val="TableText"/>
              <w:jc w:val="right"/>
            </w:pPr>
            <w:r w:rsidRPr="00076B94">
              <w:t>14,034.7</w:t>
            </w:r>
          </w:p>
        </w:tc>
        <w:tc>
          <w:tcPr>
            <w:tcW w:w="0" w:type="auto"/>
            <w:shd w:val="clear" w:color="auto" w:fill="FFFFFF"/>
            <w:tcMar>
              <w:top w:w="0" w:type="dxa"/>
              <w:left w:w="85" w:type="dxa"/>
              <w:bottom w:w="0" w:type="dxa"/>
              <w:right w:w="85" w:type="dxa"/>
            </w:tcMar>
          </w:tcPr>
          <w:p w14:paraId="1FA67245" w14:textId="77777777" w:rsidR="00BB3E1E" w:rsidRPr="00076B94" w:rsidRDefault="00BB3E1E" w:rsidP="00B05614">
            <w:pPr>
              <w:pStyle w:val="TableText"/>
              <w:jc w:val="right"/>
            </w:pPr>
            <w:r w:rsidRPr="00076B94">
              <w:t>0.070</w:t>
            </w:r>
          </w:p>
        </w:tc>
        <w:tc>
          <w:tcPr>
            <w:tcW w:w="0" w:type="auto"/>
            <w:shd w:val="clear" w:color="auto" w:fill="FFFFFF"/>
            <w:tcMar>
              <w:top w:w="0" w:type="dxa"/>
              <w:left w:w="85" w:type="dxa"/>
              <w:bottom w:w="0" w:type="dxa"/>
              <w:right w:w="85" w:type="dxa"/>
            </w:tcMar>
          </w:tcPr>
          <w:p w14:paraId="4F7A8B9F" w14:textId="77777777" w:rsidR="00BB3E1E" w:rsidRPr="00076B94" w:rsidRDefault="00BB3E1E" w:rsidP="00B05614">
            <w:pPr>
              <w:pStyle w:val="TableText"/>
              <w:jc w:val="right"/>
            </w:pPr>
            <w:r w:rsidRPr="00076B94">
              <w:t>8.6</w:t>
            </w:r>
          </w:p>
        </w:tc>
        <w:tc>
          <w:tcPr>
            <w:tcW w:w="0" w:type="auto"/>
            <w:shd w:val="clear" w:color="auto" w:fill="FFFFFF"/>
            <w:tcMar>
              <w:top w:w="0" w:type="dxa"/>
              <w:left w:w="85" w:type="dxa"/>
              <w:bottom w:w="0" w:type="dxa"/>
              <w:right w:w="85" w:type="dxa"/>
            </w:tcMar>
          </w:tcPr>
          <w:p w14:paraId="2B4B2256" w14:textId="77777777" w:rsidR="00BB3E1E" w:rsidRPr="00076B94" w:rsidRDefault="00BB3E1E" w:rsidP="00B05614">
            <w:pPr>
              <w:pStyle w:val="TableText"/>
              <w:jc w:val="right"/>
            </w:pPr>
            <w:r w:rsidRPr="00076B94">
              <w:t>53.7</w:t>
            </w:r>
          </w:p>
        </w:tc>
      </w:tr>
      <w:tr w:rsidR="00BB3E1E" w:rsidRPr="00076B94" w14:paraId="198CE0B3" w14:textId="77777777" w:rsidTr="00B05614">
        <w:trPr>
          <w:cantSplit/>
          <w:trHeight w:val="283"/>
        </w:trPr>
        <w:tc>
          <w:tcPr>
            <w:tcW w:w="0" w:type="auto"/>
            <w:shd w:val="clear" w:color="auto" w:fill="FFFFFF"/>
            <w:tcMar>
              <w:top w:w="0" w:type="dxa"/>
              <w:left w:w="85" w:type="dxa"/>
              <w:bottom w:w="0" w:type="dxa"/>
              <w:right w:w="85" w:type="dxa"/>
            </w:tcMar>
          </w:tcPr>
          <w:p w14:paraId="18FF98C5" w14:textId="77777777" w:rsidR="00BB3E1E" w:rsidRPr="00076B94" w:rsidRDefault="00BB3E1E" w:rsidP="00B05614">
            <w:pPr>
              <w:pStyle w:val="TableText"/>
            </w:pPr>
            <w:r w:rsidRPr="00076B94" w:rsidDel="00C35CA4">
              <w:t>4.G</w:t>
            </w:r>
          </w:p>
        </w:tc>
        <w:tc>
          <w:tcPr>
            <w:tcW w:w="0" w:type="auto"/>
            <w:shd w:val="clear" w:color="auto" w:fill="FFFFFF"/>
            <w:tcMar>
              <w:top w:w="0" w:type="dxa"/>
              <w:left w:w="85" w:type="dxa"/>
              <w:bottom w:w="0" w:type="dxa"/>
              <w:right w:w="85" w:type="dxa"/>
            </w:tcMar>
          </w:tcPr>
          <w:p w14:paraId="20947ED5" w14:textId="77777777" w:rsidR="00BB3E1E" w:rsidRPr="00076B94" w:rsidRDefault="00BB3E1E" w:rsidP="00B05614">
            <w:pPr>
              <w:pStyle w:val="TableText"/>
            </w:pPr>
            <w:r w:rsidRPr="00076B94">
              <w:t xml:space="preserve">Land Use, Land-Use Change and Forestry – Harvested Wood </w:t>
            </w:r>
            <w:r w:rsidRPr="00076B94" w:rsidDel="00C35CA4">
              <w:t>Products</w:t>
            </w:r>
          </w:p>
        </w:tc>
        <w:tc>
          <w:tcPr>
            <w:tcW w:w="0" w:type="auto"/>
            <w:shd w:val="clear" w:color="auto" w:fill="FFFFFF"/>
            <w:tcMar>
              <w:top w:w="0" w:type="dxa"/>
              <w:left w:w="85" w:type="dxa"/>
              <w:bottom w:w="0" w:type="dxa"/>
              <w:right w:w="85" w:type="dxa"/>
            </w:tcMar>
          </w:tcPr>
          <w:p w14:paraId="7BD26CDE"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52A78964" w14:textId="77777777" w:rsidR="00BB3E1E" w:rsidRPr="00076B94" w:rsidRDefault="00BB3E1E" w:rsidP="00B05614">
            <w:pPr>
              <w:pStyle w:val="TableText"/>
              <w:jc w:val="right"/>
            </w:pPr>
            <w:r w:rsidRPr="00076B94">
              <w:t>–2,481.2</w:t>
            </w:r>
          </w:p>
        </w:tc>
        <w:tc>
          <w:tcPr>
            <w:tcW w:w="0" w:type="auto"/>
            <w:shd w:val="clear" w:color="auto" w:fill="FFFFFF"/>
            <w:tcMar>
              <w:top w:w="0" w:type="dxa"/>
              <w:left w:w="85" w:type="dxa"/>
              <w:bottom w:w="0" w:type="dxa"/>
              <w:right w:w="85" w:type="dxa"/>
            </w:tcMar>
          </w:tcPr>
          <w:p w14:paraId="004EAE34" w14:textId="77777777" w:rsidR="00BB3E1E" w:rsidRPr="00076B94" w:rsidRDefault="00BB3E1E" w:rsidP="00B05614">
            <w:pPr>
              <w:pStyle w:val="TableText"/>
              <w:jc w:val="right"/>
            </w:pPr>
            <w:r w:rsidRPr="00076B94">
              <w:t>–6,834.6</w:t>
            </w:r>
          </w:p>
        </w:tc>
        <w:tc>
          <w:tcPr>
            <w:tcW w:w="0" w:type="auto"/>
            <w:shd w:val="clear" w:color="auto" w:fill="FFFFFF"/>
            <w:tcMar>
              <w:top w:w="0" w:type="dxa"/>
              <w:left w:w="85" w:type="dxa"/>
              <w:bottom w:w="0" w:type="dxa"/>
              <w:right w:w="85" w:type="dxa"/>
            </w:tcMar>
          </w:tcPr>
          <w:p w14:paraId="657DB171" w14:textId="77777777" w:rsidR="00BB3E1E" w:rsidRPr="00076B94" w:rsidRDefault="00BB3E1E" w:rsidP="00B05614">
            <w:pPr>
              <w:pStyle w:val="TableText"/>
              <w:jc w:val="right"/>
            </w:pPr>
            <w:r w:rsidRPr="00076B94">
              <w:t>0.056</w:t>
            </w:r>
          </w:p>
        </w:tc>
        <w:tc>
          <w:tcPr>
            <w:tcW w:w="0" w:type="auto"/>
            <w:shd w:val="clear" w:color="auto" w:fill="FFFFFF"/>
            <w:tcMar>
              <w:top w:w="0" w:type="dxa"/>
              <w:left w:w="85" w:type="dxa"/>
              <w:bottom w:w="0" w:type="dxa"/>
              <w:right w:w="85" w:type="dxa"/>
            </w:tcMar>
          </w:tcPr>
          <w:p w14:paraId="220D30DE" w14:textId="77777777" w:rsidR="00BB3E1E" w:rsidRPr="00076B94" w:rsidRDefault="00BB3E1E" w:rsidP="00B05614">
            <w:pPr>
              <w:pStyle w:val="TableText"/>
              <w:jc w:val="right"/>
            </w:pPr>
            <w:r w:rsidRPr="00076B94">
              <w:t>6.9</w:t>
            </w:r>
          </w:p>
        </w:tc>
        <w:tc>
          <w:tcPr>
            <w:tcW w:w="0" w:type="auto"/>
            <w:shd w:val="clear" w:color="auto" w:fill="FFFFFF"/>
            <w:tcMar>
              <w:top w:w="0" w:type="dxa"/>
              <w:left w:w="85" w:type="dxa"/>
              <w:bottom w:w="0" w:type="dxa"/>
              <w:right w:w="85" w:type="dxa"/>
            </w:tcMar>
          </w:tcPr>
          <w:p w14:paraId="6F187D54" w14:textId="77777777" w:rsidR="00BB3E1E" w:rsidRPr="00076B94" w:rsidRDefault="00BB3E1E" w:rsidP="00B05614">
            <w:pPr>
              <w:pStyle w:val="TableText"/>
              <w:jc w:val="right"/>
            </w:pPr>
            <w:r w:rsidRPr="00076B94">
              <w:t>60.5</w:t>
            </w:r>
          </w:p>
        </w:tc>
      </w:tr>
      <w:tr w:rsidR="00BB3E1E" w:rsidRPr="00076B94" w14:paraId="46E1391B" w14:textId="77777777" w:rsidTr="00B05614">
        <w:trPr>
          <w:cantSplit/>
          <w:trHeight w:val="283"/>
        </w:trPr>
        <w:tc>
          <w:tcPr>
            <w:tcW w:w="0" w:type="auto"/>
            <w:shd w:val="clear" w:color="auto" w:fill="FFFFFF"/>
            <w:tcMar>
              <w:top w:w="0" w:type="dxa"/>
              <w:left w:w="85" w:type="dxa"/>
              <w:bottom w:w="0" w:type="dxa"/>
              <w:right w:w="85" w:type="dxa"/>
            </w:tcMar>
          </w:tcPr>
          <w:p w14:paraId="4C94FD22" w14:textId="77777777" w:rsidR="00BB3E1E" w:rsidRPr="00076B94" w:rsidRDefault="00BB3E1E" w:rsidP="00B05614">
            <w:pPr>
              <w:pStyle w:val="TableText"/>
            </w:pPr>
            <w:r w:rsidRPr="00076B94" w:rsidDel="00C35CA4">
              <w:t>1.A.3.b</w:t>
            </w:r>
          </w:p>
        </w:tc>
        <w:tc>
          <w:tcPr>
            <w:tcW w:w="0" w:type="auto"/>
            <w:shd w:val="clear" w:color="auto" w:fill="FFFFFF"/>
            <w:tcMar>
              <w:top w:w="0" w:type="dxa"/>
              <w:left w:w="85" w:type="dxa"/>
              <w:bottom w:w="0" w:type="dxa"/>
              <w:right w:w="85" w:type="dxa"/>
            </w:tcMar>
          </w:tcPr>
          <w:p w14:paraId="0ABFCD7B" w14:textId="77777777" w:rsidR="00BB3E1E" w:rsidRPr="00076B94" w:rsidRDefault="00BB3E1E" w:rsidP="00B05614">
            <w:pPr>
              <w:pStyle w:val="TableText"/>
            </w:pPr>
            <w:r w:rsidRPr="00076B94">
              <w:t>Transport – Road Transportation Liquid Fuels</w:t>
            </w:r>
          </w:p>
        </w:tc>
        <w:tc>
          <w:tcPr>
            <w:tcW w:w="0" w:type="auto"/>
            <w:shd w:val="clear" w:color="auto" w:fill="FFFFFF"/>
            <w:tcMar>
              <w:top w:w="0" w:type="dxa"/>
              <w:left w:w="85" w:type="dxa"/>
              <w:bottom w:w="0" w:type="dxa"/>
              <w:right w:w="85" w:type="dxa"/>
            </w:tcMar>
          </w:tcPr>
          <w:p w14:paraId="7B3AB023"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1584215C" w14:textId="77777777" w:rsidR="00BB3E1E" w:rsidRPr="00076B94" w:rsidRDefault="00BB3E1E" w:rsidP="00B05614">
            <w:pPr>
              <w:pStyle w:val="TableText"/>
              <w:jc w:val="right"/>
            </w:pPr>
            <w:r w:rsidRPr="00076B94">
              <w:t>6,519.0</w:t>
            </w:r>
          </w:p>
        </w:tc>
        <w:tc>
          <w:tcPr>
            <w:tcW w:w="0" w:type="auto"/>
            <w:shd w:val="clear" w:color="auto" w:fill="FFFFFF"/>
            <w:tcMar>
              <w:top w:w="0" w:type="dxa"/>
              <w:left w:w="85" w:type="dxa"/>
              <w:bottom w:w="0" w:type="dxa"/>
              <w:right w:w="85" w:type="dxa"/>
            </w:tcMar>
          </w:tcPr>
          <w:p w14:paraId="0900769B" w14:textId="77777777" w:rsidR="00BB3E1E" w:rsidRPr="00076B94" w:rsidRDefault="00BB3E1E" w:rsidP="00B05614">
            <w:pPr>
              <w:pStyle w:val="TableText"/>
              <w:jc w:val="right"/>
            </w:pPr>
            <w:r w:rsidRPr="00076B94">
              <w:t>11,947.2</w:t>
            </w:r>
          </w:p>
        </w:tc>
        <w:tc>
          <w:tcPr>
            <w:tcW w:w="0" w:type="auto"/>
            <w:shd w:val="clear" w:color="auto" w:fill="FFFFFF"/>
            <w:tcMar>
              <w:top w:w="0" w:type="dxa"/>
              <w:left w:w="85" w:type="dxa"/>
              <w:bottom w:w="0" w:type="dxa"/>
              <w:right w:w="85" w:type="dxa"/>
            </w:tcMar>
          </w:tcPr>
          <w:p w14:paraId="71D2C3EA" w14:textId="77777777" w:rsidR="00BB3E1E" w:rsidRPr="00076B94" w:rsidRDefault="00BB3E1E" w:rsidP="00B05614">
            <w:pPr>
              <w:pStyle w:val="TableText"/>
              <w:jc w:val="right"/>
            </w:pPr>
            <w:r w:rsidRPr="00076B94">
              <w:t>0.042</w:t>
            </w:r>
          </w:p>
        </w:tc>
        <w:tc>
          <w:tcPr>
            <w:tcW w:w="0" w:type="auto"/>
            <w:shd w:val="clear" w:color="auto" w:fill="FFFFFF"/>
            <w:tcMar>
              <w:top w:w="0" w:type="dxa"/>
              <w:left w:w="85" w:type="dxa"/>
              <w:bottom w:w="0" w:type="dxa"/>
              <w:right w:w="85" w:type="dxa"/>
            </w:tcMar>
          </w:tcPr>
          <w:p w14:paraId="3DB2DD45" w14:textId="77777777" w:rsidR="00BB3E1E" w:rsidRPr="00076B94" w:rsidRDefault="00BB3E1E" w:rsidP="00B05614">
            <w:pPr>
              <w:pStyle w:val="TableText"/>
              <w:jc w:val="right"/>
            </w:pPr>
            <w:r w:rsidRPr="00076B94">
              <w:t>5.1</w:t>
            </w:r>
          </w:p>
        </w:tc>
        <w:tc>
          <w:tcPr>
            <w:tcW w:w="0" w:type="auto"/>
            <w:shd w:val="clear" w:color="auto" w:fill="FFFFFF"/>
            <w:tcMar>
              <w:top w:w="0" w:type="dxa"/>
              <w:left w:w="85" w:type="dxa"/>
              <w:bottom w:w="0" w:type="dxa"/>
              <w:right w:w="85" w:type="dxa"/>
            </w:tcMar>
          </w:tcPr>
          <w:p w14:paraId="11DF8440" w14:textId="77777777" w:rsidR="00BB3E1E" w:rsidRPr="00076B94" w:rsidRDefault="00BB3E1E" w:rsidP="00B05614">
            <w:pPr>
              <w:pStyle w:val="TableText"/>
              <w:jc w:val="right"/>
            </w:pPr>
            <w:r w:rsidRPr="00076B94">
              <w:t>65.6</w:t>
            </w:r>
          </w:p>
        </w:tc>
      </w:tr>
      <w:tr w:rsidR="00BB3E1E" w:rsidRPr="00076B94" w14:paraId="2D717DD7" w14:textId="77777777" w:rsidTr="00B05614">
        <w:trPr>
          <w:cantSplit/>
          <w:trHeight w:val="283"/>
        </w:trPr>
        <w:tc>
          <w:tcPr>
            <w:tcW w:w="0" w:type="auto"/>
            <w:shd w:val="clear" w:color="auto" w:fill="FFFFFF"/>
            <w:tcMar>
              <w:top w:w="0" w:type="dxa"/>
              <w:left w:w="85" w:type="dxa"/>
              <w:bottom w:w="0" w:type="dxa"/>
              <w:right w:w="85" w:type="dxa"/>
            </w:tcMar>
          </w:tcPr>
          <w:p w14:paraId="4958A0F1" w14:textId="77777777" w:rsidR="00BB3E1E" w:rsidRPr="00076B94" w:rsidRDefault="00BB3E1E" w:rsidP="00B05614">
            <w:pPr>
              <w:pStyle w:val="TableText"/>
            </w:pPr>
            <w:r w:rsidRPr="00076B94" w:rsidDel="00C35CA4">
              <w:t>1.A.1.c</w:t>
            </w:r>
          </w:p>
        </w:tc>
        <w:tc>
          <w:tcPr>
            <w:tcW w:w="0" w:type="auto"/>
            <w:shd w:val="clear" w:color="auto" w:fill="FFFFFF"/>
            <w:tcMar>
              <w:top w:w="0" w:type="dxa"/>
              <w:left w:w="85" w:type="dxa"/>
              <w:bottom w:w="0" w:type="dxa"/>
              <w:right w:w="85" w:type="dxa"/>
            </w:tcMar>
          </w:tcPr>
          <w:p w14:paraId="6823191C" w14:textId="77777777" w:rsidR="00BB3E1E" w:rsidRPr="00076B94" w:rsidRDefault="00BB3E1E" w:rsidP="00B05614">
            <w:pPr>
              <w:pStyle w:val="TableText"/>
            </w:pPr>
            <w:r w:rsidRPr="00076B94">
              <w:t>Energy Industries – Manufacture of Solid Fuels and Other Energy Industries Gaseous Fuels</w:t>
            </w:r>
          </w:p>
        </w:tc>
        <w:tc>
          <w:tcPr>
            <w:tcW w:w="0" w:type="auto"/>
            <w:shd w:val="clear" w:color="auto" w:fill="FFFFFF"/>
            <w:tcMar>
              <w:top w:w="0" w:type="dxa"/>
              <w:left w:w="85" w:type="dxa"/>
              <w:bottom w:w="0" w:type="dxa"/>
              <w:right w:w="85" w:type="dxa"/>
            </w:tcMar>
          </w:tcPr>
          <w:p w14:paraId="25874607"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519641E0" w14:textId="77777777" w:rsidR="00BB3E1E" w:rsidRPr="00076B94" w:rsidRDefault="00BB3E1E" w:rsidP="00B05614">
            <w:pPr>
              <w:pStyle w:val="TableText"/>
              <w:jc w:val="right"/>
            </w:pPr>
            <w:r w:rsidRPr="00076B94">
              <w:t>1,715.3</w:t>
            </w:r>
          </w:p>
        </w:tc>
        <w:tc>
          <w:tcPr>
            <w:tcW w:w="0" w:type="auto"/>
            <w:shd w:val="clear" w:color="auto" w:fill="FFFFFF"/>
            <w:tcMar>
              <w:top w:w="0" w:type="dxa"/>
              <w:left w:w="85" w:type="dxa"/>
              <w:bottom w:w="0" w:type="dxa"/>
              <w:right w:w="85" w:type="dxa"/>
            </w:tcMar>
          </w:tcPr>
          <w:p w14:paraId="0C6A0538" w14:textId="77777777" w:rsidR="00BB3E1E" w:rsidRPr="00076B94" w:rsidRDefault="00BB3E1E" w:rsidP="00B05614">
            <w:pPr>
              <w:pStyle w:val="TableText"/>
              <w:jc w:val="right"/>
            </w:pPr>
            <w:r w:rsidRPr="00076B94">
              <w:t>263.7</w:t>
            </w:r>
          </w:p>
        </w:tc>
        <w:tc>
          <w:tcPr>
            <w:tcW w:w="0" w:type="auto"/>
            <w:shd w:val="clear" w:color="auto" w:fill="FFFFFF"/>
            <w:tcMar>
              <w:top w:w="0" w:type="dxa"/>
              <w:left w:w="85" w:type="dxa"/>
              <w:bottom w:w="0" w:type="dxa"/>
              <w:right w:w="85" w:type="dxa"/>
            </w:tcMar>
          </w:tcPr>
          <w:p w14:paraId="5A56FCD3" w14:textId="77777777" w:rsidR="00BB3E1E" w:rsidRPr="00076B94" w:rsidRDefault="00BB3E1E" w:rsidP="00B05614">
            <w:pPr>
              <w:pStyle w:val="TableText"/>
              <w:jc w:val="right"/>
            </w:pPr>
            <w:r w:rsidRPr="00076B94">
              <w:t>0.021</w:t>
            </w:r>
          </w:p>
        </w:tc>
        <w:tc>
          <w:tcPr>
            <w:tcW w:w="0" w:type="auto"/>
            <w:shd w:val="clear" w:color="auto" w:fill="FFFFFF"/>
            <w:tcMar>
              <w:top w:w="0" w:type="dxa"/>
              <w:left w:w="85" w:type="dxa"/>
              <w:bottom w:w="0" w:type="dxa"/>
              <w:right w:w="85" w:type="dxa"/>
            </w:tcMar>
          </w:tcPr>
          <w:p w14:paraId="562E0F6E" w14:textId="77777777" w:rsidR="00BB3E1E" w:rsidRPr="00076B94" w:rsidRDefault="00BB3E1E" w:rsidP="00B05614">
            <w:pPr>
              <w:pStyle w:val="TableText"/>
              <w:jc w:val="right"/>
            </w:pPr>
            <w:r w:rsidRPr="00076B94">
              <w:t>2.6</w:t>
            </w:r>
          </w:p>
        </w:tc>
        <w:tc>
          <w:tcPr>
            <w:tcW w:w="0" w:type="auto"/>
            <w:shd w:val="clear" w:color="auto" w:fill="FFFFFF"/>
            <w:tcMar>
              <w:top w:w="0" w:type="dxa"/>
              <w:left w:w="85" w:type="dxa"/>
              <w:bottom w:w="0" w:type="dxa"/>
              <w:right w:w="85" w:type="dxa"/>
            </w:tcMar>
          </w:tcPr>
          <w:p w14:paraId="4012D490" w14:textId="77777777" w:rsidR="00BB3E1E" w:rsidRPr="00076B94" w:rsidRDefault="00BB3E1E" w:rsidP="00B05614">
            <w:pPr>
              <w:pStyle w:val="TableText"/>
              <w:jc w:val="right"/>
            </w:pPr>
            <w:r w:rsidRPr="00076B94">
              <w:t>68.2</w:t>
            </w:r>
          </w:p>
        </w:tc>
      </w:tr>
      <w:tr w:rsidR="00BB3E1E" w:rsidRPr="00076B94" w14:paraId="433C940A" w14:textId="77777777" w:rsidTr="00B05614">
        <w:trPr>
          <w:cantSplit/>
          <w:trHeight w:val="283"/>
        </w:trPr>
        <w:tc>
          <w:tcPr>
            <w:tcW w:w="0" w:type="auto"/>
            <w:shd w:val="clear" w:color="auto" w:fill="FFFFFF"/>
            <w:tcMar>
              <w:top w:w="0" w:type="dxa"/>
              <w:left w:w="85" w:type="dxa"/>
              <w:bottom w:w="0" w:type="dxa"/>
              <w:right w:w="85" w:type="dxa"/>
            </w:tcMar>
          </w:tcPr>
          <w:p w14:paraId="75F57FA9" w14:textId="77777777" w:rsidR="00BB3E1E" w:rsidRPr="00076B94" w:rsidRDefault="00BB3E1E" w:rsidP="00B05614">
            <w:pPr>
              <w:pStyle w:val="TableText"/>
            </w:pPr>
            <w:r w:rsidRPr="00076B94" w:rsidDel="00C35CA4">
              <w:t>5.A</w:t>
            </w:r>
          </w:p>
        </w:tc>
        <w:tc>
          <w:tcPr>
            <w:tcW w:w="0" w:type="auto"/>
            <w:shd w:val="clear" w:color="auto" w:fill="FFFFFF"/>
            <w:tcMar>
              <w:top w:w="0" w:type="dxa"/>
              <w:left w:w="85" w:type="dxa"/>
              <w:bottom w:w="0" w:type="dxa"/>
              <w:right w:w="85" w:type="dxa"/>
            </w:tcMar>
          </w:tcPr>
          <w:p w14:paraId="662F7F70" w14:textId="77777777" w:rsidR="00BB3E1E" w:rsidRPr="00076B94" w:rsidRDefault="00BB3E1E" w:rsidP="00B05614">
            <w:pPr>
              <w:pStyle w:val="TableText"/>
            </w:pPr>
            <w:r w:rsidRPr="00076B94">
              <w:t xml:space="preserve">Waste – Solid Waste </w:t>
            </w:r>
            <w:r w:rsidRPr="00076B94" w:rsidDel="00C35CA4">
              <w:t>Disposal</w:t>
            </w:r>
          </w:p>
        </w:tc>
        <w:tc>
          <w:tcPr>
            <w:tcW w:w="0" w:type="auto"/>
            <w:shd w:val="clear" w:color="auto" w:fill="FFFFFF"/>
            <w:tcMar>
              <w:top w:w="0" w:type="dxa"/>
              <w:left w:w="85" w:type="dxa"/>
              <w:bottom w:w="0" w:type="dxa"/>
              <w:right w:w="85" w:type="dxa"/>
            </w:tcMar>
          </w:tcPr>
          <w:p w14:paraId="4738CE11" w14:textId="77777777" w:rsidR="00BB3E1E" w:rsidRPr="00076B94" w:rsidRDefault="00BB3E1E" w:rsidP="00B05614">
            <w:pPr>
              <w:pStyle w:val="TableText"/>
            </w:pPr>
            <w:r w:rsidRPr="00076B94" w:rsidDel="00C35CA4">
              <w:t>CH</w:t>
            </w:r>
            <w:r w:rsidRPr="00076B94" w:rsidDel="00C35CA4">
              <w:rPr>
                <w:vertAlign w:val="subscript"/>
              </w:rPr>
              <w:t>4</w:t>
            </w:r>
          </w:p>
        </w:tc>
        <w:tc>
          <w:tcPr>
            <w:tcW w:w="0" w:type="auto"/>
            <w:shd w:val="clear" w:color="auto" w:fill="FFFFFF"/>
            <w:tcMar>
              <w:top w:w="0" w:type="dxa"/>
              <w:left w:w="85" w:type="dxa"/>
              <w:bottom w:w="0" w:type="dxa"/>
              <w:right w:w="85" w:type="dxa"/>
            </w:tcMar>
          </w:tcPr>
          <w:p w14:paraId="69464EF8" w14:textId="77777777" w:rsidR="00BB3E1E" w:rsidRPr="00076B94" w:rsidRDefault="00BB3E1E" w:rsidP="00B05614">
            <w:pPr>
              <w:pStyle w:val="TableText"/>
              <w:jc w:val="right"/>
            </w:pPr>
            <w:r w:rsidRPr="00076B94">
              <w:t>3,318.2</w:t>
            </w:r>
          </w:p>
        </w:tc>
        <w:tc>
          <w:tcPr>
            <w:tcW w:w="0" w:type="auto"/>
            <w:shd w:val="clear" w:color="auto" w:fill="FFFFFF"/>
            <w:tcMar>
              <w:top w:w="0" w:type="dxa"/>
              <w:left w:w="85" w:type="dxa"/>
              <w:bottom w:w="0" w:type="dxa"/>
              <w:right w:w="85" w:type="dxa"/>
            </w:tcMar>
          </w:tcPr>
          <w:p w14:paraId="49507668" w14:textId="77777777" w:rsidR="00BB3E1E" w:rsidRPr="00076B94" w:rsidRDefault="00BB3E1E" w:rsidP="00B05614">
            <w:pPr>
              <w:pStyle w:val="TableText"/>
              <w:jc w:val="right"/>
            </w:pPr>
            <w:r w:rsidRPr="00076B94">
              <w:t>2,637.7</w:t>
            </w:r>
          </w:p>
        </w:tc>
        <w:tc>
          <w:tcPr>
            <w:tcW w:w="0" w:type="auto"/>
            <w:shd w:val="clear" w:color="auto" w:fill="FFFFFF"/>
            <w:tcMar>
              <w:top w:w="0" w:type="dxa"/>
              <w:left w:w="85" w:type="dxa"/>
              <w:bottom w:w="0" w:type="dxa"/>
              <w:right w:w="85" w:type="dxa"/>
            </w:tcMar>
          </w:tcPr>
          <w:p w14:paraId="2EDB465B" w14:textId="77777777" w:rsidR="00BB3E1E" w:rsidRPr="00076B94" w:rsidRDefault="00BB3E1E" w:rsidP="00B05614">
            <w:pPr>
              <w:pStyle w:val="TableText"/>
              <w:jc w:val="right"/>
            </w:pPr>
            <w:r w:rsidRPr="00076B94">
              <w:t>0.017</w:t>
            </w:r>
          </w:p>
        </w:tc>
        <w:tc>
          <w:tcPr>
            <w:tcW w:w="0" w:type="auto"/>
            <w:shd w:val="clear" w:color="auto" w:fill="FFFFFF"/>
            <w:tcMar>
              <w:top w:w="0" w:type="dxa"/>
              <w:left w:w="85" w:type="dxa"/>
              <w:bottom w:w="0" w:type="dxa"/>
              <w:right w:w="85" w:type="dxa"/>
            </w:tcMar>
          </w:tcPr>
          <w:p w14:paraId="2D26CAFB" w14:textId="77777777" w:rsidR="00BB3E1E" w:rsidRPr="00076B94" w:rsidRDefault="00BB3E1E" w:rsidP="00B05614">
            <w:pPr>
              <w:pStyle w:val="TableText"/>
              <w:jc w:val="right"/>
            </w:pPr>
            <w:r w:rsidRPr="00076B94">
              <w:t>2.1</w:t>
            </w:r>
          </w:p>
        </w:tc>
        <w:tc>
          <w:tcPr>
            <w:tcW w:w="0" w:type="auto"/>
            <w:shd w:val="clear" w:color="auto" w:fill="FFFFFF"/>
            <w:tcMar>
              <w:top w:w="0" w:type="dxa"/>
              <w:left w:w="85" w:type="dxa"/>
              <w:bottom w:w="0" w:type="dxa"/>
              <w:right w:w="85" w:type="dxa"/>
            </w:tcMar>
          </w:tcPr>
          <w:p w14:paraId="4445C252" w14:textId="77777777" w:rsidR="00BB3E1E" w:rsidRPr="00076B94" w:rsidRDefault="00BB3E1E" w:rsidP="00B05614">
            <w:pPr>
              <w:pStyle w:val="TableText"/>
              <w:jc w:val="right"/>
            </w:pPr>
            <w:r w:rsidRPr="00076B94">
              <w:t>70.3</w:t>
            </w:r>
          </w:p>
        </w:tc>
      </w:tr>
      <w:tr w:rsidR="00BB3E1E" w:rsidRPr="00076B94" w14:paraId="585A1153" w14:textId="77777777" w:rsidTr="00B05614">
        <w:trPr>
          <w:cantSplit/>
          <w:trHeight w:val="283"/>
        </w:trPr>
        <w:tc>
          <w:tcPr>
            <w:tcW w:w="0" w:type="auto"/>
            <w:shd w:val="clear" w:color="auto" w:fill="FFFFFF"/>
            <w:tcMar>
              <w:top w:w="0" w:type="dxa"/>
              <w:left w:w="85" w:type="dxa"/>
              <w:bottom w:w="0" w:type="dxa"/>
              <w:right w:w="85" w:type="dxa"/>
            </w:tcMar>
          </w:tcPr>
          <w:p w14:paraId="06080BB8" w14:textId="77777777" w:rsidR="00BB3E1E" w:rsidRPr="00076B94" w:rsidRDefault="00BB3E1E" w:rsidP="00B05614">
            <w:pPr>
              <w:pStyle w:val="TableText"/>
            </w:pPr>
            <w:r w:rsidRPr="00076B94" w:rsidDel="00C35CA4">
              <w:t>3.A.1</w:t>
            </w:r>
          </w:p>
        </w:tc>
        <w:tc>
          <w:tcPr>
            <w:tcW w:w="0" w:type="auto"/>
            <w:shd w:val="clear" w:color="auto" w:fill="FFFFFF"/>
            <w:tcMar>
              <w:top w:w="0" w:type="dxa"/>
              <w:left w:w="85" w:type="dxa"/>
              <w:bottom w:w="0" w:type="dxa"/>
              <w:right w:w="85" w:type="dxa"/>
            </w:tcMar>
          </w:tcPr>
          <w:p w14:paraId="7DB63B47" w14:textId="77777777" w:rsidR="00BB3E1E" w:rsidRPr="00076B94" w:rsidRDefault="00BB3E1E" w:rsidP="00B05614">
            <w:pPr>
              <w:pStyle w:val="TableText"/>
            </w:pPr>
            <w:r w:rsidRPr="00076B94">
              <w:t>Option A – Non-Dairy (</w:t>
            </w:r>
            <w:r w:rsidRPr="00076B94">
              <w:rPr>
                <w:i/>
                <w:iCs/>
              </w:rPr>
              <w:t>Beef</w:t>
            </w:r>
            <w:r w:rsidRPr="00076B94">
              <w:t xml:space="preserve">) </w:t>
            </w:r>
            <w:r w:rsidRPr="00076B94" w:rsidDel="00C35CA4">
              <w:t>Cattle</w:t>
            </w:r>
          </w:p>
        </w:tc>
        <w:tc>
          <w:tcPr>
            <w:tcW w:w="0" w:type="auto"/>
            <w:shd w:val="clear" w:color="auto" w:fill="FFFFFF"/>
            <w:tcMar>
              <w:top w:w="0" w:type="dxa"/>
              <w:left w:w="85" w:type="dxa"/>
              <w:bottom w:w="0" w:type="dxa"/>
              <w:right w:w="85" w:type="dxa"/>
            </w:tcMar>
          </w:tcPr>
          <w:p w14:paraId="530CFDCA" w14:textId="77777777" w:rsidR="00BB3E1E" w:rsidRPr="00076B94" w:rsidRDefault="00BB3E1E" w:rsidP="00B05614">
            <w:pPr>
              <w:pStyle w:val="TableText"/>
            </w:pPr>
            <w:r w:rsidRPr="00076B94" w:rsidDel="00C35CA4">
              <w:t>CH</w:t>
            </w:r>
            <w:r w:rsidRPr="00076B94" w:rsidDel="00C35CA4">
              <w:rPr>
                <w:vertAlign w:val="subscript"/>
              </w:rPr>
              <w:t>4</w:t>
            </w:r>
          </w:p>
        </w:tc>
        <w:tc>
          <w:tcPr>
            <w:tcW w:w="0" w:type="auto"/>
            <w:shd w:val="clear" w:color="auto" w:fill="FFFFFF"/>
            <w:tcMar>
              <w:top w:w="0" w:type="dxa"/>
              <w:left w:w="85" w:type="dxa"/>
              <w:bottom w:w="0" w:type="dxa"/>
              <w:right w:w="85" w:type="dxa"/>
            </w:tcMar>
          </w:tcPr>
          <w:p w14:paraId="347116E9" w14:textId="77777777" w:rsidR="00BB3E1E" w:rsidRPr="00076B94" w:rsidRDefault="00BB3E1E" w:rsidP="00B05614">
            <w:pPr>
              <w:pStyle w:val="TableText"/>
              <w:jc w:val="right"/>
            </w:pPr>
            <w:r w:rsidRPr="00076B94">
              <w:t>5,950.0</w:t>
            </w:r>
          </w:p>
        </w:tc>
        <w:tc>
          <w:tcPr>
            <w:tcW w:w="0" w:type="auto"/>
            <w:shd w:val="clear" w:color="auto" w:fill="FFFFFF"/>
            <w:tcMar>
              <w:top w:w="0" w:type="dxa"/>
              <w:left w:w="85" w:type="dxa"/>
              <w:bottom w:w="0" w:type="dxa"/>
              <w:right w:w="85" w:type="dxa"/>
            </w:tcMar>
          </w:tcPr>
          <w:p w14:paraId="7188AB07" w14:textId="77777777" w:rsidR="00BB3E1E" w:rsidRPr="00076B94" w:rsidRDefault="00BB3E1E" w:rsidP="00B05614">
            <w:pPr>
              <w:pStyle w:val="TableText"/>
              <w:jc w:val="right"/>
            </w:pPr>
            <w:r w:rsidRPr="00076B94">
              <w:t>5,980.9</w:t>
            </w:r>
          </w:p>
        </w:tc>
        <w:tc>
          <w:tcPr>
            <w:tcW w:w="0" w:type="auto"/>
            <w:shd w:val="clear" w:color="auto" w:fill="FFFFFF"/>
            <w:tcMar>
              <w:top w:w="0" w:type="dxa"/>
              <w:left w:w="85" w:type="dxa"/>
              <w:bottom w:w="0" w:type="dxa"/>
              <w:right w:w="85" w:type="dxa"/>
            </w:tcMar>
          </w:tcPr>
          <w:p w14:paraId="23162933" w14:textId="77777777" w:rsidR="00BB3E1E" w:rsidRPr="00076B94" w:rsidRDefault="00BB3E1E" w:rsidP="00B05614">
            <w:pPr>
              <w:pStyle w:val="TableText"/>
              <w:jc w:val="right"/>
            </w:pPr>
            <w:r w:rsidRPr="00076B94">
              <w:t>0.017</w:t>
            </w:r>
          </w:p>
        </w:tc>
        <w:tc>
          <w:tcPr>
            <w:tcW w:w="0" w:type="auto"/>
            <w:shd w:val="clear" w:color="auto" w:fill="FFFFFF"/>
            <w:tcMar>
              <w:top w:w="0" w:type="dxa"/>
              <w:left w:w="85" w:type="dxa"/>
              <w:bottom w:w="0" w:type="dxa"/>
              <w:right w:w="85" w:type="dxa"/>
            </w:tcMar>
          </w:tcPr>
          <w:p w14:paraId="24375488" w14:textId="77777777" w:rsidR="00BB3E1E" w:rsidRPr="00076B94" w:rsidRDefault="00BB3E1E" w:rsidP="00B05614">
            <w:pPr>
              <w:pStyle w:val="TableText"/>
              <w:jc w:val="right"/>
            </w:pPr>
            <w:r w:rsidRPr="00076B94">
              <w:t>2.1</w:t>
            </w:r>
          </w:p>
        </w:tc>
        <w:tc>
          <w:tcPr>
            <w:tcW w:w="0" w:type="auto"/>
            <w:shd w:val="clear" w:color="auto" w:fill="FFFFFF"/>
            <w:tcMar>
              <w:top w:w="0" w:type="dxa"/>
              <w:left w:w="85" w:type="dxa"/>
              <w:bottom w:w="0" w:type="dxa"/>
              <w:right w:w="85" w:type="dxa"/>
            </w:tcMar>
          </w:tcPr>
          <w:p w14:paraId="79B2B86C" w14:textId="77777777" w:rsidR="00BB3E1E" w:rsidRPr="00076B94" w:rsidRDefault="00BB3E1E" w:rsidP="00B05614">
            <w:pPr>
              <w:pStyle w:val="TableText"/>
              <w:jc w:val="right"/>
            </w:pPr>
            <w:r w:rsidRPr="00076B94">
              <w:t>72.4</w:t>
            </w:r>
          </w:p>
        </w:tc>
      </w:tr>
      <w:tr w:rsidR="00BB3E1E" w:rsidRPr="00076B94" w14:paraId="3200CAEB" w14:textId="77777777" w:rsidTr="00B05614">
        <w:trPr>
          <w:cantSplit/>
          <w:trHeight w:val="283"/>
        </w:trPr>
        <w:tc>
          <w:tcPr>
            <w:tcW w:w="0" w:type="auto"/>
            <w:shd w:val="clear" w:color="auto" w:fill="FFFFFF"/>
            <w:tcMar>
              <w:top w:w="0" w:type="dxa"/>
              <w:left w:w="85" w:type="dxa"/>
              <w:bottom w:w="0" w:type="dxa"/>
              <w:right w:w="85" w:type="dxa"/>
            </w:tcMar>
          </w:tcPr>
          <w:p w14:paraId="1257945E" w14:textId="77777777" w:rsidR="00BB3E1E" w:rsidRPr="00076B94" w:rsidRDefault="00BB3E1E" w:rsidP="00B05614">
            <w:pPr>
              <w:pStyle w:val="TableText"/>
            </w:pPr>
            <w:r w:rsidRPr="00076B94" w:rsidDel="00C35CA4">
              <w:t>2.F.1</w:t>
            </w:r>
          </w:p>
        </w:tc>
        <w:tc>
          <w:tcPr>
            <w:tcW w:w="0" w:type="auto"/>
            <w:shd w:val="clear" w:color="auto" w:fill="FFFFFF"/>
            <w:tcMar>
              <w:top w:w="0" w:type="dxa"/>
              <w:left w:w="85" w:type="dxa"/>
              <w:bottom w:w="0" w:type="dxa"/>
              <w:right w:w="85" w:type="dxa"/>
            </w:tcMar>
          </w:tcPr>
          <w:p w14:paraId="44E38D40" w14:textId="77777777" w:rsidR="00BB3E1E" w:rsidRPr="00076B94" w:rsidRDefault="00BB3E1E" w:rsidP="00B05614">
            <w:pPr>
              <w:pStyle w:val="TableText"/>
            </w:pPr>
            <w:r w:rsidRPr="00076B94">
              <w:t>Product Uses as Substitutes for ODS – Refrigeration and Air C</w:t>
            </w:r>
            <w:r w:rsidRPr="00076B94" w:rsidDel="00C35CA4">
              <w:t>onditioning</w:t>
            </w:r>
          </w:p>
        </w:tc>
        <w:tc>
          <w:tcPr>
            <w:tcW w:w="0" w:type="auto"/>
            <w:shd w:val="clear" w:color="auto" w:fill="FFFFFF"/>
            <w:tcMar>
              <w:top w:w="0" w:type="dxa"/>
              <w:left w:w="85" w:type="dxa"/>
              <w:bottom w:w="0" w:type="dxa"/>
              <w:right w:w="85" w:type="dxa"/>
            </w:tcMar>
          </w:tcPr>
          <w:p w14:paraId="68AEA571" w14:textId="77777777" w:rsidR="00BB3E1E" w:rsidRPr="00076B94" w:rsidRDefault="00BB3E1E" w:rsidP="00B05614">
            <w:pPr>
              <w:pStyle w:val="TableText"/>
            </w:pPr>
            <w:r w:rsidRPr="00076B94" w:rsidDel="00C35CA4">
              <w:t>HFCs</w:t>
            </w:r>
          </w:p>
        </w:tc>
        <w:tc>
          <w:tcPr>
            <w:tcW w:w="0" w:type="auto"/>
            <w:shd w:val="clear" w:color="auto" w:fill="FFFFFF"/>
            <w:tcMar>
              <w:top w:w="0" w:type="dxa"/>
              <w:left w:w="85" w:type="dxa"/>
              <w:bottom w:w="0" w:type="dxa"/>
              <w:right w:w="85" w:type="dxa"/>
            </w:tcMar>
          </w:tcPr>
          <w:p w14:paraId="0F0DCE0C" w14:textId="77777777" w:rsidR="00BB3E1E" w:rsidRPr="00076B94" w:rsidRDefault="00BB3E1E" w:rsidP="00B05614">
            <w:pPr>
              <w:pStyle w:val="TableText"/>
              <w:jc w:val="right"/>
            </w:pPr>
            <w:r w:rsidRPr="00076B94">
              <w:t>0.0</w:t>
            </w:r>
          </w:p>
        </w:tc>
        <w:tc>
          <w:tcPr>
            <w:tcW w:w="0" w:type="auto"/>
            <w:shd w:val="clear" w:color="auto" w:fill="FFFFFF"/>
            <w:tcMar>
              <w:top w:w="0" w:type="dxa"/>
              <w:left w:w="85" w:type="dxa"/>
              <w:bottom w:w="0" w:type="dxa"/>
              <w:right w:w="85" w:type="dxa"/>
            </w:tcMar>
          </w:tcPr>
          <w:p w14:paraId="1FA66EB7" w14:textId="77777777" w:rsidR="00BB3E1E" w:rsidRPr="00076B94" w:rsidRDefault="00BB3E1E" w:rsidP="00B05614">
            <w:pPr>
              <w:pStyle w:val="TableText"/>
              <w:jc w:val="right"/>
            </w:pPr>
            <w:r w:rsidRPr="00076B94">
              <w:t>1,391.6</w:t>
            </w:r>
          </w:p>
        </w:tc>
        <w:tc>
          <w:tcPr>
            <w:tcW w:w="0" w:type="auto"/>
            <w:shd w:val="clear" w:color="auto" w:fill="FFFFFF"/>
            <w:tcMar>
              <w:top w:w="0" w:type="dxa"/>
              <w:left w:w="85" w:type="dxa"/>
              <w:bottom w:w="0" w:type="dxa"/>
              <w:right w:w="85" w:type="dxa"/>
            </w:tcMar>
          </w:tcPr>
          <w:p w14:paraId="4EF2197A" w14:textId="77777777" w:rsidR="00BB3E1E" w:rsidRPr="00076B94" w:rsidRDefault="00BB3E1E" w:rsidP="00B05614">
            <w:pPr>
              <w:pStyle w:val="TableText"/>
              <w:jc w:val="right"/>
            </w:pPr>
            <w:r w:rsidRPr="00076B94">
              <w:t>0.016</w:t>
            </w:r>
          </w:p>
        </w:tc>
        <w:tc>
          <w:tcPr>
            <w:tcW w:w="0" w:type="auto"/>
            <w:shd w:val="clear" w:color="auto" w:fill="FFFFFF"/>
            <w:tcMar>
              <w:top w:w="0" w:type="dxa"/>
              <w:left w:w="85" w:type="dxa"/>
              <w:bottom w:w="0" w:type="dxa"/>
              <w:right w:w="85" w:type="dxa"/>
            </w:tcMar>
          </w:tcPr>
          <w:p w14:paraId="38C84399" w14:textId="77777777" w:rsidR="00BB3E1E" w:rsidRPr="00076B94" w:rsidRDefault="00BB3E1E" w:rsidP="00B05614">
            <w:pPr>
              <w:pStyle w:val="TableText"/>
              <w:jc w:val="right"/>
            </w:pPr>
            <w:r w:rsidRPr="00076B94">
              <w:t>1.9</w:t>
            </w:r>
          </w:p>
        </w:tc>
        <w:tc>
          <w:tcPr>
            <w:tcW w:w="0" w:type="auto"/>
            <w:shd w:val="clear" w:color="auto" w:fill="FFFFFF"/>
            <w:tcMar>
              <w:top w:w="0" w:type="dxa"/>
              <w:left w:w="85" w:type="dxa"/>
              <w:bottom w:w="0" w:type="dxa"/>
              <w:right w:w="85" w:type="dxa"/>
            </w:tcMar>
          </w:tcPr>
          <w:p w14:paraId="75D61C18" w14:textId="77777777" w:rsidR="00BB3E1E" w:rsidRPr="00076B94" w:rsidRDefault="00BB3E1E" w:rsidP="00B05614">
            <w:pPr>
              <w:pStyle w:val="TableText"/>
              <w:jc w:val="right"/>
            </w:pPr>
            <w:r w:rsidRPr="00076B94">
              <w:t>74.3</w:t>
            </w:r>
          </w:p>
        </w:tc>
      </w:tr>
      <w:tr w:rsidR="00BB3E1E" w:rsidRPr="00076B94" w14:paraId="0D9B67BF" w14:textId="77777777" w:rsidTr="00B05614">
        <w:trPr>
          <w:cantSplit/>
          <w:trHeight w:val="283"/>
        </w:trPr>
        <w:tc>
          <w:tcPr>
            <w:tcW w:w="0" w:type="auto"/>
            <w:shd w:val="clear" w:color="auto" w:fill="FFFFFF"/>
            <w:tcMar>
              <w:top w:w="0" w:type="dxa"/>
              <w:left w:w="85" w:type="dxa"/>
              <w:bottom w:w="0" w:type="dxa"/>
              <w:right w:w="85" w:type="dxa"/>
            </w:tcMar>
          </w:tcPr>
          <w:p w14:paraId="63755922" w14:textId="77777777" w:rsidR="00BB3E1E" w:rsidRPr="00076B94" w:rsidRDefault="00BB3E1E" w:rsidP="00B05614">
            <w:pPr>
              <w:pStyle w:val="TableText"/>
            </w:pPr>
            <w:r w:rsidRPr="00076B94" w:rsidDel="00C35CA4">
              <w:t>3.D.1.1</w:t>
            </w:r>
          </w:p>
        </w:tc>
        <w:tc>
          <w:tcPr>
            <w:tcW w:w="0" w:type="auto"/>
            <w:shd w:val="clear" w:color="auto" w:fill="FFFFFF"/>
            <w:tcMar>
              <w:top w:w="0" w:type="dxa"/>
              <w:left w:w="85" w:type="dxa"/>
              <w:bottom w:w="0" w:type="dxa"/>
              <w:right w:w="85" w:type="dxa"/>
            </w:tcMar>
          </w:tcPr>
          <w:p w14:paraId="27E95D4C" w14:textId="77777777" w:rsidR="00BB3E1E" w:rsidRPr="00076B94" w:rsidRDefault="00BB3E1E" w:rsidP="00B05614">
            <w:pPr>
              <w:pStyle w:val="TableText"/>
            </w:pPr>
            <w:r w:rsidRPr="00076B94">
              <w:t>Direct N</w:t>
            </w:r>
            <w:r w:rsidRPr="00076B94">
              <w:rPr>
                <w:vertAlign w:val="subscript"/>
              </w:rPr>
              <w:t>2</w:t>
            </w:r>
            <w:r w:rsidRPr="00076B94">
              <w:t xml:space="preserve">O Emissions from Managed Soils – Inorganic N </w:t>
            </w:r>
            <w:r w:rsidRPr="00076B94" w:rsidDel="00C35CA4">
              <w:t>Fertili</w:t>
            </w:r>
            <w:r w:rsidRPr="00076B94">
              <w:t>s</w:t>
            </w:r>
            <w:r w:rsidRPr="00076B94" w:rsidDel="00C35CA4">
              <w:t>ers</w:t>
            </w:r>
          </w:p>
        </w:tc>
        <w:tc>
          <w:tcPr>
            <w:tcW w:w="0" w:type="auto"/>
            <w:shd w:val="clear" w:color="auto" w:fill="FFFFFF"/>
            <w:tcMar>
              <w:top w:w="0" w:type="dxa"/>
              <w:left w:w="85" w:type="dxa"/>
              <w:bottom w:w="0" w:type="dxa"/>
              <w:right w:w="85" w:type="dxa"/>
            </w:tcMar>
          </w:tcPr>
          <w:p w14:paraId="3EACEE52" w14:textId="77777777" w:rsidR="00BB3E1E" w:rsidRPr="00076B94" w:rsidRDefault="00BB3E1E" w:rsidP="00B05614">
            <w:pPr>
              <w:pStyle w:val="TableText"/>
            </w:pPr>
            <w:r w:rsidRPr="00076B94" w:rsidDel="00C35CA4">
              <w:t>N</w:t>
            </w:r>
            <w:r w:rsidRPr="00076B94" w:rsidDel="00C35CA4">
              <w:rPr>
                <w:vertAlign w:val="subscript"/>
              </w:rPr>
              <w:t>2</w:t>
            </w:r>
            <w:r w:rsidRPr="00076B94" w:rsidDel="00C35CA4">
              <w:t>O</w:t>
            </w:r>
          </w:p>
        </w:tc>
        <w:tc>
          <w:tcPr>
            <w:tcW w:w="0" w:type="auto"/>
            <w:shd w:val="clear" w:color="auto" w:fill="FFFFFF"/>
            <w:tcMar>
              <w:top w:w="0" w:type="dxa"/>
              <w:left w:w="85" w:type="dxa"/>
              <w:bottom w:w="0" w:type="dxa"/>
              <w:right w:w="85" w:type="dxa"/>
            </w:tcMar>
          </w:tcPr>
          <w:p w14:paraId="0B3FA518" w14:textId="77777777" w:rsidR="00BB3E1E" w:rsidRPr="00076B94" w:rsidRDefault="00BB3E1E" w:rsidP="00B05614">
            <w:pPr>
              <w:pStyle w:val="TableText"/>
              <w:jc w:val="right"/>
            </w:pPr>
            <w:r w:rsidRPr="00076B94">
              <w:t>230.3</w:t>
            </w:r>
          </w:p>
        </w:tc>
        <w:tc>
          <w:tcPr>
            <w:tcW w:w="0" w:type="auto"/>
            <w:shd w:val="clear" w:color="auto" w:fill="FFFFFF"/>
            <w:tcMar>
              <w:top w:w="0" w:type="dxa"/>
              <w:left w:w="85" w:type="dxa"/>
              <w:bottom w:w="0" w:type="dxa"/>
              <w:right w:w="85" w:type="dxa"/>
            </w:tcMar>
          </w:tcPr>
          <w:p w14:paraId="23AD5360" w14:textId="77777777" w:rsidR="00BB3E1E" w:rsidRPr="00076B94" w:rsidRDefault="00BB3E1E" w:rsidP="00B05614">
            <w:pPr>
              <w:pStyle w:val="TableText"/>
              <w:jc w:val="right"/>
            </w:pPr>
            <w:r w:rsidRPr="00076B94">
              <w:t>1,548.2</w:t>
            </w:r>
          </w:p>
        </w:tc>
        <w:tc>
          <w:tcPr>
            <w:tcW w:w="0" w:type="auto"/>
            <w:shd w:val="clear" w:color="auto" w:fill="FFFFFF"/>
            <w:tcMar>
              <w:top w:w="0" w:type="dxa"/>
              <w:left w:w="85" w:type="dxa"/>
              <w:bottom w:w="0" w:type="dxa"/>
              <w:right w:w="85" w:type="dxa"/>
            </w:tcMar>
          </w:tcPr>
          <w:p w14:paraId="4B64528E" w14:textId="77777777" w:rsidR="00BB3E1E" w:rsidRPr="00076B94" w:rsidRDefault="00BB3E1E" w:rsidP="00B05614">
            <w:pPr>
              <w:pStyle w:val="TableText"/>
              <w:jc w:val="right"/>
            </w:pPr>
            <w:r w:rsidRPr="00076B94">
              <w:t>0.014</w:t>
            </w:r>
          </w:p>
        </w:tc>
        <w:tc>
          <w:tcPr>
            <w:tcW w:w="0" w:type="auto"/>
            <w:shd w:val="clear" w:color="auto" w:fill="FFFFFF"/>
            <w:tcMar>
              <w:top w:w="0" w:type="dxa"/>
              <w:left w:w="85" w:type="dxa"/>
              <w:bottom w:w="0" w:type="dxa"/>
              <w:right w:w="85" w:type="dxa"/>
            </w:tcMar>
          </w:tcPr>
          <w:p w14:paraId="62BFF2C4" w14:textId="77777777" w:rsidR="00BB3E1E" w:rsidRPr="00076B94" w:rsidRDefault="00BB3E1E" w:rsidP="00B05614">
            <w:pPr>
              <w:pStyle w:val="TableText"/>
              <w:jc w:val="right"/>
            </w:pPr>
            <w:r w:rsidRPr="00076B94">
              <w:t>1.7</w:t>
            </w:r>
          </w:p>
        </w:tc>
        <w:tc>
          <w:tcPr>
            <w:tcW w:w="0" w:type="auto"/>
            <w:shd w:val="clear" w:color="auto" w:fill="FFFFFF"/>
            <w:tcMar>
              <w:top w:w="0" w:type="dxa"/>
              <w:left w:w="85" w:type="dxa"/>
              <w:bottom w:w="0" w:type="dxa"/>
              <w:right w:w="85" w:type="dxa"/>
            </w:tcMar>
          </w:tcPr>
          <w:p w14:paraId="78D13998" w14:textId="77777777" w:rsidR="00BB3E1E" w:rsidRPr="00076B94" w:rsidRDefault="00BB3E1E" w:rsidP="00B05614">
            <w:pPr>
              <w:pStyle w:val="TableText"/>
              <w:jc w:val="right"/>
            </w:pPr>
            <w:r w:rsidRPr="00076B94">
              <w:t>76.0</w:t>
            </w:r>
          </w:p>
        </w:tc>
      </w:tr>
      <w:tr w:rsidR="00BB3E1E" w:rsidRPr="00076B94" w14:paraId="49F2A7FF" w14:textId="77777777" w:rsidTr="00B05614">
        <w:trPr>
          <w:cantSplit/>
          <w:trHeight w:val="283"/>
        </w:trPr>
        <w:tc>
          <w:tcPr>
            <w:tcW w:w="0" w:type="auto"/>
            <w:shd w:val="clear" w:color="auto" w:fill="FFFFFF"/>
            <w:tcMar>
              <w:top w:w="0" w:type="dxa"/>
              <w:left w:w="85" w:type="dxa"/>
              <w:bottom w:w="0" w:type="dxa"/>
              <w:right w:w="85" w:type="dxa"/>
            </w:tcMar>
          </w:tcPr>
          <w:p w14:paraId="1DE7B0AD" w14:textId="77777777" w:rsidR="00BB3E1E" w:rsidRPr="00076B94" w:rsidRDefault="00BB3E1E" w:rsidP="00B05614">
            <w:pPr>
              <w:pStyle w:val="TableText"/>
            </w:pPr>
            <w:r w:rsidRPr="00076B94" w:rsidDel="00C35CA4">
              <w:lastRenderedPageBreak/>
              <w:t>1.A.1.a</w:t>
            </w:r>
          </w:p>
        </w:tc>
        <w:tc>
          <w:tcPr>
            <w:tcW w:w="0" w:type="auto"/>
            <w:shd w:val="clear" w:color="auto" w:fill="FFFFFF"/>
            <w:tcMar>
              <w:top w:w="0" w:type="dxa"/>
              <w:left w:w="85" w:type="dxa"/>
              <w:bottom w:w="0" w:type="dxa"/>
              <w:right w:w="85" w:type="dxa"/>
            </w:tcMar>
          </w:tcPr>
          <w:p w14:paraId="5C71AFB8" w14:textId="77777777" w:rsidR="00BB3E1E" w:rsidRPr="00076B94" w:rsidRDefault="00BB3E1E" w:rsidP="00B05614">
            <w:pPr>
              <w:pStyle w:val="TableText"/>
            </w:pPr>
            <w:r w:rsidRPr="00076B94">
              <w:t>Energy Industries – Public Electricity and Heat Production Solid Fuels</w:t>
            </w:r>
          </w:p>
        </w:tc>
        <w:tc>
          <w:tcPr>
            <w:tcW w:w="0" w:type="auto"/>
            <w:shd w:val="clear" w:color="auto" w:fill="FFFFFF"/>
            <w:tcMar>
              <w:top w:w="0" w:type="dxa"/>
              <w:left w:w="85" w:type="dxa"/>
              <w:bottom w:w="0" w:type="dxa"/>
              <w:right w:w="85" w:type="dxa"/>
            </w:tcMar>
          </w:tcPr>
          <w:p w14:paraId="106EFBA4"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0CB8753C" w14:textId="77777777" w:rsidR="00BB3E1E" w:rsidRPr="00076B94" w:rsidRDefault="00BB3E1E" w:rsidP="00B05614">
            <w:pPr>
              <w:pStyle w:val="TableText"/>
              <w:jc w:val="right"/>
            </w:pPr>
            <w:r w:rsidRPr="00076B94">
              <w:t>474.8</w:t>
            </w:r>
          </w:p>
        </w:tc>
        <w:tc>
          <w:tcPr>
            <w:tcW w:w="0" w:type="auto"/>
            <w:shd w:val="clear" w:color="auto" w:fill="FFFFFF"/>
            <w:tcMar>
              <w:top w:w="0" w:type="dxa"/>
              <w:left w:w="85" w:type="dxa"/>
              <w:bottom w:w="0" w:type="dxa"/>
              <w:right w:w="85" w:type="dxa"/>
            </w:tcMar>
          </w:tcPr>
          <w:p w14:paraId="1B762A2F" w14:textId="77777777" w:rsidR="00BB3E1E" w:rsidRPr="00076B94" w:rsidRDefault="00BB3E1E" w:rsidP="00B05614">
            <w:pPr>
              <w:pStyle w:val="TableText"/>
              <w:jc w:val="right"/>
            </w:pPr>
            <w:r w:rsidRPr="00076B94">
              <w:t>1,809.3</w:t>
            </w:r>
          </w:p>
        </w:tc>
        <w:tc>
          <w:tcPr>
            <w:tcW w:w="0" w:type="auto"/>
            <w:shd w:val="clear" w:color="auto" w:fill="FFFFFF"/>
            <w:tcMar>
              <w:top w:w="0" w:type="dxa"/>
              <w:left w:w="85" w:type="dxa"/>
              <w:bottom w:w="0" w:type="dxa"/>
              <w:right w:w="85" w:type="dxa"/>
            </w:tcMar>
          </w:tcPr>
          <w:p w14:paraId="1F3D0712" w14:textId="77777777" w:rsidR="00BB3E1E" w:rsidRPr="00076B94" w:rsidRDefault="00BB3E1E" w:rsidP="00B05614">
            <w:pPr>
              <w:pStyle w:val="TableText"/>
              <w:jc w:val="right"/>
            </w:pPr>
            <w:r w:rsidRPr="00076B94">
              <w:t>0.014</w:t>
            </w:r>
          </w:p>
        </w:tc>
        <w:tc>
          <w:tcPr>
            <w:tcW w:w="0" w:type="auto"/>
            <w:shd w:val="clear" w:color="auto" w:fill="FFFFFF"/>
            <w:tcMar>
              <w:top w:w="0" w:type="dxa"/>
              <w:left w:w="85" w:type="dxa"/>
              <w:bottom w:w="0" w:type="dxa"/>
              <w:right w:w="85" w:type="dxa"/>
            </w:tcMar>
          </w:tcPr>
          <w:p w14:paraId="034507A6" w14:textId="77777777" w:rsidR="00BB3E1E" w:rsidRPr="00076B94" w:rsidRDefault="00BB3E1E" w:rsidP="00B05614">
            <w:pPr>
              <w:pStyle w:val="TableText"/>
              <w:jc w:val="right"/>
            </w:pPr>
            <w:r w:rsidRPr="00076B94">
              <w:t>1.7</w:t>
            </w:r>
          </w:p>
        </w:tc>
        <w:tc>
          <w:tcPr>
            <w:tcW w:w="0" w:type="auto"/>
            <w:shd w:val="clear" w:color="auto" w:fill="FFFFFF"/>
            <w:tcMar>
              <w:top w:w="0" w:type="dxa"/>
              <w:left w:w="85" w:type="dxa"/>
              <w:bottom w:w="0" w:type="dxa"/>
              <w:right w:w="85" w:type="dxa"/>
            </w:tcMar>
          </w:tcPr>
          <w:p w14:paraId="0A431112" w14:textId="77777777" w:rsidR="00BB3E1E" w:rsidRPr="00076B94" w:rsidRDefault="00BB3E1E" w:rsidP="00B05614">
            <w:pPr>
              <w:pStyle w:val="TableText"/>
              <w:jc w:val="right"/>
            </w:pPr>
            <w:r w:rsidRPr="00076B94">
              <w:t>77.7</w:t>
            </w:r>
          </w:p>
        </w:tc>
      </w:tr>
      <w:tr w:rsidR="00BB3E1E" w:rsidRPr="00076B94" w14:paraId="36E5E7D8" w14:textId="77777777" w:rsidTr="00B05614">
        <w:trPr>
          <w:cantSplit/>
          <w:trHeight w:val="283"/>
        </w:trPr>
        <w:tc>
          <w:tcPr>
            <w:tcW w:w="0" w:type="auto"/>
            <w:shd w:val="clear" w:color="auto" w:fill="FFFFFF"/>
            <w:tcMar>
              <w:top w:w="0" w:type="dxa"/>
              <w:left w:w="85" w:type="dxa"/>
              <w:bottom w:w="0" w:type="dxa"/>
              <w:right w:w="85" w:type="dxa"/>
            </w:tcMar>
          </w:tcPr>
          <w:p w14:paraId="7D23C4E7" w14:textId="77777777" w:rsidR="00BB3E1E" w:rsidRPr="00076B94" w:rsidRDefault="00BB3E1E" w:rsidP="00B05614">
            <w:pPr>
              <w:pStyle w:val="TableText"/>
            </w:pPr>
            <w:r w:rsidRPr="00076B94" w:rsidDel="00C35CA4">
              <w:t>1.A.1.a</w:t>
            </w:r>
          </w:p>
        </w:tc>
        <w:tc>
          <w:tcPr>
            <w:tcW w:w="0" w:type="auto"/>
            <w:shd w:val="clear" w:color="auto" w:fill="FFFFFF"/>
            <w:tcMar>
              <w:top w:w="0" w:type="dxa"/>
              <w:left w:w="85" w:type="dxa"/>
              <w:bottom w:w="0" w:type="dxa"/>
              <w:right w:w="85" w:type="dxa"/>
            </w:tcMar>
          </w:tcPr>
          <w:p w14:paraId="6045DCAF" w14:textId="77777777" w:rsidR="00BB3E1E" w:rsidRPr="00076B94" w:rsidRDefault="00BB3E1E" w:rsidP="00B05614">
            <w:pPr>
              <w:pStyle w:val="TableText"/>
            </w:pPr>
            <w:r w:rsidRPr="00076B94">
              <w:t>Energy Industries – Public Electricity and Heat Production Gaseous Fuels</w:t>
            </w:r>
          </w:p>
        </w:tc>
        <w:tc>
          <w:tcPr>
            <w:tcW w:w="0" w:type="auto"/>
            <w:shd w:val="clear" w:color="auto" w:fill="FFFFFF"/>
            <w:tcMar>
              <w:top w:w="0" w:type="dxa"/>
              <w:left w:w="85" w:type="dxa"/>
              <w:bottom w:w="0" w:type="dxa"/>
              <w:right w:w="85" w:type="dxa"/>
            </w:tcMar>
          </w:tcPr>
          <w:p w14:paraId="73300EB2"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15B0BCCD" w14:textId="77777777" w:rsidR="00BB3E1E" w:rsidRPr="00076B94" w:rsidRDefault="00BB3E1E" w:rsidP="00B05614">
            <w:pPr>
              <w:pStyle w:val="TableText"/>
              <w:jc w:val="right"/>
            </w:pPr>
            <w:r w:rsidRPr="00076B94">
              <w:t>2,999.6</w:t>
            </w:r>
          </w:p>
        </w:tc>
        <w:tc>
          <w:tcPr>
            <w:tcW w:w="0" w:type="auto"/>
            <w:shd w:val="clear" w:color="auto" w:fill="FFFFFF"/>
            <w:tcMar>
              <w:top w:w="0" w:type="dxa"/>
              <w:left w:w="85" w:type="dxa"/>
              <w:bottom w:w="0" w:type="dxa"/>
              <w:right w:w="85" w:type="dxa"/>
            </w:tcMar>
          </w:tcPr>
          <w:p w14:paraId="3847BAF2" w14:textId="77777777" w:rsidR="00BB3E1E" w:rsidRPr="00076B94" w:rsidRDefault="00BB3E1E" w:rsidP="00B05614">
            <w:pPr>
              <w:pStyle w:val="TableText"/>
              <w:jc w:val="right"/>
            </w:pPr>
            <w:r w:rsidRPr="00076B94">
              <w:t>2,697.3</w:t>
            </w:r>
          </w:p>
        </w:tc>
        <w:tc>
          <w:tcPr>
            <w:tcW w:w="0" w:type="auto"/>
            <w:shd w:val="clear" w:color="auto" w:fill="FFFFFF"/>
            <w:tcMar>
              <w:top w:w="0" w:type="dxa"/>
              <w:left w:w="85" w:type="dxa"/>
              <w:bottom w:w="0" w:type="dxa"/>
              <w:right w:w="85" w:type="dxa"/>
            </w:tcMar>
          </w:tcPr>
          <w:p w14:paraId="32DBB1C7" w14:textId="77777777" w:rsidR="00BB3E1E" w:rsidRPr="00076B94" w:rsidRDefault="00BB3E1E" w:rsidP="00B05614">
            <w:pPr>
              <w:pStyle w:val="TableText"/>
              <w:jc w:val="right"/>
            </w:pPr>
            <w:r w:rsidRPr="00076B94">
              <w:t>0.012</w:t>
            </w:r>
          </w:p>
        </w:tc>
        <w:tc>
          <w:tcPr>
            <w:tcW w:w="0" w:type="auto"/>
            <w:shd w:val="clear" w:color="auto" w:fill="FFFFFF"/>
            <w:tcMar>
              <w:top w:w="0" w:type="dxa"/>
              <w:left w:w="85" w:type="dxa"/>
              <w:bottom w:w="0" w:type="dxa"/>
              <w:right w:w="85" w:type="dxa"/>
            </w:tcMar>
          </w:tcPr>
          <w:p w14:paraId="313FED4B" w14:textId="77777777" w:rsidR="00BB3E1E" w:rsidRPr="00076B94" w:rsidRDefault="00BB3E1E" w:rsidP="00B05614">
            <w:pPr>
              <w:pStyle w:val="TableText"/>
              <w:jc w:val="right"/>
            </w:pPr>
            <w:r w:rsidRPr="00076B94">
              <w:t>1.5</w:t>
            </w:r>
          </w:p>
        </w:tc>
        <w:tc>
          <w:tcPr>
            <w:tcW w:w="0" w:type="auto"/>
            <w:shd w:val="clear" w:color="auto" w:fill="FFFFFF"/>
            <w:tcMar>
              <w:top w:w="0" w:type="dxa"/>
              <w:left w:w="85" w:type="dxa"/>
              <w:bottom w:w="0" w:type="dxa"/>
              <w:right w:w="85" w:type="dxa"/>
            </w:tcMar>
          </w:tcPr>
          <w:p w14:paraId="7C7F3374" w14:textId="77777777" w:rsidR="00BB3E1E" w:rsidRPr="00076B94" w:rsidRDefault="00BB3E1E" w:rsidP="00B05614">
            <w:pPr>
              <w:pStyle w:val="TableText"/>
              <w:jc w:val="right"/>
            </w:pPr>
            <w:r w:rsidRPr="00076B94">
              <w:t>79.2</w:t>
            </w:r>
          </w:p>
        </w:tc>
      </w:tr>
      <w:tr w:rsidR="00BB3E1E" w:rsidRPr="00076B94" w14:paraId="6AE670EF" w14:textId="77777777" w:rsidTr="00B05614">
        <w:trPr>
          <w:cantSplit/>
          <w:trHeight w:val="283"/>
        </w:trPr>
        <w:tc>
          <w:tcPr>
            <w:tcW w:w="0" w:type="auto"/>
            <w:shd w:val="clear" w:color="auto" w:fill="FFFFFF"/>
            <w:tcMar>
              <w:top w:w="0" w:type="dxa"/>
              <w:left w:w="85" w:type="dxa"/>
              <w:bottom w:w="0" w:type="dxa"/>
              <w:right w:w="85" w:type="dxa"/>
            </w:tcMar>
          </w:tcPr>
          <w:p w14:paraId="2CFC294E" w14:textId="77777777" w:rsidR="00BB3E1E" w:rsidRPr="00076B94" w:rsidRDefault="00BB3E1E" w:rsidP="00B05614">
            <w:pPr>
              <w:pStyle w:val="TableText"/>
            </w:pPr>
            <w:r w:rsidRPr="00076B94" w:rsidDel="00C35CA4">
              <w:t>2.C.3</w:t>
            </w:r>
          </w:p>
        </w:tc>
        <w:tc>
          <w:tcPr>
            <w:tcW w:w="0" w:type="auto"/>
            <w:shd w:val="clear" w:color="auto" w:fill="FFFFFF"/>
            <w:tcMar>
              <w:top w:w="0" w:type="dxa"/>
              <w:left w:w="85" w:type="dxa"/>
              <w:bottom w:w="0" w:type="dxa"/>
              <w:right w:w="85" w:type="dxa"/>
            </w:tcMar>
          </w:tcPr>
          <w:p w14:paraId="60C95506" w14:textId="77777777" w:rsidR="00BB3E1E" w:rsidRPr="00076B94" w:rsidRDefault="00BB3E1E" w:rsidP="00B05614">
            <w:pPr>
              <w:pStyle w:val="TableText"/>
            </w:pPr>
            <w:r w:rsidRPr="00076B94">
              <w:t xml:space="preserve">Metal Industry – Aluminium </w:t>
            </w:r>
            <w:r w:rsidRPr="00076B94" w:rsidDel="00C35CA4">
              <w:t>Production</w:t>
            </w:r>
          </w:p>
        </w:tc>
        <w:tc>
          <w:tcPr>
            <w:tcW w:w="0" w:type="auto"/>
            <w:shd w:val="clear" w:color="auto" w:fill="FFFFFF"/>
            <w:tcMar>
              <w:top w:w="0" w:type="dxa"/>
              <w:left w:w="85" w:type="dxa"/>
              <w:bottom w:w="0" w:type="dxa"/>
              <w:right w:w="85" w:type="dxa"/>
            </w:tcMar>
          </w:tcPr>
          <w:p w14:paraId="26CFB028" w14:textId="77777777" w:rsidR="00BB3E1E" w:rsidRPr="00076B94" w:rsidRDefault="00BB3E1E" w:rsidP="00B05614">
            <w:pPr>
              <w:pStyle w:val="TableText"/>
            </w:pPr>
            <w:r w:rsidRPr="00076B94" w:rsidDel="00C35CA4">
              <w:t>PFCs</w:t>
            </w:r>
          </w:p>
        </w:tc>
        <w:tc>
          <w:tcPr>
            <w:tcW w:w="0" w:type="auto"/>
            <w:shd w:val="clear" w:color="auto" w:fill="FFFFFF"/>
            <w:tcMar>
              <w:top w:w="0" w:type="dxa"/>
              <w:left w:w="85" w:type="dxa"/>
              <w:bottom w:w="0" w:type="dxa"/>
              <w:right w:w="85" w:type="dxa"/>
            </w:tcMar>
          </w:tcPr>
          <w:p w14:paraId="08A5B45E" w14:textId="77777777" w:rsidR="00BB3E1E" w:rsidRPr="00076B94" w:rsidRDefault="00BB3E1E" w:rsidP="00B05614">
            <w:pPr>
              <w:pStyle w:val="TableText"/>
              <w:jc w:val="right"/>
            </w:pPr>
            <w:r w:rsidRPr="00076B94">
              <w:t>909.9</w:t>
            </w:r>
          </w:p>
        </w:tc>
        <w:tc>
          <w:tcPr>
            <w:tcW w:w="0" w:type="auto"/>
            <w:shd w:val="clear" w:color="auto" w:fill="FFFFFF"/>
            <w:tcMar>
              <w:top w:w="0" w:type="dxa"/>
              <w:left w:w="85" w:type="dxa"/>
              <w:bottom w:w="0" w:type="dxa"/>
              <w:right w:w="85" w:type="dxa"/>
            </w:tcMar>
          </w:tcPr>
          <w:p w14:paraId="580538B6" w14:textId="77777777" w:rsidR="00BB3E1E" w:rsidRPr="00076B94" w:rsidRDefault="00BB3E1E" w:rsidP="00B05614">
            <w:pPr>
              <w:pStyle w:val="TableText"/>
              <w:jc w:val="right"/>
            </w:pPr>
            <w:r w:rsidRPr="00076B94">
              <w:t>87.9</w:t>
            </w:r>
          </w:p>
        </w:tc>
        <w:tc>
          <w:tcPr>
            <w:tcW w:w="0" w:type="auto"/>
            <w:shd w:val="clear" w:color="auto" w:fill="FFFFFF"/>
            <w:tcMar>
              <w:top w:w="0" w:type="dxa"/>
              <w:left w:w="85" w:type="dxa"/>
              <w:bottom w:w="0" w:type="dxa"/>
              <w:right w:w="85" w:type="dxa"/>
            </w:tcMar>
          </w:tcPr>
          <w:p w14:paraId="5B5D91A8" w14:textId="77777777" w:rsidR="00BB3E1E" w:rsidRPr="00076B94" w:rsidRDefault="00BB3E1E" w:rsidP="00B05614">
            <w:pPr>
              <w:pStyle w:val="TableText"/>
              <w:jc w:val="right"/>
            </w:pPr>
            <w:r w:rsidRPr="00076B94">
              <w:t>0.012</w:t>
            </w:r>
          </w:p>
        </w:tc>
        <w:tc>
          <w:tcPr>
            <w:tcW w:w="0" w:type="auto"/>
            <w:shd w:val="clear" w:color="auto" w:fill="FFFFFF"/>
            <w:tcMar>
              <w:top w:w="0" w:type="dxa"/>
              <w:left w:w="85" w:type="dxa"/>
              <w:bottom w:w="0" w:type="dxa"/>
              <w:right w:w="85" w:type="dxa"/>
            </w:tcMar>
          </w:tcPr>
          <w:p w14:paraId="2FA9B751" w14:textId="77777777" w:rsidR="00BB3E1E" w:rsidRPr="00076B94" w:rsidRDefault="00BB3E1E" w:rsidP="00B05614">
            <w:pPr>
              <w:pStyle w:val="TableText"/>
              <w:jc w:val="right"/>
            </w:pPr>
            <w:r w:rsidRPr="00076B94">
              <w:t>1.5</w:t>
            </w:r>
          </w:p>
        </w:tc>
        <w:tc>
          <w:tcPr>
            <w:tcW w:w="0" w:type="auto"/>
            <w:shd w:val="clear" w:color="auto" w:fill="FFFFFF"/>
            <w:tcMar>
              <w:top w:w="0" w:type="dxa"/>
              <w:left w:w="85" w:type="dxa"/>
              <w:bottom w:w="0" w:type="dxa"/>
              <w:right w:w="85" w:type="dxa"/>
            </w:tcMar>
          </w:tcPr>
          <w:p w14:paraId="1CEA7DBD" w14:textId="77777777" w:rsidR="00BB3E1E" w:rsidRPr="00076B94" w:rsidRDefault="00BB3E1E" w:rsidP="00B05614">
            <w:pPr>
              <w:pStyle w:val="TableText"/>
              <w:jc w:val="right"/>
            </w:pPr>
            <w:r w:rsidRPr="00076B94">
              <w:t>80.6</w:t>
            </w:r>
          </w:p>
        </w:tc>
      </w:tr>
      <w:tr w:rsidR="00BB3E1E" w:rsidRPr="00076B94" w14:paraId="09B6D50C" w14:textId="77777777" w:rsidTr="00B05614">
        <w:trPr>
          <w:cantSplit/>
          <w:trHeight w:val="283"/>
        </w:trPr>
        <w:tc>
          <w:tcPr>
            <w:tcW w:w="0" w:type="auto"/>
            <w:shd w:val="clear" w:color="auto" w:fill="FFFFFF"/>
            <w:tcMar>
              <w:top w:w="0" w:type="dxa"/>
              <w:left w:w="85" w:type="dxa"/>
              <w:bottom w:w="0" w:type="dxa"/>
              <w:right w:w="85" w:type="dxa"/>
            </w:tcMar>
          </w:tcPr>
          <w:p w14:paraId="25876049" w14:textId="77777777" w:rsidR="00BB3E1E" w:rsidRPr="00076B94" w:rsidRDefault="00BB3E1E" w:rsidP="00B05614">
            <w:pPr>
              <w:pStyle w:val="TableText"/>
            </w:pPr>
            <w:r w:rsidRPr="00076B94" w:rsidDel="00C35CA4">
              <w:t>4.C.1</w:t>
            </w:r>
          </w:p>
        </w:tc>
        <w:tc>
          <w:tcPr>
            <w:tcW w:w="0" w:type="auto"/>
            <w:shd w:val="clear" w:color="auto" w:fill="FFFFFF"/>
            <w:tcMar>
              <w:top w:w="0" w:type="dxa"/>
              <w:left w:w="85" w:type="dxa"/>
              <w:bottom w:w="0" w:type="dxa"/>
              <w:right w:w="85" w:type="dxa"/>
            </w:tcMar>
          </w:tcPr>
          <w:p w14:paraId="558593E1" w14:textId="77777777" w:rsidR="00BB3E1E" w:rsidRPr="00076B94" w:rsidRDefault="00BB3E1E" w:rsidP="00B05614">
            <w:pPr>
              <w:pStyle w:val="TableText"/>
            </w:pPr>
            <w:r w:rsidRPr="00076B94">
              <w:t xml:space="preserve">Grassland – Grassland Remaining </w:t>
            </w:r>
            <w:r w:rsidRPr="00076B94" w:rsidDel="00C35CA4">
              <w:t>Grassland</w:t>
            </w:r>
          </w:p>
        </w:tc>
        <w:tc>
          <w:tcPr>
            <w:tcW w:w="0" w:type="auto"/>
            <w:shd w:val="clear" w:color="auto" w:fill="FFFFFF"/>
            <w:tcMar>
              <w:top w:w="0" w:type="dxa"/>
              <w:left w:w="85" w:type="dxa"/>
              <w:bottom w:w="0" w:type="dxa"/>
              <w:right w:w="85" w:type="dxa"/>
            </w:tcMar>
          </w:tcPr>
          <w:p w14:paraId="008703E5"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56AD23E8" w14:textId="77777777" w:rsidR="00BB3E1E" w:rsidRPr="00076B94" w:rsidRDefault="00BB3E1E" w:rsidP="00B05614">
            <w:pPr>
              <w:pStyle w:val="TableText"/>
              <w:jc w:val="right"/>
            </w:pPr>
            <w:r w:rsidRPr="00076B94">
              <w:t>220.0</w:t>
            </w:r>
          </w:p>
        </w:tc>
        <w:tc>
          <w:tcPr>
            <w:tcW w:w="0" w:type="auto"/>
            <w:shd w:val="clear" w:color="auto" w:fill="FFFFFF"/>
            <w:tcMar>
              <w:top w:w="0" w:type="dxa"/>
              <w:left w:w="85" w:type="dxa"/>
              <w:bottom w:w="0" w:type="dxa"/>
              <w:right w:w="85" w:type="dxa"/>
            </w:tcMar>
          </w:tcPr>
          <w:p w14:paraId="4B477291" w14:textId="77777777" w:rsidR="00BB3E1E" w:rsidRPr="00076B94" w:rsidRDefault="00BB3E1E" w:rsidP="00B05614">
            <w:pPr>
              <w:pStyle w:val="TableText"/>
              <w:jc w:val="right"/>
            </w:pPr>
            <w:r w:rsidRPr="00076B94">
              <w:t>1,225.5</w:t>
            </w:r>
          </w:p>
        </w:tc>
        <w:tc>
          <w:tcPr>
            <w:tcW w:w="0" w:type="auto"/>
            <w:shd w:val="clear" w:color="auto" w:fill="FFFFFF"/>
            <w:tcMar>
              <w:top w:w="0" w:type="dxa"/>
              <w:left w:w="85" w:type="dxa"/>
              <w:bottom w:w="0" w:type="dxa"/>
              <w:right w:w="85" w:type="dxa"/>
            </w:tcMar>
          </w:tcPr>
          <w:p w14:paraId="0F031093" w14:textId="77777777" w:rsidR="00BB3E1E" w:rsidRPr="00076B94" w:rsidRDefault="00BB3E1E" w:rsidP="00B05614">
            <w:pPr>
              <w:pStyle w:val="TableText"/>
              <w:jc w:val="right"/>
            </w:pPr>
            <w:r w:rsidRPr="00076B94">
              <w:t>0.011</w:t>
            </w:r>
          </w:p>
        </w:tc>
        <w:tc>
          <w:tcPr>
            <w:tcW w:w="0" w:type="auto"/>
            <w:shd w:val="clear" w:color="auto" w:fill="FFFFFF"/>
            <w:tcMar>
              <w:top w:w="0" w:type="dxa"/>
              <w:left w:w="85" w:type="dxa"/>
              <w:bottom w:w="0" w:type="dxa"/>
              <w:right w:w="85" w:type="dxa"/>
            </w:tcMar>
          </w:tcPr>
          <w:p w14:paraId="039FA076" w14:textId="77777777" w:rsidR="00BB3E1E" w:rsidRPr="00076B94" w:rsidRDefault="00BB3E1E" w:rsidP="00B05614">
            <w:pPr>
              <w:pStyle w:val="TableText"/>
              <w:jc w:val="right"/>
            </w:pPr>
            <w:r w:rsidRPr="00076B94">
              <w:t>1.3</w:t>
            </w:r>
          </w:p>
        </w:tc>
        <w:tc>
          <w:tcPr>
            <w:tcW w:w="0" w:type="auto"/>
            <w:shd w:val="clear" w:color="auto" w:fill="FFFFFF"/>
            <w:tcMar>
              <w:top w:w="0" w:type="dxa"/>
              <w:left w:w="85" w:type="dxa"/>
              <w:bottom w:w="0" w:type="dxa"/>
              <w:right w:w="85" w:type="dxa"/>
            </w:tcMar>
          </w:tcPr>
          <w:p w14:paraId="1DDB862B" w14:textId="77777777" w:rsidR="00BB3E1E" w:rsidRPr="00076B94" w:rsidRDefault="00BB3E1E" w:rsidP="00B05614">
            <w:pPr>
              <w:pStyle w:val="TableText"/>
              <w:jc w:val="right"/>
            </w:pPr>
            <w:r w:rsidRPr="00076B94">
              <w:t>81.9</w:t>
            </w:r>
          </w:p>
        </w:tc>
      </w:tr>
      <w:tr w:rsidR="00BB3E1E" w:rsidRPr="00076B94" w14:paraId="13E0043F" w14:textId="77777777" w:rsidTr="00B05614">
        <w:trPr>
          <w:cantSplit/>
          <w:trHeight w:val="283"/>
        </w:trPr>
        <w:tc>
          <w:tcPr>
            <w:tcW w:w="0" w:type="auto"/>
            <w:shd w:val="clear" w:color="auto" w:fill="FFFFFF"/>
            <w:tcMar>
              <w:top w:w="0" w:type="dxa"/>
              <w:left w:w="85" w:type="dxa"/>
              <w:bottom w:w="0" w:type="dxa"/>
              <w:right w:w="85" w:type="dxa"/>
            </w:tcMar>
          </w:tcPr>
          <w:p w14:paraId="4617F464" w14:textId="77777777" w:rsidR="00BB3E1E" w:rsidRPr="00076B94" w:rsidRDefault="00BB3E1E" w:rsidP="00B05614">
            <w:pPr>
              <w:pStyle w:val="TableText"/>
            </w:pPr>
            <w:r w:rsidRPr="00076B94" w:rsidDel="00C35CA4">
              <w:t>1.A.2.g.viii</w:t>
            </w:r>
          </w:p>
        </w:tc>
        <w:tc>
          <w:tcPr>
            <w:tcW w:w="0" w:type="auto"/>
            <w:shd w:val="clear" w:color="auto" w:fill="FFFFFF"/>
            <w:tcMar>
              <w:top w:w="0" w:type="dxa"/>
              <w:left w:w="85" w:type="dxa"/>
              <w:bottom w:w="0" w:type="dxa"/>
              <w:right w:w="85" w:type="dxa"/>
            </w:tcMar>
          </w:tcPr>
          <w:p w14:paraId="200781AA" w14:textId="77777777" w:rsidR="00BB3E1E" w:rsidRPr="00076B94" w:rsidRDefault="00BB3E1E" w:rsidP="00B05614">
            <w:pPr>
              <w:pStyle w:val="TableText"/>
            </w:pPr>
            <w:r w:rsidRPr="00076B94">
              <w:t>Other (please specify) – Other (please specify) Solid Fuels</w:t>
            </w:r>
          </w:p>
        </w:tc>
        <w:tc>
          <w:tcPr>
            <w:tcW w:w="0" w:type="auto"/>
            <w:shd w:val="clear" w:color="auto" w:fill="FFFFFF"/>
            <w:tcMar>
              <w:top w:w="0" w:type="dxa"/>
              <w:left w:w="85" w:type="dxa"/>
              <w:bottom w:w="0" w:type="dxa"/>
              <w:right w:w="85" w:type="dxa"/>
            </w:tcMar>
          </w:tcPr>
          <w:p w14:paraId="5B06085C"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117B94B4" w14:textId="77777777" w:rsidR="00BB3E1E" w:rsidRPr="00076B94" w:rsidRDefault="00BB3E1E" w:rsidP="00B05614">
            <w:pPr>
              <w:pStyle w:val="TableText"/>
              <w:jc w:val="right"/>
            </w:pPr>
            <w:r w:rsidRPr="00076B94">
              <w:t>731.1</w:t>
            </w:r>
          </w:p>
        </w:tc>
        <w:tc>
          <w:tcPr>
            <w:tcW w:w="0" w:type="auto"/>
            <w:shd w:val="clear" w:color="auto" w:fill="FFFFFF"/>
            <w:tcMar>
              <w:top w:w="0" w:type="dxa"/>
              <w:left w:w="85" w:type="dxa"/>
              <w:bottom w:w="0" w:type="dxa"/>
              <w:right w:w="85" w:type="dxa"/>
            </w:tcMar>
          </w:tcPr>
          <w:p w14:paraId="4D048AB7" w14:textId="77777777" w:rsidR="00BB3E1E" w:rsidRPr="00076B94" w:rsidRDefault="00BB3E1E" w:rsidP="00B05614">
            <w:pPr>
              <w:pStyle w:val="TableText"/>
              <w:jc w:val="right"/>
            </w:pPr>
            <w:r w:rsidRPr="00076B94">
              <w:t>35.3</w:t>
            </w:r>
          </w:p>
        </w:tc>
        <w:tc>
          <w:tcPr>
            <w:tcW w:w="0" w:type="auto"/>
            <w:shd w:val="clear" w:color="auto" w:fill="FFFFFF"/>
            <w:tcMar>
              <w:top w:w="0" w:type="dxa"/>
              <w:left w:w="85" w:type="dxa"/>
              <w:bottom w:w="0" w:type="dxa"/>
              <w:right w:w="85" w:type="dxa"/>
            </w:tcMar>
          </w:tcPr>
          <w:p w14:paraId="424A79B4" w14:textId="77777777" w:rsidR="00BB3E1E" w:rsidRPr="00076B94" w:rsidRDefault="00BB3E1E" w:rsidP="00B05614">
            <w:pPr>
              <w:pStyle w:val="TableText"/>
              <w:jc w:val="right"/>
            </w:pPr>
            <w:r w:rsidRPr="00076B94">
              <w:t>0.010</w:t>
            </w:r>
          </w:p>
        </w:tc>
        <w:tc>
          <w:tcPr>
            <w:tcW w:w="0" w:type="auto"/>
            <w:shd w:val="clear" w:color="auto" w:fill="FFFFFF"/>
            <w:tcMar>
              <w:top w:w="0" w:type="dxa"/>
              <w:left w:w="85" w:type="dxa"/>
              <w:bottom w:w="0" w:type="dxa"/>
              <w:right w:w="85" w:type="dxa"/>
            </w:tcMar>
          </w:tcPr>
          <w:p w14:paraId="3E2BC575" w14:textId="77777777" w:rsidR="00BB3E1E" w:rsidRPr="00076B94" w:rsidRDefault="00BB3E1E" w:rsidP="00B05614">
            <w:pPr>
              <w:pStyle w:val="TableText"/>
              <w:jc w:val="right"/>
            </w:pPr>
            <w:r w:rsidRPr="00076B94">
              <w:t>1.2</w:t>
            </w:r>
          </w:p>
        </w:tc>
        <w:tc>
          <w:tcPr>
            <w:tcW w:w="0" w:type="auto"/>
            <w:shd w:val="clear" w:color="auto" w:fill="FFFFFF"/>
            <w:tcMar>
              <w:top w:w="0" w:type="dxa"/>
              <w:left w:w="85" w:type="dxa"/>
              <w:bottom w:w="0" w:type="dxa"/>
              <w:right w:w="85" w:type="dxa"/>
            </w:tcMar>
          </w:tcPr>
          <w:p w14:paraId="3042F5E4" w14:textId="77777777" w:rsidR="00BB3E1E" w:rsidRPr="00076B94" w:rsidRDefault="00BB3E1E" w:rsidP="00B05614">
            <w:pPr>
              <w:pStyle w:val="TableText"/>
              <w:jc w:val="right"/>
            </w:pPr>
            <w:r w:rsidRPr="00076B94">
              <w:t>83.2</w:t>
            </w:r>
          </w:p>
        </w:tc>
      </w:tr>
      <w:tr w:rsidR="00BB3E1E" w:rsidRPr="00076B94" w14:paraId="4E277423" w14:textId="77777777" w:rsidTr="00B05614">
        <w:trPr>
          <w:cantSplit/>
          <w:trHeight w:val="283"/>
        </w:trPr>
        <w:tc>
          <w:tcPr>
            <w:tcW w:w="0" w:type="auto"/>
            <w:shd w:val="clear" w:color="auto" w:fill="FFFFFF"/>
            <w:tcMar>
              <w:top w:w="0" w:type="dxa"/>
              <w:left w:w="85" w:type="dxa"/>
              <w:bottom w:w="0" w:type="dxa"/>
              <w:right w:w="85" w:type="dxa"/>
            </w:tcMar>
          </w:tcPr>
          <w:p w14:paraId="140FA541" w14:textId="77777777" w:rsidR="00BB3E1E" w:rsidRPr="00076B94" w:rsidRDefault="00BB3E1E" w:rsidP="00B05614">
            <w:pPr>
              <w:pStyle w:val="TableText"/>
            </w:pPr>
            <w:r w:rsidRPr="00076B94" w:rsidDel="00C35CA4">
              <w:t>1.A.2.c</w:t>
            </w:r>
          </w:p>
        </w:tc>
        <w:tc>
          <w:tcPr>
            <w:tcW w:w="0" w:type="auto"/>
            <w:shd w:val="clear" w:color="auto" w:fill="FFFFFF"/>
            <w:tcMar>
              <w:top w:w="0" w:type="dxa"/>
              <w:left w:w="85" w:type="dxa"/>
              <w:bottom w:w="0" w:type="dxa"/>
              <w:right w:w="85" w:type="dxa"/>
            </w:tcMar>
          </w:tcPr>
          <w:p w14:paraId="37436337" w14:textId="77777777" w:rsidR="00BB3E1E" w:rsidRPr="00076B94" w:rsidRDefault="00BB3E1E" w:rsidP="00B05614">
            <w:pPr>
              <w:pStyle w:val="TableText"/>
            </w:pPr>
            <w:r w:rsidRPr="00076B94">
              <w:t xml:space="preserve">Manufacturing Industries and Construction – Chemicals Gaseous </w:t>
            </w:r>
            <w:r w:rsidRPr="00076B94" w:rsidDel="00C35CA4">
              <w:t>Fuels</w:t>
            </w:r>
          </w:p>
        </w:tc>
        <w:tc>
          <w:tcPr>
            <w:tcW w:w="0" w:type="auto"/>
            <w:shd w:val="clear" w:color="auto" w:fill="FFFFFF"/>
            <w:tcMar>
              <w:top w:w="0" w:type="dxa"/>
              <w:left w:w="85" w:type="dxa"/>
              <w:bottom w:w="0" w:type="dxa"/>
              <w:right w:w="85" w:type="dxa"/>
            </w:tcMar>
          </w:tcPr>
          <w:p w14:paraId="2F41FC17"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1170C04C" w14:textId="77777777" w:rsidR="00BB3E1E" w:rsidRPr="00076B94" w:rsidRDefault="00BB3E1E" w:rsidP="00B05614">
            <w:pPr>
              <w:pStyle w:val="TableText"/>
              <w:jc w:val="right"/>
            </w:pPr>
            <w:r w:rsidRPr="00076B94">
              <w:t>524.8</w:t>
            </w:r>
          </w:p>
        </w:tc>
        <w:tc>
          <w:tcPr>
            <w:tcW w:w="0" w:type="auto"/>
            <w:shd w:val="clear" w:color="auto" w:fill="FFFFFF"/>
            <w:tcMar>
              <w:top w:w="0" w:type="dxa"/>
              <w:left w:w="85" w:type="dxa"/>
              <w:bottom w:w="0" w:type="dxa"/>
              <w:right w:w="85" w:type="dxa"/>
            </w:tcMar>
          </w:tcPr>
          <w:p w14:paraId="2D8DD118" w14:textId="77777777" w:rsidR="00BB3E1E" w:rsidRPr="00076B94" w:rsidRDefault="00BB3E1E" w:rsidP="00B05614">
            <w:pPr>
              <w:pStyle w:val="TableText"/>
              <w:jc w:val="right"/>
            </w:pPr>
            <w:r w:rsidRPr="00076B94">
              <w:t>1,540.1</w:t>
            </w:r>
          </w:p>
        </w:tc>
        <w:tc>
          <w:tcPr>
            <w:tcW w:w="0" w:type="auto"/>
            <w:shd w:val="clear" w:color="auto" w:fill="FFFFFF"/>
            <w:tcMar>
              <w:top w:w="0" w:type="dxa"/>
              <w:left w:w="85" w:type="dxa"/>
              <w:bottom w:w="0" w:type="dxa"/>
              <w:right w:w="85" w:type="dxa"/>
            </w:tcMar>
          </w:tcPr>
          <w:p w14:paraId="349B4303" w14:textId="77777777" w:rsidR="00BB3E1E" w:rsidRPr="00076B94" w:rsidRDefault="00BB3E1E" w:rsidP="00B05614">
            <w:pPr>
              <w:pStyle w:val="TableText"/>
              <w:jc w:val="right"/>
            </w:pPr>
            <w:r w:rsidRPr="00076B94">
              <w:t>0.010</w:t>
            </w:r>
          </w:p>
        </w:tc>
        <w:tc>
          <w:tcPr>
            <w:tcW w:w="0" w:type="auto"/>
            <w:shd w:val="clear" w:color="auto" w:fill="FFFFFF"/>
            <w:tcMar>
              <w:top w:w="0" w:type="dxa"/>
              <w:left w:w="85" w:type="dxa"/>
              <w:bottom w:w="0" w:type="dxa"/>
              <w:right w:w="85" w:type="dxa"/>
            </w:tcMar>
          </w:tcPr>
          <w:p w14:paraId="436693E5" w14:textId="77777777" w:rsidR="00BB3E1E" w:rsidRPr="00076B94" w:rsidRDefault="00BB3E1E" w:rsidP="00B05614">
            <w:pPr>
              <w:pStyle w:val="TableText"/>
              <w:jc w:val="right"/>
            </w:pPr>
            <w:r w:rsidRPr="00076B94">
              <w:t>1.2</w:t>
            </w:r>
          </w:p>
        </w:tc>
        <w:tc>
          <w:tcPr>
            <w:tcW w:w="0" w:type="auto"/>
            <w:shd w:val="clear" w:color="auto" w:fill="FFFFFF"/>
            <w:tcMar>
              <w:top w:w="0" w:type="dxa"/>
              <w:left w:w="85" w:type="dxa"/>
              <w:bottom w:w="0" w:type="dxa"/>
              <w:right w:w="85" w:type="dxa"/>
            </w:tcMar>
          </w:tcPr>
          <w:p w14:paraId="51448ECF" w14:textId="77777777" w:rsidR="00BB3E1E" w:rsidRPr="00076B94" w:rsidRDefault="00BB3E1E" w:rsidP="00B05614">
            <w:pPr>
              <w:pStyle w:val="TableText"/>
              <w:jc w:val="right"/>
            </w:pPr>
            <w:r w:rsidRPr="00076B94">
              <w:t>84.4</w:t>
            </w:r>
          </w:p>
        </w:tc>
      </w:tr>
      <w:tr w:rsidR="00BB3E1E" w:rsidRPr="00076B94" w14:paraId="2621AC39" w14:textId="77777777" w:rsidTr="00B05614">
        <w:trPr>
          <w:cantSplit/>
          <w:trHeight w:val="283"/>
        </w:trPr>
        <w:tc>
          <w:tcPr>
            <w:tcW w:w="0" w:type="auto"/>
            <w:shd w:val="clear" w:color="auto" w:fill="FFFFFF"/>
            <w:tcMar>
              <w:top w:w="0" w:type="dxa"/>
              <w:left w:w="85" w:type="dxa"/>
              <w:bottom w:w="0" w:type="dxa"/>
              <w:right w:w="85" w:type="dxa"/>
            </w:tcMar>
          </w:tcPr>
          <w:p w14:paraId="5A9F53DB" w14:textId="77777777" w:rsidR="00BB3E1E" w:rsidRPr="00076B94" w:rsidRDefault="00BB3E1E" w:rsidP="00B05614">
            <w:pPr>
              <w:pStyle w:val="TableText"/>
            </w:pPr>
            <w:r w:rsidRPr="00076B94" w:rsidDel="00C35CA4">
              <w:t>3.B.1.1</w:t>
            </w:r>
          </w:p>
        </w:tc>
        <w:tc>
          <w:tcPr>
            <w:tcW w:w="0" w:type="auto"/>
            <w:shd w:val="clear" w:color="auto" w:fill="FFFFFF"/>
            <w:tcMar>
              <w:top w:w="0" w:type="dxa"/>
              <w:left w:w="85" w:type="dxa"/>
              <w:bottom w:w="0" w:type="dxa"/>
              <w:right w:w="85" w:type="dxa"/>
            </w:tcMar>
          </w:tcPr>
          <w:p w14:paraId="2D60DD0A" w14:textId="77777777" w:rsidR="00BB3E1E" w:rsidRPr="00076B94" w:rsidRDefault="00BB3E1E" w:rsidP="00B05614">
            <w:pPr>
              <w:pStyle w:val="TableText"/>
            </w:pPr>
            <w:r w:rsidRPr="00076B94">
              <w:t>Option A – Dairy Cattle</w:t>
            </w:r>
          </w:p>
        </w:tc>
        <w:tc>
          <w:tcPr>
            <w:tcW w:w="0" w:type="auto"/>
            <w:shd w:val="clear" w:color="auto" w:fill="FFFFFF"/>
            <w:tcMar>
              <w:top w:w="0" w:type="dxa"/>
              <w:left w:w="85" w:type="dxa"/>
              <w:bottom w:w="0" w:type="dxa"/>
              <w:right w:w="85" w:type="dxa"/>
            </w:tcMar>
          </w:tcPr>
          <w:p w14:paraId="780C925C" w14:textId="77777777" w:rsidR="00BB3E1E" w:rsidRPr="00076B94" w:rsidRDefault="00BB3E1E" w:rsidP="00B05614">
            <w:pPr>
              <w:pStyle w:val="TableText"/>
            </w:pPr>
            <w:r w:rsidRPr="00076B94" w:rsidDel="00C35CA4">
              <w:t>CH</w:t>
            </w:r>
            <w:r w:rsidRPr="00076B94" w:rsidDel="00C35CA4">
              <w:rPr>
                <w:vertAlign w:val="subscript"/>
              </w:rPr>
              <w:t>4</w:t>
            </w:r>
          </w:p>
        </w:tc>
        <w:tc>
          <w:tcPr>
            <w:tcW w:w="0" w:type="auto"/>
            <w:shd w:val="clear" w:color="auto" w:fill="FFFFFF"/>
            <w:tcMar>
              <w:top w:w="0" w:type="dxa"/>
              <w:left w:w="85" w:type="dxa"/>
              <w:bottom w:w="0" w:type="dxa"/>
              <w:right w:w="85" w:type="dxa"/>
            </w:tcMar>
          </w:tcPr>
          <w:p w14:paraId="1557C970" w14:textId="77777777" w:rsidR="00BB3E1E" w:rsidRPr="00076B94" w:rsidRDefault="00BB3E1E" w:rsidP="00B05614">
            <w:pPr>
              <w:pStyle w:val="TableText"/>
              <w:jc w:val="right"/>
            </w:pPr>
            <w:r w:rsidRPr="00076B94">
              <w:t>416.6</w:t>
            </w:r>
          </w:p>
        </w:tc>
        <w:tc>
          <w:tcPr>
            <w:tcW w:w="0" w:type="auto"/>
            <w:shd w:val="clear" w:color="auto" w:fill="FFFFFF"/>
            <w:tcMar>
              <w:top w:w="0" w:type="dxa"/>
              <w:left w:w="85" w:type="dxa"/>
              <w:bottom w:w="0" w:type="dxa"/>
              <w:right w:w="85" w:type="dxa"/>
            </w:tcMar>
          </w:tcPr>
          <w:p w14:paraId="63D78475" w14:textId="77777777" w:rsidR="00BB3E1E" w:rsidRPr="00076B94" w:rsidRDefault="00BB3E1E" w:rsidP="00B05614">
            <w:pPr>
              <w:pStyle w:val="TableText"/>
              <w:jc w:val="right"/>
            </w:pPr>
            <w:r w:rsidRPr="00076B94">
              <w:t>1,387.1</w:t>
            </w:r>
          </w:p>
        </w:tc>
        <w:tc>
          <w:tcPr>
            <w:tcW w:w="0" w:type="auto"/>
            <w:shd w:val="clear" w:color="auto" w:fill="FFFFFF"/>
            <w:tcMar>
              <w:top w:w="0" w:type="dxa"/>
              <w:left w:w="85" w:type="dxa"/>
              <w:bottom w:w="0" w:type="dxa"/>
              <w:right w:w="85" w:type="dxa"/>
            </w:tcMar>
          </w:tcPr>
          <w:p w14:paraId="5E01743D" w14:textId="77777777" w:rsidR="00BB3E1E" w:rsidRPr="00076B94" w:rsidRDefault="00BB3E1E" w:rsidP="00B05614">
            <w:pPr>
              <w:pStyle w:val="TableText"/>
              <w:jc w:val="right"/>
            </w:pPr>
            <w:r w:rsidRPr="00076B94">
              <w:t>0.010</w:t>
            </w:r>
          </w:p>
        </w:tc>
        <w:tc>
          <w:tcPr>
            <w:tcW w:w="0" w:type="auto"/>
            <w:shd w:val="clear" w:color="auto" w:fill="FFFFFF"/>
            <w:tcMar>
              <w:top w:w="0" w:type="dxa"/>
              <w:left w:w="85" w:type="dxa"/>
              <w:bottom w:w="0" w:type="dxa"/>
              <w:right w:w="85" w:type="dxa"/>
            </w:tcMar>
          </w:tcPr>
          <w:p w14:paraId="78D52C09" w14:textId="77777777" w:rsidR="00BB3E1E" w:rsidRPr="00076B94" w:rsidRDefault="00BB3E1E" w:rsidP="00B05614">
            <w:pPr>
              <w:pStyle w:val="TableText"/>
              <w:jc w:val="right"/>
            </w:pPr>
            <w:r w:rsidRPr="00076B94">
              <w:t>1.2</w:t>
            </w:r>
          </w:p>
        </w:tc>
        <w:tc>
          <w:tcPr>
            <w:tcW w:w="0" w:type="auto"/>
            <w:shd w:val="clear" w:color="auto" w:fill="FFFFFF"/>
            <w:tcMar>
              <w:top w:w="0" w:type="dxa"/>
              <w:left w:w="85" w:type="dxa"/>
              <w:bottom w:w="0" w:type="dxa"/>
              <w:right w:w="85" w:type="dxa"/>
            </w:tcMar>
          </w:tcPr>
          <w:p w14:paraId="25075A58" w14:textId="77777777" w:rsidR="00BB3E1E" w:rsidRPr="00076B94" w:rsidRDefault="00BB3E1E" w:rsidP="00B05614">
            <w:pPr>
              <w:pStyle w:val="TableText"/>
              <w:jc w:val="right"/>
            </w:pPr>
            <w:r w:rsidRPr="00076B94">
              <w:t>85.5</w:t>
            </w:r>
          </w:p>
        </w:tc>
      </w:tr>
      <w:tr w:rsidR="00BB3E1E" w:rsidRPr="00076B94" w14:paraId="30BD8E05" w14:textId="77777777" w:rsidTr="00B05614">
        <w:trPr>
          <w:cantSplit/>
          <w:trHeight w:val="283"/>
        </w:trPr>
        <w:tc>
          <w:tcPr>
            <w:tcW w:w="0" w:type="auto"/>
            <w:shd w:val="clear" w:color="auto" w:fill="FFFFFF"/>
            <w:tcMar>
              <w:top w:w="0" w:type="dxa"/>
              <w:left w:w="85" w:type="dxa"/>
              <w:bottom w:w="0" w:type="dxa"/>
              <w:right w:w="85" w:type="dxa"/>
            </w:tcMar>
          </w:tcPr>
          <w:p w14:paraId="74D8E0C5" w14:textId="77777777" w:rsidR="00BB3E1E" w:rsidRPr="00076B94" w:rsidRDefault="00BB3E1E" w:rsidP="00B05614">
            <w:pPr>
              <w:pStyle w:val="TableText"/>
            </w:pPr>
            <w:r w:rsidRPr="00076B94" w:rsidDel="00C35CA4">
              <w:t>4.C.2</w:t>
            </w:r>
          </w:p>
        </w:tc>
        <w:tc>
          <w:tcPr>
            <w:tcW w:w="0" w:type="auto"/>
            <w:shd w:val="clear" w:color="auto" w:fill="FFFFFF"/>
            <w:tcMar>
              <w:top w:w="0" w:type="dxa"/>
              <w:left w:w="85" w:type="dxa"/>
              <w:bottom w:w="0" w:type="dxa"/>
              <w:right w:w="85" w:type="dxa"/>
            </w:tcMar>
          </w:tcPr>
          <w:p w14:paraId="3F33CC25" w14:textId="77777777" w:rsidR="00BB3E1E" w:rsidRPr="00076B94" w:rsidRDefault="00BB3E1E" w:rsidP="00B05614">
            <w:pPr>
              <w:pStyle w:val="TableText"/>
            </w:pPr>
            <w:r w:rsidRPr="00076B94">
              <w:t xml:space="preserve">Grassland – Land Converted to </w:t>
            </w:r>
            <w:r w:rsidRPr="00076B94" w:rsidDel="00C35CA4">
              <w:t>Grassland</w:t>
            </w:r>
          </w:p>
        </w:tc>
        <w:tc>
          <w:tcPr>
            <w:tcW w:w="0" w:type="auto"/>
            <w:shd w:val="clear" w:color="auto" w:fill="FFFFFF"/>
            <w:tcMar>
              <w:top w:w="0" w:type="dxa"/>
              <w:left w:w="85" w:type="dxa"/>
              <w:bottom w:w="0" w:type="dxa"/>
              <w:right w:w="85" w:type="dxa"/>
            </w:tcMar>
          </w:tcPr>
          <w:p w14:paraId="412B748B"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3B22CED0" w14:textId="77777777" w:rsidR="00BB3E1E" w:rsidRPr="00076B94" w:rsidRDefault="00BB3E1E" w:rsidP="00B05614">
            <w:pPr>
              <w:pStyle w:val="TableText"/>
              <w:jc w:val="right"/>
            </w:pPr>
            <w:r w:rsidRPr="00076B94">
              <w:t>389.8</w:t>
            </w:r>
          </w:p>
        </w:tc>
        <w:tc>
          <w:tcPr>
            <w:tcW w:w="0" w:type="auto"/>
            <w:shd w:val="clear" w:color="auto" w:fill="FFFFFF"/>
            <w:tcMar>
              <w:top w:w="0" w:type="dxa"/>
              <w:left w:w="85" w:type="dxa"/>
              <w:bottom w:w="0" w:type="dxa"/>
              <w:right w:w="85" w:type="dxa"/>
            </w:tcMar>
          </w:tcPr>
          <w:p w14:paraId="4164E4FE" w14:textId="77777777" w:rsidR="00BB3E1E" w:rsidRPr="00076B94" w:rsidRDefault="00BB3E1E" w:rsidP="00B05614">
            <w:pPr>
              <w:pStyle w:val="TableText"/>
              <w:jc w:val="right"/>
            </w:pPr>
            <w:r w:rsidRPr="00076B94">
              <w:t>1,299.0</w:t>
            </w:r>
          </w:p>
        </w:tc>
        <w:tc>
          <w:tcPr>
            <w:tcW w:w="0" w:type="auto"/>
            <w:shd w:val="clear" w:color="auto" w:fill="FFFFFF"/>
            <w:tcMar>
              <w:top w:w="0" w:type="dxa"/>
              <w:left w:w="85" w:type="dxa"/>
              <w:bottom w:w="0" w:type="dxa"/>
              <w:right w:w="85" w:type="dxa"/>
            </w:tcMar>
          </w:tcPr>
          <w:p w14:paraId="56B1BF89" w14:textId="77777777" w:rsidR="00BB3E1E" w:rsidRPr="00076B94" w:rsidRDefault="00BB3E1E" w:rsidP="00B05614">
            <w:pPr>
              <w:pStyle w:val="TableText"/>
              <w:jc w:val="right"/>
            </w:pPr>
            <w:r w:rsidRPr="00076B94">
              <w:t>0.009</w:t>
            </w:r>
          </w:p>
        </w:tc>
        <w:tc>
          <w:tcPr>
            <w:tcW w:w="0" w:type="auto"/>
            <w:shd w:val="clear" w:color="auto" w:fill="FFFFFF"/>
            <w:tcMar>
              <w:top w:w="0" w:type="dxa"/>
              <w:left w:w="85" w:type="dxa"/>
              <w:bottom w:w="0" w:type="dxa"/>
              <w:right w:w="85" w:type="dxa"/>
            </w:tcMar>
          </w:tcPr>
          <w:p w14:paraId="7C0DCDBF" w14:textId="77777777" w:rsidR="00BB3E1E" w:rsidRPr="00076B94" w:rsidRDefault="00BB3E1E" w:rsidP="00B05614">
            <w:pPr>
              <w:pStyle w:val="TableText"/>
              <w:jc w:val="right"/>
            </w:pPr>
            <w:r w:rsidRPr="00076B94">
              <w:t>1.1</w:t>
            </w:r>
          </w:p>
        </w:tc>
        <w:tc>
          <w:tcPr>
            <w:tcW w:w="0" w:type="auto"/>
            <w:shd w:val="clear" w:color="auto" w:fill="FFFFFF"/>
            <w:tcMar>
              <w:top w:w="0" w:type="dxa"/>
              <w:left w:w="85" w:type="dxa"/>
              <w:bottom w:w="0" w:type="dxa"/>
              <w:right w:w="85" w:type="dxa"/>
            </w:tcMar>
          </w:tcPr>
          <w:p w14:paraId="389B1691" w14:textId="77777777" w:rsidR="00BB3E1E" w:rsidRPr="00076B94" w:rsidRDefault="00BB3E1E" w:rsidP="00B05614">
            <w:pPr>
              <w:pStyle w:val="TableText"/>
              <w:jc w:val="right"/>
            </w:pPr>
            <w:r w:rsidRPr="00076B94">
              <w:t>86.7</w:t>
            </w:r>
          </w:p>
        </w:tc>
      </w:tr>
      <w:tr w:rsidR="00BB3E1E" w:rsidRPr="00076B94" w14:paraId="2FECF2A1" w14:textId="77777777" w:rsidTr="00B05614">
        <w:trPr>
          <w:cantSplit/>
          <w:trHeight w:val="283"/>
        </w:trPr>
        <w:tc>
          <w:tcPr>
            <w:tcW w:w="0" w:type="auto"/>
            <w:shd w:val="clear" w:color="auto" w:fill="FFFFFF"/>
            <w:tcMar>
              <w:top w:w="0" w:type="dxa"/>
              <w:left w:w="85" w:type="dxa"/>
              <w:bottom w:w="0" w:type="dxa"/>
              <w:right w:w="85" w:type="dxa"/>
            </w:tcMar>
          </w:tcPr>
          <w:p w14:paraId="72FE2B62" w14:textId="77777777" w:rsidR="00BB3E1E" w:rsidRPr="00076B94" w:rsidRDefault="00BB3E1E" w:rsidP="00B05614">
            <w:pPr>
              <w:pStyle w:val="TableText"/>
            </w:pPr>
            <w:r w:rsidRPr="00076B94" w:rsidDel="00C35CA4">
              <w:t>1.A.2.e</w:t>
            </w:r>
          </w:p>
        </w:tc>
        <w:tc>
          <w:tcPr>
            <w:tcW w:w="0" w:type="auto"/>
            <w:shd w:val="clear" w:color="auto" w:fill="FFFFFF"/>
            <w:tcMar>
              <w:top w:w="0" w:type="dxa"/>
              <w:left w:w="85" w:type="dxa"/>
              <w:bottom w:w="0" w:type="dxa"/>
              <w:right w:w="85" w:type="dxa"/>
            </w:tcMar>
          </w:tcPr>
          <w:p w14:paraId="1BD33914" w14:textId="77777777" w:rsidR="00BB3E1E" w:rsidRPr="00076B94" w:rsidRDefault="00BB3E1E" w:rsidP="00B05614">
            <w:pPr>
              <w:pStyle w:val="TableText"/>
            </w:pPr>
            <w:r w:rsidRPr="00076B94">
              <w:t xml:space="preserve">Manufacturing Industries and Construction – Food Processing, Beverages and Tobacco Gaseous </w:t>
            </w:r>
            <w:r w:rsidRPr="00076B94" w:rsidDel="00C35CA4">
              <w:t>Fuels</w:t>
            </w:r>
          </w:p>
        </w:tc>
        <w:tc>
          <w:tcPr>
            <w:tcW w:w="0" w:type="auto"/>
            <w:shd w:val="clear" w:color="auto" w:fill="FFFFFF"/>
            <w:tcMar>
              <w:top w:w="0" w:type="dxa"/>
              <w:left w:w="85" w:type="dxa"/>
              <w:bottom w:w="0" w:type="dxa"/>
              <w:right w:w="85" w:type="dxa"/>
            </w:tcMar>
          </w:tcPr>
          <w:p w14:paraId="11416C17"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15DC6E33" w14:textId="77777777" w:rsidR="00BB3E1E" w:rsidRPr="00076B94" w:rsidRDefault="00BB3E1E" w:rsidP="00B05614">
            <w:pPr>
              <w:pStyle w:val="TableText"/>
              <w:jc w:val="right"/>
            </w:pPr>
            <w:r w:rsidRPr="00076B94">
              <w:t>443.4</w:t>
            </w:r>
          </w:p>
        </w:tc>
        <w:tc>
          <w:tcPr>
            <w:tcW w:w="0" w:type="auto"/>
            <w:shd w:val="clear" w:color="auto" w:fill="FFFFFF"/>
            <w:tcMar>
              <w:top w:w="0" w:type="dxa"/>
              <w:left w:w="85" w:type="dxa"/>
              <w:bottom w:w="0" w:type="dxa"/>
              <w:right w:w="85" w:type="dxa"/>
            </w:tcMar>
          </w:tcPr>
          <w:p w14:paraId="447C44B6" w14:textId="77777777" w:rsidR="00BB3E1E" w:rsidRPr="00076B94" w:rsidRDefault="00BB3E1E" w:rsidP="00B05614">
            <w:pPr>
              <w:pStyle w:val="TableText"/>
              <w:jc w:val="right"/>
            </w:pPr>
            <w:r w:rsidRPr="00076B94">
              <w:t>1,086.7</w:t>
            </w:r>
          </w:p>
        </w:tc>
        <w:tc>
          <w:tcPr>
            <w:tcW w:w="0" w:type="auto"/>
            <w:shd w:val="clear" w:color="auto" w:fill="FFFFFF"/>
            <w:tcMar>
              <w:top w:w="0" w:type="dxa"/>
              <w:left w:w="85" w:type="dxa"/>
              <w:bottom w:w="0" w:type="dxa"/>
              <w:right w:w="85" w:type="dxa"/>
            </w:tcMar>
          </w:tcPr>
          <w:p w14:paraId="6E64DE12" w14:textId="77777777" w:rsidR="00BB3E1E" w:rsidRPr="00076B94" w:rsidRDefault="00BB3E1E" w:rsidP="00B05614">
            <w:pPr>
              <w:pStyle w:val="TableText"/>
              <w:jc w:val="right"/>
            </w:pPr>
            <w:r w:rsidRPr="00076B94">
              <w:t>0.006</w:t>
            </w:r>
          </w:p>
        </w:tc>
        <w:tc>
          <w:tcPr>
            <w:tcW w:w="0" w:type="auto"/>
            <w:shd w:val="clear" w:color="auto" w:fill="FFFFFF"/>
            <w:tcMar>
              <w:top w:w="0" w:type="dxa"/>
              <w:left w:w="85" w:type="dxa"/>
              <w:bottom w:w="0" w:type="dxa"/>
              <w:right w:w="85" w:type="dxa"/>
            </w:tcMar>
          </w:tcPr>
          <w:p w14:paraId="2EA83E38" w14:textId="77777777" w:rsidR="00BB3E1E" w:rsidRPr="00076B94" w:rsidRDefault="00BB3E1E" w:rsidP="00B05614">
            <w:pPr>
              <w:pStyle w:val="TableText"/>
              <w:jc w:val="right"/>
            </w:pPr>
            <w:r w:rsidRPr="00076B94">
              <w:t>0.7</w:t>
            </w:r>
          </w:p>
        </w:tc>
        <w:tc>
          <w:tcPr>
            <w:tcW w:w="0" w:type="auto"/>
            <w:shd w:val="clear" w:color="auto" w:fill="FFFFFF"/>
            <w:tcMar>
              <w:top w:w="0" w:type="dxa"/>
              <w:left w:w="85" w:type="dxa"/>
              <w:bottom w:w="0" w:type="dxa"/>
              <w:right w:w="85" w:type="dxa"/>
            </w:tcMar>
          </w:tcPr>
          <w:p w14:paraId="0767B08E" w14:textId="77777777" w:rsidR="00BB3E1E" w:rsidRPr="00076B94" w:rsidRDefault="00BB3E1E" w:rsidP="00B05614">
            <w:pPr>
              <w:pStyle w:val="TableText"/>
              <w:jc w:val="right"/>
            </w:pPr>
            <w:r w:rsidRPr="00076B94">
              <w:t>87.4</w:t>
            </w:r>
          </w:p>
        </w:tc>
      </w:tr>
      <w:tr w:rsidR="00BB3E1E" w:rsidRPr="00076B94" w14:paraId="5BC64781" w14:textId="77777777" w:rsidTr="00B05614">
        <w:trPr>
          <w:cantSplit/>
          <w:trHeight w:val="283"/>
        </w:trPr>
        <w:tc>
          <w:tcPr>
            <w:tcW w:w="0" w:type="auto"/>
            <w:shd w:val="clear" w:color="auto" w:fill="FFFFFF"/>
            <w:tcMar>
              <w:top w:w="0" w:type="dxa"/>
              <w:left w:w="85" w:type="dxa"/>
              <w:bottom w:w="0" w:type="dxa"/>
              <w:right w:w="85" w:type="dxa"/>
            </w:tcMar>
          </w:tcPr>
          <w:p w14:paraId="3024E96C" w14:textId="77777777" w:rsidR="00BB3E1E" w:rsidRPr="00076B94" w:rsidRDefault="00BB3E1E" w:rsidP="00B05614">
            <w:pPr>
              <w:pStyle w:val="TableText"/>
            </w:pPr>
            <w:r w:rsidRPr="00076B94" w:rsidDel="00C35CA4">
              <w:t>1.A.2.e</w:t>
            </w:r>
          </w:p>
        </w:tc>
        <w:tc>
          <w:tcPr>
            <w:tcW w:w="0" w:type="auto"/>
            <w:shd w:val="clear" w:color="auto" w:fill="FFFFFF"/>
            <w:tcMar>
              <w:top w:w="0" w:type="dxa"/>
              <w:left w:w="85" w:type="dxa"/>
              <w:bottom w:w="0" w:type="dxa"/>
              <w:right w:w="85" w:type="dxa"/>
            </w:tcMar>
          </w:tcPr>
          <w:p w14:paraId="131BB365" w14:textId="77777777" w:rsidR="00BB3E1E" w:rsidRPr="00076B94" w:rsidRDefault="00BB3E1E" w:rsidP="00B05614">
            <w:pPr>
              <w:pStyle w:val="TableText"/>
            </w:pPr>
            <w:r w:rsidRPr="00076B94">
              <w:t xml:space="preserve">Manufacturing Industries and Construction – Food Processing, Beverages and Tobacco Solid </w:t>
            </w:r>
            <w:r w:rsidRPr="00076B94" w:rsidDel="00C35CA4">
              <w:t>Fuels</w:t>
            </w:r>
          </w:p>
        </w:tc>
        <w:tc>
          <w:tcPr>
            <w:tcW w:w="0" w:type="auto"/>
            <w:shd w:val="clear" w:color="auto" w:fill="FFFFFF"/>
            <w:tcMar>
              <w:top w:w="0" w:type="dxa"/>
              <w:left w:w="85" w:type="dxa"/>
              <w:bottom w:w="0" w:type="dxa"/>
              <w:right w:w="85" w:type="dxa"/>
            </w:tcMar>
          </w:tcPr>
          <w:p w14:paraId="28BDF765"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1AC89F08" w14:textId="77777777" w:rsidR="00BB3E1E" w:rsidRPr="00076B94" w:rsidRDefault="00BB3E1E" w:rsidP="00B05614">
            <w:pPr>
              <w:pStyle w:val="TableText"/>
              <w:jc w:val="right"/>
            </w:pPr>
            <w:r w:rsidRPr="00076B94">
              <w:t>938.6</w:t>
            </w:r>
          </w:p>
        </w:tc>
        <w:tc>
          <w:tcPr>
            <w:tcW w:w="0" w:type="auto"/>
            <w:shd w:val="clear" w:color="auto" w:fill="FFFFFF"/>
            <w:tcMar>
              <w:top w:w="0" w:type="dxa"/>
              <w:left w:w="85" w:type="dxa"/>
              <w:bottom w:w="0" w:type="dxa"/>
              <w:right w:w="85" w:type="dxa"/>
            </w:tcMar>
          </w:tcPr>
          <w:p w14:paraId="1D89B85F" w14:textId="77777777" w:rsidR="00BB3E1E" w:rsidRPr="00076B94" w:rsidRDefault="00BB3E1E" w:rsidP="00B05614">
            <w:pPr>
              <w:pStyle w:val="TableText"/>
              <w:jc w:val="right"/>
            </w:pPr>
            <w:r w:rsidRPr="00076B94">
              <w:t>1,702.0</w:t>
            </w:r>
          </w:p>
        </w:tc>
        <w:tc>
          <w:tcPr>
            <w:tcW w:w="0" w:type="auto"/>
            <w:shd w:val="clear" w:color="auto" w:fill="FFFFFF"/>
            <w:tcMar>
              <w:top w:w="0" w:type="dxa"/>
              <w:left w:w="85" w:type="dxa"/>
              <w:bottom w:w="0" w:type="dxa"/>
              <w:right w:w="85" w:type="dxa"/>
            </w:tcMar>
          </w:tcPr>
          <w:p w14:paraId="4772CC68" w14:textId="77777777" w:rsidR="00BB3E1E" w:rsidRPr="00076B94" w:rsidRDefault="00BB3E1E" w:rsidP="00B05614">
            <w:pPr>
              <w:pStyle w:val="TableText"/>
              <w:jc w:val="right"/>
            </w:pPr>
            <w:r w:rsidRPr="00076B94">
              <w:t>0.006</w:t>
            </w:r>
          </w:p>
        </w:tc>
        <w:tc>
          <w:tcPr>
            <w:tcW w:w="0" w:type="auto"/>
            <w:shd w:val="clear" w:color="auto" w:fill="FFFFFF"/>
            <w:tcMar>
              <w:top w:w="0" w:type="dxa"/>
              <w:left w:w="85" w:type="dxa"/>
              <w:bottom w:w="0" w:type="dxa"/>
              <w:right w:w="85" w:type="dxa"/>
            </w:tcMar>
          </w:tcPr>
          <w:p w14:paraId="1A189EF4" w14:textId="77777777" w:rsidR="00BB3E1E" w:rsidRPr="00076B94" w:rsidRDefault="00BB3E1E" w:rsidP="00B05614">
            <w:pPr>
              <w:pStyle w:val="TableText"/>
              <w:jc w:val="right"/>
            </w:pPr>
            <w:r w:rsidRPr="00076B94">
              <w:t>0.7</w:t>
            </w:r>
          </w:p>
        </w:tc>
        <w:tc>
          <w:tcPr>
            <w:tcW w:w="0" w:type="auto"/>
            <w:shd w:val="clear" w:color="auto" w:fill="FFFFFF"/>
            <w:tcMar>
              <w:top w:w="0" w:type="dxa"/>
              <w:left w:w="85" w:type="dxa"/>
              <w:bottom w:w="0" w:type="dxa"/>
              <w:right w:w="85" w:type="dxa"/>
            </w:tcMar>
          </w:tcPr>
          <w:p w14:paraId="3D96C311" w14:textId="77777777" w:rsidR="00BB3E1E" w:rsidRPr="00076B94" w:rsidRDefault="00BB3E1E" w:rsidP="00B05614">
            <w:pPr>
              <w:pStyle w:val="TableText"/>
              <w:jc w:val="right"/>
            </w:pPr>
            <w:r w:rsidRPr="00076B94">
              <w:t>88.1</w:t>
            </w:r>
          </w:p>
        </w:tc>
      </w:tr>
      <w:tr w:rsidR="00BB3E1E" w:rsidRPr="00076B94" w14:paraId="09635C7C" w14:textId="77777777" w:rsidTr="00B05614">
        <w:trPr>
          <w:cantSplit/>
          <w:trHeight w:val="283"/>
        </w:trPr>
        <w:tc>
          <w:tcPr>
            <w:tcW w:w="0" w:type="auto"/>
            <w:shd w:val="clear" w:color="auto" w:fill="FFFFFF"/>
            <w:tcMar>
              <w:top w:w="0" w:type="dxa"/>
              <w:left w:w="85" w:type="dxa"/>
              <w:bottom w:w="0" w:type="dxa"/>
              <w:right w:w="85" w:type="dxa"/>
            </w:tcMar>
          </w:tcPr>
          <w:p w14:paraId="60B20205" w14:textId="77777777" w:rsidR="00BB3E1E" w:rsidRPr="00076B94" w:rsidRDefault="00BB3E1E" w:rsidP="00B05614">
            <w:pPr>
              <w:pStyle w:val="TableText"/>
            </w:pPr>
            <w:r w:rsidRPr="00076B94" w:rsidDel="00C35CA4">
              <w:t>3.H</w:t>
            </w:r>
          </w:p>
        </w:tc>
        <w:tc>
          <w:tcPr>
            <w:tcW w:w="0" w:type="auto"/>
            <w:shd w:val="clear" w:color="auto" w:fill="FFFFFF"/>
            <w:tcMar>
              <w:top w:w="0" w:type="dxa"/>
              <w:left w:w="85" w:type="dxa"/>
              <w:bottom w:w="0" w:type="dxa"/>
              <w:right w:w="85" w:type="dxa"/>
            </w:tcMar>
          </w:tcPr>
          <w:p w14:paraId="280451B6" w14:textId="77777777" w:rsidR="00BB3E1E" w:rsidRPr="00076B94" w:rsidRDefault="00BB3E1E" w:rsidP="00B05614">
            <w:pPr>
              <w:pStyle w:val="TableText"/>
            </w:pPr>
            <w:r w:rsidRPr="00076B94">
              <w:t xml:space="preserve">Agriculture – Urea </w:t>
            </w:r>
            <w:r w:rsidRPr="00076B94" w:rsidDel="00C35CA4">
              <w:t>Application</w:t>
            </w:r>
          </w:p>
        </w:tc>
        <w:tc>
          <w:tcPr>
            <w:tcW w:w="0" w:type="auto"/>
            <w:shd w:val="clear" w:color="auto" w:fill="FFFFFF"/>
            <w:tcMar>
              <w:top w:w="0" w:type="dxa"/>
              <w:left w:w="85" w:type="dxa"/>
              <w:bottom w:w="0" w:type="dxa"/>
              <w:right w:w="85" w:type="dxa"/>
            </w:tcMar>
          </w:tcPr>
          <w:p w14:paraId="48BF6911"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722E829F" w14:textId="77777777" w:rsidR="00BB3E1E" w:rsidRPr="00076B94" w:rsidRDefault="00BB3E1E" w:rsidP="00B05614">
            <w:pPr>
              <w:pStyle w:val="TableText"/>
              <w:jc w:val="right"/>
            </w:pPr>
            <w:r w:rsidRPr="00076B94">
              <w:t>39.2</w:t>
            </w:r>
          </w:p>
        </w:tc>
        <w:tc>
          <w:tcPr>
            <w:tcW w:w="0" w:type="auto"/>
            <w:shd w:val="clear" w:color="auto" w:fill="FFFFFF"/>
            <w:tcMar>
              <w:top w:w="0" w:type="dxa"/>
              <w:left w:w="85" w:type="dxa"/>
              <w:bottom w:w="0" w:type="dxa"/>
              <w:right w:w="85" w:type="dxa"/>
            </w:tcMar>
          </w:tcPr>
          <w:p w14:paraId="7D55F89B" w14:textId="77777777" w:rsidR="00BB3E1E" w:rsidRPr="00076B94" w:rsidRDefault="00BB3E1E" w:rsidP="00B05614">
            <w:pPr>
              <w:pStyle w:val="TableText"/>
              <w:jc w:val="right"/>
            </w:pPr>
            <w:r w:rsidRPr="00076B94">
              <w:t>542.0</w:t>
            </w:r>
          </w:p>
        </w:tc>
        <w:tc>
          <w:tcPr>
            <w:tcW w:w="0" w:type="auto"/>
            <w:shd w:val="clear" w:color="auto" w:fill="FFFFFF"/>
            <w:tcMar>
              <w:top w:w="0" w:type="dxa"/>
              <w:left w:w="85" w:type="dxa"/>
              <w:bottom w:w="0" w:type="dxa"/>
              <w:right w:w="85" w:type="dxa"/>
            </w:tcMar>
          </w:tcPr>
          <w:p w14:paraId="662F5368" w14:textId="77777777" w:rsidR="00BB3E1E" w:rsidRPr="00076B94" w:rsidRDefault="00BB3E1E" w:rsidP="00B05614">
            <w:pPr>
              <w:pStyle w:val="TableText"/>
              <w:jc w:val="right"/>
            </w:pPr>
            <w:r w:rsidRPr="00076B94">
              <w:t>0.005</w:t>
            </w:r>
          </w:p>
        </w:tc>
        <w:tc>
          <w:tcPr>
            <w:tcW w:w="0" w:type="auto"/>
            <w:shd w:val="clear" w:color="auto" w:fill="FFFFFF"/>
            <w:tcMar>
              <w:top w:w="0" w:type="dxa"/>
              <w:left w:w="85" w:type="dxa"/>
              <w:bottom w:w="0" w:type="dxa"/>
              <w:right w:w="85" w:type="dxa"/>
            </w:tcMar>
          </w:tcPr>
          <w:p w14:paraId="409FBBC9" w14:textId="77777777" w:rsidR="00BB3E1E" w:rsidRPr="00076B94" w:rsidRDefault="00BB3E1E" w:rsidP="00B05614">
            <w:pPr>
              <w:pStyle w:val="TableText"/>
              <w:jc w:val="right"/>
            </w:pPr>
            <w:r w:rsidRPr="00076B94">
              <w:t>0.7</w:t>
            </w:r>
          </w:p>
        </w:tc>
        <w:tc>
          <w:tcPr>
            <w:tcW w:w="0" w:type="auto"/>
            <w:shd w:val="clear" w:color="auto" w:fill="FFFFFF"/>
            <w:tcMar>
              <w:top w:w="0" w:type="dxa"/>
              <w:left w:w="85" w:type="dxa"/>
              <w:bottom w:w="0" w:type="dxa"/>
              <w:right w:w="85" w:type="dxa"/>
            </w:tcMar>
          </w:tcPr>
          <w:p w14:paraId="4AF3E34A" w14:textId="77777777" w:rsidR="00BB3E1E" w:rsidRPr="00076B94" w:rsidRDefault="00BB3E1E" w:rsidP="00B05614">
            <w:pPr>
              <w:pStyle w:val="TableText"/>
              <w:jc w:val="right"/>
            </w:pPr>
            <w:r w:rsidRPr="00076B94">
              <w:t>88.8</w:t>
            </w:r>
          </w:p>
        </w:tc>
      </w:tr>
      <w:tr w:rsidR="00BB3E1E" w:rsidRPr="00076B94" w14:paraId="47F38882" w14:textId="77777777" w:rsidTr="00B05614">
        <w:trPr>
          <w:cantSplit/>
          <w:trHeight w:val="283"/>
        </w:trPr>
        <w:tc>
          <w:tcPr>
            <w:tcW w:w="0" w:type="auto"/>
            <w:shd w:val="clear" w:color="auto" w:fill="FFFFFF"/>
            <w:tcMar>
              <w:top w:w="0" w:type="dxa"/>
              <w:left w:w="85" w:type="dxa"/>
              <w:bottom w:w="0" w:type="dxa"/>
              <w:right w:w="85" w:type="dxa"/>
            </w:tcMar>
          </w:tcPr>
          <w:p w14:paraId="43DFC947" w14:textId="77777777" w:rsidR="00BB3E1E" w:rsidRPr="00076B94" w:rsidRDefault="00BB3E1E" w:rsidP="00B05614">
            <w:pPr>
              <w:pStyle w:val="TableText"/>
            </w:pPr>
            <w:r w:rsidRPr="00076B94" w:rsidDel="00C35CA4">
              <w:t>1.A.3.a</w:t>
            </w:r>
          </w:p>
        </w:tc>
        <w:tc>
          <w:tcPr>
            <w:tcW w:w="0" w:type="auto"/>
            <w:shd w:val="clear" w:color="auto" w:fill="FFFFFF"/>
            <w:tcMar>
              <w:top w:w="0" w:type="dxa"/>
              <w:left w:w="85" w:type="dxa"/>
              <w:bottom w:w="0" w:type="dxa"/>
              <w:right w:w="85" w:type="dxa"/>
            </w:tcMar>
          </w:tcPr>
          <w:p w14:paraId="7B398686" w14:textId="77777777" w:rsidR="00BB3E1E" w:rsidRPr="00076B94" w:rsidRDefault="00BB3E1E" w:rsidP="00B05614">
            <w:pPr>
              <w:pStyle w:val="TableText"/>
            </w:pPr>
            <w:r w:rsidRPr="00076B94">
              <w:t xml:space="preserve">Domestic Aviation – Jet </w:t>
            </w:r>
            <w:r w:rsidRPr="00076B94" w:rsidDel="00C35CA4">
              <w:t>Kerosene</w:t>
            </w:r>
          </w:p>
        </w:tc>
        <w:tc>
          <w:tcPr>
            <w:tcW w:w="0" w:type="auto"/>
            <w:shd w:val="clear" w:color="auto" w:fill="FFFFFF"/>
            <w:tcMar>
              <w:top w:w="0" w:type="dxa"/>
              <w:left w:w="85" w:type="dxa"/>
              <w:bottom w:w="0" w:type="dxa"/>
              <w:right w:w="85" w:type="dxa"/>
            </w:tcMar>
          </w:tcPr>
          <w:p w14:paraId="68EACBCC"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12993A89" w14:textId="77777777" w:rsidR="00BB3E1E" w:rsidRPr="00076B94" w:rsidRDefault="00BB3E1E" w:rsidP="00B05614">
            <w:pPr>
              <w:pStyle w:val="TableText"/>
              <w:jc w:val="right"/>
            </w:pPr>
            <w:r w:rsidRPr="00076B94">
              <w:t>892.6</w:t>
            </w:r>
          </w:p>
        </w:tc>
        <w:tc>
          <w:tcPr>
            <w:tcW w:w="0" w:type="auto"/>
            <w:shd w:val="clear" w:color="auto" w:fill="FFFFFF"/>
            <w:tcMar>
              <w:top w:w="0" w:type="dxa"/>
              <w:left w:w="85" w:type="dxa"/>
              <w:bottom w:w="0" w:type="dxa"/>
              <w:right w:w="85" w:type="dxa"/>
            </w:tcMar>
          </w:tcPr>
          <w:p w14:paraId="1B67630D" w14:textId="77777777" w:rsidR="00BB3E1E" w:rsidRPr="00076B94" w:rsidRDefault="00BB3E1E" w:rsidP="00B05614">
            <w:pPr>
              <w:pStyle w:val="TableText"/>
              <w:jc w:val="right"/>
            </w:pPr>
            <w:r w:rsidRPr="00076B94">
              <w:t>681.4</w:t>
            </w:r>
          </w:p>
        </w:tc>
        <w:tc>
          <w:tcPr>
            <w:tcW w:w="0" w:type="auto"/>
            <w:shd w:val="clear" w:color="auto" w:fill="FFFFFF"/>
            <w:tcMar>
              <w:top w:w="0" w:type="dxa"/>
              <w:left w:w="85" w:type="dxa"/>
              <w:bottom w:w="0" w:type="dxa"/>
              <w:right w:w="85" w:type="dxa"/>
            </w:tcMar>
          </w:tcPr>
          <w:p w14:paraId="684FB5EC" w14:textId="77777777" w:rsidR="00BB3E1E" w:rsidRPr="00076B94" w:rsidRDefault="00BB3E1E" w:rsidP="00B05614">
            <w:pPr>
              <w:pStyle w:val="TableText"/>
              <w:jc w:val="right"/>
            </w:pPr>
            <w:r w:rsidRPr="00076B94">
              <w:t>0.005</w:t>
            </w:r>
          </w:p>
        </w:tc>
        <w:tc>
          <w:tcPr>
            <w:tcW w:w="0" w:type="auto"/>
            <w:shd w:val="clear" w:color="auto" w:fill="FFFFFF"/>
            <w:tcMar>
              <w:top w:w="0" w:type="dxa"/>
              <w:left w:w="85" w:type="dxa"/>
              <w:bottom w:w="0" w:type="dxa"/>
              <w:right w:w="85" w:type="dxa"/>
            </w:tcMar>
          </w:tcPr>
          <w:p w14:paraId="55031485" w14:textId="77777777" w:rsidR="00BB3E1E" w:rsidRPr="00076B94" w:rsidRDefault="00BB3E1E" w:rsidP="00B05614">
            <w:pPr>
              <w:pStyle w:val="TableText"/>
              <w:jc w:val="right"/>
            </w:pPr>
            <w:r w:rsidRPr="00076B94">
              <w:t>0.6</w:t>
            </w:r>
          </w:p>
        </w:tc>
        <w:tc>
          <w:tcPr>
            <w:tcW w:w="0" w:type="auto"/>
            <w:shd w:val="clear" w:color="auto" w:fill="FFFFFF"/>
            <w:tcMar>
              <w:top w:w="0" w:type="dxa"/>
              <w:left w:w="85" w:type="dxa"/>
              <w:bottom w:w="0" w:type="dxa"/>
              <w:right w:w="85" w:type="dxa"/>
            </w:tcMar>
          </w:tcPr>
          <w:p w14:paraId="723720D5" w14:textId="77777777" w:rsidR="00BB3E1E" w:rsidRPr="00076B94" w:rsidRDefault="00BB3E1E" w:rsidP="00B05614">
            <w:pPr>
              <w:pStyle w:val="TableText"/>
              <w:jc w:val="right"/>
            </w:pPr>
            <w:r w:rsidRPr="00076B94">
              <w:t>89.4</w:t>
            </w:r>
          </w:p>
        </w:tc>
      </w:tr>
      <w:tr w:rsidR="00BB3E1E" w:rsidRPr="00076B94" w14:paraId="1623D452" w14:textId="77777777" w:rsidTr="00B05614">
        <w:trPr>
          <w:cantSplit/>
          <w:trHeight w:val="283"/>
        </w:trPr>
        <w:tc>
          <w:tcPr>
            <w:tcW w:w="0" w:type="auto"/>
            <w:shd w:val="clear" w:color="auto" w:fill="FFFFFF"/>
            <w:tcMar>
              <w:top w:w="0" w:type="dxa"/>
              <w:left w:w="85" w:type="dxa"/>
              <w:bottom w:w="0" w:type="dxa"/>
              <w:right w:w="85" w:type="dxa"/>
            </w:tcMar>
          </w:tcPr>
          <w:p w14:paraId="64C8CA40" w14:textId="77777777" w:rsidR="00BB3E1E" w:rsidRPr="00076B94" w:rsidRDefault="00BB3E1E" w:rsidP="00B05614">
            <w:pPr>
              <w:pStyle w:val="TableText"/>
            </w:pPr>
            <w:r w:rsidRPr="00076B94" w:rsidDel="00C35CA4">
              <w:t>1.A.1.b</w:t>
            </w:r>
          </w:p>
        </w:tc>
        <w:tc>
          <w:tcPr>
            <w:tcW w:w="0" w:type="auto"/>
            <w:shd w:val="clear" w:color="auto" w:fill="FFFFFF"/>
            <w:tcMar>
              <w:top w:w="0" w:type="dxa"/>
              <w:left w:w="85" w:type="dxa"/>
              <w:bottom w:w="0" w:type="dxa"/>
              <w:right w:w="85" w:type="dxa"/>
            </w:tcMar>
          </w:tcPr>
          <w:p w14:paraId="0603F017" w14:textId="77777777" w:rsidR="00BB3E1E" w:rsidRPr="00076B94" w:rsidRDefault="00BB3E1E" w:rsidP="00B05614">
            <w:pPr>
              <w:pStyle w:val="TableText"/>
            </w:pPr>
            <w:r w:rsidRPr="00076B94">
              <w:t xml:space="preserve">Energy Industries – Petroleum Refining Liquid </w:t>
            </w:r>
            <w:r w:rsidRPr="00076B94" w:rsidDel="00C35CA4">
              <w:t>Fuels</w:t>
            </w:r>
          </w:p>
        </w:tc>
        <w:tc>
          <w:tcPr>
            <w:tcW w:w="0" w:type="auto"/>
            <w:shd w:val="clear" w:color="auto" w:fill="FFFFFF"/>
            <w:tcMar>
              <w:top w:w="0" w:type="dxa"/>
              <w:left w:w="85" w:type="dxa"/>
              <w:bottom w:w="0" w:type="dxa"/>
              <w:right w:w="85" w:type="dxa"/>
            </w:tcMar>
          </w:tcPr>
          <w:p w14:paraId="601E58FA"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0748589F" w14:textId="77777777" w:rsidR="00BB3E1E" w:rsidRPr="00076B94" w:rsidRDefault="00BB3E1E" w:rsidP="00B05614">
            <w:pPr>
              <w:pStyle w:val="TableText"/>
              <w:jc w:val="right"/>
            </w:pPr>
            <w:r w:rsidRPr="00076B94">
              <w:t>778.9</w:t>
            </w:r>
          </w:p>
        </w:tc>
        <w:tc>
          <w:tcPr>
            <w:tcW w:w="0" w:type="auto"/>
            <w:shd w:val="clear" w:color="auto" w:fill="FFFFFF"/>
            <w:tcMar>
              <w:top w:w="0" w:type="dxa"/>
              <w:left w:w="85" w:type="dxa"/>
              <w:bottom w:w="0" w:type="dxa"/>
              <w:right w:w="85" w:type="dxa"/>
            </w:tcMar>
          </w:tcPr>
          <w:p w14:paraId="7D7C9184" w14:textId="77777777" w:rsidR="00BB3E1E" w:rsidRPr="00076B94" w:rsidRDefault="00BB3E1E" w:rsidP="00B05614">
            <w:pPr>
              <w:pStyle w:val="TableText"/>
              <w:jc w:val="right"/>
            </w:pPr>
            <w:r w:rsidRPr="00076B94">
              <w:t>543.8</w:t>
            </w:r>
          </w:p>
        </w:tc>
        <w:tc>
          <w:tcPr>
            <w:tcW w:w="0" w:type="auto"/>
            <w:shd w:val="clear" w:color="auto" w:fill="FFFFFF"/>
            <w:tcMar>
              <w:top w:w="0" w:type="dxa"/>
              <w:left w:w="85" w:type="dxa"/>
              <w:bottom w:w="0" w:type="dxa"/>
              <w:right w:w="85" w:type="dxa"/>
            </w:tcMar>
          </w:tcPr>
          <w:p w14:paraId="2EE77947" w14:textId="77777777" w:rsidR="00BB3E1E" w:rsidRPr="00076B94" w:rsidRDefault="00BB3E1E" w:rsidP="00B05614">
            <w:pPr>
              <w:pStyle w:val="TableText"/>
              <w:jc w:val="right"/>
            </w:pPr>
            <w:r w:rsidRPr="00076B94">
              <w:t>0.005</w:t>
            </w:r>
          </w:p>
        </w:tc>
        <w:tc>
          <w:tcPr>
            <w:tcW w:w="0" w:type="auto"/>
            <w:shd w:val="clear" w:color="auto" w:fill="FFFFFF"/>
            <w:tcMar>
              <w:top w:w="0" w:type="dxa"/>
              <w:left w:w="85" w:type="dxa"/>
              <w:bottom w:w="0" w:type="dxa"/>
              <w:right w:w="85" w:type="dxa"/>
            </w:tcMar>
          </w:tcPr>
          <w:p w14:paraId="01246A3F" w14:textId="77777777" w:rsidR="00BB3E1E" w:rsidRPr="00076B94" w:rsidRDefault="00BB3E1E" w:rsidP="00B05614">
            <w:pPr>
              <w:pStyle w:val="TableText"/>
              <w:jc w:val="right"/>
            </w:pPr>
            <w:r w:rsidRPr="00076B94">
              <w:t>0.6</w:t>
            </w:r>
          </w:p>
        </w:tc>
        <w:tc>
          <w:tcPr>
            <w:tcW w:w="0" w:type="auto"/>
            <w:shd w:val="clear" w:color="auto" w:fill="FFFFFF"/>
            <w:tcMar>
              <w:top w:w="0" w:type="dxa"/>
              <w:left w:w="85" w:type="dxa"/>
              <w:bottom w:w="0" w:type="dxa"/>
              <w:right w:w="85" w:type="dxa"/>
            </w:tcMar>
          </w:tcPr>
          <w:p w14:paraId="6D0C9101" w14:textId="77777777" w:rsidR="00BB3E1E" w:rsidRPr="00076B94" w:rsidRDefault="00BB3E1E" w:rsidP="00B05614">
            <w:pPr>
              <w:pStyle w:val="TableText"/>
              <w:jc w:val="right"/>
            </w:pPr>
            <w:r w:rsidRPr="00076B94">
              <w:t>90.0</w:t>
            </w:r>
          </w:p>
        </w:tc>
      </w:tr>
      <w:tr w:rsidR="00BB3E1E" w:rsidRPr="00076B94" w14:paraId="6D345A33" w14:textId="77777777" w:rsidTr="00B05614">
        <w:trPr>
          <w:cantSplit/>
          <w:trHeight w:val="283"/>
        </w:trPr>
        <w:tc>
          <w:tcPr>
            <w:tcW w:w="0" w:type="auto"/>
            <w:shd w:val="clear" w:color="auto" w:fill="FFFFFF"/>
            <w:tcMar>
              <w:top w:w="0" w:type="dxa"/>
              <w:left w:w="85" w:type="dxa"/>
              <w:bottom w:w="0" w:type="dxa"/>
              <w:right w:w="85" w:type="dxa"/>
            </w:tcMar>
          </w:tcPr>
          <w:p w14:paraId="7794FDAA" w14:textId="77777777" w:rsidR="00BB3E1E" w:rsidRPr="00076B94" w:rsidRDefault="00BB3E1E" w:rsidP="00B05614">
            <w:pPr>
              <w:pStyle w:val="TableText"/>
            </w:pPr>
            <w:r w:rsidRPr="00076B94" w:rsidDel="00C35CA4">
              <w:t>1.A.4.b</w:t>
            </w:r>
          </w:p>
        </w:tc>
        <w:tc>
          <w:tcPr>
            <w:tcW w:w="0" w:type="auto"/>
            <w:shd w:val="clear" w:color="auto" w:fill="FFFFFF"/>
            <w:tcMar>
              <w:top w:w="0" w:type="dxa"/>
              <w:left w:w="85" w:type="dxa"/>
              <w:bottom w:w="0" w:type="dxa"/>
              <w:right w:w="85" w:type="dxa"/>
            </w:tcMar>
          </w:tcPr>
          <w:p w14:paraId="29D46596" w14:textId="77777777" w:rsidR="00BB3E1E" w:rsidRPr="00076B94" w:rsidRDefault="00BB3E1E" w:rsidP="00B05614">
            <w:pPr>
              <w:pStyle w:val="TableText"/>
            </w:pPr>
            <w:r w:rsidRPr="00076B94">
              <w:t>Other Sectors – Residential Solid Fuels</w:t>
            </w:r>
          </w:p>
        </w:tc>
        <w:tc>
          <w:tcPr>
            <w:tcW w:w="0" w:type="auto"/>
            <w:shd w:val="clear" w:color="auto" w:fill="FFFFFF"/>
            <w:tcMar>
              <w:top w:w="0" w:type="dxa"/>
              <w:left w:w="85" w:type="dxa"/>
              <w:bottom w:w="0" w:type="dxa"/>
              <w:right w:w="85" w:type="dxa"/>
            </w:tcMar>
          </w:tcPr>
          <w:p w14:paraId="5449E4A9"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31D617F0" w14:textId="77777777" w:rsidR="00BB3E1E" w:rsidRPr="00076B94" w:rsidRDefault="00BB3E1E" w:rsidP="00B05614">
            <w:pPr>
              <w:pStyle w:val="TableText"/>
              <w:jc w:val="right"/>
            </w:pPr>
            <w:r w:rsidRPr="00076B94">
              <w:t>344.9</w:t>
            </w:r>
          </w:p>
        </w:tc>
        <w:tc>
          <w:tcPr>
            <w:tcW w:w="0" w:type="auto"/>
            <w:shd w:val="clear" w:color="auto" w:fill="FFFFFF"/>
            <w:tcMar>
              <w:top w:w="0" w:type="dxa"/>
              <w:left w:w="85" w:type="dxa"/>
              <w:bottom w:w="0" w:type="dxa"/>
              <w:right w:w="85" w:type="dxa"/>
            </w:tcMar>
          </w:tcPr>
          <w:p w14:paraId="7D612548" w14:textId="77777777" w:rsidR="00BB3E1E" w:rsidRPr="00076B94" w:rsidRDefault="00BB3E1E" w:rsidP="00B05614">
            <w:pPr>
              <w:pStyle w:val="TableText"/>
              <w:jc w:val="right"/>
            </w:pPr>
            <w:r w:rsidRPr="00076B94">
              <w:t>28.4</w:t>
            </w:r>
          </w:p>
        </w:tc>
        <w:tc>
          <w:tcPr>
            <w:tcW w:w="0" w:type="auto"/>
            <w:shd w:val="clear" w:color="auto" w:fill="FFFFFF"/>
            <w:tcMar>
              <w:top w:w="0" w:type="dxa"/>
              <w:left w:w="85" w:type="dxa"/>
              <w:bottom w:w="0" w:type="dxa"/>
              <w:right w:w="85" w:type="dxa"/>
            </w:tcMar>
          </w:tcPr>
          <w:p w14:paraId="12E025DB" w14:textId="77777777" w:rsidR="00BB3E1E" w:rsidRPr="00076B94" w:rsidRDefault="00BB3E1E" w:rsidP="00B05614">
            <w:pPr>
              <w:pStyle w:val="TableText"/>
              <w:jc w:val="right"/>
            </w:pPr>
            <w:r w:rsidRPr="00076B94">
              <w:t>0.005</w:t>
            </w:r>
          </w:p>
        </w:tc>
        <w:tc>
          <w:tcPr>
            <w:tcW w:w="0" w:type="auto"/>
            <w:shd w:val="clear" w:color="auto" w:fill="FFFFFF"/>
            <w:tcMar>
              <w:top w:w="0" w:type="dxa"/>
              <w:left w:w="85" w:type="dxa"/>
              <w:bottom w:w="0" w:type="dxa"/>
              <w:right w:w="85" w:type="dxa"/>
            </w:tcMar>
          </w:tcPr>
          <w:p w14:paraId="3C190F36" w14:textId="77777777" w:rsidR="00BB3E1E" w:rsidRPr="00076B94" w:rsidRDefault="00BB3E1E" w:rsidP="00B05614">
            <w:pPr>
              <w:pStyle w:val="TableText"/>
              <w:jc w:val="right"/>
            </w:pPr>
            <w:r w:rsidRPr="00076B94">
              <w:t>0.6</w:t>
            </w:r>
          </w:p>
        </w:tc>
        <w:tc>
          <w:tcPr>
            <w:tcW w:w="0" w:type="auto"/>
            <w:shd w:val="clear" w:color="auto" w:fill="FFFFFF"/>
            <w:tcMar>
              <w:top w:w="0" w:type="dxa"/>
              <w:left w:w="85" w:type="dxa"/>
              <w:bottom w:w="0" w:type="dxa"/>
              <w:right w:w="85" w:type="dxa"/>
            </w:tcMar>
          </w:tcPr>
          <w:p w14:paraId="28695D7D" w14:textId="77777777" w:rsidR="00BB3E1E" w:rsidRPr="00076B94" w:rsidRDefault="00BB3E1E" w:rsidP="00B05614">
            <w:pPr>
              <w:pStyle w:val="TableText"/>
              <w:jc w:val="right"/>
            </w:pPr>
            <w:r w:rsidRPr="00076B94">
              <w:t>90.5</w:t>
            </w:r>
          </w:p>
        </w:tc>
      </w:tr>
      <w:tr w:rsidR="00BB3E1E" w:rsidRPr="00076B94" w14:paraId="734FA225" w14:textId="77777777" w:rsidTr="00B05614">
        <w:trPr>
          <w:cantSplit/>
          <w:trHeight w:val="283"/>
        </w:trPr>
        <w:tc>
          <w:tcPr>
            <w:tcW w:w="0" w:type="auto"/>
            <w:shd w:val="clear" w:color="auto" w:fill="FFFFFF"/>
            <w:tcMar>
              <w:top w:w="0" w:type="dxa"/>
              <w:left w:w="85" w:type="dxa"/>
              <w:bottom w:w="0" w:type="dxa"/>
              <w:right w:w="85" w:type="dxa"/>
            </w:tcMar>
          </w:tcPr>
          <w:p w14:paraId="0C7555E9" w14:textId="77777777" w:rsidR="00BB3E1E" w:rsidRPr="00076B94" w:rsidRDefault="00BB3E1E" w:rsidP="00B05614">
            <w:pPr>
              <w:pStyle w:val="TableText"/>
            </w:pPr>
            <w:r w:rsidRPr="00076B94" w:rsidDel="00C35CA4">
              <w:t>1.B.1.a.1</w:t>
            </w:r>
          </w:p>
        </w:tc>
        <w:tc>
          <w:tcPr>
            <w:tcW w:w="0" w:type="auto"/>
            <w:shd w:val="clear" w:color="auto" w:fill="FFFFFF"/>
            <w:tcMar>
              <w:top w:w="0" w:type="dxa"/>
              <w:left w:w="85" w:type="dxa"/>
              <w:bottom w:w="0" w:type="dxa"/>
              <w:right w:w="85" w:type="dxa"/>
            </w:tcMar>
          </w:tcPr>
          <w:p w14:paraId="0C6D7708" w14:textId="77777777" w:rsidR="00BB3E1E" w:rsidRPr="00076B94" w:rsidRDefault="00BB3E1E" w:rsidP="00B05614">
            <w:pPr>
              <w:pStyle w:val="TableText"/>
            </w:pPr>
            <w:r w:rsidRPr="00076B94">
              <w:t xml:space="preserve">Coal Mining and Handling – Underground </w:t>
            </w:r>
            <w:r w:rsidRPr="00076B94" w:rsidDel="00C35CA4">
              <w:t>Mines</w:t>
            </w:r>
          </w:p>
        </w:tc>
        <w:tc>
          <w:tcPr>
            <w:tcW w:w="0" w:type="auto"/>
            <w:shd w:val="clear" w:color="auto" w:fill="FFFFFF"/>
            <w:tcMar>
              <w:top w:w="0" w:type="dxa"/>
              <w:left w:w="85" w:type="dxa"/>
              <w:bottom w:w="0" w:type="dxa"/>
              <w:right w:w="85" w:type="dxa"/>
            </w:tcMar>
          </w:tcPr>
          <w:p w14:paraId="5E7C27E6" w14:textId="77777777" w:rsidR="00BB3E1E" w:rsidRPr="00076B94" w:rsidRDefault="00BB3E1E" w:rsidP="00B05614">
            <w:pPr>
              <w:pStyle w:val="TableText"/>
            </w:pPr>
            <w:r w:rsidRPr="00076B94" w:rsidDel="00C35CA4">
              <w:t>CH</w:t>
            </w:r>
            <w:r w:rsidRPr="00076B94" w:rsidDel="00C35CA4">
              <w:rPr>
                <w:vertAlign w:val="subscript"/>
              </w:rPr>
              <w:t>4</w:t>
            </w:r>
          </w:p>
        </w:tc>
        <w:tc>
          <w:tcPr>
            <w:tcW w:w="0" w:type="auto"/>
            <w:shd w:val="clear" w:color="auto" w:fill="FFFFFF"/>
            <w:tcMar>
              <w:top w:w="0" w:type="dxa"/>
              <w:left w:w="85" w:type="dxa"/>
              <w:bottom w:w="0" w:type="dxa"/>
              <w:right w:w="85" w:type="dxa"/>
            </w:tcMar>
          </w:tcPr>
          <w:p w14:paraId="5C139305" w14:textId="77777777" w:rsidR="00BB3E1E" w:rsidRPr="00076B94" w:rsidRDefault="00BB3E1E" w:rsidP="00B05614">
            <w:pPr>
              <w:pStyle w:val="TableText"/>
              <w:jc w:val="right"/>
            </w:pPr>
            <w:r w:rsidRPr="00076B94">
              <w:t>289.6</w:t>
            </w:r>
          </w:p>
        </w:tc>
        <w:tc>
          <w:tcPr>
            <w:tcW w:w="0" w:type="auto"/>
            <w:shd w:val="clear" w:color="auto" w:fill="FFFFFF"/>
            <w:tcMar>
              <w:top w:w="0" w:type="dxa"/>
              <w:left w:w="85" w:type="dxa"/>
              <w:bottom w:w="0" w:type="dxa"/>
              <w:right w:w="85" w:type="dxa"/>
            </w:tcMar>
          </w:tcPr>
          <w:p w14:paraId="75FC194E" w14:textId="77777777" w:rsidR="00BB3E1E" w:rsidRPr="00076B94" w:rsidRDefault="00BB3E1E" w:rsidP="00B05614">
            <w:pPr>
              <w:pStyle w:val="TableText"/>
              <w:jc w:val="right"/>
            </w:pPr>
            <w:r w:rsidRPr="00076B94">
              <w:t>0.0</w:t>
            </w:r>
          </w:p>
        </w:tc>
        <w:tc>
          <w:tcPr>
            <w:tcW w:w="0" w:type="auto"/>
            <w:shd w:val="clear" w:color="auto" w:fill="FFFFFF"/>
            <w:tcMar>
              <w:top w:w="0" w:type="dxa"/>
              <w:left w:w="85" w:type="dxa"/>
              <w:bottom w:w="0" w:type="dxa"/>
              <w:right w:w="85" w:type="dxa"/>
            </w:tcMar>
          </w:tcPr>
          <w:p w14:paraId="6363B427" w14:textId="77777777" w:rsidR="00BB3E1E" w:rsidRPr="00076B94" w:rsidRDefault="00BB3E1E" w:rsidP="00B05614">
            <w:pPr>
              <w:pStyle w:val="TableText"/>
              <w:jc w:val="right"/>
            </w:pPr>
            <w:r w:rsidRPr="00076B94">
              <w:t>0.004</w:t>
            </w:r>
          </w:p>
        </w:tc>
        <w:tc>
          <w:tcPr>
            <w:tcW w:w="0" w:type="auto"/>
            <w:shd w:val="clear" w:color="auto" w:fill="FFFFFF"/>
            <w:tcMar>
              <w:top w:w="0" w:type="dxa"/>
              <w:left w:w="85" w:type="dxa"/>
              <w:bottom w:w="0" w:type="dxa"/>
              <w:right w:w="85" w:type="dxa"/>
            </w:tcMar>
          </w:tcPr>
          <w:p w14:paraId="03032EE3" w14:textId="77777777" w:rsidR="00BB3E1E" w:rsidRPr="00076B94" w:rsidRDefault="00BB3E1E" w:rsidP="00B05614">
            <w:pPr>
              <w:pStyle w:val="TableText"/>
              <w:jc w:val="right"/>
            </w:pPr>
            <w:r w:rsidRPr="00076B94">
              <w:t>0.5</w:t>
            </w:r>
          </w:p>
        </w:tc>
        <w:tc>
          <w:tcPr>
            <w:tcW w:w="0" w:type="auto"/>
            <w:shd w:val="clear" w:color="auto" w:fill="FFFFFF"/>
            <w:tcMar>
              <w:top w:w="0" w:type="dxa"/>
              <w:left w:w="85" w:type="dxa"/>
              <w:bottom w:w="0" w:type="dxa"/>
              <w:right w:w="85" w:type="dxa"/>
            </w:tcMar>
          </w:tcPr>
          <w:p w14:paraId="2C2A7177" w14:textId="77777777" w:rsidR="00BB3E1E" w:rsidRPr="00076B94" w:rsidRDefault="00BB3E1E" w:rsidP="00B05614">
            <w:pPr>
              <w:pStyle w:val="TableText"/>
              <w:jc w:val="right"/>
            </w:pPr>
            <w:r w:rsidRPr="00076B94">
              <w:t>91.0</w:t>
            </w:r>
          </w:p>
        </w:tc>
      </w:tr>
      <w:tr w:rsidR="00BB3E1E" w:rsidRPr="00076B94" w14:paraId="41D3BA43" w14:textId="77777777" w:rsidTr="00B05614">
        <w:trPr>
          <w:cantSplit/>
          <w:trHeight w:val="283"/>
        </w:trPr>
        <w:tc>
          <w:tcPr>
            <w:tcW w:w="0" w:type="auto"/>
            <w:shd w:val="clear" w:color="auto" w:fill="FFFFFF"/>
            <w:tcMar>
              <w:top w:w="0" w:type="dxa"/>
              <w:left w:w="85" w:type="dxa"/>
              <w:bottom w:w="0" w:type="dxa"/>
              <w:right w:w="85" w:type="dxa"/>
            </w:tcMar>
          </w:tcPr>
          <w:p w14:paraId="510C53F6" w14:textId="77777777" w:rsidR="00BB3E1E" w:rsidRPr="00076B94" w:rsidRDefault="00BB3E1E" w:rsidP="00B05614">
            <w:pPr>
              <w:pStyle w:val="TableText"/>
            </w:pPr>
            <w:r w:rsidRPr="00076B94" w:rsidDel="00C35CA4">
              <w:t>1.A.2.f</w:t>
            </w:r>
          </w:p>
        </w:tc>
        <w:tc>
          <w:tcPr>
            <w:tcW w:w="0" w:type="auto"/>
            <w:shd w:val="clear" w:color="auto" w:fill="FFFFFF"/>
            <w:tcMar>
              <w:top w:w="0" w:type="dxa"/>
              <w:left w:w="85" w:type="dxa"/>
              <w:bottom w:w="0" w:type="dxa"/>
              <w:right w:w="85" w:type="dxa"/>
            </w:tcMar>
          </w:tcPr>
          <w:p w14:paraId="60FDDB35" w14:textId="77777777" w:rsidR="00BB3E1E" w:rsidRPr="00076B94" w:rsidRDefault="00BB3E1E" w:rsidP="00B05614">
            <w:pPr>
              <w:pStyle w:val="TableText"/>
            </w:pPr>
            <w:r w:rsidRPr="00076B94">
              <w:t xml:space="preserve">Manufacturing Industries and Construction – Non-metallic Minerals Solid </w:t>
            </w:r>
            <w:r w:rsidRPr="00076B94" w:rsidDel="00C35CA4">
              <w:t>Fuels</w:t>
            </w:r>
          </w:p>
        </w:tc>
        <w:tc>
          <w:tcPr>
            <w:tcW w:w="0" w:type="auto"/>
            <w:shd w:val="clear" w:color="auto" w:fill="FFFFFF"/>
            <w:tcMar>
              <w:top w:w="0" w:type="dxa"/>
              <w:left w:w="85" w:type="dxa"/>
              <w:bottom w:w="0" w:type="dxa"/>
              <w:right w:w="85" w:type="dxa"/>
            </w:tcMar>
          </w:tcPr>
          <w:p w14:paraId="05CF6E1A"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01BF99DD" w14:textId="77777777" w:rsidR="00BB3E1E" w:rsidRPr="00076B94" w:rsidRDefault="00BB3E1E" w:rsidP="00B05614">
            <w:pPr>
              <w:pStyle w:val="TableText"/>
              <w:jc w:val="right"/>
            </w:pPr>
            <w:r w:rsidRPr="00076B94">
              <w:t>382.9</w:t>
            </w:r>
          </w:p>
        </w:tc>
        <w:tc>
          <w:tcPr>
            <w:tcW w:w="0" w:type="auto"/>
            <w:shd w:val="clear" w:color="auto" w:fill="FFFFFF"/>
            <w:tcMar>
              <w:top w:w="0" w:type="dxa"/>
              <w:left w:w="85" w:type="dxa"/>
              <w:bottom w:w="0" w:type="dxa"/>
              <w:right w:w="85" w:type="dxa"/>
            </w:tcMar>
          </w:tcPr>
          <w:p w14:paraId="2E7E7287" w14:textId="77777777" w:rsidR="00BB3E1E" w:rsidRPr="00076B94" w:rsidRDefault="00BB3E1E" w:rsidP="00B05614">
            <w:pPr>
              <w:pStyle w:val="TableText"/>
              <w:jc w:val="right"/>
            </w:pPr>
            <w:r w:rsidRPr="00076B94">
              <w:t>178.4</w:t>
            </w:r>
          </w:p>
        </w:tc>
        <w:tc>
          <w:tcPr>
            <w:tcW w:w="0" w:type="auto"/>
            <w:shd w:val="clear" w:color="auto" w:fill="FFFFFF"/>
            <w:tcMar>
              <w:top w:w="0" w:type="dxa"/>
              <w:left w:w="85" w:type="dxa"/>
              <w:bottom w:w="0" w:type="dxa"/>
              <w:right w:w="85" w:type="dxa"/>
            </w:tcMar>
          </w:tcPr>
          <w:p w14:paraId="43FC6436" w14:textId="77777777" w:rsidR="00BB3E1E" w:rsidRPr="00076B94" w:rsidRDefault="00BB3E1E" w:rsidP="00B05614">
            <w:pPr>
              <w:pStyle w:val="TableText"/>
              <w:jc w:val="right"/>
            </w:pPr>
            <w:r w:rsidRPr="00076B94">
              <w:t>0.003</w:t>
            </w:r>
          </w:p>
        </w:tc>
        <w:tc>
          <w:tcPr>
            <w:tcW w:w="0" w:type="auto"/>
            <w:shd w:val="clear" w:color="auto" w:fill="FFFFFF"/>
            <w:tcMar>
              <w:top w:w="0" w:type="dxa"/>
              <w:left w:w="85" w:type="dxa"/>
              <w:bottom w:w="0" w:type="dxa"/>
              <w:right w:w="85" w:type="dxa"/>
            </w:tcMar>
          </w:tcPr>
          <w:p w14:paraId="449D3AD1" w14:textId="77777777" w:rsidR="00BB3E1E" w:rsidRPr="00076B94" w:rsidRDefault="00BB3E1E" w:rsidP="00B05614">
            <w:pPr>
              <w:pStyle w:val="TableText"/>
              <w:jc w:val="right"/>
            </w:pPr>
            <w:r w:rsidRPr="00076B94">
              <w:t>0.4</w:t>
            </w:r>
          </w:p>
        </w:tc>
        <w:tc>
          <w:tcPr>
            <w:tcW w:w="0" w:type="auto"/>
            <w:shd w:val="clear" w:color="auto" w:fill="FFFFFF"/>
            <w:tcMar>
              <w:top w:w="0" w:type="dxa"/>
              <w:left w:w="85" w:type="dxa"/>
              <w:bottom w:w="0" w:type="dxa"/>
              <w:right w:w="85" w:type="dxa"/>
            </w:tcMar>
          </w:tcPr>
          <w:p w14:paraId="5EE63D8A" w14:textId="77777777" w:rsidR="00BB3E1E" w:rsidRPr="00076B94" w:rsidRDefault="00BB3E1E" w:rsidP="00B05614">
            <w:pPr>
              <w:pStyle w:val="TableText"/>
              <w:jc w:val="right"/>
            </w:pPr>
            <w:r w:rsidRPr="00076B94">
              <w:t>91.4</w:t>
            </w:r>
          </w:p>
        </w:tc>
      </w:tr>
      <w:tr w:rsidR="00BB3E1E" w:rsidRPr="00076B94" w14:paraId="238E615E" w14:textId="77777777" w:rsidTr="00B05614">
        <w:trPr>
          <w:cantSplit/>
          <w:trHeight w:val="283"/>
        </w:trPr>
        <w:tc>
          <w:tcPr>
            <w:tcW w:w="0" w:type="auto"/>
            <w:shd w:val="clear" w:color="auto" w:fill="FFFFFF"/>
            <w:tcMar>
              <w:top w:w="0" w:type="dxa"/>
              <w:left w:w="85" w:type="dxa"/>
              <w:bottom w:w="0" w:type="dxa"/>
              <w:right w:w="85" w:type="dxa"/>
            </w:tcMar>
          </w:tcPr>
          <w:p w14:paraId="729D8217" w14:textId="77777777" w:rsidR="00BB3E1E" w:rsidRPr="00076B94" w:rsidRDefault="00BB3E1E" w:rsidP="00B05614">
            <w:pPr>
              <w:pStyle w:val="TableText"/>
            </w:pPr>
            <w:r w:rsidRPr="00076B94" w:rsidDel="00C35CA4">
              <w:t>1.A.4.b</w:t>
            </w:r>
          </w:p>
        </w:tc>
        <w:tc>
          <w:tcPr>
            <w:tcW w:w="0" w:type="auto"/>
            <w:shd w:val="clear" w:color="auto" w:fill="FFFFFF"/>
            <w:tcMar>
              <w:top w:w="0" w:type="dxa"/>
              <w:left w:w="85" w:type="dxa"/>
              <w:bottom w:w="0" w:type="dxa"/>
              <w:right w:w="85" w:type="dxa"/>
            </w:tcMar>
          </w:tcPr>
          <w:p w14:paraId="1F949FD3" w14:textId="77777777" w:rsidR="00BB3E1E" w:rsidRPr="00076B94" w:rsidRDefault="00BB3E1E" w:rsidP="00B05614">
            <w:pPr>
              <w:pStyle w:val="TableText"/>
            </w:pPr>
            <w:r w:rsidRPr="00076B94">
              <w:t>Other Sectors – Residential Liquid Fuels</w:t>
            </w:r>
          </w:p>
        </w:tc>
        <w:tc>
          <w:tcPr>
            <w:tcW w:w="0" w:type="auto"/>
            <w:shd w:val="clear" w:color="auto" w:fill="FFFFFF"/>
            <w:tcMar>
              <w:top w:w="0" w:type="dxa"/>
              <w:left w:w="85" w:type="dxa"/>
              <w:bottom w:w="0" w:type="dxa"/>
              <w:right w:w="85" w:type="dxa"/>
            </w:tcMar>
          </w:tcPr>
          <w:p w14:paraId="23C411AF"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33E72A9C" w14:textId="77777777" w:rsidR="00BB3E1E" w:rsidRPr="00076B94" w:rsidRDefault="00BB3E1E" w:rsidP="00B05614">
            <w:pPr>
              <w:pStyle w:val="TableText"/>
              <w:jc w:val="right"/>
            </w:pPr>
            <w:r w:rsidRPr="00076B94">
              <w:t>814.5</w:t>
            </w:r>
          </w:p>
        </w:tc>
        <w:tc>
          <w:tcPr>
            <w:tcW w:w="0" w:type="auto"/>
            <w:shd w:val="clear" w:color="auto" w:fill="FFFFFF"/>
            <w:tcMar>
              <w:top w:w="0" w:type="dxa"/>
              <w:left w:w="85" w:type="dxa"/>
              <w:bottom w:w="0" w:type="dxa"/>
              <w:right w:w="85" w:type="dxa"/>
            </w:tcMar>
          </w:tcPr>
          <w:p w14:paraId="465A79D0" w14:textId="77777777" w:rsidR="00BB3E1E" w:rsidRPr="00076B94" w:rsidRDefault="00BB3E1E" w:rsidP="00B05614">
            <w:pPr>
              <w:pStyle w:val="TableText"/>
              <w:jc w:val="right"/>
            </w:pPr>
            <w:r w:rsidRPr="00076B94">
              <w:t>1,313.1</w:t>
            </w:r>
          </w:p>
        </w:tc>
        <w:tc>
          <w:tcPr>
            <w:tcW w:w="0" w:type="auto"/>
            <w:shd w:val="clear" w:color="auto" w:fill="FFFFFF"/>
            <w:tcMar>
              <w:top w:w="0" w:type="dxa"/>
              <w:left w:w="85" w:type="dxa"/>
              <w:bottom w:w="0" w:type="dxa"/>
              <w:right w:w="85" w:type="dxa"/>
            </w:tcMar>
          </w:tcPr>
          <w:p w14:paraId="180003EC" w14:textId="77777777" w:rsidR="00BB3E1E" w:rsidRPr="00076B94" w:rsidRDefault="00BB3E1E" w:rsidP="00B05614">
            <w:pPr>
              <w:pStyle w:val="TableText"/>
              <w:jc w:val="right"/>
            </w:pPr>
            <w:r w:rsidRPr="00076B94">
              <w:t>0.003</w:t>
            </w:r>
          </w:p>
        </w:tc>
        <w:tc>
          <w:tcPr>
            <w:tcW w:w="0" w:type="auto"/>
            <w:shd w:val="clear" w:color="auto" w:fill="FFFFFF"/>
            <w:tcMar>
              <w:top w:w="0" w:type="dxa"/>
              <w:left w:w="85" w:type="dxa"/>
              <w:bottom w:w="0" w:type="dxa"/>
              <w:right w:w="85" w:type="dxa"/>
            </w:tcMar>
          </w:tcPr>
          <w:p w14:paraId="53A322AA" w14:textId="77777777" w:rsidR="00BB3E1E" w:rsidRPr="00076B94" w:rsidRDefault="00BB3E1E" w:rsidP="00B05614">
            <w:pPr>
              <w:pStyle w:val="TableText"/>
              <w:jc w:val="right"/>
            </w:pPr>
            <w:r w:rsidRPr="00076B94">
              <w:t>0.4</w:t>
            </w:r>
          </w:p>
        </w:tc>
        <w:tc>
          <w:tcPr>
            <w:tcW w:w="0" w:type="auto"/>
            <w:shd w:val="clear" w:color="auto" w:fill="FFFFFF"/>
            <w:tcMar>
              <w:top w:w="0" w:type="dxa"/>
              <w:left w:w="85" w:type="dxa"/>
              <w:bottom w:w="0" w:type="dxa"/>
              <w:right w:w="85" w:type="dxa"/>
            </w:tcMar>
          </w:tcPr>
          <w:p w14:paraId="3475BADC" w14:textId="77777777" w:rsidR="00BB3E1E" w:rsidRPr="00076B94" w:rsidRDefault="00BB3E1E" w:rsidP="00B05614">
            <w:pPr>
              <w:pStyle w:val="TableText"/>
              <w:jc w:val="right"/>
            </w:pPr>
            <w:r w:rsidRPr="00076B94">
              <w:t>91.8</w:t>
            </w:r>
          </w:p>
        </w:tc>
      </w:tr>
      <w:tr w:rsidR="00BB3E1E" w:rsidRPr="00076B94" w14:paraId="210843C1" w14:textId="77777777" w:rsidTr="00B05614">
        <w:trPr>
          <w:cantSplit/>
          <w:trHeight w:val="283"/>
        </w:trPr>
        <w:tc>
          <w:tcPr>
            <w:tcW w:w="0" w:type="auto"/>
            <w:shd w:val="clear" w:color="auto" w:fill="FFFFFF"/>
            <w:tcMar>
              <w:top w:w="0" w:type="dxa"/>
              <w:left w:w="85" w:type="dxa"/>
              <w:bottom w:w="0" w:type="dxa"/>
              <w:right w:w="85" w:type="dxa"/>
            </w:tcMar>
          </w:tcPr>
          <w:p w14:paraId="283A05A7" w14:textId="77777777" w:rsidR="00BB3E1E" w:rsidRPr="00076B94" w:rsidRDefault="00BB3E1E" w:rsidP="00B05614">
            <w:pPr>
              <w:pStyle w:val="TableText"/>
            </w:pPr>
            <w:r w:rsidRPr="00076B94" w:rsidDel="00C35CA4">
              <w:t>1.A.2.g.iii</w:t>
            </w:r>
          </w:p>
        </w:tc>
        <w:tc>
          <w:tcPr>
            <w:tcW w:w="0" w:type="auto"/>
            <w:shd w:val="clear" w:color="auto" w:fill="FFFFFF"/>
            <w:tcMar>
              <w:top w:w="0" w:type="dxa"/>
              <w:left w:w="85" w:type="dxa"/>
              <w:bottom w:w="0" w:type="dxa"/>
              <w:right w:w="85" w:type="dxa"/>
            </w:tcMar>
          </w:tcPr>
          <w:p w14:paraId="54F79B7A" w14:textId="77777777" w:rsidR="00BB3E1E" w:rsidRPr="00076B94" w:rsidRDefault="00BB3E1E" w:rsidP="00B05614">
            <w:pPr>
              <w:pStyle w:val="TableText"/>
            </w:pPr>
            <w:r w:rsidRPr="00076B94">
              <w:t xml:space="preserve">Other (please specify) – Mining (excluding fuels) and Quarrying Liquid </w:t>
            </w:r>
            <w:r w:rsidRPr="00076B94" w:rsidDel="00C35CA4">
              <w:t>Fuels</w:t>
            </w:r>
          </w:p>
        </w:tc>
        <w:tc>
          <w:tcPr>
            <w:tcW w:w="0" w:type="auto"/>
            <w:shd w:val="clear" w:color="auto" w:fill="FFFFFF"/>
            <w:tcMar>
              <w:top w:w="0" w:type="dxa"/>
              <w:left w:w="85" w:type="dxa"/>
              <w:bottom w:w="0" w:type="dxa"/>
              <w:right w:w="85" w:type="dxa"/>
            </w:tcMar>
          </w:tcPr>
          <w:p w14:paraId="3A147FEC"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3F7C4A17" w14:textId="77777777" w:rsidR="00BB3E1E" w:rsidRPr="00076B94" w:rsidRDefault="00BB3E1E" w:rsidP="00B05614">
            <w:pPr>
              <w:pStyle w:val="TableText"/>
              <w:jc w:val="right"/>
            </w:pPr>
            <w:r w:rsidRPr="00076B94">
              <w:t>94.1</w:t>
            </w:r>
          </w:p>
        </w:tc>
        <w:tc>
          <w:tcPr>
            <w:tcW w:w="0" w:type="auto"/>
            <w:shd w:val="clear" w:color="auto" w:fill="FFFFFF"/>
            <w:tcMar>
              <w:top w:w="0" w:type="dxa"/>
              <w:left w:w="85" w:type="dxa"/>
              <w:bottom w:w="0" w:type="dxa"/>
              <w:right w:w="85" w:type="dxa"/>
            </w:tcMar>
          </w:tcPr>
          <w:p w14:paraId="1E332787" w14:textId="77777777" w:rsidR="00BB3E1E" w:rsidRPr="00076B94" w:rsidRDefault="00BB3E1E" w:rsidP="00B05614">
            <w:pPr>
              <w:pStyle w:val="TableText"/>
              <w:jc w:val="right"/>
            </w:pPr>
            <w:r w:rsidRPr="00076B94">
              <w:t>365.4</w:t>
            </w:r>
          </w:p>
        </w:tc>
        <w:tc>
          <w:tcPr>
            <w:tcW w:w="0" w:type="auto"/>
            <w:shd w:val="clear" w:color="auto" w:fill="FFFFFF"/>
            <w:tcMar>
              <w:top w:w="0" w:type="dxa"/>
              <w:left w:w="85" w:type="dxa"/>
              <w:bottom w:w="0" w:type="dxa"/>
              <w:right w:w="85" w:type="dxa"/>
            </w:tcMar>
          </w:tcPr>
          <w:p w14:paraId="2B803159" w14:textId="77777777" w:rsidR="00BB3E1E" w:rsidRPr="00076B94" w:rsidRDefault="00BB3E1E" w:rsidP="00B05614">
            <w:pPr>
              <w:pStyle w:val="TableText"/>
              <w:jc w:val="right"/>
            </w:pPr>
            <w:r w:rsidRPr="00076B94">
              <w:t>0.003</w:t>
            </w:r>
          </w:p>
        </w:tc>
        <w:tc>
          <w:tcPr>
            <w:tcW w:w="0" w:type="auto"/>
            <w:shd w:val="clear" w:color="auto" w:fill="FFFFFF"/>
            <w:tcMar>
              <w:top w:w="0" w:type="dxa"/>
              <w:left w:w="85" w:type="dxa"/>
              <w:bottom w:w="0" w:type="dxa"/>
              <w:right w:w="85" w:type="dxa"/>
            </w:tcMar>
          </w:tcPr>
          <w:p w14:paraId="6FF1EBDC" w14:textId="77777777" w:rsidR="00BB3E1E" w:rsidRPr="00076B94" w:rsidRDefault="00BB3E1E" w:rsidP="00B05614">
            <w:pPr>
              <w:pStyle w:val="TableText"/>
              <w:jc w:val="right"/>
            </w:pPr>
            <w:r w:rsidRPr="00076B94">
              <w:t>0.3</w:t>
            </w:r>
          </w:p>
        </w:tc>
        <w:tc>
          <w:tcPr>
            <w:tcW w:w="0" w:type="auto"/>
            <w:shd w:val="clear" w:color="auto" w:fill="FFFFFF"/>
            <w:tcMar>
              <w:top w:w="0" w:type="dxa"/>
              <w:left w:w="85" w:type="dxa"/>
              <w:bottom w:w="0" w:type="dxa"/>
              <w:right w:w="85" w:type="dxa"/>
            </w:tcMar>
          </w:tcPr>
          <w:p w14:paraId="2EF25088" w14:textId="77777777" w:rsidR="00BB3E1E" w:rsidRPr="00076B94" w:rsidRDefault="00BB3E1E" w:rsidP="00B05614">
            <w:pPr>
              <w:pStyle w:val="TableText"/>
              <w:jc w:val="right"/>
            </w:pPr>
            <w:r w:rsidRPr="00076B94">
              <w:t>92.2</w:t>
            </w:r>
          </w:p>
        </w:tc>
      </w:tr>
      <w:tr w:rsidR="00BB3E1E" w:rsidRPr="00076B94" w14:paraId="6BF19AE5" w14:textId="77777777" w:rsidTr="00B05614">
        <w:trPr>
          <w:cantSplit/>
          <w:trHeight w:val="283"/>
        </w:trPr>
        <w:tc>
          <w:tcPr>
            <w:tcW w:w="0" w:type="auto"/>
            <w:shd w:val="clear" w:color="auto" w:fill="FFFFFF"/>
            <w:tcMar>
              <w:top w:w="0" w:type="dxa"/>
              <w:left w:w="85" w:type="dxa"/>
              <w:bottom w:w="0" w:type="dxa"/>
              <w:right w:w="85" w:type="dxa"/>
            </w:tcMar>
          </w:tcPr>
          <w:p w14:paraId="551C0E7D" w14:textId="77777777" w:rsidR="00BB3E1E" w:rsidRPr="00076B94" w:rsidRDefault="00BB3E1E" w:rsidP="00B05614">
            <w:pPr>
              <w:pStyle w:val="TableText"/>
            </w:pPr>
            <w:r w:rsidRPr="00076B94" w:rsidDel="00C35CA4">
              <w:t>3.A.4</w:t>
            </w:r>
          </w:p>
        </w:tc>
        <w:tc>
          <w:tcPr>
            <w:tcW w:w="0" w:type="auto"/>
            <w:shd w:val="clear" w:color="auto" w:fill="FFFFFF"/>
            <w:tcMar>
              <w:top w:w="0" w:type="dxa"/>
              <w:left w:w="85" w:type="dxa"/>
              <w:bottom w:w="0" w:type="dxa"/>
              <w:right w:w="85" w:type="dxa"/>
            </w:tcMar>
          </w:tcPr>
          <w:p w14:paraId="3064C746" w14:textId="77777777" w:rsidR="00BB3E1E" w:rsidRPr="00076B94" w:rsidRDefault="00BB3E1E" w:rsidP="00B05614">
            <w:pPr>
              <w:pStyle w:val="TableText"/>
            </w:pPr>
            <w:r w:rsidRPr="00076B94">
              <w:t xml:space="preserve">Other Livestock – </w:t>
            </w:r>
            <w:r w:rsidRPr="00076B94" w:rsidDel="00C35CA4">
              <w:t>Goats</w:t>
            </w:r>
          </w:p>
        </w:tc>
        <w:tc>
          <w:tcPr>
            <w:tcW w:w="0" w:type="auto"/>
            <w:shd w:val="clear" w:color="auto" w:fill="FFFFFF"/>
            <w:tcMar>
              <w:top w:w="0" w:type="dxa"/>
              <w:left w:w="85" w:type="dxa"/>
              <w:bottom w:w="0" w:type="dxa"/>
              <w:right w:w="85" w:type="dxa"/>
            </w:tcMar>
          </w:tcPr>
          <w:p w14:paraId="253D978E" w14:textId="77777777" w:rsidR="00BB3E1E" w:rsidRPr="00076B94" w:rsidRDefault="00BB3E1E" w:rsidP="00B05614">
            <w:pPr>
              <w:pStyle w:val="TableText"/>
            </w:pPr>
            <w:r w:rsidRPr="00076B94" w:rsidDel="00C35CA4">
              <w:t>CH</w:t>
            </w:r>
            <w:r w:rsidRPr="00076B94" w:rsidDel="00C35CA4">
              <w:rPr>
                <w:vertAlign w:val="subscript"/>
              </w:rPr>
              <w:t>4</w:t>
            </w:r>
          </w:p>
        </w:tc>
        <w:tc>
          <w:tcPr>
            <w:tcW w:w="0" w:type="auto"/>
            <w:shd w:val="clear" w:color="auto" w:fill="FFFFFF"/>
            <w:tcMar>
              <w:top w:w="0" w:type="dxa"/>
              <w:left w:w="85" w:type="dxa"/>
              <w:bottom w:w="0" w:type="dxa"/>
              <w:right w:w="85" w:type="dxa"/>
            </w:tcMar>
          </w:tcPr>
          <w:p w14:paraId="46EBF53B" w14:textId="77777777" w:rsidR="00BB3E1E" w:rsidRPr="00076B94" w:rsidRDefault="00BB3E1E" w:rsidP="00B05614">
            <w:pPr>
              <w:pStyle w:val="TableText"/>
              <w:jc w:val="right"/>
            </w:pPr>
            <w:r w:rsidRPr="00076B94">
              <w:t>196.6</w:t>
            </w:r>
          </w:p>
        </w:tc>
        <w:tc>
          <w:tcPr>
            <w:tcW w:w="0" w:type="auto"/>
            <w:shd w:val="clear" w:color="auto" w:fill="FFFFFF"/>
            <w:tcMar>
              <w:top w:w="0" w:type="dxa"/>
              <w:left w:w="85" w:type="dxa"/>
              <w:bottom w:w="0" w:type="dxa"/>
              <w:right w:w="85" w:type="dxa"/>
            </w:tcMar>
          </w:tcPr>
          <w:p w14:paraId="652BBFAF" w14:textId="77777777" w:rsidR="00BB3E1E" w:rsidRPr="00076B94" w:rsidRDefault="00BB3E1E" w:rsidP="00B05614">
            <w:pPr>
              <w:pStyle w:val="TableText"/>
              <w:jc w:val="right"/>
            </w:pPr>
            <w:r w:rsidRPr="00076B94">
              <w:t>21.6</w:t>
            </w:r>
          </w:p>
        </w:tc>
        <w:tc>
          <w:tcPr>
            <w:tcW w:w="0" w:type="auto"/>
            <w:shd w:val="clear" w:color="auto" w:fill="FFFFFF"/>
            <w:tcMar>
              <w:top w:w="0" w:type="dxa"/>
              <w:left w:w="85" w:type="dxa"/>
              <w:bottom w:w="0" w:type="dxa"/>
              <w:right w:w="85" w:type="dxa"/>
            </w:tcMar>
          </w:tcPr>
          <w:p w14:paraId="5A6581F3" w14:textId="77777777" w:rsidR="00BB3E1E" w:rsidRPr="00076B94" w:rsidRDefault="00BB3E1E" w:rsidP="00B05614">
            <w:pPr>
              <w:pStyle w:val="TableText"/>
              <w:jc w:val="right"/>
            </w:pPr>
            <w:r w:rsidRPr="00076B94">
              <w:t>0.003</w:t>
            </w:r>
          </w:p>
        </w:tc>
        <w:tc>
          <w:tcPr>
            <w:tcW w:w="0" w:type="auto"/>
            <w:shd w:val="clear" w:color="auto" w:fill="FFFFFF"/>
            <w:tcMar>
              <w:top w:w="0" w:type="dxa"/>
              <w:left w:w="85" w:type="dxa"/>
              <w:bottom w:w="0" w:type="dxa"/>
              <w:right w:w="85" w:type="dxa"/>
            </w:tcMar>
          </w:tcPr>
          <w:p w14:paraId="03373E44" w14:textId="77777777" w:rsidR="00BB3E1E" w:rsidRPr="00076B94" w:rsidRDefault="00BB3E1E" w:rsidP="00B05614">
            <w:pPr>
              <w:pStyle w:val="TableText"/>
              <w:jc w:val="right"/>
            </w:pPr>
            <w:r w:rsidRPr="00076B94">
              <w:t>0.3</w:t>
            </w:r>
          </w:p>
        </w:tc>
        <w:tc>
          <w:tcPr>
            <w:tcW w:w="0" w:type="auto"/>
            <w:shd w:val="clear" w:color="auto" w:fill="FFFFFF"/>
            <w:tcMar>
              <w:top w:w="0" w:type="dxa"/>
              <w:left w:w="85" w:type="dxa"/>
              <w:bottom w:w="0" w:type="dxa"/>
              <w:right w:w="85" w:type="dxa"/>
            </w:tcMar>
          </w:tcPr>
          <w:p w14:paraId="795C7B42" w14:textId="77777777" w:rsidR="00BB3E1E" w:rsidRPr="00076B94" w:rsidRDefault="00BB3E1E" w:rsidP="00B05614">
            <w:pPr>
              <w:pStyle w:val="TableText"/>
              <w:jc w:val="right"/>
            </w:pPr>
            <w:r w:rsidRPr="00076B94">
              <w:t>92.5</w:t>
            </w:r>
          </w:p>
        </w:tc>
      </w:tr>
      <w:tr w:rsidR="00BB3E1E" w:rsidRPr="00076B94" w14:paraId="4E33EDC2" w14:textId="77777777" w:rsidTr="00B05614">
        <w:trPr>
          <w:cantSplit/>
          <w:trHeight w:val="283"/>
        </w:trPr>
        <w:tc>
          <w:tcPr>
            <w:tcW w:w="0" w:type="auto"/>
            <w:shd w:val="clear" w:color="auto" w:fill="FFFFFF"/>
            <w:tcMar>
              <w:top w:w="0" w:type="dxa"/>
              <w:left w:w="85" w:type="dxa"/>
              <w:bottom w:w="0" w:type="dxa"/>
              <w:right w:w="85" w:type="dxa"/>
            </w:tcMar>
          </w:tcPr>
          <w:p w14:paraId="2ED04724" w14:textId="77777777" w:rsidR="00BB3E1E" w:rsidRPr="00076B94" w:rsidRDefault="00BB3E1E" w:rsidP="00B05614">
            <w:pPr>
              <w:pStyle w:val="TableText"/>
            </w:pPr>
            <w:r w:rsidRPr="00076B94" w:rsidDel="00C35CA4">
              <w:t>2.A.1</w:t>
            </w:r>
          </w:p>
        </w:tc>
        <w:tc>
          <w:tcPr>
            <w:tcW w:w="0" w:type="auto"/>
            <w:shd w:val="clear" w:color="auto" w:fill="FFFFFF"/>
            <w:tcMar>
              <w:top w:w="0" w:type="dxa"/>
              <w:left w:w="85" w:type="dxa"/>
              <w:bottom w:w="0" w:type="dxa"/>
              <w:right w:w="85" w:type="dxa"/>
            </w:tcMar>
          </w:tcPr>
          <w:p w14:paraId="074604FA" w14:textId="77777777" w:rsidR="00BB3E1E" w:rsidRPr="00076B94" w:rsidRDefault="00BB3E1E" w:rsidP="00B05614">
            <w:pPr>
              <w:pStyle w:val="TableText"/>
            </w:pPr>
            <w:r w:rsidRPr="00076B94">
              <w:t xml:space="preserve">Mineral Industry – Cement </w:t>
            </w:r>
            <w:r w:rsidRPr="00076B94" w:rsidDel="00C35CA4">
              <w:t>Production</w:t>
            </w:r>
          </w:p>
        </w:tc>
        <w:tc>
          <w:tcPr>
            <w:tcW w:w="0" w:type="auto"/>
            <w:shd w:val="clear" w:color="auto" w:fill="FFFFFF"/>
            <w:tcMar>
              <w:top w:w="0" w:type="dxa"/>
              <w:left w:w="85" w:type="dxa"/>
              <w:bottom w:w="0" w:type="dxa"/>
              <w:right w:w="85" w:type="dxa"/>
            </w:tcMar>
          </w:tcPr>
          <w:p w14:paraId="24399695"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5052889A" w14:textId="77777777" w:rsidR="00BB3E1E" w:rsidRPr="00076B94" w:rsidRDefault="00BB3E1E" w:rsidP="00B05614">
            <w:pPr>
              <w:pStyle w:val="TableText"/>
              <w:jc w:val="right"/>
            </w:pPr>
            <w:r w:rsidRPr="00076B94">
              <w:t>448.7</w:t>
            </w:r>
          </w:p>
        </w:tc>
        <w:tc>
          <w:tcPr>
            <w:tcW w:w="0" w:type="auto"/>
            <w:shd w:val="clear" w:color="auto" w:fill="FFFFFF"/>
            <w:tcMar>
              <w:top w:w="0" w:type="dxa"/>
              <w:left w:w="85" w:type="dxa"/>
              <w:bottom w:w="0" w:type="dxa"/>
              <w:right w:w="85" w:type="dxa"/>
            </w:tcMar>
          </w:tcPr>
          <w:p w14:paraId="094F57D0" w14:textId="77777777" w:rsidR="00BB3E1E" w:rsidRPr="00076B94" w:rsidRDefault="00BB3E1E" w:rsidP="00B05614">
            <w:pPr>
              <w:pStyle w:val="TableText"/>
              <w:jc w:val="right"/>
            </w:pPr>
            <w:r w:rsidRPr="00076B94">
              <w:t>379.2</w:t>
            </w:r>
          </w:p>
        </w:tc>
        <w:tc>
          <w:tcPr>
            <w:tcW w:w="0" w:type="auto"/>
            <w:shd w:val="clear" w:color="auto" w:fill="FFFFFF"/>
            <w:tcMar>
              <w:top w:w="0" w:type="dxa"/>
              <w:left w:w="85" w:type="dxa"/>
              <w:bottom w:w="0" w:type="dxa"/>
              <w:right w:w="85" w:type="dxa"/>
            </w:tcMar>
          </w:tcPr>
          <w:p w14:paraId="43E86E33" w14:textId="77777777" w:rsidR="00BB3E1E" w:rsidRPr="00076B94" w:rsidRDefault="00BB3E1E" w:rsidP="00B05614">
            <w:pPr>
              <w:pStyle w:val="TableText"/>
              <w:jc w:val="right"/>
            </w:pPr>
            <w:r w:rsidRPr="00076B94">
              <w:t>0.002</w:t>
            </w:r>
          </w:p>
        </w:tc>
        <w:tc>
          <w:tcPr>
            <w:tcW w:w="0" w:type="auto"/>
            <w:shd w:val="clear" w:color="auto" w:fill="FFFFFF"/>
            <w:tcMar>
              <w:top w:w="0" w:type="dxa"/>
              <w:left w:w="85" w:type="dxa"/>
              <w:bottom w:w="0" w:type="dxa"/>
              <w:right w:w="85" w:type="dxa"/>
            </w:tcMar>
          </w:tcPr>
          <w:p w14:paraId="46D877BD" w14:textId="77777777" w:rsidR="00BB3E1E" w:rsidRPr="00076B94" w:rsidRDefault="00BB3E1E" w:rsidP="00B05614">
            <w:pPr>
              <w:pStyle w:val="TableText"/>
              <w:jc w:val="right"/>
            </w:pPr>
            <w:r w:rsidRPr="00076B94">
              <w:t>0.3</w:t>
            </w:r>
          </w:p>
        </w:tc>
        <w:tc>
          <w:tcPr>
            <w:tcW w:w="0" w:type="auto"/>
            <w:shd w:val="clear" w:color="auto" w:fill="FFFFFF"/>
            <w:tcMar>
              <w:top w:w="0" w:type="dxa"/>
              <w:left w:w="85" w:type="dxa"/>
              <w:bottom w:w="0" w:type="dxa"/>
              <w:right w:w="85" w:type="dxa"/>
            </w:tcMar>
          </w:tcPr>
          <w:p w14:paraId="797665FF" w14:textId="77777777" w:rsidR="00BB3E1E" w:rsidRPr="00076B94" w:rsidRDefault="00BB3E1E" w:rsidP="00B05614">
            <w:pPr>
              <w:pStyle w:val="TableText"/>
              <w:jc w:val="right"/>
            </w:pPr>
            <w:r w:rsidRPr="00076B94">
              <w:t>92.7</w:t>
            </w:r>
          </w:p>
        </w:tc>
      </w:tr>
      <w:tr w:rsidR="00BB3E1E" w:rsidRPr="00076B94" w14:paraId="18BBCFE8" w14:textId="77777777" w:rsidTr="00B05614">
        <w:trPr>
          <w:cantSplit/>
          <w:trHeight w:val="283"/>
        </w:trPr>
        <w:tc>
          <w:tcPr>
            <w:tcW w:w="0" w:type="auto"/>
            <w:shd w:val="clear" w:color="auto" w:fill="FFFFFF"/>
            <w:tcMar>
              <w:top w:w="0" w:type="dxa"/>
              <w:left w:w="85" w:type="dxa"/>
              <w:bottom w:w="0" w:type="dxa"/>
              <w:right w:w="85" w:type="dxa"/>
            </w:tcMar>
          </w:tcPr>
          <w:p w14:paraId="39350AB6" w14:textId="77777777" w:rsidR="00BB3E1E" w:rsidRPr="00076B94" w:rsidRDefault="00BB3E1E" w:rsidP="00B05614">
            <w:pPr>
              <w:pStyle w:val="TableText"/>
            </w:pPr>
            <w:r w:rsidRPr="00076B94" w:rsidDel="00C35CA4">
              <w:t>1.A.3.b</w:t>
            </w:r>
          </w:p>
        </w:tc>
        <w:tc>
          <w:tcPr>
            <w:tcW w:w="0" w:type="auto"/>
            <w:shd w:val="clear" w:color="auto" w:fill="FFFFFF"/>
            <w:tcMar>
              <w:top w:w="0" w:type="dxa"/>
              <w:left w:w="85" w:type="dxa"/>
              <w:bottom w:w="0" w:type="dxa"/>
              <w:right w:w="85" w:type="dxa"/>
            </w:tcMar>
          </w:tcPr>
          <w:p w14:paraId="42E8BCC9" w14:textId="77777777" w:rsidR="00BB3E1E" w:rsidRPr="00076B94" w:rsidRDefault="00BB3E1E" w:rsidP="00B05614">
            <w:pPr>
              <w:pStyle w:val="TableText"/>
            </w:pPr>
            <w:r w:rsidRPr="00076B94">
              <w:t>Transport – Road Transportation Gaseous Fuels</w:t>
            </w:r>
          </w:p>
        </w:tc>
        <w:tc>
          <w:tcPr>
            <w:tcW w:w="0" w:type="auto"/>
            <w:shd w:val="clear" w:color="auto" w:fill="FFFFFF"/>
            <w:tcMar>
              <w:top w:w="0" w:type="dxa"/>
              <w:left w:w="85" w:type="dxa"/>
              <w:bottom w:w="0" w:type="dxa"/>
              <w:right w:w="85" w:type="dxa"/>
            </w:tcMar>
          </w:tcPr>
          <w:p w14:paraId="759F4E99"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7B972CC7" w14:textId="77777777" w:rsidR="00BB3E1E" w:rsidRPr="00076B94" w:rsidRDefault="00BB3E1E" w:rsidP="00B05614">
            <w:pPr>
              <w:pStyle w:val="TableText"/>
              <w:jc w:val="right"/>
            </w:pPr>
            <w:r w:rsidRPr="00076B94">
              <w:t>140.3</w:t>
            </w:r>
          </w:p>
        </w:tc>
        <w:tc>
          <w:tcPr>
            <w:tcW w:w="0" w:type="auto"/>
            <w:shd w:val="clear" w:color="auto" w:fill="FFFFFF"/>
            <w:tcMar>
              <w:top w:w="0" w:type="dxa"/>
              <w:left w:w="85" w:type="dxa"/>
              <w:bottom w:w="0" w:type="dxa"/>
              <w:right w:w="85" w:type="dxa"/>
            </w:tcMar>
          </w:tcPr>
          <w:p w14:paraId="719DCF64" w14:textId="77777777" w:rsidR="00BB3E1E" w:rsidRPr="00076B94" w:rsidRDefault="00BB3E1E" w:rsidP="00B05614">
            <w:pPr>
              <w:pStyle w:val="TableText"/>
              <w:jc w:val="right"/>
            </w:pPr>
            <w:r w:rsidRPr="00076B94">
              <w:t>0.0</w:t>
            </w:r>
          </w:p>
        </w:tc>
        <w:tc>
          <w:tcPr>
            <w:tcW w:w="0" w:type="auto"/>
            <w:shd w:val="clear" w:color="auto" w:fill="FFFFFF"/>
            <w:tcMar>
              <w:top w:w="0" w:type="dxa"/>
              <w:left w:w="85" w:type="dxa"/>
              <w:bottom w:w="0" w:type="dxa"/>
              <w:right w:w="85" w:type="dxa"/>
            </w:tcMar>
          </w:tcPr>
          <w:p w14:paraId="4E2A2E55" w14:textId="77777777" w:rsidR="00BB3E1E" w:rsidRPr="00076B94" w:rsidRDefault="00BB3E1E" w:rsidP="00B05614">
            <w:pPr>
              <w:pStyle w:val="TableText"/>
              <w:jc w:val="right"/>
            </w:pPr>
            <w:r w:rsidRPr="00076B94">
              <w:t>0.002</w:t>
            </w:r>
          </w:p>
        </w:tc>
        <w:tc>
          <w:tcPr>
            <w:tcW w:w="0" w:type="auto"/>
            <w:shd w:val="clear" w:color="auto" w:fill="FFFFFF"/>
            <w:tcMar>
              <w:top w:w="0" w:type="dxa"/>
              <w:left w:w="85" w:type="dxa"/>
              <w:bottom w:w="0" w:type="dxa"/>
              <w:right w:w="85" w:type="dxa"/>
            </w:tcMar>
          </w:tcPr>
          <w:p w14:paraId="43404839" w14:textId="77777777" w:rsidR="00BB3E1E" w:rsidRPr="00076B94" w:rsidRDefault="00BB3E1E" w:rsidP="00B05614">
            <w:pPr>
              <w:pStyle w:val="TableText"/>
              <w:jc w:val="right"/>
            </w:pPr>
            <w:r w:rsidRPr="00076B94">
              <w:t>0.2</w:t>
            </w:r>
          </w:p>
        </w:tc>
        <w:tc>
          <w:tcPr>
            <w:tcW w:w="0" w:type="auto"/>
            <w:shd w:val="clear" w:color="auto" w:fill="FFFFFF"/>
            <w:tcMar>
              <w:top w:w="0" w:type="dxa"/>
              <w:left w:w="85" w:type="dxa"/>
              <w:bottom w:w="0" w:type="dxa"/>
              <w:right w:w="85" w:type="dxa"/>
            </w:tcMar>
          </w:tcPr>
          <w:p w14:paraId="141F8847" w14:textId="77777777" w:rsidR="00BB3E1E" w:rsidRPr="00076B94" w:rsidRDefault="00BB3E1E" w:rsidP="00B05614">
            <w:pPr>
              <w:pStyle w:val="TableText"/>
              <w:jc w:val="right"/>
            </w:pPr>
            <w:r w:rsidRPr="00076B94">
              <w:t>93.0</w:t>
            </w:r>
          </w:p>
        </w:tc>
      </w:tr>
      <w:tr w:rsidR="00BB3E1E" w:rsidRPr="00076B94" w14:paraId="57C2C310" w14:textId="77777777" w:rsidTr="00B05614">
        <w:trPr>
          <w:cantSplit/>
          <w:trHeight w:val="283"/>
        </w:trPr>
        <w:tc>
          <w:tcPr>
            <w:tcW w:w="0" w:type="auto"/>
            <w:shd w:val="clear" w:color="auto" w:fill="FFFFFF"/>
            <w:tcMar>
              <w:top w:w="0" w:type="dxa"/>
              <w:left w:w="85" w:type="dxa"/>
              <w:bottom w:w="0" w:type="dxa"/>
              <w:right w:w="85" w:type="dxa"/>
            </w:tcMar>
          </w:tcPr>
          <w:p w14:paraId="7823AF06" w14:textId="77777777" w:rsidR="00BB3E1E" w:rsidRPr="00076B94" w:rsidRDefault="00BB3E1E" w:rsidP="00B05614">
            <w:pPr>
              <w:pStyle w:val="TableText"/>
            </w:pPr>
            <w:r w:rsidRPr="00076B94" w:rsidDel="00C35CA4">
              <w:t>3.D.1.6</w:t>
            </w:r>
          </w:p>
        </w:tc>
        <w:tc>
          <w:tcPr>
            <w:tcW w:w="0" w:type="auto"/>
            <w:shd w:val="clear" w:color="auto" w:fill="FFFFFF"/>
            <w:tcMar>
              <w:top w:w="0" w:type="dxa"/>
              <w:left w:w="85" w:type="dxa"/>
              <w:bottom w:w="0" w:type="dxa"/>
              <w:right w:w="85" w:type="dxa"/>
            </w:tcMar>
          </w:tcPr>
          <w:p w14:paraId="0BFE7EC8" w14:textId="77777777" w:rsidR="00BB3E1E" w:rsidRPr="00076B94" w:rsidRDefault="00BB3E1E" w:rsidP="00B05614">
            <w:pPr>
              <w:pStyle w:val="TableText"/>
            </w:pPr>
            <w:r w:rsidRPr="00076B94">
              <w:t>Direct N</w:t>
            </w:r>
            <w:r w:rsidRPr="00076B94">
              <w:rPr>
                <w:vertAlign w:val="subscript"/>
              </w:rPr>
              <w:t>2</w:t>
            </w:r>
            <w:r w:rsidRPr="00076B94">
              <w:t xml:space="preserve">O Emissions from Managed Soils – Cultivation of Organic </w:t>
            </w:r>
            <w:r w:rsidRPr="00076B94" w:rsidDel="00C35CA4">
              <w:t>Soils</w:t>
            </w:r>
          </w:p>
        </w:tc>
        <w:tc>
          <w:tcPr>
            <w:tcW w:w="0" w:type="auto"/>
            <w:shd w:val="clear" w:color="auto" w:fill="FFFFFF"/>
            <w:tcMar>
              <w:top w:w="0" w:type="dxa"/>
              <w:left w:w="85" w:type="dxa"/>
              <w:bottom w:w="0" w:type="dxa"/>
              <w:right w:w="85" w:type="dxa"/>
            </w:tcMar>
          </w:tcPr>
          <w:p w14:paraId="3D526D0A" w14:textId="77777777" w:rsidR="00BB3E1E" w:rsidRPr="00076B94" w:rsidRDefault="00BB3E1E" w:rsidP="00B05614">
            <w:pPr>
              <w:pStyle w:val="TableText"/>
            </w:pPr>
            <w:r w:rsidRPr="00076B94" w:rsidDel="00C35CA4">
              <w:t>N</w:t>
            </w:r>
            <w:r w:rsidRPr="00076B94" w:rsidDel="00C35CA4">
              <w:rPr>
                <w:vertAlign w:val="subscript"/>
              </w:rPr>
              <w:t>2</w:t>
            </w:r>
            <w:r w:rsidRPr="00076B94" w:rsidDel="00C35CA4">
              <w:t>O</w:t>
            </w:r>
          </w:p>
        </w:tc>
        <w:tc>
          <w:tcPr>
            <w:tcW w:w="0" w:type="auto"/>
            <w:shd w:val="clear" w:color="auto" w:fill="FFFFFF"/>
            <w:tcMar>
              <w:top w:w="0" w:type="dxa"/>
              <w:left w:w="85" w:type="dxa"/>
              <w:bottom w:w="0" w:type="dxa"/>
              <w:right w:w="85" w:type="dxa"/>
            </w:tcMar>
          </w:tcPr>
          <w:p w14:paraId="1E2DDCD2" w14:textId="77777777" w:rsidR="00BB3E1E" w:rsidRPr="00076B94" w:rsidRDefault="00BB3E1E" w:rsidP="00B05614">
            <w:pPr>
              <w:pStyle w:val="TableText"/>
              <w:jc w:val="right"/>
            </w:pPr>
            <w:r w:rsidRPr="00076B94">
              <w:t>658.7</w:t>
            </w:r>
          </w:p>
        </w:tc>
        <w:tc>
          <w:tcPr>
            <w:tcW w:w="0" w:type="auto"/>
            <w:shd w:val="clear" w:color="auto" w:fill="FFFFFF"/>
            <w:tcMar>
              <w:top w:w="0" w:type="dxa"/>
              <w:left w:w="85" w:type="dxa"/>
              <w:bottom w:w="0" w:type="dxa"/>
              <w:right w:w="85" w:type="dxa"/>
            </w:tcMar>
          </w:tcPr>
          <w:p w14:paraId="607D2301" w14:textId="77777777" w:rsidR="00BB3E1E" w:rsidRPr="00076B94" w:rsidRDefault="00BB3E1E" w:rsidP="00B05614">
            <w:pPr>
              <w:pStyle w:val="TableText"/>
              <w:jc w:val="right"/>
            </w:pPr>
            <w:r w:rsidRPr="00076B94">
              <w:t>667.6</w:t>
            </w:r>
          </w:p>
        </w:tc>
        <w:tc>
          <w:tcPr>
            <w:tcW w:w="0" w:type="auto"/>
            <w:shd w:val="clear" w:color="auto" w:fill="FFFFFF"/>
            <w:tcMar>
              <w:top w:w="0" w:type="dxa"/>
              <w:left w:w="85" w:type="dxa"/>
              <w:bottom w:w="0" w:type="dxa"/>
              <w:right w:w="85" w:type="dxa"/>
            </w:tcMar>
          </w:tcPr>
          <w:p w14:paraId="3BB4B87A" w14:textId="77777777" w:rsidR="00BB3E1E" w:rsidRPr="00076B94" w:rsidRDefault="00BB3E1E" w:rsidP="00B05614">
            <w:pPr>
              <w:pStyle w:val="TableText"/>
              <w:jc w:val="right"/>
            </w:pPr>
            <w:r w:rsidRPr="00076B94">
              <w:t>0.002</w:t>
            </w:r>
          </w:p>
        </w:tc>
        <w:tc>
          <w:tcPr>
            <w:tcW w:w="0" w:type="auto"/>
            <w:shd w:val="clear" w:color="auto" w:fill="FFFFFF"/>
            <w:tcMar>
              <w:top w:w="0" w:type="dxa"/>
              <w:left w:w="85" w:type="dxa"/>
              <w:bottom w:w="0" w:type="dxa"/>
              <w:right w:w="85" w:type="dxa"/>
            </w:tcMar>
          </w:tcPr>
          <w:p w14:paraId="1F15F55E" w14:textId="77777777" w:rsidR="00BB3E1E" w:rsidRPr="00076B94" w:rsidRDefault="00BB3E1E" w:rsidP="00B05614">
            <w:pPr>
              <w:pStyle w:val="TableText"/>
              <w:jc w:val="right"/>
            </w:pPr>
            <w:r w:rsidRPr="00076B94">
              <w:t>0.2</w:t>
            </w:r>
          </w:p>
        </w:tc>
        <w:tc>
          <w:tcPr>
            <w:tcW w:w="0" w:type="auto"/>
            <w:shd w:val="clear" w:color="auto" w:fill="FFFFFF"/>
            <w:tcMar>
              <w:top w:w="0" w:type="dxa"/>
              <w:left w:w="85" w:type="dxa"/>
              <w:bottom w:w="0" w:type="dxa"/>
              <w:right w:w="85" w:type="dxa"/>
            </w:tcMar>
          </w:tcPr>
          <w:p w14:paraId="2872D0D8" w14:textId="77777777" w:rsidR="00BB3E1E" w:rsidRPr="00076B94" w:rsidRDefault="00BB3E1E" w:rsidP="00B05614">
            <w:pPr>
              <w:pStyle w:val="TableText"/>
              <w:jc w:val="right"/>
            </w:pPr>
            <w:r w:rsidRPr="00076B94">
              <w:t>93.2</w:t>
            </w:r>
          </w:p>
        </w:tc>
      </w:tr>
      <w:tr w:rsidR="00BB3E1E" w:rsidRPr="00076B94" w14:paraId="4EB4220C" w14:textId="77777777" w:rsidTr="00B05614">
        <w:trPr>
          <w:cantSplit/>
          <w:trHeight w:val="283"/>
        </w:trPr>
        <w:tc>
          <w:tcPr>
            <w:tcW w:w="0" w:type="auto"/>
            <w:shd w:val="clear" w:color="auto" w:fill="FFFFFF"/>
            <w:tcMar>
              <w:top w:w="0" w:type="dxa"/>
              <w:left w:w="85" w:type="dxa"/>
              <w:bottom w:w="0" w:type="dxa"/>
              <w:right w:w="85" w:type="dxa"/>
            </w:tcMar>
          </w:tcPr>
          <w:p w14:paraId="65C2196C" w14:textId="77777777" w:rsidR="00BB3E1E" w:rsidRPr="00076B94" w:rsidRDefault="00BB3E1E" w:rsidP="00B05614">
            <w:pPr>
              <w:pStyle w:val="TableText"/>
            </w:pPr>
            <w:r w:rsidRPr="00076B94" w:rsidDel="00C35CA4">
              <w:lastRenderedPageBreak/>
              <w:t>1.B.2.d</w:t>
            </w:r>
          </w:p>
        </w:tc>
        <w:tc>
          <w:tcPr>
            <w:tcW w:w="0" w:type="auto"/>
            <w:shd w:val="clear" w:color="auto" w:fill="FFFFFF"/>
            <w:tcMar>
              <w:top w:w="0" w:type="dxa"/>
              <w:left w:w="85" w:type="dxa"/>
              <w:bottom w:w="0" w:type="dxa"/>
              <w:right w:w="85" w:type="dxa"/>
            </w:tcMar>
          </w:tcPr>
          <w:p w14:paraId="6256318E" w14:textId="77777777" w:rsidR="00BB3E1E" w:rsidRPr="00076B94" w:rsidRDefault="00BB3E1E" w:rsidP="00B05614">
            <w:pPr>
              <w:pStyle w:val="TableText"/>
            </w:pPr>
            <w:r w:rsidRPr="00076B94">
              <w:t xml:space="preserve">Other (please specify) – </w:t>
            </w:r>
            <w:r w:rsidRPr="00076B94" w:rsidDel="00C35CA4">
              <w:t>Geothermal</w:t>
            </w:r>
          </w:p>
        </w:tc>
        <w:tc>
          <w:tcPr>
            <w:tcW w:w="0" w:type="auto"/>
            <w:shd w:val="clear" w:color="auto" w:fill="FFFFFF"/>
            <w:tcMar>
              <w:top w:w="0" w:type="dxa"/>
              <w:left w:w="85" w:type="dxa"/>
              <w:bottom w:w="0" w:type="dxa"/>
              <w:right w:w="85" w:type="dxa"/>
            </w:tcMar>
          </w:tcPr>
          <w:p w14:paraId="1FB7EEF4"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6E56BC5D" w14:textId="77777777" w:rsidR="00BB3E1E" w:rsidRPr="00076B94" w:rsidRDefault="00BB3E1E" w:rsidP="00B05614">
            <w:pPr>
              <w:pStyle w:val="TableText"/>
              <w:jc w:val="right"/>
            </w:pPr>
            <w:r w:rsidRPr="00076B94">
              <w:t>228.6</w:t>
            </w:r>
          </w:p>
        </w:tc>
        <w:tc>
          <w:tcPr>
            <w:tcW w:w="0" w:type="auto"/>
            <w:shd w:val="clear" w:color="auto" w:fill="FFFFFF"/>
            <w:tcMar>
              <w:top w:w="0" w:type="dxa"/>
              <w:left w:w="85" w:type="dxa"/>
              <w:bottom w:w="0" w:type="dxa"/>
              <w:right w:w="85" w:type="dxa"/>
            </w:tcMar>
          </w:tcPr>
          <w:p w14:paraId="10851EB2" w14:textId="77777777" w:rsidR="00BB3E1E" w:rsidRPr="00076B94" w:rsidRDefault="00BB3E1E" w:rsidP="00B05614">
            <w:pPr>
              <w:pStyle w:val="TableText"/>
              <w:jc w:val="right"/>
            </w:pPr>
            <w:r w:rsidRPr="00076B94">
              <w:t>449.7</w:t>
            </w:r>
          </w:p>
        </w:tc>
        <w:tc>
          <w:tcPr>
            <w:tcW w:w="0" w:type="auto"/>
            <w:shd w:val="clear" w:color="auto" w:fill="FFFFFF"/>
            <w:tcMar>
              <w:top w:w="0" w:type="dxa"/>
              <w:left w:w="85" w:type="dxa"/>
              <w:bottom w:w="0" w:type="dxa"/>
              <w:right w:w="85" w:type="dxa"/>
            </w:tcMar>
          </w:tcPr>
          <w:p w14:paraId="5DF73D26" w14:textId="77777777" w:rsidR="00BB3E1E" w:rsidRPr="00076B94" w:rsidRDefault="00BB3E1E" w:rsidP="00B05614">
            <w:pPr>
              <w:pStyle w:val="TableText"/>
              <w:jc w:val="right"/>
            </w:pPr>
            <w:r w:rsidRPr="00076B94">
              <w:t>0.002</w:t>
            </w:r>
          </w:p>
        </w:tc>
        <w:tc>
          <w:tcPr>
            <w:tcW w:w="0" w:type="auto"/>
            <w:shd w:val="clear" w:color="auto" w:fill="FFFFFF"/>
            <w:tcMar>
              <w:top w:w="0" w:type="dxa"/>
              <w:left w:w="85" w:type="dxa"/>
              <w:bottom w:w="0" w:type="dxa"/>
              <w:right w:w="85" w:type="dxa"/>
            </w:tcMar>
          </w:tcPr>
          <w:p w14:paraId="70F1B444" w14:textId="77777777" w:rsidR="00BB3E1E" w:rsidRPr="00076B94" w:rsidRDefault="00BB3E1E" w:rsidP="00B05614">
            <w:pPr>
              <w:pStyle w:val="TableText"/>
              <w:jc w:val="right"/>
            </w:pPr>
            <w:r w:rsidRPr="00076B94">
              <w:t>0.2</w:t>
            </w:r>
          </w:p>
        </w:tc>
        <w:tc>
          <w:tcPr>
            <w:tcW w:w="0" w:type="auto"/>
            <w:shd w:val="clear" w:color="auto" w:fill="FFFFFF"/>
            <w:tcMar>
              <w:top w:w="0" w:type="dxa"/>
              <w:left w:w="85" w:type="dxa"/>
              <w:bottom w:w="0" w:type="dxa"/>
              <w:right w:w="85" w:type="dxa"/>
            </w:tcMar>
          </w:tcPr>
          <w:p w14:paraId="039D9044" w14:textId="77777777" w:rsidR="00BB3E1E" w:rsidRPr="00076B94" w:rsidRDefault="00BB3E1E" w:rsidP="00B05614">
            <w:pPr>
              <w:pStyle w:val="TableText"/>
              <w:jc w:val="right"/>
            </w:pPr>
            <w:r w:rsidRPr="00076B94">
              <w:t>93.4</w:t>
            </w:r>
          </w:p>
        </w:tc>
      </w:tr>
      <w:tr w:rsidR="00BB3E1E" w:rsidRPr="00076B94" w14:paraId="4EDE9464" w14:textId="77777777" w:rsidTr="00B05614">
        <w:trPr>
          <w:cantSplit/>
          <w:trHeight w:val="283"/>
        </w:trPr>
        <w:tc>
          <w:tcPr>
            <w:tcW w:w="0" w:type="auto"/>
            <w:shd w:val="clear" w:color="auto" w:fill="FFFFFF"/>
            <w:tcMar>
              <w:top w:w="0" w:type="dxa"/>
              <w:left w:w="85" w:type="dxa"/>
              <w:bottom w:w="0" w:type="dxa"/>
              <w:right w:w="85" w:type="dxa"/>
            </w:tcMar>
          </w:tcPr>
          <w:p w14:paraId="6F8AF9AD" w14:textId="77777777" w:rsidR="00BB3E1E" w:rsidRPr="00076B94" w:rsidRDefault="00BB3E1E" w:rsidP="00B05614">
            <w:pPr>
              <w:pStyle w:val="TableText"/>
            </w:pPr>
            <w:r w:rsidRPr="00076B94" w:rsidDel="00C35CA4">
              <w:t>1.B.2.b.5</w:t>
            </w:r>
          </w:p>
        </w:tc>
        <w:tc>
          <w:tcPr>
            <w:tcW w:w="0" w:type="auto"/>
            <w:shd w:val="clear" w:color="auto" w:fill="FFFFFF"/>
            <w:tcMar>
              <w:top w:w="0" w:type="dxa"/>
              <w:left w:w="85" w:type="dxa"/>
              <w:bottom w:w="0" w:type="dxa"/>
              <w:right w:w="85" w:type="dxa"/>
            </w:tcMar>
          </w:tcPr>
          <w:p w14:paraId="41996173" w14:textId="77777777" w:rsidR="00BB3E1E" w:rsidRPr="00076B94" w:rsidRDefault="00BB3E1E" w:rsidP="00B05614">
            <w:pPr>
              <w:pStyle w:val="TableText"/>
            </w:pPr>
            <w:r w:rsidRPr="00076B94">
              <w:t xml:space="preserve">Natural Gas – </w:t>
            </w:r>
            <w:r w:rsidRPr="00076B94" w:rsidDel="00C35CA4">
              <w:t>Distribution</w:t>
            </w:r>
          </w:p>
        </w:tc>
        <w:tc>
          <w:tcPr>
            <w:tcW w:w="0" w:type="auto"/>
            <w:shd w:val="clear" w:color="auto" w:fill="FFFFFF"/>
            <w:tcMar>
              <w:top w:w="0" w:type="dxa"/>
              <w:left w:w="85" w:type="dxa"/>
              <w:bottom w:w="0" w:type="dxa"/>
              <w:right w:w="85" w:type="dxa"/>
            </w:tcMar>
          </w:tcPr>
          <w:p w14:paraId="343C5F81" w14:textId="77777777" w:rsidR="00BB3E1E" w:rsidRPr="00076B94" w:rsidRDefault="00BB3E1E" w:rsidP="00B05614">
            <w:pPr>
              <w:pStyle w:val="TableText"/>
            </w:pPr>
            <w:r w:rsidRPr="00076B94" w:rsidDel="00C35CA4">
              <w:t>CH</w:t>
            </w:r>
            <w:r w:rsidRPr="00076B94" w:rsidDel="00C35CA4">
              <w:rPr>
                <w:vertAlign w:val="subscript"/>
              </w:rPr>
              <w:t>4</w:t>
            </w:r>
          </w:p>
        </w:tc>
        <w:tc>
          <w:tcPr>
            <w:tcW w:w="0" w:type="auto"/>
            <w:shd w:val="clear" w:color="auto" w:fill="FFFFFF"/>
            <w:tcMar>
              <w:top w:w="0" w:type="dxa"/>
              <w:left w:w="85" w:type="dxa"/>
              <w:bottom w:w="0" w:type="dxa"/>
              <w:right w:w="85" w:type="dxa"/>
            </w:tcMar>
          </w:tcPr>
          <w:p w14:paraId="0B28B2D4" w14:textId="77777777" w:rsidR="00BB3E1E" w:rsidRPr="00076B94" w:rsidRDefault="00BB3E1E" w:rsidP="00B05614">
            <w:pPr>
              <w:pStyle w:val="TableText"/>
              <w:jc w:val="right"/>
            </w:pPr>
            <w:r w:rsidRPr="00076B94">
              <w:t>277.5</w:t>
            </w:r>
          </w:p>
        </w:tc>
        <w:tc>
          <w:tcPr>
            <w:tcW w:w="0" w:type="auto"/>
            <w:shd w:val="clear" w:color="auto" w:fill="FFFFFF"/>
            <w:tcMar>
              <w:top w:w="0" w:type="dxa"/>
              <w:left w:w="85" w:type="dxa"/>
              <w:bottom w:w="0" w:type="dxa"/>
              <w:right w:w="85" w:type="dxa"/>
            </w:tcMar>
          </w:tcPr>
          <w:p w14:paraId="33613620" w14:textId="77777777" w:rsidR="00BB3E1E" w:rsidRPr="00076B94" w:rsidRDefault="00BB3E1E" w:rsidP="00B05614">
            <w:pPr>
              <w:pStyle w:val="TableText"/>
              <w:jc w:val="right"/>
            </w:pPr>
            <w:r w:rsidRPr="00076B94">
              <w:t>192.2</w:t>
            </w:r>
          </w:p>
        </w:tc>
        <w:tc>
          <w:tcPr>
            <w:tcW w:w="0" w:type="auto"/>
            <w:shd w:val="clear" w:color="auto" w:fill="FFFFFF"/>
            <w:tcMar>
              <w:top w:w="0" w:type="dxa"/>
              <w:left w:w="85" w:type="dxa"/>
              <w:bottom w:w="0" w:type="dxa"/>
              <w:right w:w="85" w:type="dxa"/>
            </w:tcMar>
          </w:tcPr>
          <w:p w14:paraId="33662B90" w14:textId="77777777" w:rsidR="00BB3E1E" w:rsidRPr="00076B94" w:rsidRDefault="00BB3E1E" w:rsidP="00B05614">
            <w:pPr>
              <w:pStyle w:val="TableText"/>
              <w:jc w:val="right"/>
            </w:pPr>
            <w:r w:rsidRPr="00076B94">
              <w:t>0.002</w:t>
            </w:r>
          </w:p>
        </w:tc>
        <w:tc>
          <w:tcPr>
            <w:tcW w:w="0" w:type="auto"/>
            <w:shd w:val="clear" w:color="auto" w:fill="FFFFFF"/>
            <w:tcMar>
              <w:top w:w="0" w:type="dxa"/>
              <w:left w:w="85" w:type="dxa"/>
              <w:bottom w:w="0" w:type="dxa"/>
              <w:right w:w="85" w:type="dxa"/>
            </w:tcMar>
          </w:tcPr>
          <w:p w14:paraId="71A20728" w14:textId="77777777" w:rsidR="00BB3E1E" w:rsidRPr="00076B94" w:rsidRDefault="00BB3E1E" w:rsidP="00B05614">
            <w:pPr>
              <w:pStyle w:val="TableText"/>
              <w:jc w:val="right"/>
            </w:pPr>
            <w:r w:rsidRPr="00076B94">
              <w:t>0.2</w:t>
            </w:r>
          </w:p>
        </w:tc>
        <w:tc>
          <w:tcPr>
            <w:tcW w:w="0" w:type="auto"/>
            <w:shd w:val="clear" w:color="auto" w:fill="FFFFFF"/>
            <w:tcMar>
              <w:top w:w="0" w:type="dxa"/>
              <w:left w:w="85" w:type="dxa"/>
              <w:bottom w:w="0" w:type="dxa"/>
              <w:right w:w="85" w:type="dxa"/>
            </w:tcMar>
          </w:tcPr>
          <w:p w14:paraId="6FF96D2F" w14:textId="77777777" w:rsidR="00BB3E1E" w:rsidRPr="00076B94" w:rsidRDefault="00BB3E1E" w:rsidP="00B05614">
            <w:pPr>
              <w:pStyle w:val="TableText"/>
              <w:jc w:val="right"/>
            </w:pPr>
            <w:r w:rsidRPr="00076B94">
              <w:t>93.6</w:t>
            </w:r>
          </w:p>
        </w:tc>
      </w:tr>
      <w:tr w:rsidR="00BB3E1E" w:rsidRPr="00076B94" w14:paraId="5F4F948E" w14:textId="77777777" w:rsidTr="00B05614">
        <w:trPr>
          <w:cantSplit/>
          <w:trHeight w:val="283"/>
        </w:trPr>
        <w:tc>
          <w:tcPr>
            <w:tcW w:w="0" w:type="auto"/>
            <w:shd w:val="clear" w:color="auto" w:fill="FFFFFF"/>
            <w:tcMar>
              <w:top w:w="0" w:type="dxa"/>
              <w:left w:w="85" w:type="dxa"/>
              <w:bottom w:w="0" w:type="dxa"/>
              <w:right w:w="85" w:type="dxa"/>
            </w:tcMar>
          </w:tcPr>
          <w:p w14:paraId="4BEFA4F5" w14:textId="77777777" w:rsidR="00BB3E1E" w:rsidRPr="00076B94" w:rsidRDefault="00BB3E1E" w:rsidP="00B05614">
            <w:pPr>
              <w:pStyle w:val="TableText"/>
            </w:pPr>
            <w:r w:rsidRPr="00076B94" w:rsidDel="00C35CA4">
              <w:t>1.A.4.b</w:t>
            </w:r>
          </w:p>
        </w:tc>
        <w:tc>
          <w:tcPr>
            <w:tcW w:w="0" w:type="auto"/>
            <w:shd w:val="clear" w:color="auto" w:fill="FFFFFF"/>
            <w:tcMar>
              <w:top w:w="0" w:type="dxa"/>
              <w:left w:w="85" w:type="dxa"/>
              <w:bottom w:w="0" w:type="dxa"/>
              <w:right w:w="85" w:type="dxa"/>
            </w:tcMar>
          </w:tcPr>
          <w:p w14:paraId="439822AC" w14:textId="77777777" w:rsidR="00BB3E1E" w:rsidRPr="00076B94" w:rsidRDefault="00BB3E1E" w:rsidP="00B05614">
            <w:pPr>
              <w:pStyle w:val="TableText"/>
            </w:pPr>
            <w:r w:rsidRPr="00076B94">
              <w:t>Other Sectors – Residential Gaseous Fuels</w:t>
            </w:r>
          </w:p>
        </w:tc>
        <w:tc>
          <w:tcPr>
            <w:tcW w:w="0" w:type="auto"/>
            <w:shd w:val="clear" w:color="auto" w:fill="FFFFFF"/>
            <w:tcMar>
              <w:top w:w="0" w:type="dxa"/>
              <w:left w:w="85" w:type="dxa"/>
              <w:bottom w:w="0" w:type="dxa"/>
              <w:right w:w="85" w:type="dxa"/>
            </w:tcMar>
          </w:tcPr>
          <w:p w14:paraId="3E76E7E4"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72AAF3A3" w14:textId="77777777" w:rsidR="00BB3E1E" w:rsidRPr="00076B94" w:rsidRDefault="00BB3E1E" w:rsidP="00B05614">
            <w:pPr>
              <w:pStyle w:val="TableText"/>
              <w:jc w:val="right"/>
            </w:pPr>
            <w:r w:rsidRPr="00076B94">
              <w:t>184.9</w:t>
            </w:r>
          </w:p>
        </w:tc>
        <w:tc>
          <w:tcPr>
            <w:tcW w:w="0" w:type="auto"/>
            <w:shd w:val="clear" w:color="auto" w:fill="FFFFFF"/>
            <w:tcMar>
              <w:top w:w="0" w:type="dxa"/>
              <w:left w:w="85" w:type="dxa"/>
              <w:bottom w:w="0" w:type="dxa"/>
              <w:right w:w="85" w:type="dxa"/>
            </w:tcMar>
          </w:tcPr>
          <w:p w14:paraId="23519DF1" w14:textId="77777777" w:rsidR="00BB3E1E" w:rsidRPr="00076B94" w:rsidRDefault="00BB3E1E" w:rsidP="00B05614">
            <w:pPr>
              <w:pStyle w:val="TableText"/>
              <w:jc w:val="right"/>
            </w:pPr>
            <w:r w:rsidRPr="00076B94">
              <w:t>388.4</w:t>
            </w:r>
          </w:p>
        </w:tc>
        <w:tc>
          <w:tcPr>
            <w:tcW w:w="0" w:type="auto"/>
            <w:shd w:val="clear" w:color="auto" w:fill="FFFFFF"/>
            <w:tcMar>
              <w:top w:w="0" w:type="dxa"/>
              <w:left w:w="85" w:type="dxa"/>
              <w:bottom w:w="0" w:type="dxa"/>
              <w:right w:w="85" w:type="dxa"/>
            </w:tcMar>
          </w:tcPr>
          <w:p w14:paraId="0D24E56B" w14:textId="77777777" w:rsidR="00BB3E1E" w:rsidRPr="00076B94" w:rsidRDefault="00BB3E1E" w:rsidP="00B05614">
            <w:pPr>
              <w:pStyle w:val="TableText"/>
              <w:jc w:val="right"/>
            </w:pPr>
            <w:r w:rsidRPr="00076B94">
              <w:t>0.002</w:t>
            </w:r>
          </w:p>
        </w:tc>
        <w:tc>
          <w:tcPr>
            <w:tcW w:w="0" w:type="auto"/>
            <w:shd w:val="clear" w:color="auto" w:fill="FFFFFF"/>
            <w:tcMar>
              <w:top w:w="0" w:type="dxa"/>
              <w:left w:w="85" w:type="dxa"/>
              <w:bottom w:w="0" w:type="dxa"/>
              <w:right w:w="85" w:type="dxa"/>
            </w:tcMar>
          </w:tcPr>
          <w:p w14:paraId="5B81FC8E" w14:textId="77777777" w:rsidR="00BB3E1E" w:rsidRPr="00076B94" w:rsidRDefault="00BB3E1E" w:rsidP="00B05614">
            <w:pPr>
              <w:pStyle w:val="TableText"/>
              <w:jc w:val="right"/>
            </w:pPr>
            <w:r w:rsidRPr="00076B94">
              <w:t>0.2</w:t>
            </w:r>
          </w:p>
        </w:tc>
        <w:tc>
          <w:tcPr>
            <w:tcW w:w="0" w:type="auto"/>
            <w:shd w:val="clear" w:color="auto" w:fill="FFFFFF"/>
            <w:tcMar>
              <w:top w:w="0" w:type="dxa"/>
              <w:left w:w="85" w:type="dxa"/>
              <w:bottom w:w="0" w:type="dxa"/>
              <w:right w:w="85" w:type="dxa"/>
            </w:tcMar>
          </w:tcPr>
          <w:p w14:paraId="24C2C6C1" w14:textId="77777777" w:rsidR="00BB3E1E" w:rsidRPr="00076B94" w:rsidRDefault="00BB3E1E" w:rsidP="00B05614">
            <w:pPr>
              <w:pStyle w:val="TableText"/>
              <w:jc w:val="right"/>
            </w:pPr>
            <w:r w:rsidRPr="00076B94">
              <w:t>93.9</w:t>
            </w:r>
          </w:p>
        </w:tc>
      </w:tr>
      <w:tr w:rsidR="00BB3E1E" w:rsidRPr="00076B94" w14:paraId="48B3B0F7" w14:textId="77777777" w:rsidTr="00B05614">
        <w:trPr>
          <w:cantSplit/>
          <w:trHeight w:val="283"/>
        </w:trPr>
        <w:tc>
          <w:tcPr>
            <w:tcW w:w="0" w:type="auto"/>
            <w:shd w:val="clear" w:color="auto" w:fill="FFFFFF"/>
            <w:tcMar>
              <w:top w:w="0" w:type="dxa"/>
              <w:left w:w="85" w:type="dxa"/>
              <w:bottom w:w="0" w:type="dxa"/>
              <w:right w:w="85" w:type="dxa"/>
            </w:tcMar>
          </w:tcPr>
          <w:p w14:paraId="0B02FF81" w14:textId="77777777" w:rsidR="00BB3E1E" w:rsidRPr="00076B94" w:rsidRDefault="00BB3E1E" w:rsidP="00B05614">
            <w:pPr>
              <w:pStyle w:val="TableText"/>
            </w:pPr>
            <w:r w:rsidRPr="00076B94" w:rsidDel="00C35CA4">
              <w:t>1.A.1.b</w:t>
            </w:r>
          </w:p>
        </w:tc>
        <w:tc>
          <w:tcPr>
            <w:tcW w:w="0" w:type="auto"/>
            <w:shd w:val="clear" w:color="auto" w:fill="FFFFFF"/>
            <w:tcMar>
              <w:top w:w="0" w:type="dxa"/>
              <w:left w:w="85" w:type="dxa"/>
              <w:bottom w:w="0" w:type="dxa"/>
              <w:right w:w="85" w:type="dxa"/>
            </w:tcMar>
          </w:tcPr>
          <w:p w14:paraId="0D10AB44" w14:textId="77777777" w:rsidR="00BB3E1E" w:rsidRPr="00076B94" w:rsidRDefault="00BB3E1E" w:rsidP="00B05614">
            <w:pPr>
              <w:pStyle w:val="TableText"/>
            </w:pPr>
            <w:r w:rsidRPr="00076B94">
              <w:t xml:space="preserve">Energy Industries – Petroleum Refining Gaseous </w:t>
            </w:r>
            <w:r w:rsidRPr="00076B94" w:rsidDel="00C35CA4">
              <w:t>Fuels</w:t>
            </w:r>
          </w:p>
        </w:tc>
        <w:tc>
          <w:tcPr>
            <w:tcW w:w="0" w:type="auto"/>
            <w:shd w:val="clear" w:color="auto" w:fill="FFFFFF"/>
            <w:tcMar>
              <w:top w:w="0" w:type="dxa"/>
              <w:left w:w="85" w:type="dxa"/>
              <w:bottom w:w="0" w:type="dxa"/>
              <w:right w:w="85" w:type="dxa"/>
            </w:tcMar>
          </w:tcPr>
          <w:p w14:paraId="53871A68"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010CE54C" w14:textId="77777777" w:rsidR="00BB3E1E" w:rsidRPr="00076B94" w:rsidRDefault="00BB3E1E" w:rsidP="00B05614">
            <w:pPr>
              <w:pStyle w:val="TableText"/>
              <w:jc w:val="right"/>
            </w:pPr>
            <w:r w:rsidRPr="00076B94">
              <w:t>0.0</w:t>
            </w:r>
          </w:p>
        </w:tc>
        <w:tc>
          <w:tcPr>
            <w:tcW w:w="0" w:type="auto"/>
            <w:shd w:val="clear" w:color="auto" w:fill="FFFFFF"/>
            <w:tcMar>
              <w:top w:w="0" w:type="dxa"/>
              <w:left w:w="85" w:type="dxa"/>
              <w:bottom w:w="0" w:type="dxa"/>
              <w:right w:w="85" w:type="dxa"/>
            </w:tcMar>
          </w:tcPr>
          <w:p w14:paraId="66C53C18" w14:textId="77777777" w:rsidR="00BB3E1E" w:rsidRPr="00076B94" w:rsidRDefault="00BB3E1E" w:rsidP="00B05614">
            <w:pPr>
              <w:pStyle w:val="TableText"/>
              <w:jc w:val="right"/>
            </w:pPr>
            <w:r w:rsidRPr="00076B94">
              <w:t>148.2</w:t>
            </w:r>
          </w:p>
        </w:tc>
        <w:tc>
          <w:tcPr>
            <w:tcW w:w="0" w:type="auto"/>
            <w:shd w:val="clear" w:color="auto" w:fill="FFFFFF"/>
            <w:tcMar>
              <w:top w:w="0" w:type="dxa"/>
              <w:left w:w="85" w:type="dxa"/>
              <w:bottom w:w="0" w:type="dxa"/>
              <w:right w:w="85" w:type="dxa"/>
            </w:tcMar>
          </w:tcPr>
          <w:p w14:paraId="379F5A5C" w14:textId="77777777" w:rsidR="00BB3E1E" w:rsidRPr="00076B94" w:rsidRDefault="00BB3E1E" w:rsidP="00B05614">
            <w:pPr>
              <w:pStyle w:val="TableText"/>
              <w:jc w:val="right"/>
            </w:pPr>
            <w:r w:rsidRPr="00076B94">
              <w:t>0.002</w:t>
            </w:r>
          </w:p>
        </w:tc>
        <w:tc>
          <w:tcPr>
            <w:tcW w:w="0" w:type="auto"/>
            <w:shd w:val="clear" w:color="auto" w:fill="FFFFFF"/>
            <w:tcMar>
              <w:top w:w="0" w:type="dxa"/>
              <w:left w:w="85" w:type="dxa"/>
              <w:bottom w:w="0" w:type="dxa"/>
              <w:right w:w="85" w:type="dxa"/>
            </w:tcMar>
          </w:tcPr>
          <w:p w14:paraId="775A411A" w14:textId="77777777" w:rsidR="00BB3E1E" w:rsidRPr="00076B94" w:rsidRDefault="00BB3E1E" w:rsidP="00B05614">
            <w:pPr>
              <w:pStyle w:val="TableText"/>
              <w:jc w:val="right"/>
            </w:pPr>
            <w:r w:rsidRPr="00076B94">
              <w:t>0.2</w:t>
            </w:r>
          </w:p>
        </w:tc>
        <w:tc>
          <w:tcPr>
            <w:tcW w:w="0" w:type="auto"/>
            <w:shd w:val="clear" w:color="auto" w:fill="FFFFFF"/>
            <w:tcMar>
              <w:top w:w="0" w:type="dxa"/>
              <w:left w:w="85" w:type="dxa"/>
              <w:bottom w:w="0" w:type="dxa"/>
              <w:right w:w="85" w:type="dxa"/>
            </w:tcMar>
          </w:tcPr>
          <w:p w14:paraId="5C807FCD" w14:textId="77777777" w:rsidR="00BB3E1E" w:rsidRPr="00076B94" w:rsidRDefault="00BB3E1E" w:rsidP="00B05614">
            <w:pPr>
              <w:pStyle w:val="TableText"/>
              <w:jc w:val="right"/>
            </w:pPr>
            <w:r w:rsidRPr="00076B94">
              <w:t>94.1</w:t>
            </w:r>
          </w:p>
        </w:tc>
      </w:tr>
      <w:tr w:rsidR="00BB3E1E" w:rsidRPr="00076B94" w14:paraId="68F58EFA" w14:textId="77777777" w:rsidTr="00B05614">
        <w:trPr>
          <w:cantSplit/>
          <w:trHeight w:val="283"/>
        </w:trPr>
        <w:tc>
          <w:tcPr>
            <w:tcW w:w="0" w:type="auto"/>
            <w:shd w:val="clear" w:color="auto" w:fill="FFFFFF"/>
            <w:tcMar>
              <w:top w:w="0" w:type="dxa"/>
              <w:left w:w="85" w:type="dxa"/>
              <w:bottom w:w="0" w:type="dxa"/>
              <w:right w:w="85" w:type="dxa"/>
            </w:tcMar>
          </w:tcPr>
          <w:p w14:paraId="3098D73D" w14:textId="77777777" w:rsidR="00BB3E1E" w:rsidRPr="00076B94" w:rsidRDefault="00BB3E1E" w:rsidP="00B05614">
            <w:pPr>
              <w:pStyle w:val="TableText"/>
            </w:pPr>
            <w:r w:rsidRPr="00076B94" w:rsidDel="00C35CA4">
              <w:t>1.A.2.g.viii</w:t>
            </w:r>
          </w:p>
        </w:tc>
        <w:tc>
          <w:tcPr>
            <w:tcW w:w="0" w:type="auto"/>
            <w:shd w:val="clear" w:color="auto" w:fill="FFFFFF"/>
            <w:tcMar>
              <w:top w:w="0" w:type="dxa"/>
              <w:left w:w="85" w:type="dxa"/>
              <w:bottom w:w="0" w:type="dxa"/>
              <w:right w:w="85" w:type="dxa"/>
            </w:tcMar>
          </w:tcPr>
          <w:p w14:paraId="7285FB06" w14:textId="77777777" w:rsidR="00BB3E1E" w:rsidRPr="00076B94" w:rsidRDefault="00BB3E1E" w:rsidP="00B05614">
            <w:pPr>
              <w:pStyle w:val="TableText"/>
            </w:pPr>
            <w:r w:rsidRPr="00076B94">
              <w:t>Other (please specify) – Other (please specify) Liquid Fuels</w:t>
            </w:r>
          </w:p>
        </w:tc>
        <w:tc>
          <w:tcPr>
            <w:tcW w:w="0" w:type="auto"/>
            <w:shd w:val="clear" w:color="auto" w:fill="FFFFFF"/>
            <w:tcMar>
              <w:top w:w="0" w:type="dxa"/>
              <w:left w:w="85" w:type="dxa"/>
              <w:bottom w:w="0" w:type="dxa"/>
              <w:right w:w="85" w:type="dxa"/>
            </w:tcMar>
          </w:tcPr>
          <w:p w14:paraId="18FC1A68"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1A8DB9C3" w14:textId="77777777" w:rsidR="00BB3E1E" w:rsidRPr="00076B94" w:rsidRDefault="00BB3E1E" w:rsidP="00B05614">
            <w:pPr>
              <w:pStyle w:val="TableText"/>
              <w:jc w:val="right"/>
            </w:pPr>
            <w:r w:rsidRPr="00076B94">
              <w:t>52.3</w:t>
            </w:r>
          </w:p>
        </w:tc>
        <w:tc>
          <w:tcPr>
            <w:tcW w:w="0" w:type="auto"/>
            <w:shd w:val="clear" w:color="auto" w:fill="FFFFFF"/>
            <w:tcMar>
              <w:top w:w="0" w:type="dxa"/>
              <w:left w:w="85" w:type="dxa"/>
              <w:bottom w:w="0" w:type="dxa"/>
              <w:right w:w="85" w:type="dxa"/>
            </w:tcMar>
          </w:tcPr>
          <w:p w14:paraId="4A1C273C" w14:textId="77777777" w:rsidR="00BB3E1E" w:rsidRPr="00076B94" w:rsidRDefault="00BB3E1E" w:rsidP="00B05614">
            <w:pPr>
              <w:pStyle w:val="TableText"/>
              <w:jc w:val="right"/>
            </w:pPr>
            <w:r w:rsidRPr="00076B94">
              <w:t>212.3</w:t>
            </w:r>
          </w:p>
        </w:tc>
        <w:tc>
          <w:tcPr>
            <w:tcW w:w="0" w:type="auto"/>
            <w:shd w:val="clear" w:color="auto" w:fill="FFFFFF"/>
            <w:tcMar>
              <w:top w:w="0" w:type="dxa"/>
              <w:left w:w="85" w:type="dxa"/>
              <w:bottom w:w="0" w:type="dxa"/>
              <w:right w:w="85" w:type="dxa"/>
            </w:tcMar>
          </w:tcPr>
          <w:p w14:paraId="351A07E2" w14:textId="77777777" w:rsidR="00BB3E1E" w:rsidRPr="00076B94" w:rsidRDefault="00BB3E1E" w:rsidP="00B05614">
            <w:pPr>
              <w:pStyle w:val="TableText"/>
              <w:jc w:val="right"/>
            </w:pPr>
            <w:r w:rsidRPr="00076B94">
              <w:t>0.002</w:t>
            </w:r>
          </w:p>
        </w:tc>
        <w:tc>
          <w:tcPr>
            <w:tcW w:w="0" w:type="auto"/>
            <w:shd w:val="clear" w:color="auto" w:fill="FFFFFF"/>
            <w:tcMar>
              <w:top w:w="0" w:type="dxa"/>
              <w:left w:w="85" w:type="dxa"/>
              <w:bottom w:w="0" w:type="dxa"/>
              <w:right w:w="85" w:type="dxa"/>
            </w:tcMar>
          </w:tcPr>
          <w:p w14:paraId="42AD2FD6" w14:textId="77777777" w:rsidR="00BB3E1E" w:rsidRPr="00076B94" w:rsidRDefault="00BB3E1E" w:rsidP="00B05614">
            <w:pPr>
              <w:pStyle w:val="TableText"/>
              <w:jc w:val="right"/>
            </w:pPr>
            <w:r w:rsidRPr="00076B94">
              <w:t>0.2</w:t>
            </w:r>
          </w:p>
        </w:tc>
        <w:tc>
          <w:tcPr>
            <w:tcW w:w="0" w:type="auto"/>
            <w:shd w:val="clear" w:color="auto" w:fill="FFFFFF"/>
            <w:tcMar>
              <w:top w:w="0" w:type="dxa"/>
              <w:left w:w="85" w:type="dxa"/>
              <w:bottom w:w="0" w:type="dxa"/>
              <w:right w:w="85" w:type="dxa"/>
            </w:tcMar>
          </w:tcPr>
          <w:p w14:paraId="0910EA34" w14:textId="77777777" w:rsidR="00BB3E1E" w:rsidRPr="00076B94" w:rsidRDefault="00BB3E1E" w:rsidP="00B05614">
            <w:pPr>
              <w:pStyle w:val="TableText"/>
              <w:jc w:val="right"/>
            </w:pPr>
            <w:r w:rsidRPr="00076B94">
              <w:t>94.3</w:t>
            </w:r>
          </w:p>
        </w:tc>
      </w:tr>
      <w:tr w:rsidR="00BB3E1E" w:rsidRPr="00076B94" w14:paraId="3B2C9348" w14:textId="77777777" w:rsidTr="00B05614">
        <w:trPr>
          <w:cantSplit/>
          <w:trHeight w:val="283"/>
        </w:trPr>
        <w:tc>
          <w:tcPr>
            <w:tcW w:w="0" w:type="auto"/>
            <w:shd w:val="clear" w:color="auto" w:fill="FFFFFF"/>
            <w:tcMar>
              <w:top w:w="0" w:type="dxa"/>
              <w:left w:w="85" w:type="dxa"/>
              <w:bottom w:w="0" w:type="dxa"/>
              <w:right w:w="85" w:type="dxa"/>
            </w:tcMar>
          </w:tcPr>
          <w:p w14:paraId="2F7AEE9A" w14:textId="77777777" w:rsidR="00BB3E1E" w:rsidRPr="00076B94" w:rsidRDefault="00BB3E1E" w:rsidP="00B05614">
            <w:pPr>
              <w:pStyle w:val="TableText"/>
            </w:pPr>
            <w:r w:rsidRPr="00076B94" w:rsidDel="00C35CA4">
              <w:t>1.A.2.g.v</w:t>
            </w:r>
          </w:p>
        </w:tc>
        <w:tc>
          <w:tcPr>
            <w:tcW w:w="0" w:type="auto"/>
            <w:shd w:val="clear" w:color="auto" w:fill="FFFFFF"/>
            <w:tcMar>
              <w:top w:w="0" w:type="dxa"/>
              <w:left w:w="85" w:type="dxa"/>
              <w:bottom w:w="0" w:type="dxa"/>
              <w:right w:w="85" w:type="dxa"/>
            </w:tcMar>
          </w:tcPr>
          <w:p w14:paraId="1A20655C" w14:textId="77777777" w:rsidR="00BB3E1E" w:rsidRPr="00076B94" w:rsidRDefault="00BB3E1E" w:rsidP="00B05614">
            <w:pPr>
              <w:pStyle w:val="TableText"/>
            </w:pPr>
            <w:r w:rsidRPr="00076B94">
              <w:t xml:space="preserve">Other (please specify) – </w:t>
            </w:r>
            <w:r w:rsidRPr="00076B94" w:rsidDel="00C35CA4">
              <w:t>Construction</w:t>
            </w:r>
          </w:p>
        </w:tc>
        <w:tc>
          <w:tcPr>
            <w:tcW w:w="0" w:type="auto"/>
            <w:shd w:val="clear" w:color="auto" w:fill="FFFFFF"/>
            <w:tcMar>
              <w:top w:w="0" w:type="dxa"/>
              <w:left w:w="85" w:type="dxa"/>
              <w:bottom w:w="0" w:type="dxa"/>
              <w:right w:w="85" w:type="dxa"/>
            </w:tcMar>
          </w:tcPr>
          <w:p w14:paraId="67DD44F9"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2EABFA65" w14:textId="77777777" w:rsidR="00BB3E1E" w:rsidRPr="00076B94" w:rsidRDefault="00BB3E1E" w:rsidP="00B05614">
            <w:pPr>
              <w:pStyle w:val="TableText"/>
              <w:jc w:val="right"/>
            </w:pPr>
            <w:r w:rsidRPr="00076B94">
              <w:t>245.0</w:t>
            </w:r>
          </w:p>
        </w:tc>
        <w:tc>
          <w:tcPr>
            <w:tcW w:w="0" w:type="auto"/>
            <w:shd w:val="clear" w:color="auto" w:fill="FFFFFF"/>
            <w:tcMar>
              <w:top w:w="0" w:type="dxa"/>
              <w:left w:w="85" w:type="dxa"/>
              <w:bottom w:w="0" w:type="dxa"/>
              <w:right w:w="85" w:type="dxa"/>
            </w:tcMar>
          </w:tcPr>
          <w:p w14:paraId="16B1CAC9" w14:textId="77777777" w:rsidR="00BB3E1E" w:rsidRPr="00076B94" w:rsidRDefault="00BB3E1E" w:rsidP="00B05614">
            <w:pPr>
              <w:pStyle w:val="TableText"/>
              <w:jc w:val="right"/>
            </w:pPr>
            <w:r w:rsidRPr="00076B94">
              <w:t>446.9</w:t>
            </w:r>
          </w:p>
        </w:tc>
        <w:tc>
          <w:tcPr>
            <w:tcW w:w="0" w:type="auto"/>
            <w:shd w:val="clear" w:color="auto" w:fill="FFFFFF"/>
            <w:tcMar>
              <w:top w:w="0" w:type="dxa"/>
              <w:left w:w="85" w:type="dxa"/>
              <w:bottom w:w="0" w:type="dxa"/>
              <w:right w:w="85" w:type="dxa"/>
            </w:tcMar>
          </w:tcPr>
          <w:p w14:paraId="3DBD4F8B" w14:textId="77777777" w:rsidR="00BB3E1E" w:rsidRPr="00076B94" w:rsidRDefault="00BB3E1E" w:rsidP="00B05614">
            <w:pPr>
              <w:pStyle w:val="TableText"/>
              <w:jc w:val="right"/>
            </w:pPr>
            <w:r w:rsidRPr="00076B94">
              <w:t>0.002</w:t>
            </w:r>
          </w:p>
        </w:tc>
        <w:tc>
          <w:tcPr>
            <w:tcW w:w="0" w:type="auto"/>
            <w:shd w:val="clear" w:color="auto" w:fill="FFFFFF"/>
            <w:tcMar>
              <w:top w:w="0" w:type="dxa"/>
              <w:left w:w="85" w:type="dxa"/>
              <w:bottom w:w="0" w:type="dxa"/>
              <w:right w:w="85" w:type="dxa"/>
            </w:tcMar>
          </w:tcPr>
          <w:p w14:paraId="22A16F20" w14:textId="77777777" w:rsidR="00BB3E1E" w:rsidRPr="00076B94" w:rsidRDefault="00BB3E1E" w:rsidP="00B05614">
            <w:pPr>
              <w:pStyle w:val="TableText"/>
              <w:jc w:val="right"/>
            </w:pPr>
            <w:r w:rsidRPr="00076B94">
              <w:t>0.2</w:t>
            </w:r>
          </w:p>
        </w:tc>
        <w:tc>
          <w:tcPr>
            <w:tcW w:w="0" w:type="auto"/>
            <w:shd w:val="clear" w:color="auto" w:fill="FFFFFF"/>
            <w:tcMar>
              <w:top w:w="0" w:type="dxa"/>
              <w:left w:w="85" w:type="dxa"/>
              <w:bottom w:w="0" w:type="dxa"/>
              <w:right w:w="85" w:type="dxa"/>
            </w:tcMar>
          </w:tcPr>
          <w:p w14:paraId="2630DA1F" w14:textId="77777777" w:rsidR="00BB3E1E" w:rsidRPr="00076B94" w:rsidRDefault="00BB3E1E" w:rsidP="00B05614">
            <w:pPr>
              <w:pStyle w:val="TableText"/>
              <w:jc w:val="right"/>
            </w:pPr>
            <w:r w:rsidRPr="00076B94">
              <w:t>94.4</w:t>
            </w:r>
          </w:p>
        </w:tc>
      </w:tr>
      <w:tr w:rsidR="00BB3E1E" w:rsidRPr="00076B94" w14:paraId="2D6E9649" w14:textId="77777777" w:rsidTr="00B05614">
        <w:trPr>
          <w:cantSplit/>
          <w:trHeight w:val="283"/>
        </w:trPr>
        <w:tc>
          <w:tcPr>
            <w:tcW w:w="0" w:type="auto"/>
            <w:shd w:val="clear" w:color="auto" w:fill="FFFFFF"/>
            <w:tcMar>
              <w:top w:w="0" w:type="dxa"/>
              <w:left w:w="85" w:type="dxa"/>
              <w:bottom w:w="0" w:type="dxa"/>
              <w:right w:w="85" w:type="dxa"/>
            </w:tcMar>
          </w:tcPr>
          <w:p w14:paraId="381AF797" w14:textId="77777777" w:rsidR="00BB3E1E" w:rsidRPr="00076B94" w:rsidRDefault="00BB3E1E" w:rsidP="00B05614">
            <w:pPr>
              <w:pStyle w:val="TableText"/>
            </w:pPr>
            <w:r w:rsidRPr="00076B94" w:rsidDel="00C35CA4">
              <w:t>1.A.2.d</w:t>
            </w:r>
          </w:p>
        </w:tc>
        <w:tc>
          <w:tcPr>
            <w:tcW w:w="0" w:type="auto"/>
            <w:shd w:val="clear" w:color="auto" w:fill="FFFFFF"/>
            <w:tcMar>
              <w:top w:w="0" w:type="dxa"/>
              <w:left w:w="85" w:type="dxa"/>
              <w:bottom w:w="0" w:type="dxa"/>
              <w:right w:w="85" w:type="dxa"/>
            </w:tcMar>
          </w:tcPr>
          <w:p w14:paraId="7D992BCD" w14:textId="77777777" w:rsidR="00BB3E1E" w:rsidRPr="00076B94" w:rsidRDefault="00BB3E1E" w:rsidP="00B05614">
            <w:pPr>
              <w:pStyle w:val="TableText"/>
            </w:pPr>
            <w:r w:rsidRPr="00076B94">
              <w:t xml:space="preserve">Manufacturing Industries and Construction – Pulp, Paper and Print Gaseous </w:t>
            </w:r>
            <w:r w:rsidRPr="00076B94" w:rsidDel="00C35CA4">
              <w:t>Fuels</w:t>
            </w:r>
          </w:p>
        </w:tc>
        <w:tc>
          <w:tcPr>
            <w:tcW w:w="0" w:type="auto"/>
            <w:shd w:val="clear" w:color="auto" w:fill="FFFFFF"/>
            <w:tcMar>
              <w:top w:w="0" w:type="dxa"/>
              <w:left w:w="85" w:type="dxa"/>
              <w:bottom w:w="0" w:type="dxa"/>
              <w:right w:w="85" w:type="dxa"/>
            </w:tcMar>
          </w:tcPr>
          <w:p w14:paraId="78325067"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3D438637" w14:textId="77777777" w:rsidR="00BB3E1E" w:rsidRPr="00076B94" w:rsidRDefault="00BB3E1E" w:rsidP="00B05614">
            <w:pPr>
              <w:pStyle w:val="TableText"/>
              <w:jc w:val="right"/>
            </w:pPr>
            <w:r w:rsidRPr="00076B94">
              <w:t>347.6</w:t>
            </w:r>
          </w:p>
        </w:tc>
        <w:tc>
          <w:tcPr>
            <w:tcW w:w="0" w:type="auto"/>
            <w:shd w:val="clear" w:color="auto" w:fill="FFFFFF"/>
            <w:tcMar>
              <w:top w:w="0" w:type="dxa"/>
              <w:left w:w="85" w:type="dxa"/>
              <w:bottom w:w="0" w:type="dxa"/>
              <w:right w:w="85" w:type="dxa"/>
            </w:tcMar>
          </w:tcPr>
          <w:p w14:paraId="6280BD20" w14:textId="77777777" w:rsidR="00BB3E1E" w:rsidRPr="00076B94" w:rsidRDefault="00BB3E1E" w:rsidP="00B05614">
            <w:pPr>
              <w:pStyle w:val="TableText"/>
              <w:jc w:val="right"/>
            </w:pPr>
            <w:r w:rsidRPr="00076B94">
              <w:t>306.7</w:t>
            </w:r>
          </w:p>
        </w:tc>
        <w:tc>
          <w:tcPr>
            <w:tcW w:w="0" w:type="auto"/>
            <w:shd w:val="clear" w:color="auto" w:fill="FFFFFF"/>
            <w:tcMar>
              <w:top w:w="0" w:type="dxa"/>
              <w:left w:w="85" w:type="dxa"/>
              <w:bottom w:w="0" w:type="dxa"/>
              <w:right w:w="85" w:type="dxa"/>
            </w:tcMar>
          </w:tcPr>
          <w:p w14:paraId="7FE469F6" w14:textId="77777777" w:rsidR="00BB3E1E" w:rsidRPr="00076B94" w:rsidRDefault="00BB3E1E" w:rsidP="00B05614">
            <w:pPr>
              <w:pStyle w:val="TableText"/>
              <w:jc w:val="right"/>
            </w:pPr>
            <w:r w:rsidRPr="00076B94">
              <w:t>0.001</w:t>
            </w:r>
          </w:p>
        </w:tc>
        <w:tc>
          <w:tcPr>
            <w:tcW w:w="0" w:type="auto"/>
            <w:shd w:val="clear" w:color="auto" w:fill="FFFFFF"/>
            <w:tcMar>
              <w:top w:w="0" w:type="dxa"/>
              <w:left w:w="85" w:type="dxa"/>
              <w:bottom w:w="0" w:type="dxa"/>
              <w:right w:w="85" w:type="dxa"/>
            </w:tcMar>
          </w:tcPr>
          <w:p w14:paraId="78C1ED70" w14:textId="77777777" w:rsidR="00BB3E1E" w:rsidRPr="00076B94" w:rsidRDefault="00BB3E1E" w:rsidP="00B05614">
            <w:pPr>
              <w:pStyle w:val="TableText"/>
              <w:jc w:val="right"/>
            </w:pPr>
            <w:r w:rsidRPr="00076B94">
              <w:t>0.2</w:t>
            </w:r>
          </w:p>
        </w:tc>
        <w:tc>
          <w:tcPr>
            <w:tcW w:w="0" w:type="auto"/>
            <w:shd w:val="clear" w:color="auto" w:fill="FFFFFF"/>
            <w:tcMar>
              <w:top w:w="0" w:type="dxa"/>
              <w:left w:w="85" w:type="dxa"/>
              <w:bottom w:w="0" w:type="dxa"/>
              <w:right w:w="85" w:type="dxa"/>
            </w:tcMar>
          </w:tcPr>
          <w:p w14:paraId="42BED142" w14:textId="77777777" w:rsidR="00BB3E1E" w:rsidRPr="00076B94" w:rsidRDefault="00BB3E1E" w:rsidP="00B05614">
            <w:pPr>
              <w:pStyle w:val="TableText"/>
              <w:jc w:val="right"/>
            </w:pPr>
            <w:r w:rsidRPr="00076B94">
              <w:t>94.6</w:t>
            </w:r>
          </w:p>
        </w:tc>
      </w:tr>
      <w:tr w:rsidR="00BB3E1E" w:rsidRPr="00076B94" w14:paraId="162343BD" w14:textId="77777777" w:rsidTr="00B05614">
        <w:trPr>
          <w:cantSplit/>
          <w:trHeight w:val="283"/>
        </w:trPr>
        <w:tc>
          <w:tcPr>
            <w:tcW w:w="0" w:type="auto"/>
            <w:shd w:val="clear" w:color="auto" w:fill="FFFFFF"/>
            <w:tcMar>
              <w:top w:w="0" w:type="dxa"/>
              <w:left w:w="85" w:type="dxa"/>
              <w:bottom w:w="0" w:type="dxa"/>
              <w:right w:w="85" w:type="dxa"/>
            </w:tcMar>
          </w:tcPr>
          <w:p w14:paraId="06884909" w14:textId="77777777" w:rsidR="00BB3E1E" w:rsidRPr="00076B94" w:rsidRDefault="00BB3E1E" w:rsidP="00B05614">
            <w:pPr>
              <w:pStyle w:val="TableText"/>
            </w:pPr>
            <w:r w:rsidRPr="00076B94" w:rsidDel="00C35CA4">
              <w:t>1.A.4.a</w:t>
            </w:r>
          </w:p>
        </w:tc>
        <w:tc>
          <w:tcPr>
            <w:tcW w:w="0" w:type="auto"/>
            <w:shd w:val="clear" w:color="auto" w:fill="FFFFFF"/>
            <w:tcMar>
              <w:top w:w="0" w:type="dxa"/>
              <w:left w:w="85" w:type="dxa"/>
              <w:bottom w:w="0" w:type="dxa"/>
              <w:right w:w="85" w:type="dxa"/>
            </w:tcMar>
          </w:tcPr>
          <w:p w14:paraId="3566A1EE" w14:textId="77777777" w:rsidR="00BB3E1E" w:rsidRPr="00076B94" w:rsidRDefault="00BB3E1E" w:rsidP="00B05614">
            <w:pPr>
              <w:pStyle w:val="TableText"/>
            </w:pPr>
            <w:r w:rsidRPr="00076B94">
              <w:t>Other Sectors – Commercial/Institutional Gaseous Fuels</w:t>
            </w:r>
          </w:p>
        </w:tc>
        <w:tc>
          <w:tcPr>
            <w:tcW w:w="0" w:type="auto"/>
            <w:shd w:val="clear" w:color="auto" w:fill="FFFFFF"/>
            <w:tcMar>
              <w:top w:w="0" w:type="dxa"/>
              <w:left w:w="85" w:type="dxa"/>
              <w:bottom w:w="0" w:type="dxa"/>
              <w:right w:w="85" w:type="dxa"/>
            </w:tcMar>
          </w:tcPr>
          <w:p w14:paraId="3D5F0220"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00E1573A" w14:textId="77777777" w:rsidR="00BB3E1E" w:rsidRPr="00076B94" w:rsidRDefault="00BB3E1E" w:rsidP="00B05614">
            <w:pPr>
              <w:pStyle w:val="TableText"/>
              <w:jc w:val="right"/>
            </w:pPr>
            <w:r w:rsidRPr="00076B94">
              <w:t>235.2</w:t>
            </w:r>
          </w:p>
        </w:tc>
        <w:tc>
          <w:tcPr>
            <w:tcW w:w="0" w:type="auto"/>
            <w:shd w:val="clear" w:color="auto" w:fill="FFFFFF"/>
            <w:tcMar>
              <w:top w:w="0" w:type="dxa"/>
              <w:left w:w="85" w:type="dxa"/>
              <w:bottom w:w="0" w:type="dxa"/>
              <w:right w:w="85" w:type="dxa"/>
            </w:tcMar>
          </w:tcPr>
          <w:p w14:paraId="5FDBF820" w14:textId="77777777" w:rsidR="00BB3E1E" w:rsidRPr="00076B94" w:rsidRDefault="00BB3E1E" w:rsidP="00B05614">
            <w:pPr>
              <w:pStyle w:val="TableText"/>
              <w:jc w:val="right"/>
            </w:pPr>
            <w:r w:rsidRPr="00076B94">
              <w:t>426.6</w:t>
            </w:r>
          </w:p>
        </w:tc>
        <w:tc>
          <w:tcPr>
            <w:tcW w:w="0" w:type="auto"/>
            <w:shd w:val="clear" w:color="auto" w:fill="FFFFFF"/>
            <w:tcMar>
              <w:top w:w="0" w:type="dxa"/>
              <w:left w:w="85" w:type="dxa"/>
              <w:bottom w:w="0" w:type="dxa"/>
              <w:right w:w="85" w:type="dxa"/>
            </w:tcMar>
          </w:tcPr>
          <w:p w14:paraId="14CADC57" w14:textId="77777777" w:rsidR="00BB3E1E" w:rsidRPr="00076B94" w:rsidRDefault="00BB3E1E" w:rsidP="00B05614">
            <w:pPr>
              <w:pStyle w:val="TableText"/>
              <w:jc w:val="right"/>
            </w:pPr>
            <w:r w:rsidRPr="00076B94">
              <w:t>0.001</w:t>
            </w:r>
          </w:p>
        </w:tc>
        <w:tc>
          <w:tcPr>
            <w:tcW w:w="0" w:type="auto"/>
            <w:shd w:val="clear" w:color="auto" w:fill="FFFFFF"/>
            <w:tcMar>
              <w:top w:w="0" w:type="dxa"/>
              <w:left w:w="85" w:type="dxa"/>
              <w:bottom w:w="0" w:type="dxa"/>
              <w:right w:w="85" w:type="dxa"/>
            </w:tcMar>
          </w:tcPr>
          <w:p w14:paraId="4573A616" w14:textId="77777777" w:rsidR="00BB3E1E" w:rsidRPr="00076B94" w:rsidRDefault="00BB3E1E" w:rsidP="00B05614">
            <w:pPr>
              <w:pStyle w:val="TableText"/>
              <w:jc w:val="right"/>
            </w:pPr>
            <w:r w:rsidRPr="00076B94">
              <w:t>0.2</w:t>
            </w:r>
          </w:p>
        </w:tc>
        <w:tc>
          <w:tcPr>
            <w:tcW w:w="0" w:type="auto"/>
            <w:shd w:val="clear" w:color="auto" w:fill="FFFFFF"/>
            <w:tcMar>
              <w:top w:w="0" w:type="dxa"/>
              <w:left w:w="85" w:type="dxa"/>
              <w:bottom w:w="0" w:type="dxa"/>
              <w:right w:w="85" w:type="dxa"/>
            </w:tcMar>
          </w:tcPr>
          <w:p w14:paraId="00B7617A" w14:textId="77777777" w:rsidR="00BB3E1E" w:rsidRPr="00076B94" w:rsidRDefault="00BB3E1E" w:rsidP="00B05614">
            <w:pPr>
              <w:pStyle w:val="TableText"/>
              <w:jc w:val="right"/>
            </w:pPr>
            <w:r w:rsidRPr="00076B94">
              <w:t>94.8</w:t>
            </w:r>
          </w:p>
        </w:tc>
      </w:tr>
      <w:tr w:rsidR="00BB3E1E" w:rsidRPr="00076B94" w14:paraId="6065E348" w14:textId="77777777" w:rsidTr="00B05614">
        <w:trPr>
          <w:cantSplit/>
          <w:trHeight w:val="283"/>
        </w:trPr>
        <w:tc>
          <w:tcPr>
            <w:tcW w:w="0" w:type="auto"/>
            <w:shd w:val="clear" w:color="auto" w:fill="FFFFFF"/>
            <w:tcMar>
              <w:top w:w="0" w:type="dxa"/>
              <w:left w:w="85" w:type="dxa"/>
              <w:bottom w:w="0" w:type="dxa"/>
              <w:right w:w="85" w:type="dxa"/>
            </w:tcMar>
          </w:tcPr>
          <w:p w14:paraId="61EA68E6" w14:textId="77777777" w:rsidR="00BB3E1E" w:rsidRPr="00076B94" w:rsidRDefault="00BB3E1E" w:rsidP="00B05614">
            <w:pPr>
              <w:pStyle w:val="TableText"/>
            </w:pPr>
            <w:r w:rsidRPr="00076B94" w:rsidDel="00C35CA4">
              <w:t>1.A.4.c</w:t>
            </w:r>
          </w:p>
        </w:tc>
        <w:tc>
          <w:tcPr>
            <w:tcW w:w="0" w:type="auto"/>
            <w:shd w:val="clear" w:color="auto" w:fill="FFFFFF"/>
            <w:tcMar>
              <w:top w:w="0" w:type="dxa"/>
              <w:left w:w="85" w:type="dxa"/>
              <w:bottom w:w="0" w:type="dxa"/>
              <w:right w:w="85" w:type="dxa"/>
            </w:tcMar>
          </w:tcPr>
          <w:p w14:paraId="78C73095" w14:textId="77777777" w:rsidR="00BB3E1E" w:rsidRPr="00076B94" w:rsidRDefault="00BB3E1E" w:rsidP="00B05614">
            <w:pPr>
              <w:pStyle w:val="TableText"/>
            </w:pPr>
            <w:r w:rsidRPr="00076B94">
              <w:t>Other Sectors – Agriculture/Forestry/Fishing Solid Fuels</w:t>
            </w:r>
          </w:p>
        </w:tc>
        <w:tc>
          <w:tcPr>
            <w:tcW w:w="0" w:type="auto"/>
            <w:shd w:val="clear" w:color="auto" w:fill="FFFFFF"/>
            <w:tcMar>
              <w:top w:w="0" w:type="dxa"/>
              <w:left w:w="85" w:type="dxa"/>
              <w:bottom w:w="0" w:type="dxa"/>
              <w:right w:w="85" w:type="dxa"/>
            </w:tcMar>
          </w:tcPr>
          <w:p w14:paraId="0C9FB161"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6564836B" w14:textId="77777777" w:rsidR="00BB3E1E" w:rsidRPr="00076B94" w:rsidRDefault="00BB3E1E" w:rsidP="00B05614">
            <w:pPr>
              <w:pStyle w:val="TableText"/>
              <w:jc w:val="right"/>
            </w:pPr>
            <w:r w:rsidRPr="00076B94">
              <w:t>35.1</w:t>
            </w:r>
          </w:p>
        </w:tc>
        <w:tc>
          <w:tcPr>
            <w:tcW w:w="0" w:type="auto"/>
            <w:shd w:val="clear" w:color="auto" w:fill="FFFFFF"/>
            <w:tcMar>
              <w:top w:w="0" w:type="dxa"/>
              <w:left w:w="85" w:type="dxa"/>
              <w:bottom w:w="0" w:type="dxa"/>
              <w:right w:w="85" w:type="dxa"/>
            </w:tcMar>
          </w:tcPr>
          <w:p w14:paraId="5C128E04" w14:textId="77777777" w:rsidR="00BB3E1E" w:rsidRPr="00076B94" w:rsidRDefault="00BB3E1E" w:rsidP="00B05614">
            <w:pPr>
              <w:pStyle w:val="TableText"/>
              <w:jc w:val="right"/>
            </w:pPr>
            <w:r w:rsidRPr="00076B94">
              <w:t>171.8</w:t>
            </w:r>
          </w:p>
        </w:tc>
        <w:tc>
          <w:tcPr>
            <w:tcW w:w="0" w:type="auto"/>
            <w:shd w:val="clear" w:color="auto" w:fill="FFFFFF"/>
            <w:tcMar>
              <w:top w:w="0" w:type="dxa"/>
              <w:left w:w="85" w:type="dxa"/>
              <w:bottom w:w="0" w:type="dxa"/>
              <w:right w:w="85" w:type="dxa"/>
            </w:tcMar>
          </w:tcPr>
          <w:p w14:paraId="4EDF09BE" w14:textId="77777777" w:rsidR="00BB3E1E" w:rsidRPr="00076B94" w:rsidRDefault="00BB3E1E" w:rsidP="00B05614">
            <w:pPr>
              <w:pStyle w:val="TableText"/>
              <w:jc w:val="right"/>
            </w:pPr>
            <w:r w:rsidRPr="00076B94">
              <w:t>0.001</w:t>
            </w:r>
          </w:p>
        </w:tc>
        <w:tc>
          <w:tcPr>
            <w:tcW w:w="0" w:type="auto"/>
            <w:shd w:val="clear" w:color="auto" w:fill="FFFFFF"/>
            <w:tcMar>
              <w:top w:w="0" w:type="dxa"/>
              <w:left w:w="85" w:type="dxa"/>
              <w:bottom w:w="0" w:type="dxa"/>
              <w:right w:w="85" w:type="dxa"/>
            </w:tcMar>
          </w:tcPr>
          <w:p w14:paraId="5D859324" w14:textId="77777777" w:rsidR="00BB3E1E" w:rsidRPr="00076B94" w:rsidRDefault="00BB3E1E" w:rsidP="00B05614">
            <w:pPr>
              <w:pStyle w:val="TableText"/>
              <w:jc w:val="right"/>
            </w:pPr>
            <w:r w:rsidRPr="00076B94">
              <w:t>0.2</w:t>
            </w:r>
          </w:p>
        </w:tc>
        <w:tc>
          <w:tcPr>
            <w:tcW w:w="0" w:type="auto"/>
            <w:shd w:val="clear" w:color="auto" w:fill="FFFFFF"/>
            <w:tcMar>
              <w:top w:w="0" w:type="dxa"/>
              <w:left w:w="85" w:type="dxa"/>
              <w:bottom w:w="0" w:type="dxa"/>
              <w:right w:w="85" w:type="dxa"/>
            </w:tcMar>
          </w:tcPr>
          <w:p w14:paraId="686AB31A" w14:textId="77777777" w:rsidR="00BB3E1E" w:rsidRPr="00076B94" w:rsidRDefault="00BB3E1E" w:rsidP="00B05614">
            <w:pPr>
              <w:pStyle w:val="TableText"/>
              <w:jc w:val="right"/>
            </w:pPr>
            <w:r w:rsidRPr="00076B94">
              <w:t>95.0</w:t>
            </w:r>
          </w:p>
        </w:tc>
      </w:tr>
      <w:tr w:rsidR="00BB3E1E" w:rsidRPr="00076B94" w14:paraId="5FB49A74" w14:textId="77777777" w:rsidTr="00B05614">
        <w:trPr>
          <w:cantSplit/>
          <w:trHeight w:val="283"/>
        </w:trPr>
        <w:tc>
          <w:tcPr>
            <w:tcW w:w="0" w:type="auto"/>
            <w:shd w:val="clear" w:color="auto" w:fill="FFFFFF"/>
            <w:tcMar>
              <w:top w:w="0" w:type="dxa"/>
              <w:left w:w="85" w:type="dxa"/>
              <w:bottom w:w="0" w:type="dxa"/>
              <w:right w:w="85" w:type="dxa"/>
            </w:tcMar>
          </w:tcPr>
          <w:p w14:paraId="3FCD1E25" w14:textId="77777777" w:rsidR="00BB3E1E" w:rsidRPr="00076B94" w:rsidRDefault="00BB3E1E" w:rsidP="00B05614">
            <w:pPr>
              <w:pStyle w:val="TableText"/>
            </w:pPr>
            <w:r w:rsidRPr="00076B94" w:rsidDel="00C35CA4">
              <w:t>4.B.1</w:t>
            </w:r>
          </w:p>
        </w:tc>
        <w:tc>
          <w:tcPr>
            <w:tcW w:w="0" w:type="auto"/>
            <w:shd w:val="clear" w:color="auto" w:fill="FFFFFF"/>
            <w:tcMar>
              <w:top w:w="0" w:type="dxa"/>
              <w:left w:w="85" w:type="dxa"/>
              <w:bottom w:w="0" w:type="dxa"/>
              <w:right w:w="85" w:type="dxa"/>
            </w:tcMar>
          </w:tcPr>
          <w:p w14:paraId="3B0A34E1" w14:textId="77777777" w:rsidR="00BB3E1E" w:rsidRPr="00076B94" w:rsidRDefault="00BB3E1E" w:rsidP="00B05614">
            <w:pPr>
              <w:pStyle w:val="TableText"/>
            </w:pPr>
            <w:r w:rsidRPr="00076B94">
              <w:t xml:space="preserve">Cropland – Cropland Remaining </w:t>
            </w:r>
            <w:r w:rsidRPr="00076B94" w:rsidDel="00C35CA4">
              <w:t>Cropland</w:t>
            </w:r>
          </w:p>
        </w:tc>
        <w:tc>
          <w:tcPr>
            <w:tcW w:w="0" w:type="auto"/>
            <w:shd w:val="clear" w:color="auto" w:fill="FFFFFF"/>
            <w:tcMar>
              <w:top w:w="0" w:type="dxa"/>
              <w:left w:w="85" w:type="dxa"/>
              <w:bottom w:w="0" w:type="dxa"/>
              <w:right w:w="85" w:type="dxa"/>
            </w:tcMar>
          </w:tcPr>
          <w:p w14:paraId="119B6180" w14:textId="77777777" w:rsidR="00BB3E1E" w:rsidRPr="00076B94" w:rsidRDefault="00BB3E1E" w:rsidP="00B05614">
            <w:pPr>
              <w:pStyle w:val="TableText"/>
            </w:pPr>
            <w:r w:rsidRPr="00076B94" w:rsidDel="00C35CA4">
              <w:t>CO</w:t>
            </w:r>
            <w:r w:rsidRPr="00076B94" w:rsidDel="00C35CA4">
              <w:rPr>
                <w:vertAlign w:val="subscript"/>
              </w:rPr>
              <w:t>2</w:t>
            </w:r>
          </w:p>
        </w:tc>
        <w:tc>
          <w:tcPr>
            <w:tcW w:w="0" w:type="auto"/>
            <w:shd w:val="clear" w:color="auto" w:fill="FFFFFF"/>
            <w:tcMar>
              <w:top w:w="0" w:type="dxa"/>
              <w:left w:w="85" w:type="dxa"/>
              <w:bottom w:w="0" w:type="dxa"/>
              <w:right w:w="85" w:type="dxa"/>
            </w:tcMar>
          </w:tcPr>
          <w:p w14:paraId="10F8231A" w14:textId="77777777" w:rsidR="00BB3E1E" w:rsidRPr="00076B94" w:rsidRDefault="00BB3E1E" w:rsidP="00B05614">
            <w:pPr>
              <w:pStyle w:val="TableText"/>
              <w:jc w:val="right"/>
            </w:pPr>
            <w:r w:rsidRPr="00076B94">
              <w:t>351.1</w:t>
            </w:r>
          </w:p>
        </w:tc>
        <w:tc>
          <w:tcPr>
            <w:tcW w:w="0" w:type="auto"/>
            <w:shd w:val="clear" w:color="auto" w:fill="FFFFFF"/>
            <w:tcMar>
              <w:top w:w="0" w:type="dxa"/>
              <w:left w:w="85" w:type="dxa"/>
              <w:bottom w:w="0" w:type="dxa"/>
              <w:right w:w="85" w:type="dxa"/>
            </w:tcMar>
          </w:tcPr>
          <w:p w14:paraId="1A674762" w14:textId="77777777" w:rsidR="00BB3E1E" w:rsidRPr="00076B94" w:rsidRDefault="00BB3E1E" w:rsidP="00B05614">
            <w:pPr>
              <w:pStyle w:val="TableText"/>
              <w:jc w:val="right"/>
            </w:pPr>
            <w:r w:rsidRPr="00076B94">
              <w:t>318.2</w:t>
            </w:r>
          </w:p>
        </w:tc>
        <w:tc>
          <w:tcPr>
            <w:tcW w:w="0" w:type="auto"/>
            <w:shd w:val="clear" w:color="auto" w:fill="FFFFFF"/>
            <w:tcMar>
              <w:top w:w="0" w:type="dxa"/>
              <w:left w:w="85" w:type="dxa"/>
              <w:bottom w:w="0" w:type="dxa"/>
              <w:right w:w="85" w:type="dxa"/>
            </w:tcMar>
          </w:tcPr>
          <w:p w14:paraId="072A3127" w14:textId="77777777" w:rsidR="00BB3E1E" w:rsidRPr="00076B94" w:rsidRDefault="00BB3E1E" w:rsidP="00B05614">
            <w:pPr>
              <w:pStyle w:val="TableText"/>
              <w:jc w:val="right"/>
            </w:pPr>
            <w:r w:rsidRPr="00076B94">
              <w:t>0.001</w:t>
            </w:r>
          </w:p>
        </w:tc>
        <w:tc>
          <w:tcPr>
            <w:tcW w:w="0" w:type="auto"/>
            <w:shd w:val="clear" w:color="auto" w:fill="FFFFFF"/>
            <w:tcMar>
              <w:top w:w="0" w:type="dxa"/>
              <w:left w:w="85" w:type="dxa"/>
              <w:bottom w:w="0" w:type="dxa"/>
              <w:right w:w="85" w:type="dxa"/>
            </w:tcMar>
          </w:tcPr>
          <w:p w14:paraId="78AC61A2" w14:textId="77777777" w:rsidR="00BB3E1E" w:rsidRPr="00076B94" w:rsidRDefault="00BB3E1E" w:rsidP="00B05614">
            <w:pPr>
              <w:pStyle w:val="TableText"/>
              <w:jc w:val="right"/>
            </w:pPr>
            <w:r w:rsidRPr="00076B94">
              <w:t>0.2</w:t>
            </w:r>
          </w:p>
        </w:tc>
        <w:tc>
          <w:tcPr>
            <w:tcW w:w="0" w:type="auto"/>
            <w:shd w:val="clear" w:color="auto" w:fill="FFFFFF"/>
            <w:tcMar>
              <w:top w:w="0" w:type="dxa"/>
              <w:left w:w="85" w:type="dxa"/>
              <w:bottom w:w="0" w:type="dxa"/>
              <w:right w:w="85" w:type="dxa"/>
            </w:tcMar>
          </w:tcPr>
          <w:p w14:paraId="082A7419" w14:textId="77777777" w:rsidR="00BB3E1E" w:rsidRPr="00076B94" w:rsidRDefault="00BB3E1E" w:rsidP="00B05614">
            <w:pPr>
              <w:pStyle w:val="TableText"/>
              <w:jc w:val="right"/>
            </w:pPr>
            <w:r w:rsidRPr="00076B94">
              <w:t>95.2</w:t>
            </w:r>
          </w:p>
        </w:tc>
      </w:tr>
    </w:tbl>
    <w:p w14:paraId="2E9636E6" w14:textId="77777777" w:rsidR="00BB3E1E" w:rsidRPr="00241762" w:rsidRDefault="00BB3E1E" w:rsidP="00BB3E1E">
      <w:pPr>
        <w:pStyle w:val="TableTextBold"/>
        <w:spacing w:before="240" w:after="120"/>
      </w:pPr>
      <w:r>
        <w:t xml:space="preserve">(b) </w:t>
      </w:r>
      <w:r w:rsidRPr="00241762">
        <w:t>IPCC Tier 1 category trend assessment – excluding LULUCF (gross emissions)</w:t>
      </w:r>
    </w:p>
    <w:tbl>
      <w:tblPr>
        <w:tblW w:w="8505" w:type="dxa"/>
        <w:tblInd w:w="113"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938"/>
        <w:gridCol w:w="2101"/>
        <w:gridCol w:w="506"/>
        <w:gridCol w:w="992"/>
        <w:gridCol w:w="992"/>
        <w:gridCol w:w="992"/>
        <w:gridCol w:w="1051"/>
        <w:gridCol w:w="933"/>
      </w:tblGrid>
      <w:tr w:rsidR="00AD2A3E" w:rsidRPr="00BB3E1E" w14:paraId="0E8796E8" w14:textId="77777777" w:rsidTr="00AD2A3E">
        <w:trPr>
          <w:cantSplit/>
          <w:tblHeader/>
        </w:trPr>
        <w:tc>
          <w:tcPr>
            <w:tcW w:w="911" w:type="dxa"/>
            <w:shd w:val="clear" w:color="auto" w:fill="1B556B"/>
            <w:tcMar>
              <w:top w:w="0" w:type="dxa"/>
              <w:left w:w="85" w:type="dxa"/>
              <w:bottom w:w="0" w:type="dxa"/>
              <w:right w:w="85" w:type="dxa"/>
            </w:tcMar>
            <w:vAlign w:val="bottom"/>
          </w:tcPr>
          <w:p w14:paraId="53C4D877" w14:textId="77777777" w:rsidR="00BB3E1E" w:rsidRPr="00BB3E1E" w:rsidRDefault="00BB3E1E" w:rsidP="00B05614">
            <w:pPr>
              <w:pStyle w:val="TableTextBold"/>
              <w:rPr>
                <w:color w:val="FFFFFF"/>
              </w:rPr>
            </w:pPr>
            <w:r w:rsidRPr="00BB3E1E">
              <w:rPr>
                <w:rFonts w:eastAsia="Calibri"/>
                <w:color w:val="FFFFFF"/>
              </w:rPr>
              <w:t>CRF category code</w:t>
            </w:r>
          </w:p>
        </w:tc>
        <w:tc>
          <w:tcPr>
            <w:tcW w:w="2041" w:type="dxa"/>
            <w:shd w:val="clear" w:color="auto" w:fill="1B556B"/>
            <w:tcMar>
              <w:top w:w="0" w:type="dxa"/>
              <w:left w:w="85" w:type="dxa"/>
              <w:bottom w:w="0" w:type="dxa"/>
              <w:right w:w="85" w:type="dxa"/>
            </w:tcMar>
            <w:vAlign w:val="bottom"/>
          </w:tcPr>
          <w:p w14:paraId="41B12EF0" w14:textId="77777777" w:rsidR="00BB3E1E" w:rsidRPr="00BB3E1E" w:rsidRDefault="00BB3E1E" w:rsidP="00B05614">
            <w:pPr>
              <w:pStyle w:val="TableTextBold"/>
              <w:rPr>
                <w:color w:val="FFFFFF"/>
              </w:rPr>
            </w:pPr>
            <w:r w:rsidRPr="00BB3E1E">
              <w:rPr>
                <w:rFonts w:eastAsia="Calibri"/>
                <w:color w:val="FFFFFF"/>
              </w:rPr>
              <w:t>IPCC category</w:t>
            </w:r>
          </w:p>
        </w:tc>
        <w:tc>
          <w:tcPr>
            <w:tcW w:w="492" w:type="dxa"/>
            <w:shd w:val="clear" w:color="auto" w:fill="1B556B"/>
            <w:tcMar>
              <w:top w:w="0" w:type="dxa"/>
              <w:left w:w="85" w:type="dxa"/>
              <w:bottom w:w="0" w:type="dxa"/>
              <w:right w:w="85" w:type="dxa"/>
            </w:tcMar>
            <w:vAlign w:val="bottom"/>
          </w:tcPr>
          <w:p w14:paraId="456281A2" w14:textId="77777777" w:rsidR="00BB3E1E" w:rsidRPr="00BB3E1E" w:rsidRDefault="00BB3E1E" w:rsidP="00B05614">
            <w:pPr>
              <w:pStyle w:val="TableTextBold"/>
              <w:rPr>
                <w:color w:val="FFFFFF"/>
              </w:rPr>
            </w:pPr>
            <w:r w:rsidRPr="00BB3E1E">
              <w:rPr>
                <w:rFonts w:eastAsia="Calibri"/>
                <w:color w:val="FFFFFF"/>
              </w:rPr>
              <w:t>Gas</w:t>
            </w:r>
          </w:p>
        </w:tc>
        <w:tc>
          <w:tcPr>
            <w:tcW w:w="964" w:type="dxa"/>
            <w:shd w:val="clear" w:color="auto" w:fill="1B556B"/>
            <w:tcMar>
              <w:top w:w="0" w:type="dxa"/>
              <w:left w:w="85" w:type="dxa"/>
              <w:bottom w:w="0" w:type="dxa"/>
              <w:right w:w="85" w:type="dxa"/>
            </w:tcMar>
            <w:vAlign w:val="bottom"/>
          </w:tcPr>
          <w:p w14:paraId="6F13F286" w14:textId="7580D3CE" w:rsidR="00BB3E1E" w:rsidRPr="00BB3E1E" w:rsidRDefault="00BB3E1E" w:rsidP="00B05614">
            <w:pPr>
              <w:pStyle w:val="TableTextBold"/>
              <w:jc w:val="right"/>
              <w:rPr>
                <w:color w:val="FFFFFF"/>
              </w:rPr>
            </w:pPr>
            <w:r w:rsidRPr="00BB3E1E">
              <w:rPr>
                <w:rFonts w:eastAsia="Calibri"/>
                <w:color w:val="FFFFFF"/>
              </w:rPr>
              <w:t xml:space="preserve">1990 estimate </w:t>
            </w:r>
            <w:r w:rsidR="00BB1EAB">
              <w:rPr>
                <w:rFonts w:eastAsia="Calibri"/>
                <w:color w:val="FFFFFF"/>
              </w:rPr>
              <w:br/>
            </w:r>
            <w:r w:rsidRPr="00BB3E1E">
              <w:rPr>
                <w:rFonts w:eastAsia="Calibri"/>
                <w:color w:val="FFFFFF"/>
              </w:rPr>
              <w:t>(kt CO</w:t>
            </w:r>
            <w:r w:rsidRPr="00BB3E1E">
              <w:rPr>
                <w:rFonts w:eastAsia="Calibri"/>
                <w:color w:val="FFFFFF"/>
                <w:vertAlign w:val="subscript"/>
              </w:rPr>
              <w:t>2</w:t>
            </w:r>
            <w:r w:rsidRPr="00BB3E1E">
              <w:rPr>
                <w:rFonts w:eastAsia="Calibri"/>
                <w:color w:val="FFFFFF"/>
              </w:rPr>
              <w:t>-equivalent)</w:t>
            </w:r>
          </w:p>
        </w:tc>
        <w:tc>
          <w:tcPr>
            <w:tcW w:w="964" w:type="dxa"/>
            <w:shd w:val="clear" w:color="auto" w:fill="1B556B"/>
            <w:tcMar>
              <w:top w:w="0" w:type="dxa"/>
              <w:left w:w="85" w:type="dxa"/>
              <w:bottom w:w="0" w:type="dxa"/>
              <w:right w:w="85" w:type="dxa"/>
            </w:tcMar>
            <w:vAlign w:val="bottom"/>
          </w:tcPr>
          <w:p w14:paraId="6B4BF43D" w14:textId="6A4A7242" w:rsidR="00BB3E1E" w:rsidRPr="00BB3E1E" w:rsidRDefault="00BB3E1E" w:rsidP="00B05614">
            <w:pPr>
              <w:pStyle w:val="TableTextBold"/>
              <w:jc w:val="right"/>
              <w:rPr>
                <w:color w:val="FFFFFF"/>
              </w:rPr>
            </w:pPr>
            <w:r w:rsidRPr="00BB3E1E">
              <w:rPr>
                <w:rFonts w:eastAsia="Calibri"/>
                <w:color w:val="FFFFFF"/>
              </w:rPr>
              <w:t xml:space="preserve">2020 estimate </w:t>
            </w:r>
            <w:r w:rsidR="00BB1EAB">
              <w:rPr>
                <w:rFonts w:eastAsia="Calibri"/>
                <w:color w:val="FFFFFF"/>
              </w:rPr>
              <w:br/>
            </w:r>
            <w:r w:rsidRPr="00BB3E1E">
              <w:rPr>
                <w:rFonts w:eastAsia="Calibri"/>
                <w:color w:val="FFFFFF"/>
              </w:rPr>
              <w:t>(kt CO</w:t>
            </w:r>
            <w:r w:rsidRPr="00BB3E1E">
              <w:rPr>
                <w:rFonts w:eastAsia="Calibri"/>
                <w:color w:val="FFFFFF"/>
                <w:vertAlign w:val="subscript"/>
              </w:rPr>
              <w:t>2</w:t>
            </w:r>
            <w:r w:rsidRPr="00BB3E1E">
              <w:rPr>
                <w:rFonts w:eastAsia="Calibri"/>
                <w:color w:val="FFFFFF"/>
              </w:rPr>
              <w:t>-equivalent)</w:t>
            </w:r>
          </w:p>
        </w:tc>
        <w:tc>
          <w:tcPr>
            <w:tcW w:w="964" w:type="dxa"/>
            <w:shd w:val="clear" w:color="auto" w:fill="1B556B"/>
            <w:tcMar>
              <w:top w:w="0" w:type="dxa"/>
              <w:left w:w="85" w:type="dxa"/>
              <w:bottom w:w="0" w:type="dxa"/>
              <w:right w:w="85" w:type="dxa"/>
            </w:tcMar>
            <w:vAlign w:val="bottom"/>
          </w:tcPr>
          <w:p w14:paraId="5BE5C836" w14:textId="77777777" w:rsidR="00BB3E1E" w:rsidRPr="00BB3E1E" w:rsidRDefault="00BB3E1E" w:rsidP="00B05614">
            <w:pPr>
              <w:pStyle w:val="TableTextBold"/>
              <w:jc w:val="right"/>
              <w:rPr>
                <w:color w:val="FFFFFF"/>
              </w:rPr>
            </w:pPr>
            <w:r w:rsidRPr="00BB3E1E">
              <w:rPr>
                <w:rFonts w:eastAsia="Calibri"/>
                <w:color w:val="FFFFFF"/>
              </w:rPr>
              <w:t>Trend assessment</w:t>
            </w:r>
          </w:p>
        </w:tc>
        <w:tc>
          <w:tcPr>
            <w:tcW w:w="1021" w:type="dxa"/>
            <w:shd w:val="clear" w:color="auto" w:fill="1B556B"/>
            <w:tcMar>
              <w:top w:w="0" w:type="dxa"/>
              <w:left w:w="85" w:type="dxa"/>
              <w:bottom w:w="0" w:type="dxa"/>
              <w:right w:w="85" w:type="dxa"/>
            </w:tcMar>
            <w:vAlign w:val="bottom"/>
          </w:tcPr>
          <w:p w14:paraId="193EA9CB" w14:textId="77777777" w:rsidR="00BB3E1E" w:rsidRPr="00BB3E1E" w:rsidRDefault="00BB3E1E" w:rsidP="00B05614">
            <w:pPr>
              <w:pStyle w:val="TableTextBold"/>
              <w:jc w:val="right"/>
              <w:rPr>
                <w:color w:val="FFFFFF"/>
              </w:rPr>
            </w:pPr>
            <w:r w:rsidRPr="00BB3E1E">
              <w:rPr>
                <w:rFonts w:eastAsia="Calibri"/>
                <w:color w:val="FFFFFF"/>
              </w:rPr>
              <w:t>Absolute contribution to trend (%)</w:t>
            </w:r>
          </w:p>
        </w:tc>
        <w:tc>
          <w:tcPr>
            <w:tcW w:w="907" w:type="dxa"/>
            <w:shd w:val="clear" w:color="auto" w:fill="1B556B"/>
            <w:tcMar>
              <w:top w:w="0" w:type="dxa"/>
              <w:left w:w="85" w:type="dxa"/>
              <w:bottom w:w="0" w:type="dxa"/>
              <w:right w:w="85" w:type="dxa"/>
            </w:tcMar>
            <w:vAlign w:val="bottom"/>
          </w:tcPr>
          <w:p w14:paraId="140492FC" w14:textId="77777777" w:rsidR="00BB3E1E" w:rsidRPr="00BB3E1E" w:rsidRDefault="00BB3E1E" w:rsidP="00B05614">
            <w:pPr>
              <w:pStyle w:val="TableTextBold"/>
              <w:jc w:val="right"/>
              <w:rPr>
                <w:color w:val="FFFFFF"/>
              </w:rPr>
            </w:pPr>
            <w:r w:rsidRPr="00BB3E1E">
              <w:rPr>
                <w:rFonts w:eastAsia="Calibri"/>
                <w:color w:val="FFFFFF"/>
              </w:rPr>
              <w:t>Absolute cumulative total (%)</w:t>
            </w:r>
          </w:p>
        </w:tc>
      </w:tr>
      <w:tr w:rsidR="00AD2A3E" w:rsidRPr="0010735E" w14:paraId="62639E9B" w14:textId="77777777" w:rsidTr="00AD2A3E">
        <w:trPr>
          <w:cantSplit/>
          <w:trHeight w:val="283"/>
        </w:trPr>
        <w:tc>
          <w:tcPr>
            <w:tcW w:w="911" w:type="dxa"/>
            <w:shd w:val="clear" w:color="auto" w:fill="FFFFFF"/>
            <w:tcMar>
              <w:top w:w="0" w:type="dxa"/>
              <w:left w:w="85" w:type="dxa"/>
              <w:bottom w:w="0" w:type="dxa"/>
              <w:right w:w="85" w:type="dxa"/>
            </w:tcMar>
          </w:tcPr>
          <w:p w14:paraId="02B4EF18" w14:textId="77777777" w:rsidR="00BB3E1E" w:rsidRPr="0010735E" w:rsidRDefault="00BB3E1E" w:rsidP="00B05614">
            <w:pPr>
              <w:pStyle w:val="TableText"/>
            </w:pPr>
            <w:r w:rsidRPr="0010735E" w:rsidDel="000E4F67">
              <w:t>3.A.2</w:t>
            </w:r>
          </w:p>
        </w:tc>
        <w:tc>
          <w:tcPr>
            <w:tcW w:w="2041" w:type="dxa"/>
            <w:shd w:val="clear" w:color="auto" w:fill="FFFFFF"/>
            <w:tcMar>
              <w:top w:w="0" w:type="dxa"/>
              <w:left w:w="85" w:type="dxa"/>
              <w:bottom w:w="0" w:type="dxa"/>
              <w:right w:w="85" w:type="dxa"/>
            </w:tcMar>
          </w:tcPr>
          <w:p w14:paraId="724510A8" w14:textId="77777777" w:rsidR="00BB3E1E" w:rsidRPr="0010735E" w:rsidRDefault="00BB3E1E" w:rsidP="00B05614">
            <w:pPr>
              <w:pStyle w:val="TableText"/>
            </w:pPr>
            <w:r w:rsidRPr="0010735E">
              <w:t xml:space="preserve">Other (please specify) – </w:t>
            </w:r>
            <w:r w:rsidRPr="0010735E" w:rsidDel="000E4F67">
              <w:t>Sheep</w:t>
            </w:r>
          </w:p>
        </w:tc>
        <w:tc>
          <w:tcPr>
            <w:tcW w:w="492" w:type="dxa"/>
            <w:shd w:val="clear" w:color="auto" w:fill="FFFFFF"/>
            <w:tcMar>
              <w:top w:w="0" w:type="dxa"/>
              <w:left w:w="85" w:type="dxa"/>
              <w:bottom w:w="0" w:type="dxa"/>
              <w:right w:w="85" w:type="dxa"/>
            </w:tcMar>
          </w:tcPr>
          <w:p w14:paraId="5E9CEBED" w14:textId="77777777" w:rsidR="00BB3E1E" w:rsidRPr="0010735E" w:rsidRDefault="00BB3E1E" w:rsidP="00B05614">
            <w:pPr>
              <w:pStyle w:val="TableText"/>
            </w:pPr>
            <w:r w:rsidRPr="0010735E" w:rsidDel="000E4F67">
              <w:t>CH</w:t>
            </w:r>
            <w:r w:rsidRPr="0010735E" w:rsidDel="000E4F67">
              <w:rPr>
                <w:vertAlign w:val="subscript"/>
              </w:rPr>
              <w:t>4</w:t>
            </w:r>
          </w:p>
        </w:tc>
        <w:tc>
          <w:tcPr>
            <w:tcW w:w="964" w:type="dxa"/>
            <w:shd w:val="clear" w:color="auto" w:fill="FFFFFF"/>
            <w:tcMar>
              <w:top w:w="0" w:type="dxa"/>
              <w:left w:w="85" w:type="dxa"/>
              <w:bottom w:w="0" w:type="dxa"/>
              <w:right w:w="85" w:type="dxa"/>
            </w:tcMar>
          </w:tcPr>
          <w:p w14:paraId="4513CD6C" w14:textId="77777777" w:rsidR="00BB3E1E" w:rsidRPr="0010735E" w:rsidRDefault="00BB3E1E" w:rsidP="00B05614">
            <w:pPr>
              <w:pStyle w:val="TableText"/>
              <w:jc w:val="right"/>
            </w:pPr>
            <w:r w:rsidRPr="0010735E">
              <w:t>14,557.9</w:t>
            </w:r>
          </w:p>
        </w:tc>
        <w:tc>
          <w:tcPr>
            <w:tcW w:w="964" w:type="dxa"/>
            <w:shd w:val="clear" w:color="auto" w:fill="FFFFFF"/>
            <w:tcMar>
              <w:top w:w="0" w:type="dxa"/>
              <w:left w:w="85" w:type="dxa"/>
              <w:bottom w:w="0" w:type="dxa"/>
              <w:right w:w="85" w:type="dxa"/>
            </w:tcMar>
          </w:tcPr>
          <w:p w14:paraId="23BC7869" w14:textId="77777777" w:rsidR="00BB3E1E" w:rsidRPr="0010735E" w:rsidRDefault="00BB3E1E" w:rsidP="00B05614">
            <w:pPr>
              <w:pStyle w:val="TableText"/>
              <w:jc w:val="right"/>
            </w:pPr>
            <w:r w:rsidRPr="0010735E">
              <w:t>8,271.2</w:t>
            </w:r>
          </w:p>
        </w:tc>
        <w:tc>
          <w:tcPr>
            <w:tcW w:w="964" w:type="dxa"/>
            <w:shd w:val="clear" w:color="auto" w:fill="FFFFFF"/>
            <w:tcMar>
              <w:top w:w="0" w:type="dxa"/>
              <w:left w:w="85" w:type="dxa"/>
              <w:bottom w:w="0" w:type="dxa"/>
              <w:right w:w="85" w:type="dxa"/>
            </w:tcMar>
          </w:tcPr>
          <w:p w14:paraId="10641543" w14:textId="77777777" w:rsidR="00BB3E1E" w:rsidRPr="0010735E" w:rsidRDefault="00BB3E1E" w:rsidP="00B05614">
            <w:pPr>
              <w:pStyle w:val="TableText"/>
              <w:jc w:val="right"/>
            </w:pPr>
            <w:r w:rsidRPr="0010735E">
              <w:t>0.143</w:t>
            </w:r>
          </w:p>
        </w:tc>
        <w:tc>
          <w:tcPr>
            <w:tcW w:w="1021" w:type="dxa"/>
            <w:shd w:val="clear" w:color="auto" w:fill="FFFFFF"/>
            <w:tcMar>
              <w:top w:w="0" w:type="dxa"/>
              <w:left w:w="85" w:type="dxa"/>
              <w:bottom w:w="0" w:type="dxa"/>
              <w:right w:w="85" w:type="dxa"/>
            </w:tcMar>
          </w:tcPr>
          <w:p w14:paraId="6A9058E5" w14:textId="77777777" w:rsidR="00BB3E1E" w:rsidRPr="0010735E" w:rsidRDefault="00BB3E1E" w:rsidP="00B05614">
            <w:pPr>
              <w:pStyle w:val="TableText"/>
              <w:jc w:val="right"/>
            </w:pPr>
            <w:r w:rsidRPr="0010735E">
              <w:t>22.2</w:t>
            </w:r>
          </w:p>
        </w:tc>
        <w:tc>
          <w:tcPr>
            <w:tcW w:w="907" w:type="dxa"/>
            <w:shd w:val="clear" w:color="auto" w:fill="FFFFFF"/>
            <w:tcMar>
              <w:top w:w="0" w:type="dxa"/>
              <w:left w:w="85" w:type="dxa"/>
              <w:bottom w:w="0" w:type="dxa"/>
              <w:right w:w="85" w:type="dxa"/>
            </w:tcMar>
          </w:tcPr>
          <w:p w14:paraId="3EAF33D1" w14:textId="77777777" w:rsidR="00BB3E1E" w:rsidRPr="0010735E" w:rsidRDefault="00BB3E1E" w:rsidP="00B05614">
            <w:pPr>
              <w:pStyle w:val="TableText"/>
              <w:jc w:val="right"/>
            </w:pPr>
            <w:r w:rsidRPr="0010735E">
              <w:t>22.2</w:t>
            </w:r>
          </w:p>
        </w:tc>
      </w:tr>
      <w:tr w:rsidR="00AD2A3E" w:rsidRPr="0010735E" w14:paraId="2267227F" w14:textId="77777777" w:rsidTr="00AD2A3E">
        <w:trPr>
          <w:cantSplit/>
          <w:trHeight w:val="283"/>
        </w:trPr>
        <w:tc>
          <w:tcPr>
            <w:tcW w:w="911" w:type="dxa"/>
            <w:shd w:val="clear" w:color="auto" w:fill="FFFFFF"/>
            <w:tcMar>
              <w:top w:w="0" w:type="dxa"/>
              <w:left w:w="85" w:type="dxa"/>
              <w:bottom w:w="0" w:type="dxa"/>
              <w:right w:w="85" w:type="dxa"/>
            </w:tcMar>
          </w:tcPr>
          <w:p w14:paraId="22C89DAA" w14:textId="77777777" w:rsidR="00BB3E1E" w:rsidRPr="0010735E" w:rsidRDefault="00BB3E1E" w:rsidP="00B05614">
            <w:pPr>
              <w:pStyle w:val="TableText"/>
            </w:pPr>
            <w:r w:rsidRPr="0010735E" w:rsidDel="000E4F67">
              <w:t>3.A.1</w:t>
            </w:r>
          </w:p>
        </w:tc>
        <w:tc>
          <w:tcPr>
            <w:tcW w:w="2041" w:type="dxa"/>
            <w:shd w:val="clear" w:color="auto" w:fill="FFFFFF"/>
            <w:tcMar>
              <w:top w:w="0" w:type="dxa"/>
              <w:left w:w="85" w:type="dxa"/>
              <w:bottom w:w="0" w:type="dxa"/>
              <w:right w:w="85" w:type="dxa"/>
            </w:tcMar>
          </w:tcPr>
          <w:p w14:paraId="0555582E" w14:textId="77777777" w:rsidR="00BB3E1E" w:rsidRPr="0010735E" w:rsidRDefault="00BB3E1E" w:rsidP="00B05614">
            <w:pPr>
              <w:pStyle w:val="TableText"/>
            </w:pPr>
            <w:r w:rsidRPr="0010735E">
              <w:t xml:space="preserve">Option A – Dairy </w:t>
            </w:r>
            <w:r w:rsidRPr="0010735E" w:rsidDel="000E4F67">
              <w:t>Cattle</w:t>
            </w:r>
          </w:p>
        </w:tc>
        <w:tc>
          <w:tcPr>
            <w:tcW w:w="492" w:type="dxa"/>
            <w:shd w:val="clear" w:color="auto" w:fill="FFFFFF"/>
            <w:tcMar>
              <w:top w:w="0" w:type="dxa"/>
              <w:left w:w="85" w:type="dxa"/>
              <w:bottom w:w="0" w:type="dxa"/>
              <w:right w:w="85" w:type="dxa"/>
            </w:tcMar>
          </w:tcPr>
          <w:p w14:paraId="362492E3" w14:textId="77777777" w:rsidR="00BB3E1E" w:rsidRPr="0010735E" w:rsidRDefault="00BB3E1E" w:rsidP="00B05614">
            <w:pPr>
              <w:pStyle w:val="TableText"/>
            </w:pPr>
            <w:r w:rsidRPr="0010735E" w:rsidDel="000E4F67">
              <w:t>CH</w:t>
            </w:r>
            <w:r w:rsidRPr="0010735E" w:rsidDel="000E4F67">
              <w:rPr>
                <w:vertAlign w:val="subscript"/>
              </w:rPr>
              <w:t>4</w:t>
            </w:r>
          </w:p>
        </w:tc>
        <w:tc>
          <w:tcPr>
            <w:tcW w:w="964" w:type="dxa"/>
            <w:shd w:val="clear" w:color="auto" w:fill="FFFFFF"/>
            <w:tcMar>
              <w:top w:w="0" w:type="dxa"/>
              <w:left w:w="85" w:type="dxa"/>
              <w:bottom w:w="0" w:type="dxa"/>
              <w:right w:w="85" w:type="dxa"/>
            </w:tcMar>
          </w:tcPr>
          <w:p w14:paraId="3423CE74" w14:textId="77777777" w:rsidR="00BB3E1E" w:rsidRPr="0010735E" w:rsidRDefault="00BB3E1E" w:rsidP="00B05614">
            <w:pPr>
              <w:pStyle w:val="TableText"/>
              <w:jc w:val="right"/>
            </w:pPr>
            <w:r w:rsidRPr="0010735E">
              <w:t>6,147.3</w:t>
            </w:r>
          </w:p>
        </w:tc>
        <w:tc>
          <w:tcPr>
            <w:tcW w:w="964" w:type="dxa"/>
            <w:shd w:val="clear" w:color="auto" w:fill="FFFFFF"/>
            <w:tcMar>
              <w:top w:w="0" w:type="dxa"/>
              <w:left w:w="85" w:type="dxa"/>
              <w:bottom w:w="0" w:type="dxa"/>
              <w:right w:w="85" w:type="dxa"/>
            </w:tcMar>
          </w:tcPr>
          <w:p w14:paraId="5CB416A0" w14:textId="77777777" w:rsidR="00BB3E1E" w:rsidRPr="0010735E" w:rsidRDefault="00BB3E1E" w:rsidP="00B05614">
            <w:pPr>
              <w:pStyle w:val="TableText"/>
              <w:jc w:val="right"/>
            </w:pPr>
            <w:r w:rsidRPr="0010735E">
              <w:t>14,034.7</w:t>
            </w:r>
          </w:p>
        </w:tc>
        <w:tc>
          <w:tcPr>
            <w:tcW w:w="964" w:type="dxa"/>
            <w:shd w:val="clear" w:color="auto" w:fill="FFFFFF"/>
            <w:tcMar>
              <w:top w:w="0" w:type="dxa"/>
              <w:left w:w="85" w:type="dxa"/>
              <w:bottom w:w="0" w:type="dxa"/>
              <w:right w:w="85" w:type="dxa"/>
            </w:tcMar>
          </w:tcPr>
          <w:p w14:paraId="03D4D3D7" w14:textId="77777777" w:rsidR="00BB3E1E" w:rsidRPr="0010735E" w:rsidRDefault="00BB3E1E" w:rsidP="00B05614">
            <w:pPr>
              <w:pStyle w:val="TableText"/>
              <w:jc w:val="right"/>
            </w:pPr>
            <w:r w:rsidRPr="0010735E">
              <w:t>0.101</w:t>
            </w:r>
          </w:p>
        </w:tc>
        <w:tc>
          <w:tcPr>
            <w:tcW w:w="1021" w:type="dxa"/>
            <w:shd w:val="clear" w:color="auto" w:fill="FFFFFF"/>
            <w:tcMar>
              <w:top w:w="0" w:type="dxa"/>
              <w:left w:w="85" w:type="dxa"/>
              <w:bottom w:w="0" w:type="dxa"/>
              <w:right w:w="85" w:type="dxa"/>
            </w:tcMar>
          </w:tcPr>
          <w:p w14:paraId="16CF9F2C" w14:textId="77777777" w:rsidR="00BB3E1E" w:rsidRPr="0010735E" w:rsidRDefault="00BB3E1E" w:rsidP="00B05614">
            <w:pPr>
              <w:pStyle w:val="TableText"/>
              <w:jc w:val="right"/>
            </w:pPr>
            <w:r w:rsidRPr="0010735E">
              <w:t>15.8</w:t>
            </w:r>
          </w:p>
        </w:tc>
        <w:tc>
          <w:tcPr>
            <w:tcW w:w="907" w:type="dxa"/>
            <w:shd w:val="clear" w:color="auto" w:fill="FFFFFF"/>
            <w:tcMar>
              <w:top w:w="0" w:type="dxa"/>
              <w:left w:w="85" w:type="dxa"/>
              <w:bottom w:w="0" w:type="dxa"/>
              <w:right w:w="85" w:type="dxa"/>
            </w:tcMar>
          </w:tcPr>
          <w:p w14:paraId="361A1A13" w14:textId="77777777" w:rsidR="00BB3E1E" w:rsidRPr="0010735E" w:rsidRDefault="00BB3E1E" w:rsidP="00B05614">
            <w:pPr>
              <w:pStyle w:val="TableText"/>
              <w:jc w:val="right"/>
            </w:pPr>
            <w:r w:rsidRPr="0010735E">
              <w:t>38.0</w:t>
            </w:r>
          </w:p>
        </w:tc>
      </w:tr>
      <w:tr w:rsidR="00AD2A3E" w:rsidRPr="0010735E" w14:paraId="75341F30" w14:textId="77777777" w:rsidTr="00AD2A3E">
        <w:trPr>
          <w:cantSplit/>
          <w:trHeight w:val="283"/>
        </w:trPr>
        <w:tc>
          <w:tcPr>
            <w:tcW w:w="911" w:type="dxa"/>
            <w:shd w:val="clear" w:color="auto" w:fill="FFFFFF"/>
            <w:tcMar>
              <w:top w:w="0" w:type="dxa"/>
              <w:left w:w="85" w:type="dxa"/>
              <w:bottom w:w="0" w:type="dxa"/>
              <w:right w:w="85" w:type="dxa"/>
            </w:tcMar>
          </w:tcPr>
          <w:p w14:paraId="69A32293" w14:textId="77777777" w:rsidR="00BB3E1E" w:rsidRPr="0010735E" w:rsidRDefault="00BB3E1E" w:rsidP="00B05614">
            <w:pPr>
              <w:pStyle w:val="TableText"/>
            </w:pPr>
            <w:r w:rsidRPr="0010735E" w:rsidDel="000E4F67">
              <w:t>1.A.3.b</w:t>
            </w:r>
          </w:p>
        </w:tc>
        <w:tc>
          <w:tcPr>
            <w:tcW w:w="2041" w:type="dxa"/>
            <w:shd w:val="clear" w:color="auto" w:fill="FFFFFF"/>
            <w:tcMar>
              <w:top w:w="0" w:type="dxa"/>
              <w:left w:w="85" w:type="dxa"/>
              <w:bottom w:w="0" w:type="dxa"/>
              <w:right w:w="85" w:type="dxa"/>
            </w:tcMar>
          </w:tcPr>
          <w:p w14:paraId="32724356" w14:textId="77777777" w:rsidR="00BB3E1E" w:rsidRPr="0010735E" w:rsidRDefault="00BB3E1E" w:rsidP="00B05614">
            <w:pPr>
              <w:pStyle w:val="TableText"/>
            </w:pPr>
            <w:r w:rsidRPr="0010735E">
              <w:t>Transport – Road Transportation Liquid Fuels</w:t>
            </w:r>
          </w:p>
        </w:tc>
        <w:tc>
          <w:tcPr>
            <w:tcW w:w="492" w:type="dxa"/>
            <w:shd w:val="clear" w:color="auto" w:fill="FFFFFF"/>
            <w:tcMar>
              <w:top w:w="0" w:type="dxa"/>
              <w:left w:w="85" w:type="dxa"/>
              <w:bottom w:w="0" w:type="dxa"/>
              <w:right w:w="85" w:type="dxa"/>
            </w:tcMar>
          </w:tcPr>
          <w:p w14:paraId="648DFD3A"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363882BF" w14:textId="77777777" w:rsidR="00BB3E1E" w:rsidRPr="0010735E" w:rsidRDefault="00BB3E1E" w:rsidP="00B05614">
            <w:pPr>
              <w:pStyle w:val="TableText"/>
              <w:jc w:val="right"/>
            </w:pPr>
            <w:r w:rsidRPr="0010735E">
              <w:t>6,519.0</w:t>
            </w:r>
          </w:p>
        </w:tc>
        <w:tc>
          <w:tcPr>
            <w:tcW w:w="964" w:type="dxa"/>
            <w:shd w:val="clear" w:color="auto" w:fill="FFFFFF"/>
            <w:tcMar>
              <w:top w:w="0" w:type="dxa"/>
              <w:left w:w="85" w:type="dxa"/>
              <w:bottom w:w="0" w:type="dxa"/>
              <w:right w:w="85" w:type="dxa"/>
            </w:tcMar>
          </w:tcPr>
          <w:p w14:paraId="30FCA9B6" w14:textId="77777777" w:rsidR="00BB3E1E" w:rsidRPr="0010735E" w:rsidRDefault="00BB3E1E" w:rsidP="00B05614">
            <w:pPr>
              <w:pStyle w:val="TableText"/>
              <w:jc w:val="right"/>
            </w:pPr>
            <w:r w:rsidRPr="0010735E">
              <w:t>11,947.2</w:t>
            </w:r>
          </w:p>
        </w:tc>
        <w:tc>
          <w:tcPr>
            <w:tcW w:w="964" w:type="dxa"/>
            <w:shd w:val="clear" w:color="auto" w:fill="FFFFFF"/>
            <w:tcMar>
              <w:top w:w="0" w:type="dxa"/>
              <w:left w:w="85" w:type="dxa"/>
              <w:bottom w:w="0" w:type="dxa"/>
              <w:right w:w="85" w:type="dxa"/>
            </w:tcMar>
          </w:tcPr>
          <w:p w14:paraId="68077A2A" w14:textId="77777777" w:rsidR="00BB3E1E" w:rsidRPr="0010735E" w:rsidRDefault="00BB3E1E" w:rsidP="00B05614">
            <w:pPr>
              <w:pStyle w:val="TableText"/>
              <w:jc w:val="right"/>
            </w:pPr>
            <w:r w:rsidRPr="0010735E">
              <w:t>0.062</w:t>
            </w:r>
          </w:p>
        </w:tc>
        <w:tc>
          <w:tcPr>
            <w:tcW w:w="1021" w:type="dxa"/>
            <w:shd w:val="clear" w:color="auto" w:fill="FFFFFF"/>
            <w:tcMar>
              <w:top w:w="0" w:type="dxa"/>
              <w:left w:w="85" w:type="dxa"/>
              <w:bottom w:w="0" w:type="dxa"/>
              <w:right w:w="85" w:type="dxa"/>
            </w:tcMar>
          </w:tcPr>
          <w:p w14:paraId="01E68F4E" w14:textId="77777777" w:rsidR="00BB3E1E" w:rsidRPr="0010735E" w:rsidRDefault="00BB3E1E" w:rsidP="00B05614">
            <w:pPr>
              <w:pStyle w:val="TableText"/>
              <w:jc w:val="right"/>
            </w:pPr>
            <w:r w:rsidRPr="0010735E">
              <w:t>9.7</w:t>
            </w:r>
          </w:p>
        </w:tc>
        <w:tc>
          <w:tcPr>
            <w:tcW w:w="907" w:type="dxa"/>
            <w:shd w:val="clear" w:color="auto" w:fill="FFFFFF"/>
            <w:tcMar>
              <w:top w:w="0" w:type="dxa"/>
              <w:left w:w="85" w:type="dxa"/>
              <w:bottom w:w="0" w:type="dxa"/>
              <w:right w:w="85" w:type="dxa"/>
            </w:tcMar>
          </w:tcPr>
          <w:p w14:paraId="051441FC" w14:textId="77777777" w:rsidR="00BB3E1E" w:rsidRPr="0010735E" w:rsidRDefault="00BB3E1E" w:rsidP="00B05614">
            <w:pPr>
              <w:pStyle w:val="TableText"/>
              <w:jc w:val="right"/>
            </w:pPr>
            <w:r w:rsidRPr="0010735E">
              <w:t>47.7</w:t>
            </w:r>
          </w:p>
        </w:tc>
      </w:tr>
      <w:tr w:rsidR="00AD2A3E" w:rsidRPr="0010735E" w14:paraId="2389DECF" w14:textId="77777777" w:rsidTr="00AD2A3E">
        <w:trPr>
          <w:cantSplit/>
          <w:trHeight w:val="283"/>
        </w:trPr>
        <w:tc>
          <w:tcPr>
            <w:tcW w:w="911" w:type="dxa"/>
            <w:shd w:val="clear" w:color="auto" w:fill="FFFFFF"/>
            <w:tcMar>
              <w:top w:w="0" w:type="dxa"/>
              <w:left w:w="85" w:type="dxa"/>
              <w:bottom w:w="0" w:type="dxa"/>
              <w:right w:w="85" w:type="dxa"/>
            </w:tcMar>
          </w:tcPr>
          <w:p w14:paraId="6B9D5F93" w14:textId="77777777" w:rsidR="00BB3E1E" w:rsidRPr="0010735E" w:rsidRDefault="00BB3E1E" w:rsidP="00B05614">
            <w:pPr>
              <w:pStyle w:val="TableText"/>
            </w:pPr>
            <w:r w:rsidRPr="0010735E" w:rsidDel="000E4F67">
              <w:t>1.A.1.c</w:t>
            </w:r>
          </w:p>
        </w:tc>
        <w:tc>
          <w:tcPr>
            <w:tcW w:w="2041" w:type="dxa"/>
            <w:shd w:val="clear" w:color="auto" w:fill="FFFFFF"/>
            <w:tcMar>
              <w:top w:w="0" w:type="dxa"/>
              <w:left w:w="85" w:type="dxa"/>
              <w:bottom w:w="0" w:type="dxa"/>
              <w:right w:w="85" w:type="dxa"/>
            </w:tcMar>
          </w:tcPr>
          <w:p w14:paraId="0F6871BB" w14:textId="77777777" w:rsidR="00BB3E1E" w:rsidRPr="0010735E" w:rsidRDefault="00BB3E1E" w:rsidP="00B05614">
            <w:pPr>
              <w:pStyle w:val="TableText"/>
            </w:pPr>
            <w:r w:rsidRPr="0010735E">
              <w:t>Energy Industries – Manufacture of Solid Fuels and Other Energy Industries Gaseous Fuels</w:t>
            </w:r>
          </w:p>
        </w:tc>
        <w:tc>
          <w:tcPr>
            <w:tcW w:w="492" w:type="dxa"/>
            <w:shd w:val="clear" w:color="auto" w:fill="FFFFFF"/>
            <w:tcMar>
              <w:top w:w="0" w:type="dxa"/>
              <w:left w:w="85" w:type="dxa"/>
              <w:bottom w:w="0" w:type="dxa"/>
              <w:right w:w="85" w:type="dxa"/>
            </w:tcMar>
          </w:tcPr>
          <w:p w14:paraId="34DFD8FE"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0A945BBF" w14:textId="77777777" w:rsidR="00BB3E1E" w:rsidRPr="0010735E" w:rsidRDefault="00BB3E1E" w:rsidP="00B05614">
            <w:pPr>
              <w:pStyle w:val="TableText"/>
              <w:jc w:val="right"/>
            </w:pPr>
            <w:r w:rsidRPr="0010735E">
              <w:t>1,715.3</w:t>
            </w:r>
          </w:p>
        </w:tc>
        <w:tc>
          <w:tcPr>
            <w:tcW w:w="964" w:type="dxa"/>
            <w:shd w:val="clear" w:color="auto" w:fill="FFFFFF"/>
            <w:tcMar>
              <w:top w:w="0" w:type="dxa"/>
              <w:left w:w="85" w:type="dxa"/>
              <w:bottom w:w="0" w:type="dxa"/>
              <w:right w:w="85" w:type="dxa"/>
            </w:tcMar>
          </w:tcPr>
          <w:p w14:paraId="78906F32" w14:textId="77777777" w:rsidR="00BB3E1E" w:rsidRPr="0010735E" w:rsidRDefault="00BB3E1E" w:rsidP="00B05614">
            <w:pPr>
              <w:pStyle w:val="TableText"/>
              <w:jc w:val="right"/>
            </w:pPr>
            <w:r w:rsidRPr="0010735E">
              <w:t>263.7</w:t>
            </w:r>
          </w:p>
        </w:tc>
        <w:tc>
          <w:tcPr>
            <w:tcW w:w="964" w:type="dxa"/>
            <w:shd w:val="clear" w:color="auto" w:fill="FFFFFF"/>
            <w:tcMar>
              <w:top w:w="0" w:type="dxa"/>
              <w:left w:w="85" w:type="dxa"/>
              <w:bottom w:w="0" w:type="dxa"/>
              <w:right w:w="85" w:type="dxa"/>
            </w:tcMar>
          </w:tcPr>
          <w:p w14:paraId="5806D5F0" w14:textId="77777777" w:rsidR="00BB3E1E" w:rsidRPr="0010735E" w:rsidRDefault="00BB3E1E" w:rsidP="00B05614">
            <w:pPr>
              <w:pStyle w:val="TableText"/>
              <w:jc w:val="right"/>
            </w:pPr>
            <w:r w:rsidRPr="0010735E">
              <w:t>0.028</w:t>
            </w:r>
          </w:p>
        </w:tc>
        <w:tc>
          <w:tcPr>
            <w:tcW w:w="1021" w:type="dxa"/>
            <w:shd w:val="clear" w:color="auto" w:fill="FFFFFF"/>
            <w:tcMar>
              <w:top w:w="0" w:type="dxa"/>
              <w:left w:w="85" w:type="dxa"/>
              <w:bottom w:w="0" w:type="dxa"/>
              <w:right w:w="85" w:type="dxa"/>
            </w:tcMar>
          </w:tcPr>
          <w:p w14:paraId="194A2CEF" w14:textId="77777777" w:rsidR="00BB3E1E" w:rsidRPr="0010735E" w:rsidRDefault="00BB3E1E" w:rsidP="00B05614">
            <w:pPr>
              <w:pStyle w:val="TableText"/>
              <w:jc w:val="right"/>
            </w:pPr>
            <w:r w:rsidRPr="0010735E">
              <w:t>4.3</w:t>
            </w:r>
          </w:p>
        </w:tc>
        <w:tc>
          <w:tcPr>
            <w:tcW w:w="907" w:type="dxa"/>
            <w:shd w:val="clear" w:color="auto" w:fill="FFFFFF"/>
            <w:tcMar>
              <w:top w:w="0" w:type="dxa"/>
              <w:left w:w="85" w:type="dxa"/>
              <w:bottom w:w="0" w:type="dxa"/>
              <w:right w:w="85" w:type="dxa"/>
            </w:tcMar>
          </w:tcPr>
          <w:p w14:paraId="4DAA9102" w14:textId="77777777" w:rsidR="00BB3E1E" w:rsidRPr="0010735E" w:rsidRDefault="00BB3E1E" w:rsidP="00B05614">
            <w:pPr>
              <w:pStyle w:val="TableText"/>
              <w:jc w:val="right"/>
            </w:pPr>
            <w:r w:rsidRPr="0010735E">
              <w:t>52.0</w:t>
            </w:r>
          </w:p>
        </w:tc>
      </w:tr>
      <w:tr w:rsidR="00AD2A3E" w:rsidRPr="0010735E" w14:paraId="68E249F1" w14:textId="77777777" w:rsidTr="00AD2A3E">
        <w:trPr>
          <w:cantSplit/>
          <w:trHeight w:val="283"/>
        </w:trPr>
        <w:tc>
          <w:tcPr>
            <w:tcW w:w="911" w:type="dxa"/>
            <w:shd w:val="clear" w:color="auto" w:fill="FFFFFF"/>
            <w:tcMar>
              <w:top w:w="0" w:type="dxa"/>
              <w:left w:w="85" w:type="dxa"/>
              <w:bottom w:w="0" w:type="dxa"/>
              <w:right w:w="85" w:type="dxa"/>
            </w:tcMar>
          </w:tcPr>
          <w:p w14:paraId="7B355FF2" w14:textId="77777777" w:rsidR="00BB3E1E" w:rsidRPr="0010735E" w:rsidRDefault="00BB3E1E" w:rsidP="00B05614">
            <w:pPr>
              <w:pStyle w:val="TableText"/>
            </w:pPr>
            <w:r w:rsidRPr="0010735E" w:rsidDel="000E4F67">
              <w:t>2.F.1</w:t>
            </w:r>
          </w:p>
        </w:tc>
        <w:tc>
          <w:tcPr>
            <w:tcW w:w="2041" w:type="dxa"/>
            <w:shd w:val="clear" w:color="auto" w:fill="FFFFFF"/>
            <w:tcMar>
              <w:top w:w="0" w:type="dxa"/>
              <w:left w:w="85" w:type="dxa"/>
              <w:bottom w:w="0" w:type="dxa"/>
              <w:right w:w="85" w:type="dxa"/>
            </w:tcMar>
          </w:tcPr>
          <w:p w14:paraId="49AEC252" w14:textId="77777777" w:rsidR="00BB3E1E" w:rsidRPr="0010735E" w:rsidRDefault="00BB3E1E" w:rsidP="00B05614">
            <w:pPr>
              <w:pStyle w:val="TableText"/>
            </w:pPr>
            <w:r w:rsidRPr="0010735E">
              <w:t>Product Uses as Substitutes for ODS – Refrigeration and Air C</w:t>
            </w:r>
            <w:r w:rsidRPr="0010735E" w:rsidDel="000E4F67">
              <w:t>onditioning</w:t>
            </w:r>
          </w:p>
        </w:tc>
        <w:tc>
          <w:tcPr>
            <w:tcW w:w="492" w:type="dxa"/>
            <w:shd w:val="clear" w:color="auto" w:fill="FFFFFF"/>
            <w:tcMar>
              <w:top w:w="0" w:type="dxa"/>
              <w:left w:w="85" w:type="dxa"/>
              <w:bottom w:w="0" w:type="dxa"/>
              <w:right w:w="85" w:type="dxa"/>
            </w:tcMar>
          </w:tcPr>
          <w:p w14:paraId="5061A3EC" w14:textId="77777777" w:rsidR="00BB3E1E" w:rsidRPr="0010735E" w:rsidRDefault="00BB3E1E" w:rsidP="00B05614">
            <w:pPr>
              <w:pStyle w:val="TableText"/>
            </w:pPr>
            <w:r w:rsidRPr="0010735E" w:rsidDel="000E4F67">
              <w:t>HFCs</w:t>
            </w:r>
          </w:p>
        </w:tc>
        <w:tc>
          <w:tcPr>
            <w:tcW w:w="964" w:type="dxa"/>
            <w:shd w:val="clear" w:color="auto" w:fill="FFFFFF"/>
            <w:tcMar>
              <w:top w:w="0" w:type="dxa"/>
              <w:left w:w="85" w:type="dxa"/>
              <w:bottom w:w="0" w:type="dxa"/>
              <w:right w:w="85" w:type="dxa"/>
            </w:tcMar>
          </w:tcPr>
          <w:p w14:paraId="4CDA704C" w14:textId="77777777" w:rsidR="00BB3E1E" w:rsidRPr="0010735E" w:rsidRDefault="00BB3E1E" w:rsidP="00B05614">
            <w:pPr>
              <w:pStyle w:val="TableText"/>
              <w:jc w:val="right"/>
            </w:pPr>
            <w:r w:rsidRPr="0010735E">
              <w:t>0.0</w:t>
            </w:r>
          </w:p>
        </w:tc>
        <w:tc>
          <w:tcPr>
            <w:tcW w:w="964" w:type="dxa"/>
            <w:shd w:val="clear" w:color="auto" w:fill="FFFFFF"/>
            <w:tcMar>
              <w:top w:w="0" w:type="dxa"/>
              <w:left w:w="85" w:type="dxa"/>
              <w:bottom w:w="0" w:type="dxa"/>
              <w:right w:w="85" w:type="dxa"/>
            </w:tcMar>
          </w:tcPr>
          <w:p w14:paraId="7312EC19" w14:textId="77777777" w:rsidR="00BB3E1E" w:rsidRPr="0010735E" w:rsidRDefault="00BB3E1E" w:rsidP="00B05614">
            <w:pPr>
              <w:pStyle w:val="TableText"/>
              <w:jc w:val="right"/>
            </w:pPr>
            <w:r w:rsidRPr="0010735E">
              <w:t>1,391.6</w:t>
            </w:r>
          </w:p>
        </w:tc>
        <w:tc>
          <w:tcPr>
            <w:tcW w:w="964" w:type="dxa"/>
            <w:shd w:val="clear" w:color="auto" w:fill="FFFFFF"/>
            <w:tcMar>
              <w:top w:w="0" w:type="dxa"/>
              <w:left w:w="85" w:type="dxa"/>
              <w:bottom w:w="0" w:type="dxa"/>
              <w:right w:w="85" w:type="dxa"/>
            </w:tcMar>
          </w:tcPr>
          <w:p w14:paraId="37F868C7" w14:textId="77777777" w:rsidR="00BB3E1E" w:rsidRPr="0010735E" w:rsidRDefault="00BB3E1E" w:rsidP="00B05614">
            <w:pPr>
              <w:pStyle w:val="TableText"/>
              <w:jc w:val="right"/>
            </w:pPr>
            <w:r w:rsidRPr="0010735E">
              <w:t>0.021</w:t>
            </w:r>
          </w:p>
        </w:tc>
        <w:tc>
          <w:tcPr>
            <w:tcW w:w="1021" w:type="dxa"/>
            <w:shd w:val="clear" w:color="auto" w:fill="FFFFFF"/>
            <w:tcMar>
              <w:top w:w="0" w:type="dxa"/>
              <w:left w:w="85" w:type="dxa"/>
              <w:bottom w:w="0" w:type="dxa"/>
              <w:right w:w="85" w:type="dxa"/>
            </w:tcMar>
          </w:tcPr>
          <w:p w14:paraId="4FD87122" w14:textId="77777777" w:rsidR="00BB3E1E" w:rsidRPr="0010735E" w:rsidRDefault="00BB3E1E" w:rsidP="00B05614">
            <w:pPr>
              <w:pStyle w:val="TableText"/>
              <w:jc w:val="right"/>
            </w:pPr>
            <w:r w:rsidRPr="0010735E">
              <w:t>3.3</w:t>
            </w:r>
          </w:p>
        </w:tc>
        <w:tc>
          <w:tcPr>
            <w:tcW w:w="907" w:type="dxa"/>
            <w:shd w:val="clear" w:color="auto" w:fill="FFFFFF"/>
            <w:tcMar>
              <w:top w:w="0" w:type="dxa"/>
              <w:left w:w="85" w:type="dxa"/>
              <w:bottom w:w="0" w:type="dxa"/>
              <w:right w:w="85" w:type="dxa"/>
            </w:tcMar>
          </w:tcPr>
          <w:p w14:paraId="3D791332" w14:textId="77777777" w:rsidR="00BB3E1E" w:rsidRPr="0010735E" w:rsidRDefault="00BB3E1E" w:rsidP="00B05614">
            <w:pPr>
              <w:pStyle w:val="TableText"/>
              <w:jc w:val="right"/>
            </w:pPr>
            <w:r w:rsidRPr="0010735E">
              <w:t>55.3</w:t>
            </w:r>
          </w:p>
        </w:tc>
      </w:tr>
      <w:tr w:rsidR="00AD2A3E" w:rsidRPr="0010735E" w14:paraId="62C904D0" w14:textId="77777777" w:rsidTr="00AD2A3E">
        <w:trPr>
          <w:cantSplit/>
          <w:trHeight w:val="283"/>
        </w:trPr>
        <w:tc>
          <w:tcPr>
            <w:tcW w:w="911" w:type="dxa"/>
            <w:shd w:val="clear" w:color="auto" w:fill="FFFFFF"/>
            <w:tcMar>
              <w:top w:w="0" w:type="dxa"/>
              <w:left w:w="85" w:type="dxa"/>
              <w:bottom w:w="0" w:type="dxa"/>
              <w:right w:w="85" w:type="dxa"/>
            </w:tcMar>
          </w:tcPr>
          <w:p w14:paraId="4C3B8827" w14:textId="77777777" w:rsidR="00BB3E1E" w:rsidRPr="0010735E" w:rsidRDefault="00BB3E1E" w:rsidP="00B05614">
            <w:pPr>
              <w:pStyle w:val="TableText"/>
            </w:pPr>
            <w:r w:rsidRPr="0010735E" w:rsidDel="000E4F67">
              <w:t>5.A</w:t>
            </w:r>
          </w:p>
        </w:tc>
        <w:tc>
          <w:tcPr>
            <w:tcW w:w="2041" w:type="dxa"/>
            <w:shd w:val="clear" w:color="auto" w:fill="FFFFFF"/>
            <w:tcMar>
              <w:top w:w="0" w:type="dxa"/>
              <w:left w:w="85" w:type="dxa"/>
              <w:bottom w:w="0" w:type="dxa"/>
              <w:right w:w="85" w:type="dxa"/>
            </w:tcMar>
          </w:tcPr>
          <w:p w14:paraId="22E325B3" w14:textId="77777777" w:rsidR="00BB3E1E" w:rsidRPr="0010735E" w:rsidRDefault="00BB3E1E" w:rsidP="00B05614">
            <w:pPr>
              <w:pStyle w:val="TableText"/>
            </w:pPr>
            <w:r w:rsidRPr="0010735E">
              <w:t xml:space="preserve">Waste – Solid Waste </w:t>
            </w:r>
            <w:r w:rsidRPr="0010735E" w:rsidDel="000E4F67">
              <w:t>Disposal</w:t>
            </w:r>
          </w:p>
        </w:tc>
        <w:tc>
          <w:tcPr>
            <w:tcW w:w="492" w:type="dxa"/>
            <w:shd w:val="clear" w:color="auto" w:fill="FFFFFF"/>
            <w:tcMar>
              <w:top w:w="0" w:type="dxa"/>
              <w:left w:w="85" w:type="dxa"/>
              <w:bottom w:w="0" w:type="dxa"/>
              <w:right w:w="85" w:type="dxa"/>
            </w:tcMar>
          </w:tcPr>
          <w:p w14:paraId="7F29FC38" w14:textId="77777777" w:rsidR="00BB3E1E" w:rsidRPr="0010735E" w:rsidRDefault="00BB3E1E" w:rsidP="00B05614">
            <w:pPr>
              <w:pStyle w:val="TableText"/>
            </w:pPr>
            <w:r w:rsidRPr="0010735E" w:rsidDel="000E4F67">
              <w:t>CH</w:t>
            </w:r>
            <w:r w:rsidRPr="0010735E" w:rsidDel="000E4F67">
              <w:rPr>
                <w:vertAlign w:val="subscript"/>
              </w:rPr>
              <w:t>4</w:t>
            </w:r>
          </w:p>
        </w:tc>
        <w:tc>
          <w:tcPr>
            <w:tcW w:w="964" w:type="dxa"/>
            <w:shd w:val="clear" w:color="auto" w:fill="FFFFFF"/>
            <w:tcMar>
              <w:top w:w="0" w:type="dxa"/>
              <w:left w:w="85" w:type="dxa"/>
              <w:bottom w:w="0" w:type="dxa"/>
              <w:right w:w="85" w:type="dxa"/>
            </w:tcMar>
          </w:tcPr>
          <w:p w14:paraId="08BDF964" w14:textId="77777777" w:rsidR="00BB3E1E" w:rsidRPr="0010735E" w:rsidRDefault="00BB3E1E" w:rsidP="00B05614">
            <w:pPr>
              <w:pStyle w:val="TableText"/>
              <w:jc w:val="right"/>
            </w:pPr>
            <w:r w:rsidRPr="0010735E">
              <w:t>3,318.2</w:t>
            </w:r>
          </w:p>
        </w:tc>
        <w:tc>
          <w:tcPr>
            <w:tcW w:w="964" w:type="dxa"/>
            <w:shd w:val="clear" w:color="auto" w:fill="FFFFFF"/>
            <w:tcMar>
              <w:top w:w="0" w:type="dxa"/>
              <w:left w:w="85" w:type="dxa"/>
              <w:bottom w:w="0" w:type="dxa"/>
              <w:right w:w="85" w:type="dxa"/>
            </w:tcMar>
          </w:tcPr>
          <w:p w14:paraId="7B152D58" w14:textId="77777777" w:rsidR="00BB3E1E" w:rsidRPr="0010735E" w:rsidRDefault="00BB3E1E" w:rsidP="00B05614">
            <w:pPr>
              <w:pStyle w:val="TableText"/>
              <w:jc w:val="right"/>
            </w:pPr>
            <w:r w:rsidRPr="0010735E">
              <w:t>2,637.7</w:t>
            </w:r>
          </w:p>
        </w:tc>
        <w:tc>
          <w:tcPr>
            <w:tcW w:w="964" w:type="dxa"/>
            <w:shd w:val="clear" w:color="auto" w:fill="FFFFFF"/>
            <w:tcMar>
              <w:top w:w="0" w:type="dxa"/>
              <w:left w:w="85" w:type="dxa"/>
              <w:bottom w:w="0" w:type="dxa"/>
              <w:right w:w="85" w:type="dxa"/>
            </w:tcMar>
          </w:tcPr>
          <w:p w14:paraId="767975C3" w14:textId="77777777" w:rsidR="00BB3E1E" w:rsidRPr="0010735E" w:rsidRDefault="00BB3E1E" w:rsidP="00B05614">
            <w:pPr>
              <w:pStyle w:val="TableText"/>
              <w:jc w:val="right"/>
            </w:pPr>
            <w:r w:rsidRPr="0010735E">
              <w:t>0.021</w:t>
            </w:r>
          </w:p>
        </w:tc>
        <w:tc>
          <w:tcPr>
            <w:tcW w:w="1021" w:type="dxa"/>
            <w:shd w:val="clear" w:color="auto" w:fill="FFFFFF"/>
            <w:tcMar>
              <w:top w:w="0" w:type="dxa"/>
              <w:left w:w="85" w:type="dxa"/>
              <w:bottom w:w="0" w:type="dxa"/>
              <w:right w:w="85" w:type="dxa"/>
            </w:tcMar>
          </w:tcPr>
          <w:p w14:paraId="2CA7B027" w14:textId="77777777" w:rsidR="00BB3E1E" w:rsidRPr="0010735E" w:rsidRDefault="00BB3E1E" w:rsidP="00B05614">
            <w:pPr>
              <w:pStyle w:val="TableText"/>
              <w:jc w:val="right"/>
            </w:pPr>
            <w:r w:rsidRPr="0010735E">
              <w:t>3.3</w:t>
            </w:r>
          </w:p>
        </w:tc>
        <w:tc>
          <w:tcPr>
            <w:tcW w:w="907" w:type="dxa"/>
            <w:shd w:val="clear" w:color="auto" w:fill="FFFFFF"/>
            <w:tcMar>
              <w:top w:w="0" w:type="dxa"/>
              <w:left w:w="85" w:type="dxa"/>
              <w:bottom w:w="0" w:type="dxa"/>
              <w:right w:w="85" w:type="dxa"/>
            </w:tcMar>
          </w:tcPr>
          <w:p w14:paraId="381D9AD1" w14:textId="77777777" w:rsidR="00BB3E1E" w:rsidRPr="0010735E" w:rsidRDefault="00BB3E1E" w:rsidP="00B05614">
            <w:pPr>
              <w:pStyle w:val="TableText"/>
              <w:jc w:val="right"/>
            </w:pPr>
            <w:r w:rsidRPr="0010735E">
              <w:t>58.6</w:t>
            </w:r>
          </w:p>
        </w:tc>
      </w:tr>
      <w:tr w:rsidR="00AD2A3E" w:rsidRPr="0010735E" w14:paraId="35E785FA" w14:textId="77777777" w:rsidTr="00AD2A3E">
        <w:trPr>
          <w:cantSplit/>
          <w:trHeight w:val="283"/>
        </w:trPr>
        <w:tc>
          <w:tcPr>
            <w:tcW w:w="911" w:type="dxa"/>
            <w:shd w:val="clear" w:color="auto" w:fill="FFFFFF"/>
            <w:tcMar>
              <w:top w:w="0" w:type="dxa"/>
              <w:left w:w="85" w:type="dxa"/>
              <w:bottom w:w="0" w:type="dxa"/>
              <w:right w:w="85" w:type="dxa"/>
            </w:tcMar>
          </w:tcPr>
          <w:p w14:paraId="54CA84F1" w14:textId="77777777" w:rsidR="00BB3E1E" w:rsidRPr="0010735E" w:rsidRDefault="00BB3E1E" w:rsidP="00B05614">
            <w:pPr>
              <w:pStyle w:val="TableText"/>
            </w:pPr>
            <w:r w:rsidRPr="0010735E" w:rsidDel="000E4F67">
              <w:t>3.D.1.1</w:t>
            </w:r>
          </w:p>
        </w:tc>
        <w:tc>
          <w:tcPr>
            <w:tcW w:w="2041" w:type="dxa"/>
            <w:shd w:val="clear" w:color="auto" w:fill="FFFFFF"/>
            <w:tcMar>
              <w:top w:w="0" w:type="dxa"/>
              <w:left w:w="85" w:type="dxa"/>
              <w:bottom w:w="0" w:type="dxa"/>
              <w:right w:w="85" w:type="dxa"/>
            </w:tcMar>
          </w:tcPr>
          <w:p w14:paraId="785AE22C" w14:textId="77777777" w:rsidR="00BB3E1E" w:rsidRPr="0010735E" w:rsidRDefault="00BB3E1E" w:rsidP="00B05614">
            <w:pPr>
              <w:pStyle w:val="TableText"/>
            </w:pPr>
            <w:r w:rsidRPr="0010735E">
              <w:t>Direct N</w:t>
            </w:r>
            <w:r w:rsidRPr="0010735E">
              <w:rPr>
                <w:vertAlign w:val="subscript"/>
              </w:rPr>
              <w:t>2</w:t>
            </w:r>
            <w:r w:rsidRPr="0010735E">
              <w:t xml:space="preserve">O Emissions from Managed Soils – Inorganic N </w:t>
            </w:r>
            <w:r w:rsidRPr="0010735E" w:rsidDel="000E4F67">
              <w:t>Fertili</w:t>
            </w:r>
            <w:r w:rsidRPr="0010735E">
              <w:t>s</w:t>
            </w:r>
            <w:r w:rsidRPr="0010735E" w:rsidDel="000E4F67">
              <w:t>ers</w:t>
            </w:r>
          </w:p>
        </w:tc>
        <w:tc>
          <w:tcPr>
            <w:tcW w:w="492" w:type="dxa"/>
            <w:shd w:val="clear" w:color="auto" w:fill="FFFFFF"/>
            <w:tcMar>
              <w:top w:w="0" w:type="dxa"/>
              <w:left w:w="85" w:type="dxa"/>
              <w:bottom w:w="0" w:type="dxa"/>
              <w:right w:w="85" w:type="dxa"/>
            </w:tcMar>
          </w:tcPr>
          <w:p w14:paraId="51A39CE8" w14:textId="77777777" w:rsidR="00BB3E1E" w:rsidRPr="0010735E" w:rsidRDefault="00BB3E1E" w:rsidP="00B05614">
            <w:pPr>
              <w:pStyle w:val="TableText"/>
            </w:pPr>
            <w:r w:rsidRPr="0010735E" w:rsidDel="000E4F67">
              <w:t>N</w:t>
            </w:r>
            <w:r w:rsidRPr="0010735E" w:rsidDel="000E4F67">
              <w:rPr>
                <w:vertAlign w:val="subscript"/>
              </w:rPr>
              <w:t>2</w:t>
            </w:r>
            <w:r w:rsidRPr="0010735E" w:rsidDel="000E4F67">
              <w:t>O</w:t>
            </w:r>
          </w:p>
        </w:tc>
        <w:tc>
          <w:tcPr>
            <w:tcW w:w="964" w:type="dxa"/>
            <w:shd w:val="clear" w:color="auto" w:fill="FFFFFF"/>
            <w:tcMar>
              <w:top w:w="0" w:type="dxa"/>
              <w:left w:w="85" w:type="dxa"/>
              <w:bottom w:w="0" w:type="dxa"/>
              <w:right w:w="85" w:type="dxa"/>
            </w:tcMar>
          </w:tcPr>
          <w:p w14:paraId="0CC751EB" w14:textId="77777777" w:rsidR="00BB3E1E" w:rsidRPr="0010735E" w:rsidRDefault="00BB3E1E" w:rsidP="00B05614">
            <w:pPr>
              <w:pStyle w:val="TableText"/>
              <w:jc w:val="right"/>
            </w:pPr>
            <w:r w:rsidRPr="0010735E">
              <w:t>230.3</w:t>
            </w:r>
          </w:p>
        </w:tc>
        <w:tc>
          <w:tcPr>
            <w:tcW w:w="964" w:type="dxa"/>
            <w:shd w:val="clear" w:color="auto" w:fill="FFFFFF"/>
            <w:tcMar>
              <w:top w:w="0" w:type="dxa"/>
              <w:left w:w="85" w:type="dxa"/>
              <w:bottom w:w="0" w:type="dxa"/>
              <w:right w:w="85" w:type="dxa"/>
            </w:tcMar>
          </w:tcPr>
          <w:p w14:paraId="559E4B7C" w14:textId="77777777" w:rsidR="00BB3E1E" w:rsidRPr="0010735E" w:rsidRDefault="00BB3E1E" w:rsidP="00B05614">
            <w:pPr>
              <w:pStyle w:val="TableText"/>
              <w:jc w:val="right"/>
            </w:pPr>
            <w:r w:rsidRPr="0010735E">
              <w:t>1,548.2</w:t>
            </w:r>
          </w:p>
        </w:tc>
        <w:tc>
          <w:tcPr>
            <w:tcW w:w="964" w:type="dxa"/>
            <w:shd w:val="clear" w:color="auto" w:fill="FFFFFF"/>
            <w:tcMar>
              <w:top w:w="0" w:type="dxa"/>
              <w:left w:w="85" w:type="dxa"/>
              <w:bottom w:w="0" w:type="dxa"/>
              <w:right w:w="85" w:type="dxa"/>
            </w:tcMar>
          </w:tcPr>
          <w:p w14:paraId="34C2A6D8" w14:textId="77777777" w:rsidR="00BB3E1E" w:rsidRPr="0010735E" w:rsidRDefault="00BB3E1E" w:rsidP="00B05614">
            <w:pPr>
              <w:pStyle w:val="TableText"/>
              <w:jc w:val="right"/>
            </w:pPr>
            <w:r w:rsidRPr="0010735E">
              <w:t>0.019</w:t>
            </w:r>
          </w:p>
        </w:tc>
        <w:tc>
          <w:tcPr>
            <w:tcW w:w="1021" w:type="dxa"/>
            <w:shd w:val="clear" w:color="auto" w:fill="FFFFFF"/>
            <w:tcMar>
              <w:top w:w="0" w:type="dxa"/>
              <w:left w:w="85" w:type="dxa"/>
              <w:bottom w:w="0" w:type="dxa"/>
              <w:right w:w="85" w:type="dxa"/>
            </w:tcMar>
          </w:tcPr>
          <w:p w14:paraId="2A877B4C" w14:textId="77777777" w:rsidR="00BB3E1E" w:rsidRPr="0010735E" w:rsidRDefault="00BB3E1E" w:rsidP="00B05614">
            <w:pPr>
              <w:pStyle w:val="TableText"/>
              <w:jc w:val="right"/>
            </w:pPr>
            <w:r w:rsidRPr="0010735E">
              <w:t>3.0</w:t>
            </w:r>
          </w:p>
        </w:tc>
        <w:tc>
          <w:tcPr>
            <w:tcW w:w="907" w:type="dxa"/>
            <w:shd w:val="clear" w:color="auto" w:fill="FFFFFF"/>
            <w:tcMar>
              <w:top w:w="0" w:type="dxa"/>
              <w:left w:w="85" w:type="dxa"/>
              <w:bottom w:w="0" w:type="dxa"/>
              <w:right w:w="85" w:type="dxa"/>
            </w:tcMar>
          </w:tcPr>
          <w:p w14:paraId="2A91C962" w14:textId="77777777" w:rsidR="00BB3E1E" w:rsidRPr="0010735E" w:rsidRDefault="00BB3E1E" w:rsidP="00B05614">
            <w:pPr>
              <w:pStyle w:val="TableText"/>
              <w:jc w:val="right"/>
            </w:pPr>
            <w:r w:rsidRPr="0010735E">
              <w:t>61.6</w:t>
            </w:r>
          </w:p>
        </w:tc>
      </w:tr>
      <w:tr w:rsidR="00AD2A3E" w:rsidRPr="0010735E" w14:paraId="14569B85" w14:textId="77777777" w:rsidTr="00AD2A3E">
        <w:trPr>
          <w:cantSplit/>
          <w:trHeight w:val="283"/>
        </w:trPr>
        <w:tc>
          <w:tcPr>
            <w:tcW w:w="911" w:type="dxa"/>
            <w:shd w:val="clear" w:color="auto" w:fill="FFFFFF"/>
            <w:tcMar>
              <w:top w:w="0" w:type="dxa"/>
              <w:left w:w="85" w:type="dxa"/>
              <w:bottom w:w="0" w:type="dxa"/>
              <w:right w:w="85" w:type="dxa"/>
            </w:tcMar>
          </w:tcPr>
          <w:p w14:paraId="0E0B8557" w14:textId="77777777" w:rsidR="00BB3E1E" w:rsidRPr="0010735E" w:rsidRDefault="00BB3E1E" w:rsidP="00B05614">
            <w:pPr>
              <w:pStyle w:val="TableText"/>
            </w:pPr>
            <w:r w:rsidRPr="0010735E" w:rsidDel="000E4F67">
              <w:t>1.A.1.a</w:t>
            </w:r>
          </w:p>
        </w:tc>
        <w:tc>
          <w:tcPr>
            <w:tcW w:w="2041" w:type="dxa"/>
            <w:shd w:val="clear" w:color="auto" w:fill="FFFFFF"/>
            <w:tcMar>
              <w:top w:w="0" w:type="dxa"/>
              <w:left w:w="85" w:type="dxa"/>
              <w:bottom w:w="0" w:type="dxa"/>
              <w:right w:w="85" w:type="dxa"/>
            </w:tcMar>
          </w:tcPr>
          <w:p w14:paraId="6B0712F3" w14:textId="77777777" w:rsidR="00BB3E1E" w:rsidRPr="0010735E" w:rsidRDefault="00BB3E1E" w:rsidP="00B05614">
            <w:pPr>
              <w:pStyle w:val="TableText"/>
            </w:pPr>
            <w:r w:rsidRPr="0010735E">
              <w:t>Energy Industries – Public Electricity and Heat Production Solid Fuels</w:t>
            </w:r>
          </w:p>
        </w:tc>
        <w:tc>
          <w:tcPr>
            <w:tcW w:w="492" w:type="dxa"/>
            <w:shd w:val="clear" w:color="auto" w:fill="FFFFFF"/>
            <w:tcMar>
              <w:top w:w="0" w:type="dxa"/>
              <w:left w:w="85" w:type="dxa"/>
              <w:bottom w:w="0" w:type="dxa"/>
              <w:right w:w="85" w:type="dxa"/>
            </w:tcMar>
          </w:tcPr>
          <w:p w14:paraId="096EE4E6"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7E4FFF54" w14:textId="77777777" w:rsidR="00BB3E1E" w:rsidRPr="0010735E" w:rsidRDefault="00BB3E1E" w:rsidP="00B05614">
            <w:pPr>
              <w:pStyle w:val="TableText"/>
              <w:jc w:val="right"/>
            </w:pPr>
            <w:r w:rsidRPr="0010735E">
              <w:t>474.8</w:t>
            </w:r>
          </w:p>
        </w:tc>
        <w:tc>
          <w:tcPr>
            <w:tcW w:w="964" w:type="dxa"/>
            <w:shd w:val="clear" w:color="auto" w:fill="FFFFFF"/>
            <w:tcMar>
              <w:top w:w="0" w:type="dxa"/>
              <w:left w:w="85" w:type="dxa"/>
              <w:bottom w:w="0" w:type="dxa"/>
              <w:right w:w="85" w:type="dxa"/>
            </w:tcMar>
          </w:tcPr>
          <w:p w14:paraId="5E03270F" w14:textId="77777777" w:rsidR="00BB3E1E" w:rsidRPr="0010735E" w:rsidRDefault="00BB3E1E" w:rsidP="00B05614">
            <w:pPr>
              <w:pStyle w:val="TableText"/>
              <w:jc w:val="right"/>
            </w:pPr>
            <w:r w:rsidRPr="0010735E">
              <w:t>1,809.3</w:t>
            </w:r>
          </w:p>
        </w:tc>
        <w:tc>
          <w:tcPr>
            <w:tcW w:w="964" w:type="dxa"/>
            <w:shd w:val="clear" w:color="auto" w:fill="FFFFFF"/>
            <w:tcMar>
              <w:top w:w="0" w:type="dxa"/>
              <w:left w:w="85" w:type="dxa"/>
              <w:bottom w:w="0" w:type="dxa"/>
              <w:right w:w="85" w:type="dxa"/>
            </w:tcMar>
          </w:tcPr>
          <w:p w14:paraId="39FE59DE" w14:textId="77777777" w:rsidR="00BB3E1E" w:rsidRPr="0010735E" w:rsidRDefault="00BB3E1E" w:rsidP="00B05614">
            <w:pPr>
              <w:pStyle w:val="TableText"/>
              <w:jc w:val="right"/>
            </w:pPr>
            <w:r w:rsidRPr="0010735E">
              <w:t>0.019</w:t>
            </w:r>
          </w:p>
        </w:tc>
        <w:tc>
          <w:tcPr>
            <w:tcW w:w="1021" w:type="dxa"/>
            <w:shd w:val="clear" w:color="auto" w:fill="FFFFFF"/>
            <w:tcMar>
              <w:top w:w="0" w:type="dxa"/>
              <w:left w:w="85" w:type="dxa"/>
              <w:bottom w:w="0" w:type="dxa"/>
              <w:right w:w="85" w:type="dxa"/>
            </w:tcMar>
          </w:tcPr>
          <w:p w14:paraId="6DCA774E" w14:textId="77777777" w:rsidR="00BB3E1E" w:rsidRPr="0010735E" w:rsidRDefault="00BB3E1E" w:rsidP="00B05614">
            <w:pPr>
              <w:pStyle w:val="TableText"/>
              <w:jc w:val="right"/>
            </w:pPr>
            <w:r w:rsidRPr="0010735E">
              <w:t>2.9</w:t>
            </w:r>
          </w:p>
        </w:tc>
        <w:tc>
          <w:tcPr>
            <w:tcW w:w="907" w:type="dxa"/>
            <w:shd w:val="clear" w:color="auto" w:fill="FFFFFF"/>
            <w:tcMar>
              <w:top w:w="0" w:type="dxa"/>
              <w:left w:w="85" w:type="dxa"/>
              <w:bottom w:w="0" w:type="dxa"/>
              <w:right w:w="85" w:type="dxa"/>
            </w:tcMar>
          </w:tcPr>
          <w:p w14:paraId="0B4FED7D" w14:textId="77777777" w:rsidR="00BB3E1E" w:rsidRPr="0010735E" w:rsidRDefault="00BB3E1E" w:rsidP="00B05614">
            <w:pPr>
              <w:pStyle w:val="TableText"/>
              <w:jc w:val="right"/>
            </w:pPr>
            <w:r w:rsidRPr="0010735E">
              <w:t>64.6</w:t>
            </w:r>
          </w:p>
        </w:tc>
      </w:tr>
      <w:tr w:rsidR="00AD2A3E" w:rsidRPr="0010735E" w14:paraId="7C077AD0" w14:textId="77777777" w:rsidTr="00AD2A3E">
        <w:trPr>
          <w:cantSplit/>
          <w:trHeight w:val="283"/>
        </w:trPr>
        <w:tc>
          <w:tcPr>
            <w:tcW w:w="911" w:type="dxa"/>
            <w:shd w:val="clear" w:color="auto" w:fill="FFFFFF"/>
            <w:tcMar>
              <w:top w:w="0" w:type="dxa"/>
              <w:left w:w="85" w:type="dxa"/>
              <w:bottom w:w="0" w:type="dxa"/>
              <w:right w:w="85" w:type="dxa"/>
            </w:tcMar>
          </w:tcPr>
          <w:p w14:paraId="5998FF41" w14:textId="77777777" w:rsidR="00BB3E1E" w:rsidRPr="0010735E" w:rsidRDefault="00BB3E1E" w:rsidP="00B05614">
            <w:pPr>
              <w:pStyle w:val="TableText"/>
            </w:pPr>
            <w:r w:rsidRPr="0010735E" w:rsidDel="000E4F67">
              <w:t>3.A.1</w:t>
            </w:r>
          </w:p>
        </w:tc>
        <w:tc>
          <w:tcPr>
            <w:tcW w:w="2041" w:type="dxa"/>
            <w:shd w:val="clear" w:color="auto" w:fill="FFFFFF"/>
            <w:tcMar>
              <w:top w:w="0" w:type="dxa"/>
              <w:left w:w="85" w:type="dxa"/>
              <w:bottom w:w="0" w:type="dxa"/>
              <w:right w:w="85" w:type="dxa"/>
            </w:tcMar>
          </w:tcPr>
          <w:p w14:paraId="5D853475" w14:textId="77777777" w:rsidR="00BB3E1E" w:rsidRPr="0010735E" w:rsidRDefault="00BB3E1E" w:rsidP="00B05614">
            <w:pPr>
              <w:pStyle w:val="TableText"/>
            </w:pPr>
            <w:r w:rsidRPr="0010735E">
              <w:t>Option A – Non-Dairy (</w:t>
            </w:r>
            <w:r w:rsidRPr="0010735E">
              <w:rPr>
                <w:i/>
                <w:iCs/>
              </w:rPr>
              <w:t>Beef</w:t>
            </w:r>
            <w:r w:rsidRPr="0010735E">
              <w:t xml:space="preserve">) </w:t>
            </w:r>
            <w:r w:rsidRPr="0010735E" w:rsidDel="000E4F67">
              <w:t>Cattle</w:t>
            </w:r>
          </w:p>
        </w:tc>
        <w:tc>
          <w:tcPr>
            <w:tcW w:w="492" w:type="dxa"/>
            <w:shd w:val="clear" w:color="auto" w:fill="FFFFFF"/>
            <w:tcMar>
              <w:top w:w="0" w:type="dxa"/>
              <w:left w:w="85" w:type="dxa"/>
              <w:bottom w:w="0" w:type="dxa"/>
              <w:right w:w="85" w:type="dxa"/>
            </w:tcMar>
          </w:tcPr>
          <w:p w14:paraId="5A3A5028" w14:textId="77777777" w:rsidR="00BB3E1E" w:rsidRPr="0010735E" w:rsidRDefault="00BB3E1E" w:rsidP="00B05614">
            <w:pPr>
              <w:pStyle w:val="TableText"/>
            </w:pPr>
            <w:r w:rsidRPr="0010735E" w:rsidDel="000E4F67">
              <w:t>CH</w:t>
            </w:r>
            <w:r w:rsidRPr="0010735E" w:rsidDel="000E4F67">
              <w:rPr>
                <w:vertAlign w:val="subscript"/>
              </w:rPr>
              <w:t>4</w:t>
            </w:r>
          </w:p>
        </w:tc>
        <w:tc>
          <w:tcPr>
            <w:tcW w:w="964" w:type="dxa"/>
            <w:shd w:val="clear" w:color="auto" w:fill="FFFFFF"/>
            <w:tcMar>
              <w:top w:w="0" w:type="dxa"/>
              <w:left w:w="85" w:type="dxa"/>
              <w:bottom w:w="0" w:type="dxa"/>
              <w:right w:w="85" w:type="dxa"/>
            </w:tcMar>
          </w:tcPr>
          <w:p w14:paraId="0A21FEB4" w14:textId="77777777" w:rsidR="00BB3E1E" w:rsidRPr="0010735E" w:rsidRDefault="00BB3E1E" w:rsidP="00B05614">
            <w:pPr>
              <w:pStyle w:val="TableText"/>
              <w:jc w:val="right"/>
            </w:pPr>
            <w:r w:rsidRPr="0010735E">
              <w:t>5,950.0</w:t>
            </w:r>
          </w:p>
        </w:tc>
        <w:tc>
          <w:tcPr>
            <w:tcW w:w="964" w:type="dxa"/>
            <w:shd w:val="clear" w:color="auto" w:fill="FFFFFF"/>
            <w:tcMar>
              <w:top w:w="0" w:type="dxa"/>
              <w:left w:w="85" w:type="dxa"/>
              <w:bottom w:w="0" w:type="dxa"/>
              <w:right w:w="85" w:type="dxa"/>
            </w:tcMar>
          </w:tcPr>
          <w:p w14:paraId="5534EFA5" w14:textId="77777777" w:rsidR="00BB3E1E" w:rsidRPr="0010735E" w:rsidRDefault="00BB3E1E" w:rsidP="00B05614">
            <w:pPr>
              <w:pStyle w:val="TableText"/>
              <w:jc w:val="right"/>
            </w:pPr>
            <w:r w:rsidRPr="0010735E">
              <w:t>5,980.9</w:t>
            </w:r>
          </w:p>
        </w:tc>
        <w:tc>
          <w:tcPr>
            <w:tcW w:w="964" w:type="dxa"/>
            <w:shd w:val="clear" w:color="auto" w:fill="FFFFFF"/>
            <w:tcMar>
              <w:top w:w="0" w:type="dxa"/>
              <w:left w:w="85" w:type="dxa"/>
              <w:bottom w:w="0" w:type="dxa"/>
              <w:right w:w="85" w:type="dxa"/>
            </w:tcMar>
          </w:tcPr>
          <w:p w14:paraId="6ADA65E1" w14:textId="77777777" w:rsidR="00BB3E1E" w:rsidRPr="0010735E" w:rsidRDefault="00BB3E1E" w:rsidP="00B05614">
            <w:pPr>
              <w:pStyle w:val="TableText"/>
              <w:jc w:val="right"/>
            </w:pPr>
            <w:r w:rsidRPr="0010735E">
              <w:t>0.019</w:t>
            </w:r>
          </w:p>
        </w:tc>
        <w:tc>
          <w:tcPr>
            <w:tcW w:w="1021" w:type="dxa"/>
            <w:shd w:val="clear" w:color="auto" w:fill="FFFFFF"/>
            <w:tcMar>
              <w:top w:w="0" w:type="dxa"/>
              <w:left w:w="85" w:type="dxa"/>
              <w:bottom w:w="0" w:type="dxa"/>
              <w:right w:w="85" w:type="dxa"/>
            </w:tcMar>
          </w:tcPr>
          <w:p w14:paraId="578359E1" w14:textId="77777777" w:rsidR="00BB3E1E" w:rsidRPr="0010735E" w:rsidRDefault="00BB3E1E" w:rsidP="00B05614">
            <w:pPr>
              <w:pStyle w:val="TableText"/>
              <w:jc w:val="right"/>
            </w:pPr>
            <w:r w:rsidRPr="0010735E">
              <w:t>2.9</w:t>
            </w:r>
          </w:p>
        </w:tc>
        <w:tc>
          <w:tcPr>
            <w:tcW w:w="907" w:type="dxa"/>
            <w:shd w:val="clear" w:color="auto" w:fill="FFFFFF"/>
            <w:tcMar>
              <w:top w:w="0" w:type="dxa"/>
              <w:left w:w="85" w:type="dxa"/>
              <w:bottom w:w="0" w:type="dxa"/>
              <w:right w:w="85" w:type="dxa"/>
            </w:tcMar>
          </w:tcPr>
          <w:p w14:paraId="651BF15D" w14:textId="77777777" w:rsidR="00BB3E1E" w:rsidRPr="0010735E" w:rsidRDefault="00BB3E1E" w:rsidP="00B05614">
            <w:pPr>
              <w:pStyle w:val="TableText"/>
              <w:jc w:val="right"/>
            </w:pPr>
            <w:r w:rsidRPr="0010735E">
              <w:t>67.5</w:t>
            </w:r>
          </w:p>
        </w:tc>
      </w:tr>
      <w:tr w:rsidR="00AD2A3E" w:rsidRPr="0010735E" w14:paraId="5CC51759" w14:textId="77777777" w:rsidTr="00AD2A3E">
        <w:trPr>
          <w:cantSplit/>
          <w:trHeight w:val="283"/>
        </w:trPr>
        <w:tc>
          <w:tcPr>
            <w:tcW w:w="911" w:type="dxa"/>
            <w:shd w:val="clear" w:color="auto" w:fill="FFFFFF"/>
            <w:tcMar>
              <w:top w:w="0" w:type="dxa"/>
              <w:left w:w="85" w:type="dxa"/>
              <w:bottom w:w="0" w:type="dxa"/>
              <w:right w:w="85" w:type="dxa"/>
            </w:tcMar>
          </w:tcPr>
          <w:p w14:paraId="45FF6B55" w14:textId="77777777" w:rsidR="00BB3E1E" w:rsidRPr="0010735E" w:rsidRDefault="00BB3E1E" w:rsidP="00B05614">
            <w:pPr>
              <w:pStyle w:val="TableText"/>
            </w:pPr>
            <w:r w:rsidRPr="0010735E" w:rsidDel="000E4F67">
              <w:t>2.C.3</w:t>
            </w:r>
          </w:p>
        </w:tc>
        <w:tc>
          <w:tcPr>
            <w:tcW w:w="2041" w:type="dxa"/>
            <w:shd w:val="clear" w:color="auto" w:fill="FFFFFF"/>
            <w:tcMar>
              <w:top w:w="0" w:type="dxa"/>
              <w:left w:w="85" w:type="dxa"/>
              <w:bottom w:w="0" w:type="dxa"/>
              <w:right w:w="85" w:type="dxa"/>
            </w:tcMar>
          </w:tcPr>
          <w:p w14:paraId="72C579C3" w14:textId="77777777" w:rsidR="00BB3E1E" w:rsidRPr="0010735E" w:rsidRDefault="00BB3E1E" w:rsidP="00B05614">
            <w:pPr>
              <w:pStyle w:val="TableText"/>
            </w:pPr>
            <w:r w:rsidRPr="0010735E">
              <w:t xml:space="preserve">Metal Industry – Aluminium </w:t>
            </w:r>
            <w:r w:rsidRPr="0010735E" w:rsidDel="000E4F67">
              <w:t>Production</w:t>
            </w:r>
          </w:p>
        </w:tc>
        <w:tc>
          <w:tcPr>
            <w:tcW w:w="492" w:type="dxa"/>
            <w:shd w:val="clear" w:color="auto" w:fill="FFFFFF"/>
            <w:tcMar>
              <w:top w:w="0" w:type="dxa"/>
              <w:left w:w="85" w:type="dxa"/>
              <w:bottom w:w="0" w:type="dxa"/>
              <w:right w:w="85" w:type="dxa"/>
            </w:tcMar>
          </w:tcPr>
          <w:p w14:paraId="1CDD1E89" w14:textId="77777777" w:rsidR="00BB3E1E" w:rsidRPr="0010735E" w:rsidRDefault="00BB3E1E" w:rsidP="00B05614">
            <w:pPr>
              <w:pStyle w:val="TableText"/>
            </w:pPr>
            <w:r w:rsidRPr="0010735E" w:rsidDel="000E4F67">
              <w:t>PFCs</w:t>
            </w:r>
          </w:p>
        </w:tc>
        <w:tc>
          <w:tcPr>
            <w:tcW w:w="964" w:type="dxa"/>
            <w:shd w:val="clear" w:color="auto" w:fill="FFFFFF"/>
            <w:tcMar>
              <w:top w:w="0" w:type="dxa"/>
              <w:left w:w="85" w:type="dxa"/>
              <w:bottom w:w="0" w:type="dxa"/>
              <w:right w:w="85" w:type="dxa"/>
            </w:tcMar>
          </w:tcPr>
          <w:p w14:paraId="69E92870" w14:textId="77777777" w:rsidR="00BB3E1E" w:rsidRPr="0010735E" w:rsidRDefault="00BB3E1E" w:rsidP="00B05614">
            <w:pPr>
              <w:pStyle w:val="TableText"/>
              <w:jc w:val="right"/>
            </w:pPr>
            <w:r w:rsidRPr="0010735E">
              <w:t>909.9</w:t>
            </w:r>
          </w:p>
        </w:tc>
        <w:tc>
          <w:tcPr>
            <w:tcW w:w="964" w:type="dxa"/>
            <w:shd w:val="clear" w:color="auto" w:fill="FFFFFF"/>
            <w:tcMar>
              <w:top w:w="0" w:type="dxa"/>
              <w:left w:w="85" w:type="dxa"/>
              <w:bottom w:w="0" w:type="dxa"/>
              <w:right w:w="85" w:type="dxa"/>
            </w:tcMar>
          </w:tcPr>
          <w:p w14:paraId="30C13325" w14:textId="77777777" w:rsidR="00BB3E1E" w:rsidRPr="0010735E" w:rsidRDefault="00BB3E1E" w:rsidP="00B05614">
            <w:pPr>
              <w:pStyle w:val="TableText"/>
              <w:jc w:val="right"/>
            </w:pPr>
            <w:r w:rsidRPr="0010735E">
              <w:t>87.9</w:t>
            </w:r>
          </w:p>
        </w:tc>
        <w:tc>
          <w:tcPr>
            <w:tcW w:w="964" w:type="dxa"/>
            <w:shd w:val="clear" w:color="auto" w:fill="FFFFFF"/>
            <w:tcMar>
              <w:top w:w="0" w:type="dxa"/>
              <w:left w:w="85" w:type="dxa"/>
              <w:bottom w:w="0" w:type="dxa"/>
              <w:right w:w="85" w:type="dxa"/>
            </w:tcMar>
          </w:tcPr>
          <w:p w14:paraId="7ED3DFD7" w14:textId="77777777" w:rsidR="00BB3E1E" w:rsidRPr="0010735E" w:rsidRDefault="00BB3E1E" w:rsidP="00B05614">
            <w:pPr>
              <w:pStyle w:val="TableText"/>
              <w:jc w:val="right"/>
            </w:pPr>
            <w:r w:rsidRPr="0010735E">
              <w:t>0.016</w:t>
            </w:r>
          </w:p>
        </w:tc>
        <w:tc>
          <w:tcPr>
            <w:tcW w:w="1021" w:type="dxa"/>
            <w:shd w:val="clear" w:color="auto" w:fill="FFFFFF"/>
            <w:tcMar>
              <w:top w:w="0" w:type="dxa"/>
              <w:left w:w="85" w:type="dxa"/>
              <w:bottom w:w="0" w:type="dxa"/>
              <w:right w:w="85" w:type="dxa"/>
            </w:tcMar>
          </w:tcPr>
          <w:p w14:paraId="213F2D4C" w14:textId="77777777" w:rsidR="00BB3E1E" w:rsidRPr="0010735E" w:rsidRDefault="00BB3E1E" w:rsidP="00B05614">
            <w:pPr>
              <w:pStyle w:val="TableText"/>
              <w:jc w:val="right"/>
            </w:pPr>
            <w:r w:rsidRPr="0010735E">
              <w:t>2.4</w:t>
            </w:r>
          </w:p>
        </w:tc>
        <w:tc>
          <w:tcPr>
            <w:tcW w:w="907" w:type="dxa"/>
            <w:shd w:val="clear" w:color="auto" w:fill="FFFFFF"/>
            <w:tcMar>
              <w:top w:w="0" w:type="dxa"/>
              <w:left w:w="85" w:type="dxa"/>
              <w:bottom w:w="0" w:type="dxa"/>
              <w:right w:w="85" w:type="dxa"/>
            </w:tcMar>
          </w:tcPr>
          <w:p w14:paraId="0FB98F8F" w14:textId="77777777" w:rsidR="00BB3E1E" w:rsidRPr="0010735E" w:rsidRDefault="00BB3E1E" w:rsidP="00B05614">
            <w:pPr>
              <w:pStyle w:val="TableText"/>
              <w:jc w:val="right"/>
            </w:pPr>
            <w:r w:rsidRPr="0010735E">
              <w:t>69.9</w:t>
            </w:r>
          </w:p>
        </w:tc>
      </w:tr>
      <w:tr w:rsidR="00AD2A3E" w:rsidRPr="0010735E" w14:paraId="6C652C70" w14:textId="77777777" w:rsidTr="00AD2A3E">
        <w:trPr>
          <w:cantSplit/>
          <w:trHeight w:val="283"/>
        </w:trPr>
        <w:tc>
          <w:tcPr>
            <w:tcW w:w="911" w:type="dxa"/>
            <w:shd w:val="clear" w:color="auto" w:fill="FFFFFF"/>
            <w:tcMar>
              <w:top w:w="0" w:type="dxa"/>
              <w:left w:w="85" w:type="dxa"/>
              <w:bottom w:w="0" w:type="dxa"/>
              <w:right w:w="85" w:type="dxa"/>
            </w:tcMar>
          </w:tcPr>
          <w:p w14:paraId="101D863B" w14:textId="77777777" w:rsidR="00BB3E1E" w:rsidRPr="0010735E" w:rsidRDefault="00BB3E1E" w:rsidP="00B05614">
            <w:pPr>
              <w:pStyle w:val="TableText"/>
            </w:pPr>
            <w:r w:rsidRPr="0010735E" w:rsidDel="000E4F67">
              <w:lastRenderedPageBreak/>
              <w:t>1.A.1.a</w:t>
            </w:r>
          </w:p>
        </w:tc>
        <w:tc>
          <w:tcPr>
            <w:tcW w:w="2041" w:type="dxa"/>
            <w:shd w:val="clear" w:color="auto" w:fill="FFFFFF"/>
            <w:tcMar>
              <w:top w:w="0" w:type="dxa"/>
              <w:left w:w="85" w:type="dxa"/>
              <w:bottom w:w="0" w:type="dxa"/>
              <w:right w:w="85" w:type="dxa"/>
            </w:tcMar>
          </w:tcPr>
          <w:p w14:paraId="57B33131" w14:textId="77777777" w:rsidR="00BB3E1E" w:rsidRPr="0010735E" w:rsidRDefault="00BB3E1E" w:rsidP="00B05614">
            <w:pPr>
              <w:pStyle w:val="TableText"/>
            </w:pPr>
            <w:r w:rsidRPr="0010735E">
              <w:t>Energy Industries – Public Electricity and Heat Production Gaseous Fuels</w:t>
            </w:r>
          </w:p>
        </w:tc>
        <w:tc>
          <w:tcPr>
            <w:tcW w:w="492" w:type="dxa"/>
            <w:shd w:val="clear" w:color="auto" w:fill="FFFFFF"/>
            <w:tcMar>
              <w:top w:w="0" w:type="dxa"/>
              <w:left w:w="85" w:type="dxa"/>
              <w:bottom w:w="0" w:type="dxa"/>
              <w:right w:w="85" w:type="dxa"/>
            </w:tcMar>
          </w:tcPr>
          <w:p w14:paraId="107301A4"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2712A614" w14:textId="77777777" w:rsidR="00BB3E1E" w:rsidRPr="0010735E" w:rsidRDefault="00BB3E1E" w:rsidP="00B05614">
            <w:pPr>
              <w:pStyle w:val="TableText"/>
              <w:jc w:val="right"/>
            </w:pPr>
            <w:r w:rsidRPr="0010735E">
              <w:t>2,999.6</w:t>
            </w:r>
          </w:p>
        </w:tc>
        <w:tc>
          <w:tcPr>
            <w:tcW w:w="964" w:type="dxa"/>
            <w:shd w:val="clear" w:color="auto" w:fill="FFFFFF"/>
            <w:tcMar>
              <w:top w:w="0" w:type="dxa"/>
              <w:left w:w="85" w:type="dxa"/>
              <w:bottom w:w="0" w:type="dxa"/>
              <w:right w:w="85" w:type="dxa"/>
            </w:tcMar>
          </w:tcPr>
          <w:p w14:paraId="117A1B45" w14:textId="77777777" w:rsidR="00BB3E1E" w:rsidRPr="0010735E" w:rsidRDefault="00BB3E1E" w:rsidP="00B05614">
            <w:pPr>
              <w:pStyle w:val="TableText"/>
              <w:jc w:val="right"/>
            </w:pPr>
            <w:r w:rsidRPr="0010735E">
              <w:t>2,697.3</w:t>
            </w:r>
          </w:p>
        </w:tc>
        <w:tc>
          <w:tcPr>
            <w:tcW w:w="964" w:type="dxa"/>
            <w:shd w:val="clear" w:color="auto" w:fill="FFFFFF"/>
            <w:tcMar>
              <w:top w:w="0" w:type="dxa"/>
              <w:left w:w="85" w:type="dxa"/>
              <w:bottom w:w="0" w:type="dxa"/>
              <w:right w:w="85" w:type="dxa"/>
            </w:tcMar>
          </w:tcPr>
          <w:p w14:paraId="1474DCEB" w14:textId="77777777" w:rsidR="00BB3E1E" w:rsidRPr="0010735E" w:rsidRDefault="00BB3E1E" w:rsidP="00B05614">
            <w:pPr>
              <w:pStyle w:val="TableText"/>
              <w:jc w:val="right"/>
            </w:pPr>
            <w:r w:rsidRPr="0010735E">
              <w:t>0.014</w:t>
            </w:r>
          </w:p>
        </w:tc>
        <w:tc>
          <w:tcPr>
            <w:tcW w:w="1021" w:type="dxa"/>
            <w:shd w:val="clear" w:color="auto" w:fill="FFFFFF"/>
            <w:tcMar>
              <w:top w:w="0" w:type="dxa"/>
              <w:left w:w="85" w:type="dxa"/>
              <w:bottom w:w="0" w:type="dxa"/>
              <w:right w:w="85" w:type="dxa"/>
            </w:tcMar>
          </w:tcPr>
          <w:p w14:paraId="624BD559" w14:textId="77777777" w:rsidR="00BB3E1E" w:rsidRPr="0010735E" w:rsidRDefault="00BB3E1E" w:rsidP="00B05614">
            <w:pPr>
              <w:pStyle w:val="TableText"/>
              <w:jc w:val="right"/>
            </w:pPr>
            <w:r w:rsidRPr="0010735E">
              <w:t>2.2</w:t>
            </w:r>
          </w:p>
        </w:tc>
        <w:tc>
          <w:tcPr>
            <w:tcW w:w="907" w:type="dxa"/>
            <w:shd w:val="clear" w:color="auto" w:fill="FFFFFF"/>
            <w:tcMar>
              <w:top w:w="0" w:type="dxa"/>
              <w:left w:w="85" w:type="dxa"/>
              <w:bottom w:w="0" w:type="dxa"/>
              <w:right w:w="85" w:type="dxa"/>
            </w:tcMar>
          </w:tcPr>
          <w:p w14:paraId="12449718" w14:textId="77777777" w:rsidR="00BB3E1E" w:rsidRPr="0010735E" w:rsidRDefault="00BB3E1E" w:rsidP="00B05614">
            <w:pPr>
              <w:pStyle w:val="TableText"/>
              <w:jc w:val="right"/>
            </w:pPr>
            <w:r w:rsidRPr="0010735E">
              <w:t>72.1</w:t>
            </w:r>
          </w:p>
        </w:tc>
      </w:tr>
      <w:tr w:rsidR="00AD2A3E" w:rsidRPr="0010735E" w14:paraId="7C3A5668" w14:textId="77777777" w:rsidTr="00AD2A3E">
        <w:trPr>
          <w:cantSplit/>
          <w:trHeight w:val="283"/>
        </w:trPr>
        <w:tc>
          <w:tcPr>
            <w:tcW w:w="911" w:type="dxa"/>
            <w:shd w:val="clear" w:color="auto" w:fill="FFFFFF"/>
            <w:tcMar>
              <w:top w:w="0" w:type="dxa"/>
              <w:left w:w="85" w:type="dxa"/>
              <w:bottom w:w="0" w:type="dxa"/>
              <w:right w:w="85" w:type="dxa"/>
            </w:tcMar>
          </w:tcPr>
          <w:p w14:paraId="0066B1CA" w14:textId="77777777" w:rsidR="00BB3E1E" w:rsidRPr="0010735E" w:rsidRDefault="00BB3E1E" w:rsidP="00B05614">
            <w:pPr>
              <w:pStyle w:val="TableText"/>
            </w:pPr>
            <w:r w:rsidRPr="0010735E" w:rsidDel="000E4F67">
              <w:t>1.A.2.c</w:t>
            </w:r>
          </w:p>
        </w:tc>
        <w:tc>
          <w:tcPr>
            <w:tcW w:w="2041" w:type="dxa"/>
            <w:shd w:val="clear" w:color="auto" w:fill="FFFFFF"/>
            <w:tcMar>
              <w:top w:w="0" w:type="dxa"/>
              <w:left w:w="85" w:type="dxa"/>
              <w:bottom w:w="0" w:type="dxa"/>
              <w:right w:w="85" w:type="dxa"/>
            </w:tcMar>
          </w:tcPr>
          <w:p w14:paraId="7EBF3179" w14:textId="77777777" w:rsidR="00BB3E1E" w:rsidRPr="0010735E" w:rsidRDefault="00BB3E1E" w:rsidP="00B05614">
            <w:pPr>
              <w:pStyle w:val="TableText"/>
            </w:pPr>
            <w:r w:rsidRPr="0010735E">
              <w:t xml:space="preserve">Manufacturing Industries and Construction – Chemicals Gaseous </w:t>
            </w:r>
            <w:r w:rsidRPr="0010735E" w:rsidDel="000E4F67">
              <w:t>Fuels</w:t>
            </w:r>
          </w:p>
        </w:tc>
        <w:tc>
          <w:tcPr>
            <w:tcW w:w="492" w:type="dxa"/>
            <w:shd w:val="clear" w:color="auto" w:fill="FFFFFF"/>
            <w:tcMar>
              <w:top w:w="0" w:type="dxa"/>
              <w:left w:w="85" w:type="dxa"/>
              <w:bottom w:w="0" w:type="dxa"/>
              <w:right w:w="85" w:type="dxa"/>
            </w:tcMar>
          </w:tcPr>
          <w:p w14:paraId="07D9FDC7"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50E95EBC" w14:textId="77777777" w:rsidR="00BB3E1E" w:rsidRPr="0010735E" w:rsidRDefault="00BB3E1E" w:rsidP="00B05614">
            <w:pPr>
              <w:pStyle w:val="TableText"/>
              <w:jc w:val="right"/>
            </w:pPr>
            <w:r w:rsidRPr="0010735E">
              <w:t>524.8</w:t>
            </w:r>
          </w:p>
        </w:tc>
        <w:tc>
          <w:tcPr>
            <w:tcW w:w="964" w:type="dxa"/>
            <w:shd w:val="clear" w:color="auto" w:fill="FFFFFF"/>
            <w:tcMar>
              <w:top w:w="0" w:type="dxa"/>
              <w:left w:w="85" w:type="dxa"/>
              <w:bottom w:w="0" w:type="dxa"/>
              <w:right w:w="85" w:type="dxa"/>
            </w:tcMar>
          </w:tcPr>
          <w:p w14:paraId="23E428EB" w14:textId="77777777" w:rsidR="00BB3E1E" w:rsidRPr="0010735E" w:rsidRDefault="00BB3E1E" w:rsidP="00B05614">
            <w:pPr>
              <w:pStyle w:val="TableText"/>
              <w:jc w:val="right"/>
            </w:pPr>
            <w:r w:rsidRPr="0010735E">
              <w:t>1,540.1</w:t>
            </w:r>
          </w:p>
        </w:tc>
        <w:tc>
          <w:tcPr>
            <w:tcW w:w="964" w:type="dxa"/>
            <w:shd w:val="clear" w:color="auto" w:fill="FFFFFF"/>
            <w:tcMar>
              <w:top w:w="0" w:type="dxa"/>
              <w:left w:w="85" w:type="dxa"/>
              <w:bottom w:w="0" w:type="dxa"/>
              <w:right w:w="85" w:type="dxa"/>
            </w:tcMar>
          </w:tcPr>
          <w:p w14:paraId="030271F4" w14:textId="77777777" w:rsidR="00BB3E1E" w:rsidRPr="0010735E" w:rsidRDefault="00BB3E1E" w:rsidP="00B05614">
            <w:pPr>
              <w:pStyle w:val="TableText"/>
              <w:jc w:val="right"/>
            </w:pPr>
            <w:r w:rsidRPr="0010735E">
              <w:t>0.014</w:t>
            </w:r>
          </w:p>
        </w:tc>
        <w:tc>
          <w:tcPr>
            <w:tcW w:w="1021" w:type="dxa"/>
            <w:shd w:val="clear" w:color="auto" w:fill="FFFFFF"/>
            <w:tcMar>
              <w:top w:w="0" w:type="dxa"/>
              <w:left w:w="85" w:type="dxa"/>
              <w:bottom w:w="0" w:type="dxa"/>
              <w:right w:w="85" w:type="dxa"/>
            </w:tcMar>
          </w:tcPr>
          <w:p w14:paraId="0FDA420F" w14:textId="77777777" w:rsidR="00BB3E1E" w:rsidRPr="0010735E" w:rsidRDefault="00BB3E1E" w:rsidP="00B05614">
            <w:pPr>
              <w:pStyle w:val="TableText"/>
              <w:jc w:val="right"/>
            </w:pPr>
            <w:r w:rsidRPr="0010735E">
              <w:t>2.2</w:t>
            </w:r>
          </w:p>
        </w:tc>
        <w:tc>
          <w:tcPr>
            <w:tcW w:w="907" w:type="dxa"/>
            <w:shd w:val="clear" w:color="auto" w:fill="FFFFFF"/>
            <w:tcMar>
              <w:top w:w="0" w:type="dxa"/>
              <w:left w:w="85" w:type="dxa"/>
              <w:bottom w:w="0" w:type="dxa"/>
              <w:right w:w="85" w:type="dxa"/>
            </w:tcMar>
          </w:tcPr>
          <w:p w14:paraId="4324F791" w14:textId="77777777" w:rsidR="00BB3E1E" w:rsidRPr="0010735E" w:rsidRDefault="00BB3E1E" w:rsidP="00B05614">
            <w:pPr>
              <w:pStyle w:val="TableText"/>
              <w:jc w:val="right"/>
            </w:pPr>
            <w:r w:rsidRPr="0010735E">
              <w:t>74.3</w:t>
            </w:r>
          </w:p>
        </w:tc>
      </w:tr>
      <w:tr w:rsidR="00AD2A3E" w:rsidRPr="0010735E" w14:paraId="7162E386" w14:textId="77777777" w:rsidTr="00AD2A3E">
        <w:trPr>
          <w:cantSplit/>
          <w:trHeight w:val="283"/>
        </w:trPr>
        <w:tc>
          <w:tcPr>
            <w:tcW w:w="911" w:type="dxa"/>
            <w:shd w:val="clear" w:color="auto" w:fill="FFFFFF"/>
            <w:tcMar>
              <w:top w:w="0" w:type="dxa"/>
              <w:left w:w="85" w:type="dxa"/>
              <w:bottom w:w="0" w:type="dxa"/>
              <w:right w:w="85" w:type="dxa"/>
            </w:tcMar>
          </w:tcPr>
          <w:p w14:paraId="6511C0BA" w14:textId="77777777" w:rsidR="00BB3E1E" w:rsidRPr="0010735E" w:rsidRDefault="00BB3E1E" w:rsidP="00B05614">
            <w:pPr>
              <w:pStyle w:val="TableText"/>
            </w:pPr>
            <w:r w:rsidRPr="0010735E" w:rsidDel="000E4F67">
              <w:t>3.B.1.1</w:t>
            </w:r>
          </w:p>
        </w:tc>
        <w:tc>
          <w:tcPr>
            <w:tcW w:w="2041" w:type="dxa"/>
            <w:shd w:val="clear" w:color="auto" w:fill="FFFFFF"/>
            <w:tcMar>
              <w:top w:w="0" w:type="dxa"/>
              <w:left w:w="85" w:type="dxa"/>
              <w:bottom w:w="0" w:type="dxa"/>
              <w:right w:w="85" w:type="dxa"/>
            </w:tcMar>
          </w:tcPr>
          <w:p w14:paraId="751B7D9A" w14:textId="77777777" w:rsidR="00BB3E1E" w:rsidRPr="0010735E" w:rsidRDefault="00BB3E1E" w:rsidP="00B05614">
            <w:pPr>
              <w:pStyle w:val="TableText"/>
            </w:pPr>
            <w:r w:rsidRPr="0010735E">
              <w:t>Option A – Dairy Cattle</w:t>
            </w:r>
          </w:p>
        </w:tc>
        <w:tc>
          <w:tcPr>
            <w:tcW w:w="492" w:type="dxa"/>
            <w:shd w:val="clear" w:color="auto" w:fill="FFFFFF"/>
            <w:tcMar>
              <w:top w:w="0" w:type="dxa"/>
              <w:left w:w="85" w:type="dxa"/>
              <w:bottom w:w="0" w:type="dxa"/>
              <w:right w:w="85" w:type="dxa"/>
            </w:tcMar>
          </w:tcPr>
          <w:p w14:paraId="3AAE7B93" w14:textId="77777777" w:rsidR="00BB3E1E" w:rsidRPr="0010735E" w:rsidRDefault="00BB3E1E" w:rsidP="00B05614">
            <w:pPr>
              <w:pStyle w:val="TableText"/>
            </w:pPr>
            <w:r w:rsidRPr="0010735E" w:rsidDel="000E4F67">
              <w:t>CH</w:t>
            </w:r>
            <w:r w:rsidRPr="0010735E" w:rsidDel="000E4F67">
              <w:rPr>
                <w:vertAlign w:val="subscript"/>
              </w:rPr>
              <w:t>4</w:t>
            </w:r>
          </w:p>
        </w:tc>
        <w:tc>
          <w:tcPr>
            <w:tcW w:w="964" w:type="dxa"/>
            <w:shd w:val="clear" w:color="auto" w:fill="FFFFFF"/>
            <w:tcMar>
              <w:top w:w="0" w:type="dxa"/>
              <w:left w:w="85" w:type="dxa"/>
              <w:bottom w:w="0" w:type="dxa"/>
              <w:right w:w="85" w:type="dxa"/>
            </w:tcMar>
          </w:tcPr>
          <w:p w14:paraId="52C78F57" w14:textId="77777777" w:rsidR="00BB3E1E" w:rsidRPr="0010735E" w:rsidRDefault="00BB3E1E" w:rsidP="00B05614">
            <w:pPr>
              <w:pStyle w:val="TableText"/>
              <w:jc w:val="right"/>
            </w:pPr>
            <w:r w:rsidRPr="0010735E">
              <w:t>416.6</w:t>
            </w:r>
          </w:p>
        </w:tc>
        <w:tc>
          <w:tcPr>
            <w:tcW w:w="964" w:type="dxa"/>
            <w:shd w:val="clear" w:color="auto" w:fill="FFFFFF"/>
            <w:tcMar>
              <w:top w:w="0" w:type="dxa"/>
              <w:left w:w="85" w:type="dxa"/>
              <w:bottom w:w="0" w:type="dxa"/>
              <w:right w:w="85" w:type="dxa"/>
            </w:tcMar>
          </w:tcPr>
          <w:p w14:paraId="4CD2EDBF" w14:textId="77777777" w:rsidR="00BB3E1E" w:rsidRPr="0010735E" w:rsidRDefault="00BB3E1E" w:rsidP="00B05614">
            <w:pPr>
              <w:pStyle w:val="TableText"/>
              <w:jc w:val="right"/>
            </w:pPr>
            <w:r w:rsidRPr="0010735E">
              <w:t>1,387.1</w:t>
            </w:r>
          </w:p>
        </w:tc>
        <w:tc>
          <w:tcPr>
            <w:tcW w:w="964" w:type="dxa"/>
            <w:shd w:val="clear" w:color="auto" w:fill="FFFFFF"/>
            <w:tcMar>
              <w:top w:w="0" w:type="dxa"/>
              <w:left w:w="85" w:type="dxa"/>
              <w:bottom w:w="0" w:type="dxa"/>
              <w:right w:w="85" w:type="dxa"/>
            </w:tcMar>
          </w:tcPr>
          <w:p w14:paraId="52F79CDD" w14:textId="77777777" w:rsidR="00BB3E1E" w:rsidRPr="0010735E" w:rsidRDefault="00BB3E1E" w:rsidP="00B05614">
            <w:pPr>
              <w:pStyle w:val="TableText"/>
              <w:jc w:val="right"/>
            </w:pPr>
            <w:r w:rsidRPr="0010735E">
              <w:t>0.014</w:t>
            </w:r>
          </w:p>
        </w:tc>
        <w:tc>
          <w:tcPr>
            <w:tcW w:w="1021" w:type="dxa"/>
            <w:shd w:val="clear" w:color="auto" w:fill="FFFFFF"/>
            <w:tcMar>
              <w:top w:w="0" w:type="dxa"/>
              <w:left w:w="85" w:type="dxa"/>
              <w:bottom w:w="0" w:type="dxa"/>
              <w:right w:w="85" w:type="dxa"/>
            </w:tcMar>
          </w:tcPr>
          <w:p w14:paraId="0049BA62" w14:textId="77777777" w:rsidR="00BB3E1E" w:rsidRPr="0010735E" w:rsidRDefault="00BB3E1E" w:rsidP="00B05614">
            <w:pPr>
              <w:pStyle w:val="TableText"/>
              <w:jc w:val="right"/>
            </w:pPr>
            <w:r w:rsidRPr="0010735E">
              <w:t>2.1</w:t>
            </w:r>
          </w:p>
        </w:tc>
        <w:tc>
          <w:tcPr>
            <w:tcW w:w="907" w:type="dxa"/>
            <w:shd w:val="clear" w:color="auto" w:fill="FFFFFF"/>
            <w:tcMar>
              <w:top w:w="0" w:type="dxa"/>
              <w:left w:w="85" w:type="dxa"/>
              <w:bottom w:w="0" w:type="dxa"/>
              <w:right w:w="85" w:type="dxa"/>
            </w:tcMar>
          </w:tcPr>
          <w:p w14:paraId="277FEAE4" w14:textId="77777777" w:rsidR="00BB3E1E" w:rsidRPr="0010735E" w:rsidRDefault="00BB3E1E" w:rsidP="00B05614">
            <w:pPr>
              <w:pStyle w:val="TableText"/>
              <w:jc w:val="right"/>
            </w:pPr>
            <w:r w:rsidRPr="0010735E">
              <w:t>76.4</w:t>
            </w:r>
          </w:p>
        </w:tc>
      </w:tr>
      <w:tr w:rsidR="00AD2A3E" w:rsidRPr="0010735E" w14:paraId="117699AC" w14:textId="77777777" w:rsidTr="00AD2A3E">
        <w:trPr>
          <w:cantSplit/>
          <w:trHeight w:val="283"/>
        </w:trPr>
        <w:tc>
          <w:tcPr>
            <w:tcW w:w="911" w:type="dxa"/>
            <w:shd w:val="clear" w:color="auto" w:fill="FFFFFF"/>
            <w:tcMar>
              <w:top w:w="0" w:type="dxa"/>
              <w:left w:w="85" w:type="dxa"/>
              <w:bottom w:w="0" w:type="dxa"/>
              <w:right w:w="85" w:type="dxa"/>
            </w:tcMar>
          </w:tcPr>
          <w:p w14:paraId="79BF8AD4" w14:textId="77777777" w:rsidR="00BB3E1E" w:rsidRPr="0010735E" w:rsidRDefault="00BB3E1E" w:rsidP="00B05614">
            <w:pPr>
              <w:pStyle w:val="TableText"/>
            </w:pPr>
            <w:r w:rsidRPr="0010735E" w:rsidDel="000E4F67">
              <w:t>1.A.2.g.viii</w:t>
            </w:r>
          </w:p>
        </w:tc>
        <w:tc>
          <w:tcPr>
            <w:tcW w:w="2041" w:type="dxa"/>
            <w:shd w:val="clear" w:color="auto" w:fill="FFFFFF"/>
            <w:tcMar>
              <w:top w:w="0" w:type="dxa"/>
              <w:left w:w="85" w:type="dxa"/>
              <w:bottom w:w="0" w:type="dxa"/>
              <w:right w:w="85" w:type="dxa"/>
            </w:tcMar>
          </w:tcPr>
          <w:p w14:paraId="443DF0A9" w14:textId="77777777" w:rsidR="00BB3E1E" w:rsidRPr="0010735E" w:rsidRDefault="00BB3E1E" w:rsidP="00B05614">
            <w:pPr>
              <w:pStyle w:val="TableText"/>
            </w:pPr>
            <w:r w:rsidRPr="0010735E">
              <w:t>Other (please specify) – Other (please specify) Solid Fuels</w:t>
            </w:r>
          </w:p>
        </w:tc>
        <w:tc>
          <w:tcPr>
            <w:tcW w:w="492" w:type="dxa"/>
            <w:shd w:val="clear" w:color="auto" w:fill="FFFFFF"/>
            <w:tcMar>
              <w:top w:w="0" w:type="dxa"/>
              <w:left w:w="85" w:type="dxa"/>
              <w:bottom w:w="0" w:type="dxa"/>
              <w:right w:w="85" w:type="dxa"/>
            </w:tcMar>
          </w:tcPr>
          <w:p w14:paraId="174650CC"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7F966DEF" w14:textId="77777777" w:rsidR="00BB3E1E" w:rsidRPr="0010735E" w:rsidRDefault="00BB3E1E" w:rsidP="00B05614">
            <w:pPr>
              <w:pStyle w:val="TableText"/>
              <w:jc w:val="right"/>
            </w:pPr>
            <w:r w:rsidRPr="0010735E">
              <w:t>731.1</w:t>
            </w:r>
          </w:p>
        </w:tc>
        <w:tc>
          <w:tcPr>
            <w:tcW w:w="964" w:type="dxa"/>
            <w:shd w:val="clear" w:color="auto" w:fill="FFFFFF"/>
            <w:tcMar>
              <w:top w:w="0" w:type="dxa"/>
              <w:left w:w="85" w:type="dxa"/>
              <w:bottom w:w="0" w:type="dxa"/>
              <w:right w:w="85" w:type="dxa"/>
            </w:tcMar>
          </w:tcPr>
          <w:p w14:paraId="49046322" w14:textId="77777777" w:rsidR="00BB3E1E" w:rsidRPr="0010735E" w:rsidRDefault="00BB3E1E" w:rsidP="00B05614">
            <w:pPr>
              <w:pStyle w:val="TableText"/>
              <w:jc w:val="right"/>
            </w:pPr>
            <w:r w:rsidRPr="0010735E">
              <w:t>35.3</w:t>
            </w:r>
          </w:p>
        </w:tc>
        <w:tc>
          <w:tcPr>
            <w:tcW w:w="964" w:type="dxa"/>
            <w:shd w:val="clear" w:color="auto" w:fill="FFFFFF"/>
            <w:tcMar>
              <w:top w:w="0" w:type="dxa"/>
              <w:left w:w="85" w:type="dxa"/>
              <w:bottom w:w="0" w:type="dxa"/>
              <w:right w:w="85" w:type="dxa"/>
            </w:tcMar>
          </w:tcPr>
          <w:p w14:paraId="485BEC30" w14:textId="77777777" w:rsidR="00BB3E1E" w:rsidRPr="0010735E" w:rsidRDefault="00BB3E1E" w:rsidP="00B05614">
            <w:pPr>
              <w:pStyle w:val="TableText"/>
              <w:jc w:val="right"/>
            </w:pPr>
            <w:r w:rsidRPr="0010735E">
              <w:t>0.013</w:t>
            </w:r>
          </w:p>
        </w:tc>
        <w:tc>
          <w:tcPr>
            <w:tcW w:w="1021" w:type="dxa"/>
            <w:shd w:val="clear" w:color="auto" w:fill="FFFFFF"/>
            <w:tcMar>
              <w:top w:w="0" w:type="dxa"/>
              <w:left w:w="85" w:type="dxa"/>
              <w:bottom w:w="0" w:type="dxa"/>
              <w:right w:w="85" w:type="dxa"/>
            </w:tcMar>
          </w:tcPr>
          <w:p w14:paraId="0980C94E" w14:textId="77777777" w:rsidR="00BB3E1E" w:rsidRPr="0010735E" w:rsidRDefault="00BB3E1E" w:rsidP="00B05614">
            <w:pPr>
              <w:pStyle w:val="TableText"/>
              <w:jc w:val="right"/>
            </w:pPr>
            <w:r w:rsidRPr="0010735E">
              <w:t>2.0</w:t>
            </w:r>
          </w:p>
        </w:tc>
        <w:tc>
          <w:tcPr>
            <w:tcW w:w="907" w:type="dxa"/>
            <w:shd w:val="clear" w:color="auto" w:fill="FFFFFF"/>
            <w:tcMar>
              <w:top w:w="0" w:type="dxa"/>
              <w:left w:w="85" w:type="dxa"/>
              <w:bottom w:w="0" w:type="dxa"/>
              <w:right w:w="85" w:type="dxa"/>
            </w:tcMar>
          </w:tcPr>
          <w:p w14:paraId="2CB75CF9" w14:textId="77777777" w:rsidR="00BB3E1E" w:rsidRPr="0010735E" w:rsidRDefault="00BB3E1E" w:rsidP="00B05614">
            <w:pPr>
              <w:pStyle w:val="TableText"/>
              <w:jc w:val="right"/>
            </w:pPr>
            <w:r w:rsidRPr="0010735E">
              <w:t>78.4</w:t>
            </w:r>
          </w:p>
        </w:tc>
      </w:tr>
      <w:tr w:rsidR="00AD2A3E" w:rsidRPr="0010735E" w14:paraId="0629E02F" w14:textId="77777777" w:rsidTr="00AD2A3E">
        <w:trPr>
          <w:cantSplit/>
          <w:trHeight w:val="283"/>
        </w:trPr>
        <w:tc>
          <w:tcPr>
            <w:tcW w:w="911" w:type="dxa"/>
            <w:shd w:val="clear" w:color="auto" w:fill="FFFFFF"/>
            <w:tcMar>
              <w:top w:w="0" w:type="dxa"/>
              <w:left w:w="85" w:type="dxa"/>
              <w:bottom w:w="0" w:type="dxa"/>
              <w:right w:w="85" w:type="dxa"/>
            </w:tcMar>
          </w:tcPr>
          <w:p w14:paraId="0DF20D77" w14:textId="77777777" w:rsidR="00BB3E1E" w:rsidRPr="0010735E" w:rsidRDefault="00BB3E1E" w:rsidP="00B05614">
            <w:pPr>
              <w:pStyle w:val="TableText"/>
            </w:pPr>
            <w:r w:rsidRPr="0010735E" w:rsidDel="000E4F67">
              <w:t>1.A.2.e</w:t>
            </w:r>
          </w:p>
        </w:tc>
        <w:tc>
          <w:tcPr>
            <w:tcW w:w="2041" w:type="dxa"/>
            <w:shd w:val="clear" w:color="auto" w:fill="FFFFFF"/>
            <w:tcMar>
              <w:top w:w="0" w:type="dxa"/>
              <w:left w:w="85" w:type="dxa"/>
              <w:bottom w:w="0" w:type="dxa"/>
              <w:right w:w="85" w:type="dxa"/>
            </w:tcMar>
          </w:tcPr>
          <w:p w14:paraId="19FB47A1" w14:textId="77777777" w:rsidR="00BB3E1E" w:rsidRPr="0010735E" w:rsidRDefault="00BB3E1E" w:rsidP="00B05614">
            <w:pPr>
              <w:pStyle w:val="TableText"/>
            </w:pPr>
            <w:r w:rsidRPr="0010735E">
              <w:t xml:space="preserve">Manufacturing Industries and Construction – Food Processing, Beverages and Tobacco Solid </w:t>
            </w:r>
            <w:r w:rsidRPr="0010735E" w:rsidDel="000E4F67">
              <w:t>Fuels</w:t>
            </w:r>
          </w:p>
        </w:tc>
        <w:tc>
          <w:tcPr>
            <w:tcW w:w="492" w:type="dxa"/>
            <w:shd w:val="clear" w:color="auto" w:fill="FFFFFF"/>
            <w:tcMar>
              <w:top w:w="0" w:type="dxa"/>
              <w:left w:w="85" w:type="dxa"/>
              <w:bottom w:w="0" w:type="dxa"/>
              <w:right w:w="85" w:type="dxa"/>
            </w:tcMar>
          </w:tcPr>
          <w:p w14:paraId="57F7A435"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52637259" w14:textId="77777777" w:rsidR="00BB3E1E" w:rsidRPr="0010735E" w:rsidRDefault="00BB3E1E" w:rsidP="00B05614">
            <w:pPr>
              <w:pStyle w:val="TableText"/>
              <w:jc w:val="right"/>
            </w:pPr>
            <w:r w:rsidRPr="0010735E">
              <w:t>938.6</w:t>
            </w:r>
          </w:p>
        </w:tc>
        <w:tc>
          <w:tcPr>
            <w:tcW w:w="964" w:type="dxa"/>
            <w:shd w:val="clear" w:color="auto" w:fill="FFFFFF"/>
            <w:tcMar>
              <w:top w:w="0" w:type="dxa"/>
              <w:left w:w="85" w:type="dxa"/>
              <w:bottom w:w="0" w:type="dxa"/>
              <w:right w:w="85" w:type="dxa"/>
            </w:tcMar>
          </w:tcPr>
          <w:p w14:paraId="4C26AC27" w14:textId="77777777" w:rsidR="00BB3E1E" w:rsidRPr="0010735E" w:rsidRDefault="00BB3E1E" w:rsidP="00B05614">
            <w:pPr>
              <w:pStyle w:val="TableText"/>
              <w:jc w:val="right"/>
            </w:pPr>
            <w:r w:rsidRPr="0010735E">
              <w:t>1,702.0</w:t>
            </w:r>
          </w:p>
        </w:tc>
        <w:tc>
          <w:tcPr>
            <w:tcW w:w="964" w:type="dxa"/>
            <w:shd w:val="clear" w:color="auto" w:fill="FFFFFF"/>
            <w:tcMar>
              <w:top w:w="0" w:type="dxa"/>
              <w:left w:w="85" w:type="dxa"/>
              <w:bottom w:w="0" w:type="dxa"/>
              <w:right w:w="85" w:type="dxa"/>
            </w:tcMar>
          </w:tcPr>
          <w:p w14:paraId="02A73C9F" w14:textId="77777777" w:rsidR="00BB3E1E" w:rsidRPr="0010735E" w:rsidRDefault="00BB3E1E" w:rsidP="00B05614">
            <w:pPr>
              <w:pStyle w:val="TableText"/>
              <w:jc w:val="right"/>
            </w:pPr>
            <w:r w:rsidRPr="0010735E">
              <w:t>0.009</w:t>
            </w:r>
          </w:p>
        </w:tc>
        <w:tc>
          <w:tcPr>
            <w:tcW w:w="1021" w:type="dxa"/>
            <w:shd w:val="clear" w:color="auto" w:fill="FFFFFF"/>
            <w:tcMar>
              <w:top w:w="0" w:type="dxa"/>
              <w:left w:w="85" w:type="dxa"/>
              <w:bottom w:w="0" w:type="dxa"/>
              <w:right w:w="85" w:type="dxa"/>
            </w:tcMar>
          </w:tcPr>
          <w:p w14:paraId="64CD5B2E" w14:textId="77777777" w:rsidR="00BB3E1E" w:rsidRPr="0010735E" w:rsidRDefault="00BB3E1E" w:rsidP="00B05614">
            <w:pPr>
              <w:pStyle w:val="TableText"/>
              <w:jc w:val="right"/>
            </w:pPr>
            <w:r w:rsidRPr="0010735E">
              <w:t>1.4</w:t>
            </w:r>
          </w:p>
        </w:tc>
        <w:tc>
          <w:tcPr>
            <w:tcW w:w="907" w:type="dxa"/>
            <w:shd w:val="clear" w:color="auto" w:fill="FFFFFF"/>
            <w:tcMar>
              <w:top w:w="0" w:type="dxa"/>
              <w:left w:w="85" w:type="dxa"/>
              <w:bottom w:w="0" w:type="dxa"/>
              <w:right w:w="85" w:type="dxa"/>
            </w:tcMar>
          </w:tcPr>
          <w:p w14:paraId="352FCF20" w14:textId="77777777" w:rsidR="00BB3E1E" w:rsidRPr="0010735E" w:rsidRDefault="00BB3E1E" w:rsidP="00B05614">
            <w:pPr>
              <w:pStyle w:val="TableText"/>
              <w:jc w:val="right"/>
            </w:pPr>
            <w:r w:rsidRPr="0010735E">
              <w:t>79.7</w:t>
            </w:r>
          </w:p>
        </w:tc>
      </w:tr>
      <w:tr w:rsidR="00AD2A3E" w:rsidRPr="0010735E" w14:paraId="2921A27D" w14:textId="77777777" w:rsidTr="00AD2A3E">
        <w:trPr>
          <w:cantSplit/>
          <w:trHeight w:val="283"/>
        </w:trPr>
        <w:tc>
          <w:tcPr>
            <w:tcW w:w="911" w:type="dxa"/>
            <w:shd w:val="clear" w:color="auto" w:fill="FFFFFF"/>
            <w:tcMar>
              <w:top w:w="0" w:type="dxa"/>
              <w:left w:w="85" w:type="dxa"/>
              <w:bottom w:w="0" w:type="dxa"/>
              <w:right w:w="85" w:type="dxa"/>
            </w:tcMar>
          </w:tcPr>
          <w:p w14:paraId="0F8A3196" w14:textId="77777777" w:rsidR="00BB3E1E" w:rsidRPr="0010735E" w:rsidRDefault="00BB3E1E" w:rsidP="00B05614">
            <w:pPr>
              <w:pStyle w:val="TableText"/>
            </w:pPr>
            <w:r w:rsidRPr="0010735E" w:rsidDel="000E4F67">
              <w:t>1.A.2.e</w:t>
            </w:r>
          </w:p>
        </w:tc>
        <w:tc>
          <w:tcPr>
            <w:tcW w:w="2041" w:type="dxa"/>
            <w:shd w:val="clear" w:color="auto" w:fill="FFFFFF"/>
            <w:tcMar>
              <w:top w:w="0" w:type="dxa"/>
              <w:left w:w="85" w:type="dxa"/>
              <w:bottom w:w="0" w:type="dxa"/>
              <w:right w:w="85" w:type="dxa"/>
            </w:tcMar>
          </w:tcPr>
          <w:p w14:paraId="439CF80C" w14:textId="77777777" w:rsidR="00BB3E1E" w:rsidRPr="0010735E" w:rsidRDefault="00BB3E1E" w:rsidP="00B05614">
            <w:pPr>
              <w:pStyle w:val="TableText"/>
            </w:pPr>
            <w:r w:rsidRPr="0010735E">
              <w:t xml:space="preserve">Manufacturing Industries and Construction – Food Processing, Beverages and Tobacco Gaseous </w:t>
            </w:r>
            <w:r w:rsidRPr="0010735E" w:rsidDel="000E4F67">
              <w:t>Fuels</w:t>
            </w:r>
          </w:p>
        </w:tc>
        <w:tc>
          <w:tcPr>
            <w:tcW w:w="492" w:type="dxa"/>
            <w:shd w:val="clear" w:color="auto" w:fill="FFFFFF"/>
            <w:tcMar>
              <w:top w:w="0" w:type="dxa"/>
              <w:left w:w="85" w:type="dxa"/>
              <w:bottom w:w="0" w:type="dxa"/>
              <w:right w:w="85" w:type="dxa"/>
            </w:tcMar>
          </w:tcPr>
          <w:p w14:paraId="77E4B2CE"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1BAC8FDC" w14:textId="77777777" w:rsidR="00BB3E1E" w:rsidRPr="0010735E" w:rsidRDefault="00BB3E1E" w:rsidP="00B05614">
            <w:pPr>
              <w:pStyle w:val="TableText"/>
              <w:jc w:val="right"/>
            </w:pPr>
            <w:r w:rsidRPr="0010735E">
              <w:t>443.4</w:t>
            </w:r>
          </w:p>
        </w:tc>
        <w:tc>
          <w:tcPr>
            <w:tcW w:w="964" w:type="dxa"/>
            <w:shd w:val="clear" w:color="auto" w:fill="FFFFFF"/>
            <w:tcMar>
              <w:top w:w="0" w:type="dxa"/>
              <w:left w:w="85" w:type="dxa"/>
              <w:bottom w:w="0" w:type="dxa"/>
              <w:right w:w="85" w:type="dxa"/>
            </w:tcMar>
          </w:tcPr>
          <w:p w14:paraId="4617AAB0" w14:textId="77777777" w:rsidR="00BB3E1E" w:rsidRPr="0010735E" w:rsidRDefault="00BB3E1E" w:rsidP="00B05614">
            <w:pPr>
              <w:pStyle w:val="TableText"/>
              <w:jc w:val="right"/>
            </w:pPr>
            <w:r w:rsidRPr="0010735E">
              <w:t>1,086.7</w:t>
            </w:r>
          </w:p>
        </w:tc>
        <w:tc>
          <w:tcPr>
            <w:tcW w:w="964" w:type="dxa"/>
            <w:shd w:val="clear" w:color="auto" w:fill="FFFFFF"/>
            <w:tcMar>
              <w:top w:w="0" w:type="dxa"/>
              <w:left w:w="85" w:type="dxa"/>
              <w:bottom w:w="0" w:type="dxa"/>
              <w:right w:w="85" w:type="dxa"/>
            </w:tcMar>
          </w:tcPr>
          <w:p w14:paraId="14FBEB85" w14:textId="77777777" w:rsidR="00BB3E1E" w:rsidRPr="0010735E" w:rsidRDefault="00BB3E1E" w:rsidP="00B05614">
            <w:pPr>
              <w:pStyle w:val="TableText"/>
              <w:jc w:val="right"/>
            </w:pPr>
            <w:r w:rsidRPr="0010735E">
              <w:t>0.008</w:t>
            </w:r>
          </w:p>
        </w:tc>
        <w:tc>
          <w:tcPr>
            <w:tcW w:w="1021" w:type="dxa"/>
            <w:shd w:val="clear" w:color="auto" w:fill="FFFFFF"/>
            <w:tcMar>
              <w:top w:w="0" w:type="dxa"/>
              <w:left w:w="85" w:type="dxa"/>
              <w:bottom w:w="0" w:type="dxa"/>
              <w:right w:w="85" w:type="dxa"/>
            </w:tcMar>
          </w:tcPr>
          <w:p w14:paraId="1F870F08" w14:textId="77777777" w:rsidR="00BB3E1E" w:rsidRPr="0010735E" w:rsidRDefault="00BB3E1E" w:rsidP="00B05614">
            <w:pPr>
              <w:pStyle w:val="TableText"/>
              <w:jc w:val="right"/>
            </w:pPr>
            <w:r w:rsidRPr="0010735E">
              <w:t>1.3</w:t>
            </w:r>
          </w:p>
        </w:tc>
        <w:tc>
          <w:tcPr>
            <w:tcW w:w="907" w:type="dxa"/>
            <w:shd w:val="clear" w:color="auto" w:fill="FFFFFF"/>
            <w:tcMar>
              <w:top w:w="0" w:type="dxa"/>
              <w:left w:w="85" w:type="dxa"/>
              <w:bottom w:w="0" w:type="dxa"/>
              <w:right w:w="85" w:type="dxa"/>
            </w:tcMar>
          </w:tcPr>
          <w:p w14:paraId="1B5864D9" w14:textId="77777777" w:rsidR="00BB3E1E" w:rsidRPr="0010735E" w:rsidRDefault="00BB3E1E" w:rsidP="00B05614">
            <w:pPr>
              <w:pStyle w:val="TableText"/>
              <w:jc w:val="right"/>
            </w:pPr>
            <w:r w:rsidRPr="0010735E">
              <w:t>81.1</w:t>
            </w:r>
          </w:p>
        </w:tc>
      </w:tr>
      <w:tr w:rsidR="00AD2A3E" w:rsidRPr="0010735E" w14:paraId="7668AA6C" w14:textId="77777777" w:rsidTr="00AD2A3E">
        <w:trPr>
          <w:cantSplit/>
          <w:trHeight w:val="283"/>
        </w:trPr>
        <w:tc>
          <w:tcPr>
            <w:tcW w:w="911" w:type="dxa"/>
            <w:shd w:val="clear" w:color="auto" w:fill="FFFFFF"/>
            <w:tcMar>
              <w:top w:w="0" w:type="dxa"/>
              <w:left w:w="85" w:type="dxa"/>
              <w:bottom w:w="0" w:type="dxa"/>
              <w:right w:w="85" w:type="dxa"/>
            </w:tcMar>
          </w:tcPr>
          <w:p w14:paraId="0A635E18" w14:textId="77777777" w:rsidR="00BB3E1E" w:rsidRPr="0010735E" w:rsidRDefault="00BB3E1E" w:rsidP="00B05614">
            <w:pPr>
              <w:pStyle w:val="TableText"/>
            </w:pPr>
            <w:r w:rsidRPr="0010735E" w:rsidDel="000E4F67">
              <w:t>3.H</w:t>
            </w:r>
          </w:p>
        </w:tc>
        <w:tc>
          <w:tcPr>
            <w:tcW w:w="2041" w:type="dxa"/>
            <w:shd w:val="clear" w:color="auto" w:fill="FFFFFF"/>
            <w:tcMar>
              <w:top w:w="0" w:type="dxa"/>
              <w:left w:w="85" w:type="dxa"/>
              <w:bottom w:w="0" w:type="dxa"/>
              <w:right w:w="85" w:type="dxa"/>
            </w:tcMar>
          </w:tcPr>
          <w:p w14:paraId="211D798A" w14:textId="77777777" w:rsidR="00BB3E1E" w:rsidRPr="0010735E" w:rsidRDefault="00BB3E1E" w:rsidP="00B05614">
            <w:pPr>
              <w:pStyle w:val="TableText"/>
            </w:pPr>
            <w:r w:rsidRPr="0010735E">
              <w:t xml:space="preserve">Agriculture – Urea </w:t>
            </w:r>
            <w:r w:rsidRPr="0010735E" w:rsidDel="000E4F67">
              <w:t>Application</w:t>
            </w:r>
          </w:p>
        </w:tc>
        <w:tc>
          <w:tcPr>
            <w:tcW w:w="492" w:type="dxa"/>
            <w:shd w:val="clear" w:color="auto" w:fill="FFFFFF"/>
            <w:tcMar>
              <w:top w:w="0" w:type="dxa"/>
              <w:left w:w="85" w:type="dxa"/>
              <w:bottom w:w="0" w:type="dxa"/>
              <w:right w:w="85" w:type="dxa"/>
            </w:tcMar>
          </w:tcPr>
          <w:p w14:paraId="02CC6D2B"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7784A96A" w14:textId="77777777" w:rsidR="00BB3E1E" w:rsidRPr="0010735E" w:rsidRDefault="00BB3E1E" w:rsidP="00B05614">
            <w:pPr>
              <w:pStyle w:val="TableText"/>
              <w:jc w:val="right"/>
            </w:pPr>
            <w:r w:rsidRPr="0010735E">
              <w:t>39.2</w:t>
            </w:r>
          </w:p>
        </w:tc>
        <w:tc>
          <w:tcPr>
            <w:tcW w:w="964" w:type="dxa"/>
            <w:shd w:val="clear" w:color="auto" w:fill="FFFFFF"/>
            <w:tcMar>
              <w:top w:w="0" w:type="dxa"/>
              <w:left w:w="85" w:type="dxa"/>
              <w:bottom w:w="0" w:type="dxa"/>
              <w:right w:w="85" w:type="dxa"/>
            </w:tcMar>
          </w:tcPr>
          <w:p w14:paraId="37643A73" w14:textId="77777777" w:rsidR="00BB3E1E" w:rsidRPr="0010735E" w:rsidRDefault="00BB3E1E" w:rsidP="00B05614">
            <w:pPr>
              <w:pStyle w:val="TableText"/>
              <w:jc w:val="right"/>
            </w:pPr>
            <w:r w:rsidRPr="0010735E">
              <w:t>542.0</w:t>
            </w:r>
          </w:p>
        </w:tc>
        <w:tc>
          <w:tcPr>
            <w:tcW w:w="964" w:type="dxa"/>
            <w:shd w:val="clear" w:color="auto" w:fill="FFFFFF"/>
            <w:tcMar>
              <w:top w:w="0" w:type="dxa"/>
              <w:left w:w="85" w:type="dxa"/>
              <w:bottom w:w="0" w:type="dxa"/>
              <w:right w:w="85" w:type="dxa"/>
            </w:tcMar>
          </w:tcPr>
          <w:p w14:paraId="1B2330C3" w14:textId="77777777" w:rsidR="00BB3E1E" w:rsidRPr="0010735E" w:rsidRDefault="00BB3E1E" w:rsidP="00B05614">
            <w:pPr>
              <w:pStyle w:val="TableText"/>
              <w:jc w:val="right"/>
            </w:pPr>
            <w:r w:rsidRPr="0010735E">
              <w:t>0.008</w:t>
            </w:r>
          </w:p>
        </w:tc>
        <w:tc>
          <w:tcPr>
            <w:tcW w:w="1021" w:type="dxa"/>
            <w:shd w:val="clear" w:color="auto" w:fill="FFFFFF"/>
            <w:tcMar>
              <w:top w:w="0" w:type="dxa"/>
              <w:left w:w="85" w:type="dxa"/>
              <w:bottom w:w="0" w:type="dxa"/>
              <w:right w:w="85" w:type="dxa"/>
            </w:tcMar>
          </w:tcPr>
          <w:p w14:paraId="30125A4B" w14:textId="77777777" w:rsidR="00BB3E1E" w:rsidRPr="0010735E" w:rsidRDefault="00BB3E1E" w:rsidP="00B05614">
            <w:pPr>
              <w:pStyle w:val="TableText"/>
              <w:jc w:val="right"/>
            </w:pPr>
            <w:r w:rsidRPr="0010735E">
              <w:t>1.2</w:t>
            </w:r>
          </w:p>
        </w:tc>
        <w:tc>
          <w:tcPr>
            <w:tcW w:w="907" w:type="dxa"/>
            <w:shd w:val="clear" w:color="auto" w:fill="FFFFFF"/>
            <w:tcMar>
              <w:top w:w="0" w:type="dxa"/>
              <w:left w:w="85" w:type="dxa"/>
              <w:bottom w:w="0" w:type="dxa"/>
              <w:right w:w="85" w:type="dxa"/>
            </w:tcMar>
          </w:tcPr>
          <w:p w14:paraId="4B1EC497" w14:textId="77777777" w:rsidR="00BB3E1E" w:rsidRPr="0010735E" w:rsidRDefault="00BB3E1E" w:rsidP="00B05614">
            <w:pPr>
              <w:pStyle w:val="TableText"/>
              <w:jc w:val="right"/>
            </w:pPr>
            <w:r w:rsidRPr="0010735E">
              <w:t>82.2</w:t>
            </w:r>
          </w:p>
        </w:tc>
      </w:tr>
      <w:tr w:rsidR="00AD2A3E" w:rsidRPr="0010735E" w14:paraId="1F3A776B" w14:textId="77777777" w:rsidTr="00AD2A3E">
        <w:trPr>
          <w:cantSplit/>
          <w:trHeight w:val="283"/>
        </w:trPr>
        <w:tc>
          <w:tcPr>
            <w:tcW w:w="911" w:type="dxa"/>
            <w:shd w:val="clear" w:color="auto" w:fill="FFFFFF"/>
            <w:tcMar>
              <w:top w:w="0" w:type="dxa"/>
              <w:left w:w="85" w:type="dxa"/>
              <w:bottom w:w="0" w:type="dxa"/>
              <w:right w:w="85" w:type="dxa"/>
            </w:tcMar>
          </w:tcPr>
          <w:p w14:paraId="285EDBB6" w14:textId="77777777" w:rsidR="00BB3E1E" w:rsidRPr="0010735E" w:rsidRDefault="00BB3E1E" w:rsidP="00B05614">
            <w:pPr>
              <w:pStyle w:val="TableText"/>
            </w:pPr>
            <w:r w:rsidRPr="0010735E" w:rsidDel="000E4F67">
              <w:t>1.A.1.b</w:t>
            </w:r>
          </w:p>
        </w:tc>
        <w:tc>
          <w:tcPr>
            <w:tcW w:w="2041" w:type="dxa"/>
            <w:shd w:val="clear" w:color="auto" w:fill="FFFFFF"/>
            <w:tcMar>
              <w:top w:w="0" w:type="dxa"/>
              <w:left w:w="85" w:type="dxa"/>
              <w:bottom w:w="0" w:type="dxa"/>
              <w:right w:w="85" w:type="dxa"/>
            </w:tcMar>
          </w:tcPr>
          <w:p w14:paraId="5A1F8CF0" w14:textId="77777777" w:rsidR="00BB3E1E" w:rsidRPr="0010735E" w:rsidRDefault="00BB3E1E" w:rsidP="00B05614">
            <w:pPr>
              <w:pStyle w:val="TableText"/>
            </w:pPr>
            <w:r w:rsidRPr="0010735E">
              <w:t xml:space="preserve">Energy Industries – Petroleum Refining Liquid </w:t>
            </w:r>
            <w:r w:rsidRPr="0010735E" w:rsidDel="000E4F67">
              <w:t>Fuels</w:t>
            </w:r>
          </w:p>
        </w:tc>
        <w:tc>
          <w:tcPr>
            <w:tcW w:w="492" w:type="dxa"/>
            <w:shd w:val="clear" w:color="auto" w:fill="FFFFFF"/>
            <w:tcMar>
              <w:top w:w="0" w:type="dxa"/>
              <w:left w:w="85" w:type="dxa"/>
              <w:bottom w:w="0" w:type="dxa"/>
              <w:right w:w="85" w:type="dxa"/>
            </w:tcMar>
          </w:tcPr>
          <w:p w14:paraId="076EB965"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3DCB01E0" w14:textId="77777777" w:rsidR="00BB3E1E" w:rsidRPr="0010735E" w:rsidRDefault="00BB3E1E" w:rsidP="00B05614">
            <w:pPr>
              <w:pStyle w:val="TableText"/>
              <w:jc w:val="right"/>
            </w:pPr>
            <w:r w:rsidRPr="0010735E">
              <w:t>778.9</w:t>
            </w:r>
          </w:p>
        </w:tc>
        <w:tc>
          <w:tcPr>
            <w:tcW w:w="964" w:type="dxa"/>
            <w:shd w:val="clear" w:color="auto" w:fill="FFFFFF"/>
            <w:tcMar>
              <w:top w:w="0" w:type="dxa"/>
              <w:left w:w="85" w:type="dxa"/>
              <w:bottom w:w="0" w:type="dxa"/>
              <w:right w:w="85" w:type="dxa"/>
            </w:tcMar>
          </w:tcPr>
          <w:p w14:paraId="3013D255" w14:textId="77777777" w:rsidR="00BB3E1E" w:rsidRPr="0010735E" w:rsidRDefault="00BB3E1E" w:rsidP="00B05614">
            <w:pPr>
              <w:pStyle w:val="TableText"/>
              <w:jc w:val="right"/>
            </w:pPr>
            <w:r w:rsidRPr="0010735E">
              <w:t>543.8</w:t>
            </w:r>
          </w:p>
        </w:tc>
        <w:tc>
          <w:tcPr>
            <w:tcW w:w="964" w:type="dxa"/>
            <w:shd w:val="clear" w:color="auto" w:fill="FFFFFF"/>
            <w:tcMar>
              <w:top w:w="0" w:type="dxa"/>
              <w:left w:w="85" w:type="dxa"/>
              <w:bottom w:w="0" w:type="dxa"/>
              <w:right w:w="85" w:type="dxa"/>
            </w:tcMar>
          </w:tcPr>
          <w:p w14:paraId="0378C633" w14:textId="77777777" w:rsidR="00BB3E1E" w:rsidRPr="0010735E" w:rsidRDefault="00BB3E1E" w:rsidP="00B05614">
            <w:pPr>
              <w:pStyle w:val="TableText"/>
              <w:jc w:val="right"/>
            </w:pPr>
            <w:r w:rsidRPr="0010735E">
              <w:t>0.006</w:t>
            </w:r>
          </w:p>
        </w:tc>
        <w:tc>
          <w:tcPr>
            <w:tcW w:w="1021" w:type="dxa"/>
            <w:shd w:val="clear" w:color="auto" w:fill="FFFFFF"/>
            <w:tcMar>
              <w:top w:w="0" w:type="dxa"/>
              <w:left w:w="85" w:type="dxa"/>
              <w:bottom w:w="0" w:type="dxa"/>
              <w:right w:w="85" w:type="dxa"/>
            </w:tcMar>
          </w:tcPr>
          <w:p w14:paraId="4B58324C" w14:textId="77777777" w:rsidR="00BB3E1E" w:rsidRPr="0010735E" w:rsidRDefault="00BB3E1E" w:rsidP="00B05614">
            <w:pPr>
              <w:pStyle w:val="TableText"/>
              <w:jc w:val="right"/>
            </w:pPr>
            <w:r w:rsidRPr="0010735E">
              <w:t>0.9</w:t>
            </w:r>
          </w:p>
        </w:tc>
        <w:tc>
          <w:tcPr>
            <w:tcW w:w="907" w:type="dxa"/>
            <w:shd w:val="clear" w:color="auto" w:fill="FFFFFF"/>
            <w:tcMar>
              <w:top w:w="0" w:type="dxa"/>
              <w:left w:w="85" w:type="dxa"/>
              <w:bottom w:w="0" w:type="dxa"/>
              <w:right w:w="85" w:type="dxa"/>
            </w:tcMar>
          </w:tcPr>
          <w:p w14:paraId="118E680D" w14:textId="77777777" w:rsidR="00BB3E1E" w:rsidRPr="0010735E" w:rsidRDefault="00BB3E1E" w:rsidP="00B05614">
            <w:pPr>
              <w:pStyle w:val="TableText"/>
              <w:jc w:val="right"/>
            </w:pPr>
            <w:r w:rsidRPr="0010735E">
              <w:t>83.2</w:t>
            </w:r>
          </w:p>
        </w:tc>
      </w:tr>
      <w:tr w:rsidR="00AD2A3E" w:rsidRPr="0010735E" w14:paraId="1A6CFA42" w14:textId="77777777" w:rsidTr="00AD2A3E">
        <w:trPr>
          <w:cantSplit/>
          <w:trHeight w:val="283"/>
        </w:trPr>
        <w:tc>
          <w:tcPr>
            <w:tcW w:w="911" w:type="dxa"/>
            <w:shd w:val="clear" w:color="auto" w:fill="FFFFFF"/>
            <w:tcMar>
              <w:top w:w="0" w:type="dxa"/>
              <w:left w:w="85" w:type="dxa"/>
              <w:bottom w:w="0" w:type="dxa"/>
              <w:right w:w="85" w:type="dxa"/>
            </w:tcMar>
          </w:tcPr>
          <w:p w14:paraId="2103FC4B" w14:textId="77777777" w:rsidR="00BB3E1E" w:rsidRPr="0010735E" w:rsidRDefault="00BB3E1E" w:rsidP="00B05614">
            <w:pPr>
              <w:pStyle w:val="TableText"/>
            </w:pPr>
            <w:r w:rsidRPr="0010735E" w:rsidDel="000E4F67">
              <w:t>1.A.3.a</w:t>
            </w:r>
          </w:p>
        </w:tc>
        <w:tc>
          <w:tcPr>
            <w:tcW w:w="2041" w:type="dxa"/>
            <w:shd w:val="clear" w:color="auto" w:fill="FFFFFF"/>
            <w:tcMar>
              <w:top w:w="0" w:type="dxa"/>
              <w:left w:w="85" w:type="dxa"/>
              <w:bottom w:w="0" w:type="dxa"/>
              <w:right w:w="85" w:type="dxa"/>
            </w:tcMar>
          </w:tcPr>
          <w:p w14:paraId="30F29A78" w14:textId="77777777" w:rsidR="00BB3E1E" w:rsidRPr="0010735E" w:rsidRDefault="00BB3E1E" w:rsidP="00B05614">
            <w:pPr>
              <w:pStyle w:val="TableText"/>
            </w:pPr>
            <w:r w:rsidRPr="0010735E">
              <w:t xml:space="preserve">Domestic Aviation – Jet </w:t>
            </w:r>
            <w:r w:rsidRPr="0010735E" w:rsidDel="000E4F67">
              <w:t>Kerosene</w:t>
            </w:r>
          </w:p>
        </w:tc>
        <w:tc>
          <w:tcPr>
            <w:tcW w:w="492" w:type="dxa"/>
            <w:shd w:val="clear" w:color="auto" w:fill="FFFFFF"/>
            <w:tcMar>
              <w:top w:w="0" w:type="dxa"/>
              <w:left w:w="85" w:type="dxa"/>
              <w:bottom w:w="0" w:type="dxa"/>
              <w:right w:w="85" w:type="dxa"/>
            </w:tcMar>
          </w:tcPr>
          <w:p w14:paraId="661CC389"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788645B8" w14:textId="77777777" w:rsidR="00BB3E1E" w:rsidRPr="0010735E" w:rsidRDefault="00BB3E1E" w:rsidP="00B05614">
            <w:pPr>
              <w:pStyle w:val="TableText"/>
              <w:jc w:val="right"/>
            </w:pPr>
            <w:r w:rsidRPr="0010735E">
              <w:t>892.6</w:t>
            </w:r>
          </w:p>
        </w:tc>
        <w:tc>
          <w:tcPr>
            <w:tcW w:w="964" w:type="dxa"/>
            <w:shd w:val="clear" w:color="auto" w:fill="FFFFFF"/>
            <w:tcMar>
              <w:top w:w="0" w:type="dxa"/>
              <w:left w:w="85" w:type="dxa"/>
              <w:bottom w:w="0" w:type="dxa"/>
              <w:right w:w="85" w:type="dxa"/>
            </w:tcMar>
          </w:tcPr>
          <w:p w14:paraId="522D93B6" w14:textId="77777777" w:rsidR="00BB3E1E" w:rsidRPr="0010735E" w:rsidRDefault="00BB3E1E" w:rsidP="00B05614">
            <w:pPr>
              <w:pStyle w:val="TableText"/>
              <w:jc w:val="right"/>
            </w:pPr>
            <w:r w:rsidRPr="0010735E">
              <w:t>681.4</w:t>
            </w:r>
          </w:p>
        </w:tc>
        <w:tc>
          <w:tcPr>
            <w:tcW w:w="964" w:type="dxa"/>
            <w:shd w:val="clear" w:color="auto" w:fill="FFFFFF"/>
            <w:tcMar>
              <w:top w:w="0" w:type="dxa"/>
              <w:left w:w="85" w:type="dxa"/>
              <w:bottom w:w="0" w:type="dxa"/>
              <w:right w:w="85" w:type="dxa"/>
            </w:tcMar>
          </w:tcPr>
          <w:p w14:paraId="39888E4D" w14:textId="77777777" w:rsidR="00BB3E1E" w:rsidRPr="0010735E" w:rsidRDefault="00BB3E1E" w:rsidP="00B05614">
            <w:pPr>
              <w:pStyle w:val="TableText"/>
              <w:jc w:val="right"/>
            </w:pPr>
            <w:r w:rsidRPr="0010735E">
              <w:t>0.006</w:t>
            </w:r>
          </w:p>
        </w:tc>
        <w:tc>
          <w:tcPr>
            <w:tcW w:w="1021" w:type="dxa"/>
            <w:shd w:val="clear" w:color="auto" w:fill="FFFFFF"/>
            <w:tcMar>
              <w:top w:w="0" w:type="dxa"/>
              <w:left w:w="85" w:type="dxa"/>
              <w:bottom w:w="0" w:type="dxa"/>
              <w:right w:w="85" w:type="dxa"/>
            </w:tcMar>
          </w:tcPr>
          <w:p w14:paraId="46C7EA00" w14:textId="77777777" w:rsidR="00BB3E1E" w:rsidRPr="0010735E" w:rsidRDefault="00BB3E1E" w:rsidP="00B05614">
            <w:pPr>
              <w:pStyle w:val="TableText"/>
              <w:jc w:val="right"/>
            </w:pPr>
            <w:r w:rsidRPr="0010735E">
              <w:t>0.9</w:t>
            </w:r>
          </w:p>
        </w:tc>
        <w:tc>
          <w:tcPr>
            <w:tcW w:w="907" w:type="dxa"/>
            <w:shd w:val="clear" w:color="auto" w:fill="FFFFFF"/>
            <w:tcMar>
              <w:top w:w="0" w:type="dxa"/>
              <w:left w:w="85" w:type="dxa"/>
              <w:bottom w:w="0" w:type="dxa"/>
              <w:right w:w="85" w:type="dxa"/>
            </w:tcMar>
          </w:tcPr>
          <w:p w14:paraId="7E68ED85" w14:textId="77777777" w:rsidR="00BB3E1E" w:rsidRPr="0010735E" w:rsidRDefault="00BB3E1E" w:rsidP="00B05614">
            <w:pPr>
              <w:pStyle w:val="TableText"/>
              <w:jc w:val="right"/>
            </w:pPr>
            <w:r w:rsidRPr="0010735E">
              <w:t>84.1</w:t>
            </w:r>
          </w:p>
        </w:tc>
      </w:tr>
      <w:tr w:rsidR="00AD2A3E" w:rsidRPr="0010735E" w14:paraId="4B0A6411" w14:textId="77777777" w:rsidTr="00AD2A3E">
        <w:trPr>
          <w:cantSplit/>
          <w:trHeight w:val="283"/>
        </w:trPr>
        <w:tc>
          <w:tcPr>
            <w:tcW w:w="911" w:type="dxa"/>
            <w:shd w:val="clear" w:color="auto" w:fill="FFFFFF"/>
            <w:tcMar>
              <w:top w:w="0" w:type="dxa"/>
              <w:left w:w="85" w:type="dxa"/>
              <w:bottom w:w="0" w:type="dxa"/>
              <w:right w:w="85" w:type="dxa"/>
            </w:tcMar>
          </w:tcPr>
          <w:p w14:paraId="61C98207" w14:textId="77777777" w:rsidR="00BB3E1E" w:rsidRPr="0010735E" w:rsidRDefault="00BB3E1E" w:rsidP="00B05614">
            <w:pPr>
              <w:pStyle w:val="TableText"/>
            </w:pPr>
            <w:r w:rsidRPr="0010735E" w:rsidDel="000E4F67">
              <w:t>1.A.4.b</w:t>
            </w:r>
          </w:p>
        </w:tc>
        <w:tc>
          <w:tcPr>
            <w:tcW w:w="2041" w:type="dxa"/>
            <w:shd w:val="clear" w:color="auto" w:fill="FFFFFF"/>
            <w:tcMar>
              <w:top w:w="0" w:type="dxa"/>
              <w:left w:w="85" w:type="dxa"/>
              <w:bottom w:w="0" w:type="dxa"/>
              <w:right w:w="85" w:type="dxa"/>
            </w:tcMar>
          </w:tcPr>
          <w:p w14:paraId="0A8E2E66" w14:textId="77777777" w:rsidR="00BB3E1E" w:rsidRPr="0010735E" w:rsidRDefault="00BB3E1E" w:rsidP="00B05614">
            <w:pPr>
              <w:pStyle w:val="TableText"/>
            </w:pPr>
            <w:r w:rsidRPr="0010735E">
              <w:t>Other Sectors – Residential Solid Fuels</w:t>
            </w:r>
          </w:p>
        </w:tc>
        <w:tc>
          <w:tcPr>
            <w:tcW w:w="492" w:type="dxa"/>
            <w:shd w:val="clear" w:color="auto" w:fill="FFFFFF"/>
            <w:tcMar>
              <w:top w:w="0" w:type="dxa"/>
              <w:left w:w="85" w:type="dxa"/>
              <w:bottom w:w="0" w:type="dxa"/>
              <w:right w:w="85" w:type="dxa"/>
            </w:tcMar>
          </w:tcPr>
          <w:p w14:paraId="0B96A918"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2DE1AD60" w14:textId="77777777" w:rsidR="00BB3E1E" w:rsidRPr="0010735E" w:rsidRDefault="00BB3E1E" w:rsidP="00B05614">
            <w:pPr>
              <w:pStyle w:val="TableText"/>
              <w:jc w:val="right"/>
            </w:pPr>
            <w:r w:rsidRPr="0010735E">
              <w:t>344.9</w:t>
            </w:r>
          </w:p>
        </w:tc>
        <w:tc>
          <w:tcPr>
            <w:tcW w:w="964" w:type="dxa"/>
            <w:shd w:val="clear" w:color="auto" w:fill="FFFFFF"/>
            <w:tcMar>
              <w:top w:w="0" w:type="dxa"/>
              <w:left w:w="85" w:type="dxa"/>
              <w:bottom w:w="0" w:type="dxa"/>
              <w:right w:w="85" w:type="dxa"/>
            </w:tcMar>
          </w:tcPr>
          <w:p w14:paraId="45C5036E" w14:textId="77777777" w:rsidR="00BB3E1E" w:rsidRPr="0010735E" w:rsidRDefault="00BB3E1E" w:rsidP="00B05614">
            <w:pPr>
              <w:pStyle w:val="TableText"/>
              <w:jc w:val="right"/>
            </w:pPr>
            <w:r w:rsidRPr="0010735E">
              <w:t>28.4</w:t>
            </w:r>
          </w:p>
        </w:tc>
        <w:tc>
          <w:tcPr>
            <w:tcW w:w="964" w:type="dxa"/>
            <w:shd w:val="clear" w:color="auto" w:fill="FFFFFF"/>
            <w:tcMar>
              <w:top w:w="0" w:type="dxa"/>
              <w:left w:w="85" w:type="dxa"/>
              <w:bottom w:w="0" w:type="dxa"/>
              <w:right w:w="85" w:type="dxa"/>
            </w:tcMar>
          </w:tcPr>
          <w:p w14:paraId="32217EB6" w14:textId="77777777" w:rsidR="00BB3E1E" w:rsidRPr="0010735E" w:rsidRDefault="00BB3E1E" w:rsidP="00B05614">
            <w:pPr>
              <w:pStyle w:val="TableText"/>
              <w:jc w:val="right"/>
            </w:pPr>
            <w:r w:rsidRPr="0010735E">
              <w:t>0.006</w:t>
            </w:r>
          </w:p>
        </w:tc>
        <w:tc>
          <w:tcPr>
            <w:tcW w:w="1021" w:type="dxa"/>
            <w:shd w:val="clear" w:color="auto" w:fill="FFFFFF"/>
            <w:tcMar>
              <w:top w:w="0" w:type="dxa"/>
              <w:left w:w="85" w:type="dxa"/>
              <w:bottom w:w="0" w:type="dxa"/>
              <w:right w:w="85" w:type="dxa"/>
            </w:tcMar>
          </w:tcPr>
          <w:p w14:paraId="4A06C73C" w14:textId="77777777" w:rsidR="00BB3E1E" w:rsidRPr="0010735E" w:rsidRDefault="00BB3E1E" w:rsidP="00B05614">
            <w:pPr>
              <w:pStyle w:val="TableText"/>
              <w:jc w:val="right"/>
            </w:pPr>
            <w:r w:rsidRPr="0010735E">
              <w:t>0.9</w:t>
            </w:r>
          </w:p>
        </w:tc>
        <w:tc>
          <w:tcPr>
            <w:tcW w:w="907" w:type="dxa"/>
            <w:shd w:val="clear" w:color="auto" w:fill="FFFFFF"/>
            <w:tcMar>
              <w:top w:w="0" w:type="dxa"/>
              <w:left w:w="85" w:type="dxa"/>
              <w:bottom w:w="0" w:type="dxa"/>
              <w:right w:w="85" w:type="dxa"/>
            </w:tcMar>
          </w:tcPr>
          <w:p w14:paraId="01162EB4" w14:textId="77777777" w:rsidR="00BB3E1E" w:rsidRPr="0010735E" w:rsidRDefault="00BB3E1E" w:rsidP="00B05614">
            <w:pPr>
              <w:pStyle w:val="TableText"/>
              <w:jc w:val="right"/>
            </w:pPr>
            <w:r w:rsidRPr="0010735E">
              <w:t>85.1</w:t>
            </w:r>
          </w:p>
        </w:tc>
      </w:tr>
      <w:tr w:rsidR="00AD2A3E" w:rsidRPr="0010735E" w14:paraId="6E55DC1E" w14:textId="77777777" w:rsidTr="00AD2A3E">
        <w:trPr>
          <w:cantSplit/>
          <w:trHeight w:val="283"/>
        </w:trPr>
        <w:tc>
          <w:tcPr>
            <w:tcW w:w="911" w:type="dxa"/>
            <w:shd w:val="clear" w:color="auto" w:fill="FFFFFF"/>
            <w:tcMar>
              <w:top w:w="0" w:type="dxa"/>
              <w:left w:w="85" w:type="dxa"/>
              <w:bottom w:w="0" w:type="dxa"/>
              <w:right w:w="85" w:type="dxa"/>
            </w:tcMar>
          </w:tcPr>
          <w:p w14:paraId="68ADAE40" w14:textId="77777777" w:rsidR="00BB3E1E" w:rsidRPr="0010735E" w:rsidRDefault="00BB3E1E" w:rsidP="00B05614">
            <w:pPr>
              <w:pStyle w:val="TableText"/>
            </w:pPr>
            <w:r w:rsidRPr="0010735E" w:rsidDel="000E4F67">
              <w:t>1.B.1.a.1</w:t>
            </w:r>
          </w:p>
        </w:tc>
        <w:tc>
          <w:tcPr>
            <w:tcW w:w="2041" w:type="dxa"/>
            <w:shd w:val="clear" w:color="auto" w:fill="FFFFFF"/>
            <w:tcMar>
              <w:top w:w="0" w:type="dxa"/>
              <w:left w:w="85" w:type="dxa"/>
              <w:bottom w:w="0" w:type="dxa"/>
              <w:right w:w="85" w:type="dxa"/>
            </w:tcMar>
          </w:tcPr>
          <w:p w14:paraId="6A02BCE4" w14:textId="77777777" w:rsidR="00BB3E1E" w:rsidRPr="0010735E" w:rsidRDefault="00BB3E1E" w:rsidP="00B05614">
            <w:pPr>
              <w:pStyle w:val="TableText"/>
            </w:pPr>
            <w:r w:rsidRPr="0010735E">
              <w:t xml:space="preserve">Coal Mining and Handling – Underground </w:t>
            </w:r>
            <w:r w:rsidRPr="0010735E" w:rsidDel="000E4F67">
              <w:t>Mines</w:t>
            </w:r>
          </w:p>
        </w:tc>
        <w:tc>
          <w:tcPr>
            <w:tcW w:w="492" w:type="dxa"/>
            <w:shd w:val="clear" w:color="auto" w:fill="FFFFFF"/>
            <w:tcMar>
              <w:top w:w="0" w:type="dxa"/>
              <w:left w:w="85" w:type="dxa"/>
              <w:bottom w:w="0" w:type="dxa"/>
              <w:right w:w="85" w:type="dxa"/>
            </w:tcMar>
          </w:tcPr>
          <w:p w14:paraId="06156966" w14:textId="77777777" w:rsidR="00BB3E1E" w:rsidRPr="0010735E" w:rsidRDefault="00BB3E1E" w:rsidP="00B05614">
            <w:pPr>
              <w:pStyle w:val="TableText"/>
            </w:pPr>
            <w:r w:rsidRPr="0010735E" w:rsidDel="000E4F67">
              <w:t>CH</w:t>
            </w:r>
            <w:r w:rsidRPr="0010735E" w:rsidDel="000E4F67">
              <w:rPr>
                <w:vertAlign w:val="subscript"/>
              </w:rPr>
              <w:t>4</w:t>
            </w:r>
          </w:p>
        </w:tc>
        <w:tc>
          <w:tcPr>
            <w:tcW w:w="964" w:type="dxa"/>
            <w:shd w:val="clear" w:color="auto" w:fill="FFFFFF"/>
            <w:tcMar>
              <w:top w:w="0" w:type="dxa"/>
              <w:left w:w="85" w:type="dxa"/>
              <w:bottom w:w="0" w:type="dxa"/>
              <w:right w:w="85" w:type="dxa"/>
            </w:tcMar>
          </w:tcPr>
          <w:p w14:paraId="7E79171D" w14:textId="77777777" w:rsidR="00BB3E1E" w:rsidRPr="0010735E" w:rsidRDefault="00BB3E1E" w:rsidP="00B05614">
            <w:pPr>
              <w:pStyle w:val="TableText"/>
              <w:jc w:val="right"/>
            </w:pPr>
            <w:r w:rsidRPr="0010735E">
              <w:t>289.6</w:t>
            </w:r>
          </w:p>
        </w:tc>
        <w:tc>
          <w:tcPr>
            <w:tcW w:w="964" w:type="dxa"/>
            <w:shd w:val="clear" w:color="auto" w:fill="FFFFFF"/>
            <w:tcMar>
              <w:top w:w="0" w:type="dxa"/>
              <w:left w:w="85" w:type="dxa"/>
              <w:bottom w:w="0" w:type="dxa"/>
              <w:right w:w="85" w:type="dxa"/>
            </w:tcMar>
          </w:tcPr>
          <w:p w14:paraId="0678A20F" w14:textId="77777777" w:rsidR="00BB3E1E" w:rsidRPr="0010735E" w:rsidRDefault="00BB3E1E" w:rsidP="00B05614">
            <w:pPr>
              <w:pStyle w:val="TableText"/>
              <w:jc w:val="right"/>
            </w:pPr>
            <w:r w:rsidRPr="0010735E">
              <w:t>0.0</w:t>
            </w:r>
          </w:p>
        </w:tc>
        <w:tc>
          <w:tcPr>
            <w:tcW w:w="964" w:type="dxa"/>
            <w:shd w:val="clear" w:color="auto" w:fill="FFFFFF"/>
            <w:tcMar>
              <w:top w:w="0" w:type="dxa"/>
              <w:left w:w="85" w:type="dxa"/>
              <w:bottom w:w="0" w:type="dxa"/>
              <w:right w:w="85" w:type="dxa"/>
            </w:tcMar>
          </w:tcPr>
          <w:p w14:paraId="5CEDC9ED" w14:textId="77777777" w:rsidR="00BB3E1E" w:rsidRPr="0010735E" w:rsidRDefault="00BB3E1E" w:rsidP="00B05614">
            <w:pPr>
              <w:pStyle w:val="TableText"/>
              <w:jc w:val="right"/>
            </w:pPr>
            <w:r w:rsidRPr="0010735E">
              <w:t>0.005</w:t>
            </w:r>
          </w:p>
        </w:tc>
        <w:tc>
          <w:tcPr>
            <w:tcW w:w="1021" w:type="dxa"/>
            <w:shd w:val="clear" w:color="auto" w:fill="FFFFFF"/>
            <w:tcMar>
              <w:top w:w="0" w:type="dxa"/>
              <w:left w:w="85" w:type="dxa"/>
              <w:bottom w:w="0" w:type="dxa"/>
              <w:right w:w="85" w:type="dxa"/>
            </w:tcMar>
          </w:tcPr>
          <w:p w14:paraId="296876F2" w14:textId="77777777" w:rsidR="00BB3E1E" w:rsidRPr="0010735E" w:rsidRDefault="00BB3E1E" w:rsidP="00B05614">
            <w:pPr>
              <w:pStyle w:val="TableText"/>
              <w:jc w:val="right"/>
            </w:pPr>
            <w:r w:rsidRPr="0010735E">
              <w:t>0.8</w:t>
            </w:r>
          </w:p>
        </w:tc>
        <w:tc>
          <w:tcPr>
            <w:tcW w:w="907" w:type="dxa"/>
            <w:shd w:val="clear" w:color="auto" w:fill="FFFFFF"/>
            <w:tcMar>
              <w:top w:w="0" w:type="dxa"/>
              <w:left w:w="85" w:type="dxa"/>
              <w:bottom w:w="0" w:type="dxa"/>
              <w:right w:w="85" w:type="dxa"/>
            </w:tcMar>
          </w:tcPr>
          <w:p w14:paraId="27A7E055" w14:textId="77777777" w:rsidR="00BB3E1E" w:rsidRPr="0010735E" w:rsidRDefault="00BB3E1E" w:rsidP="00B05614">
            <w:pPr>
              <w:pStyle w:val="TableText"/>
              <w:jc w:val="right"/>
            </w:pPr>
            <w:r w:rsidRPr="0010735E">
              <w:t>85.9</w:t>
            </w:r>
          </w:p>
        </w:tc>
      </w:tr>
      <w:tr w:rsidR="00AD2A3E" w:rsidRPr="0010735E" w14:paraId="44213D1B" w14:textId="77777777" w:rsidTr="00AD2A3E">
        <w:trPr>
          <w:cantSplit/>
          <w:trHeight w:val="283"/>
        </w:trPr>
        <w:tc>
          <w:tcPr>
            <w:tcW w:w="911" w:type="dxa"/>
            <w:shd w:val="clear" w:color="auto" w:fill="FFFFFF"/>
            <w:tcMar>
              <w:top w:w="0" w:type="dxa"/>
              <w:left w:w="85" w:type="dxa"/>
              <w:bottom w:w="0" w:type="dxa"/>
              <w:right w:w="85" w:type="dxa"/>
            </w:tcMar>
          </w:tcPr>
          <w:p w14:paraId="6EEA506C" w14:textId="77777777" w:rsidR="00BB3E1E" w:rsidRPr="0010735E" w:rsidRDefault="00BB3E1E" w:rsidP="00B05614">
            <w:pPr>
              <w:pStyle w:val="TableText"/>
            </w:pPr>
            <w:r w:rsidRPr="0010735E" w:rsidDel="000E4F67">
              <w:t>1.A.4.b</w:t>
            </w:r>
          </w:p>
        </w:tc>
        <w:tc>
          <w:tcPr>
            <w:tcW w:w="2041" w:type="dxa"/>
            <w:shd w:val="clear" w:color="auto" w:fill="FFFFFF"/>
            <w:tcMar>
              <w:top w:w="0" w:type="dxa"/>
              <w:left w:w="85" w:type="dxa"/>
              <w:bottom w:w="0" w:type="dxa"/>
              <w:right w:w="85" w:type="dxa"/>
            </w:tcMar>
          </w:tcPr>
          <w:p w14:paraId="2E1C443C" w14:textId="77777777" w:rsidR="00BB3E1E" w:rsidRPr="0010735E" w:rsidRDefault="00BB3E1E" w:rsidP="00B05614">
            <w:pPr>
              <w:pStyle w:val="TableText"/>
            </w:pPr>
            <w:r w:rsidRPr="0010735E">
              <w:t>Other Sectors – Residential Liquid Fuels</w:t>
            </w:r>
          </w:p>
        </w:tc>
        <w:tc>
          <w:tcPr>
            <w:tcW w:w="492" w:type="dxa"/>
            <w:shd w:val="clear" w:color="auto" w:fill="FFFFFF"/>
            <w:tcMar>
              <w:top w:w="0" w:type="dxa"/>
              <w:left w:w="85" w:type="dxa"/>
              <w:bottom w:w="0" w:type="dxa"/>
              <w:right w:w="85" w:type="dxa"/>
            </w:tcMar>
          </w:tcPr>
          <w:p w14:paraId="0D727529"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7B0564AE" w14:textId="77777777" w:rsidR="00BB3E1E" w:rsidRPr="0010735E" w:rsidRDefault="00BB3E1E" w:rsidP="00B05614">
            <w:pPr>
              <w:pStyle w:val="TableText"/>
              <w:jc w:val="right"/>
            </w:pPr>
            <w:r w:rsidRPr="0010735E">
              <w:t>814.5</w:t>
            </w:r>
          </w:p>
        </w:tc>
        <w:tc>
          <w:tcPr>
            <w:tcW w:w="964" w:type="dxa"/>
            <w:shd w:val="clear" w:color="auto" w:fill="FFFFFF"/>
            <w:tcMar>
              <w:top w:w="0" w:type="dxa"/>
              <w:left w:w="85" w:type="dxa"/>
              <w:bottom w:w="0" w:type="dxa"/>
              <w:right w:w="85" w:type="dxa"/>
            </w:tcMar>
          </w:tcPr>
          <w:p w14:paraId="18F46FA8" w14:textId="77777777" w:rsidR="00BB3E1E" w:rsidRPr="0010735E" w:rsidRDefault="00BB3E1E" w:rsidP="00B05614">
            <w:pPr>
              <w:pStyle w:val="TableText"/>
              <w:jc w:val="right"/>
            </w:pPr>
            <w:r w:rsidRPr="0010735E">
              <w:t>1,313.1</w:t>
            </w:r>
          </w:p>
        </w:tc>
        <w:tc>
          <w:tcPr>
            <w:tcW w:w="964" w:type="dxa"/>
            <w:shd w:val="clear" w:color="auto" w:fill="FFFFFF"/>
            <w:tcMar>
              <w:top w:w="0" w:type="dxa"/>
              <w:left w:w="85" w:type="dxa"/>
              <w:bottom w:w="0" w:type="dxa"/>
              <w:right w:w="85" w:type="dxa"/>
            </w:tcMar>
          </w:tcPr>
          <w:p w14:paraId="746C5107" w14:textId="77777777" w:rsidR="00BB3E1E" w:rsidRPr="0010735E" w:rsidRDefault="00BB3E1E" w:rsidP="00B05614">
            <w:pPr>
              <w:pStyle w:val="TableText"/>
              <w:jc w:val="right"/>
            </w:pPr>
            <w:r w:rsidRPr="0010735E">
              <w:t>0.005</w:t>
            </w:r>
          </w:p>
        </w:tc>
        <w:tc>
          <w:tcPr>
            <w:tcW w:w="1021" w:type="dxa"/>
            <w:shd w:val="clear" w:color="auto" w:fill="FFFFFF"/>
            <w:tcMar>
              <w:top w:w="0" w:type="dxa"/>
              <w:left w:w="85" w:type="dxa"/>
              <w:bottom w:w="0" w:type="dxa"/>
              <w:right w:w="85" w:type="dxa"/>
            </w:tcMar>
          </w:tcPr>
          <w:p w14:paraId="7A6D60F1" w14:textId="77777777" w:rsidR="00BB3E1E" w:rsidRPr="0010735E" w:rsidRDefault="00BB3E1E" w:rsidP="00B05614">
            <w:pPr>
              <w:pStyle w:val="TableText"/>
              <w:jc w:val="right"/>
            </w:pPr>
            <w:r w:rsidRPr="0010735E">
              <w:t>0.8</w:t>
            </w:r>
          </w:p>
        </w:tc>
        <w:tc>
          <w:tcPr>
            <w:tcW w:w="907" w:type="dxa"/>
            <w:shd w:val="clear" w:color="auto" w:fill="FFFFFF"/>
            <w:tcMar>
              <w:top w:w="0" w:type="dxa"/>
              <w:left w:w="85" w:type="dxa"/>
              <w:bottom w:w="0" w:type="dxa"/>
              <w:right w:w="85" w:type="dxa"/>
            </w:tcMar>
          </w:tcPr>
          <w:p w14:paraId="512CF0DD" w14:textId="77777777" w:rsidR="00BB3E1E" w:rsidRPr="0010735E" w:rsidRDefault="00BB3E1E" w:rsidP="00B05614">
            <w:pPr>
              <w:pStyle w:val="TableText"/>
              <w:jc w:val="right"/>
            </w:pPr>
            <w:r w:rsidRPr="0010735E">
              <w:t>86.7</w:t>
            </w:r>
          </w:p>
        </w:tc>
      </w:tr>
      <w:tr w:rsidR="00AD2A3E" w:rsidRPr="0010735E" w14:paraId="4BE9917E" w14:textId="77777777" w:rsidTr="00AD2A3E">
        <w:trPr>
          <w:cantSplit/>
          <w:trHeight w:val="283"/>
        </w:trPr>
        <w:tc>
          <w:tcPr>
            <w:tcW w:w="911" w:type="dxa"/>
            <w:shd w:val="clear" w:color="auto" w:fill="FFFFFF"/>
            <w:tcMar>
              <w:top w:w="0" w:type="dxa"/>
              <w:left w:w="85" w:type="dxa"/>
              <w:bottom w:w="0" w:type="dxa"/>
              <w:right w:w="85" w:type="dxa"/>
            </w:tcMar>
          </w:tcPr>
          <w:p w14:paraId="4A320116" w14:textId="77777777" w:rsidR="00BB3E1E" w:rsidRPr="0010735E" w:rsidRDefault="00BB3E1E" w:rsidP="00B05614">
            <w:pPr>
              <w:pStyle w:val="TableText"/>
            </w:pPr>
            <w:r w:rsidRPr="0010735E" w:rsidDel="000E4F67">
              <w:t>1.A.2.f</w:t>
            </w:r>
          </w:p>
        </w:tc>
        <w:tc>
          <w:tcPr>
            <w:tcW w:w="2041" w:type="dxa"/>
            <w:shd w:val="clear" w:color="auto" w:fill="FFFFFF"/>
            <w:tcMar>
              <w:top w:w="0" w:type="dxa"/>
              <w:left w:w="85" w:type="dxa"/>
              <w:bottom w:w="0" w:type="dxa"/>
              <w:right w:w="85" w:type="dxa"/>
            </w:tcMar>
          </w:tcPr>
          <w:p w14:paraId="7B607F62" w14:textId="77777777" w:rsidR="00BB3E1E" w:rsidRPr="0010735E" w:rsidRDefault="00BB3E1E" w:rsidP="00B05614">
            <w:pPr>
              <w:pStyle w:val="TableText"/>
            </w:pPr>
            <w:r w:rsidRPr="0010735E">
              <w:t xml:space="preserve">Manufacturing Industries and Construction – Non-metallic Minerals Solid </w:t>
            </w:r>
            <w:r w:rsidRPr="0010735E" w:rsidDel="000E4F67">
              <w:t>Fuels</w:t>
            </w:r>
          </w:p>
        </w:tc>
        <w:tc>
          <w:tcPr>
            <w:tcW w:w="492" w:type="dxa"/>
            <w:shd w:val="clear" w:color="auto" w:fill="FFFFFF"/>
            <w:tcMar>
              <w:top w:w="0" w:type="dxa"/>
              <w:left w:w="85" w:type="dxa"/>
              <w:bottom w:w="0" w:type="dxa"/>
              <w:right w:w="85" w:type="dxa"/>
            </w:tcMar>
          </w:tcPr>
          <w:p w14:paraId="4003BD00"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6A768024" w14:textId="77777777" w:rsidR="00BB3E1E" w:rsidRPr="0010735E" w:rsidRDefault="00BB3E1E" w:rsidP="00B05614">
            <w:pPr>
              <w:pStyle w:val="TableText"/>
              <w:jc w:val="right"/>
            </w:pPr>
            <w:r w:rsidRPr="0010735E">
              <w:t>382.9</w:t>
            </w:r>
          </w:p>
        </w:tc>
        <w:tc>
          <w:tcPr>
            <w:tcW w:w="964" w:type="dxa"/>
            <w:shd w:val="clear" w:color="auto" w:fill="FFFFFF"/>
            <w:tcMar>
              <w:top w:w="0" w:type="dxa"/>
              <w:left w:w="85" w:type="dxa"/>
              <w:bottom w:w="0" w:type="dxa"/>
              <w:right w:w="85" w:type="dxa"/>
            </w:tcMar>
          </w:tcPr>
          <w:p w14:paraId="5F1EC86E" w14:textId="77777777" w:rsidR="00BB3E1E" w:rsidRPr="0010735E" w:rsidRDefault="00BB3E1E" w:rsidP="00B05614">
            <w:pPr>
              <w:pStyle w:val="TableText"/>
              <w:jc w:val="right"/>
            </w:pPr>
            <w:r w:rsidRPr="0010735E">
              <w:t>178.4</w:t>
            </w:r>
          </w:p>
        </w:tc>
        <w:tc>
          <w:tcPr>
            <w:tcW w:w="964" w:type="dxa"/>
            <w:shd w:val="clear" w:color="auto" w:fill="FFFFFF"/>
            <w:tcMar>
              <w:top w:w="0" w:type="dxa"/>
              <w:left w:w="85" w:type="dxa"/>
              <w:bottom w:w="0" w:type="dxa"/>
              <w:right w:w="85" w:type="dxa"/>
            </w:tcMar>
          </w:tcPr>
          <w:p w14:paraId="3AFC1E9F" w14:textId="77777777" w:rsidR="00BB3E1E" w:rsidRPr="0010735E" w:rsidRDefault="00BB3E1E" w:rsidP="00B05614">
            <w:pPr>
              <w:pStyle w:val="TableText"/>
              <w:jc w:val="right"/>
            </w:pPr>
            <w:r w:rsidRPr="0010735E">
              <w:t>0.004</w:t>
            </w:r>
          </w:p>
        </w:tc>
        <w:tc>
          <w:tcPr>
            <w:tcW w:w="1021" w:type="dxa"/>
            <w:shd w:val="clear" w:color="auto" w:fill="FFFFFF"/>
            <w:tcMar>
              <w:top w:w="0" w:type="dxa"/>
              <w:left w:w="85" w:type="dxa"/>
              <w:bottom w:w="0" w:type="dxa"/>
              <w:right w:w="85" w:type="dxa"/>
            </w:tcMar>
          </w:tcPr>
          <w:p w14:paraId="752F7A7F" w14:textId="77777777" w:rsidR="00BB3E1E" w:rsidRPr="0010735E" w:rsidRDefault="00BB3E1E" w:rsidP="00B05614">
            <w:pPr>
              <w:pStyle w:val="TableText"/>
              <w:jc w:val="right"/>
            </w:pPr>
            <w:r w:rsidRPr="0010735E">
              <w:t>0.7</w:t>
            </w:r>
          </w:p>
        </w:tc>
        <w:tc>
          <w:tcPr>
            <w:tcW w:w="907" w:type="dxa"/>
            <w:shd w:val="clear" w:color="auto" w:fill="FFFFFF"/>
            <w:tcMar>
              <w:top w:w="0" w:type="dxa"/>
              <w:left w:w="85" w:type="dxa"/>
              <w:bottom w:w="0" w:type="dxa"/>
              <w:right w:w="85" w:type="dxa"/>
            </w:tcMar>
          </w:tcPr>
          <w:p w14:paraId="397B57F1" w14:textId="77777777" w:rsidR="00BB3E1E" w:rsidRPr="0010735E" w:rsidRDefault="00BB3E1E" w:rsidP="00B05614">
            <w:pPr>
              <w:pStyle w:val="TableText"/>
              <w:jc w:val="right"/>
            </w:pPr>
            <w:r w:rsidRPr="0010735E">
              <w:t>87.4</w:t>
            </w:r>
          </w:p>
        </w:tc>
      </w:tr>
      <w:tr w:rsidR="00AD2A3E" w:rsidRPr="0010735E" w14:paraId="1FB5712C" w14:textId="77777777" w:rsidTr="00AD2A3E">
        <w:trPr>
          <w:cantSplit/>
          <w:trHeight w:val="283"/>
        </w:trPr>
        <w:tc>
          <w:tcPr>
            <w:tcW w:w="911" w:type="dxa"/>
            <w:shd w:val="clear" w:color="auto" w:fill="FFFFFF"/>
            <w:tcMar>
              <w:top w:w="0" w:type="dxa"/>
              <w:left w:w="85" w:type="dxa"/>
              <w:bottom w:w="0" w:type="dxa"/>
              <w:right w:w="85" w:type="dxa"/>
            </w:tcMar>
          </w:tcPr>
          <w:p w14:paraId="5A7F598D" w14:textId="77777777" w:rsidR="00BB3E1E" w:rsidRPr="0010735E" w:rsidRDefault="00BB3E1E" w:rsidP="00B05614">
            <w:pPr>
              <w:pStyle w:val="TableText"/>
            </w:pPr>
            <w:r w:rsidRPr="0010735E" w:rsidDel="000E4F67">
              <w:t>1.A.2.g.iii</w:t>
            </w:r>
          </w:p>
        </w:tc>
        <w:tc>
          <w:tcPr>
            <w:tcW w:w="2041" w:type="dxa"/>
            <w:shd w:val="clear" w:color="auto" w:fill="FFFFFF"/>
            <w:tcMar>
              <w:top w:w="0" w:type="dxa"/>
              <w:left w:w="85" w:type="dxa"/>
              <w:bottom w:w="0" w:type="dxa"/>
              <w:right w:w="85" w:type="dxa"/>
            </w:tcMar>
          </w:tcPr>
          <w:p w14:paraId="629B5AB3" w14:textId="77777777" w:rsidR="00BB3E1E" w:rsidRPr="0010735E" w:rsidRDefault="00BB3E1E" w:rsidP="00B05614">
            <w:pPr>
              <w:pStyle w:val="TableText"/>
            </w:pPr>
            <w:r w:rsidRPr="0010735E">
              <w:t xml:space="preserve">Other (please specify) – Mining (excluding fuels) and Quarrying Liquid </w:t>
            </w:r>
            <w:r w:rsidRPr="0010735E" w:rsidDel="000E4F67">
              <w:t>Fuels</w:t>
            </w:r>
          </w:p>
        </w:tc>
        <w:tc>
          <w:tcPr>
            <w:tcW w:w="492" w:type="dxa"/>
            <w:shd w:val="clear" w:color="auto" w:fill="FFFFFF"/>
            <w:tcMar>
              <w:top w:w="0" w:type="dxa"/>
              <w:left w:w="85" w:type="dxa"/>
              <w:bottom w:w="0" w:type="dxa"/>
              <w:right w:w="85" w:type="dxa"/>
            </w:tcMar>
          </w:tcPr>
          <w:p w14:paraId="7CF3751E"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22E0F5EA" w14:textId="77777777" w:rsidR="00BB3E1E" w:rsidRPr="0010735E" w:rsidRDefault="00BB3E1E" w:rsidP="00B05614">
            <w:pPr>
              <w:pStyle w:val="TableText"/>
              <w:jc w:val="right"/>
            </w:pPr>
            <w:r w:rsidRPr="0010735E">
              <w:t>94.1</w:t>
            </w:r>
          </w:p>
        </w:tc>
        <w:tc>
          <w:tcPr>
            <w:tcW w:w="964" w:type="dxa"/>
            <w:shd w:val="clear" w:color="auto" w:fill="FFFFFF"/>
            <w:tcMar>
              <w:top w:w="0" w:type="dxa"/>
              <w:left w:w="85" w:type="dxa"/>
              <w:bottom w:w="0" w:type="dxa"/>
              <w:right w:w="85" w:type="dxa"/>
            </w:tcMar>
          </w:tcPr>
          <w:p w14:paraId="2B46C8C8" w14:textId="77777777" w:rsidR="00BB3E1E" w:rsidRPr="0010735E" w:rsidRDefault="00BB3E1E" w:rsidP="00B05614">
            <w:pPr>
              <w:pStyle w:val="TableText"/>
              <w:jc w:val="right"/>
            </w:pPr>
            <w:r w:rsidRPr="0010735E">
              <w:t>365.4</w:t>
            </w:r>
          </w:p>
        </w:tc>
        <w:tc>
          <w:tcPr>
            <w:tcW w:w="964" w:type="dxa"/>
            <w:shd w:val="clear" w:color="auto" w:fill="FFFFFF"/>
            <w:tcMar>
              <w:top w:w="0" w:type="dxa"/>
              <w:left w:w="85" w:type="dxa"/>
              <w:bottom w:w="0" w:type="dxa"/>
              <w:right w:w="85" w:type="dxa"/>
            </w:tcMar>
          </w:tcPr>
          <w:p w14:paraId="55917207" w14:textId="77777777" w:rsidR="00BB3E1E" w:rsidRPr="0010735E" w:rsidRDefault="00BB3E1E" w:rsidP="00B05614">
            <w:pPr>
              <w:pStyle w:val="TableText"/>
              <w:jc w:val="right"/>
            </w:pPr>
            <w:r w:rsidRPr="0010735E">
              <w:t>0.004</w:t>
            </w:r>
          </w:p>
        </w:tc>
        <w:tc>
          <w:tcPr>
            <w:tcW w:w="1021" w:type="dxa"/>
            <w:shd w:val="clear" w:color="auto" w:fill="FFFFFF"/>
            <w:tcMar>
              <w:top w:w="0" w:type="dxa"/>
              <w:left w:w="85" w:type="dxa"/>
              <w:bottom w:w="0" w:type="dxa"/>
              <w:right w:w="85" w:type="dxa"/>
            </w:tcMar>
          </w:tcPr>
          <w:p w14:paraId="47D05A6C" w14:textId="77777777" w:rsidR="00BB3E1E" w:rsidRPr="0010735E" w:rsidRDefault="00BB3E1E" w:rsidP="00B05614">
            <w:pPr>
              <w:pStyle w:val="TableText"/>
              <w:jc w:val="right"/>
            </w:pPr>
            <w:r w:rsidRPr="0010735E">
              <w:t>0.6</w:t>
            </w:r>
          </w:p>
        </w:tc>
        <w:tc>
          <w:tcPr>
            <w:tcW w:w="907" w:type="dxa"/>
            <w:shd w:val="clear" w:color="auto" w:fill="FFFFFF"/>
            <w:tcMar>
              <w:top w:w="0" w:type="dxa"/>
              <w:left w:w="85" w:type="dxa"/>
              <w:bottom w:w="0" w:type="dxa"/>
              <w:right w:w="85" w:type="dxa"/>
            </w:tcMar>
          </w:tcPr>
          <w:p w14:paraId="1F29BFF2" w14:textId="77777777" w:rsidR="00BB3E1E" w:rsidRPr="0010735E" w:rsidRDefault="00BB3E1E" w:rsidP="00B05614">
            <w:pPr>
              <w:pStyle w:val="TableText"/>
              <w:jc w:val="right"/>
            </w:pPr>
            <w:r w:rsidRPr="0010735E">
              <w:t>88.0</w:t>
            </w:r>
          </w:p>
        </w:tc>
      </w:tr>
      <w:tr w:rsidR="00AD2A3E" w:rsidRPr="0010735E" w14:paraId="5DA5A807" w14:textId="77777777" w:rsidTr="00AD2A3E">
        <w:trPr>
          <w:cantSplit/>
          <w:trHeight w:val="283"/>
        </w:trPr>
        <w:tc>
          <w:tcPr>
            <w:tcW w:w="911" w:type="dxa"/>
            <w:shd w:val="clear" w:color="auto" w:fill="FFFFFF"/>
            <w:tcMar>
              <w:top w:w="0" w:type="dxa"/>
              <w:left w:w="85" w:type="dxa"/>
              <w:bottom w:w="0" w:type="dxa"/>
              <w:right w:w="85" w:type="dxa"/>
            </w:tcMar>
          </w:tcPr>
          <w:p w14:paraId="0EC358B0" w14:textId="77777777" w:rsidR="00BB3E1E" w:rsidRPr="0010735E" w:rsidRDefault="00BB3E1E" w:rsidP="00B05614">
            <w:pPr>
              <w:pStyle w:val="TableText"/>
            </w:pPr>
            <w:r w:rsidRPr="0010735E" w:rsidDel="000E4F67">
              <w:t>3.A.4</w:t>
            </w:r>
          </w:p>
        </w:tc>
        <w:tc>
          <w:tcPr>
            <w:tcW w:w="2041" w:type="dxa"/>
            <w:shd w:val="clear" w:color="auto" w:fill="FFFFFF"/>
            <w:tcMar>
              <w:top w:w="0" w:type="dxa"/>
              <w:left w:w="85" w:type="dxa"/>
              <w:bottom w:w="0" w:type="dxa"/>
              <w:right w:w="85" w:type="dxa"/>
            </w:tcMar>
          </w:tcPr>
          <w:p w14:paraId="772E1826" w14:textId="77777777" w:rsidR="00BB3E1E" w:rsidRPr="0010735E" w:rsidRDefault="00BB3E1E" w:rsidP="00B05614">
            <w:pPr>
              <w:pStyle w:val="TableText"/>
            </w:pPr>
            <w:r w:rsidRPr="0010735E">
              <w:t xml:space="preserve">Other Livestock – </w:t>
            </w:r>
            <w:r w:rsidRPr="0010735E" w:rsidDel="000E4F67">
              <w:t>Goats</w:t>
            </w:r>
          </w:p>
        </w:tc>
        <w:tc>
          <w:tcPr>
            <w:tcW w:w="492" w:type="dxa"/>
            <w:shd w:val="clear" w:color="auto" w:fill="FFFFFF"/>
            <w:tcMar>
              <w:top w:w="0" w:type="dxa"/>
              <w:left w:w="85" w:type="dxa"/>
              <w:bottom w:w="0" w:type="dxa"/>
              <w:right w:w="85" w:type="dxa"/>
            </w:tcMar>
          </w:tcPr>
          <w:p w14:paraId="3E615D32" w14:textId="77777777" w:rsidR="00BB3E1E" w:rsidRPr="0010735E" w:rsidRDefault="00BB3E1E" w:rsidP="00B05614">
            <w:pPr>
              <w:pStyle w:val="TableText"/>
            </w:pPr>
            <w:r w:rsidRPr="0010735E" w:rsidDel="000E4F67">
              <w:t>CH</w:t>
            </w:r>
            <w:r w:rsidRPr="0010735E" w:rsidDel="000E4F67">
              <w:rPr>
                <w:vertAlign w:val="subscript"/>
              </w:rPr>
              <w:t>4</w:t>
            </w:r>
          </w:p>
        </w:tc>
        <w:tc>
          <w:tcPr>
            <w:tcW w:w="964" w:type="dxa"/>
            <w:shd w:val="clear" w:color="auto" w:fill="FFFFFF"/>
            <w:tcMar>
              <w:top w:w="0" w:type="dxa"/>
              <w:left w:w="85" w:type="dxa"/>
              <w:bottom w:w="0" w:type="dxa"/>
              <w:right w:w="85" w:type="dxa"/>
            </w:tcMar>
          </w:tcPr>
          <w:p w14:paraId="38411684" w14:textId="77777777" w:rsidR="00BB3E1E" w:rsidRPr="0010735E" w:rsidRDefault="00BB3E1E" w:rsidP="00B05614">
            <w:pPr>
              <w:pStyle w:val="TableText"/>
              <w:jc w:val="right"/>
            </w:pPr>
            <w:r w:rsidRPr="0010735E">
              <w:t>196.6</w:t>
            </w:r>
          </w:p>
        </w:tc>
        <w:tc>
          <w:tcPr>
            <w:tcW w:w="964" w:type="dxa"/>
            <w:shd w:val="clear" w:color="auto" w:fill="FFFFFF"/>
            <w:tcMar>
              <w:top w:w="0" w:type="dxa"/>
              <w:left w:w="85" w:type="dxa"/>
              <w:bottom w:w="0" w:type="dxa"/>
              <w:right w:w="85" w:type="dxa"/>
            </w:tcMar>
          </w:tcPr>
          <w:p w14:paraId="34098724" w14:textId="77777777" w:rsidR="00BB3E1E" w:rsidRPr="0010735E" w:rsidRDefault="00BB3E1E" w:rsidP="00B05614">
            <w:pPr>
              <w:pStyle w:val="TableText"/>
              <w:jc w:val="right"/>
            </w:pPr>
            <w:r w:rsidRPr="0010735E">
              <w:t>21.6</w:t>
            </w:r>
          </w:p>
        </w:tc>
        <w:tc>
          <w:tcPr>
            <w:tcW w:w="964" w:type="dxa"/>
            <w:shd w:val="clear" w:color="auto" w:fill="FFFFFF"/>
            <w:tcMar>
              <w:top w:w="0" w:type="dxa"/>
              <w:left w:w="85" w:type="dxa"/>
              <w:bottom w:w="0" w:type="dxa"/>
              <w:right w:w="85" w:type="dxa"/>
            </w:tcMar>
          </w:tcPr>
          <w:p w14:paraId="6C924AF7" w14:textId="77777777" w:rsidR="00BB3E1E" w:rsidRPr="0010735E" w:rsidRDefault="00BB3E1E" w:rsidP="00B05614">
            <w:pPr>
              <w:pStyle w:val="TableText"/>
              <w:jc w:val="right"/>
            </w:pPr>
            <w:r w:rsidRPr="0010735E">
              <w:t>0.003</w:t>
            </w:r>
          </w:p>
        </w:tc>
        <w:tc>
          <w:tcPr>
            <w:tcW w:w="1021" w:type="dxa"/>
            <w:shd w:val="clear" w:color="auto" w:fill="FFFFFF"/>
            <w:tcMar>
              <w:top w:w="0" w:type="dxa"/>
              <w:left w:w="85" w:type="dxa"/>
              <w:bottom w:w="0" w:type="dxa"/>
              <w:right w:w="85" w:type="dxa"/>
            </w:tcMar>
          </w:tcPr>
          <w:p w14:paraId="4352CC3C" w14:textId="77777777" w:rsidR="00BB3E1E" w:rsidRPr="0010735E" w:rsidRDefault="00BB3E1E" w:rsidP="00B05614">
            <w:pPr>
              <w:pStyle w:val="TableText"/>
              <w:jc w:val="right"/>
            </w:pPr>
            <w:r w:rsidRPr="0010735E">
              <w:t>0.5</w:t>
            </w:r>
          </w:p>
        </w:tc>
        <w:tc>
          <w:tcPr>
            <w:tcW w:w="907" w:type="dxa"/>
            <w:shd w:val="clear" w:color="auto" w:fill="FFFFFF"/>
            <w:tcMar>
              <w:top w:w="0" w:type="dxa"/>
              <w:left w:w="85" w:type="dxa"/>
              <w:bottom w:w="0" w:type="dxa"/>
              <w:right w:w="85" w:type="dxa"/>
            </w:tcMar>
          </w:tcPr>
          <w:p w14:paraId="5A71DFDB" w14:textId="77777777" w:rsidR="00BB3E1E" w:rsidRPr="0010735E" w:rsidRDefault="00BB3E1E" w:rsidP="00B05614">
            <w:pPr>
              <w:pStyle w:val="TableText"/>
              <w:jc w:val="right"/>
            </w:pPr>
            <w:r w:rsidRPr="0010735E">
              <w:t>88.5</w:t>
            </w:r>
          </w:p>
        </w:tc>
      </w:tr>
      <w:tr w:rsidR="00AD2A3E" w:rsidRPr="0010735E" w14:paraId="607B07F1" w14:textId="77777777" w:rsidTr="00AD2A3E">
        <w:trPr>
          <w:cantSplit/>
          <w:trHeight w:val="283"/>
        </w:trPr>
        <w:tc>
          <w:tcPr>
            <w:tcW w:w="911" w:type="dxa"/>
            <w:shd w:val="clear" w:color="auto" w:fill="FFFFFF"/>
            <w:tcMar>
              <w:top w:w="0" w:type="dxa"/>
              <w:left w:w="85" w:type="dxa"/>
              <w:bottom w:w="0" w:type="dxa"/>
              <w:right w:w="85" w:type="dxa"/>
            </w:tcMar>
          </w:tcPr>
          <w:p w14:paraId="372BFBB8" w14:textId="77777777" w:rsidR="00BB3E1E" w:rsidRPr="0010735E" w:rsidRDefault="00BB3E1E" w:rsidP="00B05614">
            <w:pPr>
              <w:pStyle w:val="TableText"/>
            </w:pPr>
            <w:r w:rsidRPr="0010735E" w:rsidDel="000E4F67">
              <w:t>3.D.1.3</w:t>
            </w:r>
          </w:p>
        </w:tc>
        <w:tc>
          <w:tcPr>
            <w:tcW w:w="2041" w:type="dxa"/>
            <w:shd w:val="clear" w:color="auto" w:fill="FFFFFF"/>
            <w:tcMar>
              <w:top w:w="0" w:type="dxa"/>
              <w:left w:w="85" w:type="dxa"/>
              <w:bottom w:w="0" w:type="dxa"/>
              <w:right w:w="85" w:type="dxa"/>
            </w:tcMar>
          </w:tcPr>
          <w:p w14:paraId="2D64A041" w14:textId="77777777" w:rsidR="00BB3E1E" w:rsidRPr="0010735E" w:rsidRDefault="00BB3E1E" w:rsidP="00B05614">
            <w:pPr>
              <w:pStyle w:val="TableText"/>
            </w:pPr>
            <w:r w:rsidRPr="0010735E">
              <w:t>Direct N</w:t>
            </w:r>
            <w:r w:rsidRPr="0010735E">
              <w:rPr>
                <w:vertAlign w:val="subscript"/>
              </w:rPr>
              <w:t>2</w:t>
            </w:r>
            <w:r w:rsidRPr="0010735E">
              <w:t xml:space="preserve">O Emissions from Managed Soils – Urine and Dung Deposited by Grazing </w:t>
            </w:r>
            <w:r w:rsidRPr="0010735E" w:rsidDel="000E4F67">
              <w:t>Animals</w:t>
            </w:r>
          </w:p>
        </w:tc>
        <w:tc>
          <w:tcPr>
            <w:tcW w:w="492" w:type="dxa"/>
            <w:shd w:val="clear" w:color="auto" w:fill="FFFFFF"/>
            <w:tcMar>
              <w:top w:w="0" w:type="dxa"/>
              <w:left w:w="85" w:type="dxa"/>
              <w:bottom w:w="0" w:type="dxa"/>
              <w:right w:w="85" w:type="dxa"/>
            </w:tcMar>
          </w:tcPr>
          <w:p w14:paraId="0864B25C" w14:textId="77777777" w:rsidR="00BB3E1E" w:rsidRPr="0010735E" w:rsidRDefault="00BB3E1E" w:rsidP="00B05614">
            <w:pPr>
              <w:pStyle w:val="TableText"/>
            </w:pPr>
            <w:r w:rsidRPr="0010735E" w:rsidDel="000E4F67">
              <w:t>N</w:t>
            </w:r>
            <w:r w:rsidRPr="0010735E" w:rsidDel="000E4F67">
              <w:rPr>
                <w:vertAlign w:val="subscript"/>
              </w:rPr>
              <w:t>2</w:t>
            </w:r>
            <w:r w:rsidRPr="0010735E" w:rsidDel="000E4F67">
              <w:t>O</w:t>
            </w:r>
          </w:p>
        </w:tc>
        <w:tc>
          <w:tcPr>
            <w:tcW w:w="964" w:type="dxa"/>
            <w:shd w:val="clear" w:color="auto" w:fill="FFFFFF"/>
            <w:tcMar>
              <w:top w:w="0" w:type="dxa"/>
              <w:left w:w="85" w:type="dxa"/>
              <w:bottom w:w="0" w:type="dxa"/>
              <w:right w:w="85" w:type="dxa"/>
            </w:tcMar>
          </w:tcPr>
          <w:p w14:paraId="1A1B379C" w14:textId="77777777" w:rsidR="00BB3E1E" w:rsidRPr="0010735E" w:rsidRDefault="00BB3E1E" w:rsidP="00B05614">
            <w:pPr>
              <w:pStyle w:val="TableText"/>
              <w:jc w:val="right"/>
            </w:pPr>
            <w:r w:rsidRPr="0010735E">
              <w:t>3,068.6</w:t>
            </w:r>
          </w:p>
        </w:tc>
        <w:tc>
          <w:tcPr>
            <w:tcW w:w="964" w:type="dxa"/>
            <w:shd w:val="clear" w:color="auto" w:fill="FFFFFF"/>
            <w:tcMar>
              <w:top w:w="0" w:type="dxa"/>
              <w:left w:w="85" w:type="dxa"/>
              <w:bottom w:w="0" w:type="dxa"/>
              <w:right w:w="85" w:type="dxa"/>
            </w:tcMar>
          </w:tcPr>
          <w:p w14:paraId="21311A64" w14:textId="77777777" w:rsidR="00BB3E1E" w:rsidRPr="0010735E" w:rsidRDefault="00BB3E1E" w:rsidP="00B05614">
            <w:pPr>
              <w:pStyle w:val="TableText"/>
              <w:jc w:val="right"/>
            </w:pPr>
            <w:r w:rsidRPr="0010735E">
              <w:t>3,890.0</w:t>
            </w:r>
          </w:p>
        </w:tc>
        <w:tc>
          <w:tcPr>
            <w:tcW w:w="964" w:type="dxa"/>
            <w:shd w:val="clear" w:color="auto" w:fill="FFFFFF"/>
            <w:tcMar>
              <w:top w:w="0" w:type="dxa"/>
              <w:left w:w="85" w:type="dxa"/>
              <w:bottom w:w="0" w:type="dxa"/>
              <w:right w:w="85" w:type="dxa"/>
            </w:tcMar>
          </w:tcPr>
          <w:p w14:paraId="73CE2313" w14:textId="77777777" w:rsidR="00BB3E1E" w:rsidRPr="0010735E" w:rsidRDefault="00BB3E1E" w:rsidP="00B05614">
            <w:pPr>
              <w:pStyle w:val="TableText"/>
              <w:jc w:val="right"/>
            </w:pPr>
            <w:r w:rsidRPr="0010735E">
              <w:t>0.003</w:t>
            </w:r>
          </w:p>
        </w:tc>
        <w:tc>
          <w:tcPr>
            <w:tcW w:w="1021" w:type="dxa"/>
            <w:shd w:val="clear" w:color="auto" w:fill="FFFFFF"/>
            <w:tcMar>
              <w:top w:w="0" w:type="dxa"/>
              <w:left w:w="85" w:type="dxa"/>
              <w:bottom w:w="0" w:type="dxa"/>
              <w:right w:w="85" w:type="dxa"/>
            </w:tcMar>
          </w:tcPr>
          <w:p w14:paraId="46248B4F" w14:textId="77777777" w:rsidR="00BB3E1E" w:rsidRPr="0010735E" w:rsidRDefault="00BB3E1E" w:rsidP="00B05614">
            <w:pPr>
              <w:pStyle w:val="TableText"/>
              <w:jc w:val="right"/>
            </w:pPr>
            <w:r w:rsidRPr="0010735E">
              <w:t>0.4</w:t>
            </w:r>
          </w:p>
        </w:tc>
        <w:tc>
          <w:tcPr>
            <w:tcW w:w="907" w:type="dxa"/>
            <w:shd w:val="clear" w:color="auto" w:fill="FFFFFF"/>
            <w:tcMar>
              <w:top w:w="0" w:type="dxa"/>
              <w:left w:w="85" w:type="dxa"/>
              <w:bottom w:w="0" w:type="dxa"/>
              <w:right w:w="85" w:type="dxa"/>
            </w:tcMar>
          </w:tcPr>
          <w:p w14:paraId="030135D6" w14:textId="77777777" w:rsidR="00BB3E1E" w:rsidRPr="0010735E" w:rsidRDefault="00BB3E1E" w:rsidP="00B05614">
            <w:pPr>
              <w:pStyle w:val="TableText"/>
              <w:jc w:val="right"/>
            </w:pPr>
            <w:r w:rsidRPr="0010735E">
              <w:t>88.9</w:t>
            </w:r>
          </w:p>
        </w:tc>
      </w:tr>
      <w:tr w:rsidR="00AD2A3E" w:rsidRPr="0010735E" w14:paraId="73ECFC5E" w14:textId="77777777" w:rsidTr="00AD2A3E">
        <w:trPr>
          <w:cantSplit/>
          <w:trHeight w:val="283"/>
        </w:trPr>
        <w:tc>
          <w:tcPr>
            <w:tcW w:w="911" w:type="dxa"/>
            <w:shd w:val="clear" w:color="auto" w:fill="FFFFFF"/>
            <w:tcMar>
              <w:top w:w="0" w:type="dxa"/>
              <w:left w:w="85" w:type="dxa"/>
              <w:bottom w:w="0" w:type="dxa"/>
              <w:right w:w="85" w:type="dxa"/>
            </w:tcMar>
          </w:tcPr>
          <w:p w14:paraId="6AEC810B" w14:textId="77777777" w:rsidR="00BB3E1E" w:rsidRPr="0010735E" w:rsidRDefault="00BB3E1E" w:rsidP="00B05614">
            <w:pPr>
              <w:pStyle w:val="TableText"/>
            </w:pPr>
            <w:r w:rsidRPr="0010735E" w:rsidDel="000E4F67">
              <w:t>1.B.2.d</w:t>
            </w:r>
          </w:p>
        </w:tc>
        <w:tc>
          <w:tcPr>
            <w:tcW w:w="2041" w:type="dxa"/>
            <w:shd w:val="clear" w:color="auto" w:fill="FFFFFF"/>
            <w:tcMar>
              <w:top w:w="0" w:type="dxa"/>
              <w:left w:w="85" w:type="dxa"/>
              <w:bottom w:w="0" w:type="dxa"/>
              <w:right w:w="85" w:type="dxa"/>
            </w:tcMar>
          </w:tcPr>
          <w:p w14:paraId="0E1F6156" w14:textId="77777777" w:rsidR="00BB3E1E" w:rsidRPr="0010735E" w:rsidRDefault="00BB3E1E" w:rsidP="00B05614">
            <w:pPr>
              <w:pStyle w:val="TableText"/>
            </w:pPr>
            <w:r w:rsidRPr="0010735E">
              <w:t xml:space="preserve">Other (please specify) – </w:t>
            </w:r>
            <w:r w:rsidRPr="0010735E" w:rsidDel="000E4F67">
              <w:t>Geothermal</w:t>
            </w:r>
          </w:p>
        </w:tc>
        <w:tc>
          <w:tcPr>
            <w:tcW w:w="492" w:type="dxa"/>
            <w:shd w:val="clear" w:color="auto" w:fill="FFFFFF"/>
            <w:tcMar>
              <w:top w:w="0" w:type="dxa"/>
              <w:left w:w="85" w:type="dxa"/>
              <w:bottom w:w="0" w:type="dxa"/>
              <w:right w:w="85" w:type="dxa"/>
            </w:tcMar>
          </w:tcPr>
          <w:p w14:paraId="64E5C7BA"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5E2C2035" w14:textId="77777777" w:rsidR="00BB3E1E" w:rsidRPr="0010735E" w:rsidRDefault="00BB3E1E" w:rsidP="00B05614">
            <w:pPr>
              <w:pStyle w:val="TableText"/>
              <w:jc w:val="right"/>
            </w:pPr>
            <w:r w:rsidRPr="0010735E">
              <w:t>228.6</w:t>
            </w:r>
          </w:p>
        </w:tc>
        <w:tc>
          <w:tcPr>
            <w:tcW w:w="964" w:type="dxa"/>
            <w:shd w:val="clear" w:color="auto" w:fill="FFFFFF"/>
            <w:tcMar>
              <w:top w:w="0" w:type="dxa"/>
              <w:left w:w="85" w:type="dxa"/>
              <w:bottom w:w="0" w:type="dxa"/>
              <w:right w:w="85" w:type="dxa"/>
            </w:tcMar>
          </w:tcPr>
          <w:p w14:paraId="5DDC71D6" w14:textId="77777777" w:rsidR="00BB3E1E" w:rsidRPr="0010735E" w:rsidRDefault="00BB3E1E" w:rsidP="00B05614">
            <w:pPr>
              <w:pStyle w:val="TableText"/>
              <w:jc w:val="right"/>
            </w:pPr>
            <w:r w:rsidRPr="0010735E">
              <w:t>449.7</w:t>
            </w:r>
          </w:p>
        </w:tc>
        <w:tc>
          <w:tcPr>
            <w:tcW w:w="964" w:type="dxa"/>
            <w:shd w:val="clear" w:color="auto" w:fill="FFFFFF"/>
            <w:tcMar>
              <w:top w:w="0" w:type="dxa"/>
              <w:left w:w="85" w:type="dxa"/>
              <w:bottom w:w="0" w:type="dxa"/>
              <w:right w:w="85" w:type="dxa"/>
            </w:tcMar>
          </w:tcPr>
          <w:p w14:paraId="6D07FDC0" w14:textId="77777777" w:rsidR="00BB3E1E" w:rsidRPr="0010735E" w:rsidRDefault="00BB3E1E" w:rsidP="00B05614">
            <w:pPr>
              <w:pStyle w:val="TableText"/>
              <w:jc w:val="right"/>
            </w:pPr>
            <w:r w:rsidRPr="0010735E">
              <w:t>0.003</w:t>
            </w:r>
          </w:p>
        </w:tc>
        <w:tc>
          <w:tcPr>
            <w:tcW w:w="1021" w:type="dxa"/>
            <w:shd w:val="clear" w:color="auto" w:fill="FFFFFF"/>
            <w:tcMar>
              <w:top w:w="0" w:type="dxa"/>
              <w:left w:w="85" w:type="dxa"/>
              <w:bottom w:w="0" w:type="dxa"/>
              <w:right w:w="85" w:type="dxa"/>
            </w:tcMar>
          </w:tcPr>
          <w:p w14:paraId="669E94E0" w14:textId="77777777" w:rsidR="00BB3E1E" w:rsidRPr="0010735E" w:rsidRDefault="00BB3E1E" w:rsidP="00B05614">
            <w:pPr>
              <w:pStyle w:val="TableText"/>
              <w:jc w:val="right"/>
            </w:pPr>
            <w:r w:rsidRPr="0010735E">
              <w:t>0.4</w:t>
            </w:r>
          </w:p>
        </w:tc>
        <w:tc>
          <w:tcPr>
            <w:tcW w:w="907" w:type="dxa"/>
            <w:shd w:val="clear" w:color="auto" w:fill="FFFFFF"/>
            <w:tcMar>
              <w:top w:w="0" w:type="dxa"/>
              <w:left w:w="85" w:type="dxa"/>
              <w:bottom w:w="0" w:type="dxa"/>
              <w:right w:w="85" w:type="dxa"/>
            </w:tcMar>
          </w:tcPr>
          <w:p w14:paraId="6CC24564" w14:textId="77777777" w:rsidR="00BB3E1E" w:rsidRPr="0010735E" w:rsidRDefault="00BB3E1E" w:rsidP="00B05614">
            <w:pPr>
              <w:pStyle w:val="TableText"/>
              <w:jc w:val="right"/>
            </w:pPr>
            <w:r w:rsidRPr="0010735E">
              <w:t>89.3</w:t>
            </w:r>
          </w:p>
        </w:tc>
      </w:tr>
      <w:tr w:rsidR="00AD2A3E" w:rsidRPr="0010735E" w14:paraId="04B6C58C" w14:textId="77777777" w:rsidTr="00AD2A3E">
        <w:trPr>
          <w:cantSplit/>
          <w:trHeight w:val="283"/>
        </w:trPr>
        <w:tc>
          <w:tcPr>
            <w:tcW w:w="911" w:type="dxa"/>
            <w:shd w:val="clear" w:color="auto" w:fill="FFFFFF"/>
            <w:tcMar>
              <w:top w:w="0" w:type="dxa"/>
              <w:left w:w="85" w:type="dxa"/>
              <w:bottom w:w="0" w:type="dxa"/>
              <w:right w:w="85" w:type="dxa"/>
            </w:tcMar>
          </w:tcPr>
          <w:p w14:paraId="659AA9D7" w14:textId="77777777" w:rsidR="00BB3E1E" w:rsidRPr="0010735E" w:rsidRDefault="00BB3E1E" w:rsidP="00B05614">
            <w:pPr>
              <w:pStyle w:val="TableText"/>
            </w:pPr>
            <w:r w:rsidRPr="0010735E" w:rsidDel="000E4F67">
              <w:t>1.A.3.b</w:t>
            </w:r>
          </w:p>
        </w:tc>
        <w:tc>
          <w:tcPr>
            <w:tcW w:w="2041" w:type="dxa"/>
            <w:shd w:val="clear" w:color="auto" w:fill="FFFFFF"/>
            <w:tcMar>
              <w:top w:w="0" w:type="dxa"/>
              <w:left w:w="85" w:type="dxa"/>
              <w:bottom w:w="0" w:type="dxa"/>
              <w:right w:w="85" w:type="dxa"/>
            </w:tcMar>
          </w:tcPr>
          <w:p w14:paraId="79729B82" w14:textId="77777777" w:rsidR="00BB3E1E" w:rsidRPr="0010735E" w:rsidRDefault="00BB3E1E" w:rsidP="00B05614">
            <w:pPr>
              <w:pStyle w:val="TableText"/>
            </w:pPr>
            <w:r w:rsidRPr="0010735E">
              <w:t>Transport – Road Transportation Gaseous Fuels</w:t>
            </w:r>
          </w:p>
        </w:tc>
        <w:tc>
          <w:tcPr>
            <w:tcW w:w="492" w:type="dxa"/>
            <w:shd w:val="clear" w:color="auto" w:fill="FFFFFF"/>
            <w:tcMar>
              <w:top w:w="0" w:type="dxa"/>
              <w:left w:w="85" w:type="dxa"/>
              <w:bottom w:w="0" w:type="dxa"/>
              <w:right w:w="85" w:type="dxa"/>
            </w:tcMar>
          </w:tcPr>
          <w:p w14:paraId="3CC4B47A"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614C75AC" w14:textId="77777777" w:rsidR="00BB3E1E" w:rsidRPr="0010735E" w:rsidRDefault="00BB3E1E" w:rsidP="00B05614">
            <w:pPr>
              <w:pStyle w:val="TableText"/>
              <w:jc w:val="right"/>
            </w:pPr>
            <w:r w:rsidRPr="0010735E">
              <w:t>140.3</w:t>
            </w:r>
          </w:p>
        </w:tc>
        <w:tc>
          <w:tcPr>
            <w:tcW w:w="964" w:type="dxa"/>
            <w:shd w:val="clear" w:color="auto" w:fill="FFFFFF"/>
            <w:tcMar>
              <w:top w:w="0" w:type="dxa"/>
              <w:left w:w="85" w:type="dxa"/>
              <w:bottom w:w="0" w:type="dxa"/>
              <w:right w:w="85" w:type="dxa"/>
            </w:tcMar>
          </w:tcPr>
          <w:p w14:paraId="4D4B4104" w14:textId="77777777" w:rsidR="00BB3E1E" w:rsidRPr="0010735E" w:rsidRDefault="00BB3E1E" w:rsidP="00B05614">
            <w:pPr>
              <w:pStyle w:val="TableText"/>
              <w:jc w:val="right"/>
            </w:pPr>
            <w:r w:rsidRPr="0010735E">
              <w:t>0.0</w:t>
            </w:r>
          </w:p>
        </w:tc>
        <w:tc>
          <w:tcPr>
            <w:tcW w:w="964" w:type="dxa"/>
            <w:shd w:val="clear" w:color="auto" w:fill="FFFFFF"/>
            <w:tcMar>
              <w:top w:w="0" w:type="dxa"/>
              <w:left w:w="85" w:type="dxa"/>
              <w:bottom w:w="0" w:type="dxa"/>
              <w:right w:w="85" w:type="dxa"/>
            </w:tcMar>
          </w:tcPr>
          <w:p w14:paraId="5B0A281E" w14:textId="77777777" w:rsidR="00BB3E1E" w:rsidRPr="0010735E" w:rsidRDefault="00BB3E1E" w:rsidP="00B05614">
            <w:pPr>
              <w:pStyle w:val="TableText"/>
              <w:jc w:val="right"/>
            </w:pPr>
            <w:r w:rsidRPr="0010735E">
              <w:t>0.003</w:t>
            </w:r>
          </w:p>
        </w:tc>
        <w:tc>
          <w:tcPr>
            <w:tcW w:w="1021" w:type="dxa"/>
            <w:shd w:val="clear" w:color="auto" w:fill="FFFFFF"/>
            <w:tcMar>
              <w:top w:w="0" w:type="dxa"/>
              <w:left w:w="85" w:type="dxa"/>
              <w:bottom w:w="0" w:type="dxa"/>
              <w:right w:w="85" w:type="dxa"/>
            </w:tcMar>
          </w:tcPr>
          <w:p w14:paraId="2FB1F5CB" w14:textId="77777777" w:rsidR="00BB3E1E" w:rsidRPr="0010735E" w:rsidRDefault="00BB3E1E" w:rsidP="00B05614">
            <w:pPr>
              <w:pStyle w:val="TableText"/>
              <w:jc w:val="right"/>
            </w:pPr>
            <w:r w:rsidRPr="0010735E">
              <w:t>0.4</w:t>
            </w:r>
          </w:p>
        </w:tc>
        <w:tc>
          <w:tcPr>
            <w:tcW w:w="907" w:type="dxa"/>
            <w:shd w:val="clear" w:color="auto" w:fill="FFFFFF"/>
            <w:tcMar>
              <w:top w:w="0" w:type="dxa"/>
              <w:left w:w="85" w:type="dxa"/>
              <w:bottom w:w="0" w:type="dxa"/>
              <w:right w:w="85" w:type="dxa"/>
            </w:tcMar>
          </w:tcPr>
          <w:p w14:paraId="592F3FFD" w14:textId="77777777" w:rsidR="00BB3E1E" w:rsidRPr="0010735E" w:rsidRDefault="00BB3E1E" w:rsidP="00B05614">
            <w:pPr>
              <w:pStyle w:val="TableText"/>
              <w:jc w:val="right"/>
            </w:pPr>
            <w:r w:rsidRPr="0010735E">
              <w:t>89.7</w:t>
            </w:r>
          </w:p>
        </w:tc>
      </w:tr>
      <w:tr w:rsidR="00AD2A3E" w:rsidRPr="0010735E" w14:paraId="7A7107D1" w14:textId="77777777" w:rsidTr="00AD2A3E">
        <w:trPr>
          <w:cantSplit/>
          <w:trHeight w:val="283"/>
        </w:trPr>
        <w:tc>
          <w:tcPr>
            <w:tcW w:w="911" w:type="dxa"/>
            <w:shd w:val="clear" w:color="auto" w:fill="FFFFFF"/>
            <w:tcMar>
              <w:top w:w="0" w:type="dxa"/>
              <w:left w:w="85" w:type="dxa"/>
              <w:bottom w:w="0" w:type="dxa"/>
              <w:right w:w="85" w:type="dxa"/>
            </w:tcMar>
          </w:tcPr>
          <w:p w14:paraId="72C55044" w14:textId="77777777" w:rsidR="00BB3E1E" w:rsidRPr="0010735E" w:rsidRDefault="00BB3E1E" w:rsidP="00B05614">
            <w:pPr>
              <w:pStyle w:val="TableText"/>
            </w:pPr>
            <w:r w:rsidRPr="0010735E" w:rsidDel="000E4F67">
              <w:t>1.A.4.b</w:t>
            </w:r>
          </w:p>
        </w:tc>
        <w:tc>
          <w:tcPr>
            <w:tcW w:w="2041" w:type="dxa"/>
            <w:shd w:val="clear" w:color="auto" w:fill="FFFFFF"/>
            <w:tcMar>
              <w:top w:w="0" w:type="dxa"/>
              <w:left w:w="85" w:type="dxa"/>
              <w:bottom w:w="0" w:type="dxa"/>
              <w:right w:w="85" w:type="dxa"/>
            </w:tcMar>
          </w:tcPr>
          <w:p w14:paraId="16A53AB0" w14:textId="77777777" w:rsidR="00BB3E1E" w:rsidRPr="0010735E" w:rsidRDefault="00BB3E1E" w:rsidP="00B05614">
            <w:pPr>
              <w:pStyle w:val="TableText"/>
            </w:pPr>
            <w:r w:rsidRPr="0010735E">
              <w:t>Other Sectors – Residential Gaseous Fuels</w:t>
            </w:r>
          </w:p>
        </w:tc>
        <w:tc>
          <w:tcPr>
            <w:tcW w:w="492" w:type="dxa"/>
            <w:shd w:val="clear" w:color="auto" w:fill="FFFFFF"/>
            <w:tcMar>
              <w:top w:w="0" w:type="dxa"/>
              <w:left w:w="85" w:type="dxa"/>
              <w:bottom w:w="0" w:type="dxa"/>
              <w:right w:w="85" w:type="dxa"/>
            </w:tcMar>
          </w:tcPr>
          <w:p w14:paraId="5BC940B0"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52C3761B" w14:textId="77777777" w:rsidR="00BB3E1E" w:rsidRPr="0010735E" w:rsidRDefault="00BB3E1E" w:rsidP="00B05614">
            <w:pPr>
              <w:pStyle w:val="TableText"/>
              <w:jc w:val="right"/>
            </w:pPr>
            <w:r w:rsidRPr="0010735E">
              <w:t>184.9</w:t>
            </w:r>
          </w:p>
        </w:tc>
        <w:tc>
          <w:tcPr>
            <w:tcW w:w="964" w:type="dxa"/>
            <w:shd w:val="clear" w:color="auto" w:fill="FFFFFF"/>
            <w:tcMar>
              <w:top w:w="0" w:type="dxa"/>
              <w:left w:w="85" w:type="dxa"/>
              <w:bottom w:w="0" w:type="dxa"/>
              <w:right w:w="85" w:type="dxa"/>
            </w:tcMar>
          </w:tcPr>
          <w:p w14:paraId="2F96BF4E" w14:textId="77777777" w:rsidR="00BB3E1E" w:rsidRPr="0010735E" w:rsidRDefault="00BB3E1E" w:rsidP="00B05614">
            <w:pPr>
              <w:pStyle w:val="TableText"/>
              <w:jc w:val="right"/>
            </w:pPr>
            <w:r w:rsidRPr="0010735E">
              <w:t>388.4</w:t>
            </w:r>
          </w:p>
        </w:tc>
        <w:tc>
          <w:tcPr>
            <w:tcW w:w="964" w:type="dxa"/>
            <w:shd w:val="clear" w:color="auto" w:fill="FFFFFF"/>
            <w:tcMar>
              <w:top w:w="0" w:type="dxa"/>
              <w:left w:w="85" w:type="dxa"/>
              <w:bottom w:w="0" w:type="dxa"/>
              <w:right w:w="85" w:type="dxa"/>
            </w:tcMar>
          </w:tcPr>
          <w:p w14:paraId="4535D07A" w14:textId="77777777" w:rsidR="00BB3E1E" w:rsidRPr="0010735E" w:rsidRDefault="00BB3E1E" w:rsidP="00B05614">
            <w:pPr>
              <w:pStyle w:val="TableText"/>
              <w:jc w:val="right"/>
            </w:pPr>
            <w:r w:rsidRPr="0010735E">
              <w:t>0.003</w:t>
            </w:r>
          </w:p>
        </w:tc>
        <w:tc>
          <w:tcPr>
            <w:tcW w:w="1021" w:type="dxa"/>
            <w:shd w:val="clear" w:color="auto" w:fill="FFFFFF"/>
            <w:tcMar>
              <w:top w:w="0" w:type="dxa"/>
              <w:left w:w="85" w:type="dxa"/>
              <w:bottom w:w="0" w:type="dxa"/>
              <w:right w:w="85" w:type="dxa"/>
            </w:tcMar>
          </w:tcPr>
          <w:p w14:paraId="3C8BBA8D" w14:textId="77777777" w:rsidR="00BB3E1E" w:rsidRPr="0010735E" w:rsidRDefault="00BB3E1E" w:rsidP="00B05614">
            <w:pPr>
              <w:pStyle w:val="TableText"/>
              <w:jc w:val="right"/>
            </w:pPr>
            <w:r w:rsidRPr="0010735E">
              <w:t>0.4</w:t>
            </w:r>
          </w:p>
        </w:tc>
        <w:tc>
          <w:tcPr>
            <w:tcW w:w="907" w:type="dxa"/>
            <w:shd w:val="clear" w:color="auto" w:fill="FFFFFF"/>
            <w:tcMar>
              <w:top w:w="0" w:type="dxa"/>
              <w:left w:w="85" w:type="dxa"/>
              <w:bottom w:w="0" w:type="dxa"/>
              <w:right w:w="85" w:type="dxa"/>
            </w:tcMar>
          </w:tcPr>
          <w:p w14:paraId="57809215" w14:textId="77777777" w:rsidR="00BB3E1E" w:rsidRPr="0010735E" w:rsidRDefault="00BB3E1E" w:rsidP="00B05614">
            <w:pPr>
              <w:pStyle w:val="TableText"/>
              <w:jc w:val="right"/>
            </w:pPr>
            <w:r w:rsidRPr="0010735E">
              <w:t>90.1</w:t>
            </w:r>
          </w:p>
        </w:tc>
      </w:tr>
      <w:tr w:rsidR="00AD2A3E" w:rsidRPr="0010735E" w14:paraId="3A39618D" w14:textId="77777777" w:rsidTr="00AD2A3E">
        <w:trPr>
          <w:cantSplit/>
          <w:trHeight w:val="283"/>
        </w:trPr>
        <w:tc>
          <w:tcPr>
            <w:tcW w:w="911" w:type="dxa"/>
            <w:shd w:val="clear" w:color="auto" w:fill="FFFFFF"/>
            <w:tcMar>
              <w:top w:w="0" w:type="dxa"/>
              <w:left w:w="85" w:type="dxa"/>
              <w:bottom w:w="0" w:type="dxa"/>
              <w:right w:w="85" w:type="dxa"/>
            </w:tcMar>
          </w:tcPr>
          <w:p w14:paraId="5D45D51C" w14:textId="77777777" w:rsidR="00BB3E1E" w:rsidRPr="0010735E" w:rsidRDefault="00BB3E1E" w:rsidP="00B05614">
            <w:pPr>
              <w:pStyle w:val="TableText"/>
            </w:pPr>
            <w:r w:rsidRPr="0010735E" w:rsidDel="000E4F67">
              <w:t>2.A.1</w:t>
            </w:r>
          </w:p>
        </w:tc>
        <w:tc>
          <w:tcPr>
            <w:tcW w:w="2041" w:type="dxa"/>
            <w:shd w:val="clear" w:color="auto" w:fill="FFFFFF"/>
            <w:tcMar>
              <w:top w:w="0" w:type="dxa"/>
              <w:left w:w="85" w:type="dxa"/>
              <w:bottom w:w="0" w:type="dxa"/>
              <w:right w:w="85" w:type="dxa"/>
            </w:tcMar>
          </w:tcPr>
          <w:p w14:paraId="5B0D7A7F" w14:textId="77777777" w:rsidR="00BB3E1E" w:rsidRPr="0010735E" w:rsidRDefault="00BB3E1E" w:rsidP="00B05614">
            <w:pPr>
              <w:pStyle w:val="TableText"/>
            </w:pPr>
            <w:r w:rsidRPr="0010735E">
              <w:t xml:space="preserve">Mineral Industry – Cement </w:t>
            </w:r>
            <w:r w:rsidRPr="0010735E" w:rsidDel="000E4F67">
              <w:t>Production</w:t>
            </w:r>
          </w:p>
        </w:tc>
        <w:tc>
          <w:tcPr>
            <w:tcW w:w="492" w:type="dxa"/>
            <w:shd w:val="clear" w:color="auto" w:fill="FFFFFF"/>
            <w:tcMar>
              <w:top w:w="0" w:type="dxa"/>
              <w:left w:w="85" w:type="dxa"/>
              <w:bottom w:w="0" w:type="dxa"/>
              <w:right w:w="85" w:type="dxa"/>
            </w:tcMar>
          </w:tcPr>
          <w:p w14:paraId="2F21467C"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2A99CF8D" w14:textId="77777777" w:rsidR="00BB3E1E" w:rsidRPr="0010735E" w:rsidRDefault="00BB3E1E" w:rsidP="00B05614">
            <w:pPr>
              <w:pStyle w:val="TableText"/>
              <w:jc w:val="right"/>
            </w:pPr>
            <w:r w:rsidRPr="0010735E">
              <w:t>448.7</w:t>
            </w:r>
          </w:p>
        </w:tc>
        <w:tc>
          <w:tcPr>
            <w:tcW w:w="964" w:type="dxa"/>
            <w:shd w:val="clear" w:color="auto" w:fill="FFFFFF"/>
            <w:tcMar>
              <w:top w:w="0" w:type="dxa"/>
              <w:left w:w="85" w:type="dxa"/>
              <w:bottom w:w="0" w:type="dxa"/>
              <w:right w:w="85" w:type="dxa"/>
            </w:tcMar>
          </w:tcPr>
          <w:p w14:paraId="69BC1928" w14:textId="77777777" w:rsidR="00BB3E1E" w:rsidRPr="0010735E" w:rsidRDefault="00BB3E1E" w:rsidP="00B05614">
            <w:pPr>
              <w:pStyle w:val="TableText"/>
              <w:jc w:val="right"/>
            </w:pPr>
            <w:r w:rsidRPr="0010735E">
              <w:t>379.2</w:t>
            </w:r>
          </w:p>
        </w:tc>
        <w:tc>
          <w:tcPr>
            <w:tcW w:w="964" w:type="dxa"/>
            <w:shd w:val="clear" w:color="auto" w:fill="FFFFFF"/>
            <w:tcMar>
              <w:top w:w="0" w:type="dxa"/>
              <w:left w:w="85" w:type="dxa"/>
              <w:bottom w:w="0" w:type="dxa"/>
              <w:right w:w="85" w:type="dxa"/>
            </w:tcMar>
          </w:tcPr>
          <w:p w14:paraId="701DF190" w14:textId="77777777" w:rsidR="00BB3E1E" w:rsidRPr="0010735E" w:rsidRDefault="00BB3E1E" w:rsidP="00B05614">
            <w:pPr>
              <w:pStyle w:val="TableText"/>
              <w:jc w:val="right"/>
            </w:pPr>
            <w:r w:rsidRPr="0010735E">
              <w:t>0.003</w:t>
            </w:r>
          </w:p>
        </w:tc>
        <w:tc>
          <w:tcPr>
            <w:tcW w:w="1021" w:type="dxa"/>
            <w:shd w:val="clear" w:color="auto" w:fill="FFFFFF"/>
            <w:tcMar>
              <w:top w:w="0" w:type="dxa"/>
              <w:left w:w="85" w:type="dxa"/>
              <w:bottom w:w="0" w:type="dxa"/>
              <w:right w:w="85" w:type="dxa"/>
            </w:tcMar>
          </w:tcPr>
          <w:p w14:paraId="47C91FF1" w14:textId="77777777" w:rsidR="00BB3E1E" w:rsidRPr="0010735E" w:rsidRDefault="00BB3E1E" w:rsidP="00B05614">
            <w:pPr>
              <w:pStyle w:val="TableText"/>
              <w:jc w:val="right"/>
            </w:pPr>
            <w:r w:rsidRPr="0010735E">
              <w:t>0.4</w:t>
            </w:r>
          </w:p>
        </w:tc>
        <w:tc>
          <w:tcPr>
            <w:tcW w:w="907" w:type="dxa"/>
            <w:shd w:val="clear" w:color="auto" w:fill="FFFFFF"/>
            <w:tcMar>
              <w:top w:w="0" w:type="dxa"/>
              <w:left w:w="85" w:type="dxa"/>
              <w:bottom w:w="0" w:type="dxa"/>
              <w:right w:w="85" w:type="dxa"/>
            </w:tcMar>
          </w:tcPr>
          <w:p w14:paraId="09DB397F" w14:textId="77777777" w:rsidR="00BB3E1E" w:rsidRPr="0010735E" w:rsidRDefault="00BB3E1E" w:rsidP="00B05614">
            <w:pPr>
              <w:pStyle w:val="TableText"/>
              <w:jc w:val="right"/>
            </w:pPr>
            <w:r w:rsidRPr="0010735E">
              <w:t>90.5</w:t>
            </w:r>
          </w:p>
        </w:tc>
      </w:tr>
      <w:tr w:rsidR="00AD2A3E" w:rsidRPr="0010735E" w14:paraId="236C905A" w14:textId="77777777" w:rsidTr="00AD2A3E">
        <w:trPr>
          <w:cantSplit/>
          <w:trHeight w:val="283"/>
        </w:trPr>
        <w:tc>
          <w:tcPr>
            <w:tcW w:w="911" w:type="dxa"/>
            <w:shd w:val="clear" w:color="auto" w:fill="FFFFFF"/>
            <w:tcMar>
              <w:top w:w="0" w:type="dxa"/>
              <w:left w:w="85" w:type="dxa"/>
              <w:bottom w:w="0" w:type="dxa"/>
              <w:right w:w="85" w:type="dxa"/>
            </w:tcMar>
          </w:tcPr>
          <w:p w14:paraId="466042B4" w14:textId="77777777" w:rsidR="00BB3E1E" w:rsidRPr="0010735E" w:rsidRDefault="00BB3E1E" w:rsidP="00B05614">
            <w:pPr>
              <w:pStyle w:val="TableText"/>
            </w:pPr>
            <w:r w:rsidRPr="0010735E" w:rsidDel="000E4F67">
              <w:t>1.A.2.g.v</w:t>
            </w:r>
          </w:p>
        </w:tc>
        <w:tc>
          <w:tcPr>
            <w:tcW w:w="2041" w:type="dxa"/>
            <w:shd w:val="clear" w:color="auto" w:fill="FFFFFF"/>
            <w:tcMar>
              <w:top w:w="0" w:type="dxa"/>
              <w:left w:w="85" w:type="dxa"/>
              <w:bottom w:w="0" w:type="dxa"/>
              <w:right w:w="85" w:type="dxa"/>
            </w:tcMar>
          </w:tcPr>
          <w:p w14:paraId="75EBBD1E" w14:textId="77777777" w:rsidR="00BB3E1E" w:rsidRPr="0010735E" w:rsidRDefault="00BB3E1E" w:rsidP="00B05614">
            <w:pPr>
              <w:pStyle w:val="TableText"/>
            </w:pPr>
            <w:r w:rsidRPr="0010735E">
              <w:t xml:space="preserve">Other (please specify) – </w:t>
            </w:r>
            <w:r w:rsidRPr="0010735E" w:rsidDel="000E4F67">
              <w:t>Construction</w:t>
            </w:r>
          </w:p>
        </w:tc>
        <w:tc>
          <w:tcPr>
            <w:tcW w:w="492" w:type="dxa"/>
            <w:shd w:val="clear" w:color="auto" w:fill="FFFFFF"/>
            <w:tcMar>
              <w:top w:w="0" w:type="dxa"/>
              <w:left w:w="85" w:type="dxa"/>
              <w:bottom w:w="0" w:type="dxa"/>
              <w:right w:w="85" w:type="dxa"/>
            </w:tcMar>
          </w:tcPr>
          <w:p w14:paraId="6FC31DE8"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2B5F50C8" w14:textId="77777777" w:rsidR="00BB3E1E" w:rsidRPr="0010735E" w:rsidRDefault="00BB3E1E" w:rsidP="00B05614">
            <w:pPr>
              <w:pStyle w:val="TableText"/>
              <w:jc w:val="right"/>
            </w:pPr>
            <w:r w:rsidRPr="0010735E">
              <w:t>245.0</w:t>
            </w:r>
          </w:p>
        </w:tc>
        <w:tc>
          <w:tcPr>
            <w:tcW w:w="964" w:type="dxa"/>
            <w:shd w:val="clear" w:color="auto" w:fill="FFFFFF"/>
            <w:tcMar>
              <w:top w:w="0" w:type="dxa"/>
              <w:left w:w="85" w:type="dxa"/>
              <w:bottom w:w="0" w:type="dxa"/>
              <w:right w:w="85" w:type="dxa"/>
            </w:tcMar>
          </w:tcPr>
          <w:p w14:paraId="02AADA1B" w14:textId="77777777" w:rsidR="00BB3E1E" w:rsidRPr="0010735E" w:rsidRDefault="00BB3E1E" w:rsidP="00B05614">
            <w:pPr>
              <w:pStyle w:val="TableText"/>
              <w:jc w:val="right"/>
            </w:pPr>
            <w:r w:rsidRPr="0010735E">
              <w:t>446.9</w:t>
            </w:r>
          </w:p>
        </w:tc>
        <w:tc>
          <w:tcPr>
            <w:tcW w:w="964" w:type="dxa"/>
            <w:shd w:val="clear" w:color="auto" w:fill="FFFFFF"/>
            <w:tcMar>
              <w:top w:w="0" w:type="dxa"/>
              <w:left w:w="85" w:type="dxa"/>
              <w:bottom w:w="0" w:type="dxa"/>
              <w:right w:w="85" w:type="dxa"/>
            </w:tcMar>
          </w:tcPr>
          <w:p w14:paraId="6F7E024A"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502AD1D6" w14:textId="77777777" w:rsidR="00BB3E1E" w:rsidRPr="0010735E" w:rsidRDefault="00BB3E1E" w:rsidP="00B05614">
            <w:pPr>
              <w:pStyle w:val="TableText"/>
              <w:jc w:val="right"/>
            </w:pPr>
            <w:r w:rsidRPr="0010735E">
              <w:t>0.4</w:t>
            </w:r>
          </w:p>
        </w:tc>
        <w:tc>
          <w:tcPr>
            <w:tcW w:w="907" w:type="dxa"/>
            <w:shd w:val="clear" w:color="auto" w:fill="FFFFFF"/>
            <w:tcMar>
              <w:top w:w="0" w:type="dxa"/>
              <w:left w:w="85" w:type="dxa"/>
              <w:bottom w:w="0" w:type="dxa"/>
              <w:right w:w="85" w:type="dxa"/>
            </w:tcMar>
          </w:tcPr>
          <w:p w14:paraId="15C0E060" w14:textId="77777777" w:rsidR="00BB3E1E" w:rsidRPr="0010735E" w:rsidRDefault="00BB3E1E" w:rsidP="00B05614">
            <w:pPr>
              <w:pStyle w:val="TableText"/>
              <w:jc w:val="right"/>
            </w:pPr>
            <w:r w:rsidRPr="0010735E">
              <w:t>90.9</w:t>
            </w:r>
          </w:p>
        </w:tc>
      </w:tr>
      <w:tr w:rsidR="00AD2A3E" w:rsidRPr="0010735E" w14:paraId="52A064F1" w14:textId="77777777" w:rsidTr="00AD2A3E">
        <w:trPr>
          <w:cantSplit/>
          <w:trHeight w:val="283"/>
        </w:trPr>
        <w:tc>
          <w:tcPr>
            <w:tcW w:w="911" w:type="dxa"/>
            <w:shd w:val="clear" w:color="auto" w:fill="FFFFFF"/>
            <w:tcMar>
              <w:top w:w="0" w:type="dxa"/>
              <w:left w:w="85" w:type="dxa"/>
              <w:bottom w:w="0" w:type="dxa"/>
              <w:right w:w="85" w:type="dxa"/>
            </w:tcMar>
          </w:tcPr>
          <w:p w14:paraId="16EA9F7E" w14:textId="77777777" w:rsidR="00BB3E1E" w:rsidRPr="0010735E" w:rsidRDefault="00BB3E1E" w:rsidP="00B05614">
            <w:pPr>
              <w:pStyle w:val="TableText"/>
            </w:pPr>
            <w:r w:rsidRPr="0010735E" w:rsidDel="000E4F67">
              <w:lastRenderedPageBreak/>
              <w:t>1.A.2.g.viii</w:t>
            </w:r>
          </w:p>
        </w:tc>
        <w:tc>
          <w:tcPr>
            <w:tcW w:w="2041" w:type="dxa"/>
            <w:shd w:val="clear" w:color="auto" w:fill="FFFFFF"/>
            <w:tcMar>
              <w:top w:w="0" w:type="dxa"/>
              <w:left w:w="85" w:type="dxa"/>
              <w:bottom w:w="0" w:type="dxa"/>
              <w:right w:w="85" w:type="dxa"/>
            </w:tcMar>
          </w:tcPr>
          <w:p w14:paraId="41F57399" w14:textId="77777777" w:rsidR="00BB3E1E" w:rsidRPr="0010735E" w:rsidRDefault="00BB3E1E" w:rsidP="00B05614">
            <w:pPr>
              <w:pStyle w:val="TableText"/>
            </w:pPr>
            <w:r w:rsidRPr="0010735E">
              <w:t>Other (please specify) – Other (please specify) Liquid Fuels</w:t>
            </w:r>
          </w:p>
        </w:tc>
        <w:tc>
          <w:tcPr>
            <w:tcW w:w="492" w:type="dxa"/>
            <w:shd w:val="clear" w:color="auto" w:fill="FFFFFF"/>
            <w:tcMar>
              <w:top w:w="0" w:type="dxa"/>
              <w:left w:w="85" w:type="dxa"/>
              <w:bottom w:w="0" w:type="dxa"/>
              <w:right w:w="85" w:type="dxa"/>
            </w:tcMar>
          </w:tcPr>
          <w:p w14:paraId="006091B9"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13C31138" w14:textId="77777777" w:rsidR="00BB3E1E" w:rsidRPr="0010735E" w:rsidRDefault="00BB3E1E" w:rsidP="00B05614">
            <w:pPr>
              <w:pStyle w:val="TableText"/>
              <w:jc w:val="right"/>
            </w:pPr>
            <w:r w:rsidRPr="0010735E">
              <w:t>52.3</w:t>
            </w:r>
          </w:p>
        </w:tc>
        <w:tc>
          <w:tcPr>
            <w:tcW w:w="964" w:type="dxa"/>
            <w:shd w:val="clear" w:color="auto" w:fill="FFFFFF"/>
            <w:tcMar>
              <w:top w:w="0" w:type="dxa"/>
              <w:left w:w="85" w:type="dxa"/>
              <w:bottom w:w="0" w:type="dxa"/>
              <w:right w:w="85" w:type="dxa"/>
            </w:tcMar>
          </w:tcPr>
          <w:p w14:paraId="3D784EDD" w14:textId="77777777" w:rsidR="00BB3E1E" w:rsidRPr="0010735E" w:rsidRDefault="00BB3E1E" w:rsidP="00B05614">
            <w:pPr>
              <w:pStyle w:val="TableText"/>
              <w:jc w:val="right"/>
            </w:pPr>
            <w:r w:rsidRPr="0010735E">
              <w:t>212.3</w:t>
            </w:r>
          </w:p>
        </w:tc>
        <w:tc>
          <w:tcPr>
            <w:tcW w:w="964" w:type="dxa"/>
            <w:shd w:val="clear" w:color="auto" w:fill="FFFFFF"/>
            <w:tcMar>
              <w:top w:w="0" w:type="dxa"/>
              <w:left w:w="85" w:type="dxa"/>
              <w:bottom w:w="0" w:type="dxa"/>
              <w:right w:w="85" w:type="dxa"/>
            </w:tcMar>
          </w:tcPr>
          <w:p w14:paraId="4B763B00"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11C23C54" w14:textId="77777777" w:rsidR="00BB3E1E" w:rsidRPr="0010735E" w:rsidRDefault="00BB3E1E" w:rsidP="00B05614">
            <w:pPr>
              <w:pStyle w:val="TableText"/>
              <w:jc w:val="right"/>
            </w:pPr>
            <w:r w:rsidRPr="0010735E">
              <w:t>0.4</w:t>
            </w:r>
          </w:p>
        </w:tc>
        <w:tc>
          <w:tcPr>
            <w:tcW w:w="907" w:type="dxa"/>
            <w:shd w:val="clear" w:color="auto" w:fill="FFFFFF"/>
            <w:tcMar>
              <w:top w:w="0" w:type="dxa"/>
              <w:left w:w="85" w:type="dxa"/>
              <w:bottom w:w="0" w:type="dxa"/>
              <w:right w:w="85" w:type="dxa"/>
            </w:tcMar>
          </w:tcPr>
          <w:p w14:paraId="6391275F" w14:textId="77777777" w:rsidR="00BB3E1E" w:rsidRPr="0010735E" w:rsidRDefault="00BB3E1E" w:rsidP="00B05614">
            <w:pPr>
              <w:pStyle w:val="TableText"/>
              <w:jc w:val="right"/>
            </w:pPr>
            <w:r w:rsidRPr="0010735E">
              <w:t>91.2</w:t>
            </w:r>
          </w:p>
        </w:tc>
      </w:tr>
      <w:tr w:rsidR="00AD2A3E" w:rsidRPr="0010735E" w14:paraId="1260F364" w14:textId="77777777" w:rsidTr="00AD2A3E">
        <w:trPr>
          <w:cantSplit/>
          <w:trHeight w:val="283"/>
        </w:trPr>
        <w:tc>
          <w:tcPr>
            <w:tcW w:w="911" w:type="dxa"/>
            <w:shd w:val="clear" w:color="auto" w:fill="FFFFFF"/>
            <w:tcMar>
              <w:top w:w="0" w:type="dxa"/>
              <w:left w:w="85" w:type="dxa"/>
              <w:bottom w:w="0" w:type="dxa"/>
              <w:right w:w="85" w:type="dxa"/>
            </w:tcMar>
          </w:tcPr>
          <w:p w14:paraId="6E4D4DEF" w14:textId="77777777" w:rsidR="00BB3E1E" w:rsidRPr="0010735E" w:rsidRDefault="00BB3E1E" w:rsidP="00B05614">
            <w:pPr>
              <w:pStyle w:val="TableText"/>
            </w:pPr>
            <w:r w:rsidRPr="0010735E" w:rsidDel="000E4F67">
              <w:t>1.A.1.b</w:t>
            </w:r>
          </w:p>
        </w:tc>
        <w:tc>
          <w:tcPr>
            <w:tcW w:w="2041" w:type="dxa"/>
            <w:shd w:val="clear" w:color="auto" w:fill="FFFFFF"/>
            <w:tcMar>
              <w:top w:w="0" w:type="dxa"/>
              <w:left w:w="85" w:type="dxa"/>
              <w:bottom w:w="0" w:type="dxa"/>
              <w:right w:w="85" w:type="dxa"/>
            </w:tcMar>
          </w:tcPr>
          <w:p w14:paraId="26B3C89B" w14:textId="77777777" w:rsidR="00BB3E1E" w:rsidRPr="0010735E" w:rsidRDefault="00BB3E1E" w:rsidP="00B05614">
            <w:pPr>
              <w:pStyle w:val="TableText"/>
            </w:pPr>
            <w:r w:rsidRPr="0010735E">
              <w:t xml:space="preserve">Energy Industries – Petroleum Refining Gaseous </w:t>
            </w:r>
            <w:r w:rsidRPr="0010735E" w:rsidDel="000E4F67">
              <w:t>Fuels</w:t>
            </w:r>
          </w:p>
        </w:tc>
        <w:tc>
          <w:tcPr>
            <w:tcW w:w="492" w:type="dxa"/>
            <w:shd w:val="clear" w:color="auto" w:fill="FFFFFF"/>
            <w:tcMar>
              <w:top w:w="0" w:type="dxa"/>
              <w:left w:w="85" w:type="dxa"/>
              <w:bottom w:w="0" w:type="dxa"/>
              <w:right w:w="85" w:type="dxa"/>
            </w:tcMar>
          </w:tcPr>
          <w:p w14:paraId="5A23A2AC"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24247B73" w14:textId="77777777" w:rsidR="00BB3E1E" w:rsidRPr="0010735E" w:rsidRDefault="00BB3E1E" w:rsidP="00B05614">
            <w:pPr>
              <w:pStyle w:val="TableText"/>
              <w:jc w:val="right"/>
            </w:pPr>
            <w:r w:rsidRPr="0010735E">
              <w:t>0.0</w:t>
            </w:r>
          </w:p>
        </w:tc>
        <w:tc>
          <w:tcPr>
            <w:tcW w:w="964" w:type="dxa"/>
            <w:shd w:val="clear" w:color="auto" w:fill="FFFFFF"/>
            <w:tcMar>
              <w:top w:w="0" w:type="dxa"/>
              <w:left w:w="85" w:type="dxa"/>
              <w:bottom w:w="0" w:type="dxa"/>
              <w:right w:w="85" w:type="dxa"/>
            </w:tcMar>
          </w:tcPr>
          <w:p w14:paraId="26A0B1E3" w14:textId="77777777" w:rsidR="00BB3E1E" w:rsidRPr="0010735E" w:rsidRDefault="00BB3E1E" w:rsidP="00B05614">
            <w:pPr>
              <w:pStyle w:val="TableText"/>
              <w:jc w:val="right"/>
            </w:pPr>
            <w:r w:rsidRPr="0010735E">
              <w:t>148.2</w:t>
            </w:r>
          </w:p>
        </w:tc>
        <w:tc>
          <w:tcPr>
            <w:tcW w:w="964" w:type="dxa"/>
            <w:shd w:val="clear" w:color="auto" w:fill="FFFFFF"/>
            <w:tcMar>
              <w:top w:w="0" w:type="dxa"/>
              <w:left w:w="85" w:type="dxa"/>
              <w:bottom w:w="0" w:type="dxa"/>
              <w:right w:w="85" w:type="dxa"/>
            </w:tcMar>
          </w:tcPr>
          <w:p w14:paraId="7DD51366"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72562A43" w14:textId="77777777" w:rsidR="00BB3E1E" w:rsidRPr="0010735E" w:rsidRDefault="00BB3E1E" w:rsidP="00B05614">
            <w:pPr>
              <w:pStyle w:val="TableText"/>
              <w:jc w:val="right"/>
            </w:pPr>
            <w:r w:rsidRPr="0010735E">
              <w:t>0.4</w:t>
            </w:r>
          </w:p>
        </w:tc>
        <w:tc>
          <w:tcPr>
            <w:tcW w:w="907" w:type="dxa"/>
            <w:shd w:val="clear" w:color="auto" w:fill="FFFFFF"/>
            <w:tcMar>
              <w:top w:w="0" w:type="dxa"/>
              <w:left w:w="85" w:type="dxa"/>
              <w:bottom w:w="0" w:type="dxa"/>
              <w:right w:w="85" w:type="dxa"/>
            </w:tcMar>
          </w:tcPr>
          <w:p w14:paraId="6EA03011" w14:textId="77777777" w:rsidR="00BB3E1E" w:rsidRPr="0010735E" w:rsidRDefault="00BB3E1E" w:rsidP="00B05614">
            <w:pPr>
              <w:pStyle w:val="TableText"/>
              <w:jc w:val="right"/>
            </w:pPr>
            <w:r w:rsidRPr="0010735E">
              <w:t>91.6</w:t>
            </w:r>
          </w:p>
        </w:tc>
      </w:tr>
      <w:tr w:rsidR="00AD2A3E" w:rsidRPr="0010735E" w14:paraId="409334CA" w14:textId="77777777" w:rsidTr="00AD2A3E">
        <w:trPr>
          <w:cantSplit/>
          <w:trHeight w:val="283"/>
        </w:trPr>
        <w:tc>
          <w:tcPr>
            <w:tcW w:w="911" w:type="dxa"/>
            <w:shd w:val="clear" w:color="auto" w:fill="FFFFFF"/>
            <w:tcMar>
              <w:top w:w="0" w:type="dxa"/>
              <w:left w:w="85" w:type="dxa"/>
              <w:bottom w:w="0" w:type="dxa"/>
              <w:right w:w="85" w:type="dxa"/>
            </w:tcMar>
          </w:tcPr>
          <w:p w14:paraId="2C65F681" w14:textId="77777777" w:rsidR="00BB3E1E" w:rsidRPr="0010735E" w:rsidRDefault="00BB3E1E" w:rsidP="00B05614">
            <w:pPr>
              <w:pStyle w:val="TableText"/>
            </w:pPr>
            <w:r w:rsidRPr="0010735E" w:rsidDel="000E4F67">
              <w:t>1.B.2.b.5</w:t>
            </w:r>
          </w:p>
        </w:tc>
        <w:tc>
          <w:tcPr>
            <w:tcW w:w="2041" w:type="dxa"/>
            <w:shd w:val="clear" w:color="auto" w:fill="FFFFFF"/>
            <w:tcMar>
              <w:top w:w="0" w:type="dxa"/>
              <w:left w:w="85" w:type="dxa"/>
              <w:bottom w:w="0" w:type="dxa"/>
              <w:right w:w="85" w:type="dxa"/>
            </w:tcMar>
          </w:tcPr>
          <w:p w14:paraId="5EAE8F06" w14:textId="77777777" w:rsidR="00BB3E1E" w:rsidRPr="0010735E" w:rsidRDefault="00BB3E1E" w:rsidP="00B05614">
            <w:pPr>
              <w:pStyle w:val="TableText"/>
            </w:pPr>
            <w:r w:rsidRPr="0010735E">
              <w:t xml:space="preserve">Natural Gas – </w:t>
            </w:r>
            <w:r w:rsidRPr="0010735E" w:rsidDel="000E4F67">
              <w:t>Distribution</w:t>
            </w:r>
          </w:p>
        </w:tc>
        <w:tc>
          <w:tcPr>
            <w:tcW w:w="492" w:type="dxa"/>
            <w:shd w:val="clear" w:color="auto" w:fill="FFFFFF"/>
            <w:tcMar>
              <w:top w:w="0" w:type="dxa"/>
              <w:left w:w="85" w:type="dxa"/>
              <w:bottom w:w="0" w:type="dxa"/>
              <w:right w:w="85" w:type="dxa"/>
            </w:tcMar>
          </w:tcPr>
          <w:p w14:paraId="69B1C30D" w14:textId="77777777" w:rsidR="00BB3E1E" w:rsidRPr="0010735E" w:rsidRDefault="00BB3E1E" w:rsidP="00B05614">
            <w:pPr>
              <w:pStyle w:val="TableText"/>
            </w:pPr>
            <w:r w:rsidRPr="0010735E" w:rsidDel="000E4F67">
              <w:t>CH</w:t>
            </w:r>
            <w:r w:rsidRPr="0010735E" w:rsidDel="000E4F67">
              <w:rPr>
                <w:vertAlign w:val="subscript"/>
              </w:rPr>
              <w:t>4</w:t>
            </w:r>
          </w:p>
        </w:tc>
        <w:tc>
          <w:tcPr>
            <w:tcW w:w="964" w:type="dxa"/>
            <w:shd w:val="clear" w:color="auto" w:fill="FFFFFF"/>
            <w:tcMar>
              <w:top w:w="0" w:type="dxa"/>
              <w:left w:w="85" w:type="dxa"/>
              <w:bottom w:w="0" w:type="dxa"/>
              <w:right w:w="85" w:type="dxa"/>
            </w:tcMar>
          </w:tcPr>
          <w:p w14:paraId="6394BCD0" w14:textId="77777777" w:rsidR="00BB3E1E" w:rsidRPr="0010735E" w:rsidRDefault="00BB3E1E" w:rsidP="00B05614">
            <w:pPr>
              <w:pStyle w:val="TableText"/>
              <w:jc w:val="right"/>
            </w:pPr>
            <w:r w:rsidRPr="0010735E">
              <w:t>277.5</w:t>
            </w:r>
          </w:p>
        </w:tc>
        <w:tc>
          <w:tcPr>
            <w:tcW w:w="964" w:type="dxa"/>
            <w:shd w:val="clear" w:color="auto" w:fill="FFFFFF"/>
            <w:tcMar>
              <w:top w:w="0" w:type="dxa"/>
              <w:left w:w="85" w:type="dxa"/>
              <w:bottom w:w="0" w:type="dxa"/>
              <w:right w:w="85" w:type="dxa"/>
            </w:tcMar>
          </w:tcPr>
          <w:p w14:paraId="5C1C5166" w14:textId="77777777" w:rsidR="00BB3E1E" w:rsidRPr="0010735E" w:rsidRDefault="00BB3E1E" w:rsidP="00B05614">
            <w:pPr>
              <w:pStyle w:val="TableText"/>
              <w:jc w:val="right"/>
            </w:pPr>
            <w:r w:rsidRPr="0010735E">
              <w:t>192.2</w:t>
            </w:r>
          </w:p>
        </w:tc>
        <w:tc>
          <w:tcPr>
            <w:tcW w:w="964" w:type="dxa"/>
            <w:shd w:val="clear" w:color="auto" w:fill="FFFFFF"/>
            <w:tcMar>
              <w:top w:w="0" w:type="dxa"/>
              <w:left w:w="85" w:type="dxa"/>
              <w:bottom w:w="0" w:type="dxa"/>
              <w:right w:w="85" w:type="dxa"/>
            </w:tcMar>
          </w:tcPr>
          <w:p w14:paraId="456BAE17"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4F0281BF" w14:textId="77777777" w:rsidR="00BB3E1E" w:rsidRPr="0010735E" w:rsidRDefault="00BB3E1E" w:rsidP="00B05614">
            <w:pPr>
              <w:pStyle w:val="TableText"/>
              <w:jc w:val="right"/>
            </w:pPr>
            <w:r w:rsidRPr="0010735E">
              <w:t>0.3</w:t>
            </w:r>
          </w:p>
        </w:tc>
        <w:tc>
          <w:tcPr>
            <w:tcW w:w="907" w:type="dxa"/>
            <w:shd w:val="clear" w:color="auto" w:fill="FFFFFF"/>
            <w:tcMar>
              <w:top w:w="0" w:type="dxa"/>
              <w:left w:w="85" w:type="dxa"/>
              <w:bottom w:w="0" w:type="dxa"/>
              <w:right w:w="85" w:type="dxa"/>
            </w:tcMar>
          </w:tcPr>
          <w:p w14:paraId="2E384A9D" w14:textId="77777777" w:rsidR="00BB3E1E" w:rsidRPr="0010735E" w:rsidRDefault="00BB3E1E" w:rsidP="00B05614">
            <w:pPr>
              <w:pStyle w:val="TableText"/>
              <w:jc w:val="right"/>
            </w:pPr>
            <w:r w:rsidRPr="0010735E">
              <w:t>91.9</w:t>
            </w:r>
          </w:p>
        </w:tc>
      </w:tr>
      <w:tr w:rsidR="00AD2A3E" w:rsidRPr="0010735E" w14:paraId="263A1C70" w14:textId="77777777" w:rsidTr="00AD2A3E">
        <w:trPr>
          <w:cantSplit/>
          <w:trHeight w:val="283"/>
        </w:trPr>
        <w:tc>
          <w:tcPr>
            <w:tcW w:w="911" w:type="dxa"/>
            <w:shd w:val="clear" w:color="auto" w:fill="FFFFFF"/>
            <w:tcMar>
              <w:top w:w="0" w:type="dxa"/>
              <w:left w:w="85" w:type="dxa"/>
              <w:bottom w:w="0" w:type="dxa"/>
              <w:right w:w="85" w:type="dxa"/>
            </w:tcMar>
          </w:tcPr>
          <w:p w14:paraId="6A5CF55C" w14:textId="77777777" w:rsidR="00BB3E1E" w:rsidRPr="0010735E" w:rsidRDefault="00BB3E1E" w:rsidP="00B05614">
            <w:pPr>
              <w:pStyle w:val="TableText"/>
            </w:pPr>
            <w:r w:rsidRPr="0010735E" w:rsidDel="000E4F67">
              <w:t>1.A.4.a</w:t>
            </w:r>
          </w:p>
        </w:tc>
        <w:tc>
          <w:tcPr>
            <w:tcW w:w="2041" w:type="dxa"/>
            <w:shd w:val="clear" w:color="auto" w:fill="FFFFFF"/>
            <w:tcMar>
              <w:top w:w="0" w:type="dxa"/>
              <w:left w:w="85" w:type="dxa"/>
              <w:bottom w:w="0" w:type="dxa"/>
              <w:right w:w="85" w:type="dxa"/>
            </w:tcMar>
          </w:tcPr>
          <w:p w14:paraId="0B3DAB4F" w14:textId="450E2FE8" w:rsidR="00BB3E1E" w:rsidRPr="0010735E" w:rsidRDefault="00BB3E1E" w:rsidP="00B05614">
            <w:pPr>
              <w:pStyle w:val="TableText"/>
            </w:pPr>
            <w:r w:rsidRPr="0010735E">
              <w:t>Other Sectors – Commercial/</w:t>
            </w:r>
            <w:r w:rsidR="00BB1EAB">
              <w:t xml:space="preserve"> </w:t>
            </w:r>
            <w:r w:rsidRPr="0010735E">
              <w:t>Institutional Gaseous Fuels</w:t>
            </w:r>
          </w:p>
        </w:tc>
        <w:tc>
          <w:tcPr>
            <w:tcW w:w="492" w:type="dxa"/>
            <w:shd w:val="clear" w:color="auto" w:fill="FFFFFF"/>
            <w:tcMar>
              <w:top w:w="0" w:type="dxa"/>
              <w:left w:w="85" w:type="dxa"/>
              <w:bottom w:w="0" w:type="dxa"/>
              <w:right w:w="85" w:type="dxa"/>
            </w:tcMar>
          </w:tcPr>
          <w:p w14:paraId="57E1A3DB"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0657DE35" w14:textId="77777777" w:rsidR="00BB3E1E" w:rsidRPr="0010735E" w:rsidRDefault="00BB3E1E" w:rsidP="00B05614">
            <w:pPr>
              <w:pStyle w:val="TableText"/>
              <w:jc w:val="right"/>
            </w:pPr>
            <w:r w:rsidRPr="0010735E">
              <w:t>235.2</w:t>
            </w:r>
          </w:p>
        </w:tc>
        <w:tc>
          <w:tcPr>
            <w:tcW w:w="964" w:type="dxa"/>
            <w:shd w:val="clear" w:color="auto" w:fill="FFFFFF"/>
            <w:tcMar>
              <w:top w:w="0" w:type="dxa"/>
              <w:left w:w="85" w:type="dxa"/>
              <w:bottom w:w="0" w:type="dxa"/>
              <w:right w:w="85" w:type="dxa"/>
            </w:tcMar>
          </w:tcPr>
          <w:p w14:paraId="73F43BF7" w14:textId="77777777" w:rsidR="00BB3E1E" w:rsidRPr="0010735E" w:rsidRDefault="00BB3E1E" w:rsidP="00B05614">
            <w:pPr>
              <w:pStyle w:val="TableText"/>
              <w:jc w:val="right"/>
            </w:pPr>
            <w:r w:rsidRPr="0010735E">
              <w:t>426.6</w:t>
            </w:r>
          </w:p>
        </w:tc>
        <w:tc>
          <w:tcPr>
            <w:tcW w:w="964" w:type="dxa"/>
            <w:shd w:val="clear" w:color="auto" w:fill="FFFFFF"/>
            <w:tcMar>
              <w:top w:w="0" w:type="dxa"/>
              <w:left w:w="85" w:type="dxa"/>
              <w:bottom w:w="0" w:type="dxa"/>
              <w:right w:w="85" w:type="dxa"/>
            </w:tcMar>
          </w:tcPr>
          <w:p w14:paraId="7BAD7314"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4824CC50" w14:textId="77777777" w:rsidR="00BB3E1E" w:rsidRPr="0010735E" w:rsidRDefault="00BB3E1E" w:rsidP="00B05614">
            <w:pPr>
              <w:pStyle w:val="TableText"/>
              <w:jc w:val="right"/>
            </w:pPr>
            <w:r w:rsidRPr="0010735E">
              <w:t>0.3</w:t>
            </w:r>
          </w:p>
        </w:tc>
        <w:tc>
          <w:tcPr>
            <w:tcW w:w="907" w:type="dxa"/>
            <w:shd w:val="clear" w:color="auto" w:fill="FFFFFF"/>
            <w:tcMar>
              <w:top w:w="0" w:type="dxa"/>
              <w:left w:w="85" w:type="dxa"/>
              <w:bottom w:w="0" w:type="dxa"/>
              <w:right w:w="85" w:type="dxa"/>
            </w:tcMar>
          </w:tcPr>
          <w:p w14:paraId="46BEF141" w14:textId="77777777" w:rsidR="00BB3E1E" w:rsidRPr="0010735E" w:rsidRDefault="00BB3E1E" w:rsidP="00B05614">
            <w:pPr>
              <w:pStyle w:val="TableText"/>
              <w:jc w:val="right"/>
            </w:pPr>
            <w:r w:rsidRPr="0010735E">
              <w:t>92.3</w:t>
            </w:r>
          </w:p>
        </w:tc>
      </w:tr>
      <w:tr w:rsidR="00AD2A3E" w:rsidRPr="0010735E" w14:paraId="79D15E3A" w14:textId="77777777" w:rsidTr="00AD2A3E">
        <w:trPr>
          <w:cantSplit/>
          <w:trHeight w:val="283"/>
        </w:trPr>
        <w:tc>
          <w:tcPr>
            <w:tcW w:w="911" w:type="dxa"/>
            <w:shd w:val="clear" w:color="auto" w:fill="FFFFFF"/>
            <w:tcMar>
              <w:top w:w="0" w:type="dxa"/>
              <w:left w:w="85" w:type="dxa"/>
              <w:bottom w:w="0" w:type="dxa"/>
              <w:right w:w="85" w:type="dxa"/>
            </w:tcMar>
          </w:tcPr>
          <w:p w14:paraId="1E61B5A7" w14:textId="77777777" w:rsidR="00BB3E1E" w:rsidRPr="0010735E" w:rsidRDefault="00BB3E1E" w:rsidP="00B05614">
            <w:pPr>
              <w:pStyle w:val="TableText"/>
            </w:pPr>
            <w:r w:rsidRPr="0010735E" w:rsidDel="000E4F67">
              <w:t>1.A.4.c</w:t>
            </w:r>
          </w:p>
        </w:tc>
        <w:tc>
          <w:tcPr>
            <w:tcW w:w="2041" w:type="dxa"/>
            <w:shd w:val="clear" w:color="auto" w:fill="FFFFFF"/>
            <w:tcMar>
              <w:top w:w="0" w:type="dxa"/>
              <w:left w:w="85" w:type="dxa"/>
              <w:bottom w:w="0" w:type="dxa"/>
              <w:right w:w="85" w:type="dxa"/>
            </w:tcMar>
          </w:tcPr>
          <w:p w14:paraId="25828DA7" w14:textId="3B57CA01" w:rsidR="00BB3E1E" w:rsidRPr="0010735E" w:rsidRDefault="00BB3E1E" w:rsidP="00B05614">
            <w:pPr>
              <w:pStyle w:val="TableText"/>
            </w:pPr>
            <w:r w:rsidRPr="0010735E">
              <w:t>Other Sectors – Agriculture/</w:t>
            </w:r>
            <w:r w:rsidR="00AD2A3E">
              <w:t xml:space="preserve"> </w:t>
            </w:r>
            <w:r w:rsidRPr="0010735E">
              <w:t>Forestry/</w:t>
            </w:r>
            <w:r w:rsidR="009D094A">
              <w:t xml:space="preserve"> </w:t>
            </w:r>
            <w:r w:rsidRPr="0010735E">
              <w:t>Fishing Solid Fuels</w:t>
            </w:r>
          </w:p>
        </w:tc>
        <w:tc>
          <w:tcPr>
            <w:tcW w:w="492" w:type="dxa"/>
            <w:shd w:val="clear" w:color="auto" w:fill="FFFFFF"/>
            <w:tcMar>
              <w:top w:w="0" w:type="dxa"/>
              <w:left w:w="85" w:type="dxa"/>
              <w:bottom w:w="0" w:type="dxa"/>
              <w:right w:w="85" w:type="dxa"/>
            </w:tcMar>
          </w:tcPr>
          <w:p w14:paraId="1C810C2C"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1DBCB8EC" w14:textId="77777777" w:rsidR="00BB3E1E" w:rsidRPr="0010735E" w:rsidRDefault="00BB3E1E" w:rsidP="00B05614">
            <w:pPr>
              <w:pStyle w:val="TableText"/>
              <w:jc w:val="right"/>
            </w:pPr>
            <w:r w:rsidRPr="0010735E">
              <w:t>35.1</w:t>
            </w:r>
          </w:p>
        </w:tc>
        <w:tc>
          <w:tcPr>
            <w:tcW w:w="964" w:type="dxa"/>
            <w:shd w:val="clear" w:color="auto" w:fill="FFFFFF"/>
            <w:tcMar>
              <w:top w:w="0" w:type="dxa"/>
              <w:left w:w="85" w:type="dxa"/>
              <w:bottom w:w="0" w:type="dxa"/>
              <w:right w:w="85" w:type="dxa"/>
            </w:tcMar>
          </w:tcPr>
          <w:p w14:paraId="6C0EED67" w14:textId="77777777" w:rsidR="00BB3E1E" w:rsidRPr="0010735E" w:rsidRDefault="00BB3E1E" w:rsidP="00B05614">
            <w:pPr>
              <w:pStyle w:val="TableText"/>
              <w:jc w:val="right"/>
            </w:pPr>
            <w:r w:rsidRPr="0010735E">
              <w:t>171.8</w:t>
            </w:r>
          </w:p>
        </w:tc>
        <w:tc>
          <w:tcPr>
            <w:tcW w:w="964" w:type="dxa"/>
            <w:shd w:val="clear" w:color="auto" w:fill="FFFFFF"/>
            <w:tcMar>
              <w:top w:w="0" w:type="dxa"/>
              <w:left w:w="85" w:type="dxa"/>
              <w:bottom w:w="0" w:type="dxa"/>
              <w:right w:w="85" w:type="dxa"/>
            </w:tcMar>
          </w:tcPr>
          <w:p w14:paraId="13B6870D"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5C67B04C" w14:textId="77777777" w:rsidR="00BB3E1E" w:rsidRPr="0010735E" w:rsidRDefault="00BB3E1E" w:rsidP="00B05614">
            <w:pPr>
              <w:pStyle w:val="TableText"/>
              <w:jc w:val="right"/>
            </w:pPr>
            <w:r w:rsidRPr="0010735E">
              <w:t>0.3</w:t>
            </w:r>
          </w:p>
        </w:tc>
        <w:tc>
          <w:tcPr>
            <w:tcW w:w="907" w:type="dxa"/>
            <w:shd w:val="clear" w:color="auto" w:fill="FFFFFF"/>
            <w:tcMar>
              <w:top w:w="0" w:type="dxa"/>
              <w:left w:w="85" w:type="dxa"/>
              <w:bottom w:w="0" w:type="dxa"/>
              <w:right w:w="85" w:type="dxa"/>
            </w:tcMar>
          </w:tcPr>
          <w:p w14:paraId="10E344C1" w14:textId="77777777" w:rsidR="00BB3E1E" w:rsidRPr="0010735E" w:rsidRDefault="00BB3E1E" w:rsidP="00B05614">
            <w:pPr>
              <w:pStyle w:val="TableText"/>
              <w:jc w:val="right"/>
            </w:pPr>
            <w:r w:rsidRPr="0010735E">
              <w:t>92.6</w:t>
            </w:r>
          </w:p>
        </w:tc>
      </w:tr>
      <w:tr w:rsidR="00AD2A3E" w:rsidRPr="0010735E" w14:paraId="74CA444F" w14:textId="77777777" w:rsidTr="00AD2A3E">
        <w:trPr>
          <w:cantSplit/>
          <w:trHeight w:val="283"/>
        </w:trPr>
        <w:tc>
          <w:tcPr>
            <w:tcW w:w="911" w:type="dxa"/>
            <w:shd w:val="clear" w:color="auto" w:fill="FFFFFF"/>
            <w:tcMar>
              <w:top w:w="0" w:type="dxa"/>
              <w:left w:w="85" w:type="dxa"/>
              <w:bottom w:w="0" w:type="dxa"/>
              <w:right w:w="85" w:type="dxa"/>
            </w:tcMar>
          </w:tcPr>
          <w:p w14:paraId="7018C729" w14:textId="77777777" w:rsidR="00BB3E1E" w:rsidRPr="0010735E" w:rsidRDefault="00BB3E1E" w:rsidP="00B05614">
            <w:pPr>
              <w:pStyle w:val="TableText"/>
            </w:pPr>
            <w:r w:rsidRPr="0010735E" w:rsidDel="000E4F67">
              <w:t>3.D.1.6</w:t>
            </w:r>
          </w:p>
        </w:tc>
        <w:tc>
          <w:tcPr>
            <w:tcW w:w="2041" w:type="dxa"/>
            <w:shd w:val="clear" w:color="auto" w:fill="FFFFFF"/>
            <w:tcMar>
              <w:top w:w="0" w:type="dxa"/>
              <w:left w:w="85" w:type="dxa"/>
              <w:bottom w:w="0" w:type="dxa"/>
              <w:right w:w="85" w:type="dxa"/>
            </w:tcMar>
          </w:tcPr>
          <w:p w14:paraId="019D65E9" w14:textId="77777777" w:rsidR="00BB3E1E" w:rsidRPr="0010735E" w:rsidRDefault="00BB3E1E" w:rsidP="00B05614">
            <w:pPr>
              <w:pStyle w:val="TableText"/>
            </w:pPr>
            <w:r w:rsidRPr="0010735E">
              <w:t>Direct N</w:t>
            </w:r>
            <w:r w:rsidRPr="0010735E">
              <w:rPr>
                <w:vertAlign w:val="subscript"/>
              </w:rPr>
              <w:t>2</w:t>
            </w:r>
            <w:r w:rsidRPr="0010735E">
              <w:t xml:space="preserve">O Emissions from Managed Soils – Cultivation of Organic </w:t>
            </w:r>
            <w:r w:rsidRPr="0010735E" w:rsidDel="000E4F67">
              <w:t>Soils</w:t>
            </w:r>
          </w:p>
        </w:tc>
        <w:tc>
          <w:tcPr>
            <w:tcW w:w="492" w:type="dxa"/>
            <w:shd w:val="clear" w:color="auto" w:fill="FFFFFF"/>
            <w:tcMar>
              <w:top w:w="0" w:type="dxa"/>
              <w:left w:w="85" w:type="dxa"/>
              <w:bottom w:w="0" w:type="dxa"/>
              <w:right w:w="85" w:type="dxa"/>
            </w:tcMar>
          </w:tcPr>
          <w:p w14:paraId="0E5B526C" w14:textId="77777777" w:rsidR="00BB3E1E" w:rsidRPr="0010735E" w:rsidRDefault="00BB3E1E" w:rsidP="00B05614">
            <w:pPr>
              <w:pStyle w:val="TableText"/>
            </w:pPr>
            <w:r w:rsidRPr="0010735E" w:rsidDel="000E4F67">
              <w:t>N</w:t>
            </w:r>
            <w:r w:rsidRPr="0010735E" w:rsidDel="000E4F67">
              <w:rPr>
                <w:vertAlign w:val="subscript"/>
              </w:rPr>
              <w:t>2</w:t>
            </w:r>
            <w:r w:rsidRPr="0010735E" w:rsidDel="000E4F67">
              <w:t>O</w:t>
            </w:r>
          </w:p>
        </w:tc>
        <w:tc>
          <w:tcPr>
            <w:tcW w:w="964" w:type="dxa"/>
            <w:shd w:val="clear" w:color="auto" w:fill="FFFFFF"/>
            <w:tcMar>
              <w:top w:w="0" w:type="dxa"/>
              <w:left w:w="85" w:type="dxa"/>
              <w:bottom w:w="0" w:type="dxa"/>
              <w:right w:w="85" w:type="dxa"/>
            </w:tcMar>
          </w:tcPr>
          <w:p w14:paraId="6075A43E" w14:textId="77777777" w:rsidR="00BB3E1E" w:rsidRPr="0010735E" w:rsidRDefault="00BB3E1E" w:rsidP="00B05614">
            <w:pPr>
              <w:pStyle w:val="TableText"/>
              <w:jc w:val="right"/>
            </w:pPr>
            <w:r w:rsidRPr="0010735E">
              <w:t>658.7</w:t>
            </w:r>
          </w:p>
        </w:tc>
        <w:tc>
          <w:tcPr>
            <w:tcW w:w="964" w:type="dxa"/>
            <w:shd w:val="clear" w:color="auto" w:fill="FFFFFF"/>
            <w:tcMar>
              <w:top w:w="0" w:type="dxa"/>
              <w:left w:w="85" w:type="dxa"/>
              <w:bottom w:w="0" w:type="dxa"/>
              <w:right w:w="85" w:type="dxa"/>
            </w:tcMar>
          </w:tcPr>
          <w:p w14:paraId="1C2ACDE8" w14:textId="77777777" w:rsidR="00BB3E1E" w:rsidRPr="0010735E" w:rsidRDefault="00BB3E1E" w:rsidP="00B05614">
            <w:pPr>
              <w:pStyle w:val="TableText"/>
              <w:jc w:val="right"/>
            </w:pPr>
            <w:r w:rsidRPr="0010735E">
              <w:t>667.6</w:t>
            </w:r>
          </w:p>
        </w:tc>
        <w:tc>
          <w:tcPr>
            <w:tcW w:w="964" w:type="dxa"/>
            <w:shd w:val="clear" w:color="auto" w:fill="FFFFFF"/>
            <w:tcMar>
              <w:top w:w="0" w:type="dxa"/>
              <w:left w:w="85" w:type="dxa"/>
              <w:bottom w:w="0" w:type="dxa"/>
              <w:right w:w="85" w:type="dxa"/>
            </w:tcMar>
          </w:tcPr>
          <w:p w14:paraId="312A0451"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33F45265" w14:textId="77777777" w:rsidR="00BB3E1E" w:rsidRPr="0010735E" w:rsidRDefault="00BB3E1E" w:rsidP="00B05614">
            <w:pPr>
              <w:pStyle w:val="TableText"/>
              <w:jc w:val="right"/>
            </w:pPr>
            <w:r w:rsidRPr="0010735E">
              <w:t>0.3</w:t>
            </w:r>
          </w:p>
        </w:tc>
        <w:tc>
          <w:tcPr>
            <w:tcW w:w="907" w:type="dxa"/>
            <w:shd w:val="clear" w:color="auto" w:fill="FFFFFF"/>
            <w:tcMar>
              <w:top w:w="0" w:type="dxa"/>
              <w:left w:w="85" w:type="dxa"/>
              <w:bottom w:w="0" w:type="dxa"/>
              <w:right w:w="85" w:type="dxa"/>
            </w:tcMar>
          </w:tcPr>
          <w:p w14:paraId="3F09C4A8" w14:textId="77777777" w:rsidR="00BB3E1E" w:rsidRPr="0010735E" w:rsidRDefault="00BB3E1E" w:rsidP="00B05614">
            <w:pPr>
              <w:pStyle w:val="TableText"/>
              <w:jc w:val="right"/>
            </w:pPr>
            <w:r w:rsidRPr="0010735E">
              <w:t>92.9</w:t>
            </w:r>
          </w:p>
        </w:tc>
      </w:tr>
      <w:tr w:rsidR="00AD2A3E" w:rsidRPr="0010735E" w14:paraId="43D51F8A" w14:textId="77777777" w:rsidTr="00AD2A3E">
        <w:trPr>
          <w:cantSplit/>
          <w:trHeight w:val="283"/>
        </w:trPr>
        <w:tc>
          <w:tcPr>
            <w:tcW w:w="911" w:type="dxa"/>
            <w:shd w:val="clear" w:color="auto" w:fill="FFFFFF"/>
            <w:tcMar>
              <w:top w:w="0" w:type="dxa"/>
              <w:left w:w="85" w:type="dxa"/>
              <w:bottom w:w="0" w:type="dxa"/>
              <w:right w:w="85" w:type="dxa"/>
            </w:tcMar>
          </w:tcPr>
          <w:p w14:paraId="0EAB7E64" w14:textId="77777777" w:rsidR="00BB3E1E" w:rsidRPr="0010735E" w:rsidRDefault="00BB3E1E" w:rsidP="00B05614">
            <w:pPr>
              <w:pStyle w:val="TableText"/>
            </w:pPr>
            <w:r w:rsidRPr="0010735E" w:rsidDel="000E4F67">
              <w:t>1.B.2.c.1.ii</w:t>
            </w:r>
          </w:p>
        </w:tc>
        <w:tc>
          <w:tcPr>
            <w:tcW w:w="2041" w:type="dxa"/>
            <w:shd w:val="clear" w:color="auto" w:fill="FFFFFF"/>
            <w:tcMar>
              <w:top w:w="0" w:type="dxa"/>
              <w:left w:w="85" w:type="dxa"/>
              <w:bottom w:w="0" w:type="dxa"/>
              <w:right w:w="85" w:type="dxa"/>
            </w:tcMar>
          </w:tcPr>
          <w:p w14:paraId="641C872F" w14:textId="77777777" w:rsidR="00BB3E1E" w:rsidRPr="0010735E" w:rsidRDefault="00BB3E1E" w:rsidP="00B05614">
            <w:pPr>
              <w:pStyle w:val="TableText"/>
            </w:pPr>
            <w:r w:rsidRPr="0010735E">
              <w:t xml:space="preserve">Venting – </w:t>
            </w:r>
            <w:r w:rsidRPr="0010735E" w:rsidDel="000E4F67">
              <w:t>Gas</w:t>
            </w:r>
          </w:p>
        </w:tc>
        <w:tc>
          <w:tcPr>
            <w:tcW w:w="492" w:type="dxa"/>
            <w:shd w:val="clear" w:color="auto" w:fill="FFFFFF"/>
            <w:tcMar>
              <w:top w:w="0" w:type="dxa"/>
              <w:left w:w="85" w:type="dxa"/>
              <w:bottom w:w="0" w:type="dxa"/>
              <w:right w:w="85" w:type="dxa"/>
            </w:tcMar>
          </w:tcPr>
          <w:p w14:paraId="357B1381"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4DA81840" w14:textId="77777777" w:rsidR="00BB3E1E" w:rsidRPr="0010735E" w:rsidRDefault="00BB3E1E" w:rsidP="00B05614">
            <w:pPr>
              <w:pStyle w:val="TableText"/>
              <w:jc w:val="right"/>
            </w:pPr>
            <w:r w:rsidRPr="0010735E">
              <w:t>109.3</w:t>
            </w:r>
          </w:p>
        </w:tc>
        <w:tc>
          <w:tcPr>
            <w:tcW w:w="964" w:type="dxa"/>
            <w:shd w:val="clear" w:color="auto" w:fill="FFFFFF"/>
            <w:tcMar>
              <w:top w:w="0" w:type="dxa"/>
              <w:left w:w="85" w:type="dxa"/>
              <w:bottom w:w="0" w:type="dxa"/>
              <w:right w:w="85" w:type="dxa"/>
            </w:tcMar>
          </w:tcPr>
          <w:p w14:paraId="44B727AA" w14:textId="77777777" w:rsidR="00BB3E1E" w:rsidRPr="0010735E" w:rsidRDefault="00BB3E1E" w:rsidP="00B05614">
            <w:pPr>
              <w:pStyle w:val="TableText"/>
              <w:jc w:val="right"/>
            </w:pPr>
            <w:r w:rsidRPr="0010735E">
              <w:t>256.6</w:t>
            </w:r>
          </w:p>
        </w:tc>
        <w:tc>
          <w:tcPr>
            <w:tcW w:w="964" w:type="dxa"/>
            <w:shd w:val="clear" w:color="auto" w:fill="FFFFFF"/>
            <w:tcMar>
              <w:top w:w="0" w:type="dxa"/>
              <w:left w:w="85" w:type="dxa"/>
              <w:bottom w:w="0" w:type="dxa"/>
              <w:right w:w="85" w:type="dxa"/>
            </w:tcMar>
          </w:tcPr>
          <w:p w14:paraId="41798B7C"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6EE8EF02" w14:textId="77777777" w:rsidR="00BB3E1E" w:rsidRPr="0010735E" w:rsidRDefault="00BB3E1E" w:rsidP="00B05614">
            <w:pPr>
              <w:pStyle w:val="TableText"/>
              <w:jc w:val="right"/>
            </w:pPr>
            <w:r w:rsidRPr="0010735E">
              <w:t>0.3</w:t>
            </w:r>
          </w:p>
        </w:tc>
        <w:tc>
          <w:tcPr>
            <w:tcW w:w="907" w:type="dxa"/>
            <w:shd w:val="clear" w:color="auto" w:fill="FFFFFF"/>
            <w:tcMar>
              <w:top w:w="0" w:type="dxa"/>
              <w:left w:w="85" w:type="dxa"/>
              <w:bottom w:w="0" w:type="dxa"/>
              <w:right w:w="85" w:type="dxa"/>
            </w:tcMar>
          </w:tcPr>
          <w:p w14:paraId="79260D32" w14:textId="77777777" w:rsidR="00BB3E1E" w:rsidRPr="0010735E" w:rsidRDefault="00BB3E1E" w:rsidP="00B05614">
            <w:pPr>
              <w:pStyle w:val="TableText"/>
              <w:jc w:val="right"/>
            </w:pPr>
            <w:r w:rsidRPr="0010735E">
              <w:t>93.2</w:t>
            </w:r>
          </w:p>
        </w:tc>
      </w:tr>
      <w:tr w:rsidR="00AD2A3E" w:rsidRPr="0010735E" w14:paraId="4C456465" w14:textId="77777777" w:rsidTr="00AD2A3E">
        <w:trPr>
          <w:cantSplit/>
          <w:trHeight w:val="283"/>
        </w:trPr>
        <w:tc>
          <w:tcPr>
            <w:tcW w:w="911" w:type="dxa"/>
            <w:shd w:val="clear" w:color="auto" w:fill="FFFFFF"/>
            <w:tcMar>
              <w:top w:w="0" w:type="dxa"/>
              <w:left w:w="85" w:type="dxa"/>
              <w:bottom w:w="0" w:type="dxa"/>
              <w:right w:w="85" w:type="dxa"/>
            </w:tcMar>
          </w:tcPr>
          <w:p w14:paraId="6227CC05" w14:textId="77777777" w:rsidR="00BB3E1E" w:rsidRPr="0010735E" w:rsidRDefault="00BB3E1E" w:rsidP="00B05614">
            <w:pPr>
              <w:pStyle w:val="TableText"/>
            </w:pPr>
            <w:r w:rsidRPr="0010735E" w:rsidDel="000E4F67">
              <w:t>1.A.4.a</w:t>
            </w:r>
          </w:p>
        </w:tc>
        <w:tc>
          <w:tcPr>
            <w:tcW w:w="2041" w:type="dxa"/>
            <w:shd w:val="clear" w:color="auto" w:fill="FFFFFF"/>
            <w:tcMar>
              <w:top w:w="0" w:type="dxa"/>
              <w:left w:w="85" w:type="dxa"/>
              <w:bottom w:w="0" w:type="dxa"/>
              <w:right w:w="85" w:type="dxa"/>
            </w:tcMar>
          </w:tcPr>
          <w:p w14:paraId="2BCAC252" w14:textId="31ED56F7" w:rsidR="00BB3E1E" w:rsidRPr="0010735E" w:rsidRDefault="00BB3E1E" w:rsidP="00B05614">
            <w:pPr>
              <w:pStyle w:val="TableText"/>
            </w:pPr>
            <w:r w:rsidRPr="0010735E">
              <w:t>Other Sectors – Commercial/</w:t>
            </w:r>
            <w:r w:rsidR="00AD2A3E">
              <w:t xml:space="preserve"> </w:t>
            </w:r>
            <w:r w:rsidRPr="0010735E">
              <w:t>Institutional Solid Fuels</w:t>
            </w:r>
          </w:p>
        </w:tc>
        <w:tc>
          <w:tcPr>
            <w:tcW w:w="492" w:type="dxa"/>
            <w:shd w:val="clear" w:color="auto" w:fill="FFFFFF"/>
            <w:tcMar>
              <w:top w:w="0" w:type="dxa"/>
              <w:left w:w="85" w:type="dxa"/>
              <w:bottom w:w="0" w:type="dxa"/>
              <w:right w:w="85" w:type="dxa"/>
            </w:tcMar>
          </w:tcPr>
          <w:p w14:paraId="1C8D89D9"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7CEE1D4C" w14:textId="77777777" w:rsidR="00BB3E1E" w:rsidRPr="0010735E" w:rsidRDefault="00BB3E1E" w:rsidP="00B05614">
            <w:pPr>
              <w:pStyle w:val="TableText"/>
              <w:jc w:val="right"/>
            </w:pPr>
            <w:r w:rsidRPr="0010735E">
              <w:t>142.2</w:t>
            </w:r>
          </w:p>
        </w:tc>
        <w:tc>
          <w:tcPr>
            <w:tcW w:w="964" w:type="dxa"/>
            <w:shd w:val="clear" w:color="auto" w:fill="FFFFFF"/>
            <w:tcMar>
              <w:top w:w="0" w:type="dxa"/>
              <w:left w:w="85" w:type="dxa"/>
              <w:bottom w:w="0" w:type="dxa"/>
              <w:right w:w="85" w:type="dxa"/>
            </w:tcMar>
          </w:tcPr>
          <w:p w14:paraId="55E6FA26" w14:textId="77777777" w:rsidR="00BB3E1E" w:rsidRPr="0010735E" w:rsidRDefault="00BB3E1E" w:rsidP="00B05614">
            <w:pPr>
              <w:pStyle w:val="TableText"/>
              <w:jc w:val="right"/>
            </w:pPr>
            <w:r w:rsidRPr="0010735E">
              <w:t>57.7</w:t>
            </w:r>
          </w:p>
        </w:tc>
        <w:tc>
          <w:tcPr>
            <w:tcW w:w="964" w:type="dxa"/>
            <w:shd w:val="clear" w:color="auto" w:fill="FFFFFF"/>
            <w:tcMar>
              <w:top w:w="0" w:type="dxa"/>
              <w:left w:w="85" w:type="dxa"/>
              <w:bottom w:w="0" w:type="dxa"/>
              <w:right w:w="85" w:type="dxa"/>
            </w:tcMar>
          </w:tcPr>
          <w:p w14:paraId="1917624B"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31228C99" w14:textId="77777777" w:rsidR="00BB3E1E" w:rsidRPr="0010735E" w:rsidRDefault="00BB3E1E" w:rsidP="00B05614">
            <w:pPr>
              <w:pStyle w:val="TableText"/>
              <w:jc w:val="right"/>
            </w:pPr>
            <w:r w:rsidRPr="0010735E">
              <w:t>0.3</w:t>
            </w:r>
          </w:p>
        </w:tc>
        <w:tc>
          <w:tcPr>
            <w:tcW w:w="907" w:type="dxa"/>
            <w:shd w:val="clear" w:color="auto" w:fill="FFFFFF"/>
            <w:tcMar>
              <w:top w:w="0" w:type="dxa"/>
              <w:left w:w="85" w:type="dxa"/>
              <w:bottom w:w="0" w:type="dxa"/>
              <w:right w:w="85" w:type="dxa"/>
            </w:tcMar>
          </w:tcPr>
          <w:p w14:paraId="157889A6" w14:textId="77777777" w:rsidR="00BB3E1E" w:rsidRPr="0010735E" w:rsidRDefault="00BB3E1E" w:rsidP="00B05614">
            <w:pPr>
              <w:pStyle w:val="TableText"/>
              <w:jc w:val="right"/>
            </w:pPr>
            <w:r w:rsidRPr="0010735E">
              <w:t>93.4</w:t>
            </w:r>
          </w:p>
        </w:tc>
      </w:tr>
      <w:tr w:rsidR="00AD2A3E" w:rsidRPr="0010735E" w14:paraId="3D611BE4" w14:textId="77777777" w:rsidTr="00AD2A3E">
        <w:trPr>
          <w:cantSplit/>
          <w:trHeight w:val="283"/>
        </w:trPr>
        <w:tc>
          <w:tcPr>
            <w:tcW w:w="911" w:type="dxa"/>
            <w:shd w:val="clear" w:color="auto" w:fill="FFFFFF"/>
            <w:tcMar>
              <w:top w:w="0" w:type="dxa"/>
              <w:left w:w="85" w:type="dxa"/>
              <w:bottom w:w="0" w:type="dxa"/>
              <w:right w:w="85" w:type="dxa"/>
            </w:tcMar>
          </w:tcPr>
          <w:p w14:paraId="1D294E49" w14:textId="77777777" w:rsidR="00BB3E1E" w:rsidRPr="0010735E" w:rsidRDefault="00BB3E1E" w:rsidP="00B05614">
            <w:pPr>
              <w:pStyle w:val="TableText"/>
            </w:pPr>
            <w:r w:rsidRPr="0010735E" w:rsidDel="000E4F67">
              <w:t>1.A.2.d</w:t>
            </w:r>
          </w:p>
        </w:tc>
        <w:tc>
          <w:tcPr>
            <w:tcW w:w="2041" w:type="dxa"/>
            <w:shd w:val="clear" w:color="auto" w:fill="FFFFFF"/>
            <w:tcMar>
              <w:top w:w="0" w:type="dxa"/>
              <w:left w:w="85" w:type="dxa"/>
              <w:bottom w:w="0" w:type="dxa"/>
              <w:right w:w="85" w:type="dxa"/>
            </w:tcMar>
          </w:tcPr>
          <w:p w14:paraId="54AD06F5" w14:textId="77777777" w:rsidR="00BB3E1E" w:rsidRPr="0010735E" w:rsidRDefault="00BB3E1E" w:rsidP="00B05614">
            <w:pPr>
              <w:pStyle w:val="TableText"/>
            </w:pPr>
            <w:r w:rsidRPr="0010735E">
              <w:t xml:space="preserve">Manufacturing Industries and Construction – Pulp, Paper and Print Gaseous </w:t>
            </w:r>
            <w:r w:rsidRPr="0010735E" w:rsidDel="000E4F67">
              <w:t>Fuels</w:t>
            </w:r>
          </w:p>
        </w:tc>
        <w:tc>
          <w:tcPr>
            <w:tcW w:w="492" w:type="dxa"/>
            <w:shd w:val="clear" w:color="auto" w:fill="FFFFFF"/>
            <w:tcMar>
              <w:top w:w="0" w:type="dxa"/>
              <w:left w:w="85" w:type="dxa"/>
              <w:bottom w:w="0" w:type="dxa"/>
              <w:right w:w="85" w:type="dxa"/>
            </w:tcMar>
          </w:tcPr>
          <w:p w14:paraId="0CF0C6F0"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0C0CA82D" w14:textId="77777777" w:rsidR="00BB3E1E" w:rsidRPr="0010735E" w:rsidRDefault="00BB3E1E" w:rsidP="00B05614">
            <w:pPr>
              <w:pStyle w:val="TableText"/>
              <w:jc w:val="right"/>
            </w:pPr>
            <w:r w:rsidRPr="0010735E">
              <w:t>347.6</w:t>
            </w:r>
          </w:p>
        </w:tc>
        <w:tc>
          <w:tcPr>
            <w:tcW w:w="964" w:type="dxa"/>
            <w:shd w:val="clear" w:color="auto" w:fill="FFFFFF"/>
            <w:tcMar>
              <w:top w:w="0" w:type="dxa"/>
              <w:left w:w="85" w:type="dxa"/>
              <w:bottom w:w="0" w:type="dxa"/>
              <w:right w:w="85" w:type="dxa"/>
            </w:tcMar>
          </w:tcPr>
          <w:p w14:paraId="5C9C88A8" w14:textId="77777777" w:rsidR="00BB3E1E" w:rsidRPr="0010735E" w:rsidRDefault="00BB3E1E" w:rsidP="00B05614">
            <w:pPr>
              <w:pStyle w:val="TableText"/>
              <w:jc w:val="right"/>
            </w:pPr>
            <w:r w:rsidRPr="0010735E">
              <w:t>306.7</w:t>
            </w:r>
          </w:p>
        </w:tc>
        <w:tc>
          <w:tcPr>
            <w:tcW w:w="964" w:type="dxa"/>
            <w:shd w:val="clear" w:color="auto" w:fill="FFFFFF"/>
            <w:tcMar>
              <w:top w:w="0" w:type="dxa"/>
              <w:left w:w="85" w:type="dxa"/>
              <w:bottom w:w="0" w:type="dxa"/>
              <w:right w:w="85" w:type="dxa"/>
            </w:tcMar>
          </w:tcPr>
          <w:p w14:paraId="7C338BB7"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6083E0E4" w14:textId="77777777" w:rsidR="00BB3E1E" w:rsidRPr="0010735E" w:rsidRDefault="00BB3E1E" w:rsidP="00B05614">
            <w:pPr>
              <w:pStyle w:val="TableText"/>
              <w:jc w:val="right"/>
            </w:pPr>
            <w:r w:rsidRPr="0010735E">
              <w:t>0.3</w:t>
            </w:r>
          </w:p>
        </w:tc>
        <w:tc>
          <w:tcPr>
            <w:tcW w:w="907" w:type="dxa"/>
            <w:shd w:val="clear" w:color="auto" w:fill="FFFFFF"/>
            <w:tcMar>
              <w:top w:w="0" w:type="dxa"/>
              <w:left w:w="85" w:type="dxa"/>
              <w:bottom w:w="0" w:type="dxa"/>
              <w:right w:w="85" w:type="dxa"/>
            </w:tcMar>
          </w:tcPr>
          <w:p w14:paraId="3E577CF2" w14:textId="77777777" w:rsidR="00BB3E1E" w:rsidRPr="0010735E" w:rsidRDefault="00BB3E1E" w:rsidP="00B05614">
            <w:pPr>
              <w:pStyle w:val="TableText"/>
              <w:jc w:val="right"/>
            </w:pPr>
            <w:r w:rsidRPr="0010735E">
              <w:t>93.7</w:t>
            </w:r>
          </w:p>
        </w:tc>
      </w:tr>
      <w:tr w:rsidR="00AD2A3E" w:rsidRPr="0010735E" w14:paraId="4AF4CEF2" w14:textId="77777777" w:rsidTr="00AD2A3E">
        <w:trPr>
          <w:cantSplit/>
          <w:trHeight w:val="283"/>
        </w:trPr>
        <w:tc>
          <w:tcPr>
            <w:tcW w:w="911" w:type="dxa"/>
            <w:shd w:val="clear" w:color="auto" w:fill="FFFFFF"/>
            <w:tcMar>
              <w:top w:w="0" w:type="dxa"/>
              <w:left w:w="85" w:type="dxa"/>
              <w:bottom w:w="0" w:type="dxa"/>
              <w:right w:w="85" w:type="dxa"/>
            </w:tcMar>
          </w:tcPr>
          <w:p w14:paraId="5177DAB6" w14:textId="77777777" w:rsidR="00BB3E1E" w:rsidRPr="0010735E" w:rsidRDefault="00BB3E1E" w:rsidP="00B05614">
            <w:pPr>
              <w:pStyle w:val="TableText"/>
            </w:pPr>
            <w:r w:rsidRPr="0010735E" w:rsidDel="000E4F67">
              <w:t>1.A.2.d</w:t>
            </w:r>
          </w:p>
        </w:tc>
        <w:tc>
          <w:tcPr>
            <w:tcW w:w="2041" w:type="dxa"/>
            <w:shd w:val="clear" w:color="auto" w:fill="FFFFFF"/>
            <w:tcMar>
              <w:top w:w="0" w:type="dxa"/>
              <w:left w:w="85" w:type="dxa"/>
              <w:bottom w:w="0" w:type="dxa"/>
              <w:right w:w="85" w:type="dxa"/>
            </w:tcMar>
          </w:tcPr>
          <w:p w14:paraId="7E0E4CA2" w14:textId="77777777" w:rsidR="00BB3E1E" w:rsidRPr="0010735E" w:rsidRDefault="00BB3E1E" w:rsidP="00B05614">
            <w:pPr>
              <w:pStyle w:val="TableText"/>
            </w:pPr>
            <w:r w:rsidRPr="0010735E">
              <w:t xml:space="preserve">Manufacturing Industries and Construction – Pulp, Paper and Print Solid </w:t>
            </w:r>
            <w:r w:rsidRPr="0010735E" w:rsidDel="000E4F67">
              <w:t>Fuels</w:t>
            </w:r>
          </w:p>
        </w:tc>
        <w:tc>
          <w:tcPr>
            <w:tcW w:w="492" w:type="dxa"/>
            <w:shd w:val="clear" w:color="auto" w:fill="FFFFFF"/>
            <w:tcMar>
              <w:top w:w="0" w:type="dxa"/>
              <w:left w:w="85" w:type="dxa"/>
              <w:bottom w:w="0" w:type="dxa"/>
              <w:right w:w="85" w:type="dxa"/>
            </w:tcMar>
          </w:tcPr>
          <w:p w14:paraId="059EDEDD"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3AD86913" w14:textId="77777777" w:rsidR="00BB3E1E" w:rsidRPr="0010735E" w:rsidRDefault="00BB3E1E" w:rsidP="00B05614">
            <w:pPr>
              <w:pStyle w:val="TableText"/>
              <w:jc w:val="right"/>
            </w:pPr>
            <w:r w:rsidRPr="0010735E">
              <w:t>109.5</w:t>
            </w:r>
          </w:p>
        </w:tc>
        <w:tc>
          <w:tcPr>
            <w:tcW w:w="964" w:type="dxa"/>
            <w:shd w:val="clear" w:color="auto" w:fill="FFFFFF"/>
            <w:tcMar>
              <w:top w:w="0" w:type="dxa"/>
              <w:left w:w="85" w:type="dxa"/>
              <w:bottom w:w="0" w:type="dxa"/>
              <w:right w:w="85" w:type="dxa"/>
            </w:tcMar>
          </w:tcPr>
          <w:p w14:paraId="1B43DEDD" w14:textId="77777777" w:rsidR="00BB3E1E" w:rsidRPr="0010735E" w:rsidRDefault="00BB3E1E" w:rsidP="00B05614">
            <w:pPr>
              <w:pStyle w:val="TableText"/>
              <w:jc w:val="right"/>
            </w:pPr>
            <w:r w:rsidRPr="0010735E">
              <w:t>23.1</w:t>
            </w:r>
          </w:p>
        </w:tc>
        <w:tc>
          <w:tcPr>
            <w:tcW w:w="964" w:type="dxa"/>
            <w:shd w:val="clear" w:color="auto" w:fill="FFFFFF"/>
            <w:tcMar>
              <w:top w:w="0" w:type="dxa"/>
              <w:left w:w="85" w:type="dxa"/>
              <w:bottom w:w="0" w:type="dxa"/>
              <w:right w:w="85" w:type="dxa"/>
            </w:tcMar>
          </w:tcPr>
          <w:p w14:paraId="15C9796A"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6D4382AA" w14:textId="77777777" w:rsidR="00BB3E1E" w:rsidRPr="0010735E" w:rsidRDefault="00BB3E1E" w:rsidP="00B05614">
            <w:pPr>
              <w:pStyle w:val="TableText"/>
              <w:jc w:val="right"/>
            </w:pPr>
            <w:r w:rsidRPr="0010735E">
              <w:t>0.3</w:t>
            </w:r>
          </w:p>
        </w:tc>
        <w:tc>
          <w:tcPr>
            <w:tcW w:w="907" w:type="dxa"/>
            <w:shd w:val="clear" w:color="auto" w:fill="FFFFFF"/>
            <w:tcMar>
              <w:top w:w="0" w:type="dxa"/>
              <w:left w:w="85" w:type="dxa"/>
              <w:bottom w:w="0" w:type="dxa"/>
              <w:right w:w="85" w:type="dxa"/>
            </w:tcMar>
          </w:tcPr>
          <w:p w14:paraId="51F8A593" w14:textId="77777777" w:rsidR="00BB3E1E" w:rsidRPr="0010735E" w:rsidRDefault="00BB3E1E" w:rsidP="00B05614">
            <w:pPr>
              <w:pStyle w:val="TableText"/>
              <w:jc w:val="right"/>
            </w:pPr>
            <w:r w:rsidRPr="0010735E">
              <w:t>94.0</w:t>
            </w:r>
          </w:p>
        </w:tc>
      </w:tr>
      <w:tr w:rsidR="00AD2A3E" w:rsidRPr="0010735E" w14:paraId="7FE0A807" w14:textId="77777777" w:rsidTr="00AD2A3E">
        <w:trPr>
          <w:cantSplit/>
          <w:trHeight w:val="283"/>
        </w:trPr>
        <w:tc>
          <w:tcPr>
            <w:tcW w:w="911" w:type="dxa"/>
            <w:shd w:val="clear" w:color="auto" w:fill="FFFFFF"/>
            <w:tcMar>
              <w:top w:w="0" w:type="dxa"/>
              <w:left w:w="85" w:type="dxa"/>
              <w:bottom w:w="0" w:type="dxa"/>
              <w:right w:w="85" w:type="dxa"/>
            </w:tcMar>
          </w:tcPr>
          <w:p w14:paraId="2CB3EBE3" w14:textId="77777777" w:rsidR="00BB3E1E" w:rsidRPr="0010735E" w:rsidRDefault="00BB3E1E" w:rsidP="00B05614">
            <w:pPr>
              <w:pStyle w:val="TableText"/>
            </w:pPr>
            <w:r w:rsidRPr="0010735E" w:rsidDel="000E4F67">
              <w:t>1.A.4.a</w:t>
            </w:r>
          </w:p>
        </w:tc>
        <w:tc>
          <w:tcPr>
            <w:tcW w:w="2041" w:type="dxa"/>
            <w:shd w:val="clear" w:color="auto" w:fill="FFFFFF"/>
            <w:tcMar>
              <w:top w:w="0" w:type="dxa"/>
              <w:left w:w="85" w:type="dxa"/>
              <w:bottom w:w="0" w:type="dxa"/>
              <w:right w:w="85" w:type="dxa"/>
            </w:tcMar>
          </w:tcPr>
          <w:p w14:paraId="0D6D325E" w14:textId="34FDD18A" w:rsidR="00BB3E1E" w:rsidRPr="0010735E" w:rsidRDefault="00BB3E1E" w:rsidP="00B05614">
            <w:pPr>
              <w:pStyle w:val="TableText"/>
            </w:pPr>
            <w:r w:rsidRPr="0010735E">
              <w:t>Other Sectors – Commercial/</w:t>
            </w:r>
            <w:r w:rsidR="00191A9F">
              <w:t xml:space="preserve"> </w:t>
            </w:r>
            <w:r w:rsidRPr="0010735E">
              <w:t>Institutional Liquid Fuels</w:t>
            </w:r>
          </w:p>
        </w:tc>
        <w:tc>
          <w:tcPr>
            <w:tcW w:w="492" w:type="dxa"/>
            <w:shd w:val="clear" w:color="auto" w:fill="FFFFFF"/>
            <w:tcMar>
              <w:top w:w="0" w:type="dxa"/>
              <w:left w:w="85" w:type="dxa"/>
              <w:bottom w:w="0" w:type="dxa"/>
              <w:right w:w="85" w:type="dxa"/>
            </w:tcMar>
          </w:tcPr>
          <w:p w14:paraId="3131FDE4"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65E5E114" w14:textId="77777777" w:rsidR="00BB3E1E" w:rsidRPr="0010735E" w:rsidRDefault="00BB3E1E" w:rsidP="00B05614">
            <w:pPr>
              <w:pStyle w:val="TableText"/>
              <w:jc w:val="right"/>
            </w:pPr>
            <w:r w:rsidRPr="0010735E">
              <w:t>500.7</w:t>
            </w:r>
          </w:p>
        </w:tc>
        <w:tc>
          <w:tcPr>
            <w:tcW w:w="964" w:type="dxa"/>
            <w:shd w:val="clear" w:color="auto" w:fill="FFFFFF"/>
            <w:tcMar>
              <w:top w:w="0" w:type="dxa"/>
              <w:left w:w="85" w:type="dxa"/>
              <w:bottom w:w="0" w:type="dxa"/>
              <w:right w:w="85" w:type="dxa"/>
            </w:tcMar>
          </w:tcPr>
          <w:p w14:paraId="3EF8A085" w14:textId="77777777" w:rsidR="00BB3E1E" w:rsidRPr="0010735E" w:rsidRDefault="00BB3E1E" w:rsidP="00B05614">
            <w:pPr>
              <w:pStyle w:val="TableText"/>
              <w:jc w:val="right"/>
            </w:pPr>
            <w:r w:rsidRPr="0010735E">
              <w:t>707.9</w:t>
            </w:r>
          </w:p>
        </w:tc>
        <w:tc>
          <w:tcPr>
            <w:tcW w:w="964" w:type="dxa"/>
            <w:shd w:val="clear" w:color="auto" w:fill="FFFFFF"/>
            <w:tcMar>
              <w:top w:w="0" w:type="dxa"/>
              <w:left w:w="85" w:type="dxa"/>
              <w:bottom w:w="0" w:type="dxa"/>
              <w:right w:w="85" w:type="dxa"/>
            </w:tcMar>
          </w:tcPr>
          <w:p w14:paraId="6332E981"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3334D5E0" w14:textId="77777777" w:rsidR="00BB3E1E" w:rsidRPr="0010735E" w:rsidRDefault="00BB3E1E" w:rsidP="00B05614">
            <w:pPr>
              <w:pStyle w:val="TableText"/>
              <w:jc w:val="right"/>
            </w:pPr>
            <w:r w:rsidRPr="0010735E">
              <w:t>0.2</w:t>
            </w:r>
          </w:p>
        </w:tc>
        <w:tc>
          <w:tcPr>
            <w:tcW w:w="907" w:type="dxa"/>
            <w:shd w:val="clear" w:color="auto" w:fill="FFFFFF"/>
            <w:tcMar>
              <w:top w:w="0" w:type="dxa"/>
              <w:left w:w="85" w:type="dxa"/>
              <w:bottom w:w="0" w:type="dxa"/>
              <w:right w:w="85" w:type="dxa"/>
            </w:tcMar>
          </w:tcPr>
          <w:p w14:paraId="0CFDCE51" w14:textId="77777777" w:rsidR="00BB3E1E" w:rsidRPr="0010735E" w:rsidRDefault="00BB3E1E" w:rsidP="00B05614">
            <w:pPr>
              <w:pStyle w:val="TableText"/>
              <w:jc w:val="right"/>
            </w:pPr>
            <w:r w:rsidRPr="0010735E">
              <w:t>94.2</w:t>
            </w:r>
          </w:p>
        </w:tc>
      </w:tr>
      <w:tr w:rsidR="00AD2A3E" w:rsidRPr="0010735E" w14:paraId="3FE9AB7E" w14:textId="77777777" w:rsidTr="00AD2A3E">
        <w:trPr>
          <w:cantSplit/>
          <w:trHeight w:val="283"/>
        </w:trPr>
        <w:tc>
          <w:tcPr>
            <w:tcW w:w="911" w:type="dxa"/>
            <w:shd w:val="clear" w:color="auto" w:fill="FFFFFF"/>
            <w:tcMar>
              <w:top w:w="0" w:type="dxa"/>
              <w:left w:w="85" w:type="dxa"/>
              <w:bottom w:w="0" w:type="dxa"/>
              <w:right w:w="85" w:type="dxa"/>
            </w:tcMar>
          </w:tcPr>
          <w:p w14:paraId="689B13FE" w14:textId="77777777" w:rsidR="00BB3E1E" w:rsidRPr="0010735E" w:rsidRDefault="00BB3E1E" w:rsidP="00B05614">
            <w:pPr>
              <w:pStyle w:val="TableText"/>
            </w:pPr>
            <w:r w:rsidRPr="0010735E" w:rsidDel="000E4F67">
              <w:t>5.C</w:t>
            </w:r>
          </w:p>
        </w:tc>
        <w:tc>
          <w:tcPr>
            <w:tcW w:w="2041" w:type="dxa"/>
            <w:shd w:val="clear" w:color="auto" w:fill="FFFFFF"/>
            <w:tcMar>
              <w:top w:w="0" w:type="dxa"/>
              <w:left w:w="85" w:type="dxa"/>
              <w:bottom w:w="0" w:type="dxa"/>
              <w:right w:w="85" w:type="dxa"/>
            </w:tcMar>
          </w:tcPr>
          <w:p w14:paraId="205AF66E" w14:textId="77777777" w:rsidR="00BB3E1E" w:rsidRPr="0010735E" w:rsidRDefault="00BB3E1E" w:rsidP="00B05614">
            <w:pPr>
              <w:pStyle w:val="TableText"/>
            </w:pPr>
            <w:r w:rsidRPr="0010735E">
              <w:t xml:space="preserve">Waste – Incineration and Open Burning of </w:t>
            </w:r>
            <w:r w:rsidRPr="0010735E" w:rsidDel="000E4F67">
              <w:t>Waste</w:t>
            </w:r>
          </w:p>
        </w:tc>
        <w:tc>
          <w:tcPr>
            <w:tcW w:w="492" w:type="dxa"/>
            <w:shd w:val="clear" w:color="auto" w:fill="FFFFFF"/>
            <w:tcMar>
              <w:top w:w="0" w:type="dxa"/>
              <w:left w:w="85" w:type="dxa"/>
              <w:bottom w:w="0" w:type="dxa"/>
              <w:right w:w="85" w:type="dxa"/>
            </w:tcMar>
          </w:tcPr>
          <w:p w14:paraId="5CAC96CD"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64222331" w14:textId="77777777" w:rsidR="00BB3E1E" w:rsidRPr="0010735E" w:rsidRDefault="00BB3E1E" w:rsidP="00B05614">
            <w:pPr>
              <w:pStyle w:val="TableText"/>
              <w:jc w:val="right"/>
            </w:pPr>
            <w:r w:rsidRPr="0010735E">
              <w:t>158.9</w:t>
            </w:r>
          </w:p>
        </w:tc>
        <w:tc>
          <w:tcPr>
            <w:tcW w:w="964" w:type="dxa"/>
            <w:shd w:val="clear" w:color="auto" w:fill="FFFFFF"/>
            <w:tcMar>
              <w:top w:w="0" w:type="dxa"/>
              <w:left w:w="85" w:type="dxa"/>
              <w:bottom w:w="0" w:type="dxa"/>
              <w:right w:w="85" w:type="dxa"/>
            </w:tcMar>
          </w:tcPr>
          <w:p w14:paraId="0CACFE26" w14:textId="77777777" w:rsidR="00BB3E1E" w:rsidRPr="0010735E" w:rsidRDefault="00BB3E1E" w:rsidP="00B05614">
            <w:pPr>
              <w:pStyle w:val="TableText"/>
              <w:jc w:val="right"/>
            </w:pPr>
            <w:r w:rsidRPr="0010735E">
              <w:t>89.8</w:t>
            </w:r>
          </w:p>
        </w:tc>
        <w:tc>
          <w:tcPr>
            <w:tcW w:w="964" w:type="dxa"/>
            <w:shd w:val="clear" w:color="auto" w:fill="FFFFFF"/>
            <w:tcMar>
              <w:top w:w="0" w:type="dxa"/>
              <w:left w:w="85" w:type="dxa"/>
              <w:bottom w:w="0" w:type="dxa"/>
              <w:right w:w="85" w:type="dxa"/>
            </w:tcMar>
          </w:tcPr>
          <w:p w14:paraId="639EA822" w14:textId="77777777" w:rsidR="00BB3E1E" w:rsidRPr="0010735E" w:rsidRDefault="00BB3E1E" w:rsidP="00B05614">
            <w:pPr>
              <w:pStyle w:val="TableText"/>
              <w:jc w:val="right"/>
            </w:pPr>
            <w:r w:rsidRPr="0010735E">
              <w:t>0.002</w:t>
            </w:r>
          </w:p>
        </w:tc>
        <w:tc>
          <w:tcPr>
            <w:tcW w:w="1021" w:type="dxa"/>
            <w:shd w:val="clear" w:color="auto" w:fill="FFFFFF"/>
            <w:tcMar>
              <w:top w:w="0" w:type="dxa"/>
              <w:left w:w="85" w:type="dxa"/>
              <w:bottom w:w="0" w:type="dxa"/>
              <w:right w:w="85" w:type="dxa"/>
            </w:tcMar>
          </w:tcPr>
          <w:p w14:paraId="58A50042" w14:textId="77777777" w:rsidR="00BB3E1E" w:rsidRPr="0010735E" w:rsidRDefault="00BB3E1E" w:rsidP="00B05614">
            <w:pPr>
              <w:pStyle w:val="TableText"/>
              <w:jc w:val="right"/>
            </w:pPr>
            <w:r w:rsidRPr="0010735E">
              <w:t>0.2</w:t>
            </w:r>
          </w:p>
        </w:tc>
        <w:tc>
          <w:tcPr>
            <w:tcW w:w="907" w:type="dxa"/>
            <w:shd w:val="clear" w:color="auto" w:fill="FFFFFF"/>
            <w:tcMar>
              <w:top w:w="0" w:type="dxa"/>
              <w:left w:w="85" w:type="dxa"/>
              <w:bottom w:w="0" w:type="dxa"/>
              <w:right w:w="85" w:type="dxa"/>
            </w:tcMar>
          </w:tcPr>
          <w:p w14:paraId="4D07D0FF" w14:textId="77777777" w:rsidR="00BB3E1E" w:rsidRPr="0010735E" w:rsidRDefault="00BB3E1E" w:rsidP="00B05614">
            <w:pPr>
              <w:pStyle w:val="TableText"/>
              <w:jc w:val="right"/>
            </w:pPr>
            <w:r w:rsidRPr="0010735E">
              <w:t>94.5</w:t>
            </w:r>
          </w:p>
        </w:tc>
      </w:tr>
      <w:tr w:rsidR="00AD2A3E" w:rsidRPr="0010735E" w14:paraId="75B19DED" w14:textId="77777777" w:rsidTr="00AD2A3E">
        <w:trPr>
          <w:cantSplit/>
          <w:trHeight w:val="283"/>
        </w:trPr>
        <w:tc>
          <w:tcPr>
            <w:tcW w:w="911" w:type="dxa"/>
            <w:shd w:val="clear" w:color="auto" w:fill="FFFFFF"/>
            <w:tcMar>
              <w:top w:w="0" w:type="dxa"/>
              <w:left w:w="85" w:type="dxa"/>
              <w:bottom w:w="0" w:type="dxa"/>
              <w:right w:w="85" w:type="dxa"/>
            </w:tcMar>
          </w:tcPr>
          <w:p w14:paraId="0264C6FC" w14:textId="77777777" w:rsidR="00BB3E1E" w:rsidRPr="0010735E" w:rsidRDefault="00BB3E1E" w:rsidP="00B05614">
            <w:pPr>
              <w:pStyle w:val="TableText"/>
            </w:pPr>
            <w:r w:rsidRPr="0010735E" w:rsidDel="000E4F67">
              <w:t>3.B.1.2</w:t>
            </w:r>
          </w:p>
        </w:tc>
        <w:tc>
          <w:tcPr>
            <w:tcW w:w="2041" w:type="dxa"/>
            <w:shd w:val="clear" w:color="auto" w:fill="FFFFFF"/>
            <w:tcMar>
              <w:top w:w="0" w:type="dxa"/>
              <w:left w:w="85" w:type="dxa"/>
              <w:bottom w:w="0" w:type="dxa"/>
              <w:right w:w="85" w:type="dxa"/>
            </w:tcMar>
          </w:tcPr>
          <w:p w14:paraId="6F326C96" w14:textId="77777777" w:rsidR="00BB3E1E" w:rsidRPr="0010735E" w:rsidRDefault="00BB3E1E" w:rsidP="00B05614">
            <w:pPr>
              <w:pStyle w:val="TableText"/>
            </w:pPr>
            <w:r w:rsidRPr="0010735E">
              <w:t>CH</w:t>
            </w:r>
            <w:r w:rsidRPr="0010735E">
              <w:rPr>
                <w:vertAlign w:val="subscript"/>
              </w:rPr>
              <w:t>4</w:t>
            </w:r>
            <w:r w:rsidRPr="0010735E">
              <w:t xml:space="preserve"> Emissions – </w:t>
            </w:r>
            <w:r w:rsidRPr="0010735E" w:rsidDel="000E4F67">
              <w:t>Sheep</w:t>
            </w:r>
          </w:p>
        </w:tc>
        <w:tc>
          <w:tcPr>
            <w:tcW w:w="492" w:type="dxa"/>
            <w:shd w:val="clear" w:color="auto" w:fill="FFFFFF"/>
            <w:tcMar>
              <w:top w:w="0" w:type="dxa"/>
              <w:left w:w="85" w:type="dxa"/>
              <w:bottom w:w="0" w:type="dxa"/>
              <w:right w:w="85" w:type="dxa"/>
            </w:tcMar>
          </w:tcPr>
          <w:p w14:paraId="7C7CBBCA" w14:textId="77777777" w:rsidR="00BB3E1E" w:rsidRPr="0010735E" w:rsidRDefault="00BB3E1E" w:rsidP="00B05614">
            <w:pPr>
              <w:pStyle w:val="TableText"/>
            </w:pPr>
            <w:r w:rsidRPr="0010735E" w:rsidDel="000E4F67">
              <w:t>CH</w:t>
            </w:r>
            <w:r w:rsidRPr="0010735E" w:rsidDel="000E4F67">
              <w:rPr>
                <w:vertAlign w:val="subscript"/>
              </w:rPr>
              <w:t>4</w:t>
            </w:r>
          </w:p>
        </w:tc>
        <w:tc>
          <w:tcPr>
            <w:tcW w:w="964" w:type="dxa"/>
            <w:shd w:val="clear" w:color="auto" w:fill="FFFFFF"/>
            <w:tcMar>
              <w:top w:w="0" w:type="dxa"/>
              <w:left w:w="85" w:type="dxa"/>
              <w:bottom w:w="0" w:type="dxa"/>
              <w:right w:w="85" w:type="dxa"/>
            </w:tcMar>
          </w:tcPr>
          <w:p w14:paraId="583D2A8B" w14:textId="77777777" w:rsidR="00BB3E1E" w:rsidRPr="0010735E" w:rsidRDefault="00BB3E1E" w:rsidP="00B05614">
            <w:pPr>
              <w:pStyle w:val="TableText"/>
              <w:jc w:val="right"/>
            </w:pPr>
            <w:r w:rsidRPr="0010735E">
              <w:t>148.8</w:t>
            </w:r>
          </w:p>
        </w:tc>
        <w:tc>
          <w:tcPr>
            <w:tcW w:w="964" w:type="dxa"/>
            <w:shd w:val="clear" w:color="auto" w:fill="FFFFFF"/>
            <w:tcMar>
              <w:top w:w="0" w:type="dxa"/>
              <w:left w:w="85" w:type="dxa"/>
              <w:bottom w:w="0" w:type="dxa"/>
              <w:right w:w="85" w:type="dxa"/>
            </w:tcMar>
          </w:tcPr>
          <w:p w14:paraId="3D960192" w14:textId="77777777" w:rsidR="00BB3E1E" w:rsidRPr="0010735E" w:rsidRDefault="00BB3E1E" w:rsidP="00B05614">
            <w:pPr>
              <w:pStyle w:val="TableText"/>
              <w:jc w:val="right"/>
            </w:pPr>
            <w:r w:rsidRPr="0010735E">
              <w:t>91.9</w:t>
            </w:r>
          </w:p>
        </w:tc>
        <w:tc>
          <w:tcPr>
            <w:tcW w:w="964" w:type="dxa"/>
            <w:shd w:val="clear" w:color="auto" w:fill="FFFFFF"/>
            <w:tcMar>
              <w:top w:w="0" w:type="dxa"/>
              <w:left w:w="85" w:type="dxa"/>
              <w:bottom w:w="0" w:type="dxa"/>
              <w:right w:w="85" w:type="dxa"/>
            </w:tcMar>
          </w:tcPr>
          <w:p w14:paraId="3EC7072B" w14:textId="77777777" w:rsidR="00BB3E1E" w:rsidRPr="0010735E" w:rsidRDefault="00BB3E1E" w:rsidP="00B05614">
            <w:pPr>
              <w:pStyle w:val="TableText"/>
              <w:jc w:val="right"/>
            </w:pPr>
            <w:r w:rsidRPr="0010735E">
              <w:t>0.001</w:t>
            </w:r>
          </w:p>
        </w:tc>
        <w:tc>
          <w:tcPr>
            <w:tcW w:w="1021" w:type="dxa"/>
            <w:shd w:val="clear" w:color="auto" w:fill="FFFFFF"/>
            <w:tcMar>
              <w:top w:w="0" w:type="dxa"/>
              <w:left w:w="85" w:type="dxa"/>
              <w:bottom w:w="0" w:type="dxa"/>
              <w:right w:w="85" w:type="dxa"/>
            </w:tcMar>
          </w:tcPr>
          <w:p w14:paraId="746AE13F" w14:textId="77777777" w:rsidR="00BB3E1E" w:rsidRPr="0010735E" w:rsidRDefault="00BB3E1E" w:rsidP="00B05614">
            <w:pPr>
              <w:pStyle w:val="TableText"/>
              <w:jc w:val="right"/>
            </w:pPr>
            <w:r w:rsidRPr="0010735E">
              <w:t>0.2</w:t>
            </w:r>
          </w:p>
        </w:tc>
        <w:tc>
          <w:tcPr>
            <w:tcW w:w="907" w:type="dxa"/>
            <w:shd w:val="clear" w:color="auto" w:fill="FFFFFF"/>
            <w:tcMar>
              <w:top w:w="0" w:type="dxa"/>
              <w:left w:w="85" w:type="dxa"/>
              <w:bottom w:w="0" w:type="dxa"/>
              <w:right w:w="85" w:type="dxa"/>
            </w:tcMar>
          </w:tcPr>
          <w:p w14:paraId="43502BEB" w14:textId="77777777" w:rsidR="00BB3E1E" w:rsidRPr="0010735E" w:rsidRDefault="00BB3E1E" w:rsidP="00B05614">
            <w:pPr>
              <w:pStyle w:val="TableText"/>
              <w:jc w:val="right"/>
            </w:pPr>
            <w:r w:rsidRPr="0010735E">
              <w:t>94.7</w:t>
            </w:r>
          </w:p>
        </w:tc>
      </w:tr>
      <w:tr w:rsidR="00AD2A3E" w:rsidRPr="0010735E" w14:paraId="4FF3E4E3" w14:textId="77777777" w:rsidTr="00AD2A3E">
        <w:trPr>
          <w:cantSplit/>
          <w:trHeight w:val="283"/>
        </w:trPr>
        <w:tc>
          <w:tcPr>
            <w:tcW w:w="911" w:type="dxa"/>
            <w:shd w:val="clear" w:color="auto" w:fill="FFFFFF"/>
            <w:tcMar>
              <w:top w:w="0" w:type="dxa"/>
              <w:left w:w="85" w:type="dxa"/>
              <w:bottom w:w="0" w:type="dxa"/>
              <w:right w:w="85" w:type="dxa"/>
            </w:tcMar>
          </w:tcPr>
          <w:p w14:paraId="3A0478D8" w14:textId="77777777" w:rsidR="00BB3E1E" w:rsidRPr="0010735E" w:rsidRDefault="00BB3E1E" w:rsidP="00B05614">
            <w:pPr>
              <w:pStyle w:val="TableText"/>
            </w:pPr>
            <w:r w:rsidRPr="0010735E" w:rsidDel="000E4F67">
              <w:t>1.A.1.a</w:t>
            </w:r>
          </w:p>
        </w:tc>
        <w:tc>
          <w:tcPr>
            <w:tcW w:w="2041" w:type="dxa"/>
            <w:shd w:val="clear" w:color="auto" w:fill="FFFFFF"/>
            <w:tcMar>
              <w:top w:w="0" w:type="dxa"/>
              <w:left w:w="85" w:type="dxa"/>
              <w:bottom w:w="0" w:type="dxa"/>
              <w:right w:w="85" w:type="dxa"/>
            </w:tcMar>
          </w:tcPr>
          <w:p w14:paraId="589CD819" w14:textId="77777777" w:rsidR="00BB3E1E" w:rsidRPr="0010735E" w:rsidRDefault="00BB3E1E" w:rsidP="00B05614">
            <w:pPr>
              <w:pStyle w:val="TableText"/>
            </w:pPr>
            <w:r w:rsidRPr="0010735E">
              <w:t>Energy Industries – Public Electricity and Heat Production Liquid Fuels</w:t>
            </w:r>
          </w:p>
        </w:tc>
        <w:tc>
          <w:tcPr>
            <w:tcW w:w="492" w:type="dxa"/>
            <w:shd w:val="clear" w:color="auto" w:fill="FFFFFF"/>
            <w:tcMar>
              <w:top w:w="0" w:type="dxa"/>
              <w:left w:w="85" w:type="dxa"/>
              <w:bottom w:w="0" w:type="dxa"/>
              <w:right w:w="85" w:type="dxa"/>
            </w:tcMar>
          </w:tcPr>
          <w:p w14:paraId="141B2AED"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714A7287" w14:textId="77777777" w:rsidR="00BB3E1E" w:rsidRPr="0010735E" w:rsidRDefault="00BB3E1E" w:rsidP="00B05614">
            <w:pPr>
              <w:pStyle w:val="TableText"/>
              <w:jc w:val="right"/>
            </w:pPr>
            <w:r w:rsidRPr="0010735E">
              <w:t>10.6</w:t>
            </w:r>
          </w:p>
        </w:tc>
        <w:tc>
          <w:tcPr>
            <w:tcW w:w="964" w:type="dxa"/>
            <w:shd w:val="clear" w:color="auto" w:fill="FFFFFF"/>
            <w:tcMar>
              <w:top w:w="0" w:type="dxa"/>
              <w:left w:w="85" w:type="dxa"/>
              <w:bottom w:w="0" w:type="dxa"/>
              <w:right w:w="85" w:type="dxa"/>
            </w:tcMar>
          </w:tcPr>
          <w:p w14:paraId="50189A3B" w14:textId="77777777" w:rsidR="00BB3E1E" w:rsidRPr="0010735E" w:rsidRDefault="00BB3E1E" w:rsidP="00B05614">
            <w:pPr>
              <w:pStyle w:val="TableText"/>
              <w:jc w:val="right"/>
            </w:pPr>
            <w:r w:rsidRPr="0010735E">
              <w:t>99.2</w:t>
            </w:r>
          </w:p>
        </w:tc>
        <w:tc>
          <w:tcPr>
            <w:tcW w:w="964" w:type="dxa"/>
            <w:shd w:val="clear" w:color="auto" w:fill="FFFFFF"/>
            <w:tcMar>
              <w:top w:w="0" w:type="dxa"/>
              <w:left w:w="85" w:type="dxa"/>
              <w:bottom w:w="0" w:type="dxa"/>
              <w:right w:w="85" w:type="dxa"/>
            </w:tcMar>
          </w:tcPr>
          <w:p w14:paraId="5AE1A691" w14:textId="77777777" w:rsidR="00BB3E1E" w:rsidRPr="0010735E" w:rsidRDefault="00BB3E1E" w:rsidP="00B05614">
            <w:pPr>
              <w:pStyle w:val="TableText"/>
              <w:jc w:val="right"/>
            </w:pPr>
            <w:r w:rsidRPr="0010735E">
              <w:t>0.001</w:t>
            </w:r>
          </w:p>
        </w:tc>
        <w:tc>
          <w:tcPr>
            <w:tcW w:w="1021" w:type="dxa"/>
            <w:shd w:val="clear" w:color="auto" w:fill="FFFFFF"/>
            <w:tcMar>
              <w:top w:w="0" w:type="dxa"/>
              <w:left w:w="85" w:type="dxa"/>
              <w:bottom w:w="0" w:type="dxa"/>
              <w:right w:w="85" w:type="dxa"/>
            </w:tcMar>
          </w:tcPr>
          <w:p w14:paraId="1DC0006A" w14:textId="77777777" w:rsidR="00BB3E1E" w:rsidRPr="0010735E" w:rsidRDefault="00BB3E1E" w:rsidP="00B05614">
            <w:pPr>
              <w:pStyle w:val="TableText"/>
              <w:jc w:val="right"/>
            </w:pPr>
            <w:r w:rsidRPr="0010735E">
              <w:t>0.2</w:t>
            </w:r>
          </w:p>
        </w:tc>
        <w:tc>
          <w:tcPr>
            <w:tcW w:w="907" w:type="dxa"/>
            <w:shd w:val="clear" w:color="auto" w:fill="FFFFFF"/>
            <w:tcMar>
              <w:top w:w="0" w:type="dxa"/>
              <w:left w:w="85" w:type="dxa"/>
              <w:bottom w:w="0" w:type="dxa"/>
              <w:right w:w="85" w:type="dxa"/>
            </w:tcMar>
          </w:tcPr>
          <w:p w14:paraId="69DCA006" w14:textId="77777777" w:rsidR="00BB3E1E" w:rsidRPr="0010735E" w:rsidRDefault="00BB3E1E" w:rsidP="00B05614">
            <w:pPr>
              <w:pStyle w:val="TableText"/>
              <w:jc w:val="right"/>
            </w:pPr>
            <w:r w:rsidRPr="0010735E">
              <w:t>94.9</w:t>
            </w:r>
          </w:p>
        </w:tc>
      </w:tr>
      <w:tr w:rsidR="00AD2A3E" w:rsidRPr="0010735E" w14:paraId="60FB9A04" w14:textId="77777777" w:rsidTr="00AD2A3E">
        <w:trPr>
          <w:cantSplit/>
          <w:trHeight w:val="283"/>
        </w:trPr>
        <w:tc>
          <w:tcPr>
            <w:tcW w:w="911" w:type="dxa"/>
            <w:shd w:val="clear" w:color="auto" w:fill="FFFFFF"/>
            <w:tcMar>
              <w:top w:w="0" w:type="dxa"/>
              <w:left w:w="85" w:type="dxa"/>
              <w:bottom w:w="0" w:type="dxa"/>
              <w:right w:w="85" w:type="dxa"/>
            </w:tcMar>
          </w:tcPr>
          <w:p w14:paraId="5AA0C915" w14:textId="77777777" w:rsidR="00BB3E1E" w:rsidRPr="0010735E" w:rsidRDefault="00BB3E1E" w:rsidP="00B05614">
            <w:pPr>
              <w:pStyle w:val="TableText"/>
            </w:pPr>
            <w:r w:rsidRPr="0010735E" w:rsidDel="000E4F67">
              <w:t>1.A.2.e</w:t>
            </w:r>
          </w:p>
        </w:tc>
        <w:tc>
          <w:tcPr>
            <w:tcW w:w="2041" w:type="dxa"/>
            <w:shd w:val="clear" w:color="auto" w:fill="FFFFFF"/>
            <w:tcMar>
              <w:top w:w="0" w:type="dxa"/>
              <w:left w:w="85" w:type="dxa"/>
              <w:bottom w:w="0" w:type="dxa"/>
              <w:right w:w="85" w:type="dxa"/>
            </w:tcMar>
          </w:tcPr>
          <w:p w14:paraId="654F04B1" w14:textId="77777777" w:rsidR="00BB3E1E" w:rsidRPr="0010735E" w:rsidRDefault="00BB3E1E" w:rsidP="00B05614">
            <w:pPr>
              <w:pStyle w:val="TableText"/>
            </w:pPr>
            <w:r w:rsidRPr="0010735E">
              <w:t xml:space="preserve">Manufacturing Industries and Construction – Food Processing, Beverages and Tobacco Liquid </w:t>
            </w:r>
            <w:r w:rsidRPr="0010735E" w:rsidDel="000E4F67">
              <w:t>Fuels</w:t>
            </w:r>
          </w:p>
        </w:tc>
        <w:tc>
          <w:tcPr>
            <w:tcW w:w="492" w:type="dxa"/>
            <w:shd w:val="clear" w:color="auto" w:fill="FFFFFF"/>
            <w:tcMar>
              <w:top w:w="0" w:type="dxa"/>
              <w:left w:w="85" w:type="dxa"/>
              <w:bottom w:w="0" w:type="dxa"/>
              <w:right w:w="85" w:type="dxa"/>
            </w:tcMar>
          </w:tcPr>
          <w:p w14:paraId="2373E0E1" w14:textId="77777777" w:rsidR="00BB3E1E" w:rsidRPr="0010735E" w:rsidRDefault="00BB3E1E" w:rsidP="00B05614">
            <w:pPr>
              <w:pStyle w:val="TableText"/>
            </w:pPr>
            <w:r w:rsidRPr="0010735E" w:rsidDel="000E4F67">
              <w:t>CO</w:t>
            </w:r>
            <w:r w:rsidRPr="0010735E" w:rsidDel="000E4F67">
              <w:rPr>
                <w:vertAlign w:val="subscript"/>
              </w:rPr>
              <w:t>2</w:t>
            </w:r>
          </w:p>
        </w:tc>
        <w:tc>
          <w:tcPr>
            <w:tcW w:w="964" w:type="dxa"/>
            <w:shd w:val="clear" w:color="auto" w:fill="FFFFFF"/>
            <w:tcMar>
              <w:top w:w="0" w:type="dxa"/>
              <w:left w:w="85" w:type="dxa"/>
              <w:bottom w:w="0" w:type="dxa"/>
              <w:right w:w="85" w:type="dxa"/>
            </w:tcMar>
          </w:tcPr>
          <w:p w14:paraId="2F86E4C4" w14:textId="77777777" w:rsidR="00BB3E1E" w:rsidRPr="0010735E" w:rsidRDefault="00BB3E1E" w:rsidP="00B05614">
            <w:pPr>
              <w:pStyle w:val="TableText"/>
              <w:jc w:val="right"/>
            </w:pPr>
            <w:r w:rsidRPr="0010735E">
              <w:t>281.1</w:t>
            </w:r>
          </w:p>
        </w:tc>
        <w:tc>
          <w:tcPr>
            <w:tcW w:w="964" w:type="dxa"/>
            <w:shd w:val="clear" w:color="auto" w:fill="FFFFFF"/>
            <w:tcMar>
              <w:top w:w="0" w:type="dxa"/>
              <w:left w:w="85" w:type="dxa"/>
              <w:bottom w:w="0" w:type="dxa"/>
              <w:right w:w="85" w:type="dxa"/>
            </w:tcMar>
          </w:tcPr>
          <w:p w14:paraId="6503028D" w14:textId="77777777" w:rsidR="00BB3E1E" w:rsidRPr="0010735E" w:rsidRDefault="00BB3E1E" w:rsidP="00B05614">
            <w:pPr>
              <w:pStyle w:val="TableText"/>
              <w:jc w:val="right"/>
            </w:pPr>
            <w:r w:rsidRPr="0010735E">
              <w:t>255.9</w:t>
            </w:r>
          </w:p>
        </w:tc>
        <w:tc>
          <w:tcPr>
            <w:tcW w:w="964" w:type="dxa"/>
            <w:shd w:val="clear" w:color="auto" w:fill="FFFFFF"/>
            <w:tcMar>
              <w:top w:w="0" w:type="dxa"/>
              <w:left w:w="85" w:type="dxa"/>
              <w:bottom w:w="0" w:type="dxa"/>
              <w:right w:w="85" w:type="dxa"/>
            </w:tcMar>
          </w:tcPr>
          <w:p w14:paraId="3F85C2C6" w14:textId="77777777" w:rsidR="00BB3E1E" w:rsidRPr="0010735E" w:rsidRDefault="00BB3E1E" w:rsidP="00B05614">
            <w:pPr>
              <w:pStyle w:val="TableText"/>
              <w:jc w:val="right"/>
            </w:pPr>
            <w:r w:rsidRPr="0010735E">
              <w:t>0.001</w:t>
            </w:r>
          </w:p>
        </w:tc>
        <w:tc>
          <w:tcPr>
            <w:tcW w:w="1021" w:type="dxa"/>
            <w:shd w:val="clear" w:color="auto" w:fill="FFFFFF"/>
            <w:tcMar>
              <w:top w:w="0" w:type="dxa"/>
              <w:left w:w="85" w:type="dxa"/>
              <w:bottom w:w="0" w:type="dxa"/>
              <w:right w:w="85" w:type="dxa"/>
            </w:tcMar>
          </w:tcPr>
          <w:p w14:paraId="098E00D2" w14:textId="77777777" w:rsidR="00BB3E1E" w:rsidRPr="0010735E" w:rsidRDefault="00BB3E1E" w:rsidP="00B05614">
            <w:pPr>
              <w:pStyle w:val="TableText"/>
              <w:jc w:val="right"/>
            </w:pPr>
            <w:r w:rsidRPr="0010735E">
              <w:t>0.2</w:t>
            </w:r>
          </w:p>
        </w:tc>
        <w:tc>
          <w:tcPr>
            <w:tcW w:w="907" w:type="dxa"/>
            <w:shd w:val="clear" w:color="auto" w:fill="FFFFFF"/>
            <w:tcMar>
              <w:top w:w="0" w:type="dxa"/>
              <w:left w:w="85" w:type="dxa"/>
              <w:bottom w:w="0" w:type="dxa"/>
              <w:right w:w="85" w:type="dxa"/>
            </w:tcMar>
          </w:tcPr>
          <w:p w14:paraId="27C2386E" w14:textId="77777777" w:rsidR="00BB3E1E" w:rsidRPr="0010735E" w:rsidRDefault="00BB3E1E" w:rsidP="00B05614">
            <w:pPr>
              <w:pStyle w:val="TableText"/>
              <w:jc w:val="right"/>
            </w:pPr>
            <w:r w:rsidRPr="0010735E">
              <w:t>95.1</w:t>
            </w:r>
          </w:p>
        </w:tc>
      </w:tr>
    </w:tbl>
    <w:p w14:paraId="2F50854A" w14:textId="77777777" w:rsidR="00BB3E1E" w:rsidRPr="00241762" w:rsidRDefault="00BB3E1E" w:rsidP="00BB3E1E">
      <w:pPr>
        <w:pStyle w:val="Noteundertable"/>
      </w:pPr>
      <w:r w:rsidRPr="00241762">
        <w:rPr>
          <w:b/>
          <w:bCs/>
        </w:rPr>
        <w:t>Note</w:t>
      </w:r>
      <w:r w:rsidRPr="00241762">
        <w:t>:</w:t>
      </w:r>
      <w:r>
        <w:tab/>
      </w:r>
      <w:r w:rsidRPr="00241762">
        <w:t>Removals from the LULUCF sector are shown as negatives in this table. In line with the methodology for key category analysis, the absolute values for those removals were used for the calculations.</w:t>
      </w:r>
    </w:p>
    <w:p w14:paraId="3F1628B2" w14:textId="77777777" w:rsidR="00BB3E1E" w:rsidRPr="00241762" w:rsidRDefault="00BB3E1E" w:rsidP="00BB3E1E">
      <w:pPr>
        <w:pStyle w:val="Heading3"/>
        <w:spacing w:before="440"/>
      </w:pPr>
      <w:bookmarkStart w:id="91" w:name="X7d7a18dce4efa5642ae94cc97a4c86135537a8c"/>
      <w:bookmarkEnd w:id="87"/>
      <w:r w:rsidRPr="00241762">
        <w:t xml:space="preserve">1.5.2 </w:t>
      </w:r>
      <w:r>
        <w:tab/>
      </w:r>
      <w:r w:rsidRPr="00241762">
        <w:t>LULUCF activities under the Kyoto Protocol</w:t>
      </w:r>
    </w:p>
    <w:p w14:paraId="50241313" w14:textId="77777777" w:rsidR="00BB3E1E" w:rsidRPr="00241762" w:rsidRDefault="00BB3E1E" w:rsidP="00BB3E1E">
      <w:pPr>
        <w:pStyle w:val="BodyText"/>
      </w:pPr>
      <w:r w:rsidRPr="00241762">
        <w:t xml:space="preserve">Key categories under the Kyoto Protocol are identified by looking at the assessment of similar categories within the LULUCF sector as reported under the Convention. In 2020, </w:t>
      </w:r>
      <w:r w:rsidRPr="00241762">
        <w:rPr>
          <w:i/>
          <w:iCs/>
        </w:rPr>
        <w:t>Afforestation and reforestation</w:t>
      </w:r>
      <w:r w:rsidRPr="00241762">
        <w:t xml:space="preserve">, </w:t>
      </w:r>
      <w:r w:rsidRPr="00241762">
        <w:rPr>
          <w:i/>
          <w:iCs/>
        </w:rPr>
        <w:t>Deforestation</w:t>
      </w:r>
      <w:r w:rsidRPr="00241762">
        <w:t xml:space="preserve"> and </w:t>
      </w:r>
      <w:r w:rsidRPr="00241762">
        <w:rPr>
          <w:i/>
          <w:iCs/>
        </w:rPr>
        <w:t>Forest management</w:t>
      </w:r>
      <w:r w:rsidRPr="00241762">
        <w:t xml:space="preserve"> were all identified as key categories in both the level and trend assessment.</w:t>
      </w:r>
    </w:p>
    <w:p w14:paraId="12FC94A6" w14:textId="77777777" w:rsidR="00BB3E1E" w:rsidRPr="00241762" w:rsidRDefault="00BB3E1E" w:rsidP="00BB3E1E">
      <w:pPr>
        <w:pStyle w:val="Heading2"/>
      </w:pPr>
      <w:bookmarkStart w:id="92" w:name="_Toc99659100"/>
      <w:bookmarkStart w:id="93" w:name="inventory-uncertainty"/>
      <w:bookmarkEnd w:id="86"/>
      <w:bookmarkEnd w:id="91"/>
      <w:r w:rsidRPr="00241762">
        <w:lastRenderedPageBreak/>
        <w:t xml:space="preserve">1.6 </w:t>
      </w:r>
      <w:r>
        <w:tab/>
      </w:r>
      <w:r w:rsidRPr="00241762">
        <w:t>Inventory uncertainty</w:t>
      </w:r>
      <w:bookmarkEnd w:id="92"/>
    </w:p>
    <w:p w14:paraId="7EDF687C" w14:textId="77777777" w:rsidR="00BB3E1E" w:rsidRPr="00241762" w:rsidRDefault="00BB3E1E" w:rsidP="00AD2A3E">
      <w:pPr>
        <w:pStyle w:val="Heading3"/>
        <w:spacing w:before="240"/>
      </w:pPr>
      <w:bookmarkStart w:id="94" w:name="reporting-under-the-convention-1"/>
      <w:r w:rsidRPr="00241762">
        <w:t xml:space="preserve">1.6.1 </w:t>
      </w:r>
      <w:r>
        <w:tab/>
      </w:r>
      <w:r w:rsidRPr="00241762">
        <w:t>Reporting under the Convention</w:t>
      </w:r>
    </w:p>
    <w:p w14:paraId="5BB8687D" w14:textId="77777777" w:rsidR="00BB3E1E" w:rsidRPr="00241762" w:rsidRDefault="00BB3E1E" w:rsidP="00BB3E1E">
      <w:pPr>
        <w:pStyle w:val="BodyText"/>
      </w:pPr>
      <w:r w:rsidRPr="00241762">
        <w:t>Uncertainty estimates are an essential element of a complete inventory. The purpose of uncertainty information is not to dispute the validity of the inventory estimates but to help prioritise efforts to improve the accuracy of inventories and guide decisions on methodological choice (IPCC, 2006b). Inventories prepared in accordance with the 2006 IPCC Guidelines will typically contain a wide range of emission estimates, varying from carefully measured and demonstrably complete data on emissions, to order-of-magnitude estimates for highly variable emissions such as N</w:t>
      </w:r>
      <w:r w:rsidRPr="00241762">
        <w:rPr>
          <w:vertAlign w:val="subscript"/>
        </w:rPr>
        <w:t>2</w:t>
      </w:r>
      <w:r w:rsidRPr="00241762">
        <w:t>O fluxes from soils and waterways (IPCC, 2006b).</w:t>
      </w:r>
    </w:p>
    <w:p w14:paraId="4C8D5E99" w14:textId="77777777" w:rsidR="00BB3E1E" w:rsidRPr="00241762" w:rsidRDefault="00BB3E1E" w:rsidP="00BB3E1E">
      <w:pPr>
        <w:pStyle w:val="BodyText"/>
      </w:pPr>
      <w:r w:rsidRPr="00241762">
        <w:t>New Zealand includes an uncertainty analysis of the aggregated figures, as required by the inventory reporting guidelines (UNFCCC, 2013a)</w:t>
      </w:r>
      <w:r>
        <w:t>,</w:t>
      </w:r>
      <w:r w:rsidRPr="00241762">
        <w:t xml:space="preserve"> applying </w:t>
      </w:r>
      <w:r>
        <w:t>a</w:t>
      </w:r>
      <w:r w:rsidRPr="00241762">
        <w:t xml:space="preserve">pproach 1 </w:t>
      </w:r>
      <w:r>
        <w:t>from</w:t>
      </w:r>
      <w:r w:rsidRPr="00241762">
        <w:t xml:space="preserve"> the 2006 IPCC Guidelines (IPCC, 2006</w:t>
      </w:r>
      <w:r>
        <w:t>b</w:t>
      </w:r>
      <w:r w:rsidRPr="00241762">
        <w:t>)</w:t>
      </w:r>
      <w:r>
        <w:t>.</w:t>
      </w:r>
      <w:r w:rsidRPr="00241762">
        <w:t xml:space="preserve"> </w:t>
      </w:r>
    </w:p>
    <w:p w14:paraId="6672EF98" w14:textId="77777777" w:rsidR="00BB3E1E" w:rsidRPr="00241762" w:rsidRDefault="00BB3E1E" w:rsidP="00BB3E1E">
      <w:pPr>
        <w:pStyle w:val="BodyText"/>
      </w:pPr>
      <w:r w:rsidRPr="00241762">
        <w:t>Uncertainties in the categories are combined to provide uncertainty estimates for all emissions for the latest reporting year</w:t>
      </w:r>
      <w:r>
        <w:t xml:space="preserve"> and</w:t>
      </w:r>
      <w:r w:rsidRPr="00241762">
        <w:t xml:space="preserve"> the base year, and the uncertainty in the trend over time. </w:t>
      </w:r>
      <w:r>
        <w:t>Annex 2 sets out u</w:t>
      </w:r>
      <w:r w:rsidRPr="00241762">
        <w:t>ncertainties for net emissions, where removals under LULUCF categories are included, in</w:t>
      </w:r>
      <w:r>
        <w:t xml:space="preserve"> </w:t>
      </w:r>
      <w:r w:rsidRPr="00241762">
        <w:t>table A2.1.1, and gross emissions excluding LULUCF in table A2.1.2.</w:t>
      </w:r>
    </w:p>
    <w:p w14:paraId="625E7627" w14:textId="77777777" w:rsidR="00BB3E1E" w:rsidRPr="00241762" w:rsidRDefault="00BB3E1E" w:rsidP="00BB3E1E">
      <w:pPr>
        <w:pStyle w:val="BodyText"/>
      </w:pPr>
      <w:r w:rsidRPr="00241762">
        <w:t>In 2021 an internal review</w:t>
      </w:r>
      <w:r w:rsidRPr="00D250BF">
        <w:t xml:space="preserve"> </w:t>
      </w:r>
      <w:r w:rsidRPr="00241762">
        <w:t xml:space="preserve">was undertaken </w:t>
      </w:r>
      <w:r>
        <w:t>focusing on</w:t>
      </w:r>
      <w:r w:rsidRPr="00241762">
        <w:t xml:space="preserve"> the methods used to calculate the uncertainties reported in </w:t>
      </w:r>
      <w:r>
        <w:t>c</w:t>
      </w:r>
      <w:r w:rsidRPr="00241762">
        <w:t xml:space="preserve">hapter 1 and presented in </w:t>
      </w:r>
      <w:r>
        <w:t>t</w:t>
      </w:r>
      <w:r w:rsidRPr="00241762">
        <w:t xml:space="preserve">able A2.1.1. The review identified an anomaly in the application of the methodology to the LULUCF categories that were comprised of net removals, where they were previously converted to absolute values for the uncertainty calculation. This method resulted in lower total uncertainty estimates for the base year, final year and trend, when compared </w:t>
      </w:r>
      <w:r>
        <w:t>with</w:t>
      </w:r>
      <w:r w:rsidRPr="00241762">
        <w:t xml:space="preserve"> using real values. The calculation method has been revised for this submission.</w:t>
      </w:r>
    </w:p>
    <w:p w14:paraId="5CE7B180" w14:textId="77777777" w:rsidR="00BB3E1E" w:rsidRPr="00241762" w:rsidRDefault="00BB3E1E" w:rsidP="00BB3E1E">
      <w:pPr>
        <w:pStyle w:val="BodyText"/>
      </w:pPr>
      <w:r w:rsidRPr="00241762">
        <w:t>In most instances, the uncertainty values are determined by analysis of emission factors or activity data using expert judgement from sectoral or industry experts, or by referring to uncertainty ranges provided in the 2006 IPCC Guidelines</w:t>
      </w:r>
      <w:r>
        <w:t xml:space="preserve"> (IPPC, 2006b)</w:t>
      </w:r>
      <w:r w:rsidRPr="00241762">
        <w:t>. Uncertainties for the source categories were originally determined at the lowest level where information and data were available. The uncertainty estimates within each sector were made by the personnel at the agencies responsible for the sector, which is a part of New Zealand’s national system arrangements.</w:t>
      </w:r>
    </w:p>
    <w:p w14:paraId="3F915497" w14:textId="35139B5B" w:rsidR="00BB3E1E" w:rsidRPr="00241762" w:rsidRDefault="00BB3E1E" w:rsidP="00BB3E1E">
      <w:pPr>
        <w:pStyle w:val="BodyText"/>
      </w:pPr>
      <w:r w:rsidRPr="00241762">
        <w:t>The low</w:t>
      </w:r>
      <w:r>
        <w:t>-</w:t>
      </w:r>
      <w:r w:rsidRPr="00241762">
        <w:t>level uncertainties have then been aggregated to various extents by the sector compiling agencies as far as the second</w:t>
      </w:r>
      <w:r>
        <w:t>-</w:t>
      </w:r>
      <w:r w:rsidRPr="00241762">
        <w:t>level category for each of CO</w:t>
      </w:r>
      <w:r w:rsidRPr="00241762">
        <w:rPr>
          <w:vertAlign w:val="subscript"/>
        </w:rPr>
        <w:t>2</w:t>
      </w:r>
      <w:r w:rsidRPr="00241762">
        <w:t>, CH</w:t>
      </w:r>
      <w:r w:rsidRPr="00241762">
        <w:rPr>
          <w:vertAlign w:val="subscript"/>
        </w:rPr>
        <w:t>4</w:t>
      </w:r>
      <w:r w:rsidRPr="00241762">
        <w:t>, N</w:t>
      </w:r>
      <w:r w:rsidRPr="00241762">
        <w:rPr>
          <w:vertAlign w:val="subscript"/>
        </w:rPr>
        <w:t>2</w:t>
      </w:r>
      <w:r w:rsidRPr="00241762">
        <w:t>O and SF</w:t>
      </w:r>
      <w:r w:rsidRPr="00241762">
        <w:rPr>
          <w:vertAlign w:val="subscript"/>
        </w:rPr>
        <w:t>6</w:t>
      </w:r>
      <w:r w:rsidRPr="00241762">
        <w:t xml:space="preserve"> separately and</w:t>
      </w:r>
      <w:r>
        <w:t xml:space="preserve"> for</w:t>
      </w:r>
      <w:r w:rsidRPr="00241762">
        <w:t xml:space="preserve"> HFCs and PFCs as groups. These data </w:t>
      </w:r>
      <w:r>
        <w:t xml:space="preserve">at the </w:t>
      </w:r>
      <w:r w:rsidRPr="00241762">
        <w:t>aggregated category level have</w:t>
      </w:r>
      <w:r w:rsidR="006B574D">
        <w:t> </w:t>
      </w:r>
      <w:r w:rsidRPr="00241762">
        <w:t>been submitted to the National Inventory Compiler for performing overall uncertainty calculations for level and trend uncertainties for gross and net emissions (excluding and including LULUCF).</w:t>
      </w:r>
    </w:p>
    <w:p w14:paraId="4566FD92" w14:textId="77777777" w:rsidR="00BB3E1E" w:rsidRPr="00241762" w:rsidRDefault="00BB3E1E" w:rsidP="00BB3E1E">
      <w:pPr>
        <w:pStyle w:val="BodyText"/>
      </w:pPr>
      <w:r w:rsidRPr="00241762">
        <w:t>In most cases, to aggregate uncertainties from subcategories, sectoral compilers used the approach 1 recommended in the 2006 IPCC Guidelines (</w:t>
      </w:r>
      <w:r>
        <w:t xml:space="preserve">IPCC, 2006b, </w:t>
      </w:r>
      <w:r w:rsidRPr="00241762">
        <w:t>equation 3.2, page 3.28).</w:t>
      </w:r>
    </w:p>
    <w:p w14:paraId="1B1AA647" w14:textId="77777777" w:rsidR="00BB3E1E" w:rsidRPr="00241762" w:rsidRDefault="00BB3E1E" w:rsidP="00BB3E1E">
      <w:pPr>
        <w:pStyle w:val="BodyText"/>
      </w:pPr>
      <w:r w:rsidRPr="00241762">
        <w:t>In the IPPU sector (for the ODS category only), most of the emissions are estimated using a mass balance approach as indicated in chapter 4. This approach uses the data on imports of each gas as the total for all applications for an input. In this calculation, it would not be appropriate to combine the uncertainties for subcategories using the propagation method because they are not independent variables and, therefore, expert judgement on the bulk value of HFCs was used.</w:t>
      </w:r>
    </w:p>
    <w:p w14:paraId="6869BC45" w14:textId="7A2CC03B" w:rsidR="00BB3E1E" w:rsidRPr="00241762" w:rsidRDefault="00BB3E1E" w:rsidP="00BB3E1E">
      <w:pPr>
        <w:pStyle w:val="BodyText"/>
      </w:pPr>
      <w:r w:rsidRPr="00241762">
        <w:lastRenderedPageBreak/>
        <w:t>The uncertainty for CH</w:t>
      </w:r>
      <w:r w:rsidRPr="00241762">
        <w:rPr>
          <w:vertAlign w:val="subscript"/>
        </w:rPr>
        <w:t>4</w:t>
      </w:r>
      <w:r w:rsidRPr="00241762">
        <w:t xml:space="preserve"> emissions from enteric fermentation was calculated by expressing the</w:t>
      </w:r>
      <w:r w:rsidR="006B574D">
        <w:t> </w:t>
      </w:r>
      <w:r w:rsidRPr="00241762">
        <w:t>coefficient of variation according to the standard error of the CH</w:t>
      </w:r>
      <w:r w:rsidRPr="00241762">
        <w:rPr>
          <w:vertAlign w:val="subscript"/>
        </w:rPr>
        <w:t>4</w:t>
      </w:r>
      <w:r w:rsidRPr="00241762">
        <w:t xml:space="preserve"> yield. A Monte Carlo simulation has been used to determine uncertainty for N</w:t>
      </w:r>
      <w:r w:rsidRPr="00241762">
        <w:rPr>
          <w:vertAlign w:val="subscript"/>
        </w:rPr>
        <w:t>2</w:t>
      </w:r>
      <w:r w:rsidRPr="00241762">
        <w:t>O from agricultural soils. For the 2016 data, the uncertainty in the annual estimate was calculated using the 95 per cent confidence interval determined from the Monte Carlo simulation as a percentage of the mean</w:t>
      </w:r>
      <w:r w:rsidR="006B574D">
        <w:t> </w:t>
      </w:r>
      <w:r w:rsidRPr="00241762">
        <w:t>value.</w:t>
      </w:r>
    </w:p>
    <w:p w14:paraId="3B689209" w14:textId="77777777" w:rsidR="00BB3E1E" w:rsidRPr="00241762" w:rsidRDefault="00BB3E1E" w:rsidP="00BB3E1E">
      <w:pPr>
        <w:pStyle w:val="BodyText"/>
      </w:pPr>
      <w:r w:rsidRPr="00241762">
        <w:t xml:space="preserve">In the LULUCF sector, uncertainties were combined and aggregated using the error propagation procedure outlined in approach 1 </w:t>
      </w:r>
      <w:r>
        <w:t>in</w:t>
      </w:r>
      <w:r w:rsidRPr="00241762">
        <w:t xml:space="preserve"> the 2006 IPCC Guidelines (</w:t>
      </w:r>
      <w:r>
        <w:t xml:space="preserve">IPCC, 2006b, </w:t>
      </w:r>
      <w:r w:rsidRPr="00241762">
        <w:t xml:space="preserve">equation 3.1 and equation 3.2, page 3.28). These uncertainties incorporate natural variability, measurement error and model prediction error. The uncertainties in the net carbon emissions for each category in the LULUCF sector are given within the relevant sections of chapter 6. </w:t>
      </w:r>
      <w:r>
        <w:t>D</w:t>
      </w:r>
      <w:r w:rsidRPr="00241762">
        <w:t>etailed analysis of LULUCF uncertainties is presented in annex 3.2.8.</w:t>
      </w:r>
    </w:p>
    <w:p w14:paraId="35B73D7C" w14:textId="77777777" w:rsidR="00BB3E1E" w:rsidRPr="0010735E" w:rsidRDefault="00BB3E1E" w:rsidP="00BB3E1E">
      <w:pPr>
        <w:pStyle w:val="Heading4"/>
      </w:pPr>
      <w:r w:rsidRPr="00241762">
        <w:t>Gross emissions</w:t>
      </w:r>
    </w:p>
    <w:p w14:paraId="51BE8C32" w14:textId="77777777" w:rsidR="00BB3E1E" w:rsidRPr="00241762" w:rsidRDefault="00BB3E1E" w:rsidP="00BB3E1E">
      <w:pPr>
        <w:pStyle w:val="Heading5"/>
      </w:pPr>
      <w:bookmarkStart w:id="95" w:name="uncertainty-in-2020-level-assessment"/>
      <w:r w:rsidRPr="00241762">
        <w:t xml:space="preserve">Uncertainty in </w:t>
      </w:r>
      <w:r w:rsidRPr="00241762">
        <w:rPr>
          <w:bCs w:val="0"/>
        </w:rPr>
        <w:t>2020</w:t>
      </w:r>
      <w:r w:rsidRPr="00241762">
        <w:t xml:space="preserve"> – level assessment</w:t>
      </w:r>
    </w:p>
    <w:p w14:paraId="16154550" w14:textId="77777777" w:rsidR="00BB3E1E" w:rsidRPr="00241762" w:rsidRDefault="00BB3E1E" w:rsidP="00BB3E1E">
      <w:pPr>
        <w:pStyle w:val="BodyText"/>
      </w:pPr>
      <w:r w:rsidRPr="00241762">
        <w:t>The uncertainty in gross emissions (excluding emissions and removals from the LULUCF sector) in 2020 is ±8.8 per cent. This is an increase of 0.3 per</w:t>
      </w:r>
      <w:r>
        <w:t xml:space="preserve"> </w:t>
      </w:r>
      <w:r w:rsidRPr="00241762">
        <w:t xml:space="preserve">cent from that reported for 2019 in the previous submission. Emissions </w:t>
      </w:r>
      <w:r>
        <w:t>contributing t</w:t>
      </w:r>
      <w:r w:rsidRPr="00241762">
        <w:t xml:space="preserve">he </w:t>
      </w:r>
      <w:r>
        <w:t>most</w:t>
      </w:r>
      <w:r w:rsidRPr="00241762">
        <w:t xml:space="preserve"> to the overall uncertainty of gross emissions in 2020 </w:t>
      </w:r>
      <w:r>
        <w:t xml:space="preserve">were </w:t>
      </w:r>
      <w:r w:rsidRPr="00241762">
        <w:t>CH</w:t>
      </w:r>
      <w:r w:rsidRPr="00241762">
        <w:rPr>
          <w:vertAlign w:val="subscript"/>
        </w:rPr>
        <w:t>4</w:t>
      </w:r>
      <w:r w:rsidRPr="00241762">
        <w:t xml:space="preserve"> from </w:t>
      </w:r>
      <w:r w:rsidRPr="00241762">
        <w:rPr>
          <w:i/>
          <w:iCs/>
        </w:rPr>
        <w:t>Enteric fermentation</w:t>
      </w:r>
      <w:r w:rsidRPr="00241762">
        <w:t xml:space="preserve"> (±16.0 per cent)</w:t>
      </w:r>
      <w:r>
        <w:t xml:space="preserve"> at</w:t>
      </w:r>
      <w:r w:rsidRPr="00241762">
        <w:t xml:space="preserve"> 5.9 per cent, N</w:t>
      </w:r>
      <w:r w:rsidRPr="00241762">
        <w:rPr>
          <w:vertAlign w:val="subscript"/>
        </w:rPr>
        <w:t>2</w:t>
      </w:r>
      <w:r w:rsidRPr="00241762">
        <w:t xml:space="preserve">O from </w:t>
      </w:r>
      <w:r w:rsidRPr="00241762">
        <w:rPr>
          <w:i/>
          <w:iCs/>
        </w:rPr>
        <w:t>Agricultural soils</w:t>
      </w:r>
      <w:r w:rsidRPr="00241762">
        <w:t xml:space="preserve"> (± 55.3 per cent) </w:t>
      </w:r>
      <w:r>
        <w:t xml:space="preserve">at </w:t>
      </w:r>
      <w:r w:rsidRPr="00241762">
        <w:t>5.5 per cent and CH</w:t>
      </w:r>
      <w:r w:rsidRPr="00241762">
        <w:rPr>
          <w:vertAlign w:val="subscript"/>
        </w:rPr>
        <w:t>4</w:t>
      </w:r>
      <w:r w:rsidRPr="00241762">
        <w:t xml:space="preserve"> from </w:t>
      </w:r>
      <w:r w:rsidRPr="00241762">
        <w:rPr>
          <w:i/>
          <w:iCs/>
        </w:rPr>
        <w:t>Solid waste disposal</w:t>
      </w:r>
      <w:r w:rsidRPr="00241762">
        <w:t xml:space="preserve"> (±97.0 per cent) </w:t>
      </w:r>
      <w:r>
        <w:t xml:space="preserve">at </w:t>
      </w:r>
      <w:r w:rsidRPr="00241762">
        <w:t>3.2 per cent. The uncertainty in these categories reflects the inherent variability when estimating emissions from natural systems.</w:t>
      </w:r>
    </w:p>
    <w:p w14:paraId="4910DE29" w14:textId="77777777" w:rsidR="00BB3E1E" w:rsidRPr="00241762" w:rsidRDefault="00BB3E1E" w:rsidP="00BB3E1E">
      <w:pPr>
        <w:pStyle w:val="Heading5"/>
      </w:pPr>
      <w:bookmarkStart w:id="96" w:name="uncertainty-in-1990-level-assessment"/>
      <w:bookmarkEnd w:id="95"/>
      <w:r w:rsidRPr="00241762">
        <w:t xml:space="preserve">Uncertainty in </w:t>
      </w:r>
      <w:r w:rsidRPr="00241762">
        <w:rPr>
          <w:bCs w:val="0"/>
        </w:rPr>
        <w:t>1990</w:t>
      </w:r>
      <w:r w:rsidRPr="00241762">
        <w:t xml:space="preserve"> – level assessment</w:t>
      </w:r>
    </w:p>
    <w:p w14:paraId="2727AB67" w14:textId="77777777" w:rsidR="00BB3E1E" w:rsidRPr="00241762" w:rsidRDefault="00BB3E1E" w:rsidP="00BB3E1E">
      <w:pPr>
        <w:pStyle w:val="BodyText"/>
      </w:pPr>
      <w:r w:rsidRPr="00241762">
        <w:t>In 1990, the uncertainty in gross emissions was ±9.5 per cent. This is a decrease of 0.2 per</w:t>
      </w:r>
      <w:r>
        <w:t xml:space="preserve"> </w:t>
      </w:r>
      <w:r w:rsidRPr="00241762">
        <w:t>cent from the previous submission. Emissions of CH</w:t>
      </w:r>
      <w:r w:rsidRPr="00241762">
        <w:rPr>
          <w:vertAlign w:val="subscript"/>
        </w:rPr>
        <w:t>4</w:t>
      </w:r>
      <w:r w:rsidRPr="00241762">
        <w:t xml:space="preserve"> from </w:t>
      </w:r>
      <w:r w:rsidRPr="00241762">
        <w:rPr>
          <w:i/>
          <w:iCs/>
        </w:rPr>
        <w:t>Enteric fermentation</w:t>
      </w:r>
      <w:r w:rsidRPr="00A74807">
        <w:t xml:space="preserve"> </w:t>
      </w:r>
      <w:r w:rsidRPr="00241762">
        <w:t>contributed 6.7 per cent</w:t>
      </w:r>
      <w:r>
        <w:t xml:space="preserve">, </w:t>
      </w:r>
      <w:r w:rsidRPr="00241762">
        <w:t>CH</w:t>
      </w:r>
      <w:r w:rsidRPr="00241762">
        <w:rPr>
          <w:vertAlign w:val="subscript"/>
        </w:rPr>
        <w:t>4</w:t>
      </w:r>
      <w:r w:rsidRPr="00241762">
        <w:t xml:space="preserve"> </w:t>
      </w:r>
      <w:r>
        <w:t xml:space="preserve">from </w:t>
      </w:r>
      <w:r w:rsidRPr="00241762">
        <w:rPr>
          <w:i/>
          <w:iCs/>
        </w:rPr>
        <w:t>Solid waste disposal</w:t>
      </w:r>
      <w:r>
        <w:rPr>
          <w:i/>
          <w:iCs/>
        </w:rPr>
        <w:t xml:space="preserve"> </w:t>
      </w:r>
      <w:r w:rsidRPr="00241762">
        <w:t>4.9 per cent and N</w:t>
      </w:r>
      <w:r w:rsidRPr="00241762">
        <w:rPr>
          <w:vertAlign w:val="subscript"/>
        </w:rPr>
        <w:t>2</w:t>
      </w:r>
      <w:r w:rsidRPr="00241762">
        <w:t xml:space="preserve">O from </w:t>
      </w:r>
      <w:r w:rsidRPr="00241762">
        <w:rPr>
          <w:i/>
          <w:iCs/>
        </w:rPr>
        <w:t>Agricultural soils</w:t>
      </w:r>
      <w:r w:rsidRPr="00241762">
        <w:t xml:space="preserve"> 4.5 per cent to the overall uncertainty of gross emissions in 1990.</w:t>
      </w:r>
    </w:p>
    <w:p w14:paraId="37E76676" w14:textId="77777777" w:rsidR="00BB3E1E" w:rsidRPr="00241762" w:rsidRDefault="00BB3E1E" w:rsidP="00BB3E1E">
      <w:pPr>
        <w:pStyle w:val="Heading5"/>
      </w:pPr>
      <w:bookmarkStart w:id="97" w:name="uncertainty-in-the-trend"/>
      <w:bookmarkEnd w:id="96"/>
      <w:r w:rsidRPr="00241762">
        <w:t>Uncertainty in the trend</w:t>
      </w:r>
    </w:p>
    <w:p w14:paraId="435280C1" w14:textId="77777777" w:rsidR="00BB3E1E" w:rsidRPr="00241762" w:rsidRDefault="00BB3E1E" w:rsidP="00BB3E1E">
      <w:pPr>
        <w:pStyle w:val="BodyText"/>
      </w:pPr>
      <w:r w:rsidRPr="00241762">
        <w:t>The trend uncertainty in gross emissions (excluding emissions and removals from the LULUCF sector) from 1990 to 2020 is ±6.4 per cent. This is a decrease of 0.4 per</w:t>
      </w:r>
      <w:r>
        <w:t xml:space="preserve"> </w:t>
      </w:r>
      <w:r w:rsidRPr="00241762">
        <w:t>cent from the previous submission. This decrease is primarily due to CH</w:t>
      </w:r>
      <w:r w:rsidRPr="00241762">
        <w:rPr>
          <w:vertAlign w:val="subscript"/>
        </w:rPr>
        <w:t>4</w:t>
      </w:r>
      <w:r w:rsidRPr="00241762">
        <w:t xml:space="preserve"> in </w:t>
      </w:r>
      <w:r w:rsidRPr="00241762">
        <w:rPr>
          <w:i/>
          <w:iCs/>
        </w:rPr>
        <w:t>Solid waste disposal</w:t>
      </w:r>
      <w:r w:rsidRPr="00241762">
        <w:t>, mainly because of a correction in the activity data uncertainty calculated for this category.</w:t>
      </w:r>
    </w:p>
    <w:p w14:paraId="4F223551" w14:textId="77777777" w:rsidR="00BB3E1E" w:rsidRPr="0010735E" w:rsidRDefault="00BB3E1E" w:rsidP="00BB3E1E">
      <w:pPr>
        <w:pStyle w:val="Heading4"/>
      </w:pPr>
      <w:bookmarkStart w:id="98" w:name="net-emissions"/>
      <w:bookmarkEnd w:id="97"/>
      <w:r w:rsidRPr="00241762">
        <w:t>Net emissions</w:t>
      </w:r>
    </w:p>
    <w:p w14:paraId="6E645005" w14:textId="77777777" w:rsidR="00BB3E1E" w:rsidRPr="00241762" w:rsidRDefault="00BB3E1E" w:rsidP="00BB3E1E">
      <w:pPr>
        <w:pStyle w:val="Heading5"/>
      </w:pPr>
      <w:bookmarkStart w:id="99" w:name="uncertainty-in-2020-level-assessment-1"/>
      <w:r w:rsidRPr="00241762">
        <w:t xml:space="preserve">Uncertainty in </w:t>
      </w:r>
      <w:r w:rsidRPr="00241762">
        <w:rPr>
          <w:bCs w:val="0"/>
        </w:rPr>
        <w:t>2020</w:t>
      </w:r>
      <w:r w:rsidRPr="00241762">
        <w:t xml:space="preserve"> – level assessment</w:t>
      </w:r>
    </w:p>
    <w:p w14:paraId="195EC9BA" w14:textId="77777777" w:rsidR="00BB3E1E" w:rsidRPr="00241762" w:rsidRDefault="00BB3E1E" w:rsidP="00BB3E1E">
      <w:pPr>
        <w:pStyle w:val="BodyText"/>
      </w:pPr>
      <w:r w:rsidRPr="00241762">
        <w:t>The uncertainty for New Zealand’s inventory, including emissions and removals from the LULUCF sector, in 2020 is ±26.9 per cent. There has been a 10.0 per cent decrease in uncertainty between 2019 and 2020.</w:t>
      </w:r>
    </w:p>
    <w:p w14:paraId="646DAC6D" w14:textId="1D9A0D60" w:rsidR="00BB3E1E" w:rsidRPr="00241762" w:rsidRDefault="00BB3E1E" w:rsidP="00BB3E1E">
      <w:pPr>
        <w:pStyle w:val="BodyText"/>
      </w:pPr>
      <w:r w:rsidRPr="00241762">
        <w:t xml:space="preserve">This decrease is primarily a result of improvements to the LULUCF </w:t>
      </w:r>
      <w:r w:rsidRPr="00241762">
        <w:rPr>
          <w:i/>
          <w:iCs/>
        </w:rPr>
        <w:t xml:space="preserve">Forest land </w:t>
      </w:r>
      <w:r w:rsidRPr="00241762">
        <w:t>uncertainties. Emissions</w:t>
      </w:r>
      <w:r>
        <w:t xml:space="preserve"> contributing</w:t>
      </w:r>
      <w:r w:rsidRPr="00241762">
        <w:t xml:space="preserve"> the </w:t>
      </w:r>
      <w:r>
        <w:t>most to the</w:t>
      </w:r>
      <w:r w:rsidRPr="00241762">
        <w:t xml:space="preserve"> overall uncertainty</w:t>
      </w:r>
      <w:r w:rsidRPr="0075449B">
        <w:t xml:space="preserve"> </w:t>
      </w:r>
      <w:r w:rsidRPr="00241762">
        <w:t>in net emissions for 2020</w:t>
      </w:r>
      <w:r>
        <w:t xml:space="preserve"> were</w:t>
      </w:r>
      <w:r w:rsidRPr="00241762">
        <w:t xml:space="preserve"> CO</w:t>
      </w:r>
      <w:r w:rsidRPr="00241762">
        <w:rPr>
          <w:vertAlign w:val="subscript"/>
        </w:rPr>
        <w:t>2</w:t>
      </w:r>
      <w:r w:rsidR="006B574D">
        <w:t> </w:t>
      </w:r>
      <w:r w:rsidRPr="00241762">
        <w:t xml:space="preserve">from </w:t>
      </w:r>
      <w:r w:rsidRPr="00241762">
        <w:rPr>
          <w:i/>
          <w:iCs/>
        </w:rPr>
        <w:t>Forest land</w:t>
      </w:r>
      <w:r w:rsidRPr="00241762">
        <w:t xml:space="preserve"> (±61.6 per cent)</w:t>
      </w:r>
      <w:r>
        <w:t xml:space="preserve"> at</w:t>
      </w:r>
      <w:r w:rsidRPr="00241762">
        <w:t xml:space="preserve"> 22.2 per cent, CO</w:t>
      </w:r>
      <w:r w:rsidRPr="00241762">
        <w:rPr>
          <w:vertAlign w:val="subscript"/>
        </w:rPr>
        <w:t>2</w:t>
      </w:r>
      <w:r w:rsidRPr="00241762">
        <w:t xml:space="preserve"> from </w:t>
      </w:r>
      <w:r w:rsidRPr="00241762">
        <w:rPr>
          <w:i/>
          <w:iCs/>
        </w:rPr>
        <w:t>Harvested wood products</w:t>
      </w:r>
      <w:r w:rsidRPr="00241762">
        <w:t xml:space="preserve"> (±68.2 per cent)</w:t>
      </w:r>
      <w:r>
        <w:t xml:space="preserve"> at</w:t>
      </w:r>
      <w:r w:rsidRPr="00241762">
        <w:t xml:space="preserve"> 8.4 per cent and CH</w:t>
      </w:r>
      <w:r w:rsidRPr="00241762">
        <w:rPr>
          <w:vertAlign w:val="subscript"/>
        </w:rPr>
        <w:t>4</w:t>
      </w:r>
      <w:r w:rsidRPr="00241762">
        <w:t xml:space="preserve"> from </w:t>
      </w:r>
      <w:r w:rsidRPr="00241762">
        <w:rPr>
          <w:i/>
          <w:iCs/>
        </w:rPr>
        <w:t>Enteric fermentation</w:t>
      </w:r>
      <w:r w:rsidRPr="00241762">
        <w:t xml:space="preserve"> (±16.0 per cent) </w:t>
      </w:r>
      <w:r>
        <w:t>at</w:t>
      </w:r>
      <w:r w:rsidRPr="00241762">
        <w:t xml:space="preserve"> 8.3</w:t>
      </w:r>
      <w:r w:rsidR="006B574D">
        <w:t> </w:t>
      </w:r>
      <w:r w:rsidRPr="00241762">
        <w:t>per</w:t>
      </w:r>
      <w:r w:rsidR="006B574D">
        <w:t> </w:t>
      </w:r>
      <w:r w:rsidRPr="00241762">
        <w:t>cent.</w:t>
      </w:r>
    </w:p>
    <w:p w14:paraId="5E7CB2DA" w14:textId="77777777" w:rsidR="00BB3E1E" w:rsidRPr="00241762" w:rsidRDefault="00BB3E1E" w:rsidP="00BB3E1E">
      <w:pPr>
        <w:pStyle w:val="Heading5"/>
      </w:pPr>
      <w:bookmarkStart w:id="100" w:name="uncertainty-in-1990-level-assessment-1"/>
      <w:bookmarkEnd w:id="99"/>
      <w:r w:rsidRPr="00241762">
        <w:lastRenderedPageBreak/>
        <w:t xml:space="preserve">Uncertainty in </w:t>
      </w:r>
      <w:r w:rsidRPr="00241762">
        <w:rPr>
          <w:bCs w:val="0"/>
        </w:rPr>
        <w:t xml:space="preserve">1990 </w:t>
      </w:r>
      <w:r w:rsidRPr="00241762">
        <w:t>– level assessment</w:t>
      </w:r>
    </w:p>
    <w:p w14:paraId="70E64C8E" w14:textId="77777777" w:rsidR="00BB3E1E" w:rsidRPr="00241762" w:rsidRDefault="00BB3E1E" w:rsidP="00BB3E1E">
      <w:pPr>
        <w:pStyle w:val="BodyText"/>
      </w:pPr>
      <w:r w:rsidRPr="00241762">
        <w:t>In 1990, the uncertainty in net emissions was 32.0 per cent. There has been a decrease of 15.6</w:t>
      </w:r>
      <w:r>
        <w:t> </w:t>
      </w:r>
      <w:r w:rsidRPr="00241762">
        <w:t>per</w:t>
      </w:r>
      <w:r>
        <w:t xml:space="preserve"> </w:t>
      </w:r>
      <w:r w:rsidRPr="00241762">
        <w:t xml:space="preserve">cent between 2019 and 2020. This decrease is primarily a result of improvements to the LULUCF </w:t>
      </w:r>
      <w:r w:rsidRPr="00241762">
        <w:rPr>
          <w:i/>
          <w:iCs/>
        </w:rPr>
        <w:t xml:space="preserve">Forest land </w:t>
      </w:r>
      <w:r w:rsidRPr="00241762">
        <w:t>uncertainties. Emissions of CO</w:t>
      </w:r>
      <w:r w:rsidRPr="00241762">
        <w:rPr>
          <w:vertAlign w:val="subscript"/>
        </w:rPr>
        <w:t>2</w:t>
      </w:r>
      <w:r w:rsidRPr="00241762">
        <w:t xml:space="preserve"> from </w:t>
      </w:r>
      <w:r w:rsidRPr="00241762">
        <w:rPr>
          <w:i/>
          <w:iCs/>
        </w:rPr>
        <w:t>Forest land</w:t>
      </w:r>
      <w:r w:rsidRPr="00241762">
        <w:t xml:space="preserve"> </w:t>
      </w:r>
      <w:r>
        <w:t>contributed</w:t>
      </w:r>
      <w:r w:rsidRPr="00241762">
        <w:t xml:space="preserve"> 28.4 per cent</w:t>
      </w:r>
      <w:r>
        <w:t>,</w:t>
      </w:r>
      <w:r w:rsidRPr="00241762">
        <w:t xml:space="preserve"> CH</w:t>
      </w:r>
      <w:r w:rsidRPr="00241762">
        <w:rPr>
          <w:vertAlign w:val="subscript"/>
        </w:rPr>
        <w:t>4</w:t>
      </w:r>
      <w:r w:rsidRPr="00241762">
        <w:t xml:space="preserve"> from </w:t>
      </w:r>
      <w:r w:rsidRPr="00241762">
        <w:rPr>
          <w:i/>
          <w:iCs/>
        </w:rPr>
        <w:t>Enteric fermentation</w:t>
      </w:r>
      <w:r w:rsidRPr="00241762">
        <w:t xml:space="preserve"> 10.0 per cent and</w:t>
      </w:r>
      <w:r w:rsidRPr="00171D83">
        <w:t xml:space="preserve"> </w:t>
      </w:r>
      <w:r w:rsidRPr="00241762">
        <w:t>CH</w:t>
      </w:r>
      <w:r w:rsidRPr="00241762">
        <w:rPr>
          <w:vertAlign w:val="subscript"/>
        </w:rPr>
        <w:t>4</w:t>
      </w:r>
      <w:r>
        <w:t xml:space="preserve"> from</w:t>
      </w:r>
      <w:r w:rsidRPr="00241762">
        <w:t xml:space="preserve"> </w:t>
      </w:r>
      <w:r w:rsidRPr="00241762">
        <w:rPr>
          <w:i/>
          <w:iCs/>
        </w:rPr>
        <w:t>Solid waste disposal</w:t>
      </w:r>
      <w:r w:rsidRPr="00241762">
        <w:t xml:space="preserve"> 7.3 per cent to the overall uncertainty of net emissions in 1990.</w:t>
      </w:r>
    </w:p>
    <w:p w14:paraId="4E13CAFD" w14:textId="77777777" w:rsidR="00BB3E1E" w:rsidRPr="00241762" w:rsidRDefault="00BB3E1E" w:rsidP="00BB3E1E">
      <w:pPr>
        <w:pStyle w:val="Heading5"/>
      </w:pPr>
      <w:bookmarkStart w:id="101" w:name="uncertainty-in-the-trend-1"/>
      <w:bookmarkEnd w:id="100"/>
      <w:r w:rsidRPr="00241762">
        <w:t>Uncertainty in the trend</w:t>
      </w:r>
    </w:p>
    <w:p w14:paraId="685F18DC" w14:textId="3B42BA77" w:rsidR="00BB3E1E" w:rsidRPr="00241762" w:rsidRDefault="00BB3E1E" w:rsidP="00BB3E1E">
      <w:pPr>
        <w:pStyle w:val="BodyText"/>
      </w:pPr>
      <w:r w:rsidRPr="00241762">
        <w:t>When emissions and removals from the LULUCF sector are included, the overall uncertainty in</w:t>
      </w:r>
      <w:r w:rsidR="00FF648B">
        <w:t> </w:t>
      </w:r>
      <w:r w:rsidRPr="00241762">
        <w:t>the trend from 1990 to 2020 is ±13.8 per cent. This is a decrease of 11.0 per</w:t>
      </w:r>
      <w:r>
        <w:t xml:space="preserve"> </w:t>
      </w:r>
      <w:r w:rsidRPr="00241762">
        <w:t xml:space="preserve">cent when compared with the revised uncertainty for 2019. This decrease is primarily a result of improvements to the LULUCF </w:t>
      </w:r>
      <w:r w:rsidRPr="00241762">
        <w:rPr>
          <w:i/>
          <w:iCs/>
        </w:rPr>
        <w:t xml:space="preserve">Forest land </w:t>
      </w:r>
      <w:r w:rsidRPr="00241762">
        <w:t xml:space="preserve">uncertainty values undertaken for this submission. </w:t>
      </w:r>
    </w:p>
    <w:p w14:paraId="23499EAB" w14:textId="77777777" w:rsidR="00BB3E1E" w:rsidRPr="00241762" w:rsidRDefault="00BB3E1E" w:rsidP="00BB3E1E">
      <w:pPr>
        <w:pStyle w:val="Heading3"/>
      </w:pPr>
      <w:bookmarkStart w:id="102" w:name="Xf52f08f0004dd6ef467ac450a618c3f5ca1c703"/>
      <w:bookmarkEnd w:id="94"/>
      <w:bookmarkEnd w:id="98"/>
      <w:bookmarkEnd w:id="101"/>
      <w:r w:rsidRPr="00241762">
        <w:t xml:space="preserve">1.6.2 </w:t>
      </w:r>
      <w:r>
        <w:tab/>
      </w:r>
      <w:r w:rsidRPr="00241762">
        <w:t>LULUCF activities under the Kyoto Protocol</w:t>
      </w:r>
    </w:p>
    <w:p w14:paraId="5A58CB6E" w14:textId="77777777" w:rsidR="00BB3E1E" w:rsidRPr="00241762" w:rsidRDefault="00BB3E1E" w:rsidP="00BB3E1E">
      <w:pPr>
        <w:pStyle w:val="BodyText"/>
      </w:pPr>
      <w:r w:rsidRPr="00241762">
        <w:t xml:space="preserve">The combined uncertainty for net emissions from </w:t>
      </w:r>
      <w:r w:rsidRPr="00241762">
        <w:rPr>
          <w:i/>
          <w:iCs/>
        </w:rPr>
        <w:t>Afforestation and reforestation</w:t>
      </w:r>
      <w:r w:rsidRPr="00241762">
        <w:t xml:space="preserve"> category activities in 2020 is ±19.2 per cent. The uncertainty for net emissions from the </w:t>
      </w:r>
      <w:r w:rsidRPr="00241762">
        <w:rPr>
          <w:i/>
          <w:iCs/>
        </w:rPr>
        <w:t>Deforestation</w:t>
      </w:r>
      <w:r w:rsidRPr="00241762">
        <w:t xml:space="preserve"> category in 2020 is ±1.4 per cent.</w:t>
      </w:r>
    </w:p>
    <w:p w14:paraId="1B81157A" w14:textId="77777777" w:rsidR="00BB3E1E" w:rsidRPr="00241762" w:rsidRDefault="00BB3E1E" w:rsidP="00BB3E1E">
      <w:pPr>
        <w:pStyle w:val="BodyText"/>
      </w:pPr>
      <w:r w:rsidRPr="00241762">
        <w:t xml:space="preserve">The uncertainty for net emissions from the </w:t>
      </w:r>
      <w:r w:rsidRPr="00241762">
        <w:rPr>
          <w:i/>
          <w:iCs/>
        </w:rPr>
        <w:t>Forest management</w:t>
      </w:r>
      <w:r w:rsidRPr="00241762">
        <w:t xml:space="preserve"> category in 2020 is ±43.8 per cent. The uncertainty introduced into net emissions from </w:t>
      </w:r>
      <w:r w:rsidRPr="00241762">
        <w:rPr>
          <w:i/>
          <w:iCs/>
        </w:rPr>
        <w:t>Forest management</w:t>
      </w:r>
      <w:r w:rsidRPr="00241762">
        <w:t xml:space="preserve"> is high because this category has large emissions from harvesting and large removals from forest growth, leaving relatively small net change. Because the uncertainty is calculated on emissions and removals relative to net change, this results in a large uncertainty figure.</w:t>
      </w:r>
    </w:p>
    <w:p w14:paraId="4221ACFB" w14:textId="77777777" w:rsidR="00BB3E1E" w:rsidRPr="00241762" w:rsidRDefault="00BB3E1E" w:rsidP="00BB3E1E">
      <w:pPr>
        <w:pStyle w:val="BodyText"/>
      </w:pPr>
      <w:r w:rsidRPr="00241762">
        <w:t>Combining these uncertainties gives a total uncertainty estimate in emissions for LULUCF activities under the Kyoto Protocol of ±45.7 per cent.</w:t>
      </w:r>
    </w:p>
    <w:p w14:paraId="20F5F3D9" w14:textId="77777777" w:rsidR="00BB3E1E" w:rsidRPr="00FF648B" w:rsidRDefault="00BB3E1E" w:rsidP="00BB3E1E">
      <w:pPr>
        <w:pStyle w:val="BodyText"/>
        <w:rPr>
          <w:spacing w:val="-2"/>
        </w:rPr>
      </w:pPr>
      <w:r w:rsidRPr="00FF648B">
        <w:rPr>
          <w:spacing w:val="-2"/>
        </w:rPr>
        <w:t>Chapter 11, section 11.4.1 provides further information on the uncertainty analysis for activities under the Kyoto Protocol and how this uncertainty analysis relates to the LULUCF sector.</w:t>
      </w:r>
    </w:p>
    <w:p w14:paraId="16989D6F" w14:textId="77777777" w:rsidR="00BB3E1E" w:rsidRPr="00241762" w:rsidRDefault="00BB3E1E" w:rsidP="00BB3E1E">
      <w:pPr>
        <w:pStyle w:val="Heading2"/>
      </w:pPr>
      <w:bookmarkStart w:id="103" w:name="_Toc99659101"/>
      <w:bookmarkStart w:id="104" w:name="inventory-completeness"/>
      <w:bookmarkEnd w:id="93"/>
      <w:bookmarkEnd w:id="102"/>
      <w:r w:rsidRPr="00241762">
        <w:t xml:space="preserve">1.7 </w:t>
      </w:r>
      <w:r>
        <w:tab/>
      </w:r>
      <w:r w:rsidRPr="00241762">
        <w:t>Inventory completeness</w:t>
      </w:r>
      <w:bookmarkEnd w:id="103"/>
    </w:p>
    <w:p w14:paraId="77DC5761" w14:textId="77777777" w:rsidR="00BB3E1E" w:rsidRPr="00241762" w:rsidRDefault="00BB3E1E" w:rsidP="00FF648B">
      <w:pPr>
        <w:pStyle w:val="Heading3"/>
        <w:spacing w:before="240"/>
      </w:pPr>
      <w:bookmarkStart w:id="105" w:name="reporting-under-the-convention-2"/>
      <w:r w:rsidRPr="00241762">
        <w:t xml:space="preserve">1.7.1 </w:t>
      </w:r>
      <w:r>
        <w:tab/>
      </w:r>
      <w:r w:rsidRPr="00241762">
        <w:t>Reporting under the Convention</w:t>
      </w:r>
    </w:p>
    <w:p w14:paraId="5B111CF2" w14:textId="2D293189" w:rsidR="00BB3E1E" w:rsidRPr="00241762" w:rsidRDefault="00BB3E1E" w:rsidP="00BB3E1E">
      <w:pPr>
        <w:pStyle w:val="BodyText"/>
      </w:pPr>
      <w:r w:rsidRPr="00241762">
        <w:t>The inventory for the period 1990 to 2020 is complete. In accordance with the 2006 IPCC Guidelines</w:t>
      </w:r>
      <w:r>
        <w:t xml:space="preserve"> (IPCC, 2006b)</w:t>
      </w:r>
      <w:r w:rsidRPr="00241762">
        <w:t>, New Zealand has focused its resources for inventory development in</w:t>
      </w:r>
      <w:r w:rsidR="00FF648B">
        <w:t> </w:t>
      </w:r>
      <w:r w:rsidRPr="00241762">
        <w:t xml:space="preserve">the key categories and non-key categories that are mandatory. Additional information </w:t>
      </w:r>
      <w:r>
        <w:t>on</w:t>
      </w:r>
      <w:r w:rsidRPr="00241762">
        <w:t xml:space="preserve"> the use of the notation key ‘NE’ in the context of paragraph 37(b) of the </w:t>
      </w:r>
      <w:r>
        <w:t>Convention</w:t>
      </w:r>
      <w:r w:rsidRPr="00241762">
        <w:t xml:space="preserve"> reporting guidelines is presented in annex 6.2.</w:t>
      </w:r>
    </w:p>
    <w:p w14:paraId="3A9061BB" w14:textId="77777777" w:rsidR="00BB3E1E" w:rsidRPr="00241762" w:rsidRDefault="00BB3E1E" w:rsidP="00BB3E1E">
      <w:pPr>
        <w:pStyle w:val="Heading3"/>
      </w:pPr>
      <w:bookmarkStart w:id="106" w:name="Xba1d6b5eaf42aff0eececcb6a26927035442eb1"/>
      <w:bookmarkEnd w:id="105"/>
      <w:r w:rsidRPr="00241762">
        <w:t xml:space="preserve">1.7.2 </w:t>
      </w:r>
      <w:r>
        <w:tab/>
      </w:r>
      <w:r w:rsidRPr="00241762">
        <w:t>LULUCF activities under the Kyoto Protocol</w:t>
      </w:r>
    </w:p>
    <w:p w14:paraId="50021966" w14:textId="2A535EF5" w:rsidR="00BB3E1E" w:rsidRPr="00241762" w:rsidRDefault="00BB3E1E" w:rsidP="00BB3E1E">
      <w:pPr>
        <w:pStyle w:val="BodyText"/>
      </w:pPr>
      <w:r w:rsidRPr="00241762">
        <w:t>New Zealand has included all carbon pools in reporting for Article 3.3 activities and Article 3.4</w:t>
      </w:r>
      <w:r w:rsidR="00FF648B">
        <w:t> </w:t>
      </w:r>
      <w:r w:rsidRPr="00241762">
        <w:rPr>
          <w:i/>
          <w:iCs/>
        </w:rPr>
        <w:t>Forest management</w:t>
      </w:r>
      <w:r w:rsidRPr="00241762">
        <w:t xml:space="preserve"> under the Kyoto Protocol. See chapter 11, section 11.1 for more information.</w:t>
      </w:r>
    </w:p>
    <w:p w14:paraId="7B954F6B" w14:textId="77777777" w:rsidR="00BB3E1E" w:rsidRPr="00241762" w:rsidRDefault="00BB3E1E" w:rsidP="00BB3E1E">
      <w:pPr>
        <w:pStyle w:val="Heading2"/>
      </w:pPr>
      <w:bookmarkStart w:id="107" w:name="_Toc99659102"/>
      <w:bookmarkStart w:id="108" w:name="national-registry"/>
      <w:bookmarkEnd w:id="104"/>
      <w:bookmarkEnd w:id="106"/>
      <w:r w:rsidRPr="00241762">
        <w:lastRenderedPageBreak/>
        <w:t xml:space="preserve">1.8 </w:t>
      </w:r>
      <w:r>
        <w:tab/>
      </w:r>
      <w:r w:rsidRPr="00241762">
        <w:t>National registry</w:t>
      </w:r>
      <w:bookmarkEnd w:id="107"/>
    </w:p>
    <w:p w14:paraId="2A14B542" w14:textId="40BCD5E7" w:rsidR="00BB3E1E" w:rsidRPr="00241762" w:rsidRDefault="00BB3E1E" w:rsidP="00BB3E1E">
      <w:pPr>
        <w:pStyle w:val="BodyText"/>
      </w:pPr>
      <w:r w:rsidRPr="00241762">
        <w:t>The national registry (the New Zealand Emissions Trading Register or the Register) is New Zealand’s online facility to manage the accounting, reporting and reconciliation of emissions, unit holdings and transactions as part of the NZ ETS. The EPA is designated as the agency responsible for implement</w:t>
      </w:r>
      <w:r>
        <w:t>ing</w:t>
      </w:r>
      <w:r w:rsidRPr="00241762">
        <w:t xml:space="preserve"> and operati</w:t>
      </w:r>
      <w:r>
        <w:t>ng</w:t>
      </w:r>
      <w:r w:rsidRPr="00241762">
        <w:t xml:space="preserve"> New Zealand’s national registry under the Kyoto</w:t>
      </w:r>
      <w:r w:rsidR="00FF648B">
        <w:t> </w:t>
      </w:r>
      <w:r w:rsidRPr="00241762">
        <w:t>Protocol. The Register is electronic and accessible via the internet (</w:t>
      </w:r>
      <w:hyperlink r:id="rId36">
        <w:r w:rsidRPr="00241762">
          <w:rPr>
            <w:rStyle w:val="Hyperlink"/>
          </w:rPr>
          <w:t>www.emissionsregister.govt.nz</w:t>
        </w:r>
      </w:hyperlink>
      <w:r w:rsidRPr="00241762">
        <w:t>).</w:t>
      </w:r>
    </w:p>
    <w:p w14:paraId="777A6257" w14:textId="2C54C1A8" w:rsidR="00BB3E1E" w:rsidRPr="00241762" w:rsidRDefault="00BB3E1E" w:rsidP="00BB3E1E">
      <w:pPr>
        <w:pStyle w:val="BodyText"/>
      </w:pPr>
      <w:r w:rsidRPr="00241762">
        <w:t>In January 2008, New Zealand’s national registry was issued with New Zealand’s assigned amount of 309,564,733 metric tonnes CO</w:t>
      </w:r>
      <w:r w:rsidRPr="00241762">
        <w:rPr>
          <w:vertAlign w:val="subscript"/>
        </w:rPr>
        <w:t>2</w:t>
      </w:r>
      <w:r w:rsidRPr="00241762">
        <w:t>-e for CP1 (covering the five-year period 2008 to</w:t>
      </w:r>
      <w:r w:rsidR="00FF648B">
        <w:t> </w:t>
      </w:r>
      <w:r w:rsidRPr="00241762">
        <w:t>2012).</w:t>
      </w:r>
    </w:p>
    <w:p w14:paraId="2D1B9ABE" w14:textId="28AD739F" w:rsidR="00BB3E1E" w:rsidRPr="00241762" w:rsidRDefault="00BB3E1E" w:rsidP="00BB3E1E">
      <w:pPr>
        <w:pStyle w:val="BodyText"/>
      </w:pPr>
      <w:r w:rsidRPr="00241762">
        <w:t xml:space="preserve">At the end of CP1, New Zealand retired Kyoto Protocol units in its registry equal to its reported emissions and submitted its true-up report (available on both the MfE and </w:t>
      </w:r>
      <w:r>
        <w:t xml:space="preserve">Convention </w:t>
      </w:r>
      <w:r w:rsidRPr="00241762">
        <w:t xml:space="preserve">websites) to meet CP1 Kyoto Protocol obligations. While remaining a Party to the Kyoto Protocol, New Zealand does not have a target under the second commitment period (CP2). Instead, New Zealand joins countries that have made international pledges under the Convention. As such, New Zealand has no assigned amount for CP2; however, New Zealand has chosen to maintain a registry connected to the International Transaction Log. This is required because the Register continues to hold Kyoto Protocol units, and these </w:t>
      </w:r>
      <w:r>
        <w:t>must</w:t>
      </w:r>
      <w:r w:rsidRPr="00241762">
        <w:t xml:space="preserve"> be able</w:t>
      </w:r>
      <w:r w:rsidR="008B53E6">
        <w:t> </w:t>
      </w:r>
      <w:r w:rsidRPr="00241762">
        <w:t>to be reconciled via the International Transaction Log. New Zealand also committed to</w:t>
      </w:r>
      <w:r w:rsidR="008B53E6">
        <w:t> </w:t>
      </w:r>
      <w:r w:rsidRPr="00241762">
        <w:t>apply the Kyoto Protocol accounting approach for the period 2013 to 2020 (the period covered by CP2).</w:t>
      </w:r>
    </w:p>
    <w:p w14:paraId="170C3DAC" w14:textId="77777777" w:rsidR="00BB3E1E" w:rsidRPr="00241762" w:rsidRDefault="00BB3E1E" w:rsidP="00BB3E1E">
      <w:pPr>
        <w:pStyle w:val="BodyText"/>
      </w:pPr>
      <w:r w:rsidRPr="00241762">
        <w:t xml:space="preserve">Although most international unit transfers of Kyoto Protocol units are no longer possible from or to the Register, it is still possible for direct issuance of certified emission reduction units from the Clean Development Mechanism and voluntary unit cancellation transactions to occur. </w:t>
      </w:r>
      <w:r w:rsidRPr="008B53E6">
        <w:rPr>
          <w:spacing w:val="-2"/>
        </w:rPr>
        <w:t>Details of these transactions are included in the SEF tables submitted to the UNFCCC secretariat</w:t>
      </w:r>
      <w:r w:rsidRPr="00241762">
        <w:t xml:space="preserve"> as part of New Zealand’s national inventory reporting. Also, changes to international trading may occur after CP2 ends and new arrangements under Article 6 of the Paris Agreement come into effect.</w:t>
      </w:r>
    </w:p>
    <w:p w14:paraId="4BA6B05F" w14:textId="77777777" w:rsidR="00BB3E1E" w:rsidRPr="00241762" w:rsidRDefault="00BB3E1E" w:rsidP="00BB3E1E">
      <w:pPr>
        <w:pStyle w:val="BodyText"/>
      </w:pPr>
      <w:r w:rsidRPr="00241762">
        <w:t xml:space="preserve">New Zealand replaced its registry system in August 2016. The Register was tested and reviewed by the UNFCCC secretariat </w:t>
      </w:r>
      <w:r>
        <w:t>before it went</w:t>
      </w:r>
      <w:r w:rsidRPr="00241762">
        <w:t xml:space="preserve"> live.</w:t>
      </w:r>
    </w:p>
    <w:p w14:paraId="54C911E4" w14:textId="30ABE251" w:rsidR="00BB3E1E" w:rsidRPr="00241762" w:rsidRDefault="00BB3E1E" w:rsidP="00BB3E1E">
      <w:pPr>
        <w:pStyle w:val="BodyText"/>
      </w:pPr>
      <w:r w:rsidRPr="00241762">
        <w:t>At the beginning of the</w:t>
      </w:r>
      <w:r>
        <w:t xml:space="preserve"> </w:t>
      </w:r>
      <w:r w:rsidRPr="00241762">
        <w:t>2021 calendar year, New Zealand’s national registry held 308,343,858 CP1 assigned amount units (AAUs), 110,744,560 CP1 emission reduction units (ERUs), 21,685,909 CP1 certified emission reduction units (CERs) and 100,845,399 CP1 removal units</w:t>
      </w:r>
      <w:r w:rsidR="0004726E">
        <w:t> </w:t>
      </w:r>
      <w:r w:rsidRPr="00241762">
        <w:t>(RMUs). The number and mix of units held at the end of 2021 were the same as at the beginning of 2021, because no international transactions occurred during this period and this</w:t>
      </w:r>
      <w:r w:rsidR="0004726E">
        <w:t> </w:t>
      </w:r>
      <w:r w:rsidRPr="00241762">
        <w:t>value includes the units retired to meet CP1 obligations. No CP2 units were held by New</w:t>
      </w:r>
      <w:r w:rsidR="0004726E">
        <w:t> </w:t>
      </w:r>
      <w:r w:rsidRPr="00241762">
        <w:t>Zealand in 2021.</w:t>
      </w:r>
    </w:p>
    <w:p w14:paraId="40C02874" w14:textId="77777777" w:rsidR="00BB3E1E" w:rsidRPr="00241762" w:rsidRDefault="00BB3E1E" w:rsidP="00BB3E1E">
      <w:pPr>
        <w:pStyle w:val="BodyText"/>
      </w:pPr>
      <w:r w:rsidRPr="00241762">
        <w:t>At the end of 2021, the units held in New Zealand’s national registry remained at 308,343,858 AAUs, 110,744,560 ERUs, 21,685,909 CERs and 100,845,399 RMUs.</w:t>
      </w:r>
    </w:p>
    <w:p w14:paraId="26DCAEB4" w14:textId="77777777" w:rsidR="00BB3E1E" w:rsidRPr="00241762" w:rsidRDefault="00BB3E1E" w:rsidP="00BB3E1E">
      <w:pPr>
        <w:pStyle w:val="BodyText"/>
      </w:pPr>
      <w:r w:rsidRPr="00241762">
        <w:t>New Zealand’s national registry did not hold any temporary certified emission reduction units or long-term certified emission reduction units during 2021.</w:t>
      </w:r>
    </w:p>
    <w:p w14:paraId="7B26EA95" w14:textId="77777777" w:rsidR="00BB3E1E" w:rsidRPr="00241762" w:rsidRDefault="00BB3E1E" w:rsidP="00BB3E1E">
      <w:pPr>
        <w:pStyle w:val="BodyText"/>
      </w:pPr>
      <w:r w:rsidRPr="00241762">
        <w:t>Any changes to the Register are captured in chapter 14 (table 14.3).</w:t>
      </w:r>
    </w:p>
    <w:p w14:paraId="1F024301" w14:textId="77777777" w:rsidR="00BB3E1E" w:rsidRPr="00241762" w:rsidRDefault="00BB3E1E" w:rsidP="00BB3E1E">
      <w:pPr>
        <w:pStyle w:val="BodyText"/>
      </w:pPr>
      <w:r w:rsidRPr="00241762">
        <w:lastRenderedPageBreak/>
        <w:t>For further information, refer to chapters 12 and 14 and the SEF tables on New Zealand Emissions Trading Register holdings and transactions that were submitted to the UNFCCC</w:t>
      </w:r>
      <w:r>
        <w:t xml:space="preserve"> secretariat</w:t>
      </w:r>
      <w:r w:rsidRPr="00241762">
        <w:t xml:space="preserve"> with this inventory.</w:t>
      </w:r>
    </w:p>
    <w:p w14:paraId="34D12DFE" w14:textId="77777777" w:rsidR="00BB3E1E" w:rsidRPr="00241762" w:rsidRDefault="00BB3E1E" w:rsidP="00BB3E1E">
      <w:pPr>
        <w:pStyle w:val="Heading2"/>
      </w:pPr>
      <w:bookmarkStart w:id="109" w:name="_Toc99659103"/>
      <w:bookmarkStart w:id="110" w:name="new-zealands-emissions-trading-scheme"/>
      <w:bookmarkEnd w:id="108"/>
      <w:r w:rsidRPr="00241762">
        <w:t xml:space="preserve">1.9 </w:t>
      </w:r>
      <w:r>
        <w:tab/>
      </w:r>
      <w:r w:rsidRPr="00241762">
        <w:t>New Zealand’s Emissions Trading Scheme</w:t>
      </w:r>
      <w:bookmarkEnd w:id="109"/>
    </w:p>
    <w:p w14:paraId="57DE3EB1" w14:textId="77777777" w:rsidR="00BB3E1E" w:rsidRPr="00241762" w:rsidRDefault="00BB3E1E" w:rsidP="00BB3E1E">
      <w:pPr>
        <w:pStyle w:val="BodyText"/>
      </w:pPr>
      <w:r w:rsidRPr="00241762">
        <w:t>The NZ ETS is one of the Government’s primary tools for reducing greenhouse gas emissions. Th</w:t>
      </w:r>
      <w:r>
        <w:t>is</w:t>
      </w:r>
      <w:r w:rsidRPr="00241762">
        <w:t xml:space="preserve"> section explain</w:t>
      </w:r>
      <w:r>
        <w:t>s</w:t>
      </w:r>
      <w:r w:rsidRPr="00241762">
        <w:t xml:space="preserve"> the background of the NZ ETS and how the data collected for the NZ ETS have been used to verify CO</w:t>
      </w:r>
      <w:r w:rsidRPr="00241762">
        <w:rPr>
          <w:vertAlign w:val="subscript"/>
        </w:rPr>
        <w:t>2</w:t>
      </w:r>
      <w:r w:rsidRPr="00241762">
        <w:t xml:space="preserve"> emissions in the Energy and IPPU sectors.</w:t>
      </w:r>
    </w:p>
    <w:p w14:paraId="0417E8D7" w14:textId="77777777" w:rsidR="00BB3E1E" w:rsidRPr="00241762" w:rsidRDefault="00BB3E1E" w:rsidP="00BB3E1E">
      <w:pPr>
        <w:pStyle w:val="Heading3"/>
      </w:pPr>
      <w:bookmarkStart w:id="111" w:name="new-zealand-units"/>
      <w:r w:rsidRPr="00241762">
        <w:t xml:space="preserve">1.9.1 </w:t>
      </w:r>
      <w:r>
        <w:tab/>
      </w:r>
      <w:r w:rsidRPr="00241762">
        <w:t>New Zealand Units</w:t>
      </w:r>
    </w:p>
    <w:p w14:paraId="244C4019" w14:textId="74C8EF8A" w:rsidR="00BB3E1E" w:rsidRPr="00241762" w:rsidRDefault="00BB3E1E" w:rsidP="00BB3E1E">
      <w:pPr>
        <w:pStyle w:val="BodyText"/>
      </w:pPr>
      <w:r w:rsidRPr="00241762">
        <w:t>The NZ ETS is based on trading units that represent 1 tonne of CO</w:t>
      </w:r>
      <w:r w:rsidRPr="00241762">
        <w:rPr>
          <w:vertAlign w:val="subscript"/>
        </w:rPr>
        <w:t>2</w:t>
      </w:r>
      <w:r w:rsidRPr="00241762">
        <w:t>-e, called a New Zealand Unit (NZU), which is created and distributed by the New Zealand Government. The scheme was established through an amendment to the Climate Change Response Act 2002</w:t>
      </w:r>
      <w:r w:rsidRPr="00241762">
        <w:rPr>
          <w:rStyle w:val="FootnoteReference"/>
        </w:rPr>
        <w:footnoteReference w:id="18"/>
      </w:r>
      <w:r w:rsidRPr="00241762">
        <w:t xml:space="preserve"> and came</w:t>
      </w:r>
      <w:r w:rsidR="0004726E">
        <w:t> </w:t>
      </w:r>
      <w:r w:rsidRPr="00241762">
        <w:t>into effect progressively from 2008, with coverage since 2010 of all emissions except agricultural CH</w:t>
      </w:r>
      <w:r w:rsidRPr="00241762">
        <w:rPr>
          <w:vertAlign w:val="subscript"/>
        </w:rPr>
        <w:t>4</w:t>
      </w:r>
      <w:r w:rsidRPr="00241762">
        <w:t xml:space="preserve"> and N</w:t>
      </w:r>
      <w:r w:rsidRPr="00241762">
        <w:rPr>
          <w:vertAlign w:val="subscript"/>
        </w:rPr>
        <w:t>2</w:t>
      </w:r>
      <w:r w:rsidRPr="00241762">
        <w:t>O. Sectors under the scheme are required to report on their emissions and surrender units to the Government to cover their emissions. The Government supplies units for emissions removals through forestry and exports of emitting products from New Zealand. The emissions price is determined by the market, based on supply and demand of units, and this price creates a financial incentive for businesses that emit greenhouse gases to</w:t>
      </w:r>
      <w:r w:rsidR="0004726E">
        <w:t> </w:t>
      </w:r>
      <w:r w:rsidRPr="00241762">
        <w:t>invest in technologies and practices that reduce emissions.</w:t>
      </w:r>
    </w:p>
    <w:p w14:paraId="1C43B735" w14:textId="77777777" w:rsidR="00BB3E1E" w:rsidRPr="00241762" w:rsidRDefault="00BB3E1E" w:rsidP="00BB3E1E">
      <w:pPr>
        <w:pStyle w:val="BodyText"/>
      </w:pPr>
      <w:r w:rsidRPr="00241762">
        <w:t>An amendment to the Climate Change Response Act 2002</w:t>
      </w:r>
      <w:r w:rsidRPr="00241762">
        <w:rPr>
          <w:rStyle w:val="FootnoteReference"/>
        </w:rPr>
        <w:footnoteReference w:id="19"/>
      </w:r>
      <w:r w:rsidRPr="00241762">
        <w:t xml:space="preserve"> in 2020 made changes to the NZ</w:t>
      </w:r>
      <w:r>
        <w:t> </w:t>
      </w:r>
      <w:r w:rsidRPr="00241762">
        <w:t xml:space="preserve">ETS </w:t>
      </w:r>
      <w:r>
        <w:t>that</w:t>
      </w:r>
      <w:r w:rsidRPr="00241762">
        <w:t xml:space="preserve"> are now being implemented through regulation. The most significant changes are the introduction of auctioning and caps on the supply of emission units, which took effect from 1 January 2021. The fixed price option, or price ceiling, was increased for 2020 and removed from 1 January 2021. These changes took effect after 2020, so are not expected to affect the emissions and removals reported in this submission.</w:t>
      </w:r>
    </w:p>
    <w:bookmarkEnd w:id="111"/>
    <w:p w14:paraId="6CD8219A" w14:textId="77777777" w:rsidR="00BB3E1E" w:rsidRPr="00241762" w:rsidRDefault="00BB3E1E" w:rsidP="00BB3E1E">
      <w:pPr>
        <w:pStyle w:val="Heading3"/>
      </w:pPr>
      <w:r w:rsidRPr="00241762">
        <w:t xml:space="preserve">1.9.2 </w:t>
      </w:r>
      <w:r>
        <w:tab/>
      </w:r>
      <w:r w:rsidRPr="00241762">
        <w:t>Verification</w:t>
      </w:r>
    </w:p>
    <w:p w14:paraId="3A8DF75F" w14:textId="77777777" w:rsidR="00BB3E1E" w:rsidRPr="00241762" w:rsidRDefault="00BB3E1E" w:rsidP="00BB3E1E">
      <w:pPr>
        <w:pStyle w:val="BodyText"/>
      </w:pPr>
      <w:r w:rsidRPr="00241762">
        <w:t>Participants</w:t>
      </w:r>
      <w:r>
        <w:t xml:space="preserve"> in the</w:t>
      </w:r>
      <w:r w:rsidRPr="00241762">
        <w:t xml:space="preserve"> NZ ETS are required to record and report the GHG emissions for which they have obligations or the removals for which they can claim NZUs. Participants with obligations are also required to annually surrender NZUs to cover their emissions. How participants estimate their emissions is set out in the regulations prescribed under the Climate Change Response Act 2002. The schedule for sectors entering the NZ ETS is detailed in table 1.9.1.</w:t>
      </w:r>
    </w:p>
    <w:p w14:paraId="7357DD09" w14:textId="77777777" w:rsidR="00BB3E1E" w:rsidRPr="00241762" w:rsidRDefault="00BB3E1E" w:rsidP="00BB3E1E">
      <w:pPr>
        <w:pStyle w:val="BodyText"/>
      </w:pPr>
      <w:r w:rsidRPr="00241762">
        <w:t>For this submission, data collected for the NZ ETS were used to verify the inventory estimates for CO</w:t>
      </w:r>
      <w:r w:rsidRPr="00241762">
        <w:rPr>
          <w:vertAlign w:val="subscript"/>
        </w:rPr>
        <w:t>2</w:t>
      </w:r>
      <w:r w:rsidRPr="00241762">
        <w:t xml:space="preserve"> emissions in the Energy and IPPU sectors (see chapters 3 and 4 for further detail of the verification). Data from the NZ ETS were used as a primary source in the IPPU sector for the cement and lime industries, and in the Waste sector </w:t>
      </w:r>
      <w:r>
        <w:t>to</w:t>
      </w:r>
      <w:r w:rsidRPr="00241762">
        <w:t xml:space="preserve"> verif</w:t>
      </w:r>
      <w:r>
        <w:t>y</w:t>
      </w:r>
      <w:r w:rsidRPr="00241762">
        <w:t xml:space="preserve"> activity data on municipal waste disposal. Data reported under the Waste Minimisation Act 2008 have been used as the primary data (see chapter 7 for details).</w:t>
      </w:r>
    </w:p>
    <w:p w14:paraId="0CC7A732" w14:textId="77777777" w:rsidR="00BB3E1E" w:rsidRPr="00241762" w:rsidRDefault="00BB3E1E" w:rsidP="00BB3E1E">
      <w:pPr>
        <w:pStyle w:val="BodyText"/>
      </w:pPr>
      <w:r w:rsidRPr="00241762">
        <w:lastRenderedPageBreak/>
        <w:t>The NZ ETS data are also used for LULUCF and Kyoto Protocol reporting. Forest age, area and deforestation as reported under the NZ ETS are used for verifying the areas of pre-1990 planted forest, post-1989 forest and deforestation.</w:t>
      </w:r>
    </w:p>
    <w:p w14:paraId="6265E5A1" w14:textId="77777777" w:rsidR="00BB3E1E" w:rsidRPr="00241762" w:rsidRDefault="00BB3E1E" w:rsidP="00BB3E1E">
      <w:pPr>
        <w:pStyle w:val="Table"/>
      </w:pPr>
      <w:bookmarkStart w:id="112" w:name="_Toc99659207"/>
      <w:r w:rsidRPr="00241762">
        <w:t>Table 1.9.1</w:t>
      </w:r>
      <w:r w:rsidRPr="00241762">
        <w:tab/>
        <w:t>Dates for sector entry into the New Zealand Emissions Trading Scheme</w:t>
      </w:r>
      <w:bookmarkEnd w:id="112"/>
    </w:p>
    <w:tbl>
      <w:tblPr>
        <w:tblW w:w="8505" w:type="dxa"/>
        <w:tblInd w:w="113"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2304"/>
        <w:gridCol w:w="2192"/>
        <w:gridCol w:w="2317"/>
        <w:gridCol w:w="1692"/>
      </w:tblGrid>
      <w:tr w:rsidR="00BB3E1E" w:rsidRPr="00BB3E1E" w14:paraId="3D5F6F7F" w14:textId="77777777" w:rsidTr="00B05614">
        <w:trPr>
          <w:cantSplit/>
          <w:tblHeader/>
        </w:trPr>
        <w:tc>
          <w:tcPr>
            <w:tcW w:w="0" w:type="auto"/>
            <w:shd w:val="clear" w:color="auto" w:fill="1B556B"/>
            <w:tcMar>
              <w:top w:w="0" w:type="dxa"/>
              <w:left w:w="85" w:type="dxa"/>
              <w:bottom w:w="0" w:type="dxa"/>
              <w:right w:w="85" w:type="dxa"/>
            </w:tcMar>
            <w:vAlign w:val="center"/>
          </w:tcPr>
          <w:p w14:paraId="7A2741BA" w14:textId="77777777" w:rsidR="00BB3E1E" w:rsidRPr="00BB3E1E" w:rsidRDefault="00BB3E1E" w:rsidP="00462959">
            <w:pPr>
              <w:pStyle w:val="TableTextBold"/>
              <w:spacing w:before="40" w:after="40"/>
              <w:rPr>
                <w:color w:val="FFFFFF"/>
              </w:rPr>
            </w:pPr>
            <w:r w:rsidRPr="00BB3E1E">
              <w:rPr>
                <w:rFonts w:eastAsia="Calibri"/>
                <w:color w:val="FFFFFF"/>
              </w:rPr>
              <w:t>Sector</w:t>
            </w:r>
          </w:p>
        </w:tc>
        <w:tc>
          <w:tcPr>
            <w:tcW w:w="0" w:type="auto"/>
            <w:shd w:val="clear" w:color="auto" w:fill="1B556B"/>
            <w:tcMar>
              <w:top w:w="0" w:type="dxa"/>
              <w:left w:w="85" w:type="dxa"/>
              <w:bottom w:w="0" w:type="dxa"/>
              <w:right w:w="85" w:type="dxa"/>
            </w:tcMar>
            <w:vAlign w:val="center"/>
          </w:tcPr>
          <w:p w14:paraId="4F118085" w14:textId="77777777" w:rsidR="00BB3E1E" w:rsidRPr="00BB3E1E" w:rsidRDefault="00BB3E1E" w:rsidP="00462959">
            <w:pPr>
              <w:pStyle w:val="TableTextBold"/>
              <w:spacing w:before="40" w:after="40"/>
              <w:rPr>
                <w:color w:val="FFFFFF"/>
              </w:rPr>
            </w:pPr>
            <w:r w:rsidRPr="00BB3E1E">
              <w:rPr>
                <w:rFonts w:eastAsia="Calibri"/>
                <w:color w:val="FFFFFF"/>
              </w:rPr>
              <w:t>Voluntary reporting</w:t>
            </w:r>
          </w:p>
        </w:tc>
        <w:tc>
          <w:tcPr>
            <w:tcW w:w="0" w:type="auto"/>
            <w:shd w:val="clear" w:color="auto" w:fill="1B556B"/>
            <w:tcMar>
              <w:top w:w="0" w:type="dxa"/>
              <w:left w:w="85" w:type="dxa"/>
              <w:bottom w:w="0" w:type="dxa"/>
              <w:right w:w="85" w:type="dxa"/>
            </w:tcMar>
            <w:vAlign w:val="center"/>
          </w:tcPr>
          <w:p w14:paraId="6D7C4335" w14:textId="77777777" w:rsidR="00BB3E1E" w:rsidRPr="00BB3E1E" w:rsidRDefault="00BB3E1E" w:rsidP="00462959">
            <w:pPr>
              <w:pStyle w:val="TableTextBold"/>
              <w:spacing w:before="40" w:after="40"/>
              <w:rPr>
                <w:color w:val="FFFFFF"/>
              </w:rPr>
            </w:pPr>
            <w:r w:rsidRPr="00BB3E1E">
              <w:rPr>
                <w:rFonts w:eastAsia="Calibri"/>
                <w:color w:val="FFFFFF"/>
              </w:rPr>
              <w:t>Mandatory reporting</w:t>
            </w:r>
          </w:p>
        </w:tc>
        <w:tc>
          <w:tcPr>
            <w:tcW w:w="0" w:type="auto"/>
            <w:shd w:val="clear" w:color="auto" w:fill="1B556B"/>
            <w:tcMar>
              <w:top w:w="0" w:type="dxa"/>
              <w:left w:w="85" w:type="dxa"/>
              <w:bottom w:w="0" w:type="dxa"/>
              <w:right w:w="85" w:type="dxa"/>
            </w:tcMar>
            <w:vAlign w:val="center"/>
          </w:tcPr>
          <w:p w14:paraId="532B40BD" w14:textId="77777777" w:rsidR="00BB3E1E" w:rsidRPr="00BB3E1E" w:rsidRDefault="00BB3E1E" w:rsidP="00462959">
            <w:pPr>
              <w:pStyle w:val="TableTextBold"/>
              <w:spacing w:before="40" w:after="40"/>
              <w:rPr>
                <w:color w:val="FFFFFF"/>
              </w:rPr>
            </w:pPr>
            <w:r w:rsidRPr="00BB3E1E">
              <w:rPr>
                <w:rFonts w:eastAsia="Calibri"/>
                <w:color w:val="FFFFFF"/>
              </w:rPr>
              <w:t>Obligations</w:t>
            </w:r>
          </w:p>
        </w:tc>
      </w:tr>
      <w:tr w:rsidR="00BB3E1E" w:rsidRPr="0010735E" w14:paraId="515BDBC3" w14:textId="77777777" w:rsidTr="00B05614">
        <w:trPr>
          <w:cantSplit/>
          <w:trHeight w:val="283"/>
        </w:trPr>
        <w:tc>
          <w:tcPr>
            <w:tcW w:w="0" w:type="auto"/>
            <w:shd w:val="clear" w:color="auto" w:fill="FFFFFF"/>
            <w:tcMar>
              <w:top w:w="0" w:type="dxa"/>
              <w:left w:w="85" w:type="dxa"/>
              <w:bottom w:w="0" w:type="dxa"/>
              <w:right w:w="85" w:type="dxa"/>
            </w:tcMar>
            <w:vAlign w:val="center"/>
          </w:tcPr>
          <w:p w14:paraId="11453701" w14:textId="77777777" w:rsidR="00BB3E1E" w:rsidRPr="0010735E" w:rsidRDefault="00BB3E1E" w:rsidP="00462959">
            <w:pPr>
              <w:pStyle w:val="TableText"/>
              <w:spacing w:before="40" w:after="40"/>
            </w:pPr>
            <w:r w:rsidRPr="0010735E">
              <w:rPr>
                <w:rFonts w:eastAsia="Calibri"/>
              </w:rPr>
              <w:t>Forestry</w:t>
            </w:r>
          </w:p>
        </w:tc>
        <w:tc>
          <w:tcPr>
            <w:tcW w:w="0" w:type="auto"/>
            <w:shd w:val="clear" w:color="auto" w:fill="FFFFFF"/>
            <w:tcMar>
              <w:top w:w="0" w:type="dxa"/>
              <w:left w:w="85" w:type="dxa"/>
              <w:bottom w:w="0" w:type="dxa"/>
              <w:right w:w="85" w:type="dxa"/>
            </w:tcMar>
            <w:vAlign w:val="center"/>
          </w:tcPr>
          <w:p w14:paraId="275BC901" w14:textId="77777777" w:rsidR="00BB3E1E" w:rsidRPr="0010735E" w:rsidRDefault="00BB3E1E" w:rsidP="00462959">
            <w:pPr>
              <w:pStyle w:val="TableText"/>
              <w:spacing w:before="40" w:after="40"/>
            </w:pPr>
            <w:r w:rsidRPr="0010735E">
              <w:rPr>
                <w:rFonts w:eastAsia="Calibri"/>
              </w:rPr>
              <w:t>–</w:t>
            </w:r>
          </w:p>
        </w:tc>
        <w:tc>
          <w:tcPr>
            <w:tcW w:w="0" w:type="auto"/>
            <w:shd w:val="clear" w:color="auto" w:fill="FFFFFF"/>
            <w:tcMar>
              <w:top w:w="0" w:type="dxa"/>
              <w:left w:w="85" w:type="dxa"/>
              <w:bottom w:w="0" w:type="dxa"/>
              <w:right w:w="85" w:type="dxa"/>
            </w:tcMar>
            <w:vAlign w:val="center"/>
          </w:tcPr>
          <w:p w14:paraId="073AE237" w14:textId="77777777" w:rsidR="00BB3E1E" w:rsidRPr="0010735E" w:rsidRDefault="00BB3E1E" w:rsidP="00462959">
            <w:pPr>
              <w:pStyle w:val="TableText"/>
              <w:spacing w:before="40" w:after="40"/>
            </w:pPr>
            <w:r w:rsidRPr="0010735E">
              <w:rPr>
                <w:rFonts w:eastAsia="Calibri"/>
              </w:rPr>
              <w:t>–</w:t>
            </w:r>
          </w:p>
        </w:tc>
        <w:tc>
          <w:tcPr>
            <w:tcW w:w="0" w:type="auto"/>
            <w:shd w:val="clear" w:color="auto" w:fill="FFFFFF"/>
            <w:tcMar>
              <w:top w:w="0" w:type="dxa"/>
              <w:left w:w="85" w:type="dxa"/>
              <w:bottom w:w="0" w:type="dxa"/>
              <w:right w:w="85" w:type="dxa"/>
            </w:tcMar>
            <w:vAlign w:val="center"/>
          </w:tcPr>
          <w:p w14:paraId="790509F4" w14:textId="77777777" w:rsidR="00BB3E1E" w:rsidRPr="0010735E" w:rsidRDefault="00BB3E1E" w:rsidP="00462959">
            <w:pPr>
              <w:pStyle w:val="TableText"/>
              <w:spacing w:before="40" w:after="40"/>
            </w:pPr>
            <w:r w:rsidRPr="0010735E">
              <w:rPr>
                <w:rFonts w:eastAsia="Calibri"/>
              </w:rPr>
              <w:t>1 January 2008</w:t>
            </w:r>
          </w:p>
        </w:tc>
      </w:tr>
      <w:tr w:rsidR="00BB3E1E" w:rsidRPr="0010735E" w14:paraId="360BE252" w14:textId="77777777" w:rsidTr="00B05614">
        <w:trPr>
          <w:cantSplit/>
          <w:trHeight w:val="283"/>
        </w:trPr>
        <w:tc>
          <w:tcPr>
            <w:tcW w:w="0" w:type="auto"/>
            <w:shd w:val="clear" w:color="auto" w:fill="FFFFFF"/>
            <w:tcMar>
              <w:top w:w="0" w:type="dxa"/>
              <w:left w:w="85" w:type="dxa"/>
              <w:bottom w:w="0" w:type="dxa"/>
              <w:right w:w="85" w:type="dxa"/>
            </w:tcMar>
            <w:vAlign w:val="center"/>
          </w:tcPr>
          <w:p w14:paraId="4C0AA713" w14:textId="77777777" w:rsidR="00BB3E1E" w:rsidRPr="0010735E" w:rsidRDefault="00BB3E1E" w:rsidP="00462959">
            <w:pPr>
              <w:pStyle w:val="TableText"/>
              <w:spacing w:before="40" w:after="40"/>
            </w:pPr>
            <w:r w:rsidRPr="0010735E">
              <w:rPr>
                <w:rFonts w:eastAsia="Calibri"/>
              </w:rPr>
              <w:t>Transport fuels</w:t>
            </w:r>
          </w:p>
        </w:tc>
        <w:tc>
          <w:tcPr>
            <w:tcW w:w="0" w:type="auto"/>
            <w:shd w:val="clear" w:color="auto" w:fill="FFFFFF"/>
            <w:tcMar>
              <w:top w:w="0" w:type="dxa"/>
              <w:left w:w="85" w:type="dxa"/>
              <w:bottom w:w="0" w:type="dxa"/>
              <w:right w:w="85" w:type="dxa"/>
            </w:tcMar>
            <w:vAlign w:val="center"/>
          </w:tcPr>
          <w:p w14:paraId="4FB85892" w14:textId="77777777" w:rsidR="00BB3E1E" w:rsidRPr="0010735E" w:rsidRDefault="00BB3E1E" w:rsidP="00462959">
            <w:pPr>
              <w:pStyle w:val="TableText"/>
              <w:spacing w:before="40" w:after="40"/>
            </w:pPr>
            <w:r w:rsidRPr="0010735E">
              <w:rPr>
                <w:rFonts w:eastAsia="Calibri"/>
              </w:rPr>
              <w:t>–</w:t>
            </w:r>
          </w:p>
        </w:tc>
        <w:tc>
          <w:tcPr>
            <w:tcW w:w="0" w:type="auto"/>
            <w:shd w:val="clear" w:color="auto" w:fill="FFFFFF"/>
            <w:tcMar>
              <w:top w:w="0" w:type="dxa"/>
              <w:left w:w="85" w:type="dxa"/>
              <w:bottom w:w="0" w:type="dxa"/>
              <w:right w:w="85" w:type="dxa"/>
            </w:tcMar>
            <w:vAlign w:val="center"/>
          </w:tcPr>
          <w:p w14:paraId="6E2ABC9E" w14:textId="77777777" w:rsidR="00BB3E1E" w:rsidRPr="0010735E" w:rsidRDefault="00BB3E1E" w:rsidP="00462959">
            <w:pPr>
              <w:pStyle w:val="TableText"/>
              <w:spacing w:before="40" w:after="40"/>
            </w:pPr>
            <w:r w:rsidRPr="0010735E">
              <w:rPr>
                <w:rFonts w:eastAsia="Calibri"/>
              </w:rPr>
              <w:t>1 January 2010</w:t>
            </w:r>
          </w:p>
        </w:tc>
        <w:tc>
          <w:tcPr>
            <w:tcW w:w="0" w:type="auto"/>
            <w:shd w:val="clear" w:color="auto" w:fill="FFFFFF"/>
            <w:tcMar>
              <w:top w:w="0" w:type="dxa"/>
              <w:left w:w="85" w:type="dxa"/>
              <w:bottom w:w="0" w:type="dxa"/>
              <w:right w:w="85" w:type="dxa"/>
            </w:tcMar>
            <w:vAlign w:val="center"/>
          </w:tcPr>
          <w:p w14:paraId="7892E298" w14:textId="77777777" w:rsidR="00BB3E1E" w:rsidRPr="0010735E" w:rsidRDefault="00BB3E1E" w:rsidP="00462959">
            <w:pPr>
              <w:pStyle w:val="TableText"/>
              <w:spacing w:before="40" w:after="40"/>
            </w:pPr>
            <w:r w:rsidRPr="0010735E">
              <w:rPr>
                <w:rFonts w:eastAsia="Calibri"/>
              </w:rPr>
              <w:t>1 July 2010</w:t>
            </w:r>
          </w:p>
        </w:tc>
      </w:tr>
      <w:tr w:rsidR="00BB3E1E" w:rsidRPr="0010735E" w14:paraId="30741562" w14:textId="77777777" w:rsidTr="00B05614">
        <w:trPr>
          <w:cantSplit/>
          <w:trHeight w:val="283"/>
        </w:trPr>
        <w:tc>
          <w:tcPr>
            <w:tcW w:w="0" w:type="auto"/>
            <w:shd w:val="clear" w:color="auto" w:fill="FFFFFF"/>
            <w:tcMar>
              <w:top w:w="0" w:type="dxa"/>
              <w:left w:w="85" w:type="dxa"/>
              <w:bottom w:w="0" w:type="dxa"/>
              <w:right w:w="85" w:type="dxa"/>
            </w:tcMar>
            <w:vAlign w:val="center"/>
          </w:tcPr>
          <w:p w14:paraId="00F63C6F" w14:textId="77777777" w:rsidR="00BB3E1E" w:rsidRPr="0010735E" w:rsidRDefault="00BB3E1E" w:rsidP="00462959">
            <w:pPr>
              <w:pStyle w:val="TableText"/>
              <w:spacing w:before="40" w:after="40"/>
            </w:pPr>
            <w:r w:rsidRPr="0010735E">
              <w:rPr>
                <w:rFonts w:eastAsia="Calibri"/>
              </w:rPr>
              <w:t>Electricity production</w:t>
            </w:r>
          </w:p>
        </w:tc>
        <w:tc>
          <w:tcPr>
            <w:tcW w:w="0" w:type="auto"/>
            <w:shd w:val="clear" w:color="auto" w:fill="FFFFFF"/>
            <w:tcMar>
              <w:top w:w="0" w:type="dxa"/>
              <w:left w:w="85" w:type="dxa"/>
              <w:bottom w:w="0" w:type="dxa"/>
              <w:right w:w="85" w:type="dxa"/>
            </w:tcMar>
            <w:vAlign w:val="center"/>
          </w:tcPr>
          <w:p w14:paraId="01791D3C" w14:textId="77777777" w:rsidR="00BB3E1E" w:rsidRPr="0010735E" w:rsidRDefault="00BB3E1E" w:rsidP="00462959">
            <w:pPr>
              <w:pStyle w:val="TableText"/>
              <w:spacing w:before="40" w:after="40"/>
            </w:pPr>
            <w:r w:rsidRPr="0010735E">
              <w:rPr>
                <w:rFonts w:eastAsia="Calibri"/>
              </w:rPr>
              <w:t>–</w:t>
            </w:r>
          </w:p>
        </w:tc>
        <w:tc>
          <w:tcPr>
            <w:tcW w:w="0" w:type="auto"/>
            <w:shd w:val="clear" w:color="auto" w:fill="FFFFFF"/>
            <w:tcMar>
              <w:top w:w="0" w:type="dxa"/>
              <w:left w:w="85" w:type="dxa"/>
              <w:bottom w:w="0" w:type="dxa"/>
              <w:right w:w="85" w:type="dxa"/>
            </w:tcMar>
            <w:vAlign w:val="center"/>
          </w:tcPr>
          <w:p w14:paraId="1E632F09" w14:textId="77777777" w:rsidR="00BB3E1E" w:rsidRPr="0010735E" w:rsidRDefault="00BB3E1E" w:rsidP="00462959">
            <w:pPr>
              <w:pStyle w:val="TableText"/>
              <w:spacing w:before="40" w:after="40"/>
            </w:pPr>
            <w:r w:rsidRPr="0010735E">
              <w:rPr>
                <w:rFonts w:eastAsia="Calibri"/>
              </w:rPr>
              <w:t>1 January 2010</w:t>
            </w:r>
          </w:p>
        </w:tc>
        <w:tc>
          <w:tcPr>
            <w:tcW w:w="0" w:type="auto"/>
            <w:shd w:val="clear" w:color="auto" w:fill="FFFFFF"/>
            <w:tcMar>
              <w:top w:w="0" w:type="dxa"/>
              <w:left w:w="85" w:type="dxa"/>
              <w:bottom w:w="0" w:type="dxa"/>
              <w:right w:w="85" w:type="dxa"/>
            </w:tcMar>
            <w:vAlign w:val="center"/>
          </w:tcPr>
          <w:p w14:paraId="5E103FFF" w14:textId="77777777" w:rsidR="00BB3E1E" w:rsidRPr="0010735E" w:rsidRDefault="00BB3E1E" w:rsidP="00462959">
            <w:pPr>
              <w:pStyle w:val="TableText"/>
              <w:spacing w:before="40" w:after="40"/>
            </w:pPr>
            <w:r w:rsidRPr="0010735E">
              <w:rPr>
                <w:rFonts w:eastAsia="Calibri"/>
              </w:rPr>
              <w:t>1 July 2010</w:t>
            </w:r>
          </w:p>
        </w:tc>
      </w:tr>
      <w:tr w:rsidR="00BB3E1E" w:rsidRPr="0010735E" w14:paraId="3A281631" w14:textId="77777777" w:rsidTr="00B05614">
        <w:trPr>
          <w:cantSplit/>
          <w:trHeight w:val="283"/>
        </w:trPr>
        <w:tc>
          <w:tcPr>
            <w:tcW w:w="0" w:type="auto"/>
            <w:shd w:val="clear" w:color="auto" w:fill="FFFFFF"/>
            <w:tcMar>
              <w:top w:w="0" w:type="dxa"/>
              <w:left w:w="85" w:type="dxa"/>
              <w:bottom w:w="0" w:type="dxa"/>
              <w:right w:w="85" w:type="dxa"/>
            </w:tcMar>
            <w:vAlign w:val="center"/>
          </w:tcPr>
          <w:p w14:paraId="7065166F" w14:textId="77777777" w:rsidR="00BB3E1E" w:rsidRPr="0010735E" w:rsidRDefault="00BB3E1E" w:rsidP="00462959">
            <w:pPr>
              <w:pStyle w:val="TableText"/>
              <w:spacing w:before="40" w:after="40"/>
            </w:pPr>
            <w:r w:rsidRPr="0010735E">
              <w:rPr>
                <w:rFonts w:eastAsia="Calibri"/>
              </w:rPr>
              <w:t>IPPU</w:t>
            </w:r>
          </w:p>
        </w:tc>
        <w:tc>
          <w:tcPr>
            <w:tcW w:w="0" w:type="auto"/>
            <w:shd w:val="clear" w:color="auto" w:fill="FFFFFF"/>
            <w:tcMar>
              <w:top w:w="0" w:type="dxa"/>
              <w:left w:w="85" w:type="dxa"/>
              <w:bottom w:w="0" w:type="dxa"/>
              <w:right w:w="85" w:type="dxa"/>
            </w:tcMar>
            <w:vAlign w:val="center"/>
          </w:tcPr>
          <w:p w14:paraId="711A8540" w14:textId="77777777" w:rsidR="00BB3E1E" w:rsidRPr="0010735E" w:rsidRDefault="00BB3E1E" w:rsidP="00462959">
            <w:pPr>
              <w:pStyle w:val="TableText"/>
              <w:spacing w:before="40" w:after="40"/>
            </w:pPr>
            <w:r w:rsidRPr="0010735E">
              <w:rPr>
                <w:rFonts w:eastAsia="Calibri"/>
              </w:rPr>
              <w:t>–</w:t>
            </w:r>
          </w:p>
        </w:tc>
        <w:tc>
          <w:tcPr>
            <w:tcW w:w="0" w:type="auto"/>
            <w:shd w:val="clear" w:color="auto" w:fill="FFFFFF"/>
            <w:tcMar>
              <w:top w:w="0" w:type="dxa"/>
              <w:left w:w="85" w:type="dxa"/>
              <w:bottom w:w="0" w:type="dxa"/>
              <w:right w:w="85" w:type="dxa"/>
            </w:tcMar>
            <w:vAlign w:val="center"/>
          </w:tcPr>
          <w:p w14:paraId="2176DBDE" w14:textId="77777777" w:rsidR="00BB3E1E" w:rsidRPr="0010735E" w:rsidRDefault="00BB3E1E" w:rsidP="00462959">
            <w:pPr>
              <w:pStyle w:val="TableText"/>
              <w:spacing w:before="40" w:after="40"/>
            </w:pPr>
            <w:r w:rsidRPr="0010735E">
              <w:rPr>
                <w:rFonts w:eastAsia="Calibri"/>
              </w:rPr>
              <w:t>1 January 2010</w:t>
            </w:r>
          </w:p>
        </w:tc>
        <w:tc>
          <w:tcPr>
            <w:tcW w:w="0" w:type="auto"/>
            <w:shd w:val="clear" w:color="auto" w:fill="FFFFFF"/>
            <w:tcMar>
              <w:top w:w="0" w:type="dxa"/>
              <w:left w:w="85" w:type="dxa"/>
              <w:bottom w:w="0" w:type="dxa"/>
              <w:right w:w="85" w:type="dxa"/>
            </w:tcMar>
            <w:vAlign w:val="center"/>
          </w:tcPr>
          <w:p w14:paraId="67DD919D" w14:textId="77777777" w:rsidR="00BB3E1E" w:rsidRPr="0010735E" w:rsidRDefault="00BB3E1E" w:rsidP="00462959">
            <w:pPr>
              <w:pStyle w:val="TableText"/>
              <w:spacing w:before="40" w:after="40"/>
            </w:pPr>
            <w:r w:rsidRPr="0010735E">
              <w:rPr>
                <w:rFonts w:eastAsia="Calibri"/>
              </w:rPr>
              <w:t>1 July 2010</w:t>
            </w:r>
          </w:p>
        </w:tc>
      </w:tr>
      <w:tr w:rsidR="00BB3E1E" w:rsidRPr="0010735E" w14:paraId="51384FFE" w14:textId="77777777" w:rsidTr="00B05614">
        <w:trPr>
          <w:cantSplit/>
          <w:trHeight w:val="283"/>
        </w:trPr>
        <w:tc>
          <w:tcPr>
            <w:tcW w:w="0" w:type="auto"/>
            <w:shd w:val="clear" w:color="auto" w:fill="FFFFFF"/>
            <w:tcMar>
              <w:top w:w="0" w:type="dxa"/>
              <w:left w:w="85" w:type="dxa"/>
              <w:bottom w:w="0" w:type="dxa"/>
              <w:right w:w="85" w:type="dxa"/>
            </w:tcMar>
            <w:vAlign w:val="center"/>
          </w:tcPr>
          <w:p w14:paraId="2EE82DB1" w14:textId="77777777" w:rsidR="00BB3E1E" w:rsidRPr="0010735E" w:rsidRDefault="00BB3E1E" w:rsidP="00462959">
            <w:pPr>
              <w:pStyle w:val="TableText"/>
              <w:spacing w:before="40" w:after="40"/>
            </w:pPr>
            <w:r w:rsidRPr="0010735E">
              <w:rPr>
                <w:rFonts w:eastAsia="Calibri"/>
              </w:rPr>
              <w:t>Synthetic gases</w:t>
            </w:r>
          </w:p>
        </w:tc>
        <w:tc>
          <w:tcPr>
            <w:tcW w:w="0" w:type="auto"/>
            <w:shd w:val="clear" w:color="auto" w:fill="FFFFFF"/>
            <w:tcMar>
              <w:top w:w="0" w:type="dxa"/>
              <w:left w:w="85" w:type="dxa"/>
              <w:bottom w:w="0" w:type="dxa"/>
              <w:right w:w="85" w:type="dxa"/>
            </w:tcMar>
            <w:vAlign w:val="center"/>
          </w:tcPr>
          <w:p w14:paraId="1C2DBB9D" w14:textId="77777777" w:rsidR="00BB3E1E" w:rsidRPr="0010735E" w:rsidRDefault="00BB3E1E" w:rsidP="00462959">
            <w:pPr>
              <w:pStyle w:val="TableText"/>
              <w:spacing w:before="40" w:after="40"/>
            </w:pPr>
            <w:r w:rsidRPr="0010735E">
              <w:rPr>
                <w:rFonts w:eastAsia="Calibri"/>
              </w:rPr>
              <w:t>1 January 2011</w:t>
            </w:r>
          </w:p>
        </w:tc>
        <w:tc>
          <w:tcPr>
            <w:tcW w:w="0" w:type="auto"/>
            <w:shd w:val="clear" w:color="auto" w:fill="FFFFFF"/>
            <w:tcMar>
              <w:top w:w="0" w:type="dxa"/>
              <w:left w:w="85" w:type="dxa"/>
              <w:bottom w:w="0" w:type="dxa"/>
              <w:right w:w="85" w:type="dxa"/>
            </w:tcMar>
            <w:vAlign w:val="center"/>
          </w:tcPr>
          <w:p w14:paraId="2183477C" w14:textId="77777777" w:rsidR="00BB3E1E" w:rsidRPr="0010735E" w:rsidRDefault="00BB3E1E" w:rsidP="00462959">
            <w:pPr>
              <w:pStyle w:val="TableText"/>
              <w:spacing w:before="40" w:after="40"/>
            </w:pPr>
            <w:r w:rsidRPr="0010735E">
              <w:rPr>
                <w:rFonts w:eastAsia="Calibri"/>
              </w:rPr>
              <w:t>1 January 2012</w:t>
            </w:r>
          </w:p>
        </w:tc>
        <w:tc>
          <w:tcPr>
            <w:tcW w:w="0" w:type="auto"/>
            <w:shd w:val="clear" w:color="auto" w:fill="FFFFFF"/>
            <w:tcMar>
              <w:top w:w="0" w:type="dxa"/>
              <w:left w:w="85" w:type="dxa"/>
              <w:bottom w:w="0" w:type="dxa"/>
              <w:right w:w="85" w:type="dxa"/>
            </w:tcMar>
            <w:vAlign w:val="center"/>
          </w:tcPr>
          <w:p w14:paraId="445A2488" w14:textId="77777777" w:rsidR="00BB3E1E" w:rsidRPr="0010735E" w:rsidRDefault="00BB3E1E" w:rsidP="00462959">
            <w:pPr>
              <w:pStyle w:val="TableText"/>
              <w:spacing w:before="40" w:after="40"/>
            </w:pPr>
            <w:r w:rsidRPr="0010735E">
              <w:rPr>
                <w:rFonts w:eastAsia="Calibri"/>
              </w:rPr>
              <w:t>1 January 2013</w:t>
            </w:r>
          </w:p>
        </w:tc>
      </w:tr>
      <w:tr w:rsidR="00BB3E1E" w:rsidRPr="0010735E" w14:paraId="06C69D4A" w14:textId="77777777" w:rsidTr="00B05614">
        <w:trPr>
          <w:cantSplit/>
          <w:trHeight w:val="283"/>
        </w:trPr>
        <w:tc>
          <w:tcPr>
            <w:tcW w:w="0" w:type="auto"/>
            <w:shd w:val="clear" w:color="auto" w:fill="FFFFFF"/>
            <w:tcMar>
              <w:top w:w="0" w:type="dxa"/>
              <w:left w:w="85" w:type="dxa"/>
              <w:bottom w:w="0" w:type="dxa"/>
              <w:right w:w="85" w:type="dxa"/>
            </w:tcMar>
            <w:vAlign w:val="center"/>
          </w:tcPr>
          <w:p w14:paraId="7861B443" w14:textId="77777777" w:rsidR="00BB3E1E" w:rsidRPr="0010735E" w:rsidRDefault="00BB3E1E" w:rsidP="00462959">
            <w:pPr>
              <w:pStyle w:val="TableText"/>
              <w:spacing w:before="40" w:after="40"/>
            </w:pPr>
            <w:r w:rsidRPr="0010735E">
              <w:rPr>
                <w:rFonts w:eastAsia="Calibri"/>
              </w:rPr>
              <w:t>Waste</w:t>
            </w:r>
          </w:p>
        </w:tc>
        <w:tc>
          <w:tcPr>
            <w:tcW w:w="0" w:type="auto"/>
            <w:shd w:val="clear" w:color="auto" w:fill="FFFFFF"/>
            <w:tcMar>
              <w:top w:w="0" w:type="dxa"/>
              <w:left w:w="85" w:type="dxa"/>
              <w:bottom w:w="0" w:type="dxa"/>
              <w:right w:w="85" w:type="dxa"/>
            </w:tcMar>
            <w:vAlign w:val="center"/>
          </w:tcPr>
          <w:p w14:paraId="574D6B3F" w14:textId="77777777" w:rsidR="00BB3E1E" w:rsidRPr="0010735E" w:rsidRDefault="00BB3E1E" w:rsidP="00462959">
            <w:pPr>
              <w:pStyle w:val="TableText"/>
              <w:spacing w:before="40" w:after="40"/>
            </w:pPr>
            <w:r w:rsidRPr="0010735E">
              <w:rPr>
                <w:rFonts w:eastAsia="Calibri"/>
              </w:rPr>
              <w:t>1 January 2011</w:t>
            </w:r>
          </w:p>
        </w:tc>
        <w:tc>
          <w:tcPr>
            <w:tcW w:w="0" w:type="auto"/>
            <w:shd w:val="clear" w:color="auto" w:fill="FFFFFF"/>
            <w:tcMar>
              <w:top w:w="0" w:type="dxa"/>
              <w:left w:w="85" w:type="dxa"/>
              <w:bottom w:w="0" w:type="dxa"/>
              <w:right w:w="85" w:type="dxa"/>
            </w:tcMar>
            <w:vAlign w:val="center"/>
          </w:tcPr>
          <w:p w14:paraId="501821EF" w14:textId="77777777" w:rsidR="00BB3E1E" w:rsidRPr="0010735E" w:rsidRDefault="00BB3E1E" w:rsidP="00462959">
            <w:pPr>
              <w:pStyle w:val="TableText"/>
              <w:spacing w:before="40" w:after="40"/>
            </w:pPr>
            <w:r w:rsidRPr="0010735E">
              <w:rPr>
                <w:rFonts w:eastAsia="Calibri"/>
              </w:rPr>
              <w:t>1 January 2012</w:t>
            </w:r>
          </w:p>
        </w:tc>
        <w:tc>
          <w:tcPr>
            <w:tcW w:w="0" w:type="auto"/>
            <w:shd w:val="clear" w:color="auto" w:fill="FFFFFF"/>
            <w:tcMar>
              <w:top w:w="0" w:type="dxa"/>
              <w:left w:w="85" w:type="dxa"/>
              <w:bottom w:w="0" w:type="dxa"/>
              <w:right w:w="85" w:type="dxa"/>
            </w:tcMar>
            <w:vAlign w:val="center"/>
          </w:tcPr>
          <w:p w14:paraId="48DAA3B1" w14:textId="77777777" w:rsidR="00BB3E1E" w:rsidRPr="0010735E" w:rsidRDefault="00BB3E1E" w:rsidP="00462959">
            <w:pPr>
              <w:pStyle w:val="TableText"/>
              <w:spacing w:before="40" w:after="40"/>
            </w:pPr>
            <w:r w:rsidRPr="0010735E">
              <w:rPr>
                <w:rFonts w:eastAsia="Calibri"/>
              </w:rPr>
              <w:t>1 January 2013</w:t>
            </w:r>
          </w:p>
        </w:tc>
      </w:tr>
      <w:tr w:rsidR="00BB3E1E" w:rsidRPr="0010735E" w14:paraId="096DBFBD" w14:textId="77777777" w:rsidTr="00B05614">
        <w:trPr>
          <w:cantSplit/>
          <w:trHeight w:val="283"/>
        </w:trPr>
        <w:tc>
          <w:tcPr>
            <w:tcW w:w="0" w:type="auto"/>
            <w:shd w:val="clear" w:color="auto" w:fill="FFFFFF"/>
            <w:tcMar>
              <w:top w:w="0" w:type="dxa"/>
              <w:left w:w="85" w:type="dxa"/>
              <w:bottom w:w="0" w:type="dxa"/>
              <w:right w:w="85" w:type="dxa"/>
            </w:tcMar>
            <w:vAlign w:val="center"/>
          </w:tcPr>
          <w:p w14:paraId="0C8CC726" w14:textId="77777777" w:rsidR="00BB3E1E" w:rsidRPr="0010735E" w:rsidRDefault="00BB3E1E" w:rsidP="00462959">
            <w:pPr>
              <w:pStyle w:val="TableText"/>
              <w:spacing w:before="40" w:after="40"/>
            </w:pPr>
            <w:r w:rsidRPr="0010735E">
              <w:rPr>
                <w:rFonts w:eastAsia="Calibri"/>
              </w:rPr>
              <w:t>Agriculture</w:t>
            </w:r>
          </w:p>
        </w:tc>
        <w:tc>
          <w:tcPr>
            <w:tcW w:w="0" w:type="auto"/>
            <w:shd w:val="clear" w:color="auto" w:fill="FFFFFF"/>
            <w:tcMar>
              <w:top w:w="0" w:type="dxa"/>
              <w:left w:w="85" w:type="dxa"/>
              <w:bottom w:w="0" w:type="dxa"/>
              <w:right w:w="85" w:type="dxa"/>
            </w:tcMar>
            <w:vAlign w:val="center"/>
          </w:tcPr>
          <w:p w14:paraId="0FC0B72D" w14:textId="77777777" w:rsidR="00BB3E1E" w:rsidRPr="0010735E" w:rsidRDefault="00BB3E1E" w:rsidP="00462959">
            <w:pPr>
              <w:pStyle w:val="TableText"/>
              <w:spacing w:before="40" w:after="40"/>
            </w:pPr>
            <w:r w:rsidRPr="0010735E">
              <w:rPr>
                <w:rFonts w:eastAsia="Calibri"/>
              </w:rPr>
              <w:t>1 January 2011</w:t>
            </w:r>
          </w:p>
        </w:tc>
        <w:tc>
          <w:tcPr>
            <w:tcW w:w="0" w:type="auto"/>
            <w:shd w:val="clear" w:color="auto" w:fill="FFFFFF"/>
            <w:tcMar>
              <w:top w:w="0" w:type="dxa"/>
              <w:left w:w="85" w:type="dxa"/>
              <w:bottom w:w="0" w:type="dxa"/>
              <w:right w:w="85" w:type="dxa"/>
            </w:tcMar>
            <w:vAlign w:val="center"/>
          </w:tcPr>
          <w:p w14:paraId="6F3FFFED" w14:textId="77777777" w:rsidR="00BB3E1E" w:rsidRPr="0010735E" w:rsidRDefault="00BB3E1E" w:rsidP="00462959">
            <w:pPr>
              <w:pStyle w:val="TableText"/>
              <w:spacing w:before="40" w:after="40"/>
            </w:pPr>
            <w:r w:rsidRPr="0010735E">
              <w:rPr>
                <w:rFonts w:eastAsia="Calibri"/>
              </w:rPr>
              <w:t>1 January 2012</w:t>
            </w:r>
          </w:p>
        </w:tc>
        <w:tc>
          <w:tcPr>
            <w:tcW w:w="0" w:type="auto"/>
            <w:shd w:val="clear" w:color="auto" w:fill="FFFFFF"/>
            <w:tcMar>
              <w:top w:w="0" w:type="dxa"/>
              <w:left w:w="85" w:type="dxa"/>
              <w:bottom w:w="0" w:type="dxa"/>
              <w:right w:w="85" w:type="dxa"/>
            </w:tcMar>
            <w:vAlign w:val="center"/>
          </w:tcPr>
          <w:p w14:paraId="054A2B5A" w14:textId="77777777" w:rsidR="00BB3E1E" w:rsidRPr="0010735E" w:rsidRDefault="00BB3E1E" w:rsidP="00462959">
            <w:pPr>
              <w:pStyle w:val="TableText"/>
              <w:spacing w:before="40" w:after="40"/>
            </w:pPr>
            <w:r w:rsidRPr="0010735E">
              <w:rPr>
                <w:rFonts w:eastAsia="Calibri"/>
              </w:rPr>
              <w:t>–</w:t>
            </w:r>
          </w:p>
        </w:tc>
      </w:tr>
    </w:tbl>
    <w:p w14:paraId="5261774C" w14:textId="77777777" w:rsidR="00BB3E1E" w:rsidRPr="00241762" w:rsidRDefault="00BB3E1E" w:rsidP="00BB3E1E">
      <w:pPr>
        <w:pStyle w:val="Heading2"/>
        <w:spacing w:before="440"/>
      </w:pPr>
      <w:bookmarkStart w:id="113" w:name="_Toc99659104"/>
      <w:bookmarkStart w:id="114" w:name="improvements-introduced"/>
      <w:bookmarkEnd w:id="110"/>
      <w:r w:rsidRPr="00241762">
        <w:t xml:space="preserve">1.10 </w:t>
      </w:r>
      <w:r>
        <w:tab/>
      </w:r>
      <w:r w:rsidRPr="00241762">
        <w:t>Improvements introduced</w:t>
      </w:r>
      <w:bookmarkEnd w:id="113"/>
    </w:p>
    <w:p w14:paraId="002A7CF3" w14:textId="4EDF8EC1" w:rsidR="00BB3E1E" w:rsidRPr="00241762" w:rsidRDefault="00BB3E1E" w:rsidP="00BB3E1E">
      <w:pPr>
        <w:pStyle w:val="BodyText"/>
      </w:pPr>
      <w:r w:rsidRPr="00241762">
        <w:t>An important part of producing the inventory is improving the accuracy of estimates for emissions and removals. In this inventory, a number of recalculations have been made to the</w:t>
      </w:r>
      <w:r w:rsidR="0004726E">
        <w:t> </w:t>
      </w:r>
      <w:r w:rsidRPr="00241762">
        <w:t>estimates, due to improvements in:</w:t>
      </w:r>
    </w:p>
    <w:p w14:paraId="79081DB0" w14:textId="77777777" w:rsidR="00BB3E1E" w:rsidRPr="00EC58A5" w:rsidRDefault="00BB3E1E" w:rsidP="00BB3E1E">
      <w:pPr>
        <w:pStyle w:val="Bullet"/>
        <w:tabs>
          <w:tab w:val="num" w:pos="567"/>
        </w:tabs>
      </w:pPr>
      <w:r w:rsidRPr="00241762">
        <w:t>activity d</w:t>
      </w:r>
      <w:r w:rsidRPr="00EC58A5">
        <w:t>ata</w:t>
      </w:r>
    </w:p>
    <w:p w14:paraId="4767D79C" w14:textId="77777777" w:rsidR="00BB3E1E" w:rsidRPr="00EC58A5" w:rsidRDefault="00BB3E1E" w:rsidP="00BB3E1E">
      <w:pPr>
        <w:pStyle w:val="Bullet"/>
        <w:tabs>
          <w:tab w:val="num" w:pos="567"/>
        </w:tabs>
      </w:pPr>
      <w:r w:rsidRPr="00EC58A5">
        <w:t>emission factors and/or other parameters</w:t>
      </w:r>
    </w:p>
    <w:p w14:paraId="75C74878" w14:textId="77777777" w:rsidR="00BB3E1E" w:rsidRPr="00EC58A5" w:rsidRDefault="00BB3E1E" w:rsidP="00BB3E1E">
      <w:pPr>
        <w:pStyle w:val="Bullet"/>
        <w:tabs>
          <w:tab w:val="num" w:pos="567"/>
        </w:tabs>
      </w:pPr>
      <w:r w:rsidRPr="00EC58A5">
        <w:t>methodologies</w:t>
      </w:r>
    </w:p>
    <w:p w14:paraId="79342AC3" w14:textId="77777777" w:rsidR="00BB3E1E" w:rsidRPr="00241762" w:rsidRDefault="00BB3E1E" w:rsidP="00BB3E1E">
      <w:pPr>
        <w:pStyle w:val="Bullet"/>
        <w:tabs>
          <w:tab w:val="num" w:pos="567"/>
        </w:tabs>
      </w:pPr>
      <w:r w:rsidRPr="00EC58A5">
        <w:t>availability of activity data and emission factors for sources that were previously reported as ‘NE’ be</w:t>
      </w:r>
      <w:r w:rsidRPr="00241762">
        <w:t>cause of insufficient data.</w:t>
      </w:r>
    </w:p>
    <w:p w14:paraId="61596EC1" w14:textId="77777777" w:rsidR="00BB3E1E" w:rsidRPr="00241762" w:rsidRDefault="00BB3E1E" w:rsidP="00BB3E1E">
      <w:pPr>
        <w:pStyle w:val="BodyText"/>
      </w:pPr>
      <w:r w:rsidRPr="00241762">
        <w:t>It is good practice to recalculate the whole time series, from 1990 to the latest reported year in the inventory, to ensure consistency across the time series. This means estimates of emissions in a given submission year may differ from emissions reported in previous submissions. There may be exceptions to recalculating the entire time series and, where this has occurred, explanations are provided.</w:t>
      </w:r>
    </w:p>
    <w:p w14:paraId="3EFABBF4" w14:textId="5262558E" w:rsidR="00BB3E1E" w:rsidRPr="00241762" w:rsidRDefault="00BB3E1E" w:rsidP="00BB3E1E">
      <w:pPr>
        <w:pStyle w:val="BodyText"/>
      </w:pPr>
      <w:r w:rsidRPr="00241762">
        <w:rPr>
          <w:lang w:eastAsia="en-US"/>
        </w:rPr>
        <w:t>This year, for the first time, New Zealand published the key methodological changes that were</w:t>
      </w:r>
      <w:r w:rsidR="0004726E">
        <w:rPr>
          <w:lang w:eastAsia="en-US"/>
        </w:rPr>
        <w:t> </w:t>
      </w:r>
      <w:r w:rsidRPr="00241762">
        <w:rPr>
          <w:lang w:eastAsia="en-US"/>
        </w:rPr>
        <w:t xml:space="preserve">being introduced to the inventory, and their estimated impact on emissions compared </w:t>
      </w:r>
      <w:r>
        <w:rPr>
          <w:lang w:eastAsia="en-US"/>
        </w:rPr>
        <w:t>with</w:t>
      </w:r>
      <w:r w:rsidRPr="00241762">
        <w:rPr>
          <w:lang w:eastAsia="en-US"/>
        </w:rPr>
        <w:t xml:space="preserve"> the method used previously (</w:t>
      </w:r>
      <w:r>
        <w:rPr>
          <w:lang w:eastAsia="en-US"/>
        </w:rPr>
        <w:t>Ministry for the Environment</w:t>
      </w:r>
      <w:r w:rsidRPr="00241762">
        <w:rPr>
          <w:lang w:eastAsia="en-US"/>
        </w:rPr>
        <w:t xml:space="preserve">, 2022). This </w:t>
      </w:r>
      <w:r>
        <w:rPr>
          <w:lang w:eastAsia="en-US"/>
        </w:rPr>
        <w:t xml:space="preserve">information </w:t>
      </w:r>
      <w:r w:rsidRPr="00241762">
        <w:rPr>
          <w:lang w:eastAsia="en-US"/>
        </w:rPr>
        <w:t>was</w:t>
      </w:r>
      <w:r w:rsidR="00462959">
        <w:rPr>
          <w:lang w:eastAsia="en-US"/>
        </w:rPr>
        <w:t> </w:t>
      </w:r>
      <w:r w:rsidRPr="00241762">
        <w:rPr>
          <w:lang w:eastAsia="en-US"/>
        </w:rPr>
        <w:t xml:space="preserve">published </w:t>
      </w:r>
      <w:r>
        <w:rPr>
          <w:lang w:eastAsia="en-US"/>
        </w:rPr>
        <w:t>before</w:t>
      </w:r>
      <w:r w:rsidRPr="00241762">
        <w:rPr>
          <w:lang w:eastAsia="en-US"/>
        </w:rPr>
        <w:t xml:space="preserve"> the publication of this inventory to increase the transparency of inventory improvements.</w:t>
      </w:r>
    </w:p>
    <w:p w14:paraId="34095150" w14:textId="77777777" w:rsidR="00BB3E1E" w:rsidRPr="00241762" w:rsidRDefault="00BB3E1E" w:rsidP="00BB3E1E">
      <w:pPr>
        <w:pStyle w:val="BodyText"/>
      </w:pPr>
      <w:r w:rsidRPr="00241762">
        <w:t xml:space="preserve">Chapter 10 </w:t>
      </w:r>
      <w:r>
        <w:t>summarises</w:t>
      </w:r>
      <w:r w:rsidRPr="00241762">
        <w:t xml:space="preserve"> all recalculations made to estimates of emissions and removals.</w:t>
      </w:r>
    </w:p>
    <w:p w14:paraId="64814373" w14:textId="77777777" w:rsidR="00BB3E1E" w:rsidRPr="00241762" w:rsidRDefault="00BB3E1E" w:rsidP="00BB3E1E">
      <w:pPr>
        <w:pStyle w:val="BodyText"/>
      </w:pPr>
      <w:r w:rsidRPr="00241762">
        <w:t xml:space="preserve">Improvements made to New Zealand’s national registry are </w:t>
      </w:r>
      <w:r>
        <w:t>described</w:t>
      </w:r>
      <w:r w:rsidRPr="00241762">
        <w:t xml:space="preserve"> in chapter 14.</w:t>
      </w:r>
    </w:p>
    <w:p w14:paraId="4E05875D" w14:textId="77777777" w:rsidR="00BB3E1E" w:rsidRPr="00241762" w:rsidRDefault="00BB3E1E" w:rsidP="00BB3E1E">
      <w:pPr>
        <w:pStyle w:val="Heading4"/>
      </w:pPr>
      <w:bookmarkStart w:id="115" w:name="energy-1"/>
      <w:r w:rsidRPr="00241762">
        <w:t>Energy</w:t>
      </w:r>
    </w:p>
    <w:p w14:paraId="4526ECE7" w14:textId="77777777" w:rsidR="00BB3E1E" w:rsidRPr="00241762" w:rsidRDefault="00BB3E1E" w:rsidP="00BB3E1E">
      <w:pPr>
        <w:pStyle w:val="BodyText"/>
      </w:pPr>
      <w:r w:rsidRPr="00241762">
        <w:t>A number of improvements have been introduced for the 2022 submission. Some were made in response to expert review team recommendations and, for instance, involve the use of more disaggregated data or reallocation of emissions. Details on these improvements are presented in chapter 10. Other improvements in accuracy have resulted from the standard revision of activity data. Energy activity data for the years 1990 to 2019 have been updated according to the latest energy statistics published by MBIE (MBIE, 2021).</w:t>
      </w:r>
    </w:p>
    <w:p w14:paraId="015B25E6" w14:textId="3E38D4E9" w:rsidR="00BB3E1E" w:rsidRPr="00241762" w:rsidRDefault="00BB3E1E" w:rsidP="00BB3E1E">
      <w:pPr>
        <w:pStyle w:val="BodyText"/>
      </w:pPr>
      <w:r w:rsidRPr="00241762">
        <w:lastRenderedPageBreak/>
        <w:t>Projects to implement further improvements for the reference approach and sectoral approach are ongoing. The system for tracking and calculating emissions within the Energy sector was previously migrated to the R programming language. A further project to streamline and simplify the greenhouse gas reporting data system was completed in 2021. This</w:t>
      </w:r>
      <w:r w:rsidR="00462959">
        <w:t> </w:t>
      </w:r>
      <w:r w:rsidRPr="00241762">
        <w:t>project identified a number of minor inconsistencies and bugs</w:t>
      </w:r>
      <w:r>
        <w:t xml:space="preserve">, which </w:t>
      </w:r>
      <w:r w:rsidRPr="00241762">
        <w:t xml:space="preserve">were </w:t>
      </w:r>
      <w:r>
        <w:t xml:space="preserve">then </w:t>
      </w:r>
      <w:r w:rsidRPr="00241762">
        <w:t>addressed. Several upstream data systems, including the energy balance tables, have also been translated into the R programming language. Furthermore, work is progressing well on the construction of a new comprehensive fuel properties data management system. It is expected to be commissioned before the next submission. All source-specific planned improvements are discussed in their corresponding sections in chapter 3.</w:t>
      </w:r>
    </w:p>
    <w:p w14:paraId="20C9A313" w14:textId="0E85E548" w:rsidR="00BB3E1E" w:rsidRPr="00241762" w:rsidRDefault="00BB3E1E" w:rsidP="00BB3E1E">
      <w:pPr>
        <w:pStyle w:val="BodyText"/>
      </w:pPr>
      <w:r w:rsidRPr="00241762">
        <w:t>Changes to activity data in the Energy sector have resulted in a 0.6 per cent (133.2 kt CO</w:t>
      </w:r>
      <w:r w:rsidRPr="00241762">
        <w:rPr>
          <w:vertAlign w:val="subscript"/>
        </w:rPr>
        <w:t>2</w:t>
      </w:r>
      <w:r w:rsidRPr="00241762">
        <w:t xml:space="preserve">-e) increase in </w:t>
      </w:r>
      <w:r>
        <w:t xml:space="preserve">estimated </w:t>
      </w:r>
      <w:r w:rsidRPr="00241762">
        <w:t>energy emissions in 1990 and a 0.7 per cent (241.4 kt CO</w:t>
      </w:r>
      <w:r w:rsidRPr="00241762">
        <w:rPr>
          <w:vertAlign w:val="subscript"/>
        </w:rPr>
        <w:t>2</w:t>
      </w:r>
      <w:r w:rsidRPr="00241762">
        <w:t>-e) decrease in</w:t>
      </w:r>
      <w:r w:rsidR="00462959">
        <w:t> </w:t>
      </w:r>
      <w:r>
        <w:t xml:space="preserve">estimated </w:t>
      </w:r>
      <w:r w:rsidRPr="00241762">
        <w:t>energy emissions in 2019.</w:t>
      </w:r>
    </w:p>
    <w:p w14:paraId="7281E46B" w14:textId="77777777" w:rsidR="00BB3E1E" w:rsidRPr="00241762" w:rsidRDefault="00BB3E1E" w:rsidP="00BB3E1E">
      <w:pPr>
        <w:pStyle w:val="Heading4"/>
      </w:pPr>
      <w:bookmarkStart w:id="116" w:name="ippu-1"/>
      <w:bookmarkEnd w:id="115"/>
      <w:r w:rsidRPr="00241762">
        <w:t>IPPU</w:t>
      </w:r>
    </w:p>
    <w:p w14:paraId="7C24E460" w14:textId="77777777" w:rsidR="00BB3E1E" w:rsidRPr="00241762" w:rsidRDefault="00BB3E1E" w:rsidP="00BB3E1E">
      <w:pPr>
        <w:pStyle w:val="BodyText"/>
      </w:pPr>
      <w:r w:rsidRPr="00241762">
        <w:t xml:space="preserve">For this submission, amounts of refrigerant added to equipment in the </w:t>
      </w:r>
      <w:r w:rsidRPr="00241762">
        <w:rPr>
          <w:i/>
          <w:iCs/>
        </w:rPr>
        <w:t>Refrigeration and air conditioning</w:t>
      </w:r>
      <w:r w:rsidRPr="00241762">
        <w:t xml:space="preserve"> category were re-estimated to better account for changes in stocks held by importers and users.</w:t>
      </w:r>
    </w:p>
    <w:p w14:paraId="2E5A3714" w14:textId="77777777" w:rsidR="00BB3E1E" w:rsidRPr="00241762" w:rsidRDefault="00BB3E1E" w:rsidP="00BB3E1E">
      <w:pPr>
        <w:pStyle w:val="BodyText"/>
      </w:pPr>
      <w:r>
        <w:t>Chapter 4, s</w:t>
      </w:r>
      <w:r w:rsidRPr="00241762">
        <w:t>ection 4.1.7 contains more details about improvements and recalculations for the IPPU sector.</w:t>
      </w:r>
    </w:p>
    <w:p w14:paraId="55FFCC03" w14:textId="77777777" w:rsidR="00BB3E1E" w:rsidRPr="00241762" w:rsidRDefault="00BB3E1E" w:rsidP="00BB3E1E">
      <w:pPr>
        <w:pStyle w:val="BodyText"/>
      </w:pPr>
      <w:r w:rsidRPr="00241762">
        <w:t>Improvements and recalculations made in the IPPU sector have resulted in no change for 1990 and a 5.0 per cent decrease in</w:t>
      </w:r>
      <w:r>
        <w:t xml:space="preserve"> estimated</w:t>
      </w:r>
      <w:r w:rsidRPr="00241762">
        <w:t xml:space="preserve"> emissions for 2019 (254.9 kt CO</w:t>
      </w:r>
      <w:r w:rsidRPr="00241762">
        <w:rPr>
          <w:vertAlign w:val="subscript"/>
        </w:rPr>
        <w:t>2</w:t>
      </w:r>
      <w:r w:rsidRPr="00241762">
        <w:t>-e).</w:t>
      </w:r>
    </w:p>
    <w:p w14:paraId="51426F72" w14:textId="77777777" w:rsidR="00BB3E1E" w:rsidRPr="00241762" w:rsidRDefault="00BB3E1E" w:rsidP="00BB3E1E">
      <w:pPr>
        <w:pStyle w:val="Heading4"/>
      </w:pPr>
      <w:bookmarkStart w:id="117" w:name="agriculture-1"/>
      <w:bookmarkEnd w:id="116"/>
      <w:r w:rsidRPr="00241762">
        <w:t>Agriculture</w:t>
      </w:r>
    </w:p>
    <w:p w14:paraId="7CBA58E1" w14:textId="77777777" w:rsidR="00BB3E1E" w:rsidRPr="00241762" w:rsidRDefault="00BB3E1E" w:rsidP="00BB3E1E">
      <w:pPr>
        <w:pStyle w:val="BodyText"/>
      </w:pPr>
      <w:r w:rsidRPr="00241762">
        <w:t>New Zealand has made the following improvements and corrections to the Agriculture sector</w:t>
      </w:r>
      <w:r>
        <w:t>.</w:t>
      </w:r>
    </w:p>
    <w:p w14:paraId="13F0A23B" w14:textId="77777777" w:rsidR="00BB3E1E" w:rsidRPr="00241762" w:rsidRDefault="00BB3E1E" w:rsidP="00BB3E1E">
      <w:pPr>
        <w:pStyle w:val="Bullet"/>
      </w:pPr>
      <w:r>
        <w:t>It</w:t>
      </w:r>
      <w:r w:rsidRPr="00241762">
        <w:t xml:space="preserve"> updated FracLEACH values for cropland for the entire time series from (1990 to 2020). </w:t>
      </w:r>
      <w:r>
        <w:t>For</w:t>
      </w:r>
      <w:r w:rsidRPr="00241762">
        <w:t xml:space="preserve"> detail</w:t>
      </w:r>
      <w:r>
        <w:t>s</w:t>
      </w:r>
      <w:r w:rsidRPr="00241762">
        <w:t xml:space="preserve"> on this improvement</w:t>
      </w:r>
      <w:r>
        <w:t>, see</w:t>
      </w:r>
      <w:r w:rsidRPr="00241762">
        <w:t xml:space="preserve"> chapter 5, section 5.5.5, chapter 10, section 10.1.3 and annex 3</w:t>
      </w:r>
      <w:r>
        <w:t>.</w:t>
      </w:r>
    </w:p>
    <w:p w14:paraId="118C79E4" w14:textId="77777777" w:rsidR="00BB3E1E" w:rsidRPr="00241762" w:rsidRDefault="00BB3E1E" w:rsidP="00BB3E1E">
      <w:pPr>
        <w:pStyle w:val="Bullet"/>
        <w:tabs>
          <w:tab w:val="num" w:pos="567"/>
        </w:tabs>
      </w:pPr>
      <w:r>
        <w:t xml:space="preserve">It updated </w:t>
      </w:r>
      <w:r w:rsidRPr="00241762">
        <w:t xml:space="preserve">the assumption </w:t>
      </w:r>
      <w:r>
        <w:t>about</w:t>
      </w:r>
      <w:r w:rsidRPr="00241762">
        <w:t xml:space="preserve"> the purity of agricultural lime applied to soils. </w:t>
      </w:r>
      <w:r>
        <w:t>For</w:t>
      </w:r>
      <w:r w:rsidRPr="00241762">
        <w:t xml:space="preserve"> details on </w:t>
      </w:r>
      <w:r>
        <w:t>this</w:t>
      </w:r>
      <w:r w:rsidRPr="00241762">
        <w:t xml:space="preserve"> improvement</w:t>
      </w:r>
      <w:r>
        <w:t>, see</w:t>
      </w:r>
      <w:r w:rsidRPr="00241762">
        <w:t xml:space="preserve"> chapter 5, section 5.8.6, chapter 10, section 10.1.3 and annex 3.</w:t>
      </w:r>
    </w:p>
    <w:p w14:paraId="552CEC1B" w14:textId="77777777" w:rsidR="00BB3E1E" w:rsidRPr="00241762" w:rsidRDefault="00BB3E1E" w:rsidP="00BB3E1E">
      <w:pPr>
        <w:pStyle w:val="BodyText"/>
      </w:pPr>
      <w:r w:rsidRPr="00241762">
        <w:t xml:space="preserve">Improvements and recalculations made to the Agriculture sector in the 2022 submission have </w:t>
      </w:r>
      <w:r w:rsidRPr="00462959">
        <w:rPr>
          <w:spacing w:val="-2"/>
        </w:rPr>
        <w:t>only had a small impact on emissions estimates. They resulted in a 0.18 per cent (62.3 kt CO</w:t>
      </w:r>
      <w:r w:rsidRPr="00462959">
        <w:rPr>
          <w:spacing w:val="-2"/>
          <w:vertAlign w:val="subscript"/>
        </w:rPr>
        <w:t>2</w:t>
      </w:r>
      <w:r w:rsidRPr="00462959">
        <w:rPr>
          <w:spacing w:val="-2"/>
        </w:rPr>
        <w:t>-e)</w:t>
      </w:r>
      <w:r w:rsidRPr="00241762">
        <w:t xml:space="preserve"> decrease in estimated agricultural emissions in 1990 and a 0.22 per</w:t>
      </w:r>
      <w:r>
        <w:t xml:space="preserve"> </w:t>
      </w:r>
      <w:r w:rsidRPr="00241762">
        <w:t>cent (85.4 kt CO</w:t>
      </w:r>
      <w:r w:rsidRPr="00241762">
        <w:rPr>
          <w:vertAlign w:val="subscript"/>
        </w:rPr>
        <w:t>2</w:t>
      </w:r>
      <w:r w:rsidRPr="00241762">
        <w:t>-e) decrease in agricultural emissions in 2020.</w:t>
      </w:r>
    </w:p>
    <w:p w14:paraId="376A9E34" w14:textId="77777777" w:rsidR="00BB3E1E" w:rsidRPr="00241762" w:rsidRDefault="00BB3E1E" w:rsidP="00BB3E1E">
      <w:pPr>
        <w:pStyle w:val="Heading4"/>
      </w:pPr>
      <w:bookmarkStart w:id="118" w:name="lulucf"/>
      <w:bookmarkEnd w:id="117"/>
      <w:r w:rsidRPr="00241762">
        <w:t>LULUCF</w:t>
      </w:r>
    </w:p>
    <w:p w14:paraId="1043F4EE" w14:textId="0C44E4D4" w:rsidR="00BB3E1E" w:rsidRPr="00241762" w:rsidRDefault="00BB3E1E" w:rsidP="00BB3E1E">
      <w:pPr>
        <w:pStyle w:val="BodyText"/>
      </w:pPr>
      <w:r w:rsidRPr="00241762">
        <w:t>The main differences between this submission and estimates of New Zealand’s LULUCF net removals reported in the previous submission result from the following (in decreasing order of</w:t>
      </w:r>
      <w:r w:rsidR="00462959">
        <w:t> </w:t>
      </w:r>
      <w:r w:rsidRPr="00241762">
        <w:t>magnitude)</w:t>
      </w:r>
      <w:r>
        <w:t>.</w:t>
      </w:r>
    </w:p>
    <w:p w14:paraId="1A17FF3E" w14:textId="77777777" w:rsidR="00BB3E1E" w:rsidRPr="00241762" w:rsidRDefault="00BB3E1E" w:rsidP="00BB3E1E">
      <w:pPr>
        <w:pStyle w:val="Bullet"/>
        <w:tabs>
          <w:tab w:val="num" w:pos="567"/>
        </w:tabs>
      </w:pPr>
      <w:r w:rsidRPr="00241762">
        <w:t xml:space="preserve">The methods used to estimate the planted forest average harvest age, harvest age profile (harvest area by age) and forest age profile have been updated. These changes have been made to improve the accuracy of the ages at which we report pre-1990 or post-1989 planted forest being harvested or deforested. These updates result in an increase in </w:t>
      </w:r>
      <w:r>
        <w:t xml:space="preserve">estimated </w:t>
      </w:r>
      <w:r w:rsidRPr="00241762">
        <w:t>emissions of approximately 1,700 kt CO</w:t>
      </w:r>
      <w:r w:rsidRPr="00241762">
        <w:rPr>
          <w:vertAlign w:val="subscript"/>
        </w:rPr>
        <w:t>2</w:t>
      </w:r>
      <w:r w:rsidRPr="00241762">
        <w:t>-e in 1990 and 100 kt CO</w:t>
      </w:r>
      <w:r w:rsidRPr="00241762">
        <w:rPr>
          <w:vertAlign w:val="subscript"/>
        </w:rPr>
        <w:t>2</w:t>
      </w:r>
      <w:r w:rsidRPr="00241762">
        <w:t>-e in 2019.</w:t>
      </w:r>
    </w:p>
    <w:p w14:paraId="25A7AA84" w14:textId="77777777" w:rsidR="00BB3E1E" w:rsidRPr="00241762" w:rsidRDefault="00BB3E1E" w:rsidP="00BB3E1E">
      <w:pPr>
        <w:pStyle w:val="Bullet"/>
        <w:tabs>
          <w:tab w:val="num" w:pos="567"/>
        </w:tabs>
      </w:pPr>
      <w:r w:rsidRPr="00241762">
        <w:lastRenderedPageBreak/>
        <w:t>The yield tables used for pre-1990 and post-1989 planted forest have been updated to provide more accurate and up</w:t>
      </w:r>
      <w:r>
        <w:t>-</w:t>
      </w:r>
      <w:r w:rsidRPr="00241762">
        <w:t>to</w:t>
      </w:r>
      <w:r>
        <w:t>-</w:t>
      </w:r>
      <w:r w:rsidRPr="00241762">
        <w:t>date estimates of carbon stock change. All planted forest yield tables have been updated to include plots measured in the 2020 national forest inventory. The period</w:t>
      </w:r>
      <w:r>
        <w:t>-</w:t>
      </w:r>
      <w:r w:rsidRPr="00241762">
        <w:t>specific yield tables used for pre-1990 planted forest have also been updated to reflect different planting periods. Changes to the planted forest yield tables have resulted in a decrease in emissions of approximately 115 kt CO</w:t>
      </w:r>
      <w:r w:rsidRPr="00241762">
        <w:rPr>
          <w:vertAlign w:val="subscript"/>
        </w:rPr>
        <w:t>2</w:t>
      </w:r>
      <w:r w:rsidRPr="00241762">
        <w:t>-e in 1990 and an increase in emissions of approximately 1,460 kt CO</w:t>
      </w:r>
      <w:r w:rsidRPr="00241762">
        <w:rPr>
          <w:vertAlign w:val="subscript"/>
        </w:rPr>
        <w:t>2</w:t>
      </w:r>
      <w:r w:rsidRPr="00241762">
        <w:t>-e in 2019.</w:t>
      </w:r>
    </w:p>
    <w:p w14:paraId="2C455E40" w14:textId="77777777" w:rsidR="00BB3E1E" w:rsidRPr="00241762" w:rsidRDefault="00BB3E1E" w:rsidP="00BB3E1E">
      <w:pPr>
        <w:pStyle w:val="Bullet"/>
        <w:tabs>
          <w:tab w:val="num" w:pos="567"/>
        </w:tabs>
      </w:pPr>
      <w:r w:rsidRPr="00241762">
        <w:t xml:space="preserve">The way in which the pre-1990 natural forest is classified has been updated to ensure consistency between the classification of tall and regenerating forest and assigning emission factors to forest area based on forest type. Additionally, the assumption that tall forests were in steady state has been revised so that a carbon stock change per hectare estimate is now also included for the tall forest component. Collectively, these changes </w:t>
      </w:r>
      <w:r w:rsidRPr="00462959">
        <w:rPr>
          <w:spacing w:val="-2"/>
        </w:rPr>
        <w:t>have resulted in an increase in annual estimated emissions of approximately 1,300 kt CO</w:t>
      </w:r>
      <w:r w:rsidRPr="00462959">
        <w:rPr>
          <w:spacing w:val="-2"/>
          <w:vertAlign w:val="subscript"/>
        </w:rPr>
        <w:t>2</w:t>
      </w:r>
      <w:r w:rsidRPr="00462959">
        <w:rPr>
          <w:spacing w:val="-2"/>
        </w:rPr>
        <w:t>-e</w:t>
      </w:r>
      <w:r w:rsidRPr="00241762">
        <w:t xml:space="preserve"> across the time</w:t>
      </w:r>
      <w:r>
        <w:t xml:space="preserve"> </w:t>
      </w:r>
      <w:r w:rsidRPr="00241762">
        <w:t>series.</w:t>
      </w:r>
    </w:p>
    <w:p w14:paraId="7C3D7DFC" w14:textId="77777777" w:rsidR="00BB3E1E" w:rsidRPr="00241762" w:rsidRDefault="00BB3E1E" w:rsidP="00BB3E1E">
      <w:pPr>
        <w:pStyle w:val="BodyText"/>
      </w:pPr>
      <w:r w:rsidRPr="00241762">
        <w:t xml:space="preserve">Chapter 6, section 6.1.4 and </w:t>
      </w:r>
      <w:r>
        <w:t>its</w:t>
      </w:r>
      <w:r w:rsidRPr="00241762">
        <w:t xml:space="preserve"> sections</w:t>
      </w:r>
      <w:r>
        <w:t xml:space="preserve"> specific to the</w:t>
      </w:r>
      <w:r w:rsidRPr="00241762">
        <w:t xml:space="preserve"> land use category contain more details about improvements and recalculations for the LULUCF sector.</w:t>
      </w:r>
    </w:p>
    <w:p w14:paraId="5E172A5A" w14:textId="77777777" w:rsidR="00BB3E1E" w:rsidRPr="00241762" w:rsidRDefault="00BB3E1E" w:rsidP="00BB3E1E">
      <w:pPr>
        <w:pStyle w:val="BodyText"/>
      </w:pPr>
      <w:r w:rsidRPr="00241762">
        <w:t>Improvements made to the LULUCF sector have resulted in a</w:t>
      </w:r>
      <w:r>
        <w:t>n</w:t>
      </w:r>
      <w:r w:rsidRPr="00241762">
        <w:t xml:space="preserve"> 11.6 per cent (2,785.2 kt CO</w:t>
      </w:r>
      <w:r w:rsidRPr="00241762">
        <w:rPr>
          <w:vertAlign w:val="subscript"/>
        </w:rPr>
        <w:t>2</w:t>
      </w:r>
      <w:r>
        <w:t>-</w:t>
      </w:r>
      <w:r w:rsidRPr="00241762">
        <w:t xml:space="preserve">e) decrease in </w:t>
      </w:r>
      <w:r>
        <w:t xml:space="preserve">estimated </w:t>
      </w:r>
      <w:r w:rsidRPr="00241762">
        <w:t>net LULUCF removals in 1990 and a 16.0 per cent (4,390.2 kt CO</w:t>
      </w:r>
      <w:r w:rsidRPr="00241762">
        <w:rPr>
          <w:vertAlign w:val="subscript"/>
        </w:rPr>
        <w:t>2</w:t>
      </w:r>
      <w:r w:rsidRPr="00241762">
        <w:t xml:space="preserve">-e) decrease in </w:t>
      </w:r>
      <w:r>
        <w:t xml:space="preserve">estimated </w:t>
      </w:r>
      <w:r w:rsidRPr="00241762">
        <w:t>net LULUCF removals in 2019.</w:t>
      </w:r>
    </w:p>
    <w:p w14:paraId="39C097A3" w14:textId="77777777" w:rsidR="00BB3E1E" w:rsidRPr="00241762" w:rsidRDefault="00BB3E1E" w:rsidP="00BB3E1E">
      <w:pPr>
        <w:pStyle w:val="Heading4"/>
      </w:pPr>
      <w:bookmarkStart w:id="119" w:name="waste-1"/>
      <w:bookmarkEnd w:id="118"/>
      <w:r w:rsidRPr="00241762">
        <w:t>Waste</w:t>
      </w:r>
    </w:p>
    <w:p w14:paraId="2C8612FF" w14:textId="1C9332F7" w:rsidR="00BB3E1E" w:rsidRPr="00241762" w:rsidRDefault="00BB3E1E" w:rsidP="00BB3E1E">
      <w:pPr>
        <w:pStyle w:val="BodyText"/>
      </w:pPr>
      <w:r w:rsidRPr="00241762">
        <w:t>Improvements and recalculations made to estimates in the Waste sector have resulted in a</w:t>
      </w:r>
      <w:r w:rsidR="00462959">
        <w:t> </w:t>
      </w:r>
      <w:r w:rsidRPr="00241762">
        <w:t>0.5 per cent (18.2 kt CO</w:t>
      </w:r>
      <w:r w:rsidRPr="00241762">
        <w:rPr>
          <w:vertAlign w:val="subscript"/>
        </w:rPr>
        <w:t>2</w:t>
      </w:r>
      <w:r w:rsidRPr="00241762">
        <w:t xml:space="preserve">-e) decrease in </w:t>
      </w:r>
      <w:r>
        <w:t xml:space="preserve">estimated </w:t>
      </w:r>
      <w:r w:rsidRPr="00241762">
        <w:t>emissions in 1990 and a 0.1 per cent (4.2</w:t>
      </w:r>
      <w:r w:rsidR="00462959">
        <w:t> </w:t>
      </w:r>
      <w:r w:rsidRPr="00241762">
        <w:t>kt CO</w:t>
      </w:r>
      <w:r w:rsidRPr="00241762">
        <w:rPr>
          <w:vertAlign w:val="subscript"/>
        </w:rPr>
        <w:t>2</w:t>
      </w:r>
      <w:r w:rsidRPr="00241762">
        <w:t xml:space="preserve">-e) decrease in </w:t>
      </w:r>
      <w:r>
        <w:t xml:space="preserve">estimated </w:t>
      </w:r>
      <w:r w:rsidRPr="00241762">
        <w:t>emissions in 2019.</w:t>
      </w:r>
    </w:p>
    <w:p w14:paraId="2E937EC1" w14:textId="77777777" w:rsidR="00BB3E1E" w:rsidRPr="00241762" w:rsidRDefault="00BB3E1E" w:rsidP="00BB3E1E">
      <w:pPr>
        <w:pStyle w:val="BodyText"/>
      </w:pPr>
      <w:r w:rsidRPr="00241762">
        <w:t xml:space="preserve">Minor changes have been made for three categories in the 2022 submission. First, there are minor updates to activity data for </w:t>
      </w:r>
      <w:r w:rsidRPr="00241762">
        <w:rPr>
          <w:i/>
          <w:iCs/>
        </w:rPr>
        <w:t>Managed waste disposal sites</w:t>
      </w:r>
      <w:r w:rsidRPr="00241762">
        <w:t xml:space="preserve">. </w:t>
      </w:r>
      <w:r>
        <w:t>R</w:t>
      </w:r>
      <w:r w:rsidRPr="00241762">
        <w:t xml:space="preserve">evisions made to historical waste disposal levy data are now included in the inventory. Overall, the data have changed by less than 1 per cent, and </w:t>
      </w:r>
      <w:r>
        <w:t xml:space="preserve">the reason for </w:t>
      </w:r>
      <w:r w:rsidRPr="00241762">
        <w:t xml:space="preserve">these changes </w:t>
      </w:r>
      <w:r>
        <w:t>was that</w:t>
      </w:r>
      <w:r w:rsidRPr="00241762">
        <w:t xml:space="preserve"> the landfill operators</w:t>
      </w:r>
      <w:r w:rsidRPr="000C573F">
        <w:t xml:space="preserve"> </w:t>
      </w:r>
      <w:r w:rsidRPr="00241762">
        <w:t xml:space="preserve">submitted </w:t>
      </w:r>
      <w:r>
        <w:t xml:space="preserve">amendments </w:t>
      </w:r>
      <w:r w:rsidRPr="00241762">
        <w:t xml:space="preserve">that arose due to operational circumstances. The levy data will continue to be fully updated in each future submission. </w:t>
      </w:r>
    </w:p>
    <w:p w14:paraId="6B727BD7" w14:textId="77777777" w:rsidR="00BB3E1E" w:rsidRPr="00241762" w:rsidRDefault="00BB3E1E" w:rsidP="00BB3E1E">
      <w:pPr>
        <w:pStyle w:val="BodyText"/>
      </w:pPr>
      <w:r w:rsidRPr="00241762">
        <w:t xml:space="preserve">Second, the following two issues are addressed in the activity data for non-municipal landfills, which are part of the </w:t>
      </w:r>
      <w:r w:rsidRPr="00241762">
        <w:rPr>
          <w:i/>
          <w:iCs/>
        </w:rPr>
        <w:t>Unmanaged waste disposal sites</w:t>
      </w:r>
      <w:r w:rsidRPr="00241762">
        <w:t xml:space="preserve"> category.</w:t>
      </w:r>
    </w:p>
    <w:p w14:paraId="2205DD1F" w14:textId="2E615E0F" w:rsidR="00BB3E1E" w:rsidRPr="00241762" w:rsidRDefault="00BB3E1E" w:rsidP="00BB3E1E">
      <w:pPr>
        <w:pStyle w:val="Bullet"/>
        <w:tabs>
          <w:tab w:val="num" w:pos="567"/>
        </w:tabs>
      </w:pPr>
      <w:r w:rsidRPr="00241762">
        <w:t>Activity data for 1950 to 2015 had previously been calculated using data based on Tonkin</w:t>
      </w:r>
      <w:r w:rsidR="00100C0F">
        <w:t> </w:t>
      </w:r>
      <w:r w:rsidRPr="00241762">
        <w:t xml:space="preserve">and Taylor </w:t>
      </w:r>
      <w:r w:rsidRPr="00241762" w:rsidDel="00EC624B">
        <w:t xml:space="preserve">Ltd </w:t>
      </w:r>
      <w:r w:rsidRPr="00241762">
        <w:t>(unpublished); however, the link between the source data and the calculated activity data used in the inventory was not clear. With further analysis, the calculated activity data were re-created using scripts and this method is fully repeatable. There is a discrepancy of about 5 per cent between the original and the new method</w:t>
      </w:r>
      <w:r>
        <w:t>s</w:t>
      </w:r>
      <w:r w:rsidRPr="00241762">
        <w:t>, which is acceptable due to the corresponding increase in transparency achieved.</w:t>
      </w:r>
    </w:p>
    <w:p w14:paraId="5600A509" w14:textId="77777777" w:rsidR="00BB3E1E" w:rsidRPr="00241762" w:rsidRDefault="00BB3E1E" w:rsidP="00BB3E1E">
      <w:pPr>
        <w:pStyle w:val="Bullet"/>
        <w:tabs>
          <w:tab w:val="num" w:pos="567"/>
        </w:tabs>
      </w:pPr>
      <w:r w:rsidRPr="00241762">
        <w:t>Methods to generate activity data for 2016 onward are revised to keep activity data constant at 2015 levels. Before the 2022 submission, there was a significant step</w:t>
      </w:r>
      <w:r w:rsidRPr="00241762">
        <w:noBreakHyphen/>
        <w:t xml:space="preserve">change in activity data that did not appear to be justified, and it did not reflect an accurate assumed composition of </w:t>
      </w:r>
      <w:r>
        <w:t>W</w:t>
      </w:r>
      <w:r w:rsidRPr="00241762">
        <w:t xml:space="preserve">aste data. Keeping activity data constant at 2015 levels is considered to be a suitable alternative, before activity data based on actual rather than assumed </w:t>
      </w:r>
      <w:r>
        <w:t>W</w:t>
      </w:r>
      <w:r w:rsidRPr="00241762">
        <w:t>aste data are made available.</w:t>
      </w:r>
    </w:p>
    <w:p w14:paraId="71C81BA4" w14:textId="77777777" w:rsidR="00BB3E1E" w:rsidRPr="00241762" w:rsidRDefault="00BB3E1E" w:rsidP="00BB3E1E">
      <w:pPr>
        <w:pStyle w:val="BodyText"/>
      </w:pPr>
      <w:r w:rsidRPr="00241762">
        <w:lastRenderedPageBreak/>
        <w:t xml:space="preserve">Third, a correction is made to total carbon content in paper/card in the </w:t>
      </w:r>
      <w:r w:rsidRPr="00241762">
        <w:rPr>
          <w:i/>
          <w:iCs/>
        </w:rPr>
        <w:t>Open burning of waste</w:t>
      </w:r>
      <w:r w:rsidRPr="00241762">
        <w:t xml:space="preserve"> category. The percentage of total carbon content for paper/card was previously reported as 43 per cent and this has been adjusted to 46 per cent in accordance with table 2.4 of volume 5 of the 2006 IPCC Guidelines (IPCC, 2006c) and is also reflected in chapter 7, table 7.4.3.</w:t>
      </w:r>
    </w:p>
    <w:p w14:paraId="24D94676" w14:textId="77777777" w:rsidR="00BB3E1E" w:rsidRPr="00241762" w:rsidRDefault="00BB3E1E" w:rsidP="00BB3E1E">
      <w:pPr>
        <w:pStyle w:val="BodyText"/>
      </w:pPr>
      <w:r>
        <w:t>For more</w:t>
      </w:r>
      <w:r w:rsidRPr="00241762">
        <w:t xml:space="preserve"> detail</w:t>
      </w:r>
      <w:r>
        <w:t>, see the</w:t>
      </w:r>
      <w:r w:rsidRPr="00241762">
        <w:t xml:space="preserve"> methodological issues </w:t>
      </w:r>
      <w:r>
        <w:t>section in</w:t>
      </w:r>
      <w:r w:rsidRPr="00241762">
        <w:t xml:space="preserve"> each </w:t>
      </w:r>
      <w:r>
        <w:t>sector chapter</w:t>
      </w:r>
      <w:r w:rsidRPr="00241762">
        <w:t xml:space="preserve"> and chapter 10.</w:t>
      </w:r>
    </w:p>
    <w:p w14:paraId="3E70D54A" w14:textId="77777777" w:rsidR="00BB3E1E" w:rsidRPr="00241762" w:rsidRDefault="00BB3E1E" w:rsidP="00BB3E1E">
      <w:pPr>
        <w:pStyle w:val="Heading4"/>
      </w:pPr>
      <w:bookmarkStart w:id="120" w:name="other-sector-tokelau-1"/>
      <w:bookmarkEnd w:id="119"/>
      <w:r w:rsidRPr="00241762">
        <w:t>Other sector (Tokelau)</w:t>
      </w:r>
    </w:p>
    <w:p w14:paraId="09B3491C" w14:textId="77777777" w:rsidR="00BB3E1E" w:rsidRDefault="00BB3E1E" w:rsidP="00BB3E1E">
      <w:pPr>
        <w:pStyle w:val="BodyText"/>
      </w:pPr>
      <w:r w:rsidRPr="00241762">
        <w:t>One minor recalculation has been made in the Tokelau emission</w:t>
      </w:r>
      <w:r>
        <w:t>s</w:t>
      </w:r>
      <w:r w:rsidRPr="00241762">
        <w:t xml:space="preserve"> estimates since the 2021 submission. Th</w:t>
      </w:r>
      <w:r>
        <w:t>is</w:t>
      </w:r>
      <w:r w:rsidRPr="00241762">
        <w:t xml:space="preserve"> recalculation has resulted in no change in emissions in 1990 and a 0.1 per cent (0.0023 kt CO</w:t>
      </w:r>
      <w:r w:rsidRPr="00241762">
        <w:rPr>
          <w:vertAlign w:val="subscript"/>
        </w:rPr>
        <w:t>2</w:t>
      </w:r>
      <w:r w:rsidRPr="00241762">
        <w:t>-e) increase in emissions in 2019.</w:t>
      </w:r>
    </w:p>
    <w:p w14:paraId="3E0866C0" w14:textId="77777777" w:rsidR="00BB3E1E" w:rsidRPr="00B66760" w:rsidRDefault="00BB3E1E" w:rsidP="00B66760">
      <w:pPr>
        <w:pStyle w:val="BodyText"/>
      </w:pPr>
    </w:p>
    <w:p w14:paraId="2AB954E6" w14:textId="4AE03BED" w:rsidR="00BB3E1E" w:rsidRPr="00241762" w:rsidRDefault="00BB3E1E" w:rsidP="00100C0F">
      <w:pPr>
        <w:pStyle w:val="Heading2"/>
        <w:spacing w:before="0" w:after="360"/>
      </w:pPr>
      <w:r w:rsidRPr="00241762">
        <w:br w:type="page"/>
      </w:r>
      <w:bookmarkStart w:id="121" w:name="_Toc99659105"/>
      <w:bookmarkStart w:id="122" w:name="chapter-1-references"/>
      <w:bookmarkEnd w:id="114"/>
      <w:bookmarkEnd w:id="120"/>
      <w:r w:rsidRPr="00241762">
        <w:lastRenderedPageBreak/>
        <w:t>Chapter 1: References</w:t>
      </w:r>
      <w:bookmarkEnd w:id="121"/>
    </w:p>
    <w:p w14:paraId="22FAB64D" w14:textId="6C1AC64F" w:rsidR="00BB3E1E" w:rsidRPr="00241762" w:rsidRDefault="00BB3E1E" w:rsidP="00BB3E1E">
      <w:pPr>
        <w:pStyle w:val="References"/>
      </w:pPr>
      <w:r w:rsidRPr="00241762">
        <w:t xml:space="preserve">Cardno. </w:t>
      </w:r>
      <w:r w:rsidR="00004296">
        <w:t>2015</w:t>
      </w:r>
      <w:r w:rsidRPr="00241762">
        <w:t xml:space="preserve">. </w:t>
      </w:r>
      <w:r w:rsidRPr="004E383F">
        <w:rPr>
          <w:i/>
          <w:iCs/>
        </w:rPr>
        <w:t>Greenhouse Gas Emissions from Industrial Wastewater Treatment</w:t>
      </w:r>
      <w:r w:rsidRPr="00241762">
        <w:t xml:space="preserve">. </w:t>
      </w:r>
      <w:r w:rsidR="004E383F">
        <w:rPr>
          <w:rFonts w:cs="Calibri"/>
          <w:lang w:eastAsia="en-US"/>
        </w:rPr>
        <w:t xml:space="preserve">Report commissioned by the Ministry for the Environment in 2015. Retrieved from </w:t>
      </w:r>
      <w:hyperlink r:id="rId37" w:history="1">
        <w:r w:rsidR="004E383F">
          <w:rPr>
            <w:rStyle w:val="Hyperlink"/>
            <w:rFonts w:cs="Calibri"/>
            <w:lang w:eastAsia="en-US"/>
          </w:rPr>
          <w:t>https://environment.govt.nz/publications/greenhouse-gas-emissions-from-industrial-wastewater-treatment-inventory-basis-review/</w:t>
        </w:r>
      </w:hyperlink>
      <w:r w:rsidR="004E383F">
        <w:rPr>
          <w:rFonts w:cs="Calibri"/>
          <w:lang w:eastAsia="en-US"/>
        </w:rPr>
        <w:t xml:space="preserve"> (accessed 15 January 2016)</w:t>
      </w:r>
      <w:r>
        <w:t>.</w:t>
      </w:r>
    </w:p>
    <w:p w14:paraId="07306B0A" w14:textId="77777777" w:rsidR="00BB3E1E" w:rsidRPr="00241762" w:rsidRDefault="00BB3E1E" w:rsidP="00BB3E1E">
      <w:pPr>
        <w:pStyle w:val="References"/>
      </w:pPr>
      <w:r w:rsidRPr="00241762">
        <w:t>CRL Energy Ltd. Unpublished. Hennessy W, Maxwell D. Inventory of HFC, PFC and SF</w:t>
      </w:r>
      <w:r w:rsidRPr="00241762">
        <w:rPr>
          <w:vertAlign w:val="subscript"/>
        </w:rPr>
        <w:t>6</w:t>
      </w:r>
      <w:r w:rsidRPr="00241762">
        <w:t xml:space="preserve"> Emissions for New Zealand 2004–2005. Report prepared </w:t>
      </w:r>
      <w:r>
        <w:t>for</w:t>
      </w:r>
      <w:r w:rsidRPr="00241762">
        <w:t xml:space="preserve"> the Ministry for the Environment</w:t>
      </w:r>
      <w:r w:rsidRPr="00E04AB4">
        <w:t xml:space="preserve"> </w:t>
      </w:r>
      <w:r w:rsidRPr="00241762">
        <w:t>by CRL Energy Ltd in 2006.</w:t>
      </w:r>
    </w:p>
    <w:p w14:paraId="6787018C" w14:textId="77777777" w:rsidR="00BB3E1E" w:rsidRPr="00241762" w:rsidRDefault="00BB3E1E" w:rsidP="00BB3E1E">
      <w:pPr>
        <w:pStyle w:val="References"/>
      </w:pPr>
      <w:r w:rsidRPr="00241762">
        <w:t xml:space="preserve">Eunomia. Unpublished. Improvements to Estimates of Greenhouse Gas Emissions from Landfills. Report </w:t>
      </w:r>
      <w:r>
        <w:t>prepared for</w:t>
      </w:r>
      <w:r w:rsidRPr="00241762">
        <w:t xml:space="preserve"> the Ministry for the Environment in 2020.</w:t>
      </w:r>
    </w:p>
    <w:p w14:paraId="41534A6D" w14:textId="77777777" w:rsidR="00BB3E1E" w:rsidRPr="00241762" w:rsidRDefault="00BB3E1E" w:rsidP="00BB3E1E">
      <w:pPr>
        <w:pStyle w:val="References"/>
      </w:pPr>
      <w:r w:rsidRPr="00241762">
        <w:t xml:space="preserve">IPCC. 2006a. Eggleston HS, Buendia L, Miwa K, Ngara T, Tanabe K (eds). </w:t>
      </w:r>
      <w:r w:rsidRPr="00241762">
        <w:rPr>
          <w:i/>
          <w:iCs/>
        </w:rPr>
        <w:t>2006 IPCC Guidelines for National Greenhouse Gas Inventories. Volume 4. Agriculture, Forestry and Other Land Use.</w:t>
      </w:r>
      <w:r w:rsidRPr="00241762">
        <w:t xml:space="preserve"> IPCC National Greenhouse Gas Inventories Programme. Japan: Institute for Global Environmental Strategies</w:t>
      </w:r>
      <w:r w:rsidRPr="00E04AB4">
        <w:t xml:space="preserve"> </w:t>
      </w:r>
      <w:r w:rsidRPr="00241762">
        <w:t>for IPCC.</w:t>
      </w:r>
    </w:p>
    <w:p w14:paraId="335B0706" w14:textId="77777777" w:rsidR="00BB3E1E" w:rsidRPr="00241762" w:rsidRDefault="00BB3E1E" w:rsidP="00BB3E1E">
      <w:pPr>
        <w:pStyle w:val="References"/>
      </w:pPr>
      <w:r w:rsidRPr="00241762">
        <w:t xml:space="preserve">IPCC. 2006b. Eggleston HS, Buendia L, Miwa K, Ngara T, Tanabe K (eds). </w:t>
      </w:r>
      <w:r w:rsidRPr="00241762">
        <w:rPr>
          <w:i/>
          <w:iCs/>
        </w:rPr>
        <w:t>2006 IPCC Guidelines for National Greenhouse Gas Inventories. Volume 1. General Guidance and Reporting.</w:t>
      </w:r>
      <w:r w:rsidRPr="00241762">
        <w:t xml:space="preserve"> IPCC National Greenhouse Gas Inventories Programme. Japan: Institute for Global Environmental Strategies</w:t>
      </w:r>
      <w:r>
        <w:t xml:space="preserve"> for IPCC</w:t>
      </w:r>
      <w:r w:rsidRPr="00241762">
        <w:t>.</w:t>
      </w:r>
    </w:p>
    <w:p w14:paraId="46293956" w14:textId="77777777" w:rsidR="00BB3E1E" w:rsidRDefault="00BB3E1E" w:rsidP="00BB3E1E">
      <w:pPr>
        <w:pStyle w:val="References"/>
        <w:rPr>
          <w:szCs w:val="20"/>
        </w:rPr>
      </w:pPr>
      <w:r w:rsidRPr="00241762">
        <w:rPr>
          <w:szCs w:val="20"/>
        </w:rPr>
        <w:t xml:space="preserve">IPCC. 2006c. Eggleston HS, Buendia L, Miwa K, Ngara T, Tanabe K (eds). </w:t>
      </w:r>
      <w:r w:rsidRPr="00241762">
        <w:rPr>
          <w:i/>
          <w:iCs/>
          <w:szCs w:val="20"/>
        </w:rPr>
        <w:t>2006 IPCC Guidelines for National Greenhouse Gas Inventories. Volume 5. Waste</w:t>
      </w:r>
      <w:r w:rsidRPr="00241762">
        <w:rPr>
          <w:szCs w:val="20"/>
        </w:rPr>
        <w:t>. IPCC National Greenhouse Gas Inventories Programme. Japan: Institute for Global Environmental Strategies for IPCC.</w:t>
      </w:r>
    </w:p>
    <w:p w14:paraId="36896F03" w14:textId="77777777" w:rsidR="00BB3E1E" w:rsidRPr="00241762" w:rsidRDefault="00BB3E1E" w:rsidP="00BB3E1E">
      <w:pPr>
        <w:pStyle w:val="References"/>
      </w:pPr>
      <w:r w:rsidRPr="00241762">
        <w:t xml:space="preserve">IPCC. 2014. Hiraishi T, Krug T, Tanabe K, Srivastava N, Baasansuren J, Fukuda M, Troxler TG (eds). </w:t>
      </w:r>
      <w:r w:rsidRPr="00241762">
        <w:rPr>
          <w:i/>
          <w:iCs/>
        </w:rPr>
        <w:t>2013 Revised Supplementary Methods and Good Practice Guidance Arising from the Kyoto Protocol</w:t>
      </w:r>
      <w:r w:rsidRPr="00241762">
        <w:t>. Geneva, Switzerland: IPCC.</w:t>
      </w:r>
    </w:p>
    <w:p w14:paraId="5174869A" w14:textId="77777777" w:rsidR="00BB3E1E" w:rsidRPr="00241762" w:rsidRDefault="00BB3E1E" w:rsidP="00BB3E1E">
      <w:pPr>
        <w:pStyle w:val="References"/>
      </w:pPr>
      <w:r w:rsidRPr="00241762">
        <w:t>IPCC. 2021. Masson-Delmotte V, Zhai</w:t>
      </w:r>
      <w:r>
        <w:t xml:space="preserve"> P</w:t>
      </w:r>
      <w:r w:rsidRPr="00241762">
        <w:t>, Pirani</w:t>
      </w:r>
      <w:r>
        <w:t xml:space="preserve"> A</w:t>
      </w:r>
      <w:r w:rsidRPr="00241762">
        <w:t>, Connors</w:t>
      </w:r>
      <w:r>
        <w:t xml:space="preserve"> SL</w:t>
      </w:r>
      <w:r w:rsidRPr="00241762">
        <w:t>, Péan</w:t>
      </w:r>
      <w:r>
        <w:t xml:space="preserve"> C</w:t>
      </w:r>
      <w:r w:rsidRPr="00241762">
        <w:t>, Berger</w:t>
      </w:r>
      <w:r>
        <w:t xml:space="preserve"> C</w:t>
      </w:r>
      <w:r w:rsidRPr="00241762">
        <w:t>, Caud</w:t>
      </w:r>
      <w:r>
        <w:t xml:space="preserve"> N</w:t>
      </w:r>
      <w:r w:rsidRPr="00241762">
        <w:t>, Chen</w:t>
      </w:r>
      <w:r>
        <w:t xml:space="preserve"> Y</w:t>
      </w:r>
      <w:r w:rsidRPr="00241762">
        <w:t>, Goldfarb</w:t>
      </w:r>
      <w:r>
        <w:t xml:space="preserve"> L</w:t>
      </w:r>
      <w:r w:rsidRPr="00241762">
        <w:t>, Gomis</w:t>
      </w:r>
      <w:r>
        <w:t xml:space="preserve"> MI</w:t>
      </w:r>
      <w:r w:rsidRPr="00241762">
        <w:t>, Huang</w:t>
      </w:r>
      <w:r>
        <w:t xml:space="preserve"> M</w:t>
      </w:r>
      <w:r w:rsidRPr="00241762">
        <w:t>, Leitzell</w:t>
      </w:r>
      <w:r>
        <w:t xml:space="preserve"> K</w:t>
      </w:r>
      <w:r w:rsidRPr="00241762">
        <w:t>, Lonnoy</w:t>
      </w:r>
      <w:r>
        <w:t xml:space="preserve"> E</w:t>
      </w:r>
      <w:r w:rsidRPr="00241762">
        <w:t>, Matthews</w:t>
      </w:r>
      <w:r>
        <w:t xml:space="preserve"> JBR</w:t>
      </w:r>
      <w:r w:rsidRPr="00241762">
        <w:t>, Maycock</w:t>
      </w:r>
      <w:r>
        <w:t xml:space="preserve"> TK</w:t>
      </w:r>
      <w:r w:rsidRPr="00241762">
        <w:t>, Waterfield</w:t>
      </w:r>
      <w:r>
        <w:t xml:space="preserve"> T</w:t>
      </w:r>
      <w:r w:rsidRPr="00241762">
        <w:t>, Yelekçi</w:t>
      </w:r>
      <w:r>
        <w:t xml:space="preserve"> O</w:t>
      </w:r>
      <w:r w:rsidRPr="00241762">
        <w:t>, Yu</w:t>
      </w:r>
      <w:r>
        <w:t xml:space="preserve"> R</w:t>
      </w:r>
      <w:r w:rsidRPr="00241762">
        <w:t>, Zhou</w:t>
      </w:r>
      <w:r>
        <w:t xml:space="preserve"> B</w:t>
      </w:r>
      <w:r w:rsidRPr="00241762">
        <w:t xml:space="preserve"> (eds). Climate Change 2021: The </w:t>
      </w:r>
      <w:r>
        <w:t>p</w:t>
      </w:r>
      <w:r w:rsidRPr="00241762">
        <w:t xml:space="preserve">hysical </w:t>
      </w:r>
      <w:r>
        <w:t>s</w:t>
      </w:r>
      <w:r w:rsidRPr="00241762">
        <w:t xml:space="preserve">cience </w:t>
      </w:r>
      <w:r>
        <w:t>b</w:t>
      </w:r>
      <w:r w:rsidRPr="00241762">
        <w:t xml:space="preserve">asis. </w:t>
      </w:r>
      <w:r w:rsidRPr="00241762">
        <w:rPr>
          <w:i/>
          <w:iCs/>
        </w:rPr>
        <w:t>Contribution of Working Group I to the Sixth Assessment Report of the Intergovernmental Panel on Climate Change.</w:t>
      </w:r>
      <w:r w:rsidRPr="00241762">
        <w:t xml:space="preserve"> Cambridge University Press.</w:t>
      </w:r>
    </w:p>
    <w:p w14:paraId="7E5CAAD7" w14:textId="77777777" w:rsidR="00BB3E1E" w:rsidRPr="00241762" w:rsidRDefault="00BB3E1E" w:rsidP="00BB3E1E">
      <w:pPr>
        <w:pStyle w:val="References"/>
      </w:pPr>
      <w:r w:rsidRPr="00241762">
        <w:t xml:space="preserve">Ministry </w:t>
      </w:r>
      <w:r>
        <w:t>for the Environment</w:t>
      </w:r>
      <w:r w:rsidRPr="00241762">
        <w:t xml:space="preserve">. 2006. </w:t>
      </w:r>
      <w:r w:rsidRPr="00241762">
        <w:rPr>
          <w:i/>
          <w:iCs/>
        </w:rPr>
        <w:t>New Zealand’s Initial Report under the Kyoto Protocol: Facilitating the calculation of New Zealand’s assigned amount and demonstrating New Zealand’s capacity to account for its emissions and assigned amount in accordance with Article 7 paragraph 4 of the Kyoto Protocol</w:t>
      </w:r>
      <w:r w:rsidRPr="00241762">
        <w:t>. Wellington: Ministry for the Environment.</w:t>
      </w:r>
    </w:p>
    <w:p w14:paraId="441305B2" w14:textId="77777777" w:rsidR="00BB3E1E" w:rsidRPr="00241762" w:rsidRDefault="00BB3E1E" w:rsidP="00BB3E1E">
      <w:pPr>
        <w:pStyle w:val="References"/>
      </w:pPr>
      <w:r w:rsidRPr="00241762">
        <w:t xml:space="preserve">Ministry for the Environment. 2022. </w:t>
      </w:r>
      <w:r w:rsidRPr="00864310">
        <w:rPr>
          <w:i/>
          <w:iCs/>
        </w:rPr>
        <w:t xml:space="preserve">Planned </w:t>
      </w:r>
      <w:r>
        <w:rPr>
          <w:i/>
          <w:iCs/>
        </w:rPr>
        <w:t>M</w:t>
      </w:r>
      <w:r w:rsidRPr="00864310">
        <w:rPr>
          <w:i/>
          <w:iCs/>
        </w:rPr>
        <w:t xml:space="preserve">ethodological </w:t>
      </w:r>
      <w:r>
        <w:rPr>
          <w:i/>
          <w:iCs/>
        </w:rPr>
        <w:t>I</w:t>
      </w:r>
      <w:r w:rsidRPr="00864310">
        <w:rPr>
          <w:i/>
          <w:iCs/>
        </w:rPr>
        <w:t>mprovements for Aotearoa New Zealand’s Greenhouse Gas Inventory 1990–2020</w:t>
      </w:r>
      <w:r w:rsidRPr="00241762">
        <w:t>. Wellington: Ministry for the Environment.</w:t>
      </w:r>
    </w:p>
    <w:p w14:paraId="28CE66CA" w14:textId="77777777" w:rsidR="00BB3E1E" w:rsidRPr="00241762" w:rsidRDefault="00BB3E1E" w:rsidP="00BB3E1E">
      <w:pPr>
        <w:pStyle w:val="References"/>
      </w:pPr>
      <w:r w:rsidRPr="00241762">
        <w:t xml:space="preserve">MBIE. 2021. </w:t>
      </w:r>
      <w:r w:rsidRPr="00241762">
        <w:rPr>
          <w:i/>
          <w:iCs/>
        </w:rPr>
        <w:t>Energy in New Zealand</w:t>
      </w:r>
      <w:r w:rsidRPr="00241762">
        <w:t xml:space="preserve"> </w:t>
      </w:r>
      <w:r w:rsidRPr="00864310">
        <w:rPr>
          <w:i/>
          <w:iCs/>
        </w:rPr>
        <w:t>2021</w:t>
      </w:r>
      <w:r w:rsidRPr="00241762">
        <w:t>. Wellington: Ministry of Business, Innovation and Employment.</w:t>
      </w:r>
    </w:p>
    <w:p w14:paraId="114A2728" w14:textId="2DA4AC0E" w:rsidR="00BB3E1E" w:rsidRPr="00241762" w:rsidRDefault="00BB3E1E" w:rsidP="00BB3E1E">
      <w:pPr>
        <w:pStyle w:val="References"/>
      </w:pPr>
      <w:r w:rsidRPr="00241762">
        <w:t>Paul TSH, Andersen C, Kimberley MO, Dash J, Beets PN. Unpublished(a). Carbon Stock Changes in New</w:t>
      </w:r>
      <w:r w:rsidR="00100C0F">
        <w:t> </w:t>
      </w:r>
      <w:r w:rsidRPr="00241762">
        <w:t xml:space="preserve">Zealand’s Pre-1990 Planted Forests Based on a Periodic Ground Inventory. </w:t>
      </w:r>
      <w:r>
        <w:t>R</w:t>
      </w:r>
      <w:r w:rsidRPr="00241762">
        <w:t>eport prepared for the</w:t>
      </w:r>
      <w:r w:rsidR="00100C0F">
        <w:t> </w:t>
      </w:r>
      <w:r w:rsidRPr="00241762">
        <w:t>Ministry for the Environment by the New Zealand Forest Research Institute Ltd (trading as Scion) in</w:t>
      </w:r>
      <w:r w:rsidR="00100C0F">
        <w:t> </w:t>
      </w:r>
      <w:r w:rsidRPr="00241762">
        <w:t>2016.</w:t>
      </w:r>
    </w:p>
    <w:p w14:paraId="64CCDFDA" w14:textId="77777777" w:rsidR="00BB3E1E" w:rsidRPr="00241762" w:rsidRDefault="00BB3E1E" w:rsidP="00BB3E1E">
      <w:pPr>
        <w:pStyle w:val="References"/>
      </w:pPr>
      <w:r w:rsidRPr="00241762">
        <w:t xml:space="preserve">Paul TSH, Beets PN, Kimberley MO. Unpublished(b). Carbon </w:t>
      </w:r>
      <w:r>
        <w:t>S</w:t>
      </w:r>
      <w:r w:rsidRPr="00241762">
        <w:t xml:space="preserve">tocks in New Zealand’s Post-1989 Natural Forest – Analysis of the 2018/2019 forest inventory data. </w:t>
      </w:r>
      <w:r>
        <w:t>R</w:t>
      </w:r>
      <w:r w:rsidRPr="00241762">
        <w:t>eport prepared for the Ministry for the Environment by the New Zealand Forest Research Institute Ltd (trading as Scion) in 2020.</w:t>
      </w:r>
    </w:p>
    <w:p w14:paraId="22B4A27C" w14:textId="77777777" w:rsidR="00BB3E1E" w:rsidRPr="00241762" w:rsidRDefault="00BB3E1E" w:rsidP="00BB3E1E">
      <w:pPr>
        <w:pStyle w:val="References"/>
      </w:pPr>
      <w:r w:rsidRPr="00241762">
        <w:t>Paul TSH, Kimberley MO, Beets PN. 2020. Natural Forests in New Zealand – a large terrestrial carbon pool in a national state of equilibrium. Manuscript submitted for publication.</w:t>
      </w:r>
    </w:p>
    <w:p w14:paraId="06CA454B" w14:textId="77777777" w:rsidR="00BB3E1E" w:rsidRPr="00241762" w:rsidRDefault="00BB3E1E" w:rsidP="00BB3E1E">
      <w:pPr>
        <w:pStyle w:val="References"/>
      </w:pPr>
      <w:r w:rsidRPr="00241762">
        <w:t xml:space="preserve">Paul TSH, Kimberley MO, Dodunski C. Unpublished(c). The 2019 NFI </w:t>
      </w:r>
      <w:r>
        <w:t>P</w:t>
      </w:r>
      <w:r w:rsidRPr="00241762">
        <w:t xml:space="preserve">lot </w:t>
      </w:r>
      <w:r>
        <w:t>A</w:t>
      </w:r>
      <w:r w:rsidRPr="00241762">
        <w:t xml:space="preserve">nalysis Yield </w:t>
      </w:r>
      <w:r>
        <w:t>T</w:t>
      </w:r>
      <w:r w:rsidRPr="00241762">
        <w:t xml:space="preserve">ables and </w:t>
      </w:r>
      <w:r>
        <w:t>C</w:t>
      </w:r>
      <w:r w:rsidRPr="00241762">
        <w:t xml:space="preserve">arbon </w:t>
      </w:r>
      <w:r>
        <w:t>S</w:t>
      </w:r>
      <w:r w:rsidRPr="00241762">
        <w:t xml:space="preserve">tocks at </w:t>
      </w:r>
      <w:r>
        <w:t>M</w:t>
      </w:r>
      <w:r w:rsidRPr="00241762">
        <w:t xml:space="preserve">easurement. </w:t>
      </w:r>
      <w:r>
        <w:t>R</w:t>
      </w:r>
      <w:r w:rsidRPr="00241762">
        <w:t>eport prepared for the Ministry for the Environment by New Zealand Forest Research Institute Ltd (trading as Scion) in 2020.</w:t>
      </w:r>
    </w:p>
    <w:p w14:paraId="18D10459" w14:textId="77777777" w:rsidR="00BB3E1E" w:rsidRDefault="00BB3E1E" w:rsidP="00BB3E1E">
      <w:pPr>
        <w:pStyle w:val="References"/>
      </w:pPr>
      <w:r w:rsidRPr="00241762">
        <w:t xml:space="preserve">Paul TSH, Wakelin SJ. Unpublished. Yield </w:t>
      </w:r>
      <w:r>
        <w:t>T</w:t>
      </w:r>
      <w:r w:rsidRPr="00241762">
        <w:t xml:space="preserve">ables and </w:t>
      </w:r>
      <w:r>
        <w:t>A</w:t>
      </w:r>
      <w:r w:rsidRPr="00241762">
        <w:t xml:space="preserve">pproach for </w:t>
      </w:r>
      <w:r>
        <w:t>E</w:t>
      </w:r>
      <w:r w:rsidRPr="00241762">
        <w:t xml:space="preserve">stimating </w:t>
      </w:r>
      <w:r>
        <w:t>H</w:t>
      </w:r>
      <w:r w:rsidRPr="00241762">
        <w:t xml:space="preserve">istoric </w:t>
      </w:r>
      <w:r>
        <w:t>C</w:t>
      </w:r>
      <w:r w:rsidRPr="00241762">
        <w:t xml:space="preserve">arbon </w:t>
      </w:r>
      <w:r>
        <w:t>S</w:t>
      </w:r>
      <w:r w:rsidRPr="00241762">
        <w:t xml:space="preserve">tocks in </w:t>
      </w:r>
      <w:r>
        <w:t>P</w:t>
      </w:r>
      <w:r w:rsidRPr="00241762">
        <w:t xml:space="preserve">re-1990 </w:t>
      </w:r>
      <w:r>
        <w:t>P</w:t>
      </w:r>
      <w:r w:rsidRPr="00241762">
        <w:t xml:space="preserve">lanted </w:t>
      </w:r>
      <w:r>
        <w:t>F</w:t>
      </w:r>
      <w:r w:rsidRPr="00241762">
        <w:t xml:space="preserve">orests for </w:t>
      </w:r>
      <w:r>
        <w:t>G</w:t>
      </w:r>
      <w:r w:rsidRPr="00241762">
        <w:t xml:space="preserve">reenhouse </w:t>
      </w:r>
      <w:r>
        <w:t>G</w:t>
      </w:r>
      <w:r w:rsidRPr="00241762">
        <w:t xml:space="preserve">as </w:t>
      </w:r>
      <w:r>
        <w:t>I</w:t>
      </w:r>
      <w:r w:rsidRPr="00241762">
        <w:t xml:space="preserve">nventory </w:t>
      </w:r>
      <w:r>
        <w:t>R</w:t>
      </w:r>
      <w:r w:rsidRPr="00241762">
        <w:t xml:space="preserve">eporting. </w:t>
      </w:r>
      <w:r>
        <w:t>R</w:t>
      </w:r>
      <w:r w:rsidRPr="00241762">
        <w:t>eport prepared for the Ministry for the Environment by New Zealand Forest Research Institute Ltd (trading as Scion) in 2020</w:t>
      </w:r>
      <w:r>
        <w:t>.</w:t>
      </w:r>
    </w:p>
    <w:p w14:paraId="25A0835B" w14:textId="2364C50D" w:rsidR="00BB3E1E" w:rsidRDefault="00BB3E1E" w:rsidP="00BB3E1E">
      <w:pPr>
        <w:pStyle w:val="References"/>
      </w:pPr>
      <w:r>
        <w:lastRenderedPageBreak/>
        <w:t xml:space="preserve">Stats NZ. 2007. Principles and Protocols for producers of Tier 1 statistics. </w:t>
      </w:r>
      <w:hyperlink r:id="rId38" w:history="1">
        <w:r w:rsidR="00100C0F" w:rsidRPr="000875FC">
          <w:rPr>
            <w:rStyle w:val="Hyperlink"/>
          </w:rPr>
          <w:t>www.stats.govt.nz/assets/Uploads/Principles-and-protocols-for-producers-of-tier-1-stats/principles-and-protocols-for-producers-of-tier-1-stats.pdf</w:t>
        </w:r>
      </w:hyperlink>
    </w:p>
    <w:p w14:paraId="19DBF64E" w14:textId="77777777" w:rsidR="00BB3E1E" w:rsidRPr="00241762" w:rsidRDefault="00BB3E1E" w:rsidP="00BB3E1E">
      <w:pPr>
        <w:pStyle w:val="References"/>
      </w:pPr>
      <w:r>
        <w:rPr>
          <w:rFonts w:cs="Calibri"/>
          <w:color w:val="000000"/>
          <w:szCs w:val="20"/>
          <w:shd w:val="clear" w:color="auto" w:fill="FFFFFF"/>
        </w:rPr>
        <w:t>Tonkin and Taylor Ltd. Unpublished. GHG Estimates from Non-municipal Landfills New Zealand. Contract report prepared for the Ministry for the Environment in 2014.</w:t>
      </w:r>
    </w:p>
    <w:p w14:paraId="2684C350" w14:textId="77777777" w:rsidR="00BB3E1E" w:rsidRPr="00241762" w:rsidRDefault="00BB3E1E" w:rsidP="00BB3E1E">
      <w:pPr>
        <w:pStyle w:val="References"/>
      </w:pPr>
      <w:r w:rsidRPr="00241762">
        <w:t xml:space="preserve">UNFCCC. 1992. FCCC/INFORMAL/84 </w:t>
      </w:r>
      <w:r w:rsidRPr="00241762">
        <w:rPr>
          <w:i/>
          <w:iCs/>
        </w:rPr>
        <w:t>United Nations Framework Convention on Climate Change</w:t>
      </w:r>
      <w:r w:rsidRPr="00241762">
        <w:t>. unfccc.int/files/essential_background/background_publications_htmlpdf/application/pdf/conveng.pdf</w:t>
      </w:r>
    </w:p>
    <w:p w14:paraId="4E4597A6" w14:textId="77777777" w:rsidR="00BB3E1E" w:rsidRPr="00241762" w:rsidRDefault="00BB3E1E" w:rsidP="00BB3E1E">
      <w:pPr>
        <w:pStyle w:val="References"/>
      </w:pPr>
      <w:r w:rsidRPr="00241762">
        <w:t xml:space="preserve">UNFCCC. 2005a. FCCC/KP/CMP/2005/8/Add.3. </w:t>
      </w:r>
      <w:r w:rsidRPr="00241762">
        <w:rPr>
          <w:i/>
          <w:iCs/>
        </w:rPr>
        <w:t>Land use, land-use change and forestry</w:t>
      </w:r>
      <w:r w:rsidRPr="00241762">
        <w:t>.</w:t>
      </w:r>
    </w:p>
    <w:p w14:paraId="5ED78EFF" w14:textId="77777777" w:rsidR="00BB3E1E" w:rsidRPr="00241762" w:rsidRDefault="00BB3E1E" w:rsidP="00BB3E1E">
      <w:pPr>
        <w:pStyle w:val="References"/>
      </w:pPr>
      <w:r w:rsidRPr="00241762">
        <w:t xml:space="preserve">UNFCCC. 2005b. FCCC/KP/CMP/2005/8/Add.2. </w:t>
      </w:r>
      <w:r w:rsidRPr="00241762">
        <w:rPr>
          <w:i/>
          <w:iCs/>
        </w:rPr>
        <w:t>Modalities for the accounting of assigned amounts under Article 7, paragraph 4 of the Kyoto Protocol</w:t>
      </w:r>
      <w:r w:rsidRPr="00241762">
        <w:t>.</w:t>
      </w:r>
    </w:p>
    <w:p w14:paraId="0E95C8B9" w14:textId="77777777" w:rsidR="00BB3E1E" w:rsidRPr="00241762" w:rsidRDefault="00BB3E1E" w:rsidP="00BB3E1E">
      <w:pPr>
        <w:pStyle w:val="References"/>
      </w:pPr>
      <w:r w:rsidRPr="00241762">
        <w:t xml:space="preserve">UNFCCC. 2005c. FCCC/KP/CMP/2005/8/Add.2. </w:t>
      </w:r>
      <w:r w:rsidRPr="00241762">
        <w:rPr>
          <w:i/>
          <w:iCs/>
        </w:rPr>
        <w:t>Standard electronic format for reporting Kyoto Protocol units</w:t>
      </w:r>
      <w:r w:rsidRPr="00241762">
        <w:t>.</w:t>
      </w:r>
    </w:p>
    <w:p w14:paraId="23420CE4" w14:textId="77777777" w:rsidR="00BB3E1E" w:rsidRPr="00241762" w:rsidRDefault="00BB3E1E" w:rsidP="00BB3E1E">
      <w:pPr>
        <w:pStyle w:val="References"/>
      </w:pPr>
      <w:r w:rsidRPr="00241762">
        <w:t xml:space="preserve">UNFCCC. 2005d. FCCC/KP/CMP/2005/8/Add.2. </w:t>
      </w:r>
      <w:r w:rsidRPr="00241762">
        <w:rPr>
          <w:i/>
          <w:iCs/>
        </w:rPr>
        <w:t>Guidelines for the preparation of the information required under Article 7 of the Kyoto Protocol</w:t>
      </w:r>
      <w:r w:rsidRPr="00241762">
        <w:t>.</w:t>
      </w:r>
    </w:p>
    <w:p w14:paraId="37F55CB2" w14:textId="77777777" w:rsidR="00BB3E1E" w:rsidRPr="00241762" w:rsidRDefault="00BB3E1E" w:rsidP="00BB3E1E">
      <w:pPr>
        <w:pStyle w:val="References"/>
      </w:pPr>
      <w:r w:rsidRPr="00241762">
        <w:t xml:space="preserve">UNFCCC. 2005e. FCCC/KP/CMP/2005/8/Add.3 </w:t>
      </w:r>
      <w:r w:rsidRPr="00241762">
        <w:rPr>
          <w:i/>
          <w:iCs/>
        </w:rPr>
        <w:t>Guidelines for national systems under Article 5, paragraph 1 of the Kyoto Protocol</w:t>
      </w:r>
      <w:r w:rsidRPr="00241762">
        <w:t>.</w:t>
      </w:r>
    </w:p>
    <w:p w14:paraId="5AF1F8A5" w14:textId="77777777" w:rsidR="00BB3E1E" w:rsidRPr="00241762" w:rsidRDefault="00BB3E1E" w:rsidP="00BB3E1E">
      <w:pPr>
        <w:pStyle w:val="References"/>
      </w:pPr>
      <w:r w:rsidRPr="00241762">
        <w:t xml:space="preserve">UNFCCC. 2005f. FCCC/KP/CMP/2005/8/Add.3 </w:t>
      </w:r>
      <w:r w:rsidRPr="00241762">
        <w:rPr>
          <w:i/>
          <w:iCs/>
        </w:rPr>
        <w:t>Good practice guidance and adjustments under Article 5, paragraph 2 of the Kyoto Protocol</w:t>
      </w:r>
      <w:r w:rsidRPr="00241762">
        <w:t>.</w:t>
      </w:r>
    </w:p>
    <w:p w14:paraId="0FDCC5EF" w14:textId="77777777" w:rsidR="00BB3E1E" w:rsidRPr="00241762" w:rsidRDefault="00BB3E1E" w:rsidP="00BB3E1E">
      <w:pPr>
        <w:pStyle w:val="References"/>
      </w:pPr>
      <w:r w:rsidRPr="00241762">
        <w:t xml:space="preserve">UNFCCC. 2005g. FCCC/KP/CMP/2005/8/Add.3 </w:t>
      </w:r>
      <w:r w:rsidRPr="00241762">
        <w:rPr>
          <w:i/>
          <w:iCs/>
        </w:rPr>
        <w:t>Issues relating to adjustments under Article 5, paragraph 2 of the Kyoto Protocol</w:t>
      </w:r>
      <w:r w:rsidRPr="00241762">
        <w:t>.</w:t>
      </w:r>
    </w:p>
    <w:p w14:paraId="23A21C32" w14:textId="77777777" w:rsidR="00BB3E1E" w:rsidRPr="00241762" w:rsidRDefault="00BB3E1E" w:rsidP="00BB3E1E">
      <w:pPr>
        <w:pStyle w:val="References"/>
      </w:pPr>
      <w:r w:rsidRPr="00241762">
        <w:t xml:space="preserve">UNFCCC. 2005h. FCCC/KP/CMP/2005/8/Add.3 </w:t>
      </w:r>
      <w:r w:rsidRPr="00241762">
        <w:rPr>
          <w:i/>
          <w:iCs/>
        </w:rPr>
        <w:t>Guidelines for review under Article 8 of the Kyoto Protocol</w:t>
      </w:r>
      <w:r w:rsidRPr="00241762">
        <w:t>.</w:t>
      </w:r>
    </w:p>
    <w:p w14:paraId="1D2070C0" w14:textId="77777777" w:rsidR="00BB3E1E" w:rsidRPr="00241762" w:rsidRDefault="00BB3E1E" w:rsidP="00BB3E1E">
      <w:pPr>
        <w:pStyle w:val="References"/>
      </w:pPr>
      <w:r w:rsidRPr="00241762">
        <w:t xml:space="preserve">UNFCCC. 2005i. FCCC/KP/CMP/2005/8/Add.3 </w:t>
      </w:r>
      <w:r w:rsidRPr="00241762">
        <w:rPr>
          <w:i/>
          <w:iCs/>
        </w:rPr>
        <w:t>Terms of service for lead reviewers</w:t>
      </w:r>
      <w:r w:rsidRPr="00241762">
        <w:t>.</w:t>
      </w:r>
    </w:p>
    <w:p w14:paraId="00922D47" w14:textId="77777777" w:rsidR="00BB3E1E" w:rsidRPr="00241762" w:rsidRDefault="00BB3E1E" w:rsidP="00BB3E1E">
      <w:pPr>
        <w:pStyle w:val="References"/>
      </w:pPr>
      <w:r w:rsidRPr="00241762">
        <w:t xml:space="preserve">UNFCCC. 2005j. FCCC/KP/CMP/2005/8/Add.3 </w:t>
      </w:r>
      <w:r w:rsidRPr="00241762">
        <w:rPr>
          <w:i/>
          <w:iCs/>
        </w:rPr>
        <w:t>Issues relating to the implementation of Article 8 of the Kyoto Protocol – 1 (Training programme for members of expert review teams)</w:t>
      </w:r>
      <w:r w:rsidRPr="00241762">
        <w:t>.</w:t>
      </w:r>
    </w:p>
    <w:p w14:paraId="02DFA0C3" w14:textId="77777777" w:rsidR="00BB3E1E" w:rsidRPr="00241762" w:rsidRDefault="00BB3E1E" w:rsidP="00BB3E1E">
      <w:pPr>
        <w:pStyle w:val="References"/>
      </w:pPr>
      <w:r w:rsidRPr="00241762">
        <w:t xml:space="preserve">UNFCCC. 2005k. FCCC/KP/CMP/2005/8/Add.3 </w:t>
      </w:r>
      <w:r w:rsidRPr="00241762">
        <w:rPr>
          <w:i/>
          <w:iCs/>
        </w:rPr>
        <w:t>Issues relating to the implementation of Article 8 of the Kyoto Protocol – 2 (Confidential information)</w:t>
      </w:r>
      <w:r w:rsidRPr="00241762">
        <w:t>.</w:t>
      </w:r>
    </w:p>
    <w:p w14:paraId="58271382" w14:textId="77777777" w:rsidR="00BB3E1E" w:rsidRPr="00241762" w:rsidRDefault="00BB3E1E" w:rsidP="00BB3E1E">
      <w:pPr>
        <w:pStyle w:val="References"/>
      </w:pPr>
      <w:r w:rsidRPr="00241762">
        <w:t xml:space="preserve">UNFCCC. 2006. FCCC/SBSTA/2006/9. </w:t>
      </w:r>
      <w:r w:rsidRPr="00241762">
        <w:rPr>
          <w:i/>
          <w:iCs/>
        </w:rPr>
        <w:t>Guidelines for the preparation of national communications by Parties included in Annex I to the Convention, Part I: UNFCCC reporting guidelines on annual inventories (following incorporation of the provisions of Decision 13/CP.9)</w:t>
      </w:r>
      <w:r w:rsidRPr="00241762">
        <w:t>.</w:t>
      </w:r>
    </w:p>
    <w:p w14:paraId="6E24502E" w14:textId="77777777" w:rsidR="00BB3E1E" w:rsidRPr="00241762" w:rsidRDefault="00BB3E1E" w:rsidP="00BB3E1E">
      <w:pPr>
        <w:pStyle w:val="References"/>
      </w:pPr>
      <w:r w:rsidRPr="00241762">
        <w:t xml:space="preserve">UNFCCC. 2012. FCCC/KP/CMP/2011/10/Add.1. </w:t>
      </w:r>
      <w:r w:rsidRPr="00241762">
        <w:rPr>
          <w:i/>
          <w:iCs/>
        </w:rPr>
        <w:t>Report of the Conference of the Parties serving as the meeting of the Parties to the Kyoto Protocol on its seventh session, held in Durban from 28 November to 11 December 2011; Decision 2/CMP.7, Land use, land-use change and forestry</w:t>
      </w:r>
      <w:r w:rsidRPr="00241762">
        <w:t>.</w:t>
      </w:r>
    </w:p>
    <w:p w14:paraId="0224E02A" w14:textId="77777777" w:rsidR="00BB3E1E" w:rsidRPr="00241762" w:rsidRDefault="00BB3E1E" w:rsidP="00BB3E1E">
      <w:pPr>
        <w:pStyle w:val="References"/>
      </w:pPr>
      <w:r w:rsidRPr="00241762">
        <w:t>UNFCCC. 2013</w:t>
      </w:r>
      <w:r>
        <w:t>a</w:t>
      </w:r>
      <w:r w:rsidRPr="00241762">
        <w:t xml:space="preserve">. FCCC/CP/2013/10/Add.3. </w:t>
      </w:r>
      <w:r w:rsidRPr="00241762">
        <w:rPr>
          <w:i/>
          <w:iCs/>
        </w:rPr>
        <w:t>Report of the Conference of the Parties on its nineteenth session, held in Warsaw from 11 to 23 November 2013, Addendum; Decision 24/CP.19 Revision of the UNFCCC reporting guidelines on annual inventories for Parties included in Annex I to the Convention</w:t>
      </w:r>
      <w:r w:rsidRPr="00241762">
        <w:t>.</w:t>
      </w:r>
    </w:p>
    <w:p w14:paraId="5BB84AA7" w14:textId="77777777" w:rsidR="00BB3E1E" w:rsidRPr="00241762" w:rsidRDefault="00BB3E1E" w:rsidP="00BB3E1E">
      <w:pPr>
        <w:pStyle w:val="References"/>
      </w:pPr>
      <w:r w:rsidRPr="00241762">
        <w:t>UNFCCC. 2013</w:t>
      </w:r>
      <w:r>
        <w:t>b</w:t>
      </w:r>
      <w:r w:rsidRPr="00241762">
        <w:t xml:space="preserve">. FCCC/KP/CMP/2012/13/Add.1. </w:t>
      </w:r>
      <w:r w:rsidRPr="00241762">
        <w:rPr>
          <w:i/>
          <w:iCs/>
        </w:rPr>
        <w:t>Decision 2/CMP.8 Implications of the implementation of decisions 2/CMP.7 to 5/CMP.7 on the previous decisions on methodological issues related to the Kyoto Protocol, including those relating to Articles 5, 7 and 8 of the Kyoto Protocol, Annex 2</w:t>
      </w:r>
      <w:r w:rsidRPr="00241762">
        <w:t>.</w:t>
      </w:r>
    </w:p>
    <w:p w14:paraId="4814C6A1" w14:textId="77777777" w:rsidR="00BB3E1E" w:rsidRPr="00241762" w:rsidRDefault="00BB3E1E" w:rsidP="00BB3E1E">
      <w:pPr>
        <w:pStyle w:val="References"/>
      </w:pPr>
      <w:r w:rsidRPr="00241762">
        <w:t xml:space="preserve">UNFCCC. 2016a. FCCC/KP/CMP/2015/8/Add.1. </w:t>
      </w:r>
      <w:r w:rsidRPr="00241762">
        <w:rPr>
          <w:i/>
          <w:iCs/>
        </w:rPr>
        <w:t>Decision 3/CMP.11 Implications of the implementation of decisions 2/CMP.7 to 4/CMP.7 and 1/CMP.8 on the previous decisions on methodological issues related to the Kyoto Protocol, including those relating to Articles 5, 7 and 8 of the Kyoto Protocol, part I: implications related to accounting and reporting and other related issues</w:t>
      </w:r>
      <w:r w:rsidRPr="00241762">
        <w:t>.</w:t>
      </w:r>
    </w:p>
    <w:p w14:paraId="6014F6C9" w14:textId="77777777" w:rsidR="00BB3E1E" w:rsidRPr="00241762" w:rsidRDefault="00BB3E1E" w:rsidP="00BB3E1E">
      <w:pPr>
        <w:pStyle w:val="References"/>
      </w:pPr>
      <w:r w:rsidRPr="00241762">
        <w:t xml:space="preserve">UNFCCC. 2016b. FCCC/KP/CMP/2015/8/Add.1. </w:t>
      </w:r>
      <w:r w:rsidRPr="00241762">
        <w:rPr>
          <w:i/>
          <w:iCs/>
        </w:rPr>
        <w:t>Decision 4/CMP.11 Implications of the implementation of decisions 2/CMP.7 to 4/CMP.7 and 1/CMP.8 on the previous decisions on methodological issues related to the Kyoto Protocol, including those relating to Articles 5, 7 and 8 of the Kyoto Protocol, part II: implications related to review and adjustments and other related issues</w:t>
      </w:r>
      <w:r w:rsidRPr="00241762">
        <w:t>.</w:t>
      </w:r>
    </w:p>
    <w:p w14:paraId="1F4C773B" w14:textId="77777777" w:rsidR="00BB3E1E" w:rsidRPr="00241762" w:rsidRDefault="00BB3E1E" w:rsidP="00BB3E1E">
      <w:pPr>
        <w:pStyle w:val="References"/>
      </w:pPr>
      <w:r w:rsidRPr="00241762">
        <w:lastRenderedPageBreak/>
        <w:t xml:space="preserve">United Nations. 1945. </w:t>
      </w:r>
      <w:r w:rsidRPr="00241762">
        <w:rPr>
          <w:i/>
          <w:iCs/>
        </w:rPr>
        <w:t>Charter of the United Nations, 1945.</w:t>
      </w:r>
      <w:r w:rsidRPr="00241762">
        <w:t xml:space="preserve"> Retrieved from </w:t>
      </w:r>
      <w:hyperlink r:id="rId39">
        <w:r w:rsidRPr="00241762">
          <w:rPr>
            <w:rStyle w:val="Hyperlink"/>
          </w:rPr>
          <w:t>www.un.org/en/sections/un-charter/ chapter-xi</w:t>
        </w:r>
      </w:hyperlink>
      <w:r w:rsidRPr="00241762">
        <w:t xml:space="preserve"> (7 February 2019).</w:t>
      </w:r>
    </w:p>
    <w:p w14:paraId="5386CFB9" w14:textId="77777777" w:rsidR="00BB3E1E" w:rsidRPr="00241762" w:rsidRDefault="00BB3E1E" w:rsidP="00BB3E1E">
      <w:pPr>
        <w:pStyle w:val="References"/>
      </w:pPr>
      <w:r w:rsidRPr="00241762">
        <w:t>Verum Group Ltd. Unpublished. Hennessy W. Inventory of HFC, SF</w:t>
      </w:r>
      <w:r w:rsidRPr="00241762">
        <w:rPr>
          <w:vertAlign w:val="subscript"/>
        </w:rPr>
        <w:t>6</w:t>
      </w:r>
      <w:r w:rsidRPr="00241762">
        <w:t xml:space="preserve"> and Other Industrial Process Emissions for New Zealand 2019. Report prepared by Verum Group Ltd for the Ministry for the Environment in 2020.</w:t>
      </w:r>
    </w:p>
    <w:bookmarkEnd w:id="52"/>
    <w:bookmarkEnd w:id="122"/>
    <w:p w14:paraId="75DBDC5F" w14:textId="77777777" w:rsidR="00BB3E1E" w:rsidRPr="00241762" w:rsidRDefault="00BB3E1E" w:rsidP="00BB3E1E">
      <w:pPr>
        <w:pStyle w:val="References"/>
      </w:pPr>
    </w:p>
    <w:p w14:paraId="304A7999" w14:textId="77777777" w:rsidR="004B119E" w:rsidRDefault="004B119E" w:rsidP="00DF1483"/>
    <w:p w14:paraId="51785007" w14:textId="77777777" w:rsidR="00DB72F5" w:rsidRDefault="00DB72F5" w:rsidP="00DF1483"/>
    <w:p w14:paraId="6F53B815" w14:textId="77777777" w:rsidR="00DB72F5" w:rsidRDefault="00DB72F5" w:rsidP="004B119E">
      <w:pPr>
        <w:pStyle w:val="Heading1"/>
        <w:sectPr w:rsidR="00DB72F5" w:rsidSect="00715D39">
          <w:footerReference w:type="even" r:id="rId40"/>
          <w:pgSz w:w="11907" w:h="16840" w:code="9"/>
          <w:pgMar w:top="1418" w:right="1701" w:bottom="1418" w:left="1701" w:header="567" w:footer="567" w:gutter="0"/>
          <w:pgNumType w:start="1"/>
          <w:cols w:space="720"/>
        </w:sectPr>
      </w:pPr>
    </w:p>
    <w:p w14:paraId="7C792689" w14:textId="598AE79A" w:rsidR="00D42431" w:rsidRPr="002D5D12" w:rsidRDefault="00D42431" w:rsidP="00D42431">
      <w:pPr>
        <w:pStyle w:val="Heading1"/>
      </w:pPr>
      <w:bookmarkStart w:id="123" w:name="_Hlk98842920"/>
      <w:bookmarkStart w:id="124" w:name="_Toc99659106"/>
      <w:bookmarkStart w:id="125" w:name="Xc4567ae76f74431cc2af840963db2d9756f3548"/>
      <w:r w:rsidRPr="002D5D12">
        <w:lastRenderedPageBreak/>
        <w:t>Chapter 2: Trends in greenhouse gas</w:t>
      </w:r>
      <w:r w:rsidR="00415899">
        <w:t> </w:t>
      </w:r>
      <w:r w:rsidRPr="002D5D12">
        <w:t>emissions</w:t>
      </w:r>
      <w:bookmarkEnd w:id="123"/>
      <w:bookmarkEnd w:id="124"/>
    </w:p>
    <w:p w14:paraId="4EC84D0E" w14:textId="043C17F1" w:rsidR="00D42431" w:rsidRPr="002D5D12" w:rsidRDefault="00D42431" w:rsidP="004B2C0D">
      <w:pPr>
        <w:pStyle w:val="Heading2"/>
        <w:spacing w:before="240"/>
      </w:pPr>
      <w:bookmarkStart w:id="126" w:name="_Toc99659107"/>
      <w:bookmarkStart w:id="127" w:name="Xc18360dfc6212928016160615ae2156e796cab2"/>
      <w:r w:rsidRPr="002D5D12">
        <w:t xml:space="preserve">2.1 </w:t>
      </w:r>
      <w:r w:rsidRPr="002D5D12">
        <w:tab/>
        <w:t>Emission trends for aggregated greenhouse</w:t>
      </w:r>
      <w:r w:rsidR="00415899">
        <w:t> </w:t>
      </w:r>
      <w:r w:rsidRPr="002D5D12">
        <w:t>gas emissions</w:t>
      </w:r>
      <w:bookmarkEnd w:id="126"/>
    </w:p>
    <w:p w14:paraId="7540F284" w14:textId="77777777" w:rsidR="00D42431" w:rsidRPr="002D5D12" w:rsidRDefault="00D42431" w:rsidP="00D42431">
      <w:pPr>
        <w:pStyle w:val="BodyText"/>
      </w:pPr>
      <w:r w:rsidRPr="002D5D12">
        <w:t>This chapter describes emission trends by sector and greenhouse gas (GHG).</w:t>
      </w:r>
    </w:p>
    <w:p w14:paraId="57A4A963" w14:textId="77777777" w:rsidR="00D42431" w:rsidRPr="002D5D12" w:rsidRDefault="00D42431" w:rsidP="00D42431">
      <w:pPr>
        <w:pStyle w:val="Heading3"/>
      </w:pPr>
      <w:bookmarkStart w:id="128" w:name="X002422d0567cd750bab41c7667376f54b64c7c1"/>
      <w:r w:rsidRPr="002D5D12">
        <w:t xml:space="preserve">2.1.1 </w:t>
      </w:r>
      <w:r w:rsidRPr="002D5D12">
        <w:tab/>
        <w:t>National trends in greenhouse gas emissions</w:t>
      </w:r>
    </w:p>
    <w:p w14:paraId="6303297B" w14:textId="77777777" w:rsidR="00D42431" w:rsidRPr="002D5D12" w:rsidRDefault="00D42431" w:rsidP="00D42431">
      <w:pPr>
        <w:pStyle w:val="Heading4"/>
      </w:pPr>
      <w:bookmarkStart w:id="129" w:name="gross-emissions"/>
      <w:r w:rsidRPr="002D5D12">
        <w:t>Gross emissions</w:t>
      </w:r>
    </w:p>
    <w:p w14:paraId="0B5B50D1" w14:textId="110A9BF9" w:rsidR="00D42431" w:rsidRPr="002D5D12" w:rsidRDefault="00D42431" w:rsidP="00D42431">
      <w:pPr>
        <w:pStyle w:val="BodyText"/>
      </w:pPr>
      <w:r w:rsidRPr="002D5D12">
        <w:t>Gross emissions include those from Energy, Industrial Processes and Product Use (IPPU), Agriculture, Waste and Tokelau, but do not include emissions and removals from the Land Use,</w:t>
      </w:r>
      <w:r w:rsidR="00415899">
        <w:t> </w:t>
      </w:r>
      <w:r w:rsidRPr="002D5D12">
        <w:t>Land-Use Change and Forestry (LULUCF) sector (UNFCCC, 2013).</w:t>
      </w:r>
    </w:p>
    <w:p w14:paraId="49382270" w14:textId="77777777" w:rsidR="00D42431" w:rsidRPr="002D5D12" w:rsidRDefault="00D42431" w:rsidP="00D42431">
      <w:pPr>
        <w:pStyle w:val="Heading5"/>
      </w:pPr>
      <w:r w:rsidRPr="002D5D12">
        <w:t>1990–2020</w:t>
      </w:r>
    </w:p>
    <w:p w14:paraId="098E0B97" w14:textId="77777777" w:rsidR="00D42431" w:rsidRPr="002D5D12" w:rsidRDefault="00D42431" w:rsidP="0022079E">
      <w:pPr>
        <w:pStyle w:val="BodyText"/>
      </w:pPr>
      <w:r w:rsidRPr="002D5D12">
        <w:t>In 1990, New Zealand’s gross GHG emissions were 65,197.0 kilotonnes carbon dioxide equivalent (kt CO</w:t>
      </w:r>
      <w:r w:rsidRPr="002D5D12">
        <w:rPr>
          <w:vertAlign w:val="subscript"/>
        </w:rPr>
        <w:t>2</w:t>
      </w:r>
      <w:r w:rsidRPr="002D5D12">
        <w:t>-e). Between 1990 and 2020, GHG emissions increased by 13,581.4 kt CO</w:t>
      </w:r>
      <w:r w:rsidRPr="002D5D12">
        <w:rPr>
          <w:vertAlign w:val="subscript"/>
        </w:rPr>
        <w:t>2</w:t>
      </w:r>
      <w:r w:rsidRPr="002D5D12">
        <w:t>-e (20.8 per cent) to 78,778.4 kt CO</w:t>
      </w:r>
      <w:r w:rsidRPr="002D5D12">
        <w:rPr>
          <w:vertAlign w:val="subscript"/>
        </w:rPr>
        <w:t>2</w:t>
      </w:r>
      <w:r w:rsidRPr="002D5D12">
        <w:t>-e in 2020 (see figure 2.1.1). From 1990 to 2020, the average annual growth in gross emissions was 0.6 per cent.</w:t>
      </w:r>
    </w:p>
    <w:p w14:paraId="295F5EB9" w14:textId="77777777" w:rsidR="00D42431" w:rsidRPr="002D5D12" w:rsidRDefault="00D42431" w:rsidP="0022079E">
      <w:pPr>
        <w:pStyle w:val="BodyText"/>
      </w:pPr>
      <w:r w:rsidRPr="002D5D12">
        <w:t xml:space="preserve">The emission categories that contributed the most to this increase in gross emissions were: </w:t>
      </w:r>
      <w:r w:rsidRPr="002D5D12">
        <w:rPr>
          <w:i/>
          <w:iCs/>
        </w:rPr>
        <w:t>Enteric fermentation</w:t>
      </w:r>
      <w:r w:rsidRPr="002D5D12">
        <w:rPr>
          <w:rStyle w:val="FootnoteReference"/>
        </w:rPr>
        <w:footnoteReference w:id="20"/>
      </w:r>
      <w:r w:rsidRPr="002D5D12">
        <w:t xml:space="preserve"> </w:t>
      </w:r>
      <w:r w:rsidRPr="002D5D12">
        <w:rPr>
          <w:i/>
          <w:iCs/>
        </w:rPr>
        <w:t>from dairy cattle</w:t>
      </w:r>
      <w:r w:rsidRPr="002D5D12">
        <w:t xml:space="preserve">, </w:t>
      </w:r>
      <w:r w:rsidRPr="002D5D12">
        <w:rPr>
          <w:i/>
          <w:iCs/>
        </w:rPr>
        <w:t>Road transportation</w:t>
      </w:r>
      <w:r w:rsidRPr="002D5D12">
        <w:t xml:space="preserve">, </w:t>
      </w:r>
      <w:r w:rsidRPr="002D5D12">
        <w:rPr>
          <w:i/>
          <w:iCs/>
        </w:rPr>
        <w:t>Agricultural soils</w:t>
      </w:r>
      <w:r w:rsidRPr="002D5D12">
        <w:t xml:space="preserve">, </w:t>
      </w:r>
      <w:r w:rsidRPr="002D5D12">
        <w:rPr>
          <w:i/>
          <w:iCs/>
        </w:rPr>
        <w:t xml:space="preserve">Manufacturing </w:t>
      </w:r>
      <w:r w:rsidRPr="00415899">
        <w:rPr>
          <w:i/>
          <w:iCs/>
          <w:spacing w:val="-2"/>
        </w:rPr>
        <w:t>industries and construction</w:t>
      </w:r>
      <w:r w:rsidRPr="00415899">
        <w:rPr>
          <w:spacing w:val="-2"/>
        </w:rPr>
        <w:t xml:space="preserve"> (especially the categories </w:t>
      </w:r>
      <w:r w:rsidRPr="00415899">
        <w:rPr>
          <w:i/>
          <w:iCs/>
          <w:spacing w:val="-2"/>
        </w:rPr>
        <w:t>Chemicals</w:t>
      </w:r>
      <w:r w:rsidRPr="00415899">
        <w:rPr>
          <w:spacing w:val="-2"/>
        </w:rPr>
        <w:t xml:space="preserve"> and </w:t>
      </w:r>
      <w:r w:rsidRPr="00415899">
        <w:rPr>
          <w:i/>
          <w:iCs/>
          <w:spacing w:val="-2"/>
        </w:rPr>
        <w:t>Food processing, beverages</w:t>
      </w:r>
      <w:r w:rsidRPr="002D5D12">
        <w:rPr>
          <w:i/>
          <w:iCs/>
        </w:rPr>
        <w:t xml:space="preserve"> and tobacco</w:t>
      </w:r>
      <w:r w:rsidRPr="002D5D12">
        <w:t xml:space="preserve">) and </w:t>
      </w:r>
      <w:r w:rsidRPr="002D5D12">
        <w:rPr>
          <w:i/>
          <w:iCs/>
        </w:rPr>
        <w:t>Product uses as substitutes for ODS</w:t>
      </w:r>
      <w:r w:rsidRPr="002D5D12">
        <w:t>.</w:t>
      </w:r>
      <w:r w:rsidRPr="002D5D12">
        <w:rPr>
          <w:rStyle w:val="FootnoteReference"/>
        </w:rPr>
        <w:footnoteReference w:id="21"/>
      </w:r>
    </w:p>
    <w:p w14:paraId="4AC1A1E5" w14:textId="77777777" w:rsidR="00D42431" w:rsidRPr="002D5D12" w:rsidRDefault="00D42431" w:rsidP="00D42431">
      <w:pPr>
        <w:pStyle w:val="Heading5"/>
      </w:pPr>
      <w:r w:rsidRPr="002D5D12">
        <w:t>2019–2020</w:t>
      </w:r>
    </w:p>
    <w:p w14:paraId="016C9AFF" w14:textId="77777777" w:rsidR="00D42431" w:rsidRPr="002D5D12" w:rsidRDefault="00D42431" w:rsidP="00D42431">
      <w:pPr>
        <w:pStyle w:val="BodyText"/>
      </w:pPr>
      <w:r w:rsidRPr="002D5D12">
        <w:t>Between 2019 and 2020, New Zealand’s gross emissions decreased by 2,838.7 kt CO</w:t>
      </w:r>
      <w:r w:rsidRPr="002D5D12">
        <w:rPr>
          <w:vertAlign w:val="subscript"/>
        </w:rPr>
        <w:t>2</w:t>
      </w:r>
      <w:r w:rsidRPr="002D5D12">
        <w:t>-e (3.5 per cent), which was primarily driven by a decrease in emissions from the Energy sector (of 2,459.0 kt CO</w:t>
      </w:r>
      <w:r w:rsidRPr="002D5D12">
        <w:rPr>
          <w:vertAlign w:val="subscript"/>
        </w:rPr>
        <w:t>2</w:t>
      </w:r>
      <w:r w:rsidRPr="002D5D12">
        <w:t>-e or 7.2 per cent) due to COVID-19 restrictions. This was mainly due to a decrease in emissions from reduced fuel use in:</w:t>
      </w:r>
    </w:p>
    <w:p w14:paraId="3E82E315" w14:textId="77777777" w:rsidR="00D42431" w:rsidRPr="002D5D12" w:rsidRDefault="00D42431" w:rsidP="00D42431">
      <w:pPr>
        <w:pStyle w:val="Bullet"/>
      </w:pPr>
      <w:r w:rsidRPr="002D5D12">
        <w:rPr>
          <w:i/>
          <w:iCs/>
        </w:rPr>
        <w:t>Road transportation</w:t>
      </w:r>
      <w:r w:rsidRPr="002D5D12">
        <w:t xml:space="preserve"> (carbon dioxide)</w:t>
      </w:r>
    </w:p>
    <w:p w14:paraId="3E4E6A2E" w14:textId="77777777" w:rsidR="00D42431" w:rsidRPr="002D5D12" w:rsidRDefault="00D42431" w:rsidP="00D42431">
      <w:pPr>
        <w:pStyle w:val="Bullet"/>
      </w:pPr>
      <w:r w:rsidRPr="002D5D12">
        <w:rPr>
          <w:i/>
          <w:iCs/>
        </w:rPr>
        <w:t>Manufacturing industries and construction</w:t>
      </w:r>
      <w:r w:rsidRPr="002D5D12">
        <w:t xml:space="preserve"> (carbon dioxide)</w:t>
      </w:r>
    </w:p>
    <w:p w14:paraId="614C4BF0" w14:textId="77777777" w:rsidR="00D42431" w:rsidRPr="002D5D12" w:rsidRDefault="00D42431" w:rsidP="00D42431">
      <w:pPr>
        <w:pStyle w:val="Bullet"/>
      </w:pPr>
      <w:r w:rsidRPr="002D5D12">
        <w:rPr>
          <w:i/>
          <w:iCs/>
        </w:rPr>
        <w:t>Domestic aviation</w:t>
      </w:r>
      <w:r w:rsidRPr="002D5D12">
        <w:t xml:space="preserve"> (carbon dioxide).</w:t>
      </w:r>
    </w:p>
    <w:p w14:paraId="470A1F3D" w14:textId="77777777" w:rsidR="00D42431" w:rsidRPr="002D5D12" w:rsidRDefault="00D42431" w:rsidP="00D42431">
      <w:pPr>
        <w:pStyle w:val="BodyText"/>
      </w:pPr>
      <w:r w:rsidRPr="002D5D12">
        <w:t>Emissions from the IPPU sector decreased by 5.0 per cent, which is attributed to restrictions brought about by the COVID-19 pandemic. Emissions from the Agriculture and Waste sectors changed only by small annual variations of 0.2 per cent and 1.3 per cent respectively.</w:t>
      </w:r>
    </w:p>
    <w:p w14:paraId="6A5D33F6" w14:textId="3E7F4E55" w:rsidR="00D42431" w:rsidRPr="002D5D12" w:rsidRDefault="00D42431" w:rsidP="00D42431">
      <w:pPr>
        <w:pStyle w:val="Heading4"/>
      </w:pPr>
      <w:bookmarkStart w:id="130" w:name="X3a60496ea61900d773b3eb72738d5a1d237439b"/>
      <w:bookmarkEnd w:id="129"/>
      <w:r w:rsidRPr="002D5D12">
        <w:lastRenderedPageBreak/>
        <w:t>Net emissions:</w:t>
      </w:r>
      <w:r w:rsidRPr="002D5D12" w:rsidDel="00E07B49">
        <w:t xml:space="preserve"> </w:t>
      </w:r>
      <w:r w:rsidRPr="002D5D12">
        <w:t>reporting under the United Nations Framework Convention on Climate</w:t>
      </w:r>
      <w:r w:rsidR="00415899">
        <w:t> </w:t>
      </w:r>
      <w:r w:rsidRPr="002D5D12">
        <w:t>Change</w:t>
      </w:r>
    </w:p>
    <w:p w14:paraId="149F452D" w14:textId="57B5F8E6" w:rsidR="00D42431" w:rsidRPr="002D5D12" w:rsidRDefault="00D42431" w:rsidP="008E253C">
      <w:pPr>
        <w:pStyle w:val="BodyText"/>
        <w:spacing w:before="100" w:after="100"/>
      </w:pPr>
      <w:r w:rsidRPr="002D5D12">
        <w:t>Net emissions include gross emissions as defined above (i.e., from the Energy, IPPU, Agriculture and Waste sectors, including Tokelau) and net emissions from the LULUCF sector,</w:t>
      </w:r>
      <w:r w:rsidR="00415899">
        <w:t> </w:t>
      </w:r>
      <w:r w:rsidRPr="002D5D12">
        <w:t>as reported under the United Nations Framework Convention on Climate Change (the</w:t>
      </w:r>
      <w:r w:rsidR="00415899">
        <w:t> </w:t>
      </w:r>
      <w:r w:rsidRPr="002D5D12">
        <w:t>Convention).</w:t>
      </w:r>
    </w:p>
    <w:p w14:paraId="3D2D9CE6" w14:textId="0789BF2C" w:rsidR="00D42431" w:rsidRPr="002D5D12" w:rsidRDefault="00D42431" w:rsidP="008E253C">
      <w:pPr>
        <w:pStyle w:val="BodyText"/>
        <w:spacing w:before="100" w:after="100"/>
      </w:pPr>
      <w:r w:rsidRPr="002D5D12">
        <w:t>In 1990, New Zealand’s net emissions were 43,967.8 kt CO</w:t>
      </w:r>
      <w:r w:rsidRPr="002D5D12">
        <w:rPr>
          <w:vertAlign w:val="subscript"/>
        </w:rPr>
        <w:t>2</w:t>
      </w:r>
      <w:r w:rsidRPr="002D5D12">
        <w:t>-e. Between 1990 and 2020, net</w:t>
      </w:r>
      <w:r w:rsidR="00415899">
        <w:t> </w:t>
      </w:r>
      <w:r w:rsidRPr="002D5D12">
        <w:t>GHG emissions increased by 11,497.3 kt CO</w:t>
      </w:r>
      <w:r w:rsidRPr="002D5D12">
        <w:rPr>
          <w:vertAlign w:val="subscript"/>
        </w:rPr>
        <w:t>2</w:t>
      </w:r>
      <w:r w:rsidRPr="002D5D12">
        <w:t>-e (26.1 per cent) to 55,465.1 kt CO</w:t>
      </w:r>
      <w:r w:rsidRPr="002D5D12">
        <w:rPr>
          <w:vertAlign w:val="subscript"/>
        </w:rPr>
        <w:t>2</w:t>
      </w:r>
      <w:r w:rsidRPr="002D5D12">
        <w:t>-e (see</w:t>
      </w:r>
      <w:r w:rsidR="00415899">
        <w:t> </w:t>
      </w:r>
      <w:r w:rsidRPr="002D5D12">
        <w:t>figure</w:t>
      </w:r>
      <w:r w:rsidR="00415899">
        <w:t> </w:t>
      </w:r>
      <w:r w:rsidRPr="002D5D12">
        <w:t>2.1.1).</w:t>
      </w:r>
    </w:p>
    <w:p w14:paraId="19E8FD52" w14:textId="77777777" w:rsidR="00D42431" w:rsidRPr="002D5D12" w:rsidRDefault="00D42431" w:rsidP="008E253C">
      <w:pPr>
        <w:pStyle w:val="BodyText"/>
        <w:spacing w:before="100" w:after="100"/>
      </w:pPr>
      <w:r w:rsidRPr="002D5D12">
        <w:t xml:space="preserve">The four categories that contributed the most to the increase in net emissions between 1990 and 2020 were </w:t>
      </w:r>
      <w:r w:rsidRPr="002D5D12">
        <w:rPr>
          <w:i/>
          <w:iCs/>
        </w:rPr>
        <w:t>Land converted to forest land</w:t>
      </w:r>
      <w:r w:rsidRPr="002D5D12">
        <w:t xml:space="preserve">, </w:t>
      </w:r>
      <w:r w:rsidRPr="002D5D12">
        <w:rPr>
          <w:i/>
          <w:iCs/>
        </w:rPr>
        <w:t>Enteric fermentation from dairy cattle</w:t>
      </w:r>
      <w:r w:rsidRPr="002D5D12">
        <w:t xml:space="preserve">, </w:t>
      </w:r>
      <w:r w:rsidRPr="002D5D12">
        <w:rPr>
          <w:i/>
          <w:iCs/>
        </w:rPr>
        <w:t>Road transportation</w:t>
      </w:r>
      <w:r w:rsidRPr="002D5D12">
        <w:t xml:space="preserve"> and </w:t>
      </w:r>
      <w:r w:rsidRPr="002D5D12">
        <w:rPr>
          <w:i/>
          <w:iCs/>
        </w:rPr>
        <w:t>Agriculture soils</w:t>
      </w:r>
      <w:r w:rsidRPr="002D5D12">
        <w:t>.</w:t>
      </w:r>
    </w:p>
    <w:p w14:paraId="1A4AFD7F" w14:textId="4D121015" w:rsidR="00D42431" w:rsidRPr="002D5D12" w:rsidRDefault="00D42431" w:rsidP="005C462B">
      <w:pPr>
        <w:pStyle w:val="Figure"/>
        <w:spacing w:after="80"/>
      </w:pPr>
      <w:bookmarkStart w:id="131" w:name="_Toc99696000"/>
      <w:r w:rsidRPr="002D5D12">
        <w:rPr>
          <w:bCs/>
        </w:rPr>
        <w:t>Figure 2.1.1</w:t>
      </w:r>
      <w:r w:rsidRPr="002D5D12">
        <w:rPr>
          <w:bCs/>
        </w:rPr>
        <w:tab/>
        <w:t>New Zealand’s gross and net emissions (under the Convention) from 1990</w:t>
      </w:r>
      <w:r w:rsidR="000715D8">
        <w:rPr>
          <w:bCs/>
        </w:rPr>
        <w:t> </w:t>
      </w:r>
      <w:r w:rsidRPr="002D5D12">
        <w:rPr>
          <w:bCs/>
        </w:rPr>
        <w:t>to</w:t>
      </w:r>
      <w:r w:rsidR="000715D8">
        <w:rPr>
          <w:bCs/>
        </w:rPr>
        <w:t> </w:t>
      </w:r>
      <w:r w:rsidRPr="002D5D12">
        <w:rPr>
          <w:bCs/>
        </w:rPr>
        <w:t>2020</w:t>
      </w:r>
      <w:bookmarkEnd w:id="131"/>
    </w:p>
    <w:p w14:paraId="49EBA849" w14:textId="23B09DCB" w:rsidR="00D42431" w:rsidRPr="002D5D12" w:rsidRDefault="004B48CC" w:rsidP="00D42431">
      <w:pPr>
        <w:pStyle w:val="BodyText"/>
      </w:pPr>
      <w:r>
        <w:rPr>
          <w:noProof/>
        </w:rPr>
        <w:pict w14:anchorId="7AA6D4A4">
          <v:shape id="_x0000_i1033" type="#_x0000_t75" style="width:425.3pt;height:285.5pt;visibility:visible;mso-wrap-style:square">
            <v:imagedata r:id="rId20" o:title="" cropbottom="1121f"/>
          </v:shape>
        </w:pict>
      </w:r>
    </w:p>
    <w:p w14:paraId="70A3C65E" w14:textId="77777777" w:rsidR="00D42431" w:rsidRPr="002D5D12" w:rsidRDefault="00D42431" w:rsidP="00D42431">
      <w:pPr>
        <w:pStyle w:val="Heading4"/>
      </w:pPr>
      <w:bookmarkStart w:id="132" w:name="new-zealands-2020-target"/>
      <w:bookmarkEnd w:id="130"/>
      <w:r w:rsidRPr="002D5D12">
        <w:t>New Zealand’s 2020 target</w:t>
      </w:r>
    </w:p>
    <w:p w14:paraId="55FDF9C9" w14:textId="77777777" w:rsidR="00D42431" w:rsidRPr="002D5D12" w:rsidRDefault="00D42431" w:rsidP="005C462B">
      <w:pPr>
        <w:pStyle w:val="BodyText"/>
        <w:spacing w:before="100" w:after="100"/>
      </w:pPr>
      <w:r w:rsidRPr="002D5D12">
        <w:t xml:space="preserve">For the period 2013 to 2020, New Zealand’s target is to reduce emissions to 5 per cent below 1990 levels by 2020. New Zealand has taken its target under the Convention. New Zealand will apply the Kyoto Protocol framework of rules to account for its target, to ensure New Zealand’s actions are transparent and have integrity. This means New Zealand will count net removals from Article 3.3 – </w:t>
      </w:r>
      <w:r w:rsidRPr="002D5D12">
        <w:rPr>
          <w:i/>
          <w:iCs/>
        </w:rPr>
        <w:t>Afforestation and reforestation</w:t>
      </w:r>
      <w:r w:rsidRPr="002D5D12">
        <w:t xml:space="preserve"> and </w:t>
      </w:r>
      <w:r w:rsidRPr="002D5D12">
        <w:rPr>
          <w:i/>
          <w:iCs/>
        </w:rPr>
        <w:t>Deforestation</w:t>
      </w:r>
      <w:r w:rsidRPr="002D5D12">
        <w:t xml:space="preserve"> and Article 3.4 – </w:t>
      </w:r>
      <w:r w:rsidRPr="002D5D12">
        <w:rPr>
          <w:i/>
          <w:iCs/>
        </w:rPr>
        <w:t>Forest management</w:t>
      </w:r>
      <w:r w:rsidRPr="002D5D12">
        <w:t xml:space="preserve"> of the Kyoto Protocol towards its emissions reduction target.</w:t>
      </w:r>
    </w:p>
    <w:p w14:paraId="0B6474C1" w14:textId="77777777" w:rsidR="00D42431" w:rsidRPr="002D5D12" w:rsidRDefault="00D42431" w:rsidP="005C462B">
      <w:pPr>
        <w:pStyle w:val="BodyText"/>
        <w:spacing w:before="100" w:after="100"/>
      </w:pPr>
      <w:r w:rsidRPr="002D5D12">
        <w:t>Following the Kyoto Protocol rules, New Zealand’s emissions budget for the period 2013 to 2020 is 509,774,982 tonnes CO</w:t>
      </w:r>
      <w:r w:rsidRPr="002D5D12">
        <w:rPr>
          <w:vertAlign w:val="subscript"/>
        </w:rPr>
        <w:t>2</w:t>
      </w:r>
      <w:r w:rsidRPr="002D5D12">
        <w:t xml:space="preserve">-e. This is based on the gross emissions data for 1990 included in New Zealand’s 2016 inventory submission. For more details, refer to New Zealand’s </w:t>
      </w:r>
      <w:r w:rsidRPr="002D5D12">
        <w:rPr>
          <w:i/>
          <w:iCs/>
        </w:rPr>
        <w:t>Initial Report to Facilitate the Calculation of its Emissions Budget for the Period 2013 to 2020</w:t>
      </w:r>
      <w:r w:rsidRPr="002D5D12">
        <w:t xml:space="preserve"> (Ministry for the Environment, 2016).</w:t>
      </w:r>
    </w:p>
    <w:p w14:paraId="27DFD6B3" w14:textId="77777777" w:rsidR="00D42431" w:rsidRPr="002D5D12" w:rsidRDefault="00D42431" w:rsidP="00D42431">
      <w:pPr>
        <w:pStyle w:val="BodyText"/>
      </w:pPr>
      <w:r w:rsidRPr="002D5D12">
        <w:lastRenderedPageBreak/>
        <w:t>The emissions budget is calculated as the total cumulative emissions New Zealand would emit on a straight-line track from a 1990 level in 2010 (equal to gross emissions in 1990 from the Initial Report) to the target in 2020 (i.e., the same amount multiplied by 0.95).</w:t>
      </w:r>
    </w:p>
    <w:p w14:paraId="513C488C" w14:textId="77777777" w:rsidR="00D42431" w:rsidRPr="002D5D12" w:rsidRDefault="00D42431" w:rsidP="00D42431">
      <w:pPr>
        <w:pStyle w:val="BodyText"/>
      </w:pPr>
      <w:r w:rsidRPr="002D5D12">
        <w:t>To measure progress towards New Zealand’s 2020 target, annual gross emission values from this submission, being the final submission for the period, will be summed for 2013 to 2020. This will represent the quantity of gross emissions for which New Zealand is responsible.</w:t>
      </w:r>
    </w:p>
    <w:p w14:paraId="10B8138E" w14:textId="70ADF92E" w:rsidR="00D42431" w:rsidRPr="002D5D12" w:rsidRDefault="00D42431" w:rsidP="00D42431">
      <w:pPr>
        <w:pStyle w:val="BodyText"/>
      </w:pPr>
      <w:r w:rsidRPr="002D5D12">
        <w:t>For the target period, New Zealand’s gross emissions sum to 639,600.7 kt CO</w:t>
      </w:r>
      <w:r w:rsidRPr="002D5D12">
        <w:rPr>
          <w:vertAlign w:val="subscript"/>
        </w:rPr>
        <w:t>2</w:t>
      </w:r>
      <w:r w:rsidRPr="002D5D12">
        <w:t>-e. The contribution towards New Zealand’s target from LULUCF activities under the Kyoto Protocol is</w:t>
      </w:r>
      <w:r w:rsidR="005C462B">
        <w:t> </w:t>
      </w:r>
      <w:r w:rsidRPr="002D5D12">
        <w:t>a net removal of 123,281.1 kt CO</w:t>
      </w:r>
      <w:r w:rsidRPr="002D5D12">
        <w:rPr>
          <w:vertAlign w:val="subscript"/>
        </w:rPr>
        <w:t>2</w:t>
      </w:r>
      <w:r w:rsidRPr="002D5D12">
        <w:t>-e. This comprises net removals of 139,218.6 kt CO</w:t>
      </w:r>
      <w:r w:rsidRPr="002D5D12">
        <w:rPr>
          <w:vertAlign w:val="subscript"/>
        </w:rPr>
        <w:t>2</w:t>
      </w:r>
      <w:r w:rsidRPr="002D5D12">
        <w:t xml:space="preserve">-e from </w:t>
      </w:r>
      <w:r w:rsidRPr="002D5D12">
        <w:rPr>
          <w:i/>
          <w:iCs/>
        </w:rPr>
        <w:t>Afforestation and reforestation</w:t>
      </w:r>
      <w:r w:rsidRPr="002D5D12">
        <w:t xml:space="preserve">, net removals from </w:t>
      </w:r>
      <w:r w:rsidRPr="002D5D12">
        <w:rPr>
          <w:i/>
          <w:iCs/>
        </w:rPr>
        <w:t>Forest management</w:t>
      </w:r>
      <w:r w:rsidRPr="002D5D12">
        <w:t xml:space="preserve"> relative to the forest management reference level up and limited to a predetermined cap of 18,681.6 kt CO</w:t>
      </w:r>
      <w:r w:rsidRPr="002D5D12">
        <w:rPr>
          <w:vertAlign w:val="subscript"/>
        </w:rPr>
        <w:t>2</w:t>
      </w:r>
      <w:r w:rsidRPr="002D5D12">
        <w:t>-e,</w:t>
      </w:r>
      <w:r w:rsidRPr="002D5D12">
        <w:rPr>
          <w:rStyle w:val="FootnoteReference"/>
        </w:rPr>
        <w:footnoteReference w:id="22"/>
      </w:r>
      <w:r w:rsidRPr="002D5D12">
        <w:t xml:space="preserve"> less 34,619.1 kt CO</w:t>
      </w:r>
      <w:r w:rsidRPr="002D5D12">
        <w:rPr>
          <w:vertAlign w:val="subscript"/>
        </w:rPr>
        <w:t>2</w:t>
      </w:r>
      <w:r w:rsidRPr="002D5D12">
        <w:t xml:space="preserve">-e from </w:t>
      </w:r>
      <w:r w:rsidRPr="002D5D12">
        <w:rPr>
          <w:i/>
          <w:iCs/>
        </w:rPr>
        <w:t>Deforestation</w:t>
      </w:r>
      <w:r w:rsidRPr="002D5D12">
        <w:t xml:space="preserve"> (see section 2.3 for further detail).</w:t>
      </w:r>
    </w:p>
    <w:p w14:paraId="00D2E942" w14:textId="77777777" w:rsidR="00D42431" w:rsidRPr="002D5D12" w:rsidRDefault="00D42431" w:rsidP="00D42431">
      <w:pPr>
        <w:pStyle w:val="BodyText"/>
      </w:pPr>
      <w:r w:rsidRPr="002D5D12">
        <w:t>The accounting rules for the LULUCF activities reported under Article 3.3 and Article 3.4 of the Kyoto Protocol are explained in chapter 11.</w:t>
      </w:r>
    </w:p>
    <w:p w14:paraId="364B4512" w14:textId="77777777" w:rsidR="00D42431" w:rsidRPr="002D5D12" w:rsidRDefault="00D42431" w:rsidP="00D42431">
      <w:pPr>
        <w:pStyle w:val="BodyText"/>
      </w:pPr>
      <w:r w:rsidRPr="002D5D12">
        <w:t>In addition, New Zealand can access sufficient Kyoto units for the purpose of meeting its 2013 to 2020 target, if required, pending the outcome of the United Nations Framework Convention on Climate Change (UNFCCC) expert review of this inventory.</w:t>
      </w:r>
    </w:p>
    <w:p w14:paraId="00A590F2" w14:textId="77777777" w:rsidR="00D42431" w:rsidRPr="002D5D12" w:rsidRDefault="00D42431" w:rsidP="00D42431">
      <w:pPr>
        <w:pStyle w:val="BodyText"/>
      </w:pPr>
      <w:r w:rsidRPr="002D5D12">
        <w:t>On the basis of this inventory submission, and pending its review, New Zealand is on track to meet its 2013 to 2020 target. Refer to New Zealand’s latest net position.</w:t>
      </w:r>
      <w:r w:rsidRPr="002D5D12">
        <w:rPr>
          <w:rStyle w:val="FootnoteReference"/>
        </w:rPr>
        <w:footnoteReference w:id="23"/>
      </w:r>
    </w:p>
    <w:p w14:paraId="6AB644D7" w14:textId="1F6500B8" w:rsidR="00D42431" w:rsidRPr="002D5D12" w:rsidRDefault="00D42431" w:rsidP="00D42431">
      <w:pPr>
        <w:pStyle w:val="Heading2"/>
      </w:pPr>
      <w:bookmarkStart w:id="133" w:name="_Toc99659108"/>
      <w:bookmarkStart w:id="134" w:name="emission-trends-by-sector"/>
      <w:bookmarkEnd w:id="127"/>
      <w:bookmarkEnd w:id="128"/>
      <w:bookmarkEnd w:id="132"/>
      <w:r w:rsidRPr="002D5D12">
        <w:t xml:space="preserve">2.2 </w:t>
      </w:r>
      <w:r w:rsidR="006A1A59">
        <w:tab/>
      </w:r>
      <w:r w:rsidRPr="002D5D12">
        <w:t>Emission trends by sector</w:t>
      </w:r>
      <w:bookmarkEnd w:id="133"/>
    </w:p>
    <w:p w14:paraId="6D7BDD65" w14:textId="77777777" w:rsidR="00D42431" w:rsidRPr="002D5D12" w:rsidRDefault="00D42431" w:rsidP="00D42431">
      <w:pPr>
        <w:pStyle w:val="BodyText"/>
      </w:pPr>
      <w:r w:rsidRPr="002D5D12">
        <w:t>New Zealand reports emissions and removals for the Energy, IPPU, Agriculture, LULUCF and Waste sectors. Tokelau’s emissions are also reported separately by sector as ‘Other’.</w:t>
      </w:r>
    </w:p>
    <w:p w14:paraId="43E96992" w14:textId="7A5B6600" w:rsidR="00D42431" w:rsidRPr="002D5D12" w:rsidRDefault="00D42431" w:rsidP="00D42431">
      <w:pPr>
        <w:pStyle w:val="Heading3"/>
      </w:pPr>
      <w:bookmarkStart w:id="135" w:name="Xccd3ab8cc872fcd004006e462b7c34800247b59"/>
      <w:r w:rsidRPr="002D5D12">
        <w:t>2.2.1</w:t>
      </w:r>
      <w:r w:rsidR="006A1A59">
        <w:tab/>
      </w:r>
      <w:r w:rsidRPr="002D5D12">
        <w:t xml:space="preserve">New Zealand’s emissions by sector and by gas in </w:t>
      </w:r>
      <w:r w:rsidRPr="002D5D12">
        <w:rPr>
          <w:bCs/>
        </w:rPr>
        <w:t>2020</w:t>
      </w:r>
    </w:p>
    <w:p w14:paraId="6C83E5DF" w14:textId="3FA72A90" w:rsidR="00D42431" w:rsidRPr="002D5D12" w:rsidRDefault="00D42431" w:rsidP="00D42431">
      <w:pPr>
        <w:pStyle w:val="BodyText"/>
      </w:pPr>
      <w:r w:rsidRPr="002D5D12">
        <w:t>New Zealand’s emissions by sector reflect the composition of the national economy. The Agriculture sector contributed 50.0 per cent of New Zealand’s gross emissions in 2020. New</w:t>
      </w:r>
      <w:r w:rsidR="006A1A59">
        <w:t> </w:t>
      </w:r>
      <w:r w:rsidRPr="002D5D12">
        <w:t>Zealand’s Energy sector contributed 39.9 per cent to the national gross emissions, while</w:t>
      </w:r>
      <w:r w:rsidR="006A1A59">
        <w:t> </w:t>
      </w:r>
      <w:r w:rsidRPr="002D5D12">
        <w:t>the IPPU and Waste sectors contributed 5.9 per cent and 4.1 per cent respectively (figure</w:t>
      </w:r>
      <w:r w:rsidR="006A1A59">
        <w:t> </w:t>
      </w:r>
      <w:r w:rsidRPr="002D5D12">
        <w:t>2.2.1). New Zealand’s ‘Other’ sector (Tokelau) contributed 0.005 per cent to the national gross emissions.</w:t>
      </w:r>
    </w:p>
    <w:p w14:paraId="1B168211" w14:textId="77777777" w:rsidR="00D42431" w:rsidRPr="002D5D12" w:rsidRDefault="00D42431" w:rsidP="00D42431">
      <w:pPr>
        <w:pStyle w:val="BodyText"/>
      </w:pPr>
      <w:r w:rsidRPr="002D5D12">
        <w:rPr>
          <w:spacing w:val="-2"/>
        </w:rPr>
        <w:t>The LULUCF sector currently represents a sink, with a net removals value of –23,313.3 kt CO</w:t>
      </w:r>
      <w:r w:rsidRPr="002D5D12">
        <w:rPr>
          <w:spacing w:val="-2"/>
          <w:vertAlign w:val="subscript"/>
        </w:rPr>
        <w:t>2</w:t>
      </w:r>
      <w:r w:rsidRPr="002D5D12">
        <w:rPr>
          <w:spacing w:val="-2"/>
        </w:rPr>
        <w:t>-e.</w:t>
      </w:r>
      <w:r w:rsidRPr="002D5D12">
        <w:t xml:space="preserve"> This offset 29.6 per cent of New Zealand’s gross emissions in 2020.</w:t>
      </w:r>
    </w:p>
    <w:p w14:paraId="498888F0" w14:textId="77777777" w:rsidR="00D42431" w:rsidRPr="002D5D12" w:rsidRDefault="00D42431" w:rsidP="005C462B">
      <w:pPr>
        <w:pStyle w:val="Figure"/>
        <w:spacing w:after="60"/>
      </w:pPr>
      <w:bookmarkStart w:id="136" w:name="_Toc99696001"/>
      <w:r w:rsidRPr="002D5D12">
        <w:lastRenderedPageBreak/>
        <w:t>Figure 2.2.1</w:t>
      </w:r>
      <w:r w:rsidRPr="002D5D12">
        <w:tab/>
        <w:t xml:space="preserve">New Zealand’s emissions by sector in </w:t>
      </w:r>
      <w:r w:rsidRPr="002D5D12">
        <w:rPr>
          <w:bCs/>
        </w:rPr>
        <w:t>2020</w:t>
      </w:r>
      <w:bookmarkEnd w:id="136"/>
    </w:p>
    <w:p w14:paraId="15FA32F6" w14:textId="4DC42F04" w:rsidR="00D42431" w:rsidRPr="002D5D12" w:rsidRDefault="004B48CC" w:rsidP="00CB0817">
      <w:pPr>
        <w:pStyle w:val="BodyText"/>
        <w:jc w:val="center"/>
      </w:pPr>
      <w:r>
        <w:rPr>
          <w:noProof/>
        </w:rPr>
        <w:pict w14:anchorId="210F0CCD">
          <v:shape id="_x0000_i1034" type="#_x0000_t75" style="width:421.95pt;height:311.45pt;visibility:visible;mso-wrap-style:square">
            <v:imagedata r:id="rId41" o:title="" cropbottom="1121f" cropright="2345f"/>
          </v:shape>
        </w:pict>
      </w:r>
    </w:p>
    <w:p w14:paraId="3A81BDB1" w14:textId="45C8C547" w:rsidR="00D42431" w:rsidRPr="002D5D12" w:rsidRDefault="00D42431" w:rsidP="00D42431">
      <w:pPr>
        <w:pStyle w:val="Noteundertable"/>
      </w:pPr>
      <w:r w:rsidRPr="002D5D12">
        <w:rPr>
          <w:b/>
          <w:bCs/>
        </w:rPr>
        <w:t>Note:</w:t>
      </w:r>
      <w:r w:rsidRPr="002D5D12">
        <w:tab/>
        <w:t>The percentages may not add up to 100 per cent due to rounding. The LULUCF sector, which is not a part of</w:t>
      </w:r>
      <w:r w:rsidR="005C462B">
        <w:t> </w:t>
      </w:r>
      <w:r w:rsidRPr="002D5D12">
        <w:t>gross emissions, is included here as a negative value. The Tokelau sector is not visible due to its small contribution (4.18 kt CO</w:t>
      </w:r>
      <w:r w:rsidRPr="002D5D12">
        <w:rPr>
          <w:vertAlign w:val="subscript"/>
        </w:rPr>
        <w:t>2</w:t>
      </w:r>
      <w:r w:rsidRPr="002D5D12">
        <w:t>-e or 0.005 per cent of New Zealand’s gross GHG emissions).</w:t>
      </w:r>
    </w:p>
    <w:p w14:paraId="1E56FD3B" w14:textId="77777777" w:rsidR="00D42431" w:rsidRPr="002D5D12" w:rsidRDefault="00D42431" w:rsidP="004F6034">
      <w:pPr>
        <w:pStyle w:val="BodyText"/>
        <w:keepNext/>
      </w:pPr>
      <w:r w:rsidRPr="002D5D12">
        <w:lastRenderedPageBreak/>
        <w:t>Each of the sectors is dominated by one or two GHGs. Figure 2.2.2 shows New Zealand’s gross emissions by gas.</w:t>
      </w:r>
    </w:p>
    <w:p w14:paraId="0A3D7051" w14:textId="77777777" w:rsidR="00D42431" w:rsidRPr="002D5D12" w:rsidRDefault="00D42431" w:rsidP="00B106A2">
      <w:pPr>
        <w:pStyle w:val="Figure"/>
        <w:spacing w:after="80"/>
      </w:pPr>
      <w:bookmarkStart w:id="137" w:name="_Toc99696002"/>
      <w:r w:rsidRPr="002D5D12">
        <w:t>Figure 2.2.2</w:t>
      </w:r>
      <w:r w:rsidRPr="002D5D12">
        <w:tab/>
        <w:t xml:space="preserve">New Zealand’s gross emissions by gas in </w:t>
      </w:r>
      <w:r w:rsidRPr="002D5D12">
        <w:rPr>
          <w:bCs/>
        </w:rPr>
        <w:t>2020</w:t>
      </w:r>
      <w:bookmarkEnd w:id="137"/>
    </w:p>
    <w:p w14:paraId="720A8985" w14:textId="040FFC8D" w:rsidR="00D42431" w:rsidRPr="002D5D12" w:rsidRDefault="004B48CC" w:rsidP="00CB0817">
      <w:pPr>
        <w:pStyle w:val="BodyText"/>
        <w:jc w:val="center"/>
      </w:pPr>
      <w:r>
        <w:rPr>
          <w:noProof/>
        </w:rPr>
        <w:pict w14:anchorId="1206E8C7">
          <v:shape id="_x0000_i1035" type="#_x0000_t75" style="width:427.8pt;height:321.5pt;visibility:visible;mso-wrap-style:square">
            <v:imagedata r:id="rId42" o:title="" cropbottom="926f" cropright="3514f"/>
          </v:shape>
        </w:pict>
      </w:r>
    </w:p>
    <w:p w14:paraId="194AB911" w14:textId="77777777" w:rsidR="00D42431" w:rsidRPr="002D5D12" w:rsidRDefault="00D42431" w:rsidP="00D42431">
      <w:pPr>
        <w:pStyle w:val="Noteundertable"/>
      </w:pPr>
      <w:r w:rsidRPr="002D5D12">
        <w:rPr>
          <w:b/>
          <w:bCs/>
        </w:rPr>
        <w:t>Note:</w:t>
      </w:r>
      <w:r w:rsidRPr="002D5D12">
        <w:rPr>
          <w:b/>
          <w:bCs/>
        </w:rPr>
        <w:tab/>
      </w:r>
      <w:r w:rsidRPr="002D5D12">
        <w:t>CH</w:t>
      </w:r>
      <w:r w:rsidRPr="002D5D12">
        <w:rPr>
          <w:vertAlign w:val="subscript"/>
        </w:rPr>
        <w:t>4</w:t>
      </w:r>
      <w:r w:rsidRPr="002D5D12">
        <w:t xml:space="preserve"> = methane; CO</w:t>
      </w:r>
      <w:r w:rsidRPr="002D5D12">
        <w:rPr>
          <w:vertAlign w:val="subscript"/>
        </w:rPr>
        <w:t>2</w:t>
      </w:r>
      <w:r w:rsidRPr="002D5D12">
        <w:t xml:space="preserve"> = carbon dioxide; N</w:t>
      </w:r>
      <w:r w:rsidRPr="002D5D12">
        <w:rPr>
          <w:vertAlign w:val="subscript"/>
        </w:rPr>
        <w:t>2</w:t>
      </w:r>
      <w:r w:rsidRPr="002D5D12">
        <w:t>O = nitrous oxide. The percentages may not add up to 100 per cent due to rounding.</w:t>
      </w:r>
    </w:p>
    <w:p w14:paraId="62AA7D7E" w14:textId="18BBACDD" w:rsidR="00D42431" w:rsidRPr="002D5D12" w:rsidRDefault="00D42431" w:rsidP="00D42431">
      <w:pPr>
        <w:pStyle w:val="BodyText"/>
      </w:pPr>
      <w:r w:rsidRPr="002D5D12">
        <w:t>Carbon dioxide (CO</w:t>
      </w:r>
      <w:r w:rsidRPr="002D5D12">
        <w:rPr>
          <w:vertAlign w:val="subscript"/>
        </w:rPr>
        <w:t>2</w:t>
      </w:r>
      <w:r w:rsidRPr="002D5D12">
        <w:t>) contributes 43.7 per cent to New Zealand’s gross emissions (34,456.8</w:t>
      </w:r>
      <w:r w:rsidR="000715D8">
        <w:t> </w:t>
      </w:r>
      <w:r w:rsidRPr="002D5D12">
        <w:t>kt CO</w:t>
      </w:r>
      <w:r w:rsidRPr="002D5D12">
        <w:rPr>
          <w:vertAlign w:val="subscript"/>
        </w:rPr>
        <w:t>2</w:t>
      </w:r>
      <w:r w:rsidRPr="002D5D12">
        <w:t>) (figure 2.2.2). The Energy sector produces the largest amount of CO</w:t>
      </w:r>
      <w:r w:rsidRPr="002D5D12">
        <w:rPr>
          <w:vertAlign w:val="subscript"/>
        </w:rPr>
        <w:t>2</w:t>
      </w:r>
      <w:r w:rsidRPr="002D5D12">
        <w:t>, at 30,549.4</w:t>
      </w:r>
      <w:r w:rsidR="004D7B27">
        <w:t> </w:t>
      </w:r>
      <w:r w:rsidRPr="002D5D12">
        <w:t>kt (88.7 per cent) of New Zealand’s CO</w:t>
      </w:r>
      <w:r w:rsidRPr="002D5D12">
        <w:rPr>
          <w:vertAlign w:val="subscript"/>
        </w:rPr>
        <w:t>2</w:t>
      </w:r>
      <w:r w:rsidRPr="002D5D12">
        <w:t xml:space="preserve"> emissions in 2020. The categories contributing most to</w:t>
      </w:r>
      <w:r w:rsidR="009D781D">
        <w:t> </w:t>
      </w:r>
      <w:r w:rsidRPr="002D5D12">
        <w:t>CO</w:t>
      </w:r>
      <w:r w:rsidRPr="002D5D12">
        <w:rPr>
          <w:vertAlign w:val="subscript"/>
        </w:rPr>
        <w:t>2</w:t>
      </w:r>
      <w:r w:rsidRPr="002D5D12">
        <w:t xml:space="preserve"> emissions in the Energy sector are </w:t>
      </w:r>
      <w:r w:rsidRPr="002D5D12">
        <w:rPr>
          <w:i/>
          <w:iCs/>
        </w:rPr>
        <w:t>Transport</w:t>
      </w:r>
      <w:r w:rsidRPr="002D5D12">
        <w:t xml:space="preserve"> (13,078.7 kt CO</w:t>
      </w:r>
      <w:r w:rsidRPr="002D5D12">
        <w:rPr>
          <w:vertAlign w:val="subscript"/>
        </w:rPr>
        <w:t>2</w:t>
      </w:r>
      <w:r w:rsidRPr="002D5D12">
        <w:t>, 38.0 per cent, of New Zealand’s CO</w:t>
      </w:r>
      <w:r w:rsidRPr="002D5D12">
        <w:rPr>
          <w:vertAlign w:val="subscript"/>
        </w:rPr>
        <w:t>2</w:t>
      </w:r>
      <w:r w:rsidRPr="002D5D12">
        <w:t xml:space="preserve"> emissions) and </w:t>
      </w:r>
      <w:r w:rsidRPr="002D5D12">
        <w:rPr>
          <w:i/>
          <w:iCs/>
        </w:rPr>
        <w:t>Manufacturing industries and construction</w:t>
      </w:r>
      <w:r w:rsidRPr="002D5D12">
        <w:t xml:space="preserve"> (6,595.2 kt CO</w:t>
      </w:r>
      <w:r w:rsidRPr="002D5D12">
        <w:rPr>
          <w:vertAlign w:val="subscript"/>
        </w:rPr>
        <w:t>2</w:t>
      </w:r>
      <w:r w:rsidRPr="002D5D12">
        <w:t>, 19.1 per cent, of New Zealand’s CO</w:t>
      </w:r>
      <w:r w:rsidRPr="002D5D12">
        <w:rPr>
          <w:vertAlign w:val="subscript"/>
        </w:rPr>
        <w:t>2</w:t>
      </w:r>
      <w:r w:rsidRPr="002D5D12">
        <w:t xml:space="preserve"> emissions). In 2020, the LULUCF sector was a CO</w:t>
      </w:r>
      <w:r w:rsidRPr="002D5D12">
        <w:rPr>
          <w:vertAlign w:val="subscript"/>
        </w:rPr>
        <w:t>2</w:t>
      </w:r>
      <w:r w:rsidRPr="002D5D12">
        <w:t xml:space="preserve"> sink, sequestering –23,666.2 kt CO</w:t>
      </w:r>
      <w:r w:rsidRPr="002D5D12">
        <w:rPr>
          <w:vertAlign w:val="subscript"/>
        </w:rPr>
        <w:t>2</w:t>
      </w:r>
      <w:r w:rsidRPr="002D5D12">
        <w:t xml:space="preserve"> (68.7 per cent) of New Zealand’s CO</w:t>
      </w:r>
      <w:r w:rsidRPr="002D5D12">
        <w:rPr>
          <w:vertAlign w:val="subscript"/>
        </w:rPr>
        <w:t>2</w:t>
      </w:r>
      <w:r w:rsidRPr="002D5D12">
        <w:t xml:space="preserve"> emissions. This resulted in net CO</w:t>
      </w:r>
      <w:r w:rsidRPr="002D5D12">
        <w:rPr>
          <w:vertAlign w:val="subscript"/>
        </w:rPr>
        <w:t>2</w:t>
      </w:r>
      <w:r w:rsidRPr="002D5D12">
        <w:t xml:space="preserve"> emissions of 10,790.5 kt in 2020.</w:t>
      </w:r>
    </w:p>
    <w:p w14:paraId="419D2D14" w14:textId="557A1660" w:rsidR="00D42431" w:rsidRPr="002D5D12" w:rsidRDefault="00D42431" w:rsidP="00D42431">
      <w:pPr>
        <w:pStyle w:val="BodyText"/>
      </w:pPr>
      <w:r w:rsidRPr="002D5D12">
        <w:t>The amount of methane (CH</w:t>
      </w:r>
      <w:r w:rsidRPr="002D5D12">
        <w:rPr>
          <w:vertAlign w:val="subscript"/>
        </w:rPr>
        <w:t>4</w:t>
      </w:r>
      <w:r w:rsidRPr="002D5D12">
        <w:t>) emitted in New Zealand in 2020 (measured as CO</w:t>
      </w:r>
      <w:r w:rsidRPr="002D5D12">
        <w:rPr>
          <w:vertAlign w:val="subscript"/>
        </w:rPr>
        <w:t>2</w:t>
      </w:r>
      <w:r w:rsidRPr="002D5D12">
        <w:t>-e) is 43.5</w:t>
      </w:r>
      <w:r w:rsidR="00B107F0">
        <w:t> </w:t>
      </w:r>
      <w:r w:rsidRPr="002D5D12">
        <w:t>per</w:t>
      </w:r>
      <w:r w:rsidR="00B107F0">
        <w:t> </w:t>
      </w:r>
      <w:r w:rsidRPr="002D5D12">
        <w:t>cent of gross emissions (34,272.9 kt CO</w:t>
      </w:r>
      <w:r w:rsidRPr="002D5D12">
        <w:rPr>
          <w:vertAlign w:val="subscript"/>
        </w:rPr>
        <w:t>2</w:t>
      </w:r>
      <w:r w:rsidRPr="002D5D12">
        <w:t>-e). Nitrous oxide (N</w:t>
      </w:r>
      <w:r w:rsidRPr="002D5D12">
        <w:rPr>
          <w:vertAlign w:val="subscript"/>
        </w:rPr>
        <w:t>2</w:t>
      </w:r>
      <w:r w:rsidRPr="002D5D12">
        <w:t>O), at 10.7 per cent (8,463.8 kt CO</w:t>
      </w:r>
      <w:r w:rsidRPr="002D5D12">
        <w:rPr>
          <w:vertAlign w:val="subscript"/>
        </w:rPr>
        <w:t>2</w:t>
      </w:r>
      <w:r w:rsidRPr="002D5D12">
        <w:t xml:space="preserve">-e), is the third-largest component of New Zealand’s gross emissions. The </w:t>
      </w:r>
      <w:r w:rsidRPr="00B107F0">
        <w:rPr>
          <w:spacing w:val="-2"/>
        </w:rPr>
        <w:t>Agriculture sector produces the largest amounts of both CH</w:t>
      </w:r>
      <w:r w:rsidRPr="00B107F0">
        <w:rPr>
          <w:spacing w:val="-2"/>
          <w:vertAlign w:val="subscript"/>
        </w:rPr>
        <w:t>4</w:t>
      </w:r>
      <w:r w:rsidRPr="00B107F0">
        <w:rPr>
          <w:spacing w:val="-2"/>
        </w:rPr>
        <w:t xml:space="preserve"> and N</w:t>
      </w:r>
      <w:r w:rsidRPr="00B107F0">
        <w:rPr>
          <w:spacing w:val="-2"/>
          <w:vertAlign w:val="subscript"/>
        </w:rPr>
        <w:t>2</w:t>
      </w:r>
      <w:r w:rsidRPr="00B107F0">
        <w:rPr>
          <w:spacing w:val="-2"/>
        </w:rPr>
        <w:t>O. In 2020, the contributions</w:t>
      </w:r>
      <w:r w:rsidRPr="002D5D12">
        <w:t xml:space="preserve"> of the Agriculture sector to national emissions of CH</w:t>
      </w:r>
      <w:r w:rsidRPr="002D5D12">
        <w:rPr>
          <w:vertAlign w:val="subscript"/>
        </w:rPr>
        <w:t>4</w:t>
      </w:r>
      <w:r w:rsidRPr="002D5D12">
        <w:t xml:space="preserve"> and N</w:t>
      </w:r>
      <w:r w:rsidRPr="002D5D12">
        <w:rPr>
          <w:vertAlign w:val="subscript"/>
        </w:rPr>
        <w:t>2</w:t>
      </w:r>
      <w:r w:rsidRPr="002D5D12">
        <w:t>O were 88.9 per cent and 94.5 per cent respectively. The major source of CH</w:t>
      </w:r>
      <w:r w:rsidRPr="002D5D12">
        <w:rPr>
          <w:vertAlign w:val="subscript"/>
        </w:rPr>
        <w:t>4</w:t>
      </w:r>
      <w:r w:rsidRPr="002D5D12">
        <w:t xml:space="preserve"> in the Agriculture sector is </w:t>
      </w:r>
      <w:r w:rsidRPr="002D5D12">
        <w:rPr>
          <w:i/>
          <w:iCs/>
        </w:rPr>
        <w:t>Enteric</w:t>
      </w:r>
      <w:r w:rsidR="00B107F0">
        <w:rPr>
          <w:i/>
          <w:iCs/>
        </w:rPr>
        <w:t> </w:t>
      </w:r>
      <w:r w:rsidRPr="002D5D12">
        <w:rPr>
          <w:i/>
          <w:iCs/>
        </w:rPr>
        <w:t>fermentation</w:t>
      </w:r>
      <w:r w:rsidRPr="002D5D12">
        <w:t xml:space="preserve"> (28,831.5 kt CO</w:t>
      </w:r>
      <w:r w:rsidRPr="002D5D12">
        <w:rPr>
          <w:vertAlign w:val="subscript"/>
        </w:rPr>
        <w:t>2</w:t>
      </w:r>
      <w:r w:rsidRPr="002D5D12">
        <w:t>-e, 84.1 per cent, of New Zealand’s gross CH</w:t>
      </w:r>
      <w:r w:rsidRPr="002D5D12">
        <w:rPr>
          <w:vertAlign w:val="subscript"/>
        </w:rPr>
        <w:t>4</w:t>
      </w:r>
      <w:r w:rsidRPr="002D5D12">
        <w:t xml:space="preserve"> emissions). Emissions from the </w:t>
      </w:r>
      <w:r w:rsidRPr="002D5D12">
        <w:rPr>
          <w:i/>
          <w:iCs/>
        </w:rPr>
        <w:t>Agricultural soils</w:t>
      </w:r>
      <w:r w:rsidRPr="002D5D12">
        <w:t xml:space="preserve"> category (from adding nitrogen to soil, for example, manure or fertiliser) are</w:t>
      </w:r>
      <w:r w:rsidR="00B107F0">
        <w:t> </w:t>
      </w:r>
      <w:r w:rsidRPr="002D5D12">
        <w:t>the largest source of gross N</w:t>
      </w:r>
      <w:r w:rsidRPr="002D5D12">
        <w:rPr>
          <w:vertAlign w:val="subscript"/>
        </w:rPr>
        <w:t>2</w:t>
      </w:r>
      <w:r w:rsidRPr="002D5D12">
        <w:t>O emissions (7,882.8 kt CO</w:t>
      </w:r>
      <w:r w:rsidRPr="002D5D12">
        <w:rPr>
          <w:vertAlign w:val="subscript"/>
        </w:rPr>
        <w:t>2</w:t>
      </w:r>
      <w:r w:rsidRPr="002D5D12">
        <w:t>-e, 93.1 per cent, of national N</w:t>
      </w:r>
      <w:r w:rsidRPr="002D5D12">
        <w:rPr>
          <w:vertAlign w:val="subscript"/>
        </w:rPr>
        <w:t>2</w:t>
      </w:r>
      <w:r w:rsidRPr="002D5D12">
        <w:t>O</w:t>
      </w:r>
      <w:r w:rsidR="00B107F0">
        <w:t> </w:t>
      </w:r>
      <w:r w:rsidRPr="002D5D12">
        <w:t>emissions).</w:t>
      </w:r>
    </w:p>
    <w:p w14:paraId="45D73E18" w14:textId="77777777" w:rsidR="00D42431" w:rsidRPr="002D5D12" w:rsidRDefault="00D42431" w:rsidP="00D42431">
      <w:pPr>
        <w:pStyle w:val="BodyText"/>
      </w:pPr>
      <w:r w:rsidRPr="002D5D12">
        <w:lastRenderedPageBreak/>
        <w:t>Methane is also the largest component of New Zealand’s Waste sector emissions, contributing 3,011.9 kt CO</w:t>
      </w:r>
      <w:r w:rsidRPr="002D5D12">
        <w:rPr>
          <w:vertAlign w:val="subscript"/>
        </w:rPr>
        <w:t>2</w:t>
      </w:r>
      <w:r w:rsidRPr="002D5D12">
        <w:t>-e, or 8.8 per cent, of gross CH</w:t>
      </w:r>
      <w:r w:rsidRPr="002D5D12">
        <w:rPr>
          <w:vertAlign w:val="subscript"/>
        </w:rPr>
        <w:t>4</w:t>
      </w:r>
      <w:r w:rsidRPr="002D5D12">
        <w:t xml:space="preserve"> emissions.</w:t>
      </w:r>
    </w:p>
    <w:p w14:paraId="6D75F2C9" w14:textId="566CFE8E" w:rsidR="00D42431" w:rsidRPr="002D5D12" w:rsidRDefault="00D42431" w:rsidP="00D42431">
      <w:pPr>
        <w:pStyle w:val="BodyText"/>
      </w:pPr>
      <w:r w:rsidRPr="00226131">
        <w:rPr>
          <w:spacing w:val="-2"/>
        </w:rPr>
        <w:t>Fluorinated gases (hydrofluorocarbons (HFCs), perfluorocarbons (PFCs) and sulphur hexafluoride</w:t>
      </w:r>
      <w:r w:rsidRPr="002D5D12">
        <w:t xml:space="preserve"> (SF</w:t>
      </w:r>
      <w:r w:rsidRPr="002D5D12">
        <w:rPr>
          <w:vertAlign w:val="subscript"/>
        </w:rPr>
        <w:t>6</w:t>
      </w:r>
      <w:r w:rsidRPr="002D5D12">
        <w:t>))</w:t>
      </w:r>
      <w:r w:rsidRPr="002D5D12">
        <w:rPr>
          <w:rStyle w:val="FootnoteReference"/>
        </w:rPr>
        <w:footnoteReference w:id="24"/>
      </w:r>
      <w:r w:rsidRPr="002D5D12">
        <w:t xml:space="preserve"> collectively contribute 2.0 per cent to New Zealand’s gross emissions. The IPPU sector is</w:t>
      </w:r>
      <w:r w:rsidR="00226131">
        <w:t> </w:t>
      </w:r>
      <w:r w:rsidRPr="002D5D12">
        <w:t>the only source of fluorinated gases in New Zealand. Taken together, the emissions of HFCs,</w:t>
      </w:r>
      <w:r w:rsidR="00226131">
        <w:t> </w:t>
      </w:r>
      <w:r w:rsidRPr="002D5D12">
        <w:t>PFCs and SF</w:t>
      </w:r>
      <w:r w:rsidRPr="002D5D12">
        <w:rPr>
          <w:vertAlign w:val="subscript"/>
        </w:rPr>
        <w:t>6</w:t>
      </w:r>
      <w:r w:rsidRPr="002D5D12">
        <w:t xml:space="preserve"> were 1,584.9 kt CO</w:t>
      </w:r>
      <w:r w:rsidRPr="002D5D12">
        <w:rPr>
          <w:vertAlign w:val="subscript"/>
        </w:rPr>
        <w:t>2</w:t>
      </w:r>
      <w:r w:rsidRPr="002D5D12">
        <w:t>-e in 2020. No manufacture of any of the fluorinated greenhouse gases occurs in New Zealand. Emissions of fluorinated gases are dominated by HFCs (93.4 per cent of all fluorinated gases). The PFCs and SF</w:t>
      </w:r>
      <w:r w:rsidRPr="002D5D12">
        <w:rPr>
          <w:vertAlign w:val="subscript"/>
        </w:rPr>
        <w:t>6</w:t>
      </w:r>
      <w:r w:rsidRPr="002D5D12">
        <w:t xml:space="preserve"> contribute 5.5 per cent and 1.1</w:t>
      </w:r>
      <w:r w:rsidR="00226131">
        <w:t> </w:t>
      </w:r>
      <w:r w:rsidRPr="002D5D12">
        <w:t>per cent to total emissions of fluorinated gases respectively. Almost all of New Zealand’s PFC emissions (99.99 per cent) result from aluminium production.</w:t>
      </w:r>
    </w:p>
    <w:p w14:paraId="60F00194" w14:textId="2E6E8313" w:rsidR="00D42431" w:rsidRPr="002D5D12" w:rsidRDefault="00D42431" w:rsidP="00226131">
      <w:pPr>
        <w:pStyle w:val="Heading3"/>
      </w:pPr>
      <w:bookmarkStart w:id="138" w:name="Xcd904c50a6790e29654cd2eb9900b81299e1de5"/>
      <w:bookmarkEnd w:id="135"/>
      <w:r w:rsidRPr="002D5D12">
        <w:t xml:space="preserve">2.2.2 </w:t>
      </w:r>
      <w:r w:rsidR="00226131">
        <w:tab/>
      </w:r>
      <w:r w:rsidRPr="002D5D12">
        <w:t>Emission trends by sector from 1990 to 2020</w:t>
      </w:r>
    </w:p>
    <w:p w14:paraId="72796EA4" w14:textId="77777777" w:rsidR="00D42431" w:rsidRPr="002D5D12" w:rsidRDefault="00D42431" w:rsidP="00D42431">
      <w:pPr>
        <w:pStyle w:val="BodyText"/>
      </w:pPr>
      <w:r w:rsidRPr="002D5D12">
        <w:t>The Agriculture and Energy sectors dominate New Zealand’s gross emissions. Together, these sectors produced almost 90 per cent of New Zealand’s annual gross GHG emissions from 1990 to 2020. The IPPU and Waste sectors produce relatively small amounts of GHGs, contributing between 4 per cent and 6 per cent to the annual gross emissions for the entire time series. Figure 2.2.3 shows the contribution that each inventory sector contributed to New Zealand’s emissions. The LULUCF sector was a net GHG sink between 1990 and 2020.</w:t>
      </w:r>
    </w:p>
    <w:p w14:paraId="37968EA7" w14:textId="4A173EC0" w:rsidR="00D42431" w:rsidRPr="002D5D12" w:rsidRDefault="00D42431" w:rsidP="00D42431">
      <w:pPr>
        <w:pStyle w:val="Figure"/>
      </w:pPr>
      <w:bookmarkStart w:id="139" w:name="_Toc99696003"/>
      <w:r w:rsidRPr="002D5D12">
        <w:rPr>
          <w:bCs/>
        </w:rPr>
        <w:t>Figure 2.2.3</w:t>
      </w:r>
      <w:r w:rsidRPr="002D5D12">
        <w:rPr>
          <w:bCs/>
        </w:rPr>
        <w:tab/>
      </w:r>
      <w:r w:rsidRPr="002D5D12">
        <w:t>Trends in New Zealand’s greenhouse gas emissions by sector from 1990</w:t>
      </w:r>
      <w:r w:rsidR="004D7B27">
        <w:t> </w:t>
      </w:r>
      <w:r w:rsidRPr="002D5D12">
        <w:t>to</w:t>
      </w:r>
      <w:r w:rsidR="004D7B27">
        <w:t> </w:t>
      </w:r>
      <w:r w:rsidRPr="002D5D12">
        <w:t>2020</w:t>
      </w:r>
      <w:bookmarkEnd w:id="139"/>
    </w:p>
    <w:p w14:paraId="25EB66EC" w14:textId="5885B4DC" w:rsidR="00D42431" w:rsidRPr="002D5D12" w:rsidRDefault="004B48CC" w:rsidP="00D42431">
      <w:pPr>
        <w:pStyle w:val="BodyText"/>
      </w:pPr>
      <w:r>
        <w:rPr>
          <w:noProof/>
        </w:rPr>
        <w:pict w14:anchorId="4BD57F69">
          <v:shape id="_x0000_i1036" type="#_x0000_t75" alt="Chart, line chart&#10;&#10;Description automatically generated" style="width:425.3pt;height:318.15pt;visibility:visible;mso-wrap-style:square">
            <v:imagedata r:id="rId23" o:title="Chart, line chart&#10;&#10;Description automatically generated"/>
          </v:shape>
        </w:pict>
      </w:r>
    </w:p>
    <w:p w14:paraId="52D845CC" w14:textId="77777777" w:rsidR="00D42431" w:rsidRPr="002D5D12" w:rsidRDefault="00D42431" w:rsidP="00D42431">
      <w:pPr>
        <w:pStyle w:val="Noteundertable"/>
      </w:pPr>
      <w:r w:rsidRPr="002D5D12">
        <w:rPr>
          <w:b/>
          <w:bCs/>
        </w:rPr>
        <w:t>Note:</w:t>
      </w:r>
      <w:r w:rsidRPr="002D5D12">
        <w:t xml:space="preserve"> Net removals from the LULUCF sector are as reported under the Convention (chapter 6).</w:t>
      </w:r>
    </w:p>
    <w:p w14:paraId="4DFA89B0" w14:textId="77777777" w:rsidR="00D42431" w:rsidRPr="002D5D12" w:rsidRDefault="00D42431" w:rsidP="00D42431">
      <w:pPr>
        <w:pStyle w:val="BodyText"/>
      </w:pPr>
      <w:r w:rsidRPr="002D5D12">
        <w:lastRenderedPageBreak/>
        <w:t>Table 2.2.1 presents New Zealand’s emissions by sector in 1990 and 2020 and the change between the years in absolute terms and by percentage. Figure 2.2.4 shows the changes in emissions by sector comparing between 1990 and 2020.</w:t>
      </w:r>
    </w:p>
    <w:p w14:paraId="1F80F1F7" w14:textId="77777777" w:rsidR="00D42431" w:rsidRPr="002D5D12" w:rsidRDefault="00D42431" w:rsidP="00D42431">
      <w:pPr>
        <w:pStyle w:val="Table"/>
      </w:pPr>
      <w:bookmarkStart w:id="140" w:name="_Toc99659208"/>
      <w:r w:rsidRPr="002D5D12">
        <w:t>Table 2.2.1</w:t>
      </w:r>
      <w:r w:rsidRPr="002D5D12">
        <w:tab/>
        <w:t xml:space="preserve">New Zealand’s emissions by sector between </w:t>
      </w:r>
      <w:r w:rsidRPr="002D5D12">
        <w:rPr>
          <w:bCs/>
        </w:rPr>
        <w:t>1990</w:t>
      </w:r>
      <w:r w:rsidRPr="002D5D12">
        <w:t xml:space="preserve"> and </w:t>
      </w:r>
      <w:r w:rsidRPr="002D5D12">
        <w:rPr>
          <w:bCs/>
        </w:rPr>
        <w:t>2020</w:t>
      </w:r>
      <w:bookmarkEnd w:id="140"/>
    </w:p>
    <w:tbl>
      <w:tblPr>
        <w:tblW w:w="8505" w:type="dxa"/>
        <w:tblInd w:w="113"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369"/>
        <w:gridCol w:w="1259"/>
        <w:gridCol w:w="1259"/>
        <w:gridCol w:w="2166"/>
        <w:gridCol w:w="2452"/>
      </w:tblGrid>
      <w:tr w:rsidR="00D42431" w:rsidRPr="002D5D12" w14:paraId="48F43F44" w14:textId="77777777" w:rsidTr="00202DEE">
        <w:trPr>
          <w:cantSplit/>
          <w:tblHeader/>
        </w:trPr>
        <w:tc>
          <w:tcPr>
            <w:tcW w:w="0" w:type="auto"/>
            <w:shd w:val="clear" w:color="auto" w:fill="1B556B"/>
            <w:tcMar>
              <w:top w:w="0" w:type="dxa"/>
              <w:left w:w="108" w:type="dxa"/>
              <w:bottom w:w="0" w:type="dxa"/>
              <w:right w:w="108" w:type="dxa"/>
            </w:tcMar>
            <w:vAlign w:val="bottom"/>
          </w:tcPr>
          <w:p w14:paraId="30CF6015" w14:textId="77777777" w:rsidR="00D42431" w:rsidRPr="00D42431" w:rsidRDefault="00D42431" w:rsidP="00226131">
            <w:pPr>
              <w:pStyle w:val="TableTextBold"/>
              <w:spacing w:before="40" w:after="40"/>
              <w:rPr>
                <w:noProof w:val="0"/>
                <w:color w:val="FFFFFF"/>
              </w:rPr>
            </w:pPr>
            <w:r w:rsidRPr="00D42431">
              <w:rPr>
                <w:rFonts w:eastAsia="Calibri"/>
                <w:noProof w:val="0"/>
                <w:color w:val="FFFFFF"/>
              </w:rPr>
              <w:t>Sector</w:t>
            </w:r>
          </w:p>
        </w:tc>
        <w:tc>
          <w:tcPr>
            <w:tcW w:w="0" w:type="auto"/>
            <w:shd w:val="clear" w:color="auto" w:fill="1B556B"/>
            <w:tcMar>
              <w:top w:w="0" w:type="dxa"/>
              <w:left w:w="108" w:type="dxa"/>
              <w:bottom w:w="0" w:type="dxa"/>
              <w:right w:w="108" w:type="dxa"/>
            </w:tcMar>
            <w:vAlign w:val="bottom"/>
          </w:tcPr>
          <w:p w14:paraId="1EA5C6D2" w14:textId="77777777" w:rsidR="00D42431" w:rsidRPr="00D42431" w:rsidRDefault="00D42431" w:rsidP="00226131">
            <w:pPr>
              <w:pStyle w:val="TableTextBold"/>
              <w:spacing w:before="40" w:after="40"/>
              <w:jc w:val="right"/>
              <w:rPr>
                <w:noProof w:val="0"/>
                <w:color w:val="FFFFFF"/>
              </w:rPr>
            </w:pPr>
            <w:r w:rsidRPr="00D42431">
              <w:rPr>
                <w:rFonts w:eastAsia="Calibri"/>
                <w:noProof w:val="0"/>
                <w:color w:val="FFFFFF"/>
              </w:rPr>
              <w:t>1990</w:t>
            </w:r>
          </w:p>
        </w:tc>
        <w:tc>
          <w:tcPr>
            <w:tcW w:w="0" w:type="auto"/>
            <w:shd w:val="clear" w:color="auto" w:fill="1B556B"/>
            <w:tcMar>
              <w:top w:w="0" w:type="dxa"/>
              <w:left w:w="108" w:type="dxa"/>
              <w:bottom w:w="0" w:type="dxa"/>
              <w:right w:w="108" w:type="dxa"/>
            </w:tcMar>
            <w:vAlign w:val="bottom"/>
          </w:tcPr>
          <w:p w14:paraId="58C91AD0" w14:textId="77777777" w:rsidR="00D42431" w:rsidRPr="00D42431" w:rsidRDefault="00D42431" w:rsidP="00226131">
            <w:pPr>
              <w:pStyle w:val="TableTextBold"/>
              <w:spacing w:before="40" w:after="40"/>
              <w:jc w:val="right"/>
              <w:rPr>
                <w:noProof w:val="0"/>
                <w:color w:val="FFFFFF"/>
              </w:rPr>
            </w:pPr>
            <w:r w:rsidRPr="00D42431">
              <w:rPr>
                <w:rFonts w:eastAsia="Calibri"/>
                <w:noProof w:val="0"/>
                <w:color w:val="FFFFFF"/>
              </w:rPr>
              <w:t>2020</w:t>
            </w:r>
          </w:p>
        </w:tc>
        <w:tc>
          <w:tcPr>
            <w:tcW w:w="0" w:type="auto"/>
            <w:shd w:val="clear" w:color="auto" w:fill="1B556B"/>
            <w:tcMar>
              <w:top w:w="0" w:type="dxa"/>
              <w:left w:w="108" w:type="dxa"/>
              <w:bottom w:w="0" w:type="dxa"/>
              <w:right w:w="108" w:type="dxa"/>
            </w:tcMar>
            <w:vAlign w:val="bottom"/>
          </w:tcPr>
          <w:p w14:paraId="36168411" w14:textId="77777777" w:rsidR="00D42431" w:rsidRPr="00D42431" w:rsidRDefault="00D42431" w:rsidP="00226131">
            <w:pPr>
              <w:pStyle w:val="TableTextBold"/>
              <w:spacing w:before="40" w:after="40"/>
              <w:jc w:val="right"/>
              <w:rPr>
                <w:noProof w:val="0"/>
                <w:color w:val="FFFFFF"/>
              </w:rPr>
            </w:pPr>
            <w:r w:rsidRPr="00D42431">
              <w:rPr>
                <w:rFonts w:eastAsia="Calibri"/>
                <w:noProof w:val="0"/>
                <w:color w:val="FFFFFF"/>
              </w:rPr>
              <w:t xml:space="preserve">Change from 1990 </w:t>
            </w:r>
            <w:r w:rsidRPr="00D42431">
              <w:rPr>
                <w:rFonts w:eastAsia="Calibri"/>
                <w:noProof w:val="0"/>
                <w:color w:val="FFFFFF"/>
              </w:rPr>
              <w:br/>
              <w:t>(kt CO</w:t>
            </w:r>
            <w:r w:rsidRPr="00D42431">
              <w:rPr>
                <w:rFonts w:eastAsia="Calibri"/>
                <w:noProof w:val="0"/>
                <w:color w:val="FFFFFF"/>
                <w:vertAlign w:val="subscript"/>
              </w:rPr>
              <w:t>2</w:t>
            </w:r>
            <w:r w:rsidRPr="00D42431">
              <w:rPr>
                <w:rFonts w:eastAsia="Calibri"/>
                <w:noProof w:val="0"/>
                <w:color w:val="FFFFFF"/>
              </w:rPr>
              <w:t>-equivalent)</w:t>
            </w:r>
          </w:p>
        </w:tc>
        <w:tc>
          <w:tcPr>
            <w:tcW w:w="0" w:type="auto"/>
            <w:shd w:val="clear" w:color="auto" w:fill="1B556B"/>
            <w:tcMar>
              <w:top w:w="0" w:type="dxa"/>
              <w:left w:w="108" w:type="dxa"/>
              <w:bottom w:w="0" w:type="dxa"/>
              <w:right w:w="108" w:type="dxa"/>
            </w:tcMar>
            <w:vAlign w:val="bottom"/>
          </w:tcPr>
          <w:p w14:paraId="18D5463D" w14:textId="77777777" w:rsidR="00D42431" w:rsidRPr="00D42431" w:rsidRDefault="00D42431" w:rsidP="00226131">
            <w:pPr>
              <w:pStyle w:val="TableTextBold"/>
              <w:spacing w:before="40" w:after="40"/>
              <w:jc w:val="right"/>
              <w:rPr>
                <w:noProof w:val="0"/>
                <w:color w:val="FFFFFF"/>
              </w:rPr>
            </w:pPr>
            <w:r w:rsidRPr="00D42431">
              <w:rPr>
                <w:rFonts w:eastAsia="Calibri"/>
                <w:noProof w:val="0"/>
                <w:color w:val="FFFFFF"/>
              </w:rPr>
              <w:t>Change from 1990 (%)</w:t>
            </w:r>
          </w:p>
        </w:tc>
      </w:tr>
      <w:tr w:rsidR="00D42431" w:rsidRPr="002D5D12" w14:paraId="6653E1EC" w14:textId="77777777" w:rsidTr="00202DEE">
        <w:trPr>
          <w:cantSplit/>
        </w:trPr>
        <w:tc>
          <w:tcPr>
            <w:tcW w:w="0" w:type="auto"/>
            <w:shd w:val="clear" w:color="auto" w:fill="FFFFFF"/>
            <w:tcMar>
              <w:top w:w="0" w:type="dxa"/>
              <w:left w:w="108" w:type="dxa"/>
              <w:bottom w:w="0" w:type="dxa"/>
              <w:right w:w="108" w:type="dxa"/>
            </w:tcMar>
            <w:vAlign w:val="center"/>
          </w:tcPr>
          <w:p w14:paraId="5D2BFAE1" w14:textId="77777777" w:rsidR="00D42431" w:rsidRPr="002D5D12" w:rsidRDefault="00D42431" w:rsidP="00226131">
            <w:pPr>
              <w:pStyle w:val="TableText"/>
              <w:spacing w:before="40" w:after="40"/>
            </w:pPr>
            <w:r w:rsidRPr="002D5D12">
              <w:rPr>
                <w:rFonts w:eastAsia="Calibri"/>
              </w:rPr>
              <w:t>Energy</w:t>
            </w:r>
          </w:p>
        </w:tc>
        <w:tc>
          <w:tcPr>
            <w:tcW w:w="0" w:type="auto"/>
            <w:shd w:val="clear" w:color="auto" w:fill="FFFFFF"/>
            <w:tcMar>
              <w:top w:w="0" w:type="dxa"/>
              <w:left w:w="108" w:type="dxa"/>
              <w:bottom w:w="0" w:type="dxa"/>
              <w:right w:w="108" w:type="dxa"/>
            </w:tcMar>
            <w:vAlign w:val="center"/>
          </w:tcPr>
          <w:p w14:paraId="7B446825" w14:textId="77777777" w:rsidR="00D42431" w:rsidRPr="002D5D12" w:rsidRDefault="00D42431" w:rsidP="00226131">
            <w:pPr>
              <w:pStyle w:val="TableText"/>
              <w:spacing w:before="40" w:after="40"/>
              <w:jc w:val="right"/>
            </w:pPr>
            <w:r w:rsidRPr="002D5D12">
              <w:rPr>
                <w:rFonts w:eastAsia="Calibri"/>
              </w:rPr>
              <w:t>23,877.9</w:t>
            </w:r>
          </w:p>
        </w:tc>
        <w:tc>
          <w:tcPr>
            <w:tcW w:w="0" w:type="auto"/>
            <w:shd w:val="clear" w:color="auto" w:fill="FFFFFF"/>
            <w:tcMar>
              <w:top w:w="0" w:type="dxa"/>
              <w:left w:w="108" w:type="dxa"/>
              <w:bottom w:w="0" w:type="dxa"/>
              <w:right w:w="108" w:type="dxa"/>
            </w:tcMar>
            <w:vAlign w:val="center"/>
          </w:tcPr>
          <w:p w14:paraId="0A5C4E8D" w14:textId="77777777" w:rsidR="00D42431" w:rsidRPr="002D5D12" w:rsidRDefault="00D42431" w:rsidP="00226131">
            <w:pPr>
              <w:pStyle w:val="TableText"/>
              <w:spacing w:before="40" w:after="40"/>
              <w:jc w:val="right"/>
            </w:pPr>
            <w:r w:rsidRPr="002D5D12">
              <w:rPr>
                <w:rFonts w:eastAsia="Calibri"/>
              </w:rPr>
              <w:t>31,461.4</w:t>
            </w:r>
          </w:p>
        </w:tc>
        <w:tc>
          <w:tcPr>
            <w:tcW w:w="0" w:type="auto"/>
            <w:shd w:val="clear" w:color="auto" w:fill="FFFFFF"/>
            <w:tcMar>
              <w:top w:w="0" w:type="dxa"/>
              <w:left w:w="108" w:type="dxa"/>
              <w:bottom w:w="0" w:type="dxa"/>
              <w:right w:w="108" w:type="dxa"/>
            </w:tcMar>
            <w:vAlign w:val="center"/>
          </w:tcPr>
          <w:p w14:paraId="123E3B7C" w14:textId="77777777" w:rsidR="00D42431" w:rsidRPr="002D5D12" w:rsidRDefault="00D42431" w:rsidP="00226131">
            <w:pPr>
              <w:pStyle w:val="TableText"/>
              <w:spacing w:before="40" w:after="40"/>
              <w:jc w:val="right"/>
            </w:pPr>
            <w:r w:rsidRPr="002D5D12">
              <w:rPr>
                <w:rFonts w:eastAsia="Calibri"/>
              </w:rPr>
              <w:t>7,583.5</w:t>
            </w:r>
          </w:p>
        </w:tc>
        <w:tc>
          <w:tcPr>
            <w:tcW w:w="0" w:type="auto"/>
            <w:shd w:val="clear" w:color="auto" w:fill="FFFFFF"/>
            <w:tcMar>
              <w:top w:w="0" w:type="dxa"/>
              <w:left w:w="108" w:type="dxa"/>
              <w:bottom w:w="0" w:type="dxa"/>
              <w:right w:w="108" w:type="dxa"/>
            </w:tcMar>
            <w:vAlign w:val="center"/>
          </w:tcPr>
          <w:p w14:paraId="787CC9BA" w14:textId="77777777" w:rsidR="00D42431" w:rsidRPr="002D5D12" w:rsidRDefault="00D42431" w:rsidP="00226131">
            <w:pPr>
              <w:pStyle w:val="TableText"/>
              <w:spacing w:before="40" w:after="40"/>
              <w:jc w:val="right"/>
            </w:pPr>
            <w:r w:rsidRPr="002D5D12">
              <w:rPr>
                <w:rFonts w:eastAsia="Calibri"/>
              </w:rPr>
              <w:t>31.8</w:t>
            </w:r>
          </w:p>
        </w:tc>
      </w:tr>
      <w:tr w:rsidR="00D42431" w:rsidRPr="002D5D12" w14:paraId="7A14FCB1" w14:textId="77777777" w:rsidTr="00202DEE">
        <w:trPr>
          <w:cantSplit/>
        </w:trPr>
        <w:tc>
          <w:tcPr>
            <w:tcW w:w="0" w:type="auto"/>
            <w:shd w:val="clear" w:color="auto" w:fill="FFFFFF"/>
            <w:tcMar>
              <w:top w:w="0" w:type="dxa"/>
              <w:left w:w="108" w:type="dxa"/>
              <w:bottom w:w="0" w:type="dxa"/>
              <w:right w:w="108" w:type="dxa"/>
            </w:tcMar>
            <w:vAlign w:val="center"/>
          </w:tcPr>
          <w:p w14:paraId="3B0F1697" w14:textId="77777777" w:rsidR="00D42431" w:rsidRPr="002D5D12" w:rsidRDefault="00D42431" w:rsidP="00226131">
            <w:pPr>
              <w:pStyle w:val="TableText"/>
              <w:spacing w:before="40" w:after="40"/>
            </w:pPr>
            <w:r w:rsidRPr="002D5D12">
              <w:rPr>
                <w:rFonts w:eastAsia="Calibri"/>
              </w:rPr>
              <w:t>IPPU</w:t>
            </w:r>
          </w:p>
        </w:tc>
        <w:tc>
          <w:tcPr>
            <w:tcW w:w="0" w:type="auto"/>
            <w:shd w:val="clear" w:color="auto" w:fill="FFFFFF"/>
            <w:tcMar>
              <w:top w:w="0" w:type="dxa"/>
              <w:left w:w="108" w:type="dxa"/>
              <w:bottom w:w="0" w:type="dxa"/>
              <w:right w:w="108" w:type="dxa"/>
            </w:tcMar>
            <w:vAlign w:val="center"/>
          </w:tcPr>
          <w:p w14:paraId="4CE2825C" w14:textId="77777777" w:rsidR="00D42431" w:rsidRPr="002D5D12" w:rsidRDefault="00D42431" w:rsidP="00226131">
            <w:pPr>
              <w:pStyle w:val="TableText"/>
              <w:spacing w:before="40" w:after="40"/>
              <w:jc w:val="right"/>
            </w:pPr>
            <w:r w:rsidRPr="002D5D12">
              <w:rPr>
                <w:rFonts w:eastAsia="Calibri"/>
              </w:rPr>
              <w:t>3,579.9</w:t>
            </w:r>
          </w:p>
        </w:tc>
        <w:tc>
          <w:tcPr>
            <w:tcW w:w="0" w:type="auto"/>
            <w:shd w:val="clear" w:color="auto" w:fill="FFFFFF"/>
            <w:tcMar>
              <w:top w:w="0" w:type="dxa"/>
              <w:left w:w="108" w:type="dxa"/>
              <w:bottom w:w="0" w:type="dxa"/>
              <w:right w:w="108" w:type="dxa"/>
            </w:tcMar>
            <w:vAlign w:val="center"/>
          </w:tcPr>
          <w:p w14:paraId="28AFE5A8" w14:textId="77777777" w:rsidR="00D42431" w:rsidRPr="002D5D12" w:rsidRDefault="00D42431" w:rsidP="00226131">
            <w:pPr>
              <w:pStyle w:val="TableText"/>
              <w:spacing w:before="40" w:after="40"/>
              <w:jc w:val="right"/>
            </w:pPr>
            <w:r w:rsidRPr="002D5D12">
              <w:rPr>
                <w:rFonts w:eastAsia="Calibri"/>
              </w:rPr>
              <w:t>4,618.4</w:t>
            </w:r>
          </w:p>
        </w:tc>
        <w:tc>
          <w:tcPr>
            <w:tcW w:w="0" w:type="auto"/>
            <w:shd w:val="clear" w:color="auto" w:fill="FFFFFF"/>
            <w:tcMar>
              <w:top w:w="0" w:type="dxa"/>
              <w:left w:w="108" w:type="dxa"/>
              <w:bottom w:w="0" w:type="dxa"/>
              <w:right w:w="108" w:type="dxa"/>
            </w:tcMar>
            <w:vAlign w:val="center"/>
          </w:tcPr>
          <w:p w14:paraId="7F0A1686" w14:textId="77777777" w:rsidR="00D42431" w:rsidRPr="002D5D12" w:rsidRDefault="00D42431" w:rsidP="00226131">
            <w:pPr>
              <w:pStyle w:val="TableText"/>
              <w:spacing w:before="40" w:after="40"/>
              <w:jc w:val="right"/>
            </w:pPr>
            <w:r w:rsidRPr="002D5D12">
              <w:rPr>
                <w:rFonts w:eastAsia="Calibri"/>
              </w:rPr>
              <w:t>1,038.4</w:t>
            </w:r>
          </w:p>
        </w:tc>
        <w:tc>
          <w:tcPr>
            <w:tcW w:w="0" w:type="auto"/>
            <w:shd w:val="clear" w:color="auto" w:fill="FFFFFF"/>
            <w:tcMar>
              <w:top w:w="0" w:type="dxa"/>
              <w:left w:w="108" w:type="dxa"/>
              <w:bottom w:w="0" w:type="dxa"/>
              <w:right w:w="108" w:type="dxa"/>
            </w:tcMar>
            <w:vAlign w:val="center"/>
          </w:tcPr>
          <w:p w14:paraId="410F113C" w14:textId="77777777" w:rsidR="00D42431" w:rsidRPr="002D5D12" w:rsidRDefault="00D42431" w:rsidP="00226131">
            <w:pPr>
              <w:pStyle w:val="TableText"/>
              <w:spacing w:before="40" w:after="40"/>
              <w:jc w:val="right"/>
            </w:pPr>
            <w:r w:rsidRPr="002D5D12">
              <w:rPr>
                <w:rFonts w:eastAsia="Calibri"/>
              </w:rPr>
              <w:t>29.0</w:t>
            </w:r>
          </w:p>
        </w:tc>
      </w:tr>
      <w:tr w:rsidR="00D42431" w:rsidRPr="002D5D12" w14:paraId="01BC5BCC" w14:textId="77777777" w:rsidTr="00202DEE">
        <w:trPr>
          <w:cantSplit/>
        </w:trPr>
        <w:tc>
          <w:tcPr>
            <w:tcW w:w="0" w:type="auto"/>
            <w:shd w:val="clear" w:color="auto" w:fill="FFFFFF"/>
            <w:tcMar>
              <w:top w:w="0" w:type="dxa"/>
              <w:left w:w="108" w:type="dxa"/>
              <w:bottom w:w="0" w:type="dxa"/>
              <w:right w:w="108" w:type="dxa"/>
            </w:tcMar>
            <w:vAlign w:val="center"/>
          </w:tcPr>
          <w:p w14:paraId="122F0099" w14:textId="77777777" w:rsidR="00D42431" w:rsidRPr="002D5D12" w:rsidRDefault="00D42431" w:rsidP="00226131">
            <w:pPr>
              <w:pStyle w:val="TableText"/>
              <w:spacing w:before="40" w:after="40"/>
            </w:pPr>
            <w:r w:rsidRPr="002D5D12">
              <w:rPr>
                <w:rFonts w:eastAsia="Calibri"/>
              </w:rPr>
              <w:t>Agriculture</w:t>
            </w:r>
          </w:p>
        </w:tc>
        <w:tc>
          <w:tcPr>
            <w:tcW w:w="0" w:type="auto"/>
            <w:shd w:val="clear" w:color="auto" w:fill="FFFFFF"/>
            <w:tcMar>
              <w:top w:w="0" w:type="dxa"/>
              <w:left w:w="108" w:type="dxa"/>
              <w:bottom w:w="0" w:type="dxa"/>
              <w:right w:w="108" w:type="dxa"/>
            </w:tcMar>
            <w:vAlign w:val="center"/>
          </w:tcPr>
          <w:p w14:paraId="3036AF72" w14:textId="77777777" w:rsidR="00D42431" w:rsidRPr="002D5D12" w:rsidRDefault="00D42431" w:rsidP="00226131">
            <w:pPr>
              <w:pStyle w:val="TableText"/>
              <w:spacing w:before="40" w:after="40"/>
              <w:jc w:val="right"/>
            </w:pPr>
            <w:r w:rsidRPr="002D5D12">
              <w:rPr>
                <w:rFonts w:eastAsia="Calibri"/>
              </w:rPr>
              <w:t>33,792.9</w:t>
            </w:r>
          </w:p>
        </w:tc>
        <w:tc>
          <w:tcPr>
            <w:tcW w:w="0" w:type="auto"/>
            <w:shd w:val="clear" w:color="auto" w:fill="FFFFFF"/>
            <w:tcMar>
              <w:top w:w="0" w:type="dxa"/>
              <w:left w:w="108" w:type="dxa"/>
              <w:bottom w:w="0" w:type="dxa"/>
              <w:right w:w="108" w:type="dxa"/>
            </w:tcMar>
            <w:vAlign w:val="center"/>
          </w:tcPr>
          <w:p w14:paraId="3CF5754A" w14:textId="77777777" w:rsidR="00D42431" w:rsidRPr="002D5D12" w:rsidRDefault="00D42431" w:rsidP="00226131">
            <w:pPr>
              <w:pStyle w:val="TableText"/>
              <w:spacing w:before="40" w:after="40"/>
              <w:jc w:val="right"/>
            </w:pPr>
            <w:r w:rsidRPr="002D5D12">
              <w:rPr>
                <w:rFonts w:eastAsia="Calibri"/>
              </w:rPr>
              <w:t>39,425.5</w:t>
            </w:r>
          </w:p>
        </w:tc>
        <w:tc>
          <w:tcPr>
            <w:tcW w:w="0" w:type="auto"/>
            <w:shd w:val="clear" w:color="auto" w:fill="FFFFFF"/>
            <w:tcMar>
              <w:top w:w="0" w:type="dxa"/>
              <w:left w:w="108" w:type="dxa"/>
              <w:bottom w:w="0" w:type="dxa"/>
              <w:right w:w="108" w:type="dxa"/>
            </w:tcMar>
            <w:vAlign w:val="center"/>
          </w:tcPr>
          <w:p w14:paraId="2FA17FA9" w14:textId="77777777" w:rsidR="00D42431" w:rsidRPr="002D5D12" w:rsidRDefault="00D42431" w:rsidP="00226131">
            <w:pPr>
              <w:pStyle w:val="TableText"/>
              <w:spacing w:before="40" w:after="40"/>
              <w:jc w:val="right"/>
            </w:pPr>
            <w:r w:rsidRPr="002D5D12">
              <w:rPr>
                <w:rFonts w:eastAsia="Calibri"/>
              </w:rPr>
              <w:t>5,632.7</w:t>
            </w:r>
          </w:p>
        </w:tc>
        <w:tc>
          <w:tcPr>
            <w:tcW w:w="0" w:type="auto"/>
            <w:shd w:val="clear" w:color="auto" w:fill="FFFFFF"/>
            <w:tcMar>
              <w:top w:w="0" w:type="dxa"/>
              <w:left w:w="108" w:type="dxa"/>
              <w:bottom w:w="0" w:type="dxa"/>
              <w:right w:w="108" w:type="dxa"/>
            </w:tcMar>
            <w:vAlign w:val="center"/>
          </w:tcPr>
          <w:p w14:paraId="61AB3FD3" w14:textId="77777777" w:rsidR="00D42431" w:rsidRPr="002D5D12" w:rsidRDefault="00D42431" w:rsidP="00226131">
            <w:pPr>
              <w:pStyle w:val="TableText"/>
              <w:spacing w:before="40" w:after="40"/>
              <w:jc w:val="right"/>
            </w:pPr>
            <w:r w:rsidRPr="002D5D12">
              <w:rPr>
                <w:rFonts w:eastAsia="Calibri"/>
              </w:rPr>
              <w:t>16.7</w:t>
            </w:r>
          </w:p>
        </w:tc>
      </w:tr>
      <w:tr w:rsidR="00D42431" w:rsidRPr="002D5D12" w14:paraId="32DB867E" w14:textId="77777777" w:rsidTr="00202DEE">
        <w:trPr>
          <w:cantSplit/>
        </w:trPr>
        <w:tc>
          <w:tcPr>
            <w:tcW w:w="0" w:type="auto"/>
            <w:shd w:val="clear" w:color="auto" w:fill="FFFFFF"/>
            <w:tcMar>
              <w:top w:w="0" w:type="dxa"/>
              <w:left w:w="108" w:type="dxa"/>
              <w:bottom w:w="0" w:type="dxa"/>
              <w:right w:w="108" w:type="dxa"/>
            </w:tcMar>
            <w:vAlign w:val="center"/>
          </w:tcPr>
          <w:p w14:paraId="321A41EE" w14:textId="77777777" w:rsidR="00D42431" w:rsidRPr="002D5D12" w:rsidRDefault="00D42431" w:rsidP="00226131">
            <w:pPr>
              <w:pStyle w:val="TableText"/>
              <w:spacing w:before="40" w:after="40"/>
            </w:pPr>
            <w:r w:rsidRPr="002D5D12">
              <w:rPr>
                <w:rFonts w:eastAsia="Calibri"/>
              </w:rPr>
              <w:t>Waste</w:t>
            </w:r>
          </w:p>
        </w:tc>
        <w:tc>
          <w:tcPr>
            <w:tcW w:w="0" w:type="auto"/>
            <w:shd w:val="clear" w:color="auto" w:fill="FFFFFF"/>
            <w:tcMar>
              <w:top w:w="0" w:type="dxa"/>
              <w:left w:w="108" w:type="dxa"/>
              <w:bottom w:w="0" w:type="dxa"/>
              <w:right w:w="108" w:type="dxa"/>
            </w:tcMar>
            <w:vAlign w:val="center"/>
          </w:tcPr>
          <w:p w14:paraId="3460105F" w14:textId="77777777" w:rsidR="00D42431" w:rsidRPr="002D5D12" w:rsidRDefault="00D42431" w:rsidP="00226131">
            <w:pPr>
              <w:pStyle w:val="TableText"/>
              <w:spacing w:before="40" w:after="40"/>
              <w:jc w:val="right"/>
            </w:pPr>
            <w:r w:rsidRPr="002D5D12">
              <w:rPr>
                <w:rFonts w:eastAsia="Calibri"/>
              </w:rPr>
              <w:t>3,943.1</w:t>
            </w:r>
          </w:p>
        </w:tc>
        <w:tc>
          <w:tcPr>
            <w:tcW w:w="0" w:type="auto"/>
            <w:shd w:val="clear" w:color="auto" w:fill="FFFFFF"/>
            <w:tcMar>
              <w:top w:w="0" w:type="dxa"/>
              <w:left w:w="108" w:type="dxa"/>
              <w:bottom w:w="0" w:type="dxa"/>
              <w:right w:w="108" w:type="dxa"/>
            </w:tcMar>
            <w:vAlign w:val="center"/>
          </w:tcPr>
          <w:p w14:paraId="6460CCE0" w14:textId="77777777" w:rsidR="00D42431" w:rsidRPr="002D5D12" w:rsidRDefault="00D42431" w:rsidP="00226131">
            <w:pPr>
              <w:pStyle w:val="TableText"/>
              <w:spacing w:before="40" w:after="40"/>
              <w:jc w:val="right"/>
            </w:pPr>
            <w:r w:rsidRPr="002D5D12">
              <w:rPr>
                <w:rFonts w:eastAsia="Calibri"/>
              </w:rPr>
              <w:t>3,268.9</w:t>
            </w:r>
          </w:p>
        </w:tc>
        <w:tc>
          <w:tcPr>
            <w:tcW w:w="0" w:type="auto"/>
            <w:shd w:val="clear" w:color="auto" w:fill="FFFFFF"/>
            <w:tcMar>
              <w:top w:w="0" w:type="dxa"/>
              <w:left w:w="108" w:type="dxa"/>
              <w:bottom w:w="0" w:type="dxa"/>
              <w:right w:w="108" w:type="dxa"/>
            </w:tcMar>
            <w:vAlign w:val="center"/>
          </w:tcPr>
          <w:p w14:paraId="70A08856" w14:textId="77777777" w:rsidR="00D42431" w:rsidRPr="002D5D12" w:rsidRDefault="00D42431" w:rsidP="00226131">
            <w:pPr>
              <w:pStyle w:val="TableText"/>
              <w:spacing w:before="40" w:after="40"/>
              <w:jc w:val="right"/>
            </w:pPr>
            <w:r w:rsidRPr="002D5D12">
              <w:rPr>
                <w:rFonts w:eastAsia="Calibri"/>
              </w:rPr>
              <w:t>–674.2</w:t>
            </w:r>
          </w:p>
        </w:tc>
        <w:tc>
          <w:tcPr>
            <w:tcW w:w="0" w:type="auto"/>
            <w:shd w:val="clear" w:color="auto" w:fill="FFFFFF"/>
            <w:tcMar>
              <w:top w:w="0" w:type="dxa"/>
              <w:left w:w="108" w:type="dxa"/>
              <w:bottom w:w="0" w:type="dxa"/>
              <w:right w:w="108" w:type="dxa"/>
            </w:tcMar>
            <w:vAlign w:val="center"/>
          </w:tcPr>
          <w:p w14:paraId="599B38B6" w14:textId="77777777" w:rsidR="00D42431" w:rsidRPr="002D5D12" w:rsidRDefault="00D42431" w:rsidP="00226131">
            <w:pPr>
              <w:pStyle w:val="TableText"/>
              <w:spacing w:before="40" w:after="40"/>
              <w:jc w:val="right"/>
            </w:pPr>
            <w:r w:rsidRPr="002D5D12">
              <w:rPr>
                <w:rFonts w:eastAsia="Calibri"/>
              </w:rPr>
              <w:t>–17.1</w:t>
            </w:r>
          </w:p>
        </w:tc>
      </w:tr>
      <w:tr w:rsidR="00D42431" w:rsidRPr="002D5D12" w14:paraId="48BB6D23" w14:textId="77777777" w:rsidTr="00202DEE">
        <w:trPr>
          <w:cantSplit/>
        </w:trPr>
        <w:tc>
          <w:tcPr>
            <w:tcW w:w="0" w:type="auto"/>
            <w:shd w:val="clear" w:color="auto" w:fill="FFFFFF"/>
            <w:tcMar>
              <w:top w:w="0" w:type="dxa"/>
              <w:left w:w="108" w:type="dxa"/>
              <w:bottom w:w="0" w:type="dxa"/>
              <w:right w:w="108" w:type="dxa"/>
            </w:tcMar>
            <w:vAlign w:val="center"/>
          </w:tcPr>
          <w:p w14:paraId="2AC36A97" w14:textId="77777777" w:rsidR="00D42431" w:rsidRPr="002D5D12" w:rsidRDefault="00D42431" w:rsidP="00226131">
            <w:pPr>
              <w:pStyle w:val="TableText"/>
              <w:spacing w:before="40" w:after="40"/>
            </w:pPr>
            <w:r w:rsidRPr="002D5D12">
              <w:rPr>
                <w:rFonts w:eastAsia="Calibri"/>
              </w:rPr>
              <w:t>Tokelau</w:t>
            </w:r>
          </w:p>
        </w:tc>
        <w:tc>
          <w:tcPr>
            <w:tcW w:w="0" w:type="auto"/>
            <w:shd w:val="clear" w:color="auto" w:fill="FFFFFF"/>
            <w:tcMar>
              <w:top w:w="0" w:type="dxa"/>
              <w:left w:w="108" w:type="dxa"/>
              <w:bottom w:w="0" w:type="dxa"/>
              <w:right w:w="108" w:type="dxa"/>
            </w:tcMar>
            <w:vAlign w:val="center"/>
          </w:tcPr>
          <w:p w14:paraId="25DCDC07" w14:textId="77777777" w:rsidR="00D42431" w:rsidRPr="002D5D12" w:rsidRDefault="00D42431" w:rsidP="00226131">
            <w:pPr>
              <w:pStyle w:val="TableText"/>
              <w:spacing w:before="40" w:after="40"/>
              <w:jc w:val="right"/>
            </w:pPr>
            <w:r w:rsidRPr="002D5D12">
              <w:rPr>
                <w:rFonts w:eastAsia="Calibri"/>
              </w:rPr>
              <w:t>3.2</w:t>
            </w:r>
          </w:p>
        </w:tc>
        <w:tc>
          <w:tcPr>
            <w:tcW w:w="0" w:type="auto"/>
            <w:shd w:val="clear" w:color="auto" w:fill="FFFFFF"/>
            <w:tcMar>
              <w:top w:w="0" w:type="dxa"/>
              <w:left w:w="108" w:type="dxa"/>
              <w:bottom w:w="0" w:type="dxa"/>
              <w:right w:w="108" w:type="dxa"/>
            </w:tcMar>
            <w:vAlign w:val="center"/>
          </w:tcPr>
          <w:p w14:paraId="24F1C2B9" w14:textId="77777777" w:rsidR="00D42431" w:rsidRPr="002D5D12" w:rsidRDefault="00D42431" w:rsidP="00226131">
            <w:pPr>
              <w:pStyle w:val="TableText"/>
              <w:spacing w:before="40" w:after="40"/>
              <w:jc w:val="right"/>
            </w:pPr>
            <w:r w:rsidRPr="002D5D12">
              <w:rPr>
                <w:rFonts w:eastAsia="Calibri"/>
              </w:rPr>
              <w:t>4.2</w:t>
            </w:r>
          </w:p>
        </w:tc>
        <w:tc>
          <w:tcPr>
            <w:tcW w:w="0" w:type="auto"/>
            <w:shd w:val="clear" w:color="auto" w:fill="FFFFFF"/>
            <w:tcMar>
              <w:top w:w="0" w:type="dxa"/>
              <w:left w:w="108" w:type="dxa"/>
              <w:bottom w:w="0" w:type="dxa"/>
              <w:right w:w="108" w:type="dxa"/>
            </w:tcMar>
            <w:vAlign w:val="center"/>
          </w:tcPr>
          <w:p w14:paraId="69C8064D" w14:textId="77777777" w:rsidR="00D42431" w:rsidRPr="002D5D12" w:rsidRDefault="00D42431" w:rsidP="00226131">
            <w:pPr>
              <w:pStyle w:val="TableText"/>
              <w:spacing w:before="40" w:after="40"/>
              <w:jc w:val="right"/>
            </w:pPr>
            <w:r w:rsidRPr="002D5D12">
              <w:rPr>
                <w:rFonts w:eastAsia="Calibri"/>
              </w:rPr>
              <w:t>1.0</w:t>
            </w:r>
          </w:p>
        </w:tc>
        <w:tc>
          <w:tcPr>
            <w:tcW w:w="0" w:type="auto"/>
            <w:shd w:val="clear" w:color="auto" w:fill="FFFFFF"/>
            <w:tcMar>
              <w:top w:w="0" w:type="dxa"/>
              <w:left w:w="108" w:type="dxa"/>
              <w:bottom w:w="0" w:type="dxa"/>
              <w:right w:w="108" w:type="dxa"/>
            </w:tcMar>
            <w:vAlign w:val="center"/>
          </w:tcPr>
          <w:p w14:paraId="39A6A2AC" w14:textId="77777777" w:rsidR="00D42431" w:rsidRPr="002D5D12" w:rsidRDefault="00D42431" w:rsidP="00226131">
            <w:pPr>
              <w:pStyle w:val="TableText"/>
              <w:spacing w:before="40" w:after="40"/>
              <w:jc w:val="right"/>
            </w:pPr>
            <w:r w:rsidRPr="002D5D12">
              <w:rPr>
                <w:rFonts w:eastAsia="Calibri"/>
              </w:rPr>
              <w:t>31.9</w:t>
            </w:r>
          </w:p>
        </w:tc>
      </w:tr>
      <w:tr w:rsidR="00D42431" w:rsidRPr="002D5D12" w14:paraId="2C604F2B" w14:textId="77777777" w:rsidTr="00202DEE">
        <w:trPr>
          <w:cantSplit/>
        </w:trPr>
        <w:tc>
          <w:tcPr>
            <w:tcW w:w="0" w:type="auto"/>
            <w:shd w:val="clear" w:color="auto" w:fill="FFFFFF"/>
            <w:tcMar>
              <w:top w:w="0" w:type="dxa"/>
              <w:left w:w="108" w:type="dxa"/>
              <w:bottom w:w="0" w:type="dxa"/>
              <w:right w:w="108" w:type="dxa"/>
            </w:tcMar>
            <w:vAlign w:val="center"/>
          </w:tcPr>
          <w:p w14:paraId="5956AA96" w14:textId="77777777" w:rsidR="00D42431" w:rsidRPr="002D5D12" w:rsidRDefault="00D42431" w:rsidP="00226131">
            <w:pPr>
              <w:pStyle w:val="TableText"/>
              <w:spacing w:before="40" w:after="40"/>
            </w:pPr>
            <w:r w:rsidRPr="002D5D12">
              <w:rPr>
                <w:rFonts w:eastAsia="Calibri"/>
                <w:b/>
                <w:color w:val="1B556B"/>
              </w:rPr>
              <w:t>Gross</w:t>
            </w:r>
          </w:p>
        </w:tc>
        <w:tc>
          <w:tcPr>
            <w:tcW w:w="0" w:type="auto"/>
            <w:shd w:val="clear" w:color="auto" w:fill="FFFFFF"/>
            <w:tcMar>
              <w:top w:w="0" w:type="dxa"/>
              <w:left w:w="108" w:type="dxa"/>
              <w:bottom w:w="0" w:type="dxa"/>
              <w:right w:w="108" w:type="dxa"/>
            </w:tcMar>
            <w:vAlign w:val="center"/>
          </w:tcPr>
          <w:p w14:paraId="6CDB1248" w14:textId="77777777" w:rsidR="00D42431" w:rsidRPr="002D5D12" w:rsidRDefault="00D42431" w:rsidP="00226131">
            <w:pPr>
              <w:pStyle w:val="TableText"/>
              <w:spacing w:before="40" w:after="40"/>
              <w:jc w:val="right"/>
            </w:pPr>
            <w:r w:rsidRPr="002D5D12">
              <w:rPr>
                <w:rFonts w:eastAsia="Calibri"/>
                <w:b/>
                <w:color w:val="1B556B"/>
              </w:rPr>
              <w:t>65,197.0</w:t>
            </w:r>
          </w:p>
        </w:tc>
        <w:tc>
          <w:tcPr>
            <w:tcW w:w="0" w:type="auto"/>
            <w:shd w:val="clear" w:color="auto" w:fill="FFFFFF"/>
            <w:tcMar>
              <w:top w:w="0" w:type="dxa"/>
              <w:left w:w="108" w:type="dxa"/>
              <w:bottom w:w="0" w:type="dxa"/>
              <w:right w:w="108" w:type="dxa"/>
            </w:tcMar>
            <w:vAlign w:val="center"/>
          </w:tcPr>
          <w:p w14:paraId="2B595389" w14:textId="77777777" w:rsidR="00D42431" w:rsidRPr="002D5D12" w:rsidRDefault="00D42431" w:rsidP="00226131">
            <w:pPr>
              <w:pStyle w:val="TableText"/>
              <w:spacing w:before="40" w:after="40"/>
              <w:jc w:val="right"/>
            </w:pPr>
            <w:r w:rsidRPr="002D5D12">
              <w:rPr>
                <w:rFonts w:eastAsia="Calibri"/>
                <w:b/>
                <w:color w:val="1B556B"/>
              </w:rPr>
              <w:t>78,778.4</w:t>
            </w:r>
          </w:p>
        </w:tc>
        <w:tc>
          <w:tcPr>
            <w:tcW w:w="0" w:type="auto"/>
            <w:shd w:val="clear" w:color="auto" w:fill="FFFFFF"/>
            <w:tcMar>
              <w:top w:w="0" w:type="dxa"/>
              <w:left w:w="108" w:type="dxa"/>
              <w:bottom w:w="0" w:type="dxa"/>
              <w:right w:w="108" w:type="dxa"/>
            </w:tcMar>
            <w:vAlign w:val="center"/>
          </w:tcPr>
          <w:p w14:paraId="1CE68085" w14:textId="77777777" w:rsidR="00D42431" w:rsidRPr="002D5D12" w:rsidRDefault="00D42431" w:rsidP="00226131">
            <w:pPr>
              <w:pStyle w:val="TableText"/>
              <w:spacing w:before="40" w:after="40"/>
              <w:jc w:val="right"/>
            </w:pPr>
            <w:r w:rsidRPr="002D5D12">
              <w:rPr>
                <w:rFonts w:eastAsia="Calibri"/>
                <w:b/>
                <w:color w:val="1B556B"/>
              </w:rPr>
              <w:t>13,581.4</w:t>
            </w:r>
          </w:p>
        </w:tc>
        <w:tc>
          <w:tcPr>
            <w:tcW w:w="0" w:type="auto"/>
            <w:shd w:val="clear" w:color="auto" w:fill="FFFFFF"/>
            <w:tcMar>
              <w:top w:w="0" w:type="dxa"/>
              <w:left w:w="108" w:type="dxa"/>
              <w:bottom w:w="0" w:type="dxa"/>
              <w:right w:w="108" w:type="dxa"/>
            </w:tcMar>
            <w:vAlign w:val="center"/>
          </w:tcPr>
          <w:p w14:paraId="51DD284F" w14:textId="77777777" w:rsidR="00D42431" w:rsidRPr="002D5D12" w:rsidRDefault="00D42431" w:rsidP="00226131">
            <w:pPr>
              <w:pStyle w:val="TableText"/>
              <w:spacing w:before="40" w:after="40"/>
              <w:jc w:val="right"/>
            </w:pPr>
            <w:r w:rsidRPr="002D5D12">
              <w:rPr>
                <w:rFonts w:eastAsia="Calibri"/>
                <w:b/>
                <w:color w:val="1B556B"/>
              </w:rPr>
              <w:t>20.8</w:t>
            </w:r>
          </w:p>
        </w:tc>
      </w:tr>
      <w:tr w:rsidR="00D42431" w:rsidRPr="002D5D12" w14:paraId="39555C5E" w14:textId="77777777" w:rsidTr="00202DEE">
        <w:trPr>
          <w:cantSplit/>
        </w:trPr>
        <w:tc>
          <w:tcPr>
            <w:tcW w:w="0" w:type="auto"/>
            <w:shd w:val="clear" w:color="auto" w:fill="FFFFFF"/>
            <w:tcMar>
              <w:top w:w="0" w:type="dxa"/>
              <w:left w:w="108" w:type="dxa"/>
              <w:bottom w:w="0" w:type="dxa"/>
              <w:right w:w="108" w:type="dxa"/>
            </w:tcMar>
            <w:vAlign w:val="center"/>
          </w:tcPr>
          <w:p w14:paraId="05C9F0C1" w14:textId="77777777" w:rsidR="00D42431" w:rsidRPr="002D5D12" w:rsidRDefault="00D42431" w:rsidP="00226131">
            <w:pPr>
              <w:pStyle w:val="TableText"/>
              <w:spacing w:before="40" w:after="40"/>
            </w:pPr>
            <w:r w:rsidRPr="002D5D12">
              <w:rPr>
                <w:rFonts w:eastAsia="Calibri"/>
              </w:rPr>
              <w:t>LULUCF</w:t>
            </w:r>
          </w:p>
        </w:tc>
        <w:tc>
          <w:tcPr>
            <w:tcW w:w="0" w:type="auto"/>
            <w:shd w:val="clear" w:color="auto" w:fill="FFFFFF"/>
            <w:tcMar>
              <w:top w:w="0" w:type="dxa"/>
              <w:left w:w="108" w:type="dxa"/>
              <w:bottom w:w="0" w:type="dxa"/>
              <w:right w:w="108" w:type="dxa"/>
            </w:tcMar>
            <w:vAlign w:val="center"/>
          </w:tcPr>
          <w:p w14:paraId="2F25BE35" w14:textId="77777777" w:rsidR="00D42431" w:rsidRPr="002D5D12" w:rsidRDefault="00D42431" w:rsidP="00226131">
            <w:pPr>
              <w:pStyle w:val="TableText"/>
              <w:spacing w:before="40" w:after="40"/>
              <w:jc w:val="right"/>
            </w:pPr>
            <w:r w:rsidRPr="002D5D12">
              <w:rPr>
                <w:rFonts w:eastAsia="Calibri"/>
              </w:rPr>
              <w:t>–21,229.2</w:t>
            </w:r>
          </w:p>
        </w:tc>
        <w:tc>
          <w:tcPr>
            <w:tcW w:w="0" w:type="auto"/>
            <w:shd w:val="clear" w:color="auto" w:fill="FFFFFF"/>
            <w:tcMar>
              <w:top w:w="0" w:type="dxa"/>
              <w:left w:w="108" w:type="dxa"/>
              <w:bottom w:w="0" w:type="dxa"/>
              <w:right w:w="108" w:type="dxa"/>
            </w:tcMar>
            <w:vAlign w:val="center"/>
          </w:tcPr>
          <w:p w14:paraId="55FEC388" w14:textId="77777777" w:rsidR="00D42431" w:rsidRPr="002D5D12" w:rsidRDefault="00D42431" w:rsidP="00226131">
            <w:pPr>
              <w:pStyle w:val="TableText"/>
              <w:spacing w:before="40" w:after="40"/>
              <w:jc w:val="right"/>
            </w:pPr>
            <w:r w:rsidRPr="002D5D12">
              <w:rPr>
                <w:rFonts w:eastAsia="Calibri"/>
              </w:rPr>
              <w:t>–23,313.3</w:t>
            </w:r>
          </w:p>
        </w:tc>
        <w:tc>
          <w:tcPr>
            <w:tcW w:w="0" w:type="auto"/>
            <w:shd w:val="clear" w:color="auto" w:fill="FFFFFF"/>
            <w:tcMar>
              <w:top w:w="0" w:type="dxa"/>
              <w:left w:w="108" w:type="dxa"/>
              <w:bottom w:w="0" w:type="dxa"/>
              <w:right w:w="108" w:type="dxa"/>
            </w:tcMar>
            <w:vAlign w:val="center"/>
          </w:tcPr>
          <w:p w14:paraId="29A00ECD" w14:textId="77777777" w:rsidR="00D42431" w:rsidRPr="002D5D12" w:rsidRDefault="00D42431" w:rsidP="00226131">
            <w:pPr>
              <w:pStyle w:val="TableText"/>
              <w:spacing w:before="40" w:after="40"/>
              <w:jc w:val="right"/>
            </w:pPr>
            <w:r w:rsidRPr="002D5D12">
              <w:rPr>
                <w:rFonts w:eastAsia="Calibri"/>
              </w:rPr>
              <w:t>–2,084.0</w:t>
            </w:r>
          </w:p>
        </w:tc>
        <w:tc>
          <w:tcPr>
            <w:tcW w:w="0" w:type="auto"/>
            <w:shd w:val="clear" w:color="auto" w:fill="FFFFFF"/>
            <w:tcMar>
              <w:top w:w="0" w:type="dxa"/>
              <w:left w:w="108" w:type="dxa"/>
              <w:bottom w:w="0" w:type="dxa"/>
              <w:right w:w="108" w:type="dxa"/>
            </w:tcMar>
            <w:vAlign w:val="center"/>
          </w:tcPr>
          <w:p w14:paraId="7C649281" w14:textId="77777777" w:rsidR="00D42431" w:rsidRPr="002D5D12" w:rsidRDefault="00D42431" w:rsidP="00226131">
            <w:pPr>
              <w:pStyle w:val="TableText"/>
              <w:spacing w:before="40" w:after="40"/>
              <w:jc w:val="right"/>
            </w:pPr>
            <w:r w:rsidRPr="002D5D12">
              <w:rPr>
                <w:rFonts w:eastAsia="Calibri"/>
              </w:rPr>
              <w:t>–9.8</w:t>
            </w:r>
          </w:p>
        </w:tc>
      </w:tr>
      <w:tr w:rsidR="00D42431" w:rsidRPr="002D5D12" w14:paraId="0BB75E41" w14:textId="77777777" w:rsidTr="00202DEE">
        <w:trPr>
          <w:cantSplit/>
        </w:trPr>
        <w:tc>
          <w:tcPr>
            <w:tcW w:w="0" w:type="auto"/>
            <w:shd w:val="clear" w:color="auto" w:fill="FFFFFF"/>
            <w:tcMar>
              <w:top w:w="0" w:type="dxa"/>
              <w:left w:w="108" w:type="dxa"/>
              <w:bottom w:w="0" w:type="dxa"/>
              <w:right w:w="108" w:type="dxa"/>
            </w:tcMar>
            <w:vAlign w:val="center"/>
          </w:tcPr>
          <w:p w14:paraId="1AC56595" w14:textId="77777777" w:rsidR="00D42431" w:rsidRPr="002D5D12" w:rsidRDefault="00D42431" w:rsidP="00226131">
            <w:pPr>
              <w:pStyle w:val="TableText"/>
              <w:spacing w:before="40" w:after="40"/>
            </w:pPr>
            <w:r w:rsidRPr="002D5D12">
              <w:rPr>
                <w:rFonts w:eastAsia="Calibri"/>
                <w:b/>
                <w:color w:val="1B556B"/>
              </w:rPr>
              <w:t>Net</w:t>
            </w:r>
          </w:p>
        </w:tc>
        <w:tc>
          <w:tcPr>
            <w:tcW w:w="0" w:type="auto"/>
            <w:shd w:val="clear" w:color="auto" w:fill="FFFFFF"/>
            <w:tcMar>
              <w:top w:w="0" w:type="dxa"/>
              <w:left w:w="108" w:type="dxa"/>
              <w:bottom w:w="0" w:type="dxa"/>
              <w:right w:w="108" w:type="dxa"/>
            </w:tcMar>
            <w:vAlign w:val="center"/>
          </w:tcPr>
          <w:p w14:paraId="21D6BA08" w14:textId="77777777" w:rsidR="00D42431" w:rsidRPr="002D5D12" w:rsidRDefault="00D42431" w:rsidP="00226131">
            <w:pPr>
              <w:pStyle w:val="TableText"/>
              <w:spacing w:before="40" w:after="40"/>
              <w:jc w:val="right"/>
            </w:pPr>
            <w:r w:rsidRPr="002D5D12">
              <w:rPr>
                <w:rFonts w:eastAsia="Calibri"/>
                <w:b/>
                <w:color w:val="1B556B"/>
              </w:rPr>
              <w:t>43,967.8</w:t>
            </w:r>
          </w:p>
        </w:tc>
        <w:tc>
          <w:tcPr>
            <w:tcW w:w="0" w:type="auto"/>
            <w:shd w:val="clear" w:color="auto" w:fill="FFFFFF"/>
            <w:tcMar>
              <w:top w:w="0" w:type="dxa"/>
              <w:left w:w="108" w:type="dxa"/>
              <w:bottom w:w="0" w:type="dxa"/>
              <w:right w:w="108" w:type="dxa"/>
            </w:tcMar>
            <w:vAlign w:val="center"/>
          </w:tcPr>
          <w:p w14:paraId="45AB8186" w14:textId="77777777" w:rsidR="00D42431" w:rsidRPr="002D5D12" w:rsidRDefault="00D42431" w:rsidP="00226131">
            <w:pPr>
              <w:pStyle w:val="TableText"/>
              <w:spacing w:before="40" w:after="40"/>
              <w:jc w:val="right"/>
            </w:pPr>
            <w:r w:rsidRPr="002D5D12">
              <w:rPr>
                <w:rFonts w:eastAsia="Calibri"/>
                <w:b/>
                <w:color w:val="1B556B"/>
              </w:rPr>
              <w:t>55,465.1</w:t>
            </w:r>
          </w:p>
        </w:tc>
        <w:tc>
          <w:tcPr>
            <w:tcW w:w="0" w:type="auto"/>
            <w:shd w:val="clear" w:color="auto" w:fill="FFFFFF"/>
            <w:tcMar>
              <w:top w:w="0" w:type="dxa"/>
              <w:left w:w="108" w:type="dxa"/>
              <w:bottom w:w="0" w:type="dxa"/>
              <w:right w:w="108" w:type="dxa"/>
            </w:tcMar>
            <w:vAlign w:val="center"/>
          </w:tcPr>
          <w:p w14:paraId="5F94C97E" w14:textId="77777777" w:rsidR="00D42431" w:rsidRPr="002D5D12" w:rsidRDefault="00D42431" w:rsidP="00226131">
            <w:pPr>
              <w:pStyle w:val="TableText"/>
              <w:spacing w:before="40" w:after="40"/>
              <w:jc w:val="right"/>
            </w:pPr>
            <w:r w:rsidRPr="002D5D12">
              <w:rPr>
                <w:rFonts w:eastAsia="Calibri"/>
                <w:b/>
                <w:color w:val="1B556B"/>
              </w:rPr>
              <w:t>11,497.3</w:t>
            </w:r>
          </w:p>
        </w:tc>
        <w:tc>
          <w:tcPr>
            <w:tcW w:w="0" w:type="auto"/>
            <w:shd w:val="clear" w:color="auto" w:fill="FFFFFF"/>
            <w:tcMar>
              <w:top w:w="0" w:type="dxa"/>
              <w:left w:w="108" w:type="dxa"/>
              <w:bottom w:w="0" w:type="dxa"/>
              <w:right w:w="108" w:type="dxa"/>
            </w:tcMar>
            <w:vAlign w:val="center"/>
          </w:tcPr>
          <w:p w14:paraId="6A02E27A" w14:textId="77777777" w:rsidR="00D42431" w:rsidRPr="002D5D12" w:rsidRDefault="00D42431" w:rsidP="00226131">
            <w:pPr>
              <w:pStyle w:val="TableText"/>
              <w:spacing w:before="40" w:after="40"/>
              <w:jc w:val="right"/>
            </w:pPr>
            <w:r w:rsidRPr="002D5D12">
              <w:rPr>
                <w:rFonts w:eastAsia="Calibri"/>
                <w:b/>
                <w:color w:val="1B556B"/>
              </w:rPr>
              <w:t>26.1</w:t>
            </w:r>
          </w:p>
        </w:tc>
      </w:tr>
    </w:tbl>
    <w:p w14:paraId="14A7A7BA" w14:textId="77777777" w:rsidR="00D42431" w:rsidRPr="002D5D12" w:rsidRDefault="00D42431" w:rsidP="00D42431">
      <w:pPr>
        <w:pStyle w:val="Noteundertable"/>
      </w:pPr>
      <w:r w:rsidRPr="002D5D12">
        <w:rPr>
          <w:b/>
          <w:bCs/>
        </w:rPr>
        <w:t>Note:</w:t>
      </w:r>
      <w:r w:rsidRPr="002D5D12">
        <w:tab/>
        <w:t>Net emissions from the LULUCF sector are as reported under the Convention (chapter 6). Columns may not sum due to rounding. Percentages presented are calculated from unrounded values.</w:t>
      </w:r>
    </w:p>
    <w:p w14:paraId="7EDA4250" w14:textId="77777777" w:rsidR="00D42431" w:rsidRPr="002D5D12" w:rsidRDefault="00D42431" w:rsidP="00D42431">
      <w:pPr>
        <w:pStyle w:val="Figure"/>
      </w:pPr>
      <w:bookmarkStart w:id="141" w:name="_Toc99696004"/>
      <w:r w:rsidRPr="002D5D12">
        <w:t>Figure 2.2.4</w:t>
      </w:r>
      <w:r w:rsidRPr="002D5D12">
        <w:tab/>
        <w:t xml:space="preserve">Change in New Zealand’s emissions by sector comparing </w:t>
      </w:r>
      <w:r w:rsidRPr="002D5D12">
        <w:rPr>
          <w:bCs/>
        </w:rPr>
        <w:t>1990</w:t>
      </w:r>
      <w:r w:rsidRPr="002D5D12">
        <w:t xml:space="preserve"> and </w:t>
      </w:r>
      <w:r w:rsidRPr="002D5D12">
        <w:rPr>
          <w:bCs/>
        </w:rPr>
        <w:t>2020</w:t>
      </w:r>
      <w:bookmarkEnd w:id="141"/>
    </w:p>
    <w:p w14:paraId="162EFCAA" w14:textId="3A076EF6" w:rsidR="00D42431" w:rsidRPr="002D5D12" w:rsidRDefault="004B48CC" w:rsidP="00D42431">
      <w:pPr>
        <w:pStyle w:val="BodyText"/>
      </w:pPr>
      <w:r>
        <w:pict w14:anchorId="699FC4AC">
          <v:shape id="_x0000_i1037" type="#_x0000_t75" style="width:425.3pt;height:318.15pt;mso-left-percent:-10001;mso-top-percent:-10001;mso-position-horizontal:absolute;mso-position-horizontal-relative:char;mso-position-vertical:absolute;mso-position-vertical-relative:line;mso-left-percent:-10001;mso-top-percent:-10001">
            <v:imagedata r:id="rId43" o:title=""/>
          </v:shape>
        </w:pict>
      </w:r>
    </w:p>
    <w:p w14:paraId="239FB424" w14:textId="77777777" w:rsidR="00D42431" w:rsidRPr="002D5D12" w:rsidRDefault="00D42431" w:rsidP="00D42431">
      <w:pPr>
        <w:pStyle w:val="BodyText"/>
      </w:pPr>
      <w:r w:rsidRPr="002D5D12">
        <w:t>Figure 2.2.5 presents the absolute change in gross emissions for each sector (LULUCF is excluded from the estimate of gross emissions).</w:t>
      </w:r>
    </w:p>
    <w:p w14:paraId="40CE8D43" w14:textId="77777777" w:rsidR="00D42431" w:rsidRPr="002D5D12" w:rsidRDefault="00D42431" w:rsidP="00D42431">
      <w:pPr>
        <w:pStyle w:val="BodyText"/>
      </w:pPr>
      <w:r w:rsidRPr="002D5D12">
        <w:t>The figure shows that the absolute changes in New Zealand’s gross emissions were mostly influenced by changes in the Agriculture and Energy sectors. This is to be expected because they are the largest sectors of the New Zealand economy and show higher sensitivity to both changes in global economic conditions, extreme weather conditions and natural disasters.</w:t>
      </w:r>
    </w:p>
    <w:p w14:paraId="4F0E286B" w14:textId="77777777" w:rsidR="00D42431" w:rsidRPr="002D5D12" w:rsidRDefault="00D42431" w:rsidP="00D42431">
      <w:pPr>
        <w:pStyle w:val="BodyText"/>
      </w:pPr>
      <w:r w:rsidRPr="002D5D12">
        <w:lastRenderedPageBreak/>
        <w:t>For example, during droughts, the level of inflow to hydro lakes is low resulting in lower levels of hydro electricity production. Consequently, electricity produced from fossil fuels makes a higher contribution to the national electricity grid resulting in increased emissions from the Energy sector.</w:t>
      </w:r>
    </w:p>
    <w:p w14:paraId="6D316BFB" w14:textId="77777777" w:rsidR="00D42431" w:rsidRPr="002D5D12" w:rsidRDefault="00D42431" w:rsidP="00D42431">
      <w:pPr>
        <w:pStyle w:val="BodyText"/>
      </w:pPr>
      <w:r w:rsidRPr="002D5D12">
        <w:t>Droughts also affect the size of the livestock and livestock productivity, which usually result in reduced emissions from the Agriculture sector.</w:t>
      </w:r>
    </w:p>
    <w:p w14:paraId="1C087798" w14:textId="77777777" w:rsidR="00D42431" w:rsidRPr="002D5D12" w:rsidRDefault="00D42431" w:rsidP="00D42431">
      <w:pPr>
        <w:pStyle w:val="BodyText"/>
      </w:pPr>
      <w:r w:rsidRPr="002D5D12">
        <w:t xml:space="preserve">Figure 2.2.5 also shows a decrease in emissions from Tokelau, which is mainly due to decreases in emissions from </w:t>
      </w:r>
      <w:r w:rsidRPr="002D5D12">
        <w:rPr>
          <w:i/>
          <w:iCs/>
        </w:rPr>
        <w:t>Domestic navigation</w:t>
      </w:r>
      <w:r w:rsidRPr="002D5D12">
        <w:t xml:space="preserve"> as a result of restrictions brought about by the COVID-19 pandemic.</w:t>
      </w:r>
    </w:p>
    <w:p w14:paraId="0BE0BBFE" w14:textId="229577F2" w:rsidR="00D42431" w:rsidRPr="002D5D12" w:rsidRDefault="00D42431" w:rsidP="00D42431">
      <w:pPr>
        <w:pStyle w:val="Figure"/>
      </w:pPr>
      <w:bookmarkStart w:id="142" w:name="_Toc99696005"/>
      <w:r w:rsidRPr="002D5D12">
        <w:t>Figure 2.2.5</w:t>
      </w:r>
      <w:r w:rsidRPr="002D5D12">
        <w:tab/>
        <w:t xml:space="preserve">Absolute change in New Zealand’s gross emissions by sector from </w:t>
      </w:r>
      <w:r w:rsidRPr="002D5D12">
        <w:rPr>
          <w:bCs/>
        </w:rPr>
        <w:t>1990</w:t>
      </w:r>
      <w:r w:rsidR="00E02C62">
        <w:t> </w:t>
      </w:r>
      <w:r w:rsidRPr="002D5D12">
        <w:t>to</w:t>
      </w:r>
      <w:r w:rsidR="00E02C62">
        <w:t> </w:t>
      </w:r>
      <w:r w:rsidRPr="002D5D12">
        <w:rPr>
          <w:bCs/>
        </w:rPr>
        <w:t>2020</w:t>
      </w:r>
      <w:bookmarkEnd w:id="142"/>
    </w:p>
    <w:p w14:paraId="4798B479" w14:textId="60B5A193" w:rsidR="00D42431" w:rsidRPr="002D5D12" w:rsidRDefault="004B48CC" w:rsidP="00D42431">
      <w:pPr>
        <w:pStyle w:val="BodyText"/>
      </w:pPr>
      <w:r>
        <w:rPr>
          <w:noProof/>
        </w:rPr>
        <w:pict w14:anchorId="5C34628D">
          <v:shape id="_x0000_i1038" type="#_x0000_t75" style="width:425.3pt;height:318.15pt;visibility:visible;mso-wrap-style:square">
            <v:imagedata r:id="rId44" o:title=""/>
          </v:shape>
        </w:pict>
      </w:r>
    </w:p>
    <w:p w14:paraId="48505E72" w14:textId="77777777" w:rsidR="00D42431" w:rsidRPr="002D5D12" w:rsidRDefault="00D42431" w:rsidP="00D42431">
      <w:pPr>
        <w:pStyle w:val="Noteundertable"/>
      </w:pPr>
      <w:r w:rsidRPr="002D5D12">
        <w:rPr>
          <w:b/>
          <w:bCs/>
        </w:rPr>
        <w:t>Note:</w:t>
      </w:r>
      <w:r w:rsidRPr="002D5D12">
        <w:rPr>
          <w:b/>
          <w:bCs/>
        </w:rPr>
        <w:tab/>
      </w:r>
      <w:r w:rsidRPr="002D5D12">
        <w:t>Gross emissions exclude emissions from LULUCF.</w:t>
      </w:r>
    </w:p>
    <w:p w14:paraId="4E44291C" w14:textId="77777777" w:rsidR="00D42431" w:rsidRPr="002D5D12" w:rsidRDefault="00D42431" w:rsidP="00D42431">
      <w:pPr>
        <w:pStyle w:val="BodyText"/>
      </w:pPr>
      <w:r w:rsidRPr="002D5D12">
        <w:t>Net removals from the LULUCF sector fluctuate significantly over the time series. The fluctuations in net removals from LULUCF (figure 2.2.6) are mainly influenced by harvesting, afforestation and deforestation rates (see the LULUCF sector section below).</w:t>
      </w:r>
    </w:p>
    <w:p w14:paraId="27E9EE04" w14:textId="437733F1" w:rsidR="00D42431" w:rsidRPr="002D5D12" w:rsidRDefault="00D42431" w:rsidP="00D42431">
      <w:pPr>
        <w:pStyle w:val="Figure"/>
      </w:pPr>
      <w:bookmarkStart w:id="143" w:name="_Toc99696006"/>
      <w:r w:rsidRPr="002D5D12">
        <w:lastRenderedPageBreak/>
        <w:t>Figure 2.2.6</w:t>
      </w:r>
      <w:r w:rsidRPr="002D5D12">
        <w:tab/>
        <w:t xml:space="preserve">Absolute change in net emissions from the LULUCF sector from </w:t>
      </w:r>
      <w:r w:rsidRPr="002D5D12">
        <w:rPr>
          <w:bCs/>
        </w:rPr>
        <w:t>1990</w:t>
      </w:r>
      <w:r w:rsidR="00E02C62">
        <w:t> </w:t>
      </w:r>
      <w:r w:rsidRPr="002D5D12">
        <w:t>to</w:t>
      </w:r>
      <w:r w:rsidR="00E02C62">
        <w:t> </w:t>
      </w:r>
      <w:r w:rsidRPr="002D5D12">
        <w:rPr>
          <w:bCs/>
        </w:rPr>
        <w:t>2020</w:t>
      </w:r>
      <w:bookmarkEnd w:id="143"/>
    </w:p>
    <w:p w14:paraId="545CD6EF" w14:textId="7086998F" w:rsidR="00D42431" w:rsidRPr="002D5D12" w:rsidRDefault="004B48CC" w:rsidP="00D42431">
      <w:pPr>
        <w:pStyle w:val="BodyText"/>
      </w:pPr>
      <w:r>
        <w:rPr>
          <w:noProof/>
        </w:rPr>
        <w:pict w14:anchorId="1FD604E5">
          <v:shape id="_x0000_i1039" type="#_x0000_t75" style="width:425.3pt;height:318.15pt;visibility:visible;mso-wrap-style:square">
            <v:imagedata r:id="rId45" o:title=""/>
          </v:shape>
        </w:pict>
      </w:r>
    </w:p>
    <w:p w14:paraId="08AE739B" w14:textId="77777777" w:rsidR="00D42431" w:rsidRPr="002D5D12" w:rsidRDefault="00D42431" w:rsidP="00D42431">
      <w:pPr>
        <w:pStyle w:val="Heading4"/>
      </w:pPr>
      <w:bookmarkStart w:id="144" w:name="energy-sector"/>
      <w:r w:rsidRPr="002D5D12">
        <w:t>Energy sector</w:t>
      </w:r>
    </w:p>
    <w:p w14:paraId="2795C08D" w14:textId="77777777" w:rsidR="00D42431" w:rsidRPr="002D5D12" w:rsidRDefault="00D42431" w:rsidP="00D42431">
      <w:pPr>
        <w:pStyle w:val="BodyText"/>
      </w:pPr>
      <w:r w:rsidRPr="002D5D12">
        <w:t>Emissions from the Energy sector are dominated by CO</w:t>
      </w:r>
      <w:r w:rsidRPr="002D5D12">
        <w:rPr>
          <w:vertAlign w:val="subscript"/>
        </w:rPr>
        <w:t>2</w:t>
      </w:r>
      <w:r w:rsidRPr="002D5D12">
        <w:t xml:space="preserve"> (97.1 per cent of all emissions from the sector) and smaller amounts of CH</w:t>
      </w:r>
      <w:r w:rsidRPr="002D5D12">
        <w:rPr>
          <w:vertAlign w:val="subscript"/>
        </w:rPr>
        <w:t>4</w:t>
      </w:r>
      <w:r w:rsidRPr="002D5D12">
        <w:t xml:space="preserve"> and N</w:t>
      </w:r>
      <w:r w:rsidRPr="002D5D12">
        <w:rPr>
          <w:vertAlign w:val="subscript"/>
        </w:rPr>
        <w:t>2</w:t>
      </w:r>
      <w:r w:rsidRPr="002D5D12">
        <w:t xml:space="preserve">O (2.2 per cent and 0.7 per cent respectively). The major source categories in the sector are </w:t>
      </w:r>
      <w:r w:rsidRPr="002D5D12">
        <w:rPr>
          <w:i/>
          <w:iCs/>
        </w:rPr>
        <w:t>Road transportation</w:t>
      </w:r>
      <w:r w:rsidRPr="002D5D12">
        <w:t xml:space="preserve"> and </w:t>
      </w:r>
      <w:r w:rsidRPr="002D5D12">
        <w:rPr>
          <w:i/>
          <w:iCs/>
        </w:rPr>
        <w:t>Public electricity and heat production</w:t>
      </w:r>
      <w:r w:rsidRPr="002D5D12">
        <w:t>.</w:t>
      </w:r>
    </w:p>
    <w:p w14:paraId="3708A063" w14:textId="77777777" w:rsidR="00D42431" w:rsidRPr="002D5D12" w:rsidRDefault="00D42431" w:rsidP="00D42431">
      <w:pPr>
        <w:pStyle w:val="BodyText"/>
      </w:pPr>
      <w:r w:rsidRPr="002D5D12">
        <w:t>Emissions in the Energy sector are influenced not only by demand but also climatic conditions. A large proportion of New Zealand’s stationary energy needs are met by renewables, mainly hydro power and wind. Electricity generated from renewable energy sources was 81 per cent in 2020.</w:t>
      </w:r>
    </w:p>
    <w:p w14:paraId="60FDD486" w14:textId="77777777" w:rsidR="00D42431" w:rsidRPr="002D5D12" w:rsidRDefault="00D42431" w:rsidP="00D42431">
      <w:pPr>
        <w:pStyle w:val="Heading5"/>
      </w:pPr>
      <w:r w:rsidRPr="002D5D12">
        <w:t>2020</w:t>
      </w:r>
    </w:p>
    <w:p w14:paraId="04CEFB5D" w14:textId="77777777" w:rsidR="00D42431" w:rsidRPr="002D5D12" w:rsidRDefault="00D42431" w:rsidP="00D42431">
      <w:pPr>
        <w:pStyle w:val="BodyText"/>
      </w:pPr>
      <w:r w:rsidRPr="002D5D12">
        <w:t>In 2020, emissions from the Energy sector contributed 31,461.4 kt CO</w:t>
      </w:r>
      <w:r w:rsidRPr="002D5D12">
        <w:rPr>
          <w:vertAlign w:val="subscript"/>
        </w:rPr>
        <w:t>2</w:t>
      </w:r>
      <w:r w:rsidRPr="002D5D12">
        <w:t>-e, or 39.9 per cent, of New Zealand’s gross GHG emissions (see figure 2.2.1).</w:t>
      </w:r>
    </w:p>
    <w:p w14:paraId="138DDABB" w14:textId="77777777" w:rsidR="00D42431" w:rsidRPr="002D5D12" w:rsidRDefault="00D42431" w:rsidP="00D42431">
      <w:pPr>
        <w:pStyle w:val="BodyText"/>
      </w:pPr>
      <w:r w:rsidRPr="002D5D12">
        <w:t xml:space="preserve">The largest sources of emissions in the Energy sector were the </w:t>
      </w:r>
      <w:r w:rsidRPr="002D5D12">
        <w:rPr>
          <w:i/>
          <w:iCs/>
        </w:rPr>
        <w:t>Road transportation</w:t>
      </w:r>
      <w:r w:rsidRPr="002D5D12">
        <w:t xml:space="preserve"> category, contributing 12,023.2 kt CO</w:t>
      </w:r>
      <w:r w:rsidRPr="002D5D12">
        <w:rPr>
          <w:vertAlign w:val="subscript"/>
        </w:rPr>
        <w:t>2</w:t>
      </w:r>
      <w:r w:rsidRPr="002D5D12">
        <w:t xml:space="preserve">-e (38.2 per cent), and the </w:t>
      </w:r>
      <w:r w:rsidRPr="002D5D12">
        <w:rPr>
          <w:i/>
          <w:iCs/>
        </w:rPr>
        <w:t>Manufacturing industries and construction</w:t>
      </w:r>
      <w:r w:rsidRPr="002D5D12">
        <w:t xml:space="preserve"> category, contributing 6,681.6 kt CO</w:t>
      </w:r>
      <w:r w:rsidRPr="002D5D12">
        <w:rPr>
          <w:vertAlign w:val="subscript"/>
        </w:rPr>
        <w:t>2</w:t>
      </w:r>
      <w:r w:rsidRPr="002D5D12">
        <w:t>-e (21.2 per cent) to energy emissions.</w:t>
      </w:r>
    </w:p>
    <w:p w14:paraId="440CF766" w14:textId="77777777" w:rsidR="00D42431" w:rsidRPr="002D5D12" w:rsidRDefault="00D42431" w:rsidP="00D42431">
      <w:pPr>
        <w:pStyle w:val="Heading5"/>
      </w:pPr>
      <w:bookmarkStart w:id="145" w:name="section-3"/>
      <w:r w:rsidRPr="002D5D12">
        <w:t>1990–2020</w:t>
      </w:r>
    </w:p>
    <w:p w14:paraId="407BD820" w14:textId="77777777" w:rsidR="00D42431" w:rsidRPr="002D5D12" w:rsidRDefault="00D42431" w:rsidP="00D42431">
      <w:pPr>
        <w:pStyle w:val="BodyText"/>
      </w:pPr>
      <w:r w:rsidRPr="002D5D12">
        <w:t>In 2020, emissions from the Energy sector increased by 31.8 per cent (7,583.5 kt CO</w:t>
      </w:r>
      <w:r w:rsidRPr="002D5D12">
        <w:rPr>
          <w:vertAlign w:val="subscript"/>
        </w:rPr>
        <w:t>2</w:t>
      </w:r>
      <w:r w:rsidRPr="002D5D12">
        <w:t>-e) from the 1990 level of 23,877.9 kt CO</w:t>
      </w:r>
      <w:r w:rsidRPr="002D5D12">
        <w:rPr>
          <w:vertAlign w:val="subscript"/>
        </w:rPr>
        <w:t>2</w:t>
      </w:r>
      <w:r w:rsidRPr="002D5D12">
        <w:t>-e.</w:t>
      </w:r>
    </w:p>
    <w:p w14:paraId="6A1F15D2" w14:textId="77777777" w:rsidR="00D42431" w:rsidRPr="002D5D12" w:rsidRDefault="00D42431" w:rsidP="00D42431">
      <w:pPr>
        <w:pStyle w:val="BodyText"/>
      </w:pPr>
      <w:r w:rsidRPr="002D5D12">
        <w:lastRenderedPageBreak/>
        <w:t xml:space="preserve">This growth in emissions is primarily from </w:t>
      </w:r>
      <w:r w:rsidRPr="002D5D12">
        <w:rPr>
          <w:i/>
          <w:iCs/>
        </w:rPr>
        <w:t>Road transportation</w:t>
      </w:r>
      <w:r w:rsidRPr="002D5D12">
        <w:t>, which increased by 5,194.1 kt CO</w:t>
      </w:r>
      <w:r w:rsidRPr="002D5D12">
        <w:rPr>
          <w:vertAlign w:val="subscript"/>
        </w:rPr>
        <w:t>2</w:t>
      </w:r>
      <w:r w:rsidRPr="002D5D12">
        <w:t xml:space="preserve">-e (76.1 per cent), </w:t>
      </w:r>
      <w:r w:rsidRPr="002D5D12">
        <w:rPr>
          <w:i/>
          <w:iCs/>
        </w:rPr>
        <w:t>Food processing, beverages and tobacco</w:t>
      </w:r>
      <w:r w:rsidRPr="002D5D12">
        <w:t>, which increased by 1,387.0 kt CO</w:t>
      </w:r>
      <w:r w:rsidRPr="002D5D12">
        <w:rPr>
          <w:vertAlign w:val="subscript"/>
        </w:rPr>
        <w:t>2</w:t>
      </w:r>
      <w:r w:rsidRPr="002D5D12">
        <w:t xml:space="preserve">-e (83.0 per cent), and </w:t>
      </w:r>
      <w:r w:rsidRPr="002D5D12">
        <w:rPr>
          <w:i/>
          <w:iCs/>
        </w:rPr>
        <w:t>Public electricity and heat production</w:t>
      </w:r>
      <w:r w:rsidRPr="002D5D12">
        <w:t>, which increased by 1,127.4 kt CO</w:t>
      </w:r>
      <w:r w:rsidRPr="002D5D12">
        <w:rPr>
          <w:vertAlign w:val="subscript"/>
        </w:rPr>
        <w:t>2</w:t>
      </w:r>
      <w:r w:rsidRPr="002D5D12">
        <w:t>-e (32.3 per cent).</w:t>
      </w:r>
    </w:p>
    <w:p w14:paraId="4594FD18" w14:textId="77777777" w:rsidR="00D42431" w:rsidRPr="002D5D12" w:rsidRDefault="00D42431" w:rsidP="00D42431">
      <w:pPr>
        <w:pStyle w:val="BodyText"/>
      </w:pPr>
      <w:r w:rsidRPr="002D5D12">
        <w:t xml:space="preserve">In 2020, emissions from </w:t>
      </w:r>
      <w:r w:rsidRPr="002D5D12">
        <w:rPr>
          <w:i/>
          <w:iCs/>
        </w:rPr>
        <w:t>Manufacture of solid fuels and other energy industries</w:t>
      </w:r>
      <w:r w:rsidRPr="002D5D12">
        <w:t xml:space="preserve"> were lower than the 1990 level by 1,452.7 kt CO</w:t>
      </w:r>
      <w:r w:rsidRPr="002D5D12">
        <w:rPr>
          <w:vertAlign w:val="subscript"/>
        </w:rPr>
        <w:t>2</w:t>
      </w:r>
      <w:r w:rsidRPr="002D5D12">
        <w:t>-e (84.6 per cent). This decrease is mainly due to the cessation of synthetic gasoline production in 1997.</w:t>
      </w:r>
    </w:p>
    <w:p w14:paraId="7FBE5975" w14:textId="77777777" w:rsidR="00D42431" w:rsidRPr="002D5D12" w:rsidRDefault="00D42431" w:rsidP="00D42431">
      <w:pPr>
        <w:pStyle w:val="BodyText"/>
      </w:pPr>
      <w:r w:rsidRPr="002D5D12">
        <w:t>Figure 2.2.7 shows the Energy sector emissions time series from 1990 to 2020. The trend shows emissions increased until around 2005, after which a flat to decreasing trend has occurred in Energy sector emissions.</w:t>
      </w:r>
    </w:p>
    <w:p w14:paraId="447AD23E" w14:textId="2F46BCD8" w:rsidR="00D42431" w:rsidRPr="002D5D12" w:rsidRDefault="00D42431" w:rsidP="00D42431">
      <w:pPr>
        <w:pStyle w:val="Figure"/>
      </w:pPr>
      <w:bookmarkStart w:id="146" w:name="_Toc99696007"/>
      <w:r w:rsidRPr="002D5D12">
        <w:t>Figure 2.2.7</w:t>
      </w:r>
      <w:r w:rsidRPr="002D5D12">
        <w:tab/>
        <w:t xml:space="preserve">New Zealand’s Energy sector emissions from </w:t>
      </w:r>
      <w:r w:rsidRPr="002D5D12">
        <w:rPr>
          <w:bCs/>
        </w:rPr>
        <w:t>1990</w:t>
      </w:r>
      <w:r w:rsidR="00E02C62">
        <w:t> </w:t>
      </w:r>
      <w:r w:rsidRPr="002D5D12">
        <w:t>to</w:t>
      </w:r>
      <w:r w:rsidR="00E02C62">
        <w:t> </w:t>
      </w:r>
      <w:r w:rsidRPr="002D5D12">
        <w:rPr>
          <w:bCs/>
        </w:rPr>
        <w:t>2020</w:t>
      </w:r>
      <w:bookmarkEnd w:id="146"/>
    </w:p>
    <w:p w14:paraId="36E06E5D" w14:textId="5BDFA19F" w:rsidR="00D42431" w:rsidRPr="002D5D12" w:rsidRDefault="004B48CC" w:rsidP="00D42431">
      <w:pPr>
        <w:pStyle w:val="BodyText"/>
      </w:pPr>
      <w:r>
        <w:rPr>
          <w:noProof/>
        </w:rPr>
        <w:pict w14:anchorId="0C70BBC1">
          <v:shape id="_x0000_i1040" type="#_x0000_t75" style="width:425.3pt;height:318.15pt;visibility:visible;mso-wrap-style:square">
            <v:imagedata r:id="rId46" o:title=""/>
          </v:shape>
        </w:pict>
      </w:r>
    </w:p>
    <w:p w14:paraId="5AF6B775" w14:textId="77777777" w:rsidR="00D42431" w:rsidRPr="002D5D12" w:rsidRDefault="00D42431" w:rsidP="00D42431">
      <w:pPr>
        <w:pStyle w:val="Heading5"/>
      </w:pPr>
      <w:bookmarkStart w:id="147" w:name="section-4"/>
      <w:bookmarkEnd w:id="145"/>
      <w:r w:rsidRPr="002D5D12">
        <w:t>2019–2020</w:t>
      </w:r>
    </w:p>
    <w:p w14:paraId="45E8DCE5" w14:textId="77777777" w:rsidR="00D42431" w:rsidRPr="002D5D12" w:rsidRDefault="00D42431" w:rsidP="00D42431">
      <w:pPr>
        <w:pStyle w:val="BodyText"/>
      </w:pPr>
      <w:r w:rsidRPr="002D5D12">
        <w:t>The 2020 calendar year saw disruption to economic activity in New Zealand, with the effects of the COVID-19 pandemic being felt by the energy sector throughout the year. This</w:t>
      </w:r>
      <w:r w:rsidRPr="002D5D12" w:rsidDel="00D97A83">
        <w:t xml:space="preserve"> </w:t>
      </w:r>
      <w:r w:rsidRPr="002D5D12">
        <w:t xml:space="preserve">resulted in significant changes to the supply and demand of energy in New Zealand. For in-depth analysis and commentary see </w:t>
      </w:r>
      <w:r w:rsidRPr="002D5D12">
        <w:rPr>
          <w:i/>
          <w:iCs/>
        </w:rPr>
        <w:t>Energy in New Zealand</w:t>
      </w:r>
      <w:r w:rsidRPr="002D5D12">
        <w:t>, section C: Impacts of COVID-19 (Ministry of Business, Innovation and Employment, 2021).</w:t>
      </w:r>
    </w:p>
    <w:p w14:paraId="116F0B6B" w14:textId="77777777" w:rsidR="00D42431" w:rsidRPr="002D5D12" w:rsidRDefault="00D42431" w:rsidP="00D42431">
      <w:pPr>
        <w:pStyle w:val="BodyText"/>
      </w:pPr>
      <w:r w:rsidRPr="002D5D12">
        <w:t>Between 2019 and 2020, emissions from the Energy sector decreased by 2,459.0 kt CO</w:t>
      </w:r>
      <w:r w:rsidRPr="002D5D12">
        <w:rPr>
          <w:vertAlign w:val="subscript"/>
        </w:rPr>
        <w:t>2</w:t>
      </w:r>
      <w:r w:rsidRPr="002D5D12">
        <w:t>-e (7.2 per cent). This is</w:t>
      </w:r>
      <w:r w:rsidRPr="002D5D12" w:rsidDel="0006393F">
        <w:t xml:space="preserve"> </w:t>
      </w:r>
      <w:r w:rsidRPr="002D5D12">
        <w:t>largely due to the 1,093.0 kt CO</w:t>
      </w:r>
      <w:r w:rsidRPr="002D5D12">
        <w:rPr>
          <w:vertAlign w:val="subscript"/>
        </w:rPr>
        <w:t>2</w:t>
      </w:r>
      <w:r w:rsidRPr="002D5D12">
        <w:t xml:space="preserve">-e (8.3 per cent) decrease in emissions from 1.A.3.b </w:t>
      </w:r>
      <w:r w:rsidRPr="002D5D12">
        <w:rPr>
          <w:i/>
          <w:iCs/>
        </w:rPr>
        <w:t>Road transportation</w:t>
      </w:r>
      <w:r w:rsidRPr="002D5D12">
        <w:t>, followed by a 315.3 kt CO</w:t>
      </w:r>
      <w:r w:rsidRPr="002D5D12">
        <w:rPr>
          <w:vertAlign w:val="subscript"/>
        </w:rPr>
        <w:t>2</w:t>
      </w:r>
      <w:r w:rsidRPr="002D5D12">
        <w:t xml:space="preserve">-e (30.8 per cent) decrease from category 1.A.3.a </w:t>
      </w:r>
      <w:r w:rsidRPr="002D5D12">
        <w:rPr>
          <w:i/>
          <w:iCs/>
        </w:rPr>
        <w:t>Domestic aviation</w:t>
      </w:r>
      <w:r w:rsidRPr="002D5D12">
        <w:t>.</w:t>
      </w:r>
    </w:p>
    <w:p w14:paraId="6C15D39F" w14:textId="77777777" w:rsidR="00D42431" w:rsidRPr="002D5D12" w:rsidRDefault="00D42431" w:rsidP="00D42431">
      <w:pPr>
        <w:pStyle w:val="BodyText"/>
      </w:pPr>
      <w:r w:rsidRPr="002D5D12">
        <w:lastRenderedPageBreak/>
        <w:t xml:space="preserve">The decrease was partially offset by an increase from category 1.A.1.a </w:t>
      </w:r>
      <w:r w:rsidRPr="002D5D12">
        <w:rPr>
          <w:i/>
          <w:iCs/>
        </w:rPr>
        <w:t>Public electricity and heat production</w:t>
      </w:r>
      <w:r w:rsidRPr="002D5D12">
        <w:t xml:space="preserve"> of 401.5 kt CO</w:t>
      </w:r>
      <w:r w:rsidRPr="002D5D12">
        <w:rPr>
          <w:vertAlign w:val="subscript"/>
        </w:rPr>
        <w:t>2</w:t>
      </w:r>
      <w:r w:rsidRPr="002D5D12">
        <w:t>-e (9.5 per cent).</w:t>
      </w:r>
    </w:p>
    <w:p w14:paraId="1C646D1B" w14:textId="77777777" w:rsidR="00D42431" w:rsidRPr="002D5D12" w:rsidRDefault="00D42431" w:rsidP="00D42431">
      <w:pPr>
        <w:pStyle w:val="BodyText"/>
      </w:pPr>
      <w:r w:rsidRPr="002D5D12">
        <w:t>A decrease of 847.6 kt CO</w:t>
      </w:r>
      <w:r w:rsidRPr="002D5D12">
        <w:rPr>
          <w:vertAlign w:val="subscript"/>
        </w:rPr>
        <w:t>2</w:t>
      </w:r>
      <w:r w:rsidRPr="002D5D12">
        <w:t xml:space="preserve">-e (11.3 per cent) also occurred in emissions from category 1.A.2 </w:t>
      </w:r>
      <w:r w:rsidRPr="002D5D12">
        <w:rPr>
          <w:i/>
          <w:iCs/>
        </w:rPr>
        <w:t>Manufacturing industries and construction</w:t>
      </w:r>
      <w:r w:rsidRPr="002D5D12">
        <w:t>.</w:t>
      </w:r>
    </w:p>
    <w:p w14:paraId="53BA5F7A" w14:textId="77777777" w:rsidR="00D42431" w:rsidRPr="002D5D12" w:rsidRDefault="00D42431" w:rsidP="00D42431">
      <w:pPr>
        <w:pStyle w:val="Heading4"/>
      </w:pPr>
      <w:bookmarkStart w:id="148" w:name="ippu-sector"/>
      <w:bookmarkEnd w:id="144"/>
      <w:bookmarkEnd w:id="147"/>
      <w:r w:rsidRPr="002D5D12">
        <w:t>IPPU sector</w:t>
      </w:r>
    </w:p>
    <w:p w14:paraId="2FEDADC7" w14:textId="0E8A0361" w:rsidR="00D42431" w:rsidRPr="002D5D12" w:rsidRDefault="00D42431" w:rsidP="00D42431">
      <w:pPr>
        <w:pStyle w:val="BodyText"/>
      </w:pPr>
      <w:r w:rsidRPr="002D5D12">
        <w:t>The IPPU sector in New Zealand produces CO</w:t>
      </w:r>
      <w:r w:rsidRPr="002D5D12">
        <w:rPr>
          <w:vertAlign w:val="subscript"/>
        </w:rPr>
        <w:t>2</w:t>
      </w:r>
      <w:r w:rsidRPr="002D5D12">
        <w:t xml:space="preserve"> emissions (62.0 per cent), fluorinated gases (34.0 per cent) and smaller amounts of CH</w:t>
      </w:r>
      <w:r w:rsidRPr="002D5D12">
        <w:rPr>
          <w:vertAlign w:val="subscript"/>
        </w:rPr>
        <w:t>4</w:t>
      </w:r>
      <w:r w:rsidRPr="002D5D12">
        <w:t xml:space="preserve"> and N</w:t>
      </w:r>
      <w:r w:rsidRPr="002D5D12">
        <w:rPr>
          <w:vertAlign w:val="subscript"/>
        </w:rPr>
        <w:t>2</w:t>
      </w:r>
      <w:r w:rsidRPr="002D5D12">
        <w:t xml:space="preserve">O. The major categories in the IPPU sector are </w:t>
      </w:r>
      <w:r w:rsidRPr="002D5D12">
        <w:rPr>
          <w:i/>
          <w:iCs/>
        </w:rPr>
        <w:t>Iron and steel production</w:t>
      </w:r>
      <w:r w:rsidRPr="002D5D12">
        <w:t xml:space="preserve">, </w:t>
      </w:r>
      <w:r w:rsidRPr="002D5D12">
        <w:rPr>
          <w:i/>
          <w:iCs/>
        </w:rPr>
        <w:t>Refrigeration and air conditioning</w:t>
      </w:r>
      <w:r w:rsidRPr="002D5D12">
        <w:t xml:space="preserve">, </w:t>
      </w:r>
      <w:r w:rsidRPr="002D5D12">
        <w:rPr>
          <w:i/>
          <w:iCs/>
        </w:rPr>
        <w:t>Aluminium production</w:t>
      </w:r>
      <w:r w:rsidRPr="002D5D12">
        <w:t xml:space="preserve"> and </w:t>
      </w:r>
      <w:r w:rsidRPr="002D5D12">
        <w:rPr>
          <w:i/>
          <w:iCs/>
        </w:rPr>
        <w:t>Cement production</w:t>
      </w:r>
      <w:r w:rsidRPr="002D5D12">
        <w:t>. Coal and natural gas are also used on a significant scale for energy in the</w:t>
      </w:r>
      <w:r w:rsidR="00F85E09">
        <w:t> </w:t>
      </w:r>
      <w:r w:rsidRPr="002D5D12">
        <w:rPr>
          <w:i/>
          <w:iCs/>
        </w:rPr>
        <w:t>Mineral industry</w:t>
      </w:r>
      <w:r w:rsidRPr="002D5D12">
        <w:t xml:space="preserve">, </w:t>
      </w:r>
      <w:r w:rsidRPr="002D5D12">
        <w:rPr>
          <w:i/>
          <w:iCs/>
        </w:rPr>
        <w:t>Chemical industry</w:t>
      </w:r>
      <w:r w:rsidRPr="002D5D12">
        <w:t xml:space="preserve"> and </w:t>
      </w:r>
      <w:r w:rsidRPr="002D5D12">
        <w:rPr>
          <w:i/>
          <w:iCs/>
        </w:rPr>
        <w:t>Metal industry</w:t>
      </w:r>
      <w:r w:rsidRPr="002D5D12">
        <w:t xml:space="preserve"> categories. Carbon dioxide and any</w:t>
      </w:r>
      <w:r w:rsidR="00F85E09">
        <w:t> </w:t>
      </w:r>
      <w:r w:rsidRPr="002D5D12">
        <w:t>other emissions from combustion of fuels in these industries are reported under the Energy sector.</w:t>
      </w:r>
    </w:p>
    <w:p w14:paraId="4C3078B2" w14:textId="77777777" w:rsidR="00D42431" w:rsidRPr="002D5D12" w:rsidRDefault="00D42431" w:rsidP="00D42431">
      <w:pPr>
        <w:pStyle w:val="Heading5"/>
      </w:pPr>
      <w:bookmarkStart w:id="149" w:name="section-5"/>
      <w:r w:rsidRPr="002D5D12">
        <w:t>2020</w:t>
      </w:r>
    </w:p>
    <w:p w14:paraId="7A93107D" w14:textId="08D378D0" w:rsidR="00D42431" w:rsidRPr="002D5D12" w:rsidRDefault="00D42431" w:rsidP="00D42431">
      <w:pPr>
        <w:pStyle w:val="BodyText"/>
      </w:pPr>
      <w:r w:rsidRPr="002D5D12">
        <w:t>In 2020, emissions from the IPPU sector contributed 4,618.4 kt CO</w:t>
      </w:r>
      <w:r w:rsidRPr="002D5D12">
        <w:rPr>
          <w:vertAlign w:val="subscript"/>
        </w:rPr>
        <w:t>2</w:t>
      </w:r>
      <w:r w:rsidRPr="002D5D12">
        <w:t>-e, or 5.9 per cent, of New</w:t>
      </w:r>
      <w:r w:rsidR="00F85E09">
        <w:t> </w:t>
      </w:r>
      <w:r w:rsidRPr="002D5D12">
        <w:t>Zealand’s gross GHG emissions.</w:t>
      </w:r>
    </w:p>
    <w:p w14:paraId="76EC84B7" w14:textId="77777777" w:rsidR="00D42431" w:rsidRPr="002D5D12" w:rsidRDefault="00D42431" w:rsidP="00D42431">
      <w:pPr>
        <w:pStyle w:val="BodyText"/>
      </w:pPr>
      <w:r w:rsidRPr="002D5D12">
        <w:t xml:space="preserve">The largest category is the </w:t>
      </w:r>
      <w:r w:rsidRPr="002D5D12">
        <w:rPr>
          <w:i/>
          <w:iCs/>
        </w:rPr>
        <w:t>Metal industry</w:t>
      </w:r>
      <w:r w:rsidRPr="002D5D12">
        <w:t>, with substantial CO</w:t>
      </w:r>
      <w:r w:rsidRPr="002D5D12">
        <w:rPr>
          <w:vertAlign w:val="subscript"/>
        </w:rPr>
        <w:t>2</w:t>
      </w:r>
      <w:r w:rsidRPr="002D5D12">
        <w:t xml:space="preserve"> emissions from the </w:t>
      </w:r>
      <w:r w:rsidRPr="002D5D12">
        <w:rPr>
          <w:i/>
          <w:iCs/>
        </w:rPr>
        <w:t>Iron and steel production</w:t>
      </w:r>
      <w:r w:rsidRPr="002D5D12">
        <w:t xml:space="preserve"> and </w:t>
      </w:r>
      <w:r w:rsidRPr="002D5D12">
        <w:rPr>
          <w:i/>
          <w:iCs/>
        </w:rPr>
        <w:t>Aluminium production</w:t>
      </w:r>
      <w:r w:rsidRPr="002D5D12">
        <w:t xml:space="preserve"> categories. The </w:t>
      </w:r>
      <w:r w:rsidRPr="002D5D12">
        <w:rPr>
          <w:i/>
          <w:iCs/>
        </w:rPr>
        <w:t>Mineral industry</w:t>
      </w:r>
      <w:r w:rsidRPr="002D5D12">
        <w:t xml:space="preserve"> and </w:t>
      </w:r>
      <w:r w:rsidRPr="002D5D12">
        <w:rPr>
          <w:i/>
          <w:iCs/>
        </w:rPr>
        <w:t>Chemical industry</w:t>
      </w:r>
      <w:r w:rsidRPr="002D5D12">
        <w:t xml:space="preserve"> categories also contribute significant CO</w:t>
      </w:r>
      <w:r w:rsidRPr="002D5D12">
        <w:rPr>
          <w:vertAlign w:val="subscript"/>
        </w:rPr>
        <w:t>2</w:t>
      </w:r>
      <w:r w:rsidRPr="002D5D12">
        <w:t xml:space="preserve"> emissions, and most of the non-CO</w:t>
      </w:r>
      <w:r w:rsidRPr="002D5D12">
        <w:rPr>
          <w:vertAlign w:val="subscript"/>
        </w:rPr>
        <w:t>2</w:t>
      </w:r>
      <w:r w:rsidRPr="002D5D12">
        <w:t xml:space="preserve"> emissions come from the </w:t>
      </w:r>
      <w:r w:rsidRPr="002D5D12">
        <w:rPr>
          <w:i/>
          <w:iCs/>
        </w:rPr>
        <w:t>Product uses as substitutes for ODS</w:t>
      </w:r>
      <w:r w:rsidRPr="002D5D12">
        <w:t xml:space="preserve"> category.</w:t>
      </w:r>
    </w:p>
    <w:p w14:paraId="6AAC63AD" w14:textId="77777777" w:rsidR="00D42431" w:rsidRPr="002D5D12" w:rsidRDefault="00D42431" w:rsidP="00D42431">
      <w:pPr>
        <w:pStyle w:val="BodyText"/>
      </w:pPr>
      <w:r w:rsidRPr="002D5D12">
        <w:t>The IPPU sector also produces smaller amounts of CH</w:t>
      </w:r>
      <w:r w:rsidRPr="002D5D12">
        <w:rPr>
          <w:vertAlign w:val="subscript"/>
        </w:rPr>
        <w:t>4</w:t>
      </w:r>
      <w:r w:rsidRPr="002D5D12">
        <w:t xml:space="preserve"> from methanol production and N</w:t>
      </w:r>
      <w:r w:rsidRPr="002D5D12">
        <w:rPr>
          <w:vertAlign w:val="subscript"/>
        </w:rPr>
        <w:t>2</w:t>
      </w:r>
      <w:r w:rsidRPr="002D5D12">
        <w:t xml:space="preserve">O used for medical applications in the </w:t>
      </w:r>
      <w:r w:rsidRPr="002D5D12">
        <w:rPr>
          <w:i/>
          <w:iCs/>
        </w:rPr>
        <w:t>Other product manufacture and use</w:t>
      </w:r>
      <w:r w:rsidRPr="002D5D12">
        <w:t xml:space="preserve"> category.</w:t>
      </w:r>
    </w:p>
    <w:p w14:paraId="7278E625" w14:textId="77777777" w:rsidR="00D42431" w:rsidRPr="002D5D12" w:rsidRDefault="00D42431" w:rsidP="00D42431">
      <w:pPr>
        <w:pStyle w:val="BodyText"/>
      </w:pPr>
      <w:r w:rsidRPr="002D5D12">
        <w:t xml:space="preserve">Coal and natural gas are also used on a significant scale for energy in these industries, and related emissions are reported under the Energy sector in the category </w:t>
      </w:r>
      <w:r w:rsidRPr="002D5D12">
        <w:rPr>
          <w:i/>
          <w:iCs/>
        </w:rPr>
        <w:t>Manufacturing industries and construction</w:t>
      </w:r>
      <w:r w:rsidRPr="002D5D12">
        <w:t>.</w:t>
      </w:r>
    </w:p>
    <w:p w14:paraId="232214C7" w14:textId="77777777" w:rsidR="00D42431" w:rsidRPr="002D5D12" w:rsidRDefault="00D42431" w:rsidP="00D42431">
      <w:pPr>
        <w:pStyle w:val="BodyText"/>
      </w:pPr>
      <w:r w:rsidRPr="002D5D12">
        <w:t>The emissions by category are shown in chapter 4, table 4.1.1.</w:t>
      </w:r>
    </w:p>
    <w:p w14:paraId="6D83C92B" w14:textId="77777777" w:rsidR="00D42431" w:rsidRPr="002D5D12" w:rsidRDefault="00D42431" w:rsidP="00D42431">
      <w:pPr>
        <w:pStyle w:val="Heading5"/>
      </w:pPr>
      <w:bookmarkStart w:id="150" w:name="section-6"/>
      <w:bookmarkEnd w:id="149"/>
      <w:r w:rsidRPr="002D5D12">
        <w:t>1990–2020</w:t>
      </w:r>
    </w:p>
    <w:p w14:paraId="73C95D45" w14:textId="77777777" w:rsidR="00D42431" w:rsidRPr="002D5D12" w:rsidRDefault="00D42431" w:rsidP="00D42431">
      <w:pPr>
        <w:pStyle w:val="BodyText"/>
      </w:pPr>
      <w:r w:rsidRPr="002D5D12">
        <w:t>Emissions from the IPPU sector in 2020 were 1,038.4 kt CO</w:t>
      </w:r>
      <w:r w:rsidRPr="002D5D12">
        <w:rPr>
          <w:vertAlign w:val="subscript"/>
        </w:rPr>
        <w:t>2</w:t>
      </w:r>
      <w:r w:rsidRPr="002D5D12">
        <w:t>-e (29.0 per cent) higher than emissions in 1990 (3,579.9 kt CO</w:t>
      </w:r>
      <w:r w:rsidRPr="002D5D12">
        <w:rPr>
          <w:vertAlign w:val="subscript"/>
        </w:rPr>
        <w:t>2</w:t>
      </w:r>
      <w:r w:rsidRPr="002D5D12">
        <w:t>-e).</w:t>
      </w:r>
    </w:p>
    <w:p w14:paraId="0F0C1A94" w14:textId="45CD5D16" w:rsidR="00D42431" w:rsidRPr="002D5D12" w:rsidRDefault="00D42431" w:rsidP="00D42431">
      <w:pPr>
        <w:pStyle w:val="BodyText"/>
      </w:pPr>
      <w:r w:rsidRPr="002D5D12">
        <w:t xml:space="preserve">This increase was mainly driven by increasing emissions from the </w:t>
      </w:r>
      <w:r w:rsidRPr="002D5D12">
        <w:rPr>
          <w:i/>
          <w:iCs/>
        </w:rPr>
        <w:t>Product uses as substitutes for ODS</w:t>
      </w:r>
      <w:r w:rsidRPr="002D5D12">
        <w:t xml:space="preserve"> category, due to the introduction of HFCs to replace ODS in refrigeration and air conditioning and the increased use of household and commercial air conditioning. Carbon dioxide emissions have also increased due to increased production of metals, lime and cement,</w:t>
      </w:r>
      <w:r w:rsidR="0008216C">
        <w:t> </w:t>
      </w:r>
      <w:r w:rsidRPr="002D5D12">
        <w:t>but at a slower rate; and in 2020, the increase was offset by reduced emissions due</w:t>
      </w:r>
      <w:r w:rsidR="0008216C">
        <w:t> </w:t>
      </w:r>
      <w:r w:rsidRPr="002D5D12">
        <w:t>to</w:t>
      </w:r>
      <w:r w:rsidR="0008216C">
        <w:t> </w:t>
      </w:r>
      <w:r w:rsidRPr="002D5D12">
        <w:t>COVID</w:t>
      </w:r>
      <w:r w:rsidR="0008216C">
        <w:noBreakHyphen/>
      </w:r>
      <w:r w:rsidRPr="002D5D12">
        <w:t xml:space="preserve">19 restrictions. A substantial reduction occurred in emissions of PFCs due to improved management of anode effects in the </w:t>
      </w:r>
      <w:r w:rsidRPr="002D5D12">
        <w:rPr>
          <w:i/>
          <w:iCs/>
        </w:rPr>
        <w:t>Aluminium production category</w:t>
      </w:r>
      <w:r w:rsidRPr="002D5D12">
        <w:t xml:space="preserve"> and some reduction occurred in emissions of N</w:t>
      </w:r>
      <w:r w:rsidRPr="002D5D12">
        <w:rPr>
          <w:vertAlign w:val="subscript"/>
        </w:rPr>
        <w:t>2</w:t>
      </w:r>
      <w:r w:rsidRPr="002D5D12">
        <w:t xml:space="preserve">O used for medical applications in the </w:t>
      </w:r>
      <w:r w:rsidRPr="002D5D12">
        <w:rPr>
          <w:i/>
          <w:iCs/>
        </w:rPr>
        <w:t xml:space="preserve">Other product </w:t>
      </w:r>
      <w:r w:rsidRPr="0008216C">
        <w:rPr>
          <w:i/>
          <w:iCs/>
          <w:spacing w:val="-2"/>
        </w:rPr>
        <w:t>manufacture and use</w:t>
      </w:r>
      <w:r w:rsidRPr="0008216C">
        <w:rPr>
          <w:spacing w:val="-2"/>
        </w:rPr>
        <w:t xml:space="preserve"> category. The trends are shown in chapter 4, figure 4.1.1 and figure 4.1.2.</w:t>
      </w:r>
    </w:p>
    <w:p w14:paraId="5E6452A4" w14:textId="77777777" w:rsidR="00D42431" w:rsidRPr="002D5D12" w:rsidRDefault="00D42431" w:rsidP="00D42431">
      <w:pPr>
        <w:pStyle w:val="BodyText"/>
      </w:pPr>
      <w:r w:rsidRPr="002D5D12">
        <w:t>The trends for the IPPU sector are shown in figure 2.2.8.</w:t>
      </w:r>
    </w:p>
    <w:p w14:paraId="49C3443B" w14:textId="4C6FC039" w:rsidR="00D42431" w:rsidRPr="002D5D12" w:rsidRDefault="00D42431" w:rsidP="00D42431">
      <w:pPr>
        <w:pStyle w:val="Figure"/>
      </w:pPr>
      <w:bookmarkStart w:id="151" w:name="_Toc99696008"/>
      <w:r w:rsidRPr="002D5D12">
        <w:lastRenderedPageBreak/>
        <w:t>Figure 2.2.8</w:t>
      </w:r>
      <w:r w:rsidRPr="002D5D12">
        <w:tab/>
        <w:t xml:space="preserve">New Zealand’s IPPU sector emissions from </w:t>
      </w:r>
      <w:r w:rsidRPr="002D5D12">
        <w:rPr>
          <w:bCs/>
        </w:rPr>
        <w:t>1990</w:t>
      </w:r>
      <w:r w:rsidR="00E02C62">
        <w:t> </w:t>
      </w:r>
      <w:r w:rsidRPr="002D5D12">
        <w:t>to</w:t>
      </w:r>
      <w:r w:rsidR="00E02C62">
        <w:t> </w:t>
      </w:r>
      <w:r w:rsidRPr="002D5D12">
        <w:rPr>
          <w:bCs/>
        </w:rPr>
        <w:t>2020</w:t>
      </w:r>
      <w:bookmarkEnd w:id="151"/>
    </w:p>
    <w:p w14:paraId="631D5F6D" w14:textId="76910486" w:rsidR="00D42431" w:rsidRPr="002D5D12" w:rsidRDefault="004B48CC" w:rsidP="00D42431">
      <w:pPr>
        <w:pStyle w:val="BodyText"/>
      </w:pPr>
      <w:r>
        <w:rPr>
          <w:noProof/>
        </w:rPr>
        <w:pict w14:anchorId="11F17137">
          <v:shape id="_x0000_i1041" type="#_x0000_t75" style="width:425.3pt;height:318.15pt;visibility:visible;mso-wrap-style:square">
            <v:imagedata r:id="rId47" o:title=""/>
          </v:shape>
        </w:pict>
      </w:r>
    </w:p>
    <w:p w14:paraId="78E2CA30" w14:textId="77777777" w:rsidR="00D42431" w:rsidRPr="002D5D12" w:rsidRDefault="00D42431" w:rsidP="00D42431">
      <w:pPr>
        <w:pStyle w:val="Heading5"/>
      </w:pPr>
      <w:bookmarkStart w:id="152" w:name="section-7"/>
      <w:bookmarkEnd w:id="150"/>
      <w:r w:rsidRPr="002D5D12">
        <w:t>2019–2020</w:t>
      </w:r>
    </w:p>
    <w:p w14:paraId="2F737B5D" w14:textId="77777777" w:rsidR="00D42431" w:rsidRPr="002D5D12" w:rsidRDefault="00D42431" w:rsidP="00D42431">
      <w:pPr>
        <w:pStyle w:val="BodyText"/>
      </w:pPr>
      <w:r w:rsidRPr="002D5D12">
        <w:t>Between 2019 and 2020, emissions from the IPPU sector decreased by 242.7 kt CO</w:t>
      </w:r>
      <w:r w:rsidRPr="002D5D12">
        <w:rPr>
          <w:vertAlign w:val="subscript"/>
        </w:rPr>
        <w:t>2</w:t>
      </w:r>
      <w:r w:rsidRPr="002D5D12">
        <w:t>-e (5.0 per cent).</w:t>
      </w:r>
    </w:p>
    <w:p w14:paraId="7C507639" w14:textId="77777777" w:rsidR="00D42431" w:rsidRPr="002D5D12" w:rsidRDefault="00D42431" w:rsidP="00D42431">
      <w:pPr>
        <w:pStyle w:val="BodyText"/>
      </w:pPr>
      <w:r w:rsidRPr="002D5D12">
        <w:t xml:space="preserve">This change was the net result of a significant decrease in emissions from the </w:t>
      </w:r>
      <w:r w:rsidRPr="002D5D12">
        <w:rPr>
          <w:i/>
          <w:iCs/>
        </w:rPr>
        <w:t>Metal industry</w:t>
      </w:r>
      <w:r w:rsidRPr="002D5D12">
        <w:t xml:space="preserve"> category (109.5 kt CO</w:t>
      </w:r>
      <w:r w:rsidRPr="002D5D12">
        <w:rPr>
          <w:vertAlign w:val="subscript"/>
        </w:rPr>
        <w:t>2</w:t>
      </w:r>
      <w:r w:rsidRPr="002D5D12">
        <w:t>-e or 4.7 per cent), and smaller decreases in other categories, due to plant shutdowns related to the COVID-19 pandemic and consequent decreased production. New Zealand had a national lockdown from 26 March to 27 May 2020.</w:t>
      </w:r>
    </w:p>
    <w:p w14:paraId="35D467F0" w14:textId="77777777" w:rsidR="00D42431" w:rsidRPr="002D5D12" w:rsidRDefault="00D42431" w:rsidP="00D42431">
      <w:pPr>
        <w:pStyle w:val="Heading4"/>
      </w:pPr>
      <w:bookmarkStart w:id="153" w:name="agriculture-sector"/>
      <w:bookmarkEnd w:id="148"/>
      <w:bookmarkEnd w:id="152"/>
      <w:r w:rsidRPr="002D5D12">
        <w:t>Agriculture sector</w:t>
      </w:r>
    </w:p>
    <w:p w14:paraId="30A42626" w14:textId="48916D84" w:rsidR="00D42431" w:rsidRPr="002D5D12" w:rsidRDefault="00D42431" w:rsidP="00D42431">
      <w:pPr>
        <w:pStyle w:val="BodyText"/>
      </w:pPr>
      <w:r w:rsidRPr="002D5D12">
        <w:t>The Agriculture sector in New Zealand produces three main greenhouse gases: CH</w:t>
      </w:r>
      <w:r w:rsidRPr="002D5D12">
        <w:rPr>
          <w:vertAlign w:val="subscript"/>
        </w:rPr>
        <w:t>4</w:t>
      </w:r>
      <w:r w:rsidRPr="002D5D12">
        <w:t>, N</w:t>
      </w:r>
      <w:r w:rsidRPr="002D5D12">
        <w:rPr>
          <w:vertAlign w:val="subscript"/>
        </w:rPr>
        <w:t>2</w:t>
      </w:r>
      <w:r w:rsidRPr="002D5D12">
        <w:t>O and CO</w:t>
      </w:r>
      <w:r w:rsidRPr="002D5D12">
        <w:rPr>
          <w:vertAlign w:val="subscript"/>
        </w:rPr>
        <w:t>2</w:t>
      </w:r>
      <w:r w:rsidRPr="002D5D12">
        <w:t>, which comprise 77.3 per cent, 20.3 per cent and 2.4 per cent of all Agriculture sector emissions respectively. Trends in Agriculture sector emissions are largely driven by the populations of ruminant livestock (dairy cattle, non-dairy (beef) cattle, sheep, and deer). The</w:t>
      </w:r>
      <w:r w:rsidR="00220384">
        <w:t> </w:t>
      </w:r>
      <w:r w:rsidRPr="002D5D12">
        <w:t xml:space="preserve">largest contributing categories in the Agriculture sector are </w:t>
      </w:r>
      <w:r w:rsidRPr="002D5D12">
        <w:rPr>
          <w:i/>
          <w:iCs/>
        </w:rPr>
        <w:t>Enteric fermentation</w:t>
      </w:r>
      <w:r w:rsidRPr="002D5D12">
        <w:t xml:space="preserve"> and </w:t>
      </w:r>
      <w:r w:rsidRPr="002D5D12">
        <w:rPr>
          <w:i/>
          <w:iCs/>
        </w:rPr>
        <w:t>Agricultural soils</w:t>
      </w:r>
      <w:r w:rsidRPr="002D5D12">
        <w:t>. Emissions from the Agriculture sector reflect the total livestock population, the types of livestock and farming systems, and levels of production. Several drivers affect the emission trends for both CH</w:t>
      </w:r>
      <w:r w:rsidRPr="002D5D12">
        <w:rPr>
          <w:vertAlign w:val="subscript"/>
        </w:rPr>
        <w:t>4</w:t>
      </w:r>
      <w:r w:rsidRPr="002D5D12">
        <w:t xml:space="preserve"> and N</w:t>
      </w:r>
      <w:r w:rsidRPr="002D5D12">
        <w:rPr>
          <w:vertAlign w:val="subscript"/>
        </w:rPr>
        <w:t>2</w:t>
      </w:r>
      <w:r w:rsidRPr="002D5D12">
        <w:t>O in the sector. These include:</w:t>
      </w:r>
    </w:p>
    <w:p w14:paraId="24584FFB" w14:textId="77777777" w:rsidR="00D42431" w:rsidRPr="002D5D12" w:rsidRDefault="00D42431" w:rsidP="00220384">
      <w:pPr>
        <w:pStyle w:val="Bullet"/>
      </w:pPr>
      <w:r w:rsidRPr="002D5D12">
        <w:t>changes over time to the population of the main livestock types farmed in New Zealand. Since 1990, the dairy cattle population has increased, while sheep and non-dairy (beef) cattle populations have decreased as the profitability of dairy products has risen relative to sheep and beef products (see chapter 5, figure 5.1.3a and figure 5.1.3b)</w:t>
      </w:r>
    </w:p>
    <w:p w14:paraId="6B01114B" w14:textId="77777777" w:rsidR="00D42431" w:rsidRPr="002D5D12" w:rsidRDefault="00D42431" w:rsidP="00D42431">
      <w:pPr>
        <w:pStyle w:val="Bullet"/>
      </w:pPr>
      <w:r w:rsidRPr="002D5D12">
        <w:lastRenderedPageBreak/>
        <w:t>increases in livestock productivity (for both milk and meat yield per head of livestock), which have been achieved by New Zealand farmers since 1990. This has resulted in increased feed intake per animal to meet higher energy demands of increased production. Increased feed intake results in increased CH</w:t>
      </w:r>
      <w:r w:rsidRPr="002D5D12">
        <w:rPr>
          <w:vertAlign w:val="subscript"/>
        </w:rPr>
        <w:t>4</w:t>
      </w:r>
      <w:r w:rsidRPr="002D5D12">
        <w:t xml:space="preserve"> (from increased enteric fermentation) and N</w:t>
      </w:r>
      <w:r w:rsidRPr="002D5D12">
        <w:rPr>
          <w:vertAlign w:val="subscript"/>
        </w:rPr>
        <w:t>2</w:t>
      </w:r>
      <w:r w:rsidRPr="002D5D12">
        <w:t>O emissions (from increased excreta deposited on pasture) per animal</w:t>
      </w:r>
    </w:p>
    <w:p w14:paraId="23016488" w14:textId="08B1FB79" w:rsidR="00D42431" w:rsidRPr="002D5D12" w:rsidRDefault="00D42431" w:rsidP="00D42431">
      <w:pPr>
        <w:pStyle w:val="Bullet"/>
      </w:pPr>
      <w:r w:rsidRPr="002D5D12">
        <w:t>incidence of severe droughts, which have resulted in reduced livestock productivity and livestock populations, which in turn reduced livestock-related emissions. Noteworthy droughts have decreased the trend in emissions, when compared with previous years. The</w:t>
      </w:r>
      <w:r w:rsidR="00220384">
        <w:t> </w:t>
      </w:r>
      <w:r w:rsidRPr="002D5D12">
        <w:t>Ministry for Primary Industries produces quarterly reports that summarise the effects of these events at a sector level and provide short-term forecasts</w:t>
      </w:r>
      <w:r w:rsidRPr="002D5D12">
        <w:rPr>
          <w:rStyle w:val="FootnoteReference"/>
        </w:rPr>
        <w:footnoteReference w:id="25"/>
      </w:r>
    </w:p>
    <w:p w14:paraId="077A79AB" w14:textId="77777777" w:rsidR="00D42431" w:rsidRPr="002D5D12" w:rsidRDefault="00D42431" w:rsidP="00D42431">
      <w:pPr>
        <w:pStyle w:val="Bullet"/>
      </w:pPr>
      <w:r w:rsidRPr="002D5D12">
        <w:t>commodity price fluctuations that drive farmer investment decisions in livestock numbers and species as well as production inputs. The ‘Situation and outlook for primary industries report’ produced by the Ministry for Primary Industries summarises these decisions at a sector level and provides short-term forecasts</w:t>
      </w:r>
      <w:r w:rsidRPr="002D5D12">
        <w:rPr>
          <w:rStyle w:val="FootnoteReference"/>
        </w:rPr>
        <w:footnoteReference w:id="26"/>
      </w:r>
    </w:p>
    <w:p w14:paraId="009A5ACF" w14:textId="067DEADD" w:rsidR="00D42431" w:rsidRPr="002D5D12" w:rsidRDefault="00D42431" w:rsidP="00D42431">
      <w:pPr>
        <w:pStyle w:val="Bullet"/>
      </w:pPr>
      <w:r w:rsidRPr="00A06567">
        <w:rPr>
          <w:spacing w:val="-2"/>
        </w:rPr>
        <w:t>shifting land use across different types of livestock farming and other agriculture enterprises</w:t>
      </w:r>
      <w:r w:rsidRPr="002D5D12">
        <w:t xml:space="preserve"> including forestry. The Agriculture sector uses around 45 per cent of New Zealand’s land area, mostly for grazing of pastoral land. Between 1990 and 2020, the area used for sheep, beef and deer grazing has decreased by nearly 36 per cent (Beef + Lamb New Zealand Ltd,</w:t>
      </w:r>
      <w:r w:rsidR="00A06567">
        <w:t> </w:t>
      </w:r>
      <w:r w:rsidRPr="002D5D12">
        <w:t>2021), while the area used for dairy grazing has increased by 69.1 per cent (LIC and DairyNZ, 2021)</w:t>
      </w:r>
    </w:p>
    <w:p w14:paraId="3C9A67D4" w14:textId="77777777" w:rsidR="00D42431" w:rsidRPr="002D5D12" w:rsidRDefault="00D42431" w:rsidP="00D42431">
      <w:pPr>
        <w:pStyle w:val="Bullet"/>
      </w:pPr>
      <w:r w:rsidRPr="002D5D12">
        <w:t>use of synthetic (not organic) nitrogen (N) fertiliser. The amount of synthetic N fertiliser applied to agricultural land has increased by 693 per cent since 1990.</w:t>
      </w:r>
    </w:p>
    <w:p w14:paraId="0A8E0570" w14:textId="77777777" w:rsidR="00D42431" w:rsidRPr="002D5D12" w:rsidRDefault="00D42431" w:rsidP="00D42431">
      <w:pPr>
        <w:pStyle w:val="Heading5"/>
      </w:pPr>
      <w:bookmarkStart w:id="154" w:name="section-8"/>
      <w:r w:rsidRPr="002D5D12">
        <w:t>2020</w:t>
      </w:r>
    </w:p>
    <w:p w14:paraId="05735B54" w14:textId="77777777" w:rsidR="00D42431" w:rsidRPr="002D5D12" w:rsidRDefault="00D42431" w:rsidP="00D42431">
      <w:pPr>
        <w:pStyle w:val="BodyText"/>
      </w:pPr>
      <w:r w:rsidRPr="002D5D12">
        <w:t>In 2020, emissions from the Agriculture sector contributed 39,425.5 kt CO</w:t>
      </w:r>
      <w:r w:rsidRPr="002D5D12">
        <w:rPr>
          <w:vertAlign w:val="subscript"/>
        </w:rPr>
        <w:t>2</w:t>
      </w:r>
      <w:r w:rsidRPr="002D5D12">
        <w:t>-e, representing 50.0 per cent of New Zealand’s gross GHG emissions in 2020 (see figure 2.2.9).</w:t>
      </w:r>
    </w:p>
    <w:p w14:paraId="35835D7D" w14:textId="77777777" w:rsidR="00D42431" w:rsidRPr="002D5D12" w:rsidRDefault="00D42431" w:rsidP="00D42431">
      <w:pPr>
        <w:pStyle w:val="BodyText"/>
      </w:pPr>
      <w:r w:rsidRPr="002D5D12">
        <w:rPr>
          <w:i/>
          <w:iCs/>
        </w:rPr>
        <w:t>Enteric fermentation</w:t>
      </w:r>
      <w:r w:rsidRPr="002D5D12">
        <w:t xml:space="preserve"> was the main source of agriculture emissions, contributing 73.1 per cent (28,831.5 kt CO</w:t>
      </w:r>
      <w:r w:rsidRPr="002D5D12">
        <w:rPr>
          <w:vertAlign w:val="subscript"/>
        </w:rPr>
        <w:t>2</w:t>
      </w:r>
      <w:r w:rsidRPr="002D5D12">
        <w:t xml:space="preserve">-e) of the sector’s emissions. </w:t>
      </w:r>
      <w:r w:rsidRPr="002D5D12">
        <w:rPr>
          <w:i/>
          <w:iCs/>
        </w:rPr>
        <w:t>Agricultural soils</w:t>
      </w:r>
      <w:r w:rsidRPr="002D5D12">
        <w:t xml:space="preserve"> (20.0 per cent) was the second largest source followed by </w:t>
      </w:r>
      <w:r w:rsidRPr="002D5D12">
        <w:rPr>
          <w:i/>
          <w:iCs/>
        </w:rPr>
        <w:t>Manure management</w:t>
      </w:r>
      <w:r w:rsidRPr="002D5D12">
        <w:t xml:space="preserve"> (4.4 per cent). </w:t>
      </w:r>
      <w:r w:rsidRPr="002D5D12">
        <w:rPr>
          <w:i/>
          <w:iCs/>
        </w:rPr>
        <w:t>Urea application</w:t>
      </w:r>
      <w:r w:rsidRPr="002D5D12">
        <w:t xml:space="preserve"> and </w:t>
      </w:r>
      <w:r w:rsidRPr="002D5D12">
        <w:rPr>
          <w:i/>
          <w:iCs/>
        </w:rPr>
        <w:t>Liming</w:t>
      </w:r>
      <w:r w:rsidRPr="002D5D12">
        <w:t xml:space="preserve"> contributed 1.4 per cent and 1.0 per cent respectively. </w:t>
      </w:r>
      <w:r w:rsidRPr="002D5D12">
        <w:rPr>
          <w:i/>
          <w:iCs/>
        </w:rPr>
        <w:t>Field burning of agricultural residues</w:t>
      </w:r>
      <w:r w:rsidRPr="002D5D12">
        <w:t xml:space="preserve"> contributed the remaining 0.1 per cent.</w:t>
      </w:r>
    </w:p>
    <w:p w14:paraId="0BA65230" w14:textId="36F67003" w:rsidR="00D42431" w:rsidRPr="002D5D12" w:rsidRDefault="00D42431" w:rsidP="00D42431">
      <w:pPr>
        <w:pStyle w:val="Figure"/>
      </w:pPr>
      <w:bookmarkStart w:id="155" w:name="_Toc99696009"/>
      <w:r w:rsidRPr="002D5D12">
        <w:lastRenderedPageBreak/>
        <w:t>Figure 2.2.9</w:t>
      </w:r>
      <w:r w:rsidRPr="002D5D12">
        <w:tab/>
        <w:t xml:space="preserve">New Zealand’s Agriculture sector emissions from </w:t>
      </w:r>
      <w:r w:rsidRPr="002D5D12">
        <w:rPr>
          <w:bCs/>
        </w:rPr>
        <w:t>1990</w:t>
      </w:r>
      <w:r w:rsidR="00E02C62">
        <w:t> </w:t>
      </w:r>
      <w:r w:rsidRPr="002D5D12">
        <w:t>to</w:t>
      </w:r>
      <w:r w:rsidR="00E02C62">
        <w:t> </w:t>
      </w:r>
      <w:r w:rsidRPr="002D5D12">
        <w:rPr>
          <w:bCs/>
        </w:rPr>
        <w:t>2020</w:t>
      </w:r>
      <w:bookmarkEnd w:id="155"/>
    </w:p>
    <w:p w14:paraId="06ABC3BF" w14:textId="086B60AF" w:rsidR="00D42431" w:rsidRPr="002D5D12" w:rsidRDefault="004B48CC" w:rsidP="00D42431">
      <w:pPr>
        <w:pStyle w:val="BodyText"/>
      </w:pPr>
      <w:r>
        <w:rPr>
          <w:noProof/>
        </w:rPr>
        <w:pict w14:anchorId="1E98482B">
          <v:shape id="_x0000_i1042" type="#_x0000_t75" style="width:425.3pt;height:298.9pt;visibility:visible;mso-wrap-style:square">
            <v:imagedata r:id="rId48" o:title=""/>
          </v:shape>
        </w:pict>
      </w:r>
    </w:p>
    <w:p w14:paraId="068134BB" w14:textId="77777777" w:rsidR="00D42431" w:rsidRPr="002D5D12" w:rsidRDefault="00D42431" w:rsidP="00D42431">
      <w:pPr>
        <w:pStyle w:val="Heading5"/>
      </w:pPr>
      <w:bookmarkStart w:id="156" w:name="section-9"/>
      <w:bookmarkEnd w:id="154"/>
      <w:r w:rsidRPr="002D5D12">
        <w:t>1990–2020</w:t>
      </w:r>
    </w:p>
    <w:p w14:paraId="25D0A235" w14:textId="77777777" w:rsidR="00D42431" w:rsidRPr="002D5D12" w:rsidRDefault="00D42431" w:rsidP="00D42431">
      <w:pPr>
        <w:pStyle w:val="BodyText"/>
      </w:pPr>
      <w:r w:rsidRPr="002D5D12">
        <w:t>In 2020, New Zealand’s Agriculture sector emissions were 16.7 per cent (5,632.7 kt CO</w:t>
      </w:r>
      <w:r w:rsidRPr="002D5D12">
        <w:rPr>
          <w:vertAlign w:val="subscript"/>
        </w:rPr>
        <w:t>2</w:t>
      </w:r>
      <w:r w:rsidRPr="002D5D12">
        <w:t>-e) above the 1990 level of 33,792.9 kt CO</w:t>
      </w:r>
      <w:r w:rsidRPr="002D5D12">
        <w:rPr>
          <w:vertAlign w:val="subscript"/>
        </w:rPr>
        <w:t>2</w:t>
      </w:r>
      <w:r w:rsidRPr="002D5D12">
        <w:t>-e.</w:t>
      </w:r>
    </w:p>
    <w:p w14:paraId="4FEB8E8A" w14:textId="77777777" w:rsidR="00D42431" w:rsidRPr="002D5D12" w:rsidRDefault="00D42431" w:rsidP="00D42431">
      <w:pPr>
        <w:pStyle w:val="BodyText"/>
      </w:pPr>
      <w:r w:rsidRPr="002D5D12">
        <w:t>The greatest contributions to the increase since 1990 are a 48.7 per cent (2,581.9 kt CO</w:t>
      </w:r>
      <w:r w:rsidRPr="002D5D12">
        <w:rPr>
          <w:vertAlign w:val="subscript"/>
        </w:rPr>
        <w:t>2</w:t>
      </w:r>
      <w:r w:rsidRPr="002D5D12">
        <w:t>-e) increase in N</w:t>
      </w:r>
      <w:r w:rsidRPr="002D5D12">
        <w:rPr>
          <w:vertAlign w:val="subscript"/>
        </w:rPr>
        <w:t>2</w:t>
      </w:r>
      <w:r w:rsidRPr="002D5D12">
        <w:t xml:space="preserve">O emissions from </w:t>
      </w:r>
      <w:r w:rsidRPr="002D5D12">
        <w:rPr>
          <w:i/>
          <w:iCs/>
        </w:rPr>
        <w:t>Agricultural soils</w:t>
      </w:r>
      <w:r w:rsidRPr="002D5D12">
        <w:t xml:space="preserve"> and a 5.4 per cent (1,481.1 kt CO</w:t>
      </w:r>
      <w:r w:rsidRPr="002D5D12">
        <w:rPr>
          <w:vertAlign w:val="subscript"/>
        </w:rPr>
        <w:t>2</w:t>
      </w:r>
      <w:r w:rsidRPr="002D5D12">
        <w:t>-e) increase in CH</w:t>
      </w:r>
      <w:r w:rsidRPr="002D5D12">
        <w:rPr>
          <w:vertAlign w:val="subscript"/>
        </w:rPr>
        <w:t>4</w:t>
      </w:r>
      <w:r w:rsidRPr="002D5D12">
        <w:t xml:space="preserve"> emissions from </w:t>
      </w:r>
      <w:r w:rsidRPr="002D5D12">
        <w:rPr>
          <w:i/>
          <w:iCs/>
        </w:rPr>
        <w:t>Enteric fermentation</w:t>
      </w:r>
      <w:r w:rsidRPr="002D5D12">
        <w:t>.</w:t>
      </w:r>
    </w:p>
    <w:p w14:paraId="1AC82252" w14:textId="11807A0F" w:rsidR="00D42431" w:rsidRPr="002D5D12" w:rsidRDefault="00D42431" w:rsidP="00D42431">
      <w:pPr>
        <w:pStyle w:val="BodyText"/>
      </w:pPr>
      <w:r w:rsidRPr="002D5D12">
        <w:t>The increase in N</w:t>
      </w:r>
      <w:r w:rsidRPr="002D5D12">
        <w:rPr>
          <w:vertAlign w:val="subscript"/>
        </w:rPr>
        <w:t>2</w:t>
      </w:r>
      <w:r w:rsidRPr="002D5D12">
        <w:t xml:space="preserve">O emissions from </w:t>
      </w:r>
      <w:r w:rsidRPr="002D5D12">
        <w:rPr>
          <w:i/>
          <w:iCs/>
        </w:rPr>
        <w:t>Agricultural soils</w:t>
      </w:r>
      <w:r w:rsidRPr="002D5D12">
        <w:t xml:space="preserve"> is mainly a result of increased application of synthetic N fertiliser by around 693 per cent since 1990, primarily due to an increase in dairy</w:t>
      </w:r>
      <w:r w:rsidR="00A37607">
        <w:t> </w:t>
      </w:r>
      <w:r w:rsidRPr="002D5D12">
        <w:t>farming.</w:t>
      </w:r>
    </w:p>
    <w:p w14:paraId="0AD963A2" w14:textId="22F5CD35" w:rsidR="00D42431" w:rsidRPr="002D5D12" w:rsidRDefault="00D42431" w:rsidP="00D42431">
      <w:pPr>
        <w:pStyle w:val="BodyText"/>
      </w:pPr>
      <w:r w:rsidRPr="002D5D12">
        <w:t xml:space="preserve">The increase in emissions from </w:t>
      </w:r>
      <w:r w:rsidRPr="002D5D12">
        <w:rPr>
          <w:i/>
          <w:iCs/>
        </w:rPr>
        <w:t>Enteric fermentation</w:t>
      </w:r>
      <w:r w:rsidRPr="002D5D12">
        <w:t xml:space="preserve"> is driven by an increase in dairy cattle numbers, which have been partially offset by decreases in beef cattle and sheep numbers. The</w:t>
      </w:r>
      <w:r w:rsidR="00A37607">
        <w:t> </w:t>
      </w:r>
      <w:r w:rsidRPr="002D5D12">
        <w:t>change in animal populations since 1990 reflects the relative financial returns in each animal sector (it has been more profitable to farm dairy cattle than beef cattle or sheep in New</w:t>
      </w:r>
      <w:r w:rsidR="00A37607">
        <w:t> </w:t>
      </w:r>
      <w:r w:rsidRPr="002D5D12">
        <w:t>Zealand over the reporting period) and changes in New Zealand’s regulatory environment, especially connected to improving freshwater quality.</w:t>
      </w:r>
    </w:p>
    <w:p w14:paraId="50CFE809" w14:textId="77777777" w:rsidR="00D42431" w:rsidRPr="002D5D12" w:rsidRDefault="00D42431" w:rsidP="00D42431">
      <w:pPr>
        <w:pStyle w:val="Heading5"/>
      </w:pPr>
      <w:bookmarkStart w:id="157" w:name="section-10"/>
      <w:bookmarkEnd w:id="156"/>
      <w:r w:rsidRPr="002D5D12">
        <w:t>2019–2020</w:t>
      </w:r>
    </w:p>
    <w:p w14:paraId="53058539" w14:textId="77777777" w:rsidR="00D42431" w:rsidRPr="002D5D12" w:rsidRDefault="00D42431" w:rsidP="00D42431">
      <w:pPr>
        <w:pStyle w:val="BodyText"/>
      </w:pPr>
      <w:r w:rsidRPr="002D5D12">
        <w:t>Between 2019 and 2020, total agricultural emissions decreased by 0.2 per cent (93.1 kt CO</w:t>
      </w:r>
      <w:r w:rsidRPr="002D5D12">
        <w:rPr>
          <w:vertAlign w:val="subscript"/>
        </w:rPr>
        <w:t>2</w:t>
      </w:r>
      <w:r w:rsidRPr="002D5D12">
        <w:t>-e) due to a reduction in emissions from sheep, urea application and liming. This comprises:</w:t>
      </w:r>
    </w:p>
    <w:p w14:paraId="15D4C163" w14:textId="77777777" w:rsidR="00D42431" w:rsidRPr="002D5D12" w:rsidRDefault="00D42431" w:rsidP="00D42431">
      <w:pPr>
        <w:pStyle w:val="Bullet"/>
      </w:pPr>
      <w:r w:rsidRPr="002D5D12">
        <w:t>emissions from sheep (CH</w:t>
      </w:r>
      <w:r w:rsidRPr="002D5D12">
        <w:rPr>
          <w:vertAlign w:val="subscript"/>
        </w:rPr>
        <w:t>4</w:t>
      </w:r>
      <w:r w:rsidRPr="002D5D12">
        <w:t xml:space="preserve"> and N</w:t>
      </w:r>
      <w:r w:rsidRPr="002D5D12">
        <w:rPr>
          <w:vertAlign w:val="subscript"/>
        </w:rPr>
        <w:t>2</w:t>
      </w:r>
      <w:r w:rsidRPr="002D5D12">
        <w:t>O), which reduced by 2.8 per cent (268.3 kt CO</w:t>
      </w:r>
      <w:r w:rsidRPr="002D5D12">
        <w:rPr>
          <w:vertAlign w:val="subscript"/>
        </w:rPr>
        <w:t>2</w:t>
      </w:r>
      <w:r w:rsidRPr="002D5D12">
        <w:t>-e) due to a further decrease in the sheep population</w:t>
      </w:r>
    </w:p>
    <w:p w14:paraId="1E0BB91A" w14:textId="77777777" w:rsidR="00D42431" w:rsidRPr="002D5D12" w:rsidRDefault="00D42431" w:rsidP="00D42431">
      <w:pPr>
        <w:pStyle w:val="Bullet"/>
      </w:pPr>
      <w:r w:rsidRPr="002D5D12">
        <w:rPr>
          <w:i/>
          <w:iCs/>
        </w:rPr>
        <w:lastRenderedPageBreak/>
        <w:t>Liming emissions</w:t>
      </w:r>
      <w:r w:rsidRPr="002D5D12">
        <w:t xml:space="preserve"> (CO</w:t>
      </w:r>
      <w:r w:rsidRPr="002D5D12">
        <w:rPr>
          <w:vertAlign w:val="subscript"/>
        </w:rPr>
        <w:t>2</w:t>
      </w:r>
      <w:r w:rsidRPr="002D5D12">
        <w:t>), which reduced by 9.0 per cent (40.3 kt CO</w:t>
      </w:r>
      <w:r w:rsidRPr="002D5D12">
        <w:rPr>
          <w:vertAlign w:val="subscript"/>
        </w:rPr>
        <w:t>2</w:t>
      </w:r>
      <w:r w:rsidRPr="002D5D12">
        <w:t>-e) due to a decrease in the use of lime</w:t>
      </w:r>
    </w:p>
    <w:p w14:paraId="42C8CE85" w14:textId="77777777" w:rsidR="00D42431" w:rsidRPr="002D5D12" w:rsidRDefault="00D42431" w:rsidP="00D42431">
      <w:pPr>
        <w:pStyle w:val="Bullet"/>
      </w:pPr>
      <w:r w:rsidRPr="002D5D12">
        <w:rPr>
          <w:i/>
          <w:iCs/>
        </w:rPr>
        <w:t>Urea emissions</w:t>
      </w:r>
      <w:r w:rsidRPr="002D5D12">
        <w:t xml:space="preserve"> (CO</w:t>
      </w:r>
      <w:r w:rsidRPr="002D5D12">
        <w:rPr>
          <w:vertAlign w:val="subscript"/>
        </w:rPr>
        <w:t>2</w:t>
      </w:r>
      <w:r w:rsidRPr="002D5D12">
        <w:t>), which reduced by 5.0 per cent (28.7 kt CO</w:t>
      </w:r>
      <w:r w:rsidRPr="002D5D12">
        <w:rPr>
          <w:vertAlign w:val="subscript"/>
        </w:rPr>
        <w:t>2</w:t>
      </w:r>
      <w:r w:rsidRPr="002D5D12">
        <w:t>-e) due to a decrease in the use of urea fertiliser.</w:t>
      </w:r>
    </w:p>
    <w:p w14:paraId="2CA7A760" w14:textId="77777777" w:rsidR="00D42431" w:rsidRPr="002D5D12" w:rsidRDefault="00D42431" w:rsidP="00D42431">
      <w:pPr>
        <w:pStyle w:val="BodyText"/>
      </w:pPr>
      <w:r w:rsidRPr="002D5D12">
        <w:t>Emissions from other activities increased but were not enough to offset the overall decrease in agricultural emissions. These increases comprise emissions from:</w:t>
      </w:r>
    </w:p>
    <w:p w14:paraId="36CCC64C" w14:textId="77777777" w:rsidR="00D42431" w:rsidRPr="002D5D12" w:rsidRDefault="00D42431" w:rsidP="00D42431">
      <w:pPr>
        <w:pStyle w:val="Bullet"/>
      </w:pPr>
      <w:r w:rsidRPr="002D5D12">
        <w:t>inorganic fertiliser, which increased by 7.5 per cent (128.5 kt CO</w:t>
      </w:r>
      <w:r w:rsidRPr="002D5D12">
        <w:rPr>
          <w:vertAlign w:val="subscript"/>
        </w:rPr>
        <w:t>2</w:t>
      </w:r>
      <w:r w:rsidRPr="002D5D12">
        <w:t>-e)</w:t>
      </w:r>
    </w:p>
    <w:p w14:paraId="68E022D4" w14:textId="77777777" w:rsidR="00D42431" w:rsidRPr="002D5D12" w:rsidRDefault="00D42431" w:rsidP="00D42431">
      <w:pPr>
        <w:pStyle w:val="Bullet"/>
      </w:pPr>
      <w:r w:rsidRPr="002D5D12">
        <w:t>non-dairy (beef) cattle, which increased by 1.2 per cent (84.0 kt CO</w:t>
      </w:r>
      <w:r w:rsidRPr="002D5D12">
        <w:rPr>
          <w:vertAlign w:val="subscript"/>
        </w:rPr>
        <w:t>2</w:t>
      </w:r>
      <w:r w:rsidRPr="002D5D12">
        <w:t>-e) as the population recovered from a decrease in 2019</w:t>
      </w:r>
    </w:p>
    <w:p w14:paraId="79A51B52" w14:textId="77777777" w:rsidR="00D42431" w:rsidRPr="002D5D12" w:rsidRDefault="00D42431" w:rsidP="00D42431">
      <w:pPr>
        <w:pStyle w:val="Bullet"/>
      </w:pPr>
      <w:r w:rsidRPr="002D5D12">
        <w:t>dairy cattle, which increased by 0.2 per cent (31.2 kt CO</w:t>
      </w:r>
      <w:r w:rsidRPr="002D5D12">
        <w:rPr>
          <w:vertAlign w:val="subscript"/>
        </w:rPr>
        <w:t>2</w:t>
      </w:r>
      <w:r w:rsidRPr="002D5D12">
        <w:t>-e) due a slight increase in the population.</w:t>
      </w:r>
    </w:p>
    <w:p w14:paraId="4E15FFBD" w14:textId="77777777" w:rsidR="00D42431" w:rsidRPr="002D5D12" w:rsidRDefault="00D42431" w:rsidP="00D42431">
      <w:pPr>
        <w:pStyle w:val="Heading4"/>
      </w:pPr>
      <w:bookmarkStart w:id="158" w:name="lulucf-sector"/>
      <w:bookmarkEnd w:id="153"/>
      <w:bookmarkEnd w:id="157"/>
      <w:r w:rsidRPr="002D5D12">
        <w:t>LULUCF sector</w:t>
      </w:r>
    </w:p>
    <w:p w14:paraId="3D00E5AE" w14:textId="77777777" w:rsidR="00D42431" w:rsidRPr="002D5D12" w:rsidRDefault="00D42431" w:rsidP="00D42431">
      <w:pPr>
        <w:pStyle w:val="BodyText"/>
      </w:pPr>
      <w:r w:rsidRPr="002D5D12">
        <w:t>The following information on LULUCF summarises reporting under the Convention. Reporting for Article 3.3 and Article 3.4 LULUCF activities under the Kyoto Protocol are covered in section 2.3 and the Executive summary, section ES.5.</w:t>
      </w:r>
    </w:p>
    <w:p w14:paraId="66780CE4" w14:textId="77777777" w:rsidR="00D42431" w:rsidRPr="002D5D12" w:rsidRDefault="00D42431" w:rsidP="00D42431">
      <w:pPr>
        <w:pStyle w:val="Heading5"/>
      </w:pPr>
      <w:bookmarkStart w:id="159" w:name="section-11"/>
      <w:r w:rsidRPr="002D5D12">
        <w:t>2020</w:t>
      </w:r>
    </w:p>
    <w:p w14:paraId="26936803" w14:textId="414A4080" w:rsidR="00D42431" w:rsidRPr="002D5D12" w:rsidRDefault="00D42431" w:rsidP="00D42431">
      <w:pPr>
        <w:pStyle w:val="BodyText"/>
      </w:pPr>
      <w:r w:rsidRPr="002D5D12">
        <w:t>In 2020, net emissions from the LULUCF sector were –23,313.3 kt CO</w:t>
      </w:r>
      <w:r w:rsidRPr="002D5D12">
        <w:rPr>
          <w:vertAlign w:val="subscript"/>
        </w:rPr>
        <w:t>2</w:t>
      </w:r>
      <w:r w:rsidRPr="002D5D12">
        <w:t>-e, or –29.6 per cent, of</w:t>
      </w:r>
      <w:r w:rsidR="00C71469">
        <w:t> </w:t>
      </w:r>
      <w:r w:rsidRPr="002D5D12">
        <w:t>New Zealand’s gross GHG emissions. This comprises net removals of –23,666.2 kt CO</w:t>
      </w:r>
      <w:r w:rsidRPr="002D5D12">
        <w:rPr>
          <w:vertAlign w:val="subscript"/>
        </w:rPr>
        <w:t>2</w:t>
      </w:r>
      <w:r w:rsidRPr="002D5D12">
        <w:t>, emissions of 81.7 kt CO</w:t>
      </w:r>
      <w:r w:rsidRPr="002D5D12">
        <w:rPr>
          <w:vertAlign w:val="subscript"/>
        </w:rPr>
        <w:t>2</w:t>
      </w:r>
      <w:r w:rsidRPr="002D5D12">
        <w:t>-e of CH</w:t>
      </w:r>
      <w:r w:rsidRPr="002D5D12">
        <w:rPr>
          <w:vertAlign w:val="subscript"/>
        </w:rPr>
        <w:t>4</w:t>
      </w:r>
      <w:r w:rsidRPr="002D5D12">
        <w:t xml:space="preserve"> and 271.3 kt CO</w:t>
      </w:r>
      <w:r w:rsidRPr="002D5D12">
        <w:rPr>
          <w:vertAlign w:val="subscript"/>
        </w:rPr>
        <w:t>2</w:t>
      </w:r>
      <w:r w:rsidRPr="002D5D12">
        <w:t>-e of N</w:t>
      </w:r>
      <w:r w:rsidRPr="002D5D12">
        <w:rPr>
          <w:vertAlign w:val="subscript"/>
        </w:rPr>
        <w:t>2</w:t>
      </w:r>
      <w:r w:rsidRPr="002D5D12">
        <w:t xml:space="preserve">O. The category contributing the most to both removals and emissions is </w:t>
      </w:r>
      <w:r w:rsidRPr="002D5D12">
        <w:rPr>
          <w:i/>
          <w:iCs/>
        </w:rPr>
        <w:t>Forest land remaining forest land</w:t>
      </w:r>
      <w:r w:rsidRPr="002D5D12">
        <w:t>. This is because large removals result from the growth of all forests on this land and large emissions also occur from the sustainable harvest of New Zealand’s plantation forests.</w:t>
      </w:r>
    </w:p>
    <w:p w14:paraId="000A0520" w14:textId="77777777" w:rsidR="00D42431" w:rsidRPr="002D5D12" w:rsidRDefault="00D42431" w:rsidP="00D42431">
      <w:pPr>
        <w:pStyle w:val="Heading5"/>
      </w:pPr>
      <w:bookmarkStart w:id="160" w:name="section-12"/>
      <w:bookmarkEnd w:id="159"/>
      <w:r w:rsidRPr="002D5D12">
        <w:t>1990–2020</w:t>
      </w:r>
    </w:p>
    <w:p w14:paraId="1B733B6C" w14:textId="08FADFFE" w:rsidR="00D42431" w:rsidRPr="002D5D12" w:rsidRDefault="00D42431" w:rsidP="00D42431">
      <w:pPr>
        <w:pStyle w:val="BodyText"/>
      </w:pPr>
      <w:r w:rsidRPr="002D5D12">
        <w:t>Net emissions in 2020 have decreased by 2,084.0 kt CO</w:t>
      </w:r>
      <w:r w:rsidRPr="002D5D12">
        <w:rPr>
          <w:vertAlign w:val="subscript"/>
        </w:rPr>
        <w:t>2</w:t>
      </w:r>
      <w:r w:rsidRPr="002D5D12">
        <w:t>-e (9.8 per cent) from the 1990 level of</w:t>
      </w:r>
      <w:r w:rsidR="00C71469">
        <w:t> </w:t>
      </w:r>
      <w:r w:rsidRPr="002D5D12">
        <w:t>–21,229.2 kt CO</w:t>
      </w:r>
      <w:r w:rsidRPr="002D5D12">
        <w:rPr>
          <w:vertAlign w:val="subscript"/>
        </w:rPr>
        <w:t>2</w:t>
      </w:r>
      <w:r w:rsidRPr="002D5D12">
        <w:t>-e (see chapter 6, table 6.1.1 and figure 6.1.1). This is largely due to an increase in the production of harvested wood products, which have compensated for the emissions from the increase in forest harvesting.</w:t>
      </w:r>
    </w:p>
    <w:p w14:paraId="2EBB6AD0" w14:textId="6EBE00B0" w:rsidR="00D42431" w:rsidRPr="002D5D12" w:rsidRDefault="00D42431" w:rsidP="00D42431">
      <w:pPr>
        <w:pStyle w:val="BodyText"/>
      </w:pPr>
      <w:r w:rsidRPr="002D5D12">
        <w:t>The fluctuations in net emissions from the LULUCF sector (see figure 2.2.10) are influenced by</w:t>
      </w:r>
      <w:r w:rsidR="00C71469">
        <w:t> </w:t>
      </w:r>
      <w:r w:rsidRPr="002D5D12">
        <w:t>afforestation, harvesting and deforestation rates. Harvesting rates are driven by several factors, particularly forest age and log prices. Deforestation rates are driven by the relative profitability of forestry compared with alternative land uses. The increase in net emissions between 2004 and 2007 was mainly due to the increase in planted forest deforestation that</w:t>
      </w:r>
      <w:r w:rsidR="00C71469">
        <w:t> </w:t>
      </w:r>
      <w:r w:rsidRPr="002D5D12">
        <w:t>occurred leading up to 2008, immediately before the introduction of the New Zealand Emissions Trading Scheme (NZ ETS).</w:t>
      </w:r>
      <w:r w:rsidRPr="002D5D12">
        <w:rPr>
          <w:rStyle w:val="FootnoteReference"/>
        </w:rPr>
        <w:footnoteReference w:id="27"/>
      </w:r>
      <w:r w:rsidRPr="002D5D12">
        <w:t xml:space="preserve"> In 2019 and 2020, rates of afforestation significantly increased. This is likely due to policy initiatives incentivising afforestation as well as higher carbon prices in the NZ ETS resulting from the announcements leading up to the Climate Change Response (Emissions Trading Reform) Amendment Bill and its passing into law in June</w:t>
      </w:r>
      <w:r w:rsidR="00C71469">
        <w:t> </w:t>
      </w:r>
      <w:r w:rsidRPr="002D5D12">
        <w:t>2020.</w:t>
      </w:r>
    </w:p>
    <w:p w14:paraId="66FD871A" w14:textId="49836B9F" w:rsidR="00D42431" w:rsidRPr="002D5D12" w:rsidRDefault="00D42431" w:rsidP="00D42431">
      <w:pPr>
        <w:pStyle w:val="Figure"/>
      </w:pPr>
      <w:bookmarkStart w:id="161" w:name="_Toc99696010"/>
      <w:r w:rsidRPr="002D5D12">
        <w:lastRenderedPageBreak/>
        <w:t>Figure 2.2.10</w:t>
      </w:r>
      <w:r w:rsidRPr="002D5D12">
        <w:tab/>
        <w:t xml:space="preserve">New Zealand’s LULUCF sector net emissions from </w:t>
      </w:r>
      <w:r w:rsidRPr="002D5D12">
        <w:rPr>
          <w:bCs/>
        </w:rPr>
        <w:t>1990</w:t>
      </w:r>
      <w:r w:rsidR="00E02C62">
        <w:t> </w:t>
      </w:r>
      <w:r w:rsidRPr="002D5D12">
        <w:t>to</w:t>
      </w:r>
      <w:r w:rsidR="00E02C62">
        <w:t> </w:t>
      </w:r>
      <w:r w:rsidRPr="002D5D12">
        <w:rPr>
          <w:bCs/>
        </w:rPr>
        <w:t>2020</w:t>
      </w:r>
      <w:bookmarkEnd w:id="161"/>
    </w:p>
    <w:p w14:paraId="2734CC9C" w14:textId="544CEC20" w:rsidR="00D42431" w:rsidRPr="002D5D12" w:rsidRDefault="004B48CC" w:rsidP="00D42431">
      <w:pPr>
        <w:pStyle w:val="BodyText"/>
      </w:pPr>
      <w:r>
        <w:pict w14:anchorId="537D1397">
          <v:shape id="_x0000_i1043" type="#_x0000_t75" style="width:425.3pt;height:319pt;mso-left-percent:-10001;mso-top-percent:-10001;mso-position-horizontal:absolute;mso-position-horizontal-relative:char;mso-position-vertical:absolute;mso-position-vertical-relative:line;mso-left-percent:-10001;mso-top-percent:-10001">
            <v:imagedata r:id="rId49" o:title=""/>
          </v:shape>
        </w:pict>
      </w:r>
    </w:p>
    <w:p w14:paraId="2F9A402F" w14:textId="77777777" w:rsidR="00D42431" w:rsidRPr="002D5D12" w:rsidRDefault="00D42431" w:rsidP="00D42431">
      <w:pPr>
        <w:pStyle w:val="Heading5"/>
      </w:pPr>
      <w:bookmarkStart w:id="162" w:name="section-13"/>
      <w:bookmarkEnd w:id="160"/>
      <w:r w:rsidRPr="002D5D12">
        <w:t>2019–2020</w:t>
      </w:r>
    </w:p>
    <w:p w14:paraId="4B9D17CD" w14:textId="77777777" w:rsidR="00D42431" w:rsidRPr="002D5D12" w:rsidRDefault="00D42431" w:rsidP="00D42431">
      <w:pPr>
        <w:pStyle w:val="BodyText"/>
      </w:pPr>
      <w:r w:rsidRPr="002D5D12">
        <w:t>Net removals from the LULUCF sector increased between 2019 and 2020 by 278.3 kt CO</w:t>
      </w:r>
      <w:r w:rsidRPr="002D5D12">
        <w:rPr>
          <w:vertAlign w:val="subscript"/>
        </w:rPr>
        <w:t>2</w:t>
      </w:r>
      <w:r w:rsidRPr="002D5D12">
        <w:t>-e (1.2 per cent) (see chapter 6, table 6.1.2).</w:t>
      </w:r>
    </w:p>
    <w:p w14:paraId="64A6ED4F" w14:textId="77777777" w:rsidR="00D42431" w:rsidRPr="002D5D12" w:rsidRDefault="00D42431" w:rsidP="00D42431">
      <w:pPr>
        <w:pStyle w:val="BodyText"/>
      </w:pPr>
      <w:r w:rsidRPr="002D5D12">
        <w:t xml:space="preserve">The largest change occurred in the </w:t>
      </w:r>
      <w:r w:rsidRPr="002D5D12">
        <w:rPr>
          <w:i/>
          <w:iCs/>
        </w:rPr>
        <w:t>Harvested wood products</w:t>
      </w:r>
      <w:r w:rsidRPr="002D5D12">
        <w:t xml:space="preserve"> category, with an increase in emissions of 2,203.3 kt CO</w:t>
      </w:r>
      <w:r w:rsidRPr="002D5D12">
        <w:rPr>
          <w:vertAlign w:val="subscript"/>
        </w:rPr>
        <w:t>2</w:t>
      </w:r>
      <w:r w:rsidRPr="002D5D12">
        <w:t xml:space="preserve">-e. The reason for this change was that the production of harvested wood products fell due to disruptions in processing and logistics related to the COVID-19 pandemic. The </w:t>
      </w:r>
      <w:r w:rsidRPr="002D5D12">
        <w:rPr>
          <w:i/>
          <w:iCs/>
        </w:rPr>
        <w:t>Grassland</w:t>
      </w:r>
      <w:r w:rsidRPr="002D5D12">
        <w:t xml:space="preserve"> category had the second largest change, with a decrease in emissions of 1,802.9 kt CO</w:t>
      </w:r>
      <w:r w:rsidRPr="002D5D12">
        <w:rPr>
          <w:vertAlign w:val="subscript"/>
        </w:rPr>
        <w:t>2</w:t>
      </w:r>
      <w:r w:rsidRPr="002D5D12">
        <w:t xml:space="preserve">-e, driven by reduced deforestation of planted forest, resulting in fewer conversions from </w:t>
      </w:r>
      <w:r w:rsidRPr="002D5D12">
        <w:rPr>
          <w:i/>
          <w:iCs/>
        </w:rPr>
        <w:t>Forest land</w:t>
      </w:r>
      <w:r w:rsidRPr="002D5D12">
        <w:t xml:space="preserve"> to </w:t>
      </w:r>
      <w:r w:rsidRPr="002D5D12">
        <w:rPr>
          <w:i/>
          <w:iCs/>
        </w:rPr>
        <w:t>Grassland</w:t>
      </w:r>
      <w:r w:rsidRPr="002D5D12">
        <w:t>.</w:t>
      </w:r>
    </w:p>
    <w:p w14:paraId="72EAE7BB" w14:textId="77777777" w:rsidR="00D42431" w:rsidRPr="002D5D12" w:rsidRDefault="00D42431" w:rsidP="00D42431">
      <w:pPr>
        <w:pStyle w:val="Heading4"/>
      </w:pPr>
      <w:bookmarkStart w:id="163" w:name="waste-sector"/>
      <w:bookmarkEnd w:id="158"/>
      <w:bookmarkEnd w:id="162"/>
      <w:r w:rsidRPr="002D5D12">
        <w:t>Waste sector</w:t>
      </w:r>
    </w:p>
    <w:p w14:paraId="38C8F0B0" w14:textId="3AA6D5F6" w:rsidR="00D42431" w:rsidRPr="002D5D12" w:rsidRDefault="00D42431" w:rsidP="00D42431">
      <w:pPr>
        <w:pStyle w:val="BodyText"/>
      </w:pPr>
      <w:r w:rsidRPr="002D5D12">
        <w:t>The Waste sector in New Zealand produces mainly CH</w:t>
      </w:r>
      <w:r w:rsidRPr="002D5D12">
        <w:rPr>
          <w:vertAlign w:val="subscript"/>
        </w:rPr>
        <w:t>4</w:t>
      </w:r>
      <w:r w:rsidRPr="002D5D12">
        <w:t xml:space="preserve"> emissions (92.1 per cent) followed by N</w:t>
      </w:r>
      <w:r w:rsidRPr="002D5D12">
        <w:rPr>
          <w:vertAlign w:val="subscript"/>
        </w:rPr>
        <w:t>2</w:t>
      </w:r>
      <w:r w:rsidRPr="002D5D12">
        <w:t>O (5.1 per cent) and CO</w:t>
      </w:r>
      <w:r w:rsidRPr="002D5D12">
        <w:rPr>
          <w:vertAlign w:val="subscript"/>
        </w:rPr>
        <w:t>2</w:t>
      </w:r>
      <w:r w:rsidRPr="002D5D12">
        <w:t xml:space="preserve"> emissions (2.7 per cent). The Waste sector produces 8.8 per cent of</w:t>
      </w:r>
      <w:r w:rsidR="00734B9C">
        <w:t> </w:t>
      </w:r>
      <w:r w:rsidRPr="002D5D12">
        <w:t>gross CH</w:t>
      </w:r>
      <w:r w:rsidRPr="002D5D12">
        <w:rPr>
          <w:vertAlign w:val="subscript"/>
        </w:rPr>
        <w:t>4</w:t>
      </w:r>
      <w:r w:rsidRPr="002D5D12">
        <w:t xml:space="preserve"> emissions in New Zealand. Emissions of CO</w:t>
      </w:r>
      <w:r w:rsidRPr="002D5D12">
        <w:rPr>
          <w:vertAlign w:val="subscript"/>
        </w:rPr>
        <w:t>2</w:t>
      </w:r>
      <w:r w:rsidRPr="002D5D12">
        <w:t xml:space="preserve"> also occur from the disposal of solid waste, but these are of biogenic origin and are not reported.</w:t>
      </w:r>
    </w:p>
    <w:p w14:paraId="0FC65E3E" w14:textId="77777777" w:rsidR="00D42431" w:rsidRPr="002D5D12" w:rsidRDefault="00D42431" w:rsidP="00D42431">
      <w:pPr>
        <w:pStyle w:val="Heading5"/>
      </w:pPr>
      <w:bookmarkStart w:id="164" w:name="section-14"/>
      <w:r w:rsidRPr="002D5D12">
        <w:t>2020</w:t>
      </w:r>
    </w:p>
    <w:p w14:paraId="481A1CE1" w14:textId="7D3E7702" w:rsidR="00D42431" w:rsidRPr="002D5D12" w:rsidRDefault="00D42431" w:rsidP="00D42431">
      <w:pPr>
        <w:pStyle w:val="BodyText"/>
      </w:pPr>
      <w:r w:rsidRPr="002D5D12">
        <w:t>In 2020, emissions from the Waste sector contributed 3,268.9 kt CO</w:t>
      </w:r>
      <w:r w:rsidRPr="002D5D12">
        <w:rPr>
          <w:vertAlign w:val="subscript"/>
        </w:rPr>
        <w:t>2</w:t>
      </w:r>
      <w:r w:rsidRPr="002D5D12">
        <w:t>-e or 4.1 per cent of New</w:t>
      </w:r>
      <w:r w:rsidR="00734B9C">
        <w:t> </w:t>
      </w:r>
      <w:r w:rsidRPr="002D5D12">
        <w:t xml:space="preserve">Zealand’s gross GHG emissions. The largest source category is </w:t>
      </w:r>
      <w:r w:rsidRPr="002D5D12">
        <w:rPr>
          <w:i/>
          <w:iCs/>
        </w:rPr>
        <w:t>Solid waste disposal</w:t>
      </w:r>
      <w:r w:rsidRPr="002D5D12">
        <w:t>, as</w:t>
      </w:r>
      <w:r w:rsidR="00E02C62">
        <w:t> </w:t>
      </w:r>
      <w:r w:rsidRPr="002D5D12">
        <w:t>shown in chapter 7, table 7.1.1 (emissions by source category).</w:t>
      </w:r>
    </w:p>
    <w:p w14:paraId="2CD2D1F6" w14:textId="77777777" w:rsidR="00D42431" w:rsidRPr="002D5D12" w:rsidRDefault="00D42431" w:rsidP="00D42431">
      <w:pPr>
        <w:pStyle w:val="Heading5"/>
      </w:pPr>
      <w:bookmarkStart w:id="165" w:name="section-15"/>
      <w:bookmarkEnd w:id="164"/>
      <w:r w:rsidRPr="002D5D12">
        <w:lastRenderedPageBreak/>
        <w:t>1990–2020</w:t>
      </w:r>
    </w:p>
    <w:p w14:paraId="2ECD8543" w14:textId="77777777" w:rsidR="00D42431" w:rsidRPr="002D5D12" w:rsidRDefault="00D42431" w:rsidP="00D42431">
      <w:pPr>
        <w:pStyle w:val="BodyText"/>
      </w:pPr>
      <w:r w:rsidRPr="002D5D12">
        <w:t>In 2020, emissions from the Waste sector decreased by 17.1 per cent (674.2 kt CO</w:t>
      </w:r>
      <w:r w:rsidRPr="002D5D12">
        <w:rPr>
          <w:vertAlign w:val="subscript"/>
        </w:rPr>
        <w:t>2</w:t>
      </w:r>
      <w:r w:rsidRPr="002D5D12">
        <w:t>-e), from 3,943.1 kt CO</w:t>
      </w:r>
      <w:r w:rsidRPr="002D5D12">
        <w:rPr>
          <w:vertAlign w:val="subscript"/>
        </w:rPr>
        <w:t>2</w:t>
      </w:r>
      <w:r w:rsidRPr="002D5D12">
        <w:t>-e in 1990.</w:t>
      </w:r>
    </w:p>
    <w:p w14:paraId="1D7E2C57" w14:textId="77777777" w:rsidR="00D42431" w:rsidRPr="002D5D12" w:rsidRDefault="00D42431" w:rsidP="00D42431">
      <w:pPr>
        <w:pStyle w:val="BodyText"/>
      </w:pPr>
      <w:r w:rsidRPr="002D5D12">
        <w:t>Annual emissions increased between 1990 and 2002, peaking at 4,468.9 kt CO</w:t>
      </w:r>
      <w:r w:rsidRPr="002D5D12">
        <w:rPr>
          <w:vertAlign w:val="subscript"/>
        </w:rPr>
        <w:t>2</w:t>
      </w:r>
      <w:r w:rsidRPr="002D5D12">
        <w:t>-e in 2002, and have generally decreased since that time. Growth in population and economic activity since 1990 has resulted in increasing volumes of solid waste and wastewater for the whole of the time series. Ongoing improvements in the management of solid waste disposal at municipal landfills have meant total Waste sector emissions have been trending down since 2005, despite increasing volumes of solid waste and wastewater. The reduction in emissions is primarily the result of increased CH</w:t>
      </w:r>
      <w:r w:rsidRPr="002D5D12">
        <w:rPr>
          <w:vertAlign w:val="subscript"/>
        </w:rPr>
        <w:t>4</w:t>
      </w:r>
      <w:r w:rsidRPr="002D5D12">
        <w:t xml:space="preserve"> recovery driven by the National Environmental Standards for Air Quality introduced in 2004 and also by the NZ ETS since 2013. The trends are shown in figure 2.2.11 and in chapter 7, figure 7.1.2 and figure 7.1.3.</w:t>
      </w:r>
    </w:p>
    <w:p w14:paraId="0C77C6A6" w14:textId="31470FCC" w:rsidR="00D42431" w:rsidRPr="002D5D12" w:rsidRDefault="00D42431" w:rsidP="00D42431">
      <w:pPr>
        <w:pStyle w:val="Figure"/>
      </w:pPr>
      <w:bookmarkStart w:id="166" w:name="_Toc99696011"/>
      <w:r w:rsidRPr="002D5D12">
        <w:t>Figure 2.2.11</w:t>
      </w:r>
      <w:r w:rsidRPr="002D5D12">
        <w:tab/>
        <w:t xml:space="preserve">New Zealand’s Waste sector emissions from </w:t>
      </w:r>
      <w:r w:rsidRPr="002D5D12">
        <w:rPr>
          <w:bCs/>
        </w:rPr>
        <w:t>1990</w:t>
      </w:r>
      <w:r w:rsidR="00E02C62">
        <w:t> </w:t>
      </w:r>
      <w:r w:rsidRPr="002D5D12">
        <w:t>to</w:t>
      </w:r>
      <w:r w:rsidR="00E02C62">
        <w:t> </w:t>
      </w:r>
      <w:r w:rsidRPr="002D5D12">
        <w:rPr>
          <w:bCs/>
        </w:rPr>
        <w:t>2020</w:t>
      </w:r>
      <w:bookmarkEnd w:id="166"/>
    </w:p>
    <w:p w14:paraId="6A0C74E4" w14:textId="6DF1EFE5" w:rsidR="00D42431" w:rsidRPr="002D5D12" w:rsidRDefault="004B48CC" w:rsidP="00D42431">
      <w:pPr>
        <w:pStyle w:val="BodyText"/>
      </w:pPr>
      <w:r>
        <w:rPr>
          <w:noProof/>
        </w:rPr>
        <w:pict w14:anchorId="74253D5C">
          <v:shape id="_x0000_i1044" type="#_x0000_t75" style="width:425.3pt;height:313.1pt;visibility:visible;mso-wrap-style:square">
            <v:imagedata r:id="rId50" o:title=""/>
          </v:shape>
        </w:pict>
      </w:r>
    </w:p>
    <w:p w14:paraId="7AED3D92" w14:textId="77777777" w:rsidR="00D42431" w:rsidRPr="002D5D12" w:rsidRDefault="00D42431" w:rsidP="00D42431">
      <w:pPr>
        <w:pStyle w:val="Heading5"/>
      </w:pPr>
      <w:bookmarkStart w:id="167" w:name="section-16"/>
      <w:bookmarkEnd w:id="165"/>
      <w:r w:rsidRPr="002D5D12">
        <w:t>2019–2020</w:t>
      </w:r>
    </w:p>
    <w:p w14:paraId="7A5FF5B5" w14:textId="25DBF289" w:rsidR="00D42431" w:rsidRPr="002D5D12" w:rsidRDefault="00D42431" w:rsidP="00D42431">
      <w:pPr>
        <w:pStyle w:val="BodyText"/>
      </w:pPr>
      <w:r w:rsidRPr="002D5D12">
        <w:t>Between 2019 and 2020, emissions from the Waste sector decreased by 43.8 kt CO</w:t>
      </w:r>
      <w:r w:rsidRPr="002D5D12">
        <w:rPr>
          <w:vertAlign w:val="subscript"/>
        </w:rPr>
        <w:t>2</w:t>
      </w:r>
      <w:r w:rsidRPr="002D5D12">
        <w:t>-e (1.3 per cent). This is largely the result of decreases in CH</w:t>
      </w:r>
      <w:r w:rsidRPr="002D5D12">
        <w:rPr>
          <w:vertAlign w:val="subscript"/>
        </w:rPr>
        <w:t>4</w:t>
      </w:r>
      <w:r w:rsidRPr="002D5D12">
        <w:t xml:space="preserve"> emissions in the </w:t>
      </w:r>
      <w:r w:rsidRPr="002D5D12">
        <w:rPr>
          <w:i/>
          <w:iCs/>
        </w:rPr>
        <w:t>Solid waste disposal</w:t>
      </w:r>
      <w:r w:rsidR="00734B9C">
        <w:t> </w:t>
      </w:r>
      <w:r w:rsidRPr="002D5D12">
        <w:t>category due to changes in the composition of waste disposed to municipal landfills.</w:t>
      </w:r>
    </w:p>
    <w:bookmarkEnd w:id="163"/>
    <w:bookmarkEnd w:id="167"/>
    <w:p w14:paraId="4E6221B4" w14:textId="77777777" w:rsidR="00D42431" w:rsidRPr="002D5D12" w:rsidRDefault="00D42431" w:rsidP="00D42431">
      <w:pPr>
        <w:pStyle w:val="Heading4"/>
      </w:pPr>
      <w:r w:rsidRPr="002D5D12">
        <w:t>Other sector (Tokelau)</w:t>
      </w:r>
    </w:p>
    <w:p w14:paraId="25B3E776" w14:textId="4195F31F" w:rsidR="00D42431" w:rsidRPr="002D5D12" w:rsidRDefault="00D42431" w:rsidP="00D42431">
      <w:pPr>
        <w:pStyle w:val="BodyText"/>
      </w:pPr>
      <w:r w:rsidRPr="002D5D12">
        <w:t xml:space="preserve">Beginning with the 2019 submission, New Zealand’s national inventory includes emissions from Tokelau, which is an overseas dependent territory of New Zealand. Table 2.2.2 shows the contribution of emissions from Tokelau. Generally, in New Zealand’s inventory, net and gross emissions are reported as a total of emissions from New Zealand’s mainland territory, plus </w:t>
      </w:r>
      <w:r w:rsidRPr="002D5D12">
        <w:lastRenderedPageBreak/>
        <w:t>emissions from Tokelau where applicable. Because emissions from Tokelau are small, and the</w:t>
      </w:r>
      <w:r w:rsidR="00734B9C">
        <w:t> </w:t>
      </w:r>
      <w:r w:rsidRPr="002D5D12">
        <w:t>methodology used varies greatly between Tokelau’s inventory and the inventory for New</w:t>
      </w:r>
      <w:r w:rsidR="00734B9C">
        <w:t> </w:t>
      </w:r>
      <w:r w:rsidRPr="002D5D12">
        <w:t>Zealand’s mainland territory, emissions from Tokelau are reported in the Other sector. Methodological issues for Tokelau are detailed in chapter 8, separately from the sectoral chapters that focus on methods for New Zealand’s mainland territory only. The tables in annex 7 provide common reporting format tables of time series for emissions and activity data, and information on methods and emission factors for each sector and category contributing to the gross emissions from Tokelau.</w:t>
      </w:r>
    </w:p>
    <w:p w14:paraId="01C35105" w14:textId="77777777" w:rsidR="00D42431" w:rsidRPr="002D5D12" w:rsidRDefault="00D42431" w:rsidP="00D42431">
      <w:pPr>
        <w:pStyle w:val="BodyText"/>
      </w:pPr>
      <w:r w:rsidRPr="002D5D12">
        <w:t>Due to its small land area, small population and absence of industry, Tokelau has a very low impact on the environment and emits very small amounts of GHGs. In relative terms, emissions have increased overall since 1990, due to increasing per capita consumption despite a decrease in population. Tokelau produces mainly CO</w:t>
      </w:r>
      <w:r w:rsidRPr="002D5D12">
        <w:rPr>
          <w:vertAlign w:val="subscript"/>
        </w:rPr>
        <w:t>2</w:t>
      </w:r>
      <w:r w:rsidRPr="002D5D12">
        <w:t xml:space="preserve"> emissions (57.9 per cent) and CH</w:t>
      </w:r>
      <w:r w:rsidRPr="002D5D12">
        <w:rPr>
          <w:vertAlign w:val="subscript"/>
        </w:rPr>
        <w:t>4</w:t>
      </w:r>
      <w:r w:rsidRPr="002D5D12">
        <w:t xml:space="preserve"> emissions (35.3 per cent) followed by HFCs (5.6 per cent) and N</w:t>
      </w:r>
      <w:r w:rsidRPr="002D5D12">
        <w:rPr>
          <w:vertAlign w:val="subscript"/>
        </w:rPr>
        <w:t>2</w:t>
      </w:r>
      <w:r w:rsidRPr="002D5D12">
        <w:t>O emissions (1.2 per cent). Emissions from HFCs are largely coming from the use of domestic fridges and freezers.</w:t>
      </w:r>
    </w:p>
    <w:p w14:paraId="3D07D44E" w14:textId="77777777" w:rsidR="00D42431" w:rsidRPr="002D5D12" w:rsidRDefault="00D42431" w:rsidP="00F20EBD">
      <w:pPr>
        <w:pStyle w:val="Table"/>
      </w:pPr>
      <w:bookmarkStart w:id="168" w:name="_Toc99659209"/>
      <w:r w:rsidRPr="002D5D12">
        <w:t>Table 2.2.2</w:t>
      </w:r>
      <w:r w:rsidRPr="002D5D12">
        <w:tab/>
        <w:t>Emissions from Tokelau</w:t>
      </w:r>
      <w:bookmarkEnd w:id="168"/>
    </w:p>
    <w:tbl>
      <w:tblPr>
        <w:tblW w:w="8505" w:type="dxa"/>
        <w:tblInd w:w="113" w:type="dxa"/>
        <w:tblBorders>
          <w:top w:val="single" w:sz="4" w:space="0" w:color="1B556B"/>
          <w:bottom w:val="single" w:sz="4" w:space="0" w:color="1B556B"/>
          <w:insideH w:val="single" w:sz="4" w:space="0" w:color="1B556B"/>
        </w:tblBorders>
        <w:tblLayout w:type="fixed"/>
        <w:tblCellMar>
          <w:left w:w="85" w:type="dxa"/>
          <w:right w:w="85" w:type="dxa"/>
        </w:tblCellMar>
        <w:tblLook w:val="0420" w:firstRow="1" w:lastRow="0" w:firstColumn="0" w:lastColumn="0" w:noHBand="0" w:noVBand="1"/>
      </w:tblPr>
      <w:tblGrid>
        <w:gridCol w:w="1827"/>
        <w:gridCol w:w="571"/>
        <w:gridCol w:w="571"/>
        <w:gridCol w:w="1427"/>
        <w:gridCol w:w="1427"/>
        <w:gridCol w:w="1255"/>
        <w:gridCol w:w="1427"/>
      </w:tblGrid>
      <w:tr w:rsidR="00D42431" w:rsidRPr="002D5D12" w14:paraId="47519682" w14:textId="77777777" w:rsidTr="00202DEE">
        <w:trPr>
          <w:cantSplit/>
          <w:tblHeader/>
        </w:trPr>
        <w:tc>
          <w:tcPr>
            <w:tcW w:w="1814" w:type="dxa"/>
            <w:shd w:val="clear" w:color="auto" w:fill="1B556B"/>
            <w:tcMar>
              <w:top w:w="0" w:type="dxa"/>
              <w:left w:w="85" w:type="dxa"/>
              <w:bottom w:w="0" w:type="dxa"/>
              <w:right w:w="85" w:type="dxa"/>
            </w:tcMar>
            <w:vAlign w:val="bottom"/>
          </w:tcPr>
          <w:p w14:paraId="7068839C" w14:textId="77777777" w:rsidR="00D42431" w:rsidRPr="00D42431" w:rsidRDefault="00D42431" w:rsidP="00202DEE">
            <w:pPr>
              <w:pStyle w:val="TableTextBold"/>
              <w:rPr>
                <w:noProof w:val="0"/>
                <w:color w:val="FFFFFF"/>
              </w:rPr>
            </w:pPr>
            <w:r w:rsidRPr="00D42431">
              <w:rPr>
                <w:rFonts w:eastAsia="Calibri"/>
                <w:noProof w:val="0"/>
                <w:color w:val="FFFFFF"/>
              </w:rPr>
              <w:t>Sector</w:t>
            </w:r>
          </w:p>
        </w:tc>
        <w:tc>
          <w:tcPr>
            <w:tcW w:w="567" w:type="dxa"/>
            <w:shd w:val="clear" w:color="auto" w:fill="1B556B"/>
            <w:tcMar>
              <w:top w:w="0" w:type="dxa"/>
              <w:left w:w="85" w:type="dxa"/>
              <w:bottom w:w="0" w:type="dxa"/>
              <w:right w:w="85" w:type="dxa"/>
            </w:tcMar>
            <w:vAlign w:val="bottom"/>
          </w:tcPr>
          <w:p w14:paraId="748DEF41" w14:textId="77777777" w:rsidR="00D42431" w:rsidRPr="00D42431" w:rsidRDefault="00D42431" w:rsidP="00202DEE">
            <w:pPr>
              <w:pStyle w:val="TableTextBold"/>
              <w:jc w:val="right"/>
              <w:rPr>
                <w:noProof w:val="0"/>
                <w:color w:val="FFFFFF"/>
              </w:rPr>
            </w:pPr>
            <w:r w:rsidRPr="00D42431">
              <w:rPr>
                <w:rFonts w:eastAsia="Calibri"/>
                <w:noProof w:val="0"/>
                <w:color w:val="FFFFFF"/>
              </w:rPr>
              <w:t>1990</w:t>
            </w:r>
          </w:p>
        </w:tc>
        <w:tc>
          <w:tcPr>
            <w:tcW w:w="567" w:type="dxa"/>
            <w:shd w:val="clear" w:color="auto" w:fill="1B556B"/>
            <w:tcMar>
              <w:top w:w="0" w:type="dxa"/>
              <w:left w:w="85" w:type="dxa"/>
              <w:bottom w:w="0" w:type="dxa"/>
              <w:right w:w="85" w:type="dxa"/>
            </w:tcMar>
            <w:vAlign w:val="bottom"/>
          </w:tcPr>
          <w:p w14:paraId="04208CEC" w14:textId="77777777" w:rsidR="00D42431" w:rsidRPr="00D42431" w:rsidRDefault="00D42431" w:rsidP="00202DEE">
            <w:pPr>
              <w:pStyle w:val="TableTextBold"/>
              <w:jc w:val="right"/>
              <w:rPr>
                <w:noProof w:val="0"/>
                <w:color w:val="FFFFFF"/>
              </w:rPr>
            </w:pPr>
            <w:r w:rsidRPr="00D42431">
              <w:rPr>
                <w:rFonts w:eastAsia="Calibri"/>
                <w:noProof w:val="0"/>
                <w:color w:val="FFFFFF"/>
              </w:rPr>
              <w:t>2020</w:t>
            </w:r>
          </w:p>
        </w:tc>
        <w:tc>
          <w:tcPr>
            <w:tcW w:w="1418" w:type="dxa"/>
            <w:shd w:val="clear" w:color="auto" w:fill="1B556B"/>
            <w:tcMar>
              <w:top w:w="0" w:type="dxa"/>
              <w:left w:w="85" w:type="dxa"/>
              <w:bottom w:w="0" w:type="dxa"/>
              <w:right w:w="85" w:type="dxa"/>
            </w:tcMar>
            <w:vAlign w:val="bottom"/>
          </w:tcPr>
          <w:p w14:paraId="6FCAFA65" w14:textId="77777777" w:rsidR="00D42431" w:rsidRPr="00D42431" w:rsidRDefault="00D42431" w:rsidP="00202DEE">
            <w:pPr>
              <w:pStyle w:val="TableTextBold"/>
              <w:jc w:val="right"/>
              <w:rPr>
                <w:noProof w:val="0"/>
                <w:color w:val="FFFFFF"/>
              </w:rPr>
            </w:pPr>
            <w:r w:rsidRPr="00D42431">
              <w:rPr>
                <w:rFonts w:eastAsia="Calibri"/>
                <w:noProof w:val="0"/>
                <w:color w:val="FFFFFF"/>
              </w:rPr>
              <w:t xml:space="preserve">Change from 1990 </w:t>
            </w:r>
            <w:r w:rsidRPr="00D42431">
              <w:rPr>
                <w:rFonts w:eastAsia="Calibri"/>
                <w:noProof w:val="0"/>
                <w:color w:val="FFFFFF"/>
              </w:rPr>
              <w:br/>
              <w:t>(kt CO</w:t>
            </w:r>
            <w:r w:rsidRPr="00D42431">
              <w:rPr>
                <w:rFonts w:eastAsia="Calibri"/>
                <w:noProof w:val="0"/>
                <w:color w:val="FFFFFF"/>
                <w:vertAlign w:val="subscript"/>
              </w:rPr>
              <w:t>2</w:t>
            </w:r>
            <w:r w:rsidRPr="00D42431">
              <w:rPr>
                <w:rFonts w:eastAsia="Calibri"/>
                <w:noProof w:val="0"/>
                <w:color w:val="FFFFFF"/>
              </w:rPr>
              <w:t>-equivalent)</w:t>
            </w:r>
          </w:p>
        </w:tc>
        <w:tc>
          <w:tcPr>
            <w:tcW w:w="1418" w:type="dxa"/>
            <w:shd w:val="clear" w:color="auto" w:fill="1B556B"/>
            <w:tcMar>
              <w:top w:w="0" w:type="dxa"/>
              <w:left w:w="85" w:type="dxa"/>
              <w:bottom w:w="0" w:type="dxa"/>
              <w:right w:w="85" w:type="dxa"/>
            </w:tcMar>
            <w:vAlign w:val="bottom"/>
          </w:tcPr>
          <w:p w14:paraId="58F4EB87" w14:textId="77777777" w:rsidR="00D42431" w:rsidRPr="00D42431" w:rsidRDefault="00D42431" w:rsidP="00202DEE">
            <w:pPr>
              <w:pStyle w:val="TableTextBold"/>
              <w:jc w:val="right"/>
              <w:rPr>
                <w:noProof w:val="0"/>
                <w:color w:val="FFFFFF"/>
              </w:rPr>
            </w:pPr>
            <w:r w:rsidRPr="00D42431">
              <w:rPr>
                <w:rFonts w:eastAsia="Calibri"/>
                <w:noProof w:val="0"/>
                <w:color w:val="FFFFFF"/>
              </w:rPr>
              <w:t>Change from 1990 (%)</w:t>
            </w:r>
          </w:p>
        </w:tc>
        <w:tc>
          <w:tcPr>
            <w:tcW w:w="1247" w:type="dxa"/>
            <w:shd w:val="clear" w:color="auto" w:fill="1B556B"/>
            <w:tcMar>
              <w:top w:w="0" w:type="dxa"/>
              <w:left w:w="85" w:type="dxa"/>
              <w:bottom w:w="0" w:type="dxa"/>
              <w:right w:w="85" w:type="dxa"/>
            </w:tcMar>
            <w:vAlign w:val="bottom"/>
          </w:tcPr>
          <w:p w14:paraId="46FC772E" w14:textId="77777777" w:rsidR="00D42431" w:rsidRPr="00D42431" w:rsidRDefault="00D42431" w:rsidP="00202DEE">
            <w:pPr>
              <w:pStyle w:val="TableTextBold"/>
              <w:jc w:val="right"/>
              <w:rPr>
                <w:noProof w:val="0"/>
                <w:color w:val="FFFFFF"/>
              </w:rPr>
            </w:pPr>
            <w:r w:rsidRPr="00D42431">
              <w:rPr>
                <w:rFonts w:eastAsia="Calibri"/>
                <w:noProof w:val="0"/>
                <w:color w:val="FFFFFF"/>
              </w:rPr>
              <w:t>Contribution to gross for Tokelau (%)</w:t>
            </w:r>
          </w:p>
        </w:tc>
        <w:tc>
          <w:tcPr>
            <w:tcW w:w="1418" w:type="dxa"/>
            <w:shd w:val="clear" w:color="auto" w:fill="1B556B"/>
            <w:tcMar>
              <w:top w:w="0" w:type="dxa"/>
              <w:left w:w="85" w:type="dxa"/>
              <w:bottom w:w="0" w:type="dxa"/>
              <w:right w:w="85" w:type="dxa"/>
            </w:tcMar>
            <w:vAlign w:val="bottom"/>
          </w:tcPr>
          <w:p w14:paraId="5E74F115" w14:textId="77777777" w:rsidR="00D42431" w:rsidRPr="00D42431" w:rsidRDefault="00D42431" w:rsidP="00202DEE">
            <w:pPr>
              <w:pStyle w:val="TableTextBold"/>
              <w:jc w:val="right"/>
              <w:rPr>
                <w:noProof w:val="0"/>
                <w:color w:val="FFFFFF"/>
              </w:rPr>
            </w:pPr>
            <w:r w:rsidRPr="00D42431">
              <w:rPr>
                <w:rFonts w:eastAsia="Calibri"/>
                <w:noProof w:val="0"/>
                <w:color w:val="FFFFFF"/>
              </w:rPr>
              <w:t xml:space="preserve">Contribution to gross NZ </w:t>
            </w:r>
            <w:r w:rsidRPr="00D42431">
              <w:rPr>
                <w:rFonts w:eastAsia="Calibri"/>
                <w:noProof w:val="0"/>
                <w:color w:val="FFFFFF"/>
              </w:rPr>
              <w:br/>
              <w:t>(incl Tokelau) (%)</w:t>
            </w:r>
          </w:p>
        </w:tc>
      </w:tr>
      <w:tr w:rsidR="00D42431" w:rsidRPr="002D5D12" w14:paraId="3531A4F4" w14:textId="77777777" w:rsidTr="00202DEE">
        <w:trPr>
          <w:cantSplit/>
        </w:trPr>
        <w:tc>
          <w:tcPr>
            <w:tcW w:w="1814" w:type="dxa"/>
            <w:shd w:val="clear" w:color="auto" w:fill="FFFFFF"/>
            <w:tcMar>
              <w:top w:w="0" w:type="dxa"/>
              <w:left w:w="85" w:type="dxa"/>
              <w:bottom w:w="0" w:type="dxa"/>
              <w:right w:w="85" w:type="dxa"/>
            </w:tcMar>
            <w:vAlign w:val="center"/>
          </w:tcPr>
          <w:p w14:paraId="2007D7F0" w14:textId="77777777" w:rsidR="00D42431" w:rsidRPr="002D5D12" w:rsidRDefault="00D42431" w:rsidP="00202DEE">
            <w:pPr>
              <w:pStyle w:val="TableText"/>
            </w:pPr>
            <w:r w:rsidRPr="002D5D12">
              <w:rPr>
                <w:rFonts w:eastAsia="Calibri"/>
              </w:rPr>
              <w:t>Energy for Tokelau</w:t>
            </w:r>
          </w:p>
        </w:tc>
        <w:tc>
          <w:tcPr>
            <w:tcW w:w="567" w:type="dxa"/>
            <w:shd w:val="clear" w:color="auto" w:fill="FFFFFF"/>
            <w:tcMar>
              <w:top w:w="0" w:type="dxa"/>
              <w:left w:w="85" w:type="dxa"/>
              <w:bottom w:w="0" w:type="dxa"/>
              <w:right w:w="85" w:type="dxa"/>
            </w:tcMar>
            <w:vAlign w:val="center"/>
          </w:tcPr>
          <w:p w14:paraId="67F3DC70" w14:textId="77777777" w:rsidR="00D42431" w:rsidRPr="002D5D12" w:rsidRDefault="00D42431" w:rsidP="00202DEE">
            <w:pPr>
              <w:pStyle w:val="TableText"/>
              <w:jc w:val="right"/>
            </w:pPr>
            <w:r w:rsidRPr="002D5D12">
              <w:rPr>
                <w:rFonts w:eastAsia="Calibri"/>
              </w:rPr>
              <w:t>1.26</w:t>
            </w:r>
          </w:p>
        </w:tc>
        <w:tc>
          <w:tcPr>
            <w:tcW w:w="567" w:type="dxa"/>
            <w:shd w:val="clear" w:color="auto" w:fill="FFFFFF"/>
            <w:tcMar>
              <w:top w:w="0" w:type="dxa"/>
              <w:left w:w="85" w:type="dxa"/>
              <w:bottom w:w="0" w:type="dxa"/>
              <w:right w:w="85" w:type="dxa"/>
            </w:tcMar>
            <w:vAlign w:val="center"/>
          </w:tcPr>
          <w:p w14:paraId="115CB51E" w14:textId="77777777" w:rsidR="00D42431" w:rsidRPr="002D5D12" w:rsidRDefault="00D42431" w:rsidP="00202DEE">
            <w:pPr>
              <w:pStyle w:val="TableText"/>
              <w:jc w:val="right"/>
            </w:pPr>
            <w:r w:rsidRPr="002D5D12">
              <w:rPr>
                <w:rFonts w:eastAsia="Calibri"/>
              </w:rPr>
              <w:t>2.40</w:t>
            </w:r>
          </w:p>
        </w:tc>
        <w:tc>
          <w:tcPr>
            <w:tcW w:w="1418" w:type="dxa"/>
            <w:shd w:val="clear" w:color="auto" w:fill="FFFFFF"/>
            <w:tcMar>
              <w:top w:w="0" w:type="dxa"/>
              <w:left w:w="85" w:type="dxa"/>
              <w:bottom w:w="0" w:type="dxa"/>
              <w:right w:w="85" w:type="dxa"/>
            </w:tcMar>
            <w:vAlign w:val="center"/>
          </w:tcPr>
          <w:p w14:paraId="2C9D001D" w14:textId="77777777" w:rsidR="00D42431" w:rsidRPr="002D5D12" w:rsidRDefault="00D42431" w:rsidP="00202DEE">
            <w:pPr>
              <w:pStyle w:val="TableText"/>
              <w:jc w:val="right"/>
            </w:pPr>
            <w:r w:rsidRPr="002D5D12">
              <w:rPr>
                <w:rFonts w:eastAsia="Calibri"/>
              </w:rPr>
              <w:t>1.14</w:t>
            </w:r>
          </w:p>
        </w:tc>
        <w:tc>
          <w:tcPr>
            <w:tcW w:w="1418" w:type="dxa"/>
            <w:shd w:val="clear" w:color="auto" w:fill="FFFFFF"/>
            <w:tcMar>
              <w:top w:w="0" w:type="dxa"/>
              <w:left w:w="85" w:type="dxa"/>
              <w:bottom w:w="0" w:type="dxa"/>
              <w:right w:w="85" w:type="dxa"/>
            </w:tcMar>
            <w:vAlign w:val="center"/>
          </w:tcPr>
          <w:p w14:paraId="1E1A2590" w14:textId="77777777" w:rsidR="00D42431" w:rsidRPr="002D5D12" w:rsidRDefault="00D42431" w:rsidP="00202DEE">
            <w:pPr>
              <w:pStyle w:val="TableText"/>
              <w:jc w:val="right"/>
            </w:pPr>
            <w:r w:rsidRPr="002D5D12">
              <w:rPr>
                <w:rFonts w:eastAsia="Calibri"/>
              </w:rPr>
              <w:t>90.22</w:t>
            </w:r>
          </w:p>
        </w:tc>
        <w:tc>
          <w:tcPr>
            <w:tcW w:w="1247" w:type="dxa"/>
            <w:shd w:val="clear" w:color="auto" w:fill="FFFFFF"/>
            <w:tcMar>
              <w:top w:w="0" w:type="dxa"/>
              <w:left w:w="85" w:type="dxa"/>
              <w:bottom w:w="0" w:type="dxa"/>
              <w:right w:w="85" w:type="dxa"/>
            </w:tcMar>
            <w:vAlign w:val="center"/>
          </w:tcPr>
          <w:p w14:paraId="6C1FD4A9" w14:textId="77777777" w:rsidR="00D42431" w:rsidRPr="002D5D12" w:rsidRDefault="00D42431" w:rsidP="00202DEE">
            <w:pPr>
              <w:pStyle w:val="TableText"/>
              <w:jc w:val="right"/>
            </w:pPr>
            <w:r w:rsidRPr="002D5D12">
              <w:rPr>
                <w:rFonts w:eastAsia="Calibri"/>
              </w:rPr>
              <w:t>57.53</w:t>
            </w:r>
          </w:p>
        </w:tc>
        <w:tc>
          <w:tcPr>
            <w:tcW w:w="1418" w:type="dxa"/>
            <w:shd w:val="clear" w:color="auto" w:fill="FFFFFF"/>
            <w:tcMar>
              <w:top w:w="0" w:type="dxa"/>
              <w:left w:w="85" w:type="dxa"/>
              <w:bottom w:w="0" w:type="dxa"/>
              <w:right w:w="85" w:type="dxa"/>
            </w:tcMar>
            <w:vAlign w:val="center"/>
          </w:tcPr>
          <w:p w14:paraId="1C2E3EF3" w14:textId="77777777" w:rsidR="00D42431" w:rsidRPr="002D5D12" w:rsidRDefault="00D42431" w:rsidP="00202DEE">
            <w:pPr>
              <w:pStyle w:val="TableText"/>
              <w:jc w:val="right"/>
            </w:pPr>
            <w:r w:rsidRPr="002D5D12">
              <w:rPr>
                <w:rFonts w:eastAsia="Calibri"/>
              </w:rPr>
              <w:t>0.003</w:t>
            </w:r>
          </w:p>
        </w:tc>
      </w:tr>
      <w:tr w:rsidR="00D42431" w:rsidRPr="002D5D12" w14:paraId="1754F592" w14:textId="77777777" w:rsidTr="00202DEE">
        <w:trPr>
          <w:cantSplit/>
        </w:trPr>
        <w:tc>
          <w:tcPr>
            <w:tcW w:w="1814" w:type="dxa"/>
            <w:shd w:val="clear" w:color="auto" w:fill="FFFFFF"/>
            <w:tcMar>
              <w:top w:w="0" w:type="dxa"/>
              <w:left w:w="85" w:type="dxa"/>
              <w:bottom w:w="0" w:type="dxa"/>
              <w:right w:w="85" w:type="dxa"/>
            </w:tcMar>
            <w:vAlign w:val="center"/>
          </w:tcPr>
          <w:p w14:paraId="4C91F2B7" w14:textId="77777777" w:rsidR="00D42431" w:rsidRPr="002D5D12" w:rsidRDefault="00D42431" w:rsidP="00202DEE">
            <w:pPr>
              <w:pStyle w:val="TableText"/>
            </w:pPr>
            <w:r w:rsidRPr="002D5D12">
              <w:rPr>
                <w:rFonts w:eastAsia="Calibri"/>
              </w:rPr>
              <w:t>IPPU for Tokelau</w:t>
            </w:r>
          </w:p>
        </w:tc>
        <w:tc>
          <w:tcPr>
            <w:tcW w:w="567" w:type="dxa"/>
            <w:shd w:val="clear" w:color="auto" w:fill="FFFFFF"/>
            <w:tcMar>
              <w:top w:w="0" w:type="dxa"/>
              <w:left w:w="85" w:type="dxa"/>
              <w:bottom w:w="0" w:type="dxa"/>
              <w:right w:w="85" w:type="dxa"/>
            </w:tcMar>
            <w:vAlign w:val="center"/>
          </w:tcPr>
          <w:p w14:paraId="16193AAA" w14:textId="77777777" w:rsidR="00D42431" w:rsidRPr="002D5D12" w:rsidRDefault="00D42431" w:rsidP="00202DEE">
            <w:pPr>
              <w:pStyle w:val="TableText"/>
              <w:jc w:val="right"/>
            </w:pPr>
            <w:r w:rsidRPr="002D5D12">
              <w:rPr>
                <w:rFonts w:eastAsia="Calibri"/>
              </w:rPr>
              <w:t>0.05</w:t>
            </w:r>
          </w:p>
        </w:tc>
        <w:tc>
          <w:tcPr>
            <w:tcW w:w="567" w:type="dxa"/>
            <w:shd w:val="clear" w:color="auto" w:fill="FFFFFF"/>
            <w:tcMar>
              <w:top w:w="0" w:type="dxa"/>
              <w:left w:w="85" w:type="dxa"/>
              <w:bottom w:w="0" w:type="dxa"/>
              <w:right w:w="85" w:type="dxa"/>
            </w:tcMar>
            <w:vAlign w:val="center"/>
          </w:tcPr>
          <w:p w14:paraId="60EC399D" w14:textId="77777777" w:rsidR="00D42431" w:rsidRPr="002D5D12" w:rsidRDefault="00D42431" w:rsidP="00202DEE">
            <w:pPr>
              <w:pStyle w:val="TableText"/>
              <w:jc w:val="right"/>
            </w:pPr>
            <w:r w:rsidRPr="002D5D12">
              <w:rPr>
                <w:rFonts w:eastAsia="Calibri"/>
              </w:rPr>
              <w:t>0.26</w:t>
            </w:r>
          </w:p>
        </w:tc>
        <w:tc>
          <w:tcPr>
            <w:tcW w:w="1418" w:type="dxa"/>
            <w:shd w:val="clear" w:color="auto" w:fill="FFFFFF"/>
            <w:tcMar>
              <w:top w:w="0" w:type="dxa"/>
              <w:left w:w="85" w:type="dxa"/>
              <w:bottom w:w="0" w:type="dxa"/>
              <w:right w:w="85" w:type="dxa"/>
            </w:tcMar>
            <w:vAlign w:val="center"/>
          </w:tcPr>
          <w:p w14:paraId="616B1C2B" w14:textId="77777777" w:rsidR="00D42431" w:rsidRPr="002D5D12" w:rsidRDefault="00D42431" w:rsidP="00202DEE">
            <w:pPr>
              <w:pStyle w:val="TableText"/>
              <w:jc w:val="right"/>
            </w:pPr>
            <w:r w:rsidRPr="002D5D12">
              <w:rPr>
                <w:rFonts w:eastAsia="Calibri"/>
              </w:rPr>
              <w:t>0.21</w:t>
            </w:r>
          </w:p>
        </w:tc>
        <w:tc>
          <w:tcPr>
            <w:tcW w:w="1418" w:type="dxa"/>
            <w:shd w:val="clear" w:color="auto" w:fill="FFFFFF"/>
            <w:tcMar>
              <w:top w:w="0" w:type="dxa"/>
              <w:left w:w="85" w:type="dxa"/>
              <w:bottom w:w="0" w:type="dxa"/>
              <w:right w:w="85" w:type="dxa"/>
            </w:tcMar>
            <w:vAlign w:val="center"/>
          </w:tcPr>
          <w:p w14:paraId="6524792E" w14:textId="77777777" w:rsidR="00D42431" w:rsidRPr="002D5D12" w:rsidRDefault="00D42431" w:rsidP="00202DEE">
            <w:pPr>
              <w:pStyle w:val="TableText"/>
              <w:jc w:val="right"/>
            </w:pPr>
            <w:r w:rsidRPr="002D5D12">
              <w:rPr>
                <w:rFonts w:eastAsia="Calibri"/>
              </w:rPr>
              <w:t>441.92</w:t>
            </w:r>
          </w:p>
        </w:tc>
        <w:tc>
          <w:tcPr>
            <w:tcW w:w="1247" w:type="dxa"/>
            <w:shd w:val="clear" w:color="auto" w:fill="FFFFFF"/>
            <w:tcMar>
              <w:top w:w="0" w:type="dxa"/>
              <w:left w:w="85" w:type="dxa"/>
              <w:bottom w:w="0" w:type="dxa"/>
              <w:right w:w="85" w:type="dxa"/>
            </w:tcMar>
            <w:vAlign w:val="center"/>
          </w:tcPr>
          <w:p w14:paraId="4349D891" w14:textId="77777777" w:rsidR="00D42431" w:rsidRPr="002D5D12" w:rsidRDefault="00D42431" w:rsidP="00202DEE">
            <w:pPr>
              <w:pStyle w:val="TableText"/>
              <w:jc w:val="right"/>
            </w:pPr>
            <w:r w:rsidRPr="002D5D12">
              <w:rPr>
                <w:rFonts w:eastAsia="Calibri"/>
              </w:rPr>
              <w:t>6.11</w:t>
            </w:r>
          </w:p>
        </w:tc>
        <w:tc>
          <w:tcPr>
            <w:tcW w:w="1418" w:type="dxa"/>
            <w:shd w:val="clear" w:color="auto" w:fill="FFFFFF"/>
            <w:tcMar>
              <w:top w:w="0" w:type="dxa"/>
              <w:left w:w="85" w:type="dxa"/>
              <w:bottom w:w="0" w:type="dxa"/>
              <w:right w:w="85" w:type="dxa"/>
            </w:tcMar>
            <w:vAlign w:val="center"/>
          </w:tcPr>
          <w:p w14:paraId="0305FA03" w14:textId="77777777" w:rsidR="00D42431" w:rsidRPr="002D5D12" w:rsidRDefault="00D42431" w:rsidP="00202DEE">
            <w:pPr>
              <w:pStyle w:val="TableText"/>
              <w:jc w:val="right"/>
            </w:pPr>
            <w:r w:rsidRPr="002D5D12">
              <w:rPr>
                <w:rFonts w:eastAsia="Calibri"/>
              </w:rPr>
              <w:t>0.000</w:t>
            </w:r>
          </w:p>
        </w:tc>
      </w:tr>
      <w:tr w:rsidR="00D42431" w:rsidRPr="002D5D12" w14:paraId="179DCE7E" w14:textId="77777777" w:rsidTr="00202DEE">
        <w:trPr>
          <w:cantSplit/>
        </w:trPr>
        <w:tc>
          <w:tcPr>
            <w:tcW w:w="1814" w:type="dxa"/>
            <w:shd w:val="clear" w:color="auto" w:fill="FFFFFF"/>
            <w:tcMar>
              <w:top w:w="0" w:type="dxa"/>
              <w:left w:w="85" w:type="dxa"/>
              <w:bottom w:w="0" w:type="dxa"/>
              <w:right w:w="85" w:type="dxa"/>
            </w:tcMar>
            <w:vAlign w:val="center"/>
          </w:tcPr>
          <w:p w14:paraId="315DA986" w14:textId="77777777" w:rsidR="00D42431" w:rsidRPr="002D5D12" w:rsidRDefault="00D42431" w:rsidP="00202DEE">
            <w:pPr>
              <w:pStyle w:val="TableText"/>
            </w:pPr>
            <w:r w:rsidRPr="002D5D12">
              <w:rPr>
                <w:rFonts w:eastAsia="Calibri"/>
              </w:rPr>
              <w:t>Agriculture for Tokelau</w:t>
            </w:r>
          </w:p>
        </w:tc>
        <w:tc>
          <w:tcPr>
            <w:tcW w:w="567" w:type="dxa"/>
            <w:shd w:val="clear" w:color="auto" w:fill="FFFFFF"/>
            <w:tcMar>
              <w:top w:w="0" w:type="dxa"/>
              <w:left w:w="85" w:type="dxa"/>
              <w:bottom w:w="0" w:type="dxa"/>
              <w:right w:w="85" w:type="dxa"/>
            </w:tcMar>
            <w:vAlign w:val="center"/>
          </w:tcPr>
          <w:p w14:paraId="713D4F18" w14:textId="77777777" w:rsidR="00D42431" w:rsidRPr="002D5D12" w:rsidRDefault="00D42431" w:rsidP="00202DEE">
            <w:pPr>
              <w:pStyle w:val="TableText"/>
              <w:jc w:val="right"/>
            </w:pPr>
            <w:r w:rsidRPr="002D5D12">
              <w:rPr>
                <w:rFonts w:eastAsia="Calibri"/>
              </w:rPr>
              <w:t>1.15</w:t>
            </w:r>
          </w:p>
        </w:tc>
        <w:tc>
          <w:tcPr>
            <w:tcW w:w="567" w:type="dxa"/>
            <w:shd w:val="clear" w:color="auto" w:fill="FFFFFF"/>
            <w:tcMar>
              <w:top w:w="0" w:type="dxa"/>
              <w:left w:w="85" w:type="dxa"/>
              <w:bottom w:w="0" w:type="dxa"/>
              <w:right w:w="85" w:type="dxa"/>
            </w:tcMar>
            <w:vAlign w:val="center"/>
          </w:tcPr>
          <w:p w14:paraId="58104E9E" w14:textId="77777777" w:rsidR="00D42431" w:rsidRPr="002D5D12" w:rsidRDefault="00D42431" w:rsidP="00202DEE">
            <w:pPr>
              <w:pStyle w:val="TableText"/>
              <w:jc w:val="right"/>
            </w:pPr>
            <w:r w:rsidRPr="002D5D12">
              <w:rPr>
                <w:rFonts w:eastAsia="Calibri"/>
              </w:rPr>
              <w:t>0.82</w:t>
            </w:r>
          </w:p>
        </w:tc>
        <w:tc>
          <w:tcPr>
            <w:tcW w:w="1418" w:type="dxa"/>
            <w:shd w:val="clear" w:color="auto" w:fill="FFFFFF"/>
            <w:tcMar>
              <w:top w:w="0" w:type="dxa"/>
              <w:left w:w="85" w:type="dxa"/>
              <w:bottom w:w="0" w:type="dxa"/>
              <w:right w:w="85" w:type="dxa"/>
            </w:tcMar>
            <w:vAlign w:val="center"/>
          </w:tcPr>
          <w:p w14:paraId="04A4E9D4" w14:textId="77777777" w:rsidR="00D42431" w:rsidRPr="002D5D12" w:rsidRDefault="00D42431" w:rsidP="00202DEE">
            <w:pPr>
              <w:pStyle w:val="TableText"/>
              <w:jc w:val="right"/>
            </w:pPr>
            <w:r w:rsidRPr="002D5D12">
              <w:rPr>
                <w:rFonts w:eastAsia="Calibri"/>
              </w:rPr>
              <w:t>–0.33</w:t>
            </w:r>
          </w:p>
        </w:tc>
        <w:tc>
          <w:tcPr>
            <w:tcW w:w="1418" w:type="dxa"/>
            <w:shd w:val="clear" w:color="auto" w:fill="FFFFFF"/>
            <w:tcMar>
              <w:top w:w="0" w:type="dxa"/>
              <w:left w:w="85" w:type="dxa"/>
              <w:bottom w:w="0" w:type="dxa"/>
              <w:right w:w="85" w:type="dxa"/>
            </w:tcMar>
            <w:vAlign w:val="center"/>
          </w:tcPr>
          <w:p w14:paraId="45AB291B" w14:textId="77777777" w:rsidR="00D42431" w:rsidRPr="002D5D12" w:rsidRDefault="00D42431" w:rsidP="00202DEE">
            <w:pPr>
              <w:pStyle w:val="TableText"/>
              <w:jc w:val="right"/>
            </w:pPr>
            <w:r w:rsidRPr="002D5D12">
              <w:rPr>
                <w:rFonts w:eastAsia="Calibri"/>
              </w:rPr>
              <w:t>–28.29</w:t>
            </w:r>
          </w:p>
        </w:tc>
        <w:tc>
          <w:tcPr>
            <w:tcW w:w="1247" w:type="dxa"/>
            <w:shd w:val="clear" w:color="auto" w:fill="FFFFFF"/>
            <w:tcMar>
              <w:top w:w="0" w:type="dxa"/>
              <w:left w:w="85" w:type="dxa"/>
              <w:bottom w:w="0" w:type="dxa"/>
              <w:right w:w="85" w:type="dxa"/>
            </w:tcMar>
            <w:vAlign w:val="center"/>
          </w:tcPr>
          <w:p w14:paraId="5254C866" w14:textId="77777777" w:rsidR="00D42431" w:rsidRPr="002D5D12" w:rsidRDefault="00D42431" w:rsidP="00202DEE">
            <w:pPr>
              <w:pStyle w:val="TableText"/>
              <w:jc w:val="right"/>
            </w:pPr>
            <w:r w:rsidRPr="002D5D12">
              <w:rPr>
                <w:rFonts w:eastAsia="Calibri"/>
              </w:rPr>
              <w:t>19.72</w:t>
            </w:r>
          </w:p>
        </w:tc>
        <w:tc>
          <w:tcPr>
            <w:tcW w:w="1418" w:type="dxa"/>
            <w:shd w:val="clear" w:color="auto" w:fill="FFFFFF"/>
            <w:tcMar>
              <w:top w:w="0" w:type="dxa"/>
              <w:left w:w="85" w:type="dxa"/>
              <w:bottom w:w="0" w:type="dxa"/>
              <w:right w:w="85" w:type="dxa"/>
            </w:tcMar>
            <w:vAlign w:val="center"/>
          </w:tcPr>
          <w:p w14:paraId="1998D7DC" w14:textId="77777777" w:rsidR="00D42431" w:rsidRPr="002D5D12" w:rsidRDefault="00D42431" w:rsidP="00202DEE">
            <w:pPr>
              <w:pStyle w:val="TableText"/>
              <w:jc w:val="right"/>
            </w:pPr>
            <w:r w:rsidRPr="002D5D12">
              <w:rPr>
                <w:rFonts w:eastAsia="Calibri"/>
              </w:rPr>
              <w:t>0.001</w:t>
            </w:r>
          </w:p>
        </w:tc>
      </w:tr>
      <w:tr w:rsidR="00D42431" w:rsidRPr="002D5D12" w14:paraId="02518CBE" w14:textId="77777777" w:rsidTr="00202DEE">
        <w:trPr>
          <w:cantSplit/>
        </w:trPr>
        <w:tc>
          <w:tcPr>
            <w:tcW w:w="1814" w:type="dxa"/>
            <w:shd w:val="clear" w:color="auto" w:fill="FFFFFF"/>
            <w:tcMar>
              <w:top w:w="0" w:type="dxa"/>
              <w:left w:w="85" w:type="dxa"/>
              <w:bottom w:w="0" w:type="dxa"/>
              <w:right w:w="85" w:type="dxa"/>
            </w:tcMar>
            <w:vAlign w:val="center"/>
          </w:tcPr>
          <w:p w14:paraId="1C077AC3" w14:textId="77777777" w:rsidR="00D42431" w:rsidRPr="002D5D12" w:rsidRDefault="00D42431" w:rsidP="00202DEE">
            <w:pPr>
              <w:pStyle w:val="TableText"/>
            </w:pPr>
            <w:r w:rsidRPr="002D5D12">
              <w:rPr>
                <w:rFonts w:eastAsia="Calibri"/>
              </w:rPr>
              <w:t>Waste for Tokelau</w:t>
            </w:r>
          </w:p>
        </w:tc>
        <w:tc>
          <w:tcPr>
            <w:tcW w:w="567" w:type="dxa"/>
            <w:shd w:val="clear" w:color="auto" w:fill="FFFFFF"/>
            <w:tcMar>
              <w:top w:w="0" w:type="dxa"/>
              <w:left w:w="85" w:type="dxa"/>
              <w:bottom w:w="0" w:type="dxa"/>
              <w:right w:w="85" w:type="dxa"/>
            </w:tcMar>
            <w:vAlign w:val="center"/>
          </w:tcPr>
          <w:p w14:paraId="65FD4D26" w14:textId="77777777" w:rsidR="00D42431" w:rsidRPr="002D5D12" w:rsidRDefault="00D42431" w:rsidP="00202DEE">
            <w:pPr>
              <w:pStyle w:val="TableText"/>
              <w:jc w:val="right"/>
            </w:pPr>
            <w:r w:rsidRPr="002D5D12">
              <w:rPr>
                <w:rFonts w:eastAsia="Calibri"/>
              </w:rPr>
              <w:t>0.71</w:t>
            </w:r>
          </w:p>
        </w:tc>
        <w:tc>
          <w:tcPr>
            <w:tcW w:w="567" w:type="dxa"/>
            <w:shd w:val="clear" w:color="auto" w:fill="FFFFFF"/>
            <w:tcMar>
              <w:top w:w="0" w:type="dxa"/>
              <w:left w:w="85" w:type="dxa"/>
              <w:bottom w:w="0" w:type="dxa"/>
              <w:right w:w="85" w:type="dxa"/>
            </w:tcMar>
            <w:vAlign w:val="center"/>
          </w:tcPr>
          <w:p w14:paraId="4185A17E" w14:textId="77777777" w:rsidR="00D42431" w:rsidRPr="002D5D12" w:rsidRDefault="00D42431" w:rsidP="00202DEE">
            <w:pPr>
              <w:pStyle w:val="TableText"/>
              <w:jc w:val="right"/>
            </w:pPr>
            <w:r w:rsidRPr="002D5D12">
              <w:rPr>
                <w:rFonts w:eastAsia="Calibri"/>
              </w:rPr>
              <w:t>0.70</w:t>
            </w:r>
          </w:p>
        </w:tc>
        <w:tc>
          <w:tcPr>
            <w:tcW w:w="1418" w:type="dxa"/>
            <w:shd w:val="clear" w:color="auto" w:fill="FFFFFF"/>
            <w:tcMar>
              <w:top w:w="0" w:type="dxa"/>
              <w:left w:w="85" w:type="dxa"/>
              <w:bottom w:w="0" w:type="dxa"/>
              <w:right w:w="85" w:type="dxa"/>
            </w:tcMar>
            <w:vAlign w:val="center"/>
          </w:tcPr>
          <w:p w14:paraId="3E912DD3" w14:textId="77777777" w:rsidR="00D42431" w:rsidRPr="002D5D12" w:rsidRDefault="00D42431" w:rsidP="00202DEE">
            <w:pPr>
              <w:pStyle w:val="TableText"/>
              <w:jc w:val="right"/>
            </w:pPr>
            <w:r w:rsidRPr="002D5D12">
              <w:rPr>
                <w:rFonts w:eastAsia="Calibri"/>
              </w:rPr>
              <w:t>–0.01</w:t>
            </w:r>
          </w:p>
        </w:tc>
        <w:tc>
          <w:tcPr>
            <w:tcW w:w="1418" w:type="dxa"/>
            <w:shd w:val="clear" w:color="auto" w:fill="FFFFFF"/>
            <w:tcMar>
              <w:top w:w="0" w:type="dxa"/>
              <w:left w:w="85" w:type="dxa"/>
              <w:bottom w:w="0" w:type="dxa"/>
              <w:right w:w="85" w:type="dxa"/>
            </w:tcMar>
            <w:vAlign w:val="center"/>
          </w:tcPr>
          <w:p w14:paraId="6297C354" w14:textId="77777777" w:rsidR="00D42431" w:rsidRPr="002D5D12" w:rsidRDefault="00D42431" w:rsidP="00202DEE">
            <w:pPr>
              <w:pStyle w:val="TableText"/>
              <w:jc w:val="right"/>
            </w:pPr>
            <w:r w:rsidRPr="002D5D12">
              <w:rPr>
                <w:rFonts w:eastAsia="Calibri"/>
              </w:rPr>
              <w:t>–1.73</w:t>
            </w:r>
          </w:p>
        </w:tc>
        <w:tc>
          <w:tcPr>
            <w:tcW w:w="1247" w:type="dxa"/>
            <w:shd w:val="clear" w:color="auto" w:fill="FFFFFF"/>
            <w:tcMar>
              <w:top w:w="0" w:type="dxa"/>
              <w:left w:w="85" w:type="dxa"/>
              <w:bottom w:w="0" w:type="dxa"/>
              <w:right w:w="85" w:type="dxa"/>
            </w:tcMar>
            <w:vAlign w:val="center"/>
          </w:tcPr>
          <w:p w14:paraId="732D58E3" w14:textId="77777777" w:rsidR="00D42431" w:rsidRPr="002D5D12" w:rsidRDefault="00D42431" w:rsidP="00202DEE">
            <w:pPr>
              <w:pStyle w:val="TableText"/>
              <w:jc w:val="right"/>
            </w:pPr>
            <w:r w:rsidRPr="002D5D12">
              <w:rPr>
                <w:rFonts w:eastAsia="Calibri"/>
              </w:rPr>
              <w:t>16.64</w:t>
            </w:r>
          </w:p>
        </w:tc>
        <w:tc>
          <w:tcPr>
            <w:tcW w:w="1418" w:type="dxa"/>
            <w:shd w:val="clear" w:color="auto" w:fill="FFFFFF"/>
            <w:tcMar>
              <w:top w:w="0" w:type="dxa"/>
              <w:left w:w="85" w:type="dxa"/>
              <w:bottom w:w="0" w:type="dxa"/>
              <w:right w:w="85" w:type="dxa"/>
            </w:tcMar>
            <w:vAlign w:val="center"/>
          </w:tcPr>
          <w:p w14:paraId="2DB7E178" w14:textId="77777777" w:rsidR="00D42431" w:rsidRPr="002D5D12" w:rsidRDefault="00D42431" w:rsidP="00202DEE">
            <w:pPr>
              <w:pStyle w:val="TableText"/>
              <w:jc w:val="right"/>
            </w:pPr>
            <w:r w:rsidRPr="002D5D12">
              <w:rPr>
                <w:rFonts w:eastAsia="Calibri"/>
              </w:rPr>
              <w:t>0.001</w:t>
            </w:r>
          </w:p>
        </w:tc>
      </w:tr>
      <w:tr w:rsidR="00D42431" w:rsidRPr="002D5D12" w14:paraId="278A87E1" w14:textId="77777777" w:rsidTr="00202DEE">
        <w:trPr>
          <w:cantSplit/>
        </w:trPr>
        <w:tc>
          <w:tcPr>
            <w:tcW w:w="1814" w:type="dxa"/>
            <w:shd w:val="clear" w:color="auto" w:fill="FFFFFF"/>
            <w:tcMar>
              <w:top w:w="0" w:type="dxa"/>
              <w:left w:w="85" w:type="dxa"/>
              <w:bottom w:w="0" w:type="dxa"/>
              <w:right w:w="85" w:type="dxa"/>
            </w:tcMar>
            <w:vAlign w:val="bottom"/>
          </w:tcPr>
          <w:p w14:paraId="0D9107D4" w14:textId="77777777" w:rsidR="00D42431" w:rsidRPr="002D5D12" w:rsidRDefault="00D42431" w:rsidP="00202DEE">
            <w:pPr>
              <w:pStyle w:val="Tableboldblue"/>
            </w:pPr>
            <w:r w:rsidRPr="002D5D12">
              <w:t>Gross emissions for Tokelau</w:t>
            </w:r>
          </w:p>
        </w:tc>
        <w:tc>
          <w:tcPr>
            <w:tcW w:w="567" w:type="dxa"/>
            <w:shd w:val="clear" w:color="auto" w:fill="FFFFFF"/>
            <w:tcMar>
              <w:top w:w="0" w:type="dxa"/>
              <w:left w:w="85" w:type="dxa"/>
              <w:bottom w:w="0" w:type="dxa"/>
              <w:right w:w="85" w:type="dxa"/>
            </w:tcMar>
            <w:vAlign w:val="bottom"/>
          </w:tcPr>
          <w:p w14:paraId="0FE60957" w14:textId="77777777" w:rsidR="00D42431" w:rsidRPr="002D5D12" w:rsidRDefault="00D42431" w:rsidP="00202DEE">
            <w:pPr>
              <w:pStyle w:val="Tableboldblue"/>
              <w:jc w:val="right"/>
            </w:pPr>
            <w:r w:rsidRPr="002D5D12">
              <w:t>3.17</w:t>
            </w:r>
          </w:p>
        </w:tc>
        <w:tc>
          <w:tcPr>
            <w:tcW w:w="567" w:type="dxa"/>
            <w:shd w:val="clear" w:color="auto" w:fill="FFFFFF"/>
            <w:tcMar>
              <w:top w:w="0" w:type="dxa"/>
              <w:left w:w="85" w:type="dxa"/>
              <w:bottom w:w="0" w:type="dxa"/>
              <w:right w:w="85" w:type="dxa"/>
            </w:tcMar>
            <w:vAlign w:val="bottom"/>
          </w:tcPr>
          <w:p w14:paraId="0701175D" w14:textId="77777777" w:rsidR="00D42431" w:rsidRPr="002D5D12" w:rsidRDefault="00D42431" w:rsidP="00202DEE">
            <w:pPr>
              <w:pStyle w:val="Tableboldblue"/>
              <w:jc w:val="right"/>
            </w:pPr>
            <w:r w:rsidRPr="002D5D12">
              <w:t>4.18</w:t>
            </w:r>
          </w:p>
        </w:tc>
        <w:tc>
          <w:tcPr>
            <w:tcW w:w="1418" w:type="dxa"/>
            <w:shd w:val="clear" w:color="auto" w:fill="FFFFFF"/>
            <w:tcMar>
              <w:top w:w="0" w:type="dxa"/>
              <w:left w:w="85" w:type="dxa"/>
              <w:bottom w:w="0" w:type="dxa"/>
              <w:right w:w="85" w:type="dxa"/>
            </w:tcMar>
            <w:vAlign w:val="bottom"/>
          </w:tcPr>
          <w:p w14:paraId="4FEA0C92" w14:textId="77777777" w:rsidR="00D42431" w:rsidRPr="002D5D12" w:rsidRDefault="00D42431" w:rsidP="00202DEE">
            <w:pPr>
              <w:pStyle w:val="Tableboldblue"/>
              <w:jc w:val="right"/>
            </w:pPr>
            <w:r w:rsidRPr="002D5D12">
              <w:t>1.01</w:t>
            </w:r>
          </w:p>
        </w:tc>
        <w:tc>
          <w:tcPr>
            <w:tcW w:w="1418" w:type="dxa"/>
            <w:shd w:val="clear" w:color="auto" w:fill="FFFFFF"/>
            <w:tcMar>
              <w:top w:w="0" w:type="dxa"/>
              <w:left w:w="85" w:type="dxa"/>
              <w:bottom w:w="0" w:type="dxa"/>
              <w:right w:w="85" w:type="dxa"/>
            </w:tcMar>
            <w:vAlign w:val="bottom"/>
          </w:tcPr>
          <w:p w14:paraId="60F1294F" w14:textId="77777777" w:rsidR="00D42431" w:rsidRPr="002D5D12" w:rsidRDefault="00D42431" w:rsidP="00202DEE">
            <w:pPr>
              <w:pStyle w:val="Tableboldblue"/>
              <w:jc w:val="right"/>
            </w:pPr>
            <w:r w:rsidRPr="002D5D12">
              <w:t>31.92</w:t>
            </w:r>
          </w:p>
        </w:tc>
        <w:tc>
          <w:tcPr>
            <w:tcW w:w="1247" w:type="dxa"/>
            <w:shd w:val="clear" w:color="auto" w:fill="FFFFFF"/>
            <w:tcMar>
              <w:top w:w="0" w:type="dxa"/>
              <w:left w:w="85" w:type="dxa"/>
              <w:bottom w:w="0" w:type="dxa"/>
              <w:right w:w="85" w:type="dxa"/>
            </w:tcMar>
            <w:vAlign w:val="bottom"/>
          </w:tcPr>
          <w:p w14:paraId="1ECAA799" w14:textId="77777777" w:rsidR="00D42431" w:rsidRPr="002D5D12" w:rsidRDefault="00D42431" w:rsidP="00202DEE">
            <w:pPr>
              <w:pStyle w:val="Tableboldblue"/>
              <w:jc w:val="right"/>
            </w:pPr>
            <w:r w:rsidRPr="002D5D12">
              <w:t>100.00</w:t>
            </w:r>
          </w:p>
        </w:tc>
        <w:tc>
          <w:tcPr>
            <w:tcW w:w="1418" w:type="dxa"/>
            <w:shd w:val="clear" w:color="auto" w:fill="FFFFFF"/>
            <w:tcMar>
              <w:top w:w="0" w:type="dxa"/>
              <w:left w:w="85" w:type="dxa"/>
              <w:bottom w:w="0" w:type="dxa"/>
              <w:right w:w="85" w:type="dxa"/>
            </w:tcMar>
            <w:vAlign w:val="bottom"/>
          </w:tcPr>
          <w:p w14:paraId="5F8C61A3" w14:textId="77777777" w:rsidR="00D42431" w:rsidRPr="002D5D12" w:rsidRDefault="00D42431" w:rsidP="00202DEE">
            <w:pPr>
              <w:pStyle w:val="Tableboldblue"/>
              <w:jc w:val="right"/>
            </w:pPr>
            <w:r w:rsidRPr="002D5D12">
              <w:t>0.005</w:t>
            </w:r>
          </w:p>
        </w:tc>
      </w:tr>
    </w:tbl>
    <w:p w14:paraId="088B782A" w14:textId="77777777" w:rsidR="00D42431" w:rsidRPr="002D5D12" w:rsidRDefault="00D42431" w:rsidP="00D42431">
      <w:pPr>
        <w:pStyle w:val="Noteundertable"/>
      </w:pPr>
      <w:r w:rsidRPr="002D5D12">
        <w:rPr>
          <w:b/>
          <w:bCs/>
        </w:rPr>
        <w:t>Note:</w:t>
      </w:r>
      <w:r w:rsidRPr="002D5D12">
        <w:tab/>
        <w:t>The 2020 submission includes emissions from Tokelau’s largest contributing sectors, which are the Energy, IPPU, Agriculture and Waste sectors. The LULUCF sector is not estimated because it is expected to contribute a miniscule amount of emissions and removals because Tokelau has no planted or managed forests. The percentages may not add up to 100 per cent due to rounding.</w:t>
      </w:r>
    </w:p>
    <w:p w14:paraId="698DAA4A" w14:textId="77777777" w:rsidR="00D42431" w:rsidRPr="002D5D12" w:rsidRDefault="00D42431" w:rsidP="00D42431">
      <w:pPr>
        <w:pStyle w:val="Heading5"/>
      </w:pPr>
      <w:bookmarkStart w:id="169" w:name="section-17"/>
      <w:r w:rsidRPr="002D5D12">
        <w:t>2020</w:t>
      </w:r>
    </w:p>
    <w:p w14:paraId="7ACABA36" w14:textId="77777777" w:rsidR="00D42431" w:rsidRPr="002D5D12" w:rsidRDefault="00D42431" w:rsidP="00D42431">
      <w:pPr>
        <w:pStyle w:val="BodyText"/>
      </w:pPr>
      <w:r w:rsidRPr="002D5D12">
        <w:t>In 2020, emissions from Tokelau contributed 4.18 kt CO</w:t>
      </w:r>
      <w:r w:rsidRPr="002D5D12">
        <w:rPr>
          <w:vertAlign w:val="subscript"/>
        </w:rPr>
        <w:t>2</w:t>
      </w:r>
      <w:r w:rsidRPr="002D5D12">
        <w:t>-e or 0.005 per cent of New Zealand’s gross GHG emissions.</w:t>
      </w:r>
    </w:p>
    <w:p w14:paraId="4E56A7F2" w14:textId="77777777" w:rsidR="00D42431" w:rsidRPr="002D5D12" w:rsidRDefault="00D42431" w:rsidP="00D42431">
      <w:pPr>
        <w:pStyle w:val="BodyText"/>
      </w:pPr>
      <w:r w:rsidRPr="002D5D12">
        <w:t xml:space="preserve">The largest source category is </w:t>
      </w:r>
      <w:r w:rsidRPr="002D5D12">
        <w:rPr>
          <w:i/>
          <w:iCs/>
        </w:rPr>
        <w:t>Domestic navigation</w:t>
      </w:r>
      <w:r w:rsidRPr="002D5D12">
        <w:t>, which contributed 2.08 kt CO</w:t>
      </w:r>
      <w:r w:rsidRPr="002D5D12">
        <w:rPr>
          <w:vertAlign w:val="subscript"/>
        </w:rPr>
        <w:t>2</w:t>
      </w:r>
      <w:r w:rsidRPr="002D5D12">
        <w:t>-e (86.3 per cent of all energy emissions and 49.7 per cent of gross emissions from Tokelau).</w:t>
      </w:r>
    </w:p>
    <w:p w14:paraId="6D75D257" w14:textId="77777777" w:rsidR="00D42431" w:rsidRPr="002D5D12" w:rsidRDefault="00D42431" w:rsidP="00D42431">
      <w:pPr>
        <w:pStyle w:val="Heading5"/>
      </w:pPr>
      <w:bookmarkStart w:id="170" w:name="section-18"/>
      <w:bookmarkEnd w:id="169"/>
      <w:r w:rsidRPr="002D5D12">
        <w:t>1990–2020</w:t>
      </w:r>
    </w:p>
    <w:p w14:paraId="5C13553B" w14:textId="77777777" w:rsidR="00D42431" w:rsidRPr="002D5D12" w:rsidRDefault="00D42431" w:rsidP="00D42431">
      <w:pPr>
        <w:pStyle w:val="BodyText"/>
      </w:pPr>
      <w:r w:rsidRPr="002D5D12">
        <w:t>In 1990, total emissions from Tokelau were 3.17 kt CO</w:t>
      </w:r>
      <w:r w:rsidRPr="002D5D12">
        <w:rPr>
          <w:vertAlign w:val="subscript"/>
        </w:rPr>
        <w:t>2</w:t>
      </w:r>
      <w:r w:rsidRPr="002D5D12">
        <w:t>-e. Between 1990 and 2020, total emissions increased by 31.9 per cent (1.01 kt CO</w:t>
      </w:r>
      <w:r w:rsidRPr="002D5D12">
        <w:rPr>
          <w:vertAlign w:val="subscript"/>
        </w:rPr>
        <w:t>2</w:t>
      </w:r>
      <w:r w:rsidRPr="002D5D12">
        <w:t>-e) to 4.18 kt CO</w:t>
      </w:r>
      <w:r w:rsidRPr="002D5D12">
        <w:rPr>
          <w:vertAlign w:val="subscript"/>
        </w:rPr>
        <w:t>2</w:t>
      </w:r>
      <w:r w:rsidRPr="002D5D12">
        <w:t>-e.</w:t>
      </w:r>
    </w:p>
    <w:p w14:paraId="6CB99B90" w14:textId="77777777" w:rsidR="00D42431" w:rsidRPr="002D5D12" w:rsidRDefault="00D42431" w:rsidP="00D42431">
      <w:pPr>
        <w:pStyle w:val="BodyText"/>
      </w:pPr>
      <w:r w:rsidRPr="002D5D12">
        <w:t xml:space="preserve">The emission categories that contributed the most to this change were </w:t>
      </w:r>
      <w:r w:rsidRPr="002D5D12">
        <w:rPr>
          <w:i/>
          <w:iCs/>
        </w:rPr>
        <w:t>Domestic navigation</w:t>
      </w:r>
      <w:r w:rsidRPr="002D5D12">
        <w:t xml:space="preserve"> and </w:t>
      </w:r>
      <w:r w:rsidRPr="002D5D12">
        <w:rPr>
          <w:i/>
          <w:iCs/>
        </w:rPr>
        <w:t>Electricity generation</w:t>
      </w:r>
      <w:r w:rsidRPr="002D5D12">
        <w:t>.</w:t>
      </w:r>
    </w:p>
    <w:p w14:paraId="2791C911" w14:textId="5B510C19" w:rsidR="00D42431" w:rsidRPr="002D5D12" w:rsidRDefault="00D42431" w:rsidP="00D42431">
      <w:pPr>
        <w:pStyle w:val="BodyText"/>
      </w:pPr>
      <w:r w:rsidRPr="002D5D12">
        <w:t xml:space="preserve">The changes in </w:t>
      </w:r>
      <w:r w:rsidRPr="002D5D12">
        <w:rPr>
          <w:i/>
          <w:iCs/>
        </w:rPr>
        <w:t>Domestic navigation</w:t>
      </w:r>
      <w:r w:rsidRPr="002D5D12">
        <w:t xml:space="preserve"> are a result of Tokelau gaining ownership and use of the ferry </w:t>
      </w:r>
      <w:r w:rsidRPr="002D5D12">
        <w:rPr>
          <w:i/>
          <w:iCs/>
        </w:rPr>
        <w:t>Mataliki</w:t>
      </w:r>
      <w:r w:rsidRPr="002D5D12">
        <w:t xml:space="preserve"> in 2016, cargo vessel </w:t>
      </w:r>
      <w:r w:rsidRPr="002D5D12">
        <w:rPr>
          <w:i/>
          <w:iCs/>
        </w:rPr>
        <w:t>Kalopaga</w:t>
      </w:r>
      <w:r w:rsidRPr="002D5D12">
        <w:t xml:space="preserve"> in 2018 and passenger vessel </w:t>
      </w:r>
      <w:r w:rsidRPr="002D5D12">
        <w:rPr>
          <w:i/>
          <w:iCs/>
        </w:rPr>
        <w:t>Fetu o te Moana</w:t>
      </w:r>
      <w:r w:rsidRPr="002D5D12">
        <w:t xml:space="preserve"> in</w:t>
      </w:r>
      <w:r w:rsidR="00734B9C">
        <w:t> </w:t>
      </w:r>
      <w:r w:rsidRPr="002D5D12">
        <w:t xml:space="preserve">2019 leading to an increasing number of sea voyages between the atolls, which increased transport emissions. Emissions from Tokelau’s IPPU sector have also increased mainly due to the introduction of air conditioning after 2006. Further changes in Tokelau’s Energy sector </w:t>
      </w:r>
      <w:r w:rsidRPr="002D5D12">
        <w:lastRenderedPageBreak/>
        <w:t>emissions are a significant rise and then drop (by nearly 400 per cent and 82.5 per cent respectively) in consumption of imported petroleum products used for electricity production in</w:t>
      </w:r>
      <w:r w:rsidR="00734B9C">
        <w:t> </w:t>
      </w:r>
      <w:r w:rsidRPr="002D5D12">
        <w:t>Tokelau. Emissions from Tokelau’s Agriculture sector decreased slightly as a result of a reduced pig population.</w:t>
      </w:r>
    </w:p>
    <w:p w14:paraId="1EDB5E6E" w14:textId="77777777" w:rsidR="00D42431" w:rsidRPr="002D5D12" w:rsidRDefault="00D42431" w:rsidP="00D42431">
      <w:pPr>
        <w:pStyle w:val="BodyText"/>
      </w:pPr>
      <w:r w:rsidRPr="002D5D12">
        <w:t>The trends are shown in figure 2.2.12 and in chapter 8.</w:t>
      </w:r>
    </w:p>
    <w:p w14:paraId="60C25FDA" w14:textId="0E2CAB03" w:rsidR="00D42431" w:rsidRPr="002D5D12" w:rsidRDefault="00D42431" w:rsidP="00D42431">
      <w:pPr>
        <w:pStyle w:val="Figure"/>
      </w:pPr>
      <w:bookmarkStart w:id="171" w:name="_Toc99696012"/>
      <w:r w:rsidRPr="002D5D12">
        <w:t>Figure 2.2.12</w:t>
      </w:r>
      <w:r w:rsidRPr="002D5D12">
        <w:tab/>
        <w:t xml:space="preserve">Emissions by sector for Tokelau from </w:t>
      </w:r>
      <w:r w:rsidRPr="002D5D12">
        <w:rPr>
          <w:bCs/>
        </w:rPr>
        <w:t>1990</w:t>
      </w:r>
      <w:r w:rsidR="00E02C62">
        <w:t> </w:t>
      </w:r>
      <w:r w:rsidRPr="002D5D12">
        <w:t>to</w:t>
      </w:r>
      <w:r w:rsidR="00E02C62">
        <w:t> </w:t>
      </w:r>
      <w:r w:rsidRPr="002D5D12">
        <w:rPr>
          <w:bCs/>
        </w:rPr>
        <w:t>2020</w:t>
      </w:r>
      <w:bookmarkEnd w:id="171"/>
    </w:p>
    <w:p w14:paraId="1BE40963" w14:textId="14F2656D" w:rsidR="00D42431" w:rsidRPr="002D5D12" w:rsidRDefault="004B48CC" w:rsidP="00D42431">
      <w:pPr>
        <w:pStyle w:val="BodyText"/>
      </w:pPr>
      <w:r>
        <w:rPr>
          <w:noProof/>
        </w:rPr>
        <w:pict w14:anchorId="30C790FB">
          <v:shape id="_x0000_i1045" type="#_x0000_t75" style="width:420.3pt;height:298.9pt;visibility:visible;mso-wrap-style:square">
            <v:imagedata r:id="rId51" o:title="" cropbottom="1234f"/>
          </v:shape>
        </w:pict>
      </w:r>
    </w:p>
    <w:p w14:paraId="1648D09E" w14:textId="77777777" w:rsidR="00D42431" w:rsidRPr="002D5D12" w:rsidRDefault="00D42431" w:rsidP="00D42431">
      <w:pPr>
        <w:pStyle w:val="Heading5"/>
      </w:pPr>
      <w:bookmarkStart w:id="172" w:name="section-19"/>
      <w:bookmarkEnd w:id="170"/>
      <w:r w:rsidRPr="002D5D12">
        <w:t>2019–2020</w:t>
      </w:r>
    </w:p>
    <w:p w14:paraId="0277F2FA" w14:textId="77777777" w:rsidR="00D42431" w:rsidRPr="002D5D12" w:rsidRDefault="00D42431" w:rsidP="00D42431">
      <w:pPr>
        <w:pStyle w:val="BodyText"/>
      </w:pPr>
      <w:r w:rsidRPr="002D5D12">
        <w:t>Total Tokelau emissions in 2020 were 0.12 kt CO</w:t>
      </w:r>
      <w:r w:rsidRPr="002D5D12">
        <w:rPr>
          <w:vertAlign w:val="subscript"/>
        </w:rPr>
        <w:t>2</w:t>
      </w:r>
      <w:r w:rsidRPr="002D5D12">
        <w:t>-e (2.8 per cent) lower than emissions in 2019. The lower emissions are largely the result of decreases in CO</w:t>
      </w:r>
      <w:r w:rsidRPr="002D5D12">
        <w:rPr>
          <w:vertAlign w:val="subscript"/>
        </w:rPr>
        <w:t>2</w:t>
      </w:r>
      <w:r w:rsidRPr="002D5D12">
        <w:t xml:space="preserve"> emissions in the </w:t>
      </w:r>
      <w:r w:rsidRPr="002D5D12">
        <w:rPr>
          <w:i/>
          <w:iCs/>
        </w:rPr>
        <w:t>Domestic navigation</w:t>
      </w:r>
      <w:r w:rsidRPr="002D5D12">
        <w:t xml:space="preserve"> category, due to decreased shipping within Tokelau. This decrease is largely the result of lockdowns occurring due to the COVID-19 pandemic.</w:t>
      </w:r>
    </w:p>
    <w:p w14:paraId="4EB10F6D" w14:textId="77777777" w:rsidR="00D42431" w:rsidRPr="002D5D12" w:rsidRDefault="00D42431" w:rsidP="00D42431">
      <w:pPr>
        <w:pStyle w:val="Heading2"/>
      </w:pPr>
      <w:bookmarkStart w:id="173" w:name="_Toc99659109"/>
      <w:bookmarkStart w:id="174" w:name="X59a1fc71b9462fc2acb79eda2fec227c0ba7ff9"/>
      <w:bookmarkEnd w:id="134"/>
      <w:bookmarkEnd w:id="138"/>
      <w:bookmarkEnd w:id="172"/>
      <w:r w:rsidRPr="002D5D12">
        <w:t xml:space="preserve">2.3 </w:t>
      </w:r>
      <w:r w:rsidRPr="002D5D12">
        <w:tab/>
        <w:t>Activities under Article 3.3 and Article 3.4 of the Kyoto Protocol</w:t>
      </w:r>
      <w:bookmarkEnd w:id="173"/>
    </w:p>
    <w:p w14:paraId="79A9A1B0" w14:textId="77777777" w:rsidR="00D42431" w:rsidRPr="002D5D12" w:rsidRDefault="00D42431" w:rsidP="00D42431">
      <w:pPr>
        <w:pStyle w:val="BodyText"/>
      </w:pPr>
      <w:r w:rsidRPr="002D5D12">
        <w:t>As described in section 2.1.1, New Zealand is applying the Kyoto Protocol LULUCF accounting provisions towards its 2020 target under the Convention.</w:t>
      </w:r>
    </w:p>
    <w:p w14:paraId="7BACCCA7" w14:textId="77777777" w:rsidR="00D42431" w:rsidRPr="002D5D12" w:rsidRDefault="00D42431" w:rsidP="00D42431">
      <w:pPr>
        <w:pStyle w:val="BodyText"/>
      </w:pPr>
      <w:r w:rsidRPr="002D5D12">
        <w:t>In 2020, net emissions from land subject to Article 3.3 and Article 3.4 activities under the Kyoto Protocol were –29,476.1 kt CO</w:t>
      </w:r>
      <w:r w:rsidRPr="002D5D12">
        <w:rPr>
          <w:vertAlign w:val="subscript"/>
        </w:rPr>
        <w:t>2</w:t>
      </w:r>
      <w:r w:rsidRPr="002D5D12">
        <w:t>-e</w:t>
      </w:r>
      <w:r w:rsidRPr="002D5D12">
        <w:rPr>
          <w:rStyle w:val="FootnoteReference"/>
        </w:rPr>
        <w:footnoteReference w:id="28"/>
      </w:r>
      <w:r w:rsidRPr="002D5D12">
        <w:t xml:space="preserve"> (see table 2.3.1). This estimate includes net removals from </w:t>
      </w:r>
      <w:r w:rsidRPr="002D5D12">
        <w:lastRenderedPageBreak/>
        <w:t>the growth of all forest types and their conversion into harvested wood products, as well as emissions from:</w:t>
      </w:r>
    </w:p>
    <w:p w14:paraId="2F341C47" w14:textId="77777777" w:rsidR="00D42431" w:rsidRPr="002D5D12" w:rsidRDefault="00D42431" w:rsidP="00D42431">
      <w:pPr>
        <w:pStyle w:val="Bullet"/>
      </w:pPr>
      <w:r w:rsidRPr="002D5D12">
        <w:t xml:space="preserve">decay of harvested wood products from </w:t>
      </w:r>
      <w:r w:rsidRPr="002D5D12">
        <w:rPr>
          <w:i/>
          <w:iCs/>
        </w:rPr>
        <w:t>Afforestation and reforestation</w:t>
      </w:r>
      <w:r w:rsidRPr="002D5D12">
        <w:t xml:space="preserve"> and </w:t>
      </w:r>
      <w:r w:rsidRPr="002D5D12">
        <w:rPr>
          <w:i/>
          <w:iCs/>
        </w:rPr>
        <w:t>Forest management</w:t>
      </w:r>
      <w:r w:rsidRPr="002D5D12">
        <w:t xml:space="preserve"> land</w:t>
      </w:r>
    </w:p>
    <w:p w14:paraId="7D2DA223" w14:textId="77777777" w:rsidR="00D42431" w:rsidRPr="002D5D12" w:rsidRDefault="00D42431" w:rsidP="00D42431">
      <w:pPr>
        <w:pStyle w:val="Bullet"/>
      </w:pPr>
      <w:r w:rsidRPr="002D5D12">
        <w:rPr>
          <w:i/>
          <w:iCs/>
        </w:rPr>
        <w:t>Deforestation</w:t>
      </w:r>
      <w:r w:rsidRPr="002D5D12">
        <w:t xml:space="preserve"> of all forest types</w:t>
      </w:r>
    </w:p>
    <w:p w14:paraId="5AB20A74" w14:textId="77777777" w:rsidR="00D42431" w:rsidRPr="002D5D12" w:rsidRDefault="00D42431" w:rsidP="00D42431">
      <w:pPr>
        <w:pStyle w:val="Bullet"/>
      </w:pPr>
      <w:r w:rsidRPr="002D5D12">
        <w:t>conversion of land to post-1989 forest</w:t>
      </w:r>
    </w:p>
    <w:p w14:paraId="7B47FA26" w14:textId="77777777" w:rsidR="00D42431" w:rsidRPr="002D5D12" w:rsidRDefault="00D42431" w:rsidP="00D42431">
      <w:pPr>
        <w:pStyle w:val="Bullet"/>
      </w:pPr>
      <w:r w:rsidRPr="002D5D12">
        <w:t>biomass burning</w:t>
      </w:r>
    </w:p>
    <w:p w14:paraId="1354873B" w14:textId="77777777" w:rsidR="00D42431" w:rsidRPr="002D5D12" w:rsidRDefault="00D42431" w:rsidP="00D42431">
      <w:pPr>
        <w:pStyle w:val="Bullet"/>
      </w:pPr>
      <w:r w:rsidRPr="002D5D12">
        <w:t>soil disturbance associated with land use conversion.</w:t>
      </w:r>
    </w:p>
    <w:p w14:paraId="2CD4ACFD" w14:textId="77777777" w:rsidR="00D42431" w:rsidRPr="002D5D12" w:rsidRDefault="00D42431" w:rsidP="00D42431">
      <w:pPr>
        <w:pStyle w:val="BodyText"/>
      </w:pPr>
      <w:r w:rsidRPr="002D5D12">
        <w:t>New Zealand’s estimates for emissions and removals from activities under Article 3.3 and Article 3.4 of the Kyoto Protocol do not include emissions associated with nitrogen-containing fertiliser use on afforested and reforested land, because these are reported and accounted for in the Agriculture sector. The notation key ‘IE’ (included elsewhere) is used for this in the common reporting format tables.</w:t>
      </w:r>
    </w:p>
    <w:p w14:paraId="75FD357B" w14:textId="77777777" w:rsidR="00D42431" w:rsidRPr="002D5D12" w:rsidRDefault="00D42431" w:rsidP="00D42431">
      <w:pPr>
        <w:pStyle w:val="BodyText"/>
      </w:pPr>
      <w:r w:rsidRPr="002D5D12">
        <w:t xml:space="preserve">Accounting rules apply to activities under the Kyoto Protocol. Application of one of these rules, called carbon equivalent forests, means that the area of new forest planting is different from the area of </w:t>
      </w:r>
      <w:r w:rsidRPr="002D5D12">
        <w:rPr>
          <w:i/>
          <w:iCs/>
        </w:rPr>
        <w:t>Afforestation</w:t>
      </w:r>
      <w:r w:rsidRPr="002D5D12">
        <w:t xml:space="preserve"> for some years, and the area of forest clearance and land conversion is different from the area of </w:t>
      </w:r>
      <w:r w:rsidRPr="002D5D12">
        <w:rPr>
          <w:i/>
          <w:iCs/>
        </w:rPr>
        <w:t>Deforestation</w:t>
      </w:r>
      <w:r w:rsidRPr="002D5D12">
        <w:t>. These accounting rules are explained further in chapter 11.</w:t>
      </w:r>
    </w:p>
    <w:p w14:paraId="0DF9AC25" w14:textId="77777777" w:rsidR="00D42431" w:rsidRPr="002D5D12" w:rsidRDefault="00D42431" w:rsidP="00D42431">
      <w:pPr>
        <w:pStyle w:val="Heading5"/>
      </w:pPr>
      <w:bookmarkStart w:id="175" w:name="afforestation-and-reforestation"/>
      <w:r w:rsidRPr="002D5D12">
        <w:t>Afforestation and reforestation</w:t>
      </w:r>
    </w:p>
    <w:p w14:paraId="3E4DAFAE" w14:textId="02381829" w:rsidR="00D42431" w:rsidRPr="002D5D12" w:rsidRDefault="00D42431" w:rsidP="00D42431">
      <w:pPr>
        <w:pStyle w:val="BodyText"/>
      </w:pPr>
      <w:r w:rsidRPr="002D5D12">
        <w:t>Between 1990 and 2020, it is estimated that 814,354 hectares of new forest (post-1989 forest)</w:t>
      </w:r>
      <w:r w:rsidR="002B09F2">
        <w:t> </w:t>
      </w:r>
      <w:r w:rsidRPr="002D5D12">
        <w:t xml:space="preserve">were established as a result of </w:t>
      </w:r>
      <w:r w:rsidRPr="002D5D12">
        <w:rPr>
          <w:i/>
          <w:iCs/>
        </w:rPr>
        <w:t>Afforestation and reforestation</w:t>
      </w:r>
      <w:r w:rsidRPr="002D5D12">
        <w:t xml:space="preserve"> activities (table 11.3.1). The net</w:t>
      </w:r>
      <w:r w:rsidR="002B09F2">
        <w:t> </w:t>
      </w:r>
      <w:r w:rsidRPr="002D5D12">
        <w:t>area of post-1989 forest (calculated from the total area of new forest planted since 31</w:t>
      </w:r>
      <w:r w:rsidR="002B09F2">
        <w:t> </w:t>
      </w:r>
      <w:r w:rsidRPr="002D5D12">
        <w:t>December 1989 minus the deforestation of post-1989 forest since 1 January 1990) as at the</w:t>
      </w:r>
      <w:r w:rsidR="002B09F2">
        <w:t> </w:t>
      </w:r>
      <w:r w:rsidRPr="002D5D12">
        <w:t xml:space="preserve">end of 2020 was 775,385 hectares. This figure includes 38,969 hectares of deforestation activity that has occurred in these forests since 1990. The average annual increase of </w:t>
      </w:r>
      <w:r w:rsidRPr="002D5D12">
        <w:rPr>
          <w:i/>
          <w:iCs/>
        </w:rPr>
        <w:t>Afforestation and reforestation</w:t>
      </w:r>
      <w:r w:rsidRPr="002D5D12">
        <w:t xml:space="preserve"> activity is 26,269 hectares. During 2020, an estimated 40,887</w:t>
      </w:r>
      <w:r w:rsidR="002B09F2">
        <w:t> </w:t>
      </w:r>
      <w:r w:rsidRPr="002D5D12">
        <w:t>hectares of new forest was established, which is greater than the area established in</w:t>
      </w:r>
      <w:r w:rsidR="002B09F2">
        <w:t> </w:t>
      </w:r>
      <w:r w:rsidRPr="002D5D12">
        <w:t>2019 (27,070 hectares) (see chapter 11, table 11.3.1).</w:t>
      </w:r>
    </w:p>
    <w:p w14:paraId="45596E71" w14:textId="77777777" w:rsidR="00D42431" w:rsidRPr="002D5D12" w:rsidRDefault="00D42431" w:rsidP="00D42431">
      <w:pPr>
        <w:pStyle w:val="Heading5"/>
      </w:pPr>
      <w:bookmarkStart w:id="176" w:name="deforestation"/>
      <w:bookmarkEnd w:id="175"/>
      <w:r w:rsidRPr="002D5D12">
        <w:t>Deforestation</w:t>
      </w:r>
    </w:p>
    <w:p w14:paraId="12EEC2CA" w14:textId="77777777" w:rsidR="00D42431" w:rsidRPr="002D5D12" w:rsidRDefault="00D42431" w:rsidP="00D42431">
      <w:pPr>
        <w:pStyle w:val="BodyText"/>
      </w:pPr>
      <w:r w:rsidRPr="002D5D12">
        <w:t>The area deforested between 1 January 1990 and 31 December 2020 was 214,077 hectares.</w:t>
      </w:r>
      <w:r w:rsidRPr="002D5D12">
        <w:rPr>
          <w:rStyle w:val="FootnoteReference"/>
        </w:rPr>
        <w:footnoteReference w:id="29"/>
      </w:r>
      <w:r w:rsidRPr="002D5D12">
        <w:t xml:space="preserve"> The provisional estimated area subject to </w:t>
      </w:r>
      <w:r w:rsidRPr="002D5D12">
        <w:rPr>
          <w:i/>
          <w:iCs/>
        </w:rPr>
        <w:t>Deforestation</w:t>
      </w:r>
      <w:r w:rsidRPr="002D5D12">
        <w:t xml:space="preserve"> in 2020 was 2,443 hectares. In 2020, net emissions from </w:t>
      </w:r>
      <w:r w:rsidRPr="002D5D12">
        <w:rPr>
          <w:i/>
          <w:iCs/>
        </w:rPr>
        <w:t>Deforestation</w:t>
      </w:r>
      <w:r w:rsidRPr="002D5D12">
        <w:t xml:space="preserve"> were 1,320.5 kt CO</w:t>
      </w:r>
      <w:r w:rsidRPr="002D5D12">
        <w:rPr>
          <w:vertAlign w:val="subscript"/>
        </w:rPr>
        <w:t>2</w:t>
      </w:r>
      <w:r w:rsidRPr="002D5D12">
        <w:t>-e, compared with 3,131.8 kt CO</w:t>
      </w:r>
      <w:r w:rsidRPr="002D5D12">
        <w:rPr>
          <w:vertAlign w:val="subscript"/>
        </w:rPr>
        <w:t>2</w:t>
      </w:r>
      <w:r w:rsidRPr="002D5D12">
        <w:t>-e in 2019 (a 57.8 per cent decrease).</w:t>
      </w:r>
    </w:p>
    <w:p w14:paraId="6CB37BC6" w14:textId="77777777" w:rsidR="00D42431" w:rsidRPr="002D5D12" w:rsidRDefault="00D42431" w:rsidP="00D42431">
      <w:pPr>
        <w:pStyle w:val="Heading5"/>
      </w:pPr>
      <w:bookmarkStart w:id="177" w:name="forest-management"/>
      <w:bookmarkEnd w:id="176"/>
      <w:r w:rsidRPr="002D5D12">
        <w:t>Forest management</w:t>
      </w:r>
    </w:p>
    <w:p w14:paraId="3CA04434" w14:textId="77777777" w:rsidR="00D42431" w:rsidRPr="002D5D12" w:rsidRDefault="00D42431" w:rsidP="00D42431">
      <w:pPr>
        <w:pStyle w:val="BodyText"/>
      </w:pPr>
      <w:r w:rsidRPr="002D5D12">
        <w:t xml:space="preserve">The total area reported under </w:t>
      </w:r>
      <w:r w:rsidRPr="002D5D12">
        <w:rPr>
          <w:i/>
          <w:iCs/>
        </w:rPr>
        <w:t>Forest management</w:t>
      </w:r>
      <w:r w:rsidRPr="002D5D12">
        <w:t xml:space="preserve"> at the end of 2020 was 9,198,965 hectares, equivalent to 34.2 per cent of New Zealand’s total land area. This category includes all land that was forest at 1 January 1990 and has not been deforested since 1990. Net removals on this land in 2020 were 16,031.9 kt CO</w:t>
      </w:r>
      <w:r w:rsidRPr="002D5D12">
        <w:rPr>
          <w:vertAlign w:val="subscript"/>
        </w:rPr>
        <w:t>2</w:t>
      </w:r>
      <w:r w:rsidRPr="002D5D12">
        <w:t>-e, including net removals of 7,118.4 kt CO</w:t>
      </w:r>
      <w:r w:rsidRPr="002D5D12">
        <w:rPr>
          <w:vertAlign w:val="subscript"/>
        </w:rPr>
        <w:t>2</w:t>
      </w:r>
      <w:r w:rsidRPr="002D5D12">
        <w:t xml:space="preserve">-e from the </w:t>
      </w:r>
      <w:r w:rsidRPr="002D5D12">
        <w:rPr>
          <w:i/>
          <w:iCs/>
        </w:rPr>
        <w:t>Harvested wood products</w:t>
      </w:r>
      <w:r w:rsidRPr="002D5D12">
        <w:t xml:space="preserve"> category.</w:t>
      </w:r>
    </w:p>
    <w:p w14:paraId="6B6560AB" w14:textId="77777777" w:rsidR="00D42431" w:rsidRPr="002D5D12" w:rsidRDefault="00D42431" w:rsidP="00D42431">
      <w:pPr>
        <w:pStyle w:val="Heading5"/>
      </w:pPr>
      <w:bookmarkStart w:id="178" w:name="accounting-quantity"/>
      <w:bookmarkEnd w:id="177"/>
      <w:r w:rsidRPr="002D5D12">
        <w:lastRenderedPageBreak/>
        <w:t>Accounting quantity</w:t>
      </w:r>
    </w:p>
    <w:p w14:paraId="2B3A81E6" w14:textId="77777777" w:rsidR="00D42431" w:rsidRPr="002D5D12" w:rsidRDefault="00D42431" w:rsidP="00D42431">
      <w:pPr>
        <w:pStyle w:val="BodyText"/>
      </w:pPr>
      <w:r w:rsidRPr="002D5D12">
        <w:t>For the second commitment period of the Kyoto Protocol (2013–20)</w:t>
      </w:r>
      <w:r w:rsidRPr="002D5D12" w:rsidDel="00524213">
        <w:t xml:space="preserve"> </w:t>
      </w:r>
      <w:r w:rsidRPr="002D5D12">
        <w:t>new rules are in place for accounting under the Kyoto Protocol. These include:</w:t>
      </w:r>
    </w:p>
    <w:p w14:paraId="7E961F1B" w14:textId="77777777" w:rsidR="00D42431" w:rsidRPr="002D5D12" w:rsidRDefault="00D42431" w:rsidP="00D42431">
      <w:pPr>
        <w:pStyle w:val="Bullet"/>
      </w:pPr>
      <w:r w:rsidRPr="002D5D12">
        <w:t xml:space="preserve">the ability to account for changes in the </w:t>
      </w:r>
      <w:r w:rsidRPr="002D5D12">
        <w:rPr>
          <w:i/>
          <w:iCs/>
        </w:rPr>
        <w:t>Harvested wood products</w:t>
      </w:r>
      <w:r w:rsidRPr="002D5D12">
        <w:t xml:space="preserve"> category for </w:t>
      </w:r>
      <w:r w:rsidRPr="002D5D12">
        <w:rPr>
          <w:i/>
          <w:iCs/>
        </w:rPr>
        <w:t>Afforestation and reforestation</w:t>
      </w:r>
      <w:r w:rsidRPr="002D5D12">
        <w:t xml:space="preserve"> and </w:t>
      </w:r>
      <w:r w:rsidRPr="002D5D12">
        <w:rPr>
          <w:i/>
          <w:iCs/>
        </w:rPr>
        <w:t>Forest management</w:t>
      </w:r>
      <w:r w:rsidRPr="002D5D12">
        <w:t xml:space="preserve"> land</w:t>
      </w:r>
    </w:p>
    <w:p w14:paraId="603444BE" w14:textId="77777777" w:rsidR="00D42431" w:rsidRPr="002D5D12" w:rsidRDefault="00D42431" w:rsidP="00D42431">
      <w:pPr>
        <w:pStyle w:val="Bullet"/>
      </w:pPr>
      <w:r w:rsidRPr="002D5D12">
        <w:t>the ability to exclude from accounting emissions and removals due to natural disturbance</w:t>
      </w:r>
    </w:p>
    <w:p w14:paraId="503E29A1" w14:textId="77777777" w:rsidR="00D42431" w:rsidRPr="002D5D12" w:rsidRDefault="00D42431" w:rsidP="00D42431">
      <w:pPr>
        <w:pStyle w:val="Bullet"/>
      </w:pPr>
      <w:r w:rsidRPr="002D5D12">
        <w:t xml:space="preserve">the ability to account for emissions and removals on land that meets the criteria of carbon equivalent forests under </w:t>
      </w:r>
      <w:r w:rsidRPr="002D5D12">
        <w:rPr>
          <w:i/>
          <w:iCs/>
        </w:rPr>
        <w:t>Forest management</w:t>
      </w:r>
      <w:r w:rsidRPr="002D5D12">
        <w:t xml:space="preserve"> that would otherwise be accounted for under </w:t>
      </w:r>
      <w:r w:rsidRPr="002D5D12">
        <w:rPr>
          <w:i/>
          <w:iCs/>
        </w:rPr>
        <w:t>Afforestation and reforestation</w:t>
      </w:r>
      <w:r w:rsidRPr="002D5D12">
        <w:t xml:space="preserve"> and </w:t>
      </w:r>
      <w:r w:rsidRPr="002D5D12">
        <w:rPr>
          <w:i/>
          <w:iCs/>
        </w:rPr>
        <w:t>Deforestation</w:t>
      </w:r>
    </w:p>
    <w:p w14:paraId="7BCFE1F2" w14:textId="77777777" w:rsidR="00D42431" w:rsidRPr="002D5D12" w:rsidRDefault="00D42431" w:rsidP="00D42431">
      <w:pPr>
        <w:pStyle w:val="Bullet"/>
      </w:pPr>
      <w:r w:rsidRPr="002D5D12">
        <w:t xml:space="preserve">the ability to account for </w:t>
      </w:r>
      <w:r w:rsidRPr="002D5D12">
        <w:rPr>
          <w:i/>
          <w:iCs/>
        </w:rPr>
        <w:t>Forest management</w:t>
      </w:r>
      <w:r w:rsidRPr="002D5D12">
        <w:t xml:space="preserve"> against a forest management reference level</w:t>
      </w:r>
    </w:p>
    <w:p w14:paraId="711C06A9" w14:textId="77777777" w:rsidR="00D42431" w:rsidRPr="002D5D12" w:rsidRDefault="00D42431" w:rsidP="00D42431">
      <w:pPr>
        <w:pStyle w:val="Bullet"/>
      </w:pPr>
      <w:r w:rsidRPr="002D5D12">
        <w:t xml:space="preserve">the ability to set the </w:t>
      </w:r>
      <w:r w:rsidRPr="002D5D12">
        <w:rPr>
          <w:i/>
          <w:iCs/>
        </w:rPr>
        <w:t>Forest management</w:t>
      </w:r>
      <w:r w:rsidRPr="002D5D12">
        <w:t xml:space="preserve"> cap at 3.5 per cent of a country’s base year emissions excluding LULUCF multiplied by the number of years in the commitment period.</w:t>
      </w:r>
    </w:p>
    <w:p w14:paraId="5B386413" w14:textId="77777777" w:rsidR="00D42431" w:rsidRPr="002D5D12" w:rsidRDefault="00D42431" w:rsidP="00D42431">
      <w:pPr>
        <w:pStyle w:val="BodyText"/>
      </w:pPr>
      <w:r w:rsidRPr="002D5D12">
        <w:t xml:space="preserve">New Zealand’s accounting quantity is presented in table 2.3.1. The accounting quantity includes the sum of emissions and removals from </w:t>
      </w:r>
      <w:r w:rsidRPr="002D5D12">
        <w:rPr>
          <w:i/>
          <w:iCs/>
        </w:rPr>
        <w:t>Afforestation and reforestation</w:t>
      </w:r>
      <w:r w:rsidRPr="002D5D12">
        <w:t xml:space="preserve"> and </w:t>
      </w:r>
      <w:r w:rsidRPr="002D5D12">
        <w:rPr>
          <w:i/>
          <w:iCs/>
        </w:rPr>
        <w:t>Deforestation</w:t>
      </w:r>
      <w:r w:rsidRPr="002D5D12">
        <w:t xml:space="preserve"> as well as net emissions from </w:t>
      </w:r>
      <w:r w:rsidRPr="002D5D12">
        <w:rPr>
          <w:i/>
          <w:iCs/>
        </w:rPr>
        <w:t>Forest management</w:t>
      </w:r>
      <w:r w:rsidRPr="002D5D12">
        <w:t xml:space="preserve"> (Article 3.4) relative to a forest management reference level. Credits resulting from </w:t>
      </w:r>
      <w:r w:rsidRPr="002D5D12">
        <w:rPr>
          <w:i/>
          <w:iCs/>
        </w:rPr>
        <w:t>Forest management</w:t>
      </w:r>
      <w:r w:rsidRPr="002D5D12">
        <w:t xml:space="preserve"> cannot exceed a predetermined cap based on 3.5 per cent of New Zealand’s gross emissions in the base year, per year. Therefore, only the value of the cap over the eight-year period, 18,681.6 kt CO</w:t>
      </w:r>
      <w:r w:rsidRPr="002D5D12">
        <w:rPr>
          <w:vertAlign w:val="subscript"/>
        </w:rPr>
        <w:t>2</w:t>
      </w:r>
      <w:r w:rsidRPr="002D5D12">
        <w:t>-e of removals, has been included in the accounting quantity. Refer to chapter 11 for more details.</w:t>
      </w:r>
    </w:p>
    <w:p w14:paraId="22AB29F4" w14:textId="229562FC" w:rsidR="00D42431" w:rsidRPr="002D5D12" w:rsidRDefault="00D42431" w:rsidP="00F20EBD">
      <w:pPr>
        <w:pStyle w:val="Table"/>
      </w:pPr>
      <w:bookmarkStart w:id="179" w:name="_Toc99659210"/>
      <w:r w:rsidRPr="002D5D12">
        <w:t>Table 2.3.1</w:t>
      </w:r>
      <w:r w:rsidRPr="002D5D12">
        <w:tab/>
        <w:t>New Zealand’s net emissions and removals from land subject to activities under</w:t>
      </w:r>
      <w:r w:rsidR="003A40ED">
        <w:br/>
      </w:r>
      <w:r w:rsidRPr="002D5D12">
        <w:t>Article 3.3 and Forest management under Article 3.4 of the Kyoto Protocol</w:t>
      </w:r>
      <w:bookmarkEnd w:id="179"/>
    </w:p>
    <w:tbl>
      <w:tblPr>
        <w:tblW w:w="8505" w:type="dxa"/>
        <w:tblInd w:w="57" w:type="dxa"/>
        <w:tblBorders>
          <w:insideH w:val="single" w:sz="4" w:space="0" w:color="1B556B"/>
        </w:tblBorders>
        <w:tblLayout w:type="fixed"/>
        <w:tblCellMar>
          <w:left w:w="57" w:type="dxa"/>
          <w:right w:w="57" w:type="dxa"/>
        </w:tblCellMar>
        <w:tblLook w:val="04A0" w:firstRow="1" w:lastRow="0" w:firstColumn="1" w:lastColumn="0" w:noHBand="0" w:noVBand="1"/>
      </w:tblPr>
      <w:tblGrid>
        <w:gridCol w:w="1136"/>
        <w:gridCol w:w="895"/>
        <w:gridCol w:w="797"/>
        <w:gridCol w:w="797"/>
        <w:gridCol w:w="797"/>
        <w:gridCol w:w="797"/>
        <w:gridCol w:w="797"/>
        <w:gridCol w:w="797"/>
        <w:gridCol w:w="797"/>
        <w:gridCol w:w="895"/>
      </w:tblGrid>
      <w:tr w:rsidR="00D42431" w:rsidRPr="002D5D12" w14:paraId="2CD06D79" w14:textId="77777777" w:rsidTr="0043249A">
        <w:trPr>
          <w:tblHeader/>
        </w:trPr>
        <w:tc>
          <w:tcPr>
            <w:tcW w:w="1304" w:type="dxa"/>
            <w:tcBorders>
              <w:top w:val="single" w:sz="4" w:space="0" w:color="1B556B"/>
              <w:bottom w:val="single" w:sz="4" w:space="0" w:color="1B556B"/>
            </w:tcBorders>
            <w:shd w:val="clear" w:color="auto" w:fill="1B556B"/>
            <w:vAlign w:val="bottom"/>
            <w:hideMark/>
          </w:tcPr>
          <w:p w14:paraId="1B754597" w14:textId="77777777" w:rsidR="00D42431" w:rsidRPr="00D42431" w:rsidRDefault="00D42431" w:rsidP="00202DEE">
            <w:pPr>
              <w:pStyle w:val="TableTextBold"/>
              <w:rPr>
                <w:rFonts w:cs="Calibri"/>
                <w:noProof w:val="0"/>
                <w:color w:val="FFFFFF"/>
                <w:szCs w:val="16"/>
              </w:rPr>
            </w:pPr>
            <w:r w:rsidRPr="00D42431">
              <w:rPr>
                <w:rFonts w:cs="Calibri"/>
                <w:noProof w:val="0"/>
                <w:color w:val="FFFFFF"/>
                <w:szCs w:val="16"/>
              </w:rPr>
              <w:t>Activity</w:t>
            </w:r>
          </w:p>
        </w:tc>
        <w:tc>
          <w:tcPr>
            <w:tcW w:w="1021" w:type="dxa"/>
            <w:tcBorders>
              <w:top w:val="single" w:sz="4" w:space="0" w:color="1B556B"/>
              <w:bottom w:val="single" w:sz="4" w:space="0" w:color="1B556B"/>
            </w:tcBorders>
            <w:shd w:val="clear" w:color="auto" w:fill="1B556B"/>
            <w:vAlign w:val="bottom"/>
            <w:hideMark/>
          </w:tcPr>
          <w:p w14:paraId="7CFB846C" w14:textId="77777777" w:rsidR="00D42431" w:rsidRPr="00D42431" w:rsidRDefault="00D42431" w:rsidP="00151878">
            <w:pPr>
              <w:pStyle w:val="TableTextBold"/>
              <w:jc w:val="right"/>
              <w:rPr>
                <w:rFonts w:cs="Calibri"/>
                <w:noProof w:val="0"/>
                <w:color w:val="FFFFFF"/>
                <w:szCs w:val="16"/>
              </w:rPr>
            </w:pPr>
            <w:r w:rsidRPr="00D42431">
              <w:rPr>
                <w:rFonts w:cs="Calibri"/>
                <w:noProof w:val="0"/>
                <w:color w:val="FFFFFF"/>
                <w:szCs w:val="16"/>
              </w:rPr>
              <w:t>2013</w:t>
            </w:r>
          </w:p>
        </w:tc>
        <w:tc>
          <w:tcPr>
            <w:tcW w:w="907" w:type="dxa"/>
            <w:tcBorders>
              <w:top w:val="single" w:sz="4" w:space="0" w:color="1B556B"/>
              <w:bottom w:val="single" w:sz="4" w:space="0" w:color="1B556B"/>
            </w:tcBorders>
            <w:shd w:val="clear" w:color="auto" w:fill="1B556B"/>
            <w:vAlign w:val="bottom"/>
            <w:hideMark/>
          </w:tcPr>
          <w:p w14:paraId="581429E1" w14:textId="77777777" w:rsidR="00D42431" w:rsidRPr="00D42431" w:rsidRDefault="00D42431" w:rsidP="00151878">
            <w:pPr>
              <w:pStyle w:val="TableTextBold"/>
              <w:jc w:val="right"/>
              <w:rPr>
                <w:rFonts w:cs="Calibri"/>
                <w:noProof w:val="0"/>
                <w:color w:val="FFFFFF"/>
                <w:szCs w:val="16"/>
              </w:rPr>
            </w:pPr>
            <w:r w:rsidRPr="00D42431">
              <w:rPr>
                <w:rFonts w:cs="Calibri"/>
                <w:noProof w:val="0"/>
                <w:color w:val="FFFFFF"/>
                <w:szCs w:val="16"/>
              </w:rPr>
              <w:t>2014</w:t>
            </w:r>
          </w:p>
        </w:tc>
        <w:tc>
          <w:tcPr>
            <w:tcW w:w="907" w:type="dxa"/>
            <w:tcBorders>
              <w:top w:val="single" w:sz="4" w:space="0" w:color="1B556B"/>
              <w:bottom w:val="single" w:sz="4" w:space="0" w:color="1B556B"/>
            </w:tcBorders>
            <w:shd w:val="clear" w:color="auto" w:fill="1B556B"/>
            <w:vAlign w:val="bottom"/>
            <w:hideMark/>
          </w:tcPr>
          <w:p w14:paraId="18978651" w14:textId="77777777" w:rsidR="00D42431" w:rsidRPr="00D42431" w:rsidRDefault="00D42431" w:rsidP="00151878">
            <w:pPr>
              <w:pStyle w:val="TableTextBold"/>
              <w:jc w:val="right"/>
              <w:rPr>
                <w:rFonts w:cs="Calibri"/>
                <w:noProof w:val="0"/>
                <w:color w:val="FFFFFF"/>
                <w:szCs w:val="16"/>
              </w:rPr>
            </w:pPr>
            <w:r w:rsidRPr="00D42431">
              <w:rPr>
                <w:rFonts w:cs="Calibri"/>
                <w:noProof w:val="0"/>
                <w:color w:val="FFFFFF"/>
                <w:szCs w:val="16"/>
              </w:rPr>
              <w:t>2015</w:t>
            </w:r>
          </w:p>
        </w:tc>
        <w:tc>
          <w:tcPr>
            <w:tcW w:w="907" w:type="dxa"/>
            <w:tcBorders>
              <w:top w:val="single" w:sz="4" w:space="0" w:color="1B556B"/>
              <w:bottom w:val="single" w:sz="4" w:space="0" w:color="1B556B"/>
            </w:tcBorders>
            <w:shd w:val="clear" w:color="auto" w:fill="1B556B"/>
            <w:vAlign w:val="bottom"/>
            <w:hideMark/>
          </w:tcPr>
          <w:p w14:paraId="08088248" w14:textId="77777777" w:rsidR="00D42431" w:rsidRPr="00D42431" w:rsidRDefault="00D42431" w:rsidP="00151878">
            <w:pPr>
              <w:pStyle w:val="TableTextBold"/>
              <w:jc w:val="right"/>
              <w:rPr>
                <w:rFonts w:cs="Calibri"/>
                <w:noProof w:val="0"/>
                <w:color w:val="FFFFFF"/>
                <w:szCs w:val="16"/>
              </w:rPr>
            </w:pPr>
            <w:r w:rsidRPr="00D42431">
              <w:rPr>
                <w:rFonts w:cs="Calibri"/>
                <w:noProof w:val="0"/>
                <w:color w:val="FFFFFF"/>
                <w:szCs w:val="16"/>
              </w:rPr>
              <w:t>2016</w:t>
            </w:r>
          </w:p>
        </w:tc>
        <w:tc>
          <w:tcPr>
            <w:tcW w:w="907" w:type="dxa"/>
            <w:tcBorders>
              <w:top w:val="single" w:sz="4" w:space="0" w:color="1B556B"/>
              <w:bottom w:val="single" w:sz="4" w:space="0" w:color="1B556B"/>
            </w:tcBorders>
            <w:shd w:val="clear" w:color="auto" w:fill="1B556B"/>
            <w:vAlign w:val="bottom"/>
            <w:hideMark/>
          </w:tcPr>
          <w:p w14:paraId="497AC81E" w14:textId="77777777" w:rsidR="00D42431" w:rsidRPr="00D42431" w:rsidRDefault="00D42431" w:rsidP="00151878">
            <w:pPr>
              <w:pStyle w:val="TableTextBold"/>
              <w:jc w:val="right"/>
              <w:rPr>
                <w:rFonts w:cs="Calibri"/>
                <w:noProof w:val="0"/>
                <w:color w:val="FFFFFF"/>
                <w:szCs w:val="16"/>
              </w:rPr>
            </w:pPr>
            <w:r w:rsidRPr="00D42431">
              <w:rPr>
                <w:rFonts w:cs="Calibri"/>
                <w:noProof w:val="0"/>
                <w:color w:val="FFFFFF"/>
                <w:szCs w:val="16"/>
              </w:rPr>
              <w:t>2017</w:t>
            </w:r>
          </w:p>
        </w:tc>
        <w:tc>
          <w:tcPr>
            <w:tcW w:w="907" w:type="dxa"/>
            <w:tcBorders>
              <w:top w:val="single" w:sz="4" w:space="0" w:color="1B556B"/>
              <w:bottom w:val="single" w:sz="4" w:space="0" w:color="1B556B"/>
            </w:tcBorders>
            <w:shd w:val="clear" w:color="auto" w:fill="1B556B"/>
            <w:vAlign w:val="bottom"/>
            <w:hideMark/>
          </w:tcPr>
          <w:p w14:paraId="065BF713" w14:textId="77777777" w:rsidR="00D42431" w:rsidRPr="00D42431" w:rsidRDefault="00D42431" w:rsidP="00151878">
            <w:pPr>
              <w:pStyle w:val="TableTextBold"/>
              <w:jc w:val="right"/>
              <w:rPr>
                <w:rFonts w:cs="Calibri"/>
                <w:noProof w:val="0"/>
                <w:color w:val="FFFFFF"/>
                <w:szCs w:val="16"/>
              </w:rPr>
            </w:pPr>
            <w:r w:rsidRPr="00D42431">
              <w:rPr>
                <w:rFonts w:cs="Calibri"/>
                <w:noProof w:val="0"/>
                <w:color w:val="FFFFFF"/>
                <w:szCs w:val="16"/>
              </w:rPr>
              <w:t>2018</w:t>
            </w:r>
          </w:p>
        </w:tc>
        <w:tc>
          <w:tcPr>
            <w:tcW w:w="907" w:type="dxa"/>
            <w:tcBorders>
              <w:top w:val="single" w:sz="4" w:space="0" w:color="1B556B"/>
              <w:bottom w:val="single" w:sz="4" w:space="0" w:color="1B556B"/>
            </w:tcBorders>
            <w:shd w:val="clear" w:color="auto" w:fill="1B556B"/>
            <w:vAlign w:val="bottom"/>
            <w:hideMark/>
          </w:tcPr>
          <w:p w14:paraId="11225505" w14:textId="77777777" w:rsidR="00D42431" w:rsidRPr="00D42431" w:rsidRDefault="00D42431" w:rsidP="00151878">
            <w:pPr>
              <w:pStyle w:val="TableTextBold"/>
              <w:jc w:val="right"/>
              <w:rPr>
                <w:rFonts w:cs="Calibri"/>
                <w:noProof w:val="0"/>
                <w:color w:val="FFFFFF"/>
                <w:szCs w:val="16"/>
              </w:rPr>
            </w:pPr>
            <w:r w:rsidRPr="00D42431">
              <w:rPr>
                <w:rFonts w:cs="Calibri"/>
                <w:noProof w:val="0"/>
                <w:color w:val="FFFFFF"/>
                <w:szCs w:val="16"/>
              </w:rPr>
              <w:t>2019</w:t>
            </w:r>
          </w:p>
        </w:tc>
        <w:tc>
          <w:tcPr>
            <w:tcW w:w="907" w:type="dxa"/>
            <w:tcBorders>
              <w:top w:val="single" w:sz="4" w:space="0" w:color="1B556B"/>
              <w:bottom w:val="single" w:sz="4" w:space="0" w:color="1B556B"/>
            </w:tcBorders>
            <w:shd w:val="clear" w:color="auto" w:fill="1B556B"/>
            <w:vAlign w:val="bottom"/>
            <w:hideMark/>
          </w:tcPr>
          <w:p w14:paraId="6D244E5F" w14:textId="77777777" w:rsidR="00D42431" w:rsidRPr="00D42431" w:rsidRDefault="00D42431" w:rsidP="00151878">
            <w:pPr>
              <w:pStyle w:val="TableTextBold"/>
              <w:jc w:val="right"/>
              <w:rPr>
                <w:rFonts w:cs="Calibri"/>
                <w:noProof w:val="0"/>
                <w:color w:val="FFFFFF"/>
                <w:szCs w:val="16"/>
              </w:rPr>
            </w:pPr>
            <w:r w:rsidRPr="00D42431">
              <w:rPr>
                <w:rFonts w:cs="Calibri"/>
                <w:noProof w:val="0"/>
                <w:color w:val="FFFFFF"/>
                <w:szCs w:val="16"/>
              </w:rPr>
              <w:t>2020</w:t>
            </w:r>
          </w:p>
        </w:tc>
        <w:tc>
          <w:tcPr>
            <w:tcW w:w="1021" w:type="dxa"/>
            <w:tcBorders>
              <w:top w:val="single" w:sz="4" w:space="0" w:color="1B556B"/>
              <w:bottom w:val="single" w:sz="4" w:space="0" w:color="1B556B"/>
            </w:tcBorders>
            <w:shd w:val="clear" w:color="auto" w:fill="1B556B"/>
            <w:vAlign w:val="bottom"/>
            <w:hideMark/>
          </w:tcPr>
          <w:p w14:paraId="24DF7D23" w14:textId="77777777" w:rsidR="00D42431" w:rsidRPr="00D42431" w:rsidRDefault="00D42431" w:rsidP="00202DEE">
            <w:pPr>
              <w:pStyle w:val="TableTextBold"/>
              <w:jc w:val="center"/>
              <w:rPr>
                <w:rFonts w:cs="Calibri"/>
                <w:noProof w:val="0"/>
                <w:color w:val="FFFFFF"/>
                <w:szCs w:val="16"/>
              </w:rPr>
            </w:pPr>
            <w:r w:rsidRPr="00D42431">
              <w:rPr>
                <w:rFonts w:cs="Calibri"/>
                <w:noProof w:val="0"/>
                <w:color w:val="FFFFFF"/>
                <w:szCs w:val="16"/>
              </w:rPr>
              <w:t>Emissions in period to 2020 (kt CO</w:t>
            </w:r>
            <w:r w:rsidRPr="00D42431">
              <w:rPr>
                <w:rFonts w:cs="Calibri"/>
                <w:noProof w:val="0"/>
                <w:color w:val="FFFFFF"/>
                <w:szCs w:val="16"/>
                <w:vertAlign w:val="subscript"/>
              </w:rPr>
              <w:t>2</w:t>
            </w:r>
            <w:r w:rsidRPr="00D42431">
              <w:rPr>
                <w:rFonts w:cs="Calibri"/>
                <w:noProof w:val="0"/>
                <w:color w:val="FFFFFF"/>
                <w:szCs w:val="16"/>
              </w:rPr>
              <w:t>-e)</w:t>
            </w:r>
          </w:p>
        </w:tc>
      </w:tr>
      <w:tr w:rsidR="00D42431" w:rsidRPr="002D5D12" w14:paraId="6CB69BA8" w14:textId="77777777" w:rsidTr="0043249A">
        <w:tc>
          <w:tcPr>
            <w:tcW w:w="1304" w:type="dxa"/>
            <w:tcBorders>
              <w:top w:val="single" w:sz="4" w:space="0" w:color="1B556B"/>
            </w:tcBorders>
            <w:hideMark/>
          </w:tcPr>
          <w:p w14:paraId="530498EB" w14:textId="77777777" w:rsidR="00D42431" w:rsidRPr="002D5D12" w:rsidRDefault="00D42431" w:rsidP="00202DEE">
            <w:pPr>
              <w:pStyle w:val="TableText"/>
              <w:rPr>
                <w:rFonts w:cs="Calibri"/>
                <w:szCs w:val="16"/>
              </w:rPr>
            </w:pPr>
            <w:r w:rsidRPr="002D5D12">
              <w:rPr>
                <w:rFonts w:cs="Calibri"/>
                <w:szCs w:val="16"/>
              </w:rPr>
              <w:t>Afforestation/ reforestation</w:t>
            </w:r>
          </w:p>
        </w:tc>
        <w:tc>
          <w:tcPr>
            <w:tcW w:w="1021" w:type="dxa"/>
            <w:tcBorders>
              <w:top w:val="single" w:sz="4" w:space="0" w:color="1B556B"/>
            </w:tcBorders>
            <w:vAlign w:val="bottom"/>
            <w:hideMark/>
          </w:tcPr>
          <w:p w14:paraId="726B40AA" w14:textId="77777777" w:rsidR="00D42431" w:rsidRPr="002D5D12" w:rsidRDefault="00D42431" w:rsidP="00202DEE">
            <w:pPr>
              <w:pStyle w:val="TableText"/>
              <w:jc w:val="right"/>
              <w:rPr>
                <w:rFonts w:cs="Calibri"/>
                <w:szCs w:val="16"/>
              </w:rPr>
            </w:pPr>
            <w:r w:rsidRPr="002D5D12">
              <w:rPr>
                <w:rFonts w:cs="Calibri"/>
                <w:szCs w:val="16"/>
              </w:rPr>
              <w:t>–17,520.32</w:t>
            </w:r>
          </w:p>
        </w:tc>
        <w:tc>
          <w:tcPr>
            <w:tcW w:w="907" w:type="dxa"/>
            <w:tcBorders>
              <w:top w:val="single" w:sz="4" w:space="0" w:color="1B556B"/>
            </w:tcBorders>
            <w:vAlign w:val="bottom"/>
            <w:hideMark/>
          </w:tcPr>
          <w:p w14:paraId="179CBD09" w14:textId="77777777" w:rsidR="00D42431" w:rsidRPr="002D5D12" w:rsidRDefault="00D42431" w:rsidP="00202DEE">
            <w:pPr>
              <w:pStyle w:val="TableText"/>
              <w:jc w:val="right"/>
              <w:rPr>
                <w:rFonts w:cs="Calibri"/>
                <w:szCs w:val="16"/>
              </w:rPr>
            </w:pPr>
            <w:r w:rsidRPr="002D5D12">
              <w:rPr>
                <w:rFonts w:cs="Calibri"/>
                <w:szCs w:val="16"/>
              </w:rPr>
              <w:t>–17,913.5</w:t>
            </w:r>
          </w:p>
        </w:tc>
        <w:tc>
          <w:tcPr>
            <w:tcW w:w="907" w:type="dxa"/>
            <w:tcBorders>
              <w:top w:val="single" w:sz="4" w:space="0" w:color="1B556B"/>
            </w:tcBorders>
            <w:vAlign w:val="bottom"/>
            <w:hideMark/>
          </w:tcPr>
          <w:p w14:paraId="730CBEBC" w14:textId="77777777" w:rsidR="00D42431" w:rsidRPr="002D5D12" w:rsidRDefault="00D42431" w:rsidP="00202DEE">
            <w:pPr>
              <w:pStyle w:val="TableText"/>
              <w:jc w:val="right"/>
              <w:rPr>
                <w:rFonts w:cs="Calibri"/>
                <w:szCs w:val="16"/>
              </w:rPr>
            </w:pPr>
            <w:r w:rsidRPr="002D5D12">
              <w:rPr>
                <w:rFonts w:cs="Calibri"/>
                <w:szCs w:val="16"/>
              </w:rPr>
              <w:t>–18,054.1</w:t>
            </w:r>
          </w:p>
        </w:tc>
        <w:tc>
          <w:tcPr>
            <w:tcW w:w="907" w:type="dxa"/>
            <w:tcBorders>
              <w:top w:val="single" w:sz="4" w:space="0" w:color="1B556B"/>
            </w:tcBorders>
            <w:vAlign w:val="bottom"/>
            <w:hideMark/>
          </w:tcPr>
          <w:p w14:paraId="4AFE228A" w14:textId="77777777" w:rsidR="00D42431" w:rsidRPr="002D5D12" w:rsidRDefault="00D42431" w:rsidP="00202DEE">
            <w:pPr>
              <w:pStyle w:val="TableText"/>
              <w:jc w:val="right"/>
              <w:rPr>
                <w:rFonts w:cs="Calibri"/>
                <w:szCs w:val="16"/>
              </w:rPr>
            </w:pPr>
            <w:r w:rsidRPr="002D5D12">
              <w:rPr>
                <w:rFonts w:cs="Calibri"/>
                <w:szCs w:val="16"/>
              </w:rPr>
              <w:t>–18,004.8</w:t>
            </w:r>
          </w:p>
        </w:tc>
        <w:tc>
          <w:tcPr>
            <w:tcW w:w="907" w:type="dxa"/>
            <w:tcBorders>
              <w:top w:val="single" w:sz="4" w:space="0" w:color="1B556B"/>
            </w:tcBorders>
            <w:vAlign w:val="bottom"/>
            <w:hideMark/>
          </w:tcPr>
          <w:p w14:paraId="127FE5DF" w14:textId="77777777" w:rsidR="00D42431" w:rsidRPr="002D5D12" w:rsidRDefault="00D42431" w:rsidP="00202DEE">
            <w:pPr>
              <w:pStyle w:val="TableText"/>
              <w:jc w:val="right"/>
              <w:rPr>
                <w:rFonts w:cs="Calibri"/>
                <w:szCs w:val="16"/>
              </w:rPr>
            </w:pPr>
            <w:r w:rsidRPr="002D5D12">
              <w:rPr>
                <w:rFonts w:cs="Calibri"/>
                <w:szCs w:val="16"/>
              </w:rPr>
              <w:t>–18,486.5</w:t>
            </w:r>
          </w:p>
        </w:tc>
        <w:tc>
          <w:tcPr>
            <w:tcW w:w="907" w:type="dxa"/>
            <w:tcBorders>
              <w:top w:val="single" w:sz="4" w:space="0" w:color="1B556B"/>
            </w:tcBorders>
            <w:vAlign w:val="bottom"/>
            <w:hideMark/>
          </w:tcPr>
          <w:p w14:paraId="4FA25867" w14:textId="77777777" w:rsidR="00D42431" w:rsidRPr="002D5D12" w:rsidRDefault="00D42431" w:rsidP="00202DEE">
            <w:pPr>
              <w:pStyle w:val="TableText"/>
              <w:jc w:val="right"/>
              <w:rPr>
                <w:rFonts w:cs="Calibri"/>
                <w:szCs w:val="16"/>
              </w:rPr>
            </w:pPr>
            <w:r w:rsidRPr="002D5D12">
              <w:rPr>
                <w:rFonts w:cs="Calibri"/>
                <w:szCs w:val="16"/>
              </w:rPr>
              <w:softHyphen/>
              <w:t>–17,741.1</w:t>
            </w:r>
          </w:p>
        </w:tc>
        <w:tc>
          <w:tcPr>
            <w:tcW w:w="907" w:type="dxa"/>
            <w:tcBorders>
              <w:top w:val="single" w:sz="4" w:space="0" w:color="1B556B"/>
            </w:tcBorders>
            <w:vAlign w:val="bottom"/>
            <w:hideMark/>
          </w:tcPr>
          <w:p w14:paraId="222650B2" w14:textId="77777777" w:rsidR="00D42431" w:rsidRPr="002D5D12" w:rsidRDefault="00D42431" w:rsidP="00202DEE">
            <w:pPr>
              <w:pStyle w:val="TableText"/>
              <w:jc w:val="right"/>
              <w:rPr>
                <w:rFonts w:cs="Calibri"/>
                <w:szCs w:val="16"/>
              </w:rPr>
            </w:pPr>
            <w:r w:rsidRPr="002D5D12">
              <w:rPr>
                <w:rFonts w:cs="Calibri"/>
                <w:szCs w:val="16"/>
              </w:rPr>
              <w:t>–16,733.5</w:t>
            </w:r>
          </w:p>
        </w:tc>
        <w:tc>
          <w:tcPr>
            <w:tcW w:w="907" w:type="dxa"/>
            <w:tcBorders>
              <w:top w:val="single" w:sz="4" w:space="0" w:color="1B556B"/>
            </w:tcBorders>
            <w:vAlign w:val="bottom"/>
            <w:hideMark/>
          </w:tcPr>
          <w:p w14:paraId="32F27802" w14:textId="77777777" w:rsidR="00D42431" w:rsidRPr="002D5D12" w:rsidRDefault="00D42431" w:rsidP="00202DEE">
            <w:pPr>
              <w:pStyle w:val="TableText"/>
              <w:jc w:val="right"/>
              <w:rPr>
                <w:rFonts w:cs="Calibri"/>
                <w:szCs w:val="16"/>
              </w:rPr>
            </w:pPr>
            <w:r w:rsidRPr="002D5D12">
              <w:rPr>
                <w:rFonts w:cs="Calibri"/>
                <w:szCs w:val="16"/>
              </w:rPr>
              <w:t>–14,764.7</w:t>
            </w:r>
          </w:p>
        </w:tc>
        <w:tc>
          <w:tcPr>
            <w:tcW w:w="1021" w:type="dxa"/>
            <w:tcBorders>
              <w:top w:val="single" w:sz="4" w:space="0" w:color="1B556B"/>
            </w:tcBorders>
            <w:vAlign w:val="bottom"/>
            <w:hideMark/>
          </w:tcPr>
          <w:p w14:paraId="1AF2B92C" w14:textId="77777777" w:rsidR="00D42431" w:rsidRPr="002D5D12" w:rsidRDefault="00D42431" w:rsidP="00202DEE">
            <w:pPr>
              <w:pStyle w:val="TableText"/>
              <w:jc w:val="right"/>
              <w:rPr>
                <w:rFonts w:cs="Calibri"/>
                <w:szCs w:val="16"/>
              </w:rPr>
            </w:pPr>
            <w:r w:rsidRPr="002D5D12">
              <w:rPr>
                <w:rFonts w:cs="Calibri"/>
                <w:szCs w:val="16"/>
              </w:rPr>
              <w:t>–139,218.6</w:t>
            </w:r>
          </w:p>
        </w:tc>
      </w:tr>
      <w:tr w:rsidR="00D42431" w:rsidRPr="002D5D12" w14:paraId="756BD202" w14:textId="77777777" w:rsidTr="0043249A">
        <w:tc>
          <w:tcPr>
            <w:tcW w:w="1304" w:type="dxa"/>
            <w:hideMark/>
          </w:tcPr>
          <w:p w14:paraId="347E7198" w14:textId="77777777" w:rsidR="00D42431" w:rsidRPr="002D5D12" w:rsidRDefault="00D42431" w:rsidP="00202DEE">
            <w:pPr>
              <w:pStyle w:val="TableText"/>
              <w:rPr>
                <w:rFonts w:cs="Calibri"/>
                <w:szCs w:val="16"/>
              </w:rPr>
            </w:pPr>
            <w:r w:rsidRPr="002D5D12">
              <w:rPr>
                <w:rFonts w:cs="Calibri"/>
                <w:szCs w:val="16"/>
              </w:rPr>
              <w:t>Deforestation</w:t>
            </w:r>
          </w:p>
        </w:tc>
        <w:tc>
          <w:tcPr>
            <w:tcW w:w="1021" w:type="dxa"/>
            <w:vAlign w:val="bottom"/>
            <w:hideMark/>
          </w:tcPr>
          <w:p w14:paraId="71D8ADE8" w14:textId="77777777" w:rsidR="00D42431" w:rsidRPr="002D5D12" w:rsidRDefault="00D42431" w:rsidP="00202DEE">
            <w:pPr>
              <w:pStyle w:val="TableText"/>
              <w:jc w:val="right"/>
              <w:rPr>
                <w:rFonts w:cs="Calibri"/>
                <w:szCs w:val="16"/>
              </w:rPr>
            </w:pPr>
            <w:r w:rsidRPr="002D5D12">
              <w:rPr>
                <w:rFonts w:cs="Calibri"/>
                <w:szCs w:val="16"/>
              </w:rPr>
              <w:t>8,936.6</w:t>
            </w:r>
          </w:p>
        </w:tc>
        <w:tc>
          <w:tcPr>
            <w:tcW w:w="907" w:type="dxa"/>
            <w:vAlign w:val="bottom"/>
            <w:hideMark/>
          </w:tcPr>
          <w:p w14:paraId="20948762" w14:textId="77777777" w:rsidR="00D42431" w:rsidRPr="002D5D12" w:rsidRDefault="00D42431" w:rsidP="00202DEE">
            <w:pPr>
              <w:pStyle w:val="TableText"/>
              <w:jc w:val="right"/>
              <w:rPr>
                <w:rFonts w:cs="Calibri"/>
                <w:szCs w:val="16"/>
              </w:rPr>
            </w:pPr>
            <w:r w:rsidRPr="002D5D12">
              <w:rPr>
                <w:rFonts w:cs="Calibri"/>
                <w:szCs w:val="16"/>
              </w:rPr>
              <w:t>6,657.5</w:t>
            </w:r>
          </w:p>
        </w:tc>
        <w:tc>
          <w:tcPr>
            <w:tcW w:w="907" w:type="dxa"/>
            <w:vAlign w:val="bottom"/>
            <w:hideMark/>
          </w:tcPr>
          <w:p w14:paraId="7D1A75DE" w14:textId="77777777" w:rsidR="00D42431" w:rsidRPr="002D5D12" w:rsidRDefault="00D42431" w:rsidP="00202DEE">
            <w:pPr>
              <w:pStyle w:val="TableText"/>
              <w:jc w:val="right"/>
              <w:rPr>
                <w:rFonts w:cs="Calibri"/>
                <w:szCs w:val="16"/>
              </w:rPr>
            </w:pPr>
            <w:r w:rsidRPr="002D5D12">
              <w:rPr>
                <w:rFonts w:cs="Calibri"/>
                <w:szCs w:val="16"/>
              </w:rPr>
              <w:t>4,965.3</w:t>
            </w:r>
          </w:p>
        </w:tc>
        <w:tc>
          <w:tcPr>
            <w:tcW w:w="907" w:type="dxa"/>
            <w:vAlign w:val="bottom"/>
            <w:hideMark/>
          </w:tcPr>
          <w:p w14:paraId="7B28B97C" w14:textId="77777777" w:rsidR="00D42431" w:rsidRPr="002D5D12" w:rsidRDefault="00D42431" w:rsidP="00202DEE">
            <w:pPr>
              <w:pStyle w:val="TableText"/>
              <w:jc w:val="right"/>
              <w:rPr>
                <w:rFonts w:cs="Calibri"/>
                <w:szCs w:val="16"/>
              </w:rPr>
            </w:pPr>
            <w:r w:rsidRPr="002D5D12">
              <w:rPr>
                <w:rFonts w:cs="Calibri"/>
                <w:szCs w:val="16"/>
              </w:rPr>
              <w:t>4,442.4</w:t>
            </w:r>
          </w:p>
        </w:tc>
        <w:tc>
          <w:tcPr>
            <w:tcW w:w="907" w:type="dxa"/>
            <w:vAlign w:val="bottom"/>
            <w:hideMark/>
          </w:tcPr>
          <w:p w14:paraId="6460C35B" w14:textId="77777777" w:rsidR="00D42431" w:rsidRPr="002D5D12" w:rsidRDefault="00D42431" w:rsidP="00202DEE">
            <w:pPr>
              <w:pStyle w:val="TableText"/>
              <w:jc w:val="right"/>
              <w:rPr>
                <w:rFonts w:cs="Calibri"/>
                <w:szCs w:val="16"/>
              </w:rPr>
            </w:pPr>
            <w:r w:rsidRPr="002D5D12">
              <w:rPr>
                <w:rFonts w:cs="Calibri"/>
                <w:szCs w:val="16"/>
              </w:rPr>
              <w:t>2,845.7</w:t>
            </w:r>
          </w:p>
        </w:tc>
        <w:tc>
          <w:tcPr>
            <w:tcW w:w="907" w:type="dxa"/>
            <w:vAlign w:val="bottom"/>
            <w:hideMark/>
          </w:tcPr>
          <w:p w14:paraId="6F3356E4" w14:textId="77777777" w:rsidR="00D42431" w:rsidRPr="002D5D12" w:rsidRDefault="00D42431" w:rsidP="00202DEE">
            <w:pPr>
              <w:pStyle w:val="TableText"/>
              <w:jc w:val="right"/>
              <w:rPr>
                <w:rFonts w:cs="Calibri"/>
                <w:szCs w:val="16"/>
              </w:rPr>
            </w:pPr>
            <w:r w:rsidRPr="002D5D12">
              <w:rPr>
                <w:rFonts w:cs="Calibri"/>
                <w:szCs w:val="16"/>
              </w:rPr>
              <w:t>2,319.2</w:t>
            </w:r>
          </w:p>
        </w:tc>
        <w:tc>
          <w:tcPr>
            <w:tcW w:w="907" w:type="dxa"/>
            <w:vAlign w:val="bottom"/>
            <w:hideMark/>
          </w:tcPr>
          <w:p w14:paraId="1F996B0E" w14:textId="77777777" w:rsidR="00D42431" w:rsidRPr="002D5D12" w:rsidRDefault="00D42431" w:rsidP="00202DEE">
            <w:pPr>
              <w:pStyle w:val="TableText"/>
              <w:jc w:val="right"/>
              <w:rPr>
                <w:rFonts w:cs="Calibri"/>
                <w:szCs w:val="16"/>
              </w:rPr>
            </w:pPr>
            <w:r w:rsidRPr="002D5D12">
              <w:rPr>
                <w:rFonts w:cs="Calibri"/>
                <w:szCs w:val="16"/>
              </w:rPr>
              <w:t>3,131.8</w:t>
            </w:r>
          </w:p>
        </w:tc>
        <w:tc>
          <w:tcPr>
            <w:tcW w:w="907" w:type="dxa"/>
            <w:vAlign w:val="bottom"/>
            <w:hideMark/>
          </w:tcPr>
          <w:p w14:paraId="5BACC63C" w14:textId="77777777" w:rsidR="00D42431" w:rsidRPr="002D5D12" w:rsidRDefault="00D42431" w:rsidP="00202DEE">
            <w:pPr>
              <w:pStyle w:val="TableText"/>
              <w:jc w:val="right"/>
              <w:rPr>
                <w:rFonts w:cs="Calibri"/>
                <w:szCs w:val="16"/>
              </w:rPr>
            </w:pPr>
            <w:r w:rsidRPr="002D5D12">
              <w:rPr>
                <w:rFonts w:cs="Calibri"/>
                <w:szCs w:val="16"/>
              </w:rPr>
              <w:t>1,320.5</w:t>
            </w:r>
          </w:p>
        </w:tc>
        <w:tc>
          <w:tcPr>
            <w:tcW w:w="1021" w:type="dxa"/>
            <w:vAlign w:val="bottom"/>
            <w:hideMark/>
          </w:tcPr>
          <w:p w14:paraId="0E3DD6F3" w14:textId="77777777" w:rsidR="00D42431" w:rsidRPr="002D5D12" w:rsidRDefault="00D42431" w:rsidP="00202DEE">
            <w:pPr>
              <w:pStyle w:val="TableText"/>
              <w:jc w:val="right"/>
              <w:rPr>
                <w:rFonts w:cs="Calibri"/>
                <w:szCs w:val="16"/>
              </w:rPr>
            </w:pPr>
            <w:r w:rsidRPr="002D5D12">
              <w:rPr>
                <w:rFonts w:cs="Calibri"/>
                <w:szCs w:val="16"/>
              </w:rPr>
              <w:t>34,619.1</w:t>
            </w:r>
          </w:p>
        </w:tc>
      </w:tr>
      <w:tr w:rsidR="00D42431" w:rsidRPr="002D5D12" w14:paraId="339977E4" w14:textId="77777777" w:rsidTr="0043249A">
        <w:tc>
          <w:tcPr>
            <w:tcW w:w="1304" w:type="dxa"/>
            <w:hideMark/>
          </w:tcPr>
          <w:p w14:paraId="44649D99" w14:textId="77777777" w:rsidR="00D42431" w:rsidRPr="002D5D12" w:rsidRDefault="00D42431" w:rsidP="00202DEE">
            <w:pPr>
              <w:pStyle w:val="TableText"/>
              <w:rPr>
                <w:rFonts w:cs="Calibri"/>
                <w:szCs w:val="16"/>
              </w:rPr>
            </w:pPr>
            <w:r w:rsidRPr="002D5D12">
              <w:rPr>
                <w:rFonts w:cs="Calibri"/>
                <w:szCs w:val="16"/>
              </w:rPr>
              <w:t>Forest management</w:t>
            </w:r>
          </w:p>
        </w:tc>
        <w:tc>
          <w:tcPr>
            <w:tcW w:w="1021" w:type="dxa"/>
            <w:vAlign w:val="bottom"/>
            <w:hideMark/>
          </w:tcPr>
          <w:p w14:paraId="62FECE9F" w14:textId="77777777" w:rsidR="00D42431" w:rsidRPr="002D5D12" w:rsidRDefault="00D42431" w:rsidP="00202DEE">
            <w:pPr>
              <w:pStyle w:val="TableText"/>
              <w:jc w:val="right"/>
              <w:rPr>
                <w:rFonts w:cs="Calibri"/>
                <w:szCs w:val="16"/>
              </w:rPr>
            </w:pPr>
            <w:r w:rsidRPr="002D5D12">
              <w:rPr>
                <w:rFonts w:cs="Calibri"/>
                <w:szCs w:val="16"/>
              </w:rPr>
              <w:t>–24,180.7</w:t>
            </w:r>
          </w:p>
        </w:tc>
        <w:tc>
          <w:tcPr>
            <w:tcW w:w="907" w:type="dxa"/>
            <w:vAlign w:val="bottom"/>
            <w:hideMark/>
          </w:tcPr>
          <w:p w14:paraId="64499402" w14:textId="77777777" w:rsidR="00D42431" w:rsidRPr="002D5D12" w:rsidRDefault="00D42431" w:rsidP="00202DEE">
            <w:pPr>
              <w:pStyle w:val="TableText"/>
              <w:jc w:val="right"/>
              <w:rPr>
                <w:rFonts w:cs="Calibri"/>
                <w:szCs w:val="16"/>
              </w:rPr>
            </w:pPr>
            <w:r w:rsidRPr="002D5D12">
              <w:rPr>
                <w:rFonts w:cs="Calibri"/>
                <w:szCs w:val="16"/>
              </w:rPr>
              <w:t>–21,978.2</w:t>
            </w:r>
          </w:p>
        </w:tc>
        <w:tc>
          <w:tcPr>
            <w:tcW w:w="907" w:type="dxa"/>
            <w:vAlign w:val="bottom"/>
            <w:hideMark/>
          </w:tcPr>
          <w:p w14:paraId="75C0004B" w14:textId="77777777" w:rsidR="00D42431" w:rsidRPr="002D5D12" w:rsidRDefault="00D42431" w:rsidP="00202DEE">
            <w:pPr>
              <w:pStyle w:val="TableText"/>
              <w:jc w:val="right"/>
              <w:rPr>
                <w:rFonts w:cs="Calibri"/>
                <w:szCs w:val="16"/>
              </w:rPr>
            </w:pPr>
            <w:r w:rsidRPr="002D5D12">
              <w:rPr>
                <w:rFonts w:cs="Calibri"/>
                <w:szCs w:val="16"/>
              </w:rPr>
              <w:t>–20,019.5</w:t>
            </w:r>
          </w:p>
        </w:tc>
        <w:tc>
          <w:tcPr>
            <w:tcW w:w="907" w:type="dxa"/>
            <w:vAlign w:val="bottom"/>
            <w:hideMark/>
          </w:tcPr>
          <w:p w14:paraId="61D828D7" w14:textId="77777777" w:rsidR="00D42431" w:rsidRPr="002D5D12" w:rsidRDefault="00D42431" w:rsidP="00202DEE">
            <w:pPr>
              <w:pStyle w:val="TableText"/>
              <w:jc w:val="right"/>
              <w:rPr>
                <w:rFonts w:cs="Calibri"/>
                <w:szCs w:val="16"/>
              </w:rPr>
            </w:pPr>
            <w:r w:rsidRPr="002D5D12">
              <w:rPr>
                <w:rFonts w:cs="Calibri"/>
                <w:szCs w:val="16"/>
              </w:rPr>
              <w:t>–18,515.0</w:t>
            </w:r>
          </w:p>
        </w:tc>
        <w:tc>
          <w:tcPr>
            <w:tcW w:w="907" w:type="dxa"/>
            <w:vAlign w:val="bottom"/>
            <w:hideMark/>
          </w:tcPr>
          <w:p w14:paraId="3CA3BA04" w14:textId="77777777" w:rsidR="00D42431" w:rsidRPr="002D5D12" w:rsidRDefault="00D42431" w:rsidP="00202DEE">
            <w:pPr>
              <w:pStyle w:val="TableText"/>
              <w:jc w:val="right"/>
              <w:rPr>
                <w:rFonts w:cs="Calibri"/>
                <w:szCs w:val="16"/>
              </w:rPr>
            </w:pPr>
            <w:r w:rsidRPr="002D5D12">
              <w:rPr>
                <w:rFonts w:cs="Calibri"/>
                <w:szCs w:val="16"/>
              </w:rPr>
              <w:t>–15,503.6</w:t>
            </w:r>
          </w:p>
        </w:tc>
        <w:tc>
          <w:tcPr>
            <w:tcW w:w="907" w:type="dxa"/>
            <w:vAlign w:val="bottom"/>
            <w:hideMark/>
          </w:tcPr>
          <w:p w14:paraId="7023F33B" w14:textId="77777777" w:rsidR="00D42431" w:rsidRPr="002D5D12" w:rsidRDefault="00D42431" w:rsidP="00202DEE">
            <w:pPr>
              <w:pStyle w:val="TableText"/>
              <w:jc w:val="right"/>
              <w:rPr>
                <w:rFonts w:cs="Calibri"/>
                <w:szCs w:val="16"/>
              </w:rPr>
            </w:pPr>
            <w:r w:rsidRPr="002D5D12">
              <w:rPr>
                <w:rFonts w:cs="Calibri"/>
                <w:szCs w:val="16"/>
              </w:rPr>
              <w:t>–15,247.1</w:t>
            </w:r>
          </w:p>
        </w:tc>
        <w:tc>
          <w:tcPr>
            <w:tcW w:w="907" w:type="dxa"/>
            <w:vAlign w:val="bottom"/>
            <w:hideMark/>
          </w:tcPr>
          <w:p w14:paraId="2E371F16" w14:textId="77777777" w:rsidR="00D42431" w:rsidRPr="002D5D12" w:rsidRDefault="00D42431" w:rsidP="00202DEE">
            <w:pPr>
              <w:pStyle w:val="TableText"/>
              <w:jc w:val="right"/>
              <w:rPr>
                <w:rFonts w:cs="Calibri"/>
                <w:szCs w:val="16"/>
              </w:rPr>
            </w:pPr>
            <w:r w:rsidRPr="002D5D12">
              <w:rPr>
                <w:rFonts w:cs="Calibri"/>
                <w:szCs w:val="16"/>
              </w:rPr>
              <w:t>–15,220.7</w:t>
            </w:r>
          </w:p>
        </w:tc>
        <w:tc>
          <w:tcPr>
            <w:tcW w:w="907" w:type="dxa"/>
            <w:vAlign w:val="bottom"/>
            <w:hideMark/>
          </w:tcPr>
          <w:p w14:paraId="13B06430" w14:textId="77777777" w:rsidR="00D42431" w:rsidRPr="002D5D12" w:rsidRDefault="00D42431" w:rsidP="00202DEE">
            <w:pPr>
              <w:pStyle w:val="TableText"/>
              <w:jc w:val="right"/>
              <w:rPr>
                <w:rFonts w:cs="Calibri"/>
                <w:szCs w:val="16"/>
              </w:rPr>
            </w:pPr>
            <w:r w:rsidRPr="002D5D12">
              <w:rPr>
                <w:rFonts w:cs="Calibri"/>
                <w:szCs w:val="16"/>
              </w:rPr>
              <w:t>–16,031.9</w:t>
            </w:r>
          </w:p>
        </w:tc>
        <w:tc>
          <w:tcPr>
            <w:tcW w:w="1021" w:type="dxa"/>
            <w:vAlign w:val="bottom"/>
            <w:hideMark/>
          </w:tcPr>
          <w:p w14:paraId="71004D11" w14:textId="77777777" w:rsidR="00D42431" w:rsidRPr="002D5D12" w:rsidRDefault="00D42431" w:rsidP="00202DEE">
            <w:pPr>
              <w:pStyle w:val="TableText"/>
              <w:jc w:val="right"/>
              <w:rPr>
                <w:rFonts w:cs="Calibri"/>
                <w:szCs w:val="16"/>
              </w:rPr>
            </w:pPr>
            <w:r w:rsidRPr="002D5D12">
              <w:rPr>
                <w:rFonts w:cs="Calibri"/>
                <w:szCs w:val="16"/>
              </w:rPr>
              <w:t>–146,696.7</w:t>
            </w:r>
          </w:p>
        </w:tc>
      </w:tr>
      <w:tr w:rsidR="00D42431" w:rsidRPr="002D5D12" w14:paraId="00166946" w14:textId="77777777" w:rsidTr="0043249A">
        <w:tc>
          <w:tcPr>
            <w:tcW w:w="1304" w:type="dxa"/>
            <w:hideMark/>
          </w:tcPr>
          <w:p w14:paraId="21994344" w14:textId="77777777" w:rsidR="00D42431" w:rsidRPr="002D5D12" w:rsidRDefault="00D42431" w:rsidP="00202DEE">
            <w:pPr>
              <w:pStyle w:val="TableTextBold"/>
              <w:rPr>
                <w:rFonts w:cs="Calibri"/>
                <w:noProof w:val="0"/>
                <w:szCs w:val="16"/>
              </w:rPr>
            </w:pPr>
            <w:r w:rsidRPr="002D5D12">
              <w:rPr>
                <w:rFonts w:cs="Calibri"/>
                <w:noProof w:val="0"/>
                <w:szCs w:val="16"/>
              </w:rPr>
              <w:t xml:space="preserve">Net emissions </w:t>
            </w:r>
          </w:p>
        </w:tc>
        <w:tc>
          <w:tcPr>
            <w:tcW w:w="1021" w:type="dxa"/>
            <w:vAlign w:val="bottom"/>
            <w:hideMark/>
          </w:tcPr>
          <w:p w14:paraId="0FB64E97" w14:textId="77777777" w:rsidR="00D42431" w:rsidRPr="002D5D12" w:rsidRDefault="00D42431" w:rsidP="00202DEE">
            <w:pPr>
              <w:pStyle w:val="TableTextBold"/>
              <w:jc w:val="right"/>
              <w:rPr>
                <w:rFonts w:cs="Calibri"/>
                <w:noProof w:val="0"/>
                <w:szCs w:val="16"/>
              </w:rPr>
            </w:pPr>
            <w:r w:rsidRPr="002D5D12">
              <w:rPr>
                <w:rFonts w:cs="Calibri"/>
                <w:noProof w:val="0"/>
                <w:szCs w:val="16"/>
              </w:rPr>
              <w:t>–32,764.3</w:t>
            </w:r>
          </w:p>
        </w:tc>
        <w:tc>
          <w:tcPr>
            <w:tcW w:w="907" w:type="dxa"/>
            <w:vAlign w:val="bottom"/>
            <w:hideMark/>
          </w:tcPr>
          <w:p w14:paraId="5FF1A3E3" w14:textId="77777777" w:rsidR="00D42431" w:rsidRPr="002D5D12" w:rsidRDefault="00D42431" w:rsidP="00202DEE">
            <w:pPr>
              <w:pStyle w:val="TableTextBold"/>
              <w:jc w:val="right"/>
              <w:rPr>
                <w:rFonts w:cs="Calibri"/>
                <w:noProof w:val="0"/>
                <w:szCs w:val="16"/>
              </w:rPr>
            </w:pPr>
            <w:r w:rsidRPr="002D5D12">
              <w:rPr>
                <w:rFonts w:cs="Calibri"/>
                <w:noProof w:val="0"/>
                <w:szCs w:val="16"/>
              </w:rPr>
              <w:t>–33,234.2</w:t>
            </w:r>
          </w:p>
        </w:tc>
        <w:tc>
          <w:tcPr>
            <w:tcW w:w="907" w:type="dxa"/>
            <w:vAlign w:val="bottom"/>
            <w:hideMark/>
          </w:tcPr>
          <w:p w14:paraId="54291BAC" w14:textId="77777777" w:rsidR="00D42431" w:rsidRPr="002D5D12" w:rsidRDefault="00D42431" w:rsidP="00202DEE">
            <w:pPr>
              <w:pStyle w:val="TableTextBold"/>
              <w:jc w:val="right"/>
              <w:rPr>
                <w:rFonts w:cs="Calibri"/>
                <w:noProof w:val="0"/>
                <w:szCs w:val="16"/>
              </w:rPr>
            </w:pPr>
            <w:r w:rsidRPr="002D5D12">
              <w:rPr>
                <w:rFonts w:cs="Calibri"/>
                <w:noProof w:val="0"/>
                <w:szCs w:val="16"/>
              </w:rPr>
              <w:t>–33,108.3</w:t>
            </w:r>
          </w:p>
        </w:tc>
        <w:tc>
          <w:tcPr>
            <w:tcW w:w="907" w:type="dxa"/>
            <w:vAlign w:val="bottom"/>
            <w:hideMark/>
          </w:tcPr>
          <w:p w14:paraId="48177804" w14:textId="77777777" w:rsidR="00D42431" w:rsidRPr="002D5D12" w:rsidRDefault="00D42431" w:rsidP="00202DEE">
            <w:pPr>
              <w:pStyle w:val="TableTextBold"/>
              <w:jc w:val="right"/>
              <w:rPr>
                <w:rFonts w:cs="Calibri"/>
                <w:noProof w:val="0"/>
                <w:szCs w:val="16"/>
              </w:rPr>
            </w:pPr>
            <w:r w:rsidRPr="002D5D12">
              <w:rPr>
                <w:rFonts w:cs="Calibri"/>
                <w:noProof w:val="0"/>
                <w:szCs w:val="16"/>
              </w:rPr>
              <w:t>–32,077.4</w:t>
            </w:r>
          </w:p>
        </w:tc>
        <w:tc>
          <w:tcPr>
            <w:tcW w:w="907" w:type="dxa"/>
            <w:vAlign w:val="bottom"/>
            <w:hideMark/>
          </w:tcPr>
          <w:p w14:paraId="476405D2" w14:textId="77777777" w:rsidR="00D42431" w:rsidRPr="002D5D12" w:rsidRDefault="00D42431" w:rsidP="00202DEE">
            <w:pPr>
              <w:pStyle w:val="TableTextBold"/>
              <w:jc w:val="right"/>
              <w:rPr>
                <w:rFonts w:cs="Calibri"/>
                <w:noProof w:val="0"/>
                <w:szCs w:val="16"/>
              </w:rPr>
            </w:pPr>
            <w:r w:rsidRPr="002D5D12">
              <w:rPr>
                <w:rFonts w:cs="Calibri"/>
                <w:noProof w:val="0"/>
                <w:szCs w:val="16"/>
              </w:rPr>
              <w:t>–31,144.4</w:t>
            </w:r>
          </w:p>
        </w:tc>
        <w:tc>
          <w:tcPr>
            <w:tcW w:w="907" w:type="dxa"/>
            <w:vAlign w:val="bottom"/>
            <w:hideMark/>
          </w:tcPr>
          <w:p w14:paraId="6340375B" w14:textId="77777777" w:rsidR="00D42431" w:rsidRPr="002D5D12" w:rsidRDefault="00D42431" w:rsidP="00202DEE">
            <w:pPr>
              <w:pStyle w:val="TableTextBold"/>
              <w:jc w:val="right"/>
              <w:rPr>
                <w:rFonts w:cs="Calibri"/>
                <w:noProof w:val="0"/>
                <w:szCs w:val="16"/>
              </w:rPr>
            </w:pPr>
            <w:r w:rsidRPr="002D5D12">
              <w:rPr>
                <w:rFonts w:cs="Calibri"/>
                <w:noProof w:val="0"/>
                <w:szCs w:val="16"/>
              </w:rPr>
              <w:t>–30,669.0</w:t>
            </w:r>
          </w:p>
        </w:tc>
        <w:tc>
          <w:tcPr>
            <w:tcW w:w="907" w:type="dxa"/>
            <w:vAlign w:val="bottom"/>
            <w:hideMark/>
          </w:tcPr>
          <w:p w14:paraId="319897BE" w14:textId="77777777" w:rsidR="00D42431" w:rsidRPr="002D5D12" w:rsidRDefault="00D42431" w:rsidP="00202DEE">
            <w:pPr>
              <w:pStyle w:val="TableTextBold"/>
              <w:jc w:val="right"/>
              <w:rPr>
                <w:rFonts w:cs="Calibri"/>
                <w:noProof w:val="0"/>
                <w:szCs w:val="16"/>
              </w:rPr>
            </w:pPr>
            <w:r w:rsidRPr="002D5D12">
              <w:rPr>
                <w:rFonts w:cs="Calibri"/>
                <w:noProof w:val="0"/>
                <w:szCs w:val="16"/>
              </w:rPr>
              <w:t>–28,822.5</w:t>
            </w:r>
          </w:p>
        </w:tc>
        <w:tc>
          <w:tcPr>
            <w:tcW w:w="907" w:type="dxa"/>
            <w:vAlign w:val="bottom"/>
            <w:hideMark/>
          </w:tcPr>
          <w:p w14:paraId="46022D43" w14:textId="77777777" w:rsidR="00D42431" w:rsidRPr="002D5D12" w:rsidRDefault="00D42431" w:rsidP="00202DEE">
            <w:pPr>
              <w:pStyle w:val="TableTextBold"/>
              <w:jc w:val="right"/>
              <w:rPr>
                <w:rFonts w:cs="Calibri"/>
                <w:noProof w:val="0"/>
                <w:szCs w:val="16"/>
              </w:rPr>
            </w:pPr>
            <w:r w:rsidRPr="002D5D12">
              <w:rPr>
                <w:rFonts w:cs="Calibri"/>
                <w:noProof w:val="0"/>
                <w:szCs w:val="16"/>
              </w:rPr>
              <w:t>–29,476.1</w:t>
            </w:r>
          </w:p>
        </w:tc>
        <w:tc>
          <w:tcPr>
            <w:tcW w:w="1021" w:type="dxa"/>
            <w:vAlign w:val="bottom"/>
            <w:hideMark/>
          </w:tcPr>
          <w:p w14:paraId="5C8F49FD" w14:textId="77777777" w:rsidR="00D42431" w:rsidRPr="002D5D12" w:rsidRDefault="00D42431" w:rsidP="00202DEE">
            <w:pPr>
              <w:pStyle w:val="TableTextBold"/>
              <w:jc w:val="right"/>
              <w:rPr>
                <w:rFonts w:cs="Calibri"/>
                <w:noProof w:val="0"/>
                <w:szCs w:val="16"/>
              </w:rPr>
            </w:pPr>
            <w:r w:rsidRPr="002D5D12">
              <w:rPr>
                <w:rFonts w:cs="Calibri"/>
                <w:noProof w:val="0"/>
                <w:szCs w:val="16"/>
              </w:rPr>
              <w:t>–251,296.2</w:t>
            </w:r>
          </w:p>
        </w:tc>
      </w:tr>
      <w:tr w:rsidR="00D42431" w:rsidRPr="002D5D12" w14:paraId="351637CC" w14:textId="77777777" w:rsidTr="0043249A">
        <w:tc>
          <w:tcPr>
            <w:tcW w:w="1304" w:type="dxa"/>
            <w:hideMark/>
          </w:tcPr>
          <w:p w14:paraId="76D1474B" w14:textId="77777777" w:rsidR="00D42431" w:rsidRPr="002D5D12" w:rsidRDefault="00D42431" w:rsidP="00202DEE">
            <w:pPr>
              <w:pStyle w:val="TableText"/>
              <w:rPr>
                <w:rFonts w:cs="Calibri"/>
                <w:szCs w:val="16"/>
              </w:rPr>
            </w:pPr>
            <w:r w:rsidRPr="002D5D12">
              <w:rPr>
                <w:rFonts w:cs="Calibri"/>
                <w:szCs w:val="16"/>
              </w:rPr>
              <w:t>Excluded emissions from natural disturbances</w:t>
            </w:r>
          </w:p>
        </w:tc>
        <w:tc>
          <w:tcPr>
            <w:tcW w:w="1021" w:type="dxa"/>
            <w:vAlign w:val="bottom"/>
            <w:hideMark/>
          </w:tcPr>
          <w:p w14:paraId="55A8F02C" w14:textId="77777777" w:rsidR="00D42431" w:rsidRPr="002D5D12" w:rsidRDefault="00D42431" w:rsidP="00202DEE">
            <w:pPr>
              <w:pStyle w:val="TableText"/>
              <w:jc w:val="right"/>
              <w:rPr>
                <w:rFonts w:cs="Calibri"/>
                <w:szCs w:val="16"/>
              </w:rPr>
            </w:pPr>
          </w:p>
        </w:tc>
        <w:tc>
          <w:tcPr>
            <w:tcW w:w="907" w:type="dxa"/>
            <w:vAlign w:val="bottom"/>
            <w:hideMark/>
          </w:tcPr>
          <w:p w14:paraId="4D12AD10" w14:textId="77777777" w:rsidR="00D42431" w:rsidRPr="002D5D12" w:rsidRDefault="00D42431" w:rsidP="00202DEE">
            <w:pPr>
              <w:pStyle w:val="TableText"/>
              <w:jc w:val="right"/>
              <w:rPr>
                <w:rFonts w:cs="Calibri"/>
                <w:szCs w:val="16"/>
              </w:rPr>
            </w:pPr>
          </w:p>
        </w:tc>
        <w:tc>
          <w:tcPr>
            <w:tcW w:w="907" w:type="dxa"/>
            <w:vAlign w:val="bottom"/>
            <w:hideMark/>
          </w:tcPr>
          <w:p w14:paraId="608619EC" w14:textId="77777777" w:rsidR="00D42431" w:rsidRPr="002D5D12" w:rsidRDefault="00D42431" w:rsidP="00202DEE">
            <w:pPr>
              <w:pStyle w:val="TableText"/>
              <w:jc w:val="right"/>
              <w:rPr>
                <w:rFonts w:cs="Calibri"/>
                <w:szCs w:val="16"/>
              </w:rPr>
            </w:pPr>
          </w:p>
        </w:tc>
        <w:tc>
          <w:tcPr>
            <w:tcW w:w="907" w:type="dxa"/>
            <w:vAlign w:val="bottom"/>
            <w:hideMark/>
          </w:tcPr>
          <w:p w14:paraId="139D6E25" w14:textId="77777777" w:rsidR="00D42431" w:rsidRPr="002D5D12" w:rsidRDefault="00D42431" w:rsidP="00202DEE">
            <w:pPr>
              <w:pStyle w:val="TableText"/>
              <w:jc w:val="right"/>
              <w:rPr>
                <w:rFonts w:cs="Calibri"/>
                <w:szCs w:val="16"/>
              </w:rPr>
            </w:pPr>
          </w:p>
        </w:tc>
        <w:tc>
          <w:tcPr>
            <w:tcW w:w="907" w:type="dxa"/>
            <w:vAlign w:val="bottom"/>
            <w:hideMark/>
          </w:tcPr>
          <w:p w14:paraId="19973B24" w14:textId="77777777" w:rsidR="00D42431" w:rsidRPr="002D5D12" w:rsidRDefault="00D42431" w:rsidP="00202DEE">
            <w:pPr>
              <w:pStyle w:val="TableText"/>
              <w:jc w:val="right"/>
              <w:rPr>
                <w:rFonts w:cs="Calibri"/>
                <w:szCs w:val="16"/>
              </w:rPr>
            </w:pPr>
          </w:p>
        </w:tc>
        <w:tc>
          <w:tcPr>
            <w:tcW w:w="907" w:type="dxa"/>
            <w:vAlign w:val="bottom"/>
            <w:hideMark/>
          </w:tcPr>
          <w:p w14:paraId="59C4824F" w14:textId="77777777" w:rsidR="00D42431" w:rsidRPr="002D5D12" w:rsidRDefault="00D42431" w:rsidP="00202DEE">
            <w:pPr>
              <w:pStyle w:val="TableText"/>
              <w:jc w:val="right"/>
              <w:rPr>
                <w:rFonts w:cs="Calibri"/>
                <w:szCs w:val="16"/>
              </w:rPr>
            </w:pPr>
          </w:p>
        </w:tc>
        <w:tc>
          <w:tcPr>
            <w:tcW w:w="907" w:type="dxa"/>
            <w:vAlign w:val="bottom"/>
            <w:hideMark/>
          </w:tcPr>
          <w:p w14:paraId="62C7ED4F" w14:textId="77777777" w:rsidR="00D42431" w:rsidRPr="002D5D12" w:rsidRDefault="00D42431" w:rsidP="00202DEE">
            <w:pPr>
              <w:pStyle w:val="TableText"/>
              <w:jc w:val="right"/>
              <w:rPr>
                <w:rFonts w:cs="Calibri"/>
                <w:szCs w:val="16"/>
              </w:rPr>
            </w:pPr>
          </w:p>
        </w:tc>
        <w:tc>
          <w:tcPr>
            <w:tcW w:w="907" w:type="dxa"/>
            <w:vAlign w:val="bottom"/>
            <w:hideMark/>
          </w:tcPr>
          <w:p w14:paraId="2AE7DD05" w14:textId="77777777" w:rsidR="00D42431" w:rsidRPr="002D5D12" w:rsidRDefault="00D42431" w:rsidP="00202DEE">
            <w:pPr>
              <w:pStyle w:val="TableText"/>
              <w:jc w:val="right"/>
              <w:rPr>
                <w:rFonts w:cs="Calibri"/>
                <w:szCs w:val="16"/>
              </w:rPr>
            </w:pPr>
          </w:p>
        </w:tc>
        <w:tc>
          <w:tcPr>
            <w:tcW w:w="1021" w:type="dxa"/>
            <w:vAlign w:val="bottom"/>
            <w:hideMark/>
          </w:tcPr>
          <w:p w14:paraId="1C16E32F" w14:textId="77777777" w:rsidR="00D42431" w:rsidRPr="002D5D12" w:rsidRDefault="00D42431" w:rsidP="00202DEE">
            <w:pPr>
              <w:pStyle w:val="TableText"/>
              <w:jc w:val="right"/>
              <w:rPr>
                <w:rFonts w:cs="Calibri"/>
                <w:szCs w:val="16"/>
              </w:rPr>
            </w:pPr>
          </w:p>
        </w:tc>
      </w:tr>
      <w:tr w:rsidR="00D42431" w:rsidRPr="002D5D12" w14:paraId="6D468EE2" w14:textId="77777777" w:rsidTr="0043249A">
        <w:tc>
          <w:tcPr>
            <w:tcW w:w="1304" w:type="dxa"/>
            <w:hideMark/>
          </w:tcPr>
          <w:p w14:paraId="30677004" w14:textId="77777777" w:rsidR="00D42431" w:rsidRPr="002D5D12" w:rsidRDefault="00D42431" w:rsidP="00202DEE">
            <w:pPr>
              <w:pStyle w:val="TableText"/>
              <w:rPr>
                <w:rFonts w:cs="Calibri"/>
                <w:szCs w:val="16"/>
              </w:rPr>
            </w:pPr>
            <w:r w:rsidRPr="002D5D12">
              <w:rPr>
                <w:rFonts w:cs="Calibri"/>
                <w:szCs w:val="16"/>
              </w:rPr>
              <w:t>Technically corrected forest management reference level (FMRL</w:t>
            </w:r>
            <w:r w:rsidRPr="002D5D12">
              <w:rPr>
                <w:rFonts w:cs="Calibri"/>
                <w:i/>
                <w:iCs/>
                <w:szCs w:val="16"/>
                <w:vertAlign w:val="subscript"/>
              </w:rPr>
              <w:t>corr</w:t>
            </w:r>
            <w:r w:rsidRPr="002D5D12">
              <w:rPr>
                <w:rFonts w:cs="Calibri"/>
                <w:szCs w:val="16"/>
              </w:rPr>
              <w:t xml:space="preserve">) </w:t>
            </w:r>
          </w:p>
        </w:tc>
        <w:tc>
          <w:tcPr>
            <w:tcW w:w="1021" w:type="dxa"/>
            <w:vAlign w:val="bottom"/>
            <w:hideMark/>
          </w:tcPr>
          <w:p w14:paraId="0B411A4E" w14:textId="77777777" w:rsidR="00D42431" w:rsidRPr="002D5D12" w:rsidRDefault="00D42431" w:rsidP="00202DEE">
            <w:pPr>
              <w:pStyle w:val="TableText"/>
              <w:jc w:val="right"/>
              <w:rPr>
                <w:rFonts w:cs="Calibri"/>
                <w:szCs w:val="16"/>
              </w:rPr>
            </w:pPr>
          </w:p>
        </w:tc>
        <w:tc>
          <w:tcPr>
            <w:tcW w:w="907" w:type="dxa"/>
            <w:vAlign w:val="bottom"/>
            <w:hideMark/>
          </w:tcPr>
          <w:p w14:paraId="5B9AD570" w14:textId="77777777" w:rsidR="00D42431" w:rsidRPr="002D5D12" w:rsidRDefault="00D42431" w:rsidP="00202DEE">
            <w:pPr>
              <w:pStyle w:val="TableText"/>
              <w:jc w:val="right"/>
              <w:rPr>
                <w:rFonts w:cs="Calibri"/>
                <w:szCs w:val="16"/>
              </w:rPr>
            </w:pPr>
          </w:p>
        </w:tc>
        <w:tc>
          <w:tcPr>
            <w:tcW w:w="907" w:type="dxa"/>
            <w:vAlign w:val="bottom"/>
            <w:hideMark/>
          </w:tcPr>
          <w:p w14:paraId="5DFAFEE1" w14:textId="77777777" w:rsidR="00D42431" w:rsidRPr="002D5D12" w:rsidRDefault="00D42431" w:rsidP="00202DEE">
            <w:pPr>
              <w:pStyle w:val="TableText"/>
              <w:jc w:val="right"/>
              <w:rPr>
                <w:rFonts w:cs="Calibri"/>
                <w:szCs w:val="16"/>
              </w:rPr>
            </w:pPr>
          </w:p>
        </w:tc>
        <w:tc>
          <w:tcPr>
            <w:tcW w:w="907" w:type="dxa"/>
            <w:vAlign w:val="bottom"/>
            <w:hideMark/>
          </w:tcPr>
          <w:p w14:paraId="0110EBBD" w14:textId="77777777" w:rsidR="00D42431" w:rsidRPr="002D5D12" w:rsidRDefault="00D42431" w:rsidP="00202DEE">
            <w:pPr>
              <w:pStyle w:val="TableText"/>
              <w:jc w:val="right"/>
              <w:rPr>
                <w:rFonts w:cs="Calibri"/>
                <w:szCs w:val="16"/>
              </w:rPr>
            </w:pPr>
          </w:p>
        </w:tc>
        <w:tc>
          <w:tcPr>
            <w:tcW w:w="907" w:type="dxa"/>
            <w:vAlign w:val="bottom"/>
            <w:hideMark/>
          </w:tcPr>
          <w:p w14:paraId="013057A7" w14:textId="77777777" w:rsidR="00D42431" w:rsidRPr="002D5D12" w:rsidRDefault="00D42431" w:rsidP="00202DEE">
            <w:pPr>
              <w:pStyle w:val="TableText"/>
              <w:jc w:val="right"/>
              <w:rPr>
                <w:rFonts w:cs="Calibri"/>
                <w:szCs w:val="16"/>
              </w:rPr>
            </w:pPr>
          </w:p>
        </w:tc>
        <w:tc>
          <w:tcPr>
            <w:tcW w:w="907" w:type="dxa"/>
            <w:vAlign w:val="bottom"/>
            <w:hideMark/>
          </w:tcPr>
          <w:p w14:paraId="369F58AB" w14:textId="77777777" w:rsidR="00D42431" w:rsidRPr="002D5D12" w:rsidRDefault="00D42431" w:rsidP="00202DEE">
            <w:pPr>
              <w:pStyle w:val="TableText"/>
              <w:jc w:val="right"/>
              <w:rPr>
                <w:rFonts w:cs="Calibri"/>
                <w:szCs w:val="16"/>
              </w:rPr>
            </w:pPr>
          </w:p>
        </w:tc>
        <w:tc>
          <w:tcPr>
            <w:tcW w:w="907" w:type="dxa"/>
            <w:vAlign w:val="bottom"/>
            <w:hideMark/>
          </w:tcPr>
          <w:p w14:paraId="1A196389" w14:textId="77777777" w:rsidR="00D42431" w:rsidRPr="002D5D12" w:rsidRDefault="00D42431" w:rsidP="00202DEE">
            <w:pPr>
              <w:pStyle w:val="TableText"/>
              <w:jc w:val="right"/>
              <w:rPr>
                <w:rFonts w:cs="Calibri"/>
                <w:szCs w:val="16"/>
              </w:rPr>
            </w:pPr>
          </w:p>
        </w:tc>
        <w:tc>
          <w:tcPr>
            <w:tcW w:w="907" w:type="dxa"/>
            <w:vAlign w:val="bottom"/>
            <w:hideMark/>
          </w:tcPr>
          <w:p w14:paraId="5B0C4DF8" w14:textId="77777777" w:rsidR="00D42431" w:rsidRPr="002D5D12" w:rsidRDefault="00D42431" w:rsidP="00202DEE">
            <w:pPr>
              <w:pStyle w:val="TableText"/>
              <w:jc w:val="right"/>
              <w:rPr>
                <w:rFonts w:cs="Calibri"/>
                <w:szCs w:val="16"/>
              </w:rPr>
            </w:pPr>
          </w:p>
        </w:tc>
        <w:tc>
          <w:tcPr>
            <w:tcW w:w="1021" w:type="dxa"/>
            <w:vAlign w:val="bottom"/>
            <w:hideMark/>
          </w:tcPr>
          <w:p w14:paraId="0217FCB6" w14:textId="77777777" w:rsidR="00D42431" w:rsidRPr="002D5D12" w:rsidRDefault="00D42431" w:rsidP="00202DEE">
            <w:pPr>
              <w:pStyle w:val="TableText"/>
              <w:jc w:val="right"/>
              <w:rPr>
                <w:rFonts w:cs="Calibri"/>
                <w:szCs w:val="16"/>
              </w:rPr>
            </w:pPr>
            <w:r w:rsidRPr="002D5D12">
              <w:rPr>
                <w:rFonts w:cs="Calibri"/>
                <w:szCs w:val="16"/>
              </w:rPr>
              <w:t>–14,339.3</w:t>
            </w:r>
          </w:p>
        </w:tc>
      </w:tr>
      <w:tr w:rsidR="00D42431" w:rsidRPr="002D5D12" w14:paraId="31B15017" w14:textId="77777777" w:rsidTr="0043249A">
        <w:tc>
          <w:tcPr>
            <w:tcW w:w="1304" w:type="dxa"/>
            <w:tcBorders>
              <w:bottom w:val="single" w:sz="4" w:space="0" w:color="1B556B"/>
            </w:tcBorders>
            <w:hideMark/>
          </w:tcPr>
          <w:p w14:paraId="46E459DB" w14:textId="77777777" w:rsidR="00D42431" w:rsidRPr="002D5D12" w:rsidRDefault="00D42431" w:rsidP="00202DEE">
            <w:pPr>
              <w:pStyle w:val="TableText"/>
              <w:rPr>
                <w:rFonts w:cs="Calibri"/>
                <w:szCs w:val="16"/>
              </w:rPr>
            </w:pPr>
            <w:r w:rsidRPr="002D5D12">
              <w:rPr>
                <w:rFonts w:cs="Calibri"/>
                <w:szCs w:val="16"/>
              </w:rPr>
              <w:t>Forest management cap for period to 2020</w:t>
            </w:r>
          </w:p>
        </w:tc>
        <w:tc>
          <w:tcPr>
            <w:tcW w:w="1021" w:type="dxa"/>
            <w:tcBorders>
              <w:bottom w:val="single" w:sz="4" w:space="0" w:color="1B556B"/>
            </w:tcBorders>
            <w:vAlign w:val="bottom"/>
            <w:hideMark/>
          </w:tcPr>
          <w:p w14:paraId="41580ABD" w14:textId="77777777" w:rsidR="00D42431" w:rsidRPr="002D5D12" w:rsidRDefault="00D42431" w:rsidP="00202DEE">
            <w:pPr>
              <w:pStyle w:val="TableText"/>
              <w:jc w:val="right"/>
              <w:rPr>
                <w:rFonts w:cs="Calibri"/>
                <w:szCs w:val="16"/>
              </w:rPr>
            </w:pPr>
          </w:p>
        </w:tc>
        <w:tc>
          <w:tcPr>
            <w:tcW w:w="907" w:type="dxa"/>
            <w:tcBorders>
              <w:bottom w:val="single" w:sz="4" w:space="0" w:color="1B556B"/>
            </w:tcBorders>
            <w:vAlign w:val="bottom"/>
            <w:hideMark/>
          </w:tcPr>
          <w:p w14:paraId="69A0C8E1" w14:textId="77777777" w:rsidR="00D42431" w:rsidRPr="002D5D12" w:rsidRDefault="00D42431" w:rsidP="00202DEE">
            <w:pPr>
              <w:pStyle w:val="TableText"/>
              <w:jc w:val="right"/>
              <w:rPr>
                <w:rFonts w:cs="Calibri"/>
                <w:szCs w:val="16"/>
              </w:rPr>
            </w:pPr>
          </w:p>
        </w:tc>
        <w:tc>
          <w:tcPr>
            <w:tcW w:w="907" w:type="dxa"/>
            <w:tcBorders>
              <w:bottom w:val="single" w:sz="4" w:space="0" w:color="1B556B"/>
            </w:tcBorders>
            <w:vAlign w:val="bottom"/>
            <w:hideMark/>
          </w:tcPr>
          <w:p w14:paraId="58473FDF" w14:textId="77777777" w:rsidR="00D42431" w:rsidRPr="002D5D12" w:rsidRDefault="00D42431" w:rsidP="00202DEE">
            <w:pPr>
              <w:pStyle w:val="TableText"/>
              <w:jc w:val="right"/>
              <w:rPr>
                <w:rFonts w:cs="Calibri"/>
                <w:szCs w:val="16"/>
              </w:rPr>
            </w:pPr>
          </w:p>
        </w:tc>
        <w:tc>
          <w:tcPr>
            <w:tcW w:w="907" w:type="dxa"/>
            <w:tcBorders>
              <w:bottom w:val="single" w:sz="4" w:space="0" w:color="1B556B"/>
            </w:tcBorders>
            <w:vAlign w:val="bottom"/>
            <w:hideMark/>
          </w:tcPr>
          <w:p w14:paraId="406A2993" w14:textId="77777777" w:rsidR="00D42431" w:rsidRPr="002D5D12" w:rsidRDefault="00D42431" w:rsidP="00202DEE">
            <w:pPr>
              <w:pStyle w:val="TableText"/>
              <w:jc w:val="right"/>
              <w:rPr>
                <w:rFonts w:cs="Calibri"/>
                <w:szCs w:val="16"/>
              </w:rPr>
            </w:pPr>
          </w:p>
        </w:tc>
        <w:tc>
          <w:tcPr>
            <w:tcW w:w="907" w:type="dxa"/>
            <w:tcBorders>
              <w:bottom w:val="single" w:sz="4" w:space="0" w:color="1B556B"/>
            </w:tcBorders>
            <w:vAlign w:val="bottom"/>
            <w:hideMark/>
          </w:tcPr>
          <w:p w14:paraId="43C9C4E5" w14:textId="77777777" w:rsidR="00D42431" w:rsidRPr="002D5D12" w:rsidRDefault="00D42431" w:rsidP="00202DEE">
            <w:pPr>
              <w:pStyle w:val="TableText"/>
              <w:jc w:val="right"/>
              <w:rPr>
                <w:rFonts w:cs="Calibri"/>
                <w:szCs w:val="16"/>
              </w:rPr>
            </w:pPr>
          </w:p>
        </w:tc>
        <w:tc>
          <w:tcPr>
            <w:tcW w:w="907" w:type="dxa"/>
            <w:tcBorders>
              <w:bottom w:val="single" w:sz="4" w:space="0" w:color="1B556B"/>
            </w:tcBorders>
            <w:vAlign w:val="bottom"/>
            <w:hideMark/>
          </w:tcPr>
          <w:p w14:paraId="2E934C86" w14:textId="77777777" w:rsidR="00D42431" w:rsidRPr="002D5D12" w:rsidRDefault="00D42431" w:rsidP="00202DEE">
            <w:pPr>
              <w:pStyle w:val="TableText"/>
              <w:jc w:val="right"/>
              <w:rPr>
                <w:rFonts w:cs="Calibri"/>
                <w:szCs w:val="16"/>
              </w:rPr>
            </w:pPr>
          </w:p>
        </w:tc>
        <w:tc>
          <w:tcPr>
            <w:tcW w:w="907" w:type="dxa"/>
            <w:tcBorders>
              <w:bottom w:val="single" w:sz="4" w:space="0" w:color="1B556B"/>
            </w:tcBorders>
            <w:vAlign w:val="bottom"/>
            <w:hideMark/>
          </w:tcPr>
          <w:p w14:paraId="63EB8785" w14:textId="77777777" w:rsidR="00D42431" w:rsidRPr="002D5D12" w:rsidRDefault="00D42431" w:rsidP="00202DEE">
            <w:pPr>
              <w:pStyle w:val="TableText"/>
              <w:jc w:val="right"/>
              <w:rPr>
                <w:rFonts w:cs="Calibri"/>
                <w:szCs w:val="16"/>
              </w:rPr>
            </w:pPr>
          </w:p>
        </w:tc>
        <w:tc>
          <w:tcPr>
            <w:tcW w:w="907" w:type="dxa"/>
            <w:tcBorders>
              <w:bottom w:val="single" w:sz="4" w:space="0" w:color="1B556B"/>
            </w:tcBorders>
            <w:vAlign w:val="bottom"/>
            <w:hideMark/>
          </w:tcPr>
          <w:p w14:paraId="5DBAE729" w14:textId="77777777" w:rsidR="00D42431" w:rsidRPr="002D5D12" w:rsidRDefault="00D42431" w:rsidP="00202DEE">
            <w:pPr>
              <w:pStyle w:val="TableText"/>
              <w:jc w:val="right"/>
              <w:rPr>
                <w:rFonts w:cs="Calibri"/>
                <w:szCs w:val="16"/>
              </w:rPr>
            </w:pPr>
          </w:p>
        </w:tc>
        <w:tc>
          <w:tcPr>
            <w:tcW w:w="1021" w:type="dxa"/>
            <w:tcBorders>
              <w:bottom w:val="single" w:sz="4" w:space="0" w:color="1B556B"/>
            </w:tcBorders>
            <w:vAlign w:val="bottom"/>
            <w:hideMark/>
          </w:tcPr>
          <w:p w14:paraId="6642F4AC" w14:textId="77777777" w:rsidR="00D42431" w:rsidRPr="002D5D12" w:rsidRDefault="00D42431" w:rsidP="00202DEE">
            <w:pPr>
              <w:pStyle w:val="TableText"/>
              <w:jc w:val="right"/>
              <w:rPr>
                <w:rFonts w:cs="Calibri"/>
                <w:szCs w:val="16"/>
              </w:rPr>
            </w:pPr>
            <w:r w:rsidRPr="002D5D12">
              <w:rPr>
                <w:rFonts w:cs="Calibri"/>
                <w:szCs w:val="16"/>
              </w:rPr>
              <w:t>–18,681.6</w:t>
            </w:r>
          </w:p>
        </w:tc>
      </w:tr>
      <w:tr w:rsidR="00D42431" w:rsidRPr="002D5D12" w14:paraId="454843AD" w14:textId="77777777" w:rsidTr="0043249A">
        <w:tc>
          <w:tcPr>
            <w:tcW w:w="1304" w:type="dxa"/>
            <w:tcBorders>
              <w:top w:val="single" w:sz="4" w:space="0" w:color="1B556B"/>
              <w:bottom w:val="single" w:sz="4" w:space="0" w:color="1B556B"/>
            </w:tcBorders>
            <w:hideMark/>
          </w:tcPr>
          <w:p w14:paraId="7A5A4184" w14:textId="77777777" w:rsidR="00D42431" w:rsidRPr="002D5D12" w:rsidRDefault="00D42431" w:rsidP="00202DEE">
            <w:pPr>
              <w:pStyle w:val="TableTextBold"/>
              <w:rPr>
                <w:rFonts w:cs="Calibri"/>
                <w:noProof w:val="0"/>
                <w:szCs w:val="16"/>
              </w:rPr>
            </w:pPr>
            <w:r w:rsidRPr="002D5D12">
              <w:rPr>
                <w:rFonts w:cs="Calibri"/>
                <w:noProof w:val="0"/>
                <w:szCs w:val="16"/>
              </w:rPr>
              <w:t>Accounting quantity excluding Forest management</w:t>
            </w:r>
          </w:p>
        </w:tc>
        <w:tc>
          <w:tcPr>
            <w:tcW w:w="1021" w:type="dxa"/>
            <w:tcBorders>
              <w:top w:val="single" w:sz="4" w:space="0" w:color="1B556B"/>
              <w:bottom w:val="single" w:sz="4" w:space="0" w:color="1B556B"/>
            </w:tcBorders>
            <w:vAlign w:val="bottom"/>
            <w:hideMark/>
          </w:tcPr>
          <w:p w14:paraId="739069E0"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bottom w:val="single" w:sz="4" w:space="0" w:color="1B556B"/>
            </w:tcBorders>
            <w:vAlign w:val="bottom"/>
            <w:hideMark/>
          </w:tcPr>
          <w:p w14:paraId="063A9936"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bottom w:val="single" w:sz="4" w:space="0" w:color="1B556B"/>
            </w:tcBorders>
            <w:vAlign w:val="bottom"/>
            <w:hideMark/>
          </w:tcPr>
          <w:p w14:paraId="11145036"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bottom w:val="single" w:sz="4" w:space="0" w:color="1B556B"/>
            </w:tcBorders>
            <w:vAlign w:val="bottom"/>
            <w:hideMark/>
          </w:tcPr>
          <w:p w14:paraId="5355E5CF"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bottom w:val="single" w:sz="4" w:space="0" w:color="1B556B"/>
            </w:tcBorders>
            <w:vAlign w:val="bottom"/>
            <w:hideMark/>
          </w:tcPr>
          <w:p w14:paraId="215E06E6"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bottom w:val="single" w:sz="4" w:space="0" w:color="1B556B"/>
            </w:tcBorders>
            <w:vAlign w:val="bottom"/>
            <w:hideMark/>
          </w:tcPr>
          <w:p w14:paraId="2F3B7115"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bottom w:val="single" w:sz="4" w:space="0" w:color="1B556B"/>
            </w:tcBorders>
            <w:vAlign w:val="bottom"/>
            <w:hideMark/>
          </w:tcPr>
          <w:p w14:paraId="166E1011"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bottom w:val="single" w:sz="4" w:space="0" w:color="1B556B"/>
            </w:tcBorders>
            <w:vAlign w:val="bottom"/>
            <w:hideMark/>
          </w:tcPr>
          <w:p w14:paraId="176B2310" w14:textId="77777777" w:rsidR="00D42431" w:rsidRPr="002D5D12" w:rsidRDefault="00D42431" w:rsidP="00202DEE">
            <w:pPr>
              <w:pStyle w:val="TableTextBold"/>
              <w:jc w:val="right"/>
              <w:rPr>
                <w:rFonts w:cs="Calibri"/>
                <w:noProof w:val="0"/>
                <w:szCs w:val="16"/>
              </w:rPr>
            </w:pPr>
          </w:p>
        </w:tc>
        <w:tc>
          <w:tcPr>
            <w:tcW w:w="1021" w:type="dxa"/>
            <w:tcBorders>
              <w:top w:val="single" w:sz="4" w:space="0" w:color="1B556B"/>
              <w:bottom w:val="single" w:sz="4" w:space="0" w:color="1B556B"/>
            </w:tcBorders>
            <w:vAlign w:val="bottom"/>
            <w:hideMark/>
          </w:tcPr>
          <w:p w14:paraId="042CC9D9" w14:textId="77777777" w:rsidR="00D42431" w:rsidRPr="002D5D12" w:rsidRDefault="00D42431" w:rsidP="00202DEE">
            <w:pPr>
              <w:pStyle w:val="TableTextBold"/>
              <w:jc w:val="right"/>
              <w:rPr>
                <w:rFonts w:cs="Calibri"/>
                <w:noProof w:val="0"/>
                <w:szCs w:val="16"/>
              </w:rPr>
            </w:pPr>
            <w:r w:rsidRPr="002D5D12">
              <w:rPr>
                <w:rFonts w:cs="Calibri"/>
                <w:noProof w:val="0"/>
                <w:szCs w:val="16"/>
              </w:rPr>
              <w:t>–104,599.5</w:t>
            </w:r>
          </w:p>
        </w:tc>
      </w:tr>
      <w:tr w:rsidR="00D42431" w:rsidRPr="002D5D12" w14:paraId="4F9E9503" w14:textId="77777777" w:rsidTr="0043249A">
        <w:tc>
          <w:tcPr>
            <w:tcW w:w="1304" w:type="dxa"/>
            <w:tcBorders>
              <w:top w:val="single" w:sz="4" w:space="0" w:color="1B556B"/>
            </w:tcBorders>
            <w:hideMark/>
          </w:tcPr>
          <w:p w14:paraId="00592662" w14:textId="77777777" w:rsidR="00D42431" w:rsidRPr="002D5D12" w:rsidRDefault="00D42431" w:rsidP="00202DEE">
            <w:pPr>
              <w:pStyle w:val="TableTextBold"/>
              <w:rPr>
                <w:rFonts w:cs="Calibri"/>
                <w:noProof w:val="0"/>
                <w:szCs w:val="16"/>
              </w:rPr>
            </w:pPr>
            <w:r w:rsidRPr="002D5D12">
              <w:rPr>
                <w:rFonts w:cs="Calibri"/>
                <w:noProof w:val="0"/>
                <w:szCs w:val="16"/>
              </w:rPr>
              <w:lastRenderedPageBreak/>
              <w:t xml:space="preserve">Accounting quantity including Forest management </w:t>
            </w:r>
          </w:p>
        </w:tc>
        <w:tc>
          <w:tcPr>
            <w:tcW w:w="1021" w:type="dxa"/>
            <w:tcBorders>
              <w:top w:val="single" w:sz="4" w:space="0" w:color="1B556B"/>
            </w:tcBorders>
            <w:vAlign w:val="bottom"/>
            <w:hideMark/>
          </w:tcPr>
          <w:p w14:paraId="77222B9B"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tcBorders>
            <w:vAlign w:val="bottom"/>
            <w:hideMark/>
          </w:tcPr>
          <w:p w14:paraId="74EFC760"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tcBorders>
            <w:vAlign w:val="bottom"/>
            <w:hideMark/>
          </w:tcPr>
          <w:p w14:paraId="2DC0B605"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tcBorders>
            <w:vAlign w:val="bottom"/>
            <w:hideMark/>
          </w:tcPr>
          <w:p w14:paraId="5513B94E"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tcBorders>
            <w:vAlign w:val="bottom"/>
            <w:hideMark/>
          </w:tcPr>
          <w:p w14:paraId="70B8B6DB"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tcBorders>
            <w:vAlign w:val="bottom"/>
            <w:hideMark/>
          </w:tcPr>
          <w:p w14:paraId="794BE15F"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tcBorders>
            <w:vAlign w:val="bottom"/>
            <w:hideMark/>
          </w:tcPr>
          <w:p w14:paraId="6F11F66A" w14:textId="77777777" w:rsidR="00D42431" w:rsidRPr="002D5D12" w:rsidRDefault="00D42431" w:rsidP="00202DEE">
            <w:pPr>
              <w:pStyle w:val="TableTextBold"/>
              <w:jc w:val="right"/>
              <w:rPr>
                <w:rFonts w:cs="Calibri"/>
                <w:noProof w:val="0"/>
                <w:szCs w:val="16"/>
              </w:rPr>
            </w:pPr>
          </w:p>
        </w:tc>
        <w:tc>
          <w:tcPr>
            <w:tcW w:w="907" w:type="dxa"/>
            <w:tcBorders>
              <w:top w:val="single" w:sz="4" w:space="0" w:color="1B556B"/>
            </w:tcBorders>
            <w:vAlign w:val="bottom"/>
            <w:hideMark/>
          </w:tcPr>
          <w:p w14:paraId="1F2738EB" w14:textId="77777777" w:rsidR="00D42431" w:rsidRPr="002D5D12" w:rsidRDefault="00D42431" w:rsidP="00202DEE">
            <w:pPr>
              <w:pStyle w:val="TableTextBold"/>
              <w:jc w:val="right"/>
              <w:rPr>
                <w:rFonts w:cs="Calibri"/>
                <w:noProof w:val="0"/>
                <w:szCs w:val="16"/>
              </w:rPr>
            </w:pPr>
          </w:p>
        </w:tc>
        <w:tc>
          <w:tcPr>
            <w:tcW w:w="1021" w:type="dxa"/>
            <w:tcBorders>
              <w:top w:val="single" w:sz="4" w:space="0" w:color="1B556B"/>
            </w:tcBorders>
            <w:vAlign w:val="bottom"/>
          </w:tcPr>
          <w:p w14:paraId="3EBF6550" w14:textId="77777777" w:rsidR="00D42431" w:rsidRPr="002D5D12" w:rsidRDefault="00D42431" w:rsidP="00202DEE">
            <w:pPr>
              <w:pStyle w:val="TableTextBold"/>
              <w:jc w:val="right"/>
              <w:rPr>
                <w:rFonts w:cs="Calibri"/>
                <w:noProof w:val="0"/>
                <w:szCs w:val="16"/>
              </w:rPr>
            </w:pPr>
            <w:r w:rsidRPr="002D5D12">
              <w:rPr>
                <w:rFonts w:cs="Calibri"/>
                <w:noProof w:val="0"/>
                <w:szCs w:val="16"/>
              </w:rPr>
              <w:t>–123,281.1</w:t>
            </w:r>
          </w:p>
        </w:tc>
      </w:tr>
      <w:tr w:rsidR="00D42431" w:rsidRPr="002D5D12" w14:paraId="5594B182" w14:textId="77777777" w:rsidTr="0043249A">
        <w:tc>
          <w:tcPr>
            <w:tcW w:w="1304" w:type="dxa"/>
            <w:tcBorders>
              <w:bottom w:val="single" w:sz="4" w:space="0" w:color="1B556B"/>
            </w:tcBorders>
            <w:hideMark/>
          </w:tcPr>
          <w:p w14:paraId="11C783F6" w14:textId="77777777" w:rsidR="00D42431" w:rsidRPr="002D5D12" w:rsidRDefault="00D42431" w:rsidP="00202DEE">
            <w:pPr>
              <w:pStyle w:val="TableText"/>
              <w:rPr>
                <w:rFonts w:cs="Calibri"/>
                <w:szCs w:val="16"/>
              </w:rPr>
            </w:pPr>
            <w:r w:rsidRPr="002D5D12">
              <w:rPr>
                <w:rFonts w:cs="Calibri"/>
                <w:szCs w:val="16"/>
              </w:rPr>
              <w:t>Annual Forest management emissions against FMRL</w:t>
            </w:r>
          </w:p>
        </w:tc>
        <w:tc>
          <w:tcPr>
            <w:tcW w:w="1021" w:type="dxa"/>
            <w:tcBorders>
              <w:bottom w:val="single" w:sz="4" w:space="0" w:color="1B556B"/>
            </w:tcBorders>
            <w:vAlign w:val="bottom"/>
            <w:hideMark/>
          </w:tcPr>
          <w:p w14:paraId="2E1E2F1D" w14:textId="77777777" w:rsidR="00D42431" w:rsidRPr="002D5D12" w:rsidRDefault="00D42431" w:rsidP="00202DEE">
            <w:pPr>
              <w:pStyle w:val="TableText"/>
              <w:jc w:val="right"/>
              <w:rPr>
                <w:rFonts w:cs="Calibri"/>
                <w:szCs w:val="16"/>
              </w:rPr>
            </w:pPr>
            <w:r w:rsidRPr="002D5D12">
              <w:rPr>
                <w:rFonts w:cs="Calibri"/>
                <w:szCs w:val="16"/>
              </w:rPr>
              <w:t>–9,841.4</w:t>
            </w:r>
          </w:p>
        </w:tc>
        <w:tc>
          <w:tcPr>
            <w:tcW w:w="907" w:type="dxa"/>
            <w:tcBorders>
              <w:bottom w:val="single" w:sz="4" w:space="0" w:color="1B556B"/>
            </w:tcBorders>
            <w:vAlign w:val="bottom"/>
            <w:hideMark/>
          </w:tcPr>
          <w:p w14:paraId="57022E98" w14:textId="77777777" w:rsidR="00D42431" w:rsidRPr="002D5D12" w:rsidRDefault="00D42431" w:rsidP="00202DEE">
            <w:pPr>
              <w:pStyle w:val="TableText"/>
              <w:jc w:val="right"/>
              <w:rPr>
                <w:rFonts w:cs="Calibri"/>
                <w:szCs w:val="16"/>
              </w:rPr>
            </w:pPr>
            <w:r w:rsidRPr="002D5D12">
              <w:rPr>
                <w:rFonts w:cs="Calibri"/>
                <w:szCs w:val="16"/>
              </w:rPr>
              <w:t>–7,638.9</w:t>
            </w:r>
          </w:p>
        </w:tc>
        <w:tc>
          <w:tcPr>
            <w:tcW w:w="907" w:type="dxa"/>
            <w:tcBorders>
              <w:bottom w:val="single" w:sz="4" w:space="0" w:color="1B556B"/>
            </w:tcBorders>
            <w:vAlign w:val="bottom"/>
            <w:hideMark/>
          </w:tcPr>
          <w:p w14:paraId="09C26CDE" w14:textId="77777777" w:rsidR="00D42431" w:rsidRPr="002D5D12" w:rsidRDefault="00D42431" w:rsidP="00202DEE">
            <w:pPr>
              <w:pStyle w:val="TableText"/>
              <w:jc w:val="right"/>
              <w:rPr>
                <w:rFonts w:cs="Calibri"/>
                <w:szCs w:val="16"/>
              </w:rPr>
            </w:pPr>
            <w:r w:rsidRPr="002D5D12">
              <w:rPr>
                <w:rFonts w:cs="Calibri"/>
                <w:szCs w:val="16"/>
              </w:rPr>
              <w:t>–5,680.2</w:t>
            </w:r>
          </w:p>
        </w:tc>
        <w:tc>
          <w:tcPr>
            <w:tcW w:w="907" w:type="dxa"/>
            <w:tcBorders>
              <w:bottom w:val="single" w:sz="4" w:space="0" w:color="1B556B"/>
            </w:tcBorders>
            <w:vAlign w:val="bottom"/>
            <w:hideMark/>
          </w:tcPr>
          <w:p w14:paraId="02D7267E" w14:textId="77777777" w:rsidR="00D42431" w:rsidRPr="002D5D12" w:rsidRDefault="00D42431" w:rsidP="00202DEE">
            <w:pPr>
              <w:pStyle w:val="TableText"/>
              <w:jc w:val="right"/>
              <w:rPr>
                <w:rFonts w:cs="Calibri"/>
                <w:szCs w:val="16"/>
              </w:rPr>
            </w:pPr>
            <w:r w:rsidRPr="002D5D12">
              <w:rPr>
                <w:rFonts w:cs="Calibri"/>
                <w:szCs w:val="16"/>
              </w:rPr>
              <w:t>–4,175.7</w:t>
            </w:r>
          </w:p>
        </w:tc>
        <w:tc>
          <w:tcPr>
            <w:tcW w:w="907" w:type="dxa"/>
            <w:tcBorders>
              <w:bottom w:val="single" w:sz="4" w:space="0" w:color="1B556B"/>
            </w:tcBorders>
            <w:vAlign w:val="bottom"/>
            <w:hideMark/>
          </w:tcPr>
          <w:p w14:paraId="12EC58D6" w14:textId="77777777" w:rsidR="00D42431" w:rsidRPr="002D5D12" w:rsidRDefault="00D42431" w:rsidP="00202DEE">
            <w:pPr>
              <w:pStyle w:val="TableText"/>
              <w:jc w:val="right"/>
              <w:rPr>
                <w:rFonts w:cs="Calibri"/>
                <w:szCs w:val="16"/>
              </w:rPr>
            </w:pPr>
            <w:r w:rsidRPr="002D5D12">
              <w:rPr>
                <w:rFonts w:cs="Calibri"/>
                <w:szCs w:val="16"/>
              </w:rPr>
              <w:t>–1,164.3</w:t>
            </w:r>
          </w:p>
        </w:tc>
        <w:tc>
          <w:tcPr>
            <w:tcW w:w="907" w:type="dxa"/>
            <w:tcBorders>
              <w:bottom w:val="single" w:sz="4" w:space="0" w:color="1B556B"/>
            </w:tcBorders>
            <w:vAlign w:val="bottom"/>
            <w:hideMark/>
          </w:tcPr>
          <w:p w14:paraId="1018D1E7" w14:textId="77777777" w:rsidR="00D42431" w:rsidRPr="002D5D12" w:rsidRDefault="00D42431" w:rsidP="00202DEE">
            <w:pPr>
              <w:pStyle w:val="TableText"/>
              <w:jc w:val="right"/>
              <w:rPr>
                <w:rFonts w:cs="Calibri"/>
                <w:szCs w:val="16"/>
              </w:rPr>
            </w:pPr>
            <w:r w:rsidRPr="002D5D12">
              <w:rPr>
                <w:rFonts w:cs="Calibri"/>
                <w:szCs w:val="16"/>
              </w:rPr>
              <w:t>–907.7</w:t>
            </w:r>
          </w:p>
        </w:tc>
        <w:tc>
          <w:tcPr>
            <w:tcW w:w="907" w:type="dxa"/>
            <w:tcBorders>
              <w:bottom w:val="single" w:sz="4" w:space="0" w:color="1B556B"/>
            </w:tcBorders>
            <w:vAlign w:val="bottom"/>
            <w:hideMark/>
          </w:tcPr>
          <w:p w14:paraId="23395254" w14:textId="77777777" w:rsidR="00D42431" w:rsidRPr="002D5D12" w:rsidRDefault="00D42431" w:rsidP="00202DEE">
            <w:pPr>
              <w:pStyle w:val="TableText"/>
              <w:jc w:val="right"/>
              <w:rPr>
                <w:rFonts w:cs="Calibri"/>
                <w:szCs w:val="16"/>
              </w:rPr>
            </w:pPr>
            <w:r w:rsidRPr="002D5D12">
              <w:rPr>
                <w:rFonts w:cs="Calibri"/>
                <w:szCs w:val="16"/>
              </w:rPr>
              <w:t>–881.4</w:t>
            </w:r>
          </w:p>
        </w:tc>
        <w:tc>
          <w:tcPr>
            <w:tcW w:w="907" w:type="dxa"/>
            <w:tcBorders>
              <w:bottom w:val="single" w:sz="4" w:space="0" w:color="1B556B"/>
            </w:tcBorders>
            <w:vAlign w:val="bottom"/>
            <w:hideMark/>
          </w:tcPr>
          <w:p w14:paraId="691817F6" w14:textId="77777777" w:rsidR="00D42431" w:rsidRPr="002D5D12" w:rsidRDefault="00D42431" w:rsidP="00202DEE">
            <w:pPr>
              <w:pStyle w:val="TableText"/>
              <w:jc w:val="right"/>
              <w:rPr>
                <w:rFonts w:cs="Calibri"/>
                <w:szCs w:val="16"/>
              </w:rPr>
            </w:pPr>
            <w:r w:rsidRPr="002D5D12">
              <w:rPr>
                <w:rFonts w:cs="Calibri"/>
                <w:szCs w:val="16"/>
              </w:rPr>
              <w:t>–1,692.6</w:t>
            </w:r>
          </w:p>
        </w:tc>
        <w:tc>
          <w:tcPr>
            <w:tcW w:w="1021" w:type="dxa"/>
            <w:tcBorders>
              <w:bottom w:val="single" w:sz="4" w:space="0" w:color="1B556B"/>
            </w:tcBorders>
            <w:vAlign w:val="bottom"/>
            <w:hideMark/>
          </w:tcPr>
          <w:p w14:paraId="5C5C2217" w14:textId="77777777" w:rsidR="00D42431" w:rsidRPr="002D5D12" w:rsidRDefault="00D42431" w:rsidP="00202DEE">
            <w:pPr>
              <w:pStyle w:val="TableText"/>
              <w:jc w:val="right"/>
              <w:rPr>
                <w:rFonts w:cs="Calibri"/>
                <w:szCs w:val="16"/>
              </w:rPr>
            </w:pPr>
          </w:p>
        </w:tc>
      </w:tr>
      <w:tr w:rsidR="00D42431" w:rsidRPr="002D5D12" w14:paraId="5D5E257C" w14:textId="77777777" w:rsidTr="0043249A">
        <w:tc>
          <w:tcPr>
            <w:tcW w:w="1304" w:type="dxa"/>
            <w:tcBorders>
              <w:top w:val="single" w:sz="4" w:space="0" w:color="1B556B"/>
              <w:bottom w:val="single" w:sz="4" w:space="0" w:color="1B556B"/>
            </w:tcBorders>
            <w:hideMark/>
          </w:tcPr>
          <w:p w14:paraId="446AAA4F" w14:textId="77777777" w:rsidR="00D42431" w:rsidRPr="002D5D12" w:rsidRDefault="00D42431" w:rsidP="00202DEE">
            <w:pPr>
              <w:pStyle w:val="TableText"/>
              <w:rPr>
                <w:rFonts w:cs="Calibri"/>
                <w:szCs w:val="16"/>
              </w:rPr>
            </w:pPr>
            <w:r w:rsidRPr="002D5D12">
              <w:rPr>
                <w:rFonts w:cs="Calibri"/>
                <w:szCs w:val="16"/>
              </w:rPr>
              <w:t xml:space="preserve">Cumulative </w:t>
            </w:r>
            <w:r w:rsidRPr="002D5D12">
              <w:rPr>
                <w:rFonts w:cs="Calibri"/>
                <w:i/>
                <w:iCs/>
                <w:szCs w:val="16"/>
              </w:rPr>
              <w:t>Forest management</w:t>
            </w:r>
            <w:r w:rsidRPr="002D5D12">
              <w:rPr>
                <w:rFonts w:cs="Calibri"/>
                <w:szCs w:val="16"/>
              </w:rPr>
              <w:t xml:space="preserve"> emissions against FMRL </w:t>
            </w:r>
          </w:p>
        </w:tc>
        <w:tc>
          <w:tcPr>
            <w:tcW w:w="1021" w:type="dxa"/>
            <w:tcBorders>
              <w:top w:val="single" w:sz="4" w:space="0" w:color="1B556B"/>
              <w:bottom w:val="single" w:sz="4" w:space="0" w:color="1B556B"/>
            </w:tcBorders>
            <w:vAlign w:val="bottom"/>
            <w:hideMark/>
          </w:tcPr>
          <w:p w14:paraId="4B14699F" w14:textId="77777777" w:rsidR="00D42431" w:rsidRPr="002D5D12" w:rsidRDefault="00D42431" w:rsidP="00202DEE">
            <w:pPr>
              <w:pStyle w:val="TableText"/>
              <w:jc w:val="right"/>
              <w:rPr>
                <w:rFonts w:cs="Calibri"/>
                <w:szCs w:val="16"/>
              </w:rPr>
            </w:pPr>
            <w:r w:rsidRPr="002D5D12">
              <w:rPr>
                <w:rFonts w:cs="Calibri"/>
                <w:szCs w:val="16"/>
              </w:rPr>
              <w:t>–9,841.4</w:t>
            </w:r>
          </w:p>
        </w:tc>
        <w:tc>
          <w:tcPr>
            <w:tcW w:w="907" w:type="dxa"/>
            <w:tcBorders>
              <w:top w:val="single" w:sz="4" w:space="0" w:color="1B556B"/>
              <w:bottom w:val="single" w:sz="4" w:space="0" w:color="1B556B"/>
            </w:tcBorders>
            <w:vAlign w:val="bottom"/>
            <w:hideMark/>
          </w:tcPr>
          <w:p w14:paraId="6924D931" w14:textId="77777777" w:rsidR="00D42431" w:rsidRPr="002D5D12" w:rsidRDefault="00D42431" w:rsidP="00202DEE">
            <w:pPr>
              <w:pStyle w:val="TableText"/>
              <w:jc w:val="right"/>
              <w:rPr>
                <w:rFonts w:cs="Calibri"/>
                <w:szCs w:val="16"/>
              </w:rPr>
            </w:pPr>
            <w:r w:rsidRPr="002D5D12">
              <w:rPr>
                <w:rFonts w:cs="Calibri"/>
                <w:szCs w:val="16"/>
              </w:rPr>
              <w:t>–17,480.3</w:t>
            </w:r>
          </w:p>
        </w:tc>
        <w:tc>
          <w:tcPr>
            <w:tcW w:w="907" w:type="dxa"/>
            <w:tcBorders>
              <w:top w:val="single" w:sz="4" w:space="0" w:color="1B556B"/>
              <w:bottom w:val="single" w:sz="4" w:space="0" w:color="1B556B"/>
            </w:tcBorders>
            <w:vAlign w:val="bottom"/>
            <w:hideMark/>
          </w:tcPr>
          <w:p w14:paraId="45AD243D" w14:textId="77777777" w:rsidR="00D42431" w:rsidRPr="002D5D12" w:rsidRDefault="00D42431" w:rsidP="00202DEE">
            <w:pPr>
              <w:pStyle w:val="TableText"/>
              <w:jc w:val="right"/>
              <w:rPr>
                <w:rFonts w:cs="Calibri"/>
                <w:szCs w:val="16"/>
              </w:rPr>
            </w:pPr>
            <w:r w:rsidRPr="002D5D12">
              <w:rPr>
                <w:rFonts w:cs="Calibri"/>
                <w:szCs w:val="16"/>
              </w:rPr>
              <w:t>–23,160.5</w:t>
            </w:r>
          </w:p>
        </w:tc>
        <w:tc>
          <w:tcPr>
            <w:tcW w:w="907" w:type="dxa"/>
            <w:tcBorders>
              <w:top w:val="single" w:sz="4" w:space="0" w:color="1B556B"/>
              <w:bottom w:val="single" w:sz="4" w:space="0" w:color="1B556B"/>
            </w:tcBorders>
            <w:vAlign w:val="bottom"/>
            <w:hideMark/>
          </w:tcPr>
          <w:p w14:paraId="1E54002B" w14:textId="77777777" w:rsidR="00D42431" w:rsidRPr="002D5D12" w:rsidRDefault="00D42431" w:rsidP="00202DEE">
            <w:pPr>
              <w:pStyle w:val="TableText"/>
              <w:jc w:val="right"/>
              <w:rPr>
                <w:rFonts w:cs="Calibri"/>
                <w:szCs w:val="16"/>
              </w:rPr>
            </w:pPr>
            <w:r w:rsidRPr="002D5D12">
              <w:rPr>
                <w:rFonts w:cs="Calibri"/>
                <w:szCs w:val="16"/>
              </w:rPr>
              <w:t>–27,336.1</w:t>
            </w:r>
          </w:p>
        </w:tc>
        <w:tc>
          <w:tcPr>
            <w:tcW w:w="907" w:type="dxa"/>
            <w:tcBorders>
              <w:top w:val="single" w:sz="4" w:space="0" w:color="1B556B"/>
              <w:bottom w:val="single" w:sz="4" w:space="0" w:color="1B556B"/>
            </w:tcBorders>
            <w:vAlign w:val="bottom"/>
            <w:hideMark/>
          </w:tcPr>
          <w:p w14:paraId="17973A74" w14:textId="77777777" w:rsidR="00D42431" w:rsidRPr="002D5D12" w:rsidRDefault="00D42431" w:rsidP="00202DEE">
            <w:pPr>
              <w:pStyle w:val="TableText"/>
              <w:jc w:val="right"/>
              <w:rPr>
                <w:rFonts w:cs="Calibri"/>
                <w:szCs w:val="16"/>
              </w:rPr>
            </w:pPr>
            <w:r w:rsidRPr="002D5D12">
              <w:rPr>
                <w:rFonts w:cs="Calibri"/>
                <w:szCs w:val="16"/>
              </w:rPr>
              <w:t>–28,500.4</w:t>
            </w:r>
          </w:p>
        </w:tc>
        <w:tc>
          <w:tcPr>
            <w:tcW w:w="907" w:type="dxa"/>
            <w:tcBorders>
              <w:top w:val="single" w:sz="4" w:space="0" w:color="1B556B"/>
              <w:bottom w:val="single" w:sz="4" w:space="0" w:color="1B556B"/>
            </w:tcBorders>
            <w:vAlign w:val="bottom"/>
            <w:hideMark/>
          </w:tcPr>
          <w:p w14:paraId="1FAA3CE6" w14:textId="77777777" w:rsidR="00D42431" w:rsidRPr="002D5D12" w:rsidRDefault="00D42431" w:rsidP="00202DEE">
            <w:pPr>
              <w:pStyle w:val="TableText"/>
              <w:jc w:val="right"/>
              <w:rPr>
                <w:rFonts w:cs="Calibri"/>
                <w:szCs w:val="16"/>
              </w:rPr>
            </w:pPr>
            <w:r w:rsidRPr="002D5D12">
              <w:rPr>
                <w:rFonts w:cs="Calibri"/>
                <w:szCs w:val="16"/>
              </w:rPr>
              <w:t>–29,408.2</w:t>
            </w:r>
          </w:p>
        </w:tc>
        <w:tc>
          <w:tcPr>
            <w:tcW w:w="907" w:type="dxa"/>
            <w:tcBorders>
              <w:top w:val="single" w:sz="4" w:space="0" w:color="1B556B"/>
              <w:bottom w:val="single" w:sz="4" w:space="0" w:color="1B556B"/>
            </w:tcBorders>
            <w:vAlign w:val="bottom"/>
            <w:hideMark/>
          </w:tcPr>
          <w:p w14:paraId="60EF0557" w14:textId="77777777" w:rsidR="00D42431" w:rsidRPr="002D5D12" w:rsidRDefault="00D42431" w:rsidP="00202DEE">
            <w:pPr>
              <w:pStyle w:val="TableText"/>
              <w:jc w:val="right"/>
              <w:rPr>
                <w:rFonts w:cs="Calibri"/>
                <w:szCs w:val="16"/>
              </w:rPr>
            </w:pPr>
            <w:r w:rsidRPr="002D5D12">
              <w:rPr>
                <w:rFonts w:cs="Calibri"/>
                <w:szCs w:val="16"/>
              </w:rPr>
              <w:t>–30,289.6</w:t>
            </w:r>
          </w:p>
        </w:tc>
        <w:tc>
          <w:tcPr>
            <w:tcW w:w="907" w:type="dxa"/>
            <w:tcBorders>
              <w:top w:val="single" w:sz="4" w:space="0" w:color="1B556B"/>
              <w:bottom w:val="single" w:sz="4" w:space="0" w:color="1B556B"/>
            </w:tcBorders>
            <w:vAlign w:val="bottom"/>
            <w:hideMark/>
          </w:tcPr>
          <w:p w14:paraId="4CACC6E0" w14:textId="77777777" w:rsidR="00D42431" w:rsidRPr="002D5D12" w:rsidRDefault="00D42431" w:rsidP="00202DEE">
            <w:pPr>
              <w:pStyle w:val="TableText"/>
              <w:jc w:val="right"/>
              <w:rPr>
                <w:rFonts w:cs="Calibri"/>
                <w:szCs w:val="16"/>
              </w:rPr>
            </w:pPr>
            <w:r w:rsidRPr="002D5D12">
              <w:rPr>
                <w:rFonts w:cs="Calibri"/>
                <w:szCs w:val="16"/>
              </w:rPr>
              <w:t>–31,982.2</w:t>
            </w:r>
          </w:p>
        </w:tc>
        <w:tc>
          <w:tcPr>
            <w:tcW w:w="1021" w:type="dxa"/>
            <w:tcBorders>
              <w:top w:val="single" w:sz="4" w:space="0" w:color="1B556B"/>
              <w:bottom w:val="single" w:sz="4" w:space="0" w:color="1B556B"/>
            </w:tcBorders>
            <w:vAlign w:val="bottom"/>
            <w:hideMark/>
          </w:tcPr>
          <w:p w14:paraId="1B566B46" w14:textId="77777777" w:rsidR="00D42431" w:rsidRPr="002D5D12" w:rsidRDefault="00D42431" w:rsidP="00202DEE">
            <w:pPr>
              <w:pStyle w:val="TableText"/>
              <w:jc w:val="right"/>
              <w:rPr>
                <w:rFonts w:cs="Calibri"/>
                <w:szCs w:val="16"/>
              </w:rPr>
            </w:pPr>
            <w:r w:rsidRPr="002D5D12">
              <w:rPr>
                <w:rFonts w:cs="Calibri"/>
                <w:szCs w:val="16"/>
              </w:rPr>
              <w:t>–18,681.6</w:t>
            </w:r>
          </w:p>
        </w:tc>
      </w:tr>
    </w:tbl>
    <w:p w14:paraId="7FD0E3B4" w14:textId="77777777" w:rsidR="00D42431" w:rsidRPr="002D5D12" w:rsidRDefault="00D42431" w:rsidP="00D42431">
      <w:pPr>
        <w:pStyle w:val="Noteundertable"/>
      </w:pPr>
      <w:r w:rsidRPr="002D5D12">
        <w:rPr>
          <w:b/>
          <w:bCs/>
        </w:rPr>
        <w:t>Note:</w:t>
      </w:r>
      <w:r w:rsidRPr="002D5D12">
        <w:tab/>
        <w:t xml:space="preserve">Where net emissions result in removals, they are expressed as a negative value as per section 2.2.3 of the </w:t>
      </w:r>
      <w:r w:rsidRPr="002D5D12">
        <w:rPr>
          <w:i/>
          <w:iCs/>
        </w:rPr>
        <w:t>IPCC Guidelines for National Greenhouse Gas Inventories</w:t>
      </w:r>
      <w:r w:rsidRPr="002D5D12">
        <w:t xml:space="preserve"> (IPCC, 2006). The accounting quantity includes net emissions from </w:t>
      </w:r>
      <w:r w:rsidRPr="002D5D12">
        <w:rPr>
          <w:i/>
          <w:iCs/>
        </w:rPr>
        <w:t xml:space="preserve">Forest management </w:t>
      </w:r>
      <w:r w:rsidRPr="002D5D12">
        <w:t>because these are accounted for at the end of the commitment period against a forest management reference level and capped to 3.5 per cent of base year emissions; further information on this is included in chapter 11. Columns may not total due to rounding. Emission estimates from afforestation and deforestation activities differ from that reported in chapter 6 due to the application of the carbon equivalent forest provision. FMRL = forest management reference level; FMRLcorr = technically corrected forest management reference level.</w:t>
      </w:r>
    </w:p>
    <w:p w14:paraId="0BBC728B" w14:textId="6F43929F" w:rsidR="00D42431" w:rsidRPr="0043249A" w:rsidRDefault="00D42431" w:rsidP="0043249A">
      <w:pPr>
        <w:pStyle w:val="BodyText"/>
      </w:pPr>
      <w:bookmarkStart w:id="180" w:name="chapter-2-references"/>
      <w:bookmarkEnd w:id="174"/>
      <w:bookmarkEnd w:id="178"/>
    </w:p>
    <w:p w14:paraId="5783059A" w14:textId="0E5CCF48" w:rsidR="00D42431" w:rsidRPr="002D5D12" w:rsidRDefault="003A40ED" w:rsidP="00D42431">
      <w:pPr>
        <w:pStyle w:val="Heading2"/>
        <w:spacing w:before="0" w:after="360"/>
      </w:pPr>
      <w:r>
        <w:br w:type="page"/>
      </w:r>
      <w:bookmarkStart w:id="181" w:name="_Toc99659110"/>
      <w:r w:rsidR="00D42431" w:rsidRPr="002D5D12">
        <w:lastRenderedPageBreak/>
        <w:t>Chapter 2: References</w:t>
      </w:r>
      <w:bookmarkEnd w:id="181"/>
    </w:p>
    <w:p w14:paraId="587ACD3F" w14:textId="77777777" w:rsidR="00D42431" w:rsidRPr="002D5D12" w:rsidRDefault="00D42431" w:rsidP="00D42431">
      <w:pPr>
        <w:pStyle w:val="References"/>
      </w:pPr>
      <w:r w:rsidRPr="002D5D12">
        <w:t xml:space="preserve">Beef + Lamb New Zealand Ltd. 2021. </w:t>
      </w:r>
      <w:r w:rsidRPr="002D5D12">
        <w:rPr>
          <w:i/>
          <w:iCs/>
        </w:rPr>
        <w:t>Mid-Season Update 2020–21</w:t>
      </w:r>
      <w:r w:rsidRPr="002D5D12">
        <w:t>. Wellington: Beef + Lamb New Zealand Ltd.</w:t>
      </w:r>
    </w:p>
    <w:p w14:paraId="7A20BDBA" w14:textId="77777777" w:rsidR="00D42431" w:rsidRPr="002D5D12" w:rsidRDefault="00D42431" w:rsidP="00D42431">
      <w:pPr>
        <w:pStyle w:val="References"/>
      </w:pPr>
      <w:r w:rsidRPr="002D5D12">
        <w:t xml:space="preserve">IPCC. 2006. Eggleston HS, Buendia L, Miwa K, Ngara T, Tanabe K (eds). </w:t>
      </w:r>
      <w:r w:rsidRPr="002D5D12">
        <w:rPr>
          <w:i/>
          <w:iCs/>
        </w:rPr>
        <w:t>2006 IPCC Guidelines for National Greenhouse Gas Inventories. Volume 5. Waste</w:t>
      </w:r>
      <w:r w:rsidRPr="002D5D12">
        <w:t>. IPCC National Greenhouse Gas Inventories Programme. Japan: Institute for Global Environmental Strategies for IPCC.</w:t>
      </w:r>
    </w:p>
    <w:p w14:paraId="551B9296" w14:textId="2F69F748" w:rsidR="00D42431" w:rsidRPr="002D5D12" w:rsidRDefault="00D42431" w:rsidP="00D42431">
      <w:pPr>
        <w:pStyle w:val="References"/>
      </w:pPr>
      <w:r w:rsidRPr="002D5D12">
        <w:t xml:space="preserve">LIC (Livestock Improvement Corporation Limited) and DairyNZ. 2021. </w:t>
      </w:r>
      <w:r w:rsidRPr="002D5D12">
        <w:rPr>
          <w:i/>
          <w:iCs/>
        </w:rPr>
        <w:t xml:space="preserve">New Zealand Dairy Statistics </w:t>
      </w:r>
      <w:r w:rsidRPr="002D5D12">
        <w:rPr>
          <w:i/>
          <w:iCs/>
        </w:rPr>
        <w:br/>
        <w:t>2020–2021</w:t>
      </w:r>
      <w:r w:rsidRPr="002D5D12">
        <w:t xml:space="preserve">. Hamilton: DairyNZ. Retrieved from </w:t>
      </w:r>
      <w:hyperlink r:id="rId52" w:history="1">
        <w:r w:rsidR="00D409FB">
          <w:rPr>
            <w:rStyle w:val="Hyperlink"/>
          </w:rPr>
          <w:t>www.dairynz.co.nz/publications/dairy-industry/new-zealand-dairy-statistics-2020-21/</w:t>
        </w:r>
      </w:hyperlink>
      <w:r w:rsidRPr="002D5D12">
        <w:rPr>
          <w:rFonts w:ascii="Arial" w:hAnsi="Arial" w:cs="Arial"/>
          <w:szCs w:val="20"/>
        </w:rPr>
        <w:t xml:space="preserve"> </w:t>
      </w:r>
      <w:r w:rsidRPr="002D5D12">
        <w:t>(9 December 2021).</w:t>
      </w:r>
    </w:p>
    <w:p w14:paraId="1DD374D0" w14:textId="77777777" w:rsidR="00D42431" w:rsidRPr="002D5D12" w:rsidRDefault="00D42431" w:rsidP="00D42431">
      <w:pPr>
        <w:pStyle w:val="References"/>
      </w:pPr>
      <w:r w:rsidRPr="002D5D12">
        <w:t xml:space="preserve">Ministry for the Environment. 2016. </w:t>
      </w:r>
      <w:r w:rsidRPr="002D5D12">
        <w:rPr>
          <w:i/>
          <w:iCs/>
        </w:rPr>
        <w:t>New Zealand’s Initial Report to Facilitate the Calculation of its Emissions Budget for the Period 2013 to 2020</w:t>
      </w:r>
      <w:r w:rsidRPr="002D5D12">
        <w:t>. Wellington: Ministry for the Environment.</w:t>
      </w:r>
    </w:p>
    <w:p w14:paraId="54350DC1" w14:textId="5F28D3D9" w:rsidR="00D42431" w:rsidRPr="002D5D12" w:rsidRDefault="00D42431" w:rsidP="00D42431">
      <w:pPr>
        <w:pStyle w:val="References"/>
      </w:pPr>
      <w:r w:rsidRPr="002D5D12">
        <w:t xml:space="preserve">Ministry of Business, Innovation and Employment. 2021. </w:t>
      </w:r>
      <w:r w:rsidRPr="002D5D12">
        <w:rPr>
          <w:i/>
          <w:iCs/>
        </w:rPr>
        <w:t>Energy in New Zealand</w:t>
      </w:r>
      <w:r w:rsidRPr="002D5D12">
        <w:t>. Wellington: Ministry of</w:t>
      </w:r>
      <w:r w:rsidR="00D409FB">
        <w:t> </w:t>
      </w:r>
      <w:r w:rsidRPr="002D5D12">
        <w:t xml:space="preserve">Business, Innovation and Employment. Retrieved from </w:t>
      </w:r>
      <w:hyperlink r:id="rId53" w:history="1">
        <w:r w:rsidR="00D409FB">
          <w:rPr>
            <w:rStyle w:val="Hyperlink"/>
          </w:rPr>
          <w:t>www.mbie.govt.nz/dmsdocument/16820-energy-in-new-zealand-2021</w:t>
        </w:r>
      </w:hyperlink>
      <w:r w:rsidRPr="002D5D12">
        <w:t xml:space="preserve"> (September 2021)</w:t>
      </w:r>
    </w:p>
    <w:p w14:paraId="125D75D0" w14:textId="77777777" w:rsidR="00D42431" w:rsidRPr="002D5D12" w:rsidRDefault="00D42431" w:rsidP="00D42431">
      <w:pPr>
        <w:pStyle w:val="References"/>
      </w:pPr>
      <w:r w:rsidRPr="002D5D12">
        <w:t xml:space="preserve">UNFCCC. 2013. FCCC/CP/2013/10/Add.3. </w:t>
      </w:r>
      <w:r w:rsidRPr="002D5D12">
        <w:rPr>
          <w:i/>
          <w:iCs/>
        </w:rPr>
        <w:t>Report of the Conference of the Parties on its nineteenth session, held in Warsaw from 11 to 23 November 2013, Addendum; Decision 24/CP.19 Revision of the UNFCCC reporting guidelines on annual inventories for Parties included in Annex I to the Convention</w:t>
      </w:r>
      <w:r w:rsidRPr="002D5D12">
        <w:t>.</w:t>
      </w:r>
      <w:bookmarkEnd w:id="125"/>
      <w:bookmarkEnd w:id="180"/>
    </w:p>
    <w:p w14:paraId="4E1B0C58" w14:textId="77777777" w:rsidR="004B119E" w:rsidRDefault="004B119E" w:rsidP="00DF1483"/>
    <w:p w14:paraId="60734FED" w14:textId="77777777" w:rsidR="00DB72F5" w:rsidRDefault="00DB72F5" w:rsidP="00DF1483"/>
    <w:p w14:paraId="0F853212" w14:textId="77777777" w:rsidR="004B119E" w:rsidRDefault="004B119E" w:rsidP="00DF1483"/>
    <w:p w14:paraId="5339AA39" w14:textId="77777777" w:rsidR="00DB72F5" w:rsidRDefault="00DB72F5" w:rsidP="00FA0F57">
      <w:pPr>
        <w:pStyle w:val="Heading1"/>
        <w:sectPr w:rsidR="00DB72F5" w:rsidSect="00A746A1">
          <w:footerReference w:type="even" r:id="rId54"/>
          <w:pgSz w:w="11907" w:h="16840" w:code="9"/>
          <w:pgMar w:top="1418" w:right="1701" w:bottom="1418" w:left="1701" w:header="567" w:footer="567" w:gutter="0"/>
          <w:cols w:space="720"/>
        </w:sectPr>
      </w:pPr>
    </w:p>
    <w:p w14:paraId="77E4364D" w14:textId="77777777" w:rsidR="00660978" w:rsidRPr="00CB1C46" w:rsidRDefault="00660978" w:rsidP="00660978">
      <w:pPr>
        <w:pStyle w:val="Heading1"/>
        <w:rPr>
          <w:rFonts w:cs="Calibri"/>
          <w:lang w:eastAsia="en-GB"/>
        </w:rPr>
      </w:pPr>
      <w:bookmarkStart w:id="182" w:name="_Toc36224384"/>
      <w:bookmarkStart w:id="183" w:name="_Toc68786304"/>
      <w:bookmarkStart w:id="184" w:name="_Toc99659111"/>
      <w:r w:rsidRPr="00CB1C46">
        <w:rPr>
          <w:rFonts w:cs="Calibri"/>
          <w:lang w:eastAsia="en-GB"/>
        </w:rPr>
        <w:lastRenderedPageBreak/>
        <w:t>Chapter 3: Energy</w:t>
      </w:r>
      <w:bookmarkEnd w:id="182"/>
      <w:bookmarkEnd w:id="183"/>
      <w:bookmarkEnd w:id="184"/>
    </w:p>
    <w:p w14:paraId="09042F4C" w14:textId="77777777" w:rsidR="00660978" w:rsidRPr="00CB1C46" w:rsidRDefault="00660978" w:rsidP="00660978">
      <w:pPr>
        <w:pStyle w:val="Heading2"/>
        <w:spacing w:before="240"/>
        <w:rPr>
          <w:rFonts w:cs="Calibri"/>
        </w:rPr>
      </w:pPr>
      <w:bookmarkStart w:id="185" w:name="_Toc321398808"/>
      <w:bookmarkStart w:id="186" w:name="_Toc384581634"/>
      <w:bookmarkStart w:id="187" w:name="_Toc448321506"/>
      <w:bookmarkStart w:id="188" w:name="_Toc481751368"/>
      <w:bookmarkStart w:id="189" w:name="_Toc36224385"/>
      <w:bookmarkStart w:id="190" w:name="_Toc68786305"/>
      <w:bookmarkStart w:id="191" w:name="_Toc99659112"/>
      <w:r w:rsidRPr="00CB1C46">
        <w:rPr>
          <w:rFonts w:cs="Calibri"/>
        </w:rPr>
        <w:t>3.1</w:t>
      </w:r>
      <w:r w:rsidRPr="00CB1C46">
        <w:rPr>
          <w:rFonts w:cs="Calibri"/>
        </w:rPr>
        <w:tab/>
        <w:t>Sector overview</w:t>
      </w:r>
      <w:bookmarkEnd w:id="185"/>
      <w:bookmarkEnd w:id="186"/>
      <w:bookmarkEnd w:id="187"/>
      <w:bookmarkEnd w:id="188"/>
      <w:bookmarkEnd w:id="189"/>
      <w:bookmarkEnd w:id="190"/>
      <w:bookmarkEnd w:id="191"/>
    </w:p>
    <w:p w14:paraId="00972BE3" w14:textId="77777777" w:rsidR="00660978" w:rsidRPr="00CB1C46" w:rsidRDefault="00660978" w:rsidP="007777E5">
      <w:pPr>
        <w:pStyle w:val="Heading3"/>
        <w:spacing w:before="240"/>
        <w:rPr>
          <w:rFonts w:cs="Calibri"/>
        </w:rPr>
      </w:pPr>
      <w:r w:rsidRPr="00CB1C46">
        <w:rPr>
          <w:rFonts w:cs="Calibri"/>
        </w:rPr>
        <w:t>3.1.1</w:t>
      </w:r>
      <w:r w:rsidRPr="00CB1C46">
        <w:rPr>
          <w:rFonts w:cs="Calibri"/>
        </w:rPr>
        <w:tab/>
        <w:t>Introduction</w:t>
      </w:r>
    </w:p>
    <w:p w14:paraId="427B5C8F" w14:textId="77777777" w:rsidR="00660978" w:rsidRPr="00CB1C46" w:rsidRDefault="00660978" w:rsidP="00660978">
      <w:pPr>
        <w:pStyle w:val="BodyText"/>
      </w:pPr>
      <w:r w:rsidRPr="00CB1C46">
        <w:t xml:space="preserve">In New Zealand, the Energy sector covers: </w:t>
      </w:r>
    </w:p>
    <w:p w14:paraId="119AC387" w14:textId="77777777" w:rsidR="00660978" w:rsidRPr="00CB1C46" w:rsidRDefault="00660978" w:rsidP="00660978">
      <w:pPr>
        <w:pStyle w:val="Bullet"/>
      </w:pPr>
      <w:r w:rsidRPr="00CB1C46">
        <w:t xml:space="preserve">combustion emissions resulting from fuel being burned to produce useful energy </w:t>
      </w:r>
    </w:p>
    <w:p w14:paraId="794BCE5B" w14:textId="77777777" w:rsidR="00660978" w:rsidRPr="00CB1C46" w:rsidRDefault="00660978" w:rsidP="00660978">
      <w:pPr>
        <w:pStyle w:val="Bullet"/>
      </w:pPr>
      <w:r w:rsidRPr="00CB1C46">
        <w:t>fugitive emissions, for example: </w:t>
      </w:r>
    </w:p>
    <w:p w14:paraId="6C3881BA" w14:textId="77777777" w:rsidR="00660978" w:rsidRPr="00CB1C46" w:rsidRDefault="00660978" w:rsidP="00063737">
      <w:pPr>
        <w:pStyle w:val="Sub-bullet"/>
        <w:numPr>
          <w:ilvl w:val="0"/>
          <w:numId w:val="26"/>
        </w:numPr>
      </w:pPr>
      <w:r w:rsidRPr="00CB1C46">
        <w:t xml:space="preserve">production, transmission and storage of fuels </w:t>
      </w:r>
    </w:p>
    <w:p w14:paraId="4ED5A266" w14:textId="77777777" w:rsidR="00660978" w:rsidRPr="00143CAC" w:rsidRDefault="00660978" w:rsidP="00063737">
      <w:pPr>
        <w:pStyle w:val="Sub-bullet"/>
        <w:numPr>
          <w:ilvl w:val="0"/>
          <w:numId w:val="26"/>
        </w:numPr>
      </w:pPr>
      <w:r w:rsidRPr="00143CAC">
        <w:t xml:space="preserve">non-productive combustion </w:t>
      </w:r>
    </w:p>
    <w:p w14:paraId="74C3F732" w14:textId="77777777" w:rsidR="00660978" w:rsidRPr="00143CAC" w:rsidRDefault="00660978" w:rsidP="00063737">
      <w:pPr>
        <w:pStyle w:val="Sub-bullet"/>
        <w:numPr>
          <w:ilvl w:val="0"/>
          <w:numId w:val="26"/>
        </w:numPr>
      </w:pPr>
      <w:r w:rsidRPr="00143CAC">
        <w:t>venting of carbon dioxide (CO2) at natural gas treatment plants</w:t>
      </w:r>
    </w:p>
    <w:p w14:paraId="1CEF38B2" w14:textId="77777777" w:rsidR="00660978" w:rsidRPr="00CB1C46" w:rsidRDefault="00660978" w:rsidP="00063737">
      <w:pPr>
        <w:pStyle w:val="Sub-bullet"/>
        <w:numPr>
          <w:ilvl w:val="0"/>
          <w:numId w:val="26"/>
        </w:numPr>
      </w:pPr>
      <w:r w:rsidRPr="00143CAC">
        <w:t>emissions</w:t>
      </w:r>
      <w:r w:rsidRPr="00CB1C46">
        <w:t xml:space="preserve"> from geothermal fields. </w:t>
      </w:r>
    </w:p>
    <w:p w14:paraId="205EBE23" w14:textId="53174DDC" w:rsidR="00660978" w:rsidRPr="00CB1C46" w:rsidRDefault="00660978" w:rsidP="00660978">
      <w:pPr>
        <w:pStyle w:val="BodyText"/>
      </w:pPr>
      <w:r w:rsidRPr="00CB1C46">
        <w:t xml:space="preserve">Historically, combustion emissions from </w:t>
      </w:r>
      <w:r w:rsidRPr="00CB1C46">
        <w:rPr>
          <w:i/>
        </w:rPr>
        <w:t>Road transportation</w:t>
      </w:r>
      <w:r w:rsidRPr="00CB1C46">
        <w:t xml:space="preserve"> and </w:t>
      </w:r>
      <w:r w:rsidRPr="00CB1C46">
        <w:rPr>
          <w:i/>
        </w:rPr>
        <w:t>Public electricity and heat production</w:t>
      </w:r>
      <w:r w:rsidRPr="00CB1C46">
        <w:t xml:space="preserve"> constituted the largest share of domestic emissions from the Energy sector in New Zealand. New Zealand has one of the highest rates of car ownership among members of the Organisation for Economic Co-operation and Development and a relatively old vehicle fleet (average age of light passenger fleet was around 14 years in 2020). Most freight is</w:t>
      </w:r>
      <w:r>
        <w:t xml:space="preserve"> </w:t>
      </w:r>
      <w:r w:rsidRPr="00CB1C46">
        <w:t xml:space="preserve">transported by trucks, with smaller quantities transported by rail and coastal shipping. </w:t>
      </w:r>
    </w:p>
    <w:p w14:paraId="6DB10467" w14:textId="77777777" w:rsidR="00660978" w:rsidRPr="00CB1C46" w:rsidRDefault="00660978" w:rsidP="00660978">
      <w:pPr>
        <w:pStyle w:val="BodyText"/>
      </w:pPr>
      <w:r w:rsidRPr="00CB1C46">
        <w:t>Due to its sparse population and rural-based economy, New Zealand’s domestic transport emissions per capita are high, when compared with many other Annex I countries.</w:t>
      </w:r>
    </w:p>
    <w:p w14:paraId="3B02CC65" w14:textId="77777777" w:rsidR="00660978" w:rsidRPr="00CB1C46" w:rsidRDefault="00660978" w:rsidP="00660978">
      <w:pPr>
        <w:pStyle w:val="BodyText"/>
      </w:pPr>
      <w:r w:rsidRPr="00CB1C46">
        <w:t>Electricity generation from the combustion of coal, oil and gas supports New Zealand’s highly renewable electricity system. In 2020, fossil fuel thermal plants provided 18.8 per cent of New Zealand’s total electricity supply, which is very low by international standards. This is due to the high proportion of demand met by hydroelectric power generation, as well as other renewable power sources such as geothermal and wind. While this provides a strong power generation base in years with good hydro inflows, electricity emissions remain sensitive to rainfall in the key catchment areas. New Zealand has low levels of hydro lake storage compared with other countries where hydro features prominently in their electricity supply.</w:t>
      </w:r>
    </w:p>
    <w:p w14:paraId="75680499" w14:textId="77777777" w:rsidR="00660978" w:rsidRPr="00CB1C46" w:rsidRDefault="00660978" w:rsidP="00660978">
      <w:pPr>
        <w:pStyle w:val="BodyText"/>
      </w:pPr>
      <w:r w:rsidRPr="00CB1C46">
        <w:t>Fugitive emissions present a relatively minor portion of New Zealand’s energy emissions profile. The main sources of New Zealand’s fugitive emissions include coal mining operations, production and processing of natural gas (largely venting and flaring) and geothermal operations (largely for electricity generation).</w:t>
      </w:r>
    </w:p>
    <w:p w14:paraId="32854D7B" w14:textId="77777777" w:rsidR="00660978" w:rsidRPr="00CB1C46" w:rsidRDefault="00660978" w:rsidP="00660978">
      <w:pPr>
        <w:pStyle w:val="BodyText"/>
        <w:rPr>
          <w:sz w:val="19"/>
          <w:szCs w:val="19"/>
        </w:rPr>
      </w:pPr>
      <w:r w:rsidRPr="00CB1C46">
        <w:t>New Zealand reports emissions from Tokelau, which is a dependent territory of New Zealand. Emissions from Tokelau for all activities are reported in chapter 8 and annex 7 of the National Inventory Report, and within the ‘Other’ sector in the common reporting format (CRF) tables. This is due to the significantly different methods applied and prohibitive complexity of integrating emissions within the main sectors. Therefore, all emissions reported under this sector are from New Zealand excluding Tokelau. Please refer to chapter 8 of the National Inventory Report for details of methods applied and the emissions for Tokelau.</w:t>
      </w:r>
    </w:p>
    <w:p w14:paraId="3EFA30BD" w14:textId="77777777" w:rsidR="00660978" w:rsidRPr="00FC615E" w:rsidRDefault="00660978" w:rsidP="00660978">
      <w:pPr>
        <w:pStyle w:val="Heading5"/>
      </w:pPr>
      <w:r w:rsidRPr="00FC615E">
        <w:rPr>
          <w:rStyle w:val="Emphasis"/>
        </w:rPr>
        <w:lastRenderedPageBreak/>
        <w:t>2020</w:t>
      </w:r>
    </w:p>
    <w:p w14:paraId="1F2CA053" w14:textId="77777777" w:rsidR="00660978" w:rsidRPr="00CB1C46" w:rsidRDefault="00660978" w:rsidP="00660978">
      <w:pPr>
        <w:pStyle w:val="BodyText"/>
      </w:pPr>
      <w:r w:rsidRPr="00CB1C46">
        <w:t>In </w:t>
      </w:r>
      <w:r w:rsidRPr="00660978">
        <w:rPr>
          <w:rStyle w:val="Strong"/>
          <w:rFonts w:cs="Calibri"/>
          <w:b w:val="0"/>
          <w:bCs w:val="0"/>
        </w:rPr>
        <w:t>2020</w:t>
      </w:r>
      <w:r w:rsidRPr="00CB1C46">
        <w:t>, emissions from the Energy sector contributed 31,461.4 </w:t>
      </w:r>
      <w:r w:rsidRPr="00CB1C46">
        <w:rPr>
          <w:rFonts w:cs="Calibri"/>
        </w:rPr>
        <w:t>kilotonnes carbon dioxide equivalent</w:t>
      </w:r>
      <w:r w:rsidRPr="00CB1C46">
        <w:t xml:space="preserve"> (kt CO</w:t>
      </w:r>
      <w:r w:rsidRPr="00CB1C46">
        <w:rPr>
          <w:vertAlign w:val="subscript"/>
        </w:rPr>
        <w:t>2</w:t>
      </w:r>
      <w:r w:rsidRPr="00CB1C46">
        <w:t>-e), or </w:t>
      </w:r>
      <w:r w:rsidRPr="00660978">
        <w:rPr>
          <w:rStyle w:val="Strong"/>
          <w:rFonts w:cs="Calibri"/>
          <w:b w:val="0"/>
          <w:bCs w:val="0"/>
        </w:rPr>
        <w:t>39.9</w:t>
      </w:r>
      <w:r w:rsidRPr="00CB1C46">
        <w:t> per cent, of New Zealand’s gross greenhouse gas emissions (see</w:t>
      </w:r>
      <w:r>
        <w:t> </w:t>
      </w:r>
      <w:r w:rsidRPr="00CB1C46">
        <w:t>chapter 2, figure 2.2.1).</w:t>
      </w:r>
    </w:p>
    <w:p w14:paraId="0E0F4594" w14:textId="77777777" w:rsidR="00660978" w:rsidRPr="00CB1C46" w:rsidRDefault="00660978" w:rsidP="00660978">
      <w:pPr>
        <w:pStyle w:val="BodyText"/>
      </w:pPr>
      <w:r w:rsidRPr="00CB1C46">
        <w:t>The largest sources of emissions in the Energy sector were the </w:t>
      </w:r>
      <w:r w:rsidRPr="0046789F">
        <w:rPr>
          <w:rStyle w:val="Emphasis"/>
          <w:rFonts w:cs="Calibri"/>
        </w:rPr>
        <w:t>Road transportation</w:t>
      </w:r>
      <w:r w:rsidRPr="00CB1C46">
        <w:t xml:space="preserve"> category,</w:t>
      </w:r>
      <w:r>
        <w:t xml:space="preserve"> </w:t>
      </w:r>
      <w:r w:rsidRPr="00CB1C46">
        <w:t>contributing 12,023.2 CO</w:t>
      </w:r>
      <w:r w:rsidRPr="00CB1C46">
        <w:rPr>
          <w:vertAlign w:val="subscript"/>
        </w:rPr>
        <w:t>2</w:t>
      </w:r>
      <w:r w:rsidRPr="00CB1C46">
        <w:t>-e (38.2 per cent), and the </w:t>
      </w:r>
      <w:r w:rsidRPr="0046789F">
        <w:rPr>
          <w:rStyle w:val="Emphasis"/>
          <w:rFonts w:cs="Calibri"/>
        </w:rPr>
        <w:t>Manufacturing industries and construction</w:t>
      </w:r>
      <w:r>
        <w:rPr>
          <w:rStyle w:val="Emphasis"/>
          <w:rFonts w:cs="Calibri"/>
        </w:rPr>
        <w:t xml:space="preserve"> </w:t>
      </w:r>
      <w:r w:rsidRPr="00CB1C46">
        <w:t>category, contributing 6,681.6 kt CO</w:t>
      </w:r>
      <w:r w:rsidRPr="00CB1C46">
        <w:rPr>
          <w:vertAlign w:val="subscript"/>
        </w:rPr>
        <w:t>2</w:t>
      </w:r>
      <w:r w:rsidRPr="00CB1C46">
        <w:t>-e (21.2 per cent) to energy emissions.</w:t>
      </w:r>
    </w:p>
    <w:p w14:paraId="7AED05CB" w14:textId="77777777" w:rsidR="00660978" w:rsidRPr="00FC615E" w:rsidRDefault="00660978" w:rsidP="00660978">
      <w:pPr>
        <w:pStyle w:val="Heading5"/>
      </w:pPr>
      <w:r w:rsidRPr="00FC615E">
        <w:t>1990–2020</w:t>
      </w:r>
    </w:p>
    <w:p w14:paraId="72044470" w14:textId="77777777" w:rsidR="00660978" w:rsidRPr="00CB1C46" w:rsidRDefault="00660978" w:rsidP="00660978">
      <w:pPr>
        <w:pStyle w:val="BodyText"/>
      </w:pPr>
      <w:r w:rsidRPr="00CB1C46">
        <w:t>In </w:t>
      </w:r>
      <w:r w:rsidRPr="00CB1C46">
        <w:rPr>
          <w:bCs/>
        </w:rPr>
        <w:t>2020</w:t>
      </w:r>
      <w:r w:rsidRPr="00CB1C46">
        <w:t>, emissions from the Energy sector had </w:t>
      </w:r>
      <w:r w:rsidRPr="00CB1C46">
        <w:rPr>
          <w:bCs/>
        </w:rPr>
        <w:t>increased</w:t>
      </w:r>
      <w:r w:rsidRPr="00CB1C46">
        <w:t> by </w:t>
      </w:r>
      <w:r w:rsidRPr="00CB1C46">
        <w:rPr>
          <w:bCs/>
        </w:rPr>
        <w:t>31.8</w:t>
      </w:r>
      <w:r w:rsidRPr="00CB1C46">
        <w:t> per cent (</w:t>
      </w:r>
      <w:r w:rsidRPr="00CB1C46">
        <w:rPr>
          <w:bCs/>
        </w:rPr>
        <w:t>7,583.6</w:t>
      </w:r>
      <w:r w:rsidRPr="00CB1C46">
        <w:t> kt CO</w:t>
      </w:r>
      <w:r w:rsidRPr="00CB1C46">
        <w:rPr>
          <w:vertAlign w:val="subscript"/>
        </w:rPr>
        <w:t>2</w:t>
      </w:r>
      <w:r w:rsidRPr="00CB1C46">
        <w:t>-e), from the </w:t>
      </w:r>
      <w:r w:rsidRPr="00CB1C46">
        <w:rPr>
          <w:bCs/>
        </w:rPr>
        <w:t>1990</w:t>
      </w:r>
      <w:r w:rsidRPr="00CB1C46">
        <w:t> level of </w:t>
      </w:r>
      <w:r w:rsidRPr="00CB1C46">
        <w:rPr>
          <w:bCs/>
        </w:rPr>
        <w:t>23,877.8</w:t>
      </w:r>
      <w:r w:rsidRPr="00CB1C46">
        <w:t> kt CO</w:t>
      </w:r>
      <w:r w:rsidRPr="00CB1C46">
        <w:rPr>
          <w:vertAlign w:val="subscript"/>
        </w:rPr>
        <w:t>2</w:t>
      </w:r>
      <w:r w:rsidRPr="00CB1C46">
        <w:t>-e.</w:t>
      </w:r>
    </w:p>
    <w:p w14:paraId="28C27B18" w14:textId="77777777" w:rsidR="00660978" w:rsidRPr="00CB1C46" w:rsidRDefault="00660978" w:rsidP="00660978">
      <w:pPr>
        <w:pStyle w:val="BodyText"/>
      </w:pPr>
      <w:r w:rsidRPr="00CB1C46">
        <w:t>This growth in emissions is primarily from </w:t>
      </w:r>
      <w:r w:rsidRPr="00CB1C46">
        <w:rPr>
          <w:i/>
          <w:iCs/>
        </w:rPr>
        <w:t>Road transportation</w:t>
      </w:r>
      <w:r w:rsidRPr="00CB1C46">
        <w:t>, which increased by 5,194.1 kt CO</w:t>
      </w:r>
      <w:r w:rsidRPr="00CB1C46">
        <w:rPr>
          <w:vertAlign w:val="subscript"/>
        </w:rPr>
        <w:t>2</w:t>
      </w:r>
      <w:r w:rsidRPr="00CB1C46">
        <w:t>-e (76.1 per cent),</w:t>
      </w:r>
      <w:r>
        <w:t xml:space="preserve"> </w:t>
      </w:r>
      <w:r w:rsidRPr="00CB1C46">
        <w:rPr>
          <w:i/>
          <w:iCs/>
        </w:rPr>
        <w:t>Food processing, beverages and tobacco</w:t>
      </w:r>
      <w:r w:rsidRPr="00CB1C46">
        <w:t>, which increased by 1,387.0 kt CO</w:t>
      </w:r>
      <w:r w:rsidRPr="00CB1C46">
        <w:rPr>
          <w:vertAlign w:val="subscript"/>
        </w:rPr>
        <w:t>2</w:t>
      </w:r>
      <w:r w:rsidRPr="00CB1C46">
        <w:t xml:space="preserve">-e (83.0 per cent), and </w:t>
      </w:r>
      <w:r w:rsidRPr="00CB1C46">
        <w:rPr>
          <w:i/>
          <w:iCs/>
        </w:rPr>
        <w:t>Public electricity and heat production,</w:t>
      </w:r>
      <w:r w:rsidRPr="00CB1C46">
        <w:t xml:space="preserve"> which increased by 1,127.4 kt CO</w:t>
      </w:r>
      <w:r w:rsidRPr="00CB1C46">
        <w:rPr>
          <w:vertAlign w:val="subscript"/>
        </w:rPr>
        <w:t>2</w:t>
      </w:r>
      <w:r w:rsidRPr="00CB1C46">
        <w:t>-e (32.3 per cent).</w:t>
      </w:r>
    </w:p>
    <w:p w14:paraId="47F90BAE" w14:textId="77777777" w:rsidR="00660978" w:rsidRPr="00CB1C46" w:rsidRDefault="00660978" w:rsidP="00660978">
      <w:pPr>
        <w:pStyle w:val="BodyText"/>
      </w:pPr>
      <w:r w:rsidRPr="00CB1C46">
        <w:t>In </w:t>
      </w:r>
      <w:r w:rsidRPr="00CB1C46">
        <w:rPr>
          <w:bCs/>
        </w:rPr>
        <w:t>2020</w:t>
      </w:r>
      <w:r w:rsidRPr="00CB1C46">
        <w:t>, emissions from </w:t>
      </w:r>
      <w:r w:rsidRPr="00CB1C46">
        <w:rPr>
          <w:i/>
          <w:iCs/>
        </w:rPr>
        <w:t xml:space="preserve">Manufacture of solid fuels and other energy industries </w:t>
      </w:r>
      <w:r w:rsidRPr="00CB1C46">
        <w:t xml:space="preserve">were lower than the </w:t>
      </w:r>
      <w:r w:rsidRPr="00CB1C46">
        <w:rPr>
          <w:bCs/>
        </w:rPr>
        <w:t>1990</w:t>
      </w:r>
      <w:r w:rsidRPr="00CB1C46">
        <w:t xml:space="preserve"> level by 1,452.7 CO</w:t>
      </w:r>
      <w:r w:rsidRPr="00CB1C46">
        <w:rPr>
          <w:vertAlign w:val="subscript"/>
        </w:rPr>
        <w:t>2</w:t>
      </w:r>
      <w:r w:rsidRPr="00CB1C46">
        <w:t>-e (84.6 per cent). This decrease is primarily due to the cessation of synthetic gasoline production in 1997.</w:t>
      </w:r>
    </w:p>
    <w:p w14:paraId="3841E263" w14:textId="77777777" w:rsidR="00660978" w:rsidRPr="00CB1C46" w:rsidRDefault="00660978" w:rsidP="00660978">
      <w:pPr>
        <w:pStyle w:val="BodyText"/>
      </w:pPr>
      <w:r w:rsidRPr="00CB1C46">
        <w:t>Figure 3.1.1 show</w:t>
      </w:r>
      <w:r>
        <w:t>s</w:t>
      </w:r>
      <w:r w:rsidRPr="00CB1C46">
        <w:t xml:space="preserve"> the Energy sector emissions time series from </w:t>
      </w:r>
      <w:r w:rsidRPr="00CB1C46">
        <w:rPr>
          <w:bCs/>
        </w:rPr>
        <w:t>1990</w:t>
      </w:r>
      <w:r w:rsidRPr="00CB1C46">
        <w:t> to </w:t>
      </w:r>
      <w:r w:rsidRPr="00CB1C46">
        <w:rPr>
          <w:bCs/>
        </w:rPr>
        <w:t>2020</w:t>
      </w:r>
      <w:r w:rsidRPr="00CB1C46">
        <w:t>. The trend shows emissions increased until around 2005, after which a flat to decreasing trend has occurred in Energy sector emissions.</w:t>
      </w:r>
    </w:p>
    <w:p w14:paraId="5296B114" w14:textId="7232366A" w:rsidR="00660978" w:rsidRPr="00CB1C46" w:rsidRDefault="00660978" w:rsidP="00660978">
      <w:pPr>
        <w:pStyle w:val="Figure"/>
        <w:rPr>
          <w:rFonts w:cs="Calibri"/>
        </w:rPr>
      </w:pPr>
      <w:bookmarkStart w:id="192" w:name="_Toc443060810"/>
      <w:bookmarkStart w:id="193" w:name="_Toc447275667"/>
      <w:bookmarkStart w:id="194" w:name="_Toc481751984"/>
      <w:bookmarkStart w:id="195" w:name="_Toc36292768"/>
      <w:bookmarkStart w:id="196" w:name="_Toc68786633"/>
      <w:bookmarkStart w:id="197" w:name="_Toc95834068"/>
      <w:bookmarkStart w:id="198" w:name="_Toc99696013"/>
      <w:r w:rsidRPr="00CB1C46">
        <w:rPr>
          <w:rFonts w:cs="Calibri"/>
        </w:rPr>
        <w:t>Figure 3.1.</w:t>
      </w:r>
      <w:r w:rsidRPr="00CB1C46">
        <w:rPr>
          <w:rFonts w:cs="Calibri"/>
        </w:rPr>
        <w:fldChar w:fldCharType="begin"/>
      </w:r>
      <w:r w:rsidRPr="00CB1C46">
        <w:rPr>
          <w:rFonts w:cs="Calibri"/>
        </w:rPr>
        <w:instrText xml:space="preserve"> SEQ Figure \* ARABIC \s 2 </w:instrText>
      </w:r>
      <w:r w:rsidRPr="00CB1C46">
        <w:rPr>
          <w:rFonts w:cs="Calibri"/>
        </w:rPr>
        <w:fldChar w:fldCharType="separate"/>
      </w:r>
      <w:r w:rsidR="009D338D">
        <w:rPr>
          <w:rFonts w:cs="Calibri"/>
          <w:noProof/>
        </w:rPr>
        <w:t>1</w:t>
      </w:r>
      <w:r w:rsidRPr="00CB1C46">
        <w:rPr>
          <w:rFonts w:cs="Calibri"/>
        </w:rPr>
        <w:fldChar w:fldCharType="end"/>
      </w:r>
      <w:r w:rsidRPr="00CB1C46">
        <w:rPr>
          <w:rFonts w:cs="Calibri"/>
        </w:rPr>
        <w:tab/>
        <w:t>New Zealand’s Energy sector emissions</w:t>
      </w:r>
      <w:bookmarkEnd w:id="192"/>
      <w:bookmarkEnd w:id="193"/>
      <w:bookmarkEnd w:id="194"/>
      <w:r w:rsidRPr="00CB1C46">
        <w:rPr>
          <w:rFonts w:cs="Calibri"/>
        </w:rPr>
        <w:t xml:space="preserve"> from 1990 to 2020</w:t>
      </w:r>
      <w:bookmarkEnd w:id="195"/>
      <w:bookmarkEnd w:id="196"/>
      <w:bookmarkEnd w:id="197"/>
      <w:bookmarkEnd w:id="198"/>
    </w:p>
    <w:p w14:paraId="7A14202F" w14:textId="0271CE6A" w:rsidR="00660978" w:rsidRPr="00195994" w:rsidRDefault="004B48CC" w:rsidP="00063737">
      <w:pPr>
        <w:pStyle w:val="BodyText"/>
      </w:pPr>
      <w:r>
        <w:rPr>
          <w:noProof/>
        </w:rPr>
        <w:pict w14:anchorId="62998560">
          <v:shape id="Picture 24" o:spid="_x0000_i1046" type="#_x0000_t75" style="width:417.75pt;height:205.95pt;visibility:visible;mso-wrap-style:square">
            <v:imagedata r:id="rId55" o:title="" croptop="942f" cropbottom="942f" cropleft="1156f"/>
          </v:shape>
        </w:pict>
      </w:r>
    </w:p>
    <w:p w14:paraId="712395B2" w14:textId="77777777" w:rsidR="00660978" w:rsidRPr="00195994" w:rsidRDefault="00660978" w:rsidP="00660978">
      <w:pPr>
        <w:pStyle w:val="Heading5"/>
      </w:pPr>
      <w:r w:rsidRPr="00195994">
        <w:t>2019–2020</w:t>
      </w:r>
    </w:p>
    <w:p w14:paraId="7D32B9C8" w14:textId="09FE55DA" w:rsidR="00660978" w:rsidRPr="00CB1C46" w:rsidRDefault="00660978" w:rsidP="00660978">
      <w:pPr>
        <w:pStyle w:val="BodyText"/>
      </w:pPr>
      <w:r w:rsidRPr="00CB1C46">
        <w:t>The 2020 calendar year saw disruption to economic activity in New Zealand, with the effects</w:t>
      </w:r>
      <w:r w:rsidR="000146D5">
        <w:t> </w:t>
      </w:r>
      <w:r w:rsidRPr="00CB1C46">
        <w:t>of</w:t>
      </w:r>
      <w:r>
        <w:t> </w:t>
      </w:r>
      <w:r w:rsidRPr="00CB1C46">
        <w:t xml:space="preserve">the COVID-19 pandemic being felt by the energy sector throughout the year. This saw significant changes to the supply and demand of energy in New Zealand. </w:t>
      </w:r>
      <w:r w:rsidRPr="00CB1C46">
        <w:rPr>
          <w:lang w:eastAsia="en-GB"/>
        </w:rPr>
        <w:t xml:space="preserve">For in-depth analysis and commentary please see </w:t>
      </w:r>
      <w:r w:rsidRPr="00CB1C46">
        <w:rPr>
          <w:i/>
          <w:lang w:eastAsia="en-GB"/>
        </w:rPr>
        <w:t>Energy in New Zealand</w:t>
      </w:r>
      <w:r w:rsidRPr="00CB1C46">
        <w:rPr>
          <w:lang w:eastAsia="en-GB"/>
        </w:rPr>
        <w:t xml:space="preserve"> (MBIE, 2021), section C: Impacts of COVID-19.</w:t>
      </w:r>
    </w:p>
    <w:p w14:paraId="1E0E320F" w14:textId="77777777" w:rsidR="00660978" w:rsidRPr="00CB1C46" w:rsidRDefault="00660978" w:rsidP="00660978">
      <w:pPr>
        <w:pStyle w:val="BodyText"/>
        <w:rPr>
          <w:rFonts w:cs="Calibri"/>
          <w:color w:val="000000"/>
        </w:rPr>
      </w:pPr>
      <w:r w:rsidRPr="00CB1C46">
        <w:lastRenderedPageBreak/>
        <w:t>Between </w:t>
      </w:r>
      <w:r w:rsidRPr="00CB1C46">
        <w:rPr>
          <w:bCs/>
        </w:rPr>
        <w:t>2019</w:t>
      </w:r>
      <w:r w:rsidRPr="00CB1C46">
        <w:t> and </w:t>
      </w:r>
      <w:r w:rsidRPr="00CB1C46">
        <w:rPr>
          <w:bCs/>
        </w:rPr>
        <w:t>2020</w:t>
      </w:r>
      <w:r w:rsidRPr="00CB1C46">
        <w:t>, emissions from the Energy sector </w:t>
      </w:r>
      <w:r w:rsidRPr="00CB1C46">
        <w:rPr>
          <w:bCs/>
        </w:rPr>
        <w:t>decreased</w:t>
      </w:r>
      <w:r w:rsidRPr="00CB1C46">
        <w:t> by 2,459.0 kt CO</w:t>
      </w:r>
      <w:r w:rsidRPr="00CB1C46">
        <w:rPr>
          <w:vertAlign w:val="subscript"/>
        </w:rPr>
        <w:t>2</w:t>
      </w:r>
      <w:r w:rsidRPr="00CB1C46">
        <w:t>-e (</w:t>
      </w:r>
      <w:r w:rsidRPr="00CB1C46">
        <w:rPr>
          <w:bCs/>
        </w:rPr>
        <w:t>7.2 </w:t>
      </w:r>
      <w:r w:rsidRPr="00CB1C46">
        <w:t>per cent). This is primarily due to the 1,093.0 kt CO</w:t>
      </w:r>
      <w:r w:rsidRPr="00CB1C46">
        <w:rPr>
          <w:vertAlign w:val="subscript"/>
        </w:rPr>
        <w:t>2</w:t>
      </w:r>
      <w:r w:rsidRPr="00CB1C46">
        <w:t>-e (8.3 per cent) decrease in emissions from category </w:t>
      </w:r>
      <w:r w:rsidRPr="00CB1C46">
        <w:rPr>
          <w:iCs/>
        </w:rPr>
        <w:t>1.A.3.b</w:t>
      </w:r>
      <w:r w:rsidRPr="00CB1C46">
        <w:rPr>
          <w:i/>
        </w:rPr>
        <w:t xml:space="preserve"> Road transportation</w:t>
      </w:r>
      <w:r w:rsidRPr="00CB1C46">
        <w:rPr>
          <w:rFonts w:cs="Calibri"/>
          <w:color w:val="000000"/>
        </w:rPr>
        <w:t xml:space="preserve">, followed by a 315.3 kt </w:t>
      </w:r>
      <w:r w:rsidRPr="00CB1C46">
        <w:t>CO</w:t>
      </w:r>
      <w:r w:rsidRPr="00CB1C46">
        <w:rPr>
          <w:vertAlign w:val="subscript"/>
        </w:rPr>
        <w:t>2</w:t>
      </w:r>
      <w:r w:rsidRPr="00CB1C46">
        <w:t>-e (30.8 per cent) decrease from category 1.A.3.</w:t>
      </w:r>
      <w:r w:rsidRPr="00CB1C46">
        <w:rPr>
          <w:rFonts w:cs="Calibri"/>
          <w:color w:val="000000"/>
        </w:rPr>
        <w:t xml:space="preserve">a </w:t>
      </w:r>
      <w:r w:rsidRPr="00AF7FAF">
        <w:rPr>
          <w:rFonts w:cs="Calibri"/>
          <w:i/>
          <w:iCs/>
          <w:color w:val="000000"/>
        </w:rPr>
        <w:t>Domestic aviation</w:t>
      </w:r>
      <w:r w:rsidRPr="00CB1C46">
        <w:rPr>
          <w:rFonts w:cs="Calibri"/>
          <w:color w:val="000000"/>
        </w:rPr>
        <w:t xml:space="preserve">. </w:t>
      </w:r>
    </w:p>
    <w:p w14:paraId="21A31B6E" w14:textId="77777777" w:rsidR="00660978" w:rsidRPr="00CB1C46" w:rsidRDefault="00660978" w:rsidP="00660978">
      <w:pPr>
        <w:pStyle w:val="BodyText"/>
        <w:rPr>
          <w:rFonts w:cs="Calibri"/>
          <w:color w:val="000000"/>
        </w:rPr>
      </w:pPr>
      <w:r w:rsidRPr="00CB1C46">
        <w:t xml:space="preserve">The </w:t>
      </w:r>
      <w:r>
        <w:t>de</w:t>
      </w:r>
      <w:r w:rsidRPr="00CB1C46">
        <w:t>crease was </w:t>
      </w:r>
      <w:r w:rsidRPr="00CB1C46">
        <w:rPr>
          <w:iCs/>
        </w:rPr>
        <w:t>partially offset by an increase from category </w:t>
      </w:r>
      <w:r w:rsidRPr="00CB1C46">
        <w:rPr>
          <w:rFonts w:cs="Calibri"/>
          <w:color w:val="000000"/>
        </w:rPr>
        <w:t>1.A.1.a</w:t>
      </w:r>
      <w:r w:rsidRPr="00CB1C46">
        <w:rPr>
          <w:rFonts w:cs="Calibri"/>
          <w:i/>
          <w:iCs/>
          <w:color w:val="000000"/>
        </w:rPr>
        <w:t xml:space="preserve"> Public electricity and heat production</w:t>
      </w:r>
      <w:r w:rsidRPr="00CB1C46">
        <w:t>, which increased by 401.5 kt CO</w:t>
      </w:r>
      <w:r w:rsidRPr="00CB1C46">
        <w:rPr>
          <w:vertAlign w:val="subscript"/>
        </w:rPr>
        <w:t>2</w:t>
      </w:r>
      <w:r w:rsidRPr="00CB1C46">
        <w:t xml:space="preserve">-e (9.5 per cent). </w:t>
      </w:r>
    </w:p>
    <w:p w14:paraId="0960045C" w14:textId="77777777" w:rsidR="00660978" w:rsidRPr="0046789F" w:rsidRDefault="00660978" w:rsidP="00660978">
      <w:pPr>
        <w:pStyle w:val="BodyText"/>
        <w:rPr>
          <w:rFonts w:cs="Calibri"/>
        </w:rPr>
      </w:pPr>
      <w:r w:rsidRPr="0046789F">
        <w:rPr>
          <w:rFonts w:cs="Calibri"/>
        </w:rPr>
        <w:t>A 847.6 kt CO</w:t>
      </w:r>
      <w:r w:rsidRPr="0046789F">
        <w:rPr>
          <w:rFonts w:cs="Calibri"/>
          <w:vertAlign w:val="subscript"/>
        </w:rPr>
        <w:t>2</w:t>
      </w:r>
      <w:r w:rsidRPr="0046789F">
        <w:rPr>
          <w:rFonts w:cs="Calibri"/>
        </w:rPr>
        <w:t>-e (11.3 per cent) decrease also occurred in emissions from high level category </w:t>
      </w:r>
      <w:r w:rsidRPr="00CB1C46">
        <w:rPr>
          <w:rFonts w:cs="Calibri"/>
          <w:color w:val="000000"/>
        </w:rPr>
        <w:t>1.A.2</w:t>
      </w:r>
      <w:r w:rsidRPr="00CB1C46">
        <w:rPr>
          <w:rFonts w:cs="Calibri"/>
          <w:i/>
          <w:iCs/>
          <w:color w:val="000000"/>
        </w:rPr>
        <w:t xml:space="preserve"> Manufacturing industries and construction</w:t>
      </w:r>
      <w:r w:rsidRPr="0046789F">
        <w:rPr>
          <w:rFonts w:cs="Calibri"/>
        </w:rPr>
        <w:t xml:space="preserve">. </w:t>
      </w:r>
    </w:p>
    <w:p w14:paraId="4393F625" w14:textId="77777777" w:rsidR="00660978" w:rsidRPr="00CB1C46" w:rsidRDefault="00660978" w:rsidP="00660978">
      <w:pPr>
        <w:pStyle w:val="Heading3"/>
        <w:rPr>
          <w:rFonts w:cs="Calibri"/>
        </w:rPr>
      </w:pPr>
      <w:r w:rsidRPr="00CB1C46">
        <w:rPr>
          <w:rFonts w:cs="Calibri"/>
        </w:rPr>
        <w:t>3.1.2</w:t>
      </w:r>
      <w:r w:rsidRPr="00CB1C46">
        <w:rPr>
          <w:rFonts w:cs="Calibri"/>
        </w:rPr>
        <w:tab/>
        <w:t>Key categories for Energy sector emissions</w:t>
      </w:r>
    </w:p>
    <w:p w14:paraId="1E56B02D" w14:textId="77777777" w:rsidR="00660978" w:rsidRPr="00CB1C46" w:rsidRDefault="00660978" w:rsidP="00660978">
      <w:pPr>
        <w:pStyle w:val="BodyText"/>
        <w:rPr>
          <w:rFonts w:cs="Calibri"/>
        </w:rPr>
      </w:pPr>
      <w:r w:rsidRPr="00CB1C46">
        <w:rPr>
          <w:rFonts w:cs="Calibri"/>
        </w:rPr>
        <w:t>Details of New Zealand’s key category analysis are in chapter 1, section 1.5. The key categories in the Energy sector are listed in table 3.1.1.</w:t>
      </w:r>
    </w:p>
    <w:p w14:paraId="7EB173CD" w14:textId="77777777" w:rsidR="00660978" w:rsidRPr="00CB1C46" w:rsidRDefault="00660978" w:rsidP="00660978">
      <w:pPr>
        <w:pStyle w:val="Table"/>
      </w:pPr>
      <w:bookmarkStart w:id="199" w:name="_Toc451176060"/>
      <w:bookmarkStart w:id="200" w:name="_Toc481751486"/>
      <w:bookmarkStart w:id="201" w:name="_Toc507496588"/>
      <w:bookmarkStart w:id="202" w:name="_Toc36224522"/>
      <w:bookmarkStart w:id="203" w:name="_Toc68786403"/>
      <w:bookmarkStart w:id="204" w:name="_Toc99659211"/>
      <w:bookmarkStart w:id="205" w:name="_Toc384582165"/>
      <w:bookmarkStart w:id="206" w:name="_Toc443060844"/>
      <w:r w:rsidRPr="00CB1C46">
        <w:t xml:space="preserve">Table 3.1.1 </w:t>
      </w:r>
      <w:r w:rsidRPr="00CB1C46">
        <w:tab/>
        <w:t xml:space="preserve">Key categories in </w:t>
      </w:r>
      <w:r w:rsidRPr="00FB4217">
        <w:t>the</w:t>
      </w:r>
      <w:r w:rsidRPr="00CB1C46">
        <w:t xml:space="preserve"> Energy sector</w:t>
      </w:r>
      <w:bookmarkEnd w:id="199"/>
      <w:bookmarkEnd w:id="200"/>
      <w:bookmarkEnd w:id="201"/>
      <w:bookmarkEnd w:id="202"/>
      <w:bookmarkEnd w:id="203"/>
      <w:bookmarkEnd w:id="204"/>
    </w:p>
    <w:tbl>
      <w:tblPr>
        <w:tblW w:w="8505" w:type="dxa"/>
        <w:tblInd w:w="113" w:type="dxa"/>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093"/>
        <w:gridCol w:w="5589"/>
        <w:gridCol w:w="669"/>
        <w:gridCol w:w="1154"/>
      </w:tblGrid>
      <w:tr w:rsidR="00660978" w:rsidRPr="00CB1C46" w14:paraId="50923D30" w14:textId="77777777" w:rsidTr="004873FC">
        <w:trPr>
          <w:tblHeader/>
        </w:trPr>
        <w:tc>
          <w:tcPr>
            <w:tcW w:w="1093" w:type="dxa"/>
            <w:shd w:val="clear" w:color="auto" w:fill="1B556B"/>
            <w:noWrap/>
            <w:vAlign w:val="bottom"/>
            <w:hideMark/>
          </w:tcPr>
          <w:p w14:paraId="78B48E48" w14:textId="77777777" w:rsidR="00660978" w:rsidRPr="0046789F" w:rsidRDefault="00660978" w:rsidP="004873FC">
            <w:pPr>
              <w:pStyle w:val="TableTextBold"/>
              <w:keepNext/>
              <w:spacing w:before="40"/>
              <w:rPr>
                <w:rFonts w:cs="Calibri"/>
                <w:noProof w:val="0"/>
                <w:color w:val="FFFFFF"/>
              </w:rPr>
            </w:pPr>
            <w:r w:rsidRPr="0046789F">
              <w:rPr>
                <w:rFonts w:cs="Calibri"/>
                <w:noProof w:val="0"/>
                <w:color w:val="FFFFFF"/>
              </w:rPr>
              <w:t>CRF category code</w:t>
            </w:r>
          </w:p>
        </w:tc>
        <w:tc>
          <w:tcPr>
            <w:tcW w:w="5589" w:type="dxa"/>
            <w:shd w:val="clear" w:color="auto" w:fill="1B556B"/>
            <w:noWrap/>
            <w:vAlign w:val="bottom"/>
            <w:hideMark/>
          </w:tcPr>
          <w:p w14:paraId="41C36873" w14:textId="77777777" w:rsidR="00660978" w:rsidRPr="0046789F" w:rsidRDefault="00660978" w:rsidP="004873FC">
            <w:pPr>
              <w:pStyle w:val="TableTextBold"/>
              <w:keepNext/>
              <w:spacing w:before="40"/>
              <w:rPr>
                <w:rFonts w:cs="Calibri"/>
                <w:noProof w:val="0"/>
                <w:color w:val="FFFFFF"/>
              </w:rPr>
            </w:pPr>
            <w:r w:rsidRPr="0046789F">
              <w:rPr>
                <w:rFonts w:cs="Calibri"/>
                <w:noProof w:val="0"/>
                <w:color w:val="FFFFFF"/>
              </w:rPr>
              <w:t>IPCC categories</w:t>
            </w:r>
          </w:p>
        </w:tc>
        <w:tc>
          <w:tcPr>
            <w:tcW w:w="669" w:type="dxa"/>
            <w:shd w:val="clear" w:color="auto" w:fill="1B556B"/>
            <w:noWrap/>
            <w:vAlign w:val="bottom"/>
            <w:hideMark/>
          </w:tcPr>
          <w:p w14:paraId="008AED35" w14:textId="77777777" w:rsidR="00660978" w:rsidRPr="0046789F" w:rsidRDefault="00660978" w:rsidP="004873FC">
            <w:pPr>
              <w:pStyle w:val="TableTextBold"/>
              <w:keepNext/>
              <w:spacing w:before="40"/>
              <w:jc w:val="center"/>
              <w:rPr>
                <w:rFonts w:cs="Calibri"/>
                <w:noProof w:val="0"/>
                <w:color w:val="FFFFFF"/>
              </w:rPr>
            </w:pPr>
            <w:r w:rsidRPr="0046789F">
              <w:rPr>
                <w:rFonts w:cs="Calibri"/>
                <w:noProof w:val="0"/>
                <w:color w:val="FFFFFF"/>
              </w:rPr>
              <w:t>Gas</w:t>
            </w:r>
          </w:p>
        </w:tc>
        <w:tc>
          <w:tcPr>
            <w:tcW w:w="1154" w:type="dxa"/>
            <w:shd w:val="clear" w:color="auto" w:fill="1B556B"/>
            <w:noWrap/>
            <w:vAlign w:val="bottom"/>
            <w:hideMark/>
          </w:tcPr>
          <w:p w14:paraId="6CBAAD2B" w14:textId="77777777" w:rsidR="00660978" w:rsidRPr="0046789F" w:rsidRDefault="00660978" w:rsidP="004873FC">
            <w:pPr>
              <w:pStyle w:val="TableTextBold"/>
              <w:keepNext/>
              <w:spacing w:before="40"/>
              <w:rPr>
                <w:rFonts w:cs="Calibri"/>
                <w:noProof w:val="0"/>
                <w:color w:val="FFFFFF"/>
              </w:rPr>
            </w:pPr>
            <w:r w:rsidRPr="0046789F">
              <w:rPr>
                <w:rFonts w:cs="Calibri"/>
                <w:noProof w:val="0"/>
                <w:color w:val="FFFFFF"/>
              </w:rPr>
              <w:t>Criteria for identification</w:t>
            </w:r>
          </w:p>
        </w:tc>
      </w:tr>
      <w:tr w:rsidR="00660978" w:rsidRPr="00CB1C46" w14:paraId="5CD70391" w14:textId="77777777" w:rsidTr="004873FC">
        <w:tc>
          <w:tcPr>
            <w:tcW w:w="1093" w:type="dxa"/>
            <w:shd w:val="clear" w:color="auto" w:fill="auto"/>
            <w:noWrap/>
            <w:hideMark/>
          </w:tcPr>
          <w:p w14:paraId="1542357A" w14:textId="77777777" w:rsidR="00660978" w:rsidRPr="00CB1C46" w:rsidRDefault="00660978" w:rsidP="004873FC">
            <w:pPr>
              <w:pStyle w:val="TableText"/>
              <w:keepNext/>
              <w:spacing w:before="40"/>
              <w:rPr>
                <w:rFonts w:cs="Calibri"/>
              </w:rPr>
            </w:pPr>
            <w:r w:rsidRPr="00CB1C46">
              <w:t>1.A.1.a</w:t>
            </w:r>
          </w:p>
        </w:tc>
        <w:tc>
          <w:tcPr>
            <w:tcW w:w="5589" w:type="dxa"/>
            <w:shd w:val="clear" w:color="auto" w:fill="auto"/>
            <w:noWrap/>
            <w:hideMark/>
          </w:tcPr>
          <w:p w14:paraId="280A5766" w14:textId="77777777" w:rsidR="00660978" w:rsidRPr="00CB1C46" w:rsidRDefault="00660978" w:rsidP="004873FC">
            <w:pPr>
              <w:pStyle w:val="TableText"/>
              <w:spacing w:before="40"/>
              <w:rPr>
                <w:rFonts w:cs="Calibri"/>
              </w:rPr>
            </w:pPr>
            <w:r w:rsidRPr="00CB1C46">
              <w:t>Energy Industries – Public Electricity and Heat Production Gaseous Fuels</w:t>
            </w:r>
          </w:p>
        </w:tc>
        <w:tc>
          <w:tcPr>
            <w:tcW w:w="669" w:type="dxa"/>
            <w:shd w:val="clear" w:color="auto" w:fill="auto"/>
            <w:noWrap/>
            <w:hideMark/>
          </w:tcPr>
          <w:p w14:paraId="2FC7A1DF"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hideMark/>
          </w:tcPr>
          <w:p w14:paraId="1899BC3C" w14:textId="77777777" w:rsidR="00660978" w:rsidRPr="00CB1C46" w:rsidRDefault="00660978" w:rsidP="004873FC">
            <w:pPr>
              <w:pStyle w:val="TableText"/>
              <w:spacing w:before="40"/>
              <w:rPr>
                <w:rFonts w:cs="Calibri"/>
              </w:rPr>
            </w:pPr>
            <w:r w:rsidRPr="00CB1C46">
              <w:t>L1, T1</w:t>
            </w:r>
          </w:p>
        </w:tc>
      </w:tr>
      <w:tr w:rsidR="00660978" w:rsidRPr="00CB1C46" w14:paraId="5F85CAF3" w14:textId="77777777" w:rsidTr="004873FC">
        <w:tc>
          <w:tcPr>
            <w:tcW w:w="1093" w:type="dxa"/>
            <w:shd w:val="clear" w:color="auto" w:fill="auto"/>
            <w:noWrap/>
            <w:hideMark/>
          </w:tcPr>
          <w:p w14:paraId="3FB0AD3D" w14:textId="77777777" w:rsidR="00660978" w:rsidRPr="00CB1C46" w:rsidRDefault="00660978" w:rsidP="004873FC">
            <w:pPr>
              <w:pStyle w:val="TableText"/>
              <w:keepNext/>
              <w:spacing w:before="40"/>
              <w:rPr>
                <w:rFonts w:cs="Calibri"/>
              </w:rPr>
            </w:pPr>
            <w:r w:rsidRPr="00CB1C46">
              <w:t>1.A.1.a</w:t>
            </w:r>
          </w:p>
        </w:tc>
        <w:tc>
          <w:tcPr>
            <w:tcW w:w="5589" w:type="dxa"/>
            <w:shd w:val="clear" w:color="auto" w:fill="auto"/>
            <w:noWrap/>
            <w:hideMark/>
          </w:tcPr>
          <w:p w14:paraId="77F2D5A6" w14:textId="77777777" w:rsidR="00660978" w:rsidRPr="00CB1C46" w:rsidRDefault="00660978" w:rsidP="004873FC">
            <w:pPr>
              <w:pStyle w:val="TableText"/>
              <w:spacing w:before="40"/>
              <w:rPr>
                <w:rFonts w:cs="Calibri"/>
              </w:rPr>
            </w:pPr>
            <w:r w:rsidRPr="00CB1C46">
              <w:t>Energy Industries – Public Electricity and Heat Production Solid Fuels</w:t>
            </w:r>
          </w:p>
        </w:tc>
        <w:tc>
          <w:tcPr>
            <w:tcW w:w="669" w:type="dxa"/>
            <w:shd w:val="clear" w:color="auto" w:fill="auto"/>
            <w:noWrap/>
            <w:hideMark/>
          </w:tcPr>
          <w:p w14:paraId="39FB2F00"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hideMark/>
          </w:tcPr>
          <w:p w14:paraId="7446E9D7" w14:textId="77777777" w:rsidR="00660978" w:rsidRPr="00CB1C46" w:rsidRDefault="00660978" w:rsidP="004873FC">
            <w:pPr>
              <w:pStyle w:val="TableText"/>
              <w:spacing w:before="40"/>
              <w:rPr>
                <w:rFonts w:cs="Calibri"/>
              </w:rPr>
            </w:pPr>
            <w:r w:rsidRPr="00CB1C46">
              <w:t>L1, T1</w:t>
            </w:r>
          </w:p>
        </w:tc>
      </w:tr>
      <w:tr w:rsidR="00660978" w:rsidRPr="00CB1C46" w14:paraId="58E581CD" w14:textId="77777777" w:rsidTr="004873FC">
        <w:tc>
          <w:tcPr>
            <w:tcW w:w="1093" w:type="dxa"/>
            <w:shd w:val="clear" w:color="auto" w:fill="auto"/>
            <w:noWrap/>
          </w:tcPr>
          <w:p w14:paraId="2AC7B135" w14:textId="77777777" w:rsidR="00660978" w:rsidRPr="00CB1C46" w:rsidRDefault="00660978" w:rsidP="004873FC">
            <w:pPr>
              <w:pStyle w:val="TableText"/>
              <w:keepNext/>
              <w:spacing w:before="40"/>
            </w:pPr>
            <w:r w:rsidRPr="00594FF1">
              <w:t>1.A.1.a</w:t>
            </w:r>
          </w:p>
        </w:tc>
        <w:tc>
          <w:tcPr>
            <w:tcW w:w="5589" w:type="dxa"/>
            <w:shd w:val="clear" w:color="auto" w:fill="auto"/>
            <w:noWrap/>
          </w:tcPr>
          <w:p w14:paraId="49E60B6E" w14:textId="77777777" w:rsidR="00660978" w:rsidRPr="00CB1C46" w:rsidRDefault="00660978" w:rsidP="004873FC">
            <w:pPr>
              <w:pStyle w:val="TableText"/>
              <w:spacing w:before="40"/>
            </w:pPr>
            <w:r w:rsidRPr="00594FF1">
              <w:t>Energy Industries – Public Electricity and Heat Production Liquid Fuels</w:t>
            </w:r>
          </w:p>
        </w:tc>
        <w:tc>
          <w:tcPr>
            <w:tcW w:w="669" w:type="dxa"/>
            <w:shd w:val="clear" w:color="auto" w:fill="auto"/>
            <w:noWrap/>
          </w:tcPr>
          <w:p w14:paraId="19515840" w14:textId="77777777" w:rsidR="00660978" w:rsidRPr="00CB1C46" w:rsidRDefault="00660978" w:rsidP="004873FC">
            <w:pPr>
              <w:pStyle w:val="TableText"/>
              <w:spacing w:before="40"/>
              <w:jc w:val="center"/>
            </w:pPr>
            <w:r w:rsidRPr="00594FF1">
              <w:t>CO</w:t>
            </w:r>
            <w:r w:rsidRPr="00A4156F">
              <w:rPr>
                <w:vertAlign w:val="subscript"/>
              </w:rPr>
              <w:t>2</w:t>
            </w:r>
          </w:p>
        </w:tc>
        <w:tc>
          <w:tcPr>
            <w:tcW w:w="1154" w:type="dxa"/>
            <w:shd w:val="clear" w:color="auto" w:fill="auto"/>
            <w:noWrap/>
          </w:tcPr>
          <w:p w14:paraId="60B34832" w14:textId="77777777" w:rsidR="00660978" w:rsidRPr="00CB1C46" w:rsidRDefault="00660978" w:rsidP="004873FC">
            <w:pPr>
              <w:pStyle w:val="TableText"/>
              <w:spacing w:before="40"/>
            </w:pPr>
            <w:r w:rsidRPr="00594FF1">
              <w:t>T1</w:t>
            </w:r>
          </w:p>
        </w:tc>
      </w:tr>
      <w:tr w:rsidR="00660978" w:rsidRPr="00CB1C46" w14:paraId="2D61C173" w14:textId="77777777" w:rsidTr="004873FC">
        <w:tc>
          <w:tcPr>
            <w:tcW w:w="1093" w:type="dxa"/>
            <w:shd w:val="clear" w:color="auto" w:fill="auto"/>
            <w:noWrap/>
            <w:hideMark/>
          </w:tcPr>
          <w:p w14:paraId="77B174EE" w14:textId="77777777" w:rsidR="00660978" w:rsidRPr="00CB1C46" w:rsidRDefault="00660978" w:rsidP="004873FC">
            <w:pPr>
              <w:pStyle w:val="TableText"/>
              <w:spacing w:before="40"/>
              <w:rPr>
                <w:rFonts w:cs="Calibri"/>
              </w:rPr>
            </w:pPr>
            <w:r w:rsidRPr="00CB1C46">
              <w:t>1.A.1.b</w:t>
            </w:r>
          </w:p>
        </w:tc>
        <w:tc>
          <w:tcPr>
            <w:tcW w:w="5589" w:type="dxa"/>
            <w:shd w:val="clear" w:color="auto" w:fill="auto"/>
            <w:noWrap/>
            <w:hideMark/>
          </w:tcPr>
          <w:p w14:paraId="6DDFB808" w14:textId="77777777" w:rsidR="00660978" w:rsidRPr="00CB1C46" w:rsidRDefault="00660978" w:rsidP="004873FC">
            <w:pPr>
              <w:pStyle w:val="TableText"/>
              <w:spacing w:before="40"/>
              <w:rPr>
                <w:rFonts w:cs="Calibri"/>
              </w:rPr>
            </w:pPr>
            <w:r w:rsidRPr="00CB1C46">
              <w:t>Energy Industries – Petroleum Refining Liquid Fuels</w:t>
            </w:r>
          </w:p>
        </w:tc>
        <w:tc>
          <w:tcPr>
            <w:tcW w:w="669" w:type="dxa"/>
            <w:shd w:val="clear" w:color="auto" w:fill="auto"/>
            <w:noWrap/>
            <w:hideMark/>
          </w:tcPr>
          <w:p w14:paraId="3AA40890"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hideMark/>
          </w:tcPr>
          <w:p w14:paraId="41E94751" w14:textId="77777777" w:rsidR="00660978" w:rsidRPr="00CB1C46" w:rsidRDefault="00660978" w:rsidP="004873FC">
            <w:pPr>
              <w:pStyle w:val="TableText"/>
              <w:spacing w:before="40"/>
              <w:rPr>
                <w:rFonts w:cs="Calibri"/>
              </w:rPr>
            </w:pPr>
            <w:r w:rsidRPr="00CB1C46">
              <w:t>L1, T1</w:t>
            </w:r>
          </w:p>
        </w:tc>
      </w:tr>
      <w:tr w:rsidR="00660978" w:rsidRPr="00CB1C46" w14:paraId="55D28378" w14:textId="77777777" w:rsidTr="004873FC">
        <w:tc>
          <w:tcPr>
            <w:tcW w:w="1093" w:type="dxa"/>
            <w:shd w:val="clear" w:color="auto" w:fill="auto"/>
            <w:noWrap/>
            <w:hideMark/>
          </w:tcPr>
          <w:p w14:paraId="1A471625" w14:textId="77777777" w:rsidR="00660978" w:rsidRPr="00CB1C46" w:rsidRDefault="00660978" w:rsidP="004873FC">
            <w:pPr>
              <w:pStyle w:val="TableText"/>
              <w:spacing w:before="40"/>
              <w:rPr>
                <w:rFonts w:cs="Calibri"/>
              </w:rPr>
            </w:pPr>
            <w:r w:rsidRPr="00CB1C46">
              <w:t>1.A.1.b</w:t>
            </w:r>
          </w:p>
        </w:tc>
        <w:tc>
          <w:tcPr>
            <w:tcW w:w="5589" w:type="dxa"/>
            <w:shd w:val="clear" w:color="auto" w:fill="auto"/>
            <w:noWrap/>
            <w:hideMark/>
          </w:tcPr>
          <w:p w14:paraId="34295A37" w14:textId="77777777" w:rsidR="00660978" w:rsidRPr="00CB1C46" w:rsidRDefault="00660978" w:rsidP="004873FC">
            <w:pPr>
              <w:pStyle w:val="TableText"/>
              <w:spacing w:before="40"/>
              <w:rPr>
                <w:rFonts w:cs="Calibri"/>
              </w:rPr>
            </w:pPr>
            <w:r w:rsidRPr="00CB1C46">
              <w:t>Energy Industries – Petroleum Refining Gaseous Fuels</w:t>
            </w:r>
          </w:p>
        </w:tc>
        <w:tc>
          <w:tcPr>
            <w:tcW w:w="669" w:type="dxa"/>
            <w:shd w:val="clear" w:color="auto" w:fill="auto"/>
            <w:noWrap/>
            <w:hideMark/>
          </w:tcPr>
          <w:p w14:paraId="3176C27A"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hideMark/>
          </w:tcPr>
          <w:p w14:paraId="340F9BA3" w14:textId="77777777" w:rsidR="00660978" w:rsidRPr="00CB1C46" w:rsidRDefault="00660978" w:rsidP="004873FC">
            <w:pPr>
              <w:pStyle w:val="TableText"/>
              <w:spacing w:before="40"/>
              <w:rPr>
                <w:rFonts w:cs="Calibri"/>
              </w:rPr>
            </w:pPr>
            <w:r w:rsidRPr="00CB1C46">
              <w:t>T1</w:t>
            </w:r>
          </w:p>
        </w:tc>
      </w:tr>
      <w:tr w:rsidR="00660978" w:rsidRPr="00CB1C46" w14:paraId="5FF6572B" w14:textId="77777777" w:rsidTr="004873FC">
        <w:tc>
          <w:tcPr>
            <w:tcW w:w="1093" w:type="dxa"/>
            <w:shd w:val="clear" w:color="auto" w:fill="auto"/>
            <w:noWrap/>
            <w:hideMark/>
          </w:tcPr>
          <w:p w14:paraId="080A88D6" w14:textId="77777777" w:rsidR="00660978" w:rsidRPr="00CB1C46" w:rsidRDefault="00660978" w:rsidP="004873FC">
            <w:pPr>
              <w:pStyle w:val="TableText"/>
              <w:spacing w:before="40"/>
              <w:rPr>
                <w:rFonts w:cs="Calibri"/>
              </w:rPr>
            </w:pPr>
            <w:r w:rsidRPr="00CB1C46">
              <w:t>1.A.1.c</w:t>
            </w:r>
          </w:p>
        </w:tc>
        <w:tc>
          <w:tcPr>
            <w:tcW w:w="5589" w:type="dxa"/>
            <w:shd w:val="clear" w:color="auto" w:fill="auto"/>
            <w:noWrap/>
            <w:hideMark/>
          </w:tcPr>
          <w:p w14:paraId="17301EFC" w14:textId="77777777" w:rsidR="00660978" w:rsidRPr="00CB1C46" w:rsidRDefault="00660978" w:rsidP="004873FC">
            <w:pPr>
              <w:pStyle w:val="TableText"/>
              <w:spacing w:before="40"/>
              <w:rPr>
                <w:rFonts w:cs="Calibri"/>
              </w:rPr>
            </w:pPr>
            <w:r w:rsidRPr="00CB1C46">
              <w:t>Energy Industries – Manufacture of Solid Fuels and Other Energy Industries Gaseous Fuels</w:t>
            </w:r>
          </w:p>
        </w:tc>
        <w:tc>
          <w:tcPr>
            <w:tcW w:w="669" w:type="dxa"/>
            <w:shd w:val="clear" w:color="auto" w:fill="auto"/>
            <w:noWrap/>
            <w:hideMark/>
          </w:tcPr>
          <w:p w14:paraId="2C216797"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hideMark/>
          </w:tcPr>
          <w:p w14:paraId="188FCE9F" w14:textId="77777777" w:rsidR="00660978" w:rsidRPr="00CB1C46" w:rsidRDefault="00660978" w:rsidP="004873FC">
            <w:pPr>
              <w:pStyle w:val="TableText"/>
              <w:spacing w:before="40"/>
              <w:rPr>
                <w:rFonts w:cs="Calibri"/>
              </w:rPr>
            </w:pPr>
            <w:r w:rsidRPr="00CB1C46">
              <w:t>L1, T1</w:t>
            </w:r>
          </w:p>
        </w:tc>
      </w:tr>
      <w:tr w:rsidR="00660978" w:rsidRPr="00CB1C46" w14:paraId="1506C6EE" w14:textId="77777777" w:rsidTr="004873FC">
        <w:tc>
          <w:tcPr>
            <w:tcW w:w="1093" w:type="dxa"/>
            <w:shd w:val="clear" w:color="auto" w:fill="auto"/>
            <w:noWrap/>
            <w:hideMark/>
          </w:tcPr>
          <w:p w14:paraId="087AE950" w14:textId="77777777" w:rsidR="00660978" w:rsidRPr="00CB1C46" w:rsidRDefault="00660978" w:rsidP="004873FC">
            <w:pPr>
              <w:pStyle w:val="TableText"/>
              <w:spacing w:before="40"/>
              <w:rPr>
                <w:rFonts w:cs="Calibri"/>
              </w:rPr>
            </w:pPr>
            <w:r w:rsidRPr="00CB1C46">
              <w:t>1.A.2.c</w:t>
            </w:r>
          </w:p>
        </w:tc>
        <w:tc>
          <w:tcPr>
            <w:tcW w:w="5589" w:type="dxa"/>
            <w:shd w:val="clear" w:color="auto" w:fill="auto"/>
            <w:noWrap/>
            <w:hideMark/>
          </w:tcPr>
          <w:p w14:paraId="6E55499F" w14:textId="77777777" w:rsidR="00660978" w:rsidRPr="00CB1C46" w:rsidRDefault="00660978" w:rsidP="004873FC">
            <w:pPr>
              <w:pStyle w:val="TableText"/>
              <w:spacing w:before="40"/>
              <w:rPr>
                <w:rFonts w:cs="Calibri"/>
              </w:rPr>
            </w:pPr>
            <w:r w:rsidRPr="00CB1C46">
              <w:t>Manufacturing Industries and Construction – Chemicals Gaseous Fuels</w:t>
            </w:r>
          </w:p>
        </w:tc>
        <w:tc>
          <w:tcPr>
            <w:tcW w:w="669" w:type="dxa"/>
            <w:shd w:val="clear" w:color="auto" w:fill="auto"/>
            <w:noWrap/>
            <w:hideMark/>
          </w:tcPr>
          <w:p w14:paraId="58F6555E"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hideMark/>
          </w:tcPr>
          <w:p w14:paraId="7D35D3AE" w14:textId="77777777" w:rsidR="00660978" w:rsidRPr="00CB1C46" w:rsidRDefault="00660978" w:rsidP="004873FC">
            <w:pPr>
              <w:pStyle w:val="TableText"/>
              <w:spacing w:before="40"/>
              <w:rPr>
                <w:rFonts w:cs="Calibri"/>
              </w:rPr>
            </w:pPr>
            <w:r w:rsidRPr="00CB1C46">
              <w:t>L1, T1</w:t>
            </w:r>
          </w:p>
        </w:tc>
      </w:tr>
      <w:tr w:rsidR="00660978" w:rsidRPr="00CB1C46" w14:paraId="2B7FB541" w14:textId="77777777" w:rsidTr="004873FC">
        <w:tc>
          <w:tcPr>
            <w:tcW w:w="1093" w:type="dxa"/>
            <w:shd w:val="clear" w:color="auto" w:fill="auto"/>
            <w:noWrap/>
            <w:hideMark/>
          </w:tcPr>
          <w:p w14:paraId="400A50BB" w14:textId="77777777" w:rsidR="00660978" w:rsidRPr="00CB1C46" w:rsidRDefault="00660978" w:rsidP="004873FC">
            <w:pPr>
              <w:pStyle w:val="TableText"/>
              <w:spacing w:before="40"/>
              <w:rPr>
                <w:rFonts w:cs="Calibri"/>
              </w:rPr>
            </w:pPr>
            <w:r w:rsidRPr="00CB1C46">
              <w:t>1.A.2.d</w:t>
            </w:r>
          </w:p>
        </w:tc>
        <w:tc>
          <w:tcPr>
            <w:tcW w:w="5589" w:type="dxa"/>
            <w:shd w:val="clear" w:color="auto" w:fill="auto"/>
            <w:noWrap/>
            <w:hideMark/>
          </w:tcPr>
          <w:p w14:paraId="66C7FF95" w14:textId="77777777" w:rsidR="00660978" w:rsidRPr="00CB1C46" w:rsidRDefault="00660978" w:rsidP="004873FC">
            <w:pPr>
              <w:pStyle w:val="TableText"/>
              <w:spacing w:before="40"/>
              <w:rPr>
                <w:rFonts w:cs="Calibri"/>
              </w:rPr>
            </w:pPr>
            <w:r w:rsidRPr="00CB1C46">
              <w:t>Manufacturing Industries and Construction – Pulp, Paper and Print Gaseous Fuels</w:t>
            </w:r>
          </w:p>
        </w:tc>
        <w:tc>
          <w:tcPr>
            <w:tcW w:w="669" w:type="dxa"/>
            <w:shd w:val="clear" w:color="auto" w:fill="auto"/>
            <w:noWrap/>
            <w:hideMark/>
          </w:tcPr>
          <w:p w14:paraId="21A4D551"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hideMark/>
          </w:tcPr>
          <w:p w14:paraId="4B984444" w14:textId="77777777" w:rsidR="00660978" w:rsidRPr="00CB1C46" w:rsidRDefault="00660978" w:rsidP="004873FC">
            <w:pPr>
              <w:pStyle w:val="TableText"/>
              <w:spacing w:before="40"/>
              <w:rPr>
                <w:rFonts w:cs="Calibri"/>
              </w:rPr>
            </w:pPr>
            <w:r w:rsidRPr="00CB1C46">
              <w:t>L1, T1</w:t>
            </w:r>
          </w:p>
        </w:tc>
      </w:tr>
      <w:tr w:rsidR="00660978" w:rsidRPr="00CB1C46" w14:paraId="2E7F075E" w14:textId="77777777" w:rsidTr="004873FC">
        <w:tc>
          <w:tcPr>
            <w:tcW w:w="1093" w:type="dxa"/>
            <w:shd w:val="clear" w:color="auto" w:fill="auto"/>
            <w:noWrap/>
          </w:tcPr>
          <w:p w14:paraId="5D593C34" w14:textId="77777777" w:rsidR="00660978" w:rsidRPr="00CB1C46" w:rsidRDefault="00660978" w:rsidP="004873FC">
            <w:pPr>
              <w:pStyle w:val="TableText"/>
              <w:spacing w:before="40"/>
              <w:rPr>
                <w:rFonts w:cs="Calibri"/>
              </w:rPr>
            </w:pPr>
            <w:r w:rsidRPr="00CB1C46">
              <w:t>1.A.2.d</w:t>
            </w:r>
          </w:p>
        </w:tc>
        <w:tc>
          <w:tcPr>
            <w:tcW w:w="5589" w:type="dxa"/>
            <w:shd w:val="clear" w:color="auto" w:fill="auto"/>
            <w:noWrap/>
          </w:tcPr>
          <w:p w14:paraId="43677C92" w14:textId="77777777" w:rsidR="00660978" w:rsidRPr="00CB1C46" w:rsidRDefault="00660978" w:rsidP="004873FC">
            <w:pPr>
              <w:pStyle w:val="TableText"/>
              <w:spacing w:before="40"/>
              <w:rPr>
                <w:rFonts w:cs="Calibri"/>
              </w:rPr>
            </w:pPr>
            <w:r w:rsidRPr="00CB1C46">
              <w:t>Manufacturing Industries and Construction – Pulp, Paper and Print Solid Fuels</w:t>
            </w:r>
          </w:p>
        </w:tc>
        <w:tc>
          <w:tcPr>
            <w:tcW w:w="669" w:type="dxa"/>
            <w:shd w:val="clear" w:color="auto" w:fill="auto"/>
            <w:noWrap/>
          </w:tcPr>
          <w:p w14:paraId="7422B32B"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7240796C" w14:textId="77777777" w:rsidR="00660978" w:rsidRPr="00CB1C46" w:rsidRDefault="00660978" w:rsidP="004873FC">
            <w:pPr>
              <w:pStyle w:val="TableText"/>
              <w:spacing w:before="40"/>
              <w:rPr>
                <w:rFonts w:cs="Calibri"/>
              </w:rPr>
            </w:pPr>
            <w:r w:rsidRPr="00CB1C46">
              <w:t>T1</w:t>
            </w:r>
          </w:p>
        </w:tc>
      </w:tr>
      <w:tr w:rsidR="00660978" w:rsidRPr="00CB1C46" w14:paraId="4799403C" w14:textId="77777777" w:rsidTr="004873FC">
        <w:tc>
          <w:tcPr>
            <w:tcW w:w="1093" w:type="dxa"/>
            <w:shd w:val="clear" w:color="auto" w:fill="auto"/>
            <w:noWrap/>
          </w:tcPr>
          <w:p w14:paraId="5A4A609D" w14:textId="77777777" w:rsidR="00660978" w:rsidRPr="00CB1C46" w:rsidRDefault="00660978" w:rsidP="004873FC">
            <w:pPr>
              <w:pStyle w:val="TableText"/>
              <w:spacing w:before="40"/>
              <w:rPr>
                <w:rFonts w:cs="Calibri"/>
              </w:rPr>
            </w:pPr>
            <w:r w:rsidRPr="00CB1C46">
              <w:t>1.A.2.e</w:t>
            </w:r>
          </w:p>
        </w:tc>
        <w:tc>
          <w:tcPr>
            <w:tcW w:w="5589" w:type="dxa"/>
            <w:shd w:val="clear" w:color="auto" w:fill="auto"/>
            <w:noWrap/>
          </w:tcPr>
          <w:p w14:paraId="72693B1A" w14:textId="77777777" w:rsidR="00660978" w:rsidRPr="00CB1C46" w:rsidRDefault="00660978" w:rsidP="004873FC">
            <w:pPr>
              <w:pStyle w:val="TableText"/>
              <w:spacing w:before="40"/>
              <w:rPr>
                <w:rFonts w:cs="Calibri"/>
              </w:rPr>
            </w:pPr>
            <w:r w:rsidRPr="00CB1C46">
              <w:t>Manufacturing Industries and Construction – Food Processing, Beverages and Tobacco Solid Fuels</w:t>
            </w:r>
          </w:p>
        </w:tc>
        <w:tc>
          <w:tcPr>
            <w:tcW w:w="669" w:type="dxa"/>
            <w:shd w:val="clear" w:color="auto" w:fill="auto"/>
            <w:noWrap/>
          </w:tcPr>
          <w:p w14:paraId="4A0D4D01"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7B50033D" w14:textId="77777777" w:rsidR="00660978" w:rsidRPr="00CB1C46" w:rsidRDefault="00660978" w:rsidP="004873FC">
            <w:pPr>
              <w:pStyle w:val="TableText"/>
              <w:spacing w:before="40"/>
              <w:rPr>
                <w:rFonts w:cs="Calibri"/>
              </w:rPr>
            </w:pPr>
            <w:r w:rsidRPr="00CB1C46">
              <w:t>L1, T1</w:t>
            </w:r>
          </w:p>
        </w:tc>
      </w:tr>
      <w:tr w:rsidR="00660978" w:rsidRPr="00CB1C46" w14:paraId="05FD3306" w14:textId="77777777" w:rsidTr="004873FC">
        <w:tc>
          <w:tcPr>
            <w:tcW w:w="1093" w:type="dxa"/>
            <w:shd w:val="clear" w:color="auto" w:fill="auto"/>
            <w:noWrap/>
          </w:tcPr>
          <w:p w14:paraId="5D42080D" w14:textId="77777777" w:rsidR="00660978" w:rsidRPr="00CB1C46" w:rsidRDefault="00660978" w:rsidP="004873FC">
            <w:pPr>
              <w:pStyle w:val="TableText"/>
              <w:spacing w:before="40"/>
              <w:rPr>
                <w:rFonts w:cs="Calibri"/>
              </w:rPr>
            </w:pPr>
            <w:r w:rsidRPr="00CB1C46">
              <w:t>1.A.2.e</w:t>
            </w:r>
          </w:p>
        </w:tc>
        <w:tc>
          <w:tcPr>
            <w:tcW w:w="5589" w:type="dxa"/>
            <w:shd w:val="clear" w:color="auto" w:fill="auto"/>
            <w:noWrap/>
          </w:tcPr>
          <w:p w14:paraId="493BB4C9" w14:textId="77777777" w:rsidR="00660978" w:rsidRPr="00CB1C46" w:rsidRDefault="00660978" w:rsidP="004873FC">
            <w:pPr>
              <w:pStyle w:val="TableText"/>
              <w:spacing w:before="40"/>
              <w:rPr>
                <w:rFonts w:cs="Calibri"/>
              </w:rPr>
            </w:pPr>
            <w:r w:rsidRPr="00CB1C46">
              <w:t>Manufacturing Industries and Construction – Food Processing, Beverages and Tobacco Gaseous Fuels</w:t>
            </w:r>
          </w:p>
        </w:tc>
        <w:tc>
          <w:tcPr>
            <w:tcW w:w="669" w:type="dxa"/>
            <w:shd w:val="clear" w:color="auto" w:fill="auto"/>
            <w:noWrap/>
          </w:tcPr>
          <w:p w14:paraId="12936999"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3C46DF9C" w14:textId="77777777" w:rsidR="00660978" w:rsidRPr="00CB1C46" w:rsidRDefault="00660978" w:rsidP="004873FC">
            <w:pPr>
              <w:pStyle w:val="TableText"/>
              <w:spacing w:before="40"/>
              <w:rPr>
                <w:rFonts w:cs="Calibri"/>
              </w:rPr>
            </w:pPr>
            <w:r w:rsidRPr="00CB1C46">
              <w:t>L1, T1</w:t>
            </w:r>
          </w:p>
        </w:tc>
      </w:tr>
      <w:tr w:rsidR="00660978" w:rsidRPr="00CB1C46" w14:paraId="5C178461" w14:textId="77777777" w:rsidTr="004873FC">
        <w:tc>
          <w:tcPr>
            <w:tcW w:w="1093" w:type="dxa"/>
            <w:shd w:val="clear" w:color="auto" w:fill="auto"/>
            <w:noWrap/>
          </w:tcPr>
          <w:p w14:paraId="5D9B2E5E" w14:textId="77777777" w:rsidR="00660978" w:rsidRPr="00CB1C46" w:rsidRDefault="00660978" w:rsidP="004873FC">
            <w:pPr>
              <w:pStyle w:val="TableText"/>
              <w:spacing w:before="40"/>
              <w:rPr>
                <w:rFonts w:cs="Calibri"/>
              </w:rPr>
            </w:pPr>
            <w:r w:rsidRPr="00CB1C46">
              <w:t>1.A.2.e</w:t>
            </w:r>
          </w:p>
        </w:tc>
        <w:tc>
          <w:tcPr>
            <w:tcW w:w="5589" w:type="dxa"/>
            <w:shd w:val="clear" w:color="auto" w:fill="auto"/>
            <w:noWrap/>
          </w:tcPr>
          <w:p w14:paraId="254EA70A" w14:textId="77777777" w:rsidR="00660978" w:rsidRPr="00CB1C46" w:rsidRDefault="00660978" w:rsidP="004873FC">
            <w:pPr>
              <w:pStyle w:val="TableText"/>
              <w:spacing w:before="40"/>
              <w:rPr>
                <w:rFonts w:cs="Calibri"/>
              </w:rPr>
            </w:pPr>
            <w:r w:rsidRPr="00CB1C46">
              <w:t>Manufacturing Industries and Construction – Food Processing, Beverages and Tobacco Liquid Fuels</w:t>
            </w:r>
          </w:p>
        </w:tc>
        <w:tc>
          <w:tcPr>
            <w:tcW w:w="669" w:type="dxa"/>
            <w:shd w:val="clear" w:color="auto" w:fill="auto"/>
            <w:noWrap/>
          </w:tcPr>
          <w:p w14:paraId="556AEAC5"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01BD73FE" w14:textId="77777777" w:rsidR="00660978" w:rsidRPr="00CB1C46" w:rsidRDefault="00660978" w:rsidP="004873FC">
            <w:pPr>
              <w:pStyle w:val="TableText"/>
              <w:spacing w:before="40"/>
              <w:rPr>
                <w:rFonts w:cs="Calibri"/>
              </w:rPr>
            </w:pPr>
            <w:r w:rsidRPr="00CB1C46">
              <w:t>L1</w:t>
            </w:r>
            <w:r>
              <w:t>, T1</w:t>
            </w:r>
          </w:p>
        </w:tc>
      </w:tr>
      <w:tr w:rsidR="00660978" w:rsidRPr="00CB1C46" w14:paraId="621C5FF4" w14:textId="77777777" w:rsidTr="004873FC">
        <w:tc>
          <w:tcPr>
            <w:tcW w:w="1093" w:type="dxa"/>
            <w:shd w:val="clear" w:color="auto" w:fill="auto"/>
            <w:noWrap/>
          </w:tcPr>
          <w:p w14:paraId="0D3E646C" w14:textId="77777777" w:rsidR="00660978" w:rsidRPr="00CB1C46" w:rsidRDefault="00660978" w:rsidP="004873FC">
            <w:pPr>
              <w:pStyle w:val="TableText"/>
              <w:spacing w:before="40"/>
              <w:rPr>
                <w:rFonts w:cs="Calibri"/>
              </w:rPr>
            </w:pPr>
            <w:r w:rsidRPr="00CB1C46">
              <w:t>1.A.2.f</w:t>
            </w:r>
          </w:p>
        </w:tc>
        <w:tc>
          <w:tcPr>
            <w:tcW w:w="5589" w:type="dxa"/>
            <w:shd w:val="clear" w:color="auto" w:fill="auto"/>
            <w:noWrap/>
          </w:tcPr>
          <w:p w14:paraId="2D9F2BEC" w14:textId="77777777" w:rsidR="00660978" w:rsidRPr="00CB1C46" w:rsidRDefault="00660978" w:rsidP="004873FC">
            <w:pPr>
              <w:pStyle w:val="TableText"/>
              <w:spacing w:before="40"/>
              <w:rPr>
                <w:rFonts w:cs="Calibri"/>
              </w:rPr>
            </w:pPr>
            <w:r w:rsidRPr="00CB1C46">
              <w:t>Manufacturing Industries and Construction – Non-metallic Minerals Solid Fuels</w:t>
            </w:r>
          </w:p>
        </w:tc>
        <w:tc>
          <w:tcPr>
            <w:tcW w:w="669" w:type="dxa"/>
            <w:shd w:val="clear" w:color="auto" w:fill="auto"/>
            <w:noWrap/>
          </w:tcPr>
          <w:p w14:paraId="4E64C869"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0B694F85" w14:textId="77777777" w:rsidR="00660978" w:rsidRPr="00CB1C46" w:rsidRDefault="00660978" w:rsidP="004873FC">
            <w:pPr>
              <w:pStyle w:val="TableText"/>
              <w:spacing w:before="40"/>
              <w:rPr>
                <w:rFonts w:cs="Calibri"/>
              </w:rPr>
            </w:pPr>
            <w:r w:rsidRPr="00CB1C46">
              <w:t>T1</w:t>
            </w:r>
          </w:p>
        </w:tc>
      </w:tr>
      <w:tr w:rsidR="00660978" w:rsidRPr="00CB1C46" w14:paraId="2CE74DC8" w14:textId="77777777" w:rsidTr="004873FC">
        <w:tc>
          <w:tcPr>
            <w:tcW w:w="1093" w:type="dxa"/>
            <w:shd w:val="clear" w:color="auto" w:fill="auto"/>
            <w:noWrap/>
          </w:tcPr>
          <w:p w14:paraId="759A0E25" w14:textId="77777777" w:rsidR="00660978" w:rsidRPr="00CB1C46" w:rsidRDefault="00660978" w:rsidP="004873FC">
            <w:pPr>
              <w:pStyle w:val="TableText"/>
              <w:spacing w:before="40"/>
              <w:rPr>
                <w:rFonts w:cs="Calibri"/>
              </w:rPr>
            </w:pPr>
            <w:r w:rsidRPr="00CB1C46">
              <w:t>1.A.2.g.iii</w:t>
            </w:r>
          </w:p>
        </w:tc>
        <w:tc>
          <w:tcPr>
            <w:tcW w:w="5589" w:type="dxa"/>
            <w:shd w:val="clear" w:color="auto" w:fill="auto"/>
            <w:noWrap/>
          </w:tcPr>
          <w:p w14:paraId="321DA0F8" w14:textId="77777777" w:rsidR="00660978" w:rsidRPr="00CB1C46" w:rsidRDefault="00660978" w:rsidP="004873FC">
            <w:pPr>
              <w:pStyle w:val="TableText"/>
              <w:spacing w:before="40"/>
              <w:rPr>
                <w:rFonts w:cs="Calibri"/>
              </w:rPr>
            </w:pPr>
            <w:r w:rsidRPr="00CB1C46">
              <w:t>Other (please specify) – Mining (excluding fuels) and quarrying Liquid Fuels</w:t>
            </w:r>
          </w:p>
        </w:tc>
        <w:tc>
          <w:tcPr>
            <w:tcW w:w="669" w:type="dxa"/>
            <w:shd w:val="clear" w:color="auto" w:fill="auto"/>
            <w:noWrap/>
          </w:tcPr>
          <w:p w14:paraId="35B529EE"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02164F27" w14:textId="77777777" w:rsidR="00660978" w:rsidRPr="00CB1C46" w:rsidRDefault="00660978" w:rsidP="004873FC">
            <w:pPr>
              <w:pStyle w:val="TableText"/>
              <w:spacing w:before="40"/>
              <w:rPr>
                <w:rFonts w:cs="Calibri"/>
              </w:rPr>
            </w:pPr>
            <w:r w:rsidRPr="00CB1C46">
              <w:t>L1, T1</w:t>
            </w:r>
          </w:p>
        </w:tc>
      </w:tr>
      <w:tr w:rsidR="00660978" w:rsidRPr="00CB1C46" w14:paraId="4FCD191C" w14:textId="77777777" w:rsidTr="004873FC">
        <w:tc>
          <w:tcPr>
            <w:tcW w:w="1093" w:type="dxa"/>
            <w:shd w:val="clear" w:color="auto" w:fill="auto"/>
            <w:noWrap/>
          </w:tcPr>
          <w:p w14:paraId="409FB77E" w14:textId="77777777" w:rsidR="00660978" w:rsidRPr="00CB1C46" w:rsidRDefault="00660978" w:rsidP="004873FC">
            <w:pPr>
              <w:pStyle w:val="TableText"/>
              <w:spacing w:before="40"/>
            </w:pPr>
            <w:r w:rsidRPr="00B50881">
              <w:t>1.A.2.g.v</w:t>
            </w:r>
          </w:p>
        </w:tc>
        <w:tc>
          <w:tcPr>
            <w:tcW w:w="5589" w:type="dxa"/>
            <w:shd w:val="clear" w:color="auto" w:fill="auto"/>
            <w:noWrap/>
          </w:tcPr>
          <w:p w14:paraId="4A4F3257" w14:textId="77777777" w:rsidR="00660978" w:rsidRPr="00CB1C46" w:rsidRDefault="00660978" w:rsidP="004873FC">
            <w:pPr>
              <w:pStyle w:val="TableText"/>
              <w:spacing w:before="40"/>
            </w:pPr>
            <w:r w:rsidRPr="00B50881">
              <w:t>Other (please specify) – Construction</w:t>
            </w:r>
          </w:p>
        </w:tc>
        <w:tc>
          <w:tcPr>
            <w:tcW w:w="669" w:type="dxa"/>
            <w:shd w:val="clear" w:color="auto" w:fill="auto"/>
            <w:noWrap/>
          </w:tcPr>
          <w:p w14:paraId="5B4B1E14" w14:textId="77777777" w:rsidR="00660978" w:rsidRPr="00CB1C46" w:rsidRDefault="00660978" w:rsidP="004873FC">
            <w:pPr>
              <w:pStyle w:val="TableText"/>
              <w:spacing w:before="40"/>
              <w:jc w:val="center"/>
            </w:pPr>
            <w:r w:rsidRPr="00B50881">
              <w:t>CO</w:t>
            </w:r>
            <w:r w:rsidRPr="00A4156F">
              <w:rPr>
                <w:vertAlign w:val="subscript"/>
              </w:rPr>
              <w:t>2</w:t>
            </w:r>
          </w:p>
        </w:tc>
        <w:tc>
          <w:tcPr>
            <w:tcW w:w="1154" w:type="dxa"/>
            <w:shd w:val="clear" w:color="auto" w:fill="auto"/>
            <w:noWrap/>
          </w:tcPr>
          <w:p w14:paraId="6BCDC360" w14:textId="77777777" w:rsidR="00660978" w:rsidRPr="00CB1C46" w:rsidRDefault="00660978" w:rsidP="004873FC">
            <w:pPr>
              <w:pStyle w:val="TableText"/>
              <w:spacing w:before="40"/>
            </w:pPr>
            <w:r w:rsidRPr="00B50881">
              <w:t>L1, T1</w:t>
            </w:r>
          </w:p>
        </w:tc>
      </w:tr>
      <w:tr w:rsidR="00660978" w:rsidRPr="00CB1C46" w14:paraId="1977420F" w14:textId="77777777" w:rsidTr="004873FC">
        <w:tc>
          <w:tcPr>
            <w:tcW w:w="1093" w:type="dxa"/>
            <w:shd w:val="clear" w:color="auto" w:fill="auto"/>
            <w:noWrap/>
          </w:tcPr>
          <w:p w14:paraId="0A491BEB" w14:textId="77777777" w:rsidR="00660978" w:rsidRPr="00CB1C46" w:rsidRDefault="00660978" w:rsidP="004873FC">
            <w:pPr>
              <w:pStyle w:val="TableText"/>
              <w:spacing w:before="40"/>
              <w:rPr>
                <w:rFonts w:cs="Calibri"/>
              </w:rPr>
            </w:pPr>
            <w:r w:rsidRPr="00CB1C46">
              <w:t>1.A.2.g.viii</w:t>
            </w:r>
          </w:p>
        </w:tc>
        <w:tc>
          <w:tcPr>
            <w:tcW w:w="5589" w:type="dxa"/>
            <w:shd w:val="clear" w:color="auto" w:fill="auto"/>
            <w:noWrap/>
          </w:tcPr>
          <w:p w14:paraId="31C0CA8F" w14:textId="77777777" w:rsidR="00660978" w:rsidRPr="00CB1C46" w:rsidRDefault="00660978" w:rsidP="004873FC">
            <w:pPr>
              <w:pStyle w:val="TableText"/>
              <w:spacing w:before="40"/>
              <w:rPr>
                <w:rFonts w:cs="Calibri"/>
              </w:rPr>
            </w:pPr>
            <w:r w:rsidRPr="00CB1C46">
              <w:t>Other (please specify) – Other (please specify) Liquid Fuels</w:t>
            </w:r>
          </w:p>
        </w:tc>
        <w:tc>
          <w:tcPr>
            <w:tcW w:w="669" w:type="dxa"/>
            <w:shd w:val="clear" w:color="auto" w:fill="auto"/>
            <w:noWrap/>
          </w:tcPr>
          <w:p w14:paraId="4C278EAA"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2498EADF" w14:textId="77777777" w:rsidR="00660978" w:rsidRPr="00CB1C46" w:rsidRDefault="00660978" w:rsidP="004873FC">
            <w:pPr>
              <w:pStyle w:val="TableText"/>
              <w:spacing w:before="40"/>
              <w:rPr>
                <w:rFonts w:cs="Calibri"/>
              </w:rPr>
            </w:pPr>
            <w:r w:rsidRPr="00CB1C46">
              <w:t>L1, T1</w:t>
            </w:r>
          </w:p>
        </w:tc>
      </w:tr>
      <w:tr w:rsidR="00660978" w:rsidRPr="00CB1C46" w14:paraId="716BEACF" w14:textId="77777777" w:rsidTr="004873FC">
        <w:tc>
          <w:tcPr>
            <w:tcW w:w="1093" w:type="dxa"/>
            <w:shd w:val="clear" w:color="auto" w:fill="auto"/>
            <w:noWrap/>
          </w:tcPr>
          <w:p w14:paraId="0F2DF326" w14:textId="77777777" w:rsidR="00660978" w:rsidRPr="00CB1C46" w:rsidRDefault="00660978" w:rsidP="004873FC">
            <w:pPr>
              <w:pStyle w:val="TableText"/>
              <w:spacing w:before="40"/>
              <w:rPr>
                <w:rFonts w:cs="Calibri"/>
              </w:rPr>
            </w:pPr>
            <w:r w:rsidRPr="00CB1C46">
              <w:t>1.A.2.g.viii</w:t>
            </w:r>
          </w:p>
        </w:tc>
        <w:tc>
          <w:tcPr>
            <w:tcW w:w="5589" w:type="dxa"/>
            <w:shd w:val="clear" w:color="auto" w:fill="auto"/>
            <w:noWrap/>
          </w:tcPr>
          <w:p w14:paraId="70D5A708" w14:textId="77777777" w:rsidR="00660978" w:rsidRPr="00CB1C46" w:rsidRDefault="00660978" w:rsidP="004873FC">
            <w:pPr>
              <w:pStyle w:val="TableText"/>
              <w:spacing w:before="40"/>
              <w:rPr>
                <w:rFonts w:cs="Calibri"/>
              </w:rPr>
            </w:pPr>
            <w:r w:rsidRPr="00CB1C46">
              <w:t>Other (please specify) – Other (please specify) Solid Fuels</w:t>
            </w:r>
          </w:p>
        </w:tc>
        <w:tc>
          <w:tcPr>
            <w:tcW w:w="669" w:type="dxa"/>
            <w:shd w:val="clear" w:color="auto" w:fill="auto"/>
            <w:noWrap/>
          </w:tcPr>
          <w:p w14:paraId="4F75E0E1"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7841050E" w14:textId="77777777" w:rsidR="00660978" w:rsidRPr="00CB1C46" w:rsidRDefault="00660978" w:rsidP="004873FC">
            <w:pPr>
              <w:pStyle w:val="TableText"/>
              <w:spacing w:before="40"/>
              <w:rPr>
                <w:rFonts w:cs="Calibri"/>
              </w:rPr>
            </w:pPr>
            <w:r w:rsidRPr="00CB1C46">
              <w:t>T1</w:t>
            </w:r>
          </w:p>
        </w:tc>
      </w:tr>
      <w:tr w:rsidR="00660978" w:rsidRPr="00CB1C46" w14:paraId="31F806CD" w14:textId="77777777" w:rsidTr="004873FC">
        <w:tc>
          <w:tcPr>
            <w:tcW w:w="1093" w:type="dxa"/>
            <w:shd w:val="clear" w:color="auto" w:fill="auto"/>
            <w:noWrap/>
          </w:tcPr>
          <w:p w14:paraId="541C09CC" w14:textId="77777777" w:rsidR="00660978" w:rsidRPr="00CB1C46" w:rsidRDefault="00660978" w:rsidP="004873FC">
            <w:pPr>
              <w:pStyle w:val="TableText"/>
              <w:spacing w:before="40"/>
              <w:rPr>
                <w:rFonts w:cs="Calibri"/>
              </w:rPr>
            </w:pPr>
            <w:r w:rsidRPr="00CB1C46">
              <w:t>1.A.3.a</w:t>
            </w:r>
          </w:p>
        </w:tc>
        <w:tc>
          <w:tcPr>
            <w:tcW w:w="5589" w:type="dxa"/>
            <w:shd w:val="clear" w:color="auto" w:fill="auto"/>
            <w:noWrap/>
          </w:tcPr>
          <w:p w14:paraId="52B0C807" w14:textId="77777777" w:rsidR="00660978" w:rsidRPr="00CB1C46" w:rsidRDefault="00660978" w:rsidP="004873FC">
            <w:pPr>
              <w:pStyle w:val="TableText"/>
              <w:spacing w:before="40"/>
              <w:rPr>
                <w:rFonts w:cs="Calibri"/>
              </w:rPr>
            </w:pPr>
            <w:r w:rsidRPr="00CB1C46">
              <w:t>Domestic Aviation – Jet Kerosene</w:t>
            </w:r>
          </w:p>
        </w:tc>
        <w:tc>
          <w:tcPr>
            <w:tcW w:w="669" w:type="dxa"/>
            <w:shd w:val="clear" w:color="auto" w:fill="auto"/>
            <w:noWrap/>
          </w:tcPr>
          <w:p w14:paraId="62F6841D"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263748FE" w14:textId="77777777" w:rsidR="00660978" w:rsidRPr="00CB1C46" w:rsidRDefault="00660978" w:rsidP="004873FC">
            <w:pPr>
              <w:pStyle w:val="TableText"/>
              <w:spacing w:before="40"/>
              <w:rPr>
                <w:rFonts w:cs="Calibri"/>
              </w:rPr>
            </w:pPr>
            <w:r w:rsidRPr="00CB1C46">
              <w:t>L1, T1</w:t>
            </w:r>
          </w:p>
        </w:tc>
      </w:tr>
      <w:tr w:rsidR="00660978" w:rsidRPr="00CB1C46" w14:paraId="45B68EFB" w14:textId="77777777" w:rsidTr="004873FC">
        <w:tc>
          <w:tcPr>
            <w:tcW w:w="1093" w:type="dxa"/>
            <w:shd w:val="clear" w:color="auto" w:fill="auto"/>
            <w:noWrap/>
          </w:tcPr>
          <w:p w14:paraId="1329A7BD" w14:textId="77777777" w:rsidR="00660978" w:rsidRPr="00CB1C46" w:rsidRDefault="00660978" w:rsidP="004873FC">
            <w:pPr>
              <w:pStyle w:val="TableText"/>
              <w:spacing w:before="40"/>
              <w:rPr>
                <w:rFonts w:cs="Calibri"/>
              </w:rPr>
            </w:pPr>
            <w:r w:rsidRPr="00CB1C46">
              <w:t>1.A.3.b</w:t>
            </w:r>
          </w:p>
        </w:tc>
        <w:tc>
          <w:tcPr>
            <w:tcW w:w="5589" w:type="dxa"/>
            <w:shd w:val="clear" w:color="auto" w:fill="auto"/>
            <w:noWrap/>
          </w:tcPr>
          <w:p w14:paraId="4014B927" w14:textId="77777777" w:rsidR="00660978" w:rsidRPr="00CB1C46" w:rsidRDefault="00660978" w:rsidP="004873FC">
            <w:pPr>
              <w:pStyle w:val="TableText"/>
              <w:spacing w:before="40"/>
              <w:rPr>
                <w:rFonts w:cs="Calibri"/>
              </w:rPr>
            </w:pPr>
            <w:r w:rsidRPr="00CB1C46">
              <w:t>Transport – Road Transportation Liquid Fuels</w:t>
            </w:r>
          </w:p>
        </w:tc>
        <w:tc>
          <w:tcPr>
            <w:tcW w:w="669" w:type="dxa"/>
            <w:shd w:val="clear" w:color="auto" w:fill="auto"/>
            <w:noWrap/>
          </w:tcPr>
          <w:p w14:paraId="760FEF8C"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5C65BAA7" w14:textId="77777777" w:rsidR="00660978" w:rsidRPr="00CB1C46" w:rsidRDefault="00660978" w:rsidP="004873FC">
            <w:pPr>
              <w:pStyle w:val="TableText"/>
              <w:spacing w:before="40"/>
              <w:rPr>
                <w:rFonts w:cs="Calibri"/>
              </w:rPr>
            </w:pPr>
            <w:r w:rsidRPr="00CB1C46">
              <w:t>L1, T1</w:t>
            </w:r>
          </w:p>
        </w:tc>
      </w:tr>
      <w:tr w:rsidR="00660978" w:rsidRPr="00CB1C46" w14:paraId="3182BFCE" w14:textId="77777777" w:rsidTr="004873FC">
        <w:tc>
          <w:tcPr>
            <w:tcW w:w="1093" w:type="dxa"/>
            <w:shd w:val="clear" w:color="auto" w:fill="auto"/>
            <w:noWrap/>
          </w:tcPr>
          <w:p w14:paraId="079805C2" w14:textId="77777777" w:rsidR="00660978" w:rsidRPr="00CB1C46" w:rsidRDefault="00660978" w:rsidP="004873FC">
            <w:pPr>
              <w:pStyle w:val="TableText"/>
              <w:spacing w:before="40"/>
              <w:rPr>
                <w:rFonts w:cs="Calibri"/>
              </w:rPr>
            </w:pPr>
            <w:r w:rsidRPr="00CB1C46">
              <w:t>1.A.3.b</w:t>
            </w:r>
          </w:p>
        </w:tc>
        <w:tc>
          <w:tcPr>
            <w:tcW w:w="5589" w:type="dxa"/>
            <w:shd w:val="clear" w:color="auto" w:fill="auto"/>
            <w:noWrap/>
          </w:tcPr>
          <w:p w14:paraId="6E219D65" w14:textId="77777777" w:rsidR="00660978" w:rsidRPr="00CB1C46" w:rsidRDefault="00660978" w:rsidP="004873FC">
            <w:pPr>
              <w:pStyle w:val="TableText"/>
              <w:spacing w:before="40"/>
              <w:rPr>
                <w:rFonts w:cs="Calibri"/>
              </w:rPr>
            </w:pPr>
            <w:r w:rsidRPr="00CB1C46">
              <w:t>Transport – Road Transportation Gaseous Fuels</w:t>
            </w:r>
          </w:p>
        </w:tc>
        <w:tc>
          <w:tcPr>
            <w:tcW w:w="669" w:type="dxa"/>
            <w:shd w:val="clear" w:color="auto" w:fill="auto"/>
            <w:noWrap/>
          </w:tcPr>
          <w:p w14:paraId="1AA01531"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0A59C90D" w14:textId="77777777" w:rsidR="00660978" w:rsidRPr="00CB1C46" w:rsidRDefault="00660978" w:rsidP="004873FC">
            <w:pPr>
              <w:pStyle w:val="TableText"/>
              <w:spacing w:before="40"/>
              <w:rPr>
                <w:rFonts w:cs="Calibri"/>
              </w:rPr>
            </w:pPr>
            <w:r w:rsidRPr="00CB1C46">
              <w:t>T1</w:t>
            </w:r>
          </w:p>
        </w:tc>
      </w:tr>
      <w:tr w:rsidR="00660978" w:rsidRPr="00CB1C46" w14:paraId="40A58EA4" w14:textId="77777777" w:rsidTr="004873FC">
        <w:tc>
          <w:tcPr>
            <w:tcW w:w="1093" w:type="dxa"/>
            <w:shd w:val="clear" w:color="auto" w:fill="auto"/>
            <w:noWrap/>
          </w:tcPr>
          <w:p w14:paraId="000511A4" w14:textId="77777777" w:rsidR="00660978" w:rsidRPr="00CB1C46" w:rsidRDefault="00660978" w:rsidP="004873FC">
            <w:pPr>
              <w:pStyle w:val="TableText"/>
              <w:spacing w:before="40"/>
              <w:rPr>
                <w:rFonts w:cs="Calibri"/>
              </w:rPr>
            </w:pPr>
            <w:r w:rsidRPr="00CB1C46">
              <w:t>1.A.3.d</w:t>
            </w:r>
          </w:p>
        </w:tc>
        <w:tc>
          <w:tcPr>
            <w:tcW w:w="5589" w:type="dxa"/>
            <w:shd w:val="clear" w:color="auto" w:fill="auto"/>
            <w:noWrap/>
          </w:tcPr>
          <w:p w14:paraId="5D825ED9" w14:textId="77777777" w:rsidR="00660978" w:rsidRPr="00CB1C46" w:rsidRDefault="00660978" w:rsidP="004873FC">
            <w:pPr>
              <w:pStyle w:val="TableText"/>
              <w:spacing w:before="40"/>
              <w:rPr>
                <w:rFonts w:cs="Calibri"/>
              </w:rPr>
            </w:pPr>
            <w:r w:rsidRPr="00CB1C46">
              <w:t>Domestic Navigation – Residual Fuel Oil</w:t>
            </w:r>
          </w:p>
        </w:tc>
        <w:tc>
          <w:tcPr>
            <w:tcW w:w="669" w:type="dxa"/>
            <w:shd w:val="clear" w:color="auto" w:fill="auto"/>
            <w:noWrap/>
          </w:tcPr>
          <w:p w14:paraId="6D7D935B"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058B00AD" w14:textId="77777777" w:rsidR="00660978" w:rsidRPr="00CB1C46" w:rsidRDefault="00660978" w:rsidP="004873FC">
            <w:pPr>
              <w:pStyle w:val="TableText"/>
              <w:spacing w:before="40"/>
              <w:rPr>
                <w:rFonts w:cs="Calibri"/>
              </w:rPr>
            </w:pPr>
            <w:r w:rsidRPr="00CB1C46">
              <w:t>L1</w:t>
            </w:r>
          </w:p>
        </w:tc>
      </w:tr>
      <w:tr w:rsidR="00660978" w:rsidRPr="00CB1C46" w14:paraId="2592A800" w14:textId="77777777" w:rsidTr="004873FC">
        <w:tc>
          <w:tcPr>
            <w:tcW w:w="1093" w:type="dxa"/>
            <w:shd w:val="clear" w:color="auto" w:fill="auto"/>
            <w:noWrap/>
          </w:tcPr>
          <w:p w14:paraId="2A5E0059" w14:textId="77777777" w:rsidR="00660978" w:rsidRPr="00CB1C46" w:rsidRDefault="00660978" w:rsidP="004873FC">
            <w:pPr>
              <w:pStyle w:val="TableText"/>
              <w:spacing w:before="40"/>
              <w:rPr>
                <w:rFonts w:cs="Calibri"/>
              </w:rPr>
            </w:pPr>
            <w:r w:rsidRPr="00CB1C46">
              <w:t>1.A.4.a</w:t>
            </w:r>
          </w:p>
        </w:tc>
        <w:tc>
          <w:tcPr>
            <w:tcW w:w="5589" w:type="dxa"/>
            <w:shd w:val="clear" w:color="auto" w:fill="auto"/>
            <w:noWrap/>
          </w:tcPr>
          <w:p w14:paraId="734016D8" w14:textId="77777777" w:rsidR="00660978" w:rsidRPr="00CB1C46" w:rsidRDefault="00660978" w:rsidP="004873FC">
            <w:pPr>
              <w:pStyle w:val="TableText"/>
              <w:spacing w:before="40"/>
              <w:rPr>
                <w:rFonts w:cs="Calibri"/>
              </w:rPr>
            </w:pPr>
            <w:r w:rsidRPr="00CB1C46">
              <w:t>Other Sectors – Commercial/Institutional Liquid Fuels</w:t>
            </w:r>
          </w:p>
        </w:tc>
        <w:tc>
          <w:tcPr>
            <w:tcW w:w="669" w:type="dxa"/>
            <w:shd w:val="clear" w:color="auto" w:fill="auto"/>
            <w:noWrap/>
          </w:tcPr>
          <w:p w14:paraId="7CB9455D"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6AA70C60" w14:textId="77777777" w:rsidR="00660978" w:rsidRPr="00CB1C46" w:rsidRDefault="00660978" w:rsidP="004873FC">
            <w:pPr>
              <w:pStyle w:val="TableText"/>
              <w:spacing w:before="40"/>
              <w:rPr>
                <w:rFonts w:cs="Calibri"/>
              </w:rPr>
            </w:pPr>
            <w:r w:rsidRPr="00CB1C46">
              <w:t>L1</w:t>
            </w:r>
            <w:r>
              <w:t>, T1</w:t>
            </w:r>
          </w:p>
        </w:tc>
      </w:tr>
      <w:tr w:rsidR="00660978" w:rsidRPr="00CB1C46" w14:paraId="43190B56" w14:textId="77777777" w:rsidTr="004873FC">
        <w:tc>
          <w:tcPr>
            <w:tcW w:w="1093" w:type="dxa"/>
            <w:shd w:val="clear" w:color="auto" w:fill="auto"/>
            <w:noWrap/>
          </w:tcPr>
          <w:p w14:paraId="0643DBC6" w14:textId="77777777" w:rsidR="00660978" w:rsidRPr="00CB1C46" w:rsidRDefault="00660978" w:rsidP="004873FC">
            <w:pPr>
              <w:pStyle w:val="TableText"/>
              <w:spacing w:before="40"/>
              <w:rPr>
                <w:rFonts w:cs="Calibri"/>
              </w:rPr>
            </w:pPr>
            <w:r w:rsidRPr="00CB1C46">
              <w:t>1.A.4.a</w:t>
            </w:r>
          </w:p>
        </w:tc>
        <w:tc>
          <w:tcPr>
            <w:tcW w:w="5589" w:type="dxa"/>
            <w:shd w:val="clear" w:color="auto" w:fill="auto"/>
            <w:noWrap/>
          </w:tcPr>
          <w:p w14:paraId="7452F140" w14:textId="77777777" w:rsidR="00660978" w:rsidRPr="00CB1C46" w:rsidRDefault="00660978" w:rsidP="004873FC">
            <w:pPr>
              <w:pStyle w:val="TableText"/>
              <w:spacing w:before="40"/>
              <w:rPr>
                <w:rFonts w:cs="Calibri"/>
              </w:rPr>
            </w:pPr>
            <w:r w:rsidRPr="00CB1C46">
              <w:t>Other Sectors – Commercial/Institutional Gaseous Fuels</w:t>
            </w:r>
          </w:p>
        </w:tc>
        <w:tc>
          <w:tcPr>
            <w:tcW w:w="669" w:type="dxa"/>
            <w:shd w:val="clear" w:color="auto" w:fill="auto"/>
            <w:noWrap/>
          </w:tcPr>
          <w:p w14:paraId="2CFE188A"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2B003C60" w14:textId="77777777" w:rsidR="00660978" w:rsidRPr="00CB1C46" w:rsidRDefault="00660978" w:rsidP="004873FC">
            <w:pPr>
              <w:pStyle w:val="TableText"/>
              <w:spacing w:before="40"/>
              <w:rPr>
                <w:rFonts w:cs="Calibri"/>
              </w:rPr>
            </w:pPr>
            <w:r w:rsidRPr="00CB1C46">
              <w:t>L1, T1</w:t>
            </w:r>
          </w:p>
        </w:tc>
      </w:tr>
      <w:tr w:rsidR="00660978" w:rsidRPr="00CB1C46" w14:paraId="274C9026" w14:textId="77777777" w:rsidTr="004873FC">
        <w:tc>
          <w:tcPr>
            <w:tcW w:w="1093" w:type="dxa"/>
            <w:shd w:val="clear" w:color="auto" w:fill="auto"/>
            <w:noWrap/>
          </w:tcPr>
          <w:p w14:paraId="32D4C1A1" w14:textId="77777777" w:rsidR="00660978" w:rsidRPr="00CB1C46" w:rsidRDefault="00660978" w:rsidP="004873FC">
            <w:pPr>
              <w:pStyle w:val="TableText"/>
              <w:spacing w:before="40"/>
              <w:rPr>
                <w:rFonts w:cs="Calibri"/>
              </w:rPr>
            </w:pPr>
            <w:r w:rsidRPr="00CB1C46">
              <w:t>1.A.4.a</w:t>
            </w:r>
          </w:p>
        </w:tc>
        <w:tc>
          <w:tcPr>
            <w:tcW w:w="5589" w:type="dxa"/>
            <w:shd w:val="clear" w:color="auto" w:fill="auto"/>
            <w:noWrap/>
          </w:tcPr>
          <w:p w14:paraId="2714F9BC" w14:textId="77777777" w:rsidR="00660978" w:rsidRPr="00CB1C46" w:rsidRDefault="00660978" w:rsidP="004873FC">
            <w:pPr>
              <w:pStyle w:val="TableText"/>
              <w:spacing w:before="40"/>
              <w:rPr>
                <w:rFonts w:cs="Calibri"/>
              </w:rPr>
            </w:pPr>
            <w:r w:rsidRPr="00CB1C46">
              <w:t>Other Sectors – Commercial/Institutional Solid Fuels</w:t>
            </w:r>
          </w:p>
        </w:tc>
        <w:tc>
          <w:tcPr>
            <w:tcW w:w="669" w:type="dxa"/>
            <w:shd w:val="clear" w:color="auto" w:fill="auto"/>
            <w:noWrap/>
          </w:tcPr>
          <w:p w14:paraId="6ABD5645"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7CA37F03" w14:textId="77777777" w:rsidR="00660978" w:rsidRPr="00CB1C46" w:rsidRDefault="00660978" w:rsidP="004873FC">
            <w:pPr>
              <w:pStyle w:val="TableText"/>
              <w:spacing w:before="40"/>
              <w:rPr>
                <w:rFonts w:cs="Calibri"/>
              </w:rPr>
            </w:pPr>
            <w:r w:rsidRPr="00CB1C46">
              <w:t>T1</w:t>
            </w:r>
          </w:p>
        </w:tc>
      </w:tr>
      <w:tr w:rsidR="00660978" w:rsidRPr="00CB1C46" w14:paraId="057BAC7C" w14:textId="77777777" w:rsidTr="004873FC">
        <w:tc>
          <w:tcPr>
            <w:tcW w:w="1093" w:type="dxa"/>
            <w:shd w:val="clear" w:color="auto" w:fill="auto"/>
            <w:noWrap/>
          </w:tcPr>
          <w:p w14:paraId="3F42D799" w14:textId="77777777" w:rsidR="00660978" w:rsidRPr="00CB1C46" w:rsidRDefault="00660978" w:rsidP="004873FC">
            <w:pPr>
              <w:pStyle w:val="TableText"/>
              <w:spacing w:before="40"/>
            </w:pPr>
            <w:r w:rsidRPr="003E6FC5">
              <w:t>1.A.4.b</w:t>
            </w:r>
          </w:p>
        </w:tc>
        <w:tc>
          <w:tcPr>
            <w:tcW w:w="5589" w:type="dxa"/>
            <w:shd w:val="clear" w:color="auto" w:fill="auto"/>
            <w:noWrap/>
          </w:tcPr>
          <w:p w14:paraId="0255E19A" w14:textId="77777777" w:rsidR="00660978" w:rsidRPr="00CB1C46" w:rsidRDefault="00660978" w:rsidP="004873FC">
            <w:pPr>
              <w:pStyle w:val="TableText"/>
              <w:spacing w:before="40"/>
            </w:pPr>
            <w:r w:rsidRPr="003E6FC5">
              <w:t>Other Sectors – Residential Liquid Fuels</w:t>
            </w:r>
          </w:p>
        </w:tc>
        <w:tc>
          <w:tcPr>
            <w:tcW w:w="669" w:type="dxa"/>
            <w:shd w:val="clear" w:color="auto" w:fill="auto"/>
            <w:noWrap/>
          </w:tcPr>
          <w:p w14:paraId="33BC7C54" w14:textId="77777777" w:rsidR="00660978" w:rsidRPr="00CB1C46" w:rsidRDefault="00660978" w:rsidP="004873FC">
            <w:pPr>
              <w:pStyle w:val="TableText"/>
              <w:spacing w:before="40"/>
              <w:jc w:val="center"/>
            </w:pPr>
            <w:r w:rsidRPr="003E6FC5">
              <w:t>CO</w:t>
            </w:r>
            <w:r w:rsidRPr="00A4156F">
              <w:rPr>
                <w:vertAlign w:val="subscript"/>
              </w:rPr>
              <w:t>2</w:t>
            </w:r>
          </w:p>
        </w:tc>
        <w:tc>
          <w:tcPr>
            <w:tcW w:w="1154" w:type="dxa"/>
            <w:shd w:val="clear" w:color="auto" w:fill="auto"/>
            <w:noWrap/>
          </w:tcPr>
          <w:p w14:paraId="60FA82E0" w14:textId="77777777" w:rsidR="00660978" w:rsidRPr="00CB1C46" w:rsidRDefault="00660978" w:rsidP="004873FC">
            <w:pPr>
              <w:pStyle w:val="TableText"/>
              <w:spacing w:before="40"/>
            </w:pPr>
            <w:r w:rsidRPr="003E6FC5">
              <w:t>L1, T1</w:t>
            </w:r>
          </w:p>
        </w:tc>
      </w:tr>
      <w:tr w:rsidR="00660978" w:rsidRPr="00CB1C46" w14:paraId="4BD67AA1" w14:textId="77777777" w:rsidTr="004873FC">
        <w:tc>
          <w:tcPr>
            <w:tcW w:w="1093" w:type="dxa"/>
            <w:shd w:val="clear" w:color="auto" w:fill="auto"/>
            <w:noWrap/>
          </w:tcPr>
          <w:p w14:paraId="7494D41B" w14:textId="77777777" w:rsidR="00660978" w:rsidRPr="00CB1C46" w:rsidRDefault="00660978" w:rsidP="004873FC">
            <w:pPr>
              <w:pStyle w:val="TableText"/>
              <w:spacing w:before="40"/>
              <w:rPr>
                <w:rFonts w:cs="Calibri"/>
              </w:rPr>
            </w:pPr>
            <w:r w:rsidRPr="00CB1C46">
              <w:t>1.A.4.b</w:t>
            </w:r>
          </w:p>
        </w:tc>
        <w:tc>
          <w:tcPr>
            <w:tcW w:w="5589" w:type="dxa"/>
            <w:shd w:val="clear" w:color="auto" w:fill="auto"/>
            <w:noWrap/>
          </w:tcPr>
          <w:p w14:paraId="0C99FF75" w14:textId="77777777" w:rsidR="00660978" w:rsidRPr="00CB1C46" w:rsidRDefault="00660978" w:rsidP="004873FC">
            <w:pPr>
              <w:pStyle w:val="TableText"/>
              <w:spacing w:before="40"/>
              <w:rPr>
                <w:rFonts w:cs="Calibri"/>
              </w:rPr>
            </w:pPr>
            <w:r w:rsidRPr="00CB1C46">
              <w:t>Other Sectors – Residential Gaseous Fuels</w:t>
            </w:r>
          </w:p>
        </w:tc>
        <w:tc>
          <w:tcPr>
            <w:tcW w:w="669" w:type="dxa"/>
            <w:shd w:val="clear" w:color="auto" w:fill="auto"/>
            <w:noWrap/>
          </w:tcPr>
          <w:p w14:paraId="0AE9D17F" w14:textId="77777777" w:rsidR="00660978" w:rsidRPr="00CB1C46" w:rsidRDefault="00660978" w:rsidP="004873FC">
            <w:pPr>
              <w:pStyle w:val="TableText"/>
              <w:spacing w:before="40"/>
              <w:jc w:val="center"/>
              <w:rPr>
                <w:rFonts w:cs="Calibri"/>
              </w:rPr>
            </w:pPr>
            <w:r w:rsidRPr="00CB1C46">
              <w:t>CO</w:t>
            </w:r>
            <w:r w:rsidRPr="00CB1C46">
              <w:rPr>
                <w:vertAlign w:val="subscript"/>
              </w:rPr>
              <w:t>2</w:t>
            </w:r>
          </w:p>
        </w:tc>
        <w:tc>
          <w:tcPr>
            <w:tcW w:w="1154" w:type="dxa"/>
            <w:shd w:val="clear" w:color="auto" w:fill="auto"/>
            <w:noWrap/>
          </w:tcPr>
          <w:p w14:paraId="4716AC22" w14:textId="77777777" w:rsidR="00660978" w:rsidRPr="00CB1C46" w:rsidRDefault="00660978" w:rsidP="004873FC">
            <w:pPr>
              <w:pStyle w:val="TableText"/>
              <w:spacing w:before="40"/>
              <w:rPr>
                <w:rFonts w:cs="Calibri"/>
              </w:rPr>
            </w:pPr>
            <w:r w:rsidRPr="00CB1C46">
              <w:t>L1, T1</w:t>
            </w:r>
          </w:p>
        </w:tc>
      </w:tr>
      <w:tr w:rsidR="00660978" w:rsidRPr="00CB1C46" w14:paraId="42AFC0BA" w14:textId="77777777" w:rsidTr="004873FC">
        <w:tc>
          <w:tcPr>
            <w:tcW w:w="1093" w:type="dxa"/>
            <w:shd w:val="clear" w:color="auto" w:fill="auto"/>
            <w:noWrap/>
          </w:tcPr>
          <w:p w14:paraId="7E2B4A00" w14:textId="77777777" w:rsidR="00660978" w:rsidRPr="00CB1C46" w:rsidRDefault="00660978" w:rsidP="00063737">
            <w:pPr>
              <w:pStyle w:val="TableText"/>
              <w:spacing w:before="40" w:after="40"/>
              <w:rPr>
                <w:rFonts w:cs="Calibri"/>
              </w:rPr>
            </w:pPr>
            <w:r w:rsidRPr="00CB1C46">
              <w:lastRenderedPageBreak/>
              <w:t>1.A.4.b</w:t>
            </w:r>
          </w:p>
        </w:tc>
        <w:tc>
          <w:tcPr>
            <w:tcW w:w="5589" w:type="dxa"/>
            <w:shd w:val="clear" w:color="auto" w:fill="auto"/>
            <w:noWrap/>
          </w:tcPr>
          <w:p w14:paraId="5DC2E832" w14:textId="77777777" w:rsidR="00660978" w:rsidRPr="00CB1C46" w:rsidRDefault="00660978" w:rsidP="00063737">
            <w:pPr>
              <w:pStyle w:val="TableText"/>
              <w:spacing w:before="40" w:after="40"/>
              <w:rPr>
                <w:rFonts w:cs="Calibri"/>
              </w:rPr>
            </w:pPr>
            <w:r w:rsidRPr="00CB1C46">
              <w:t>Other Sectors – Residential Solid Fuels</w:t>
            </w:r>
          </w:p>
        </w:tc>
        <w:tc>
          <w:tcPr>
            <w:tcW w:w="669" w:type="dxa"/>
            <w:shd w:val="clear" w:color="auto" w:fill="auto"/>
            <w:noWrap/>
          </w:tcPr>
          <w:p w14:paraId="1952AC4B" w14:textId="77777777" w:rsidR="00660978" w:rsidRPr="00CB1C46" w:rsidRDefault="00660978" w:rsidP="00063737">
            <w:pPr>
              <w:pStyle w:val="TableText"/>
              <w:spacing w:before="40" w:after="40"/>
              <w:jc w:val="center"/>
              <w:rPr>
                <w:rFonts w:cs="Calibri"/>
              </w:rPr>
            </w:pPr>
            <w:r w:rsidRPr="00CB1C46">
              <w:t>CO</w:t>
            </w:r>
            <w:r w:rsidRPr="00CB1C46">
              <w:rPr>
                <w:vertAlign w:val="subscript"/>
              </w:rPr>
              <w:t>2</w:t>
            </w:r>
          </w:p>
        </w:tc>
        <w:tc>
          <w:tcPr>
            <w:tcW w:w="1154" w:type="dxa"/>
            <w:shd w:val="clear" w:color="auto" w:fill="auto"/>
            <w:noWrap/>
          </w:tcPr>
          <w:p w14:paraId="13A882D4" w14:textId="77777777" w:rsidR="00660978" w:rsidRPr="00CB1C46" w:rsidRDefault="00660978" w:rsidP="00063737">
            <w:pPr>
              <w:pStyle w:val="TableText"/>
              <w:spacing w:before="40" w:after="40"/>
              <w:rPr>
                <w:rFonts w:cs="Calibri"/>
              </w:rPr>
            </w:pPr>
            <w:r w:rsidRPr="00CB1C46">
              <w:t>T1</w:t>
            </w:r>
          </w:p>
        </w:tc>
      </w:tr>
      <w:tr w:rsidR="00660978" w:rsidRPr="00CB1C46" w14:paraId="1AE8CDC5" w14:textId="77777777" w:rsidTr="004873FC">
        <w:tc>
          <w:tcPr>
            <w:tcW w:w="1093" w:type="dxa"/>
            <w:shd w:val="clear" w:color="auto" w:fill="auto"/>
            <w:noWrap/>
          </w:tcPr>
          <w:p w14:paraId="6B8184DF" w14:textId="77777777" w:rsidR="00660978" w:rsidRPr="00CB1C46" w:rsidRDefault="00660978" w:rsidP="00063737">
            <w:pPr>
              <w:pStyle w:val="TableText"/>
              <w:spacing w:before="40" w:after="40"/>
              <w:rPr>
                <w:rFonts w:cs="Calibri"/>
              </w:rPr>
            </w:pPr>
            <w:r w:rsidRPr="00CB1C46">
              <w:t>1.A.4.c</w:t>
            </w:r>
          </w:p>
        </w:tc>
        <w:tc>
          <w:tcPr>
            <w:tcW w:w="5589" w:type="dxa"/>
            <w:shd w:val="clear" w:color="auto" w:fill="auto"/>
            <w:noWrap/>
          </w:tcPr>
          <w:p w14:paraId="62D34F07" w14:textId="77777777" w:rsidR="00660978" w:rsidRPr="00CB1C46" w:rsidRDefault="00660978" w:rsidP="00063737">
            <w:pPr>
              <w:pStyle w:val="TableText"/>
              <w:spacing w:before="40" w:after="40"/>
              <w:rPr>
                <w:rFonts w:cs="Calibri"/>
              </w:rPr>
            </w:pPr>
            <w:r w:rsidRPr="00CB1C46">
              <w:t>Other Sectors – Agriculture/Forestry/Fishing Liquid Fuels</w:t>
            </w:r>
          </w:p>
        </w:tc>
        <w:tc>
          <w:tcPr>
            <w:tcW w:w="669" w:type="dxa"/>
            <w:shd w:val="clear" w:color="auto" w:fill="auto"/>
            <w:noWrap/>
          </w:tcPr>
          <w:p w14:paraId="5F8BAEA9" w14:textId="77777777" w:rsidR="00660978" w:rsidRPr="00CB1C46" w:rsidRDefault="00660978" w:rsidP="00063737">
            <w:pPr>
              <w:pStyle w:val="TableText"/>
              <w:spacing w:before="40" w:after="40"/>
              <w:jc w:val="center"/>
              <w:rPr>
                <w:rFonts w:cs="Calibri"/>
              </w:rPr>
            </w:pPr>
            <w:r w:rsidRPr="00CB1C46">
              <w:t>CO</w:t>
            </w:r>
            <w:r w:rsidRPr="00CB1C46">
              <w:rPr>
                <w:vertAlign w:val="subscript"/>
              </w:rPr>
              <w:t>2</w:t>
            </w:r>
          </w:p>
        </w:tc>
        <w:tc>
          <w:tcPr>
            <w:tcW w:w="1154" w:type="dxa"/>
            <w:shd w:val="clear" w:color="auto" w:fill="auto"/>
            <w:noWrap/>
          </w:tcPr>
          <w:p w14:paraId="0CB8718C" w14:textId="77777777" w:rsidR="00660978" w:rsidRPr="00CB1C46" w:rsidRDefault="00660978" w:rsidP="00063737">
            <w:pPr>
              <w:pStyle w:val="TableText"/>
              <w:spacing w:before="40" w:after="40"/>
              <w:rPr>
                <w:rFonts w:cs="Calibri"/>
              </w:rPr>
            </w:pPr>
            <w:r w:rsidRPr="00CB1C46">
              <w:t>L1</w:t>
            </w:r>
          </w:p>
        </w:tc>
      </w:tr>
      <w:tr w:rsidR="00660978" w:rsidRPr="00CB1C46" w14:paraId="5B63407F" w14:textId="77777777" w:rsidTr="004873FC">
        <w:tc>
          <w:tcPr>
            <w:tcW w:w="1093" w:type="dxa"/>
            <w:shd w:val="clear" w:color="auto" w:fill="auto"/>
            <w:noWrap/>
          </w:tcPr>
          <w:p w14:paraId="702AC419" w14:textId="77777777" w:rsidR="00660978" w:rsidRPr="00CB1C46" w:rsidRDefault="00660978" w:rsidP="00063737">
            <w:pPr>
              <w:pStyle w:val="TableText"/>
              <w:spacing w:before="40" w:after="40"/>
              <w:rPr>
                <w:rFonts w:cs="Calibri"/>
              </w:rPr>
            </w:pPr>
            <w:r w:rsidRPr="00CB1C46">
              <w:t>1.A.4.c</w:t>
            </w:r>
          </w:p>
        </w:tc>
        <w:tc>
          <w:tcPr>
            <w:tcW w:w="5589" w:type="dxa"/>
            <w:shd w:val="clear" w:color="auto" w:fill="auto"/>
            <w:noWrap/>
          </w:tcPr>
          <w:p w14:paraId="33B1E280" w14:textId="77777777" w:rsidR="00660978" w:rsidRPr="00CB1C46" w:rsidRDefault="00660978" w:rsidP="00063737">
            <w:pPr>
              <w:pStyle w:val="TableText"/>
              <w:spacing w:before="40" w:after="40"/>
              <w:rPr>
                <w:rFonts w:cs="Calibri"/>
              </w:rPr>
            </w:pPr>
            <w:r w:rsidRPr="00CB1C46">
              <w:t>Other Sectors – Agriculture/Forestry/Fishing Solid Fuels</w:t>
            </w:r>
          </w:p>
        </w:tc>
        <w:tc>
          <w:tcPr>
            <w:tcW w:w="669" w:type="dxa"/>
            <w:shd w:val="clear" w:color="auto" w:fill="auto"/>
            <w:noWrap/>
          </w:tcPr>
          <w:p w14:paraId="4A4B263C" w14:textId="77777777" w:rsidR="00660978" w:rsidRPr="00CB1C46" w:rsidRDefault="00660978" w:rsidP="00063737">
            <w:pPr>
              <w:pStyle w:val="TableText"/>
              <w:spacing w:before="40" w:after="40"/>
              <w:jc w:val="center"/>
              <w:rPr>
                <w:rFonts w:cs="Calibri"/>
              </w:rPr>
            </w:pPr>
            <w:r w:rsidRPr="00CB1C46">
              <w:t>CO</w:t>
            </w:r>
            <w:r w:rsidRPr="00CB1C46">
              <w:rPr>
                <w:vertAlign w:val="subscript"/>
              </w:rPr>
              <w:t>2</w:t>
            </w:r>
          </w:p>
        </w:tc>
        <w:tc>
          <w:tcPr>
            <w:tcW w:w="1154" w:type="dxa"/>
            <w:shd w:val="clear" w:color="auto" w:fill="auto"/>
            <w:noWrap/>
          </w:tcPr>
          <w:p w14:paraId="4006AE8D" w14:textId="77777777" w:rsidR="00660978" w:rsidRPr="00CB1C46" w:rsidRDefault="00660978" w:rsidP="00063737">
            <w:pPr>
              <w:pStyle w:val="TableText"/>
              <w:spacing w:before="40" w:after="40"/>
              <w:rPr>
                <w:rFonts w:cs="Calibri"/>
              </w:rPr>
            </w:pPr>
            <w:r w:rsidRPr="00CB1C46">
              <w:t>T1</w:t>
            </w:r>
          </w:p>
        </w:tc>
      </w:tr>
      <w:tr w:rsidR="00660978" w:rsidRPr="00CB1C46" w14:paraId="7B67B75B" w14:textId="77777777" w:rsidTr="004873FC">
        <w:tc>
          <w:tcPr>
            <w:tcW w:w="1093" w:type="dxa"/>
            <w:shd w:val="clear" w:color="auto" w:fill="auto"/>
            <w:noWrap/>
          </w:tcPr>
          <w:p w14:paraId="09AE29D9" w14:textId="77777777" w:rsidR="00660978" w:rsidRPr="00CB1C46" w:rsidRDefault="00660978" w:rsidP="00063737">
            <w:pPr>
              <w:pStyle w:val="TableText"/>
              <w:spacing w:before="40" w:after="40"/>
              <w:rPr>
                <w:rFonts w:cs="Calibri"/>
              </w:rPr>
            </w:pPr>
            <w:r w:rsidRPr="00CB1C46">
              <w:t>1.B.1.a.1</w:t>
            </w:r>
          </w:p>
        </w:tc>
        <w:tc>
          <w:tcPr>
            <w:tcW w:w="5589" w:type="dxa"/>
            <w:shd w:val="clear" w:color="auto" w:fill="auto"/>
            <w:noWrap/>
          </w:tcPr>
          <w:p w14:paraId="798817E9" w14:textId="77777777" w:rsidR="00660978" w:rsidRPr="00CB1C46" w:rsidRDefault="00660978" w:rsidP="00063737">
            <w:pPr>
              <w:pStyle w:val="TableText"/>
              <w:spacing w:before="40" w:after="40"/>
              <w:rPr>
                <w:rFonts w:cs="Calibri"/>
              </w:rPr>
            </w:pPr>
            <w:r w:rsidRPr="00CB1C46">
              <w:t>Coal Mining and Handling – Underground Mines</w:t>
            </w:r>
          </w:p>
        </w:tc>
        <w:tc>
          <w:tcPr>
            <w:tcW w:w="669" w:type="dxa"/>
            <w:shd w:val="clear" w:color="auto" w:fill="auto"/>
            <w:noWrap/>
          </w:tcPr>
          <w:p w14:paraId="750A3AAE" w14:textId="77777777" w:rsidR="00660978" w:rsidRPr="00CB1C46" w:rsidRDefault="00660978" w:rsidP="00063737">
            <w:pPr>
              <w:pStyle w:val="TableText"/>
              <w:spacing w:before="40" w:after="40"/>
              <w:jc w:val="center"/>
              <w:rPr>
                <w:rFonts w:cs="Calibri"/>
              </w:rPr>
            </w:pPr>
            <w:r w:rsidRPr="00CB1C46">
              <w:t>CH</w:t>
            </w:r>
            <w:r w:rsidRPr="00CB1C46">
              <w:rPr>
                <w:vertAlign w:val="subscript"/>
              </w:rPr>
              <w:t>4</w:t>
            </w:r>
          </w:p>
        </w:tc>
        <w:tc>
          <w:tcPr>
            <w:tcW w:w="1154" w:type="dxa"/>
            <w:shd w:val="clear" w:color="auto" w:fill="auto"/>
            <w:noWrap/>
          </w:tcPr>
          <w:p w14:paraId="247A1AED" w14:textId="77777777" w:rsidR="00660978" w:rsidRPr="00CB1C46" w:rsidRDefault="00660978" w:rsidP="00063737">
            <w:pPr>
              <w:pStyle w:val="TableText"/>
              <w:spacing w:before="40" w:after="40"/>
              <w:rPr>
                <w:rFonts w:cs="Calibri"/>
              </w:rPr>
            </w:pPr>
            <w:r w:rsidRPr="00CB1C46">
              <w:t>T1</w:t>
            </w:r>
          </w:p>
        </w:tc>
      </w:tr>
      <w:tr w:rsidR="00660978" w:rsidRPr="00CB1C46" w14:paraId="61DE9D49" w14:textId="77777777" w:rsidTr="004873FC">
        <w:tc>
          <w:tcPr>
            <w:tcW w:w="1093" w:type="dxa"/>
            <w:shd w:val="clear" w:color="auto" w:fill="auto"/>
            <w:noWrap/>
          </w:tcPr>
          <w:p w14:paraId="54F22647" w14:textId="77777777" w:rsidR="00660978" w:rsidRPr="00CB1C46" w:rsidRDefault="00660978" w:rsidP="00063737">
            <w:pPr>
              <w:pStyle w:val="TableText"/>
              <w:spacing w:before="40" w:after="40"/>
              <w:rPr>
                <w:rFonts w:cs="Calibri"/>
              </w:rPr>
            </w:pPr>
            <w:r w:rsidRPr="00CB1C46">
              <w:t>1.B.2.b.5</w:t>
            </w:r>
          </w:p>
        </w:tc>
        <w:tc>
          <w:tcPr>
            <w:tcW w:w="5589" w:type="dxa"/>
            <w:shd w:val="clear" w:color="auto" w:fill="auto"/>
            <w:noWrap/>
          </w:tcPr>
          <w:p w14:paraId="68B35452" w14:textId="77777777" w:rsidR="00660978" w:rsidRPr="00CB1C46" w:rsidRDefault="00660978" w:rsidP="00063737">
            <w:pPr>
              <w:pStyle w:val="TableText"/>
              <w:spacing w:before="40" w:after="40"/>
              <w:rPr>
                <w:rFonts w:cs="Calibri"/>
              </w:rPr>
            </w:pPr>
            <w:r w:rsidRPr="00CB1C46">
              <w:t>Natural Gas – Distribution</w:t>
            </w:r>
          </w:p>
        </w:tc>
        <w:tc>
          <w:tcPr>
            <w:tcW w:w="669" w:type="dxa"/>
            <w:shd w:val="clear" w:color="auto" w:fill="auto"/>
            <w:noWrap/>
          </w:tcPr>
          <w:p w14:paraId="42B6C886" w14:textId="77777777" w:rsidR="00660978" w:rsidRPr="00CB1C46" w:rsidRDefault="00660978" w:rsidP="00063737">
            <w:pPr>
              <w:pStyle w:val="TableText"/>
              <w:spacing w:before="40" w:after="40"/>
              <w:jc w:val="center"/>
              <w:rPr>
                <w:rFonts w:cs="Calibri"/>
              </w:rPr>
            </w:pPr>
            <w:r w:rsidRPr="00CB1C46">
              <w:t>CH</w:t>
            </w:r>
            <w:r w:rsidRPr="00CB1C46">
              <w:rPr>
                <w:vertAlign w:val="subscript"/>
              </w:rPr>
              <w:t>4</w:t>
            </w:r>
          </w:p>
        </w:tc>
        <w:tc>
          <w:tcPr>
            <w:tcW w:w="1154" w:type="dxa"/>
            <w:shd w:val="clear" w:color="auto" w:fill="auto"/>
            <w:noWrap/>
          </w:tcPr>
          <w:p w14:paraId="79378462" w14:textId="77777777" w:rsidR="00660978" w:rsidRPr="00CB1C46" w:rsidRDefault="00660978" w:rsidP="00063737">
            <w:pPr>
              <w:pStyle w:val="TableText"/>
              <w:spacing w:before="40" w:after="40"/>
              <w:rPr>
                <w:rFonts w:cs="Calibri"/>
              </w:rPr>
            </w:pPr>
            <w:r w:rsidRPr="00CB1C46">
              <w:t>L1, T1</w:t>
            </w:r>
          </w:p>
        </w:tc>
      </w:tr>
      <w:tr w:rsidR="00660978" w:rsidRPr="00CB1C46" w14:paraId="020825DC" w14:textId="77777777" w:rsidTr="004873FC">
        <w:tc>
          <w:tcPr>
            <w:tcW w:w="1093" w:type="dxa"/>
            <w:shd w:val="clear" w:color="auto" w:fill="auto"/>
            <w:noWrap/>
          </w:tcPr>
          <w:p w14:paraId="3444D2C3" w14:textId="77777777" w:rsidR="00660978" w:rsidRPr="00CB1C46" w:rsidRDefault="00660978" w:rsidP="00063737">
            <w:pPr>
              <w:pStyle w:val="TableText"/>
              <w:spacing w:before="40" w:after="40"/>
              <w:rPr>
                <w:rFonts w:cs="Calibri"/>
              </w:rPr>
            </w:pPr>
            <w:r w:rsidRPr="00CB1C46">
              <w:t>1.B.2.c.1.ii</w:t>
            </w:r>
          </w:p>
        </w:tc>
        <w:tc>
          <w:tcPr>
            <w:tcW w:w="5589" w:type="dxa"/>
            <w:shd w:val="clear" w:color="auto" w:fill="auto"/>
            <w:noWrap/>
          </w:tcPr>
          <w:p w14:paraId="4F564321" w14:textId="77777777" w:rsidR="00660978" w:rsidRPr="00CB1C46" w:rsidRDefault="00660978" w:rsidP="00063737">
            <w:pPr>
              <w:pStyle w:val="TableText"/>
              <w:spacing w:before="40" w:after="40"/>
              <w:rPr>
                <w:rFonts w:cs="Calibri"/>
              </w:rPr>
            </w:pPr>
            <w:r w:rsidRPr="00CB1C46">
              <w:t>Venting – Gas</w:t>
            </w:r>
          </w:p>
        </w:tc>
        <w:tc>
          <w:tcPr>
            <w:tcW w:w="669" w:type="dxa"/>
            <w:shd w:val="clear" w:color="auto" w:fill="auto"/>
            <w:noWrap/>
          </w:tcPr>
          <w:p w14:paraId="3B5A1CFC" w14:textId="77777777" w:rsidR="00660978" w:rsidRPr="00CB1C46" w:rsidRDefault="00660978" w:rsidP="00063737">
            <w:pPr>
              <w:pStyle w:val="TableText"/>
              <w:spacing w:before="40" w:after="40"/>
              <w:jc w:val="center"/>
              <w:rPr>
                <w:rFonts w:cs="Calibri"/>
              </w:rPr>
            </w:pPr>
            <w:r w:rsidRPr="00CB1C46">
              <w:t>CO</w:t>
            </w:r>
            <w:r w:rsidRPr="00CB1C46">
              <w:rPr>
                <w:vertAlign w:val="subscript"/>
              </w:rPr>
              <w:t>2</w:t>
            </w:r>
          </w:p>
        </w:tc>
        <w:tc>
          <w:tcPr>
            <w:tcW w:w="1154" w:type="dxa"/>
            <w:shd w:val="clear" w:color="auto" w:fill="auto"/>
            <w:noWrap/>
          </w:tcPr>
          <w:p w14:paraId="0B16BAC7" w14:textId="77777777" w:rsidR="00660978" w:rsidRPr="00CB1C46" w:rsidRDefault="00660978" w:rsidP="00063737">
            <w:pPr>
              <w:pStyle w:val="TableText"/>
              <w:spacing w:before="40" w:after="40"/>
              <w:rPr>
                <w:rFonts w:cs="Calibri"/>
              </w:rPr>
            </w:pPr>
            <w:r w:rsidRPr="00CB1C46">
              <w:t>L1, T1</w:t>
            </w:r>
          </w:p>
        </w:tc>
      </w:tr>
      <w:tr w:rsidR="00660978" w:rsidRPr="00CB1C46" w14:paraId="46C1A12C" w14:textId="77777777" w:rsidTr="004873FC">
        <w:tc>
          <w:tcPr>
            <w:tcW w:w="1093" w:type="dxa"/>
            <w:shd w:val="clear" w:color="auto" w:fill="auto"/>
            <w:noWrap/>
          </w:tcPr>
          <w:p w14:paraId="0DA119EE" w14:textId="77777777" w:rsidR="00660978" w:rsidRPr="00CB1C46" w:rsidRDefault="00660978" w:rsidP="00063737">
            <w:pPr>
              <w:pStyle w:val="TableText"/>
              <w:spacing w:before="40" w:after="40"/>
            </w:pPr>
            <w:r w:rsidRPr="00CB1C46">
              <w:t>1.B.2.d</w:t>
            </w:r>
          </w:p>
        </w:tc>
        <w:tc>
          <w:tcPr>
            <w:tcW w:w="5589" w:type="dxa"/>
            <w:shd w:val="clear" w:color="auto" w:fill="auto"/>
            <w:noWrap/>
          </w:tcPr>
          <w:p w14:paraId="786C6AFE" w14:textId="77777777" w:rsidR="00660978" w:rsidRPr="00CB1C46" w:rsidRDefault="00660978" w:rsidP="00063737">
            <w:pPr>
              <w:pStyle w:val="TableText"/>
              <w:spacing w:before="40" w:after="40"/>
            </w:pPr>
            <w:r w:rsidRPr="00CB1C46">
              <w:t>Other (please specify) – Geothermal</w:t>
            </w:r>
          </w:p>
        </w:tc>
        <w:tc>
          <w:tcPr>
            <w:tcW w:w="669" w:type="dxa"/>
            <w:shd w:val="clear" w:color="auto" w:fill="auto"/>
            <w:noWrap/>
          </w:tcPr>
          <w:p w14:paraId="72519791" w14:textId="77777777" w:rsidR="00660978" w:rsidRPr="00CB1C46" w:rsidRDefault="00660978" w:rsidP="00063737">
            <w:pPr>
              <w:pStyle w:val="TableText"/>
              <w:spacing w:before="40" w:after="40"/>
              <w:jc w:val="center"/>
            </w:pPr>
            <w:r w:rsidRPr="00CB1C46">
              <w:t>CO</w:t>
            </w:r>
            <w:r w:rsidRPr="00CB1C46">
              <w:rPr>
                <w:vertAlign w:val="subscript"/>
              </w:rPr>
              <w:t>2</w:t>
            </w:r>
          </w:p>
        </w:tc>
        <w:tc>
          <w:tcPr>
            <w:tcW w:w="1154" w:type="dxa"/>
            <w:shd w:val="clear" w:color="auto" w:fill="auto"/>
            <w:noWrap/>
          </w:tcPr>
          <w:p w14:paraId="3F309B46" w14:textId="77777777" w:rsidR="00660978" w:rsidRPr="00CB1C46" w:rsidRDefault="00660978" w:rsidP="00063737">
            <w:pPr>
              <w:pStyle w:val="TableText"/>
              <w:spacing w:before="40" w:after="40"/>
            </w:pPr>
            <w:r w:rsidRPr="00CB1C46">
              <w:t>L1, T1</w:t>
            </w:r>
          </w:p>
        </w:tc>
      </w:tr>
    </w:tbl>
    <w:p w14:paraId="0D50FF89" w14:textId="77777777" w:rsidR="00660978" w:rsidRPr="00CB1C46" w:rsidRDefault="00660978" w:rsidP="00660978">
      <w:pPr>
        <w:pStyle w:val="Noteundertable"/>
        <w:rPr>
          <w:rFonts w:cs="Calibri"/>
        </w:rPr>
      </w:pPr>
      <w:r w:rsidRPr="00CB1C46">
        <w:rPr>
          <w:rFonts w:cs="Calibri"/>
          <w:b/>
        </w:rPr>
        <w:t>Note</w:t>
      </w:r>
      <w:r w:rsidRPr="00CB1C46">
        <w:rPr>
          <w:rFonts w:cs="Calibri"/>
        </w:rPr>
        <w:t xml:space="preserve">: </w:t>
      </w:r>
      <w:r w:rsidRPr="00CB1C46">
        <w:rPr>
          <w:rFonts w:cs="Calibri"/>
        </w:rPr>
        <w:tab/>
        <w:t>L1 means a key category is identified under the level analysis – approach 1 and T1 is trend analysis</w:t>
      </w:r>
      <w:r w:rsidRPr="00CB1C46">
        <w:rPr>
          <w:rFonts w:cs="Calibri"/>
        </w:rPr>
        <w:br/>
        <w:t xml:space="preserve"> – approach 1. See chapter 1 for more information.</w:t>
      </w:r>
      <w:bookmarkEnd w:id="205"/>
      <w:bookmarkEnd w:id="206"/>
    </w:p>
    <w:p w14:paraId="7767E97B" w14:textId="77777777" w:rsidR="00660978" w:rsidRPr="00CB1C46" w:rsidRDefault="00660978" w:rsidP="00063737">
      <w:pPr>
        <w:pStyle w:val="Heading2"/>
        <w:spacing w:before="280"/>
        <w:rPr>
          <w:rFonts w:cs="Calibri"/>
        </w:rPr>
      </w:pPr>
      <w:bookmarkStart w:id="207" w:name="_Toc384581635"/>
      <w:bookmarkStart w:id="208" w:name="_Toc448321507"/>
      <w:bookmarkStart w:id="209" w:name="_Toc481751369"/>
      <w:bookmarkStart w:id="210" w:name="_Toc36224386"/>
      <w:bookmarkStart w:id="211" w:name="_Toc68786306"/>
      <w:bookmarkStart w:id="212" w:name="_Toc99659113"/>
      <w:r w:rsidRPr="00CB1C46">
        <w:rPr>
          <w:rFonts w:cs="Calibri"/>
        </w:rPr>
        <w:t>3.2</w:t>
      </w:r>
      <w:r w:rsidRPr="00CB1C46">
        <w:rPr>
          <w:rFonts w:cs="Calibri"/>
        </w:rPr>
        <w:tab/>
        <w:t>Background information</w:t>
      </w:r>
      <w:bookmarkEnd w:id="207"/>
      <w:bookmarkEnd w:id="208"/>
      <w:bookmarkEnd w:id="209"/>
      <w:bookmarkEnd w:id="210"/>
      <w:bookmarkEnd w:id="211"/>
      <w:bookmarkEnd w:id="212"/>
    </w:p>
    <w:p w14:paraId="68751528" w14:textId="77777777" w:rsidR="00660978" w:rsidRPr="00CB1C46" w:rsidRDefault="00660978" w:rsidP="00660978">
      <w:pPr>
        <w:pStyle w:val="Heading3"/>
        <w:spacing w:before="160"/>
        <w:rPr>
          <w:rFonts w:cs="Calibri"/>
        </w:rPr>
      </w:pPr>
      <w:r w:rsidRPr="00CB1C46">
        <w:rPr>
          <w:rFonts w:cs="Calibri"/>
        </w:rPr>
        <w:t>3.2.1</w:t>
      </w:r>
      <w:r w:rsidRPr="00CB1C46">
        <w:rPr>
          <w:rFonts w:cs="Calibri"/>
        </w:rPr>
        <w:tab/>
        <w:t>New Zealand sectoral methodology</w:t>
      </w:r>
    </w:p>
    <w:p w14:paraId="6EB99AF0" w14:textId="77777777" w:rsidR="00660978" w:rsidRPr="00CB1C46" w:rsidRDefault="00660978" w:rsidP="00063737">
      <w:pPr>
        <w:pStyle w:val="BodyText"/>
        <w:spacing w:before="100" w:after="100"/>
        <w:rPr>
          <w:rFonts w:cs="Calibri"/>
          <w:lang w:eastAsia="en-GB"/>
        </w:rPr>
      </w:pPr>
      <w:r w:rsidRPr="00CB1C46">
        <w:rPr>
          <w:rFonts w:cs="Calibri"/>
          <w:lang w:eastAsia="en-GB"/>
        </w:rPr>
        <w:t xml:space="preserve">Greenhouse gas emissions from the Energy sector are calculated using a detailed sectoral approach. This bottom-up approach is demand based; it involves processing energy data collected on a regular basis through various surveys. For verification, New Zealand also applies the </w:t>
      </w:r>
      <w:r w:rsidRPr="00CB1C46">
        <w:rPr>
          <w:rFonts w:cs="Calibri"/>
        </w:rPr>
        <w:t>Intergovernmental Panel on Climate Change</w:t>
      </w:r>
      <w:r w:rsidRPr="00CB1C46">
        <w:rPr>
          <w:rFonts w:cs="Calibri"/>
          <w:lang w:eastAsia="en-GB"/>
        </w:rPr>
        <w:t xml:space="preserve"> (IPCC) reference approach to estimate </w:t>
      </w:r>
      <w:r w:rsidRPr="00CB1C46">
        <w:rPr>
          <w:rFonts w:cs="Calibri"/>
        </w:rPr>
        <w:t>CO</w:t>
      </w:r>
      <w:r w:rsidRPr="00CB1C46">
        <w:rPr>
          <w:rFonts w:cs="Calibri"/>
          <w:vertAlign w:val="subscript"/>
        </w:rPr>
        <w:t>2</w:t>
      </w:r>
      <w:r w:rsidRPr="00CB1C46">
        <w:rPr>
          <w:rFonts w:cs="Calibri"/>
          <w:lang w:eastAsia="en-GB"/>
        </w:rPr>
        <w:t xml:space="preserve"> emissions from fuel combustion for the time series 1990 to </w:t>
      </w:r>
      <w:r w:rsidRPr="00CB1C46">
        <w:rPr>
          <w:rFonts w:cs="Calibri"/>
        </w:rPr>
        <w:t xml:space="preserve">2020 </w:t>
      </w:r>
      <w:r w:rsidRPr="00CB1C46">
        <w:rPr>
          <w:rFonts w:cs="Calibri"/>
          <w:lang w:eastAsia="en-GB"/>
        </w:rPr>
        <w:t xml:space="preserve">(see annex 4). </w:t>
      </w:r>
    </w:p>
    <w:p w14:paraId="6179C93E" w14:textId="77777777" w:rsidR="00660978" w:rsidRPr="00CB1C46" w:rsidRDefault="00660978" w:rsidP="00063737">
      <w:pPr>
        <w:pStyle w:val="BodyText"/>
        <w:spacing w:before="100" w:after="100"/>
        <w:rPr>
          <w:rFonts w:cs="Calibri"/>
          <w:lang w:eastAsia="en-GB"/>
        </w:rPr>
      </w:pPr>
      <w:r w:rsidRPr="00CB1C46">
        <w:rPr>
          <w:rFonts w:cs="Calibri"/>
          <w:lang w:eastAsia="en-GB"/>
        </w:rPr>
        <w:t xml:space="preserve">The activity data used for the sectoral approach are referred to as ‘observed’ energy-use figures. These are based on surveys and questionnaires administered by the Ministry of Business, Innovation and Employment (MBIE). The differences between ‘calculated’ and ‘observed’ figures are reported as statistical differences in the energy balance tables released along with </w:t>
      </w:r>
      <w:r w:rsidRPr="00CB1C46">
        <w:rPr>
          <w:rFonts w:cs="Calibri"/>
          <w:i/>
          <w:iCs/>
          <w:lang w:eastAsia="en-GB"/>
        </w:rPr>
        <w:t xml:space="preserve">Energy in New Zealand </w:t>
      </w:r>
      <w:r w:rsidRPr="00CB1C46">
        <w:rPr>
          <w:rFonts w:cs="Calibri"/>
          <w:lang w:eastAsia="en-GB"/>
        </w:rPr>
        <w:t xml:space="preserve">(MBIE, 2021). Note that, due to the intervening time between the publication of </w:t>
      </w:r>
      <w:r w:rsidRPr="00CB1C46">
        <w:rPr>
          <w:rFonts w:cs="Calibri"/>
          <w:i/>
          <w:lang w:eastAsia="en-GB"/>
        </w:rPr>
        <w:t>Energy in New Zealand</w:t>
      </w:r>
      <w:r w:rsidRPr="00CB1C46">
        <w:rPr>
          <w:rFonts w:cs="Calibri"/>
          <w:lang w:eastAsia="en-GB"/>
        </w:rPr>
        <w:t xml:space="preserve"> and the preparation of this submission, some data revisions may have occurred.</w:t>
      </w:r>
    </w:p>
    <w:p w14:paraId="182A4AA2" w14:textId="77777777" w:rsidR="00660978" w:rsidRPr="00CB1C46" w:rsidRDefault="00660978" w:rsidP="00660978">
      <w:pPr>
        <w:pStyle w:val="Heading3"/>
        <w:spacing w:before="280"/>
        <w:rPr>
          <w:rFonts w:cs="Calibri"/>
        </w:rPr>
      </w:pPr>
      <w:bookmarkStart w:id="213" w:name="_Ref379915380"/>
      <w:r w:rsidRPr="00CB1C46">
        <w:rPr>
          <w:rFonts w:cs="Calibri"/>
        </w:rPr>
        <w:t>3.2.2</w:t>
      </w:r>
      <w:r w:rsidRPr="00CB1C46">
        <w:rPr>
          <w:rFonts w:cs="Calibri"/>
        </w:rPr>
        <w:tab/>
        <w:t>International bunker fuels</w:t>
      </w:r>
      <w:bookmarkEnd w:id="213"/>
    </w:p>
    <w:p w14:paraId="297DED0A" w14:textId="77777777" w:rsidR="00660978" w:rsidRPr="00CB1C46" w:rsidRDefault="00660978" w:rsidP="00063737">
      <w:pPr>
        <w:pStyle w:val="BodyText"/>
        <w:spacing w:before="100" w:after="100"/>
        <w:rPr>
          <w:rFonts w:cs="Calibri"/>
          <w:lang w:eastAsia="en-GB"/>
        </w:rPr>
      </w:pPr>
      <w:r w:rsidRPr="00CB1C46">
        <w:rPr>
          <w:rFonts w:cs="Calibri"/>
          <w:lang w:eastAsia="en-GB"/>
        </w:rPr>
        <w:t>The data on fuel use by international transportation are collected and published online by MBIE (202</w:t>
      </w:r>
      <w:r>
        <w:rPr>
          <w:rFonts w:cs="Calibri"/>
          <w:lang w:eastAsia="en-GB"/>
        </w:rPr>
        <w:t>1</w:t>
      </w:r>
      <w:r w:rsidRPr="00CB1C46">
        <w:rPr>
          <w:rFonts w:cs="Calibri"/>
          <w:lang w:eastAsia="en-GB"/>
        </w:rPr>
        <w:t>). This data release uses information from oil company survey returns (</w:t>
      </w:r>
      <w:r w:rsidRPr="00AF7FAF">
        <w:rPr>
          <w:rFonts w:cs="Calibri"/>
          <w:lang w:eastAsia="en-GB"/>
        </w:rPr>
        <w:t>Delivery of Petroleum Fuels by Industry</w:t>
      </w:r>
      <w:r w:rsidRPr="00CB1C46">
        <w:rPr>
          <w:rFonts w:cs="Calibri"/>
          <w:i/>
          <w:iCs/>
          <w:lang w:eastAsia="en-GB"/>
        </w:rPr>
        <w:t xml:space="preserve"> </w:t>
      </w:r>
      <w:r w:rsidRPr="00CB1C46">
        <w:rPr>
          <w:rFonts w:cs="Calibri"/>
          <w:iCs/>
          <w:lang w:eastAsia="en-GB"/>
        </w:rPr>
        <w:t>(</w:t>
      </w:r>
      <w:r w:rsidRPr="00CB1C46">
        <w:rPr>
          <w:rFonts w:cs="Calibri"/>
          <w:lang w:eastAsia="en-GB"/>
        </w:rPr>
        <w:t xml:space="preserve">DPFI) and </w:t>
      </w:r>
      <w:r w:rsidRPr="00AF7FAF">
        <w:rPr>
          <w:rFonts w:cs="Calibri"/>
          <w:iCs/>
        </w:rPr>
        <w:t>Monthly Oil Supply</w:t>
      </w:r>
      <w:r w:rsidRPr="00CB1C46">
        <w:rPr>
          <w:rFonts w:cs="Calibri"/>
        </w:rPr>
        <w:t xml:space="preserve"> (</w:t>
      </w:r>
      <w:r w:rsidRPr="00CB1C46">
        <w:rPr>
          <w:rFonts w:cs="Calibri"/>
          <w:lang w:eastAsia="en-GB"/>
        </w:rPr>
        <w:t>MOS) as explained below) provided to MBIE.</w:t>
      </w:r>
    </w:p>
    <w:p w14:paraId="5EFB5759" w14:textId="77777777" w:rsidR="00660978" w:rsidRPr="00CB1C46" w:rsidRDefault="00660978" w:rsidP="00063737">
      <w:pPr>
        <w:pStyle w:val="BodyText"/>
        <w:spacing w:before="100" w:after="100"/>
        <w:rPr>
          <w:rFonts w:cs="Calibri"/>
          <w:lang w:eastAsia="en-GB"/>
        </w:rPr>
      </w:pPr>
      <w:r w:rsidRPr="00CB1C46">
        <w:rPr>
          <w:rFonts w:cs="Calibri"/>
          <w:lang w:eastAsia="en-GB"/>
        </w:rPr>
        <w:t xml:space="preserve">Data on fuel use by domestic transport are sourced from the quarterly </w:t>
      </w:r>
      <w:r w:rsidRPr="00CB1C46">
        <w:rPr>
          <w:rFonts w:cs="Calibri"/>
          <w:iCs/>
          <w:lang w:eastAsia="en-GB"/>
        </w:rPr>
        <w:t>DPFI survey</w:t>
      </w:r>
      <w:r w:rsidRPr="00CB1C46">
        <w:rPr>
          <w:rFonts w:cs="Calibri"/>
          <w:i/>
          <w:iCs/>
          <w:lang w:eastAsia="en-GB"/>
        </w:rPr>
        <w:t xml:space="preserve"> </w:t>
      </w:r>
      <w:r w:rsidRPr="00CB1C46">
        <w:rPr>
          <w:rFonts w:cs="Calibri"/>
          <w:lang w:eastAsia="en-GB"/>
        </w:rPr>
        <w:t>conducted by MBIE.</w:t>
      </w:r>
    </w:p>
    <w:p w14:paraId="6B52CC71" w14:textId="77777777" w:rsidR="00660978" w:rsidRPr="00CB1C46" w:rsidRDefault="00660978" w:rsidP="00063737">
      <w:pPr>
        <w:pStyle w:val="BodyText"/>
        <w:spacing w:before="100" w:after="100"/>
        <w:rPr>
          <w:rFonts w:cs="Calibri"/>
          <w:spacing w:val="-2"/>
          <w:lang w:eastAsia="en-GB"/>
        </w:rPr>
      </w:pPr>
      <w:r w:rsidRPr="00CB1C46">
        <w:rPr>
          <w:rFonts w:cs="Calibri"/>
        </w:rPr>
        <w:t xml:space="preserve">Some of the international bunkers data in CRF table 1.A.b are from the MOS survey, whereas the international bunkers data in CRF table 1.D are from the DPFI survey. The DPFI survey is a quarterly sectoral breakdown of observed demand (i.e., actual sales figures for different industries, one of which is international bunkers). The MOS survey is collected monthly and is a liquid fuels supply balance provided by companies selling fuels, of which one category is ‘international bunkers’. Companies that respond to the DPFI survey are asked to reconcile their figures with their figures in the MOS survey. Discrepancies between the surveys are usually very small, and the companies explain differences between the two data sets as the MOS survey following a top-down approach and the DPFI following a bottom-up approach. Furthermore, the MOS and DPFI surveys are usually completed by different sections from within the fuel companies. Also, note that the </w:t>
      </w:r>
      <w:r w:rsidRPr="00CB1C46">
        <w:rPr>
          <w:rFonts w:cs="Calibri"/>
          <w:i/>
        </w:rPr>
        <w:t>Other fuels</w:t>
      </w:r>
      <w:r w:rsidRPr="00CB1C46">
        <w:rPr>
          <w:rFonts w:cs="Calibri"/>
        </w:rPr>
        <w:t xml:space="preserve"> category is not covered in the DPFI so data must come from the MOS.</w:t>
      </w:r>
    </w:p>
    <w:p w14:paraId="627A0675" w14:textId="77777777" w:rsidR="00660978" w:rsidRPr="00CB1C46" w:rsidRDefault="00660978" w:rsidP="00660978">
      <w:pPr>
        <w:pStyle w:val="Heading3"/>
        <w:spacing w:before="280"/>
        <w:rPr>
          <w:rFonts w:cs="Calibri"/>
        </w:rPr>
      </w:pPr>
      <w:r w:rsidRPr="00CB1C46">
        <w:rPr>
          <w:rFonts w:cs="Calibri"/>
        </w:rPr>
        <w:lastRenderedPageBreak/>
        <w:t>3.2.3</w:t>
      </w:r>
      <w:r w:rsidRPr="00CB1C46">
        <w:rPr>
          <w:rFonts w:cs="Calibri"/>
        </w:rPr>
        <w:tab/>
        <w:t>Feedstock and other non-energy use of fuels</w:t>
      </w:r>
    </w:p>
    <w:p w14:paraId="7E5696A2" w14:textId="7460DCCE" w:rsidR="00660978" w:rsidRPr="00CB1C46" w:rsidRDefault="00660978" w:rsidP="00660978">
      <w:pPr>
        <w:pStyle w:val="BodyText"/>
        <w:rPr>
          <w:rFonts w:cs="Calibri"/>
          <w:lang w:eastAsia="en-GB"/>
        </w:rPr>
      </w:pPr>
      <w:r w:rsidRPr="00CB1C46">
        <w:rPr>
          <w:rFonts w:cs="Calibri"/>
          <w:lang w:eastAsia="en-GB"/>
        </w:rPr>
        <w:t>For some industrial companies, the fuels supplied are used both as fuels for combustion and as feedstocks. In these instances, process-related emissions are calculated by taking the fraction of carbon stored or sequestered in the final product (based on industry production and chemical composition of the product) and subtracting this from the total fuel supplied. This difference is assumed to be the amount of carbon emitted as CO</w:t>
      </w:r>
      <w:r w:rsidRPr="00CB1C46">
        <w:rPr>
          <w:rFonts w:cs="Calibri"/>
          <w:vertAlign w:val="subscript"/>
          <w:lang w:eastAsia="en-GB"/>
        </w:rPr>
        <w:t>2</w:t>
      </w:r>
      <w:r w:rsidRPr="00CB1C46">
        <w:t xml:space="preserve"> </w:t>
      </w:r>
      <w:r w:rsidRPr="00CB1C46">
        <w:rPr>
          <w:rFonts w:cs="Calibri"/>
          <w:lang w:eastAsia="en-GB"/>
        </w:rPr>
        <w:t>and is reported both in</w:t>
      </w:r>
      <w:r w:rsidR="000B20C7">
        <w:rPr>
          <w:rFonts w:cs="Calibri"/>
          <w:lang w:eastAsia="en-GB"/>
        </w:rPr>
        <w:t> </w:t>
      </w:r>
      <w:r w:rsidRPr="00CB1C46">
        <w:rPr>
          <w:rFonts w:cs="Calibri"/>
          <w:lang w:eastAsia="en-GB"/>
        </w:rPr>
        <w:t>the Industrial Processes and Product Use (IPPU) sector and in CRF table 1.AD. Other fuel materials, such as bitumen, also contribute to emissions that are reported under the IPPU sector and (where appropriate) in CRF table 1.AD.</w:t>
      </w:r>
    </w:p>
    <w:p w14:paraId="5ADDC6C7" w14:textId="77777777" w:rsidR="00660978" w:rsidRPr="00CB1C46" w:rsidRDefault="00660978" w:rsidP="00660978">
      <w:pPr>
        <w:pStyle w:val="BodyText"/>
        <w:rPr>
          <w:rFonts w:cs="Calibri"/>
        </w:rPr>
      </w:pPr>
      <w:r w:rsidRPr="00CB1C46">
        <w:rPr>
          <w:rFonts w:cs="Calibri"/>
        </w:rPr>
        <w:t>In New Zealand, these non-energy fuels are as follows.</w:t>
      </w:r>
    </w:p>
    <w:p w14:paraId="091F98F0" w14:textId="77777777" w:rsidR="00660978" w:rsidRPr="00CB1C46" w:rsidRDefault="00660978" w:rsidP="000B20C7">
      <w:pPr>
        <w:pStyle w:val="Bullet"/>
      </w:pPr>
      <w:r w:rsidRPr="00CB1C46">
        <w:t>The carbon in the natural gas used as feedstock to produce methanol is all considered to be stored in the product and therefore has no associated CO</w:t>
      </w:r>
      <w:r w:rsidRPr="00CB1C46">
        <w:rPr>
          <w:vertAlign w:val="subscript"/>
        </w:rPr>
        <w:t>2</w:t>
      </w:r>
      <w:r w:rsidRPr="00CB1C46">
        <w:t xml:space="preserve"> emissions. The balance of the carbon is oxidised and results in CO</w:t>
      </w:r>
      <w:r w:rsidRPr="00CB1C46">
        <w:rPr>
          <w:vertAlign w:val="subscript"/>
        </w:rPr>
        <w:t>2</w:t>
      </w:r>
      <w:r w:rsidRPr="00CB1C46">
        <w:t xml:space="preserve">. Emissions from fuel used for combustion are reported in </w:t>
      </w:r>
      <w:r w:rsidRPr="000B20C7">
        <w:t>CRF</w:t>
      </w:r>
      <w:r w:rsidRPr="00CB1C46">
        <w:t xml:space="preserve"> </w:t>
      </w:r>
      <w:r>
        <w:t>category</w:t>
      </w:r>
      <w:r w:rsidRPr="00CB1C46">
        <w:t xml:space="preserve"> 1.A.2.c. </w:t>
      </w:r>
      <w:r w:rsidRPr="00CB1C46">
        <w:rPr>
          <w:rFonts w:cs="Calibri"/>
          <w:lang w:eastAsia="en-GB"/>
        </w:rPr>
        <w:t>These figures may differ slightly from those reported online by MBIE, which are based on natural gas energy use and non-energy use as reported by the plant operator.</w:t>
      </w:r>
    </w:p>
    <w:p w14:paraId="1C3ADE18" w14:textId="77777777" w:rsidR="00660978" w:rsidRPr="00CB1C46" w:rsidRDefault="00660978" w:rsidP="00660978">
      <w:pPr>
        <w:pStyle w:val="Bullet"/>
      </w:pPr>
      <w:r w:rsidRPr="00CB1C46">
        <w:t xml:space="preserve">All ammonia produced in New Zealand is processed into urea. Carbon dioxide emissions from the use of natural gas in ammonia production (feedstock) are reported under the IPPU sector and are included in CRF table 1.AD. Emissions from fuel used for combustion are reported in CRF </w:t>
      </w:r>
      <w:r>
        <w:t>category</w:t>
      </w:r>
      <w:r w:rsidRPr="00CB1C46">
        <w:t xml:space="preserve"> 1.A.2.c.</w:t>
      </w:r>
    </w:p>
    <w:p w14:paraId="19670D52" w14:textId="77777777" w:rsidR="00660978" w:rsidRPr="00CB1C46" w:rsidRDefault="00660978" w:rsidP="00660978">
      <w:pPr>
        <w:pStyle w:val="Bullet"/>
      </w:pPr>
      <w:r w:rsidRPr="00CB1C46">
        <w:t>Bitumen produced in New Zealand is not used as a fuel but rather by the companies Fulton Hogan and Downer EDI as a road construction material (non-energy use). Bitumen therefore has no associated direct emissions. Indirect emissions are reported under the IPPU sector.</w:t>
      </w:r>
    </w:p>
    <w:p w14:paraId="2176CB06" w14:textId="77777777" w:rsidR="00660978" w:rsidRPr="00CB1C46" w:rsidRDefault="00660978" w:rsidP="00660978">
      <w:pPr>
        <w:pStyle w:val="Bullet"/>
      </w:pPr>
      <w:r w:rsidRPr="00CB1C46">
        <w:t xml:space="preserve">Coal used in steel production at New Zealand Steel Limited is used as a reductant, which is part of an industrial process. Therefore, all emissions from this coal are reported under the IPPU sector rather than the Energy sector. </w:t>
      </w:r>
    </w:p>
    <w:p w14:paraId="65575C8D" w14:textId="77777777" w:rsidR="00660978" w:rsidRPr="00CB1C46" w:rsidRDefault="00660978" w:rsidP="00660978">
      <w:pPr>
        <w:pStyle w:val="BodyText"/>
        <w:rPr>
          <w:rFonts w:cs="Calibri"/>
          <w:lang w:eastAsia="en-GB"/>
        </w:rPr>
      </w:pPr>
      <w:r w:rsidRPr="00CB1C46">
        <w:rPr>
          <w:rFonts w:cs="Calibri"/>
          <w:lang w:eastAsia="en-GB"/>
        </w:rPr>
        <w:t>For the four industries using natural gas as feedstock, the fraction of carbon stored is given in table 3.2.1. Emissions for individual products are withheld because of confidentiality concerns.</w:t>
      </w:r>
    </w:p>
    <w:p w14:paraId="63866FFA" w14:textId="77777777" w:rsidR="00660978" w:rsidRPr="00CB1C46" w:rsidRDefault="00660978" w:rsidP="00660978">
      <w:pPr>
        <w:pStyle w:val="Table"/>
        <w:rPr>
          <w:rFonts w:cs="Calibri"/>
        </w:rPr>
      </w:pPr>
      <w:bookmarkStart w:id="214" w:name="_Toc507496589"/>
      <w:bookmarkStart w:id="215" w:name="_Toc36224523"/>
      <w:bookmarkStart w:id="216" w:name="_Toc68786404"/>
      <w:bookmarkStart w:id="217" w:name="_Toc99659212"/>
      <w:r w:rsidRPr="00CB1C46">
        <w:rPr>
          <w:rFonts w:cs="Calibri"/>
        </w:rPr>
        <w:t xml:space="preserve">Table 3.2.1 </w:t>
      </w:r>
      <w:r w:rsidRPr="00CB1C46">
        <w:rPr>
          <w:rFonts w:cs="Calibri"/>
        </w:rPr>
        <w:tab/>
        <w:t>Use of natural gas as a feedstock in New Zealand</w:t>
      </w:r>
      <w:bookmarkEnd w:id="214"/>
      <w:bookmarkEnd w:id="215"/>
      <w:bookmarkEnd w:id="216"/>
      <w:bookmarkEnd w:id="217"/>
    </w:p>
    <w:tbl>
      <w:tblPr>
        <w:tblW w:w="8505" w:type="dxa"/>
        <w:tblInd w:w="113" w:type="dxa"/>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240"/>
        <w:gridCol w:w="2421"/>
        <w:gridCol w:w="2253"/>
        <w:gridCol w:w="2591"/>
      </w:tblGrid>
      <w:tr w:rsidR="00660978" w:rsidRPr="00CB1C46" w14:paraId="78E238AF" w14:textId="77777777" w:rsidTr="004873FC">
        <w:trPr>
          <w:tblHeader/>
        </w:trPr>
        <w:tc>
          <w:tcPr>
            <w:tcW w:w="1129" w:type="dxa"/>
            <w:shd w:val="clear" w:color="auto" w:fill="1B556B"/>
            <w:noWrap/>
            <w:hideMark/>
          </w:tcPr>
          <w:p w14:paraId="3782B318" w14:textId="77777777" w:rsidR="00660978" w:rsidRPr="00CB1C46" w:rsidRDefault="00660978" w:rsidP="004873FC">
            <w:pPr>
              <w:pStyle w:val="TableTextBold"/>
              <w:keepNext/>
              <w:rPr>
                <w:rFonts w:cs="Calibri"/>
                <w:noProof w:val="0"/>
                <w:color w:val="FFFFFF"/>
              </w:rPr>
            </w:pPr>
            <w:r w:rsidRPr="00CB1C46">
              <w:rPr>
                <w:rFonts w:cs="Calibri"/>
                <w:noProof w:val="0"/>
                <w:color w:val="FFFFFF"/>
              </w:rPr>
              <w:t>Product</w:t>
            </w:r>
          </w:p>
        </w:tc>
        <w:tc>
          <w:tcPr>
            <w:tcW w:w="2203" w:type="dxa"/>
            <w:shd w:val="clear" w:color="auto" w:fill="1B556B"/>
            <w:noWrap/>
            <w:hideMark/>
          </w:tcPr>
          <w:p w14:paraId="2C1D816D" w14:textId="77777777" w:rsidR="00660978" w:rsidRPr="00CB1C46" w:rsidRDefault="00660978" w:rsidP="004873FC">
            <w:pPr>
              <w:pStyle w:val="TableTextBold"/>
              <w:keepNext/>
              <w:rPr>
                <w:rFonts w:cs="Calibri"/>
                <w:noProof w:val="0"/>
                <w:color w:val="FFFFFF"/>
              </w:rPr>
            </w:pPr>
            <w:r w:rsidRPr="00CB1C46">
              <w:rPr>
                <w:rFonts w:cs="Calibri"/>
                <w:noProof w:val="0"/>
                <w:color w:val="FFFFFF"/>
              </w:rPr>
              <w:t>Percentage of carbon stored</w:t>
            </w:r>
          </w:p>
        </w:tc>
        <w:tc>
          <w:tcPr>
            <w:tcW w:w="2050" w:type="dxa"/>
            <w:shd w:val="clear" w:color="auto" w:fill="1B556B"/>
            <w:noWrap/>
            <w:hideMark/>
          </w:tcPr>
          <w:p w14:paraId="02FB070C" w14:textId="77777777" w:rsidR="00660978" w:rsidRPr="00CB1C46" w:rsidRDefault="00660978" w:rsidP="004873FC">
            <w:pPr>
              <w:pStyle w:val="TableTextBold"/>
              <w:keepNext/>
              <w:rPr>
                <w:rFonts w:cs="Calibri"/>
                <w:noProof w:val="0"/>
                <w:color w:val="FFFFFF"/>
              </w:rPr>
            </w:pPr>
            <w:r w:rsidRPr="00CB1C46">
              <w:rPr>
                <w:rFonts w:cs="Calibri"/>
                <w:noProof w:val="0"/>
                <w:color w:val="FFFFFF"/>
              </w:rPr>
              <w:t>Energy use reported under</w:t>
            </w:r>
          </w:p>
        </w:tc>
        <w:tc>
          <w:tcPr>
            <w:tcW w:w="2358" w:type="dxa"/>
            <w:shd w:val="clear" w:color="auto" w:fill="1B556B"/>
            <w:noWrap/>
            <w:hideMark/>
          </w:tcPr>
          <w:p w14:paraId="7349FFAB" w14:textId="77777777" w:rsidR="00660978" w:rsidRPr="00CB1C46" w:rsidRDefault="00660978" w:rsidP="004873FC">
            <w:pPr>
              <w:pStyle w:val="TableTextBold"/>
              <w:keepNext/>
              <w:rPr>
                <w:rFonts w:cs="Calibri"/>
                <w:noProof w:val="0"/>
                <w:color w:val="FFFFFF"/>
              </w:rPr>
            </w:pPr>
            <w:r w:rsidRPr="00CB1C46">
              <w:rPr>
                <w:rFonts w:cs="Calibri"/>
                <w:noProof w:val="0"/>
                <w:color w:val="FFFFFF"/>
              </w:rPr>
              <w:t>Non-energy use reported under</w:t>
            </w:r>
          </w:p>
        </w:tc>
      </w:tr>
      <w:tr w:rsidR="00660978" w:rsidRPr="00CB1C46" w14:paraId="132A765C" w14:textId="77777777" w:rsidTr="004873FC">
        <w:tc>
          <w:tcPr>
            <w:tcW w:w="1129" w:type="dxa"/>
            <w:shd w:val="clear" w:color="auto" w:fill="auto"/>
            <w:noWrap/>
            <w:hideMark/>
          </w:tcPr>
          <w:p w14:paraId="19A58232" w14:textId="77777777" w:rsidR="00660978" w:rsidRPr="00CB1C46" w:rsidRDefault="00660978" w:rsidP="004873FC">
            <w:pPr>
              <w:pStyle w:val="TableText"/>
            </w:pPr>
            <w:r w:rsidRPr="00CB1C46">
              <w:t>Methanol</w:t>
            </w:r>
          </w:p>
        </w:tc>
        <w:tc>
          <w:tcPr>
            <w:tcW w:w="2203" w:type="dxa"/>
            <w:shd w:val="clear" w:color="auto" w:fill="auto"/>
            <w:noWrap/>
            <w:hideMark/>
          </w:tcPr>
          <w:p w14:paraId="7D806BF0" w14:textId="77777777" w:rsidR="00660978" w:rsidRPr="00CB1C46" w:rsidRDefault="00660978" w:rsidP="004873FC">
            <w:pPr>
              <w:pStyle w:val="TableText"/>
            </w:pPr>
            <w:r w:rsidRPr="00CB1C46">
              <w:t>100</w:t>
            </w:r>
          </w:p>
        </w:tc>
        <w:tc>
          <w:tcPr>
            <w:tcW w:w="2050" w:type="dxa"/>
            <w:shd w:val="clear" w:color="auto" w:fill="auto"/>
            <w:noWrap/>
            <w:hideMark/>
          </w:tcPr>
          <w:p w14:paraId="42B9C3BC" w14:textId="77777777" w:rsidR="00660978" w:rsidRPr="00CB1C46" w:rsidRDefault="00660978" w:rsidP="004873FC">
            <w:pPr>
              <w:pStyle w:val="TableText"/>
            </w:pPr>
            <w:r w:rsidRPr="00CB1C46">
              <w:t>1.A.2.c</w:t>
            </w:r>
          </w:p>
        </w:tc>
        <w:tc>
          <w:tcPr>
            <w:tcW w:w="2358" w:type="dxa"/>
            <w:shd w:val="clear" w:color="auto" w:fill="auto"/>
            <w:noWrap/>
            <w:hideMark/>
          </w:tcPr>
          <w:p w14:paraId="6B96CC5A" w14:textId="77777777" w:rsidR="00660978" w:rsidRPr="00CB1C46" w:rsidRDefault="00660978" w:rsidP="004873FC">
            <w:pPr>
              <w:pStyle w:val="TableText"/>
            </w:pPr>
            <w:r w:rsidRPr="00CB1C46">
              <w:t>NA</w:t>
            </w:r>
          </w:p>
        </w:tc>
      </w:tr>
      <w:tr w:rsidR="00660978" w:rsidRPr="009E1BC6" w14:paraId="63839CCD" w14:textId="77777777" w:rsidTr="004873FC">
        <w:tc>
          <w:tcPr>
            <w:tcW w:w="1129" w:type="dxa"/>
            <w:shd w:val="clear" w:color="auto" w:fill="auto"/>
            <w:noWrap/>
          </w:tcPr>
          <w:p w14:paraId="5F0B5CFE" w14:textId="77777777" w:rsidR="00660978" w:rsidRPr="009E1BC6" w:rsidRDefault="00660978" w:rsidP="004873FC">
            <w:pPr>
              <w:pStyle w:val="TableText"/>
              <w:rPr>
                <w:szCs w:val="16"/>
              </w:rPr>
            </w:pPr>
            <w:r w:rsidRPr="009E1BC6">
              <w:rPr>
                <w:szCs w:val="16"/>
              </w:rPr>
              <w:t>Urea</w:t>
            </w:r>
          </w:p>
        </w:tc>
        <w:tc>
          <w:tcPr>
            <w:tcW w:w="2203" w:type="dxa"/>
            <w:shd w:val="clear" w:color="auto" w:fill="auto"/>
            <w:noWrap/>
          </w:tcPr>
          <w:p w14:paraId="51FB779B" w14:textId="77777777" w:rsidR="00660978" w:rsidRPr="009E1BC6" w:rsidRDefault="00660978" w:rsidP="004873FC">
            <w:pPr>
              <w:pStyle w:val="TableText"/>
              <w:rPr>
                <w:szCs w:val="16"/>
              </w:rPr>
            </w:pPr>
            <w:r w:rsidRPr="009E1BC6">
              <w:rPr>
                <w:szCs w:val="16"/>
              </w:rPr>
              <w:t>80–93</w:t>
            </w:r>
            <w:r w:rsidRPr="009E1BC6">
              <w:rPr>
                <w:rStyle w:val="FootnoteReference"/>
                <w:sz w:val="16"/>
                <w:szCs w:val="16"/>
              </w:rPr>
              <w:footnoteReference w:id="30"/>
            </w:r>
          </w:p>
        </w:tc>
        <w:tc>
          <w:tcPr>
            <w:tcW w:w="2050" w:type="dxa"/>
            <w:shd w:val="clear" w:color="auto" w:fill="auto"/>
            <w:noWrap/>
          </w:tcPr>
          <w:p w14:paraId="37284E66" w14:textId="77777777" w:rsidR="00660978" w:rsidRPr="009E1BC6" w:rsidRDefault="00660978" w:rsidP="004873FC">
            <w:pPr>
              <w:pStyle w:val="TableText"/>
              <w:rPr>
                <w:szCs w:val="16"/>
              </w:rPr>
            </w:pPr>
            <w:r w:rsidRPr="009E1BC6">
              <w:rPr>
                <w:szCs w:val="16"/>
              </w:rPr>
              <w:t>1.A.2.c</w:t>
            </w:r>
          </w:p>
        </w:tc>
        <w:tc>
          <w:tcPr>
            <w:tcW w:w="2358" w:type="dxa"/>
            <w:shd w:val="clear" w:color="auto" w:fill="auto"/>
            <w:noWrap/>
          </w:tcPr>
          <w:p w14:paraId="205477C6" w14:textId="77777777" w:rsidR="00660978" w:rsidRPr="009E1BC6" w:rsidRDefault="00660978" w:rsidP="004873FC">
            <w:pPr>
              <w:pStyle w:val="TableText"/>
              <w:rPr>
                <w:szCs w:val="16"/>
              </w:rPr>
            </w:pPr>
            <w:r w:rsidRPr="009E1BC6">
              <w:rPr>
                <w:szCs w:val="16"/>
              </w:rPr>
              <w:t>2.B.1</w:t>
            </w:r>
          </w:p>
        </w:tc>
      </w:tr>
      <w:tr w:rsidR="00660978" w:rsidRPr="00CB1C46" w14:paraId="0B0EA44C" w14:textId="77777777" w:rsidTr="004873FC">
        <w:tc>
          <w:tcPr>
            <w:tcW w:w="1129" w:type="dxa"/>
            <w:shd w:val="clear" w:color="auto" w:fill="auto"/>
            <w:noWrap/>
          </w:tcPr>
          <w:p w14:paraId="4B235550" w14:textId="77777777" w:rsidR="00660978" w:rsidRPr="00CB1C46" w:rsidRDefault="00660978" w:rsidP="004873FC">
            <w:pPr>
              <w:pStyle w:val="TableText"/>
            </w:pPr>
            <w:r w:rsidRPr="00CB1C46">
              <w:t>Hydrogen</w:t>
            </w:r>
          </w:p>
        </w:tc>
        <w:tc>
          <w:tcPr>
            <w:tcW w:w="2203" w:type="dxa"/>
            <w:shd w:val="clear" w:color="auto" w:fill="auto"/>
            <w:noWrap/>
          </w:tcPr>
          <w:p w14:paraId="258CCD09" w14:textId="77777777" w:rsidR="00660978" w:rsidRPr="00CB1C46" w:rsidRDefault="00660978" w:rsidP="004873FC">
            <w:pPr>
              <w:pStyle w:val="TableText"/>
            </w:pPr>
            <w:r w:rsidRPr="00CB1C46">
              <w:t>0</w:t>
            </w:r>
          </w:p>
        </w:tc>
        <w:tc>
          <w:tcPr>
            <w:tcW w:w="2050" w:type="dxa"/>
            <w:shd w:val="clear" w:color="auto" w:fill="auto"/>
            <w:noWrap/>
          </w:tcPr>
          <w:p w14:paraId="25A2861F" w14:textId="77777777" w:rsidR="00660978" w:rsidRPr="00CB1C46" w:rsidRDefault="00660978" w:rsidP="004873FC">
            <w:pPr>
              <w:pStyle w:val="TableText"/>
            </w:pPr>
            <w:r w:rsidRPr="00CB1C46">
              <w:t>1.A.2.c</w:t>
            </w:r>
          </w:p>
        </w:tc>
        <w:tc>
          <w:tcPr>
            <w:tcW w:w="2358" w:type="dxa"/>
            <w:shd w:val="clear" w:color="auto" w:fill="auto"/>
            <w:noWrap/>
          </w:tcPr>
          <w:p w14:paraId="67002169" w14:textId="77777777" w:rsidR="00660978" w:rsidRPr="00CB1C46" w:rsidRDefault="00660978" w:rsidP="004873FC">
            <w:pPr>
              <w:pStyle w:val="TableText"/>
            </w:pPr>
            <w:r w:rsidRPr="00CB1C46">
              <w:t>2.B.10</w:t>
            </w:r>
          </w:p>
        </w:tc>
      </w:tr>
      <w:tr w:rsidR="00660978" w:rsidRPr="00CB1C46" w14:paraId="055977B1" w14:textId="77777777" w:rsidTr="004873FC">
        <w:tc>
          <w:tcPr>
            <w:tcW w:w="1129" w:type="dxa"/>
            <w:shd w:val="clear" w:color="auto" w:fill="auto"/>
            <w:noWrap/>
          </w:tcPr>
          <w:p w14:paraId="4BC1A158" w14:textId="77777777" w:rsidR="00660978" w:rsidRPr="00CB1C46" w:rsidRDefault="00660978" w:rsidP="004873FC">
            <w:pPr>
              <w:pStyle w:val="TableText"/>
            </w:pPr>
            <w:r w:rsidRPr="00CB1C46">
              <w:t>Steel</w:t>
            </w:r>
          </w:p>
        </w:tc>
        <w:tc>
          <w:tcPr>
            <w:tcW w:w="2203" w:type="dxa"/>
            <w:shd w:val="clear" w:color="auto" w:fill="auto"/>
            <w:noWrap/>
          </w:tcPr>
          <w:p w14:paraId="5E578D7A" w14:textId="77777777" w:rsidR="00660978" w:rsidRPr="00CB1C46" w:rsidRDefault="00660978" w:rsidP="004873FC">
            <w:pPr>
              <w:pStyle w:val="TableText"/>
            </w:pPr>
            <w:r w:rsidRPr="00CB1C46">
              <w:t>0</w:t>
            </w:r>
          </w:p>
        </w:tc>
        <w:tc>
          <w:tcPr>
            <w:tcW w:w="2050" w:type="dxa"/>
            <w:shd w:val="clear" w:color="auto" w:fill="auto"/>
            <w:noWrap/>
          </w:tcPr>
          <w:p w14:paraId="5FDB595C" w14:textId="77777777" w:rsidR="00660978" w:rsidRPr="00CB1C46" w:rsidRDefault="00660978" w:rsidP="004873FC">
            <w:pPr>
              <w:pStyle w:val="TableText"/>
            </w:pPr>
            <w:r w:rsidRPr="00CB1C46">
              <w:t>1.A.2.a</w:t>
            </w:r>
          </w:p>
        </w:tc>
        <w:tc>
          <w:tcPr>
            <w:tcW w:w="2358" w:type="dxa"/>
            <w:shd w:val="clear" w:color="auto" w:fill="auto"/>
            <w:noWrap/>
          </w:tcPr>
          <w:p w14:paraId="7D0008AB" w14:textId="77777777" w:rsidR="00660978" w:rsidRPr="00CB1C46" w:rsidRDefault="00660978" w:rsidP="004873FC">
            <w:pPr>
              <w:pStyle w:val="TableText"/>
            </w:pPr>
            <w:r w:rsidRPr="00CB1C46">
              <w:t>2.C.1</w:t>
            </w:r>
          </w:p>
        </w:tc>
      </w:tr>
    </w:tbl>
    <w:p w14:paraId="5451869C" w14:textId="77777777" w:rsidR="00660978" w:rsidRPr="009E1BC6" w:rsidRDefault="00660978" w:rsidP="00660978">
      <w:pPr>
        <w:pStyle w:val="Noteundertable"/>
      </w:pPr>
      <w:r w:rsidRPr="00CB1C46">
        <w:rPr>
          <w:b/>
          <w:bCs/>
          <w:lang w:eastAsia="en-GB"/>
        </w:rPr>
        <w:t>Note:</w:t>
      </w:r>
      <w:r w:rsidRPr="00CB1C46">
        <w:rPr>
          <w:lang w:eastAsia="en-GB"/>
        </w:rPr>
        <w:t xml:space="preserve"> NA = not applicable.</w:t>
      </w:r>
    </w:p>
    <w:p w14:paraId="56A5E92F" w14:textId="77777777" w:rsidR="00660978" w:rsidRPr="00CB1C46" w:rsidRDefault="00660978" w:rsidP="00660978">
      <w:pPr>
        <w:pStyle w:val="BodyText"/>
        <w:rPr>
          <w:rFonts w:cs="Calibri"/>
          <w:lang w:eastAsia="en-GB"/>
        </w:rPr>
      </w:pPr>
      <w:r w:rsidRPr="00CB1C46">
        <w:rPr>
          <w:rFonts w:cs="Calibri"/>
          <w:lang w:eastAsia="en-GB"/>
        </w:rPr>
        <w:t>Regarding urea, the split of feedstock gas and fuel gas is provided by the company. Although most of the carbon in feedstock gas used for urea production is stored in the product, this carbon is later emitted when the urea is used on farms as fertiliser. These emissions are reported under the Agriculture sector under urea application (all ammonia produced in New Zealand is processed into urea).</w:t>
      </w:r>
    </w:p>
    <w:p w14:paraId="35EF9A19" w14:textId="77777777" w:rsidR="00660978" w:rsidRPr="00CB1C46" w:rsidRDefault="00660978" w:rsidP="00660978">
      <w:pPr>
        <w:pStyle w:val="BodyText"/>
        <w:rPr>
          <w:rFonts w:cs="Calibri"/>
          <w:lang w:eastAsia="en-GB"/>
        </w:rPr>
      </w:pPr>
      <w:r w:rsidRPr="00CB1C46">
        <w:rPr>
          <w:rFonts w:cs="Calibri"/>
          <w:lang w:eastAsia="en-GB"/>
        </w:rPr>
        <w:lastRenderedPageBreak/>
        <w:t xml:space="preserve">Emissions from synthetic gasoline production are reported in the </w:t>
      </w:r>
      <w:r w:rsidRPr="00CB1C46">
        <w:rPr>
          <w:rFonts w:cs="Calibri"/>
          <w:i/>
          <w:lang w:eastAsia="en-GB"/>
        </w:rPr>
        <w:t>Manufacture of solid fuels and other energy industries</w:t>
      </w:r>
      <w:r w:rsidRPr="00CB1C46">
        <w:rPr>
          <w:rFonts w:cs="Calibri"/>
          <w:lang w:eastAsia="en-GB"/>
        </w:rPr>
        <w:t xml:space="preserve"> category. Synthetic gasoline production in New Zealand ceased in 1997.</w:t>
      </w:r>
    </w:p>
    <w:p w14:paraId="43F78BBF" w14:textId="77777777" w:rsidR="00660978" w:rsidRPr="00CB1C46" w:rsidRDefault="00660978" w:rsidP="00660978">
      <w:pPr>
        <w:pStyle w:val="BodyText"/>
        <w:rPr>
          <w:rFonts w:cs="Calibri"/>
          <w:lang w:eastAsia="en-GB"/>
        </w:rPr>
      </w:pPr>
      <w:r w:rsidRPr="00CB1C46">
        <w:rPr>
          <w:rFonts w:cs="Calibri"/>
          <w:lang w:eastAsia="en-GB"/>
        </w:rPr>
        <w:t>The split of natural gas consumed for energy use versus non-energy use across the time series is shown in figure 3.2.1, and a table giving the energy versus non-energy use data for natural gas is included in annex 4, section A.4.4. The trend in natural gas use in the chemicals category can be explained partly by events in the methanol production industry in New Zealand. Methanex New Zealand operates methanol production plants in the country and is a major gas user. Methanex significantly reduced its production in 2004 following deficient gas supply in 2003. In 2004 it started to run at reduced capacity, but increased its capacity in 2008 and then further in 2012. Production at full capacity resumed in December 2013. Details of natural gas use for the various non-energy uses are covered under the IPPU sector (chapter 4).</w:t>
      </w:r>
    </w:p>
    <w:p w14:paraId="0AB8EFFD" w14:textId="0DFF23C3" w:rsidR="00660978" w:rsidRPr="00CB1C46" w:rsidRDefault="00660978" w:rsidP="00660978">
      <w:pPr>
        <w:pStyle w:val="Figure"/>
        <w:rPr>
          <w:rFonts w:cs="Calibri"/>
        </w:rPr>
      </w:pPr>
      <w:bookmarkStart w:id="218" w:name="_Toc481751985"/>
      <w:bookmarkStart w:id="219" w:name="_Toc36292769"/>
      <w:bookmarkStart w:id="220" w:name="_Toc68786634"/>
      <w:bookmarkStart w:id="221" w:name="_Toc99696014"/>
      <w:bookmarkStart w:id="222" w:name="_Toc95834069"/>
      <w:r w:rsidRPr="00CB1C46">
        <w:rPr>
          <w:rFonts w:cs="Calibri"/>
        </w:rPr>
        <w:t>Figure 3.2.</w:t>
      </w:r>
      <w:r w:rsidRPr="00CB1C46">
        <w:rPr>
          <w:rFonts w:cs="Calibri"/>
        </w:rPr>
        <w:fldChar w:fldCharType="begin"/>
      </w:r>
      <w:r w:rsidRPr="00CB1C46">
        <w:rPr>
          <w:rFonts w:cs="Calibri"/>
        </w:rPr>
        <w:instrText xml:space="preserve"> SEQ Figure \* ARABIC \s 2 </w:instrText>
      </w:r>
      <w:r w:rsidRPr="00CB1C46">
        <w:rPr>
          <w:rFonts w:cs="Calibri"/>
        </w:rPr>
        <w:fldChar w:fldCharType="separate"/>
      </w:r>
      <w:r w:rsidR="009D338D">
        <w:rPr>
          <w:rFonts w:cs="Calibri"/>
          <w:noProof/>
        </w:rPr>
        <w:t>1</w:t>
      </w:r>
      <w:r w:rsidRPr="00CB1C46">
        <w:rPr>
          <w:rFonts w:cs="Calibri"/>
        </w:rPr>
        <w:fldChar w:fldCharType="end"/>
      </w:r>
      <w:r w:rsidRPr="00CB1C46">
        <w:rPr>
          <w:rFonts w:cs="Calibri"/>
        </w:rPr>
        <w:tab/>
        <w:t>Natural gas consumption by end use type</w:t>
      </w:r>
      <w:bookmarkEnd w:id="218"/>
      <w:r w:rsidRPr="00CB1C46">
        <w:rPr>
          <w:rFonts w:cs="Calibri"/>
        </w:rPr>
        <w:t xml:space="preserve"> from 1990 to 2020</w:t>
      </w:r>
      <w:bookmarkEnd w:id="219"/>
      <w:bookmarkEnd w:id="220"/>
      <w:bookmarkEnd w:id="221"/>
      <w:r w:rsidRPr="00CB1C46">
        <w:rPr>
          <w:rFonts w:cs="Calibri"/>
        </w:rPr>
        <w:t xml:space="preserve"> </w:t>
      </w:r>
      <w:bookmarkEnd w:id="222"/>
    </w:p>
    <w:p w14:paraId="73DB68F7" w14:textId="77777777" w:rsidR="00660978" w:rsidRPr="00CB1C46" w:rsidRDefault="004B48CC" w:rsidP="00660978">
      <w:pPr>
        <w:pStyle w:val="BodyText"/>
        <w:spacing w:after="0"/>
        <w:rPr>
          <w:lang w:eastAsia="en-GB"/>
        </w:rPr>
      </w:pPr>
      <w:r>
        <w:rPr>
          <w:noProof/>
        </w:rPr>
        <w:pict w14:anchorId="369EB128">
          <v:shape id="Picture 25" o:spid="_x0000_i1047" type="#_x0000_t75" style="width:425.3pt;height:199.25pt;visibility:visible;mso-wrap-style:square">
            <v:imagedata r:id="rId56" o:title="" croptop="1465f" cropbottom="2620f"/>
          </v:shape>
        </w:pict>
      </w:r>
    </w:p>
    <w:p w14:paraId="4356C471" w14:textId="77777777" w:rsidR="00660978" w:rsidRPr="00CB1C46" w:rsidRDefault="00660978" w:rsidP="00660978">
      <w:pPr>
        <w:pStyle w:val="Heading3"/>
        <w:rPr>
          <w:rFonts w:cs="Calibri"/>
        </w:rPr>
      </w:pPr>
      <w:r w:rsidRPr="00CB1C46">
        <w:rPr>
          <w:rFonts w:cs="Calibri"/>
        </w:rPr>
        <w:t>3.2.4</w:t>
      </w:r>
      <w:r w:rsidRPr="00CB1C46">
        <w:rPr>
          <w:rFonts w:cs="Calibri"/>
        </w:rPr>
        <w:tab/>
        <w:t>Carbon dioxide capture from flue gases and subsequent carbon dioxide</w:t>
      </w:r>
      <w:r w:rsidRPr="00CB1C46">
        <w:rPr>
          <w:rFonts w:cs="Calibri"/>
          <w:sz w:val="18"/>
          <w:szCs w:val="18"/>
        </w:rPr>
        <w:t xml:space="preserve"> </w:t>
      </w:r>
      <w:r w:rsidRPr="00CB1C46">
        <w:rPr>
          <w:rFonts w:cs="Calibri"/>
        </w:rPr>
        <w:t>storage</w:t>
      </w:r>
    </w:p>
    <w:p w14:paraId="72BAEE80" w14:textId="77777777" w:rsidR="00660978" w:rsidRPr="00CB1C46" w:rsidRDefault="00660978" w:rsidP="00660978">
      <w:pPr>
        <w:pStyle w:val="BodyText"/>
        <w:spacing w:before="100" w:after="100"/>
        <w:rPr>
          <w:rFonts w:cs="Calibri"/>
        </w:rPr>
      </w:pPr>
      <w:r w:rsidRPr="00CB1C46">
        <w:rPr>
          <w:rFonts w:cs="Calibri"/>
          <w:lang w:eastAsia="en-GB"/>
        </w:rPr>
        <w:t>No CO</w:t>
      </w:r>
      <w:r w:rsidRPr="00CB1C46">
        <w:rPr>
          <w:rFonts w:cs="Calibri"/>
          <w:vertAlign w:val="subscript"/>
          <w:lang w:eastAsia="en-GB"/>
        </w:rPr>
        <w:t>2</w:t>
      </w:r>
      <w:r w:rsidRPr="00CB1C46">
        <w:rPr>
          <w:rFonts w:cs="Calibri"/>
          <w:sz w:val="14"/>
          <w:szCs w:val="14"/>
          <w:lang w:eastAsia="en-GB"/>
        </w:rPr>
        <w:t xml:space="preserve"> </w:t>
      </w:r>
      <w:r w:rsidRPr="00CB1C46">
        <w:rPr>
          <w:rFonts w:cs="Calibri"/>
          <w:lang w:eastAsia="en-GB"/>
        </w:rPr>
        <w:t>capture from flue gases and subsequent CO</w:t>
      </w:r>
      <w:r w:rsidRPr="00CB1C46">
        <w:rPr>
          <w:rFonts w:cs="Calibri"/>
          <w:vertAlign w:val="subscript"/>
          <w:lang w:eastAsia="en-GB"/>
        </w:rPr>
        <w:t>2</w:t>
      </w:r>
      <w:r w:rsidRPr="00CB1C46">
        <w:rPr>
          <w:rFonts w:cs="Calibri"/>
          <w:sz w:val="14"/>
          <w:szCs w:val="14"/>
          <w:lang w:eastAsia="en-GB"/>
        </w:rPr>
        <w:t xml:space="preserve"> </w:t>
      </w:r>
      <w:r w:rsidRPr="00CB1C46">
        <w:rPr>
          <w:rFonts w:cs="Calibri"/>
          <w:lang w:eastAsia="en-GB"/>
        </w:rPr>
        <w:t xml:space="preserve">storage occurred in New Zealand between 1990 and </w:t>
      </w:r>
      <w:r w:rsidRPr="00CB1C46">
        <w:rPr>
          <w:rFonts w:cs="Calibri"/>
        </w:rPr>
        <w:t>2020</w:t>
      </w:r>
      <w:r w:rsidRPr="00CB1C46">
        <w:rPr>
          <w:rFonts w:cs="Calibri"/>
          <w:lang w:eastAsia="en-GB"/>
        </w:rPr>
        <w:t>.</w:t>
      </w:r>
    </w:p>
    <w:p w14:paraId="085CA156" w14:textId="77777777" w:rsidR="00660978" w:rsidRPr="00CB1C46" w:rsidRDefault="00660978" w:rsidP="00660978">
      <w:pPr>
        <w:pStyle w:val="Heading3"/>
        <w:spacing w:before="280"/>
        <w:rPr>
          <w:rFonts w:cs="Calibri"/>
        </w:rPr>
      </w:pPr>
      <w:r w:rsidRPr="00CB1C46">
        <w:rPr>
          <w:rFonts w:cs="Calibri"/>
        </w:rPr>
        <w:t>3.2.5</w:t>
      </w:r>
      <w:r w:rsidRPr="00CB1C46">
        <w:rPr>
          <w:rFonts w:cs="Calibri"/>
        </w:rPr>
        <w:tab/>
        <w:t>Country-specific issues</w:t>
      </w:r>
    </w:p>
    <w:p w14:paraId="64A60508" w14:textId="77777777" w:rsidR="00660978" w:rsidRPr="00CB1C46" w:rsidRDefault="00660978" w:rsidP="00660978">
      <w:pPr>
        <w:pStyle w:val="BodyText"/>
        <w:spacing w:before="100" w:after="100"/>
        <w:rPr>
          <w:rFonts w:cs="Calibri"/>
        </w:rPr>
      </w:pPr>
      <w:r w:rsidRPr="00CB1C46">
        <w:rPr>
          <w:rFonts w:cs="Calibri"/>
          <w:lang w:eastAsia="en-GB"/>
        </w:rPr>
        <w:t>Reporting for the Energy sector presents an issue related to the 2006</w:t>
      </w:r>
      <w:r w:rsidRPr="00CB1C46">
        <w:rPr>
          <w:rFonts w:cs="Calibri"/>
          <w:i/>
          <w:iCs/>
          <w:lang w:eastAsia="en-GB"/>
        </w:rPr>
        <w:t xml:space="preserve"> </w:t>
      </w:r>
      <w:r w:rsidRPr="00CB1C46">
        <w:rPr>
          <w:rFonts w:cs="Calibri"/>
          <w:lang w:eastAsia="en-GB"/>
        </w:rPr>
        <w:t>IPCC Guidelines (IPCC, 2006). The issue is described below.</w:t>
      </w:r>
    </w:p>
    <w:p w14:paraId="501BE4DD" w14:textId="77777777" w:rsidR="00660978" w:rsidRPr="00CB1C46" w:rsidRDefault="00660978" w:rsidP="00660978">
      <w:pPr>
        <w:pStyle w:val="Heading4"/>
      </w:pPr>
      <w:r w:rsidRPr="00CB1C46">
        <w:rPr>
          <w:lang w:eastAsia="en-GB"/>
        </w:rPr>
        <w:t>Sectoral approach – Methanol production</w:t>
      </w:r>
    </w:p>
    <w:p w14:paraId="5927CDC5" w14:textId="77777777" w:rsidR="00660978" w:rsidRPr="00CB1C46" w:rsidRDefault="00660978" w:rsidP="00660978">
      <w:pPr>
        <w:pStyle w:val="BodyText"/>
        <w:spacing w:before="100" w:after="100"/>
        <w:rPr>
          <w:rFonts w:cs="Calibri"/>
          <w:lang w:eastAsia="en-GB"/>
        </w:rPr>
      </w:pPr>
      <w:r w:rsidRPr="00CB1C46">
        <w:rPr>
          <w:rFonts w:cs="Calibri"/>
        </w:rPr>
        <w:t xml:space="preserve">The sector activity data do not include non-energy use of fuels. As a result, subtraction of emissions is not needed to account for the sequestration of carbon in methanol. The emissions from the fuel portion are reported in the CRF category 1.A.2.c </w:t>
      </w:r>
      <w:r w:rsidRPr="00CB1C46">
        <w:rPr>
          <w:rFonts w:cs="Calibri"/>
          <w:i/>
        </w:rPr>
        <w:t>Chemicals</w:t>
      </w:r>
      <w:r w:rsidRPr="00CB1C46">
        <w:rPr>
          <w:rFonts w:cs="Calibri"/>
        </w:rPr>
        <w:t xml:space="preserve"> in the Energy sector, and the emissions from the feedstock portion are described in chapter 4 (IPPU sector), section 4.3.2. </w:t>
      </w:r>
    </w:p>
    <w:p w14:paraId="670DF673" w14:textId="77777777" w:rsidR="00660978" w:rsidRPr="00CB1C46" w:rsidRDefault="00660978" w:rsidP="00660978">
      <w:pPr>
        <w:pStyle w:val="Heading3"/>
        <w:spacing w:before="280"/>
        <w:rPr>
          <w:rFonts w:cs="Calibri"/>
        </w:rPr>
      </w:pPr>
      <w:r w:rsidRPr="00CB1C46">
        <w:rPr>
          <w:rFonts w:cs="Calibri"/>
        </w:rPr>
        <w:lastRenderedPageBreak/>
        <w:t>3.2.6</w:t>
      </w:r>
      <w:r w:rsidRPr="00CB1C46">
        <w:rPr>
          <w:rFonts w:cs="Calibri"/>
        </w:rPr>
        <w:tab/>
        <w:t>New Zealand energy balance</w:t>
      </w:r>
    </w:p>
    <w:p w14:paraId="1DB48B99" w14:textId="77777777" w:rsidR="00660978" w:rsidRPr="00CB1C46" w:rsidRDefault="00660978" w:rsidP="00660978">
      <w:pPr>
        <w:pStyle w:val="BodyText"/>
        <w:spacing w:before="100" w:after="100"/>
      </w:pPr>
      <w:r w:rsidRPr="00CB1C46">
        <w:rPr>
          <w:rFonts w:cs="Calibri"/>
        </w:rPr>
        <w:t xml:space="preserve">New Zealand’s energy balance, along with comprehensive information and analysis of energy supply and demand, is published annually in </w:t>
      </w:r>
      <w:r w:rsidRPr="00CB1C46">
        <w:rPr>
          <w:rFonts w:cs="Calibri"/>
          <w:i/>
        </w:rPr>
        <w:t>Energy in New Zealand</w:t>
      </w:r>
      <w:r w:rsidRPr="00CB1C46">
        <w:rPr>
          <w:rFonts w:cs="Calibri"/>
        </w:rPr>
        <w:t xml:space="preserve"> (MBIE, 2021). It covers energy statistics, including supply and demand by fuel types, energy balance tables, pricing information and international comparisons. An electronic copy of this report is available online at: </w:t>
      </w:r>
      <w:hyperlink r:id="rId57" w:history="1">
        <w:r w:rsidRPr="00CB1C46">
          <w:rPr>
            <w:rStyle w:val="Hyperlink"/>
          </w:rPr>
          <w:t>www.mbie.govt.nz/building-and-energy/energy-and-natural-resources/energy-statistics-and-modelling/energy-publications-and-technical-papers/energy-in-new-zealand</w:t>
        </w:r>
      </w:hyperlink>
      <w:r w:rsidRPr="00CB1C46">
        <w:t>.</w:t>
      </w:r>
    </w:p>
    <w:p w14:paraId="325C1CB0" w14:textId="77777777" w:rsidR="00660978" w:rsidRPr="00CB1C46" w:rsidRDefault="00660978" w:rsidP="00660978">
      <w:pPr>
        <w:pStyle w:val="BodyText"/>
        <w:spacing w:before="100" w:after="100"/>
        <w:rPr>
          <w:rFonts w:cs="Calibri"/>
          <w:iCs/>
          <w:lang w:eastAsia="en-GB"/>
        </w:rPr>
      </w:pPr>
      <w:r w:rsidRPr="00CB1C46">
        <w:rPr>
          <w:rFonts w:cs="Calibri"/>
          <w:iCs/>
          <w:lang w:eastAsia="en-GB"/>
        </w:rPr>
        <w:t>For the most part, categories and fuels from the energy balance correspond directly with the categories and fuels in CRF table 1.A(b). A few special cases occur, as follows, where the structure of the CRF table does not align with New Zealand’s energy balance.</w:t>
      </w:r>
    </w:p>
    <w:p w14:paraId="12C556F2" w14:textId="77777777" w:rsidR="00660978" w:rsidRPr="00CB1C46" w:rsidRDefault="00660978" w:rsidP="00660978">
      <w:pPr>
        <w:pStyle w:val="Bullet"/>
        <w:rPr>
          <w:lang w:eastAsia="en-GB"/>
        </w:rPr>
      </w:pPr>
      <w:r w:rsidRPr="00CB1C46">
        <w:rPr>
          <w:lang w:eastAsia="en-GB"/>
        </w:rPr>
        <w:t>In the New Zealand energy balance table, crude oil and refinery feedstocks are combined, whereas in CRF table 1.A(b) these are separate line items.</w:t>
      </w:r>
    </w:p>
    <w:p w14:paraId="37A52E92" w14:textId="77777777" w:rsidR="00660978" w:rsidRPr="00CB1C46" w:rsidRDefault="00660978" w:rsidP="00660978">
      <w:pPr>
        <w:pStyle w:val="Bullet"/>
        <w:rPr>
          <w:lang w:eastAsia="en-GB"/>
        </w:rPr>
      </w:pPr>
      <w:r w:rsidRPr="00CB1C46">
        <w:rPr>
          <w:lang w:eastAsia="en-GB"/>
        </w:rPr>
        <w:t>In New Zealand,</w:t>
      </w:r>
      <w:r w:rsidRPr="00CB1C46">
        <w:t xml:space="preserve"> </w:t>
      </w:r>
      <w:r w:rsidRPr="00CB1C46">
        <w:rPr>
          <w:lang w:eastAsia="en-GB"/>
        </w:rPr>
        <w:t>liquefied petroleum gas (LPG) is considered a primary fuel and indigenous production is included in the national energy balance as such. The CRF table does not allow entry of LPG production, so it is included in natural gas production and then allocated to liquefied petroleum gas via stock change.</w:t>
      </w:r>
    </w:p>
    <w:p w14:paraId="56F87AC4" w14:textId="77777777" w:rsidR="00660978" w:rsidRPr="00CB1C46" w:rsidRDefault="00660978" w:rsidP="00660978">
      <w:pPr>
        <w:pStyle w:val="Bullet"/>
        <w:rPr>
          <w:lang w:eastAsia="en-GB"/>
        </w:rPr>
      </w:pPr>
      <w:r w:rsidRPr="00CB1C46">
        <w:rPr>
          <w:lang w:eastAsia="en-GB"/>
        </w:rPr>
        <w:t>New Zealand’s energy balance includes the production of synthetic gasoline from natural gas under energy transformation. The CRF table does not allow entry of synthetic gasoline transformation, so it is included in natural gas production and then allocated to gasoline via stock change.</w:t>
      </w:r>
    </w:p>
    <w:p w14:paraId="158AA858" w14:textId="77777777" w:rsidR="00660978" w:rsidRPr="00CB1C46" w:rsidRDefault="00660978" w:rsidP="00660978">
      <w:pPr>
        <w:pStyle w:val="BodyText"/>
        <w:spacing w:before="100" w:after="100"/>
        <w:rPr>
          <w:rFonts w:cs="Calibri"/>
          <w:iCs/>
          <w:lang w:eastAsia="en-GB"/>
        </w:rPr>
      </w:pPr>
      <w:r w:rsidRPr="00CB1C46">
        <w:rPr>
          <w:rFonts w:cs="Calibri"/>
          <w:iCs/>
          <w:lang w:eastAsia="en-GB"/>
        </w:rPr>
        <w:t>These allocations allow a more meaningful comparison with the sectoral approach data for liquid and gaseous fuels.</w:t>
      </w:r>
    </w:p>
    <w:p w14:paraId="0368E41B" w14:textId="77777777" w:rsidR="00660978" w:rsidRPr="00CB1C46" w:rsidRDefault="00660978" w:rsidP="00660978">
      <w:pPr>
        <w:pStyle w:val="Heading2"/>
        <w:rPr>
          <w:rFonts w:cs="Calibri"/>
        </w:rPr>
      </w:pPr>
      <w:bookmarkStart w:id="223" w:name="_Toc321398810"/>
      <w:bookmarkStart w:id="224" w:name="_Toc384581636"/>
      <w:bookmarkStart w:id="225" w:name="_Toc448321508"/>
      <w:bookmarkStart w:id="226" w:name="_Toc481751370"/>
      <w:bookmarkStart w:id="227" w:name="_Toc36224387"/>
      <w:bookmarkStart w:id="228" w:name="_Toc68786307"/>
      <w:bookmarkStart w:id="229" w:name="_Toc99659114"/>
      <w:r w:rsidRPr="00CB1C46">
        <w:rPr>
          <w:rFonts w:cs="Calibri"/>
        </w:rPr>
        <w:t>3.3</w:t>
      </w:r>
      <w:r w:rsidRPr="00CB1C46">
        <w:rPr>
          <w:rFonts w:cs="Calibri"/>
        </w:rPr>
        <w:tab/>
        <w:t>Fuel combustion (CRF 1.A)</w:t>
      </w:r>
      <w:bookmarkEnd w:id="223"/>
      <w:bookmarkEnd w:id="224"/>
      <w:bookmarkEnd w:id="225"/>
      <w:bookmarkEnd w:id="226"/>
      <w:bookmarkEnd w:id="227"/>
      <w:bookmarkEnd w:id="228"/>
      <w:bookmarkEnd w:id="229"/>
    </w:p>
    <w:p w14:paraId="6A0392C2" w14:textId="77777777" w:rsidR="00660978" w:rsidRPr="00CB1C46" w:rsidRDefault="00660978" w:rsidP="0053196D">
      <w:pPr>
        <w:pStyle w:val="Heading3"/>
        <w:spacing w:before="240"/>
        <w:rPr>
          <w:rFonts w:cs="Calibri"/>
        </w:rPr>
      </w:pPr>
      <w:bookmarkStart w:id="230" w:name="_Ref442177031"/>
      <w:r w:rsidRPr="00CB1C46">
        <w:rPr>
          <w:rFonts w:cs="Calibri"/>
        </w:rPr>
        <w:t>3.3.1</w:t>
      </w:r>
      <w:r w:rsidRPr="00CB1C46">
        <w:rPr>
          <w:rFonts w:cs="Calibri"/>
        </w:rPr>
        <w:tab/>
        <w:t>Sector-wide information</w:t>
      </w:r>
      <w:bookmarkEnd w:id="230"/>
    </w:p>
    <w:p w14:paraId="26220A19" w14:textId="77777777" w:rsidR="00660978" w:rsidRPr="00CB1C46" w:rsidRDefault="00660978" w:rsidP="00660978">
      <w:pPr>
        <w:pStyle w:val="Heading4"/>
        <w:spacing w:before="160"/>
      </w:pPr>
      <w:r w:rsidRPr="00CB1C46">
        <w:rPr>
          <w:lang w:eastAsia="en-GB"/>
        </w:rPr>
        <w:t>Description</w:t>
      </w:r>
    </w:p>
    <w:p w14:paraId="02EA30F6" w14:textId="77777777" w:rsidR="00660978" w:rsidRPr="00CB1C46" w:rsidRDefault="00660978" w:rsidP="00660978">
      <w:pPr>
        <w:pStyle w:val="BodyText"/>
        <w:rPr>
          <w:rFonts w:cs="Calibri"/>
          <w:lang w:eastAsia="en-GB"/>
        </w:rPr>
      </w:pPr>
      <w:r w:rsidRPr="00CB1C46">
        <w:rPr>
          <w:rFonts w:cs="Calibri"/>
          <w:lang w:eastAsia="en-GB"/>
        </w:rPr>
        <w:t xml:space="preserve">The </w:t>
      </w:r>
      <w:r w:rsidRPr="00CB1C46">
        <w:rPr>
          <w:rFonts w:cs="Calibri"/>
          <w:i/>
          <w:lang w:eastAsia="en-GB"/>
        </w:rPr>
        <w:t>Fuel combustion</w:t>
      </w:r>
      <w:r w:rsidRPr="00CB1C46">
        <w:rPr>
          <w:rFonts w:cs="Calibri"/>
          <w:lang w:eastAsia="en-GB"/>
        </w:rPr>
        <w:t xml:space="preserve"> category reports all fuel combustion activities from 1.A.1 </w:t>
      </w:r>
      <w:r w:rsidRPr="00CB1C46">
        <w:rPr>
          <w:rFonts w:cs="Calibri"/>
          <w:i/>
          <w:lang w:eastAsia="en-GB"/>
        </w:rPr>
        <w:t>Energy industries</w:t>
      </w:r>
      <w:r w:rsidRPr="00CB1C46">
        <w:rPr>
          <w:rFonts w:cs="Calibri"/>
          <w:lang w:eastAsia="en-GB"/>
        </w:rPr>
        <w:t xml:space="preserve">, 1.A.2 </w:t>
      </w:r>
      <w:r w:rsidRPr="00CB1C46">
        <w:rPr>
          <w:rFonts w:cs="Calibri"/>
          <w:i/>
          <w:lang w:eastAsia="en-GB"/>
        </w:rPr>
        <w:t>Manufacturing industries and construction</w:t>
      </w:r>
      <w:r w:rsidRPr="00CB1C46">
        <w:rPr>
          <w:rFonts w:cs="Calibri"/>
          <w:lang w:eastAsia="en-GB"/>
        </w:rPr>
        <w:t xml:space="preserve">, 1.A.3 </w:t>
      </w:r>
      <w:r w:rsidRPr="00CB1C46">
        <w:rPr>
          <w:rFonts w:cs="Calibri"/>
          <w:i/>
          <w:lang w:eastAsia="en-GB"/>
        </w:rPr>
        <w:t>Transport</w:t>
      </w:r>
      <w:r w:rsidRPr="00CB1C46">
        <w:rPr>
          <w:rFonts w:cs="Calibri"/>
          <w:lang w:eastAsia="en-GB"/>
        </w:rPr>
        <w:t xml:space="preserve"> and 1.A.4 </w:t>
      </w:r>
      <w:r w:rsidRPr="00CB1C46">
        <w:rPr>
          <w:rFonts w:cs="Calibri"/>
          <w:i/>
          <w:lang w:eastAsia="en-GB"/>
        </w:rPr>
        <w:t>Other sectors</w:t>
      </w:r>
      <w:r w:rsidRPr="00CB1C46">
        <w:rPr>
          <w:rFonts w:cs="Calibri"/>
          <w:lang w:eastAsia="en-GB"/>
        </w:rPr>
        <w:t xml:space="preserve"> categories (see figure 3.3.1). These categories use common activity data sources and emission factors. The CRF tables require energy emissions to be reported by category. Apportioning energy activity data across categories is not as accurate as apportioning activity data by fuel type because of difficulties in allocating liquid fuel to the appropriate categories.</w:t>
      </w:r>
    </w:p>
    <w:p w14:paraId="6D64F29B" w14:textId="77777777" w:rsidR="00660978" w:rsidRPr="00CB1C46" w:rsidRDefault="00660978" w:rsidP="00660978">
      <w:pPr>
        <w:pStyle w:val="BodyText"/>
        <w:rPr>
          <w:rFonts w:cs="Calibri"/>
          <w:lang w:eastAsia="en-GB"/>
        </w:rPr>
      </w:pPr>
      <w:r w:rsidRPr="00CB1C46">
        <w:rPr>
          <w:rFonts w:cs="Calibri"/>
          <w:lang w:eastAsia="en-GB"/>
        </w:rPr>
        <w:t>Information about methodologies, emission factors, uncertainty, and quality control and assurance for each of the categories is discussed below.</w:t>
      </w:r>
    </w:p>
    <w:p w14:paraId="54BC08B7" w14:textId="0F96436A" w:rsidR="00660978" w:rsidRPr="00CB1C46" w:rsidRDefault="00660978" w:rsidP="00660978">
      <w:pPr>
        <w:pStyle w:val="Figure"/>
        <w:rPr>
          <w:rFonts w:cs="Calibri"/>
        </w:rPr>
      </w:pPr>
      <w:bookmarkStart w:id="231" w:name="_Toc321399324"/>
      <w:bookmarkStart w:id="232" w:name="_Toc384582850"/>
      <w:bookmarkStart w:id="233" w:name="_Toc443060811"/>
      <w:bookmarkStart w:id="234" w:name="_Toc447275668"/>
      <w:bookmarkStart w:id="235" w:name="_Toc481751986"/>
      <w:bookmarkStart w:id="236" w:name="_Toc36292770"/>
      <w:bookmarkStart w:id="237" w:name="_Toc68786635"/>
      <w:bookmarkStart w:id="238" w:name="_Toc95834070"/>
      <w:bookmarkStart w:id="239" w:name="_Toc99696015"/>
      <w:r w:rsidRPr="00CB1C46">
        <w:rPr>
          <w:rFonts w:cs="Calibri"/>
        </w:rPr>
        <w:lastRenderedPageBreak/>
        <w:t>Figure 3.3.</w:t>
      </w:r>
      <w:r w:rsidRPr="00CB1C46">
        <w:rPr>
          <w:rFonts w:cs="Calibri"/>
        </w:rPr>
        <w:fldChar w:fldCharType="begin"/>
      </w:r>
      <w:r w:rsidRPr="00CB1C46">
        <w:rPr>
          <w:rFonts w:cs="Calibri"/>
        </w:rPr>
        <w:instrText xml:space="preserve"> SEQ Figure \* ARABIC \s 2 </w:instrText>
      </w:r>
      <w:r w:rsidRPr="00CB1C46">
        <w:rPr>
          <w:rFonts w:cs="Calibri"/>
        </w:rPr>
        <w:fldChar w:fldCharType="separate"/>
      </w:r>
      <w:r w:rsidR="009D338D">
        <w:rPr>
          <w:rFonts w:cs="Calibri"/>
          <w:noProof/>
        </w:rPr>
        <w:t>1</w:t>
      </w:r>
      <w:r w:rsidRPr="00CB1C46">
        <w:rPr>
          <w:rFonts w:cs="Calibri"/>
        </w:rPr>
        <w:fldChar w:fldCharType="end"/>
      </w:r>
      <w:r w:rsidRPr="00CB1C46">
        <w:rPr>
          <w:rFonts w:cs="Calibri"/>
        </w:rPr>
        <w:tab/>
        <w:t>Change in New Zealand’s emissions from the fuel combustion categories from 1990</w:t>
      </w:r>
      <w:bookmarkEnd w:id="231"/>
      <w:r w:rsidR="00994D28">
        <w:rPr>
          <w:rFonts w:cs="Calibri"/>
        </w:rPr>
        <w:t> </w:t>
      </w:r>
      <w:r w:rsidRPr="00CB1C46">
        <w:rPr>
          <w:rFonts w:cs="Calibri"/>
        </w:rPr>
        <w:t>to</w:t>
      </w:r>
      <w:r w:rsidR="00994D28">
        <w:rPr>
          <w:rFonts w:cs="Calibri"/>
        </w:rPr>
        <w:t> </w:t>
      </w:r>
      <w:r w:rsidRPr="00CB1C46">
        <w:rPr>
          <w:rFonts w:cs="Calibri"/>
        </w:rPr>
        <w:t>2020</w:t>
      </w:r>
      <w:bookmarkEnd w:id="232"/>
      <w:bookmarkEnd w:id="233"/>
      <w:bookmarkEnd w:id="234"/>
      <w:bookmarkEnd w:id="235"/>
      <w:bookmarkEnd w:id="236"/>
      <w:bookmarkEnd w:id="237"/>
      <w:bookmarkEnd w:id="238"/>
      <w:bookmarkEnd w:id="239"/>
    </w:p>
    <w:p w14:paraId="4CA72E52" w14:textId="77777777" w:rsidR="00660978" w:rsidRPr="00CB1C46" w:rsidRDefault="004B48CC" w:rsidP="00660978">
      <w:pPr>
        <w:pStyle w:val="BodyText"/>
        <w:spacing w:before="100" w:after="0"/>
      </w:pPr>
      <w:r>
        <w:rPr>
          <w:noProof/>
        </w:rPr>
        <w:pict w14:anchorId="00FF19FC">
          <v:shape id="Picture 26" o:spid="_x0000_i1048" type="#_x0000_t75" style="width:425.3pt;height:199.25pt;visibility:visible;mso-wrap-style:square">
            <v:imagedata r:id="rId58" o:title="" croptop="2198f" cropbottom="2198f"/>
          </v:shape>
        </w:pict>
      </w:r>
    </w:p>
    <w:p w14:paraId="44A8D176" w14:textId="77777777" w:rsidR="00660978" w:rsidRPr="00CB1C46" w:rsidRDefault="00660978" w:rsidP="00660978">
      <w:pPr>
        <w:pStyle w:val="Heading4"/>
      </w:pPr>
      <w:r w:rsidRPr="00CB1C46">
        <w:rPr>
          <w:lang w:eastAsia="en-GB"/>
        </w:rPr>
        <w:t>Methodological issues</w:t>
      </w:r>
    </w:p>
    <w:p w14:paraId="1B787542" w14:textId="77777777" w:rsidR="00660978" w:rsidRPr="00CB1C46" w:rsidRDefault="00660978" w:rsidP="00660978">
      <w:pPr>
        <w:pStyle w:val="BodyText"/>
        <w:spacing w:before="100" w:after="100"/>
        <w:rPr>
          <w:rFonts w:cs="Calibri"/>
          <w:lang w:eastAsia="en-GB"/>
        </w:rPr>
      </w:pPr>
      <w:r w:rsidRPr="00CB1C46">
        <w:rPr>
          <w:rFonts w:cs="Calibri"/>
          <w:lang w:eastAsia="en-GB"/>
        </w:rPr>
        <w:t>Energy emissions are compiled using MBIE’s energy statistics, along with relevant New Zealand-specific emission factors. Unless otherwise noted in the relevant section, CO</w:t>
      </w:r>
      <w:r w:rsidRPr="00CB1C46">
        <w:rPr>
          <w:rFonts w:cs="Calibri"/>
          <w:vertAlign w:val="subscript"/>
          <w:lang w:eastAsia="en-GB"/>
        </w:rPr>
        <w:t>2</w:t>
      </w:r>
      <w:r w:rsidRPr="00CB1C46">
        <w:rPr>
          <w:rFonts w:cs="Calibri"/>
          <w:lang w:eastAsia="en-GB"/>
        </w:rPr>
        <w:t> emissions are calculated by multiplying a country-specific emission factor for the given fuel by the relevant activity data using an IPCC 2006 Tier 2 method. Non-CO</w:t>
      </w:r>
      <w:r w:rsidRPr="00CB1C46">
        <w:rPr>
          <w:rFonts w:cs="Calibri"/>
          <w:vertAlign w:val="subscript"/>
          <w:lang w:eastAsia="en-GB"/>
        </w:rPr>
        <w:t>2 </w:t>
      </w:r>
      <w:r w:rsidRPr="00CB1C46">
        <w:rPr>
          <w:rFonts w:cs="Calibri"/>
          <w:lang w:eastAsia="en-GB"/>
        </w:rPr>
        <w:t>emissions are calculated using IPCC 2006 default emission factors, unless otherwise noted.</w:t>
      </w:r>
    </w:p>
    <w:p w14:paraId="77373333" w14:textId="77777777" w:rsidR="00660978" w:rsidRPr="00CB1C46" w:rsidRDefault="00660978" w:rsidP="00660978">
      <w:pPr>
        <w:pStyle w:val="Heading4"/>
      </w:pPr>
      <w:r w:rsidRPr="00CB1C46">
        <w:rPr>
          <w:lang w:eastAsia="en-GB"/>
        </w:rPr>
        <w:t xml:space="preserve">Activity data </w:t>
      </w:r>
    </w:p>
    <w:p w14:paraId="1BB41DA5" w14:textId="77777777" w:rsidR="00660978" w:rsidRPr="00CB1C46" w:rsidRDefault="00660978" w:rsidP="00660978">
      <w:pPr>
        <w:pStyle w:val="Heading5"/>
        <w:spacing w:before="120"/>
        <w:rPr>
          <w:rFonts w:cs="Calibri"/>
        </w:rPr>
      </w:pPr>
      <w:r w:rsidRPr="00CB1C46">
        <w:rPr>
          <w:rFonts w:cs="Calibri"/>
          <w:lang w:eastAsia="en-GB"/>
        </w:rPr>
        <w:t>Liquid fuels</w:t>
      </w:r>
    </w:p>
    <w:p w14:paraId="67E20EFE" w14:textId="77777777" w:rsidR="00660978" w:rsidRPr="00CB1C46" w:rsidRDefault="00660978" w:rsidP="00660978">
      <w:pPr>
        <w:pStyle w:val="BodyText"/>
        <w:rPr>
          <w:rFonts w:cs="Calibri"/>
          <w:lang w:eastAsia="en-GB"/>
        </w:rPr>
      </w:pPr>
      <w:r w:rsidRPr="00CB1C46">
        <w:rPr>
          <w:rFonts w:cs="Calibri"/>
          <w:lang w:eastAsia="en-GB"/>
        </w:rPr>
        <w:t xml:space="preserve">The primary source of liquid fuel consumption data is the </w:t>
      </w:r>
      <w:r w:rsidRPr="00CB1C46">
        <w:rPr>
          <w:rFonts w:cs="Calibri"/>
          <w:iCs/>
          <w:lang w:eastAsia="en-GB"/>
        </w:rPr>
        <w:t>DPFI.</w:t>
      </w:r>
      <w:r w:rsidRPr="00CB1C46">
        <w:rPr>
          <w:rFonts w:cs="Calibri"/>
          <w:lang w:eastAsia="en-GB"/>
        </w:rPr>
        <w:t xml:space="preserve"> MBIE</w:t>
      </w:r>
      <w:r w:rsidRPr="00CB1C46" w:rsidDel="007D581E">
        <w:rPr>
          <w:rFonts w:cs="Calibri"/>
          <w:lang w:eastAsia="en-GB"/>
        </w:rPr>
        <w:t xml:space="preserve"> </w:t>
      </w:r>
      <w:r w:rsidRPr="00CB1C46">
        <w:rPr>
          <w:rFonts w:cs="Calibri"/>
          <w:lang w:eastAsia="en-GB"/>
        </w:rPr>
        <w:t xml:space="preserve">began conducting the DPFI in 2009. Before this, the survey was conducted by Stats NZ. The quarterly survey includes liquid fuel sales data collected from the four oil companies importing and selling fuel. The purpose of the survey is to provide data on the amount of fuel delivered by all oil companies to end users and other distribution outlets. Each oil company in New Zealand supplies MBIE with the volume of petroleum fuels delivered to resellers and the industrial, commercial and residential sectors. </w:t>
      </w:r>
    </w:p>
    <w:p w14:paraId="66660E1F" w14:textId="77777777" w:rsidR="00660978" w:rsidRPr="00CB1C46" w:rsidRDefault="00660978" w:rsidP="00660978">
      <w:pPr>
        <w:pStyle w:val="BodyText"/>
        <w:rPr>
          <w:rFonts w:cs="Calibri"/>
          <w:lang w:eastAsia="en-GB"/>
        </w:rPr>
      </w:pPr>
      <w:r w:rsidRPr="00CB1C46">
        <w:rPr>
          <w:rFonts w:cs="Calibri"/>
          <w:lang w:eastAsia="en-GB"/>
        </w:rPr>
        <w:t>Petroleum fuels data are currently collected in volume units (thousand litres). Before 2009, data were collected in metric tonnes. Year-specific calorific values are used for all liquid fuels, reflecting changes in liquid fuel properties over time. Annual fuel property data are provided by New Zealand’s sole refinery.</w:t>
      </w:r>
    </w:p>
    <w:p w14:paraId="7438B205" w14:textId="77777777" w:rsidR="00660978" w:rsidRPr="00CB1C46" w:rsidRDefault="00660978" w:rsidP="00660978">
      <w:pPr>
        <w:pStyle w:val="BodyText"/>
        <w:rPr>
          <w:rFonts w:cs="Calibri"/>
          <w:lang w:eastAsia="en-GB"/>
        </w:rPr>
      </w:pPr>
      <w:r w:rsidRPr="00CB1C46">
        <w:rPr>
          <w:rFonts w:cs="Calibri"/>
          <w:lang w:eastAsia="en-GB"/>
        </w:rPr>
        <w:t>Emissions from fuel sold for use in international transport (e.g., international bunker fuels) are reported separately as a memo item, as required (IPCC, 2006).</w:t>
      </w:r>
    </w:p>
    <w:p w14:paraId="3E126633" w14:textId="77777777" w:rsidR="00660978" w:rsidRPr="00CB1C46" w:rsidRDefault="00660978" w:rsidP="00660978">
      <w:pPr>
        <w:pStyle w:val="BodyText"/>
        <w:rPr>
          <w:rFonts w:cs="Calibri"/>
        </w:rPr>
      </w:pPr>
      <w:r w:rsidRPr="00CB1C46">
        <w:rPr>
          <w:rFonts w:cs="Calibri"/>
        </w:rPr>
        <w:t>An MBIE-commissioned survey in 2008 on liquid fuel use (MBIE</w:t>
      </w:r>
      <w:r w:rsidRPr="00CB1C46">
        <w:rPr>
          <w:rFonts w:cs="Calibri"/>
          <w:lang w:eastAsia="en-GB"/>
        </w:rPr>
        <w:t>, 2008</w:t>
      </w:r>
      <w:r w:rsidRPr="00CB1C46">
        <w:rPr>
          <w:rFonts w:cs="Calibri"/>
        </w:rPr>
        <w:t>) found that there were, at the time, 19 independent fuel distribution companies operating in New Zealand that resell fuel bought wholesale from the oil companies. Furthermore, it found that this on</w:t>
      </w:r>
      <w:r w:rsidRPr="00CB1C46">
        <w:rPr>
          <w:rFonts w:cs="Calibri"/>
        </w:rPr>
        <w:noBreakHyphen/>
        <w:t xml:space="preserve">selling resulted in over-allocation of liquid fuel activity data to the </w:t>
      </w:r>
      <w:r w:rsidRPr="00CB1C46">
        <w:rPr>
          <w:rFonts w:cs="Calibri"/>
          <w:i/>
        </w:rPr>
        <w:t>Transport</w:t>
      </w:r>
      <w:r w:rsidRPr="00CB1C46">
        <w:rPr>
          <w:rFonts w:cs="Calibri"/>
        </w:rPr>
        <w:t xml:space="preserve"> category, because most fuel purchased from the distribution companies was used by the </w:t>
      </w:r>
      <w:r w:rsidRPr="00CB1C46">
        <w:rPr>
          <w:rFonts w:cs="Calibri"/>
          <w:i/>
        </w:rPr>
        <w:t>Agriculture/forestry/fishing</w:t>
      </w:r>
      <w:r w:rsidRPr="00CB1C46">
        <w:rPr>
          <w:rFonts w:cs="Calibri"/>
        </w:rPr>
        <w:t xml:space="preserve"> category. The study recommended starting an annual survey of deliveries of gasoline and diesel to each sector by independent distributors. These data were then used to correctly allocate sales of liquid fuels by small resellers to the appropriate sector.</w:t>
      </w:r>
    </w:p>
    <w:p w14:paraId="62E77A15" w14:textId="77777777" w:rsidR="00660978" w:rsidRPr="00CB1C46" w:rsidRDefault="00660978" w:rsidP="00660978">
      <w:pPr>
        <w:pStyle w:val="BodyText"/>
        <w:rPr>
          <w:rFonts w:cs="Calibri"/>
        </w:rPr>
      </w:pPr>
      <w:r w:rsidRPr="00CB1C46">
        <w:rPr>
          <w:rFonts w:cs="Calibri"/>
        </w:rPr>
        <w:lastRenderedPageBreak/>
        <w:t xml:space="preserve">The </w:t>
      </w:r>
      <w:r w:rsidRPr="00AF7FAF">
        <w:rPr>
          <w:rFonts w:cs="Calibri"/>
          <w:iCs/>
        </w:rPr>
        <w:t>Annual Liquid Fuel Survey</w:t>
      </w:r>
      <w:r w:rsidRPr="00CB1C46">
        <w:rPr>
          <w:rFonts w:cs="Calibri"/>
        </w:rPr>
        <w:t xml:space="preserve"> was started in 2009 (for the 2008 calendar year) and found that the independent fuel distribution companies delivered 18 per cent of New Zealand’s total diesel consumption and 3 per cent of New Zealand’s total gasoline consumption. Using these data, each company’s deliveries between 1990 and 2006 were estimated, because no information was available for these years. The report </w:t>
      </w:r>
      <w:r w:rsidRPr="00CB1C46">
        <w:rPr>
          <w:rFonts w:cs="Calibri"/>
          <w:i/>
        </w:rPr>
        <w:t>Delivering the Diesel – Liquid Fuel Deliveries in New Zealand 1990–2008</w:t>
      </w:r>
      <w:r w:rsidRPr="00CB1C46">
        <w:rPr>
          <w:rFonts w:cs="Calibri"/>
        </w:rPr>
        <w:t xml:space="preserve"> (MBIE, 2010) outlines in further detail the methodology employed to perform this calculation.</w:t>
      </w:r>
    </w:p>
    <w:p w14:paraId="65436360" w14:textId="77777777" w:rsidR="00660978" w:rsidRPr="00CB1C46" w:rsidRDefault="00660978" w:rsidP="00660978">
      <w:pPr>
        <w:pStyle w:val="Heading5"/>
        <w:spacing w:before="160"/>
        <w:rPr>
          <w:rFonts w:cs="Calibri"/>
        </w:rPr>
      </w:pPr>
      <w:r w:rsidRPr="00CB1C46">
        <w:rPr>
          <w:rFonts w:cs="Calibri"/>
          <w:lang w:eastAsia="en-GB"/>
        </w:rPr>
        <w:t>Solid fuels</w:t>
      </w:r>
    </w:p>
    <w:p w14:paraId="65483B5B" w14:textId="44BB26A9" w:rsidR="00660978" w:rsidRPr="00CB1C46" w:rsidRDefault="00660978" w:rsidP="00660978">
      <w:pPr>
        <w:pStyle w:val="BodyText"/>
        <w:spacing w:before="100" w:after="100"/>
        <w:rPr>
          <w:rFonts w:cs="Calibri"/>
          <w:lang w:eastAsia="en-GB"/>
        </w:rPr>
      </w:pPr>
      <w:r w:rsidRPr="00CB1C46">
        <w:rPr>
          <w:rFonts w:cs="Calibri"/>
          <w:lang w:eastAsia="en-GB"/>
        </w:rPr>
        <w:t xml:space="preserve">Since 2009, MBIE has conducted the </w:t>
      </w:r>
      <w:r w:rsidRPr="00AF7FAF">
        <w:rPr>
          <w:rFonts w:cs="Calibri"/>
          <w:lang w:eastAsia="en-GB"/>
        </w:rPr>
        <w:t>New Zealand Quarterly Statistical Return of Coal Production and Sales</w:t>
      </w:r>
      <w:r w:rsidRPr="00CB1C46">
        <w:rPr>
          <w:rFonts w:cs="Calibri"/>
          <w:lang w:eastAsia="en-GB"/>
        </w:rPr>
        <w:t xml:space="preserve">, previously conducted by </w:t>
      </w:r>
      <w:r w:rsidRPr="00CB1C46">
        <w:rPr>
          <w:rFonts w:cs="Calibri"/>
        </w:rPr>
        <w:t>Stats NZ</w:t>
      </w:r>
      <w:r w:rsidRPr="00CB1C46">
        <w:rPr>
          <w:rFonts w:cs="Calibri"/>
          <w:lang w:eastAsia="en-GB"/>
        </w:rPr>
        <w:t>. The survey covers coal produced andsold by coal producers in New Zealand. The three grades of coal surveyed are bituminous, sub</w:t>
      </w:r>
      <w:r w:rsidRPr="00CB1C46">
        <w:rPr>
          <w:rFonts w:cs="Calibri"/>
          <w:lang w:eastAsia="en-GB"/>
        </w:rPr>
        <w:noBreakHyphen/>
        <w:t>bituminous and lignite.</w:t>
      </w:r>
    </w:p>
    <w:p w14:paraId="1F19F7F7" w14:textId="41A0E612" w:rsidR="00660978" w:rsidRPr="00CB1C46" w:rsidRDefault="00660978" w:rsidP="00660978">
      <w:pPr>
        <w:pStyle w:val="BodyText"/>
        <w:spacing w:before="100" w:after="100"/>
        <w:rPr>
          <w:rFonts w:cs="Calibri"/>
          <w:lang w:eastAsia="en-GB"/>
        </w:rPr>
      </w:pPr>
      <w:r w:rsidRPr="00CB1C46">
        <w:rPr>
          <w:rFonts w:cs="Calibri"/>
          <w:lang w:eastAsia="en-GB"/>
        </w:rPr>
        <w:t xml:space="preserve">The </w:t>
      </w:r>
      <w:r w:rsidRPr="00AF7FAF">
        <w:rPr>
          <w:rFonts w:cs="Calibri"/>
          <w:lang w:eastAsia="en-GB"/>
        </w:rPr>
        <w:t>Quarterly Statistical Return of Coal Production and Sales</w:t>
      </w:r>
      <w:r w:rsidRPr="00CB1C46">
        <w:rPr>
          <w:rFonts w:cs="Calibri"/>
          <w:i/>
          <w:iCs/>
          <w:lang w:eastAsia="en-GB"/>
        </w:rPr>
        <w:t xml:space="preserve"> </w:t>
      </w:r>
      <w:r w:rsidRPr="00CB1C46">
        <w:rPr>
          <w:rFonts w:cs="Calibri"/>
          <w:lang w:eastAsia="en-GB"/>
        </w:rPr>
        <w:t>splits coal sold into over 20 industries, using the Australian and New Zealand Standard Industrial Classification 2006</w:t>
      </w:r>
      <w:r w:rsidR="007D0391">
        <w:rPr>
          <w:rFonts w:cs="Calibri"/>
          <w:lang w:eastAsia="en-GB"/>
        </w:rPr>
        <w:t xml:space="preserve"> </w:t>
      </w:r>
      <w:r w:rsidRPr="00CB1C46">
        <w:rPr>
          <w:rFonts w:cs="Calibri"/>
          <w:lang w:eastAsia="en-GB"/>
        </w:rPr>
        <w:t xml:space="preserve">(Australian Bureau of Statistics and Statistics New Zealand, 2006). Before 2009, when </w:t>
      </w:r>
      <w:r w:rsidRPr="00CB1C46">
        <w:rPr>
          <w:rFonts w:cs="Calibri"/>
        </w:rPr>
        <w:t>Stats NZ</w:t>
      </w:r>
      <w:r w:rsidR="007D0391">
        <w:rPr>
          <w:rFonts w:cs="Calibri"/>
          <w:lang w:eastAsia="en-GB"/>
        </w:rPr>
        <w:t> </w:t>
      </w:r>
      <w:r w:rsidRPr="00CB1C46">
        <w:rPr>
          <w:rFonts w:cs="Calibri"/>
          <w:lang w:eastAsia="en-GB"/>
        </w:rPr>
        <w:t xml:space="preserve">ran the survey, coal sales were surveyed for only seven high-level sectors. </w:t>
      </w:r>
    </w:p>
    <w:p w14:paraId="424A7368" w14:textId="77777777" w:rsidR="00660978" w:rsidRPr="00CB1C46" w:rsidRDefault="00660978" w:rsidP="00660978">
      <w:pPr>
        <w:pStyle w:val="BodyText"/>
        <w:spacing w:before="100" w:after="100"/>
        <w:rPr>
          <w:rFonts w:cs="Calibri"/>
          <w:lang w:eastAsia="en-GB"/>
        </w:rPr>
      </w:pPr>
      <w:r w:rsidRPr="00CB1C46">
        <w:rPr>
          <w:rFonts w:cs="Calibri"/>
          <w:lang w:eastAsia="en-GB"/>
        </w:rPr>
        <w:t>All solid fuel used for iron and steel manufacture is reported under the IPPU sector to avoid double counting.</w:t>
      </w:r>
    </w:p>
    <w:p w14:paraId="3D3A2ADB" w14:textId="77777777" w:rsidR="00660978" w:rsidRPr="00CB1C46" w:rsidRDefault="00660978" w:rsidP="00660978">
      <w:pPr>
        <w:pStyle w:val="Heading5"/>
        <w:spacing w:before="160"/>
        <w:rPr>
          <w:rFonts w:cs="Calibri"/>
          <w:lang w:eastAsia="en-GB"/>
        </w:rPr>
      </w:pPr>
      <w:r w:rsidRPr="00CB1C46">
        <w:rPr>
          <w:rFonts w:cs="Calibri"/>
          <w:lang w:eastAsia="en-GB"/>
        </w:rPr>
        <w:t>Gaseous fuels</w:t>
      </w:r>
    </w:p>
    <w:p w14:paraId="7B8AF7BC" w14:textId="77777777" w:rsidR="00660978" w:rsidRPr="00CB1C46" w:rsidRDefault="00660978" w:rsidP="00660978">
      <w:pPr>
        <w:pStyle w:val="BodyText"/>
        <w:spacing w:before="100" w:after="100"/>
        <w:rPr>
          <w:rFonts w:cs="Calibri"/>
          <w:lang w:eastAsia="en-GB"/>
        </w:rPr>
      </w:pPr>
      <w:r w:rsidRPr="00CB1C46">
        <w:rPr>
          <w:rFonts w:cs="Calibri"/>
          <w:lang w:eastAsia="en-GB"/>
        </w:rPr>
        <w:t xml:space="preserve">MBIE receives activity data on gaseous fuels from various sources. Individual natural gas field operators provide information on the amount of gas extracted, vented, flared and for own use at each gas field. Information on processed gas, including the Kapuni gas field, and information on gas transmission and distribution throughout New Zealand, is provided by the operator of the Kapuni Gas Treatment Plant and gas distribution networks. </w:t>
      </w:r>
    </w:p>
    <w:p w14:paraId="1D4EE1E2" w14:textId="77777777" w:rsidR="00660978" w:rsidRPr="00CB1C46" w:rsidRDefault="00660978" w:rsidP="00660978">
      <w:pPr>
        <w:pStyle w:val="BodyText"/>
        <w:spacing w:before="100" w:after="100"/>
        <w:rPr>
          <w:rFonts w:cs="Calibri"/>
          <w:lang w:eastAsia="en-GB"/>
        </w:rPr>
      </w:pPr>
      <w:r w:rsidRPr="00CB1C46">
        <w:rPr>
          <w:rFonts w:cs="Calibri"/>
          <w:lang w:eastAsia="en-GB"/>
        </w:rPr>
        <w:t>Large users of gas, including electricity generation companies, provide their activity data directly to MBIE. Finally, MBIE surveys retailers and wholesalers on a quarterly basis to obtain activity data from industrial, commercial and residential natural gas users.</w:t>
      </w:r>
    </w:p>
    <w:p w14:paraId="763C54DE" w14:textId="26CECDE4" w:rsidR="00660978" w:rsidRPr="00CB1C46" w:rsidRDefault="00660978" w:rsidP="00660978">
      <w:pPr>
        <w:pStyle w:val="BodyText"/>
        <w:spacing w:before="100" w:after="100"/>
        <w:rPr>
          <w:rFonts w:cs="Calibri"/>
          <w:lang w:eastAsia="en-GB"/>
        </w:rPr>
      </w:pPr>
      <w:r w:rsidRPr="00CB1C46">
        <w:rPr>
          <w:rFonts w:cs="Calibri"/>
          <w:lang w:eastAsia="en-GB"/>
        </w:rPr>
        <w:t xml:space="preserve">In response to expert review team (ERT) recommendations, all fuel combustion for electricity auto-production was disaggregated into the appropriate sector, rather than reported in 1.A.2.g </w:t>
      </w:r>
      <w:r w:rsidRPr="00CB1C46">
        <w:rPr>
          <w:rFonts w:cs="Calibri"/>
          <w:i/>
          <w:lang w:eastAsia="en-GB"/>
        </w:rPr>
        <w:t>Manufacturing industries and construction – Other</w:t>
      </w:r>
      <w:r w:rsidRPr="00CB1C46">
        <w:rPr>
          <w:rFonts w:cs="Calibri"/>
          <w:lang w:eastAsia="en-GB"/>
        </w:rPr>
        <w:t>. This improvement was implemented in the</w:t>
      </w:r>
      <w:r w:rsidR="007D0391">
        <w:rPr>
          <w:rFonts w:cs="Calibri"/>
          <w:lang w:eastAsia="en-GB"/>
        </w:rPr>
        <w:t xml:space="preserve"> </w:t>
      </w:r>
      <w:r w:rsidRPr="00CB1C46">
        <w:rPr>
          <w:rFonts w:cs="Calibri"/>
          <w:lang w:eastAsia="en-GB"/>
        </w:rPr>
        <w:t xml:space="preserve">2013 submission and resulted in a reduction in unallocated industrial emissions and increases </w:t>
      </w:r>
      <w:r w:rsidRPr="007D0391">
        <w:rPr>
          <w:rFonts w:cs="Calibri"/>
          <w:spacing w:val="-2"/>
          <w:lang w:eastAsia="en-GB"/>
        </w:rPr>
        <w:t>in various manufacturing and construction categories. For further information, see section 3.3.7.</w:t>
      </w:r>
    </w:p>
    <w:p w14:paraId="0390CA94" w14:textId="77777777" w:rsidR="00660978" w:rsidRPr="00CB1C46" w:rsidRDefault="00660978" w:rsidP="00660978">
      <w:pPr>
        <w:pStyle w:val="Heading5"/>
        <w:spacing w:before="160"/>
        <w:rPr>
          <w:rFonts w:cs="Calibri"/>
          <w:lang w:eastAsia="en-GB"/>
        </w:rPr>
      </w:pPr>
      <w:r w:rsidRPr="00CB1C46">
        <w:rPr>
          <w:rFonts w:cs="Calibri"/>
          <w:lang w:eastAsia="en-GB"/>
        </w:rPr>
        <w:t>Biomass</w:t>
      </w:r>
    </w:p>
    <w:p w14:paraId="64B8420A" w14:textId="77777777" w:rsidR="00660978" w:rsidRPr="00CB1C46" w:rsidRDefault="00660978" w:rsidP="00660978">
      <w:pPr>
        <w:pStyle w:val="BodyText"/>
        <w:spacing w:after="100"/>
        <w:rPr>
          <w:rFonts w:cs="Calibri"/>
          <w:lang w:eastAsia="en-GB"/>
        </w:rPr>
      </w:pPr>
      <w:r w:rsidRPr="00CB1C46">
        <w:rPr>
          <w:rFonts w:cs="Calibri"/>
          <w:lang w:eastAsia="en-GB"/>
        </w:rPr>
        <w:t>Activity data for the use of biomass come from several different sources. Electricity and co</w:t>
      </w:r>
      <w:r w:rsidRPr="00CB1C46">
        <w:rPr>
          <w:rFonts w:cs="Calibri"/>
          <w:lang w:eastAsia="en-GB"/>
        </w:rPr>
        <w:noBreakHyphen/>
        <w:t xml:space="preserve">generation data are received by MBIE from electricity generators. </w:t>
      </w:r>
    </w:p>
    <w:p w14:paraId="0BCA7545" w14:textId="77777777" w:rsidR="00660978" w:rsidRPr="00CB1C46" w:rsidRDefault="00660978" w:rsidP="00660978">
      <w:pPr>
        <w:pStyle w:val="Bullet"/>
      </w:pPr>
      <w:r w:rsidRPr="00CB1C46">
        <w:t>New Zealand reports emissions from landfill gas, sewage waste gas, sludge gas (derived from cattle effluent at the Tirau dairy processing facility) and commercial biogas use. Before 2013, New Zealand only reported emissions from landfill gas, sewage waste gas and commercial biogas use.</w:t>
      </w:r>
    </w:p>
    <w:p w14:paraId="7101804D" w14:textId="77777777" w:rsidR="00660978" w:rsidRPr="00CB1C46" w:rsidRDefault="00660978" w:rsidP="00660978">
      <w:pPr>
        <w:pStyle w:val="Bullet"/>
      </w:pPr>
      <w:r w:rsidRPr="00CB1C46">
        <w:t>New Zealand’s gas biomass emissions are estimates based on electricity generation data (some of which are also estimated). No direct data are available on gas biomass emissions from landfills or sewage treatment facilities. See below for details of the estimation methodology of landfill gas and sewage waste gas.</w:t>
      </w:r>
    </w:p>
    <w:p w14:paraId="61A3F891" w14:textId="77777777" w:rsidR="00660978" w:rsidRPr="00CB1C46" w:rsidRDefault="00660978" w:rsidP="00660978">
      <w:pPr>
        <w:pStyle w:val="Bullet"/>
      </w:pPr>
      <w:r w:rsidRPr="00CB1C46">
        <w:lastRenderedPageBreak/>
        <w:t>Gas biomass is also thought to be used by some local government councils; however, MBIE has no information on this use. At some point, information was collected, but the small quantities and materially insignificant emissions mean that MBIE has not focused on collecting these data for many years. A standing estimate (unchanged) has been included since 2006, but the source of this number is unknown. Emissions continue to be reported in this category to ensure no under-reporting occurs, given there is anecdotally some use outside of electricity generation and industry.</w:t>
      </w:r>
    </w:p>
    <w:p w14:paraId="6A83B069" w14:textId="77777777" w:rsidR="00660978" w:rsidRPr="00CB1C46" w:rsidRDefault="00660978" w:rsidP="00660978">
      <w:pPr>
        <w:pStyle w:val="Bullet"/>
      </w:pPr>
      <w:r w:rsidRPr="00CB1C46">
        <w:t>No information is collected on flared gas biomass.</w:t>
      </w:r>
    </w:p>
    <w:p w14:paraId="59138EE6" w14:textId="77777777" w:rsidR="00660978" w:rsidRPr="00CB1C46" w:rsidRDefault="00660978" w:rsidP="00660978">
      <w:pPr>
        <w:pStyle w:val="Bullet"/>
      </w:pPr>
      <w:r w:rsidRPr="00CB1C46">
        <w:t>The only gas biomass direct-use data that have been collected are for the Tirau dairy processing facility (and only one data point, which has been used for all years where it is believed the plant has emitted).</w:t>
      </w:r>
    </w:p>
    <w:p w14:paraId="5E5DF6D4" w14:textId="77777777" w:rsidR="00660978" w:rsidRPr="00CB1C46" w:rsidRDefault="00660978" w:rsidP="00971E23">
      <w:pPr>
        <w:pStyle w:val="Heading5"/>
        <w:spacing w:before="160" w:after="120"/>
        <w:rPr>
          <w:rFonts w:cs="Calibri"/>
        </w:rPr>
      </w:pPr>
      <w:r w:rsidRPr="00CB1C46">
        <w:rPr>
          <w:rFonts w:cs="Calibri"/>
        </w:rPr>
        <w:t>Gas biomass emissions estimates are based on electricity generation data</w:t>
      </w:r>
    </w:p>
    <w:p w14:paraId="55D304B9" w14:textId="77777777" w:rsidR="00660978" w:rsidRPr="00CB1C46" w:rsidRDefault="00660978" w:rsidP="00660978">
      <w:pPr>
        <w:pStyle w:val="Bullet"/>
      </w:pPr>
      <w:r w:rsidRPr="00CB1C46">
        <w:t xml:space="preserve">Electricity generation data are collected for 15 individual plants. As of 31 December 2020, New Zealand gas biomass generation was known to include the following: </w:t>
      </w:r>
    </w:p>
    <w:p w14:paraId="1B6901A7" w14:textId="77777777" w:rsidR="00660978" w:rsidRPr="00CB1C46" w:rsidRDefault="00660978" w:rsidP="00063737">
      <w:pPr>
        <w:pStyle w:val="Sub-bullet"/>
        <w:numPr>
          <w:ilvl w:val="0"/>
          <w:numId w:val="26"/>
        </w:numPr>
      </w:pPr>
      <w:r w:rsidRPr="00CB1C46">
        <w:t xml:space="preserve">11 landfill facilities, totalling 33.1 megawatts (MW). These facilities are electricity only (some landfill gas was used to heat a swimming pool in Christchurch before the Christchurch </w:t>
      </w:r>
      <w:r w:rsidRPr="00183945">
        <w:t>earthquake</w:t>
      </w:r>
      <w:r w:rsidRPr="00CB1C46">
        <w:t xml:space="preserve"> of February 2011, but that facility suffered major earthquake damage and has been removed. A new trigeneration facility has since been built)</w:t>
      </w:r>
    </w:p>
    <w:p w14:paraId="26713258" w14:textId="77777777" w:rsidR="00660978" w:rsidRPr="00CB1C46" w:rsidRDefault="00660978" w:rsidP="00063737">
      <w:pPr>
        <w:pStyle w:val="Sub-bullet"/>
        <w:numPr>
          <w:ilvl w:val="0"/>
          <w:numId w:val="26"/>
        </w:numPr>
      </w:pPr>
      <w:r w:rsidRPr="00CB1C46">
        <w:t>four wastewater treatment facilities, totalling 12.9 MW. These are all co</w:t>
      </w:r>
      <w:r w:rsidRPr="00CB1C46">
        <w:noBreakHyphen/>
      </w:r>
      <w:r w:rsidRPr="00183945">
        <w:t>generation</w:t>
      </w:r>
      <w:r w:rsidRPr="00CB1C46">
        <w:t xml:space="preserve"> facilities that provide heat and electricity for the processing of sewage.</w:t>
      </w:r>
    </w:p>
    <w:p w14:paraId="5FA5292B" w14:textId="77777777" w:rsidR="00660978" w:rsidRPr="00CB1C46" w:rsidRDefault="00660978" w:rsidP="00660978">
      <w:pPr>
        <w:pStyle w:val="Sub-bullet"/>
        <w:ind w:left="794" w:firstLine="0"/>
      </w:pPr>
      <w:r w:rsidRPr="00CB1C46">
        <w:t>Note: Accurate information is not available on the exact type of generation plant used at these individual facilities, although it is known to be a combination of gas turbines, internal combustion engines and some steam turbine facilities.</w:t>
      </w:r>
    </w:p>
    <w:p w14:paraId="5E29303C" w14:textId="77777777" w:rsidR="00660978" w:rsidRPr="00CB1C46" w:rsidRDefault="00660978" w:rsidP="00660978">
      <w:pPr>
        <w:pStyle w:val="Bullet"/>
      </w:pPr>
      <w:r w:rsidRPr="00CB1C46">
        <w:t xml:space="preserve">Generation </w:t>
      </w:r>
      <w:r w:rsidRPr="00183945">
        <w:t>data</w:t>
      </w:r>
      <w:r w:rsidRPr="00CB1C46">
        <w:t xml:space="preserve"> are collected for each year ending 31 March, with generation assumed to be distributed equally across quarters to estimate December year-end generation.</w:t>
      </w:r>
    </w:p>
    <w:p w14:paraId="6D2C50ED" w14:textId="77777777" w:rsidR="00660978" w:rsidRPr="00CB1C46" w:rsidRDefault="00660978" w:rsidP="00063737">
      <w:pPr>
        <w:pStyle w:val="Sub-bullet"/>
        <w:numPr>
          <w:ilvl w:val="0"/>
          <w:numId w:val="26"/>
        </w:numPr>
      </w:pPr>
      <w:r w:rsidRPr="00CB1C46">
        <w:t xml:space="preserve">Generation data are usually collected from all 15 plants. However, in some years, estimates are made based </w:t>
      </w:r>
      <w:r w:rsidRPr="00183945">
        <w:t>on</w:t>
      </w:r>
      <w:r w:rsidRPr="00CB1C46">
        <w:t xml:space="preserve"> the previous year’s generation.</w:t>
      </w:r>
    </w:p>
    <w:p w14:paraId="582979D9" w14:textId="77777777" w:rsidR="00660978" w:rsidRPr="00CB1C46" w:rsidRDefault="00660978" w:rsidP="00660978">
      <w:pPr>
        <w:pStyle w:val="Bullet"/>
      </w:pPr>
      <w:r w:rsidRPr="00CB1C46">
        <w:t xml:space="preserve">Fuel input information for generation is not collected for small generators (those less than 10 MW), to minimise the burden on respondents and ensure MBIE receives some information rather than nothing. Estimates of fuel input are made on the assumption of 30 per cent efficiency based on gross generation. </w:t>
      </w:r>
    </w:p>
    <w:p w14:paraId="4A346D72" w14:textId="77777777" w:rsidR="00660978" w:rsidRPr="00183945" w:rsidRDefault="00660978" w:rsidP="00063737">
      <w:pPr>
        <w:pStyle w:val="Sub-bullet"/>
        <w:numPr>
          <w:ilvl w:val="0"/>
          <w:numId w:val="26"/>
        </w:numPr>
      </w:pPr>
      <w:r w:rsidRPr="00CB1C46">
        <w:t xml:space="preserve">All generation data collected are assumed to be net generation, that is, parasitic load has already been excluded. They are then scaled up using default net to gross generation factors sourced from the </w:t>
      </w:r>
      <w:r w:rsidRPr="00183945">
        <w:t>International Energy Agency. For all thermal generation, the net to gross factor is assumed to be 1.07 (i.e., an additional 7 per cent of electricity is generated but used within the plant itself). Fuel input estimates are then calculated based on the gross generation using a default electrical efficiency factor of 30 per cent. This estimated quantity of biogas is used as total biogas for energy purposes. Biogas use estimates for landfill gas and sewage waste gas are calculated and reported in petajoules (PJ).</w:t>
      </w:r>
    </w:p>
    <w:p w14:paraId="585792AB" w14:textId="77777777" w:rsidR="00660978" w:rsidRPr="00CB1C46" w:rsidRDefault="00660978" w:rsidP="00063737">
      <w:pPr>
        <w:pStyle w:val="Sub-bullet"/>
        <w:numPr>
          <w:ilvl w:val="0"/>
          <w:numId w:val="26"/>
        </w:numPr>
      </w:pPr>
      <w:r w:rsidRPr="00183945">
        <w:t>Energy quantities</w:t>
      </w:r>
      <w:r w:rsidRPr="00CB1C46">
        <w:t xml:space="preserve"> of gas biomass are then converted into greenhouse gas emissions using default IPCC emission factors. These factors are as follows:</w:t>
      </w:r>
    </w:p>
    <w:p w14:paraId="32A2854F" w14:textId="77777777" w:rsidR="00660978" w:rsidRPr="00CB1C46" w:rsidRDefault="00660978" w:rsidP="00063737">
      <w:pPr>
        <w:pStyle w:val="Bullet"/>
        <w:numPr>
          <w:ilvl w:val="0"/>
          <w:numId w:val="30"/>
        </w:numPr>
      </w:pPr>
      <w:r w:rsidRPr="00CB1C46">
        <w:t>CO</w:t>
      </w:r>
      <w:r w:rsidRPr="00CB1C46">
        <w:rPr>
          <w:vertAlign w:val="subscript"/>
        </w:rPr>
        <w:t>2</w:t>
      </w:r>
      <w:r w:rsidRPr="00CB1C46">
        <w:t xml:space="preserve"> – 13.4</w:t>
      </w:r>
      <w:r w:rsidRPr="00CB1C46">
        <w:rPr>
          <w:sz w:val="16"/>
        </w:rPr>
        <w:t xml:space="preserve"> </w:t>
      </w:r>
      <w:r w:rsidRPr="00CB1C46">
        <w:t>kt carbon/PJ or 49.17</w:t>
      </w:r>
      <w:r w:rsidRPr="00CB1C46">
        <w:rPr>
          <w:sz w:val="16"/>
        </w:rPr>
        <w:t xml:space="preserve"> </w:t>
      </w:r>
      <w:r w:rsidRPr="00CB1C46">
        <w:t>kt CO</w:t>
      </w:r>
      <w:r w:rsidRPr="00CB1C46">
        <w:rPr>
          <w:vertAlign w:val="subscript"/>
        </w:rPr>
        <w:t>2</w:t>
      </w:r>
      <w:r w:rsidRPr="00CB1C46">
        <w:t>/PJ. This is derived from the IPCC default net emission factor (it is assumed that the net emission factor is 10 per cent lower than the gross emission factor)</w:t>
      </w:r>
    </w:p>
    <w:p w14:paraId="1FE103B7" w14:textId="77777777" w:rsidR="00660978" w:rsidRPr="00CB1C46" w:rsidRDefault="00660978" w:rsidP="00063737">
      <w:pPr>
        <w:pStyle w:val="Bullet"/>
        <w:numPr>
          <w:ilvl w:val="0"/>
          <w:numId w:val="30"/>
        </w:numPr>
      </w:pPr>
      <w:r w:rsidRPr="00CB1C46">
        <w:lastRenderedPageBreak/>
        <w:t>methane (CH</w:t>
      </w:r>
      <w:r w:rsidRPr="00CB1C46">
        <w:rPr>
          <w:vertAlign w:val="subscript"/>
        </w:rPr>
        <w:t>4</w:t>
      </w:r>
      <w:r w:rsidRPr="00CB1C46">
        <w:t>) – 0.9 t/PJ</w:t>
      </w:r>
    </w:p>
    <w:p w14:paraId="1658390F" w14:textId="77777777" w:rsidR="00660978" w:rsidRPr="00AF7FAF" w:rsidRDefault="00660978" w:rsidP="00063737">
      <w:pPr>
        <w:pStyle w:val="Bullet"/>
        <w:numPr>
          <w:ilvl w:val="0"/>
          <w:numId w:val="30"/>
        </w:numPr>
        <w:rPr>
          <w:lang w:val="fr-FR"/>
        </w:rPr>
      </w:pPr>
      <w:r w:rsidRPr="00AF7FAF">
        <w:rPr>
          <w:lang w:val="fr-FR"/>
        </w:rPr>
        <w:t>nitrous oxide (N</w:t>
      </w:r>
      <w:r w:rsidRPr="00AF7FAF">
        <w:rPr>
          <w:vertAlign w:val="subscript"/>
          <w:lang w:val="fr-FR"/>
        </w:rPr>
        <w:t>2</w:t>
      </w:r>
      <w:r w:rsidRPr="00AF7FAF">
        <w:rPr>
          <w:lang w:val="fr-FR"/>
        </w:rPr>
        <w:t>O) – 0.09 t/PJ.</w:t>
      </w:r>
    </w:p>
    <w:p w14:paraId="5191A30E" w14:textId="77777777" w:rsidR="00660978" w:rsidRPr="00CB1C46" w:rsidRDefault="00660978" w:rsidP="00660978">
      <w:pPr>
        <w:pStyle w:val="Bullet"/>
      </w:pPr>
      <w:r w:rsidRPr="00CB1C46">
        <w:t>Emissions from gas biomass comprise a very small part of New Zealand’s emissions inventory. Given this situation, MBIE believes the current process is sufficient for estimating emissions from gas biomass. Efforts to improve emissions quality would be better focused on other areas.</w:t>
      </w:r>
    </w:p>
    <w:p w14:paraId="5B29292D" w14:textId="77777777" w:rsidR="00660978" w:rsidRPr="00CB1C46" w:rsidRDefault="00660978" w:rsidP="00960A08">
      <w:pPr>
        <w:pStyle w:val="BodyText"/>
        <w:rPr>
          <w:rFonts w:cs="Calibri"/>
          <w:lang w:eastAsia="en-GB"/>
        </w:rPr>
      </w:pPr>
      <w:r w:rsidRPr="00CB1C46">
        <w:rPr>
          <w:rFonts w:cs="Calibri"/>
          <w:lang w:eastAsia="en-GB"/>
        </w:rPr>
        <w:t xml:space="preserve">Residential and industrial solid biomass activity data are taken from the annual </w:t>
      </w:r>
      <w:r w:rsidRPr="00CB1C46">
        <w:rPr>
          <w:rFonts w:cs="Calibri"/>
          <w:i/>
          <w:lang w:eastAsia="en-GB"/>
        </w:rPr>
        <w:t>Energy in New Zealand</w:t>
      </w:r>
      <w:r w:rsidRPr="00CB1C46">
        <w:rPr>
          <w:rFonts w:cs="Calibri"/>
          <w:lang w:eastAsia="en-GB"/>
        </w:rPr>
        <w:t xml:space="preserve"> publication (MBIE, 2021). The residential values are estimated by MBIE based on information on the proportion of households with wood burning heaters (from Census data) and data from the Building Research Association of New Zealand (BRANZ, 2002) on the average amount of energy used by households that use wood for heating. The industrial biomass estimation is based on the report </w:t>
      </w:r>
      <w:r w:rsidRPr="00CB1C46">
        <w:rPr>
          <w:rFonts w:cs="Calibri"/>
          <w:i/>
          <w:lang w:eastAsia="en-GB"/>
        </w:rPr>
        <w:t xml:space="preserve">Heat Plant in New Zealand </w:t>
      </w:r>
      <w:r w:rsidRPr="00CB1C46">
        <w:rPr>
          <w:rFonts w:cs="Calibri"/>
          <w:lang w:eastAsia="en-GB"/>
        </w:rPr>
        <w:t>(Bioenergy Association of New Zealand, 2011).</w:t>
      </w:r>
    </w:p>
    <w:p w14:paraId="551D7C10" w14:textId="77777777" w:rsidR="00660978" w:rsidRPr="00CB1C46" w:rsidRDefault="00660978" w:rsidP="00960A08">
      <w:pPr>
        <w:pStyle w:val="BodyText"/>
        <w:rPr>
          <w:rFonts w:cs="Calibri"/>
          <w:lang w:eastAsia="en-GB"/>
        </w:rPr>
      </w:pPr>
      <w:r w:rsidRPr="00CB1C46">
        <w:rPr>
          <w:rFonts w:cs="Calibri"/>
          <w:lang w:eastAsia="en-GB"/>
        </w:rPr>
        <w:t xml:space="preserve">Liquid biofuel activity data are based on information collected under the </w:t>
      </w:r>
      <w:r w:rsidRPr="00CB1C46">
        <w:rPr>
          <w:rFonts w:cs="Calibri"/>
          <w:iCs/>
          <w:lang w:eastAsia="en-GB"/>
        </w:rPr>
        <w:t>Petroleum or Engine Fuel Monitoring Levy,</w:t>
      </w:r>
      <w:r w:rsidRPr="00CB1C46">
        <w:rPr>
          <w:rFonts w:cs="Calibri"/>
          <w:lang w:eastAsia="en-GB"/>
        </w:rPr>
        <w:t xml:space="preserve"> as reported in MBIE quarterly online data releases. </w:t>
      </w:r>
    </w:p>
    <w:p w14:paraId="672D4E0C" w14:textId="77777777" w:rsidR="00660978" w:rsidRPr="00960A08" w:rsidRDefault="00660978" w:rsidP="00960A08">
      <w:pPr>
        <w:pStyle w:val="Heading5"/>
      </w:pPr>
      <w:r w:rsidRPr="00CB1C46">
        <w:rPr>
          <w:lang w:eastAsia="en-GB"/>
        </w:rPr>
        <w:t>Electricity auto-production</w:t>
      </w:r>
    </w:p>
    <w:p w14:paraId="50181333" w14:textId="77777777" w:rsidR="00660978" w:rsidRPr="00CB1C46" w:rsidRDefault="00660978" w:rsidP="00960A08">
      <w:pPr>
        <w:pStyle w:val="BodyText"/>
        <w:rPr>
          <w:lang w:eastAsia="en-GB"/>
        </w:rPr>
      </w:pPr>
      <w:r w:rsidRPr="00CB1C46">
        <w:rPr>
          <w:lang w:eastAsia="en-GB"/>
        </w:rPr>
        <w:t xml:space="preserve">All combustion activity for electricity auto-production is allocated into the appropriate </w:t>
      </w:r>
      <w:r w:rsidRPr="00960A08">
        <w:t>manufacturing</w:t>
      </w:r>
      <w:r w:rsidRPr="00CB1C46">
        <w:rPr>
          <w:lang w:eastAsia="en-GB"/>
        </w:rPr>
        <w:t xml:space="preserve"> category. </w:t>
      </w:r>
    </w:p>
    <w:p w14:paraId="46A57A7F" w14:textId="77777777" w:rsidR="00660978" w:rsidRPr="00960A08" w:rsidRDefault="00660978" w:rsidP="00960A08">
      <w:pPr>
        <w:pStyle w:val="Heading4"/>
      </w:pPr>
      <w:r w:rsidRPr="00CB1C46">
        <w:rPr>
          <w:lang w:eastAsia="en-GB"/>
        </w:rPr>
        <w:t>Emission factors</w:t>
      </w:r>
    </w:p>
    <w:p w14:paraId="55593459" w14:textId="77777777" w:rsidR="00660978" w:rsidRPr="00CB1C46" w:rsidRDefault="00660978" w:rsidP="00960A08">
      <w:pPr>
        <w:pStyle w:val="BodyText"/>
        <w:rPr>
          <w:lang w:eastAsia="en-GB"/>
        </w:rPr>
      </w:pPr>
      <w:r w:rsidRPr="00CB1C46">
        <w:rPr>
          <w:lang w:eastAsia="en-GB"/>
        </w:rPr>
        <w:t>New Zealand emission factors are based on gross calorific values. A list of emission factors for CO</w:t>
      </w:r>
      <w:r w:rsidRPr="00CB1C46">
        <w:rPr>
          <w:vertAlign w:val="subscript"/>
          <w:lang w:eastAsia="en-GB"/>
        </w:rPr>
        <w:t>2</w:t>
      </w:r>
      <w:r w:rsidRPr="00CB1C46">
        <w:rPr>
          <w:lang w:eastAsia="en-GB"/>
        </w:rPr>
        <w:t xml:space="preserve">, </w:t>
      </w:r>
      <w:r w:rsidRPr="00CB1C46">
        <w:t>CH</w:t>
      </w:r>
      <w:r w:rsidRPr="00CB1C46">
        <w:rPr>
          <w:vertAlign w:val="subscript"/>
        </w:rPr>
        <w:t>4</w:t>
      </w:r>
      <w:r w:rsidRPr="00CB1C46">
        <w:rPr>
          <w:lang w:eastAsia="en-GB"/>
        </w:rPr>
        <w:t xml:space="preserve"> and </w:t>
      </w:r>
      <w:r w:rsidRPr="00CB1C46">
        <w:t>N</w:t>
      </w:r>
      <w:r w:rsidRPr="00CB1C46">
        <w:rPr>
          <w:vertAlign w:val="subscript"/>
        </w:rPr>
        <w:t>2</w:t>
      </w:r>
      <w:r w:rsidRPr="00CB1C46">
        <w:t>O</w:t>
      </w:r>
      <w:r w:rsidRPr="00CB1C46">
        <w:rPr>
          <w:lang w:eastAsia="en-GB"/>
        </w:rPr>
        <w:t xml:space="preserve"> for all fuel types is provided in annex 4, tables A4.1 to A4.4. The characteristics of liquid, solid and gaseous fuels and biomass used in New Zealand are described under each of the fuel sections below. Where a New Zealand-specific value is not available, New Zealand uses either the IPCC value that best reflects New Zealand conditions or the mid-point value from the IPCC range. All emission factors from the IPCC are converted from net calorific value to gross calorific value. New Zealand adopts the Organisation for Economic Co-operation and Development and International Energy Agency assumptions to make these conversions.</w:t>
      </w:r>
    </w:p>
    <w:p w14:paraId="5A3A2ED8" w14:textId="77777777" w:rsidR="00660978" w:rsidRPr="00CB1C46" w:rsidRDefault="00660978" w:rsidP="00660978">
      <w:pPr>
        <w:pStyle w:val="Bullet"/>
        <w:tabs>
          <w:tab w:val="left" w:pos="2552"/>
        </w:tabs>
      </w:pPr>
      <w:r w:rsidRPr="00CB1C46">
        <w:t xml:space="preserve">Gaseous fuels: </w:t>
      </w:r>
      <w:r w:rsidRPr="00CB1C46">
        <w:tab/>
        <w:t>Gross Emission Factor = 0.90 × Net Emission Factor</w:t>
      </w:r>
    </w:p>
    <w:p w14:paraId="0523FF9F" w14:textId="77777777" w:rsidR="00660978" w:rsidRPr="00CB1C46" w:rsidRDefault="00660978" w:rsidP="00660978">
      <w:pPr>
        <w:pStyle w:val="Bullet"/>
        <w:tabs>
          <w:tab w:val="left" w:pos="2552"/>
        </w:tabs>
      </w:pPr>
      <w:r w:rsidRPr="00CB1C46">
        <w:t>Liquid and solid fuels:</w:t>
      </w:r>
      <w:r w:rsidRPr="00CB1C46">
        <w:tab/>
        <w:t>Gross Emission Factor = 0.95 × Net Emission Factor</w:t>
      </w:r>
    </w:p>
    <w:p w14:paraId="5112207F" w14:textId="77777777" w:rsidR="00660978" w:rsidRPr="00CB1C46" w:rsidRDefault="00660978" w:rsidP="00660978">
      <w:pPr>
        <w:pStyle w:val="Bullet"/>
        <w:tabs>
          <w:tab w:val="left" w:pos="2552"/>
        </w:tabs>
      </w:pPr>
      <w:r w:rsidRPr="00CB1C46">
        <w:t>Wood:</w:t>
      </w:r>
      <w:r w:rsidRPr="00CB1C46">
        <w:tab/>
        <w:t>Gross Emission Factor = 0.80 × Net Emission Factor</w:t>
      </w:r>
    </w:p>
    <w:p w14:paraId="3F7588A5" w14:textId="77777777" w:rsidR="00660978" w:rsidRPr="00960A08" w:rsidRDefault="00660978" w:rsidP="00960A08">
      <w:pPr>
        <w:pStyle w:val="Heading5"/>
      </w:pPr>
      <w:r w:rsidRPr="00CB1C46">
        <w:rPr>
          <w:lang w:eastAsia="en-GB"/>
        </w:rPr>
        <w:t>Liquid fuels</w:t>
      </w:r>
    </w:p>
    <w:p w14:paraId="1B07F9FC" w14:textId="77777777" w:rsidR="00660978" w:rsidRPr="00CB1C46" w:rsidRDefault="00660978" w:rsidP="00960A08">
      <w:pPr>
        <w:pStyle w:val="BodyText"/>
        <w:rPr>
          <w:lang w:eastAsia="en-GB"/>
        </w:rPr>
      </w:pPr>
      <w:r w:rsidRPr="00CB1C46">
        <w:rPr>
          <w:lang w:eastAsia="en-GB"/>
        </w:rPr>
        <w:t>Where possible, CO</w:t>
      </w:r>
      <w:r w:rsidRPr="00CB1C46">
        <w:rPr>
          <w:vertAlign w:val="subscript"/>
          <w:lang w:eastAsia="en-GB"/>
        </w:rPr>
        <w:t>2</w:t>
      </w:r>
      <w:r w:rsidRPr="00CB1C46">
        <w:rPr>
          <w:lang w:eastAsia="en-GB"/>
        </w:rPr>
        <w:t xml:space="preserve"> emission factors for liquid fuels are calculated on an annual basis. Carbon dioxide emission factors are calculated from Refining New Zealand data on the carbon content and calorific values of the fuels that they produce. For non-CO</w:t>
      </w:r>
      <w:r w:rsidRPr="00CB1C46">
        <w:rPr>
          <w:vertAlign w:val="subscript"/>
          <w:lang w:eastAsia="en-GB"/>
        </w:rPr>
        <w:t>2</w:t>
      </w:r>
      <w:r w:rsidRPr="00CB1C46">
        <w:rPr>
          <w:lang w:eastAsia="en-GB"/>
        </w:rPr>
        <w:t xml:space="preserve"> emissions, IPCC default values are used unless otherwise specified in the relevant section. Annex 4, section A4.1, includes further information on liquid </w:t>
      </w:r>
      <w:r w:rsidRPr="00960A08">
        <w:t>fuel</w:t>
      </w:r>
      <w:r w:rsidRPr="00CB1C46">
        <w:rPr>
          <w:lang w:eastAsia="en-GB"/>
        </w:rPr>
        <w:t xml:space="preserve"> emission factors, including a time series of gross calorific values.</w:t>
      </w:r>
    </w:p>
    <w:p w14:paraId="1C0DFC6F" w14:textId="77777777" w:rsidR="00660978" w:rsidRPr="00960A08" w:rsidRDefault="00660978" w:rsidP="00960A08">
      <w:pPr>
        <w:pStyle w:val="Heading5"/>
      </w:pPr>
      <w:r w:rsidRPr="00CB1C46">
        <w:rPr>
          <w:lang w:eastAsia="en-GB"/>
        </w:rPr>
        <w:lastRenderedPageBreak/>
        <w:t>Solid fuels</w:t>
      </w:r>
    </w:p>
    <w:p w14:paraId="5F99F787" w14:textId="77777777" w:rsidR="00660978" w:rsidRPr="00CB1C46" w:rsidRDefault="00660978" w:rsidP="00960A08">
      <w:pPr>
        <w:pStyle w:val="BodyText"/>
        <w:rPr>
          <w:lang w:eastAsia="en-GB"/>
        </w:rPr>
      </w:pPr>
      <w:r w:rsidRPr="00CB1C46">
        <w:rPr>
          <w:lang w:eastAsia="en-GB"/>
        </w:rPr>
        <w:t xml:space="preserve">Emission factors for solid fuels </w:t>
      </w:r>
      <w:r w:rsidRPr="00960A08">
        <w:t>were</w:t>
      </w:r>
      <w:r w:rsidRPr="00CB1C46">
        <w:rPr>
          <w:lang w:eastAsia="en-GB"/>
        </w:rPr>
        <w:t xml:space="preserve"> updated for the 2016 submission across the time series from 1990 to 2008, in response to a 2013 ERT recommendation (FCCC/ARR/2013/NZL, paragraph 32) (UNFCCC, 2014). A comprehensive list of carbon content by coal mine is not currently available. A review of New Zealand’s coal emission factors in preparation for the </w:t>
      </w:r>
      <w:r w:rsidRPr="00CB1C46">
        <w:t>New Zealand Emissions Trading Scheme</w:t>
      </w:r>
      <w:r w:rsidRPr="00CB1C46">
        <w:rPr>
          <w:lang w:eastAsia="en-GB"/>
        </w:rPr>
        <w:t xml:space="preserve"> (NZ ETS) (CRL Energy Ltd, 2009) recommended re</w:t>
      </w:r>
      <w:r w:rsidRPr="00CB1C46">
        <w:rPr>
          <w:lang w:eastAsia="en-GB"/>
        </w:rPr>
        <w:noBreakHyphen/>
        <w:t xml:space="preserve">weighting the current default emission factors to 2007 production rather than continuing with those in the </w:t>
      </w:r>
      <w:r w:rsidRPr="00CB1C46">
        <w:rPr>
          <w:i/>
          <w:lang w:eastAsia="en-GB"/>
        </w:rPr>
        <w:t xml:space="preserve">New Zealand Energy Information Handbook </w:t>
      </w:r>
      <w:r w:rsidRPr="00CB1C46">
        <w:rPr>
          <w:lang w:eastAsia="en-GB"/>
        </w:rPr>
        <w:t xml:space="preserve">(Baines, 1993). However, following the recommendation of the ERT review of New Zealand’s 2013 submission (FCCC/ARR/2013/NZL, paragraph 32) (UNFCCC, 2014), the emission factors between 1990 and 2008 have been interpolated. </w:t>
      </w:r>
    </w:p>
    <w:p w14:paraId="30B9E1A4" w14:textId="77777777" w:rsidR="00660978" w:rsidRPr="00CB1C46" w:rsidRDefault="00660978" w:rsidP="00660978">
      <w:pPr>
        <w:pStyle w:val="BodyText"/>
        <w:spacing w:before="100" w:after="100"/>
        <w:rPr>
          <w:rFonts w:cs="Calibri"/>
          <w:lang w:eastAsia="en-GB"/>
        </w:rPr>
      </w:pPr>
      <w:r w:rsidRPr="00CB1C46">
        <w:rPr>
          <w:rFonts w:cs="Calibri"/>
          <w:lang w:eastAsia="en-GB"/>
        </w:rPr>
        <w:t>Also, the emission factor used to calculate emissions from coal use in the public electricity and heat production sector has been weighted to reflect the combustion of imported coal. A time series of the effect of this weighting is included in annex 4 (table A4.2).</w:t>
      </w:r>
    </w:p>
    <w:p w14:paraId="6612241F" w14:textId="77777777" w:rsidR="00660978" w:rsidRPr="00CB1C46" w:rsidRDefault="00660978" w:rsidP="00660978">
      <w:pPr>
        <w:pStyle w:val="Heading5"/>
        <w:rPr>
          <w:rFonts w:cs="Calibri"/>
          <w:lang w:eastAsia="en-GB"/>
        </w:rPr>
      </w:pPr>
      <w:r w:rsidRPr="00CB1C46">
        <w:rPr>
          <w:rFonts w:cs="Calibri"/>
          <w:lang w:eastAsia="en-GB"/>
        </w:rPr>
        <w:t>Gaseous fuels</w:t>
      </w:r>
    </w:p>
    <w:p w14:paraId="6100A768" w14:textId="77777777" w:rsidR="00660978" w:rsidRPr="00CB1C46" w:rsidRDefault="00660978" w:rsidP="00660978">
      <w:pPr>
        <w:pStyle w:val="BodyText"/>
        <w:spacing w:after="100"/>
        <w:rPr>
          <w:rFonts w:cs="Calibri"/>
          <w:lang w:eastAsia="en-GB"/>
        </w:rPr>
      </w:pPr>
      <w:r w:rsidRPr="00CB1C46">
        <w:rPr>
          <w:rFonts w:cs="Calibri"/>
          <w:lang w:eastAsia="en-GB"/>
        </w:rPr>
        <w:t>New Zealand’s gaseous fuel emission factors are above the IPCC 2006 default range, because New Zealand natural gas fields tend to have higher CO</w:t>
      </w:r>
      <w:r w:rsidRPr="00CB1C46">
        <w:rPr>
          <w:rFonts w:cs="Calibri"/>
          <w:vertAlign w:val="subscript"/>
          <w:lang w:eastAsia="en-GB"/>
        </w:rPr>
        <w:t>2</w:t>
      </w:r>
      <w:r w:rsidRPr="00CB1C46">
        <w:rPr>
          <w:rFonts w:cs="Calibri"/>
          <w:lang w:eastAsia="en-GB"/>
        </w:rPr>
        <w:t xml:space="preserve"> content than most international gas fields. This is verified by regular gas composition analysis. Emission factors for 2020 from all fields, along with the production weighted average, are included in annex 4.</w:t>
      </w:r>
    </w:p>
    <w:p w14:paraId="71231B11" w14:textId="77777777" w:rsidR="00660978" w:rsidRPr="00CB1C46" w:rsidRDefault="00660978" w:rsidP="00660978">
      <w:pPr>
        <w:pStyle w:val="BodyText"/>
        <w:spacing w:after="100"/>
        <w:rPr>
          <w:rFonts w:cs="Calibri"/>
          <w:lang w:eastAsia="en-GB"/>
        </w:rPr>
      </w:pPr>
      <w:r w:rsidRPr="00CB1C46">
        <w:rPr>
          <w:rFonts w:cs="Calibri"/>
          <w:lang w:eastAsia="en-GB"/>
        </w:rPr>
        <w:t>The annual gaseous fuel emission factor is the calculated weighted average for all of the natural gas production fields. The emission factor takes into account gas compositional data from all gas fields. This method provides increased accuracy because the decline in production from both the Maui and Kapuni gas fields has been replaced by other new gas fields (for example, Pohokura) coming on-stream. This emission factor fluctuates slightly from year to year, mainly due to the relative production volume at different gas fields in a given year.</w:t>
      </w:r>
    </w:p>
    <w:p w14:paraId="6AD256A8" w14:textId="77777777" w:rsidR="00660978" w:rsidRPr="00CB1C46" w:rsidRDefault="00660978" w:rsidP="00660978">
      <w:pPr>
        <w:pStyle w:val="BodyText"/>
        <w:spacing w:after="100"/>
        <w:rPr>
          <w:rFonts w:cs="Calibri"/>
          <w:lang w:eastAsia="en-GB"/>
        </w:rPr>
      </w:pPr>
      <w:r w:rsidRPr="00CB1C46">
        <w:rPr>
          <w:rFonts w:cs="Calibri"/>
          <w:lang w:eastAsia="en-GB"/>
        </w:rPr>
        <w:t>The Kapuni gas field has particularly high CO</w:t>
      </w:r>
      <w:r w:rsidRPr="00CB1C46">
        <w:rPr>
          <w:rFonts w:cs="Calibri"/>
          <w:vertAlign w:val="subscript"/>
          <w:lang w:eastAsia="en-GB"/>
        </w:rPr>
        <w:t xml:space="preserve">2 </w:t>
      </w:r>
      <w:r w:rsidRPr="00CB1C46">
        <w:rPr>
          <w:rFonts w:cs="Calibri"/>
          <w:lang w:eastAsia="en-GB"/>
        </w:rPr>
        <w:t>content. Historically, this field has been valued by the petrochemicals industry as a feedstock. However, most of the gas from this field is now treated, and the excess CO</w:t>
      </w:r>
      <w:r w:rsidRPr="00CB1C46">
        <w:rPr>
          <w:rFonts w:cs="Calibri"/>
          <w:vertAlign w:val="subscript"/>
          <w:lang w:eastAsia="en-GB"/>
        </w:rPr>
        <w:t>2</w:t>
      </w:r>
      <w:r w:rsidRPr="00CB1C46">
        <w:rPr>
          <w:rFonts w:cs="Calibri"/>
          <w:lang w:eastAsia="en-GB"/>
        </w:rPr>
        <w:t xml:space="preserve"> is removed at the Kapuni Gas Treatment Plant. Consequently, separate emission factors were used to calculate emissions from Kapuni treated and untreated gas, due to the difference in carbon content (see annex 4, table A4.1). Carbon dioxide removed from raw Kapuni gas then vented is reported under 1.B.2.c</w:t>
      </w:r>
      <w:r>
        <w:rPr>
          <w:rFonts w:cs="Calibri"/>
          <w:lang w:eastAsia="en-GB"/>
        </w:rPr>
        <w:t xml:space="preserve"> </w:t>
      </w:r>
      <w:r w:rsidRPr="00A070F2">
        <w:rPr>
          <w:rFonts w:cs="Calibri"/>
          <w:i/>
          <w:iCs/>
          <w:lang w:eastAsia="en-GB"/>
        </w:rPr>
        <w:t>Venting and flaring</w:t>
      </w:r>
      <w:r w:rsidRPr="00CB1C46">
        <w:rPr>
          <w:rFonts w:cs="Calibri"/>
          <w:lang w:eastAsia="en-GB"/>
        </w:rPr>
        <w:t>.</w:t>
      </w:r>
    </w:p>
    <w:p w14:paraId="2253520F" w14:textId="77777777" w:rsidR="00660978" w:rsidRPr="00CB1C46" w:rsidRDefault="00660978" w:rsidP="00660978">
      <w:pPr>
        <w:pStyle w:val="Heading5"/>
        <w:rPr>
          <w:rFonts w:cs="Calibri"/>
          <w:lang w:eastAsia="en-GB"/>
        </w:rPr>
      </w:pPr>
      <w:r w:rsidRPr="00CB1C46">
        <w:rPr>
          <w:rFonts w:cs="Calibri"/>
          <w:lang w:eastAsia="en-GB"/>
        </w:rPr>
        <w:t>Biomass</w:t>
      </w:r>
    </w:p>
    <w:p w14:paraId="717FD9FF" w14:textId="77777777" w:rsidR="00660978" w:rsidRPr="00CB1C46" w:rsidRDefault="00660978" w:rsidP="00660978">
      <w:pPr>
        <w:pStyle w:val="BodyText"/>
        <w:spacing w:after="100"/>
        <w:rPr>
          <w:rFonts w:cs="Calibri"/>
          <w:lang w:eastAsia="en-GB"/>
        </w:rPr>
      </w:pPr>
      <w:r w:rsidRPr="00CB1C46">
        <w:rPr>
          <w:rFonts w:cs="Calibri"/>
          <w:lang w:eastAsia="en-GB"/>
        </w:rPr>
        <w:t xml:space="preserve">The emission factors for wood combustion are calculated from the IPCC 2006 default emission factors. This assumes that the net calorific value is 20 per cent lower than the gross calorific value (IPCC, 2006). Carbon dioxide emissions from wood used for energy production are reported as a memo item and are not included in the estimate of New Zealand’s total greenhouse gas emissions (IPCC, 2006). Carbon dioxide emission factors for liquid biofuels are sourced from the </w:t>
      </w:r>
      <w:r w:rsidRPr="00CB1C46">
        <w:rPr>
          <w:rFonts w:cs="Calibri"/>
          <w:i/>
          <w:iCs/>
          <w:lang w:eastAsia="en-GB"/>
        </w:rPr>
        <w:t xml:space="preserve">New Zealand Energy Information Handbook </w:t>
      </w:r>
      <w:r w:rsidRPr="00CB1C46">
        <w:rPr>
          <w:rFonts w:cs="Calibri"/>
          <w:lang w:eastAsia="en-GB"/>
        </w:rPr>
        <w:t xml:space="preserve">(Baines, 1993), while </w:t>
      </w:r>
      <w:r w:rsidRPr="00CB1C46">
        <w:rPr>
          <w:rFonts w:cs="Calibri"/>
        </w:rPr>
        <w:t>CH</w:t>
      </w:r>
      <w:r w:rsidRPr="00CB1C46">
        <w:rPr>
          <w:rFonts w:cs="Calibri"/>
          <w:vertAlign w:val="subscript"/>
        </w:rPr>
        <w:t>4</w:t>
      </w:r>
      <w:r w:rsidRPr="00CB1C46">
        <w:rPr>
          <w:rFonts w:cs="Calibri"/>
          <w:lang w:eastAsia="en-GB"/>
        </w:rPr>
        <w:t xml:space="preserve"> and </w:t>
      </w:r>
      <w:r w:rsidRPr="00CB1C46">
        <w:rPr>
          <w:rFonts w:cs="Calibri"/>
        </w:rPr>
        <w:t>N</w:t>
      </w:r>
      <w:r w:rsidRPr="00CB1C46">
        <w:rPr>
          <w:rFonts w:cs="Calibri"/>
          <w:vertAlign w:val="subscript"/>
        </w:rPr>
        <w:t>2</w:t>
      </w:r>
      <w:r w:rsidRPr="00CB1C46">
        <w:rPr>
          <w:rFonts w:cs="Calibri"/>
        </w:rPr>
        <w:t>O</w:t>
      </w:r>
      <w:r w:rsidRPr="00CB1C46">
        <w:rPr>
          <w:rFonts w:cs="Calibri"/>
          <w:lang w:eastAsia="en-GB"/>
        </w:rPr>
        <w:t xml:space="preserve"> emission factors are IPCC 2006 default emission factors.</w:t>
      </w:r>
    </w:p>
    <w:p w14:paraId="50DAEF97" w14:textId="77777777" w:rsidR="00660978" w:rsidRPr="00CB1C46" w:rsidRDefault="00660978" w:rsidP="00660978">
      <w:pPr>
        <w:pStyle w:val="Heading3"/>
        <w:rPr>
          <w:rFonts w:cs="Calibri"/>
          <w:lang w:eastAsia="en-GB"/>
        </w:rPr>
      </w:pPr>
      <w:r w:rsidRPr="00CB1C46">
        <w:rPr>
          <w:rFonts w:cs="Calibri"/>
          <w:lang w:eastAsia="en-GB"/>
        </w:rPr>
        <w:t xml:space="preserve">3.3.2 </w:t>
      </w:r>
      <w:r w:rsidRPr="00CB1C46">
        <w:rPr>
          <w:rFonts w:cs="Calibri"/>
          <w:lang w:eastAsia="en-GB"/>
        </w:rPr>
        <w:tab/>
        <w:t>Sector-wide improvements</w:t>
      </w:r>
    </w:p>
    <w:p w14:paraId="7A2659AE" w14:textId="77777777" w:rsidR="00660978" w:rsidRPr="00CB1C46" w:rsidRDefault="00660978" w:rsidP="00660978">
      <w:pPr>
        <w:pStyle w:val="BodyText"/>
        <w:spacing w:after="100"/>
        <w:rPr>
          <w:rFonts w:cs="Calibri"/>
          <w:lang w:eastAsia="en-GB"/>
        </w:rPr>
      </w:pPr>
      <w:r w:rsidRPr="00CB1C46">
        <w:rPr>
          <w:rFonts w:cs="Calibri"/>
          <w:lang w:eastAsia="en-GB"/>
        </w:rPr>
        <w:t>After significant work to upgrade the oil and gas data system, data for naphtha, lubricants and petroleum coke have been disaggregated and are now reported separately in the reference approach.</w:t>
      </w:r>
    </w:p>
    <w:p w14:paraId="2C4B62A5" w14:textId="77777777" w:rsidR="00660978" w:rsidRPr="00CB1C46" w:rsidRDefault="00660978" w:rsidP="00660978">
      <w:pPr>
        <w:pStyle w:val="BodyText"/>
        <w:spacing w:after="100"/>
        <w:rPr>
          <w:rFonts w:cs="Calibri"/>
          <w:lang w:eastAsia="en-GB"/>
        </w:rPr>
      </w:pPr>
      <w:r w:rsidRPr="00CB1C46">
        <w:rPr>
          <w:rFonts w:cs="Calibri"/>
          <w:lang w:eastAsia="en-GB"/>
        </w:rPr>
        <w:lastRenderedPageBreak/>
        <w:t xml:space="preserve">The system for tracking and calculating emissions within the Energy sector was previously migrated to the R programming language. </w:t>
      </w:r>
      <w:r w:rsidRPr="00CB1C46">
        <w:rPr>
          <w:rFonts w:cs="Calibri"/>
        </w:rPr>
        <w:t>A further project to streamline and</w:t>
      </w:r>
      <w:r>
        <w:rPr>
          <w:rFonts w:cs="Calibri"/>
        </w:rPr>
        <w:t xml:space="preserve"> </w:t>
      </w:r>
      <w:r w:rsidRPr="00CB1C46">
        <w:rPr>
          <w:rFonts w:cs="Calibri"/>
        </w:rPr>
        <w:t>simplify the greenhouse gas reporting data system was completed in 2021. This project identified a number of minor inconsistencies and bugs that were addressed. Several upstream data systems, including the energy balance tables, have also been translated into the R programming language.</w:t>
      </w:r>
      <w:r>
        <w:rPr>
          <w:rFonts w:cs="Calibri"/>
        </w:rPr>
        <w:t xml:space="preserve"> </w:t>
      </w:r>
    </w:p>
    <w:p w14:paraId="63142649" w14:textId="77777777" w:rsidR="00660978" w:rsidRPr="00CB1C46" w:rsidRDefault="00660978" w:rsidP="00660978">
      <w:pPr>
        <w:pStyle w:val="BodyText"/>
        <w:rPr>
          <w:rFonts w:cs="Calibri"/>
          <w:lang w:eastAsia="en-GB"/>
        </w:rPr>
      </w:pPr>
      <w:r w:rsidRPr="00CB1C46">
        <w:rPr>
          <w:rFonts w:cs="Calibri"/>
        </w:rPr>
        <w:t>All source-specific improvements are discussed in their corresponding sections.</w:t>
      </w:r>
    </w:p>
    <w:p w14:paraId="170DB043" w14:textId="77777777" w:rsidR="00660978" w:rsidRPr="00CB1C46" w:rsidRDefault="00660978" w:rsidP="00660978">
      <w:pPr>
        <w:pStyle w:val="Heading3"/>
        <w:rPr>
          <w:rFonts w:cs="Calibri"/>
        </w:rPr>
      </w:pPr>
      <w:r w:rsidRPr="00CB1C46">
        <w:rPr>
          <w:rFonts w:cs="Calibri"/>
        </w:rPr>
        <w:t>3.3.3</w:t>
      </w:r>
      <w:r w:rsidRPr="00CB1C46">
        <w:rPr>
          <w:rFonts w:cs="Calibri"/>
        </w:rPr>
        <w:tab/>
        <w:t>Sector-wide planned improvements</w:t>
      </w:r>
    </w:p>
    <w:p w14:paraId="032FC9D8" w14:textId="77777777" w:rsidR="00660978" w:rsidRPr="00CB1C46" w:rsidRDefault="00660978" w:rsidP="00660978">
      <w:pPr>
        <w:pStyle w:val="BodyText"/>
        <w:rPr>
          <w:rFonts w:cs="Calibri"/>
        </w:rPr>
      </w:pPr>
      <w:r w:rsidRPr="00CB1C46">
        <w:rPr>
          <w:rFonts w:cs="Calibri"/>
        </w:rPr>
        <w:t>Work is progressing well on the construction of a new comprehensive fuel properties data management system. It is expected to be commissioned before New Zealand’s next submission.</w:t>
      </w:r>
    </w:p>
    <w:p w14:paraId="5B5F0C3A" w14:textId="77777777" w:rsidR="00660978" w:rsidRPr="00CB1C46" w:rsidRDefault="00660978" w:rsidP="00660978">
      <w:pPr>
        <w:pStyle w:val="BodyText"/>
        <w:rPr>
          <w:rFonts w:cs="Calibri"/>
        </w:rPr>
      </w:pPr>
      <w:r w:rsidRPr="00CB1C46">
        <w:rPr>
          <w:rFonts w:cs="Calibri"/>
        </w:rPr>
        <w:t xml:space="preserve">All source-specific planned improvements are discussed in their corresponding sections. </w:t>
      </w:r>
    </w:p>
    <w:p w14:paraId="68650614" w14:textId="77777777" w:rsidR="00660978" w:rsidRPr="00CB1C46" w:rsidRDefault="00660978" w:rsidP="00660978">
      <w:pPr>
        <w:pStyle w:val="Heading3"/>
        <w:rPr>
          <w:rFonts w:cs="Calibri"/>
        </w:rPr>
      </w:pPr>
      <w:r w:rsidRPr="00CB1C46">
        <w:rPr>
          <w:rFonts w:cs="Calibri"/>
        </w:rPr>
        <w:t>3.3.4</w:t>
      </w:r>
      <w:r w:rsidRPr="00CB1C46">
        <w:rPr>
          <w:rFonts w:cs="Calibri"/>
        </w:rPr>
        <w:tab/>
        <w:t>Sector-wide quality assurance and quality control (QA/QC)</w:t>
      </w:r>
    </w:p>
    <w:p w14:paraId="06A72B86" w14:textId="77777777" w:rsidR="00660978" w:rsidRPr="00CB1C46" w:rsidRDefault="00660978" w:rsidP="00660978">
      <w:pPr>
        <w:pStyle w:val="BodyText"/>
        <w:rPr>
          <w:rFonts w:cs="Calibri"/>
        </w:rPr>
      </w:pPr>
      <w:r w:rsidRPr="00CB1C46">
        <w:rPr>
          <w:rFonts w:cs="Calibri"/>
          <w:lang w:eastAsia="en-GB"/>
        </w:rPr>
        <w:t xml:space="preserve">In the preparation of this inventory, the </w:t>
      </w:r>
      <w:r w:rsidRPr="00CB1C46">
        <w:rPr>
          <w:rFonts w:cs="Calibri"/>
          <w:i/>
          <w:lang w:eastAsia="en-GB"/>
        </w:rPr>
        <w:t>Fugitive</w:t>
      </w:r>
      <w:r w:rsidRPr="00CB1C46">
        <w:rPr>
          <w:rFonts w:cs="Calibri"/>
          <w:lang w:eastAsia="en-GB"/>
        </w:rPr>
        <w:t xml:space="preserve"> category underwent Tier 1 quality-assurance and quality-control checks, as recommended in the 2006 IPCC Guidelines. These include regular control sums throughout systems to verify system integrity, time-series consistency checks on activity data and consistency checks on implied emission factors at the industry–plant level, where possible. </w:t>
      </w:r>
      <w:r w:rsidRPr="00CB1C46">
        <w:rPr>
          <w:rFonts w:cs="Calibri"/>
        </w:rPr>
        <w:t>Figure 3.3.2</w:t>
      </w:r>
      <w:r w:rsidRPr="00CB1C46">
        <w:rPr>
          <w:rFonts w:cs="Calibri"/>
          <w:lang w:eastAsia="en-GB"/>
        </w:rPr>
        <w:t xml:space="preserve"> describes the quality control process map for the Energy sector.</w:t>
      </w:r>
    </w:p>
    <w:p w14:paraId="563D69A1" w14:textId="2D1397CC" w:rsidR="00660978" w:rsidRPr="00CB1C46" w:rsidRDefault="00660978" w:rsidP="00660978">
      <w:pPr>
        <w:pStyle w:val="Figure"/>
        <w:rPr>
          <w:rFonts w:cs="Calibri"/>
        </w:rPr>
      </w:pPr>
      <w:bookmarkStart w:id="240" w:name="_Ref442370883"/>
      <w:bookmarkStart w:id="241" w:name="_Toc384582852"/>
      <w:bookmarkStart w:id="242" w:name="_Ref442370874"/>
      <w:bookmarkStart w:id="243" w:name="_Toc443060812"/>
      <w:bookmarkStart w:id="244" w:name="_Toc447275669"/>
      <w:bookmarkStart w:id="245" w:name="_Toc481751987"/>
      <w:bookmarkStart w:id="246" w:name="_Toc36292771"/>
      <w:bookmarkStart w:id="247" w:name="_Toc68786636"/>
      <w:bookmarkStart w:id="248" w:name="_Toc95834071"/>
      <w:bookmarkStart w:id="249" w:name="_Toc99696016"/>
      <w:r w:rsidRPr="00CB1C46">
        <w:rPr>
          <w:rFonts w:cs="Calibri"/>
        </w:rPr>
        <w:lastRenderedPageBreak/>
        <w:t>Figure 3.3.</w:t>
      </w:r>
      <w:r w:rsidRPr="00CB1C46">
        <w:rPr>
          <w:rFonts w:cs="Calibri"/>
        </w:rPr>
        <w:fldChar w:fldCharType="begin"/>
      </w:r>
      <w:r w:rsidRPr="00CB1C46">
        <w:rPr>
          <w:rFonts w:cs="Calibri"/>
        </w:rPr>
        <w:instrText xml:space="preserve"> SEQ Figure \* ARABIC \s 2 </w:instrText>
      </w:r>
      <w:r w:rsidRPr="00CB1C46">
        <w:rPr>
          <w:rFonts w:cs="Calibri"/>
        </w:rPr>
        <w:fldChar w:fldCharType="separate"/>
      </w:r>
      <w:r w:rsidR="009D338D">
        <w:rPr>
          <w:rFonts w:cs="Calibri"/>
          <w:noProof/>
        </w:rPr>
        <w:t>2</w:t>
      </w:r>
      <w:r w:rsidRPr="00CB1C46">
        <w:rPr>
          <w:rFonts w:cs="Calibri"/>
        </w:rPr>
        <w:fldChar w:fldCharType="end"/>
      </w:r>
      <w:bookmarkEnd w:id="240"/>
      <w:r w:rsidRPr="00CB1C46">
        <w:rPr>
          <w:rFonts w:cs="Calibri"/>
        </w:rPr>
        <w:t xml:space="preserve"> </w:t>
      </w:r>
      <w:r w:rsidRPr="00CB1C46">
        <w:rPr>
          <w:rFonts w:cs="Calibri"/>
        </w:rPr>
        <w:tab/>
        <w:t>Energy sector quality control process map</w:t>
      </w:r>
      <w:bookmarkEnd w:id="241"/>
      <w:bookmarkEnd w:id="242"/>
      <w:bookmarkEnd w:id="243"/>
      <w:bookmarkEnd w:id="244"/>
      <w:bookmarkEnd w:id="245"/>
      <w:bookmarkEnd w:id="246"/>
      <w:bookmarkEnd w:id="247"/>
      <w:bookmarkEnd w:id="248"/>
      <w:bookmarkEnd w:id="249"/>
      <w:r w:rsidR="00D31679">
        <w:rPr>
          <w:rFonts w:cs="Calibri"/>
        </w:rPr>
        <w:t xml:space="preserve"> </w:t>
      </w:r>
    </w:p>
    <w:p w14:paraId="0D0A16F0" w14:textId="0FA28091" w:rsidR="00660978" w:rsidRPr="00CB1C46" w:rsidRDefault="00D31679" w:rsidP="00660978">
      <w:pPr>
        <w:spacing w:after="120"/>
        <w:rPr>
          <w:rFonts w:cs="Calibri"/>
        </w:rPr>
      </w:pPr>
      <w:r w:rsidRPr="00CB1C46">
        <w:rPr>
          <w:rFonts w:cs="Calibri"/>
        </w:rPr>
        <w:object w:dxaOrig="11532" w:dyaOrig="14473" w14:anchorId="559492D7">
          <v:shape id="_x0000_i1049" type="#_x0000_t75" style="width:413.6pt;height:510.7pt" o:ole="">
            <v:imagedata r:id="rId59" o:title="" croptop="3449f" cropbottom="509f"/>
          </v:shape>
          <o:OLEObject Type="Embed" ProgID="Visio.Drawing.11" ShapeID="_x0000_i1049" DrawAspect="Content" ObjectID="_1710830377" r:id="rId60"/>
        </w:object>
      </w:r>
    </w:p>
    <w:p w14:paraId="571EB9AC" w14:textId="77777777" w:rsidR="00660978" w:rsidRPr="00CB1C46" w:rsidRDefault="00660978" w:rsidP="00D31679">
      <w:pPr>
        <w:pStyle w:val="BodyText"/>
        <w:spacing w:before="100" w:after="100"/>
        <w:rPr>
          <w:rFonts w:cs="Calibri"/>
        </w:rPr>
      </w:pPr>
      <w:r w:rsidRPr="00CB1C46">
        <w:rPr>
          <w:rFonts w:cs="Calibri"/>
          <w:lang w:eastAsia="en-GB"/>
        </w:rPr>
        <w:t xml:space="preserve">As discussed in section 3.1, the reference approach provides a good, high-level quality check for activity data. A significant deviation (greater than 5 per cent) indicates a likely issue. </w:t>
      </w:r>
    </w:p>
    <w:p w14:paraId="50C5D612" w14:textId="643CD3BA" w:rsidR="00660978" w:rsidRPr="00CB1C46" w:rsidRDefault="00660978" w:rsidP="00D31679">
      <w:pPr>
        <w:pStyle w:val="BodyText"/>
        <w:spacing w:before="100" w:after="100"/>
        <w:rPr>
          <w:rFonts w:cs="Calibri"/>
          <w:lang w:eastAsia="en-GB"/>
        </w:rPr>
      </w:pPr>
      <w:r w:rsidRPr="00CB1C46">
        <w:rPr>
          <w:rFonts w:cs="Calibri"/>
          <w:lang w:eastAsia="en-GB"/>
        </w:rPr>
        <w:t>Implied CO</w:t>
      </w:r>
      <w:r w:rsidRPr="00CB1C46">
        <w:rPr>
          <w:rFonts w:cs="Calibri"/>
          <w:vertAlign w:val="subscript"/>
          <w:lang w:eastAsia="en-GB"/>
        </w:rPr>
        <w:t>2</w:t>
      </w:r>
      <w:r w:rsidRPr="00CB1C46">
        <w:rPr>
          <w:rFonts w:cs="Calibri"/>
          <w:lang w:eastAsia="en-GB"/>
        </w:rPr>
        <w:t xml:space="preserve"> emission factors for combustion of liquid, solid and gaseous fuels from this inventory were compared with those in the IPCC Emission Factor Database, and converted to</w:t>
      </w:r>
      <w:r w:rsidR="00A37607">
        <w:rPr>
          <w:rFonts w:cs="Calibri"/>
          <w:lang w:eastAsia="en-GB"/>
        </w:rPr>
        <w:t> </w:t>
      </w:r>
      <w:r w:rsidRPr="00CB1C46">
        <w:rPr>
          <w:rFonts w:cs="Calibri"/>
          <w:lang w:eastAsia="en-GB"/>
        </w:rPr>
        <w:t xml:space="preserve">gross values for comparability with the New Zealand energy system. </w:t>
      </w:r>
    </w:p>
    <w:p w14:paraId="50B26188" w14:textId="77777777" w:rsidR="00660978" w:rsidRPr="00CB1C46" w:rsidRDefault="00660978" w:rsidP="00D31679">
      <w:pPr>
        <w:pStyle w:val="BodyText"/>
        <w:spacing w:before="100" w:after="100"/>
        <w:rPr>
          <w:lang w:eastAsia="en-GB"/>
        </w:rPr>
      </w:pPr>
      <w:r w:rsidRPr="00CB1C46">
        <w:t>Figure 3.3.3</w:t>
      </w:r>
      <w:r w:rsidRPr="00CB1C46">
        <w:rPr>
          <w:lang w:eastAsia="en-GB"/>
        </w:rPr>
        <w:t xml:space="preserve">, </w:t>
      </w:r>
      <w:r w:rsidRPr="00CB1C46">
        <w:t>figure 3.3.4</w:t>
      </w:r>
      <w:r w:rsidRPr="00CB1C46">
        <w:rPr>
          <w:lang w:eastAsia="en-GB"/>
        </w:rPr>
        <w:t xml:space="preserve"> and </w:t>
      </w:r>
      <w:r w:rsidRPr="00CB1C46">
        <w:t>figure 3.3.5</w:t>
      </w:r>
      <w:r w:rsidRPr="00CB1C46">
        <w:rPr>
          <w:lang w:eastAsia="en-GB"/>
        </w:rPr>
        <w:t xml:space="preserve"> weight the upper, lower and middle IPCC 2006 emission factor ranges according to observed </w:t>
      </w:r>
      <w:r w:rsidRPr="00C366E0">
        <w:t>fuel</w:t>
      </w:r>
      <w:r w:rsidRPr="00CB1C46">
        <w:rPr>
          <w:lang w:eastAsia="en-GB"/>
        </w:rPr>
        <w:t xml:space="preserve"> consumption in New Zealand for the given year. For example, the top of the IPCC range for liquid fuels was calculated using the top of the IPCC 2006 emission factor range for each liquid fuel and observed New Zealand activity data for each liquid fuel. </w:t>
      </w:r>
    </w:p>
    <w:p w14:paraId="665474F2" w14:textId="77777777" w:rsidR="00660978" w:rsidRPr="00CB1C46" w:rsidRDefault="00660978" w:rsidP="00660978">
      <w:pPr>
        <w:pStyle w:val="BodyText"/>
        <w:rPr>
          <w:rFonts w:cs="Calibri"/>
          <w:lang w:eastAsia="en-GB"/>
        </w:rPr>
      </w:pPr>
      <w:r w:rsidRPr="00CB1C46">
        <w:rPr>
          <w:rFonts w:cs="Calibri"/>
          <w:lang w:eastAsia="en-GB"/>
        </w:rPr>
        <w:lastRenderedPageBreak/>
        <w:t xml:space="preserve">The sum of all these emissions was then divided by the total observed liquid fuel combustion to obtain an implied emission factor weighted by New Zealand liquid fuel use. This was repeated for all fuel groups and years for the high, low and mid-points of the IPCC 2006 ranges. </w:t>
      </w:r>
    </w:p>
    <w:p w14:paraId="51176040" w14:textId="77777777" w:rsidR="00660978" w:rsidRPr="00CB1C46" w:rsidRDefault="00660978" w:rsidP="00660978">
      <w:pPr>
        <w:pStyle w:val="BodyText"/>
        <w:rPr>
          <w:rFonts w:cs="Calibri"/>
          <w:lang w:eastAsia="en-GB"/>
        </w:rPr>
      </w:pPr>
      <w:r w:rsidRPr="00CB1C46">
        <w:rPr>
          <w:rFonts w:cs="Calibri"/>
          <w:lang w:eastAsia="en-GB"/>
        </w:rPr>
        <w:t>With the exception of gaseous fuels (as discussed in section 3.3.1), each fuel type falls within the IPCC default range.</w:t>
      </w:r>
    </w:p>
    <w:p w14:paraId="08D44627" w14:textId="6E746296" w:rsidR="00660978" w:rsidRPr="00CB1C46" w:rsidRDefault="00660978" w:rsidP="00660978">
      <w:pPr>
        <w:pStyle w:val="Figure"/>
        <w:spacing w:after="80"/>
        <w:rPr>
          <w:rFonts w:cs="Calibri"/>
        </w:rPr>
      </w:pPr>
      <w:bookmarkStart w:id="250" w:name="_Ref442369949"/>
      <w:bookmarkStart w:id="251" w:name="_Toc321399325"/>
      <w:bookmarkStart w:id="252" w:name="_Toc384582853"/>
      <w:bookmarkStart w:id="253" w:name="_Toc443060813"/>
      <w:bookmarkStart w:id="254" w:name="_Toc447275670"/>
      <w:bookmarkStart w:id="255" w:name="_Toc481751988"/>
      <w:bookmarkStart w:id="256" w:name="_Toc36292772"/>
      <w:bookmarkStart w:id="257" w:name="_Toc68786637"/>
      <w:bookmarkStart w:id="258" w:name="_Toc95834072"/>
      <w:bookmarkStart w:id="259" w:name="_Toc99696017"/>
      <w:r w:rsidRPr="00CB1C46">
        <w:rPr>
          <w:rFonts w:cs="Calibri"/>
        </w:rPr>
        <w:t>Figure 3.3.</w:t>
      </w:r>
      <w:r w:rsidRPr="00CB1C46">
        <w:rPr>
          <w:rFonts w:cs="Calibri"/>
        </w:rPr>
        <w:fldChar w:fldCharType="begin"/>
      </w:r>
      <w:r w:rsidRPr="00CB1C46">
        <w:rPr>
          <w:rFonts w:cs="Calibri"/>
        </w:rPr>
        <w:instrText xml:space="preserve"> SEQ Figure \* ARABIC \s 2 </w:instrText>
      </w:r>
      <w:r w:rsidRPr="00CB1C46">
        <w:rPr>
          <w:rFonts w:cs="Calibri"/>
        </w:rPr>
        <w:fldChar w:fldCharType="separate"/>
      </w:r>
      <w:r w:rsidR="009D338D">
        <w:rPr>
          <w:rFonts w:cs="Calibri"/>
          <w:noProof/>
        </w:rPr>
        <w:t>3</w:t>
      </w:r>
      <w:r w:rsidRPr="00CB1C46">
        <w:rPr>
          <w:rFonts w:cs="Calibri"/>
        </w:rPr>
        <w:fldChar w:fldCharType="end"/>
      </w:r>
      <w:bookmarkEnd w:id="250"/>
      <w:r w:rsidRPr="00CB1C46">
        <w:rPr>
          <w:rFonts w:cs="Calibri"/>
        </w:rPr>
        <w:t xml:space="preserve"> </w:t>
      </w:r>
      <w:r w:rsidRPr="00CB1C46">
        <w:rPr>
          <w:rFonts w:cs="Calibri"/>
        </w:rPr>
        <w:tab/>
        <w:t>Carbon dioxide implied emission factor (IEF) – Liquid fuel combustion</w:t>
      </w:r>
      <w:bookmarkEnd w:id="251"/>
      <w:bookmarkEnd w:id="252"/>
      <w:bookmarkEnd w:id="253"/>
      <w:bookmarkEnd w:id="254"/>
      <w:bookmarkEnd w:id="255"/>
      <w:r w:rsidRPr="00CB1C46">
        <w:rPr>
          <w:rFonts w:cs="Calibri"/>
        </w:rPr>
        <w:t xml:space="preserve"> from 1990</w:t>
      </w:r>
      <w:r w:rsidR="006B0A67">
        <w:rPr>
          <w:rFonts w:cs="Calibri"/>
        </w:rPr>
        <w:t> </w:t>
      </w:r>
      <w:r w:rsidRPr="00CB1C46">
        <w:rPr>
          <w:rFonts w:cs="Calibri"/>
        </w:rPr>
        <w:t>to</w:t>
      </w:r>
      <w:r w:rsidR="006B0A67">
        <w:rPr>
          <w:rFonts w:cs="Calibri"/>
        </w:rPr>
        <w:t> </w:t>
      </w:r>
      <w:r w:rsidRPr="00CB1C46">
        <w:rPr>
          <w:rFonts w:cs="Calibri"/>
        </w:rPr>
        <w:t>2020</w:t>
      </w:r>
      <w:bookmarkEnd w:id="256"/>
      <w:bookmarkEnd w:id="257"/>
      <w:bookmarkEnd w:id="258"/>
      <w:bookmarkEnd w:id="259"/>
    </w:p>
    <w:p w14:paraId="529403E8" w14:textId="77777777" w:rsidR="00660978" w:rsidRPr="00CB1C46" w:rsidRDefault="004B48CC" w:rsidP="00660978">
      <w:pPr>
        <w:pStyle w:val="BodyText"/>
        <w:rPr>
          <w:rFonts w:cs="Calibri"/>
        </w:rPr>
      </w:pPr>
      <w:r>
        <w:rPr>
          <w:rFonts w:cs="Calibri"/>
          <w:noProof/>
        </w:rPr>
        <w:pict w14:anchorId="3FD22816">
          <v:shape id="Picture 27" o:spid="_x0000_i1050" type="#_x0000_t75" style="width:427pt;height:204.3pt;visibility:visible;mso-wrap-style:square">
            <v:imagedata r:id="rId61" o:title="" cropbottom="2316f"/>
          </v:shape>
        </w:pict>
      </w:r>
    </w:p>
    <w:p w14:paraId="1366CEE6" w14:textId="1BC33E05" w:rsidR="00660978" w:rsidRPr="00CB1C46" w:rsidRDefault="00660978" w:rsidP="00660978">
      <w:pPr>
        <w:pStyle w:val="Figure"/>
        <w:spacing w:after="80"/>
        <w:rPr>
          <w:rFonts w:cs="Calibri"/>
        </w:rPr>
      </w:pPr>
      <w:bookmarkStart w:id="260" w:name="_Ref442369961"/>
      <w:bookmarkStart w:id="261" w:name="_Toc321399326"/>
      <w:bookmarkStart w:id="262" w:name="_Toc384582854"/>
      <w:bookmarkStart w:id="263" w:name="_Toc443060814"/>
      <w:bookmarkStart w:id="264" w:name="_Toc447275671"/>
      <w:bookmarkStart w:id="265" w:name="_Toc481751989"/>
      <w:bookmarkStart w:id="266" w:name="_Toc36292773"/>
      <w:bookmarkStart w:id="267" w:name="_Toc68786638"/>
      <w:bookmarkStart w:id="268" w:name="_Toc95834073"/>
      <w:bookmarkStart w:id="269" w:name="_Toc99696018"/>
      <w:r w:rsidRPr="00CB1C46">
        <w:rPr>
          <w:rFonts w:cs="Calibri"/>
        </w:rPr>
        <w:t>Figure 3.3.</w:t>
      </w:r>
      <w:r w:rsidRPr="00CB1C46">
        <w:rPr>
          <w:rFonts w:cs="Calibri"/>
        </w:rPr>
        <w:fldChar w:fldCharType="begin"/>
      </w:r>
      <w:r w:rsidRPr="00CB1C46">
        <w:rPr>
          <w:rFonts w:cs="Calibri"/>
        </w:rPr>
        <w:instrText xml:space="preserve"> SEQ Figure \* ARABIC \s 2 </w:instrText>
      </w:r>
      <w:r w:rsidRPr="00CB1C46">
        <w:rPr>
          <w:rFonts w:cs="Calibri"/>
        </w:rPr>
        <w:fldChar w:fldCharType="separate"/>
      </w:r>
      <w:r w:rsidR="009D338D">
        <w:rPr>
          <w:rFonts w:cs="Calibri"/>
          <w:noProof/>
        </w:rPr>
        <w:t>4</w:t>
      </w:r>
      <w:r w:rsidRPr="00CB1C46">
        <w:rPr>
          <w:rFonts w:cs="Calibri"/>
        </w:rPr>
        <w:fldChar w:fldCharType="end"/>
      </w:r>
      <w:bookmarkEnd w:id="260"/>
      <w:r w:rsidRPr="00CB1C46">
        <w:rPr>
          <w:rFonts w:cs="Calibri"/>
        </w:rPr>
        <w:t xml:space="preserve"> </w:t>
      </w:r>
      <w:r w:rsidRPr="00CB1C46">
        <w:rPr>
          <w:rFonts w:cs="Calibri"/>
        </w:rPr>
        <w:tab/>
        <w:t>Carbon dioxide implied emission factor (IEF) – Solid fuel combustion</w:t>
      </w:r>
      <w:bookmarkEnd w:id="261"/>
      <w:bookmarkEnd w:id="262"/>
      <w:bookmarkEnd w:id="263"/>
      <w:bookmarkEnd w:id="264"/>
      <w:bookmarkEnd w:id="265"/>
      <w:r w:rsidRPr="00CB1C46">
        <w:rPr>
          <w:rFonts w:cs="Calibri"/>
        </w:rPr>
        <w:t xml:space="preserve"> from 1990</w:t>
      </w:r>
      <w:r w:rsidR="006B0A67">
        <w:rPr>
          <w:rFonts w:cs="Calibri"/>
        </w:rPr>
        <w:t> </w:t>
      </w:r>
      <w:r w:rsidRPr="00CB1C46">
        <w:rPr>
          <w:rFonts w:cs="Calibri"/>
        </w:rPr>
        <w:t>to</w:t>
      </w:r>
      <w:r w:rsidR="006B0A67">
        <w:rPr>
          <w:rFonts w:cs="Calibri"/>
        </w:rPr>
        <w:t> </w:t>
      </w:r>
      <w:r w:rsidRPr="00CB1C46">
        <w:rPr>
          <w:rFonts w:cs="Calibri"/>
        </w:rPr>
        <w:t>2020</w:t>
      </w:r>
      <w:bookmarkEnd w:id="266"/>
      <w:bookmarkEnd w:id="267"/>
      <w:bookmarkEnd w:id="268"/>
      <w:bookmarkEnd w:id="269"/>
    </w:p>
    <w:p w14:paraId="6A1C0B71" w14:textId="77777777" w:rsidR="00660978" w:rsidRPr="00CB1C46" w:rsidRDefault="004B48CC" w:rsidP="00660978">
      <w:pPr>
        <w:pStyle w:val="BodyText"/>
        <w:spacing w:after="0"/>
        <w:rPr>
          <w:rFonts w:cs="Calibri"/>
          <w:lang w:eastAsia="en-GB"/>
        </w:rPr>
      </w:pPr>
      <w:r>
        <w:rPr>
          <w:rFonts w:cs="Calibri"/>
          <w:noProof/>
        </w:rPr>
        <w:pict w14:anchorId="7C589B19">
          <v:shape id="Picture 28" o:spid="_x0000_i1051" type="#_x0000_t75" style="width:427pt;height:204.3pt;visibility:visible;mso-wrap-style:square">
            <v:imagedata r:id="rId62" o:title="" cropbottom="2084f"/>
          </v:shape>
        </w:pict>
      </w:r>
    </w:p>
    <w:p w14:paraId="50EFEF9A" w14:textId="6E04DF54" w:rsidR="00660978" w:rsidRPr="00CB1C46" w:rsidRDefault="00660978" w:rsidP="00660978">
      <w:pPr>
        <w:pStyle w:val="Figure"/>
        <w:spacing w:after="80"/>
        <w:rPr>
          <w:rFonts w:cs="Calibri"/>
          <w:lang w:eastAsia="en-GB"/>
        </w:rPr>
      </w:pPr>
      <w:bookmarkStart w:id="270" w:name="_Ref442369964"/>
      <w:bookmarkStart w:id="271" w:name="_Toc321399327"/>
      <w:bookmarkStart w:id="272" w:name="_Toc384582855"/>
      <w:bookmarkStart w:id="273" w:name="_Toc443060815"/>
      <w:bookmarkStart w:id="274" w:name="_Toc447275672"/>
      <w:bookmarkStart w:id="275" w:name="_Toc481751990"/>
      <w:bookmarkStart w:id="276" w:name="_Toc36292774"/>
      <w:bookmarkStart w:id="277" w:name="_Toc68786639"/>
      <w:bookmarkStart w:id="278" w:name="_Toc95834074"/>
      <w:bookmarkStart w:id="279" w:name="_Toc99696019"/>
      <w:r w:rsidRPr="00CB1C46">
        <w:rPr>
          <w:rFonts w:cs="Calibri"/>
        </w:rPr>
        <w:lastRenderedPageBreak/>
        <w:t>Figure 3.3.</w:t>
      </w:r>
      <w:r w:rsidRPr="00CB1C46">
        <w:rPr>
          <w:rFonts w:cs="Calibri"/>
        </w:rPr>
        <w:fldChar w:fldCharType="begin"/>
      </w:r>
      <w:r w:rsidRPr="00CB1C46">
        <w:rPr>
          <w:rFonts w:cs="Calibri"/>
        </w:rPr>
        <w:instrText xml:space="preserve"> SEQ Figure \* ARABIC \s 2 </w:instrText>
      </w:r>
      <w:r w:rsidRPr="00CB1C46">
        <w:rPr>
          <w:rFonts w:cs="Calibri"/>
        </w:rPr>
        <w:fldChar w:fldCharType="separate"/>
      </w:r>
      <w:r w:rsidR="009D338D">
        <w:rPr>
          <w:rFonts w:cs="Calibri"/>
          <w:noProof/>
        </w:rPr>
        <w:t>5</w:t>
      </w:r>
      <w:r w:rsidRPr="00CB1C46">
        <w:rPr>
          <w:rFonts w:cs="Calibri"/>
        </w:rPr>
        <w:fldChar w:fldCharType="end"/>
      </w:r>
      <w:bookmarkEnd w:id="270"/>
      <w:r w:rsidRPr="00CB1C46">
        <w:rPr>
          <w:rFonts w:cs="Calibri"/>
          <w:lang w:eastAsia="en-GB"/>
        </w:rPr>
        <w:tab/>
        <w:t xml:space="preserve">Carbon dioxide implied emission factor </w:t>
      </w:r>
      <w:r w:rsidRPr="00CB1C46">
        <w:rPr>
          <w:rFonts w:cs="Calibri"/>
        </w:rPr>
        <w:t>(IEF)</w:t>
      </w:r>
      <w:r w:rsidRPr="00CB1C46">
        <w:rPr>
          <w:rFonts w:cs="Calibri"/>
          <w:lang w:eastAsia="en-GB"/>
        </w:rPr>
        <w:t xml:space="preserve"> – Gaseous fuel combustion</w:t>
      </w:r>
      <w:bookmarkEnd w:id="271"/>
      <w:bookmarkEnd w:id="272"/>
      <w:bookmarkEnd w:id="273"/>
      <w:bookmarkEnd w:id="274"/>
      <w:bookmarkEnd w:id="275"/>
      <w:r w:rsidRPr="00CB1C46">
        <w:rPr>
          <w:rFonts w:cs="Calibri"/>
          <w:lang w:eastAsia="en-GB"/>
        </w:rPr>
        <w:t xml:space="preserve"> </w:t>
      </w:r>
      <w:r w:rsidRPr="00CB1C46">
        <w:rPr>
          <w:rFonts w:cs="Calibri"/>
        </w:rPr>
        <w:t>from 1990</w:t>
      </w:r>
      <w:r w:rsidR="006B0A67">
        <w:rPr>
          <w:rFonts w:cs="Calibri"/>
        </w:rPr>
        <w:t> </w:t>
      </w:r>
      <w:r w:rsidRPr="00CB1C46">
        <w:rPr>
          <w:rFonts w:cs="Calibri"/>
        </w:rPr>
        <w:t>to</w:t>
      </w:r>
      <w:r w:rsidR="006B0A67">
        <w:rPr>
          <w:rFonts w:cs="Calibri"/>
        </w:rPr>
        <w:t> </w:t>
      </w:r>
      <w:r w:rsidRPr="00CB1C46">
        <w:rPr>
          <w:rFonts w:cs="Calibri"/>
        </w:rPr>
        <w:t>2020</w:t>
      </w:r>
      <w:bookmarkEnd w:id="276"/>
      <w:bookmarkEnd w:id="277"/>
      <w:bookmarkEnd w:id="278"/>
      <w:bookmarkEnd w:id="279"/>
    </w:p>
    <w:p w14:paraId="1FC7C2F6" w14:textId="77777777" w:rsidR="00660978" w:rsidRPr="00CB1C46" w:rsidRDefault="004B48CC" w:rsidP="00660978">
      <w:pPr>
        <w:pStyle w:val="BodyText"/>
        <w:spacing w:before="60" w:after="0"/>
        <w:rPr>
          <w:rFonts w:cs="Calibri"/>
          <w:lang w:eastAsia="en-GB"/>
        </w:rPr>
      </w:pPr>
      <w:r>
        <w:rPr>
          <w:rFonts w:cs="Calibri"/>
          <w:noProof/>
        </w:rPr>
        <w:pict w14:anchorId="6E42F661">
          <v:shape id="_x0000_i1052" type="#_x0000_t75" style="width:427pt;height:199.25pt;visibility:visible;mso-wrap-style:square">
            <v:imagedata r:id="rId63" o:title="" croptop="1465f" cropbottom="3022f"/>
          </v:shape>
        </w:pict>
      </w:r>
    </w:p>
    <w:p w14:paraId="4D8F0CF1" w14:textId="77777777" w:rsidR="00660978" w:rsidRPr="00CB1C46" w:rsidRDefault="00660978" w:rsidP="00660978">
      <w:pPr>
        <w:pStyle w:val="Noteundertable"/>
        <w:rPr>
          <w:rFonts w:cs="Calibri"/>
        </w:rPr>
      </w:pPr>
      <w:r w:rsidRPr="00CB1C46">
        <w:rPr>
          <w:rFonts w:cs="Calibri"/>
          <w:b/>
        </w:rPr>
        <w:t>Note:</w:t>
      </w:r>
      <w:r w:rsidRPr="00CB1C46">
        <w:rPr>
          <w:rFonts w:cs="Calibri"/>
        </w:rPr>
        <w:t xml:space="preserve"> </w:t>
      </w:r>
      <w:r w:rsidRPr="00CB1C46">
        <w:rPr>
          <w:rFonts w:cs="Calibri"/>
        </w:rPr>
        <w:tab/>
        <w:t>As discussed in section 3.3.1 under ‘Emission factors’, carbon dioxide emission factors for New Zealand natural gas fields are established through gas composition analysis and are known to be high by international standards.</w:t>
      </w:r>
    </w:p>
    <w:p w14:paraId="03F04E86" w14:textId="77777777" w:rsidR="00660978" w:rsidRPr="00CB1C46" w:rsidRDefault="00660978" w:rsidP="00660978">
      <w:pPr>
        <w:pStyle w:val="Heading3"/>
        <w:rPr>
          <w:rFonts w:cs="Calibri"/>
        </w:rPr>
      </w:pPr>
      <w:r w:rsidRPr="00CB1C46">
        <w:rPr>
          <w:rFonts w:cs="Calibri"/>
        </w:rPr>
        <w:t>3.3.5</w:t>
      </w:r>
      <w:r w:rsidRPr="00CB1C46">
        <w:rPr>
          <w:rFonts w:cs="Calibri"/>
        </w:rPr>
        <w:tab/>
        <w:t>Uncertainties and time-series consistency</w:t>
      </w:r>
    </w:p>
    <w:p w14:paraId="35011D68" w14:textId="10FF9E9E" w:rsidR="00660978" w:rsidRPr="00CB1C46" w:rsidRDefault="00660978" w:rsidP="00660978">
      <w:pPr>
        <w:pStyle w:val="BodyText"/>
        <w:rPr>
          <w:rFonts w:cs="Calibri"/>
          <w:lang w:eastAsia="en-GB"/>
        </w:rPr>
      </w:pPr>
      <w:r w:rsidRPr="00CB1C46">
        <w:rPr>
          <w:rFonts w:cs="Calibri"/>
          <w:lang w:eastAsia="en-GB"/>
        </w:rPr>
        <w:t>Uncertainty in greenhouse gas emissions from fuel combustion varies, depending on the type of greenhouse gas. The uncertainty in CO</w:t>
      </w:r>
      <w:r w:rsidRPr="00CB1C46">
        <w:rPr>
          <w:rFonts w:cs="Calibri"/>
          <w:vertAlign w:val="subscript"/>
          <w:lang w:eastAsia="en-GB"/>
        </w:rPr>
        <w:t>2</w:t>
      </w:r>
      <w:r w:rsidRPr="00CB1C46">
        <w:rPr>
          <w:rFonts w:cs="Calibri"/>
          <w:sz w:val="14"/>
          <w:szCs w:val="14"/>
          <w:lang w:eastAsia="en-GB"/>
        </w:rPr>
        <w:t xml:space="preserve"> </w:t>
      </w:r>
      <w:r w:rsidRPr="00CB1C46">
        <w:rPr>
          <w:rFonts w:cs="Calibri"/>
          <w:lang w:eastAsia="en-GB"/>
        </w:rPr>
        <w:t>emissions is relatively low. This is important because CO</w:t>
      </w:r>
      <w:r w:rsidRPr="00CB1C46">
        <w:rPr>
          <w:rFonts w:cs="Calibri"/>
          <w:vertAlign w:val="subscript"/>
          <w:lang w:eastAsia="en-GB"/>
        </w:rPr>
        <w:t>2</w:t>
      </w:r>
      <w:r w:rsidRPr="00CB1C46">
        <w:rPr>
          <w:rFonts w:cs="Calibri"/>
          <w:lang w:eastAsia="en-GB"/>
        </w:rPr>
        <w:t xml:space="preserve"> emissions comprise around 96 per cent to 97 per cent of </w:t>
      </w:r>
      <w:r w:rsidRPr="00CB1C46">
        <w:rPr>
          <w:rFonts w:cs="Calibri"/>
        </w:rPr>
        <w:t>CO</w:t>
      </w:r>
      <w:r w:rsidRPr="00CB1C46">
        <w:rPr>
          <w:rFonts w:cs="Calibri"/>
          <w:vertAlign w:val="subscript"/>
        </w:rPr>
        <w:t>2</w:t>
      </w:r>
      <w:r w:rsidRPr="00CB1C46">
        <w:rPr>
          <w:rFonts w:cs="Calibri"/>
        </w:rPr>
        <w:t>-e</w:t>
      </w:r>
      <w:r w:rsidRPr="00CB1C46">
        <w:rPr>
          <w:rFonts w:cs="Calibri"/>
          <w:lang w:eastAsia="en-GB"/>
        </w:rPr>
        <w:t xml:space="preserve"> emissions from fuel combustion in New Zealand. By comparison, emissions of the non-</w:t>
      </w:r>
      <w:r w:rsidRPr="00CB1C46">
        <w:rPr>
          <w:rFonts w:cs="Calibri"/>
        </w:rPr>
        <w:t>CO</w:t>
      </w:r>
      <w:r w:rsidRPr="00CB1C46">
        <w:rPr>
          <w:rFonts w:cs="Calibri"/>
          <w:vertAlign w:val="subscript"/>
        </w:rPr>
        <w:t>2</w:t>
      </w:r>
      <w:r w:rsidRPr="00CB1C46">
        <w:rPr>
          <w:rFonts w:cs="Calibri"/>
          <w:sz w:val="14"/>
          <w:szCs w:val="14"/>
          <w:lang w:eastAsia="en-GB"/>
        </w:rPr>
        <w:t xml:space="preserve"> </w:t>
      </w:r>
      <w:r w:rsidRPr="00CB1C46">
        <w:rPr>
          <w:rFonts w:cs="Calibri"/>
          <w:lang w:eastAsia="en-GB"/>
        </w:rPr>
        <w:t xml:space="preserve">gases are much less certain because emissions vary with combustion conditions. Uncertainties for </w:t>
      </w:r>
      <w:r w:rsidRPr="00CB1C46">
        <w:rPr>
          <w:rFonts w:cs="Calibri"/>
        </w:rPr>
        <w:t>CO</w:t>
      </w:r>
      <w:r w:rsidRPr="00CB1C46">
        <w:rPr>
          <w:rFonts w:cs="Calibri"/>
          <w:vertAlign w:val="subscript"/>
        </w:rPr>
        <w:t>2</w:t>
      </w:r>
      <w:r w:rsidRPr="00CB1C46">
        <w:rPr>
          <w:rFonts w:cs="Calibri"/>
          <w:lang w:eastAsia="en-GB"/>
        </w:rPr>
        <w:t>,</w:t>
      </w:r>
      <w:r w:rsidR="00A37607">
        <w:rPr>
          <w:rFonts w:cs="Calibri"/>
          <w:lang w:eastAsia="en-GB"/>
        </w:rPr>
        <w:t> </w:t>
      </w:r>
      <w:r w:rsidRPr="00CB1C46">
        <w:rPr>
          <w:rFonts w:cs="Calibri"/>
        </w:rPr>
        <w:t>CH</w:t>
      </w:r>
      <w:r w:rsidRPr="00CB1C46">
        <w:rPr>
          <w:rFonts w:cs="Calibri"/>
          <w:vertAlign w:val="subscript"/>
        </w:rPr>
        <w:t>4</w:t>
      </w:r>
      <w:r w:rsidRPr="00CB1C46">
        <w:rPr>
          <w:rFonts w:cs="Calibri"/>
          <w:lang w:eastAsia="en-GB"/>
        </w:rPr>
        <w:t xml:space="preserve"> and </w:t>
      </w:r>
      <w:r w:rsidRPr="00CB1C46">
        <w:rPr>
          <w:rFonts w:cs="Calibri"/>
        </w:rPr>
        <w:t>N</w:t>
      </w:r>
      <w:r w:rsidRPr="00CB1C46">
        <w:rPr>
          <w:rFonts w:cs="Calibri"/>
          <w:vertAlign w:val="subscript"/>
        </w:rPr>
        <w:t>2</w:t>
      </w:r>
      <w:r w:rsidRPr="00CB1C46">
        <w:rPr>
          <w:rFonts w:cs="Calibri"/>
        </w:rPr>
        <w:t>O</w:t>
      </w:r>
      <w:r w:rsidRPr="00CB1C46">
        <w:rPr>
          <w:rFonts w:cs="Calibri"/>
          <w:lang w:eastAsia="en-GB"/>
        </w:rPr>
        <w:t xml:space="preserve"> activity data and emission factors are supplied in table 3.3.1. Many of the non</w:t>
      </w:r>
      <w:r w:rsidRPr="00CB1C46">
        <w:rPr>
          <w:rFonts w:cs="Calibri"/>
          <w:lang w:eastAsia="en-GB"/>
        </w:rPr>
        <w:noBreakHyphen/>
      </w:r>
      <w:r w:rsidRPr="00CB1C46">
        <w:rPr>
          <w:rFonts w:cs="Calibri"/>
        </w:rPr>
        <w:t>CO</w:t>
      </w:r>
      <w:r w:rsidRPr="00CB1C46">
        <w:rPr>
          <w:rFonts w:cs="Calibri"/>
          <w:vertAlign w:val="subscript"/>
        </w:rPr>
        <w:t>2</w:t>
      </w:r>
      <w:r w:rsidRPr="00CB1C46">
        <w:rPr>
          <w:rFonts w:cs="Calibri"/>
          <w:sz w:val="14"/>
          <w:szCs w:val="14"/>
          <w:lang w:eastAsia="en-GB"/>
        </w:rPr>
        <w:t xml:space="preserve"> </w:t>
      </w:r>
      <w:r w:rsidRPr="00CB1C46">
        <w:rPr>
          <w:rFonts w:cs="Calibri"/>
          <w:lang w:eastAsia="en-GB"/>
        </w:rPr>
        <w:t>emission factors used by New Zealand are the IPCC default values. Further detailed information around uncertainties for each fuel type can be found in annex 4, sections A4.1, A4.2 and A4.3.</w:t>
      </w:r>
    </w:p>
    <w:p w14:paraId="06D1F780" w14:textId="77777777" w:rsidR="00660978" w:rsidRPr="00CB1C46" w:rsidRDefault="00660978" w:rsidP="00660978">
      <w:pPr>
        <w:pStyle w:val="Table"/>
        <w:rPr>
          <w:rFonts w:cs="Calibri"/>
        </w:rPr>
      </w:pPr>
      <w:bookmarkStart w:id="280" w:name="_Toc384582169"/>
      <w:bookmarkStart w:id="281" w:name="_Toc443060845"/>
      <w:bookmarkStart w:id="282" w:name="_Toc451176061"/>
      <w:bookmarkStart w:id="283" w:name="_Toc481751487"/>
      <w:bookmarkStart w:id="284" w:name="_Toc507496590"/>
      <w:bookmarkStart w:id="285" w:name="_Toc36224524"/>
      <w:bookmarkStart w:id="286" w:name="_Toc68786405"/>
      <w:bookmarkStart w:id="287" w:name="_Toc99659213"/>
      <w:r w:rsidRPr="00CB1C46">
        <w:rPr>
          <w:rFonts w:cs="Calibri"/>
        </w:rPr>
        <w:t>Table 3.3.1</w:t>
      </w:r>
      <w:r w:rsidRPr="00CB1C46">
        <w:rPr>
          <w:rFonts w:cs="Calibri"/>
        </w:rPr>
        <w:tab/>
        <w:t>Uncertainty for New Zealand’s Energy sector emission estimates</w:t>
      </w:r>
      <w:bookmarkEnd w:id="280"/>
      <w:bookmarkEnd w:id="281"/>
      <w:bookmarkEnd w:id="282"/>
      <w:bookmarkEnd w:id="283"/>
      <w:bookmarkEnd w:id="284"/>
      <w:bookmarkEnd w:id="285"/>
      <w:r w:rsidRPr="00CB1C46">
        <w:rPr>
          <w:rFonts w:cs="Calibri"/>
        </w:rPr>
        <w:t xml:space="preserve"> for 2020</w:t>
      </w:r>
      <w:bookmarkEnd w:id="286"/>
      <w:bookmarkEnd w:id="287"/>
    </w:p>
    <w:tbl>
      <w:tblPr>
        <w:tblW w:w="8505" w:type="dxa"/>
        <w:tblInd w:w="113"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544"/>
        <w:gridCol w:w="4584"/>
        <w:gridCol w:w="1657"/>
        <w:gridCol w:w="1720"/>
      </w:tblGrid>
      <w:tr w:rsidR="00660978" w:rsidRPr="00CB1C46" w14:paraId="7D67F89B" w14:textId="77777777" w:rsidTr="004873FC">
        <w:trPr>
          <w:tblHeader/>
        </w:trPr>
        <w:tc>
          <w:tcPr>
            <w:tcW w:w="320" w:type="pct"/>
            <w:shd w:val="clear" w:color="auto" w:fill="1B556B"/>
            <w:noWrap/>
            <w:vAlign w:val="bottom"/>
            <w:hideMark/>
          </w:tcPr>
          <w:p w14:paraId="40109F60" w14:textId="77777777" w:rsidR="00660978" w:rsidRPr="00CB1C46" w:rsidRDefault="00660978" w:rsidP="004873FC">
            <w:pPr>
              <w:pStyle w:val="TableTextBold"/>
              <w:rPr>
                <w:rFonts w:cs="Calibri"/>
                <w:noProof w:val="0"/>
                <w:color w:val="FFFFFF"/>
              </w:rPr>
            </w:pPr>
          </w:p>
        </w:tc>
        <w:tc>
          <w:tcPr>
            <w:tcW w:w="2695" w:type="pct"/>
            <w:shd w:val="clear" w:color="auto" w:fill="1B556B"/>
            <w:noWrap/>
            <w:vAlign w:val="bottom"/>
            <w:hideMark/>
          </w:tcPr>
          <w:p w14:paraId="58BEF05A" w14:textId="77777777" w:rsidR="00660978" w:rsidRPr="00CB1C46" w:rsidRDefault="00660978" w:rsidP="004873FC">
            <w:pPr>
              <w:pStyle w:val="TableTextBold"/>
              <w:rPr>
                <w:rFonts w:cs="Calibri"/>
                <w:noProof w:val="0"/>
                <w:color w:val="FFFFFF"/>
              </w:rPr>
            </w:pPr>
            <w:r w:rsidRPr="00CB1C46">
              <w:rPr>
                <w:rFonts w:cs="Calibri"/>
                <w:noProof w:val="0"/>
                <w:color w:val="FFFFFF"/>
              </w:rPr>
              <w:t xml:space="preserve">Category </w:t>
            </w:r>
          </w:p>
        </w:tc>
        <w:tc>
          <w:tcPr>
            <w:tcW w:w="974" w:type="pct"/>
            <w:shd w:val="clear" w:color="auto" w:fill="1B556B"/>
            <w:vAlign w:val="bottom"/>
            <w:hideMark/>
          </w:tcPr>
          <w:p w14:paraId="30179BAA" w14:textId="77777777" w:rsidR="00660978" w:rsidRPr="00CB1C46" w:rsidRDefault="00660978" w:rsidP="004873FC">
            <w:pPr>
              <w:pStyle w:val="TableTextBold"/>
              <w:jc w:val="center"/>
              <w:rPr>
                <w:rFonts w:cs="Calibri"/>
                <w:noProof w:val="0"/>
                <w:color w:val="FFFFFF"/>
              </w:rPr>
            </w:pPr>
            <w:r w:rsidRPr="00CB1C46">
              <w:rPr>
                <w:rFonts w:cs="Calibri"/>
                <w:noProof w:val="0"/>
                <w:color w:val="FFFFFF"/>
              </w:rPr>
              <w:t>Activity data uncertainty (%)</w:t>
            </w:r>
          </w:p>
        </w:tc>
        <w:tc>
          <w:tcPr>
            <w:tcW w:w="1011" w:type="pct"/>
            <w:shd w:val="clear" w:color="auto" w:fill="1B556B"/>
            <w:vAlign w:val="bottom"/>
            <w:hideMark/>
          </w:tcPr>
          <w:p w14:paraId="14BBA2F9" w14:textId="77777777" w:rsidR="00660978" w:rsidRPr="00CB1C46" w:rsidRDefault="00660978" w:rsidP="004873FC">
            <w:pPr>
              <w:pStyle w:val="TableTextBold"/>
              <w:jc w:val="center"/>
              <w:rPr>
                <w:rFonts w:cs="Calibri"/>
                <w:noProof w:val="0"/>
                <w:color w:val="FFFFFF"/>
              </w:rPr>
            </w:pPr>
            <w:r w:rsidRPr="00CB1C46">
              <w:rPr>
                <w:rFonts w:cs="Calibri"/>
                <w:noProof w:val="0"/>
                <w:color w:val="FFFFFF"/>
              </w:rPr>
              <w:t>Emission factor uncertainty (%)</w:t>
            </w:r>
          </w:p>
        </w:tc>
      </w:tr>
      <w:tr w:rsidR="00660978" w:rsidRPr="00CB1C46" w14:paraId="79BF9A5D" w14:textId="77777777" w:rsidTr="004873FC">
        <w:tc>
          <w:tcPr>
            <w:tcW w:w="320" w:type="pct"/>
            <w:shd w:val="clear" w:color="auto" w:fill="auto"/>
            <w:noWrap/>
            <w:hideMark/>
          </w:tcPr>
          <w:p w14:paraId="18B93D75" w14:textId="77777777" w:rsidR="00660978" w:rsidRPr="00CB1C46" w:rsidRDefault="00660978" w:rsidP="004873FC">
            <w:pPr>
              <w:pStyle w:val="TableText"/>
              <w:spacing w:before="50" w:after="50"/>
              <w:rPr>
                <w:rFonts w:cs="Calibri"/>
              </w:rPr>
            </w:pPr>
            <w:r w:rsidRPr="00CB1C46">
              <w:rPr>
                <w:rFonts w:cs="Calibri"/>
              </w:rPr>
              <w:t>CO</w:t>
            </w:r>
            <w:r w:rsidRPr="00CB1C46">
              <w:rPr>
                <w:rFonts w:cs="Calibri"/>
                <w:vertAlign w:val="subscript"/>
              </w:rPr>
              <w:t>2</w:t>
            </w:r>
          </w:p>
        </w:tc>
        <w:tc>
          <w:tcPr>
            <w:tcW w:w="2695" w:type="pct"/>
            <w:shd w:val="clear" w:color="auto" w:fill="auto"/>
            <w:noWrap/>
            <w:hideMark/>
          </w:tcPr>
          <w:p w14:paraId="157781C1" w14:textId="77777777" w:rsidR="00660978" w:rsidRPr="00CB1C46" w:rsidRDefault="00660978" w:rsidP="004873FC">
            <w:pPr>
              <w:pStyle w:val="TableText"/>
              <w:spacing w:before="50" w:after="50"/>
              <w:rPr>
                <w:rFonts w:cs="Calibri"/>
              </w:rPr>
            </w:pPr>
            <w:r w:rsidRPr="00CB1C46">
              <w:rPr>
                <w:rFonts w:cs="Calibri"/>
              </w:rPr>
              <w:t>Liquid fuels</w:t>
            </w:r>
          </w:p>
        </w:tc>
        <w:tc>
          <w:tcPr>
            <w:tcW w:w="974" w:type="pct"/>
            <w:shd w:val="clear" w:color="auto" w:fill="auto"/>
            <w:noWrap/>
            <w:hideMark/>
          </w:tcPr>
          <w:p w14:paraId="24B99132" w14:textId="77777777" w:rsidR="00660978" w:rsidRPr="00CB1C46" w:rsidRDefault="00660978" w:rsidP="004873FC">
            <w:pPr>
              <w:pStyle w:val="TableText"/>
              <w:spacing w:before="50" w:after="50"/>
              <w:jc w:val="center"/>
              <w:rPr>
                <w:rFonts w:cs="Calibri"/>
              </w:rPr>
            </w:pPr>
            <w:r w:rsidRPr="00CB1C46">
              <w:rPr>
                <w:rFonts w:cs="Calibri"/>
              </w:rPr>
              <w:t>1.5</w:t>
            </w:r>
          </w:p>
        </w:tc>
        <w:tc>
          <w:tcPr>
            <w:tcW w:w="1011" w:type="pct"/>
            <w:shd w:val="clear" w:color="auto" w:fill="auto"/>
            <w:noWrap/>
            <w:hideMark/>
          </w:tcPr>
          <w:p w14:paraId="7E03FAF6" w14:textId="77777777" w:rsidR="00660978" w:rsidRPr="00CB1C46" w:rsidRDefault="00660978" w:rsidP="004873FC">
            <w:pPr>
              <w:pStyle w:val="TableText"/>
              <w:spacing w:before="50" w:after="50"/>
              <w:jc w:val="center"/>
              <w:rPr>
                <w:rFonts w:cs="Calibri"/>
              </w:rPr>
            </w:pPr>
            <w:r w:rsidRPr="00CB1C46">
              <w:rPr>
                <w:rFonts w:cs="Calibri"/>
              </w:rPr>
              <w:t>±0.5</w:t>
            </w:r>
          </w:p>
        </w:tc>
      </w:tr>
      <w:tr w:rsidR="00660978" w:rsidRPr="00CB1C46" w14:paraId="3A3D10D9" w14:textId="77777777" w:rsidTr="004873FC">
        <w:tc>
          <w:tcPr>
            <w:tcW w:w="320" w:type="pct"/>
            <w:shd w:val="clear" w:color="auto" w:fill="auto"/>
            <w:noWrap/>
            <w:hideMark/>
          </w:tcPr>
          <w:p w14:paraId="4691CA4F"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620B2186" w14:textId="77777777" w:rsidR="00660978" w:rsidRPr="00CB1C46" w:rsidRDefault="00660978" w:rsidP="004873FC">
            <w:pPr>
              <w:pStyle w:val="TableText"/>
              <w:spacing w:before="50" w:after="50"/>
              <w:rPr>
                <w:rFonts w:cs="Calibri"/>
              </w:rPr>
            </w:pPr>
            <w:r w:rsidRPr="00CB1C46">
              <w:rPr>
                <w:rFonts w:cs="Calibri"/>
              </w:rPr>
              <w:t>Solid fuels</w:t>
            </w:r>
          </w:p>
        </w:tc>
        <w:tc>
          <w:tcPr>
            <w:tcW w:w="974" w:type="pct"/>
            <w:shd w:val="clear" w:color="auto" w:fill="auto"/>
            <w:noWrap/>
            <w:hideMark/>
          </w:tcPr>
          <w:p w14:paraId="6011EFF0" w14:textId="77777777" w:rsidR="00660978" w:rsidRPr="00CB1C46" w:rsidRDefault="00660978" w:rsidP="004873FC">
            <w:pPr>
              <w:pStyle w:val="TableText"/>
              <w:spacing w:before="50" w:after="50"/>
              <w:jc w:val="center"/>
              <w:rPr>
                <w:rFonts w:cs="Calibri"/>
              </w:rPr>
            </w:pPr>
            <w:r w:rsidRPr="00CB1C46">
              <w:rPr>
                <w:rFonts w:cs="Calibri"/>
              </w:rPr>
              <w:t>4.6</w:t>
            </w:r>
          </w:p>
        </w:tc>
        <w:tc>
          <w:tcPr>
            <w:tcW w:w="1011" w:type="pct"/>
            <w:shd w:val="clear" w:color="auto" w:fill="auto"/>
            <w:noWrap/>
            <w:hideMark/>
          </w:tcPr>
          <w:p w14:paraId="2B2EB75C" w14:textId="77777777" w:rsidR="00660978" w:rsidRPr="00CB1C46" w:rsidRDefault="00660978" w:rsidP="004873FC">
            <w:pPr>
              <w:pStyle w:val="TableText"/>
              <w:spacing w:before="50" w:after="50"/>
              <w:jc w:val="center"/>
              <w:rPr>
                <w:rFonts w:cs="Calibri"/>
              </w:rPr>
            </w:pPr>
            <w:r w:rsidRPr="00CB1C46">
              <w:rPr>
                <w:rFonts w:cs="Calibri"/>
              </w:rPr>
              <w:t>±2.2</w:t>
            </w:r>
          </w:p>
        </w:tc>
      </w:tr>
      <w:tr w:rsidR="00660978" w:rsidRPr="00CB1C46" w14:paraId="1F3644BA" w14:textId="77777777" w:rsidTr="004873FC">
        <w:tc>
          <w:tcPr>
            <w:tcW w:w="320" w:type="pct"/>
            <w:shd w:val="clear" w:color="auto" w:fill="auto"/>
            <w:noWrap/>
            <w:hideMark/>
          </w:tcPr>
          <w:p w14:paraId="53BC3929"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76E9BC0C" w14:textId="77777777" w:rsidR="00660978" w:rsidRPr="00CB1C46" w:rsidRDefault="00660978" w:rsidP="004873FC">
            <w:pPr>
              <w:pStyle w:val="TableText"/>
              <w:spacing w:before="50" w:after="50"/>
              <w:rPr>
                <w:rFonts w:cs="Calibri"/>
              </w:rPr>
            </w:pPr>
            <w:r w:rsidRPr="00CB1C46">
              <w:rPr>
                <w:rFonts w:cs="Calibri"/>
              </w:rPr>
              <w:t>Gaseous fuels</w:t>
            </w:r>
          </w:p>
        </w:tc>
        <w:tc>
          <w:tcPr>
            <w:tcW w:w="974" w:type="pct"/>
            <w:shd w:val="clear" w:color="auto" w:fill="auto"/>
            <w:noWrap/>
            <w:hideMark/>
          </w:tcPr>
          <w:p w14:paraId="7FE0169C" w14:textId="77777777" w:rsidR="00660978" w:rsidRPr="00CB1C46" w:rsidRDefault="00660978" w:rsidP="004873FC">
            <w:pPr>
              <w:pStyle w:val="TableText"/>
              <w:spacing w:before="50" w:after="50"/>
              <w:jc w:val="center"/>
              <w:rPr>
                <w:rFonts w:cs="Calibri"/>
              </w:rPr>
            </w:pPr>
            <w:r w:rsidRPr="00CB1C46">
              <w:rPr>
                <w:rFonts w:cs="Calibri"/>
              </w:rPr>
              <w:t>9.3</w:t>
            </w:r>
          </w:p>
        </w:tc>
        <w:tc>
          <w:tcPr>
            <w:tcW w:w="1011" w:type="pct"/>
            <w:shd w:val="clear" w:color="auto" w:fill="auto"/>
            <w:noWrap/>
            <w:hideMark/>
          </w:tcPr>
          <w:p w14:paraId="52D0616C" w14:textId="77777777" w:rsidR="00660978" w:rsidRPr="00CB1C46" w:rsidRDefault="00660978" w:rsidP="004873FC">
            <w:pPr>
              <w:pStyle w:val="TableText"/>
              <w:spacing w:before="50" w:after="50"/>
              <w:jc w:val="center"/>
              <w:rPr>
                <w:rFonts w:cs="Calibri"/>
              </w:rPr>
            </w:pPr>
            <w:r w:rsidRPr="00CB1C46">
              <w:rPr>
                <w:rFonts w:cs="Calibri"/>
              </w:rPr>
              <w:t>±2.4</w:t>
            </w:r>
          </w:p>
        </w:tc>
      </w:tr>
      <w:tr w:rsidR="00660978" w:rsidRPr="00CB1C46" w14:paraId="69107E2B" w14:textId="77777777" w:rsidTr="004873FC">
        <w:tc>
          <w:tcPr>
            <w:tcW w:w="320" w:type="pct"/>
            <w:shd w:val="clear" w:color="auto" w:fill="auto"/>
            <w:noWrap/>
            <w:hideMark/>
          </w:tcPr>
          <w:p w14:paraId="7FF75AE6"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4F6726C2" w14:textId="77777777" w:rsidR="00660978" w:rsidRPr="00CB1C46" w:rsidRDefault="00660978" w:rsidP="004873FC">
            <w:pPr>
              <w:pStyle w:val="TableText"/>
              <w:spacing w:before="50" w:after="50"/>
              <w:rPr>
                <w:rFonts w:cs="Calibri"/>
              </w:rPr>
            </w:pPr>
            <w:r w:rsidRPr="00CB1C46">
              <w:rPr>
                <w:rFonts w:cs="Calibri"/>
              </w:rPr>
              <w:t>Fugitive – geothermal</w:t>
            </w:r>
          </w:p>
        </w:tc>
        <w:tc>
          <w:tcPr>
            <w:tcW w:w="974" w:type="pct"/>
            <w:shd w:val="clear" w:color="auto" w:fill="auto"/>
            <w:noWrap/>
            <w:hideMark/>
          </w:tcPr>
          <w:p w14:paraId="4346CE66" w14:textId="77777777" w:rsidR="00660978" w:rsidRPr="00CB1C46" w:rsidRDefault="00660978" w:rsidP="004873FC">
            <w:pPr>
              <w:pStyle w:val="TableText"/>
              <w:spacing w:before="50" w:after="50"/>
              <w:jc w:val="center"/>
              <w:rPr>
                <w:rFonts w:cs="Calibri"/>
              </w:rPr>
            </w:pPr>
            <w:r w:rsidRPr="00CB1C46">
              <w:rPr>
                <w:rFonts w:cs="Calibri"/>
              </w:rPr>
              <w:t>5.0</w:t>
            </w:r>
          </w:p>
        </w:tc>
        <w:tc>
          <w:tcPr>
            <w:tcW w:w="1011" w:type="pct"/>
            <w:shd w:val="clear" w:color="auto" w:fill="auto"/>
            <w:noWrap/>
            <w:hideMark/>
          </w:tcPr>
          <w:p w14:paraId="0E68E471" w14:textId="77777777" w:rsidR="00660978" w:rsidRPr="00CB1C46" w:rsidRDefault="00660978" w:rsidP="004873FC">
            <w:pPr>
              <w:pStyle w:val="TableText"/>
              <w:spacing w:before="50" w:after="50"/>
              <w:jc w:val="center"/>
              <w:rPr>
                <w:rFonts w:cs="Calibri"/>
              </w:rPr>
            </w:pPr>
            <w:r w:rsidRPr="00CB1C46">
              <w:rPr>
                <w:rFonts w:cs="Calibri"/>
              </w:rPr>
              <w:t>±5.0</w:t>
            </w:r>
          </w:p>
        </w:tc>
      </w:tr>
      <w:tr w:rsidR="00660978" w:rsidRPr="00CB1C46" w14:paraId="682B3C2E" w14:textId="77777777" w:rsidTr="004873FC">
        <w:tc>
          <w:tcPr>
            <w:tcW w:w="320" w:type="pct"/>
            <w:shd w:val="clear" w:color="auto" w:fill="auto"/>
            <w:noWrap/>
            <w:hideMark/>
          </w:tcPr>
          <w:p w14:paraId="38C51D86"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7D0A78B7" w14:textId="77777777" w:rsidR="00660978" w:rsidRPr="00CB1C46" w:rsidRDefault="00660978" w:rsidP="004873FC">
            <w:pPr>
              <w:pStyle w:val="TableText"/>
              <w:spacing w:before="50" w:after="50"/>
              <w:rPr>
                <w:rFonts w:cs="Calibri"/>
              </w:rPr>
            </w:pPr>
            <w:r w:rsidRPr="00CB1C46">
              <w:rPr>
                <w:rFonts w:cs="Calibri"/>
              </w:rPr>
              <w:t>Fugitive – venting/flaring</w:t>
            </w:r>
          </w:p>
        </w:tc>
        <w:tc>
          <w:tcPr>
            <w:tcW w:w="974" w:type="pct"/>
            <w:shd w:val="clear" w:color="auto" w:fill="auto"/>
            <w:noWrap/>
            <w:hideMark/>
          </w:tcPr>
          <w:p w14:paraId="15C5F8EC" w14:textId="77777777" w:rsidR="00660978" w:rsidRPr="00CB1C46" w:rsidRDefault="00660978" w:rsidP="004873FC">
            <w:pPr>
              <w:pStyle w:val="TableText"/>
              <w:spacing w:before="50" w:after="50"/>
              <w:jc w:val="center"/>
              <w:rPr>
                <w:rFonts w:cs="Calibri"/>
              </w:rPr>
            </w:pPr>
            <w:r w:rsidRPr="00CB1C46">
              <w:rPr>
                <w:rFonts w:cs="Calibri"/>
              </w:rPr>
              <w:t>9.3</w:t>
            </w:r>
          </w:p>
        </w:tc>
        <w:tc>
          <w:tcPr>
            <w:tcW w:w="1011" w:type="pct"/>
            <w:shd w:val="clear" w:color="auto" w:fill="auto"/>
            <w:noWrap/>
            <w:hideMark/>
          </w:tcPr>
          <w:p w14:paraId="66EB33B3" w14:textId="77777777" w:rsidR="00660978" w:rsidRPr="00CB1C46" w:rsidRDefault="00660978" w:rsidP="004873FC">
            <w:pPr>
              <w:pStyle w:val="TableText"/>
              <w:spacing w:before="50" w:after="50"/>
              <w:jc w:val="center"/>
              <w:rPr>
                <w:rFonts w:cs="Calibri"/>
              </w:rPr>
            </w:pPr>
            <w:r w:rsidRPr="00CB1C46">
              <w:rPr>
                <w:rFonts w:cs="Calibri"/>
              </w:rPr>
              <w:t>±2.4</w:t>
            </w:r>
          </w:p>
        </w:tc>
      </w:tr>
      <w:tr w:rsidR="00660978" w:rsidRPr="00CB1C46" w14:paraId="0AAD0426" w14:textId="77777777" w:rsidTr="004873FC">
        <w:tc>
          <w:tcPr>
            <w:tcW w:w="320" w:type="pct"/>
            <w:shd w:val="clear" w:color="auto" w:fill="auto"/>
            <w:noWrap/>
            <w:hideMark/>
          </w:tcPr>
          <w:p w14:paraId="5DB0AEF7"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5E35160A" w14:textId="77777777" w:rsidR="00660978" w:rsidRPr="00CB1C46" w:rsidRDefault="00660978" w:rsidP="004873FC">
            <w:pPr>
              <w:pStyle w:val="TableText"/>
              <w:spacing w:before="50" w:after="50"/>
              <w:rPr>
                <w:rFonts w:cs="Calibri"/>
              </w:rPr>
            </w:pPr>
            <w:r w:rsidRPr="00CB1C46">
              <w:rPr>
                <w:rFonts w:cs="Calibri"/>
              </w:rPr>
              <w:t>Fugitive – oil and gas production and transport</w:t>
            </w:r>
          </w:p>
        </w:tc>
        <w:tc>
          <w:tcPr>
            <w:tcW w:w="974" w:type="pct"/>
            <w:shd w:val="clear" w:color="auto" w:fill="auto"/>
            <w:noWrap/>
            <w:hideMark/>
          </w:tcPr>
          <w:p w14:paraId="359B7572" w14:textId="77777777" w:rsidR="00660978" w:rsidRPr="00CB1C46" w:rsidRDefault="00660978" w:rsidP="004873FC">
            <w:pPr>
              <w:pStyle w:val="TableText"/>
              <w:spacing w:before="50" w:after="50"/>
              <w:jc w:val="center"/>
              <w:rPr>
                <w:rFonts w:cs="Calibri"/>
              </w:rPr>
            </w:pPr>
            <w:r w:rsidRPr="00CB1C46">
              <w:rPr>
                <w:rFonts w:cs="Calibri"/>
              </w:rPr>
              <w:t>5.0</w:t>
            </w:r>
          </w:p>
        </w:tc>
        <w:tc>
          <w:tcPr>
            <w:tcW w:w="1011" w:type="pct"/>
            <w:shd w:val="clear" w:color="auto" w:fill="auto"/>
            <w:noWrap/>
            <w:hideMark/>
          </w:tcPr>
          <w:p w14:paraId="27F55AE6" w14:textId="77777777" w:rsidR="00660978" w:rsidRPr="00CB1C46" w:rsidRDefault="00660978" w:rsidP="004873FC">
            <w:pPr>
              <w:pStyle w:val="TableText"/>
              <w:spacing w:before="50" w:after="50"/>
              <w:jc w:val="center"/>
              <w:rPr>
                <w:rFonts w:cs="Calibri"/>
              </w:rPr>
            </w:pPr>
            <w:r w:rsidRPr="00CB1C46">
              <w:rPr>
                <w:rFonts w:cs="Calibri"/>
              </w:rPr>
              <w:t>±100.0</w:t>
            </w:r>
          </w:p>
        </w:tc>
      </w:tr>
      <w:tr w:rsidR="00660978" w:rsidRPr="00CB1C46" w14:paraId="15AAE293" w14:textId="77777777" w:rsidTr="004873FC">
        <w:tc>
          <w:tcPr>
            <w:tcW w:w="320" w:type="pct"/>
            <w:shd w:val="clear" w:color="auto" w:fill="auto"/>
            <w:noWrap/>
            <w:hideMark/>
          </w:tcPr>
          <w:p w14:paraId="2A84CA12"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4348EB15" w14:textId="77777777" w:rsidR="00660978" w:rsidRPr="00CB1C46" w:rsidRDefault="00660978" w:rsidP="004873FC">
            <w:pPr>
              <w:pStyle w:val="TableText"/>
              <w:spacing w:before="50" w:after="50"/>
              <w:rPr>
                <w:rFonts w:cs="Calibri"/>
              </w:rPr>
            </w:pPr>
            <w:r w:rsidRPr="00CB1C46">
              <w:rPr>
                <w:rFonts w:cs="Calibri"/>
              </w:rPr>
              <w:t>Fugitive – transmission and distribution</w:t>
            </w:r>
          </w:p>
        </w:tc>
        <w:tc>
          <w:tcPr>
            <w:tcW w:w="974" w:type="pct"/>
            <w:shd w:val="clear" w:color="auto" w:fill="auto"/>
            <w:noWrap/>
            <w:hideMark/>
          </w:tcPr>
          <w:p w14:paraId="5F6F5699" w14:textId="77777777" w:rsidR="00660978" w:rsidRPr="00CB1C46" w:rsidRDefault="00660978" w:rsidP="004873FC">
            <w:pPr>
              <w:pStyle w:val="TableText"/>
              <w:spacing w:before="50" w:after="50"/>
              <w:jc w:val="center"/>
              <w:rPr>
                <w:rFonts w:cs="Calibri"/>
              </w:rPr>
            </w:pPr>
            <w:r w:rsidRPr="00CB1C46">
              <w:rPr>
                <w:rFonts w:cs="Calibri"/>
              </w:rPr>
              <w:t>9.3</w:t>
            </w:r>
          </w:p>
        </w:tc>
        <w:tc>
          <w:tcPr>
            <w:tcW w:w="1011" w:type="pct"/>
            <w:shd w:val="clear" w:color="auto" w:fill="auto"/>
            <w:noWrap/>
            <w:hideMark/>
          </w:tcPr>
          <w:p w14:paraId="4D5A20D8" w14:textId="77777777" w:rsidR="00660978" w:rsidRPr="00CB1C46" w:rsidRDefault="00660978" w:rsidP="004873FC">
            <w:pPr>
              <w:pStyle w:val="TableText"/>
              <w:spacing w:before="50" w:after="50"/>
              <w:jc w:val="center"/>
              <w:rPr>
                <w:rFonts w:cs="Calibri"/>
              </w:rPr>
            </w:pPr>
            <w:r w:rsidRPr="00CB1C46">
              <w:rPr>
                <w:rFonts w:cs="Calibri"/>
              </w:rPr>
              <w:t>±100.0</w:t>
            </w:r>
          </w:p>
        </w:tc>
      </w:tr>
      <w:tr w:rsidR="00660978" w:rsidRPr="00CB1C46" w14:paraId="36CEE845" w14:textId="77777777" w:rsidTr="004873FC">
        <w:tc>
          <w:tcPr>
            <w:tcW w:w="320" w:type="pct"/>
            <w:shd w:val="clear" w:color="auto" w:fill="auto"/>
            <w:noWrap/>
            <w:hideMark/>
          </w:tcPr>
          <w:p w14:paraId="57C2EEA7" w14:textId="77777777" w:rsidR="00660978" w:rsidRPr="00CB1C46" w:rsidRDefault="00660978" w:rsidP="004873FC">
            <w:pPr>
              <w:pStyle w:val="TableText"/>
              <w:spacing w:before="50" w:after="50"/>
              <w:rPr>
                <w:rFonts w:cs="Calibri"/>
              </w:rPr>
            </w:pPr>
            <w:r w:rsidRPr="00CB1C46">
              <w:rPr>
                <w:rFonts w:cs="Calibri"/>
              </w:rPr>
              <w:t>CH</w:t>
            </w:r>
            <w:r w:rsidRPr="00CB1C46">
              <w:rPr>
                <w:rFonts w:cs="Calibri"/>
                <w:vertAlign w:val="subscript"/>
              </w:rPr>
              <w:t>4</w:t>
            </w:r>
          </w:p>
        </w:tc>
        <w:tc>
          <w:tcPr>
            <w:tcW w:w="2695" w:type="pct"/>
            <w:shd w:val="clear" w:color="auto" w:fill="auto"/>
            <w:noWrap/>
            <w:hideMark/>
          </w:tcPr>
          <w:p w14:paraId="6C4A60EB" w14:textId="77777777" w:rsidR="00660978" w:rsidRPr="00CB1C46" w:rsidRDefault="00660978" w:rsidP="004873FC">
            <w:pPr>
              <w:pStyle w:val="TableText"/>
              <w:spacing w:before="50" w:after="50"/>
              <w:rPr>
                <w:rFonts w:cs="Calibri"/>
              </w:rPr>
            </w:pPr>
            <w:r w:rsidRPr="00CB1C46">
              <w:rPr>
                <w:rFonts w:cs="Calibri"/>
              </w:rPr>
              <w:t>Liquid fuels</w:t>
            </w:r>
          </w:p>
        </w:tc>
        <w:tc>
          <w:tcPr>
            <w:tcW w:w="974" w:type="pct"/>
            <w:shd w:val="clear" w:color="auto" w:fill="auto"/>
            <w:noWrap/>
            <w:hideMark/>
          </w:tcPr>
          <w:p w14:paraId="7C7518EB" w14:textId="77777777" w:rsidR="00660978" w:rsidRPr="00CB1C46" w:rsidRDefault="00660978" w:rsidP="004873FC">
            <w:pPr>
              <w:pStyle w:val="TableText"/>
              <w:spacing w:before="50" w:after="50"/>
              <w:jc w:val="center"/>
              <w:rPr>
                <w:rFonts w:cs="Calibri"/>
              </w:rPr>
            </w:pPr>
            <w:r w:rsidRPr="00CB1C46">
              <w:rPr>
                <w:rFonts w:cs="Calibri"/>
              </w:rPr>
              <w:t>1.5</w:t>
            </w:r>
          </w:p>
        </w:tc>
        <w:tc>
          <w:tcPr>
            <w:tcW w:w="1011" w:type="pct"/>
            <w:shd w:val="clear" w:color="auto" w:fill="auto"/>
            <w:noWrap/>
            <w:hideMark/>
          </w:tcPr>
          <w:p w14:paraId="3349F1D3" w14:textId="77777777" w:rsidR="00660978" w:rsidRPr="00CB1C46" w:rsidRDefault="00660978" w:rsidP="004873FC">
            <w:pPr>
              <w:pStyle w:val="TableText"/>
              <w:spacing w:before="50" w:after="50"/>
              <w:jc w:val="center"/>
              <w:rPr>
                <w:rFonts w:cs="Calibri"/>
              </w:rPr>
            </w:pPr>
            <w:r w:rsidRPr="00CB1C46">
              <w:rPr>
                <w:rFonts w:cs="Calibri"/>
              </w:rPr>
              <w:t>±50.0</w:t>
            </w:r>
          </w:p>
        </w:tc>
      </w:tr>
      <w:tr w:rsidR="00660978" w:rsidRPr="00CB1C46" w14:paraId="10E6A525" w14:textId="77777777" w:rsidTr="004873FC">
        <w:tc>
          <w:tcPr>
            <w:tcW w:w="320" w:type="pct"/>
            <w:shd w:val="clear" w:color="auto" w:fill="auto"/>
            <w:noWrap/>
            <w:hideMark/>
          </w:tcPr>
          <w:p w14:paraId="3AB176E2"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452A9172" w14:textId="77777777" w:rsidR="00660978" w:rsidRPr="00CB1C46" w:rsidRDefault="00660978" w:rsidP="004873FC">
            <w:pPr>
              <w:pStyle w:val="TableText"/>
              <w:spacing w:before="50" w:after="50"/>
              <w:rPr>
                <w:rFonts w:cs="Calibri"/>
              </w:rPr>
            </w:pPr>
            <w:r w:rsidRPr="00CB1C46">
              <w:rPr>
                <w:rFonts w:cs="Calibri"/>
              </w:rPr>
              <w:t>Solid fuels</w:t>
            </w:r>
          </w:p>
        </w:tc>
        <w:tc>
          <w:tcPr>
            <w:tcW w:w="974" w:type="pct"/>
            <w:shd w:val="clear" w:color="auto" w:fill="auto"/>
            <w:noWrap/>
            <w:hideMark/>
          </w:tcPr>
          <w:p w14:paraId="0D1A97FC" w14:textId="77777777" w:rsidR="00660978" w:rsidRPr="00CB1C46" w:rsidRDefault="00660978" w:rsidP="004873FC">
            <w:pPr>
              <w:pStyle w:val="TableText"/>
              <w:spacing w:before="50" w:after="50"/>
              <w:jc w:val="center"/>
              <w:rPr>
                <w:rFonts w:cs="Calibri"/>
              </w:rPr>
            </w:pPr>
            <w:r w:rsidRPr="00CB1C46">
              <w:rPr>
                <w:rFonts w:cs="Calibri"/>
              </w:rPr>
              <w:t>4.6</w:t>
            </w:r>
          </w:p>
        </w:tc>
        <w:tc>
          <w:tcPr>
            <w:tcW w:w="1011" w:type="pct"/>
            <w:shd w:val="clear" w:color="auto" w:fill="auto"/>
            <w:noWrap/>
            <w:hideMark/>
          </w:tcPr>
          <w:p w14:paraId="504562A8" w14:textId="77777777" w:rsidR="00660978" w:rsidRPr="00CB1C46" w:rsidRDefault="00660978" w:rsidP="004873FC">
            <w:pPr>
              <w:pStyle w:val="TableText"/>
              <w:spacing w:before="50" w:after="50"/>
              <w:jc w:val="center"/>
              <w:rPr>
                <w:rFonts w:cs="Calibri"/>
              </w:rPr>
            </w:pPr>
            <w:r w:rsidRPr="00CB1C46">
              <w:rPr>
                <w:rFonts w:cs="Calibri"/>
              </w:rPr>
              <w:t>±50.0</w:t>
            </w:r>
          </w:p>
        </w:tc>
      </w:tr>
      <w:tr w:rsidR="00660978" w:rsidRPr="00CB1C46" w14:paraId="52E660E7" w14:textId="77777777" w:rsidTr="004873FC">
        <w:tc>
          <w:tcPr>
            <w:tcW w:w="320" w:type="pct"/>
            <w:shd w:val="clear" w:color="auto" w:fill="auto"/>
            <w:noWrap/>
            <w:hideMark/>
          </w:tcPr>
          <w:p w14:paraId="7B5A354F"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4EBC12BB" w14:textId="77777777" w:rsidR="00660978" w:rsidRPr="00CB1C46" w:rsidRDefault="00660978" w:rsidP="004873FC">
            <w:pPr>
              <w:pStyle w:val="TableText"/>
              <w:spacing w:before="50" w:after="50"/>
              <w:rPr>
                <w:rFonts w:cs="Calibri"/>
              </w:rPr>
            </w:pPr>
            <w:r w:rsidRPr="00CB1C46">
              <w:rPr>
                <w:rFonts w:cs="Calibri"/>
              </w:rPr>
              <w:t>Gaseous fuels</w:t>
            </w:r>
          </w:p>
        </w:tc>
        <w:tc>
          <w:tcPr>
            <w:tcW w:w="974" w:type="pct"/>
            <w:shd w:val="clear" w:color="auto" w:fill="auto"/>
            <w:noWrap/>
            <w:hideMark/>
          </w:tcPr>
          <w:p w14:paraId="202773AA" w14:textId="77777777" w:rsidR="00660978" w:rsidRPr="00CB1C46" w:rsidRDefault="00660978" w:rsidP="004873FC">
            <w:pPr>
              <w:pStyle w:val="TableText"/>
              <w:spacing w:before="50" w:after="50"/>
              <w:jc w:val="center"/>
              <w:rPr>
                <w:rFonts w:cs="Calibri"/>
              </w:rPr>
            </w:pPr>
            <w:r w:rsidRPr="00CB1C46">
              <w:rPr>
                <w:rFonts w:cs="Calibri"/>
              </w:rPr>
              <w:t>9.3</w:t>
            </w:r>
          </w:p>
        </w:tc>
        <w:tc>
          <w:tcPr>
            <w:tcW w:w="1011" w:type="pct"/>
            <w:shd w:val="clear" w:color="auto" w:fill="auto"/>
            <w:noWrap/>
            <w:hideMark/>
          </w:tcPr>
          <w:p w14:paraId="248D1188" w14:textId="77777777" w:rsidR="00660978" w:rsidRPr="00CB1C46" w:rsidRDefault="00660978" w:rsidP="004873FC">
            <w:pPr>
              <w:pStyle w:val="TableText"/>
              <w:spacing w:before="50" w:after="50"/>
              <w:jc w:val="center"/>
              <w:rPr>
                <w:rFonts w:cs="Calibri"/>
              </w:rPr>
            </w:pPr>
            <w:r w:rsidRPr="00CB1C46">
              <w:rPr>
                <w:rFonts w:cs="Calibri"/>
              </w:rPr>
              <w:t>±50.0</w:t>
            </w:r>
          </w:p>
        </w:tc>
      </w:tr>
      <w:tr w:rsidR="00660978" w:rsidRPr="00CB1C46" w14:paraId="622B8863" w14:textId="77777777" w:rsidTr="004873FC">
        <w:tc>
          <w:tcPr>
            <w:tcW w:w="320" w:type="pct"/>
            <w:shd w:val="clear" w:color="auto" w:fill="auto"/>
            <w:noWrap/>
            <w:hideMark/>
          </w:tcPr>
          <w:p w14:paraId="6B20573B"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52BF600E" w14:textId="77777777" w:rsidR="00660978" w:rsidRPr="00CB1C46" w:rsidRDefault="00660978" w:rsidP="004873FC">
            <w:pPr>
              <w:pStyle w:val="TableText"/>
              <w:spacing w:before="50" w:after="50"/>
              <w:rPr>
                <w:rFonts w:cs="Calibri"/>
              </w:rPr>
            </w:pPr>
            <w:r w:rsidRPr="00CB1C46">
              <w:rPr>
                <w:rFonts w:cs="Calibri"/>
              </w:rPr>
              <w:t>Biomass</w:t>
            </w:r>
          </w:p>
        </w:tc>
        <w:tc>
          <w:tcPr>
            <w:tcW w:w="974" w:type="pct"/>
            <w:shd w:val="clear" w:color="auto" w:fill="auto"/>
            <w:noWrap/>
            <w:hideMark/>
          </w:tcPr>
          <w:p w14:paraId="12D4C90A" w14:textId="77777777" w:rsidR="00660978" w:rsidRPr="00CB1C46" w:rsidRDefault="00660978" w:rsidP="004873FC">
            <w:pPr>
              <w:pStyle w:val="TableText"/>
              <w:spacing w:before="50" w:after="50"/>
              <w:jc w:val="center"/>
              <w:rPr>
                <w:rFonts w:cs="Calibri"/>
              </w:rPr>
            </w:pPr>
            <w:r w:rsidRPr="00CB1C46">
              <w:rPr>
                <w:rFonts w:cs="Calibri"/>
              </w:rPr>
              <w:t>50.0</w:t>
            </w:r>
          </w:p>
        </w:tc>
        <w:tc>
          <w:tcPr>
            <w:tcW w:w="1011" w:type="pct"/>
            <w:shd w:val="clear" w:color="auto" w:fill="auto"/>
            <w:noWrap/>
            <w:hideMark/>
          </w:tcPr>
          <w:p w14:paraId="083130D8" w14:textId="77777777" w:rsidR="00660978" w:rsidRPr="00CB1C46" w:rsidRDefault="00660978" w:rsidP="004873FC">
            <w:pPr>
              <w:pStyle w:val="TableText"/>
              <w:spacing w:before="50" w:after="50"/>
              <w:jc w:val="center"/>
              <w:rPr>
                <w:rFonts w:cs="Calibri"/>
              </w:rPr>
            </w:pPr>
            <w:r w:rsidRPr="00CB1C46">
              <w:rPr>
                <w:rFonts w:cs="Calibri"/>
              </w:rPr>
              <w:t>±50.0</w:t>
            </w:r>
          </w:p>
        </w:tc>
      </w:tr>
      <w:tr w:rsidR="00660978" w:rsidRPr="00CB1C46" w14:paraId="49E773FF" w14:textId="77777777" w:rsidTr="004873FC">
        <w:tc>
          <w:tcPr>
            <w:tcW w:w="320" w:type="pct"/>
            <w:shd w:val="clear" w:color="auto" w:fill="auto"/>
            <w:noWrap/>
            <w:hideMark/>
          </w:tcPr>
          <w:p w14:paraId="3B1C2777"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4222D07B" w14:textId="77777777" w:rsidR="00660978" w:rsidRPr="00CB1C46" w:rsidRDefault="00660978" w:rsidP="004873FC">
            <w:pPr>
              <w:pStyle w:val="TableText"/>
              <w:spacing w:before="50" w:after="50"/>
              <w:rPr>
                <w:rFonts w:cs="Calibri"/>
              </w:rPr>
            </w:pPr>
            <w:r w:rsidRPr="00CB1C46">
              <w:rPr>
                <w:rFonts w:cs="Calibri"/>
              </w:rPr>
              <w:t>Fugitive – geothermal</w:t>
            </w:r>
          </w:p>
        </w:tc>
        <w:tc>
          <w:tcPr>
            <w:tcW w:w="974" w:type="pct"/>
            <w:shd w:val="clear" w:color="auto" w:fill="auto"/>
            <w:noWrap/>
            <w:hideMark/>
          </w:tcPr>
          <w:p w14:paraId="4CA4C6C4" w14:textId="77777777" w:rsidR="00660978" w:rsidRPr="00CB1C46" w:rsidRDefault="00660978" w:rsidP="004873FC">
            <w:pPr>
              <w:pStyle w:val="TableText"/>
              <w:spacing w:before="50" w:after="50"/>
              <w:jc w:val="center"/>
              <w:rPr>
                <w:rFonts w:cs="Calibri"/>
              </w:rPr>
            </w:pPr>
            <w:r w:rsidRPr="00CB1C46">
              <w:rPr>
                <w:rFonts w:cs="Calibri"/>
              </w:rPr>
              <w:t>5.0</w:t>
            </w:r>
          </w:p>
        </w:tc>
        <w:tc>
          <w:tcPr>
            <w:tcW w:w="1011" w:type="pct"/>
            <w:shd w:val="clear" w:color="auto" w:fill="auto"/>
            <w:noWrap/>
            <w:hideMark/>
          </w:tcPr>
          <w:p w14:paraId="686A1D00" w14:textId="77777777" w:rsidR="00660978" w:rsidRPr="00CB1C46" w:rsidRDefault="00660978" w:rsidP="004873FC">
            <w:pPr>
              <w:pStyle w:val="TableText"/>
              <w:spacing w:before="50" w:after="50"/>
              <w:jc w:val="center"/>
              <w:rPr>
                <w:rFonts w:cs="Calibri"/>
              </w:rPr>
            </w:pPr>
            <w:r w:rsidRPr="00CB1C46">
              <w:rPr>
                <w:rFonts w:cs="Calibri"/>
              </w:rPr>
              <w:t>±5.0</w:t>
            </w:r>
          </w:p>
        </w:tc>
      </w:tr>
      <w:tr w:rsidR="00660978" w:rsidRPr="00CB1C46" w14:paraId="3DC4339F" w14:textId="77777777" w:rsidTr="004873FC">
        <w:tc>
          <w:tcPr>
            <w:tcW w:w="320" w:type="pct"/>
            <w:shd w:val="clear" w:color="auto" w:fill="auto"/>
            <w:noWrap/>
            <w:hideMark/>
          </w:tcPr>
          <w:p w14:paraId="4F59E629"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46DF9BA5" w14:textId="77777777" w:rsidR="00660978" w:rsidRPr="00CB1C46" w:rsidRDefault="00660978" w:rsidP="004873FC">
            <w:pPr>
              <w:pStyle w:val="TableText"/>
              <w:spacing w:before="50" w:after="50"/>
              <w:rPr>
                <w:rFonts w:cs="Calibri"/>
              </w:rPr>
            </w:pPr>
            <w:r w:rsidRPr="00CB1C46">
              <w:rPr>
                <w:rFonts w:cs="Calibri"/>
              </w:rPr>
              <w:t>Fugitive – venting/flaring</w:t>
            </w:r>
          </w:p>
        </w:tc>
        <w:tc>
          <w:tcPr>
            <w:tcW w:w="974" w:type="pct"/>
            <w:shd w:val="clear" w:color="auto" w:fill="auto"/>
            <w:noWrap/>
            <w:hideMark/>
          </w:tcPr>
          <w:p w14:paraId="0B62E03D" w14:textId="77777777" w:rsidR="00660978" w:rsidRPr="00CB1C46" w:rsidRDefault="00660978" w:rsidP="004873FC">
            <w:pPr>
              <w:pStyle w:val="TableText"/>
              <w:spacing w:before="50" w:after="50"/>
              <w:jc w:val="center"/>
              <w:rPr>
                <w:rFonts w:cs="Calibri"/>
              </w:rPr>
            </w:pPr>
            <w:r w:rsidRPr="00CB1C46">
              <w:rPr>
                <w:rFonts w:cs="Calibri"/>
              </w:rPr>
              <w:t>9.3</w:t>
            </w:r>
          </w:p>
        </w:tc>
        <w:tc>
          <w:tcPr>
            <w:tcW w:w="1011" w:type="pct"/>
            <w:shd w:val="clear" w:color="auto" w:fill="auto"/>
            <w:noWrap/>
            <w:hideMark/>
          </w:tcPr>
          <w:p w14:paraId="6B4128B9" w14:textId="77777777" w:rsidR="00660978" w:rsidRPr="00CB1C46" w:rsidRDefault="00660978" w:rsidP="004873FC">
            <w:pPr>
              <w:pStyle w:val="TableText"/>
              <w:spacing w:before="50" w:after="50"/>
              <w:jc w:val="center"/>
              <w:rPr>
                <w:rFonts w:cs="Calibri"/>
              </w:rPr>
            </w:pPr>
            <w:r w:rsidRPr="00CB1C46">
              <w:rPr>
                <w:rFonts w:cs="Calibri"/>
              </w:rPr>
              <w:t>±50.0</w:t>
            </w:r>
          </w:p>
        </w:tc>
      </w:tr>
      <w:tr w:rsidR="00660978" w:rsidRPr="00CB1C46" w14:paraId="47945FCC" w14:textId="77777777" w:rsidTr="004873FC">
        <w:tc>
          <w:tcPr>
            <w:tcW w:w="320" w:type="pct"/>
            <w:shd w:val="clear" w:color="auto" w:fill="auto"/>
            <w:noWrap/>
            <w:hideMark/>
          </w:tcPr>
          <w:p w14:paraId="2AFD42B0"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50F4314E" w14:textId="77777777" w:rsidR="00660978" w:rsidRPr="00CB1C46" w:rsidRDefault="00660978" w:rsidP="004873FC">
            <w:pPr>
              <w:pStyle w:val="TableText"/>
              <w:spacing w:before="50" w:after="50"/>
              <w:rPr>
                <w:rFonts w:cs="Calibri"/>
              </w:rPr>
            </w:pPr>
            <w:r w:rsidRPr="00CB1C46">
              <w:rPr>
                <w:rFonts w:cs="Calibri"/>
              </w:rPr>
              <w:t>Fugitive – coal mining and handling</w:t>
            </w:r>
          </w:p>
        </w:tc>
        <w:tc>
          <w:tcPr>
            <w:tcW w:w="974" w:type="pct"/>
            <w:shd w:val="clear" w:color="auto" w:fill="auto"/>
            <w:noWrap/>
            <w:hideMark/>
          </w:tcPr>
          <w:p w14:paraId="43144F3C" w14:textId="77777777" w:rsidR="00660978" w:rsidRPr="00CB1C46" w:rsidRDefault="00660978" w:rsidP="004873FC">
            <w:pPr>
              <w:pStyle w:val="TableText"/>
              <w:spacing w:before="50" w:after="50"/>
              <w:jc w:val="center"/>
              <w:rPr>
                <w:rFonts w:cs="Calibri"/>
              </w:rPr>
            </w:pPr>
            <w:r w:rsidRPr="00CB1C46">
              <w:rPr>
                <w:rFonts w:cs="Calibri"/>
              </w:rPr>
              <w:t>4.6</w:t>
            </w:r>
          </w:p>
        </w:tc>
        <w:tc>
          <w:tcPr>
            <w:tcW w:w="1011" w:type="pct"/>
            <w:shd w:val="clear" w:color="auto" w:fill="auto"/>
            <w:noWrap/>
            <w:hideMark/>
          </w:tcPr>
          <w:p w14:paraId="7D3078BA" w14:textId="77777777" w:rsidR="00660978" w:rsidRPr="00CB1C46" w:rsidRDefault="00660978" w:rsidP="004873FC">
            <w:pPr>
              <w:pStyle w:val="TableText"/>
              <w:spacing w:before="50" w:after="50"/>
              <w:jc w:val="center"/>
              <w:rPr>
                <w:rFonts w:cs="Calibri"/>
              </w:rPr>
            </w:pPr>
            <w:r w:rsidRPr="00CB1C46">
              <w:rPr>
                <w:rFonts w:cs="Calibri"/>
              </w:rPr>
              <w:t>±50.0</w:t>
            </w:r>
          </w:p>
        </w:tc>
      </w:tr>
      <w:tr w:rsidR="00660978" w:rsidRPr="00CB1C46" w14:paraId="5F25749E" w14:textId="77777777" w:rsidTr="004873FC">
        <w:tc>
          <w:tcPr>
            <w:tcW w:w="320" w:type="pct"/>
            <w:shd w:val="clear" w:color="auto" w:fill="auto"/>
            <w:noWrap/>
            <w:hideMark/>
          </w:tcPr>
          <w:p w14:paraId="222BE210" w14:textId="77777777" w:rsidR="00660978" w:rsidRPr="00CB1C46" w:rsidRDefault="00660978" w:rsidP="004873FC">
            <w:pPr>
              <w:pStyle w:val="TableText"/>
              <w:spacing w:before="50" w:after="50"/>
              <w:rPr>
                <w:rFonts w:cs="Calibri"/>
              </w:rPr>
            </w:pPr>
            <w:r w:rsidRPr="00CB1C46">
              <w:rPr>
                <w:rFonts w:cs="Calibri"/>
              </w:rPr>
              <w:lastRenderedPageBreak/>
              <w:t> </w:t>
            </w:r>
          </w:p>
        </w:tc>
        <w:tc>
          <w:tcPr>
            <w:tcW w:w="2695" w:type="pct"/>
            <w:shd w:val="clear" w:color="auto" w:fill="auto"/>
            <w:noWrap/>
            <w:hideMark/>
          </w:tcPr>
          <w:p w14:paraId="088C4832" w14:textId="77777777" w:rsidR="00660978" w:rsidRPr="00CB1C46" w:rsidRDefault="00660978" w:rsidP="004873FC">
            <w:pPr>
              <w:pStyle w:val="TableText"/>
              <w:spacing w:before="50" w:after="50"/>
              <w:rPr>
                <w:rFonts w:cs="Calibri"/>
              </w:rPr>
            </w:pPr>
            <w:r w:rsidRPr="00CB1C46">
              <w:rPr>
                <w:rFonts w:cs="Calibri"/>
              </w:rPr>
              <w:t>Fugitive – transmission and distribution</w:t>
            </w:r>
          </w:p>
        </w:tc>
        <w:tc>
          <w:tcPr>
            <w:tcW w:w="974" w:type="pct"/>
            <w:shd w:val="clear" w:color="auto" w:fill="auto"/>
            <w:noWrap/>
            <w:hideMark/>
          </w:tcPr>
          <w:p w14:paraId="08BA6B7A" w14:textId="77777777" w:rsidR="00660978" w:rsidRPr="00CB1C46" w:rsidRDefault="00660978" w:rsidP="004873FC">
            <w:pPr>
              <w:pStyle w:val="TableText"/>
              <w:spacing w:before="50" w:after="50"/>
              <w:jc w:val="center"/>
              <w:rPr>
                <w:rFonts w:cs="Calibri"/>
              </w:rPr>
            </w:pPr>
            <w:r w:rsidRPr="00CB1C46">
              <w:rPr>
                <w:rFonts w:cs="Calibri"/>
              </w:rPr>
              <w:t>9.3</w:t>
            </w:r>
          </w:p>
        </w:tc>
        <w:tc>
          <w:tcPr>
            <w:tcW w:w="1011" w:type="pct"/>
            <w:shd w:val="clear" w:color="auto" w:fill="auto"/>
            <w:noWrap/>
            <w:hideMark/>
          </w:tcPr>
          <w:p w14:paraId="72B9DB78" w14:textId="77777777" w:rsidR="00660978" w:rsidRPr="00CB1C46" w:rsidRDefault="00660978" w:rsidP="004873FC">
            <w:pPr>
              <w:pStyle w:val="TableText"/>
              <w:spacing w:before="50" w:after="50"/>
              <w:jc w:val="center"/>
              <w:rPr>
                <w:rFonts w:cs="Calibri"/>
              </w:rPr>
            </w:pPr>
            <w:r w:rsidRPr="00CB1C46">
              <w:rPr>
                <w:rFonts w:cs="Calibri"/>
              </w:rPr>
              <w:t>±100.0</w:t>
            </w:r>
          </w:p>
        </w:tc>
      </w:tr>
      <w:tr w:rsidR="00660978" w:rsidRPr="00CB1C46" w14:paraId="7816BEEC" w14:textId="77777777" w:rsidTr="004873FC">
        <w:tc>
          <w:tcPr>
            <w:tcW w:w="320" w:type="pct"/>
            <w:shd w:val="clear" w:color="auto" w:fill="auto"/>
            <w:noWrap/>
            <w:hideMark/>
          </w:tcPr>
          <w:p w14:paraId="3AF7AC23"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4A939348" w14:textId="77777777" w:rsidR="00660978" w:rsidRPr="00CB1C46" w:rsidRDefault="00660978" w:rsidP="004873FC">
            <w:pPr>
              <w:pStyle w:val="TableText"/>
              <w:spacing w:before="50" w:after="50"/>
              <w:rPr>
                <w:rFonts w:cs="Calibri"/>
              </w:rPr>
            </w:pPr>
            <w:r w:rsidRPr="00CB1C46">
              <w:rPr>
                <w:rFonts w:cs="Calibri"/>
              </w:rPr>
              <w:t>Fugitive – oil and gas exploration and production</w:t>
            </w:r>
          </w:p>
        </w:tc>
        <w:tc>
          <w:tcPr>
            <w:tcW w:w="974" w:type="pct"/>
            <w:shd w:val="clear" w:color="auto" w:fill="auto"/>
            <w:noWrap/>
            <w:hideMark/>
          </w:tcPr>
          <w:p w14:paraId="1A85FF75" w14:textId="77777777" w:rsidR="00660978" w:rsidRPr="00CB1C46" w:rsidRDefault="00660978" w:rsidP="004873FC">
            <w:pPr>
              <w:pStyle w:val="TableText"/>
              <w:spacing w:before="50" w:after="50"/>
              <w:jc w:val="center"/>
              <w:rPr>
                <w:rFonts w:cs="Calibri"/>
              </w:rPr>
            </w:pPr>
            <w:r w:rsidRPr="00CB1C46">
              <w:rPr>
                <w:rFonts w:cs="Calibri"/>
              </w:rPr>
              <w:t>9.3</w:t>
            </w:r>
          </w:p>
        </w:tc>
        <w:tc>
          <w:tcPr>
            <w:tcW w:w="1011" w:type="pct"/>
            <w:shd w:val="clear" w:color="auto" w:fill="auto"/>
            <w:noWrap/>
            <w:hideMark/>
          </w:tcPr>
          <w:p w14:paraId="21A5FE3A" w14:textId="77777777" w:rsidR="00660978" w:rsidRPr="00CB1C46" w:rsidRDefault="00660978" w:rsidP="004873FC">
            <w:pPr>
              <w:pStyle w:val="TableText"/>
              <w:spacing w:before="50" w:after="50"/>
              <w:jc w:val="center"/>
              <w:rPr>
                <w:rFonts w:cs="Calibri"/>
              </w:rPr>
            </w:pPr>
            <w:r w:rsidRPr="00CB1C46">
              <w:rPr>
                <w:rFonts w:cs="Calibri"/>
              </w:rPr>
              <w:t>±100.0</w:t>
            </w:r>
          </w:p>
        </w:tc>
      </w:tr>
      <w:tr w:rsidR="00660978" w:rsidRPr="00CB1C46" w14:paraId="19FE6B12" w14:textId="77777777" w:rsidTr="004873FC">
        <w:tc>
          <w:tcPr>
            <w:tcW w:w="320" w:type="pct"/>
            <w:shd w:val="clear" w:color="auto" w:fill="auto"/>
            <w:noWrap/>
            <w:hideMark/>
          </w:tcPr>
          <w:p w14:paraId="1BA76B5B"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00CE5336" w14:textId="77777777" w:rsidR="00660978" w:rsidRPr="00CB1C46" w:rsidRDefault="00660978" w:rsidP="004873FC">
            <w:pPr>
              <w:pStyle w:val="TableText"/>
              <w:spacing w:before="50" w:after="50"/>
              <w:rPr>
                <w:rFonts w:cs="Calibri"/>
              </w:rPr>
            </w:pPr>
            <w:r w:rsidRPr="00CB1C46">
              <w:rPr>
                <w:rFonts w:cs="Calibri"/>
              </w:rPr>
              <w:t>Fugitive – oil transportation</w:t>
            </w:r>
          </w:p>
        </w:tc>
        <w:tc>
          <w:tcPr>
            <w:tcW w:w="974" w:type="pct"/>
            <w:shd w:val="clear" w:color="auto" w:fill="auto"/>
            <w:noWrap/>
            <w:hideMark/>
          </w:tcPr>
          <w:p w14:paraId="065AE73B" w14:textId="77777777" w:rsidR="00660978" w:rsidRPr="00CB1C46" w:rsidRDefault="00660978" w:rsidP="004873FC">
            <w:pPr>
              <w:pStyle w:val="TableText"/>
              <w:spacing w:before="50" w:after="50"/>
              <w:jc w:val="center"/>
              <w:rPr>
                <w:rFonts w:cs="Calibri"/>
              </w:rPr>
            </w:pPr>
            <w:r w:rsidRPr="00CB1C46">
              <w:rPr>
                <w:rFonts w:cs="Calibri"/>
              </w:rPr>
              <w:t>5.0</w:t>
            </w:r>
          </w:p>
        </w:tc>
        <w:tc>
          <w:tcPr>
            <w:tcW w:w="1011" w:type="pct"/>
            <w:shd w:val="clear" w:color="auto" w:fill="auto"/>
            <w:noWrap/>
            <w:hideMark/>
          </w:tcPr>
          <w:p w14:paraId="68658724" w14:textId="77777777" w:rsidR="00660978" w:rsidRPr="00CB1C46" w:rsidRDefault="00660978" w:rsidP="004873FC">
            <w:pPr>
              <w:pStyle w:val="TableText"/>
              <w:spacing w:before="50" w:after="50"/>
              <w:jc w:val="center"/>
              <w:rPr>
                <w:rFonts w:cs="Calibri"/>
              </w:rPr>
            </w:pPr>
            <w:r w:rsidRPr="00CB1C46">
              <w:rPr>
                <w:rFonts w:cs="Calibri"/>
              </w:rPr>
              <w:t>±50.0</w:t>
            </w:r>
          </w:p>
        </w:tc>
      </w:tr>
      <w:tr w:rsidR="00660978" w:rsidRPr="00CB1C46" w14:paraId="57177CC9" w14:textId="77777777" w:rsidTr="004873FC">
        <w:tc>
          <w:tcPr>
            <w:tcW w:w="320" w:type="pct"/>
            <w:shd w:val="clear" w:color="auto" w:fill="auto"/>
            <w:noWrap/>
            <w:hideMark/>
          </w:tcPr>
          <w:p w14:paraId="505E56D9" w14:textId="77777777" w:rsidR="00660978" w:rsidRPr="00CB1C46" w:rsidRDefault="00660978" w:rsidP="004873FC">
            <w:pPr>
              <w:pStyle w:val="TableText"/>
              <w:spacing w:before="50" w:after="50"/>
              <w:rPr>
                <w:rFonts w:cs="Calibri"/>
              </w:rPr>
            </w:pPr>
            <w:r w:rsidRPr="00CB1C46">
              <w:rPr>
                <w:rFonts w:cs="Calibri"/>
              </w:rPr>
              <w:t>N</w:t>
            </w:r>
            <w:r w:rsidRPr="00CB1C46">
              <w:rPr>
                <w:rFonts w:cs="Calibri"/>
                <w:vertAlign w:val="subscript"/>
              </w:rPr>
              <w:t>2</w:t>
            </w:r>
            <w:r w:rsidRPr="00CB1C46">
              <w:rPr>
                <w:rFonts w:cs="Calibri"/>
              </w:rPr>
              <w:t>O</w:t>
            </w:r>
          </w:p>
        </w:tc>
        <w:tc>
          <w:tcPr>
            <w:tcW w:w="2695" w:type="pct"/>
            <w:shd w:val="clear" w:color="auto" w:fill="auto"/>
            <w:noWrap/>
            <w:hideMark/>
          </w:tcPr>
          <w:p w14:paraId="4E369D58" w14:textId="77777777" w:rsidR="00660978" w:rsidRPr="00CB1C46" w:rsidRDefault="00660978" w:rsidP="004873FC">
            <w:pPr>
              <w:pStyle w:val="TableText"/>
              <w:spacing w:before="50" w:after="50"/>
              <w:rPr>
                <w:rFonts w:cs="Calibri"/>
              </w:rPr>
            </w:pPr>
            <w:r w:rsidRPr="00CB1C46">
              <w:rPr>
                <w:rFonts w:cs="Calibri"/>
              </w:rPr>
              <w:t>Liquid fuels</w:t>
            </w:r>
          </w:p>
        </w:tc>
        <w:tc>
          <w:tcPr>
            <w:tcW w:w="974" w:type="pct"/>
            <w:shd w:val="clear" w:color="auto" w:fill="auto"/>
            <w:noWrap/>
            <w:hideMark/>
          </w:tcPr>
          <w:p w14:paraId="203F22FF" w14:textId="77777777" w:rsidR="00660978" w:rsidRPr="00CB1C46" w:rsidRDefault="00660978" w:rsidP="004873FC">
            <w:pPr>
              <w:pStyle w:val="TableText"/>
              <w:spacing w:before="50" w:after="50"/>
              <w:jc w:val="center"/>
              <w:rPr>
                <w:rFonts w:cs="Calibri"/>
              </w:rPr>
            </w:pPr>
            <w:r w:rsidRPr="00CB1C46">
              <w:rPr>
                <w:rFonts w:cs="Calibri"/>
              </w:rPr>
              <w:t>1.5</w:t>
            </w:r>
          </w:p>
        </w:tc>
        <w:tc>
          <w:tcPr>
            <w:tcW w:w="1011" w:type="pct"/>
            <w:shd w:val="clear" w:color="auto" w:fill="auto"/>
            <w:noWrap/>
            <w:hideMark/>
          </w:tcPr>
          <w:p w14:paraId="312E44F0" w14:textId="77777777" w:rsidR="00660978" w:rsidRPr="00CB1C46" w:rsidRDefault="00660978" w:rsidP="004873FC">
            <w:pPr>
              <w:pStyle w:val="TableText"/>
              <w:spacing w:before="50" w:after="50"/>
              <w:jc w:val="center"/>
              <w:rPr>
                <w:rFonts w:cs="Calibri"/>
              </w:rPr>
            </w:pPr>
            <w:r w:rsidRPr="00CB1C46">
              <w:rPr>
                <w:rFonts w:cs="Calibri"/>
              </w:rPr>
              <w:t>±50.0</w:t>
            </w:r>
          </w:p>
        </w:tc>
      </w:tr>
      <w:tr w:rsidR="00660978" w:rsidRPr="00CB1C46" w14:paraId="59A480DA" w14:textId="77777777" w:rsidTr="004873FC">
        <w:tc>
          <w:tcPr>
            <w:tcW w:w="320" w:type="pct"/>
            <w:shd w:val="clear" w:color="auto" w:fill="auto"/>
            <w:noWrap/>
            <w:hideMark/>
          </w:tcPr>
          <w:p w14:paraId="3B1AFD71"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1579AA66" w14:textId="77777777" w:rsidR="00660978" w:rsidRPr="00CB1C46" w:rsidRDefault="00660978" w:rsidP="004873FC">
            <w:pPr>
              <w:pStyle w:val="TableText"/>
              <w:spacing w:before="50" w:after="50"/>
              <w:rPr>
                <w:rFonts w:cs="Calibri"/>
              </w:rPr>
            </w:pPr>
            <w:r w:rsidRPr="00CB1C46">
              <w:rPr>
                <w:rFonts w:cs="Calibri"/>
              </w:rPr>
              <w:t>Solid fuels</w:t>
            </w:r>
          </w:p>
        </w:tc>
        <w:tc>
          <w:tcPr>
            <w:tcW w:w="974" w:type="pct"/>
            <w:shd w:val="clear" w:color="auto" w:fill="auto"/>
            <w:noWrap/>
            <w:hideMark/>
          </w:tcPr>
          <w:p w14:paraId="778AD66E" w14:textId="77777777" w:rsidR="00660978" w:rsidRPr="00CB1C46" w:rsidRDefault="00660978" w:rsidP="004873FC">
            <w:pPr>
              <w:pStyle w:val="TableText"/>
              <w:spacing w:before="50" w:after="50"/>
              <w:jc w:val="center"/>
              <w:rPr>
                <w:rFonts w:cs="Calibri"/>
              </w:rPr>
            </w:pPr>
            <w:r w:rsidRPr="00CB1C46">
              <w:rPr>
                <w:rFonts w:cs="Calibri"/>
              </w:rPr>
              <w:t>4.6</w:t>
            </w:r>
          </w:p>
        </w:tc>
        <w:tc>
          <w:tcPr>
            <w:tcW w:w="1011" w:type="pct"/>
            <w:shd w:val="clear" w:color="auto" w:fill="auto"/>
            <w:noWrap/>
            <w:hideMark/>
          </w:tcPr>
          <w:p w14:paraId="24512FD3" w14:textId="77777777" w:rsidR="00660978" w:rsidRPr="00CB1C46" w:rsidRDefault="00660978" w:rsidP="004873FC">
            <w:pPr>
              <w:pStyle w:val="TableText"/>
              <w:spacing w:before="50" w:after="50"/>
              <w:jc w:val="center"/>
              <w:rPr>
                <w:rFonts w:cs="Calibri"/>
              </w:rPr>
            </w:pPr>
            <w:r w:rsidRPr="00CB1C46">
              <w:rPr>
                <w:rFonts w:cs="Calibri"/>
              </w:rPr>
              <w:t>±50.0</w:t>
            </w:r>
          </w:p>
        </w:tc>
      </w:tr>
      <w:tr w:rsidR="00660978" w:rsidRPr="00CB1C46" w14:paraId="560C83F0" w14:textId="77777777" w:rsidTr="004873FC">
        <w:tc>
          <w:tcPr>
            <w:tcW w:w="320" w:type="pct"/>
            <w:shd w:val="clear" w:color="auto" w:fill="auto"/>
            <w:noWrap/>
            <w:hideMark/>
          </w:tcPr>
          <w:p w14:paraId="16F004D0" w14:textId="77777777" w:rsidR="00660978" w:rsidRPr="00CB1C46" w:rsidRDefault="00660978" w:rsidP="004873FC">
            <w:pPr>
              <w:pStyle w:val="TableText"/>
              <w:spacing w:before="50" w:after="50"/>
              <w:rPr>
                <w:rFonts w:cs="Calibri"/>
              </w:rPr>
            </w:pPr>
            <w:r w:rsidRPr="00CB1C46">
              <w:rPr>
                <w:rFonts w:cs="Calibri"/>
              </w:rPr>
              <w:t> </w:t>
            </w:r>
          </w:p>
        </w:tc>
        <w:tc>
          <w:tcPr>
            <w:tcW w:w="2695" w:type="pct"/>
            <w:shd w:val="clear" w:color="auto" w:fill="auto"/>
            <w:noWrap/>
            <w:hideMark/>
          </w:tcPr>
          <w:p w14:paraId="10F55C55" w14:textId="77777777" w:rsidR="00660978" w:rsidRPr="00CB1C46" w:rsidRDefault="00660978" w:rsidP="004873FC">
            <w:pPr>
              <w:pStyle w:val="TableText"/>
              <w:spacing w:before="50" w:after="50"/>
              <w:rPr>
                <w:rFonts w:cs="Calibri"/>
              </w:rPr>
            </w:pPr>
            <w:r w:rsidRPr="00CB1C46">
              <w:rPr>
                <w:rFonts w:cs="Calibri"/>
              </w:rPr>
              <w:t>Gaseous fuels</w:t>
            </w:r>
          </w:p>
        </w:tc>
        <w:tc>
          <w:tcPr>
            <w:tcW w:w="974" w:type="pct"/>
            <w:shd w:val="clear" w:color="auto" w:fill="auto"/>
            <w:noWrap/>
            <w:hideMark/>
          </w:tcPr>
          <w:p w14:paraId="2FE3E845" w14:textId="77777777" w:rsidR="00660978" w:rsidRPr="00CB1C46" w:rsidRDefault="00660978" w:rsidP="004873FC">
            <w:pPr>
              <w:pStyle w:val="TableText"/>
              <w:spacing w:before="50" w:after="50"/>
              <w:jc w:val="center"/>
              <w:rPr>
                <w:rFonts w:cs="Calibri"/>
              </w:rPr>
            </w:pPr>
            <w:r w:rsidRPr="00CB1C46">
              <w:rPr>
                <w:rFonts w:cs="Calibri"/>
              </w:rPr>
              <w:t>9.3</w:t>
            </w:r>
          </w:p>
        </w:tc>
        <w:tc>
          <w:tcPr>
            <w:tcW w:w="1011" w:type="pct"/>
            <w:shd w:val="clear" w:color="auto" w:fill="auto"/>
            <w:noWrap/>
            <w:hideMark/>
          </w:tcPr>
          <w:p w14:paraId="55526C2B" w14:textId="77777777" w:rsidR="00660978" w:rsidRPr="00CB1C46" w:rsidRDefault="00660978" w:rsidP="004873FC">
            <w:pPr>
              <w:pStyle w:val="TableText"/>
              <w:spacing w:before="50" w:after="50"/>
              <w:jc w:val="center"/>
              <w:rPr>
                <w:rFonts w:cs="Calibri"/>
              </w:rPr>
            </w:pPr>
            <w:r w:rsidRPr="00CB1C46">
              <w:rPr>
                <w:rFonts w:cs="Calibri"/>
              </w:rPr>
              <w:t>±50.0</w:t>
            </w:r>
          </w:p>
        </w:tc>
      </w:tr>
      <w:tr w:rsidR="00660978" w:rsidRPr="00CB1C46" w14:paraId="77DDBCA4" w14:textId="77777777" w:rsidTr="004873FC">
        <w:tc>
          <w:tcPr>
            <w:tcW w:w="320" w:type="pct"/>
            <w:shd w:val="clear" w:color="auto" w:fill="auto"/>
            <w:noWrap/>
          </w:tcPr>
          <w:p w14:paraId="392E719E" w14:textId="77777777" w:rsidR="00660978" w:rsidRPr="00CB1C46" w:rsidRDefault="00660978" w:rsidP="004873FC">
            <w:pPr>
              <w:pStyle w:val="TableText"/>
              <w:spacing w:before="50" w:after="50"/>
              <w:rPr>
                <w:rFonts w:cs="Calibri"/>
              </w:rPr>
            </w:pPr>
          </w:p>
        </w:tc>
        <w:tc>
          <w:tcPr>
            <w:tcW w:w="2695" w:type="pct"/>
            <w:shd w:val="clear" w:color="auto" w:fill="auto"/>
            <w:noWrap/>
          </w:tcPr>
          <w:p w14:paraId="45C995A9" w14:textId="77777777" w:rsidR="00660978" w:rsidRPr="00CB1C46" w:rsidRDefault="00660978" w:rsidP="004873FC">
            <w:pPr>
              <w:pStyle w:val="TableText"/>
              <w:spacing w:before="50" w:after="50"/>
              <w:rPr>
                <w:rFonts w:cs="Calibri"/>
                <w:b/>
              </w:rPr>
            </w:pPr>
            <w:r w:rsidRPr="00CB1C46">
              <w:rPr>
                <w:rFonts w:cs="Calibri"/>
              </w:rPr>
              <w:t>Biomass</w:t>
            </w:r>
          </w:p>
        </w:tc>
        <w:tc>
          <w:tcPr>
            <w:tcW w:w="974" w:type="pct"/>
            <w:shd w:val="clear" w:color="auto" w:fill="auto"/>
            <w:noWrap/>
          </w:tcPr>
          <w:p w14:paraId="617F5760" w14:textId="77777777" w:rsidR="00660978" w:rsidRPr="00CB1C46" w:rsidRDefault="00660978" w:rsidP="004873FC">
            <w:pPr>
              <w:pStyle w:val="TableText"/>
              <w:spacing w:before="50" w:after="50"/>
              <w:jc w:val="center"/>
              <w:rPr>
                <w:rFonts w:cs="Calibri"/>
              </w:rPr>
            </w:pPr>
            <w:r w:rsidRPr="00CB1C46">
              <w:rPr>
                <w:rFonts w:cs="Calibri"/>
              </w:rPr>
              <w:t>50.0</w:t>
            </w:r>
          </w:p>
        </w:tc>
        <w:tc>
          <w:tcPr>
            <w:tcW w:w="1011" w:type="pct"/>
            <w:shd w:val="clear" w:color="auto" w:fill="auto"/>
            <w:noWrap/>
          </w:tcPr>
          <w:p w14:paraId="6D47D5B0" w14:textId="77777777" w:rsidR="00660978" w:rsidRPr="00CB1C46" w:rsidRDefault="00660978" w:rsidP="004873FC">
            <w:pPr>
              <w:pStyle w:val="TableText"/>
              <w:spacing w:before="50" w:after="50"/>
              <w:jc w:val="center"/>
              <w:rPr>
                <w:rFonts w:cs="Calibri"/>
              </w:rPr>
            </w:pPr>
            <w:r w:rsidRPr="00CB1C46">
              <w:rPr>
                <w:rFonts w:cs="Calibri"/>
              </w:rPr>
              <w:t>±50.0</w:t>
            </w:r>
          </w:p>
        </w:tc>
      </w:tr>
      <w:tr w:rsidR="00660978" w:rsidRPr="00CB1C46" w14:paraId="2BEBAC98" w14:textId="77777777" w:rsidTr="004873FC">
        <w:tc>
          <w:tcPr>
            <w:tcW w:w="320" w:type="pct"/>
            <w:shd w:val="clear" w:color="auto" w:fill="auto"/>
            <w:noWrap/>
          </w:tcPr>
          <w:p w14:paraId="109ADB96" w14:textId="77777777" w:rsidR="00660978" w:rsidRPr="00CB1C46" w:rsidRDefault="00660978" w:rsidP="004873FC">
            <w:pPr>
              <w:pStyle w:val="TableText"/>
              <w:spacing w:before="50" w:after="50"/>
              <w:rPr>
                <w:rFonts w:cs="Calibri"/>
              </w:rPr>
            </w:pPr>
          </w:p>
        </w:tc>
        <w:tc>
          <w:tcPr>
            <w:tcW w:w="2695" w:type="pct"/>
            <w:shd w:val="clear" w:color="auto" w:fill="auto"/>
            <w:noWrap/>
          </w:tcPr>
          <w:p w14:paraId="1FE6D4A6" w14:textId="77777777" w:rsidR="00660978" w:rsidRPr="00CB1C46" w:rsidRDefault="00660978" w:rsidP="004873FC">
            <w:pPr>
              <w:pStyle w:val="TableText"/>
              <w:spacing w:before="50" w:after="50"/>
              <w:rPr>
                <w:rFonts w:cs="Calibri"/>
              </w:rPr>
            </w:pPr>
            <w:r w:rsidRPr="00CB1C46">
              <w:rPr>
                <w:rFonts w:cs="Calibri"/>
              </w:rPr>
              <w:t>Fugitive – venting/flaring</w:t>
            </w:r>
          </w:p>
        </w:tc>
        <w:tc>
          <w:tcPr>
            <w:tcW w:w="974" w:type="pct"/>
            <w:shd w:val="clear" w:color="auto" w:fill="auto"/>
            <w:noWrap/>
          </w:tcPr>
          <w:p w14:paraId="75789EE5" w14:textId="77777777" w:rsidR="00660978" w:rsidRPr="00CB1C46" w:rsidRDefault="00660978" w:rsidP="004873FC">
            <w:pPr>
              <w:pStyle w:val="TableText"/>
              <w:spacing w:before="50" w:after="50"/>
              <w:jc w:val="center"/>
              <w:rPr>
                <w:rFonts w:cs="Calibri"/>
              </w:rPr>
            </w:pPr>
            <w:r w:rsidRPr="00CB1C46">
              <w:rPr>
                <w:rFonts w:cs="Calibri"/>
              </w:rPr>
              <w:t>5.0</w:t>
            </w:r>
          </w:p>
        </w:tc>
        <w:tc>
          <w:tcPr>
            <w:tcW w:w="1011" w:type="pct"/>
            <w:shd w:val="clear" w:color="auto" w:fill="auto"/>
            <w:noWrap/>
          </w:tcPr>
          <w:p w14:paraId="2F74B90B" w14:textId="77777777" w:rsidR="00660978" w:rsidRPr="00CB1C46" w:rsidRDefault="00660978" w:rsidP="004873FC">
            <w:pPr>
              <w:pStyle w:val="TableText"/>
              <w:spacing w:before="50" w:after="50"/>
              <w:jc w:val="center"/>
              <w:rPr>
                <w:rFonts w:cs="Calibri"/>
              </w:rPr>
            </w:pPr>
            <w:r w:rsidRPr="00CB1C46">
              <w:rPr>
                <w:rFonts w:cs="Calibri"/>
              </w:rPr>
              <w:t>±100.0</w:t>
            </w:r>
          </w:p>
        </w:tc>
      </w:tr>
    </w:tbl>
    <w:p w14:paraId="0B4915A5" w14:textId="77777777" w:rsidR="00660978" w:rsidRPr="00CB1C46" w:rsidRDefault="00660978" w:rsidP="00660978">
      <w:pPr>
        <w:pStyle w:val="BodyText"/>
        <w:spacing w:before="240"/>
        <w:rPr>
          <w:rFonts w:cs="Calibri"/>
        </w:rPr>
      </w:pPr>
      <w:r w:rsidRPr="00CB1C46">
        <w:rPr>
          <w:rFonts w:cs="Calibri"/>
          <w:lang w:eastAsia="en-GB"/>
        </w:rPr>
        <w:t>New Zealand uses the percentage difference between annual calculated consumer energy from supply-side surveys and annual observed consumer energy from demand-side surveys to estimate activity data uncertainty. As a result, activity data uncertainty can vary significantly from year to year.</w:t>
      </w:r>
    </w:p>
    <w:p w14:paraId="0DD006ED" w14:textId="77777777" w:rsidR="00660978" w:rsidRPr="00CB1C46" w:rsidRDefault="00660978" w:rsidP="00660978">
      <w:pPr>
        <w:pStyle w:val="Heading3"/>
        <w:spacing w:before="240"/>
        <w:rPr>
          <w:rFonts w:cs="Calibri"/>
        </w:rPr>
      </w:pPr>
      <w:r w:rsidRPr="00CB1C46">
        <w:rPr>
          <w:rFonts w:cs="Calibri"/>
        </w:rPr>
        <w:t>3.3.6</w:t>
      </w:r>
      <w:r w:rsidRPr="00CB1C46">
        <w:rPr>
          <w:rFonts w:cs="Calibri"/>
        </w:rPr>
        <w:tab/>
        <w:t>Fuel combustion: Energy industries (CRF 1.A.1)</w:t>
      </w:r>
    </w:p>
    <w:p w14:paraId="00A67D7B" w14:textId="77777777" w:rsidR="00660978" w:rsidRPr="00CB1C46" w:rsidRDefault="00660978" w:rsidP="00660978">
      <w:pPr>
        <w:pStyle w:val="Heading4"/>
      </w:pPr>
      <w:r w:rsidRPr="00CB1C46">
        <w:rPr>
          <w:lang w:eastAsia="en-GB"/>
        </w:rPr>
        <w:t>Description</w:t>
      </w:r>
    </w:p>
    <w:p w14:paraId="0E2880D3" w14:textId="77777777" w:rsidR="00660978" w:rsidRPr="00CB1C46" w:rsidRDefault="00660978" w:rsidP="00660978">
      <w:pPr>
        <w:pStyle w:val="BodyText"/>
        <w:rPr>
          <w:rFonts w:cs="Calibri"/>
          <w:lang w:eastAsia="en-GB"/>
        </w:rPr>
      </w:pPr>
      <w:r w:rsidRPr="00CB1C46">
        <w:rPr>
          <w:rFonts w:cs="Calibri"/>
          <w:lang w:eastAsia="en-GB"/>
        </w:rPr>
        <w:t xml:space="preserve">This category includes combustion for public electricity and heat production, petroleum refining and the manufacture of solid fuels and other energy industries. The latter category includes estimates for natural gas in oil and gas extraction and from natural gas in synthetic gasoline production. The excess </w:t>
      </w:r>
      <w:r w:rsidRPr="00CB1C46">
        <w:rPr>
          <w:rFonts w:cs="Calibri"/>
        </w:rPr>
        <w:t>CO</w:t>
      </w:r>
      <w:r w:rsidRPr="00CB1C46">
        <w:rPr>
          <w:rFonts w:cs="Calibri"/>
          <w:vertAlign w:val="subscript"/>
        </w:rPr>
        <w:t>2</w:t>
      </w:r>
      <w:r w:rsidRPr="00CB1C46">
        <w:rPr>
          <w:rFonts w:cs="Calibri"/>
          <w:sz w:val="14"/>
          <w:szCs w:val="14"/>
          <w:lang w:eastAsia="en-GB"/>
        </w:rPr>
        <w:t xml:space="preserve"> </w:t>
      </w:r>
      <w:r w:rsidRPr="00CB1C46">
        <w:rPr>
          <w:rFonts w:cs="Calibri"/>
          <w:lang w:eastAsia="en-GB"/>
        </w:rPr>
        <w:t xml:space="preserve">removed from Kapuni gas at the Kapuni Gas Treatment Plant has also been reported in the </w:t>
      </w:r>
      <w:r w:rsidRPr="00CB1C46">
        <w:rPr>
          <w:rFonts w:cs="Calibri"/>
          <w:i/>
          <w:lang w:eastAsia="en-GB"/>
        </w:rPr>
        <w:t>Manufacture of solid fuels and other energy industries</w:t>
      </w:r>
      <w:r w:rsidRPr="00CB1C46">
        <w:rPr>
          <w:rFonts w:cs="Calibri"/>
          <w:lang w:eastAsia="en-GB"/>
        </w:rPr>
        <w:t xml:space="preserve"> category because of confidentiality concerns.</w:t>
      </w:r>
    </w:p>
    <w:p w14:paraId="42E2C76A" w14:textId="77777777" w:rsidR="00660978" w:rsidRPr="00CB1C46" w:rsidRDefault="00660978" w:rsidP="00660978">
      <w:pPr>
        <w:pStyle w:val="BodyText"/>
        <w:rPr>
          <w:rFonts w:cs="Calibri"/>
          <w:lang w:eastAsia="en-GB"/>
        </w:rPr>
      </w:pPr>
      <w:r w:rsidRPr="00CB1C46">
        <w:rPr>
          <w:rFonts w:cs="Calibri"/>
          <w:lang w:eastAsia="en-GB"/>
        </w:rPr>
        <w:t xml:space="preserve">In </w:t>
      </w:r>
      <w:r w:rsidRPr="00CB1C46">
        <w:rPr>
          <w:rFonts w:cs="Calibri"/>
        </w:rPr>
        <w:t>2020</w:t>
      </w:r>
      <w:r w:rsidRPr="00CB1C46">
        <w:rPr>
          <w:rFonts w:cs="Calibri"/>
          <w:lang w:eastAsia="en-GB"/>
        </w:rPr>
        <w:t xml:space="preserve">, emissions in category 1.A.1 </w:t>
      </w:r>
      <w:r w:rsidRPr="00CB1C46">
        <w:rPr>
          <w:rFonts w:cs="Calibri"/>
          <w:i/>
          <w:lang w:eastAsia="en-GB"/>
        </w:rPr>
        <w:t>Energy industries</w:t>
      </w:r>
      <w:r w:rsidRPr="00CB1C46">
        <w:rPr>
          <w:rFonts w:cs="Calibri"/>
          <w:lang w:eastAsia="en-GB"/>
        </w:rPr>
        <w:t xml:space="preserve"> totalled 5,574.6</w:t>
      </w:r>
      <w:r w:rsidRPr="00CB1C46">
        <w:rPr>
          <w:rFonts w:cs="Calibri"/>
        </w:rPr>
        <w:t xml:space="preserve"> </w:t>
      </w:r>
      <w:r w:rsidRPr="00CB1C46">
        <w:rPr>
          <w:rFonts w:cs="Calibri"/>
          <w:lang w:eastAsia="en-GB"/>
        </w:rPr>
        <w:t>kt CO</w:t>
      </w:r>
      <w:r w:rsidRPr="00CB1C46">
        <w:rPr>
          <w:rFonts w:cs="Calibri"/>
          <w:vertAlign w:val="subscript"/>
          <w:lang w:eastAsia="en-GB"/>
        </w:rPr>
        <w:t>2</w:t>
      </w:r>
      <w:r w:rsidRPr="00CB1C46">
        <w:rPr>
          <w:rFonts w:cs="Calibri"/>
          <w:lang w:eastAsia="en-GB"/>
        </w:rPr>
        <w:t>-e (</w:t>
      </w:r>
      <w:r w:rsidRPr="00CB1C46">
        <w:rPr>
          <w:rFonts w:cs="Calibri"/>
        </w:rPr>
        <w:t>17.7 per cent</w:t>
      </w:r>
      <w:r w:rsidRPr="00CB1C46">
        <w:rPr>
          <w:rFonts w:cs="Calibri"/>
          <w:lang w:eastAsia="en-GB"/>
        </w:rPr>
        <w:t xml:space="preserve"> of the Energy sector emissions). Emissions from energy industries in 2020 were</w:t>
      </w:r>
      <w:r w:rsidRPr="00CB1C46">
        <w:rPr>
          <w:rFonts w:cs="Calibri"/>
        </w:rPr>
        <w:t xml:space="preserve"> 412.2 </w:t>
      </w:r>
      <w:r w:rsidRPr="00CB1C46">
        <w:rPr>
          <w:rFonts w:cs="Calibri"/>
          <w:lang w:eastAsia="en-GB"/>
        </w:rPr>
        <w:t>kt CO</w:t>
      </w:r>
      <w:r w:rsidRPr="00CB1C46">
        <w:rPr>
          <w:rFonts w:cs="Calibri"/>
          <w:vertAlign w:val="subscript"/>
          <w:lang w:eastAsia="en-GB"/>
        </w:rPr>
        <w:t>2</w:t>
      </w:r>
      <w:r w:rsidRPr="00CB1C46">
        <w:rPr>
          <w:rFonts w:cs="Calibri"/>
          <w:lang w:eastAsia="en-GB"/>
        </w:rPr>
        <w:noBreakHyphen/>
        <w:t>e (6.9</w:t>
      </w:r>
      <w:r w:rsidRPr="00CB1C46">
        <w:rPr>
          <w:rFonts w:cs="Calibri"/>
        </w:rPr>
        <w:t xml:space="preserve"> per cent</w:t>
      </w:r>
      <w:r w:rsidRPr="00CB1C46">
        <w:rPr>
          <w:rFonts w:cs="Calibri"/>
          <w:lang w:eastAsia="en-GB"/>
        </w:rPr>
        <w:t xml:space="preserve">) lower than the 1990 level of </w:t>
      </w:r>
      <w:r w:rsidRPr="00CB1C46">
        <w:rPr>
          <w:rFonts w:cs="Calibri"/>
        </w:rPr>
        <w:t xml:space="preserve">5,986.9 </w:t>
      </w:r>
      <w:r w:rsidRPr="00CB1C46">
        <w:rPr>
          <w:rFonts w:cs="Calibri"/>
          <w:lang w:eastAsia="en-GB"/>
        </w:rPr>
        <w:t>kt CO</w:t>
      </w:r>
      <w:r w:rsidRPr="00CB1C46">
        <w:rPr>
          <w:rFonts w:cs="Calibri"/>
          <w:vertAlign w:val="subscript"/>
          <w:lang w:eastAsia="en-GB"/>
        </w:rPr>
        <w:t>2</w:t>
      </w:r>
      <w:r w:rsidRPr="00CB1C46">
        <w:rPr>
          <w:rFonts w:cs="Calibri"/>
          <w:lang w:eastAsia="en-GB"/>
        </w:rPr>
        <w:t xml:space="preserve">-e. Category 1.A.1.a </w:t>
      </w:r>
      <w:r w:rsidRPr="00CB1C46">
        <w:rPr>
          <w:rFonts w:cs="Calibri"/>
          <w:i/>
          <w:lang w:eastAsia="en-GB"/>
        </w:rPr>
        <w:t>Public electricity and heat production</w:t>
      </w:r>
      <w:r w:rsidRPr="00CB1C46">
        <w:rPr>
          <w:rFonts w:cs="Calibri"/>
          <w:lang w:eastAsia="en-GB"/>
        </w:rPr>
        <w:t xml:space="preserve"> accounted for 4,617.6 kt CO</w:t>
      </w:r>
      <w:r w:rsidRPr="00CB1C46">
        <w:rPr>
          <w:rFonts w:cs="Calibri"/>
          <w:vertAlign w:val="subscript"/>
          <w:lang w:eastAsia="en-GB"/>
        </w:rPr>
        <w:t>2</w:t>
      </w:r>
      <w:r w:rsidRPr="00CB1C46">
        <w:rPr>
          <w:rFonts w:cs="Calibri"/>
          <w:lang w:eastAsia="en-GB"/>
        </w:rPr>
        <w:t xml:space="preserve">-e of emissions from the </w:t>
      </w:r>
      <w:r w:rsidRPr="00CB1C46">
        <w:rPr>
          <w:rFonts w:cs="Calibri"/>
          <w:i/>
          <w:lang w:eastAsia="en-GB"/>
        </w:rPr>
        <w:t>Energy industries</w:t>
      </w:r>
      <w:r w:rsidRPr="00CB1C46">
        <w:rPr>
          <w:rFonts w:cs="Calibri"/>
          <w:lang w:eastAsia="en-GB"/>
        </w:rPr>
        <w:t xml:space="preserve"> category in </w:t>
      </w:r>
      <w:r w:rsidRPr="00CB1C46">
        <w:rPr>
          <w:rFonts w:cs="Calibri"/>
        </w:rPr>
        <w:t>2020</w:t>
      </w:r>
      <w:r w:rsidRPr="00CB1C46">
        <w:rPr>
          <w:rFonts w:cs="Calibri"/>
          <w:lang w:eastAsia="en-GB"/>
        </w:rPr>
        <w:t>. This is 1,127.4</w:t>
      </w:r>
      <w:r w:rsidRPr="00CB1C46">
        <w:rPr>
          <w:rFonts w:cs="Calibri"/>
        </w:rPr>
        <w:t> </w:t>
      </w:r>
      <w:r w:rsidRPr="00CB1C46">
        <w:rPr>
          <w:rFonts w:cs="Calibri"/>
          <w:lang w:eastAsia="en-GB"/>
        </w:rPr>
        <w:t>kt CO</w:t>
      </w:r>
      <w:r w:rsidRPr="00CB1C46">
        <w:rPr>
          <w:rFonts w:cs="Calibri"/>
          <w:vertAlign w:val="subscript"/>
          <w:lang w:eastAsia="en-GB"/>
        </w:rPr>
        <w:t>2</w:t>
      </w:r>
      <w:r w:rsidRPr="00CB1C46">
        <w:rPr>
          <w:rFonts w:cs="Calibri"/>
          <w:lang w:eastAsia="en-GB"/>
        </w:rPr>
        <w:noBreakHyphen/>
        <w:t>e (32.3</w:t>
      </w:r>
      <w:r w:rsidRPr="00CB1C46">
        <w:rPr>
          <w:rFonts w:cs="Calibri"/>
        </w:rPr>
        <w:t> per cent</w:t>
      </w:r>
      <w:r w:rsidRPr="00CB1C46">
        <w:rPr>
          <w:rFonts w:cs="Calibri"/>
          <w:lang w:eastAsia="en-GB"/>
        </w:rPr>
        <w:t xml:space="preserve">) higher than the 1990 level of </w:t>
      </w:r>
      <w:r w:rsidRPr="00CB1C46">
        <w:rPr>
          <w:rFonts w:cs="Calibri"/>
        </w:rPr>
        <w:t>3,490.1 </w:t>
      </w:r>
      <w:r w:rsidRPr="00CB1C46">
        <w:rPr>
          <w:rFonts w:cs="Calibri"/>
          <w:lang w:eastAsia="en-GB"/>
        </w:rPr>
        <w:t>kt CO</w:t>
      </w:r>
      <w:r w:rsidRPr="00CB1C46">
        <w:rPr>
          <w:rFonts w:cs="Calibri"/>
          <w:vertAlign w:val="subscript"/>
          <w:lang w:eastAsia="en-GB"/>
        </w:rPr>
        <w:t>2</w:t>
      </w:r>
      <w:r w:rsidRPr="00CB1C46">
        <w:rPr>
          <w:rFonts w:cs="Calibri"/>
          <w:lang w:eastAsia="en-GB"/>
        </w:rPr>
        <w:t>-e.</w:t>
      </w:r>
    </w:p>
    <w:p w14:paraId="11090BA9" w14:textId="77777777" w:rsidR="00660978" w:rsidRPr="00CB1C46" w:rsidRDefault="00660978" w:rsidP="00660978">
      <w:pPr>
        <w:pStyle w:val="Heading4"/>
      </w:pPr>
      <w:r w:rsidRPr="00CB1C46">
        <w:rPr>
          <w:lang w:eastAsia="en-GB"/>
        </w:rPr>
        <w:t xml:space="preserve">Changes in emissions between </w:t>
      </w:r>
      <w:r w:rsidRPr="00CB1C46">
        <w:t xml:space="preserve">2019 </w:t>
      </w:r>
      <w:r w:rsidRPr="00CB1C46">
        <w:rPr>
          <w:lang w:eastAsia="en-GB"/>
        </w:rPr>
        <w:t xml:space="preserve">and </w:t>
      </w:r>
      <w:r w:rsidRPr="00CB1C46">
        <w:t>2020</w:t>
      </w:r>
    </w:p>
    <w:p w14:paraId="2310FB9B" w14:textId="77777777" w:rsidR="00660978" w:rsidRPr="00CB1C46" w:rsidRDefault="00660978" w:rsidP="00660978">
      <w:pPr>
        <w:pStyle w:val="BodyText"/>
        <w:rPr>
          <w:rFonts w:cs="Calibri"/>
          <w:lang w:eastAsia="en-GB"/>
        </w:rPr>
      </w:pPr>
      <w:r w:rsidRPr="00CB1C46">
        <w:rPr>
          <w:rFonts w:cs="Calibri"/>
          <w:lang w:eastAsia="en-GB"/>
        </w:rPr>
        <w:t xml:space="preserve">Between </w:t>
      </w:r>
      <w:r w:rsidRPr="00CB1C46">
        <w:rPr>
          <w:rFonts w:cs="Calibri"/>
        </w:rPr>
        <w:t xml:space="preserve">2019 </w:t>
      </w:r>
      <w:r w:rsidRPr="00CB1C46">
        <w:rPr>
          <w:rFonts w:cs="Calibri"/>
          <w:lang w:eastAsia="en-GB"/>
        </w:rPr>
        <w:t xml:space="preserve">and </w:t>
      </w:r>
      <w:r w:rsidRPr="00CB1C46">
        <w:rPr>
          <w:rFonts w:cs="Calibri"/>
        </w:rPr>
        <w:t>2020</w:t>
      </w:r>
      <w:r w:rsidRPr="00CB1C46">
        <w:rPr>
          <w:rFonts w:cs="Calibri"/>
          <w:lang w:eastAsia="en-GB"/>
        </w:rPr>
        <w:t>, a</w:t>
      </w:r>
      <w:r w:rsidRPr="00CB1C46">
        <w:rPr>
          <w:rFonts w:cs="Calibri"/>
        </w:rPr>
        <w:t xml:space="preserve">n increase of 401.5 </w:t>
      </w:r>
      <w:r w:rsidRPr="00CB1C46">
        <w:rPr>
          <w:rFonts w:cs="Calibri"/>
          <w:lang w:eastAsia="en-GB"/>
        </w:rPr>
        <w:t>kt CO</w:t>
      </w:r>
      <w:r w:rsidRPr="00CB1C46">
        <w:rPr>
          <w:rFonts w:cs="Calibri"/>
          <w:vertAlign w:val="subscript"/>
          <w:lang w:eastAsia="en-GB"/>
        </w:rPr>
        <w:t>2</w:t>
      </w:r>
      <w:r w:rsidRPr="00CB1C46">
        <w:rPr>
          <w:rFonts w:cs="Calibri"/>
          <w:lang w:eastAsia="en-GB"/>
        </w:rPr>
        <w:t>-e (9.5</w:t>
      </w:r>
      <w:r w:rsidRPr="00CB1C46">
        <w:rPr>
          <w:rFonts w:cs="Calibri"/>
        </w:rPr>
        <w:t xml:space="preserve"> per cent</w:t>
      </w:r>
      <w:r w:rsidRPr="00CB1C46">
        <w:rPr>
          <w:rFonts w:cs="Calibri"/>
          <w:lang w:eastAsia="en-GB"/>
        </w:rPr>
        <w:t xml:space="preserve">) occurred in emissions from 1.A.1.a </w:t>
      </w:r>
      <w:r w:rsidRPr="00CB1C46">
        <w:rPr>
          <w:rFonts w:cs="Calibri"/>
          <w:i/>
          <w:lang w:eastAsia="en-GB"/>
        </w:rPr>
        <w:t>Public electricity and heat production</w:t>
      </w:r>
      <w:r w:rsidRPr="00CB1C46">
        <w:rPr>
          <w:rFonts w:cs="Calibri"/>
          <w:lang w:eastAsia="en-GB"/>
        </w:rPr>
        <w:t>. This was largely because the</w:t>
      </w:r>
      <w:r w:rsidRPr="00CB1C46">
        <w:rPr>
          <w:rFonts w:cs="Calibri"/>
        </w:rPr>
        <w:t xml:space="preserve"> share of electricity generated from renewable energy sources was 81 per cent in 2020, down from 83 per cent in 2019. This drop was mainly caused by reduced hydro inflows over the course of the year. The reduced hydro generation was compensated for by increased gas and coal-fired generation over the year, which together </w:t>
      </w:r>
      <w:r w:rsidRPr="00CB1C46">
        <w:rPr>
          <w:rFonts w:cs="Calibri"/>
          <w:lang w:eastAsia="en-GB"/>
        </w:rPr>
        <w:t xml:space="preserve">increased 7.5 per cent from </w:t>
      </w:r>
      <w:r w:rsidRPr="00CB1C46">
        <w:rPr>
          <w:rFonts w:cs="Calibri"/>
        </w:rPr>
        <w:t>2019</w:t>
      </w:r>
      <w:r w:rsidRPr="00CB1C46">
        <w:rPr>
          <w:rFonts w:cs="Calibri"/>
          <w:lang w:eastAsia="en-GB"/>
        </w:rPr>
        <w:t>.</w:t>
      </w:r>
    </w:p>
    <w:p w14:paraId="5D913F66" w14:textId="77777777" w:rsidR="00660978" w:rsidRPr="00CB1C46" w:rsidRDefault="00660978" w:rsidP="00660978">
      <w:pPr>
        <w:pStyle w:val="BodyText"/>
        <w:rPr>
          <w:rFonts w:cs="Calibri"/>
        </w:rPr>
      </w:pPr>
      <w:r w:rsidRPr="00CB1C46">
        <w:rPr>
          <w:rFonts w:cs="Calibri"/>
        </w:rPr>
        <w:t xml:space="preserve">Key categories identified in the 2020 level and trend assessment for the </w:t>
      </w:r>
      <w:r w:rsidRPr="00CB1C46">
        <w:rPr>
          <w:rFonts w:cs="Calibri"/>
          <w:i/>
        </w:rPr>
        <w:t>Energy industries</w:t>
      </w:r>
      <w:r w:rsidRPr="00CB1C46">
        <w:rPr>
          <w:rFonts w:cs="Calibri"/>
        </w:rPr>
        <w:t xml:space="preserve"> category are given in table 3.3.2.</w:t>
      </w:r>
    </w:p>
    <w:p w14:paraId="283A20F2" w14:textId="77777777" w:rsidR="00660978" w:rsidRPr="00CB1C46" w:rsidRDefault="00660978" w:rsidP="00660978">
      <w:pPr>
        <w:pStyle w:val="Table"/>
      </w:pPr>
      <w:bookmarkStart w:id="288" w:name="_Toc68786406"/>
      <w:bookmarkStart w:id="289" w:name="_Toc99659214"/>
      <w:r w:rsidRPr="00CB1C46">
        <w:t>Table 3.3.2</w:t>
      </w:r>
      <w:r w:rsidRPr="00CB1C46">
        <w:tab/>
        <w:t xml:space="preserve">Key categories for 1.A.1 </w:t>
      </w:r>
      <w:r w:rsidRPr="00AF7FAF">
        <w:rPr>
          <w:i/>
          <w:iCs/>
        </w:rPr>
        <w:t>Energy industries</w:t>
      </w:r>
      <w:bookmarkEnd w:id="288"/>
      <w:bookmarkEnd w:id="289"/>
    </w:p>
    <w:tbl>
      <w:tblPr>
        <w:tblW w:w="8505" w:type="dxa"/>
        <w:tblInd w:w="113"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4788"/>
        <w:gridCol w:w="1267"/>
        <w:gridCol w:w="1266"/>
        <w:gridCol w:w="1184"/>
      </w:tblGrid>
      <w:tr w:rsidR="00660978" w:rsidRPr="00CB1C46" w14:paraId="7641EF3B" w14:textId="77777777" w:rsidTr="004873FC">
        <w:trPr>
          <w:tblHeader/>
        </w:trPr>
        <w:tc>
          <w:tcPr>
            <w:tcW w:w="2815" w:type="pct"/>
            <w:shd w:val="clear" w:color="auto" w:fill="1B556B"/>
            <w:noWrap/>
            <w:vAlign w:val="bottom"/>
            <w:hideMark/>
          </w:tcPr>
          <w:p w14:paraId="590EA52D" w14:textId="77777777" w:rsidR="00660978" w:rsidRPr="00CB1C46" w:rsidRDefault="00660978" w:rsidP="004873FC">
            <w:pPr>
              <w:pStyle w:val="TableTextBold"/>
              <w:rPr>
                <w:rFonts w:cs="Calibri"/>
                <w:noProof w:val="0"/>
                <w:color w:val="FFFFFF"/>
              </w:rPr>
            </w:pPr>
          </w:p>
        </w:tc>
        <w:tc>
          <w:tcPr>
            <w:tcW w:w="745" w:type="pct"/>
            <w:shd w:val="clear" w:color="auto" w:fill="1B556B"/>
            <w:noWrap/>
            <w:vAlign w:val="bottom"/>
            <w:hideMark/>
          </w:tcPr>
          <w:p w14:paraId="21E39135" w14:textId="77777777" w:rsidR="00660978" w:rsidRPr="00CB1C46" w:rsidRDefault="00660978" w:rsidP="004873FC">
            <w:pPr>
              <w:pStyle w:val="TableTextBold"/>
              <w:rPr>
                <w:rFonts w:cs="Calibri"/>
                <w:noProof w:val="0"/>
                <w:color w:val="FFFFFF"/>
              </w:rPr>
            </w:pPr>
            <w:r w:rsidRPr="00CB1C46">
              <w:rPr>
                <w:rFonts w:cs="Calibri"/>
                <w:noProof w:val="0"/>
                <w:color w:val="FFFFFF"/>
              </w:rPr>
              <w:t>Liquid fuels</w:t>
            </w:r>
          </w:p>
        </w:tc>
        <w:tc>
          <w:tcPr>
            <w:tcW w:w="744" w:type="pct"/>
            <w:shd w:val="clear" w:color="auto" w:fill="1B556B"/>
            <w:vAlign w:val="bottom"/>
            <w:hideMark/>
          </w:tcPr>
          <w:p w14:paraId="32465A46" w14:textId="77777777" w:rsidR="00660978" w:rsidRPr="00CB1C46" w:rsidRDefault="00660978" w:rsidP="004873FC">
            <w:pPr>
              <w:pStyle w:val="TableTextBold"/>
              <w:rPr>
                <w:rFonts w:cs="Calibri"/>
                <w:noProof w:val="0"/>
                <w:color w:val="FFFFFF"/>
              </w:rPr>
            </w:pPr>
            <w:r w:rsidRPr="00CB1C46">
              <w:rPr>
                <w:rFonts w:cs="Calibri"/>
                <w:noProof w:val="0"/>
                <w:color w:val="FFFFFF"/>
              </w:rPr>
              <w:t>Solid fuels</w:t>
            </w:r>
          </w:p>
        </w:tc>
        <w:tc>
          <w:tcPr>
            <w:tcW w:w="696" w:type="pct"/>
            <w:shd w:val="clear" w:color="auto" w:fill="1B556B"/>
            <w:vAlign w:val="bottom"/>
            <w:hideMark/>
          </w:tcPr>
          <w:p w14:paraId="5001F5DD" w14:textId="77777777" w:rsidR="00660978" w:rsidRPr="00CB1C46" w:rsidRDefault="00660978" w:rsidP="004873FC">
            <w:pPr>
              <w:pStyle w:val="TableTextBold"/>
              <w:rPr>
                <w:rFonts w:cs="Calibri"/>
                <w:noProof w:val="0"/>
                <w:color w:val="FFFFFF"/>
              </w:rPr>
            </w:pPr>
            <w:r w:rsidRPr="00CB1C46">
              <w:rPr>
                <w:rFonts w:cs="Calibri"/>
                <w:noProof w:val="0"/>
                <w:color w:val="FFFFFF"/>
              </w:rPr>
              <w:t>Gaseous fuels</w:t>
            </w:r>
          </w:p>
        </w:tc>
      </w:tr>
      <w:tr w:rsidR="00660978" w:rsidRPr="00CB1C46" w14:paraId="71013862" w14:textId="77777777" w:rsidTr="004873FC">
        <w:tc>
          <w:tcPr>
            <w:tcW w:w="2815" w:type="pct"/>
            <w:shd w:val="clear" w:color="auto" w:fill="auto"/>
            <w:noWrap/>
            <w:hideMark/>
          </w:tcPr>
          <w:p w14:paraId="5A83A35E" w14:textId="77777777" w:rsidR="00660978" w:rsidRPr="00CB1C46" w:rsidRDefault="00660978" w:rsidP="004873FC">
            <w:pPr>
              <w:pStyle w:val="TableText"/>
              <w:spacing w:before="50" w:after="50"/>
              <w:rPr>
                <w:rFonts w:cs="Calibri"/>
              </w:rPr>
            </w:pPr>
            <w:r w:rsidRPr="00CB1C46">
              <w:rPr>
                <w:rFonts w:cs="Calibri"/>
              </w:rPr>
              <w:t>Public electricity and heat production – CO</w:t>
            </w:r>
            <w:r w:rsidRPr="00CB1C46">
              <w:rPr>
                <w:rFonts w:cs="Calibri"/>
                <w:vertAlign w:val="subscript"/>
              </w:rPr>
              <w:t>2</w:t>
            </w:r>
          </w:p>
        </w:tc>
        <w:tc>
          <w:tcPr>
            <w:tcW w:w="745" w:type="pct"/>
            <w:shd w:val="clear" w:color="auto" w:fill="auto"/>
            <w:noWrap/>
            <w:hideMark/>
          </w:tcPr>
          <w:p w14:paraId="071F2D96" w14:textId="77777777" w:rsidR="00660978" w:rsidRPr="00CB1C46" w:rsidRDefault="00660978" w:rsidP="004873FC">
            <w:pPr>
              <w:pStyle w:val="TableText"/>
              <w:spacing w:before="50" w:after="50"/>
              <w:rPr>
                <w:rFonts w:cs="Calibri"/>
              </w:rPr>
            </w:pPr>
            <w:r>
              <w:rPr>
                <w:rFonts w:cs="Calibri"/>
              </w:rPr>
              <w:t>Trend</w:t>
            </w:r>
          </w:p>
        </w:tc>
        <w:tc>
          <w:tcPr>
            <w:tcW w:w="744" w:type="pct"/>
            <w:shd w:val="clear" w:color="auto" w:fill="auto"/>
            <w:noWrap/>
            <w:hideMark/>
          </w:tcPr>
          <w:p w14:paraId="52247E33" w14:textId="77777777" w:rsidR="00660978" w:rsidRPr="00CB1C46" w:rsidRDefault="00660978" w:rsidP="004873FC">
            <w:pPr>
              <w:pStyle w:val="TableText"/>
              <w:spacing w:before="50" w:after="50"/>
              <w:rPr>
                <w:rFonts w:cs="Calibri"/>
              </w:rPr>
            </w:pPr>
            <w:r w:rsidRPr="00CB1C46">
              <w:rPr>
                <w:rFonts w:cs="Calibri"/>
              </w:rPr>
              <w:t>Level, trend</w:t>
            </w:r>
          </w:p>
        </w:tc>
        <w:tc>
          <w:tcPr>
            <w:tcW w:w="696" w:type="pct"/>
            <w:shd w:val="clear" w:color="auto" w:fill="auto"/>
            <w:noWrap/>
            <w:hideMark/>
          </w:tcPr>
          <w:p w14:paraId="5D0A58E5" w14:textId="77777777" w:rsidR="00660978" w:rsidRPr="00CB1C46" w:rsidRDefault="00660978" w:rsidP="004873FC">
            <w:pPr>
              <w:pStyle w:val="TableText"/>
              <w:spacing w:before="50" w:after="50"/>
              <w:rPr>
                <w:rFonts w:cs="Calibri"/>
              </w:rPr>
            </w:pPr>
            <w:r w:rsidRPr="00CB1C46">
              <w:rPr>
                <w:rFonts w:cs="Calibri"/>
              </w:rPr>
              <w:t>Level, trend</w:t>
            </w:r>
          </w:p>
        </w:tc>
      </w:tr>
      <w:tr w:rsidR="00660978" w:rsidRPr="00CB1C46" w14:paraId="45BDCFB1" w14:textId="77777777" w:rsidTr="004873FC">
        <w:tc>
          <w:tcPr>
            <w:tcW w:w="2815" w:type="pct"/>
            <w:shd w:val="clear" w:color="auto" w:fill="auto"/>
            <w:noWrap/>
            <w:hideMark/>
          </w:tcPr>
          <w:p w14:paraId="56DCF6B8" w14:textId="77777777" w:rsidR="00660978" w:rsidRPr="00CB1C46" w:rsidRDefault="00660978" w:rsidP="004873FC">
            <w:pPr>
              <w:pStyle w:val="TableText"/>
              <w:spacing w:before="50" w:after="50"/>
              <w:rPr>
                <w:rFonts w:cs="Calibri"/>
              </w:rPr>
            </w:pPr>
            <w:r w:rsidRPr="00CB1C46">
              <w:rPr>
                <w:rFonts w:cs="Calibri"/>
              </w:rPr>
              <w:t>Petroleum refining – CO</w:t>
            </w:r>
            <w:r w:rsidRPr="00CB1C46">
              <w:rPr>
                <w:rFonts w:cs="Calibri"/>
                <w:vertAlign w:val="subscript"/>
              </w:rPr>
              <w:t>2</w:t>
            </w:r>
          </w:p>
        </w:tc>
        <w:tc>
          <w:tcPr>
            <w:tcW w:w="745" w:type="pct"/>
            <w:shd w:val="clear" w:color="auto" w:fill="auto"/>
            <w:noWrap/>
            <w:hideMark/>
          </w:tcPr>
          <w:p w14:paraId="75F1D911" w14:textId="77777777" w:rsidR="00660978" w:rsidRPr="00CB1C46" w:rsidRDefault="00660978" w:rsidP="004873FC">
            <w:pPr>
              <w:pStyle w:val="TableText"/>
              <w:spacing w:before="50" w:after="50"/>
              <w:rPr>
                <w:rFonts w:cs="Calibri"/>
              </w:rPr>
            </w:pPr>
            <w:r w:rsidRPr="00CB1C46">
              <w:rPr>
                <w:rFonts w:cs="Calibri"/>
              </w:rPr>
              <w:t>Level, trend</w:t>
            </w:r>
          </w:p>
        </w:tc>
        <w:tc>
          <w:tcPr>
            <w:tcW w:w="744" w:type="pct"/>
            <w:shd w:val="clear" w:color="auto" w:fill="auto"/>
            <w:noWrap/>
          </w:tcPr>
          <w:p w14:paraId="5A21546A" w14:textId="77777777" w:rsidR="00660978" w:rsidRPr="00CB1C46" w:rsidRDefault="00660978" w:rsidP="004873FC">
            <w:pPr>
              <w:pStyle w:val="TableText"/>
              <w:spacing w:before="50" w:after="50"/>
              <w:jc w:val="center"/>
              <w:rPr>
                <w:rFonts w:cs="Calibri"/>
              </w:rPr>
            </w:pPr>
          </w:p>
        </w:tc>
        <w:tc>
          <w:tcPr>
            <w:tcW w:w="696" w:type="pct"/>
            <w:shd w:val="clear" w:color="auto" w:fill="auto"/>
            <w:noWrap/>
            <w:hideMark/>
          </w:tcPr>
          <w:p w14:paraId="4BB04E6F" w14:textId="77777777" w:rsidR="00660978" w:rsidRPr="00CB1C46" w:rsidRDefault="00660978" w:rsidP="004873FC">
            <w:pPr>
              <w:pStyle w:val="TableText"/>
              <w:spacing w:before="50" w:after="50"/>
              <w:rPr>
                <w:rFonts w:cs="Calibri"/>
              </w:rPr>
            </w:pPr>
            <w:r>
              <w:rPr>
                <w:rFonts w:cs="Calibri"/>
              </w:rPr>
              <w:t>T</w:t>
            </w:r>
            <w:r w:rsidRPr="00CB1C46">
              <w:rPr>
                <w:rFonts w:cs="Calibri"/>
              </w:rPr>
              <w:t>rend</w:t>
            </w:r>
          </w:p>
        </w:tc>
      </w:tr>
      <w:tr w:rsidR="00660978" w:rsidRPr="00CB1C46" w14:paraId="01CBBDFB" w14:textId="77777777" w:rsidTr="004873FC">
        <w:tc>
          <w:tcPr>
            <w:tcW w:w="2815" w:type="pct"/>
            <w:shd w:val="clear" w:color="auto" w:fill="auto"/>
            <w:noWrap/>
          </w:tcPr>
          <w:p w14:paraId="1DD58B33" w14:textId="77777777" w:rsidR="00660978" w:rsidRPr="00CB1C46" w:rsidRDefault="00660978" w:rsidP="004873FC">
            <w:pPr>
              <w:pStyle w:val="TableText"/>
              <w:spacing w:before="50" w:after="50"/>
              <w:rPr>
                <w:rFonts w:cs="Calibri"/>
              </w:rPr>
            </w:pPr>
            <w:r w:rsidRPr="00CB1C46">
              <w:rPr>
                <w:rFonts w:cs="Calibri"/>
              </w:rPr>
              <w:t>Manufacture of solid fuels and other energy industries – CO</w:t>
            </w:r>
            <w:r w:rsidRPr="00CB1C46">
              <w:rPr>
                <w:rFonts w:cs="Calibri"/>
                <w:vertAlign w:val="subscript"/>
              </w:rPr>
              <w:t>2</w:t>
            </w:r>
          </w:p>
        </w:tc>
        <w:tc>
          <w:tcPr>
            <w:tcW w:w="745" w:type="pct"/>
            <w:shd w:val="clear" w:color="auto" w:fill="auto"/>
            <w:noWrap/>
          </w:tcPr>
          <w:p w14:paraId="2449EB76" w14:textId="77777777" w:rsidR="00660978" w:rsidRPr="00CB1C46" w:rsidRDefault="00660978" w:rsidP="004873FC">
            <w:pPr>
              <w:pStyle w:val="TableText"/>
              <w:spacing w:before="50" w:after="50"/>
              <w:rPr>
                <w:rFonts w:cs="Calibri"/>
              </w:rPr>
            </w:pPr>
          </w:p>
        </w:tc>
        <w:tc>
          <w:tcPr>
            <w:tcW w:w="744" w:type="pct"/>
            <w:shd w:val="clear" w:color="auto" w:fill="auto"/>
            <w:noWrap/>
          </w:tcPr>
          <w:p w14:paraId="42DACFBB" w14:textId="77777777" w:rsidR="00660978" w:rsidRPr="00CB1C46" w:rsidRDefault="00660978" w:rsidP="004873FC">
            <w:pPr>
              <w:pStyle w:val="TableText"/>
              <w:spacing w:before="50" w:after="50"/>
              <w:jc w:val="center"/>
              <w:rPr>
                <w:rFonts w:cs="Calibri"/>
              </w:rPr>
            </w:pPr>
          </w:p>
        </w:tc>
        <w:tc>
          <w:tcPr>
            <w:tcW w:w="696" w:type="pct"/>
            <w:shd w:val="clear" w:color="auto" w:fill="auto"/>
            <w:noWrap/>
          </w:tcPr>
          <w:p w14:paraId="5F6005CF" w14:textId="77777777" w:rsidR="00660978" w:rsidRPr="00CB1C46" w:rsidRDefault="00660978" w:rsidP="004873FC">
            <w:pPr>
              <w:pStyle w:val="TableText"/>
              <w:spacing w:before="50" w:after="50"/>
              <w:rPr>
                <w:rFonts w:cs="Calibri"/>
              </w:rPr>
            </w:pPr>
            <w:r w:rsidRPr="00CB1C46">
              <w:rPr>
                <w:rFonts w:cs="Calibri"/>
              </w:rPr>
              <w:t>Level, trend</w:t>
            </w:r>
          </w:p>
        </w:tc>
      </w:tr>
    </w:tbl>
    <w:p w14:paraId="0043E941" w14:textId="77777777" w:rsidR="00660978" w:rsidRPr="00CB1C46" w:rsidRDefault="00660978" w:rsidP="00660978">
      <w:pPr>
        <w:pStyle w:val="BodyText"/>
        <w:spacing w:before="240"/>
        <w:rPr>
          <w:rFonts w:ascii="Arial" w:hAnsi="Arial" w:cs="Arial"/>
        </w:rPr>
      </w:pPr>
      <w:r w:rsidRPr="00CB1C46">
        <w:lastRenderedPageBreak/>
        <w:t>New Zealand’s electricity generation is dominated by hydroelectric generation. For the 2020 calendar year, hydro generation provided 55.6 per cent of New Zealand’s electricity generation. A further 18.1 per cent came from geothermal, 5.3 per cent from wind, 1.7 per cent from biomass and 0.4 per cent from solar. The remaining 18.8 per cent was provided by fossil fuel thermal generation plants using natural gas, coal and oil (MBIE, 2021).</w:t>
      </w:r>
    </w:p>
    <w:p w14:paraId="48581664" w14:textId="77777777" w:rsidR="00660978" w:rsidRPr="00CB1C46" w:rsidRDefault="00660978" w:rsidP="00660978">
      <w:pPr>
        <w:pStyle w:val="BodyText"/>
        <w:rPr>
          <w:lang w:eastAsia="en-GB"/>
        </w:rPr>
      </w:pPr>
      <w:r w:rsidRPr="00CB1C46">
        <w:rPr>
          <w:lang w:eastAsia="en-GB"/>
        </w:rPr>
        <w:t>Greenhouse</w:t>
      </w:r>
      <w:r w:rsidRPr="00CB1C46">
        <w:t xml:space="preserve"> </w:t>
      </w:r>
      <w:r w:rsidRPr="00CB1C46">
        <w:rPr>
          <w:lang w:eastAsia="en-GB"/>
        </w:rPr>
        <w:t xml:space="preserve">gas emissions </w:t>
      </w:r>
      <w:r w:rsidRPr="00CB1C46">
        <w:t>from</w:t>
      </w:r>
      <w:r w:rsidRPr="00CB1C46">
        <w:rPr>
          <w:lang w:eastAsia="en-GB"/>
        </w:rPr>
        <w:t xml:space="preserve"> the </w:t>
      </w:r>
      <w:r w:rsidRPr="00CB1C46">
        <w:rPr>
          <w:i/>
          <w:lang w:eastAsia="en-GB"/>
        </w:rPr>
        <w:t>Public electricity and heat production</w:t>
      </w:r>
      <w:r w:rsidRPr="00CB1C46">
        <w:rPr>
          <w:lang w:eastAsia="en-GB"/>
        </w:rPr>
        <w:t xml:space="preserve"> category show large year-to-year fluctuations between 1990 and </w:t>
      </w:r>
      <w:r w:rsidRPr="00CB1C46">
        <w:t>2020</w:t>
      </w:r>
      <w:r w:rsidRPr="00CB1C46">
        <w:rPr>
          <w:lang w:eastAsia="en-GB"/>
        </w:rPr>
        <w:t xml:space="preserve">. These fluctuations can also be seen over the time series for New Zealand’s gross emissions. The fluctuations are influenced by the close inverse relationship between thermal and renewable generation (see </w:t>
      </w:r>
      <w:r w:rsidRPr="00CB1C46">
        <w:t>figure 3.3.6</w:t>
      </w:r>
      <w:r w:rsidRPr="00CB1C46">
        <w:rPr>
          <w:lang w:eastAsia="en-GB"/>
        </w:rPr>
        <w:t>). In a dry year, when low rainfall affects most of New Zealand’s hydro lake levels, any shortfall in hydroelectric generation is made up by increased thermal electricity generation. New Zealand’s hydro resources have limited storage capacity; total reservoir storage is only around 10 per cent of New Zealand’s annual demand. Hence, regular rainfall throughout the year is needed to sustain a high level of hydro generation. Electricity generation in a ‘normal’ hydro year does not require significant use of natural gas and coal, while a ‘dry’ hydro year requires higher use of natural gas and coal.</w:t>
      </w:r>
    </w:p>
    <w:p w14:paraId="765FD881" w14:textId="26168E81" w:rsidR="00660978" w:rsidRPr="00CB1C46" w:rsidRDefault="00660978" w:rsidP="00660978">
      <w:pPr>
        <w:pStyle w:val="Figure"/>
        <w:rPr>
          <w:rFonts w:cs="Calibri"/>
          <w:lang w:eastAsia="en-GB"/>
        </w:rPr>
      </w:pPr>
      <w:bookmarkStart w:id="290" w:name="_Ref442370451"/>
      <w:bookmarkStart w:id="291" w:name="_Toc321399328"/>
      <w:bookmarkStart w:id="292" w:name="_Toc384582856"/>
      <w:bookmarkStart w:id="293" w:name="_Toc443060816"/>
      <w:bookmarkStart w:id="294" w:name="_Toc447275673"/>
      <w:bookmarkStart w:id="295" w:name="_Toc481751991"/>
      <w:bookmarkStart w:id="296" w:name="_Toc36292775"/>
      <w:bookmarkStart w:id="297" w:name="_Toc68786640"/>
      <w:bookmarkStart w:id="298" w:name="_Toc95834075"/>
      <w:bookmarkStart w:id="299" w:name="_Toc99696020"/>
      <w:r w:rsidRPr="00CB1C46">
        <w:rPr>
          <w:rFonts w:cs="Calibri"/>
        </w:rPr>
        <w:t>Figure 3.3.</w:t>
      </w:r>
      <w:r w:rsidRPr="00CB1C46">
        <w:rPr>
          <w:rFonts w:cs="Calibri"/>
        </w:rPr>
        <w:fldChar w:fldCharType="begin"/>
      </w:r>
      <w:r w:rsidRPr="00CB1C46">
        <w:rPr>
          <w:rFonts w:cs="Calibri"/>
        </w:rPr>
        <w:instrText xml:space="preserve"> SEQ Figure \* ARABIC \s 2 </w:instrText>
      </w:r>
      <w:r w:rsidRPr="00CB1C46">
        <w:rPr>
          <w:rFonts w:cs="Calibri"/>
        </w:rPr>
        <w:fldChar w:fldCharType="separate"/>
      </w:r>
      <w:r w:rsidR="009D338D">
        <w:rPr>
          <w:rFonts w:cs="Calibri"/>
          <w:noProof/>
        </w:rPr>
        <w:t>6</w:t>
      </w:r>
      <w:r w:rsidRPr="00CB1C46">
        <w:rPr>
          <w:rFonts w:cs="Calibri"/>
        </w:rPr>
        <w:fldChar w:fldCharType="end"/>
      </w:r>
      <w:bookmarkEnd w:id="290"/>
      <w:r w:rsidRPr="00CB1C46">
        <w:rPr>
          <w:rFonts w:cs="Calibri"/>
          <w:lang w:eastAsia="en-GB"/>
        </w:rPr>
        <w:tab/>
        <w:t xml:space="preserve">New Zealand’s </w:t>
      </w:r>
      <w:r w:rsidRPr="00CB1C46">
        <w:rPr>
          <w:rFonts w:cs="Calibri"/>
        </w:rPr>
        <w:t>electricity</w:t>
      </w:r>
      <w:r w:rsidRPr="00CB1C46">
        <w:rPr>
          <w:rFonts w:cs="Calibri"/>
          <w:lang w:eastAsia="en-GB"/>
        </w:rPr>
        <w:t xml:space="preserve"> generation by source</w:t>
      </w:r>
      <w:bookmarkEnd w:id="291"/>
      <w:bookmarkEnd w:id="292"/>
      <w:bookmarkEnd w:id="293"/>
      <w:bookmarkEnd w:id="294"/>
      <w:bookmarkEnd w:id="295"/>
      <w:bookmarkEnd w:id="296"/>
      <w:r w:rsidRPr="00CB1C46">
        <w:rPr>
          <w:rFonts w:cs="Calibri"/>
          <w:lang w:eastAsia="en-GB"/>
        </w:rPr>
        <w:t xml:space="preserve"> from 1990 to 2020</w:t>
      </w:r>
      <w:bookmarkEnd w:id="297"/>
      <w:bookmarkEnd w:id="298"/>
      <w:bookmarkEnd w:id="299"/>
    </w:p>
    <w:p w14:paraId="5601C92B" w14:textId="77777777" w:rsidR="00660978" w:rsidRPr="00CB1C46" w:rsidRDefault="004B48CC" w:rsidP="00660978">
      <w:pPr>
        <w:pStyle w:val="BodyText"/>
      </w:pPr>
      <w:r>
        <w:rPr>
          <w:noProof/>
        </w:rPr>
        <w:pict w14:anchorId="19F2E173">
          <v:shape id="Picture 30" o:spid="_x0000_i1053" type="#_x0000_t75" style="width:427pt;height:204.3pt;visibility:visible;mso-wrap-style:square">
            <v:imagedata r:id="rId64" o:title="" croptop="1783f" cropbottom="1783f"/>
          </v:shape>
        </w:pict>
      </w:r>
    </w:p>
    <w:p w14:paraId="1D8F5DA6" w14:textId="77777777" w:rsidR="00660978" w:rsidRPr="00CB1C46" w:rsidRDefault="00660978" w:rsidP="00660978">
      <w:pPr>
        <w:pStyle w:val="Heading4"/>
      </w:pPr>
      <w:r w:rsidRPr="00CB1C46">
        <w:rPr>
          <w:lang w:eastAsia="en-GB"/>
        </w:rPr>
        <w:t>Methodological issues</w:t>
      </w:r>
    </w:p>
    <w:p w14:paraId="200879C8" w14:textId="77777777" w:rsidR="00660978" w:rsidRPr="00CB1C46" w:rsidRDefault="00660978" w:rsidP="00660978">
      <w:pPr>
        <w:pStyle w:val="Heading5"/>
        <w:spacing w:before="120"/>
        <w:rPr>
          <w:rFonts w:cs="Calibri"/>
        </w:rPr>
      </w:pPr>
      <w:r w:rsidRPr="00CB1C46">
        <w:rPr>
          <w:rFonts w:cs="Calibri"/>
          <w:lang w:eastAsia="en-GB"/>
        </w:rPr>
        <w:t>1.A.1.c Manufacture of solid fuels and other energy industries</w:t>
      </w:r>
    </w:p>
    <w:p w14:paraId="0034A448" w14:textId="77777777" w:rsidR="00660978" w:rsidRPr="00CB1C46" w:rsidRDefault="00660978" w:rsidP="00660978">
      <w:pPr>
        <w:pStyle w:val="BodyText"/>
        <w:rPr>
          <w:rFonts w:cs="Calibri"/>
          <w:lang w:eastAsia="en-GB"/>
        </w:rPr>
      </w:pPr>
      <w:r w:rsidRPr="00CB1C46">
        <w:rPr>
          <w:rFonts w:cs="Calibri"/>
          <w:lang w:eastAsia="en-GB"/>
        </w:rPr>
        <w:t>Methanex New Zealand produced synthetic gasoline until 1997. A Tier 2 methodology was used to estimate CO</w:t>
      </w:r>
      <w:r w:rsidRPr="00CB1C46">
        <w:rPr>
          <w:rFonts w:cs="Calibri"/>
          <w:vertAlign w:val="subscript"/>
          <w:lang w:eastAsia="en-GB"/>
        </w:rPr>
        <w:t>2</w:t>
      </w:r>
      <w:r w:rsidRPr="00CB1C46">
        <w:rPr>
          <w:rFonts w:cs="Calibri"/>
          <w:lang w:eastAsia="en-GB"/>
        </w:rPr>
        <w:t xml:space="preserve"> emissions based on the annual weighted average gas emission factor. </w:t>
      </w:r>
    </w:p>
    <w:p w14:paraId="7E8F2197" w14:textId="77777777" w:rsidR="00660978" w:rsidRPr="00CB1C46" w:rsidRDefault="00660978" w:rsidP="00660978">
      <w:pPr>
        <w:pStyle w:val="Heading4"/>
        <w:rPr>
          <w:lang w:eastAsia="en-GB"/>
        </w:rPr>
      </w:pPr>
      <w:r w:rsidRPr="00CB1C46">
        <w:rPr>
          <w:lang w:eastAsia="en-GB"/>
        </w:rPr>
        <w:t>Activity data</w:t>
      </w:r>
    </w:p>
    <w:p w14:paraId="540889FA" w14:textId="77777777" w:rsidR="00660978" w:rsidRPr="00CB1C46" w:rsidRDefault="00660978" w:rsidP="00660978">
      <w:pPr>
        <w:pStyle w:val="Heading5"/>
        <w:spacing w:before="120"/>
        <w:rPr>
          <w:rFonts w:cs="Calibri"/>
        </w:rPr>
      </w:pPr>
      <w:r w:rsidRPr="00CB1C46">
        <w:rPr>
          <w:rFonts w:cs="Calibri"/>
          <w:lang w:eastAsia="en-GB"/>
        </w:rPr>
        <w:t>1.A.1.a Public electricity and heat production</w:t>
      </w:r>
    </w:p>
    <w:p w14:paraId="66A2283D" w14:textId="77777777" w:rsidR="00660978" w:rsidRPr="00CB1C46" w:rsidRDefault="00660978" w:rsidP="00660978">
      <w:pPr>
        <w:pStyle w:val="BodyText"/>
        <w:rPr>
          <w:rFonts w:cs="Calibri"/>
          <w:lang w:eastAsia="en-GB"/>
        </w:rPr>
      </w:pPr>
      <w:r w:rsidRPr="00CB1C46">
        <w:rPr>
          <w:rFonts w:cs="Calibri"/>
          <w:lang w:eastAsia="en-GB"/>
        </w:rPr>
        <w:t>All thermal electricity generators provide figures to MBIE for the amount of coal, natural gas and oil used for electricity generation. Greenhouse gas emissions from geothermal electricity generation are reported under 1.B.2.d.</w:t>
      </w:r>
    </w:p>
    <w:p w14:paraId="75EEA5FE" w14:textId="77777777" w:rsidR="00660978" w:rsidRPr="00CB1C46" w:rsidRDefault="00660978" w:rsidP="00660978">
      <w:pPr>
        <w:pStyle w:val="BodyText"/>
        <w:rPr>
          <w:rFonts w:cs="Calibri"/>
          <w:lang w:eastAsia="en-GB"/>
        </w:rPr>
      </w:pPr>
      <w:r w:rsidRPr="00CB1C46">
        <w:rPr>
          <w:rFonts w:cs="Calibri"/>
          <w:lang w:eastAsia="en-GB"/>
        </w:rPr>
        <w:t xml:space="preserve">Around 5 per cent of New Zealand’s electricity is supplied by co-generation (also known as combined heat and power) (MBIE, 2021). Most of the major co-generation plants are attached to large industrial facilities that consume most of the generated electricity and heat. </w:t>
      </w:r>
    </w:p>
    <w:p w14:paraId="5F62E873" w14:textId="77777777" w:rsidR="00660978" w:rsidRPr="00CB1C46" w:rsidRDefault="00660978" w:rsidP="00660978">
      <w:pPr>
        <w:pStyle w:val="BodyText"/>
        <w:rPr>
          <w:rFonts w:cs="Calibri"/>
          <w:lang w:eastAsia="en-GB"/>
        </w:rPr>
      </w:pPr>
      <w:r w:rsidRPr="00CB1C46">
        <w:rPr>
          <w:rFonts w:cs="Calibri"/>
          <w:lang w:eastAsia="en-GB"/>
        </w:rPr>
        <w:lastRenderedPageBreak/>
        <w:t xml:space="preserve">Six co-generation plants that fit the IPCC 2006 definition of public electricity and heat production produce electricity as their primary purpose. The emissions from these plants are included in the </w:t>
      </w:r>
      <w:r w:rsidRPr="00CB1C46">
        <w:rPr>
          <w:rFonts w:cs="Calibri"/>
          <w:i/>
          <w:lang w:eastAsia="en-GB"/>
        </w:rPr>
        <w:t>Public electricity and heat production</w:t>
      </w:r>
      <w:r w:rsidRPr="00CB1C46">
        <w:rPr>
          <w:rFonts w:cs="Calibri"/>
          <w:lang w:eastAsia="en-GB"/>
        </w:rPr>
        <w:t xml:space="preserve"> category, while emissions from other co-generation plants are included in the </w:t>
      </w:r>
      <w:r w:rsidRPr="00CB1C46">
        <w:rPr>
          <w:rFonts w:cs="Calibri"/>
          <w:i/>
          <w:lang w:eastAsia="en-GB"/>
        </w:rPr>
        <w:t>Manufacturing industries and construction</w:t>
      </w:r>
      <w:r w:rsidRPr="00CB1C46">
        <w:rPr>
          <w:rFonts w:cs="Calibri"/>
          <w:lang w:eastAsia="en-GB"/>
        </w:rPr>
        <w:t xml:space="preserve"> category (section 3.3.7). </w:t>
      </w:r>
    </w:p>
    <w:p w14:paraId="707C6242" w14:textId="77777777" w:rsidR="00660978" w:rsidRPr="00CB1C46" w:rsidRDefault="00660978" w:rsidP="00660978">
      <w:pPr>
        <w:pStyle w:val="BodyText"/>
        <w:rPr>
          <w:rFonts w:cs="Calibri"/>
          <w:lang w:eastAsia="en-GB"/>
        </w:rPr>
      </w:pPr>
      <w:r w:rsidRPr="00CB1C46">
        <w:rPr>
          <w:rFonts w:cs="Calibri"/>
          <w:lang w:eastAsia="en-GB"/>
        </w:rPr>
        <w:t>To establish a consistent approach to on-site generation, MBIE developed a decision tree to guide the allocation of associated fuel consumption and identify whether the plant is a main activity electricity generator or an autoproducer (see figure</w:t>
      </w:r>
      <w:r w:rsidRPr="00CB1C46">
        <w:rPr>
          <w:rFonts w:cs="Calibri"/>
        </w:rPr>
        <w:t xml:space="preserve"> 3.3.7</w:t>
      </w:r>
      <w:r w:rsidRPr="00CB1C46">
        <w:rPr>
          <w:rFonts w:cs="Calibri"/>
          <w:lang w:eastAsia="en-GB"/>
        </w:rPr>
        <w:t>).</w:t>
      </w:r>
    </w:p>
    <w:p w14:paraId="6ED2800D" w14:textId="278580DE" w:rsidR="00660978" w:rsidRPr="00CB1C46" w:rsidRDefault="00660978" w:rsidP="00660978">
      <w:pPr>
        <w:pStyle w:val="Figure"/>
        <w:rPr>
          <w:rFonts w:cs="Calibri"/>
        </w:rPr>
      </w:pPr>
      <w:bookmarkStart w:id="300" w:name="_Ref442370479"/>
      <w:bookmarkStart w:id="301" w:name="_Toc321399329"/>
      <w:bookmarkStart w:id="302" w:name="_Toc384582857"/>
      <w:bookmarkStart w:id="303" w:name="_Toc443060817"/>
      <w:bookmarkStart w:id="304" w:name="_Toc447275674"/>
      <w:bookmarkStart w:id="305" w:name="_Toc481751992"/>
      <w:bookmarkStart w:id="306" w:name="_Toc36292776"/>
      <w:bookmarkStart w:id="307" w:name="_Toc68786641"/>
      <w:bookmarkStart w:id="308" w:name="_Toc95834076"/>
      <w:bookmarkStart w:id="309" w:name="_Toc99696021"/>
      <w:r w:rsidRPr="00CB1C46">
        <w:rPr>
          <w:rFonts w:cs="Calibri"/>
        </w:rPr>
        <w:t>Figure 3.3.</w:t>
      </w:r>
      <w:r w:rsidRPr="00CB1C46">
        <w:rPr>
          <w:rFonts w:cs="Calibri"/>
        </w:rPr>
        <w:fldChar w:fldCharType="begin"/>
      </w:r>
      <w:r w:rsidRPr="00CB1C46">
        <w:rPr>
          <w:rFonts w:cs="Calibri"/>
        </w:rPr>
        <w:instrText xml:space="preserve"> SEQ Figure \* ARABIC \s 2 </w:instrText>
      </w:r>
      <w:r w:rsidRPr="00CB1C46">
        <w:rPr>
          <w:rFonts w:cs="Calibri"/>
        </w:rPr>
        <w:fldChar w:fldCharType="separate"/>
      </w:r>
      <w:r w:rsidR="009D338D">
        <w:rPr>
          <w:rFonts w:cs="Calibri"/>
          <w:noProof/>
        </w:rPr>
        <w:t>7</w:t>
      </w:r>
      <w:r w:rsidRPr="00CB1C46">
        <w:rPr>
          <w:rFonts w:cs="Calibri"/>
        </w:rPr>
        <w:fldChar w:fldCharType="end"/>
      </w:r>
      <w:bookmarkEnd w:id="300"/>
      <w:r w:rsidRPr="00CB1C46">
        <w:rPr>
          <w:rFonts w:cs="Calibri"/>
          <w:lang w:eastAsia="en-GB"/>
        </w:rPr>
        <w:tab/>
        <w:t xml:space="preserve">Decision tree </w:t>
      </w:r>
      <w:bookmarkEnd w:id="301"/>
      <w:r w:rsidRPr="00CB1C46">
        <w:rPr>
          <w:rFonts w:cs="Calibri"/>
          <w:lang w:eastAsia="en-GB"/>
        </w:rPr>
        <w:t>to identify a main activity electricity generator or an autoproducer</w:t>
      </w:r>
      <w:bookmarkEnd w:id="302"/>
      <w:bookmarkEnd w:id="303"/>
      <w:bookmarkEnd w:id="304"/>
      <w:bookmarkEnd w:id="305"/>
      <w:bookmarkEnd w:id="306"/>
      <w:bookmarkEnd w:id="307"/>
      <w:bookmarkEnd w:id="308"/>
      <w:bookmarkEnd w:id="309"/>
    </w:p>
    <w:p w14:paraId="1C875927" w14:textId="77777777" w:rsidR="00660978" w:rsidRPr="00CB1C46" w:rsidRDefault="00660978" w:rsidP="00660978">
      <w:pPr>
        <w:pStyle w:val="BodyText"/>
        <w:spacing w:before="0"/>
        <w:rPr>
          <w:rFonts w:cs="Calibri"/>
        </w:rPr>
      </w:pPr>
      <w:r w:rsidRPr="00CB1C46">
        <w:rPr>
          <w:rFonts w:cs="Calibri"/>
        </w:rPr>
        <w:object w:dxaOrig="6684" w:dyaOrig="4591" w14:anchorId="15BFB626">
          <v:shape id="_x0000_i1054" type="#_x0000_t75" style="width:4in;height:191.7pt" o:ole="">
            <v:imagedata r:id="rId65" o:title=""/>
          </v:shape>
          <o:OLEObject Type="Embed" ProgID="Visio.Drawing.11" ShapeID="_x0000_i1054" DrawAspect="Content" ObjectID="_1710830378" r:id="rId66"/>
        </w:object>
      </w:r>
    </w:p>
    <w:p w14:paraId="0F73EC56" w14:textId="77777777" w:rsidR="00660978" w:rsidRPr="00CB1C46" w:rsidRDefault="00660978" w:rsidP="00660978">
      <w:pPr>
        <w:pStyle w:val="Heading5"/>
        <w:spacing w:before="360"/>
        <w:rPr>
          <w:rFonts w:cs="Calibri"/>
        </w:rPr>
      </w:pPr>
      <w:r w:rsidRPr="00CB1C46">
        <w:rPr>
          <w:rFonts w:cs="Calibri"/>
          <w:lang w:eastAsia="en-GB"/>
        </w:rPr>
        <w:t xml:space="preserve">1.A.1.b </w:t>
      </w:r>
      <w:r w:rsidRPr="00CB1C46">
        <w:rPr>
          <w:rFonts w:cs="Calibri"/>
        </w:rPr>
        <w:t>Petroleum</w:t>
      </w:r>
      <w:r w:rsidRPr="00CB1C46">
        <w:rPr>
          <w:rFonts w:cs="Calibri"/>
          <w:lang w:eastAsia="en-GB"/>
        </w:rPr>
        <w:t xml:space="preserve"> refining</w:t>
      </w:r>
    </w:p>
    <w:p w14:paraId="6D3E5770" w14:textId="77777777" w:rsidR="00660978" w:rsidRPr="00CB1C46" w:rsidRDefault="00660978" w:rsidP="00660978">
      <w:pPr>
        <w:pStyle w:val="BodyText"/>
        <w:keepLines/>
        <w:rPr>
          <w:rFonts w:cs="Calibri"/>
          <w:lang w:eastAsia="en-GB"/>
        </w:rPr>
      </w:pPr>
      <w:r w:rsidRPr="00CB1C46">
        <w:rPr>
          <w:rFonts w:cs="Calibri"/>
          <w:lang w:eastAsia="en-GB"/>
        </w:rPr>
        <w:t xml:space="preserve">Refining New Zealand provides annual activity data and emission factors for each type of fuel being consumed at the site. The fuel-type specific emission factors were adopted under the Government’s Projects to Reduce Emissions in 2003 (Ministry for the Environment, 2009). </w:t>
      </w:r>
    </w:p>
    <w:p w14:paraId="0BAD465F" w14:textId="77777777" w:rsidR="00660978" w:rsidRPr="00CB1C46" w:rsidRDefault="00660978" w:rsidP="00660978">
      <w:pPr>
        <w:pStyle w:val="BodyText"/>
        <w:rPr>
          <w:rFonts w:cs="Calibri"/>
          <w:lang w:eastAsia="en-GB"/>
        </w:rPr>
      </w:pPr>
      <w:r w:rsidRPr="00CB1C46">
        <w:rPr>
          <w:rFonts w:cs="Calibri"/>
          <w:lang w:eastAsia="en-GB"/>
        </w:rPr>
        <w:t xml:space="preserve">Refinery gas is obtained during the distillation of crude oil and production of oil products. As a result, emissions from its combustion are implicitly included under liquid fuels in the reference approach. </w:t>
      </w:r>
    </w:p>
    <w:p w14:paraId="11716688" w14:textId="77777777" w:rsidR="00660978" w:rsidRPr="00CB1C46" w:rsidRDefault="00660978" w:rsidP="00660978">
      <w:pPr>
        <w:pStyle w:val="Heading5"/>
        <w:rPr>
          <w:rFonts w:cs="Calibri"/>
          <w:lang w:eastAsia="en-GB"/>
        </w:rPr>
      </w:pPr>
      <w:r w:rsidRPr="00CB1C46">
        <w:rPr>
          <w:rFonts w:cs="Calibri"/>
          <w:iCs w:val="0"/>
          <w:lang w:eastAsia="en-GB"/>
        </w:rPr>
        <w:t>1.A.1.c.ii</w:t>
      </w:r>
      <w:r w:rsidRPr="00CB1C46">
        <w:rPr>
          <w:rFonts w:cs="Calibri"/>
          <w:i w:val="0"/>
          <w:iCs w:val="0"/>
          <w:lang w:eastAsia="en-GB"/>
        </w:rPr>
        <w:t xml:space="preserve"> </w:t>
      </w:r>
      <w:r w:rsidRPr="00CB1C46">
        <w:rPr>
          <w:rFonts w:cs="Calibri"/>
          <w:lang w:eastAsia="en-GB"/>
        </w:rPr>
        <w:t>Manufacture of solid fuels and other energy industries – Other energy industries</w:t>
      </w:r>
    </w:p>
    <w:p w14:paraId="467735D7" w14:textId="77777777" w:rsidR="00660978" w:rsidRPr="00CB1C46" w:rsidRDefault="00660978" w:rsidP="00660978">
      <w:pPr>
        <w:pStyle w:val="BodyText"/>
        <w:rPr>
          <w:rFonts w:cs="Calibri"/>
          <w:lang w:eastAsia="en-GB"/>
        </w:rPr>
      </w:pPr>
      <w:r w:rsidRPr="00CB1C46">
        <w:rPr>
          <w:rFonts w:cs="Calibri"/>
          <w:lang w:eastAsia="en-GB"/>
        </w:rPr>
        <w:t xml:space="preserve">Activity data for the useful combustion (own use) of natural gas during oil and gas extraction are provided to MBIE by each individual gas and/or oil field operator. Some crude oil is also combusted (own use) during oil and gas extraction. The quantity is reported directly by the oil and/or gas field operator to MBIE. </w:t>
      </w:r>
    </w:p>
    <w:p w14:paraId="6659490D" w14:textId="77777777" w:rsidR="00660978" w:rsidRPr="00CB1C46" w:rsidRDefault="00660978" w:rsidP="00660978">
      <w:pPr>
        <w:pStyle w:val="BodyText"/>
        <w:rPr>
          <w:rFonts w:cs="Calibri"/>
          <w:lang w:eastAsia="en-GB"/>
        </w:rPr>
      </w:pPr>
      <w:r w:rsidRPr="00CB1C46">
        <w:rPr>
          <w:rFonts w:cs="Calibri"/>
          <w:lang w:eastAsia="en-GB"/>
        </w:rPr>
        <w:t>Emissions from natural gas combustion (own use) for the purpose of natural gas transmission are reported directly by the transmission network operator to MBIE. Emissions from natural gas combustion (own use) for the purpose of natural gas processing are reported directly by the plant operator to MBIE.</w:t>
      </w:r>
    </w:p>
    <w:p w14:paraId="0A5470A9" w14:textId="77777777" w:rsidR="00660978" w:rsidRPr="00CB1C46" w:rsidRDefault="00660978" w:rsidP="00660978">
      <w:pPr>
        <w:pStyle w:val="BodyText"/>
        <w:rPr>
          <w:rFonts w:cs="Calibri"/>
          <w:lang w:eastAsia="en-GB"/>
        </w:rPr>
      </w:pPr>
      <w:r w:rsidRPr="00CB1C46">
        <w:rPr>
          <w:rFonts w:cs="Calibri"/>
          <w:lang w:eastAsia="en-GB"/>
        </w:rPr>
        <w:t>Losses and own use of coal by coal mining entities are reported as a single item, so data on on</w:t>
      </w:r>
      <w:r w:rsidRPr="00CB1C46">
        <w:rPr>
          <w:rFonts w:cs="Calibri"/>
          <w:lang w:eastAsia="en-GB"/>
        </w:rPr>
        <w:noBreakHyphen/>
        <w:t>site coal use are not available. Coal mines often provide a bathhouse for miners to bathe and unwind after a hard shift at the coalface. In the past, hot water was supplied by a coal</w:t>
      </w:r>
      <w:r w:rsidRPr="00CB1C46">
        <w:rPr>
          <w:rFonts w:cs="Calibri"/>
          <w:lang w:eastAsia="en-GB"/>
        </w:rPr>
        <w:noBreakHyphen/>
        <w:t xml:space="preserve">fired boiler; however, the last of these at the Stockton mine closed in the mid-1980s. </w:t>
      </w:r>
      <w:r w:rsidRPr="00CB1C46">
        <w:rPr>
          <w:rFonts w:cs="Calibri"/>
          <w:lang w:eastAsia="en-GB"/>
        </w:rPr>
        <w:lastRenderedPageBreak/>
        <w:t>The expert opinion of coal industry specialists is that on-site coal use does not occur because any water boilers on site are now fuelled by natural gas or electricity.</w:t>
      </w:r>
    </w:p>
    <w:p w14:paraId="6472BD50" w14:textId="77777777" w:rsidR="00660978" w:rsidRPr="00CB1C46" w:rsidRDefault="00660978" w:rsidP="00660978">
      <w:pPr>
        <w:pStyle w:val="Heading4"/>
        <w:spacing w:before="200"/>
      </w:pPr>
      <w:r w:rsidRPr="00CB1C46">
        <w:rPr>
          <w:lang w:eastAsia="en-GB"/>
        </w:rPr>
        <w:t>Emission factors</w:t>
      </w:r>
    </w:p>
    <w:p w14:paraId="20D58F90" w14:textId="77777777" w:rsidR="00660978" w:rsidRPr="00CB1C46" w:rsidRDefault="00660978" w:rsidP="00660978">
      <w:pPr>
        <w:pStyle w:val="Heading5"/>
        <w:spacing w:before="120"/>
        <w:rPr>
          <w:rFonts w:cs="Calibri"/>
        </w:rPr>
      </w:pPr>
      <w:r w:rsidRPr="00CB1C46">
        <w:rPr>
          <w:rFonts w:cs="Calibri"/>
          <w:lang w:eastAsia="en-GB"/>
        </w:rPr>
        <w:t>Gaseous fuels</w:t>
      </w:r>
    </w:p>
    <w:p w14:paraId="3BF15790" w14:textId="77777777" w:rsidR="00660978" w:rsidRPr="00CB1C46" w:rsidRDefault="00660978" w:rsidP="00660978">
      <w:pPr>
        <w:pStyle w:val="BodyText"/>
        <w:rPr>
          <w:rFonts w:cs="Calibri"/>
          <w:sz w:val="16"/>
          <w:szCs w:val="16"/>
          <w:lang w:eastAsia="en-GB"/>
        </w:rPr>
      </w:pPr>
      <w:r w:rsidRPr="00CB1C46">
        <w:rPr>
          <w:rFonts w:cs="Calibri"/>
          <w:lang w:eastAsia="en-GB"/>
        </w:rPr>
        <w:t>As mentioned in section 3.3.1, New Zealand’s CO</w:t>
      </w:r>
      <w:r w:rsidRPr="00CB1C46">
        <w:rPr>
          <w:rFonts w:cs="Calibri"/>
          <w:vertAlign w:val="subscript"/>
          <w:lang w:eastAsia="en-GB"/>
        </w:rPr>
        <w:t>2</w:t>
      </w:r>
      <w:r w:rsidRPr="00CB1C46">
        <w:rPr>
          <w:rFonts w:cs="Calibri"/>
          <w:lang w:eastAsia="en-GB"/>
        </w:rPr>
        <w:t xml:space="preserve"> emission factor for natural gas fluctuates from year to year, reflecting the relative amount of gas produced from the various gas fields in a given year. New Zealand gas fields also have higher CO</w:t>
      </w:r>
      <w:r w:rsidRPr="00CB1C46">
        <w:rPr>
          <w:rFonts w:cs="Calibri"/>
          <w:vertAlign w:val="subscript"/>
          <w:lang w:eastAsia="en-GB"/>
        </w:rPr>
        <w:t>2</w:t>
      </w:r>
      <w:r w:rsidRPr="00CB1C46">
        <w:rPr>
          <w:rFonts w:cs="Calibri"/>
          <w:lang w:eastAsia="en-GB"/>
        </w:rPr>
        <w:t xml:space="preserve"> content than most international gas fields. This is particularly evident in the </w:t>
      </w:r>
      <w:r w:rsidRPr="00CB1C46">
        <w:rPr>
          <w:rFonts w:cs="Calibri"/>
          <w:i/>
          <w:lang w:eastAsia="en-GB"/>
        </w:rPr>
        <w:t>Public electricity and heat production</w:t>
      </w:r>
      <w:r w:rsidRPr="00CB1C46">
        <w:rPr>
          <w:rFonts w:cs="Calibri"/>
          <w:lang w:eastAsia="en-GB"/>
        </w:rPr>
        <w:t xml:space="preserve"> category.</w:t>
      </w:r>
      <w:r w:rsidRPr="00CB1C46">
        <w:rPr>
          <w:rFonts w:cs="Calibri"/>
          <w:sz w:val="16"/>
          <w:szCs w:val="16"/>
          <w:lang w:eastAsia="en-GB"/>
        </w:rPr>
        <w:t xml:space="preserve"> </w:t>
      </w:r>
    </w:p>
    <w:p w14:paraId="34B8F765" w14:textId="77777777" w:rsidR="00660978" w:rsidRPr="00CB1C46" w:rsidRDefault="00660978" w:rsidP="00660978">
      <w:pPr>
        <w:pStyle w:val="Heading4"/>
        <w:spacing w:before="200"/>
      </w:pPr>
      <w:r w:rsidRPr="00CB1C46">
        <w:rPr>
          <w:lang w:eastAsia="en-GB"/>
        </w:rPr>
        <w:t>Uncertainties and time-series consistency</w:t>
      </w:r>
    </w:p>
    <w:p w14:paraId="36F7AD7E" w14:textId="77777777" w:rsidR="00660978" w:rsidRPr="00CB1C46" w:rsidRDefault="00660978" w:rsidP="00660978">
      <w:pPr>
        <w:pStyle w:val="BodyText"/>
        <w:rPr>
          <w:rFonts w:cs="Calibri"/>
          <w:lang w:eastAsia="en-GB"/>
        </w:rPr>
      </w:pPr>
      <w:r w:rsidRPr="00CB1C46">
        <w:rPr>
          <w:rFonts w:cs="Calibri"/>
          <w:lang w:eastAsia="en-GB"/>
        </w:rPr>
        <w:t xml:space="preserve">Uncertainties in emissions and activity data estimates for this category are relevant to the entire </w:t>
      </w:r>
      <w:r w:rsidRPr="00CB1C46">
        <w:rPr>
          <w:rFonts w:cs="Calibri"/>
          <w:i/>
          <w:lang w:eastAsia="en-GB"/>
        </w:rPr>
        <w:t>Fuel combustion</w:t>
      </w:r>
      <w:r w:rsidRPr="00CB1C46">
        <w:rPr>
          <w:rFonts w:cs="Calibri"/>
          <w:lang w:eastAsia="en-GB"/>
        </w:rPr>
        <w:t xml:space="preserve"> category (see table 3.3.1).</w:t>
      </w:r>
    </w:p>
    <w:p w14:paraId="56C77F68" w14:textId="77777777" w:rsidR="00660978" w:rsidRPr="00CB1C46" w:rsidRDefault="00660978" w:rsidP="00660978">
      <w:pPr>
        <w:pStyle w:val="Heading4"/>
        <w:spacing w:before="200"/>
        <w:rPr>
          <w:lang w:eastAsia="en-GB"/>
        </w:rPr>
      </w:pPr>
      <w:r w:rsidRPr="00CB1C46">
        <w:rPr>
          <w:lang w:eastAsia="en-GB"/>
        </w:rPr>
        <w:t>Source-specific QA/QC and verification</w:t>
      </w:r>
    </w:p>
    <w:p w14:paraId="3E6FA14E" w14:textId="77777777" w:rsidR="00660978" w:rsidRPr="00CB1C46" w:rsidRDefault="00660978" w:rsidP="00660978">
      <w:pPr>
        <w:pStyle w:val="BodyText"/>
        <w:rPr>
          <w:rFonts w:cs="Calibri"/>
          <w:lang w:eastAsia="en-GB"/>
        </w:rPr>
      </w:pPr>
      <w:r w:rsidRPr="00CB1C46">
        <w:rPr>
          <w:rFonts w:cs="Calibri"/>
          <w:lang w:eastAsia="en-GB"/>
        </w:rPr>
        <w:t xml:space="preserve">In the preparation of this inventory, the </w:t>
      </w:r>
      <w:r w:rsidRPr="00CB1C46">
        <w:rPr>
          <w:rFonts w:cs="Calibri"/>
          <w:i/>
          <w:lang w:eastAsia="en-GB"/>
        </w:rPr>
        <w:t>Energy industries</w:t>
      </w:r>
      <w:r w:rsidRPr="00CB1C46">
        <w:rPr>
          <w:rFonts w:cs="Calibri"/>
          <w:lang w:eastAsia="en-GB"/>
        </w:rPr>
        <w:t xml:space="preserve"> category underwent Tier 1 quality-assurance and quality-control checks as recommended in the 2006 IPCC Guidelines. These include regular control sums throughout systems, to verify system integrity, and consistency checks on implied emission factors.</w:t>
      </w:r>
    </w:p>
    <w:p w14:paraId="5B8C1616" w14:textId="77777777" w:rsidR="00660978" w:rsidRPr="00CB1C46" w:rsidRDefault="00660978" w:rsidP="00660978">
      <w:pPr>
        <w:pStyle w:val="Heading4"/>
        <w:spacing w:before="200"/>
        <w:rPr>
          <w:lang w:eastAsia="en-GB"/>
        </w:rPr>
      </w:pPr>
      <w:r w:rsidRPr="00CB1C46">
        <w:rPr>
          <w:lang w:eastAsia="en-GB"/>
        </w:rPr>
        <w:t>Source-specific recalculations</w:t>
      </w:r>
    </w:p>
    <w:p w14:paraId="28382149" w14:textId="77777777" w:rsidR="00660978" w:rsidRPr="00CB1C46" w:rsidRDefault="00660978" w:rsidP="00660978">
      <w:pPr>
        <w:pStyle w:val="BodyText"/>
        <w:rPr>
          <w:rFonts w:cs="Calibri"/>
          <w:lang w:eastAsia="en-GB"/>
        </w:rPr>
      </w:pPr>
      <w:r w:rsidRPr="00CB1C46">
        <w:rPr>
          <w:rFonts w:cs="Calibri"/>
          <w:lang w:eastAsia="en-GB"/>
        </w:rPr>
        <w:t>Updated activity data have been provided by some plant operators for the quantity of natural gas consumed for electricity generation. This has resulted in some recalculations for recent years.</w:t>
      </w:r>
    </w:p>
    <w:p w14:paraId="0C61B874" w14:textId="77777777" w:rsidR="00660978" w:rsidRPr="00CB1C46" w:rsidRDefault="00660978" w:rsidP="00660978">
      <w:pPr>
        <w:pStyle w:val="Heading3"/>
        <w:rPr>
          <w:rFonts w:cs="Calibri"/>
        </w:rPr>
      </w:pPr>
      <w:bookmarkStart w:id="310" w:name="_Ref442360713"/>
      <w:r w:rsidRPr="00CB1C46">
        <w:rPr>
          <w:rFonts w:cs="Calibri"/>
        </w:rPr>
        <w:t>3.3.7</w:t>
      </w:r>
      <w:r w:rsidRPr="00CB1C46">
        <w:rPr>
          <w:rFonts w:cs="Calibri"/>
        </w:rPr>
        <w:tab/>
        <w:t>Fuel combustion: Manufacturing industries and construction (CRF 1.A.2)</w:t>
      </w:r>
      <w:bookmarkEnd w:id="310"/>
    </w:p>
    <w:p w14:paraId="1BEDDFD5" w14:textId="77777777" w:rsidR="00660978" w:rsidRPr="00CB1C46" w:rsidRDefault="00660978" w:rsidP="00660978">
      <w:pPr>
        <w:pStyle w:val="Heading4"/>
        <w:spacing w:before="160"/>
      </w:pPr>
      <w:r w:rsidRPr="00CB1C46">
        <w:rPr>
          <w:lang w:eastAsia="en-GB"/>
        </w:rPr>
        <w:t>Description</w:t>
      </w:r>
    </w:p>
    <w:p w14:paraId="0FB0AFDF" w14:textId="56422753" w:rsidR="00660978" w:rsidRPr="00CB1C46" w:rsidRDefault="00660978" w:rsidP="00660978">
      <w:pPr>
        <w:pStyle w:val="BodyText"/>
        <w:rPr>
          <w:rFonts w:cs="Calibri"/>
          <w:lang w:eastAsia="en-GB"/>
        </w:rPr>
      </w:pPr>
      <w:r w:rsidRPr="00CB1C46">
        <w:rPr>
          <w:rFonts w:cs="Calibri"/>
          <w:lang w:eastAsia="en-GB"/>
        </w:rPr>
        <w:t>This category comprises emissions from fossil fuels combusted in iron and steel, other non</w:t>
      </w:r>
      <w:r w:rsidRPr="00CB1C46">
        <w:rPr>
          <w:rFonts w:cs="Calibri"/>
          <w:lang w:eastAsia="en-GB"/>
        </w:rPr>
        <w:noBreakHyphen/>
        <w:t>ferrous metals, chemicals, pulp, paper and print, food processing, beverages and tobacco,</w:t>
      </w:r>
      <w:r w:rsidR="00D01D59">
        <w:rPr>
          <w:rFonts w:cs="Calibri"/>
          <w:lang w:eastAsia="en-GB"/>
        </w:rPr>
        <w:t> </w:t>
      </w:r>
      <w:r w:rsidRPr="00CB1C46">
        <w:rPr>
          <w:rFonts w:cs="Calibri"/>
          <w:lang w:eastAsia="en-GB"/>
        </w:rPr>
        <w:t>and</w:t>
      </w:r>
      <w:r w:rsidR="00D31679">
        <w:rPr>
          <w:rFonts w:cs="Calibri"/>
          <w:lang w:eastAsia="en-GB"/>
        </w:rPr>
        <w:t xml:space="preserve"> </w:t>
      </w:r>
      <w:r w:rsidRPr="00CB1C46">
        <w:rPr>
          <w:rFonts w:cs="Calibri"/>
          <w:lang w:eastAsia="en-GB"/>
        </w:rPr>
        <w:t>other uses. Emissions from co-generation plants that do not meet the</w:t>
      </w:r>
      <w:r w:rsidR="00D01D59">
        <w:rPr>
          <w:rFonts w:cs="Calibri"/>
          <w:lang w:eastAsia="en-GB"/>
        </w:rPr>
        <w:t xml:space="preserve"> </w:t>
      </w:r>
      <w:r w:rsidRPr="00CB1C46">
        <w:rPr>
          <w:rFonts w:cs="Calibri"/>
          <w:lang w:eastAsia="en-GB"/>
        </w:rPr>
        <w:t>definition of co</w:t>
      </w:r>
      <w:r w:rsidRPr="00CB1C46">
        <w:rPr>
          <w:rFonts w:cs="Calibri"/>
          <w:lang w:eastAsia="en-GB"/>
        </w:rPr>
        <w:noBreakHyphen/>
        <w:t>generation as provided in the 2006 IPCC Guidelines are included in this category.</w:t>
      </w:r>
    </w:p>
    <w:p w14:paraId="0857A80D" w14:textId="77777777" w:rsidR="00660978" w:rsidRPr="00CB1C46" w:rsidRDefault="00660978" w:rsidP="00660978">
      <w:pPr>
        <w:pStyle w:val="BodyText"/>
        <w:rPr>
          <w:rFonts w:cs="Calibri"/>
          <w:lang w:eastAsia="en-GB"/>
        </w:rPr>
      </w:pPr>
      <w:r w:rsidRPr="00CB1C46">
        <w:rPr>
          <w:rFonts w:cs="Calibri"/>
          <w:lang w:eastAsia="en-GB"/>
        </w:rPr>
        <w:t xml:space="preserve">In </w:t>
      </w:r>
      <w:r w:rsidRPr="00CB1C46">
        <w:rPr>
          <w:rFonts w:cs="Calibri"/>
        </w:rPr>
        <w:t>2020</w:t>
      </w:r>
      <w:r w:rsidRPr="00CB1C46">
        <w:rPr>
          <w:rFonts w:cs="Calibri"/>
          <w:lang w:eastAsia="en-GB"/>
        </w:rPr>
        <w:t xml:space="preserve">, emissions from the 1.A.2 </w:t>
      </w:r>
      <w:r w:rsidRPr="00CB1C46">
        <w:rPr>
          <w:rFonts w:cs="Calibri"/>
          <w:i/>
          <w:lang w:eastAsia="en-GB"/>
        </w:rPr>
        <w:t>Manufacturing industries and construction</w:t>
      </w:r>
      <w:r w:rsidRPr="00CB1C46">
        <w:rPr>
          <w:rFonts w:cs="Calibri"/>
          <w:lang w:eastAsia="en-GB"/>
        </w:rPr>
        <w:t xml:space="preserve"> category accounted for 6,681.6</w:t>
      </w:r>
      <w:r w:rsidRPr="00CB1C46">
        <w:rPr>
          <w:rFonts w:cs="Calibri"/>
        </w:rPr>
        <w:t xml:space="preserve"> </w:t>
      </w:r>
      <w:r w:rsidRPr="00CB1C46">
        <w:rPr>
          <w:rFonts w:cs="Calibri"/>
          <w:lang w:eastAsia="en-GB"/>
        </w:rPr>
        <w:t>kt CO</w:t>
      </w:r>
      <w:r w:rsidRPr="00CB1C46">
        <w:rPr>
          <w:rFonts w:cs="Calibri"/>
          <w:vertAlign w:val="subscript"/>
          <w:lang w:eastAsia="en-GB"/>
        </w:rPr>
        <w:t>2</w:t>
      </w:r>
      <w:r w:rsidRPr="00CB1C46">
        <w:rPr>
          <w:rFonts w:cs="Calibri"/>
          <w:lang w:eastAsia="en-GB"/>
        </w:rPr>
        <w:t>-e (</w:t>
      </w:r>
      <w:r w:rsidRPr="00CB1C46">
        <w:rPr>
          <w:rFonts w:cs="Calibri"/>
        </w:rPr>
        <w:t>21.2 per cent</w:t>
      </w:r>
      <w:r w:rsidRPr="00CB1C46">
        <w:rPr>
          <w:rFonts w:cs="Calibri"/>
          <w:lang w:eastAsia="en-GB"/>
        </w:rPr>
        <w:t>) of emissions from the Energy sector. Emissions</w:t>
      </w:r>
      <w:r>
        <w:rPr>
          <w:rFonts w:cs="Calibri"/>
          <w:lang w:eastAsia="en-GB"/>
        </w:rPr>
        <w:t xml:space="preserve"> </w:t>
      </w:r>
      <w:r w:rsidRPr="00CB1C46">
        <w:rPr>
          <w:rFonts w:cs="Calibri"/>
          <w:lang w:eastAsia="en-GB"/>
        </w:rPr>
        <w:t>from this category are 1,923.9</w:t>
      </w:r>
      <w:r w:rsidRPr="00CB1C46">
        <w:rPr>
          <w:rFonts w:cs="Calibri"/>
        </w:rPr>
        <w:t xml:space="preserve"> </w:t>
      </w:r>
      <w:r w:rsidRPr="00CB1C46">
        <w:rPr>
          <w:rFonts w:cs="Calibri"/>
          <w:lang w:eastAsia="en-GB"/>
        </w:rPr>
        <w:t>kt CO</w:t>
      </w:r>
      <w:r w:rsidRPr="00CB1C46">
        <w:rPr>
          <w:rFonts w:cs="Calibri"/>
          <w:vertAlign w:val="subscript"/>
          <w:lang w:eastAsia="en-GB"/>
        </w:rPr>
        <w:t>2</w:t>
      </w:r>
      <w:r w:rsidRPr="00CB1C46">
        <w:rPr>
          <w:rFonts w:cs="Calibri"/>
          <w:lang w:eastAsia="en-GB"/>
        </w:rPr>
        <w:t>-e (</w:t>
      </w:r>
      <w:r w:rsidRPr="00CB1C46">
        <w:rPr>
          <w:rFonts w:cs="Calibri"/>
        </w:rPr>
        <w:t>40.4 per cent</w:t>
      </w:r>
      <w:r w:rsidRPr="00CB1C46">
        <w:rPr>
          <w:rFonts w:cs="Calibri"/>
          <w:lang w:eastAsia="en-GB"/>
        </w:rPr>
        <w:t>) higher than the 1990 level of </w:t>
      </w:r>
      <w:r w:rsidRPr="00CB1C46">
        <w:rPr>
          <w:rFonts w:cs="Calibri"/>
        </w:rPr>
        <w:t>4,757.7 </w:t>
      </w:r>
      <w:r w:rsidRPr="00CB1C46">
        <w:rPr>
          <w:rFonts w:cs="Calibri"/>
          <w:lang w:eastAsia="en-GB"/>
        </w:rPr>
        <w:t>kt CO</w:t>
      </w:r>
      <w:r w:rsidRPr="00CB1C46">
        <w:rPr>
          <w:rFonts w:cs="Calibri"/>
          <w:vertAlign w:val="subscript"/>
          <w:lang w:eastAsia="en-GB"/>
        </w:rPr>
        <w:t>2</w:t>
      </w:r>
      <w:r w:rsidRPr="00CB1C46">
        <w:rPr>
          <w:rFonts w:cs="Calibri"/>
          <w:lang w:eastAsia="en-GB"/>
        </w:rPr>
        <w:t>-e. A decline in methanol production in 2003 to 2004 caused a significant reduction in emissions</w:t>
      </w:r>
      <w:r>
        <w:rPr>
          <w:rFonts w:cs="Calibri"/>
          <w:lang w:eastAsia="en-GB"/>
        </w:rPr>
        <w:t xml:space="preserve"> </w:t>
      </w:r>
      <w:r w:rsidRPr="00CB1C46">
        <w:rPr>
          <w:rFonts w:cs="Calibri"/>
          <w:lang w:eastAsia="en-GB"/>
        </w:rPr>
        <w:t xml:space="preserve">from this category. Methanol production is the largest source of emissions in category 1.A.2.c </w:t>
      </w:r>
      <w:r w:rsidRPr="00CB1C46">
        <w:rPr>
          <w:rFonts w:cs="Calibri"/>
          <w:i/>
          <w:lang w:eastAsia="en-GB"/>
        </w:rPr>
        <w:t>Chemicals</w:t>
      </w:r>
      <w:r w:rsidRPr="00CB1C46">
        <w:rPr>
          <w:rFonts w:cs="Calibri"/>
          <w:lang w:eastAsia="en-GB"/>
        </w:rPr>
        <w:t>. Methanex New Zealand restarted previously mothballed plants in</w:t>
      </w:r>
      <w:r>
        <w:rPr>
          <w:rFonts w:cs="Calibri"/>
          <w:lang w:eastAsia="en-GB"/>
        </w:rPr>
        <w:t> </w:t>
      </w:r>
      <w:r w:rsidRPr="00CB1C46">
        <w:rPr>
          <w:rFonts w:cs="Calibri"/>
          <w:lang w:eastAsia="en-GB"/>
        </w:rPr>
        <w:t>2012/13 and operated all three of its plants during 2020 although output was reduced due to constrained gas supply.</w:t>
      </w:r>
    </w:p>
    <w:p w14:paraId="25D6AA61" w14:textId="77777777" w:rsidR="00660978" w:rsidRPr="00CB1C46" w:rsidRDefault="00660978" w:rsidP="00660978">
      <w:pPr>
        <w:pStyle w:val="Heading4"/>
        <w:spacing w:before="200"/>
        <w:rPr>
          <w:lang w:eastAsia="en-GB"/>
        </w:rPr>
      </w:pPr>
      <w:r w:rsidRPr="00CB1C46">
        <w:rPr>
          <w:lang w:eastAsia="en-GB"/>
        </w:rPr>
        <w:t xml:space="preserve">Changes in emissions between </w:t>
      </w:r>
      <w:r w:rsidRPr="00CB1C46">
        <w:t xml:space="preserve">2019 </w:t>
      </w:r>
      <w:r w:rsidRPr="00CB1C46">
        <w:rPr>
          <w:lang w:eastAsia="en-GB"/>
        </w:rPr>
        <w:t xml:space="preserve">and </w:t>
      </w:r>
      <w:r w:rsidRPr="00CB1C46">
        <w:t>2020</w:t>
      </w:r>
    </w:p>
    <w:p w14:paraId="375312CC" w14:textId="77777777" w:rsidR="00660978" w:rsidRPr="00CB1C46" w:rsidRDefault="00660978" w:rsidP="00660978">
      <w:pPr>
        <w:pStyle w:val="BodyText"/>
        <w:rPr>
          <w:lang w:eastAsia="en-GB"/>
        </w:rPr>
      </w:pPr>
      <w:r w:rsidRPr="00CB1C46">
        <w:rPr>
          <w:lang w:eastAsia="en-GB"/>
        </w:rPr>
        <w:t xml:space="preserve">Between </w:t>
      </w:r>
      <w:r w:rsidRPr="00CB1C46">
        <w:t>2019</w:t>
      </w:r>
      <w:r w:rsidRPr="00CB1C46">
        <w:rPr>
          <w:lang w:eastAsia="en-GB"/>
        </w:rPr>
        <w:t xml:space="preserve"> and </w:t>
      </w:r>
      <w:r w:rsidRPr="00CB1C46">
        <w:t>2020</w:t>
      </w:r>
      <w:r w:rsidRPr="00CB1C46">
        <w:rPr>
          <w:lang w:eastAsia="en-GB"/>
        </w:rPr>
        <w:t xml:space="preserve">, </w:t>
      </w:r>
      <w:r w:rsidRPr="00CB1C46">
        <w:t>emissions</w:t>
      </w:r>
      <w:r w:rsidRPr="00CB1C46">
        <w:rPr>
          <w:lang w:eastAsia="en-GB"/>
        </w:rPr>
        <w:t xml:space="preserve"> from the </w:t>
      </w:r>
      <w:r w:rsidRPr="00CB1C46">
        <w:rPr>
          <w:i/>
          <w:lang w:eastAsia="en-GB"/>
        </w:rPr>
        <w:t>Manufacturing industries and construction</w:t>
      </w:r>
      <w:r w:rsidRPr="00CB1C46">
        <w:rPr>
          <w:lang w:eastAsia="en-GB"/>
        </w:rPr>
        <w:t xml:space="preserve"> category decreased by </w:t>
      </w:r>
      <w:r w:rsidRPr="00CB1C46">
        <w:t xml:space="preserve">847.6 </w:t>
      </w:r>
      <w:r w:rsidRPr="00CB1C46">
        <w:rPr>
          <w:lang w:eastAsia="en-GB"/>
        </w:rPr>
        <w:t>kt CO</w:t>
      </w:r>
      <w:r w:rsidRPr="00CB1C46">
        <w:rPr>
          <w:vertAlign w:val="subscript"/>
          <w:lang w:eastAsia="en-GB"/>
        </w:rPr>
        <w:t>2</w:t>
      </w:r>
      <w:r w:rsidRPr="00CB1C46">
        <w:rPr>
          <w:lang w:eastAsia="en-GB"/>
        </w:rPr>
        <w:t>-e (</w:t>
      </w:r>
      <w:r w:rsidRPr="00CB1C46">
        <w:t>11.3 per cent</w:t>
      </w:r>
      <w:r w:rsidRPr="00CB1C46">
        <w:rPr>
          <w:lang w:eastAsia="en-GB"/>
        </w:rPr>
        <w:t xml:space="preserve">). This was driven chiefly by a decrease in emissions from the </w:t>
      </w:r>
      <w:r w:rsidRPr="00CB1C46">
        <w:rPr>
          <w:i/>
          <w:lang w:eastAsia="en-GB"/>
        </w:rPr>
        <w:t>Non-metallic minerals</w:t>
      </w:r>
      <w:r w:rsidRPr="00CB1C46">
        <w:rPr>
          <w:lang w:eastAsia="en-GB"/>
        </w:rPr>
        <w:t xml:space="preserve"> category, down 296.7</w:t>
      </w:r>
      <w:r w:rsidRPr="00CB1C46">
        <w:t xml:space="preserve"> </w:t>
      </w:r>
      <w:r w:rsidRPr="00CB1C46">
        <w:rPr>
          <w:lang w:eastAsia="en-GB"/>
        </w:rPr>
        <w:t>kt CO</w:t>
      </w:r>
      <w:r w:rsidRPr="00CB1C46">
        <w:rPr>
          <w:vertAlign w:val="subscript"/>
          <w:lang w:eastAsia="en-GB"/>
        </w:rPr>
        <w:t>2</w:t>
      </w:r>
      <w:r w:rsidRPr="00CB1C46">
        <w:rPr>
          <w:lang w:eastAsia="en-GB"/>
        </w:rPr>
        <w:t>-e (</w:t>
      </w:r>
      <w:r w:rsidRPr="00CB1C46">
        <w:t>50.8 per cent</w:t>
      </w:r>
      <w:r w:rsidRPr="00CB1C46">
        <w:rPr>
          <w:lang w:eastAsia="en-GB"/>
        </w:rPr>
        <w:t xml:space="preserve">) </w:t>
      </w:r>
      <w:r w:rsidRPr="00CB1C46">
        <w:rPr>
          <w:lang w:eastAsia="en-GB"/>
        </w:rPr>
        <w:lastRenderedPageBreak/>
        <w:t xml:space="preserve">from 2019. A significant driver behind the decrease was restrictions due to the COVID-19 pandemic and the flow-on economic effects, see </w:t>
      </w:r>
      <w:r w:rsidRPr="00CB1C46">
        <w:rPr>
          <w:i/>
          <w:lang w:eastAsia="en-GB"/>
        </w:rPr>
        <w:t>Energy in New Zealand</w:t>
      </w:r>
      <w:r w:rsidRPr="00CB1C46">
        <w:rPr>
          <w:lang w:eastAsia="en-GB"/>
        </w:rPr>
        <w:t xml:space="preserve"> (MBIE, 2020), for further information.</w:t>
      </w:r>
    </w:p>
    <w:p w14:paraId="0904E17F" w14:textId="77777777" w:rsidR="00660978" w:rsidRPr="00CB1C46" w:rsidRDefault="00660978" w:rsidP="00660978">
      <w:pPr>
        <w:pStyle w:val="BodyText"/>
        <w:rPr>
          <w:rFonts w:cs="Calibri"/>
        </w:rPr>
      </w:pPr>
      <w:r w:rsidRPr="00CB1C46">
        <w:rPr>
          <w:rFonts w:cs="Calibri"/>
        </w:rPr>
        <w:t xml:space="preserve">Key categories identified in the 2020 level and trend assessment for the </w:t>
      </w:r>
      <w:r w:rsidRPr="00CB1C46">
        <w:rPr>
          <w:rFonts w:cs="Calibri"/>
          <w:i/>
        </w:rPr>
        <w:t>Manufacturing industries and construction</w:t>
      </w:r>
      <w:r w:rsidRPr="00CB1C46">
        <w:rPr>
          <w:rFonts w:cs="Calibri"/>
        </w:rPr>
        <w:t xml:space="preserve"> category are given in table 3.3.3.</w:t>
      </w:r>
    </w:p>
    <w:p w14:paraId="1B4B8042" w14:textId="77777777" w:rsidR="00660978" w:rsidRPr="00CB1C46" w:rsidRDefault="00660978" w:rsidP="00660978">
      <w:pPr>
        <w:pStyle w:val="Table"/>
      </w:pPr>
      <w:bookmarkStart w:id="311" w:name="_Toc68786407"/>
      <w:bookmarkStart w:id="312" w:name="_Toc99659215"/>
      <w:r w:rsidRPr="00CB1C46">
        <w:t>Table 3.3.3</w:t>
      </w:r>
      <w:r w:rsidRPr="00CB1C46">
        <w:tab/>
        <w:t xml:space="preserve">Key categories for 1.A.2 </w:t>
      </w:r>
      <w:r w:rsidRPr="00AF7FAF">
        <w:rPr>
          <w:i/>
          <w:iCs/>
        </w:rPr>
        <w:t>Manufacturing industries and construction</w:t>
      </w:r>
      <w:bookmarkEnd w:id="311"/>
      <w:bookmarkEnd w:id="312"/>
    </w:p>
    <w:tbl>
      <w:tblPr>
        <w:tblW w:w="8505" w:type="dxa"/>
        <w:tblInd w:w="113"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3740"/>
        <w:gridCol w:w="1242"/>
        <w:gridCol w:w="1082"/>
        <w:gridCol w:w="2441"/>
      </w:tblGrid>
      <w:tr w:rsidR="00660978" w:rsidRPr="00CB1C46" w14:paraId="3F48528D" w14:textId="77777777" w:rsidTr="004873FC">
        <w:trPr>
          <w:tblHeader/>
        </w:trPr>
        <w:tc>
          <w:tcPr>
            <w:tcW w:w="2199" w:type="pct"/>
            <w:shd w:val="clear" w:color="auto" w:fill="1B556B"/>
            <w:noWrap/>
            <w:vAlign w:val="bottom"/>
            <w:hideMark/>
          </w:tcPr>
          <w:p w14:paraId="3A842384" w14:textId="77777777" w:rsidR="00660978" w:rsidRPr="00CB1C46" w:rsidRDefault="00660978" w:rsidP="004873FC">
            <w:pPr>
              <w:pStyle w:val="TableTextBold"/>
              <w:rPr>
                <w:rFonts w:cs="Calibri"/>
                <w:noProof w:val="0"/>
                <w:color w:val="FFFFFF"/>
              </w:rPr>
            </w:pPr>
            <w:r w:rsidRPr="00CB1C46">
              <w:rPr>
                <w:rFonts w:cs="Calibri"/>
                <w:noProof w:val="0"/>
                <w:color w:val="FFFFFF"/>
              </w:rPr>
              <w:t xml:space="preserve">Category </w:t>
            </w:r>
          </w:p>
        </w:tc>
        <w:tc>
          <w:tcPr>
            <w:tcW w:w="730" w:type="pct"/>
            <w:shd w:val="clear" w:color="auto" w:fill="1B556B"/>
            <w:noWrap/>
            <w:vAlign w:val="bottom"/>
            <w:hideMark/>
          </w:tcPr>
          <w:p w14:paraId="7A5359FD" w14:textId="77777777" w:rsidR="00660978" w:rsidRPr="00CB1C46" w:rsidRDefault="00660978" w:rsidP="004873FC">
            <w:pPr>
              <w:pStyle w:val="TableTextBold"/>
              <w:rPr>
                <w:rFonts w:cs="Calibri"/>
                <w:noProof w:val="0"/>
                <w:color w:val="FFFFFF"/>
              </w:rPr>
            </w:pPr>
            <w:r w:rsidRPr="00CB1C46">
              <w:rPr>
                <w:rFonts w:cs="Calibri"/>
                <w:noProof w:val="0"/>
                <w:color w:val="FFFFFF"/>
              </w:rPr>
              <w:t>Liquid fuels</w:t>
            </w:r>
          </w:p>
        </w:tc>
        <w:tc>
          <w:tcPr>
            <w:tcW w:w="636" w:type="pct"/>
            <w:shd w:val="clear" w:color="auto" w:fill="1B556B"/>
            <w:vAlign w:val="bottom"/>
            <w:hideMark/>
          </w:tcPr>
          <w:p w14:paraId="6AB03359" w14:textId="77777777" w:rsidR="00660978" w:rsidRPr="00CB1C46" w:rsidRDefault="00660978" w:rsidP="004873FC">
            <w:pPr>
              <w:pStyle w:val="TableTextBold"/>
              <w:rPr>
                <w:rFonts w:cs="Calibri"/>
                <w:noProof w:val="0"/>
                <w:color w:val="FFFFFF"/>
              </w:rPr>
            </w:pPr>
            <w:r w:rsidRPr="00CB1C46">
              <w:rPr>
                <w:rFonts w:cs="Calibri"/>
                <w:noProof w:val="0"/>
                <w:color w:val="FFFFFF"/>
              </w:rPr>
              <w:t>Solid fuels</w:t>
            </w:r>
          </w:p>
        </w:tc>
        <w:tc>
          <w:tcPr>
            <w:tcW w:w="1435" w:type="pct"/>
            <w:shd w:val="clear" w:color="auto" w:fill="1B556B"/>
            <w:vAlign w:val="bottom"/>
            <w:hideMark/>
          </w:tcPr>
          <w:p w14:paraId="04AEC1AA" w14:textId="77777777" w:rsidR="00660978" w:rsidRPr="00CB1C46" w:rsidRDefault="00660978" w:rsidP="004873FC">
            <w:pPr>
              <w:pStyle w:val="TableTextBold"/>
              <w:rPr>
                <w:rFonts w:cs="Calibri"/>
                <w:noProof w:val="0"/>
                <w:color w:val="FFFFFF"/>
              </w:rPr>
            </w:pPr>
            <w:r w:rsidRPr="00CB1C46">
              <w:rPr>
                <w:rFonts w:cs="Calibri"/>
                <w:noProof w:val="0"/>
                <w:color w:val="FFFFFF"/>
              </w:rPr>
              <w:t>Gaseous fuels</w:t>
            </w:r>
          </w:p>
        </w:tc>
      </w:tr>
      <w:tr w:rsidR="00660978" w:rsidRPr="00CB1C46" w14:paraId="1EEBC152" w14:textId="77777777" w:rsidTr="004873FC">
        <w:tc>
          <w:tcPr>
            <w:tcW w:w="2199" w:type="pct"/>
            <w:shd w:val="clear" w:color="auto" w:fill="auto"/>
            <w:noWrap/>
          </w:tcPr>
          <w:p w14:paraId="5493C31D" w14:textId="77777777" w:rsidR="00660978" w:rsidRPr="00CB1C46" w:rsidRDefault="00660978" w:rsidP="004873FC">
            <w:pPr>
              <w:pStyle w:val="TableText"/>
              <w:spacing w:before="50" w:after="50"/>
              <w:rPr>
                <w:rFonts w:cs="Calibri"/>
              </w:rPr>
            </w:pPr>
            <w:r w:rsidRPr="00CB1C46" w:rsidDel="0089491E">
              <w:rPr>
                <w:rFonts w:cs="Calibri"/>
              </w:rPr>
              <w:t>Chemicals – CO</w:t>
            </w:r>
            <w:r w:rsidRPr="00CB1C46" w:rsidDel="0089491E">
              <w:rPr>
                <w:rFonts w:cs="Calibri"/>
                <w:vertAlign w:val="subscript"/>
              </w:rPr>
              <w:t>2</w:t>
            </w:r>
          </w:p>
        </w:tc>
        <w:tc>
          <w:tcPr>
            <w:tcW w:w="730" w:type="pct"/>
            <w:shd w:val="clear" w:color="auto" w:fill="auto"/>
            <w:noWrap/>
          </w:tcPr>
          <w:p w14:paraId="43B10BD9" w14:textId="77777777" w:rsidR="00660978" w:rsidRPr="00CB1C46" w:rsidRDefault="00660978" w:rsidP="004873FC">
            <w:pPr>
              <w:pStyle w:val="TableText"/>
              <w:spacing w:before="50" w:after="50"/>
              <w:rPr>
                <w:rFonts w:cs="Calibri"/>
              </w:rPr>
            </w:pPr>
          </w:p>
        </w:tc>
        <w:tc>
          <w:tcPr>
            <w:tcW w:w="636" w:type="pct"/>
            <w:shd w:val="clear" w:color="auto" w:fill="auto"/>
            <w:noWrap/>
          </w:tcPr>
          <w:p w14:paraId="7A205547" w14:textId="77777777" w:rsidR="00660978" w:rsidRPr="00CB1C46" w:rsidRDefault="00660978" w:rsidP="004873FC">
            <w:pPr>
              <w:pStyle w:val="TableText"/>
              <w:spacing w:before="50" w:after="50"/>
              <w:rPr>
                <w:rFonts w:cs="Calibri"/>
              </w:rPr>
            </w:pPr>
          </w:p>
        </w:tc>
        <w:tc>
          <w:tcPr>
            <w:tcW w:w="1435" w:type="pct"/>
            <w:shd w:val="clear" w:color="auto" w:fill="auto"/>
            <w:noWrap/>
          </w:tcPr>
          <w:p w14:paraId="45746FA4" w14:textId="77777777" w:rsidR="00660978" w:rsidRPr="00CB1C46" w:rsidRDefault="00660978" w:rsidP="004873FC">
            <w:pPr>
              <w:pStyle w:val="TableText"/>
              <w:spacing w:before="50" w:after="50"/>
              <w:rPr>
                <w:rFonts w:cs="Calibri"/>
              </w:rPr>
            </w:pPr>
            <w:r w:rsidRPr="00CB1C46" w:rsidDel="0089491E">
              <w:rPr>
                <w:rFonts w:cs="Calibri"/>
              </w:rPr>
              <w:t>Level, trend</w:t>
            </w:r>
          </w:p>
        </w:tc>
      </w:tr>
      <w:tr w:rsidR="00660978" w:rsidRPr="00CB1C46" w14:paraId="7770CEF0" w14:textId="77777777" w:rsidTr="004873FC">
        <w:tc>
          <w:tcPr>
            <w:tcW w:w="2199" w:type="pct"/>
            <w:shd w:val="clear" w:color="auto" w:fill="auto"/>
            <w:noWrap/>
            <w:hideMark/>
          </w:tcPr>
          <w:p w14:paraId="556418FD" w14:textId="77777777" w:rsidR="00660978" w:rsidRPr="00CB1C46" w:rsidRDefault="00660978" w:rsidP="004873FC">
            <w:pPr>
              <w:pStyle w:val="TableText"/>
              <w:spacing w:before="50" w:after="50"/>
              <w:rPr>
                <w:rFonts w:cs="Calibri"/>
              </w:rPr>
            </w:pPr>
            <w:r w:rsidRPr="00CB1C46">
              <w:rPr>
                <w:rFonts w:cs="Calibri"/>
              </w:rPr>
              <w:t>Pulp, paper and print – CO</w:t>
            </w:r>
            <w:r w:rsidRPr="00CB1C46">
              <w:rPr>
                <w:rFonts w:cs="Calibri"/>
                <w:vertAlign w:val="subscript"/>
              </w:rPr>
              <w:t>2</w:t>
            </w:r>
          </w:p>
        </w:tc>
        <w:tc>
          <w:tcPr>
            <w:tcW w:w="730" w:type="pct"/>
            <w:shd w:val="clear" w:color="auto" w:fill="auto"/>
            <w:noWrap/>
            <w:hideMark/>
          </w:tcPr>
          <w:p w14:paraId="7C1F9692" w14:textId="77777777" w:rsidR="00660978" w:rsidRPr="00CB1C46" w:rsidRDefault="00660978" w:rsidP="004873FC">
            <w:pPr>
              <w:pStyle w:val="TableText"/>
              <w:spacing w:before="50" w:after="50"/>
              <w:rPr>
                <w:rFonts w:cs="Calibri"/>
              </w:rPr>
            </w:pPr>
          </w:p>
        </w:tc>
        <w:tc>
          <w:tcPr>
            <w:tcW w:w="636" w:type="pct"/>
            <w:shd w:val="clear" w:color="auto" w:fill="auto"/>
            <w:noWrap/>
          </w:tcPr>
          <w:p w14:paraId="62E0581F" w14:textId="77777777" w:rsidR="00660978" w:rsidRPr="00CB1C46" w:rsidRDefault="00660978" w:rsidP="004873FC">
            <w:pPr>
              <w:pStyle w:val="TableText"/>
              <w:spacing w:before="50" w:after="50"/>
              <w:rPr>
                <w:rFonts w:cs="Calibri"/>
              </w:rPr>
            </w:pPr>
            <w:r w:rsidRPr="00CB1C46">
              <w:rPr>
                <w:rFonts w:cs="Calibri"/>
              </w:rPr>
              <w:t>Trend</w:t>
            </w:r>
          </w:p>
        </w:tc>
        <w:tc>
          <w:tcPr>
            <w:tcW w:w="1435" w:type="pct"/>
            <w:shd w:val="clear" w:color="auto" w:fill="auto"/>
            <w:noWrap/>
            <w:hideMark/>
          </w:tcPr>
          <w:p w14:paraId="53A18B7B" w14:textId="77777777" w:rsidR="00660978" w:rsidRPr="00CB1C46" w:rsidRDefault="00660978" w:rsidP="004873FC">
            <w:pPr>
              <w:pStyle w:val="TableText"/>
              <w:spacing w:before="50" w:after="50"/>
              <w:rPr>
                <w:rFonts w:cs="Calibri"/>
              </w:rPr>
            </w:pPr>
            <w:r w:rsidRPr="00CB1C46">
              <w:rPr>
                <w:rFonts w:cs="Calibri"/>
              </w:rPr>
              <w:t>Level, trend</w:t>
            </w:r>
          </w:p>
        </w:tc>
      </w:tr>
      <w:tr w:rsidR="00660978" w:rsidRPr="00CB1C46" w14:paraId="69374F76" w14:textId="77777777" w:rsidTr="004873FC">
        <w:tc>
          <w:tcPr>
            <w:tcW w:w="2199" w:type="pct"/>
            <w:shd w:val="clear" w:color="auto" w:fill="auto"/>
            <w:noWrap/>
          </w:tcPr>
          <w:p w14:paraId="3DBFC48C" w14:textId="77777777" w:rsidR="00660978" w:rsidRPr="00CB1C46" w:rsidRDefault="00660978" w:rsidP="004873FC">
            <w:pPr>
              <w:pStyle w:val="TableText"/>
              <w:spacing w:before="50" w:after="50"/>
              <w:rPr>
                <w:rFonts w:cs="Calibri"/>
              </w:rPr>
            </w:pPr>
            <w:r w:rsidRPr="00CB1C46">
              <w:rPr>
                <w:rFonts w:cs="Calibri"/>
              </w:rPr>
              <w:t>Food processing, beverages and tobacco – CO</w:t>
            </w:r>
            <w:r w:rsidRPr="00CB1C46">
              <w:rPr>
                <w:rFonts w:cs="Calibri"/>
                <w:vertAlign w:val="subscript"/>
              </w:rPr>
              <w:t>2</w:t>
            </w:r>
          </w:p>
        </w:tc>
        <w:tc>
          <w:tcPr>
            <w:tcW w:w="730" w:type="pct"/>
            <w:shd w:val="clear" w:color="auto" w:fill="auto"/>
            <w:noWrap/>
          </w:tcPr>
          <w:p w14:paraId="00E41657" w14:textId="77777777" w:rsidR="00660978" w:rsidRPr="00CB1C46" w:rsidRDefault="00660978" w:rsidP="004873FC">
            <w:pPr>
              <w:pStyle w:val="TableText"/>
              <w:spacing w:before="50" w:after="50"/>
              <w:rPr>
                <w:rFonts w:cs="Calibri"/>
              </w:rPr>
            </w:pPr>
            <w:r w:rsidRPr="00CB1C46">
              <w:rPr>
                <w:rFonts w:cs="Calibri"/>
              </w:rPr>
              <w:t>Level</w:t>
            </w:r>
            <w:r>
              <w:rPr>
                <w:rFonts w:cs="Calibri"/>
              </w:rPr>
              <w:t xml:space="preserve">, </w:t>
            </w:r>
            <w:r w:rsidRPr="00CB1C46">
              <w:rPr>
                <w:rFonts w:cs="Calibri"/>
              </w:rPr>
              <w:t>trend</w:t>
            </w:r>
          </w:p>
        </w:tc>
        <w:tc>
          <w:tcPr>
            <w:tcW w:w="636" w:type="pct"/>
            <w:shd w:val="clear" w:color="auto" w:fill="auto"/>
            <w:noWrap/>
          </w:tcPr>
          <w:p w14:paraId="4939B529" w14:textId="77777777" w:rsidR="00660978" w:rsidRPr="00CB1C46" w:rsidRDefault="00660978" w:rsidP="004873FC">
            <w:pPr>
              <w:pStyle w:val="TableText"/>
              <w:spacing w:before="50" w:after="50"/>
              <w:rPr>
                <w:rFonts w:cs="Calibri"/>
              </w:rPr>
            </w:pPr>
            <w:r w:rsidRPr="00CB1C46">
              <w:rPr>
                <w:rFonts w:cs="Calibri"/>
              </w:rPr>
              <w:t>Level, trend</w:t>
            </w:r>
          </w:p>
        </w:tc>
        <w:tc>
          <w:tcPr>
            <w:tcW w:w="1435" w:type="pct"/>
            <w:shd w:val="clear" w:color="auto" w:fill="auto"/>
            <w:noWrap/>
          </w:tcPr>
          <w:p w14:paraId="45E7D085" w14:textId="77777777" w:rsidR="00660978" w:rsidRPr="00CB1C46" w:rsidRDefault="00660978" w:rsidP="004873FC">
            <w:pPr>
              <w:pStyle w:val="TableText"/>
              <w:spacing w:before="50" w:after="50"/>
              <w:rPr>
                <w:rFonts w:cs="Calibri"/>
              </w:rPr>
            </w:pPr>
            <w:r w:rsidRPr="00CB1C46">
              <w:rPr>
                <w:rFonts w:cs="Calibri"/>
              </w:rPr>
              <w:t>Level, trend</w:t>
            </w:r>
          </w:p>
        </w:tc>
      </w:tr>
      <w:tr w:rsidR="00660978" w:rsidRPr="00CB1C46" w14:paraId="2F2FA0E4" w14:textId="77777777" w:rsidTr="004873FC">
        <w:tc>
          <w:tcPr>
            <w:tcW w:w="2199" w:type="pct"/>
            <w:shd w:val="clear" w:color="auto" w:fill="auto"/>
            <w:noWrap/>
          </w:tcPr>
          <w:p w14:paraId="09F05735" w14:textId="77777777" w:rsidR="00660978" w:rsidRPr="00CB1C46" w:rsidRDefault="00660978" w:rsidP="004873FC">
            <w:pPr>
              <w:pStyle w:val="TableText"/>
              <w:spacing w:before="50" w:after="50"/>
              <w:rPr>
                <w:rFonts w:cs="Calibri"/>
              </w:rPr>
            </w:pPr>
            <w:r>
              <w:rPr>
                <w:rFonts w:cs="Calibri"/>
              </w:rPr>
              <w:t>N</w:t>
            </w:r>
            <w:r w:rsidRPr="00CB1C46">
              <w:rPr>
                <w:rFonts w:cs="Calibri"/>
              </w:rPr>
              <w:t>on-metallic minerals – CO</w:t>
            </w:r>
            <w:r w:rsidRPr="00CB1C46">
              <w:rPr>
                <w:rFonts w:cs="Calibri"/>
                <w:vertAlign w:val="subscript"/>
              </w:rPr>
              <w:t>2</w:t>
            </w:r>
          </w:p>
        </w:tc>
        <w:tc>
          <w:tcPr>
            <w:tcW w:w="730" w:type="pct"/>
            <w:shd w:val="clear" w:color="auto" w:fill="auto"/>
            <w:noWrap/>
          </w:tcPr>
          <w:p w14:paraId="644E50F6" w14:textId="77777777" w:rsidR="00660978" w:rsidRPr="00CB1C46" w:rsidRDefault="00660978" w:rsidP="004873FC">
            <w:pPr>
              <w:pStyle w:val="TableText"/>
              <w:spacing w:before="50" w:after="50"/>
              <w:rPr>
                <w:rFonts w:cs="Calibri"/>
              </w:rPr>
            </w:pPr>
          </w:p>
        </w:tc>
        <w:tc>
          <w:tcPr>
            <w:tcW w:w="636" w:type="pct"/>
            <w:shd w:val="clear" w:color="auto" w:fill="auto"/>
            <w:noWrap/>
          </w:tcPr>
          <w:p w14:paraId="2B84DCDD" w14:textId="77777777" w:rsidR="00660978" w:rsidRPr="00CB1C46" w:rsidRDefault="00660978" w:rsidP="004873FC">
            <w:pPr>
              <w:pStyle w:val="TableText"/>
              <w:spacing w:before="50" w:after="50"/>
              <w:rPr>
                <w:rFonts w:cs="Calibri"/>
              </w:rPr>
            </w:pPr>
            <w:r>
              <w:rPr>
                <w:rFonts w:cs="Calibri"/>
              </w:rPr>
              <w:t>T</w:t>
            </w:r>
            <w:r w:rsidRPr="00CB1C46">
              <w:rPr>
                <w:rFonts w:cs="Calibri"/>
              </w:rPr>
              <w:t>rend</w:t>
            </w:r>
          </w:p>
        </w:tc>
        <w:tc>
          <w:tcPr>
            <w:tcW w:w="1435" w:type="pct"/>
            <w:shd w:val="clear" w:color="auto" w:fill="auto"/>
            <w:noWrap/>
          </w:tcPr>
          <w:p w14:paraId="2319C88D" w14:textId="77777777" w:rsidR="00660978" w:rsidRPr="00CB1C46" w:rsidRDefault="00660978" w:rsidP="004873FC">
            <w:pPr>
              <w:pStyle w:val="TableText"/>
              <w:spacing w:before="50" w:after="50"/>
              <w:rPr>
                <w:rFonts w:cs="Calibri"/>
              </w:rPr>
            </w:pPr>
          </w:p>
        </w:tc>
      </w:tr>
      <w:tr w:rsidR="00660978" w:rsidRPr="00CB1C46" w14:paraId="39801688" w14:textId="77777777" w:rsidTr="004873FC">
        <w:tc>
          <w:tcPr>
            <w:tcW w:w="2199" w:type="pct"/>
            <w:shd w:val="clear" w:color="auto" w:fill="auto"/>
            <w:noWrap/>
          </w:tcPr>
          <w:p w14:paraId="513C123C" w14:textId="77777777" w:rsidR="00660978" w:rsidRPr="00CB1C46" w:rsidRDefault="00660978" w:rsidP="004873FC">
            <w:pPr>
              <w:pStyle w:val="TableText"/>
              <w:spacing w:before="50" w:after="50"/>
              <w:rPr>
                <w:rFonts w:cs="Calibri"/>
              </w:rPr>
            </w:pPr>
            <w:r w:rsidRPr="00CB1C46">
              <w:rPr>
                <w:rFonts w:cs="Calibri"/>
              </w:rPr>
              <w:t>Other – mining and quarrying – CO</w:t>
            </w:r>
            <w:r w:rsidRPr="00CB1C46">
              <w:rPr>
                <w:rFonts w:cs="Calibri"/>
                <w:vertAlign w:val="subscript"/>
              </w:rPr>
              <w:t>2</w:t>
            </w:r>
          </w:p>
        </w:tc>
        <w:tc>
          <w:tcPr>
            <w:tcW w:w="730" w:type="pct"/>
            <w:shd w:val="clear" w:color="auto" w:fill="auto"/>
            <w:noWrap/>
          </w:tcPr>
          <w:p w14:paraId="0894659C" w14:textId="77777777" w:rsidR="00660978" w:rsidRPr="00CB1C46" w:rsidRDefault="00660978" w:rsidP="004873FC">
            <w:pPr>
              <w:pStyle w:val="TableText"/>
              <w:spacing w:before="50" w:after="50"/>
              <w:rPr>
                <w:rFonts w:cs="Calibri"/>
              </w:rPr>
            </w:pPr>
            <w:r w:rsidRPr="00CB1C46">
              <w:rPr>
                <w:rFonts w:cs="Calibri"/>
              </w:rPr>
              <w:t>Level, trend</w:t>
            </w:r>
          </w:p>
        </w:tc>
        <w:tc>
          <w:tcPr>
            <w:tcW w:w="636" w:type="pct"/>
            <w:shd w:val="clear" w:color="auto" w:fill="auto"/>
            <w:noWrap/>
          </w:tcPr>
          <w:p w14:paraId="400AD508" w14:textId="77777777" w:rsidR="00660978" w:rsidRPr="00CB1C46" w:rsidRDefault="00660978" w:rsidP="004873FC">
            <w:pPr>
              <w:pStyle w:val="TableText"/>
              <w:spacing w:before="50" w:after="50"/>
              <w:rPr>
                <w:rFonts w:cs="Calibri"/>
              </w:rPr>
            </w:pPr>
          </w:p>
        </w:tc>
        <w:tc>
          <w:tcPr>
            <w:tcW w:w="1435" w:type="pct"/>
            <w:shd w:val="clear" w:color="auto" w:fill="auto"/>
            <w:noWrap/>
          </w:tcPr>
          <w:p w14:paraId="7A9B790E" w14:textId="77777777" w:rsidR="00660978" w:rsidRPr="00CB1C46" w:rsidRDefault="00660978" w:rsidP="004873FC">
            <w:pPr>
              <w:pStyle w:val="TableText"/>
              <w:spacing w:before="50" w:after="50"/>
              <w:rPr>
                <w:rFonts w:cs="Calibri"/>
              </w:rPr>
            </w:pPr>
          </w:p>
        </w:tc>
      </w:tr>
      <w:tr w:rsidR="00660978" w:rsidRPr="00142FFD" w14:paraId="49B73AEA" w14:textId="77777777" w:rsidTr="004873FC">
        <w:tc>
          <w:tcPr>
            <w:tcW w:w="2199" w:type="pct"/>
            <w:shd w:val="clear" w:color="auto" w:fill="auto"/>
            <w:noWrap/>
          </w:tcPr>
          <w:p w14:paraId="01ED3068" w14:textId="21E26804" w:rsidR="00660978" w:rsidRPr="00142FFD" w:rsidRDefault="00660978" w:rsidP="004873FC">
            <w:pPr>
              <w:pStyle w:val="TableText"/>
              <w:spacing w:before="50" w:after="50"/>
              <w:rPr>
                <w:rFonts w:cs="Calibri"/>
                <w:szCs w:val="16"/>
              </w:rPr>
            </w:pPr>
            <w:r w:rsidRPr="00142FFD">
              <w:rPr>
                <w:rFonts w:cs="Calibri"/>
                <w:szCs w:val="16"/>
              </w:rPr>
              <w:t>Other – construction – CO</w:t>
            </w:r>
            <w:r w:rsidRPr="00142FFD">
              <w:rPr>
                <w:rFonts w:cs="Calibri"/>
                <w:szCs w:val="16"/>
                <w:vertAlign w:val="subscript"/>
              </w:rPr>
              <w:t>2</w:t>
            </w:r>
            <w:r w:rsidR="009A74CA">
              <w:rPr>
                <w:rFonts w:cs="Calibri"/>
                <w:szCs w:val="16"/>
              </w:rPr>
              <w:t>*</w:t>
            </w:r>
          </w:p>
        </w:tc>
        <w:tc>
          <w:tcPr>
            <w:tcW w:w="730" w:type="pct"/>
            <w:shd w:val="clear" w:color="auto" w:fill="auto"/>
            <w:noWrap/>
          </w:tcPr>
          <w:p w14:paraId="0366C6D3" w14:textId="77777777" w:rsidR="00660978" w:rsidRPr="00142FFD" w:rsidRDefault="00660978" w:rsidP="004873FC">
            <w:pPr>
              <w:pStyle w:val="TableText"/>
              <w:spacing w:before="50" w:after="50"/>
              <w:rPr>
                <w:rFonts w:cs="Calibri"/>
                <w:szCs w:val="16"/>
              </w:rPr>
            </w:pPr>
            <w:r w:rsidRPr="00142FFD">
              <w:rPr>
                <w:rFonts w:cs="Calibri"/>
                <w:szCs w:val="16"/>
              </w:rPr>
              <w:t>Level, trend</w:t>
            </w:r>
          </w:p>
        </w:tc>
        <w:tc>
          <w:tcPr>
            <w:tcW w:w="636" w:type="pct"/>
            <w:shd w:val="clear" w:color="auto" w:fill="auto"/>
            <w:noWrap/>
          </w:tcPr>
          <w:p w14:paraId="18E6333F" w14:textId="77777777" w:rsidR="00660978" w:rsidRPr="00142FFD" w:rsidRDefault="00660978" w:rsidP="004873FC">
            <w:pPr>
              <w:pStyle w:val="TableText"/>
              <w:spacing w:before="50" w:after="50"/>
              <w:rPr>
                <w:rFonts w:cs="Calibri"/>
                <w:szCs w:val="16"/>
              </w:rPr>
            </w:pPr>
          </w:p>
        </w:tc>
        <w:tc>
          <w:tcPr>
            <w:tcW w:w="1435" w:type="pct"/>
            <w:shd w:val="clear" w:color="auto" w:fill="auto"/>
            <w:noWrap/>
          </w:tcPr>
          <w:p w14:paraId="5248B0E6" w14:textId="77777777" w:rsidR="00660978" w:rsidRPr="00142FFD" w:rsidRDefault="00660978" w:rsidP="004873FC">
            <w:pPr>
              <w:pStyle w:val="TableText"/>
              <w:spacing w:before="50" w:after="50"/>
              <w:rPr>
                <w:rFonts w:cs="Calibri"/>
                <w:szCs w:val="16"/>
              </w:rPr>
            </w:pPr>
          </w:p>
        </w:tc>
      </w:tr>
      <w:tr w:rsidR="00660978" w:rsidRPr="00CB1C46" w14:paraId="547292CA" w14:textId="77777777" w:rsidTr="004873FC">
        <w:tc>
          <w:tcPr>
            <w:tcW w:w="2199" w:type="pct"/>
            <w:shd w:val="clear" w:color="auto" w:fill="auto"/>
            <w:noWrap/>
          </w:tcPr>
          <w:p w14:paraId="155BEC97" w14:textId="77777777" w:rsidR="00660978" w:rsidRPr="00CB1C46" w:rsidRDefault="00660978" w:rsidP="004873FC">
            <w:pPr>
              <w:pStyle w:val="TableText"/>
              <w:spacing w:before="50" w:after="50"/>
              <w:rPr>
                <w:rFonts w:cs="Calibri"/>
              </w:rPr>
            </w:pPr>
            <w:r w:rsidRPr="00CB1C46">
              <w:rPr>
                <w:rFonts w:cs="Calibri"/>
              </w:rPr>
              <w:t>Other – other non-specified – CO</w:t>
            </w:r>
            <w:r w:rsidRPr="00CB1C46">
              <w:rPr>
                <w:rFonts w:cs="Calibri"/>
                <w:vertAlign w:val="subscript"/>
              </w:rPr>
              <w:t>2</w:t>
            </w:r>
          </w:p>
        </w:tc>
        <w:tc>
          <w:tcPr>
            <w:tcW w:w="730" w:type="pct"/>
            <w:shd w:val="clear" w:color="auto" w:fill="auto"/>
            <w:noWrap/>
          </w:tcPr>
          <w:p w14:paraId="02901E92" w14:textId="77777777" w:rsidR="00660978" w:rsidRPr="00CB1C46" w:rsidRDefault="00660978" w:rsidP="004873FC">
            <w:pPr>
              <w:pStyle w:val="TableText"/>
              <w:spacing w:before="50" w:after="50"/>
              <w:rPr>
                <w:rFonts w:cs="Calibri"/>
              </w:rPr>
            </w:pPr>
            <w:r w:rsidRPr="00CB1C46">
              <w:rPr>
                <w:rFonts w:cs="Calibri"/>
              </w:rPr>
              <w:t>Level, trend</w:t>
            </w:r>
          </w:p>
        </w:tc>
        <w:tc>
          <w:tcPr>
            <w:tcW w:w="636" w:type="pct"/>
            <w:shd w:val="clear" w:color="auto" w:fill="auto"/>
            <w:noWrap/>
          </w:tcPr>
          <w:p w14:paraId="6DF185FA" w14:textId="77777777" w:rsidR="00660978" w:rsidRPr="00CB1C46" w:rsidRDefault="00660978" w:rsidP="004873FC">
            <w:pPr>
              <w:pStyle w:val="TableText"/>
              <w:spacing w:before="50" w:after="50"/>
              <w:rPr>
                <w:rFonts w:cs="Calibri"/>
              </w:rPr>
            </w:pPr>
            <w:r w:rsidRPr="00CB1C46">
              <w:rPr>
                <w:rFonts w:cs="Calibri"/>
              </w:rPr>
              <w:t>Trend</w:t>
            </w:r>
          </w:p>
        </w:tc>
        <w:tc>
          <w:tcPr>
            <w:tcW w:w="1435" w:type="pct"/>
            <w:shd w:val="clear" w:color="auto" w:fill="auto"/>
            <w:noWrap/>
          </w:tcPr>
          <w:p w14:paraId="65ADB7D7" w14:textId="77777777" w:rsidR="00660978" w:rsidRPr="00CB1C46" w:rsidRDefault="00660978" w:rsidP="004873FC">
            <w:pPr>
              <w:pStyle w:val="TableText"/>
              <w:spacing w:before="50" w:after="50"/>
              <w:rPr>
                <w:rFonts w:cs="Calibri"/>
              </w:rPr>
            </w:pPr>
          </w:p>
        </w:tc>
      </w:tr>
    </w:tbl>
    <w:p w14:paraId="4F1370C9" w14:textId="6A882803" w:rsidR="00DF3707" w:rsidRDefault="00DF3707" w:rsidP="00DF3707">
      <w:pPr>
        <w:pStyle w:val="Noteundertable"/>
        <w:rPr>
          <w:lang w:eastAsia="en-GB"/>
        </w:rPr>
      </w:pPr>
      <w:r w:rsidRPr="00DF3707">
        <w:rPr>
          <w:b/>
          <w:bCs/>
          <w:lang w:eastAsia="en-GB"/>
        </w:rPr>
        <w:t>Note:</w:t>
      </w:r>
      <w:r>
        <w:rPr>
          <w:lang w:eastAsia="en-GB"/>
        </w:rPr>
        <w:t xml:space="preserve"> </w:t>
      </w:r>
      <w:r>
        <w:rPr>
          <w:lang w:eastAsia="en-GB"/>
        </w:rPr>
        <w:tab/>
      </w:r>
      <w:r w:rsidR="009A74CA">
        <w:rPr>
          <w:lang w:eastAsia="en-GB"/>
        </w:rPr>
        <w:t>*</w:t>
      </w:r>
      <w:r w:rsidRPr="00345F55">
        <w:rPr>
          <w:szCs w:val="19"/>
        </w:rPr>
        <w:t>This key category is calculated using emissions that do</w:t>
      </w:r>
      <w:r w:rsidR="00933C15">
        <w:rPr>
          <w:szCs w:val="19"/>
        </w:rPr>
        <w:t xml:space="preserve"> </w:t>
      </w:r>
      <w:r w:rsidRPr="00345F55">
        <w:rPr>
          <w:szCs w:val="19"/>
        </w:rPr>
        <w:t>n</w:t>
      </w:r>
      <w:r w:rsidR="00933C15">
        <w:rPr>
          <w:szCs w:val="19"/>
        </w:rPr>
        <w:t>o</w:t>
      </w:r>
      <w:r w:rsidRPr="00345F55">
        <w:rPr>
          <w:szCs w:val="19"/>
        </w:rPr>
        <w:t>t distinguish by fuel type, however</w:t>
      </w:r>
      <w:r w:rsidR="0003760B">
        <w:rPr>
          <w:szCs w:val="19"/>
        </w:rPr>
        <w:t>,</w:t>
      </w:r>
      <w:r w:rsidRPr="00345F55">
        <w:rPr>
          <w:szCs w:val="19"/>
        </w:rPr>
        <w:t xml:space="preserve"> it is known to be primarily liquid fuels.</w:t>
      </w:r>
    </w:p>
    <w:p w14:paraId="4A762780" w14:textId="049E7C4E" w:rsidR="00660978" w:rsidRPr="00CB1C46" w:rsidRDefault="00660978" w:rsidP="00B10BC8">
      <w:pPr>
        <w:pStyle w:val="Heading4"/>
      </w:pPr>
      <w:r w:rsidRPr="00CB1C46">
        <w:rPr>
          <w:lang w:eastAsia="en-GB"/>
        </w:rPr>
        <w:t>Methodological issues</w:t>
      </w:r>
    </w:p>
    <w:p w14:paraId="31D6245B" w14:textId="77777777" w:rsidR="00660978" w:rsidRPr="00CB1C46" w:rsidRDefault="00660978" w:rsidP="00660978">
      <w:pPr>
        <w:pStyle w:val="BodyText"/>
        <w:rPr>
          <w:rFonts w:cs="Calibri"/>
          <w:lang w:eastAsia="en-GB"/>
        </w:rPr>
      </w:pPr>
      <w:r w:rsidRPr="00CB1C46">
        <w:rPr>
          <w:rFonts w:cs="Calibri"/>
          <w:lang w:eastAsia="en-GB"/>
        </w:rPr>
        <w:t xml:space="preserve">To ensure no double counting of emissions occurs, in some instances, emissions from the use of solid fuels and gaseous fuels are excluded from this category because they are accounted for under the IPPU sector. New Zealand Steel Limited uses coal as a reducing agent in the steel-making process. In accordance with 2006 IPCC Guidelines, the emissions from this are included in the IPPU sector rather than the Energy sector. In several instances, natural gas is excluded from the </w:t>
      </w:r>
      <w:r w:rsidRPr="00CB1C46">
        <w:rPr>
          <w:rFonts w:cs="Calibri"/>
          <w:i/>
          <w:lang w:eastAsia="en-GB"/>
        </w:rPr>
        <w:t>Manufacturing industries and construction</w:t>
      </w:r>
      <w:r w:rsidRPr="00CB1C46">
        <w:rPr>
          <w:rFonts w:cs="Calibri"/>
          <w:lang w:eastAsia="en-GB"/>
        </w:rPr>
        <w:t xml:space="preserve"> category because it is accounted </w:t>
      </w:r>
      <w:r w:rsidRPr="00F52F7B">
        <w:rPr>
          <w:rFonts w:cs="Calibri"/>
          <w:spacing w:val="-2"/>
          <w:lang w:eastAsia="en-GB"/>
        </w:rPr>
        <w:t>for under the IPPU sector. This includes urea production, hydrogen production and some of the</w:t>
      </w:r>
      <w:r w:rsidRPr="00CB1C46">
        <w:rPr>
          <w:rFonts w:cs="Calibri"/>
          <w:lang w:eastAsia="en-GB"/>
        </w:rPr>
        <w:t xml:space="preserve"> </w:t>
      </w:r>
      <w:r w:rsidRPr="00F52F7B">
        <w:rPr>
          <w:rFonts w:cs="Calibri"/>
          <w:spacing w:val="-2"/>
          <w:lang w:eastAsia="en-GB"/>
        </w:rPr>
        <w:t>natural gas used by New Zealand Steel (New Zealand Steel separately reports its emissions from</w:t>
      </w:r>
      <w:r w:rsidRPr="00CB1C46">
        <w:rPr>
          <w:rFonts w:cs="Calibri"/>
          <w:lang w:eastAsia="en-GB"/>
        </w:rPr>
        <w:t xml:space="preserve"> natural gas as part of the combustion process and natural gas as part of the chemical process).</w:t>
      </w:r>
    </w:p>
    <w:p w14:paraId="7F3D7C24" w14:textId="77777777" w:rsidR="00660978" w:rsidRPr="00CB1C46" w:rsidRDefault="00660978" w:rsidP="00660978">
      <w:pPr>
        <w:pStyle w:val="Heading4"/>
        <w:rPr>
          <w:lang w:eastAsia="en-GB"/>
        </w:rPr>
      </w:pPr>
      <w:r w:rsidRPr="00CB1C46">
        <w:rPr>
          <w:lang w:eastAsia="en-GB"/>
        </w:rPr>
        <w:t>Activity data</w:t>
      </w:r>
    </w:p>
    <w:p w14:paraId="74D05D0C" w14:textId="77777777" w:rsidR="00660978" w:rsidRPr="00CB1C46" w:rsidRDefault="00660978" w:rsidP="00660978">
      <w:pPr>
        <w:pStyle w:val="BodyText"/>
        <w:spacing w:before="100"/>
        <w:rPr>
          <w:rFonts w:cs="Calibri"/>
        </w:rPr>
      </w:pPr>
      <w:r w:rsidRPr="00CB1C46">
        <w:rPr>
          <w:rFonts w:cs="Calibri"/>
          <w:spacing w:val="-2"/>
        </w:rPr>
        <w:t xml:space="preserve">Energy balance tables released with </w:t>
      </w:r>
      <w:r w:rsidRPr="00CB1C46">
        <w:rPr>
          <w:rFonts w:cs="Calibri"/>
          <w:i/>
          <w:spacing w:val="-2"/>
        </w:rPr>
        <w:t>Energy in</w:t>
      </w:r>
      <w:r w:rsidRPr="00CB1C46">
        <w:rPr>
          <w:rFonts w:cs="Calibri"/>
          <w:spacing w:val="-2"/>
        </w:rPr>
        <w:t xml:space="preserve"> </w:t>
      </w:r>
      <w:r w:rsidRPr="00CB1C46">
        <w:rPr>
          <w:rFonts w:cs="Calibri"/>
          <w:i/>
          <w:spacing w:val="-2"/>
        </w:rPr>
        <w:t xml:space="preserve">New Zealand </w:t>
      </w:r>
      <w:r w:rsidRPr="00CB1C46">
        <w:rPr>
          <w:rFonts w:cs="Calibri"/>
          <w:spacing w:val="-2"/>
        </w:rPr>
        <w:t>(MBIE, 2021) split out industrial uses of energy using the Australian and New Zealand Standard Industrial Classification (ANZSIC) 2006. This was possible because of the collection of more detailed information from the various surveys used to compile the energy balance tables since 2009</w:t>
      </w:r>
      <w:r w:rsidRPr="00CB1C46">
        <w:rPr>
          <w:rFonts w:cs="Calibri"/>
        </w:rPr>
        <w:t>.</w:t>
      </w:r>
    </w:p>
    <w:p w14:paraId="788E8BD1" w14:textId="77777777" w:rsidR="00660978" w:rsidRPr="00CB1C46" w:rsidRDefault="00660978" w:rsidP="00660978">
      <w:pPr>
        <w:pStyle w:val="BodyText"/>
        <w:spacing w:before="100"/>
        <w:rPr>
          <w:rFonts w:cs="Calibri"/>
          <w:spacing w:val="-2"/>
        </w:rPr>
      </w:pPr>
      <w:r w:rsidRPr="00CB1C46">
        <w:rPr>
          <w:rFonts w:cs="Calibri"/>
          <w:spacing w:val="-2"/>
        </w:rPr>
        <w:t xml:space="preserve">This has allowed a further disaggregation of the </w:t>
      </w:r>
      <w:r w:rsidRPr="00CB1C46">
        <w:rPr>
          <w:rFonts w:cs="Calibri"/>
          <w:i/>
          <w:spacing w:val="-2"/>
        </w:rPr>
        <w:t>Manufacturing industries and construction</w:t>
      </w:r>
      <w:r w:rsidRPr="00CB1C46">
        <w:rPr>
          <w:rFonts w:cs="Calibri"/>
          <w:spacing w:val="-2"/>
        </w:rPr>
        <w:t xml:space="preserve"> category and, therefore, greater transparency. Where actual survey data are not available at the required level, estimates of the energy use across these categories have been made to ensure time-series consistency. These are described in further detail below.</w:t>
      </w:r>
    </w:p>
    <w:p w14:paraId="0F96D7E0" w14:textId="77777777" w:rsidR="00660978" w:rsidRPr="00CB1C46" w:rsidRDefault="00660978" w:rsidP="00660978">
      <w:pPr>
        <w:pStyle w:val="Heading5"/>
        <w:spacing w:before="200"/>
        <w:rPr>
          <w:rFonts w:cs="Calibri"/>
        </w:rPr>
      </w:pPr>
      <w:r w:rsidRPr="00CB1C46">
        <w:rPr>
          <w:rFonts w:cs="Calibri"/>
        </w:rPr>
        <w:t>Solid fuels</w:t>
      </w:r>
    </w:p>
    <w:p w14:paraId="28E46519" w14:textId="77777777" w:rsidR="00660978" w:rsidRPr="00CB1C46" w:rsidRDefault="00660978" w:rsidP="00660978">
      <w:pPr>
        <w:pStyle w:val="BodyText"/>
        <w:spacing w:after="100"/>
        <w:rPr>
          <w:rFonts w:cs="Calibri"/>
        </w:rPr>
      </w:pPr>
      <w:r w:rsidRPr="00CB1C46">
        <w:rPr>
          <w:rFonts w:cs="Calibri"/>
        </w:rPr>
        <w:t xml:space="preserve">In 2010, the disaggregation of the </w:t>
      </w:r>
      <w:r w:rsidRPr="00CB1C46">
        <w:rPr>
          <w:rFonts w:cs="Calibri"/>
          <w:i/>
        </w:rPr>
        <w:t>Manufacturing industries and construction</w:t>
      </w:r>
      <w:r w:rsidRPr="00CB1C46">
        <w:rPr>
          <w:rFonts w:cs="Calibri"/>
        </w:rPr>
        <w:t xml:space="preserve"> category for coal was implemented within the energy greenhouse gas data system. This was the first time the category was disaggregated and it was applied from 2009. These percentage splits, based on 2009 data, were applied to activity data for the annual inventory submission across the whole time series (back to 1990). However, during 2014, the coal data system at MBIE was revised to internally disaggregate manufacturing industries based on a 2011 survey of major coal users. </w:t>
      </w:r>
      <w:r w:rsidRPr="00CB1C46">
        <w:rPr>
          <w:rFonts w:cs="Calibri"/>
        </w:rPr>
        <w:lastRenderedPageBreak/>
        <w:t xml:space="preserve">Therefore, applying the disaggregation procedure previously used within the greenhouse gas data system is no longer necessary. </w:t>
      </w:r>
    </w:p>
    <w:p w14:paraId="5D0736D0" w14:textId="77777777" w:rsidR="00660978" w:rsidRPr="00CB1C46" w:rsidRDefault="00660978" w:rsidP="00660978">
      <w:pPr>
        <w:pStyle w:val="BodyText"/>
        <w:spacing w:after="100"/>
        <w:rPr>
          <w:rFonts w:cs="Calibri"/>
        </w:rPr>
      </w:pPr>
      <w:r w:rsidRPr="00CB1C46">
        <w:rPr>
          <w:rFonts w:cs="Calibri"/>
        </w:rPr>
        <w:t xml:space="preserve">From 2009 onwards, the coal sales survey conducted by MBIE provides data at a more disaggregated level. </w:t>
      </w:r>
    </w:p>
    <w:p w14:paraId="78CEB562" w14:textId="77777777" w:rsidR="00660978" w:rsidRPr="00CB1C46" w:rsidRDefault="00660978" w:rsidP="00660978">
      <w:pPr>
        <w:pStyle w:val="Heading5"/>
        <w:spacing w:before="160"/>
        <w:rPr>
          <w:rFonts w:cs="Calibri"/>
        </w:rPr>
      </w:pPr>
      <w:r w:rsidRPr="00CB1C46">
        <w:rPr>
          <w:rFonts w:cs="Calibri"/>
        </w:rPr>
        <w:t>Solid biomass</w:t>
      </w:r>
    </w:p>
    <w:p w14:paraId="2D11590E" w14:textId="77777777" w:rsidR="00660978" w:rsidRPr="00CB1C46" w:rsidRDefault="00660978" w:rsidP="00660978">
      <w:pPr>
        <w:pStyle w:val="BodyText"/>
        <w:spacing w:before="80"/>
        <w:rPr>
          <w:rFonts w:cs="Calibri"/>
        </w:rPr>
      </w:pPr>
      <w:r w:rsidRPr="00CB1C46">
        <w:rPr>
          <w:rFonts w:cs="Calibri"/>
        </w:rPr>
        <w:t xml:space="preserve">The Bioenergy Association of New Zealand conducted a 2006 Heat Plant Survey of </w:t>
      </w:r>
      <w:r w:rsidRPr="00CB1C46">
        <w:rPr>
          <w:rFonts w:cs="Calibri"/>
          <w:lang w:eastAsia="en-GB"/>
        </w:rPr>
        <w:t>New Zealand (</w:t>
      </w:r>
      <w:r w:rsidRPr="00CB1C46">
        <w:rPr>
          <w:rFonts w:cs="Calibri"/>
        </w:rPr>
        <w:t>Bioenergy Association of New Zealand, 2011)</w:t>
      </w:r>
      <w:r w:rsidRPr="00CB1C46">
        <w:rPr>
          <w:rFonts w:cs="Calibri"/>
          <w:lang w:eastAsia="en-GB"/>
        </w:rPr>
        <w:t xml:space="preserve"> to gain information on heat plant (boiler) capacity and use in New Zealand. One area this survey examined was solid biomass use in New Zealand industrial companies (see table 3.3.4). The survey shows that most solid biomass in New Zealand is used by the wood processing industry. The industrial splits from the survey were used to separate out solid biomass activity data for the inventory. These splits were applied across the whole time series (back to 1990) for activity data and </w:t>
      </w:r>
      <w:r w:rsidRPr="00CB1C46">
        <w:rPr>
          <w:rFonts w:cs="Calibri"/>
        </w:rPr>
        <w:t>CO</w:t>
      </w:r>
      <w:r w:rsidRPr="00CB1C46">
        <w:rPr>
          <w:rFonts w:cs="Calibri"/>
          <w:vertAlign w:val="subscript"/>
        </w:rPr>
        <w:t>2</w:t>
      </w:r>
      <w:r w:rsidRPr="00CB1C46">
        <w:rPr>
          <w:rFonts w:cs="Calibri"/>
        </w:rPr>
        <w:t>, CH</w:t>
      </w:r>
      <w:r w:rsidRPr="00CB1C46">
        <w:rPr>
          <w:rFonts w:cs="Calibri"/>
          <w:vertAlign w:val="subscript"/>
        </w:rPr>
        <w:t>4</w:t>
      </w:r>
      <w:r w:rsidRPr="00CB1C46">
        <w:rPr>
          <w:rFonts w:cs="Calibri"/>
        </w:rPr>
        <w:t> and N</w:t>
      </w:r>
      <w:r w:rsidRPr="00CB1C46">
        <w:rPr>
          <w:rFonts w:cs="Calibri"/>
          <w:vertAlign w:val="subscript"/>
        </w:rPr>
        <w:t>2</w:t>
      </w:r>
      <w:r w:rsidRPr="00CB1C46">
        <w:rPr>
          <w:rFonts w:cs="Calibri"/>
        </w:rPr>
        <w:t>O emissions.</w:t>
      </w:r>
    </w:p>
    <w:p w14:paraId="0D9229A8" w14:textId="77777777" w:rsidR="00660978" w:rsidRPr="00CB1C46" w:rsidRDefault="00660978" w:rsidP="00660978">
      <w:pPr>
        <w:pStyle w:val="Table"/>
        <w:rPr>
          <w:rFonts w:cs="Calibri"/>
        </w:rPr>
      </w:pPr>
      <w:bookmarkStart w:id="313" w:name="_Toc321399159"/>
      <w:bookmarkStart w:id="314" w:name="_Toc384582171"/>
      <w:bookmarkStart w:id="315" w:name="_Toc443060846"/>
      <w:bookmarkStart w:id="316" w:name="_Toc451176062"/>
      <w:bookmarkStart w:id="317" w:name="_Toc481751488"/>
      <w:bookmarkStart w:id="318" w:name="_Toc507496591"/>
      <w:bookmarkStart w:id="319" w:name="_Toc36224525"/>
      <w:bookmarkStart w:id="320" w:name="_Toc68786408"/>
      <w:bookmarkStart w:id="321" w:name="_Toc99659216"/>
      <w:r w:rsidRPr="00CB1C46">
        <w:rPr>
          <w:rFonts w:cs="Calibri"/>
        </w:rPr>
        <w:t xml:space="preserve">Table 3.3.4 </w:t>
      </w:r>
      <w:r w:rsidRPr="00CB1C46">
        <w:rPr>
          <w:rFonts w:cs="Calibri"/>
        </w:rPr>
        <w:tab/>
        <w:t xml:space="preserve">Solid biomass splits for 2006 that were used to disaggregate the </w:t>
      </w:r>
      <w:r w:rsidRPr="00AF7FAF">
        <w:rPr>
          <w:rFonts w:cs="Calibri"/>
          <w:i/>
          <w:iCs/>
        </w:rPr>
        <w:t>Manufacturing industries</w:t>
      </w:r>
      <w:r w:rsidRPr="00AF7FAF">
        <w:rPr>
          <w:rFonts w:cs="Calibri"/>
          <w:i/>
          <w:iCs/>
        </w:rPr>
        <w:br/>
        <w:t>and construction</w:t>
      </w:r>
      <w:r w:rsidRPr="00CB1C46">
        <w:rPr>
          <w:rFonts w:cs="Calibri"/>
        </w:rPr>
        <w:t xml:space="preserve"> category between 1990 and </w:t>
      </w:r>
      <w:bookmarkEnd w:id="313"/>
      <w:bookmarkEnd w:id="314"/>
      <w:bookmarkEnd w:id="315"/>
      <w:bookmarkEnd w:id="316"/>
      <w:bookmarkEnd w:id="317"/>
      <w:bookmarkEnd w:id="318"/>
      <w:r w:rsidRPr="00CB1C46">
        <w:rPr>
          <w:rFonts w:cs="Calibri"/>
        </w:rPr>
        <w:t>2020</w:t>
      </w:r>
      <w:bookmarkEnd w:id="319"/>
      <w:bookmarkEnd w:id="320"/>
      <w:bookmarkEnd w:id="321"/>
    </w:p>
    <w:tbl>
      <w:tblPr>
        <w:tblW w:w="8505" w:type="dxa"/>
        <w:tblInd w:w="113"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1850"/>
        <w:gridCol w:w="4825"/>
        <w:gridCol w:w="1830"/>
      </w:tblGrid>
      <w:tr w:rsidR="00660978" w:rsidRPr="00CB1C46" w14:paraId="45FD811D" w14:textId="77777777" w:rsidTr="004873FC">
        <w:trPr>
          <w:tblHeader/>
        </w:trPr>
        <w:tc>
          <w:tcPr>
            <w:tcW w:w="1752" w:type="dxa"/>
            <w:shd w:val="clear" w:color="auto" w:fill="1B556B"/>
            <w:vAlign w:val="bottom"/>
          </w:tcPr>
          <w:p w14:paraId="3B54D505" w14:textId="77777777" w:rsidR="00660978" w:rsidRPr="00CB1C46" w:rsidRDefault="00660978" w:rsidP="00C60217">
            <w:pPr>
              <w:pStyle w:val="TableTextBold"/>
              <w:keepNext/>
              <w:spacing w:before="30" w:after="30"/>
              <w:rPr>
                <w:rFonts w:cs="Calibri"/>
                <w:bCs/>
                <w:noProof w:val="0"/>
                <w:color w:val="FFFFFF"/>
              </w:rPr>
            </w:pPr>
            <w:r w:rsidRPr="00CB1C46">
              <w:rPr>
                <w:rFonts w:cs="Calibri"/>
                <w:bCs/>
                <w:noProof w:val="0"/>
                <w:color w:val="FFFFFF"/>
              </w:rPr>
              <w:t>CRF category code</w:t>
            </w:r>
          </w:p>
        </w:tc>
        <w:tc>
          <w:tcPr>
            <w:tcW w:w="4567" w:type="dxa"/>
            <w:shd w:val="clear" w:color="auto" w:fill="1B556B"/>
            <w:vAlign w:val="bottom"/>
          </w:tcPr>
          <w:p w14:paraId="407CE321" w14:textId="77777777" w:rsidR="00660978" w:rsidRPr="00CB1C46" w:rsidRDefault="00660978" w:rsidP="00C60217">
            <w:pPr>
              <w:pStyle w:val="TableTextBold"/>
              <w:spacing w:before="30" w:after="30"/>
              <w:rPr>
                <w:rFonts w:cs="Calibri"/>
                <w:bCs/>
                <w:noProof w:val="0"/>
                <w:color w:val="FFFFFF"/>
              </w:rPr>
            </w:pPr>
            <w:r w:rsidRPr="00CB1C46">
              <w:rPr>
                <w:rFonts w:cs="Calibri"/>
                <w:bCs/>
                <w:noProof w:val="0"/>
                <w:color w:val="FFFFFF"/>
              </w:rPr>
              <w:t>Manufacturing industries and construction category</w:t>
            </w:r>
          </w:p>
        </w:tc>
        <w:tc>
          <w:tcPr>
            <w:tcW w:w="1732" w:type="dxa"/>
            <w:shd w:val="clear" w:color="auto" w:fill="1B556B"/>
            <w:vAlign w:val="bottom"/>
          </w:tcPr>
          <w:p w14:paraId="12223951" w14:textId="77777777" w:rsidR="00660978" w:rsidRPr="00CB1C46" w:rsidRDefault="00660978" w:rsidP="00C60217">
            <w:pPr>
              <w:pStyle w:val="TableTextBold"/>
              <w:spacing w:before="30" w:after="30"/>
              <w:jc w:val="center"/>
              <w:rPr>
                <w:rFonts w:cs="Calibri"/>
                <w:noProof w:val="0"/>
                <w:color w:val="FFFFFF"/>
              </w:rPr>
            </w:pPr>
            <w:r w:rsidRPr="00CB1C46">
              <w:rPr>
                <w:rFonts w:cs="Calibri"/>
                <w:noProof w:val="0"/>
                <w:color w:val="FFFFFF"/>
              </w:rPr>
              <w:t>Per cent</w:t>
            </w:r>
          </w:p>
        </w:tc>
      </w:tr>
      <w:tr w:rsidR="00660978" w:rsidRPr="00CB1C46" w14:paraId="25845227" w14:textId="77777777" w:rsidTr="004873FC">
        <w:tc>
          <w:tcPr>
            <w:tcW w:w="1752" w:type="dxa"/>
            <w:shd w:val="clear" w:color="auto" w:fill="auto"/>
            <w:vAlign w:val="center"/>
          </w:tcPr>
          <w:p w14:paraId="294F0137" w14:textId="77777777" w:rsidR="00660978" w:rsidRPr="00CB1C46" w:rsidRDefault="00660978" w:rsidP="00C60217">
            <w:pPr>
              <w:pStyle w:val="TableText"/>
              <w:keepNext/>
              <w:spacing w:before="30" w:after="30"/>
              <w:rPr>
                <w:rFonts w:cs="Calibri"/>
                <w:bCs/>
              </w:rPr>
            </w:pPr>
            <w:r w:rsidRPr="00CB1C46">
              <w:rPr>
                <w:rFonts w:cs="Calibri"/>
                <w:bCs/>
              </w:rPr>
              <w:t>1.A.2.a</w:t>
            </w:r>
          </w:p>
        </w:tc>
        <w:tc>
          <w:tcPr>
            <w:tcW w:w="4567" w:type="dxa"/>
            <w:shd w:val="clear" w:color="auto" w:fill="auto"/>
            <w:vAlign w:val="center"/>
          </w:tcPr>
          <w:p w14:paraId="56EE5FFD" w14:textId="77777777" w:rsidR="00660978" w:rsidRPr="00CB1C46" w:rsidRDefault="00660978" w:rsidP="00C60217">
            <w:pPr>
              <w:pStyle w:val="TableText"/>
              <w:spacing w:before="30" w:after="30"/>
              <w:rPr>
                <w:rFonts w:cs="Calibri"/>
                <w:lang w:eastAsia="en-GB"/>
              </w:rPr>
            </w:pPr>
            <w:r w:rsidRPr="00CB1C46">
              <w:rPr>
                <w:rFonts w:cs="Calibri"/>
              </w:rPr>
              <w:t>Iron and steel</w:t>
            </w:r>
          </w:p>
        </w:tc>
        <w:tc>
          <w:tcPr>
            <w:tcW w:w="1732" w:type="dxa"/>
            <w:shd w:val="clear" w:color="auto" w:fill="auto"/>
            <w:vAlign w:val="center"/>
          </w:tcPr>
          <w:p w14:paraId="11E551EB" w14:textId="77777777" w:rsidR="00660978" w:rsidRPr="00CB1C46" w:rsidRDefault="00660978" w:rsidP="00C60217">
            <w:pPr>
              <w:pStyle w:val="TableText"/>
              <w:spacing w:before="30" w:after="30"/>
              <w:ind w:right="660"/>
              <w:jc w:val="right"/>
              <w:rPr>
                <w:rFonts w:cs="Calibri"/>
                <w:color w:val="000000"/>
              </w:rPr>
            </w:pPr>
            <w:r w:rsidRPr="00CB1C46">
              <w:rPr>
                <w:rFonts w:cs="Calibri"/>
                <w:color w:val="000000"/>
              </w:rPr>
              <w:t>NO</w:t>
            </w:r>
          </w:p>
        </w:tc>
      </w:tr>
      <w:tr w:rsidR="00660978" w:rsidRPr="00CB1C46" w14:paraId="489865D0" w14:textId="77777777" w:rsidTr="004873FC">
        <w:tc>
          <w:tcPr>
            <w:tcW w:w="1752" w:type="dxa"/>
            <w:shd w:val="clear" w:color="auto" w:fill="auto"/>
            <w:vAlign w:val="center"/>
          </w:tcPr>
          <w:p w14:paraId="60507B55" w14:textId="77777777" w:rsidR="00660978" w:rsidRPr="00CB1C46" w:rsidRDefault="00660978" w:rsidP="00C60217">
            <w:pPr>
              <w:pStyle w:val="TableText"/>
              <w:keepNext/>
              <w:spacing w:before="30" w:after="30"/>
              <w:rPr>
                <w:rFonts w:cs="Calibri"/>
                <w:bCs/>
              </w:rPr>
            </w:pPr>
            <w:r w:rsidRPr="00CB1C46">
              <w:rPr>
                <w:rFonts w:cs="Calibri"/>
                <w:bCs/>
              </w:rPr>
              <w:t>1.A.2.b</w:t>
            </w:r>
          </w:p>
        </w:tc>
        <w:tc>
          <w:tcPr>
            <w:tcW w:w="4567" w:type="dxa"/>
            <w:shd w:val="clear" w:color="auto" w:fill="auto"/>
            <w:vAlign w:val="center"/>
          </w:tcPr>
          <w:p w14:paraId="0A984B91" w14:textId="77777777" w:rsidR="00660978" w:rsidRPr="00CB1C46" w:rsidRDefault="00660978" w:rsidP="00C60217">
            <w:pPr>
              <w:pStyle w:val="TableText"/>
              <w:spacing w:before="30" w:after="30"/>
              <w:rPr>
                <w:rFonts w:cs="Calibri"/>
              </w:rPr>
            </w:pPr>
            <w:r w:rsidRPr="00CB1C46">
              <w:rPr>
                <w:rFonts w:cs="Calibri"/>
              </w:rPr>
              <w:t>Non-ferrous metals</w:t>
            </w:r>
          </w:p>
        </w:tc>
        <w:tc>
          <w:tcPr>
            <w:tcW w:w="1732" w:type="dxa"/>
            <w:shd w:val="clear" w:color="auto" w:fill="auto"/>
            <w:vAlign w:val="center"/>
          </w:tcPr>
          <w:p w14:paraId="0F97AB6E" w14:textId="77777777" w:rsidR="00660978" w:rsidRPr="00CB1C46" w:rsidRDefault="00660978" w:rsidP="00C60217">
            <w:pPr>
              <w:pStyle w:val="TableText"/>
              <w:spacing w:before="30" w:after="30"/>
              <w:ind w:right="660"/>
              <w:jc w:val="right"/>
              <w:rPr>
                <w:rFonts w:cs="Calibri"/>
                <w:color w:val="000000"/>
              </w:rPr>
            </w:pPr>
            <w:r w:rsidRPr="00CB1C46">
              <w:rPr>
                <w:rFonts w:cs="Calibri"/>
                <w:color w:val="000000"/>
              </w:rPr>
              <w:t>NO</w:t>
            </w:r>
          </w:p>
        </w:tc>
      </w:tr>
      <w:tr w:rsidR="00660978" w:rsidRPr="00CB1C46" w14:paraId="4641E343" w14:textId="77777777" w:rsidTr="004873FC">
        <w:tc>
          <w:tcPr>
            <w:tcW w:w="1752" w:type="dxa"/>
            <w:shd w:val="clear" w:color="auto" w:fill="auto"/>
            <w:vAlign w:val="center"/>
          </w:tcPr>
          <w:p w14:paraId="1986C803" w14:textId="77777777" w:rsidR="00660978" w:rsidRPr="00CB1C46" w:rsidRDefault="00660978" w:rsidP="00C60217">
            <w:pPr>
              <w:pStyle w:val="TableText"/>
              <w:spacing w:before="30" w:after="30"/>
              <w:rPr>
                <w:rFonts w:cs="Calibri"/>
                <w:bCs/>
              </w:rPr>
            </w:pPr>
            <w:r w:rsidRPr="00CB1C46">
              <w:rPr>
                <w:rFonts w:cs="Calibri"/>
                <w:bCs/>
              </w:rPr>
              <w:t>1.A.2.c</w:t>
            </w:r>
          </w:p>
        </w:tc>
        <w:tc>
          <w:tcPr>
            <w:tcW w:w="4567" w:type="dxa"/>
            <w:shd w:val="clear" w:color="auto" w:fill="auto"/>
            <w:vAlign w:val="center"/>
          </w:tcPr>
          <w:p w14:paraId="62B3E0B2" w14:textId="77777777" w:rsidR="00660978" w:rsidRPr="00CB1C46" w:rsidRDefault="00660978" w:rsidP="00C60217">
            <w:pPr>
              <w:pStyle w:val="TableText"/>
              <w:spacing w:before="30" w:after="30"/>
              <w:rPr>
                <w:rFonts w:cs="Calibri"/>
                <w:lang w:eastAsia="en-GB"/>
              </w:rPr>
            </w:pPr>
            <w:r w:rsidRPr="00CB1C46">
              <w:rPr>
                <w:rFonts w:cs="Calibri"/>
              </w:rPr>
              <w:t>Chemicals</w:t>
            </w:r>
          </w:p>
        </w:tc>
        <w:tc>
          <w:tcPr>
            <w:tcW w:w="1732" w:type="dxa"/>
            <w:shd w:val="clear" w:color="auto" w:fill="auto"/>
            <w:vAlign w:val="center"/>
          </w:tcPr>
          <w:p w14:paraId="29C0030D" w14:textId="77777777" w:rsidR="00660978" w:rsidRPr="00CB1C46" w:rsidRDefault="00660978" w:rsidP="00C60217">
            <w:pPr>
              <w:pStyle w:val="TableText"/>
              <w:spacing w:before="30" w:after="30"/>
              <w:ind w:right="660"/>
              <w:jc w:val="right"/>
              <w:rPr>
                <w:rFonts w:cs="Calibri"/>
                <w:color w:val="000000"/>
              </w:rPr>
            </w:pPr>
            <w:r w:rsidRPr="00CB1C46">
              <w:rPr>
                <w:rFonts w:cs="Calibri"/>
                <w:color w:val="000000"/>
              </w:rPr>
              <w:t>NO</w:t>
            </w:r>
          </w:p>
        </w:tc>
      </w:tr>
      <w:tr w:rsidR="00660978" w:rsidRPr="00CB1C46" w14:paraId="1E2AA9C9" w14:textId="77777777" w:rsidTr="004873FC">
        <w:tc>
          <w:tcPr>
            <w:tcW w:w="1752" w:type="dxa"/>
            <w:shd w:val="clear" w:color="auto" w:fill="auto"/>
            <w:vAlign w:val="center"/>
          </w:tcPr>
          <w:p w14:paraId="68B85D80" w14:textId="77777777" w:rsidR="00660978" w:rsidRPr="00CB1C46" w:rsidRDefault="00660978" w:rsidP="00C60217">
            <w:pPr>
              <w:pStyle w:val="TableText"/>
              <w:spacing w:before="30" w:after="30"/>
              <w:rPr>
                <w:rFonts w:cs="Calibri"/>
                <w:bCs/>
              </w:rPr>
            </w:pPr>
            <w:r w:rsidRPr="00CB1C46">
              <w:rPr>
                <w:rFonts w:cs="Calibri"/>
                <w:bCs/>
              </w:rPr>
              <w:t>1.A.2.d</w:t>
            </w:r>
          </w:p>
        </w:tc>
        <w:tc>
          <w:tcPr>
            <w:tcW w:w="4567" w:type="dxa"/>
            <w:shd w:val="clear" w:color="auto" w:fill="auto"/>
            <w:vAlign w:val="center"/>
          </w:tcPr>
          <w:p w14:paraId="03E7E161" w14:textId="77777777" w:rsidR="00660978" w:rsidRPr="00CB1C46" w:rsidRDefault="00660978" w:rsidP="00C60217">
            <w:pPr>
              <w:pStyle w:val="TableText"/>
              <w:spacing w:before="30" w:after="30"/>
              <w:rPr>
                <w:rFonts w:cs="Calibri"/>
                <w:lang w:eastAsia="en-GB"/>
              </w:rPr>
            </w:pPr>
            <w:r w:rsidRPr="00CB1C46">
              <w:rPr>
                <w:rFonts w:cs="Calibri"/>
              </w:rPr>
              <w:t>Pulp, paper and print</w:t>
            </w:r>
          </w:p>
        </w:tc>
        <w:tc>
          <w:tcPr>
            <w:tcW w:w="1732" w:type="dxa"/>
            <w:shd w:val="clear" w:color="auto" w:fill="auto"/>
            <w:vAlign w:val="center"/>
          </w:tcPr>
          <w:p w14:paraId="71BDEC99" w14:textId="77777777" w:rsidR="00660978" w:rsidRPr="00CB1C46" w:rsidRDefault="00660978" w:rsidP="00C60217">
            <w:pPr>
              <w:pStyle w:val="TableText"/>
              <w:spacing w:before="30" w:after="30"/>
              <w:ind w:right="660"/>
              <w:jc w:val="right"/>
              <w:rPr>
                <w:rFonts w:cs="Calibri"/>
                <w:color w:val="000000"/>
              </w:rPr>
            </w:pPr>
            <w:r w:rsidRPr="00CB1C46">
              <w:rPr>
                <w:rFonts w:cs="Calibri"/>
                <w:color w:val="000000"/>
              </w:rPr>
              <w:t>99.94</w:t>
            </w:r>
          </w:p>
        </w:tc>
      </w:tr>
      <w:tr w:rsidR="00660978" w:rsidRPr="00CB1C46" w14:paraId="64651AFF" w14:textId="77777777" w:rsidTr="004873FC">
        <w:tc>
          <w:tcPr>
            <w:tcW w:w="1752" w:type="dxa"/>
            <w:shd w:val="clear" w:color="auto" w:fill="auto"/>
            <w:vAlign w:val="center"/>
          </w:tcPr>
          <w:p w14:paraId="65C055C4" w14:textId="77777777" w:rsidR="00660978" w:rsidRPr="00CB1C46" w:rsidRDefault="00660978" w:rsidP="00C60217">
            <w:pPr>
              <w:pStyle w:val="TableText"/>
              <w:spacing w:before="30" w:after="30"/>
              <w:rPr>
                <w:rFonts w:cs="Calibri"/>
                <w:bCs/>
              </w:rPr>
            </w:pPr>
            <w:r w:rsidRPr="00CB1C46">
              <w:rPr>
                <w:rFonts w:cs="Calibri"/>
                <w:bCs/>
              </w:rPr>
              <w:t>1.A.2.e</w:t>
            </w:r>
          </w:p>
        </w:tc>
        <w:tc>
          <w:tcPr>
            <w:tcW w:w="4567" w:type="dxa"/>
            <w:shd w:val="clear" w:color="auto" w:fill="auto"/>
            <w:vAlign w:val="center"/>
          </w:tcPr>
          <w:p w14:paraId="1EA72090" w14:textId="77777777" w:rsidR="00660978" w:rsidRPr="00CB1C46" w:rsidRDefault="00660978" w:rsidP="00C60217">
            <w:pPr>
              <w:pStyle w:val="TableText"/>
              <w:spacing w:before="30" w:after="30"/>
              <w:rPr>
                <w:rFonts w:cs="Calibri"/>
                <w:lang w:eastAsia="en-GB"/>
              </w:rPr>
            </w:pPr>
            <w:r w:rsidRPr="00CB1C46">
              <w:rPr>
                <w:rFonts w:cs="Calibri"/>
              </w:rPr>
              <w:t>Food processing, beverages and tobacco</w:t>
            </w:r>
          </w:p>
        </w:tc>
        <w:tc>
          <w:tcPr>
            <w:tcW w:w="1732" w:type="dxa"/>
            <w:shd w:val="clear" w:color="auto" w:fill="auto"/>
            <w:vAlign w:val="center"/>
          </w:tcPr>
          <w:p w14:paraId="0C98FE6C" w14:textId="77777777" w:rsidR="00660978" w:rsidRPr="00CB1C46" w:rsidRDefault="00660978" w:rsidP="00C60217">
            <w:pPr>
              <w:pStyle w:val="TableText"/>
              <w:spacing w:before="30" w:after="30"/>
              <w:ind w:right="660"/>
              <w:jc w:val="right"/>
              <w:rPr>
                <w:rFonts w:cs="Calibri"/>
                <w:color w:val="000000"/>
              </w:rPr>
            </w:pPr>
            <w:r w:rsidRPr="00CB1C46">
              <w:rPr>
                <w:rFonts w:cs="Calibri"/>
                <w:color w:val="000000"/>
              </w:rPr>
              <w:t>0.05</w:t>
            </w:r>
          </w:p>
        </w:tc>
      </w:tr>
      <w:tr w:rsidR="00660978" w:rsidRPr="00CB1C46" w14:paraId="0F11D0D6" w14:textId="77777777" w:rsidTr="004873FC">
        <w:tc>
          <w:tcPr>
            <w:tcW w:w="1752" w:type="dxa"/>
            <w:shd w:val="clear" w:color="auto" w:fill="auto"/>
            <w:vAlign w:val="center"/>
          </w:tcPr>
          <w:p w14:paraId="15C99775" w14:textId="77777777" w:rsidR="00660978" w:rsidRPr="00CB1C46" w:rsidRDefault="00660978" w:rsidP="00C60217">
            <w:pPr>
              <w:pStyle w:val="TableText"/>
              <w:spacing w:before="30" w:after="30"/>
              <w:rPr>
                <w:rFonts w:cs="Calibri"/>
                <w:bCs/>
              </w:rPr>
            </w:pPr>
            <w:r w:rsidRPr="00CB1C46">
              <w:rPr>
                <w:rFonts w:cs="Calibri"/>
                <w:bCs/>
              </w:rPr>
              <w:t>1.A.2.g</w:t>
            </w:r>
          </w:p>
        </w:tc>
        <w:tc>
          <w:tcPr>
            <w:tcW w:w="4567" w:type="dxa"/>
            <w:shd w:val="clear" w:color="auto" w:fill="auto"/>
            <w:vAlign w:val="center"/>
          </w:tcPr>
          <w:p w14:paraId="71C42FC7" w14:textId="77777777" w:rsidR="00660978" w:rsidRPr="00CB1C46" w:rsidRDefault="00660978" w:rsidP="00C60217">
            <w:pPr>
              <w:pStyle w:val="TableText"/>
              <w:spacing w:before="30" w:after="30"/>
              <w:rPr>
                <w:rFonts w:cs="Calibri"/>
                <w:lang w:eastAsia="en-GB"/>
              </w:rPr>
            </w:pPr>
            <w:r w:rsidRPr="00CB1C46">
              <w:rPr>
                <w:rFonts w:cs="Calibri"/>
              </w:rPr>
              <w:t>Other – mining and construction</w:t>
            </w:r>
          </w:p>
        </w:tc>
        <w:tc>
          <w:tcPr>
            <w:tcW w:w="1732" w:type="dxa"/>
            <w:shd w:val="clear" w:color="auto" w:fill="auto"/>
            <w:vAlign w:val="center"/>
          </w:tcPr>
          <w:p w14:paraId="0E69E20D" w14:textId="77777777" w:rsidR="00660978" w:rsidRPr="00CB1C46" w:rsidRDefault="00660978" w:rsidP="00C60217">
            <w:pPr>
              <w:pStyle w:val="TableText"/>
              <w:spacing w:before="30" w:after="30"/>
              <w:ind w:right="660"/>
              <w:jc w:val="right"/>
              <w:rPr>
                <w:rFonts w:cs="Calibri"/>
                <w:color w:val="000000"/>
              </w:rPr>
            </w:pPr>
            <w:r w:rsidRPr="00CB1C46">
              <w:rPr>
                <w:rFonts w:cs="Calibri"/>
                <w:color w:val="000000"/>
              </w:rPr>
              <w:t>NO</w:t>
            </w:r>
          </w:p>
        </w:tc>
      </w:tr>
      <w:tr w:rsidR="00660978" w:rsidRPr="00CB1C46" w14:paraId="39818141" w14:textId="77777777" w:rsidTr="004873FC">
        <w:tc>
          <w:tcPr>
            <w:tcW w:w="1752" w:type="dxa"/>
            <w:shd w:val="clear" w:color="auto" w:fill="auto"/>
            <w:vAlign w:val="center"/>
          </w:tcPr>
          <w:p w14:paraId="3985597D" w14:textId="77777777" w:rsidR="00660978" w:rsidRPr="00CB1C46" w:rsidRDefault="00660978" w:rsidP="00C60217">
            <w:pPr>
              <w:pStyle w:val="TableText"/>
              <w:spacing w:before="30" w:after="30"/>
              <w:rPr>
                <w:rFonts w:cs="Calibri"/>
                <w:bCs/>
              </w:rPr>
            </w:pPr>
            <w:r w:rsidRPr="00CB1C46">
              <w:rPr>
                <w:rFonts w:cs="Calibri"/>
                <w:bCs/>
              </w:rPr>
              <w:t>1.A.2.g</w:t>
            </w:r>
          </w:p>
        </w:tc>
        <w:tc>
          <w:tcPr>
            <w:tcW w:w="4567" w:type="dxa"/>
            <w:shd w:val="clear" w:color="auto" w:fill="auto"/>
            <w:vAlign w:val="center"/>
          </w:tcPr>
          <w:p w14:paraId="4BC6EFA5" w14:textId="77777777" w:rsidR="00660978" w:rsidRPr="00CB1C46" w:rsidRDefault="00660978" w:rsidP="00C60217">
            <w:pPr>
              <w:pStyle w:val="TableText"/>
              <w:spacing w:before="30" w:after="30"/>
              <w:rPr>
                <w:rFonts w:cs="Calibri"/>
                <w:lang w:eastAsia="en-GB"/>
              </w:rPr>
            </w:pPr>
            <w:r w:rsidRPr="00CB1C46">
              <w:rPr>
                <w:rFonts w:cs="Calibri"/>
              </w:rPr>
              <w:t>Other – textiles</w:t>
            </w:r>
          </w:p>
        </w:tc>
        <w:tc>
          <w:tcPr>
            <w:tcW w:w="1732" w:type="dxa"/>
            <w:shd w:val="clear" w:color="auto" w:fill="auto"/>
            <w:vAlign w:val="center"/>
          </w:tcPr>
          <w:p w14:paraId="29E4619D" w14:textId="77777777" w:rsidR="00660978" w:rsidRPr="00CB1C46" w:rsidRDefault="00660978" w:rsidP="00C60217">
            <w:pPr>
              <w:pStyle w:val="TableText"/>
              <w:spacing w:before="30" w:after="30"/>
              <w:ind w:right="660"/>
              <w:jc w:val="right"/>
              <w:rPr>
                <w:rFonts w:cs="Calibri"/>
                <w:color w:val="000000"/>
              </w:rPr>
            </w:pPr>
            <w:r w:rsidRPr="00CB1C46">
              <w:rPr>
                <w:rFonts w:cs="Calibri"/>
                <w:color w:val="000000"/>
              </w:rPr>
              <w:t>NO</w:t>
            </w:r>
          </w:p>
        </w:tc>
      </w:tr>
      <w:tr w:rsidR="00660978" w:rsidRPr="00CB1C46" w14:paraId="01A9F39F" w14:textId="77777777" w:rsidTr="004873FC">
        <w:tc>
          <w:tcPr>
            <w:tcW w:w="1752" w:type="dxa"/>
            <w:shd w:val="clear" w:color="auto" w:fill="auto"/>
            <w:vAlign w:val="center"/>
          </w:tcPr>
          <w:p w14:paraId="38485D73" w14:textId="77777777" w:rsidR="00660978" w:rsidRPr="00CB1C46" w:rsidRDefault="00660978" w:rsidP="00C60217">
            <w:pPr>
              <w:pStyle w:val="TableText"/>
              <w:spacing w:before="30" w:after="30"/>
              <w:rPr>
                <w:rFonts w:cs="Calibri"/>
                <w:bCs/>
              </w:rPr>
            </w:pPr>
            <w:r w:rsidRPr="00CB1C46">
              <w:rPr>
                <w:rFonts w:cs="Calibri"/>
                <w:bCs/>
              </w:rPr>
              <w:t>1.A.2.f</w:t>
            </w:r>
          </w:p>
        </w:tc>
        <w:tc>
          <w:tcPr>
            <w:tcW w:w="4567" w:type="dxa"/>
            <w:shd w:val="clear" w:color="auto" w:fill="auto"/>
            <w:vAlign w:val="center"/>
          </w:tcPr>
          <w:p w14:paraId="4B35DF84" w14:textId="77777777" w:rsidR="00660978" w:rsidRPr="00CB1C46" w:rsidRDefault="00660978" w:rsidP="00C60217">
            <w:pPr>
              <w:pStyle w:val="TableText"/>
              <w:spacing w:before="30" w:after="30"/>
              <w:rPr>
                <w:rFonts w:cs="Calibri"/>
                <w:lang w:eastAsia="en-GB"/>
              </w:rPr>
            </w:pPr>
            <w:r w:rsidRPr="00CB1C46">
              <w:rPr>
                <w:rFonts w:cs="Calibri"/>
              </w:rPr>
              <w:t>Other – non-metallic minerals</w:t>
            </w:r>
          </w:p>
        </w:tc>
        <w:tc>
          <w:tcPr>
            <w:tcW w:w="1732" w:type="dxa"/>
            <w:shd w:val="clear" w:color="auto" w:fill="auto"/>
            <w:vAlign w:val="center"/>
          </w:tcPr>
          <w:p w14:paraId="6CCCA384" w14:textId="77777777" w:rsidR="00660978" w:rsidRPr="00CB1C46" w:rsidRDefault="00660978" w:rsidP="00C60217">
            <w:pPr>
              <w:pStyle w:val="TableText"/>
              <w:spacing w:before="30" w:after="30"/>
              <w:ind w:right="660"/>
              <w:jc w:val="right"/>
              <w:rPr>
                <w:rFonts w:cs="Calibri"/>
                <w:color w:val="000000"/>
              </w:rPr>
            </w:pPr>
            <w:r w:rsidRPr="00CB1C46">
              <w:rPr>
                <w:rFonts w:cs="Calibri"/>
                <w:color w:val="000000"/>
              </w:rPr>
              <w:t>NO</w:t>
            </w:r>
          </w:p>
        </w:tc>
      </w:tr>
      <w:tr w:rsidR="00660978" w:rsidRPr="00CB1C46" w14:paraId="230C23E4" w14:textId="77777777" w:rsidTr="004873FC">
        <w:tc>
          <w:tcPr>
            <w:tcW w:w="1752" w:type="dxa"/>
            <w:shd w:val="clear" w:color="auto" w:fill="auto"/>
            <w:vAlign w:val="center"/>
          </w:tcPr>
          <w:p w14:paraId="6FF3C731" w14:textId="77777777" w:rsidR="00660978" w:rsidRPr="00CB1C46" w:rsidRDefault="00660978" w:rsidP="00C60217">
            <w:pPr>
              <w:pStyle w:val="TableText"/>
              <w:spacing w:before="30" w:after="30"/>
              <w:rPr>
                <w:rFonts w:cs="Calibri"/>
                <w:bCs/>
              </w:rPr>
            </w:pPr>
            <w:r w:rsidRPr="00CB1C46">
              <w:rPr>
                <w:rFonts w:cs="Calibri"/>
                <w:bCs/>
              </w:rPr>
              <w:t>1.A.2.f</w:t>
            </w:r>
          </w:p>
        </w:tc>
        <w:tc>
          <w:tcPr>
            <w:tcW w:w="4567" w:type="dxa"/>
            <w:shd w:val="clear" w:color="auto" w:fill="auto"/>
            <w:vAlign w:val="center"/>
          </w:tcPr>
          <w:p w14:paraId="762D97FD" w14:textId="77777777" w:rsidR="00660978" w:rsidRPr="00CB1C46" w:rsidRDefault="00660978" w:rsidP="00C60217">
            <w:pPr>
              <w:pStyle w:val="TableText"/>
              <w:spacing w:before="30" w:after="30"/>
              <w:rPr>
                <w:rFonts w:cs="Calibri"/>
                <w:lang w:eastAsia="en-GB"/>
              </w:rPr>
            </w:pPr>
            <w:r w:rsidRPr="00CB1C46">
              <w:rPr>
                <w:rFonts w:cs="Calibri"/>
              </w:rPr>
              <w:t xml:space="preserve">Other – manufacturing of machinery </w:t>
            </w:r>
          </w:p>
        </w:tc>
        <w:tc>
          <w:tcPr>
            <w:tcW w:w="1732" w:type="dxa"/>
            <w:shd w:val="clear" w:color="auto" w:fill="auto"/>
            <w:vAlign w:val="center"/>
          </w:tcPr>
          <w:p w14:paraId="4E2CAD96" w14:textId="77777777" w:rsidR="00660978" w:rsidRPr="00CB1C46" w:rsidRDefault="00660978" w:rsidP="00C60217">
            <w:pPr>
              <w:pStyle w:val="TableText"/>
              <w:spacing w:before="30" w:after="30"/>
              <w:ind w:right="660"/>
              <w:jc w:val="right"/>
              <w:rPr>
                <w:rFonts w:cs="Calibri"/>
                <w:color w:val="000000"/>
              </w:rPr>
            </w:pPr>
            <w:r w:rsidRPr="00CB1C46">
              <w:rPr>
                <w:rFonts w:cs="Calibri"/>
                <w:color w:val="000000"/>
              </w:rPr>
              <w:t>NO</w:t>
            </w:r>
          </w:p>
        </w:tc>
      </w:tr>
      <w:tr w:rsidR="00660978" w:rsidRPr="00CB1C46" w14:paraId="2D78839A" w14:textId="77777777" w:rsidTr="004873FC">
        <w:tc>
          <w:tcPr>
            <w:tcW w:w="1752" w:type="dxa"/>
            <w:shd w:val="clear" w:color="auto" w:fill="auto"/>
            <w:vAlign w:val="center"/>
          </w:tcPr>
          <w:p w14:paraId="23C9B7D9" w14:textId="77777777" w:rsidR="00660978" w:rsidRPr="00CB1C46" w:rsidRDefault="00660978" w:rsidP="00C60217">
            <w:pPr>
              <w:pStyle w:val="TableText"/>
              <w:spacing w:before="30" w:after="30"/>
              <w:rPr>
                <w:rFonts w:cs="Calibri"/>
                <w:bCs/>
              </w:rPr>
            </w:pPr>
            <w:r w:rsidRPr="00CB1C46">
              <w:rPr>
                <w:rFonts w:cs="Calibri"/>
                <w:bCs/>
              </w:rPr>
              <w:t>1.A.2.g</w:t>
            </w:r>
          </w:p>
        </w:tc>
        <w:tc>
          <w:tcPr>
            <w:tcW w:w="4567" w:type="dxa"/>
            <w:shd w:val="clear" w:color="auto" w:fill="auto"/>
            <w:vAlign w:val="center"/>
          </w:tcPr>
          <w:p w14:paraId="0C9EC764" w14:textId="77777777" w:rsidR="00660978" w:rsidRPr="00CB1C46" w:rsidRDefault="00660978" w:rsidP="00C60217">
            <w:pPr>
              <w:pStyle w:val="TableText"/>
              <w:spacing w:before="30" w:after="30"/>
              <w:rPr>
                <w:rFonts w:cs="Calibri"/>
                <w:lang w:eastAsia="en-GB"/>
              </w:rPr>
            </w:pPr>
            <w:r w:rsidRPr="00CB1C46">
              <w:rPr>
                <w:rFonts w:cs="Calibri"/>
              </w:rPr>
              <w:t>Other – non-specified</w:t>
            </w:r>
          </w:p>
        </w:tc>
        <w:tc>
          <w:tcPr>
            <w:tcW w:w="1732" w:type="dxa"/>
            <w:shd w:val="clear" w:color="auto" w:fill="auto"/>
            <w:vAlign w:val="center"/>
          </w:tcPr>
          <w:p w14:paraId="42540CB6" w14:textId="77777777" w:rsidR="00660978" w:rsidRPr="00CB1C46" w:rsidRDefault="00660978" w:rsidP="00C60217">
            <w:pPr>
              <w:pStyle w:val="TableText"/>
              <w:spacing w:before="30" w:after="30"/>
              <w:ind w:right="660"/>
              <w:jc w:val="right"/>
              <w:rPr>
                <w:rFonts w:cs="Calibri"/>
                <w:color w:val="000000"/>
              </w:rPr>
            </w:pPr>
            <w:r w:rsidRPr="00CB1C46">
              <w:rPr>
                <w:rFonts w:cs="Calibri"/>
                <w:color w:val="000000"/>
              </w:rPr>
              <w:t>0.01</w:t>
            </w:r>
          </w:p>
        </w:tc>
      </w:tr>
    </w:tbl>
    <w:p w14:paraId="035D6A7D" w14:textId="77777777" w:rsidR="00660978" w:rsidRPr="00CB1C46" w:rsidRDefault="00660978" w:rsidP="00660978">
      <w:pPr>
        <w:pStyle w:val="Noteundertable"/>
        <w:rPr>
          <w:rFonts w:cs="Calibri"/>
        </w:rPr>
      </w:pPr>
      <w:r w:rsidRPr="00CB1C46">
        <w:rPr>
          <w:rFonts w:cs="Calibri"/>
          <w:b/>
        </w:rPr>
        <w:t>Note:</w:t>
      </w:r>
      <w:r w:rsidRPr="00CB1C46">
        <w:rPr>
          <w:rFonts w:cs="Calibri"/>
        </w:rPr>
        <w:t xml:space="preserve"> </w:t>
      </w:r>
      <w:r w:rsidRPr="00CB1C46">
        <w:rPr>
          <w:rFonts w:cs="Calibri"/>
        </w:rPr>
        <w:tab/>
        <w:t>NO = not occurring. Survey data indicate that solid biomass combustion does not occur in the sectors.</w:t>
      </w:r>
    </w:p>
    <w:p w14:paraId="31CAF216" w14:textId="77777777" w:rsidR="00660978" w:rsidRPr="00CB1C46" w:rsidRDefault="00660978" w:rsidP="00660978">
      <w:pPr>
        <w:pStyle w:val="Heading5"/>
        <w:spacing w:before="200"/>
        <w:rPr>
          <w:rFonts w:cs="Calibri"/>
        </w:rPr>
      </w:pPr>
      <w:r w:rsidRPr="00CB1C46">
        <w:rPr>
          <w:rFonts w:cs="Calibri"/>
        </w:rPr>
        <w:t>Gas biomass</w:t>
      </w:r>
    </w:p>
    <w:p w14:paraId="51B60411" w14:textId="77777777" w:rsidR="00660978" w:rsidRPr="00CB1C46" w:rsidRDefault="00660978" w:rsidP="00660978">
      <w:pPr>
        <w:pStyle w:val="BodyText"/>
        <w:spacing w:before="80"/>
        <w:rPr>
          <w:rFonts w:cs="Calibri"/>
        </w:rPr>
      </w:pPr>
      <w:r w:rsidRPr="00CB1C46">
        <w:rPr>
          <w:rFonts w:cs="Calibri"/>
        </w:rPr>
        <w:t>Sludge gas is produced at the Tirau dairy processing facility. Cattle effluent is used to produce</w:t>
      </w:r>
      <w:r>
        <w:rPr>
          <w:rFonts w:cs="Calibri"/>
        </w:rPr>
        <w:t xml:space="preserve"> </w:t>
      </w:r>
      <w:r w:rsidRPr="00CB1C46">
        <w:rPr>
          <w:rFonts w:cs="Calibri"/>
        </w:rPr>
        <w:t>sludge gas that is used to raise heat for the milk processing facility, which is open</w:t>
      </w:r>
      <w:r>
        <w:rPr>
          <w:rFonts w:cs="Calibri"/>
        </w:rPr>
        <w:t xml:space="preserve"> </w:t>
      </w:r>
      <w:r w:rsidRPr="00CB1C46">
        <w:rPr>
          <w:rFonts w:cs="Calibri"/>
        </w:rPr>
        <w:t xml:space="preserve">from </w:t>
      </w:r>
      <w:r w:rsidRPr="00203545">
        <w:rPr>
          <w:rFonts w:cs="Calibri"/>
          <w:spacing w:val="-2"/>
        </w:rPr>
        <w:t>September through to December each year. See section 3.3.1 (Biomass) for further information.</w:t>
      </w:r>
    </w:p>
    <w:p w14:paraId="4EC6E45B" w14:textId="77777777" w:rsidR="00660978" w:rsidRPr="00CB1C46" w:rsidRDefault="00660978" w:rsidP="00660978">
      <w:pPr>
        <w:pStyle w:val="BodyText"/>
        <w:spacing w:before="100"/>
        <w:rPr>
          <w:rFonts w:cs="Calibri"/>
        </w:rPr>
      </w:pPr>
      <w:r w:rsidRPr="00CB1C46">
        <w:rPr>
          <w:rFonts w:cs="Calibri"/>
        </w:rPr>
        <w:t>Sludge gas is not metered or analysed at the site, but estimates of flow rate and CH</w:t>
      </w:r>
      <w:r w:rsidRPr="00CB1C46">
        <w:rPr>
          <w:rFonts w:cs="Calibri"/>
          <w:vertAlign w:val="subscript"/>
        </w:rPr>
        <w:t>4</w:t>
      </w:r>
      <w:r w:rsidRPr="00CB1C46">
        <w:rPr>
          <w:rFonts w:cs="Calibri"/>
        </w:rPr>
        <w:t xml:space="preserve"> content were obtained from the facility manager for the 2011 reporting year. MBIE then used these data to calculate an estimate of the total energy content, which was then confirmed by the facility manager. </w:t>
      </w:r>
    </w:p>
    <w:p w14:paraId="3F334B47" w14:textId="77777777" w:rsidR="00660978" w:rsidRPr="00CB1C46" w:rsidRDefault="00660978" w:rsidP="00660978">
      <w:pPr>
        <w:pStyle w:val="BodyText"/>
        <w:spacing w:before="100"/>
        <w:rPr>
          <w:rFonts w:cs="Calibri"/>
        </w:rPr>
      </w:pPr>
      <w:r w:rsidRPr="00CB1C46">
        <w:rPr>
          <w:rFonts w:cs="Calibri"/>
        </w:rPr>
        <w:t>The facility has operated in the same fashion since its construction in the late 1980s. Therefore this estimate was assumed to be valid across the time series.</w:t>
      </w:r>
    </w:p>
    <w:p w14:paraId="2DDBC2ED" w14:textId="77777777" w:rsidR="00660978" w:rsidRPr="00CB1C46" w:rsidRDefault="00660978" w:rsidP="00660978">
      <w:pPr>
        <w:pStyle w:val="Heading5"/>
        <w:spacing w:before="160"/>
        <w:rPr>
          <w:rFonts w:cs="Calibri"/>
        </w:rPr>
      </w:pPr>
      <w:r w:rsidRPr="00CB1C46">
        <w:rPr>
          <w:rFonts w:cs="Calibri"/>
        </w:rPr>
        <w:t>Liquid fuels (diesel, gasoline and fuel oil)</w:t>
      </w:r>
    </w:p>
    <w:p w14:paraId="62D1D9A9" w14:textId="77777777" w:rsidR="00660978" w:rsidRPr="00CB1C46" w:rsidRDefault="00660978" w:rsidP="00660978">
      <w:pPr>
        <w:pStyle w:val="BodyText"/>
        <w:spacing w:before="80"/>
        <w:rPr>
          <w:rFonts w:cs="Calibri"/>
        </w:rPr>
      </w:pPr>
      <w:r w:rsidRPr="00CB1C46">
        <w:rPr>
          <w:rFonts w:cs="Calibri"/>
        </w:rPr>
        <w:t xml:space="preserve">As mentioned in section 3.3.1 (Liquid fuels), New Zealand uses the </w:t>
      </w:r>
      <w:r w:rsidRPr="00AF7FAF">
        <w:rPr>
          <w:rFonts w:cs="Calibri"/>
          <w:iCs/>
        </w:rPr>
        <w:t>Annual Liquid Fuel Survey</w:t>
      </w:r>
      <w:r>
        <w:rPr>
          <w:rFonts w:cs="Calibri"/>
          <w:iCs/>
        </w:rPr>
        <w:t xml:space="preserve"> </w:t>
      </w:r>
      <w:r w:rsidRPr="00CB1C46">
        <w:rPr>
          <w:rFonts w:cs="Calibri"/>
        </w:rPr>
        <w:t>to</w:t>
      </w:r>
      <w:r>
        <w:rPr>
          <w:rFonts w:cs="Calibri"/>
        </w:rPr>
        <w:t xml:space="preserve"> </w:t>
      </w:r>
      <w:r w:rsidRPr="00CB1C46">
        <w:rPr>
          <w:rFonts w:cs="Calibri"/>
        </w:rPr>
        <w:t>capture sales by independent distributors. With this information, some liquid fuel demand</w:t>
      </w:r>
      <w:r>
        <w:rPr>
          <w:rFonts w:cs="Calibri"/>
        </w:rPr>
        <w:t xml:space="preserve"> </w:t>
      </w:r>
      <w:r w:rsidRPr="00CB1C46">
        <w:rPr>
          <w:rFonts w:cs="Calibri"/>
        </w:rPr>
        <w:t>that</w:t>
      </w:r>
      <w:r>
        <w:rPr>
          <w:rFonts w:cs="Calibri"/>
        </w:rPr>
        <w:t xml:space="preserve"> </w:t>
      </w:r>
      <w:r w:rsidRPr="00031479">
        <w:rPr>
          <w:rFonts w:cs="Calibri"/>
          <w:spacing w:val="-2"/>
        </w:rPr>
        <w:t>would otherwise be allocated to national transport is reallocated to the correct sector’s demand.</w:t>
      </w:r>
      <w:r w:rsidRPr="00CB1C46">
        <w:rPr>
          <w:rFonts w:cs="Calibri"/>
        </w:rPr>
        <w:t xml:space="preserve"> In terms of the Energy sector emission estimates, emissions attributed to category 1.A.3 </w:t>
      </w:r>
      <w:r w:rsidRPr="00CB1C46">
        <w:rPr>
          <w:rFonts w:cs="Calibri"/>
          <w:i/>
        </w:rPr>
        <w:t>Transport</w:t>
      </w:r>
      <w:r w:rsidRPr="00CB1C46">
        <w:rPr>
          <w:rFonts w:cs="Calibri"/>
        </w:rPr>
        <w:t xml:space="preserve"> decreased by around 20 per cent as a result of this reallocation, and</w:t>
      </w:r>
      <w:r>
        <w:rPr>
          <w:rFonts w:cs="Calibri"/>
        </w:rPr>
        <w:t xml:space="preserve"> </w:t>
      </w:r>
      <w:r w:rsidRPr="00CB1C46">
        <w:rPr>
          <w:rFonts w:cs="Calibri"/>
        </w:rPr>
        <w:t xml:space="preserve">emissions </w:t>
      </w:r>
      <w:r w:rsidRPr="00031479">
        <w:rPr>
          <w:rFonts w:cs="Calibri"/>
          <w:spacing w:val="-2"/>
        </w:rPr>
        <w:t xml:space="preserve">attributed to other categories, such as 1.A.4.c </w:t>
      </w:r>
      <w:r w:rsidRPr="00031479">
        <w:rPr>
          <w:rFonts w:cs="Calibri"/>
          <w:i/>
          <w:spacing w:val="-2"/>
        </w:rPr>
        <w:t>Agriculture/forestry/fishing</w:t>
      </w:r>
      <w:r w:rsidRPr="00031479">
        <w:rPr>
          <w:rFonts w:cs="Calibri"/>
          <w:spacing w:val="-2"/>
        </w:rPr>
        <w:t>, increased significantly.</w:t>
      </w:r>
    </w:p>
    <w:p w14:paraId="279800E3" w14:textId="77777777" w:rsidR="00660978" w:rsidRPr="00CB1C46" w:rsidRDefault="00660978" w:rsidP="00660978">
      <w:pPr>
        <w:pStyle w:val="BodyText"/>
        <w:rPr>
          <w:rFonts w:cs="Calibri"/>
        </w:rPr>
      </w:pPr>
      <w:r w:rsidRPr="00CB1C46">
        <w:rPr>
          <w:rFonts w:cs="Calibri"/>
        </w:rPr>
        <w:lastRenderedPageBreak/>
        <w:t xml:space="preserve">Following ERT recommendations (2007 in-country review), New Zealand began to disaggregate liquid fuel combustion in the 1.A.2 </w:t>
      </w:r>
      <w:r w:rsidRPr="00CB1C46">
        <w:rPr>
          <w:rFonts w:cs="Calibri"/>
          <w:i/>
        </w:rPr>
        <w:t>Manufacturing industries and construction</w:t>
      </w:r>
      <w:r w:rsidRPr="00CB1C46">
        <w:rPr>
          <w:rFonts w:cs="Calibri"/>
        </w:rPr>
        <w:t xml:space="preserve"> category for the 2011 inventory. Diesel and gasoline consumption were disaggregated for the 2012 submission, and the method was subsequently extended to include fuel oil.</w:t>
      </w:r>
    </w:p>
    <w:p w14:paraId="0D66CBCD" w14:textId="77777777" w:rsidR="00660978" w:rsidRPr="00CB1C46" w:rsidRDefault="00660978" w:rsidP="00660978">
      <w:pPr>
        <w:pStyle w:val="BodyText"/>
        <w:rPr>
          <w:rFonts w:cs="Calibri"/>
        </w:rPr>
      </w:pPr>
      <w:r w:rsidRPr="00CB1C46">
        <w:rPr>
          <w:rFonts w:cs="Calibri"/>
        </w:rPr>
        <w:t xml:space="preserve">While data are not collected at this level of detail in energy surveys for liquid fuels, New Zealand has produced estimates based on Stats NZ survey data. Stats NZ conducted an industrial and trade energy use survey (Stats NZ, 2018), which assessed energy consumption and end use across manufacturing industries for the 2016 calendar year. </w:t>
      </w:r>
    </w:p>
    <w:p w14:paraId="3BA527F4" w14:textId="77777777" w:rsidR="00660978" w:rsidRPr="00CB1C46" w:rsidRDefault="00660978" w:rsidP="00660978">
      <w:pPr>
        <w:pStyle w:val="BodyText"/>
        <w:rPr>
          <w:rFonts w:cs="Calibri"/>
        </w:rPr>
      </w:pPr>
      <w:r w:rsidRPr="00CB1C46">
        <w:rPr>
          <w:rFonts w:cs="Calibri"/>
        </w:rPr>
        <w:t xml:space="preserve">Proportions of liquid energy end use were then determined across the manufacturing industries. These proportions, along with category gross domestic product (GDP) data from Stats NZ for the period, were used to calculate implied energy intensities (PJ per unit of GDP) for each category for diesel, gasoline and fuel oil (see table 3.3.5). These intensities were then applied to Stats NZ GDP data across the time series and scaled to match the fuel sales reported for all manufacturing industries and construction, to estimate activity data for each category. </w:t>
      </w:r>
    </w:p>
    <w:p w14:paraId="49FA831F" w14:textId="77777777" w:rsidR="00660978" w:rsidRPr="00CB1C46" w:rsidRDefault="00660978" w:rsidP="00660978">
      <w:pPr>
        <w:pStyle w:val="Table"/>
        <w:rPr>
          <w:rFonts w:cs="Calibri"/>
        </w:rPr>
      </w:pPr>
      <w:bookmarkStart w:id="322" w:name="_Toc68786409"/>
      <w:bookmarkStart w:id="323" w:name="_Toc99659217"/>
      <w:r w:rsidRPr="00CB1C46">
        <w:rPr>
          <w:rFonts w:cs="Calibri"/>
        </w:rPr>
        <w:t xml:space="preserve">Table 3.3.5 </w:t>
      </w:r>
      <w:r w:rsidRPr="00CB1C46">
        <w:rPr>
          <w:rFonts w:cs="Calibri"/>
        </w:rPr>
        <w:tab/>
        <w:t>Energy intensity values used to disaggregate liquid fuel use for manufacturing (gigajoules </w:t>
      </w:r>
      <w:r w:rsidRPr="00CB1C46">
        <w:t>per </w:t>
      </w:r>
      <w:r w:rsidRPr="00CB1C46">
        <w:rPr>
          <w:rFonts w:cs="Calibri"/>
        </w:rPr>
        <w:t>gross domestic product index)</w:t>
      </w:r>
      <w:bookmarkEnd w:id="322"/>
      <w:bookmarkEnd w:id="323"/>
    </w:p>
    <w:tbl>
      <w:tblPr>
        <w:tblW w:w="8505" w:type="dxa"/>
        <w:tblInd w:w="113"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3131"/>
        <w:gridCol w:w="1629"/>
        <w:gridCol w:w="1791"/>
        <w:gridCol w:w="1954"/>
      </w:tblGrid>
      <w:tr w:rsidR="00660978" w:rsidRPr="00CB1C46" w14:paraId="6ADAA3CC" w14:textId="77777777" w:rsidTr="004873FC">
        <w:trPr>
          <w:tblHeader/>
        </w:trPr>
        <w:tc>
          <w:tcPr>
            <w:tcW w:w="2727" w:type="dxa"/>
            <w:shd w:val="clear" w:color="auto" w:fill="1B556B"/>
          </w:tcPr>
          <w:p w14:paraId="2A85210B" w14:textId="77777777" w:rsidR="00660978" w:rsidRPr="0046789F" w:rsidRDefault="00660978" w:rsidP="00712ED9">
            <w:pPr>
              <w:pStyle w:val="TableTextBold"/>
              <w:spacing w:before="50" w:after="50"/>
              <w:rPr>
                <w:noProof w:val="0"/>
                <w:color w:val="FFFFFF"/>
              </w:rPr>
            </w:pPr>
            <w:r w:rsidRPr="0046789F">
              <w:rPr>
                <w:noProof w:val="0"/>
                <w:color w:val="FFFFFF"/>
              </w:rPr>
              <w:t>Category</w:t>
            </w:r>
          </w:p>
        </w:tc>
        <w:tc>
          <w:tcPr>
            <w:tcW w:w="1418" w:type="dxa"/>
            <w:shd w:val="clear" w:color="auto" w:fill="1B556B"/>
          </w:tcPr>
          <w:p w14:paraId="5051623C" w14:textId="77777777" w:rsidR="00660978" w:rsidRPr="0046789F" w:rsidRDefault="00660978" w:rsidP="00712ED9">
            <w:pPr>
              <w:pStyle w:val="TableTextBold"/>
              <w:spacing w:before="50" w:after="50"/>
              <w:jc w:val="center"/>
              <w:rPr>
                <w:noProof w:val="0"/>
                <w:color w:val="FFFFFF"/>
              </w:rPr>
            </w:pPr>
            <w:r w:rsidRPr="0046789F">
              <w:rPr>
                <w:noProof w:val="0"/>
                <w:color w:val="FFFFFF"/>
              </w:rPr>
              <w:t>Petrol</w:t>
            </w:r>
          </w:p>
        </w:tc>
        <w:tc>
          <w:tcPr>
            <w:tcW w:w="1559" w:type="dxa"/>
            <w:shd w:val="clear" w:color="auto" w:fill="1B556B"/>
          </w:tcPr>
          <w:p w14:paraId="5D327D53" w14:textId="77777777" w:rsidR="00660978" w:rsidRPr="0046789F" w:rsidRDefault="00660978" w:rsidP="00712ED9">
            <w:pPr>
              <w:pStyle w:val="TableTextBold"/>
              <w:spacing w:before="50" w:after="50"/>
              <w:jc w:val="center"/>
              <w:rPr>
                <w:noProof w:val="0"/>
                <w:color w:val="FFFFFF"/>
              </w:rPr>
            </w:pPr>
            <w:r w:rsidRPr="0046789F">
              <w:rPr>
                <w:noProof w:val="0"/>
                <w:color w:val="FFFFFF"/>
              </w:rPr>
              <w:t>Diesel</w:t>
            </w:r>
          </w:p>
        </w:tc>
        <w:tc>
          <w:tcPr>
            <w:tcW w:w="1701" w:type="dxa"/>
            <w:shd w:val="clear" w:color="auto" w:fill="1B556B"/>
          </w:tcPr>
          <w:p w14:paraId="74FEB7B5" w14:textId="77777777" w:rsidR="00660978" w:rsidRPr="0046789F" w:rsidRDefault="00660978" w:rsidP="00712ED9">
            <w:pPr>
              <w:pStyle w:val="TableTextBold"/>
              <w:spacing w:before="50" w:after="50"/>
              <w:jc w:val="center"/>
              <w:rPr>
                <w:noProof w:val="0"/>
                <w:color w:val="FFFFFF"/>
              </w:rPr>
            </w:pPr>
            <w:r w:rsidRPr="0046789F">
              <w:rPr>
                <w:noProof w:val="0"/>
                <w:color w:val="FFFFFF"/>
              </w:rPr>
              <w:t>Fuel Oil</w:t>
            </w:r>
          </w:p>
        </w:tc>
      </w:tr>
      <w:tr w:rsidR="00660978" w:rsidRPr="00CB1C46" w14:paraId="441F545A" w14:textId="77777777" w:rsidTr="004873FC">
        <w:tc>
          <w:tcPr>
            <w:tcW w:w="2727" w:type="dxa"/>
            <w:shd w:val="clear" w:color="auto" w:fill="auto"/>
          </w:tcPr>
          <w:p w14:paraId="60CAAB7D" w14:textId="77777777" w:rsidR="00660978" w:rsidRPr="00CB1C46" w:rsidRDefault="00660978" w:rsidP="00712ED9">
            <w:pPr>
              <w:pStyle w:val="TableText"/>
              <w:spacing w:before="50" w:after="50"/>
            </w:pPr>
            <w:r w:rsidRPr="00CB1C46">
              <w:t>Mining</w:t>
            </w:r>
          </w:p>
        </w:tc>
        <w:tc>
          <w:tcPr>
            <w:tcW w:w="1418" w:type="dxa"/>
            <w:shd w:val="clear" w:color="auto" w:fill="auto"/>
          </w:tcPr>
          <w:p w14:paraId="5A21C748" w14:textId="77777777" w:rsidR="00660978" w:rsidRPr="00CB1C46" w:rsidRDefault="00660978" w:rsidP="00712ED9">
            <w:pPr>
              <w:pStyle w:val="TableText"/>
              <w:tabs>
                <w:tab w:val="decimal" w:pos="27"/>
              </w:tabs>
              <w:spacing w:before="50" w:after="50"/>
              <w:jc w:val="center"/>
            </w:pPr>
            <w:r w:rsidRPr="00CB1C46">
              <w:t>2.4</w:t>
            </w:r>
          </w:p>
        </w:tc>
        <w:tc>
          <w:tcPr>
            <w:tcW w:w="1559" w:type="dxa"/>
          </w:tcPr>
          <w:p w14:paraId="5CE6EC12" w14:textId="77777777" w:rsidR="00660978" w:rsidRPr="00CB1C46" w:rsidRDefault="00660978" w:rsidP="00712ED9">
            <w:pPr>
              <w:pStyle w:val="TableText"/>
              <w:tabs>
                <w:tab w:val="decimal" w:pos="244"/>
              </w:tabs>
              <w:spacing w:before="50" w:after="50"/>
              <w:jc w:val="center"/>
            </w:pPr>
            <w:r w:rsidRPr="00CB1C46">
              <w:t>1,117.9</w:t>
            </w:r>
          </w:p>
        </w:tc>
        <w:tc>
          <w:tcPr>
            <w:tcW w:w="1701" w:type="dxa"/>
            <w:shd w:val="clear" w:color="auto" w:fill="auto"/>
          </w:tcPr>
          <w:p w14:paraId="21FB635B" w14:textId="77777777" w:rsidR="00660978" w:rsidRPr="00CB1C46" w:rsidRDefault="00660978" w:rsidP="00712ED9">
            <w:pPr>
              <w:pStyle w:val="TableText"/>
              <w:tabs>
                <w:tab w:val="decimal" w:pos="147"/>
              </w:tabs>
              <w:spacing w:before="50" w:after="50"/>
              <w:jc w:val="center"/>
            </w:pPr>
            <w:r w:rsidRPr="00CB1C46">
              <w:t>19.6</w:t>
            </w:r>
          </w:p>
        </w:tc>
      </w:tr>
      <w:tr w:rsidR="00660978" w:rsidRPr="00CB1C46" w14:paraId="25785D79" w14:textId="77777777" w:rsidTr="004873FC">
        <w:tc>
          <w:tcPr>
            <w:tcW w:w="2727" w:type="dxa"/>
            <w:shd w:val="clear" w:color="auto" w:fill="auto"/>
          </w:tcPr>
          <w:p w14:paraId="00F3E6AD" w14:textId="77777777" w:rsidR="00660978" w:rsidRPr="00CB1C46" w:rsidRDefault="00660978" w:rsidP="00712ED9">
            <w:pPr>
              <w:pStyle w:val="TableText"/>
              <w:spacing w:before="50" w:after="50"/>
            </w:pPr>
            <w:r w:rsidRPr="00CB1C46">
              <w:t xml:space="preserve">Building and construction </w:t>
            </w:r>
          </w:p>
        </w:tc>
        <w:tc>
          <w:tcPr>
            <w:tcW w:w="1418" w:type="dxa"/>
            <w:shd w:val="clear" w:color="auto" w:fill="auto"/>
          </w:tcPr>
          <w:p w14:paraId="27E5367E" w14:textId="77777777" w:rsidR="00660978" w:rsidRPr="00CB1C46" w:rsidRDefault="00660978" w:rsidP="00712ED9">
            <w:pPr>
              <w:pStyle w:val="TableText"/>
              <w:tabs>
                <w:tab w:val="decimal" w:pos="27"/>
              </w:tabs>
              <w:spacing w:before="50" w:after="50"/>
              <w:jc w:val="center"/>
            </w:pPr>
            <w:r w:rsidRPr="00CB1C46">
              <w:t>30.5</w:t>
            </w:r>
          </w:p>
        </w:tc>
        <w:tc>
          <w:tcPr>
            <w:tcW w:w="1559" w:type="dxa"/>
          </w:tcPr>
          <w:p w14:paraId="1F6849BB" w14:textId="77777777" w:rsidR="00660978" w:rsidRPr="00CB1C46" w:rsidRDefault="00660978" w:rsidP="00712ED9">
            <w:pPr>
              <w:pStyle w:val="TableText"/>
              <w:tabs>
                <w:tab w:val="decimal" w:pos="244"/>
              </w:tabs>
              <w:spacing w:before="50" w:after="50"/>
              <w:jc w:val="center"/>
            </w:pPr>
            <w:r w:rsidRPr="00CB1C46">
              <w:t>334.8</w:t>
            </w:r>
          </w:p>
        </w:tc>
        <w:tc>
          <w:tcPr>
            <w:tcW w:w="1701" w:type="dxa"/>
            <w:shd w:val="clear" w:color="auto" w:fill="auto"/>
          </w:tcPr>
          <w:p w14:paraId="7EE1549F" w14:textId="77777777" w:rsidR="00660978" w:rsidRPr="00CB1C46" w:rsidRDefault="00660978" w:rsidP="00712ED9">
            <w:pPr>
              <w:pStyle w:val="TableText"/>
              <w:tabs>
                <w:tab w:val="decimal" w:pos="147"/>
              </w:tabs>
              <w:spacing w:before="50" w:after="50"/>
              <w:jc w:val="center"/>
            </w:pPr>
            <w:r w:rsidRPr="00CB1C46">
              <w:t>2.7</w:t>
            </w:r>
          </w:p>
        </w:tc>
      </w:tr>
      <w:tr w:rsidR="00660978" w:rsidRPr="00CB1C46" w14:paraId="428E415A" w14:textId="77777777" w:rsidTr="004873FC">
        <w:tc>
          <w:tcPr>
            <w:tcW w:w="2727" w:type="dxa"/>
            <w:shd w:val="clear" w:color="auto" w:fill="auto"/>
          </w:tcPr>
          <w:p w14:paraId="15A6B703" w14:textId="77777777" w:rsidR="00660978" w:rsidRPr="00CB1C46" w:rsidRDefault="00660978" w:rsidP="00712ED9">
            <w:pPr>
              <w:pStyle w:val="TableText"/>
              <w:spacing w:before="50" w:after="50"/>
            </w:pPr>
            <w:r w:rsidRPr="00CB1C46">
              <w:t>Food processing</w:t>
            </w:r>
          </w:p>
        </w:tc>
        <w:tc>
          <w:tcPr>
            <w:tcW w:w="1418" w:type="dxa"/>
            <w:shd w:val="clear" w:color="auto" w:fill="auto"/>
          </w:tcPr>
          <w:p w14:paraId="37C7AF94" w14:textId="77777777" w:rsidR="00660978" w:rsidRPr="00CB1C46" w:rsidRDefault="00660978" w:rsidP="00712ED9">
            <w:pPr>
              <w:pStyle w:val="TableText"/>
              <w:tabs>
                <w:tab w:val="decimal" w:pos="27"/>
              </w:tabs>
              <w:spacing w:before="50" w:after="50"/>
              <w:jc w:val="center"/>
            </w:pPr>
            <w:r w:rsidRPr="00CB1C46">
              <w:t>1.4</w:t>
            </w:r>
          </w:p>
        </w:tc>
        <w:tc>
          <w:tcPr>
            <w:tcW w:w="1559" w:type="dxa"/>
          </w:tcPr>
          <w:p w14:paraId="02A7912B" w14:textId="77777777" w:rsidR="00660978" w:rsidRPr="00CB1C46" w:rsidRDefault="00660978" w:rsidP="00712ED9">
            <w:pPr>
              <w:pStyle w:val="TableText"/>
              <w:tabs>
                <w:tab w:val="decimal" w:pos="244"/>
              </w:tabs>
              <w:spacing w:before="50" w:after="50"/>
              <w:jc w:val="center"/>
            </w:pPr>
            <w:r w:rsidRPr="00CB1C46">
              <w:t>475.6</w:t>
            </w:r>
          </w:p>
        </w:tc>
        <w:tc>
          <w:tcPr>
            <w:tcW w:w="1701" w:type="dxa"/>
            <w:shd w:val="clear" w:color="auto" w:fill="auto"/>
          </w:tcPr>
          <w:p w14:paraId="7178CE46" w14:textId="77777777" w:rsidR="00660978" w:rsidRPr="00CB1C46" w:rsidRDefault="00660978" w:rsidP="00712ED9">
            <w:pPr>
              <w:pStyle w:val="TableText"/>
              <w:tabs>
                <w:tab w:val="decimal" w:pos="147"/>
              </w:tabs>
              <w:spacing w:before="50" w:after="50"/>
              <w:jc w:val="center"/>
            </w:pPr>
            <w:r w:rsidRPr="00CB1C46">
              <w:t>243.5</w:t>
            </w:r>
          </w:p>
        </w:tc>
      </w:tr>
      <w:tr w:rsidR="00660978" w:rsidRPr="00CB1C46" w14:paraId="6C10DB3D" w14:textId="77777777" w:rsidTr="004873FC">
        <w:tc>
          <w:tcPr>
            <w:tcW w:w="2727" w:type="dxa"/>
            <w:shd w:val="clear" w:color="auto" w:fill="auto"/>
          </w:tcPr>
          <w:p w14:paraId="666DF614" w14:textId="77777777" w:rsidR="00660978" w:rsidRPr="00CB1C46" w:rsidRDefault="00660978" w:rsidP="00712ED9">
            <w:pPr>
              <w:pStyle w:val="TableText"/>
              <w:spacing w:before="50" w:after="50"/>
            </w:pPr>
            <w:r w:rsidRPr="00CB1C46">
              <w:t>Textiles</w:t>
            </w:r>
          </w:p>
        </w:tc>
        <w:tc>
          <w:tcPr>
            <w:tcW w:w="1418" w:type="dxa"/>
            <w:shd w:val="clear" w:color="auto" w:fill="auto"/>
          </w:tcPr>
          <w:p w14:paraId="23865C0C" w14:textId="77777777" w:rsidR="00660978" w:rsidRPr="00CB1C46" w:rsidRDefault="00660978" w:rsidP="00712ED9">
            <w:pPr>
              <w:pStyle w:val="TableText"/>
              <w:tabs>
                <w:tab w:val="decimal" w:pos="27"/>
              </w:tabs>
              <w:spacing w:before="50" w:after="50"/>
              <w:jc w:val="center"/>
            </w:pPr>
            <w:r w:rsidRPr="00CB1C46">
              <w:t>0.9</w:t>
            </w:r>
          </w:p>
        </w:tc>
        <w:tc>
          <w:tcPr>
            <w:tcW w:w="1559" w:type="dxa"/>
          </w:tcPr>
          <w:p w14:paraId="7485F8B8" w14:textId="77777777" w:rsidR="00660978" w:rsidRPr="00CB1C46" w:rsidRDefault="00660978" w:rsidP="00712ED9">
            <w:pPr>
              <w:pStyle w:val="TableText"/>
              <w:tabs>
                <w:tab w:val="decimal" w:pos="244"/>
              </w:tabs>
              <w:spacing w:before="50" w:after="50"/>
              <w:jc w:val="center"/>
            </w:pPr>
            <w:r w:rsidRPr="00CB1C46">
              <w:t>12.8</w:t>
            </w:r>
          </w:p>
        </w:tc>
        <w:tc>
          <w:tcPr>
            <w:tcW w:w="1701" w:type="dxa"/>
            <w:shd w:val="clear" w:color="auto" w:fill="auto"/>
          </w:tcPr>
          <w:p w14:paraId="52A3AC2B" w14:textId="77777777" w:rsidR="00660978" w:rsidRPr="00CB1C46" w:rsidRDefault="00660978" w:rsidP="00712ED9">
            <w:pPr>
              <w:pStyle w:val="TableText"/>
              <w:tabs>
                <w:tab w:val="decimal" w:pos="147"/>
              </w:tabs>
              <w:spacing w:before="50" w:after="50"/>
              <w:jc w:val="center"/>
            </w:pPr>
            <w:r w:rsidRPr="00CB1C46">
              <w:t>158.6</w:t>
            </w:r>
          </w:p>
        </w:tc>
      </w:tr>
      <w:tr w:rsidR="00660978" w:rsidRPr="00CB1C46" w14:paraId="73A0E4F3" w14:textId="77777777" w:rsidTr="004873FC">
        <w:tc>
          <w:tcPr>
            <w:tcW w:w="2727" w:type="dxa"/>
            <w:shd w:val="clear" w:color="auto" w:fill="auto"/>
          </w:tcPr>
          <w:p w14:paraId="5DB7A965" w14:textId="77777777" w:rsidR="00660978" w:rsidRPr="00CB1C46" w:rsidRDefault="00660978" w:rsidP="00712ED9">
            <w:pPr>
              <w:pStyle w:val="TableText"/>
              <w:spacing w:before="50" w:after="50"/>
            </w:pPr>
            <w:r w:rsidRPr="00CB1C46">
              <w:t>Wood, pulp, paper and printing</w:t>
            </w:r>
          </w:p>
        </w:tc>
        <w:tc>
          <w:tcPr>
            <w:tcW w:w="1418" w:type="dxa"/>
            <w:shd w:val="clear" w:color="auto" w:fill="auto"/>
          </w:tcPr>
          <w:p w14:paraId="69EA79CE" w14:textId="77777777" w:rsidR="00660978" w:rsidRPr="00CB1C46" w:rsidRDefault="00660978" w:rsidP="00712ED9">
            <w:pPr>
              <w:pStyle w:val="TableText"/>
              <w:tabs>
                <w:tab w:val="decimal" w:pos="27"/>
              </w:tabs>
              <w:spacing w:before="50" w:after="50"/>
              <w:jc w:val="center"/>
            </w:pPr>
            <w:r w:rsidRPr="00CB1C46">
              <w:t>1.1</w:t>
            </w:r>
          </w:p>
        </w:tc>
        <w:tc>
          <w:tcPr>
            <w:tcW w:w="1559" w:type="dxa"/>
          </w:tcPr>
          <w:p w14:paraId="634FC62D" w14:textId="77777777" w:rsidR="00660978" w:rsidRPr="00CB1C46" w:rsidRDefault="00660978" w:rsidP="00712ED9">
            <w:pPr>
              <w:pStyle w:val="TableText"/>
              <w:tabs>
                <w:tab w:val="decimal" w:pos="244"/>
              </w:tabs>
              <w:spacing w:before="50" w:after="50"/>
              <w:jc w:val="center"/>
            </w:pPr>
            <w:r w:rsidRPr="00CB1C46">
              <w:t>199.5</w:t>
            </w:r>
          </w:p>
        </w:tc>
        <w:tc>
          <w:tcPr>
            <w:tcW w:w="1701" w:type="dxa"/>
            <w:shd w:val="clear" w:color="auto" w:fill="auto"/>
          </w:tcPr>
          <w:p w14:paraId="06728D3C" w14:textId="77777777" w:rsidR="00660978" w:rsidRPr="00CB1C46" w:rsidRDefault="00660978" w:rsidP="00712ED9">
            <w:pPr>
              <w:pStyle w:val="TableText"/>
              <w:tabs>
                <w:tab w:val="decimal" w:pos="147"/>
              </w:tabs>
              <w:spacing w:before="50" w:after="50"/>
              <w:jc w:val="center"/>
            </w:pPr>
            <w:r w:rsidRPr="00CB1C46">
              <w:t>43.7</w:t>
            </w:r>
          </w:p>
        </w:tc>
      </w:tr>
      <w:tr w:rsidR="00660978" w:rsidRPr="00CB1C46" w14:paraId="742D4B6A" w14:textId="77777777" w:rsidTr="004873FC">
        <w:tc>
          <w:tcPr>
            <w:tcW w:w="2727" w:type="dxa"/>
            <w:shd w:val="clear" w:color="auto" w:fill="auto"/>
          </w:tcPr>
          <w:p w14:paraId="7E7C3A48" w14:textId="77777777" w:rsidR="00660978" w:rsidRPr="00CB1C46" w:rsidRDefault="00660978" w:rsidP="00712ED9">
            <w:pPr>
              <w:pStyle w:val="TableText"/>
              <w:spacing w:before="50" w:after="50"/>
            </w:pPr>
            <w:r w:rsidRPr="00CB1C46">
              <w:t>Chemicals</w:t>
            </w:r>
          </w:p>
        </w:tc>
        <w:tc>
          <w:tcPr>
            <w:tcW w:w="1418" w:type="dxa"/>
            <w:shd w:val="clear" w:color="auto" w:fill="auto"/>
          </w:tcPr>
          <w:p w14:paraId="7ED4CDAB" w14:textId="77777777" w:rsidR="00660978" w:rsidRPr="00CB1C46" w:rsidRDefault="00660978" w:rsidP="00712ED9">
            <w:pPr>
              <w:pStyle w:val="TableText"/>
              <w:tabs>
                <w:tab w:val="decimal" w:pos="27"/>
              </w:tabs>
              <w:spacing w:before="50" w:after="50"/>
              <w:jc w:val="center"/>
            </w:pPr>
            <w:r w:rsidRPr="00CB1C46">
              <w:t>0.2</w:t>
            </w:r>
          </w:p>
        </w:tc>
        <w:tc>
          <w:tcPr>
            <w:tcW w:w="1559" w:type="dxa"/>
          </w:tcPr>
          <w:p w14:paraId="44E32084" w14:textId="77777777" w:rsidR="00660978" w:rsidRPr="00CB1C46" w:rsidRDefault="00660978" w:rsidP="00712ED9">
            <w:pPr>
              <w:pStyle w:val="TableText"/>
              <w:tabs>
                <w:tab w:val="decimal" w:pos="244"/>
              </w:tabs>
              <w:spacing w:before="50" w:after="50"/>
              <w:jc w:val="center"/>
            </w:pPr>
            <w:r w:rsidRPr="00CB1C46">
              <w:t>36.3</w:t>
            </w:r>
          </w:p>
        </w:tc>
        <w:tc>
          <w:tcPr>
            <w:tcW w:w="1701" w:type="dxa"/>
            <w:shd w:val="clear" w:color="auto" w:fill="auto"/>
          </w:tcPr>
          <w:p w14:paraId="58634A7C" w14:textId="77777777" w:rsidR="00660978" w:rsidRPr="00CB1C46" w:rsidRDefault="00660978" w:rsidP="00712ED9">
            <w:pPr>
              <w:pStyle w:val="TableText"/>
              <w:tabs>
                <w:tab w:val="decimal" w:pos="147"/>
              </w:tabs>
              <w:spacing w:before="50" w:after="50"/>
              <w:jc w:val="center"/>
            </w:pPr>
            <w:r w:rsidRPr="00CB1C46">
              <w:t>2.0</w:t>
            </w:r>
          </w:p>
        </w:tc>
      </w:tr>
      <w:tr w:rsidR="00660978" w:rsidRPr="00CB1C46" w14:paraId="2E23C731" w14:textId="77777777" w:rsidTr="004873FC">
        <w:tc>
          <w:tcPr>
            <w:tcW w:w="2727" w:type="dxa"/>
            <w:shd w:val="clear" w:color="auto" w:fill="auto"/>
          </w:tcPr>
          <w:p w14:paraId="08B30F95" w14:textId="77777777" w:rsidR="00660978" w:rsidRPr="00CB1C46" w:rsidRDefault="00660978" w:rsidP="00712ED9">
            <w:pPr>
              <w:pStyle w:val="TableText"/>
              <w:spacing w:before="50" w:after="50"/>
            </w:pPr>
            <w:r w:rsidRPr="00CB1C46">
              <w:t>Non-metallic minerals</w:t>
            </w:r>
          </w:p>
        </w:tc>
        <w:tc>
          <w:tcPr>
            <w:tcW w:w="1418" w:type="dxa"/>
            <w:shd w:val="clear" w:color="auto" w:fill="auto"/>
          </w:tcPr>
          <w:p w14:paraId="58697429" w14:textId="77777777" w:rsidR="00660978" w:rsidRPr="00CB1C46" w:rsidRDefault="00660978" w:rsidP="00712ED9">
            <w:pPr>
              <w:pStyle w:val="TableText"/>
              <w:tabs>
                <w:tab w:val="decimal" w:pos="27"/>
              </w:tabs>
              <w:spacing w:before="50" w:after="50"/>
              <w:jc w:val="center"/>
            </w:pPr>
            <w:r w:rsidRPr="00CB1C46">
              <w:t>0.7</w:t>
            </w:r>
          </w:p>
        </w:tc>
        <w:tc>
          <w:tcPr>
            <w:tcW w:w="1559" w:type="dxa"/>
          </w:tcPr>
          <w:p w14:paraId="609A291A" w14:textId="77777777" w:rsidR="00660978" w:rsidRPr="00CB1C46" w:rsidRDefault="00660978" w:rsidP="00712ED9">
            <w:pPr>
              <w:pStyle w:val="TableText"/>
              <w:tabs>
                <w:tab w:val="decimal" w:pos="244"/>
              </w:tabs>
              <w:spacing w:before="50" w:after="50"/>
              <w:jc w:val="center"/>
            </w:pPr>
            <w:r w:rsidRPr="00CB1C46">
              <w:t>587.4</w:t>
            </w:r>
          </w:p>
        </w:tc>
        <w:tc>
          <w:tcPr>
            <w:tcW w:w="1701" w:type="dxa"/>
            <w:shd w:val="clear" w:color="auto" w:fill="auto"/>
          </w:tcPr>
          <w:p w14:paraId="1527ACFB" w14:textId="77777777" w:rsidR="00660978" w:rsidRPr="00CB1C46" w:rsidRDefault="00660978" w:rsidP="00712ED9">
            <w:pPr>
              <w:pStyle w:val="TableText"/>
              <w:tabs>
                <w:tab w:val="decimal" w:pos="147"/>
              </w:tabs>
              <w:spacing w:before="50" w:after="50"/>
              <w:jc w:val="center"/>
            </w:pPr>
            <w:r w:rsidRPr="00CB1C46">
              <w:t>263.9</w:t>
            </w:r>
          </w:p>
        </w:tc>
      </w:tr>
      <w:tr w:rsidR="00660978" w:rsidRPr="00CB1C46" w14:paraId="3D81754B" w14:textId="77777777" w:rsidTr="004873FC">
        <w:tc>
          <w:tcPr>
            <w:tcW w:w="2727" w:type="dxa"/>
            <w:shd w:val="clear" w:color="auto" w:fill="auto"/>
          </w:tcPr>
          <w:p w14:paraId="2D9D6A82" w14:textId="77777777" w:rsidR="00660978" w:rsidRPr="00CB1C46" w:rsidRDefault="00660978" w:rsidP="00712ED9">
            <w:pPr>
              <w:pStyle w:val="TableText"/>
              <w:spacing w:before="50" w:after="50"/>
            </w:pPr>
            <w:r w:rsidRPr="00CB1C46">
              <w:t>Basic metals</w:t>
            </w:r>
          </w:p>
        </w:tc>
        <w:tc>
          <w:tcPr>
            <w:tcW w:w="1418" w:type="dxa"/>
            <w:shd w:val="clear" w:color="auto" w:fill="auto"/>
          </w:tcPr>
          <w:p w14:paraId="0B0BD08D" w14:textId="77777777" w:rsidR="00660978" w:rsidRPr="00CB1C46" w:rsidRDefault="00660978" w:rsidP="00712ED9">
            <w:pPr>
              <w:pStyle w:val="TableText"/>
              <w:tabs>
                <w:tab w:val="decimal" w:pos="27"/>
              </w:tabs>
              <w:spacing w:before="50" w:after="50"/>
              <w:jc w:val="center"/>
            </w:pPr>
            <w:r w:rsidRPr="00CB1C46">
              <w:t>1.2</w:t>
            </w:r>
          </w:p>
        </w:tc>
        <w:tc>
          <w:tcPr>
            <w:tcW w:w="1559" w:type="dxa"/>
          </w:tcPr>
          <w:p w14:paraId="5F4C6419" w14:textId="77777777" w:rsidR="00660978" w:rsidRPr="00CB1C46" w:rsidRDefault="00660978" w:rsidP="00712ED9">
            <w:pPr>
              <w:pStyle w:val="TableText"/>
              <w:tabs>
                <w:tab w:val="decimal" w:pos="244"/>
              </w:tabs>
              <w:spacing w:before="50" w:after="50"/>
              <w:jc w:val="center"/>
            </w:pPr>
            <w:r w:rsidRPr="00CB1C46">
              <w:t>88.1</w:t>
            </w:r>
          </w:p>
        </w:tc>
        <w:tc>
          <w:tcPr>
            <w:tcW w:w="1701" w:type="dxa"/>
            <w:shd w:val="clear" w:color="auto" w:fill="auto"/>
          </w:tcPr>
          <w:p w14:paraId="10A8F9BD" w14:textId="77777777" w:rsidR="00660978" w:rsidRPr="00CB1C46" w:rsidRDefault="00660978" w:rsidP="00712ED9">
            <w:pPr>
              <w:pStyle w:val="TableText"/>
              <w:tabs>
                <w:tab w:val="decimal" w:pos="147"/>
              </w:tabs>
              <w:spacing w:before="50" w:after="50"/>
              <w:jc w:val="center"/>
            </w:pPr>
            <w:r w:rsidRPr="00CB1C46">
              <w:t>0.4</w:t>
            </w:r>
          </w:p>
        </w:tc>
      </w:tr>
      <w:tr w:rsidR="00660978" w:rsidRPr="00CB1C46" w14:paraId="6A4A45B4" w14:textId="77777777" w:rsidTr="004873FC">
        <w:tc>
          <w:tcPr>
            <w:tcW w:w="2727" w:type="dxa"/>
            <w:shd w:val="clear" w:color="auto" w:fill="auto"/>
          </w:tcPr>
          <w:p w14:paraId="2A7D897A" w14:textId="77777777" w:rsidR="00660978" w:rsidRPr="00CB1C46" w:rsidRDefault="00660978" w:rsidP="00712ED9">
            <w:pPr>
              <w:pStyle w:val="TableText"/>
              <w:spacing w:before="50" w:after="50"/>
            </w:pPr>
            <w:r w:rsidRPr="00CB1C46">
              <w:t>Mechanical/electrical equipment</w:t>
            </w:r>
          </w:p>
        </w:tc>
        <w:tc>
          <w:tcPr>
            <w:tcW w:w="1418" w:type="dxa"/>
            <w:shd w:val="clear" w:color="auto" w:fill="auto"/>
          </w:tcPr>
          <w:p w14:paraId="2D0FCEE2" w14:textId="77777777" w:rsidR="00660978" w:rsidRPr="00CB1C46" w:rsidRDefault="00660978" w:rsidP="00712ED9">
            <w:pPr>
              <w:pStyle w:val="TableText"/>
              <w:tabs>
                <w:tab w:val="decimal" w:pos="27"/>
              </w:tabs>
              <w:spacing w:before="50" w:after="50"/>
              <w:jc w:val="center"/>
            </w:pPr>
            <w:r w:rsidRPr="00CB1C46">
              <w:t>2.6</w:t>
            </w:r>
          </w:p>
        </w:tc>
        <w:tc>
          <w:tcPr>
            <w:tcW w:w="1559" w:type="dxa"/>
          </w:tcPr>
          <w:p w14:paraId="52808B78" w14:textId="77777777" w:rsidR="00660978" w:rsidRPr="00CB1C46" w:rsidRDefault="00660978" w:rsidP="00712ED9">
            <w:pPr>
              <w:pStyle w:val="TableText"/>
              <w:tabs>
                <w:tab w:val="decimal" w:pos="244"/>
              </w:tabs>
              <w:spacing w:before="50" w:after="50"/>
              <w:jc w:val="center"/>
            </w:pPr>
            <w:r w:rsidRPr="00CB1C46">
              <w:t>23.6</w:t>
            </w:r>
          </w:p>
        </w:tc>
        <w:tc>
          <w:tcPr>
            <w:tcW w:w="1701" w:type="dxa"/>
            <w:shd w:val="clear" w:color="auto" w:fill="auto"/>
          </w:tcPr>
          <w:p w14:paraId="28734C7E" w14:textId="77777777" w:rsidR="00660978" w:rsidRPr="00CB1C46" w:rsidRDefault="00660978" w:rsidP="00712ED9">
            <w:pPr>
              <w:pStyle w:val="TableText"/>
              <w:tabs>
                <w:tab w:val="decimal" w:pos="147"/>
              </w:tabs>
              <w:spacing w:before="50" w:after="50"/>
              <w:jc w:val="center"/>
            </w:pPr>
            <w:r w:rsidRPr="00CB1C46">
              <w:t>0.9</w:t>
            </w:r>
          </w:p>
        </w:tc>
      </w:tr>
      <w:tr w:rsidR="00660978" w:rsidRPr="00CB1C46" w14:paraId="2EC3E6B7" w14:textId="77777777" w:rsidTr="004873FC">
        <w:tc>
          <w:tcPr>
            <w:tcW w:w="2727" w:type="dxa"/>
            <w:shd w:val="clear" w:color="auto" w:fill="auto"/>
          </w:tcPr>
          <w:p w14:paraId="3E60F29E" w14:textId="77777777" w:rsidR="00660978" w:rsidRPr="00CB1C46" w:rsidRDefault="00660978" w:rsidP="00712ED9">
            <w:pPr>
              <w:pStyle w:val="TableText"/>
              <w:spacing w:before="50" w:after="50"/>
            </w:pPr>
            <w:r w:rsidRPr="00CB1C46">
              <w:t>Industry unallocated</w:t>
            </w:r>
          </w:p>
        </w:tc>
        <w:tc>
          <w:tcPr>
            <w:tcW w:w="1418" w:type="dxa"/>
            <w:shd w:val="clear" w:color="auto" w:fill="auto"/>
          </w:tcPr>
          <w:p w14:paraId="28486447" w14:textId="77777777" w:rsidR="00660978" w:rsidRPr="00CB1C46" w:rsidRDefault="00660978" w:rsidP="00712ED9">
            <w:pPr>
              <w:pStyle w:val="TableText"/>
              <w:tabs>
                <w:tab w:val="decimal" w:pos="27"/>
              </w:tabs>
              <w:spacing w:before="50" w:after="50"/>
              <w:jc w:val="center"/>
            </w:pPr>
            <w:r w:rsidRPr="00CB1C46">
              <w:t>0.7</w:t>
            </w:r>
          </w:p>
        </w:tc>
        <w:tc>
          <w:tcPr>
            <w:tcW w:w="1559" w:type="dxa"/>
          </w:tcPr>
          <w:p w14:paraId="7C3BB934" w14:textId="77777777" w:rsidR="00660978" w:rsidRPr="00CB1C46" w:rsidRDefault="00660978" w:rsidP="00712ED9">
            <w:pPr>
              <w:pStyle w:val="TableText"/>
              <w:tabs>
                <w:tab w:val="decimal" w:pos="244"/>
              </w:tabs>
              <w:spacing w:before="50" w:after="50"/>
              <w:jc w:val="center"/>
            </w:pPr>
            <w:r w:rsidRPr="00CB1C46">
              <w:t>2.7</w:t>
            </w:r>
          </w:p>
        </w:tc>
        <w:tc>
          <w:tcPr>
            <w:tcW w:w="1701" w:type="dxa"/>
            <w:shd w:val="clear" w:color="auto" w:fill="auto"/>
          </w:tcPr>
          <w:p w14:paraId="1A3CEFB0" w14:textId="77777777" w:rsidR="00660978" w:rsidRPr="00CB1C46" w:rsidRDefault="00660978" w:rsidP="00712ED9">
            <w:pPr>
              <w:pStyle w:val="TableText"/>
              <w:tabs>
                <w:tab w:val="decimal" w:pos="147"/>
              </w:tabs>
              <w:spacing w:before="50" w:after="50"/>
              <w:jc w:val="center"/>
            </w:pPr>
            <w:r w:rsidRPr="00CB1C46">
              <w:t>0.5</w:t>
            </w:r>
          </w:p>
        </w:tc>
      </w:tr>
    </w:tbl>
    <w:p w14:paraId="2C76C1AA" w14:textId="77777777" w:rsidR="00660978" w:rsidRPr="00CB1C46" w:rsidRDefault="00660978" w:rsidP="00660978">
      <w:pPr>
        <w:pStyle w:val="BodyText"/>
        <w:spacing w:before="240"/>
        <w:rPr>
          <w:rFonts w:cs="Calibri"/>
        </w:rPr>
      </w:pPr>
      <w:r w:rsidRPr="00CB1C46">
        <w:rPr>
          <w:rFonts w:cs="Calibri"/>
        </w:rPr>
        <w:t>By disaggregating into categories, more accurate estimates of stationary versus mobile combustion for diesel were also able to be made, resulting in small changes to the emissions from manufacturing industries and construction.</w:t>
      </w:r>
    </w:p>
    <w:p w14:paraId="62F05FA9" w14:textId="5EFD5B19" w:rsidR="00660978" w:rsidRPr="00CB1C46" w:rsidRDefault="00660978" w:rsidP="00660978">
      <w:pPr>
        <w:pStyle w:val="BodyText"/>
        <w:rPr>
          <w:rFonts w:cs="Calibri"/>
        </w:rPr>
      </w:pPr>
      <w:r w:rsidRPr="00CB1C46">
        <w:rPr>
          <w:rFonts w:cs="Calibri"/>
        </w:rPr>
        <w:t xml:space="preserve">Disaggregating the </w:t>
      </w:r>
      <w:r w:rsidRPr="00CB1C46">
        <w:rPr>
          <w:rFonts w:cs="Calibri"/>
          <w:i/>
        </w:rPr>
        <w:t>Manufacturing industries and construction</w:t>
      </w:r>
      <w:r w:rsidRPr="00CB1C46">
        <w:rPr>
          <w:rFonts w:cs="Calibri"/>
        </w:rPr>
        <w:t xml:space="preserve"> category for solid fuels, solid biomass, gasoline and diesel has led to a significant decrease in the </w:t>
      </w:r>
      <w:r w:rsidRPr="00CB1C46">
        <w:rPr>
          <w:rFonts w:cs="Calibri"/>
          <w:i/>
        </w:rPr>
        <w:t>Other – not specified</w:t>
      </w:r>
      <w:r w:rsidRPr="00CB1C46">
        <w:rPr>
          <w:rFonts w:cs="Calibri"/>
        </w:rPr>
        <w:t xml:space="preserve"> category (1.A.2.g) under </w:t>
      </w:r>
      <w:r w:rsidRPr="00CB1C46">
        <w:rPr>
          <w:rFonts w:cs="Calibri"/>
          <w:i/>
        </w:rPr>
        <w:t>Manufacturing industries and construction</w:t>
      </w:r>
      <w:r w:rsidRPr="00CB1C46">
        <w:rPr>
          <w:rFonts w:cs="Calibri"/>
        </w:rPr>
        <w:t>. The proportions are shown in </w:t>
      </w:r>
      <w:r w:rsidRPr="00CB1C46">
        <w:rPr>
          <w:rFonts w:cs="Calibri"/>
        </w:rPr>
        <w:fldChar w:fldCharType="begin"/>
      </w:r>
      <w:r w:rsidRPr="00CB1C46">
        <w:rPr>
          <w:rFonts w:cs="Calibri"/>
        </w:rPr>
        <w:instrText xml:space="preserve"> REF _Ref445300349 \* lower \h  \* MERGEFORMAT </w:instrText>
      </w:r>
      <w:r w:rsidRPr="00CB1C46">
        <w:rPr>
          <w:rFonts w:cs="Calibri"/>
        </w:rPr>
      </w:r>
      <w:r w:rsidRPr="00CB1C46">
        <w:rPr>
          <w:rFonts w:cs="Calibri"/>
        </w:rPr>
        <w:fldChar w:fldCharType="separate"/>
      </w:r>
      <w:r w:rsidR="009D338D" w:rsidRPr="009D338D">
        <w:rPr>
          <w:rFonts w:cs="Calibri"/>
        </w:rPr>
        <w:t>figure 3.3.8</w:t>
      </w:r>
      <w:r w:rsidRPr="00CB1C46">
        <w:rPr>
          <w:rFonts w:cs="Calibri"/>
        </w:rPr>
        <w:fldChar w:fldCharType="end"/>
      </w:r>
      <w:r w:rsidRPr="00CB1C46">
        <w:rPr>
          <w:rFonts w:cs="Calibri"/>
        </w:rPr>
        <w:t xml:space="preserve">, </w:t>
      </w:r>
      <w:r w:rsidRPr="00CB1C46">
        <w:rPr>
          <w:rFonts w:cs="Calibri"/>
        </w:rPr>
        <w:fldChar w:fldCharType="begin"/>
      </w:r>
      <w:r w:rsidRPr="00CB1C46">
        <w:rPr>
          <w:rFonts w:cs="Calibri"/>
        </w:rPr>
        <w:instrText xml:space="preserve"> REF _Ref445300362 \* lower \h  \* MERGEFORMAT </w:instrText>
      </w:r>
      <w:r w:rsidRPr="00CB1C46">
        <w:rPr>
          <w:rFonts w:cs="Calibri"/>
        </w:rPr>
      </w:r>
      <w:r w:rsidRPr="00CB1C46">
        <w:rPr>
          <w:rFonts w:cs="Calibri"/>
        </w:rPr>
        <w:fldChar w:fldCharType="separate"/>
      </w:r>
      <w:r w:rsidR="009D338D" w:rsidRPr="009D338D">
        <w:rPr>
          <w:rFonts w:cs="Calibri"/>
        </w:rPr>
        <w:t>figure 3.3.9</w:t>
      </w:r>
      <w:r w:rsidRPr="00CB1C46">
        <w:rPr>
          <w:rFonts w:cs="Calibri"/>
        </w:rPr>
        <w:fldChar w:fldCharType="end"/>
      </w:r>
      <w:r w:rsidRPr="00CB1C46">
        <w:rPr>
          <w:rFonts w:cs="Calibri"/>
        </w:rPr>
        <w:t xml:space="preserve"> and </w:t>
      </w:r>
      <w:r w:rsidRPr="00CB1C46">
        <w:rPr>
          <w:rFonts w:cs="Calibri"/>
        </w:rPr>
        <w:fldChar w:fldCharType="begin"/>
      </w:r>
      <w:r w:rsidRPr="00CB1C46">
        <w:rPr>
          <w:rFonts w:cs="Calibri"/>
        </w:rPr>
        <w:instrText xml:space="preserve"> REF  _Ref445300369 \* Lower \h  \* MERGEFORMAT </w:instrText>
      </w:r>
      <w:r w:rsidRPr="00CB1C46">
        <w:rPr>
          <w:rFonts w:cs="Calibri"/>
        </w:rPr>
      </w:r>
      <w:r w:rsidRPr="00CB1C46">
        <w:rPr>
          <w:rFonts w:cs="Calibri"/>
        </w:rPr>
        <w:fldChar w:fldCharType="separate"/>
      </w:r>
      <w:r w:rsidR="009D338D" w:rsidRPr="009D338D">
        <w:rPr>
          <w:rFonts w:cs="Calibri"/>
        </w:rPr>
        <w:t>figure 3.3.10</w:t>
      </w:r>
      <w:r w:rsidRPr="00CB1C46">
        <w:rPr>
          <w:rFonts w:cs="Calibri"/>
        </w:rPr>
        <w:fldChar w:fldCharType="end"/>
      </w:r>
      <w:r w:rsidRPr="00CB1C46">
        <w:rPr>
          <w:rFonts w:cs="Calibri"/>
        </w:rPr>
        <w:t>.</w:t>
      </w:r>
    </w:p>
    <w:p w14:paraId="3A92CC7B" w14:textId="2ED99265" w:rsidR="00660978" w:rsidRPr="00CB1C46" w:rsidRDefault="00660978" w:rsidP="00660978">
      <w:pPr>
        <w:pStyle w:val="Figure"/>
        <w:spacing w:after="80"/>
        <w:rPr>
          <w:rFonts w:cs="Calibri"/>
        </w:rPr>
      </w:pPr>
      <w:bookmarkStart w:id="324" w:name="_Ref445300349"/>
      <w:bookmarkStart w:id="325" w:name="_Toc36292777"/>
      <w:bookmarkStart w:id="326" w:name="_Toc321399330"/>
      <w:bookmarkStart w:id="327" w:name="_Toc384582858"/>
      <w:bookmarkStart w:id="328" w:name="_Toc443060818"/>
      <w:bookmarkStart w:id="329" w:name="_Toc447275675"/>
      <w:bookmarkStart w:id="330" w:name="_Toc481751993"/>
      <w:bookmarkStart w:id="331" w:name="_Toc68786642"/>
      <w:bookmarkStart w:id="332" w:name="_Toc95834077"/>
      <w:bookmarkStart w:id="333" w:name="_Toc99696022"/>
      <w:r w:rsidRPr="00CB1C46">
        <w:lastRenderedPageBreak/>
        <w:t>Figure 3.3.</w:t>
      </w:r>
      <w:r w:rsidR="004B48CC">
        <w:fldChar w:fldCharType="begin"/>
      </w:r>
      <w:r w:rsidR="004B48CC">
        <w:instrText xml:space="preserve"> SEQ Figure \* ARABIC \s 2 </w:instrText>
      </w:r>
      <w:r w:rsidR="004B48CC">
        <w:fldChar w:fldCharType="separate"/>
      </w:r>
      <w:r w:rsidR="009D338D">
        <w:rPr>
          <w:noProof/>
        </w:rPr>
        <w:t>8</w:t>
      </w:r>
      <w:r w:rsidR="004B48CC">
        <w:rPr>
          <w:noProof/>
        </w:rPr>
        <w:fldChar w:fldCharType="end"/>
      </w:r>
      <w:bookmarkEnd w:id="324"/>
      <w:r w:rsidRPr="00CB1C46">
        <w:t xml:space="preserve"> </w:t>
      </w:r>
      <w:r w:rsidRPr="00CB1C46">
        <w:tab/>
        <w:t xml:space="preserve">Proportions used for </w:t>
      </w:r>
      <w:r w:rsidRPr="00AF7FAF">
        <w:rPr>
          <w:i/>
          <w:iCs/>
        </w:rPr>
        <w:t>Manufacturing industries and construction</w:t>
      </w:r>
      <w:r w:rsidRPr="00CB1C46">
        <w:t xml:space="preserve"> category</w:t>
      </w:r>
      <w:r w:rsidR="00712ED9">
        <w:br/>
      </w:r>
      <w:r w:rsidRPr="00CB1C46">
        <w:t>–</w:t>
      </w:r>
      <w:r w:rsidR="009B0041">
        <w:t xml:space="preserve"> </w:t>
      </w:r>
      <w:r w:rsidRPr="00CB1C46">
        <w:t>Gasoline from 1990 to 2020</w:t>
      </w:r>
      <w:bookmarkEnd w:id="325"/>
      <w:bookmarkEnd w:id="326"/>
      <w:bookmarkEnd w:id="327"/>
      <w:bookmarkEnd w:id="328"/>
      <w:bookmarkEnd w:id="329"/>
      <w:bookmarkEnd w:id="330"/>
      <w:bookmarkEnd w:id="331"/>
      <w:bookmarkEnd w:id="332"/>
      <w:bookmarkEnd w:id="333"/>
    </w:p>
    <w:p w14:paraId="2CBB6EB7" w14:textId="77777777" w:rsidR="00660978" w:rsidRPr="00CB1C46" w:rsidRDefault="004B48CC" w:rsidP="00660978">
      <w:pPr>
        <w:pStyle w:val="BodyText"/>
      </w:pPr>
      <w:r>
        <w:rPr>
          <w:noProof/>
        </w:rPr>
        <w:pict w14:anchorId="76BB7A36">
          <v:shape id="Picture 31" o:spid="_x0000_i1055" type="#_x0000_t75" style="width:420.3pt;height:191.7pt;visibility:visible;mso-wrap-style:square">
            <v:imagedata r:id="rId67" o:title="" croptop="1570f" cropbottom="3175f"/>
          </v:shape>
        </w:pict>
      </w:r>
    </w:p>
    <w:p w14:paraId="2D9328C4" w14:textId="2632B844" w:rsidR="00660978" w:rsidRPr="00CB1C46" w:rsidRDefault="00660978" w:rsidP="00660978">
      <w:pPr>
        <w:pStyle w:val="Figure"/>
        <w:spacing w:after="80"/>
      </w:pPr>
      <w:bookmarkStart w:id="334" w:name="_Ref445300362"/>
      <w:bookmarkStart w:id="335" w:name="_Toc321399331"/>
      <w:bookmarkStart w:id="336" w:name="_Toc384582859"/>
      <w:bookmarkStart w:id="337" w:name="_Toc443060819"/>
      <w:bookmarkStart w:id="338" w:name="_Toc447275676"/>
      <w:bookmarkStart w:id="339" w:name="_Toc481751994"/>
      <w:bookmarkStart w:id="340" w:name="_Toc36292778"/>
      <w:bookmarkStart w:id="341" w:name="_Toc68786643"/>
      <w:bookmarkStart w:id="342" w:name="_Toc95834078"/>
      <w:bookmarkStart w:id="343" w:name="_Toc99696023"/>
      <w:r w:rsidRPr="00CB1C46">
        <w:t>Figure 3.3.</w:t>
      </w:r>
      <w:r w:rsidR="004B48CC">
        <w:fldChar w:fldCharType="begin"/>
      </w:r>
      <w:r w:rsidR="004B48CC">
        <w:instrText xml:space="preserve"> SEQ Figure \* ARABIC \s 2 </w:instrText>
      </w:r>
      <w:r w:rsidR="004B48CC">
        <w:fldChar w:fldCharType="separate"/>
      </w:r>
      <w:r w:rsidR="009D338D">
        <w:rPr>
          <w:noProof/>
        </w:rPr>
        <w:t>9</w:t>
      </w:r>
      <w:r w:rsidR="004B48CC">
        <w:rPr>
          <w:noProof/>
        </w:rPr>
        <w:fldChar w:fldCharType="end"/>
      </w:r>
      <w:bookmarkEnd w:id="334"/>
      <w:r w:rsidRPr="00CB1C46">
        <w:t xml:space="preserve"> </w:t>
      </w:r>
      <w:r w:rsidRPr="00CB1C46">
        <w:tab/>
      </w:r>
      <w:bookmarkStart w:id="344" w:name="_Hlk66695051"/>
      <w:r w:rsidRPr="00CB1C46">
        <w:t xml:space="preserve">Proportions used for </w:t>
      </w:r>
      <w:r w:rsidRPr="00AF7FAF">
        <w:rPr>
          <w:i/>
          <w:iCs/>
        </w:rPr>
        <w:t>Manufacturing industries and construction</w:t>
      </w:r>
      <w:r w:rsidRPr="00CB1C46">
        <w:t xml:space="preserve"> category</w:t>
      </w:r>
      <w:r w:rsidR="00712ED9">
        <w:br/>
      </w:r>
      <w:r w:rsidRPr="00CB1C46">
        <w:t>–</w:t>
      </w:r>
      <w:r w:rsidR="009B0041">
        <w:t xml:space="preserve"> </w:t>
      </w:r>
      <w:r w:rsidRPr="00CB1C46">
        <w:t xml:space="preserve">Diesel </w:t>
      </w:r>
      <w:bookmarkEnd w:id="335"/>
      <w:bookmarkEnd w:id="336"/>
      <w:bookmarkEnd w:id="337"/>
      <w:bookmarkEnd w:id="338"/>
      <w:bookmarkEnd w:id="339"/>
      <w:r w:rsidRPr="00CB1C46">
        <w:t>from 1990 to 2020</w:t>
      </w:r>
      <w:bookmarkEnd w:id="340"/>
      <w:bookmarkEnd w:id="341"/>
      <w:bookmarkEnd w:id="342"/>
      <w:bookmarkEnd w:id="343"/>
      <w:bookmarkEnd w:id="344"/>
    </w:p>
    <w:p w14:paraId="018FA938" w14:textId="77777777" w:rsidR="00660978" w:rsidRPr="00CB1C46" w:rsidRDefault="004B48CC" w:rsidP="00660978">
      <w:pPr>
        <w:pStyle w:val="BodyText"/>
        <w:rPr>
          <w:rFonts w:cs="Calibri"/>
        </w:rPr>
      </w:pPr>
      <w:r>
        <w:rPr>
          <w:rFonts w:cs="Calibri"/>
          <w:noProof/>
        </w:rPr>
        <w:pict w14:anchorId="114C627B">
          <v:shape id="Picture 32" o:spid="_x0000_i1056" type="#_x0000_t75" style="width:420.3pt;height:191.7pt;visibility:visible;mso-wrap-style:square">
            <v:imagedata r:id="rId68" o:title="" croptop="1674f" cropbottom="3093f"/>
          </v:shape>
        </w:pict>
      </w:r>
    </w:p>
    <w:p w14:paraId="7F5B7DCA" w14:textId="1015BFE9" w:rsidR="00660978" w:rsidRPr="00CB1C46" w:rsidRDefault="00660978" w:rsidP="00660978">
      <w:pPr>
        <w:pStyle w:val="Figure"/>
        <w:spacing w:after="80"/>
      </w:pPr>
      <w:bookmarkStart w:id="345" w:name="_Ref445300369"/>
      <w:bookmarkStart w:id="346" w:name="_Toc384582860"/>
      <w:bookmarkStart w:id="347" w:name="_Toc443060820"/>
      <w:bookmarkStart w:id="348" w:name="_Toc447275677"/>
      <w:bookmarkStart w:id="349" w:name="_Toc481751995"/>
      <w:bookmarkStart w:id="350" w:name="_Toc36292779"/>
      <w:bookmarkStart w:id="351" w:name="_Toc68786644"/>
      <w:bookmarkStart w:id="352" w:name="_Toc95834079"/>
      <w:bookmarkStart w:id="353" w:name="_Toc99696024"/>
      <w:r w:rsidRPr="00CB1C46">
        <w:t>Figure 3.3.</w:t>
      </w:r>
      <w:r w:rsidR="004B48CC">
        <w:fldChar w:fldCharType="begin"/>
      </w:r>
      <w:r w:rsidR="004B48CC">
        <w:instrText xml:space="preserve"> SEQ Figure \* ARABIC \s 2 </w:instrText>
      </w:r>
      <w:r w:rsidR="004B48CC">
        <w:fldChar w:fldCharType="separate"/>
      </w:r>
      <w:r w:rsidR="009D338D">
        <w:rPr>
          <w:noProof/>
        </w:rPr>
        <w:t>10</w:t>
      </w:r>
      <w:r w:rsidR="004B48CC">
        <w:rPr>
          <w:noProof/>
        </w:rPr>
        <w:fldChar w:fldCharType="end"/>
      </w:r>
      <w:bookmarkEnd w:id="345"/>
      <w:r w:rsidRPr="00CB1C46">
        <w:t xml:space="preserve"> </w:t>
      </w:r>
      <w:r w:rsidRPr="00CB1C46">
        <w:tab/>
        <w:t xml:space="preserve">Proportions used for </w:t>
      </w:r>
      <w:r w:rsidRPr="00AF7FAF">
        <w:rPr>
          <w:i/>
          <w:iCs/>
        </w:rPr>
        <w:t>Manufacturing industries and construction</w:t>
      </w:r>
      <w:r w:rsidRPr="00CB1C46">
        <w:t xml:space="preserve"> category</w:t>
      </w:r>
      <w:r w:rsidR="00712ED9">
        <w:br/>
      </w:r>
      <w:r w:rsidRPr="00CB1C46">
        <w:t>–</w:t>
      </w:r>
      <w:r w:rsidR="009B0041">
        <w:t xml:space="preserve"> </w:t>
      </w:r>
      <w:r w:rsidRPr="00CB1C46">
        <w:t xml:space="preserve">Fuel oil </w:t>
      </w:r>
      <w:bookmarkEnd w:id="346"/>
      <w:bookmarkEnd w:id="347"/>
      <w:bookmarkEnd w:id="348"/>
      <w:bookmarkEnd w:id="349"/>
      <w:r w:rsidRPr="00CB1C46">
        <w:t>from 1990 to 2020</w:t>
      </w:r>
      <w:bookmarkEnd w:id="350"/>
      <w:bookmarkEnd w:id="351"/>
      <w:bookmarkEnd w:id="352"/>
      <w:bookmarkEnd w:id="353"/>
    </w:p>
    <w:p w14:paraId="73F5B447" w14:textId="77777777" w:rsidR="00660978" w:rsidRPr="00CB1C46" w:rsidRDefault="004B48CC" w:rsidP="00660978">
      <w:pPr>
        <w:pStyle w:val="BodyText"/>
        <w:spacing w:before="60"/>
        <w:rPr>
          <w:rFonts w:cs="Calibri"/>
        </w:rPr>
      </w:pPr>
      <w:r>
        <w:rPr>
          <w:rFonts w:cs="Calibri"/>
          <w:noProof/>
        </w:rPr>
        <w:pict w14:anchorId="3A6ABBB6">
          <v:shape id="Picture 33" o:spid="_x0000_i1057" type="#_x0000_t75" style="width:420.3pt;height:191.7pt;visibility:visible;mso-wrap-style:square">
            <v:imagedata r:id="rId69" o:title="" croptop="1779f" cropbottom="3367f"/>
          </v:shape>
        </w:pict>
      </w:r>
    </w:p>
    <w:p w14:paraId="341203F3" w14:textId="77777777" w:rsidR="00660978" w:rsidRPr="00CB1C46" w:rsidRDefault="00660978" w:rsidP="00660978">
      <w:pPr>
        <w:pStyle w:val="Heading5"/>
        <w:rPr>
          <w:rFonts w:cs="Calibri"/>
        </w:rPr>
      </w:pPr>
      <w:r w:rsidRPr="00CB1C46">
        <w:rPr>
          <w:rFonts w:cs="Calibri"/>
        </w:rPr>
        <w:lastRenderedPageBreak/>
        <w:t>Gaseous fuels</w:t>
      </w:r>
    </w:p>
    <w:p w14:paraId="322E5A5E" w14:textId="684D742A" w:rsidR="00660978" w:rsidRPr="00CB1C46" w:rsidRDefault="00660978" w:rsidP="00612094">
      <w:pPr>
        <w:pStyle w:val="BodyText"/>
      </w:pPr>
      <w:r w:rsidRPr="00CB1C46">
        <w:t>Annual natural gas consumption statistics are published by MBIE. A review of the allocation of</w:t>
      </w:r>
      <w:r w:rsidR="00712ED9">
        <w:t xml:space="preserve"> </w:t>
      </w:r>
      <w:r w:rsidRPr="00CB1C46">
        <w:t xml:space="preserve">natural gas consumption data was </w:t>
      </w:r>
      <w:r w:rsidRPr="00612094">
        <w:t>undertaken</w:t>
      </w:r>
      <w:r w:rsidRPr="00CB1C46">
        <w:t xml:space="preserve"> in 2011 by MBIE. The purpose of this review was to address time-series discontinuities in the sectoral breakdown for some sectors before</w:t>
      </w:r>
      <w:r>
        <w:t xml:space="preserve"> </w:t>
      </w:r>
      <w:r w:rsidRPr="00CB1C46">
        <w:t>2006. Several inconsistencies in sector reporting were found, along with a considerable amount of missing data for sectoral breakdowns. Inconsistencies from 2003 to 2005 were due to changing surveys over time. Inconsistencies or missing data before 2003 were re</w:t>
      </w:r>
      <w:r w:rsidRPr="00CB1C46">
        <w:noBreakHyphen/>
        <w:t>worked and re-estimated. These missing data comprised around 40 per cent of total natural gas use (which was not altered at a total level but only reallocated by sector).</w:t>
      </w:r>
    </w:p>
    <w:p w14:paraId="374DA0DD" w14:textId="77777777" w:rsidR="00660978" w:rsidRPr="00CB1C46" w:rsidRDefault="00660978" w:rsidP="00612094">
      <w:pPr>
        <w:pStyle w:val="BodyText"/>
      </w:pPr>
      <w:r w:rsidRPr="00CB1C46">
        <w:t xml:space="preserve">Where necessary, new estimates of gas consumption were made, depending on data availability. The chosen data source in order of </w:t>
      </w:r>
      <w:r w:rsidRPr="00612094">
        <w:t>preference</w:t>
      </w:r>
      <w:r w:rsidRPr="00CB1C46">
        <w:t xml:space="preserve"> was as follows.</w:t>
      </w:r>
    </w:p>
    <w:p w14:paraId="38211A86" w14:textId="77777777" w:rsidR="00660978" w:rsidRPr="00612094" w:rsidRDefault="00660978" w:rsidP="00612094">
      <w:pPr>
        <w:pStyle w:val="Bullet"/>
      </w:pPr>
      <w:r w:rsidRPr="00CB1C46">
        <w:t xml:space="preserve">Data </w:t>
      </w:r>
      <w:r w:rsidRPr="00972492">
        <w:t>from</w:t>
      </w:r>
      <w:r w:rsidRPr="00CB1C46">
        <w:t xml:space="preserve"> major consumers of natural gas were used if available because they are more reliable, accurate </w:t>
      </w:r>
      <w:r w:rsidRPr="00612094">
        <w:t xml:space="preserve">and easily classified by sector. </w:t>
      </w:r>
    </w:p>
    <w:p w14:paraId="69035128" w14:textId="77777777" w:rsidR="00660978" w:rsidRPr="00612094" w:rsidRDefault="00660978" w:rsidP="00612094">
      <w:pPr>
        <w:pStyle w:val="Bullet"/>
      </w:pPr>
      <w:r w:rsidRPr="00612094">
        <w:t xml:space="preserve">Where these data were not available, natural gas retailers’ reported sales by sector were used. </w:t>
      </w:r>
    </w:p>
    <w:p w14:paraId="3F4D5A80" w14:textId="77777777" w:rsidR="00660978" w:rsidRPr="00CB1C46" w:rsidRDefault="00660978" w:rsidP="00612094">
      <w:pPr>
        <w:pStyle w:val="Bullet"/>
      </w:pPr>
      <w:r w:rsidRPr="00612094">
        <w:t>If these data were also</w:t>
      </w:r>
      <w:r w:rsidRPr="00CB1C46">
        <w:t xml:space="preserve"> not available, then estimates based on regressions using GDP data were used. GDP output and production data were used along with assumptions about energy intensity and consumption of categories (to as detailed a level as possible). </w:t>
      </w:r>
    </w:p>
    <w:p w14:paraId="1595BAB7" w14:textId="77777777" w:rsidR="00660978" w:rsidRPr="00612094" w:rsidRDefault="00660978" w:rsidP="00612094">
      <w:pPr>
        <w:pStyle w:val="BodyText"/>
      </w:pPr>
      <w:r w:rsidRPr="00CB1C46">
        <w:t xml:space="preserve">Several categories are represented by only one or two major natural gas consumers, for some of these cases data from major </w:t>
      </w:r>
      <w:r w:rsidRPr="00612094">
        <w:t xml:space="preserve">consumers were directly used. Where there are industries with many major natural gas consumers, gas retailers’ reported sales by sector were used, though these can, at times, exhibit data-quality issues. </w:t>
      </w:r>
    </w:p>
    <w:p w14:paraId="2C28CCA2" w14:textId="77777777" w:rsidR="00660978" w:rsidRPr="00CB1C46" w:rsidRDefault="00660978" w:rsidP="00612094">
      <w:pPr>
        <w:pStyle w:val="BodyText"/>
      </w:pPr>
      <w:r w:rsidRPr="00612094">
        <w:t>A review was also undertaken in 2014 by M</w:t>
      </w:r>
      <w:r w:rsidRPr="00CB1C46">
        <w:t>BIE covering data going back to 1999. Several sales previously identified as wholesale sales (i.e., gas bought to be on-sold) were in fact sold to consumers, but at ‘wholesale’ (lower) prices. Work was done to correct the classifications of these sales, based on customer name, to their relevant sectors.</w:t>
      </w:r>
    </w:p>
    <w:p w14:paraId="343F27A3" w14:textId="77777777" w:rsidR="00660978" w:rsidRPr="00CB1C46" w:rsidRDefault="00660978" w:rsidP="00660978">
      <w:pPr>
        <w:pStyle w:val="Heading5"/>
        <w:rPr>
          <w:rFonts w:cs="Calibri"/>
          <w:lang w:eastAsia="en-GB"/>
        </w:rPr>
      </w:pPr>
      <w:r w:rsidRPr="00CB1C46">
        <w:rPr>
          <w:rFonts w:cs="Calibri"/>
          <w:lang w:eastAsia="en-GB"/>
        </w:rPr>
        <w:t>1.A.2.a Iron and steel</w:t>
      </w:r>
    </w:p>
    <w:p w14:paraId="75E0684F" w14:textId="77777777" w:rsidR="00660978" w:rsidRPr="00CB1C46" w:rsidRDefault="00660978" w:rsidP="00612094">
      <w:pPr>
        <w:pStyle w:val="BodyText"/>
        <w:rPr>
          <w:lang w:eastAsia="en-GB"/>
        </w:rPr>
      </w:pPr>
      <w:r w:rsidRPr="00CB1C46">
        <w:rPr>
          <w:lang w:eastAsia="en-GB"/>
        </w:rPr>
        <w:t xml:space="preserve">Activity data for coal used in iron and steel production are reported to MBIE by New Zealand Steel Limited. A considerable amount of coal is used in the production of iron. Most of the coal is used in the direct reduction process to remove oxygen from iron-sand. However, all emissions from the use of coal are included in the IPPU sector because the primary purpose of the coal is to produce iron (IPCC, 2006). A small amount of </w:t>
      </w:r>
      <w:r w:rsidRPr="00CB1C46">
        <w:t xml:space="preserve">natural </w:t>
      </w:r>
      <w:r w:rsidRPr="00CB1C46">
        <w:rPr>
          <w:lang w:eastAsia="en-GB"/>
        </w:rPr>
        <w:t xml:space="preserve">gas is used in the production of iron and steel to provide energy for the process and is reported under the Energy sector in 1.A.2.a </w:t>
      </w:r>
      <w:r w:rsidRPr="00CB1C46">
        <w:rPr>
          <w:i/>
          <w:lang w:eastAsia="en-GB"/>
        </w:rPr>
        <w:t>Iron and steel</w:t>
      </w:r>
      <w:r w:rsidRPr="00CB1C46">
        <w:rPr>
          <w:lang w:eastAsia="en-GB"/>
        </w:rPr>
        <w:t>.</w:t>
      </w:r>
    </w:p>
    <w:p w14:paraId="3D0EA592" w14:textId="77777777" w:rsidR="00660978" w:rsidRPr="00CB1C46" w:rsidRDefault="00660978" w:rsidP="00660978">
      <w:pPr>
        <w:pStyle w:val="Heading5"/>
        <w:rPr>
          <w:rFonts w:cs="Calibri"/>
          <w:lang w:eastAsia="en-GB"/>
        </w:rPr>
      </w:pPr>
      <w:r w:rsidRPr="00CB1C46">
        <w:rPr>
          <w:rFonts w:cs="Calibri"/>
          <w:lang w:eastAsia="en-GB"/>
        </w:rPr>
        <w:t>1.A.2.c Chemicals</w:t>
      </w:r>
    </w:p>
    <w:p w14:paraId="75F2AA14" w14:textId="77777777" w:rsidR="00660978" w:rsidRPr="00CB1C46" w:rsidRDefault="00660978" w:rsidP="00612094">
      <w:pPr>
        <w:pStyle w:val="BodyText"/>
        <w:rPr>
          <w:lang w:eastAsia="en-GB"/>
        </w:rPr>
      </w:pPr>
      <w:r w:rsidRPr="00CB1C46">
        <w:rPr>
          <w:lang w:eastAsia="en-GB"/>
        </w:rPr>
        <w:t xml:space="preserve">The </w:t>
      </w:r>
      <w:r w:rsidRPr="00CB1C46">
        <w:rPr>
          <w:i/>
          <w:lang w:eastAsia="en-GB"/>
        </w:rPr>
        <w:t>Chemicals</w:t>
      </w:r>
      <w:r w:rsidRPr="00CB1C46">
        <w:rPr>
          <w:lang w:eastAsia="en-GB"/>
        </w:rPr>
        <w:t xml:space="preserve"> category includes estimates from the following sub-industries:</w:t>
      </w:r>
    </w:p>
    <w:p w14:paraId="7973AB83" w14:textId="77777777" w:rsidR="00660978" w:rsidRPr="00612094" w:rsidRDefault="00660978" w:rsidP="00612094">
      <w:pPr>
        <w:pStyle w:val="Bullet"/>
      </w:pPr>
      <w:r w:rsidRPr="00CB1C46">
        <w:t xml:space="preserve">industrial gases and </w:t>
      </w:r>
      <w:r w:rsidRPr="00612094">
        <w:t>synthetic resin</w:t>
      </w:r>
    </w:p>
    <w:p w14:paraId="6587B04E" w14:textId="77777777" w:rsidR="00660978" w:rsidRPr="00612094" w:rsidRDefault="00660978" w:rsidP="00612094">
      <w:pPr>
        <w:pStyle w:val="Bullet"/>
      </w:pPr>
      <w:r w:rsidRPr="00612094">
        <w:t>organic industrial chemicals</w:t>
      </w:r>
    </w:p>
    <w:p w14:paraId="218399F2" w14:textId="77777777" w:rsidR="00660978" w:rsidRPr="00CB1C46" w:rsidRDefault="00660978" w:rsidP="00612094">
      <w:pPr>
        <w:pStyle w:val="Bullet"/>
      </w:pPr>
      <w:r w:rsidRPr="00612094">
        <w:t>inorganic industrial chemic</w:t>
      </w:r>
      <w:r w:rsidRPr="00CB1C46">
        <w:t>als, other chemical production, rubber and plastic products.</w:t>
      </w:r>
    </w:p>
    <w:p w14:paraId="50B5AB2F" w14:textId="77777777" w:rsidR="00660978" w:rsidRPr="00CB1C46" w:rsidRDefault="00660978" w:rsidP="00612094">
      <w:pPr>
        <w:pStyle w:val="BodyText"/>
        <w:keepLines/>
        <w:spacing w:before="100"/>
        <w:rPr>
          <w:rFonts w:cs="Calibri"/>
        </w:rPr>
      </w:pPr>
      <w:r w:rsidRPr="00CB1C46">
        <w:rPr>
          <w:rFonts w:cs="Calibri"/>
        </w:rPr>
        <w:lastRenderedPageBreak/>
        <w:t xml:space="preserve">The quantity of natural gas used for the production of methanol and ammonia (and, subsequently, urea) has been split into feedstock gas (which is included in 2.B.8.a and 2.B.1 respectively) and energy-use gas (which is included in 1.A.2.c </w:t>
      </w:r>
      <w:r w:rsidRPr="00CB1C46">
        <w:rPr>
          <w:rFonts w:cs="Calibri"/>
          <w:i/>
        </w:rPr>
        <w:t>Chemicals</w:t>
      </w:r>
      <w:r w:rsidRPr="00CB1C46">
        <w:rPr>
          <w:rFonts w:cs="Calibri"/>
        </w:rPr>
        <w:t>). Further details are included in chapter 4 (IPPU sector).</w:t>
      </w:r>
    </w:p>
    <w:p w14:paraId="647514D8" w14:textId="77777777" w:rsidR="00660978" w:rsidRPr="00CB1C46" w:rsidRDefault="00660978" w:rsidP="00660978">
      <w:pPr>
        <w:pStyle w:val="BodyText"/>
      </w:pPr>
      <w:r w:rsidRPr="00CB1C46">
        <w:rPr>
          <w:lang w:eastAsia="en-GB"/>
        </w:rPr>
        <w:t xml:space="preserve">The activity data for methanol production are supplied directly by Methanex New Zealand. Until 2004, methanol was produced at two plants by Methanex New Zealand. In November 2004, production at the </w:t>
      </w:r>
      <w:r w:rsidRPr="00CB1C46">
        <w:t>Motunui plant was halted and the plant re-opened in late 2008. Methanex New Zealand exports most of this methanol.</w:t>
      </w:r>
    </w:p>
    <w:p w14:paraId="7AAD9C73" w14:textId="77777777" w:rsidR="00660978" w:rsidRPr="00CB1C46" w:rsidRDefault="00660978" w:rsidP="00660978">
      <w:pPr>
        <w:pStyle w:val="BodyText"/>
      </w:pPr>
      <w:r w:rsidRPr="00CB1C46">
        <w:t xml:space="preserve">Methanex is the sole methanol producer in New Zealand and considers its natural gas consumption to be commercially sensitive information. New Zealand takes a Tier 2 (IPCC, 2006) approach to estimating emissions from methanol production that uses natural gas consumption at the plant along with country- and field-specific emission factors to calculate potential emissions before deducting the carbon sequestered in the end product. </w:t>
      </w:r>
    </w:p>
    <w:p w14:paraId="7157DCE3" w14:textId="77777777" w:rsidR="00660978" w:rsidRPr="00CB1C46" w:rsidRDefault="00660978" w:rsidP="00660978">
      <w:pPr>
        <w:pStyle w:val="BodyText"/>
      </w:pPr>
      <w:r w:rsidRPr="00CB1C46">
        <w:t>The major non-fuel-related emissions from the methanol process are CH</w:t>
      </w:r>
      <w:r w:rsidRPr="00CB1C46">
        <w:rPr>
          <w:vertAlign w:val="subscript"/>
        </w:rPr>
        <w:t>4</w:t>
      </w:r>
      <w:r w:rsidRPr="00CB1C46">
        <w:t xml:space="preserve"> (reported under the IPPU sector) and non-methane volatile organic compounds.</w:t>
      </w:r>
    </w:p>
    <w:p w14:paraId="52C1ED12" w14:textId="77777777" w:rsidR="00660978" w:rsidRPr="00CB1C46" w:rsidRDefault="00660978" w:rsidP="00660978">
      <w:pPr>
        <w:pStyle w:val="BodyText"/>
      </w:pPr>
      <w:r w:rsidRPr="00CB1C46">
        <w:t>Superphosphate is the fertiliser most commonly used in New Zealand to ensure that soil has a sufficiently high phosphorous content. It is manufactured from the reaction between sulphuric acid and phosphate rock.</w:t>
      </w:r>
      <w:r w:rsidRPr="00CB1C46">
        <w:rPr>
          <w:rStyle w:val="FootnoteReference"/>
          <w:rFonts w:cs="Calibri"/>
        </w:rPr>
        <w:footnoteReference w:id="31"/>
      </w:r>
      <w:r w:rsidRPr="00CB1C46">
        <w:t xml:space="preserve"> During the process, the heat generated by the exothermic reaction between molten sulphur and oxygen is recovered in a waste-heat boiler to produce steam that is then used for process heating and also to drive a steam turbine that produces electricity. The electricity is used on site and </w:t>
      </w:r>
      <w:r w:rsidRPr="00CB1C46">
        <w:rPr>
          <w:bCs/>
        </w:rPr>
        <w:t>ideally</w:t>
      </w:r>
      <w:r w:rsidRPr="00CB1C46">
        <w:t xml:space="preserve"> any excess is exported to the local power supplier.</w:t>
      </w:r>
    </w:p>
    <w:p w14:paraId="74B0A813" w14:textId="77777777" w:rsidR="00660978" w:rsidRPr="00CB1C46" w:rsidRDefault="00660978" w:rsidP="00660978">
      <w:pPr>
        <w:pStyle w:val="Heading5"/>
        <w:rPr>
          <w:rFonts w:cs="Calibri"/>
          <w:lang w:eastAsia="en-GB"/>
        </w:rPr>
      </w:pPr>
      <w:r w:rsidRPr="00CB1C46">
        <w:rPr>
          <w:rFonts w:cs="Calibri"/>
          <w:lang w:eastAsia="en-GB"/>
        </w:rPr>
        <w:t>On-site electricity generation</w:t>
      </w:r>
    </w:p>
    <w:p w14:paraId="382CC741" w14:textId="77777777" w:rsidR="00660978" w:rsidRPr="00CB1C46" w:rsidRDefault="00660978" w:rsidP="00660978">
      <w:pPr>
        <w:pStyle w:val="BodyText"/>
        <w:rPr>
          <w:lang w:eastAsia="en-GB"/>
        </w:rPr>
      </w:pPr>
      <w:r w:rsidRPr="00CB1C46">
        <w:rPr>
          <w:lang w:eastAsia="en-GB"/>
        </w:rPr>
        <w:t xml:space="preserve">As mentioned in section </w:t>
      </w:r>
      <w:r w:rsidRPr="00CB1C46">
        <w:t>3.3.1</w:t>
      </w:r>
      <w:r w:rsidRPr="00CB1C46">
        <w:rPr>
          <w:lang w:eastAsia="en-GB"/>
        </w:rPr>
        <w:t xml:space="preserve">, on-site </w:t>
      </w:r>
      <w:r w:rsidRPr="00CB1C46">
        <w:t>electricity</w:t>
      </w:r>
      <w:r w:rsidRPr="00CB1C46">
        <w:rPr>
          <w:lang w:eastAsia="en-GB"/>
        </w:rPr>
        <w:t xml:space="preserve"> generation is allocated to either the </w:t>
      </w:r>
      <w:r w:rsidRPr="00CB1C46">
        <w:rPr>
          <w:i/>
          <w:lang w:eastAsia="en-GB"/>
        </w:rPr>
        <w:t>Public electricity and heat production</w:t>
      </w:r>
      <w:r w:rsidRPr="00CB1C46">
        <w:rPr>
          <w:lang w:eastAsia="en-GB"/>
        </w:rPr>
        <w:t xml:space="preserve"> category or the sector in which the associated plant operates, using the decision tree shown in figure</w:t>
      </w:r>
      <w:r w:rsidRPr="00CB1C46">
        <w:t xml:space="preserve"> 3.3.7</w:t>
      </w:r>
      <w:r w:rsidRPr="00CB1C46">
        <w:rPr>
          <w:lang w:eastAsia="en-GB"/>
        </w:rPr>
        <w:t xml:space="preserve">. </w:t>
      </w:r>
    </w:p>
    <w:p w14:paraId="28E4E740" w14:textId="77777777" w:rsidR="00660978" w:rsidRPr="00CB1C46" w:rsidRDefault="00660978" w:rsidP="00660978">
      <w:pPr>
        <w:pStyle w:val="Heading4"/>
        <w:rPr>
          <w:lang w:eastAsia="en-GB"/>
        </w:rPr>
      </w:pPr>
      <w:r w:rsidRPr="00CB1C46">
        <w:t>Uncertainties</w:t>
      </w:r>
      <w:r w:rsidRPr="00CB1C46">
        <w:rPr>
          <w:lang w:eastAsia="en-GB"/>
        </w:rPr>
        <w:t xml:space="preserve"> and time-series consistency</w:t>
      </w:r>
    </w:p>
    <w:p w14:paraId="70884588" w14:textId="77777777" w:rsidR="00660978" w:rsidRPr="00CB1C46" w:rsidRDefault="00660978" w:rsidP="00660978">
      <w:pPr>
        <w:pStyle w:val="BodyText"/>
        <w:rPr>
          <w:lang w:eastAsia="en-GB"/>
        </w:rPr>
      </w:pPr>
      <w:r w:rsidRPr="00CB1C46">
        <w:rPr>
          <w:lang w:eastAsia="en-GB"/>
        </w:rPr>
        <w:t>Uncertainties in emission and activity data estimates are those relevant to the entire Energy sector (annex 4, sections A4.1, A4.2 and A4.3).</w:t>
      </w:r>
    </w:p>
    <w:p w14:paraId="36E076F5" w14:textId="77777777" w:rsidR="00660978" w:rsidRPr="00CB1C46" w:rsidRDefault="00660978" w:rsidP="00660978">
      <w:pPr>
        <w:pStyle w:val="Heading4"/>
        <w:rPr>
          <w:lang w:eastAsia="en-GB"/>
        </w:rPr>
      </w:pPr>
      <w:r w:rsidRPr="00CB1C46">
        <w:rPr>
          <w:lang w:eastAsia="en-GB"/>
        </w:rPr>
        <w:t>Source-specific QA/QC and verification</w:t>
      </w:r>
    </w:p>
    <w:p w14:paraId="5C4054EB" w14:textId="77777777" w:rsidR="00660978" w:rsidRPr="00CB1C46" w:rsidRDefault="00660978" w:rsidP="00660978">
      <w:pPr>
        <w:pStyle w:val="BodyText"/>
        <w:rPr>
          <w:lang w:eastAsia="en-GB"/>
        </w:rPr>
      </w:pPr>
      <w:r w:rsidRPr="00CB1C46">
        <w:rPr>
          <w:lang w:eastAsia="en-GB"/>
        </w:rPr>
        <w:t xml:space="preserve">In the preparation of this inventory, the </w:t>
      </w:r>
      <w:r w:rsidRPr="00CB1C46">
        <w:rPr>
          <w:i/>
          <w:lang w:eastAsia="en-GB"/>
        </w:rPr>
        <w:t>Manufacturing industries and construction</w:t>
      </w:r>
      <w:r w:rsidRPr="00CB1C46">
        <w:rPr>
          <w:lang w:eastAsia="en-GB"/>
        </w:rPr>
        <w:t xml:space="preserve"> category underwent Tier 1 quality-assurance and quality-control checks, as recommended in the 2006 IPCC Guidelines. These include regular control sums </w:t>
      </w:r>
      <w:r w:rsidRPr="00CB1C46">
        <w:t>throughout</w:t>
      </w:r>
      <w:r w:rsidRPr="00CB1C46">
        <w:rPr>
          <w:lang w:eastAsia="en-GB"/>
        </w:rPr>
        <w:t xml:space="preserve"> systems, to verify system integrity, and time-series consistency checks.</w:t>
      </w:r>
    </w:p>
    <w:p w14:paraId="2B0692E4" w14:textId="77777777" w:rsidR="00660978" w:rsidRPr="00CB1C46" w:rsidRDefault="00660978" w:rsidP="00660978">
      <w:pPr>
        <w:pStyle w:val="Heading4"/>
        <w:rPr>
          <w:lang w:eastAsia="en-GB"/>
        </w:rPr>
      </w:pPr>
      <w:r w:rsidRPr="00CB1C46">
        <w:rPr>
          <w:lang w:eastAsia="en-GB"/>
        </w:rPr>
        <w:t>Source-specific recalculations</w:t>
      </w:r>
    </w:p>
    <w:p w14:paraId="363DEE4D" w14:textId="77777777" w:rsidR="00660978" w:rsidRPr="00CB1C46" w:rsidRDefault="00660978" w:rsidP="00660978">
      <w:pPr>
        <w:pStyle w:val="BodyText"/>
        <w:rPr>
          <w:lang w:eastAsia="en-GB"/>
        </w:rPr>
      </w:pPr>
      <w:r w:rsidRPr="00CB1C46">
        <w:rPr>
          <w:lang w:eastAsia="en-GB"/>
        </w:rPr>
        <w:t>Some historical energy demand data may have been revised due to revisions in data provided by companies. This has resulted in minor revisions in activity data and corresponding emissions for some years.</w:t>
      </w:r>
    </w:p>
    <w:p w14:paraId="00EBBFAA" w14:textId="77777777" w:rsidR="00660978" w:rsidRPr="00CB1C46" w:rsidRDefault="00660978" w:rsidP="00660978">
      <w:pPr>
        <w:pStyle w:val="Heading3"/>
        <w:spacing w:before="280"/>
        <w:rPr>
          <w:rFonts w:cs="Calibri"/>
        </w:rPr>
      </w:pPr>
      <w:r w:rsidRPr="00CB1C46">
        <w:rPr>
          <w:rFonts w:cs="Calibri"/>
        </w:rPr>
        <w:lastRenderedPageBreak/>
        <w:t>3.3.8</w:t>
      </w:r>
      <w:r w:rsidRPr="00CB1C46">
        <w:rPr>
          <w:rFonts w:cs="Calibri"/>
        </w:rPr>
        <w:tab/>
        <w:t>Fuel combustion: Transport (CRF 1.A.3)</w:t>
      </w:r>
    </w:p>
    <w:p w14:paraId="6F249F5E" w14:textId="77777777" w:rsidR="00660978" w:rsidRPr="00CB1C46" w:rsidRDefault="00660978" w:rsidP="00660978">
      <w:pPr>
        <w:pStyle w:val="Heading4"/>
        <w:spacing w:before="160"/>
      </w:pPr>
      <w:r w:rsidRPr="00CB1C46">
        <w:rPr>
          <w:lang w:eastAsia="en-GB"/>
        </w:rPr>
        <w:t>Description</w:t>
      </w:r>
    </w:p>
    <w:p w14:paraId="6B02C558" w14:textId="77777777" w:rsidR="00660978" w:rsidRPr="00CB1C46" w:rsidRDefault="00660978" w:rsidP="00612094">
      <w:pPr>
        <w:pStyle w:val="BodyText"/>
        <w:spacing w:before="100" w:after="100"/>
        <w:rPr>
          <w:lang w:eastAsia="en-GB"/>
        </w:rPr>
      </w:pPr>
      <w:r w:rsidRPr="00CB1C46">
        <w:rPr>
          <w:lang w:eastAsia="en-GB"/>
        </w:rPr>
        <w:t xml:space="preserve">This category includes emissions from fuels </w:t>
      </w:r>
      <w:r w:rsidRPr="00CB1C46">
        <w:t>combusted</w:t>
      </w:r>
      <w:r w:rsidRPr="00CB1C46">
        <w:rPr>
          <w:lang w:eastAsia="en-GB"/>
        </w:rPr>
        <w:t xml:space="preserve"> during domestic transportation, such</w:t>
      </w:r>
      <w:r>
        <w:rPr>
          <w:lang w:eastAsia="en-GB"/>
        </w:rPr>
        <w:t xml:space="preserve"> </w:t>
      </w:r>
      <w:r w:rsidRPr="00CB1C46">
        <w:rPr>
          <w:lang w:eastAsia="en-GB"/>
        </w:rPr>
        <w:t>as civil aviation, road, rail and domestic marine transport. Emissions from international marine</w:t>
      </w:r>
      <w:r>
        <w:rPr>
          <w:lang w:eastAsia="en-GB"/>
        </w:rPr>
        <w:t xml:space="preserve"> </w:t>
      </w:r>
      <w:r w:rsidRPr="00CB1C46">
        <w:rPr>
          <w:lang w:eastAsia="en-GB"/>
        </w:rPr>
        <w:t>and aviation bunkers are reported as memo items and are not included in New Zealand’s total</w:t>
      </w:r>
      <w:r>
        <w:rPr>
          <w:lang w:eastAsia="en-GB"/>
        </w:rPr>
        <w:t> </w:t>
      </w:r>
      <w:r w:rsidRPr="00CB1C46">
        <w:rPr>
          <w:lang w:eastAsia="en-GB"/>
        </w:rPr>
        <w:t>emissions.</w:t>
      </w:r>
    </w:p>
    <w:p w14:paraId="6459B16F" w14:textId="77777777" w:rsidR="00660978" w:rsidRPr="00CB1C46" w:rsidRDefault="00660978" w:rsidP="00612094">
      <w:pPr>
        <w:pStyle w:val="BodyText"/>
        <w:spacing w:before="100" w:after="100"/>
        <w:rPr>
          <w:rFonts w:cs="Calibri"/>
          <w:lang w:eastAsia="en-GB"/>
        </w:rPr>
      </w:pPr>
      <w:r w:rsidRPr="00CB1C46">
        <w:rPr>
          <w:rFonts w:cs="Calibri"/>
          <w:lang w:eastAsia="en-GB"/>
        </w:rPr>
        <w:t xml:space="preserve">In </w:t>
      </w:r>
      <w:r w:rsidRPr="00CB1C46">
        <w:rPr>
          <w:rFonts w:cs="Calibri"/>
        </w:rPr>
        <w:t>2020</w:t>
      </w:r>
      <w:r w:rsidRPr="00CB1C46">
        <w:rPr>
          <w:rFonts w:cs="Calibri"/>
          <w:lang w:eastAsia="en-GB"/>
        </w:rPr>
        <w:t xml:space="preserve">, category 1.A.3 </w:t>
      </w:r>
      <w:r w:rsidRPr="00CB1C46">
        <w:rPr>
          <w:rFonts w:cs="Calibri"/>
          <w:i/>
          <w:lang w:eastAsia="en-GB"/>
        </w:rPr>
        <w:t>Transport</w:t>
      </w:r>
      <w:r w:rsidRPr="00CB1C46">
        <w:rPr>
          <w:rFonts w:cs="Calibri"/>
          <w:lang w:eastAsia="en-GB"/>
        </w:rPr>
        <w:t xml:space="preserve"> was responsible for 13,176.4</w:t>
      </w:r>
      <w:r w:rsidRPr="00CB1C46">
        <w:rPr>
          <w:rFonts w:cs="Calibri"/>
        </w:rPr>
        <w:t xml:space="preserve"> </w:t>
      </w:r>
      <w:r w:rsidRPr="00CB1C46">
        <w:rPr>
          <w:rFonts w:cs="Calibri"/>
          <w:lang w:eastAsia="en-GB"/>
        </w:rPr>
        <w:t>kt CO</w:t>
      </w:r>
      <w:r w:rsidRPr="00CB1C46">
        <w:rPr>
          <w:rFonts w:cs="Calibri"/>
          <w:vertAlign w:val="subscript"/>
          <w:lang w:eastAsia="en-GB"/>
        </w:rPr>
        <w:t>2</w:t>
      </w:r>
      <w:r w:rsidRPr="00CB1C46">
        <w:rPr>
          <w:rFonts w:cs="Calibri"/>
          <w:lang w:eastAsia="en-GB"/>
        </w:rPr>
        <w:t xml:space="preserve">-e (41.9 </w:t>
      </w:r>
      <w:r w:rsidRPr="00CB1C46">
        <w:rPr>
          <w:rFonts w:cs="Calibri"/>
        </w:rPr>
        <w:t>per cent</w:t>
      </w:r>
      <w:r w:rsidRPr="00CB1C46">
        <w:rPr>
          <w:rFonts w:cs="Calibri"/>
          <w:lang w:eastAsia="en-GB"/>
        </w:rPr>
        <w:t xml:space="preserve"> of emissions from the Energy sector). Emissions in 2020 were 5,050.2</w:t>
      </w:r>
      <w:r w:rsidRPr="00CB1C46">
        <w:rPr>
          <w:rFonts w:cs="Calibri"/>
        </w:rPr>
        <w:t xml:space="preserve"> </w:t>
      </w:r>
      <w:r w:rsidRPr="00CB1C46">
        <w:rPr>
          <w:rFonts w:cs="Calibri"/>
          <w:lang w:eastAsia="en-GB"/>
        </w:rPr>
        <w:t>kt CO</w:t>
      </w:r>
      <w:r w:rsidRPr="00CB1C46">
        <w:rPr>
          <w:rFonts w:cs="Calibri"/>
          <w:vertAlign w:val="subscript"/>
          <w:lang w:eastAsia="en-GB"/>
        </w:rPr>
        <w:t>2</w:t>
      </w:r>
      <w:r w:rsidRPr="00CB1C46">
        <w:rPr>
          <w:rFonts w:cs="Calibri"/>
          <w:lang w:eastAsia="en-GB"/>
        </w:rPr>
        <w:t>-e (62.1</w:t>
      </w:r>
      <w:r w:rsidRPr="00CB1C46">
        <w:rPr>
          <w:rFonts w:cs="Calibri"/>
        </w:rPr>
        <w:t xml:space="preserve"> per cent</w:t>
      </w:r>
      <w:r w:rsidRPr="00CB1C46">
        <w:rPr>
          <w:rFonts w:cs="Calibri"/>
          <w:lang w:eastAsia="en-GB"/>
        </w:rPr>
        <w:t xml:space="preserve">) higher than the </w:t>
      </w:r>
      <w:r w:rsidRPr="00CB1C46">
        <w:rPr>
          <w:rFonts w:cs="Calibri"/>
        </w:rPr>
        <w:t xml:space="preserve">8,126.2 </w:t>
      </w:r>
      <w:r w:rsidRPr="00CB1C46">
        <w:rPr>
          <w:rFonts w:cs="Calibri"/>
          <w:lang w:eastAsia="en-GB"/>
        </w:rPr>
        <w:t>kt CO</w:t>
      </w:r>
      <w:r w:rsidRPr="00CB1C46">
        <w:rPr>
          <w:rFonts w:cs="Calibri"/>
          <w:vertAlign w:val="subscript"/>
          <w:lang w:eastAsia="en-GB"/>
        </w:rPr>
        <w:t>2</w:t>
      </w:r>
      <w:r w:rsidRPr="00CB1C46">
        <w:rPr>
          <w:rFonts w:cs="Calibri"/>
          <w:lang w:eastAsia="en-GB"/>
        </w:rPr>
        <w:t xml:space="preserve">-e emitted from the transport sector in 1990. The transport emissions profile in </w:t>
      </w:r>
      <w:r w:rsidRPr="00CB1C46">
        <w:rPr>
          <w:rFonts w:cs="Calibri"/>
        </w:rPr>
        <w:t>2020</w:t>
      </w:r>
      <w:r w:rsidRPr="00CB1C46">
        <w:rPr>
          <w:rFonts w:cs="Calibri"/>
          <w:lang w:eastAsia="en-GB"/>
        </w:rPr>
        <w:t xml:space="preserve"> was dominated by emissions from category 1.A.3.b </w:t>
      </w:r>
      <w:r w:rsidRPr="00CB1C46">
        <w:rPr>
          <w:rFonts w:cs="Calibri"/>
          <w:i/>
          <w:lang w:eastAsia="en-GB"/>
        </w:rPr>
        <w:t>Road transportation</w:t>
      </w:r>
      <w:r w:rsidRPr="00CB1C46">
        <w:rPr>
          <w:rFonts w:cs="Calibri"/>
          <w:lang w:eastAsia="en-GB"/>
        </w:rPr>
        <w:t xml:space="preserve">. In </w:t>
      </w:r>
      <w:r w:rsidRPr="00CB1C46">
        <w:rPr>
          <w:rFonts w:cs="Calibri"/>
        </w:rPr>
        <w:t>2020</w:t>
      </w:r>
      <w:r w:rsidRPr="00CB1C46">
        <w:rPr>
          <w:rFonts w:cs="Calibri"/>
          <w:lang w:eastAsia="en-GB"/>
        </w:rPr>
        <w:t>, road transport accounted for 12,023.2</w:t>
      </w:r>
      <w:r w:rsidRPr="00CB1C46">
        <w:rPr>
          <w:rFonts w:cs="Calibri"/>
        </w:rPr>
        <w:t> </w:t>
      </w:r>
      <w:r w:rsidRPr="00CB1C46">
        <w:rPr>
          <w:rFonts w:cs="Calibri"/>
          <w:lang w:eastAsia="en-GB"/>
        </w:rPr>
        <w:t>kt CO</w:t>
      </w:r>
      <w:r w:rsidRPr="00CB1C46">
        <w:rPr>
          <w:rFonts w:cs="Calibri"/>
          <w:vertAlign w:val="subscript"/>
          <w:lang w:eastAsia="en-GB"/>
        </w:rPr>
        <w:t>2</w:t>
      </w:r>
      <w:r w:rsidRPr="00CB1C46">
        <w:rPr>
          <w:rFonts w:cs="Calibri"/>
          <w:lang w:eastAsia="en-GB"/>
        </w:rPr>
        <w:t>-e (</w:t>
      </w:r>
      <w:r w:rsidRPr="00CB1C46">
        <w:rPr>
          <w:rFonts w:cs="Calibri"/>
        </w:rPr>
        <w:t>91.2 per cent</w:t>
      </w:r>
      <w:r w:rsidRPr="00CB1C46">
        <w:rPr>
          <w:rFonts w:cs="Calibri"/>
          <w:lang w:eastAsia="en-GB"/>
        </w:rPr>
        <w:t>) of</w:t>
      </w:r>
      <w:r>
        <w:rPr>
          <w:rFonts w:cs="Calibri"/>
          <w:lang w:eastAsia="en-GB"/>
        </w:rPr>
        <w:t> </w:t>
      </w:r>
      <w:r w:rsidRPr="00CB1C46">
        <w:rPr>
          <w:rFonts w:cs="Calibri"/>
          <w:lang w:eastAsia="en-GB"/>
        </w:rPr>
        <w:t>total</w:t>
      </w:r>
      <w:r>
        <w:rPr>
          <w:rFonts w:cs="Calibri"/>
          <w:lang w:eastAsia="en-GB"/>
        </w:rPr>
        <w:t> </w:t>
      </w:r>
      <w:r w:rsidRPr="00CB1C46">
        <w:rPr>
          <w:rFonts w:cs="Calibri"/>
          <w:lang w:eastAsia="en-GB"/>
        </w:rPr>
        <w:t xml:space="preserve">transport emissions. This is </w:t>
      </w:r>
      <w:r w:rsidRPr="00CB1C46">
        <w:rPr>
          <w:rFonts w:cs="Calibri"/>
        </w:rPr>
        <w:t xml:space="preserve">5,194.1 </w:t>
      </w:r>
      <w:r w:rsidRPr="00CB1C46">
        <w:rPr>
          <w:rFonts w:cs="Calibri"/>
          <w:lang w:eastAsia="en-GB"/>
        </w:rPr>
        <w:t>kt CO</w:t>
      </w:r>
      <w:r w:rsidRPr="00CB1C46">
        <w:rPr>
          <w:rFonts w:cs="Calibri"/>
          <w:vertAlign w:val="subscript"/>
          <w:lang w:eastAsia="en-GB"/>
        </w:rPr>
        <w:t>2</w:t>
      </w:r>
      <w:r w:rsidRPr="00CB1C46">
        <w:rPr>
          <w:rFonts w:cs="Calibri"/>
          <w:lang w:eastAsia="en-GB"/>
        </w:rPr>
        <w:t>-e (</w:t>
      </w:r>
      <w:r w:rsidRPr="00CB1C46">
        <w:rPr>
          <w:rFonts w:cs="Calibri"/>
        </w:rPr>
        <w:t>76.1 per cent</w:t>
      </w:r>
      <w:r w:rsidRPr="00CB1C46">
        <w:rPr>
          <w:rFonts w:cs="Calibri"/>
          <w:lang w:eastAsia="en-GB"/>
        </w:rPr>
        <w:t>) higher than the 1990 level</w:t>
      </w:r>
      <w:r>
        <w:rPr>
          <w:rFonts w:cs="Calibri"/>
          <w:lang w:eastAsia="en-GB"/>
        </w:rPr>
        <w:t> </w:t>
      </w:r>
      <w:r w:rsidRPr="00CB1C46">
        <w:rPr>
          <w:rFonts w:cs="Calibri"/>
          <w:lang w:eastAsia="en-GB"/>
        </w:rPr>
        <w:t xml:space="preserve">of </w:t>
      </w:r>
      <w:r w:rsidRPr="00CB1C46">
        <w:rPr>
          <w:rFonts w:cs="Calibri"/>
        </w:rPr>
        <w:t xml:space="preserve">6,829.1 </w:t>
      </w:r>
      <w:r w:rsidRPr="00CB1C46">
        <w:rPr>
          <w:rFonts w:cs="Calibri"/>
          <w:lang w:eastAsia="en-GB"/>
        </w:rPr>
        <w:t>kt CO</w:t>
      </w:r>
      <w:r w:rsidRPr="00CB1C46">
        <w:rPr>
          <w:rFonts w:cs="Calibri"/>
          <w:vertAlign w:val="subscript"/>
          <w:lang w:eastAsia="en-GB"/>
        </w:rPr>
        <w:t>2</w:t>
      </w:r>
      <w:r w:rsidRPr="00CB1C46">
        <w:rPr>
          <w:rFonts w:cs="Calibri"/>
          <w:lang w:eastAsia="en-GB"/>
        </w:rPr>
        <w:t xml:space="preserve">-e. </w:t>
      </w:r>
    </w:p>
    <w:p w14:paraId="5FF8E1E3" w14:textId="77777777" w:rsidR="00660978" w:rsidRPr="00CB1C46" w:rsidRDefault="00660978" w:rsidP="00660978">
      <w:pPr>
        <w:pStyle w:val="Heading4"/>
        <w:spacing w:before="160"/>
        <w:rPr>
          <w:lang w:eastAsia="en-GB"/>
        </w:rPr>
      </w:pPr>
      <w:r w:rsidRPr="00CB1C46">
        <w:rPr>
          <w:lang w:eastAsia="en-GB"/>
        </w:rPr>
        <w:t xml:space="preserve">Changes in emissions between </w:t>
      </w:r>
      <w:r w:rsidRPr="00CB1C46">
        <w:t>2019</w:t>
      </w:r>
      <w:r w:rsidRPr="00CB1C46">
        <w:rPr>
          <w:lang w:eastAsia="en-GB"/>
        </w:rPr>
        <w:t xml:space="preserve"> and </w:t>
      </w:r>
      <w:r w:rsidRPr="00CB1C46">
        <w:t>2020</w:t>
      </w:r>
    </w:p>
    <w:p w14:paraId="69FEB740" w14:textId="77777777" w:rsidR="00660978" w:rsidRPr="00CB1C46" w:rsidRDefault="00660978" w:rsidP="00612094">
      <w:pPr>
        <w:pStyle w:val="BodyText"/>
        <w:spacing w:before="100" w:after="100"/>
        <w:rPr>
          <w:rFonts w:cs="Calibri"/>
          <w:lang w:eastAsia="en-GB"/>
        </w:rPr>
      </w:pPr>
      <w:r w:rsidRPr="00CB1C46">
        <w:rPr>
          <w:rFonts w:cs="Calibri"/>
          <w:lang w:eastAsia="en-GB"/>
        </w:rPr>
        <w:t xml:space="preserve">Between </w:t>
      </w:r>
      <w:r w:rsidRPr="00CB1C46">
        <w:rPr>
          <w:rFonts w:cs="Calibri"/>
        </w:rPr>
        <w:t>2019</w:t>
      </w:r>
      <w:r w:rsidRPr="00CB1C46">
        <w:rPr>
          <w:rFonts w:cs="Calibri"/>
          <w:lang w:eastAsia="en-GB"/>
        </w:rPr>
        <w:t xml:space="preserve"> and </w:t>
      </w:r>
      <w:r w:rsidRPr="00CB1C46">
        <w:rPr>
          <w:rFonts w:cs="Calibri"/>
        </w:rPr>
        <w:t>2020</w:t>
      </w:r>
      <w:r w:rsidRPr="00CB1C46">
        <w:rPr>
          <w:rFonts w:cs="Calibri"/>
          <w:lang w:eastAsia="en-GB"/>
        </w:rPr>
        <w:t>, emissions from transport decreased by 1,478.6</w:t>
      </w:r>
      <w:r w:rsidRPr="00CB1C46">
        <w:rPr>
          <w:rFonts w:cs="Calibri"/>
        </w:rPr>
        <w:t xml:space="preserve"> </w:t>
      </w:r>
      <w:r w:rsidRPr="00CB1C46">
        <w:rPr>
          <w:rFonts w:cs="Calibri"/>
          <w:lang w:eastAsia="en-GB"/>
        </w:rPr>
        <w:t>kt CO</w:t>
      </w:r>
      <w:r w:rsidRPr="00CB1C46">
        <w:rPr>
          <w:rFonts w:cs="Calibri"/>
          <w:vertAlign w:val="subscript"/>
          <w:lang w:eastAsia="en-GB"/>
        </w:rPr>
        <w:t>2</w:t>
      </w:r>
      <w:r w:rsidRPr="00CB1C46">
        <w:rPr>
          <w:rFonts w:cs="Calibri"/>
          <w:lang w:eastAsia="en-GB"/>
        </w:rPr>
        <w:t>-e (</w:t>
      </w:r>
      <w:r w:rsidRPr="00CB1C46">
        <w:rPr>
          <w:rFonts w:cs="Calibri"/>
        </w:rPr>
        <w:t>10.1 per cent</w:t>
      </w:r>
      <w:r w:rsidRPr="00CB1C46">
        <w:rPr>
          <w:rFonts w:cs="Calibri"/>
          <w:lang w:eastAsia="en-GB"/>
        </w:rPr>
        <w:t xml:space="preserve">). The largest contributing factor was COVID-19 restrictions that significantly supressed activity during specific periods of the year, </w:t>
      </w:r>
      <w:r w:rsidRPr="00CB1C46">
        <w:rPr>
          <w:lang w:eastAsia="en-GB"/>
        </w:rPr>
        <w:t xml:space="preserve">see </w:t>
      </w:r>
      <w:r w:rsidRPr="00CB1C46">
        <w:rPr>
          <w:i/>
          <w:lang w:eastAsia="en-GB"/>
        </w:rPr>
        <w:t>Energy in New Zealand</w:t>
      </w:r>
      <w:r w:rsidRPr="00CB1C46">
        <w:rPr>
          <w:lang w:eastAsia="en-GB"/>
        </w:rPr>
        <w:t xml:space="preserve"> (MBIE, 2021), section C: Impacts of COVID-19 for more in-depth analysis.</w:t>
      </w:r>
      <w:r w:rsidRPr="00CB1C46">
        <w:rPr>
          <w:rFonts w:cs="Calibri"/>
          <w:lang w:eastAsia="en-GB"/>
        </w:rPr>
        <w:t xml:space="preserve"> </w:t>
      </w:r>
    </w:p>
    <w:p w14:paraId="6BC900C4" w14:textId="77777777" w:rsidR="00660978" w:rsidRPr="00CB1C46" w:rsidRDefault="00660978" w:rsidP="00612094">
      <w:pPr>
        <w:pStyle w:val="BodyText"/>
        <w:spacing w:before="100" w:after="100"/>
        <w:rPr>
          <w:rFonts w:cs="Calibri"/>
        </w:rPr>
      </w:pPr>
      <w:r w:rsidRPr="00CB1C46">
        <w:rPr>
          <w:rFonts w:cs="Calibri"/>
        </w:rPr>
        <w:t xml:space="preserve">Key categories identified in the 2020 level and trend assessment for the </w:t>
      </w:r>
      <w:r w:rsidRPr="00CB1C46">
        <w:rPr>
          <w:rFonts w:cs="Calibri"/>
          <w:i/>
          <w:lang w:eastAsia="en-GB"/>
        </w:rPr>
        <w:t>Transport</w:t>
      </w:r>
      <w:r w:rsidRPr="00CB1C46">
        <w:rPr>
          <w:rFonts w:cs="Calibri"/>
        </w:rPr>
        <w:t xml:space="preserve"> category are given in table 3.3.6.</w:t>
      </w:r>
    </w:p>
    <w:p w14:paraId="192F5C56" w14:textId="77777777" w:rsidR="00660978" w:rsidRPr="00CB1C46" w:rsidRDefault="00660978" w:rsidP="00660978">
      <w:pPr>
        <w:pStyle w:val="Table"/>
      </w:pPr>
      <w:bookmarkStart w:id="354" w:name="_Toc68786410"/>
      <w:bookmarkStart w:id="355" w:name="_Toc99659218"/>
      <w:r w:rsidRPr="00CB1C46">
        <w:t>Table 3.3.6</w:t>
      </w:r>
      <w:r w:rsidRPr="00CB1C46">
        <w:tab/>
        <w:t xml:space="preserve">Key categories for 1.A.3 </w:t>
      </w:r>
      <w:r w:rsidRPr="00AF7FAF">
        <w:rPr>
          <w:i/>
          <w:iCs/>
        </w:rPr>
        <w:t>Transport</w:t>
      </w:r>
      <w:bookmarkEnd w:id="354"/>
      <w:bookmarkEnd w:id="355"/>
    </w:p>
    <w:tbl>
      <w:tblPr>
        <w:tblW w:w="8505" w:type="dxa"/>
        <w:tblInd w:w="113"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3769"/>
        <w:gridCol w:w="1660"/>
        <w:gridCol w:w="1509"/>
        <w:gridCol w:w="1567"/>
      </w:tblGrid>
      <w:tr w:rsidR="00660978" w:rsidRPr="00CB1C46" w14:paraId="2DD89FDC" w14:textId="77777777" w:rsidTr="004873FC">
        <w:trPr>
          <w:cantSplit/>
          <w:tblHeader/>
        </w:trPr>
        <w:tc>
          <w:tcPr>
            <w:tcW w:w="2216" w:type="pct"/>
            <w:shd w:val="clear" w:color="auto" w:fill="1B556B"/>
            <w:noWrap/>
            <w:vAlign w:val="bottom"/>
            <w:hideMark/>
          </w:tcPr>
          <w:p w14:paraId="48F60FE8" w14:textId="77777777" w:rsidR="00660978" w:rsidRPr="00CB1C46" w:rsidRDefault="00660978" w:rsidP="00612094">
            <w:pPr>
              <w:pStyle w:val="TableTextBold"/>
              <w:spacing w:before="40" w:after="40"/>
              <w:rPr>
                <w:rFonts w:cs="Calibri"/>
                <w:noProof w:val="0"/>
                <w:color w:val="FFFFFF"/>
              </w:rPr>
            </w:pPr>
          </w:p>
        </w:tc>
        <w:tc>
          <w:tcPr>
            <w:tcW w:w="976" w:type="pct"/>
            <w:shd w:val="clear" w:color="auto" w:fill="1B556B"/>
            <w:noWrap/>
            <w:vAlign w:val="bottom"/>
            <w:hideMark/>
          </w:tcPr>
          <w:p w14:paraId="22CD07C2" w14:textId="77777777" w:rsidR="00660978" w:rsidRPr="00CB1C46" w:rsidRDefault="00660978" w:rsidP="00612094">
            <w:pPr>
              <w:pStyle w:val="TableTextBold"/>
              <w:spacing w:before="40" w:after="40"/>
              <w:rPr>
                <w:rFonts w:cs="Calibri"/>
                <w:noProof w:val="0"/>
                <w:color w:val="FFFFFF"/>
              </w:rPr>
            </w:pPr>
            <w:r w:rsidRPr="00CB1C46">
              <w:rPr>
                <w:rFonts w:cs="Calibri"/>
                <w:noProof w:val="0"/>
                <w:color w:val="FFFFFF"/>
              </w:rPr>
              <w:t>Liquid fuels</w:t>
            </w:r>
          </w:p>
        </w:tc>
        <w:tc>
          <w:tcPr>
            <w:tcW w:w="887" w:type="pct"/>
            <w:shd w:val="clear" w:color="auto" w:fill="1B556B"/>
            <w:vAlign w:val="bottom"/>
            <w:hideMark/>
          </w:tcPr>
          <w:p w14:paraId="2EAF541A" w14:textId="77777777" w:rsidR="00660978" w:rsidRPr="00CB1C46" w:rsidRDefault="00660978" w:rsidP="00612094">
            <w:pPr>
              <w:pStyle w:val="TableTextBold"/>
              <w:spacing w:before="40" w:after="40"/>
              <w:rPr>
                <w:rFonts w:cs="Calibri"/>
                <w:noProof w:val="0"/>
                <w:color w:val="FFFFFF"/>
              </w:rPr>
            </w:pPr>
            <w:r w:rsidRPr="00CB1C46">
              <w:rPr>
                <w:rFonts w:cs="Calibri"/>
                <w:noProof w:val="0"/>
                <w:color w:val="FFFFFF"/>
              </w:rPr>
              <w:t>Solid fuels</w:t>
            </w:r>
          </w:p>
        </w:tc>
        <w:tc>
          <w:tcPr>
            <w:tcW w:w="921" w:type="pct"/>
            <w:shd w:val="clear" w:color="auto" w:fill="1B556B"/>
            <w:vAlign w:val="bottom"/>
            <w:hideMark/>
          </w:tcPr>
          <w:p w14:paraId="173A2CE2" w14:textId="77777777" w:rsidR="00660978" w:rsidRPr="00CB1C46" w:rsidRDefault="00660978" w:rsidP="00612094">
            <w:pPr>
              <w:pStyle w:val="TableTextBold"/>
              <w:spacing w:before="40" w:after="40"/>
              <w:rPr>
                <w:rFonts w:cs="Calibri"/>
                <w:noProof w:val="0"/>
                <w:color w:val="FFFFFF"/>
              </w:rPr>
            </w:pPr>
            <w:r w:rsidRPr="00CB1C46">
              <w:rPr>
                <w:rFonts w:cs="Calibri"/>
                <w:noProof w:val="0"/>
                <w:color w:val="FFFFFF"/>
              </w:rPr>
              <w:t>Gaseous fuels</w:t>
            </w:r>
          </w:p>
        </w:tc>
      </w:tr>
      <w:tr w:rsidR="00660978" w:rsidRPr="00CB1C46" w14:paraId="26DF7C32" w14:textId="77777777" w:rsidTr="004873FC">
        <w:trPr>
          <w:cantSplit/>
        </w:trPr>
        <w:tc>
          <w:tcPr>
            <w:tcW w:w="2216" w:type="pct"/>
            <w:shd w:val="clear" w:color="auto" w:fill="auto"/>
            <w:noWrap/>
            <w:hideMark/>
          </w:tcPr>
          <w:p w14:paraId="6A7998E1" w14:textId="77777777" w:rsidR="00660978" w:rsidRPr="00CB1C46" w:rsidRDefault="00660978" w:rsidP="00612094">
            <w:pPr>
              <w:pStyle w:val="TableText"/>
              <w:spacing w:before="40" w:after="40"/>
              <w:rPr>
                <w:rFonts w:cs="Calibri"/>
              </w:rPr>
            </w:pPr>
            <w:r w:rsidRPr="00CB1C46">
              <w:rPr>
                <w:rFonts w:cs="Calibri"/>
              </w:rPr>
              <w:t>Domestic aviation – CO</w:t>
            </w:r>
            <w:r w:rsidRPr="00CB1C46">
              <w:rPr>
                <w:rFonts w:cs="Calibri"/>
                <w:vertAlign w:val="subscript"/>
              </w:rPr>
              <w:t>2</w:t>
            </w:r>
          </w:p>
        </w:tc>
        <w:tc>
          <w:tcPr>
            <w:tcW w:w="976" w:type="pct"/>
            <w:shd w:val="clear" w:color="auto" w:fill="auto"/>
            <w:noWrap/>
            <w:hideMark/>
          </w:tcPr>
          <w:p w14:paraId="55EAE766" w14:textId="77777777" w:rsidR="00660978" w:rsidRPr="00CB1C46" w:rsidRDefault="00660978" w:rsidP="00612094">
            <w:pPr>
              <w:pStyle w:val="TableText"/>
              <w:spacing w:before="40" w:after="40"/>
              <w:rPr>
                <w:rFonts w:cs="Calibri"/>
              </w:rPr>
            </w:pPr>
            <w:r w:rsidRPr="00CB1C46">
              <w:rPr>
                <w:rFonts w:cs="Calibri"/>
              </w:rPr>
              <w:t>Level, trend</w:t>
            </w:r>
          </w:p>
        </w:tc>
        <w:tc>
          <w:tcPr>
            <w:tcW w:w="887" w:type="pct"/>
            <w:shd w:val="clear" w:color="auto" w:fill="auto"/>
            <w:noWrap/>
            <w:hideMark/>
          </w:tcPr>
          <w:p w14:paraId="2FBC10F8" w14:textId="77777777" w:rsidR="00660978" w:rsidRPr="00CB1C46" w:rsidRDefault="00660978" w:rsidP="00612094">
            <w:pPr>
              <w:pStyle w:val="TableText"/>
              <w:spacing w:before="40" w:after="40"/>
              <w:rPr>
                <w:rFonts w:cs="Calibri"/>
              </w:rPr>
            </w:pPr>
          </w:p>
        </w:tc>
        <w:tc>
          <w:tcPr>
            <w:tcW w:w="921" w:type="pct"/>
            <w:shd w:val="clear" w:color="auto" w:fill="auto"/>
            <w:noWrap/>
            <w:hideMark/>
          </w:tcPr>
          <w:p w14:paraId="5CE3B68F" w14:textId="77777777" w:rsidR="00660978" w:rsidRPr="00CB1C46" w:rsidRDefault="00660978" w:rsidP="00612094">
            <w:pPr>
              <w:pStyle w:val="TableText"/>
              <w:spacing w:before="40" w:after="40"/>
              <w:rPr>
                <w:rFonts w:cs="Calibri"/>
              </w:rPr>
            </w:pPr>
          </w:p>
        </w:tc>
      </w:tr>
      <w:tr w:rsidR="00660978" w:rsidRPr="00CB1C46" w14:paraId="71AC8DE8" w14:textId="77777777" w:rsidTr="004873FC">
        <w:trPr>
          <w:cantSplit/>
        </w:trPr>
        <w:tc>
          <w:tcPr>
            <w:tcW w:w="2216" w:type="pct"/>
            <w:shd w:val="clear" w:color="auto" w:fill="auto"/>
            <w:noWrap/>
            <w:hideMark/>
          </w:tcPr>
          <w:p w14:paraId="66AC4162" w14:textId="77777777" w:rsidR="00660978" w:rsidRPr="00CB1C46" w:rsidRDefault="00660978" w:rsidP="00612094">
            <w:pPr>
              <w:pStyle w:val="TableText"/>
              <w:spacing w:before="40" w:after="40"/>
              <w:rPr>
                <w:rFonts w:cs="Calibri"/>
              </w:rPr>
            </w:pPr>
            <w:r w:rsidRPr="00CB1C46">
              <w:rPr>
                <w:rFonts w:cs="Calibri"/>
              </w:rPr>
              <w:t>Road transportation – CO</w:t>
            </w:r>
            <w:r w:rsidRPr="00CB1C46">
              <w:rPr>
                <w:rFonts w:cs="Calibri"/>
                <w:vertAlign w:val="subscript"/>
              </w:rPr>
              <w:t>2</w:t>
            </w:r>
          </w:p>
        </w:tc>
        <w:tc>
          <w:tcPr>
            <w:tcW w:w="976" w:type="pct"/>
            <w:shd w:val="clear" w:color="auto" w:fill="auto"/>
            <w:noWrap/>
            <w:hideMark/>
          </w:tcPr>
          <w:p w14:paraId="795547C8" w14:textId="77777777" w:rsidR="00660978" w:rsidRPr="00CB1C46" w:rsidRDefault="00660978" w:rsidP="00612094">
            <w:pPr>
              <w:pStyle w:val="TableText"/>
              <w:spacing w:before="40" w:after="40"/>
              <w:rPr>
                <w:rFonts w:cs="Calibri"/>
              </w:rPr>
            </w:pPr>
            <w:r w:rsidRPr="00CB1C46">
              <w:rPr>
                <w:rFonts w:cs="Calibri"/>
              </w:rPr>
              <w:t>Level, trend</w:t>
            </w:r>
          </w:p>
        </w:tc>
        <w:tc>
          <w:tcPr>
            <w:tcW w:w="887" w:type="pct"/>
            <w:shd w:val="clear" w:color="auto" w:fill="auto"/>
            <w:noWrap/>
          </w:tcPr>
          <w:p w14:paraId="57AFB52C" w14:textId="77777777" w:rsidR="00660978" w:rsidRPr="00CB1C46" w:rsidRDefault="00660978" w:rsidP="00612094">
            <w:pPr>
              <w:pStyle w:val="TableText"/>
              <w:spacing w:before="40" w:after="40"/>
              <w:jc w:val="center"/>
              <w:rPr>
                <w:rFonts w:cs="Calibri"/>
              </w:rPr>
            </w:pPr>
          </w:p>
        </w:tc>
        <w:tc>
          <w:tcPr>
            <w:tcW w:w="921" w:type="pct"/>
            <w:shd w:val="clear" w:color="auto" w:fill="auto"/>
            <w:noWrap/>
            <w:hideMark/>
          </w:tcPr>
          <w:p w14:paraId="0AC63A05" w14:textId="77777777" w:rsidR="00660978" w:rsidRPr="00CB1C46" w:rsidRDefault="00660978" w:rsidP="00612094">
            <w:pPr>
              <w:pStyle w:val="TableText"/>
              <w:spacing w:before="40" w:after="40"/>
              <w:rPr>
                <w:rFonts w:cs="Calibri"/>
              </w:rPr>
            </w:pPr>
            <w:r w:rsidRPr="00CB1C46">
              <w:rPr>
                <w:rFonts w:cs="Calibri"/>
              </w:rPr>
              <w:t>Trend</w:t>
            </w:r>
          </w:p>
        </w:tc>
      </w:tr>
      <w:tr w:rsidR="00660978" w:rsidRPr="00CB1C46" w14:paraId="792CCDE1" w14:textId="77777777" w:rsidTr="004873FC">
        <w:trPr>
          <w:cantSplit/>
        </w:trPr>
        <w:tc>
          <w:tcPr>
            <w:tcW w:w="2216" w:type="pct"/>
            <w:shd w:val="clear" w:color="auto" w:fill="auto"/>
            <w:noWrap/>
          </w:tcPr>
          <w:p w14:paraId="03CCF10D" w14:textId="77777777" w:rsidR="00660978" w:rsidRPr="00CB1C46" w:rsidRDefault="00660978" w:rsidP="00612094">
            <w:pPr>
              <w:pStyle w:val="TableText"/>
              <w:spacing w:before="40" w:after="40"/>
              <w:rPr>
                <w:rFonts w:cs="Calibri"/>
              </w:rPr>
            </w:pPr>
            <w:r w:rsidRPr="00CB1C46">
              <w:rPr>
                <w:rFonts w:cs="Calibri"/>
              </w:rPr>
              <w:t>Domestic navigation – CO</w:t>
            </w:r>
            <w:r w:rsidRPr="00CB1C46">
              <w:rPr>
                <w:rFonts w:cs="Calibri"/>
                <w:vertAlign w:val="subscript"/>
              </w:rPr>
              <w:t>2</w:t>
            </w:r>
          </w:p>
        </w:tc>
        <w:tc>
          <w:tcPr>
            <w:tcW w:w="976" w:type="pct"/>
            <w:shd w:val="clear" w:color="auto" w:fill="auto"/>
            <w:noWrap/>
          </w:tcPr>
          <w:p w14:paraId="68482542" w14:textId="77777777" w:rsidR="00660978" w:rsidRPr="00CB1C46" w:rsidRDefault="00660978" w:rsidP="00612094">
            <w:pPr>
              <w:pStyle w:val="TableText"/>
              <w:spacing w:before="40" w:after="40"/>
              <w:rPr>
                <w:rFonts w:cs="Calibri"/>
              </w:rPr>
            </w:pPr>
            <w:r w:rsidRPr="00CB1C46">
              <w:rPr>
                <w:rFonts w:cs="Calibri"/>
              </w:rPr>
              <w:t>Level</w:t>
            </w:r>
          </w:p>
        </w:tc>
        <w:tc>
          <w:tcPr>
            <w:tcW w:w="887" w:type="pct"/>
            <w:shd w:val="clear" w:color="auto" w:fill="auto"/>
            <w:noWrap/>
          </w:tcPr>
          <w:p w14:paraId="32CA5541" w14:textId="77777777" w:rsidR="00660978" w:rsidRPr="00CB1C46" w:rsidRDefault="00660978" w:rsidP="00612094">
            <w:pPr>
              <w:pStyle w:val="TableText"/>
              <w:spacing w:before="40" w:after="40"/>
              <w:jc w:val="center"/>
              <w:rPr>
                <w:rFonts w:cs="Calibri"/>
              </w:rPr>
            </w:pPr>
          </w:p>
        </w:tc>
        <w:tc>
          <w:tcPr>
            <w:tcW w:w="921" w:type="pct"/>
            <w:shd w:val="clear" w:color="auto" w:fill="auto"/>
            <w:noWrap/>
          </w:tcPr>
          <w:p w14:paraId="17357742" w14:textId="77777777" w:rsidR="00660978" w:rsidRPr="00CB1C46" w:rsidRDefault="00660978" w:rsidP="00612094">
            <w:pPr>
              <w:pStyle w:val="TableText"/>
              <w:spacing w:before="40" w:after="40"/>
              <w:rPr>
                <w:rFonts w:cs="Calibri"/>
              </w:rPr>
            </w:pPr>
          </w:p>
        </w:tc>
      </w:tr>
    </w:tbl>
    <w:p w14:paraId="46E325B4" w14:textId="77777777" w:rsidR="00660978" w:rsidRPr="00CB1C46" w:rsidRDefault="00660978" w:rsidP="00660978">
      <w:pPr>
        <w:pStyle w:val="Heading4"/>
        <w:spacing w:before="360"/>
        <w:rPr>
          <w:lang w:eastAsia="en-GB"/>
        </w:rPr>
      </w:pPr>
      <w:r w:rsidRPr="00CB1C46">
        <w:rPr>
          <w:lang w:eastAsia="en-GB"/>
        </w:rPr>
        <w:t>Methodological issues</w:t>
      </w:r>
    </w:p>
    <w:p w14:paraId="132A32B3" w14:textId="77777777" w:rsidR="00660978" w:rsidRPr="00CB1C46" w:rsidRDefault="00660978" w:rsidP="00660978">
      <w:pPr>
        <w:pStyle w:val="Heading5"/>
        <w:spacing w:before="120"/>
        <w:rPr>
          <w:rFonts w:cs="Calibri"/>
        </w:rPr>
      </w:pPr>
      <w:r w:rsidRPr="00CB1C46">
        <w:rPr>
          <w:rFonts w:cs="Calibri"/>
          <w:lang w:eastAsia="en-GB"/>
        </w:rPr>
        <w:t xml:space="preserve">1.A.3.a </w:t>
      </w:r>
      <w:r w:rsidRPr="00CB1C46">
        <w:rPr>
          <w:rFonts w:cs="Calibri"/>
        </w:rPr>
        <w:t>Civil</w:t>
      </w:r>
      <w:r w:rsidRPr="00CB1C46">
        <w:rPr>
          <w:rFonts w:cs="Calibri"/>
          <w:lang w:eastAsia="en-GB"/>
        </w:rPr>
        <w:t xml:space="preserve"> aviation</w:t>
      </w:r>
    </w:p>
    <w:p w14:paraId="54E7BB5E" w14:textId="77777777" w:rsidR="00660978" w:rsidRPr="00CB1C46" w:rsidRDefault="00660978" w:rsidP="00660978">
      <w:pPr>
        <w:pStyle w:val="BodyText"/>
        <w:spacing w:before="100" w:after="100"/>
        <w:rPr>
          <w:rFonts w:cs="Calibri"/>
          <w:lang w:eastAsia="en-GB"/>
        </w:rPr>
      </w:pPr>
      <w:r w:rsidRPr="00CB1C46">
        <w:rPr>
          <w:rFonts w:cs="Calibri"/>
          <w:lang w:eastAsia="en-GB"/>
        </w:rPr>
        <w:t xml:space="preserve">A Tier 1 approach (IPCC, 2006) that does not use landing and take-off cycles has been taken to estimate emissions from the </w:t>
      </w:r>
      <w:r w:rsidRPr="00CB1C46">
        <w:rPr>
          <w:rFonts w:cs="Calibri"/>
          <w:i/>
          <w:lang w:eastAsia="en-GB"/>
        </w:rPr>
        <w:t>Civil aviation</w:t>
      </w:r>
      <w:r w:rsidRPr="00CB1C46">
        <w:rPr>
          <w:rFonts w:cs="Calibri"/>
          <w:lang w:eastAsia="en-GB"/>
        </w:rPr>
        <w:t xml:space="preserve"> category. Given the uncertainty surrounding </w:t>
      </w:r>
      <w:r w:rsidRPr="00CB1C46">
        <w:rPr>
          <w:rFonts w:cs="Calibri"/>
        </w:rPr>
        <w:t>CH</w:t>
      </w:r>
      <w:r w:rsidRPr="00CB1C46">
        <w:rPr>
          <w:rFonts w:cs="Calibri"/>
          <w:vertAlign w:val="subscript"/>
        </w:rPr>
        <w:t>4</w:t>
      </w:r>
      <w:r w:rsidRPr="00CB1C46">
        <w:rPr>
          <w:rFonts w:cs="Calibri"/>
          <w:lang w:eastAsia="en-GB"/>
        </w:rPr>
        <w:t xml:space="preserve"> and </w:t>
      </w:r>
      <w:r w:rsidRPr="00CB1C46">
        <w:rPr>
          <w:rFonts w:cs="Calibri"/>
        </w:rPr>
        <w:t>N</w:t>
      </w:r>
      <w:r w:rsidRPr="00CB1C46">
        <w:rPr>
          <w:rFonts w:cs="Calibri"/>
          <w:vertAlign w:val="subscript"/>
        </w:rPr>
        <w:t>2</w:t>
      </w:r>
      <w:r w:rsidRPr="00CB1C46">
        <w:rPr>
          <w:rFonts w:cs="Calibri"/>
        </w:rPr>
        <w:t>O</w:t>
      </w:r>
      <w:r w:rsidRPr="00CB1C46">
        <w:rPr>
          <w:rFonts w:cs="Calibri"/>
          <w:lang w:eastAsia="en-GB"/>
        </w:rPr>
        <w:t xml:space="preserve"> emission factors for landing and take-off cycles, a Tier 2 approach to estimating non-CO</w:t>
      </w:r>
      <w:r w:rsidRPr="00CB1C46">
        <w:rPr>
          <w:rFonts w:cs="Calibri"/>
          <w:vertAlign w:val="subscript"/>
          <w:lang w:eastAsia="en-GB"/>
        </w:rPr>
        <w:t>2</w:t>
      </w:r>
      <w:r w:rsidRPr="00CB1C46">
        <w:rPr>
          <w:rFonts w:cs="Calibri"/>
          <w:lang w:eastAsia="en-GB"/>
        </w:rPr>
        <w:t xml:space="preserve"> emissions would not necessarily reduce uncertainty (IPCC, 2006).</w:t>
      </w:r>
    </w:p>
    <w:p w14:paraId="590BE3C8" w14:textId="77777777" w:rsidR="00660978" w:rsidRPr="00CB1C46" w:rsidRDefault="00660978" w:rsidP="00660978">
      <w:pPr>
        <w:pStyle w:val="Heading5"/>
        <w:rPr>
          <w:rFonts w:cs="Calibri"/>
          <w:lang w:eastAsia="en-GB"/>
        </w:rPr>
      </w:pPr>
      <w:r w:rsidRPr="00CB1C46">
        <w:rPr>
          <w:rFonts w:cs="Calibri"/>
          <w:szCs w:val="22"/>
        </w:rPr>
        <w:t xml:space="preserve">1.A.3.b </w:t>
      </w:r>
      <w:r w:rsidRPr="00CB1C46">
        <w:rPr>
          <w:rFonts w:cs="Calibri"/>
          <w:lang w:eastAsia="en-GB"/>
        </w:rPr>
        <w:t xml:space="preserve">Road </w:t>
      </w:r>
      <w:r w:rsidRPr="00CB1C46">
        <w:rPr>
          <w:rFonts w:cs="Calibri"/>
        </w:rPr>
        <w:t>transportation</w:t>
      </w:r>
    </w:p>
    <w:p w14:paraId="382E594E" w14:textId="77777777" w:rsidR="00660978" w:rsidRPr="00CB1C46" w:rsidRDefault="00660978" w:rsidP="00660978">
      <w:pPr>
        <w:pStyle w:val="BodyText"/>
        <w:spacing w:after="100"/>
        <w:rPr>
          <w:rFonts w:cs="Calibri"/>
          <w:lang w:eastAsia="en-GB"/>
        </w:rPr>
      </w:pPr>
      <w:r w:rsidRPr="00CB1C46">
        <w:rPr>
          <w:rFonts w:cs="Calibri"/>
          <w:lang w:eastAsia="en-GB"/>
        </w:rPr>
        <w:t xml:space="preserve">The IPCC 2006 Tier 2 approach was used to calculate </w:t>
      </w:r>
      <w:r w:rsidRPr="00CB1C46">
        <w:rPr>
          <w:rFonts w:cs="Calibri"/>
        </w:rPr>
        <w:t>CO</w:t>
      </w:r>
      <w:r w:rsidRPr="00CB1C46">
        <w:rPr>
          <w:rFonts w:cs="Calibri"/>
          <w:vertAlign w:val="subscript"/>
        </w:rPr>
        <w:t>2</w:t>
      </w:r>
      <w:r w:rsidRPr="00CB1C46">
        <w:rPr>
          <w:rFonts w:cs="Calibri"/>
          <w:sz w:val="14"/>
          <w:szCs w:val="14"/>
          <w:lang w:eastAsia="en-GB"/>
        </w:rPr>
        <w:t xml:space="preserve"> </w:t>
      </w:r>
      <w:r w:rsidRPr="00CB1C46">
        <w:rPr>
          <w:rFonts w:cs="Calibri"/>
          <w:lang w:eastAsia="en-GB"/>
        </w:rPr>
        <w:t xml:space="preserve">emissions from </w:t>
      </w:r>
      <w:r w:rsidRPr="00CB1C46">
        <w:rPr>
          <w:rFonts w:cs="Calibri"/>
          <w:i/>
          <w:lang w:eastAsia="en-GB"/>
        </w:rPr>
        <w:t>Road transportation</w:t>
      </w:r>
      <w:r w:rsidRPr="00CB1C46">
        <w:rPr>
          <w:rFonts w:cs="Calibri"/>
          <w:lang w:eastAsia="en-GB"/>
        </w:rPr>
        <w:t xml:space="preserve"> using New Zealand-specific emission factors. The emission factors were calculated using data provided by New Zealand’s sole oil refinery for oil products and the weighted average emission factor of New Zealand </w:t>
      </w:r>
      <w:r w:rsidRPr="00CB1C46">
        <w:rPr>
          <w:rFonts w:cs="Calibri"/>
        </w:rPr>
        <w:t xml:space="preserve">natural </w:t>
      </w:r>
      <w:r w:rsidRPr="00CB1C46">
        <w:rPr>
          <w:rFonts w:cs="Calibri"/>
          <w:lang w:eastAsia="en-GB"/>
        </w:rPr>
        <w:t xml:space="preserve">gas fields for compressed natural gas (CNG). </w:t>
      </w:r>
    </w:p>
    <w:p w14:paraId="6524E385" w14:textId="77777777" w:rsidR="00660978" w:rsidRPr="00CB1C46" w:rsidRDefault="00660978" w:rsidP="00660978">
      <w:pPr>
        <w:pStyle w:val="BodyText"/>
        <w:spacing w:after="100"/>
        <w:rPr>
          <w:rFonts w:cs="Calibri"/>
          <w:lang w:eastAsia="en-GB"/>
        </w:rPr>
      </w:pPr>
      <w:r w:rsidRPr="00CB1C46">
        <w:rPr>
          <w:rFonts w:cs="Calibri"/>
          <w:lang w:eastAsia="en-GB"/>
        </w:rPr>
        <w:t xml:space="preserve">Since the 2012 submission, New Zealand has used a Tier 3 (IPCC, 2006) methodology to estimate </w:t>
      </w:r>
      <w:r w:rsidRPr="00CB1C46">
        <w:rPr>
          <w:rFonts w:cs="Calibri"/>
        </w:rPr>
        <w:t>CH</w:t>
      </w:r>
      <w:r w:rsidRPr="00CB1C46">
        <w:rPr>
          <w:rFonts w:cs="Calibri"/>
          <w:vertAlign w:val="subscript"/>
        </w:rPr>
        <w:t>4</w:t>
      </w:r>
      <w:r w:rsidRPr="00CB1C46">
        <w:rPr>
          <w:rFonts w:cs="Calibri"/>
          <w:lang w:eastAsia="en-GB"/>
        </w:rPr>
        <w:t xml:space="preserve"> and </w:t>
      </w:r>
      <w:r w:rsidRPr="00CB1C46">
        <w:rPr>
          <w:rFonts w:cs="Calibri"/>
        </w:rPr>
        <w:t>N</w:t>
      </w:r>
      <w:r w:rsidRPr="00CB1C46">
        <w:rPr>
          <w:rFonts w:cs="Calibri"/>
          <w:vertAlign w:val="subscript"/>
        </w:rPr>
        <w:t>2</w:t>
      </w:r>
      <w:r w:rsidRPr="00CB1C46">
        <w:rPr>
          <w:rFonts w:cs="Calibri"/>
        </w:rPr>
        <w:t>O</w:t>
      </w:r>
      <w:r w:rsidRPr="00CB1C46">
        <w:rPr>
          <w:rFonts w:cs="Calibri"/>
          <w:lang w:eastAsia="en-GB"/>
        </w:rPr>
        <w:t xml:space="preserve"> emissions from road transport. Data collected by New Zealand’s Ministry of Transport provide comprehensive information on vehicle-kilometres-travelled by vehicle class and fuel type from 2001 to 20</w:t>
      </w:r>
      <w:r w:rsidRPr="00CB1C46">
        <w:rPr>
          <w:rFonts w:cs="Calibri"/>
        </w:rPr>
        <w:t>16</w:t>
      </w:r>
      <w:r w:rsidRPr="00CB1C46">
        <w:rPr>
          <w:rFonts w:cs="Calibri"/>
          <w:lang w:eastAsia="en-GB"/>
        </w:rPr>
        <w:t>. Before 2001, insufficient data were available, so good practice guidance was used in choosing the splicing method to ensure time</w:t>
      </w:r>
      <w:r w:rsidRPr="00CB1C46">
        <w:rPr>
          <w:rFonts w:cs="Calibri"/>
          <w:lang w:eastAsia="en-GB"/>
        </w:rPr>
        <w:noBreakHyphen/>
        <w:t>series consistency.</w:t>
      </w:r>
    </w:p>
    <w:p w14:paraId="53394B85" w14:textId="77777777" w:rsidR="00660978" w:rsidRPr="00CB1C46" w:rsidRDefault="00660978" w:rsidP="00660978">
      <w:pPr>
        <w:pStyle w:val="BodyText"/>
      </w:pPr>
      <w:r w:rsidRPr="00CB1C46">
        <w:lastRenderedPageBreak/>
        <w:t>The current New Zealand vehicle fleet is split relatively evenly between vehicles:</w:t>
      </w:r>
    </w:p>
    <w:p w14:paraId="5812FDDD" w14:textId="77777777" w:rsidR="00660978" w:rsidRPr="00CB1C46" w:rsidRDefault="00660978" w:rsidP="00660978">
      <w:pPr>
        <w:pStyle w:val="Bullet"/>
      </w:pPr>
      <w:r w:rsidRPr="00CB1C46">
        <w:t>manufactured in New Zealand</w:t>
      </w:r>
      <w:r w:rsidRPr="00CB1C46">
        <w:rPr>
          <w:vertAlign w:val="superscript"/>
        </w:rPr>
        <w:footnoteReference w:id="32"/>
      </w:r>
      <w:r w:rsidRPr="00CB1C46">
        <w:t xml:space="preserve"> or imported for sale as new vehicles</w:t>
      </w:r>
    </w:p>
    <w:p w14:paraId="6BA1EB3D" w14:textId="77777777" w:rsidR="00660978" w:rsidRPr="00CB1C46" w:rsidRDefault="00660978" w:rsidP="00660978">
      <w:pPr>
        <w:pStyle w:val="Bullet"/>
      </w:pPr>
      <w:r w:rsidRPr="00CB1C46">
        <w:t>produced and used in Japan and then imported into New Zealand.</w:t>
      </w:r>
    </w:p>
    <w:p w14:paraId="3DCA68D7" w14:textId="77777777" w:rsidR="00660978" w:rsidRPr="00CB1C46" w:rsidRDefault="00660978" w:rsidP="00660978">
      <w:pPr>
        <w:pStyle w:val="BodyText"/>
      </w:pPr>
      <w:r w:rsidRPr="00CB1C46">
        <w:t>This split has been relatively constant for the past nine years.</w:t>
      </w:r>
    </w:p>
    <w:p w14:paraId="1924C651" w14:textId="77777777" w:rsidR="00660978" w:rsidRPr="00CB1C46" w:rsidRDefault="00660978" w:rsidP="00660978">
      <w:pPr>
        <w:pStyle w:val="BodyText"/>
      </w:pPr>
      <w:r w:rsidRPr="00CB1C46">
        <w:t>For this reason, when estimating emissions from road transport, the New Zealand vehicle fleet (and associated CH</w:t>
      </w:r>
      <w:r w:rsidRPr="00CB1C46">
        <w:rPr>
          <w:vertAlign w:val="subscript"/>
        </w:rPr>
        <w:t>4</w:t>
      </w:r>
      <w:r w:rsidRPr="00CB1C46">
        <w:t xml:space="preserve"> and N</w:t>
      </w:r>
      <w:r w:rsidRPr="00CB1C46">
        <w:rPr>
          <w:vertAlign w:val="subscript"/>
        </w:rPr>
        <w:t>2</w:t>
      </w:r>
      <w:r w:rsidRPr="00CB1C46">
        <w:t xml:space="preserve">O emissions) is split into the ‘new vehicle fleet’ and ‘used vehicle fleet’ (based on a vehicle’s year of manufacture rather than when they are first added to the New Zealand fleet). </w:t>
      </w:r>
    </w:p>
    <w:p w14:paraId="32D8CC78" w14:textId="77777777" w:rsidR="00660978" w:rsidRPr="00CB1C46" w:rsidRDefault="00660978" w:rsidP="00660978">
      <w:pPr>
        <w:pStyle w:val="BodyText"/>
      </w:pPr>
      <w:r w:rsidRPr="00CB1C46">
        <w:t>New vehicles were allocated an appropriate vehicle class from the COPERT 4 model (European Environment Agency, 2007), and used Japanese vehicles were allocated emission factors as per categories from the Japanese Ministry of the Environment. These emission factors are broken down by:</w:t>
      </w:r>
    </w:p>
    <w:p w14:paraId="4228F687" w14:textId="77777777" w:rsidR="00660978" w:rsidRPr="00CB1C46" w:rsidRDefault="00660978" w:rsidP="00660978">
      <w:pPr>
        <w:pStyle w:val="Bullet"/>
      </w:pPr>
      <w:r w:rsidRPr="00CB1C46">
        <w:t>vehicle type</w:t>
      </w:r>
    </w:p>
    <w:p w14:paraId="38867834" w14:textId="77777777" w:rsidR="00660978" w:rsidRPr="00CB1C46" w:rsidRDefault="00660978" w:rsidP="00660978">
      <w:pPr>
        <w:pStyle w:val="Bullet"/>
      </w:pPr>
      <w:r w:rsidRPr="00CB1C46">
        <w:t xml:space="preserve">fuel type </w:t>
      </w:r>
    </w:p>
    <w:p w14:paraId="19BE3098" w14:textId="77777777" w:rsidR="00660978" w:rsidRPr="00CB1C46" w:rsidRDefault="00660978" w:rsidP="00660978">
      <w:pPr>
        <w:pStyle w:val="Bullet"/>
      </w:pPr>
      <w:r w:rsidRPr="00CB1C46">
        <w:t xml:space="preserve">vehicle weight class </w:t>
      </w:r>
    </w:p>
    <w:p w14:paraId="305AF88F" w14:textId="77777777" w:rsidR="00660978" w:rsidRPr="00CB1C46" w:rsidRDefault="00660978" w:rsidP="00660978">
      <w:pPr>
        <w:pStyle w:val="Bullet"/>
      </w:pPr>
      <w:r w:rsidRPr="00CB1C46">
        <w:t>year of manufacture.</w:t>
      </w:r>
    </w:p>
    <w:p w14:paraId="2CFE4869" w14:textId="77777777" w:rsidR="00660978" w:rsidRPr="00CB1C46" w:rsidRDefault="00660978" w:rsidP="00660978">
      <w:pPr>
        <w:pStyle w:val="BodyText"/>
        <w:rPr>
          <w:rFonts w:cs="Calibri"/>
        </w:rPr>
      </w:pPr>
      <w:r w:rsidRPr="00CB1C46">
        <w:rPr>
          <w:rFonts w:cs="Calibri"/>
        </w:rPr>
        <w:t xml:space="preserve">Due to the presence of expensive catalysts, many used vehicles imported into New Zealand had their catalytic converters removed before being exported from Japan. The Ministry of Transport undertook several testing studies to determine the proportion of catalytic converters that are removed in Japan before export. </w:t>
      </w:r>
    </w:p>
    <w:p w14:paraId="322CC268" w14:textId="77777777" w:rsidR="00660978" w:rsidRPr="00CB1C46" w:rsidRDefault="00660978" w:rsidP="00660978">
      <w:pPr>
        <w:pStyle w:val="BodyText"/>
        <w:rPr>
          <w:rFonts w:cs="Calibri"/>
        </w:rPr>
      </w:pPr>
      <w:r w:rsidRPr="00CB1C46">
        <w:rPr>
          <w:rFonts w:cs="Calibri"/>
        </w:rPr>
        <w:t>Information on non-CO</w:t>
      </w:r>
      <w:r w:rsidRPr="00CB1C46">
        <w:rPr>
          <w:rFonts w:cs="Calibri"/>
          <w:vertAlign w:val="subscript"/>
        </w:rPr>
        <w:t>2</w:t>
      </w:r>
      <w:r w:rsidRPr="00CB1C46">
        <w:rPr>
          <w:rFonts w:cs="Calibri"/>
        </w:rPr>
        <w:t xml:space="preserve"> emission factors can be found in annex 4, table A4.7.</w:t>
      </w:r>
    </w:p>
    <w:p w14:paraId="7A2AD696" w14:textId="77777777" w:rsidR="00660978" w:rsidRPr="00CB1C46" w:rsidRDefault="00660978" w:rsidP="00660978">
      <w:pPr>
        <w:pStyle w:val="BodyText"/>
        <w:rPr>
          <w:rFonts w:cs="Calibri"/>
        </w:rPr>
      </w:pPr>
      <w:r w:rsidRPr="00CB1C46">
        <w:rPr>
          <w:rFonts w:cs="Calibri"/>
        </w:rPr>
        <w:t xml:space="preserve">Vehicle-kilometres-travelled were sourced from national six-monthly warrant of fitness inspections. These were further split into travel type (urban, rural, highway, motorway) using New Zealand’s Road Assessment and Maintenance Management system. </w:t>
      </w:r>
    </w:p>
    <w:p w14:paraId="58772B48" w14:textId="77777777" w:rsidR="00660978" w:rsidRPr="00CB1C46" w:rsidRDefault="00660978" w:rsidP="00660978">
      <w:pPr>
        <w:pStyle w:val="BodyText"/>
        <w:rPr>
          <w:rFonts w:cs="Calibri"/>
        </w:rPr>
      </w:pPr>
      <w:r w:rsidRPr="00CB1C46">
        <w:rPr>
          <w:rFonts w:cs="Calibri"/>
        </w:rPr>
        <w:t xml:space="preserve">The </w:t>
      </w:r>
      <w:r w:rsidRPr="00CB1C46">
        <w:rPr>
          <w:rFonts w:cs="Calibri"/>
          <w:i/>
        </w:rPr>
        <w:t>New Zealand Travel Survey</w:t>
      </w:r>
      <w:r w:rsidRPr="00CB1C46">
        <w:rPr>
          <w:rFonts w:cs="Calibri"/>
        </w:rPr>
        <w:t xml:space="preserve"> (Ministry of Transport, 2010) is used to further split the ‘urban’ travel type into cold and hot starts. This survey provides detailed trip-by-trip information on travel type. These data were used to establish the percentage of light-vehicle urban travel that was cold and hot starts.</w:t>
      </w:r>
    </w:p>
    <w:p w14:paraId="6EC44D7C" w14:textId="77777777" w:rsidR="00660978" w:rsidRPr="00CB1C46" w:rsidRDefault="00660978" w:rsidP="00660978">
      <w:pPr>
        <w:pStyle w:val="BodyText"/>
        <w:rPr>
          <w:rFonts w:cs="Calibri"/>
        </w:rPr>
      </w:pPr>
      <w:r w:rsidRPr="00CB1C46">
        <w:rPr>
          <w:rFonts w:cs="Calibri"/>
          <w:lang w:eastAsia="en-GB"/>
        </w:rPr>
        <w:t xml:space="preserve">MBIE </w:t>
      </w:r>
      <w:r w:rsidRPr="00CB1C46">
        <w:rPr>
          <w:rFonts w:cs="Calibri"/>
        </w:rPr>
        <w:t>and the Ministry for the Environment met with the Australian inventory reporting team in July 2011 to conduct a review of proposed methodologies for calculating emissions of CH</w:t>
      </w:r>
      <w:r w:rsidRPr="00CB1C46">
        <w:rPr>
          <w:rFonts w:cs="Calibri"/>
          <w:vertAlign w:val="subscript"/>
        </w:rPr>
        <w:t>4</w:t>
      </w:r>
      <w:r w:rsidRPr="00CB1C46">
        <w:rPr>
          <w:rFonts w:cs="Calibri"/>
        </w:rPr>
        <w:t xml:space="preserve"> and N</w:t>
      </w:r>
      <w:r w:rsidRPr="00CB1C46">
        <w:rPr>
          <w:rFonts w:cs="Calibri"/>
          <w:vertAlign w:val="subscript"/>
        </w:rPr>
        <w:t>2</w:t>
      </w:r>
      <w:r w:rsidRPr="00CB1C46">
        <w:rPr>
          <w:rFonts w:cs="Calibri"/>
        </w:rPr>
        <w:t xml:space="preserve">O associated with road transport. New Zealand’s Tier 3 approach for road transport was presented, resulting in a recommendation from the Australian team that the new methodology be adopted for the 2012 submission, and that New Zealand use the IPCC-recommended approach to selecting splicing techniques to choose an appropriate splicing method. In this, New Zealand applied splicing techniques following the 2006 IPCC Guidelines on the method selection approach. </w:t>
      </w:r>
    </w:p>
    <w:p w14:paraId="7BDD7033" w14:textId="7BA664E1" w:rsidR="00660978" w:rsidRPr="00CB1C46" w:rsidRDefault="00660978" w:rsidP="00660978">
      <w:pPr>
        <w:pStyle w:val="BodyText"/>
        <w:rPr>
          <w:lang w:eastAsia="en-US"/>
        </w:rPr>
      </w:pPr>
      <w:r w:rsidRPr="00CB1C46">
        <w:rPr>
          <w:lang w:eastAsia="en-GB"/>
        </w:rPr>
        <w:t>For the 2018 submission, the Ministry of Transport has implemented several improvements for its estimates of non-CO</w:t>
      </w:r>
      <w:r w:rsidRPr="00CB1C46">
        <w:rPr>
          <w:vertAlign w:val="subscript"/>
          <w:lang w:eastAsia="en-GB"/>
        </w:rPr>
        <w:t>2</w:t>
      </w:r>
      <w:r w:rsidRPr="00CB1C46">
        <w:rPr>
          <w:lang w:eastAsia="en-GB"/>
        </w:rPr>
        <w:t xml:space="preserve"> emissions from road transport. First, new emission factors for Euro 5 and 6 vehicles have been used, where previously these vehicles were treated as Euro 4/IV. </w:t>
      </w:r>
      <w:r w:rsidRPr="00CB1C46">
        <w:rPr>
          <w:lang w:eastAsia="en-GB"/>
        </w:rPr>
        <w:lastRenderedPageBreak/>
        <w:t>Second, t</w:t>
      </w:r>
      <w:r w:rsidRPr="00CB1C46">
        <w:t>he European Monitoring and Evaluation Programme/European Environment Agency emission inventory guidebook was updated in late 2016 (European Environment Agency, 2016). Some of the emission factors for Euro 4 and earlier vehicles were also updated in the</w:t>
      </w:r>
      <w:r w:rsidR="00D713A1">
        <w:t> </w:t>
      </w:r>
      <w:r w:rsidRPr="00CB1C46">
        <w:t xml:space="preserve">latest version of the guidebook. Moreover, detailed emission factors were provided for heavy-duty trucks in different gross vehicle mass bands. </w:t>
      </w:r>
    </w:p>
    <w:p w14:paraId="792652EE" w14:textId="77777777" w:rsidR="00660978" w:rsidRPr="00CB1C46" w:rsidRDefault="00660978" w:rsidP="00660978">
      <w:pPr>
        <w:pStyle w:val="Heading6"/>
      </w:pPr>
      <w:r w:rsidRPr="00CB1C46">
        <w:t>Time-series consistency</w:t>
      </w:r>
    </w:p>
    <w:p w14:paraId="4E485EC9" w14:textId="77777777" w:rsidR="00660978" w:rsidRPr="00CB1C46" w:rsidRDefault="00660978" w:rsidP="00660978">
      <w:pPr>
        <w:pStyle w:val="BodyText"/>
        <w:rPr>
          <w:rFonts w:cs="Calibri"/>
          <w:lang w:eastAsia="en-GB"/>
        </w:rPr>
      </w:pPr>
      <w:bookmarkStart w:id="356" w:name="_Toc321399334"/>
      <w:r w:rsidRPr="00CB1C46">
        <w:rPr>
          <w:rFonts w:cs="Calibri"/>
          <w:lang w:eastAsia="en-GB"/>
        </w:rPr>
        <w:t xml:space="preserve">The data available for applying the Tier 3 methodology between 1990 and 2000 were insufficient, so combining the methods to form a complete time series (splicing) was necessary. To establish the most appropriate splicing method, emissions were calculated using the Tier 1 methodology for the period 2001 to 2016. These emissions were compared against those calculated using the Tier 3 methodology, to determine the relationship between the two series (see </w:t>
      </w:r>
      <w:r w:rsidRPr="00CB1C46">
        <w:rPr>
          <w:rFonts w:cs="Calibri"/>
        </w:rPr>
        <w:t>figure 3.3.11</w:t>
      </w:r>
      <w:r w:rsidRPr="00CB1C46">
        <w:rPr>
          <w:rFonts w:cs="Calibri"/>
          <w:lang w:eastAsia="en-GB"/>
        </w:rPr>
        <w:t xml:space="preserve">). The guidance for the method selection process is provided in table 5.1 (volume 2) of the 2006 IPCC Guidelines. </w:t>
      </w:r>
    </w:p>
    <w:p w14:paraId="49691544" w14:textId="7CFB1A30" w:rsidR="00660978" w:rsidRPr="00CB1C46" w:rsidRDefault="00660978" w:rsidP="00660978">
      <w:pPr>
        <w:pStyle w:val="Figure"/>
        <w:rPr>
          <w:rFonts w:cs="Calibri"/>
        </w:rPr>
      </w:pPr>
      <w:bookmarkStart w:id="357" w:name="_Ref442370701"/>
      <w:bookmarkStart w:id="358" w:name="_Toc384582863"/>
      <w:bookmarkStart w:id="359" w:name="_Toc443060823"/>
      <w:bookmarkStart w:id="360" w:name="_Toc447275680"/>
      <w:bookmarkStart w:id="361" w:name="_Toc481751998"/>
      <w:bookmarkStart w:id="362" w:name="_Toc36292780"/>
      <w:bookmarkStart w:id="363" w:name="_Toc68786645"/>
      <w:bookmarkStart w:id="364" w:name="_Toc95834080"/>
      <w:bookmarkStart w:id="365" w:name="_Toc99696025"/>
      <w:r w:rsidRPr="00CB1C46">
        <w:rPr>
          <w:rFonts w:cs="Calibri"/>
        </w:rPr>
        <w:t>Figure 3.3.</w:t>
      </w:r>
      <w:r w:rsidRPr="00CB1C46">
        <w:rPr>
          <w:rFonts w:cs="Calibri"/>
        </w:rPr>
        <w:fldChar w:fldCharType="begin"/>
      </w:r>
      <w:r w:rsidRPr="00CB1C46">
        <w:rPr>
          <w:rFonts w:cs="Calibri"/>
        </w:rPr>
        <w:instrText xml:space="preserve"> SEQ Figure \* ARABIC \s 2 </w:instrText>
      </w:r>
      <w:r w:rsidRPr="00CB1C46">
        <w:rPr>
          <w:rFonts w:cs="Calibri"/>
        </w:rPr>
        <w:fldChar w:fldCharType="separate"/>
      </w:r>
      <w:r w:rsidR="009D338D">
        <w:rPr>
          <w:rFonts w:cs="Calibri"/>
          <w:noProof/>
        </w:rPr>
        <w:t>11</w:t>
      </w:r>
      <w:r w:rsidRPr="00CB1C46">
        <w:rPr>
          <w:rFonts w:cs="Calibri"/>
        </w:rPr>
        <w:fldChar w:fldCharType="end"/>
      </w:r>
      <w:bookmarkEnd w:id="357"/>
      <w:r w:rsidRPr="00CB1C46">
        <w:rPr>
          <w:rFonts w:cs="Calibri"/>
          <w:lang w:eastAsia="en-GB"/>
        </w:rPr>
        <w:t xml:space="preserve"> </w:t>
      </w:r>
      <w:r w:rsidRPr="00CB1C46">
        <w:rPr>
          <w:rFonts w:cs="Calibri"/>
          <w:lang w:eastAsia="en-GB"/>
        </w:rPr>
        <w:tab/>
        <w:t>Splicing method decision tree for gasoline emissions</w:t>
      </w:r>
      <w:bookmarkEnd w:id="356"/>
      <w:bookmarkEnd w:id="358"/>
      <w:bookmarkEnd w:id="359"/>
      <w:bookmarkEnd w:id="360"/>
      <w:bookmarkEnd w:id="361"/>
      <w:bookmarkEnd w:id="362"/>
      <w:bookmarkEnd w:id="363"/>
      <w:bookmarkEnd w:id="364"/>
      <w:bookmarkEnd w:id="365"/>
    </w:p>
    <w:p w14:paraId="5F61C025" w14:textId="77777777" w:rsidR="00660978" w:rsidRPr="00CB1C46" w:rsidRDefault="00660978" w:rsidP="00660978">
      <w:pPr>
        <w:pStyle w:val="BodyText"/>
        <w:spacing w:before="0" w:after="240"/>
        <w:rPr>
          <w:rFonts w:cs="Calibri"/>
        </w:rPr>
      </w:pPr>
      <w:r w:rsidRPr="00CB1C46">
        <w:rPr>
          <w:rFonts w:cs="Calibri"/>
        </w:rPr>
        <w:object w:dxaOrig="18690" w:dyaOrig="15625" w14:anchorId="2BB00358">
          <v:shape id="_x0000_i1058" type="#_x0000_t75" style="width:419.45pt;height:407.7pt" o:ole="">
            <v:imagedata r:id="rId70" o:title=""/>
          </v:shape>
          <o:OLEObject Type="Embed" ProgID="Visio.Drawing.11" ShapeID="_x0000_i1058" DrawAspect="Content" ObjectID="_1710830379" r:id="rId71"/>
        </w:object>
      </w:r>
    </w:p>
    <w:p w14:paraId="4415419A" w14:textId="77777777" w:rsidR="00660978" w:rsidRPr="00CB1C46" w:rsidRDefault="00660978" w:rsidP="00660978">
      <w:pPr>
        <w:pStyle w:val="BodyText"/>
        <w:rPr>
          <w:rFonts w:cs="Calibri"/>
        </w:rPr>
      </w:pPr>
      <w:r w:rsidRPr="00CB1C46">
        <w:rPr>
          <w:rFonts w:cs="Calibri"/>
          <w:lang w:eastAsia="en-GB"/>
        </w:rPr>
        <w:t>For all fuels, interpolation was considered inappropriate due to the size of the block of unavailable data and the lack of data from before the missing bloc</w:t>
      </w:r>
      <w:r w:rsidRPr="00CB1C46">
        <w:rPr>
          <w:rFonts w:cs="Calibri"/>
        </w:rPr>
        <w:t xml:space="preserve">k (1990–2000). </w:t>
      </w:r>
    </w:p>
    <w:p w14:paraId="7E829BF0" w14:textId="77777777" w:rsidR="00660978" w:rsidRPr="00CB1C46" w:rsidRDefault="00660978" w:rsidP="00660978">
      <w:pPr>
        <w:pStyle w:val="BodyText"/>
        <w:rPr>
          <w:rFonts w:cs="Calibri"/>
        </w:rPr>
      </w:pPr>
      <w:r w:rsidRPr="00CB1C46">
        <w:rPr>
          <w:rFonts w:cs="Calibri"/>
        </w:rPr>
        <w:lastRenderedPageBreak/>
        <w:t xml:space="preserve">For emission estimates from </w:t>
      </w:r>
      <w:r w:rsidRPr="00CB1C46">
        <w:rPr>
          <w:rFonts w:cs="Calibri"/>
          <w:lang w:eastAsia="en-GB"/>
        </w:rPr>
        <w:t xml:space="preserve">LPG, the relationship between Tier 1 and Tier 3 appears nearly constant for both </w:t>
      </w:r>
      <w:r w:rsidRPr="00CB1C46">
        <w:rPr>
          <w:rFonts w:cs="Calibri"/>
        </w:rPr>
        <w:t>N</w:t>
      </w:r>
      <w:r w:rsidRPr="00CB1C46">
        <w:rPr>
          <w:rFonts w:cs="Calibri"/>
          <w:vertAlign w:val="subscript"/>
        </w:rPr>
        <w:t>2</w:t>
      </w:r>
      <w:r w:rsidRPr="00CB1C46">
        <w:rPr>
          <w:rFonts w:cs="Calibri"/>
        </w:rPr>
        <w:t>O</w:t>
      </w:r>
      <w:r w:rsidRPr="00CB1C46">
        <w:rPr>
          <w:rFonts w:cs="Calibri"/>
          <w:lang w:eastAsia="en-GB"/>
        </w:rPr>
        <w:t xml:space="preserve"> and </w:t>
      </w:r>
      <w:r w:rsidRPr="00CB1C46">
        <w:rPr>
          <w:rFonts w:cs="Calibri"/>
        </w:rPr>
        <w:t>CH</w:t>
      </w:r>
      <w:r w:rsidRPr="00CB1C46">
        <w:rPr>
          <w:rFonts w:cs="Calibri"/>
          <w:vertAlign w:val="subscript"/>
        </w:rPr>
        <w:t>4</w:t>
      </w:r>
      <w:r w:rsidRPr="00CB1C46">
        <w:rPr>
          <w:rFonts w:cs="Calibri"/>
          <w:lang w:eastAsia="en-GB"/>
        </w:rPr>
        <w:t xml:space="preserve"> from 2001 until 2002. As a result, the overlap method was used (IPCC, 2006), with:</w:t>
      </w:r>
    </w:p>
    <w:p w14:paraId="73A55513" w14:textId="77777777" w:rsidR="00660978" w:rsidRPr="00CB1C46" w:rsidRDefault="004B48CC" w:rsidP="00660978">
      <w:pPr>
        <w:pStyle w:val="BodyText"/>
        <w:spacing w:before="0"/>
        <w:jc w:val="center"/>
        <w:rPr>
          <w:rFonts w:cs="Calibri"/>
          <w:lang w:eastAsia="en-GB"/>
        </w:rPr>
      </w:pPr>
      <w:r>
        <w:pict w14:anchorId="1A7D12B9">
          <v:shape id="_x0000_i1059" type="#_x0000_t75" style="width:126.4pt;height:42.7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doNotEmbedSystemFonts/&gt;&lt;w:activeWritingStyle w:lang=&quot;EN-NZ&quot; w:vendorID=&quot;64&quot; w:dllVersion=&quot;6&quot; w:nlCheck=&quot;on&quot; w:optionSet=&quot;1&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doNotUseHTMLParagraphAutoSpacing/&gt;&lt;w:breakWrappedTables/&gt;&lt;w:snapToGridInCell/&gt;&lt;w:wrapTextWithPunct/&gt;&lt;w:useAsianBreakRules/&gt;&lt;w:useWord2002TableStyleRules/&gt;&lt;/w:compat&gt;&lt;wsp:rsids&gt;&lt;wsp:rsidRoot wsp:val=&quot;0046789F&quot;/&gt;&lt;wsp:rsid wsp:val=&quot;00001716&quot;/&gt;&lt;wsp:rsid wsp:val=&quot;00007ABB&quot;/&gt;&lt;wsp:rsid wsp:val=&quot;00021ACF&quot;/&gt;&lt;wsp:rsid wsp:val=&quot;00027E55&quot;/&gt;&lt;wsp:rsid wsp:val=&quot;00032A28&quot;/&gt;&lt;wsp:rsid wsp:val=&quot;00035185&quot;/&gt;&lt;wsp:rsid wsp:val=&quot;0003612E&quot;/&gt;&lt;wsp:rsid wsp:val=&quot;00050008&quot;/&gt;&lt;wsp:rsid wsp:val=&quot;000576EC&quot;/&gt;&lt;wsp:rsid wsp:val=&quot;000959CB&quot;/&gt;&lt;wsp:rsid wsp:val=&quot;000C20A6&quot;/&gt;&lt;wsp:rsid wsp:val=&quot;000F43E0&quot;/&gt;&lt;wsp:rsid wsp:val=&quot;000F4DEF&quot;/&gt;&lt;wsp:rsid wsp:val=&quot;00116E1B&quot;/&gt;&lt;wsp:rsid wsp:val=&quot;001221C3&quot;/&gt;&lt;wsp:rsid wsp:val=&quot;0013321C&quot;/&gt;&lt;wsp:rsid wsp:val=&quot;00153F5A&quot;/&gt;&lt;wsp:rsid wsp:val=&quot;001970E1&quot;/&gt;&lt;wsp:rsid wsp:val=&quot;001A1997&quot;/&gt;&lt;wsp:rsid wsp:val=&quot;001B6FD2&quot;/&gt;&lt;wsp:rsid wsp:val=&quot;001F48D9&quot;/&gt;&lt;wsp:rsid wsp:val=&quot;00207ABF&quot;/&gt;&lt;wsp:rsid wsp:val=&quot;00240B42&quot;/&gt;&lt;wsp:rsid wsp:val=&quot;00260B48&quot;/&gt;&lt;wsp:rsid wsp:val=&quot;0028581A&quot;/&gt;&lt;wsp:rsid wsp:val=&quot;002868D3&quot;/&gt;&lt;wsp:rsid wsp:val=&quot;00295B2A&quot;/&gt;&lt;wsp:rsid wsp:val=&quot;002A1361&quot;/&gt;&lt;wsp:rsid wsp:val=&quot;002A222C&quot;/&gt;&lt;wsp:rsid wsp:val=&quot;002A49D7&quot;/&gt;&lt;wsp:rsid wsp:val=&quot;002B1C5A&quot;/&gt;&lt;wsp:rsid wsp:val=&quot;002B3284&quot;/&gt;&lt;wsp:rsid wsp:val=&quot;002D60DB&quot;/&gt;&lt;wsp:rsid wsp:val=&quot;002D6A54&quot;/&gt;&lt;wsp:rsid wsp:val=&quot;002F134A&quot;/&gt;&lt;wsp:rsid wsp:val=&quot;002F66D0&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C2615&quot;/&gt;&lt;wsp:rsid wsp:val=&quot;003D0318&quot;/&gt;&lt;wsp:rsid wsp:val=&quot;003D5417&quot;/&gt;&lt;wsp:rsid wsp:val=&quot;00400F92&quot;/&gt;&lt;wsp:rsid wsp:val=&quot;004044F1&quot;/&gt;&lt;wsp:rsid wsp:val=&quot;0042424B&quot;/&gt;&lt;wsp:rsid wsp:val=&quot;00430D5D&quot;/&gt;&lt;wsp:rsid wsp:val=&quot;0045652C&quot;/&gt;&lt;wsp:rsid wsp:val=&quot;00462497&quot;/&gt;&lt;wsp:rsid wsp:val=&quot;0046789F&quot;/&gt;&lt;wsp:rsid wsp:val=&quot;004805A3&quot;/&gt;&lt;wsp:rsid wsp:val=&quot;00490EB0&quot;/&gt;&lt;wsp:rsid wsp:val=&quot;004A618E&quot;/&gt;&lt;wsp:rsid wsp:val=&quot;004E4B2C&quot;/&gt;&lt;wsp:rsid wsp:val=&quot;004F1572&quot;/&gt;&lt;wsp:rsid wsp:val=&quot;00526270&quot;/&gt;&lt;wsp:rsid wsp:val=&quot;00534210&quot;/&gt;&lt;wsp:rsid wsp:val=&quot;00543478&quot;/&gt;&lt;wsp:rsid wsp:val=&quot;00545600&quot;/&gt;&lt;wsp:rsid wsp:val=&quot;00546A6A&quot;/&gt;&lt;wsp:rsid wsp:val=&quot;005630B0&quot;/&gt;&lt;wsp:rsid wsp:val=&quot;005660CD&quot;/&gt;&lt;wsp:rsid wsp:val=&quot;005720F2&quot;/&gt;&lt;wsp:rsid wsp:val=&quot;00596603&quot;/&gt;&lt;wsp:rsid wsp:val=&quot;005B4380&quot;/&gt;&lt;wsp:rsid wsp:val=&quot;005B76A4&quot;/&gt;&lt;wsp:rsid wsp:val=&quot;005C3384&quot;/&gt;&lt;wsp:rsid wsp:val=&quot;005C416E&quot;/&gt;&lt;wsp:rsid wsp:val=&quot;005D1C3A&quot;/&gt;&lt;wsp:rsid wsp:val=&quot;005E43DD&quot;/&gt;&lt;wsp:rsid wsp:val=&quot;00600179&quot;/&gt;&lt;wsp:rsid wsp:val=&quot;00603FC0&quot;/&gt;&lt;wsp:rsid wsp:val=&quot;00636BF0&quot;/&gt;&lt;wsp:rsid wsp:val=&quot;00646B6D&quot;/&gt;&lt;wsp:rsid wsp:val=&quot;00650F99&quot;/&gt;&lt;wsp:rsid wsp:val=&quot;00655908&quot;/&gt;&lt;wsp:rsid wsp:val=&quot;006654F8&quot;/&gt;&lt;wsp:rsid wsp:val=&quot;00665768&quot;/&gt;&lt;wsp:rsid wsp:val=&quot;00667291&quot;/&gt;&lt;wsp:rsid wsp:val=&quot;0068545A&quot;/&gt;&lt;wsp:rsid wsp:val=&quot;00686249&quot;/&gt;&lt;wsp:rsid wsp:val=&quot;00687504&quot;/&gt;&lt;wsp:rsid wsp:val=&quot;006A171F&quot;/&gt;&lt;wsp:rsid wsp:val=&quot;006A4E5F&quot;/&gt;&lt;wsp:rsid wsp:val=&quot;006B282E&quot;/&gt;&lt;wsp:rsid wsp:val=&quot;006D3FAE&quot;/&gt;&lt;wsp:rsid wsp:val=&quot;006D4600&quot;/&gt;&lt;wsp:rsid wsp:val=&quot;006E0A2C&quot;/&gt;&lt;wsp:rsid wsp:val=&quot;006E202B&quot;/&gt;&lt;wsp:rsid wsp:val=&quot;006E25DF&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730C3&quot;/&gt;&lt;wsp:rsid wsp:val=&quot;007862A6&quot;/&gt;&lt;wsp:rsid wsp:val=&quot;007A7456&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2751F&quot;/&gt;&lt;wsp:rsid wsp:val=&quot;00932067&quot;/&gt;&lt;wsp:rsid wsp:val=&quot;0093594A&quot;/&gt;&lt;wsp:rsid wsp:val=&quot;00955D73&quot;/&gt;&lt;wsp:rsid wsp:val=&quot;0096512C&quot;/&gt;&lt;wsp:rsid wsp:val=&quot;0096540A&quot;/&gt;&lt;wsp:rsid wsp:val=&quot;0098180A&quot;/&gt;&lt;wsp:rsid wsp:val=&quot;009C5D2A&quot;/&gt;&lt;wsp:rsid wsp:val=&quot;00A06700&quot;/&gt;&lt;wsp:rsid wsp:val=&quot;00A331E7&quot;/&gt;&lt;wsp:rsid wsp:val=&quot;00A34169&quot;/&gt;&lt;wsp:rsid wsp:val=&quot;00A35FF4&quot;/&gt;&lt;wsp:rsid wsp:val=&quot;00A41C3C&quot;/&gt;&lt;wsp:rsid wsp:val=&quot;00A430C1&quot;/&gt;&lt;wsp:rsid wsp:val=&quot;00AB2710&quot;/&gt;&lt;wsp:rsid wsp:val=&quot;00AC2AB4&quot;/&gt;&lt;wsp:rsid wsp:val=&quot;00AD184B&quot;/&gt;&lt;wsp:rsid wsp:val=&quot;00B0566D&quot;/&gt;&lt;wsp:rsid wsp:val=&quot;00B10BD6&quot;/&gt;&lt;wsp:rsid wsp:val=&quot;00B16055&quot;/&gt;&lt;wsp:rsid wsp:val=&quot;00B35BD9&quot;/&gt;&lt;wsp:rsid wsp:val=&quot;00B37DE8&quot;/&gt;&lt;wsp:rsid wsp:val=&quot;00B44BA5&quot;/&gt;&lt;wsp:rsid wsp:val=&quot;00B928E7&quot;/&gt;&lt;wsp:rsid wsp:val=&quot;00BA5F7E&quot;/&gt;&lt;wsp:rsid wsp:val=&quot;00BC7E76&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E19C1&quot;/&gt;&lt;wsp:rsid wsp:val=&quot;00D01CFE&quot;/&gt;&lt;wsp:rsid wsp:val=&quot;00D07C4B&quot;/&gt;&lt;wsp:rsid wsp:val=&quot;00D225D8&quot;/&gt;&lt;wsp:rsid wsp:val=&quot;00D33A2E&quot;/&gt;&lt;wsp:rsid wsp:val=&quot;00D40FA5&quot;/&gt;&lt;wsp:rsid wsp:val=&quot;00D41862&quot;/&gt;&lt;wsp:rsid wsp:val=&quot;00D511A1&quot;/&gt;&lt;wsp:rsid wsp:val=&quot;00D872BF&quot;/&gt;&lt;wsp:rsid wsp:val=&quot;00DE01F6&quot;/&gt;&lt;wsp:rsid wsp:val=&quot;00DE2998&quot;/&gt;&lt;wsp:rsid wsp:val=&quot;00DE4223&quot;/&gt;&lt;wsp:rsid wsp:val=&quot;00DE6B60&quot;/&gt;&lt;wsp:rsid wsp:val=&quot;00E06D10&quot;/&gt;&lt;wsp:rsid wsp:val=&quot;00E20458&quot;/&gt;&lt;wsp:rsid wsp:val=&quot;00E56487&quot;/&gt;&lt;wsp:rsid wsp:val=&quot;00E853F3&quot;/&gt;&lt;wsp:rsid wsp:val=&quot;00EC2491&quot;/&gt;&lt;wsp:rsid wsp:val=&quot;00ED2C42&quot;/&gt;&lt;wsp:rsid wsp:val=&quot;00EF3B2B&quot;/&gt;&lt;wsp:rsid wsp:val=&quot;00F00EE9&quot;/&gt;&lt;wsp:rsid wsp:val=&quot;00F379DD&quot;/&gt;&lt;wsp:rsid wsp:val=&quot;00F47244&quot;/&gt;&lt;wsp:rsid wsp:val=&quot;00F511A7&quot;/&gt;&lt;wsp:rsid wsp:val=&quot;00F660F9&quot;/&gt;&lt;wsp:rsid wsp:val=&quot;00FA5F45&quot;/&gt;&lt;wsp:rsid wsp:val=&quot;00FA7522&quot;/&gt;&lt;wsp:rsid wsp:val=&quot;00FC2C59&quot;/&gt;&lt;wsp:rsid wsp:val=&quot;00FD178C&quot;/&gt;&lt;/wsp:rsids&gt;&lt;/w:docPr&gt;&lt;w:body&gt;&lt;wx:sect&gt;&lt;w:p wsp:rsidR=&quot;00000000&quot; wsp:rsidRPr=&quot;000F43E0&quot; wsp:rsidRDefault=&quot;000F43E0&quot; wsp:rsidP=&quot;000F43E0&quot;&gt;&lt;m:oMathPara&gt;&lt;m:oMath&gt;&lt;m:sSub&gt;&lt;m:sSubPr&gt;&lt;m:ctrlPr&gt;&lt;w:rPr&gt;&lt;w:rFonts w:ascii=&quot;Cambria Math&quot; w:h-ansi=&quot;Cambria Math&quot; w:cs=&quot;Calibri&quot;/&gt;&lt;wx:font wx:val=&quot;Cambria Math&quot;/&gt;&lt;w:i/&gt;&lt;w:i-cs/&gt;&lt;w:sz w:val=&quot;24&quot;/&gt;&lt;w:lang w:fareast=&quot;EN-GB&quot;/&gt;&lt;/w:rPr&gt;&lt;/m:ctrlPr&gt;&lt;/m:sSubPr&gt;&lt;m:e&gt;&lt;m:r&gt;&lt;w:rPr&gt;&lt;w:rFonts w:ascii=&quot;Cambria Math&quot; w:h-ansi=&quot;Cambria Math&quot; w:cs=&quot;Calibri&quot;/&gt;&lt;wx:font wx:val=&quot;Cambria Math&quot;/&gt;&lt;w:i/&gt;&lt;w:sz w:val=&quot;24&quot;/&gt;&lt;w:lang w:fareast=&quot;EN-GB&quot;/&gt;&lt;/w:rPr&gt;&lt;m:t&gt;y&lt;/m:t&gt;&lt;/m:r&gt;&lt;/m:e&gt;&lt;m:sub&gt;&lt;m:r&gt;&lt;w:rPr&gt;&lt;w:rFonts w:ascii=&quot;Cambria Math&quot; w:h-ansi=&quot;Cambria Math&quot; w:cs=&quot;Calibri&quot;/&gt;&lt;wx:font wx:val=&quot;Cambria Math&quot;/&gt;&lt;w:i/&gt;&lt;w:sz w:val=&quot;24&quot;/&gt;&lt;w:lang w:fareast=&quot;EN-GB&quot;/&gt;&lt;/w:rPr&gt;&lt;m:t&gt;t&lt;/m:t&gt;&lt;/m:r&gt;&lt;/m:sub&gt;&lt;/m:sSub&gt;&lt;m:r&gt;&lt;w:rPr&gt;&lt;w:rFonts w:ascii=&quot;Cambria Math&quot; w:h-ansi=&quot;Cambria Math&quot; w:cs=&quot;Calibri&quot;/&gt;&lt;wx:font wx:val=&quot;Cambria Math&quot;/&gt;&lt;w:i/&gt;&lt;w:sz w:val=&quot;24&quot;/&gt;&lt;w:lang w:fareast=&quot;EN-GB&quot;/&gt;&lt;/w:rPr&gt;&lt;m:t&gt;=&lt;/m:t&gt;&lt;/m:r&gt;&lt;m:sSub&gt;&lt;m:sSubPr&gt;&lt;m:ctrlPr&gt;&lt;w:rPr&gt;&lt;w:rFonts w:ascii=&quot;Cambria Math&quot; w:h-ansi=&quot;Cambria Math&quot; w:cs=&quot;Calibri&quot;/&gt;&lt;wx:font wx:val=&quot;Cambria Math&quot;/&gt;&lt;w:i/&gt;&lt;w:i-cs/&gt;&lt;w:sz w:val=&quot;24&quot;/&gt;&lt;w:lang w:fareast=&quot;EN-GB&quot;/&gt;&lt;/w:rPr&gt;&lt;/m:ctrlPr&gt;&lt;/m:sSubPr&gt;&lt;m:e&gt;&lt;m:r&gt;&lt;w:rPr&gt;&lt;w:rFonts w:ascii=&quot;Cambria Math&quot; w:h-ansi=&quot;Cambria Math&quot; w:cs=&quot;Calibri&quot;/&gt;&lt;wx:font wx:val=&quot;Cambria Math&quot;/&gt;&lt;w:i/&gt;&lt;w:sz w:val=&quot;24&quot;/&gt;&lt;w:lang w:fareast=&quot;EN-GB&quot;/&gt;&lt;/w:rPr&gt;&lt;m:t&gt;x&lt;/m:t&gt;&lt;/m:r&gt;&lt;/m:e&gt;&lt;m:sub&gt;&lt;m:r&gt;&lt;w:rPr&gt;&lt;w:rFonts w:ascii=&quot;Cambria Math&quot; w:h-ansi=&quot;Cambria Math&quot; w:cs=&quot;Calibri&quot;/&gt;&lt;wx:font wx:val=&quot;Cambria Math&quot;/&gt;&lt;w:i/&gt;&lt;w:sz w:val=&quot;24&quot;/&gt;&lt;w:lang w:fareast=&quot;EN-GB&quot;/&gt;&lt;/w:rPr&gt;&lt;m:t&gt;t&lt;/m:t&gt;&lt;/m:r&gt;&lt;/m:sub&gt;&lt;/m:sSub&gt;&lt;m:d&gt;&lt;m:dPr&gt;&lt;m:ctrlPr&gt;&lt;w:rPr&gt;&lt;w:rFonts w:ascii=&quot;Cambria Math&quot; w:h-ansi=&quot;Cambria Math&quot; w:cs=&quot;Calibri&quot;/&gt;&lt;wx:font wx:val=&quot;Cambria Math&quot;/&gt;&lt;w:i/&gt;&lt;w:i-cs/&gt;&lt;w:sz w:val=&quot;24&quot;/&gt;&lt;w:lang w:fareast=&quot;EN-GB&quot;/&gt;&lt;/w:rPr&gt;&lt;/m:ctrlPr&gt;&lt;/m:dPr&gt;&lt;m:e&gt;&lt;m:nary&gt;&lt;m:naryPr&gt;&lt;m:chr m:val=&quot;âˆ‘&quot;/&gt;&lt;m:limLoc m:val=&quot;undOvr&quot;/&gt;&lt;m:ctrlPr&gt;&lt;w:rPr&gt;&lt;w:rFonts w:ascii=&quot;Cambria Math&quot; w:h-ansi=&quot;Cambria Math&quot; w:cs=&quot;Calibri&quot;/&gt;&lt;wx:font wx:val=&quot;Cambria Math&quot;/&gt;&lt;w:i/&gt;&lt;w:i-cs/&gt;&lt;w:sz w:val=&quot;24&quot;/&gt;&lt;w:lang w:fareast=&quot;EN-GB&quot;/&gt;&lt;/w:rPr&gt;&lt;/m:ctrlPr&gt;&lt;/m:naryPr&gt;&lt;m:sub&gt;&lt;m:r&gt;&lt;w:rPr&gt;&lt;w:rFonts w:ascii=&quot;Cambria Math&quot; w:h-ansi=&quot;Cambria Math&quot; w:cs=&quot;Calibri&quot;/&gt;&lt;wx:font wx:val=&quot;Cambria Math&quot;/&gt;&lt;w:i/&gt;&lt;w:sz w:val=&quot;24&quot;/&gt;&lt;w:lang w:fareast=&quot;EN-GB&quot;/&gt;&lt;/w:rPr&gt;&lt;m:t&gt;i=m&lt;/m:t&gt;&lt;/m:r&gt;&lt;/m:sub&gt;&lt;m:sup&gt;&lt;m:r&gt;&lt;w:rPr&gt;&lt;w:rFonts w:ascii=&quot;Cambria Math&quot; w:h-ansi=&quot;Cambria Math&quot; w:cs=&quot;Calibri&quot;/&gt;&lt;wx:font wx:val=&quot;Cambria Math&quot;/&gt;&lt;w:i/&gt;&lt;w:sz w:val=&quot;24&quot;/&gt;&lt;w:lang w:fareast=&quot;EN-GB&quot;/&gt;&lt;/w:rPr&gt;&lt;m:t&gt;n&lt;/m:t&gt;&lt;/m:r&gt;&lt;/m:sup&gt;&lt;m:e&gt;&lt;m:sSub&gt;&lt;m:sSubPr&gt;&lt;m:ctrlPr&gt;&lt;w:rPr&gt;&lt;w:rFonts w:ascii=&quot;Cambria Math&quot; w:h-ansi=&quot;Cambria Math&quot; w:cs=&quot;Calibri&quot;/&gt;&lt;wx:font wx:val=&quot;Cambria Math&quot;/&gt;&lt;w:i/&gt;&lt;w:i-cs/&gt;&lt;w:sz w:val=&quot;24&quot;/&gt;&lt;w:lang w:fareast=&quot;EN-GB&quot;/&gt;&lt;/w:rPr&gt;&lt;/m:ctrlPr&gt;&lt;/m:sSubPr&gt;&lt;m:e&gt;&lt;m:r&gt;&lt;w:rPr&gt;&lt;w:rFonts w:ascii=&quot;Cambria Math&quot; w:h-ansi=&quot;Cambria Math&quot; w:cs=&quot;Calibri&quot;/&gt;&lt;wx:font wx:val=&quot;Cambria Math&quot;/&gt;&lt;w:i/&gt;&lt;w:sz w:val=&quot;24&quot;/&gt;&lt;w:lang w:fareast=&quot;EN-GB&quot;/&gt;&lt;/w:rPr&gt;&lt;m:t&gt;y&lt;/m:t&gt;&lt;/m:r&gt;&lt;/m:e&gt;&lt;m:sub&gt;&lt;m:r&gt;&lt;w:rPr&gt;&lt;w:rFonts w:ascii=&quot;Cambria Math&quot; w:h-ansi=&quot;Cambria Math&quot; w:cs=&quot;Calibri&quot;/&gt;&lt;wx:font wx:val=&quot;Cambria Math&quot;/&gt;&lt;w:i/&gt;&lt;w:sz w:val=&quot;24&quot;/&gt;&lt;w:lang w:fareast=&quot;EN-GB&quot;/&gt;&lt;/w:rPr&gt;&lt;m:t&gt;i&lt;/m:t&gt;&lt;/m:r&gt;&lt;/m:sub&gt;&lt;/m:sSub&gt;&lt;/m:e&gt;&lt;/m:nary&gt;&lt;m:r&gt;&lt;w:rPr&gt;&lt;w:rFonts w:ascii=&quot;Cambria Math&quot; w:h-ansi=&quot;Cambria Math&quot; w:cs=&quot;Calibri&quot;/&gt;&lt;wx:font wx:val=&quot;Cambria Math&quot;/&gt;&lt;w:i/&gt;&lt;w:sz w:val=&quot;24&quot;/&gt;&lt;w:lang w:fareast=&quot;EN-GB&quot;/&gt;&lt;/w:rPr&gt;&lt;m:t&gt;/&lt;/m:t&gt;&lt;/m:r&gt;&lt;m:nary&gt;&lt;m:naryPr&gt;&lt;m:chr m:val=&quot;âˆ‘&quot;/&gt;&lt;m:limLoc m:val=&quot;undOvr&quot;/&gt;&lt;m:ctrlPr&gt;&lt;w:rPr&gt;&lt;w:rFonts w:ascii=&quot;Cambria Math&quot; w:h-ansi=&quot;Cambria Math&quot; w:cs=&quot;Calibri&quot;/&gt;&lt;wx:font wx:val=&quot;Cambria Math&quot;/&gt;&lt;w:i/&gt;&lt;w:i-cs/&gt;&lt;w:sz w:val=&quot;24&quot;/&gt;&lt;w:lang w:fareast=&quot;EN-GB&quot;/&gt;&lt;/w:rPr&gt;&lt;/m:ctrlPr&gt;&lt;/m:naryPr&gt;&lt;m:sub&gt;&lt;m:r&gt;&lt;w:rPr&gt;&lt;w:rFonts w:ascii=&quot;Cambria Math&quot; w:h-ansi=&quot;Cambria Math&quot; w:cs=&quot;Calibri&quot;/&gt;&lt;wx:font wx:val=&quot;Cambria Math&quot;/&gt;&lt;w:i/&gt;&lt;w:sz w:val=&quot;24&quot;/&gt;&lt;w:lang w:fareast=&quot;EN-GB&quot;/&gt;&lt;/w:rPr&gt;&lt;m:t&gt;i=m&lt;/m:t&gt;&lt;/m:r&gt;&lt;/m:sub&gt;&lt;m:sup&gt;&lt;m:r&gt;&lt;w:rPr&gt;&lt;w:rFonts w:ascii=&quot;Cambria Math&quot; w:h-ansi=&quot;Cambria Math&quot; w:cs=&quot;Calibri&quot;/&gt;&lt;wx:font wx:val=&quot;Cambria Math&quot;/&gt;&lt;w:i/&gt;&lt;w:sz w:val=&quot;24&quot;/&gt;&lt;w:lang w:fareast=&quot;EN-GB&quot;/&gt;&lt;/w:rPr&gt;&lt;m:t&gt;n&lt;/m:t&gt;&lt;/m:r&gt;&lt;/m:sup&gt;&lt;m:e&gt;&lt;m:sSub&gt;&lt;m:sSubPr&gt;&lt;m:ctrlPr&gt;&lt;w:rPr&gt;&lt;w:rFonts w:ascii=&quot;Cambria Math&quot; w:h-ansi=&quot;Cambria Math&quot; w:cs=&quot;Calibri&quot;/&gt;&lt;wx:font wx:val=&quot;Cambria Math&quot;/&gt;&lt;w:i/&gt;&lt;w:i-cs/&gt;&lt;w:sz w:val=&quot;24&quot;/&gt;&lt;w:lang w:fareast=&quot;EN-GB&quot;/&gt;&lt;/w:rPr&gt;&lt;/m:ctrlPr&gt;&lt;/m:sSubPr&gt;&lt;m:e&gt;&lt;m:r&gt;&lt;w:rPr&gt;&lt;w:rFonts w:ascii=&quot;Cambria Math&quot; w:h-ansi=&quot;Cambria Math&quot; w:cs=&quot;Calibri&quot;/&gt;&lt;wx:font wx:val=&quot;Cambria Math&quot;/&gt;&lt;w:i/&gt;&lt;w:sz w:val=&quot;24&quot;/&gt;&lt;w:lang w:fareast=&quot;EN-GB&quot;/&gt;&lt;/w:rPr&gt;&lt;m:t&gt;x&lt;/m:t&gt;&lt;/m:r&gt;&lt;/m:e&gt;&lt;m:sub&gt;&lt;m:r&gt;&lt;w:rPr&gt;&lt;w:rFonts w:ascii=&quot;Cambria Math&quot; w:h-ansi=&quot;Cambria Math&quot; w:cs=&quot;Calibri&quot;/&gt;&lt;wx:font wx:val=&quot;Cambria Math&quot;/&gt;&lt;w:i/&gt;&lt;w:sz w:val=&quot;24&quot;/&gt;&lt;w:lang w:fareast=&quot;EN-GB&quot;/&gt;&lt;/w:rPr&gt;&lt;m:t&gt;i&lt;/m:t&gt;&lt;/m:r&gt;&lt;/m:sub&gt;&lt;/m:sSub&gt;&lt;/m:e&gt;&lt;/m:nary&gt;&lt;/m:e&gt;&lt;/m:d&gt;&lt;/m:oMath&gt;&lt;/m:oMathPara&gt;&lt;/w:p&gt;&lt;w:sectPr wsp:rsidR=&quot;00000000&quot; wsp:rsidRPr=&quot;000F43E0&quot;&gt;&lt;w:pgSz w:w=&quot;12240&quot; w:h=&quot;15840&quot;/&gt;&lt;w:pgMar w:top=&quot;1440&quot; w:right=&quot;1440&quot; w:bottom=&quot;1440&quot; w:left=&quot;1440&quot; w:header=&quot;720&quot; w:footer=&quot;720&quot; w:gutter=&quot;0&quot;/&gt;&lt;w:cols w:space=&quot;720&quot;/&gt;&lt;/w:sectPr&gt;&lt;/wx:sect&gt;&lt;/w:body&gt;&lt;/w:wordDocument&gt;">
            <v:imagedata r:id="rId72" o:title="" chromakey="white"/>
          </v:shape>
        </w:pict>
      </w:r>
    </w:p>
    <w:p w14:paraId="28BDA2BB" w14:textId="77777777" w:rsidR="00660978" w:rsidRPr="00CB1C46" w:rsidRDefault="00660978" w:rsidP="00660978">
      <w:pPr>
        <w:pStyle w:val="BodyText"/>
        <w:spacing w:after="0"/>
        <w:ind w:left="964" w:hanging="964"/>
        <w:rPr>
          <w:rFonts w:cs="Calibri"/>
        </w:rPr>
      </w:pPr>
      <w:r w:rsidRPr="00CB1C46">
        <w:rPr>
          <w:rFonts w:cs="Calibri"/>
          <w:lang w:eastAsia="en-GB"/>
        </w:rPr>
        <w:t xml:space="preserve">Where: </w:t>
      </w:r>
      <w:r w:rsidRPr="00CB1C46">
        <w:rPr>
          <w:rFonts w:cs="Calibri"/>
          <w:lang w:eastAsia="en-GB"/>
        </w:rPr>
        <w:tab/>
      </w:r>
      <w:r w:rsidRPr="00CB1C46">
        <w:rPr>
          <w:rFonts w:cs="Calibri"/>
          <w:i/>
        </w:rPr>
        <w:t>y</w:t>
      </w:r>
      <w:r w:rsidRPr="00CB1C46">
        <w:rPr>
          <w:rFonts w:cs="Calibri"/>
          <w:vertAlign w:val="subscript"/>
        </w:rPr>
        <w:t>t</w:t>
      </w:r>
      <w:r w:rsidRPr="00CB1C46">
        <w:rPr>
          <w:rFonts w:cs="Calibri"/>
        </w:rPr>
        <w:t xml:space="preserve"> is the recalculated emission estimate computed using the overlap method</w:t>
      </w:r>
    </w:p>
    <w:p w14:paraId="0E1897E9" w14:textId="77777777" w:rsidR="00660978" w:rsidRPr="00CB1C46" w:rsidRDefault="00660978" w:rsidP="00660978">
      <w:pPr>
        <w:pStyle w:val="BodyText"/>
        <w:spacing w:after="0"/>
        <w:ind w:left="993" w:hanging="993"/>
      </w:pPr>
      <w:r w:rsidRPr="00CB1C46">
        <w:tab/>
      </w:r>
      <w:r w:rsidRPr="00CB1C46">
        <w:rPr>
          <w:i/>
        </w:rPr>
        <w:t>x</w:t>
      </w:r>
      <w:r w:rsidRPr="00CB1C46">
        <w:rPr>
          <w:vertAlign w:val="subscript"/>
        </w:rPr>
        <w:t>t</w:t>
      </w:r>
      <w:r w:rsidRPr="00CB1C46">
        <w:t xml:space="preserve"> is the estimate developed using the previous method</w:t>
      </w:r>
    </w:p>
    <w:p w14:paraId="60886D0E" w14:textId="77777777" w:rsidR="00660978" w:rsidRPr="00CB1C46" w:rsidRDefault="00660978" w:rsidP="00660978">
      <w:pPr>
        <w:pStyle w:val="BodyText"/>
        <w:ind w:left="993" w:hanging="993"/>
      </w:pPr>
      <w:r w:rsidRPr="00CB1C46">
        <w:tab/>
      </w:r>
      <w:r w:rsidRPr="00CB1C46">
        <w:rPr>
          <w:i/>
        </w:rPr>
        <w:t>y</w:t>
      </w:r>
      <w:r w:rsidRPr="00CB1C46">
        <w:rPr>
          <w:i/>
          <w:vertAlign w:val="subscript"/>
        </w:rPr>
        <w:t>i</w:t>
      </w:r>
      <w:r w:rsidRPr="00CB1C46">
        <w:t xml:space="preserve"> and </w:t>
      </w:r>
      <w:r w:rsidRPr="00CB1C46">
        <w:rPr>
          <w:i/>
        </w:rPr>
        <w:t>x</w:t>
      </w:r>
      <w:r w:rsidRPr="00CB1C46">
        <w:rPr>
          <w:i/>
          <w:vertAlign w:val="subscript"/>
        </w:rPr>
        <w:t>i</w:t>
      </w:r>
      <w:r w:rsidRPr="00CB1C46">
        <w:t xml:space="preserve"> are the estimates prepared using the new and previously used methods during the period of overlap, as denoted by years </w:t>
      </w:r>
      <w:r w:rsidRPr="00CB1C46">
        <w:rPr>
          <w:i/>
        </w:rPr>
        <w:t>m</w:t>
      </w:r>
      <w:r w:rsidRPr="00CB1C46">
        <w:t xml:space="preserve"> through </w:t>
      </w:r>
      <w:r w:rsidRPr="00CB1C46">
        <w:rPr>
          <w:i/>
        </w:rPr>
        <w:t>n</w:t>
      </w:r>
      <w:r w:rsidRPr="00CB1C46">
        <w:t>.</w:t>
      </w:r>
    </w:p>
    <w:p w14:paraId="6CCCA0C1" w14:textId="77777777" w:rsidR="00660978" w:rsidRPr="00CB1C46" w:rsidRDefault="00660978" w:rsidP="00660978">
      <w:pPr>
        <w:pStyle w:val="BodyText"/>
        <w:spacing w:after="0"/>
        <w:rPr>
          <w:rFonts w:cs="Calibri"/>
          <w:lang w:eastAsia="en-GB"/>
        </w:rPr>
      </w:pPr>
      <w:r w:rsidRPr="00CB1C46">
        <w:rPr>
          <w:rFonts w:cs="Calibri"/>
          <w:lang w:eastAsia="en-GB"/>
        </w:rPr>
        <w:t>However, for gasoline and diesel vehicles, the ratio Tier 3:Tier 1 appears to change approximately linearly with time. While surrogates for Ministry of Transport data were available (fuel consumption), their use resulted in a step-change that is unlikely to be representative of road transport emissions for the period. While the trend in emissions was not consistent over time, the trend of the Tier 3:Tier 1 ratio emission estimates showed a strong linear relationship with time. As a result, a hybrid method of overlap and trend extrapolation was chosen with:</w:t>
      </w:r>
    </w:p>
    <w:p w14:paraId="013FF0D2" w14:textId="77777777" w:rsidR="00660978" w:rsidRPr="00CB1C46" w:rsidRDefault="004B48CC" w:rsidP="00660978">
      <w:pPr>
        <w:pStyle w:val="BodyText"/>
        <w:jc w:val="center"/>
      </w:pPr>
      <w:r>
        <w:pict w14:anchorId="4B440F2F">
          <v:shape id="_x0000_i1060" type="#_x0000_t75" style="width:1in;height:17.6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doNotEmbedSystemFonts/&gt;&lt;w:activeWritingStyle w:lang=&quot;EN-NZ&quot; w:vendorID=&quot;64&quot; w:dllVersion=&quot;6&quot; w:nlCheck=&quot;on&quot; w:optionSet=&quot;1&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doNotUseHTMLParagraphAutoSpacing/&gt;&lt;w:breakWrappedTables/&gt;&lt;w:snapToGridInCell/&gt;&lt;w:wrapTextWithPunct/&gt;&lt;w:useAsianBreakRules/&gt;&lt;w:useWord2002TableStyleRules/&gt;&lt;/w:compat&gt;&lt;wsp:rsids&gt;&lt;wsp:rsidRoot wsp:val=&quot;0046789F&quot;/&gt;&lt;wsp:rsid wsp:val=&quot;00001716&quot;/&gt;&lt;wsp:rsid wsp:val=&quot;00007ABB&quot;/&gt;&lt;wsp:rsid wsp:val=&quot;00021ACF&quot;/&gt;&lt;wsp:rsid wsp:val=&quot;00027E55&quot;/&gt;&lt;wsp:rsid wsp:val=&quot;00032A28&quot;/&gt;&lt;wsp:rsid wsp:val=&quot;00035185&quot;/&gt;&lt;wsp:rsid wsp:val=&quot;0003612E&quot;/&gt;&lt;wsp:rsid wsp:val=&quot;00050008&quot;/&gt;&lt;wsp:rsid wsp:val=&quot;000576EC&quot;/&gt;&lt;wsp:rsid wsp:val=&quot;000959CB&quot;/&gt;&lt;wsp:rsid wsp:val=&quot;000C20A6&quot;/&gt;&lt;wsp:rsid wsp:val=&quot;000F4DEF&quot;/&gt;&lt;wsp:rsid wsp:val=&quot;00116E1B&quot;/&gt;&lt;wsp:rsid wsp:val=&quot;001221C3&quot;/&gt;&lt;wsp:rsid wsp:val=&quot;0013321C&quot;/&gt;&lt;wsp:rsid wsp:val=&quot;00153F5A&quot;/&gt;&lt;wsp:rsid wsp:val=&quot;001970E1&quot;/&gt;&lt;wsp:rsid wsp:val=&quot;001A1997&quot;/&gt;&lt;wsp:rsid wsp:val=&quot;001B6FD2&quot;/&gt;&lt;wsp:rsid wsp:val=&quot;001F48D9&quot;/&gt;&lt;wsp:rsid wsp:val=&quot;00207ABF&quot;/&gt;&lt;wsp:rsid wsp:val=&quot;00240B42&quot;/&gt;&lt;wsp:rsid wsp:val=&quot;00260B48&quot;/&gt;&lt;wsp:rsid wsp:val=&quot;0028581A&quot;/&gt;&lt;wsp:rsid wsp:val=&quot;002868D3&quot;/&gt;&lt;wsp:rsid wsp:val=&quot;00295B2A&quot;/&gt;&lt;wsp:rsid wsp:val=&quot;002A1361&quot;/&gt;&lt;wsp:rsid wsp:val=&quot;002A222C&quot;/&gt;&lt;wsp:rsid wsp:val=&quot;002A49D7&quot;/&gt;&lt;wsp:rsid wsp:val=&quot;002B1C5A&quot;/&gt;&lt;wsp:rsid wsp:val=&quot;002B3284&quot;/&gt;&lt;wsp:rsid wsp:val=&quot;002D60DB&quot;/&gt;&lt;wsp:rsid wsp:val=&quot;002D6A54&quot;/&gt;&lt;wsp:rsid wsp:val=&quot;002F134A&quot;/&gt;&lt;wsp:rsid wsp:val=&quot;002F66D0&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C2615&quot;/&gt;&lt;wsp:rsid wsp:val=&quot;003D0318&quot;/&gt;&lt;wsp:rsid wsp:val=&quot;003D5417&quot;/&gt;&lt;wsp:rsid wsp:val=&quot;00400F92&quot;/&gt;&lt;wsp:rsid wsp:val=&quot;004044F1&quot;/&gt;&lt;wsp:rsid wsp:val=&quot;0042424B&quot;/&gt;&lt;wsp:rsid wsp:val=&quot;00430D5D&quot;/&gt;&lt;wsp:rsid wsp:val=&quot;0045652C&quot;/&gt;&lt;wsp:rsid wsp:val=&quot;00462497&quot;/&gt;&lt;wsp:rsid wsp:val=&quot;0046789F&quot;/&gt;&lt;wsp:rsid wsp:val=&quot;004805A3&quot;/&gt;&lt;wsp:rsid wsp:val=&quot;00490EB0&quot;/&gt;&lt;wsp:rsid wsp:val=&quot;004A618E&quot;/&gt;&lt;wsp:rsid wsp:val=&quot;004E4B2C&quot;/&gt;&lt;wsp:rsid wsp:val=&quot;004F1572&quot;/&gt;&lt;wsp:rsid wsp:val=&quot;00526270&quot;/&gt;&lt;wsp:rsid wsp:val=&quot;00534210&quot;/&gt;&lt;wsp:rsid wsp:val=&quot;00543478&quot;/&gt;&lt;wsp:rsid wsp:val=&quot;00545600&quot;/&gt;&lt;wsp:rsid wsp:val=&quot;00546A6A&quot;/&gt;&lt;wsp:rsid wsp:val=&quot;005630B0&quot;/&gt;&lt;wsp:rsid wsp:val=&quot;005660CD&quot;/&gt;&lt;wsp:rsid wsp:val=&quot;005720F2&quot;/&gt;&lt;wsp:rsid wsp:val=&quot;00596603&quot;/&gt;&lt;wsp:rsid wsp:val=&quot;005B4380&quot;/&gt;&lt;wsp:rsid wsp:val=&quot;005B76A4&quot;/&gt;&lt;wsp:rsid wsp:val=&quot;005C3384&quot;/&gt;&lt;wsp:rsid wsp:val=&quot;005C416E&quot;/&gt;&lt;wsp:rsid wsp:val=&quot;005D1C3A&quot;/&gt;&lt;wsp:rsid wsp:val=&quot;005E43DD&quot;/&gt;&lt;wsp:rsid wsp:val=&quot;00600179&quot;/&gt;&lt;wsp:rsid wsp:val=&quot;00603FC0&quot;/&gt;&lt;wsp:rsid wsp:val=&quot;00636BF0&quot;/&gt;&lt;wsp:rsid wsp:val=&quot;00646B6D&quot;/&gt;&lt;wsp:rsid wsp:val=&quot;00650F99&quot;/&gt;&lt;wsp:rsid wsp:val=&quot;00655908&quot;/&gt;&lt;wsp:rsid wsp:val=&quot;00657A17&quot;/&gt;&lt;wsp:rsid wsp:val=&quot;006654F8&quot;/&gt;&lt;wsp:rsid wsp:val=&quot;00665768&quot;/&gt;&lt;wsp:rsid wsp:val=&quot;00667291&quot;/&gt;&lt;wsp:rsid wsp:val=&quot;0068545A&quot;/&gt;&lt;wsp:rsid wsp:val=&quot;00686249&quot;/&gt;&lt;wsp:rsid wsp:val=&quot;00687504&quot;/&gt;&lt;wsp:rsid wsp:val=&quot;006A171F&quot;/&gt;&lt;wsp:rsid wsp:val=&quot;006A4E5F&quot;/&gt;&lt;wsp:rsid wsp:val=&quot;006B282E&quot;/&gt;&lt;wsp:rsid wsp:val=&quot;006D3FAE&quot;/&gt;&lt;wsp:rsid wsp:val=&quot;006D4600&quot;/&gt;&lt;wsp:rsid wsp:val=&quot;006E0A2C&quot;/&gt;&lt;wsp:rsid wsp:val=&quot;006E202B&quot;/&gt;&lt;wsp:rsid wsp:val=&quot;006E25DF&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730C3&quot;/&gt;&lt;wsp:rsid wsp:val=&quot;007862A6&quot;/&gt;&lt;wsp:rsid wsp:val=&quot;007A7456&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2751F&quot;/&gt;&lt;wsp:rsid wsp:val=&quot;00932067&quot;/&gt;&lt;wsp:rsid wsp:val=&quot;0093594A&quot;/&gt;&lt;wsp:rsid wsp:val=&quot;00955D73&quot;/&gt;&lt;wsp:rsid wsp:val=&quot;0096512C&quot;/&gt;&lt;wsp:rsid wsp:val=&quot;0096540A&quot;/&gt;&lt;wsp:rsid wsp:val=&quot;0098180A&quot;/&gt;&lt;wsp:rsid wsp:val=&quot;009C5D2A&quot;/&gt;&lt;wsp:rsid wsp:val=&quot;00A06700&quot;/&gt;&lt;wsp:rsid wsp:val=&quot;00A331E7&quot;/&gt;&lt;wsp:rsid wsp:val=&quot;00A34169&quot;/&gt;&lt;wsp:rsid wsp:val=&quot;00A35FF4&quot;/&gt;&lt;wsp:rsid wsp:val=&quot;00A41C3C&quot;/&gt;&lt;wsp:rsid wsp:val=&quot;00A430C1&quot;/&gt;&lt;wsp:rsid wsp:val=&quot;00AB2710&quot;/&gt;&lt;wsp:rsid wsp:val=&quot;00AC2AB4&quot;/&gt;&lt;wsp:rsid wsp:val=&quot;00AD184B&quot;/&gt;&lt;wsp:rsid wsp:val=&quot;00B0566D&quot;/&gt;&lt;wsp:rsid wsp:val=&quot;00B10BD6&quot;/&gt;&lt;wsp:rsid wsp:val=&quot;00B16055&quot;/&gt;&lt;wsp:rsid wsp:val=&quot;00B35BD9&quot;/&gt;&lt;wsp:rsid wsp:val=&quot;00B37DE8&quot;/&gt;&lt;wsp:rsid wsp:val=&quot;00B44BA5&quot;/&gt;&lt;wsp:rsid wsp:val=&quot;00B928E7&quot;/&gt;&lt;wsp:rsid wsp:val=&quot;00BA5F7E&quot;/&gt;&lt;wsp:rsid wsp:val=&quot;00BC7E76&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E19C1&quot;/&gt;&lt;wsp:rsid wsp:val=&quot;00D01CFE&quot;/&gt;&lt;wsp:rsid wsp:val=&quot;00D07C4B&quot;/&gt;&lt;wsp:rsid wsp:val=&quot;00D225D8&quot;/&gt;&lt;wsp:rsid wsp:val=&quot;00D33A2E&quot;/&gt;&lt;wsp:rsid wsp:val=&quot;00D40FA5&quot;/&gt;&lt;wsp:rsid wsp:val=&quot;00D41862&quot;/&gt;&lt;wsp:rsid wsp:val=&quot;00D511A1&quot;/&gt;&lt;wsp:rsid wsp:val=&quot;00D872BF&quot;/&gt;&lt;wsp:rsid wsp:val=&quot;00DE01F6&quot;/&gt;&lt;wsp:rsid wsp:val=&quot;00DE2998&quot;/&gt;&lt;wsp:rsid wsp:val=&quot;00DE4223&quot;/&gt;&lt;wsp:rsid wsp:val=&quot;00DE6B60&quot;/&gt;&lt;wsp:rsid wsp:val=&quot;00E06D10&quot;/&gt;&lt;wsp:rsid wsp:val=&quot;00E20458&quot;/&gt;&lt;wsp:rsid wsp:val=&quot;00E56487&quot;/&gt;&lt;wsp:rsid wsp:val=&quot;00E853F3&quot;/&gt;&lt;wsp:rsid wsp:val=&quot;00EC2491&quot;/&gt;&lt;wsp:rsid wsp:val=&quot;00ED2C42&quot;/&gt;&lt;wsp:rsid wsp:val=&quot;00EF3B2B&quot;/&gt;&lt;wsp:rsid wsp:val=&quot;00F00EE9&quot;/&gt;&lt;wsp:rsid wsp:val=&quot;00F379DD&quot;/&gt;&lt;wsp:rsid wsp:val=&quot;00F47244&quot;/&gt;&lt;wsp:rsid wsp:val=&quot;00F511A7&quot;/&gt;&lt;wsp:rsid wsp:val=&quot;00F660F9&quot;/&gt;&lt;wsp:rsid wsp:val=&quot;00FA5F45&quot;/&gt;&lt;wsp:rsid wsp:val=&quot;00FA7522&quot;/&gt;&lt;wsp:rsid wsp:val=&quot;00FC2C59&quot;/&gt;&lt;wsp:rsid wsp:val=&quot;00FD178C&quot;/&gt;&lt;/wsp:rsids&gt;&lt;/w:docPr&gt;&lt;w:body&gt;&lt;wx:sect&gt;&lt;w:p wsp:rsidR=&quot;00000000&quot; wsp:rsidRPr=&quot;00657A17&quot; wsp:rsidRDefault=&quot;00657A17&quot; wsp:rsidP=&quot;00657A17&quot;&gt;&lt;m:oMathPara&gt;&lt;m:oMath&gt;&lt;m:sSub&gt;&lt;m:sSubPr&gt;&lt;m:ctrlPr&gt;&lt;w:rPr&gt;&lt;w:rFonts w:ascii=&quot;Cambria Math&quot; w:h-ansi=&quot;Cambria Math&quot;/&gt;&lt;wx:font wx:val=&quot;Cambria Math&quot;/&gt;&lt;w:i-cs/&gt;&lt;w:lang w:fareast=&quot;EN-GB&quot;/&gt;&lt;/w:rPr&gt;&lt;/m:ctrlPr&gt;&lt;/m:sSubPr&gt;&lt;m:e&gt;&lt;m:r&gt;&lt;w:rPr&gt;&lt;w:rFonts w:ascii=&quot;Cambria Math&quot; w:h-ansi=&quot;Cambria Math&quot;/&gt;&lt;wx:font wx:val=&quot;Cambria Math&quot;/&gt;&lt;w:i/&gt;&lt;w:lang w:fareast=&quot;EN-GB&quot;/&gt;&lt;/w:rPr&gt;&lt;m:t&gt;y&lt;/m:t&gt;&lt;/m:r&gt;&lt;/m:e&gt;&lt;m:sub&gt;&lt;m:r&gt;&lt;w:rPr&gt;&lt;w:rFonts w:ascii=&quot;Cambria Math&quot; w:h-ansi=&quot;Cambria Math&quot;/&gt;&lt;wx:font wx:val=&quot;Cambria Math&quot;/&gt;&lt;w:i/&gt;&lt;w:lang w:fareast=&quot;EN-GB&quot;/&gt;&lt;/w:rPr&gt;&lt;m:t&gt;t&lt;/m:t&gt;&lt;/m:r&gt;&lt;/m:sub&gt;&lt;/m:sSub&gt;&lt;m:r&gt;&lt;m:rPr&gt;&lt;m:sty m:val=&quot;p&quot;/&gt;&lt;/m:rPr&gt;&lt;w:rPr&gt;&lt;w:rFonts w:ascii=&quot;Cambria Math&quot; w:h-ansi=&quot;Cambria Math&quot;/&gt;&lt;wx:font wx:val=&quot;Cambria Math&quot;/&gt;&lt;w:lang w:fareast=&quot;EN-GB&quot;/&gt;&lt;/w:rPr&gt;&lt;m:t&gt;=(&lt;/m:t&gt;&lt;/m:r&gt;&lt;m:r&gt;&lt;w:rPr&gt;&lt;w:rFonts w:ascii=&quot;Cambria Math&quot; w:h-ansi=&quot;Cambria Math&quot;/&gt;&lt;wx:font wx:val=&quot;Cambria Math&quot;/&gt;&lt;w:i/&gt;&lt;w:lang w:fareast=&quot;EN-GB&quot;/&gt;&lt;/w:rPr&gt;&lt;m:t&gt;at&lt;/m:t&gt;&lt;/m:r&gt;&lt;m:r&gt;&lt;m:rPr&gt;&lt;m:sty m:val=&quot;p&quot;/&gt;&lt;/m:rPr&gt;&lt;w:rPr&gt;&lt;w:rFonts w:ascii=&quot;Cambria Math&quot; w:h-ansi=&quot;Cambria Math&quot;/&gt;&lt;wx:font wx:val=&quot;Cambria Math&quot;/&gt;&lt;w:lang w:fareast=&quot;EN-GB&quot;/&gt;&lt;/w:rPr&gt;&lt;m:t&gt;+&lt;/m:t&gt;&lt;/m:r&gt;&lt;m:r&gt;&lt;w:rPr&gt;&lt;w:rFonts w:ascii=&quot;Cambria Math&quot; w:h-ansi=&quot;Cambria Math&quot;/&gt;&lt;wx:font wx:val=&quot;Cambria Math&quot;/&gt;&lt;w:i/&gt;&lt;w:lang w:fareast=&quot;EN-GB&quot;/&gt;&lt;/w:rPr&gt;&lt;m:t&gt;b&lt;/m:t&gt;&lt;/m:r&gt;&lt;m:r&gt;&lt;m:rPr&gt;&lt;m:sty m:val=&quot;p&quot;/&gt;&lt;/m:rPr&gt;&lt;w:rPr&gt;&lt;w:rFonts w:ascii=&quot;Cambria Math&quot; w:h-ansi=&quot;Cambria Math&quot;/&gt;&lt;wx:font wx:val=&quot;Cambria Math&quot;/&gt;&lt;w:lang w:fareast=&quot;EN-GB&quot;/&gt;&lt;/w:rPr&gt;&lt;m:t&gt;)&lt;/m:t&gt;&lt;/m:r&gt;&lt;m:sSub&gt;&lt;m:sSubPr&gt;&lt;m:ctrlPr&gt;&lt;w:rPr&gt;&lt;w:rFonts w:ascii=&quot;Cambria Math&quot; w:h-ansi=&quot;Cambria Math&quot;/&gt;&lt;wx:font wx:val=&quot;Cambria Math&quot;/&gt;&lt;w:i-cs/&gt;&lt;w:lang w:fareast=&quot;EN-GB&quot;/&gt;&lt;/w:rPr&gt;&lt;/m:ctrlPr&gt;&lt;/m:sSubPr&gt;&lt;m:e&gt;&lt;m:r&gt;&lt;w:rPr&gt;&lt;w:rFonts w:ascii=&quot;Cambria Math&quot; w:h-ansi=&quot;Cambria Math&quot;/&gt;&lt;wx:font wx:val=&quot;Cambria Math&quot;/&gt;&lt;w:i/&gt;&lt;w:lang w:fareast=&quot;EN-GB&quot;/&gt;&lt;/w:rPr&gt;&lt;m:t&gt;x&lt;/m:t&gt;&lt;/m:r&gt;&lt;/m:e&gt;&lt;m:sub&gt;&lt;m:r&gt;&lt;w:rPr&gt;&lt;w:rFonts w:ascii=&quot;Cambria Math&quot; w:h-ansi=&quot;Cambria Math&quot;/&gt;&lt;wx:font wx:val=&quot;Cambria Math&quot;/&gt;&lt;w:i/&gt;&lt;w:lang w:fareast=&quot;EN-GB&quot;/&gt;&lt;/w:rPr&gt;&lt;m:t&gt;t&lt;/m:t&gt;&lt;/m:r&gt;&lt;/m:sub&gt;&lt;/m:sSub&gt;&lt;/m:oMath&gt;&lt;/m:oMathPara&gt;&lt;/w:p&gt;&lt;w:sectPr wsp:rsidR=&quot;00000000&quot; wsp:rsidRPr=&quot;00657A17&quot;&gt;&lt;w:pgSz w:w=&quot;12240&quot; w:h=&quot;15840&quot;/&gt;&lt;w:pgMar w:top=&quot;1440&quot; w:right=&quot;1440&quot; w:bottom=&quot;1440&quot; w:left=&quot;1440&quot; w:header=&quot;720&quot; w:footer=&quot;720&quot; w:gutter=&quot;0&quot;/&gt;&lt;w:cols w:space=&quot;720&quot;/&gt;&lt;/w:sectPr&gt;&lt;/wx:sect&gt;&lt;/w:body&gt;&lt;/w:wordDocument&gt;">
            <v:imagedata r:id="rId73" o:title="" chromakey="white"/>
          </v:shape>
        </w:pict>
      </w:r>
    </w:p>
    <w:p w14:paraId="0D066090" w14:textId="77777777" w:rsidR="00660978" w:rsidRPr="00CB1C46" w:rsidRDefault="00660978" w:rsidP="00660978">
      <w:pPr>
        <w:pStyle w:val="BodyText"/>
        <w:spacing w:after="0"/>
        <w:ind w:left="993" w:hanging="993"/>
      </w:pPr>
      <w:r w:rsidRPr="00CB1C46">
        <w:rPr>
          <w:lang w:eastAsia="en-GB"/>
        </w:rPr>
        <w:t xml:space="preserve">Where: </w:t>
      </w:r>
      <w:r w:rsidRPr="00CB1C46">
        <w:rPr>
          <w:lang w:eastAsia="en-GB"/>
        </w:rPr>
        <w:tab/>
      </w:r>
      <w:r w:rsidRPr="00CB1C46">
        <w:rPr>
          <w:i/>
        </w:rPr>
        <w:t>t</w:t>
      </w:r>
      <w:r w:rsidRPr="00CB1C46">
        <w:t xml:space="preserve"> is the year for which a new estimate is required</w:t>
      </w:r>
    </w:p>
    <w:p w14:paraId="48B33799" w14:textId="77777777" w:rsidR="00660978" w:rsidRPr="00CB1C46" w:rsidRDefault="00660978" w:rsidP="00660978">
      <w:pPr>
        <w:pStyle w:val="BodyText"/>
        <w:spacing w:after="0"/>
        <w:ind w:left="993" w:hanging="993"/>
      </w:pPr>
      <w:r w:rsidRPr="00CB1C46">
        <w:rPr>
          <w:i/>
        </w:rPr>
        <w:tab/>
        <w:t>a</w:t>
      </w:r>
      <w:r w:rsidRPr="00CB1C46">
        <w:t xml:space="preserve"> is the slope of the line achieved by regressing Tier 3:Tier 1 for the overlap period</w:t>
      </w:r>
    </w:p>
    <w:p w14:paraId="1E68D245" w14:textId="77777777" w:rsidR="00660978" w:rsidRPr="00CB1C46" w:rsidRDefault="00660978" w:rsidP="00660978">
      <w:pPr>
        <w:pStyle w:val="BodyText"/>
        <w:spacing w:after="0"/>
        <w:ind w:left="993" w:hanging="993"/>
      </w:pPr>
      <w:r w:rsidRPr="00CB1C46">
        <w:rPr>
          <w:i/>
        </w:rPr>
        <w:tab/>
        <w:t>b</w:t>
      </w:r>
      <w:r w:rsidRPr="00CB1C46">
        <w:t xml:space="preserve"> is the intercept of the line achieved by regressing Tier 3:Tier 1 for the overlap period</w:t>
      </w:r>
    </w:p>
    <w:p w14:paraId="36576F98" w14:textId="77777777" w:rsidR="00660978" w:rsidRPr="00CB1C46" w:rsidRDefault="00660978" w:rsidP="00660978">
      <w:pPr>
        <w:pStyle w:val="BodyText"/>
        <w:ind w:left="993" w:hanging="993"/>
      </w:pPr>
      <w:r w:rsidRPr="00CB1C46">
        <w:tab/>
      </w:r>
      <w:r w:rsidRPr="00CB1C46">
        <w:rPr>
          <w:i/>
        </w:rPr>
        <w:t>x</w:t>
      </w:r>
      <w:r w:rsidRPr="00CB1C46">
        <w:rPr>
          <w:i/>
          <w:vertAlign w:val="subscript"/>
        </w:rPr>
        <w:t>t</w:t>
      </w:r>
      <w:r w:rsidRPr="00CB1C46">
        <w:t xml:space="preserve"> is the estimate for year </w:t>
      </w:r>
      <w:r w:rsidRPr="00CB1C46">
        <w:rPr>
          <w:i/>
        </w:rPr>
        <w:t>t</w:t>
      </w:r>
      <w:r w:rsidRPr="00CB1C46">
        <w:t xml:space="preserve"> using the previous methodology.</w:t>
      </w:r>
    </w:p>
    <w:p w14:paraId="5360DB7B" w14:textId="77777777" w:rsidR="00660978" w:rsidRPr="00CB1C46" w:rsidRDefault="00660978" w:rsidP="00660978">
      <w:pPr>
        <w:pStyle w:val="BodyText"/>
        <w:rPr>
          <w:rFonts w:cs="Calibri"/>
          <w:lang w:eastAsia="en-GB"/>
        </w:rPr>
      </w:pPr>
      <w:r w:rsidRPr="00CB1C46">
        <w:rPr>
          <w:rFonts w:cs="Calibri"/>
          <w:lang w:eastAsia="en-GB"/>
        </w:rPr>
        <w:t>The relationship between Tier 3 and Tier 1 emissions is linear from 2001 to 2005 (inclusive) for both CH</w:t>
      </w:r>
      <w:r w:rsidRPr="00CB1C46">
        <w:rPr>
          <w:rFonts w:cs="Calibri"/>
          <w:vertAlign w:val="subscript"/>
          <w:lang w:eastAsia="en-GB"/>
        </w:rPr>
        <w:t>4</w:t>
      </w:r>
      <w:r w:rsidRPr="00CB1C46">
        <w:rPr>
          <w:rFonts w:cs="Calibri"/>
          <w:lang w:eastAsia="en-GB"/>
        </w:rPr>
        <w:t xml:space="preserve"> and N</w:t>
      </w:r>
      <w:r w:rsidRPr="00CB1C46">
        <w:rPr>
          <w:rFonts w:cs="Calibri"/>
          <w:vertAlign w:val="subscript"/>
          <w:lang w:eastAsia="en-GB"/>
        </w:rPr>
        <w:t>2</w:t>
      </w:r>
      <w:r w:rsidRPr="00CB1C46">
        <w:rPr>
          <w:rFonts w:cs="Calibri"/>
          <w:lang w:eastAsia="en-GB"/>
        </w:rPr>
        <w:t>O. This relationship was extrapolated back to the beginning of the time series to derive a factor by which to multiply the Tier 1 estimate for a given year.</w:t>
      </w:r>
    </w:p>
    <w:p w14:paraId="45D0DF8A" w14:textId="77777777" w:rsidR="00660978" w:rsidRPr="00CB1C46" w:rsidRDefault="00660978" w:rsidP="00660978">
      <w:pPr>
        <w:pStyle w:val="Heading6"/>
      </w:pPr>
      <w:r w:rsidRPr="00CB1C46">
        <w:t>Dual-fuel vehicles</w:t>
      </w:r>
    </w:p>
    <w:p w14:paraId="791C9383" w14:textId="77777777" w:rsidR="00660978" w:rsidRPr="00CB1C46" w:rsidRDefault="00660978" w:rsidP="00660978">
      <w:pPr>
        <w:pStyle w:val="BodyText"/>
        <w:rPr>
          <w:rFonts w:cs="Calibri"/>
          <w:lang w:eastAsia="en-GB"/>
        </w:rPr>
      </w:pPr>
      <w:r w:rsidRPr="00CB1C46">
        <w:rPr>
          <w:rFonts w:cs="Calibri"/>
        </w:rPr>
        <w:t>Production and use of dual fuels (CNG–gasoline and LPG–gasoline) in transport was part of a government strategy to reduce New Zealand’s dependence on imported oil. The use of dual fuels in vehicles was significantly larger up until government subsidies were removed in 1987. Since then, together with falling oil prices, CNG and LPG were slowly squeezed out of the market. However, up until October 2017, a Hamilton bus company continued using CNG in its bus fleet. Use of CNG or LPG for transport has not been recorded since.</w:t>
      </w:r>
    </w:p>
    <w:p w14:paraId="5853F562" w14:textId="77777777" w:rsidR="00660978" w:rsidRPr="00CB1C46" w:rsidRDefault="00660978" w:rsidP="00660978">
      <w:pPr>
        <w:pStyle w:val="BodyText"/>
        <w:rPr>
          <w:rFonts w:cs="Calibri"/>
          <w:lang w:eastAsia="en-GB"/>
        </w:rPr>
      </w:pPr>
      <w:r w:rsidRPr="00CB1C46">
        <w:rPr>
          <w:rFonts w:cs="Calibri"/>
          <w:lang w:eastAsia="en-GB"/>
        </w:rPr>
        <w:t xml:space="preserve">Vehicle-kilometres-travelled data collected by the Ministry of Transport allocate vehicles using dual fuels (LPG–gasoline and CNG–gasoline) to the </w:t>
      </w:r>
      <w:r w:rsidRPr="00CB1C46">
        <w:rPr>
          <w:rFonts w:cs="Calibri"/>
          <w:i/>
          <w:lang w:eastAsia="en-GB"/>
        </w:rPr>
        <w:t>Gasoline</w:t>
      </w:r>
      <w:r w:rsidRPr="00CB1C46">
        <w:rPr>
          <w:rFonts w:cs="Calibri"/>
          <w:lang w:eastAsia="en-GB"/>
        </w:rPr>
        <w:t xml:space="preserve"> category. Historically, non-CO</w:t>
      </w:r>
      <w:r w:rsidRPr="00CB1C46">
        <w:rPr>
          <w:rFonts w:cs="Calibri"/>
          <w:vertAlign w:val="subscript"/>
          <w:lang w:eastAsia="en-GB"/>
        </w:rPr>
        <w:t>2</w:t>
      </w:r>
      <w:r w:rsidRPr="00CB1C46">
        <w:rPr>
          <w:rFonts w:cs="Calibri"/>
          <w:lang w:eastAsia="en-GB"/>
        </w:rPr>
        <w:t xml:space="preserve"> emission factors have been lower for LPG than those for gasoline. Analysis undertaken to remove activity data from gasoline to be allocated to LPG resulted in a slight decrease in overall emissions. As a result, the reallocation was not made due to a desire to be conservative when applying methods that would lead to net emission reductions. For the purposes of time</w:t>
      </w:r>
      <w:r w:rsidRPr="00CB1C46">
        <w:rPr>
          <w:rFonts w:cs="Calibri"/>
          <w:lang w:eastAsia="en-GB"/>
        </w:rPr>
        <w:noBreakHyphen/>
        <w:t xml:space="preserve">series consistency, the new methodology was considered incomparable with the previous methodology due to fundamental differences in the type of activity that the two methods represent. The </w:t>
      </w:r>
      <w:r w:rsidRPr="00CB1C46">
        <w:rPr>
          <w:rFonts w:cs="Calibri"/>
        </w:rPr>
        <w:t>CH</w:t>
      </w:r>
      <w:r w:rsidRPr="00CB1C46">
        <w:rPr>
          <w:rFonts w:cs="Calibri"/>
          <w:vertAlign w:val="subscript"/>
        </w:rPr>
        <w:t>4</w:t>
      </w:r>
      <w:r w:rsidRPr="00CB1C46">
        <w:rPr>
          <w:rFonts w:cs="Calibri"/>
          <w:lang w:eastAsia="en-GB"/>
        </w:rPr>
        <w:t xml:space="preserve"> emission factors (tonnes CH</w:t>
      </w:r>
      <w:r w:rsidRPr="00CB1C46">
        <w:rPr>
          <w:rFonts w:cs="Calibri"/>
          <w:vertAlign w:val="subscript"/>
          <w:lang w:eastAsia="en-GB"/>
        </w:rPr>
        <w:t>4</w:t>
      </w:r>
      <w:r w:rsidRPr="00CB1C46">
        <w:rPr>
          <w:rFonts w:cs="Calibri"/>
          <w:lang w:eastAsia="en-GB"/>
        </w:rPr>
        <w:t xml:space="preserve">/PJ) from a purpose-built natural gas (CNG) </w:t>
      </w:r>
      <w:r w:rsidRPr="00CB1C46">
        <w:rPr>
          <w:rFonts w:cs="Calibri"/>
          <w:lang w:eastAsia="en-GB"/>
        </w:rPr>
        <w:lastRenderedPageBreak/>
        <w:t>bus are known to be significantly lower than those from a light passenger vehicle built to run on gasoline then converted to use natural gas.</w:t>
      </w:r>
    </w:p>
    <w:p w14:paraId="27F9A6EA" w14:textId="77777777" w:rsidR="00660978" w:rsidRPr="00CB1C46" w:rsidRDefault="00660978" w:rsidP="00660978">
      <w:pPr>
        <w:pStyle w:val="BodyText"/>
        <w:rPr>
          <w:rFonts w:cs="Calibri"/>
          <w:lang w:eastAsia="en-GB"/>
        </w:rPr>
      </w:pPr>
      <w:r w:rsidRPr="00CB1C46">
        <w:rPr>
          <w:rFonts w:cs="Calibri"/>
          <w:lang w:eastAsia="en-GB"/>
        </w:rPr>
        <w:t>To ensure that emissions were not underestimated, an estimate of the energy used in CNG buses was made. The remaining natural gas was then assumed to be combusted in converted light passenger vehicles, and an IPCC default emission factor was used to estimate the associated emissions.</w:t>
      </w:r>
    </w:p>
    <w:p w14:paraId="2F853195" w14:textId="77777777" w:rsidR="00660978" w:rsidRPr="00CB1C46" w:rsidRDefault="00660978" w:rsidP="00660978">
      <w:pPr>
        <w:pStyle w:val="Heading6"/>
      </w:pPr>
      <w:r w:rsidRPr="00CB1C46">
        <w:t>Blended biofuels</w:t>
      </w:r>
    </w:p>
    <w:p w14:paraId="23CBDB0D" w14:textId="77777777" w:rsidR="00660978" w:rsidRPr="00CB1C46" w:rsidRDefault="00660978" w:rsidP="00660978">
      <w:pPr>
        <w:pStyle w:val="BodyText"/>
        <w:rPr>
          <w:rFonts w:cs="Calibri"/>
          <w:lang w:eastAsia="en-GB"/>
        </w:rPr>
      </w:pPr>
      <w:r w:rsidRPr="00CB1C46">
        <w:rPr>
          <w:rFonts w:cs="Calibri"/>
          <w:lang w:eastAsia="en-GB"/>
        </w:rPr>
        <w:t xml:space="preserve">Small volumes of bio-gasoline and biodiesel are sold blended with mineral oil products and combusted in the </w:t>
      </w:r>
      <w:r w:rsidRPr="00CB1C46">
        <w:rPr>
          <w:rFonts w:cs="Calibri"/>
          <w:i/>
          <w:lang w:eastAsia="en-GB"/>
        </w:rPr>
        <w:t>Road transportation</w:t>
      </w:r>
      <w:r w:rsidRPr="00CB1C46">
        <w:rPr>
          <w:rFonts w:cs="Calibri"/>
          <w:lang w:eastAsia="en-GB"/>
        </w:rPr>
        <w:t xml:space="preserve"> category (data exists from 2007 onwards). To ensure that liquid biofuel combustion is considered in the inventory, the energy split was calculated (i.e., gasoline as a share of combined gasoline and bio-gasoline or mineral diesel as a share of mineral diesel and biodiesel). The new estimate was then multiplied by this factor to account for gasoline and diesel not combusted. The emissions from the combustion of biofuels were then estimated using a Tier 1 methodology, as in previous inventories. </w:t>
      </w:r>
    </w:p>
    <w:p w14:paraId="5E9F44DB" w14:textId="77777777" w:rsidR="00660978" w:rsidRPr="00CB1C46" w:rsidRDefault="00660978" w:rsidP="00660978">
      <w:pPr>
        <w:pStyle w:val="Heading6"/>
      </w:pPr>
      <w:r w:rsidRPr="00CB1C46">
        <w:t>Biodiesel</w:t>
      </w:r>
    </w:p>
    <w:p w14:paraId="1F217C2C" w14:textId="77777777" w:rsidR="00660978" w:rsidRPr="00CB1C46" w:rsidRDefault="00660978" w:rsidP="00660978">
      <w:pPr>
        <w:pStyle w:val="BodyText"/>
        <w:rPr>
          <w:rFonts w:cs="Calibri"/>
          <w:lang w:eastAsia="en-GB"/>
        </w:rPr>
      </w:pPr>
      <w:r w:rsidRPr="00CB1C46">
        <w:rPr>
          <w:rFonts w:cs="Calibri"/>
          <w:lang w:eastAsia="en-GB"/>
        </w:rPr>
        <w:t xml:space="preserve">Biodiesel has been disaggregated into the biogenic fraction and the fossil fraction. The biodiesel biogenic fraction continues to be classified as </w:t>
      </w:r>
      <w:r w:rsidRPr="00CB1C46">
        <w:rPr>
          <w:rFonts w:cs="Calibri"/>
          <w:i/>
          <w:lang w:eastAsia="en-GB"/>
        </w:rPr>
        <w:t>Biomass</w:t>
      </w:r>
      <w:r w:rsidRPr="00CB1C46">
        <w:rPr>
          <w:rFonts w:cs="Calibri"/>
          <w:lang w:eastAsia="en-GB"/>
        </w:rPr>
        <w:t xml:space="preserve">, while the biodiesel fossil fraction is classified as </w:t>
      </w:r>
      <w:r w:rsidRPr="00CB1C46">
        <w:rPr>
          <w:rFonts w:cs="Calibri"/>
          <w:i/>
          <w:lang w:eastAsia="en-GB"/>
        </w:rPr>
        <w:t>Other fossil fuels</w:t>
      </w:r>
      <w:r w:rsidRPr="00CB1C46">
        <w:rPr>
          <w:rFonts w:cs="Calibri"/>
          <w:lang w:eastAsia="en-GB"/>
        </w:rPr>
        <w:t>. Biodiesel produced and consumed in New Zealand is generally fatty acid methyl ester (FAME). To produce FAME, vegetable oil or animal fat is trans-esterified with methanol, which is assumed to be of fossil origin. Consequently, every single molecule of FAME contains one fossil carbon atom. While the exact fraction of fossil carbon in FAME depends on the nature of the feedstock oil, a value of 5.4 per cent is assumed based on measurements of a range of biodiesels from Reddy et al. (2008). As a result, part of the CO</w:t>
      </w:r>
      <w:r w:rsidRPr="00CB1C46">
        <w:rPr>
          <w:rFonts w:cs="Calibri"/>
          <w:vertAlign w:val="subscript"/>
          <w:lang w:eastAsia="en-GB"/>
        </w:rPr>
        <w:t>2</w:t>
      </w:r>
      <w:r w:rsidRPr="00CB1C46">
        <w:rPr>
          <w:rFonts w:cs="Calibri"/>
          <w:lang w:eastAsia="en-GB"/>
        </w:rPr>
        <w:t xml:space="preserve"> emissions previously reported as biomass memo items are now included in the national total emissions.</w:t>
      </w:r>
    </w:p>
    <w:p w14:paraId="62A56C10" w14:textId="77777777" w:rsidR="00660978" w:rsidRPr="00CB1C46" w:rsidRDefault="00660978" w:rsidP="00660978">
      <w:pPr>
        <w:pStyle w:val="Heading5"/>
        <w:rPr>
          <w:rFonts w:cs="Calibri"/>
        </w:rPr>
      </w:pPr>
      <w:r w:rsidRPr="00CB1C46">
        <w:rPr>
          <w:rFonts w:cs="Calibri"/>
          <w:lang w:eastAsia="en-GB"/>
        </w:rPr>
        <w:t>1.A.3.c Railways</w:t>
      </w:r>
    </w:p>
    <w:p w14:paraId="7F2F97F9" w14:textId="77777777" w:rsidR="00660978" w:rsidRPr="00CB1C46" w:rsidRDefault="00660978" w:rsidP="00660978">
      <w:pPr>
        <w:pStyle w:val="BodyText"/>
        <w:rPr>
          <w:rFonts w:cs="Calibri"/>
          <w:lang w:eastAsia="en-GB"/>
        </w:rPr>
      </w:pPr>
      <w:r w:rsidRPr="00CB1C46">
        <w:rPr>
          <w:rFonts w:cs="Calibri"/>
          <w:lang w:eastAsia="en-GB"/>
        </w:rPr>
        <w:t>Non-CO</w:t>
      </w:r>
      <w:r w:rsidRPr="00CB1C46">
        <w:rPr>
          <w:rFonts w:cs="Calibri"/>
          <w:vertAlign w:val="subscript"/>
          <w:lang w:eastAsia="en-GB"/>
        </w:rPr>
        <w:t>2</w:t>
      </w:r>
      <w:r w:rsidRPr="00CB1C46">
        <w:rPr>
          <w:rFonts w:cs="Calibri"/>
          <w:lang w:eastAsia="en-GB"/>
        </w:rPr>
        <w:t xml:space="preserve"> emissions from the </w:t>
      </w:r>
      <w:r w:rsidRPr="00CB1C46">
        <w:rPr>
          <w:rFonts w:cs="Calibri"/>
          <w:i/>
          <w:lang w:eastAsia="en-GB"/>
        </w:rPr>
        <w:t>Railways</w:t>
      </w:r>
      <w:r w:rsidRPr="00CB1C46">
        <w:rPr>
          <w:rFonts w:cs="Calibri"/>
          <w:lang w:eastAsia="en-GB"/>
        </w:rPr>
        <w:t xml:space="preserve"> category (including both liquid and solid fuels) were estimated using a Tier 1 approach (IPCC, 2006).</w:t>
      </w:r>
    </w:p>
    <w:p w14:paraId="5FE61674" w14:textId="77777777" w:rsidR="00660978" w:rsidRPr="00CB1C46" w:rsidRDefault="00660978" w:rsidP="00660978">
      <w:pPr>
        <w:pStyle w:val="Heading5"/>
        <w:rPr>
          <w:rFonts w:cs="Calibri"/>
          <w:lang w:eastAsia="en-GB"/>
        </w:rPr>
      </w:pPr>
      <w:r w:rsidRPr="00CB1C46">
        <w:rPr>
          <w:rFonts w:cs="Calibri"/>
          <w:lang w:eastAsia="en-GB"/>
        </w:rPr>
        <w:t>1.A.3.d Navigation (domestic marine transport)</w:t>
      </w:r>
    </w:p>
    <w:p w14:paraId="18F848AB" w14:textId="77777777" w:rsidR="00660978" w:rsidRPr="00CB1C46" w:rsidRDefault="00660978" w:rsidP="00660978">
      <w:pPr>
        <w:pStyle w:val="BodyText"/>
        <w:rPr>
          <w:rFonts w:cs="Calibri"/>
          <w:lang w:eastAsia="en-GB"/>
        </w:rPr>
      </w:pPr>
      <w:r w:rsidRPr="00CB1C46">
        <w:rPr>
          <w:rFonts w:cs="Calibri"/>
          <w:lang w:eastAsia="en-GB"/>
        </w:rPr>
        <w:t>Non-CO</w:t>
      </w:r>
      <w:r w:rsidRPr="00CB1C46">
        <w:rPr>
          <w:rFonts w:cs="Calibri"/>
          <w:vertAlign w:val="subscript"/>
          <w:lang w:eastAsia="en-GB"/>
        </w:rPr>
        <w:t>2</w:t>
      </w:r>
      <w:r w:rsidRPr="00CB1C46">
        <w:rPr>
          <w:rFonts w:cs="Calibri"/>
          <w:lang w:eastAsia="en-GB"/>
        </w:rPr>
        <w:t xml:space="preserve"> emissions from the </w:t>
      </w:r>
      <w:r w:rsidRPr="00CB1C46">
        <w:rPr>
          <w:rFonts w:cs="Calibri"/>
          <w:i/>
          <w:lang w:eastAsia="en-GB"/>
        </w:rPr>
        <w:t>Navigation</w:t>
      </w:r>
      <w:r w:rsidRPr="00CB1C46">
        <w:rPr>
          <w:rFonts w:cs="Calibri"/>
          <w:lang w:eastAsia="en-GB"/>
        </w:rPr>
        <w:t xml:space="preserve"> category in New Zealand were estimated using a Tier 1 approach (IPCC, 2006).</w:t>
      </w:r>
    </w:p>
    <w:p w14:paraId="08088A83" w14:textId="77777777" w:rsidR="00660978" w:rsidRPr="00CB1C46" w:rsidRDefault="00660978" w:rsidP="00660978">
      <w:pPr>
        <w:pStyle w:val="Heading5"/>
        <w:rPr>
          <w:rFonts w:cs="Calibri"/>
          <w:lang w:eastAsia="en-GB"/>
        </w:rPr>
      </w:pPr>
      <w:r w:rsidRPr="00CB1C46">
        <w:rPr>
          <w:rFonts w:cs="Calibri"/>
          <w:lang w:eastAsia="en-GB"/>
        </w:rPr>
        <w:t>1.A.3.e Other transportation</w:t>
      </w:r>
    </w:p>
    <w:p w14:paraId="4AB67485" w14:textId="77777777" w:rsidR="00660978" w:rsidRPr="00CB1C46" w:rsidRDefault="00660978" w:rsidP="00660978">
      <w:pPr>
        <w:pStyle w:val="BodyText"/>
        <w:rPr>
          <w:rFonts w:cs="Calibri"/>
          <w:lang w:eastAsia="en-GB"/>
        </w:rPr>
      </w:pPr>
      <w:r w:rsidRPr="00CB1C46">
        <w:rPr>
          <w:rFonts w:cs="Calibri"/>
          <w:lang w:eastAsia="en-GB"/>
        </w:rPr>
        <w:t xml:space="preserve">Combustion related to pipeline transport has been recategorised from 1.A.1.c to 1.A.3.e.i </w:t>
      </w:r>
      <w:r w:rsidRPr="00CB1C46">
        <w:rPr>
          <w:rFonts w:cs="Calibri"/>
          <w:i/>
          <w:lang w:eastAsia="en-GB"/>
        </w:rPr>
        <w:t>Pipeline transport</w:t>
      </w:r>
      <w:r w:rsidRPr="00CB1C46">
        <w:rPr>
          <w:rFonts w:cs="Calibri"/>
          <w:iCs/>
          <w:lang w:eastAsia="en-GB"/>
        </w:rPr>
        <w:t>,</w:t>
      </w:r>
      <w:r w:rsidRPr="00CB1C46">
        <w:rPr>
          <w:rFonts w:cs="Calibri"/>
          <w:lang w:eastAsia="en-GB"/>
        </w:rPr>
        <w:t xml:space="preserve"> in response to feedback received from the ERT during the 2018 centralised review.</w:t>
      </w:r>
    </w:p>
    <w:p w14:paraId="54A0DD3E" w14:textId="77777777" w:rsidR="00660978" w:rsidRPr="00CB1C46" w:rsidRDefault="00660978" w:rsidP="00660978">
      <w:pPr>
        <w:pStyle w:val="BodyText"/>
        <w:rPr>
          <w:rFonts w:cs="Calibri"/>
        </w:rPr>
      </w:pPr>
      <w:r w:rsidRPr="00CB1C46">
        <w:rPr>
          <w:rFonts w:cs="Calibri"/>
        </w:rPr>
        <w:t xml:space="preserve">A recent development in New Zealand is the emergence of a nascent aerospace industry. In New Zealand, space-related activities (launches into outer space, launch facilities, high-altitude vehicles and payloads) are overseen by the New Zealand Space Agency, based within MBIE, as regulated in legislation by the Outer Space and High-altitude Activities Act 2017. Currently, one private company is actively launching rockets from a launch complex on the Māhia Peninsula (on the east coast of New Zealand’s North Island) to put small satellites in orbit </w:t>
      </w:r>
      <w:r w:rsidRPr="00CB1C46">
        <w:rPr>
          <w:rFonts w:cs="Calibri"/>
        </w:rPr>
        <w:lastRenderedPageBreak/>
        <w:t xml:space="preserve">around Earth. The rockets use liquid oxygen and RP-1 as propellants. RP-1 is a form of highly refined kerosene. The specific categorisation within energy statistics is yet to be determined, although this type of kerosene is likely classified as jet kerosene under ANZSIC code </w:t>
      </w:r>
      <w:r w:rsidRPr="00CB1C46">
        <w:rPr>
          <w:rFonts w:cs="Calibri"/>
          <w:i/>
        </w:rPr>
        <w:t>I49 Air and Space Transport</w:t>
      </w:r>
      <w:r w:rsidRPr="00CB1C46">
        <w:rPr>
          <w:rFonts w:cs="Calibri"/>
        </w:rPr>
        <w:t xml:space="preserve">, and so would be included within </w:t>
      </w:r>
      <w:r w:rsidRPr="00CB1C46">
        <w:rPr>
          <w:rFonts w:cs="Calibri"/>
          <w:iCs/>
        </w:rPr>
        <w:t>1.A.3.a</w:t>
      </w:r>
      <w:r w:rsidRPr="00CB1C46">
        <w:rPr>
          <w:rFonts w:cs="Calibri"/>
          <w:i/>
        </w:rPr>
        <w:t xml:space="preserve"> Civil aviation</w:t>
      </w:r>
      <w:r w:rsidRPr="00CB1C46">
        <w:rPr>
          <w:rFonts w:cs="Calibri"/>
        </w:rPr>
        <w:t xml:space="preserve">. While the combustion characteristics of rocket engines are likely to differ somewhat from other jet-fuelled activities, no specific emission factors are provided in the 2006 IPCC Guidelines. </w:t>
      </w:r>
    </w:p>
    <w:p w14:paraId="3A5485F1" w14:textId="77777777" w:rsidR="00660978" w:rsidRPr="00CB1C46" w:rsidRDefault="00660978" w:rsidP="00660978">
      <w:pPr>
        <w:pStyle w:val="BodyText"/>
        <w:rPr>
          <w:rFonts w:cs="Calibri"/>
        </w:rPr>
      </w:pPr>
      <w:r w:rsidRPr="00CB1C46">
        <w:rPr>
          <w:rFonts w:cs="Calibri"/>
        </w:rPr>
        <w:t xml:space="preserve">The 2006 IPCC Guidelines cover emissions from civil aviation but do not specifically refer to aeronautics or aerospace. Ballistic vehicles, such as rockets, are usually considered to be included under aeronautics but not aviation. Presumably aerospace activities should be considered as a type of off-road transport because the 2006 IPCC </w:t>
      </w:r>
      <w:r w:rsidRPr="00CB1C46">
        <w:rPr>
          <w:rFonts w:cs="Calibri"/>
          <w:iCs/>
        </w:rPr>
        <w:t>Guidelines</w:t>
      </w:r>
      <w:r w:rsidRPr="00CB1C46">
        <w:rPr>
          <w:rFonts w:cs="Calibri"/>
        </w:rPr>
        <w:t xml:space="preserve"> (volume 2, table 3.1.1) state that emissions from all remaining transport activities should be reported under </w:t>
      </w:r>
      <w:r w:rsidRPr="00CB1C46">
        <w:rPr>
          <w:rFonts w:cs="Calibri"/>
          <w:iCs/>
        </w:rPr>
        <w:t>1.A.3.e</w:t>
      </w:r>
      <w:r w:rsidRPr="00CB1C46">
        <w:rPr>
          <w:rFonts w:cs="Calibri"/>
          <w:i/>
        </w:rPr>
        <w:t xml:space="preserve"> Other transportation</w:t>
      </w:r>
      <w:r w:rsidRPr="00CB1C46">
        <w:rPr>
          <w:rFonts w:cs="Calibri"/>
          <w:iCs/>
        </w:rPr>
        <w:t>,</w:t>
      </w:r>
      <w:r w:rsidRPr="00CB1C46">
        <w:rPr>
          <w:rFonts w:cs="Calibri"/>
          <w:i/>
        </w:rPr>
        <w:t xml:space="preserve"> </w:t>
      </w:r>
      <w:r w:rsidRPr="00CB1C46">
        <w:rPr>
          <w:rFonts w:cs="Calibri"/>
        </w:rPr>
        <w:t xml:space="preserve">and that </w:t>
      </w:r>
      <w:r w:rsidRPr="00CB1C46">
        <w:rPr>
          <w:rFonts w:cs="Calibri"/>
          <w:iCs/>
        </w:rPr>
        <w:t xml:space="preserve">1.A.3.e.ii </w:t>
      </w:r>
      <w:r w:rsidRPr="00CB1C46">
        <w:rPr>
          <w:rFonts w:cs="Calibri"/>
          <w:i/>
        </w:rPr>
        <w:t>Off-road</w:t>
      </w:r>
      <w:r w:rsidRPr="00CB1C46">
        <w:rPr>
          <w:rFonts w:cs="Calibri"/>
        </w:rPr>
        <w:t xml:space="preserve"> should include emissions from </w:t>
      </w:r>
      <w:r w:rsidRPr="00CB1C46">
        <w:rPr>
          <w:rFonts w:cs="Calibri"/>
          <w:i/>
        </w:rPr>
        <w:t>Other transportation</w:t>
      </w:r>
      <w:r w:rsidRPr="00CB1C46">
        <w:rPr>
          <w:rFonts w:cs="Calibri"/>
        </w:rPr>
        <w:t xml:space="preserve"> excluding </w:t>
      </w:r>
      <w:r w:rsidRPr="00CB1C46">
        <w:rPr>
          <w:rFonts w:cs="Calibri"/>
          <w:i/>
        </w:rPr>
        <w:t>Pipeline transport</w:t>
      </w:r>
      <w:r w:rsidRPr="00CB1C46">
        <w:rPr>
          <w:rFonts w:cs="Calibri"/>
        </w:rPr>
        <w:t xml:space="preserve">. However, as mentioned above, the aerospace fuel activity data are currently included in </w:t>
      </w:r>
      <w:r w:rsidRPr="00CB1C46">
        <w:rPr>
          <w:rFonts w:cs="Calibri"/>
          <w:iCs/>
        </w:rPr>
        <w:t xml:space="preserve">1.A.3.a </w:t>
      </w:r>
      <w:r w:rsidRPr="00CB1C46">
        <w:rPr>
          <w:rFonts w:cs="Calibri"/>
          <w:i/>
        </w:rPr>
        <w:t>Civil aviation</w:t>
      </w:r>
      <w:r w:rsidRPr="00CB1C46">
        <w:rPr>
          <w:rFonts w:cs="Calibri"/>
          <w:iCs/>
        </w:rPr>
        <w:t xml:space="preserve">. </w:t>
      </w:r>
      <w:r w:rsidRPr="00CB1C46">
        <w:rPr>
          <w:rFonts w:cs="Calibri"/>
        </w:rPr>
        <w:t>Further justification for not disaggregating the category is commercial data confidentiality concerns due to the small number of companies operating in the sector.</w:t>
      </w:r>
    </w:p>
    <w:p w14:paraId="57A33009" w14:textId="77777777" w:rsidR="00660978" w:rsidRPr="00CB1C46" w:rsidRDefault="00660978" w:rsidP="00660978">
      <w:pPr>
        <w:pStyle w:val="BodyText"/>
        <w:rPr>
          <w:rFonts w:cs="Calibri"/>
        </w:rPr>
      </w:pPr>
      <w:r w:rsidRPr="00CB1C46">
        <w:rPr>
          <w:rFonts w:cs="Calibri"/>
        </w:rPr>
        <w:t xml:space="preserve">An important methodological issue concerning water-borne navigation and civil aviation is to make a distinction between domestic and international transport. The 2006 IPCC </w:t>
      </w:r>
      <w:r w:rsidRPr="00CB1C46">
        <w:rPr>
          <w:rFonts w:cs="Calibri"/>
          <w:iCs/>
        </w:rPr>
        <w:t>Guidelines</w:t>
      </w:r>
      <w:r w:rsidRPr="00CB1C46">
        <w:rPr>
          <w:rFonts w:cs="Calibri"/>
        </w:rPr>
        <w:t xml:space="preserve"> clearly state that the international–domestic split should be determined on the basis of port of departure and port of arrival. By extension, that same principle should apply to aerospace transport. However, it is not clear in the 2006 IPCC </w:t>
      </w:r>
      <w:r w:rsidRPr="00CB1C46">
        <w:rPr>
          <w:rFonts w:cs="Calibri"/>
          <w:iCs/>
        </w:rPr>
        <w:t>Guidelines</w:t>
      </w:r>
      <w:r w:rsidRPr="00CB1C46">
        <w:rPr>
          <w:rFonts w:cs="Calibri"/>
        </w:rPr>
        <w:t xml:space="preserve"> whether a journey of a craft that departs from one country but does not arrive in any other country should be defined as domestic or international transport. It is also unclear whether emissions occurring outside Earth’s atmosphere should be included in either category. Furthermore, the classification of ground-based rocket testing as a form of either stationary or mobile combustion poses a methodological issue and activity data disaggregation challenge. </w:t>
      </w:r>
    </w:p>
    <w:p w14:paraId="2A76C008" w14:textId="77777777" w:rsidR="00660978" w:rsidRPr="00CB1C46" w:rsidRDefault="00660978" w:rsidP="00660978">
      <w:pPr>
        <w:pStyle w:val="Heading4"/>
        <w:rPr>
          <w:lang w:eastAsia="en-GB"/>
        </w:rPr>
      </w:pPr>
      <w:r w:rsidRPr="00CB1C46">
        <w:t>Activity</w:t>
      </w:r>
      <w:r w:rsidRPr="00CB1C46">
        <w:rPr>
          <w:lang w:eastAsia="en-GB"/>
        </w:rPr>
        <w:t xml:space="preserve"> data</w:t>
      </w:r>
    </w:p>
    <w:p w14:paraId="28B1C8ED" w14:textId="77777777" w:rsidR="00660978" w:rsidRPr="00CB1C46" w:rsidRDefault="00660978" w:rsidP="00660978">
      <w:pPr>
        <w:pStyle w:val="Heading5"/>
        <w:spacing w:before="120"/>
        <w:rPr>
          <w:rFonts w:cs="Calibri"/>
          <w:lang w:eastAsia="en-GB"/>
        </w:rPr>
      </w:pPr>
      <w:r w:rsidRPr="00CB1C46">
        <w:rPr>
          <w:rFonts w:cs="Calibri"/>
          <w:lang w:eastAsia="en-GB"/>
        </w:rPr>
        <w:t>1.A.3.a Civil aviation</w:t>
      </w:r>
    </w:p>
    <w:p w14:paraId="4775F3A7" w14:textId="77777777" w:rsidR="00660978" w:rsidRPr="00CB1C46" w:rsidRDefault="00660978" w:rsidP="00660978">
      <w:pPr>
        <w:pStyle w:val="BodyText"/>
        <w:rPr>
          <w:rFonts w:cs="Calibri"/>
        </w:rPr>
      </w:pPr>
      <w:r w:rsidRPr="00CB1C46">
        <w:rPr>
          <w:rFonts w:cs="Calibri"/>
          <w:lang w:eastAsia="en-GB"/>
        </w:rPr>
        <w:t xml:space="preserve">MBIE </w:t>
      </w:r>
      <w:r w:rsidRPr="00CB1C46">
        <w:rPr>
          <w:rFonts w:cs="Calibri"/>
        </w:rPr>
        <w:t xml:space="preserve">currently collects data on aviation fuels used for international and domestic aviation through the </w:t>
      </w:r>
      <w:r w:rsidRPr="00CB1C46">
        <w:rPr>
          <w:rFonts w:cs="Calibri"/>
          <w:iCs/>
          <w:spacing w:val="-2"/>
          <w:lang w:eastAsia="en-GB"/>
        </w:rPr>
        <w:t>DPFI</w:t>
      </w:r>
      <w:r w:rsidRPr="00CB1C46">
        <w:rPr>
          <w:rFonts w:cs="Calibri"/>
        </w:rPr>
        <w:t xml:space="preserve">. The respondents to this survey are New Zealand’s four main oil companies, namely: BP, Z Energy, ExxonMobil and Gull (Gull participates only in </w:t>
      </w:r>
      <w:r w:rsidRPr="00CB1C46">
        <w:rPr>
          <w:rFonts w:cs="Calibri"/>
          <w:lang w:eastAsia="en-GB"/>
        </w:rPr>
        <w:t>gasoline</w:t>
      </w:r>
      <w:r w:rsidRPr="00CB1C46">
        <w:rPr>
          <w:rFonts w:cs="Calibri"/>
        </w:rPr>
        <w:t xml:space="preserve"> and diesel sales). </w:t>
      </w:r>
    </w:p>
    <w:p w14:paraId="1311396B" w14:textId="77777777" w:rsidR="00660978" w:rsidRPr="00CB1C46" w:rsidRDefault="00660978" w:rsidP="00660978">
      <w:pPr>
        <w:pStyle w:val="BodyText"/>
        <w:rPr>
          <w:rFonts w:cs="Calibri"/>
        </w:rPr>
      </w:pPr>
      <w:r w:rsidRPr="00CB1C46">
        <w:rPr>
          <w:rFonts w:cs="Calibri"/>
          <w:lang w:eastAsia="en-GB"/>
        </w:rPr>
        <w:t xml:space="preserve">The distinction between domestic and international flights is based on refuelling at the domestic and international terminals of New Zealand airports. </w:t>
      </w:r>
      <w:r w:rsidRPr="00CB1C46">
        <w:rPr>
          <w:rFonts w:cs="Calibri"/>
        </w:rPr>
        <w:t>The allocation of aviation fuels between domestic and international segments has previously been raised by the ERT. A previous centralised review stated (UNFCCC, 2009):</w:t>
      </w:r>
    </w:p>
    <w:p w14:paraId="16D478FE" w14:textId="77777777" w:rsidR="00660978" w:rsidRPr="00CB1C46" w:rsidRDefault="00660978" w:rsidP="00660978">
      <w:pPr>
        <w:pStyle w:val="Quote"/>
        <w:spacing w:before="60"/>
        <w:rPr>
          <w:rFonts w:cs="Calibri"/>
        </w:rPr>
      </w:pPr>
      <w:r w:rsidRPr="00CB1C46">
        <w:rPr>
          <w:rFonts w:cs="Calibri"/>
        </w:rPr>
        <w:t>The National Inventory Report (NIR) reports that the allocation of fuel consumption between domestic and international air transport is based on refuelling at the domestic and international terminals of New Zealand’s airports. Currently splitting the domestic and international components of fuels used for international flights with a domestic segment was not considered; however, the number of international flights with a domestic segment is considered to be negligible. The Expert Review Team (ERT) notes that in 2006, New Zealand began consultations with the airlines to clarify the situation and improve the relevant Activity Data (AD), and is currently working on a methodology that will allow for better international and domestic fuel use allocation. New Zealand is encouraged to adopt the new approach and report the outcome in its 2010 submissions.</w:t>
      </w:r>
    </w:p>
    <w:p w14:paraId="703267CF" w14:textId="77777777" w:rsidR="00660978" w:rsidRPr="00CB1C46" w:rsidRDefault="00660978" w:rsidP="00655D03">
      <w:pPr>
        <w:pStyle w:val="BodyText"/>
        <w:spacing w:before="100" w:after="100"/>
        <w:rPr>
          <w:rFonts w:cs="Calibri"/>
        </w:rPr>
      </w:pPr>
      <w:r w:rsidRPr="00CB1C46">
        <w:rPr>
          <w:rFonts w:cs="Calibri"/>
        </w:rPr>
        <w:lastRenderedPageBreak/>
        <w:t xml:space="preserve">In the </w:t>
      </w:r>
      <w:r w:rsidRPr="00CB1C46">
        <w:rPr>
          <w:rFonts w:cs="Calibri"/>
          <w:iCs/>
          <w:spacing w:val="-2"/>
          <w:lang w:eastAsia="en-GB"/>
        </w:rPr>
        <w:t>DPFI</w:t>
      </w:r>
      <w:r w:rsidRPr="00CB1C46">
        <w:rPr>
          <w:rFonts w:cs="Calibri"/>
        </w:rPr>
        <w:t xml:space="preserve">, the oil companies report quantities of different fuels (jet A1, aviation gasoline and kerosene, among others) used for the purposes of international and domestic transport. The companies allocate the fuel to international or domestic transport based on whether or not they charge goods and services tax (GST) on the fuel sold; GST is not charged when the destination of a flight is outside of New Zealand. </w:t>
      </w:r>
    </w:p>
    <w:p w14:paraId="58C57199" w14:textId="77777777" w:rsidR="00660978" w:rsidRPr="00CB1C46" w:rsidRDefault="00660978" w:rsidP="00655D03">
      <w:pPr>
        <w:pStyle w:val="BodyText"/>
        <w:spacing w:before="100" w:after="100"/>
        <w:rPr>
          <w:rFonts w:cs="Calibri"/>
        </w:rPr>
      </w:pPr>
      <w:r w:rsidRPr="00CB1C46">
        <w:rPr>
          <w:rFonts w:cs="Calibri"/>
        </w:rPr>
        <w:t>Some international flights from New Zealand contain a domestic leg, for example, Christchurch–Auckland–Tokyo. Industry practice is to refuel at both points with sufficient fuel to reach the next destination so that the domestic leg will be coded appropriately. By this logic, fuel used for the domestic leg will attract GST and therefore be coded as domestic, and the international leg, which does not attract GST, will be coded as international.</w:t>
      </w:r>
    </w:p>
    <w:p w14:paraId="29A3EF19" w14:textId="77777777" w:rsidR="00660978" w:rsidRPr="00CB1C46" w:rsidRDefault="00660978" w:rsidP="00655D03">
      <w:pPr>
        <w:pStyle w:val="BodyText"/>
        <w:spacing w:before="100" w:after="100"/>
        <w:rPr>
          <w:rFonts w:cs="Calibri"/>
        </w:rPr>
      </w:pPr>
      <w:r w:rsidRPr="00CB1C46">
        <w:rPr>
          <w:rFonts w:cs="Calibri"/>
        </w:rPr>
        <w:t xml:space="preserve">Although this is a supply-side approach, MBIE believes the split of international and domestic transport to be accurate because BP, Z Energy and ExxonMobil supply 100 per cent of the aviation fuels market in New Zealand. Based on the above findings and consultation, MBIE believes the current data-collection methodology is sufficiently robust to ensure all the domestic aviation fuels are reported accordingly and to avoid missing or misallocation of domestic fuel use. </w:t>
      </w:r>
    </w:p>
    <w:p w14:paraId="111856DF" w14:textId="77777777" w:rsidR="00660978" w:rsidRPr="00CB1C46" w:rsidRDefault="00660978" w:rsidP="00660978">
      <w:pPr>
        <w:pStyle w:val="Heading5"/>
        <w:rPr>
          <w:rFonts w:cs="Calibri"/>
          <w:lang w:eastAsia="en-GB"/>
        </w:rPr>
      </w:pPr>
      <w:r w:rsidRPr="00CB1C46">
        <w:rPr>
          <w:rFonts w:cs="Calibri"/>
          <w:lang w:eastAsia="en-GB"/>
        </w:rPr>
        <w:t>1.A.3.b Road transportation</w:t>
      </w:r>
    </w:p>
    <w:p w14:paraId="6DC952BF" w14:textId="77777777" w:rsidR="00660978" w:rsidRPr="00CB1C46" w:rsidRDefault="00660978" w:rsidP="00655D03">
      <w:pPr>
        <w:pStyle w:val="BodyText"/>
        <w:spacing w:before="100" w:after="100"/>
        <w:rPr>
          <w:rFonts w:cs="Calibri"/>
          <w:lang w:eastAsia="en-GB"/>
        </w:rPr>
      </w:pPr>
      <w:r w:rsidRPr="00CB1C46">
        <w:rPr>
          <w:rFonts w:cs="Calibri"/>
          <w:lang w:eastAsia="en-GB"/>
        </w:rPr>
        <w:t xml:space="preserve">Activity data for the </w:t>
      </w:r>
      <w:r w:rsidRPr="00CB1C46">
        <w:rPr>
          <w:rFonts w:cs="Calibri"/>
          <w:i/>
          <w:lang w:eastAsia="en-GB"/>
        </w:rPr>
        <w:t>Road transportation</w:t>
      </w:r>
      <w:r w:rsidRPr="00CB1C46">
        <w:rPr>
          <w:rFonts w:cs="Calibri"/>
          <w:lang w:eastAsia="en-GB"/>
        </w:rPr>
        <w:t xml:space="preserve"> category are provided by the Ministry of Transport’s six-monthly fleet data and MBIE’s national energy statistics. For more information on the use of vehicle fleet data for estimating non-CO</w:t>
      </w:r>
      <w:r w:rsidRPr="00CB1C46">
        <w:rPr>
          <w:rFonts w:cs="Calibri"/>
          <w:vertAlign w:val="subscript"/>
          <w:lang w:eastAsia="en-GB"/>
        </w:rPr>
        <w:t xml:space="preserve">2 </w:t>
      </w:r>
      <w:r w:rsidRPr="00CB1C46">
        <w:rPr>
          <w:rFonts w:cs="Calibri"/>
          <w:lang w:eastAsia="en-GB"/>
        </w:rPr>
        <w:t>emissions, see ‘Methodological issues’ above.</w:t>
      </w:r>
    </w:p>
    <w:p w14:paraId="5F7849E5" w14:textId="77777777" w:rsidR="00660978" w:rsidRPr="00CB1C46" w:rsidRDefault="00660978" w:rsidP="00655D03">
      <w:pPr>
        <w:pStyle w:val="BodyText"/>
        <w:spacing w:before="100" w:after="100"/>
        <w:rPr>
          <w:rFonts w:cs="Calibri"/>
          <w:lang w:eastAsia="en-GB"/>
        </w:rPr>
      </w:pPr>
      <w:r w:rsidRPr="00CB1C46">
        <w:rPr>
          <w:rFonts w:cs="Calibri"/>
          <w:lang w:eastAsia="en-GB"/>
        </w:rPr>
        <w:t xml:space="preserve">Activity data on the consumption of fuel by the </w:t>
      </w:r>
      <w:r w:rsidRPr="00CB1C46">
        <w:rPr>
          <w:rFonts w:cs="Calibri"/>
          <w:i/>
          <w:lang w:eastAsia="en-GB"/>
        </w:rPr>
        <w:t>Transport</w:t>
      </w:r>
      <w:r w:rsidRPr="00CB1C46">
        <w:rPr>
          <w:rFonts w:cs="Calibri"/>
          <w:lang w:eastAsia="en-GB"/>
        </w:rPr>
        <w:t xml:space="preserve"> category were sourced from the </w:t>
      </w:r>
      <w:r w:rsidRPr="00CB1C46">
        <w:rPr>
          <w:rFonts w:cs="Calibri"/>
          <w:iCs/>
          <w:spacing w:val="-2"/>
          <w:lang w:eastAsia="en-GB"/>
        </w:rPr>
        <w:t>DPFI</w:t>
      </w:r>
      <w:r w:rsidRPr="00CB1C46">
        <w:rPr>
          <w:rFonts w:cs="Calibri"/>
          <w:iCs/>
          <w:lang w:eastAsia="en-GB"/>
        </w:rPr>
        <w:t xml:space="preserve"> </w:t>
      </w:r>
      <w:r w:rsidRPr="00CB1C46">
        <w:rPr>
          <w:rFonts w:cs="Calibri"/>
          <w:lang w:eastAsia="en-GB"/>
        </w:rPr>
        <w:t xml:space="preserve">conducted by MBIE. LPG and CNG consumption figures are reported </w:t>
      </w:r>
      <w:r w:rsidRPr="00CB1C46">
        <w:rPr>
          <w:rFonts w:cs="Calibri"/>
          <w:iCs/>
          <w:lang w:eastAsia="en-GB"/>
        </w:rPr>
        <w:t>online by</w:t>
      </w:r>
      <w:r w:rsidRPr="00CB1C46">
        <w:rPr>
          <w:rFonts w:cs="Calibri"/>
        </w:rPr>
        <w:t> </w:t>
      </w:r>
      <w:r w:rsidRPr="00CB1C46">
        <w:rPr>
          <w:rFonts w:cs="Calibri"/>
          <w:lang w:eastAsia="en-GB"/>
        </w:rPr>
        <w:t>MBIE.</w:t>
      </w:r>
    </w:p>
    <w:p w14:paraId="24B7AE3C" w14:textId="77777777" w:rsidR="00660978" w:rsidRPr="00CB1C46" w:rsidRDefault="00660978" w:rsidP="00655D03">
      <w:pPr>
        <w:pStyle w:val="BodyText"/>
        <w:spacing w:before="100" w:after="100"/>
        <w:rPr>
          <w:rFonts w:cs="Calibri"/>
          <w:spacing w:val="-2"/>
        </w:rPr>
      </w:pPr>
      <w:r w:rsidRPr="00CB1C46">
        <w:rPr>
          <w:rFonts w:cs="Calibri"/>
          <w:spacing w:val="-2"/>
        </w:rPr>
        <w:t xml:space="preserve">As mentioned in section 3.3.1, this inventory continues to use the results of the </w:t>
      </w:r>
      <w:r w:rsidRPr="000466EE">
        <w:rPr>
          <w:rFonts w:cs="Calibri"/>
          <w:iCs/>
          <w:spacing w:val="-2"/>
        </w:rPr>
        <w:t>Annual Liquid Fuel Survey</w:t>
      </w:r>
      <w:r w:rsidRPr="00CB1C46">
        <w:rPr>
          <w:rFonts w:cs="Calibri"/>
          <w:spacing w:val="-2"/>
        </w:rPr>
        <w:t xml:space="preserve"> that began in 2009. The purpose of this survey is to capture the allocation of fuel resold by small independent resellers. In recent years, these independent resellers have accounted for around 30 per cent of national diesel sales and around 8 per cent of national gasoline sales. </w:t>
      </w:r>
    </w:p>
    <w:p w14:paraId="35A3F7AF" w14:textId="77777777" w:rsidR="00660978" w:rsidRPr="00CB1C46" w:rsidRDefault="00660978" w:rsidP="00655D03">
      <w:pPr>
        <w:pStyle w:val="BodyText"/>
        <w:spacing w:before="100" w:after="100"/>
        <w:rPr>
          <w:rFonts w:cs="Calibri"/>
        </w:rPr>
      </w:pPr>
      <w:r w:rsidRPr="00CB1C46">
        <w:rPr>
          <w:rFonts w:cs="Calibri"/>
        </w:rPr>
        <w:t xml:space="preserve">As a result of resale data captured by the </w:t>
      </w:r>
      <w:r w:rsidRPr="000466EE">
        <w:rPr>
          <w:rFonts w:cs="Calibri"/>
          <w:iCs/>
        </w:rPr>
        <w:t>Annual Liquid Fuel Survey</w:t>
      </w:r>
      <w:r w:rsidRPr="00CB1C46">
        <w:rPr>
          <w:rFonts w:cs="Calibri"/>
        </w:rPr>
        <w:t xml:space="preserve">, emissions that would otherwise be reported in category 1.A.3.b </w:t>
      </w:r>
      <w:r w:rsidRPr="00CB1C46">
        <w:rPr>
          <w:rFonts w:cs="Calibri"/>
          <w:i/>
        </w:rPr>
        <w:t>Road transportation</w:t>
      </w:r>
      <w:r w:rsidRPr="00CB1C46">
        <w:rPr>
          <w:rFonts w:cs="Calibri"/>
        </w:rPr>
        <w:t xml:space="preserve"> are allocated to the correct category.</w:t>
      </w:r>
    </w:p>
    <w:p w14:paraId="6E61BDC7" w14:textId="77777777" w:rsidR="00660978" w:rsidRPr="00CB1C46" w:rsidRDefault="00660978" w:rsidP="00655D03">
      <w:pPr>
        <w:pStyle w:val="BodyText"/>
        <w:spacing w:before="100" w:after="100"/>
        <w:rPr>
          <w:rFonts w:cs="Calibri"/>
        </w:rPr>
      </w:pPr>
      <w:r w:rsidRPr="00CB1C46">
        <w:rPr>
          <w:rFonts w:cs="Calibri"/>
        </w:rPr>
        <w:t>For time-series consistency, these reallocations were also made from 1990 to 2008, before the collection of data on the resale of liquid fuel by independent distributors.</w:t>
      </w:r>
    </w:p>
    <w:p w14:paraId="36BA66E4" w14:textId="77777777" w:rsidR="00660978" w:rsidRPr="00CB1C46" w:rsidRDefault="00660978" w:rsidP="00655D03">
      <w:pPr>
        <w:pStyle w:val="BodyText"/>
        <w:spacing w:before="100" w:after="100"/>
        <w:rPr>
          <w:rFonts w:cs="Calibri"/>
        </w:rPr>
      </w:pPr>
      <w:r w:rsidRPr="00CB1C46">
        <w:rPr>
          <w:rFonts w:cs="Calibri"/>
        </w:rPr>
        <w:t xml:space="preserve">The diesel activity data for the </w:t>
      </w:r>
      <w:r w:rsidRPr="00CB1C46">
        <w:rPr>
          <w:rFonts w:cs="Calibri"/>
          <w:i/>
        </w:rPr>
        <w:t>Road transport</w:t>
      </w:r>
      <w:r w:rsidRPr="00CB1C46">
        <w:rPr>
          <w:rFonts w:cs="Calibri"/>
        </w:rPr>
        <w:t xml:space="preserve"> category are assumed to be the diesel reported for domestic transport, less that reported by KiwiRail</w:t>
      </w:r>
      <w:r w:rsidRPr="00CB1C46">
        <w:rPr>
          <w:rFonts w:cs="Calibri"/>
          <w:lang w:eastAsia="en-GB"/>
        </w:rPr>
        <w:t>, the operator of national rail services in New Zealand,</w:t>
      </w:r>
      <w:r w:rsidRPr="00CB1C46">
        <w:rPr>
          <w:rFonts w:cs="Calibri"/>
        </w:rPr>
        <w:t xml:space="preserve"> in 1.A.3.c </w:t>
      </w:r>
      <w:r w:rsidRPr="00CB1C46">
        <w:rPr>
          <w:rFonts w:cs="Calibri"/>
          <w:i/>
        </w:rPr>
        <w:t>Railways</w:t>
      </w:r>
      <w:r w:rsidRPr="00CB1C46">
        <w:rPr>
          <w:rFonts w:cs="Calibri"/>
        </w:rPr>
        <w:t xml:space="preserve"> and 1.A.3.d </w:t>
      </w:r>
      <w:r w:rsidRPr="00CB1C46">
        <w:rPr>
          <w:rFonts w:cs="Calibri"/>
          <w:i/>
        </w:rPr>
        <w:t>Domestic navigation</w:t>
      </w:r>
      <w:r w:rsidRPr="00CB1C46">
        <w:rPr>
          <w:rFonts w:cs="Calibri"/>
        </w:rPr>
        <w:t xml:space="preserve">, discussed below. </w:t>
      </w:r>
    </w:p>
    <w:p w14:paraId="280A0C60" w14:textId="12C2014E" w:rsidR="00660978" w:rsidRPr="00CB1C46" w:rsidRDefault="00660978" w:rsidP="00655D03">
      <w:pPr>
        <w:pStyle w:val="BodyText"/>
        <w:spacing w:before="100" w:after="100"/>
        <w:rPr>
          <w:rFonts w:cs="Calibri"/>
        </w:rPr>
      </w:pPr>
      <w:r w:rsidRPr="00CB1C46">
        <w:rPr>
          <w:rFonts w:cs="Calibri"/>
        </w:rPr>
        <w:t>The fuel sold data have been validated by estimating fuel consumption based on vehicle kilometres using a vehicle fleet model. Over the past decade, the fuel quantity from the fuel use data has been larger than that estimated using kilometres travelled. Several factors can contribute to differences between the two methods, for example, fuel sold by retailers that is then used for off-road purposes, and the real-world fuel efficiencies of vehicles differing from assumptions used in the vehicle fleet model. Across the time series (2001–15), the average difference is 1.5 per cent for petrol and 4.8 per cent for diesel, which shows that the</w:t>
      </w:r>
      <w:r w:rsidR="00FF0148">
        <w:rPr>
          <w:rFonts w:cs="Calibri"/>
        </w:rPr>
        <w:t> </w:t>
      </w:r>
      <w:r w:rsidRPr="00CB1C46">
        <w:rPr>
          <w:rFonts w:cs="Calibri"/>
        </w:rPr>
        <w:t>methods align very closely. This level of agreement compares favourably with the fuel data of other countries.</w:t>
      </w:r>
    </w:p>
    <w:p w14:paraId="248986A9" w14:textId="77777777" w:rsidR="00660978" w:rsidRPr="00CB1C46" w:rsidRDefault="00660978" w:rsidP="00660978">
      <w:pPr>
        <w:pStyle w:val="BodyText"/>
        <w:rPr>
          <w:rFonts w:cs="Calibri"/>
        </w:rPr>
      </w:pPr>
      <w:r w:rsidRPr="00CB1C46">
        <w:lastRenderedPageBreak/>
        <w:t xml:space="preserve">MBIE receives import–export and excise data on liquid biofuels from the New Zealand Customs </w:t>
      </w:r>
      <w:r w:rsidRPr="00AF315F">
        <w:rPr>
          <w:spacing w:val="-2"/>
        </w:rPr>
        <w:t>Service and sales data from major fuel companies. In December 2012 the Biofuel Sales Obligation</w:t>
      </w:r>
      <w:r w:rsidRPr="00CB1C46">
        <w:t xml:space="preserve"> was abolished and in June 2012 the Biodiesels Grant Scheme was removed. The trend in biodiesel use in road transport can be explained by the removal of these two schemes. Following their removal, activity fell significantly and has remained relatively stagnant since.</w:t>
      </w:r>
    </w:p>
    <w:p w14:paraId="4AFFB552" w14:textId="77777777" w:rsidR="00660978" w:rsidRPr="00CB1C46" w:rsidRDefault="00660978" w:rsidP="00660978">
      <w:pPr>
        <w:pStyle w:val="Heading5"/>
        <w:rPr>
          <w:rFonts w:cs="Calibri"/>
          <w:lang w:eastAsia="en-GB"/>
        </w:rPr>
      </w:pPr>
      <w:r w:rsidRPr="00CB1C46">
        <w:rPr>
          <w:rFonts w:cs="Calibri"/>
          <w:lang w:eastAsia="en-GB"/>
        </w:rPr>
        <w:t>1.A.3.c Railways</w:t>
      </w:r>
    </w:p>
    <w:p w14:paraId="4EDBDFE8" w14:textId="77777777" w:rsidR="00660978" w:rsidRPr="00CB1C46" w:rsidRDefault="00660978" w:rsidP="00660978">
      <w:pPr>
        <w:pStyle w:val="BodyText"/>
        <w:rPr>
          <w:rFonts w:cs="Calibri"/>
          <w:lang w:eastAsia="en-GB"/>
        </w:rPr>
      </w:pPr>
      <w:r w:rsidRPr="00CB1C46">
        <w:rPr>
          <w:rFonts w:cs="Calibri"/>
          <w:lang w:eastAsia="en-GB"/>
        </w:rPr>
        <w:t xml:space="preserve">Activity data for fuel used in this category are obtained directly from KiwiRail. This also includes diesel sold to the metropolitan service operated by Veolia in Auckland. </w:t>
      </w:r>
    </w:p>
    <w:p w14:paraId="6429AE4E" w14:textId="77777777" w:rsidR="00660978" w:rsidRPr="00CB1C46" w:rsidRDefault="00660978" w:rsidP="00660978">
      <w:pPr>
        <w:pStyle w:val="Heading5"/>
        <w:rPr>
          <w:rFonts w:cs="Calibri"/>
        </w:rPr>
      </w:pPr>
      <w:r w:rsidRPr="00CB1C46">
        <w:rPr>
          <w:rFonts w:cs="Calibri"/>
          <w:lang w:eastAsia="en-GB"/>
        </w:rPr>
        <w:t xml:space="preserve">1.A.3.d Domestic navigation </w:t>
      </w:r>
    </w:p>
    <w:p w14:paraId="2E10DD2C" w14:textId="77777777" w:rsidR="00660978" w:rsidRPr="00CB1C46" w:rsidRDefault="00660978" w:rsidP="00660978">
      <w:pPr>
        <w:pStyle w:val="BodyText"/>
        <w:rPr>
          <w:rFonts w:cs="Calibri"/>
          <w:lang w:eastAsia="en-GB"/>
        </w:rPr>
      </w:pPr>
      <w:r w:rsidRPr="00CB1C46">
        <w:rPr>
          <w:rFonts w:cs="Calibri"/>
          <w:lang w:eastAsia="en-GB"/>
        </w:rPr>
        <w:t xml:space="preserve">Fuel oil activity data on fuel use by domestic transport are sourced from the quarterly </w:t>
      </w:r>
      <w:r w:rsidRPr="00CB1C46">
        <w:rPr>
          <w:rFonts w:cs="Calibri"/>
          <w:iCs/>
          <w:spacing w:val="-2"/>
          <w:lang w:eastAsia="en-GB"/>
        </w:rPr>
        <w:t>DPFI</w:t>
      </w:r>
      <w:r w:rsidRPr="00CB1C46">
        <w:rPr>
          <w:rFonts w:cs="Calibri"/>
          <w:i/>
          <w:iCs/>
          <w:lang w:eastAsia="en-GB"/>
        </w:rPr>
        <w:t xml:space="preserve"> </w:t>
      </w:r>
      <w:r w:rsidRPr="00CB1C46">
        <w:rPr>
          <w:rFonts w:cs="Calibri"/>
          <w:lang w:eastAsia="en-GB"/>
        </w:rPr>
        <w:t xml:space="preserve">conducted by MBIE. The DPFI provides monthly marine diesel supply figures that are added to diesel consumption data provided by KiwiRail (the operator of inter-island ferries) to obtain total diesel consumption in the </w:t>
      </w:r>
      <w:r w:rsidRPr="00CB1C46">
        <w:rPr>
          <w:rFonts w:cs="Calibri"/>
          <w:i/>
          <w:lang w:eastAsia="en-GB"/>
        </w:rPr>
        <w:t>Domestic navigation</w:t>
      </w:r>
      <w:r w:rsidRPr="00CB1C46">
        <w:rPr>
          <w:rFonts w:cs="Calibri"/>
          <w:lang w:eastAsia="en-GB"/>
        </w:rPr>
        <w:t xml:space="preserve"> category. New Zealand-specific emission factors have been used to estimate </w:t>
      </w:r>
      <w:r w:rsidRPr="00CB1C46">
        <w:rPr>
          <w:rFonts w:cs="Calibri"/>
        </w:rPr>
        <w:t>CO</w:t>
      </w:r>
      <w:r w:rsidRPr="00CB1C46">
        <w:rPr>
          <w:rFonts w:cs="Calibri"/>
          <w:vertAlign w:val="subscript"/>
        </w:rPr>
        <w:t>2</w:t>
      </w:r>
      <w:r w:rsidRPr="00CB1C46">
        <w:rPr>
          <w:rFonts w:cs="Calibri"/>
          <w:sz w:val="14"/>
          <w:szCs w:val="14"/>
          <w:lang w:eastAsia="en-GB"/>
        </w:rPr>
        <w:t xml:space="preserve"> </w:t>
      </w:r>
      <w:r w:rsidRPr="00CB1C46">
        <w:rPr>
          <w:rFonts w:cs="Calibri"/>
          <w:lang w:eastAsia="en-GB"/>
        </w:rPr>
        <w:t xml:space="preserve">emissions and, because of insufficient data, the IPCC 2006 default emission factors have been used to estimate </w:t>
      </w:r>
      <w:r w:rsidRPr="00CB1C46">
        <w:rPr>
          <w:rFonts w:cs="Calibri"/>
        </w:rPr>
        <w:t>CH</w:t>
      </w:r>
      <w:r w:rsidRPr="00CB1C46">
        <w:rPr>
          <w:rFonts w:cs="Calibri"/>
          <w:vertAlign w:val="subscript"/>
        </w:rPr>
        <w:t>4</w:t>
      </w:r>
      <w:r w:rsidRPr="00CB1C46">
        <w:rPr>
          <w:rFonts w:cs="Calibri"/>
          <w:sz w:val="14"/>
          <w:szCs w:val="14"/>
          <w:lang w:eastAsia="en-GB"/>
        </w:rPr>
        <w:t xml:space="preserve"> </w:t>
      </w:r>
      <w:r w:rsidRPr="00CB1C46">
        <w:rPr>
          <w:rFonts w:cs="Calibri"/>
          <w:lang w:eastAsia="en-GB"/>
        </w:rPr>
        <w:t xml:space="preserve">and </w:t>
      </w:r>
      <w:r w:rsidRPr="00CB1C46">
        <w:rPr>
          <w:rFonts w:cs="Calibri"/>
        </w:rPr>
        <w:t>N</w:t>
      </w:r>
      <w:r w:rsidRPr="00CB1C46">
        <w:rPr>
          <w:rFonts w:cs="Calibri"/>
          <w:vertAlign w:val="subscript"/>
        </w:rPr>
        <w:t>2</w:t>
      </w:r>
      <w:r w:rsidRPr="00CB1C46">
        <w:rPr>
          <w:rFonts w:cs="Calibri"/>
        </w:rPr>
        <w:t>O</w:t>
      </w:r>
      <w:r w:rsidRPr="00CB1C46">
        <w:rPr>
          <w:rFonts w:cs="Calibri"/>
          <w:lang w:eastAsia="en-GB"/>
        </w:rPr>
        <w:t xml:space="preserve"> emissions.</w:t>
      </w:r>
    </w:p>
    <w:p w14:paraId="5801BDF8" w14:textId="77777777" w:rsidR="00660978" w:rsidRPr="00CB1C46" w:rsidRDefault="00660978" w:rsidP="00660978">
      <w:pPr>
        <w:pStyle w:val="BodyText"/>
        <w:rPr>
          <w:rFonts w:cs="Calibri"/>
        </w:rPr>
      </w:pPr>
      <w:r w:rsidRPr="00CB1C46">
        <w:rPr>
          <w:rFonts w:cs="Calibri"/>
          <w:lang w:eastAsia="en-GB"/>
        </w:rPr>
        <w:t xml:space="preserve">Fuel sales to domestic navigation and international marine bunkers are reported separately in national energy data surveys. </w:t>
      </w:r>
    </w:p>
    <w:p w14:paraId="55E1BCE4" w14:textId="77777777" w:rsidR="00660978" w:rsidRPr="00CB1C46" w:rsidRDefault="00660978" w:rsidP="00660978">
      <w:pPr>
        <w:pStyle w:val="BodyText"/>
        <w:rPr>
          <w:rFonts w:cs="Calibri"/>
          <w:lang w:eastAsia="en-GB"/>
        </w:rPr>
      </w:pPr>
      <w:r w:rsidRPr="00CB1C46">
        <w:rPr>
          <w:rFonts w:cs="Calibri"/>
        </w:rPr>
        <w:t>Historically, the Marsden Point oil refinery produced marine diesel oil (MDO). Production of MDO at the refinery stopped in late 2006. Data collected from the operators of the Interislander Ferry service (KiwiRail) have not included MDO use since 2006. The end to the collection of these data coincided with this operator ceasing a ‘fast ferry’ service between the North Island and South Island – this ferry ran on MDO – whereas the remainder of its fleet runs on fuel oil. No significant quantity of diesel is used for commercial domestic navigation in New Zealand. Smaller quantities of diesel may be used in private and/or recreational vessels, but this is difficult to estimate. The DPFI would capture these sales as road transport.</w:t>
      </w:r>
    </w:p>
    <w:p w14:paraId="501862F3" w14:textId="77777777" w:rsidR="00660978" w:rsidRPr="00CB1C46" w:rsidRDefault="00660978" w:rsidP="00660978">
      <w:pPr>
        <w:pStyle w:val="Heading4"/>
      </w:pPr>
      <w:r w:rsidRPr="00CB1C46">
        <w:rPr>
          <w:lang w:eastAsia="en-GB"/>
        </w:rPr>
        <w:t>Uncertainties and time-series consistency</w:t>
      </w:r>
    </w:p>
    <w:p w14:paraId="5298E23D" w14:textId="77777777" w:rsidR="00660978" w:rsidRPr="00CB1C46" w:rsidRDefault="00660978" w:rsidP="00660978">
      <w:pPr>
        <w:pStyle w:val="BodyText"/>
        <w:rPr>
          <w:rFonts w:cs="Calibri"/>
          <w:lang w:eastAsia="en-GB"/>
        </w:rPr>
      </w:pPr>
      <w:r w:rsidRPr="00CB1C46">
        <w:rPr>
          <w:rFonts w:cs="Calibri"/>
          <w:lang w:eastAsia="en-GB"/>
        </w:rPr>
        <w:t xml:space="preserve">Uncertainties in emission estimates from the </w:t>
      </w:r>
      <w:r w:rsidRPr="00CB1C46">
        <w:rPr>
          <w:rFonts w:cs="Calibri"/>
          <w:i/>
          <w:lang w:eastAsia="en-GB"/>
        </w:rPr>
        <w:t>Transport</w:t>
      </w:r>
      <w:r w:rsidRPr="00CB1C46">
        <w:rPr>
          <w:rFonts w:cs="Calibri"/>
          <w:lang w:eastAsia="en-GB"/>
        </w:rPr>
        <w:t xml:space="preserve"> category are relevant to the entire </w:t>
      </w:r>
      <w:r w:rsidRPr="00CB1C46">
        <w:rPr>
          <w:rFonts w:cs="Calibri"/>
          <w:i/>
          <w:lang w:eastAsia="en-GB"/>
        </w:rPr>
        <w:t>Fuel combustion</w:t>
      </w:r>
      <w:r w:rsidRPr="00CB1C46">
        <w:rPr>
          <w:rFonts w:cs="Calibri"/>
          <w:lang w:eastAsia="en-GB"/>
        </w:rPr>
        <w:t xml:space="preserve"> sector (see table 3.3.1).</w:t>
      </w:r>
    </w:p>
    <w:p w14:paraId="4E2C0F75" w14:textId="77777777" w:rsidR="00660978" w:rsidRPr="00CB1C46" w:rsidRDefault="00660978" w:rsidP="00660978">
      <w:pPr>
        <w:pStyle w:val="Heading4"/>
        <w:rPr>
          <w:lang w:eastAsia="en-GB"/>
        </w:rPr>
      </w:pPr>
      <w:r w:rsidRPr="00CB1C46">
        <w:rPr>
          <w:lang w:eastAsia="en-GB"/>
        </w:rPr>
        <w:t>Source-specific QA/QC and verification</w:t>
      </w:r>
    </w:p>
    <w:p w14:paraId="0B59D86B" w14:textId="77777777" w:rsidR="00660978" w:rsidRPr="00CB1C46" w:rsidRDefault="00660978" w:rsidP="00660978">
      <w:pPr>
        <w:pStyle w:val="BodyText"/>
        <w:rPr>
          <w:rFonts w:cs="Calibri"/>
        </w:rPr>
      </w:pPr>
      <w:r w:rsidRPr="00CB1C46">
        <w:rPr>
          <w:rFonts w:cs="Calibri"/>
          <w:lang w:eastAsia="en-GB"/>
        </w:rPr>
        <w:t xml:space="preserve">In the preparation of this inventory, the </w:t>
      </w:r>
      <w:r w:rsidRPr="00CB1C46">
        <w:rPr>
          <w:rFonts w:cs="Calibri"/>
          <w:i/>
          <w:lang w:eastAsia="en-GB"/>
        </w:rPr>
        <w:t>Transport</w:t>
      </w:r>
      <w:r w:rsidRPr="00CB1C46">
        <w:rPr>
          <w:rFonts w:cs="Calibri"/>
          <w:lang w:eastAsia="en-GB"/>
        </w:rPr>
        <w:t xml:space="preserve"> category underwent Tier 1 quality-assurance and quality-control checks as recommended in the 2006 IPCC Guidelines. These include regular control sums throughout systems, to verify system integrity, and time-series consistency checks.</w:t>
      </w:r>
    </w:p>
    <w:p w14:paraId="10D03D57" w14:textId="77777777" w:rsidR="00660978" w:rsidRPr="00CB1C46" w:rsidRDefault="00660978" w:rsidP="00660978">
      <w:pPr>
        <w:pStyle w:val="BodyText"/>
        <w:rPr>
          <w:rFonts w:cs="Calibri"/>
          <w:lang w:eastAsia="en-GB"/>
        </w:rPr>
      </w:pPr>
      <w:r w:rsidRPr="00CB1C46">
        <w:rPr>
          <w:rFonts w:cs="Calibri"/>
          <w:lang w:eastAsia="en-GB"/>
        </w:rPr>
        <w:t xml:space="preserve">Comparisons of international implied emission factors across the time series (1990–2012), and those resulting from the new Tier 3 methodology for </w:t>
      </w:r>
      <w:r w:rsidRPr="00CB1C46">
        <w:rPr>
          <w:rFonts w:cs="Calibri"/>
        </w:rPr>
        <w:t>CH</w:t>
      </w:r>
      <w:r w:rsidRPr="00CB1C46">
        <w:rPr>
          <w:rFonts w:cs="Calibri"/>
          <w:vertAlign w:val="subscript"/>
        </w:rPr>
        <w:t>4</w:t>
      </w:r>
      <w:r w:rsidRPr="00CB1C46">
        <w:rPr>
          <w:rFonts w:cs="Calibri"/>
          <w:lang w:eastAsia="en-GB"/>
        </w:rPr>
        <w:t xml:space="preserve"> and </w:t>
      </w:r>
      <w:r w:rsidRPr="00CB1C46">
        <w:rPr>
          <w:rFonts w:cs="Calibri"/>
        </w:rPr>
        <w:t>N</w:t>
      </w:r>
      <w:r w:rsidRPr="00CB1C46">
        <w:rPr>
          <w:rFonts w:cs="Calibri"/>
          <w:vertAlign w:val="subscript"/>
        </w:rPr>
        <w:t>2</w:t>
      </w:r>
      <w:r w:rsidRPr="00CB1C46">
        <w:rPr>
          <w:rFonts w:cs="Calibri"/>
        </w:rPr>
        <w:t>O</w:t>
      </w:r>
      <w:r w:rsidRPr="00CB1C46">
        <w:rPr>
          <w:rFonts w:cs="Calibri"/>
          <w:lang w:eastAsia="en-GB"/>
        </w:rPr>
        <w:t xml:space="preserve"> emissions from road transport, were made using data from the United Nations Framework Convention on Climate Change website. </w:t>
      </w:r>
    </w:p>
    <w:p w14:paraId="1FCDFC7D" w14:textId="77777777" w:rsidR="00660978" w:rsidRPr="00CB1C46" w:rsidRDefault="00660978" w:rsidP="00660978">
      <w:pPr>
        <w:pStyle w:val="Heading4"/>
        <w:rPr>
          <w:lang w:eastAsia="en-GB"/>
        </w:rPr>
      </w:pPr>
      <w:r w:rsidRPr="00CB1C46">
        <w:rPr>
          <w:lang w:eastAsia="en-GB"/>
        </w:rPr>
        <w:lastRenderedPageBreak/>
        <w:t>Source-specific recalculations</w:t>
      </w:r>
    </w:p>
    <w:p w14:paraId="3C5BFEA2" w14:textId="77777777" w:rsidR="00660978" w:rsidRPr="00CB1C46" w:rsidRDefault="00660978" w:rsidP="00660978">
      <w:pPr>
        <w:pStyle w:val="BodyText"/>
        <w:rPr>
          <w:rFonts w:cs="Calibri"/>
          <w:lang w:eastAsia="en-GB"/>
        </w:rPr>
      </w:pPr>
      <w:r w:rsidRPr="00CB1C46">
        <w:rPr>
          <w:rFonts w:cs="Calibri"/>
          <w:lang w:eastAsia="en-GB"/>
        </w:rPr>
        <w:t>Minor revisions to historical data have been made within the oil data system at MBIE. The</w:t>
      </w:r>
      <w:r>
        <w:rPr>
          <w:rFonts w:cs="Calibri"/>
          <w:lang w:eastAsia="en-GB"/>
        </w:rPr>
        <w:t xml:space="preserve"> </w:t>
      </w:r>
      <w:r w:rsidRPr="00CB1C46">
        <w:rPr>
          <w:rFonts w:cs="Calibri"/>
          <w:lang w:eastAsia="en-GB"/>
        </w:rPr>
        <w:t xml:space="preserve">method used to model emissions for the </w:t>
      </w:r>
      <w:r w:rsidRPr="00CB1C46">
        <w:rPr>
          <w:rFonts w:cs="Calibri"/>
          <w:i/>
          <w:lang w:eastAsia="en-GB"/>
        </w:rPr>
        <w:t xml:space="preserve">Road transportation </w:t>
      </w:r>
      <w:r w:rsidRPr="00CB1C46">
        <w:rPr>
          <w:rFonts w:cs="Calibri"/>
          <w:lang w:eastAsia="en-GB"/>
        </w:rPr>
        <w:t>category in the period</w:t>
      </w:r>
      <w:r>
        <w:rPr>
          <w:rFonts w:cs="Calibri"/>
          <w:lang w:eastAsia="en-GB"/>
        </w:rPr>
        <w:t xml:space="preserve"> </w:t>
      </w:r>
      <w:r w:rsidRPr="00CB1C46">
        <w:rPr>
          <w:rFonts w:cs="Calibri"/>
          <w:lang w:eastAsia="en-GB"/>
        </w:rPr>
        <w:t>1990 to</w:t>
      </w:r>
      <w:r>
        <w:rPr>
          <w:rFonts w:cs="Calibri"/>
          <w:lang w:eastAsia="en-GB"/>
        </w:rPr>
        <w:t> </w:t>
      </w:r>
      <w:r w:rsidRPr="00CB1C46">
        <w:rPr>
          <w:rFonts w:cs="Calibri"/>
          <w:lang w:eastAsia="en-GB"/>
        </w:rPr>
        <w:t>2000 has been updated to improve consistency between fuels and vehicle types.</w:t>
      </w:r>
    </w:p>
    <w:p w14:paraId="304461AC" w14:textId="77777777" w:rsidR="00660978" w:rsidRPr="00CB1C46" w:rsidRDefault="00660978" w:rsidP="00660978">
      <w:pPr>
        <w:pStyle w:val="Heading4"/>
        <w:rPr>
          <w:lang w:eastAsia="en-GB"/>
        </w:rPr>
      </w:pPr>
      <w:r w:rsidRPr="00CB1C46">
        <w:rPr>
          <w:lang w:eastAsia="en-GB"/>
        </w:rPr>
        <w:t>Source-specific improvements</w:t>
      </w:r>
    </w:p>
    <w:p w14:paraId="4A63CEA3" w14:textId="77777777" w:rsidR="00660978" w:rsidRPr="00CB1C46" w:rsidRDefault="00660978" w:rsidP="00660978">
      <w:pPr>
        <w:pStyle w:val="BodyText"/>
        <w:rPr>
          <w:rFonts w:cs="Calibri"/>
          <w:lang w:eastAsia="en-GB"/>
        </w:rPr>
      </w:pPr>
      <w:r w:rsidRPr="00CB1C46">
        <w:rPr>
          <w:rFonts w:cs="Calibri"/>
          <w:lang w:eastAsia="en-GB"/>
        </w:rPr>
        <w:t>Revisions to the national energy balance have resulted in reallocation of liquid fuel activity data from transport to the residential category. A description of the change is provided in section 3.3.9.</w:t>
      </w:r>
    </w:p>
    <w:p w14:paraId="71FB242B" w14:textId="77777777" w:rsidR="00660978" w:rsidRPr="00CB1C46" w:rsidRDefault="00660978" w:rsidP="00660978">
      <w:pPr>
        <w:pStyle w:val="BodyText"/>
      </w:pPr>
      <w:r w:rsidRPr="00CB1C46">
        <w:t>A previous ERT recommendation was to:</w:t>
      </w:r>
    </w:p>
    <w:p w14:paraId="4AA78779" w14:textId="77777777" w:rsidR="00660978" w:rsidRPr="00CB1C46" w:rsidRDefault="00660978" w:rsidP="00660978">
      <w:pPr>
        <w:pStyle w:val="Quote"/>
      </w:pPr>
      <w:r w:rsidRPr="000466EE">
        <w:t>Continue to estimate the CO</w:t>
      </w:r>
      <w:r w:rsidRPr="000466EE">
        <w:rPr>
          <w:vertAlign w:val="subscript"/>
        </w:rPr>
        <w:t>2</w:t>
      </w:r>
      <w:r w:rsidRPr="000466EE">
        <w:t xml:space="preserve"> emissions on the basis of fuel sold, but report the CO</w:t>
      </w:r>
      <w:r w:rsidRPr="000466EE">
        <w:rPr>
          <w:vertAlign w:val="subscript"/>
        </w:rPr>
        <w:t>2</w:t>
      </w:r>
      <w:r w:rsidRPr="000466EE">
        <w:t xml:space="preserve"> emissions disaggregated by vehicle mode using the data collected for the estimation of</w:t>
      </w:r>
      <w:r>
        <w:t> </w:t>
      </w:r>
      <w:r w:rsidRPr="000466EE">
        <w:t>CH</w:t>
      </w:r>
      <w:r w:rsidRPr="000466EE">
        <w:rPr>
          <w:vertAlign w:val="subscript"/>
        </w:rPr>
        <w:t>4</w:t>
      </w:r>
      <w:r w:rsidRPr="000466EE">
        <w:t xml:space="preserve"> and N</w:t>
      </w:r>
      <w:r w:rsidRPr="000466EE">
        <w:rPr>
          <w:vertAlign w:val="subscript"/>
        </w:rPr>
        <w:t>2</w:t>
      </w:r>
      <w:r w:rsidRPr="000466EE">
        <w:t>O emissions</w:t>
      </w:r>
      <w:r w:rsidRPr="00CB1C46">
        <w:t xml:space="preserve">. </w:t>
      </w:r>
    </w:p>
    <w:p w14:paraId="1804FE8F" w14:textId="77777777" w:rsidR="00660978" w:rsidRPr="00CB1C46" w:rsidRDefault="00660978" w:rsidP="00660978">
      <w:pPr>
        <w:pStyle w:val="BodyText"/>
        <w:rPr>
          <w:rFonts w:cs="Calibri"/>
        </w:rPr>
      </w:pPr>
      <w:r w:rsidRPr="00CB1C46">
        <w:rPr>
          <w:rFonts w:cs="Calibri"/>
        </w:rPr>
        <w:t xml:space="preserve">This was implemented using the </w:t>
      </w:r>
      <w:r w:rsidRPr="00CB1C46">
        <w:rPr>
          <w:rFonts w:cs="Calibri"/>
          <w:lang w:eastAsia="en-GB"/>
        </w:rPr>
        <w:t>vehicle-kilometres-travelled</w:t>
      </w:r>
      <w:r w:rsidRPr="00CB1C46">
        <w:rPr>
          <w:rFonts w:cs="Calibri"/>
        </w:rPr>
        <w:t xml:space="preserve"> data as the basis for the disaggregation. The Ministry of Transport has now provided estimates of CO</w:t>
      </w:r>
      <w:r w:rsidRPr="00CB1C46">
        <w:rPr>
          <w:rFonts w:cs="Calibri"/>
          <w:vertAlign w:val="subscript"/>
        </w:rPr>
        <w:t>2</w:t>
      </w:r>
      <w:r w:rsidRPr="00CB1C46">
        <w:rPr>
          <w:rFonts w:cs="Calibri"/>
        </w:rPr>
        <w:t xml:space="preserve"> by mode based on its vehicle fleet data and incorporating estimates of vehicle fuel economy. This represents best practice and will greatly increase accuracy. These splits have been used to disaggregate the MBIE petrol and diesel fuel sales data between cars, light trucks, heavy trucks/buses, and</w:t>
      </w:r>
      <w:r>
        <w:rPr>
          <w:rFonts w:cs="Calibri"/>
        </w:rPr>
        <w:t> </w:t>
      </w:r>
      <w:r w:rsidRPr="00CB1C46">
        <w:rPr>
          <w:rFonts w:cs="Calibri"/>
        </w:rPr>
        <w:t>motorcycles.</w:t>
      </w:r>
    </w:p>
    <w:p w14:paraId="12A66003" w14:textId="77777777" w:rsidR="00660978" w:rsidRPr="00CB1C46" w:rsidRDefault="00660978" w:rsidP="00660978">
      <w:pPr>
        <w:pStyle w:val="BodyText"/>
        <w:rPr>
          <w:lang w:eastAsia="en-GB"/>
        </w:rPr>
      </w:pPr>
      <w:r w:rsidRPr="00CB1C46">
        <w:rPr>
          <w:rFonts w:cs="Calibri"/>
        </w:rPr>
        <w:t xml:space="preserve">This change has no impact on overall road transport emissions, just reallocation between modes: </w:t>
      </w:r>
      <w:r w:rsidRPr="00CB1C46">
        <w:t>the estimated petrol consumption by cars has decreased (average –165 kt CO</w:t>
      </w:r>
      <w:r w:rsidRPr="00CB1C46">
        <w:rPr>
          <w:vertAlign w:val="subscript"/>
        </w:rPr>
        <w:t>2</w:t>
      </w:r>
      <w:r w:rsidRPr="00CB1C46">
        <w:t xml:space="preserve"> across the time series) while petrol consumption by light trucks has increased (average +201 kt CO</w:t>
      </w:r>
      <w:r w:rsidRPr="00CB1C46">
        <w:rPr>
          <w:vertAlign w:val="subscript"/>
        </w:rPr>
        <w:t>2</w:t>
      </w:r>
      <w:r w:rsidRPr="00CB1C46">
        <w:t xml:space="preserve"> across the time series). The estimated diesel consumption by cars has decreased (average </w:t>
      </w:r>
      <w:r w:rsidRPr="00CB1C46">
        <w:br/>
        <w:t>–1,106 kt CO</w:t>
      </w:r>
      <w:r w:rsidRPr="00CB1C46">
        <w:rPr>
          <w:vertAlign w:val="subscript"/>
        </w:rPr>
        <w:t>2</w:t>
      </w:r>
      <w:r w:rsidRPr="00CB1C46">
        <w:t xml:space="preserve"> across the time series) while diesel consumption by heavy trucks/buses has increased (average +1,794 kt CO</w:t>
      </w:r>
      <w:r w:rsidRPr="00CB1C46">
        <w:rPr>
          <w:vertAlign w:val="subscript"/>
        </w:rPr>
        <w:t>2</w:t>
      </w:r>
      <w:r w:rsidRPr="00CB1C46">
        <w:t xml:space="preserve"> across the time series). </w:t>
      </w:r>
    </w:p>
    <w:p w14:paraId="13BDFF13" w14:textId="77777777" w:rsidR="00660978" w:rsidRPr="00CB1C46" w:rsidRDefault="00660978" w:rsidP="00660978">
      <w:pPr>
        <w:pStyle w:val="Heading4"/>
        <w:spacing w:before="200"/>
      </w:pPr>
      <w:r w:rsidRPr="00CB1C46">
        <w:rPr>
          <w:lang w:eastAsia="en-GB"/>
        </w:rPr>
        <w:t>Source-specific planned improvements</w:t>
      </w:r>
    </w:p>
    <w:p w14:paraId="7AEF4747" w14:textId="77777777" w:rsidR="00660978" w:rsidRPr="00CB1C46" w:rsidRDefault="00660978" w:rsidP="00660978">
      <w:pPr>
        <w:pStyle w:val="BodyText"/>
        <w:spacing w:before="100" w:after="100"/>
        <w:rPr>
          <w:rFonts w:cs="Calibri"/>
        </w:rPr>
      </w:pPr>
      <w:r w:rsidRPr="00CB1C46">
        <w:rPr>
          <w:rFonts w:cs="Calibri"/>
          <w:lang w:eastAsia="en-GB"/>
        </w:rPr>
        <w:t>MBIE is discussing with the Ministry of Transport the possibility of incorporating the results of a new aviation emissions model in the inventory estimates (for CH</w:t>
      </w:r>
      <w:r w:rsidRPr="00CB1C46">
        <w:rPr>
          <w:rFonts w:cs="Calibri"/>
          <w:vertAlign w:val="subscript"/>
          <w:lang w:eastAsia="en-GB"/>
        </w:rPr>
        <w:t>4</w:t>
      </w:r>
      <w:r w:rsidRPr="00CB1C46">
        <w:rPr>
          <w:rFonts w:cs="Calibri"/>
          <w:lang w:eastAsia="en-GB"/>
        </w:rPr>
        <w:t xml:space="preserve"> and N</w:t>
      </w:r>
      <w:r w:rsidRPr="00CB1C46">
        <w:rPr>
          <w:rFonts w:cs="Calibri"/>
          <w:vertAlign w:val="subscript"/>
          <w:lang w:eastAsia="en-GB"/>
        </w:rPr>
        <w:t>2</w:t>
      </w:r>
      <w:r w:rsidRPr="00CB1C46">
        <w:rPr>
          <w:rFonts w:cs="Calibri"/>
          <w:lang w:eastAsia="en-GB"/>
        </w:rPr>
        <w:t xml:space="preserve">O emissions). This will require time and resources to progress if it is deemed to be a worthwhile improvement. An update will be reported in the next annual submission. </w:t>
      </w:r>
    </w:p>
    <w:p w14:paraId="488E64A8" w14:textId="77777777" w:rsidR="00660978" w:rsidRPr="00CB1C46" w:rsidRDefault="00660978" w:rsidP="00660978">
      <w:pPr>
        <w:pStyle w:val="Heading3"/>
        <w:spacing w:before="280"/>
        <w:rPr>
          <w:rFonts w:cs="Calibri"/>
        </w:rPr>
      </w:pPr>
      <w:r w:rsidRPr="00CB1C46">
        <w:rPr>
          <w:rFonts w:cs="Calibri"/>
        </w:rPr>
        <w:t>3.3.9</w:t>
      </w:r>
      <w:r w:rsidRPr="00CB1C46">
        <w:rPr>
          <w:rFonts w:cs="Calibri"/>
        </w:rPr>
        <w:tab/>
        <w:t>Fuel combustion: Other sectors (CRF 1.A.4)</w:t>
      </w:r>
    </w:p>
    <w:p w14:paraId="19B8503C" w14:textId="77777777" w:rsidR="00660978" w:rsidRPr="00CB1C46" w:rsidRDefault="00660978" w:rsidP="00660978">
      <w:pPr>
        <w:pStyle w:val="Heading4"/>
        <w:spacing w:before="160"/>
      </w:pPr>
      <w:r w:rsidRPr="00CB1C46">
        <w:rPr>
          <w:lang w:eastAsia="en-GB"/>
        </w:rPr>
        <w:t>Description</w:t>
      </w:r>
    </w:p>
    <w:p w14:paraId="4EEAC10C" w14:textId="77777777" w:rsidR="00660978" w:rsidRPr="00CB1C46" w:rsidRDefault="00660978" w:rsidP="00660978">
      <w:pPr>
        <w:pStyle w:val="BodyText"/>
        <w:rPr>
          <w:rFonts w:cs="Calibri"/>
          <w:lang w:eastAsia="en-GB"/>
        </w:rPr>
      </w:pPr>
      <w:r w:rsidRPr="00CB1C46">
        <w:rPr>
          <w:rFonts w:cs="Calibri"/>
          <w:lang w:eastAsia="en-GB"/>
        </w:rPr>
        <w:t xml:space="preserve">The category 1.A.4 </w:t>
      </w:r>
      <w:r w:rsidRPr="00CB1C46">
        <w:rPr>
          <w:rFonts w:cs="Calibri"/>
          <w:i/>
          <w:lang w:eastAsia="en-GB"/>
        </w:rPr>
        <w:t>Other sectors</w:t>
      </w:r>
      <w:r w:rsidRPr="00CB1C46">
        <w:rPr>
          <w:rFonts w:cs="Calibri"/>
          <w:lang w:eastAsia="en-GB"/>
        </w:rPr>
        <w:t xml:space="preserve"> comprises emissions from fuels combusted in the </w:t>
      </w:r>
      <w:r w:rsidRPr="00CB1C46">
        <w:rPr>
          <w:rFonts w:cs="Calibri"/>
          <w:i/>
          <w:lang w:eastAsia="en-GB"/>
        </w:rPr>
        <w:t>Commercial/institutional</w:t>
      </w:r>
      <w:r w:rsidRPr="00CB1C46">
        <w:rPr>
          <w:rFonts w:cs="Calibri"/>
          <w:lang w:eastAsia="en-GB"/>
        </w:rPr>
        <w:t xml:space="preserve">, </w:t>
      </w:r>
      <w:r w:rsidRPr="00CB1C46">
        <w:rPr>
          <w:rFonts w:cs="Calibri"/>
          <w:i/>
          <w:lang w:eastAsia="en-GB"/>
        </w:rPr>
        <w:t>Residential</w:t>
      </w:r>
      <w:r w:rsidRPr="00CB1C46">
        <w:rPr>
          <w:rFonts w:cs="Calibri"/>
          <w:lang w:eastAsia="en-GB"/>
        </w:rPr>
        <w:t xml:space="preserve"> and </w:t>
      </w:r>
      <w:r w:rsidRPr="00CB1C46">
        <w:rPr>
          <w:rFonts w:cs="Calibri"/>
          <w:i/>
          <w:lang w:eastAsia="en-GB"/>
        </w:rPr>
        <w:t>Agriculture/forestry/fishing</w:t>
      </w:r>
      <w:r w:rsidRPr="00CB1C46">
        <w:rPr>
          <w:rFonts w:cs="Calibri"/>
          <w:lang w:eastAsia="en-GB"/>
        </w:rPr>
        <w:t xml:space="preserve"> categories.</w:t>
      </w:r>
    </w:p>
    <w:p w14:paraId="1EFCCC7E" w14:textId="77777777" w:rsidR="00660978" w:rsidRPr="00CB1C46" w:rsidRDefault="00660978" w:rsidP="00660978">
      <w:pPr>
        <w:pStyle w:val="BodyText"/>
        <w:rPr>
          <w:rFonts w:cs="Calibri"/>
        </w:rPr>
      </w:pPr>
      <w:r w:rsidRPr="00CB1C46">
        <w:rPr>
          <w:rFonts w:cs="Calibri"/>
          <w:lang w:eastAsia="en-GB"/>
        </w:rPr>
        <w:t xml:space="preserve">In </w:t>
      </w:r>
      <w:r w:rsidRPr="00CB1C46">
        <w:rPr>
          <w:rFonts w:cs="Calibri"/>
        </w:rPr>
        <w:t>2020</w:t>
      </w:r>
      <w:r w:rsidRPr="00CB1C46">
        <w:rPr>
          <w:rFonts w:cs="Calibri"/>
          <w:lang w:eastAsia="en-GB"/>
        </w:rPr>
        <w:t xml:space="preserve">, the </w:t>
      </w:r>
      <w:r w:rsidRPr="00CB1C46">
        <w:rPr>
          <w:rFonts w:cs="Calibri"/>
          <w:i/>
          <w:lang w:eastAsia="en-GB"/>
        </w:rPr>
        <w:t>Fuel combustion – Other sectors</w:t>
      </w:r>
      <w:r w:rsidRPr="00CB1C46">
        <w:rPr>
          <w:rFonts w:cs="Calibri"/>
          <w:lang w:eastAsia="en-GB"/>
        </w:rPr>
        <w:t xml:space="preserve"> category accounted for 4,681.3</w:t>
      </w:r>
      <w:r w:rsidRPr="00CB1C46">
        <w:rPr>
          <w:rFonts w:cs="Calibri"/>
        </w:rPr>
        <w:t xml:space="preserve"> </w:t>
      </w:r>
      <w:r w:rsidRPr="00CB1C46">
        <w:rPr>
          <w:rFonts w:cs="Calibri"/>
          <w:lang w:eastAsia="en-GB"/>
        </w:rPr>
        <w:t>kt CO</w:t>
      </w:r>
      <w:r w:rsidRPr="00CB1C46">
        <w:rPr>
          <w:rFonts w:cs="Calibri"/>
          <w:vertAlign w:val="subscript"/>
          <w:lang w:eastAsia="en-GB"/>
        </w:rPr>
        <w:t>2</w:t>
      </w:r>
      <w:r w:rsidRPr="00CB1C46">
        <w:rPr>
          <w:rFonts w:cs="Calibri"/>
          <w:lang w:eastAsia="en-GB"/>
        </w:rPr>
        <w:t>-e (</w:t>
      </w:r>
      <w:r w:rsidRPr="00CB1C46">
        <w:rPr>
          <w:rFonts w:cs="Calibri"/>
        </w:rPr>
        <w:t>14.9 per cent</w:t>
      </w:r>
      <w:r w:rsidRPr="00CB1C46">
        <w:rPr>
          <w:rFonts w:cs="Calibri"/>
          <w:lang w:eastAsia="en-GB"/>
        </w:rPr>
        <w:t xml:space="preserve"> of the emissions from the Energy sector). This is 1,103.1 kt CO</w:t>
      </w:r>
      <w:r w:rsidRPr="00CB1C46">
        <w:rPr>
          <w:rFonts w:cs="Calibri"/>
          <w:vertAlign w:val="subscript"/>
          <w:lang w:eastAsia="en-GB"/>
        </w:rPr>
        <w:t>2</w:t>
      </w:r>
      <w:r w:rsidRPr="00CB1C46">
        <w:rPr>
          <w:rFonts w:cs="Calibri"/>
          <w:lang w:eastAsia="en-GB"/>
        </w:rPr>
        <w:t>-e (</w:t>
      </w:r>
      <w:r w:rsidRPr="00CB1C46">
        <w:rPr>
          <w:rFonts w:cs="Calibri"/>
        </w:rPr>
        <w:t>30.8 per cent</w:t>
      </w:r>
      <w:r w:rsidRPr="00CB1C46">
        <w:rPr>
          <w:rFonts w:cs="Calibri"/>
          <w:lang w:eastAsia="en-GB"/>
        </w:rPr>
        <w:t xml:space="preserve">) higher than the 1990 value of </w:t>
      </w:r>
      <w:r w:rsidRPr="00CB1C46">
        <w:rPr>
          <w:rFonts w:cs="Calibri"/>
        </w:rPr>
        <w:t xml:space="preserve">3,578.2 </w:t>
      </w:r>
      <w:r w:rsidRPr="00CB1C46">
        <w:rPr>
          <w:rFonts w:cs="Calibri"/>
          <w:lang w:eastAsia="en-GB"/>
        </w:rPr>
        <w:t>kt CO</w:t>
      </w:r>
      <w:r w:rsidRPr="00CB1C46">
        <w:rPr>
          <w:rFonts w:cs="Calibri"/>
          <w:vertAlign w:val="subscript"/>
          <w:lang w:eastAsia="en-GB"/>
        </w:rPr>
        <w:t>2</w:t>
      </w:r>
      <w:r w:rsidRPr="00CB1C46">
        <w:rPr>
          <w:rFonts w:cs="Calibri"/>
          <w:lang w:eastAsia="en-GB"/>
        </w:rPr>
        <w:t>-e.</w:t>
      </w:r>
    </w:p>
    <w:p w14:paraId="633DBD29" w14:textId="77777777" w:rsidR="00660978" w:rsidRPr="00CB1C46" w:rsidRDefault="00660978" w:rsidP="00660978">
      <w:pPr>
        <w:pStyle w:val="Heading4"/>
        <w:spacing w:before="200"/>
        <w:rPr>
          <w:lang w:eastAsia="en-GB"/>
        </w:rPr>
      </w:pPr>
      <w:r w:rsidRPr="00CB1C46">
        <w:rPr>
          <w:lang w:eastAsia="en-GB"/>
        </w:rPr>
        <w:t xml:space="preserve">Changes in emissions between </w:t>
      </w:r>
      <w:r w:rsidRPr="00CB1C46">
        <w:t>2019</w:t>
      </w:r>
      <w:r w:rsidRPr="00CB1C46">
        <w:rPr>
          <w:lang w:eastAsia="en-GB"/>
        </w:rPr>
        <w:t xml:space="preserve"> and </w:t>
      </w:r>
      <w:r w:rsidRPr="00CB1C46">
        <w:t>2020</w:t>
      </w:r>
    </w:p>
    <w:p w14:paraId="528EC15C" w14:textId="77777777" w:rsidR="00660978" w:rsidRPr="00CB1C46" w:rsidRDefault="00660978" w:rsidP="00660978">
      <w:pPr>
        <w:pStyle w:val="BodyText"/>
        <w:spacing w:before="100" w:after="100"/>
        <w:rPr>
          <w:rFonts w:cs="Calibri"/>
          <w:lang w:eastAsia="en-GB"/>
        </w:rPr>
      </w:pPr>
      <w:r w:rsidRPr="00CB1C46">
        <w:rPr>
          <w:rFonts w:cs="Calibri"/>
          <w:lang w:eastAsia="en-GB"/>
        </w:rPr>
        <w:t xml:space="preserve">Between </w:t>
      </w:r>
      <w:r w:rsidRPr="00CB1C46">
        <w:rPr>
          <w:rFonts w:cs="Calibri"/>
        </w:rPr>
        <w:t xml:space="preserve">2019 </w:t>
      </w:r>
      <w:r w:rsidRPr="00CB1C46">
        <w:rPr>
          <w:rFonts w:cs="Calibri"/>
          <w:lang w:eastAsia="en-GB"/>
        </w:rPr>
        <w:t xml:space="preserve">and </w:t>
      </w:r>
      <w:r w:rsidRPr="00CB1C46">
        <w:rPr>
          <w:rFonts w:cs="Calibri"/>
        </w:rPr>
        <w:t>2020</w:t>
      </w:r>
      <w:r w:rsidRPr="00CB1C46">
        <w:rPr>
          <w:rFonts w:cs="Calibri"/>
          <w:lang w:eastAsia="en-GB"/>
        </w:rPr>
        <w:t xml:space="preserve">, emissions from 1.A.4 </w:t>
      </w:r>
      <w:r w:rsidRPr="00CB1C46">
        <w:rPr>
          <w:rFonts w:cs="Calibri"/>
          <w:i/>
          <w:lang w:eastAsia="en-GB"/>
        </w:rPr>
        <w:t>Other sectors</w:t>
      </w:r>
      <w:r w:rsidRPr="00CB1C46">
        <w:rPr>
          <w:rFonts w:cs="Calibri"/>
          <w:lang w:eastAsia="en-GB"/>
        </w:rPr>
        <w:t xml:space="preserve"> </w:t>
      </w:r>
      <w:r w:rsidRPr="00CB1C46">
        <w:rPr>
          <w:rFonts w:cs="Calibri"/>
        </w:rPr>
        <w:t>decreased by 90.1 </w:t>
      </w:r>
      <w:r w:rsidRPr="00CB1C46">
        <w:rPr>
          <w:rFonts w:cs="Calibri"/>
          <w:lang w:eastAsia="en-GB"/>
        </w:rPr>
        <w:t>kt CO</w:t>
      </w:r>
      <w:r w:rsidRPr="00CB1C46">
        <w:rPr>
          <w:rFonts w:cs="Calibri"/>
          <w:vertAlign w:val="subscript"/>
          <w:lang w:eastAsia="en-GB"/>
        </w:rPr>
        <w:t>2</w:t>
      </w:r>
      <w:r w:rsidRPr="00CB1C46">
        <w:rPr>
          <w:rFonts w:cs="Calibri"/>
          <w:lang w:eastAsia="en-GB"/>
        </w:rPr>
        <w:noBreakHyphen/>
        <w:t>e (1.9</w:t>
      </w:r>
      <w:r w:rsidRPr="00CB1C46">
        <w:rPr>
          <w:rFonts w:cs="Calibri"/>
        </w:rPr>
        <w:t> per cent</w:t>
      </w:r>
      <w:r w:rsidRPr="00CB1C46">
        <w:rPr>
          <w:rFonts w:cs="Calibri"/>
          <w:lang w:eastAsia="en-GB"/>
        </w:rPr>
        <w:t xml:space="preserve">). </w:t>
      </w:r>
    </w:p>
    <w:p w14:paraId="499CBCBD" w14:textId="77777777" w:rsidR="00660978" w:rsidRPr="00CB1C46" w:rsidRDefault="00660978" w:rsidP="00660978">
      <w:pPr>
        <w:pStyle w:val="BodyText"/>
        <w:spacing w:before="100" w:after="100"/>
        <w:rPr>
          <w:rFonts w:cs="Calibri"/>
        </w:rPr>
      </w:pPr>
      <w:r w:rsidRPr="00CB1C46">
        <w:rPr>
          <w:rFonts w:cs="Calibri"/>
        </w:rPr>
        <w:lastRenderedPageBreak/>
        <w:t xml:space="preserve">Key categories identified in the 2020 level and trend assessment for the </w:t>
      </w:r>
      <w:r w:rsidRPr="00CB1C46">
        <w:rPr>
          <w:rFonts w:cs="Calibri"/>
          <w:i/>
        </w:rPr>
        <w:t>Other sectors</w:t>
      </w:r>
      <w:r w:rsidRPr="00CB1C46">
        <w:rPr>
          <w:rFonts w:cs="Calibri"/>
        </w:rPr>
        <w:t xml:space="preserve"> category are given in table 3.3.7.</w:t>
      </w:r>
    </w:p>
    <w:p w14:paraId="1D018218" w14:textId="77777777" w:rsidR="00660978" w:rsidRPr="00CB1C46" w:rsidRDefault="00660978" w:rsidP="00660978">
      <w:pPr>
        <w:pStyle w:val="Table"/>
      </w:pPr>
      <w:bookmarkStart w:id="366" w:name="_Toc68786411"/>
      <w:bookmarkStart w:id="367" w:name="_Toc99659219"/>
      <w:r w:rsidRPr="00CB1C46">
        <w:t>Table 3.3.7</w:t>
      </w:r>
      <w:r w:rsidRPr="00CB1C46">
        <w:tab/>
        <w:t xml:space="preserve">Key categories for 1.A.4 </w:t>
      </w:r>
      <w:r w:rsidRPr="000466EE">
        <w:rPr>
          <w:i/>
          <w:iCs/>
          <w:lang w:eastAsia="en-GB"/>
        </w:rPr>
        <w:t>Other sectors</w:t>
      </w:r>
      <w:bookmarkEnd w:id="366"/>
      <w:bookmarkEnd w:id="367"/>
    </w:p>
    <w:tbl>
      <w:tblPr>
        <w:tblW w:w="8505" w:type="dxa"/>
        <w:tblInd w:w="113"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3769"/>
        <w:gridCol w:w="1660"/>
        <w:gridCol w:w="1509"/>
        <w:gridCol w:w="1567"/>
      </w:tblGrid>
      <w:tr w:rsidR="00660978" w:rsidRPr="00CB1C46" w14:paraId="6657F787" w14:textId="77777777" w:rsidTr="004873FC">
        <w:trPr>
          <w:tblHeader/>
        </w:trPr>
        <w:tc>
          <w:tcPr>
            <w:tcW w:w="2216" w:type="pct"/>
            <w:shd w:val="clear" w:color="auto" w:fill="1B556B"/>
            <w:noWrap/>
            <w:vAlign w:val="bottom"/>
            <w:hideMark/>
          </w:tcPr>
          <w:p w14:paraId="5DE8879E" w14:textId="77777777" w:rsidR="00660978" w:rsidRPr="00CB1C46" w:rsidRDefault="00660978" w:rsidP="00EE04E3">
            <w:pPr>
              <w:pStyle w:val="TableTextBold"/>
              <w:rPr>
                <w:rFonts w:cs="Calibri"/>
                <w:noProof w:val="0"/>
                <w:color w:val="FFFFFF"/>
              </w:rPr>
            </w:pPr>
          </w:p>
        </w:tc>
        <w:tc>
          <w:tcPr>
            <w:tcW w:w="976" w:type="pct"/>
            <w:shd w:val="clear" w:color="auto" w:fill="1B556B"/>
            <w:noWrap/>
            <w:vAlign w:val="bottom"/>
            <w:hideMark/>
          </w:tcPr>
          <w:p w14:paraId="3CA79B61" w14:textId="77777777" w:rsidR="00660978" w:rsidRPr="00CB1C46" w:rsidRDefault="00660978" w:rsidP="00EE04E3">
            <w:pPr>
              <w:pStyle w:val="TableTextBold"/>
              <w:rPr>
                <w:rFonts w:cs="Calibri"/>
                <w:noProof w:val="0"/>
                <w:color w:val="FFFFFF"/>
              </w:rPr>
            </w:pPr>
            <w:r w:rsidRPr="00CB1C46">
              <w:rPr>
                <w:rFonts w:cs="Calibri"/>
                <w:noProof w:val="0"/>
                <w:color w:val="FFFFFF"/>
              </w:rPr>
              <w:t>Liquid fuels</w:t>
            </w:r>
          </w:p>
        </w:tc>
        <w:tc>
          <w:tcPr>
            <w:tcW w:w="887" w:type="pct"/>
            <w:shd w:val="clear" w:color="auto" w:fill="1B556B"/>
            <w:vAlign w:val="bottom"/>
            <w:hideMark/>
          </w:tcPr>
          <w:p w14:paraId="0500B00F" w14:textId="77777777" w:rsidR="00660978" w:rsidRPr="00CB1C46" w:rsidRDefault="00660978" w:rsidP="00EE04E3">
            <w:pPr>
              <w:pStyle w:val="TableTextBold"/>
              <w:rPr>
                <w:rFonts w:cs="Calibri"/>
                <w:noProof w:val="0"/>
                <w:color w:val="FFFFFF"/>
              </w:rPr>
            </w:pPr>
            <w:r w:rsidRPr="00CB1C46">
              <w:rPr>
                <w:rFonts w:cs="Calibri"/>
                <w:noProof w:val="0"/>
                <w:color w:val="FFFFFF"/>
              </w:rPr>
              <w:t>Solid fuels</w:t>
            </w:r>
          </w:p>
        </w:tc>
        <w:tc>
          <w:tcPr>
            <w:tcW w:w="921" w:type="pct"/>
            <w:shd w:val="clear" w:color="auto" w:fill="1B556B"/>
            <w:vAlign w:val="bottom"/>
            <w:hideMark/>
          </w:tcPr>
          <w:p w14:paraId="066EDE6F" w14:textId="77777777" w:rsidR="00660978" w:rsidRPr="00CB1C46" w:rsidRDefault="00660978" w:rsidP="00EE04E3">
            <w:pPr>
              <w:pStyle w:val="TableTextBold"/>
              <w:rPr>
                <w:rFonts w:cs="Calibri"/>
                <w:noProof w:val="0"/>
                <w:color w:val="FFFFFF"/>
              </w:rPr>
            </w:pPr>
            <w:r w:rsidRPr="00CB1C46">
              <w:rPr>
                <w:rFonts w:cs="Calibri"/>
                <w:noProof w:val="0"/>
                <w:color w:val="FFFFFF"/>
              </w:rPr>
              <w:t>Gaseous fuels</w:t>
            </w:r>
          </w:p>
        </w:tc>
      </w:tr>
      <w:tr w:rsidR="00660978" w:rsidRPr="00CB1C46" w14:paraId="4D4E9811" w14:textId="77777777" w:rsidTr="004873FC">
        <w:tc>
          <w:tcPr>
            <w:tcW w:w="2216" w:type="pct"/>
            <w:shd w:val="clear" w:color="auto" w:fill="auto"/>
            <w:noWrap/>
            <w:hideMark/>
          </w:tcPr>
          <w:p w14:paraId="57BFE084" w14:textId="77777777" w:rsidR="00660978" w:rsidRPr="00CB1C46" w:rsidRDefault="00660978" w:rsidP="00FF0148">
            <w:pPr>
              <w:pStyle w:val="TableText"/>
              <w:spacing w:before="50" w:after="50"/>
              <w:rPr>
                <w:rFonts w:cs="Calibri"/>
              </w:rPr>
            </w:pPr>
            <w:r w:rsidRPr="00CB1C46">
              <w:rPr>
                <w:rFonts w:cs="Calibri"/>
              </w:rPr>
              <w:t>Commercial/institutional – CO</w:t>
            </w:r>
            <w:r w:rsidRPr="00CB1C46">
              <w:rPr>
                <w:rFonts w:cs="Calibri"/>
                <w:vertAlign w:val="subscript"/>
              </w:rPr>
              <w:t>2</w:t>
            </w:r>
          </w:p>
        </w:tc>
        <w:tc>
          <w:tcPr>
            <w:tcW w:w="976" w:type="pct"/>
            <w:shd w:val="clear" w:color="auto" w:fill="auto"/>
            <w:noWrap/>
            <w:hideMark/>
          </w:tcPr>
          <w:p w14:paraId="7715060F" w14:textId="77777777" w:rsidR="00660978" w:rsidRPr="00CB1C46" w:rsidRDefault="00660978" w:rsidP="00FF0148">
            <w:pPr>
              <w:pStyle w:val="TableText"/>
              <w:spacing w:before="50" w:after="50"/>
              <w:rPr>
                <w:rFonts w:cs="Calibri"/>
              </w:rPr>
            </w:pPr>
            <w:r w:rsidRPr="00CB1C46">
              <w:rPr>
                <w:rFonts w:cs="Calibri"/>
              </w:rPr>
              <w:t>Level</w:t>
            </w:r>
            <w:r>
              <w:rPr>
                <w:rFonts w:cs="Calibri"/>
              </w:rPr>
              <w:t>, trend</w:t>
            </w:r>
          </w:p>
        </w:tc>
        <w:tc>
          <w:tcPr>
            <w:tcW w:w="887" w:type="pct"/>
            <w:shd w:val="clear" w:color="auto" w:fill="auto"/>
            <w:noWrap/>
            <w:hideMark/>
          </w:tcPr>
          <w:p w14:paraId="7C96730B" w14:textId="77777777" w:rsidR="00660978" w:rsidRPr="00CB1C46" w:rsidRDefault="00660978" w:rsidP="00FF0148">
            <w:pPr>
              <w:pStyle w:val="TableText"/>
              <w:spacing w:before="50" w:after="50"/>
              <w:rPr>
                <w:rFonts w:cs="Calibri"/>
              </w:rPr>
            </w:pPr>
            <w:r w:rsidRPr="00CB1C46">
              <w:rPr>
                <w:rFonts w:cs="Calibri"/>
              </w:rPr>
              <w:t>Trend</w:t>
            </w:r>
          </w:p>
        </w:tc>
        <w:tc>
          <w:tcPr>
            <w:tcW w:w="921" w:type="pct"/>
            <w:shd w:val="clear" w:color="auto" w:fill="auto"/>
            <w:noWrap/>
            <w:hideMark/>
          </w:tcPr>
          <w:p w14:paraId="32C8681B" w14:textId="77777777" w:rsidR="00660978" w:rsidRPr="00CB1C46" w:rsidRDefault="00660978" w:rsidP="00FF0148">
            <w:pPr>
              <w:pStyle w:val="TableText"/>
              <w:spacing w:before="50" w:after="50"/>
              <w:rPr>
                <w:rFonts w:cs="Calibri"/>
              </w:rPr>
            </w:pPr>
            <w:r w:rsidRPr="00CB1C46">
              <w:rPr>
                <w:rFonts w:cs="Calibri"/>
              </w:rPr>
              <w:t>Level, trend</w:t>
            </w:r>
          </w:p>
        </w:tc>
      </w:tr>
      <w:tr w:rsidR="00660978" w:rsidRPr="00CB1C46" w14:paraId="70815AA1" w14:textId="77777777" w:rsidTr="004873FC">
        <w:tc>
          <w:tcPr>
            <w:tcW w:w="2216" w:type="pct"/>
            <w:shd w:val="clear" w:color="auto" w:fill="auto"/>
            <w:noWrap/>
            <w:hideMark/>
          </w:tcPr>
          <w:p w14:paraId="5B2CB039" w14:textId="77777777" w:rsidR="00660978" w:rsidRPr="00CB1C46" w:rsidRDefault="00660978" w:rsidP="00FF0148">
            <w:pPr>
              <w:pStyle w:val="TableText"/>
              <w:spacing w:before="50" w:after="50"/>
              <w:rPr>
                <w:rFonts w:cs="Calibri"/>
              </w:rPr>
            </w:pPr>
            <w:r w:rsidRPr="00CB1C46">
              <w:rPr>
                <w:rFonts w:cs="Calibri"/>
              </w:rPr>
              <w:t>Residential – CO</w:t>
            </w:r>
            <w:r w:rsidRPr="00CB1C46">
              <w:rPr>
                <w:rFonts w:cs="Calibri"/>
                <w:vertAlign w:val="subscript"/>
              </w:rPr>
              <w:t>2</w:t>
            </w:r>
          </w:p>
        </w:tc>
        <w:tc>
          <w:tcPr>
            <w:tcW w:w="976" w:type="pct"/>
            <w:shd w:val="clear" w:color="auto" w:fill="auto"/>
            <w:noWrap/>
            <w:hideMark/>
          </w:tcPr>
          <w:p w14:paraId="5C7151B3" w14:textId="77777777" w:rsidR="00660978" w:rsidRPr="00CB1C46" w:rsidRDefault="00660978" w:rsidP="00FF0148">
            <w:pPr>
              <w:pStyle w:val="TableText"/>
              <w:spacing w:before="50" w:after="50"/>
              <w:rPr>
                <w:rFonts w:cs="Calibri"/>
              </w:rPr>
            </w:pPr>
            <w:r w:rsidRPr="00CB1C46">
              <w:rPr>
                <w:rFonts w:cs="Calibri"/>
              </w:rPr>
              <w:t>Level</w:t>
            </w:r>
            <w:r>
              <w:rPr>
                <w:rFonts w:cs="Calibri"/>
              </w:rPr>
              <w:t>, trend</w:t>
            </w:r>
          </w:p>
        </w:tc>
        <w:tc>
          <w:tcPr>
            <w:tcW w:w="887" w:type="pct"/>
            <w:shd w:val="clear" w:color="auto" w:fill="auto"/>
            <w:noWrap/>
          </w:tcPr>
          <w:p w14:paraId="02581573" w14:textId="77777777" w:rsidR="00660978" w:rsidRPr="00CB1C46" w:rsidRDefault="00660978" w:rsidP="00FF0148">
            <w:pPr>
              <w:pStyle w:val="TableText"/>
              <w:spacing w:before="50" w:after="50"/>
              <w:rPr>
                <w:rFonts w:cs="Calibri"/>
              </w:rPr>
            </w:pPr>
            <w:r w:rsidRPr="00CB1C46">
              <w:rPr>
                <w:rFonts w:cs="Calibri"/>
              </w:rPr>
              <w:t>Trend</w:t>
            </w:r>
          </w:p>
        </w:tc>
        <w:tc>
          <w:tcPr>
            <w:tcW w:w="921" w:type="pct"/>
            <w:shd w:val="clear" w:color="auto" w:fill="auto"/>
            <w:noWrap/>
            <w:hideMark/>
          </w:tcPr>
          <w:p w14:paraId="083B92F4" w14:textId="77777777" w:rsidR="00660978" w:rsidRPr="00CB1C46" w:rsidRDefault="00660978" w:rsidP="00FF0148">
            <w:pPr>
              <w:pStyle w:val="TableText"/>
              <w:spacing w:before="50" w:after="50"/>
              <w:rPr>
                <w:rFonts w:cs="Calibri"/>
              </w:rPr>
            </w:pPr>
            <w:r w:rsidRPr="00CB1C46">
              <w:rPr>
                <w:rFonts w:cs="Calibri"/>
              </w:rPr>
              <w:t>Level, trend</w:t>
            </w:r>
          </w:p>
        </w:tc>
      </w:tr>
      <w:tr w:rsidR="00660978" w:rsidRPr="00CB1C46" w14:paraId="12F321D9" w14:textId="77777777" w:rsidTr="004873FC">
        <w:tc>
          <w:tcPr>
            <w:tcW w:w="2216" w:type="pct"/>
            <w:shd w:val="clear" w:color="auto" w:fill="auto"/>
            <w:noWrap/>
          </w:tcPr>
          <w:p w14:paraId="2D7EC7F8" w14:textId="77777777" w:rsidR="00660978" w:rsidRPr="00CB1C46" w:rsidRDefault="00660978" w:rsidP="00FF0148">
            <w:pPr>
              <w:pStyle w:val="TableText"/>
              <w:spacing w:before="50" w:after="50"/>
              <w:rPr>
                <w:rFonts w:cs="Calibri"/>
              </w:rPr>
            </w:pPr>
            <w:r w:rsidRPr="00CB1C46">
              <w:rPr>
                <w:rFonts w:cs="Calibri"/>
              </w:rPr>
              <w:t>Agriculture/forestry/fishing – CO</w:t>
            </w:r>
            <w:r w:rsidRPr="00CB1C46">
              <w:rPr>
                <w:rFonts w:cs="Calibri"/>
                <w:vertAlign w:val="subscript"/>
              </w:rPr>
              <w:t>2</w:t>
            </w:r>
          </w:p>
        </w:tc>
        <w:tc>
          <w:tcPr>
            <w:tcW w:w="976" w:type="pct"/>
            <w:shd w:val="clear" w:color="auto" w:fill="auto"/>
            <w:noWrap/>
          </w:tcPr>
          <w:p w14:paraId="73CA389A" w14:textId="77777777" w:rsidR="00660978" w:rsidRPr="00CB1C46" w:rsidRDefault="00660978" w:rsidP="00FF0148">
            <w:pPr>
              <w:pStyle w:val="TableText"/>
              <w:spacing w:before="50" w:after="50"/>
              <w:rPr>
                <w:rFonts w:cs="Calibri"/>
              </w:rPr>
            </w:pPr>
            <w:r>
              <w:rPr>
                <w:rFonts w:cs="Calibri"/>
              </w:rPr>
              <w:t>Level</w:t>
            </w:r>
          </w:p>
        </w:tc>
        <w:tc>
          <w:tcPr>
            <w:tcW w:w="887" w:type="pct"/>
            <w:shd w:val="clear" w:color="auto" w:fill="auto"/>
            <w:noWrap/>
          </w:tcPr>
          <w:p w14:paraId="2FEA5F09" w14:textId="77777777" w:rsidR="00660978" w:rsidRPr="00CB1C46" w:rsidRDefault="00660978" w:rsidP="00FF0148">
            <w:pPr>
              <w:pStyle w:val="TableText"/>
              <w:spacing w:before="50" w:after="50"/>
              <w:rPr>
                <w:rFonts w:cs="Calibri"/>
              </w:rPr>
            </w:pPr>
            <w:r w:rsidRPr="00CB1C46">
              <w:rPr>
                <w:rFonts w:cs="Calibri"/>
              </w:rPr>
              <w:t>Trend</w:t>
            </w:r>
          </w:p>
        </w:tc>
        <w:tc>
          <w:tcPr>
            <w:tcW w:w="921" w:type="pct"/>
            <w:shd w:val="clear" w:color="auto" w:fill="auto"/>
            <w:noWrap/>
          </w:tcPr>
          <w:p w14:paraId="4D4CB61C" w14:textId="77777777" w:rsidR="00660978" w:rsidRPr="00CB1C46" w:rsidRDefault="00660978" w:rsidP="00FF0148">
            <w:pPr>
              <w:pStyle w:val="TableText"/>
              <w:spacing w:before="50" w:after="50"/>
              <w:rPr>
                <w:rFonts w:cs="Calibri"/>
              </w:rPr>
            </w:pPr>
          </w:p>
        </w:tc>
      </w:tr>
    </w:tbl>
    <w:p w14:paraId="146634DC" w14:textId="77777777" w:rsidR="00660978" w:rsidRPr="00CB1C46" w:rsidRDefault="00660978" w:rsidP="00660978">
      <w:pPr>
        <w:pStyle w:val="Heading4"/>
        <w:spacing w:before="360"/>
      </w:pPr>
      <w:r w:rsidRPr="00CB1C46">
        <w:rPr>
          <w:lang w:eastAsia="en-GB"/>
        </w:rPr>
        <w:t>Methodological issues</w:t>
      </w:r>
    </w:p>
    <w:p w14:paraId="3006AA26" w14:textId="77777777" w:rsidR="00660978" w:rsidRPr="00CB1C46" w:rsidRDefault="00660978" w:rsidP="00660978">
      <w:pPr>
        <w:pStyle w:val="BodyText"/>
        <w:spacing w:before="100" w:after="100"/>
        <w:rPr>
          <w:rFonts w:cs="Calibri"/>
          <w:lang w:eastAsia="en-GB"/>
        </w:rPr>
      </w:pPr>
      <w:r w:rsidRPr="00CB1C46">
        <w:rPr>
          <w:rFonts w:cs="Calibri"/>
          <w:lang w:eastAsia="en-GB"/>
        </w:rPr>
        <w:t>This category has no notable methodological issues.</w:t>
      </w:r>
    </w:p>
    <w:p w14:paraId="0ABA3F90" w14:textId="77777777" w:rsidR="00660978" w:rsidRPr="00CB1C46" w:rsidRDefault="00660978" w:rsidP="00660978">
      <w:pPr>
        <w:pStyle w:val="Heading4"/>
        <w:spacing w:before="200"/>
        <w:rPr>
          <w:lang w:eastAsia="en-GB"/>
        </w:rPr>
      </w:pPr>
      <w:r w:rsidRPr="00CB1C46">
        <w:rPr>
          <w:lang w:eastAsia="en-GB"/>
        </w:rPr>
        <w:t>Activity data</w:t>
      </w:r>
    </w:p>
    <w:p w14:paraId="26251CEE" w14:textId="77777777" w:rsidR="00660978" w:rsidRPr="00CB1C46" w:rsidRDefault="00660978" w:rsidP="00660978">
      <w:pPr>
        <w:pStyle w:val="Heading5"/>
        <w:spacing w:before="120"/>
        <w:rPr>
          <w:rFonts w:cs="Calibri"/>
        </w:rPr>
      </w:pPr>
      <w:r w:rsidRPr="00CB1C46">
        <w:rPr>
          <w:rFonts w:cs="Calibri"/>
        </w:rPr>
        <w:t>Liquid fuels</w:t>
      </w:r>
    </w:p>
    <w:p w14:paraId="78D390FA" w14:textId="77777777" w:rsidR="00660978" w:rsidRPr="00CB1C46" w:rsidRDefault="00660978" w:rsidP="00660978">
      <w:pPr>
        <w:pStyle w:val="BodyText"/>
        <w:spacing w:before="100" w:after="100"/>
        <w:rPr>
          <w:rFonts w:cs="Calibri"/>
        </w:rPr>
      </w:pPr>
      <w:r w:rsidRPr="00CB1C46">
        <w:rPr>
          <w:rFonts w:cs="Calibri"/>
        </w:rPr>
        <w:t xml:space="preserve">As mentioned in section 3.3.1, this inventory continues to use the results of the </w:t>
      </w:r>
      <w:r w:rsidRPr="000466EE">
        <w:rPr>
          <w:rFonts w:cs="Calibri"/>
          <w:iCs/>
        </w:rPr>
        <w:t>Annual Liquid Fuel Survey</w:t>
      </w:r>
      <w:r w:rsidRPr="00CB1C46">
        <w:rPr>
          <w:rFonts w:cs="Calibri"/>
        </w:rPr>
        <w:t xml:space="preserve"> that began in 2009. The purpose of this survey is to capture the allocation of fuel resold by small independent resellers. In recent years, these independent resellers accounted for around 30 per cent of national diesel deliveries and around 8 per cent of national gasoline deliveries. </w:t>
      </w:r>
    </w:p>
    <w:p w14:paraId="676DC1B3" w14:textId="77777777" w:rsidR="00660978" w:rsidRPr="00CB1C46" w:rsidRDefault="00660978" w:rsidP="00660978">
      <w:pPr>
        <w:pStyle w:val="BodyText"/>
        <w:rPr>
          <w:rFonts w:cs="Calibri"/>
        </w:rPr>
      </w:pPr>
      <w:r w:rsidRPr="00CB1C46">
        <w:rPr>
          <w:rFonts w:cs="Calibri"/>
        </w:rPr>
        <w:t xml:space="preserve">As the result of resale data captured by the </w:t>
      </w:r>
      <w:r w:rsidRPr="000466EE">
        <w:rPr>
          <w:rFonts w:cs="Calibri"/>
          <w:iCs/>
        </w:rPr>
        <w:t>Annual Liquid Fuel Survey</w:t>
      </w:r>
      <w:r w:rsidRPr="00CB1C46">
        <w:rPr>
          <w:rFonts w:cs="Calibri"/>
        </w:rPr>
        <w:t xml:space="preserve">, emissions that would otherwise be reported in category 1.A.3.b </w:t>
      </w:r>
      <w:r w:rsidRPr="00CB1C46">
        <w:rPr>
          <w:rFonts w:cs="Calibri"/>
          <w:i/>
        </w:rPr>
        <w:t>Road transportation</w:t>
      </w:r>
      <w:r w:rsidRPr="00CB1C46">
        <w:rPr>
          <w:rFonts w:cs="Calibri"/>
        </w:rPr>
        <w:t xml:space="preserve"> are allocated to the correct category.</w:t>
      </w:r>
    </w:p>
    <w:p w14:paraId="78ACEC08" w14:textId="77777777" w:rsidR="00660978" w:rsidRPr="00CB1C46" w:rsidRDefault="00660978" w:rsidP="00660978">
      <w:pPr>
        <w:pStyle w:val="BodyText"/>
        <w:rPr>
          <w:rFonts w:cs="Calibri"/>
        </w:rPr>
      </w:pPr>
      <w:r w:rsidRPr="00CB1C46">
        <w:rPr>
          <w:rFonts w:cs="Calibri"/>
        </w:rPr>
        <w:t>For time-series consistency, these reallocations are also made from 1990 to 2008, before the collection of data on the resale of liquid fuel by small, independent distributors began.</w:t>
      </w:r>
    </w:p>
    <w:p w14:paraId="1CE7E05A" w14:textId="77777777" w:rsidR="00660978" w:rsidRPr="00CB1C46" w:rsidRDefault="00660978" w:rsidP="00660978">
      <w:pPr>
        <w:pStyle w:val="BodyText"/>
        <w:rPr>
          <w:rFonts w:cs="Calibri"/>
        </w:rPr>
      </w:pPr>
      <w:r w:rsidRPr="00CB1C46">
        <w:rPr>
          <w:rFonts w:cs="Calibri"/>
        </w:rPr>
        <w:t xml:space="preserve">As mentioned in section 3.3.7 (Activity data, Liquid fuels), historical national energy sales surveys captured fuel use by mining operations under ‘other primary industry’. For consistency with the 2006 IPCC Guidelines, this inventory uses data provided by Stats NZ’s </w:t>
      </w:r>
      <w:r w:rsidRPr="000466EE">
        <w:rPr>
          <w:rFonts w:cs="Calibri"/>
          <w:iCs/>
        </w:rPr>
        <w:t>Energy Use Survey</w:t>
      </w:r>
      <w:r w:rsidRPr="00CB1C46">
        <w:rPr>
          <w:rFonts w:cs="Calibri"/>
        </w:rPr>
        <w:t xml:space="preserve"> (</w:t>
      </w:r>
      <w:r w:rsidRPr="00CB1C46">
        <w:rPr>
          <w:rFonts w:cs="Calibri"/>
          <w:lang w:eastAsia="en-GB"/>
        </w:rPr>
        <w:t xml:space="preserve">Stats NZ, 2018) </w:t>
      </w:r>
      <w:r w:rsidRPr="00CB1C46">
        <w:rPr>
          <w:rFonts w:cs="Calibri"/>
        </w:rPr>
        <w:t>to estimate the split of historical ‘other primary industry’ activity for fuel oil between forestry and logging, and mining (see table 3.3.8). The historical data are insufficient to extrapolate a historical trend for this split: instead, activity splits are interpolated between the two surveys and assumed to be constant for the period 1990 to 2008.</w:t>
      </w:r>
    </w:p>
    <w:p w14:paraId="06969079" w14:textId="77777777" w:rsidR="00660978" w:rsidRPr="00CB1C46" w:rsidRDefault="00660978" w:rsidP="00660978">
      <w:pPr>
        <w:pStyle w:val="Table"/>
      </w:pPr>
      <w:bookmarkStart w:id="368" w:name="_Toc321399160"/>
      <w:bookmarkStart w:id="369" w:name="_Toc384582867"/>
      <w:bookmarkStart w:id="370" w:name="_Toc443060847"/>
      <w:bookmarkStart w:id="371" w:name="_Toc451176063"/>
      <w:bookmarkStart w:id="372" w:name="_Toc481751489"/>
      <w:bookmarkStart w:id="373" w:name="_Toc507496592"/>
      <w:bookmarkStart w:id="374" w:name="_Toc36224526"/>
      <w:bookmarkStart w:id="375" w:name="_Toc68786412"/>
      <w:bookmarkStart w:id="376" w:name="_Toc99659220"/>
      <w:r w:rsidRPr="00CB1C46">
        <w:t xml:space="preserve">Table 3.3.8 </w:t>
      </w:r>
      <w:r w:rsidRPr="00CB1C46">
        <w:tab/>
        <w:t>Split of fuel oil activity for ‘other primary industry’</w:t>
      </w:r>
      <w:bookmarkEnd w:id="368"/>
      <w:bookmarkEnd w:id="369"/>
      <w:bookmarkEnd w:id="370"/>
      <w:bookmarkEnd w:id="371"/>
      <w:bookmarkEnd w:id="372"/>
      <w:bookmarkEnd w:id="373"/>
      <w:bookmarkEnd w:id="374"/>
      <w:bookmarkEnd w:id="375"/>
      <w:bookmarkEnd w:id="376"/>
      <w:r w:rsidRPr="00CB1C46">
        <w:rPr>
          <w:color w:val="FFFFFF"/>
        </w:rPr>
        <w:t xml:space="preserve"> </w:t>
      </w:r>
    </w:p>
    <w:tbl>
      <w:tblPr>
        <w:tblW w:w="8505" w:type="dxa"/>
        <w:tblInd w:w="113"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2296"/>
        <w:gridCol w:w="3086"/>
        <w:gridCol w:w="3123"/>
      </w:tblGrid>
      <w:tr w:rsidR="00660978" w:rsidRPr="00CB1C46" w14:paraId="6B451418" w14:textId="77777777" w:rsidTr="004873FC">
        <w:trPr>
          <w:cantSplit/>
        </w:trPr>
        <w:tc>
          <w:tcPr>
            <w:tcW w:w="1350" w:type="pct"/>
            <w:shd w:val="clear" w:color="auto" w:fill="1B556B"/>
            <w:vAlign w:val="bottom"/>
          </w:tcPr>
          <w:p w14:paraId="59313923" w14:textId="77777777" w:rsidR="00660978" w:rsidRPr="00CB1C46" w:rsidRDefault="00660978" w:rsidP="004873FC">
            <w:pPr>
              <w:pStyle w:val="TableTextBold"/>
              <w:keepNext/>
              <w:rPr>
                <w:rFonts w:cs="Calibri"/>
                <w:noProof w:val="0"/>
                <w:color w:val="FFFFFF"/>
              </w:rPr>
            </w:pPr>
            <w:r w:rsidRPr="00CB1C46">
              <w:rPr>
                <w:rFonts w:cs="Calibri"/>
                <w:noProof w:val="0"/>
                <w:color w:val="FFFFFF"/>
              </w:rPr>
              <w:t>Activity</w:t>
            </w:r>
          </w:p>
        </w:tc>
        <w:tc>
          <w:tcPr>
            <w:tcW w:w="1814" w:type="pct"/>
            <w:shd w:val="clear" w:color="auto" w:fill="1B556B"/>
            <w:vAlign w:val="bottom"/>
          </w:tcPr>
          <w:p w14:paraId="5069E2FC" w14:textId="77777777" w:rsidR="00660978" w:rsidRPr="00CB1C46" w:rsidRDefault="00660978" w:rsidP="004873FC">
            <w:pPr>
              <w:pStyle w:val="TableTextBold"/>
              <w:keepNext/>
              <w:jc w:val="center"/>
              <w:rPr>
                <w:rFonts w:cs="Calibri"/>
                <w:noProof w:val="0"/>
                <w:color w:val="FFFFFF"/>
              </w:rPr>
            </w:pPr>
            <w:r w:rsidRPr="00CB1C46">
              <w:rPr>
                <w:rFonts w:cs="Calibri"/>
                <w:noProof w:val="0"/>
                <w:color w:val="FFFFFF"/>
              </w:rPr>
              <w:t>Energy Use Survey 2008 (%)</w:t>
            </w:r>
          </w:p>
        </w:tc>
        <w:tc>
          <w:tcPr>
            <w:tcW w:w="1836" w:type="pct"/>
            <w:shd w:val="clear" w:color="auto" w:fill="1B556B"/>
            <w:vAlign w:val="bottom"/>
          </w:tcPr>
          <w:p w14:paraId="0935AD46" w14:textId="77777777" w:rsidR="00660978" w:rsidRPr="00CB1C46" w:rsidRDefault="00660978" w:rsidP="004873FC">
            <w:pPr>
              <w:pStyle w:val="TableTextBold"/>
              <w:keepNext/>
              <w:jc w:val="center"/>
              <w:rPr>
                <w:rFonts w:cs="Calibri"/>
                <w:noProof w:val="0"/>
                <w:color w:val="FFFFFF"/>
              </w:rPr>
            </w:pPr>
            <w:r w:rsidRPr="00CB1C46">
              <w:rPr>
                <w:rFonts w:cs="Calibri"/>
                <w:noProof w:val="0"/>
                <w:color w:val="FFFFFF"/>
              </w:rPr>
              <w:t>Energy Use Survey 2016 (%)</w:t>
            </w:r>
          </w:p>
        </w:tc>
      </w:tr>
      <w:tr w:rsidR="00660978" w:rsidRPr="00CB1C46" w14:paraId="4DACFB11" w14:textId="77777777" w:rsidTr="004873FC">
        <w:trPr>
          <w:cantSplit/>
          <w:trHeight w:val="250"/>
        </w:trPr>
        <w:tc>
          <w:tcPr>
            <w:tcW w:w="1350" w:type="pct"/>
          </w:tcPr>
          <w:p w14:paraId="5420C95D" w14:textId="77777777" w:rsidR="00660978" w:rsidRPr="00CB1C46" w:rsidRDefault="00660978" w:rsidP="004873FC">
            <w:pPr>
              <w:pStyle w:val="TableText"/>
              <w:rPr>
                <w:rFonts w:cs="Calibri"/>
              </w:rPr>
            </w:pPr>
            <w:r w:rsidRPr="00CB1C46">
              <w:rPr>
                <w:rFonts w:cs="Calibri"/>
              </w:rPr>
              <w:t>Forestry and logging</w:t>
            </w:r>
          </w:p>
        </w:tc>
        <w:tc>
          <w:tcPr>
            <w:tcW w:w="1814" w:type="pct"/>
            <w:vAlign w:val="center"/>
          </w:tcPr>
          <w:p w14:paraId="08D9DD50" w14:textId="77777777" w:rsidR="00660978" w:rsidRPr="00CB1C46" w:rsidRDefault="00660978" w:rsidP="004873FC">
            <w:pPr>
              <w:pStyle w:val="TableText"/>
              <w:jc w:val="center"/>
              <w:rPr>
                <w:rFonts w:cs="Calibri"/>
              </w:rPr>
            </w:pPr>
            <w:r w:rsidRPr="00CB1C46">
              <w:rPr>
                <w:rFonts w:cs="Calibri"/>
              </w:rPr>
              <w:t>51.3</w:t>
            </w:r>
          </w:p>
        </w:tc>
        <w:tc>
          <w:tcPr>
            <w:tcW w:w="1836" w:type="pct"/>
            <w:vAlign w:val="center"/>
          </w:tcPr>
          <w:p w14:paraId="290C0873" w14:textId="77777777" w:rsidR="00660978" w:rsidRPr="00CB1C46" w:rsidRDefault="00660978" w:rsidP="004873FC">
            <w:pPr>
              <w:pStyle w:val="TableText"/>
              <w:jc w:val="center"/>
              <w:rPr>
                <w:rFonts w:cs="Calibri"/>
              </w:rPr>
            </w:pPr>
            <w:r w:rsidRPr="00CB1C46">
              <w:rPr>
                <w:rFonts w:cs="Calibri"/>
              </w:rPr>
              <w:t>9.1</w:t>
            </w:r>
          </w:p>
        </w:tc>
      </w:tr>
      <w:tr w:rsidR="00660978" w:rsidRPr="00CB1C46" w14:paraId="15FD6289" w14:textId="77777777" w:rsidTr="004873FC">
        <w:trPr>
          <w:cantSplit/>
        </w:trPr>
        <w:tc>
          <w:tcPr>
            <w:tcW w:w="1350" w:type="pct"/>
          </w:tcPr>
          <w:p w14:paraId="0028AC79" w14:textId="77777777" w:rsidR="00660978" w:rsidRPr="00CB1C46" w:rsidRDefault="00660978" w:rsidP="004873FC">
            <w:pPr>
              <w:pStyle w:val="TableText"/>
              <w:rPr>
                <w:rFonts w:cs="Calibri"/>
              </w:rPr>
            </w:pPr>
            <w:r w:rsidRPr="00CB1C46">
              <w:rPr>
                <w:rFonts w:cs="Calibri"/>
              </w:rPr>
              <w:t>Mining</w:t>
            </w:r>
          </w:p>
        </w:tc>
        <w:tc>
          <w:tcPr>
            <w:tcW w:w="1814" w:type="pct"/>
            <w:vAlign w:val="center"/>
          </w:tcPr>
          <w:p w14:paraId="336D43A6" w14:textId="77777777" w:rsidR="00660978" w:rsidRPr="00CB1C46" w:rsidRDefault="00660978" w:rsidP="004873FC">
            <w:pPr>
              <w:pStyle w:val="TableText"/>
              <w:jc w:val="center"/>
              <w:rPr>
                <w:rFonts w:cs="Calibri"/>
              </w:rPr>
            </w:pPr>
            <w:r w:rsidRPr="00CB1C46">
              <w:rPr>
                <w:rFonts w:cs="Calibri"/>
              </w:rPr>
              <w:t>48.7</w:t>
            </w:r>
          </w:p>
        </w:tc>
        <w:tc>
          <w:tcPr>
            <w:tcW w:w="1836" w:type="pct"/>
            <w:vAlign w:val="center"/>
          </w:tcPr>
          <w:p w14:paraId="01C8F8CC" w14:textId="77777777" w:rsidR="00660978" w:rsidRPr="00CB1C46" w:rsidRDefault="00660978" w:rsidP="004873FC">
            <w:pPr>
              <w:pStyle w:val="TableText"/>
              <w:jc w:val="center"/>
              <w:rPr>
                <w:rFonts w:cs="Calibri"/>
              </w:rPr>
            </w:pPr>
            <w:r w:rsidRPr="00CB1C46">
              <w:rPr>
                <w:rFonts w:cs="Calibri"/>
              </w:rPr>
              <w:t>90.9</w:t>
            </w:r>
          </w:p>
        </w:tc>
      </w:tr>
    </w:tbl>
    <w:p w14:paraId="34B9CCA2" w14:textId="77777777" w:rsidR="00660978" w:rsidRPr="00CB1C46" w:rsidRDefault="00660978" w:rsidP="00660978">
      <w:pPr>
        <w:pStyle w:val="Heading5"/>
        <w:spacing w:before="360"/>
        <w:rPr>
          <w:rFonts w:cs="Calibri"/>
        </w:rPr>
      </w:pPr>
      <w:r w:rsidRPr="00CB1C46">
        <w:rPr>
          <w:rFonts w:cs="Calibri"/>
        </w:rPr>
        <w:t>Solid fuels</w:t>
      </w:r>
    </w:p>
    <w:p w14:paraId="56EC296F" w14:textId="77777777" w:rsidR="00660978" w:rsidRPr="00CB1C46" w:rsidRDefault="00660978" w:rsidP="00660978">
      <w:pPr>
        <w:pStyle w:val="BodyText"/>
        <w:spacing w:before="100" w:after="100"/>
        <w:rPr>
          <w:rFonts w:cs="Calibri"/>
        </w:rPr>
      </w:pPr>
      <w:r w:rsidRPr="00CB1C46">
        <w:rPr>
          <w:rFonts w:cs="Calibri"/>
        </w:rPr>
        <w:t xml:space="preserve">In 2010, it was discovered that some coal reported as sold to the commercial sector was in fact being on-sold to resellers rather than directly to end-users. As a result, some activity previously reported in the </w:t>
      </w:r>
      <w:r w:rsidRPr="00CB1C46">
        <w:rPr>
          <w:rFonts w:cs="Calibri"/>
          <w:i/>
        </w:rPr>
        <w:t xml:space="preserve">Commercial </w:t>
      </w:r>
      <w:r w:rsidRPr="00CB1C46">
        <w:rPr>
          <w:rFonts w:cs="Calibri"/>
        </w:rPr>
        <w:t>category has been reallocated to the Agriculture sector. This on-selling is assumed to continue across the time series 1990 to 2020.</w:t>
      </w:r>
    </w:p>
    <w:p w14:paraId="3CFE6536" w14:textId="77777777" w:rsidR="00660978" w:rsidRPr="00CB1C46" w:rsidRDefault="00660978" w:rsidP="00660978">
      <w:pPr>
        <w:pStyle w:val="BodyText"/>
        <w:spacing w:before="100" w:after="100"/>
        <w:rPr>
          <w:rFonts w:cs="Calibri"/>
        </w:rPr>
      </w:pPr>
      <w:r w:rsidRPr="00CB1C46">
        <w:rPr>
          <w:rFonts w:cs="Calibri"/>
        </w:rPr>
        <w:lastRenderedPageBreak/>
        <w:t>A number of synthetic solid fuels are used as lightweight cooking fuels by hikers and the military. Examples include hexamethylenetetramine, metaldehyde and trioxane, which are derived from chemical feedstocks such as aldehydes and ammonia, and hence contain fossil carbon. These fuels are not covered by the national energy balance, and the emissions associated with their combustion have not been estimated.</w:t>
      </w:r>
    </w:p>
    <w:p w14:paraId="067D92F3" w14:textId="77777777" w:rsidR="00660978" w:rsidRPr="00CB1C46" w:rsidRDefault="00660978" w:rsidP="00660978">
      <w:pPr>
        <w:pStyle w:val="Heading5"/>
        <w:spacing w:before="120"/>
        <w:rPr>
          <w:rFonts w:cs="Calibri"/>
        </w:rPr>
      </w:pPr>
      <w:r w:rsidRPr="00CB1C46">
        <w:rPr>
          <w:rFonts w:cs="Calibri"/>
        </w:rPr>
        <w:t>Solid biomass</w:t>
      </w:r>
    </w:p>
    <w:p w14:paraId="1A7B2EF3" w14:textId="77777777" w:rsidR="00660978" w:rsidRPr="00CB1C46" w:rsidRDefault="00660978" w:rsidP="00660978">
      <w:pPr>
        <w:pStyle w:val="BodyText"/>
        <w:spacing w:before="100" w:after="100"/>
        <w:rPr>
          <w:rFonts w:cs="Calibri"/>
        </w:rPr>
      </w:pPr>
      <w:r w:rsidRPr="00CB1C46">
        <w:rPr>
          <w:rFonts w:cs="Calibri"/>
        </w:rPr>
        <w:t xml:space="preserve">Residential combustion of biomass is estimated using household number estimates from Stats NZ, along with five-yearly census figures estimating the percentage of households using biomass for heating. Interpolation is used to estimate shares for intermediate years. The census data indicate that the popularity of woodburners is decreasing slowly over time. The energy content of biomass burned in each household was estimated by the study </w:t>
      </w:r>
      <w:r w:rsidRPr="00CB1C46">
        <w:rPr>
          <w:rFonts w:cs="Calibri"/>
          <w:i/>
        </w:rPr>
        <w:t>Energy Use in New Zealand Households</w:t>
      </w:r>
      <w:r w:rsidRPr="00CB1C46">
        <w:rPr>
          <w:rFonts w:cs="Calibri"/>
        </w:rPr>
        <w:t xml:space="preserve"> (BRANZ, 2002).</w:t>
      </w:r>
    </w:p>
    <w:p w14:paraId="02C4DC60" w14:textId="77777777" w:rsidR="00660978" w:rsidRPr="00CB1C46" w:rsidRDefault="00660978" w:rsidP="00660978">
      <w:pPr>
        <w:pStyle w:val="BodyText"/>
        <w:spacing w:before="100" w:after="100"/>
        <w:rPr>
          <w:rFonts w:cs="Calibri"/>
        </w:rPr>
      </w:pPr>
      <w:r w:rsidRPr="00CB1C46">
        <w:rPr>
          <w:rFonts w:cs="Calibri"/>
        </w:rPr>
        <w:t>The controlled outdoor combustion of biomass is a common pastime activity across New Zealand backyards, beaches and other public spaces as part of a celebration or to provide heat for warmth or cooking. Examples include bonfires, campfires, pizza ovens, braziers, fire pits and chimeneas. Traditional methods of cooking food using heated rocks buried in a pit oven include hāngī, umu and lovo. These activities are distinct from open-burning of unwanted biomass that is not used for energy purposes, which would be reported under the Waste sector. While activity data are not available, expert opinion indicates that the likely level of activity is relatively minor compared with the indoor residential combustion of biomass; therefore, emissions associated with these outdoor activities have not been estimated.</w:t>
      </w:r>
    </w:p>
    <w:p w14:paraId="5546F5E9" w14:textId="77777777" w:rsidR="00660978" w:rsidRPr="00CB1C46" w:rsidRDefault="00660978" w:rsidP="00660978">
      <w:pPr>
        <w:pStyle w:val="Heading5"/>
        <w:spacing w:before="120"/>
        <w:rPr>
          <w:rFonts w:cs="Calibri"/>
        </w:rPr>
      </w:pPr>
      <w:r w:rsidRPr="00CB1C46">
        <w:rPr>
          <w:rFonts w:cs="Calibri"/>
        </w:rPr>
        <w:t>Gaseous fuels</w:t>
      </w:r>
    </w:p>
    <w:p w14:paraId="1E54DDD7" w14:textId="77777777" w:rsidR="00660978" w:rsidRPr="00CB1C46" w:rsidRDefault="00660978" w:rsidP="00660978">
      <w:pPr>
        <w:pStyle w:val="BodyText"/>
        <w:spacing w:before="100" w:after="100"/>
        <w:rPr>
          <w:rFonts w:cs="Calibri"/>
        </w:rPr>
      </w:pPr>
      <w:r w:rsidRPr="00CB1C46">
        <w:rPr>
          <w:rFonts w:cs="Calibri"/>
        </w:rPr>
        <w:t>Annual natural gas consumption statistics are published by MBIE. Reviews of all natural gas consumption data were undertaken in 2011 and 2014 by MBIE. For further information, see section 3.3.7 (Activity data, Gaseous fuels).</w:t>
      </w:r>
    </w:p>
    <w:p w14:paraId="38CF44B1" w14:textId="77777777" w:rsidR="00660978" w:rsidRPr="00CB1C46" w:rsidRDefault="00660978" w:rsidP="00660978">
      <w:pPr>
        <w:pStyle w:val="Heading5"/>
      </w:pPr>
      <w:r w:rsidRPr="00CB1C46">
        <w:t>Other fossil fuels</w:t>
      </w:r>
    </w:p>
    <w:p w14:paraId="028B0E00" w14:textId="77777777" w:rsidR="00660978" w:rsidRPr="00CB1C46" w:rsidRDefault="00660978" w:rsidP="00660978">
      <w:pPr>
        <w:pStyle w:val="BodyText"/>
        <w:spacing w:before="100" w:after="100"/>
        <w:rPr>
          <w:rFonts w:cs="Calibri"/>
        </w:rPr>
      </w:pPr>
      <w:r w:rsidRPr="00CB1C46">
        <w:rPr>
          <w:rFonts w:cs="Calibri"/>
        </w:rPr>
        <w:t>Mixtures of fossil fuels are combined with a wide range of metal, organic and non-organic compounds in the formulation of low explosive pyrotechnic devices that are used for entertainment purposes (fireworks). In New Zealand, most towns and cities hold public fireworks displays for the folkloric festival known as Guy Fawkes Night (5 November) and increasingly on other days to celebrate religious and cultural festivals, such as Diwali, Matariki and Lunar New Year, as well as at major sporting events. Consumer fireworks are also available for sale to the general public during the four-day period between 2 and 5 November; however, there is no restriction on the days of use. Fireworks are imported from overseas, generally China. The solid fuels in fireworks are combusted to provide energy as a propellant for aerial fireworks and also to provide heat, light and sound effects. Common fossil</w:t>
      </w:r>
      <w:r w:rsidRPr="00CB1C46">
        <w:rPr>
          <w:rFonts w:cs="Calibri"/>
        </w:rPr>
        <w:softHyphen/>
        <w:t>–carbon based fuels include carbon black, coal, asphaltum and gilsonite. In addition to CO</w:t>
      </w:r>
      <w:r w:rsidRPr="00CB1C46">
        <w:rPr>
          <w:rFonts w:cs="Calibri"/>
          <w:vertAlign w:val="subscript"/>
        </w:rPr>
        <w:t>2</w:t>
      </w:r>
      <w:r w:rsidRPr="00CB1C46">
        <w:rPr>
          <w:rFonts w:cs="Calibri"/>
        </w:rPr>
        <w:t>, greenhouse gas emissions also</w:t>
      </w:r>
      <w:r>
        <w:rPr>
          <w:rFonts w:cs="Calibri"/>
        </w:rPr>
        <w:t xml:space="preserve"> </w:t>
      </w:r>
      <w:r w:rsidRPr="00CB1C46">
        <w:rPr>
          <w:rFonts w:cs="Calibri"/>
        </w:rPr>
        <w:t>include CH</w:t>
      </w:r>
      <w:r w:rsidRPr="00CB1C46">
        <w:rPr>
          <w:rFonts w:cs="Calibri"/>
          <w:vertAlign w:val="subscript"/>
        </w:rPr>
        <w:t>4</w:t>
      </w:r>
      <w:r w:rsidRPr="00CB1C46">
        <w:rPr>
          <w:rFonts w:cs="Calibri"/>
        </w:rPr>
        <w:t xml:space="preserve"> and N</w:t>
      </w:r>
      <w:r w:rsidRPr="00CB1C46">
        <w:rPr>
          <w:rFonts w:cs="Calibri"/>
          <w:vertAlign w:val="subscript"/>
        </w:rPr>
        <w:t>2</w:t>
      </w:r>
      <w:r w:rsidRPr="00CB1C46">
        <w:rPr>
          <w:rFonts w:cs="Calibri"/>
        </w:rPr>
        <w:t>O.</w:t>
      </w:r>
      <w:r>
        <w:rPr>
          <w:rFonts w:cs="Calibri"/>
        </w:rPr>
        <w:t xml:space="preserve"> </w:t>
      </w:r>
    </w:p>
    <w:p w14:paraId="2BA4C55B" w14:textId="77777777" w:rsidR="00660978" w:rsidRPr="00CB1C46" w:rsidRDefault="00660978" w:rsidP="00660978">
      <w:pPr>
        <w:pStyle w:val="BodyText"/>
        <w:spacing w:before="100" w:after="100"/>
        <w:rPr>
          <w:rFonts w:cs="Calibri"/>
        </w:rPr>
      </w:pPr>
      <w:r w:rsidRPr="00CB1C46">
        <w:rPr>
          <w:rFonts w:cs="Calibri"/>
        </w:rPr>
        <w:t xml:space="preserve">The annual gross weight of imported fireworks was used as activity data. Emission factors were sourced from the Danish NIR. </w:t>
      </w:r>
    </w:p>
    <w:p w14:paraId="6B34061B" w14:textId="77777777" w:rsidR="00660978" w:rsidRPr="00CB1C46" w:rsidRDefault="00660978" w:rsidP="00660978">
      <w:pPr>
        <w:pStyle w:val="Heading4"/>
      </w:pPr>
      <w:r w:rsidRPr="00CB1C46">
        <w:rPr>
          <w:lang w:eastAsia="en-GB"/>
        </w:rPr>
        <w:t>Uncertainties and time-series consistency</w:t>
      </w:r>
    </w:p>
    <w:p w14:paraId="45DB26AE" w14:textId="77777777" w:rsidR="00660978" w:rsidRPr="00CB1C46" w:rsidRDefault="00660978" w:rsidP="00660978">
      <w:pPr>
        <w:pStyle w:val="BodyText"/>
        <w:rPr>
          <w:rFonts w:cs="Calibri"/>
          <w:lang w:eastAsia="en-GB"/>
        </w:rPr>
      </w:pPr>
      <w:r w:rsidRPr="00CB1C46">
        <w:rPr>
          <w:rFonts w:cs="Calibri"/>
          <w:lang w:eastAsia="en-GB"/>
        </w:rPr>
        <w:t>Uncertainties in emission estimates for data from other sectors are relevant to the entire Energy sector (see table 3.3.1).</w:t>
      </w:r>
    </w:p>
    <w:p w14:paraId="0367B835" w14:textId="77777777" w:rsidR="00660978" w:rsidRPr="00CB1C46" w:rsidRDefault="00660978" w:rsidP="00660978">
      <w:pPr>
        <w:pStyle w:val="Heading4"/>
      </w:pPr>
      <w:r w:rsidRPr="00CB1C46">
        <w:rPr>
          <w:lang w:eastAsia="en-GB"/>
        </w:rPr>
        <w:lastRenderedPageBreak/>
        <w:t>Source-specific QA/QC and verification</w:t>
      </w:r>
    </w:p>
    <w:p w14:paraId="3D12784F" w14:textId="77777777" w:rsidR="00660978" w:rsidRPr="00CB1C46" w:rsidRDefault="00660978" w:rsidP="00660978">
      <w:pPr>
        <w:pStyle w:val="BodyText"/>
        <w:rPr>
          <w:rFonts w:cs="Calibri"/>
          <w:lang w:eastAsia="en-GB"/>
        </w:rPr>
      </w:pPr>
      <w:r w:rsidRPr="00CB1C46">
        <w:rPr>
          <w:rFonts w:cs="Calibri"/>
          <w:lang w:eastAsia="en-GB"/>
        </w:rPr>
        <w:t xml:space="preserve">In the preparation of this inventory, the </w:t>
      </w:r>
      <w:r w:rsidRPr="00CB1C46">
        <w:rPr>
          <w:rFonts w:cs="Calibri"/>
          <w:i/>
          <w:lang w:eastAsia="en-GB"/>
        </w:rPr>
        <w:t>Other sectors</w:t>
      </w:r>
      <w:r w:rsidRPr="00CB1C46">
        <w:rPr>
          <w:rFonts w:cs="Calibri"/>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089E4B3D" w14:textId="77777777" w:rsidR="00660978" w:rsidRPr="00CB1C46" w:rsidRDefault="00660978" w:rsidP="00660978">
      <w:pPr>
        <w:pStyle w:val="Heading4"/>
        <w:rPr>
          <w:lang w:eastAsia="en-GB"/>
        </w:rPr>
      </w:pPr>
      <w:r w:rsidRPr="00CB1C46">
        <w:rPr>
          <w:lang w:eastAsia="en-GB"/>
        </w:rPr>
        <w:t>Source-specific recalculations</w:t>
      </w:r>
    </w:p>
    <w:p w14:paraId="3BB92326" w14:textId="77777777" w:rsidR="00660978" w:rsidRPr="00CB1C46" w:rsidRDefault="00660978" w:rsidP="00660978">
      <w:pPr>
        <w:pStyle w:val="BodyText"/>
        <w:rPr>
          <w:rFonts w:cs="Calibri"/>
          <w:lang w:eastAsia="en-GB"/>
        </w:rPr>
      </w:pPr>
      <w:r w:rsidRPr="00CB1C46">
        <w:rPr>
          <w:rFonts w:cs="Calibri"/>
          <w:lang w:eastAsia="en-GB"/>
        </w:rPr>
        <w:t>Some minor recalculations may have occurred across the time series due to revisions of activity data provided by the energy data team at MBIE.</w:t>
      </w:r>
    </w:p>
    <w:p w14:paraId="4886474A" w14:textId="77777777" w:rsidR="00660978" w:rsidRPr="00CB1C46" w:rsidRDefault="00660978" w:rsidP="00660978">
      <w:pPr>
        <w:pStyle w:val="Heading4"/>
        <w:rPr>
          <w:lang w:eastAsia="en-GB"/>
        </w:rPr>
      </w:pPr>
      <w:r w:rsidRPr="00CB1C46">
        <w:rPr>
          <w:lang w:eastAsia="en-GB"/>
        </w:rPr>
        <w:t>Source-specific improvements</w:t>
      </w:r>
    </w:p>
    <w:p w14:paraId="6269BD98" w14:textId="77777777" w:rsidR="00660978" w:rsidRPr="00CB1C46" w:rsidRDefault="00660978" w:rsidP="00660978">
      <w:pPr>
        <w:pStyle w:val="BodyText"/>
        <w:rPr>
          <w:rFonts w:cs="Calibri"/>
          <w:lang w:eastAsia="en-GB"/>
        </w:rPr>
      </w:pPr>
      <w:r w:rsidRPr="00CB1C46">
        <w:rPr>
          <w:rFonts w:cs="Calibri"/>
          <w:lang w:eastAsia="en-GB"/>
        </w:rPr>
        <w:t xml:space="preserve">Emissions from fireworks have been estimated and included in the </w:t>
      </w:r>
      <w:r w:rsidRPr="00CB1C46">
        <w:rPr>
          <w:rFonts w:cs="Calibri"/>
          <w:i/>
          <w:iCs/>
          <w:lang w:eastAsia="en-GB"/>
        </w:rPr>
        <w:t>Residential</w:t>
      </w:r>
      <w:r w:rsidRPr="00CB1C46">
        <w:rPr>
          <w:rFonts w:cs="Calibri"/>
          <w:lang w:eastAsia="en-GB"/>
        </w:rPr>
        <w:t xml:space="preserve"> category.</w:t>
      </w:r>
    </w:p>
    <w:p w14:paraId="0D9B56A6" w14:textId="77777777" w:rsidR="00660978" w:rsidRPr="00CB1C46" w:rsidRDefault="00660978" w:rsidP="00660978">
      <w:pPr>
        <w:pStyle w:val="BodyText"/>
        <w:rPr>
          <w:rFonts w:cs="Calibri"/>
          <w:lang w:eastAsia="en-GB"/>
        </w:rPr>
      </w:pPr>
      <w:r w:rsidRPr="00CB1C46">
        <w:rPr>
          <w:rFonts w:cs="Calibri"/>
          <w:lang w:eastAsia="en-GB"/>
        </w:rPr>
        <w:t xml:space="preserve">Revisions to the national energy balance have resulted in reallocation of liquid fuel activity data from </w:t>
      </w:r>
      <w:r w:rsidRPr="00176990">
        <w:rPr>
          <w:rFonts w:cs="Calibri"/>
          <w:i/>
          <w:iCs/>
          <w:lang w:eastAsia="en-GB"/>
        </w:rPr>
        <w:t>Road t</w:t>
      </w:r>
      <w:r w:rsidRPr="000466EE">
        <w:rPr>
          <w:rFonts w:cs="Calibri"/>
          <w:i/>
          <w:iCs/>
          <w:lang w:eastAsia="en-GB"/>
        </w:rPr>
        <w:t>ransport</w:t>
      </w:r>
      <w:r>
        <w:rPr>
          <w:rFonts w:cs="Calibri"/>
          <w:i/>
          <w:iCs/>
          <w:lang w:eastAsia="en-GB"/>
        </w:rPr>
        <w:t>ation</w:t>
      </w:r>
      <w:r w:rsidRPr="00CB1C46">
        <w:rPr>
          <w:rFonts w:cs="Calibri"/>
          <w:lang w:eastAsia="en-GB"/>
        </w:rPr>
        <w:t xml:space="preserve"> to the </w:t>
      </w:r>
      <w:r w:rsidRPr="00CB1C46">
        <w:rPr>
          <w:rFonts w:cs="Calibri"/>
          <w:i/>
          <w:iCs/>
          <w:lang w:eastAsia="en-GB"/>
        </w:rPr>
        <w:t>Residential</w:t>
      </w:r>
      <w:r w:rsidRPr="00CB1C46">
        <w:rPr>
          <w:rFonts w:cs="Calibri"/>
          <w:lang w:eastAsia="en-GB"/>
        </w:rPr>
        <w:t xml:space="preserve"> category. In July 2021, the </w:t>
      </w:r>
      <w:r w:rsidRPr="00CB1C46">
        <w:t>Energy Efficiency and Conservation Authority</w:t>
      </w:r>
      <w:r w:rsidRPr="00CB1C46">
        <w:rPr>
          <w:rFonts w:cs="Calibri"/>
          <w:lang w:eastAsia="en-GB"/>
        </w:rPr>
        <w:t xml:space="preserve"> published the report </w:t>
      </w:r>
      <w:r w:rsidRPr="000466EE">
        <w:rPr>
          <w:rFonts w:cs="Calibri"/>
          <w:i/>
          <w:iCs/>
          <w:lang w:eastAsia="en-GB"/>
        </w:rPr>
        <w:t>Off-road Liquid Fuel Insights: Quantifying off</w:t>
      </w:r>
      <w:r>
        <w:rPr>
          <w:rFonts w:cs="Calibri"/>
          <w:i/>
          <w:iCs/>
          <w:lang w:eastAsia="en-GB"/>
        </w:rPr>
        <w:noBreakHyphen/>
      </w:r>
      <w:r w:rsidRPr="000466EE">
        <w:rPr>
          <w:rFonts w:cs="Calibri"/>
          <w:i/>
          <w:iCs/>
          <w:lang w:eastAsia="en-GB"/>
        </w:rPr>
        <w:t>road diesel and petrol use in New Zealand</w:t>
      </w:r>
      <w:r w:rsidRPr="00CB1C46">
        <w:rPr>
          <w:rFonts w:cs="Calibri"/>
          <w:lang w:eastAsia="en-GB"/>
        </w:rPr>
        <w:t xml:space="preserve"> (</w:t>
      </w:r>
      <w:r w:rsidRPr="00CB1C46">
        <w:t>Energy Efficiency and Conservation Authority</w:t>
      </w:r>
      <w:r w:rsidRPr="00CB1C46">
        <w:rPr>
          <w:rFonts w:cs="Calibri"/>
          <w:lang w:eastAsia="en-GB"/>
        </w:rPr>
        <w:t>, 2021). The research provides a more detailed breakdown of where off-road fuel is used than was previously available, enabling better understanding of how fossil fuels are used in the off</w:t>
      </w:r>
      <w:r>
        <w:rPr>
          <w:rFonts w:cs="Calibri"/>
          <w:lang w:eastAsia="en-GB"/>
        </w:rPr>
        <w:noBreakHyphen/>
      </w:r>
      <w:r w:rsidRPr="00CB1C46">
        <w:rPr>
          <w:rFonts w:cs="Calibri"/>
          <w:lang w:eastAsia="en-GB"/>
        </w:rPr>
        <w:t>road context. A key recommendation was that recreational marine use should be recorded as ‘off-road’ in future data.</w:t>
      </w:r>
      <w:r>
        <w:rPr>
          <w:rFonts w:cs="Calibri"/>
          <w:lang w:eastAsia="en-GB"/>
        </w:rPr>
        <w:t xml:space="preserve"> </w:t>
      </w:r>
      <w:r w:rsidRPr="00CB1C46">
        <w:rPr>
          <w:rFonts w:cs="Calibri"/>
          <w:lang w:eastAsia="en-GB"/>
        </w:rPr>
        <w:t xml:space="preserve">The research found the potential exists for 383 million litres of petrol and 50 million litres of diesel to be sourced through the retail network for recreational marine use annually. This was previously recorded as ‘on-road’ use in the official data, while its actual use is off-road. </w:t>
      </w:r>
      <w:r w:rsidRPr="00CB1C46">
        <w:rPr>
          <w:rFonts w:cs="Arial"/>
        </w:rPr>
        <w:t>The recommendation to reallocate this fuel use was implemented and the national energy balance was revised. Recreational boating is considered a residential leisure activity and so fuel use has been allocated to the residential category.</w:t>
      </w:r>
    </w:p>
    <w:p w14:paraId="1B57DD66" w14:textId="77777777" w:rsidR="00660978" w:rsidRPr="00CB1C46" w:rsidRDefault="00660978" w:rsidP="00660978">
      <w:pPr>
        <w:pStyle w:val="Heading4"/>
        <w:rPr>
          <w:lang w:eastAsia="en-GB"/>
        </w:rPr>
      </w:pPr>
      <w:r w:rsidRPr="00CB1C46">
        <w:rPr>
          <w:lang w:eastAsia="en-GB"/>
        </w:rPr>
        <w:t>Source-specific planned improvements</w:t>
      </w:r>
    </w:p>
    <w:p w14:paraId="14D54349" w14:textId="77777777" w:rsidR="00660978" w:rsidRPr="00CB1C46" w:rsidRDefault="00660978" w:rsidP="00660978">
      <w:pPr>
        <w:pStyle w:val="BodyText"/>
        <w:rPr>
          <w:rFonts w:cs="Calibri"/>
          <w:b/>
          <w:bCs/>
          <w:szCs w:val="24"/>
          <w:lang w:eastAsia="en-GB"/>
        </w:rPr>
      </w:pPr>
      <w:r w:rsidRPr="00CB1C46">
        <w:rPr>
          <w:rFonts w:cs="Calibri"/>
          <w:lang w:eastAsia="en-GB"/>
        </w:rPr>
        <w:t xml:space="preserve">No improvements are planned for this category. </w:t>
      </w:r>
    </w:p>
    <w:p w14:paraId="548307F5" w14:textId="77777777" w:rsidR="00660978" w:rsidRPr="00CB1C46" w:rsidRDefault="00660978" w:rsidP="00660978">
      <w:pPr>
        <w:pStyle w:val="Heading2"/>
        <w:rPr>
          <w:rFonts w:cs="Calibri"/>
        </w:rPr>
      </w:pPr>
      <w:bookmarkStart w:id="377" w:name="_Toc321398811"/>
      <w:bookmarkStart w:id="378" w:name="_Toc384581637"/>
      <w:bookmarkStart w:id="379" w:name="_Toc448321509"/>
      <w:bookmarkStart w:id="380" w:name="_Toc481751371"/>
      <w:bookmarkStart w:id="381" w:name="_Toc36224388"/>
      <w:bookmarkStart w:id="382" w:name="_Toc68786308"/>
      <w:bookmarkStart w:id="383" w:name="_Toc99659115"/>
      <w:r w:rsidRPr="00CB1C46">
        <w:rPr>
          <w:rFonts w:cs="Calibri"/>
        </w:rPr>
        <w:t>3.4</w:t>
      </w:r>
      <w:r w:rsidRPr="00CB1C46">
        <w:rPr>
          <w:rFonts w:cs="Calibri"/>
        </w:rPr>
        <w:tab/>
        <w:t>Fugitive emissions from fuels (CRF 1.B)</w:t>
      </w:r>
      <w:bookmarkEnd w:id="377"/>
      <w:bookmarkEnd w:id="378"/>
      <w:bookmarkEnd w:id="379"/>
      <w:bookmarkEnd w:id="380"/>
      <w:bookmarkEnd w:id="381"/>
      <w:bookmarkEnd w:id="382"/>
      <w:bookmarkEnd w:id="383"/>
    </w:p>
    <w:p w14:paraId="41D523EF" w14:textId="77777777" w:rsidR="00660978" w:rsidRPr="00CB1C46" w:rsidRDefault="00660978" w:rsidP="00660978">
      <w:pPr>
        <w:pStyle w:val="BodyText"/>
        <w:rPr>
          <w:rFonts w:cs="Calibri"/>
          <w:lang w:eastAsia="en-GB"/>
        </w:rPr>
      </w:pPr>
      <w:r w:rsidRPr="00CB1C46">
        <w:rPr>
          <w:rFonts w:cs="Calibri"/>
          <w:lang w:eastAsia="en-GB"/>
        </w:rPr>
        <w:t xml:space="preserve">Fugitive emissions arise from the production, processing, transmission, storage and use of fossil fuels, and from non-productive combustion. This category comprises two subcategories: </w:t>
      </w:r>
      <w:r w:rsidRPr="00CB1C46">
        <w:rPr>
          <w:rFonts w:cs="Calibri"/>
          <w:i/>
          <w:lang w:eastAsia="en-GB"/>
        </w:rPr>
        <w:t>Solid fuels</w:t>
      </w:r>
      <w:r w:rsidRPr="00CB1C46">
        <w:rPr>
          <w:rFonts w:cs="Calibri"/>
          <w:lang w:eastAsia="en-GB"/>
        </w:rPr>
        <w:t xml:space="preserve"> and </w:t>
      </w:r>
      <w:r w:rsidRPr="00CB1C46">
        <w:rPr>
          <w:rFonts w:cs="Calibri"/>
          <w:i/>
          <w:lang w:eastAsia="en-GB"/>
        </w:rPr>
        <w:t>Oil and natural gas</w:t>
      </w:r>
      <w:r w:rsidRPr="00CB1C46">
        <w:rPr>
          <w:rFonts w:cs="Calibri"/>
          <w:lang w:eastAsia="en-GB"/>
        </w:rPr>
        <w:t>.</w:t>
      </w:r>
    </w:p>
    <w:p w14:paraId="28D0712D" w14:textId="77777777" w:rsidR="00660978" w:rsidRPr="00CB1C46" w:rsidRDefault="00660978" w:rsidP="00660978">
      <w:pPr>
        <w:pStyle w:val="BodyText"/>
        <w:rPr>
          <w:rFonts w:cs="Calibri"/>
          <w:lang w:eastAsia="en-GB"/>
        </w:rPr>
      </w:pPr>
      <w:r w:rsidRPr="00CB1C46">
        <w:rPr>
          <w:rFonts w:cs="Calibri"/>
          <w:lang w:eastAsia="en-GB"/>
        </w:rPr>
        <w:t xml:space="preserve">In </w:t>
      </w:r>
      <w:r w:rsidRPr="00CB1C46">
        <w:rPr>
          <w:rFonts w:cs="Calibri"/>
        </w:rPr>
        <w:t>2020</w:t>
      </w:r>
      <w:r w:rsidRPr="00CB1C46">
        <w:rPr>
          <w:rFonts w:cs="Calibri"/>
          <w:lang w:eastAsia="en-GB"/>
        </w:rPr>
        <w:t xml:space="preserve">, fugitive emissions from fuels accounted for </w:t>
      </w:r>
      <w:r w:rsidRPr="00CB1C46">
        <w:rPr>
          <w:rFonts w:cs="Calibri"/>
        </w:rPr>
        <w:t xml:space="preserve">1,347.5 </w:t>
      </w:r>
      <w:r w:rsidRPr="00CB1C46">
        <w:rPr>
          <w:rFonts w:cs="Calibri"/>
          <w:lang w:eastAsia="en-GB"/>
        </w:rPr>
        <w:t>kt CO</w:t>
      </w:r>
      <w:r w:rsidRPr="00CB1C46">
        <w:rPr>
          <w:rFonts w:cs="Calibri"/>
          <w:vertAlign w:val="subscript"/>
          <w:lang w:eastAsia="en-GB"/>
        </w:rPr>
        <w:t>2</w:t>
      </w:r>
      <w:r w:rsidRPr="00CB1C46">
        <w:rPr>
          <w:rFonts w:cs="Calibri"/>
          <w:lang w:eastAsia="en-GB"/>
        </w:rPr>
        <w:t>-e (</w:t>
      </w:r>
      <w:r w:rsidRPr="00CB1C46">
        <w:rPr>
          <w:rFonts w:cs="Calibri"/>
        </w:rPr>
        <w:t>4.3 per cent</w:t>
      </w:r>
      <w:r w:rsidRPr="00CB1C46">
        <w:rPr>
          <w:rFonts w:cs="Calibri"/>
          <w:lang w:eastAsia="en-GB"/>
        </w:rPr>
        <w:t xml:space="preserve">) of emissions from the Energy sector. This is </w:t>
      </w:r>
      <w:r w:rsidRPr="00CB1C46">
        <w:rPr>
          <w:rFonts w:cs="Calibri"/>
        </w:rPr>
        <w:t xml:space="preserve">81.4 </w:t>
      </w:r>
      <w:r w:rsidRPr="00CB1C46">
        <w:rPr>
          <w:rFonts w:cs="Calibri"/>
          <w:lang w:eastAsia="en-GB"/>
        </w:rPr>
        <w:t>kt CO</w:t>
      </w:r>
      <w:r w:rsidRPr="00CB1C46">
        <w:rPr>
          <w:rFonts w:cs="Calibri"/>
          <w:vertAlign w:val="subscript"/>
          <w:lang w:eastAsia="en-GB"/>
        </w:rPr>
        <w:t>2</w:t>
      </w:r>
      <w:r w:rsidRPr="00CB1C46">
        <w:rPr>
          <w:rFonts w:cs="Calibri"/>
          <w:lang w:eastAsia="en-GB"/>
        </w:rPr>
        <w:t>-e (</w:t>
      </w:r>
      <w:r w:rsidRPr="00CB1C46">
        <w:rPr>
          <w:rFonts w:cs="Calibri"/>
        </w:rPr>
        <w:t>5.7 per cent</w:t>
      </w:r>
      <w:r w:rsidRPr="00CB1C46">
        <w:rPr>
          <w:rFonts w:cs="Calibri"/>
          <w:lang w:eastAsia="en-GB"/>
        </w:rPr>
        <w:t>) lower than the 1990</w:t>
      </w:r>
      <w:r>
        <w:rPr>
          <w:rFonts w:cs="Calibri"/>
          <w:lang w:eastAsia="en-GB"/>
        </w:rPr>
        <w:t xml:space="preserve"> </w:t>
      </w:r>
      <w:r w:rsidRPr="00CB1C46">
        <w:rPr>
          <w:rFonts w:cs="Calibri"/>
          <w:lang w:eastAsia="en-GB"/>
        </w:rPr>
        <w:t>level</w:t>
      </w:r>
      <w:r>
        <w:rPr>
          <w:rFonts w:cs="Calibri"/>
          <w:lang w:eastAsia="en-GB"/>
        </w:rPr>
        <w:t> </w:t>
      </w:r>
      <w:r w:rsidRPr="00CB1C46">
        <w:rPr>
          <w:rFonts w:cs="Calibri"/>
          <w:lang w:eastAsia="en-GB"/>
        </w:rPr>
        <w:t xml:space="preserve">of </w:t>
      </w:r>
      <w:r w:rsidRPr="00CB1C46">
        <w:rPr>
          <w:rFonts w:cs="Calibri"/>
        </w:rPr>
        <w:t xml:space="preserve">1,428.9 </w:t>
      </w:r>
      <w:r w:rsidRPr="00CB1C46">
        <w:rPr>
          <w:rFonts w:cs="Calibri"/>
          <w:lang w:eastAsia="en-GB"/>
        </w:rPr>
        <w:t>kt CO</w:t>
      </w:r>
      <w:r w:rsidRPr="00CB1C46">
        <w:rPr>
          <w:rFonts w:cs="Calibri"/>
          <w:vertAlign w:val="subscript"/>
          <w:lang w:eastAsia="en-GB"/>
        </w:rPr>
        <w:t>2</w:t>
      </w:r>
      <w:r w:rsidRPr="00CB1C46">
        <w:rPr>
          <w:rFonts w:cs="Calibri"/>
          <w:lang w:eastAsia="en-GB"/>
        </w:rPr>
        <w:t>-e.</w:t>
      </w:r>
    </w:p>
    <w:p w14:paraId="5F928DA8" w14:textId="77777777" w:rsidR="00660978" w:rsidRPr="00CB1C46" w:rsidRDefault="00660978" w:rsidP="00660978">
      <w:pPr>
        <w:pStyle w:val="Heading4"/>
        <w:rPr>
          <w:lang w:eastAsia="en-GB"/>
        </w:rPr>
      </w:pPr>
      <w:r w:rsidRPr="00CB1C46">
        <w:rPr>
          <w:lang w:eastAsia="en-GB"/>
        </w:rPr>
        <w:t xml:space="preserve">Changes in emissions </w:t>
      </w:r>
      <w:r w:rsidRPr="00CB1C46">
        <w:t>between</w:t>
      </w:r>
      <w:r w:rsidRPr="00CB1C46">
        <w:rPr>
          <w:lang w:eastAsia="en-GB"/>
        </w:rPr>
        <w:t xml:space="preserve"> </w:t>
      </w:r>
      <w:r w:rsidRPr="00CB1C46">
        <w:t xml:space="preserve">2019 </w:t>
      </w:r>
      <w:r w:rsidRPr="00CB1C46">
        <w:rPr>
          <w:lang w:eastAsia="en-GB"/>
        </w:rPr>
        <w:t xml:space="preserve">and </w:t>
      </w:r>
      <w:r w:rsidRPr="00CB1C46">
        <w:t>2020</w:t>
      </w:r>
    </w:p>
    <w:p w14:paraId="14515CB8" w14:textId="77777777" w:rsidR="00660978" w:rsidRPr="00CB1C46" w:rsidRDefault="00660978" w:rsidP="00660978">
      <w:pPr>
        <w:pStyle w:val="BodyText"/>
        <w:rPr>
          <w:rFonts w:cs="Calibri"/>
        </w:rPr>
      </w:pPr>
      <w:r w:rsidRPr="00CB1C46">
        <w:rPr>
          <w:rFonts w:cs="Calibri"/>
          <w:lang w:eastAsia="en-GB"/>
        </w:rPr>
        <w:t xml:space="preserve">Between </w:t>
      </w:r>
      <w:r w:rsidRPr="00CB1C46">
        <w:rPr>
          <w:rFonts w:cs="Calibri"/>
        </w:rPr>
        <w:t>2019</w:t>
      </w:r>
      <w:r w:rsidRPr="00CB1C46">
        <w:rPr>
          <w:rFonts w:cs="Calibri"/>
          <w:lang w:eastAsia="en-GB"/>
        </w:rPr>
        <w:t xml:space="preserve"> and </w:t>
      </w:r>
      <w:r w:rsidRPr="00CB1C46">
        <w:rPr>
          <w:rFonts w:cs="Calibri"/>
        </w:rPr>
        <w:t>2020</w:t>
      </w:r>
      <w:r w:rsidRPr="00CB1C46">
        <w:rPr>
          <w:rFonts w:cs="Calibri"/>
          <w:lang w:eastAsia="en-GB"/>
        </w:rPr>
        <w:t>, fugitive emissions from fuels</w:t>
      </w:r>
      <w:r w:rsidRPr="00CB1C46">
        <w:rPr>
          <w:rFonts w:cs="Calibri"/>
        </w:rPr>
        <w:t xml:space="preserve"> decreased by 168.0 </w:t>
      </w:r>
      <w:r w:rsidRPr="00CB1C46">
        <w:rPr>
          <w:rFonts w:cs="Calibri"/>
          <w:lang w:eastAsia="en-GB"/>
        </w:rPr>
        <w:t>kt CO</w:t>
      </w:r>
      <w:r w:rsidRPr="00CB1C46">
        <w:rPr>
          <w:rFonts w:cs="Calibri"/>
          <w:szCs w:val="14"/>
          <w:vertAlign w:val="subscript"/>
          <w:lang w:eastAsia="en-GB"/>
        </w:rPr>
        <w:t>2</w:t>
      </w:r>
      <w:r w:rsidRPr="00CB1C46">
        <w:rPr>
          <w:rFonts w:cs="Calibri"/>
          <w:lang w:eastAsia="en-GB"/>
        </w:rPr>
        <w:t>-e (</w:t>
      </w:r>
      <w:r w:rsidRPr="00CB1C46">
        <w:rPr>
          <w:rFonts w:cs="Calibri"/>
        </w:rPr>
        <w:t>11.1 per</w:t>
      </w:r>
      <w:r>
        <w:rPr>
          <w:rFonts w:cs="Calibri"/>
        </w:rPr>
        <w:t> </w:t>
      </w:r>
      <w:r w:rsidRPr="00CB1C46">
        <w:rPr>
          <w:rFonts w:cs="Calibri"/>
        </w:rPr>
        <w:t>cent</w:t>
      </w:r>
      <w:r w:rsidRPr="00CB1C46">
        <w:rPr>
          <w:rFonts w:cs="Calibri"/>
          <w:lang w:eastAsia="en-GB"/>
        </w:rPr>
        <w:t xml:space="preserve">). This was primarily the result of decreased activity in category 1.B.2.c. </w:t>
      </w:r>
      <w:r w:rsidRPr="00CB1C46">
        <w:rPr>
          <w:rFonts w:cs="Calibri"/>
          <w:i/>
          <w:lang w:eastAsia="en-GB"/>
        </w:rPr>
        <w:t>Venting</w:t>
      </w:r>
      <w:r>
        <w:rPr>
          <w:rFonts w:cs="Calibri"/>
          <w:i/>
          <w:lang w:eastAsia="en-GB"/>
        </w:rPr>
        <w:t> </w:t>
      </w:r>
      <w:r w:rsidRPr="00CB1C46">
        <w:rPr>
          <w:rFonts w:cs="Calibri"/>
          <w:i/>
          <w:lang w:eastAsia="en-GB"/>
        </w:rPr>
        <w:t>and flaring</w:t>
      </w:r>
      <w:r w:rsidRPr="00CB1C46">
        <w:rPr>
          <w:rFonts w:cs="Calibri"/>
          <w:i/>
        </w:rPr>
        <w:t>.</w:t>
      </w:r>
    </w:p>
    <w:p w14:paraId="105ECDE5" w14:textId="77777777" w:rsidR="00660978" w:rsidRPr="00CB1C46" w:rsidRDefault="00660978" w:rsidP="00660978">
      <w:pPr>
        <w:pStyle w:val="BodyText"/>
        <w:rPr>
          <w:rFonts w:cs="Calibri"/>
        </w:rPr>
      </w:pPr>
      <w:r w:rsidRPr="00CB1C46">
        <w:rPr>
          <w:rFonts w:cs="Calibri"/>
        </w:rPr>
        <w:t xml:space="preserve">Key categories identified in the 2020 level and trend assessment for the </w:t>
      </w:r>
      <w:r w:rsidRPr="00CB1C46">
        <w:rPr>
          <w:rFonts w:cs="Calibri"/>
          <w:i/>
          <w:lang w:eastAsia="en-GB"/>
        </w:rPr>
        <w:t>Fugitive emissions</w:t>
      </w:r>
      <w:r w:rsidRPr="00CB1C46">
        <w:rPr>
          <w:rFonts w:cs="Calibri"/>
        </w:rPr>
        <w:t xml:space="preserve"> category are given in table 3.4.1.</w:t>
      </w:r>
    </w:p>
    <w:p w14:paraId="200D95DF" w14:textId="77777777" w:rsidR="00660978" w:rsidRPr="00CB1C46" w:rsidRDefault="00660978" w:rsidP="00660978">
      <w:pPr>
        <w:pStyle w:val="Table"/>
      </w:pPr>
      <w:bookmarkStart w:id="384" w:name="_Toc68786413"/>
      <w:bookmarkStart w:id="385" w:name="_Toc99659221"/>
      <w:r w:rsidRPr="00CB1C46">
        <w:lastRenderedPageBreak/>
        <w:t>Table 3.4.1</w:t>
      </w:r>
      <w:r w:rsidRPr="00CB1C46">
        <w:tab/>
        <w:t xml:space="preserve">Key categories for 1.B </w:t>
      </w:r>
      <w:r w:rsidRPr="000466EE">
        <w:rPr>
          <w:i/>
          <w:iCs/>
        </w:rPr>
        <w:t>Fugitive emissions</w:t>
      </w:r>
      <w:bookmarkEnd w:id="384"/>
      <w:bookmarkEnd w:id="385"/>
    </w:p>
    <w:tbl>
      <w:tblPr>
        <w:tblW w:w="8505" w:type="dxa"/>
        <w:tblInd w:w="113" w:type="dxa"/>
        <w:tblBorders>
          <w:top w:val="single" w:sz="4" w:space="0" w:color="1B556B"/>
          <w:bottom w:val="single" w:sz="4" w:space="0" w:color="1B556B"/>
          <w:insideH w:val="single" w:sz="4" w:space="0" w:color="1B556B"/>
          <w:insideV w:val="single" w:sz="4" w:space="0" w:color="1B556B"/>
        </w:tblBorders>
        <w:tblLayout w:type="fixed"/>
        <w:tblLook w:val="0420" w:firstRow="1" w:lastRow="0" w:firstColumn="0" w:lastColumn="0" w:noHBand="0" w:noVBand="1"/>
      </w:tblPr>
      <w:tblGrid>
        <w:gridCol w:w="4620"/>
        <w:gridCol w:w="2036"/>
        <w:gridCol w:w="1849"/>
      </w:tblGrid>
      <w:tr w:rsidR="00660978" w:rsidRPr="00CB1C46" w14:paraId="28B7707E" w14:textId="77777777" w:rsidTr="004873FC">
        <w:trPr>
          <w:cantSplit/>
          <w:tblHeader/>
        </w:trPr>
        <w:tc>
          <w:tcPr>
            <w:tcW w:w="2716" w:type="pct"/>
            <w:shd w:val="clear" w:color="auto" w:fill="1B556B"/>
            <w:noWrap/>
            <w:vAlign w:val="bottom"/>
            <w:hideMark/>
          </w:tcPr>
          <w:p w14:paraId="443B5105" w14:textId="77777777" w:rsidR="00660978" w:rsidRPr="00CB1C46" w:rsidRDefault="00660978" w:rsidP="004873FC">
            <w:pPr>
              <w:pStyle w:val="TableTextBold"/>
              <w:keepNext/>
              <w:rPr>
                <w:rFonts w:cs="Calibri"/>
                <w:noProof w:val="0"/>
                <w:color w:val="FFFFFF"/>
              </w:rPr>
            </w:pPr>
            <w:r w:rsidRPr="00CB1C46">
              <w:rPr>
                <w:rFonts w:cs="Calibri"/>
                <w:noProof w:val="0"/>
                <w:color w:val="FFFFFF"/>
              </w:rPr>
              <w:t>Category</w:t>
            </w:r>
          </w:p>
        </w:tc>
        <w:tc>
          <w:tcPr>
            <w:tcW w:w="1197" w:type="pct"/>
            <w:shd w:val="clear" w:color="auto" w:fill="1B556B"/>
            <w:noWrap/>
            <w:vAlign w:val="bottom"/>
            <w:hideMark/>
          </w:tcPr>
          <w:p w14:paraId="32A011D2" w14:textId="77777777" w:rsidR="00660978" w:rsidRPr="00CB1C46" w:rsidRDefault="00660978" w:rsidP="004873FC">
            <w:pPr>
              <w:pStyle w:val="TableTextBold"/>
              <w:keepNext/>
              <w:rPr>
                <w:rFonts w:cs="Calibri"/>
                <w:noProof w:val="0"/>
                <w:color w:val="FFFFFF"/>
              </w:rPr>
            </w:pPr>
            <w:r w:rsidRPr="00CB1C46">
              <w:rPr>
                <w:rFonts w:cs="Calibri"/>
                <w:noProof w:val="0"/>
                <w:color w:val="FFFFFF"/>
              </w:rPr>
              <w:t>CO</w:t>
            </w:r>
            <w:r w:rsidRPr="00CB1C46">
              <w:rPr>
                <w:rFonts w:cs="Calibri"/>
                <w:noProof w:val="0"/>
                <w:color w:val="FFFFFF"/>
                <w:vertAlign w:val="subscript"/>
              </w:rPr>
              <w:t>2</w:t>
            </w:r>
          </w:p>
        </w:tc>
        <w:tc>
          <w:tcPr>
            <w:tcW w:w="1087" w:type="pct"/>
            <w:shd w:val="clear" w:color="auto" w:fill="1B556B"/>
            <w:vAlign w:val="bottom"/>
            <w:hideMark/>
          </w:tcPr>
          <w:p w14:paraId="41D8796F" w14:textId="77777777" w:rsidR="00660978" w:rsidRPr="00CB1C46" w:rsidRDefault="00660978" w:rsidP="004873FC">
            <w:pPr>
              <w:pStyle w:val="TableTextBold"/>
              <w:keepNext/>
              <w:rPr>
                <w:rFonts w:cs="Calibri"/>
                <w:noProof w:val="0"/>
                <w:color w:val="FFFFFF"/>
              </w:rPr>
            </w:pPr>
            <w:r w:rsidRPr="00CB1C46">
              <w:rPr>
                <w:rFonts w:cs="Calibri"/>
                <w:noProof w:val="0"/>
                <w:color w:val="FFFFFF"/>
              </w:rPr>
              <w:t>CH</w:t>
            </w:r>
            <w:r w:rsidRPr="00CB1C46">
              <w:rPr>
                <w:rFonts w:cs="Calibri"/>
                <w:noProof w:val="0"/>
                <w:color w:val="FFFFFF"/>
                <w:vertAlign w:val="subscript"/>
              </w:rPr>
              <w:t>4</w:t>
            </w:r>
          </w:p>
        </w:tc>
      </w:tr>
      <w:tr w:rsidR="00660978" w:rsidRPr="00CB1C46" w14:paraId="1B3805AB" w14:textId="77777777" w:rsidTr="004873FC">
        <w:trPr>
          <w:cantSplit/>
        </w:trPr>
        <w:tc>
          <w:tcPr>
            <w:tcW w:w="2716" w:type="pct"/>
            <w:shd w:val="clear" w:color="auto" w:fill="auto"/>
            <w:noWrap/>
            <w:hideMark/>
          </w:tcPr>
          <w:p w14:paraId="20634B19" w14:textId="77777777" w:rsidR="00660978" w:rsidRPr="00CB1C46" w:rsidRDefault="00660978" w:rsidP="004873FC">
            <w:pPr>
              <w:pStyle w:val="TableText"/>
              <w:spacing w:before="50" w:after="50"/>
              <w:rPr>
                <w:rFonts w:cs="Calibri"/>
              </w:rPr>
            </w:pPr>
            <w:r w:rsidRPr="00CB1C46">
              <w:rPr>
                <w:rFonts w:cs="Calibri"/>
              </w:rPr>
              <w:t>Coal mining and handling – Underground</w:t>
            </w:r>
            <w:r>
              <w:rPr>
                <w:rFonts w:cs="Calibri"/>
              </w:rPr>
              <w:t xml:space="preserve"> mines</w:t>
            </w:r>
          </w:p>
        </w:tc>
        <w:tc>
          <w:tcPr>
            <w:tcW w:w="1197" w:type="pct"/>
            <w:shd w:val="clear" w:color="auto" w:fill="auto"/>
            <w:noWrap/>
            <w:hideMark/>
          </w:tcPr>
          <w:p w14:paraId="1C44AFD6" w14:textId="77777777" w:rsidR="00660978" w:rsidRPr="00CB1C46" w:rsidRDefault="00660978" w:rsidP="004873FC">
            <w:pPr>
              <w:pStyle w:val="TableText"/>
              <w:spacing w:before="50" w:after="50"/>
              <w:rPr>
                <w:rFonts w:cs="Calibri"/>
              </w:rPr>
            </w:pPr>
          </w:p>
        </w:tc>
        <w:tc>
          <w:tcPr>
            <w:tcW w:w="1087" w:type="pct"/>
            <w:shd w:val="clear" w:color="auto" w:fill="auto"/>
            <w:noWrap/>
            <w:hideMark/>
          </w:tcPr>
          <w:p w14:paraId="121A6F99" w14:textId="77777777" w:rsidR="00660978" w:rsidRPr="00CB1C46" w:rsidRDefault="00660978" w:rsidP="004873FC">
            <w:pPr>
              <w:pStyle w:val="TableText"/>
              <w:spacing w:before="50" w:after="50"/>
              <w:rPr>
                <w:rFonts w:cs="Calibri"/>
              </w:rPr>
            </w:pPr>
            <w:r w:rsidRPr="00CB1C46">
              <w:rPr>
                <w:rFonts w:cs="Calibri"/>
              </w:rPr>
              <w:t>Trend</w:t>
            </w:r>
          </w:p>
        </w:tc>
      </w:tr>
      <w:tr w:rsidR="00660978" w:rsidRPr="00CB1C46" w14:paraId="633A4BA8" w14:textId="77777777" w:rsidTr="004873FC">
        <w:trPr>
          <w:cantSplit/>
        </w:trPr>
        <w:tc>
          <w:tcPr>
            <w:tcW w:w="2716" w:type="pct"/>
            <w:shd w:val="clear" w:color="auto" w:fill="auto"/>
            <w:noWrap/>
            <w:hideMark/>
          </w:tcPr>
          <w:p w14:paraId="4F3E36BB" w14:textId="77777777" w:rsidR="00660978" w:rsidRPr="00CB1C46" w:rsidRDefault="00660978" w:rsidP="004873FC">
            <w:pPr>
              <w:pStyle w:val="TableText"/>
              <w:spacing w:before="50" w:after="50"/>
              <w:rPr>
                <w:rFonts w:cs="Calibri"/>
              </w:rPr>
            </w:pPr>
            <w:r w:rsidRPr="00CB1C46">
              <w:rPr>
                <w:rFonts w:cs="Calibri"/>
              </w:rPr>
              <w:t>Natural gas – Distribution</w:t>
            </w:r>
          </w:p>
        </w:tc>
        <w:tc>
          <w:tcPr>
            <w:tcW w:w="1197" w:type="pct"/>
            <w:shd w:val="clear" w:color="auto" w:fill="auto"/>
            <w:noWrap/>
            <w:hideMark/>
          </w:tcPr>
          <w:p w14:paraId="20C673F6" w14:textId="77777777" w:rsidR="00660978" w:rsidRPr="00CB1C46" w:rsidRDefault="00660978" w:rsidP="004873FC">
            <w:pPr>
              <w:pStyle w:val="TableText"/>
              <w:spacing w:before="50" w:after="50"/>
              <w:rPr>
                <w:rFonts w:cs="Calibri"/>
              </w:rPr>
            </w:pPr>
          </w:p>
        </w:tc>
        <w:tc>
          <w:tcPr>
            <w:tcW w:w="1087" w:type="pct"/>
            <w:shd w:val="clear" w:color="auto" w:fill="auto"/>
            <w:noWrap/>
          </w:tcPr>
          <w:p w14:paraId="785B578A" w14:textId="77777777" w:rsidR="00660978" w:rsidRPr="00CB1C46" w:rsidRDefault="00660978" w:rsidP="004873FC">
            <w:pPr>
              <w:pStyle w:val="TableText"/>
              <w:spacing w:before="50" w:after="50"/>
              <w:rPr>
                <w:rFonts w:cs="Calibri"/>
              </w:rPr>
            </w:pPr>
            <w:r w:rsidRPr="00CB1C46">
              <w:rPr>
                <w:rFonts w:cs="Calibri"/>
              </w:rPr>
              <w:t>Level, trend</w:t>
            </w:r>
          </w:p>
        </w:tc>
      </w:tr>
      <w:tr w:rsidR="00660978" w:rsidRPr="00CB1C46" w14:paraId="503E7CC1" w14:textId="77777777" w:rsidTr="004873FC">
        <w:trPr>
          <w:cantSplit/>
        </w:trPr>
        <w:tc>
          <w:tcPr>
            <w:tcW w:w="2716" w:type="pct"/>
            <w:shd w:val="clear" w:color="auto" w:fill="auto"/>
            <w:noWrap/>
          </w:tcPr>
          <w:p w14:paraId="4E75560E" w14:textId="77777777" w:rsidR="00660978" w:rsidRPr="00CB1C46" w:rsidRDefault="00660978" w:rsidP="004873FC">
            <w:pPr>
              <w:pStyle w:val="TableText"/>
              <w:spacing w:before="50" w:after="50"/>
              <w:rPr>
                <w:rFonts w:cs="Calibri"/>
              </w:rPr>
            </w:pPr>
            <w:r w:rsidRPr="00CB1C46">
              <w:rPr>
                <w:rFonts w:cs="Calibri"/>
              </w:rPr>
              <w:t>Venting – Gas</w:t>
            </w:r>
          </w:p>
        </w:tc>
        <w:tc>
          <w:tcPr>
            <w:tcW w:w="1197" w:type="pct"/>
            <w:shd w:val="clear" w:color="auto" w:fill="auto"/>
            <w:noWrap/>
          </w:tcPr>
          <w:p w14:paraId="067331C1" w14:textId="77777777" w:rsidR="00660978" w:rsidRPr="00CB1C46" w:rsidRDefault="00660978" w:rsidP="004873FC">
            <w:pPr>
              <w:pStyle w:val="TableText"/>
              <w:spacing w:before="50" w:after="50"/>
              <w:rPr>
                <w:rFonts w:cs="Calibri"/>
              </w:rPr>
            </w:pPr>
            <w:r w:rsidRPr="00CB1C46">
              <w:rPr>
                <w:rFonts w:cs="Calibri"/>
              </w:rPr>
              <w:t>Level, trend</w:t>
            </w:r>
          </w:p>
        </w:tc>
        <w:tc>
          <w:tcPr>
            <w:tcW w:w="1087" w:type="pct"/>
            <w:shd w:val="clear" w:color="auto" w:fill="auto"/>
            <w:noWrap/>
          </w:tcPr>
          <w:p w14:paraId="0C48645A" w14:textId="77777777" w:rsidR="00660978" w:rsidRPr="00CB1C46" w:rsidRDefault="00660978" w:rsidP="004873FC">
            <w:pPr>
              <w:pStyle w:val="TableText"/>
              <w:spacing w:before="50" w:after="50"/>
              <w:rPr>
                <w:rFonts w:cs="Calibri"/>
              </w:rPr>
            </w:pPr>
          </w:p>
        </w:tc>
      </w:tr>
      <w:tr w:rsidR="00660978" w:rsidRPr="00CB1C46" w14:paraId="75D8A116" w14:textId="77777777" w:rsidTr="004873FC">
        <w:trPr>
          <w:cantSplit/>
        </w:trPr>
        <w:tc>
          <w:tcPr>
            <w:tcW w:w="2716" w:type="pct"/>
            <w:shd w:val="clear" w:color="auto" w:fill="auto"/>
            <w:noWrap/>
          </w:tcPr>
          <w:p w14:paraId="0844CA77" w14:textId="77777777" w:rsidR="00660978" w:rsidRPr="00CB1C46" w:rsidRDefault="00660978" w:rsidP="004873FC">
            <w:pPr>
              <w:pStyle w:val="TableText"/>
              <w:spacing w:before="50" w:after="50"/>
              <w:rPr>
                <w:rFonts w:cs="Calibri"/>
              </w:rPr>
            </w:pPr>
            <w:r w:rsidRPr="00CB1C46">
              <w:rPr>
                <w:rFonts w:cs="Calibri"/>
              </w:rPr>
              <w:t>Other – Geothermal</w:t>
            </w:r>
          </w:p>
        </w:tc>
        <w:tc>
          <w:tcPr>
            <w:tcW w:w="1197" w:type="pct"/>
            <w:shd w:val="clear" w:color="auto" w:fill="auto"/>
            <w:noWrap/>
          </w:tcPr>
          <w:p w14:paraId="5217DC3F" w14:textId="77777777" w:rsidR="00660978" w:rsidRPr="00CB1C46" w:rsidRDefault="00660978" w:rsidP="004873FC">
            <w:pPr>
              <w:pStyle w:val="TableText"/>
              <w:spacing w:before="50" w:after="50"/>
              <w:rPr>
                <w:rFonts w:cs="Calibri"/>
              </w:rPr>
            </w:pPr>
            <w:r w:rsidRPr="00CB1C46">
              <w:rPr>
                <w:rFonts w:cs="Calibri"/>
              </w:rPr>
              <w:t>Level, trend</w:t>
            </w:r>
          </w:p>
        </w:tc>
        <w:tc>
          <w:tcPr>
            <w:tcW w:w="1087" w:type="pct"/>
            <w:shd w:val="clear" w:color="auto" w:fill="auto"/>
            <w:noWrap/>
          </w:tcPr>
          <w:p w14:paraId="78692C62" w14:textId="77777777" w:rsidR="00660978" w:rsidRPr="00CB1C46" w:rsidRDefault="00660978" w:rsidP="004873FC">
            <w:pPr>
              <w:pStyle w:val="TableText"/>
              <w:spacing w:before="50" w:after="50"/>
              <w:rPr>
                <w:rFonts w:cs="Calibri"/>
              </w:rPr>
            </w:pPr>
          </w:p>
        </w:tc>
      </w:tr>
    </w:tbl>
    <w:p w14:paraId="12A8C201" w14:textId="77777777" w:rsidR="00660978" w:rsidRPr="00CB1C46" w:rsidRDefault="00660978" w:rsidP="00660978">
      <w:pPr>
        <w:pStyle w:val="Heading3"/>
        <w:spacing w:before="480"/>
        <w:rPr>
          <w:rFonts w:cs="Calibri"/>
        </w:rPr>
      </w:pPr>
      <w:r w:rsidRPr="00CB1C46">
        <w:rPr>
          <w:rFonts w:cs="Calibri"/>
        </w:rPr>
        <w:t>3.4.1</w:t>
      </w:r>
      <w:r w:rsidRPr="00CB1C46">
        <w:rPr>
          <w:rFonts w:cs="Calibri"/>
        </w:rPr>
        <w:tab/>
        <w:t>Fugitive emissions from fuels: Solid fuels (CRF 1.B.1)</w:t>
      </w:r>
    </w:p>
    <w:p w14:paraId="6F276153" w14:textId="77777777" w:rsidR="00660978" w:rsidRPr="00CB1C46" w:rsidRDefault="00660978" w:rsidP="00660978">
      <w:pPr>
        <w:pStyle w:val="Heading4"/>
        <w:spacing w:before="160"/>
      </w:pPr>
      <w:r w:rsidRPr="00CB1C46">
        <w:rPr>
          <w:lang w:eastAsia="en-GB"/>
        </w:rPr>
        <w:t>Description</w:t>
      </w:r>
    </w:p>
    <w:p w14:paraId="54CD997F" w14:textId="77777777" w:rsidR="00660978" w:rsidRPr="00CB1C46" w:rsidRDefault="00660978" w:rsidP="00660978">
      <w:pPr>
        <w:pStyle w:val="BodyText"/>
        <w:spacing w:before="100"/>
        <w:rPr>
          <w:rFonts w:cs="Calibri"/>
          <w:lang w:eastAsia="en-GB"/>
        </w:rPr>
      </w:pPr>
      <w:r w:rsidRPr="00CB1C46">
        <w:rPr>
          <w:rFonts w:cs="Calibri"/>
          <w:lang w:eastAsia="en-GB"/>
        </w:rPr>
        <w:t xml:space="preserve">In </w:t>
      </w:r>
      <w:r w:rsidRPr="00CB1C46">
        <w:rPr>
          <w:rFonts w:cs="Calibri"/>
        </w:rPr>
        <w:t>2020</w:t>
      </w:r>
      <w:r w:rsidRPr="00CB1C46">
        <w:rPr>
          <w:rFonts w:cs="Calibri"/>
          <w:lang w:eastAsia="en-GB"/>
        </w:rPr>
        <w:t xml:space="preserve">, fugitive emissions from the </w:t>
      </w:r>
      <w:r w:rsidRPr="00CB1C46">
        <w:rPr>
          <w:rFonts w:cs="Calibri"/>
          <w:i/>
          <w:lang w:eastAsia="en-GB"/>
        </w:rPr>
        <w:t>Solid fuels</w:t>
      </w:r>
      <w:r w:rsidRPr="00CB1C46">
        <w:rPr>
          <w:rFonts w:cs="Calibri"/>
          <w:lang w:eastAsia="en-GB"/>
        </w:rPr>
        <w:t xml:space="preserve"> category accounted for </w:t>
      </w:r>
      <w:r w:rsidRPr="00CB1C46">
        <w:rPr>
          <w:rFonts w:cs="Calibri"/>
        </w:rPr>
        <w:t xml:space="preserve">61.4 </w:t>
      </w:r>
      <w:r w:rsidRPr="00CB1C46">
        <w:rPr>
          <w:rFonts w:cs="Calibri"/>
          <w:lang w:eastAsia="en-GB"/>
        </w:rPr>
        <w:t>kt CO</w:t>
      </w:r>
      <w:r w:rsidRPr="00CB1C46">
        <w:rPr>
          <w:rFonts w:cs="Calibri"/>
          <w:vertAlign w:val="subscript"/>
          <w:lang w:eastAsia="en-GB"/>
        </w:rPr>
        <w:t>2</w:t>
      </w:r>
      <w:r w:rsidRPr="00CB1C46">
        <w:rPr>
          <w:rFonts w:cs="Calibri"/>
          <w:lang w:eastAsia="en-GB"/>
        </w:rPr>
        <w:t>-e (</w:t>
      </w:r>
      <w:r w:rsidRPr="00CB1C46">
        <w:rPr>
          <w:rFonts w:cs="Calibri"/>
        </w:rPr>
        <w:t>4.6 per cent</w:t>
      </w:r>
      <w:r w:rsidRPr="00CB1C46">
        <w:rPr>
          <w:rFonts w:cs="Calibri"/>
          <w:lang w:eastAsia="en-GB"/>
        </w:rPr>
        <w:t xml:space="preserve">) of emissions from the </w:t>
      </w:r>
      <w:r w:rsidRPr="00CB1C46">
        <w:rPr>
          <w:rFonts w:cs="Calibri"/>
          <w:i/>
          <w:lang w:eastAsia="en-GB"/>
        </w:rPr>
        <w:t>Fugitive emissions</w:t>
      </w:r>
      <w:r w:rsidRPr="00CB1C46">
        <w:rPr>
          <w:rFonts w:cs="Calibri"/>
          <w:lang w:eastAsia="en-GB"/>
        </w:rPr>
        <w:t xml:space="preserve"> category. This is 266.7 kt CO</w:t>
      </w:r>
      <w:r w:rsidRPr="00CB1C46">
        <w:rPr>
          <w:rFonts w:cs="Calibri"/>
          <w:vertAlign w:val="subscript"/>
          <w:lang w:eastAsia="en-GB"/>
        </w:rPr>
        <w:t>2</w:t>
      </w:r>
      <w:r w:rsidRPr="00CB1C46">
        <w:rPr>
          <w:rFonts w:cs="Calibri"/>
          <w:lang w:eastAsia="en-GB"/>
        </w:rPr>
        <w:t>-e (</w:t>
      </w:r>
      <w:r w:rsidRPr="00CB1C46">
        <w:rPr>
          <w:rFonts w:cs="Calibri"/>
        </w:rPr>
        <w:t>81.3 per cent</w:t>
      </w:r>
      <w:r w:rsidRPr="00CB1C46">
        <w:rPr>
          <w:rFonts w:cs="Calibri"/>
          <w:lang w:eastAsia="en-GB"/>
        </w:rPr>
        <w:t xml:space="preserve">) lower than the </w:t>
      </w:r>
      <w:r w:rsidRPr="00CB1C46">
        <w:rPr>
          <w:rFonts w:cs="Calibri"/>
        </w:rPr>
        <w:t xml:space="preserve">328.0 </w:t>
      </w:r>
      <w:r w:rsidRPr="00CB1C46">
        <w:rPr>
          <w:rFonts w:cs="Calibri"/>
          <w:lang w:eastAsia="en-GB"/>
        </w:rPr>
        <w:t>kt CO</w:t>
      </w:r>
      <w:r w:rsidRPr="00CB1C46">
        <w:rPr>
          <w:rFonts w:cs="Calibri"/>
          <w:vertAlign w:val="subscript"/>
          <w:lang w:eastAsia="en-GB"/>
        </w:rPr>
        <w:t>2</w:t>
      </w:r>
      <w:r w:rsidRPr="00CB1C46">
        <w:rPr>
          <w:rFonts w:cs="Calibri"/>
          <w:lang w:eastAsia="en-GB"/>
        </w:rPr>
        <w:t>-e reported for 1990.</w:t>
      </w:r>
    </w:p>
    <w:p w14:paraId="6E869026" w14:textId="77777777" w:rsidR="00660978" w:rsidRPr="00CB1C46" w:rsidRDefault="00660978" w:rsidP="00660978">
      <w:pPr>
        <w:pStyle w:val="BodyText"/>
        <w:spacing w:before="100"/>
        <w:rPr>
          <w:rFonts w:cs="Calibri"/>
          <w:lang w:eastAsia="en-GB"/>
        </w:rPr>
      </w:pPr>
      <w:r w:rsidRPr="00CB1C46">
        <w:rPr>
          <w:rFonts w:cs="Calibri"/>
          <w:lang w:eastAsia="en-GB"/>
        </w:rPr>
        <w:t xml:space="preserve">Between </w:t>
      </w:r>
      <w:r w:rsidRPr="00CB1C46">
        <w:rPr>
          <w:rFonts w:cs="Calibri"/>
        </w:rPr>
        <w:t xml:space="preserve">2019 </w:t>
      </w:r>
      <w:r w:rsidRPr="00CB1C46">
        <w:rPr>
          <w:rFonts w:cs="Calibri"/>
          <w:lang w:eastAsia="en-GB"/>
        </w:rPr>
        <w:t xml:space="preserve">and </w:t>
      </w:r>
      <w:r w:rsidRPr="00CB1C46">
        <w:rPr>
          <w:rFonts w:cs="Calibri"/>
        </w:rPr>
        <w:t>2020</w:t>
      </w:r>
      <w:r w:rsidRPr="00CB1C46">
        <w:rPr>
          <w:rFonts w:cs="Calibri"/>
          <w:lang w:eastAsia="en-GB"/>
        </w:rPr>
        <w:t xml:space="preserve">, fugitive emissions from the </w:t>
      </w:r>
      <w:r w:rsidRPr="00CB1C46">
        <w:rPr>
          <w:rFonts w:cs="Calibri"/>
          <w:i/>
          <w:lang w:eastAsia="en-GB"/>
        </w:rPr>
        <w:t>Solid fuels</w:t>
      </w:r>
      <w:r w:rsidRPr="00CB1C46">
        <w:rPr>
          <w:rFonts w:cs="Calibri"/>
          <w:lang w:eastAsia="en-GB"/>
        </w:rPr>
        <w:t xml:space="preserve"> category </w:t>
      </w:r>
      <w:r w:rsidRPr="00CB1C46">
        <w:rPr>
          <w:rFonts w:cs="Calibri"/>
        </w:rPr>
        <w:t>decreased by 4.7 </w:t>
      </w:r>
      <w:r w:rsidRPr="00CB1C46">
        <w:rPr>
          <w:rFonts w:cs="Calibri"/>
          <w:lang w:eastAsia="en-GB"/>
        </w:rPr>
        <w:t>kt CO</w:t>
      </w:r>
      <w:r w:rsidRPr="00CB1C46">
        <w:rPr>
          <w:rFonts w:cs="Calibri"/>
          <w:vertAlign w:val="subscript"/>
          <w:lang w:eastAsia="en-GB"/>
        </w:rPr>
        <w:t>2</w:t>
      </w:r>
      <w:r w:rsidRPr="00CB1C46">
        <w:rPr>
          <w:rFonts w:cs="Calibri"/>
          <w:lang w:eastAsia="en-GB"/>
        </w:rPr>
        <w:t xml:space="preserve">-e (7.1 </w:t>
      </w:r>
      <w:r w:rsidRPr="00CB1C46">
        <w:rPr>
          <w:rFonts w:cs="Calibri"/>
        </w:rPr>
        <w:t>per cent</w:t>
      </w:r>
      <w:r w:rsidRPr="00CB1C46">
        <w:rPr>
          <w:rFonts w:cs="Calibri"/>
          <w:lang w:eastAsia="en-GB"/>
        </w:rPr>
        <w:t>). This occurred as a result of decreased coal production.</w:t>
      </w:r>
    </w:p>
    <w:p w14:paraId="3B54FB0A" w14:textId="77777777" w:rsidR="00660978" w:rsidRPr="00CB1C46" w:rsidRDefault="00660978" w:rsidP="00660978">
      <w:pPr>
        <w:pStyle w:val="BodyText"/>
        <w:spacing w:before="100"/>
        <w:rPr>
          <w:rFonts w:cs="Calibri"/>
          <w:lang w:eastAsia="en-GB"/>
        </w:rPr>
      </w:pPr>
      <w:r w:rsidRPr="00CB1C46">
        <w:rPr>
          <w:rFonts w:cs="Calibri"/>
          <w:lang w:eastAsia="en-GB"/>
        </w:rPr>
        <w:t xml:space="preserve">New Zealand’s fugitive emissions from the </w:t>
      </w:r>
      <w:r w:rsidRPr="00CB1C46">
        <w:rPr>
          <w:rFonts w:cs="Calibri"/>
          <w:i/>
          <w:lang w:eastAsia="en-GB"/>
        </w:rPr>
        <w:t>Solid fuels</w:t>
      </w:r>
      <w:r w:rsidRPr="00CB1C46">
        <w:rPr>
          <w:rFonts w:cs="Calibri"/>
          <w:lang w:eastAsia="en-GB"/>
        </w:rPr>
        <w:t xml:space="preserve"> category are a by-product of coal mining operations. Methane is created during coal formation. The amount of </w:t>
      </w:r>
      <w:r w:rsidRPr="00CB1C46">
        <w:rPr>
          <w:rFonts w:cs="Calibri"/>
        </w:rPr>
        <w:t>CH</w:t>
      </w:r>
      <w:r w:rsidRPr="00CB1C46">
        <w:rPr>
          <w:rFonts w:cs="Calibri"/>
          <w:vertAlign w:val="subscript"/>
        </w:rPr>
        <w:t>4</w:t>
      </w:r>
      <w:r w:rsidRPr="00CB1C46">
        <w:rPr>
          <w:rFonts w:cs="Calibri"/>
          <w:lang w:eastAsia="en-GB"/>
        </w:rPr>
        <w:t xml:space="preserve"> released during coal mining is dependent on the coal grade and the depth of the coal seam. This includes the emissions from post-underground mining activities such as coal processing, transportation and use. In </w:t>
      </w:r>
      <w:r w:rsidRPr="00CB1C46">
        <w:rPr>
          <w:rFonts w:cs="Calibri"/>
        </w:rPr>
        <w:t>2020</w:t>
      </w:r>
      <w:r w:rsidRPr="00CB1C46">
        <w:rPr>
          <w:rFonts w:cs="Calibri"/>
          <w:lang w:eastAsia="en-GB"/>
        </w:rPr>
        <w:t>, New Zealand coal production was 2.8 million tonnes, similar to production levels in 2016 and 2017. F</w:t>
      </w:r>
      <w:r w:rsidRPr="00CB1C46">
        <w:rPr>
          <w:rFonts w:cs="Calibri"/>
        </w:rPr>
        <w:t>ewer than 20 active coal mines are operating in New Zealand; as of</w:t>
      </w:r>
      <w:r>
        <w:rPr>
          <w:rFonts w:cs="Calibri"/>
        </w:rPr>
        <w:t xml:space="preserve"> </w:t>
      </w:r>
      <w:r w:rsidRPr="00CB1C46">
        <w:rPr>
          <w:rFonts w:cs="Calibri"/>
        </w:rPr>
        <w:t xml:space="preserve">2020, none are underground. The two largest open-cast operations, at Stockton and Rotowaro, account for most national production. For further information and data on the coal mining industry, refer to </w:t>
      </w:r>
      <w:r w:rsidRPr="00CB1C46">
        <w:rPr>
          <w:rFonts w:cs="Calibri"/>
          <w:i/>
        </w:rPr>
        <w:t>Energy in New Zealand</w:t>
      </w:r>
      <w:r w:rsidRPr="00CB1C46">
        <w:rPr>
          <w:rFonts w:cs="Calibri"/>
        </w:rPr>
        <w:t xml:space="preserve"> (MBIE, 2021).</w:t>
      </w:r>
    </w:p>
    <w:p w14:paraId="462F8493" w14:textId="77777777" w:rsidR="00660978" w:rsidRPr="00CB1C46" w:rsidRDefault="00660978" w:rsidP="00660978">
      <w:pPr>
        <w:pStyle w:val="BodyText"/>
        <w:spacing w:before="100"/>
        <w:rPr>
          <w:rFonts w:cs="Calibri"/>
          <w:lang w:eastAsia="en-GB"/>
        </w:rPr>
      </w:pPr>
      <w:r w:rsidRPr="00CB1C46">
        <w:rPr>
          <w:rFonts w:cs="Calibri"/>
          <w:lang w:eastAsia="en-GB"/>
        </w:rPr>
        <w:t xml:space="preserve">At the end of </w:t>
      </w:r>
      <w:r w:rsidRPr="00CB1C46">
        <w:rPr>
          <w:rFonts w:cs="Calibri"/>
        </w:rPr>
        <w:t>2020</w:t>
      </w:r>
      <w:r w:rsidRPr="00CB1C46">
        <w:rPr>
          <w:rFonts w:cs="Calibri"/>
          <w:lang w:eastAsia="en-GB"/>
        </w:rPr>
        <w:t xml:space="preserve">, no known flaring or capture of </w:t>
      </w:r>
      <w:r w:rsidRPr="00CB1C46">
        <w:rPr>
          <w:rFonts w:cs="Calibri"/>
        </w:rPr>
        <w:t>CH</w:t>
      </w:r>
      <w:r w:rsidRPr="00CB1C46">
        <w:rPr>
          <w:rFonts w:cs="Calibri"/>
          <w:vertAlign w:val="subscript"/>
        </w:rPr>
        <w:t>4</w:t>
      </w:r>
      <w:r w:rsidRPr="00CB1C46">
        <w:rPr>
          <w:rFonts w:cs="Calibri"/>
        </w:rPr>
        <w:t xml:space="preserve"> was occurring </w:t>
      </w:r>
      <w:r w:rsidRPr="00CB1C46">
        <w:rPr>
          <w:rFonts w:cs="Calibri"/>
          <w:lang w:eastAsia="en-GB"/>
        </w:rPr>
        <w:t>at coal mines in New Zealand. Pilot schemes of both coal seam gas and underground coal gasification began in 2012, but these projects have not progressed.</w:t>
      </w:r>
    </w:p>
    <w:p w14:paraId="27FDE25B" w14:textId="77777777" w:rsidR="00660978" w:rsidRPr="00CB1C46" w:rsidRDefault="00660978" w:rsidP="00660978">
      <w:pPr>
        <w:pStyle w:val="Heading4"/>
        <w:rPr>
          <w:lang w:eastAsia="en-GB"/>
        </w:rPr>
      </w:pPr>
      <w:r w:rsidRPr="00CB1C46">
        <w:rPr>
          <w:lang w:eastAsia="en-GB"/>
        </w:rPr>
        <w:t>Methodological issues</w:t>
      </w:r>
    </w:p>
    <w:p w14:paraId="51E18690" w14:textId="77777777" w:rsidR="00660978" w:rsidRPr="00CB1C46" w:rsidRDefault="00660978" w:rsidP="00660978">
      <w:pPr>
        <w:pStyle w:val="BodyText"/>
        <w:spacing w:after="100"/>
        <w:rPr>
          <w:rFonts w:cs="Calibri"/>
          <w:lang w:eastAsia="ko-KR"/>
        </w:rPr>
      </w:pPr>
      <w:r w:rsidRPr="00CB1C46">
        <w:rPr>
          <w:rFonts w:cs="Calibri"/>
          <w:lang w:eastAsia="en-GB"/>
        </w:rPr>
        <w:t xml:space="preserve">The New Zealand-specific emission factor for underground mining of sub-bituminous coal is used to calculate </w:t>
      </w:r>
      <w:r w:rsidRPr="00CB1C46">
        <w:rPr>
          <w:rFonts w:cs="Calibri"/>
        </w:rPr>
        <w:t>CH</w:t>
      </w:r>
      <w:r w:rsidRPr="00CB1C46">
        <w:rPr>
          <w:rFonts w:cs="Calibri"/>
          <w:vertAlign w:val="subscript"/>
        </w:rPr>
        <w:t>4</w:t>
      </w:r>
      <w:r w:rsidRPr="00CB1C46">
        <w:rPr>
          <w:rFonts w:cs="Calibri"/>
          <w:sz w:val="14"/>
          <w:szCs w:val="14"/>
          <w:lang w:eastAsia="en-GB"/>
        </w:rPr>
        <w:t xml:space="preserve"> </w:t>
      </w:r>
      <w:r w:rsidRPr="00CB1C46">
        <w:rPr>
          <w:rFonts w:cs="Calibri"/>
          <w:lang w:eastAsia="en-GB"/>
        </w:rPr>
        <w:t>emissions (Beamish and Vance, 1992). T</w:t>
      </w:r>
      <w:r w:rsidRPr="00CB1C46">
        <w:rPr>
          <w:rFonts w:cs="Calibri"/>
          <w:lang w:eastAsia="ko-KR"/>
        </w:rPr>
        <w:t>he sub-bituminous emission factor derived from Beamish and Vance is considered to be reliable because the emission factor (12.1 tonnes per kilotonne (t/kt)) is:</w:t>
      </w:r>
    </w:p>
    <w:p w14:paraId="53F4236B" w14:textId="77777777" w:rsidR="00660978" w:rsidRPr="00CB1C46" w:rsidRDefault="00660978" w:rsidP="00660978">
      <w:pPr>
        <w:pStyle w:val="Sub-lista"/>
        <w:spacing w:after="100"/>
      </w:pPr>
      <w:r w:rsidRPr="00CB1C46">
        <w:t>well within the 2006 IPCC default range of 6.7–16.75 t/kt</w:t>
      </w:r>
    </w:p>
    <w:p w14:paraId="57FFA94B" w14:textId="77777777" w:rsidR="00660978" w:rsidRPr="00CB1C46" w:rsidRDefault="00660978" w:rsidP="00660978">
      <w:pPr>
        <w:pStyle w:val="Sub-lista"/>
        <w:spacing w:after="100"/>
      </w:pPr>
      <w:r w:rsidRPr="00CB1C46">
        <w:t>largely based on data for the most significant sub-bituminous coal mine in New Zealand (Huntly East mine), which has continued production since 1988 and has remained the most significant producing mine.</w:t>
      </w:r>
    </w:p>
    <w:p w14:paraId="060E91E5" w14:textId="77777777" w:rsidR="00660978" w:rsidRPr="00CB1C46" w:rsidRDefault="00660978" w:rsidP="00660978">
      <w:pPr>
        <w:pStyle w:val="BodyText"/>
        <w:spacing w:after="100"/>
        <w:rPr>
          <w:rFonts w:cs="Calibri"/>
          <w:lang w:eastAsia="ko-KR"/>
        </w:rPr>
      </w:pPr>
      <w:r w:rsidRPr="00CB1C46">
        <w:rPr>
          <w:rFonts w:cs="Calibri"/>
          <w:lang w:eastAsia="ko-KR"/>
        </w:rPr>
        <w:t>The emission factor for underground mining of bituminous coal is taken from the 2006 IPCC Guidelines. It is noted that any bituminous emission factor derived from Beamish and Vance (1992) would not be reliable, and should not be used, for the following reasons.</w:t>
      </w:r>
    </w:p>
    <w:p w14:paraId="77FFA407" w14:textId="77777777" w:rsidR="00660978" w:rsidRPr="00CB1C46" w:rsidRDefault="00660978" w:rsidP="00063737">
      <w:pPr>
        <w:pStyle w:val="Sub-lista"/>
        <w:numPr>
          <w:ilvl w:val="0"/>
          <w:numId w:val="31"/>
        </w:numPr>
        <w:spacing w:after="100"/>
      </w:pPr>
      <w:r w:rsidRPr="00CB1C46">
        <w:t>The derived emission factor (35.28 t CH</w:t>
      </w:r>
      <w:r w:rsidRPr="00CB1C46">
        <w:rPr>
          <w:vertAlign w:val="subscript"/>
        </w:rPr>
        <w:t>4</w:t>
      </w:r>
      <w:r w:rsidRPr="00CB1C46">
        <w:t>/kt) is more than double the high default 2006 IPCC value. Using such an emission factor that is so far out of line with the default values would require a strong justification.</w:t>
      </w:r>
    </w:p>
    <w:p w14:paraId="25449655" w14:textId="77777777" w:rsidR="00660978" w:rsidRPr="00CB1C46" w:rsidRDefault="00660978" w:rsidP="00660978">
      <w:pPr>
        <w:pStyle w:val="Sub-lista"/>
        <w:spacing w:after="100"/>
      </w:pPr>
      <w:r w:rsidRPr="00CB1C46">
        <w:lastRenderedPageBreak/>
        <w:t>New Zealand already has the highest implied emission factor for underground mining among Annex I Parties. Dramatically increasing the emission factor further still would not be in the interests of comparability.</w:t>
      </w:r>
    </w:p>
    <w:p w14:paraId="53480309" w14:textId="77777777" w:rsidR="00660978" w:rsidRPr="00CB1C46" w:rsidRDefault="00660978" w:rsidP="00660978">
      <w:pPr>
        <w:pStyle w:val="Sub-lista"/>
        <w:spacing w:after="100"/>
      </w:pPr>
      <w:r w:rsidRPr="00CB1C46">
        <w:t>The bituminous data are based on production (in 1988) of only 125 kt and so represent a very small sample size (compared with the sub-bituminous mines, where the data are based on production of 655 kt). The small sample size significantly increases the uncertainty.</w:t>
      </w:r>
    </w:p>
    <w:p w14:paraId="0CA9470A" w14:textId="77777777" w:rsidR="00660978" w:rsidRPr="00CB1C46" w:rsidRDefault="00660978" w:rsidP="00660978">
      <w:pPr>
        <w:pStyle w:val="Sub-lista"/>
      </w:pPr>
      <w:r w:rsidRPr="00CB1C46">
        <w:t>Beamish and Vance’s study is based on data from 1988, for just eight bituminous coal mines. These data are out of date, because all of these mines are no longer producing, and bituminous coal production comes from entirely different underground mines, to which the suggested emission factors may not be applicable.</w:t>
      </w:r>
    </w:p>
    <w:p w14:paraId="55170B25" w14:textId="77777777" w:rsidR="00660978" w:rsidRPr="00CB1C46" w:rsidRDefault="00660978" w:rsidP="00660978">
      <w:pPr>
        <w:pStyle w:val="BodyText"/>
        <w:rPr>
          <w:rFonts w:cs="Calibri"/>
          <w:lang w:eastAsia="en-GB"/>
        </w:rPr>
      </w:pPr>
      <w:r w:rsidRPr="00CB1C46">
        <w:rPr>
          <w:rFonts w:cs="Calibri"/>
          <w:lang w:eastAsia="en-GB"/>
        </w:rPr>
        <w:t>Emission factors for the other subcategories, for example, surface mining, are sourced from the 2006 IPCC Guidelines.</w:t>
      </w:r>
    </w:p>
    <w:p w14:paraId="70137357" w14:textId="77777777" w:rsidR="00660978" w:rsidRPr="00CB1C46" w:rsidRDefault="00660978" w:rsidP="00660978">
      <w:pPr>
        <w:pStyle w:val="Heading5"/>
        <w:rPr>
          <w:rFonts w:cs="Calibri"/>
          <w:lang w:eastAsia="en-GB"/>
        </w:rPr>
      </w:pPr>
      <w:r w:rsidRPr="00CB1C46">
        <w:rPr>
          <w:rFonts w:cs="Calibri"/>
          <w:lang w:eastAsia="en-GB"/>
        </w:rPr>
        <w:t>Activity data</w:t>
      </w:r>
    </w:p>
    <w:p w14:paraId="353CB5D6" w14:textId="77777777" w:rsidR="00660978" w:rsidRPr="00CB1C46" w:rsidRDefault="00660978" w:rsidP="00660978">
      <w:pPr>
        <w:pStyle w:val="BodyText"/>
        <w:rPr>
          <w:rFonts w:cs="Calibri"/>
          <w:lang w:eastAsia="en-GB"/>
        </w:rPr>
      </w:pPr>
      <w:r w:rsidRPr="00CB1C46">
        <w:rPr>
          <w:rFonts w:cs="Calibri"/>
          <w:lang w:eastAsia="en-GB"/>
        </w:rPr>
        <w:t>Activity data for this category are collected from MBIE’s coal production survey. This survey gathers quarterly data on coal production by mine type (underground and/or surface) and rank (coking, bituminous, sub-bituminous, lignite).</w:t>
      </w:r>
    </w:p>
    <w:p w14:paraId="75189580" w14:textId="77777777" w:rsidR="00660978" w:rsidRPr="00CB1C46" w:rsidRDefault="00660978" w:rsidP="00660978">
      <w:pPr>
        <w:pStyle w:val="Heading5"/>
        <w:rPr>
          <w:rFonts w:cs="Calibri"/>
          <w:lang w:eastAsia="en-GB"/>
        </w:rPr>
      </w:pPr>
      <w:r w:rsidRPr="00CB1C46">
        <w:rPr>
          <w:rFonts w:cs="Calibri"/>
          <w:lang w:eastAsia="en-GB"/>
        </w:rPr>
        <w:t>Abandoned underground mines (1.B.1.a.1.iii)</w:t>
      </w:r>
    </w:p>
    <w:p w14:paraId="4B2C49A2" w14:textId="77777777" w:rsidR="00660978" w:rsidRPr="00CB1C46" w:rsidRDefault="00660978" w:rsidP="00660978">
      <w:pPr>
        <w:pStyle w:val="BodyText"/>
        <w:spacing w:before="100" w:after="100"/>
      </w:pPr>
      <w:r w:rsidRPr="00CB1C46">
        <w:rPr>
          <w:rFonts w:cs="Calibri"/>
          <w:lang w:eastAsia="en-GB"/>
        </w:rPr>
        <w:t>MBIE has been conducting an investigation (including seeking expert advice) to ascertain whether or not activity in this category is occurring. According to the 2006 IPCC Guidelines, mines of only a few acres in size should be disregarded, and, additionally, non-gassy mines and flooded mines are presumed to have negligible emissions. Most New Zealand mines are small by European standards and can be disregarded. The first stage of the project was completed in</w:t>
      </w:r>
      <w:r>
        <w:rPr>
          <w:rFonts w:cs="Calibri"/>
          <w:lang w:eastAsia="en-GB"/>
        </w:rPr>
        <w:t xml:space="preserve"> </w:t>
      </w:r>
      <w:r w:rsidRPr="00CB1C46">
        <w:rPr>
          <w:rFonts w:cs="Calibri"/>
          <w:lang w:eastAsia="en-GB"/>
        </w:rPr>
        <w:t xml:space="preserve">2016 and concluded that the activity is not occurring (NO) in the North Island: details are given in table 3.4.2. The second stage of the project, focusing on collating and digitising mine data for the South Island, commenced in December 2019 and is ongoing. A mine plans database has been made available online </w:t>
      </w:r>
      <w:r w:rsidRPr="00CB1C46">
        <w:t>(https://mineplans.nzpam.govt.nz), although this is still a work in progress. An online exploration database is also available (</w:t>
      </w:r>
      <w:hyperlink r:id="rId74" w:history="1">
        <w:r w:rsidRPr="00F6651A">
          <w:rPr>
            <w:rStyle w:val="Hyperlink"/>
          </w:rPr>
          <w:t>https://data.nzpam.govt.nz/GOLD/ system/mainframe.asp</w:t>
        </w:r>
      </w:hyperlink>
      <w:r w:rsidRPr="00CB1C46">
        <w:t>).</w:t>
      </w:r>
    </w:p>
    <w:p w14:paraId="7D11A8AF" w14:textId="77777777" w:rsidR="00660978" w:rsidRPr="00CB1C46" w:rsidRDefault="00660978" w:rsidP="00660978">
      <w:pPr>
        <w:pStyle w:val="BodyText"/>
        <w:spacing w:before="100" w:after="100"/>
        <w:rPr>
          <w:rFonts w:cs="Calibri"/>
          <w:lang w:eastAsia="en-GB"/>
        </w:rPr>
      </w:pPr>
      <w:r w:rsidRPr="00CB1C46">
        <w:rPr>
          <w:rFonts w:cs="Calibri"/>
          <w:lang w:eastAsia="en-GB"/>
        </w:rPr>
        <w:t>During 2021, a contractor was employed to review all the coal reports within MBIE’s online coal mine databases and record the following details:</w:t>
      </w:r>
    </w:p>
    <w:p w14:paraId="298143CD" w14:textId="77777777" w:rsidR="00660978" w:rsidRPr="00CB1C46" w:rsidRDefault="00660978" w:rsidP="00660978">
      <w:pPr>
        <w:pStyle w:val="Bullet"/>
        <w:spacing w:after="100"/>
      </w:pPr>
      <w:r w:rsidRPr="00CB1C46">
        <w:t>mine name</w:t>
      </w:r>
    </w:p>
    <w:p w14:paraId="5F12DD9F" w14:textId="77777777" w:rsidR="00660978" w:rsidRPr="00CB1C46" w:rsidRDefault="00660978" w:rsidP="00660978">
      <w:pPr>
        <w:pStyle w:val="Bullet"/>
        <w:spacing w:after="100"/>
      </w:pPr>
      <w:r w:rsidRPr="00CB1C46">
        <w:t>mine number</w:t>
      </w:r>
    </w:p>
    <w:p w14:paraId="71CD07E8" w14:textId="77777777" w:rsidR="00660978" w:rsidRPr="00CB1C46" w:rsidRDefault="00660978" w:rsidP="00660978">
      <w:pPr>
        <w:pStyle w:val="Bullet"/>
        <w:spacing w:after="100"/>
      </w:pPr>
      <w:r w:rsidRPr="00CB1C46">
        <w:t>coalfield</w:t>
      </w:r>
    </w:p>
    <w:p w14:paraId="61B545BE" w14:textId="77777777" w:rsidR="00660978" w:rsidRPr="00CB1C46" w:rsidRDefault="00660978" w:rsidP="00660978">
      <w:pPr>
        <w:pStyle w:val="Bullet"/>
        <w:spacing w:after="100"/>
      </w:pPr>
      <w:r w:rsidRPr="00CB1C46">
        <w:t>mining method</w:t>
      </w:r>
    </w:p>
    <w:p w14:paraId="02416A9C" w14:textId="77777777" w:rsidR="00660978" w:rsidRPr="00CB1C46" w:rsidRDefault="00660978" w:rsidP="00660978">
      <w:pPr>
        <w:pStyle w:val="Bullet"/>
        <w:spacing w:after="100"/>
      </w:pPr>
      <w:r w:rsidRPr="00CB1C46">
        <w:t>location of the mine (grid reference or coordinates)</w:t>
      </w:r>
    </w:p>
    <w:p w14:paraId="22A39B52" w14:textId="77777777" w:rsidR="00660978" w:rsidRPr="00CB1C46" w:rsidRDefault="00660978" w:rsidP="00660978">
      <w:pPr>
        <w:pStyle w:val="Bullet"/>
        <w:spacing w:after="100"/>
      </w:pPr>
      <w:r w:rsidRPr="00CB1C46">
        <w:t>mine start year</w:t>
      </w:r>
    </w:p>
    <w:p w14:paraId="798A588D" w14:textId="77777777" w:rsidR="00660978" w:rsidRPr="00CB1C46" w:rsidRDefault="00660978" w:rsidP="00660978">
      <w:pPr>
        <w:pStyle w:val="Bullet"/>
        <w:spacing w:after="100"/>
      </w:pPr>
      <w:r w:rsidRPr="00CB1C46">
        <w:t>mine closure year</w:t>
      </w:r>
    </w:p>
    <w:p w14:paraId="4B74202B" w14:textId="77777777" w:rsidR="00660978" w:rsidRPr="00CB1C46" w:rsidRDefault="00660978" w:rsidP="00660978">
      <w:pPr>
        <w:pStyle w:val="Bullet"/>
        <w:spacing w:after="100"/>
      </w:pPr>
      <w:r w:rsidRPr="00CB1C46">
        <w:t>details of production</w:t>
      </w:r>
    </w:p>
    <w:p w14:paraId="4102F0B5" w14:textId="77777777" w:rsidR="00660978" w:rsidRPr="00CB1C46" w:rsidRDefault="00660978" w:rsidP="00660978">
      <w:pPr>
        <w:pStyle w:val="Bullet"/>
        <w:spacing w:after="100"/>
      </w:pPr>
      <w:r w:rsidRPr="00CB1C46">
        <w:t>whether the mine was gassy (mentions of problems with gas)</w:t>
      </w:r>
    </w:p>
    <w:p w14:paraId="28D9167D" w14:textId="77777777" w:rsidR="00660978" w:rsidRPr="00CB1C46" w:rsidRDefault="00660978" w:rsidP="00660978">
      <w:pPr>
        <w:pStyle w:val="Bullet"/>
      </w:pPr>
      <w:r w:rsidRPr="00CB1C46">
        <w:t>whether the mine was flooded or had water problems that would indicate it is now flooded.</w:t>
      </w:r>
    </w:p>
    <w:p w14:paraId="2B407EDF" w14:textId="77777777" w:rsidR="00660978" w:rsidRPr="00CB1C46" w:rsidRDefault="00660978" w:rsidP="00660978">
      <w:pPr>
        <w:pStyle w:val="BodyText"/>
        <w:spacing w:before="100" w:after="100"/>
        <w:rPr>
          <w:rFonts w:cs="Calibri"/>
          <w:lang w:eastAsia="en-GB"/>
        </w:rPr>
      </w:pPr>
      <w:r w:rsidRPr="00CB1C46">
        <w:rPr>
          <w:rFonts w:cs="Calibri"/>
          <w:lang w:eastAsia="en-GB"/>
        </w:rPr>
        <w:lastRenderedPageBreak/>
        <w:t xml:space="preserve">A long list of historical mines was collated. Only 63 mines had information on whether the mine is flooded and only 30 mines had information on whether the mine was a gassy mine. Further data collection and processing is still required before it will be usable for a meaningful assessment of fugitive emissions. </w:t>
      </w:r>
      <w:r w:rsidRPr="00CB1C46">
        <w:rPr>
          <w:rFonts w:cs="Arial"/>
        </w:rPr>
        <w:t>To enable a realistic estimate of emissions to be made, further information is required: a) elevation data to determine likely flooded or unflooded status and b) data on mine size to be used in applying a cut-off threshold. The intention is to complete this work in time for the 2023 submission.</w:t>
      </w:r>
    </w:p>
    <w:p w14:paraId="644FF319" w14:textId="77777777" w:rsidR="00660978" w:rsidRPr="00CB1C46" w:rsidRDefault="00660978" w:rsidP="00660978">
      <w:pPr>
        <w:pStyle w:val="BodyText"/>
        <w:spacing w:before="100" w:after="100"/>
        <w:rPr>
          <w:rFonts w:cs="Calibri"/>
          <w:lang w:eastAsia="en-GB"/>
        </w:rPr>
      </w:pPr>
      <w:r w:rsidRPr="00CB1C46">
        <w:rPr>
          <w:rFonts w:cs="Calibri"/>
          <w:lang w:eastAsia="en-GB"/>
        </w:rPr>
        <w:t>Activity data in the form of CH</w:t>
      </w:r>
      <w:r w:rsidRPr="00CB1C46">
        <w:rPr>
          <w:rFonts w:cs="Calibri"/>
          <w:vertAlign w:val="subscript"/>
          <w:lang w:eastAsia="en-GB"/>
        </w:rPr>
        <w:t>4</w:t>
      </w:r>
      <w:r w:rsidRPr="00CB1C46">
        <w:rPr>
          <w:rFonts w:cs="Calibri"/>
          <w:lang w:eastAsia="en-GB"/>
        </w:rPr>
        <w:t xml:space="preserve"> output derived from mine ventilation measurements have been obtained from mine operators for those mines where data exist. Those mines have now closed and are flooded. Source-specific details are not provided, so as to maintain confidentiality. Recovery and/or flaring of CH</w:t>
      </w:r>
      <w:r w:rsidRPr="00CB1C46">
        <w:rPr>
          <w:rFonts w:cs="Calibri"/>
          <w:vertAlign w:val="subscript"/>
          <w:lang w:eastAsia="en-GB"/>
        </w:rPr>
        <w:t>4</w:t>
      </w:r>
      <w:r w:rsidRPr="00CB1C46">
        <w:rPr>
          <w:rFonts w:cs="Calibri"/>
          <w:lang w:eastAsia="en-GB"/>
        </w:rPr>
        <w:t xml:space="preserve"> from abandoned mines does not occur.</w:t>
      </w:r>
    </w:p>
    <w:p w14:paraId="6A2DE7DC" w14:textId="77777777" w:rsidR="00660978" w:rsidRPr="00CB1C46" w:rsidRDefault="00660978" w:rsidP="00660978">
      <w:pPr>
        <w:pStyle w:val="Table"/>
        <w:rPr>
          <w:rFonts w:cs="Calibri"/>
          <w:iCs/>
          <w:lang w:eastAsia="en-GB"/>
        </w:rPr>
      </w:pPr>
      <w:bookmarkStart w:id="386" w:name="_Toc443060848"/>
      <w:bookmarkStart w:id="387" w:name="_Toc451176064"/>
      <w:bookmarkStart w:id="388" w:name="_Toc481751490"/>
      <w:bookmarkStart w:id="389" w:name="_Toc507496593"/>
      <w:bookmarkStart w:id="390" w:name="_Toc36224527"/>
      <w:bookmarkStart w:id="391" w:name="_Toc68786414"/>
      <w:bookmarkStart w:id="392" w:name="_Toc99659222"/>
      <w:r w:rsidRPr="00CB1C46">
        <w:rPr>
          <w:rFonts w:cs="Calibri"/>
        </w:rPr>
        <w:t xml:space="preserve">Table 3.4.2 </w:t>
      </w:r>
      <w:r w:rsidRPr="00CB1C46">
        <w:rPr>
          <w:rFonts w:cs="Calibri"/>
        </w:rPr>
        <w:tab/>
        <w:t>Details of abandoned underground mines in the North Island</w:t>
      </w:r>
      <w:bookmarkEnd w:id="386"/>
      <w:bookmarkEnd w:id="387"/>
      <w:bookmarkEnd w:id="388"/>
      <w:bookmarkEnd w:id="389"/>
      <w:bookmarkEnd w:id="390"/>
      <w:bookmarkEnd w:id="391"/>
      <w:bookmarkEnd w:id="392"/>
      <w:r w:rsidRPr="00CB1C46">
        <w:rPr>
          <w:rFonts w:cs="Calibri"/>
          <w:iCs/>
          <w:lang w:eastAsia="en-GB"/>
        </w:rPr>
        <w:t xml:space="preserve"> </w:t>
      </w:r>
    </w:p>
    <w:tbl>
      <w:tblPr>
        <w:tblW w:w="8505" w:type="dxa"/>
        <w:tblInd w:w="113" w:type="dxa"/>
        <w:tblBorders>
          <w:top w:val="single" w:sz="4" w:space="0" w:color="365F91"/>
          <w:bottom w:val="single" w:sz="4" w:space="0" w:color="365F91"/>
          <w:insideH w:val="single" w:sz="4" w:space="0" w:color="365F91"/>
        </w:tblBorders>
        <w:tblLayout w:type="fixed"/>
        <w:tblCellMar>
          <w:right w:w="85" w:type="dxa"/>
        </w:tblCellMar>
        <w:tblLook w:val="04A0" w:firstRow="1" w:lastRow="0" w:firstColumn="1" w:lastColumn="0" w:noHBand="0" w:noVBand="1"/>
      </w:tblPr>
      <w:tblGrid>
        <w:gridCol w:w="1557"/>
        <w:gridCol w:w="1645"/>
        <w:gridCol w:w="5303"/>
      </w:tblGrid>
      <w:tr w:rsidR="00660978" w:rsidRPr="00CB1C46" w14:paraId="16FC1F5B" w14:textId="77777777" w:rsidTr="004873FC">
        <w:trPr>
          <w:cantSplit/>
        </w:trPr>
        <w:tc>
          <w:tcPr>
            <w:tcW w:w="1474" w:type="dxa"/>
            <w:tcBorders>
              <w:top w:val="single" w:sz="4" w:space="0" w:color="1B556B"/>
              <w:bottom w:val="single" w:sz="4" w:space="0" w:color="1B556B"/>
            </w:tcBorders>
            <w:shd w:val="clear" w:color="auto" w:fill="1B556B"/>
            <w:vAlign w:val="bottom"/>
          </w:tcPr>
          <w:p w14:paraId="7E24E4B2" w14:textId="77777777" w:rsidR="00660978" w:rsidRPr="00CB1C46" w:rsidRDefault="00660978" w:rsidP="004873FC">
            <w:pPr>
              <w:pStyle w:val="TableTextBold"/>
              <w:keepNext/>
              <w:spacing w:before="40" w:after="40"/>
              <w:rPr>
                <w:rFonts w:cs="Calibri"/>
                <w:noProof w:val="0"/>
                <w:color w:val="FFFFFF"/>
              </w:rPr>
            </w:pPr>
            <w:r w:rsidRPr="00CB1C46">
              <w:rPr>
                <w:rFonts w:cs="Calibri"/>
                <w:noProof w:val="0"/>
                <w:color w:val="FFFFFF"/>
              </w:rPr>
              <w:t>Region/coalfield</w:t>
            </w:r>
          </w:p>
        </w:tc>
        <w:tc>
          <w:tcPr>
            <w:tcW w:w="1557" w:type="dxa"/>
            <w:tcBorders>
              <w:top w:val="single" w:sz="4" w:space="0" w:color="1B556B"/>
              <w:bottom w:val="single" w:sz="4" w:space="0" w:color="1B556B"/>
            </w:tcBorders>
            <w:shd w:val="clear" w:color="auto" w:fill="1B556B"/>
            <w:vAlign w:val="bottom"/>
          </w:tcPr>
          <w:p w14:paraId="68667194" w14:textId="77777777" w:rsidR="00660978" w:rsidRPr="00CB1C46" w:rsidRDefault="00660978" w:rsidP="004873FC">
            <w:pPr>
              <w:pStyle w:val="TableTextBold"/>
              <w:spacing w:before="40" w:after="40"/>
              <w:rPr>
                <w:rFonts w:cs="Calibri"/>
                <w:noProof w:val="0"/>
                <w:color w:val="FFFFFF"/>
              </w:rPr>
            </w:pPr>
            <w:r w:rsidRPr="00CB1C46">
              <w:rPr>
                <w:rFonts w:cs="Calibri"/>
                <w:noProof w:val="0"/>
                <w:color w:val="FFFFFF"/>
              </w:rPr>
              <w:t>Significant mine</w:t>
            </w:r>
          </w:p>
        </w:tc>
        <w:tc>
          <w:tcPr>
            <w:tcW w:w="5019" w:type="dxa"/>
            <w:tcBorders>
              <w:top w:val="single" w:sz="4" w:space="0" w:color="1B556B"/>
              <w:bottom w:val="single" w:sz="4" w:space="0" w:color="1B556B"/>
            </w:tcBorders>
            <w:shd w:val="clear" w:color="auto" w:fill="1B556B"/>
            <w:vAlign w:val="bottom"/>
          </w:tcPr>
          <w:p w14:paraId="3D2030C7" w14:textId="77777777" w:rsidR="00660978" w:rsidRPr="00CB1C46" w:rsidRDefault="00660978" w:rsidP="004873FC">
            <w:pPr>
              <w:pStyle w:val="TableTextBold"/>
              <w:spacing w:before="40" w:after="40"/>
              <w:rPr>
                <w:rFonts w:cs="Calibri"/>
                <w:noProof w:val="0"/>
                <w:color w:val="FFFFFF"/>
              </w:rPr>
            </w:pPr>
            <w:r w:rsidRPr="00CB1C46">
              <w:rPr>
                <w:rFonts w:cs="Calibri"/>
                <w:noProof w:val="0"/>
                <w:color w:val="FFFFFF"/>
              </w:rPr>
              <w:t>Status</w:t>
            </w:r>
          </w:p>
        </w:tc>
      </w:tr>
      <w:tr w:rsidR="00660978" w:rsidRPr="00CB1C46" w14:paraId="35BD2153" w14:textId="77777777" w:rsidTr="004873FC">
        <w:trPr>
          <w:cantSplit/>
          <w:trHeight w:val="250"/>
        </w:trPr>
        <w:tc>
          <w:tcPr>
            <w:tcW w:w="1474" w:type="dxa"/>
            <w:tcBorders>
              <w:top w:val="single" w:sz="4" w:space="0" w:color="1B556B"/>
              <w:bottom w:val="single" w:sz="4" w:space="0" w:color="1B556B"/>
            </w:tcBorders>
          </w:tcPr>
          <w:p w14:paraId="614BB076" w14:textId="77777777" w:rsidR="00660978" w:rsidRPr="00CB1C46" w:rsidRDefault="00660978" w:rsidP="004873FC">
            <w:pPr>
              <w:pStyle w:val="TableText"/>
              <w:keepNext/>
              <w:spacing w:before="40" w:after="40"/>
              <w:rPr>
                <w:rFonts w:cs="Calibri"/>
              </w:rPr>
            </w:pPr>
            <w:r w:rsidRPr="00CB1C46">
              <w:rPr>
                <w:rFonts w:cs="Calibri"/>
              </w:rPr>
              <w:t>Northland</w:t>
            </w:r>
          </w:p>
        </w:tc>
        <w:tc>
          <w:tcPr>
            <w:tcW w:w="1557" w:type="dxa"/>
            <w:tcBorders>
              <w:top w:val="single" w:sz="4" w:space="0" w:color="1B556B"/>
              <w:bottom w:val="single" w:sz="4" w:space="0" w:color="1B556B"/>
            </w:tcBorders>
          </w:tcPr>
          <w:p w14:paraId="2FBD86DE" w14:textId="77777777" w:rsidR="00660978" w:rsidRPr="00CB1C46" w:rsidRDefault="00660978" w:rsidP="004873FC">
            <w:pPr>
              <w:pStyle w:val="TableText"/>
              <w:spacing w:before="40" w:after="40"/>
              <w:rPr>
                <w:rFonts w:cs="Calibri"/>
              </w:rPr>
            </w:pPr>
            <w:r w:rsidRPr="00CB1C46">
              <w:rPr>
                <w:rFonts w:cs="Calibri"/>
              </w:rPr>
              <w:t>Kamo</w:t>
            </w:r>
          </w:p>
        </w:tc>
        <w:tc>
          <w:tcPr>
            <w:tcW w:w="5019" w:type="dxa"/>
            <w:tcBorders>
              <w:top w:val="single" w:sz="4" w:space="0" w:color="1B556B"/>
              <w:bottom w:val="single" w:sz="4" w:space="0" w:color="1B556B"/>
            </w:tcBorders>
          </w:tcPr>
          <w:p w14:paraId="14EBD0FC" w14:textId="77777777" w:rsidR="00660978" w:rsidRPr="00CB1C46" w:rsidRDefault="00660978" w:rsidP="004873FC">
            <w:pPr>
              <w:pStyle w:val="TableText"/>
              <w:spacing w:before="40" w:after="40"/>
              <w:rPr>
                <w:rFonts w:cs="Calibri"/>
              </w:rPr>
            </w:pPr>
            <w:r w:rsidRPr="00CB1C46">
              <w:rPr>
                <w:rFonts w:cs="Calibri"/>
              </w:rPr>
              <w:t>Only one significant mine; flooded</w:t>
            </w:r>
          </w:p>
        </w:tc>
      </w:tr>
      <w:tr w:rsidR="00660978" w:rsidRPr="00CB1C46" w14:paraId="17C1BF1E" w14:textId="77777777" w:rsidTr="004873FC">
        <w:trPr>
          <w:cantSplit/>
        </w:trPr>
        <w:tc>
          <w:tcPr>
            <w:tcW w:w="1474" w:type="dxa"/>
            <w:tcBorders>
              <w:top w:val="single" w:sz="4" w:space="0" w:color="1B556B"/>
              <w:bottom w:val="nil"/>
            </w:tcBorders>
          </w:tcPr>
          <w:p w14:paraId="33B43576" w14:textId="77777777" w:rsidR="00660978" w:rsidRPr="00CB1C46" w:rsidRDefault="00660978" w:rsidP="004873FC">
            <w:pPr>
              <w:pStyle w:val="TableText"/>
              <w:spacing w:before="40" w:after="40"/>
              <w:rPr>
                <w:rFonts w:cs="Calibri"/>
              </w:rPr>
            </w:pPr>
            <w:r w:rsidRPr="00CB1C46">
              <w:rPr>
                <w:rFonts w:cs="Calibri"/>
              </w:rPr>
              <w:t>Waikato</w:t>
            </w:r>
          </w:p>
        </w:tc>
        <w:tc>
          <w:tcPr>
            <w:tcW w:w="1557" w:type="dxa"/>
            <w:tcBorders>
              <w:top w:val="single" w:sz="4" w:space="0" w:color="1B556B"/>
              <w:bottom w:val="single" w:sz="4" w:space="0" w:color="1B556B"/>
            </w:tcBorders>
          </w:tcPr>
          <w:p w14:paraId="2373AE36" w14:textId="77777777" w:rsidR="00660978" w:rsidRPr="00CB1C46" w:rsidRDefault="00660978" w:rsidP="004873FC">
            <w:pPr>
              <w:pStyle w:val="TableText"/>
              <w:spacing w:before="40" w:after="40"/>
              <w:rPr>
                <w:rFonts w:cs="Calibri"/>
              </w:rPr>
            </w:pPr>
            <w:r w:rsidRPr="00CB1C46">
              <w:rPr>
                <w:rFonts w:cs="Calibri"/>
              </w:rPr>
              <w:t>Rotowaro mines</w:t>
            </w:r>
          </w:p>
        </w:tc>
        <w:tc>
          <w:tcPr>
            <w:tcW w:w="5019" w:type="dxa"/>
            <w:tcBorders>
              <w:top w:val="single" w:sz="4" w:space="0" w:color="1B556B"/>
              <w:bottom w:val="single" w:sz="4" w:space="0" w:color="1B556B"/>
            </w:tcBorders>
          </w:tcPr>
          <w:p w14:paraId="27EF05E4" w14:textId="77777777" w:rsidR="00660978" w:rsidRPr="00CB1C46" w:rsidRDefault="00660978" w:rsidP="004873FC">
            <w:pPr>
              <w:pStyle w:val="TableText"/>
              <w:spacing w:before="40" w:after="40"/>
              <w:rPr>
                <w:rFonts w:cs="Calibri"/>
              </w:rPr>
            </w:pPr>
            <w:r w:rsidRPr="00CB1C46">
              <w:rPr>
                <w:rFonts w:cs="Calibri"/>
              </w:rPr>
              <w:t>Underground mines either flooded or subsequently open-cast mined</w:t>
            </w:r>
          </w:p>
        </w:tc>
      </w:tr>
      <w:tr w:rsidR="00660978" w:rsidRPr="00CB1C46" w14:paraId="4A4E523C" w14:textId="77777777" w:rsidTr="004873FC">
        <w:trPr>
          <w:cantSplit/>
        </w:trPr>
        <w:tc>
          <w:tcPr>
            <w:tcW w:w="1474" w:type="dxa"/>
            <w:tcBorders>
              <w:top w:val="nil"/>
              <w:bottom w:val="nil"/>
            </w:tcBorders>
          </w:tcPr>
          <w:p w14:paraId="7ECD99B7" w14:textId="77777777" w:rsidR="00660978" w:rsidRPr="00CB1C46" w:rsidRDefault="00660978" w:rsidP="004873FC">
            <w:pPr>
              <w:pStyle w:val="TableText"/>
              <w:spacing w:before="40" w:after="40"/>
              <w:rPr>
                <w:rFonts w:cs="Calibri"/>
              </w:rPr>
            </w:pPr>
          </w:p>
        </w:tc>
        <w:tc>
          <w:tcPr>
            <w:tcW w:w="1557" w:type="dxa"/>
            <w:tcBorders>
              <w:top w:val="single" w:sz="4" w:space="0" w:color="1B556B"/>
              <w:bottom w:val="single" w:sz="4" w:space="0" w:color="1B556B"/>
            </w:tcBorders>
          </w:tcPr>
          <w:p w14:paraId="308F0E0C" w14:textId="77777777" w:rsidR="00660978" w:rsidRPr="00CB1C46" w:rsidRDefault="00660978" w:rsidP="004873FC">
            <w:pPr>
              <w:pStyle w:val="TableText"/>
              <w:spacing w:before="40" w:after="40"/>
              <w:rPr>
                <w:rFonts w:cs="Calibri"/>
              </w:rPr>
            </w:pPr>
            <w:r w:rsidRPr="00CB1C46">
              <w:rPr>
                <w:rFonts w:cs="Calibri"/>
              </w:rPr>
              <w:t>Huntly West</w:t>
            </w:r>
          </w:p>
        </w:tc>
        <w:tc>
          <w:tcPr>
            <w:tcW w:w="5019" w:type="dxa"/>
            <w:tcBorders>
              <w:top w:val="single" w:sz="4" w:space="0" w:color="1B556B"/>
              <w:bottom w:val="single" w:sz="4" w:space="0" w:color="1B556B"/>
            </w:tcBorders>
          </w:tcPr>
          <w:p w14:paraId="7B1AB2E7" w14:textId="77777777" w:rsidR="00660978" w:rsidRPr="00CB1C46" w:rsidRDefault="00660978" w:rsidP="004873FC">
            <w:pPr>
              <w:pStyle w:val="TableText"/>
              <w:spacing w:before="40" w:after="40"/>
              <w:rPr>
                <w:rFonts w:cs="Calibri"/>
              </w:rPr>
            </w:pPr>
            <w:r w:rsidRPr="00CB1C46">
              <w:rPr>
                <w:rFonts w:cs="Calibri"/>
              </w:rPr>
              <w:t>Flooded</w:t>
            </w:r>
          </w:p>
        </w:tc>
      </w:tr>
      <w:tr w:rsidR="00660978" w:rsidRPr="00CB1C46" w14:paraId="4A0BDC3A" w14:textId="77777777" w:rsidTr="004873FC">
        <w:trPr>
          <w:cantSplit/>
        </w:trPr>
        <w:tc>
          <w:tcPr>
            <w:tcW w:w="1474" w:type="dxa"/>
            <w:tcBorders>
              <w:top w:val="nil"/>
              <w:bottom w:val="single" w:sz="4" w:space="0" w:color="1B556B"/>
            </w:tcBorders>
          </w:tcPr>
          <w:p w14:paraId="39B5ADA0" w14:textId="77777777" w:rsidR="00660978" w:rsidRPr="00CB1C46" w:rsidRDefault="00660978" w:rsidP="004873FC">
            <w:pPr>
              <w:pStyle w:val="TableText"/>
              <w:spacing w:before="40" w:after="40"/>
              <w:rPr>
                <w:rFonts w:cs="Calibri"/>
              </w:rPr>
            </w:pPr>
          </w:p>
        </w:tc>
        <w:tc>
          <w:tcPr>
            <w:tcW w:w="1557" w:type="dxa"/>
            <w:tcBorders>
              <w:top w:val="single" w:sz="4" w:space="0" w:color="1B556B"/>
              <w:bottom w:val="single" w:sz="4" w:space="0" w:color="1B556B"/>
            </w:tcBorders>
          </w:tcPr>
          <w:p w14:paraId="09D2A733" w14:textId="77777777" w:rsidR="00660978" w:rsidRPr="00CB1C46" w:rsidRDefault="00660978" w:rsidP="004873FC">
            <w:pPr>
              <w:pStyle w:val="TableText"/>
              <w:spacing w:before="40" w:after="40"/>
              <w:rPr>
                <w:rFonts w:cs="Calibri"/>
              </w:rPr>
            </w:pPr>
            <w:r w:rsidRPr="00CB1C46">
              <w:rPr>
                <w:rFonts w:cs="Calibri"/>
              </w:rPr>
              <w:t>Taupiri/Ralphs</w:t>
            </w:r>
          </w:p>
        </w:tc>
        <w:tc>
          <w:tcPr>
            <w:tcW w:w="5019" w:type="dxa"/>
            <w:tcBorders>
              <w:top w:val="single" w:sz="4" w:space="0" w:color="1B556B"/>
              <w:bottom w:val="single" w:sz="4" w:space="0" w:color="1B556B"/>
            </w:tcBorders>
          </w:tcPr>
          <w:p w14:paraId="7164FB5C" w14:textId="77777777" w:rsidR="00660978" w:rsidRPr="00CB1C46" w:rsidRDefault="00660978" w:rsidP="004873FC">
            <w:pPr>
              <w:pStyle w:val="TableText"/>
              <w:spacing w:before="40" w:after="40"/>
              <w:rPr>
                <w:rFonts w:cs="Calibri"/>
              </w:rPr>
            </w:pPr>
            <w:r w:rsidRPr="00CB1C46">
              <w:rPr>
                <w:rFonts w:cs="Calibri"/>
              </w:rPr>
              <w:t>Mines under Huntly township; flooded</w:t>
            </w:r>
          </w:p>
        </w:tc>
      </w:tr>
      <w:tr w:rsidR="00660978" w:rsidRPr="00CB1C46" w14:paraId="7903D078" w14:textId="77777777" w:rsidTr="004873FC">
        <w:trPr>
          <w:cantSplit/>
        </w:trPr>
        <w:tc>
          <w:tcPr>
            <w:tcW w:w="1474" w:type="dxa"/>
            <w:tcBorders>
              <w:top w:val="single" w:sz="4" w:space="0" w:color="1B556B"/>
              <w:bottom w:val="single" w:sz="4" w:space="0" w:color="1B556B"/>
            </w:tcBorders>
          </w:tcPr>
          <w:p w14:paraId="440C74D0" w14:textId="77777777" w:rsidR="00660978" w:rsidRPr="00CB1C46" w:rsidRDefault="00660978" w:rsidP="004873FC">
            <w:pPr>
              <w:pStyle w:val="TableText"/>
              <w:spacing w:before="40" w:after="40"/>
              <w:rPr>
                <w:rFonts w:cs="Calibri"/>
              </w:rPr>
            </w:pPr>
            <w:r w:rsidRPr="00CB1C46">
              <w:rPr>
                <w:rFonts w:cs="Calibri"/>
              </w:rPr>
              <w:t>Taranaki</w:t>
            </w:r>
          </w:p>
        </w:tc>
        <w:tc>
          <w:tcPr>
            <w:tcW w:w="1557" w:type="dxa"/>
            <w:tcBorders>
              <w:top w:val="single" w:sz="4" w:space="0" w:color="1B556B"/>
              <w:bottom w:val="single" w:sz="4" w:space="0" w:color="1B556B"/>
            </w:tcBorders>
          </w:tcPr>
          <w:p w14:paraId="2CEA1DF0" w14:textId="77777777" w:rsidR="00660978" w:rsidRPr="00CB1C46" w:rsidRDefault="00660978" w:rsidP="004873FC">
            <w:pPr>
              <w:pStyle w:val="TableText"/>
              <w:spacing w:before="40" w:after="40"/>
              <w:rPr>
                <w:rFonts w:cs="Calibri"/>
              </w:rPr>
            </w:pPr>
            <w:r w:rsidRPr="00CB1C46">
              <w:rPr>
                <w:rFonts w:cs="Calibri"/>
              </w:rPr>
              <w:t>Tatu</w:t>
            </w:r>
          </w:p>
        </w:tc>
        <w:tc>
          <w:tcPr>
            <w:tcW w:w="5019" w:type="dxa"/>
            <w:tcBorders>
              <w:top w:val="single" w:sz="4" w:space="0" w:color="1B556B"/>
              <w:bottom w:val="single" w:sz="4" w:space="0" w:color="1B556B"/>
            </w:tcBorders>
          </w:tcPr>
          <w:p w14:paraId="2C8B59E1" w14:textId="77777777" w:rsidR="00660978" w:rsidRPr="00CB1C46" w:rsidRDefault="00660978" w:rsidP="004873FC">
            <w:pPr>
              <w:pStyle w:val="TableText"/>
              <w:spacing w:before="40" w:after="40"/>
              <w:rPr>
                <w:rFonts w:cs="Calibri"/>
              </w:rPr>
            </w:pPr>
            <w:r w:rsidRPr="00CB1C46">
              <w:rPr>
                <w:rFonts w:cs="Calibri"/>
              </w:rPr>
              <w:t>Only one significant mine; flooded</w:t>
            </w:r>
          </w:p>
        </w:tc>
      </w:tr>
    </w:tbl>
    <w:p w14:paraId="22619397" w14:textId="77777777" w:rsidR="00660978" w:rsidRPr="00CB1C46" w:rsidRDefault="00660978" w:rsidP="00660978">
      <w:pPr>
        <w:pStyle w:val="Heading4"/>
        <w:spacing w:before="360"/>
        <w:rPr>
          <w:lang w:eastAsia="en-GB"/>
        </w:rPr>
      </w:pPr>
      <w:r w:rsidRPr="00CB1C46">
        <w:rPr>
          <w:lang w:eastAsia="en-GB"/>
        </w:rPr>
        <w:t>Uncertainties and time-series consistency</w:t>
      </w:r>
    </w:p>
    <w:p w14:paraId="1467D569" w14:textId="77777777" w:rsidR="00660978" w:rsidRPr="00CB1C46" w:rsidRDefault="00660978" w:rsidP="00660978">
      <w:pPr>
        <w:pStyle w:val="BodyText"/>
        <w:rPr>
          <w:rFonts w:cs="Calibri"/>
          <w:spacing w:val="-2"/>
          <w:lang w:eastAsia="en-GB"/>
        </w:rPr>
      </w:pPr>
      <w:r w:rsidRPr="00CB1C46">
        <w:rPr>
          <w:rFonts w:cs="Calibri"/>
          <w:spacing w:val="-2"/>
          <w:lang w:eastAsia="en-GB"/>
        </w:rPr>
        <w:t>Uncertainties in fugitive emissions are relevant to the entire Energy sector (see table 3.3.1).</w:t>
      </w:r>
    </w:p>
    <w:p w14:paraId="6E72D08B" w14:textId="77777777" w:rsidR="00660978" w:rsidRPr="00CB1C46" w:rsidRDefault="00660978" w:rsidP="00660978">
      <w:pPr>
        <w:pStyle w:val="Heading4"/>
        <w:rPr>
          <w:lang w:eastAsia="en-GB"/>
        </w:rPr>
      </w:pPr>
      <w:r w:rsidRPr="00CB1C46">
        <w:rPr>
          <w:lang w:eastAsia="en-GB"/>
        </w:rPr>
        <w:t>Source-specific QA/QC and verification</w:t>
      </w:r>
    </w:p>
    <w:p w14:paraId="45B75590" w14:textId="77777777" w:rsidR="00660978" w:rsidRPr="00CB1C46" w:rsidRDefault="00660978" w:rsidP="00660978">
      <w:pPr>
        <w:pStyle w:val="BodyText"/>
        <w:spacing w:before="100" w:after="100"/>
        <w:rPr>
          <w:rFonts w:cs="Calibri"/>
          <w:lang w:eastAsia="en-GB"/>
        </w:rPr>
      </w:pPr>
      <w:r w:rsidRPr="00CB1C46">
        <w:rPr>
          <w:rFonts w:cs="Calibri"/>
          <w:lang w:eastAsia="en-GB"/>
        </w:rPr>
        <w:t xml:space="preserve">In the preparation of this inventory, the </w:t>
      </w:r>
      <w:r w:rsidRPr="00CB1C46">
        <w:rPr>
          <w:rFonts w:cs="Calibri"/>
          <w:i/>
          <w:lang w:eastAsia="en-GB"/>
        </w:rPr>
        <w:t>Fugitive emissions</w:t>
      </w:r>
      <w:r w:rsidRPr="00CB1C46">
        <w:rPr>
          <w:rFonts w:cs="Calibri"/>
          <w:lang w:eastAsia="en-GB"/>
        </w:rPr>
        <w:t xml:space="preserve"> category underwent Tier 1 quality-assurance and quality-control checks, as recommended in the 2006 IPCC Guidelines. These include regular control sums throughout systems, to verify system integrity, and consistency checks of implied emission factors.</w:t>
      </w:r>
    </w:p>
    <w:p w14:paraId="255A52E6" w14:textId="77777777" w:rsidR="00660978" w:rsidRPr="00CB1C46" w:rsidRDefault="00660978" w:rsidP="00660978">
      <w:pPr>
        <w:pStyle w:val="Heading4"/>
        <w:rPr>
          <w:lang w:eastAsia="en-GB"/>
        </w:rPr>
      </w:pPr>
      <w:r w:rsidRPr="00CB1C46">
        <w:rPr>
          <w:lang w:eastAsia="en-GB"/>
        </w:rPr>
        <w:t>Source-specific recalculations</w:t>
      </w:r>
    </w:p>
    <w:p w14:paraId="152B1660" w14:textId="77777777" w:rsidR="00660978" w:rsidRPr="00CB1C46" w:rsidRDefault="00660978" w:rsidP="00660978">
      <w:pPr>
        <w:pStyle w:val="BodyText"/>
        <w:spacing w:before="100" w:after="100"/>
        <w:rPr>
          <w:rFonts w:cs="Calibri"/>
          <w:lang w:eastAsia="en-GB"/>
        </w:rPr>
      </w:pPr>
      <w:r w:rsidRPr="00CB1C46">
        <w:rPr>
          <w:rFonts w:cs="Calibri"/>
          <w:lang w:eastAsia="en-GB"/>
        </w:rPr>
        <w:t>Some coal production data has been reclassified from underground to open cast for the years 2017 to 2019. There is no methodological change. The estimated level of emissions has decreased because the emission factors for underground mining are higher than those for open-cast mining.</w:t>
      </w:r>
      <w:r w:rsidRPr="00CB1C46">
        <w:t xml:space="preserve"> </w:t>
      </w:r>
      <w:r w:rsidRPr="00CB1C46">
        <w:rPr>
          <w:rFonts w:cs="Calibri"/>
          <w:lang w:eastAsia="en-GB"/>
        </w:rPr>
        <w:t xml:space="preserve">The activity data were revised in the 2021 edition of </w:t>
      </w:r>
      <w:r w:rsidRPr="00CB1C46">
        <w:rPr>
          <w:rFonts w:cs="Calibri"/>
          <w:i/>
          <w:iCs/>
          <w:lang w:eastAsia="en-GB"/>
        </w:rPr>
        <w:t>Energy in New Zealand</w:t>
      </w:r>
      <w:r w:rsidRPr="00CB1C46">
        <w:rPr>
          <w:rFonts w:cs="Calibri"/>
          <w:lang w:eastAsia="en-GB"/>
        </w:rPr>
        <w:t xml:space="preserve"> (MBIE, 2021) and the national energy balance.</w:t>
      </w:r>
    </w:p>
    <w:p w14:paraId="31062C08" w14:textId="77777777" w:rsidR="00660978" w:rsidRPr="00CB1C46" w:rsidRDefault="00660978" w:rsidP="00660978">
      <w:pPr>
        <w:pStyle w:val="Heading4"/>
        <w:rPr>
          <w:lang w:eastAsia="en-GB"/>
        </w:rPr>
      </w:pPr>
      <w:r w:rsidRPr="00CB1C46">
        <w:rPr>
          <w:lang w:eastAsia="en-GB"/>
        </w:rPr>
        <w:t>Source-specific planned improvements</w:t>
      </w:r>
    </w:p>
    <w:p w14:paraId="54D3E980" w14:textId="77777777" w:rsidR="00660978" w:rsidRPr="00CB1C46" w:rsidRDefault="00660978" w:rsidP="00660978">
      <w:pPr>
        <w:pStyle w:val="BodyText"/>
        <w:spacing w:before="100"/>
        <w:rPr>
          <w:rFonts w:cs="Calibri"/>
          <w:b/>
          <w:bCs/>
          <w:szCs w:val="24"/>
          <w:lang w:eastAsia="en-GB"/>
        </w:rPr>
      </w:pPr>
      <w:r w:rsidRPr="00CB1C46">
        <w:rPr>
          <w:rFonts w:cs="Calibri"/>
          <w:lang w:eastAsia="en-GB"/>
        </w:rPr>
        <w:t xml:space="preserve">As described above, the project to enable the more accurate estimation of emissions associated with abandoned coal mines is under way, and results will be included in the next annual submission. </w:t>
      </w:r>
    </w:p>
    <w:p w14:paraId="60B1AEFC" w14:textId="77777777" w:rsidR="00660978" w:rsidRPr="00CB1C46" w:rsidRDefault="00660978" w:rsidP="00660978">
      <w:pPr>
        <w:pStyle w:val="Heading3"/>
        <w:rPr>
          <w:rFonts w:cs="Calibri"/>
        </w:rPr>
      </w:pPr>
      <w:r w:rsidRPr="00CB1C46">
        <w:rPr>
          <w:rFonts w:cs="Calibri"/>
        </w:rPr>
        <w:lastRenderedPageBreak/>
        <w:t>3.4.2</w:t>
      </w:r>
      <w:r w:rsidRPr="00CB1C46">
        <w:rPr>
          <w:rFonts w:cs="Calibri"/>
        </w:rPr>
        <w:tab/>
        <w:t>Fugitive emissions from fuels: Oil and natural gas and other emissions from energy production (CRF 1.B.2)</w:t>
      </w:r>
    </w:p>
    <w:p w14:paraId="1B92F16F" w14:textId="77777777" w:rsidR="00660978" w:rsidRPr="00CB1C46" w:rsidRDefault="00660978" w:rsidP="00660978">
      <w:pPr>
        <w:pStyle w:val="Heading4"/>
        <w:spacing w:before="160"/>
      </w:pPr>
      <w:r w:rsidRPr="00CB1C46">
        <w:rPr>
          <w:lang w:eastAsia="en-GB"/>
        </w:rPr>
        <w:t>Description</w:t>
      </w:r>
    </w:p>
    <w:p w14:paraId="6F44FAC6" w14:textId="77777777" w:rsidR="00660978" w:rsidRPr="00CB1C46" w:rsidRDefault="00660978" w:rsidP="00660978">
      <w:pPr>
        <w:pStyle w:val="BodyText"/>
        <w:rPr>
          <w:rFonts w:cs="Calibri"/>
        </w:rPr>
      </w:pPr>
      <w:r w:rsidRPr="00CB1C46">
        <w:rPr>
          <w:rFonts w:cs="Calibri"/>
          <w:lang w:eastAsia="en-GB"/>
        </w:rPr>
        <w:t xml:space="preserve">In </w:t>
      </w:r>
      <w:r w:rsidRPr="00CB1C46">
        <w:rPr>
          <w:rFonts w:cs="Calibri"/>
        </w:rPr>
        <w:t>2020</w:t>
      </w:r>
      <w:r w:rsidRPr="00CB1C46">
        <w:rPr>
          <w:rFonts w:cs="Calibri"/>
          <w:lang w:eastAsia="en-GB"/>
        </w:rPr>
        <w:t xml:space="preserve">, fugitive emissions from the </w:t>
      </w:r>
      <w:r w:rsidRPr="00CB1C46">
        <w:rPr>
          <w:rFonts w:cs="Calibri"/>
          <w:i/>
          <w:lang w:eastAsia="en-GB"/>
        </w:rPr>
        <w:t>Oil and natural gas</w:t>
      </w:r>
      <w:r w:rsidRPr="00CB1C46">
        <w:rPr>
          <w:rFonts w:cs="Calibri"/>
          <w:lang w:eastAsia="en-GB"/>
        </w:rPr>
        <w:t xml:space="preserve"> category contributed 1,286.1</w:t>
      </w:r>
      <w:r w:rsidRPr="00CB1C46">
        <w:rPr>
          <w:rFonts w:cs="Calibri"/>
        </w:rPr>
        <w:t> </w:t>
      </w:r>
      <w:r w:rsidRPr="00CB1C46">
        <w:rPr>
          <w:rFonts w:cs="Calibri"/>
          <w:lang w:eastAsia="en-GB"/>
        </w:rPr>
        <w:t>kt CO</w:t>
      </w:r>
      <w:r w:rsidRPr="00CB1C46">
        <w:rPr>
          <w:rFonts w:cs="Calibri"/>
          <w:vertAlign w:val="subscript"/>
          <w:lang w:eastAsia="en-GB"/>
        </w:rPr>
        <w:t>2</w:t>
      </w:r>
      <w:r w:rsidRPr="00CB1C46">
        <w:rPr>
          <w:rFonts w:cs="Calibri"/>
          <w:lang w:eastAsia="en-GB"/>
        </w:rPr>
        <w:t xml:space="preserve">-e (95.4 </w:t>
      </w:r>
      <w:r w:rsidRPr="00CB1C46">
        <w:rPr>
          <w:rFonts w:cs="Calibri"/>
        </w:rPr>
        <w:t>per cent</w:t>
      </w:r>
      <w:r w:rsidRPr="00CB1C46">
        <w:rPr>
          <w:rFonts w:cs="Calibri"/>
          <w:lang w:eastAsia="en-GB"/>
        </w:rPr>
        <w:t xml:space="preserve">) to emissions from the </w:t>
      </w:r>
      <w:r w:rsidRPr="00CB1C46">
        <w:rPr>
          <w:rFonts w:cs="Calibri"/>
          <w:i/>
          <w:lang w:eastAsia="en-GB"/>
        </w:rPr>
        <w:t>Fugitive emissions</w:t>
      </w:r>
      <w:r w:rsidRPr="00CB1C46">
        <w:rPr>
          <w:rFonts w:cs="Calibri"/>
          <w:lang w:eastAsia="en-GB"/>
        </w:rPr>
        <w:t xml:space="preserve"> category. This is 185.2</w:t>
      </w:r>
      <w:r w:rsidRPr="00CB1C46">
        <w:rPr>
          <w:rFonts w:cs="Calibri"/>
        </w:rPr>
        <w:t xml:space="preserve"> </w:t>
      </w:r>
      <w:r w:rsidRPr="00CB1C46">
        <w:rPr>
          <w:rFonts w:cs="Calibri"/>
          <w:lang w:eastAsia="en-GB"/>
        </w:rPr>
        <w:t>kt CO</w:t>
      </w:r>
      <w:r w:rsidRPr="00CB1C46">
        <w:rPr>
          <w:rFonts w:cs="Calibri"/>
          <w:vertAlign w:val="subscript"/>
          <w:lang w:eastAsia="en-GB"/>
        </w:rPr>
        <w:t>2</w:t>
      </w:r>
      <w:r w:rsidRPr="00CB1C46">
        <w:rPr>
          <w:rFonts w:cs="Calibri"/>
          <w:lang w:eastAsia="en-GB"/>
        </w:rPr>
        <w:t>-e (16.8</w:t>
      </w:r>
      <w:r w:rsidRPr="00CB1C46">
        <w:rPr>
          <w:rFonts w:cs="Calibri"/>
        </w:rPr>
        <w:t> per cent</w:t>
      </w:r>
      <w:r w:rsidRPr="00CB1C46">
        <w:rPr>
          <w:rFonts w:cs="Calibri"/>
          <w:lang w:eastAsia="en-GB"/>
        </w:rPr>
        <w:t xml:space="preserve">) higher than the 1990 level of </w:t>
      </w:r>
      <w:r w:rsidRPr="00CB1C46">
        <w:rPr>
          <w:rFonts w:cs="Calibri"/>
        </w:rPr>
        <w:t xml:space="preserve">1,100.9 </w:t>
      </w:r>
      <w:r w:rsidRPr="00CB1C46">
        <w:rPr>
          <w:rFonts w:cs="Calibri"/>
          <w:lang w:eastAsia="en-GB"/>
        </w:rPr>
        <w:t>kt CO</w:t>
      </w:r>
      <w:r w:rsidRPr="00CB1C46">
        <w:rPr>
          <w:rFonts w:cs="Calibri"/>
          <w:vertAlign w:val="subscript"/>
          <w:lang w:eastAsia="en-GB"/>
        </w:rPr>
        <w:t>2</w:t>
      </w:r>
      <w:r w:rsidRPr="00CB1C46">
        <w:rPr>
          <w:rFonts w:cs="Calibri"/>
          <w:lang w:eastAsia="en-GB"/>
        </w:rPr>
        <w:t xml:space="preserve">-e. </w:t>
      </w:r>
    </w:p>
    <w:p w14:paraId="44557AC3" w14:textId="77777777" w:rsidR="00660978" w:rsidRPr="00CB1C46" w:rsidRDefault="00660978" w:rsidP="00660978">
      <w:pPr>
        <w:pStyle w:val="BodyText"/>
        <w:rPr>
          <w:rFonts w:cs="Calibri"/>
          <w:lang w:eastAsia="en-GB"/>
        </w:rPr>
      </w:pPr>
      <w:r w:rsidRPr="00CB1C46">
        <w:rPr>
          <w:rFonts w:cs="Calibri"/>
          <w:lang w:eastAsia="en-GB"/>
        </w:rPr>
        <w:t xml:space="preserve">A source of emissions from the production and processing of natural gas is the Kapuni Gas Treatment Plant. The plant removes </w:t>
      </w:r>
      <w:r w:rsidRPr="00CB1C46">
        <w:rPr>
          <w:rFonts w:cs="Calibri"/>
        </w:rPr>
        <w:t>CO</w:t>
      </w:r>
      <w:r w:rsidRPr="00CB1C46">
        <w:rPr>
          <w:rFonts w:cs="Calibri"/>
          <w:vertAlign w:val="subscript"/>
        </w:rPr>
        <w:t>2</w:t>
      </w:r>
      <w:r w:rsidRPr="00CB1C46">
        <w:rPr>
          <w:rFonts w:cs="Calibri"/>
          <w:sz w:val="14"/>
          <w:szCs w:val="14"/>
          <w:lang w:eastAsia="en-GB"/>
        </w:rPr>
        <w:t xml:space="preserve"> </w:t>
      </w:r>
      <w:r w:rsidRPr="00CB1C46">
        <w:rPr>
          <w:rFonts w:cs="Calibri"/>
          <w:lang w:eastAsia="en-GB"/>
        </w:rPr>
        <w:t xml:space="preserve">from a portion of the Kapuni gas (a high </w:t>
      </w:r>
      <w:r w:rsidRPr="00CB1C46">
        <w:rPr>
          <w:rFonts w:cs="Calibri"/>
        </w:rPr>
        <w:t>CO</w:t>
      </w:r>
      <w:r w:rsidRPr="00CB1C46">
        <w:rPr>
          <w:rFonts w:cs="Calibri"/>
          <w:vertAlign w:val="subscript"/>
        </w:rPr>
        <w:t>2</w:t>
      </w:r>
      <w:r w:rsidRPr="00CB1C46">
        <w:t xml:space="preserve"> </w:t>
      </w:r>
      <w:r w:rsidRPr="00CB1C46">
        <w:rPr>
          <w:rFonts w:cs="Calibri"/>
          <w:lang w:eastAsia="en-GB"/>
        </w:rPr>
        <w:t>gas when untreated) before it enters the national transmission network. This is reported in CRF table 1.B.2.c.2.</w:t>
      </w:r>
    </w:p>
    <w:p w14:paraId="1E5355FF" w14:textId="77777777" w:rsidR="00660978" w:rsidRPr="00CB1C46" w:rsidRDefault="00660978" w:rsidP="00660978">
      <w:pPr>
        <w:pStyle w:val="BodyText"/>
        <w:rPr>
          <w:rFonts w:cs="Calibri"/>
          <w:lang w:eastAsia="en-GB"/>
        </w:rPr>
      </w:pPr>
      <w:r w:rsidRPr="00CB1C46">
        <w:rPr>
          <w:rFonts w:cs="Calibri"/>
          <w:lang w:eastAsia="en-GB"/>
        </w:rPr>
        <w:t xml:space="preserve">The large increase in </w:t>
      </w:r>
      <w:r w:rsidRPr="00CB1C46">
        <w:rPr>
          <w:rFonts w:cs="Calibri"/>
        </w:rPr>
        <w:t>CO</w:t>
      </w:r>
      <w:r w:rsidRPr="00CB1C46">
        <w:rPr>
          <w:rFonts w:cs="Calibri"/>
          <w:vertAlign w:val="subscript"/>
        </w:rPr>
        <w:t>2</w:t>
      </w:r>
      <w:r w:rsidRPr="00CB1C46">
        <w:rPr>
          <w:rFonts w:cs="Calibri"/>
          <w:sz w:val="14"/>
          <w:szCs w:val="14"/>
          <w:lang w:eastAsia="en-GB"/>
        </w:rPr>
        <w:t xml:space="preserve"> </w:t>
      </w:r>
      <w:r w:rsidRPr="00CB1C46">
        <w:rPr>
          <w:rFonts w:cs="Calibri"/>
          <w:lang w:eastAsia="en-GB"/>
        </w:rPr>
        <w:t>emissions from the Kapuni</w:t>
      </w:r>
      <w:r w:rsidRPr="00CB1C46" w:rsidDel="00F31629">
        <w:rPr>
          <w:rFonts w:cs="Calibri"/>
          <w:lang w:eastAsia="en-GB"/>
        </w:rPr>
        <w:t xml:space="preserve"> </w:t>
      </w:r>
      <w:r w:rsidRPr="00CB1C46">
        <w:rPr>
          <w:rFonts w:cs="Calibri"/>
          <w:lang w:eastAsia="en-GB"/>
        </w:rPr>
        <w:t>plant between 2003 and 2004 and between 2004 and 2005 is related to the drop in methanol production. Carbon dioxide previously sequestered during this separation process is now released as fugitive emissions from venting at the plant.</w:t>
      </w:r>
    </w:p>
    <w:p w14:paraId="7E16D23A" w14:textId="77777777" w:rsidR="00660978" w:rsidRPr="00CB1C46" w:rsidRDefault="00660978" w:rsidP="00660978">
      <w:pPr>
        <w:pStyle w:val="BodyText"/>
        <w:rPr>
          <w:rFonts w:cs="Calibri"/>
          <w:lang w:eastAsia="en-GB"/>
        </w:rPr>
      </w:pPr>
      <w:r w:rsidRPr="00CB1C46">
        <w:rPr>
          <w:rFonts w:cs="Calibri"/>
          <w:lang w:eastAsia="en-GB"/>
        </w:rPr>
        <w:t>While emissions from the Kapuni</w:t>
      </w:r>
      <w:r w:rsidRPr="00CB1C46" w:rsidDel="00F31629">
        <w:rPr>
          <w:rFonts w:cs="Calibri"/>
          <w:lang w:eastAsia="en-GB"/>
        </w:rPr>
        <w:t xml:space="preserve"> </w:t>
      </w:r>
      <w:r w:rsidRPr="00CB1C46">
        <w:rPr>
          <w:rFonts w:cs="Calibri"/>
          <w:lang w:eastAsia="en-GB"/>
        </w:rPr>
        <w:t>plant may include traces of CH</w:t>
      </w:r>
      <w:r w:rsidRPr="00CB1C46">
        <w:rPr>
          <w:rFonts w:cs="Calibri"/>
          <w:vertAlign w:val="subscript"/>
          <w:lang w:eastAsia="en-GB"/>
        </w:rPr>
        <w:t>4</w:t>
      </w:r>
      <w:r w:rsidRPr="00CB1C46">
        <w:rPr>
          <w:rFonts w:cs="Calibri"/>
          <w:lang w:eastAsia="en-GB"/>
        </w:rPr>
        <w:t>, the level of these emissions has been determined to be insignificant in comparison with national emissions: a conservative estimate (using default emission factors from the 2006 IPCC Guidelines) gives nearly 1.5 kt CO</w:t>
      </w:r>
      <w:r w:rsidRPr="00CB1C46">
        <w:rPr>
          <w:rFonts w:cs="Calibri"/>
          <w:vertAlign w:val="subscript"/>
          <w:lang w:eastAsia="en-GB"/>
        </w:rPr>
        <w:t>2</w:t>
      </w:r>
      <w:r w:rsidRPr="00CB1C46">
        <w:rPr>
          <w:rFonts w:cs="Calibri"/>
          <w:lang w:eastAsia="en-GB"/>
        </w:rPr>
        <w:noBreakHyphen/>
        <w:t>e per year.</w:t>
      </w:r>
    </w:p>
    <w:p w14:paraId="4C8BFCEC" w14:textId="77777777" w:rsidR="00660978" w:rsidRPr="00CB1C46" w:rsidRDefault="00660978" w:rsidP="00660978">
      <w:pPr>
        <w:pStyle w:val="BodyText"/>
        <w:rPr>
          <w:rFonts w:cs="Calibri"/>
          <w:lang w:eastAsia="en-GB"/>
        </w:rPr>
      </w:pPr>
      <w:r w:rsidRPr="00CB1C46">
        <w:rPr>
          <w:rFonts w:cs="Calibri"/>
          <w:lang w:eastAsia="en-GB"/>
        </w:rPr>
        <w:t xml:space="preserve">Carbon dioxide is also produced when natural gas is flared at the wellheads of other fields. The combustion efficiency of flaring is 95 per cent to 99 per cent, leaving some fugitive </w:t>
      </w:r>
      <w:r w:rsidRPr="00CB1C46">
        <w:rPr>
          <w:rFonts w:cs="Calibri"/>
        </w:rPr>
        <w:t>CH</w:t>
      </w:r>
      <w:r w:rsidRPr="00CB1C46">
        <w:rPr>
          <w:rFonts w:cs="Calibri"/>
          <w:vertAlign w:val="subscript"/>
        </w:rPr>
        <w:t>4</w:t>
      </w:r>
      <w:r w:rsidRPr="00CB1C46">
        <w:rPr>
          <w:rFonts w:cs="Calibri"/>
          <w:lang w:eastAsia="en-GB"/>
        </w:rPr>
        <w:t xml:space="preserve"> emissions as a result of incomplete combustion. </w:t>
      </w:r>
    </w:p>
    <w:p w14:paraId="3172BB55" w14:textId="77777777" w:rsidR="00660978" w:rsidRPr="00CB1C46" w:rsidRDefault="00660978" w:rsidP="00660978">
      <w:pPr>
        <w:pStyle w:val="BodyText"/>
        <w:rPr>
          <w:rFonts w:cs="Calibri"/>
          <w:lang w:eastAsia="en-GB"/>
        </w:rPr>
      </w:pPr>
      <w:r w:rsidRPr="00CB1C46">
        <w:rPr>
          <w:rFonts w:cs="Calibri"/>
          <w:lang w:eastAsia="en-GB"/>
        </w:rPr>
        <w:t xml:space="preserve">Fugitive emissions also occur in transmission and distribution within the </w:t>
      </w:r>
      <w:r w:rsidRPr="00CB1C46">
        <w:rPr>
          <w:rFonts w:cs="Calibri"/>
        </w:rPr>
        <w:t xml:space="preserve">natural </w:t>
      </w:r>
      <w:r w:rsidRPr="00CB1C46">
        <w:rPr>
          <w:rFonts w:cs="Calibri"/>
          <w:lang w:eastAsia="en-GB"/>
        </w:rPr>
        <w:t>gas transmission pipeline system. However, these emissions are relatively minor in comparison with those from venting and flaring.</w:t>
      </w:r>
    </w:p>
    <w:p w14:paraId="19897E4D" w14:textId="77777777" w:rsidR="00660978" w:rsidRPr="00CB1C46" w:rsidRDefault="00660978" w:rsidP="00660978">
      <w:pPr>
        <w:pStyle w:val="BodyText"/>
        <w:rPr>
          <w:rFonts w:cs="Calibri"/>
          <w:lang w:eastAsia="en-GB"/>
        </w:rPr>
      </w:pPr>
      <w:r w:rsidRPr="00CB1C46">
        <w:rPr>
          <w:rFonts w:cs="Calibri"/>
          <w:lang w:eastAsia="en-GB"/>
        </w:rPr>
        <w:t xml:space="preserve">The </w:t>
      </w:r>
      <w:r w:rsidRPr="00CB1C46">
        <w:rPr>
          <w:rFonts w:cs="Calibri"/>
          <w:i/>
          <w:lang w:eastAsia="en-GB"/>
        </w:rPr>
        <w:t>Oil and natural gas</w:t>
      </w:r>
      <w:r w:rsidRPr="00CB1C46">
        <w:rPr>
          <w:rFonts w:cs="Calibri"/>
          <w:lang w:eastAsia="en-GB"/>
        </w:rPr>
        <w:t xml:space="preserve"> category also includes estimates for emissions from geothermal operations. While some of the energy from geothermal fields is transformed into electricity, emissions from geothermal electricity generation are reported in the </w:t>
      </w:r>
      <w:r w:rsidRPr="00CB1C46">
        <w:rPr>
          <w:rFonts w:cs="Calibri"/>
          <w:i/>
          <w:lang w:eastAsia="en-GB"/>
        </w:rPr>
        <w:t>Fugitive emissions</w:t>
      </w:r>
      <w:r w:rsidRPr="00CB1C46">
        <w:rPr>
          <w:rFonts w:cs="Calibri"/>
          <w:lang w:eastAsia="en-GB"/>
        </w:rPr>
        <w:t xml:space="preserve"> category because they are not the result of fuel combustion, unlike the emissions reported in the </w:t>
      </w:r>
      <w:r w:rsidRPr="00CB1C46">
        <w:rPr>
          <w:rFonts w:cs="Calibri"/>
          <w:i/>
          <w:lang w:eastAsia="en-GB"/>
        </w:rPr>
        <w:t>Energy industries</w:t>
      </w:r>
      <w:r w:rsidRPr="00CB1C46">
        <w:rPr>
          <w:rFonts w:cs="Calibri"/>
          <w:lang w:eastAsia="en-GB"/>
        </w:rPr>
        <w:t xml:space="preserve"> category. Geothermal facilities supplying geothermal fluid for generating electricity or industrial heat are subject to the Climate Change (Stationary Energy and Industrial Processes) Regulations 2009, and are required to participate in the NZ ETS. Geothermal sites, where geothermal steam is not used for energy production, have been excluded from the inventory. Operations falling outside the scope of the regulations are not included in the inventory due to a lack of data, methodology and emission factors. Besides this, such sites – rather than using high temperature geothermal steam – use low temperature hot water, which does not carry high levels of dissolved gases, and any emissions are not significant. Naturally occurring sites do not contribute any anthropogenic emissions.</w:t>
      </w:r>
    </w:p>
    <w:p w14:paraId="4ABF2252" w14:textId="77777777" w:rsidR="00660978" w:rsidRPr="00CB1C46" w:rsidRDefault="00660978" w:rsidP="00660978">
      <w:pPr>
        <w:pStyle w:val="BodyText"/>
        <w:rPr>
          <w:rFonts w:cs="Calibri"/>
          <w:lang w:eastAsia="en-GB"/>
        </w:rPr>
      </w:pPr>
      <w:r w:rsidRPr="00CB1C46">
        <w:rPr>
          <w:rFonts w:cs="Calibri"/>
          <w:lang w:eastAsia="en-GB"/>
        </w:rPr>
        <w:t xml:space="preserve">In </w:t>
      </w:r>
      <w:r w:rsidRPr="00CB1C46">
        <w:rPr>
          <w:rFonts w:cs="Calibri"/>
        </w:rPr>
        <w:t>2020</w:t>
      </w:r>
      <w:r w:rsidRPr="00CB1C46">
        <w:rPr>
          <w:rFonts w:cs="Calibri"/>
          <w:lang w:eastAsia="en-GB"/>
        </w:rPr>
        <w:t xml:space="preserve">, emissions from geothermal operations were </w:t>
      </w:r>
      <w:r w:rsidRPr="00CB1C46">
        <w:rPr>
          <w:rFonts w:cs="Calibri"/>
        </w:rPr>
        <w:t xml:space="preserve">568.0 </w:t>
      </w:r>
      <w:r w:rsidRPr="00CB1C46">
        <w:rPr>
          <w:rFonts w:cs="Calibri"/>
          <w:lang w:eastAsia="en-GB"/>
        </w:rPr>
        <w:t>kt CO</w:t>
      </w:r>
      <w:r w:rsidRPr="00CB1C46">
        <w:rPr>
          <w:rFonts w:cs="Calibri"/>
          <w:vertAlign w:val="subscript"/>
          <w:lang w:eastAsia="en-GB"/>
        </w:rPr>
        <w:t>2</w:t>
      </w:r>
      <w:r w:rsidRPr="00CB1C46">
        <w:rPr>
          <w:rFonts w:cs="Calibri"/>
          <w:lang w:eastAsia="en-GB"/>
        </w:rPr>
        <w:t xml:space="preserve">-e, which is </w:t>
      </w:r>
      <w:r w:rsidRPr="00CB1C46">
        <w:rPr>
          <w:rFonts w:cs="Calibri"/>
        </w:rPr>
        <w:t>284.7 </w:t>
      </w:r>
      <w:r w:rsidRPr="00CB1C46">
        <w:rPr>
          <w:rFonts w:cs="Calibri"/>
          <w:lang w:eastAsia="en-GB"/>
        </w:rPr>
        <w:t>kt CO</w:t>
      </w:r>
      <w:r w:rsidRPr="00CB1C46">
        <w:rPr>
          <w:rFonts w:cs="Calibri"/>
          <w:vertAlign w:val="subscript"/>
          <w:lang w:eastAsia="en-GB"/>
        </w:rPr>
        <w:t>2</w:t>
      </w:r>
      <w:r w:rsidRPr="00CB1C46">
        <w:rPr>
          <w:rFonts w:cs="Calibri"/>
          <w:lang w:eastAsia="en-GB"/>
        </w:rPr>
        <w:t>-e (100.5</w:t>
      </w:r>
      <w:r w:rsidRPr="00CB1C46">
        <w:rPr>
          <w:rFonts w:cs="Calibri"/>
        </w:rPr>
        <w:t xml:space="preserve"> per cent</w:t>
      </w:r>
      <w:r w:rsidRPr="00CB1C46">
        <w:rPr>
          <w:rFonts w:cs="Calibri"/>
          <w:lang w:eastAsia="en-GB"/>
        </w:rPr>
        <w:t xml:space="preserve">) higher than the 1990 level of </w:t>
      </w:r>
      <w:r w:rsidRPr="00CB1C46">
        <w:rPr>
          <w:rFonts w:cs="Calibri"/>
        </w:rPr>
        <w:t xml:space="preserve">283.4 </w:t>
      </w:r>
      <w:r w:rsidRPr="00CB1C46">
        <w:rPr>
          <w:rFonts w:cs="Calibri"/>
          <w:lang w:eastAsia="en-GB"/>
        </w:rPr>
        <w:t>kt CO</w:t>
      </w:r>
      <w:r w:rsidRPr="00CB1C46">
        <w:rPr>
          <w:rFonts w:cs="Calibri"/>
          <w:vertAlign w:val="subscript"/>
          <w:lang w:eastAsia="en-GB"/>
        </w:rPr>
        <w:t>2</w:t>
      </w:r>
      <w:r w:rsidRPr="00CB1C46">
        <w:rPr>
          <w:rFonts w:cs="Calibri"/>
          <w:lang w:eastAsia="en-GB"/>
        </w:rPr>
        <w:t>-e.</w:t>
      </w:r>
    </w:p>
    <w:p w14:paraId="21946F2B" w14:textId="77777777" w:rsidR="00660978" w:rsidRPr="00CB1C46" w:rsidRDefault="00660978" w:rsidP="00660978">
      <w:pPr>
        <w:pStyle w:val="BodyText"/>
        <w:rPr>
          <w:rFonts w:cs="Calibri"/>
        </w:rPr>
      </w:pPr>
      <w:r w:rsidRPr="00CB1C46">
        <w:rPr>
          <w:rFonts w:cs="Calibri"/>
        </w:rPr>
        <w:t>Between 2019 and 2020, emissions from geothermal sources decreased by 5.7 per cent. A steady decline in emissions has occurred over the past five years as certain fields that were more recently developed have de-gassed.</w:t>
      </w:r>
    </w:p>
    <w:p w14:paraId="5679941E" w14:textId="77777777" w:rsidR="00660978" w:rsidRPr="00CB1C46" w:rsidRDefault="00660978" w:rsidP="00660978">
      <w:pPr>
        <w:pStyle w:val="Heading4"/>
      </w:pPr>
      <w:r w:rsidRPr="00CB1C46">
        <w:rPr>
          <w:lang w:eastAsia="en-GB"/>
        </w:rPr>
        <w:lastRenderedPageBreak/>
        <w:t>Methodological issues</w:t>
      </w:r>
    </w:p>
    <w:p w14:paraId="11343864" w14:textId="77777777" w:rsidR="00660978" w:rsidRPr="00CB1C46" w:rsidRDefault="00660978" w:rsidP="00660978">
      <w:pPr>
        <w:pStyle w:val="BodyText"/>
        <w:rPr>
          <w:rFonts w:cs="Calibri"/>
          <w:lang w:eastAsia="en-GB"/>
        </w:rPr>
      </w:pPr>
      <w:r w:rsidRPr="00CB1C46">
        <w:rPr>
          <w:rFonts w:cs="Calibri"/>
          <w:lang w:eastAsia="en-GB"/>
        </w:rPr>
        <w:t>Unless noted otherwise, CO</w:t>
      </w:r>
      <w:r w:rsidRPr="00CB1C46">
        <w:rPr>
          <w:rFonts w:cs="Calibri"/>
          <w:vertAlign w:val="subscript"/>
          <w:lang w:eastAsia="en-GB"/>
        </w:rPr>
        <w:t>2</w:t>
      </w:r>
      <w:r w:rsidRPr="00CB1C46">
        <w:rPr>
          <w:rFonts w:cs="Calibri"/>
          <w:lang w:eastAsia="en-GB"/>
        </w:rPr>
        <w:t xml:space="preserve"> and CH</w:t>
      </w:r>
      <w:r w:rsidRPr="00CB1C46">
        <w:rPr>
          <w:rFonts w:cs="Calibri"/>
          <w:vertAlign w:val="subscript"/>
          <w:lang w:eastAsia="en-GB"/>
        </w:rPr>
        <w:t>4</w:t>
      </w:r>
      <w:r w:rsidRPr="00CB1C46">
        <w:rPr>
          <w:rFonts w:cs="Calibri"/>
          <w:lang w:eastAsia="en-GB"/>
        </w:rPr>
        <w:t xml:space="preserve"> emissions from sources within this category have been calculated using the IPCC Tier 2 approach, and N</w:t>
      </w:r>
      <w:r w:rsidRPr="00CB1C46">
        <w:rPr>
          <w:rFonts w:cs="Calibri"/>
          <w:vertAlign w:val="subscript"/>
          <w:lang w:eastAsia="en-GB"/>
        </w:rPr>
        <w:t>2</w:t>
      </w:r>
      <w:r w:rsidRPr="00CB1C46">
        <w:rPr>
          <w:rFonts w:cs="Calibri"/>
          <w:lang w:eastAsia="en-GB"/>
        </w:rPr>
        <w:t>O emissions were calculated using the default Tier 1 approach (IPCC, 2006).</w:t>
      </w:r>
    </w:p>
    <w:p w14:paraId="1B64009D" w14:textId="77777777" w:rsidR="00660978" w:rsidRPr="00CB1C46" w:rsidRDefault="00660978" w:rsidP="00660978">
      <w:pPr>
        <w:pStyle w:val="Heading5"/>
        <w:rPr>
          <w:rFonts w:cs="Calibri"/>
          <w:lang w:eastAsia="en-GB"/>
        </w:rPr>
      </w:pPr>
      <w:r w:rsidRPr="00CB1C46">
        <w:rPr>
          <w:rFonts w:cs="Calibri"/>
          <w:lang w:eastAsia="en-GB"/>
        </w:rPr>
        <w:t>Ozone precursors and sulphur dioxide from oil refining</w:t>
      </w:r>
    </w:p>
    <w:p w14:paraId="667847EC" w14:textId="77777777" w:rsidR="00660978" w:rsidRPr="00CB1C46" w:rsidRDefault="00660978" w:rsidP="00660978">
      <w:pPr>
        <w:pStyle w:val="BodyText"/>
        <w:spacing w:after="80"/>
        <w:rPr>
          <w:rFonts w:cs="Calibri"/>
          <w:lang w:eastAsia="en-GB"/>
        </w:rPr>
      </w:pPr>
      <w:r w:rsidRPr="00CB1C46">
        <w:rPr>
          <w:rFonts w:cs="Calibri"/>
          <w:lang w:eastAsia="en-GB"/>
        </w:rPr>
        <w:t>New Zealand has only one oil refinery that has a hydro cracker rather than a catalytic cracker. Therefore, no emissions come from fluid catalytic cracking but they do come from sulphur recovery plants and storage and handling.</w:t>
      </w:r>
    </w:p>
    <w:p w14:paraId="2F6C0E1D" w14:textId="77777777" w:rsidR="00660978" w:rsidRPr="00CB1C46" w:rsidRDefault="00660978" w:rsidP="00660978">
      <w:pPr>
        <w:pStyle w:val="Heading5"/>
        <w:rPr>
          <w:rFonts w:cs="Calibri"/>
        </w:rPr>
      </w:pPr>
      <w:r w:rsidRPr="00CB1C46">
        <w:rPr>
          <w:rFonts w:cs="Calibri"/>
        </w:rPr>
        <w:t>1.B.2.c Venting and flaring</w:t>
      </w:r>
    </w:p>
    <w:p w14:paraId="5F663F28" w14:textId="77777777" w:rsidR="00660978" w:rsidRPr="00CB1C46" w:rsidRDefault="00660978" w:rsidP="00660978">
      <w:pPr>
        <w:pStyle w:val="BodyText"/>
        <w:spacing w:after="80"/>
        <w:rPr>
          <w:rFonts w:cs="Calibri"/>
        </w:rPr>
      </w:pPr>
      <w:r w:rsidRPr="00CB1C46">
        <w:rPr>
          <w:rFonts w:cs="Calibri"/>
        </w:rPr>
        <w:t>Oil and natural gas fields in New Zealand produce a mixture consisting of variable ratios of natural gas, crude oil, condensate and natural gas liquids. Hence, emissions for this category are reported under ‘combined’. The activity data are directly reported by field operators.</w:t>
      </w:r>
    </w:p>
    <w:p w14:paraId="7091CC74" w14:textId="77777777" w:rsidR="00660978" w:rsidRPr="00CB1C46" w:rsidRDefault="00660978" w:rsidP="00660978">
      <w:pPr>
        <w:pStyle w:val="BodyText"/>
        <w:spacing w:after="80"/>
        <w:rPr>
          <w:rFonts w:cs="Calibri"/>
        </w:rPr>
      </w:pPr>
      <w:r w:rsidRPr="00CB1C46">
        <w:rPr>
          <w:rFonts w:cs="Calibri"/>
        </w:rPr>
        <w:t>Venting of CO</w:t>
      </w:r>
      <w:r w:rsidRPr="00CB1C46">
        <w:rPr>
          <w:rFonts w:cs="Calibri"/>
          <w:vertAlign w:val="subscript"/>
        </w:rPr>
        <w:t>2</w:t>
      </w:r>
      <w:r w:rsidRPr="00CB1C46">
        <w:rPr>
          <w:rFonts w:cs="Calibri"/>
        </w:rPr>
        <w:t xml:space="preserve"> resulting from hydrogen production at oil refineries is included in the IPPU sector so as to protect the confidentiality of individual companies (see chapter 4, for further information).</w:t>
      </w:r>
    </w:p>
    <w:p w14:paraId="245D5FB3" w14:textId="77777777" w:rsidR="00660978" w:rsidRPr="00CB1C46" w:rsidRDefault="00660978" w:rsidP="00660978">
      <w:pPr>
        <w:pStyle w:val="Heading5"/>
        <w:rPr>
          <w:rFonts w:cs="Calibri"/>
        </w:rPr>
      </w:pPr>
      <w:r w:rsidRPr="00CB1C46">
        <w:rPr>
          <w:rFonts w:cs="Calibri"/>
        </w:rPr>
        <w:t xml:space="preserve">1.B.2.d </w:t>
      </w:r>
      <w:r w:rsidRPr="00CB1C46">
        <w:rPr>
          <w:rFonts w:cs="Calibri"/>
          <w:lang w:eastAsia="en-GB"/>
        </w:rPr>
        <w:t>Geothermal</w:t>
      </w:r>
    </w:p>
    <w:p w14:paraId="2D2D1CB0" w14:textId="77777777" w:rsidR="00660978" w:rsidRPr="00CB1C46" w:rsidRDefault="00660978" w:rsidP="00660978">
      <w:pPr>
        <w:pStyle w:val="BodyText"/>
        <w:rPr>
          <w:rFonts w:cs="Calibri"/>
        </w:rPr>
      </w:pPr>
      <w:r w:rsidRPr="00CB1C46">
        <w:rPr>
          <w:rFonts w:cs="Calibri"/>
        </w:rPr>
        <w:t>When geothermal fluid is discharged, some CO</w:t>
      </w:r>
      <w:r w:rsidRPr="00CB1C46">
        <w:rPr>
          <w:rFonts w:cs="Calibri"/>
          <w:vertAlign w:val="subscript"/>
        </w:rPr>
        <w:t>2</w:t>
      </w:r>
      <w:r w:rsidRPr="00CB1C46">
        <w:rPr>
          <w:rFonts w:cs="Calibri"/>
        </w:rPr>
        <w:t xml:space="preserve"> and small amounts of CH</w:t>
      </w:r>
      <w:r w:rsidRPr="00CB1C46">
        <w:rPr>
          <w:rFonts w:cs="Calibri"/>
          <w:vertAlign w:val="subscript"/>
        </w:rPr>
        <w:t>4</w:t>
      </w:r>
      <w:r w:rsidRPr="00CB1C46">
        <w:rPr>
          <w:rFonts w:cs="Calibri"/>
        </w:rPr>
        <w:t xml:space="preserve"> are also released. The emissions released during electricity generation using geothermal fluid are reported in this inventory. Figure 3.4.1 shows a schematic diagram of a typical New Zealand geothermal flash power station. </w:t>
      </w:r>
    </w:p>
    <w:p w14:paraId="36B24A6E" w14:textId="77777777" w:rsidR="00660978" w:rsidRPr="00CB1C46" w:rsidRDefault="00660978" w:rsidP="00660978">
      <w:pPr>
        <w:pStyle w:val="BodyText"/>
        <w:rPr>
          <w:rFonts w:cs="Calibri"/>
        </w:rPr>
      </w:pPr>
      <w:r w:rsidRPr="00CB1C46">
        <w:rPr>
          <w:rFonts w:cs="Calibri"/>
        </w:rPr>
        <w:t>Estimates of CO</w:t>
      </w:r>
      <w:r w:rsidRPr="00CB1C46">
        <w:rPr>
          <w:rFonts w:cs="Calibri"/>
          <w:vertAlign w:val="subscript"/>
        </w:rPr>
        <w:t>2</w:t>
      </w:r>
      <w:r w:rsidRPr="00CB1C46">
        <w:rPr>
          <w:rFonts w:cs="Calibri"/>
        </w:rPr>
        <w:t xml:space="preserve"> and CH</w:t>
      </w:r>
      <w:r w:rsidRPr="00CB1C46">
        <w:rPr>
          <w:rFonts w:cs="Calibri"/>
          <w:vertAlign w:val="subscript"/>
        </w:rPr>
        <w:t>4</w:t>
      </w:r>
      <w:r w:rsidRPr="00CB1C46">
        <w:rPr>
          <w:rFonts w:cs="Calibri"/>
        </w:rPr>
        <w:t xml:space="preserve"> emissions for the </w:t>
      </w:r>
      <w:r w:rsidRPr="00CB1C46">
        <w:rPr>
          <w:rFonts w:cs="Calibri"/>
          <w:i/>
        </w:rPr>
        <w:t>Geothermal</w:t>
      </w:r>
      <w:r w:rsidRPr="00CB1C46">
        <w:rPr>
          <w:rFonts w:cs="Calibri"/>
        </w:rPr>
        <w:t xml:space="preserve"> category are obtained directly from the geothermal power companies. New Zealand has around 15 geothermal power stations and most of these are owned (or partly owned) by two major power companies. Two examples of methodologies used to estimate emissions by these companies are explained below.</w:t>
      </w:r>
    </w:p>
    <w:p w14:paraId="70DE242B" w14:textId="4AE0CB11" w:rsidR="00660978" w:rsidRPr="00CB1C46" w:rsidRDefault="00660978" w:rsidP="00660978">
      <w:pPr>
        <w:pStyle w:val="Figure"/>
        <w:spacing w:after="60"/>
        <w:rPr>
          <w:rFonts w:cs="Calibri"/>
        </w:rPr>
      </w:pPr>
      <w:bookmarkStart w:id="393" w:name="_Ref442370730"/>
      <w:bookmarkStart w:id="394" w:name="_Toc321399339"/>
      <w:bookmarkStart w:id="395" w:name="_Toc384582868"/>
      <w:bookmarkStart w:id="396" w:name="_Toc443060827"/>
      <w:bookmarkStart w:id="397" w:name="_Toc447275684"/>
      <w:bookmarkStart w:id="398" w:name="_Toc481752001"/>
      <w:bookmarkStart w:id="399" w:name="_Toc36292781"/>
      <w:bookmarkStart w:id="400" w:name="_Toc68786646"/>
      <w:bookmarkStart w:id="401" w:name="_Toc95834081"/>
      <w:bookmarkStart w:id="402" w:name="_Toc99696026"/>
      <w:r w:rsidRPr="00CB1C46">
        <w:rPr>
          <w:rFonts w:cs="Calibri"/>
        </w:rPr>
        <w:lastRenderedPageBreak/>
        <w:t>Figure 3.4.</w:t>
      </w:r>
      <w:r w:rsidRPr="00CB1C46">
        <w:rPr>
          <w:rFonts w:cs="Calibri"/>
        </w:rPr>
        <w:fldChar w:fldCharType="begin"/>
      </w:r>
      <w:r w:rsidRPr="00CB1C46">
        <w:rPr>
          <w:rFonts w:cs="Calibri"/>
        </w:rPr>
        <w:instrText xml:space="preserve"> SEQ Figure \* ARABIC \s 2 </w:instrText>
      </w:r>
      <w:r w:rsidRPr="00CB1C46">
        <w:rPr>
          <w:rFonts w:cs="Calibri"/>
        </w:rPr>
        <w:fldChar w:fldCharType="separate"/>
      </w:r>
      <w:r w:rsidR="009D338D">
        <w:rPr>
          <w:rFonts w:cs="Calibri"/>
          <w:noProof/>
        </w:rPr>
        <w:t>1</w:t>
      </w:r>
      <w:r w:rsidRPr="00CB1C46">
        <w:rPr>
          <w:rFonts w:cs="Calibri"/>
        </w:rPr>
        <w:fldChar w:fldCharType="end"/>
      </w:r>
      <w:bookmarkEnd w:id="393"/>
      <w:r w:rsidRPr="00CB1C46">
        <w:rPr>
          <w:rFonts w:cs="Calibri"/>
        </w:rPr>
        <w:t xml:space="preserve"> </w:t>
      </w:r>
      <w:r w:rsidRPr="00CB1C46">
        <w:rPr>
          <w:rFonts w:cs="Calibri"/>
        </w:rPr>
        <w:tab/>
        <w:t>Schematic diagram of the use of geothermal fluid for electricity generation – as at Wairakei and Ohaaki geothermal stations (New Zealand Institute of Chemistry, 1998)</w:t>
      </w:r>
      <w:bookmarkEnd w:id="394"/>
      <w:bookmarkEnd w:id="395"/>
      <w:bookmarkEnd w:id="396"/>
      <w:bookmarkEnd w:id="397"/>
      <w:bookmarkEnd w:id="398"/>
      <w:bookmarkEnd w:id="399"/>
      <w:bookmarkEnd w:id="400"/>
      <w:bookmarkEnd w:id="401"/>
      <w:bookmarkEnd w:id="402"/>
    </w:p>
    <w:p w14:paraId="151E6708" w14:textId="77777777" w:rsidR="00660978" w:rsidRPr="00CB1C46" w:rsidRDefault="00660978" w:rsidP="00660978">
      <w:pPr>
        <w:pStyle w:val="BodyText"/>
        <w:jc w:val="center"/>
        <w:rPr>
          <w:rFonts w:cs="Calibri"/>
        </w:rPr>
      </w:pPr>
      <w:r w:rsidRPr="00CB1C46">
        <w:rPr>
          <w:rFonts w:cs="Calibri"/>
        </w:rPr>
        <w:object w:dxaOrig="8557" w:dyaOrig="8011" w14:anchorId="0D075EF6">
          <v:shape id="_x0000_i1061" type="#_x0000_t75" style="width:329.85pt;height:311.45pt" o:ole="">
            <v:imagedata r:id="rId75" o:title=""/>
          </v:shape>
          <o:OLEObject Type="Embed" ProgID="Visio.Drawing.11" ShapeID="_x0000_i1061" DrawAspect="Content" ObjectID="_1710830380" r:id="rId76"/>
        </w:object>
      </w:r>
    </w:p>
    <w:p w14:paraId="4A63567A" w14:textId="77777777" w:rsidR="00660978" w:rsidRPr="00CB1C46" w:rsidRDefault="00660978" w:rsidP="00660978">
      <w:pPr>
        <w:pStyle w:val="BodyText"/>
        <w:rPr>
          <w:rFonts w:cs="Calibri"/>
        </w:rPr>
      </w:pPr>
      <w:r w:rsidRPr="00CB1C46">
        <w:rPr>
          <w:rFonts w:cs="Calibri"/>
        </w:rPr>
        <w:t>Emissions from geothermal activities have stepped up incrementally over time. These increases are driven by an increase in geothermal emissions related to electricity generation, particularly with the additions of the 100 MW Kawerau geothermal plant since late 2008, Nga Awa Purua and Te Huka since 2010, Ngatamariki since 2013 and Te Mihi since 2014.</w:t>
      </w:r>
    </w:p>
    <w:p w14:paraId="5FF9657A" w14:textId="77777777" w:rsidR="00660978" w:rsidRPr="00CB1C46" w:rsidRDefault="00660978" w:rsidP="00660978">
      <w:pPr>
        <w:pStyle w:val="BodyText"/>
        <w:rPr>
          <w:rFonts w:cs="Calibri"/>
          <w:lang w:eastAsia="en-GB"/>
        </w:rPr>
      </w:pPr>
      <w:r w:rsidRPr="00CB1C46">
        <w:rPr>
          <w:rFonts w:cs="Calibri"/>
          <w:lang w:eastAsia="en-GB"/>
        </w:rPr>
        <w:t xml:space="preserve">The schedules to the Climate Change Response Act 2002 create obligations for people carrying out certain activities to report greenhouse gas emissions as part of the NZ ETS. The Climate Change (Stationary Energy and Industrial Processes) Regulations 2009 and Climate Change (Liquid Fossil Fuels) Amendment Regulations 2009 set out the data collection requirements and methods for participants in those sectors to calculate their emissions, including prescribed default emission factors. </w:t>
      </w:r>
    </w:p>
    <w:p w14:paraId="7DB6ED61" w14:textId="77777777" w:rsidR="00660978" w:rsidRPr="00CB1C46" w:rsidRDefault="00660978" w:rsidP="00660978">
      <w:pPr>
        <w:pStyle w:val="BodyText"/>
        <w:spacing w:after="100"/>
        <w:rPr>
          <w:rFonts w:cs="Calibri"/>
          <w:lang w:eastAsia="en-GB"/>
        </w:rPr>
      </w:pPr>
      <w:r w:rsidRPr="00CB1C46">
        <w:rPr>
          <w:rFonts w:cs="Calibri"/>
          <w:lang w:eastAsia="en-GB"/>
        </w:rPr>
        <w:t>The Climate Change (Unique Emissions Factors) Regulations 2009 outline requirements for participants in certain sectors to calculate a unique emission factor (UEF) and apply for approval to use it in place of a default emission factor to calculate and report on emissions. Sectors eligible to apply for a UEF are a class of:</w:t>
      </w:r>
    </w:p>
    <w:p w14:paraId="6DBDB04D" w14:textId="77777777" w:rsidR="00660978" w:rsidRPr="00CB1C46" w:rsidRDefault="00660978" w:rsidP="00660978">
      <w:pPr>
        <w:pStyle w:val="Bullet"/>
      </w:pPr>
      <w:r w:rsidRPr="00CB1C46">
        <w:t>liquid fossil fuel</w:t>
      </w:r>
    </w:p>
    <w:p w14:paraId="212162CD" w14:textId="77777777" w:rsidR="00660978" w:rsidRPr="00CB1C46" w:rsidRDefault="00660978" w:rsidP="00660978">
      <w:pPr>
        <w:pStyle w:val="Bullet"/>
      </w:pPr>
      <w:r w:rsidRPr="00CB1C46">
        <w:t>coal</w:t>
      </w:r>
    </w:p>
    <w:p w14:paraId="18D80A72" w14:textId="77777777" w:rsidR="00660978" w:rsidRPr="00CB1C46" w:rsidRDefault="00660978" w:rsidP="00660978">
      <w:pPr>
        <w:pStyle w:val="Bullet"/>
      </w:pPr>
      <w:r w:rsidRPr="00CB1C46">
        <w:t>natural gas: CH</w:t>
      </w:r>
      <w:r w:rsidRPr="00CB1C46">
        <w:rPr>
          <w:vertAlign w:val="subscript"/>
        </w:rPr>
        <w:t>4</w:t>
      </w:r>
      <w:r w:rsidRPr="00CB1C46">
        <w:t xml:space="preserve"> and N</w:t>
      </w:r>
      <w:r w:rsidRPr="00CB1C46">
        <w:rPr>
          <w:vertAlign w:val="subscript"/>
        </w:rPr>
        <w:t>2</w:t>
      </w:r>
      <w:r w:rsidRPr="00CB1C46">
        <w:t>O</w:t>
      </w:r>
    </w:p>
    <w:p w14:paraId="33158531" w14:textId="77777777" w:rsidR="00660978" w:rsidRPr="00CB1C46" w:rsidRDefault="00660978" w:rsidP="00660978">
      <w:pPr>
        <w:pStyle w:val="Bullet"/>
      </w:pPr>
      <w:r w:rsidRPr="00CB1C46">
        <w:t>geothermal fluid</w:t>
      </w:r>
    </w:p>
    <w:p w14:paraId="5BA3711B" w14:textId="77777777" w:rsidR="00660978" w:rsidRPr="00CB1C46" w:rsidRDefault="00660978" w:rsidP="00660978">
      <w:pPr>
        <w:pStyle w:val="Bullet"/>
      </w:pPr>
      <w:r w:rsidRPr="00CB1C46">
        <w:t>used oil, waste oil, used tyres or waste.</w:t>
      </w:r>
    </w:p>
    <w:p w14:paraId="2836FD84" w14:textId="77777777" w:rsidR="00660978" w:rsidRPr="00CB1C46" w:rsidRDefault="00660978" w:rsidP="00660978">
      <w:pPr>
        <w:pStyle w:val="BodyText"/>
        <w:rPr>
          <w:rFonts w:cs="Calibri"/>
          <w:lang w:eastAsia="en-GB"/>
        </w:rPr>
      </w:pPr>
      <w:r w:rsidRPr="00CB1C46">
        <w:rPr>
          <w:rFonts w:cs="Calibri"/>
          <w:lang w:eastAsia="en-GB"/>
        </w:rPr>
        <w:lastRenderedPageBreak/>
        <w:t xml:space="preserve">The 2010 year was the first calendar year in which operators could apply for UEFs. MBIE received five applications relating to the use of UEFs of geothermal fluid for that calendar year. These five approved UEFs were then adopted for the inventory after careful assessment of the materiality impact and time-series consistency. </w:t>
      </w:r>
    </w:p>
    <w:p w14:paraId="60A86939" w14:textId="77777777" w:rsidR="00660978" w:rsidRPr="00CB1C46" w:rsidRDefault="00660978" w:rsidP="00660978">
      <w:pPr>
        <w:pStyle w:val="BodyText"/>
        <w:rPr>
          <w:rFonts w:cs="Calibri"/>
          <w:lang w:eastAsia="en-GB"/>
        </w:rPr>
      </w:pPr>
      <w:r w:rsidRPr="00CB1C46">
        <w:rPr>
          <w:rFonts w:cs="Calibri"/>
          <w:lang w:eastAsia="en-GB"/>
        </w:rPr>
        <w:t>Because 2010 was the introduction year, MBIE made a judgement that the UEF would apply only to years for which sufficient data are available, that is, from 2010 onward. This submission continues with this approach. From 1990 to 2009, emissions are calculated using field-specific default emission factors. Emissions from 2010 onwards are calculated using UEFs where available and field-specific default emission factors otherwise.</w:t>
      </w:r>
    </w:p>
    <w:p w14:paraId="37D9995B" w14:textId="77777777" w:rsidR="00660978" w:rsidRPr="00CB1C46" w:rsidRDefault="00660978" w:rsidP="00660978">
      <w:pPr>
        <w:pStyle w:val="BodyText"/>
        <w:spacing w:after="240"/>
        <w:rPr>
          <w:rFonts w:cs="Calibri"/>
          <w:lang w:eastAsia="en-GB"/>
        </w:rPr>
      </w:pPr>
      <w:r w:rsidRPr="00CB1C46">
        <w:rPr>
          <w:rFonts w:cs="Calibri"/>
          <w:lang w:eastAsia="en-GB"/>
        </w:rPr>
        <w:t>When several years of UEF data are available for comparison, the 1990 to 2009 emission factors for each affected field will be reviewed.</w:t>
      </w:r>
    </w:p>
    <w:tbl>
      <w:tblPr>
        <w:tblW w:w="85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8505"/>
      </w:tblGrid>
      <w:tr w:rsidR="00660978" w:rsidRPr="00CB1C46" w14:paraId="5A0971E2" w14:textId="77777777" w:rsidTr="004873FC">
        <w:tc>
          <w:tcPr>
            <w:tcW w:w="7938" w:type="dxa"/>
            <w:shd w:val="clear" w:color="auto" w:fill="auto"/>
          </w:tcPr>
          <w:p w14:paraId="31DD163F" w14:textId="77777777" w:rsidR="00660978" w:rsidRPr="00CB1C46" w:rsidRDefault="00660978" w:rsidP="004873FC">
            <w:pPr>
              <w:pStyle w:val="Heading6"/>
              <w:ind w:left="284" w:right="284"/>
              <w:rPr>
                <w:rFonts w:eastAsia="Calibri"/>
              </w:rPr>
            </w:pPr>
            <w:r w:rsidRPr="00CB1C46">
              <w:rPr>
                <w:rFonts w:eastAsia="Calibri"/>
              </w:rPr>
              <w:t xml:space="preserve">Geothermal methodology for </w:t>
            </w:r>
            <w:r w:rsidRPr="00094ACB">
              <w:rPr>
                <w:rFonts w:eastAsia="Calibri"/>
              </w:rPr>
              <w:t>Company</w:t>
            </w:r>
            <w:r w:rsidRPr="00CB1C46">
              <w:rPr>
                <w:rFonts w:eastAsia="Calibri"/>
              </w:rPr>
              <w:t xml:space="preserve"> A</w:t>
            </w:r>
          </w:p>
          <w:p w14:paraId="09AB2EBB" w14:textId="77777777" w:rsidR="00660978" w:rsidRPr="00CB1C46" w:rsidRDefault="00660978" w:rsidP="008E60A9">
            <w:pPr>
              <w:pStyle w:val="BodyText"/>
              <w:spacing w:before="80" w:after="80"/>
              <w:ind w:left="284" w:right="284"/>
              <w:rPr>
                <w:rFonts w:eastAsia="Calibri" w:cs="Calibri"/>
                <w:sz w:val="20"/>
              </w:rPr>
            </w:pPr>
            <w:r w:rsidRPr="00CB1C46">
              <w:rPr>
                <w:rFonts w:eastAsia="Calibri" w:cs="Calibri"/>
                <w:sz w:val="20"/>
              </w:rPr>
              <w:t xml:space="preserve">At Company A, quarterly gas sampling analysis is conducted to measure the amount of </w:t>
            </w:r>
            <w:r w:rsidRPr="00CB1C46">
              <w:rPr>
                <w:rFonts w:cs="Calibri"/>
                <w:sz w:val="20"/>
              </w:rPr>
              <w:t>CO</w:t>
            </w:r>
            <w:r w:rsidRPr="00CB1C46">
              <w:rPr>
                <w:rFonts w:cs="Calibri"/>
                <w:sz w:val="20"/>
                <w:vertAlign w:val="subscript"/>
              </w:rPr>
              <w:t>2</w:t>
            </w:r>
            <w:r w:rsidRPr="00CB1C46">
              <w:rPr>
                <w:rFonts w:eastAsia="Calibri" w:cs="Calibri"/>
                <w:sz w:val="20"/>
              </w:rPr>
              <w:t xml:space="preserve"> and </w:t>
            </w:r>
            <w:r w:rsidRPr="00CB1C46">
              <w:rPr>
                <w:rFonts w:cs="Calibri"/>
                <w:sz w:val="20"/>
              </w:rPr>
              <w:t>CH</w:t>
            </w:r>
            <w:r w:rsidRPr="00CB1C46">
              <w:rPr>
                <w:rFonts w:cs="Calibri"/>
                <w:sz w:val="20"/>
                <w:vertAlign w:val="subscript"/>
              </w:rPr>
              <w:t>4</w:t>
            </w:r>
            <w:r w:rsidRPr="00CB1C46">
              <w:rPr>
                <w:rFonts w:eastAsia="Calibri" w:cs="Calibri"/>
                <w:sz w:val="20"/>
              </w:rPr>
              <w:t xml:space="preserve"> in the steam. Gas samples are collected at the inlet to the electricity generation station and at the extraction process when gas is dissolved in the condensate (wastewater).</w:t>
            </w:r>
          </w:p>
          <w:p w14:paraId="072C661F" w14:textId="77777777" w:rsidR="00660978" w:rsidRPr="00CB1C46" w:rsidRDefault="00660978" w:rsidP="004873FC">
            <w:pPr>
              <w:pStyle w:val="BodyText"/>
              <w:ind w:left="284" w:right="284"/>
              <w:rPr>
                <w:rFonts w:eastAsia="Calibri" w:cs="Calibri"/>
                <w:sz w:val="20"/>
              </w:rPr>
            </w:pPr>
            <w:r w:rsidRPr="00CB1C46">
              <w:rPr>
                <w:rFonts w:eastAsia="Calibri" w:cs="Calibri"/>
                <w:sz w:val="20"/>
              </w:rPr>
              <w:t xml:space="preserve">The concentration of </w:t>
            </w:r>
            <w:r w:rsidRPr="00CB1C46">
              <w:rPr>
                <w:rFonts w:cs="Calibri"/>
                <w:sz w:val="20"/>
              </w:rPr>
              <w:t>CO</w:t>
            </w:r>
            <w:r w:rsidRPr="00CB1C46">
              <w:rPr>
                <w:rFonts w:cs="Calibri"/>
                <w:sz w:val="20"/>
                <w:vertAlign w:val="subscript"/>
              </w:rPr>
              <w:t>2</w:t>
            </w:r>
            <w:r w:rsidRPr="00CB1C46">
              <w:rPr>
                <w:rFonts w:eastAsia="Calibri" w:cs="Calibri"/>
                <w:sz w:val="20"/>
              </w:rPr>
              <w:t xml:space="preserve"> (e.g., 0.612 per cent) and </w:t>
            </w:r>
            <w:r w:rsidRPr="00CB1C46">
              <w:rPr>
                <w:rFonts w:cs="Calibri"/>
                <w:sz w:val="20"/>
              </w:rPr>
              <w:t>CH</w:t>
            </w:r>
            <w:r w:rsidRPr="00CB1C46">
              <w:rPr>
                <w:rFonts w:cs="Calibri"/>
                <w:sz w:val="20"/>
                <w:vertAlign w:val="subscript"/>
              </w:rPr>
              <w:t>4</w:t>
            </w:r>
            <w:r w:rsidRPr="00CB1C46">
              <w:rPr>
                <w:rFonts w:eastAsia="Calibri" w:cs="Calibri"/>
                <w:sz w:val="20"/>
              </w:rPr>
              <w:t xml:space="preserve"> (e.g., 0.0029 per cent) by weight of discharged steam is then calculated by carrying out a mass balance.</w:t>
            </w:r>
          </w:p>
          <w:p w14:paraId="4D5670DA" w14:textId="77777777" w:rsidR="00660978" w:rsidRPr="00CB1C46" w:rsidRDefault="00660978" w:rsidP="004873FC">
            <w:pPr>
              <w:spacing w:before="60"/>
              <w:ind w:left="284" w:right="284"/>
              <w:jc w:val="center"/>
              <w:rPr>
                <w:rFonts w:eastAsia="Calibri" w:cs="Calibri"/>
                <w:i/>
                <w:sz w:val="20"/>
              </w:rPr>
            </w:pPr>
            <w:r w:rsidRPr="00CB1C46">
              <w:rPr>
                <w:rFonts w:eastAsia="Calibri" w:cs="Calibri"/>
                <w:i/>
                <w:sz w:val="20"/>
              </w:rPr>
              <w:t xml:space="preserve">‘Gas discharged to atmosphere’ = ‘Gas to electricity generation station’ </w:t>
            </w:r>
            <w:r w:rsidRPr="00CB1C46">
              <w:rPr>
                <w:rFonts w:cs="Calibri"/>
                <w:sz w:val="20"/>
              </w:rPr>
              <w:t>–</w:t>
            </w:r>
            <w:r w:rsidRPr="00CB1C46">
              <w:rPr>
                <w:rFonts w:eastAsia="Calibri" w:cs="Calibri"/>
                <w:i/>
                <w:sz w:val="20"/>
              </w:rPr>
              <w:t xml:space="preserve"> ‘Gas dissolved in condensate’</w:t>
            </w:r>
          </w:p>
          <w:p w14:paraId="083440E0" w14:textId="77777777" w:rsidR="00660978" w:rsidRPr="00CB1C46" w:rsidRDefault="00660978" w:rsidP="008E60A9">
            <w:pPr>
              <w:pStyle w:val="BodyText"/>
              <w:spacing w:before="80" w:after="80"/>
              <w:ind w:left="284" w:right="284"/>
              <w:rPr>
                <w:rFonts w:eastAsia="Calibri" w:cs="Calibri"/>
                <w:sz w:val="20"/>
              </w:rPr>
            </w:pPr>
            <w:r w:rsidRPr="00CB1C46">
              <w:rPr>
                <w:rFonts w:eastAsia="Calibri" w:cs="Calibri"/>
                <w:sz w:val="20"/>
              </w:rPr>
              <w:t xml:space="preserve">Company A also collects information on the average steam flow (tonnes of steam per hour) to the electricity generation station. This average steam flow is based on an annual average (e.g., 582.3 tonnes of steam per hour). </w:t>
            </w:r>
          </w:p>
          <w:p w14:paraId="57A99782" w14:textId="77777777" w:rsidR="00660978" w:rsidRPr="00CB1C46" w:rsidRDefault="00660978" w:rsidP="004873FC">
            <w:pPr>
              <w:pStyle w:val="BodyText"/>
              <w:spacing w:before="80" w:after="80"/>
              <w:ind w:left="284" w:right="284"/>
              <w:rPr>
                <w:rFonts w:eastAsia="Calibri" w:cs="Calibri"/>
                <w:sz w:val="20"/>
              </w:rPr>
            </w:pPr>
            <w:r w:rsidRPr="00CB1C46">
              <w:rPr>
                <w:rFonts w:eastAsia="Calibri" w:cs="Calibri"/>
                <w:sz w:val="20"/>
              </w:rPr>
              <w:t xml:space="preserve">Therefore, working out </w:t>
            </w:r>
            <w:r w:rsidRPr="00CB1C46">
              <w:rPr>
                <w:rFonts w:cs="Calibri"/>
                <w:sz w:val="20"/>
              </w:rPr>
              <w:t>CO</w:t>
            </w:r>
            <w:r w:rsidRPr="00CB1C46">
              <w:rPr>
                <w:rFonts w:cs="Calibri"/>
                <w:sz w:val="20"/>
                <w:vertAlign w:val="subscript"/>
              </w:rPr>
              <w:t>2</w:t>
            </w:r>
            <w:r w:rsidRPr="00CB1C46">
              <w:rPr>
                <w:rFonts w:eastAsia="Calibri" w:cs="Calibri"/>
                <w:sz w:val="20"/>
              </w:rPr>
              <w:t xml:space="preserve"> emissions discharged to the atmosphere involves the following calculations.</w:t>
            </w:r>
          </w:p>
          <w:p w14:paraId="202630AB" w14:textId="77777777" w:rsidR="00660978" w:rsidRPr="00CB1C46" w:rsidRDefault="00660978" w:rsidP="004873FC">
            <w:pPr>
              <w:pStyle w:val="BodyText"/>
              <w:keepNext/>
              <w:spacing w:before="80" w:after="80"/>
              <w:ind w:left="284" w:right="284"/>
              <w:rPr>
                <w:rFonts w:eastAsia="Calibri" w:cs="Calibri"/>
                <w:sz w:val="20"/>
              </w:rPr>
            </w:pPr>
            <w:r w:rsidRPr="00CB1C46">
              <w:rPr>
                <w:rFonts w:eastAsia="Calibri" w:cs="Calibri"/>
                <w:sz w:val="20"/>
              </w:rPr>
              <w:t xml:space="preserve">Average discharge per hour is calculated as: </w:t>
            </w:r>
          </w:p>
          <w:p w14:paraId="7425CCCF" w14:textId="77777777" w:rsidR="00660978" w:rsidRPr="00CB1C46" w:rsidRDefault="00660978" w:rsidP="004873FC">
            <w:pPr>
              <w:ind w:left="284" w:right="284"/>
              <w:jc w:val="center"/>
              <w:rPr>
                <w:rFonts w:eastAsia="Calibri" w:cs="Calibri"/>
                <w:sz w:val="20"/>
              </w:rPr>
            </w:pPr>
            <w:r w:rsidRPr="00CB1C46">
              <w:rPr>
                <w:rFonts w:eastAsia="Calibri" w:cs="Calibri"/>
                <w:position w:val="-28"/>
                <w:sz w:val="20"/>
              </w:rPr>
              <w:object w:dxaOrig="6380" w:dyaOrig="660" w14:anchorId="6ED2B185">
                <v:shape id="_x0000_i1062" type="#_x0000_t75" style="width:335.7pt;height:37.65pt" o:ole="">
                  <v:imagedata r:id="rId77" o:title="" cropright="9261f"/>
                </v:shape>
                <o:OLEObject Type="Embed" ProgID="Equation.3" ShapeID="_x0000_i1062" DrawAspect="Content" ObjectID="_1710830381" r:id="rId78"/>
              </w:object>
            </w:r>
          </w:p>
          <w:p w14:paraId="692F2658" w14:textId="77777777" w:rsidR="00660978" w:rsidRPr="00CB1C46" w:rsidRDefault="00660978" w:rsidP="008E60A9">
            <w:pPr>
              <w:spacing w:before="80" w:after="80"/>
              <w:ind w:left="284" w:right="284"/>
              <w:rPr>
                <w:rFonts w:eastAsia="Calibri" w:cs="Calibri"/>
                <w:sz w:val="20"/>
              </w:rPr>
            </w:pPr>
            <w:r w:rsidRPr="00CB1C46">
              <w:rPr>
                <w:rFonts w:eastAsia="Calibri" w:cs="Calibri"/>
                <w:sz w:val="20"/>
              </w:rPr>
              <w:t>And the total discharge per year is:</w:t>
            </w:r>
          </w:p>
          <w:p w14:paraId="50DEF5A1" w14:textId="77777777" w:rsidR="00660978" w:rsidRPr="00CB1C46" w:rsidRDefault="00660978" w:rsidP="004873FC">
            <w:pPr>
              <w:ind w:left="284" w:right="284"/>
              <w:jc w:val="center"/>
              <w:rPr>
                <w:rFonts w:eastAsia="Calibri" w:cs="Calibri"/>
                <w:sz w:val="20"/>
              </w:rPr>
            </w:pPr>
            <w:r w:rsidRPr="00CB1C46">
              <w:rPr>
                <w:rFonts w:eastAsia="Calibri" w:cs="Calibri"/>
                <w:position w:val="-28"/>
                <w:sz w:val="20"/>
              </w:rPr>
              <w:object w:dxaOrig="6420" w:dyaOrig="680" w14:anchorId="23F13753">
                <v:shape id="_x0000_i1063" type="#_x0000_t75" style="width:2in;height:37.65pt" o:ole="">
                  <v:imagedata r:id="rId79" o:title="" cropleft="41456f"/>
                </v:shape>
                <o:OLEObject Type="Embed" ProgID="Equation.3" ShapeID="_x0000_i1063" DrawAspect="Content" ObjectID="_1710830382" r:id="rId80"/>
              </w:object>
            </w:r>
            <w:r w:rsidRPr="00CB1C46">
              <w:rPr>
                <w:rFonts w:eastAsia="Calibri" w:cs="Calibri"/>
                <w:sz w:val="20"/>
              </w:rPr>
              <w:t xml:space="preserve">= 31,230 tonnes of </w:t>
            </w:r>
            <w:r w:rsidRPr="00CB1C46">
              <w:rPr>
                <w:rFonts w:cs="Calibri"/>
                <w:sz w:val="20"/>
              </w:rPr>
              <w:t>CO</w:t>
            </w:r>
            <w:r w:rsidRPr="00CB1C46">
              <w:rPr>
                <w:rFonts w:cs="Calibri"/>
                <w:sz w:val="20"/>
                <w:vertAlign w:val="subscript"/>
              </w:rPr>
              <w:t>2</w:t>
            </w:r>
            <w:r w:rsidRPr="00CB1C46">
              <w:rPr>
                <w:rFonts w:eastAsia="Calibri" w:cs="Calibri"/>
                <w:sz w:val="20"/>
              </w:rPr>
              <w:t>.</w:t>
            </w:r>
          </w:p>
          <w:p w14:paraId="1481FE67" w14:textId="77777777" w:rsidR="00660978" w:rsidRPr="00CB1C46" w:rsidRDefault="00660978" w:rsidP="008E60A9">
            <w:pPr>
              <w:spacing w:before="120" w:after="240"/>
              <w:ind w:left="284" w:right="284"/>
              <w:rPr>
                <w:rFonts w:eastAsia="Calibri" w:cs="Calibri"/>
                <w:sz w:val="20"/>
                <w:highlight w:val="yellow"/>
              </w:rPr>
            </w:pPr>
            <w:r w:rsidRPr="00CB1C46">
              <w:rPr>
                <w:rFonts w:eastAsia="Calibri" w:cs="Calibri"/>
                <w:sz w:val="20"/>
              </w:rPr>
              <w:t xml:space="preserve">Using the same methodology above will yield 149 tonnes of </w:t>
            </w:r>
            <w:r w:rsidRPr="00CB1C46">
              <w:rPr>
                <w:rFonts w:cs="Calibri"/>
                <w:sz w:val="20"/>
              </w:rPr>
              <w:t>CH</w:t>
            </w:r>
            <w:r w:rsidRPr="00CB1C46">
              <w:rPr>
                <w:rFonts w:cs="Calibri"/>
                <w:sz w:val="20"/>
                <w:vertAlign w:val="subscript"/>
              </w:rPr>
              <w:t>4</w:t>
            </w:r>
            <w:r w:rsidRPr="00CB1C46">
              <w:rPr>
                <w:rFonts w:eastAsia="Calibri" w:cs="Calibri"/>
                <w:sz w:val="20"/>
              </w:rPr>
              <w:t xml:space="preserve">. The overall emission for Company A is therefore 34,359 tonnes of </w:t>
            </w:r>
            <w:r w:rsidRPr="00CB1C46">
              <w:rPr>
                <w:rFonts w:cs="Calibri"/>
                <w:sz w:val="20"/>
              </w:rPr>
              <w:t>CO</w:t>
            </w:r>
            <w:r w:rsidRPr="00CB1C46">
              <w:rPr>
                <w:rFonts w:cs="Calibri"/>
                <w:sz w:val="20"/>
                <w:vertAlign w:val="subscript"/>
              </w:rPr>
              <w:t>2</w:t>
            </w:r>
            <w:r w:rsidRPr="00CB1C46">
              <w:rPr>
                <w:rFonts w:eastAsia="Calibri" w:cs="Calibri"/>
                <w:sz w:val="20"/>
              </w:rPr>
              <w:t xml:space="preserve">-e emissions. </w:t>
            </w:r>
          </w:p>
        </w:tc>
      </w:tr>
    </w:tbl>
    <w:p w14:paraId="3762DB58" w14:textId="77777777" w:rsidR="00660978" w:rsidRPr="00CB1C46" w:rsidRDefault="00660978" w:rsidP="008E60A9">
      <w:pPr>
        <w:pStyle w:val="BodyText"/>
        <w:spacing w:before="60" w:after="60"/>
        <w:rPr>
          <w:rFonts w:cs="Calibri"/>
        </w:rPr>
      </w:pPr>
    </w:p>
    <w:tbl>
      <w:tblPr>
        <w:tblW w:w="85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8505"/>
      </w:tblGrid>
      <w:tr w:rsidR="00660978" w:rsidRPr="00CB1C46" w14:paraId="0DBC08F0" w14:textId="77777777" w:rsidTr="008E60A9">
        <w:tc>
          <w:tcPr>
            <w:tcW w:w="7938" w:type="dxa"/>
            <w:shd w:val="clear" w:color="auto" w:fill="auto"/>
          </w:tcPr>
          <w:p w14:paraId="66859C8D" w14:textId="77777777" w:rsidR="00660978" w:rsidRPr="00CB1C46" w:rsidRDefault="00660978" w:rsidP="008E60A9">
            <w:pPr>
              <w:pStyle w:val="Heading6"/>
              <w:keepNext w:val="0"/>
              <w:ind w:left="284" w:right="284"/>
              <w:rPr>
                <w:rFonts w:eastAsia="Calibri"/>
              </w:rPr>
            </w:pPr>
            <w:r w:rsidRPr="00442267">
              <w:rPr>
                <w:rFonts w:eastAsia="Calibri"/>
              </w:rPr>
              <w:t>Geothermal</w:t>
            </w:r>
            <w:r w:rsidRPr="00CB1C46">
              <w:rPr>
                <w:rFonts w:eastAsia="Calibri"/>
              </w:rPr>
              <w:t xml:space="preserve"> methodology for Company B</w:t>
            </w:r>
          </w:p>
          <w:p w14:paraId="2ED3C868" w14:textId="77777777" w:rsidR="00660978" w:rsidRPr="00CB1C46" w:rsidRDefault="00660978" w:rsidP="008E60A9">
            <w:pPr>
              <w:pStyle w:val="BodyText"/>
              <w:spacing w:before="80" w:after="240"/>
              <w:ind w:left="284" w:right="284"/>
              <w:rPr>
                <w:rFonts w:eastAsia="Calibri" w:cs="Calibri"/>
                <w:sz w:val="20"/>
              </w:rPr>
            </w:pPr>
            <w:r w:rsidRPr="00CB1C46">
              <w:rPr>
                <w:rFonts w:eastAsia="Calibri" w:cs="Calibri"/>
                <w:sz w:val="20"/>
              </w:rPr>
              <w:t xml:space="preserve">At Company B, spot measurements of both </w:t>
            </w:r>
            <w:r w:rsidRPr="00CB1C46">
              <w:rPr>
                <w:rFonts w:cs="Calibri"/>
                <w:sz w:val="20"/>
              </w:rPr>
              <w:t>CO</w:t>
            </w:r>
            <w:r w:rsidRPr="00CB1C46">
              <w:rPr>
                <w:rFonts w:cs="Calibri"/>
                <w:sz w:val="20"/>
                <w:vertAlign w:val="subscript"/>
              </w:rPr>
              <w:t>2</w:t>
            </w:r>
            <w:r w:rsidRPr="00CB1C46">
              <w:rPr>
                <w:rFonts w:eastAsia="Calibri" w:cs="Calibri"/>
                <w:sz w:val="20"/>
              </w:rPr>
              <w:t xml:space="preserve"> and </w:t>
            </w:r>
            <w:r w:rsidRPr="00CB1C46">
              <w:rPr>
                <w:rFonts w:cs="Calibri"/>
                <w:sz w:val="20"/>
              </w:rPr>
              <w:t>CH</w:t>
            </w:r>
            <w:r w:rsidRPr="00CB1C46">
              <w:rPr>
                <w:rFonts w:cs="Calibri"/>
                <w:sz w:val="20"/>
                <w:vertAlign w:val="subscript"/>
              </w:rPr>
              <w:t>4</w:t>
            </w:r>
            <w:r w:rsidRPr="00CB1C46">
              <w:rPr>
                <w:rFonts w:eastAsia="Calibri" w:cs="Calibri"/>
                <w:sz w:val="20"/>
              </w:rPr>
              <w:t xml:space="preserve"> concentrations are taken at the inlet steam when the power stations are operating normally. The net megawatt hours of electricity generated that day are then used to calculate the emission factor. This implied emission factor is then multiplied by the annual amount of electricity generated to work out the annual emissions for each power station.</w:t>
            </w:r>
          </w:p>
        </w:tc>
      </w:tr>
    </w:tbl>
    <w:p w14:paraId="01AF99C9" w14:textId="77777777" w:rsidR="00660978" w:rsidRPr="00CB1C46" w:rsidRDefault="00660978" w:rsidP="00660978">
      <w:pPr>
        <w:pStyle w:val="Heading4"/>
        <w:spacing w:before="360"/>
      </w:pPr>
      <w:r w:rsidRPr="00CB1C46">
        <w:rPr>
          <w:lang w:eastAsia="en-GB"/>
        </w:rPr>
        <w:lastRenderedPageBreak/>
        <w:t>Activity data</w:t>
      </w:r>
    </w:p>
    <w:p w14:paraId="48AB6925" w14:textId="77777777" w:rsidR="00660978" w:rsidRPr="00CB1C46" w:rsidRDefault="00660978" w:rsidP="00660978">
      <w:pPr>
        <w:pStyle w:val="Heading5"/>
        <w:spacing w:before="160"/>
        <w:rPr>
          <w:rFonts w:cs="Calibri"/>
          <w:lang w:eastAsia="en-GB"/>
        </w:rPr>
      </w:pPr>
      <w:r w:rsidRPr="00CB1C46">
        <w:rPr>
          <w:rFonts w:cs="Calibri"/>
          <w:lang w:eastAsia="en-GB"/>
        </w:rPr>
        <w:t>1.B.2.a.1 Exploration</w:t>
      </w:r>
    </w:p>
    <w:p w14:paraId="72ED81F7" w14:textId="77777777" w:rsidR="00660978" w:rsidRPr="00CB1C46" w:rsidRDefault="00660978" w:rsidP="00660978">
      <w:pPr>
        <w:pStyle w:val="BodyText"/>
        <w:spacing w:before="100" w:after="100"/>
        <w:rPr>
          <w:rFonts w:cs="Calibri"/>
          <w:lang w:eastAsia="en-GB"/>
        </w:rPr>
      </w:pPr>
      <w:r w:rsidRPr="00CB1C46">
        <w:rPr>
          <w:rFonts w:cs="Calibri"/>
          <w:lang w:eastAsia="en-GB"/>
        </w:rPr>
        <w:t>Activity data are the number of wells drilled in each year as reported by New Zealand Petroleum and Minerals (MBIE, 2021). Data were only available for the years from 2001 onwards, so estimates were made by extrapolation for the years preceding 2001.</w:t>
      </w:r>
    </w:p>
    <w:p w14:paraId="1C9FC330" w14:textId="77777777" w:rsidR="00660978" w:rsidRPr="00CB1C46" w:rsidRDefault="00660978" w:rsidP="00660978">
      <w:pPr>
        <w:pStyle w:val="Heading5"/>
        <w:rPr>
          <w:rFonts w:cs="Calibri"/>
          <w:lang w:eastAsia="en-GB"/>
        </w:rPr>
      </w:pPr>
      <w:r w:rsidRPr="00CB1C46">
        <w:rPr>
          <w:rFonts w:cs="Calibri"/>
          <w:lang w:eastAsia="en-GB"/>
        </w:rPr>
        <w:t>1.B.2.a.3 Transport</w:t>
      </w:r>
    </w:p>
    <w:p w14:paraId="380FD5FD" w14:textId="77777777" w:rsidR="00660978" w:rsidRPr="00CB1C46" w:rsidRDefault="00660978" w:rsidP="00660978">
      <w:pPr>
        <w:pStyle w:val="BodyText"/>
        <w:spacing w:before="100" w:after="100"/>
        <w:rPr>
          <w:rFonts w:cs="Calibri"/>
        </w:rPr>
      </w:pPr>
      <w:r w:rsidRPr="00CB1C46">
        <w:rPr>
          <w:rFonts w:cs="Calibri"/>
          <w:lang w:eastAsia="en-GB"/>
        </w:rPr>
        <w:t xml:space="preserve">The activity data are New Zealand’s total production of crude oil (MBIE, 2021). </w:t>
      </w:r>
    </w:p>
    <w:p w14:paraId="529124AC" w14:textId="77777777" w:rsidR="00660978" w:rsidRPr="00CB1C46" w:rsidRDefault="00660978" w:rsidP="00660978">
      <w:pPr>
        <w:pStyle w:val="Heading5"/>
        <w:rPr>
          <w:rFonts w:cs="Calibri"/>
          <w:lang w:eastAsia="en-GB"/>
        </w:rPr>
      </w:pPr>
      <w:r w:rsidRPr="00CB1C46">
        <w:rPr>
          <w:rFonts w:cs="Calibri"/>
          <w:lang w:eastAsia="en-GB"/>
        </w:rPr>
        <w:t>1.B.2.a.4 Refining</w:t>
      </w:r>
    </w:p>
    <w:p w14:paraId="2538CB8E" w14:textId="77777777" w:rsidR="00660978" w:rsidRPr="00CB1C46" w:rsidRDefault="00660978" w:rsidP="00660978">
      <w:pPr>
        <w:pStyle w:val="BodyText"/>
        <w:rPr>
          <w:rFonts w:cs="Calibri"/>
          <w:lang w:eastAsia="en-GB"/>
        </w:rPr>
      </w:pPr>
      <w:r w:rsidRPr="00CB1C46">
        <w:rPr>
          <w:rFonts w:cs="Calibri"/>
          <w:lang w:eastAsia="en-GB"/>
        </w:rPr>
        <w:t xml:space="preserve">Activity data are total intake at New Zealand’s sole oil refinery (MBIE, 2021). </w:t>
      </w:r>
    </w:p>
    <w:p w14:paraId="0EE5BDBD" w14:textId="77777777" w:rsidR="00660978" w:rsidRPr="00CB1C46" w:rsidRDefault="00660978" w:rsidP="00660978">
      <w:pPr>
        <w:pStyle w:val="Heading5"/>
        <w:rPr>
          <w:rFonts w:cs="Calibri"/>
          <w:lang w:eastAsia="en-GB"/>
        </w:rPr>
      </w:pPr>
      <w:r w:rsidRPr="00CB1C46">
        <w:rPr>
          <w:rFonts w:cs="Calibri"/>
          <w:lang w:eastAsia="en-GB"/>
        </w:rPr>
        <w:t>1.B.2.a.5 Distribution of oil products</w:t>
      </w:r>
    </w:p>
    <w:p w14:paraId="1EACA326" w14:textId="77777777" w:rsidR="00660978" w:rsidRPr="00CB1C46" w:rsidRDefault="00660978" w:rsidP="00660978">
      <w:pPr>
        <w:pStyle w:val="BodyText"/>
        <w:rPr>
          <w:rFonts w:cs="Calibri"/>
          <w:lang w:eastAsia="en-GB"/>
        </w:rPr>
      </w:pPr>
      <w:r w:rsidRPr="00CB1C46">
        <w:rPr>
          <w:rFonts w:cs="Calibri"/>
          <w:lang w:eastAsia="en-GB"/>
        </w:rPr>
        <w:t>Activity data are New Zealand’s total consumption of gasoline (MBIE, 2021).</w:t>
      </w:r>
    </w:p>
    <w:p w14:paraId="5FFBB814" w14:textId="77777777" w:rsidR="00660978" w:rsidRPr="00CB1C46" w:rsidRDefault="00660978" w:rsidP="00660978">
      <w:pPr>
        <w:pStyle w:val="Heading5"/>
        <w:rPr>
          <w:rFonts w:cs="Calibri"/>
          <w:lang w:eastAsia="en-GB"/>
        </w:rPr>
      </w:pPr>
      <w:r w:rsidRPr="00CB1C46">
        <w:rPr>
          <w:rFonts w:cs="Calibri"/>
          <w:lang w:eastAsia="en-GB"/>
        </w:rPr>
        <w:t>1.B.2.b.3 Processing</w:t>
      </w:r>
    </w:p>
    <w:p w14:paraId="56D1B7D9" w14:textId="77777777" w:rsidR="00660978" w:rsidRPr="00CB1C46" w:rsidRDefault="00660978" w:rsidP="00660978">
      <w:pPr>
        <w:pStyle w:val="BodyText"/>
        <w:rPr>
          <w:rFonts w:cs="Calibri"/>
          <w:lang w:eastAsia="en-GB"/>
        </w:rPr>
      </w:pPr>
      <w:r w:rsidRPr="00CB1C46">
        <w:rPr>
          <w:rFonts w:cs="Calibri"/>
          <w:lang w:eastAsia="en-GB"/>
        </w:rPr>
        <w:t>Venting of CO</w:t>
      </w:r>
      <w:r w:rsidRPr="00CB1C46">
        <w:rPr>
          <w:rFonts w:cs="Calibri"/>
          <w:vertAlign w:val="subscript"/>
          <w:lang w:eastAsia="en-GB"/>
        </w:rPr>
        <w:t>2</w:t>
      </w:r>
      <w:r w:rsidRPr="00CB1C46">
        <w:rPr>
          <w:rFonts w:cs="Calibri"/>
          <w:lang w:eastAsia="en-GB"/>
        </w:rPr>
        <w:t xml:space="preserve"> is reported under 1.B.2.c.2, in accordance with a previous ERT recommendation. No activity data are available.</w:t>
      </w:r>
    </w:p>
    <w:p w14:paraId="4686DED7" w14:textId="77777777" w:rsidR="00660978" w:rsidRPr="00CB1C46" w:rsidRDefault="00660978" w:rsidP="00660978">
      <w:pPr>
        <w:pStyle w:val="Heading5"/>
        <w:rPr>
          <w:rFonts w:cs="Calibri"/>
          <w:lang w:eastAsia="en-GB"/>
        </w:rPr>
      </w:pPr>
      <w:r w:rsidRPr="00CB1C46">
        <w:rPr>
          <w:rFonts w:cs="Calibri"/>
          <w:lang w:eastAsia="en-GB"/>
        </w:rPr>
        <w:t>1.B.2.b.4 Transmission and 1.B.2.b.5 Distribution</w:t>
      </w:r>
    </w:p>
    <w:p w14:paraId="3F1FC43C" w14:textId="77777777" w:rsidR="00660978" w:rsidRPr="00CB1C46" w:rsidRDefault="00660978" w:rsidP="00660978">
      <w:pPr>
        <w:pStyle w:val="BodyText"/>
        <w:rPr>
          <w:rFonts w:cs="Calibri"/>
          <w:lang w:eastAsia="en-GB"/>
        </w:rPr>
      </w:pPr>
      <w:r w:rsidRPr="00CB1C46">
        <w:rPr>
          <w:rFonts w:cs="Calibri"/>
          <w:lang w:eastAsia="en-GB"/>
        </w:rPr>
        <w:t xml:space="preserve">Carbon dioxide and </w:t>
      </w:r>
      <w:r w:rsidRPr="00CB1C46">
        <w:rPr>
          <w:rFonts w:cs="Calibri"/>
        </w:rPr>
        <w:t>CH</w:t>
      </w:r>
      <w:r w:rsidRPr="00CB1C46">
        <w:rPr>
          <w:rFonts w:cs="Calibri"/>
          <w:vertAlign w:val="subscript"/>
        </w:rPr>
        <w:t>4</w:t>
      </w:r>
      <w:r w:rsidRPr="00CB1C46">
        <w:rPr>
          <w:rFonts w:cs="Calibri"/>
          <w:sz w:val="14"/>
          <w:szCs w:val="14"/>
          <w:lang w:eastAsia="en-GB"/>
        </w:rPr>
        <w:t xml:space="preserve"> </w:t>
      </w:r>
      <w:r w:rsidRPr="00CB1C46">
        <w:rPr>
          <w:rFonts w:cs="Calibri"/>
          <w:lang w:eastAsia="en-GB"/>
        </w:rPr>
        <w:t xml:space="preserve">emissions from gas leakage mainly occur from low-pressure distribution pipelines rather than from high-pressure transmission pipelines. Emissions from transmission and distribution are reported separately. </w:t>
      </w:r>
    </w:p>
    <w:p w14:paraId="40B7FB60" w14:textId="77777777" w:rsidR="00660978" w:rsidRPr="00CB1C46" w:rsidRDefault="00660978" w:rsidP="00660978">
      <w:pPr>
        <w:pStyle w:val="BodyText"/>
        <w:rPr>
          <w:rFonts w:cs="Calibri"/>
        </w:rPr>
      </w:pPr>
      <w:r w:rsidRPr="00CB1C46">
        <w:rPr>
          <w:rFonts w:cs="Calibri"/>
          <w:lang w:eastAsia="en-GB"/>
        </w:rPr>
        <w:t>Emissions from the high-pressure transmission system were provided by the system operator. N</w:t>
      </w:r>
      <w:r w:rsidRPr="00CB1C46">
        <w:rPr>
          <w:rFonts w:cs="Calibri"/>
        </w:rPr>
        <w:t>atural gas transmission losses included both direct leakage of CH</w:t>
      </w:r>
      <w:r w:rsidRPr="00CB1C46">
        <w:rPr>
          <w:rFonts w:cs="Calibri"/>
          <w:vertAlign w:val="subscript"/>
        </w:rPr>
        <w:t>4</w:t>
      </w:r>
      <w:r w:rsidRPr="00CB1C46">
        <w:rPr>
          <w:rFonts w:cs="Calibri"/>
        </w:rPr>
        <w:t xml:space="preserve"> and CO</w:t>
      </w:r>
      <w:r w:rsidRPr="00CB1C46">
        <w:rPr>
          <w:rFonts w:cs="Calibri"/>
          <w:vertAlign w:val="subscript"/>
        </w:rPr>
        <w:t>2</w:t>
      </w:r>
      <w:r w:rsidRPr="00CB1C46">
        <w:rPr>
          <w:rFonts w:cs="Calibri"/>
        </w:rPr>
        <w:t xml:space="preserve"> and gas lost and/or used when starting lines compressors. Data are provided for gigajoules (GJ) of CH</w:t>
      </w:r>
      <w:r w:rsidRPr="00CB1C46">
        <w:rPr>
          <w:rFonts w:cs="Calibri"/>
          <w:vertAlign w:val="subscript"/>
        </w:rPr>
        <w:t>4</w:t>
      </w:r>
      <w:r w:rsidRPr="00CB1C46">
        <w:rPr>
          <w:rFonts w:cs="Calibri"/>
        </w:rPr>
        <w:t xml:space="preserve"> and tonnes of CO</w:t>
      </w:r>
      <w:r w:rsidRPr="00CB1C46">
        <w:rPr>
          <w:rFonts w:cs="Calibri"/>
          <w:vertAlign w:val="subscript"/>
        </w:rPr>
        <w:t>2</w:t>
      </w:r>
      <w:r w:rsidRPr="00CB1C46">
        <w:rPr>
          <w:rFonts w:cs="Calibri"/>
        </w:rPr>
        <w:t>. Gigajoules of CH</w:t>
      </w:r>
      <w:r w:rsidRPr="00CB1C46">
        <w:rPr>
          <w:rFonts w:cs="Calibri"/>
          <w:vertAlign w:val="subscript"/>
        </w:rPr>
        <w:t>4</w:t>
      </w:r>
      <w:r w:rsidRPr="00CB1C46">
        <w:rPr>
          <w:rFonts w:cs="Calibri"/>
        </w:rPr>
        <w:t xml:space="preserve"> are converted to tonnes of CH</w:t>
      </w:r>
      <w:r w:rsidRPr="00CB1C46">
        <w:rPr>
          <w:rFonts w:cs="Calibri"/>
          <w:vertAlign w:val="subscript"/>
        </w:rPr>
        <w:t>4</w:t>
      </w:r>
      <w:r w:rsidRPr="00CB1C46">
        <w:rPr>
          <w:rFonts w:cs="Calibri"/>
        </w:rPr>
        <w:t xml:space="preserve"> using the conversion factor of 55.6 GJ/t. New Zealand has a high-pressure transmission network nearly 3,500 kilometres in length. It joins most North Island cities (natural gas is available only in New Zealand’s North Island). No time series of the total length of the transmission lines is available; however, expert opinion is that it would have been nearly constant since 1990.</w:t>
      </w:r>
    </w:p>
    <w:p w14:paraId="6D3379F3" w14:textId="77777777" w:rsidR="00660978" w:rsidRPr="00CB1C46" w:rsidRDefault="00660978" w:rsidP="00660978">
      <w:pPr>
        <w:pStyle w:val="BodyText"/>
        <w:rPr>
          <w:rFonts w:cs="Calibri"/>
        </w:rPr>
      </w:pPr>
      <w:r w:rsidRPr="00CB1C46">
        <w:rPr>
          <w:rFonts w:cs="Calibri"/>
        </w:rPr>
        <w:t>New Zealand bases distribution loss emissions on information about gas entering the distribution network, which is administrative data collected at the ‘gas gate’ by the gas industry regulator (the Gas Industry Company Ltd). It does not follow the alternative approach</w:t>
      </w:r>
      <w:r>
        <w:rPr>
          <w:rFonts w:cs="Calibri"/>
        </w:rPr>
        <w:t> </w:t>
      </w:r>
      <w:r w:rsidRPr="00CB1C46">
        <w:rPr>
          <w:rFonts w:cs="Calibri"/>
        </w:rPr>
        <w:t>of using survey information collected from gas retailers on the amount of gas sold</w:t>
      </w:r>
      <w:r>
        <w:rPr>
          <w:rFonts w:cs="Calibri"/>
        </w:rPr>
        <w:t> </w:t>
      </w:r>
      <w:r w:rsidRPr="00CB1C46">
        <w:rPr>
          <w:rFonts w:cs="Calibri"/>
        </w:rPr>
        <w:t>and metered at the individual customer (household, small business) level.</w:t>
      </w:r>
    </w:p>
    <w:p w14:paraId="6ADA4494" w14:textId="77777777" w:rsidR="00660978" w:rsidRPr="00CB1C46" w:rsidRDefault="00660978" w:rsidP="00660978">
      <w:pPr>
        <w:pStyle w:val="BodyText"/>
        <w:rPr>
          <w:rFonts w:cs="Calibri"/>
          <w:lang w:eastAsia="en-GB"/>
        </w:rPr>
      </w:pPr>
      <w:r w:rsidRPr="00CB1C46">
        <w:rPr>
          <w:rFonts w:cs="Calibri"/>
          <w:lang w:eastAsia="en-GB"/>
        </w:rPr>
        <w:t>Of the gas entering the low-pressure distribution system, 1.75 per cent (</w:t>
      </w:r>
      <w:r w:rsidRPr="00CB1C46">
        <w:rPr>
          <w:rFonts w:cs="Calibri"/>
        </w:rPr>
        <w:t>which is based on consultation between the Government and the Gas Association of New Zealand, an industry group</w:t>
      </w:r>
      <w:r w:rsidRPr="00CB1C46">
        <w:rPr>
          <w:rFonts w:cs="Calibri"/>
          <w:lang w:eastAsia="en-GB"/>
        </w:rPr>
        <w:t xml:space="preserve">) is assumed to be lost through leakage. Consequently, the amount of natural gas leaked from the low-pressure distribution system is assumed to be 1.75 per cent of the gas entering the distribution system, and </w:t>
      </w:r>
      <w:r w:rsidRPr="00CB1C46">
        <w:rPr>
          <w:rFonts w:cs="Calibri"/>
        </w:rPr>
        <w:t>CO</w:t>
      </w:r>
      <w:r w:rsidRPr="00CB1C46">
        <w:rPr>
          <w:rFonts w:cs="Calibri"/>
          <w:vertAlign w:val="subscript"/>
        </w:rPr>
        <w:t>2</w:t>
      </w:r>
      <w:r w:rsidRPr="00CB1C46">
        <w:rPr>
          <w:rFonts w:cs="Calibri"/>
          <w:sz w:val="14"/>
          <w:szCs w:val="14"/>
          <w:lang w:eastAsia="en-GB"/>
        </w:rPr>
        <w:t xml:space="preserve"> </w:t>
      </w:r>
      <w:r w:rsidRPr="00CB1C46">
        <w:rPr>
          <w:rFonts w:cs="Calibri"/>
          <w:lang w:eastAsia="en-GB"/>
        </w:rPr>
        <w:t xml:space="preserve">and </w:t>
      </w:r>
      <w:r w:rsidRPr="00CB1C46">
        <w:rPr>
          <w:rFonts w:cs="Calibri"/>
        </w:rPr>
        <w:t>CH</w:t>
      </w:r>
      <w:r w:rsidRPr="00CB1C46">
        <w:rPr>
          <w:rFonts w:cs="Calibri"/>
          <w:vertAlign w:val="subscript"/>
        </w:rPr>
        <w:t>4</w:t>
      </w:r>
      <w:r w:rsidRPr="00CB1C46">
        <w:rPr>
          <w:rFonts w:cs="Calibri"/>
          <w:sz w:val="14"/>
          <w:szCs w:val="14"/>
          <w:lang w:eastAsia="en-GB"/>
        </w:rPr>
        <w:t xml:space="preserve"> </w:t>
      </w:r>
      <w:r w:rsidRPr="00CB1C46">
        <w:rPr>
          <w:rFonts w:cs="Calibri"/>
          <w:lang w:eastAsia="en-GB"/>
        </w:rPr>
        <w:t>emissions are calculated based on the natural gas composition data provided by the system operator.</w:t>
      </w:r>
    </w:p>
    <w:p w14:paraId="5285D1C8" w14:textId="77777777" w:rsidR="00660978" w:rsidRPr="00CB1C46" w:rsidRDefault="00660978" w:rsidP="00660978">
      <w:pPr>
        <w:pStyle w:val="Heading5"/>
        <w:rPr>
          <w:rFonts w:cs="Calibri"/>
          <w:lang w:eastAsia="en-GB"/>
        </w:rPr>
      </w:pPr>
      <w:r w:rsidRPr="00CB1C46">
        <w:rPr>
          <w:rFonts w:cs="Calibri"/>
          <w:lang w:eastAsia="en-GB"/>
        </w:rPr>
        <w:lastRenderedPageBreak/>
        <w:t xml:space="preserve">1.B.2.b.4 Natural gas storage </w:t>
      </w:r>
    </w:p>
    <w:p w14:paraId="72CDD4C6" w14:textId="77777777" w:rsidR="00660978" w:rsidRPr="00CB1C46" w:rsidRDefault="00660978" w:rsidP="00660978">
      <w:pPr>
        <w:pStyle w:val="BodyText"/>
        <w:rPr>
          <w:rFonts w:cs="Calibri"/>
        </w:rPr>
      </w:pPr>
      <w:r w:rsidRPr="00CB1C46">
        <w:rPr>
          <w:rFonts w:cs="Calibri"/>
        </w:rPr>
        <w:t xml:space="preserve">Natural gas storage occurs at the Ahuroa gas storage facility. Ahuroa is a depleted gas field that can hold 5 PJ to 10 PJ of natural gas at any one point. A significant portion of this gas is used to run Contact Energy’s Stratford gas peaking plant, which consists of two 100 MW open cycle gas turbine units. </w:t>
      </w:r>
    </w:p>
    <w:p w14:paraId="5D689814" w14:textId="77777777" w:rsidR="00660978" w:rsidRPr="00CB1C46" w:rsidRDefault="00660978" w:rsidP="00660978">
      <w:pPr>
        <w:pStyle w:val="Heading5"/>
        <w:rPr>
          <w:rFonts w:cs="Calibri"/>
          <w:lang w:eastAsia="en-GB"/>
        </w:rPr>
      </w:pPr>
      <w:r w:rsidRPr="00CB1C46">
        <w:rPr>
          <w:rFonts w:cs="Calibri"/>
          <w:lang w:eastAsia="en-GB"/>
        </w:rPr>
        <w:t>1.B.2.c Venting and fla</w:t>
      </w:r>
      <w:r w:rsidRPr="00CB1C46">
        <w:rPr>
          <w:rFonts w:cs="Calibri"/>
        </w:rPr>
        <w:t>r</w:t>
      </w:r>
      <w:r w:rsidRPr="00CB1C46">
        <w:rPr>
          <w:rFonts w:cs="Calibri"/>
          <w:lang w:eastAsia="en-GB"/>
        </w:rPr>
        <w:t>ing</w:t>
      </w:r>
    </w:p>
    <w:p w14:paraId="109F23B1" w14:textId="77777777" w:rsidR="00660978" w:rsidRPr="00CB1C46" w:rsidRDefault="00660978" w:rsidP="00660978">
      <w:pPr>
        <w:pStyle w:val="BodyText"/>
        <w:rPr>
          <w:rFonts w:cs="Calibri"/>
          <w:lang w:eastAsia="en-GB"/>
        </w:rPr>
      </w:pPr>
      <w:r w:rsidRPr="00CB1C46">
        <w:rPr>
          <w:rFonts w:cs="Calibri"/>
          <w:lang w:eastAsia="en-GB"/>
        </w:rPr>
        <w:t xml:space="preserve">Data on </w:t>
      </w:r>
      <w:r w:rsidRPr="00CB1C46">
        <w:rPr>
          <w:rFonts w:cs="Calibri"/>
        </w:rPr>
        <w:t xml:space="preserve">natural </w:t>
      </w:r>
      <w:r w:rsidRPr="00CB1C46">
        <w:rPr>
          <w:rFonts w:cs="Calibri"/>
          <w:lang w:eastAsia="en-GB"/>
        </w:rPr>
        <w:t xml:space="preserve">gas flaring and losses and own use are reported directly by gas field operators. </w:t>
      </w:r>
    </w:p>
    <w:p w14:paraId="4428EA68" w14:textId="77777777" w:rsidR="00660978" w:rsidRPr="00CB1C46" w:rsidRDefault="00660978" w:rsidP="00660978">
      <w:pPr>
        <w:pStyle w:val="BodyText"/>
        <w:rPr>
          <w:rFonts w:cs="Calibri"/>
          <w:lang w:eastAsia="en-GB"/>
        </w:rPr>
      </w:pPr>
      <w:r w:rsidRPr="00CB1C46">
        <w:rPr>
          <w:rFonts w:cs="Calibri"/>
          <w:lang w:eastAsia="en-GB"/>
        </w:rPr>
        <w:t xml:space="preserve">The operator of the Kapuni Gas Treatment Plant supplies estimates of </w:t>
      </w:r>
      <w:r w:rsidRPr="00CB1C46">
        <w:rPr>
          <w:rFonts w:cs="Calibri"/>
        </w:rPr>
        <w:t>CO</w:t>
      </w:r>
      <w:r w:rsidRPr="00CB1C46">
        <w:rPr>
          <w:rFonts w:cs="Calibri"/>
          <w:vertAlign w:val="subscript"/>
        </w:rPr>
        <w:t>2</w:t>
      </w:r>
      <w:r w:rsidRPr="00CB1C46">
        <w:rPr>
          <w:rFonts w:cs="Calibri"/>
          <w:lang w:eastAsia="en-GB"/>
        </w:rPr>
        <w:t xml:space="preserve"> vented during the</w:t>
      </w:r>
      <w:r>
        <w:rPr>
          <w:rFonts w:cs="Calibri"/>
          <w:lang w:eastAsia="en-GB"/>
        </w:rPr>
        <w:t xml:space="preserve"> </w:t>
      </w:r>
      <w:r w:rsidRPr="00CB1C46">
        <w:rPr>
          <w:rFonts w:cs="Calibri"/>
          <w:lang w:eastAsia="en-GB"/>
        </w:rPr>
        <w:t>processing of natural gas.</w:t>
      </w:r>
    </w:p>
    <w:p w14:paraId="70B57EF4" w14:textId="77777777" w:rsidR="00660978" w:rsidRPr="00CB1C46" w:rsidRDefault="00660978" w:rsidP="00660978">
      <w:pPr>
        <w:pStyle w:val="BodyText"/>
        <w:rPr>
          <w:rFonts w:cs="Calibri"/>
          <w:lang w:eastAsia="en-GB"/>
        </w:rPr>
      </w:pPr>
      <w:r w:rsidRPr="00CB1C46">
        <w:rPr>
          <w:lang w:eastAsia="en-GB"/>
        </w:rPr>
        <w:t>In response to an ERT recommendation, flaring of refinery gas has been reallocated from 1.B.2.a to 1.B.2.c</w:t>
      </w:r>
      <w:r w:rsidRPr="00CB1C46">
        <w:rPr>
          <w:rFonts w:cs="Calibri"/>
          <w:lang w:eastAsia="en-GB"/>
        </w:rPr>
        <w:t>.</w:t>
      </w:r>
    </w:p>
    <w:p w14:paraId="7DD45B69" w14:textId="77777777" w:rsidR="00660978" w:rsidRPr="00CB1C46" w:rsidRDefault="00660978" w:rsidP="00660978">
      <w:pPr>
        <w:pStyle w:val="Heading4"/>
        <w:rPr>
          <w:lang w:eastAsia="en-GB"/>
        </w:rPr>
      </w:pPr>
      <w:r w:rsidRPr="00CB1C46">
        <w:rPr>
          <w:lang w:eastAsia="en-GB"/>
        </w:rPr>
        <w:t>Emission factors</w:t>
      </w:r>
    </w:p>
    <w:p w14:paraId="56C3C640" w14:textId="77777777" w:rsidR="00660978" w:rsidRPr="00CB1C46" w:rsidRDefault="00660978" w:rsidP="00660978">
      <w:pPr>
        <w:pStyle w:val="BodyText"/>
        <w:rPr>
          <w:rFonts w:cs="Calibri"/>
          <w:lang w:eastAsia="en-GB"/>
        </w:rPr>
      </w:pPr>
      <w:r w:rsidRPr="00CB1C46">
        <w:rPr>
          <w:rFonts w:cs="Calibri"/>
          <w:lang w:eastAsia="en-GB"/>
        </w:rPr>
        <w:t>Unless noted otherwise, default IPCC emission factors have been used.</w:t>
      </w:r>
    </w:p>
    <w:p w14:paraId="2F996FE0" w14:textId="77777777" w:rsidR="00660978" w:rsidRPr="00CB1C46" w:rsidRDefault="00660978" w:rsidP="00660978">
      <w:pPr>
        <w:pStyle w:val="Heading4"/>
        <w:rPr>
          <w:lang w:eastAsia="en-GB"/>
        </w:rPr>
      </w:pPr>
      <w:r w:rsidRPr="00CB1C46">
        <w:rPr>
          <w:lang w:eastAsia="en-GB"/>
        </w:rPr>
        <w:t>Uncertainties and time-series consistency</w:t>
      </w:r>
    </w:p>
    <w:p w14:paraId="2C65AA0F" w14:textId="77777777" w:rsidR="00660978" w:rsidRPr="00CB1C46" w:rsidRDefault="00660978" w:rsidP="00660978">
      <w:pPr>
        <w:pStyle w:val="BodyText"/>
        <w:rPr>
          <w:rFonts w:cs="Calibri"/>
          <w:lang w:eastAsia="en-GB"/>
        </w:rPr>
      </w:pPr>
      <w:r w:rsidRPr="00CB1C46">
        <w:rPr>
          <w:rFonts w:cs="Calibri"/>
          <w:lang w:eastAsia="en-GB"/>
        </w:rPr>
        <w:t>The time series of data from the various geothermal fields varies in completeness, with some historical data not available. The individual geothermal fields each produce varying levels of output and emissions so the overall implied emission factors display a certain amount of natural variation.</w:t>
      </w:r>
    </w:p>
    <w:p w14:paraId="5339D871" w14:textId="77777777" w:rsidR="00660978" w:rsidRPr="00CB1C46" w:rsidRDefault="00660978" w:rsidP="00660978">
      <w:pPr>
        <w:pStyle w:val="Heading4"/>
        <w:rPr>
          <w:lang w:eastAsia="en-GB"/>
        </w:rPr>
      </w:pPr>
      <w:r w:rsidRPr="00CB1C46">
        <w:rPr>
          <w:lang w:eastAsia="en-GB"/>
        </w:rPr>
        <w:t>Source-specific QA/QC and verification</w:t>
      </w:r>
    </w:p>
    <w:p w14:paraId="6D313C77" w14:textId="77777777" w:rsidR="00660978" w:rsidRPr="00CB1C46" w:rsidRDefault="00660978" w:rsidP="00660978">
      <w:pPr>
        <w:pStyle w:val="BodyText"/>
        <w:rPr>
          <w:rFonts w:cs="Calibri"/>
          <w:lang w:eastAsia="en-GB"/>
        </w:rPr>
      </w:pPr>
      <w:r w:rsidRPr="00CB1C46">
        <w:rPr>
          <w:rFonts w:cs="Calibri"/>
          <w:lang w:eastAsia="en-GB"/>
        </w:rPr>
        <w:t xml:space="preserve">In the preparation of this inventory, the </w:t>
      </w:r>
      <w:r w:rsidRPr="00CB1C46">
        <w:rPr>
          <w:rFonts w:cs="Calibri"/>
          <w:i/>
          <w:lang w:eastAsia="en-GB"/>
        </w:rPr>
        <w:t>Fugitive emissions</w:t>
      </w:r>
      <w:r w:rsidRPr="00CB1C46">
        <w:rPr>
          <w:rFonts w:cs="Calibri"/>
          <w:lang w:eastAsia="en-GB"/>
        </w:rPr>
        <w:t xml:space="preserve"> category underwent Tier 1 quality</w:t>
      </w:r>
      <w:r w:rsidRPr="00CB1C46">
        <w:rPr>
          <w:rFonts w:cs="Calibri"/>
          <w:lang w:eastAsia="en-GB"/>
        </w:rPr>
        <w:noBreakHyphen/>
        <w:t>assurance and quality-control checks as recommended in the 2006 IPCC Guidelines. These include regular control sums throughout systems, to verify system integrity, and consistency checks of implied emission factors.</w:t>
      </w:r>
    </w:p>
    <w:p w14:paraId="14E9A422" w14:textId="77777777" w:rsidR="00660978" w:rsidRPr="00CB1C46" w:rsidRDefault="00660978" w:rsidP="00660978">
      <w:pPr>
        <w:pStyle w:val="Heading4"/>
        <w:rPr>
          <w:lang w:eastAsia="en-GB"/>
        </w:rPr>
      </w:pPr>
      <w:r w:rsidRPr="00CB1C46">
        <w:rPr>
          <w:lang w:eastAsia="en-GB"/>
        </w:rPr>
        <w:t>Source-specific revisions and improvements</w:t>
      </w:r>
    </w:p>
    <w:p w14:paraId="624A6C6A" w14:textId="77777777" w:rsidR="00660978" w:rsidRPr="00CB1C46" w:rsidRDefault="00660978" w:rsidP="00660978">
      <w:pPr>
        <w:pStyle w:val="BodyText"/>
        <w:rPr>
          <w:rFonts w:cs="Calibri"/>
          <w:lang w:eastAsia="en-GB"/>
        </w:rPr>
      </w:pPr>
      <w:r w:rsidRPr="00CB1C46">
        <w:rPr>
          <w:rFonts w:cs="Calibri"/>
          <w:lang w:eastAsia="en-GB"/>
        </w:rPr>
        <w:t xml:space="preserve">Updated data sourced from field operators has been used to improve the accuracy of emissions estimates for geothermal activities. </w:t>
      </w:r>
    </w:p>
    <w:p w14:paraId="5C2E03F6" w14:textId="77777777" w:rsidR="00660978" w:rsidRPr="00CB1C46" w:rsidRDefault="00660978" w:rsidP="00660978">
      <w:pPr>
        <w:pStyle w:val="Heading4"/>
        <w:rPr>
          <w:lang w:eastAsia="en-GB"/>
        </w:rPr>
      </w:pPr>
      <w:r w:rsidRPr="00CB1C46">
        <w:rPr>
          <w:lang w:eastAsia="en-GB"/>
        </w:rPr>
        <w:t>Source-specific planned improvements</w:t>
      </w:r>
    </w:p>
    <w:p w14:paraId="6C5ACBF5" w14:textId="77777777" w:rsidR="00660978" w:rsidRPr="00CB1C46" w:rsidRDefault="00660978" w:rsidP="00660978">
      <w:pPr>
        <w:pStyle w:val="BodyText"/>
        <w:rPr>
          <w:rFonts w:cs="Calibri"/>
          <w:lang w:eastAsia="en-GB"/>
        </w:rPr>
      </w:pPr>
      <w:r w:rsidRPr="00CB1C46">
        <w:rPr>
          <w:rFonts w:cs="Calibri"/>
          <w:lang w:eastAsia="en-GB"/>
        </w:rPr>
        <w:t>As the data set of verified UEFs for individual geothermal fields and coal mines obtained from the NZ ETS grows, New Zealand will consider methods of incorporating these data to improve the accuracy of estimates.</w:t>
      </w:r>
    </w:p>
    <w:p w14:paraId="724F5CCE" w14:textId="77777777" w:rsidR="00660978" w:rsidRPr="00CB1C46" w:rsidRDefault="00660978" w:rsidP="00660978">
      <w:pPr>
        <w:pStyle w:val="Heading2"/>
        <w:spacing w:before="0" w:after="360"/>
        <w:rPr>
          <w:rFonts w:cs="Calibri"/>
        </w:rPr>
      </w:pPr>
      <w:r w:rsidRPr="00CB1C46">
        <w:rPr>
          <w:rFonts w:cs="Calibri"/>
        </w:rPr>
        <w:br w:type="page"/>
      </w:r>
      <w:bookmarkStart w:id="403" w:name="_Toc384581638"/>
      <w:bookmarkStart w:id="404" w:name="_Toc448321510"/>
      <w:bookmarkStart w:id="405" w:name="_Toc481751372"/>
      <w:bookmarkStart w:id="406" w:name="_Toc36224389"/>
      <w:bookmarkStart w:id="407" w:name="_Toc68786309"/>
      <w:bookmarkStart w:id="408" w:name="_Toc99659116"/>
      <w:r w:rsidRPr="00CB1C46">
        <w:rPr>
          <w:rFonts w:cs="Calibri"/>
        </w:rPr>
        <w:lastRenderedPageBreak/>
        <w:t>Chapter 3: References</w:t>
      </w:r>
      <w:bookmarkEnd w:id="403"/>
      <w:bookmarkEnd w:id="404"/>
      <w:bookmarkEnd w:id="405"/>
      <w:bookmarkEnd w:id="406"/>
      <w:bookmarkEnd w:id="407"/>
      <w:bookmarkEnd w:id="408"/>
    </w:p>
    <w:p w14:paraId="69A82CC4" w14:textId="77777777" w:rsidR="00660978" w:rsidRPr="00CB1C46" w:rsidRDefault="00660978" w:rsidP="00660978">
      <w:pPr>
        <w:pStyle w:val="References"/>
        <w:rPr>
          <w:rFonts w:cs="Calibri"/>
          <w:lang w:eastAsia="en-GB"/>
        </w:rPr>
      </w:pPr>
      <w:r w:rsidRPr="00CB1C46">
        <w:rPr>
          <w:rFonts w:cs="Calibri"/>
          <w:lang w:eastAsia="en-GB"/>
        </w:rPr>
        <w:t xml:space="preserve">Australian Bureau of Statistics and Statistics New Zealand. 2006. </w:t>
      </w:r>
      <w:r w:rsidRPr="00CB1C46">
        <w:rPr>
          <w:rFonts w:cs="Calibri"/>
          <w:i/>
          <w:iCs/>
          <w:lang w:eastAsia="en-GB"/>
        </w:rPr>
        <w:t xml:space="preserve">Australian and New Zealand Standard Industrial Classification Revision 1.0. </w:t>
      </w:r>
      <w:r w:rsidRPr="00CB1C46">
        <w:rPr>
          <w:rFonts w:cs="Calibri"/>
          <w:lang w:eastAsia="en-GB"/>
        </w:rPr>
        <w:t>Canberra: Australian Bureau of Statistics.</w:t>
      </w:r>
    </w:p>
    <w:p w14:paraId="73CA44A0" w14:textId="77777777" w:rsidR="00660978" w:rsidRPr="00CB1C46" w:rsidRDefault="00660978" w:rsidP="00660978">
      <w:pPr>
        <w:pStyle w:val="References"/>
        <w:rPr>
          <w:rFonts w:cs="Calibri"/>
          <w:lang w:eastAsia="en-GB"/>
        </w:rPr>
      </w:pPr>
      <w:r w:rsidRPr="00CB1C46">
        <w:rPr>
          <w:rFonts w:cs="Calibri"/>
          <w:lang w:eastAsia="en-GB"/>
        </w:rPr>
        <w:t xml:space="preserve">Baines JT. 1993. </w:t>
      </w:r>
      <w:r w:rsidRPr="00CB1C46">
        <w:rPr>
          <w:rFonts w:cs="Calibri"/>
          <w:i/>
          <w:iCs/>
          <w:lang w:eastAsia="en-GB"/>
        </w:rPr>
        <w:t>New Zealand Energy Information Handbook</w:t>
      </w:r>
      <w:r w:rsidRPr="00CB1C46">
        <w:rPr>
          <w:rFonts w:cs="Calibri"/>
          <w:lang w:eastAsia="en-GB"/>
        </w:rPr>
        <w:t>. Christchurch: Taylor Baines and Associates.</w:t>
      </w:r>
    </w:p>
    <w:p w14:paraId="31B79DC5" w14:textId="77777777" w:rsidR="00660978" w:rsidRPr="00CB1C46" w:rsidRDefault="00660978" w:rsidP="00660978">
      <w:pPr>
        <w:pStyle w:val="References"/>
        <w:rPr>
          <w:rFonts w:cs="Calibri"/>
          <w:lang w:eastAsia="en-GB"/>
        </w:rPr>
      </w:pPr>
      <w:r w:rsidRPr="00CB1C46">
        <w:rPr>
          <w:rFonts w:cs="Calibri"/>
          <w:lang w:eastAsia="en-GB"/>
        </w:rPr>
        <w:t>Beamish BB, Vance WE. 1992. Greenhouse Gas Contributions from Coal Mining in Australia and New</w:t>
      </w:r>
      <w:r>
        <w:rPr>
          <w:rFonts w:cs="Calibri"/>
          <w:lang w:eastAsia="en-GB"/>
        </w:rPr>
        <w:t> </w:t>
      </w:r>
      <w:r w:rsidRPr="00CB1C46">
        <w:rPr>
          <w:rFonts w:cs="Calibri"/>
          <w:lang w:eastAsia="en-GB"/>
        </w:rPr>
        <w:t xml:space="preserve">Zealand. </w:t>
      </w:r>
      <w:r w:rsidRPr="00CB1C46">
        <w:rPr>
          <w:rFonts w:cs="Calibri"/>
          <w:i/>
          <w:iCs/>
          <w:lang w:eastAsia="en-GB"/>
        </w:rPr>
        <w:t xml:space="preserve">Journal of the Royal Society of New Zealand </w:t>
      </w:r>
      <w:r w:rsidRPr="00CB1C46">
        <w:rPr>
          <w:rFonts w:cs="Calibri"/>
          <w:lang w:eastAsia="en-GB"/>
        </w:rPr>
        <w:t>22(2).</w:t>
      </w:r>
    </w:p>
    <w:p w14:paraId="6C2C5AEA" w14:textId="77777777" w:rsidR="00660978" w:rsidRPr="00CB1C46" w:rsidRDefault="00660978" w:rsidP="00660978">
      <w:pPr>
        <w:pStyle w:val="References"/>
        <w:rPr>
          <w:rFonts w:cs="Calibri"/>
          <w:lang w:eastAsia="en-GB"/>
        </w:rPr>
      </w:pPr>
      <w:r w:rsidRPr="00CB1C46">
        <w:rPr>
          <w:rFonts w:cs="Calibri"/>
          <w:lang w:eastAsia="en-GB"/>
        </w:rPr>
        <w:t xml:space="preserve">Bioenergy Association of New Zealand. 2011. </w:t>
      </w:r>
      <w:r w:rsidRPr="00CB1C46">
        <w:rPr>
          <w:rFonts w:cs="Calibri"/>
          <w:i/>
          <w:lang w:eastAsia="en-GB"/>
        </w:rPr>
        <w:t>Heat Plant in New Zealand</w:t>
      </w:r>
      <w:r w:rsidRPr="00CB1C46">
        <w:rPr>
          <w:rFonts w:cs="Calibri"/>
          <w:lang w:eastAsia="en-GB"/>
        </w:rPr>
        <w:t xml:space="preserve">. Retrieved </w:t>
      </w:r>
      <w:r w:rsidRPr="00CB1C46">
        <w:t>from</w:t>
      </w:r>
      <w:r>
        <w:t xml:space="preserve"> </w:t>
      </w:r>
      <w:hyperlink r:id="rId81" w:history="1">
        <w:r w:rsidRPr="0021668D">
          <w:rPr>
            <w:rStyle w:val="Hyperlink"/>
          </w:rPr>
          <w:t>www.bioenergy.org.nz/documents/resource/heat-plant-database-report-august-2011.pdf</w:t>
        </w:r>
      </w:hyperlink>
      <w:r w:rsidRPr="00CB1C46">
        <w:rPr>
          <w:rFonts w:cs="Calibri"/>
        </w:rPr>
        <w:t xml:space="preserve"> (March 2018). </w:t>
      </w:r>
    </w:p>
    <w:p w14:paraId="7CA8C6BA" w14:textId="77777777" w:rsidR="00660978" w:rsidRPr="00CB1C46" w:rsidRDefault="00660978" w:rsidP="00660978">
      <w:pPr>
        <w:pStyle w:val="References"/>
        <w:rPr>
          <w:rFonts w:cs="Calibri"/>
          <w:lang w:eastAsia="en-GB"/>
        </w:rPr>
      </w:pPr>
      <w:r w:rsidRPr="00CB1C46">
        <w:rPr>
          <w:rFonts w:cs="Calibri"/>
          <w:lang w:eastAsia="en-GB"/>
        </w:rPr>
        <w:t xml:space="preserve">BRANZ. 2002. </w:t>
      </w:r>
      <w:r w:rsidRPr="00CB1C46">
        <w:rPr>
          <w:rFonts w:cs="Calibri"/>
          <w:i/>
          <w:iCs/>
          <w:lang w:eastAsia="en-GB"/>
        </w:rPr>
        <w:t>Energy Use in New Zealand Households</w:t>
      </w:r>
      <w:r w:rsidRPr="00CB1C46">
        <w:rPr>
          <w:rFonts w:cs="Calibri"/>
          <w:lang w:eastAsia="en-GB"/>
        </w:rPr>
        <w:t>. Porirua, Wellington: Building Research Association of New Zealand.</w:t>
      </w:r>
    </w:p>
    <w:p w14:paraId="71DCDA5C" w14:textId="77777777" w:rsidR="00660978" w:rsidRPr="00CB1C46" w:rsidRDefault="00660978" w:rsidP="00660978">
      <w:pPr>
        <w:pStyle w:val="References"/>
        <w:rPr>
          <w:rFonts w:cs="Calibri"/>
          <w:lang w:eastAsia="en-GB"/>
        </w:rPr>
      </w:pPr>
      <w:r w:rsidRPr="00CB1C46">
        <w:rPr>
          <w:rFonts w:cs="Calibri"/>
          <w:lang w:eastAsia="en-GB"/>
        </w:rPr>
        <w:t xml:space="preserve">CRL Energy Ltd. 2009. </w:t>
      </w:r>
      <w:r w:rsidRPr="00CB1C46">
        <w:rPr>
          <w:rFonts w:cs="Calibri"/>
          <w:i/>
          <w:iCs/>
          <w:lang w:eastAsia="en-GB"/>
        </w:rPr>
        <w:t xml:space="preserve">Reviewing Default Emission Factors in Draft Stationary Energy and Industrial </w:t>
      </w:r>
      <w:r w:rsidRPr="00CB1C46">
        <w:t>Processes. Contract report prepared for the Ministry for the Environment. Wellington: Ministry for the</w:t>
      </w:r>
      <w:r>
        <w:t> </w:t>
      </w:r>
      <w:r w:rsidRPr="00CB1C46">
        <w:t xml:space="preserve">Environment. Retrieved from </w:t>
      </w:r>
      <w:hyperlink r:id="rId82" w:history="1">
        <w:r w:rsidRPr="00CB1C46">
          <w:rPr>
            <w:rStyle w:val="Hyperlink"/>
          </w:rPr>
          <w:t>www.climatechange.govt.nz/consultation/energy/review-default-emissions-factors.pdf</w:t>
        </w:r>
      </w:hyperlink>
      <w:r w:rsidRPr="00CB1C46">
        <w:rPr>
          <w:rFonts w:cs="Calibri"/>
        </w:rPr>
        <w:t xml:space="preserve"> (Ma</w:t>
      </w:r>
      <w:r w:rsidRPr="00CB1C46">
        <w:rPr>
          <w:rFonts w:cs="Calibri"/>
          <w:lang w:eastAsia="en-GB"/>
        </w:rPr>
        <w:t>rch 2018).</w:t>
      </w:r>
    </w:p>
    <w:p w14:paraId="40B1E0F3" w14:textId="77777777" w:rsidR="00660978" w:rsidRPr="00CB1C46" w:rsidRDefault="00660978" w:rsidP="00660978">
      <w:pPr>
        <w:pStyle w:val="References"/>
      </w:pPr>
      <w:r w:rsidRPr="00CB1C46">
        <w:t xml:space="preserve">Energy Efficiency and Conservation Authority. 2021. </w:t>
      </w:r>
      <w:r w:rsidRPr="000466EE">
        <w:rPr>
          <w:i/>
          <w:iCs/>
        </w:rPr>
        <w:t>Off-road Liquid Fuel Insights: Research into the use of off-road diesel and petrol in New Zealand</w:t>
      </w:r>
      <w:r w:rsidRPr="00CB1C46">
        <w:t>. Wellington: Energy Efficiency and Conservation Authority.</w:t>
      </w:r>
      <w:r>
        <w:t xml:space="preserve"> </w:t>
      </w:r>
      <w:r w:rsidRPr="00CB1C46">
        <w:t xml:space="preserve">Retrieved from </w:t>
      </w:r>
      <w:r w:rsidRPr="000466EE">
        <w:t>www.eeca.govt.nz/assets/EECA-Resources/Research-papers-guides/Off-road-liquid-fuel-insights.pdf (</w:t>
      </w:r>
      <w:r w:rsidRPr="00CB1C46">
        <w:t>February 2021).</w:t>
      </w:r>
    </w:p>
    <w:p w14:paraId="030FA8EA" w14:textId="77777777" w:rsidR="00660978" w:rsidRPr="00CB1C46" w:rsidRDefault="00660978" w:rsidP="00660978">
      <w:pPr>
        <w:pStyle w:val="References"/>
        <w:rPr>
          <w:rFonts w:cs="Calibri"/>
          <w:lang w:eastAsia="en-GB"/>
        </w:rPr>
      </w:pPr>
      <w:r w:rsidRPr="00CB1C46">
        <w:rPr>
          <w:rFonts w:cs="Calibri"/>
          <w:lang w:eastAsia="en-GB"/>
        </w:rPr>
        <w:t xml:space="preserve">European Environment Agency. 2007. </w:t>
      </w:r>
      <w:r w:rsidRPr="00CB1C46">
        <w:rPr>
          <w:rFonts w:cs="Calibri"/>
          <w:i/>
          <w:iCs/>
          <w:lang w:eastAsia="en-GB"/>
        </w:rPr>
        <w:t>EMEP/CORINAIR Emission Inventory Guidebook – 2007</w:t>
      </w:r>
      <w:r w:rsidRPr="00CB1C46">
        <w:rPr>
          <w:rFonts w:cs="Calibri"/>
          <w:iCs/>
          <w:lang w:eastAsia="en-GB"/>
        </w:rPr>
        <w:t>. Copenhagen:</w:t>
      </w:r>
      <w:r w:rsidRPr="00CB1C46">
        <w:rPr>
          <w:rFonts w:cs="Calibri"/>
          <w:lang w:eastAsia="en-GB"/>
        </w:rPr>
        <w:t xml:space="preserve"> European Environment Agency.</w:t>
      </w:r>
    </w:p>
    <w:p w14:paraId="0ACFDC4C" w14:textId="77777777" w:rsidR="00660978" w:rsidRPr="00CB1C46" w:rsidRDefault="00660978" w:rsidP="00660978">
      <w:pPr>
        <w:pStyle w:val="References"/>
        <w:rPr>
          <w:rFonts w:cs="Calibri"/>
          <w:lang w:eastAsia="en-GB"/>
        </w:rPr>
      </w:pPr>
      <w:r w:rsidRPr="00CB1C46">
        <w:rPr>
          <w:rFonts w:cs="Calibri"/>
          <w:lang w:eastAsia="en-GB"/>
        </w:rPr>
        <w:t xml:space="preserve">European Environment Agency. 2016. </w:t>
      </w:r>
      <w:r w:rsidRPr="00CB1C46">
        <w:rPr>
          <w:rFonts w:cs="Calibri"/>
          <w:i/>
          <w:lang w:eastAsia="en-GB"/>
        </w:rPr>
        <w:t>EMEP/EEA Air Pollutant Emission Inventory Guidebook 2016: Technical guidance to prepare national emission inventories</w:t>
      </w:r>
      <w:r w:rsidRPr="00CB1C46">
        <w:rPr>
          <w:rFonts w:cs="Calibri"/>
          <w:lang w:eastAsia="en-GB"/>
        </w:rPr>
        <w:t xml:space="preserve">. </w:t>
      </w:r>
      <w:r w:rsidRPr="00CB1C46">
        <w:rPr>
          <w:rFonts w:cs="Calibri"/>
          <w:iCs/>
          <w:lang w:eastAsia="en-GB"/>
        </w:rPr>
        <w:t>Copenhagen</w:t>
      </w:r>
      <w:r w:rsidRPr="00CB1C46">
        <w:rPr>
          <w:rFonts w:cs="Calibri"/>
          <w:lang w:eastAsia="en-GB"/>
        </w:rPr>
        <w:t>: European Environment Agency.</w:t>
      </w:r>
    </w:p>
    <w:p w14:paraId="6343076E" w14:textId="77777777" w:rsidR="00660978" w:rsidRPr="00CB1C46" w:rsidRDefault="00660978" w:rsidP="00660978">
      <w:pPr>
        <w:pStyle w:val="References"/>
        <w:rPr>
          <w:rFonts w:cs="Calibri"/>
        </w:rPr>
      </w:pPr>
      <w:r w:rsidRPr="00CB1C46">
        <w:rPr>
          <w:rFonts w:cs="Calibri"/>
        </w:rPr>
        <w:t xml:space="preserve">IPCC. 2006. Eggleston HS, Buendia L, Miwa K, Ngara T, Tanabe K (eds). </w:t>
      </w:r>
      <w:r w:rsidRPr="00CB1C46">
        <w:rPr>
          <w:rFonts w:cs="Calibri"/>
          <w:i/>
        </w:rPr>
        <w:t>2006 IPCC Guidelines for National Greenhouse Gas Inventories. Volume 2. Energy</w:t>
      </w:r>
      <w:r w:rsidRPr="00CB1C46">
        <w:rPr>
          <w:rFonts w:cs="Calibri"/>
        </w:rPr>
        <w:t xml:space="preserve">. IPCC National Greenhouse Gas Inventories Programme. Japan: </w:t>
      </w:r>
      <w:r w:rsidRPr="00E610A5">
        <w:t xml:space="preserve">Published for the IPCC by the </w:t>
      </w:r>
      <w:r w:rsidRPr="00CB1C46">
        <w:rPr>
          <w:rFonts w:cs="Calibri"/>
        </w:rPr>
        <w:t>Institute for Global Environmental Strategies for IPCC.</w:t>
      </w:r>
    </w:p>
    <w:p w14:paraId="1D810429" w14:textId="77777777" w:rsidR="00660978" w:rsidRPr="00CB1C46" w:rsidRDefault="00660978" w:rsidP="00660978">
      <w:pPr>
        <w:pStyle w:val="References"/>
        <w:rPr>
          <w:rFonts w:cs="Calibri"/>
        </w:rPr>
      </w:pPr>
      <w:r w:rsidRPr="00CB1C46">
        <w:rPr>
          <w:rFonts w:cs="Calibri"/>
        </w:rPr>
        <w:t xml:space="preserve">MBIE. 2008. </w:t>
      </w:r>
      <w:r w:rsidRPr="00CB1C46">
        <w:rPr>
          <w:rFonts w:cs="Calibri"/>
          <w:i/>
          <w:iCs/>
        </w:rPr>
        <w:t>Liquid Fuel Use in New Zealand</w:t>
      </w:r>
      <w:r w:rsidRPr="00CB1C46">
        <w:rPr>
          <w:rFonts w:cs="Calibri"/>
        </w:rPr>
        <w:t xml:space="preserve">. </w:t>
      </w:r>
      <w:r w:rsidRPr="00CB1C46">
        <w:rPr>
          <w:rFonts w:cs="Calibri"/>
          <w:lang w:eastAsia="en-GB"/>
        </w:rPr>
        <w:t xml:space="preserve">Wellington: </w:t>
      </w:r>
      <w:r w:rsidRPr="00CB1C46">
        <w:rPr>
          <w:rFonts w:cs="Calibri"/>
        </w:rPr>
        <w:t>Ministry of Business, Innovation and Employment</w:t>
      </w:r>
      <w:r w:rsidRPr="00CB1C46">
        <w:rPr>
          <w:rFonts w:cs="Calibri"/>
          <w:lang w:eastAsia="en-GB"/>
        </w:rPr>
        <w:t xml:space="preserve">. </w:t>
      </w:r>
      <w:r w:rsidRPr="00CB1C46">
        <w:rPr>
          <w:rFonts w:cs="Calibri"/>
        </w:rPr>
        <w:t xml:space="preserve">Retrieved from </w:t>
      </w:r>
      <w:hyperlink r:id="rId83" w:history="1">
        <w:r w:rsidRPr="00CB1C46">
          <w:rPr>
            <w:rStyle w:val="Hyperlink"/>
          </w:rPr>
          <w:t>www.med.govt.nz/sectors-industries/energy/energy-modelling/technical-papers/liquid-fuels-use-in-new-zealand</w:t>
        </w:r>
      </w:hyperlink>
      <w:r w:rsidRPr="00CB1C46">
        <w:rPr>
          <w:rFonts w:cs="Calibri"/>
        </w:rPr>
        <w:t xml:space="preserve"> (March 2013).</w:t>
      </w:r>
    </w:p>
    <w:p w14:paraId="79895116" w14:textId="77777777" w:rsidR="00660978" w:rsidRPr="00CB1C46" w:rsidRDefault="00660978" w:rsidP="00660978">
      <w:pPr>
        <w:pStyle w:val="References"/>
        <w:rPr>
          <w:rFonts w:cs="Calibri"/>
        </w:rPr>
      </w:pPr>
      <w:r w:rsidRPr="00CB1C46">
        <w:rPr>
          <w:rFonts w:cs="Calibri"/>
        </w:rPr>
        <w:t xml:space="preserve">MBIE. 2010. </w:t>
      </w:r>
      <w:r w:rsidRPr="00CB1C46">
        <w:rPr>
          <w:rFonts w:cs="Calibri"/>
          <w:i/>
        </w:rPr>
        <w:t>Delivering the Diesel – Liquid Fuel Deliveries in New Zealand 1990–2008</w:t>
      </w:r>
      <w:r w:rsidRPr="00CB1C46">
        <w:rPr>
          <w:rFonts w:cs="Calibri"/>
        </w:rPr>
        <w:t xml:space="preserve">. </w:t>
      </w:r>
      <w:r w:rsidRPr="00CB1C46">
        <w:rPr>
          <w:rFonts w:cs="Calibri"/>
          <w:lang w:eastAsia="en-GB"/>
        </w:rPr>
        <w:t xml:space="preserve">Wellington: </w:t>
      </w:r>
      <w:r w:rsidRPr="00CB1C46">
        <w:t xml:space="preserve">Ministry of Business, Innovation and Employment. Retrieved from </w:t>
      </w:r>
      <w:hyperlink r:id="rId84" w:history="1">
        <w:r w:rsidRPr="00CB1C46">
          <w:rPr>
            <w:rStyle w:val="Hyperlink"/>
          </w:rPr>
          <w:t>www.med.govt.nz/sectors-industries/energy/energy-modelling/technical-papers/delivering-the-diesel-liquid-fuel-deliveries-in-new-zealand-1990-2008</w:t>
        </w:r>
      </w:hyperlink>
      <w:r w:rsidRPr="00CB1C46">
        <w:rPr>
          <w:rFonts w:cs="Calibri"/>
        </w:rPr>
        <w:t xml:space="preserve"> (March 2013).</w:t>
      </w:r>
    </w:p>
    <w:p w14:paraId="23F8C20A" w14:textId="77777777" w:rsidR="00660978" w:rsidRPr="00CB1C46" w:rsidRDefault="00660978" w:rsidP="00660978">
      <w:pPr>
        <w:pStyle w:val="References"/>
      </w:pPr>
      <w:r w:rsidRPr="00CB1C46">
        <w:rPr>
          <w:rFonts w:cs="Calibri"/>
          <w:lang w:eastAsia="en-GB"/>
        </w:rPr>
        <w:t>M</w:t>
      </w:r>
      <w:r w:rsidRPr="00CB1C46">
        <w:rPr>
          <w:rFonts w:cs="Calibri"/>
        </w:rPr>
        <w:t>BIE</w:t>
      </w:r>
      <w:r w:rsidRPr="00CB1C46">
        <w:rPr>
          <w:rFonts w:cs="Calibri"/>
          <w:lang w:eastAsia="en-GB"/>
        </w:rPr>
        <w:t xml:space="preserve">. 2021. </w:t>
      </w:r>
      <w:r w:rsidRPr="00CB1C46">
        <w:rPr>
          <w:rFonts w:cs="Calibri"/>
          <w:i/>
          <w:iCs/>
          <w:lang w:eastAsia="en-GB"/>
        </w:rPr>
        <w:t>Energy in New Zealand</w:t>
      </w:r>
      <w:r w:rsidRPr="00CB1C46">
        <w:rPr>
          <w:rFonts w:cs="Calibri"/>
          <w:lang w:eastAsia="en-GB"/>
        </w:rPr>
        <w:t xml:space="preserve">. Wellington: </w:t>
      </w:r>
      <w:r w:rsidRPr="00CB1C46">
        <w:rPr>
          <w:rFonts w:cs="Calibri"/>
        </w:rPr>
        <w:t>Ministry of Business, Innovation and Employment</w:t>
      </w:r>
      <w:r w:rsidRPr="00CB1C46">
        <w:rPr>
          <w:rFonts w:cs="Calibri"/>
          <w:lang w:eastAsia="en-GB"/>
        </w:rPr>
        <w:t xml:space="preserve">. </w:t>
      </w:r>
      <w:r w:rsidRPr="00CB1C46">
        <w:rPr>
          <w:rFonts w:cs="Calibri"/>
        </w:rPr>
        <w:t xml:space="preserve">Retrieved </w:t>
      </w:r>
      <w:r w:rsidRPr="00CB1C46">
        <w:t xml:space="preserve">from </w:t>
      </w:r>
      <w:hyperlink r:id="rId85" w:history="1">
        <w:r w:rsidRPr="00CB1C46">
          <w:rPr>
            <w:rStyle w:val="Hyperlink"/>
          </w:rPr>
          <w:t>www.mbie.govt.nz/building-and-energy/energy-and-natural-resources/energy-statistics-and-modelling/energy-publications-and-technical-papers/energy-in-new-zealand</w:t>
        </w:r>
      </w:hyperlink>
      <w:r w:rsidRPr="00CB1C46">
        <w:t xml:space="preserve"> (September 2021).</w:t>
      </w:r>
    </w:p>
    <w:p w14:paraId="1938B5A7" w14:textId="77777777" w:rsidR="00660978" w:rsidRPr="00CB1C46" w:rsidRDefault="00660978" w:rsidP="00660978">
      <w:pPr>
        <w:pStyle w:val="References"/>
        <w:rPr>
          <w:rFonts w:cs="Calibri"/>
        </w:rPr>
      </w:pPr>
      <w:r w:rsidRPr="00CB1C46">
        <w:rPr>
          <w:rFonts w:cs="Calibri"/>
          <w:lang w:eastAsia="en-GB"/>
        </w:rPr>
        <w:t xml:space="preserve">Ministry for the Environment. 2009. </w:t>
      </w:r>
      <w:r w:rsidRPr="00CB1C46">
        <w:rPr>
          <w:rFonts w:cs="Calibri"/>
          <w:i/>
          <w:iCs/>
          <w:lang w:eastAsia="en-GB"/>
        </w:rPr>
        <w:t>Projects to Reduce Emissions (PRE)</w:t>
      </w:r>
      <w:r w:rsidRPr="00CB1C46">
        <w:rPr>
          <w:rFonts w:cs="Calibri"/>
          <w:iCs/>
          <w:lang w:eastAsia="en-GB"/>
        </w:rPr>
        <w:t xml:space="preserve">. </w:t>
      </w:r>
      <w:r w:rsidRPr="00CB1C46">
        <w:rPr>
          <w:rFonts w:cs="Calibri"/>
          <w:lang w:eastAsia="en-GB"/>
        </w:rPr>
        <w:t xml:space="preserve">Wellington: </w:t>
      </w:r>
      <w:r w:rsidRPr="00CB1C46">
        <w:rPr>
          <w:rFonts w:cs="Calibri"/>
        </w:rPr>
        <w:t>Ministry for the Environment</w:t>
      </w:r>
      <w:r w:rsidRPr="00CB1C46">
        <w:rPr>
          <w:rFonts w:cs="Calibri"/>
          <w:lang w:eastAsia="en-GB"/>
        </w:rPr>
        <w:t xml:space="preserve">. </w:t>
      </w:r>
      <w:r w:rsidRPr="00CB1C46">
        <w:rPr>
          <w:rFonts w:cs="Calibri"/>
          <w:iCs/>
          <w:lang w:eastAsia="en-GB"/>
        </w:rPr>
        <w:t>Retrieved from</w:t>
      </w:r>
      <w:r w:rsidRPr="00CB1C46">
        <w:rPr>
          <w:rFonts w:cs="Calibri"/>
          <w:i/>
          <w:iCs/>
          <w:lang w:eastAsia="en-GB"/>
        </w:rPr>
        <w:t xml:space="preserve"> </w:t>
      </w:r>
      <w:hyperlink r:id="rId86" w:history="1">
        <w:r w:rsidRPr="00CB1C46">
          <w:rPr>
            <w:rStyle w:val="Hyperlink"/>
          </w:rPr>
          <w:t>www.mfe.govt.nz/issues/climate/policies-initiatives/projects</w:t>
        </w:r>
      </w:hyperlink>
      <w:r w:rsidRPr="00CB1C46">
        <w:rPr>
          <w:rFonts w:cs="Calibri"/>
        </w:rPr>
        <w:t xml:space="preserve"> (March 2012)</w:t>
      </w:r>
      <w:r w:rsidRPr="00CB1C46">
        <w:rPr>
          <w:rFonts w:cs="Calibri"/>
          <w:lang w:eastAsia="en-GB"/>
        </w:rPr>
        <w:t xml:space="preserve">. </w:t>
      </w:r>
    </w:p>
    <w:p w14:paraId="2F9D8E1A" w14:textId="77777777" w:rsidR="00660978" w:rsidRPr="00CB1C46" w:rsidRDefault="00660978" w:rsidP="00660978">
      <w:pPr>
        <w:pStyle w:val="References"/>
        <w:rPr>
          <w:rFonts w:cs="Calibri"/>
        </w:rPr>
      </w:pPr>
      <w:r w:rsidRPr="00CB1C46">
        <w:rPr>
          <w:rFonts w:cs="Calibri"/>
        </w:rPr>
        <w:t xml:space="preserve">Ministry of Transport. 2010. </w:t>
      </w:r>
      <w:r w:rsidRPr="00CB1C46">
        <w:rPr>
          <w:rFonts w:cs="Calibri"/>
          <w:i/>
        </w:rPr>
        <w:t xml:space="preserve">New Zealand Travel Survey. </w:t>
      </w:r>
      <w:r w:rsidRPr="00CB1C46">
        <w:rPr>
          <w:rFonts w:cs="Calibri"/>
          <w:lang w:eastAsia="en-GB"/>
        </w:rPr>
        <w:t xml:space="preserve">Wellington: </w:t>
      </w:r>
      <w:r w:rsidRPr="00CB1C46">
        <w:rPr>
          <w:rFonts w:cs="Calibri"/>
        </w:rPr>
        <w:t xml:space="preserve">Ministry of Transport. Retrieved from </w:t>
      </w:r>
      <w:hyperlink r:id="rId87" w:history="1">
        <w:r w:rsidRPr="00CB1C46">
          <w:rPr>
            <w:rStyle w:val="Hyperlink"/>
          </w:rPr>
          <w:t>www.transport.govt.nz/research/Pages/TravelSurvey.aspx</w:t>
        </w:r>
      </w:hyperlink>
      <w:r w:rsidRPr="00CB1C46">
        <w:rPr>
          <w:rFonts w:cs="Calibri"/>
        </w:rPr>
        <w:t xml:space="preserve"> (March 2012).</w:t>
      </w:r>
    </w:p>
    <w:p w14:paraId="4A614B65" w14:textId="77777777" w:rsidR="00660978" w:rsidRPr="00CB1C46" w:rsidRDefault="00660978" w:rsidP="00660978">
      <w:pPr>
        <w:pStyle w:val="References"/>
        <w:rPr>
          <w:rFonts w:cs="Calibri"/>
        </w:rPr>
      </w:pPr>
      <w:r w:rsidRPr="00CB1C46">
        <w:rPr>
          <w:rFonts w:cs="Calibri"/>
        </w:rPr>
        <w:t xml:space="preserve">New Zealand Institute of Chemistry. 1998. </w:t>
      </w:r>
      <w:r w:rsidRPr="00CB1C46">
        <w:rPr>
          <w:rFonts w:cs="Calibri"/>
          <w:i/>
        </w:rPr>
        <w:t>Chemical Processes in New Zealand Auckland</w:t>
      </w:r>
      <w:r w:rsidRPr="00CB1C46">
        <w:rPr>
          <w:rFonts w:cs="Calibri"/>
        </w:rPr>
        <w:t>. Christchurch: New Zealand Institute of Chemistry.</w:t>
      </w:r>
    </w:p>
    <w:p w14:paraId="11963444" w14:textId="77777777" w:rsidR="00660978" w:rsidRPr="00CB1C46" w:rsidRDefault="00660978" w:rsidP="00660978">
      <w:pPr>
        <w:pStyle w:val="References"/>
        <w:rPr>
          <w:rFonts w:cs="Calibri"/>
        </w:rPr>
      </w:pPr>
      <w:r w:rsidRPr="00CB1C46">
        <w:rPr>
          <w:rFonts w:cs="Calibri"/>
        </w:rPr>
        <w:t xml:space="preserve">Reddy CM, DeMello JA, Carmichael CA, Peacock EE, Xu L, Arey JS. 2008. Determination of biodiesel blending percentages using natural abundance radiocarbon analysis: Testing the accuracy of retail biodiesel blends. </w:t>
      </w:r>
      <w:r w:rsidRPr="00CB1C46">
        <w:rPr>
          <w:rFonts w:cs="Calibri"/>
          <w:i/>
        </w:rPr>
        <w:t>Environmental Science Technology</w:t>
      </w:r>
      <w:r w:rsidRPr="00CB1C46">
        <w:rPr>
          <w:rFonts w:cs="Calibri"/>
        </w:rPr>
        <w:t xml:space="preserve"> 42(7): 2476–2482.</w:t>
      </w:r>
    </w:p>
    <w:p w14:paraId="4A5FCE9F" w14:textId="77777777" w:rsidR="00660978" w:rsidRPr="00CB1C46" w:rsidRDefault="00660978" w:rsidP="00660978">
      <w:pPr>
        <w:pStyle w:val="References"/>
        <w:rPr>
          <w:rFonts w:cs="Calibri"/>
          <w:lang w:eastAsia="en-GB"/>
        </w:rPr>
      </w:pPr>
      <w:r w:rsidRPr="00CB1C46">
        <w:rPr>
          <w:rFonts w:cs="Calibri"/>
          <w:lang w:eastAsia="en-GB"/>
        </w:rPr>
        <w:lastRenderedPageBreak/>
        <w:t xml:space="preserve">Stats NZ. 2018. </w:t>
      </w:r>
      <w:r w:rsidRPr="00CB1C46">
        <w:rPr>
          <w:rFonts w:cs="Calibri"/>
          <w:i/>
          <w:lang w:eastAsia="en-GB"/>
        </w:rPr>
        <w:t>Energy Use Survey</w:t>
      </w:r>
      <w:r w:rsidRPr="00CB1C46">
        <w:rPr>
          <w:rFonts w:cs="Calibri"/>
          <w:lang w:eastAsia="en-GB"/>
        </w:rPr>
        <w:t xml:space="preserve">. </w:t>
      </w:r>
      <w:r w:rsidRPr="00CB1C46">
        <w:rPr>
          <w:rFonts w:cs="Calibri"/>
        </w:rPr>
        <w:t xml:space="preserve">Wellington: Stats NZ. </w:t>
      </w:r>
      <w:r w:rsidRPr="00CB1C46">
        <w:rPr>
          <w:rFonts w:cs="Calibri"/>
          <w:lang w:eastAsia="en-GB"/>
        </w:rPr>
        <w:t xml:space="preserve">Retrieved from </w:t>
      </w:r>
      <w:r w:rsidRPr="00CB1C46">
        <w:rPr>
          <w:rStyle w:val="Hyperlink"/>
        </w:rPr>
        <w:t>www.stats.govt.nz/information-releases/new-zealand-energy-use-2018</w:t>
      </w:r>
      <w:r w:rsidRPr="00CB1C46">
        <w:rPr>
          <w:rFonts w:cs="Calibri"/>
          <w:lang w:eastAsia="en-GB"/>
        </w:rPr>
        <w:t xml:space="preserve"> (February 2020).</w:t>
      </w:r>
    </w:p>
    <w:p w14:paraId="58869342" w14:textId="77777777" w:rsidR="00660978" w:rsidRPr="00CB1C46" w:rsidRDefault="00660978" w:rsidP="00660978">
      <w:pPr>
        <w:pStyle w:val="References"/>
        <w:rPr>
          <w:rFonts w:cs="Calibri"/>
        </w:rPr>
      </w:pPr>
      <w:r w:rsidRPr="00CB1C46">
        <w:rPr>
          <w:rFonts w:cs="Calibri"/>
        </w:rPr>
        <w:t xml:space="preserve">UNFCCC. 2009. FCCC/ARR/2008/NZL. </w:t>
      </w:r>
      <w:r w:rsidRPr="00CB1C46">
        <w:rPr>
          <w:rFonts w:cs="Calibri"/>
          <w:i/>
        </w:rPr>
        <w:t>Report of the Individual Review of the Greenhouse Gas Inventories of New Zealand Submitted in 2007 and 2008</w:t>
      </w:r>
      <w:r w:rsidRPr="00CB1C46">
        <w:rPr>
          <w:rFonts w:cs="Calibri"/>
        </w:rPr>
        <w:t>. Centralised Review.</w:t>
      </w:r>
    </w:p>
    <w:p w14:paraId="3DCC4197" w14:textId="77777777" w:rsidR="00660978" w:rsidRPr="00CB1C46" w:rsidRDefault="00660978" w:rsidP="00660978">
      <w:pPr>
        <w:pStyle w:val="References"/>
        <w:rPr>
          <w:rFonts w:cs="Calibri"/>
        </w:rPr>
      </w:pPr>
      <w:r w:rsidRPr="00CB1C46">
        <w:rPr>
          <w:rFonts w:cs="Calibri"/>
        </w:rPr>
        <w:t xml:space="preserve">UNFCCC. 2014. FCCC/ARR/2013/NZL. </w:t>
      </w:r>
      <w:r w:rsidRPr="00CB1C46">
        <w:rPr>
          <w:rFonts w:cs="Calibri"/>
          <w:i/>
          <w:iCs/>
        </w:rPr>
        <w:t>Report of the individual review of the annual submission of New Zealand submitted in 2013</w:t>
      </w:r>
      <w:r w:rsidRPr="00CB1C46">
        <w:rPr>
          <w:rFonts w:cs="Calibri"/>
        </w:rPr>
        <w:t>. Centralised Review.</w:t>
      </w:r>
    </w:p>
    <w:p w14:paraId="1EA8898C" w14:textId="77777777" w:rsidR="00660978" w:rsidRPr="0046789F" w:rsidRDefault="00660978" w:rsidP="00660978"/>
    <w:p w14:paraId="302EB171" w14:textId="77777777" w:rsidR="0087314B" w:rsidRDefault="0087314B" w:rsidP="0087314B"/>
    <w:p w14:paraId="3D207C56" w14:textId="77777777" w:rsidR="0087314B" w:rsidRDefault="0087314B" w:rsidP="0087314B"/>
    <w:p w14:paraId="22968632" w14:textId="77777777" w:rsidR="00A746A1" w:rsidRDefault="00A746A1" w:rsidP="0099547F">
      <w:pPr>
        <w:pStyle w:val="Heading1"/>
        <w:tabs>
          <w:tab w:val="left" w:pos="3119"/>
        </w:tabs>
        <w:sectPr w:rsidR="00A746A1" w:rsidSect="00660978">
          <w:footerReference w:type="even" r:id="rId88"/>
          <w:pgSz w:w="11907" w:h="16840" w:code="9"/>
          <w:pgMar w:top="1418" w:right="1701" w:bottom="1418" w:left="1701" w:header="567" w:footer="567" w:gutter="0"/>
          <w:cols w:space="720"/>
        </w:sectPr>
      </w:pPr>
      <w:bookmarkStart w:id="409" w:name="_Toc36224390"/>
      <w:bookmarkStart w:id="410" w:name="_Toc68786310"/>
    </w:p>
    <w:p w14:paraId="0889006A" w14:textId="56EECF60" w:rsidR="0099547F" w:rsidRPr="00ED41F2" w:rsidRDefault="0099547F" w:rsidP="0099547F">
      <w:pPr>
        <w:pStyle w:val="Heading1"/>
        <w:tabs>
          <w:tab w:val="left" w:pos="3119"/>
        </w:tabs>
      </w:pPr>
      <w:bookmarkStart w:id="411" w:name="_Toc99659117"/>
      <w:r w:rsidRPr="00ED41F2">
        <w:lastRenderedPageBreak/>
        <w:t>Chapter 4: Industrial Processes and Product Use (IPPU)</w:t>
      </w:r>
      <w:bookmarkEnd w:id="409"/>
      <w:bookmarkEnd w:id="410"/>
      <w:bookmarkEnd w:id="411"/>
    </w:p>
    <w:p w14:paraId="0AE19829" w14:textId="77777777" w:rsidR="0099547F" w:rsidRPr="00ED41F2" w:rsidRDefault="0099547F" w:rsidP="0099547F">
      <w:pPr>
        <w:pStyle w:val="Heading2"/>
        <w:spacing w:before="240"/>
      </w:pPr>
      <w:bookmarkStart w:id="412" w:name="_Toc448321512"/>
      <w:bookmarkStart w:id="413" w:name="_Toc5269351"/>
      <w:bookmarkStart w:id="414" w:name="_Toc36224391"/>
      <w:bookmarkStart w:id="415" w:name="_Toc68786311"/>
      <w:bookmarkStart w:id="416" w:name="_Toc99659118"/>
      <w:r w:rsidRPr="00ED41F2">
        <w:t xml:space="preserve">4.1 </w:t>
      </w:r>
      <w:r w:rsidRPr="00ED41F2">
        <w:tab/>
        <w:t>Sector overview</w:t>
      </w:r>
      <w:bookmarkEnd w:id="412"/>
      <w:bookmarkEnd w:id="413"/>
      <w:bookmarkEnd w:id="414"/>
      <w:bookmarkEnd w:id="415"/>
      <w:bookmarkEnd w:id="416"/>
    </w:p>
    <w:p w14:paraId="0B971279" w14:textId="77777777" w:rsidR="0099547F" w:rsidRPr="00ED41F2" w:rsidRDefault="0099547F" w:rsidP="006B51AC">
      <w:pPr>
        <w:pStyle w:val="Heading3"/>
        <w:spacing w:before="240"/>
      </w:pPr>
      <w:r w:rsidRPr="00ED41F2">
        <w:t xml:space="preserve">4.1.1 </w:t>
      </w:r>
      <w:r w:rsidRPr="00ED41F2">
        <w:tab/>
        <w:t>IPPU sector in New Zealand</w:t>
      </w:r>
    </w:p>
    <w:p w14:paraId="3DAC5A90" w14:textId="77777777" w:rsidR="0099547F" w:rsidRPr="00ED41F2" w:rsidRDefault="0099547F" w:rsidP="0099547F">
      <w:pPr>
        <w:pStyle w:val="BodyText"/>
      </w:pPr>
      <w:r w:rsidRPr="00ED41F2">
        <w:t>New Zealand has a relatively small number of industrial processing plants emitting non-energy related greenhouse gases. Carbon dioxide (CO</w:t>
      </w:r>
      <w:r w:rsidRPr="00ED41F2">
        <w:rPr>
          <w:vertAlign w:val="subscript"/>
        </w:rPr>
        <w:t>2</w:t>
      </w:r>
      <w:r w:rsidRPr="00ED41F2">
        <w:t>), methane (CH</w:t>
      </w:r>
      <w:r w:rsidRPr="00ED41F2">
        <w:rPr>
          <w:vertAlign w:val="subscript"/>
        </w:rPr>
        <w:t>4</w:t>
      </w:r>
      <w:r w:rsidRPr="00ED41F2">
        <w:t>) and nitrous oxide (N</w:t>
      </w:r>
      <w:r w:rsidRPr="00ED41F2">
        <w:rPr>
          <w:vertAlign w:val="subscript"/>
        </w:rPr>
        <w:t>2</w:t>
      </w:r>
      <w:r w:rsidRPr="00ED41F2">
        <w:t xml:space="preserve">O) emissions from eight distinct industrial processes in New Zealand are reported under the IPPU sector. These are: </w:t>
      </w:r>
    </w:p>
    <w:p w14:paraId="181B1F68" w14:textId="77777777" w:rsidR="0099547F" w:rsidRPr="00ED41F2" w:rsidRDefault="0099547F" w:rsidP="00F93F5E">
      <w:pPr>
        <w:pStyle w:val="Bullet"/>
      </w:pPr>
      <w:r w:rsidRPr="00ED41F2">
        <w:t xml:space="preserve">calcination of limestone in cement </w:t>
      </w:r>
      <w:r w:rsidRPr="00F93F5E">
        <w:t>production</w:t>
      </w:r>
      <w:r w:rsidRPr="00ED41F2">
        <w:t xml:space="preserve"> </w:t>
      </w:r>
    </w:p>
    <w:p w14:paraId="63908B22" w14:textId="77777777" w:rsidR="0099547F" w:rsidRPr="00ED41F2" w:rsidRDefault="0099547F" w:rsidP="00F93F5E">
      <w:pPr>
        <w:pStyle w:val="Bullet"/>
      </w:pPr>
      <w:r w:rsidRPr="00ED41F2">
        <w:t xml:space="preserve">calcination of limestone in burnt and slaked lime production </w:t>
      </w:r>
    </w:p>
    <w:p w14:paraId="3B367397" w14:textId="77777777" w:rsidR="0099547F" w:rsidRPr="00ED41F2" w:rsidRDefault="0099547F" w:rsidP="00F93F5E">
      <w:pPr>
        <w:pStyle w:val="Bullet"/>
      </w:pPr>
      <w:r w:rsidRPr="00ED41F2">
        <w:t xml:space="preserve">production of ammonia, which is further processed into urea </w:t>
      </w:r>
    </w:p>
    <w:p w14:paraId="32FD3256" w14:textId="77777777" w:rsidR="0099547F" w:rsidRPr="00ED41F2" w:rsidRDefault="0099547F" w:rsidP="00F93F5E">
      <w:pPr>
        <w:pStyle w:val="Bullet"/>
      </w:pPr>
      <w:r w:rsidRPr="00ED41F2">
        <w:t xml:space="preserve">production of methanol </w:t>
      </w:r>
    </w:p>
    <w:p w14:paraId="3680D5D9" w14:textId="77777777" w:rsidR="0099547F" w:rsidRPr="00ED41F2" w:rsidRDefault="0099547F" w:rsidP="00F93F5E">
      <w:pPr>
        <w:pStyle w:val="Bullet"/>
      </w:pPr>
      <w:r w:rsidRPr="00ED41F2">
        <w:t xml:space="preserve">production of hydrogen in oil refining and for making hydrogen peroxide </w:t>
      </w:r>
    </w:p>
    <w:p w14:paraId="0798C00D" w14:textId="77777777" w:rsidR="0099547F" w:rsidRPr="00ED41F2" w:rsidRDefault="0099547F" w:rsidP="00F93F5E">
      <w:pPr>
        <w:pStyle w:val="Bullet"/>
      </w:pPr>
      <w:r w:rsidRPr="00ED41F2">
        <w:t xml:space="preserve">production of steel, from iron sand and from scrap steel </w:t>
      </w:r>
    </w:p>
    <w:p w14:paraId="0A0C5A83" w14:textId="77777777" w:rsidR="0099547F" w:rsidRPr="00ED41F2" w:rsidRDefault="0099547F" w:rsidP="00F93F5E">
      <w:pPr>
        <w:pStyle w:val="Bullet"/>
      </w:pPr>
      <w:r w:rsidRPr="00ED41F2">
        <w:t xml:space="preserve">oxidation of anodes in aluminium smelting </w:t>
      </w:r>
    </w:p>
    <w:p w14:paraId="16F91860" w14:textId="77777777" w:rsidR="0099547F" w:rsidRPr="00ED41F2" w:rsidRDefault="0099547F" w:rsidP="00F93F5E">
      <w:pPr>
        <w:pStyle w:val="Bullet"/>
      </w:pPr>
      <w:r w:rsidRPr="00ED41F2">
        <w:t xml:space="preserve">use of soda ash and limestone in glass making. </w:t>
      </w:r>
    </w:p>
    <w:p w14:paraId="6D28EAF9" w14:textId="77777777" w:rsidR="0099547F" w:rsidRPr="00ED41F2" w:rsidRDefault="0099547F" w:rsidP="0099547F">
      <w:pPr>
        <w:pStyle w:val="BodyText"/>
      </w:pPr>
      <w:r w:rsidRPr="00ED41F2">
        <w:t>Hydrofluorocarbons (HFCs) and perfluorocarbons (PFCs) are used in a large number of products including refrigeration and air conditioning equipment. Some recovered HFCs are exported for destruction. Perfluorocarbons are also emitted as a result of anode effects in aluminium smelting. Sulphur hexafluoride (SF</w:t>
      </w:r>
      <w:r w:rsidRPr="00ED41F2">
        <w:rPr>
          <w:vertAlign w:val="subscript"/>
        </w:rPr>
        <w:t>6</w:t>
      </w:r>
      <w:r w:rsidRPr="00ED41F2">
        <w:t>) is used in the electricity distribution sector and for small-scale medical and scientific applications. Historically, a very small amount of SF</w:t>
      </w:r>
      <w:r w:rsidRPr="00ED41F2">
        <w:rPr>
          <w:vertAlign w:val="subscript"/>
        </w:rPr>
        <w:t>6</w:t>
      </w:r>
      <w:r w:rsidRPr="00ED41F2">
        <w:t xml:space="preserve"> has been used for magnesium casting. No fluorinated chemicals are produced in New Zealand; they are all imported. </w:t>
      </w:r>
    </w:p>
    <w:p w14:paraId="55CB32F7" w14:textId="77777777" w:rsidR="0099547F" w:rsidRPr="00ED41F2" w:rsidRDefault="0099547F" w:rsidP="0099547F">
      <w:pPr>
        <w:pStyle w:val="BodyText"/>
      </w:pPr>
      <w:r w:rsidRPr="00ED41F2">
        <w:t>Small amounts of CO</w:t>
      </w:r>
      <w:r w:rsidRPr="00ED41F2">
        <w:rPr>
          <w:vertAlign w:val="subscript"/>
        </w:rPr>
        <w:t>2</w:t>
      </w:r>
      <w:r w:rsidRPr="00ED41F2">
        <w:t xml:space="preserve"> are reported from the use of lubricants and paraffin wax, imported calcium carbide, carbonates in kaolin clay used for ceramics production, and secondary lead production (recycling of lead-acid batteries). No other emission sources for direct greenhouse gases are applicable to New Zealand and no other activity data are available. Some indirect greenhouse gas emissions are reported from fertiliser, formaldehyde and other industries. </w:t>
      </w:r>
    </w:p>
    <w:p w14:paraId="6F6F05C5" w14:textId="77777777" w:rsidR="0099547F" w:rsidRPr="00ED41F2" w:rsidRDefault="0099547F" w:rsidP="0099547F">
      <w:pPr>
        <w:pStyle w:val="BodyText"/>
      </w:pPr>
      <w:r w:rsidRPr="00ED41F2">
        <w:t>New Zealand reports emissions from Tokelau, which is a dependent territory of New Zealand. Emissions from Tokelau for all activities are reported in annex 7 of the National Inventory Report and within the ‘Other’ sector in the common reporting format (CRF) tables. This is due to the significantly different methods applied and the prohibitive complexity of integrating emissions within the main sectors. Therefore, all emissions reported in this sector are from New Zealand excluding Tokelau. Please refer to chapter 8 and annex 7 for details of methods applied and the emissions for Tokelau.</w:t>
      </w:r>
    </w:p>
    <w:p w14:paraId="113D40D1" w14:textId="77777777" w:rsidR="0099547F" w:rsidRPr="00ED41F2" w:rsidRDefault="0099547F" w:rsidP="0099547F">
      <w:pPr>
        <w:pStyle w:val="Heading3"/>
      </w:pPr>
      <w:r w:rsidRPr="00ED41F2">
        <w:lastRenderedPageBreak/>
        <w:t xml:space="preserve">4.1.2 </w:t>
      </w:r>
      <w:r w:rsidRPr="00ED41F2">
        <w:tab/>
        <w:t>Emissions summary</w:t>
      </w:r>
    </w:p>
    <w:p w14:paraId="75EC5B47" w14:textId="77777777" w:rsidR="0099547F" w:rsidRPr="00ED41F2" w:rsidRDefault="0099547F" w:rsidP="0099547F">
      <w:pPr>
        <w:pStyle w:val="BodyText"/>
      </w:pPr>
      <w:r w:rsidRPr="00ED41F2">
        <w:t>The IPPU sector in New Zealand produces CO</w:t>
      </w:r>
      <w:r w:rsidRPr="00ED41F2">
        <w:rPr>
          <w:vertAlign w:val="subscript"/>
        </w:rPr>
        <w:t>2</w:t>
      </w:r>
      <w:r w:rsidRPr="00ED41F2">
        <w:t xml:space="preserve"> emissions (62.0 per cent), fluorinated gases (34.0 per cent) and smaller amounts of CH</w:t>
      </w:r>
      <w:r w:rsidRPr="00ED41F2">
        <w:rPr>
          <w:vertAlign w:val="subscript"/>
        </w:rPr>
        <w:t>4</w:t>
      </w:r>
      <w:r w:rsidRPr="00ED41F2">
        <w:t xml:space="preserve"> and N</w:t>
      </w:r>
      <w:r w:rsidRPr="00ED41F2">
        <w:rPr>
          <w:vertAlign w:val="subscript"/>
        </w:rPr>
        <w:t>2</w:t>
      </w:r>
      <w:r w:rsidRPr="00ED41F2">
        <w:t xml:space="preserve">O. The major categories in the IPPU sector are </w:t>
      </w:r>
      <w:r w:rsidRPr="00ED41F2">
        <w:rPr>
          <w:i/>
        </w:rPr>
        <w:t>Iron and steel production</w:t>
      </w:r>
      <w:r w:rsidRPr="00ED41F2">
        <w:t xml:space="preserve">, </w:t>
      </w:r>
      <w:r w:rsidRPr="00ED41F2">
        <w:rPr>
          <w:i/>
        </w:rPr>
        <w:t>Refrigeration and air conditioning</w:t>
      </w:r>
      <w:r w:rsidRPr="00ED41F2">
        <w:t xml:space="preserve">, </w:t>
      </w:r>
      <w:r w:rsidRPr="00ED41F2">
        <w:rPr>
          <w:i/>
        </w:rPr>
        <w:t>Aluminium production</w:t>
      </w:r>
      <w:r w:rsidRPr="00ED41F2">
        <w:t xml:space="preserve"> and </w:t>
      </w:r>
      <w:r w:rsidRPr="00ED41F2">
        <w:rPr>
          <w:i/>
        </w:rPr>
        <w:t>Cement production</w:t>
      </w:r>
      <w:r w:rsidRPr="00ED41F2">
        <w:t>. Coal and natural gas are also used on a significant scale for energy in the </w:t>
      </w:r>
      <w:r w:rsidRPr="00ED41F2">
        <w:rPr>
          <w:i/>
        </w:rPr>
        <w:t>Mineral industry</w:t>
      </w:r>
      <w:r w:rsidRPr="00ED41F2">
        <w:t xml:space="preserve">, </w:t>
      </w:r>
      <w:r w:rsidRPr="00ED41F2">
        <w:rPr>
          <w:i/>
        </w:rPr>
        <w:t>Chemical industry</w:t>
      </w:r>
      <w:r w:rsidRPr="00ED41F2">
        <w:t xml:space="preserve"> and </w:t>
      </w:r>
      <w:r w:rsidRPr="00ED41F2">
        <w:rPr>
          <w:i/>
        </w:rPr>
        <w:t>Metal industry</w:t>
      </w:r>
      <w:r w:rsidRPr="00ED41F2">
        <w:t xml:space="preserve"> categories. Carbon dioxide and any other emissions from combustion of fuels in these industries are reported under the Energy sector. </w:t>
      </w:r>
    </w:p>
    <w:p w14:paraId="0776AC55" w14:textId="77777777" w:rsidR="0099547F" w:rsidRPr="00ED41F2" w:rsidRDefault="0099547F" w:rsidP="0099547F">
      <w:pPr>
        <w:pStyle w:val="Heading5"/>
      </w:pPr>
      <w:r w:rsidRPr="00ED41F2">
        <w:t>2020</w:t>
      </w:r>
    </w:p>
    <w:p w14:paraId="6EBDDDF7" w14:textId="77777777" w:rsidR="0099547F" w:rsidRPr="00ED41F2" w:rsidRDefault="0099547F" w:rsidP="0099547F">
      <w:pPr>
        <w:pStyle w:val="BodyText"/>
      </w:pPr>
      <w:r w:rsidRPr="00ED41F2">
        <w:t>In 2020, emissions in the IPPU sector contributed 4,618.4 kilotonnes carbon dioxide equivalent (kt CO</w:t>
      </w:r>
      <w:r w:rsidRPr="00ED41F2">
        <w:rPr>
          <w:vertAlign w:val="subscript"/>
        </w:rPr>
        <w:t>2</w:t>
      </w:r>
      <w:r w:rsidRPr="00ED41F2">
        <w:t xml:space="preserve">-e), or 5.9 per cent, of New Zealand’s gross greenhouse gas emissions. </w:t>
      </w:r>
    </w:p>
    <w:p w14:paraId="04F94991" w14:textId="3C3F797F" w:rsidR="0099547F" w:rsidRPr="00ED41F2" w:rsidRDefault="0099547F" w:rsidP="0099547F">
      <w:pPr>
        <w:pStyle w:val="BodyText"/>
      </w:pPr>
      <w:r w:rsidRPr="00ED41F2">
        <w:t xml:space="preserve">The largest category is the </w:t>
      </w:r>
      <w:r w:rsidRPr="00ED41F2">
        <w:rPr>
          <w:i/>
        </w:rPr>
        <w:t>Metal industry</w:t>
      </w:r>
      <w:r w:rsidRPr="00ED41F2">
        <w:t xml:space="preserve"> category, with substantial CO</w:t>
      </w:r>
      <w:r w:rsidRPr="00ED41F2">
        <w:rPr>
          <w:vertAlign w:val="subscript"/>
        </w:rPr>
        <w:t>2</w:t>
      </w:r>
      <w:r w:rsidRPr="00ED41F2">
        <w:t xml:space="preserve"> emissions from the</w:t>
      </w:r>
      <w:r w:rsidRPr="00ED41F2">
        <w:rPr>
          <w:i/>
        </w:rPr>
        <w:t>Iron and steel production</w:t>
      </w:r>
      <w:r w:rsidRPr="00ED41F2">
        <w:t xml:space="preserve"> and </w:t>
      </w:r>
      <w:r w:rsidRPr="00ED41F2">
        <w:rPr>
          <w:i/>
        </w:rPr>
        <w:t>Aluminium production</w:t>
      </w:r>
      <w:r w:rsidRPr="00ED41F2">
        <w:t xml:space="preserve"> categories, as well as PFCs from the </w:t>
      </w:r>
      <w:r w:rsidRPr="00ED41F2">
        <w:rPr>
          <w:i/>
        </w:rPr>
        <w:t>Aluminium production</w:t>
      </w:r>
      <w:r w:rsidRPr="00ED41F2">
        <w:t xml:space="preserve"> category in earlier years. The </w:t>
      </w:r>
      <w:r w:rsidRPr="00ED41F2">
        <w:rPr>
          <w:i/>
        </w:rPr>
        <w:t xml:space="preserve">Mineral industry </w:t>
      </w:r>
      <w:r w:rsidRPr="00ED41F2">
        <w:t xml:space="preserve">and </w:t>
      </w:r>
      <w:r w:rsidRPr="00ED41F2">
        <w:rPr>
          <w:i/>
        </w:rPr>
        <w:t>Chemical industry</w:t>
      </w:r>
      <w:r w:rsidRPr="00ED41F2">
        <w:t xml:space="preserve"> categories also contribute significant CO</w:t>
      </w:r>
      <w:r w:rsidRPr="00ED41F2">
        <w:rPr>
          <w:vertAlign w:val="subscript"/>
        </w:rPr>
        <w:t>2</w:t>
      </w:r>
      <w:r w:rsidRPr="00ED41F2">
        <w:t xml:space="preserve"> emissions, and most of the non-CO</w:t>
      </w:r>
      <w:r w:rsidRPr="00ED41F2">
        <w:rPr>
          <w:vertAlign w:val="subscript"/>
        </w:rPr>
        <w:t>2</w:t>
      </w:r>
      <w:r w:rsidRPr="00ED41F2">
        <w:t xml:space="preserve"> emissions come from the </w:t>
      </w:r>
      <w:r w:rsidRPr="00ED41F2">
        <w:rPr>
          <w:i/>
        </w:rPr>
        <w:t>Product uses as substitutes for ozone depleting substances (ODS)</w:t>
      </w:r>
      <w:r w:rsidRPr="00ED41F2">
        <w:t xml:space="preserve"> category. </w:t>
      </w:r>
    </w:p>
    <w:p w14:paraId="6A87E477" w14:textId="77777777" w:rsidR="0099547F" w:rsidRPr="00ED41F2" w:rsidRDefault="0099547F" w:rsidP="0099547F">
      <w:pPr>
        <w:pStyle w:val="BodyText"/>
      </w:pPr>
      <w:r w:rsidRPr="00ED41F2">
        <w:t>The IPPU sector also produces smaller amounts of CH</w:t>
      </w:r>
      <w:r w:rsidRPr="00ED41F2">
        <w:rPr>
          <w:vertAlign w:val="subscript"/>
        </w:rPr>
        <w:t>4</w:t>
      </w:r>
      <w:r w:rsidRPr="00ED41F2">
        <w:t xml:space="preserve"> from methanol production and N</w:t>
      </w:r>
      <w:r w:rsidRPr="00ED41F2">
        <w:rPr>
          <w:vertAlign w:val="subscript"/>
        </w:rPr>
        <w:t>2</w:t>
      </w:r>
      <w:r w:rsidRPr="00ED41F2">
        <w:t xml:space="preserve">O used for medical applications in the </w:t>
      </w:r>
      <w:r w:rsidRPr="00ED41F2">
        <w:rPr>
          <w:i/>
        </w:rPr>
        <w:t>Other product manufacture and use</w:t>
      </w:r>
      <w:r w:rsidRPr="00ED41F2">
        <w:t xml:space="preserve"> category.</w:t>
      </w:r>
    </w:p>
    <w:p w14:paraId="7A548A2F" w14:textId="77777777" w:rsidR="0099547F" w:rsidRPr="00ED41F2" w:rsidRDefault="0099547F" w:rsidP="0099547F">
      <w:pPr>
        <w:pStyle w:val="BodyText"/>
      </w:pPr>
      <w:r w:rsidRPr="00ED41F2">
        <w:t xml:space="preserve">Coal and natural gas are also used on a significant scale for energy in these industries, and related emissions are reported under the Energy sector in the category </w:t>
      </w:r>
      <w:r w:rsidRPr="00ED41F2">
        <w:rPr>
          <w:i/>
        </w:rPr>
        <w:t>Manufacturing industries and construction</w:t>
      </w:r>
      <w:r w:rsidRPr="00ED41F2">
        <w:t>.</w:t>
      </w:r>
    </w:p>
    <w:p w14:paraId="18462EED" w14:textId="77777777" w:rsidR="0099547F" w:rsidRPr="00ED41F2" w:rsidRDefault="0099547F" w:rsidP="0099547F">
      <w:pPr>
        <w:pStyle w:val="BodyText"/>
      </w:pPr>
      <w:r w:rsidRPr="00ED41F2">
        <w:t>The emissions by category are shown in table 4.1.1.</w:t>
      </w:r>
    </w:p>
    <w:p w14:paraId="57830BB2" w14:textId="77777777" w:rsidR="0099547F" w:rsidRPr="00ED41F2" w:rsidRDefault="0099547F" w:rsidP="0099547F">
      <w:pPr>
        <w:pStyle w:val="Heading5"/>
      </w:pPr>
      <w:r w:rsidRPr="00ED41F2">
        <w:t>1990–2020</w:t>
      </w:r>
    </w:p>
    <w:p w14:paraId="59647E15" w14:textId="77777777" w:rsidR="0099547F" w:rsidRPr="00ED41F2" w:rsidRDefault="0099547F" w:rsidP="0099547F">
      <w:pPr>
        <w:pStyle w:val="BodyText"/>
      </w:pPr>
      <w:r w:rsidRPr="00ED41F2">
        <w:t>Emissions from the IPPU sector in 2020 were 1,038.4 kt CO</w:t>
      </w:r>
      <w:r w:rsidRPr="00ED41F2">
        <w:rPr>
          <w:vertAlign w:val="subscript"/>
        </w:rPr>
        <w:t>2</w:t>
      </w:r>
      <w:r w:rsidRPr="00ED41F2">
        <w:t>-e (29.0 per cent) higher than emissions in 1990 (3,579.9 kt CO</w:t>
      </w:r>
      <w:r w:rsidRPr="00ED41F2">
        <w:rPr>
          <w:vertAlign w:val="subscript"/>
        </w:rPr>
        <w:t>2</w:t>
      </w:r>
      <w:r w:rsidRPr="00ED41F2">
        <w:t xml:space="preserve">-e). This increase was mainly driven by increasing emissions from the </w:t>
      </w:r>
      <w:r w:rsidRPr="00ED41F2">
        <w:rPr>
          <w:i/>
        </w:rPr>
        <w:t xml:space="preserve">Product uses as substitutes for ODS </w:t>
      </w:r>
      <w:r w:rsidRPr="00ED41F2">
        <w:t xml:space="preserve">category, due to the introduction of HFCs to replace ODS in refrigeration and air conditioning and the increased use of household and commercial air conditioning. Carbon dioxide emissions have also increased due to increased production of metals, lime and cement, but at a slower rate and in 2020 the increase was offset by reduced emissions due to COVID-19 restrictions. There has been a substantial reduction in emissions of PFCs due to improved management of anode effects in the </w:t>
      </w:r>
      <w:r w:rsidRPr="00ED41F2">
        <w:rPr>
          <w:i/>
        </w:rPr>
        <w:t>Aluminium production</w:t>
      </w:r>
      <w:r w:rsidRPr="00ED41F2">
        <w:t xml:space="preserve"> category and some reduction in emissions of N</w:t>
      </w:r>
      <w:r w:rsidRPr="00ED41F2">
        <w:rPr>
          <w:vertAlign w:val="subscript"/>
        </w:rPr>
        <w:t>2</w:t>
      </w:r>
      <w:r w:rsidRPr="00ED41F2">
        <w:t xml:space="preserve">O used for medical applications in the </w:t>
      </w:r>
      <w:r w:rsidRPr="00ED41F2">
        <w:rPr>
          <w:i/>
        </w:rPr>
        <w:t>Other product manufacture and use</w:t>
      </w:r>
      <w:r w:rsidRPr="00ED41F2">
        <w:t xml:space="preserve"> category. The trends are shown in figures 4.1.1 and 4.1.2. </w:t>
      </w:r>
    </w:p>
    <w:p w14:paraId="7F45E456" w14:textId="77777777" w:rsidR="0099547F" w:rsidRPr="00ED41F2" w:rsidRDefault="0099547F" w:rsidP="0099547F">
      <w:pPr>
        <w:pStyle w:val="Heading5"/>
      </w:pPr>
      <w:r w:rsidRPr="00ED41F2">
        <w:t>2019–2020</w:t>
      </w:r>
    </w:p>
    <w:p w14:paraId="3755A8FC" w14:textId="77777777" w:rsidR="0099547F" w:rsidRPr="00ED41F2" w:rsidRDefault="0099547F" w:rsidP="0099547F">
      <w:pPr>
        <w:pStyle w:val="BodyText"/>
      </w:pPr>
      <w:r w:rsidRPr="00ED41F2">
        <w:t>Between 2019 and 2020, emissions from the IPPU sector decreased by 242.7 kt CO</w:t>
      </w:r>
      <w:r w:rsidRPr="00ED41F2">
        <w:rPr>
          <w:vertAlign w:val="subscript"/>
        </w:rPr>
        <w:t>2</w:t>
      </w:r>
      <w:r w:rsidRPr="00ED41F2">
        <w:t>-e (5.0 per cent).</w:t>
      </w:r>
    </w:p>
    <w:p w14:paraId="6C409B31" w14:textId="77777777" w:rsidR="0099547F" w:rsidRPr="00ED41F2" w:rsidRDefault="0099547F" w:rsidP="0099547F">
      <w:pPr>
        <w:pStyle w:val="BodyText"/>
      </w:pPr>
      <w:r w:rsidRPr="00ED41F2">
        <w:t xml:space="preserve">This change was the result of a significant decrease in emissions from the </w:t>
      </w:r>
      <w:r w:rsidRPr="00ED41F2">
        <w:rPr>
          <w:i/>
        </w:rPr>
        <w:t>Metal industry</w:t>
      </w:r>
      <w:r w:rsidRPr="00ED41F2">
        <w:t xml:space="preserve"> category</w:t>
      </w:r>
      <w:r w:rsidRPr="00ED41F2" w:rsidDel="005B01B1">
        <w:rPr>
          <w:i/>
        </w:rPr>
        <w:t xml:space="preserve"> </w:t>
      </w:r>
      <w:r w:rsidRPr="00ED41F2">
        <w:t>(109.5 kt CO</w:t>
      </w:r>
      <w:r w:rsidRPr="00ED41F2">
        <w:rPr>
          <w:vertAlign w:val="subscript"/>
        </w:rPr>
        <w:t>2</w:t>
      </w:r>
      <w:r w:rsidRPr="00ED41F2">
        <w:t xml:space="preserve">-e or 4.7 per cent), and smaller decreases in other categories, due to plant shutdowns related to COVID-19 and consequent decreased production. New Zealand had a national lockdown in force from 26 March to 27 May 2020. </w:t>
      </w:r>
    </w:p>
    <w:p w14:paraId="058EAA3B" w14:textId="77777777" w:rsidR="0099547F" w:rsidRPr="00ED41F2" w:rsidRDefault="0099547F" w:rsidP="0099547F">
      <w:pPr>
        <w:pStyle w:val="Table"/>
      </w:pPr>
      <w:bookmarkStart w:id="417" w:name="_Toc414531402"/>
      <w:bookmarkStart w:id="418" w:name="_Toc451176065"/>
      <w:bookmarkStart w:id="419" w:name="_Toc5269455"/>
      <w:bookmarkStart w:id="420" w:name="_Toc36224528"/>
      <w:bookmarkStart w:id="421" w:name="_Toc68786415"/>
      <w:bookmarkStart w:id="422" w:name="_Toc99659223"/>
      <w:r w:rsidRPr="00ED41F2">
        <w:lastRenderedPageBreak/>
        <w:t xml:space="preserve">Table 4.1.1 </w:t>
      </w:r>
      <w:r w:rsidRPr="00ED41F2">
        <w:tab/>
        <w:t>New Zealand’s greenhouse gas emissions for the IPPU sector by category</w:t>
      </w:r>
      <w:bookmarkEnd w:id="417"/>
      <w:r w:rsidRPr="00ED41F2">
        <w:t xml:space="preserve"> in 1990 and </w:t>
      </w:r>
      <w:bookmarkEnd w:id="418"/>
      <w:bookmarkEnd w:id="419"/>
      <w:r w:rsidRPr="00ED41F2">
        <w:t>2020</w:t>
      </w:r>
      <w:bookmarkEnd w:id="420"/>
      <w:bookmarkEnd w:id="421"/>
      <w:bookmarkEnd w:id="422"/>
    </w:p>
    <w:tbl>
      <w:tblPr>
        <w:tblW w:w="8505" w:type="dxa"/>
        <w:tblInd w:w="108"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2990"/>
        <w:gridCol w:w="844"/>
        <w:gridCol w:w="847"/>
        <w:gridCol w:w="985"/>
        <w:gridCol w:w="1126"/>
        <w:gridCol w:w="845"/>
        <w:gridCol w:w="868"/>
      </w:tblGrid>
      <w:tr w:rsidR="0099547F" w:rsidRPr="00ED41F2" w14:paraId="6B3FFF4C" w14:textId="77777777" w:rsidTr="007E3239">
        <w:tc>
          <w:tcPr>
            <w:tcW w:w="1758" w:type="pct"/>
            <w:shd w:val="clear" w:color="auto" w:fill="1B556B"/>
            <w:vAlign w:val="bottom"/>
          </w:tcPr>
          <w:p w14:paraId="4D253DA0" w14:textId="77777777" w:rsidR="0099547F" w:rsidRPr="00ED41F2" w:rsidRDefault="0099547F" w:rsidP="007E3239">
            <w:pPr>
              <w:pStyle w:val="TableTextBold"/>
              <w:spacing w:after="0"/>
              <w:jc w:val="center"/>
              <w:rPr>
                <w:noProof w:val="0"/>
                <w:color w:val="FFFFFF"/>
              </w:rPr>
            </w:pPr>
          </w:p>
        </w:tc>
        <w:tc>
          <w:tcPr>
            <w:tcW w:w="994" w:type="pct"/>
            <w:gridSpan w:val="2"/>
            <w:shd w:val="clear" w:color="auto" w:fill="1B556B"/>
            <w:vAlign w:val="bottom"/>
            <w:hideMark/>
          </w:tcPr>
          <w:p w14:paraId="28B9F2B3" w14:textId="77777777" w:rsidR="0099547F" w:rsidRPr="00ED41F2" w:rsidRDefault="0099547F" w:rsidP="007E3239">
            <w:pPr>
              <w:pStyle w:val="TableTextBold"/>
              <w:spacing w:after="0"/>
              <w:jc w:val="center"/>
              <w:rPr>
                <w:noProof w:val="0"/>
                <w:color w:val="FFFFFF"/>
              </w:rPr>
            </w:pPr>
            <w:r w:rsidRPr="00ED41F2">
              <w:rPr>
                <w:noProof w:val="0"/>
                <w:color w:val="FFFFFF"/>
              </w:rPr>
              <w:t xml:space="preserve">Emissions </w:t>
            </w:r>
            <w:r w:rsidRPr="00ED41F2">
              <w:rPr>
                <w:noProof w:val="0"/>
                <w:color w:val="FFFFFF"/>
              </w:rPr>
              <w:br/>
              <w:t>(kt CO</w:t>
            </w:r>
            <w:r w:rsidRPr="00ED41F2">
              <w:rPr>
                <w:noProof w:val="0"/>
                <w:color w:val="FFFFFF"/>
                <w:vertAlign w:val="subscript"/>
              </w:rPr>
              <w:t>2</w:t>
            </w:r>
            <w:r w:rsidRPr="00ED41F2">
              <w:rPr>
                <w:noProof w:val="0"/>
                <w:color w:val="FFFFFF"/>
              </w:rPr>
              <w:t>-e)</w:t>
            </w:r>
          </w:p>
        </w:tc>
        <w:tc>
          <w:tcPr>
            <w:tcW w:w="579" w:type="pct"/>
            <w:shd w:val="clear" w:color="auto" w:fill="1B556B"/>
            <w:vAlign w:val="bottom"/>
            <w:hideMark/>
          </w:tcPr>
          <w:p w14:paraId="00A09320" w14:textId="77777777" w:rsidR="0099547F" w:rsidRPr="00ED41F2" w:rsidRDefault="0099547F" w:rsidP="007E3239">
            <w:pPr>
              <w:pStyle w:val="TableTextBold"/>
              <w:spacing w:after="0"/>
              <w:jc w:val="right"/>
              <w:rPr>
                <w:noProof w:val="0"/>
                <w:color w:val="FFFFFF"/>
              </w:rPr>
            </w:pPr>
            <w:r w:rsidRPr="00ED41F2">
              <w:rPr>
                <w:noProof w:val="0"/>
                <w:color w:val="FFFFFF"/>
              </w:rPr>
              <w:t>Difference (kt CO</w:t>
            </w:r>
            <w:r w:rsidRPr="00ED41F2">
              <w:rPr>
                <w:noProof w:val="0"/>
                <w:color w:val="FFFFFF"/>
                <w:vertAlign w:val="subscript"/>
              </w:rPr>
              <w:t>2</w:t>
            </w:r>
            <w:r w:rsidRPr="00ED41F2">
              <w:rPr>
                <w:noProof w:val="0"/>
                <w:color w:val="FFFFFF"/>
              </w:rPr>
              <w:noBreakHyphen/>
              <w:t>e)</w:t>
            </w:r>
          </w:p>
        </w:tc>
        <w:tc>
          <w:tcPr>
            <w:tcW w:w="662" w:type="pct"/>
            <w:shd w:val="clear" w:color="auto" w:fill="1B556B"/>
            <w:vAlign w:val="bottom"/>
            <w:hideMark/>
          </w:tcPr>
          <w:p w14:paraId="2B38DACA" w14:textId="77777777" w:rsidR="0099547F" w:rsidRPr="00ED41F2" w:rsidRDefault="0099547F" w:rsidP="007E3239">
            <w:pPr>
              <w:pStyle w:val="TableTextBold"/>
              <w:spacing w:after="0"/>
              <w:jc w:val="center"/>
              <w:rPr>
                <w:noProof w:val="0"/>
                <w:color w:val="FFFFFF"/>
              </w:rPr>
            </w:pPr>
            <w:r w:rsidRPr="00ED41F2">
              <w:rPr>
                <w:noProof w:val="0"/>
                <w:color w:val="FFFFFF"/>
              </w:rPr>
              <w:t>Change (%)</w:t>
            </w:r>
          </w:p>
        </w:tc>
        <w:tc>
          <w:tcPr>
            <w:tcW w:w="1007" w:type="pct"/>
            <w:gridSpan w:val="2"/>
            <w:shd w:val="clear" w:color="auto" w:fill="1B556B"/>
            <w:vAlign w:val="bottom"/>
            <w:hideMark/>
          </w:tcPr>
          <w:p w14:paraId="3F2E38A6" w14:textId="77777777" w:rsidR="0099547F" w:rsidRPr="00ED41F2" w:rsidRDefault="0099547F" w:rsidP="007E3239">
            <w:pPr>
              <w:pStyle w:val="TableTextBold"/>
              <w:spacing w:after="0"/>
              <w:jc w:val="center"/>
              <w:rPr>
                <w:noProof w:val="0"/>
                <w:color w:val="FFFFFF"/>
              </w:rPr>
            </w:pPr>
            <w:r w:rsidRPr="00ED41F2">
              <w:rPr>
                <w:noProof w:val="0"/>
                <w:color w:val="FFFFFF"/>
              </w:rPr>
              <w:t>Share (%)</w:t>
            </w:r>
          </w:p>
        </w:tc>
      </w:tr>
      <w:tr w:rsidR="0099547F" w:rsidRPr="00ED41F2" w14:paraId="6ABAE97E" w14:textId="77777777" w:rsidTr="007E3239">
        <w:tc>
          <w:tcPr>
            <w:tcW w:w="1758" w:type="pct"/>
            <w:tcBorders>
              <w:bottom w:val="single" w:sz="4" w:space="0" w:color="1B556B"/>
            </w:tcBorders>
            <w:shd w:val="clear" w:color="auto" w:fill="1B556B"/>
            <w:vAlign w:val="bottom"/>
            <w:hideMark/>
          </w:tcPr>
          <w:p w14:paraId="1131F79B" w14:textId="77777777" w:rsidR="0099547F" w:rsidRPr="00ED41F2" w:rsidRDefault="0099547F" w:rsidP="007E3239">
            <w:pPr>
              <w:pStyle w:val="TableTextBold"/>
              <w:rPr>
                <w:noProof w:val="0"/>
                <w:color w:val="FFFFFF"/>
              </w:rPr>
            </w:pPr>
            <w:r w:rsidRPr="00ED41F2">
              <w:rPr>
                <w:noProof w:val="0"/>
                <w:color w:val="FFFFFF"/>
              </w:rPr>
              <w:t>Source category</w:t>
            </w:r>
          </w:p>
        </w:tc>
        <w:tc>
          <w:tcPr>
            <w:tcW w:w="496" w:type="pct"/>
            <w:tcBorders>
              <w:bottom w:val="single" w:sz="4" w:space="0" w:color="1B556B"/>
            </w:tcBorders>
            <w:shd w:val="clear" w:color="auto" w:fill="1B556B"/>
            <w:vAlign w:val="bottom"/>
            <w:hideMark/>
          </w:tcPr>
          <w:p w14:paraId="44F4A57D" w14:textId="77777777" w:rsidR="0099547F" w:rsidRPr="00ED41F2" w:rsidRDefault="0099547F" w:rsidP="0008510E">
            <w:pPr>
              <w:pStyle w:val="TableTextBold"/>
              <w:jc w:val="center"/>
              <w:rPr>
                <w:noProof w:val="0"/>
                <w:color w:val="FFFFFF"/>
              </w:rPr>
            </w:pPr>
            <w:r w:rsidRPr="00ED41F2">
              <w:rPr>
                <w:noProof w:val="0"/>
                <w:color w:val="FFFFFF"/>
              </w:rPr>
              <w:t>1990</w:t>
            </w:r>
          </w:p>
        </w:tc>
        <w:tc>
          <w:tcPr>
            <w:tcW w:w="498" w:type="pct"/>
            <w:tcBorders>
              <w:bottom w:val="single" w:sz="4" w:space="0" w:color="1B556B"/>
            </w:tcBorders>
            <w:shd w:val="clear" w:color="auto" w:fill="1B556B"/>
            <w:vAlign w:val="bottom"/>
            <w:hideMark/>
          </w:tcPr>
          <w:p w14:paraId="787D7E61" w14:textId="77777777" w:rsidR="0099547F" w:rsidRPr="00ED41F2" w:rsidRDefault="0099547F" w:rsidP="0008510E">
            <w:pPr>
              <w:pStyle w:val="TableTextBold"/>
              <w:jc w:val="center"/>
              <w:rPr>
                <w:noProof w:val="0"/>
                <w:color w:val="FFFFFF"/>
              </w:rPr>
            </w:pPr>
            <w:r w:rsidRPr="00ED41F2">
              <w:rPr>
                <w:noProof w:val="0"/>
                <w:color w:val="FFFFFF"/>
              </w:rPr>
              <w:t>2020</w:t>
            </w:r>
          </w:p>
        </w:tc>
        <w:tc>
          <w:tcPr>
            <w:tcW w:w="579" w:type="pct"/>
            <w:tcBorders>
              <w:bottom w:val="single" w:sz="4" w:space="0" w:color="1B556B"/>
            </w:tcBorders>
            <w:shd w:val="clear" w:color="auto" w:fill="1B556B"/>
            <w:vAlign w:val="bottom"/>
            <w:hideMark/>
          </w:tcPr>
          <w:p w14:paraId="01664481" w14:textId="77777777" w:rsidR="0099547F" w:rsidRPr="00ED41F2" w:rsidRDefault="0099547F" w:rsidP="007E3239">
            <w:pPr>
              <w:pStyle w:val="TableTextBold"/>
              <w:jc w:val="right"/>
              <w:rPr>
                <w:noProof w:val="0"/>
                <w:color w:val="FFFFFF"/>
              </w:rPr>
            </w:pPr>
            <w:r w:rsidRPr="00ED41F2">
              <w:rPr>
                <w:noProof w:val="0"/>
                <w:color w:val="FFFFFF"/>
              </w:rPr>
              <w:t>1990–2020</w:t>
            </w:r>
          </w:p>
        </w:tc>
        <w:tc>
          <w:tcPr>
            <w:tcW w:w="662" w:type="pct"/>
            <w:tcBorders>
              <w:bottom w:val="single" w:sz="4" w:space="0" w:color="1B556B"/>
            </w:tcBorders>
            <w:shd w:val="clear" w:color="auto" w:fill="1B556B"/>
            <w:vAlign w:val="bottom"/>
            <w:hideMark/>
          </w:tcPr>
          <w:p w14:paraId="4B5EC6AE" w14:textId="77777777" w:rsidR="0099547F" w:rsidRPr="00ED41F2" w:rsidRDefault="0099547F" w:rsidP="007E3239">
            <w:pPr>
              <w:pStyle w:val="TableTextBold"/>
              <w:jc w:val="right"/>
              <w:rPr>
                <w:noProof w:val="0"/>
                <w:color w:val="FFFFFF"/>
              </w:rPr>
            </w:pPr>
            <w:r w:rsidRPr="00ED41F2">
              <w:rPr>
                <w:noProof w:val="0"/>
                <w:color w:val="FFFFFF"/>
              </w:rPr>
              <w:t>1990–2020</w:t>
            </w:r>
          </w:p>
        </w:tc>
        <w:tc>
          <w:tcPr>
            <w:tcW w:w="497" w:type="pct"/>
            <w:tcBorders>
              <w:bottom w:val="single" w:sz="4" w:space="0" w:color="1B556B"/>
            </w:tcBorders>
            <w:shd w:val="clear" w:color="auto" w:fill="1B556B"/>
            <w:vAlign w:val="bottom"/>
            <w:hideMark/>
          </w:tcPr>
          <w:p w14:paraId="0DF8D56F" w14:textId="77777777" w:rsidR="0099547F" w:rsidRPr="00ED41F2" w:rsidRDefault="0099547F" w:rsidP="007E3239">
            <w:pPr>
              <w:pStyle w:val="TableTextBold"/>
              <w:jc w:val="right"/>
              <w:rPr>
                <w:noProof w:val="0"/>
                <w:color w:val="FFFFFF"/>
              </w:rPr>
            </w:pPr>
            <w:r w:rsidRPr="00ED41F2">
              <w:rPr>
                <w:noProof w:val="0"/>
                <w:color w:val="FFFFFF"/>
              </w:rPr>
              <w:t>1990</w:t>
            </w:r>
          </w:p>
        </w:tc>
        <w:tc>
          <w:tcPr>
            <w:tcW w:w="510" w:type="pct"/>
            <w:tcBorders>
              <w:bottom w:val="single" w:sz="4" w:space="0" w:color="1B556B"/>
            </w:tcBorders>
            <w:shd w:val="clear" w:color="auto" w:fill="1B556B"/>
            <w:vAlign w:val="bottom"/>
            <w:hideMark/>
          </w:tcPr>
          <w:p w14:paraId="1E20C88F" w14:textId="77777777" w:rsidR="0099547F" w:rsidRPr="00ED41F2" w:rsidRDefault="0099547F" w:rsidP="007E3239">
            <w:pPr>
              <w:pStyle w:val="TableTextBold"/>
              <w:jc w:val="right"/>
              <w:rPr>
                <w:noProof w:val="0"/>
                <w:color w:val="FFFFFF"/>
              </w:rPr>
            </w:pPr>
            <w:r w:rsidRPr="00ED41F2">
              <w:rPr>
                <w:noProof w:val="0"/>
                <w:color w:val="FFFFFF"/>
              </w:rPr>
              <w:t>2020</w:t>
            </w:r>
          </w:p>
        </w:tc>
      </w:tr>
      <w:tr w:rsidR="0099547F" w:rsidRPr="00ED41F2" w14:paraId="1FFEAB64" w14:textId="77777777" w:rsidTr="007E3239">
        <w:trPr>
          <w:trHeight w:val="250"/>
        </w:trPr>
        <w:tc>
          <w:tcPr>
            <w:tcW w:w="1758" w:type="pct"/>
            <w:hideMark/>
          </w:tcPr>
          <w:p w14:paraId="1F9C74EC" w14:textId="77777777" w:rsidR="0099547F" w:rsidRPr="00ED41F2" w:rsidRDefault="0099547F" w:rsidP="007E3239">
            <w:pPr>
              <w:pStyle w:val="TableText"/>
              <w:spacing w:before="50" w:after="50"/>
            </w:pPr>
            <w:r w:rsidRPr="00ED41F2">
              <w:t>Mineral industry (2.A)</w:t>
            </w:r>
          </w:p>
        </w:tc>
        <w:tc>
          <w:tcPr>
            <w:tcW w:w="496" w:type="pct"/>
            <w:hideMark/>
          </w:tcPr>
          <w:p w14:paraId="503E35A9" w14:textId="77777777" w:rsidR="0099547F" w:rsidRPr="00ED41F2" w:rsidRDefault="0099547F" w:rsidP="0008510E">
            <w:pPr>
              <w:pStyle w:val="TableText"/>
              <w:spacing w:before="50" w:after="50"/>
              <w:jc w:val="center"/>
            </w:pPr>
            <w:r w:rsidRPr="00ED41F2">
              <w:t>561.9</w:t>
            </w:r>
          </w:p>
        </w:tc>
        <w:tc>
          <w:tcPr>
            <w:tcW w:w="498" w:type="pct"/>
            <w:hideMark/>
          </w:tcPr>
          <w:p w14:paraId="7D9D6982" w14:textId="77777777" w:rsidR="0099547F" w:rsidRPr="00ED41F2" w:rsidRDefault="0099547F" w:rsidP="0008510E">
            <w:pPr>
              <w:pStyle w:val="TableText"/>
              <w:spacing w:before="50" w:after="50"/>
              <w:jc w:val="center"/>
            </w:pPr>
            <w:r w:rsidRPr="00ED41F2">
              <w:t>537.4</w:t>
            </w:r>
          </w:p>
        </w:tc>
        <w:tc>
          <w:tcPr>
            <w:tcW w:w="579" w:type="pct"/>
            <w:hideMark/>
          </w:tcPr>
          <w:p w14:paraId="1AE5AD9E" w14:textId="77777777" w:rsidR="0099547F" w:rsidRPr="00ED41F2" w:rsidRDefault="0099547F" w:rsidP="0008510E">
            <w:pPr>
              <w:pStyle w:val="TableText"/>
              <w:spacing w:before="50" w:after="50"/>
              <w:jc w:val="center"/>
            </w:pPr>
            <w:r w:rsidRPr="00ED41F2">
              <w:t>–24.4</w:t>
            </w:r>
          </w:p>
        </w:tc>
        <w:tc>
          <w:tcPr>
            <w:tcW w:w="662" w:type="pct"/>
            <w:hideMark/>
          </w:tcPr>
          <w:p w14:paraId="784256F1" w14:textId="77777777" w:rsidR="0099547F" w:rsidRPr="00ED41F2" w:rsidRDefault="0099547F" w:rsidP="0008510E">
            <w:pPr>
              <w:pStyle w:val="TableText"/>
              <w:spacing w:before="50" w:after="50"/>
              <w:jc w:val="center"/>
            </w:pPr>
            <w:r w:rsidRPr="00ED41F2">
              <w:t>–4.3</w:t>
            </w:r>
          </w:p>
        </w:tc>
        <w:tc>
          <w:tcPr>
            <w:tcW w:w="497" w:type="pct"/>
            <w:hideMark/>
          </w:tcPr>
          <w:p w14:paraId="240E65DF" w14:textId="77777777" w:rsidR="0099547F" w:rsidRPr="00ED41F2" w:rsidRDefault="0099547F" w:rsidP="0008510E">
            <w:pPr>
              <w:pStyle w:val="TableText"/>
              <w:spacing w:before="50" w:after="50"/>
              <w:jc w:val="center"/>
            </w:pPr>
            <w:r w:rsidRPr="00ED41F2">
              <w:t>15.7</w:t>
            </w:r>
          </w:p>
        </w:tc>
        <w:tc>
          <w:tcPr>
            <w:tcW w:w="510" w:type="pct"/>
            <w:hideMark/>
          </w:tcPr>
          <w:p w14:paraId="5766DB7A" w14:textId="77777777" w:rsidR="0099547F" w:rsidRPr="00ED41F2" w:rsidRDefault="0099547F" w:rsidP="0008510E">
            <w:pPr>
              <w:pStyle w:val="TableText"/>
              <w:spacing w:before="50" w:after="50"/>
              <w:jc w:val="center"/>
            </w:pPr>
            <w:r w:rsidRPr="00ED41F2">
              <w:t>11.6</w:t>
            </w:r>
          </w:p>
        </w:tc>
      </w:tr>
      <w:tr w:rsidR="0099547F" w:rsidRPr="00ED41F2" w14:paraId="2D02A8DA" w14:textId="77777777" w:rsidTr="007E3239">
        <w:tc>
          <w:tcPr>
            <w:tcW w:w="1758" w:type="pct"/>
            <w:hideMark/>
          </w:tcPr>
          <w:p w14:paraId="0801ED87" w14:textId="77777777" w:rsidR="0099547F" w:rsidRPr="00ED41F2" w:rsidRDefault="0099547F" w:rsidP="007E3239">
            <w:pPr>
              <w:pStyle w:val="TableText"/>
              <w:spacing w:before="50" w:after="50"/>
            </w:pPr>
            <w:r w:rsidRPr="00ED41F2">
              <w:t>Chemical industry (2.B)</w:t>
            </w:r>
          </w:p>
        </w:tc>
        <w:tc>
          <w:tcPr>
            <w:tcW w:w="496" w:type="pct"/>
            <w:hideMark/>
          </w:tcPr>
          <w:p w14:paraId="4D02117C" w14:textId="77777777" w:rsidR="0099547F" w:rsidRPr="00ED41F2" w:rsidRDefault="0099547F" w:rsidP="0008510E">
            <w:pPr>
              <w:pStyle w:val="TableText"/>
              <w:spacing w:before="50" w:after="50"/>
              <w:jc w:val="center"/>
            </w:pPr>
            <w:r w:rsidRPr="00ED41F2">
              <w:t>203.0</w:t>
            </w:r>
          </w:p>
        </w:tc>
        <w:tc>
          <w:tcPr>
            <w:tcW w:w="498" w:type="pct"/>
            <w:hideMark/>
          </w:tcPr>
          <w:p w14:paraId="636599C9" w14:textId="77777777" w:rsidR="0099547F" w:rsidRPr="00ED41F2" w:rsidRDefault="0099547F" w:rsidP="0008510E">
            <w:pPr>
              <w:pStyle w:val="TableText"/>
              <w:spacing w:before="50" w:after="50"/>
              <w:jc w:val="center"/>
            </w:pPr>
            <w:r w:rsidRPr="00ED41F2">
              <w:t>250.5</w:t>
            </w:r>
          </w:p>
        </w:tc>
        <w:tc>
          <w:tcPr>
            <w:tcW w:w="579" w:type="pct"/>
            <w:hideMark/>
          </w:tcPr>
          <w:p w14:paraId="4BC9A8C2" w14:textId="77777777" w:rsidR="0099547F" w:rsidRPr="00ED41F2" w:rsidRDefault="0099547F" w:rsidP="0008510E">
            <w:pPr>
              <w:pStyle w:val="TableText"/>
              <w:spacing w:before="50" w:after="50"/>
              <w:jc w:val="center"/>
            </w:pPr>
            <w:r w:rsidRPr="00ED41F2">
              <w:t>47.5</w:t>
            </w:r>
          </w:p>
        </w:tc>
        <w:tc>
          <w:tcPr>
            <w:tcW w:w="662" w:type="pct"/>
            <w:hideMark/>
          </w:tcPr>
          <w:p w14:paraId="125BF42B" w14:textId="77777777" w:rsidR="0099547F" w:rsidRPr="00ED41F2" w:rsidRDefault="0099547F" w:rsidP="0008510E">
            <w:pPr>
              <w:pStyle w:val="TableText"/>
              <w:spacing w:before="50" w:after="50"/>
              <w:jc w:val="center"/>
            </w:pPr>
            <w:r w:rsidRPr="00ED41F2">
              <w:t>23.4</w:t>
            </w:r>
          </w:p>
        </w:tc>
        <w:tc>
          <w:tcPr>
            <w:tcW w:w="497" w:type="pct"/>
            <w:hideMark/>
          </w:tcPr>
          <w:p w14:paraId="6CB2D95B" w14:textId="77777777" w:rsidR="0099547F" w:rsidRPr="00ED41F2" w:rsidRDefault="0099547F" w:rsidP="0008510E">
            <w:pPr>
              <w:pStyle w:val="TableText"/>
              <w:spacing w:before="50" w:after="50"/>
              <w:jc w:val="center"/>
            </w:pPr>
            <w:r w:rsidRPr="00ED41F2">
              <w:t>5.7</w:t>
            </w:r>
          </w:p>
        </w:tc>
        <w:tc>
          <w:tcPr>
            <w:tcW w:w="510" w:type="pct"/>
            <w:hideMark/>
          </w:tcPr>
          <w:p w14:paraId="244959B1" w14:textId="77777777" w:rsidR="0099547F" w:rsidRPr="00ED41F2" w:rsidRDefault="0099547F" w:rsidP="0008510E">
            <w:pPr>
              <w:pStyle w:val="TableText"/>
              <w:spacing w:before="50" w:after="50"/>
              <w:jc w:val="center"/>
            </w:pPr>
            <w:r w:rsidRPr="00ED41F2">
              <w:t>5.4</w:t>
            </w:r>
          </w:p>
        </w:tc>
      </w:tr>
      <w:tr w:rsidR="0099547F" w:rsidRPr="00ED41F2" w14:paraId="3F95D939" w14:textId="77777777" w:rsidTr="007E3239">
        <w:tc>
          <w:tcPr>
            <w:tcW w:w="1758" w:type="pct"/>
            <w:hideMark/>
          </w:tcPr>
          <w:p w14:paraId="5A148CF5" w14:textId="77777777" w:rsidR="0099547F" w:rsidRPr="00ED41F2" w:rsidRDefault="0099547F" w:rsidP="007E3239">
            <w:pPr>
              <w:pStyle w:val="TableText"/>
              <w:spacing w:before="50" w:after="50"/>
            </w:pPr>
            <w:r w:rsidRPr="00ED41F2">
              <w:t>Metal industry (2.C)</w:t>
            </w:r>
          </w:p>
        </w:tc>
        <w:tc>
          <w:tcPr>
            <w:tcW w:w="496" w:type="pct"/>
            <w:hideMark/>
          </w:tcPr>
          <w:p w14:paraId="61708412" w14:textId="77777777" w:rsidR="0099547F" w:rsidRPr="00ED41F2" w:rsidRDefault="0099547F" w:rsidP="0008510E">
            <w:pPr>
              <w:pStyle w:val="TableText"/>
              <w:spacing w:before="50" w:after="50"/>
              <w:jc w:val="center"/>
            </w:pPr>
            <w:r w:rsidRPr="00ED41F2">
              <w:t>2,670.2</w:t>
            </w:r>
          </w:p>
        </w:tc>
        <w:tc>
          <w:tcPr>
            <w:tcW w:w="498" w:type="pct"/>
            <w:hideMark/>
          </w:tcPr>
          <w:p w14:paraId="3487840D" w14:textId="77777777" w:rsidR="0099547F" w:rsidRPr="00ED41F2" w:rsidRDefault="0099547F" w:rsidP="0008510E">
            <w:pPr>
              <w:pStyle w:val="TableText"/>
              <w:spacing w:before="50" w:after="50"/>
              <w:jc w:val="center"/>
            </w:pPr>
            <w:r w:rsidRPr="00ED41F2">
              <w:t>2,215.7</w:t>
            </w:r>
          </w:p>
        </w:tc>
        <w:tc>
          <w:tcPr>
            <w:tcW w:w="579" w:type="pct"/>
            <w:hideMark/>
          </w:tcPr>
          <w:p w14:paraId="4DE1B493" w14:textId="77777777" w:rsidR="0099547F" w:rsidRPr="00ED41F2" w:rsidRDefault="0099547F" w:rsidP="0008510E">
            <w:pPr>
              <w:pStyle w:val="TableText"/>
              <w:spacing w:before="50" w:after="50"/>
              <w:jc w:val="center"/>
            </w:pPr>
            <w:r w:rsidRPr="00ED41F2">
              <w:t>–454.5</w:t>
            </w:r>
          </w:p>
        </w:tc>
        <w:tc>
          <w:tcPr>
            <w:tcW w:w="662" w:type="pct"/>
            <w:hideMark/>
          </w:tcPr>
          <w:p w14:paraId="66D93AAD" w14:textId="77777777" w:rsidR="0099547F" w:rsidRPr="00ED41F2" w:rsidRDefault="0099547F" w:rsidP="0008510E">
            <w:pPr>
              <w:pStyle w:val="TableText"/>
              <w:spacing w:before="50" w:after="50"/>
              <w:jc w:val="center"/>
            </w:pPr>
            <w:r w:rsidRPr="00ED41F2">
              <w:t>–17.0</w:t>
            </w:r>
          </w:p>
        </w:tc>
        <w:tc>
          <w:tcPr>
            <w:tcW w:w="497" w:type="pct"/>
            <w:hideMark/>
          </w:tcPr>
          <w:p w14:paraId="36ACDF6E" w14:textId="77777777" w:rsidR="0099547F" w:rsidRPr="00ED41F2" w:rsidRDefault="0099547F" w:rsidP="0008510E">
            <w:pPr>
              <w:pStyle w:val="TableText"/>
              <w:spacing w:before="50" w:after="50"/>
              <w:jc w:val="center"/>
            </w:pPr>
            <w:r w:rsidRPr="00ED41F2">
              <w:t>74.6</w:t>
            </w:r>
          </w:p>
        </w:tc>
        <w:tc>
          <w:tcPr>
            <w:tcW w:w="510" w:type="pct"/>
            <w:hideMark/>
          </w:tcPr>
          <w:p w14:paraId="21045DF9" w14:textId="77777777" w:rsidR="0099547F" w:rsidRPr="00ED41F2" w:rsidRDefault="0099547F" w:rsidP="0008510E">
            <w:pPr>
              <w:pStyle w:val="TableText"/>
              <w:spacing w:before="50" w:after="50"/>
              <w:jc w:val="center"/>
            </w:pPr>
            <w:r w:rsidRPr="00ED41F2">
              <w:t>48.0</w:t>
            </w:r>
          </w:p>
        </w:tc>
      </w:tr>
      <w:tr w:rsidR="0099547F" w:rsidRPr="00ED41F2" w14:paraId="642AC87B" w14:textId="77777777" w:rsidTr="007E3239">
        <w:tc>
          <w:tcPr>
            <w:tcW w:w="1758" w:type="pct"/>
            <w:hideMark/>
          </w:tcPr>
          <w:p w14:paraId="72BB2949" w14:textId="77777777" w:rsidR="0099547F" w:rsidRPr="00ED41F2" w:rsidRDefault="0099547F" w:rsidP="007E3239">
            <w:pPr>
              <w:pStyle w:val="TableText"/>
              <w:spacing w:before="50" w:after="50"/>
            </w:pPr>
            <w:r w:rsidRPr="00ED41F2">
              <w:t>Non-energy products from fuels and solvent use (2.D)</w:t>
            </w:r>
          </w:p>
        </w:tc>
        <w:tc>
          <w:tcPr>
            <w:tcW w:w="496" w:type="pct"/>
            <w:hideMark/>
          </w:tcPr>
          <w:p w14:paraId="112BBD99" w14:textId="77777777" w:rsidR="0099547F" w:rsidRPr="00ED41F2" w:rsidRDefault="0099547F" w:rsidP="0008510E">
            <w:pPr>
              <w:pStyle w:val="TableText"/>
              <w:spacing w:before="50" w:after="50"/>
              <w:jc w:val="center"/>
            </w:pPr>
            <w:r w:rsidRPr="00ED41F2">
              <w:t>25.2</w:t>
            </w:r>
          </w:p>
        </w:tc>
        <w:tc>
          <w:tcPr>
            <w:tcW w:w="498" w:type="pct"/>
            <w:hideMark/>
          </w:tcPr>
          <w:p w14:paraId="56155599" w14:textId="77777777" w:rsidR="0099547F" w:rsidRPr="00ED41F2" w:rsidRDefault="0099547F" w:rsidP="0008510E">
            <w:pPr>
              <w:pStyle w:val="TableText"/>
              <w:spacing w:before="50" w:after="50"/>
              <w:jc w:val="center"/>
            </w:pPr>
            <w:r w:rsidRPr="00ED41F2">
              <w:t>44.1</w:t>
            </w:r>
          </w:p>
        </w:tc>
        <w:tc>
          <w:tcPr>
            <w:tcW w:w="579" w:type="pct"/>
            <w:hideMark/>
          </w:tcPr>
          <w:p w14:paraId="0B819F35" w14:textId="77777777" w:rsidR="0099547F" w:rsidRPr="00ED41F2" w:rsidRDefault="0099547F" w:rsidP="0008510E">
            <w:pPr>
              <w:pStyle w:val="TableText"/>
              <w:spacing w:before="50" w:after="50"/>
              <w:jc w:val="center"/>
            </w:pPr>
            <w:r w:rsidRPr="00ED41F2">
              <w:t>18.9</w:t>
            </w:r>
          </w:p>
        </w:tc>
        <w:tc>
          <w:tcPr>
            <w:tcW w:w="662" w:type="pct"/>
            <w:hideMark/>
          </w:tcPr>
          <w:p w14:paraId="06C578D1" w14:textId="77777777" w:rsidR="0099547F" w:rsidRPr="00ED41F2" w:rsidRDefault="0099547F" w:rsidP="0008510E">
            <w:pPr>
              <w:pStyle w:val="TableText"/>
              <w:spacing w:before="50" w:after="50"/>
              <w:jc w:val="center"/>
            </w:pPr>
            <w:r w:rsidRPr="00ED41F2">
              <w:t>75.1</w:t>
            </w:r>
          </w:p>
        </w:tc>
        <w:tc>
          <w:tcPr>
            <w:tcW w:w="497" w:type="pct"/>
            <w:hideMark/>
          </w:tcPr>
          <w:p w14:paraId="60B8A51E" w14:textId="77777777" w:rsidR="0099547F" w:rsidRPr="00ED41F2" w:rsidRDefault="0099547F" w:rsidP="0008510E">
            <w:pPr>
              <w:pStyle w:val="TableText"/>
              <w:spacing w:before="50" w:after="50"/>
              <w:jc w:val="center"/>
            </w:pPr>
            <w:r w:rsidRPr="00ED41F2">
              <w:t>0.7</w:t>
            </w:r>
          </w:p>
        </w:tc>
        <w:tc>
          <w:tcPr>
            <w:tcW w:w="510" w:type="pct"/>
            <w:hideMark/>
          </w:tcPr>
          <w:p w14:paraId="26A35CC5" w14:textId="77777777" w:rsidR="0099547F" w:rsidRPr="00ED41F2" w:rsidRDefault="0099547F" w:rsidP="0008510E">
            <w:pPr>
              <w:pStyle w:val="TableText"/>
              <w:spacing w:before="50" w:after="50"/>
              <w:jc w:val="center"/>
            </w:pPr>
            <w:r w:rsidRPr="00ED41F2">
              <w:t>1.0</w:t>
            </w:r>
          </w:p>
        </w:tc>
      </w:tr>
      <w:tr w:rsidR="0099547F" w:rsidRPr="00ED41F2" w14:paraId="0FDBD89C" w14:textId="77777777" w:rsidTr="007E3239">
        <w:tc>
          <w:tcPr>
            <w:tcW w:w="1758" w:type="pct"/>
            <w:hideMark/>
          </w:tcPr>
          <w:p w14:paraId="585A0B7F" w14:textId="77777777" w:rsidR="0099547F" w:rsidRPr="00ED41F2" w:rsidRDefault="0099547F" w:rsidP="007E3239">
            <w:pPr>
              <w:pStyle w:val="TableText"/>
              <w:spacing w:before="50" w:after="50"/>
            </w:pPr>
            <w:r w:rsidRPr="00ED41F2">
              <w:t>Product uses as substitutes for ODS (2.F)</w:t>
            </w:r>
          </w:p>
        </w:tc>
        <w:tc>
          <w:tcPr>
            <w:tcW w:w="496" w:type="pct"/>
            <w:hideMark/>
          </w:tcPr>
          <w:p w14:paraId="1177E7CC" w14:textId="77777777" w:rsidR="0099547F" w:rsidRPr="00ED41F2" w:rsidRDefault="0099547F" w:rsidP="0008510E">
            <w:pPr>
              <w:pStyle w:val="TableText"/>
              <w:spacing w:before="50" w:after="50"/>
              <w:jc w:val="center"/>
            </w:pPr>
            <w:r w:rsidRPr="00ED41F2">
              <w:t>–</w:t>
            </w:r>
          </w:p>
        </w:tc>
        <w:tc>
          <w:tcPr>
            <w:tcW w:w="498" w:type="pct"/>
            <w:hideMark/>
          </w:tcPr>
          <w:p w14:paraId="40043CB9" w14:textId="77777777" w:rsidR="0099547F" w:rsidRPr="00ED41F2" w:rsidRDefault="0099547F" w:rsidP="0008510E">
            <w:pPr>
              <w:pStyle w:val="TableText"/>
              <w:spacing w:before="50" w:after="50"/>
              <w:jc w:val="center"/>
            </w:pPr>
            <w:r w:rsidRPr="00ED41F2">
              <w:t>1,480.1</w:t>
            </w:r>
          </w:p>
        </w:tc>
        <w:tc>
          <w:tcPr>
            <w:tcW w:w="579" w:type="pct"/>
            <w:hideMark/>
          </w:tcPr>
          <w:p w14:paraId="7D9A6736" w14:textId="77777777" w:rsidR="0099547F" w:rsidRPr="00ED41F2" w:rsidRDefault="0099547F" w:rsidP="0008510E">
            <w:pPr>
              <w:pStyle w:val="TableText"/>
              <w:spacing w:before="50" w:after="50"/>
              <w:jc w:val="center"/>
            </w:pPr>
            <w:r w:rsidRPr="00ED41F2">
              <w:t>1,480.1</w:t>
            </w:r>
          </w:p>
        </w:tc>
        <w:tc>
          <w:tcPr>
            <w:tcW w:w="662" w:type="pct"/>
            <w:hideMark/>
          </w:tcPr>
          <w:p w14:paraId="277672F0" w14:textId="77777777" w:rsidR="0099547F" w:rsidRPr="00ED41F2" w:rsidRDefault="0099547F" w:rsidP="0008510E">
            <w:pPr>
              <w:pStyle w:val="TableText"/>
              <w:spacing w:before="50" w:after="50"/>
              <w:jc w:val="center"/>
            </w:pPr>
            <w:r w:rsidRPr="00ED41F2">
              <w:t>–</w:t>
            </w:r>
          </w:p>
        </w:tc>
        <w:tc>
          <w:tcPr>
            <w:tcW w:w="497" w:type="pct"/>
            <w:hideMark/>
          </w:tcPr>
          <w:p w14:paraId="06241F75" w14:textId="77777777" w:rsidR="0099547F" w:rsidRPr="00ED41F2" w:rsidRDefault="0099547F" w:rsidP="0008510E">
            <w:pPr>
              <w:pStyle w:val="TableText"/>
              <w:spacing w:before="50" w:after="50"/>
              <w:jc w:val="center"/>
            </w:pPr>
            <w:r w:rsidRPr="00ED41F2">
              <w:t>–</w:t>
            </w:r>
          </w:p>
        </w:tc>
        <w:tc>
          <w:tcPr>
            <w:tcW w:w="510" w:type="pct"/>
            <w:hideMark/>
          </w:tcPr>
          <w:p w14:paraId="32D77CCF" w14:textId="77777777" w:rsidR="0099547F" w:rsidRPr="00ED41F2" w:rsidRDefault="0099547F" w:rsidP="0008510E">
            <w:pPr>
              <w:pStyle w:val="TableText"/>
              <w:spacing w:before="50" w:after="50"/>
              <w:jc w:val="center"/>
            </w:pPr>
            <w:r w:rsidRPr="00ED41F2">
              <w:t>32.0</w:t>
            </w:r>
          </w:p>
        </w:tc>
      </w:tr>
      <w:tr w:rsidR="0099547F" w:rsidRPr="00ED41F2" w14:paraId="3284A0CF" w14:textId="77777777" w:rsidTr="007E3239">
        <w:tc>
          <w:tcPr>
            <w:tcW w:w="1758" w:type="pct"/>
            <w:hideMark/>
          </w:tcPr>
          <w:p w14:paraId="0011901F" w14:textId="77777777" w:rsidR="0099547F" w:rsidRPr="00ED41F2" w:rsidRDefault="0099547F" w:rsidP="007E3239">
            <w:pPr>
              <w:pStyle w:val="TableText"/>
              <w:spacing w:before="50" w:after="50"/>
            </w:pPr>
            <w:r w:rsidRPr="00ED41F2">
              <w:t>Other product manufacture and use (2.G)</w:t>
            </w:r>
          </w:p>
        </w:tc>
        <w:tc>
          <w:tcPr>
            <w:tcW w:w="496" w:type="pct"/>
            <w:hideMark/>
          </w:tcPr>
          <w:p w14:paraId="3CD2B89F" w14:textId="77777777" w:rsidR="0099547F" w:rsidRPr="00ED41F2" w:rsidRDefault="0099547F" w:rsidP="0008510E">
            <w:pPr>
              <w:pStyle w:val="TableText"/>
              <w:spacing w:before="50" w:after="50"/>
              <w:jc w:val="center"/>
            </w:pPr>
            <w:r w:rsidRPr="00ED41F2">
              <w:t>119.7</w:t>
            </w:r>
          </w:p>
        </w:tc>
        <w:tc>
          <w:tcPr>
            <w:tcW w:w="498" w:type="pct"/>
            <w:hideMark/>
          </w:tcPr>
          <w:p w14:paraId="7B0190EA" w14:textId="77777777" w:rsidR="0099547F" w:rsidRPr="00ED41F2" w:rsidRDefault="0099547F" w:rsidP="0008510E">
            <w:pPr>
              <w:pStyle w:val="TableText"/>
              <w:spacing w:before="50" w:after="50"/>
              <w:jc w:val="center"/>
            </w:pPr>
            <w:r w:rsidRPr="00ED41F2">
              <w:t>90.6</w:t>
            </w:r>
          </w:p>
        </w:tc>
        <w:tc>
          <w:tcPr>
            <w:tcW w:w="579" w:type="pct"/>
            <w:hideMark/>
          </w:tcPr>
          <w:p w14:paraId="062150BB" w14:textId="77777777" w:rsidR="0099547F" w:rsidRPr="00ED41F2" w:rsidRDefault="0099547F" w:rsidP="0008510E">
            <w:pPr>
              <w:pStyle w:val="TableText"/>
              <w:spacing w:before="50" w:after="50"/>
              <w:jc w:val="center"/>
            </w:pPr>
            <w:r w:rsidRPr="00ED41F2">
              <w:t>–29.1</w:t>
            </w:r>
          </w:p>
        </w:tc>
        <w:tc>
          <w:tcPr>
            <w:tcW w:w="662" w:type="pct"/>
            <w:hideMark/>
          </w:tcPr>
          <w:p w14:paraId="4722C2D1" w14:textId="77777777" w:rsidR="0099547F" w:rsidRPr="00ED41F2" w:rsidRDefault="0099547F" w:rsidP="0008510E">
            <w:pPr>
              <w:pStyle w:val="TableText"/>
              <w:spacing w:before="50" w:after="50"/>
              <w:jc w:val="center"/>
            </w:pPr>
            <w:r w:rsidRPr="00ED41F2">
              <w:t>–24.3</w:t>
            </w:r>
          </w:p>
        </w:tc>
        <w:tc>
          <w:tcPr>
            <w:tcW w:w="497" w:type="pct"/>
            <w:hideMark/>
          </w:tcPr>
          <w:p w14:paraId="1B989E33" w14:textId="77777777" w:rsidR="0099547F" w:rsidRPr="00ED41F2" w:rsidRDefault="0099547F" w:rsidP="0008510E">
            <w:pPr>
              <w:pStyle w:val="TableText"/>
              <w:spacing w:before="50" w:after="50"/>
              <w:jc w:val="center"/>
            </w:pPr>
            <w:r w:rsidRPr="00ED41F2">
              <w:t>3.3</w:t>
            </w:r>
          </w:p>
        </w:tc>
        <w:tc>
          <w:tcPr>
            <w:tcW w:w="510" w:type="pct"/>
            <w:hideMark/>
          </w:tcPr>
          <w:p w14:paraId="48F9CEF0" w14:textId="77777777" w:rsidR="0099547F" w:rsidRPr="00ED41F2" w:rsidRDefault="0099547F" w:rsidP="0008510E">
            <w:pPr>
              <w:pStyle w:val="TableText"/>
              <w:spacing w:before="50" w:after="50"/>
              <w:jc w:val="center"/>
            </w:pPr>
            <w:r w:rsidRPr="00ED41F2">
              <w:t>2.0</w:t>
            </w:r>
          </w:p>
        </w:tc>
      </w:tr>
      <w:tr w:rsidR="0099547F" w:rsidRPr="00ED41F2" w14:paraId="2B570DFA" w14:textId="77777777" w:rsidTr="007E3239">
        <w:tc>
          <w:tcPr>
            <w:tcW w:w="1758" w:type="pct"/>
            <w:hideMark/>
          </w:tcPr>
          <w:p w14:paraId="2519F3F3" w14:textId="77777777" w:rsidR="0099547F" w:rsidRPr="00ED41F2" w:rsidRDefault="0099547F" w:rsidP="007E3239">
            <w:pPr>
              <w:pStyle w:val="Tableboldblue"/>
              <w:jc w:val="right"/>
            </w:pPr>
            <w:r w:rsidRPr="00ED41F2">
              <w:t>Total</w:t>
            </w:r>
          </w:p>
        </w:tc>
        <w:tc>
          <w:tcPr>
            <w:tcW w:w="496" w:type="pct"/>
            <w:hideMark/>
          </w:tcPr>
          <w:p w14:paraId="6FB08771" w14:textId="77777777" w:rsidR="0099547F" w:rsidRPr="00ED41F2" w:rsidRDefault="0099547F" w:rsidP="0008510E">
            <w:pPr>
              <w:pStyle w:val="Tableboldblue"/>
              <w:jc w:val="center"/>
            </w:pPr>
            <w:r w:rsidRPr="00ED41F2">
              <w:t>3,579.9</w:t>
            </w:r>
          </w:p>
        </w:tc>
        <w:tc>
          <w:tcPr>
            <w:tcW w:w="498" w:type="pct"/>
            <w:hideMark/>
          </w:tcPr>
          <w:p w14:paraId="6248F5E8" w14:textId="77777777" w:rsidR="0099547F" w:rsidRPr="00ED41F2" w:rsidRDefault="0099547F" w:rsidP="0008510E">
            <w:pPr>
              <w:pStyle w:val="Tableboldblue"/>
              <w:jc w:val="center"/>
            </w:pPr>
            <w:r w:rsidRPr="00ED41F2">
              <w:t>4,618.4</w:t>
            </w:r>
          </w:p>
        </w:tc>
        <w:tc>
          <w:tcPr>
            <w:tcW w:w="579" w:type="pct"/>
            <w:hideMark/>
          </w:tcPr>
          <w:p w14:paraId="240EA8DD" w14:textId="77777777" w:rsidR="0099547F" w:rsidRPr="00ED41F2" w:rsidRDefault="0099547F" w:rsidP="0008510E">
            <w:pPr>
              <w:pStyle w:val="Tableboldblue"/>
              <w:jc w:val="center"/>
            </w:pPr>
            <w:r w:rsidRPr="00ED41F2">
              <w:t>1,038.4</w:t>
            </w:r>
          </w:p>
        </w:tc>
        <w:tc>
          <w:tcPr>
            <w:tcW w:w="662" w:type="pct"/>
            <w:hideMark/>
          </w:tcPr>
          <w:p w14:paraId="6170E91F" w14:textId="77777777" w:rsidR="0099547F" w:rsidRPr="00ED41F2" w:rsidRDefault="0099547F" w:rsidP="0008510E">
            <w:pPr>
              <w:pStyle w:val="Tableboldblue"/>
              <w:jc w:val="center"/>
            </w:pPr>
            <w:r w:rsidRPr="00ED41F2">
              <w:t>29.0</w:t>
            </w:r>
          </w:p>
        </w:tc>
        <w:tc>
          <w:tcPr>
            <w:tcW w:w="497" w:type="pct"/>
            <w:hideMark/>
          </w:tcPr>
          <w:p w14:paraId="43AC2500" w14:textId="77777777" w:rsidR="0099547F" w:rsidRPr="00ED41F2" w:rsidRDefault="0099547F" w:rsidP="0008510E">
            <w:pPr>
              <w:pStyle w:val="Tableboldblue"/>
              <w:jc w:val="center"/>
            </w:pPr>
            <w:r w:rsidRPr="00ED41F2">
              <w:t>–</w:t>
            </w:r>
          </w:p>
        </w:tc>
        <w:tc>
          <w:tcPr>
            <w:tcW w:w="510" w:type="pct"/>
            <w:hideMark/>
          </w:tcPr>
          <w:p w14:paraId="3E144991" w14:textId="77777777" w:rsidR="0099547F" w:rsidRPr="00ED41F2" w:rsidRDefault="0099547F" w:rsidP="0008510E">
            <w:pPr>
              <w:pStyle w:val="Tableboldblue"/>
              <w:jc w:val="center"/>
            </w:pPr>
            <w:r w:rsidRPr="00ED41F2">
              <w:t>–</w:t>
            </w:r>
          </w:p>
        </w:tc>
      </w:tr>
    </w:tbl>
    <w:p w14:paraId="45C0028B" w14:textId="77777777" w:rsidR="0099547F" w:rsidRPr="00ED41F2" w:rsidRDefault="0099547F" w:rsidP="0099547F">
      <w:pPr>
        <w:pStyle w:val="Noteundertable"/>
      </w:pPr>
      <w:r w:rsidRPr="00ED41F2">
        <w:rPr>
          <w:b/>
        </w:rPr>
        <w:t>Note:</w:t>
      </w:r>
      <w:r w:rsidRPr="00ED41F2">
        <w:tab/>
        <w:t>Columns may not sum due to rounding.</w:t>
      </w:r>
    </w:p>
    <w:p w14:paraId="722E5659" w14:textId="77777777" w:rsidR="0099547F" w:rsidRPr="00ED41F2" w:rsidRDefault="0099547F" w:rsidP="0099547F">
      <w:pPr>
        <w:pStyle w:val="Figure"/>
        <w:spacing w:after="0"/>
      </w:pPr>
      <w:bookmarkStart w:id="423" w:name="_Toc447275685"/>
      <w:bookmarkStart w:id="424" w:name="_Toc414531599"/>
      <w:bookmarkStart w:id="425" w:name="_Toc378853331"/>
      <w:bookmarkStart w:id="426" w:name="_Toc5269679"/>
      <w:bookmarkStart w:id="427" w:name="_Toc36292782"/>
      <w:bookmarkStart w:id="428" w:name="_Toc68786647"/>
      <w:bookmarkStart w:id="429" w:name="_Toc99696027"/>
      <w:r w:rsidRPr="00ED41F2">
        <w:t>Figure 4.1.1</w:t>
      </w:r>
      <w:r w:rsidRPr="00ED41F2">
        <w:tab/>
        <w:t>New Zealand’s annual emissions from the IPPU sector from 1990 to </w:t>
      </w:r>
      <w:bookmarkEnd w:id="423"/>
      <w:bookmarkEnd w:id="424"/>
      <w:bookmarkEnd w:id="425"/>
      <w:r w:rsidRPr="00ED41F2">
        <w:t>2020</w:t>
      </w:r>
      <w:bookmarkEnd w:id="426"/>
      <w:bookmarkEnd w:id="427"/>
      <w:bookmarkEnd w:id="428"/>
      <w:bookmarkEnd w:id="429"/>
    </w:p>
    <w:p w14:paraId="76B39BF3" w14:textId="77777777" w:rsidR="0099547F" w:rsidRPr="00ED41F2" w:rsidRDefault="004B48CC" w:rsidP="0099547F">
      <w:pPr>
        <w:pStyle w:val="BodyText"/>
        <w:spacing w:before="60"/>
      </w:pPr>
      <w:bookmarkStart w:id="430" w:name="_Toc447275686"/>
      <w:bookmarkStart w:id="431" w:name="_Toc414531600"/>
      <w:bookmarkStart w:id="432" w:name="_Toc378853332"/>
      <w:r>
        <w:pict w14:anchorId="79B50BD5">
          <v:shape id="Picture 1" o:spid="_x0000_i1064" type="#_x0000_t75" style="width:414.4pt;height:240.3pt;visibility:visible;mso-wrap-style:square">
            <v:imagedata r:id="rId89" o:title=""/>
          </v:shape>
        </w:pict>
      </w:r>
    </w:p>
    <w:p w14:paraId="6372B0C9" w14:textId="77777777" w:rsidR="0099547F" w:rsidRPr="00ED41F2" w:rsidRDefault="0099547F" w:rsidP="0099547F">
      <w:pPr>
        <w:pStyle w:val="Figure"/>
        <w:spacing w:before="160" w:after="0"/>
      </w:pPr>
      <w:bookmarkStart w:id="433" w:name="_Toc5269680"/>
      <w:bookmarkStart w:id="434" w:name="_Toc36292783"/>
      <w:bookmarkStart w:id="435" w:name="_Toc68786648"/>
      <w:bookmarkStart w:id="436" w:name="_Toc99696028"/>
      <w:r w:rsidRPr="00ED41F2">
        <w:t>Figure 4.1.2</w:t>
      </w:r>
      <w:r w:rsidRPr="00ED41F2">
        <w:tab/>
        <w:t xml:space="preserve">Change in New Zealand’s emissions from the IPPU sector from 1990 to </w:t>
      </w:r>
      <w:bookmarkEnd w:id="430"/>
      <w:bookmarkEnd w:id="431"/>
      <w:bookmarkEnd w:id="432"/>
      <w:r w:rsidRPr="00ED41F2">
        <w:t>2020</w:t>
      </w:r>
      <w:bookmarkEnd w:id="433"/>
      <w:bookmarkEnd w:id="434"/>
      <w:bookmarkEnd w:id="435"/>
      <w:bookmarkEnd w:id="436"/>
    </w:p>
    <w:p w14:paraId="41F5046F" w14:textId="77777777" w:rsidR="0099547F" w:rsidRPr="00ED41F2" w:rsidRDefault="004B48CC" w:rsidP="0099547F">
      <w:pPr>
        <w:pStyle w:val="BodyText"/>
        <w:spacing w:before="60" w:after="0"/>
      </w:pPr>
      <w:r>
        <w:pict w14:anchorId="3193F5AC">
          <v:shape id="_x0000_i1065" type="#_x0000_t75" style="width:6in;height:199.25pt;visibility:visible;mso-wrap-style:square">
            <v:imagedata r:id="rId90" o:title="" croptop="6000f" cropbottom="8702f" cropright="1291f"/>
          </v:shape>
        </w:pict>
      </w:r>
    </w:p>
    <w:p w14:paraId="6FB7E200" w14:textId="77777777" w:rsidR="0099547F" w:rsidRPr="00ED41F2" w:rsidRDefault="0099547F" w:rsidP="0099547F">
      <w:pPr>
        <w:pStyle w:val="Noteundertable"/>
        <w:spacing w:before="60" w:after="0"/>
        <w:rPr>
          <w:rFonts w:cs="Arial"/>
        </w:rPr>
      </w:pPr>
      <w:r w:rsidRPr="00ED41F2">
        <w:rPr>
          <w:rFonts w:cs="Arial"/>
          <w:b/>
        </w:rPr>
        <w:t>Note:</w:t>
      </w:r>
      <w:r w:rsidRPr="00ED41F2">
        <w:rPr>
          <w:rFonts w:cs="Arial"/>
        </w:rPr>
        <w:tab/>
      </w:r>
      <w:r w:rsidRPr="00ED41F2">
        <w:t xml:space="preserve">Emissions from the </w:t>
      </w:r>
      <w:r w:rsidRPr="00ED41F2">
        <w:rPr>
          <w:i/>
        </w:rPr>
        <w:t>Electronics industry</w:t>
      </w:r>
      <w:r w:rsidRPr="00ED41F2">
        <w:t xml:space="preserve"> are not occurring (NO).</w:t>
      </w:r>
    </w:p>
    <w:p w14:paraId="7C66055E" w14:textId="77777777" w:rsidR="0099547F" w:rsidRPr="00ED41F2" w:rsidRDefault="0099547F" w:rsidP="0099547F">
      <w:pPr>
        <w:pStyle w:val="Heading3"/>
      </w:pPr>
      <w:r w:rsidRPr="00ED41F2">
        <w:lastRenderedPageBreak/>
        <w:t>4.1.3</w:t>
      </w:r>
      <w:r w:rsidRPr="00ED41F2">
        <w:tab/>
        <w:t>Key categories for IPPU sector emissions</w:t>
      </w:r>
    </w:p>
    <w:p w14:paraId="70E8F296" w14:textId="77777777" w:rsidR="0099547F" w:rsidRPr="00ED41F2" w:rsidRDefault="0099547F" w:rsidP="0099547F">
      <w:pPr>
        <w:pStyle w:val="BodyText"/>
      </w:pPr>
      <w:r w:rsidRPr="00ED41F2">
        <w:t xml:space="preserve">Details of New Zealand’s key category analysis are in chapter 1, section 1.5. The key categories in the IPPU sector are listed in table 4.1.2. </w:t>
      </w:r>
    </w:p>
    <w:p w14:paraId="33AF660B" w14:textId="77777777" w:rsidR="0099547F" w:rsidRPr="00ED41F2" w:rsidRDefault="0099547F" w:rsidP="0099547F">
      <w:pPr>
        <w:pStyle w:val="Table"/>
      </w:pPr>
      <w:bookmarkStart w:id="437" w:name="_Toc451176066"/>
      <w:bookmarkStart w:id="438" w:name="_Toc5269456"/>
      <w:bookmarkStart w:id="439" w:name="_Toc36224529"/>
      <w:bookmarkStart w:id="440" w:name="_Toc68786416"/>
      <w:bookmarkStart w:id="441" w:name="_Toc99659224"/>
      <w:r w:rsidRPr="00ED41F2">
        <w:t xml:space="preserve">Table 4.1.2 </w:t>
      </w:r>
      <w:r w:rsidRPr="00ED41F2">
        <w:tab/>
        <w:t>Key categories in the IPPU sector</w:t>
      </w:r>
      <w:bookmarkEnd w:id="437"/>
      <w:bookmarkEnd w:id="438"/>
      <w:bookmarkEnd w:id="439"/>
      <w:bookmarkEnd w:id="440"/>
      <w:bookmarkEnd w:id="441"/>
      <w:r w:rsidRPr="00ED41F2">
        <w:t xml:space="preserve"> </w:t>
      </w:r>
    </w:p>
    <w:tbl>
      <w:tblPr>
        <w:tblW w:w="8505" w:type="dxa"/>
        <w:tblInd w:w="108" w:type="dxa"/>
        <w:tblBorders>
          <w:top w:val="single" w:sz="4" w:space="0" w:color="1B556B"/>
          <w:bottom w:val="single" w:sz="4" w:space="0" w:color="1B556B"/>
          <w:insideH w:val="single" w:sz="4" w:space="0" w:color="1B556B"/>
        </w:tblBorders>
        <w:tblCellMar>
          <w:right w:w="85" w:type="dxa"/>
        </w:tblCellMar>
        <w:tblLook w:val="04A0" w:firstRow="1" w:lastRow="0" w:firstColumn="1" w:lastColumn="0" w:noHBand="0" w:noVBand="1"/>
      </w:tblPr>
      <w:tblGrid>
        <w:gridCol w:w="1426"/>
        <w:gridCol w:w="5056"/>
        <w:gridCol w:w="833"/>
        <w:gridCol w:w="1190"/>
      </w:tblGrid>
      <w:tr w:rsidR="0099547F" w:rsidRPr="00ED41F2" w14:paraId="457C717B" w14:textId="77777777" w:rsidTr="007E3239">
        <w:trPr>
          <w:trHeight w:val="462"/>
          <w:tblHeader/>
        </w:trPr>
        <w:tc>
          <w:tcPr>
            <w:tcW w:w="1360" w:type="dxa"/>
            <w:shd w:val="clear" w:color="auto" w:fill="1B556B"/>
            <w:vAlign w:val="bottom"/>
            <w:hideMark/>
          </w:tcPr>
          <w:p w14:paraId="6AEA9015" w14:textId="77777777" w:rsidR="0099547F" w:rsidRPr="00ED41F2" w:rsidRDefault="0099547F" w:rsidP="007E3239">
            <w:pPr>
              <w:pStyle w:val="TableTextBold"/>
              <w:spacing w:before="40" w:after="40"/>
              <w:rPr>
                <w:noProof w:val="0"/>
                <w:color w:val="FFFFFF"/>
              </w:rPr>
            </w:pPr>
            <w:r w:rsidRPr="00ED41F2">
              <w:rPr>
                <w:noProof w:val="0"/>
                <w:color w:val="FFFFFF"/>
              </w:rPr>
              <w:t>CRF category code</w:t>
            </w:r>
          </w:p>
        </w:tc>
        <w:tc>
          <w:tcPr>
            <w:tcW w:w="4820" w:type="dxa"/>
            <w:shd w:val="clear" w:color="auto" w:fill="1B556B"/>
            <w:vAlign w:val="bottom"/>
            <w:hideMark/>
          </w:tcPr>
          <w:p w14:paraId="43A65889" w14:textId="77777777" w:rsidR="0099547F" w:rsidRPr="00ED41F2" w:rsidRDefault="0099547F" w:rsidP="007E3239">
            <w:pPr>
              <w:pStyle w:val="TableTextBold"/>
              <w:spacing w:before="40" w:after="40"/>
              <w:rPr>
                <w:noProof w:val="0"/>
                <w:color w:val="FFFFFF"/>
              </w:rPr>
            </w:pPr>
            <w:r w:rsidRPr="00ED41F2">
              <w:rPr>
                <w:noProof w:val="0"/>
                <w:color w:val="FFFFFF"/>
              </w:rPr>
              <w:t>IPCC categories</w:t>
            </w:r>
          </w:p>
        </w:tc>
        <w:tc>
          <w:tcPr>
            <w:tcW w:w="794" w:type="dxa"/>
            <w:shd w:val="clear" w:color="auto" w:fill="1B556B"/>
            <w:vAlign w:val="bottom"/>
            <w:hideMark/>
          </w:tcPr>
          <w:p w14:paraId="5F9F509E" w14:textId="77777777" w:rsidR="0099547F" w:rsidRPr="00ED41F2" w:rsidRDefault="0099547F" w:rsidP="007E3239">
            <w:pPr>
              <w:pStyle w:val="TableTextBold"/>
              <w:spacing w:before="40" w:after="40"/>
              <w:jc w:val="center"/>
              <w:rPr>
                <w:noProof w:val="0"/>
                <w:color w:val="FFFFFF"/>
              </w:rPr>
            </w:pPr>
            <w:r w:rsidRPr="00ED41F2">
              <w:rPr>
                <w:noProof w:val="0"/>
                <w:color w:val="FFFFFF"/>
              </w:rPr>
              <w:t>Gas</w:t>
            </w:r>
          </w:p>
        </w:tc>
        <w:tc>
          <w:tcPr>
            <w:tcW w:w="1134" w:type="dxa"/>
            <w:shd w:val="clear" w:color="auto" w:fill="1B556B"/>
            <w:vAlign w:val="bottom"/>
            <w:hideMark/>
          </w:tcPr>
          <w:p w14:paraId="7DE496DC" w14:textId="77777777" w:rsidR="0099547F" w:rsidRPr="00ED41F2" w:rsidRDefault="0099547F" w:rsidP="007E3239">
            <w:pPr>
              <w:pStyle w:val="TableTextBold"/>
              <w:spacing w:before="40" w:after="40"/>
              <w:rPr>
                <w:noProof w:val="0"/>
                <w:color w:val="FFFFFF"/>
              </w:rPr>
            </w:pPr>
            <w:r w:rsidRPr="00ED41F2">
              <w:rPr>
                <w:noProof w:val="0"/>
                <w:color w:val="FFFFFF"/>
              </w:rPr>
              <w:t>Criteria for identification</w:t>
            </w:r>
          </w:p>
        </w:tc>
      </w:tr>
      <w:tr w:rsidR="0099547F" w:rsidRPr="00ED41F2" w14:paraId="7FF173F2" w14:textId="77777777" w:rsidTr="007E3239">
        <w:trPr>
          <w:trHeight w:val="250"/>
        </w:trPr>
        <w:tc>
          <w:tcPr>
            <w:tcW w:w="1360" w:type="dxa"/>
            <w:shd w:val="clear" w:color="auto" w:fill="FFFFFF"/>
            <w:hideMark/>
          </w:tcPr>
          <w:p w14:paraId="521A4364" w14:textId="77777777" w:rsidR="0099547F" w:rsidRPr="00ED41F2" w:rsidRDefault="0099547F" w:rsidP="007E3239">
            <w:pPr>
              <w:pStyle w:val="TableText"/>
              <w:spacing w:before="50" w:after="50"/>
            </w:pPr>
            <w:r w:rsidRPr="00ED41F2">
              <w:t>2.A.1</w:t>
            </w:r>
          </w:p>
        </w:tc>
        <w:tc>
          <w:tcPr>
            <w:tcW w:w="4820" w:type="dxa"/>
            <w:shd w:val="clear" w:color="auto" w:fill="FFFFFF"/>
            <w:vAlign w:val="center"/>
            <w:hideMark/>
          </w:tcPr>
          <w:p w14:paraId="549826A6" w14:textId="77777777" w:rsidR="0099547F" w:rsidRPr="00ED41F2" w:rsidRDefault="0099547F" w:rsidP="007E3239">
            <w:pPr>
              <w:pStyle w:val="TableText"/>
              <w:spacing w:before="50" w:after="50"/>
              <w:rPr>
                <w:color w:val="000000"/>
                <w:szCs w:val="16"/>
              </w:rPr>
            </w:pPr>
            <w:r w:rsidRPr="00ED41F2">
              <w:rPr>
                <w:color w:val="000000"/>
                <w:szCs w:val="16"/>
              </w:rPr>
              <w:t>Mineral Industry – Cement Production</w:t>
            </w:r>
          </w:p>
        </w:tc>
        <w:tc>
          <w:tcPr>
            <w:tcW w:w="794" w:type="dxa"/>
            <w:shd w:val="clear" w:color="auto" w:fill="FFFFFF"/>
            <w:vAlign w:val="center"/>
            <w:hideMark/>
          </w:tcPr>
          <w:p w14:paraId="6C0F878B" w14:textId="77777777" w:rsidR="0099547F" w:rsidRPr="00ED41F2" w:rsidRDefault="0099547F" w:rsidP="007E3239">
            <w:pPr>
              <w:pStyle w:val="TableText"/>
              <w:spacing w:before="50" w:after="50"/>
              <w:jc w:val="center"/>
              <w:rPr>
                <w:color w:val="000000"/>
                <w:szCs w:val="16"/>
              </w:rPr>
            </w:pPr>
            <w:r w:rsidRPr="00ED41F2">
              <w:rPr>
                <w:color w:val="000000"/>
                <w:szCs w:val="16"/>
              </w:rPr>
              <w:t>CO</w:t>
            </w:r>
            <w:r w:rsidRPr="00ED41F2">
              <w:rPr>
                <w:color w:val="000000"/>
                <w:szCs w:val="16"/>
                <w:vertAlign w:val="subscript"/>
              </w:rPr>
              <w:t>2</w:t>
            </w:r>
          </w:p>
        </w:tc>
        <w:tc>
          <w:tcPr>
            <w:tcW w:w="1134" w:type="dxa"/>
            <w:shd w:val="clear" w:color="auto" w:fill="FFFFFF"/>
            <w:vAlign w:val="center"/>
            <w:hideMark/>
          </w:tcPr>
          <w:p w14:paraId="2ACFC626" w14:textId="77777777" w:rsidR="0099547F" w:rsidRPr="00ED41F2" w:rsidRDefault="0099547F" w:rsidP="007E3239">
            <w:pPr>
              <w:pStyle w:val="TableText"/>
              <w:spacing w:before="50" w:after="50"/>
              <w:rPr>
                <w:color w:val="000000"/>
                <w:szCs w:val="16"/>
              </w:rPr>
            </w:pPr>
            <w:r w:rsidRPr="00ED41F2">
              <w:rPr>
                <w:color w:val="000000"/>
                <w:szCs w:val="16"/>
              </w:rPr>
              <w:t>L1, T1</w:t>
            </w:r>
          </w:p>
        </w:tc>
      </w:tr>
      <w:tr w:rsidR="0099547F" w:rsidRPr="00ED41F2" w14:paraId="2EE7EC2B" w14:textId="77777777" w:rsidTr="007E3239">
        <w:trPr>
          <w:trHeight w:val="305"/>
        </w:trPr>
        <w:tc>
          <w:tcPr>
            <w:tcW w:w="1360" w:type="dxa"/>
            <w:shd w:val="clear" w:color="auto" w:fill="FFFFFF"/>
            <w:hideMark/>
          </w:tcPr>
          <w:p w14:paraId="6CFA0A71" w14:textId="77777777" w:rsidR="0099547F" w:rsidRPr="00ED41F2" w:rsidRDefault="0099547F" w:rsidP="007E3239">
            <w:pPr>
              <w:pStyle w:val="TableText"/>
              <w:spacing w:before="50" w:after="50"/>
            </w:pPr>
            <w:r w:rsidRPr="00ED41F2">
              <w:t>2.C.1</w:t>
            </w:r>
          </w:p>
        </w:tc>
        <w:tc>
          <w:tcPr>
            <w:tcW w:w="4820" w:type="dxa"/>
            <w:shd w:val="clear" w:color="auto" w:fill="FFFFFF"/>
            <w:vAlign w:val="center"/>
            <w:hideMark/>
          </w:tcPr>
          <w:p w14:paraId="4F6F70E2" w14:textId="77777777" w:rsidR="0099547F" w:rsidRPr="00ED41F2" w:rsidRDefault="0099547F" w:rsidP="007E3239">
            <w:pPr>
              <w:pStyle w:val="TableText"/>
              <w:spacing w:before="50" w:after="50"/>
              <w:rPr>
                <w:color w:val="000000"/>
                <w:szCs w:val="16"/>
              </w:rPr>
            </w:pPr>
            <w:r w:rsidRPr="00ED41F2">
              <w:rPr>
                <w:color w:val="000000"/>
                <w:szCs w:val="16"/>
              </w:rPr>
              <w:t>Metal Industry – Iron and Steel Production</w:t>
            </w:r>
          </w:p>
        </w:tc>
        <w:tc>
          <w:tcPr>
            <w:tcW w:w="794" w:type="dxa"/>
            <w:shd w:val="clear" w:color="auto" w:fill="FFFFFF"/>
            <w:vAlign w:val="center"/>
            <w:hideMark/>
          </w:tcPr>
          <w:p w14:paraId="014A743C" w14:textId="77777777" w:rsidR="0099547F" w:rsidRPr="00ED41F2" w:rsidRDefault="0099547F" w:rsidP="007E3239">
            <w:pPr>
              <w:pStyle w:val="TableText"/>
              <w:spacing w:before="50" w:after="50"/>
              <w:jc w:val="center"/>
              <w:rPr>
                <w:color w:val="000000"/>
                <w:szCs w:val="16"/>
              </w:rPr>
            </w:pPr>
            <w:r w:rsidRPr="00ED41F2">
              <w:rPr>
                <w:color w:val="000000"/>
                <w:szCs w:val="16"/>
              </w:rPr>
              <w:t>CO</w:t>
            </w:r>
            <w:r w:rsidRPr="00ED41F2">
              <w:rPr>
                <w:color w:val="000000"/>
                <w:szCs w:val="16"/>
                <w:vertAlign w:val="subscript"/>
              </w:rPr>
              <w:t>2</w:t>
            </w:r>
          </w:p>
        </w:tc>
        <w:tc>
          <w:tcPr>
            <w:tcW w:w="1134" w:type="dxa"/>
            <w:shd w:val="clear" w:color="auto" w:fill="FFFFFF"/>
            <w:vAlign w:val="center"/>
            <w:hideMark/>
          </w:tcPr>
          <w:p w14:paraId="2059C504" w14:textId="77777777" w:rsidR="0099547F" w:rsidRPr="00ED41F2" w:rsidRDefault="0099547F" w:rsidP="007E3239">
            <w:pPr>
              <w:pStyle w:val="TableText"/>
              <w:spacing w:before="50" w:after="50"/>
              <w:rPr>
                <w:color w:val="000000"/>
                <w:szCs w:val="16"/>
              </w:rPr>
            </w:pPr>
            <w:r w:rsidRPr="00ED41F2">
              <w:rPr>
                <w:color w:val="000000"/>
                <w:szCs w:val="16"/>
              </w:rPr>
              <w:t>L1</w:t>
            </w:r>
          </w:p>
        </w:tc>
      </w:tr>
      <w:tr w:rsidR="0099547F" w:rsidRPr="00ED41F2" w14:paraId="0C1B6DA5" w14:textId="77777777" w:rsidTr="007E3239">
        <w:trPr>
          <w:trHeight w:val="305"/>
        </w:trPr>
        <w:tc>
          <w:tcPr>
            <w:tcW w:w="1360" w:type="dxa"/>
            <w:shd w:val="clear" w:color="auto" w:fill="FFFFFF"/>
            <w:hideMark/>
          </w:tcPr>
          <w:p w14:paraId="125BF811" w14:textId="77777777" w:rsidR="0099547F" w:rsidRPr="00ED41F2" w:rsidRDefault="0099547F" w:rsidP="007E3239">
            <w:pPr>
              <w:pStyle w:val="TableText"/>
              <w:spacing w:before="50" w:after="50"/>
            </w:pPr>
            <w:r w:rsidRPr="00ED41F2">
              <w:t>2.C.3</w:t>
            </w:r>
          </w:p>
        </w:tc>
        <w:tc>
          <w:tcPr>
            <w:tcW w:w="4820" w:type="dxa"/>
            <w:shd w:val="clear" w:color="auto" w:fill="FFFFFF"/>
            <w:vAlign w:val="center"/>
            <w:hideMark/>
          </w:tcPr>
          <w:p w14:paraId="6D48561D" w14:textId="77777777" w:rsidR="0099547F" w:rsidRPr="00ED41F2" w:rsidRDefault="0099547F" w:rsidP="007E3239">
            <w:pPr>
              <w:pStyle w:val="TableText"/>
              <w:spacing w:before="50" w:after="50"/>
              <w:rPr>
                <w:color w:val="000000"/>
                <w:szCs w:val="16"/>
              </w:rPr>
            </w:pPr>
            <w:r w:rsidRPr="00ED41F2">
              <w:rPr>
                <w:color w:val="000000"/>
                <w:szCs w:val="16"/>
              </w:rPr>
              <w:t>Metal Industry – Aluminium Production</w:t>
            </w:r>
          </w:p>
        </w:tc>
        <w:tc>
          <w:tcPr>
            <w:tcW w:w="794" w:type="dxa"/>
            <w:shd w:val="clear" w:color="auto" w:fill="FFFFFF"/>
            <w:vAlign w:val="center"/>
            <w:hideMark/>
          </w:tcPr>
          <w:p w14:paraId="0B1C85FF" w14:textId="77777777" w:rsidR="0099547F" w:rsidRPr="00ED41F2" w:rsidRDefault="0099547F" w:rsidP="007E3239">
            <w:pPr>
              <w:pStyle w:val="TableText"/>
              <w:spacing w:before="50" w:after="50"/>
              <w:jc w:val="center"/>
              <w:rPr>
                <w:color w:val="000000"/>
                <w:szCs w:val="16"/>
              </w:rPr>
            </w:pPr>
            <w:r w:rsidRPr="00ED41F2">
              <w:rPr>
                <w:color w:val="000000"/>
                <w:szCs w:val="16"/>
              </w:rPr>
              <w:t>CO</w:t>
            </w:r>
            <w:r w:rsidRPr="00ED41F2">
              <w:rPr>
                <w:color w:val="000000"/>
                <w:szCs w:val="16"/>
                <w:vertAlign w:val="subscript"/>
              </w:rPr>
              <w:t>2</w:t>
            </w:r>
          </w:p>
        </w:tc>
        <w:tc>
          <w:tcPr>
            <w:tcW w:w="1134" w:type="dxa"/>
            <w:shd w:val="clear" w:color="auto" w:fill="FFFFFF"/>
            <w:vAlign w:val="center"/>
            <w:hideMark/>
          </w:tcPr>
          <w:p w14:paraId="604D2F46" w14:textId="77777777" w:rsidR="0099547F" w:rsidRPr="00ED41F2" w:rsidRDefault="0099547F" w:rsidP="007E3239">
            <w:pPr>
              <w:pStyle w:val="TableText"/>
              <w:spacing w:before="50" w:after="50"/>
              <w:rPr>
                <w:color w:val="000000"/>
                <w:szCs w:val="16"/>
              </w:rPr>
            </w:pPr>
            <w:r w:rsidRPr="00ED41F2">
              <w:rPr>
                <w:color w:val="000000"/>
                <w:szCs w:val="16"/>
              </w:rPr>
              <w:t>L1</w:t>
            </w:r>
          </w:p>
        </w:tc>
      </w:tr>
      <w:tr w:rsidR="0099547F" w:rsidRPr="00ED41F2" w14:paraId="2EA7C5AD" w14:textId="77777777" w:rsidTr="007E3239">
        <w:trPr>
          <w:trHeight w:val="305"/>
        </w:trPr>
        <w:tc>
          <w:tcPr>
            <w:tcW w:w="1360" w:type="dxa"/>
            <w:shd w:val="clear" w:color="auto" w:fill="FFFFFF"/>
            <w:hideMark/>
          </w:tcPr>
          <w:p w14:paraId="134A04EC" w14:textId="77777777" w:rsidR="0099547F" w:rsidRPr="00ED41F2" w:rsidRDefault="0099547F" w:rsidP="007E3239">
            <w:pPr>
              <w:pStyle w:val="TableText"/>
              <w:spacing w:before="50" w:after="50"/>
            </w:pPr>
            <w:r w:rsidRPr="00ED41F2">
              <w:t>2.C.3</w:t>
            </w:r>
          </w:p>
        </w:tc>
        <w:tc>
          <w:tcPr>
            <w:tcW w:w="4820" w:type="dxa"/>
            <w:shd w:val="clear" w:color="auto" w:fill="FFFFFF"/>
            <w:vAlign w:val="center"/>
            <w:hideMark/>
          </w:tcPr>
          <w:p w14:paraId="19AB8B22" w14:textId="77777777" w:rsidR="0099547F" w:rsidRPr="00ED41F2" w:rsidRDefault="0099547F" w:rsidP="007E3239">
            <w:pPr>
              <w:pStyle w:val="TableText"/>
              <w:spacing w:before="50" w:after="50"/>
              <w:rPr>
                <w:color w:val="000000"/>
                <w:szCs w:val="16"/>
              </w:rPr>
            </w:pPr>
            <w:r w:rsidRPr="00ED41F2">
              <w:rPr>
                <w:color w:val="000000"/>
                <w:szCs w:val="16"/>
              </w:rPr>
              <w:t>Metal Industry – Aluminium Production</w:t>
            </w:r>
          </w:p>
        </w:tc>
        <w:tc>
          <w:tcPr>
            <w:tcW w:w="794" w:type="dxa"/>
            <w:shd w:val="clear" w:color="auto" w:fill="FFFFFF"/>
            <w:vAlign w:val="center"/>
            <w:hideMark/>
          </w:tcPr>
          <w:p w14:paraId="65055012" w14:textId="77777777" w:rsidR="0099547F" w:rsidRPr="00ED41F2" w:rsidRDefault="0099547F" w:rsidP="007E3239">
            <w:pPr>
              <w:pStyle w:val="TableText"/>
              <w:spacing w:before="50" w:after="50"/>
              <w:jc w:val="center"/>
              <w:rPr>
                <w:color w:val="000000"/>
                <w:szCs w:val="16"/>
              </w:rPr>
            </w:pPr>
            <w:r w:rsidRPr="00ED41F2">
              <w:rPr>
                <w:color w:val="000000"/>
                <w:szCs w:val="16"/>
              </w:rPr>
              <w:t>PFCs</w:t>
            </w:r>
          </w:p>
        </w:tc>
        <w:tc>
          <w:tcPr>
            <w:tcW w:w="1134" w:type="dxa"/>
            <w:shd w:val="clear" w:color="auto" w:fill="FFFFFF"/>
            <w:vAlign w:val="center"/>
            <w:hideMark/>
          </w:tcPr>
          <w:p w14:paraId="17DDAFA3" w14:textId="77777777" w:rsidR="0099547F" w:rsidRPr="00ED41F2" w:rsidRDefault="0099547F" w:rsidP="007E3239">
            <w:pPr>
              <w:pStyle w:val="TableText"/>
              <w:spacing w:before="50" w:after="50"/>
              <w:rPr>
                <w:color w:val="000000"/>
                <w:szCs w:val="16"/>
              </w:rPr>
            </w:pPr>
            <w:r w:rsidRPr="00ED41F2">
              <w:rPr>
                <w:color w:val="000000"/>
                <w:szCs w:val="16"/>
              </w:rPr>
              <w:t>T1</w:t>
            </w:r>
          </w:p>
        </w:tc>
      </w:tr>
      <w:tr w:rsidR="0099547F" w:rsidRPr="00ED41F2" w14:paraId="18066F4F" w14:textId="77777777" w:rsidTr="007E3239">
        <w:trPr>
          <w:trHeight w:val="305"/>
        </w:trPr>
        <w:tc>
          <w:tcPr>
            <w:tcW w:w="1360" w:type="dxa"/>
            <w:shd w:val="clear" w:color="auto" w:fill="FFFFFF"/>
            <w:hideMark/>
          </w:tcPr>
          <w:p w14:paraId="75573FEE" w14:textId="77777777" w:rsidR="0099547F" w:rsidRPr="00ED41F2" w:rsidRDefault="0099547F" w:rsidP="007E3239">
            <w:pPr>
              <w:pStyle w:val="TableText"/>
              <w:spacing w:before="50" w:after="50"/>
            </w:pPr>
            <w:r w:rsidRPr="00ED41F2">
              <w:t>2.F.1</w:t>
            </w:r>
          </w:p>
        </w:tc>
        <w:tc>
          <w:tcPr>
            <w:tcW w:w="4820" w:type="dxa"/>
            <w:shd w:val="clear" w:color="auto" w:fill="FFFFFF"/>
            <w:vAlign w:val="center"/>
            <w:hideMark/>
          </w:tcPr>
          <w:p w14:paraId="2F3C959B" w14:textId="77777777" w:rsidR="0099547F" w:rsidRPr="00ED41F2" w:rsidRDefault="0099547F" w:rsidP="007E3239">
            <w:pPr>
              <w:pStyle w:val="TableText"/>
              <w:spacing w:before="50" w:after="50"/>
              <w:rPr>
                <w:color w:val="000000"/>
                <w:szCs w:val="16"/>
              </w:rPr>
            </w:pPr>
            <w:r w:rsidRPr="00ED41F2">
              <w:rPr>
                <w:color w:val="000000"/>
                <w:szCs w:val="16"/>
              </w:rPr>
              <w:t>Product Uses as Substitutes for ODS – Refrigeration and Air Conditioning</w:t>
            </w:r>
          </w:p>
        </w:tc>
        <w:tc>
          <w:tcPr>
            <w:tcW w:w="794" w:type="dxa"/>
            <w:shd w:val="clear" w:color="auto" w:fill="FFFFFF"/>
            <w:vAlign w:val="center"/>
            <w:hideMark/>
          </w:tcPr>
          <w:p w14:paraId="424436CC" w14:textId="77777777" w:rsidR="0099547F" w:rsidRPr="00ED41F2" w:rsidRDefault="0099547F" w:rsidP="007E3239">
            <w:pPr>
              <w:pStyle w:val="TableText"/>
              <w:spacing w:before="50" w:after="50"/>
              <w:jc w:val="center"/>
              <w:rPr>
                <w:color w:val="000000"/>
                <w:szCs w:val="16"/>
              </w:rPr>
            </w:pPr>
            <w:r w:rsidRPr="00ED41F2">
              <w:rPr>
                <w:color w:val="000000"/>
                <w:szCs w:val="16"/>
              </w:rPr>
              <w:t>HFCs</w:t>
            </w:r>
          </w:p>
        </w:tc>
        <w:tc>
          <w:tcPr>
            <w:tcW w:w="1134" w:type="dxa"/>
            <w:shd w:val="clear" w:color="auto" w:fill="FFFFFF"/>
            <w:vAlign w:val="center"/>
            <w:hideMark/>
          </w:tcPr>
          <w:p w14:paraId="4DF701A1" w14:textId="77777777" w:rsidR="0099547F" w:rsidRPr="00ED41F2" w:rsidRDefault="0099547F" w:rsidP="007E3239">
            <w:pPr>
              <w:pStyle w:val="TableText"/>
              <w:spacing w:before="50" w:after="50"/>
              <w:rPr>
                <w:color w:val="000000"/>
                <w:szCs w:val="16"/>
              </w:rPr>
            </w:pPr>
            <w:r w:rsidRPr="00ED41F2">
              <w:rPr>
                <w:color w:val="000000"/>
                <w:szCs w:val="16"/>
              </w:rPr>
              <w:t>L1, T1</w:t>
            </w:r>
          </w:p>
        </w:tc>
      </w:tr>
    </w:tbl>
    <w:p w14:paraId="49E8D9CE" w14:textId="01081694" w:rsidR="0099547F" w:rsidRPr="00ED41F2" w:rsidRDefault="0099547F" w:rsidP="0099547F">
      <w:pPr>
        <w:pStyle w:val="Noteundertable"/>
      </w:pPr>
      <w:r w:rsidRPr="00ED41F2">
        <w:rPr>
          <w:rFonts w:cs="Arial"/>
          <w:b/>
        </w:rPr>
        <w:t>Note:</w:t>
      </w:r>
      <w:r w:rsidRPr="00ED41F2">
        <w:rPr>
          <w:rFonts w:cs="Arial"/>
        </w:rPr>
        <w:tab/>
      </w:r>
      <w:r w:rsidRPr="00ED41F2">
        <w:t xml:space="preserve">L1 means a key category is identified under the level analysis – </w:t>
      </w:r>
      <w:r w:rsidR="005D2050">
        <w:t>A</w:t>
      </w:r>
      <w:r w:rsidRPr="00ED41F2">
        <w:t xml:space="preserve">pproach 1 and T1 is trend analysis </w:t>
      </w:r>
      <w:r w:rsidRPr="00ED41F2">
        <w:br/>
        <w:t xml:space="preserve">– </w:t>
      </w:r>
      <w:r w:rsidR="005D2050">
        <w:t>A</w:t>
      </w:r>
      <w:r w:rsidRPr="00ED41F2">
        <w:t>pproach 1. Refer to chapter 1 for more information.</w:t>
      </w:r>
    </w:p>
    <w:p w14:paraId="04F87ED8" w14:textId="77777777" w:rsidR="0099547F" w:rsidRPr="00ED41F2" w:rsidRDefault="0099547F" w:rsidP="0099547F">
      <w:pPr>
        <w:pStyle w:val="Heading3"/>
      </w:pPr>
      <w:r w:rsidRPr="00ED41F2">
        <w:t>4.1.4</w:t>
      </w:r>
      <w:r w:rsidRPr="00ED41F2">
        <w:tab/>
        <w:t>Methodological issues for the IPPU sector</w:t>
      </w:r>
    </w:p>
    <w:p w14:paraId="4C26D120" w14:textId="77777777" w:rsidR="0099547F" w:rsidRPr="00ED41F2" w:rsidRDefault="0099547F" w:rsidP="0099547F">
      <w:pPr>
        <w:pStyle w:val="BodyText"/>
        <w:rPr>
          <w:rFonts w:eastAsia="+mn-ea"/>
        </w:rPr>
      </w:pPr>
      <w:r w:rsidRPr="00ED41F2">
        <w:rPr>
          <w:rFonts w:eastAsia="+mn-ea"/>
        </w:rPr>
        <w:t xml:space="preserve">Activity data in the IPPU sector have been derived from a variety of sources. In the </w:t>
      </w:r>
      <w:r w:rsidRPr="00ED41F2">
        <w:rPr>
          <w:rFonts w:eastAsia="+mn-ea"/>
          <w:i/>
        </w:rPr>
        <w:t>Mineral industry</w:t>
      </w:r>
      <w:r w:rsidRPr="00ED41F2">
        <w:rPr>
          <w:rFonts w:eastAsia="+mn-ea"/>
        </w:rPr>
        <w:t xml:space="preserve"> category, the primary data source is emissions data reported under the New Zealand Emissions Trading Scheme (NZ ETS). For the </w:t>
      </w:r>
      <w:r w:rsidRPr="00ED41F2">
        <w:rPr>
          <w:rFonts w:eastAsia="+mn-ea"/>
          <w:i/>
        </w:rPr>
        <w:t>Chemical industry</w:t>
      </w:r>
      <w:r w:rsidRPr="00ED41F2">
        <w:rPr>
          <w:rFonts w:eastAsia="+mn-ea"/>
        </w:rPr>
        <w:t xml:space="preserve"> and </w:t>
      </w:r>
      <w:r w:rsidRPr="00ED41F2">
        <w:rPr>
          <w:rFonts w:eastAsia="+mn-ea"/>
          <w:i/>
        </w:rPr>
        <w:t>Metal industry</w:t>
      </w:r>
      <w:r w:rsidRPr="00ED41F2">
        <w:rPr>
          <w:rFonts w:eastAsia="+mn-ea"/>
        </w:rPr>
        <w:t xml:space="preserve"> categories, data (including activity data) are provided to the Ministry of Business, Innovation and Employment (MBIE) in response to an annual survey. </w:t>
      </w:r>
    </w:p>
    <w:p w14:paraId="08319C5C" w14:textId="77777777" w:rsidR="0099547F" w:rsidRPr="00ED41F2" w:rsidRDefault="0099547F" w:rsidP="0099547F">
      <w:pPr>
        <w:pStyle w:val="BodyText"/>
        <w:rPr>
          <w:rFonts w:eastAsia="+mn-ea"/>
        </w:rPr>
      </w:pPr>
      <w:r w:rsidRPr="00ED41F2">
        <w:rPr>
          <w:rFonts w:eastAsia="+mn-ea"/>
        </w:rPr>
        <w:t xml:space="preserve">For some large-scale activities in the </w:t>
      </w:r>
      <w:r w:rsidRPr="00ED41F2">
        <w:rPr>
          <w:rFonts w:eastAsia="+mn-ea"/>
          <w:i/>
        </w:rPr>
        <w:t>Mineral industry</w:t>
      </w:r>
      <w:r w:rsidRPr="00ED41F2">
        <w:rPr>
          <w:rFonts w:eastAsia="+mn-ea"/>
        </w:rPr>
        <w:t xml:space="preserve">, </w:t>
      </w:r>
      <w:r w:rsidRPr="00ED41F2">
        <w:rPr>
          <w:rFonts w:eastAsia="+mn-ea"/>
          <w:i/>
        </w:rPr>
        <w:t>Chemical industry</w:t>
      </w:r>
      <w:r w:rsidRPr="00ED41F2">
        <w:rPr>
          <w:rFonts w:eastAsia="+mn-ea"/>
        </w:rPr>
        <w:t xml:space="preserve"> and </w:t>
      </w:r>
      <w:r w:rsidRPr="00ED41F2">
        <w:rPr>
          <w:rFonts w:eastAsia="+mn-ea"/>
          <w:i/>
        </w:rPr>
        <w:t>Metal industry</w:t>
      </w:r>
      <w:r w:rsidRPr="00ED41F2">
        <w:rPr>
          <w:rFonts w:eastAsia="+mn-ea"/>
        </w:rPr>
        <w:t xml:space="preserve"> categories, which are carried out by only one or two companies in New Zealand, activity data are reported as confidential in the CRF tables. </w:t>
      </w:r>
    </w:p>
    <w:p w14:paraId="72481FD4" w14:textId="77777777" w:rsidR="0099547F" w:rsidRPr="00ED41F2" w:rsidRDefault="0099547F" w:rsidP="0099547F">
      <w:pPr>
        <w:pStyle w:val="BodyText"/>
        <w:rPr>
          <w:rFonts w:eastAsia="+mn-ea"/>
        </w:rPr>
      </w:pPr>
      <w:r w:rsidRPr="00ED41F2">
        <w:rPr>
          <w:rFonts w:eastAsia="+mn-ea"/>
        </w:rPr>
        <w:t xml:space="preserve">Emissions data for glass production (2.A.3) are reported in 2.A.4 to aggregate the data with other sources and preserve confidentiality. Also, data on emissions from hydrogen making at the Marsden Point oil refinery are reported in the </w:t>
      </w:r>
      <w:r w:rsidRPr="00ED41F2">
        <w:rPr>
          <w:rFonts w:eastAsia="+mn-ea"/>
          <w:i/>
        </w:rPr>
        <w:t>Chemical industry</w:t>
      </w:r>
      <w:r w:rsidRPr="00ED41F2">
        <w:rPr>
          <w:rFonts w:eastAsia="+mn-ea"/>
        </w:rPr>
        <w:t xml:space="preserve"> category. This allows data from New Zealand’s only industrial hydrogen-making process, which is smaller in scale than refining, to be aggregated and kept confidential.</w:t>
      </w:r>
    </w:p>
    <w:p w14:paraId="53FA00E0" w14:textId="77777777" w:rsidR="0099547F" w:rsidRPr="00ED41F2" w:rsidRDefault="0099547F" w:rsidP="0099547F">
      <w:pPr>
        <w:pStyle w:val="BodyText"/>
        <w:rPr>
          <w:rFonts w:eastAsia="+mn-ea"/>
        </w:rPr>
      </w:pPr>
      <w:r w:rsidRPr="00ED41F2">
        <w:rPr>
          <w:rFonts w:eastAsia="+mn-ea"/>
        </w:rPr>
        <w:t xml:space="preserve">For the </w:t>
      </w:r>
      <w:r w:rsidRPr="00ED41F2">
        <w:rPr>
          <w:rFonts w:eastAsia="+mn-ea"/>
          <w:i/>
        </w:rPr>
        <w:t>Product uses as substitutes for ODS</w:t>
      </w:r>
      <w:r w:rsidRPr="00ED41F2">
        <w:rPr>
          <w:rFonts w:eastAsia="+mn-ea"/>
        </w:rPr>
        <w:t xml:space="preserve"> category, updated activity data have been obtained</w:t>
      </w:r>
      <w:r>
        <w:rPr>
          <w:rFonts w:eastAsia="+mn-ea"/>
        </w:rPr>
        <w:t xml:space="preserve"> </w:t>
      </w:r>
      <w:r w:rsidRPr="00C13A26">
        <w:rPr>
          <w:rFonts w:eastAsia="+mn-ea"/>
          <w:spacing w:val="-2"/>
        </w:rPr>
        <w:t>by a detailed annual survey covering the electrical, refrigeration and other industry participants</w:t>
      </w:r>
      <w:r w:rsidRPr="00ED41F2">
        <w:rPr>
          <w:rFonts w:eastAsia="+mn-ea"/>
        </w:rPr>
        <w:t xml:space="preserve"> </w:t>
      </w:r>
      <w:r w:rsidRPr="00C13A26">
        <w:rPr>
          <w:rFonts w:eastAsia="+mn-ea"/>
          <w:spacing w:val="-2"/>
        </w:rPr>
        <w:t>(Verum Group, unpublished) as well as importers of HFCs and other substances in this category.</w:t>
      </w:r>
      <w:r w:rsidRPr="00ED41F2">
        <w:rPr>
          <w:rFonts w:eastAsia="+mn-ea"/>
        </w:rPr>
        <w:t xml:space="preserve"> </w:t>
      </w:r>
    </w:p>
    <w:p w14:paraId="39006AC4" w14:textId="77777777" w:rsidR="0099547F" w:rsidRPr="00ED41F2" w:rsidRDefault="0099547F" w:rsidP="0099547F">
      <w:pPr>
        <w:pStyle w:val="BodyText"/>
      </w:pPr>
      <w:r w:rsidRPr="00ED41F2">
        <w:t xml:space="preserve">New Zealand uses a combination of Tier 1 and Tier 2 methods for the IPPU sector. Tier 2 methods are used for all key categories. </w:t>
      </w:r>
    </w:p>
    <w:p w14:paraId="600CAF6D" w14:textId="77777777" w:rsidR="0099547F" w:rsidRPr="00ED41F2" w:rsidRDefault="0099547F" w:rsidP="0099547F">
      <w:pPr>
        <w:pStyle w:val="BodyText"/>
        <w:rPr>
          <w:rFonts w:eastAsia="+mn-ea"/>
        </w:rPr>
      </w:pPr>
      <w:r w:rsidRPr="00ED41F2">
        <w:rPr>
          <w:rFonts w:eastAsia="+mn-ea"/>
        </w:rPr>
        <w:t xml:space="preserve">For small amounts of indirect greenhouse gas emissions reported in the </w:t>
      </w:r>
      <w:r w:rsidRPr="00ED41F2">
        <w:rPr>
          <w:rFonts w:eastAsia="+mn-ea"/>
          <w:i/>
        </w:rPr>
        <w:t>Chemical industry</w:t>
      </w:r>
      <w:r w:rsidRPr="00ED41F2">
        <w:rPr>
          <w:rFonts w:eastAsia="+mn-ea"/>
        </w:rPr>
        <w:t xml:space="preserve"> category and the </w:t>
      </w:r>
      <w:r w:rsidRPr="00ED41F2">
        <w:rPr>
          <w:rFonts w:eastAsia="+mn-ea"/>
          <w:i/>
        </w:rPr>
        <w:t>Other product manufacture and use</w:t>
      </w:r>
      <w:r w:rsidRPr="00ED41F2">
        <w:rPr>
          <w:rFonts w:eastAsia="+mn-ea"/>
        </w:rPr>
        <w:t xml:space="preserve"> category, data were obtained by a detailed industry survey and analysis in 2006 (CRL Energy, unpublished(a)). Emissions and activity data have been extrapolated for the years since that time. </w:t>
      </w:r>
    </w:p>
    <w:p w14:paraId="61B2DAB6" w14:textId="77777777" w:rsidR="0099547F" w:rsidRPr="00ED41F2" w:rsidRDefault="0099547F" w:rsidP="0099547F">
      <w:pPr>
        <w:pStyle w:val="BodyText"/>
      </w:pPr>
      <w:r w:rsidRPr="00ED41F2">
        <w:t xml:space="preserve">Country-specific emission factors have been used where available, including for emissions of indirect greenhouse gases. </w:t>
      </w:r>
    </w:p>
    <w:p w14:paraId="257D6A76" w14:textId="77777777" w:rsidR="0099547F" w:rsidRPr="00ED41F2" w:rsidRDefault="0099547F" w:rsidP="0099547F">
      <w:pPr>
        <w:pStyle w:val="Heading3"/>
        <w:spacing w:before="280"/>
      </w:pPr>
      <w:r w:rsidRPr="00ED41F2">
        <w:lastRenderedPageBreak/>
        <w:t>4.1.5</w:t>
      </w:r>
      <w:r w:rsidRPr="00ED41F2">
        <w:tab/>
        <w:t>Uncertainties</w:t>
      </w:r>
    </w:p>
    <w:p w14:paraId="5769EB63" w14:textId="77777777" w:rsidR="0099547F" w:rsidRPr="00ED41F2" w:rsidRDefault="0099547F" w:rsidP="0099547F">
      <w:pPr>
        <w:pStyle w:val="BodyText"/>
      </w:pPr>
      <w:r w:rsidRPr="00ED41F2">
        <w:t>The uncertainties are discussed under each category. Intergovernmental Panel on Climate Change (IPCC) default uncertainties have been used in nearly all cases.</w:t>
      </w:r>
    </w:p>
    <w:p w14:paraId="1578097D" w14:textId="77777777" w:rsidR="0099547F" w:rsidRPr="00ED41F2" w:rsidRDefault="0099547F" w:rsidP="0099547F">
      <w:pPr>
        <w:pStyle w:val="BodyText"/>
      </w:pPr>
      <w:r w:rsidRPr="00ED41F2">
        <w:t xml:space="preserve">Country-specific estimates of uncertainty have been made in the </w:t>
      </w:r>
      <w:r w:rsidRPr="00ED41F2">
        <w:rPr>
          <w:rFonts w:eastAsia="+mn-ea"/>
          <w:i/>
        </w:rPr>
        <w:t>Product uses as substitutes for ODS</w:t>
      </w:r>
      <w:r w:rsidRPr="00ED41F2">
        <w:rPr>
          <w:rFonts w:eastAsia="+mn-ea"/>
        </w:rPr>
        <w:t xml:space="preserve"> category, reflecting the variable quality of data provided by a large number of survey respondents, and have been updated as needed for this submission</w:t>
      </w:r>
      <w:r w:rsidRPr="00ED41F2">
        <w:t xml:space="preserve">. </w:t>
      </w:r>
    </w:p>
    <w:p w14:paraId="3910AFB1" w14:textId="77777777" w:rsidR="0099547F" w:rsidRPr="00ED41F2" w:rsidRDefault="0099547F" w:rsidP="0099547F">
      <w:pPr>
        <w:pStyle w:val="Heading3"/>
        <w:spacing w:before="280"/>
      </w:pPr>
      <w:r w:rsidRPr="00ED41F2">
        <w:t>4.1.6</w:t>
      </w:r>
      <w:r w:rsidRPr="00ED41F2">
        <w:tab/>
        <w:t>Verification</w:t>
      </w:r>
    </w:p>
    <w:p w14:paraId="5030E461" w14:textId="77777777" w:rsidR="0099547F" w:rsidRPr="00ED41F2" w:rsidRDefault="0099547F" w:rsidP="0099547F">
      <w:pPr>
        <w:pStyle w:val="BodyText"/>
      </w:pPr>
      <w:r w:rsidRPr="00ED41F2">
        <w:t>The inventory agency (the Ministry for the Environment) verified information on CO</w:t>
      </w:r>
      <w:r w:rsidRPr="00ED41F2">
        <w:rPr>
          <w:vertAlign w:val="subscript"/>
        </w:rPr>
        <w:t>2</w:t>
      </w:r>
      <w:r w:rsidRPr="00ED41F2">
        <w:t xml:space="preserve"> emissions reported in the </w:t>
      </w:r>
      <w:r w:rsidRPr="00ED41F2">
        <w:rPr>
          <w:i/>
        </w:rPr>
        <w:t>Iron and steel production</w:t>
      </w:r>
      <w:r w:rsidRPr="00ED41F2">
        <w:t xml:space="preserve"> category against information provided by these industries as participants in the NZ ETS. </w:t>
      </w:r>
    </w:p>
    <w:p w14:paraId="7EB63739" w14:textId="77777777" w:rsidR="0099547F" w:rsidRPr="00ED41F2" w:rsidRDefault="0099547F" w:rsidP="0099547F">
      <w:pPr>
        <w:pStyle w:val="BodyText"/>
      </w:pPr>
      <w:r w:rsidRPr="00ED41F2">
        <w:t xml:space="preserve">For PFCs in the </w:t>
      </w:r>
      <w:r w:rsidRPr="00ED41F2">
        <w:rPr>
          <w:i/>
        </w:rPr>
        <w:t>Aluminium production</w:t>
      </w:r>
      <w:r w:rsidRPr="00ED41F2">
        <w:t xml:space="preserve"> category and for CO</w:t>
      </w:r>
      <w:r w:rsidRPr="00ED41F2">
        <w:rPr>
          <w:vertAlign w:val="subscript"/>
        </w:rPr>
        <w:t>2</w:t>
      </w:r>
      <w:r w:rsidRPr="00ED41F2">
        <w:t xml:space="preserve"> in the </w:t>
      </w:r>
      <w:r w:rsidRPr="00ED41F2">
        <w:rPr>
          <w:i/>
        </w:rPr>
        <w:t>Mineral industry</w:t>
      </w:r>
      <w:r w:rsidRPr="00ED41F2">
        <w:t xml:space="preserve"> category, the NZ ETS is used as the primary data source. Verification is done over time as ETS returns are verified by the Environmental Protection Authority (EPA), the agency that administers the NZ ETS, but no specific verification has been possible for this submission. </w:t>
      </w:r>
    </w:p>
    <w:p w14:paraId="2F718BAE" w14:textId="77777777" w:rsidR="0099547F" w:rsidRPr="00ED41F2" w:rsidRDefault="0099547F" w:rsidP="0099547F">
      <w:pPr>
        <w:pStyle w:val="BodyText"/>
      </w:pPr>
      <w:r w:rsidRPr="00ED41F2">
        <w:t xml:space="preserve">All data supplied in response to annual surveys (for the </w:t>
      </w:r>
      <w:r w:rsidRPr="00ED41F2">
        <w:rPr>
          <w:i/>
        </w:rPr>
        <w:t>Chemical industry</w:t>
      </w:r>
      <w:r w:rsidRPr="00ED41F2">
        <w:t xml:space="preserve">, </w:t>
      </w:r>
      <w:r w:rsidRPr="00ED41F2">
        <w:rPr>
          <w:i/>
        </w:rPr>
        <w:t>Metal industry</w:t>
      </w:r>
      <w:r w:rsidRPr="00ED41F2">
        <w:t xml:space="preserve"> and </w:t>
      </w:r>
      <w:r w:rsidRPr="00ED41F2">
        <w:rPr>
          <w:i/>
        </w:rPr>
        <w:t>Product uses as substitutes for ODS</w:t>
      </w:r>
      <w:r w:rsidRPr="00ED41F2">
        <w:t xml:space="preserve"> categories) were verified against national totals where possible and anomalous data followed up and checked. </w:t>
      </w:r>
    </w:p>
    <w:p w14:paraId="3208635C" w14:textId="77777777" w:rsidR="0099547F" w:rsidRPr="00ED41F2" w:rsidRDefault="0099547F" w:rsidP="0099547F">
      <w:pPr>
        <w:pStyle w:val="Heading3"/>
      </w:pPr>
      <w:r w:rsidRPr="00ED41F2">
        <w:t>4.1.7</w:t>
      </w:r>
      <w:r w:rsidRPr="00ED41F2">
        <w:tab/>
        <w:t>Recalculations and improvements</w:t>
      </w:r>
    </w:p>
    <w:p w14:paraId="06D88F66" w14:textId="77777777" w:rsidR="0099547F" w:rsidRPr="00ED41F2" w:rsidRDefault="0099547F" w:rsidP="0099547F">
      <w:pPr>
        <w:pStyle w:val="BodyText"/>
      </w:pPr>
      <w:r w:rsidRPr="00ED41F2">
        <w:t xml:space="preserve">For this submission, amounts of refrigerant added to equipment in the </w:t>
      </w:r>
      <w:r w:rsidRPr="00ED41F2">
        <w:rPr>
          <w:i/>
        </w:rPr>
        <w:t>Refrigeration and air conditioning</w:t>
      </w:r>
      <w:r w:rsidRPr="00ED41F2">
        <w:t xml:space="preserve"> category were re-estimated to better account for changes in stocks held by importers and users. </w:t>
      </w:r>
    </w:p>
    <w:p w14:paraId="3D0200C4" w14:textId="77777777" w:rsidR="0099547F" w:rsidRPr="00ED41F2" w:rsidRDefault="0099547F" w:rsidP="00CF3E69">
      <w:pPr>
        <w:pStyle w:val="Heading4"/>
      </w:pPr>
      <w:r w:rsidRPr="00ED41F2">
        <w:t>Expert review team comments</w:t>
      </w:r>
    </w:p>
    <w:p w14:paraId="10E42856" w14:textId="77777777" w:rsidR="0099547F" w:rsidRPr="00ED41F2" w:rsidRDefault="0099547F" w:rsidP="0099547F">
      <w:pPr>
        <w:pStyle w:val="BodyText"/>
      </w:pPr>
      <w:r w:rsidRPr="00ED41F2">
        <w:t>Expert review teams (ERTs) have recommended that New Zealand continue efforts to address</w:t>
      </w:r>
      <w:r>
        <w:t> </w:t>
      </w:r>
      <w:r w:rsidRPr="00ED41F2">
        <w:t xml:space="preserve">the transparency of activity data in the </w:t>
      </w:r>
      <w:r w:rsidRPr="00ED41F2">
        <w:rPr>
          <w:i/>
        </w:rPr>
        <w:t>Mineral industry</w:t>
      </w:r>
      <w:r w:rsidRPr="00ED41F2">
        <w:t xml:space="preserve">, </w:t>
      </w:r>
      <w:r w:rsidRPr="00ED41F2">
        <w:rPr>
          <w:i/>
        </w:rPr>
        <w:t>Chemical industry</w:t>
      </w:r>
      <w:r w:rsidRPr="00ED41F2">
        <w:t xml:space="preserve"> and </w:t>
      </w:r>
      <w:r w:rsidRPr="00ED41F2">
        <w:rPr>
          <w:i/>
        </w:rPr>
        <w:t>Metal</w:t>
      </w:r>
      <w:r>
        <w:rPr>
          <w:i/>
        </w:rPr>
        <w:t> </w:t>
      </w:r>
      <w:r w:rsidRPr="00ED41F2">
        <w:rPr>
          <w:i/>
        </w:rPr>
        <w:t>industry</w:t>
      </w:r>
      <w:r w:rsidRPr="00ED41F2">
        <w:t xml:space="preserve"> categories. This relates to activity data that are reported as confidential. Commercial confidentiality remains an issue for this and future submissions. </w:t>
      </w:r>
    </w:p>
    <w:p w14:paraId="1BEC2983" w14:textId="77777777" w:rsidR="0099547F" w:rsidRPr="00ED41F2" w:rsidRDefault="0099547F" w:rsidP="0099547F">
      <w:pPr>
        <w:pStyle w:val="BodyText"/>
      </w:pPr>
      <w:r w:rsidRPr="00ED41F2">
        <w:t xml:space="preserve">The ERT recommended that New Zealand improves the documentation of reporting in the </w:t>
      </w:r>
      <w:r w:rsidRPr="00ED41F2">
        <w:rPr>
          <w:i/>
        </w:rPr>
        <w:t>Product uses as substitutes for ODS</w:t>
      </w:r>
      <w:r w:rsidRPr="00ED41F2">
        <w:t xml:space="preserve"> and </w:t>
      </w:r>
      <w:r w:rsidRPr="00ED41F2">
        <w:rPr>
          <w:i/>
        </w:rPr>
        <w:t>Other product manufacture and use</w:t>
      </w:r>
      <w:r w:rsidRPr="00ED41F2">
        <w:t xml:space="preserve"> categories. The descriptions in these categories in the inventory continue to be updated in each submission, and the source material can be made available for review teams. </w:t>
      </w:r>
    </w:p>
    <w:p w14:paraId="4E0137E4" w14:textId="522EE587" w:rsidR="0099547F" w:rsidRPr="00ED41F2" w:rsidRDefault="0099547F" w:rsidP="0099547F">
      <w:pPr>
        <w:pStyle w:val="Heading3"/>
      </w:pPr>
      <w:r w:rsidRPr="00ED41F2">
        <w:t>4.1.8</w:t>
      </w:r>
      <w:r w:rsidRPr="00ED41F2">
        <w:tab/>
        <w:t>Quality-assurance and quality-control (QA/QC)</w:t>
      </w:r>
      <w:r w:rsidR="00D647F0">
        <w:t> </w:t>
      </w:r>
      <w:r w:rsidRPr="00ED41F2">
        <w:t>processes</w:t>
      </w:r>
    </w:p>
    <w:p w14:paraId="1FCA139A" w14:textId="77777777" w:rsidR="0099547F" w:rsidRPr="00ED41F2" w:rsidRDefault="0099547F" w:rsidP="0099547F">
      <w:pPr>
        <w:pStyle w:val="BodyText"/>
      </w:pPr>
      <w:bookmarkStart w:id="442" w:name="_Toc447275687"/>
      <w:bookmarkStart w:id="443" w:name="_Toc414531601"/>
      <w:r w:rsidRPr="00ED41F2">
        <w:t xml:space="preserve">Tier 1 quality checks were carried out on all data collected for this sector, with minor exceptions where data do not require updating. Figure 4.1.3 describes the quality control process map for the IPPU sector. Verification against independent data sources was possible only in specific cases, such as comparison of NZ ETS returns against data submitted in response to surveys. </w:t>
      </w:r>
    </w:p>
    <w:p w14:paraId="265EB265" w14:textId="77777777" w:rsidR="0099547F" w:rsidRPr="00ED41F2" w:rsidRDefault="0099547F" w:rsidP="0099547F">
      <w:pPr>
        <w:pStyle w:val="Figure"/>
      </w:pPr>
      <w:bookmarkStart w:id="444" w:name="_Toc5269681"/>
      <w:bookmarkStart w:id="445" w:name="_Toc36292784"/>
      <w:bookmarkStart w:id="446" w:name="_Toc68786649"/>
      <w:bookmarkStart w:id="447" w:name="_Toc99696029"/>
      <w:r w:rsidRPr="00ED41F2">
        <w:lastRenderedPageBreak/>
        <w:t xml:space="preserve">Figure 4.1.3 </w:t>
      </w:r>
      <w:r w:rsidRPr="00ED41F2">
        <w:tab/>
        <w:t>Example: Tier 1 quality checks for the IPPU sector</w:t>
      </w:r>
      <w:bookmarkEnd w:id="442"/>
      <w:bookmarkEnd w:id="443"/>
      <w:bookmarkEnd w:id="444"/>
      <w:bookmarkEnd w:id="445"/>
      <w:bookmarkEnd w:id="446"/>
      <w:bookmarkEnd w:id="447"/>
    </w:p>
    <w:p w14:paraId="19EE900E" w14:textId="77777777" w:rsidR="0099547F" w:rsidRPr="00ED41F2" w:rsidRDefault="0099547F" w:rsidP="0099547F">
      <w:pPr>
        <w:pStyle w:val="BodyText"/>
      </w:pPr>
      <w:r w:rsidRPr="00ED41F2">
        <w:object w:dxaOrig="12481" w:dyaOrig="8232" w14:anchorId="144494BD">
          <v:shape id="_x0000_i1066" type="#_x0000_t75" style="width:401pt;height:252pt" o:ole="">
            <v:imagedata r:id="rId91" o:title="" cropbottom="2926f"/>
          </v:shape>
          <o:OLEObject Type="Embed" ProgID="Visio.Drawing.15" ShapeID="_x0000_i1066" DrawAspect="Content" ObjectID="_1710830383" r:id="rId92"/>
        </w:object>
      </w:r>
      <w:r w:rsidRPr="00ED41F2" w:rsidDel="002C031B">
        <w:t xml:space="preserve"> </w:t>
      </w:r>
      <w:bookmarkStart w:id="448" w:name="_Toc448321513"/>
      <w:bookmarkStart w:id="449" w:name="_Toc414531293"/>
      <w:bookmarkStart w:id="450" w:name="_Toc5269352"/>
      <w:bookmarkStart w:id="451" w:name="_Toc36224392"/>
    </w:p>
    <w:p w14:paraId="701927E0" w14:textId="77777777" w:rsidR="0099547F" w:rsidRPr="00ED41F2" w:rsidRDefault="0099547F" w:rsidP="0099547F">
      <w:pPr>
        <w:pStyle w:val="Heading2"/>
      </w:pPr>
      <w:bookmarkStart w:id="452" w:name="_Toc68786312"/>
      <w:bookmarkStart w:id="453" w:name="_Toc99659119"/>
      <w:r w:rsidRPr="00ED41F2">
        <w:t>4.2</w:t>
      </w:r>
      <w:r w:rsidRPr="00ED41F2">
        <w:tab/>
        <w:t>Mineral industry (2.A)</w:t>
      </w:r>
      <w:bookmarkEnd w:id="448"/>
      <w:bookmarkEnd w:id="449"/>
      <w:bookmarkEnd w:id="450"/>
      <w:bookmarkEnd w:id="451"/>
      <w:bookmarkEnd w:id="452"/>
      <w:bookmarkEnd w:id="453"/>
    </w:p>
    <w:p w14:paraId="101B9E76" w14:textId="77777777" w:rsidR="0099547F" w:rsidRPr="00ED41F2" w:rsidRDefault="0099547F" w:rsidP="00D647F0">
      <w:pPr>
        <w:pStyle w:val="Heading3"/>
        <w:spacing w:before="240"/>
      </w:pPr>
      <w:r w:rsidRPr="00ED41F2">
        <w:t>4.2.1</w:t>
      </w:r>
      <w:r w:rsidRPr="00ED41F2">
        <w:tab/>
        <w:t>Description</w:t>
      </w:r>
    </w:p>
    <w:p w14:paraId="0E9ABF81" w14:textId="77777777" w:rsidR="0099547F" w:rsidRPr="00ED41F2" w:rsidRDefault="0099547F" w:rsidP="0099547F">
      <w:pPr>
        <w:pStyle w:val="BodyText"/>
      </w:pPr>
      <w:r w:rsidRPr="00ED41F2">
        <w:t xml:space="preserve">Emissions from the </w:t>
      </w:r>
      <w:r w:rsidRPr="00ED41F2">
        <w:rPr>
          <w:i/>
        </w:rPr>
        <w:t>Mineral industry</w:t>
      </w:r>
      <w:r w:rsidRPr="00ED41F2">
        <w:t xml:space="preserve"> category include CO</w:t>
      </w:r>
      <w:r w:rsidRPr="00ED41F2">
        <w:rPr>
          <w:vertAlign w:val="subscript"/>
        </w:rPr>
        <w:t>2</w:t>
      </w:r>
      <w:r w:rsidRPr="00ED41F2">
        <w:t xml:space="preserve"> from the calcination of limestone for cement and lime, and from the use of soda ash and limestone in the production of glass, aluminium, and iron and steel. Only CO</w:t>
      </w:r>
      <w:r w:rsidRPr="00ED41F2">
        <w:rPr>
          <w:vertAlign w:val="subscript"/>
        </w:rPr>
        <w:t>2</w:t>
      </w:r>
      <w:r w:rsidRPr="00ED41F2">
        <w:t xml:space="preserve"> from calcination is reported here. Any emissions from the combustion of fuel to provide heat for these activities are reported </w:t>
      </w:r>
      <w:r w:rsidRPr="00ED41F2">
        <w:rPr>
          <w:rFonts w:eastAsia="+mn-ea"/>
        </w:rPr>
        <w:t>under</w:t>
      </w:r>
      <w:r w:rsidRPr="00ED41F2">
        <w:t xml:space="preserve"> the Energy sector. </w:t>
      </w:r>
    </w:p>
    <w:p w14:paraId="61B178E6" w14:textId="77777777" w:rsidR="0099547F" w:rsidRPr="00ED41F2" w:rsidRDefault="0099547F" w:rsidP="0099547F">
      <w:pPr>
        <w:pStyle w:val="BodyText"/>
      </w:pPr>
      <w:r w:rsidRPr="00ED41F2">
        <w:t>Only one cement production facility is now operating in New Zealand, a dry-process plant operated by Golden Bay Cement Ltd near Whangārei. Holcim New Zealand Ltd operated a wet</w:t>
      </w:r>
      <w:r w:rsidRPr="00ED41F2">
        <w:noBreakHyphen/>
        <w:t xml:space="preserve">process cement plant at Cape Foulwind, on the West Coast of the South Island, but this plant was closed at the end of June 2016 and Holcim is now marketing cement made from imported clinker. Another, smaller cement company (Lee Cement Ltd) operated only from 1995 to 1998. The New Zealand cement industry produces clinker from the calcination of limestone and processes it into Portland cement or general purpose cement. </w:t>
      </w:r>
    </w:p>
    <w:p w14:paraId="707802DE" w14:textId="77777777" w:rsidR="0099547F" w:rsidRPr="00ED41F2" w:rsidRDefault="0099547F" w:rsidP="0099547F">
      <w:pPr>
        <w:pStyle w:val="BodyText"/>
      </w:pPr>
      <w:r w:rsidRPr="00ED41F2">
        <w:t xml:space="preserve">Three companies (McDonald’s Lime Ltd, Websters Hydrated Lime Company and Perry Resources Ltd) have a history of making burnt and slaked lime at five different facilities in New Zealand. The industry has been consolidated over time and two companies (Graymont New Zealand and Websters Hydrated Lime Company) now produce all of New Zealand’s burnt and slaked lime. </w:t>
      </w:r>
    </w:p>
    <w:p w14:paraId="4712ED64" w14:textId="77777777" w:rsidR="0099547F" w:rsidRPr="00ED41F2" w:rsidRDefault="0099547F" w:rsidP="0099547F">
      <w:pPr>
        <w:pStyle w:val="BodyText"/>
      </w:pPr>
      <w:r w:rsidRPr="00ED41F2">
        <w:t>Small amounts of indirect emissions (sulphur dioxide (SO</w:t>
      </w:r>
      <w:r w:rsidRPr="00ED41F2">
        <w:rPr>
          <w:vertAlign w:val="subscript"/>
        </w:rPr>
        <w:t>2</w:t>
      </w:r>
      <w:r w:rsidRPr="00ED41F2">
        <w:t xml:space="preserve">) only) from the </w:t>
      </w:r>
      <w:r w:rsidRPr="00ED41F2">
        <w:rPr>
          <w:i/>
        </w:rPr>
        <w:t>Cement production</w:t>
      </w:r>
      <w:r w:rsidRPr="00ED41F2">
        <w:t xml:space="preserve"> category are also reported. Some emissions of SO</w:t>
      </w:r>
      <w:r w:rsidRPr="00ED41F2">
        <w:rPr>
          <w:vertAlign w:val="subscript"/>
        </w:rPr>
        <w:t>2</w:t>
      </w:r>
      <w:r w:rsidRPr="00ED41F2">
        <w:t xml:space="preserve"> from the </w:t>
      </w:r>
      <w:r w:rsidRPr="00ED41F2">
        <w:rPr>
          <w:i/>
        </w:rPr>
        <w:t>Lime production</w:t>
      </w:r>
      <w:r w:rsidRPr="00ED41F2">
        <w:t xml:space="preserve"> category were estimated in 2006 (CRL Energy, </w:t>
      </w:r>
      <w:r w:rsidRPr="00ED41F2">
        <w:rPr>
          <w:rFonts w:eastAsia="+mn-ea"/>
        </w:rPr>
        <w:t>unpublished(a)</w:t>
      </w:r>
      <w:r w:rsidRPr="00ED41F2">
        <w:t>), but there is currently no provision in the CRF to report this. Some additional SO</w:t>
      </w:r>
      <w:r w:rsidRPr="00ED41F2">
        <w:rPr>
          <w:vertAlign w:val="subscript"/>
        </w:rPr>
        <w:t>2</w:t>
      </w:r>
      <w:r w:rsidRPr="00ED41F2">
        <w:t xml:space="preserve"> is derived from sulphur in coal or waste oil used as fuel in cement and lime kilns, and this is reported </w:t>
      </w:r>
      <w:r w:rsidRPr="00ED41F2">
        <w:rPr>
          <w:rFonts w:eastAsia="+mn-ea"/>
        </w:rPr>
        <w:t>under</w:t>
      </w:r>
      <w:r w:rsidRPr="00ED41F2">
        <w:t xml:space="preserve"> the Energy sector. </w:t>
      </w:r>
    </w:p>
    <w:p w14:paraId="3C2A0127" w14:textId="77777777" w:rsidR="0099547F" w:rsidRPr="00ED41F2" w:rsidRDefault="0099547F" w:rsidP="0099547F">
      <w:pPr>
        <w:pStyle w:val="BodyText"/>
      </w:pPr>
      <w:r w:rsidRPr="00ED41F2">
        <w:lastRenderedPageBreak/>
        <w:t xml:space="preserve">Two companies are making glass in New Zealand, with emissions from the use of soda ash and limestone in the process. O-I New Zealand makes container glass and Tasman Insulation New Zealand Ltd makes smaller amounts of glass for building insulation products. </w:t>
      </w:r>
    </w:p>
    <w:p w14:paraId="327AF742" w14:textId="77777777" w:rsidR="0099547F" w:rsidRPr="00ED41F2" w:rsidRDefault="0099547F" w:rsidP="0099547F">
      <w:pPr>
        <w:pStyle w:val="BodyText"/>
      </w:pPr>
      <w:r w:rsidRPr="00ED41F2">
        <w:t xml:space="preserve">Limestone and soda ash are also used in the steel and aluminium industries and would normally be reported in the </w:t>
      </w:r>
      <w:r w:rsidRPr="00ED41F2">
        <w:rPr>
          <w:i/>
        </w:rPr>
        <w:t>Metal industry</w:t>
      </w:r>
      <w:r w:rsidRPr="00ED41F2">
        <w:t xml:space="preserve"> category. Emissions from this use of mineral inputs are reported in the </w:t>
      </w:r>
      <w:r w:rsidRPr="00ED41F2">
        <w:rPr>
          <w:i/>
        </w:rPr>
        <w:t xml:space="preserve">Mineral industry </w:t>
      </w:r>
      <w:r w:rsidRPr="00ED41F2">
        <w:t xml:space="preserve">category (see section 4.2.2) to protect the confidentiality of data provided by these two glass companies. </w:t>
      </w:r>
    </w:p>
    <w:p w14:paraId="326C5A65" w14:textId="77777777" w:rsidR="0099547F" w:rsidRPr="00ED41F2" w:rsidRDefault="0099547F" w:rsidP="0099547F">
      <w:pPr>
        <w:pStyle w:val="BodyText"/>
      </w:pPr>
      <w:r w:rsidRPr="00ED41F2">
        <w:t>A very small amount of CO</w:t>
      </w:r>
      <w:r w:rsidRPr="00ED41F2">
        <w:rPr>
          <w:vertAlign w:val="subscript"/>
        </w:rPr>
        <w:t>2</w:t>
      </w:r>
      <w:r w:rsidRPr="00ED41F2">
        <w:t xml:space="preserve"> is reported from the use of kaolin clays in ceramics production. </w:t>
      </w:r>
    </w:p>
    <w:p w14:paraId="01D4B01C" w14:textId="77777777" w:rsidR="0099547F" w:rsidRPr="00ED41F2" w:rsidRDefault="0099547F" w:rsidP="0099547F">
      <w:pPr>
        <w:pStyle w:val="BodyText"/>
      </w:pPr>
      <w:r w:rsidRPr="00ED41F2">
        <w:t>The only key category is CO</w:t>
      </w:r>
      <w:r w:rsidRPr="00ED41F2">
        <w:rPr>
          <w:vertAlign w:val="subscript"/>
        </w:rPr>
        <w:t>2</w:t>
      </w:r>
      <w:r w:rsidRPr="00ED41F2">
        <w:t xml:space="preserve"> emissions from the </w:t>
      </w:r>
      <w:r w:rsidRPr="00ED41F2">
        <w:rPr>
          <w:i/>
        </w:rPr>
        <w:t>Cement production</w:t>
      </w:r>
      <w:r w:rsidRPr="00ED41F2">
        <w:t xml:space="preserve"> category (level and trend assessment). </w:t>
      </w:r>
    </w:p>
    <w:p w14:paraId="5774C65C" w14:textId="77777777" w:rsidR="0099547F" w:rsidRPr="00ED41F2" w:rsidRDefault="0099547F" w:rsidP="0099547F">
      <w:pPr>
        <w:pStyle w:val="BodyText"/>
      </w:pPr>
      <w:r w:rsidRPr="00ED41F2">
        <w:t xml:space="preserve">In 2020, the </w:t>
      </w:r>
      <w:r w:rsidRPr="00ED41F2">
        <w:rPr>
          <w:i/>
        </w:rPr>
        <w:t>Mineral industry</w:t>
      </w:r>
      <w:r w:rsidRPr="00ED41F2">
        <w:t xml:space="preserve"> category accounted for 537.4 kt CO</w:t>
      </w:r>
      <w:r w:rsidRPr="00ED41F2">
        <w:rPr>
          <w:vertAlign w:val="subscript"/>
        </w:rPr>
        <w:t>2</w:t>
      </w:r>
      <w:r w:rsidRPr="00ED41F2">
        <w:t>-e (11.6 per cent) of emissions from the IPPU sector. This is 24.4 kt (4.3 per cent) below the 1990 emissions, due to COVID-19 restrictions, which reduced cement and lime production in 2020. Production of cement, lime and glass containers had previously increased over time, with a peak in 2015 of 876.3 kt CO</w:t>
      </w:r>
      <w:r w:rsidRPr="00ED41F2">
        <w:rPr>
          <w:vertAlign w:val="subscript"/>
        </w:rPr>
        <w:t>2</w:t>
      </w:r>
      <w:r w:rsidRPr="00ED41F2">
        <w:t xml:space="preserve">-e. Emissions decreased after 2015 due to the closure of the Holcim cement plant. </w:t>
      </w:r>
    </w:p>
    <w:p w14:paraId="35EAAD5D" w14:textId="77777777" w:rsidR="0099547F" w:rsidRPr="00ED41F2" w:rsidRDefault="0099547F" w:rsidP="0099547F">
      <w:pPr>
        <w:pStyle w:val="BodyText"/>
      </w:pPr>
      <w:r w:rsidRPr="00ED41F2">
        <w:t xml:space="preserve">Changes in the national standards for cement, in 1995 and 2010, allowed increasing amounts of other minerals to be added to clinker in formulating cement. Various cement products sold in New Zealand contain limestone and fly ash as mineral additions. This allowed a reduction in emissions per tonne of cement produced (Cement and Concrete Association of New Zealand, 1995). These improvements have been continued over time. </w:t>
      </w:r>
    </w:p>
    <w:p w14:paraId="07098F85" w14:textId="77777777" w:rsidR="0099547F" w:rsidRPr="00ED41F2" w:rsidRDefault="0099547F" w:rsidP="00916E1B">
      <w:pPr>
        <w:pStyle w:val="Heading3"/>
      </w:pPr>
      <w:r w:rsidRPr="00ED41F2">
        <w:t xml:space="preserve">4.2.2 </w:t>
      </w:r>
      <w:r w:rsidRPr="00ED41F2">
        <w:tab/>
        <w:t>Methodological issues</w:t>
      </w:r>
    </w:p>
    <w:p w14:paraId="14D3A6C7" w14:textId="77777777" w:rsidR="0099547F" w:rsidRPr="00ED41F2" w:rsidRDefault="0099547F" w:rsidP="00CF3E69">
      <w:pPr>
        <w:pStyle w:val="Heading4"/>
        <w:rPr>
          <w:bCs/>
          <w:iCs/>
        </w:rPr>
      </w:pPr>
      <w:r w:rsidRPr="00ED41F2">
        <w:t>Choice of activity data</w:t>
      </w:r>
    </w:p>
    <w:p w14:paraId="16B1E262" w14:textId="77777777" w:rsidR="0099547F" w:rsidRPr="00ED41F2" w:rsidRDefault="0099547F" w:rsidP="0099547F">
      <w:pPr>
        <w:pStyle w:val="Heading5"/>
        <w:spacing w:before="160"/>
      </w:pPr>
      <w:r w:rsidRPr="00ED41F2">
        <w:t>Use of NZ ETS data</w:t>
      </w:r>
    </w:p>
    <w:p w14:paraId="41468505" w14:textId="77777777" w:rsidR="0099547F" w:rsidRPr="00ED41F2" w:rsidRDefault="0099547F" w:rsidP="0099547F">
      <w:pPr>
        <w:pStyle w:val="BodyText"/>
      </w:pPr>
      <w:r w:rsidRPr="00ED41F2">
        <w:t>Firms that use limestone or soda ash in the production of clinker, cement, burnt or slaked lime, or glass have had emission reporting obligations under the NZ ETS since 2010. The emission returns submitted by participants in the NZ ETS are the primary source of data for CO</w:t>
      </w:r>
      <w:r w:rsidRPr="00ED41F2">
        <w:rPr>
          <w:vertAlign w:val="subscript"/>
        </w:rPr>
        <w:t>2</w:t>
      </w:r>
      <w:r w:rsidRPr="00ED41F2">
        <w:t xml:space="preserve"> emissions from these categories. </w:t>
      </w:r>
    </w:p>
    <w:p w14:paraId="4969EC3B" w14:textId="77777777" w:rsidR="0099547F" w:rsidRPr="00ED41F2" w:rsidRDefault="0099547F" w:rsidP="0099547F">
      <w:pPr>
        <w:pStyle w:val="BodyText"/>
      </w:pPr>
      <w:r w:rsidRPr="00ED41F2">
        <w:t xml:space="preserve">The EPA administers and audits the emission returns submitted by participants. Data submitted by NZ ETS participants are protected by stringent provisions relating to commercial confidentiality. However, under section 149 of the Climate Change Response Act 2002, the inventory agency may request information from the EPA for the purpose of compiling New Zealand’s annual National Inventory Report. </w:t>
      </w:r>
    </w:p>
    <w:p w14:paraId="7F985DFC" w14:textId="77777777" w:rsidR="0099547F" w:rsidRPr="00ED41F2" w:rsidRDefault="0099547F" w:rsidP="0099547F">
      <w:pPr>
        <w:pStyle w:val="BodyText"/>
      </w:pPr>
      <w:r w:rsidRPr="00ED41F2">
        <w:t xml:space="preserve">Those NZ ETS participants who apply for an allocation of emission units in any year also report the amount of product that they make in the calendar year. This encompasses production of clinker, container glass and burnt lime, including any burnt lime that is subsequently made into slaked lime (calcium hydroxide). </w:t>
      </w:r>
    </w:p>
    <w:p w14:paraId="135A827D" w14:textId="77777777" w:rsidR="0099547F" w:rsidRPr="00ED41F2" w:rsidRDefault="0099547F" w:rsidP="0099547F">
      <w:pPr>
        <w:pStyle w:val="Heading5"/>
      </w:pPr>
      <w:r w:rsidRPr="00ED41F2">
        <w:t>Cement production (2.A.1)</w:t>
      </w:r>
    </w:p>
    <w:p w14:paraId="124CA54B" w14:textId="77777777" w:rsidR="0099547F" w:rsidRPr="00ED41F2" w:rsidRDefault="0099547F" w:rsidP="0099547F">
      <w:pPr>
        <w:pStyle w:val="BodyText"/>
      </w:pPr>
      <w:r w:rsidRPr="00ED41F2">
        <w:t xml:space="preserve">In 2020, the </w:t>
      </w:r>
      <w:r w:rsidRPr="00ED41F2">
        <w:rPr>
          <w:i/>
        </w:rPr>
        <w:t>Cement production</w:t>
      </w:r>
      <w:r w:rsidRPr="00ED41F2">
        <w:t xml:space="preserve"> category accounted for 379.2 kt CO</w:t>
      </w:r>
      <w:r w:rsidRPr="00ED41F2">
        <w:rPr>
          <w:vertAlign w:val="subscript"/>
        </w:rPr>
        <w:t>2</w:t>
      </w:r>
      <w:r w:rsidRPr="00ED41F2">
        <w:t xml:space="preserve">-e (70.5 per cent) of emissions from the </w:t>
      </w:r>
      <w:r w:rsidRPr="00ED41F2">
        <w:rPr>
          <w:i/>
        </w:rPr>
        <w:t>Mineral industry</w:t>
      </w:r>
      <w:r w:rsidRPr="00ED41F2">
        <w:t xml:space="preserve"> category. The activity data used are the amounts of clinker produced by the cement plants. Calculation of emissions from clinker production is </w:t>
      </w:r>
      <w:r w:rsidRPr="00ED41F2">
        <w:lastRenderedPageBreak/>
        <w:t xml:space="preserve">done on a plant-specific basis by the companies in preparing their ETS returns. Because historically there have been only two companies making cement in New Zealand, and now there is only one, the activity data for the </w:t>
      </w:r>
      <w:r w:rsidRPr="00ED41F2">
        <w:rPr>
          <w:i/>
        </w:rPr>
        <w:t>Cement production</w:t>
      </w:r>
      <w:r w:rsidRPr="00ED41F2">
        <w:t xml:space="preserve"> category are not reported and have been shown as confidential in the CRF tables. For the years up to 2009, activity and emissions data were supplied by the cement companies to MBIE. From 2010, the companies’ ETS returns have been used as the data source.</w:t>
      </w:r>
    </w:p>
    <w:p w14:paraId="216DE459" w14:textId="77777777" w:rsidR="0099547F" w:rsidRPr="00ED41F2" w:rsidRDefault="0099547F" w:rsidP="0099547F">
      <w:pPr>
        <w:pStyle w:val="Heading5"/>
      </w:pPr>
      <w:r w:rsidRPr="00ED41F2">
        <w:t>Lime production (2.A.2)</w:t>
      </w:r>
    </w:p>
    <w:p w14:paraId="0FDDE35B" w14:textId="77777777" w:rsidR="0099547F" w:rsidRPr="00ED41F2" w:rsidRDefault="0099547F" w:rsidP="0099547F">
      <w:pPr>
        <w:pStyle w:val="BodyText"/>
      </w:pPr>
      <w:r w:rsidRPr="00ED41F2">
        <w:t xml:space="preserve">In 2020, the </w:t>
      </w:r>
      <w:r w:rsidRPr="00ED41F2">
        <w:rPr>
          <w:i/>
        </w:rPr>
        <w:t>Lime production</w:t>
      </w:r>
      <w:r w:rsidRPr="00ED41F2">
        <w:t xml:space="preserve"> category accounted for 91.4 kt CO</w:t>
      </w:r>
      <w:r w:rsidRPr="00ED41F2">
        <w:rPr>
          <w:vertAlign w:val="subscript"/>
        </w:rPr>
        <w:t>2</w:t>
      </w:r>
      <w:r w:rsidRPr="00ED41F2">
        <w:t xml:space="preserve">-e (17.0 per cent) of emissions from the </w:t>
      </w:r>
      <w:r w:rsidRPr="00ED41F2">
        <w:rPr>
          <w:i/>
        </w:rPr>
        <w:t>Mineral industry</w:t>
      </w:r>
      <w:r w:rsidRPr="00ED41F2">
        <w:t xml:space="preserve"> category. The activity data used are the amounts of burnt lime or calcium oxide (CaO) produced, regardless of whether it is subsequently made into calcium hydroxide (Ca(OH)</w:t>
      </w:r>
      <w:r w:rsidRPr="00ED41F2">
        <w:rPr>
          <w:vertAlign w:val="subscript"/>
        </w:rPr>
        <w:t>2</w:t>
      </w:r>
      <w:r w:rsidRPr="00ED41F2">
        <w:t xml:space="preserve">). </w:t>
      </w:r>
    </w:p>
    <w:p w14:paraId="4E67D64D" w14:textId="77777777" w:rsidR="0099547F" w:rsidRPr="00ED41F2" w:rsidRDefault="0099547F" w:rsidP="0099547F">
      <w:pPr>
        <w:pStyle w:val="BodyText"/>
      </w:pPr>
      <w:r w:rsidRPr="00ED41F2">
        <w:t>Activity data and emissions data were supplied annually by the lime companies to MBIE until 2009. This included the amount of burnt lime produced each year. From 2010, lime companies have reported CO</w:t>
      </w:r>
      <w:r w:rsidRPr="00ED41F2">
        <w:rPr>
          <w:vertAlign w:val="subscript"/>
        </w:rPr>
        <w:t>2</w:t>
      </w:r>
      <w:r w:rsidRPr="00ED41F2">
        <w:t xml:space="preserve"> emissions and the amounts of pure CaO in the lime that they produce in their reporting to the NZ ETS regulator. </w:t>
      </w:r>
    </w:p>
    <w:p w14:paraId="00952350" w14:textId="77777777" w:rsidR="0099547F" w:rsidRPr="00ED41F2" w:rsidRDefault="0099547F" w:rsidP="0099547F">
      <w:pPr>
        <w:pStyle w:val="Heading5"/>
      </w:pPr>
      <w:r w:rsidRPr="00ED41F2">
        <w:t xml:space="preserve">Glass production (2.A.3) </w:t>
      </w:r>
    </w:p>
    <w:p w14:paraId="747877A5" w14:textId="77777777" w:rsidR="0099547F" w:rsidRPr="00ED41F2" w:rsidRDefault="0099547F" w:rsidP="0099547F">
      <w:pPr>
        <w:pStyle w:val="BodyText"/>
      </w:pPr>
      <w:r w:rsidRPr="00ED41F2">
        <w:t xml:space="preserve">Activity and emissions data for the </w:t>
      </w:r>
      <w:r w:rsidRPr="00ED41F2">
        <w:rPr>
          <w:i/>
        </w:rPr>
        <w:t>Glass production</w:t>
      </w:r>
      <w:r w:rsidRPr="00ED41F2">
        <w:t xml:space="preserve"> category are provided on a confidential basis by the two companies that produce glass in New Zealand and are not reported in the CRF tables (2.A.3). Emissions from the use of soda ash and limestone in glass making are reported in the </w:t>
      </w:r>
      <w:r w:rsidRPr="00ED41F2">
        <w:rPr>
          <w:i/>
        </w:rPr>
        <w:t>Other process uses of carbonates</w:t>
      </w:r>
      <w:r w:rsidRPr="00ED41F2">
        <w:t xml:space="preserve"> (CRF 2.A.4) category and are aggregated with other relatively small amounts of CO</w:t>
      </w:r>
      <w:r w:rsidRPr="00ED41F2">
        <w:rPr>
          <w:vertAlign w:val="subscript"/>
        </w:rPr>
        <w:t>2</w:t>
      </w:r>
      <w:r w:rsidRPr="00ED41F2">
        <w:t xml:space="preserve"> emissions that derive from the calcination of limestone and soda ash. </w:t>
      </w:r>
    </w:p>
    <w:p w14:paraId="4C92EF00" w14:textId="77777777" w:rsidR="0099547F" w:rsidRPr="00ED41F2" w:rsidRDefault="0099547F" w:rsidP="0099547F">
      <w:pPr>
        <w:pStyle w:val="Heading5"/>
      </w:pPr>
      <w:r w:rsidRPr="00ED41F2">
        <w:t>Other process uses of carbonates (2.A.4)</w:t>
      </w:r>
    </w:p>
    <w:p w14:paraId="3BE7B455" w14:textId="77777777" w:rsidR="0099547F" w:rsidRPr="00ED41F2" w:rsidRDefault="0099547F" w:rsidP="0099547F">
      <w:pPr>
        <w:pStyle w:val="BodyText"/>
        <w:spacing w:after="80"/>
      </w:pPr>
      <w:r w:rsidRPr="00ED41F2">
        <w:t xml:space="preserve">To preserve the confidentiality of data provided by the two glass companies (above), the data reported in the </w:t>
      </w:r>
      <w:r w:rsidRPr="00ED41F2">
        <w:rPr>
          <w:i/>
        </w:rPr>
        <w:t>Glass production</w:t>
      </w:r>
      <w:r w:rsidRPr="00ED41F2">
        <w:t xml:space="preserve"> category have been aggregated as follows and reported in the </w:t>
      </w:r>
      <w:r w:rsidRPr="00ED41F2">
        <w:rPr>
          <w:i/>
        </w:rPr>
        <w:t>Other process uses of carbonates</w:t>
      </w:r>
      <w:r w:rsidRPr="00ED41F2">
        <w:t xml:space="preserve"> category.</w:t>
      </w:r>
    </w:p>
    <w:p w14:paraId="42FDF8D8" w14:textId="77777777" w:rsidR="0099547F" w:rsidRPr="00ED41F2" w:rsidRDefault="0099547F" w:rsidP="00F93F5E">
      <w:pPr>
        <w:pStyle w:val="Bullet"/>
      </w:pPr>
      <w:r w:rsidRPr="00ED41F2">
        <w:t>Emissions from a relatively small amount of soda ash used by New Zealand Aluminium Smelters Ltd at the Tiwai Point smelter are reported in CRF 2.A.4.b (</w:t>
      </w:r>
      <w:r w:rsidRPr="00ED41F2">
        <w:rPr>
          <w:i/>
        </w:rPr>
        <w:t>Other uses of soda ash</w:t>
      </w:r>
      <w:r w:rsidRPr="00ED41F2">
        <w:t>) and aggregated with the CO</w:t>
      </w:r>
      <w:r w:rsidRPr="00ED41F2">
        <w:rPr>
          <w:vertAlign w:val="subscript"/>
        </w:rPr>
        <w:t>2</w:t>
      </w:r>
      <w:r w:rsidRPr="00ED41F2">
        <w:t xml:space="preserve"> emissions from soda ash used in glass making.</w:t>
      </w:r>
    </w:p>
    <w:p w14:paraId="244059C0" w14:textId="77777777" w:rsidR="0099547F" w:rsidRPr="00ED41F2" w:rsidRDefault="0099547F" w:rsidP="00AB2A5C">
      <w:pPr>
        <w:pStyle w:val="Bullet"/>
        <w:numPr>
          <w:ilvl w:val="0"/>
          <w:numId w:val="18"/>
        </w:numPr>
      </w:pPr>
      <w:r w:rsidRPr="00ED41F2">
        <w:t>Emissions from a relatively small amount of limestone used by New Zealand Steel Limited are reported in CRF 2.A.4.d (</w:t>
      </w:r>
      <w:r w:rsidRPr="00ED41F2">
        <w:rPr>
          <w:i/>
        </w:rPr>
        <w:t>Other</w:t>
      </w:r>
      <w:r w:rsidRPr="00ED41F2">
        <w:t xml:space="preserve">) and aggregated with emissions from limestone used in glass making. </w:t>
      </w:r>
    </w:p>
    <w:p w14:paraId="53BFE813" w14:textId="77777777" w:rsidR="0099547F" w:rsidRPr="00ED41F2" w:rsidRDefault="0099547F" w:rsidP="0099547F">
      <w:pPr>
        <w:pStyle w:val="BodyText"/>
        <w:spacing w:before="100" w:after="100"/>
      </w:pPr>
      <w:r w:rsidRPr="00ED41F2">
        <w:t>The amounts of soda ash and limestone used are reported as activity data in these two tables. Also, because the limestone emissions cannot be fully disaggregated in early data provided by New Zealand Steel, an extremely small amount of CO</w:t>
      </w:r>
      <w:r w:rsidRPr="00ED41F2">
        <w:rPr>
          <w:vertAlign w:val="subscript"/>
        </w:rPr>
        <w:t>2</w:t>
      </w:r>
      <w:r w:rsidRPr="00ED41F2">
        <w:t xml:space="preserve"> from coke and electrode use at the steel plant is also included (see section 4.4.2). </w:t>
      </w:r>
    </w:p>
    <w:p w14:paraId="04370C21" w14:textId="77777777" w:rsidR="0099547F" w:rsidRPr="00ED41F2" w:rsidRDefault="0099547F" w:rsidP="0099547F">
      <w:pPr>
        <w:pStyle w:val="BodyText"/>
        <w:spacing w:before="100" w:after="100"/>
      </w:pPr>
      <w:r w:rsidRPr="00ED41F2">
        <w:t xml:space="preserve">Data on glass making for the years up to 2006 were provided by the companies and updated for the years 2007 to 2009 by survey requests from MBIE. Data on limestone and soda ash use were based on the companies’ records where available. In the case of one glass-making facility, some historical emissions data had to be estimated based only on glass production rates, because actual limestone and soda ash use was not recorded before 2006. </w:t>
      </w:r>
    </w:p>
    <w:p w14:paraId="4ED8FEB1" w14:textId="77777777" w:rsidR="0099547F" w:rsidRPr="00ED41F2" w:rsidRDefault="0099547F" w:rsidP="0099547F">
      <w:pPr>
        <w:pStyle w:val="BodyText"/>
        <w:spacing w:before="100" w:after="100"/>
      </w:pPr>
      <w:r w:rsidRPr="00ED41F2">
        <w:t xml:space="preserve">For 2010 to 2020, the glass companies’ NZ ETS returns are used. </w:t>
      </w:r>
    </w:p>
    <w:p w14:paraId="75AFA8AF" w14:textId="77D202BC" w:rsidR="0099547F" w:rsidRPr="00ED41F2" w:rsidRDefault="0099547F" w:rsidP="0099547F">
      <w:pPr>
        <w:pStyle w:val="BodyText"/>
      </w:pPr>
      <w:r w:rsidRPr="00ED41F2">
        <w:lastRenderedPageBreak/>
        <w:t>A very small amount of CO</w:t>
      </w:r>
      <w:r w:rsidRPr="00ED41F2">
        <w:rPr>
          <w:vertAlign w:val="subscript"/>
        </w:rPr>
        <w:t>2</w:t>
      </w:r>
      <w:r w:rsidRPr="00ED41F2">
        <w:t xml:space="preserve"> is reported from the use of kaolin clays in ceramics production (2.A.4.a). The activity data used are the approximate amount of kaolin clay produced for this</w:t>
      </w:r>
      <w:r w:rsidR="003B57BB">
        <w:t> </w:t>
      </w:r>
      <w:r w:rsidRPr="00ED41F2">
        <w:t xml:space="preserve">purpose (Christie et al., 1999). In the absence of better data, the rate of production is assumed constant for the whole time series. Emissions from ground limestone used in liming agricultural soils are reported under the Agriculture sector. </w:t>
      </w:r>
    </w:p>
    <w:p w14:paraId="6EE7405A" w14:textId="77777777" w:rsidR="0099547F" w:rsidRPr="00ED41F2" w:rsidRDefault="0099547F" w:rsidP="00CF3E69">
      <w:pPr>
        <w:pStyle w:val="Heading4"/>
      </w:pPr>
      <w:r w:rsidRPr="00ED41F2">
        <w:t>Choice of methods</w:t>
      </w:r>
    </w:p>
    <w:p w14:paraId="389CA36C" w14:textId="77777777" w:rsidR="0099547F" w:rsidRPr="00ED41F2" w:rsidRDefault="0099547F" w:rsidP="0099547F">
      <w:pPr>
        <w:pStyle w:val="BodyText"/>
      </w:pPr>
      <w:r w:rsidRPr="00ED41F2">
        <w:t xml:space="preserve">For the years up to 2009, cement emissions were calculated using the methodology specified in the </w:t>
      </w:r>
      <w:r w:rsidRPr="00ED41F2">
        <w:rPr>
          <w:i/>
        </w:rPr>
        <w:t>Cement CO</w:t>
      </w:r>
      <w:r w:rsidRPr="00ED41F2">
        <w:rPr>
          <w:i/>
          <w:vertAlign w:val="subscript"/>
        </w:rPr>
        <w:t>2</w:t>
      </w:r>
      <w:r w:rsidRPr="00ED41F2">
        <w:rPr>
          <w:i/>
        </w:rPr>
        <w:t xml:space="preserve"> Protocol</w:t>
      </w:r>
      <w:r w:rsidRPr="00ED41F2">
        <w:t xml:space="preserve"> (World Business Council for Sustainable Development, 2005), which uses plant-specific emission factors based on the CaO and magnesium oxide (MgO) content of clinker produced. This also includes an adjustment for emissions due to cement kiln dust. This calculation is consistent with the IPCC Tier 2 method (IPCC, 2006a). </w:t>
      </w:r>
    </w:p>
    <w:p w14:paraId="6C364145" w14:textId="77777777" w:rsidR="0099547F" w:rsidRPr="00ED41F2" w:rsidRDefault="0099547F" w:rsidP="0099547F">
      <w:pPr>
        <w:pStyle w:val="BodyText"/>
      </w:pPr>
      <w:r w:rsidRPr="00ED41F2">
        <w:t>Emissions for lime up to 2009 were calculated using the IPCC Tier 1 method and the default emission factor of 0.75 tonnes CO</w:t>
      </w:r>
      <w:r w:rsidRPr="00ED41F2">
        <w:rPr>
          <w:vertAlign w:val="subscript"/>
        </w:rPr>
        <w:t>2</w:t>
      </w:r>
      <w:r w:rsidRPr="00ED41F2">
        <w:t xml:space="preserve"> per tonne of burnt lime produced. For glass making, the IPCC Tier 1 method and default emission factors were also used for the years up to 2009. </w:t>
      </w:r>
    </w:p>
    <w:p w14:paraId="7872E880" w14:textId="77777777" w:rsidR="0099547F" w:rsidRPr="00ED41F2" w:rsidRDefault="0099547F" w:rsidP="0099547F">
      <w:pPr>
        <w:pStyle w:val="BodyText"/>
      </w:pPr>
      <w:r w:rsidRPr="00ED41F2">
        <w:t xml:space="preserve">For NZ ETS reporting in the </w:t>
      </w:r>
      <w:r w:rsidRPr="00ED41F2">
        <w:rPr>
          <w:i/>
        </w:rPr>
        <w:t>Mineral industry</w:t>
      </w:r>
      <w:r w:rsidRPr="00ED41F2">
        <w:t xml:space="preserve"> category (from 2010), the methods used are specified in the Climate Change (Stationary Energy and Industrial Processes) Regulations 2009. These methods require firms making clinker or burnt lime to report CO</w:t>
      </w:r>
      <w:r w:rsidRPr="00ED41F2">
        <w:rPr>
          <w:vertAlign w:val="subscript"/>
        </w:rPr>
        <w:t>2</w:t>
      </w:r>
      <w:r w:rsidRPr="00ED41F2">
        <w:t xml:space="preserve"> emissions calculated from the amount of pure product made from calcination. In calculating their emissions, NZ ETS participants who make clinker or lime are required to determine and report the amounts of pure CaO and MgO in the clinker or burnt lime produced, and in kiln dust if relevant. The emissions are calculated from this chemical composition. The calculation of total emissions can be summarised as: </w:t>
      </w:r>
    </w:p>
    <w:p w14:paraId="6B4E8131" w14:textId="77777777" w:rsidR="0099547F" w:rsidRPr="00ED41F2" w:rsidRDefault="0099547F" w:rsidP="0099547F">
      <w:pPr>
        <w:pStyle w:val="BodyText"/>
        <w:spacing w:before="80"/>
        <w:jc w:val="center"/>
        <w:rPr>
          <w:rFonts w:ascii="Cambria Math" w:hAnsi="Cambria Math"/>
          <w:i/>
          <w:sz w:val="24"/>
        </w:rPr>
      </w:pPr>
      <w:r w:rsidRPr="00ED41F2">
        <w:rPr>
          <w:rFonts w:ascii="Cambria Math" w:hAnsi="Cambria Math"/>
          <w:i/>
          <w:sz w:val="24"/>
        </w:rPr>
        <w:t>TE = 0.7848 × A + 1.0919 × B + 0.7848 × C</w:t>
      </w:r>
    </w:p>
    <w:p w14:paraId="3DBF1708" w14:textId="77777777" w:rsidR="0099547F" w:rsidRPr="00ED41F2" w:rsidRDefault="0099547F" w:rsidP="0099547F">
      <w:pPr>
        <w:pStyle w:val="BodyText"/>
        <w:keepNext/>
        <w:spacing w:after="20"/>
        <w:ind w:left="992" w:hanging="992"/>
      </w:pPr>
      <w:r w:rsidRPr="00ED41F2">
        <w:t xml:space="preserve">Where: </w:t>
      </w:r>
      <w:r w:rsidRPr="00ED41F2">
        <w:tab/>
        <w:t>A is the amount of CaO produced</w:t>
      </w:r>
    </w:p>
    <w:p w14:paraId="66E36CD7" w14:textId="77777777" w:rsidR="0099547F" w:rsidRPr="00ED41F2" w:rsidRDefault="0099547F" w:rsidP="0099547F">
      <w:pPr>
        <w:pStyle w:val="BodyText"/>
        <w:spacing w:before="60" w:after="20"/>
        <w:ind w:left="992" w:firstLine="1"/>
      </w:pPr>
      <w:r w:rsidRPr="00ED41F2">
        <w:t>B is the amount of MgO produced</w:t>
      </w:r>
    </w:p>
    <w:p w14:paraId="3DD35344" w14:textId="77777777" w:rsidR="0099547F" w:rsidRPr="00ED41F2" w:rsidRDefault="0099547F" w:rsidP="0099547F">
      <w:pPr>
        <w:pStyle w:val="BodyText"/>
        <w:spacing w:before="80"/>
        <w:ind w:left="992" w:firstLine="1"/>
      </w:pPr>
      <w:r w:rsidRPr="00ED41F2">
        <w:t>C is the amount of kiln dust produced.</w:t>
      </w:r>
    </w:p>
    <w:p w14:paraId="6F2E2567" w14:textId="77777777" w:rsidR="0099547F" w:rsidRPr="00ED41F2" w:rsidRDefault="0099547F" w:rsidP="0099547F">
      <w:pPr>
        <w:pStyle w:val="BodyText"/>
      </w:pPr>
      <w:r w:rsidRPr="00ED41F2">
        <w:t xml:space="preserve">Similarly, based on the Climate Change (Stationary Energy and Industrial Processes) Regulations 2009, NZ ETS participants that make glass report the amounts of pure limestone, dolomite and soda ash that they use in the process. This is consistent with the Tier 3 methods in volume 3, </w:t>
      </w:r>
      <w:r w:rsidRPr="00ED41F2">
        <w:rPr>
          <w:i/>
        </w:rPr>
        <w:t>Industrial Processes and Product Use</w:t>
      </w:r>
      <w:r w:rsidRPr="00ED41F2">
        <w:t xml:space="preserve">, of the 2006 IPCC Guidelines (IPCC, 2006a) but is described as country specific in the CRF because of a minor discrepancy: NZ ETS participants are not required to report separately very small amounts of kiln dust or MgO. </w:t>
      </w:r>
    </w:p>
    <w:p w14:paraId="585DC81E" w14:textId="77777777" w:rsidR="0099547F" w:rsidRPr="00ED41F2" w:rsidRDefault="0099547F" w:rsidP="0099547F">
      <w:pPr>
        <w:pStyle w:val="BodyText"/>
      </w:pPr>
      <w:r w:rsidRPr="00ED41F2">
        <w:t xml:space="preserve">NZ ETS participants in this category are not required to report annually on the specific methods that they have used to determine the amounts of pure CaO, MgO and other compounds that they report in their NZ ETS returns. They are required to keep this information available and it is verified periodically by the NZ ETS regulator. </w:t>
      </w:r>
    </w:p>
    <w:p w14:paraId="20D30FBA" w14:textId="77777777" w:rsidR="0099547F" w:rsidRPr="00ED41F2" w:rsidRDefault="0099547F" w:rsidP="0099547F">
      <w:pPr>
        <w:pStyle w:val="BodyText"/>
      </w:pPr>
      <w:r w:rsidRPr="00ED41F2">
        <w:t>All other emissions use Tier 1 methods. This includes the small amount of SO</w:t>
      </w:r>
      <w:r w:rsidRPr="00ED41F2">
        <w:rPr>
          <w:vertAlign w:val="subscript"/>
        </w:rPr>
        <w:t>2</w:t>
      </w:r>
      <w:r w:rsidRPr="00ED41F2">
        <w:t xml:space="preserve"> emissions reported for cement production. Emissions of SO</w:t>
      </w:r>
      <w:r w:rsidRPr="00ED41F2">
        <w:rPr>
          <w:vertAlign w:val="subscript"/>
        </w:rPr>
        <w:t>2</w:t>
      </w:r>
      <w:r w:rsidRPr="00ED41F2">
        <w:t xml:space="preserve"> from lime production were also estimated in 2006 (CRL Energy, </w:t>
      </w:r>
      <w:r w:rsidRPr="00ED41F2">
        <w:rPr>
          <w:rFonts w:eastAsia="+mn-ea"/>
        </w:rPr>
        <w:t>unpublished(a)</w:t>
      </w:r>
      <w:r w:rsidRPr="00ED41F2">
        <w:t>). These used a country-specific emission factor of 0.5 kilograms SO</w:t>
      </w:r>
      <w:r w:rsidRPr="00ED41F2">
        <w:rPr>
          <w:vertAlign w:val="subscript"/>
        </w:rPr>
        <w:t>2</w:t>
      </w:r>
      <w:r w:rsidRPr="00ED41F2">
        <w:t xml:space="preserve"> per tonne of burnt lime produced, derived from plant measurements carried out in earlier years. There is no provision in the CRF to report these emissions, however. </w:t>
      </w:r>
    </w:p>
    <w:p w14:paraId="5C0F0A77" w14:textId="77777777" w:rsidR="0099547F" w:rsidRPr="00ED41F2" w:rsidRDefault="0099547F" w:rsidP="00CF3E69">
      <w:pPr>
        <w:pStyle w:val="Heading4"/>
        <w:rPr>
          <w:bCs/>
          <w:iCs/>
        </w:rPr>
      </w:pPr>
      <w:r w:rsidRPr="00ED41F2">
        <w:lastRenderedPageBreak/>
        <w:t>Choice of emission factors</w:t>
      </w:r>
    </w:p>
    <w:p w14:paraId="48116467" w14:textId="77777777" w:rsidR="0099547F" w:rsidRPr="00ED41F2" w:rsidRDefault="0099547F" w:rsidP="0099547F">
      <w:pPr>
        <w:pStyle w:val="BodyText"/>
      </w:pPr>
      <w:r w:rsidRPr="00ED41F2">
        <w:t xml:space="preserve">All calculations made for NZ ETS reporting and used in the </w:t>
      </w:r>
      <w:r w:rsidRPr="00ED41F2">
        <w:rPr>
          <w:i/>
        </w:rPr>
        <w:t>Mineral industry</w:t>
      </w:r>
      <w:r w:rsidRPr="00ED41F2">
        <w:t xml:space="preserve"> category are based on plant-specific analysis. </w:t>
      </w:r>
    </w:p>
    <w:p w14:paraId="5E458FD8" w14:textId="77777777" w:rsidR="0099547F" w:rsidRPr="00ED41F2" w:rsidRDefault="0099547F" w:rsidP="0099547F">
      <w:pPr>
        <w:pStyle w:val="BodyText"/>
      </w:pPr>
      <w:r w:rsidRPr="00ED41F2">
        <w:t>The small amounts of SO</w:t>
      </w:r>
      <w:r w:rsidRPr="00ED41F2">
        <w:rPr>
          <w:vertAlign w:val="subscript"/>
        </w:rPr>
        <w:t>2</w:t>
      </w:r>
      <w:r w:rsidRPr="00ED41F2">
        <w:t xml:space="preserve"> emitted in the </w:t>
      </w:r>
      <w:r w:rsidRPr="00ED41F2">
        <w:rPr>
          <w:i/>
        </w:rPr>
        <w:t>Cement production</w:t>
      </w:r>
      <w:r w:rsidRPr="00ED41F2">
        <w:t xml:space="preserve"> category are estimated using plant-specific emission factors taken from mass balance data derived for the two cement plants in 2002 and 2005 (CRL Energy, </w:t>
      </w:r>
      <w:r w:rsidRPr="00ED41F2">
        <w:rPr>
          <w:rFonts w:eastAsia="+mn-ea"/>
        </w:rPr>
        <w:t>unpublished(a)</w:t>
      </w:r>
      <w:r w:rsidRPr="00ED41F2">
        <w:t xml:space="preserve">). </w:t>
      </w:r>
    </w:p>
    <w:p w14:paraId="2DAC35CD" w14:textId="77777777" w:rsidR="0099547F" w:rsidRPr="00ED41F2" w:rsidRDefault="0099547F" w:rsidP="0099547F">
      <w:pPr>
        <w:pStyle w:val="BodyText"/>
      </w:pPr>
      <w:r w:rsidRPr="00ED41F2">
        <w:t>For the very small emissions of CO</w:t>
      </w:r>
      <w:r w:rsidRPr="00ED41F2">
        <w:rPr>
          <w:vertAlign w:val="subscript"/>
        </w:rPr>
        <w:t>2</w:t>
      </w:r>
      <w:r w:rsidRPr="00ED41F2">
        <w:t xml:space="preserve"> from the </w:t>
      </w:r>
      <w:r w:rsidRPr="00ED41F2">
        <w:rPr>
          <w:i/>
        </w:rPr>
        <w:t>Ceramics</w:t>
      </w:r>
      <w:r w:rsidRPr="00ED41F2">
        <w:t xml:space="preserve"> (2.A.4.a) category, a country-specific emission factor of 0.1 per cent of carbonates (as equivalent calcium carbonate) in local kaolin clay is used. </w:t>
      </w:r>
    </w:p>
    <w:p w14:paraId="4298B544" w14:textId="77777777" w:rsidR="0099547F" w:rsidRPr="00ED41F2" w:rsidRDefault="0099547F" w:rsidP="0099547F">
      <w:pPr>
        <w:pStyle w:val="BodyText"/>
      </w:pPr>
      <w:r w:rsidRPr="00ED41F2">
        <w:t xml:space="preserve">Other emission factors used are IPCC defaults. </w:t>
      </w:r>
    </w:p>
    <w:p w14:paraId="776EC997" w14:textId="77777777" w:rsidR="0099547F" w:rsidRPr="00ED41F2" w:rsidRDefault="0099547F" w:rsidP="0099547F">
      <w:pPr>
        <w:pStyle w:val="Heading3"/>
      </w:pPr>
      <w:r w:rsidRPr="00ED41F2">
        <w:t xml:space="preserve">4.2.3 </w:t>
      </w:r>
      <w:r w:rsidRPr="00ED41F2">
        <w:tab/>
        <w:t>Uncertainties and time-series consistency</w:t>
      </w:r>
    </w:p>
    <w:p w14:paraId="7038A887" w14:textId="77777777" w:rsidR="0099547F" w:rsidRPr="00ED41F2" w:rsidRDefault="0099547F" w:rsidP="00CF3E69">
      <w:pPr>
        <w:pStyle w:val="Heading4"/>
        <w:rPr>
          <w:bCs/>
          <w:iCs/>
        </w:rPr>
      </w:pPr>
      <w:r w:rsidRPr="00ED41F2">
        <w:t>Uncertainties</w:t>
      </w:r>
    </w:p>
    <w:p w14:paraId="48A63ADA" w14:textId="77777777" w:rsidR="0099547F" w:rsidRPr="00ED41F2" w:rsidRDefault="0099547F" w:rsidP="0099547F">
      <w:pPr>
        <w:pStyle w:val="BodyText"/>
      </w:pPr>
      <w:r w:rsidRPr="00ED41F2">
        <w:t>IPCC default uncertainties have been used for all CO</w:t>
      </w:r>
      <w:r w:rsidRPr="00ED41F2">
        <w:rPr>
          <w:vertAlign w:val="subscript"/>
        </w:rPr>
        <w:t>2</w:t>
      </w:r>
      <w:r w:rsidRPr="00ED41F2">
        <w:t xml:space="preserve"> emissions from the </w:t>
      </w:r>
      <w:r w:rsidRPr="00ED41F2">
        <w:rPr>
          <w:i/>
        </w:rPr>
        <w:t>Mineral industry</w:t>
      </w:r>
      <w:r w:rsidRPr="00ED41F2">
        <w:t xml:space="preserve"> category (see table 4.2.1), except ceramics for which there is substantial uncertainty in the activity data and in the composition of clay. Cement kiln dust is not relevant for 2017 to 2020 because the cement plant now operating reports no significant kiln dust produced. For SO</w:t>
      </w:r>
      <w:r w:rsidRPr="00ED41F2">
        <w:rPr>
          <w:vertAlign w:val="subscript"/>
        </w:rPr>
        <w:t>2</w:t>
      </w:r>
      <w:r w:rsidRPr="00ED41F2">
        <w:t xml:space="preserve"> emissions in the </w:t>
      </w:r>
      <w:r w:rsidRPr="00ED41F2">
        <w:rPr>
          <w:i/>
        </w:rPr>
        <w:t>Cement production</w:t>
      </w:r>
      <w:r w:rsidRPr="00ED41F2">
        <w:t xml:space="preserve"> category, an uncertainty of ±40 per cent was estimated based on the variance between surveys when these emissions were determined (CRL Energy, </w:t>
      </w:r>
      <w:r w:rsidRPr="00ED41F2">
        <w:rPr>
          <w:rFonts w:eastAsia="+mn-ea"/>
        </w:rPr>
        <w:t>unpublished(a)</w:t>
      </w:r>
      <w:r w:rsidRPr="00ED41F2">
        <w:t xml:space="preserve">). </w:t>
      </w:r>
    </w:p>
    <w:p w14:paraId="2C2CA81F" w14:textId="77777777" w:rsidR="0099547F" w:rsidRPr="00ED41F2" w:rsidRDefault="0099547F" w:rsidP="0099547F">
      <w:pPr>
        <w:pStyle w:val="Table"/>
      </w:pPr>
      <w:bookmarkStart w:id="454" w:name="_Toc451176067"/>
      <w:bookmarkStart w:id="455" w:name="_Toc414531404"/>
      <w:bookmarkStart w:id="456" w:name="_Toc5269457"/>
      <w:bookmarkStart w:id="457" w:name="_Toc36224530"/>
      <w:bookmarkStart w:id="458" w:name="_Toc68786417"/>
      <w:bookmarkStart w:id="459" w:name="_Toc99659225"/>
      <w:r w:rsidRPr="00ED41F2">
        <w:t>Table 4.2.1</w:t>
      </w:r>
      <w:r w:rsidRPr="00ED41F2">
        <w:tab/>
        <w:t>Uncertainty in emissions from mineral products</w:t>
      </w:r>
      <w:bookmarkEnd w:id="454"/>
      <w:bookmarkEnd w:id="455"/>
      <w:bookmarkEnd w:id="456"/>
      <w:bookmarkEnd w:id="457"/>
      <w:bookmarkEnd w:id="458"/>
      <w:bookmarkEnd w:id="459"/>
    </w:p>
    <w:tbl>
      <w:tblPr>
        <w:tblW w:w="8505"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2675"/>
        <w:gridCol w:w="2817"/>
        <w:gridCol w:w="3013"/>
      </w:tblGrid>
      <w:tr w:rsidR="0099547F" w:rsidRPr="00ED41F2" w14:paraId="46600C2D" w14:textId="77777777" w:rsidTr="007E3239">
        <w:trPr>
          <w:tblHeader/>
        </w:trPr>
        <w:tc>
          <w:tcPr>
            <w:tcW w:w="2694" w:type="dxa"/>
            <w:tcBorders>
              <w:top w:val="single" w:sz="4" w:space="0" w:color="1B556B"/>
              <w:left w:val="nil"/>
              <w:bottom w:val="single" w:sz="4" w:space="0" w:color="1B556B"/>
              <w:right w:val="nil"/>
            </w:tcBorders>
            <w:shd w:val="clear" w:color="auto" w:fill="1B556B"/>
            <w:hideMark/>
          </w:tcPr>
          <w:p w14:paraId="483A6874" w14:textId="77777777" w:rsidR="0099547F" w:rsidRPr="00ED41F2" w:rsidRDefault="0099547F" w:rsidP="007E3239">
            <w:pPr>
              <w:pStyle w:val="TableTextBold"/>
              <w:keepNext/>
              <w:rPr>
                <w:noProof w:val="0"/>
                <w:color w:val="FFFFFF"/>
              </w:rPr>
            </w:pPr>
            <w:r w:rsidRPr="00ED41F2">
              <w:rPr>
                <w:noProof w:val="0"/>
                <w:color w:val="FFFFFF"/>
              </w:rPr>
              <w:t>Mineral product</w:t>
            </w:r>
          </w:p>
        </w:tc>
        <w:tc>
          <w:tcPr>
            <w:tcW w:w="2835" w:type="dxa"/>
            <w:tcBorders>
              <w:top w:val="single" w:sz="4" w:space="0" w:color="1B556B"/>
              <w:left w:val="nil"/>
              <w:bottom w:val="single" w:sz="4" w:space="0" w:color="1B556B"/>
              <w:right w:val="nil"/>
            </w:tcBorders>
            <w:shd w:val="clear" w:color="auto" w:fill="1B556B"/>
            <w:hideMark/>
          </w:tcPr>
          <w:p w14:paraId="03C61704" w14:textId="77777777" w:rsidR="0099547F" w:rsidRPr="00ED41F2" w:rsidRDefault="0099547F" w:rsidP="007E3239">
            <w:pPr>
              <w:pStyle w:val="TableTextBold"/>
              <w:rPr>
                <w:noProof w:val="0"/>
                <w:color w:val="FFFFFF"/>
              </w:rPr>
            </w:pPr>
            <w:r w:rsidRPr="00ED41F2">
              <w:rPr>
                <w:noProof w:val="0"/>
                <w:color w:val="FFFFFF"/>
              </w:rPr>
              <w:t>Uncertainty in activity data (%)</w:t>
            </w:r>
          </w:p>
        </w:tc>
        <w:tc>
          <w:tcPr>
            <w:tcW w:w="3033" w:type="dxa"/>
            <w:tcBorders>
              <w:top w:val="single" w:sz="4" w:space="0" w:color="1B556B"/>
              <w:left w:val="nil"/>
              <w:bottom w:val="single" w:sz="4" w:space="0" w:color="1B556B"/>
              <w:right w:val="nil"/>
            </w:tcBorders>
            <w:shd w:val="clear" w:color="auto" w:fill="1B556B"/>
            <w:hideMark/>
          </w:tcPr>
          <w:p w14:paraId="616DA501" w14:textId="77777777" w:rsidR="0099547F" w:rsidRPr="00ED41F2" w:rsidRDefault="0099547F" w:rsidP="007E3239">
            <w:pPr>
              <w:pStyle w:val="TableTextBold"/>
              <w:rPr>
                <w:noProof w:val="0"/>
                <w:color w:val="FFFFFF"/>
              </w:rPr>
            </w:pPr>
            <w:r w:rsidRPr="00ED41F2">
              <w:rPr>
                <w:noProof w:val="0"/>
                <w:color w:val="FFFFFF"/>
              </w:rPr>
              <w:t>Uncertainty in emission factors (%)</w:t>
            </w:r>
          </w:p>
        </w:tc>
      </w:tr>
      <w:tr w:rsidR="0099547F" w:rsidRPr="00ED41F2" w14:paraId="2165E2F0" w14:textId="77777777" w:rsidTr="007E3239">
        <w:tc>
          <w:tcPr>
            <w:tcW w:w="2694" w:type="dxa"/>
            <w:tcBorders>
              <w:top w:val="single" w:sz="4" w:space="0" w:color="1B556B"/>
              <w:left w:val="nil"/>
              <w:bottom w:val="single" w:sz="4" w:space="0" w:color="1B556B"/>
              <w:right w:val="nil"/>
            </w:tcBorders>
            <w:shd w:val="clear" w:color="auto" w:fill="FFFFFF"/>
            <w:hideMark/>
          </w:tcPr>
          <w:p w14:paraId="6DBFFB01" w14:textId="77777777" w:rsidR="0099547F" w:rsidRPr="00ED41F2" w:rsidRDefault="0099547F" w:rsidP="007E3239">
            <w:pPr>
              <w:pStyle w:val="TableText"/>
              <w:keepNext/>
            </w:pPr>
            <w:r w:rsidRPr="00ED41F2">
              <w:t>Cement (CO</w:t>
            </w:r>
            <w:r w:rsidRPr="00ED41F2">
              <w:rPr>
                <w:vertAlign w:val="subscript"/>
              </w:rPr>
              <w:t>2</w:t>
            </w:r>
            <w:r w:rsidRPr="00ED41F2">
              <w:t>)</w:t>
            </w:r>
          </w:p>
        </w:tc>
        <w:tc>
          <w:tcPr>
            <w:tcW w:w="2835" w:type="dxa"/>
            <w:tcBorders>
              <w:top w:val="single" w:sz="4" w:space="0" w:color="1B556B"/>
              <w:left w:val="nil"/>
              <w:bottom w:val="single" w:sz="4" w:space="0" w:color="1B556B"/>
              <w:right w:val="nil"/>
            </w:tcBorders>
            <w:shd w:val="clear" w:color="auto" w:fill="FFFFFF"/>
            <w:hideMark/>
          </w:tcPr>
          <w:p w14:paraId="790D3B56" w14:textId="77777777" w:rsidR="0099547F" w:rsidRPr="00ED41F2" w:rsidRDefault="0099547F" w:rsidP="007E3239">
            <w:pPr>
              <w:pStyle w:val="TableText"/>
            </w:pPr>
            <w:r w:rsidRPr="00ED41F2">
              <w:t>±1</w:t>
            </w:r>
          </w:p>
        </w:tc>
        <w:tc>
          <w:tcPr>
            <w:tcW w:w="3033" w:type="dxa"/>
            <w:tcBorders>
              <w:top w:val="single" w:sz="4" w:space="0" w:color="1B556B"/>
              <w:left w:val="nil"/>
              <w:bottom w:val="single" w:sz="4" w:space="0" w:color="1B556B"/>
              <w:right w:val="nil"/>
            </w:tcBorders>
            <w:shd w:val="clear" w:color="auto" w:fill="FFFFFF"/>
            <w:hideMark/>
          </w:tcPr>
          <w:p w14:paraId="0BAA5AB1" w14:textId="77777777" w:rsidR="0099547F" w:rsidRPr="00ED41F2" w:rsidRDefault="0099547F" w:rsidP="007E3239">
            <w:pPr>
              <w:pStyle w:val="TableText"/>
            </w:pPr>
            <w:r w:rsidRPr="00ED41F2">
              <w:t>±1</w:t>
            </w:r>
          </w:p>
        </w:tc>
      </w:tr>
      <w:tr w:rsidR="0099547F" w:rsidRPr="00ED41F2" w14:paraId="5CA3979F" w14:textId="77777777" w:rsidTr="007E3239">
        <w:tc>
          <w:tcPr>
            <w:tcW w:w="2694" w:type="dxa"/>
            <w:tcBorders>
              <w:top w:val="single" w:sz="4" w:space="0" w:color="1B556B"/>
              <w:left w:val="nil"/>
              <w:bottom w:val="single" w:sz="4" w:space="0" w:color="1B556B"/>
              <w:right w:val="nil"/>
            </w:tcBorders>
            <w:shd w:val="clear" w:color="auto" w:fill="FFFFFF"/>
            <w:hideMark/>
          </w:tcPr>
          <w:p w14:paraId="5CBFD239" w14:textId="77777777" w:rsidR="0099547F" w:rsidRPr="00ED41F2" w:rsidRDefault="0099547F" w:rsidP="007E3239">
            <w:pPr>
              <w:pStyle w:val="TableText"/>
            </w:pPr>
            <w:r w:rsidRPr="00ED41F2">
              <w:t>Cement kiln dust (CO</w:t>
            </w:r>
            <w:r w:rsidRPr="00ED41F2">
              <w:rPr>
                <w:vertAlign w:val="subscript"/>
              </w:rPr>
              <w:t>2</w:t>
            </w:r>
            <w:r w:rsidRPr="00ED41F2">
              <w:t>)</w:t>
            </w:r>
          </w:p>
        </w:tc>
        <w:tc>
          <w:tcPr>
            <w:tcW w:w="2835" w:type="dxa"/>
            <w:tcBorders>
              <w:top w:val="single" w:sz="4" w:space="0" w:color="1B556B"/>
              <w:left w:val="nil"/>
              <w:bottom w:val="single" w:sz="4" w:space="0" w:color="1B556B"/>
              <w:right w:val="nil"/>
            </w:tcBorders>
            <w:shd w:val="clear" w:color="auto" w:fill="FFFFFF"/>
            <w:hideMark/>
          </w:tcPr>
          <w:p w14:paraId="45F0C806" w14:textId="77777777" w:rsidR="0099547F" w:rsidRPr="00ED41F2" w:rsidRDefault="0099547F" w:rsidP="007E3239">
            <w:pPr>
              <w:pStyle w:val="TableText"/>
            </w:pPr>
            <w:r w:rsidRPr="00ED41F2">
              <w:t>±1</w:t>
            </w:r>
          </w:p>
        </w:tc>
        <w:tc>
          <w:tcPr>
            <w:tcW w:w="3033" w:type="dxa"/>
            <w:tcBorders>
              <w:top w:val="single" w:sz="4" w:space="0" w:color="1B556B"/>
              <w:left w:val="nil"/>
              <w:bottom w:val="single" w:sz="4" w:space="0" w:color="1B556B"/>
              <w:right w:val="nil"/>
            </w:tcBorders>
            <w:shd w:val="clear" w:color="auto" w:fill="FFFFFF"/>
            <w:hideMark/>
          </w:tcPr>
          <w:p w14:paraId="41365690" w14:textId="77777777" w:rsidR="0099547F" w:rsidRPr="00ED41F2" w:rsidRDefault="0099547F" w:rsidP="007E3239">
            <w:pPr>
              <w:pStyle w:val="TableText"/>
            </w:pPr>
            <w:r w:rsidRPr="00ED41F2">
              <w:t>±5</w:t>
            </w:r>
          </w:p>
        </w:tc>
      </w:tr>
      <w:tr w:rsidR="0099547F" w:rsidRPr="00ED41F2" w14:paraId="4471086F" w14:textId="77777777" w:rsidTr="007E3239">
        <w:tc>
          <w:tcPr>
            <w:tcW w:w="2694" w:type="dxa"/>
            <w:tcBorders>
              <w:top w:val="single" w:sz="4" w:space="0" w:color="1B556B"/>
              <w:left w:val="nil"/>
              <w:bottom w:val="single" w:sz="4" w:space="0" w:color="1B556B"/>
              <w:right w:val="nil"/>
            </w:tcBorders>
            <w:shd w:val="clear" w:color="auto" w:fill="FFFFFF"/>
            <w:hideMark/>
          </w:tcPr>
          <w:p w14:paraId="0AFC8947" w14:textId="77777777" w:rsidR="0099547F" w:rsidRPr="00ED41F2" w:rsidRDefault="0099547F" w:rsidP="007E3239">
            <w:pPr>
              <w:pStyle w:val="TableText"/>
            </w:pPr>
            <w:r w:rsidRPr="00ED41F2">
              <w:t>Cement (SO</w:t>
            </w:r>
            <w:r w:rsidRPr="00ED41F2">
              <w:rPr>
                <w:vertAlign w:val="subscript"/>
              </w:rPr>
              <w:t>2</w:t>
            </w:r>
            <w:r w:rsidRPr="00ED41F2">
              <w:t>)</w:t>
            </w:r>
          </w:p>
        </w:tc>
        <w:tc>
          <w:tcPr>
            <w:tcW w:w="2835" w:type="dxa"/>
            <w:tcBorders>
              <w:top w:val="single" w:sz="4" w:space="0" w:color="1B556B"/>
              <w:left w:val="nil"/>
              <w:bottom w:val="single" w:sz="4" w:space="0" w:color="1B556B"/>
              <w:right w:val="nil"/>
            </w:tcBorders>
            <w:shd w:val="clear" w:color="auto" w:fill="FFFFFF"/>
            <w:hideMark/>
          </w:tcPr>
          <w:p w14:paraId="152B2C75" w14:textId="77777777" w:rsidR="0099547F" w:rsidRPr="00ED41F2" w:rsidRDefault="0099547F" w:rsidP="007E3239">
            <w:pPr>
              <w:pStyle w:val="TableText"/>
            </w:pPr>
            <w:r w:rsidRPr="00ED41F2">
              <w:t>±1</w:t>
            </w:r>
          </w:p>
        </w:tc>
        <w:tc>
          <w:tcPr>
            <w:tcW w:w="3033" w:type="dxa"/>
            <w:tcBorders>
              <w:top w:val="single" w:sz="4" w:space="0" w:color="1B556B"/>
              <w:left w:val="nil"/>
              <w:bottom w:val="single" w:sz="4" w:space="0" w:color="1B556B"/>
              <w:right w:val="nil"/>
            </w:tcBorders>
            <w:shd w:val="clear" w:color="auto" w:fill="FFFFFF"/>
            <w:hideMark/>
          </w:tcPr>
          <w:p w14:paraId="345538CE" w14:textId="77777777" w:rsidR="0099547F" w:rsidRPr="00ED41F2" w:rsidRDefault="0099547F" w:rsidP="007E3239">
            <w:pPr>
              <w:pStyle w:val="TableText"/>
            </w:pPr>
            <w:r w:rsidRPr="00ED41F2">
              <w:t>±40</w:t>
            </w:r>
          </w:p>
        </w:tc>
      </w:tr>
      <w:tr w:rsidR="0099547F" w:rsidRPr="00ED41F2" w14:paraId="495BFC7F" w14:textId="77777777" w:rsidTr="007E3239">
        <w:tc>
          <w:tcPr>
            <w:tcW w:w="2694" w:type="dxa"/>
            <w:tcBorders>
              <w:top w:val="single" w:sz="4" w:space="0" w:color="1B556B"/>
              <w:left w:val="nil"/>
              <w:bottom w:val="single" w:sz="4" w:space="0" w:color="1B556B"/>
              <w:right w:val="nil"/>
            </w:tcBorders>
            <w:shd w:val="clear" w:color="auto" w:fill="FFFFFF"/>
            <w:hideMark/>
          </w:tcPr>
          <w:p w14:paraId="3F5D5CBF" w14:textId="77777777" w:rsidR="0099547F" w:rsidRPr="00ED41F2" w:rsidRDefault="0099547F" w:rsidP="007E3239">
            <w:pPr>
              <w:pStyle w:val="TableText"/>
            </w:pPr>
            <w:r w:rsidRPr="00ED41F2">
              <w:t>Lime (CO</w:t>
            </w:r>
            <w:r w:rsidRPr="00ED41F2">
              <w:rPr>
                <w:vertAlign w:val="subscript"/>
              </w:rPr>
              <w:t>2</w:t>
            </w:r>
            <w:r w:rsidRPr="00ED41F2">
              <w:t>)</w:t>
            </w:r>
          </w:p>
        </w:tc>
        <w:tc>
          <w:tcPr>
            <w:tcW w:w="2835" w:type="dxa"/>
            <w:tcBorders>
              <w:top w:val="single" w:sz="4" w:space="0" w:color="1B556B"/>
              <w:left w:val="nil"/>
              <w:bottom w:val="single" w:sz="4" w:space="0" w:color="1B556B"/>
              <w:right w:val="nil"/>
            </w:tcBorders>
            <w:shd w:val="clear" w:color="auto" w:fill="FFFFFF"/>
            <w:hideMark/>
          </w:tcPr>
          <w:p w14:paraId="7BBBDDBB" w14:textId="77777777" w:rsidR="0099547F" w:rsidRPr="00ED41F2" w:rsidRDefault="0099547F" w:rsidP="007E3239">
            <w:pPr>
              <w:pStyle w:val="TableText"/>
            </w:pPr>
            <w:r w:rsidRPr="00ED41F2">
              <w:t>±2</w:t>
            </w:r>
          </w:p>
        </w:tc>
        <w:tc>
          <w:tcPr>
            <w:tcW w:w="3033" w:type="dxa"/>
            <w:tcBorders>
              <w:top w:val="single" w:sz="4" w:space="0" w:color="1B556B"/>
              <w:left w:val="nil"/>
              <w:bottom w:val="single" w:sz="4" w:space="0" w:color="1B556B"/>
              <w:right w:val="nil"/>
            </w:tcBorders>
            <w:shd w:val="clear" w:color="auto" w:fill="FFFFFF"/>
            <w:hideMark/>
          </w:tcPr>
          <w:p w14:paraId="713640AC" w14:textId="77777777" w:rsidR="0099547F" w:rsidRPr="00ED41F2" w:rsidRDefault="0099547F" w:rsidP="007E3239">
            <w:pPr>
              <w:pStyle w:val="TableText"/>
            </w:pPr>
            <w:r w:rsidRPr="00ED41F2">
              <w:t>±2</w:t>
            </w:r>
          </w:p>
        </w:tc>
      </w:tr>
      <w:tr w:rsidR="0099547F" w:rsidRPr="00ED41F2" w14:paraId="37007A68" w14:textId="77777777" w:rsidTr="007E3239">
        <w:tc>
          <w:tcPr>
            <w:tcW w:w="2694" w:type="dxa"/>
            <w:tcBorders>
              <w:top w:val="single" w:sz="4" w:space="0" w:color="1B556B"/>
              <w:left w:val="nil"/>
              <w:bottom w:val="single" w:sz="4" w:space="0" w:color="1B556B"/>
              <w:right w:val="nil"/>
            </w:tcBorders>
            <w:shd w:val="clear" w:color="auto" w:fill="FFFFFF"/>
            <w:hideMark/>
          </w:tcPr>
          <w:p w14:paraId="68F27145" w14:textId="77777777" w:rsidR="0099547F" w:rsidRPr="00ED41F2" w:rsidRDefault="0099547F" w:rsidP="007E3239">
            <w:pPr>
              <w:pStyle w:val="TableText"/>
            </w:pPr>
            <w:r w:rsidRPr="00ED41F2">
              <w:t>Glass (SO</w:t>
            </w:r>
            <w:r w:rsidRPr="00ED41F2">
              <w:rPr>
                <w:vertAlign w:val="subscript"/>
              </w:rPr>
              <w:t>2</w:t>
            </w:r>
            <w:r w:rsidRPr="00ED41F2">
              <w:t>)</w:t>
            </w:r>
          </w:p>
        </w:tc>
        <w:tc>
          <w:tcPr>
            <w:tcW w:w="2835" w:type="dxa"/>
            <w:tcBorders>
              <w:top w:val="single" w:sz="4" w:space="0" w:color="1B556B"/>
              <w:left w:val="nil"/>
              <w:bottom w:val="single" w:sz="4" w:space="0" w:color="1B556B"/>
              <w:right w:val="nil"/>
            </w:tcBorders>
            <w:shd w:val="clear" w:color="auto" w:fill="FFFFFF"/>
            <w:hideMark/>
          </w:tcPr>
          <w:p w14:paraId="37F05BCD" w14:textId="77777777" w:rsidR="0099547F" w:rsidRPr="00ED41F2" w:rsidRDefault="0099547F" w:rsidP="007E3239">
            <w:pPr>
              <w:pStyle w:val="TableText"/>
            </w:pPr>
            <w:r w:rsidRPr="00ED41F2">
              <w:t>±5</w:t>
            </w:r>
          </w:p>
        </w:tc>
        <w:tc>
          <w:tcPr>
            <w:tcW w:w="3033" w:type="dxa"/>
            <w:tcBorders>
              <w:top w:val="single" w:sz="4" w:space="0" w:color="1B556B"/>
              <w:left w:val="nil"/>
              <w:bottom w:val="single" w:sz="4" w:space="0" w:color="1B556B"/>
              <w:right w:val="nil"/>
            </w:tcBorders>
            <w:shd w:val="clear" w:color="auto" w:fill="FFFFFF"/>
            <w:hideMark/>
          </w:tcPr>
          <w:p w14:paraId="1AFEAB5B" w14:textId="77777777" w:rsidR="0099547F" w:rsidRPr="00ED41F2" w:rsidRDefault="0099547F" w:rsidP="007E3239">
            <w:pPr>
              <w:pStyle w:val="TableText"/>
            </w:pPr>
            <w:r w:rsidRPr="00ED41F2">
              <w:t>±10</w:t>
            </w:r>
          </w:p>
        </w:tc>
      </w:tr>
      <w:tr w:rsidR="0099547F" w:rsidRPr="00ED41F2" w14:paraId="33751188" w14:textId="77777777" w:rsidTr="007E3239">
        <w:tc>
          <w:tcPr>
            <w:tcW w:w="2694" w:type="dxa"/>
            <w:tcBorders>
              <w:top w:val="single" w:sz="4" w:space="0" w:color="1B556B"/>
              <w:left w:val="nil"/>
              <w:bottom w:val="single" w:sz="4" w:space="0" w:color="1B556B"/>
              <w:right w:val="nil"/>
            </w:tcBorders>
            <w:shd w:val="clear" w:color="auto" w:fill="FFFFFF"/>
            <w:hideMark/>
          </w:tcPr>
          <w:p w14:paraId="2864B209" w14:textId="77777777" w:rsidR="0099547F" w:rsidRPr="00ED41F2" w:rsidRDefault="0099547F" w:rsidP="007E3239">
            <w:pPr>
              <w:pStyle w:val="TableText"/>
            </w:pPr>
            <w:r w:rsidRPr="00ED41F2">
              <w:t>Glass (NMVOC)</w:t>
            </w:r>
          </w:p>
        </w:tc>
        <w:tc>
          <w:tcPr>
            <w:tcW w:w="2835" w:type="dxa"/>
            <w:tcBorders>
              <w:top w:val="single" w:sz="4" w:space="0" w:color="1B556B"/>
              <w:left w:val="nil"/>
              <w:bottom w:val="single" w:sz="4" w:space="0" w:color="1B556B"/>
              <w:right w:val="nil"/>
            </w:tcBorders>
            <w:shd w:val="clear" w:color="auto" w:fill="FFFFFF"/>
            <w:hideMark/>
          </w:tcPr>
          <w:p w14:paraId="3A0EDD56" w14:textId="77777777" w:rsidR="0099547F" w:rsidRPr="00ED41F2" w:rsidRDefault="0099547F" w:rsidP="007E3239">
            <w:pPr>
              <w:pStyle w:val="TableText"/>
            </w:pPr>
            <w:r w:rsidRPr="00ED41F2">
              <w:t>±5</w:t>
            </w:r>
          </w:p>
        </w:tc>
        <w:tc>
          <w:tcPr>
            <w:tcW w:w="3033" w:type="dxa"/>
            <w:tcBorders>
              <w:top w:val="single" w:sz="4" w:space="0" w:color="1B556B"/>
              <w:left w:val="nil"/>
              <w:bottom w:val="single" w:sz="4" w:space="0" w:color="1B556B"/>
              <w:right w:val="nil"/>
            </w:tcBorders>
            <w:shd w:val="clear" w:color="auto" w:fill="FFFFFF"/>
            <w:hideMark/>
          </w:tcPr>
          <w:p w14:paraId="674DEC74" w14:textId="77777777" w:rsidR="0099547F" w:rsidRPr="00ED41F2" w:rsidRDefault="0099547F" w:rsidP="007E3239">
            <w:pPr>
              <w:pStyle w:val="TableText"/>
            </w:pPr>
            <w:r w:rsidRPr="00ED41F2">
              <w:t>±50</w:t>
            </w:r>
          </w:p>
        </w:tc>
      </w:tr>
      <w:tr w:rsidR="0099547F" w:rsidRPr="00ED41F2" w14:paraId="0BB7A072" w14:textId="77777777" w:rsidTr="007E3239">
        <w:tc>
          <w:tcPr>
            <w:tcW w:w="2694" w:type="dxa"/>
            <w:tcBorders>
              <w:top w:val="single" w:sz="4" w:space="0" w:color="1B556B"/>
              <w:left w:val="nil"/>
              <w:bottom w:val="single" w:sz="4" w:space="0" w:color="1B556B"/>
              <w:right w:val="nil"/>
            </w:tcBorders>
            <w:shd w:val="clear" w:color="auto" w:fill="FFFFFF"/>
          </w:tcPr>
          <w:p w14:paraId="2D2E5DC2" w14:textId="77777777" w:rsidR="0099547F" w:rsidRPr="00ED41F2" w:rsidRDefault="0099547F" w:rsidP="007E3239">
            <w:pPr>
              <w:pStyle w:val="TableText"/>
            </w:pPr>
            <w:r w:rsidRPr="00ED41F2">
              <w:t>Ceramics (CO</w:t>
            </w:r>
            <w:r w:rsidRPr="00ED41F2">
              <w:rPr>
                <w:vertAlign w:val="subscript"/>
              </w:rPr>
              <w:t>2</w:t>
            </w:r>
            <w:r w:rsidRPr="00ED41F2">
              <w:t>)</w:t>
            </w:r>
          </w:p>
        </w:tc>
        <w:tc>
          <w:tcPr>
            <w:tcW w:w="2835" w:type="dxa"/>
            <w:tcBorders>
              <w:top w:val="single" w:sz="4" w:space="0" w:color="1B556B"/>
              <w:left w:val="nil"/>
              <w:bottom w:val="single" w:sz="4" w:space="0" w:color="1B556B"/>
              <w:right w:val="nil"/>
            </w:tcBorders>
            <w:shd w:val="clear" w:color="auto" w:fill="FFFFFF"/>
          </w:tcPr>
          <w:p w14:paraId="66CF9CAA" w14:textId="77777777" w:rsidR="0099547F" w:rsidRPr="00ED41F2" w:rsidRDefault="0099547F" w:rsidP="007E3239">
            <w:pPr>
              <w:pStyle w:val="TableText"/>
            </w:pPr>
            <w:r w:rsidRPr="00ED41F2">
              <w:t>±50</w:t>
            </w:r>
          </w:p>
        </w:tc>
        <w:tc>
          <w:tcPr>
            <w:tcW w:w="3033" w:type="dxa"/>
            <w:tcBorders>
              <w:top w:val="single" w:sz="4" w:space="0" w:color="1B556B"/>
              <w:left w:val="nil"/>
              <w:bottom w:val="single" w:sz="4" w:space="0" w:color="1B556B"/>
              <w:right w:val="nil"/>
            </w:tcBorders>
            <w:shd w:val="clear" w:color="auto" w:fill="FFFFFF"/>
          </w:tcPr>
          <w:p w14:paraId="45BA00A5" w14:textId="77777777" w:rsidR="0099547F" w:rsidRPr="00ED41F2" w:rsidRDefault="0099547F" w:rsidP="007E3239">
            <w:pPr>
              <w:pStyle w:val="TableText"/>
            </w:pPr>
            <w:r w:rsidRPr="00ED41F2">
              <w:t>±20</w:t>
            </w:r>
          </w:p>
        </w:tc>
      </w:tr>
      <w:tr w:rsidR="0099547F" w:rsidRPr="00ED41F2" w14:paraId="0AD79A58" w14:textId="77777777" w:rsidTr="007E3239">
        <w:tc>
          <w:tcPr>
            <w:tcW w:w="2694" w:type="dxa"/>
            <w:tcBorders>
              <w:top w:val="single" w:sz="4" w:space="0" w:color="1B556B"/>
              <w:left w:val="nil"/>
              <w:bottom w:val="single" w:sz="4" w:space="0" w:color="1B556B"/>
              <w:right w:val="nil"/>
            </w:tcBorders>
            <w:shd w:val="clear" w:color="auto" w:fill="FFFFFF"/>
          </w:tcPr>
          <w:p w14:paraId="1E92FB79" w14:textId="77777777" w:rsidR="0099547F" w:rsidRPr="00ED41F2" w:rsidRDefault="0099547F" w:rsidP="007E3239">
            <w:pPr>
              <w:pStyle w:val="TableText"/>
            </w:pPr>
            <w:r w:rsidRPr="00ED41F2">
              <w:t>Other uses of soda ash (CO</w:t>
            </w:r>
            <w:r w:rsidRPr="00ED41F2">
              <w:rPr>
                <w:vertAlign w:val="subscript"/>
              </w:rPr>
              <w:t>2</w:t>
            </w:r>
            <w:r w:rsidRPr="00ED41F2">
              <w:t>)</w:t>
            </w:r>
          </w:p>
        </w:tc>
        <w:tc>
          <w:tcPr>
            <w:tcW w:w="2835" w:type="dxa"/>
            <w:tcBorders>
              <w:top w:val="single" w:sz="4" w:space="0" w:color="1B556B"/>
              <w:left w:val="nil"/>
              <w:bottom w:val="single" w:sz="4" w:space="0" w:color="1B556B"/>
              <w:right w:val="nil"/>
            </w:tcBorders>
            <w:shd w:val="clear" w:color="auto" w:fill="FFFFFF"/>
          </w:tcPr>
          <w:p w14:paraId="07C6246E" w14:textId="77777777" w:rsidR="0099547F" w:rsidRPr="00ED41F2" w:rsidRDefault="0099547F" w:rsidP="007E3239">
            <w:pPr>
              <w:pStyle w:val="TableText"/>
            </w:pPr>
            <w:r w:rsidRPr="00ED41F2">
              <w:t>±3</w:t>
            </w:r>
          </w:p>
        </w:tc>
        <w:tc>
          <w:tcPr>
            <w:tcW w:w="3033" w:type="dxa"/>
            <w:tcBorders>
              <w:top w:val="single" w:sz="4" w:space="0" w:color="1B556B"/>
              <w:left w:val="nil"/>
              <w:bottom w:val="single" w:sz="4" w:space="0" w:color="1B556B"/>
              <w:right w:val="nil"/>
            </w:tcBorders>
            <w:shd w:val="clear" w:color="auto" w:fill="FFFFFF"/>
          </w:tcPr>
          <w:p w14:paraId="577050C6" w14:textId="77777777" w:rsidR="0099547F" w:rsidRPr="00ED41F2" w:rsidRDefault="0099547F" w:rsidP="007E3239">
            <w:pPr>
              <w:pStyle w:val="TableText"/>
            </w:pPr>
            <w:r w:rsidRPr="00ED41F2">
              <w:t>±2</w:t>
            </w:r>
          </w:p>
        </w:tc>
      </w:tr>
      <w:tr w:rsidR="0099547F" w:rsidRPr="00ED41F2" w14:paraId="5F0B2909" w14:textId="77777777" w:rsidTr="007E3239">
        <w:tc>
          <w:tcPr>
            <w:tcW w:w="2694" w:type="dxa"/>
            <w:tcBorders>
              <w:top w:val="single" w:sz="4" w:space="0" w:color="1B556B"/>
              <w:left w:val="nil"/>
              <w:bottom w:val="single" w:sz="4" w:space="0" w:color="1B556B"/>
              <w:right w:val="nil"/>
            </w:tcBorders>
            <w:shd w:val="clear" w:color="auto" w:fill="FFFFFF"/>
          </w:tcPr>
          <w:p w14:paraId="0C48D05A" w14:textId="77777777" w:rsidR="0099547F" w:rsidRPr="00ED41F2" w:rsidRDefault="0099547F" w:rsidP="007E3239">
            <w:pPr>
              <w:pStyle w:val="TableText"/>
            </w:pPr>
            <w:r w:rsidRPr="00ED41F2">
              <w:t>Other uses of limestone (CO</w:t>
            </w:r>
            <w:r w:rsidRPr="00ED41F2">
              <w:rPr>
                <w:vertAlign w:val="subscript"/>
              </w:rPr>
              <w:t>2</w:t>
            </w:r>
            <w:r w:rsidRPr="00ED41F2">
              <w:t>)</w:t>
            </w:r>
          </w:p>
        </w:tc>
        <w:tc>
          <w:tcPr>
            <w:tcW w:w="2835" w:type="dxa"/>
            <w:tcBorders>
              <w:top w:val="single" w:sz="4" w:space="0" w:color="1B556B"/>
              <w:left w:val="nil"/>
              <w:bottom w:val="single" w:sz="4" w:space="0" w:color="1B556B"/>
              <w:right w:val="nil"/>
            </w:tcBorders>
            <w:shd w:val="clear" w:color="auto" w:fill="FFFFFF"/>
          </w:tcPr>
          <w:p w14:paraId="606DD0E1" w14:textId="77777777" w:rsidR="0099547F" w:rsidRPr="00ED41F2" w:rsidRDefault="0099547F" w:rsidP="007E3239">
            <w:pPr>
              <w:pStyle w:val="TableText"/>
            </w:pPr>
            <w:r w:rsidRPr="00ED41F2">
              <w:t>±3</w:t>
            </w:r>
          </w:p>
        </w:tc>
        <w:tc>
          <w:tcPr>
            <w:tcW w:w="3033" w:type="dxa"/>
            <w:tcBorders>
              <w:top w:val="single" w:sz="4" w:space="0" w:color="1B556B"/>
              <w:left w:val="nil"/>
              <w:bottom w:val="single" w:sz="4" w:space="0" w:color="1B556B"/>
              <w:right w:val="nil"/>
            </w:tcBorders>
            <w:shd w:val="clear" w:color="auto" w:fill="FFFFFF"/>
          </w:tcPr>
          <w:p w14:paraId="6FF32CD0" w14:textId="77777777" w:rsidR="0099547F" w:rsidRPr="00ED41F2" w:rsidRDefault="0099547F" w:rsidP="007E3239">
            <w:pPr>
              <w:pStyle w:val="TableText"/>
            </w:pPr>
            <w:r w:rsidRPr="00ED41F2">
              <w:t>±2</w:t>
            </w:r>
          </w:p>
        </w:tc>
      </w:tr>
    </w:tbl>
    <w:p w14:paraId="4A3239AD" w14:textId="77777777" w:rsidR="0099547F" w:rsidRPr="00ED41F2" w:rsidRDefault="0099547F" w:rsidP="0091648C">
      <w:pPr>
        <w:pStyle w:val="Heading4"/>
        <w:spacing w:before="360"/>
        <w:rPr>
          <w:bCs/>
          <w:iCs/>
        </w:rPr>
      </w:pPr>
      <w:r w:rsidRPr="00ED41F2">
        <w:t>Time-series consistency</w:t>
      </w:r>
    </w:p>
    <w:p w14:paraId="03DB81E9" w14:textId="77777777" w:rsidR="0099547F" w:rsidRPr="00ED41F2" w:rsidRDefault="0099547F" w:rsidP="0099547F">
      <w:pPr>
        <w:pStyle w:val="BodyText"/>
      </w:pPr>
      <w:r w:rsidRPr="00ED41F2">
        <w:t xml:space="preserve">In previous inventory submissions, the reported activity data for lime production have not been fully consistent through the time series because of the change to using NZ ETS data for cement and lime, and the use of different calculation methods for these emissions. For the years up to 2013, a default emission factor was used, based on the amount of burnt lime produced. For 2014 to 2020, NZ ETS returns are the primary data source. The companies carry out analysis and report the net amount of pure CaO and MgO as well as gross amounts of product made to the NZ ETS regulator. </w:t>
      </w:r>
    </w:p>
    <w:p w14:paraId="171375E1" w14:textId="77777777" w:rsidR="0099547F" w:rsidRPr="00ED41F2" w:rsidRDefault="0099547F" w:rsidP="0099547F">
      <w:pPr>
        <w:pStyle w:val="Heading3"/>
      </w:pPr>
      <w:r w:rsidRPr="00ED41F2">
        <w:lastRenderedPageBreak/>
        <w:t>4.2.4</w:t>
      </w:r>
      <w:r w:rsidRPr="00ED41F2">
        <w:tab/>
        <w:t>Source-specific QA/QC and verification</w:t>
      </w:r>
    </w:p>
    <w:p w14:paraId="609DEEFC" w14:textId="77777777" w:rsidR="0099547F" w:rsidRPr="00ED41F2" w:rsidRDefault="0099547F" w:rsidP="0099547F">
      <w:pPr>
        <w:pStyle w:val="BodyText"/>
      </w:pPr>
      <w:r w:rsidRPr="00ED41F2">
        <w:t>For this submission, data for all CO</w:t>
      </w:r>
      <w:r w:rsidRPr="00ED41F2">
        <w:rPr>
          <w:vertAlign w:val="subscript"/>
        </w:rPr>
        <w:t>2</w:t>
      </w:r>
      <w:r w:rsidRPr="00ED41F2">
        <w:t xml:space="preserve"> emissions in the </w:t>
      </w:r>
      <w:r w:rsidRPr="00ED41F2">
        <w:rPr>
          <w:i/>
        </w:rPr>
        <w:t>Mineral industry</w:t>
      </w:r>
      <w:r w:rsidRPr="00ED41F2">
        <w:t xml:space="preserve"> category underwent Tier 1 quality checks in the preparation of this inventory. The only key category is CO</w:t>
      </w:r>
      <w:r w:rsidRPr="00ED41F2">
        <w:rPr>
          <w:vertAlign w:val="subscript"/>
        </w:rPr>
        <w:t>2</w:t>
      </w:r>
      <w:r w:rsidRPr="00ED41F2">
        <w:t xml:space="preserve"> emissions from </w:t>
      </w:r>
      <w:r w:rsidRPr="00ED41F2">
        <w:rPr>
          <w:i/>
        </w:rPr>
        <w:t>Cement production</w:t>
      </w:r>
      <w:r w:rsidRPr="00ED41F2">
        <w:rPr>
          <w:iCs/>
        </w:rPr>
        <w:t xml:space="preserve"> (level and trend assessment)</w:t>
      </w:r>
      <w:r w:rsidRPr="00ED41F2">
        <w:t xml:space="preserve">. </w:t>
      </w:r>
    </w:p>
    <w:p w14:paraId="25E626DF" w14:textId="77777777" w:rsidR="0099547F" w:rsidRPr="00ED41F2" w:rsidRDefault="0099547F" w:rsidP="0099547F">
      <w:pPr>
        <w:pStyle w:val="BodyText"/>
      </w:pPr>
      <w:r w:rsidRPr="00ED41F2">
        <w:t xml:space="preserve">Verification of activity data from independent sources is not currently possible. The EPA carries out verification of NZ ETS participants’ submitted data on a rotating basis and, as these verifications occur, the inventory agency (the Ministry for the Environment) will make use of the resulting information to verify the emissions data where possible. </w:t>
      </w:r>
    </w:p>
    <w:p w14:paraId="096DED04" w14:textId="77777777" w:rsidR="0099547F" w:rsidRPr="00ED41F2" w:rsidRDefault="0099547F" w:rsidP="00D647F0">
      <w:pPr>
        <w:pStyle w:val="Heading3"/>
        <w:spacing w:before="320"/>
      </w:pPr>
      <w:r w:rsidRPr="00ED41F2">
        <w:t>4.2.5</w:t>
      </w:r>
      <w:r w:rsidRPr="00ED41F2">
        <w:tab/>
        <w:t>Source-specific recalculations</w:t>
      </w:r>
    </w:p>
    <w:p w14:paraId="592A682D" w14:textId="77777777" w:rsidR="0099547F" w:rsidRPr="00ED41F2" w:rsidRDefault="0099547F" w:rsidP="0099547F">
      <w:pPr>
        <w:pStyle w:val="BodyText"/>
      </w:pPr>
      <w:r w:rsidRPr="00ED41F2">
        <w:t xml:space="preserve">For lime production, the activity data reported were revised in the previous submission, following a recommendation by the ERT to make the time series more consistent between NZ ETS data and the earlier reporting approach. The pure chemical content of the lime produced (CaO and MgO, net of impurities which are typically 2 to 3 per cent) is now reported for the entire time series. </w:t>
      </w:r>
    </w:p>
    <w:p w14:paraId="4AEB6941" w14:textId="77777777" w:rsidR="0099547F" w:rsidRPr="00ED41F2" w:rsidRDefault="0099547F" w:rsidP="0099547F">
      <w:pPr>
        <w:pStyle w:val="BodyText"/>
      </w:pPr>
      <w:r w:rsidRPr="00ED41F2">
        <w:t xml:space="preserve">There are no recalculations for the 2022 submission. </w:t>
      </w:r>
    </w:p>
    <w:p w14:paraId="4431B376" w14:textId="77777777" w:rsidR="0099547F" w:rsidRPr="00ED41F2" w:rsidRDefault="0099547F" w:rsidP="00D647F0">
      <w:pPr>
        <w:pStyle w:val="Heading3"/>
        <w:spacing w:before="320"/>
      </w:pPr>
      <w:r w:rsidRPr="00ED41F2">
        <w:t>4.2.6</w:t>
      </w:r>
      <w:r w:rsidRPr="00ED41F2">
        <w:tab/>
        <w:t>Source-specific planned improvements</w:t>
      </w:r>
    </w:p>
    <w:p w14:paraId="41BE8F55" w14:textId="77777777" w:rsidR="0099547F" w:rsidRPr="00ED41F2" w:rsidRDefault="0099547F" w:rsidP="0099547F">
      <w:pPr>
        <w:pStyle w:val="BodyText"/>
      </w:pPr>
      <w:r w:rsidRPr="00ED41F2">
        <w:t xml:space="preserve">The inventory agency has worked with the companies in the </w:t>
      </w:r>
      <w:r w:rsidRPr="00ED41F2">
        <w:rPr>
          <w:i/>
        </w:rPr>
        <w:t>Mineral industry</w:t>
      </w:r>
      <w:r w:rsidRPr="00ED41F2">
        <w:t xml:space="preserve"> category to improve transparency and confidence in the data provided. Concerns about the confidentiality of data provided by the cement and glass companies remain a barrier to improving transparency further. </w:t>
      </w:r>
    </w:p>
    <w:p w14:paraId="468D8513" w14:textId="77777777" w:rsidR="0099547F" w:rsidRPr="00ED41F2" w:rsidRDefault="0099547F" w:rsidP="00D647F0">
      <w:pPr>
        <w:pStyle w:val="Heading2"/>
        <w:spacing w:before="320"/>
      </w:pPr>
      <w:bookmarkStart w:id="460" w:name="_Toc448321514"/>
      <w:bookmarkStart w:id="461" w:name="_Toc5269353"/>
      <w:bookmarkStart w:id="462" w:name="_Toc36224393"/>
      <w:bookmarkStart w:id="463" w:name="_Toc68786313"/>
      <w:bookmarkStart w:id="464" w:name="_Toc99659120"/>
      <w:r w:rsidRPr="00ED41F2">
        <w:t>4.3</w:t>
      </w:r>
      <w:r w:rsidRPr="00ED41F2">
        <w:tab/>
        <w:t>Chemical industry (2.B)</w:t>
      </w:r>
      <w:bookmarkEnd w:id="460"/>
      <w:bookmarkEnd w:id="461"/>
      <w:bookmarkEnd w:id="462"/>
      <w:bookmarkEnd w:id="463"/>
      <w:bookmarkEnd w:id="464"/>
    </w:p>
    <w:p w14:paraId="3E36F189" w14:textId="77777777" w:rsidR="0099547F" w:rsidRPr="00ED41F2" w:rsidRDefault="0099547F" w:rsidP="00D647F0">
      <w:pPr>
        <w:pStyle w:val="Heading3"/>
        <w:spacing w:before="240"/>
      </w:pPr>
      <w:r w:rsidRPr="00ED41F2">
        <w:t>4.3.1</w:t>
      </w:r>
      <w:r w:rsidRPr="00ED41F2">
        <w:tab/>
        <w:t>Description</w:t>
      </w:r>
    </w:p>
    <w:p w14:paraId="5CDCE11F" w14:textId="77777777" w:rsidR="0099547F" w:rsidRPr="00ED41F2" w:rsidRDefault="0099547F" w:rsidP="0099547F">
      <w:pPr>
        <w:pStyle w:val="BodyText"/>
      </w:pPr>
      <w:r w:rsidRPr="00ED41F2">
        <w:t>The significant chemical processes occurring in New Zealand are the production of urea, methanol, superphosphate fertiliser, hydrogen peroxide, formaldehyde and ethanol. In addition, a substantial amount of hydrogen is made at the Marsden Point oil refinery, and CO</w:t>
      </w:r>
      <w:r w:rsidRPr="00ED41F2">
        <w:rPr>
          <w:vertAlign w:val="subscript"/>
        </w:rPr>
        <w:t>2</w:t>
      </w:r>
      <w:r w:rsidRPr="00ED41F2">
        <w:t xml:space="preserve"> emissions from this process are reported in the </w:t>
      </w:r>
      <w:r w:rsidRPr="00ED41F2">
        <w:rPr>
          <w:i/>
        </w:rPr>
        <w:t>Chemical industry</w:t>
      </w:r>
      <w:r w:rsidRPr="00ED41F2">
        <w:t xml:space="preserve"> category. No other relevant chemical products (such as nitric acid, adipic acid or ethylene) are produced in New Zealand. </w:t>
      </w:r>
    </w:p>
    <w:p w14:paraId="20B53FA0" w14:textId="77777777" w:rsidR="0099547F" w:rsidRPr="00ED41F2" w:rsidRDefault="0099547F" w:rsidP="0099547F">
      <w:pPr>
        <w:pStyle w:val="BodyText"/>
      </w:pPr>
      <w:r w:rsidRPr="00ED41F2">
        <w:t>Ammonia is made at one site in Taranaki by the catalytic steam reforming of natural gas. The</w:t>
      </w:r>
      <w:r>
        <w:t xml:space="preserve"> </w:t>
      </w:r>
      <w:r w:rsidRPr="00ED41F2">
        <w:t>ammonia produced is further processed into urea. Emissions of CO</w:t>
      </w:r>
      <w:r w:rsidRPr="00ED41F2">
        <w:rPr>
          <w:vertAlign w:val="subscript"/>
        </w:rPr>
        <w:t>2</w:t>
      </w:r>
      <w:r w:rsidRPr="00ED41F2">
        <w:t xml:space="preserve"> arise from the fraction of process CO</w:t>
      </w:r>
      <w:r w:rsidRPr="00ED41F2">
        <w:rPr>
          <w:vertAlign w:val="subscript"/>
        </w:rPr>
        <w:t>2</w:t>
      </w:r>
      <w:r w:rsidRPr="00ED41F2">
        <w:t xml:space="preserve"> that is not recovered for urea production. Nearly all of the urea product is used</w:t>
      </w:r>
      <w:r>
        <w:t xml:space="preserve"> </w:t>
      </w:r>
      <w:r w:rsidRPr="00ED41F2">
        <w:t>as</w:t>
      </w:r>
      <w:r>
        <w:t> </w:t>
      </w:r>
      <w:r w:rsidRPr="00ED41F2">
        <w:t>a fertiliser in New Zealand. The emissions associated with agricultural use of urea (both manufactured in New Zealand and imported) are reported under the Agriculture sector</w:t>
      </w:r>
      <w:r>
        <w:t xml:space="preserve"> </w:t>
      </w:r>
      <w:r w:rsidRPr="002F13A7">
        <w:rPr>
          <w:spacing w:val="-2"/>
        </w:rPr>
        <w:t>(CRF 3.H). A small amount of urea is also used for catalytic reduction of diesel exhaust emissions.</w:t>
      </w:r>
      <w:r w:rsidRPr="00ED41F2">
        <w:t xml:space="preserve"> The emissions of CO</w:t>
      </w:r>
      <w:r w:rsidRPr="00ED41F2">
        <w:rPr>
          <w:vertAlign w:val="subscript"/>
        </w:rPr>
        <w:t>2</w:t>
      </w:r>
      <w:r w:rsidRPr="00ED41F2">
        <w:t xml:space="preserve"> from this use of urea are reported in the </w:t>
      </w:r>
      <w:r w:rsidRPr="00ED41F2">
        <w:rPr>
          <w:i/>
        </w:rPr>
        <w:t xml:space="preserve">Non-energy products from fuels and solvent use </w:t>
      </w:r>
      <w:r w:rsidRPr="00ED41F2">
        <w:t xml:space="preserve">category (CRF 2.D.3). </w:t>
      </w:r>
    </w:p>
    <w:p w14:paraId="64569D09" w14:textId="77777777" w:rsidR="0099547F" w:rsidRPr="00ED41F2" w:rsidRDefault="0099547F" w:rsidP="0099547F">
      <w:pPr>
        <w:pStyle w:val="BodyText"/>
      </w:pPr>
      <w:r w:rsidRPr="00ED41F2">
        <w:t xml:space="preserve">Methane emissions are reported from the production of methanol, which is made from natural gas feedstock at two sites in Taranaki. From 1990 to 1997, a large proportion of the methanol made in New Zealand was processed into synthetic gasoline for transport use. All emissions associated with the production of gasoline, including the synthetic gasoline produced from 1990 to 1997, are reported under the Energy sector (chapter 3, sections 3.2 and 3.3). </w:t>
      </w:r>
      <w:r w:rsidRPr="00ED41F2">
        <w:lastRenderedPageBreak/>
        <w:t xml:space="preserve">From 1998 on, all methanol made in New Zealand has been chemical methanol for export, and therefore all process emissions from the methanol plants have been reported under the IPPU sector. </w:t>
      </w:r>
    </w:p>
    <w:p w14:paraId="69D36026" w14:textId="77777777" w:rsidR="0099547F" w:rsidRPr="00ED41F2" w:rsidRDefault="0099547F" w:rsidP="0099547F">
      <w:pPr>
        <w:pStyle w:val="BodyText"/>
      </w:pPr>
      <w:r w:rsidRPr="00ED41F2">
        <w:t>A small amount of CO</w:t>
      </w:r>
      <w:r w:rsidRPr="00ED41F2">
        <w:rPr>
          <w:vertAlign w:val="subscript"/>
        </w:rPr>
        <w:t>2</w:t>
      </w:r>
      <w:r w:rsidRPr="00ED41F2">
        <w:t xml:space="preserve"> is reported from the use of imported calcium carbide, which is used to produce acetylene for welding. No carbides are manufactured in New Zealand. </w:t>
      </w:r>
    </w:p>
    <w:p w14:paraId="6D1C71A3" w14:textId="77777777" w:rsidR="0099547F" w:rsidRPr="00ED41F2" w:rsidRDefault="0099547F" w:rsidP="0099547F">
      <w:pPr>
        <w:pStyle w:val="BodyText"/>
      </w:pPr>
      <w:r w:rsidRPr="00ED41F2">
        <w:t>Some indirect emissions (oxides of nitrogen (NO</w:t>
      </w:r>
      <w:r w:rsidRPr="00ED41F2">
        <w:rPr>
          <w:vertAlign w:val="subscript"/>
        </w:rPr>
        <w:t>x</w:t>
      </w:r>
      <w:r w:rsidRPr="00ED41F2">
        <w:t>), carbon monoxide (CO), non-methane volatile organic compounds (NMVOCs) and SO</w:t>
      </w:r>
      <w:r w:rsidRPr="00ED41F2">
        <w:rPr>
          <w:vertAlign w:val="subscript"/>
        </w:rPr>
        <w:t>2</w:t>
      </w:r>
      <w:r w:rsidRPr="00ED41F2">
        <w:t xml:space="preserve">) are reported from methanol, formaldehyde, ethanol and superphosphate fertiliser production. </w:t>
      </w:r>
    </w:p>
    <w:p w14:paraId="77406044" w14:textId="77777777" w:rsidR="0099547F" w:rsidRPr="00ED41F2" w:rsidRDefault="0099547F" w:rsidP="0099547F">
      <w:pPr>
        <w:pStyle w:val="BodyText"/>
      </w:pPr>
      <w:r w:rsidRPr="00ED41F2">
        <w:t xml:space="preserve">Emissions from the </w:t>
      </w:r>
      <w:r w:rsidRPr="00ED41F2">
        <w:rPr>
          <w:i/>
        </w:rPr>
        <w:t>Chemical industry</w:t>
      </w:r>
      <w:r w:rsidRPr="00ED41F2">
        <w:t xml:space="preserve"> category in 2020 were 250.5 kt CO</w:t>
      </w:r>
      <w:r w:rsidRPr="00ED41F2">
        <w:rPr>
          <w:vertAlign w:val="subscript"/>
        </w:rPr>
        <w:t>2</w:t>
      </w:r>
      <w:r w:rsidRPr="00ED41F2">
        <w:t>-e (5.4 per cent) of emissions from the IPPU sector. This is 47.5 kt CO</w:t>
      </w:r>
      <w:r w:rsidRPr="00ED41F2">
        <w:rPr>
          <w:vertAlign w:val="subscript"/>
        </w:rPr>
        <w:t>2</w:t>
      </w:r>
      <w:r w:rsidRPr="00ED41F2">
        <w:t>-e (23.4 per cent) above the 1990 level. The increase has been driven by increasing production of ammonia and methanol, and increasing demand for transport fuels, which has increased the demand for hydrogen as an intermediate in oil refining. However, emissions in 2015 were 389.0 kt CO</w:t>
      </w:r>
      <w:r w:rsidRPr="00ED41F2">
        <w:rPr>
          <w:vertAlign w:val="subscript"/>
        </w:rPr>
        <w:t>2</w:t>
      </w:r>
      <w:r w:rsidRPr="00ED41F2">
        <w:t xml:space="preserve">-e. Emissions have decreased since 2016 due to lower rates of production for hydrogen and urea, with a further decrease in 2020 due to COVID-19 restrictions, which reduced refinery outputs. </w:t>
      </w:r>
    </w:p>
    <w:p w14:paraId="7BB9F9D3" w14:textId="77777777" w:rsidR="0099547F" w:rsidRPr="00ED41F2" w:rsidRDefault="0099547F" w:rsidP="0099547F">
      <w:pPr>
        <w:pStyle w:val="BodyText"/>
      </w:pPr>
      <w:r w:rsidRPr="00ED41F2">
        <w:t xml:space="preserve">There are no key categories in the </w:t>
      </w:r>
      <w:r w:rsidRPr="00ED41F2">
        <w:rPr>
          <w:i/>
        </w:rPr>
        <w:t>Chemical industry</w:t>
      </w:r>
      <w:r w:rsidRPr="00ED41F2">
        <w:t xml:space="preserve"> category. </w:t>
      </w:r>
    </w:p>
    <w:p w14:paraId="28B20DDD" w14:textId="77777777" w:rsidR="0099547F" w:rsidRPr="00ED41F2" w:rsidRDefault="0099547F" w:rsidP="0099547F">
      <w:pPr>
        <w:pStyle w:val="Heading3"/>
        <w:spacing w:before="280"/>
      </w:pPr>
      <w:r w:rsidRPr="00ED41F2">
        <w:t xml:space="preserve">4.3.2 </w:t>
      </w:r>
      <w:r w:rsidRPr="00ED41F2">
        <w:tab/>
        <w:t>Methodological issues</w:t>
      </w:r>
    </w:p>
    <w:p w14:paraId="51CA94A7" w14:textId="77777777" w:rsidR="0099547F" w:rsidRPr="00ED41F2" w:rsidRDefault="0099547F" w:rsidP="00CF3E69">
      <w:pPr>
        <w:pStyle w:val="Heading4"/>
        <w:rPr>
          <w:bCs/>
          <w:iCs/>
        </w:rPr>
      </w:pPr>
      <w:r w:rsidRPr="00ED41F2">
        <w:t>Choice of activity data</w:t>
      </w:r>
    </w:p>
    <w:p w14:paraId="63B59B70" w14:textId="77777777" w:rsidR="0099547F" w:rsidRPr="00ED41F2" w:rsidRDefault="0099547F" w:rsidP="0099547F">
      <w:pPr>
        <w:pStyle w:val="Heading5"/>
        <w:spacing w:before="160"/>
      </w:pPr>
      <w:r w:rsidRPr="00ED41F2">
        <w:t>Ammonia and urea (2.B.1)</w:t>
      </w:r>
    </w:p>
    <w:p w14:paraId="4919108C" w14:textId="77777777" w:rsidR="0099547F" w:rsidRPr="00ED41F2" w:rsidRDefault="0099547F" w:rsidP="0099547F">
      <w:pPr>
        <w:pStyle w:val="BodyText"/>
        <w:spacing w:before="100"/>
      </w:pPr>
      <w:r w:rsidRPr="00ED41F2">
        <w:t>Data on the production of urea are supplied to MBIE by Ballance Agri-Nutrients Limited, which operates the ammonia–urea production plant. The activity data reported are the production of ammonia, which is back-estimated from the amount of urea produced on the basis of a site</w:t>
      </w:r>
      <w:r w:rsidRPr="00ED41F2">
        <w:noBreakHyphen/>
        <w:t xml:space="preserve">specific conversion factor that reflects the actual rate of conversion of ammonia to urea achieved in this plant. </w:t>
      </w:r>
    </w:p>
    <w:p w14:paraId="619CA42C" w14:textId="77777777" w:rsidR="0099547F" w:rsidRPr="00ED41F2" w:rsidRDefault="0099547F" w:rsidP="0099547F">
      <w:pPr>
        <w:pStyle w:val="Heading5"/>
        <w:spacing w:before="200"/>
      </w:pPr>
      <w:r w:rsidRPr="00ED41F2">
        <w:t>Calcium carbide (2.B.5.b)</w:t>
      </w:r>
    </w:p>
    <w:p w14:paraId="5153199B" w14:textId="77777777" w:rsidR="0099547F" w:rsidRPr="00ED41F2" w:rsidRDefault="0099547F" w:rsidP="0099547F">
      <w:pPr>
        <w:pStyle w:val="BodyText"/>
      </w:pPr>
      <w:r w:rsidRPr="00ED41F2">
        <w:t xml:space="preserve">A small amount of calcium carbide is imported to New Zealand and used to produce acetylene gas for welding. The approximate amount of calcium carbide imported is used as activity data. </w:t>
      </w:r>
    </w:p>
    <w:p w14:paraId="7C0A1F2E" w14:textId="77777777" w:rsidR="0099547F" w:rsidRPr="00ED41F2" w:rsidRDefault="0099547F" w:rsidP="0099547F">
      <w:pPr>
        <w:pStyle w:val="Heading5"/>
        <w:spacing w:before="200"/>
      </w:pPr>
      <w:r w:rsidRPr="00ED41F2">
        <w:t>Methanol (2.B.8.a)</w:t>
      </w:r>
    </w:p>
    <w:p w14:paraId="2B5B19AE" w14:textId="77777777" w:rsidR="0099547F" w:rsidRPr="00ED41F2" w:rsidRDefault="0099547F" w:rsidP="0099547F">
      <w:pPr>
        <w:pStyle w:val="BodyText"/>
      </w:pPr>
      <w:r w:rsidRPr="00ED41F2">
        <w:t xml:space="preserve">Data on methanol production (chemical methanol produced for export) are supplied to MBIE by Methanex, which operates the two methanol plants. </w:t>
      </w:r>
    </w:p>
    <w:p w14:paraId="60F4E653" w14:textId="77777777" w:rsidR="0099547F" w:rsidRPr="00ED41F2" w:rsidRDefault="0099547F" w:rsidP="0099547F">
      <w:pPr>
        <w:pStyle w:val="Heading5"/>
        <w:spacing w:before="200"/>
      </w:pPr>
      <w:r w:rsidRPr="00ED41F2">
        <w:t>Hydrogen (2.B.10)</w:t>
      </w:r>
    </w:p>
    <w:p w14:paraId="2E34EE3F" w14:textId="77777777" w:rsidR="0099547F" w:rsidRPr="00ED41F2" w:rsidRDefault="0099547F" w:rsidP="0099547F">
      <w:pPr>
        <w:pStyle w:val="BodyText"/>
      </w:pPr>
      <w:r w:rsidRPr="00ED41F2">
        <w:t>Most of the hydrogen produced in New Zealand is made by Refining New Zealand Ltd at the Marsden Point oil refinery. Another company, Evonik Limited, produces a small amount of hydrogen, which is converted to hydrogen peroxide. In both cases, the hydrogen is produced from CH</w:t>
      </w:r>
      <w:r w:rsidRPr="00ED41F2">
        <w:rPr>
          <w:vertAlign w:val="subscript"/>
        </w:rPr>
        <w:t>4</w:t>
      </w:r>
      <w:r w:rsidRPr="00ED41F2">
        <w:t xml:space="preserve"> (from refinery gas and natural gas) and steam. Carbon dioxide is a by-product of the reaction and is vented to the atmosphere. </w:t>
      </w:r>
    </w:p>
    <w:p w14:paraId="3FA4B689" w14:textId="77777777" w:rsidR="0099547F" w:rsidRPr="00ED41F2" w:rsidRDefault="0099547F" w:rsidP="0099547F">
      <w:pPr>
        <w:pStyle w:val="BodyText"/>
      </w:pPr>
      <w:r w:rsidRPr="00ED41F2">
        <w:t xml:space="preserve">The activity data reported are the amounts of hydrogen produced, as reported to MBIE by the plant operators. </w:t>
      </w:r>
    </w:p>
    <w:p w14:paraId="2CFB82D5" w14:textId="77777777" w:rsidR="0099547F" w:rsidRPr="00ED41F2" w:rsidRDefault="0099547F" w:rsidP="0099547F">
      <w:pPr>
        <w:pStyle w:val="Heading5"/>
        <w:spacing w:before="160"/>
      </w:pPr>
      <w:r w:rsidRPr="00ED41F2">
        <w:lastRenderedPageBreak/>
        <w:t xml:space="preserve">Fertiliser, formaldehyde and ethanol (2.B.10) </w:t>
      </w:r>
    </w:p>
    <w:p w14:paraId="47D6EFC8" w14:textId="77777777" w:rsidR="0099547F" w:rsidRPr="00ED41F2" w:rsidRDefault="0099547F" w:rsidP="0099547F">
      <w:pPr>
        <w:pStyle w:val="BodyText"/>
        <w:spacing w:before="100" w:after="100"/>
      </w:pPr>
      <w:r w:rsidRPr="00ED41F2">
        <w:t>Some indirect emissions (SO</w:t>
      </w:r>
      <w:r w:rsidRPr="00ED41F2">
        <w:rPr>
          <w:vertAlign w:val="subscript"/>
        </w:rPr>
        <w:t>2</w:t>
      </w:r>
      <w:r w:rsidRPr="00ED41F2">
        <w:t xml:space="preserve"> and NMVOCs) are also reported from the production of ethanol for purposes other than food and drink, superphosphate fertiliser and formaldehyde. </w:t>
      </w:r>
    </w:p>
    <w:p w14:paraId="1BB9B3A9" w14:textId="77777777" w:rsidR="0099547F" w:rsidRPr="00ED41F2" w:rsidRDefault="0099547F" w:rsidP="00CF3E69">
      <w:pPr>
        <w:pStyle w:val="Heading4"/>
        <w:rPr>
          <w:bCs/>
          <w:iCs/>
        </w:rPr>
      </w:pPr>
      <w:r w:rsidRPr="00ED41F2">
        <w:t>Choice of methods</w:t>
      </w:r>
    </w:p>
    <w:p w14:paraId="3E2E125E" w14:textId="77777777" w:rsidR="0099547F" w:rsidRPr="00ED41F2" w:rsidRDefault="0099547F" w:rsidP="0099547F">
      <w:pPr>
        <w:pStyle w:val="Heading5"/>
        <w:spacing w:before="120"/>
      </w:pPr>
      <w:r w:rsidRPr="00ED41F2">
        <w:t>Ammonia and urea (2.B.1)</w:t>
      </w:r>
    </w:p>
    <w:p w14:paraId="08836DED" w14:textId="77777777" w:rsidR="0099547F" w:rsidRPr="00ED41F2" w:rsidRDefault="0099547F" w:rsidP="0099547F">
      <w:pPr>
        <w:pStyle w:val="BodyText"/>
        <w:spacing w:before="100" w:after="100"/>
      </w:pPr>
      <w:r w:rsidRPr="00ED41F2">
        <w:t>The CO</w:t>
      </w:r>
      <w:r w:rsidRPr="00ED41F2">
        <w:rPr>
          <w:vertAlign w:val="subscript"/>
        </w:rPr>
        <w:t>2</w:t>
      </w:r>
      <w:r w:rsidRPr="00ED41F2">
        <w:t xml:space="preserve"> emissions are estimated from a Tier 2 carbon balance, based on the feedstock gas used. The emissions are derived from all carbon in the feedstock gas used, less carbon recovered for urea production and remaining in the urea product (IPCC, 2006a). Note that only gas used as feedstock is included in this calculation. Gas used for combustion is reported under the Energy sector in the </w:t>
      </w:r>
      <w:r w:rsidRPr="00ED41F2">
        <w:rPr>
          <w:i/>
        </w:rPr>
        <w:t>Manufacturing industries and construction</w:t>
      </w:r>
      <w:r w:rsidRPr="00ED41F2">
        <w:t xml:space="preserve"> category (CRF 1.A.2). </w:t>
      </w:r>
    </w:p>
    <w:p w14:paraId="351CE568" w14:textId="77777777" w:rsidR="0099547F" w:rsidRPr="00ED41F2" w:rsidRDefault="0099547F" w:rsidP="0099547F">
      <w:pPr>
        <w:pStyle w:val="Heading5"/>
        <w:spacing w:before="160"/>
      </w:pPr>
      <w:r w:rsidRPr="00ED41F2">
        <w:t>Calcium carbide (2.B.5.b)</w:t>
      </w:r>
    </w:p>
    <w:p w14:paraId="3099851F" w14:textId="77777777" w:rsidR="0099547F" w:rsidRPr="00ED41F2" w:rsidRDefault="0099547F" w:rsidP="0099547F">
      <w:pPr>
        <w:pStyle w:val="BodyText"/>
      </w:pPr>
      <w:r w:rsidRPr="00ED41F2">
        <w:t xml:space="preserve">The Tier 1 method is used. </w:t>
      </w:r>
    </w:p>
    <w:p w14:paraId="0C94D4E6" w14:textId="77777777" w:rsidR="0099547F" w:rsidRPr="00ED41F2" w:rsidRDefault="0099547F" w:rsidP="0099547F">
      <w:pPr>
        <w:pStyle w:val="Heading5"/>
        <w:spacing w:before="160"/>
      </w:pPr>
      <w:r w:rsidRPr="00ED41F2">
        <w:t>Methanol (2.B.8 and 2.B.8.a)</w:t>
      </w:r>
    </w:p>
    <w:p w14:paraId="44B83ED7" w14:textId="77777777" w:rsidR="0099547F" w:rsidRPr="00ED41F2" w:rsidRDefault="0099547F" w:rsidP="0099547F">
      <w:pPr>
        <w:pStyle w:val="BodyText"/>
        <w:spacing w:before="100" w:after="100"/>
      </w:pPr>
      <w:r w:rsidRPr="00ED41F2">
        <w:t>Data on the natural gas used for methanol production are also supplied to MBIE by the plant operators. However, the available data on gas supplied to the methanol plants do not allow for any separate feedstock to be clearly distinguished from gas used for combustion. Also, close to 100 per cent of the carbon in feedstock gas is converted to methanol. Therefore, no significant CO</w:t>
      </w:r>
      <w:r w:rsidRPr="00ED41F2">
        <w:rPr>
          <w:vertAlign w:val="subscript"/>
        </w:rPr>
        <w:t>2</w:t>
      </w:r>
      <w:r w:rsidRPr="00ED41F2">
        <w:t xml:space="preserve"> emissions can be clearly related to the process. The 2006 IPCC Guidelines do not provide a method for estimation of any CO</w:t>
      </w:r>
      <w:r w:rsidRPr="00ED41F2">
        <w:rPr>
          <w:vertAlign w:val="subscript"/>
        </w:rPr>
        <w:t>2</w:t>
      </w:r>
      <w:r w:rsidRPr="00ED41F2">
        <w:t xml:space="preserve"> emissions from this process (IPCC, 2006a). Any small amount of process CO</w:t>
      </w:r>
      <w:r w:rsidRPr="00ED41F2">
        <w:rPr>
          <w:vertAlign w:val="subscript"/>
        </w:rPr>
        <w:t>2</w:t>
      </w:r>
      <w:r w:rsidRPr="00ED41F2">
        <w:t xml:space="preserve"> emissions from the methanol production process is included under the Energy sector (1.A.2), along with the much larger amount of combustion-related emissions from the methanol plants. </w:t>
      </w:r>
    </w:p>
    <w:p w14:paraId="6B4F9C4A" w14:textId="77777777" w:rsidR="0099547F" w:rsidRPr="00ED41F2" w:rsidRDefault="0099547F" w:rsidP="0099547F">
      <w:pPr>
        <w:pStyle w:val="BodyText"/>
        <w:spacing w:before="100" w:after="100"/>
      </w:pPr>
      <w:r w:rsidRPr="00ED41F2">
        <w:t>Fugitive CH</w:t>
      </w:r>
      <w:r w:rsidRPr="00ED41F2">
        <w:rPr>
          <w:vertAlign w:val="subscript"/>
        </w:rPr>
        <w:t>4</w:t>
      </w:r>
      <w:r w:rsidRPr="00ED41F2">
        <w:t xml:space="preserve"> from the methanol manufacturing process is estimated using the Tier 1 method. Emissions of NO</w:t>
      </w:r>
      <w:r w:rsidRPr="00ED41F2">
        <w:rPr>
          <w:vertAlign w:val="subscript"/>
        </w:rPr>
        <w:t>x</w:t>
      </w:r>
      <w:r w:rsidRPr="00ED41F2">
        <w:t xml:space="preserve">, CO and NMVOC are also reported. </w:t>
      </w:r>
    </w:p>
    <w:p w14:paraId="682BA915" w14:textId="77777777" w:rsidR="0099547F" w:rsidRPr="00ED41F2" w:rsidRDefault="0099547F" w:rsidP="0099547F">
      <w:pPr>
        <w:pStyle w:val="Heading5"/>
        <w:spacing w:before="160"/>
      </w:pPr>
      <w:r w:rsidRPr="00ED41F2">
        <w:t>Hydrogen (2.B.10)</w:t>
      </w:r>
    </w:p>
    <w:p w14:paraId="6E02818A" w14:textId="77777777" w:rsidR="0099547F" w:rsidRPr="00ED41F2" w:rsidRDefault="0099547F" w:rsidP="0099547F">
      <w:pPr>
        <w:pStyle w:val="BodyText"/>
        <w:spacing w:before="100" w:after="100"/>
      </w:pPr>
      <w:r w:rsidRPr="00ED41F2">
        <w:t>Emissions of CO</w:t>
      </w:r>
      <w:r w:rsidRPr="00ED41F2">
        <w:rPr>
          <w:vertAlign w:val="subscript"/>
        </w:rPr>
        <w:t>2</w:t>
      </w:r>
      <w:r w:rsidRPr="00ED41F2">
        <w:t xml:space="preserve"> from hydrogen production are calculated using the Tier 2 methodology, based on feedstock composition (IPCC, 2006a). The required data are supplied directly to MBIE by the two production companies. </w:t>
      </w:r>
    </w:p>
    <w:p w14:paraId="71306F16" w14:textId="77777777" w:rsidR="0099547F" w:rsidRPr="00ED41F2" w:rsidRDefault="0099547F" w:rsidP="00CF3E69">
      <w:pPr>
        <w:pStyle w:val="Heading4"/>
      </w:pPr>
      <w:r w:rsidRPr="00ED41F2">
        <w:t>Choice of emission factors</w:t>
      </w:r>
    </w:p>
    <w:p w14:paraId="6A2284D1" w14:textId="77777777" w:rsidR="0099547F" w:rsidRPr="00ED41F2" w:rsidRDefault="0099547F" w:rsidP="0099547F">
      <w:pPr>
        <w:pStyle w:val="Heading5"/>
        <w:spacing w:before="120"/>
      </w:pPr>
      <w:r w:rsidRPr="00ED41F2">
        <w:t>Carbon dioxide and methane</w:t>
      </w:r>
    </w:p>
    <w:p w14:paraId="494E406F" w14:textId="77777777" w:rsidR="0099547F" w:rsidRPr="00ED41F2" w:rsidRDefault="0099547F" w:rsidP="0099547F">
      <w:pPr>
        <w:pStyle w:val="BodyText"/>
        <w:spacing w:before="80" w:after="100"/>
      </w:pPr>
      <w:r w:rsidRPr="00ED41F2">
        <w:t>For ammonia production, the carbon content of each type of natural gas (up to three types taken from different natural gas fields, and mixed pipeline gas) used as feedstock determines country-specific CO</w:t>
      </w:r>
      <w:r w:rsidRPr="00ED41F2">
        <w:rPr>
          <w:vertAlign w:val="subscript"/>
        </w:rPr>
        <w:t>2</w:t>
      </w:r>
      <w:r w:rsidRPr="00ED41F2">
        <w:t xml:space="preserve"> emission factors. </w:t>
      </w:r>
    </w:p>
    <w:p w14:paraId="5A0ABB7D" w14:textId="77777777" w:rsidR="0099547F" w:rsidRPr="00ED41F2" w:rsidRDefault="0099547F" w:rsidP="0099547F">
      <w:pPr>
        <w:pStyle w:val="BodyText"/>
        <w:spacing w:before="100" w:after="100"/>
        <w:rPr>
          <w:spacing w:val="-2"/>
        </w:rPr>
      </w:pPr>
      <w:r w:rsidRPr="00ED41F2">
        <w:rPr>
          <w:spacing w:val="-2"/>
        </w:rPr>
        <w:t>In some years, these emission factors are higher than Tier 1 default emission factors, due to the use of untreated high-CO</w:t>
      </w:r>
      <w:r w:rsidRPr="00ED41F2">
        <w:rPr>
          <w:spacing w:val="-2"/>
          <w:vertAlign w:val="subscript"/>
        </w:rPr>
        <w:t>2</w:t>
      </w:r>
      <w:r w:rsidRPr="00ED41F2">
        <w:rPr>
          <w:spacing w:val="-2"/>
        </w:rPr>
        <w:t xml:space="preserve"> gas from the Kapuni field as part of the feedstock at this plant. This gas has a carbon content factor (CCF</w:t>
      </w:r>
      <w:r w:rsidRPr="00ED41F2">
        <w:rPr>
          <w:spacing w:val="-2"/>
          <w:vertAlign w:val="subscript"/>
        </w:rPr>
        <w:t>i</w:t>
      </w:r>
      <w:r w:rsidRPr="00ED41F2">
        <w:rPr>
          <w:spacing w:val="-2"/>
        </w:rPr>
        <w:t xml:space="preserve">) of approximately 22.5 kilograms per gigajoule in comparison with the default of 15.3 kilograms per gigajoule. Kapuni gas has not been used in the years 2015 to 2020. </w:t>
      </w:r>
    </w:p>
    <w:p w14:paraId="68C78A17" w14:textId="77777777" w:rsidR="0099547F" w:rsidRPr="00ED41F2" w:rsidRDefault="0099547F" w:rsidP="0099547F">
      <w:pPr>
        <w:pStyle w:val="BodyText"/>
        <w:rPr>
          <w:spacing w:val="-2"/>
        </w:rPr>
      </w:pPr>
      <w:r w:rsidRPr="00ED41F2">
        <w:rPr>
          <w:spacing w:val="-2"/>
        </w:rPr>
        <w:t>For hydrogen production, site-specific (for refinery gas) and field-specific (for natural gas) emission factors are used to determine the CO</w:t>
      </w:r>
      <w:r w:rsidRPr="00ED41F2">
        <w:rPr>
          <w:spacing w:val="-2"/>
          <w:vertAlign w:val="subscript"/>
        </w:rPr>
        <w:t>2</w:t>
      </w:r>
      <w:r w:rsidRPr="00ED41F2">
        <w:rPr>
          <w:spacing w:val="-2"/>
        </w:rPr>
        <w:t xml:space="preserve"> emissions from the feedstock gas streams used. </w:t>
      </w:r>
    </w:p>
    <w:p w14:paraId="4A0992D6" w14:textId="77777777" w:rsidR="0099547F" w:rsidRPr="00ED41F2" w:rsidRDefault="0099547F" w:rsidP="0099547F">
      <w:pPr>
        <w:pStyle w:val="BodyText"/>
      </w:pPr>
      <w:r w:rsidRPr="00ED41F2">
        <w:lastRenderedPageBreak/>
        <w:t>IPCC default emission factors are used to estimate emissions of CH</w:t>
      </w:r>
      <w:r w:rsidRPr="00ED41F2">
        <w:rPr>
          <w:vertAlign w:val="subscript"/>
        </w:rPr>
        <w:t>4</w:t>
      </w:r>
      <w:r w:rsidRPr="00ED41F2">
        <w:t xml:space="preserve"> from methanol manufacture and CO</w:t>
      </w:r>
      <w:r w:rsidRPr="00ED41F2">
        <w:rPr>
          <w:vertAlign w:val="subscript"/>
        </w:rPr>
        <w:t>2</w:t>
      </w:r>
      <w:r w:rsidRPr="00ED41F2">
        <w:t xml:space="preserve"> from calcium carbide use (IPCC, 2006a). No other information on these emission sources is available. </w:t>
      </w:r>
    </w:p>
    <w:p w14:paraId="6C52E698" w14:textId="77777777" w:rsidR="0099547F" w:rsidRPr="00ED41F2" w:rsidRDefault="0099547F" w:rsidP="0099547F">
      <w:pPr>
        <w:pStyle w:val="Heading5"/>
        <w:spacing w:before="200"/>
      </w:pPr>
      <w:r w:rsidRPr="00ED41F2">
        <w:t>Indirect emissions</w:t>
      </w:r>
    </w:p>
    <w:p w14:paraId="436540AB" w14:textId="77777777" w:rsidR="0099547F" w:rsidRPr="00ED41F2" w:rsidRDefault="0099547F" w:rsidP="0099547F">
      <w:pPr>
        <w:pStyle w:val="BodyText"/>
        <w:spacing w:before="100" w:after="100"/>
      </w:pPr>
      <w:r w:rsidRPr="00ED41F2">
        <w:t>Indirect emissions of NO</w:t>
      </w:r>
      <w:r w:rsidRPr="00ED41F2">
        <w:rPr>
          <w:vertAlign w:val="subscript"/>
        </w:rPr>
        <w:t>x</w:t>
      </w:r>
      <w:r w:rsidRPr="00ED41F2">
        <w:t xml:space="preserve">, CO and NMVOC from methanol production are reported (2.B.8) with emission factors estimated by Methanex (CRL Energy, </w:t>
      </w:r>
      <w:r w:rsidRPr="00ED41F2">
        <w:rPr>
          <w:rFonts w:eastAsia="+mn-ea"/>
        </w:rPr>
        <w:t>unpublished(a)</w:t>
      </w:r>
      <w:r w:rsidRPr="00ED41F2">
        <w:t>). The emission factors for NO</w:t>
      </w:r>
      <w:r w:rsidRPr="00ED41F2">
        <w:rPr>
          <w:vertAlign w:val="subscript"/>
        </w:rPr>
        <w:t>x</w:t>
      </w:r>
      <w:r w:rsidRPr="00ED41F2">
        <w:t xml:space="preserve"> and CO were derived from site measurements, and the emission factor for NMVOC is based on American Petroleum Institute methods for estimating vapour emissions from storage tanks. </w:t>
      </w:r>
    </w:p>
    <w:p w14:paraId="1E6EA5E2" w14:textId="77777777" w:rsidR="0099547F" w:rsidRPr="00ED41F2" w:rsidRDefault="0099547F" w:rsidP="0099547F">
      <w:pPr>
        <w:pStyle w:val="BodyText"/>
        <w:spacing w:before="100" w:after="100"/>
      </w:pPr>
      <w:r w:rsidRPr="00ED41F2">
        <w:t xml:space="preserve">Some indirect greenhouse gas emissions are also reported for superphosphate fertiliser, formaldehyde and ethanol production (2.B.10). The emission factors used are country-specific (CRL Energy </w:t>
      </w:r>
      <w:r w:rsidRPr="00ED41F2">
        <w:rPr>
          <w:rFonts w:eastAsia="+mn-ea"/>
        </w:rPr>
        <w:t>unpublished(a)</w:t>
      </w:r>
      <w:r w:rsidRPr="00ED41F2">
        <w:t xml:space="preserve">) and are as shown in table 4.3.1. </w:t>
      </w:r>
    </w:p>
    <w:p w14:paraId="15DE86B4" w14:textId="77777777" w:rsidR="0099547F" w:rsidRPr="00ED41F2" w:rsidRDefault="0099547F" w:rsidP="0099547F">
      <w:pPr>
        <w:pStyle w:val="Table"/>
      </w:pPr>
      <w:bookmarkStart w:id="465" w:name="_Toc451176068"/>
      <w:bookmarkStart w:id="466" w:name="_Toc5269458"/>
      <w:bookmarkStart w:id="467" w:name="_Toc36224531"/>
      <w:bookmarkStart w:id="468" w:name="_Toc68786418"/>
      <w:bookmarkStart w:id="469" w:name="_Toc99659226"/>
      <w:r w:rsidRPr="00ED41F2">
        <w:t>Table 4.3.1</w:t>
      </w:r>
      <w:r w:rsidRPr="00ED41F2">
        <w:tab/>
        <w:t>Country-specific emission factors for indirect emissions</w:t>
      </w:r>
      <w:bookmarkEnd w:id="465"/>
      <w:bookmarkEnd w:id="466"/>
      <w:bookmarkEnd w:id="467"/>
      <w:bookmarkEnd w:id="468"/>
      <w:bookmarkEnd w:id="469"/>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959"/>
        <w:gridCol w:w="2224"/>
        <w:gridCol w:w="3322"/>
      </w:tblGrid>
      <w:tr w:rsidR="0099547F" w:rsidRPr="00ED41F2" w14:paraId="6A94BAD2" w14:textId="77777777" w:rsidTr="007E3239">
        <w:tc>
          <w:tcPr>
            <w:tcW w:w="2977" w:type="dxa"/>
            <w:shd w:val="clear" w:color="auto" w:fill="1B556B"/>
            <w:hideMark/>
          </w:tcPr>
          <w:p w14:paraId="14E25254" w14:textId="77777777" w:rsidR="0099547F" w:rsidRPr="00ED41F2" w:rsidRDefault="0099547F" w:rsidP="007E3239">
            <w:pPr>
              <w:pStyle w:val="TableTextBold"/>
              <w:spacing w:before="50" w:after="50"/>
              <w:rPr>
                <w:noProof w:val="0"/>
                <w:color w:val="FFFFFF"/>
              </w:rPr>
            </w:pPr>
            <w:r w:rsidRPr="00ED41F2">
              <w:rPr>
                <w:noProof w:val="0"/>
                <w:color w:val="FFFFFF"/>
              </w:rPr>
              <w:t>Activity</w:t>
            </w:r>
          </w:p>
        </w:tc>
        <w:tc>
          <w:tcPr>
            <w:tcW w:w="2239" w:type="dxa"/>
            <w:shd w:val="clear" w:color="auto" w:fill="1B556B"/>
            <w:hideMark/>
          </w:tcPr>
          <w:p w14:paraId="497D1710" w14:textId="77777777" w:rsidR="0099547F" w:rsidRPr="00ED41F2" w:rsidRDefault="0099547F" w:rsidP="007E3239">
            <w:pPr>
              <w:pStyle w:val="TableTextBold"/>
              <w:spacing w:before="50" w:after="50"/>
              <w:rPr>
                <w:noProof w:val="0"/>
                <w:color w:val="FFFFFF"/>
              </w:rPr>
            </w:pPr>
            <w:r w:rsidRPr="00ED41F2">
              <w:rPr>
                <w:noProof w:val="0"/>
                <w:color w:val="FFFFFF"/>
              </w:rPr>
              <w:t>Type of gas</w:t>
            </w:r>
          </w:p>
        </w:tc>
        <w:tc>
          <w:tcPr>
            <w:tcW w:w="3346" w:type="dxa"/>
            <w:shd w:val="clear" w:color="auto" w:fill="1B556B"/>
            <w:hideMark/>
          </w:tcPr>
          <w:p w14:paraId="5EEAA3A4" w14:textId="77777777" w:rsidR="0099547F" w:rsidRPr="00ED41F2" w:rsidRDefault="0099547F" w:rsidP="007E3239">
            <w:pPr>
              <w:pStyle w:val="TableTextBold"/>
              <w:spacing w:before="50" w:after="50"/>
              <w:rPr>
                <w:noProof w:val="0"/>
                <w:color w:val="FFFFFF"/>
              </w:rPr>
            </w:pPr>
            <w:r w:rsidRPr="00ED41F2">
              <w:rPr>
                <w:noProof w:val="0"/>
                <w:color w:val="FFFFFF"/>
              </w:rPr>
              <w:t>Emission factor</w:t>
            </w:r>
          </w:p>
        </w:tc>
      </w:tr>
      <w:tr w:rsidR="0099547F" w:rsidRPr="00ED41F2" w14:paraId="7A912261" w14:textId="77777777" w:rsidTr="007E3239">
        <w:tc>
          <w:tcPr>
            <w:tcW w:w="2977" w:type="dxa"/>
            <w:shd w:val="clear" w:color="auto" w:fill="FFFFFF"/>
            <w:hideMark/>
          </w:tcPr>
          <w:p w14:paraId="66CFE7DF" w14:textId="77777777" w:rsidR="0099547F" w:rsidRPr="00ED41F2" w:rsidRDefault="0099547F" w:rsidP="007E3239">
            <w:pPr>
              <w:pStyle w:val="TableText"/>
              <w:spacing w:before="50" w:after="50"/>
            </w:pPr>
            <w:r w:rsidRPr="00ED41F2">
              <w:t>Superphosphate fertiliser production</w:t>
            </w:r>
          </w:p>
        </w:tc>
        <w:tc>
          <w:tcPr>
            <w:tcW w:w="2239" w:type="dxa"/>
            <w:shd w:val="clear" w:color="auto" w:fill="FFFFFF"/>
            <w:hideMark/>
          </w:tcPr>
          <w:p w14:paraId="50FF5131" w14:textId="77777777" w:rsidR="0099547F" w:rsidRPr="00ED41F2" w:rsidRDefault="0099547F" w:rsidP="007E3239">
            <w:pPr>
              <w:pStyle w:val="TableText"/>
              <w:spacing w:before="50" w:after="50"/>
            </w:pPr>
            <w:r w:rsidRPr="00ED41F2">
              <w:t>SO</w:t>
            </w:r>
            <w:r w:rsidRPr="00ED41F2">
              <w:rPr>
                <w:vertAlign w:val="subscript"/>
              </w:rPr>
              <w:t>2</w:t>
            </w:r>
          </w:p>
        </w:tc>
        <w:tc>
          <w:tcPr>
            <w:tcW w:w="3346" w:type="dxa"/>
            <w:shd w:val="clear" w:color="auto" w:fill="FFFFFF"/>
            <w:hideMark/>
          </w:tcPr>
          <w:p w14:paraId="6DDAB651" w14:textId="77777777" w:rsidR="0099547F" w:rsidRPr="00ED41F2" w:rsidRDefault="0099547F" w:rsidP="007E3239">
            <w:pPr>
              <w:pStyle w:val="TableText"/>
              <w:spacing w:before="50" w:after="50"/>
            </w:pPr>
            <w:r w:rsidRPr="00ED41F2">
              <w:t>1.5 kg per tonne of H</w:t>
            </w:r>
            <w:r w:rsidRPr="00ED41F2">
              <w:rPr>
                <w:vertAlign w:val="subscript"/>
              </w:rPr>
              <w:t>2</w:t>
            </w:r>
            <w:r w:rsidRPr="00ED41F2">
              <w:t>SO</w:t>
            </w:r>
            <w:r w:rsidRPr="00ED41F2">
              <w:rPr>
                <w:vertAlign w:val="subscript"/>
              </w:rPr>
              <w:t>4</w:t>
            </w:r>
          </w:p>
        </w:tc>
      </w:tr>
      <w:tr w:rsidR="0099547F" w:rsidRPr="00ED41F2" w14:paraId="67D2E390" w14:textId="77777777" w:rsidTr="007E3239">
        <w:tc>
          <w:tcPr>
            <w:tcW w:w="2977" w:type="dxa"/>
            <w:shd w:val="clear" w:color="auto" w:fill="FFFFFF"/>
            <w:hideMark/>
          </w:tcPr>
          <w:p w14:paraId="2CE0E53E" w14:textId="77777777" w:rsidR="0099547F" w:rsidRPr="00ED41F2" w:rsidRDefault="0099547F" w:rsidP="007E3239">
            <w:pPr>
              <w:pStyle w:val="TableText"/>
              <w:spacing w:before="50" w:after="50"/>
            </w:pPr>
            <w:r w:rsidRPr="00ED41F2">
              <w:t xml:space="preserve">Formaldehyde production </w:t>
            </w:r>
          </w:p>
        </w:tc>
        <w:tc>
          <w:tcPr>
            <w:tcW w:w="2239" w:type="dxa"/>
            <w:shd w:val="clear" w:color="auto" w:fill="FFFFFF"/>
            <w:hideMark/>
          </w:tcPr>
          <w:p w14:paraId="4AC734B2" w14:textId="77777777" w:rsidR="0099547F" w:rsidRPr="00ED41F2" w:rsidRDefault="0099547F" w:rsidP="007E3239">
            <w:pPr>
              <w:pStyle w:val="TableText"/>
              <w:spacing w:before="50" w:after="50"/>
            </w:pPr>
            <w:r w:rsidRPr="00ED41F2">
              <w:t>NMVOCs</w:t>
            </w:r>
          </w:p>
        </w:tc>
        <w:tc>
          <w:tcPr>
            <w:tcW w:w="3346" w:type="dxa"/>
            <w:shd w:val="clear" w:color="auto" w:fill="FFFFFF"/>
            <w:hideMark/>
          </w:tcPr>
          <w:p w14:paraId="573D5AD8" w14:textId="77777777" w:rsidR="0099547F" w:rsidRPr="00ED41F2" w:rsidRDefault="0099547F" w:rsidP="007E3239">
            <w:pPr>
              <w:pStyle w:val="TableText"/>
              <w:spacing w:before="50" w:after="50"/>
            </w:pPr>
            <w:r w:rsidRPr="00ED41F2">
              <w:t>1.5 kg per tonne of formaldehyde</w:t>
            </w:r>
          </w:p>
        </w:tc>
      </w:tr>
      <w:tr w:rsidR="0099547F" w:rsidRPr="00ED41F2" w14:paraId="449FAAFC" w14:textId="77777777" w:rsidTr="007E3239">
        <w:tc>
          <w:tcPr>
            <w:tcW w:w="2977" w:type="dxa"/>
            <w:shd w:val="clear" w:color="auto" w:fill="FFFFFF"/>
            <w:hideMark/>
          </w:tcPr>
          <w:p w14:paraId="2070F603" w14:textId="77777777" w:rsidR="0099547F" w:rsidRPr="00ED41F2" w:rsidRDefault="0099547F" w:rsidP="007E3239">
            <w:pPr>
              <w:pStyle w:val="TableText"/>
              <w:spacing w:before="50" w:after="50"/>
            </w:pPr>
            <w:r w:rsidRPr="00ED41F2">
              <w:t>Ethanol production</w:t>
            </w:r>
          </w:p>
        </w:tc>
        <w:tc>
          <w:tcPr>
            <w:tcW w:w="2239" w:type="dxa"/>
            <w:shd w:val="clear" w:color="auto" w:fill="FFFFFF"/>
            <w:hideMark/>
          </w:tcPr>
          <w:p w14:paraId="289A9DBE" w14:textId="77777777" w:rsidR="0099547F" w:rsidRPr="00ED41F2" w:rsidRDefault="0099547F" w:rsidP="007E3239">
            <w:pPr>
              <w:pStyle w:val="TableText"/>
              <w:spacing w:before="50" w:after="50"/>
            </w:pPr>
            <w:r w:rsidRPr="00ED41F2">
              <w:t>NMVOCs</w:t>
            </w:r>
          </w:p>
        </w:tc>
        <w:tc>
          <w:tcPr>
            <w:tcW w:w="3346" w:type="dxa"/>
            <w:shd w:val="clear" w:color="auto" w:fill="FFFFFF"/>
            <w:hideMark/>
          </w:tcPr>
          <w:p w14:paraId="4EA254E5" w14:textId="77777777" w:rsidR="0099547F" w:rsidRPr="00ED41F2" w:rsidRDefault="0099547F" w:rsidP="007E3239">
            <w:pPr>
              <w:pStyle w:val="TableText"/>
              <w:spacing w:before="50" w:after="50"/>
            </w:pPr>
            <w:r w:rsidRPr="00ED41F2">
              <w:t>6 g NMVOC per litre of ethanol</w:t>
            </w:r>
          </w:p>
        </w:tc>
      </w:tr>
    </w:tbl>
    <w:p w14:paraId="3C6F5E90" w14:textId="77777777" w:rsidR="0099547F" w:rsidRPr="00ED41F2" w:rsidRDefault="0099547F" w:rsidP="0099547F">
      <w:pPr>
        <w:pStyle w:val="Heading3"/>
        <w:spacing w:before="400"/>
      </w:pPr>
      <w:r w:rsidRPr="00ED41F2">
        <w:t xml:space="preserve">4.3.3 </w:t>
      </w:r>
      <w:r w:rsidRPr="00ED41F2">
        <w:tab/>
        <w:t>Uncertainties and time-series consistency</w:t>
      </w:r>
    </w:p>
    <w:p w14:paraId="178B8C10" w14:textId="77777777" w:rsidR="0099547F" w:rsidRPr="00ED41F2" w:rsidRDefault="0099547F" w:rsidP="00CF3E69">
      <w:pPr>
        <w:pStyle w:val="Heading4"/>
        <w:rPr>
          <w:bCs/>
          <w:iCs/>
        </w:rPr>
      </w:pPr>
      <w:r w:rsidRPr="00ED41F2">
        <w:t>Uncertainties</w:t>
      </w:r>
    </w:p>
    <w:p w14:paraId="5F88FBCE" w14:textId="77777777" w:rsidR="0099547F" w:rsidRPr="00ED41F2" w:rsidRDefault="0099547F" w:rsidP="0099547F">
      <w:pPr>
        <w:pStyle w:val="BodyText"/>
      </w:pPr>
      <w:r w:rsidRPr="00ED41F2">
        <w:t>The IPCC default uncertainties have been used for CO</w:t>
      </w:r>
      <w:r w:rsidRPr="00ED41F2">
        <w:rPr>
          <w:vertAlign w:val="subscript"/>
        </w:rPr>
        <w:t>2</w:t>
      </w:r>
      <w:r w:rsidRPr="00ED41F2">
        <w:t xml:space="preserve"> and most non-CO</w:t>
      </w:r>
      <w:r w:rsidRPr="00ED41F2">
        <w:rPr>
          <w:vertAlign w:val="subscript"/>
        </w:rPr>
        <w:t>2</w:t>
      </w:r>
      <w:r w:rsidRPr="00ED41F2">
        <w:t xml:space="preserve"> emissions from this category, as shown in table 4.3.2. </w:t>
      </w:r>
    </w:p>
    <w:p w14:paraId="2530FE4E" w14:textId="77777777" w:rsidR="0099547F" w:rsidRPr="00ED41F2" w:rsidRDefault="0099547F" w:rsidP="0099547F">
      <w:pPr>
        <w:pStyle w:val="Table"/>
      </w:pPr>
      <w:bookmarkStart w:id="470" w:name="_Toc451176069"/>
      <w:bookmarkStart w:id="471" w:name="_Toc5269459"/>
      <w:bookmarkStart w:id="472" w:name="_Toc36224532"/>
      <w:bookmarkStart w:id="473" w:name="_Toc68786419"/>
      <w:bookmarkStart w:id="474" w:name="_Toc99659227"/>
      <w:r w:rsidRPr="00ED41F2">
        <w:t>Table 4.3.2</w:t>
      </w:r>
      <w:r w:rsidRPr="00ED41F2">
        <w:tab/>
        <w:t xml:space="preserve">Uncertainty in emissions from the </w:t>
      </w:r>
      <w:r w:rsidRPr="00ED41F2">
        <w:rPr>
          <w:i/>
        </w:rPr>
        <w:t>Chemical industry</w:t>
      </w:r>
      <w:r w:rsidRPr="00ED41F2">
        <w:t xml:space="preserve"> category</w:t>
      </w:r>
      <w:bookmarkEnd w:id="470"/>
      <w:bookmarkEnd w:id="471"/>
      <w:bookmarkEnd w:id="472"/>
      <w:bookmarkEnd w:id="473"/>
      <w:bookmarkEnd w:id="474"/>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475"/>
        <w:gridCol w:w="2929"/>
        <w:gridCol w:w="3101"/>
      </w:tblGrid>
      <w:tr w:rsidR="0099547F" w:rsidRPr="00ED41F2" w14:paraId="00561F87" w14:textId="77777777" w:rsidTr="007E3239">
        <w:tc>
          <w:tcPr>
            <w:tcW w:w="2036" w:type="dxa"/>
            <w:shd w:val="clear" w:color="auto" w:fill="1B556B"/>
            <w:hideMark/>
          </w:tcPr>
          <w:p w14:paraId="6398C276" w14:textId="77777777" w:rsidR="0099547F" w:rsidRPr="00ED41F2" w:rsidRDefault="0099547F" w:rsidP="007E3239">
            <w:pPr>
              <w:pStyle w:val="TableTextBold"/>
              <w:spacing w:before="50" w:after="50"/>
              <w:rPr>
                <w:noProof w:val="0"/>
                <w:color w:val="FFFFFF"/>
              </w:rPr>
            </w:pPr>
            <w:r w:rsidRPr="00ED41F2">
              <w:rPr>
                <w:noProof w:val="0"/>
                <w:color w:val="FFFFFF"/>
              </w:rPr>
              <w:t>Product</w:t>
            </w:r>
          </w:p>
        </w:tc>
        <w:tc>
          <w:tcPr>
            <w:tcW w:w="2410" w:type="dxa"/>
            <w:shd w:val="clear" w:color="auto" w:fill="1B556B"/>
            <w:hideMark/>
          </w:tcPr>
          <w:p w14:paraId="766917AF" w14:textId="77777777" w:rsidR="0099547F" w:rsidRPr="00ED41F2" w:rsidRDefault="0099547F" w:rsidP="007E3239">
            <w:pPr>
              <w:pStyle w:val="TableTextBold"/>
              <w:spacing w:before="50" w:after="50"/>
              <w:rPr>
                <w:noProof w:val="0"/>
                <w:color w:val="FFFFFF"/>
              </w:rPr>
            </w:pPr>
            <w:r w:rsidRPr="00ED41F2">
              <w:rPr>
                <w:noProof w:val="0"/>
                <w:color w:val="FFFFFF"/>
              </w:rPr>
              <w:t>Uncertainty in activity data (%)</w:t>
            </w:r>
          </w:p>
        </w:tc>
        <w:tc>
          <w:tcPr>
            <w:tcW w:w="2551" w:type="dxa"/>
            <w:shd w:val="clear" w:color="auto" w:fill="1B556B"/>
            <w:hideMark/>
          </w:tcPr>
          <w:p w14:paraId="38BE8737" w14:textId="77777777" w:rsidR="0099547F" w:rsidRPr="00ED41F2" w:rsidRDefault="0099547F" w:rsidP="007E3239">
            <w:pPr>
              <w:pStyle w:val="TableTextBold"/>
              <w:spacing w:before="50" w:after="50"/>
              <w:rPr>
                <w:noProof w:val="0"/>
                <w:color w:val="FFFFFF"/>
              </w:rPr>
            </w:pPr>
            <w:r w:rsidRPr="00ED41F2">
              <w:rPr>
                <w:noProof w:val="0"/>
                <w:color w:val="FFFFFF"/>
              </w:rPr>
              <w:t>Uncertainty in emission factors (%)</w:t>
            </w:r>
          </w:p>
        </w:tc>
      </w:tr>
      <w:tr w:rsidR="0099547F" w:rsidRPr="00ED41F2" w14:paraId="606BAA0F" w14:textId="77777777" w:rsidTr="007E3239">
        <w:tc>
          <w:tcPr>
            <w:tcW w:w="2036" w:type="dxa"/>
            <w:shd w:val="clear" w:color="auto" w:fill="FFFFFF"/>
            <w:hideMark/>
          </w:tcPr>
          <w:p w14:paraId="030429A8" w14:textId="77777777" w:rsidR="0099547F" w:rsidRPr="00ED41F2" w:rsidRDefault="0099547F" w:rsidP="007E3239">
            <w:pPr>
              <w:pStyle w:val="TableText"/>
              <w:spacing w:before="50" w:after="50"/>
            </w:pPr>
            <w:r w:rsidRPr="00ED41F2">
              <w:t>Ammonia</w:t>
            </w:r>
          </w:p>
        </w:tc>
        <w:tc>
          <w:tcPr>
            <w:tcW w:w="2410" w:type="dxa"/>
            <w:shd w:val="clear" w:color="auto" w:fill="FFFFFF"/>
            <w:hideMark/>
          </w:tcPr>
          <w:p w14:paraId="51BEBA91" w14:textId="77777777" w:rsidR="0099547F" w:rsidRPr="00ED41F2" w:rsidRDefault="0099547F" w:rsidP="007E3239">
            <w:pPr>
              <w:pStyle w:val="TableText"/>
              <w:spacing w:before="50" w:after="50"/>
            </w:pPr>
            <w:r w:rsidRPr="00ED41F2">
              <w:t>±2</w:t>
            </w:r>
          </w:p>
        </w:tc>
        <w:tc>
          <w:tcPr>
            <w:tcW w:w="2551" w:type="dxa"/>
            <w:shd w:val="clear" w:color="auto" w:fill="FFFFFF"/>
            <w:hideMark/>
          </w:tcPr>
          <w:p w14:paraId="1D083F28" w14:textId="77777777" w:rsidR="0099547F" w:rsidRPr="00ED41F2" w:rsidRDefault="0099547F" w:rsidP="007E3239">
            <w:pPr>
              <w:pStyle w:val="TableText"/>
              <w:spacing w:before="50" w:after="50"/>
            </w:pPr>
            <w:r w:rsidRPr="00ED41F2">
              <w:t>±6 (CO</w:t>
            </w:r>
            <w:r w:rsidRPr="00ED41F2">
              <w:rPr>
                <w:vertAlign w:val="subscript"/>
              </w:rPr>
              <w:t>2</w:t>
            </w:r>
            <w:r w:rsidRPr="00ED41F2">
              <w:t>)</w:t>
            </w:r>
          </w:p>
        </w:tc>
      </w:tr>
      <w:tr w:rsidR="0099547F" w:rsidRPr="00ED41F2" w14:paraId="38E92A05" w14:textId="77777777" w:rsidTr="007E3239">
        <w:tc>
          <w:tcPr>
            <w:tcW w:w="2036" w:type="dxa"/>
            <w:shd w:val="clear" w:color="auto" w:fill="FFFFFF"/>
            <w:hideMark/>
          </w:tcPr>
          <w:p w14:paraId="1D67FB0F" w14:textId="77777777" w:rsidR="0099547F" w:rsidRPr="00ED41F2" w:rsidRDefault="0099547F" w:rsidP="007E3239">
            <w:pPr>
              <w:pStyle w:val="TableText"/>
              <w:spacing w:before="50" w:after="50"/>
            </w:pPr>
            <w:r w:rsidRPr="00ED41F2">
              <w:t>Calcium carbide</w:t>
            </w:r>
          </w:p>
        </w:tc>
        <w:tc>
          <w:tcPr>
            <w:tcW w:w="2410" w:type="dxa"/>
            <w:shd w:val="clear" w:color="auto" w:fill="FFFFFF"/>
            <w:hideMark/>
          </w:tcPr>
          <w:p w14:paraId="391740B9" w14:textId="77777777" w:rsidR="0099547F" w:rsidRPr="00ED41F2" w:rsidRDefault="0099547F" w:rsidP="007E3239">
            <w:pPr>
              <w:pStyle w:val="TableText"/>
              <w:spacing w:before="50" w:after="50"/>
            </w:pPr>
            <w:r w:rsidRPr="00ED41F2">
              <w:t>±50</w:t>
            </w:r>
          </w:p>
        </w:tc>
        <w:tc>
          <w:tcPr>
            <w:tcW w:w="2551" w:type="dxa"/>
            <w:shd w:val="clear" w:color="auto" w:fill="FFFFFF"/>
            <w:hideMark/>
          </w:tcPr>
          <w:p w14:paraId="4C1ABD9E" w14:textId="77777777" w:rsidR="0099547F" w:rsidRPr="00ED41F2" w:rsidRDefault="0099547F" w:rsidP="007E3239">
            <w:pPr>
              <w:pStyle w:val="TableText"/>
              <w:spacing w:before="50" w:after="50"/>
            </w:pPr>
            <w:r w:rsidRPr="00ED41F2">
              <w:t>±50</w:t>
            </w:r>
          </w:p>
        </w:tc>
      </w:tr>
      <w:tr w:rsidR="0099547F" w:rsidRPr="00ED41F2" w14:paraId="211767E0" w14:textId="77777777" w:rsidTr="007E3239">
        <w:tc>
          <w:tcPr>
            <w:tcW w:w="2036" w:type="dxa"/>
            <w:shd w:val="clear" w:color="auto" w:fill="FFFFFF"/>
            <w:hideMark/>
          </w:tcPr>
          <w:p w14:paraId="63FDD090" w14:textId="77777777" w:rsidR="0099547F" w:rsidRPr="00ED41F2" w:rsidRDefault="0099547F" w:rsidP="007E3239">
            <w:pPr>
              <w:pStyle w:val="TableText"/>
              <w:spacing w:before="50" w:after="50"/>
            </w:pPr>
            <w:r w:rsidRPr="00ED41F2">
              <w:t>Formaldehyde</w:t>
            </w:r>
          </w:p>
        </w:tc>
        <w:tc>
          <w:tcPr>
            <w:tcW w:w="2410" w:type="dxa"/>
            <w:shd w:val="clear" w:color="auto" w:fill="FFFFFF"/>
            <w:hideMark/>
          </w:tcPr>
          <w:p w14:paraId="1B3720D9" w14:textId="77777777" w:rsidR="0099547F" w:rsidRPr="00ED41F2" w:rsidRDefault="0099547F" w:rsidP="007E3239">
            <w:pPr>
              <w:pStyle w:val="TableText"/>
              <w:spacing w:before="50" w:after="50"/>
            </w:pPr>
            <w:r w:rsidRPr="00ED41F2">
              <w:t>±2</w:t>
            </w:r>
          </w:p>
        </w:tc>
        <w:tc>
          <w:tcPr>
            <w:tcW w:w="2551" w:type="dxa"/>
            <w:shd w:val="clear" w:color="auto" w:fill="FFFFFF"/>
            <w:hideMark/>
          </w:tcPr>
          <w:p w14:paraId="2CF3D3F7" w14:textId="77777777" w:rsidR="0099547F" w:rsidRPr="00ED41F2" w:rsidRDefault="0099547F" w:rsidP="007E3239">
            <w:pPr>
              <w:pStyle w:val="TableText"/>
              <w:spacing w:before="50" w:after="50"/>
            </w:pPr>
            <w:r w:rsidRPr="00ED41F2">
              <w:t>±50 (NMVOCs)</w:t>
            </w:r>
          </w:p>
        </w:tc>
      </w:tr>
      <w:tr w:rsidR="0099547F" w:rsidRPr="00ED41F2" w14:paraId="3B7C11A5" w14:textId="77777777" w:rsidTr="007E3239">
        <w:tc>
          <w:tcPr>
            <w:tcW w:w="2036" w:type="dxa"/>
            <w:shd w:val="clear" w:color="auto" w:fill="FFFFFF"/>
            <w:hideMark/>
          </w:tcPr>
          <w:p w14:paraId="19F8B83F" w14:textId="77777777" w:rsidR="0099547F" w:rsidRPr="00ED41F2" w:rsidRDefault="0099547F" w:rsidP="007E3239">
            <w:pPr>
              <w:pStyle w:val="TableText"/>
              <w:spacing w:before="50" w:after="50"/>
            </w:pPr>
            <w:r w:rsidRPr="00ED41F2">
              <w:t>Hydrogen</w:t>
            </w:r>
          </w:p>
        </w:tc>
        <w:tc>
          <w:tcPr>
            <w:tcW w:w="2410" w:type="dxa"/>
            <w:shd w:val="clear" w:color="auto" w:fill="FFFFFF"/>
            <w:hideMark/>
          </w:tcPr>
          <w:p w14:paraId="75C10161" w14:textId="77777777" w:rsidR="0099547F" w:rsidRPr="00ED41F2" w:rsidRDefault="0099547F" w:rsidP="007E3239">
            <w:pPr>
              <w:pStyle w:val="TableText"/>
              <w:spacing w:before="50" w:after="50"/>
            </w:pPr>
            <w:r w:rsidRPr="00ED41F2">
              <w:t>±2</w:t>
            </w:r>
          </w:p>
        </w:tc>
        <w:tc>
          <w:tcPr>
            <w:tcW w:w="2551" w:type="dxa"/>
            <w:shd w:val="clear" w:color="auto" w:fill="FFFFFF"/>
            <w:hideMark/>
          </w:tcPr>
          <w:p w14:paraId="085EE4CC" w14:textId="77777777" w:rsidR="0099547F" w:rsidRPr="00ED41F2" w:rsidRDefault="0099547F" w:rsidP="007E3239">
            <w:pPr>
              <w:pStyle w:val="TableText"/>
              <w:spacing w:before="50" w:after="50"/>
            </w:pPr>
            <w:r w:rsidRPr="00ED41F2">
              <w:t>±6</w:t>
            </w:r>
          </w:p>
        </w:tc>
      </w:tr>
      <w:tr w:rsidR="0099547F" w:rsidRPr="00ED41F2" w14:paraId="6E175F0B" w14:textId="77777777" w:rsidTr="007E3239">
        <w:tc>
          <w:tcPr>
            <w:tcW w:w="2036" w:type="dxa"/>
            <w:shd w:val="clear" w:color="auto" w:fill="FFFFFF"/>
            <w:hideMark/>
          </w:tcPr>
          <w:p w14:paraId="21BDAEE0" w14:textId="77777777" w:rsidR="0099547F" w:rsidRPr="00ED41F2" w:rsidRDefault="0099547F" w:rsidP="007E3239">
            <w:pPr>
              <w:pStyle w:val="TableText"/>
              <w:spacing w:before="50" w:after="50"/>
            </w:pPr>
            <w:r w:rsidRPr="00ED41F2">
              <w:t>Methanol</w:t>
            </w:r>
          </w:p>
        </w:tc>
        <w:tc>
          <w:tcPr>
            <w:tcW w:w="2410" w:type="dxa"/>
            <w:shd w:val="clear" w:color="auto" w:fill="FFFFFF"/>
            <w:hideMark/>
          </w:tcPr>
          <w:p w14:paraId="04EA893E" w14:textId="77777777" w:rsidR="0099547F" w:rsidRPr="00ED41F2" w:rsidRDefault="0099547F" w:rsidP="007E3239">
            <w:pPr>
              <w:pStyle w:val="TableText"/>
              <w:spacing w:before="50" w:after="50"/>
            </w:pPr>
            <w:r w:rsidRPr="00ED41F2">
              <w:t>±2</w:t>
            </w:r>
          </w:p>
        </w:tc>
        <w:tc>
          <w:tcPr>
            <w:tcW w:w="2551" w:type="dxa"/>
            <w:shd w:val="clear" w:color="auto" w:fill="FFFFFF"/>
            <w:hideMark/>
          </w:tcPr>
          <w:p w14:paraId="349FB60A" w14:textId="77777777" w:rsidR="0099547F" w:rsidRPr="00ED41F2" w:rsidRDefault="0099547F" w:rsidP="007E3239">
            <w:pPr>
              <w:pStyle w:val="TableText"/>
              <w:spacing w:before="50" w:after="50"/>
            </w:pPr>
            <w:r w:rsidRPr="00ED41F2">
              <w:t>±50 (NO</w:t>
            </w:r>
            <w:r w:rsidRPr="00ED41F2">
              <w:rPr>
                <w:vertAlign w:val="subscript"/>
              </w:rPr>
              <w:t>x</w:t>
            </w:r>
            <w:r w:rsidRPr="00ED41F2">
              <w:t xml:space="preserve"> and CO)</w:t>
            </w:r>
            <w:r w:rsidRPr="00ED41F2">
              <w:br/>
              <w:t>±30 (NMVOCs)</w:t>
            </w:r>
            <w:r w:rsidRPr="00ED41F2">
              <w:br/>
              <w:t>±80 (CH</w:t>
            </w:r>
            <w:r w:rsidRPr="00ED41F2">
              <w:rPr>
                <w:vertAlign w:val="subscript"/>
              </w:rPr>
              <w:t>4</w:t>
            </w:r>
            <w:r w:rsidRPr="00ED41F2">
              <w:t>)</w:t>
            </w:r>
          </w:p>
        </w:tc>
      </w:tr>
      <w:tr w:rsidR="0099547F" w:rsidRPr="00ED41F2" w14:paraId="055C4532" w14:textId="77777777" w:rsidTr="007E3239">
        <w:tc>
          <w:tcPr>
            <w:tcW w:w="2036" w:type="dxa"/>
            <w:shd w:val="clear" w:color="auto" w:fill="FFFFFF"/>
            <w:hideMark/>
          </w:tcPr>
          <w:p w14:paraId="11A618CB" w14:textId="77777777" w:rsidR="0099547F" w:rsidRPr="00ED41F2" w:rsidRDefault="0099547F" w:rsidP="007E3239">
            <w:pPr>
              <w:pStyle w:val="TableText"/>
              <w:spacing w:before="50" w:after="50"/>
            </w:pPr>
            <w:r w:rsidRPr="00ED41F2">
              <w:t>Superphosphate</w:t>
            </w:r>
          </w:p>
        </w:tc>
        <w:tc>
          <w:tcPr>
            <w:tcW w:w="2410" w:type="dxa"/>
            <w:shd w:val="clear" w:color="auto" w:fill="FFFFFF"/>
            <w:hideMark/>
          </w:tcPr>
          <w:p w14:paraId="2C11D786" w14:textId="77777777" w:rsidR="0099547F" w:rsidRPr="00ED41F2" w:rsidRDefault="0099547F" w:rsidP="007E3239">
            <w:pPr>
              <w:pStyle w:val="TableText"/>
              <w:spacing w:before="50" w:after="50"/>
            </w:pPr>
            <w:r w:rsidRPr="00ED41F2">
              <w:t>±10</w:t>
            </w:r>
          </w:p>
        </w:tc>
        <w:tc>
          <w:tcPr>
            <w:tcW w:w="2551" w:type="dxa"/>
            <w:shd w:val="clear" w:color="auto" w:fill="FFFFFF"/>
            <w:hideMark/>
          </w:tcPr>
          <w:p w14:paraId="4385F6DD" w14:textId="77777777" w:rsidR="0099547F" w:rsidRPr="00ED41F2" w:rsidRDefault="0099547F" w:rsidP="007E3239">
            <w:pPr>
              <w:pStyle w:val="TableText"/>
              <w:spacing w:before="50" w:after="50"/>
            </w:pPr>
            <w:r w:rsidRPr="00ED41F2">
              <w:t>±25–60 (varies by site)</w:t>
            </w:r>
          </w:p>
        </w:tc>
      </w:tr>
      <w:tr w:rsidR="0099547F" w:rsidRPr="00ED41F2" w14:paraId="215F5D6F" w14:textId="77777777" w:rsidTr="007E3239">
        <w:tc>
          <w:tcPr>
            <w:tcW w:w="2036" w:type="dxa"/>
            <w:shd w:val="clear" w:color="auto" w:fill="FFFFFF"/>
            <w:hideMark/>
          </w:tcPr>
          <w:p w14:paraId="3FD73886" w14:textId="77777777" w:rsidR="0099547F" w:rsidRPr="00ED41F2" w:rsidRDefault="0099547F" w:rsidP="007E3239">
            <w:pPr>
              <w:pStyle w:val="TableText"/>
              <w:spacing w:before="50" w:after="50"/>
            </w:pPr>
            <w:r w:rsidRPr="00ED41F2">
              <w:t>Sulphuric acid</w:t>
            </w:r>
          </w:p>
        </w:tc>
        <w:tc>
          <w:tcPr>
            <w:tcW w:w="2410" w:type="dxa"/>
            <w:shd w:val="clear" w:color="auto" w:fill="FFFFFF"/>
            <w:hideMark/>
          </w:tcPr>
          <w:p w14:paraId="3EA050B6" w14:textId="77777777" w:rsidR="0099547F" w:rsidRPr="00ED41F2" w:rsidRDefault="0099547F" w:rsidP="007E3239">
            <w:pPr>
              <w:pStyle w:val="TableText"/>
              <w:spacing w:before="50" w:after="50"/>
            </w:pPr>
            <w:r w:rsidRPr="00ED41F2">
              <w:t>±10</w:t>
            </w:r>
          </w:p>
        </w:tc>
        <w:tc>
          <w:tcPr>
            <w:tcW w:w="2551" w:type="dxa"/>
            <w:shd w:val="clear" w:color="auto" w:fill="FFFFFF"/>
            <w:hideMark/>
          </w:tcPr>
          <w:p w14:paraId="27451C67" w14:textId="77777777" w:rsidR="0099547F" w:rsidRPr="00ED41F2" w:rsidRDefault="0099547F" w:rsidP="007E3239">
            <w:pPr>
              <w:pStyle w:val="TableText"/>
              <w:spacing w:before="50" w:after="50"/>
            </w:pPr>
            <w:r w:rsidRPr="00ED41F2">
              <w:t>±15</w:t>
            </w:r>
          </w:p>
        </w:tc>
      </w:tr>
    </w:tbl>
    <w:p w14:paraId="62901FC6" w14:textId="77777777" w:rsidR="0099547F" w:rsidRPr="00ED41F2" w:rsidRDefault="0099547F" w:rsidP="00CF3E69">
      <w:pPr>
        <w:pStyle w:val="Heading4"/>
      </w:pPr>
      <w:r w:rsidRPr="00ED41F2">
        <w:t>Time-series consistency</w:t>
      </w:r>
    </w:p>
    <w:p w14:paraId="4E1FCE76" w14:textId="77777777" w:rsidR="0099547F" w:rsidRPr="00ED41F2" w:rsidRDefault="0099547F" w:rsidP="0099547F">
      <w:pPr>
        <w:pStyle w:val="BodyText"/>
        <w:spacing w:before="80"/>
      </w:pPr>
      <w:r w:rsidRPr="00ED41F2">
        <w:t>The implied emission factor for CO</w:t>
      </w:r>
      <w:r w:rsidRPr="00ED41F2">
        <w:rPr>
          <w:vertAlign w:val="subscript"/>
        </w:rPr>
        <w:t>2</w:t>
      </w:r>
      <w:r w:rsidRPr="00ED41F2">
        <w:t xml:space="preserve"> in ammonia production has reduced by about 5.0 per cent through the time series, reflecting higher plant utilisation and some improvements in plant efficiency. Because ammonia is made at a single site in New Zealand, the implied emission factor may also vary from year to year as a result of maintenance shutdowns and other events that affect plant performance. </w:t>
      </w:r>
    </w:p>
    <w:p w14:paraId="35407569" w14:textId="77777777" w:rsidR="0099547F" w:rsidRPr="00ED41F2" w:rsidRDefault="0099547F" w:rsidP="0099547F">
      <w:pPr>
        <w:pStyle w:val="BodyText"/>
        <w:spacing w:before="100" w:after="100"/>
      </w:pPr>
      <w:r w:rsidRPr="00ED41F2">
        <w:t xml:space="preserve">The implied emission factor for hydrogen production (2.B.10) also varies from year to year mainly due to changes in refinery gas composition. Other implied emission factors in this category only reflect the default emission factors used. </w:t>
      </w:r>
    </w:p>
    <w:p w14:paraId="04E5103E" w14:textId="77777777" w:rsidR="0099547F" w:rsidRPr="00ED41F2" w:rsidRDefault="0099547F" w:rsidP="0099547F">
      <w:pPr>
        <w:pStyle w:val="Heading3"/>
      </w:pPr>
      <w:r w:rsidRPr="00ED41F2">
        <w:lastRenderedPageBreak/>
        <w:t>4.3.4</w:t>
      </w:r>
      <w:r w:rsidRPr="00ED41F2">
        <w:tab/>
        <w:t>Source-specific QA/QC and verification</w:t>
      </w:r>
    </w:p>
    <w:p w14:paraId="62ACDEDB" w14:textId="77777777" w:rsidR="0099547F" w:rsidRPr="00ED41F2" w:rsidRDefault="0099547F" w:rsidP="0099547F">
      <w:pPr>
        <w:pStyle w:val="BodyText"/>
      </w:pPr>
      <w:r w:rsidRPr="00ED41F2">
        <w:t xml:space="preserve">There are no key categories in the </w:t>
      </w:r>
      <w:r w:rsidRPr="00ED41F2">
        <w:rPr>
          <w:i/>
        </w:rPr>
        <w:t xml:space="preserve">Chemical industry </w:t>
      </w:r>
      <w:r w:rsidRPr="00ED41F2">
        <w:t>category.</w:t>
      </w:r>
    </w:p>
    <w:p w14:paraId="1CEE6A93" w14:textId="77777777" w:rsidR="0099547F" w:rsidRPr="00ED41F2" w:rsidRDefault="0099547F" w:rsidP="0099547F">
      <w:pPr>
        <w:pStyle w:val="Heading3"/>
        <w:spacing w:before="240"/>
      </w:pPr>
      <w:r w:rsidRPr="00ED41F2">
        <w:t>4.3.5</w:t>
      </w:r>
      <w:r w:rsidRPr="00ED41F2">
        <w:tab/>
        <w:t>Source-specific recalculations</w:t>
      </w:r>
    </w:p>
    <w:p w14:paraId="017B5C47" w14:textId="77777777" w:rsidR="0099547F" w:rsidRPr="00ED41F2" w:rsidRDefault="0099547F" w:rsidP="0099547F">
      <w:pPr>
        <w:pStyle w:val="BodyText"/>
      </w:pPr>
      <w:r w:rsidRPr="00ED41F2">
        <w:t xml:space="preserve">There are no recalculations for this category. </w:t>
      </w:r>
    </w:p>
    <w:p w14:paraId="748FBF38" w14:textId="77777777" w:rsidR="0099547F" w:rsidRPr="00ED41F2" w:rsidRDefault="0099547F" w:rsidP="0099547F">
      <w:pPr>
        <w:pStyle w:val="Heading3"/>
        <w:spacing w:before="240"/>
      </w:pPr>
      <w:r w:rsidRPr="00ED41F2">
        <w:t>4.3.6</w:t>
      </w:r>
      <w:r w:rsidRPr="00ED41F2">
        <w:tab/>
        <w:t>Source-specific planned improvements</w:t>
      </w:r>
    </w:p>
    <w:p w14:paraId="49A7C6B9" w14:textId="77777777" w:rsidR="0099547F" w:rsidRPr="00ED41F2" w:rsidRDefault="0099547F" w:rsidP="0099547F">
      <w:pPr>
        <w:pStyle w:val="BodyText"/>
      </w:pPr>
      <w:r w:rsidRPr="00ED41F2">
        <w:t>There are no planned improvements for this category.</w:t>
      </w:r>
    </w:p>
    <w:p w14:paraId="447F847E" w14:textId="77777777" w:rsidR="0099547F" w:rsidRPr="00ED41F2" w:rsidRDefault="0099547F" w:rsidP="0099547F">
      <w:pPr>
        <w:pStyle w:val="Heading2"/>
      </w:pPr>
      <w:bookmarkStart w:id="475" w:name="_Toc448321515"/>
      <w:bookmarkStart w:id="476" w:name="_Toc5269354"/>
      <w:bookmarkStart w:id="477" w:name="_Toc36224394"/>
      <w:bookmarkStart w:id="478" w:name="_Toc68786314"/>
      <w:bookmarkStart w:id="479" w:name="_Toc99659121"/>
      <w:r w:rsidRPr="00ED41F2">
        <w:t>4.4</w:t>
      </w:r>
      <w:r w:rsidRPr="00ED41F2">
        <w:tab/>
        <w:t>Metal industry (2.C)</w:t>
      </w:r>
      <w:bookmarkEnd w:id="475"/>
      <w:bookmarkEnd w:id="476"/>
      <w:bookmarkEnd w:id="477"/>
      <w:bookmarkEnd w:id="478"/>
      <w:bookmarkEnd w:id="479"/>
    </w:p>
    <w:p w14:paraId="6B0AB514" w14:textId="77777777" w:rsidR="0099547F" w:rsidRPr="00ED41F2" w:rsidRDefault="0099547F" w:rsidP="0099547F">
      <w:pPr>
        <w:pStyle w:val="Heading3"/>
        <w:spacing w:before="240"/>
      </w:pPr>
      <w:r w:rsidRPr="00ED41F2">
        <w:t>4.4.1</w:t>
      </w:r>
      <w:r w:rsidRPr="00ED41F2">
        <w:tab/>
        <w:t>Description</w:t>
      </w:r>
    </w:p>
    <w:p w14:paraId="14D1C245" w14:textId="77777777" w:rsidR="0099547F" w:rsidRPr="00ED41F2" w:rsidRDefault="0099547F" w:rsidP="0099547F">
      <w:pPr>
        <w:pStyle w:val="BodyText"/>
      </w:pPr>
      <w:r w:rsidRPr="00ED41F2">
        <w:t xml:space="preserve">The main emissions in the </w:t>
      </w:r>
      <w:r w:rsidRPr="00ED41F2">
        <w:rPr>
          <w:i/>
        </w:rPr>
        <w:t>Metal industry</w:t>
      </w:r>
      <w:r w:rsidRPr="00ED41F2">
        <w:t xml:space="preserve"> category in New Zealand are from iron and steel production (from iron sand and historically from recycled scrap steel) and from aluminium production. New Zealand has no production of coke, sinter or ferroalloys. </w:t>
      </w:r>
    </w:p>
    <w:p w14:paraId="4E168A3C" w14:textId="77777777" w:rsidR="0099547F" w:rsidRPr="00ED41F2" w:rsidRDefault="0099547F" w:rsidP="0099547F">
      <w:pPr>
        <w:pStyle w:val="BodyText"/>
      </w:pPr>
      <w:r w:rsidRPr="00ED41F2">
        <w:t>New Zealand Steel Limited produces iron using an ‘alternative iron-making process’, from titanomagnetite iron sand (Ure, 2000). This iron</w:t>
      </w:r>
      <w:r w:rsidRPr="00ED41F2">
        <w:noBreakHyphen/>
        <w:t xml:space="preserve">making process involves the direct reduction of iron oxide contained in the sand, with sub-bituminous coal (which forms a reactive char) as the reductant. There is no coke production and no use of blast furnaces. The iron produced is then processed into steel. </w:t>
      </w:r>
    </w:p>
    <w:p w14:paraId="51C21057" w14:textId="77777777" w:rsidR="0099547F" w:rsidRPr="00ED41F2" w:rsidRDefault="0099547F" w:rsidP="0099547F">
      <w:pPr>
        <w:pStyle w:val="BodyText"/>
      </w:pPr>
      <w:r w:rsidRPr="00ED41F2">
        <w:t xml:space="preserve">Until 2015, Pacific Steel Limited operated an electric arc furnace at a separate site to process recycled scrap steel. The owners of New Zealand Steel Limited bought the Pacific Steel Limited production assets in 2015, and all of New Zealand’s steel-making capacity is now integrated at the New Zealand Steel site. Steel billet production at the Pacific Steel plant, using recycled scrap, stopped in October 2015. As a result, production in New Zealand is now focused on newly produced iron rather than recycled steel scrap. </w:t>
      </w:r>
    </w:p>
    <w:p w14:paraId="1CF9ACB4" w14:textId="77777777" w:rsidR="0099547F" w:rsidRPr="00ED41F2" w:rsidRDefault="0099547F" w:rsidP="0099547F">
      <w:pPr>
        <w:pStyle w:val="BodyText"/>
      </w:pPr>
      <w:r w:rsidRPr="00ED41F2">
        <w:t xml:space="preserve">There is one aluminium smelter in New Zealand, operated by New Zealand Aluminium Smelters Limited (NZAS). The plant produces aluminium by smelting imported bauxite using centre-work prebake technology. Carbon dioxide and PFC emissions from aluminium production are reported. </w:t>
      </w:r>
    </w:p>
    <w:p w14:paraId="316339BA" w14:textId="77777777" w:rsidR="0099547F" w:rsidRPr="00ED41F2" w:rsidRDefault="0099547F" w:rsidP="0099547F">
      <w:pPr>
        <w:pStyle w:val="BodyText"/>
      </w:pPr>
      <w:r w:rsidRPr="00ED41F2">
        <w:t>Very small amounts of emissions are also reported from secondary lead production (from the recycling of lead-acid batteries) from 1990 to 2015 and from use of SF</w:t>
      </w:r>
      <w:r w:rsidRPr="00ED41F2">
        <w:rPr>
          <w:vertAlign w:val="subscript"/>
        </w:rPr>
        <w:t>6</w:t>
      </w:r>
      <w:r w:rsidRPr="00ED41F2">
        <w:t xml:space="preserve"> in a magnesium foundry from 1990 to 1999. </w:t>
      </w:r>
    </w:p>
    <w:p w14:paraId="46AA6139" w14:textId="77777777" w:rsidR="0099547F" w:rsidRPr="00ED41F2" w:rsidRDefault="0099547F" w:rsidP="0099547F">
      <w:pPr>
        <w:pStyle w:val="BodyText"/>
      </w:pPr>
      <w:r w:rsidRPr="00ED41F2">
        <w:t xml:space="preserve">Key categories in the </w:t>
      </w:r>
      <w:r w:rsidRPr="00ED41F2">
        <w:rPr>
          <w:i/>
        </w:rPr>
        <w:t>Metal industry</w:t>
      </w:r>
      <w:r w:rsidRPr="00ED41F2">
        <w:t xml:space="preserve"> category are CO</w:t>
      </w:r>
      <w:r w:rsidRPr="00ED41F2">
        <w:rPr>
          <w:vertAlign w:val="subscript"/>
        </w:rPr>
        <w:t>2</w:t>
      </w:r>
      <w:r w:rsidRPr="00ED41F2">
        <w:t xml:space="preserve"> emissions from </w:t>
      </w:r>
      <w:r w:rsidRPr="00ED41F2">
        <w:rPr>
          <w:i/>
        </w:rPr>
        <w:t>Iron and steel production</w:t>
      </w:r>
      <w:r w:rsidRPr="00ED41F2">
        <w:rPr>
          <w:iCs/>
        </w:rPr>
        <w:t xml:space="preserve"> (level assessment)</w:t>
      </w:r>
      <w:r w:rsidRPr="00ED41F2">
        <w:rPr>
          <w:i/>
        </w:rPr>
        <w:t xml:space="preserve"> </w:t>
      </w:r>
      <w:r w:rsidRPr="00ED41F2">
        <w:t xml:space="preserve">and from </w:t>
      </w:r>
      <w:r w:rsidRPr="00ED41F2">
        <w:rPr>
          <w:i/>
        </w:rPr>
        <w:t>Aluminium production</w:t>
      </w:r>
      <w:r w:rsidRPr="00ED41F2">
        <w:rPr>
          <w:iCs/>
        </w:rPr>
        <w:t xml:space="preserve"> (level assessment)</w:t>
      </w:r>
      <w:r w:rsidRPr="00ED41F2">
        <w:t xml:space="preserve">, and PFCs from </w:t>
      </w:r>
      <w:r w:rsidRPr="00ED41F2">
        <w:rPr>
          <w:i/>
        </w:rPr>
        <w:t xml:space="preserve">Aluminium production </w:t>
      </w:r>
      <w:r w:rsidRPr="00ED41F2">
        <w:rPr>
          <w:iCs/>
        </w:rPr>
        <w:t>(trend assessment)</w:t>
      </w:r>
      <w:r w:rsidRPr="00ED41F2">
        <w:t xml:space="preserve">. </w:t>
      </w:r>
    </w:p>
    <w:p w14:paraId="11609A95" w14:textId="77777777" w:rsidR="0099547F" w:rsidRPr="00ED41F2" w:rsidRDefault="0099547F" w:rsidP="0099547F">
      <w:pPr>
        <w:pStyle w:val="BodyText"/>
      </w:pPr>
      <w:r w:rsidRPr="00ED41F2">
        <w:t xml:space="preserve">Emissions from the </w:t>
      </w:r>
      <w:r w:rsidRPr="00ED41F2">
        <w:rPr>
          <w:i/>
        </w:rPr>
        <w:t>Metal industry</w:t>
      </w:r>
      <w:r w:rsidRPr="00ED41F2">
        <w:t xml:space="preserve"> category in 2020 were 2,215.7 kt CO</w:t>
      </w:r>
      <w:r w:rsidRPr="00ED41F2">
        <w:rPr>
          <w:vertAlign w:val="subscript"/>
        </w:rPr>
        <w:t>2</w:t>
      </w:r>
      <w:r w:rsidRPr="00ED41F2">
        <w:t>-e (48.0 per cent) of emissions from the IPPU sector. This is 454.5 kt CO</w:t>
      </w:r>
      <w:r w:rsidRPr="00ED41F2">
        <w:rPr>
          <w:vertAlign w:val="subscript"/>
        </w:rPr>
        <w:t>2</w:t>
      </w:r>
      <w:r w:rsidRPr="00ED41F2">
        <w:t>-e (17.0 per cent) below the 1990 level. The decrease was driven by a reduction in emissions of PFCs in aluminium smelting, which has been partly offset by increasing CO</w:t>
      </w:r>
      <w:r w:rsidRPr="00ED41F2">
        <w:rPr>
          <w:vertAlign w:val="subscript"/>
        </w:rPr>
        <w:t>2</w:t>
      </w:r>
      <w:r w:rsidRPr="00ED41F2">
        <w:t xml:space="preserve"> emissions due to increasing production of steel and aluminium. A small decrease in emissions occurred in 2016 due to the closure of the Pacific Steel plant and the cessation of lead battery recycling. </w:t>
      </w:r>
    </w:p>
    <w:p w14:paraId="4216F58F" w14:textId="77777777" w:rsidR="0099547F" w:rsidRPr="00ED41F2" w:rsidRDefault="0099547F" w:rsidP="0099547F">
      <w:pPr>
        <w:pStyle w:val="BodyText"/>
      </w:pPr>
      <w:r w:rsidRPr="00ED41F2">
        <w:lastRenderedPageBreak/>
        <w:t xml:space="preserve">The New Zealand Steel site was closed from 26 March to 27 April 2020 due to COVID-19 restrictions. Production was also reduced during the ramp-down for this closure and the ramp-up on restarting the plant, resulting in a reduction in output for the year of approximately 11 per cent. NZAS announced in March 2020 that it would shut down one pot line (of four) due to COVID-19, and aluminium production was approximately 5 per cent lower than 2019. </w:t>
      </w:r>
    </w:p>
    <w:p w14:paraId="05D747F8" w14:textId="77777777" w:rsidR="0099547F" w:rsidRPr="00ED41F2" w:rsidRDefault="0099547F" w:rsidP="0099547F">
      <w:pPr>
        <w:pStyle w:val="Heading3"/>
      </w:pPr>
      <w:r w:rsidRPr="00ED41F2">
        <w:t xml:space="preserve">4.4.2 </w:t>
      </w:r>
      <w:r w:rsidRPr="00ED41F2">
        <w:tab/>
        <w:t>Methodological issues</w:t>
      </w:r>
    </w:p>
    <w:p w14:paraId="2EF0A07B" w14:textId="77777777" w:rsidR="0099547F" w:rsidRPr="00ED41F2" w:rsidRDefault="0099547F" w:rsidP="00CF3E69">
      <w:pPr>
        <w:pStyle w:val="Heading4"/>
        <w:rPr>
          <w:bCs/>
          <w:iCs/>
        </w:rPr>
      </w:pPr>
      <w:r w:rsidRPr="00ED41F2">
        <w:t>Choice of activity data</w:t>
      </w:r>
    </w:p>
    <w:p w14:paraId="604948AD" w14:textId="77777777" w:rsidR="0099547F" w:rsidRPr="00ED41F2" w:rsidRDefault="0099547F" w:rsidP="0099547F">
      <w:pPr>
        <w:pStyle w:val="Heading5"/>
        <w:spacing w:before="120"/>
      </w:pPr>
      <w:r w:rsidRPr="00ED41F2">
        <w:t>Iron and steel production (2.C.1 and 2.C.1.a)</w:t>
      </w:r>
    </w:p>
    <w:p w14:paraId="76760550" w14:textId="77777777" w:rsidR="0099547F" w:rsidRPr="00ED41F2" w:rsidRDefault="0099547F" w:rsidP="0099547F">
      <w:pPr>
        <w:pStyle w:val="BodyText"/>
      </w:pPr>
      <w:r w:rsidRPr="00ED41F2">
        <w:t xml:space="preserve">In 2020, the </w:t>
      </w:r>
      <w:r w:rsidRPr="00ED41F2">
        <w:rPr>
          <w:i/>
        </w:rPr>
        <w:t>Iron and steel production</w:t>
      </w:r>
      <w:r w:rsidRPr="00ED41F2">
        <w:t xml:space="preserve"> category accounted for 1,578.6 kt CO</w:t>
      </w:r>
      <w:r w:rsidRPr="00ED41F2">
        <w:rPr>
          <w:vertAlign w:val="subscript"/>
        </w:rPr>
        <w:t>2</w:t>
      </w:r>
      <w:r w:rsidRPr="00ED41F2">
        <w:t xml:space="preserve">-e (71.2 per cent) of emissions from the </w:t>
      </w:r>
      <w:r w:rsidRPr="00ED41F2">
        <w:rPr>
          <w:i/>
        </w:rPr>
        <w:t>Metal industry</w:t>
      </w:r>
      <w:r w:rsidRPr="00ED41F2">
        <w:t xml:space="preserve"> category. The activity data (tonnes of steel produced) provided to MBIE came from two steel producers up to 2015 and now come from one; they are regarded as commercially confidential and are reported as confidential in the CRF. </w:t>
      </w:r>
    </w:p>
    <w:p w14:paraId="28B6C08E" w14:textId="77777777" w:rsidR="0099547F" w:rsidRPr="00ED41F2" w:rsidRDefault="0099547F" w:rsidP="0099547F">
      <w:pPr>
        <w:pStyle w:val="BodyText"/>
      </w:pPr>
      <w:r w:rsidRPr="00ED41F2">
        <w:t>Most of the CO</w:t>
      </w:r>
      <w:r w:rsidRPr="00ED41F2">
        <w:rPr>
          <w:vertAlign w:val="subscript"/>
        </w:rPr>
        <w:t>2</w:t>
      </w:r>
      <w:r w:rsidRPr="00ED41F2">
        <w:t xml:space="preserve"> emissions from the </w:t>
      </w:r>
      <w:r w:rsidRPr="00ED41F2">
        <w:rPr>
          <w:i/>
        </w:rPr>
        <w:t>Iron and steel production</w:t>
      </w:r>
      <w:r w:rsidRPr="00ED41F2">
        <w:t xml:space="preserve"> category are produced through the production of iron from titanomagnetite iron sand. Nearly all of the emissions in this process come from the use of sub-bituminous coal as a reducing agent. There is no carbon in the iron sand used by New Zealand Steel Limited (see table 4.4.1). </w:t>
      </w:r>
    </w:p>
    <w:p w14:paraId="0605D00C" w14:textId="77777777" w:rsidR="0099547F" w:rsidRPr="00ED41F2" w:rsidRDefault="0099547F" w:rsidP="0099547F">
      <w:pPr>
        <w:pStyle w:val="Table"/>
      </w:pPr>
      <w:bookmarkStart w:id="480" w:name="_Toc451176070"/>
      <w:bookmarkStart w:id="481" w:name="_Toc352504954"/>
      <w:bookmarkStart w:id="482" w:name="_Toc5269460"/>
      <w:bookmarkStart w:id="483" w:name="_Toc36224533"/>
      <w:bookmarkStart w:id="484" w:name="_Toc68786420"/>
      <w:bookmarkStart w:id="485" w:name="_Toc99659228"/>
      <w:r w:rsidRPr="00ED41F2">
        <w:t>Table 4.4.1</w:t>
      </w:r>
      <w:r w:rsidRPr="00ED41F2">
        <w:tab/>
        <w:t>Typical analysis from New Zealand Steel Limited of the primary concentrate</w:t>
      </w:r>
      <w:r w:rsidRPr="00ED41F2">
        <w:br/>
        <w:t>(provided by New Zealand Steel Limited)</w:t>
      </w:r>
      <w:bookmarkEnd w:id="480"/>
      <w:bookmarkEnd w:id="481"/>
      <w:bookmarkEnd w:id="482"/>
      <w:bookmarkEnd w:id="483"/>
      <w:bookmarkEnd w:id="484"/>
      <w:bookmarkEnd w:id="485"/>
    </w:p>
    <w:tbl>
      <w:tblPr>
        <w:tblW w:w="0" w:type="auto"/>
        <w:jc w:val="center"/>
        <w:tblBorders>
          <w:top w:val="single" w:sz="4" w:space="0" w:color="1B556B"/>
          <w:bottom w:val="single" w:sz="4" w:space="0" w:color="1B556B"/>
          <w:insideH w:val="single" w:sz="4" w:space="0" w:color="1B556B"/>
          <w:insideV w:val="single" w:sz="4" w:space="0" w:color="1B556B"/>
        </w:tblBorders>
        <w:tblLayout w:type="fixed"/>
        <w:tblLook w:val="04A0" w:firstRow="1" w:lastRow="0" w:firstColumn="1" w:lastColumn="0" w:noHBand="0" w:noVBand="1"/>
      </w:tblPr>
      <w:tblGrid>
        <w:gridCol w:w="1242"/>
        <w:gridCol w:w="1448"/>
      </w:tblGrid>
      <w:tr w:rsidR="0099547F" w:rsidRPr="00ED41F2" w14:paraId="78161BAF" w14:textId="77777777" w:rsidTr="007E3239">
        <w:trPr>
          <w:tblHeader/>
          <w:jc w:val="center"/>
        </w:trPr>
        <w:tc>
          <w:tcPr>
            <w:tcW w:w="1242" w:type="dxa"/>
            <w:shd w:val="clear" w:color="auto" w:fill="1B556B"/>
            <w:hideMark/>
          </w:tcPr>
          <w:p w14:paraId="280B0246" w14:textId="77777777" w:rsidR="0099547F" w:rsidRPr="00ED41F2" w:rsidRDefault="0099547F" w:rsidP="007E3239">
            <w:pPr>
              <w:pStyle w:val="TableTextBold"/>
              <w:spacing w:before="40" w:after="40"/>
              <w:jc w:val="center"/>
              <w:rPr>
                <w:noProof w:val="0"/>
                <w:color w:val="FFFFFF"/>
              </w:rPr>
            </w:pPr>
            <w:r w:rsidRPr="00ED41F2">
              <w:rPr>
                <w:noProof w:val="0"/>
                <w:color w:val="FFFFFF"/>
              </w:rPr>
              <w:t>Element</w:t>
            </w:r>
          </w:p>
        </w:tc>
        <w:tc>
          <w:tcPr>
            <w:tcW w:w="1448" w:type="dxa"/>
            <w:shd w:val="clear" w:color="auto" w:fill="1B556B"/>
            <w:hideMark/>
          </w:tcPr>
          <w:p w14:paraId="49630DD2" w14:textId="77777777" w:rsidR="0099547F" w:rsidRPr="00ED41F2" w:rsidRDefault="0099547F" w:rsidP="007E3239">
            <w:pPr>
              <w:pStyle w:val="TableTextBold"/>
              <w:spacing w:before="40" w:after="40"/>
              <w:jc w:val="center"/>
              <w:rPr>
                <w:noProof w:val="0"/>
                <w:color w:val="FFFFFF"/>
              </w:rPr>
            </w:pPr>
            <w:r w:rsidRPr="00ED41F2">
              <w:rPr>
                <w:noProof w:val="0"/>
                <w:color w:val="FFFFFF"/>
              </w:rPr>
              <w:t>Result (%)</w:t>
            </w:r>
          </w:p>
        </w:tc>
      </w:tr>
      <w:tr w:rsidR="0099547F" w:rsidRPr="00ED41F2" w14:paraId="786457ED" w14:textId="77777777" w:rsidTr="007E3239">
        <w:trPr>
          <w:jc w:val="center"/>
        </w:trPr>
        <w:tc>
          <w:tcPr>
            <w:tcW w:w="1242" w:type="dxa"/>
            <w:vAlign w:val="center"/>
            <w:hideMark/>
          </w:tcPr>
          <w:p w14:paraId="03310615" w14:textId="77777777" w:rsidR="0099547F" w:rsidRPr="00ED41F2" w:rsidRDefault="0099547F" w:rsidP="007E3239">
            <w:pPr>
              <w:pStyle w:val="TableText"/>
              <w:spacing w:before="40" w:after="40"/>
              <w:jc w:val="center"/>
              <w:rPr>
                <w:i/>
                <w:vertAlign w:val="subscript"/>
              </w:rPr>
            </w:pPr>
            <w:r w:rsidRPr="00ED41F2">
              <w:t>Fe</w:t>
            </w:r>
            <w:r w:rsidRPr="00ED41F2">
              <w:rPr>
                <w:vertAlign w:val="subscript"/>
              </w:rPr>
              <w:t>3</w:t>
            </w:r>
            <w:r w:rsidRPr="00ED41F2">
              <w:t>O</w:t>
            </w:r>
            <w:r w:rsidRPr="00ED41F2">
              <w:rPr>
                <w:vertAlign w:val="subscript"/>
              </w:rPr>
              <w:t>4</w:t>
            </w:r>
          </w:p>
        </w:tc>
        <w:tc>
          <w:tcPr>
            <w:tcW w:w="1448" w:type="dxa"/>
            <w:vAlign w:val="center"/>
            <w:hideMark/>
          </w:tcPr>
          <w:p w14:paraId="0AC310B3" w14:textId="77777777" w:rsidR="0099547F" w:rsidRPr="00ED41F2" w:rsidRDefault="0099547F" w:rsidP="007E3239">
            <w:pPr>
              <w:pStyle w:val="TableText"/>
              <w:spacing w:before="40" w:after="40"/>
              <w:ind w:right="454"/>
              <w:jc w:val="right"/>
              <w:rPr>
                <w:i/>
              </w:rPr>
            </w:pPr>
            <w:r w:rsidRPr="00ED41F2">
              <w:t>81.4</w:t>
            </w:r>
          </w:p>
        </w:tc>
      </w:tr>
      <w:tr w:rsidR="0099547F" w:rsidRPr="00ED41F2" w14:paraId="5B6182F5" w14:textId="77777777" w:rsidTr="007E3239">
        <w:trPr>
          <w:jc w:val="center"/>
        </w:trPr>
        <w:tc>
          <w:tcPr>
            <w:tcW w:w="1242" w:type="dxa"/>
            <w:vAlign w:val="center"/>
            <w:hideMark/>
          </w:tcPr>
          <w:p w14:paraId="3C8E1912" w14:textId="77777777" w:rsidR="0099547F" w:rsidRPr="00ED41F2" w:rsidRDefault="0099547F" w:rsidP="007E3239">
            <w:pPr>
              <w:pStyle w:val="TableText"/>
              <w:spacing w:before="40" w:after="40"/>
              <w:jc w:val="center"/>
              <w:rPr>
                <w:i/>
                <w:vertAlign w:val="subscript"/>
              </w:rPr>
            </w:pPr>
            <w:r w:rsidRPr="00ED41F2">
              <w:t>TiO</w:t>
            </w:r>
            <w:r w:rsidRPr="00ED41F2">
              <w:rPr>
                <w:vertAlign w:val="subscript"/>
              </w:rPr>
              <w:t>2</w:t>
            </w:r>
          </w:p>
        </w:tc>
        <w:tc>
          <w:tcPr>
            <w:tcW w:w="1448" w:type="dxa"/>
            <w:vAlign w:val="center"/>
            <w:hideMark/>
          </w:tcPr>
          <w:p w14:paraId="3264AD85" w14:textId="77777777" w:rsidR="0099547F" w:rsidRPr="00ED41F2" w:rsidRDefault="0099547F" w:rsidP="007E3239">
            <w:pPr>
              <w:pStyle w:val="TableText"/>
              <w:spacing w:before="40" w:after="40"/>
              <w:ind w:right="454"/>
              <w:jc w:val="right"/>
              <w:rPr>
                <w:i/>
              </w:rPr>
            </w:pPr>
            <w:r w:rsidRPr="00ED41F2">
              <w:t>7.9</w:t>
            </w:r>
          </w:p>
        </w:tc>
      </w:tr>
      <w:tr w:rsidR="0099547F" w:rsidRPr="00ED41F2" w14:paraId="67D25FAA" w14:textId="77777777" w:rsidTr="007E3239">
        <w:trPr>
          <w:jc w:val="center"/>
        </w:trPr>
        <w:tc>
          <w:tcPr>
            <w:tcW w:w="1242" w:type="dxa"/>
            <w:vAlign w:val="center"/>
            <w:hideMark/>
          </w:tcPr>
          <w:p w14:paraId="46E9E152" w14:textId="77777777" w:rsidR="0099547F" w:rsidRPr="00ED41F2" w:rsidRDefault="0099547F" w:rsidP="007E3239">
            <w:pPr>
              <w:pStyle w:val="TableText"/>
              <w:spacing w:before="40" w:after="40"/>
              <w:jc w:val="center"/>
              <w:rPr>
                <w:i/>
                <w:vertAlign w:val="subscript"/>
              </w:rPr>
            </w:pPr>
            <w:r w:rsidRPr="00ED41F2">
              <w:t>Al</w:t>
            </w:r>
            <w:r w:rsidRPr="00ED41F2">
              <w:rPr>
                <w:vertAlign w:val="subscript"/>
              </w:rPr>
              <w:t>2</w:t>
            </w:r>
            <w:r w:rsidRPr="00ED41F2">
              <w:t>O</w:t>
            </w:r>
            <w:r w:rsidRPr="00ED41F2">
              <w:rPr>
                <w:vertAlign w:val="subscript"/>
              </w:rPr>
              <w:t>3</w:t>
            </w:r>
          </w:p>
        </w:tc>
        <w:tc>
          <w:tcPr>
            <w:tcW w:w="1448" w:type="dxa"/>
            <w:vAlign w:val="center"/>
            <w:hideMark/>
          </w:tcPr>
          <w:p w14:paraId="1575EB59" w14:textId="77777777" w:rsidR="0099547F" w:rsidRPr="00ED41F2" w:rsidRDefault="0099547F" w:rsidP="007E3239">
            <w:pPr>
              <w:pStyle w:val="TableText"/>
              <w:spacing w:before="40" w:after="40"/>
              <w:ind w:right="454"/>
              <w:jc w:val="right"/>
              <w:rPr>
                <w:i/>
              </w:rPr>
            </w:pPr>
            <w:r w:rsidRPr="00ED41F2">
              <w:t>3.7</w:t>
            </w:r>
          </w:p>
        </w:tc>
      </w:tr>
      <w:tr w:rsidR="0099547F" w:rsidRPr="00ED41F2" w14:paraId="4369C6E8" w14:textId="77777777" w:rsidTr="007E3239">
        <w:trPr>
          <w:jc w:val="center"/>
        </w:trPr>
        <w:tc>
          <w:tcPr>
            <w:tcW w:w="1242" w:type="dxa"/>
            <w:vAlign w:val="center"/>
            <w:hideMark/>
          </w:tcPr>
          <w:p w14:paraId="0CACEEA7" w14:textId="77777777" w:rsidR="0099547F" w:rsidRPr="00ED41F2" w:rsidRDefault="0099547F" w:rsidP="007E3239">
            <w:pPr>
              <w:pStyle w:val="TableText"/>
              <w:spacing w:before="40" w:after="40"/>
              <w:jc w:val="center"/>
              <w:rPr>
                <w:i/>
              </w:rPr>
            </w:pPr>
            <w:r w:rsidRPr="00ED41F2">
              <w:t>MgO</w:t>
            </w:r>
          </w:p>
        </w:tc>
        <w:tc>
          <w:tcPr>
            <w:tcW w:w="1448" w:type="dxa"/>
            <w:vAlign w:val="center"/>
            <w:hideMark/>
          </w:tcPr>
          <w:p w14:paraId="614C33BD" w14:textId="77777777" w:rsidR="0099547F" w:rsidRPr="00ED41F2" w:rsidRDefault="0099547F" w:rsidP="007E3239">
            <w:pPr>
              <w:pStyle w:val="TableText"/>
              <w:spacing w:before="40" w:after="40"/>
              <w:ind w:right="454"/>
              <w:jc w:val="right"/>
              <w:rPr>
                <w:i/>
              </w:rPr>
            </w:pPr>
            <w:r w:rsidRPr="00ED41F2">
              <w:t>2.9</w:t>
            </w:r>
          </w:p>
        </w:tc>
      </w:tr>
      <w:tr w:rsidR="0099547F" w:rsidRPr="00ED41F2" w14:paraId="042EE19F" w14:textId="77777777" w:rsidTr="007E3239">
        <w:trPr>
          <w:jc w:val="center"/>
        </w:trPr>
        <w:tc>
          <w:tcPr>
            <w:tcW w:w="1242" w:type="dxa"/>
            <w:vAlign w:val="center"/>
            <w:hideMark/>
          </w:tcPr>
          <w:p w14:paraId="4C0085AD" w14:textId="77777777" w:rsidR="0099547F" w:rsidRPr="00ED41F2" w:rsidRDefault="0099547F" w:rsidP="007E3239">
            <w:pPr>
              <w:pStyle w:val="TableText"/>
              <w:spacing w:before="40" w:after="40"/>
              <w:jc w:val="center"/>
              <w:rPr>
                <w:i/>
                <w:vertAlign w:val="subscript"/>
              </w:rPr>
            </w:pPr>
            <w:r w:rsidRPr="00ED41F2">
              <w:t>SiO</w:t>
            </w:r>
            <w:r w:rsidRPr="00ED41F2">
              <w:rPr>
                <w:vertAlign w:val="subscript"/>
              </w:rPr>
              <w:t>2</w:t>
            </w:r>
          </w:p>
        </w:tc>
        <w:tc>
          <w:tcPr>
            <w:tcW w:w="1448" w:type="dxa"/>
            <w:vAlign w:val="center"/>
            <w:hideMark/>
          </w:tcPr>
          <w:p w14:paraId="4B151E0E" w14:textId="77777777" w:rsidR="0099547F" w:rsidRPr="00ED41F2" w:rsidRDefault="0099547F" w:rsidP="007E3239">
            <w:pPr>
              <w:pStyle w:val="TableText"/>
              <w:spacing w:before="40" w:after="40"/>
              <w:ind w:right="454"/>
              <w:jc w:val="right"/>
              <w:rPr>
                <w:i/>
              </w:rPr>
            </w:pPr>
            <w:r w:rsidRPr="00ED41F2">
              <w:t>2.3</w:t>
            </w:r>
          </w:p>
        </w:tc>
      </w:tr>
      <w:tr w:rsidR="0099547F" w:rsidRPr="00ED41F2" w14:paraId="6A7BF7BF" w14:textId="77777777" w:rsidTr="007E3239">
        <w:trPr>
          <w:jc w:val="center"/>
        </w:trPr>
        <w:tc>
          <w:tcPr>
            <w:tcW w:w="1242" w:type="dxa"/>
            <w:vAlign w:val="center"/>
            <w:hideMark/>
          </w:tcPr>
          <w:p w14:paraId="15923EC5" w14:textId="77777777" w:rsidR="0099547F" w:rsidRPr="00ED41F2" w:rsidRDefault="0099547F" w:rsidP="007E3239">
            <w:pPr>
              <w:pStyle w:val="TableText"/>
              <w:spacing w:before="40" w:after="40"/>
              <w:jc w:val="center"/>
              <w:rPr>
                <w:i/>
              </w:rPr>
            </w:pPr>
            <w:r w:rsidRPr="00ED41F2">
              <w:t>MnO</w:t>
            </w:r>
          </w:p>
        </w:tc>
        <w:tc>
          <w:tcPr>
            <w:tcW w:w="1448" w:type="dxa"/>
            <w:vAlign w:val="center"/>
            <w:hideMark/>
          </w:tcPr>
          <w:p w14:paraId="267ED346" w14:textId="77777777" w:rsidR="0099547F" w:rsidRPr="00ED41F2" w:rsidRDefault="0099547F" w:rsidP="007E3239">
            <w:pPr>
              <w:pStyle w:val="TableText"/>
              <w:spacing w:before="40" w:after="40"/>
              <w:ind w:right="454"/>
              <w:jc w:val="right"/>
              <w:rPr>
                <w:i/>
              </w:rPr>
            </w:pPr>
            <w:r w:rsidRPr="00ED41F2">
              <w:t>0.6</w:t>
            </w:r>
          </w:p>
        </w:tc>
      </w:tr>
      <w:tr w:rsidR="0099547F" w:rsidRPr="00ED41F2" w14:paraId="792ED94E" w14:textId="77777777" w:rsidTr="007E3239">
        <w:trPr>
          <w:jc w:val="center"/>
        </w:trPr>
        <w:tc>
          <w:tcPr>
            <w:tcW w:w="1242" w:type="dxa"/>
            <w:vAlign w:val="center"/>
            <w:hideMark/>
          </w:tcPr>
          <w:p w14:paraId="30DC59FE" w14:textId="77777777" w:rsidR="0099547F" w:rsidRPr="00ED41F2" w:rsidRDefault="0099547F" w:rsidP="007E3239">
            <w:pPr>
              <w:pStyle w:val="TableText"/>
              <w:spacing w:before="40" w:after="40"/>
              <w:jc w:val="center"/>
              <w:rPr>
                <w:i/>
              </w:rPr>
            </w:pPr>
            <w:r w:rsidRPr="00ED41F2">
              <w:t>CaO</w:t>
            </w:r>
          </w:p>
        </w:tc>
        <w:tc>
          <w:tcPr>
            <w:tcW w:w="1448" w:type="dxa"/>
            <w:vAlign w:val="center"/>
            <w:hideMark/>
          </w:tcPr>
          <w:p w14:paraId="10752591" w14:textId="77777777" w:rsidR="0099547F" w:rsidRPr="00ED41F2" w:rsidRDefault="0099547F" w:rsidP="007E3239">
            <w:pPr>
              <w:pStyle w:val="TableText"/>
              <w:spacing w:before="40" w:after="40"/>
              <w:ind w:right="454"/>
              <w:jc w:val="right"/>
              <w:rPr>
                <w:i/>
              </w:rPr>
            </w:pPr>
            <w:r w:rsidRPr="00ED41F2">
              <w:t>0.5</w:t>
            </w:r>
          </w:p>
        </w:tc>
      </w:tr>
      <w:tr w:rsidR="0099547F" w:rsidRPr="00ED41F2" w14:paraId="12529F8D" w14:textId="77777777" w:rsidTr="007E3239">
        <w:trPr>
          <w:jc w:val="center"/>
        </w:trPr>
        <w:tc>
          <w:tcPr>
            <w:tcW w:w="1242" w:type="dxa"/>
            <w:vAlign w:val="center"/>
            <w:hideMark/>
          </w:tcPr>
          <w:p w14:paraId="155376EE" w14:textId="77777777" w:rsidR="0099547F" w:rsidRPr="00ED41F2" w:rsidRDefault="0099547F" w:rsidP="007E3239">
            <w:pPr>
              <w:pStyle w:val="TableText"/>
              <w:spacing w:before="40" w:after="40"/>
              <w:jc w:val="center"/>
              <w:rPr>
                <w:i/>
                <w:vertAlign w:val="subscript"/>
              </w:rPr>
            </w:pPr>
            <w:r w:rsidRPr="00ED41F2">
              <w:t>V</w:t>
            </w:r>
            <w:r w:rsidRPr="00ED41F2">
              <w:rPr>
                <w:vertAlign w:val="subscript"/>
              </w:rPr>
              <w:t>2</w:t>
            </w:r>
            <w:r w:rsidRPr="00ED41F2">
              <w:t>O</w:t>
            </w:r>
            <w:r w:rsidRPr="00ED41F2">
              <w:rPr>
                <w:vertAlign w:val="subscript"/>
              </w:rPr>
              <w:t>3</w:t>
            </w:r>
          </w:p>
        </w:tc>
        <w:tc>
          <w:tcPr>
            <w:tcW w:w="1448" w:type="dxa"/>
            <w:vAlign w:val="center"/>
            <w:hideMark/>
          </w:tcPr>
          <w:p w14:paraId="3E064A06" w14:textId="77777777" w:rsidR="0099547F" w:rsidRPr="00ED41F2" w:rsidRDefault="0099547F" w:rsidP="007E3239">
            <w:pPr>
              <w:pStyle w:val="TableText"/>
              <w:spacing w:before="40" w:after="40"/>
              <w:ind w:right="454"/>
              <w:jc w:val="right"/>
              <w:rPr>
                <w:i/>
              </w:rPr>
            </w:pPr>
            <w:r w:rsidRPr="00ED41F2">
              <w:t>0.5</w:t>
            </w:r>
          </w:p>
        </w:tc>
      </w:tr>
      <w:tr w:rsidR="0099547F" w:rsidRPr="00ED41F2" w14:paraId="19A6F702" w14:textId="77777777" w:rsidTr="007E3239">
        <w:trPr>
          <w:jc w:val="center"/>
        </w:trPr>
        <w:tc>
          <w:tcPr>
            <w:tcW w:w="1242" w:type="dxa"/>
            <w:vAlign w:val="center"/>
            <w:hideMark/>
          </w:tcPr>
          <w:p w14:paraId="06BF8FC3" w14:textId="77777777" w:rsidR="0099547F" w:rsidRPr="00ED41F2" w:rsidRDefault="0099547F" w:rsidP="007E3239">
            <w:pPr>
              <w:pStyle w:val="TableText"/>
              <w:spacing w:before="40" w:after="40"/>
              <w:jc w:val="center"/>
              <w:rPr>
                <w:i/>
              </w:rPr>
            </w:pPr>
            <w:r w:rsidRPr="00ED41F2">
              <w:t>Zn</w:t>
            </w:r>
          </w:p>
        </w:tc>
        <w:tc>
          <w:tcPr>
            <w:tcW w:w="1448" w:type="dxa"/>
            <w:vAlign w:val="center"/>
            <w:hideMark/>
          </w:tcPr>
          <w:p w14:paraId="7DFACD67" w14:textId="77777777" w:rsidR="0099547F" w:rsidRPr="00ED41F2" w:rsidRDefault="0099547F" w:rsidP="007E3239">
            <w:pPr>
              <w:pStyle w:val="TableText"/>
              <w:spacing w:before="40" w:after="40"/>
              <w:ind w:right="454"/>
              <w:jc w:val="right"/>
              <w:rPr>
                <w:i/>
              </w:rPr>
            </w:pPr>
            <w:r w:rsidRPr="00ED41F2">
              <w:t>0.1</w:t>
            </w:r>
          </w:p>
        </w:tc>
      </w:tr>
      <w:tr w:rsidR="0099547F" w:rsidRPr="00ED41F2" w14:paraId="52BB8F87" w14:textId="77777777" w:rsidTr="007E3239">
        <w:trPr>
          <w:jc w:val="center"/>
        </w:trPr>
        <w:tc>
          <w:tcPr>
            <w:tcW w:w="1242" w:type="dxa"/>
            <w:vAlign w:val="center"/>
            <w:hideMark/>
          </w:tcPr>
          <w:p w14:paraId="355ED4AE" w14:textId="77777777" w:rsidR="0099547F" w:rsidRPr="00ED41F2" w:rsidRDefault="0099547F" w:rsidP="007E3239">
            <w:pPr>
              <w:pStyle w:val="TableText"/>
              <w:spacing w:before="40" w:after="40"/>
              <w:jc w:val="center"/>
              <w:rPr>
                <w:i/>
              </w:rPr>
            </w:pPr>
            <w:r w:rsidRPr="00ED41F2">
              <w:t>Na</w:t>
            </w:r>
            <w:r w:rsidRPr="00ED41F2">
              <w:rPr>
                <w:vertAlign w:val="subscript"/>
              </w:rPr>
              <w:t>2</w:t>
            </w:r>
            <w:r w:rsidRPr="00ED41F2">
              <w:t>O</w:t>
            </w:r>
          </w:p>
        </w:tc>
        <w:tc>
          <w:tcPr>
            <w:tcW w:w="1448" w:type="dxa"/>
            <w:vAlign w:val="center"/>
            <w:hideMark/>
          </w:tcPr>
          <w:p w14:paraId="1211DF98" w14:textId="77777777" w:rsidR="0099547F" w:rsidRPr="00ED41F2" w:rsidRDefault="0099547F" w:rsidP="007E3239">
            <w:pPr>
              <w:pStyle w:val="TableText"/>
              <w:spacing w:before="40" w:after="40"/>
              <w:ind w:right="454"/>
              <w:jc w:val="right"/>
              <w:rPr>
                <w:i/>
              </w:rPr>
            </w:pPr>
            <w:r w:rsidRPr="00ED41F2">
              <w:t>0.1</w:t>
            </w:r>
          </w:p>
        </w:tc>
      </w:tr>
      <w:tr w:rsidR="0099547F" w:rsidRPr="00ED41F2" w14:paraId="70B25055" w14:textId="77777777" w:rsidTr="007E3239">
        <w:trPr>
          <w:jc w:val="center"/>
        </w:trPr>
        <w:tc>
          <w:tcPr>
            <w:tcW w:w="1242" w:type="dxa"/>
            <w:vAlign w:val="center"/>
            <w:hideMark/>
          </w:tcPr>
          <w:p w14:paraId="007E0890" w14:textId="77777777" w:rsidR="0099547F" w:rsidRPr="00ED41F2" w:rsidRDefault="0099547F" w:rsidP="007E3239">
            <w:pPr>
              <w:pStyle w:val="TableText"/>
              <w:spacing w:before="40" w:after="40"/>
              <w:jc w:val="center"/>
              <w:rPr>
                <w:i/>
              </w:rPr>
            </w:pPr>
            <w:r w:rsidRPr="00ED41F2">
              <w:t>Cr</w:t>
            </w:r>
          </w:p>
        </w:tc>
        <w:tc>
          <w:tcPr>
            <w:tcW w:w="1448" w:type="dxa"/>
            <w:vAlign w:val="center"/>
            <w:hideMark/>
          </w:tcPr>
          <w:p w14:paraId="7E1B199B" w14:textId="77777777" w:rsidR="0099547F" w:rsidRPr="00ED41F2" w:rsidRDefault="0099547F" w:rsidP="007E3239">
            <w:pPr>
              <w:pStyle w:val="TableText"/>
              <w:spacing w:before="40" w:after="40"/>
              <w:ind w:right="454"/>
              <w:jc w:val="right"/>
              <w:rPr>
                <w:i/>
              </w:rPr>
            </w:pPr>
            <w:r w:rsidRPr="00ED41F2">
              <w:t>0.0</w:t>
            </w:r>
          </w:p>
        </w:tc>
      </w:tr>
      <w:tr w:rsidR="0099547F" w:rsidRPr="00ED41F2" w14:paraId="7F66266B" w14:textId="77777777" w:rsidTr="007E3239">
        <w:trPr>
          <w:jc w:val="center"/>
        </w:trPr>
        <w:tc>
          <w:tcPr>
            <w:tcW w:w="1242" w:type="dxa"/>
            <w:vAlign w:val="center"/>
            <w:hideMark/>
          </w:tcPr>
          <w:p w14:paraId="03C0D062" w14:textId="77777777" w:rsidR="0099547F" w:rsidRPr="00ED41F2" w:rsidRDefault="0099547F" w:rsidP="007E3239">
            <w:pPr>
              <w:pStyle w:val="TableText"/>
              <w:spacing w:before="40" w:after="40"/>
              <w:jc w:val="center"/>
              <w:rPr>
                <w:i/>
              </w:rPr>
            </w:pPr>
            <w:r w:rsidRPr="00ED41F2">
              <w:t>P</w:t>
            </w:r>
          </w:p>
        </w:tc>
        <w:tc>
          <w:tcPr>
            <w:tcW w:w="1448" w:type="dxa"/>
            <w:vAlign w:val="center"/>
            <w:hideMark/>
          </w:tcPr>
          <w:p w14:paraId="1706EAB0" w14:textId="77777777" w:rsidR="0099547F" w:rsidRPr="00ED41F2" w:rsidRDefault="0099547F" w:rsidP="007E3239">
            <w:pPr>
              <w:pStyle w:val="TableText"/>
              <w:spacing w:before="40" w:after="40"/>
              <w:ind w:right="454"/>
              <w:jc w:val="right"/>
              <w:rPr>
                <w:i/>
              </w:rPr>
            </w:pPr>
            <w:r w:rsidRPr="00ED41F2">
              <w:t>0.0</w:t>
            </w:r>
          </w:p>
        </w:tc>
      </w:tr>
      <w:tr w:rsidR="0099547F" w:rsidRPr="00ED41F2" w14:paraId="1EF27492" w14:textId="77777777" w:rsidTr="007E3239">
        <w:trPr>
          <w:jc w:val="center"/>
        </w:trPr>
        <w:tc>
          <w:tcPr>
            <w:tcW w:w="1242" w:type="dxa"/>
            <w:vAlign w:val="center"/>
            <w:hideMark/>
          </w:tcPr>
          <w:p w14:paraId="0CDCD7D3" w14:textId="77777777" w:rsidR="0099547F" w:rsidRPr="00ED41F2" w:rsidRDefault="0099547F" w:rsidP="007E3239">
            <w:pPr>
              <w:pStyle w:val="TableText"/>
              <w:spacing w:before="40" w:after="40"/>
              <w:jc w:val="center"/>
              <w:rPr>
                <w:i/>
              </w:rPr>
            </w:pPr>
            <w:r w:rsidRPr="00ED41F2">
              <w:t>K</w:t>
            </w:r>
            <w:r w:rsidRPr="00ED41F2">
              <w:rPr>
                <w:vertAlign w:val="subscript"/>
              </w:rPr>
              <w:t>2</w:t>
            </w:r>
            <w:r w:rsidRPr="00ED41F2">
              <w:t>O</w:t>
            </w:r>
          </w:p>
        </w:tc>
        <w:tc>
          <w:tcPr>
            <w:tcW w:w="1448" w:type="dxa"/>
            <w:vAlign w:val="center"/>
            <w:hideMark/>
          </w:tcPr>
          <w:p w14:paraId="0F50845C" w14:textId="77777777" w:rsidR="0099547F" w:rsidRPr="00ED41F2" w:rsidRDefault="0099547F" w:rsidP="007E3239">
            <w:pPr>
              <w:pStyle w:val="TableText"/>
              <w:spacing w:before="40" w:after="40"/>
              <w:ind w:right="454"/>
              <w:jc w:val="right"/>
              <w:rPr>
                <w:i/>
              </w:rPr>
            </w:pPr>
            <w:r w:rsidRPr="00ED41F2">
              <w:t>0.0</w:t>
            </w:r>
          </w:p>
        </w:tc>
      </w:tr>
      <w:tr w:rsidR="0099547F" w:rsidRPr="00ED41F2" w14:paraId="504A7A07" w14:textId="77777777" w:rsidTr="007E3239">
        <w:trPr>
          <w:jc w:val="center"/>
        </w:trPr>
        <w:tc>
          <w:tcPr>
            <w:tcW w:w="1242" w:type="dxa"/>
            <w:vAlign w:val="center"/>
            <w:hideMark/>
          </w:tcPr>
          <w:p w14:paraId="566ED2E3" w14:textId="77777777" w:rsidR="0099547F" w:rsidRPr="00ED41F2" w:rsidRDefault="0099547F" w:rsidP="007E3239">
            <w:pPr>
              <w:pStyle w:val="TableText"/>
              <w:spacing w:before="40" w:after="40"/>
              <w:jc w:val="center"/>
              <w:rPr>
                <w:i/>
              </w:rPr>
            </w:pPr>
            <w:r w:rsidRPr="00ED41F2">
              <w:t>Cu</w:t>
            </w:r>
          </w:p>
        </w:tc>
        <w:tc>
          <w:tcPr>
            <w:tcW w:w="1448" w:type="dxa"/>
            <w:vAlign w:val="center"/>
            <w:hideMark/>
          </w:tcPr>
          <w:p w14:paraId="749D4419" w14:textId="77777777" w:rsidR="0099547F" w:rsidRPr="00ED41F2" w:rsidRDefault="0099547F" w:rsidP="007E3239">
            <w:pPr>
              <w:pStyle w:val="TableText"/>
              <w:spacing w:before="40" w:after="40"/>
              <w:ind w:right="454"/>
              <w:jc w:val="right"/>
              <w:rPr>
                <w:i/>
              </w:rPr>
            </w:pPr>
            <w:r w:rsidRPr="00ED41F2">
              <w:t>0.0</w:t>
            </w:r>
          </w:p>
        </w:tc>
      </w:tr>
      <w:tr w:rsidR="0099547F" w:rsidRPr="00ED41F2" w14:paraId="19F8202B" w14:textId="77777777" w:rsidTr="007E3239">
        <w:trPr>
          <w:jc w:val="center"/>
        </w:trPr>
        <w:tc>
          <w:tcPr>
            <w:tcW w:w="1242" w:type="dxa"/>
            <w:vAlign w:val="center"/>
            <w:hideMark/>
          </w:tcPr>
          <w:p w14:paraId="54383DA0" w14:textId="77777777" w:rsidR="0099547F" w:rsidRPr="00ED41F2" w:rsidRDefault="0099547F" w:rsidP="007E3239">
            <w:pPr>
              <w:pStyle w:val="TableText"/>
              <w:spacing w:before="40" w:after="40"/>
              <w:jc w:val="center"/>
              <w:rPr>
                <w:b/>
                <w:bCs/>
                <w:i/>
              </w:rPr>
            </w:pPr>
            <w:r w:rsidRPr="00ED41F2">
              <w:rPr>
                <w:b/>
                <w:bCs/>
              </w:rPr>
              <w:t>Total</w:t>
            </w:r>
          </w:p>
        </w:tc>
        <w:tc>
          <w:tcPr>
            <w:tcW w:w="1448" w:type="dxa"/>
            <w:vAlign w:val="center"/>
            <w:hideMark/>
          </w:tcPr>
          <w:p w14:paraId="0CA11039" w14:textId="77777777" w:rsidR="0099547F" w:rsidRPr="00ED41F2" w:rsidRDefault="0099547F" w:rsidP="007E3239">
            <w:pPr>
              <w:pStyle w:val="TableText"/>
              <w:spacing w:before="40" w:after="40"/>
              <w:ind w:right="454"/>
              <w:jc w:val="right"/>
              <w:rPr>
                <w:b/>
                <w:bCs/>
                <w:i/>
              </w:rPr>
            </w:pPr>
            <w:r w:rsidRPr="00ED41F2">
              <w:rPr>
                <w:b/>
                <w:bCs/>
              </w:rPr>
              <w:t>100.0</w:t>
            </w:r>
          </w:p>
        </w:tc>
      </w:tr>
    </w:tbl>
    <w:p w14:paraId="5EF6D3B5" w14:textId="77777777" w:rsidR="0099547F" w:rsidRPr="00ED41F2" w:rsidRDefault="0099547F" w:rsidP="002F1EF6">
      <w:pPr>
        <w:pStyle w:val="BodyText"/>
        <w:keepNext/>
        <w:spacing w:after="100"/>
      </w:pPr>
      <w:r w:rsidRPr="00ED41F2">
        <w:lastRenderedPageBreak/>
        <w:t>Figure 4.4.1 shows a simplified illustration of steel production in New Zealand.</w:t>
      </w:r>
    </w:p>
    <w:p w14:paraId="3E24A889" w14:textId="77777777" w:rsidR="0099547F" w:rsidRPr="00ED41F2" w:rsidRDefault="0099547F" w:rsidP="0099547F">
      <w:pPr>
        <w:pStyle w:val="Figure"/>
        <w:spacing w:after="0"/>
      </w:pPr>
      <w:bookmarkStart w:id="486" w:name="_Toc5269682"/>
      <w:bookmarkStart w:id="487" w:name="_Toc36292785"/>
      <w:bookmarkStart w:id="488" w:name="_Toc68786650"/>
      <w:bookmarkStart w:id="489" w:name="_Toc99696030"/>
      <w:r w:rsidRPr="00ED41F2">
        <w:t xml:space="preserve">Figure 4.4.1 </w:t>
      </w:r>
      <w:r w:rsidRPr="00ED41F2">
        <w:tab/>
        <w:t>Simplified schematic of iron and steel production in New Zealand</w:t>
      </w:r>
      <w:bookmarkEnd w:id="486"/>
      <w:bookmarkEnd w:id="487"/>
      <w:bookmarkEnd w:id="488"/>
      <w:bookmarkEnd w:id="489"/>
    </w:p>
    <w:p w14:paraId="1F626B2F" w14:textId="6772164D" w:rsidR="0099547F" w:rsidRPr="00ED41F2" w:rsidRDefault="004B48CC" w:rsidP="0099547F">
      <w:pPr>
        <w:pStyle w:val="BodyText"/>
        <w:spacing w:after="80"/>
      </w:pPr>
      <w:r>
        <w:pict w14:anchorId="260AD48E">
          <v:shape id="_x0000_i1067" type="#_x0000_t75" alt="Diagram&#10;&#10;Description automatically generated" style="width:413.6pt;height:247pt;visibility:visible;mso-wrap-style:square">
            <v:imagedata r:id="rId93" o:title="Diagram&#10;&#10;Description automatically generated" croptop="18014f" cropbottom="9960f" cropleft="13869f" cropright="17542f"/>
          </v:shape>
        </w:pict>
      </w:r>
    </w:p>
    <w:p w14:paraId="1DB6B4A1" w14:textId="77777777" w:rsidR="0099547F" w:rsidRPr="00ED41F2" w:rsidRDefault="0099547F" w:rsidP="002F1EF6">
      <w:pPr>
        <w:pStyle w:val="BodyText"/>
        <w:spacing w:after="100"/>
      </w:pPr>
      <w:r w:rsidRPr="00ED41F2">
        <w:t>Nearly all of the carbon entering the process is from coal used as a reductant in the iron-making process, and nearly all of this is emitted as CO</w:t>
      </w:r>
      <w:r w:rsidRPr="00ED41F2">
        <w:rPr>
          <w:vertAlign w:val="subscript"/>
        </w:rPr>
        <w:t>2</w:t>
      </w:r>
      <w:r w:rsidRPr="00ED41F2">
        <w:t xml:space="preserve"> in two waste gas streams: </w:t>
      </w:r>
    </w:p>
    <w:p w14:paraId="053C5411" w14:textId="77777777" w:rsidR="0099547F" w:rsidRPr="00ED41F2" w:rsidRDefault="0099547F" w:rsidP="002F1EF6">
      <w:pPr>
        <w:pStyle w:val="Bullet"/>
        <w:spacing w:after="100"/>
      </w:pPr>
      <w:r w:rsidRPr="00ED41F2">
        <w:t xml:space="preserve">gas generated in </w:t>
      </w:r>
      <w:r w:rsidRPr="00B153C7">
        <w:t>multihearth</w:t>
      </w:r>
      <w:r w:rsidRPr="00ED41F2">
        <w:t xml:space="preserve"> furnaces used to heat and dry concentrated iron sand and coal – this gas contains excess volatiles from the coal</w:t>
      </w:r>
    </w:p>
    <w:p w14:paraId="7671BFE7" w14:textId="77777777" w:rsidR="0099547F" w:rsidRPr="00ED41F2" w:rsidRDefault="0099547F" w:rsidP="002F1EF6">
      <w:pPr>
        <w:pStyle w:val="Bullet"/>
        <w:spacing w:after="100"/>
      </w:pPr>
      <w:r w:rsidRPr="00ED41F2">
        <w:t xml:space="preserve">gas generated in rotary reduction kilns used to </w:t>
      </w:r>
      <w:r w:rsidRPr="00B153C7">
        <w:t>convert</w:t>
      </w:r>
      <w:r w:rsidRPr="00ED41F2">
        <w:t xml:space="preserve"> oxide in the iron sand to iron </w:t>
      </w:r>
      <w:r w:rsidRPr="00ED41F2">
        <w:br/>
        <w:t xml:space="preserve">– this gas is rich in CO. </w:t>
      </w:r>
    </w:p>
    <w:p w14:paraId="04DBF5CF" w14:textId="77777777" w:rsidR="0099547F" w:rsidRPr="00ED41F2" w:rsidRDefault="0099547F" w:rsidP="002F1EF6">
      <w:pPr>
        <w:pStyle w:val="BodyText"/>
        <w:spacing w:before="100" w:after="100"/>
      </w:pPr>
      <w:r w:rsidRPr="00ED41F2">
        <w:t xml:space="preserve">All of this waste gas is combusted in ‘afterburners’ and used for electricity production. It would not be acceptable for gas containing coal volatiles or CO to be emitted without this combustion stage. There is no other flaring or disposal mode for the waste gases. Emissions from supplementary natural gas used in this plant are reported under the Energy sector (1.A.2.a). </w:t>
      </w:r>
    </w:p>
    <w:p w14:paraId="0571C777" w14:textId="77777777" w:rsidR="0099547F" w:rsidRPr="00ED41F2" w:rsidRDefault="0099547F" w:rsidP="0099547F">
      <w:pPr>
        <w:pStyle w:val="BodyText"/>
        <w:spacing w:before="100" w:after="100"/>
      </w:pPr>
      <w:r w:rsidRPr="00ED41F2">
        <w:t>Much smaller amounts of CO</w:t>
      </w:r>
      <w:r w:rsidRPr="00ED41F2">
        <w:rPr>
          <w:vertAlign w:val="subscript"/>
        </w:rPr>
        <w:t>2</w:t>
      </w:r>
      <w:r w:rsidRPr="00ED41F2">
        <w:t xml:space="preserve"> are derived from limestone added to the multihearth furnaces, and from additives and natural gas used in melters and steel making. </w:t>
      </w:r>
    </w:p>
    <w:p w14:paraId="78FDDBB8" w14:textId="77777777" w:rsidR="0099547F" w:rsidRPr="00ED41F2" w:rsidRDefault="0099547F" w:rsidP="0099547F">
      <w:pPr>
        <w:pStyle w:val="Heading5"/>
        <w:spacing w:before="200"/>
      </w:pPr>
      <w:r w:rsidRPr="00ED41F2">
        <w:t>Aluminium production (2.C.3)</w:t>
      </w:r>
    </w:p>
    <w:p w14:paraId="3DE32A97" w14:textId="77777777" w:rsidR="0099547F" w:rsidRPr="00ED41F2" w:rsidRDefault="0099547F" w:rsidP="0099547F">
      <w:pPr>
        <w:pStyle w:val="BodyText"/>
        <w:spacing w:before="100" w:after="100"/>
      </w:pPr>
      <w:r w:rsidRPr="00ED41F2">
        <w:t>Carbon dioxide is emitted during the oxidation of carbon anodes. The two PFCs perfluoromethane (CF</w:t>
      </w:r>
      <w:r w:rsidRPr="00ED41F2">
        <w:rPr>
          <w:vertAlign w:val="subscript"/>
        </w:rPr>
        <w:t>4</w:t>
      </w:r>
      <w:r w:rsidRPr="00ED41F2">
        <w:t>) and perfluoroethane (C</w:t>
      </w:r>
      <w:r w:rsidRPr="00ED41F2">
        <w:rPr>
          <w:vertAlign w:val="subscript"/>
        </w:rPr>
        <w:t>2</w:t>
      </w:r>
      <w:r w:rsidRPr="00ED41F2">
        <w:t>F</w:t>
      </w:r>
      <w:r w:rsidRPr="00ED41F2">
        <w:rPr>
          <w:vertAlign w:val="subscript"/>
        </w:rPr>
        <w:t>6</w:t>
      </w:r>
      <w:r w:rsidRPr="00ED41F2">
        <w:t xml:space="preserve">) are emitted from the reduction cells used for smelting during anode effects. An anode effect occurs when the aluminium oxide concentration in the cell is low. The emissions from combustion of various fuels used in aluminium production (heavy fuel oil, liquefied petroleum gas, petrol and diesel) are reported under the Energy sector. </w:t>
      </w:r>
    </w:p>
    <w:p w14:paraId="4EE5A95D" w14:textId="77777777" w:rsidR="0099547F" w:rsidRPr="00ED41F2" w:rsidRDefault="0099547F" w:rsidP="0099547F">
      <w:pPr>
        <w:pStyle w:val="BodyText"/>
        <w:spacing w:before="100" w:after="100"/>
      </w:pPr>
      <w:r w:rsidRPr="00ED41F2">
        <w:t xml:space="preserve">In 2020, the </w:t>
      </w:r>
      <w:r w:rsidRPr="00ED41F2">
        <w:rPr>
          <w:i/>
        </w:rPr>
        <w:t>Aluminium production</w:t>
      </w:r>
      <w:r w:rsidRPr="00ED41F2">
        <w:t xml:space="preserve"> category accounted for 637.1 kt CO</w:t>
      </w:r>
      <w:r w:rsidRPr="00ED41F2">
        <w:rPr>
          <w:vertAlign w:val="subscript"/>
        </w:rPr>
        <w:t>2</w:t>
      </w:r>
      <w:r w:rsidRPr="00ED41F2">
        <w:t xml:space="preserve">-e (28.8 per cent) of emissions from the </w:t>
      </w:r>
      <w:r w:rsidRPr="00ED41F2">
        <w:rPr>
          <w:i/>
        </w:rPr>
        <w:t>Metal industry</w:t>
      </w:r>
      <w:r w:rsidRPr="00ED41F2">
        <w:t xml:space="preserve"> category. Activity data (production of hot metal aluminium from the smelter) and estimates of CO</w:t>
      </w:r>
      <w:r w:rsidRPr="00ED41F2">
        <w:rPr>
          <w:vertAlign w:val="subscript"/>
        </w:rPr>
        <w:t xml:space="preserve">2 </w:t>
      </w:r>
      <w:r w:rsidRPr="00ED41F2">
        <w:t>and PFC emissions were supplied by NZAS to MBIE until 2010. From 2011 to 2020, the CO</w:t>
      </w:r>
      <w:r w:rsidRPr="00ED41F2">
        <w:rPr>
          <w:vertAlign w:val="subscript"/>
        </w:rPr>
        <w:t>2</w:t>
      </w:r>
      <w:r w:rsidRPr="00ED41F2">
        <w:t xml:space="preserve"> and PFC emissions data and activity data were sourced from the company’s NZ ETS reporting. </w:t>
      </w:r>
    </w:p>
    <w:p w14:paraId="5B9F2BB3" w14:textId="77777777" w:rsidR="0099547F" w:rsidRPr="00ED41F2" w:rsidRDefault="0099547F" w:rsidP="0099547F">
      <w:pPr>
        <w:pStyle w:val="Heading5"/>
      </w:pPr>
      <w:r w:rsidRPr="00ED41F2">
        <w:lastRenderedPageBreak/>
        <w:t>Magnesium and other metal production</w:t>
      </w:r>
    </w:p>
    <w:p w14:paraId="045C66D8" w14:textId="77777777" w:rsidR="0099547F" w:rsidRPr="00ED41F2" w:rsidRDefault="0099547F" w:rsidP="0099547F">
      <w:pPr>
        <w:pStyle w:val="BodyText"/>
        <w:spacing w:before="100" w:after="100"/>
      </w:pPr>
      <w:r w:rsidRPr="00ED41F2">
        <w:t>From 1990 to 1999 a very small amount of SF</w:t>
      </w:r>
      <w:r w:rsidRPr="00ED41F2">
        <w:rPr>
          <w:vertAlign w:val="subscript"/>
        </w:rPr>
        <w:t>6</w:t>
      </w:r>
      <w:r w:rsidRPr="00ED41F2">
        <w:t xml:space="preserve"> was used as a cover gas in a magnesium foundry. Emissions are estimated based on an approximate estimate of the amount of SF</w:t>
      </w:r>
      <w:r w:rsidRPr="00ED41F2">
        <w:rPr>
          <w:vertAlign w:val="subscript"/>
        </w:rPr>
        <w:t>6</w:t>
      </w:r>
      <w:r w:rsidRPr="00ED41F2">
        <w:t xml:space="preserve"> that was used (2.C.4). No other activity data are available (CRL Energy, </w:t>
      </w:r>
      <w:r w:rsidRPr="00ED41F2">
        <w:rPr>
          <w:rFonts w:eastAsia="+mn-ea"/>
        </w:rPr>
        <w:t>unpublished(b)</w:t>
      </w:r>
      <w:r w:rsidRPr="00ED41F2">
        <w:t xml:space="preserve">). </w:t>
      </w:r>
    </w:p>
    <w:p w14:paraId="67E226C3" w14:textId="77777777" w:rsidR="0099547F" w:rsidRPr="00ED41F2" w:rsidRDefault="0099547F" w:rsidP="0099547F">
      <w:pPr>
        <w:pStyle w:val="BodyText"/>
        <w:spacing w:before="100" w:after="100"/>
      </w:pPr>
      <w:r w:rsidRPr="00ED41F2">
        <w:t>A very small amount of CO</w:t>
      </w:r>
      <w:r w:rsidRPr="00ED41F2">
        <w:rPr>
          <w:vertAlign w:val="subscript"/>
        </w:rPr>
        <w:t>2</w:t>
      </w:r>
      <w:r w:rsidRPr="00ED41F2">
        <w:t xml:space="preserve"> emissions was also reported from secondary lead production between 1990 and 2015, with the approximate recycled lead output as the activity data. This production has now stopped. The only other metal production that occurs in New Zealand is gold and silver mining. No emissions are reported from these activities. </w:t>
      </w:r>
    </w:p>
    <w:p w14:paraId="69F5ECD1" w14:textId="77777777" w:rsidR="0099547F" w:rsidRPr="00ED41F2" w:rsidRDefault="0099547F" w:rsidP="00CF3E69">
      <w:pPr>
        <w:pStyle w:val="Heading4"/>
      </w:pPr>
      <w:r w:rsidRPr="00ED41F2">
        <w:t>Choice of methods</w:t>
      </w:r>
    </w:p>
    <w:p w14:paraId="1A8AEFEF" w14:textId="77777777" w:rsidR="0099547F" w:rsidRPr="00ED41F2" w:rsidRDefault="0099547F" w:rsidP="0099547F">
      <w:pPr>
        <w:pStyle w:val="Heading5"/>
        <w:spacing w:before="120"/>
      </w:pPr>
      <w:r w:rsidRPr="00ED41F2">
        <w:t>Iron and steel production (2.C.1 and 2.C.1.a)</w:t>
      </w:r>
    </w:p>
    <w:p w14:paraId="5F236DC7" w14:textId="77777777" w:rsidR="0099547F" w:rsidRPr="00ED41F2" w:rsidRDefault="0099547F" w:rsidP="0099547F">
      <w:pPr>
        <w:pStyle w:val="BodyText"/>
        <w:spacing w:before="100" w:after="100"/>
      </w:pPr>
      <w:r w:rsidRPr="00ED41F2">
        <w:t>The IPCC Tier 2 approach is used for calculating CO</w:t>
      </w:r>
      <w:r w:rsidRPr="00ED41F2">
        <w:rPr>
          <w:vertAlign w:val="subscript"/>
        </w:rPr>
        <w:t>2</w:t>
      </w:r>
      <w:r w:rsidRPr="00ED41F2">
        <w:t xml:space="preserve"> emissions from the iron and steel plant operated by New Zealand Steel Limited. Emissions from pig iron and steel production are not estimated separately because all of the iron made is processed into steel. This is a mass balance approach in which all carbon in inputs is assumed to be emitted, except the small amount sequestered in the steel produced. </w:t>
      </w:r>
    </w:p>
    <w:p w14:paraId="6D374FD8" w14:textId="77777777" w:rsidR="0099547F" w:rsidRPr="00ED41F2" w:rsidRDefault="0099547F" w:rsidP="0099547F">
      <w:pPr>
        <w:pStyle w:val="BodyText"/>
        <w:spacing w:before="100" w:after="100"/>
      </w:pPr>
      <w:r w:rsidRPr="00ED41F2">
        <w:t>Most of the input carbon comes from the coal used as a reductant. There are also some CO</w:t>
      </w:r>
      <w:r w:rsidRPr="00ED41F2">
        <w:rPr>
          <w:vertAlign w:val="subscript"/>
        </w:rPr>
        <w:t>2</w:t>
      </w:r>
      <w:r w:rsidRPr="00ED41F2">
        <w:t xml:space="preserve"> emissions from the use of limestone in iron and steel production. These emissions are reported in the </w:t>
      </w:r>
      <w:r w:rsidRPr="00ED41F2">
        <w:rPr>
          <w:i/>
        </w:rPr>
        <w:t>Mineral industry</w:t>
      </w:r>
      <w:r w:rsidRPr="00ED41F2">
        <w:t xml:space="preserve"> category (2.A.4.d), to preserve the confidentiality of data on</w:t>
      </w:r>
      <w:r>
        <w:t xml:space="preserve"> </w:t>
      </w:r>
      <w:r w:rsidRPr="00ED41F2">
        <w:t xml:space="preserve">limestone use supplied by companies in the </w:t>
      </w:r>
      <w:r w:rsidRPr="00ED41F2">
        <w:rPr>
          <w:i/>
        </w:rPr>
        <w:t>Glass production</w:t>
      </w:r>
      <w:r w:rsidRPr="00ED41F2">
        <w:t xml:space="preserve"> category. A very small amount of</w:t>
      </w:r>
      <w:r>
        <w:t> </w:t>
      </w:r>
      <w:r w:rsidRPr="00ED41F2">
        <w:t>CO</w:t>
      </w:r>
      <w:r w:rsidRPr="00ED41F2">
        <w:rPr>
          <w:vertAlign w:val="subscript"/>
        </w:rPr>
        <w:t>2</w:t>
      </w:r>
      <w:r w:rsidRPr="00ED41F2">
        <w:t xml:space="preserve"> from other carbon-containing inputs (coke and electrodes) is also included. </w:t>
      </w:r>
    </w:p>
    <w:p w14:paraId="7DFF0887" w14:textId="77777777" w:rsidR="0099547F" w:rsidRPr="00ED41F2" w:rsidRDefault="0099547F" w:rsidP="0099547F">
      <w:pPr>
        <w:pStyle w:val="BodyText"/>
        <w:spacing w:before="100" w:after="100"/>
      </w:pPr>
      <w:r w:rsidRPr="00ED41F2">
        <w:t xml:space="preserve">Emissions from the production of steel by Pacific Steel have also been estimated using the Tier 2 mass balance approach. The average carbon content (0.2 per cent by mass) in the finished product is subtracted from the total carbon in inputs to obtain the amount of carbon emitted. Due to limited process data collected and retained by Pacific Steel in the past, emissions for the years 1990 to 1999 were calculated using the average of the implied emission factors for 2000 to 2008 based on production volume. </w:t>
      </w:r>
    </w:p>
    <w:p w14:paraId="3BF71502" w14:textId="77777777" w:rsidR="0099547F" w:rsidRPr="00ED41F2" w:rsidRDefault="0099547F" w:rsidP="0099547F">
      <w:pPr>
        <w:pStyle w:val="Heading5"/>
        <w:spacing w:before="180"/>
      </w:pPr>
      <w:r w:rsidRPr="00ED41F2">
        <w:t>Aluminium production (2.C.3)</w:t>
      </w:r>
    </w:p>
    <w:p w14:paraId="10EDD235" w14:textId="77777777" w:rsidR="0099547F" w:rsidRPr="00ED41F2" w:rsidRDefault="0099547F" w:rsidP="002F1EF6">
      <w:pPr>
        <w:pStyle w:val="BodyText"/>
        <w:spacing w:before="100" w:after="100"/>
      </w:pPr>
      <w:r w:rsidRPr="00ED41F2">
        <w:t>NZAS calculates the process CO</w:t>
      </w:r>
      <w:r w:rsidRPr="00ED41F2">
        <w:rPr>
          <w:vertAlign w:val="subscript"/>
        </w:rPr>
        <w:t>2</w:t>
      </w:r>
      <w:r w:rsidRPr="00ED41F2">
        <w:t xml:space="preserve"> emissions using the International Aluminium Institute’s Tier 3 method (International Aluminium Institute, 2006, equations 1–3), which is compliant with the IPCC Tier 2 method (IPPC, 2006a). The same method is used in NZ ETS reporting for aluminium smelting. This method breaks the prebake anode process into three stages: baked anode consumption, pitch volatiles consumption and packing coke consumption. </w:t>
      </w:r>
    </w:p>
    <w:p w14:paraId="0EA604FD" w14:textId="77777777" w:rsidR="0099547F" w:rsidRPr="00ED41F2" w:rsidRDefault="0099547F" w:rsidP="002F1EF6">
      <w:pPr>
        <w:pStyle w:val="BodyText"/>
        <w:spacing w:before="100" w:after="100"/>
      </w:pPr>
      <w:r w:rsidRPr="00ED41F2">
        <w:t>Also, NZAS adds soda ash to the reduction cells to maintain the electrolyte chemical composition. This results in CO</w:t>
      </w:r>
      <w:r w:rsidRPr="00ED41F2">
        <w:rPr>
          <w:vertAlign w:val="subscript"/>
        </w:rPr>
        <w:t>2</w:t>
      </w:r>
      <w:r w:rsidRPr="00ED41F2">
        <w:t xml:space="preserve"> emissions as a by-product. These emissions are reported in the </w:t>
      </w:r>
      <w:r w:rsidRPr="00ED41F2">
        <w:rPr>
          <w:i/>
        </w:rPr>
        <w:t>Mineral industry</w:t>
      </w:r>
      <w:r w:rsidRPr="00ED41F2">
        <w:t xml:space="preserve"> category (2.A.4.b) to preserve the confidentiality of data on soda ash use supplied by companies in the </w:t>
      </w:r>
      <w:r w:rsidRPr="00ED41F2">
        <w:rPr>
          <w:i/>
        </w:rPr>
        <w:t>Glass production</w:t>
      </w:r>
      <w:r w:rsidRPr="00ED41F2">
        <w:t xml:space="preserve"> category. </w:t>
      </w:r>
    </w:p>
    <w:p w14:paraId="121A0733" w14:textId="77777777" w:rsidR="0099547F" w:rsidRPr="00ED41F2" w:rsidRDefault="0099547F" w:rsidP="002F1EF6">
      <w:pPr>
        <w:pStyle w:val="BodyText"/>
        <w:spacing w:before="100" w:after="100"/>
      </w:pPr>
      <w:r w:rsidRPr="00ED41F2">
        <w:t>Data on the duration of anode effects at the smelter are available for 1993 and later years. Perfluorocarbon (CF</w:t>
      </w:r>
      <w:r w:rsidRPr="00ED41F2">
        <w:rPr>
          <w:vertAlign w:val="subscript"/>
        </w:rPr>
        <w:t>4</w:t>
      </w:r>
      <w:r w:rsidRPr="00ED41F2">
        <w:t xml:space="preserve"> and C</w:t>
      </w:r>
      <w:r w:rsidRPr="00ED41F2">
        <w:rPr>
          <w:vertAlign w:val="subscript"/>
        </w:rPr>
        <w:t>2</w:t>
      </w:r>
      <w:r w:rsidRPr="00ED41F2">
        <w:t>F</w:t>
      </w:r>
      <w:r w:rsidRPr="00ED41F2">
        <w:rPr>
          <w:vertAlign w:val="subscript"/>
        </w:rPr>
        <w:t>6</w:t>
      </w:r>
      <w:r w:rsidRPr="00ED41F2">
        <w:t xml:space="preserve">) emissions from aluminium production are estimated using: </w:t>
      </w:r>
    </w:p>
    <w:p w14:paraId="0B92E63B" w14:textId="77777777" w:rsidR="0099547F" w:rsidRPr="00ED41F2" w:rsidRDefault="0099547F" w:rsidP="00AB2A5C">
      <w:pPr>
        <w:pStyle w:val="Bullet"/>
        <w:numPr>
          <w:ilvl w:val="0"/>
          <w:numId w:val="18"/>
        </w:numPr>
        <w:spacing w:after="100"/>
      </w:pPr>
      <w:r w:rsidRPr="00ED41F2">
        <w:t xml:space="preserve">the IPCC Tier 1 method for the years 1990 and 1991. The data needed to apply a Tier 2 method are not available </w:t>
      </w:r>
    </w:p>
    <w:p w14:paraId="1D97097A" w14:textId="77777777" w:rsidR="0099547F" w:rsidRPr="00ED41F2" w:rsidRDefault="0099547F" w:rsidP="00AB2A5C">
      <w:pPr>
        <w:pStyle w:val="Bullet"/>
        <w:numPr>
          <w:ilvl w:val="0"/>
          <w:numId w:val="18"/>
        </w:numPr>
        <w:spacing w:after="100"/>
      </w:pPr>
      <w:r w:rsidRPr="00ED41F2">
        <w:t xml:space="preserve">interpolation for 1992; at this time, there was still no recording of anode effect duration </w:t>
      </w:r>
    </w:p>
    <w:p w14:paraId="46534EF5" w14:textId="77777777" w:rsidR="0099547F" w:rsidRPr="00ED41F2" w:rsidRDefault="0099547F" w:rsidP="00AB2A5C">
      <w:pPr>
        <w:pStyle w:val="Bullet"/>
        <w:numPr>
          <w:ilvl w:val="0"/>
          <w:numId w:val="18"/>
        </w:numPr>
      </w:pPr>
      <w:r w:rsidRPr="00ED41F2">
        <w:t xml:space="preserve">the IPCC Tier 2 method (using slope coefficients) from 1993 to 2020. This method is applied in the reporting requirements the company now uses in its NZ ETS returns. </w:t>
      </w:r>
    </w:p>
    <w:p w14:paraId="0508EB58" w14:textId="77777777" w:rsidR="0099547F" w:rsidRPr="00ED41F2" w:rsidRDefault="0099547F" w:rsidP="0099547F">
      <w:pPr>
        <w:pStyle w:val="BodyText"/>
        <w:rPr>
          <w:spacing w:val="-2"/>
        </w:rPr>
      </w:pPr>
      <w:r w:rsidRPr="00ED41F2">
        <w:rPr>
          <w:spacing w:val="-2"/>
        </w:rPr>
        <w:lastRenderedPageBreak/>
        <w:t xml:space="preserve">There is no history of direct measurement of PFC emissions at the smelter, so site-specific slope coefficients (required for the use of Tier 3) are not currently available. </w:t>
      </w:r>
    </w:p>
    <w:p w14:paraId="42393662" w14:textId="77777777" w:rsidR="0099547F" w:rsidRPr="00ED41F2" w:rsidRDefault="0099547F" w:rsidP="0099547F">
      <w:pPr>
        <w:pStyle w:val="Heading5"/>
        <w:spacing w:before="180"/>
      </w:pPr>
      <w:r w:rsidRPr="00ED41F2">
        <w:t>Magnesium production (2.C.4)</w:t>
      </w:r>
    </w:p>
    <w:p w14:paraId="27E815E9" w14:textId="77777777" w:rsidR="0099547F" w:rsidRPr="00ED41F2" w:rsidRDefault="0099547F" w:rsidP="0099547F">
      <w:pPr>
        <w:pStyle w:val="BodyText"/>
      </w:pPr>
      <w:r w:rsidRPr="00ED41F2">
        <w:t>Emissions are estimated based on an approximate estimate of the amount of SF</w:t>
      </w:r>
      <w:r w:rsidRPr="00ED41F2">
        <w:rPr>
          <w:vertAlign w:val="subscript"/>
        </w:rPr>
        <w:t>6</w:t>
      </w:r>
      <w:r w:rsidRPr="00ED41F2">
        <w:t xml:space="preserve"> that was used as cover gas and on the basis that all SF</w:t>
      </w:r>
      <w:r w:rsidRPr="00ED41F2">
        <w:rPr>
          <w:vertAlign w:val="subscript"/>
        </w:rPr>
        <w:t>6</w:t>
      </w:r>
      <w:r w:rsidRPr="00ED41F2">
        <w:t xml:space="preserve"> used is emitted. The method is Tier 1. </w:t>
      </w:r>
    </w:p>
    <w:p w14:paraId="0D9D49FD" w14:textId="77777777" w:rsidR="0099547F" w:rsidRPr="00ED41F2" w:rsidRDefault="0099547F" w:rsidP="0099547F">
      <w:pPr>
        <w:pStyle w:val="Heading5"/>
        <w:spacing w:before="180"/>
      </w:pPr>
      <w:r w:rsidRPr="00ED41F2">
        <w:t>Lead production (2.C.5)</w:t>
      </w:r>
    </w:p>
    <w:p w14:paraId="662C272E" w14:textId="77777777" w:rsidR="0099547F" w:rsidRPr="00ED41F2" w:rsidRDefault="0099547F" w:rsidP="0099547F">
      <w:pPr>
        <w:pStyle w:val="BodyText"/>
      </w:pPr>
      <w:r w:rsidRPr="00ED41F2">
        <w:t xml:space="preserve">The Tier 1 method is used. </w:t>
      </w:r>
    </w:p>
    <w:p w14:paraId="46E7F95C" w14:textId="77777777" w:rsidR="0099547F" w:rsidRPr="00ED41F2" w:rsidRDefault="0099547F" w:rsidP="00CF3E69">
      <w:pPr>
        <w:pStyle w:val="Heading4"/>
      </w:pPr>
      <w:r w:rsidRPr="00ED41F2">
        <w:t>Choice of emission factors</w:t>
      </w:r>
    </w:p>
    <w:p w14:paraId="4C561C9B" w14:textId="77777777" w:rsidR="0099547F" w:rsidRPr="00ED41F2" w:rsidRDefault="0099547F" w:rsidP="0099547F">
      <w:pPr>
        <w:pStyle w:val="Heading5"/>
        <w:spacing w:before="120"/>
      </w:pPr>
      <w:r w:rsidRPr="00ED41F2">
        <w:t>Carbon dioxide</w:t>
      </w:r>
    </w:p>
    <w:p w14:paraId="1E944C83" w14:textId="77777777" w:rsidR="0099547F" w:rsidRPr="00ED41F2" w:rsidRDefault="0099547F" w:rsidP="0099547F">
      <w:pPr>
        <w:pStyle w:val="BodyText"/>
      </w:pPr>
      <w:r w:rsidRPr="00ED41F2">
        <w:t>Plant-specific emission factors are applied for the sub-bituminous coal used as a reducing agent in iron and steel production. For the early years, the coal emission factor was 0.0937 tonnes of CO</w:t>
      </w:r>
      <w:r w:rsidRPr="00ED41F2">
        <w:rPr>
          <w:vertAlign w:val="subscript"/>
        </w:rPr>
        <w:t>2</w:t>
      </w:r>
      <w:r w:rsidRPr="00ED41F2">
        <w:t xml:space="preserve"> per gigajoule. Plant-specific emission factors are also used for other carbon-containing inputs in both the </w:t>
      </w:r>
      <w:r w:rsidRPr="00ED41F2">
        <w:rPr>
          <w:i/>
        </w:rPr>
        <w:t>Iron and steel production</w:t>
      </w:r>
      <w:r w:rsidRPr="00ED41F2">
        <w:t xml:space="preserve"> and </w:t>
      </w:r>
      <w:r w:rsidRPr="00ED41F2">
        <w:rPr>
          <w:i/>
        </w:rPr>
        <w:t>Aluminium production</w:t>
      </w:r>
      <w:r w:rsidRPr="00ED41F2">
        <w:t xml:space="preserve"> categories. </w:t>
      </w:r>
    </w:p>
    <w:p w14:paraId="3A480E23" w14:textId="77777777" w:rsidR="0099547F" w:rsidRPr="00ED41F2" w:rsidRDefault="0099547F" w:rsidP="0099547F">
      <w:pPr>
        <w:pStyle w:val="BodyText"/>
      </w:pPr>
      <w:r w:rsidRPr="00ED41F2">
        <w:t>For secondary lead production, the IPCC default emission factor (0.2 tonnes of CO</w:t>
      </w:r>
      <w:r w:rsidRPr="00ED41F2">
        <w:rPr>
          <w:vertAlign w:val="subscript"/>
        </w:rPr>
        <w:t>2</w:t>
      </w:r>
      <w:r w:rsidRPr="00ED41F2">
        <w:t xml:space="preserve"> per tonne of lead recycled) is used. </w:t>
      </w:r>
    </w:p>
    <w:p w14:paraId="795338AA" w14:textId="77777777" w:rsidR="0099547F" w:rsidRPr="00ED41F2" w:rsidRDefault="0099547F" w:rsidP="0099547F">
      <w:pPr>
        <w:pStyle w:val="Heading5"/>
        <w:spacing w:before="180"/>
      </w:pPr>
      <w:r w:rsidRPr="00ED41F2">
        <w:t>Perfluorocarbons and SF</w:t>
      </w:r>
      <w:r w:rsidRPr="00ED41F2">
        <w:rPr>
          <w:vertAlign w:val="subscript"/>
        </w:rPr>
        <w:t>6</w:t>
      </w:r>
      <w:r w:rsidRPr="00ED41F2">
        <w:t xml:space="preserve"> </w:t>
      </w:r>
    </w:p>
    <w:p w14:paraId="08B1DDCD" w14:textId="77777777" w:rsidR="0099547F" w:rsidRPr="00ED41F2" w:rsidRDefault="0099547F" w:rsidP="0099547F">
      <w:pPr>
        <w:pStyle w:val="BodyText"/>
      </w:pPr>
      <w:r w:rsidRPr="00ED41F2">
        <w:t>Default emission factors (slope coefficients) are used for emissions of CF</w:t>
      </w:r>
      <w:r w:rsidRPr="00ED41F2">
        <w:rPr>
          <w:vertAlign w:val="subscript"/>
        </w:rPr>
        <w:t>4</w:t>
      </w:r>
      <w:r w:rsidRPr="00ED41F2">
        <w:t xml:space="preserve"> and C</w:t>
      </w:r>
      <w:r w:rsidRPr="00ED41F2">
        <w:rPr>
          <w:vertAlign w:val="subscript"/>
        </w:rPr>
        <w:t>2</w:t>
      </w:r>
      <w:r w:rsidRPr="00ED41F2">
        <w:t>F</w:t>
      </w:r>
      <w:r w:rsidRPr="00ED41F2">
        <w:rPr>
          <w:vertAlign w:val="subscript"/>
        </w:rPr>
        <w:t>6</w:t>
      </w:r>
      <w:r w:rsidRPr="00ED41F2">
        <w:t xml:space="preserve"> from aluminium production. For the emissions in 1990 to 1992, when data on the duration of anode effects are not available and a Tier 1 method is used, the default emission factors of 0.4 kilograms CF</w:t>
      </w:r>
      <w:r w:rsidRPr="00ED41F2">
        <w:rPr>
          <w:vertAlign w:val="subscript"/>
        </w:rPr>
        <w:t>4</w:t>
      </w:r>
      <w:r w:rsidRPr="00ED41F2">
        <w:t xml:space="preserve"> and 0.04 kilograms C</w:t>
      </w:r>
      <w:r w:rsidRPr="00ED41F2">
        <w:rPr>
          <w:vertAlign w:val="subscript"/>
        </w:rPr>
        <w:t>2</w:t>
      </w:r>
      <w:r w:rsidRPr="00ED41F2">
        <w:t>F</w:t>
      </w:r>
      <w:r w:rsidRPr="00ED41F2">
        <w:rPr>
          <w:vertAlign w:val="subscript"/>
        </w:rPr>
        <w:t>6</w:t>
      </w:r>
      <w:r w:rsidRPr="00ED41F2">
        <w:t xml:space="preserve"> per tonne of aluminium are used. </w:t>
      </w:r>
    </w:p>
    <w:p w14:paraId="2A96C7AF" w14:textId="77777777" w:rsidR="0099547F" w:rsidRPr="00ED41F2" w:rsidRDefault="0099547F" w:rsidP="0099547F">
      <w:pPr>
        <w:pStyle w:val="BodyText"/>
      </w:pPr>
      <w:r w:rsidRPr="00ED41F2">
        <w:t>Emissions of SF</w:t>
      </w:r>
      <w:r w:rsidRPr="00ED41F2">
        <w:rPr>
          <w:vertAlign w:val="subscript"/>
        </w:rPr>
        <w:t>6</w:t>
      </w:r>
      <w:r w:rsidRPr="00ED41F2">
        <w:t xml:space="preserve"> used in magnesium casting are considered to be immediate. </w:t>
      </w:r>
    </w:p>
    <w:p w14:paraId="75773F9D" w14:textId="77777777" w:rsidR="0099547F" w:rsidRPr="00ED41F2" w:rsidRDefault="0099547F" w:rsidP="0099547F">
      <w:pPr>
        <w:pStyle w:val="Heading5"/>
        <w:spacing w:before="180"/>
      </w:pPr>
      <w:r w:rsidRPr="00ED41F2">
        <w:t>Indirect emissions</w:t>
      </w:r>
    </w:p>
    <w:p w14:paraId="7AD06F54" w14:textId="77777777" w:rsidR="0099547F" w:rsidRPr="00ED41F2" w:rsidRDefault="0099547F" w:rsidP="0099547F">
      <w:pPr>
        <w:pStyle w:val="BodyText"/>
      </w:pPr>
      <w:r w:rsidRPr="00ED41F2">
        <w:t>Emissions of indirect greenhouse gases (CO, SO</w:t>
      </w:r>
      <w:r w:rsidRPr="00ED41F2">
        <w:rPr>
          <w:vertAlign w:val="subscript"/>
        </w:rPr>
        <w:t>2</w:t>
      </w:r>
      <w:r w:rsidRPr="00ED41F2">
        <w:t xml:space="preserve"> and NO</w:t>
      </w:r>
      <w:r w:rsidRPr="00ED41F2">
        <w:rPr>
          <w:vertAlign w:val="subscript"/>
        </w:rPr>
        <w:t>x</w:t>
      </w:r>
      <w:r w:rsidRPr="00ED41F2">
        <w:t xml:space="preserve">) are reported for the </w:t>
      </w:r>
      <w:r w:rsidRPr="00ED41F2">
        <w:rPr>
          <w:i/>
        </w:rPr>
        <w:t>Iron and steel</w:t>
      </w:r>
      <w:r w:rsidRPr="00ED41F2">
        <w:t> </w:t>
      </w:r>
      <w:r w:rsidRPr="00ED41F2">
        <w:rPr>
          <w:i/>
        </w:rPr>
        <w:t>production</w:t>
      </w:r>
      <w:r w:rsidRPr="00ED41F2">
        <w:t xml:space="preserve"> and </w:t>
      </w:r>
      <w:r w:rsidRPr="00ED41F2">
        <w:rPr>
          <w:i/>
        </w:rPr>
        <w:t>Aluminium production</w:t>
      </w:r>
      <w:r w:rsidRPr="00ED41F2">
        <w:t xml:space="preserve"> categories. These are based on a mass balance calculation (for SO</w:t>
      </w:r>
      <w:r w:rsidRPr="00ED41F2">
        <w:rPr>
          <w:vertAlign w:val="subscript"/>
        </w:rPr>
        <w:t>2</w:t>
      </w:r>
      <w:r w:rsidRPr="00ED41F2">
        <w:t xml:space="preserve">) and a mix of plant-specific emission factors and IPCC defaults for other gases (CRL Energy, </w:t>
      </w:r>
      <w:r w:rsidRPr="00ED41F2">
        <w:rPr>
          <w:rFonts w:eastAsia="+mn-ea"/>
        </w:rPr>
        <w:t>unpublished(a)</w:t>
      </w:r>
      <w:r w:rsidRPr="00ED41F2">
        <w:t xml:space="preserve">). </w:t>
      </w:r>
    </w:p>
    <w:p w14:paraId="294BEF1D" w14:textId="77777777" w:rsidR="0099547F" w:rsidRPr="00ED41F2" w:rsidRDefault="0099547F" w:rsidP="0099547F">
      <w:pPr>
        <w:pStyle w:val="Heading3"/>
      </w:pPr>
      <w:r w:rsidRPr="00ED41F2">
        <w:t xml:space="preserve">4.4.3 </w:t>
      </w:r>
      <w:r w:rsidRPr="00ED41F2">
        <w:tab/>
        <w:t>Uncertainties and time-series consistency</w:t>
      </w:r>
    </w:p>
    <w:p w14:paraId="61210047" w14:textId="77777777" w:rsidR="0099547F" w:rsidRPr="00ED41F2" w:rsidRDefault="0099547F" w:rsidP="00CF3E69">
      <w:pPr>
        <w:pStyle w:val="Heading4"/>
        <w:rPr>
          <w:bCs/>
          <w:iCs/>
        </w:rPr>
      </w:pPr>
      <w:r w:rsidRPr="00ED41F2">
        <w:t>Uncertainties</w:t>
      </w:r>
    </w:p>
    <w:p w14:paraId="4A148E57" w14:textId="77777777" w:rsidR="0099547F" w:rsidRPr="00ED41F2" w:rsidRDefault="0099547F" w:rsidP="0099547F">
      <w:pPr>
        <w:pStyle w:val="BodyText"/>
      </w:pPr>
      <w:r w:rsidRPr="00ED41F2">
        <w:t>IPCC default uncertainties have been used for activity data (see table 4.4.2). For the CO</w:t>
      </w:r>
      <w:r w:rsidRPr="00ED41F2">
        <w:rPr>
          <w:vertAlign w:val="subscript"/>
        </w:rPr>
        <w:t>2</w:t>
      </w:r>
      <w:r w:rsidRPr="00ED41F2">
        <w:t xml:space="preserve"> emission factors in the </w:t>
      </w:r>
      <w:r w:rsidRPr="00ED41F2">
        <w:rPr>
          <w:i/>
        </w:rPr>
        <w:t>Iron and steel production</w:t>
      </w:r>
      <w:r w:rsidRPr="00ED41F2">
        <w:t xml:space="preserve"> category, an uncertainty of ±7 per cent was assessed to reflect some uncertainty in the carbon content of the product. An uncertainty of ±30 per cent was assessed for PFCs reflecting the use of Tier 1 methods for the first three years. The uncertainties for indirect gases were assessed on a site-specific basis at the time the data were collected (CRL Energy, </w:t>
      </w:r>
      <w:r w:rsidRPr="00ED41F2">
        <w:rPr>
          <w:rFonts w:eastAsia="+mn-ea"/>
        </w:rPr>
        <w:t>unpublished(a)</w:t>
      </w:r>
      <w:r w:rsidRPr="00ED41F2">
        <w:t xml:space="preserve">). </w:t>
      </w:r>
    </w:p>
    <w:p w14:paraId="11A584B0" w14:textId="77777777" w:rsidR="0099547F" w:rsidRPr="00ED41F2" w:rsidRDefault="0099547F" w:rsidP="0099547F">
      <w:pPr>
        <w:pStyle w:val="Table"/>
      </w:pPr>
      <w:bookmarkStart w:id="490" w:name="_Toc451176071"/>
      <w:bookmarkStart w:id="491" w:name="_Toc5269461"/>
      <w:bookmarkStart w:id="492" w:name="_Toc36224534"/>
      <w:bookmarkStart w:id="493" w:name="_Toc68786421"/>
      <w:bookmarkStart w:id="494" w:name="_Toc99659229"/>
      <w:r w:rsidRPr="00ED41F2">
        <w:lastRenderedPageBreak/>
        <w:t>Table 4.4.2</w:t>
      </w:r>
      <w:r w:rsidRPr="00ED41F2">
        <w:tab/>
        <w:t>Uncertainty in emissions from the metal industry</w:t>
      </w:r>
      <w:bookmarkEnd w:id="490"/>
      <w:bookmarkEnd w:id="491"/>
      <w:bookmarkEnd w:id="492"/>
      <w:bookmarkEnd w:id="493"/>
      <w:bookmarkEnd w:id="494"/>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420"/>
        <w:gridCol w:w="2956"/>
        <w:gridCol w:w="3129"/>
      </w:tblGrid>
      <w:tr w:rsidR="0099547F" w:rsidRPr="00ED41F2" w14:paraId="15C7841F" w14:textId="77777777" w:rsidTr="007E3239">
        <w:tc>
          <w:tcPr>
            <w:tcW w:w="2435" w:type="dxa"/>
            <w:shd w:val="clear" w:color="auto" w:fill="1B556B"/>
            <w:hideMark/>
          </w:tcPr>
          <w:p w14:paraId="15E008B1" w14:textId="77777777" w:rsidR="0099547F" w:rsidRPr="00ED41F2" w:rsidRDefault="0099547F" w:rsidP="007E3239">
            <w:pPr>
              <w:pStyle w:val="TableTextBold"/>
              <w:keepNext/>
              <w:spacing w:before="50" w:after="50"/>
              <w:rPr>
                <w:noProof w:val="0"/>
                <w:color w:val="FFFFFF"/>
              </w:rPr>
            </w:pPr>
            <w:r w:rsidRPr="00ED41F2">
              <w:rPr>
                <w:noProof w:val="0"/>
                <w:color w:val="FFFFFF"/>
              </w:rPr>
              <w:t>Category</w:t>
            </w:r>
          </w:p>
        </w:tc>
        <w:tc>
          <w:tcPr>
            <w:tcW w:w="2976" w:type="dxa"/>
            <w:shd w:val="clear" w:color="auto" w:fill="1B556B"/>
            <w:hideMark/>
          </w:tcPr>
          <w:p w14:paraId="4EBA1CFB" w14:textId="77777777" w:rsidR="0099547F" w:rsidRPr="00ED41F2" w:rsidRDefault="0099547F" w:rsidP="007E3239">
            <w:pPr>
              <w:pStyle w:val="TableTextBold"/>
              <w:keepNext/>
              <w:spacing w:before="50" w:after="50"/>
              <w:jc w:val="center"/>
              <w:rPr>
                <w:noProof w:val="0"/>
                <w:color w:val="FFFFFF"/>
              </w:rPr>
            </w:pPr>
            <w:r w:rsidRPr="00ED41F2">
              <w:rPr>
                <w:noProof w:val="0"/>
                <w:color w:val="FFFFFF"/>
              </w:rPr>
              <w:t>Uncertainty in activity data (%)</w:t>
            </w:r>
          </w:p>
        </w:tc>
        <w:tc>
          <w:tcPr>
            <w:tcW w:w="3151" w:type="dxa"/>
            <w:shd w:val="clear" w:color="auto" w:fill="1B556B"/>
            <w:hideMark/>
          </w:tcPr>
          <w:p w14:paraId="54F6A93E" w14:textId="77777777" w:rsidR="0099547F" w:rsidRPr="00ED41F2" w:rsidRDefault="0099547F" w:rsidP="007E3239">
            <w:pPr>
              <w:pStyle w:val="TableTextBold"/>
              <w:keepNext/>
              <w:spacing w:before="50" w:after="50"/>
              <w:jc w:val="center"/>
              <w:rPr>
                <w:noProof w:val="0"/>
                <w:color w:val="FFFFFF"/>
              </w:rPr>
            </w:pPr>
            <w:r w:rsidRPr="00ED41F2">
              <w:rPr>
                <w:noProof w:val="0"/>
                <w:color w:val="FFFFFF"/>
              </w:rPr>
              <w:t>Uncertainty in emission factors (%)</w:t>
            </w:r>
          </w:p>
        </w:tc>
      </w:tr>
      <w:tr w:rsidR="0099547F" w:rsidRPr="00ED41F2" w14:paraId="72A4FACB" w14:textId="77777777" w:rsidTr="007E3239">
        <w:tc>
          <w:tcPr>
            <w:tcW w:w="2435" w:type="dxa"/>
            <w:shd w:val="clear" w:color="auto" w:fill="FFFFFF"/>
            <w:hideMark/>
          </w:tcPr>
          <w:p w14:paraId="22244F83" w14:textId="77777777" w:rsidR="0099547F" w:rsidRPr="00ED41F2" w:rsidRDefault="0099547F" w:rsidP="007E3239">
            <w:pPr>
              <w:pStyle w:val="TableText"/>
              <w:keepNext/>
              <w:spacing w:before="50" w:after="50"/>
            </w:pPr>
            <w:r w:rsidRPr="00ED41F2">
              <w:t>Iron and steel (CO</w:t>
            </w:r>
            <w:r w:rsidRPr="00ED41F2">
              <w:rPr>
                <w:vertAlign w:val="subscript"/>
              </w:rPr>
              <w:t>2</w:t>
            </w:r>
            <w:r w:rsidRPr="00ED41F2">
              <w:t>)</w:t>
            </w:r>
          </w:p>
        </w:tc>
        <w:tc>
          <w:tcPr>
            <w:tcW w:w="2976" w:type="dxa"/>
            <w:shd w:val="clear" w:color="auto" w:fill="FFFFFF"/>
            <w:hideMark/>
          </w:tcPr>
          <w:p w14:paraId="660B1B8C" w14:textId="77777777" w:rsidR="0099547F" w:rsidRPr="00ED41F2" w:rsidRDefault="0099547F" w:rsidP="007E3239">
            <w:pPr>
              <w:pStyle w:val="TableText"/>
              <w:spacing w:before="50" w:after="50"/>
              <w:jc w:val="center"/>
            </w:pPr>
            <w:r w:rsidRPr="00ED41F2">
              <w:t>±5</w:t>
            </w:r>
          </w:p>
        </w:tc>
        <w:tc>
          <w:tcPr>
            <w:tcW w:w="3151" w:type="dxa"/>
            <w:shd w:val="clear" w:color="auto" w:fill="FFFFFF"/>
            <w:hideMark/>
          </w:tcPr>
          <w:p w14:paraId="532CA439" w14:textId="77777777" w:rsidR="0099547F" w:rsidRPr="00ED41F2" w:rsidRDefault="0099547F" w:rsidP="007E3239">
            <w:pPr>
              <w:pStyle w:val="TableText"/>
              <w:spacing w:before="50" w:after="50"/>
              <w:jc w:val="center"/>
            </w:pPr>
            <w:r w:rsidRPr="00ED41F2">
              <w:t>±7</w:t>
            </w:r>
          </w:p>
        </w:tc>
      </w:tr>
      <w:tr w:rsidR="0099547F" w:rsidRPr="00ED41F2" w14:paraId="575CCA10" w14:textId="77777777" w:rsidTr="007E3239">
        <w:tc>
          <w:tcPr>
            <w:tcW w:w="2435" w:type="dxa"/>
            <w:shd w:val="clear" w:color="auto" w:fill="FFFFFF"/>
            <w:hideMark/>
          </w:tcPr>
          <w:p w14:paraId="3E3620A7" w14:textId="77777777" w:rsidR="0099547F" w:rsidRPr="00ED41F2" w:rsidRDefault="0099547F" w:rsidP="007E3239">
            <w:pPr>
              <w:pStyle w:val="TableText"/>
              <w:keepNext/>
              <w:spacing w:before="50" w:after="50"/>
            </w:pPr>
            <w:r w:rsidRPr="00ED41F2">
              <w:t>Iron and steel (CO)</w:t>
            </w:r>
          </w:p>
        </w:tc>
        <w:tc>
          <w:tcPr>
            <w:tcW w:w="2976" w:type="dxa"/>
            <w:shd w:val="clear" w:color="auto" w:fill="FFFFFF"/>
            <w:hideMark/>
          </w:tcPr>
          <w:p w14:paraId="3D8F7784" w14:textId="77777777" w:rsidR="0099547F" w:rsidRPr="00ED41F2" w:rsidRDefault="0099547F" w:rsidP="007E3239">
            <w:pPr>
              <w:pStyle w:val="TableText"/>
              <w:spacing w:before="50" w:after="50"/>
              <w:jc w:val="center"/>
            </w:pPr>
            <w:r w:rsidRPr="00ED41F2">
              <w:t>±5</w:t>
            </w:r>
          </w:p>
        </w:tc>
        <w:tc>
          <w:tcPr>
            <w:tcW w:w="3151" w:type="dxa"/>
            <w:shd w:val="clear" w:color="auto" w:fill="FFFFFF"/>
            <w:hideMark/>
          </w:tcPr>
          <w:p w14:paraId="43E8DC6B" w14:textId="77777777" w:rsidR="0099547F" w:rsidRPr="00ED41F2" w:rsidRDefault="0099547F" w:rsidP="007E3239">
            <w:pPr>
              <w:pStyle w:val="TableText"/>
              <w:spacing w:before="50" w:after="50"/>
              <w:jc w:val="center"/>
            </w:pPr>
            <w:r w:rsidRPr="00ED41F2">
              <w:t>±30</w:t>
            </w:r>
          </w:p>
        </w:tc>
      </w:tr>
      <w:tr w:rsidR="0099547F" w:rsidRPr="00ED41F2" w14:paraId="71102267" w14:textId="77777777" w:rsidTr="007E3239">
        <w:tc>
          <w:tcPr>
            <w:tcW w:w="2435" w:type="dxa"/>
            <w:shd w:val="clear" w:color="auto" w:fill="FFFFFF"/>
            <w:hideMark/>
          </w:tcPr>
          <w:p w14:paraId="1DC0B5CF" w14:textId="77777777" w:rsidR="0099547F" w:rsidRPr="00ED41F2" w:rsidRDefault="0099547F" w:rsidP="007E3239">
            <w:pPr>
              <w:pStyle w:val="TableText"/>
              <w:spacing w:before="50" w:after="50"/>
            </w:pPr>
            <w:r w:rsidRPr="00ED41F2">
              <w:t>Iron and steel (NO</w:t>
            </w:r>
            <w:r w:rsidRPr="00ED41F2">
              <w:rPr>
                <w:vertAlign w:val="subscript"/>
              </w:rPr>
              <w:t>x</w:t>
            </w:r>
            <w:r w:rsidRPr="00ED41F2">
              <w:t>)</w:t>
            </w:r>
          </w:p>
        </w:tc>
        <w:tc>
          <w:tcPr>
            <w:tcW w:w="2976" w:type="dxa"/>
            <w:shd w:val="clear" w:color="auto" w:fill="FFFFFF"/>
            <w:hideMark/>
          </w:tcPr>
          <w:p w14:paraId="050B928E" w14:textId="77777777" w:rsidR="0099547F" w:rsidRPr="00ED41F2" w:rsidRDefault="0099547F" w:rsidP="007E3239">
            <w:pPr>
              <w:pStyle w:val="TableText"/>
              <w:spacing w:before="50" w:after="50"/>
              <w:jc w:val="center"/>
            </w:pPr>
            <w:r w:rsidRPr="00ED41F2">
              <w:t>±5</w:t>
            </w:r>
          </w:p>
        </w:tc>
        <w:tc>
          <w:tcPr>
            <w:tcW w:w="3151" w:type="dxa"/>
            <w:shd w:val="clear" w:color="auto" w:fill="FFFFFF"/>
            <w:hideMark/>
          </w:tcPr>
          <w:p w14:paraId="28020896" w14:textId="77777777" w:rsidR="0099547F" w:rsidRPr="00ED41F2" w:rsidRDefault="0099547F" w:rsidP="007E3239">
            <w:pPr>
              <w:pStyle w:val="TableText"/>
              <w:spacing w:before="50" w:after="50"/>
              <w:jc w:val="center"/>
            </w:pPr>
            <w:r w:rsidRPr="00ED41F2">
              <w:t>±70</w:t>
            </w:r>
          </w:p>
        </w:tc>
      </w:tr>
      <w:tr w:rsidR="0099547F" w:rsidRPr="00ED41F2" w14:paraId="2E98AD6C" w14:textId="77777777" w:rsidTr="007E3239">
        <w:tc>
          <w:tcPr>
            <w:tcW w:w="2435" w:type="dxa"/>
            <w:shd w:val="clear" w:color="auto" w:fill="FFFFFF"/>
            <w:hideMark/>
          </w:tcPr>
          <w:p w14:paraId="1304C74D" w14:textId="77777777" w:rsidR="0099547F" w:rsidRPr="00ED41F2" w:rsidRDefault="0099547F" w:rsidP="007E3239">
            <w:pPr>
              <w:pStyle w:val="TableText"/>
              <w:spacing w:before="50" w:after="50"/>
            </w:pPr>
            <w:r w:rsidRPr="00ED41F2">
              <w:t>Aluminium (CO</w:t>
            </w:r>
            <w:r w:rsidRPr="00ED41F2">
              <w:rPr>
                <w:vertAlign w:val="subscript"/>
              </w:rPr>
              <w:t>2</w:t>
            </w:r>
            <w:r w:rsidRPr="00ED41F2">
              <w:t>)</w:t>
            </w:r>
          </w:p>
        </w:tc>
        <w:tc>
          <w:tcPr>
            <w:tcW w:w="2976" w:type="dxa"/>
            <w:shd w:val="clear" w:color="auto" w:fill="FFFFFF"/>
            <w:hideMark/>
          </w:tcPr>
          <w:p w14:paraId="395E8E72" w14:textId="77777777" w:rsidR="0099547F" w:rsidRPr="00ED41F2" w:rsidRDefault="0099547F" w:rsidP="007E3239">
            <w:pPr>
              <w:pStyle w:val="TableText"/>
              <w:spacing w:before="50" w:after="50"/>
              <w:jc w:val="center"/>
            </w:pPr>
            <w:r w:rsidRPr="00ED41F2">
              <w:t>±5</w:t>
            </w:r>
          </w:p>
        </w:tc>
        <w:tc>
          <w:tcPr>
            <w:tcW w:w="3151" w:type="dxa"/>
            <w:shd w:val="clear" w:color="auto" w:fill="FFFFFF"/>
            <w:hideMark/>
          </w:tcPr>
          <w:p w14:paraId="7B8B6B1A" w14:textId="77777777" w:rsidR="0099547F" w:rsidRPr="00ED41F2" w:rsidRDefault="0099547F" w:rsidP="007E3239">
            <w:pPr>
              <w:pStyle w:val="TableText"/>
              <w:spacing w:before="50" w:after="50"/>
              <w:jc w:val="center"/>
            </w:pPr>
            <w:r w:rsidRPr="00ED41F2">
              <w:t>±2</w:t>
            </w:r>
          </w:p>
        </w:tc>
      </w:tr>
      <w:tr w:rsidR="0099547F" w:rsidRPr="00ED41F2" w14:paraId="1673280A" w14:textId="77777777" w:rsidTr="007E3239">
        <w:tc>
          <w:tcPr>
            <w:tcW w:w="2435" w:type="dxa"/>
            <w:shd w:val="clear" w:color="auto" w:fill="FFFFFF"/>
            <w:hideMark/>
          </w:tcPr>
          <w:p w14:paraId="3241CE25" w14:textId="77777777" w:rsidR="0099547F" w:rsidRPr="00ED41F2" w:rsidRDefault="0099547F" w:rsidP="007E3239">
            <w:pPr>
              <w:pStyle w:val="TableText"/>
              <w:spacing w:before="50" w:after="50"/>
            </w:pPr>
            <w:r w:rsidRPr="00ED41F2">
              <w:t>Aluminium (PFCs)</w:t>
            </w:r>
          </w:p>
        </w:tc>
        <w:tc>
          <w:tcPr>
            <w:tcW w:w="2976" w:type="dxa"/>
            <w:shd w:val="clear" w:color="auto" w:fill="FFFFFF"/>
            <w:hideMark/>
          </w:tcPr>
          <w:p w14:paraId="218E26FA" w14:textId="77777777" w:rsidR="0099547F" w:rsidRPr="00ED41F2" w:rsidRDefault="0099547F" w:rsidP="007E3239">
            <w:pPr>
              <w:pStyle w:val="TableText"/>
              <w:spacing w:before="50" w:after="50"/>
              <w:jc w:val="center"/>
            </w:pPr>
            <w:r w:rsidRPr="00ED41F2">
              <w:t>±5</w:t>
            </w:r>
          </w:p>
        </w:tc>
        <w:tc>
          <w:tcPr>
            <w:tcW w:w="3151" w:type="dxa"/>
            <w:shd w:val="clear" w:color="auto" w:fill="FFFFFF"/>
            <w:hideMark/>
          </w:tcPr>
          <w:p w14:paraId="657A0DE0" w14:textId="77777777" w:rsidR="0099547F" w:rsidRPr="00ED41F2" w:rsidRDefault="0099547F" w:rsidP="007E3239">
            <w:pPr>
              <w:pStyle w:val="TableText"/>
              <w:spacing w:before="50" w:after="50"/>
              <w:jc w:val="center"/>
            </w:pPr>
            <w:r w:rsidRPr="00ED41F2">
              <w:t>±30</w:t>
            </w:r>
          </w:p>
        </w:tc>
      </w:tr>
      <w:tr w:rsidR="0099547F" w:rsidRPr="00ED41F2" w14:paraId="6451E86B" w14:textId="77777777" w:rsidTr="007E3239">
        <w:tc>
          <w:tcPr>
            <w:tcW w:w="2435" w:type="dxa"/>
            <w:shd w:val="clear" w:color="auto" w:fill="FFFFFF"/>
            <w:hideMark/>
          </w:tcPr>
          <w:p w14:paraId="5AD3BD0E" w14:textId="77777777" w:rsidR="0099547F" w:rsidRPr="00ED41F2" w:rsidRDefault="0099547F" w:rsidP="007E3239">
            <w:pPr>
              <w:pStyle w:val="TableText"/>
              <w:spacing w:before="50" w:after="50"/>
            </w:pPr>
            <w:r w:rsidRPr="00ED41F2">
              <w:t>Aluminium (SO</w:t>
            </w:r>
            <w:r w:rsidRPr="00ED41F2">
              <w:rPr>
                <w:vertAlign w:val="subscript"/>
              </w:rPr>
              <w:t>2</w:t>
            </w:r>
            <w:r w:rsidRPr="00ED41F2">
              <w:t>)</w:t>
            </w:r>
          </w:p>
        </w:tc>
        <w:tc>
          <w:tcPr>
            <w:tcW w:w="2976" w:type="dxa"/>
            <w:shd w:val="clear" w:color="auto" w:fill="FFFFFF"/>
            <w:hideMark/>
          </w:tcPr>
          <w:p w14:paraId="0808AF7C" w14:textId="77777777" w:rsidR="0099547F" w:rsidRPr="00ED41F2" w:rsidRDefault="0099547F" w:rsidP="007E3239">
            <w:pPr>
              <w:pStyle w:val="TableText"/>
              <w:spacing w:before="50" w:after="50"/>
              <w:jc w:val="center"/>
            </w:pPr>
            <w:r w:rsidRPr="00ED41F2">
              <w:t>±5</w:t>
            </w:r>
          </w:p>
        </w:tc>
        <w:tc>
          <w:tcPr>
            <w:tcW w:w="3151" w:type="dxa"/>
            <w:shd w:val="clear" w:color="auto" w:fill="FFFFFF"/>
            <w:hideMark/>
          </w:tcPr>
          <w:p w14:paraId="5040E304" w14:textId="77777777" w:rsidR="0099547F" w:rsidRPr="00ED41F2" w:rsidRDefault="0099547F" w:rsidP="007E3239">
            <w:pPr>
              <w:pStyle w:val="TableText"/>
              <w:spacing w:before="50" w:after="50"/>
              <w:jc w:val="center"/>
            </w:pPr>
            <w:r w:rsidRPr="00ED41F2">
              <w:t>±5</w:t>
            </w:r>
          </w:p>
        </w:tc>
      </w:tr>
      <w:tr w:rsidR="0099547F" w:rsidRPr="00ED41F2" w14:paraId="4DA3BAB4" w14:textId="77777777" w:rsidTr="007E3239">
        <w:tc>
          <w:tcPr>
            <w:tcW w:w="2435" w:type="dxa"/>
            <w:shd w:val="clear" w:color="auto" w:fill="FFFFFF"/>
            <w:hideMark/>
          </w:tcPr>
          <w:p w14:paraId="354E3427" w14:textId="77777777" w:rsidR="0099547F" w:rsidRPr="00ED41F2" w:rsidRDefault="0099547F" w:rsidP="007E3239">
            <w:pPr>
              <w:pStyle w:val="TableText"/>
              <w:spacing w:before="50" w:after="50"/>
            </w:pPr>
            <w:r w:rsidRPr="00ED41F2">
              <w:t>Aluminium (CO)</w:t>
            </w:r>
          </w:p>
        </w:tc>
        <w:tc>
          <w:tcPr>
            <w:tcW w:w="2976" w:type="dxa"/>
            <w:shd w:val="clear" w:color="auto" w:fill="FFFFFF"/>
            <w:hideMark/>
          </w:tcPr>
          <w:p w14:paraId="1433897F" w14:textId="77777777" w:rsidR="0099547F" w:rsidRPr="00ED41F2" w:rsidRDefault="0099547F" w:rsidP="007E3239">
            <w:pPr>
              <w:pStyle w:val="TableText"/>
              <w:spacing w:before="50" w:after="50"/>
              <w:jc w:val="center"/>
            </w:pPr>
            <w:r w:rsidRPr="00ED41F2">
              <w:t>±5</w:t>
            </w:r>
          </w:p>
        </w:tc>
        <w:tc>
          <w:tcPr>
            <w:tcW w:w="3151" w:type="dxa"/>
            <w:shd w:val="clear" w:color="auto" w:fill="FFFFFF"/>
            <w:hideMark/>
          </w:tcPr>
          <w:p w14:paraId="182E9200" w14:textId="77777777" w:rsidR="0099547F" w:rsidRPr="00ED41F2" w:rsidRDefault="0099547F" w:rsidP="007E3239">
            <w:pPr>
              <w:pStyle w:val="TableText"/>
              <w:spacing w:before="50" w:after="50"/>
              <w:jc w:val="center"/>
            </w:pPr>
            <w:r w:rsidRPr="00ED41F2">
              <w:t>±40</w:t>
            </w:r>
          </w:p>
        </w:tc>
      </w:tr>
      <w:tr w:rsidR="0099547F" w:rsidRPr="00ED41F2" w14:paraId="4B3EF4B9" w14:textId="77777777" w:rsidTr="007E3239">
        <w:tc>
          <w:tcPr>
            <w:tcW w:w="2435" w:type="dxa"/>
            <w:shd w:val="clear" w:color="auto" w:fill="FFFFFF"/>
            <w:hideMark/>
          </w:tcPr>
          <w:p w14:paraId="1D3E67C8" w14:textId="77777777" w:rsidR="0099547F" w:rsidRPr="00ED41F2" w:rsidRDefault="0099547F" w:rsidP="007E3239">
            <w:pPr>
              <w:pStyle w:val="TableText"/>
              <w:spacing w:before="50" w:after="50"/>
            </w:pPr>
            <w:r w:rsidRPr="00ED41F2">
              <w:t>Aluminium (NO</w:t>
            </w:r>
            <w:r w:rsidRPr="00ED41F2">
              <w:rPr>
                <w:vertAlign w:val="subscript"/>
              </w:rPr>
              <w:t>x</w:t>
            </w:r>
            <w:r w:rsidRPr="00ED41F2">
              <w:t>)</w:t>
            </w:r>
          </w:p>
        </w:tc>
        <w:tc>
          <w:tcPr>
            <w:tcW w:w="2976" w:type="dxa"/>
            <w:shd w:val="clear" w:color="auto" w:fill="FFFFFF"/>
            <w:hideMark/>
          </w:tcPr>
          <w:p w14:paraId="7E2015B4" w14:textId="77777777" w:rsidR="0099547F" w:rsidRPr="00ED41F2" w:rsidRDefault="0099547F" w:rsidP="007E3239">
            <w:pPr>
              <w:pStyle w:val="TableText"/>
              <w:spacing w:before="50" w:after="50"/>
              <w:jc w:val="center"/>
            </w:pPr>
            <w:r w:rsidRPr="00ED41F2">
              <w:t>±5</w:t>
            </w:r>
          </w:p>
        </w:tc>
        <w:tc>
          <w:tcPr>
            <w:tcW w:w="3151" w:type="dxa"/>
            <w:shd w:val="clear" w:color="auto" w:fill="FFFFFF"/>
            <w:hideMark/>
          </w:tcPr>
          <w:p w14:paraId="2FEDA77B" w14:textId="77777777" w:rsidR="0099547F" w:rsidRPr="00ED41F2" w:rsidRDefault="0099547F" w:rsidP="007E3239">
            <w:pPr>
              <w:pStyle w:val="TableText"/>
              <w:spacing w:before="50" w:after="50"/>
              <w:jc w:val="center"/>
            </w:pPr>
            <w:r w:rsidRPr="00ED41F2">
              <w:t>±50</w:t>
            </w:r>
          </w:p>
        </w:tc>
      </w:tr>
      <w:tr w:rsidR="0099547F" w:rsidRPr="00ED41F2" w14:paraId="10817F01" w14:textId="77777777" w:rsidTr="007E3239">
        <w:tc>
          <w:tcPr>
            <w:tcW w:w="2435" w:type="dxa"/>
            <w:shd w:val="clear" w:color="auto" w:fill="FFFFFF"/>
            <w:hideMark/>
          </w:tcPr>
          <w:p w14:paraId="493F2B48" w14:textId="77777777" w:rsidR="0099547F" w:rsidRPr="00ED41F2" w:rsidRDefault="0099547F" w:rsidP="007E3239">
            <w:pPr>
              <w:pStyle w:val="TableText"/>
              <w:spacing w:before="50" w:after="50"/>
            </w:pPr>
            <w:r w:rsidRPr="00ED41F2">
              <w:t>Magnesium (SF</w:t>
            </w:r>
            <w:r w:rsidRPr="00ED41F2">
              <w:rPr>
                <w:vertAlign w:val="subscript"/>
              </w:rPr>
              <w:t>6</w:t>
            </w:r>
            <w:r w:rsidRPr="00ED41F2">
              <w:t>)</w:t>
            </w:r>
          </w:p>
        </w:tc>
        <w:tc>
          <w:tcPr>
            <w:tcW w:w="2976" w:type="dxa"/>
            <w:shd w:val="clear" w:color="auto" w:fill="FFFFFF"/>
            <w:hideMark/>
          </w:tcPr>
          <w:p w14:paraId="176C4D57" w14:textId="77777777" w:rsidR="0099547F" w:rsidRPr="00ED41F2" w:rsidRDefault="0099547F" w:rsidP="007E3239">
            <w:pPr>
              <w:pStyle w:val="TableText"/>
              <w:spacing w:before="50" w:after="50"/>
              <w:jc w:val="center"/>
            </w:pPr>
            <w:r w:rsidRPr="00ED41F2">
              <w:t>±100</w:t>
            </w:r>
          </w:p>
        </w:tc>
        <w:tc>
          <w:tcPr>
            <w:tcW w:w="3151" w:type="dxa"/>
            <w:shd w:val="clear" w:color="auto" w:fill="FFFFFF"/>
            <w:hideMark/>
          </w:tcPr>
          <w:p w14:paraId="30DFB076" w14:textId="77777777" w:rsidR="0099547F" w:rsidRPr="00ED41F2" w:rsidRDefault="0099547F" w:rsidP="007E3239">
            <w:pPr>
              <w:pStyle w:val="TableText"/>
              <w:spacing w:before="50" w:after="50"/>
              <w:jc w:val="center"/>
            </w:pPr>
            <w:r w:rsidRPr="00ED41F2">
              <w:t>–</w:t>
            </w:r>
          </w:p>
        </w:tc>
      </w:tr>
      <w:tr w:rsidR="0099547F" w:rsidRPr="00ED41F2" w14:paraId="477F5876" w14:textId="77777777" w:rsidTr="007E3239">
        <w:tc>
          <w:tcPr>
            <w:tcW w:w="2435" w:type="dxa"/>
            <w:shd w:val="clear" w:color="auto" w:fill="FFFFFF"/>
            <w:hideMark/>
          </w:tcPr>
          <w:p w14:paraId="52F1FE90" w14:textId="77777777" w:rsidR="0099547F" w:rsidRPr="00ED41F2" w:rsidRDefault="0099547F" w:rsidP="007E3239">
            <w:pPr>
              <w:pStyle w:val="TableText"/>
              <w:spacing w:before="50" w:after="50"/>
            </w:pPr>
            <w:r w:rsidRPr="00ED41F2">
              <w:t>Lead (CO</w:t>
            </w:r>
            <w:r w:rsidRPr="00ED41F2">
              <w:rPr>
                <w:vertAlign w:val="subscript"/>
              </w:rPr>
              <w:t>2</w:t>
            </w:r>
            <w:r w:rsidRPr="00ED41F2">
              <w:t>)</w:t>
            </w:r>
          </w:p>
        </w:tc>
        <w:tc>
          <w:tcPr>
            <w:tcW w:w="2976" w:type="dxa"/>
            <w:shd w:val="clear" w:color="auto" w:fill="FFFFFF"/>
            <w:hideMark/>
          </w:tcPr>
          <w:p w14:paraId="28BFB2CE" w14:textId="77777777" w:rsidR="0099547F" w:rsidRPr="00ED41F2" w:rsidRDefault="0099547F" w:rsidP="007E3239">
            <w:pPr>
              <w:pStyle w:val="TableText"/>
              <w:spacing w:before="50" w:after="50"/>
              <w:jc w:val="center"/>
            </w:pPr>
            <w:r w:rsidRPr="00ED41F2">
              <w:t>±50</w:t>
            </w:r>
          </w:p>
        </w:tc>
        <w:tc>
          <w:tcPr>
            <w:tcW w:w="3151" w:type="dxa"/>
            <w:shd w:val="clear" w:color="auto" w:fill="FFFFFF"/>
            <w:hideMark/>
          </w:tcPr>
          <w:p w14:paraId="5D3B502B" w14:textId="77777777" w:rsidR="0099547F" w:rsidRPr="00ED41F2" w:rsidRDefault="0099547F" w:rsidP="007E3239">
            <w:pPr>
              <w:pStyle w:val="TableText"/>
              <w:spacing w:before="50" w:after="50"/>
              <w:jc w:val="center"/>
            </w:pPr>
            <w:r w:rsidRPr="00ED41F2">
              <w:t>±50</w:t>
            </w:r>
          </w:p>
        </w:tc>
      </w:tr>
    </w:tbl>
    <w:p w14:paraId="7B7194B5" w14:textId="77777777" w:rsidR="0099547F" w:rsidRPr="00ED41F2" w:rsidRDefault="0099547F" w:rsidP="00CF3E69">
      <w:pPr>
        <w:pStyle w:val="Heading4"/>
        <w:rPr>
          <w:bCs/>
          <w:iCs/>
        </w:rPr>
      </w:pPr>
      <w:r w:rsidRPr="00ED41F2">
        <w:t>Time-series consistency</w:t>
      </w:r>
    </w:p>
    <w:p w14:paraId="4F62EEE5" w14:textId="77777777" w:rsidR="0099547F" w:rsidRPr="00ED41F2" w:rsidRDefault="0099547F" w:rsidP="0099547F">
      <w:pPr>
        <w:pStyle w:val="BodyText"/>
        <w:spacing w:before="100" w:after="100"/>
      </w:pPr>
      <w:r w:rsidRPr="00ED41F2">
        <w:t>The implied emission factors for PFC emissions from aluminium production fluctuated over the time series between 1990 and 1998. The introduction of monitoring at the aluminium smelter in 1993 contributed to process and management improvements that reduced the frequency and duration of anode effects. This improvement process continued. Since 1998, emissions have been lower and relatively stable, due to the much better control of anode effects (see table 4.4.3).</w:t>
      </w:r>
    </w:p>
    <w:p w14:paraId="2173ACDF" w14:textId="77777777" w:rsidR="0099547F" w:rsidRPr="00ED41F2" w:rsidRDefault="0099547F" w:rsidP="0099547F">
      <w:pPr>
        <w:pStyle w:val="Table"/>
      </w:pPr>
      <w:bookmarkStart w:id="495" w:name="_Toc451176072"/>
      <w:bookmarkStart w:id="496" w:name="_Toc5269462"/>
      <w:bookmarkStart w:id="497" w:name="_Toc36224535"/>
      <w:bookmarkStart w:id="498" w:name="_Toc68786422"/>
      <w:bookmarkStart w:id="499" w:name="_Toc99659230"/>
      <w:r w:rsidRPr="00ED41F2">
        <w:t>Table 4.4.3</w:t>
      </w:r>
      <w:r w:rsidRPr="00ED41F2">
        <w:tab/>
        <w:t>Explanation of variations in New Zealand’s aluminium emissions</w:t>
      </w:r>
      <w:bookmarkEnd w:id="495"/>
      <w:bookmarkEnd w:id="496"/>
      <w:bookmarkEnd w:id="497"/>
      <w:bookmarkEnd w:id="498"/>
      <w:bookmarkEnd w:id="499"/>
      <w:r w:rsidRPr="00ED41F2">
        <w:t xml:space="preserve"> </w:t>
      </w:r>
    </w:p>
    <w:tbl>
      <w:tblPr>
        <w:tblW w:w="8505" w:type="dxa"/>
        <w:tblInd w:w="108" w:type="dxa"/>
        <w:tblLayout w:type="fixed"/>
        <w:tblLook w:val="04A0" w:firstRow="1" w:lastRow="0" w:firstColumn="1" w:lastColumn="0" w:noHBand="0" w:noVBand="1"/>
      </w:tblPr>
      <w:tblGrid>
        <w:gridCol w:w="3240"/>
        <w:gridCol w:w="5265"/>
      </w:tblGrid>
      <w:tr w:rsidR="0099547F" w:rsidRPr="00ED41F2" w14:paraId="75EF20DE" w14:textId="77777777" w:rsidTr="007E3239">
        <w:trPr>
          <w:tblHeader/>
        </w:trPr>
        <w:tc>
          <w:tcPr>
            <w:tcW w:w="3261" w:type="dxa"/>
            <w:tcBorders>
              <w:top w:val="single" w:sz="4" w:space="0" w:color="1B556B"/>
              <w:left w:val="nil"/>
              <w:bottom w:val="single" w:sz="4" w:space="0" w:color="1B556B"/>
              <w:right w:val="nil"/>
            </w:tcBorders>
            <w:shd w:val="clear" w:color="auto" w:fill="1B556B"/>
            <w:hideMark/>
          </w:tcPr>
          <w:p w14:paraId="6DBBAD24" w14:textId="77777777" w:rsidR="0099547F" w:rsidRPr="00ED41F2" w:rsidRDefault="0099547F" w:rsidP="007E3239">
            <w:pPr>
              <w:pStyle w:val="TableTextBold"/>
              <w:keepNext/>
              <w:spacing w:before="50" w:after="50"/>
              <w:rPr>
                <w:noProof w:val="0"/>
                <w:color w:val="FFFFFF"/>
                <w:szCs w:val="16"/>
              </w:rPr>
            </w:pPr>
            <w:r w:rsidRPr="00ED41F2">
              <w:rPr>
                <w:noProof w:val="0"/>
                <w:color w:val="FFFFFF"/>
                <w:szCs w:val="16"/>
              </w:rPr>
              <w:t>Variation in emissions</w:t>
            </w:r>
          </w:p>
        </w:tc>
        <w:tc>
          <w:tcPr>
            <w:tcW w:w="5301" w:type="dxa"/>
            <w:tcBorders>
              <w:top w:val="single" w:sz="4" w:space="0" w:color="1B556B"/>
              <w:left w:val="nil"/>
              <w:bottom w:val="single" w:sz="4" w:space="0" w:color="1B556B"/>
              <w:right w:val="nil"/>
            </w:tcBorders>
            <w:shd w:val="clear" w:color="auto" w:fill="1B556B"/>
            <w:hideMark/>
          </w:tcPr>
          <w:p w14:paraId="53EE3EE1" w14:textId="77777777" w:rsidR="0099547F" w:rsidRPr="00ED41F2" w:rsidRDefault="0099547F" w:rsidP="007E3239">
            <w:pPr>
              <w:pStyle w:val="TableTextBold"/>
              <w:spacing w:before="50" w:after="50"/>
              <w:rPr>
                <w:noProof w:val="0"/>
                <w:color w:val="FFFFFF"/>
                <w:szCs w:val="16"/>
              </w:rPr>
            </w:pPr>
            <w:r w:rsidRPr="00ED41F2">
              <w:rPr>
                <w:noProof w:val="0"/>
                <w:color w:val="FFFFFF"/>
                <w:szCs w:val="16"/>
              </w:rPr>
              <w:t>Reason for variation</w:t>
            </w:r>
          </w:p>
        </w:tc>
      </w:tr>
      <w:tr w:rsidR="0099547F" w:rsidRPr="00ED41F2" w14:paraId="663CEA73" w14:textId="77777777" w:rsidTr="007E3239">
        <w:tc>
          <w:tcPr>
            <w:tcW w:w="3261" w:type="dxa"/>
            <w:tcBorders>
              <w:top w:val="single" w:sz="4" w:space="0" w:color="1B556B"/>
              <w:left w:val="nil"/>
              <w:bottom w:val="single" w:sz="4" w:space="0" w:color="1B556B"/>
              <w:right w:val="nil"/>
            </w:tcBorders>
            <w:hideMark/>
          </w:tcPr>
          <w:p w14:paraId="71CCCA66" w14:textId="77777777" w:rsidR="0099547F" w:rsidRPr="00ED41F2" w:rsidRDefault="0099547F" w:rsidP="007E3239">
            <w:pPr>
              <w:pStyle w:val="TableText"/>
              <w:spacing w:before="50" w:after="50"/>
              <w:rPr>
                <w:i/>
                <w:szCs w:val="16"/>
              </w:rPr>
            </w:pPr>
            <w:r w:rsidRPr="00ED41F2">
              <w:rPr>
                <w:szCs w:val="16"/>
              </w:rPr>
              <w:t>Increase in CO</w:t>
            </w:r>
            <w:r w:rsidRPr="00ED41F2">
              <w:rPr>
                <w:szCs w:val="16"/>
                <w:vertAlign w:val="subscript"/>
              </w:rPr>
              <w:t>2</w:t>
            </w:r>
            <w:r w:rsidRPr="00ED41F2">
              <w:rPr>
                <w:szCs w:val="16"/>
              </w:rPr>
              <w:t xml:space="preserve"> and PFC emissions in 1996</w:t>
            </w:r>
          </w:p>
        </w:tc>
        <w:tc>
          <w:tcPr>
            <w:tcW w:w="5301" w:type="dxa"/>
            <w:tcBorders>
              <w:top w:val="single" w:sz="4" w:space="0" w:color="1B556B"/>
              <w:left w:val="nil"/>
              <w:bottom w:val="single" w:sz="4" w:space="0" w:color="1B556B"/>
              <w:right w:val="nil"/>
            </w:tcBorders>
            <w:hideMark/>
          </w:tcPr>
          <w:p w14:paraId="587D9EAB" w14:textId="77777777" w:rsidR="0099547F" w:rsidRPr="00ED41F2" w:rsidRDefault="0099547F" w:rsidP="007E3239">
            <w:pPr>
              <w:pStyle w:val="TableText"/>
              <w:spacing w:before="50" w:after="50"/>
              <w:rPr>
                <w:i/>
                <w:szCs w:val="16"/>
              </w:rPr>
            </w:pPr>
            <w:r w:rsidRPr="00ED41F2">
              <w:rPr>
                <w:szCs w:val="16"/>
              </w:rPr>
              <w:t>Commissioning of Line 4 cells</w:t>
            </w:r>
          </w:p>
        </w:tc>
      </w:tr>
      <w:tr w:rsidR="0099547F" w:rsidRPr="00ED41F2" w14:paraId="51D3A7CB" w14:textId="77777777" w:rsidTr="007E3239">
        <w:tc>
          <w:tcPr>
            <w:tcW w:w="3261" w:type="dxa"/>
            <w:tcBorders>
              <w:top w:val="single" w:sz="4" w:space="0" w:color="1B556B"/>
              <w:left w:val="nil"/>
              <w:bottom w:val="nil"/>
              <w:right w:val="nil"/>
            </w:tcBorders>
            <w:hideMark/>
          </w:tcPr>
          <w:p w14:paraId="49FB1FEF" w14:textId="77777777" w:rsidR="0099547F" w:rsidRPr="00ED41F2" w:rsidRDefault="0099547F" w:rsidP="007E3239">
            <w:pPr>
              <w:pStyle w:val="TableText"/>
              <w:spacing w:before="50" w:after="50"/>
              <w:rPr>
                <w:i/>
                <w:szCs w:val="16"/>
              </w:rPr>
            </w:pPr>
            <w:r w:rsidRPr="00ED41F2">
              <w:rPr>
                <w:szCs w:val="16"/>
              </w:rPr>
              <w:t>Decrease in CO</w:t>
            </w:r>
            <w:r w:rsidRPr="00ED41F2">
              <w:rPr>
                <w:szCs w:val="16"/>
                <w:vertAlign w:val="subscript"/>
              </w:rPr>
              <w:t xml:space="preserve">2 </w:t>
            </w:r>
            <w:r w:rsidRPr="00ED41F2">
              <w:rPr>
                <w:szCs w:val="16"/>
              </w:rPr>
              <w:t>emissions in 1995</w:t>
            </w:r>
          </w:p>
        </w:tc>
        <w:tc>
          <w:tcPr>
            <w:tcW w:w="5301" w:type="dxa"/>
            <w:tcBorders>
              <w:top w:val="single" w:sz="4" w:space="0" w:color="1B556B"/>
              <w:left w:val="nil"/>
              <w:bottom w:val="nil"/>
              <w:right w:val="nil"/>
            </w:tcBorders>
            <w:hideMark/>
          </w:tcPr>
          <w:p w14:paraId="4204EBB7" w14:textId="77777777" w:rsidR="0099547F" w:rsidRPr="00ED41F2" w:rsidRDefault="0099547F" w:rsidP="007E3239">
            <w:pPr>
              <w:pStyle w:val="TableText"/>
              <w:spacing w:before="50" w:after="50"/>
              <w:rPr>
                <w:i/>
                <w:szCs w:val="16"/>
              </w:rPr>
            </w:pPr>
            <w:r w:rsidRPr="00ED41F2">
              <w:rPr>
                <w:szCs w:val="16"/>
              </w:rPr>
              <w:t>Good anode performance, compared with 1994 and 1996</w:t>
            </w:r>
          </w:p>
        </w:tc>
      </w:tr>
      <w:tr w:rsidR="0099547F" w:rsidRPr="00ED41F2" w14:paraId="4FE3DCE4" w14:textId="77777777" w:rsidTr="007E3239">
        <w:tc>
          <w:tcPr>
            <w:tcW w:w="3261" w:type="dxa"/>
            <w:hideMark/>
          </w:tcPr>
          <w:p w14:paraId="3FD8E832" w14:textId="77777777" w:rsidR="0099547F" w:rsidRPr="00ED41F2" w:rsidRDefault="0099547F" w:rsidP="007E3239">
            <w:pPr>
              <w:pStyle w:val="TableText"/>
              <w:spacing w:before="50" w:after="50"/>
              <w:rPr>
                <w:i/>
                <w:szCs w:val="16"/>
              </w:rPr>
            </w:pPr>
            <w:r w:rsidRPr="00ED41F2">
              <w:rPr>
                <w:szCs w:val="16"/>
              </w:rPr>
              <w:t>Decrease in CO</w:t>
            </w:r>
            <w:r w:rsidRPr="00ED41F2">
              <w:rPr>
                <w:szCs w:val="16"/>
                <w:vertAlign w:val="subscript"/>
              </w:rPr>
              <w:t xml:space="preserve">2 </w:t>
            </w:r>
            <w:r w:rsidRPr="00ED41F2">
              <w:rPr>
                <w:szCs w:val="16"/>
              </w:rPr>
              <w:t>emissions in 1998</w:t>
            </w:r>
          </w:p>
        </w:tc>
        <w:tc>
          <w:tcPr>
            <w:tcW w:w="5301" w:type="dxa"/>
            <w:hideMark/>
          </w:tcPr>
          <w:p w14:paraId="7F508AA5" w14:textId="77777777" w:rsidR="0099547F" w:rsidRPr="00ED41F2" w:rsidRDefault="0099547F" w:rsidP="007E3239">
            <w:pPr>
              <w:pStyle w:val="TableText"/>
              <w:spacing w:before="50" w:after="50"/>
              <w:rPr>
                <w:i/>
                <w:szCs w:val="16"/>
              </w:rPr>
            </w:pPr>
            <w:r w:rsidRPr="00ED41F2">
              <w:rPr>
                <w:szCs w:val="16"/>
              </w:rPr>
              <w:t>Good anode performance</w:t>
            </w:r>
          </w:p>
        </w:tc>
      </w:tr>
      <w:tr w:rsidR="0099547F" w:rsidRPr="00ED41F2" w14:paraId="275DFC3E" w14:textId="77777777" w:rsidTr="007E3239">
        <w:tc>
          <w:tcPr>
            <w:tcW w:w="3261" w:type="dxa"/>
            <w:hideMark/>
          </w:tcPr>
          <w:p w14:paraId="739E07E4" w14:textId="77777777" w:rsidR="0099547F" w:rsidRPr="00ED41F2" w:rsidRDefault="0099547F" w:rsidP="007E3239">
            <w:pPr>
              <w:pStyle w:val="TableText"/>
              <w:spacing w:before="50" w:after="50"/>
              <w:rPr>
                <w:i/>
                <w:szCs w:val="16"/>
              </w:rPr>
            </w:pPr>
            <w:r w:rsidRPr="00ED41F2">
              <w:rPr>
                <w:szCs w:val="16"/>
              </w:rPr>
              <w:t>Decrease in CO</w:t>
            </w:r>
            <w:r w:rsidRPr="00ED41F2">
              <w:rPr>
                <w:szCs w:val="16"/>
                <w:vertAlign w:val="subscript"/>
              </w:rPr>
              <w:t>2</w:t>
            </w:r>
            <w:r w:rsidRPr="00ED41F2">
              <w:rPr>
                <w:szCs w:val="16"/>
              </w:rPr>
              <w:t xml:space="preserve"> emissions in 2001, 2003 and 2006</w:t>
            </w:r>
          </w:p>
        </w:tc>
        <w:tc>
          <w:tcPr>
            <w:tcW w:w="5301" w:type="dxa"/>
            <w:hideMark/>
          </w:tcPr>
          <w:p w14:paraId="10A1B9B5" w14:textId="77777777" w:rsidR="0099547F" w:rsidRPr="00ED41F2" w:rsidRDefault="0099547F" w:rsidP="007E3239">
            <w:pPr>
              <w:pStyle w:val="TableText"/>
              <w:spacing w:before="50" w:after="50"/>
              <w:rPr>
                <w:i/>
                <w:szCs w:val="16"/>
              </w:rPr>
            </w:pPr>
            <w:r w:rsidRPr="00ED41F2">
              <w:rPr>
                <w:szCs w:val="16"/>
              </w:rPr>
              <w:t>Fewer cells operating from reduced aluminium production due to reduced electricity supply</w:t>
            </w:r>
          </w:p>
        </w:tc>
      </w:tr>
      <w:tr w:rsidR="0099547F" w:rsidRPr="00ED41F2" w14:paraId="0E605C50" w14:textId="77777777" w:rsidTr="007E3239">
        <w:tc>
          <w:tcPr>
            <w:tcW w:w="3261" w:type="dxa"/>
          </w:tcPr>
          <w:p w14:paraId="5BA2A5CC" w14:textId="77777777" w:rsidR="0099547F" w:rsidRPr="00ED41F2" w:rsidRDefault="0099547F" w:rsidP="007E3239">
            <w:pPr>
              <w:pStyle w:val="TableText"/>
              <w:spacing w:before="50" w:after="50"/>
              <w:rPr>
                <w:i/>
                <w:szCs w:val="16"/>
              </w:rPr>
            </w:pPr>
          </w:p>
        </w:tc>
        <w:tc>
          <w:tcPr>
            <w:tcW w:w="5301" w:type="dxa"/>
            <w:hideMark/>
          </w:tcPr>
          <w:p w14:paraId="09BF63B2" w14:textId="77777777" w:rsidR="0099547F" w:rsidRPr="00ED41F2" w:rsidRDefault="0099547F" w:rsidP="007E3239">
            <w:pPr>
              <w:pStyle w:val="TableText"/>
              <w:spacing w:before="50" w:after="50"/>
              <w:rPr>
                <w:i/>
                <w:szCs w:val="16"/>
              </w:rPr>
            </w:pPr>
            <w:r w:rsidRPr="00ED41F2">
              <w:rPr>
                <w:szCs w:val="16"/>
              </w:rPr>
              <w:t>Good anode performance contributed in 2001</w:t>
            </w:r>
          </w:p>
        </w:tc>
      </w:tr>
      <w:tr w:rsidR="0099547F" w:rsidRPr="00ED41F2" w14:paraId="4860AD4B" w14:textId="77777777" w:rsidTr="007E3239">
        <w:tc>
          <w:tcPr>
            <w:tcW w:w="3261" w:type="dxa"/>
            <w:hideMark/>
          </w:tcPr>
          <w:p w14:paraId="21C228D4" w14:textId="77777777" w:rsidR="0099547F" w:rsidRPr="00ED41F2" w:rsidRDefault="0099547F" w:rsidP="007E3239">
            <w:pPr>
              <w:pStyle w:val="TableText"/>
              <w:spacing w:before="50" w:after="50"/>
              <w:rPr>
                <w:i/>
                <w:szCs w:val="16"/>
              </w:rPr>
            </w:pPr>
            <w:r w:rsidRPr="00ED41F2">
              <w:rPr>
                <w:szCs w:val="16"/>
              </w:rPr>
              <w:t>Increase in CO</w:t>
            </w:r>
            <w:r w:rsidRPr="00ED41F2">
              <w:rPr>
                <w:szCs w:val="16"/>
                <w:vertAlign w:val="subscript"/>
              </w:rPr>
              <w:t xml:space="preserve">2 </w:t>
            </w:r>
            <w:r w:rsidRPr="00ED41F2">
              <w:rPr>
                <w:szCs w:val="16"/>
              </w:rPr>
              <w:t>emissions in 1996</w:t>
            </w:r>
          </w:p>
        </w:tc>
        <w:tc>
          <w:tcPr>
            <w:tcW w:w="5301" w:type="dxa"/>
            <w:hideMark/>
          </w:tcPr>
          <w:p w14:paraId="30A51699" w14:textId="77777777" w:rsidR="0099547F" w:rsidRPr="00ED41F2" w:rsidRDefault="0099547F" w:rsidP="007E3239">
            <w:pPr>
              <w:pStyle w:val="TableText"/>
              <w:spacing w:before="50" w:after="50"/>
              <w:rPr>
                <w:i/>
                <w:szCs w:val="16"/>
              </w:rPr>
            </w:pPr>
            <w:r w:rsidRPr="00ED41F2">
              <w:rPr>
                <w:szCs w:val="16"/>
              </w:rPr>
              <w:t>All cells operating, including introduction of additional cells</w:t>
            </w:r>
          </w:p>
        </w:tc>
      </w:tr>
      <w:tr w:rsidR="0099547F" w:rsidRPr="00ED41F2" w14:paraId="7C54956A" w14:textId="77777777" w:rsidTr="007E3239">
        <w:tc>
          <w:tcPr>
            <w:tcW w:w="3261" w:type="dxa"/>
            <w:tcBorders>
              <w:top w:val="nil"/>
              <w:left w:val="nil"/>
              <w:bottom w:val="single" w:sz="4" w:space="0" w:color="1B556B"/>
              <w:right w:val="nil"/>
            </w:tcBorders>
          </w:tcPr>
          <w:p w14:paraId="3FE4FB8D" w14:textId="77777777" w:rsidR="0099547F" w:rsidRPr="00ED41F2" w:rsidRDefault="0099547F" w:rsidP="007E3239">
            <w:pPr>
              <w:pStyle w:val="TableText"/>
              <w:spacing w:before="50" w:after="50"/>
              <w:rPr>
                <w:i/>
                <w:szCs w:val="16"/>
              </w:rPr>
            </w:pPr>
          </w:p>
        </w:tc>
        <w:tc>
          <w:tcPr>
            <w:tcW w:w="5301" w:type="dxa"/>
            <w:tcBorders>
              <w:top w:val="nil"/>
              <w:left w:val="nil"/>
              <w:bottom w:val="single" w:sz="4" w:space="0" w:color="1B556B"/>
              <w:right w:val="nil"/>
            </w:tcBorders>
            <w:hideMark/>
          </w:tcPr>
          <w:p w14:paraId="4E9319E0" w14:textId="77777777" w:rsidR="0099547F" w:rsidRPr="00ED41F2" w:rsidRDefault="0099547F" w:rsidP="007E3239">
            <w:pPr>
              <w:pStyle w:val="TableText"/>
              <w:spacing w:before="50" w:after="50"/>
              <w:rPr>
                <w:i/>
                <w:szCs w:val="16"/>
              </w:rPr>
            </w:pPr>
            <w:r w:rsidRPr="00ED41F2">
              <w:rPr>
                <w:szCs w:val="16"/>
              </w:rPr>
              <w:t>Increasing aluminium production rate from the cells</w:t>
            </w:r>
          </w:p>
        </w:tc>
      </w:tr>
      <w:tr w:rsidR="0099547F" w:rsidRPr="00ED41F2" w14:paraId="2EB33DEE" w14:textId="77777777" w:rsidTr="007E3239">
        <w:tc>
          <w:tcPr>
            <w:tcW w:w="3261" w:type="dxa"/>
            <w:tcBorders>
              <w:top w:val="single" w:sz="4" w:space="0" w:color="1B556B"/>
              <w:left w:val="nil"/>
              <w:bottom w:val="nil"/>
              <w:right w:val="nil"/>
            </w:tcBorders>
            <w:hideMark/>
          </w:tcPr>
          <w:p w14:paraId="53F50B0D" w14:textId="77777777" w:rsidR="0099547F" w:rsidRPr="00ED41F2" w:rsidRDefault="0099547F" w:rsidP="0077453D">
            <w:pPr>
              <w:pStyle w:val="TableText"/>
              <w:spacing w:before="50" w:after="50"/>
              <w:rPr>
                <w:i/>
                <w:szCs w:val="16"/>
              </w:rPr>
            </w:pPr>
            <w:r w:rsidRPr="00ED41F2">
              <w:rPr>
                <w:szCs w:val="16"/>
              </w:rPr>
              <w:t>Decrease in PFC emissions in 1995</w:t>
            </w:r>
          </w:p>
        </w:tc>
        <w:tc>
          <w:tcPr>
            <w:tcW w:w="5301" w:type="dxa"/>
            <w:tcBorders>
              <w:top w:val="single" w:sz="4" w:space="0" w:color="1B556B"/>
              <w:left w:val="nil"/>
              <w:bottom w:val="nil"/>
              <w:right w:val="nil"/>
            </w:tcBorders>
            <w:hideMark/>
          </w:tcPr>
          <w:p w14:paraId="7AB5E230" w14:textId="77777777" w:rsidR="0099547F" w:rsidRPr="00ED41F2" w:rsidRDefault="0099547F" w:rsidP="0077453D">
            <w:pPr>
              <w:pStyle w:val="TableText"/>
              <w:spacing w:before="50" w:after="50"/>
              <w:rPr>
                <w:i/>
                <w:szCs w:val="16"/>
              </w:rPr>
            </w:pPr>
            <w:r w:rsidRPr="00ED41F2">
              <w:rPr>
                <w:szCs w:val="16"/>
              </w:rPr>
              <w:t xml:space="preserve">Reduced anode frequencies </w:t>
            </w:r>
          </w:p>
        </w:tc>
      </w:tr>
      <w:tr w:rsidR="0099547F" w:rsidRPr="00ED41F2" w14:paraId="7F6480B2" w14:textId="77777777" w:rsidTr="007E3239">
        <w:tc>
          <w:tcPr>
            <w:tcW w:w="3261" w:type="dxa"/>
          </w:tcPr>
          <w:p w14:paraId="2D5B9BEB" w14:textId="77777777" w:rsidR="0099547F" w:rsidRPr="00ED41F2" w:rsidRDefault="0099547F" w:rsidP="0077453D">
            <w:pPr>
              <w:pStyle w:val="TableText"/>
              <w:spacing w:before="50" w:after="50"/>
              <w:rPr>
                <w:i/>
                <w:szCs w:val="16"/>
              </w:rPr>
            </w:pPr>
          </w:p>
        </w:tc>
        <w:tc>
          <w:tcPr>
            <w:tcW w:w="5301" w:type="dxa"/>
            <w:hideMark/>
          </w:tcPr>
          <w:p w14:paraId="2E7952A6" w14:textId="77777777" w:rsidR="0099547F" w:rsidRPr="00ED41F2" w:rsidRDefault="0099547F" w:rsidP="0077453D">
            <w:pPr>
              <w:pStyle w:val="TableText"/>
              <w:spacing w:before="50" w:after="50"/>
              <w:rPr>
                <w:i/>
                <w:szCs w:val="16"/>
              </w:rPr>
            </w:pPr>
            <w:r w:rsidRPr="00ED41F2">
              <w:rPr>
                <w:szCs w:val="16"/>
              </w:rPr>
              <w:t>The implementation of the change control strategy to all reduction cells</w:t>
            </w:r>
          </w:p>
        </w:tc>
      </w:tr>
      <w:tr w:rsidR="0099547F" w:rsidRPr="00ED41F2" w14:paraId="69294EFE" w14:textId="77777777" w:rsidTr="007E3239">
        <w:tc>
          <w:tcPr>
            <w:tcW w:w="3261" w:type="dxa"/>
          </w:tcPr>
          <w:p w14:paraId="4DAA1710" w14:textId="77777777" w:rsidR="0099547F" w:rsidRPr="00ED41F2" w:rsidRDefault="0099547F" w:rsidP="0077453D">
            <w:pPr>
              <w:pStyle w:val="TableText"/>
              <w:spacing w:before="50" w:after="50"/>
              <w:rPr>
                <w:i/>
                <w:szCs w:val="16"/>
              </w:rPr>
            </w:pPr>
          </w:p>
        </w:tc>
        <w:tc>
          <w:tcPr>
            <w:tcW w:w="5301" w:type="dxa"/>
            <w:hideMark/>
          </w:tcPr>
          <w:p w14:paraId="114397F5" w14:textId="77777777" w:rsidR="0099547F" w:rsidRPr="00ED41F2" w:rsidRDefault="0099547F" w:rsidP="0077453D">
            <w:pPr>
              <w:pStyle w:val="TableText"/>
              <w:spacing w:before="50" w:after="50"/>
              <w:rPr>
                <w:i/>
                <w:szCs w:val="16"/>
              </w:rPr>
            </w:pPr>
            <w:r w:rsidRPr="00ED41F2">
              <w:rPr>
                <w:szCs w:val="16"/>
              </w:rPr>
              <w:t>Repairs made to cells exerting higher frequencies</w:t>
            </w:r>
          </w:p>
        </w:tc>
      </w:tr>
      <w:tr w:rsidR="0099547F" w:rsidRPr="00ED41F2" w14:paraId="4D8078C1" w14:textId="77777777" w:rsidTr="007E3239">
        <w:tc>
          <w:tcPr>
            <w:tcW w:w="3261" w:type="dxa"/>
            <w:hideMark/>
          </w:tcPr>
          <w:p w14:paraId="70C860EE" w14:textId="77777777" w:rsidR="0099547F" w:rsidRPr="00ED41F2" w:rsidRDefault="0099547F" w:rsidP="0077453D">
            <w:pPr>
              <w:pStyle w:val="TableText"/>
              <w:spacing w:before="50" w:after="50"/>
              <w:rPr>
                <w:i/>
                <w:szCs w:val="16"/>
              </w:rPr>
            </w:pPr>
            <w:r w:rsidRPr="00ED41F2">
              <w:rPr>
                <w:szCs w:val="16"/>
              </w:rPr>
              <w:t>PFC emissions remained high in 1997</w:t>
            </w:r>
          </w:p>
        </w:tc>
        <w:tc>
          <w:tcPr>
            <w:tcW w:w="5301" w:type="dxa"/>
            <w:hideMark/>
          </w:tcPr>
          <w:p w14:paraId="523B7190" w14:textId="77777777" w:rsidR="0099547F" w:rsidRPr="00ED41F2" w:rsidRDefault="0099547F" w:rsidP="0077453D">
            <w:pPr>
              <w:pStyle w:val="TableText"/>
              <w:spacing w:before="50" w:after="50"/>
              <w:rPr>
                <w:i/>
                <w:szCs w:val="16"/>
              </w:rPr>
            </w:pPr>
            <w:r w:rsidRPr="00ED41F2">
              <w:rPr>
                <w:szCs w:val="16"/>
              </w:rPr>
              <w:t>Instability over the whole plant as the operating parameters were tuned for the material coming from the newly commissioned dry scrubbing equipment (removes the fluoride and particulate from the main stack discharge)</w:t>
            </w:r>
          </w:p>
        </w:tc>
      </w:tr>
      <w:tr w:rsidR="0099547F" w:rsidRPr="00ED41F2" w14:paraId="258114E0" w14:textId="77777777" w:rsidTr="007E3239">
        <w:tc>
          <w:tcPr>
            <w:tcW w:w="3261" w:type="dxa"/>
            <w:hideMark/>
          </w:tcPr>
          <w:p w14:paraId="54A55CFA" w14:textId="77777777" w:rsidR="0099547F" w:rsidRPr="00ED41F2" w:rsidRDefault="0099547F" w:rsidP="0077453D">
            <w:pPr>
              <w:pStyle w:val="TableText"/>
              <w:spacing w:before="50" w:after="50"/>
              <w:rPr>
                <w:i/>
                <w:szCs w:val="16"/>
              </w:rPr>
            </w:pPr>
            <w:r w:rsidRPr="00ED41F2">
              <w:rPr>
                <w:szCs w:val="16"/>
              </w:rPr>
              <w:t>Decrease in PFC emissions in 1998</w:t>
            </w:r>
          </w:p>
        </w:tc>
        <w:tc>
          <w:tcPr>
            <w:tcW w:w="5301" w:type="dxa"/>
            <w:hideMark/>
          </w:tcPr>
          <w:p w14:paraId="66ECCCFE" w14:textId="77777777" w:rsidR="0099547F" w:rsidRPr="00ED41F2" w:rsidRDefault="0099547F" w:rsidP="0077453D">
            <w:pPr>
              <w:pStyle w:val="TableText"/>
              <w:spacing w:before="50" w:after="50"/>
              <w:rPr>
                <w:i/>
                <w:szCs w:val="16"/>
              </w:rPr>
            </w:pPr>
            <w:r w:rsidRPr="00ED41F2">
              <w:rPr>
                <w:szCs w:val="16"/>
              </w:rPr>
              <w:t xml:space="preserve">Cell operating parameter control from the introduction of modified software. This software has improved the detection of an anode-effect onset and will initiate actions to prevent the anode effect </w:t>
            </w:r>
          </w:p>
        </w:tc>
      </w:tr>
      <w:tr w:rsidR="0099547F" w:rsidRPr="00ED41F2" w14:paraId="4E19BA1C" w14:textId="77777777" w:rsidTr="007E3239">
        <w:tc>
          <w:tcPr>
            <w:tcW w:w="3261" w:type="dxa"/>
            <w:tcBorders>
              <w:top w:val="nil"/>
              <w:left w:val="nil"/>
              <w:bottom w:val="single" w:sz="4" w:space="0" w:color="1B556B"/>
              <w:right w:val="nil"/>
            </w:tcBorders>
            <w:hideMark/>
          </w:tcPr>
          <w:p w14:paraId="640A9EBA" w14:textId="77777777" w:rsidR="0099547F" w:rsidRPr="00ED41F2" w:rsidRDefault="0099547F" w:rsidP="0077453D">
            <w:pPr>
              <w:pStyle w:val="TableText"/>
              <w:spacing w:before="50" w:after="50"/>
              <w:rPr>
                <w:i/>
                <w:szCs w:val="16"/>
              </w:rPr>
            </w:pPr>
            <w:r w:rsidRPr="00ED41F2">
              <w:rPr>
                <w:szCs w:val="16"/>
              </w:rPr>
              <w:t>PFCs remain relatively static in 2001, 2003 and 2006</w:t>
            </w:r>
          </w:p>
        </w:tc>
        <w:tc>
          <w:tcPr>
            <w:tcW w:w="5301" w:type="dxa"/>
            <w:tcBorders>
              <w:top w:val="nil"/>
              <w:left w:val="nil"/>
              <w:bottom w:val="single" w:sz="4" w:space="0" w:color="1B556B"/>
              <w:right w:val="nil"/>
            </w:tcBorders>
            <w:hideMark/>
          </w:tcPr>
          <w:p w14:paraId="06783F1C" w14:textId="77777777" w:rsidR="0099547F" w:rsidRPr="00ED41F2" w:rsidRDefault="0099547F" w:rsidP="0077453D">
            <w:pPr>
              <w:pStyle w:val="TableText"/>
              <w:spacing w:before="50" w:after="50"/>
              <w:rPr>
                <w:i/>
                <w:szCs w:val="16"/>
              </w:rPr>
            </w:pPr>
            <w:r w:rsidRPr="00ED41F2">
              <w:rPr>
                <w:szCs w:val="16"/>
              </w:rPr>
              <w:t>Increased emissions from restarting the cells</w:t>
            </w:r>
          </w:p>
        </w:tc>
      </w:tr>
    </w:tbl>
    <w:p w14:paraId="4C05B311" w14:textId="77777777" w:rsidR="0099547F" w:rsidRPr="00ED41F2" w:rsidRDefault="0099547F" w:rsidP="0099547F">
      <w:pPr>
        <w:pStyle w:val="Heading3"/>
        <w:spacing w:before="400"/>
      </w:pPr>
      <w:r w:rsidRPr="00ED41F2">
        <w:t>4.4.4</w:t>
      </w:r>
      <w:r w:rsidRPr="00ED41F2">
        <w:tab/>
        <w:t>Source-specific QA/QC and verification</w:t>
      </w:r>
    </w:p>
    <w:p w14:paraId="11B3666D" w14:textId="77777777" w:rsidR="0099547F" w:rsidRPr="00ED41F2" w:rsidRDefault="0099547F" w:rsidP="0099547F">
      <w:pPr>
        <w:pStyle w:val="BodyText"/>
        <w:spacing w:before="100" w:after="100"/>
      </w:pPr>
      <w:r w:rsidRPr="00ED41F2">
        <w:t xml:space="preserve">The three key categories in the </w:t>
      </w:r>
      <w:r w:rsidRPr="00ED41F2">
        <w:rPr>
          <w:i/>
        </w:rPr>
        <w:t>Metal industry</w:t>
      </w:r>
      <w:r w:rsidRPr="00ED41F2">
        <w:t xml:space="preserve"> category are CO</w:t>
      </w:r>
      <w:r w:rsidRPr="00ED41F2">
        <w:rPr>
          <w:vertAlign w:val="subscript"/>
        </w:rPr>
        <w:t>2</w:t>
      </w:r>
      <w:r w:rsidRPr="00ED41F2">
        <w:t xml:space="preserve"> emissions from </w:t>
      </w:r>
      <w:r w:rsidRPr="00ED41F2">
        <w:rPr>
          <w:i/>
        </w:rPr>
        <w:t>Iron and steel production</w:t>
      </w:r>
      <w:r w:rsidRPr="00ED41F2">
        <w:t xml:space="preserve"> (level assessment), </w:t>
      </w:r>
      <w:r w:rsidRPr="00ED41F2">
        <w:rPr>
          <w:i/>
        </w:rPr>
        <w:t xml:space="preserve">Aluminium production </w:t>
      </w:r>
      <w:r w:rsidRPr="00ED41F2">
        <w:rPr>
          <w:iCs/>
        </w:rPr>
        <w:t>(level assessment)</w:t>
      </w:r>
      <w:r w:rsidRPr="00ED41F2">
        <w:t xml:space="preserve">, and PFCs from </w:t>
      </w:r>
      <w:r w:rsidRPr="00ED41F2">
        <w:rPr>
          <w:i/>
        </w:rPr>
        <w:t>Aluminium production</w:t>
      </w:r>
      <w:r w:rsidRPr="00ED41F2">
        <w:rPr>
          <w:iCs/>
        </w:rPr>
        <w:t xml:space="preserve"> (trend assessment)</w:t>
      </w:r>
      <w:r w:rsidRPr="00ED41F2">
        <w:t xml:space="preserve">. The data for all direct emissions in this category underwent Tier 1 quality checks in the preparation of this inventory. </w:t>
      </w:r>
    </w:p>
    <w:p w14:paraId="2A6D0F82" w14:textId="77777777" w:rsidR="0099547F" w:rsidRPr="00ED41F2" w:rsidRDefault="0099547F" w:rsidP="0099547F">
      <w:pPr>
        <w:pStyle w:val="Heading3"/>
        <w:spacing w:before="280"/>
      </w:pPr>
      <w:r w:rsidRPr="00ED41F2">
        <w:lastRenderedPageBreak/>
        <w:t>4.4.5</w:t>
      </w:r>
      <w:r w:rsidRPr="00ED41F2">
        <w:tab/>
        <w:t>Source-specific recalculations</w:t>
      </w:r>
    </w:p>
    <w:p w14:paraId="34F8B2A3" w14:textId="77777777" w:rsidR="0099547F" w:rsidRPr="00ED41F2" w:rsidRDefault="0099547F" w:rsidP="00CD3919">
      <w:pPr>
        <w:pStyle w:val="BodyText"/>
        <w:spacing w:before="100" w:after="100"/>
      </w:pPr>
      <w:r w:rsidRPr="00ED41F2">
        <w:t xml:space="preserve">There are no recalculations for this category. </w:t>
      </w:r>
    </w:p>
    <w:p w14:paraId="43E9EAD6" w14:textId="77777777" w:rsidR="0099547F" w:rsidRPr="00ED41F2" w:rsidRDefault="0099547F" w:rsidP="0099547F">
      <w:pPr>
        <w:pStyle w:val="Heading3"/>
        <w:spacing w:before="280"/>
      </w:pPr>
      <w:r w:rsidRPr="00ED41F2">
        <w:t>4.4.6</w:t>
      </w:r>
      <w:r w:rsidRPr="00ED41F2">
        <w:tab/>
        <w:t>Source-specific planned improvements</w:t>
      </w:r>
    </w:p>
    <w:p w14:paraId="7FE2E27D" w14:textId="77777777" w:rsidR="0099547F" w:rsidRPr="00ED41F2" w:rsidRDefault="0099547F" w:rsidP="00CD3919">
      <w:pPr>
        <w:pStyle w:val="BodyText"/>
        <w:spacing w:before="100" w:after="100"/>
      </w:pPr>
      <w:r w:rsidRPr="00ED41F2">
        <w:t xml:space="preserve">There are no planned improvements for this category. </w:t>
      </w:r>
    </w:p>
    <w:p w14:paraId="3E17D1F1" w14:textId="77777777" w:rsidR="0099547F" w:rsidRPr="00ED41F2" w:rsidRDefault="0099547F" w:rsidP="0099547F">
      <w:pPr>
        <w:pStyle w:val="Heading2"/>
        <w:spacing w:before="320"/>
      </w:pPr>
      <w:bookmarkStart w:id="500" w:name="_Toc448321516"/>
      <w:bookmarkStart w:id="501" w:name="_Toc5269355"/>
      <w:bookmarkStart w:id="502" w:name="_Toc36224395"/>
      <w:bookmarkStart w:id="503" w:name="_Toc68786315"/>
      <w:bookmarkStart w:id="504" w:name="_Toc99659122"/>
      <w:r w:rsidRPr="00ED41F2">
        <w:t>4.5</w:t>
      </w:r>
      <w:r w:rsidRPr="00ED41F2">
        <w:tab/>
        <w:t>Non-energy products from fuels and solvent use (2.D)</w:t>
      </w:r>
      <w:bookmarkEnd w:id="500"/>
      <w:bookmarkEnd w:id="501"/>
      <w:bookmarkEnd w:id="502"/>
      <w:bookmarkEnd w:id="503"/>
      <w:bookmarkEnd w:id="504"/>
    </w:p>
    <w:p w14:paraId="32DDE032" w14:textId="77777777" w:rsidR="0099547F" w:rsidRPr="00ED41F2" w:rsidRDefault="0099547F" w:rsidP="0099547F">
      <w:pPr>
        <w:pStyle w:val="Heading3"/>
        <w:spacing w:before="200"/>
      </w:pPr>
      <w:r w:rsidRPr="00ED41F2">
        <w:t>4.5.1</w:t>
      </w:r>
      <w:r w:rsidRPr="00ED41F2">
        <w:tab/>
        <w:t>Description</w:t>
      </w:r>
    </w:p>
    <w:p w14:paraId="04EEA93F" w14:textId="77777777" w:rsidR="0099547F" w:rsidRPr="00ED41F2" w:rsidRDefault="0099547F" w:rsidP="0099547F">
      <w:pPr>
        <w:pStyle w:val="BodyText"/>
        <w:spacing w:before="100" w:after="100"/>
      </w:pPr>
      <w:r w:rsidRPr="00ED41F2">
        <w:t xml:space="preserve">The emissions reported in the </w:t>
      </w:r>
      <w:r w:rsidRPr="00ED41F2">
        <w:rPr>
          <w:i/>
        </w:rPr>
        <w:t>Non-energy products from fuels and solvent use</w:t>
      </w:r>
      <w:r w:rsidRPr="00ED41F2">
        <w:t xml:space="preserve"> category include CO</w:t>
      </w:r>
      <w:r w:rsidRPr="00ED41F2">
        <w:rPr>
          <w:vertAlign w:val="subscript"/>
        </w:rPr>
        <w:t>2</w:t>
      </w:r>
      <w:r w:rsidRPr="00ED41F2">
        <w:t xml:space="preserve"> from the use of lubricants and a very small amount from the use of paraffin wax, some of which is likely to be used for candles. </w:t>
      </w:r>
    </w:p>
    <w:p w14:paraId="52DF8983" w14:textId="77777777" w:rsidR="0099547F" w:rsidRPr="00ED41F2" w:rsidRDefault="0099547F" w:rsidP="0099547F">
      <w:pPr>
        <w:pStyle w:val="BodyText"/>
        <w:spacing w:before="100" w:after="100"/>
      </w:pPr>
      <w:r w:rsidRPr="00ED41F2">
        <w:t>In addition, a small amount of CO</w:t>
      </w:r>
      <w:r w:rsidRPr="00ED41F2">
        <w:rPr>
          <w:vertAlign w:val="subscript"/>
        </w:rPr>
        <w:t>2</w:t>
      </w:r>
      <w:r w:rsidRPr="00ED41F2">
        <w:t xml:space="preserve"> is reported from the use of urea-based catalysts in diesel exhaust fluid (DEF) for control of NO</w:t>
      </w:r>
      <w:r w:rsidRPr="00ED41F2">
        <w:rPr>
          <w:vertAlign w:val="subscript"/>
        </w:rPr>
        <w:t>x</w:t>
      </w:r>
      <w:r w:rsidRPr="00ED41F2">
        <w:t xml:space="preserve"> emissions in diesel engine exhaust gas. These emissions are associated with transport, and the method used is given in volume 2, Energy, of the 2006 IPCC Guidelines (IPCC, 2006b); however, the CRF does not appear to allow for them to be reported under the Energy sector, so they are placed in 2.D.3. </w:t>
      </w:r>
    </w:p>
    <w:p w14:paraId="64AB4632" w14:textId="77777777" w:rsidR="0099547F" w:rsidRPr="00ED41F2" w:rsidRDefault="0099547F" w:rsidP="0099547F">
      <w:pPr>
        <w:pStyle w:val="BodyText"/>
        <w:spacing w:after="100"/>
      </w:pPr>
      <w:r w:rsidRPr="00ED41F2">
        <w:t xml:space="preserve">Some emissions of indirect greenhouse gases (mainly NMVOCs) are estimated and reported from: </w:t>
      </w:r>
    </w:p>
    <w:p w14:paraId="19B0E3AD" w14:textId="77777777" w:rsidR="0099547F" w:rsidRPr="00ED41F2" w:rsidRDefault="0099547F" w:rsidP="00CD3919">
      <w:pPr>
        <w:pStyle w:val="Bullet"/>
        <w:spacing w:after="100"/>
      </w:pPr>
      <w:r w:rsidRPr="00ED41F2">
        <w:t xml:space="preserve">the use of asphalt in road paving and roofing applications </w:t>
      </w:r>
    </w:p>
    <w:p w14:paraId="321B32D3" w14:textId="77777777" w:rsidR="0099547F" w:rsidRPr="00ED41F2" w:rsidRDefault="0099547F" w:rsidP="00CD3919">
      <w:pPr>
        <w:pStyle w:val="Bullet"/>
        <w:spacing w:after="100"/>
      </w:pPr>
      <w:r w:rsidRPr="00ED41F2">
        <w:t xml:space="preserve">painting </w:t>
      </w:r>
    </w:p>
    <w:p w14:paraId="58798D5C" w14:textId="77777777" w:rsidR="0099547F" w:rsidRPr="00ED41F2" w:rsidRDefault="0099547F" w:rsidP="00CD3919">
      <w:pPr>
        <w:pStyle w:val="Bullet"/>
        <w:spacing w:after="100"/>
      </w:pPr>
      <w:r w:rsidRPr="00ED41F2">
        <w:t>degreasing and dry cleaning</w:t>
      </w:r>
    </w:p>
    <w:p w14:paraId="4A30F1EA" w14:textId="77777777" w:rsidR="0099547F" w:rsidRPr="00ED41F2" w:rsidRDefault="0099547F" w:rsidP="00CD3919">
      <w:pPr>
        <w:pStyle w:val="Bullet"/>
        <w:spacing w:after="100"/>
      </w:pPr>
      <w:r w:rsidRPr="00ED41F2">
        <w:t>use of solvents in printing</w:t>
      </w:r>
    </w:p>
    <w:p w14:paraId="52BD82A3" w14:textId="77777777" w:rsidR="0099547F" w:rsidRPr="00ED41F2" w:rsidRDefault="0099547F" w:rsidP="00F93F5E">
      <w:pPr>
        <w:pStyle w:val="Bullet"/>
      </w:pPr>
      <w:r w:rsidRPr="00ED41F2">
        <w:t xml:space="preserve">general domestic and commercial use of solvents. </w:t>
      </w:r>
    </w:p>
    <w:p w14:paraId="4B497EE1" w14:textId="77777777" w:rsidR="0099547F" w:rsidRPr="00ED41F2" w:rsidRDefault="0099547F" w:rsidP="0099547F">
      <w:pPr>
        <w:pStyle w:val="BodyText"/>
        <w:spacing w:after="100"/>
      </w:pPr>
      <w:r w:rsidRPr="00ED41F2">
        <w:t xml:space="preserve">Emissions from the </w:t>
      </w:r>
      <w:r w:rsidRPr="00ED41F2">
        <w:rPr>
          <w:i/>
        </w:rPr>
        <w:t>Non-energy products from fuels and solvent use</w:t>
      </w:r>
      <w:r w:rsidRPr="00ED41F2">
        <w:t xml:space="preserve"> category in 2020 were 44.1 kt CO</w:t>
      </w:r>
      <w:r w:rsidRPr="00ED41F2">
        <w:rPr>
          <w:vertAlign w:val="subscript"/>
        </w:rPr>
        <w:t>2</w:t>
      </w:r>
      <w:r w:rsidRPr="00ED41F2">
        <w:t xml:space="preserve">-e (1.0 per cent) of emissions from the IPPU sector. </w:t>
      </w:r>
    </w:p>
    <w:p w14:paraId="5D956B82" w14:textId="77777777" w:rsidR="0099547F" w:rsidRPr="00ED41F2" w:rsidRDefault="0099547F" w:rsidP="0099547F">
      <w:pPr>
        <w:pStyle w:val="BodyText"/>
        <w:spacing w:before="100" w:after="100"/>
      </w:pPr>
      <w:r w:rsidRPr="00ED41F2">
        <w:t xml:space="preserve">There are no key categories. </w:t>
      </w:r>
    </w:p>
    <w:p w14:paraId="484A3809" w14:textId="77777777" w:rsidR="0099547F" w:rsidRPr="00ED41F2" w:rsidRDefault="0099547F" w:rsidP="0099547F">
      <w:pPr>
        <w:pStyle w:val="Heading3"/>
        <w:spacing w:before="280"/>
      </w:pPr>
      <w:r w:rsidRPr="00ED41F2">
        <w:t xml:space="preserve">4.5.2 </w:t>
      </w:r>
      <w:r w:rsidRPr="00ED41F2">
        <w:tab/>
        <w:t>Methodological issues</w:t>
      </w:r>
    </w:p>
    <w:p w14:paraId="62549AFE" w14:textId="77777777" w:rsidR="0099547F" w:rsidRPr="00ED41F2" w:rsidRDefault="0099547F" w:rsidP="00CF3E69">
      <w:pPr>
        <w:pStyle w:val="Heading4"/>
        <w:rPr>
          <w:bCs/>
          <w:iCs/>
        </w:rPr>
      </w:pPr>
      <w:r w:rsidRPr="00ED41F2">
        <w:t>Choice of activity data</w:t>
      </w:r>
    </w:p>
    <w:p w14:paraId="62CAE76D" w14:textId="77777777" w:rsidR="0099547F" w:rsidRPr="00ED41F2" w:rsidRDefault="0099547F" w:rsidP="0099547F">
      <w:pPr>
        <w:pStyle w:val="Heading5"/>
        <w:spacing w:before="120"/>
      </w:pPr>
      <w:r w:rsidRPr="00ED41F2">
        <w:t>Lubricant use (2.D.1)</w:t>
      </w:r>
    </w:p>
    <w:p w14:paraId="1D1D22AE" w14:textId="77777777" w:rsidR="0099547F" w:rsidRPr="00ED41F2" w:rsidRDefault="0099547F" w:rsidP="0099547F">
      <w:pPr>
        <w:pStyle w:val="BodyText"/>
        <w:spacing w:before="100" w:after="100"/>
      </w:pPr>
      <w:r w:rsidRPr="00ED41F2">
        <w:t xml:space="preserve">Data reported to MBIE by the industry provide estimates of the amount of lubricants imported into New Zealand in each calendar year and the amounts in stock at the start and end of the year. This allows the amount of lubricants used in the year to be estimated. </w:t>
      </w:r>
    </w:p>
    <w:p w14:paraId="01C83E23" w14:textId="77777777" w:rsidR="0099547F" w:rsidRPr="00ED41F2" w:rsidRDefault="0099547F" w:rsidP="0099547F">
      <w:pPr>
        <w:pStyle w:val="BodyText"/>
        <w:spacing w:before="100" w:after="100"/>
      </w:pPr>
      <w:r w:rsidRPr="00ED41F2">
        <w:t>However, this information is only available from the years 2011 on, and is considered to be unreliable for 2011 to 2014 due to under-reporting of imports. For earlier years, the activity data have been estimated by assuming that the amount of lubricant used was proportional to the amount of transport fuel used in New Zealand in the year. Also, because apparent use fluctuates from year to year, and it is unlikely such variations are reflected in actual lubricant use and emissions, averaging is used to estimate emissions for 2015 to 2020.</w:t>
      </w:r>
    </w:p>
    <w:p w14:paraId="7A047EC8" w14:textId="77777777" w:rsidR="0099547F" w:rsidRPr="00ED41F2" w:rsidRDefault="0099547F" w:rsidP="0099547F">
      <w:pPr>
        <w:pStyle w:val="Heading5"/>
      </w:pPr>
      <w:r w:rsidRPr="00ED41F2">
        <w:lastRenderedPageBreak/>
        <w:t>Paraffin wax use (2.D.2)</w:t>
      </w:r>
    </w:p>
    <w:p w14:paraId="1980B619" w14:textId="77777777" w:rsidR="0099547F" w:rsidRPr="00ED41F2" w:rsidRDefault="0099547F" w:rsidP="0099547F">
      <w:pPr>
        <w:pStyle w:val="BodyText"/>
      </w:pPr>
      <w:r w:rsidRPr="00ED41F2">
        <w:t xml:space="preserve">A small amount of paraffin wax is imported into New Zealand. There are no reliable data on import volumes, so the activity data have been estimated from an estimate of the value of imports. This is only available for 2005 to 2011, and the activity data for other years have been assumed to be the same. </w:t>
      </w:r>
    </w:p>
    <w:p w14:paraId="79D695CD" w14:textId="77777777" w:rsidR="0099547F" w:rsidRPr="00ED41F2" w:rsidRDefault="0099547F" w:rsidP="0099547F">
      <w:pPr>
        <w:pStyle w:val="Heading5"/>
      </w:pPr>
      <w:r w:rsidRPr="00ED41F2">
        <w:t>Use of urea-based catalysts in transport (2.D.3)</w:t>
      </w:r>
    </w:p>
    <w:p w14:paraId="383DC692" w14:textId="77777777" w:rsidR="0099547F" w:rsidRPr="00ED41F2" w:rsidRDefault="0099547F" w:rsidP="0099547F">
      <w:pPr>
        <w:pStyle w:val="BodyText"/>
      </w:pPr>
      <w:r w:rsidRPr="00ED41F2">
        <w:t xml:space="preserve">The activity data (quantity of DEF used) are estimated from total sales of diesel, with the assessment that 33 per cent of fuel is used in heavy vehicles and 51 per cent of the heavy vehicle fleet currently uses DEF. The amounts for years up to 2016 are estimated by back-casting the uptake of vehicles that require DEF over time. There was no use of urea catalysts before 2008. </w:t>
      </w:r>
    </w:p>
    <w:p w14:paraId="34F79480" w14:textId="77777777" w:rsidR="0099547F" w:rsidRPr="00ED41F2" w:rsidRDefault="0099547F" w:rsidP="0099547F">
      <w:pPr>
        <w:pStyle w:val="Heading5"/>
      </w:pPr>
      <w:r w:rsidRPr="00ED41F2">
        <w:t>Asphalt paving and roofing and solvent use (2.D.3)</w:t>
      </w:r>
    </w:p>
    <w:p w14:paraId="1908B497" w14:textId="77777777" w:rsidR="0099547F" w:rsidRPr="00ED41F2" w:rsidRDefault="0099547F" w:rsidP="0099547F">
      <w:pPr>
        <w:pStyle w:val="BodyText"/>
      </w:pPr>
      <w:r w:rsidRPr="00ED41F2">
        <w:t xml:space="preserve">Three main bitumen production companies that provide materials for road paving are operating in New Zealand. Data on bitumen production and emission rates were provided by these companies (CRL Energy, </w:t>
      </w:r>
      <w:r w:rsidRPr="00ED41F2">
        <w:rPr>
          <w:rFonts w:eastAsia="+mn-ea"/>
        </w:rPr>
        <w:t>unpublished(a)</w:t>
      </w:r>
      <w:r w:rsidRPr="00ED41F2">
        <w:t xml:space="preserve">). One company is also manufacturing asphalt roofing in New Zealand. </w:t>
      </w:r>
    </w:p>
    <w:p w14:paraId="7E04C045" w14:textId="77777777" w:rsidR="0099547F" w:rsidRPr="00ED41F2" w:rsidRDefault="0099547F" w:rsidP="0099547F">
      <w:pPr>
        <w:pStyle w:val="BodyText"/>
      </w:pPr>
      <w:r w:rsidRPr="00ED41F2">
        <w:t xml:space="preserve">Solvent use was estimated in 2006 (CRL Energy, </w:t>
      </w:r>
      <w:r w:rsidRPr="00ED41F2">
        <w:rPr>
          <w:rFonts w:eastAsia="+mn-ea"/>
        </w:rPr>
        <w:t>unpublished(a)</w:t>
      </w:r>
      <w:r w:rsidRPr="00ED41F2">
        <w:t xml:space="preserve">) and, for all of these sources, activity data for the years up to 2005 have been extrapolated for 2006 to 2020 in the absence of any updated information. </w:t>
      </w:r>
    </w:p>
    <w:p w14:paraId="175118D8" w14:textId="77777777" w:rsidR="0099547F" w:rsidRPr="00ED41F2" w:rsidRDefault="0099547F" w:rsidP="00CF3E69">
      <w:pPr>
        <w:pStyle w:val="Heading4"/>
      </w:pPr>
      <w:r w:rsidRPr="00ED41F2">
        <w:t>Choice of methods</w:t>
      </w:r>
    </w:p>
    <w:p w14:paraId="1D32E106" w14:textId="77777777" w:rsidR="0099547F" w:rsidRPr="00ED41F2" w:rsidRDefault="0099547F" w:rsidP="0099547F">
      <w:pPr>
        <w:pStyle w:val="BodyText"/>
      </w:pPr>
      <w:r w:rsidRPr="00ED41F2">
        <w:t xml:space="preserve">Tier 1 methods (IPCC, 2006a, 2006b) are used to estimate all emissions in this category. Only approximate activity data are available, with no country-specific information on the amounts of lubricant and paraffin wax used for specific applications. </w:t>
      </w:r>
    </w:p>
    <w:p w14:paraId="43EF72C1" w14:textId="77777777" w:rsidR="0099547F" w:rsidRPr="00ED41F2" w:rsidRDefault="0099547F" w:rsidP="00CF3E69">
      <w:pPr>
        <w:pStyle w:val="Heading4"/>
        <w:rPr>
          <w:bCs/>
          <w:iCs/>
        </w:rPr>
      </w:pPr>
      <w:r w:rsidRPr="00ED41F2">
        <w:t>Choice of emission factors</w:t>
      </w:r>
    </w:p>
    <w:p w14:paraId="54122C34" w14:textId="77777777" w:rsidR="0099547F" w:rsidRPr="00ED41F2" w:rsidRDefault="0099547F" w:rsidP="0099547F">
      <w:pPr>
        <w:pStyle w:val="Heading5"/>
        <w:spacing w:before="120"/>
      </w:pPr>
      <w:r w:rsidRPr="00ED41F2">
        <w:t>Lubricant use (2.D.1) and paraffin wax use (2.D.2)</w:t>
      </w:r>
    </w:p>
    <w:p w14:paraId="5836BBC7" w14:textId="77777777" w:rsidR="0099547F" w:rsidRPr="00ED41F2" w:rsidRDefault="0099547F" w:rsidP="0099547F">
      <w:pPr>
        <w:pStyle w:val="BodyText"/>
      </w:pPr>
      <w:r w:rsidRPr="00ED41F2">
        <w:t xml:space="preserve">Default emission factors (carbon content and ‘oxidised during use’ factor) are used. </w:t>
      </w:r>
    </w:p>
    <w:p w14:paraId="46CEA8EB" w14:textId="77777777" w:rsidR="0099547F" w:rsidRPr="00ED41F2" w:rsidRDefault="0099547F" w:rsidP="0099547F">
      <w:pPr>
        <w:pStyle w:val="Heading5"/>
      </w:pPr>
      <w:r w:rsidRPr="00ED41F2">
        <w:t>Use of urea-based catalysts in transport (2.D.3)</w:t>
      </w:r>
    </w:p>
    <w:p w14:paraId="0133213B" w14:textId="77777777" w:rsidR="0099547F" w:rsidRPr="00ED41F2" w:rsidRDefault="0099547F" w:rsidP="0099547F">
      <w:pPr>
        <w:pStyle w:val="BodyText"/>
      </w:pPr>
      <w:r w:rsidRPr="00ED41F2">
        <w:t xml:space="preserve">Default emission factors are used. DEF sold in New Zealand conforms with international norms and contains 32.5 per cent urea, which is the default value. </w:t>
      </w:r>
    </w:p>
    <w:p w14:paraId="218E9074" w14:textId="77777777" w:rsidR="0099547F" w:rsidRPr="00ED41F2" w:rsidRDefault="0099547F" w:rsidP="0099547F">
      <w:pPr>
        <w:pStyle w:val="Heading5"/>
      </w:pPr>
      <w:r w:rsidRPr="00ED41F2">
        <w:t>Asphalt paving and roofing and solvent use (2.D.3)</w:t>
      </w:r>
    </w:p>
    <w:p w14:paraId="75487892" w14:textId="77777777" w:rsidR="0099547F" w:rsidRPr="00ED41F2" w:rsidRDefault="0099547F" w:rsidP="0099547F">
      <w:pPr>
        <w:pStyle w:val="BodyText"/>
      </w:pPr>
      <w:r w:rsidRPr="00ED41F2">
        <w:t xml:space="preserve">The bitumen content of road paving used in New Zealand is about 6 per cent, which is lower than commonly used in most countries. The NMVOC emissions from road paving are calculated using a country-specific method based on the fraction of bitumen in asphalt used in road paving material, the fraction of solvent added to bitumen and an assessment that 75 per cent of the solvent added will be emitted (see table 4.5.1). </w:t>
      </w:r>
    </w:p>
    <w:p w14:paraId="78467AD9" w14:textId="77777777" w:rsidR="0099547F" w:rsidRPr="00ED41F2" w:rsidRDefault="0099547F" w:rsidP="0099547F">
      <w:pPr>
        <w:pStyle w:val="Table"/>
      </w:pPr>
      <w:bookmarkStart w:id="505" w:name="_Toc451176073"/>
      <w:bookmarkStart w:id="506" w:name="_Toc5269463"/>
      <w:bookmarkStart w:id="507" w:name="_Toc36224536"/>
      <w:bookmarkStart w:id="508" w:name="_Toc68786423"/>
      <w:bookmarkStart w:id="509" w:name="_Toc99659231"/>
      <w:r w:rsidRPr="00ED41F2">
        <w:lastRenderedPageBreak/>
        <w:t xml:space="preserve">Table 4.5.1 </w:t>
      </w:r>
      <w:r w:rsidRPr="00ED41F2">
        <w:tab/>
        <w:t>Calculation of NMVOC emissions from road paving</w:t>
      </w:r>
      <w:bookmarkEnd w:id="505"/>
      <w:bookmarkEnd w:id="506"/>
      <w:bookmarkEnd w:id="507"/>
      <w:bookmarkEnd w:id="508"/>
      <w:bookmarkEnd w:id="509"/>
    </w:p>
    <w:tbl>
      <w:tblPr>
        <w:tblW w:w="8505" w:type="dxa"/>
        <w:tblInd w:w="108" w:type="dxa"/>
        <w:tblBorders>
          <w:top w:val="single" w:sz="4" w:space="0" w:color="1B556B"/>
          <w:bottom w:val="single" w:sz="4" w:space="0" w:color="1B556B"/>
          <w:insideH w:val="single" w:sz="4" w:space="0" w:color="1B556B"/>
          <w:insideV w:val="single" w:sz="4" w:space="0" w:color="365F91"/>
        </w:tblBorders>
        <w:tblLook w:val="04A0" w:firstRow="1" w:lastRow="0" w:firstColumn="1" w:lastColumn="0" w:noHBand="0" w:noVBand="1"/>
      </w:tblPr>
      <w:tblGrid>
        <w:gridCol w:w="8505"/>
      </w:tblGrid>
      <w:tr w:rsidR="0099547F" w:rsidRPr="00ED41F2" w14:paraId="3ADCB916" w14:textId="77777777" w:rsidTr="007E3239">
        <w:tc>
          <w:tcPr>
            <w:tcW w:w="4565" w:type="dxa"/>
            <w:shd w:val="clear" w:color="auto" w:fill="1B556B"/>
            <w:hideMark/>
          </w:tcPr>
          <w:p w14:paraId="42E3DE87" w14:textId="77777777" w:rsidR="0099547F" w:rsidRPr="00ED41F2" w:rsidRDefault="0099547F" w:rsidP="007E3239">
            <w:pPr>
              <w:pStyle w:val="TableTextBold"/>
              <w:keepNext/>
              <w:rPr>
                <w:noProof w:val="0"/>
                <w:color w:val="FFFFFF"/>
                <w:sz w:val="18"/>
                <w:szCs w:val="18"/>
              </w:rPr>
            </w:pPr>
            <w:r w:rsidRPr="00ED41F2">
              <w:rPr>
                <w:noProof w:val="0"/>
                <w:color w:val="FFFFFF"/>
              </w:rPr>
              <w:t>Calculation of NMVOC emissions from road paving</w:t>
            </w:r>
          </w:p>
        </w:tc>
      </w:tr>
      <w:tr w:rsidR="0099547F" w:rsidRPr="00ED41F2" w14:paraId="653F09CA" w14:textId="77777777" w:rsidTr="007E3239">
        <w:tc>
          <w:tcPr>
            <w:tcW w:w="4565" w:type="dxa"/>
            <w:hideMark/>
          </w:tcPr>
          <w:p w14:paraId="40B544E1" w14:textId="77777777" w:rsidR="0099547F" w:rsidRPr="00ED41F2" w:rsidRDefault="0099547F" w:rsidP="007E3239">
            <w:pPr>
              <w:pStyle w:val="TableText"/>
              <w:keepNext/>
              <w:spacing w:before="50" w:after="50"/>
            </w:pPr>
            <w:r w:rsidRPr="00ED41F2">
              <w:t xml:space="preserve">NMVOC emitted = A × B × C × D </w:t>
            </w:r>
          </w:p>
          <w:p w14:paraId="052034F2" w14:textId="77777777" w:rsidR="0099547F" w:rsidRPr="00ED41F2" w:rsidRDefault="0099547F" w:rsidP="007E3239">
            <w:pPr>
              <w:pStyle w:val="TableText"/>
              <w:keepNext/>
              <w:spacing w:before="50" w:after="50"/>
            </w:pPr>
            <w:r w:rsidRPr="00ED41F2">
              <w:t xml:space="preserve">Where: </w:t>
            </w:r>
          </w:p>
          <w:p w14:paraId="3F9BED26" w14:textId="77777777" w:rsidR="0099547F" w:rsidRPr="00ED41F2" w:rsidRDefault="0099547F" w:rsidP="007E3239">
            <w:pPr>
              <w:pStyle w:val="TableText"/>
              <w:keepNext/>
              <w:spacing w:before="50" w:after="50"/>
              <w:rPr>
                <w:rFonts w:cs="Calibri"/>
              </w:rPr>
            </w:pPr>
            <w:r w:rsidRPr="00ED41F2">
              <w:t>A = road paving material used (kt)</w:t>
            </w:r>
          </w:p>
          <w:p w14:paraId="5BE59E59" w14:textId="77777777" w:rsidR="0099547F" w:rsidRPr="00ED41F2" w:rsidRDefault="0099547F" w:rsidP="007E3239">
            <w:pPr>
              <w:pStyle w:val="TableText"/>
              <w:keepNext/>
              <w:spacing w:before="50" w:after="50"/>
            </w:pPr>
            <w:r w:rsidRPr="00ED41F2">
              <w:t>B = fraction by weight of bitumen in asphalt</w:t>
            </w:r>
          </w:p>
          <w:p w14:paraId="12F8AA7B" w14:textId="77777777" w:rsidR="0099547F" w:rsidRPr="00ED41F2" w:rsidRDefault="0099547F" w:rsidP="007E3239">
            <w:pPr>
              <w:pStyle w:val="TableText"/>
              <w:keepNext/>
              <w:spacing w:before="50" w:after="50"/>
            </w:pPr>
            <w:r w:rsidRPr="00ED41F2">
              <w:t>C = fraction of solvent added to bitumen (0.04)</w:t>
            </w:r>
          </w:p>
          <w:p w14:paraId="68B0E49B" w14:textId="77777777" w:rsidR="0099547F" w:rsidRPr="00ED41F2" w:rsidRDefault="0099547F" w:rsidP="007E3239">
            <w:pPr>
              <w:pStyle w:val="TableText"/>
              <w:keepNext/>
              <w:spacing w:before="50" w:after="50"/>
            </w:pPr>
            <w:r w:rsidRPr="00ED41F2">
              <w:t>D = fraction of solvent emitted (0.75)</w:t>
            </w:r>
          </w:p>
        </w:tc>
      </w:tr>
    </w:tbl>
    <w:p w14:paraId="3E677169" w14:textId="77777777" w:rsidR="0099547F" w:rsidRPr="00ED41F2" w:rsidRDefault="0099547F" w:rsidP="0099547F">
      <w:pPr>
        <w:pStyle w:val="BodyText"/>
        <w:spacing w:before="240"/>
      </w:pPr>
      <w:r w:rsidRPr="00ED41F2">
        <w:t xml:space="preserve">The fraction of bitumen in asphalt used in road paving materials was reduced over time as methods of laying roading improved (see table 4.5.2). </w:t>
      </w:r>
    </w:p>
    <w:p w14:paraId="2176999F" w14:textId="77777777" w:rsidR="0099547F" w:rsidRPr="00ED41F2" w:rsidRDefault="0099547F" w:rsidP="0099547F">
      <w:pPr>
        <w:pStyle w:val="Table"/>
      </w:pPr>
      <w:bookmarkStart w:id="510" w:name="_Toc451176074"/>
      <w:bookmarkStart w:id="511" w:name="_Toc5269464"/>
      <w:bookmarkStart w:id="512" w:name="_Toc36224537"/>
      <w:bookmarkStart w:id="513" w:name="_Toc68786424"/>
      <w:bookmarkStart w:id="514" w:name="_Toc99659232"/>
      <w:r w:rsidRPr="00ED41F2">
        <w:t xml:space="preserve">Table 4.5.2 </w:t>
      </w:r>
      <w:r w:rsidRPr="00ED41F2">
        <w:tab/>
        <w:t>Fraction of bitumen in road paving material</w:t>
      </w:r>
      <w:bookmarkEnd w:id="510"/>
      <w:bookmarkEnd w:id="511"/>
      <w:bookmarkEnd w:id="512"/>
      <w:bookmarkEnd w:id="513"/>
      <w:bookmarkEnd w:id="514"/>
    </w:p>
    <w:tbl>
      <w:tblPr>
        <w:tblW w:w="8505" w:type="dxa"/>
        <w:tblInd w:w="108" w:type="dxa"/>
        <w:tblLook w:val="04A0" w:firstRow="1" w:lastRow="0" w:firstColumn="1" w:lastColumn="0" w:noHBand="0" w:noVBand="1"/>
      </w:tblPr>
      <w:tblGrid>
        <w:gridCol w:w="3394"/>
        <w:gridCol w:w="5111"/>
      </w:tblGrid>
      <w:tr w:rsidR="0099547F" w:rsidRPr="00ED41F2" w14:paraId="3644212D" w14:textId="77777777" w:rsidTr="007E3239">
        <w:tc>
          <w:tcPr>
            <w:tcW w:w="2263" w:type="dxa"/>
            <w:tcBorders>
              <w:top w:val="single" w:sz="4" w:space="0" w:color="1B556B"/>
              <w:left w:val="nil"/>
              <w:right w:val="nil"/>
            </w:tcBorders>
            <w:shd w:val="clear" w:color="auto" w:fill="1B556B"/>
            <w:hideMark/>
          </w:tcPr>
          <w:p w14:paraId="5DF01F62" w14:textId="77777777" w:rsidR="0099547F" w:rsidRPr="00ED41F2" w:rsidRDefault="0099547F" w:rsidP="007E3239">
            <w:pPr>
              <w:pStyle w:val="TableTextBold"/>
              <w:spacing w:before="50" w:after="50"/>
              <w:rPr>
                <w:bCs/>
                <w:noProof w:val="0"/>
                <w:color w:val="FFFFFF"/>
              </w:rPr>
            </w:pPr>
            <w:r w:rsidRPr="00ED41F2">
              <w:rPr>
                <w:noProof w:val="0"/>
                <w:color w:val="FFFFFF"/>
              </w:rPr>
              <w:t>Reporting years</w:t>
            </w:r>
          </w:p>
        </w:tc>
        <w:tc>
          <w:tcPr>
            <w:tcW w:w="3407" w:type="dxa"/>
            <w:tcBorders>
              <w:top w:val="single" w:sz="4" w:space="0" w:color="1B556B"/>
              <w:left w:val="nil"/>
              <w:right w:val="nil"/>
            </w:tcBorders>
            <w:shd w:val="clear" w:color="auto" w:fill="1B556B"/>
            <w:hideMark/>
          </w:tcPr>
          <w:p w14:paraId="5FF0DC66" w14:textId="77777777" w:rsidR="0099547F" w:rsidRPr="00ED41F2" w:rsidRDefault="0099547F" w:rsidP="007E3239">
            <w:pPr>
              <w:pStyle w:val="TableTextBold"/>
              <w:spacing w:before="50" w:after="50"/>
              <w:rPr>
                <w:bCs/>
                <w:noProof w:val="0"/>
                <w:color w:val="FFFFFF"/>
              </w:rPr>
            </w:pPr>
            <w:r w:rsidRPr="00ED41F2">
              <w:rPr>
                <w:noProof w:val="0"/>
                <w:color w:val="FFFFFF"/>
              </w:rPr>
              <w:t>Fraction by weight of bitumen in asphalt (B above)</w:t>
            </w:r>
          </w:p>
        </w:tc>
      </w:tr>
      <w:tr w:rsidR="0099547F" w:rsidRPr="00ED41F2" w14:paraId="389FDFA0" w14:textId="77777777" w:rsidTr="007E3239">
        <w:tc>
          <w:tcPr>
            <w:tcW w:w="2263" w:type="dxa"/>
            <w:tcBorders>
              <w:left w:val="nil"/>
              <w:bottom w:val="nil"/>
              <w:right w:val="nil"/>
            </w:tcBorders>
            <w:hideMark/>
          </w:tcPr>
          <w:p w14:paraId="6EB9994E" w14:textId="77777777" w:rsidR="0099547F" w:rsidRPr="00ED41F2" w:rsidRDefault="0099547F" w:rsidP="007E3239">
            <w:pPr>
              <w:pStyle w:val="TableText"/>
              <w:spacing w:before="50" w:after="50"/>
            </w:pPr>
            <w:r w:rsidRPr="00ED41F2">
              <w:t xml:space="preserve">1990–2001 </w:t>
            </w:r>
          </w:p>
        </w:tc>
        <w:tc>
          <w:tcPr>
            <w:tcW w:w="3407" w:type="dxa"/>
            <w:tcBorders>
              <w:left w:val="nil"/>
              <w:bottom w:val="nil"/>
              <w:right w:val="nil"/>
            </w:tcBorders>
            <w:hideMark/>
          </w:tcPr>
          <w:p w14:paraId="613B3CFF" w14:textId="77777777" w:rsidR="0099547F" w:rsidRPr="00ED41F2" w:rsidRDefault="0099547F" w:rsidP="007E3239">
            <w:pPr>
              <w:pStyle w:val="TableText"/>
              <w:spacing w:before="50" w:after="50"/>
            </w:pPr>
            <w:r w:rsidRPr="00ED41F2">
              <w:t>0.80</w:t>
            </w:r>
          </w:p>
        </w:tc>
      </w:tr>
      <w:tr w:rsidR="0099547F" w:rsidRPr="00ED41F2" w14:paraId="509F0280" w14:textId="77777777" w:rsidTr="007E3239">
        <w:tc>
          <w:tcPr>
            <w:tcW w:w="2263" w:type="dxa"/>
            <w:hideMark/>
          </w:tcPr>
          <w:p w14:paraId="6852C08F" w14:textId="77777777" w:rsidR="0099547F" w:rsidRPr="00ED41F2" w:rsidRDefault="0099547F" w:rsidP="007E3239">
            <w:pPr>
              <w:pStyle w:val="TableText"/>
              <w:spacing w:before="50" w:after="50"/>
            </w:pPr>
            <w:r w:rsidRPr="00ED41F2">
              <w:t>2002–2003</w:t>
            </w:r>
          </w:p>
        </w:tc>
        <w:tc>
          <w:tcPr>
            <w:tcW w:w="3407" w:type="dxa"/>
            <w:hideMark/>
          </w:tcPr>
          <w:p w14:paraId="49B21A12" w14:textId="77777777" w:rsidR="0099547F" w:rsidRPr="00ED41F2" w:rsidRDefault="0099547F" w:rsidP="007E3239">
            <w:pPr>
              <w:pStyle w:val="TableText"/>
              <w:spacing w:before="50" w:after="50"/>
            </w:pPr>
            <w:r w:rsidRPr="00ED41F2">
              <w:t>0.65</w:t>
            </w:r>
          </w:p>
        </w:tc>
      </w:tr>
      <w:tr w:rsidR="0099547F" w:rsidRPr="00ED41F2" w14:paraId="0B5C36A6" w14:textId="77777777" w:rsidTr="007E3239">
        <w:tc>
          <w:tcPr>
            <w:tcW w:w="2263" w:type="dxa"/>
            <w:tcBorders>
              <w:top w:val="nil"/>
              <w:left w:val="nil"/>
              <w:bottom w:val="single" w:sz="4" w:space="0" w:color="1B556B"/>
              <w:right w:val="nil"/>
            </w:tcBorders>
            <w:hideMark/>
          </w:tcPr>
          <w:p w14:paraId="7F2FB9CB" w14:textId="77777777" w:rsidR="0099547F" w:rsidRPr="00ED41F2" w:rsidRDefault="0099547F" w:rsidP="007E3239">
            <w:pPr>
              <w:pStyle w:val="TableText"/>
              <w:spacing w:before="50" w:after="50"/>
            </w:pPr>
            <w:r w:rsidRPr="00ED41F2">
              <w:t>2004–2018</w:t>
            </w:r>
          </w:p>
        </w:tc>
        <w:tc>
          <w:tcPr>
            <w:tcW w:w="3407" w:type="dxa"/>
            <w:tcBorders>
              <w:top w:val="nil"/>
              <w:left w:val="nil"/>
              <w:bottom w:val="single" w:sz="4" w:space="0" w:color="1B556B"/>
              <w:right w:val="nil"/>
            </w:tcBorders>
            <w:hideMark/>
          </w:tcPr>
          <w:p w14:paraId="64F7A405" w14:textId="77777777" w:rsidR="0099547F" w:rsidRPr="00ED41F2" w:rsidRDefault="0099547F" w:rsidP="007E3239">
            <w:pPr>
              <w:pStyle w:val="TableText"/>
              <w:spacing w:before="50" w:after="50"/>
            </w:pPr>
            <w:r w:rsidRPr="00ED41F2">
              <w:t>0.60</w:t>
            </w:r>
          </w:p>
        </w:tc>
      </w:tr>
    </w:tbl>
    <w:p w14:paraId="6BA9482F" w14:textId="77777777" w:rsidR="0099547F" w:rsidRPr="00ED41F2" w:rsidRDefault="0099547F" w:rsidP="0099547F">
      <w:pPr>
        <w:pStyle w:val="BodyText"/>
        <w:spacing w:before="240"/>
      </w:pPr>
      <w:r w:rsidRPr="00ED41F2">
        <w:t xml:space="preserve">For asphalt used as roofing material, IPCC default emission factors of 0.05 kilograms NMVOC and 0.0095 kilograms CO per tonne of product have been used. </w:t>
      </w:r>
    </w:p>
    <w:p w14:paraId="584310A9" w14:textId="77777777" w:rsidR="0099547F" w:rsidRPr="00ED41F2" w:rsidRDefault="0099547F" w:rsidP="0099547F">
      <w:pPr>
        <w:pStyle w:val="Heading3"/>
        <w:spacing w:before="240"/>
      </w:pPr>
      <w:r w:rsidRPr="00ED41F2">
        <w:t xml:space="preserve">4.5.3 </w:t>
      </w:r>
      <w:r w:rsidRPr="00ED41F2">
        <w:tab/>
        <w:t>Uncertainties and time-series consistency</w:t>
      </w:r>
    </w:p>
    <w:p w14:paraId="1FE2F84A" w14:textId="77777777" w:rsidR="0099547F" w:rsidRPr="00ED41F2" w:rsidRDefault="0099547F" w:rsidP="00CF3E69">
      <w:pPr>
        <w:pStyle w:val="Heading4"/>
        <w:rPr>
          <w:bCs/>
          <w:iCs/>
        </w:rPr>
      </w:pPr>
      <w:r w:rsidRPr="00ED41F2">
        <w:t>Uncertainties</w:t>
      </w:r>
    </w:p>
    <w:p w14:paraId="615C0101" w14:textId="77777777" w:rsidR="0099547F" w:rsidRPr="00ED41F2" w:rsidRDefault="0099547F" w:rsidP="0099547F">
      <w:pPr>
        <w:pStyle w:val="BodyText"/>
      </w:pPr>
      <w:r w:rsidRPr="00ED41F2">
        <w:t>IPCC default uncertainty is estimated for CO</w:t>
      </w:r>
      <w:r w:rsidRPr="00ED41F2">
        <w:rPr>
          <w:vertAlign w:val="subscript"/>
        </w:rPr>
        <w:t>2</w:t>
      </w:r>
      <w:r w:rsidRPr="00ED41F2">
        <w:t xml:space="preserve"> from lubricant use. The uncertainties used for indirect emissions in this category are a mix of defaults and country specific. These uncertainties are shown in table 4.5.3. </w:t>
      </w:r>
    </w:p>
    <w:p w14:paraId="219F6034" w14:textId="77777777" w:rsidR="0099547F" w:rsidRPr="00ED41F2" w:rsidRDefault="0099547F" w:rsidP="0099547F">
      <w:pPr>
        <w:pStyle w:val="Table"/>
      </w:pPr>
      <w:bookmarkStart w:id="515" w:name="_Toc451176075"/>
      <w:bookmarkStart w:id="516" w:name="_Toc5269465"/>
      <w:bookmarkStart w:id="517" w:name="_Toc36224538"/>
      <w:bookmarkStart w:id="518" w:name="_Toc68786425"/>
      <w:bookmarkStart w:id="519" w:name="_Toc99659233"/>
      <w:r w:rsidRPr="00ED41F2">
        <w:t>Table 4.5.3</w:t>
      </w:r>
      <w:r w:rsidRPr="00ED41F2">
        <w:tab/>
        <w:t>Uncertainty in emissions in non-energy products from fuels and solvent use</w:t>
      </w:r>
      <w:bookmarkEnd w:id="515"/>
      <w:bookmarkEnd w:id="516"/>
      <w:bookmarkEnd w:id="517"/>
      <w:bookmarkEnd w:id="518"/>
      <w:bookmarkEnd w:id="519"/>
    </w:p>
    <w:tbl>
      <w:tblPr>
        <w:tblW w:w="8505" w:type="dxa"/>
        <w:tblInd w:w="108" w:type="dxa"/>
        <w:tblBorders>
          <w:top w:val="single" w:sz="4" w:space="0" w:color="1B556B"/>
          <w:bottom w:val="single" w:sz="4" w:space="0" w:color="1B556B"/>
          <w:insideH w:val="single" w:sz="4" w:space="0" w:color="1B556B"/>
        </w:tblBorders>
        <w:tblCellMar>
          <w:left w:w="85" w:type="dxa"/>
          <w:right w:w="85" w:type="dxa"/>
        </w:tblCellMar>
        <w:tblLook w:val="04A0" w:firstRow="1" w:lastRow="0" w:firstColumn="1" w:lastColumn="0" w:noHBand="0" w:noVBand="1"/>
      </w:tblPr>
      <w:tblGrid>
        <w:gridCol w:w="2994"/>
        <w:gridCol w:w="2696"/>
        <w:gridCol w:w="2815"/>
      </w:tblGrid>
      <w:tr w:rsidR="0099547F" w:rsidRPr="00ED41F2" w14:paraId="5B93D8C8" w14:textId="77777777" w:rsidTr="007E3239">
        <w:trPr>
          <w:tblHeader/>
        </w:trPr>
        <w:tc>
          <w:tcPr>
            <w:tcW w:w="2835" w:type="dxa"/>
            <w:shd w:val="clear" w:color="auto" w:fill="1B556B"/>
            <w:hideMark/>
          </w:tcPr>
          <w:p w14:paraId="7A3A6063" w14:textId="77777777" w:rsidR="0099547F" w:rsidRPr="00ED41F2" w:rsidRDefault="0099547F" w:rsidP="007E3239">
            <w:pPr>
              <w:pStyle w:val="TableTextBold"/>
              <w:keepNext/>
              <w:spacing w:before="50" w:after="50"/>
              <w:rPr>
                <w:noProof w:val="0"/>
                <w:color w:val="FFFFFF"/>
              </w:rPr>
            </w:pPr>
            <w:r w:rsidRPr="00ED41F2">
              <w:rPr>
                <w:noProof w:val="0"/>
                <w:color w:val="FFFFFF"/>
              </w:rPr>
              <w:t>Category</w:t>
            </w:r>
          </w:p>
        </w:tc>
        <w:tc>
          <w:tcPr>
            <w:tcW w:w="2552" w:type="dxa"/>
            <w:shd w:val="clear" w:color="auto" w:fill="1B556B"/>
            <w:hideMark/>
          </w:tcPr>
          <w:p w14:paraId="2C90AA54" w14:textId="77777777" w:rsidR="0099547F" w:rsidRPr="00ED41F2" w:rsidRDefault="0099547F" w:rsidP="007E3239">
            <w:pPr>
              <w:pStyle w:val="TableTextBold"/>
              <w:keepNext/>
              <w:spacing w:before="50" w:after="50"/>
              <w:rPr>
                <w:noProof w:val="0"/>
                <w:color w:val="FFFFFF"/>
              </w:rPr>
            </w:pPr>
            <w:r w:rsidRPr="00ED41F2">
              <w:rPr>
                <w:noProof w:val="0"/>
                <w:color w:val="FFFFFF"/>
              </w:rPr>
              <w:t>Uncertainty in activity data (%)</w:t>
            </w:r>
          </w:p>
        </w:tc>
        <w:tc>
          <w:tcPr>
            <w:tcW w:w="2665" w:type="dxa"/>
            <w:shd w:val="clear" w:color="auto" w:fill="1B556B"/>
            <w:tcMar>
              <w:right w:w="57" w:type="dxa"/>
            </w:tcMar>
            <w:hideMark/>
          </w:tcPr>
          <w:p w14:paraId="44E335CD" w14:textId="77777777" w:rsidR="0099547F" w:rsidRPr="00ED41F2" w:rsidRDefault="0099547F" w:rsidP="007E3239">
            <w:pPr>
              <w:pStyle w:val="TableTextBold"/>
              <w:keepNext/>
              <w:spacing w:before="50" w:after="50"/>
              <w:rPr>
                <w:noProof w:val="0"/>
                <w:color w:val="FFFFFF"/>
              </w:rPr>
            </w:pPr>
            <w:r w:rsidRPr="00ED41F2">
              <w:rPr>
                <w:noProof w:val="0"/>
                <w:color w:val="FFFFFF"/>
              </w:rPr>
              <w:t>Uncertainty in emission factors (%)</w:t>
            </w:r>
          </w:p>
        </w:tc>
      </w:tr>
      <w:tr w:rsidR="0099547F" w:rsidRPr="00ED41F2" w14:paraId="53E66CF2" w14:textId="77777777" w:rsidTr="007E3239">
        <w:tc>
          <w:tcPr>
            <w:tcW w:w="2835" w:type="dxa"/>
            <w:shd w:val="clear" w:color="auto" w:fill="FFFFFF"/>
            <w:hideMark/>
          </w:tcPr>
          <w:p w14:paraId="51F04C4B" w14:textId="77777777" w:rsidR="0099547F" w:rsidRPr="00ED41F2" w:rsidRDefault="0099547F" w:rsidP="007E3239">
            <w:pPr>
              <w:pStyle w:val="TableText"/>
              <w:spacing w:before="50" w:after="50"/>
            </w:pPr>
            <w:r w:rsidRPr="00ED41F2">
              <w:t>Lubricant use</w:t>
            </w:r>
          </w:p>
        </w:tc>
        <w:tc>
          <w:tcPr>
            <w:tcW w:w="2552" w:type="dxa"/>
            <w:shd w:val="clear" w:color="auto" w:fill="FFFFFF"/>
            <w:hideMark/>
          </w:tcPr>
          <w:p w14:paraId="0AABB8B5" w14:textId="77777777" w:rsidR="0099547F" w:rsidRPr="00ED41F2" w:rsidRDefault="0099547F" w:rsidP="007E3239">
            <w:pPr>
              <w:pStyle w:val="TableText"/>
              <w:spacing w:before="50" w:after="50"/>
              <w:jc w:val="center"/>
            </w:pPr>
            <w:r w:rsidRPr="00ED41F2">
              <w:t>±20</w:t>
            </w:r>
          </w:p>
        </w:tc>
        <w:tc>
          <w:tcPr>
            <w:tcW w:w="2665" w:type="dxa"/>
            <w:shd w:val="clear" w:color="auto" w:fill="FFFFFF"/>
            <w:tcMar>
              <w:right w:w="57" w:type="dxa"/>
            </w:tcMar>
            <w:hideMark/>
          </w:tcPr>
          <w:p w14:paraId="78D9BAF6" w14:textId="77777777" w:rsidR="0099547F" w:rsidRPr="00ED41F2" w:rsidRDefault="0099547F" w:rsidP="007E3239">
            <w:pPr>
              <w:pStyle w:val="TableText"/>
              <w:spacing w:before="50" w:after="50"/>
              <w:ind w:right="964"/>
              <w:jc w:val="right"/>
            </w:pPr>
            <w:r w:rsidRPr="00ED41F2">
              <w:t>±50</w:t>
            </w:r>
          </w:p>
        </w:tc>
      </w:tr>
      <w:tr w:rsidR="0099547F" w:rsidRPr="00ED41F2" w14:paraId="599BB0FA" w14:textId="77777777" w:rsidTr="007E3239">
        <w:tc>
          <w:tcPr>
            <w:tcW w:w="2835" w:type="dxa"/>
            <w:shd w:val="clear" w:color="auto" w:fill="FFFFFF"/>
            <w:hideMark/>
          </w:tcPr>
          <w:p w14:paraId="49EE6A3D" w14:textId="77777777" w:rsidR="0099547F" w:rsidRPr="00ED41F2" w:rsidRDefault="0099547F" w:rsidP="007E3239">
            <w:pPr>
              <w:pStyle w:val="TableText"/>
              <w:spacing w:before="50" w:after="50"/>
            </w:pPr>
            <w:r w:rsidRPr="00ED41F2">
              <w:t>Paraffin wax use</w:t>
            </w:r>
          </w:p>
        </w:tc>
        <w:tc>
          <w:tcPr>
            <w:tcW w:w="2552" w:type="dxa"/>
            <w:shd w:val="clear" w:color="auto" w:fill="FFFFFF"/>
            <w:hideMark/>
          </w:tcPr>
          <w:p w14:paraId="5A6E7655" w14:textId="77777777" w:rsidR="0099547F" w:rsidRPr="00ED41F2" w:rsidRDefault="0099547F" w:rsidP="007E3239">
            <w:pPr>
              <w:pStyle w:val="TableText"/>
              <w:spacing w:before="50" w:after="50"/>
              <w:jc w:val="center"/>
            </w:pPr>
            <w:r w:rsidRPr="00ED41F2">
              <w:t>±20</w:t>
            </w:r>
          </w:p>
        </w:tc>
        <w:tc>
          <w:tcPr>
            <w:tcW w:w="2665" w:type="dxa"/>
            <w:shd w:val="clear" w:color="auto" w:fill="FFFFFF"/>
            <w:tcMar>
              <w:right w:w="57" w:type="dxa"/>
            </w:tcMar>
            <w:hideMark/>
          </w:tcPr>
          <w:p w14:paraId="5ABE825B" w14:textId="77777777" w:rsidR="0099547F" w:rsidRPr="00ED41F2" w:rsidRDefault="0099547F" w:rsidP="007E3239">
            <w:pPr>
              <w:pStyle w:val="TableText"/>
              <w:spacing w:before="50" w:after="50"/>
              <w:ind w:right="964"/>
              <w:jc w:val="right"/>
            </w:pPr>
            <w:r w:rsidRPr="00ED41F2">
              <w:t>±100</w:t>
            </w:r>
          </w:p>
        </w:tc>
      </w:tr>
      <w:tr w:rsidR="0099547F" w:rsidRPr="00ED41F2" w14:paraId="4328B452" w14:textId="77777777" w:rsidTr="007E3239">
        <w:tc>
          <w:tcPr>
            <w:tcW w:w="2835" w:type="dxa"/>
            <w:shd w:val="clear" w:color="auto" w:fill="FFFFFF"/>
          </w:tcPr>
          <w:p w14:paraId="44E15171" w14:textId="77777777" w:rsidR="0099547F" w:rsidRPr="00ED41F2" w:rsidRDefault="0099547F" w:rsidP="007E3239">
            <w:pPr>
              <w:pStyle w:val="TableText"/>
              <w:spacing w:before="50" w:after="50"/>
            </w:pPr>
            <w:r w:rsidRPr="00ED41F2">
              <w:t xml:space="preserve">Use of urea-based catalysts in transport </w:t>
            </w:r>
          </w:p>
        </w:tc>
        <w:tc>
          <w:tcPr>
            <w:tcW w:w="2552" w:type="dxa"/>
            <w:shd w:val="clear" w:color="auto" w:fill="FFFFFF"/>
          </w:tcPr>
          <w:p w14:paraId="12FE481A" w14:textId="77777777" w:rsidR="0099547F" w:rsidRPr="00ED41F2" w:rsidRDefault="0099547F" w:rsidP="007E3239">
            <w:pPr>
              <w:pStyle w:val="TableText"/>
              <w:spacing w:before="50" w:after="50"/>
              <w:jc w:val="center"/>
            </w:pPr>
            <w:r w:rsidRPr="00ED41F2">
              <w:t>±50</w:t>
            </w:r>
          </w:p>
        </w:tc>
        <w:tc>
          <w:tcPr>
            <w:tcW w:w="2665" w:type="dxa"/>
            <w:shd w:val="clear" w:color="auto" w:fill="FFFFFF"/>
            <w:tcMar>
              <w:right w:w="57" w:type="dxa"/>
            </w:tcMar>
          </w:tcPr>
          <w:p w14:paraId="4020BE13" w14:textId="77777777" w:rsidR="0099547F" w:rsidRPr="00ED41F2" w:rsidRDefault="0099547F" w:rsidP="007E3239">
            <w:pPr>
              <w:pStyle w:val="TableText"/>
              <w:spacing w:before="50" w:after="50"/>
              <w:ind w:right="964"/>
              <w:jc w:val="right"/>
            </w:pPr>
            <w:r w:rsidRPr="00ED41F2">
              <w:t>±10</w:t>
            </w:r>
          </w:p>
        </w:tc>
      </w:tr>
      <w:tr w:rsidR="0099547F" w:rsidRPr="00ED41F2" w14:paraId="1695F10C" w14:textId="77777777" w:rsidTr="007E3239">
        <w:tc>
          <w:tcPr>
            <w:tcW w:w="2835" w:type="dxa"/>
            <w:shd w:val="clear" w:color="auto" w:fill="FFFFFF"/>
            <w:hideMark/>
          </w:tcPr>
          <w:p w14:paraId="0B9A8A54" w14:textId="77777777" w:rsidR="0099547F" w:rsidRPr="00ED41F2" w:rsidRDefault="0099547F" w:rsidP="007E3239">
            <w:pPr>
              <w:pStyle w:val="TableText"/>
              <w:spacing w:before="50" w:after="50"/>
            </w:pPr>
            <w:r w:rsidRPr="00ED41F2">
              <w:t>Asphalt road paving</w:t>
            </w:r>
          </w:p>
        </w:tc>
        <w:tc>
          <w:tcPr>
            <w:tcW w:w="2552" w:type="dxa"/>
            <w:shd w:val="clear" w:color="auto" w:fill="FFFFFF"/>
            <w:hideMark/>
          </w:tcPr>
          <w:p w14:paraId="42B97881" w14:textId="77777777" w:rsidR="0099547F" w:rsidRPr="00ED41F2" w:rsidRDefault="0099547F" w:rsidP="007E3239">
            <w:pPr>
              <w:pStyle w:val="TableText"/>
              <w:spacing w:before="50" w:after="50"/>
              <w:jc w:val="center"/>
            </w:pPr>
            <w:r w:rsidRPr="00ED41F2">
              <w:t>±40</w:t>
            </w:r>
          </w:p>
        </w:tc>
        <w:tc>
          <w:tcPr>
            <w:tcW w:w="2665" w:type="dxa"/>
            <w:shd w:val="clear" w:color="auto" w:fill="FFFFFF"/>
            <w:tcMar>
              <w:right w:w="57" w:type="dxa"/>
            </w:tcMar>
            <w:hideMark/>
          </w:tcPr>
          <w:p w14:paraId="6050CB59" w14:textId="77777777" w:rsidR="0099547F" w:rsidRPr="00ED41F2" w:rsidRDefault="0099547F" w:rsidP="007E3239">
            <w:pPr>
              <w:pStyle w:val="TableText"/>
              <w:spacing w:before="50" w:after="50"/>
              <w:ind w:right="964"/>
              <w:jc w:val="right"/>
            </w:pPr>
            <w:r w:rsidRPr="00ED41F2">
              <w:t>±40</w:t>
            </w:r>
          </w:p>
        </w:tc>
      </w:tr>
      <w:tr w:rsidR="0099547F" w:rsidRPr="00ED41F2" w14:paraId="252C4DD9" w14:textId="77777777" w:rsidTr="007E3239">
        <w:tc>
          <w:tcPr>
            <w:tcW w:w="2835" w:type="dxa"/>
            <w:shd w:val="clear" w:color="auto" w:fill="FFFFFF"/>
            <w:hideMark/>
          </w:tcPr>
          <w:p w14:paraId="114D196D" w14:textId="77777777" w:rsidR="0099547F" w:rsidRPr="00ED41F2" w:rsidRDefault="0099547F" w:rsidP="007E3239">
            <w:pPr>
              <w:pStyle w:val="TableText"/>
              <w:spacing w:before="50" w:after="50"/>
            </w:pPr>
            <w:r w:rsidRPr="00ED41F2">
              <w:t>Asphalt roofing</w:t>
            </w:r>
          </w:p>
        </w:tc>
        <w:tc>
          <w:tcPr>
            <w:tcW w:w="2552" w:type="dxa"/>
            <w:shd w:val="clear" w:color="auto" w:fill="FFFFFF"/>
            <w:hideMark/>
          </w:tcPr>
          <w:p w14:paraId="55D529B0" w14:textId="77777777" w:rsidR="0099547F" w:rsidRPr="00ED41F2" w:rsidRDefault="0099547F" w:rsidP="007E3239">
            <w:pPr>
              <w:pStyle w:val="TableText"/>
              <w:spacing w:before="50" w:after="50"/>
              <w:jc w:val="center"/>
            </w:pPr>
            <w:r w:rsidRPr="00ED41F2">
              <w:t>±50</w:t>
            </w:r>
          </w:p>
        </w:tc>
        <w:tc>
          <w:tcPr>
            <w:tcW w:w="2665" w:type="dxa"/>
            <w:shd w:val="clear" w:color="auto" w:fill="FFFFFF"/>
            <w:tcMar>
              <w:right w:w="57" w:type="dxa"/>
            </w:tcMar>
            <w:hideMark/>
          </w:tcPr>
          <w:p w14:paraId="6DAD1C87" w14:textId="77777777" w:rsidR="0099547F" w:rsidRPr="00ED41F2" w:rsidRDefault="0099547F" w:rsidP="007E3239">
            <w:pPr>
              <w:pStyle w:val="TableText"/>
              <w:spacing w:before="50" w:after="50"/>
              <w:ind w:right="964"/>
              <w:jc w:val="right"/>
            </w:pPr>
            <w:r w:rsidRPr="00ED41F2">
              <w:t>±40</w:t>
            </w:r>
          </w:p>
        </w:tc>
      </w:tr>
      <w:tr w:rsidR="0099547F" w:rsidRPr="00ED41F2" w14:paraId="7F81C00A" w14:textId="77777777" w:rsidTr="007E3239">
        <w:tc>
          <w:tcPr>
            <w:tcW w:w="2835" w:type="dxa"/>
            <w:shd w:val="clear" w:color="auto" w:fill="FFFFFF"/>
            <w:hideMark/>
          </w:tcPr>
          <w:p w14:paraId="2FB33967" w14:textId="77777777" w:rsidR="0099547F" w:rsidRPr="00ED41F2" w:rsidRDefault="0099547F" w:rsidP="007E3239">
            <w:pPr>
              <w:pStyle w:val="TableText"/>
              <w:spacing w:before="50" w:after="50"/>
            </w:pPr>
            <w:r w:rsidRPr="00ED41F2">
              <w:t>Paint application</w:t>
            </w:r>
          </w:p>
        </w:tc>
        <w:tc>
          <w:tcPr>
            <w:tcW w:w="2552" w:type="dxa"/>
            <w:shd w:val="clear" w:color="auto" w:fill="FFFFFF"/>
            <w:hideMark/>
          </w:tcPr>
          <w:p w14:paraId="09ADE768" w14:textId="77777777" w:rsidR="0099547F" w:rsidRPr="00ED41F2" w:rsidRDefault="0099547F" w:rsidP="007E3239">
            <w:pPr>
              <w:pStyle w:val="TableText"/>
              <w:spacing w:before="50" w:after="50"/>
              <w:jc w:val="center"/>
            </w:pPr>
            <w:r w:rsidRPr="00ED41F2">
              <w:t>±40</w:t>
            </w:r>
          </w:p>
        </w:tc>
        <w:tc>
          <w:tcPr>
            <w:tcW w:w="2665" w:type="dxa"/>
            <w:shd w:val="clear" w:color="auto" w:fill="FFFFFF"/>
            <w:tcMar>
              <w:right w:w="57" w:type="dxa"/>
            </w:tcMar>
            <w:hideMark/>
          </w:tcPr>
          <w:p w14:paraId="6F934317" w14:textId="77777777" w:rsidR="0099547F" w:rsidRPr="00ED41F2" w:rsidRDefault="0099547F" w:rsidP="007E3239">
            <w:pPr>
              <w:pStyle w:val="TableText"/>
              <w:spacing w:before="50" w:after="50"/>
              <w:ind w:right="964"/>
              <w:jc w:val="right"/>
            </w:pPr>
            <w:r w:rsidRPr="00ED41F2">
              <w:t>±50</w:t>
            </w:r>
          </w:p>
        </w:tc>
      </w:tr>
      <w:tr w:rsidR="0099547F" w:rsidRPr="00ED41F2" w14:paraId="773DF778" w14:textId="77777777" w:rsidTr="007E3239">
        <w:tc>
          <w:tcPr>
            <w:tcW w:w="2835" w:type="dxa"/>
            <w:shd w:val="clear" w:color="auto" w:fill="FFFFFF"/>
            <w:hideMark/>
          </w:tcPr>
          <w:p w14:paraId="2FB1350C" w14:textId="77777777" w:rsidR="0099547F" w:rsidRPr="00ED41F2" w:rsidRDefault="0099547F" w:rsidP="007E3239">
            <w:pPr>
              <w:pStyle w:val="TableText"/>
              <w:spacing w:before="50" w:after="50"/>
            </w:pPr>
            <w:r w:rsidRPr="00ED41F2">
              <w:t>Degreasing and dry cleaning</w:t>
            </w:r>
          </w:p>
        </w:tc>
        <w:tc>
          <w:tcPr>
            <w:tcW w:w="2552" w:type="dxa"/>
            <w:shd w:val="clear" w:color="auto" w:fill="FFFFFF"/>
            <w:hideMark/>
          </w:tcPr>
          <w:p w14:paraId="3C4CD91D" w14:textId="77777777" w:rsidR="0099547F" w:rsidRPr="00ED41F2" w:rsidRDefault="0099547F" w:rsidP="007E3239">
            <w:pPr>
              <w:pStyle w:val="TableText"/>
              <w:spacing w:before="50" w:after="50"/>
              <w:jc w:val="center"/>
            </w:pPr>
            <w:r w:rsidRPr="00ED41F2">
              <w:t>±40</w:t>
            </w:r>
          </w:p>
        </w:tc>
        <w:tc>
          <w:tcPr>
            <w:tcW w:w="2665" w:type="dxa"/>
            <w:shd w:val="clear" w:color="auto" w:fill="FFFFFF"/>
            <w:tcMar>
              <w:right w:w="57" w:type="dxa"/>
            </w:tcMar>
            <w:hideMark/>
          </w:tcPr>
          <w:p w14:paraId="6B31F983" w14:textId="77777777" w:rsidR="0099547F" w:rsidRPr="00ED41F2" w:rsidRDefault="0099547F" w:rsidP="007E3239">
            <w:pPr>
              <w:pStyle w:val="TableText"/>
              <w:spacing w:before="50" w:after="50"/>
              <w:ind w:right="964"/>
              <w:jc w:val="right"/>
            </w:pPr>
            <w:r w:rsidRPr="00ED41F2">
              <w:t>±60</w:t>
            </w:r>
          </w:p>
        </w:tc>
      </w:tr>
      <w:tr w:rsidR="0099547F" w:rsidRPr="00ED41F2" w14:paraId="5B03A948" w14:textId="77777777" w:rsidTr="007E3239">
        <w:tc>
          <w:tcPr>
            <w:tcW w:w="2835" w:type="dxa"/>
            <w:shd w:val="clear" w:color="auto" w:fill="FFFFFF"/>
            <w:hideMark/>
          </w:tcPr>
          <w:p w14:paraId="1F4BB18E" w14:textId="77777777" w:rsidR="0099547F" w:rsidRPr="00ED41F2" w:rsidRDefault="0099547F" w:rsidP="007E3239">
            <w:pPr>
              <w:pStyle w:val="TableText"/>
              <w:spacing w:before="50" w:after="50"/>
            </w:pPr>
            <w:r w:rsidRPr="00ED41F2">
              <w:t>Printing</w:t>
            </w:r>
          </w:p>
        </w:tc>
        <w:tc>
          <w:tcPr>
            <w:tcW w:w="2552" w:type="dxa"/>
            <w:shd w:val="clear" w:color="auto" w:fill="FFFFFF"/>
            <w:hideMark/>
          </w:tcPr>
          <w:p w14:paraId="35E74AE9" w14:textId="77777777" w:rsidR="0099547F" w:rsidRPr="00ED41F2" w:rsidRDefault="0099547F" w:rsidP="007E3239">
            <w:pPr>
              <w:pStyle w:val="TableText"/>
              <w:spacing w:before="50" w:after="50"/>
              <w:jc w:val="center"/>
            </w:pPr>
            <w:r w:rsidRPr="00ED41F2">
              <w:t>±50</w:t>
            </w:r>
          </w:p>
        </w:tc>
        <w:tc>
          <w:tcPr>
            <w:tcW w:w="2665" w:type="dxa"/>
            <w:shd w:val="clear" w:color="auto" w:fill="FFFFFF"/>
            <w:tcMar>
              <w:right w:w="57" w:type="dxa"/>
            </w:tcMar>
            <w:hideMark/>
          </w:tcPr>
          <w:p w14:paraId="05319A93" w14:textId="77777777" w:rsidR="0099547F" w:rsidRPr="00ED41F2" w:rsidRDefault="0099547F" w:rsidP="007E3239">
            <w:pPr>
              <w:pStyle w:val="TableText"/>
              <w:spacing w:before="50" w:after="50"/>
              <w:ind w:right="964"/>
              <w:jc w:val="right"/>
            </w:pPr>
            <w:r w:rsidRPr="00ED41F2">
              <w:t>±50</w:t>
            </w:r>
          </w:p>
        </w:tc>
      </w:tr>
      <w:tr w:rsidR="0099547F" w:rsidRPr="00ED41F2" w14:paraId="4F5A97AD" w14:textId="77777777" w:rsidTr="007E3239">
        <w:tc>
          <w:tcPr>
            <w:tcW w:w="2835" w:type="dxa"/>
            <w:shd w:val="clear" w:color="auto" w:fill="FFFFFF"/>
            <w:hideMark/>
          </w:tcPr>
          <w:p w14:paraId="36820B9E" w14:textId="77777777" w:rsidR="0099547F" w:rsidRPr="00ED41F2" w:rsidRDefault="0099547F" w:rsidP="007E3239">
            <w:pPr>
              <w:pStyle w:val="TableText"/>
              <w:spacing w:before="50" w:after="50"/>
            </w:pPr>
            <w:r w:rsidRPr="00ED41F2">
              <w:t>Domestic and commercial solvent use</w:t>
            </w:r>
          </w:p>
        </w:tc>
        <w:tc>
          <w:tcPr>
            <w:tcW w:w="2552" w:type="dxa"/>
            <w:shd w:val="clear" w:color="auto" w:fill="FFFFFF"/>
            <w:hideMark/>
          </w:tcPr>
          <w:p w14:paraId="36048BC8" w14:textId="77777777" w:rsidR="0099547F" w:rsidRPr="00ED41F2" w:rsidRDefault="0099547F" w:rsidP="007E3239">
            <w:pPr>
              <w:pStyle w:val="TableText"/>
              <w:spacing w:before="50" w:after="50"/>
              <w:jc w:val="center"/>
            </w:pPr>
            <w:r w:rsidRPr="00ED41F2">
              <w:t>±50</w:t>
            </w:r>
          </w:p>
        </w:tc>
        <w:tc>
          <w:tcPr>
            <w:tcW w:w="2665" w:type="dxa"/>
            <w:shd w:val="clear" w:color="auto" w:fill="FFFFFF"/>
            <w:tcMar>
              <w:right w:w="57" w:type="dxa"/>
            </w:tcMar>
            <w:hideMark/>
          </w:tcPr>
          <w:p w14:paraId="67735A43" w14:textId="77777777" w:rsidR="0099547F" w:rsidRPr="00ED41F2" w:rsidRDefault="0099547F" w:rsidP="007E3239">
            <w:pPr>
              <w:pStyle w:val="TableText"/>
              <w:spacing w:before="50" w:after="50"/>
              <w:ind w:right="964"/>
              <w:jc w:val="right"/>
            </w:pPr>
            <w:r w:rsidRPr="00ED41F2">
              <w:t>±60</w:t>
            </w:r>
          </w:p>
        </w:tc>
      </w:tr>
    </w:tbl>
    <w:p w14:paraId="6179B1CB" w14:textId="77777777" w:rsidR="0099547F" w:rsidRPr="00ED41F2" w:rsidRDefault="0099547F" w:rsidP="00CF3E69">
      <w:pPr>
        <w:pStyle w:val="Heading4"/>
        <w:rPr>
          <w:bCs/>
          <w:iCs/>
        </w:rPr>
      </w:pPr>
      <w:r w:rsidRPr="00ED41F2">
        <w:t>Time-series consistency</w:t>
      </w:r>
    </w:p>
    <w:p w14:paraId="14A6B2CF" w14:textId="77777777" w:rsidR="0099547F" w:rsidRPr="00ED41F2" w:rsidRDefault="0099547F" w:rsidP="0099547F">
      <w:pPr>
        <w:pStyle w:val="BodyText"/>
        <w:spacing w:before="80" w:after="100"/>
      </w:pPr>
      <w:r w:rsidRPr="00ED41F2">
        <w:t>For CO</w:t>
      </w:r>
      <w:r w:rsidRPr="00ED41F2">
        <w:rPr>
          <w:vertAlign w:val="subscript"/>
        </w:rPr>
        <w:t>2</w:t>
      </w:r>
      <w:r w:rsidRPr="00ED41F2">
        <w:t xml:space="preserve"> emissions in this category, the activity data have been extrapolated and emission factors are defaults. The implied emission factors and time-series consistency reflect this. </w:t>
      </w:r>
    </w:p>
    <w:p w14:paraId="5A265E8D" w14:textId="77777777" w:rsidR="0099547F" w:rsidRPr="00ED41F2" w:rsidRDefault="0099547F" w:rsidP="0099547F">
      <w:pPr>
        <w:pStyle w:val="Heading3"/>
        <w:spacing w:before="240"/>
      </w:pPr>
      <w:r w:rsidRPr="00ED41F2">
        <w:t>4.5.4</w:t>
      </w:r>
      <w:r w:rsidRPr="00ED41F2">
        <w:tab/>
        <w:t>Source-specific QA/QC and verification</w:t>
      </w:r>
    </w:p>
    <w:p w14:paraId="0D063FA3" w14:textId="77777777" w:rsidR="0099547F" w:rsidRPr="00ED41F2" w:rsidRDefault="0099547F" w:rsidP="0099547F">
      <w:pPr>
        <w:pStyle w:val="BodyText"/>
        <w:spacing w:before="100" w:after="100"/>
      </w:pPr>
      <w:r w:rsidRPr="00ED41F2">
        <w:rPr>
          <w:i/>
        </w:rPr>
        <w:t>Non-energy products from fuels and solvent use</w:t>
      </w:r>
      <w:r w:rsidRPr="00ED41F2">
        <w:t xml:space="preserve"> is a non-key category. Verification of the data from independent sources was not feasible.</w:t>
      </w:r>
    </w:p>
    <w:p w14:paraId="43C3FFB8" w14:textId="77777777" w:rsidR="0099547F" w:rsidRPr="00ED41F2" w:rsidRDefault="0099547F" w:rsidP="0099547F">
      <w:pPr>
        <w:pStyle w:val="Heading3"/>
      </w:pPr>
      <w:r w:rsidRPr="00ED41F2">
        <w:lastRenderedPageBreak/>
        <w:t>4.5.5</w:t>
      </w:r>
      <w:r w:rsidRPr="00ED41F2">
        <w:tab/>
        <w:t>Source-specific recalculations</w:t>
      </w:r>
    </w:p>
    <w:p w14:paraId="513615D3" w14:textId="77777777" w:rsidR="0099547F" w:rsidRPr="00ED41F2" w:rsidRDefault="0099547F" w:rsidP="0099547F">
      <w:pPr>
        <w:pStyle w:val="BodyText"/>
        <w:spacing w:before="100" w:after="100"/>
      </w:pPr>
      <w:r w:rsidRPr="00ED41F2">
        <w:t xml:space="preserve">For the previous submission, averaging the data for lubricants in recent years resulted in a small recalculation of emissions affecting 2018. There are no recalculations for this submission. </w:t>
      </w:r>
    </w:p>
    <w:p w14:paraId="22F033A5" w14:textId="77777777" w:rsidR="0099547F" w:rsidRPr="00ED41F2" w:rsidRDefault="0099547F" w:rsidP="0099547F">
      <w:pPr>
        <w:pStyle w:val="Heading3"/>
      </w:pPr>
      <w:r w:rsidRPr="00ED41F2">
        <w:t>4.5.6</w:t>
      </w:r>
      <w:r w:rsidRPr="00ED41F2">
        <w:tab/>
        <w:t>Source-specific planned improvements</w:t>
      </w:r>
    </w:p>
    <w:p w14:paraId="73F9FB4F" w14:textId="77777777" w:rsidR="0099547F" w:rsidRPr="00ED41F2" w:rsidRDefault="0099547F" w:rsidP="0099547F">
      <w:pPr>
        <w:pStyle w:val="BodyText"/>
        <w:spacing w:before="100" w:after="100"/>
      </w:pPr>
      <w:r w:rsidRPr="00ED41F2">
        <w:t xml:space="preserve">This category is not a priority for improvement, due to the small scale of emissions. The inventory agency will make use of improved activity data where possible, particularly for lubricants and urea-based catalysts. </w:t>
      </w:r>
    </w:p>
    <w:p w14:paraId="582AF2A5" w14:textId="77777777" w:rsidR="0099547F" w:rsidRPr="00ED41F2" w:rsidRDefault="0099547F" w:rsidP="0099547F">
      <w:pPr>
        <w:pStyle w:val="Heading2"/>
      </w:pPr>
      <w:bookmarkStart w:id="520" w:name="_Toc448321517"/>
      <w:bookmarkStart w:id="521" w:name="_Toc5269356"/>
      <w:bookmarkStart w:id="522" w:name="_Toc36224396"/>
      <w:bookmarkStart w:id="523" w:name="_Toc68786316"/>
      <w:bookmarkStart w:id="524" w:name="_Toc99659123"/>
      <w:r w:rsidRPr="00ED41F2">
        <w:t>4.6</w:t>
      </w:r>
      <w:r w:rsidRPr="00ED41F2">
        <w:tab/>
        <w:t>Electronics industry (2.E)</w:t>
      </w:r>
      <w:bookmarkEnd w:id="520"/>
      <w:bookmarkEnd w:id="521"/>
      <w:bookmarkEnd w:id="522"/>
      <w:bookmarkEnd w:id="523"/>
      <w:bookmarkEnd w:id="524"/>
    </w:p>
    <w:p w14:paraId="02AB81FB" w14:textId="77777777" w:rsidR="0099547F" w:rsidRPr="00ED41F2" w:rsidRDefault="0099547F" w:rsidP="0099547F">
      <w:pPr>
        <w:pStyle w:val="BodyText"/>
        <w:spacing w:before="100" w:after="100"/>
      </w:pPr>
      <w:r w:rsidRPr="00ED41F2">
        <w:t xml:space="preserve">New Zealand has no significant industry engaged in the manufacture of electronic products, and no emissions are reported in this category. </w:t>
      </w:r>
    </w:p>
    <w:p w14:paraId="08A62C17" w14:textId="77777777" w:rsidR="0099547F" w:rsidRPr="00ED41F2" w:rsidRDefault="0099547F" w:rsidP="0099547F">
      <w:pPr>
        <w:pStyle w:val="Heading2"/>
      </w:pPr>
      <w:bookmarkStart w:id="525" w:name="_Toc448321518"/>
      <w:bookmarkStart w:id="526" w:name="_Toc5269357"/>
      <w:bookmarkStart w:id="527" w:name="_Toc36224397"/>
      <w:bookmarkStart w:id="528" w:name="_Toc68786317"/>
      <w:bookmarkStart w:id="529" w:name="_Toc99659124"/>
      <w:r w:rsidRPr="00ED41F2">
        <w:t>4.7</w:t>
      </w:r>
      <w:r w:rsidRPr="00ED41F2">
        <w:tab/>
        <w:t>Product uses as substitutes for ODS (2.F)</w:t>
      </w:r>
      <w:bookmarkEnd w:id="525"/>
      <w:bookmarkEnd w:id="526"/>
      <w:bookmarkEnd w:id="527"/>
      <w:bookmarkEnd w:id="528"/>
      <w:bookmarkEnd w:id="529"/>
    </w:p>
    <w:p w14:paraId="69F620C8" w14:textId="77777777" w:rsidR="0099547F" w:rsidRPr="00ED41F2" w:rsidRDefault="0099547F" w:rsidP="0099547F">
      <w:pPr>
        <w:pStyle w:val="Heading3"/>
        <w:spacing w:before="240"/>
      </w:pPr>
      <w:r w:rsidRPr="00ED41F2">
        <w:t>4.7.1</w:t>
      </w:r>
      <w:r w:rsidRPr="00ED41F2">
        <w:tab/>
        <w:t>Description</w:t>
      </w:r>
    </w:p>
    <w:p w14:paraId="225492DB" w14:textId="77777777" w:rsidR="0099547F" w:rsidRPr="00ED41F2" w:rsidRDefault="0099547F" w:rsidP="002D75F6">
      <w:pPr>
        <w:pStyle w:val="BodyText"/>
        <w:spacing w:before="100" w:after="100"/>
      </w:pPr>
      <w:r w:rsidRPr="00ED41F2">
        <w:t xml:space="preserve">HFCs are used in a wide range of equipment and products, including refrigeration and air conditioning systems and aerosols. Small amounts of PFCs have also been used in these applications in some years. No HFCs or PFCs are manufactured in New Zealand. PFCs are also emitted from the aluminium-smelting process and these emissions are reported in the </w:t>
      </w:r>
      <w:r w:rsidRPr="00ED41F2">
        <w:rPr>
          <w:i/>
        </w:rPr>
        <w:t>Metal industry</w:t>
      </w:r>
      <w:r w:rsidRPr="00ED41F2">
        <w:t xml:space="preserve"> category (2.C.3.b). </w:t>
      </w:r>
    </w:p>
    <w:p w14:paraId="2192AFEE" w14:textId="77777777" w:rsidR="0099547F" w:rsidRPr="00ED41F2" w:rsidRDefault="0099547F" w:rsidP="002D75F6">
      <w:pPr>
        <w:pStyle w:val="BodyText"/>
        <w:spacing w:before="100" w:after="100"/>
      </w:pPr>
      <w:r w:rsidRPr="00ED41F2">
        <w:t xml:space="preserve">The use of HFCs in New Zealand began in 1992 and has increased since the mid-1990s when chlorofluorocarbons (CFCs) and hydrochlorofluorocarbons (HCFCs) began to be phased out under the Montreal Protocol. The Ozone Layer Protection Act 1996 set out a programme for phasing out the use of ODS in New Zealand. New Zealand is a signatory to the Kigali Amendment to the Montreal Protocol and is now phasing down the consumption of HFCs. The phase-down is being implemented through a permitting system for imports which began on 1 January 2020. </w:t>
      </w:r>
    </w:p>
    <w:p w14:paraId="1374052C" w14:textId="77777777" w:rsidR="0099547F" w:rsidRPr="00ED41F2" w:rsidRDefault="0099547F" w:rsidP="002D75F6">
      <w:pPr>
        <w:pStyle w:val="BodyText"/>
        <w:spacing w:before="100" w:after="100"/>
      </w:pPr>
      <w:r w:rsidRPr="00ED41F2">
        <w:t xml:space="preserve">In 2020, emissions in the </w:t>
      </w:r>
      <w:r w:rsidRPr="00ED41F2">
        <w:rPr>
          <w:i/>
        </w:rPr>
        <w:t>Product uses as substitutes for ODS</w:t>
      </w:r>
      <w:r w:rsidRPr="00ED41F2">
        <w:t xml:space="preserve"> category were 1,480.1 kt CO</w:t>
      </w:r>
      <w:r w:rsidRPr="00ED41F2">
        <w:rPr>
          <w:vertAlign w:val="subscript"/>
        </w:rPr>
        <w:t>2</w:t>
      </w:r>
      <w:r w:rsidRPr="00ED41F2">
        <w:t>-e or 32.0 per cent of emissions from the IPPU sector. This was a decrease of 0.7 kt CO</w:t>
      </w:r>
      <w:r w:rsidRPr="00ED41F2">
        <w:rPr>
          <w:vertAlign w:val="subscript"/>
        </w:rPr>
        <w:t>2</w:t>
      </w:r>
      <w:r w:rsidRPr="00ED41F2">
        <w:t>-e (0.05 per cent) from the 2019 level of 1,480.8 kt CO</w:t>
      </w:r>
      <w:r w:rsidRPr="00ED41F2">
        <w:rPr>
          <w:vertAlign w:val="subscript"/>
        </w:rPr>
        <w:t>2</w:t>
      </w:r>
      <w:r w:rsidRPr="00ED41F2">
        <w:t xml:space="preserve">-e. No HFCs or PFCs were used in 1990. The first consumption of HFCs in New Zealand was reported in 1992 and the first consumption of PFCs in 1995. </w:t>
      </w:r>
    </w:p>
    <w:p w14:paraId="64F715F0" w14:textId="77777777" w:rsidR="0099547F" w:rsidRPr="00ED41F2" w:rsidRDefault="0099547F" w:rsidP="002D75F6">
      <w:pPr>
        <w:pStyle w:val="BodyText"/>
        <w:spacing w:before="100" w:after="100"/>
      </w:pPr>
      <w:r w:rsidRPr="00ED41F2">
        <w:t xml:space="preserve">Most of these emissions come from the use of HFCs in the </w:t>
      </w:r>
      <w:r w:rsidRPr="00ED41F2">
        <w:rPr>
          <w:i/>
        </w:rPr>
        <w:t>Refrigeration and air conditioning</w:t>
      </w:r>
      <w:r w:rsidRPr="00ED41F2">
        <w:t xml:space="preserve"> category. Emissions from the use of HFCs in the </w:t>
      </w:r>
      <w:r w:rsidRPr="00ED41F2">
        <w:rPr>
          <w:i/>
        </w:rPr>
        <w:t>Refrigeration and air conditioning</w:t>
      </w:r>
      <w:r w:rsidRPr="00ED41F2">
        <w:t xml:space="preserve"> category (level and trend assessment) were identified as a key category.</w:t>
      </w:r>
    </w:p>
    <w:p w14:paraId="761197CA" w14:textId="77777777" w:rsidR="0099547F" w:rsidRPr="00ED41F2" w:rsidRDefault="0099547F" w:rsidP="0099547F">
      <w:pPr>
        <w:pStyle w:val="Heading3"/>
      </w:pPr>
      <w:r w:rsidRPr="00ED41F2">
        <w:t xml:space="preserve">4.7.2 </w:t>
      </w:r>
      <w:r w:rsidRPr="00ED41F2">
        <w:tab/>
        <w:t>Methodological issues</w:t>
      </w:r>
    </w:p>
    <w:p w14:paraId="1BF9070A" w14:textId="77777777" w:rsidR="0099547F" w:rsidRPr="00ED41F2" w:rsidRDefault="0099547F" w:rsidP="00CF3E69">
      <w:pPr>
        <w:pStyle w:val="Heading4"/>
        <w:rPr>
          <w:bCs/>
          <w:iCs/>
        </w:rPr>
      </w:pPr>
      <w:r w:rsidRPr="00ED41F2">
        <w:t>Choice of activity data</w:t>
      </w:r>
    </w:p>
    <w:p w14:paraId="3B8FB86A" w14:textId="77777777" w:rsidR="0099547F" w:rsidRPr="00ED41F2" w:rsidRDefault="0099547F" w:rsidP="0099547F">
      <w:pPr>
        <w:pStyle w:val="BodyText"/>
      </w:pPr>
      <w:r w:rsidRPr="00ED41F2">
        <w:t xml:space="preserve">Most of the activity data for the </w:t>
      </w:r>
      <w:r w:rsidRPr="00ED41F2">
        <w:rPr>
          <w:i/>
        </w:rPr>
        <w:t>Product uses as substitutes for ODS</w:t>
      </w:r>
      <w:r w:rsidRPr="00ED41F2">
        <w:t xml:space="preserve"> category are collected using annual surveys of companies that import, distribute and export refrigerants and other synthetic gases, manufacture or import products containing them or use them on a significant scale (Verum Group, </w:t>
      </w:r>
      <w:r w:rsidRPr="00ED41F2">
        <w:rPr>
          <w:rFonts w:eastAsia="+mn-ea"/>
        </w:rPr>
        <w:t>unpublished</w:t>
      </w:r>
      <w:r w:rsidRPr="00ED41F2">
        <w:t xml:space="preserve">). </w:t>
      </w:r>
    </w:p>
    <w:p w14:paraId="13A293AD" w14:textId="77777777" w:rsidR="0099547F" w:rsidRPr="00ED41F2" w:rsidRDefault="0099547F" w:rsidP="0099547F">
      <w:pPr>
        <w:pStyle w:val="BodyText"/>
      </w:pPr>
      <w:r w:rsidRPr="00ED41F2">
        <w:lastRenderedPageBreak/>
        <w:t xml:space="preserve">New Zealand imports substantial amounts of new HFCs, mainly for use as refrigerants, both in bulk and in factory-charged equipment. Both bulk chemical and equipment charged in New Zealand are exported but on a smaller scale. </w:t>
      </w:r>
    </w:p>
    <w:p w14:paraId="5F080D2B" w14:textId="77777777" w:rsidR="0099547F" w:rsidRPr="00ED41F2" w:rsidRDefault="0099547F" w:rsidP="0099547F">
      <w:pPr>
        <w:pStyle w:val="BodyText"/>
      </w:pPr>
      <w:r w:rsidRPr="00ED41F2">
        <w:t>Data on bulk imports and exports of refrigerant, and factory-charged imported and exported equipment, were obtained using a survey. Detailed information on the supplies and banks of chemical in each sub</w:t>
      </w:r>
      <w:r w:rsidRPr="00ED41F2">
        <w:noBreakHyphen/>
        <w:t xml:space="preserve">application was obtained from survey questionnaires and follow-up calls to request specific data. The survey included: </w:t>
      </w:r>
    </w:p>
    <w:p w14:paraId="52EE02BC" w14:textId="77777777" w:rsidR="0099547F" w:rsidRPr="00ED41F2" w:rsidRDefault="0099547F" w:rsidP="00F93F5E">
      <w:pPr>
        <w:pStyle w:val="Bullet"/>
      </w:pPr>
      <w:r w:rsidRPr="00ED41F2">
        <w:t>15 companies known to be significant importers and distributors of HFCs and PFCs</w:t>
      </w:r>
    </w:p>
    <w:p w14:paraId="0FEBD784" w14:textId="77777777" w:rsidR="0099547F" w:rsidRPr="00ED41F2" w:rsidRDefault="0099547F" w:rsidP="00F93F5E">
      <w:pPr>
        <w:pStyle w:val="Bullet"/>
      </w:pPr>
      <w:r w:rsidRPr="00ED41F2">
        <w:t>approximately 75 manufacturers, exporters, importers and significant users of air conditioning and refrigeration systems and equipment</w:t>
      </w:r>
    </w:p>
    <w:p w14:paraId="65B7A809" w14:textId="77777777" w:rsidR="0099547F" w:rsidRPr="00ED41F2" w:rsidRDefault="0099547F" w:rsidP="00F93F5E">
      <w:pPr>
        <w:pStyle w:val="Bullet"/>
      </w:pPr>
      <w:r w:rsidRPr="00ED41F2">
        <w:t>importers, service agents and installers of vehicle air conditioners, and their trade association</w:t>
      </w:r>
    </w:p>
    <w:p w14:paraId="51B64D3E" w14:textId="77777777" w:rsidR="0099547F" w:rsidRPr="00ED41F2" w:rsidRDefault="0099547F" w:rsidP="00F93F5E">
      <w:pPr>
        <w:pStyle w:val="Bullet"/>
      </w:pPr>
      <w:r w:rsidRPr="00ED41F2">
        <w:t>the three companies that supply fire protection equipment</w:t>
      </w:r>
    </w:p>
    <w:p w14:paraId="59BE138C" w14:textId="77777777" w:rsidR="0099547F" w:rsidRPr="00ED41F2" w:rsidRDefault="0099547F" w:rsidP="00F93F5E">
      <w:pPr>
        <w:pStyle w:val="Bullet"/>
      </w:pPr>
      <w:r w:rsidRPr="00ED41F2">
        <w:t xml:space="preserve">six foam blowing companies and their suppliers. </w:t>
      </w:r>
    </w:p>
    <w:p w14:paraId="6C00BB65" w14:textId="77777777" w:rsidR="0099547F" w:rsidRPr="00ED41F2" w:rsidRDefault="0099547F" w:rsidP="0099547F">
      <w:pPr>
        <w:pStyle w:val="Heading5"/>
        <w:spacing w:before="200"/>
      </w:pPr>
      <w:r w:rsidRPr="00ED41F2">
        <w:t>Refrigeration and air conditioning (2.F.1)</w:t>
      </w:r>
    </w:p>
    <w:p w14:paraId="73221437" w14:textId="77777777" w:rsidR="0099547F" w:rsidRPr="00ED41F2" w:rsidRDefault="0099547F" w:rsidP="0099547F">
      <w:pPr>
        <w:pStyle w:val="BodyText"/>
      </w:pPr>
      <w:r w:rsidRPr="00ED41F2">
        <w:t xml:space="preserve">These items of activity data are used to estimate the annual sales of new refrigerant and the total charge of new equipment, for input into the mass balance equation used to estimate emissions of each compound for each sub-application. </w:t>
      </w:r>
    </w:p>
    <w:p w14:paraId="7D6E6C00" w14:textId="77777777" w:rsidR="0099547F" w:rsidRPr="00ED41F2" w:rsidRDefault="0099547F" w:rsidP="0099547F">
      <w:pPr>
        <w:pStyle w:val="BodyText"/>
        <w:spacing w:after="100"/>
      </w:pPr>
      <w:r w:rsidRPr="00ED41F2">
        <w:t xml:space="preserve">This information has been used to assess the mass balance for each sub-application. However, the attribution of bulk chemical to individual sub-applications is less accurate than the data on total amounts of each chemical imported. It is consistently difficult to attribute bulk chemical accurately to any specific sub-application, other than </w:t>
      </w:r>
      <w:r w:rsidRPr="00ED41F2">
        <w:rPr>
          <w:i/>
        </w:rPr>
        <w:t>Mobile air conditioning</w:t>
      </w:r>
      <w:r w:rsidRPr="00ED41F2">
        <w:t xml:space="preserve">. </w:t>
      </w:r>
    </w:p>
    <w:p w14:paraId="10323D1B" w14:textId="77777777" w:rsidR="0099547F" w:rsidRPr="00ED41F2" w:rsidRDefault="0099547F" w:rsidP="0099547F">
      <w:pPr>
        <w:pStyle w:val="BodyText"/>
        <w:spacing w:after="100"/>
      </w:pPr>
      <w:r w:rsidRPr="00ED41F2">
        <w:t xml:space="preserve">The accurate attribution of bulk chemical to a specific year of use is challenging, due to large year-to-year variations in the amounts imported. Imports to New Zealand are variable at any time, due to the small amounts of some refrigerants that are used. In addition, import volumes have fluctuated at various times due to price changes and apparent stockpiling by importers and users. Care is also needed to avoid double counting of chemical that is sold more than once by wholesalers and other owners before it is used. </w:t>
      </w:r>
    </w:p>
    <w:p w14:paraId="725EE715" w14:textId="77777777" w:rsidR="0099547F" w:rsidRPr="00ED41F2" w:rsidRDefault="0099547F" w:rsidP="0099547F">
      <w:pPr>
        <w:pStyle w:val="BodyText"/>
        <w:spacing w:after="100"/>
      </w:pPr>
      <w:r w:rsidRPr="00ED41F2">
        <w:t xml:space="preserve">An additional challenge is incomplete or inaccurate data on the imports of refrigerant in pre-charged equipment. Total reported imports do not appear to fully account for the quantities in equipment sold and included in New Zealand’s mandatory product labelling scheme. </w:t>
      </w:r>
    </w:p>
    <w:p w14:paraId="3DD40C43" w14:textId="77777777" w:rsidR="0099547F" w:rsidRPr="00ED41F2" w:rsidRDefault="0099547F" w:rsidP="0099547F">
      <w:pPr>
        <w:pStyle w:val="BodyText"/>
      </w:pPr>
      <w:r w:rsidRPr="00ED41F2">
        <w:t xml:space="preserve">For the </w:t>
      </w:r>
      <w:r w:rsidRPr="00ED41F2">
        <w:rPr>
          <w:i/>
        </w:rPr>
        <w:t>Mobile air conditioning</w:t>
      </w:r>
      <w:r w:rsidRPr="00ED41F2">
        <w:t xml:space="preserve"> sub-application, only HFC-134a is used in New Zealand, and has been since 1994. Data on vehicle registrations and fleet numbers are provided by Waka Kotahi New Zealand Transport Agency and inform a model of the fleet. Estimates of the annual amount added to the bank, and first-fill emissions, are based on a good understanding of the number of new cars, trucks and buses with air conditioning added to the fleet each year. The results of the survey of bulk importers and distributors were also used to help determine the amount of HFC</w:t>
      </w:r>
      <w:r w:rsidRPr="00ED41F2">
        <w:noBreakHyphen/>
        <w:t xml:space="preserve">134a sold for mobile air conditioning. </w:t>
      </w:r>
    </w:p>
    <w:p w14:paraId="0AE73518" w14:textId="77777777" w:rsidR="0099547F" w:rsidRPr="00ED41F2" w:rsidRDefault="0099547F" w:rsidP="0099547F">
      <w:pPr>
        <w:pStyle w:val="BodyText"/>
        <w:spacing w:after="100"/>
      </w:pPr>
      <w:r w:rsidRPr="00ED41F2">
        <w:t>In 2009,</w:t>
      </w:r>
      <w:r w:rsidRPr="00ED41F2">
        <w:rPr>
          <w:spacing w:val="-2"/>
        </w:rPr>
        <w:t xml:space="preserve"> the average charge of HFC-134a in vehicle air conditioning systems added to the bank at that time was estimated to be as</w:t>
      </w:r>
      <w:r w:rsidRPr="00ED41F2">
        <w:t xml:space="preserve"> shown in table 4.7.1, based on IPCC defaults and information from the industry. </w:t>
      </w:r>
    </w:p>
    <w:p w14:paraId="62EC8985" w14:textId="77777777" w:rsidR="0099547F" w:rsidRPr="00ED41F2" w:rsidRDefault="0099547F" w:rsidP="0099547F">
      <w:pPr>
        <w:pStyle w:val="Table"/>
      </w:pPr>
      <w:bookmarkStart w:id="530" w:name="_Toc451176076"/>
      <w:bookmarkStart w:id="531" w:name="_Toc5269466"/>
      <w:bookmarkStart w:id="532" w:name="_Toc36224539"/>
      <w:bookmarkStart w:id="533" w:name="_Toc68786426"/>
      <w:bookmarkStart w:id="534" w:name="_Toc99659234"/>
      <w:r w:rsidRPr="00ED41F2">
        <w:lastRenderedPageBreak/>
        <w:t>Table 4.7.1</w:t>
      </w:r>
      <w:r w:rsidRPr="00ED41F2">
        <w:tab/>
        <w:t>Average charge of HFC-134a in mobile air conditioners, 2009</w:t>
      </w:r>
      <w:bookmarkEnd w:id="530"/>
      <w:bookmarkEnd w:id="531"/>
      <w:bookmarkEnd w:id="532"/>
      <w:bookmarkEnd w:id="533"/>
      <w:bookmarkEnd w:id="534"/>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721"/>
        <w:gridCol w:w="2892"/>
        <w:gridCol w:w="2892"/>
      </w:tblGrid>
      <w:tr w:rsidR="0099547F" w:rsidRPr="00ED41F2" w14:paraId="3AB97970" w14:textId="77777777" w:rsidTr="007E3239">
        <w:tc>
          <w:tcPr>
            <w:tcW w:w="2540" w:type="dxa"/>
            <w:shd w:val="clear" w:color="auto" w:fill="1B556B"/>
            <w:hideMark/>
          </w:tcPr>
          <w:p w14:paraId="2764AF2D" w14:textId="77777777" w:rsidR="0099547F" w:rsidRPr="00ED41F2" w:rsidRDefault="0099547F" w:rsidP="007E3239">
            <w:pPr>
              <w:pStyle w:val="TableTextBold"/>
              <w:spacing w:before="50" w:after="50"/>
              <w:rPr>
                <w:noProof w:val="0"/>
                <w:color w:val="FFFFFF"/>
              </w:rPr>
            </w:pPr>
            <w:r w:rsidRPr="00ED41F2">
              <w:rPr>
                <w:noProof w:val="0"/>
                <w:color w:val="FFFFFF"/>
              </w:rPr>
              <w:t>Charge for cars and vans (g)</w:t>
            </w:r>
          </w:p>
        </w:tc>
        <w:tc>
          <w:tcPr>
            <w:tcW w:w="2699" w:type="dxa"/>
            <w:shd w:val="clear" w:color="auto" w:fill="1B556B"/>
            <w:hideMark/>
          </w:tcPr>
          <w:p w14:paraId="5CA10E7D" w14:textId="77777777" w:rsidR="0099547F" w:rsidRPr="00ED41F2" w:rsidRDefault="0099547F" w:rsidP="007E3239">
            <w:pPr>
              <w:pStyle w:val="TableTextBold"/>
              <w:spacing w:before="50" w:after="50"/>
              <w:rPr>
                <w:noProof w:val="0"/>
                <w:color w:val="FFFFFF"/>
              </w:rPr>
            </w:pPr>
            <w:r w:rsidRPr="00ED41F2">
              <w:rPr>
                <w:noProof w:val="0"/>
                <w:color w:val="FFFFFF"/>
              </w:rPr>
              <w:t>Charge for heavy trucks (g)</w:t>
            </w:r>
          </w:p>
        </w:tc>
        <w:tc>
          <w:tcPr>
            <w:tcW w:w="2699" w:type="dxa"/>
            <w:shd w:val="clear" w:color="auto" w:fill="1B556B"/>
            <w:hideMark/>
          </w:tcPr>
          <w:p w14:paraId="29B5B3A5" w14:textId="77777777" w:rsidR="0099547F" w:rsidRPr="00ED41F2" w:rsidRDefault="0099547F" w:rsidP="007E3239">
            <w:pPr>
              <w:pStyle w:val="TableTextBold"/>
              <w:spacing w:before="50" w:after="50"/>
              <w:rPr>
                <w:noProof w:val="0"/>
                <w:color w:val="FFFFFF"/>
              </w:rPr>
            </w:pPr>
            <w:r w:rsidRPr="00ED41F2">
              <w:rPr>
                <w:noProof w:val="0"/>
                <w:color w:val="FFFFFF"/>
              </w:rPr>
              <w:t>Charge for buses (g)</w:t>
            </w:r>
          </w:p>
        </w:tc>
      </w:tr>
      <w:tr w:rsidR="0099547F" w:rsidRPr="00ED41F2" w14:paraId="368BC4C7" w14:textId="77777777" w:rsidTr="007E3239">
        <w:tc>
          <w:tcPr>
            <w:tcW w:w="2540" w:type="dxa"/>
            <w:shd w:val="clear" w:color="auto" w:fill="FFFFFF"/>
            <w:hideMark/>
          </w:tcPr>
          <w:p w14:paraId="787495E0" w14:textId="77777777" w:rsidR="0099547F" w:rsidRPr="00ED41F2" w:rsidRDefault="0099547F" w:rsidP="007E3239">
            <w:pPr>
              <w:pStyle w:val="TableText"/>
              <w:spacing w:before="50" w:after="50"/>
            </w:pPr>
            <w:r w:rsidRPr="00ED41F2">
              <w:t>600</w:t>
            </w:r>
          </w:p>
        </w:tc>
        <w:tc>
          <w:tcPr>
            <w:tcW w:w="2699" w:type="dxa"/>
            <w:shd w:val="clear" w:color="auto" w:fill="FFFFFF"/>
            <w:hideMark/>
          </w:tcPr>
          <w:p w14:paraId="2BA6AA90" w14:textId="77777777" w:rsidR="0099547F" w:rsidRPr="00ED41F2" w:rsidRDefault="0099547F" w:rsidP="007E3239">
            <w:pPr>
              <w:pStyle w:val="TableText"/>
              <w:spacing w:before="50" w:after="50"/>
            </w:pPr>
            <w:r w:rsidRPr="00ED41F2">
              <w:t>800</w:t>
            </w:r>
          </w:p>
        </w:tc>
        <w:tc>
          <w:tcPr>
            <w:tcW w:w="2699" w:type="dxa"/>
            <w:shd w:val="clear" w:color="auto" w:fill="FFFFFF"/>
            <w:hideMark/>
          </w:tcPr>
          <w:p w14:paraId="33EA1747" w14:textId="77777777" w:rsidR="0099547F" w:rsidRPr="00ED41F2" w:rsidRDefault="0099547F" w:rsidP="007E3239">
            <w:pPr>
              <w:pStyle w:val="TableText"/>
              <w:spacing w:before="50" w:after="50"/>
            </w:pPr>
            <w:r w:rsidRPr="00ED41F2">
              <w:t>4,000</w:t>
            </w:r>
          </w:p>
        </w:tc>
      </w:tr>
    </w:tbl>
    <w:p w14:paraId="2B08D2CC" w14:textId="77777777" w:rsidR="0099547F" w:rsidRPr="00ED41F2" w:rsidRDefault="0099547F" w:rsidP="002D0424">
      <w:pPr>
        <w:pStyle w:val="BodyText"/>
        <w:spacing w:before="240"/>
      </w:pPr>
      <w:r w:rsidRPr="00ED41F2">
        <w:t xml:space="preserve">These amounts were higher in earlier years, with the charge in a car air conditioner at approximately 700 grams in 2000. New Zealand imports a wide variety of vehicles, many of them used cars, and it is not feasible to obtain accurate and up-to-date statistics on their refrigerant charge. Based on this earlier trend, the average charges in new vehicles added to the fleet are assessed to reduce by 2.0 per cent per year for 2010 to 2020. Discussion with importers in 2018 indicated that the ongoing trend to reduce these charges has continued (Verum Group, unpublished). </w:t>
      </w:r>
    </w:p>
    <w:p w14:paraId="0C8BA10C" w14:textId="77777777" w:rsidR="0099547F" w:rsidRPr="00ED41F2" w:rsidRDefault="0099547F" w:rsidP="002D0424">
      <w:pPr>
        <w:pStyle w:val="Heading5"/>
      </w:pPr>
      <w:r w:rsidRPr="00ED41F2">
        <w:t>Foam blowing agents (2.F.2)</w:t>
      </w:r>
    </w:p>
    <w:p w14:paraId="63AE0107" w14:textId="77777777" w:rsidR="0099547F" w:rsidRPr="00ED41F2" w:rsidRDefault="0099547F" w:rsidP="002D0424">
      <w:pPr>
        <w:pStyle w:val="BodyText"/>
        <w:rPr>
          <w:spacing w:val="-2"/>
        </w:rPr>
      </w:pPr>
      <w:r w:rsidRPr="00ED41F2">
        <w:rPr>
          <w:spacing w:val="-2"/>
        </w:rPr>
        <w:t xml:space="preserve">Only closed-cell foams are produced in New Zealand. Companies importing and using HFCs for foam blowing have provided data on the gas imported and used in response to the annual survey. Survey data indicated increasing use of commercial HFC mixes up to 2019. During 2020 foam companies have started to use hydrofluoroolefin (HFO) blowing agents. Small quantities of HFC-245fa are estimated to be contained in insulating foam in refrigerators and freezers that are imported from Mexico and the United States of America. Imported items from other source countries are unlikely to contain HFCs. </w:t>
      </w:r>
    </w:p>
    <w:p w14:paraId="256A682C" w14:textId="77777777" w:rsidR="0099547F" w:rsidRPr="00ED41F2" w:rsidRDefault="0099547F" w:rsidP="002D0424">
      <w:pPr>
        <w:pStyle w:val="Heading5"/>
      </w:pPr>
      <w:r w:rsidRPr="00ED41F2">
        <w:t>Fire protection (2.F.3)</w:t>
      </w:r>
    </w:p>
    <w:p w14:paraId="7E2B38C5" w14:textId="77777777" w:rsidR="0099547F" w:rsidRPr="00ED41F2" w:rsidRDefault="0099547F" w:rsidP="002D0424">
      <w:pPr>
        <w:pStyle w:val="BodyText"/>
        <w:rPr>
          <w:spacing w:val="-2"/>
        </w:rPr>
      </w:pPr>
      <w:r w:rsidRPr="00ED41F2">
        <w:rPr>
          <w:spacing w:val="-2"/>
        </w:rPr>
        <w:t>Three companies in New Zealand import and supply fire protection equipment that contains HFC</w:t>
      </w:r>
      <w:r w:rsidRPr="00ED41F2">
        <w:rPr>
          <w:spacing w:val="-2"/>
        </w:rPr>
        <w:noBreakHyphen/>
        <w:t xml:space="preserve">227ea, with two other firms installing small amounts in marine fire protection systems. This gas has been used since 1994 as a substitute for ODS. No other HFCs or PFCs are used. The companies provide data on the amount imported in equipment in response to the annual survey. </w:t>
      </w:r>
    </w:p>
    <w:p w14:paraId="5B2DE722" w14:textId="77777777" w:rsidR="0099547F" w:rsidRPr="00ED41F2" w:rsidRDefault="0099547F" w:rsidP="0099547F">
      <w:pPr>
        <w:pStyle w:val="Heading5"/>
      </w:pPr>
      <w:r w:rsidRPr="00ED41F2">
        <w:t>Aerosols (2.F.4)</w:t>
      </w:r>
    </w:p>
    <w:p w14:paraId="0B08F013" w14:textId="77777777" w:rsidR="0099547F" w:rsidRPr="00ED41F2" w:rsidRDefault="0099547F" w:rsidP="002D0424">
      <w:pPr>
        <w:pStyle w:val="BodyText"/>
      </w:pPr>
      <w:r w:rsidRPr="00ED41F2">
        <w:t xml:space="preserve">Most of the HFC use and emissions in this category are for medical use in metered dose inhalers (MDIs). MDIs that use HFC-134a were introduced in 1995, and all MDIs sold in New Zealand from 2012, if they have used any propellant, have used HFCs. Nearly all of the propellant in MDIs is HFC-134a, but a small amount of HFC-227ea is also used. Also, approximately 12.0 per cent of MDIs now sold do not use a propellant at all. </w:t>
      </w:r>
    </w:p>
    <w:p w14:paraId="70EED1E1" w14:textId="77777777" w:rsidR="0099547F" w:rsidRPr="00ED41F2" w:rsidRDefault="0099547F" w:rsidP="002D0424">
      <w:pPr>
        <w:pStyle w:val="BodyText"/>
      </w:pPr>
      <w:r w:rsidRPr="00ED41F2">
        <w:t xml:space="preserve">All MDIs used in New Zealand are imported. The government pharmaceutical purchasing agency (Pharmac) supplies annual data on the sales of MDIs. </w:t>
      </w:r>
    </w:p>
    <w:p w14:paraId="14F6A1CC" w14:textId="77777777" w:rsidR="0099547F" w:rsidRPr="00ED41F2" w:rsidRDefault="0099547F" w:rsidP="002D0424">
      <w:pPr>
        <w:pStyle w:val="BodyText"/>
      </w:pPr>
      <w:r w:rsidRPr="00ED41F2">
        <w:t xml:space="preserve">Most of the MDIs imported and sold in New Zealand contain either 200 or 120 doses and either 15 grams or 9.5 grams of HFC-134a propellant per inhaler. An approximate weighted average is used to estimate emissions for each propellant, per dose – either: </w:t>
      </w:r>
    </w:p>
    <w:p w14:paraId="54A9C8BA" w14:textId="77777777" w:rsidR="0099547F" w:rsidRPr="00ED41F2" w:rsidRDefault="0099547F" w:rsidP="002D0424">
      <w:pPr>
        <w:pStyle w:val="Bullet"/>
        <w:keepNext/>
      </w:pPr>
      <w:r w:rsidRPr="00ED41F2">
        <w:t>81.4 milligrams of HFC-134a, or</w:t>
      </w:r>
    </w:p>
    <w:p w14:paraId="10867B90" w14:textId="77777777" w:rsidR="0099547F" w:rsidRPr="00ED41F2" w:rsidRDefault="0099547F" w:rsidP="00F93F5E">
      <w:pPr>
        <w:pStyle w:val="Bullet"/>
      </w:pPr>
      <w:r w:rsidRPr="00ED41F2">
        <w:t xml:space="preserve">66.9 milligrams of HFC-227ea. </w:t>
      </w:r>
    </w:p>
    <w:p w14:paraId="123EFDAF" w14:textId="77777777" w:rsidR="0099547F" w:rsidRPr="00ED41F2" w:rsidRDefault="0099547F" w:rsidP="0099547F">
      <w:pPr>
        <w:pStyle w:val="BodyText"/>
      </w:pPr>
      <w:r w:rsidRPr="00ED41F2">
        <w:t xml:space="preserve">HFC-134a is the predominant HFC propellant used in non-medical aerosols in New Zealand. A small amount of HFC-152a has been used from 2015. A very small amount of HFC-43-10mee was reported in 2020, mixed with HFC-134a in a specialised aerosol product. </w:t>
      </w:r>
    </w:p>
    <w:p w14:paraId="1596E929" w14:textId="77777777" w:rsidR="0099547F" w:rsidRPr="00ED41F2" w:rsidRDefault="0099547F" w:rsidP="0099547F">
      <w:pPr>
        <w:pStyle w:val="BodyText"/>
      </w:pPr>
      <w:r w:rsidRPr="00ED41F2">
        <w:lastRenderedPageBreak/>
        <w:t xml:space="preserve">All non-MDI aerosols used in New Zealand now are imported, with the propellant charge already in place. Up until 2014, one company loaded specialised aerosols in New Zealand with HFC-134a as the propellant. This activity is no longer carried out. </w:t>
      </w:r>
    </w:p>
    <w:p w14:paraId="597B816A" w14:textId="77777777" w:rsidR="0099547F" w:rsidRPr="00ED41F2" w:rsidRDefault="0099547F" w:rsidP="0099547F">
      <w:pPr>
        <w:pStyle w:val="BodyText"/>
      </w:pPr>
      <w:r w:rsidRPr="00ED41F2">
        <w:t xml:space="preserve">Nearly all of the aerosol cans that are imported and sold in New Zealand use hydrocarbon propellants, while only a few specialised applications use HFCs. </w:t>
      </w:r>
    </w:p>
    <w:p w14:paraId="7220B032" w14:textId="77777777" w:rsidR="0099547F" w:rsidRPr="00ED41F2" w:rsidRDefault="0099547F" w:rsidP="0099547F">
      <w:pPr>
        <w:pStyle w:val="BodyText"/>
      </w:pPr>
      <w:r w:rsidRPr="00ED41F2">
        <w:t>Information on the importation, manufacture and use of non-MDI aerosol products has been sourced from the survey data supplied by importers, from the one New Zealand aerosol manufacturer that previously used HFC</w:t>
      </w:r>
      <w:r w:rsidRPr="00ED41F2">
        <w:noBreakHyphen/>
        <w:t xml:space="preserve">134a and from their industry association. </w:t>
      </w:r>
    </w:p>
    <w:p w14:paraId="6B14758F" w14:textId="77777777" w:rsidR="0099547F" w:rsidRPr="00ED41F2" w:rsidRDefault="0099547F" w:rsidP="0099547F">
      <w:pPr>
        <w:pStyle w:val="BodyText"/>
      </w:pPr>
      <w:r w:rsidRPr="00ED41F2">
        <w:t xml:space="preserve">Import data – regardless of the source – are not complete or reliable because the aerosol market is diffuse and the available data do not clearly distinguish aerosols that contain HFCs from the much greater number containing hydrocarbons. </w:t>
      </w:r>
    </w:p>
    <w:p w14:paraId="0AEED17C" w14:textId="77777777" w:rsidR="0099547F" w:rsidRPr="00ED41F2" w:rsidRDefault="0099547F" w:rsidP="0099547F">
      <w:pPr>
        <w:pStyle w:val="BodyText"/>
      </w:pPr>
      <w:r w:rsidRPr="00ED41F2">
        <w:t xml:space="preserve">Survey data have provided some incomplete estimates of imports containing HFCs; for example, they accounted for 6.6 tonnes of HFC-134a in 2006. By combining this information with data from the New Zealand manufacturer, an assessment has been made of the proportions of HFC-134a in aerosol products sold in New Zealand: </w:t>
      </w:r>
    </w:p>
    <w:p w14:paraId="06E73022" w14:textId="77777777" w:rsidR="0099547F" w:rsidRPr="00ED41F2" w:rsidRDefault="0099547F" w:rsidP="00F93F5E">
      <w:pPr>
        <w:pStyle w:val="Bullet"/>
      </w:pPr>
      <w:r w:rsidRPr="00ED41F2">
        <w:t xml:space="preserve">zero from 1990 to 1995, when HFC propellant had not yet been introduced </w:t>
      </w:r>
    </w:p>
    <w:p w14:paraId="6E2E30A9" w14:textId="77777777" w:rsidR="0099547F" w:rsidRPr="00ED41F2" w:rsidRDefault="0099547F" w:rsidP="00F93F5E">
      <w:pPr>
        <w:pStyle w:val="Bullet"/>
      </w:pPr>
      <w:r w:rsidRPr="00ED41F2">
        <w:t xml:space="preserve">phased in from 1996 to 2000, reaching 1 per cent in 2000 </w:t>
      </w:r>
    </w:p>
    <w:p w14:paraId="7D0DB8F4" w14:textId="77777777" w:rsidR="0099547F" w:rsidRPr="00ED41F2" w:rsidRDefault="0099547F" w:rsidP="00F93F5E">
      <w:pPr>
        <w:pStyle w:val="Bullet"/>
      </w:pPr>
      <w:r w:rsidRPr="00ED41F2">
        <w:t>1 per cent (approximately 17 tonnes of HFC-134a annually) from 2001 to 2016</w:t>
      </w:r>
    </w:p>
    <w:p w14:paraId="127D68B2" w14:textId="77777777" w:rsidR="0099547F" w:rsidRPr="00ED41F2" w:rsidRDefault="0099547F" w:rsidP="00F93F5E">
      <w:pPr>
        <w:pStyle w:val="Bullet"/>
      </w:pPr>
      <w:r w:rsidRPr="00ED41F2">
        <w:t>phasing down by 0.1 per cent each year from 2017 to 2019, driven by introduction of</w:t>
      </w:r>
      <w:r>
        <w:t> </w:t>
      </w:r>
      <w:r w:rsidRPr="00ED41F2">
        <w:t>HFOs</w:t>
      </w:r>
    </w:p>
    <w:p w14:paraId="70263879" w14:textId="77777777" w:rsidR="0099547F" w:rsidRPr="00ED41F2" w:rsidRDefault="0099547F" w:rsidP="00F93F5E">
      <w:pPr>
        <w:pStyle w:val="Bullet"/>
      </w:pPr>
      <w:r w:rsidRPr="00ED41F2">
        <w:t xml:space="preserve">remaining at 0.7 per cent for 2020. </w:t>
      </w:r>
    </w:p>
    <w:p w14:paraId="05516290" w14:textId="77777777" w:rsidR="0099547F" w:rsidRPr="00ED41F2" w:rsidRDefault="0099547F" w:rsidP="0099547F">
      <w:pPr>
        <w:pStyle w:val="BodyText"/>
      </w:pPr>
      <w:r w:rsidRPr="00ED41F2">
        <w:t>For all non-MDI aerosol products using HFC-134a as the propellant, the average propellant charge is assessed to be 84 grams.</w:t>
      </w:r>
    </w:p>
    <w:p w14:paraId="1E3ED14E" w14:textId="77777777" w:rsidR="0099547F" w:rsidRPr="00ED41F2" w:rsidRDefault="0099547F" w:rsidP="00CF3E69">
      <w:pPr>
        <w:pStyle w:val="Heading4"/>
      </w:pPr>
      <w:r w:rsidRPr="00ED41F2">
        <w:t>Choice of methods</w:t>
      </w:r>
    </w:p>
    <w:p w14:paraId="6AF07081" w14:textId="77777777" w:rsidR="0099547F" w:rsidRPr="00ED41F2" w:rsidRDefault="0099547F" w:rsidP="0099547F">
      <w:pPr>
        <w:pStyle w:val="Heading5"/>
        <w:spacing w:before="120"/>
      </w:pPr>
      <w:r w:rsidRPr="00ED41F2">
        <w:t>Refrigeration and air conditioning (2.F.1)</w:t>
      </w:r>
    </w:p>
    <w:p w14:paraId="2518F688" w14:textId="77777777" w:rsidR="0099547F" w:rsidRPr="00ED41F2" w:rsidRDefault="0099547F" w:rsidP="0099547F">
      <w:pPr>
        <w:pStyle w:val="BodyText"/>
      </w:pPr>
      <w:r w:rsidRPr="00ED41F2">
        <w:t xml:space="preserve">The Tier 2b mass balance approach is used to estimate emissions from the </w:t>
      </w:r>
      <w:r w:rsidRPr="00ED41F2">
        <w:rPr>
          <w:i/>
        </w:rPr>
        <w:t>Refrigeration and air conditioning</w:t>
      </w:r>
      <w:r w:rsidRPr="00ED41F2">
        <w:t xml:space="preserve"> category. This method is used because quite complete and accurate data are available on bulk imports of the refrigerants used for these applications. The alternative Tier 2a approach would require bottom-up data on the charges, leakage rates and population of a great variety of equipment items. This information is not available. </w:t>
      </w:r>
    </w:p>
    <w:p w14:paraId="49B68803" w14:textId="77777777" w:rsidR="0099547F" w:rsidRPr="00ED41F2" w:rsidRDefault="0099547F" w:rsidP="0099547F">
      <w:pPr>
        <w:pStyle w:val="BodyText"/>
      </w:pPr>
      <w:r w:rsidRPr="00ED41F2">
        <w:t xml:space="preserve">Annual sales and the charge in new equipment are calculated as shown in box 7.3 in the 2006 IPCC Guidelines (IPCC, 2006a) (see box 4.1). Total charge of new equipment includes equipment that is later exported. </w:t>
      </w:r>
    </w:p>
    <w:p w14:paraId="7A8CB54D" w14:textId="77777777" w:rsidR="0099547F" w:rsidRPr="00ED41F2" w:rsidRDefault="0099547F" w:rsidP="0099547F">
      <w:pPr>
        <w:pStyle w:val="BodyText"/>
        <w:keepNext/>
        <w:rPr>
          <w:b/>
          <w:sz w:val="20"/>
        </w:rPr>
      </w:pPr>
      <w:r w:rsidRPr="00ED41F2">
        <w:rPr>
          <w:rFonts w:cs="Arial"/>
          <w:b/>
          <w:i/>
          <w:sz w:val="18"/>
        </w:rPr>
        <w:lastRenderedPageBreak/>
        <w:t>Box 4.1</w:t>
      </w:r>
    </w:p>
    <w:p w14:paraId="03143F7D" w14:textId="77777777" w:rsidR="0099547F" w:rsidRPr="00ED41F2" w:rsidRDefault="0099547F" w:rsidP="0099547F">
      <w:pPr>
        <w:pStyle w:val="BoxHeading"/>
        <w:keepNext/>
        <w:pBdr>
          <w:top w:val="single" w:sz="6" w:space="10" w:color="auto"/>
          <w:left w:val="single" w:sz="6" w:space="12" w:color="auto"/>
          <w:bottom w:val="single" w:sz="6" w:space="10" w:color="auto"/>
          <w:right w:val="single" w:sz="6" w:space="12" w:color="auto"/>
        </w:pBdr>
        <w:spacing w:after="120"/>
        <w:ind w:left="284"/>
        <w:jc w:val="center"/>
        <w:rPr>
          <w:sz w:val="18"/>
          <w:lang w:eastAsia="en-GB"/>
        </w:rPr>
      </w:pPr>
      <w:r w:rsidRPr="00ED41F2">
        <w:rPr>
          <w:sz w:val="18"/>
          <w:lang w:eastAsia="en-GB"/>
        </w:rPr>
        <w:t>IPCC (2006a) first equation in box 7.3</w:t>
      </w:r>
    </w:p>
    <w:p w14:paraId="3AD46345" w14:textId="77777777" w:rsidR="0099547F" w:rsidRPr="00ED41F2" w:rsidRDefault="0099547F" w:rsidP="0099547F">
      <w:pPr>
        <w:pStyle w:val="Box"/>
        <w:keepNext/>
        <w:pBdr>
          <w:top w:val="single" w:sz="6" w:space="10" w:color="auto"/>
          <w:left w:val="single" w:sz="6" w:space="12" w:color="auto"/>
          <w:bottom w:val="single" w:sz="6" w:space="10" w:color="auto"/>
          <w:right w:val="single" w:sz="6" w:space="12" w:color="auto"/>
        </w:pBdr>
        <w:spacing w:after="100"/>
        <w:ind w:left="284"/>
        <w:rPr>
          <w:b/>
          <w:sz w:val="16"/>
          <w:szCs w:val="18"/>
          <w:lang w:eastAsia="en-GB"/>
        </w:rPr>
      </w:pPr>
      <w:r w:rsidRPr="00ED41F2">
        <w:rPr>
          <w:b/>
          <w:sz w:val="16"/>
          <w:szCs w:val="18"/>
          <w:lang w:eastAsia="en-GB"/>
        </w:rPr>
        <w:t xml:space="preserve">Annual Sales of New Refrigerant </w:t>
      </w:r>
    </w:p>
    <w:p w14:paraId="00F12524" w14:textId="77777777" w:rsidR="0099547F" w:rsidRPr="00ED41F2" w:rsidRDefault="0099547F" w:rsidP="002D0424">
      <w:pPr>
        <w:pStyle w:val="Box"/>
        <w:keepNext/>
        <w:pBdr>
          <w:top w:val="single" w:sz="6" w:space="10" w:color="auto"/>
          <w:left w:val="single" w:sz="6" w:space="12" w:color="auto"/>
          <w:bottom w:val="single" w:sz="6" w:space="10" w:color="auto"/>
          <w:right w:val="single" w:sz="6" w:space="12" w:color="auto"/>
        </w:pBdr>
        <w:spacing w:after="100"/>
        <w:ind w:left="284"/>
        <w:rPr>
          <w:sz w:val="16"/>
          <w:szCs w:val="18"/>
          <w:lang w:eastAsia="en-GB"/>
        </w:rPr>
      </w:pPr>
      <w:r w:rsidRPr="00ED41F2">
        <w:rPr>
          <w:sz w:val="16"/>
          <w:szCs w:val="18"/>
          <w:lang w:eastAsia="en-GB"/>
        </w:rPr>
        <w:t>= Domestically Manufactured Chemical</w:t>
      </w:r>
    </w:p>
    <w:p w14:paraId="3E2A7CBE" w14:textId="77777777" w:rsidR="0099547F" w:rsidRPr="00ED41F2" w:rsidRDefault="0099547F" w:rsidP="002D0424">
      <w:pPr>
        <w:pStyle w:val="Box"/>
        <w:keepNext/>
        <w:pBdr>
          <w:top w:val="single" w:sz="6" w:space="10" w:color="auto"/>
          <w:left w:val="single" w:sz="6" w:space="12" w:color="auto"/>
          <w:bottom w:val="single" w:sz="6" w:space="10" w:color="auto"/>
          <w:right w:val="single" w:sz="6" w:space="12" w:color="auto"/>
        </w:pBdr>
        <w:spacing w:after="100"/>
        <w:ind w:left="284"/>
        <w:rPr>
          <w:sz w:val="16"/>
          <w:szCs w:val="18"/>
          <w:lang w:eastAsia="en-GB"/>
        </w:rPr>
      </w:pPr>
      <w:r w:rsidRPr="00ED41F2">
        <w:rPr>
          <w:sz w:val="16"/>
          <w:szCs w:val="18"/>
          <w:lang w:eastAsia="en-GB"/>
        </w:rPr>
        <w:t>+ Imported Bulk Chemical ― Exported Bulk Chemical</w:t>
      </w:r>
    </w:p>
    <w:p w14:paraId="7F00545F" w14:textId="77777777" w:rsidR="0099547F" w:rsidRPr="00ED41F2" w:rsidRDefault="0099547F" w:rsidP="002D0424">
      <w:pPr>
        <w:pStyle w:val="Box"/>
        <w:keepNext/>
        <w:pBdr>
          <w:top w:val="single" w:sz="6" w:space="10" w:color="auto"/>
          <w:left w:val="single" w:sz="6" w:space="12" w:color="auto"/>
          <w:bottom w:val="single" w:sz="6" w:space="10" w:color="auto"/>
          <w:right w:val="single" w:sz="6" w:space="12" w:color="auto"/>
        </w:pBdr>
        <w:spacing w:after="100"/>
        <w:ind w:left="284"/>
        <w:rPr>
          <w:sz w:val="16"/>
          <w:szCs w:val="18"/>
          <w:lang w:eastAsia="en-GB"/>
        </w:rPr>
      </w:pPr>
      <w:r w:rsidRPr="00ED41F2">
        <w:rPr>
          <w:sz w:val="16"/>
          <w:szCs w:val="18"/>
          <w:lang w:eastAsia="en-GB"/>
        </w:rPr>
        <w:t>+ Chemical Contained in Factory Charged Imported Equipment</w:t>
      </w:r>
    </w:p>
    <w:p w14:paraId="4AB1B387" w14:textId="77777777" w:rsidR="0099547F" w:rsidRPr="00ED41F2" w:rsidRDefault="0099547F" w:rsidP="0099547F">
      <w:pPr>
        <w:pStyle w:val="Box"/>
        <w:pBdr>
          <w:top w:val="single" w:sz="6" w:space="10" w:color="auto"/>
          <w:left w:val="single" w:sz="6" w:space="12" w:color="auto"/>
          <w:bottom w:val="single" w:sz="6" w:space="10" w:color="auto"/>
          <w:right w:val="single" w:sz="6" w:space="12" w:color="auto"/>
        </w:pBdr>
        <w:spacing w:after="120"/>
        <w:ind w:left="284"/>
        <w:rPr>
          <w:sz w:val="16"/>
          <w:szCs w:val="18"/>
          <w:lang w:eastAsia="en-GB"/>
        </w:rPr>
      </w:pPr>
      <w:r w:rsidRPr="00ED41F2">
        <w:rPr>
          <w:sz w:val="16"/>
          <w:szCs w:val="18"/>
        </w:rPr>
        <w:t>–</w:t>
      </w:r>
      <w:r w:rsidRPr="00ED41F2">
        <w:rPr>
          <w:sz w:val="16"/>
          <w:szCs w:val="18"/>
          <w:lang w:eastAsia="en-GB"/>
        </w:rPr>
        <w:t xml:space="preserve"> Chemical Contained in Factory Charged Exported Equipment.</w:t>
      </w:r>
    </w:p>
    <w:p w14:paraId="1E4114FE" w14:textId="77777777" w:rsidR="0099547F" w:rsidRPr="00ED41F2" w:rsidRDefault="0099547F" w:rsidP="0099547F">
      <w:pPr>
        <w:pStyle w:val="Box"/>
        <w:pBdr>
          <w:top w:val="single" w:sz="6" w:space="10" w:color="auto"/>
          <w:left w:val="single" w:sz="6" w:space="12" w:color="auto"/>
          <w:bottom w:val="single" w:sz="6" w:space="10" w:color="auto"/>
          <w:right w:val="single" w:sz="6" w:space="12" w:color="auto"/>
        </w:pBdr>
        <w:spacing w:before="120" w:after="100"/>
        <w:ind w:left="284"/>
        <w:rPr>
          <w:b/>
          <w:sz w:val="16"/>
          <w:szCs w:val="18"/>
          <w:lang w:eastAsia="en-GB"/>
        </w:rPr>
      </w:pPr>
      <w:r w:rsidRPr="00ED41F2">
        <w:rPr>
          <w:b/>
          <w:sz w:val="16"/>
          <w:szCs w:val="18"/>
          <w:lang w:eastAsia="en-GB"/>
        </w:rPr>
        <w:t xml:space="preserve">Total Charge of New Equipment </w:t>
      </w:r>
    </w:p>
    <w:p w14:paraId="41CF0AAC" w14:textId="77777777" w:rsidR="0099547F" w:rsidRPr="00ED41F2" w:rsidRDefault="0099547F" w:rsidP="0099547F">
      <w:pPr>
        <w:pStyle w:val="Box"/>
        <w:pBdr>
          <w:top w:val="single" w:sz="6" w:space="10" w:color="auto"/>
          <w:left w:val="single" w:sz="6" w:space="12" w:color="auto"/>
          <w:bottom w:val="single" w:sz="6" w:space="10" w:color="auto"/>
          <w:right w:val="single" w:sz="6" w:space="12" w:color="auto"/>
        </w:pBdr>
        <w:spacing w:after="100"/>
        <w:ind w:left="284"/>
        <w:rPr>
          <w:sz w:val="16"/>
          <w:szCs w:val="18"/>
          <w:lang w:eastAsia="en-GB"/>
        </w:rPr>
      </w:pPr>
      <w:r w:rsidRPr="00ED41F2">
        <w:rPr>
          <w:sz w:val="16"/>
          <w:szCs w:val="18"/>
          <w:lang w:eastAsia="en-GB"/>
        </w:rPr>
        <w:t>= Chemical to Charge Domestically Manufactured Equipment that is not Factory Charged</w:t>
      </w:r>
    </w:p>
    <w:p w14:paraId="3ED93D61" w14:textId="77777777" w:rsidR="0099547F" w:rsidRPr="00ED41F2" w:rsidRDefault="0099547F" w:rsidP="0099547F">
      <w:pPr>
        <w:pStyle w:val="Box"/>
        <w:pBdr>
          <w:top w:val="single" w:sz="6" w:space="10" w:color="auto"/>
          <w:left w:val="single" w:sz="6" w:space="12" w:color="auto"/>
          <w:bottom w:val="single" w:sz="6" w:space="10" w:color="auto"/>
          <w:right w:val="single" w:sz="6" w:space="12" w:color="auto"/>
        </w:pBdr>
        <w:spacing w:after="100"/>
        <w:ind w:left="284"/>
        <w:rPr>
          <w:sz w:val="16"/>
          <w:szCs w:val="18"/>
          <w:lang w:eastAsia="en-GB"/>
        </w:rPr>
      </w:pPr>
      <w:r w:rsidRPr="00ED41F2">
        <w:rPr>
          <w:sz w:val="16"/>
          <w:szCs w:val="18"/>
          <w:lang w:eastAsia="en-GB"/>
        </w:rPr>
        <w:t xml:space="preserve">+ Chemical to Charge Domestically Manufactured Equipment that is Factory Charged </w:t>
      </w:r>
    </w:p>
    <w:p w14:paraId="2F14845C" w14:textId="77777777" w:rsidR="0099547F" w:rsidRPr="00ED41F2" w:rsidRDefault="0099547F" w:rsidP="0099547F">
      <w:pPr>
        <w:pStyle w:val="Box"/>
        <w:pBdr>
          <w:top w:val="single" w:sz="6" w:space="10" w:color="auto"/>
          <w:left w:val="single" w:sz="6" w:space="12" w:color="auto"/>
          <w:bottom w:val="single" w:sz="6" w:space="10" w:color="auto"/>
          <w:right w:val="single" w:sz="6" w:space="12" w:color="auto"/>
        </w:pBdr>
        <w:spacing w:after="100"/>
        <w:ind w:left="284"/>
        <w:rPr>
          <w:sz w:val="16"/>
          <w:szCs w:val="18"/>
          <w:lang w:eastAsia="en-GB"/>
        </w:rPr>
      </w:pPr>
      <w:r w:rsidRPr="00ED41F2">
        <w:rPr>
          <w:sz w:val="16"/>
          <w:szCs w:val="18"/>
          <w:lang w:eastAsia="en-GB"/>
        </w:rPr>
        <w:t>+ Chemical to Charge Imported Equipment that is not Factory Charged</w:t>
      </w:r>
    </w:p>
    <w:p w14:paraId="41269A42" w14:textId="77777777" w:rsidR="0099547F" w:rsidRPr="00ED41F2" w:rsidRDefault="0099547F" w:rsidP="0099547F">
      <w:pPr>
        <w:pStyle w:val="Box"/>
        <w:pBdr>
          <w:top w:val="single" w:sz="6" w:space="10" w:color="auto"/>
          <w:left w:val="single" w:sz="6" w:space="12" w:color="auto"/>
          <w:bottom w:val="single" w:sz="6" w:space="10" w:color="auto"/>
          <w:right w:val="single" w:sz="6" w:space="12" w:color="auto"/>
        </w:pBdr>
        <w:spacing w:after="100"/>
        <w:ind w:left="284"/>
        <w:rPr>
          <w:sz w:val="16"/>
          <w:szCs w:val="18"/>
          <w:lang w:eastAsia="en-GB"/>
        </w:rPr>
      </w:pPr>
      <w:r w:rsidRPr="00ED41F2">
        <w:rPr>
          <w:sz w:val="16"/>
          <w:szCs w:val="18"/>
          <w:lang w:eastAsia="en-GB"/>
        </w:rPr>
        <w:t xml:space="preserve">+ Chemical Contained in Factory Charged Imported Equipment </w:t>
      </w:r>
    </w:p>
    <w:p w14:paraId="00F8B1D8" w14:textId="77777777" w:rsidR="0099547F" w:rsidRPr="00ED41F2" w:rsidRDefault="0099547F" w:rsidP="0099547F">
      <w:pPr>
        <w:pStyle w:val="Box"/>
        <w:pBdr>
          <w:top w:val="single" w:sz="6" w:space="10" w:color="auto"/>
          <w:left w:val="single" w:sz="6" w:space="12" w:color="auto"/>
          <w:bottom w:val="single" w:sz="6" w:space="10" w:color="auto"/>
          <w:right w:val="single" w:sz="6" w:space="12" w:color="auto"/>
        </w:pBdr>
        <w:spacing w:after="120"/>
        <w:ind w:left="284"/>
        <w:rPr>
          <w:sz w:val="16"/>
          <w:szCs w:val="18"/>
          <w:lang w:eastAsia="en-GB"/>
        </w:rPr>
      </w:pPr>
      <w:r w:rsidRPr="00ED41F2">
        <w:rPr>
          <w:sz w:val="16"/>
          <w:szCs w:val="18"/>
          <w:lang w:eastAsia="en-GB"/>
        </w:rPr>
        <w:t>– Chemical Contained in Factory Charged Exported Equipment.</w:t>
      </w:r>
    </w:p>
    <w:p w14:paraId="5FCB531B" w14:textId="77777777" w:rsidR="0099547F" w:rsidRPr="00ED41F2" w:rsidRDefault="0099547F" w:rsidP="0099547F">
      <w:pPr>
        <w:pStyle w:val="BodyText"/>
      </w:pPr>
      <w:r w:rsidRPr="00ED41F2">
        <w:t xml:space="preserve">The mass balance approach uses equation 7.9 in the 2006 IPCC Guidelines (IPCC, 2006a) (box 4.2). </w:t>
      </w:r>
    </w:p>
    <w:p w14:paraId="16401006" w14:textId="77777777" w:rsidR="0099547F" w:rsidRPr="00ED41F2" w:rsidRDefault="0099547F" w:rsidP="0099547F">
      <w:pPr>
        <w:pStyle w:val="BodyText"/>
        <w:keepNext/>
        <w:rPr>
          <w:rFonts w:cs="Calibri"/>
          <w:i/>
          <w:sz w:val="20"/>
        </w:rPr>
      </w:pPr>
      <w:r w:rsidRPr="00ED41F2">
        <w:rPr>
          <w:rFonts w:cs="Calibri"/>
          <w:b/>
          <w:i/>
          <w:sz w:val="18"/>
          <w:szCs w:val="18"/>
        </w:rPr>
        <w:t>Box 4.2</w:t>
      </w:r>
    </w:p>
    <w:p w14:paraId="32B3739F" w14:textId="77777777" w:rsidR="0099547F" w:rsidRPr="00ED41F2" w:rsidRDefault="0099547F" w:rsidP="0099547F">
      <w:pPr>
        <w:pStyle w:val="BoxHeading"/>
        <w:keepNext/>
        <w:pBdr>
          <w:top w:val="single" w:sz="6" w:space="10" w:color="auto"/>
          <w:bottom w:val="single" w:sz="6" w:space="10" w:color="auto"/>
        </w:pBdr>
        <w:spacing w:after="120"/>
        <w:ind w:left="284"/>
        <w:jc w:val="center"/>
        <w:rPr>
          <w:sz w:val="18"/>
          <w:lang w:eastAsia="en-GB"/>
        </w:rPr>
      </w:pPr>
      <w:r w:rsidRPr="00ED41F2">
        <w:rPr>
          <w:sz w:val="18"/>
          <w:lang w:eastAsia="en-GB"/>
        </w:rPr>
        <w:t>IPCC (2006a) equation 7.9</w:t>
      </w:r>
    </w:p>
    <w:p w14:paraId="29677281" w14:textId="77777777" w:rsidR="0099547F" w:rsidRPr="00ED41F2" w:rsidRDefault="0099547F" w:rsidP="0099547F">
      <w:pPr>
        <w:pStyle w:val="Box"/>
        <w:pBdr>
          <w:top w:val="single" w:sz="6" w:space="10" w:color="auto"/>
          <w:bottom w:val="single" w:sz="6" w:space="10" w:color="auto"/>
        </w:pBdr>
        <w:ind w:left="284"/>
        <w:jc w:val="center"/>
        <w:rPr>
          <w:sz w:val="16"/>
          <w:lang w:eastAsia="en-GB"/>
        </w:rPr>
      </w:pPr>
      <w:r w:rsidRPr="00ED41F2">
        <w:rPr>
          <w:b/>
          <w:sz w:val="16"/>
          <w:lang w:eastAsia="en-GB"/>
        </w:rPr>
        <w:t xml:space="preserve">Emissions </w:t>
      </w:r>
      <w:r w:rsidRPr="00ED41F2">
        <w:rPr>
          <w:sz w:val="16"/>
          <w:lang w:eastAsia="en-GB"/>
        </w:rPr>
        <w:t>= Annual Sales of New Refrigerant ― Total Charge of New Equipment + Original Total Charge of Retiring Equipment ― Amount of Intentional Destruction</w:t>
      </w:r>
    </w:p>
    <w:p w14:paraId="00A08D3E" w14:textId="77777777" w:rsidR="0099547F" w:rsidRPr="00ED41F2" w:rsidRDefault="0099547F" w:rsidP="0099547F">
      <w:pPr>
        <w:pStyle w:val="BodyText"/>
        <w:spacing w:before="240"/>
      </w:pPr>
      <w:r w:rsidRPr="00ED41F2">
        <w:t xml:space="preserve">Spreadsheet models have been used to represent the refrigerant consumption and banks. Estimates have been made for the six sub-applications: </w:t>
      </w:r>
      <w:r w:rsidRPr="00ED41F2">
        <w:rPr>
          <w:i/>
        </w:rPr>
        <w:t>Household refrigeration</w:t>
      </w:r>
      <w:r w:rsidRPr="00ED41F2">
        <w:t xml:space="preserve">, </w:t>
      </w:r>
      <w:r w:rsidRPr="00ED41F2">
        <w:rPr>
          <w:i/>
        </w:rPr>
        <w:t>Commercial refrigeration</w:t>
      </w:r>
      <w:r w:rsidRPr="00ED41F2">
        <w:t xml:space="preserve">, </w:t>
      </w:r>
      <w:r w:rsidRPr="00ED41F2">
        <w:rPr>
          <w:i/>
        </w:rPr>
        <w:t>Industrial refrigeration</w:t>
      </w:r>
      <w:r w:rsidRPr="00ED41F2">
        <w:t xml:space="preserve">, </w:t>
      </w:r>
      <w:r w:rsidRPr="00ED41F2">
        <w:rPr>
          <w:i/>
        </w:rPr>
        <w:t>Transport refrigeration</w:t>
      </w:r>
      <w:r w:rsidRPr="00ED41F2">
        <w:t xml:space="preserve">, </w:t>
      </w:r>
      <w:r w:rsidRPr="00ED41F2">
        <w:rPr>
          <w:i/>
        </w:rPr>
        <w:t>Stationary air conditioning</w:t>
      </w:r>
      <w:r w:rsidRPr="00ED41F2">
        <w:t xml:space="preserve"> and </w:t>
      </w:r>
      <w:r w:rsidRPr="00ED41F2">
        <w:rPr>
          <w:i/>
        </w:rPr>
        <w:t>Mobile air conditioning</w:t>
      </w:r>
      <w:r w:rsidRPr="00ED41F2">
        <w:t xml:space="preserve">. </w:t>
      </w:r>
    </w:p>
    <w:p w14:paraId="2A5736DA" w14:textId="77777777" w:rsidR="0099547F" w:rsidRPr="00ED41F2" w:rsidRDefault="0099547F" w:rsidP="0099547F">
      <w:pPr>
        <w:pStyle w:val="BodyText"/>
        <w:spacing w:before="100" w:after="100"/>
      </w:pPr>
      <w:r w:rsidRPr="00ED41F2">
        <w:t xml:space="preserve">Country-specific assessments for the lifetime of equipment have been made to calculate the ‘original total charge of retiring equipment’. These assessments include progressive retirement of air conditioning equipment in years 8 to 19, and dehumidifiers in years 6 to 15. The analysis also takes account of the impact of the 2011 Canterbury earthquake, which resulted in emissions from demolition of damaged buildings in the following years – not all refrigerant installed in demolished buildings was collected. </w:t>
      </w:r>
    </w:p>
    <w:p w14:paraId="6EE00CEE" w14:textId="77777777" w:rsidR="0099547F" w:rsidRPr="00ED41F2" w:rsidRDefault="0099547F" w:rsidP="0099547F">
      <w:pPr>
        <w:pStyle w:val="BodyText"/>
        <w:spacing w:before="100" w:after="100"/>
      </w:pPr>
      <w:r w:rsidRPr="00ED41F2">
        <w:t xml:space="preserve">There is no facility for the intentional destruction of HFCs or PFCs from this application in New Zealand. Some HFCs are exported for destruction in Australia, and the amounts recovered for destruction are reported. </w:t>
      </w:r>
    </w:p>
    <w:p w14:paraId="245CF399" w14:textId="77777777" w:rsidR="0099547F" w:rsidRPr="00ED41F2" w:rsidRDefault="0099547F" w:rsidP="0099547F">
      <w:pPr>
        <w:pStyle w:val="BodyText"/>
        <w:spacing w:before="100" w:after="100"/>
      </w:pPr>
      <w:r w:rsidRPr="00ED41F2">
        <w:t xml:space="preserve">Table 4.7.2 summarises the methodological tiers that are used for each sub-application. </w:t>
      </w:r>
    </w:p>
    <w:p w14:paraId="1CF9EA75" w14:textId="77777777" w:rsidR="0099547F" w:rsidRPr="00ED41F2" w:rsidRDefault="0099547F" w:rsidP="0099547F">
      <w:pPr>
        <w:pStyle w:val="Table"/>
      </w:pPr>
      <w:bookmarkStart w:id="535" w:name="_Toc36224540"/>
      <w:bookmarkStart w:id="536" w:name="_Toc68786427"/>
      <w:bookmarkStart w:id="537" w:name="_Toc99659235"/>
      <w:r w:rsidRPr="00ED41F2">
        <w:t>Table 4.7.2</w:t>
      </w:r>
      <w:r w:rsidRPr="00ED41F2">
        <w:tab/>
        <w:t>Summary of methodological tiers by sub-application</w:t>
      </w:r>
      <w:bookmarkEnd w:id="535"/>
      <w:bookmarkEnd w:id="536"/>
      <w:bookmarkEnd w:id="537"/>
    </w:p>
    <w:tbl>
      <w:tblPr>
        <w:tblW w:w="8505" w:type="dxa"/>
        <w:tblInd w:w="108" w:type="dxa"/>
        <w:tblBorders>
          <w:top w:val="single" w:sz="6" w:space="0" w:color="365F91"/>
          <w:bottom w:val="single" w:sz="6" w:space="0" w:color="365F91"/>
          <w:insideH w:val="single" w:sz="6" w:space="0" w:color="365F91"/>
        </w:tblBorders>
        <w:tblLook w:val="04A0" w:firstRow="1" w:lastRow="0" w:firstColumn="1" w:lastColumn="0" w:noHBand="0" w:noVBand="1"/>
      </w:tblPr>
      <w:tblGrid>
        <w:gridCol w:w="3240"/>
        <w:gridCol w:w="2375"/>
        <w:gridCol w:w="2890"/>
      </w:tblGrid>
      <w:tr w:rsidR="0099547F" w:rsidRPr="00ED41F2" w14:paraId="1A33B7C1" w14:textId="77777777" w:rsidTr="007E3239">
        <w:trPr>
          <w:tblHeader/>
        </w:trPr>
        <w:tc>
          <w:tcPr>
            <w:tcW w:w="3261" w:type="dxa"/>
            <w:tcBorders>
              <w:top w:val="single" w:sz="4" w:space="0" w:color="1B556B"/>
              <w:left w:val="nil"/>
              <w:bottom w:val="single" w:sz="4" w:space="0" w:color="1B556B"/>
              <w:right w:val="nil"/>
            </w:tcBorders>
            <w:shd w:val="clear" w:color="auto" w:fill="1B556B"/>
            <w:hideMark/>
          </w:tcPr>
          <w:p w14:paraId="3AA454FC" w14:textId="77777777" w:rsidR="0099547F" w:rsidRPr="00ED41F2" w:rsidRDefault="0099547F" w:rsidP="007E3239">
            <w:pPr>
              <w:pStyle w:val="TableTextBold"/>
              <w:spacing w:before="40" w:after="40"/>
              <w:rPr>
                <w:noProof w:val="0"/>
                <w:color w:val="FFFFFF"/>
              </w:rPr>
            </w:pPr>
            <w:r w:rsidRPr="00ED41F2">
              <w:rPr>
                <w:noProof w:val="0"/>
                <w:color w:val="FFFFFF"/>
              </w:rPr>
              <w:t>Sub-application</w:t>
            </w:r>
          </w:p>
        </w:tc>
        <w:tc>
          <w:tcPr>
            <w:tcW w:w="2390" w:type="dxa"/>
            <w:tcBorders>
              <w:top w:val="single" w:sz="4" w:space="0" w:color="1B556B"/>
              <w:left w:val="nil"/>
              <w:bottom w:val="single" w:sz="4" w:space="0" w:color="1B556B"/>
              <w:right w:val="nil"/>
            </w:tcBorders>
            <w:shd w:val="clear" w:color="auto" w:fill="1B556B"/>
            <w:hideMark/>
          </w:tcPr>
          <w:p w14:paraId="4D5D1027" w14:textId="77777777" w:rsidR="0099547F" w:rsidRPr="00ED41F2" w:rsidRDefault="0099547F" w:rsidP="007E3239">
            <w:pPr>
              <w:pStyle w:val="TableTextBold"/>
              <w:spacing w:before="40" w:after="40"/>
              <w:rPr>
                <w:noProof w:val="0"/>
                <w:color w:val="FFFFFF"/>
              </w:rPr>
            </w:pPr>
            <w:r w:rsidRPr="00ED41F2">
              <w:rPr>
                <w:noProof w:val="0"/>
                <w:color w:val="FFFFFF"/>
              </w:rPr>
              <w:t>Chemical</w:t>
            </w:r>
          </w:p>
        </w:tc>
        <w:tc>
          <w:tcPr>
            <w:tcW w:w="2911" w:type="dxa"/>
            <w:tcBorders>
              <w:top w:val="single" w:sz="4" w:space="0" w:color="1B556B"/>
              <w:left w:val="nil"/>
              <w:bottom w:val="single" w:sz="4" w:space="0" w:color="1B556B"/>
              <w:right w:val="nil"/>
            </w:tcBorders>
            <w:shd w:val="clear" w:color="auto" w:fill="1B556B"/>
            <w:hideMark/>
          </w:tcPr>
          <w:p w14:paraId="06418263" w14:textId="77777777" w:rsidR="0099547F" w:rsidRPr="00ED41F2" w:rsidRDefault="0099547F" w:rsidP="007E3239">
            <w:pPr>
              <w:pStyle w:val="TableTextBold"/>
              <w:spacing w:before="40" w:after="40"/>
              <w:rPr>
                <w:noProof w:val="0"/>
                <w:color w:val="FFFFFF"/>
              </w:rPr>
            </w:pPr>
            <w:r w:rsidRPr="00ED41F2">
              <w:rPr>
                <w:noProof w:val="0"/>
                <w:color w:val="FFFFFF"/>
              </w:rPr>
              <w:t>Method used (Tier)</w:t>
            </w:r>
          </w:p>
        </w:tc>
      </w:tr>
      <w:tr w:rsidR="0099547F" w:rsidRPr="00ED41F2" w14:paraId="0CD61764" w14:textId="77777777" w:rsidTr="007E3239">
        <w:tc>
          <w:tcPr>
            <w:tcW w:w="3261" w:type="dxa"/>
            <w:tcBorders>
              <w:top w:val="single" w:sz="4" w:space="0" w:color="1B556B"/>
              <w:left w:val="nil"/>
              <w:bottom w:val="single" w:sz="4" w:space="0" w:color="1B556B"/>
              <w:right w:val="nil"/>
            </w:tcBorders>
            <w:shd w:val="clear" w:color="auto" w:fill="FFFFFF"/>
            <w:hideMark/>
          </w:tcPr>
          <w:p w14:paraId="4D1D2BE6" w14:textId="77777777" w:rsidR="0099547F" w:rsidRPr="00ED41F2" w:rsidRDefault="0099547F" w:rsidP="007E3239">
            <w:pPr>
              <w:pStyle w:val="TableText"/>
              <w:spacing w:before="40" w:after="40"/>
            </w:pPr>
            <w:r w:rsidRPr="00ED41F2">
              <w:t>Household refrigeration</w:t>
            </w:r>
          </w:p>
        </w:tc>
        <w:tc>
          <w:tcPr>
            <w:tcW w:w="2390" w:type="dxa"/>
            <w:tcBorders>
              <w:top w:val="single" w:sz="4" w:space="0" w:color="1B556B"/>
              <w:left w:val="nil"/>
              <w:bottom w:val="single" w:sz="4" w:space="0" w:color="1B556B"/>
              <w:right w:val="nil"/>
            </w:tcBorders>
            <w:shd w:val="clear" w:color="auto" w:fill="FFFFFF"/>
            <w:hideMark/>
          </w:tcPr>
          <w:p w14:paraId="7329E6A6" w14:textId="77777777" w:rsidR="0099547F" w:rsidRPr="00ED41F2" w:rsidRDefault="0099547F" w:rsidP="007E3239">
            <w:pPr>
              <w:pStyle w:val="TableText"/>
              <w:spacing w:before="40" w:after="40"/>
            </w:pPr>
            <w:r w:rsidRPr="00ED41F2">
              <w:t>HFC-134a</w:t>
            </w:r>
          </w:p>
        </w:tc>
        <w:tc>
          <w:tcPr>
            <w:tcW w:w="2911" w:type="dxa"/>
            <w:tcBorders>
              <w:top w:val="single" w:sz="4" w:space="0" w:color="1B556B"/>
              <w:left w:val="nil"/>
              <w:bottom w:val="single" w:sz="4" w:space="0" w:color="1B556B"/>
              <w:right w:val="nil"/>
            </w:tcBorders>
            <w:shd w:val="clear" w:color="auto" w:fill="FFFFFF"/>
            <w:hideMark/>
          </w:tcPr>
          <w:p w14:paraId="2982752D" w14:textId="77777777" w:rsidR="0099547F" w:rsidRPr="00ED41F2" w:rsidRDefault="0099547F" w:rsidP="007E3239">
            <w:pPr>
              <w:pStyle w:val="TableText"/>
              <w:spacing w:before="40" w:after="40"/>
            </w:pPr>
            <w:r w:rsidRPr="00ED41F2">
              <w:t>2a</w:t>
            </w:r>
          </w:p>
        </w:tc>
      </w:tr>
      <w:tr w:rsidR="0099547F" w:rsidRPr="00ED41F2" w14:paraId="5E2CFE07" w14:textId="77777777" w:rsidTr="007E3239">
        <w:tc>
          <w:tcPr>
            <w:tcW w:w="3261" w:type="dxa"/>
            <w:vMerge w:val="restart"/>
            <w:tcBorders>
              <w:top w:val="single" w:sz="4" w:space="0" w:color="1B556B"/>
              <w:left w:val="nil"/>
              <w:right w:val="nil"/>
            </w:tcBorders>
            <w:shd w:val="clear" w:color="auto" w:fill="FFFFFF"/>
          </w:tcPr>
          <w:p w14:paraId="0C4C1B37" w14:textId="77777777" w:rsidR="0099547F" w:rsidRPr="00ED41F2" w:rsidRDefault="0099547F" w:rsidP="007E3239">
            <w:pPr>
              <w:pStyle w:val="TableText"/>
              <w:spacing w:before="40" w:after="40"/>
            </w:pPr>
            <w:r w:rsidRPr="00ED41F2">
              <w:t>Commercial refrigeration</w:t>
            </w:r>
          </w:p>
        </w:tc>
        <w:tc>
          <w:tcPr>
            <w:tcW w:w="2390" w:type="dxa"/>
            <w:tcBorders>
              <w:top w:val="single" w:sz="4" w:space="0" w:color="1B556B"/>
              <w:left w:val="nil"/>
              <w:bottom w:val="single" w:sz="4" w:space="0" w:color="1B556B"/>
              <w:right w:val="nil"/>
            </w:tcBorders>
            <w:shd w:val="clear" w:color="auto" w:fill="FFFFFF"/>
          </w:tcPr>
          <w:p w14:paraId="5EBCD62F" w14:textId="77777777" w:rsidR="0099547F" w:rsidRPr="00ED41F2" w:rsidRDefault="0099547F" w:rsidP="007E3239">
            <w:pPr>
              <w:pStyle w:val="TableText"/>
              <w:spacing w:before="40" w:after="40"/>
            </w:pPr>
            <w:r w:rsidRPr="00ED41F2">
              <w:t>HFC-32</w:t>
            </w:r>
          </w:p>
        </w:tc>
        <w:tc>
          <w:tcPr>
            <w:tcW w:w="2911" w:type="dxa"/>
            <w:tcBorders>
              <w:top w:val="single" w:sz="4" w:space="0" w:color="1B556B"/>
              <w:left w:val="nil"/>
              <w:bottom w:val="single" w:sz="4" w:space="0" w:color="1B556B"/>
              <w:right w:val="nil"/>
            </w:tcBorders>
            <w:shd w:val="clear" w:color="auto" w:fill="FFFFFF"/>
          </w:tcPr>
          <w:p w14:paraId="0D71B4AD" w14:textId="77777777" w:rsidR="0099547F" w:rsidRPr="00ED41F2" w:rsidRDefault="0099547F" w:rsidP="007E3239">
            <w:pPr>
              <w:pStyle w:val="TableText"/>
              <w:spacing w:before="40" w:after="40"/>
            </w:pPr>
            <w:r w:rsidRPr="00ED41F2">
              <w:t>2a</w:t>
            </w:r>
          </w:p>
        </w:tc>
      </w:tr>
      <w:tr w:rsidR="0099547F" w:rsidRPr="00ED41F2" w14:paraId="6EEE7055" w14:textId="77777777" w:rsidTr="007E3239">
        <w:tc>
          <w:tcPr>
            <w:tcW w:w="3261" w:type="dxa"/>
            <w:vMerge/>
            <w:tcBorders>
              <w:left w:val="nil"/>
              <w:right w:val="nil"/>
            </w:tcBorders>
            <w:shd w:val="clear" w:color="auto" w:fill="FFFFFF"/>
          </w:tcPr>
          <w:p w14:paraId="7F1A40AF" w14:textId="77777777" w:rsidR="0099547F" w:rsidRPr="00ED41F2" w:rsidRDefault="0099547F" w:rsidP="007E3239">
            <w:pPr>
              <w:pStyle w:val="TableText"/>
              <w:keepNext/>
              <w:spacing w:before="40" w:after="40"/>
            </w:pPr>
          </w:p>
        </w:tc>
        <w:tc>
          <w:tcPr>
            <w:tcW w:w="2390" w:type="dxa"/>
            <w:tcBorders>
              <w:top w:val="single" w:sz="4" w:space="0" w:color="1B556B"/>
              <w:left w:val="nil"/>
              <w:bottom w:val="single" w:sz="4" w:space="0" w:color="1B556B"/>
              <w:right w:val="nil"/>
            </w:tcBorders>
            <w:shd w:val="clear" w:color="auto" w:fill="FFFFFF"/>
          </w:tcPr>
          <w:p w14:paraId="2D307A3A" w14:textId="77777777" w:rsidR="0099547F" w:rsidRPr="00ED41F2" w:rsidRDefault="0099547F" w:rsidP="007E3239">
            <w:pPr>
              <w:pStyle w:val="TableText"/>
              <w:keepNext/>
              <w:spacing w:before="40" w:after="40"/>
            </w:pPr>
            <w:r w:rsidRPr="00ED41F2">
              <w:t>HFC-125</w:t>
            </w:r>
          </w:p>
        </w:tc>
        <w:tc>
          <w:tcPr>
            <w:tcW w:w="2911" w:type="dxa"/>
            <w:tcBorders>
              <w:top w:val="single" w:sz="4" w:space="0" w:color="1B556B"/>
              <w:left w:val="nil"/>
              <w:bottom w:val="single" w:sz="4" w:space="0" w:color="1B556B"/>
              <w:right w:val="nil"/>
            </w:tcBorders>
            <w:shd w:val="clear" w:color="auto" w:fill="FFFFFF"/>
          </w:tcPr>
          <w:p w14:paraId="37CDD844" w14:textId="77777777" w:rsidR="0099547F" w:rsidRPr="00ED41F2" w:rsidRDefault="0099547F" w:rsidP="007E3239">
            <w:pPr>
              <w:pStyle w:val="TableText"/>
              <w:keepNext/>
              <w:spacing w:before="40" w:after="40"/>
            </w:pPr>
            <w:r w:rsidRPr="00ED41F2">
              <w:t xml:space="preserve">2b to 2006, 2a for 2007–2020 </w:t>
            </w:r>
          </w:p>
        </w:tc>
      </w:tr>
      <w:tr w:rsidR="0099547F" w:rsidRPr="00ED41F2" w14:paraId="6A0CCA8D" w14:textId="77777777" w:rsidTr="007E3239">
        <w:tc>
          <w:tcPr>
            <w:tcW w:w="3261" w:type="dxa"/>
            <w:vMerge/>
            <w:tcBorders>
              <w:left w:val="nil"/>
              <w:right w:val="nil"/>
            </w:tcBorders>
            <w:shd w:val="clear" w:color="auto" w:fill="FFFFFF"/>
          </w:tcPr>
          <w:p w14:paraId="4C585F98" w14:textId="77777777" w:rsidR="0099547F" w:rsidRPr="00ED41F2" w:rsidRDefault="0099547F" w:rsidP="007E323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755827A7" w14:textId="77777777" w:rsidR="0099547F" w:rsidRPr="00ED41F2" w:rsidRDefault="0099547F" w:rsidP="007E3239">
            <w:pPr>
              <w:pStyle w:val="TableText"/>
              <w:spacing w:before="40" w:after="40"/>
            </w:pPr>
            <w:r w:rsidRPr="00ED41F2">
              <w:t>HFC-134a</w:t>
            </w:r>
          </w:p>
        </w:tc>
        <w:tc>
          <w:tcPr>
            <w:tcW w:w="2911" w:type="dxa"/>
            <w:tcBorders>
              <w:top w:val="single" w:sz="4" w:space="0" w:color="1B556B"/>
              <w:left w:val="nil"/>
              <w:bottom w:val="single" w:sz="4" w:space="0" w:color="1B556B"/>
              <w:right w:val="nil"/>
            </w:tcBorders>
            <w:shd w:val="clear" w:color="auto" w:fill="FFFFFF"/>
          </w:tcPr>
          <w:p w14:paraId="51F61EEA" w14:textId="77777777" w:rsidR="0099547F" w:rsidRPr="00ED41F2" w:rsidRDefault="0099547F" w:rsidP="007E3239">
            <w:pPr>
              <w:pStyle w:val="TableText"/>
              <w:spacing w:before="40" w:after="40"/>
            </w:pPr>
            <w:r w:rsidRPr="00ED41F2">
              <w:t>2a</w:t>
            </w:r>
          </w:p>
        </w:tc>
      </w:tr>
      <w:tr w:rsidR="0099547F" w:rsidRPr="00ED41F2" w14:paraId="0FAB73DE" w14:textId="77777777" w:rsidTr="007E3239">
        <w:tc>
          <w:tcPr>
            <w:tcW w:w="3261" w:type="dxa"/>
            <w:vMerge/>
            <w:tcBorders>
              <w:left w:val="nil"/>
              <w:bottom w:val="single" w:sz="4" w:space="0" w:color="1B556B"/>
              <w:right w:val="nil"/>
            </w:tcBorders>
            <w:shd w:val="clear" w:color="auto" w:fill="FFFFFF"/>
          </w:tcPr>
          <w:p w14:paraId="07C3715F" w14:textId="77777777" w:rsidR="0099547F" w:rsidRPr="00ED41F2" w:rsidRDefault="0099547F" w:rsidP="007E323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6FE0FD6F" w14:textId="77777777" w:rsidR="0099547F" w:rsidRPr="00ED41F2" w:rsidRDefault="0099547F" w:rsidP="007E3239">
            <w:pPr>
              <w:pStyle w:val="TableText"/>
              <w:spacing w:before="40" w:after="40"/>
            </w:pPr>
            <w:r w:rsidRPr="00ED41F2">
              <w:t>HFC-143a</w:t>
            </w:r>
          </w:p>
        </w:tc>
        <w:tc>
          <w:tcPr>
            <w:tcW w:w="2911" w:type="dxa"/>
            <w:tcBorders>
              <w:top w:val="single" w:sz="4" w:space="0" w:color="1B556B"/>
              <w:left w:val="nil"/>
              <w:bottom w:val="single" w:sz="4" w:space="0" w:color="1B556B"/>
              <w:right w:val="nil"/>
            </w:tcBorders>
            <w:shd w:val="clear" w:color="auto" w:fill="FFFFFF"/>
          </w:tcPr>
          <w:p w14:paraId="256786CF" w14:textId="77777777" w:rsidR="0099547F" w:rsidRPr="00ED41F2" w:rsidRDefault="0099547F" w:rsidP="007E3239">
            <w:pPr>
              <w:pStyle w:val="TableText"/>
              <w:spacing w:before="40" w:after="40"/>
            </w:pPr>
            <w:r w:rsidRPr="00ED41F2">
              <w:t>2b</w:t>
            </w:r>
          </w:p>
        </w:tc>
      </w:tr>
      <w:tr w:rsidR="0099547F" w:rsidRPr="00ED41F2" w14:paraId="5446CDE1" w14:textId="77777777" w:rsidTr="007E3239">
        <w:tc>
          <w:tcPr>
            <w:tcW w:w="3261" w:type="dxa"/>
            <w:vMerge w:val="restart"/>
            <w:tcBorders>
              <w:top w:val="single" w:sz="4" w:space="0" w:color="1B556B"/>
              <w:left w:val="nil"/>
              <w:right w:val="nil"/>
            </w:tcBorders>
            <w:shd w:val="clear" w:color="auto" w:fill="FFFFFF"/>
          </w:tcPr>
          <w:p w14:paraId="3F88B5C2" w14:textId="77777777" w:rsidR="0099547F" w:rsidRPr="00ED41F2" w:rsidRDefault="0099547F" w:rsidP="007E3239">
            <w:pPr>
              <w:pStyle w:val="TableText"/>
              <w:spacing w:before="40" w:after="40"/>
            </w:pPr>
            <w:r w:rsidRPr="00ED41F2">
              <w:lastRenderedPageBreak/>
              <w:t>Industrial refrigeration</w:t>
            </w:r>
          </w:p>
        </w:tc>
        <w:tc>
          <w:tcPr>
            <w:tcW w:w="2390" w:type="dxa"/>
            <w:tcBorders>
              <w:top w:val="single" w:sz="4" w:space="0" w:color="1B556B"/>
              <w:left w:val="nil"/>
              <w:bottom w:val="single" w:sz="4" w:space="0" w:color="1B556B"/>
              <w:right w:val="nil"/>
            </w:tcBorders>
            <w:shd w:val="clear" w:color="auto" w:fill="FFFFFF"/>
          </w:tcPr>
          <w:p w14:paraId="7AB1B076" w14:textId="77777777" w:rsidR="0099547F" w:rsidRPr="00ED41F2" w:rsidRDefault="0099547F" w:rsidP="007E3239">
            <w:pPr>
              <w:pStyle w:val="TableText"/>
              <w:spacing w:before="40" w:after="40"/>
            </w:pPr>
            <w:r w:rsidRPr="00ED41F2">
              <w:t>HFC-32</w:t>
            </w:r>
          </w:p>
        </w:tc>
        <w:tc>
          <w:tcPr>
            <w:tcW w:w="2911" w:type="dxa"/>
            <w:tcBorders>
              <w:top w:val="single" w:sz="4" w:space="0" w:color="1B556B"/>
              <w:left w:val="nil"/>
              <w:bottom w:val="single" w:sz="4" w:space="0" w:color="1B556B"/>
              <w:right w:val="nil"/>
            </w:tcBorders>
            <w:shd w:val="clear" w:color="auto" w:fill="FFFFFF"/>
          </w:tcPr>
          <w:p w14:paraId="0DCB88AB" w14:textId="77777777" w:rsidR="0099547F" w:rsidRPr="00ED41F2" w:rsidRDefault="0099547F" w:rsidP="007E3239">
            <w:pPr>
              <w:pStyle w:val="TableText"/>
              <w:spacing w:before="40" w:after="40"/>
            </w:pPr>
            <w:r w:rsidRPr="00ED41F2">
              <w:t>2a</w:t>
            </w:r>
          </w:p>
        </w:tc>
      </w:tr>
      <w:tr w:rsidR="0099547F" w:rsidRPr="00ED41F2" w14:paraId="4C7B4BA4" w14:textId="77777777" w:rsidTr="007E3239">
        <w:tc>
          <w:tcPr>
            <w:tcW w:w="3261" w:type="dxa"/>
            <w:vMerge/>
            <w:tcBorders>
              <w:left w:val="nil"/>
              <w:right w:val="nil"/>
            </w:tcBorders>
            <w:shd w:val="clear" w:color="auto" w:fill="FFFFFF"/>
          </w:tcPr>
          <w:p w14:paraId="3B550EB3" w14:textId="77777777" w:rsidR="0099547F" w:rsidRPr="00ED41F2" w:rsidRDefault="0099547F" w:rsidP="007E323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4921BA53" w14:textId="77777777" w:rsidR="0099547F" w:rsidRPr="00ED41F2" w:rsidRDefault="0099547F" w:rsidP="007E3239">
            <w:pPr>
              <w:pStyle w:val="TableText"/>
              <w:spacing w:before="40" w:after="40"/>
            </w:pPr>
            <w:r w:rsidRPr="00ED41F2">
              <w:t>HFC-125</w:t>
            </w:r>
          </w:p>
        </w:tc>
        <w:tc>
          <w:tcPr>
            <w:tcW w:w="2911" w:type="dxa"/>
            <w:tcBorders>
              <w:top w:val="single" w:sz="4" w:space="0" w:color="1B556B"/>
              <w:left w:val="nil"/>
              <w:bottom w:val="single" w:sz="4" w:space="0" w:color="1B556B"/>
              <w:right w:val="nil"/>
            </w:tcBorders>
            <w:shd w:val="clear" w:color="auto" w:fill="FFFFFF"/>
          </w:tcPr>
          <w:p w14:paraId="2DF5DF11" w14:textId="77777777" w:rsidR="0099547F" w:rsidRPr="00ED41F2" w:rsidRDefault="0099547F" w:rsidP="007E3239">
            <w:pPr>
              <w:pStyle w:val="TableText"/>
              <w:spacing w:before="40" w:after="40"/>
            </w:pPr>
            <w:r w:rsidRPr="00ED41F2">
              <w:t>2a</w:t>
            </w:r>
          </w:p>
        </w:tc>
      </w:tr>
      <w:tr w:rsidR="0099547F" w:rsidRPr="00ED41F2" w14:paraId="148BDE52" w14:textId="77777777" w:rsidTr="007E3239">
        <w:tc>
          <w:tcPr>
            <w:tcW w:w="3261" w:type="dxa"/>
            <w:vMerge/>
            <w:tcBorders>
              <w:left w:val="nil"/>
              <w:right w:val="nil"/>
            </w:tcBorders>
            <w:shd w:val="clear" w:color="auto" w:fill="FFFFFF"/>
          </w:tcPr>
          <w:p w14:paraId="3111C2D2" w14:textId="77777777" w:rsidR="0099547F" w:rsidRPr="00ED41F2" w:rsidRDefault="0099547F" w:rsidP="007E323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116BCFE1" w14:textId="77777777" w:rsidR="0099547F" w:rsidRPr="00ED41F2" w:rsidRDefault="0099547F" w:rsidP="007E3239">
            <w:pPr>
              <w:pStyle w:val="TableText"/>
              <w:spacing w:before="40" w:after="40"/>
            </w:pPr>
            <w:r w:rsidRPr="00ED41F2">
              <w:t>HFC-134a</w:t>
            </w:r>
          </w:p>
        </w:tc>
        <w:tc>
          <w:tcPr>
            <w:tcW w:w="2911" w:type="dxa"/>
            <w:tcBorders>
              <w:top w:val="single" w:sz="4" w:space="0" w:color="1B556B"/>
              <w:left w:val="nil"/>
              <w:bottom w:val="single" w:sz="4" w:space="0" w:color="1B556B"/>
              <w:right w:val="nil"/>
            </w:tcBorders>
            <w:shd w:val="clear" w:color="auto" w:fill="FFFFFF"/>
          </w:tcPr>
          <w:p w14:paraId="70129931" w14:textId="77777777" w:rsidR="0099547F" w:rsidRPr="00ED41F2" w:rsidRDefault="0099547F" w:rsidP="007E3239">
            <w:pPr>
              <w:pStyle w:val="TableText"/>
              <w:spacing w:before="40" w:after="40"/>
            </w:pPr>
            <w:r w:rsidRPr="00ED41F2">
              <w:t>2b</w:t>
            </w:r>
          </w:p>
        </w:tc>
      </w:tr>
      <w:tr w:rsidR="0099547F" w:rsidRPr="00ED41F2" w14:paraId="5BB39F64" w14:textId="77777777" w:rsidTr="007E3239">
        <w:tc>
          <w:tcPr>
            <w:tcW w:w="3261" w:type="dxa"/>
            <w:vMerge/>
            <w:tcBorders>
              <w:left w:val="nil"/>
              <w:bottom w:val="single" w:sz="4" w:space="0" w:color="1B556B"/>
              <w:right w:val="nil"/>
            </w:tcBorders>
            <w:shd w:val="clear" w:color="auto" w:fill="FFFFFF"/>
          </w:tcPr>
          <w:p w14:paraId="54DCAA75" w14:textId="77777777" w:rsidR="0099547F" w:rsidRPr="00ED41F2" w:rsidRDefault="0099547F" w:rsidP="007E323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30842CF6" w14:textId="77777777" w:rsidR="0099547F" w:rsidRPr="00ED41F2" w:rsidRDefault="0099547F" w:rsidP="007E3239">
            <w:pPr>
              <w:pStyle w:val="TableText"/>
              <w:spacing w:before="40" w:after="40"/>
            </w:pPr>
            <w:r w:rsidRPr="00ED41F2">
              <w:t>HFC-143a</w:t>
            </w:r>
          </w:p>
        </w:tc>
        <w:tc>
          <w:tcPr>
            <w:tcW w:w="2911" w:type="dxa"/>
            <w:tcBorders>
              <w:top w:val="single" w:sz="4" w:space="0" w:color="1B556B"/>
              <w:left w:val="nil"/>
              <w:bottom w:val="single" w:sz="4" w:space="0" w:color="1B556B"/>
              <w:right w:val="nil"/>
            </w:tcBorders>
            <w:shd w:val="clear" w:color="auto" w:fill="FFFFFF"/>
          </w:tcPr>
          <w:p w14:paraId="59BDA6C4" w14:textId="77777777" w:rsidR="0099547F" w:rsidRPr="00ED41F2" w:rsidRDefault="0099547F" w:rsidP="007E3239">
            <w:pPr>
              <w:pStyle w:val="TableText"/>
              <w:spacing w:before="40" w:after="40"/>
            </w:pPr>
            <w:r w:rsidRPr="00ED41F2">
              <w:t>2a</w:t>
            </w:r>
          </w:p>
        </w:tc>
      </w:tr>
      <w:tr w:rsidR="0099547F" w:rsidRPr="00ED41F2" w14:paraId="124C669B" w14:textId="77777777" w:rsidTr="007E3239">
        <w:tc>
          <w:tcPr>
            <w:tcW w:w="3261" w:type="dxa"/>
            <w:vMerge w:val="restart"/>
            <w:tcBorders>
              <w:top w:val="single" w:sz="4" w:space="0" w:color="1B556B"/>
              <w:left w:val="nil"/>
              <w:right w:val="nil"/>
            </w:tcBorders>
            <w:shd w:val="clear" w:color="auto" w:fill="FFFFFF"/>
          </w:tcPr>
          <w:p w14:paraId="14F6B8A4" w14:textId="77777777" w:rsidR="0099547F" w:rsidRPr="00ED41F2" w:rsidRDefault="0099547F" w:rsidP="007E3239">
            <w:pPr>
              <w:pStyle w:val="TableText"/>
              <w:spacing w:before="40" w:after="40"/>
            </w:pPr>
            <w:r w:rsidRPr="00ED41F2">
              <w:t>Transport refrigeration</w:t>
            </w:r>
          </w:p>
        </w:tc>
        <w:tc>
          <w:tcPr>
            <w:tcW w:w="2390" w:type="dxa"/>
            <w:tcBorders>
              <w:top w:val="single" w:sz="4" w:space="0" w:color="1B556B"/>
              <w:left w:val="nil"/>
              <w:bottom w:val="single" w:sz="4" w:space="0" w:color="1B556B"/>
              <w:right w:val="nil"/>
            </w:tcBorders>
            <w:shd w:val="clear" w:color="auto" w:fill="FFFFFF"/>
          </w:tcPr>
          <w:p w14:paraId="581621FA" w14:textId="77777777" w:rsidR="0099547F" w:rsidRPr="00ED41F2" w:rsidRDefault="0099547F" w:rsidP="007E3239">
            <w:pPr>
              <w:pStyle w:val="TableText"/>
              <w:spacing w:before="40" w:after="40"/>
            </w:pPr>
            <w:r w:rsidRPr="00ED41F2">
              <w:t>HFC-32</w:t>
            </w:r>
          </w:p>
        </w:tc>
        <w:tc>
          <w:tcPr>
            <w:tcW w:w="2911" w:type="dxa"/>
            <w:tcBorders>
              <w:top w:val="single" w:sz="4" w:space="0" w:color="1B556B"/>
              <w:left w:val="nil"/>
              <w:bottom w:val="single" w:sz="4" w:space="0" w:color="1B556B"/>
              <w:right w:val="nil"/>
            </w:tcBorders>
            <w:shd w:val="clear" w:color="auto" w:fill="FFFFFF"/>
          </w:tcPr>
          <w:p w14:paraId="642248B6" w14:textId="77777777" w:rsidR="0099547F" w:rsidRPr="00ED41F2" w:rsidRDefault="0099547F" w:rsidP="007E3239">
            <w:pPr>
              <w:pStyle w:val="TableText"/>
              <w:spacing w:before="40" w:after="40"/>
            </w:pPr>
            <w:r w:rsidRPr="00ED41F2">
              <w:t>2a</w:t>
            </w:r>
          </w:p>
        </w:tc>
      </w:tr>
      <w:tr w:rsidR="0099547F" w:rsidRPr="00ED41F2" w14:paraId="49A6B6A3" w14:textId="77777777" w:rsidTr="007E3239">
        <w:tc>
          <w:tcPr>
            <w:tcW w:w="3261" w:type="dxa"/>
            <w:vMerge/>
            <w:tcBorders>
              <w:left w:val="nil"/>
              <w:right w:val="nil"/>
            </w:tcBorders>
            <w:shd w:val="clear" w:color="auto" w:fill="FFFFFF"/>
          </w:tcPr>
          <w:p w14:paraId="1808FEC9" w14:textId="77777777" w:rsidR="0099547F" w:rsidRPr="00ED41F2" w:rsidRDefault="0099547F" w:rsidP="007E323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2C231A85" w14:textId="77777777" w:rsidR="0099547F" w:rsidRPr="00ED41F2" w:rsidRDefault="0099547F" w:rsidP="007E3239">
            <w:pPr>
              <w:pStyle w:val="TableText"/>
              <w:spacing w:before="40" w:after="40"/>
            </w:pPr>
            <w:r w:rsidRPr="00ED41F2">
              <w:t>HFC-125</w:t>
            </w:r>
          </w:p>
        </w:tc>
        <w:tc>
          <w:tcPr>
            <w:tcW w:w="2911" w:type="dxa"/>
            <w:tcBorders>
              <w:top w:val="single" w:sz="4" w:space="0" w:color="1B556B"/>
              <w:left w:val="nil"/>
              <w:bottom w:val="single" w:sz="4" w:space="0" w:color="1B556B"/>
              <w:right w:val="nil"/>
            </w:tcBorders>
            <w:shd w:val="clear" w:color="auto" w:fill="FFFFFF"/>
          </w:tcPr>
          <w:p w14:paraId="59BD2E51" w14:textId="77777777" w:rsidR="0099547F" w:rsidRPr="00ED41F2" w:rsidRDefault="0099547F" w:rsidP="007E3239">
            <w:pPr>
              <w:pStyle w:val="TableText"/>
              <w:spacing w:before="40" w:after="40"/>
            </w:pPr>
            <w:r w:rsidRPr="00ED41F2">
              <w:t>2a</w:t>
            </w:r>
          </w:p>
        </w:tc>
      </w:tr>
      <w:tr w:rsidR="0099547F" w:rsidRPr="00ED41F2" w14:paraId="6852E0D1" w14:textId="77777777" w:rsidTr="007E3239">
        <w:tc>
          <w:tcPr>
            <w:tcW w:w="3261" w:type="dxa"/>
            <w:vMerge/>
            <w:tcBorders>
              <w:left w:val="nil"/>
              <w:right w:val="nil"/>
            </w:tcBorders>
            <w:shd w:val="clear" w:color="auto" w:fill="FFFFFF"/>
          </w:tcPr>
          <w:p w14:paraId="1BB9638F" w14:textId="77777777" w:rsidR="0099547F" w:rsidRPr="00ED41F2" w:rsidRDefault="0099547F" w:rsidP="007E323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322D1E58" w14:textId="77777777" w:rsidR="0099547F" w:rsidRPr="00ED41F2" w:rsidRDefault="0099547F" w:rsidP="007E3239">
            <w:pPr>
              <w:pStyle w:val="TableText"/>
              <w:spacing w:before="40" w:after="40"/>
            </w:pPr>
            <w:r w:rsidRPr="00ED41F2">
              <w:t>HFC-134a</w:t>
            </w:r>
          </w:p>
        </w:tc>
        <w:tc>
          <w:tcPr>
            <w:tcW w:w="2911" w:type="dxa"/>
            <w:tcBorders>
              <w:top w:val="single" w:sz="4" w:space="0" w:color="1B556B"/>
              <w:left w:val="nil"/>
              <w:bottom w:val="single" w:sz="4" w:space="0" w:color="1B556B"/>
              <w:right w:val="nil"/>
            </w:tcBorders>
            <w:shd w:val="clear" w:color="auto" w:fill="FFFFFF"/>
          </w:tcPr>
          <w:p w14:paraId="07F1F50E" w14:textId="77777777" w:rsidR="0099547F" w:rsidRPr="00ED41F2" w:rsidRDefault="0099547F" w:rsidP="007E3239">
            <w:pPr>
              <w:pStyle w:val="TableText"/>
              <w:spacing w:before="40" w:after="40"/>
            </w:pPr>
            <w:r w:rsidRPr="00ED41F2">
              <w:t>2a</w:t>
            </w:r>
          </w:p>
        </w:tc>
      </w:tr>
      <w:tr w:rsidR="0099547F" w:rsidRPr="00ED41F2" w14:paraId="3E1B4718" w14:textId="77777777" w:rsidTr="007E3239">
        <w:tc>
          <w:tcPr>
            <w:tcW w:w="3261" w:type="dxa"/>
            <w:vMerge/>
            <w:tcBorders>
              <w:left w:val="nil"/>
              <w:bottom w:val="single" w:sz="4" w:space="0" w:color="1B556B"/>
              <w:right w:val="nil"/>
            </w:tcBorders>
            <w:shd w:val="clear" w:color="auto" w:fill="FFFFFF"/>
          </w:tcPr>
          <w:p w14:paraId="4E879DBF" w14:textId="77777777" w:rsidR="0099547F" w:rsidRPr="00ED41F2" w:rsidRDefault="0099547F" w:rsidP="007E3239">
            <w:pPr>
              <w:pStyle w:val="TableText"/>
              <w:spacing w:before="40" w:after="40"/>
            </w:pPr>
          </w:p>
        </w:tc>
        <w:tc>
          <w:tcPr>
            <w:tcW w:w="2390" w:type="dxa"/>
            <w:tcBorders>
              <w:top w:val="single" w:sz="4" w:space="0" w:color="1B556B"/>
              <w:left w:val="nil"/>
              <w:bottom w:val="single" w:sz="4" w:space="0" w:color="1B556B"/>
              <w:right w:val="nil"/>
            </w:tcBorders>
            <w:shd w:val="clear" w:color="auto" w:fill="FFFFFF"/>
          </w:tcPr>
          <w:p w14:paraId="43BB90D6" w14:textId="77777777" w:rsidR="0099547F" w:rsidRPr="00ED41F2" w:rsidRDefault="0099547F" w:rsidP="007E3239">
            <w:pPr>
              <w:pStyle w:val="TableText"/>
              <w:spacing w:before="40" w:after="40"/>
            </w:pPr>
            <w:r w:rsidRPr="00ED41F2">
              <w:t>HFC-143a</w:t>
            </w:r>
          </w:p>
        </w:tc>
        <w:tc>
          <w:tcPr>
            <w:tcW w:w="2911" w:type="dxa"/>
            <w:tcBorders>
              <w:top w:val="single" w:sz="4" w:space="0" w:color="1B556B"/>
              <w:left w:val="nil"/>
              <w:bottom w:val="single" w:sz="4" w:space="0" w:color="1B556B"/>
              <w:right w:val="nil"/>
            </w:tcBorders>
            <w:shd w:val="clear" w:color="auto" w:fill="FFFFFF"/>
          </w:tcPr>
          <w:p w14:paraId="0DB04387" w14:textId="77777777" w:rsidR="0099547F" w:rsidRPr="00ED41F2" w:rsidRDefault="0099547F" w:rsidP="007E3239">
            <w:pPr>
              <w:pStyle w:val="TableText"/>
              <w:spacing w:before="40" w:after="40"/>
            </w:pPr>
            <w:r w:rsidRPr="00ED41F2">
              <w:t>2a</w:t>
            </w:r>
          </w:p>
        </w:tc>
      </w:tr>
      <w:tr w:rsidR="0099547F" w:rsidRPr="00ED41F2" w14:paraId="43E23E07" w14:textId="77777777" w:rsidTr="007E3239">
        <w:tc>
          <w:tcPr>
            <w:tcW w:w="3261" w:type="dxa"/>
            <w:vMerge w:val="restart"/>
            <w:tcBorders>
              <w:top w:val="single" w:sz="4" w:space="0" w:color="1B556B"/>
              <w:left w:val="nil"/>
              <w:bottom w:val="single" w:sz="4" w:space="0" w:color="1B556B"/>
              <w:right w:val="nil"/>
            </w:tcBorders>
            <w:shd w:val="clear" w:color="auto" w:fill="FFFFFF"/>
          </w:tcPr>
          <w:p w14:paraId="37832E46" w14:textId="77777777" w:rsidR="0099547F" w:rsidRPr="00ED41F2" w:rsidRDefault="0099547F" w:rsidP="007E3239">
            <w:pPr>
              <w:pStyle w:val="TableText"/>
              <w:spacing w:before="40" w:after="40"/>
            </w:pPr>
            <w:r w:rsidRPr="00ED41F2">
              <w:t>Stationary air conditioning</w:t>
            </w:r>
          </w:p>
        </w:tc>
        <w:tc>
          <w:tcPr>
            <w:tcW w:w="2390" w:type="dxa"/>
            <w:tcBorders>
              <w:top w:val="single" w:sz="4" w:space="0" w:color="1B556B"/>
              <w:left w:val="nil"/>
              <w:bottom w:val="single" w:sz="4" w:space="0" w:color="1B556B"/>
              <w:right w:val="nil"/>
            </w:tcBorders>
            <w:shd w:val="clear" w:color="auto" w:fill="FFFFFF"/>
          </w:tcPr>
          <w:p w14:paraId="3E930301" w14:textId="77777777" w:rsidR="0099547F" w:rsidRPr="00ED41F2" w:rsidRDefault="0099547F" w:rsidP="007E3239">
            <w:pPr>
              <w:pStyle w:val="TableText"/>
              <w:spacing w:before="40" w:after="40"/>
            </w:pPr>
            <w:r w:rsidRPr="00ED41F2">
              <w:t>HFC-32</w:t>
            </w:r>
          </w:p>
        </w:tc>
        <w:tc>
          <w:tcPr>
            <w:tcW w:w="2911" w:type="dxa"/>
            <w:tcBorders>
              <w:top w:val="single" w:sz="4" w:space="0" w:color="1B556B"/>
              <w:left w:val="nil"/>
              <w:bottom w:val="single" w:sz="4" w:space="0" w:color="1B556B"/>
              <w:right w:val="nil"/>
            </w:tcBorders>
            <w:shd w:val="clear" w:color="auto" w:fill="FFFFFF"/>
          </w:tcPr>
          <w:p w14:paraId="28E71375" w14:textId="77777777" w:rsidR="0099547F" w:rsidRPr="00ED41F2" w:rsidRDefault="0099547F" w:rsidP="007E3239">
            <w:pPr>
              <w:pStyle w:val="TableText"/>
              <w:spacing w:before="40" w:after="40"/>
            </w:pPr>
            <w:r w:rsidRPr="00ED41F2">
              <w:t>2b</w:t>
            </w:r>
          </w:p>
        </w:tc>
      </w:tr>
      <w:tr w:rsidR="0099547F" w:rsidRPr="00ED41F2" w14:paraId="45B58ED3" w14:textId="77777777" w:rsidTr="007E3239">
        <w:tc>
          <w:tcPr>
            <w:tcW w:w="3261" w:type="dxa"/>
            <w:vMerge/>
            <w:tcBorders>
              <w:top w:val="single" w:sz="4" w:space="0" w:color="1B556B"/>
              <w:left w:val="nil"/>
              <w:right w:val="nil"/>
            </w:tcBorders>
            <w:shd w:val="clear" w:color="auto" w:fill="FFFFFF"/>
          </w:tcPr>
          <w:p w14:paraId="59727A2B" w14:textId="77777777" w:rsidR="0099547F" w:rsidRPr="00ED41F2" w:rsidRDefault="0099547F" w:rsidP="007E3239">
            <w:pPr>
              <w:pStyle w:val="TableText"/>
              <w:spacing w:before="40" w:after="40"/>
            </w:pPr>
          </w:p>
        </w:tc>
        <w:tc>
          <w:tcPr>
            <w:tcW w:w="2390" w:type="dxa"/>
            <w:tcBorders>
              <w:top w:val="single" w:sz="4" w:space="0" w:color="1B556B"/>
              <w:left w:val="nil"/>
              <w:bottom w:val="single" w:sz="4" w:space="0" w:color="365F91"/>
              <w:right w:val="nil"/>
            </w:tcBorders>
            <w:shd w:val="clear" w:color="auto" w:fill="FFFFFF"/>
          </w:tcPr>
          <w:p w14:paraId="17C5A57B" w14:textId="77777777" w:rsidR="0099547F" w:rsidRPr="00ED41F2" w:rsidRDefault="0099547F" w:rsidP="007E3239">
            <w:pPr>
              <w:pStyle w:val="TableText"/>
              <w:spacing w:before="40" w:after="40"/>
            </w:pPr>
            <w:r w:rsidRPr="00ED41F2">
              <w:t>HFC-125</w:t>
            </w:r>
          </w:p>
        </w:tc>
        <w:tc>
          <w:tcPr>
            <w:tcW w:w="2911" w:type="dxa"/>
            <w:tcBorders>
              <w:top w:val="single" w:sz="4" w:space="0" w:color="1B556B"/>
              <w:left w:val="nil"/>
              <w:bottom w:val="single" w:sz="4" w:space="0" w:color="365F91"/>
              <w:right w:val="nil"/>
            </w:tcBorders>
            <w:shd w:val="clear" w:color="auto" w:fill="FFFFFF"/>
          </w:tcPr>
          <w:p w14:paraId="146A1BB4" w14:textId="77777777" w:rsidR="0099547F" w:rsidRPr="00ED41F2" w:rsidRDefault="0099547F" w:rsidP="007E3239">
            <w:pPr>
              <w:pStyle w:val="TableText"/>
              <w:spacing w:before="40" w:after="40"/>
            </w:pPr>
            <w:r w:rsidRPr="00ED41F2">
              <w:t xml:space="preserve">2a to 2006, 2b for 2007–2020 </w:t>
            </w:r>
          </w:p>
        </w:tc>
      </w:tr>
      <w:tr w:rsidR="0099547F" w:rsidRPr="00ED41F2" w14:paraId="5609994B" w14:textId="77777777" w:rsidTr="007E3239">
        <w:tc>
          <w:tcPr>
            <w:tcW w:w="3261" w:type="dxa"/>
            <w:vMerge/>
            <w:tcBorders>
              <w:left w:val="nil"/>
              <w:bottom w:val="single" w:sz="4" w:space="0" w:color="1B556B"/>
              <w:right w:val="nil"/>
            </w:tcBorders>
            <w:shd w:val="clear" w:color="auto" w:fill="FFFFFF"/>
          </w:tcPr>
          <w:p w14:paraId="61350499" w14:textId="77777777" w:rsidR="0099547F" w:rsidRPr="00ED41F2" w:rsidRDefault="0099547F" w:rsidP="007E3239">
            <w:pPr>
              <w:pStyle w:val="TableText"/>
              <w:spacing w:before="40" w:after="40"/>
            </w:pPr>
          </w:p>
        </w:tc>
        <w:tc>
          <w:tcPr>
            <w:tcW w:w="2390" w:type="dxa"/>
            <w:tcBorders>
              <w:top w:val="single" w:sz="4" w:space="0" w:color="365F91"/>
              <w:left w:val="nil"/>
              <w:bottom w:val="single" w:sz="4" w:space="0" w:color="1B556B"/>
              <w:right w:val="nil"/>
            </w:tcBorders>
            <w:shd w:val="clear" w:color="auto" w:fill="FFFFFF"/>
          </w:tcPr>
          <w:p w14:paraId="49FE5A84" w14:textId="77777777" w:rsidR="0099547F" w:rsidRPr="00ED41F2" w:rsidRDefault="0099547F" w:rsidP="007E3239">
            <w:pPr>
              <w:pStyle w:val="TableText"/>
              <w:spacing w:before="40" w:after="40"/>
            </w:pPr>
            <w:r w:rsidRPr="00ED41F2">
              <w:t>HFC 134a</w:t>
            </w:r>
          </w:p>
        </w:tc>
        <w:tc>
          <w:tcPr>
            <w:tcW w:w="2911" w:type="dxa"/>
            <w:tcBorders>
              <w:top w:val="single" w:sz="4" w:space="0" w:color="365F91"/>
              <w:left w:val="nil"/>
              <w:bottom w:val="single" w:sz="4" w:space="0" w:color="1B556B"/>
              <w:right w:val="nil"/>
            </w:tcBorders>
            <w:shd w:val="clear" w:color="auto" w:fill="FFFFFF"/>
          </w:tcPr>
          <w:p w14:paraId="3DE35A3D" w14:textId="77777777" w:rsidR="0099547F" w:rsidRPr="00ED41F2" w:rsidRDefault="0099547F" w:rsidP="007E3239">
            <w:pPr>
              <w:pStyle w:val="TableText"/>
              <w:spacing w:before="40" w:after="40"/>
            </w:pPr>
            <w:r w:rsidRPr="00ED41F2">
              <w:t>2a</w:t>
            </w:r>
          </w:p>
        </w:tc>
      </w:tr>
      <w:tr w:rsidR="0099547F" w:rsidRPr="00ED41F2" w14:paraId="6BAE15E4" w14:textId="77777777" w:rsidTr="007E3239">
        <w:tc>
          <w:tcPr>
            <w:tcW w:w="3261" w:type="dxa"/>
            <w:tcBorders>
              <w:top w:val="single" w:sz="4" w:space="0" w:color="1B556B"/>
              <w:left w:val="nil"/>
              <w:bottom w:val="single" w:sz="4" w:space="0" w:color="1B556B"/>
              <w:right w:val="nil"/>
            </w:tcBorders>
            <w:shd w:val="clear" w:color="auto" w:fill="FFFFFF"/>
          </w:tcPr>
          <w:p w14:paraId="494AC8DB" w14:textId="77777777" w:rsidR="0099547F" w:rsidRPr="00ED41F2" w:rsidRDefault="0099547F" w:rsidP="007E3239">
            <w:pPr>
              <w:pStyle w:val="TableText"/>
              <w:spacing w:before="40" w:after="40"/>
            </w:pPr>
            <w:r w:rsidRPr="00ED41F2">
              <w:t>Mobile air conditioning</w:t>
            </w:r>
          </w:p>
        </w:tc>
        <w:tc>
          <w:tcPr>
            <w:tcW w:w="2390" w:type="dxa"/>
            <w:tcBorders>
              <w:top w:val="single" w:sz="4" w:space="0" w:color="1B556B"/>
              <w:left w:val="nil"/>
              <w:bottom w:val="single" w:sz="4" w:space="0" w:color="1B556B"/>
              <w:right w:val="nil"/>
            </w:tcBorders>
            <w:shd w:val="clear" w:color="auto" w:fill="FFFFFF"/>
          </w:tcPr>
          <w:p w14:paraId="55086800" w14:textId="77777777" w:rsidR="0099547F" w:rsidRPr="00ED41F2" w:rsidRDefault="0099547F" w:rsidP="007E3239">
            <w:pPr>
              <w:pStyle w:val="TableText"/>
              <w:spacing w:before="40" w:after="40"/>
            </w:pPr>
            <w:r w:rsidRPr="00ED41F2">
              <w:t>HFC-134a</w:t>
            </w:r>
          </w:p>
        </w:tc>
        <w:tc>
          <w:tcPr>
            <w:tcW w:w="2911" w:type="dxa"/>
            <w:tcBorders>
              <w:top w:val="single" w:sz="4" w:space="0" w:color="1B556B"/>
              <w:left w:val="nil"/>
              <w:bottom w:val="single" w:sz="4" w:space="0" w:color="1B556B"/>
              <w:right w:val="nil"/>
            </w:tcBorders>
            <w:shd w:val="clear" w:color="auto" w:fill="FFFFFF"/>
          </w:tcPr>
          <w:p w14:paraId="3E8ABE2A" w14:textId="77777777" w:rsidR="0099547F" w:rsidRPr="00ED41F2" w:rsidRDefault="0099547F" w:rsidP="007E3239">
            <w:pPr>
              <w:pStyle w:val="TableText"/>
              <w:spacing w:before="40" w:after="40"/>
            </w:pPr>
            <w:r w:rsidRPr="00ED41F2">
              <w:t>2b</w:t>
            </w:r>
          </w:p>
        </w:tc>
      </w:tr>
    </w:tbl>
    <w:p w14:paraId="108AB45B" w14:textId="77777777" w:rsidR="0099547F" w:rsidRPr="00ED41F2" w:rsidRDefault="0099547F" w:rsidP="0099547F">
      <w:pPr>
        <w:pStyle w:val="Heading5"/>
        <w:spacing w:before="360"/>
      </w:pPr>
      <w:r w:rsidRPr="00ED41F2">
        <w:t>Other (2.F.2, 2.F.3 and 2.F.4)</w:t>
      </w:r>
    </w:p>
    <w:p w14:paraId="3435C985" w14:textId="77777777" w:rsidR="0099547F" w:rsidRPr="00ED41F2" w:rsidRDefault="0099547F" w:rsidP="003D1F66">
      <w:pPr>
        <w:pStyle w:val="BodyText"/>
      </w:pPr>
      <w:r w:rsidRPr="00ED41F2">
        <w:t xml:space="preserve">The IPCC Tier 1a method is used for foam blowing agents and fire protection equipment. </w:t>
      </w:r>
    </w:p>
    <w:p w14:paraId="0E80D194" w14:textId="77777777" w:rsidR="0099547F" w:rsidRPr="00ED41F2" w:rsidRDefault="0099547F" w:rsidP="003D1F66">
      <w:pPr>
        <w:pStyle w:val="BodyText"/>
      </w:pPr>
      <w:r w:rsidRPr="00ED41F2">
        <w:t xml:space="preserve">Aerosol emissions are calculated using the IPCC Tier 1a/2a method (IPCC, 2006a, equation 7.6). Tier 2a requires subdividing these emissions by sub-application. In this submission, emissions from MDIs are reported separately as a sub-application (2.F.4.a). Insufficient data are available to further subdivide aerosol products by sub-application and all other aerosol products are reported together (2.F.4.b). </w:t>
      </w:r>
    </w:p>
    <w:p w14:paraId="7EF4E192" w14:textId="77777777" w:rsidR="0099547F" w:rsidRPr="00ED41F2" w:rsidRDefault="0099547F" w:rsidP="00CF3E69">
      <w:pPr>
        <w:pStyle w:val="Heading4"/>
        <w:rPr>
          <w:bCs/>
          <w:iCs/>
        </w:rPr>
      </w:pPr>
      <w:r w:rsidRPr="00ED41F2">
        <w:t>Choice of emission factors</w:t>
      </w:r>
    </w:p>
    <w:p w14:paraId="137E90D5" w14:textId="77777777" w:rsidR="0099547F" w:rsidRPr="00ED41F2" w:rsidRDefault="0099547F" w:rsidP="0099547F">
      <w:pPr>
        <w:pStyle w:val="Heading5"/>
        <w:spacing w:before="120"/>
      </w:pPr>
      <w:r w:rsidRPr="00ED41F2">
        <w:t>Refrigeration and air conditioning (2.F.1)</w:t>
      </w:r>
    </w:p>
    <w:p w14:paraId="7986F957" w14:textId="77777777" w:rsidR="0099547F" w:rsidRPr="00ED41F2" w:rsidRDefault="0099547F" w:rsidP="003D1F66">
      <w:pPr>
        <w:pStyle w:val="BodyText"/>
      </w:pPr>
      <w:r w:rsidRPr="00ED41F2">
        <w:t xml:space="preserve">The emission factors used in each sub-application (other than </w:t>
      </w:r>
      <w:r w:rsidRPr="00ED41F2">
        <w:rPr>
          <w:i/>
        </w:rPr>
        <w:t>Mobile air conditioning</w:t>
      </w:r>
      <w:r w:rsidRPr="00ED41F2">
        <w:t xml:space="preserve">) were assessed using a combination of IPCC defaults, information from the New Zealand industry and expert judgement. </w:t>
      </w:r>
    </w:p>
    <w:p w14:paraId="4A188720" w14:textId="77777777" w:rsidR="0099547F" w:rsidRPr="00ED41F2" w:rsidRDefault="0099547F" w:rsidP="003D1F66">
      <w:pPr>
        <w:pStyle w:val="BodyText"/>
      </w:pPr>
      <w:r w:rsidRPr="00ED41F2">
        <w:t>In addition, the annual leakage rates were adjusted in some cases to ensure that the total results for all sub-applications were consistent with the much more complete and accurate data available to estimate the total mass balance (for all five sub-</w:t>
      </w:r>
      <w:r w:rsidRPr="003D1F66">
        <w:t>applications</w:t>
      </w:r>
      <w:r w:rsidRPr="00ED41F2">
        <w:t>) for each chemical. For each chemical, this has meant that one of these five sub</w:t>
      </w:r>
      <w:r w:rsidRPr="00ED41F2">
        <w:noBreakHyphen/>
        <w:t>applications is treated as a residual and may, consequently, be subject to greater apparent year</w:t>
      </w:r>
      <w:r w:rsidRPr="00ED41F2">
        <w:noBreakHyphen/>
        <w:t>to</w:t>
      </w:r>
      <w:r w:rsidRPr="00ED41F2">
        <w:noBreakHyphen/>
        <w:t xml:space="preserve">year variation than the other four. </w:t>
      </w:r>
    </w:p>
    <w:p w14:paraId="2A04AEAB" w14:textId="77777777" w:rsidR="0099547F" w:rsidRPr="003D1F66" w:rsidRDefault="0099547F" w:rsidP="003D1F66">
      <w:pPr>
        <w:pStyle w:val="BodyText"/>
      </w:pPr>
      <w:r w:rsidRPr="00ED41F2">
        <w:t>These emission factors are detailed in the report by Verum Group (</w:t>
      </w:r>
      <w:r w:rsidRPr="00ED41F2">
        <w:rPr>
          <w:rFonts w:eastAsia="+mn-ea"/>
        </w:rPr>
        <w:t>unpublished</w:t>
      </w:r>
      <w:r w:rsidRPr="00ED41F2">
        <w:t xml:space="preserve">). </w:t>
      </w:r>
    </w:p>
    <w:p w14:paraId="10AD9A02" w14:textId="77777777" w:rsidR="0099547F" w:rsidRPr="00ED41F2" w:rsidRDefault="0099547F" w:rsidP="003D1F66">
      <w:pPr>
        <w:pStyle w:val="BodyText"/>
      </w:pPr>
      <w:r w:rsidRPr="00ED41F2">
        <w:t xml:space="preserve">For </w:t>
      </w:r>
      <w:r w:rsidRPr="00ED41F2">
        <w:rPr>
          <w:i/>
        </w:rPr>
        <w:t>Mobile air conditioning</w:t>
      </w:r>
      <w:r w:rsidRPr="00ED41F2">
        <w:t>, the model used distinguishes between leakage that is replaced in</w:t>
      </w:r>
      <w:r>
        <w:t> </w:t>
      </w:r>
      <w:r w:rsidRPr="00ED41F2">
        <w:t xml:space="preserve">regular servicing (3 per cent of the bank each year) and </w:t>
      </w:r>
      <w:r w:rsidRPr="003D1F66">
        <w:t>refrigerant</w:t>
      </w:r>
      <w:r w:rsidRPr="00ED41F2">
        <w:t xml:space="preserve"> that leaks, but is not replaced because owners do not have the air conditioning units serviced. The overall average amount of leakage for the fleet is assessed to be 15</w:t>
      </w:r>
      <w:r w:rsidRPr="00ED41F2">
        <w:rPr>
          <w:rFonts w:cs="Calibri"/>
        </w:rPr>
        <w:t>±</w:t>
      </w:r>
      <w:r w:rsidRPr="00ED41F2">
        <w:t>10 per cent – that is, at any time a notional ‘average vehicle’ will have 85</w:t>
      </w:r>
      <w:r w:rsidRPr="00ED41F2">
        <w:rPr>
          <w:rFonts w:cs="Calibri"/>
        </w:rPr>
        <w:t>±</w:t>
      </w:r>
      <w:r w:rsidRPr="00ED41F2">
        <w:t xml:space="preserve">10 per cent of the charge that it would have if there was no leakage. </w:t>
      </w:r>
    </w:p>
    <w:p w14:paraId="6EFA07EE" w14:textId="77777777" w:rsidR="0099547F" w:rsidRPr="00ED41F2" w:rsidRDefault="0099547F" w:rsidP="0099547F">
      <w:pPr>
        <w:pStyle w:val="Heading5"/>
        <w:spacing w:before="160"/>
      </w:pPr>
      <w:r w:rsidRPr="00ED41F2">
        <w:t>Foam blowing agents (2.F.2)</w:t>
      </w:r>
    </w:p>
    <w:p w14:paraId="090F2110" w14:textId="77777777" w:rsidR="0099547F" w:rsidRPr="00ED41F2" w:rsidRDefault="0099547F" w:rsidP="0099547F">
      <w:pPr>
        <w:pStyle w:val="BodyText"/>
      </w:pPr>
      <w:r w:rsidRPr="00ED41F2">
        <w:t xml:space="preserve">The IPCC default emission factors for closed-cell foam are used, that is, assuming 10.0 per cent loss in the first year of use and 4.5 per cent in each of the following 20 years. </w:t>
      </w:r>
    </w:p>
    <w:p w14:paraId="24740FFF" w14:textId="77777777" w:rsidR="0099547F" w:rsidRPr="00ED41F2" w:rsidRDefault="0099547F" w:rsidP="0099547F">
      <w:pPr>
        <w:pStyle w:val="Heading5"/>
      </w:pPr>
      <w:r w:rsidRPr="00ED41F2">
        <w:lastRenderedPageBreak/>
        <w:t>Fire protection (2.F.3)</w:t>
      </w:r>
    </w:p>
    <w:p w14:paraId="1396716C" w14:textId="77777777" w:rsidR="0099547F" w:rsidRPr="00ED41F2" w:rsidRDefault="0099547F" w:rsidP="0099547F">
      <w:pPr>
        <w:pStyle w:val="BodyText"/>
      </w:pPr>
      <w:r w:rsidRPr="00ED41F2">
        <w:t xml:space="preserve">For fire protection equipment, a country-specific emission factor of 0.015 (1.5 per cent of the charge lost in leakage each year) is used. This estimate is based on information from one major supplier of these systems, which was able to supply records of the amount of HFC-227ea it used to replace leakage and accidental discharges. Fire protection systems have a long life and retirements are rare. Based on information from the system suppliers, it is assessed that all refrigerant present on decommissioning is recovered. </w:t>
      </w:r>
    </w:p>
    <w:p w14:paraId="0D89F02A" w14:textId="77777777" w:rsidR="0099547F" w:rsidRPr="00ED41F2" w:rsidRDefault="0099547F" w:rsidP="0099547F">
      <w:pPr>
        <w:pStyle w:val="Heading5"/>
      </w:pPr>
      <w:r w:rsidRPr="00ED41F2">
        <w:t>Aerosols (2.F.4)</w:t>
      </w:r>
    </w:p>
    <w:p w14:paraId="7FCF2A02" w14:textId="77777777" w:rsidR="0099547F" w:rsidRPr="00ED41F2" w:rsidRDefault="0099547F" w:rsidP="0099547F">
      <w:pPr>
        <w:pStyle w:val="BodyText"/>
      </w:pPr>
      <w:r w:rsidRPr="00ED41F2">
        <w:t xml:space="preserve">Aerosol emissions are considered to be prompt (emitted in the first year or two after manufacture or import) and so the default emission factor of 50.0 per cent of the initial charge emitted per year is applied. </w:t>
      </w:r>
    </w:p>
    <w:p w14:paraId="498B9C1E" w14:textId="77777777" w:rsidR="0099547F" w:rsidRPr="00ED41F2" w:rsidRDefault="0099547F" w:rsidP="0099547F">
      <w:pPr>
        <w:pStyle w:val="Heading3"/>
      </w:pPr>
      <w:r w:rsidRPr="00ED41F2">
        <w:t xml:space="preserve">4.7.3 </w:t>
      </w:r>
      <w:r w:rsidRPr="00ED41F2">
        <w:tab/>
        <w:t>Uncertainties and time-series consistency</w:t>
      </w:r>
    </w:p>
    <w:p w14:paraId="0BF0FB73" w14:textId="77777777" w:rsidR="0099547F" w:rsidRPr="00ED41F2" w:rsidRDefault="0099547F" w:rsidP="00CF3E69">
      <w:pPr>
        <w:pStyle w:val="Heading4"/>
        <w:rPr>
          <w:bCs/>
          <w:iCs/>
        </w:rPr>
      </w:pPr>
      <w:r w:rsidRPr="00ED41F2">
        <w:t>Uncertainties</w:t>
      </w:r>
    </w:p>
    <w:p w14:paraId="36EB285F" w14:textId="77777777" w:rsidR="0099547F" w:rsidRPr="00ED41F2" w:rsidRDefault="0099547F" w:rsidP="0099547F">
      <w:pPr>
        <w:pStyle w:val="BodyText"/>
      </w:pPr>
      <w:r w:rsidRPr="00ED41F2">
        <w:t xml:space="preserve">Data on bulk imports of refrigerant gases in the </w:t>
      </w:r>
      <w:r w:rsidRPr="00ED41F2">
        <w:rPr>
          <w:i/>
        </w:rPr>
        <w:t>Refrigeration and air conditioning</w:t>
      </w:r>
      <w:r w:rsidRPr="00ED41F2">
        <w:t xml:space="preserve"> category are complete and accurate, with uncertainty of ±5 per cent. Data on the amount imported in factory-charged equipment, and the amount in retired equipment, are much less accurate, and uncertainties are estimated for each sub-application based on expert judgement. </w:t>
      </w:r>
    </w:p>
    <w:p w14:paraId="767883D3" w14:textId="77777777" w:rsidR="0099547F" w:rsidRPr="00ED41F2" w:rsidRDefault="0099547F" w:rsidP="0099547F">
      <w:pPr>
        <w:pStyle w:val="BodyText"/>
      </w:pPr>
      <w:r w:rsidRPr="00ED41F2">
        <w:t xml:space="preserve">Uncertainties in this category have been estimated for each sub-application, and table 4.7.3 summarises the uncertainties for each category. For the </w:t>
      </w:r>
      <w:r w:rsidRPr="00ED41F2">
        <w:rPr>
          <w:i/>
        </w:rPr>
        <w:t>Refrigeration and air conditioning</w:t>
      </w:r>
      <w:r w:rsidRPr="00ED41F2">
        <w:t xml:space="preserve"> category, uncertainty is attributed only to the activity data. </w:t>
      </w:r>
    </w:p>
    <w:p w14:paraId="08662227" w14:textId="77777777" w:rsidR="0099547F" w:rsidRPr="00ED41F2" w:rsidRDefault="0099547F" w:rsidP="0099547F">
      <w:pPr>
        <w:pStyle w:val="Table"/>
      </w:pPr>
      <w:bookmarkStart w:id="538" w:name="_Toc451176078"/>
      <w:bookmarkStart w:id="539" w:name="_Toc5269468"/>
      <w:bookmarkStart w:id="540" w:name="_Toc36224542"/>
      <w:bookmarkStart w:id="541" w:name="_Toc68786428"/>
      <w:bookmarkStart w:id="542" w:name="_Toc99659236"/>
      <w:r w:rsidRPr="00ED41F2">
        <w:t xml:space="preserve">Table 4.7.3 </w:t>
      </w:r>
      <w:r w:rsidRPr="00ED41F2">
        <w:tab/>
        <w:t>New Zealand’s uncertainties in product uses as substitutes for ODS</w:t>
      </w:r>
      <w:bookmarkEnd w:id="538"/>
      <w:bookmarkEnd w:id="539"/>
      <w:bookmarkEnd w:id="540"/>
      <w:bookmarkEnd w:id="541"/>
      <w:bookmarkEnd w:id="542"/>
      <w:r w:rsidRPr="00ED41F2">
        <w:t xml:space="preserve"> </w:t>
      </w:r>
    </w:p>
    <w:tbl>
      <w:tblPr>
        <w:tblW w:w="8505" w:type="dxa"/>
        <w:tblInd w:w="108" w:type="dxa"/>
        <w:tblLook w:val="04A0" w:firstRow="1" w:lastRow="0" w:firstColumn="1" w:lastColumn="0" w:noHBand="0" w:noVBand="1"/>
      </w:tblPr>
      <w:tblGrid>
        <w:gridCol w:w="2873"/>
        <w:gridCol w:w="2660"/>
        <w:gridCol w:w="2972"/>
      </w:tblGrid>
      <w:tr w:rsidR="0099547F" w:rsidRPr="00ED41F2" w14:paraId="7D142171" w14:textId="77777777" w:rsidTr="00CF3E69">
        <w:tc>
          <w:tcPr>
            <w:tcW w:w="2603" w:type="dxa"/>
            <w:tcBorders>
              <w:top w:val="single" w:sz="4" w:space="0" w:color="1B556B"/>
              <w:left w:val="nil"/>
              <w:bottom w:val="single" w:sz="4" w:space="0" w:color="1B556B"/>
              <w:right w:val="nil"/>
            </w:tcBorders>
            <w:shd w:val="clear" w:color="auto" w:fill="1B556B"/>
            <w:hideMark/>
          </w:tcPr>
          <w:p w14:paraId="5138E63E" w14:textId="77777777" w:rsidR="0099547F" w:rsidRPr="00ED41F2" w:rsidRDefault="0099547F" w:rsidP="007E3239">
            <w:pPr>
              <w:pStyle w:val="TableTextBold"/>
              <w:spacing w:before="50" w:after="50"/>
              <w:rPr>
                <w:bCs/>
                <w:noProof w:val="0"/>
                <w:color w:val="FFFFFF"/>
              </w:rPr>
            </w:pPr>
            <w:r w:rsidRPr="00ED41F2">
              <w:rPr>
                <w:noProof w:val="0"/>
                <w:color w:val="FFFFFF"/>
              </w:rPr>
              <w:t>Category</w:t>
            </w:r>
          </w:p>
        </w:tc>
        <w:tc>
          <w:tcPr>
            <w:tcW w:w="2410" w:type="dxa"/>
            <w:tcBorders>
              <w:top w:val="single" w:sz="4" w:space="0" w:color="1B556B"/>
              <w:left w:val="nil"/>
              <w:bottom w:val="single" w:sz="4" w:space="0" w:color="1B556B"/>
              <w:right w:val="nil"/>
            </w:tcBorders>
            <w:shd w:val="clear" w:color="auto" w:fill="1B556B"/>
            <w:hideMark/>
          </w:tcPr>
          <w:p w14:paraId="0EE5BB95" w14:textId="77777777" w:rsidR="0099547F" w:rsidRPr="00ED41F2" w:rsidRDefault="0099547F" w:rsidP="007E3239">
            <w:pPr>
              <w:pStyle w:val="TableTextBold"/>
              <w:spacing w:before="50" w:after="50"/>
              <w:rPr>
                <w:bCs/>
                <w:noProof w:val="0"/>
                <w:color w:val="FFFFFF"/>
              </w:rPr>
            </w:pPr>
            <w:r w:rsidRPr="00ED41F2">
              <w:rPr>
                <w:noProof w:val="0"/>
                <w:color w:val="FFFFFF"/>
              </w:rPr>
              <w:t>Uncertainty in activity data (%)</w:t>
            </w:r>
          </w:p>
        </w:tc>
        <w:tc>
          <w:tcPr>
            <w:tcW w:w="2693" w:type="dxa"/>
            <w:tcBorders>
              <w:top w:val="single" w:sz="4" w:space="0" w:color="1B556B"/>
              <w:left w:val="nil"/>
              <w:bottom w:val="single" w:sz="4" w:space="0" w:color="1B556B"/>
              <w:right w:val="nil"/>
            </w:tcBorders>
            <w:shd w:val="clear" w:color="auto" w:fill="1B556B"/>
            <w:hideMark/>
          </w:tcPr>
          <w:p w14:paraId="1E59FB8D" w14:textId="77777777" w:rsidR="0099547F" w:rsidRPr="00ED41F2" w:rsidRDefault="0099547F" w:rsidP="007E3239">
            <w:pPr>
              <w:pStyle w:val="TableTextBold"/>
              <w:spacing w:before="50" w:after="50"/>
              <w:rPr>
                <w:noProof w:val="0"/>
                <w:color w:val="FFFFFF"/>
              </w:rPr>
            </w:pPr>
            <w:r w:rsidRPr="00ED41F2">
              <w:rPr>
                <w:noProof w:val="0"/>
                <w:color w:val="FFFFFF"/>
              </w:rPr>
              <w:t>Uncertainty in emission factors (%)</w:t>
            </w:r>
          </w:p>
        </w:tc>
      </w:tr>
      <w:tr w:rsidR="0099547F" w:rsidRPr="00ED41F2" w14:paraId="18BCC038" w14:textId="77777777" w:rsidTr="00CF3E69">
        <w:tc>
          <w:tcPr>
            <w:tcW w:w="2603" w:type="dxa"/>
            <w:tcBorders>
              <w:top w:val="single" w:sz="4" w:space="0" w:color="1B556B"/>
              <w:left w:val="nil"/>
              <w:bottom w:val="nil"/>
              <w:right w:val="nil"/>
            </w:tcBorders>
            <w:hideMark/>
          </w:tcPr>
          <w:p w14:paraId="0853E85C" w14:textId="77777777" w:rsidR="0099547F" w:rsidRPr="00ED41F2" w:rsidRDefault="0099547F" w:rsidP="007E3239">
            <w:pPr>
              <w:pStyle w:val="TableText"/>
              <w:spacing w:before="50" w:after="50"/>
            </w:pPr>
            <w:r w:rsidRPr="00ED41F2">
              <w:t>Refrigeration and air conditioning</w:t>
            </w:r>
          </w:p>
        </w:tc>
        <w:tc>
          <w:tcPr>
            <w:tcW w:w="2410" w:type="dxa"/>
            <w:tcBorders>
              <w:top w:val="single" w:sz="4" w:space="0" w:color="1B556B"/>
              <w:left w:val="nil"/>
              <w:bottom w:val="nil"/>
              <w:right w:val="nil"/>
            </w:tcBorders>
            <w:hideMark/>
          </w:tcPr>
          <w:p w14:paraId="1605D216" w14:textId="77777777" w:rsidR="0099547F" w:rsidRPr="00ED41F2" w:rsidRDefault="0099547F" w:rsidP="007E3239">
            <w:pPr>
              <w:pStyle w:val="TableText"/>
              <w:spacing w:before="50" w:after="50"/>
            </w:pPr>
            <w:r w:rsidRPr="00ED41F2">
              <w:t>±34</w:t>
            </w:r>
          </w:p>
        </w:tc>
        <w:tc>
          <w:tcPr>
            <w:tcW w:w="2693" w:type="dxa"/>
            <w:tcBorders>
              <w:top w:val="single" w:sz="4" w:space="0" w:color="1B556B"/>
              <w:left w:val="nil"/>
              <w:bottom w:val="nil"/>
              <w:right w:val="nil"/>
            </w:tcBorders>
            <w:hideMark/>
          </w:tcPr>
          <w:p w14:paraId="78596676" w14:textId="77777777" w:rsidR="0099547F" w:rsidRPr="00ED41F2" w:rsidRDefault="0099547F" w:rsidP="007E3239">
            <w:pPr>
              <w:pStyle w:val="TableText"/>
              <w:spacing w:before="50" w:after="50"/>
            </w:pPr>
            <w:r w:rsidRPr="00ED41F2">
              <w:t>NA</w:t>
            </w:r>
          </w:p>
        </w:tc>
      </w:tr>
      <w:tr w:rsidR="0099547F" w:rsidRPr="00ED41F2" w14:paraId="376C8E18" w14:textId="77777777" w:rsidTr="00CF3E69">
        <w:tc>
          <w:tcPr>
            <w:tcW w:w="2603" w:type="dxa"/>
            <w:hideMark/>
          </w:tcPr>
          <w:p w14:paraId="1C26E7DB" w14:textId="77777777" w:rsidR="0099547F" w:rsidRPr="00ED41F2" w:rsidRDefault="0099547F" w:rsidP="007E3239">
            <w:pPr>
              <w:pStyle w:val="TableText"/>
              <w:spacing w:before="50" w:after="50"/>
            </w:pPr>
            <w:r w:rsidRPr="00ED41F2">
              <w:t>Foam blowing agents</w:t>
            </w:r>
          </w:p>
        </w:tc>
        <w:tc>
          <w:tcPr>
            <w:tcW w:w="2410" w:type="dxa"/>
            <w:hideMark/>
          </w:tcPr>
          <w:p w14:paraId="1B99894A" w14:textId="77777777" w:rsidR="0099547F" w:rsidRPr="00ED41F2" w:rsidRDefault="0099547F" w:rsidP="007E3239">
            <w:pPr>
              <w:pStyle w:val="TableText"/>
              <w:spacing w:before="50" w:after="50"/>
            </w:pPr>
            <w:r w:rsidRPr="00ED41F2">
              <w:t>±12</w:t>
            </w:r>
          </w:p>
        </w:tc>
        <w:tc>
          <w:tcPr>
            <w:tcW w:w="2693" w:type="dxa"/>
            <w:hideMark/>
          </w:tcPr>
          <w:p w14:paraId="6C348F5B" w14:textId="77777777" w:rsidR="0099547F" w:rsidRPr="00ED41F2" w:rsidRDefault="0099547F" w:rsidP="007E3239">
            <w:pPr>
              <w:pStyle w:val="TableText"/>
              <w:spacing w:before="50" w:after="50"/>
            </w:pPr>
            <w:r w:rsidRPr="00ED41F2">
              <w:t>±50</w:t>
            </w:r>
          </w:p>
        </w:tc>
      </w:tr>
      <w:tr w:rsidR="0099547F" w:rsidRPr="00ED41F2" w14:paraId="766CDDA7" w14:textId="77777777" w:rsidTr="00CF3E69">
        <w:tc>
          <w:tcPr>
            <w:tcW w:w="2603" w:type="dxa"/>
            <w:hideMark/>
          </w:tcPr>
          <w:p w14:paraId="5A940842" w14:textId="77777777" w:rsidR="0099547F" w:rsidRPr="00ED41F2" w:rsidRDefault="0099547F" w:rsidP="007E3239">
            <w:pPr>
              <w:pStyle w:val="TableText"/>
              <w:spacing w:before="50" w:after="50"/>
            </w:pPr>
            <w:r w:rsidRPr="00ED41F2">
              <w:t>Aerosols</w:t>
            </w:r>
          </w:p>
        </w:tc>
        <w:tc>
          <w:tcPr>
            <w:tcW w:w="2410" w:type="dxa"/>
            <w:hideMark/>
          </w:tcPr>
          <w:p w14:paraId="7C0DA823" w14:textId="77777777" w:rsidR="0099547F" w:rsidRPr="00ED41F2" w:rsidRDefault="0099547F" w:rsidP="007E3239">
            <w:pPr>
              <w:pStyle w:val="TableText"/>
              <w:spacing w:before="50" w:after="50"/>
            </w:pPr>
            <w:r w:rsidRPr="00ED41F2">
              <w:t>±25</w:t>
            </w:r>
          </w:p>
        </w:tc>
        <w:tc>
          <w:tcPr>
            <w:tcW w:w="2693" w:type="dxa"/>
            <w:hideMark/>
          </w:tcPr>
          <w:p w14:paraId="32F83097" w14:textId="77777777" w:rsidR="0099547F" w:rsidRPr="00ED41F2" w:rsidRDefault="0099547F" w:rsidP="007E3239">
            <w:pPr>
              <w:pStyle w:val="TableText"/>
              <w:spacing w:before="50" w:after="50"/>
            </w:pPr>
            <w:r w:rsidRPr="00ED41F2">
              <w:t>±10</w:t>
            </w:r>
          </w:p>
        </w:tc>
      </w:tr>
      <w:tr w:rsidR="0099547F" w:rsidRPr="00ED41F2" w14:paraId="7F9B25CF" w14:textId="77777777" w:rsidTr="00CF3E69">
        <w:tc>
          <w:tcPr>
            <w:tcW w:w="2603" w:type="dxa"/>
            <w:tcBorders>
              <w:top w:val="nil"/>
              <w:left w:val="nil"/>
              <w:bottom w:val="single" w:sz="4" w:space="0" w:color="1B556B"/>
              <w:right w:val="nil"/>
            </w:tcBorders>
            <w:hideMark/>
          </w:tcPr>
          <w:p w14:paraId="498056D7" w14:textId="77777777" w:rsidR="0099547F" w:rsidRPr="00ED41F2" w:rsidRDefault="0099547F" w:rsidP="007E3239">
            <w:pPr>
              <w:pStyle w:val="TableText"/>
              <w:spacing w:before="50" w:after="50"/>
            </w:pPr>
            <w:r w:rsidRPr="00ED41F2">
              <w:t>Fire protection</w:t>
            </w:r>
          </w:p>
        </w:tc>
        <w:tc>
          <w:tcPr>
            <w:tcW w:w="2410" w:type="dxa"/>
            <w:tcBorders>
              <w:top w:val="nil"/>
              <w:left w:val="nil"/>
              <w:bottom w:val="single" w:sz="4" w:space="0" w:color="1B556B"/>
              <w:right w:val="nil"/>
            </w:tcBorders>
            <w:hideMark/>
          </w:tcPr>
          <w:p w14:paraId="5B9043A8" w14:textId="77777777" w:rsidR="0099547F" w:rsidRPr="00ED41F2" w:rsidRDefault="0099547F" w:rsidP="007E3239">
            <w:pPr>
              <w:pStyle w:val="TableText"/>
              <w:spacing w:before="50" w:after="50"/>
            </w:pPr>
            <w:r w:rsidRPr="00ED41F2">
              <w:t>±10</w:t>
            </w:r>
          </w:p>
        </w:tc>
        <w:tc>
          <w:tcPr>
            <w:tcW w:w="2693" w:type="dxa"/>
            <w:tcBorders>
              <w:top w:val="nil"/>
              <w:left w:val="nil"/>
              <w:bottom w:val="single" w:sz="4" w:space="0" w:color="1B556B"/>
              <w:right w:val="nil"/>
            </w:tcBorders>
            <w:hideMark/>
          </w:tcPr>
          <w:p w14:paraId="48805DCC" w14:textId="77777777" w:rsidR="0099547F" w:rsidRPr="00ED41F2" w:rsidRDefault="0099547F" w:rsidP="007E3239">
            <w:pPr>
              <w:pStyle w:val="TableText"/>
              <w:spacing w:before="50" w:after="50"/>
            </w:pPr>
            <w:r w:rsidRPr="00ED41F2">
              <w:t>±41</w:t>
            </w:r>
          </w:p>
        </w:tc>
      </w:tr>
    </w:tbl>
    <w:p w14:paraId="7E067A12" w14:textId="77777777" w:rsidR="0099547F" w:rsidRPr="00ED41F2" w:rsidRDefault="0099547F" w:rsidP="0099547F">
      <w:pPr>
        <w:pStyle w:val="Noteundertable"/>
        <w:spacing w:after="0"/>
      </w:pPr>
      <w:r w:rsidRPr="00ED41F2">
        <w:rPr>
          <w:b/>
        </w:rPr>
        <w:t>Note:</w:t>
      </w:r>
      <w:r w:rsidRPr="00ED41F2">
        <w:tab/>
        <w:t xml:space="preserve">NA = not applicable. </w:t>
      </w:r>
    </w:p>
    <w:p w14:paraId="5985F8C0" w14:textId="77777777" w:rsidR="0099547F" w:rsidRPr="00ED41F2" w:rsidRDefault="0099547F" w:rsidP="00CF3E69">
      <w:pPr>
        <w:pStyle w:val="Heading4"/>
      </w:pPr>
      <w:r w:rsidRPr="00ED41F2">
        <w:t>Time-series consistency</w:t>
      </w:r>
    </w:p>
    <w:p w14:paraId="03A4D377" w14:textId="77777777" w:rsidR="0099547F" w:rsidRPr="00ED41F2" w:rsidRDefault="0099547F" w:rsidP="0099547F">
      <w:pPr>
        <w:pStyle w:val="BodyText"/>
      </w:pPr>
      <w:r w:rsidRPr="00ED41F2">
        <w:t xml:space="preserve">There is substantial variation over the time series due to the introduction and increasing use of HFCs as replacements for CFCs and HCFCs. The amounts imported also vary unpredictably from year to year. Significant stockpiling of refrigerant gases occurred in anticipation of NZ ETS obligations in 2013, and some stockpiling appears to have occurred in other years in response to low NZ ETS unit prices. This has meant that stockpiling needs to be taken into account in applying the mass balance approach to calculate emissions. </w:t>
      </w:r>
    </w:p>
    <w:p w14:paraId="65513D6B" w14:textId="77777777" w:rsidR="0099547F" w:rsidRPr="00ED41F2" w:rsidRDefault="0099547F" w:rsidP="0099547F">
      <w:pPr>
        <w:pStyle w:val="BodyText"/>
        <w:keepLines/>
      </w:pPr>
      <w:r w:rsidRPr="00ED41F2">
        <w:t>Some year-to-year variation in the emissions from refrigeration and air conditioning may indicate that there are random changes in stocks from year to year that cannot be accurately assessed from available data. Also, due to the need to attribute bulk chemical across individual sub-applications, variances may show up in one sub-application as higher than expected year</w:t>
      </w:r>
      <w:r w:rsidRPr="00ED41F2">
        <w:noBreakHyphen/>
        <w:t xml:space="preserve">to-year changes. </w:t>
      </w:r>
    </w:p>
    <w:p w14:paraId="78AE0CC2" w14:textId="77777777" w:rsidR="0099547F" w:rsidRPr="00ED41F2" w:rsidRDefault="0099547F" w:rsidP="0099547F">
      <w:pPr>
        <w:pStyle w:val="BodyText"/>
        <w:spacing w:after="100"/>
      </w:pPr>
      <w:r w:rsidRPr="00ED41F2">
        <w:lastRenderedPageBreak/>
        <w:t>Calculated HFC emissions have been flat from 2018 to 2020 at 14,800 kt CO</w:t>
      </w:r>
      <w:r w:rsidRPr="00ED41F2">
        <w:rPr>
          <w:vertAlign w:val="subscript"/>
        </w:rPr>
        <w:t>2</w:t>
      </w:r>
      <w:r w:rsidRPr="00ED41F2">
        <w:t>-e annually. However, this may not indicate a long-term trend because the banks of HFCs in operating equipment are still increasing, particularly in air conditioners. Future emissions will depend on</w:t>
      </w:r>
      <w:r>
        <w:t> </w:t>
      </w:r>
      <w:r w:rsidRPr="00ED41F2">
        <w:t xml:space="preserve">the maintenance and eventual retirement of this equipment. </w:t>
      </w:r>
    </w:p>
    <w:p w14:paraId="482C54FA" w14:textId="77777777" w:rsidR="0099547F" w:rsidRPr="00ED41F2" w:rsidRDefault="0099547F" w:rsidP="0099547F">
      <w:pPr>
        <w:pStyle w:val="Heading3"/>
        <w:spacing w:before="280"/>
      </w:pPr>
      <w:r w:rsidRPr="00ED41F2">
        <w:t>4.7.4</w:t>
      </w:r>
      <w:r w:rsidRPr="00ED41F2">
        <w:tab/>
        <w:t>Source-specific QA/QC and verification</w:t>
      </w:r>
    </w:p>
    <w:p w14:paraId="67C4E73D" w14:textId="77777777" w:rsidR="0099547F" w:rsidRPr="00CF3E69" w:rsidRDefault="0099547F" w:rsidP="00CF3E69">
      <w:pPr>
        <w:pStyle w:val="Heading4"/>
      </w:pPr>
      <w:r w:rsidRPr="00ED41F2">
        <w:t>Refrigeration and air conditioning (2.F.1)</w:t>
      </w:r>
    </w:p>
    <w:p w14:paraId="07E808FF" w14:textId="77777777" w:rsidR="0099547F" w:rsidRPr="00ED41F2" w:rsidRDefault="0099547F" w:rsidP="0099547F">
      <w:pPr>
        <w:pStyle w:val="BodyText"/>
        <w:spacing w:before="100" w:after="100"/>
      </w:pPr>
      <w:r w:rsidRPr="00ED41F2">
        <w:t xml:space="preserve">Use of HFCs in </w:t>
      </w:r>
      <w:r w:rsidRPr="00ED41F2">
        <w:rPr>
          <w:i/>
        </w:rPr>
        <w:t>Refrigeration and air conditioning</w:t>
      </w:r>
      <w:r w:rsidRPr="00ED41F2">
        <w:t xml:space="preserve"> was a key category (level and trend assessment). In the preparation of this inventory, the data on HFCs underwent Tier 1 quality checks. During data collection and calculation, activity data provided by industry were verified against national totals where possible, and unreturned questionnaires and anomalous data were followed up and verified to ensure a complete and accurate record of activity data. </w:t>
      </w:r>
    </w:p>
    <w:p w14:paraId="6BADDF73" w14:textId="77777777" w:rsidR="0099547F" w:rsidRPr="00ED41F2" w:rsidRDefault="0099547F" w:rsidP="0099547F">
      <w:pPr>
        <w:pStyle w:val="BodyText"/>
        <w:spacing w:before="100" w:after="100"/>
      </w:pPr>
      <w:r w:rsidRPr="00ED41F2">
        <w:t xml:space="preserve">For the years up to 2001, the survey data supplied by importers on bulk HFC imports were verified by comparison with import data supplied by Stats NZ. The former Ministry of Economic Development compiled a detailed breakdown of bulk HFCs using these data and information from import licences for a range of mixtures, such as HFCs and HCFCs. This analysis has not been carried out since 2001, due to restricted access to commercially sensitive import data. Consequently, this independent check on the total imports reported by bulk chemical suppliers became unavailable after that year. </w:t>
      </w:r>
    </w:p>
    <w:p w14:paraId="08621D31" w14:textId="77777777" w:rsidR="0099547F" w:rsidRPr="00ED41F2" w:rsidRDefault="0099547F" w:rsidP="0099547F">
      <w:pPr>
        <w:pStyle w:val="BodyText"/>
        <w:spacing w:before="100" w:after="100"/>
      </w:pPr>
      <w:r w:rsidRPr="00ED41F2">
        <w:t xml:space="preserve">Survey data provided by Fisher and Paykel Limited (the largest importer and manufacturer) were used to compare with total import data where possible. In addition, bulk importers now submit NZ ETS returns, which are used to verify survey information on import volumes where possible. </w:t>
      </w:r>
    </w:p>
    <w:p w14:paraId="37068F2F" w14:textId="77777777" w:rsidR="0099547F" w:rsidRPr="00ED41F2" w:rsidRDefault="0099547F" w:rsidP="0099547F">
      <w:pPr>
        <w:pStyle w:val="BodyText"/>
        <w:spacing w:before="100" w:after="100"/>
      </w:pPr>
      <w:r w:rsidRPr="00ED41F2">
        <w:t xml:space="preserve">There are no other key categories. Data underwent Tier 1 quality checks. </w:t>
      </w:r>
    </w:p>
    <w:p w14:paraId="11AFC243" w14:textId="77777777" w:rsidR="0099547F" w:rsidRPr="00ED41F2" w:rsidRDefault="0099547F" w:rsidP="0099547F">
      <w:pPr>
        <w:pStyle w:val="Heading3"/>
        <w:spacing w:before="320"/>
      </w:pPr>
      <w:r w:rsidRPr="00ED41F2">
        <w:t>4.7.5</w:t>
      </w:r>
      <w:r w:rsidRPr="00ED41F2">
        <w:tab/>
        <w:t>Source-specific recalculations</w:t>
      </w:r>
    </w:p>
    <w:p w14:paraId="1EBC430F" w14:textId="77777777" w:rsidR="0099547F" w:rsidRPr="00ED41F2" w:rsidRDefault="0099547F" w:rsidP="0099547F">
      <w:pPr>
        <w:pStyle w:val="BodyText"/>
      </w:pPr>
      <w:r w:rsidRPr="00ED41F2">
        <w:t xml:space="preserve">In the 2021 submission, the method used for ‘emissions in use’ in the </w:t>
      </w:r>
      <w:r w:rsidRPr="00ED41F2">
        <w:rPr>
          <w:i/>
        </w:rPr>
        <w:t>Mobile air conditioning</w:t>
      </w:r>
      <w:r w:rsidRPr="00ED41F2">
        <w:t xml:space="preserve"> sub</w:t>
      </w:r>
      <w:r w:rsidRPr="00ED41F2">
        <w:noBreakHyphen/>
        <w:t xml:space="preserve">application was improved. The model was changed to clearly distinguish emissions due to refrigerant that is replaced in servicing from emissions due to refrigerant that leaks but is not replaced. Minor errors were corrected and the proportion of non-MDI aerosols containing HFCs was recalculated to reflect a decline from 2017. </w:t>
      </w:r>
    </w:p>
    <w:p w14:paraId="37654B33" w14:textId="77777777" w:rsidR="0099547F" w:rsidRPr="00ED41F2" w:rsidRDefault="0099547F" w:rsidP="0099547F">
      <w:pPr>
        <w:pStyle w:val="BodyText"/>
      </w:pPr>
      <w:r w:rsidRPr="00ED41F2">
        <w:t>For this submission, the amounts of R134a and R404A added to the banks for industrial and commercial refrigeration and stationary air conditioning from 2007 to 2016 were re-estimated to better account for changes in stocks held by importers and users. A significant proportion was assigned to stocks rather than additions to the bank. This has meant that emissions for 2018 and 2019 are recalculated down by 361.6 and 252.7 kt CO</w:t>
      </w:r>
      <w:r w:rsidRPr="00ED41F2">
        <w:rPr>
          <w:vertAlign w:val="subscript"/>
        </w:rPr>
        <w:t>2</w:t>
      </w:r>
      <w:r w:rsidRPr="00ED41F2">
        <w:t xml:space="preserve">-e respectively, with smaller changes for some earlier years. </w:t>
      </w:r>
    </w:p>
    <w:p w14:paraId="4402B892" w14:textId="77777777" w:rsidR="0099547F" w:rsidRPr="00ED41F2" w:rsidRDefault="0099547F" w:rsidP="0099547F">
      <w:pPr>
        <w:pStyle w:val="BodyText"/>
        <w:spacing w:before="100" w:after="100"/>
      </w:pPr>
      <w:r w:rsidRPr="00ED41F2">
        <w:t>The impact of these recalculations is to decrease the 2019 emissions by 252.7 kt CO</w:t>
      </w:r>
      <w:r w:rsidRPr="00ED41F2">
        <w:rPr>
          <w:vertAlign w:val="subscript"/>
        </w:rPr>
        <w:t>2</w:t>
      </w:r>
      <w:r w:rsidRPr="00ED41F2">
        <w:t xml:space="preserve">-e. </w:t>
      </w:r>
    </w:p>
    <w:p w14:paraId="376F9919" w14:textId="77777777" w:rsidR="0099547F" w:rsidRPr="00ED41F2" w:rsidRDefault="0099547F" w:rsidP="0099547F">
      <w:pPr>
        <w:pStyle w:val="Heading3"/>
        <w:spacing w:before="320"/>
      </w:pPr>
      <w:r w:rsidRPr="00ED41F2">
        <w:t>4.7.6</w:t>
      </w:r>
      <w:r w:rsidRPr="00ED41F2">
        <w:tab/>
        <w:t>Source-specific planned improvements</w:t>
      </w:r>
    </w:p>
    <w:p w14:paraId="4F5128AD" w14:textId="77777777" w:rsidR="0099547F" w:rsidRPr="00ED41F2" w:rsidRDefault="0099547F" w:rsidP="0099547F">
      <w:pPr>
        <w:pStyle w:val="BodyText"/>
      </w:pPr>
      <w:r w:rsidRPr="00ED41F2">
        <w:t>No specific improvements are planned for this category. There are still some unexplained year</w:t>
      </w:r>
      <w:r w:rsidRPr="00ED41F2">
        <w:noBreakHyphen/>
        <w:t xml:space="preserve">to-year variations in emissions from the </w:t>
      </w:r>
      <w:r w:rsidRPr="00ED41F2">
        <w:rPr>
          <w:i/>
        </w:rPr>
        <w:t xml:space="preserve">Refrigeration and air conditioning </w:t>
      </w:r>
      <w:r w:rsidRPr="00ED41F2">
        <w:t xml:space="preserve">category, which is an indication that further improvements can be made by better accounting for stockpiling of bulk chemical. Future submissions will continue to address this issue. </w:t>
      </w:r>
    </w:p>
    <w:p w14:paraId="77925175" w14:textId="77777777" w:rsidR="0099547F" w:rsidRPr="00ED41F2" w:rsidRDefault="0099547F" w:rsidP="0099547F">
      <w:pPr>
        <w:pStyle w:val="Heading2"/>
      </w:pPr>
      <w:bookmarkStart w:id="543" w:name="_Toc448321519"/>
      <w:bookmarkStart w:id="544" w:name="_Toc5269358"/>
      <w:bookmarkStart w:id="545" w:name="_Toc36224398"/>
      <w:bookmarkStart w:id="546" w:name="_Toc68786318"/>
      <w:bookmarkStart w:id="547" w:name="_Toc99659125"/>
      <w:r w:rsidRPr="00ED41F2">
        <w:lastRenderedPageBreak/>
        <w:t>4.8</w:t>
      </w:r>
      <w:r w:rsidRPr="00ED41F2">
        <w:tab/>
        <w:t>Other product manufacture and use (2.G)</w:t>
      </w:r>
      <w:bookmarkEnd w:id="543"/>
      <w:bookmarkEnd w:id="544"/>
      <w:bookmarkEnd w:id="545"/>
      <w:bookmarkEnd w:id="546"/>
      <w:bookmarkEnd w:id="547"/>
    </w:p>
    <w:p w14:paraId="434BE2D3" w14:textId="77777777" w:rsidR="0099547F" w:rsidRPr="00ED41F2" w:rsidRDefault="0099547F" w:rsidP="00CF3E69">
      <w:pPr>
        <w:pStyle w:val="Heading3"/>
        <w:spacing w:before="240"/>
      </w:pPr>
      <w:r w:rsidRPr="00ED41F2">
        <w:t>4.8.1</w:t>
      </w:r>
      <w:r w:rsidRPr="00ED41F2">
        <w:tab/>
        <w:t>Description</w:t>
      </w:r>
    </w:p>
    <w:p w14:paraId="51499317" w14:textId="77777777" w:rsidR="0099547F" w:rsidRPr="00ED41F2" w:rsidRDefault="0099547F" w:rsidP="0099547F">
      <w:pPr>
        <w:pStyle w:val="BodyText"/>
      </w:pPr>
      <w:r w:rsidRPr="00ED41F2">
        <w:t xml:space="preserve">The </w:t>
      </w:r>
      <w:r w:rsidRPr="00ED41F2">
        <w:rPr>
          <w:i/>
        </w:rPr>
        <w:t>Other product manufacture and use</w:t>
      </w:r>
      <w:r w:rsidRPr="00ED41F2">
        <w:t xml:space="preserve"> category in New Zealand comprises emissions from: </w:t>
      </w:r>
    </w:p>
    <w:p w14:paraId="0E9CBC6A" w14:textId="77777777" w:rsidR="0099547F" w:rsidRPr="00ED41F2" w:rsidRDefault="0099547F" w:rsidP="00F93F5E">
      <w:pPr>
        <w:pStyle w:val="Bullet"/>
      </w:pPr>
      <w:r w:rsidRPr="00ED41F2">
        <w:t>use of SF</w:t>
      </w:r>
      <w:r w:rsidRPr="00ED41F2">
        <w:rPr>
          <w:vertAlign w:val="subscript"/>
        </w:rPr>
        <w:t>6</w:t>
      </w:r>
      <w:r w:rsidRPr="00ED41F2">
        <w:t xml:space="preserve"> as an insulant and arc-extinguishing agent in electrical switchgear </w:t>
      </w:r>
    </w:p>
    <w:p w14:paraId="2DF4E6EE" w14:textId="77777777" w:rsidR="0099547F" w:rsidRPr="00ED41F2" w:rsidRDefault="0099547F" w:rsidP="00F93F5E">
      <w:pPr>
        <w:pStyle w:val="Bullet"/>
      </w:pPr>
      <w:r w:rsidRPr="00ED41F2">
        <w:t>use of SF</w:t>
      </w:r>
      <w:r w:rsidRPr="00ED41F2">
        <w:rPr>
          <w:vertAlign w:val="subscript"/>
        </w:rPr>
        <w:t>6</w:t>
      </w:r>
      <w:r w:rsidRPr="00ED41F2">
        <w:t xml:space="preserve"> in eye surgery </w:t>
      </w:r>
    </w:p>
    <w:p w14:paraId="274C09AF" w14:textId="77777777" w:rsidR="0099547F" w:rsidRPr="00ED41F2" w:rsidRDefault="0099547F" w:rsidP="00F93F5E">
      <w:pPr>
        <w:pStyle w:val="Bullet"/>
      </w:pPr>
      <w:r w:rsidRPr="00ED41F2">
        <w:t>use of PFCs (C</w:t>
      </w:r>
      <w:r w:rsidRPr="00ED41F2">
        <w:rPr>
          <w:vertAlign w:val="subscript"/>
        </w:rPr>
        <w:t>2</w:t>
      </w:r>
      <w:r w:rsidRPr="00ED41F2">
        <w:t>F</w:t>
      </w:r>
      <w:r w:rsidRPr="00ED41F2">
        <w:rPr>
          <w:vertAlign w:val="subscript"/>
        </w:rPr>
        <w:t>6</w:t>
      </w:r>
      <w:r w:rsidRPr="00ED41F2">
        <w:t xml:space="preserve"> and perfluoropropane (C</w:t>
      </w:r>
      <w:r w:rsidRPr="00ED41F2">
        <w:rPr>
          <w:vertAlign w:val="subscript"/>
        </w:rPr>
        <w:t>3</w:t>
      </w:r>
      <w:r w:rsidRPr="00ED41F2">
        <w:t>F</w:t>
      </w:r>
      <w:r w:rsidRPr="00ED41F2">
        <w:rPr>
          <w:vertAlign w:val="subscript"/>
        </w:rPr>
        <w:t>8</w:t>
      </w:r>
      <w:r w:rsidRPr="00ED41F2">
        <w:t xml:space="preserve">)) in eye surgery </w:t>
      </w:r>
    </w:p>
    <w:p w14:paraId="2B1C5485" w14:textId="77777777" w:rsidR="0099547F" w:rsidRPr="00ED41F2" w:rsidRDefault="0099547F" w:rsidP="00F93F5E">
      <w:pPr>
        <w:pStyle w:val="Bullet"/>
      </w:pPr>
      <w:r w:rsidRPr="00ED41F2">
        <w:t>use of SF</w:t>
      </w:r>
      <w:r w:rsidRPr="00ED41F2">
        <w:rPr>
          <w:vertAlign w:val="subscript"/>
        </w:rPr>
        <w:t>6</w:t>
      </w:r>
      <w:r w:rsidRPr="00ED41F2">
        <w:t xml:space="preserve"> as a tracer gas in scientific experiments </w:t>
      </w:r>
    </w:p>
    <w:p w14:paraId="78E332E7" w14:textId="77777777" w:rsidR="0099547F" w:rsidRPr="00ED41F2" w:rsidRDefault="0099547F" w:rsidP="00F93F5E">
      <w:pPr>
        <w:pStyle w:val="Bullet"/>
      </w:pPr>
      <w:r w:rsidRPr="00ED41F2">
        <w:t>possible other uses of SF</w:t>
      </w:r>
      <w:r w:rsidRPr="00ED41F2">
        <w:rPr>
          <w:vertAlign w:val="subscript"/>
        </w:rPr>
        <w:t>6</w:t>
      </w:r>
      <w:r w:rsidRPr="00ED41F2">
        <w:t>, such as in vehicle tyres and industrial equipment</w:t>
      </w:r>
    </w:p>
    <w:p w14:paraId="3F24B7C9" w14:textId="77777777" w:rsidR="0099547F" w:rsidRPr="00ED41F2" w:rsidRDefault="0099547F" w:rsidP="00F93F5E">
      <w:pPr>
        <w:pStyle w:val="Bullet"/>
      </w:pPr>
      <w:r w:rsidRPr="00ED41F2">
        <w:t>medical uses of N</w:t>
      </w:r>
      <w:r w:rsidRPr="00ED41F2">
        <w:rPr>
          <w:vertAlign w:val="subscript"/>
        </w:rPr>
        <w:t>2</w:t>
      </w:r>
      <w:r w:rsidRPr="00ED41F2">
        <w:t xml:space="preserve">O. </w:t>
      </w:r>
    </w:p>
    <w:p w14:paraId="7EAB7B33" w14:textId="77777777" w:rsidR="0099547F" w:rsidRPr="00ED41F2" w:rsidRDefault="0099547F" w:rsidP="0099547F">
      <w:pPr>
        <w:pStyle w:val="BodyText"/>
      </w:pPr>
      <w:r w:rsidRPr="00ED41F2">
        <w:t>There are no emissions of nitrogen trifluoride (NF</w:t>
      </w:r>
      <w:r w:rsidRPr="00ED41F2">
        <w:rPr>
          <w:vertAlign w:val="subscript"/>
        </w:rPr>
        <w:t>3</w:t>
      </w:r>
      <w:r w:rsidRPr="00ED41F2">
        <w:t>) in New Zealand. Small amounts of indirect emissions (NMVOC and SO</w:t>
      </w:r>
      <w:r w:rsidRPr="00ED41F2">
        <w:rPr>
          <w:vertAlign w:val="subscript"/>
        </w:rPr>
        <w:t>2</w:t>
      </w:r>
      <w:r w:rsidRPr="00ED41F2">
        <w:t xml:space="preserve">) are reported from the manufacture of food and drink, pulp and paper, and board products (fibreboard and particleboard). </w:t>
      </w:r>
    </w:p>
    <w:p w14:paraId="13A243EC" w14:textId="77777777" w:rsidR="0099547F" w:rsidRPr="00ED41F2" w:rsidRDefault="0099547F" w:rsidP="0099547F">
      <w:pPr>
        <w:pStyle w:val="BodyText"/>
      </w:pPr>
      <w:r w:rsidRPr="00ED41F2">
        <w:t xml:space="preserve">There are no key categories. </w:t>
      </w:r>
    </w:p>
    <w:p w14:paraId="531479E4" w14:textId="77777777" w:rsidR="0099547F" w:rsidRPr="00ED41F2" w:rsidRDefault="0099547F" w:rsidP="0099547F">
      <w:pPr>
        <w:pStyle w:val="BodyText"/>
      </w:pPr>
      <w:r w:rsidRPr="00ED41F2">
        <w:t>In 2020, net emissions of SF</w:t>
      </w:r>
      <w:r w:rsidRPr="00ED41F2">
        <w:rPr>
          <w:vertAlign w:val="subscript"/>
        </w:rPr>
        <w:t>6</w:t>
      </w:r>
      <w:r w:rsidRPr="00ED41F2">
        <w:t xml:space="preserve"> and N</w:t>
      </w:r>
      <w:r w:rsidRPr="00ED41F2">
        <w:rPr>
          <w:vertAlign w:val="subscript"/>
        </w:rPr>
        <w:t>2</w:t>
      </w:r>
      <w:r w:rsidRPr="00ED41F2">
        <w:t xml:space="preserve">O from the </w:t>
      </w:r>
      <w:r w:rsidRPr="00ED41F2">
        <w:rPr>
          <w:i/>
        </w:rPr>
        <w:t>Other product manufacture and use</w:t>
      </w:r>
      <w:r w:rsidRPr="00ED41F2">
        <w:t xml:space="preserve"> category totalled 90.6 kt CO</w:t>
      </w:r>
      <w:r w:rsidRPr="00ED41F2">
        <w:rPr>
          <w:vertAlign w:val="subscript"/>
        </w:rPr>
        <w:t>2</w:t>
      </w:r>
      <w:r w:rsidRPr="00ED41F2">
        <w:t>-e or 2.0 per cent of emissions from the IPPU sector. This is a decrease of 29.1 kt (24.3 per cent) from the emissions in 1990, driven by a reduction in the importation and use of N</w:t>
      </w:r>
      <w:r w:rsidRPr="00ED41F2">
        <w:rPr>
          <w:vertAlign w:val="subscript"/>
        </w:rPr>
        <w:t>2</w:t>
      </w:r>
      <w:r w:rsidRPr="00ED41F2">
        <w:t xml:space="preserve">O over time. </w:t>
      </w:r>
    </w:p>
    <w:p w14:paraId="539512C4" w14:textId="77777777" w:rsidR="0099547F" w:rsidRPr="00ED41F2" w:rsidRDefault="0099547F" w:rsidP="0099547F">
      <w:pPr>
        <w:pStyle w:val="Heading3"/>
        <w:spacing w:before="320"/>
      </w:pPr>
      <w:r w:rsidRPr="00ED41F2">
        <w:t xml:space="preserve">4.8.2 </w:t>
      </w:r>
      <w:r w:rsidRPr="00ED41F2">
        <w:tab/>
        <w:t>Methodological issues</w:t>
      </w:r>
    </w:p>
    <w:p w14:paraId="18FDDB79" w14:textId="77777777" w:rsidR="0099547F" w:rsidRPr="00ED41F2" w:rsidRDefault="0099547F" w:rsidP="00CF3E69">
      <w:pPr>
        <w:pStyle w:val="Heading4"/>
      </w:pPr>
      <w:r w:rsidRPr="00ED41F2">
        <w:t>Choice of activity data</w:t>
      </w:r>
    </w:p>
    <w:p w14:paraId="5DD96482" w14:textId="77777777" w:rsidR="0099547F" w:rsidRPr="00ED41F2" w:rsidRDefault="0099547F" w:rsidP="0099547F">
      <w:pPr>
        <w:pStyle w:val="BodyText"/>
      </w:pPr>
      <w:r w:rsidRPr="00ED41F2">
        <w:t>Companies importing or using SF</w:t>
      </w:r>
      <w:r w:rsidRPr="00ED41F2">
        <w:rPr>
          <w:vertAlign w:val="subscript"/>
        </w:rPr>
        <w:t>6</w:t>
      </w:r>
      <w:r w:rsidRPr="00ED41F2">
        <w:t xml:space="preserve"> and N</w:t>
      </w:r>
      <w:r w:rsidRPr="00ED41F2">
        <w:rPr>
          <w:vertAlign w:val="subscript"/>
        </w:rPr>
        <w:t>2</w:t>
      </w:r>
      <w:r w:rsidRPr="00ED41F2">
        <w:t>O provided data on their imports and holdings in response to an annual survey. This included all significant electricity companies, equipment manufacturers and industrial electricity users. In addition, companies that use SF</w:t>
      </w:r>
      <w:r w:rsidRPr="00ED41F2">
        <w:rPr>
          <w:vertAlign w:val="subscript"/>
        </w:rPr>
        <w:t>6</w:t>
      </w:r>
      <w:r w:rsidRPr="00ED41F2">
        <w:t xml:space="preserve"> in electrical equipment and have more than 1 tonne of the gas in operating equipment report their holdings and emissions in NZ ETS returns. </w:t>
      </w:r>
    </w:p>
    <w:p w14:paraId="77F1A7DD" w14:textId="77777777" w:rsidR="0099547F" w:rsidRPr="00ED41F2" w:rsidRDefault="0099547F" w:rsidP="0099547F">
      <w:pPr>
        <w:pStyle w:val="Heading5"/>
      </w:pPr>
      <w:r w:rsidRPr="00ED41F2">
        <w:t>Electrical equipment (2.G.1)</w:t>
      </w:r>
    </w:p>
    <w:p w14:paraId="0CC1C4EC" w14:textId="77777777" w:rsidR="0099547F" w:rsidRPr="00ED41F2" w:rsidRDefault="0099547F" w:rsidP="0099547F">
      <w:pPr>
        <w:pStyle w:val="BodyText"/>
      </w:pPr>
      <w:r w:rsidRPr="00ED41F2">
        <w:t>Data on bulk imports of SF</w:t>
      </w:r>
      <w:r w:rsidRPr="00ED41F2">
        <w:rPr>
          <w:vertAlign w:val="subscript"/>
        </w:rPr>
        <w:t>6</w:t>
      </w:r>
      <w:r w:rsidRPr="00ED41F2">
        <w:t xml:space="preserve"> and the charge in installed equipment were supplied by New Zealand’s only manufacturer of relevant electrical equipment (ABB Limited) and by the electricity transmission and generation companies. The transmission and generation companies import SF</w:t>
      </w:r>
      <w:r w:rsidRPr="00ED41F2">
        <w:rPr>
          <w:vertAlign w:val="subscript"/>
        </w:rPr>
        <w:t>6</w:t>
      </w:r>
      <w:r w:rsidRPr="00ED41F2">
        <w:t xml:space="preserve"> for their own use. </w:t>
      </w:r>
    </w:p>
    <w:p w14:paraId="00AC3A20" w14:textId="77777777" w:rsidR="0099547F" w:rsidRPr="00ED41F2" w:rsidRDefault="0099547F" w:rsidP="0099547F">
      <w:pPr>
        <w:pStyle w:val="Heading5"/>
      </w:pPr>
      <w:r w:rsidRPr="00ED41F2">
        <w:t>Sulphur hexafluoride and PFCs from other product use (2.G.2)</w:t>
      </w:r>
    </w:p>
    <w:p w14:paraId="6A3E8D6D" w14:textId="77777777" w:rsidR="0099547F" w:rsidRPr="00ED41F2" w:rsidRDefault="0099547F" w:rsidP="002D0424">
      <w:pPr>
        <w:pStyle w:val="BodyText"/>
      </w:pPr>
      <w:r w:rsidRPr="00ED41F2">
        <w:t>One company (BOC Limited) imported SF</w:t>
      </w:r>
      <w:r w:rsidRPr="00ED41F2">
        <w:rPr>
          <w:vertAlign w:val="subscript"/>
        </w:rPr>
        <w:t>6</w:t>
      </w:r>
      <w:r w:rsidRPr="00ED41F2">
        <w:t xml:space="preserve"> into New Zealand (for uses other than electrical switchgear) until 2012. There is no other known importer, and some users appear to have been using previously imported supplies since that time. The current usage rate is assessed (from earlier importation rates) to be approximately 120 kilograms per year. This is made up of 30 kilograms for medical use, 50 kilograms for scientific use and 40 kilograms for other uses. </w:t>
      </w:r>
    </w:p>
    <w:p w14:paraId="7CC48A74" w14:textId="77777777" w:rsidR="0099547F" w:rsidRPr="00ED41F2" w:rsidRDefault="0099547F" w:rsidP="002D0424">
      <w:pPr>
        <w:pStyle w:val="BodyText"/>
      </w:pPr>
      <w:r w:rsidRPr="00ED41F2">
        <w:lastRenderedPageBreak/>
        <w:t xml:space="preserve">Extremely small </w:t>
      </w:r>
      <w:r w:rsidRPr="00BC1794">
        <w:t>amounts</w:t>
      </w:r>
      <w:r w:rsidRPr="00ED41F2">
        <w:t xml:space="preserve"> of C</w:t>
      </w:r>
      <w:r w:rsidRPr="00ED41F2">
        <w:rPr>
          <w:vertAlign w:val="subscript"/>
        </w:rPr>
        <w:t>2</w:t>
      </w:r>
      <w:r w:rsidRPr="00ED41F2">
        <w:t>F</w:t>
      </w:r>
      <w:r w:rsidRPr="00ED41F2">
        <w:rPr>
          <w:vertAlign w:val="subscript"/>
        </w:rPr>
        <w:t>6</w:t>
      </w:r>
      <w:r w:rsidRPr="00ED41F2">
        <w:t xml:space="preserve"> and C</w:t>
      </w:r>
      <w:r w:rsidRPr="00ED41F2">
        <w:rPr>
          <w:vertAlign w:val="subscript"/>
        </w:rPr>
        <w:t>3</w:t>
      </w:r>
      <w:r w:rsidRPr="00ED41F2">
        <w:t>F</w:t>
      </w:r>
      <w:r w:rsidRPr="00ED41F2">
        <w:rPr>
          <w:vertAlign w:val="subscript"/>
        </w:rPr>
        <w:t>8</w:t>
      </w:r>
      <w:r w:rsidRPr="00ED41F2">
        <w:t xml:space="preserve"> have been imported into New Zealand from 2011, for use in a specialised type of eye surgery. The importer provided information on the amount imported: between 0.1 kilograms and 0.3 kilograms per year. </w:t>
      </w:r>
    </w:p>
    <w:p w14:paraId="1B00731D" w14:textId="77777777" w:rsidR="0099547F" w:rsidRPr="00ED41F2" w:rsidRDefault="0099547F" w:rsidP="002D0424">
      <w:pPr>
        <w:pStyle w:val="BodyText"/>
      </w:pPr>
      <w:r w:rsidRPr="00ED41F2">
        <w:t>Enquiries to importers and the tyre industry have indicated that there is no use of SF</w:t>
      </w:r>
      <w:r w:rsidRPr="00ED41F2">
        <w:rPr>
          <w:vertAlign w:val="subscript"/>
        </w:rPr>
        <w:t>6</w:t>
      </w:r>
      <w:r w:rsidRPr="00ED41F2">
        <w:t xml:space="preserve"> in New</w:t>
      </w:r>
      <w:r>
        <w:t> </w:t>
      </w:r>
      <w:r w:rsidRPr="00ED41F2">
        <w:t xml:space="preserve">Zealand for other applications such as double-glazed windows, tyres and shoes. </w:t>
      </w:r>
    </w:p>
    <w:p w14:paraId="7B4CD375" w14:textId="77777777" w:rsidR="0099547F" w:rsidRPr="00ED41F2" w:rsidRDefault="0099547F" w:rsidP="0099547F">
      <w:pPr>
        <w:pStyle w:val="Heading5"/>
      </w:pPr>
      <w:r w:rsidRPr="00ED41F2">
        <w:t>Nitrous oxide from product uses (2.G.3)</w:t>
      </w:r>
    </w:p>
    <w:p w14:paraId="4D592AFC" w14:textId="77777777" w:rsidR="0099547F" w:rsidRPr="00ED41F2" w:rsidRDefault="0099547F" w:rsidP="0099547F">
      <w:pPr>
        <w:pStyle w:val="BodyText"/>
      </w:pPr>
      <w:r w:rsidRPr="00ED41F2">
        <w:t>Data on the import quantities of N</w:t>
      </w:r>
      <w:r w:rsidRPr="00ED41F2">
        <w:rPr>
          <w:vertAlign w:val="subscript"/>
        </w:rPr>
        <w:t>2</w:t>
      </w:r>
      <w:r w:rsidRPr="00ED41F2">
        <w:t xml:space="preserve">O were available from the New Zealand Customs Service and Stats NZ from 2005, but some of these are considered unreliable due to classification errors by importers. Survey responses from companies </w:t>
      </w:r>
      <w:r w:rsidRPr="00BC1794">
        <w:t>that</w:t>
      </w:r>
      <w:r w:rsidRPr="00ED41F2">
        <w:t xml:space="preserve"> sell N</w:t>
      </w:r>
      <w:r w:rsidRPr="00ED41F2">
        <w:rPr>
          <w:vertAlign w:val="subscript"/>
        </w:rPr>
        <w:t>2</w:t>
      </w:r>
      <w:r w:rsidRPr="00ED41F2">
        <w:t xml:space="preserve">O and import data have been assessed together to estimate the total imports, which vary between 181 tonnes and 205 tonnes per year (Verum Group, </w:t>
      </w:r>
      <w:r w:rsidRPr="00ED41F2">
        <w:rPr>
          <w:rFonts w:eastAsia="+mn-ea"/>
        </w:rPr>
        <w:t>unpublished</w:t>
      </w:r>
      <w:r w:rsidRPr="00ED41F2">
        <w:t xml:space="preserve">). </w:t>
      </w:r>
    </w:p>
    <w:p w14:paraId="70D2EC92" w14:textId="77777777" w:rsidR="0099547F" w:rsidRPr="00ED41F2" w:rsidRDefault="0099547F" w:rsidP="00CF3E69">
      <w:pPr>
        <w:pStyle w:val="Heading4"/>
        <w:rPr>
          <w:bCs/>
          <w:iCs/>
        </w:rPr>
      </w:pPr>
      <w:r w:rsidRPr="00ED41F2">
        <w:t>Choice of methods</w:t>
      </w:r>
    </w:p>
    <w:p w14:paraId="66CA93E0" w14:textId="77777777" w:rsidR="0099547F" w:rsidRPr="00ED41F2" w:rsidRDefault="0099547F" w:rsidP="0099547F">
      <w:pPr>
        <w:pStyle w:val="Heading5"/>
        <w:spacing w:before="120"/>
      </w:pPr>
      <w:r w:rsidRPr="00ED41F2">
        <w:t>Electrical equipment (2.G.1)</w:t>
      </w:r>
    </w:p>
    <w:p w14:paraId="0497D584" w14:textId="77777777" w:rsidR="0099547F" w:rsidRPr="00BC1794" w:rsidRDefault="0099547F" w:rsidP="0099547F">
      <w:pPr>
        <w:pStyle w:val="BodyText"/>
      </w:pPr>
      <w:r w:rsidRPr="00ED41F2">
        <w:t xml:space="preserve">The national grid company, Transpower, and several of </w:t>
      </w:r>
      <w:r w:rsidRPr="00BC1794">
        <w:t xml:space="preserve">the larger electricity generation companies have supplied stocks and usage data that are detailed enough to allow the use of a Tier 3 approach for the years 2003 to 2019. This uses a mass balance calculation for closed pressure equipment and an emission factor calculation for sealed pressure equipment. </w:t>
      </w:r>
    </w:p>
    <w:p w14:paraId="4FE6D3F6" w14:textId="77777777" w:rsidR="0099547F" w:rsidRPr="00BC1794" w:rsidRDefault="0099547F" w:rsidP="0099547F">
      <w:pPr>
        <w:pStyle w:val="BodyText"/>
      </w:pPr>
      <w:r w:rsidRPr="00BC1794">
        <w:t xml:space="preserve">For all data prior to 2003, and for the other distribution companies that do not have ETS reporting obligations and have not provided detailed data, a Tier 1 approach is used. </w:t>
      </w:r>
    </w:p>
    <w:p w14:paraId="655E683F" w14:textId="77777777" w:rsidR="0099547F" w:rsidRPr="00ED41F2" w:rsidRDefault="0099547F" w:rsidP="0099547F">
      <w:pPr>
        <w:pStyle w:val="BodyText"/>
      </w:pPr>
      <w:r w:rsidRPr="00BC1794">
        <w:t>Both approaches account for emissions fr</w:t>
      </w:r>
      <w:r w:rsidRPr="00ED41F2">
        <w:t xml:space="preserve">om the operation and disposal of equipment. </w:t>
      </w:r>
    </w:p>
    <w:p w14:paraId="71D21798" w14:textId="77777777" w:rsidR="0099547F" w:rsidRPr="00ED41F2" w:rsidRDefault="0099547F" w:rsidP="0099547F">
      <w:pPr>
        <w:pStyle w:val="Heading5"/>
      </w:pPr>
      <w:r w:rsidRPr="00ED41F2">
        <w:t xml:space="preserve">Other </w:t>
      </w:r>
    </w:p>
    <w:p w14:paraId="23E012D7" w14:textId="77777777" w:rsidR="0099547F" w:rsidRPr="00ED41F2" w:rsidRDefault="0099547F" w:rsidP="0099547F">
      <w:pPr>
        <w:pStyle w:val="BodyText"/>
      </w:pPr>
      <w:r w:rsidRPr="00ED41F2">
        <w:t xml:space="preserve">Because the quantities are small and the emissions are all considered to be prompt, Tier 1 methods are used for all other emissions in this </w:t>
      </w:r>
      <w:r w:rsidRPr="00BC1794">
        <w:t>category</w:t>
      </w:r>
      <w:r w:rsidRPr="00ED41F2">
        <w:t>. All SF</w:t>
      </w:r>
      <w:r w:rsidRPr="00ED41F2">
        <w:rPr>
          <w:vertAlign w:val="subscript"/>
        </w:rPr>
        <w:t>6</w:t>
      </w:r>
      <w:r w:rsidRPr="00ED41F2">
        <w:t xml:space="preserve"> or N</w:t>
      </w:r>
      <w:r w:rsidRPr="00ED41F2">
        <w:rPr>
          <w:vertAlign w:val="subscript"/>
        </w:rPr>
        <w:t>2</w:t>
      </w:r>
      <w:r w:rsidRPr="00ED41F2">
        <w:t xml:space="preserve">O that is imported is assumed to be sold and emitted. </w:t>
      </w:r>
    </w:p>
    <w:p w14:paraId="663F75E1" w14:textId="77777777" w:rsidR="0099547F" w:rsidRPr="00ED41F2" w:rsidRDefault="0099547F" w:rsidP="00CF3E69">
      <w:pPr>
        <w:pStyle w:val="Heading4"/>
        <w:rPr>
          <w:bCs/>
          <w:iCs/>
        </w:rPr>
      </w:pPr>
      <w:r w:rsidRPr="00ED41F2">
        <w:t>Choice of emission factors</w:t>
      </w:r>
    </w:p>
    <w:p w14:paraId="2B9A2649" w14:textId="77777777" w:rsidR="0099547F" w:rsidRPr="00ED41F2" w:rsidRDefault="0099547F" w:rsidP="0099547F">
      <w:pPr>
        <w:pStyle w:val="Heading5"/>
        <w:spacing w:before="120"/>
      </w:pPr>
      <w:r w:rsidRPr="00ED41F2">
        <w:t>Electrical equipment (2.G.1)</w:t>
      </w:r>
    </w:p>
    <w:p w14:paraId="53BB876D" w14:textId="77777777" w:rsidR="0099547F" w:rsidRPr="00ED41F2" w:rsidRDefault="0099547F" w:rsidP="0099547F">
      <w:pPr>
        <w:pStyle w:val="BodyText"/>
      </w:pPr>
      <w:r w:rsidRPr="00ED41F2">
        <w:t xml:space="preserve">Default loss rates have been used, where required, for sealed pressure equipment and where a Tier 1 method has had to be used. Factors based on Europe have been used, because these are based on a study that distinguished between sealed and closed equipment types (IPCC, 2006a). </w:t>
      </w:r>
    </w:p>
    <w:p w14:paraId="5C473052" w14:textId="77777777" w:rsidR="0099547F" w:rsidRPr="00ED41F2" w:rsidRDefault="0099547F" w:rsidP="0099547F">
      <w:pPr>
        <w:pStyle w:val="BodyText"/>
      </w:pPr>
      <w:r w:rsidRPr="00ED41F2">
        <w:rPr>
          <w:spacing w:val="-2"/>
        </w:rPr>
        <w:t>Improved information from surveys has allowed the use of these two different equipment types</w:t>
      </w:r>
      <w:r w:rsidRPr="00ED41F2">
        <w:t xml:space="preserve"> in New Zealand to be better disaggregated over time, and the choice of emission factors has become progressively more accurate (Verum Group, </w:t>
      </w:r>
      <w:r w:rsidRPr="00ED41F2">
        <w:rPr>
          <w:rFonts w:eastAsia="+mn-ea"/>
        </w:rPr>
        <w:t>unpublished</w:t>
      </w:r>
      <w:r w:rsidRPr="00ED41F2">
        <w:t>). However, this distinction is not always clear and remains a source of uncertainty. Units that are described as sealed can sometimes be topped up with SF</w:t>
      </w:r>
      <w:r w:rsidRPr="00ED41F2">
        <w:rPr>
          <w:vertAlign w:val="subscript"/>
        </w:rPr>
        <w:t>6</w:t>
      </w:r>
      <w:r w:rsidRPr="00ED41F2">
        <w:t xml:space="preserve"> in service. </w:t>
      </w:r>
    </w:p>
    <w:p w14:paraId="32159DD2" w14:textId="77777777" w:rsidR="0099547F" w:rsidRPr="00ED41F2" w:rsidRDefault="0099547F" w:rsidP="0099547F">
      <w:pPr>
        <w:pStyle w:val="BodyText"/>
      </w:pPr>
      <w:r w:rsidRPr="00ED41F2">
        <w:t>Losses on disposal are assessed as 95 per cent if a service agent is not used, and 5 per cent when service agents carry out the disposal and implement good recovery practices. No recovery of SF</w:t>
      </w:r>
      <w:r w:rsidRPr="00ED41F2">
        <w:rPr>
          <w:vertAlign w:val="subscript"/>
        </w:rPr>
        <w:t>6</w:t>
      </w:r>
      <w:r w:rsidRPr="00ED41F2">
        <w:t xml:space="preserve"> was reported before the year 2000. </w:t>
      </w:r>
    </w:p>
    <w:p w14:paraId="02544793" w14:textId="77777777" w:rsidR="0099547F" w:rsidRPr="00ED41F2" w:rsidRDefault="0099547F" w:rsidP="0099547F">
      <w:pPr>
        <w:pStyle w:val="Heading5"/>
      </w:pPr>
      <w:r w:rsidRPr="00ED41F2">
        <w:lastRenderedPageBreak/>
        <w:t xml:space="preserve">Other </w:t>
      </w:r>
    </w:p>
    <w:p w14:paraId="764A9469" w14:textId="77777777" w:rsidR="0099547F" w:rsidRPr="00ED41F2" w:rsidRDefault="0099547F" w:rsidP="0099547F">
      <w:pPr>
        <w:pStyle w:val="BodyText"/>
      </w:pPr>
      <w:r w:rsidRPr="00ED41F2">
        <w:t>Emissions of SF</w:t>
      </w:r>
      <w:r w:rsidRPr="00ED41F2">
        <w:rPr>
          <w:vertAlign w:val="subscript"/>
        </w:rPr>
        <w:t>6</w:t>
      </w:r>
      <w:r w:rsidRPr="00ED41F2">
        <w:t xml:space="preserve"> and other gases for all other applications are assumed to be prompt, and an emission factor of either 50 per cent or 100 per cent is used, as appropriate. </w:t>
      </w:r>
    </w:p>
    <w:p w14:paraId="262C8153" w14:textId="77777777" w:rsidR="0099547F" w:rsidRPr="00ED41F2" w:rsidRDefault="0099547F" w:rsidP="0099547F">
      <w:pPr>
        <w:pStyle w:val="Heading3"/>
      </w:pPr>
      <w:r w:rsidRPr="00ED41F2">
        <w:t xml:space="preserve">4.8.3 </w:t>
      </w:r>
      <w:r w:rsidRPr="00ED41F2">
        <w:tab/>
        <w:t>Uncertainties and time-series consistency</w:t>
      </w:r>
    </w:p>
    <w:p w14:paraId="146A1D67" w14:textId="77777777" w:rsidR="0099547F" w:rsidRPr="00ED41F2" w:rsidRDefault="0099547F" w:rsidP="00CF3E69">
      <w:pPr>
        <w:pStyle w:val="Heading4"/>
        <w:rPr>
          <w:bCs/>
          <w:iCs/>
        </w:rPr>
      </w:pPr>
      <w:r w:rsidRPr="00ED41F2">
        <w:t>Uncertainties</w:t>
      </w:r>
    </w:p>
    <w:p w14:paraId="45F6C080" w14:textId="77777777" w:rsidR="0099547F" w:rsidRPr="00ED41F2" w:rsidRDefault="0099547F" w:rsidP="0099547F">
      <w:pPr>
        <w:pStyle w:val="BodyText"/>
      </w:pPr>
      <w:r w:rsidRPr="00ED41F2">
        <w:t>A mix of expert judgement and IPCC default uncertainties has been used for emissions in this category (see table 4.8.1). IPCC (2006a) recommends the use of expert judgement for sources such as N</w:t>
      </w:r>
      <w:r w:rsidRPr="00ED41F2">
        <w:rPr>
          <w:vertAlign w:val="subscript"/>
        </w:rPr>
        <w:t>2</w:t>
      </w:r>
      <w:r w:rsidRPr="00ED41F2">
        <w:t xml:space="preserve">O from product uses, because the uncertainties vary from country to country. For categories other than </w:t>
      </w:r>
      <w:r w:rsidRPr="00ED41F2">
        <w:rPr>
          <w:i/>
        </w:rPr>
        <w:t>Electrical equipment</w:t>
      </w:r>
      <w:r w:rsidRPr="00ED41F2">
        <w:t xml:space="preserve">, there is no uncertainty in emission factors because emissions are considered to be immediate. </w:t>
      </w:r>
    </w:p>
    <w:p w14:paraId="2643BE4D" w14:textId="77777777" w:rsidR="0099547F" w:rsidRPr="00ED41F2" w:rsidRDefault="0099547F" w:rsidP="0099547F">
      <w:pPr>
        <w:pStyle w:val="Table"/>
      </w:pPr>
      <w:bookmarkStart w:id="548" w:name="_Toc451176079"/>
      <w:bookmarkStart w:id="549" w:name="_Toc5269469"/>
      <w:bookmarkStart w:id="550" w:name="_Toc36224543"/>
      <w:bookmarkStart w:id="551" w:name="_Toc68786429"/>
      <w:bookmarkStart w:id="552" w:name="_Toc99659237"/>
      <w:r w:rsidRPr="00ED41F2">
        <w:t>Table 4.8.1</w:t>
      </w:r>
      <w:r w:rsidRPr="00ED41F2">
        <w:tab/>
        <w:t>Uncertainty in emissions from other product manufacture and use</w:t>
      </w:r>
      <w:bookmarkEnd w:id="548"/>
      <w:bookmarkEnd w:id="549"/>
      <w:bookmarkEnd w:id="550"/>
      <w:bookmarkEnd w:id="551"/>
      <w:bookmarkEnd w:id="552"/>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981"/>
        <w:gridCol w:w="2535"/>
        <w:gridCol w:w="2989"/>
      </w:tblGrid>
      <w:tr w:rsidR="0099547F" w:rsidRPr="00ED41F2" w14:paraId="09752349" w14:textId="77777777" w:rsidTr="007E3239">
        <w:tc>
          <w:tcPr>
            <w:tcW w:w="3002" w:type="dxa"/>
            <w:shd w:val="clear" w:color="auto" w:fill="1B556B"/>
            <w:hideMark/>
          </w:tcPr>
          <w:p w14:paraId="0FE8549C" w14:textId="77777777" w:rsidR="0099547F" w:rsidRPr="00ED41F2" w:rsidRDefault="0099547F" w:rsidP="007E3239">
            <w:pPr>
              <w:pStyle w:val="TableTextBold"/>
              <w:keepNext/>
              <w:rPr>
                <w:noProof w:val="0"/>
                <w:color w:val="FFFFFF"/>
              </w:rPr>
            </w:pPr>
            <w:r w:rsidRPr="00ED41F2">
              <w:rPr>
                <w:noProof w:val="0"/>
                <w:color w:val="FFFFFF"/>
              </w:rPr>
              <w:t>Category</w:t>
            </w:r>
          </w:p>
        </w:tc>
        <w:tc>
          <w:tcPr>
            <w:tcW w:w="2551" w:type="dxa"/>
            <w:shd w:val="clear" w:color="auto" w:fill="1B556B"/>
            <w:hideMark/>
          </w:tcPr>
          <w:p w14:paraId="5F02A6D5" w14:textId="77777777" w:rsidR="0099547F" w:rsidRPr="00ED41F2" w:rsidRDefault="0099547F" w:rsidP="007E3239">
            <w:pPr>
              <w:pStyle w:val="TableTextBold"/>
              <w:keepNext/>
              <w:rPr>
                <w:noProof w:val="0"/>
                <w:color w:val="FFFFFF"/>
              </w:rPr>
            </w:pPr>
            <w:r w:rsidRPr="00ED41F2">
              <w:rPr>
                <w:noProof w:val="0"/>
                <w:color w:val="FFFFFF"/>
              </w:rPr>
              <w:t>Uncertainty in activity data (%)</w:t>
            </w:r>
          </w:p>
        </w:tc>
        <w:tc>
          <w:tcPr>
            <w:tcW w:w="3009" w:type="dxa"/>
            <w:shd w:val="clear" w:color="auto" w:fill="1B556B"/>
            <w:hideMark/>
          </w:tcPr>
          <w:p w14:paraId="03C72222" w14:textId="77777777" w:rsidR="0099547F" w:rsidRPr="00ED41F2" w:rsidRDefault="0099547F" w:rsidP="007E3239">
            <w:pPr>
              <w:pStyle w:val="TableTextBold"/>
              <w:keepNext/>
              <w:rPr>
                <w:noProof w:val="0"/>
                <w:color w:val="FFFFFF"/>
              </w:rPr>
            </w:pPr>
            <w:r w:rsidRPr="00ED41F2">
              <w:rPr>
                <w:noProof w:val="0"/>
                <w:color w:val="FFFFFF"/>
              </w:rPr>
              <w:t>Uncertainty in emission factors (%)</w:t>
            </w:r>
          </w:p>
        </w:tc>
      </w:tr>
      <w:tr w:rsidR="0099547F" w:rsidRPr="00ED41F2" w14:paraId="1E56C22E" w14:textId="77777777" w:rsidTr="007E3239">
        <w:tc>
          <w:tcPr>
            <w:tcW w:w="3002" w:type="dxa"/>
            <w:shd w:val="clear" w:color="auto" w:fill="FFFFFF"/>
            <w:hideMark/>
          </w:tcPr>
          <w:p w14:paraId="6DD74C15" w14:textId="77777777" w:rsidR="0099547F" w:rsidRPr="000D5C71" w:rsidRDefault="0099547F" w:rsidP="000D5C71">
            <w:pPr>
              <w:pStyle w:val="TableText"/>
            </w:pPr>
            <w:r w:rsidRPr="000D5C71">
              <w:t>Electrical equipment</w:t>
            </w:r>
          </w:p>
        </w:tc>
        <w:tc>
          <w:tcPr>
            <w:tcW w:w="2551" w:type="dxa"/>
            <w:shd w:val="clear" w:color="auto" w:fill="FFFFFF"/>
            <w:hideMark/>
          </w:tcPr>
          <w:p w14:paraId="778EB40B" w14:textId="77777777" w:rsidR="0099547F" w:rsidRPr="00ED41F2" w:rsidRDefault="0099547F" w:rsidP="007E3239">
            <w:pPr>
              <w:pStyle w:val="TableText"/>
              <w:keepNext/>
            </w:pPr>
            <w:r w:rsidRPr="00ED41F2">
              <w:t>±20</w:t>
            </w:r>
          </w:p>
        </w:tc>
        <w:tc>
          <w:tcPr>
            <w:tcW w:w="3009" w:type="dxa"/>
            <w:shd w:val="clear" w:color="auto" w:fill="FFFFFF"/>
            <w:hideMark/>
          </w:tcPr>
          <w:p w14:paraId="389DF1EC" w14:textId="77777777" w:rsidR="0099547F" w:rsidRPr="00ED41F2" w:rsidRDefault="0099547F" w:rsidP="007E3239">
            <w:pPr>
              <w:pStyle w:val="TableText"/>
              <w:keepNext/>
            </w:pPr>
            <w:r w:rsidRPr="00ED41F2">
              <w:t xml:space="preserve">±30 </w:t>
            </w:r>
          </w:p>
        </w:tc>
      </w:tr>
      <w:tr w:rsidR="0099547F" w:rsidRPr="00ED41F2" w14:paraId="1E070F71" w14:textId="77777777" w:rsidTr="007E3239">
        <w:tc>
          <w:tcPr>
            <w:tcW w:w="3002" w:type="dxa"/>
            <w:shd w:val="clear" w:color="auto" w:fill="FFFFFF"/>
            <w:hideMark/>
          </w:tcPr>
          <w:p w14:paraId="01641137" w14:textId="77777777" w:rsidR="0099547F" w:rsidRPr="000D5C71" w:rsidRDefault="0099547F" w:rsidP="000D5C71">
            <w:pPr>
              <w:pStyle w:val="TableText"/>
            </w:pPr>
            <w:r w:rsidRPr="000D5C71">
              <w:t>Medical and other product use (SF</w:t>
            </w:r>
            <w:r w:rsidRPr="000D5C71">
              <w:rPr>
                <w:vertAlign w:val="subscript"/>
              </w:rPr>
              <w:t>6</w:t>
            </w:r>
            <w:r w:rsidRPr="000D5C71">
              <w:t>)</w:t>
            </w:r>
          </w:p>
        </w:tc>
        <w:tc>
          <w:tcPr>
            <w:tcW w:w="2551" w:type="dxa"/>
            <w:shd w:val="clear" w:color="auto" w:fill="FFFFFF"/>
            <w:hideMark/>
          </w:tcPr>
          <w:p w14:paraId="76F52ECA" w14:textId="77777777" w:rsidR="0099547F" w:rsidRPr="00ED41F2" w:rsidRDefault="0099547F" w:rsidP="007E3239">
            <w:pPr>
              <w:pStyle w:val="TableText"/>
              <w:keepNext/>
              <w:spacing w:after="0"/>
            </w:pPr>
            <w:r w:rsidRPr="00ED41F2">
              <w:t xml:space="preserve">±80 </w:t>
            </w:r>
          </w:p>
        </w:tc>
        <w:tc>
          <w:tcPr>
            <w:tcW w:w="3009" w:type="dxa"/>
            <w:shd w:val="clear" w:color="auto" w:fill="FFFFFF"/>
            <w:hideMark/>
          </w:tcPr>
          <w:p w14:paraId="3710E3FC" w14:textId="77777777" w:rsidR="0099547F" w:rsidRPr="00ED41F2" w:rsidRDefault="0099547F" w:rsidP="007E3239">
            <w:pPr>
              <w:pStyle w:val="TableText"/>
              <w:keepNext/>
            </w:pPr>
            <w:r w:rsidRPr="00ED41F2">
              <w:t>–</w:t>
            </w:r>
          </w:p>
        </w:tc>
      </w:tr>
      <w:tr w:rsidR="0099547F" w:rsidRPr="00ED41F2" w14:paraId="4DB8422B" w14:textId="77777777" w:rsidTr="007E3239">
        <w:tc>
          <w:tcPr>
            <w:tcW w:w="3002" w:type="dxa"/>
            <w:shd w:val="clear" w:color="auto" w:fill="FFFFFF"/>
            <w:hideMark/>
          </w:tcPr>
          <w:p w14:paraId="0FE8342D" w14:textId="77777777" w:rsidR="0099547F" w:rsidRPr="00ED41F2" w:rsidRDefault="0099547F" w:rsidP="007E3239">
            <w:pPr>
              <w:pStyle w:val="TableText"/>
            </w:pPr>
            <w:r w:rsidRPr="00ED41F2">
              <w:t>Medical and other product use (PFCs)</w:t>
            </w:r>
          </w:p>
        </w:tc>
        <w:tc>
          <w:tcPr>
            <w:tcW w:w="2551" w:type="dxa"/>
            <w:shd w:val="clear" w:color="auto" w:fill="FFFFFF"/>
            <w:hideMark/>
          </w:tcPr>
          <w:p w14:paraId="5A2658D2" w14:textId="77777777" w:rsidR="0099547F" w:rsidRPr="00ED41F2" w:rsidRDefault="0099547F" w:rsidP="007E3239">
            <w:pPr>
              <w:pStyle w:val="TableText"/>
            </w:pPr>
            <w:r w:rsidRPr="00ED41F2">
              <w:t>±80</w:t>
            </w:r>
          </w:p>
        </w:tc>
        <w:tc>
          <w:tcPr>
            <w:tcW w:w="3009" w:type="dxa"/>
            <w:shd w:val="clear" w:color="auto" w:fill="FFFFFF"/>
            <w:hideMark/>
          </w:tcPr>
          <w:p w14:paraId="0C2A4C28" w14:textId="77777777" w:rsidR="0099547F" w:rsidRPr="00ED41F2" w:rsidRDefault="0099547F" w:rsidP="007E3239">
            <w:pPr>
              <w:pStyle w:val="TableText"/>
            </w:pPr>
            <w:r w:rsidRPr="00ED41F2">
              <w:t>–</w:t>
            </w:r>
          </w:p>
        </w:tc>
      </w:tr>
      <w:tr w:rsidR="0099547F" w:rsidRPr="00ED41F2" w14:paraId="1529E008" w14:textId="77777777" w:rsidTr="007E3239">
        <w:tc>
          <w:tcPr>
            <w:tcW w:w="3002" w:type="dxa"/>
            <w:shd w:val="clear" w:color="auto" w:fill="FFFFFF"/>
            <w:hideMark/>
          </w:tcPr>
          <w:p w14:paraId="30CF48D5" w14:textId="77777777" w:rsidR="0099547F" w:rsidRPr="00ED41F2" w:rsidRDefault="0099547F" w:rsidP="007E3239">
            <w:pPr>
              <w:pStyle w:val="TableText"/>
            </w:pPr>
            <w:r w:rsidRPr="00ED41F2">
              <w:t>N</w:t>
            </w:r>
            <w:r w:rsidRPr="00ED41F2">
              <w:rPr>
                <w:vertAlign w:val="subscript"/>
              </w:rPr>
              <w:t>2</w:t>
            </w:r>
            <w:r w:rsidRPr="00ED41F2">
              <w:t>O from other product uses</w:t>
            </w:r>
          </w:p>
        </w:tc>
        <w:tc>
          <w:tcPr>
            <w:tcW w:w="2551" w:type="dxa"/>
            <w:shd w:val="clear" w:color="auto" w:fill="FFFFFF"/>
            <w:hideMark/>
          </w:tcPr>
          <w:p w14:paraId="1B29EBB9" w14:textId="77777777" w:rsidR="0099547F" w:rsidRPr="00ED41F2" w:rsidRDefault="0099547F" w:rsidP="007E3239">
            <w:pPr>
              <w:pStyle w:val="TableText"/>
              <w:spacing w:after="0"/>
            </w:pPr>
            <w:r w:rsidRPr="00ED41F2">
              <w:t>±15</w:t>
            </w:r>
          </w:p>
        </w:tc>
        <w:tc>
          <w:tcPr>
            <w:tcW w:w="3009" w:type="dxa"/>
            <w:shd w:val="clear" w:color="auto" w:fill="FFFFFF"/>
            <w:hideMark/>
          </w:tcPr>
          <w:p w14:paraId="3244D19A" w14:textId="77777777" w:rsidR="0099547F" w:rsidRPr="00ED41F2" w:rsidRDefault="0099547F" w:rsidP="007E3239">
            <w:pPr>
              <w:pStyle w:val="TableText"/>
            </w:pPr>
            <w:r w:rsidRPr="00ED41F2">
              <w:t>–</w:t>
            </w:r>
          </w:p>
        </w:tc>
      </w:tr>
    </w:tbl>
    <w:p w14:paraId="028459A5" w14:textId="77777777" w:rsidR="0099547F" w:rsidRPr="00ED41F2" w:rsidRDefault="0099547F" w:rsidP="000D5C71">
      <w:pPr>
        <w:pStyle w:val="Heading4"/>
        <w:spacing w:before="360"/>
        <w:rPr>
          <w:bCs/>
          <w:iCs/>
        </w:rPr>
      </w:pPr>
      <w:r w:rsidRPr="00ED41F2">
        <w:t>Time-series consistency</w:t>
      </w:r>
    </w:p>
    <w:p w14:paraId="2A6FAE0A" w14:textId="77777777" w:rsidR="0099547F" w:rsidRPr="00ED41F2" w:rsidRDefault="0099547F" w:rsidP="0099547F">
      <w:pPr>
        <w:pStyle w:val="BodyText"/>
        <w:spacing w:before="80"/>
      </w:pPr>
      <w:r w:rsidRPr="00ED41F2">
        <w:t xml:space="preserve">The implied emission factors for the </w:t>
      </w:r>
      <w:r w:rsidRPr="00ED41F2">
        <w:rPr>
          <w:i/>
        </w:rPr>
        <w:t>Electrical equipment</w:t>
      </w:r>
      <w:r w:rsidRPr="00ED41F2">
        <w:t xml:space="preserve"> category have declined, due to improvements both in data quality and in the actual management of SF</w:t>
      </w:r>
      <w:r w:rsidRPr="00ED41F2">
        <w:rPr>
          <w:vertAlign w:val="subscript"/>
        </w:rPr>
        <w:t>6</w:t>
      </w:r>
      <w:r w:rsidRPr="00ED41F2">
        <w:t xml:space="preserve"> utilisation and recovery by Transpower and other users over time. Recovery did not occur before 2000. Imports of SF</w:t>
      </w:r>
      <w:r w:rsidRPr="00ED41F2">
        <w:rPr>
          <w:vertAlign w:val="subscript"/>
        </w:rPr>
        <w:t>6</w:t>
      </w:r>
      <w:r w:rsidRPr="00ED41F2">
        <w:t xml:space="preserve"> and N</w:t>
      </w:r>
      <w:r w:rsidRPr="00ED41F2">
        <w:rPr>
          <w:vertAlign w:val="subscript"/>
        </w:rPr>
        <w:t>2</w:t>
      </w:r>
      <w:r w:rsidRPr="00ED41F2">
        <w:t xml:space="preserve">O for other purposes have varied over time. </w:t>
      </w:r>
    </w:p>
    <w:p w14:paraId="197477B9" w14:textId="77777777" w:rsidR="0099547F" w:rsidRPr="00ED41F2" w:rsidRDefault="0099547F" w:rsidP="0099547F">
      <w:pPr>
        <w:pStyle w:val="Heading3"/>
      </w:pPr>
      <w:r w:rsidRPr="00ED41F2">
        <w:t>4.8.4</w:t>
      </w:r>
      <w:r w:rsidRPr="00ED41F2">
        <w:tab/>
        <w:t>Source-specific QA/QC and verification</w:t>
      </w:r>
    </w:p>
    <w:p w14:paraId="2421C6A1" w14:textId="77777777" w:rsidR="0099547F" w:rsidRPr="00ED41F2" w:rsidRDefault="0099547F" w:rsidP="0099547F">
      <w:pPr>
        <w:pStyle w:val="BodyText"/>
      </w:pPr>
      <w:r w:rsidRPr="00ED41F2">
        <w:rPr>
          <w:i/>
        </w:rPr>
        <w:t xml:space="preserve">Other product manufacture and use </w:t>
      </w:r>
      <w:r w:rsidRPr="00ED41F2">
        <w:t xml:space="preserve">was a non-key category. </w:t>
      </w:r>
    </w:p>
    <w:p w14:paraId="3ECDE0D6" w14:textId="77777777" w:rsidR="0099547F" w:rsidRPr="00ED41F2" w:rsidRDefault="0099547F" w:rsidP="0099547F">
      <w:pPr>
        <w:pStyle w:val="Heading3"/>
      </w:pPr>
      <w:r w:rsidRPr="00ED41F2">
        <w:t>4.8.5</w:t>
      </w:r>
      <w:r w:rsidRPr="00ED41F2">
        <w:tab/>
        <w:t>Source-specific recalculations</w:t>
      </w:r>
    </w:p>
    <w:p w14:paraId="7B373D1E" w14:textId="77777777" w:rsidR="0099547F" w:rsidRPr="00ED41F2" w:rsidRDefault="0099547F" w:rsidP="0099547F">
      <w:pPr>
        <w:pStyle w:val="BodyText"/>
      </w:pPr>
      <w:r w:rsidRPr="00ED41F2">
        <w:t>Minor errors in reported SF</w:t>
      </w:r>
      <w:r w:rsidRPr="00ED41F2">
        <w:rPr>
          <w:vertAlign w:val="subscript"/>
        </w:rPr>
        <w:t>6</w:t>
      </w:r>
      <w:r w:rsidRPr="00ED41F2">
        <w:t xml:space="preserve"> stocks and disposal emissions in the </w:t>
      </w:r>
      <w:r w:rsidRPr="00ED41F2">
        <w:rPr>
          <w:i/>
        </w:rPr>
        <w:t>Electrical equipment</w:t>
      </w:r>
      <w:r w:rsidRPr="00ED41F2">
        <w:t xml:space="preserve"> category have been corrected in this submission, increasing 2019 emissions by 0.2 kt CO</w:t>
      </w:r>
      <w:r w:rsidRPr="00ED41F2">
        <w:rPr>
          <w:vertAlign w:val="subscript"/>
        </w:rPr>
        <w:t>2</w:t>
      </w:r>
      <w:r w:rsidRPr="00ED41F2">
        <w:t xml:space="preserve">-e. </w:t>
      </w:r>
    </w:p>
    <w:p w14:paraId="11309DC4" w14:textId="77777777" w:rsidR="0099547F" w:rsidRPr="00ED41F2" w:rsidRDefault="0099547F" w:rsidP="0099547F">
      <w:pPr>
        <w:pStyle w:val="Heading3"/>
      </w:pPr>
      <w:r w:rsidRPr="00ED41F2">
        <w:t>4.8.6</w:t>
      </w:r>
      <w:r w:rsidRPr="00ED41F2">
        <w:tab/>
        <w:t>Source-specific planned improvements</w:t>
      </w:r>
    </w:p>
    <w:p w14:paraId="1121110B" w14:textId="77777777" w:rsidR="0099547F" w:rsidRPr="00ED41F2" w:rsidRDefault="0099547F" w:rsidP="0099547F">
      <w:pPr>
        <w:pStyle w:val="BodyText"/>
      </w:pPr>
      <w:r w:rsidRPr="00ED41F2">
        <w:t xml:space="preserve">For the </w:t>
      </w:r>
      <w:r w:rsidRPr="00ED41F2">
        <w:rPr>
          <w:i/>
        </w:rPr>
        <w:t>Electrical equipment</w:t>
      </w:r>
      <w:r w:rsidRPr="00ED41F2">
        <w:t xml:space="preserve"> category, it is expected that further improved activity data and more detailed reporting on stocks of SF</w:t>
      </w:r>
      <w:r w:rsidRPr="00ED41F2">
        <w:rPr>
          <w:vertAlign w:val="subscript"/>
        </w:rPr>
        <w:t>6</w:t>
      </w:r>
      <w:r w:rsidRPr="00ED41F2">
        <w:t xml:space="preserve"> will become available over time from NZ ETS reporting and from surveys, as SF</w:t>
      </w:r>
      <w:r w:rsidRPr="00ED41F2">
        <w:rPr>
          <w:vertAlign w:val="subscript"/>
        </w:rPr>
        <w:t>6</w:t>
      </w:r>
      <w:r w:rsidRPr="00ED41F2">
        <w:t xml:space="preserve"> handling practices in the industry improve. Better information should enable the consistent use of Tier 2 or Tier 3 methods for this category in future submissions. </w:t>
      </w:r>
    </w:p>
    <w:p w14:paraId="3C97863F" w14:textId="77777777" w:rsidR="0099547F" w:rsidRPr="00ED41F2" w:rsidRDefault="0099547F" w:rsidP="0099547F">
      <w:pPr>
        <w:pStyle w:val="Heading2"/>
        <w:pageBreakBefore/>
        <w:spacing w:before="0" w:after="360"/>
      </w:pPr>
      <w:bookmarkStart w:id="553" w:name="_Toc448321520"/>
      <w:bookmarkStart w:id="554" w:name="_Toc5269359"/>
      <w:bookmarkStart w:id="555" w:name="_Toc36224399"/>
      <w:bookmarkStart w:id="556" w:name="_Toc68786319"/>
      <w:bookmarkStart w:id="557" w:name="_Toc99659126"/>
      <w:r w:rsidRPr="00ED41F2">
        <w:lastRenderedPageBreak/>
        <w:t>Chapter 4: References</w:t>
      </w:r>
      <w:bookmarkEnd w:id="553"/>
      <w:bookmarkEnd w:id="554"/>
      <w:bookmarkEnd w:id="555"/>
      <w:bookmarkEnd w:id="556"/>
      <w:bookmarkEnd w:id="557"/>
    </w:p>
    <w:p w14:paraId="1C060205" w14:textId="77777777" w:rsidR="0099547F" w:rsidRPr="00ED41F2" w:rsidRDefault="0099547F" w:rsidP="0099547F">
      <w:pPr>
        <w:pStyle w:val="References"/>
      </w:pPr>
      <w:r w:rsidRPr="00ED41F2">
        <w:t xml:space="preserve">Cement and Concrete Association of New Zealand. 1995. The state of the standards. </w:t>
      </w:r>
      <w:r w:rsidRPr="00ED41F2">
        <w:rPr>
          <w:i/>
        </w:rPr>
        <w:t xml:space="preserve">New Zealand Concrete Construction </w:t>
      </w:r>
      <w:r w:rsidRPr="00ED41F2">
        <w:t xml:space="preserve">October/November. p 40. </w:t>
      </w:r>
    </w:p>
    <w:p w14:paraId="2D883935" w14:textId="77777777" w:rsidR="0099547F" w:rsidRPr="00ED41F2" w:rsidRDefault="0099547F" w:rsidP="0099547F">
      <w:pPr>
        <w:pStyle w:val="References"/>
      </w:pPr>
      <w:r w:rsidRPr="00ED41F2">
        <w:t xml:space="preserve">Christie T, Thompson B, Brathwaite B. 1999. </w:t>
      </w:r>
      <w:r w:rsidRPr="00ED41F2">
        <w:rPr>
          <w:i/>
        </w:rPr>
        <w:t>Mineral Commodity Report 20 – Clays</w:t>
      </w:r>
      <w:r w:rsidRPr="00ED41F2">
        <w:t>.</w:t>
      </w:r>
      <w:r w:rsidRPr="00ED41F2">
        <w:rPr>
          <w:i/>
        </w:rPr>
        <w:t xml:space="preserve"> </w:t>
      </w:r>
      <w:r w:rsidRPr="00ED41F2">
        <w:t xml:space="preserve">Wellington: Institute of Geological and Nuclear Sciences. </w:t>
      </w:r>
    </w:p>
    <w:p w14:paraId="5E07735B" w14:textId="77777777" w:rsidR="0099547F" w:rsidRPr="00ED41F2" w:rsidRDefault="0099547F" w:rsidP="0099547F">
      <w:pPr>
        <w:pStyle w:val="References"/>
      </w:pPr>
      <w:r w:rsidRPr="00ED41F2">
        <w:t>CRL Energy Ltd. Unpublished(a). Hennessy W, Maxwell D. Inventory of HFC, PFC and SF</w:t>
      </w:r>
      <w:r w:rsidRPr="00ED41F2">
        <w:rPr>
          <w:vertAlign w:val="subscript"/>
        </w:rPr>
        <w:t>6</w:t>
      </w:r>
      <w:r w:rsidRPr="00ED41F2">
        <w:t xml:space="preserve"> Emissions for New Zealand 2004–2005. A report by CRL Energy Ltd to the Ministry for the Environment in 2006.</w:t>
      </w:r>
    </w:p>
    <w:p w14:paraId="5EE14060" w14:textId="77777777" w:rsidR="0099547F" w:rsidRPr="00ED41F2" w:rsidRDefault="0099547F" w:rsidP="0099547F">
      <w:pPr>
        <w:pStyle w:val="References"/>
      </w:pPr>
      <w:r w:rsidRPr="00ED41F2">
        <w:t>CRL Energy Ltd. Unpublished(b). Hennessy W, Maxwell D. Inventory of Non-CO</w:t>
      </w:r>
      <w:r w:rsidRPr="00ED41F2">
        <w:rPr>
          <w:vertAlign w:val="subscript"/>
        </w:rPr>
        <w:t>2</w:t>
      </w:r>
      <w:r w:rsidRPr="00ED41F2">
        <w:t xml:space="preserve"> Greenhouse Gas Emissions from Industrial Sources and Solvents for New Zealand 2004–2005. A report by CRL Energy Ltd to the Ministry for the Environment in 2006.</w:t>
      </w:r>
    </w:p>
    <w:p w14:paraId="026F864F" w14:textId="77777777" w:rsidR="0099547F" w:rsidRPr="00ED41F2" w:rsidRDefault="0099547F" w:rsidP="0099547F">
      <w:pPr>
        <w:pStyle w:val="References"/>
      </w:pPr>
      <w:r w:rsidRPr="00ED41F2">
        <w:t xml:space="preserve">International Aluminium Institute. 2006. </w:t>
      </w:r>
      <w:r w:rsidRPr="00ED41F2">
        <w:rPr>
          <w:i/>
        </w:rPr>
        <w:t>The Aluminium Sector Greenhouse Gas Protocol</w:t>
      </w:r>
      <w:r w:rsidRPr="00ED41F2">
        <w:t xml:space="preserve">. London: International Aluminium Institute. </w:t>
      </w:r>
    </w:p>
    <w:p w14:paraId="0B80399A" w14:textId="77777777" w:rsidR="0099547F" w:rsidRPr="00ED41F2" w:rsidRDefault="0099547F" w:rsidP="0099547F">
      <w:pPr>
        <w:pStyle w:val="References"/>
      </w:pPr>
      <w:r w:rsidRPr="00ED41F2">
        <w:t xml:space="preserve">IPCC. 2006a. Eggleston HS, Buendia L, Miwa K, Ngara T, Tanabe K (eds). </w:t>
      </w:r>
      <w:r w:rsidRPr="00ED41F2">
        <w:rPr>
          <w:i/>
        </w:rPr>
        <w:t>2006 IPCC</w:t>
      </w:r>
      <w:r w:rsidRPr="00ED41F2">
        <w:t xml:space="preserve"> </w:t>
      </w:r>
      <w:r w:rsidRPr="00ED41F2">
        <w:rPr>
          <w:i/>
        </w:rPr>
        <w:t>Guidelines for National Greenhouse Gas Inventories. Volume 3. Industrial Processes and Product Use</w:t>
      </w:r>
      <w:r w:rsidRPr="00ED41F2">
        <w:t>. IPCC National Greenhouse Gas Inventories Programme. Japan: Institute for Global Environmental Strategies for IPCC.</w:t>
      </w:r>
    </w:p>
    <w:p w14:paraId="512E8590" w14:textId="77777777" w:rsidR="0099547F" w:rsidRPr="00ED41F2" w:rsidRDefault="0099547F" w:rsidP="0099547F">
      <w:pPr>
        <w:pStyle w:val="References"/>
      </w:pPr>
      <w:r w:rsidRPr="00ED41F2">
        <w:t xml:space="preserve">IPCC. 2006b. Eggleston HS, Buendia L, Miwa K, Ngara T, Tanabe K (eds). </w:t>
      </w:r>
      <w:r w:rsidRPr="00ED41F2">
        <w:rPr>
          <w:i/>
          <w:iCs/>
        </w:rPr>
        <w:t>2006 IPCC Guidelines for National Greenhouse Gas Inventories. Volume 2. Energy</w:t>
      </w:r>
      <w:r w:rsidRPr="00ED41F2">
        <w:t>. IPCC National Greenhouse Gas Inventories Programme. Japan: Institute for Global Environmental Strategies for IPCC.</w:t>
      </w:r>
    </w:p>
    <w:p w14:paraId="00C6D420" w14:textId="77777777" w:rsidR="0099547F" w:rsidRPr="00ED41F2" w:rsidRDefault="0099547F" w:rsidP="0099547F">
      <w:pPr>
        <w:pStyle w:val="References"/>
      </w:pPr>
      <w:r w:rsidRPr="00ED41F2">
        <w:t xml:space="preserve">Ure CR. 2000. </w:t>
      </w:r>
      <w:r w:rsidRPr="00ED41F2">
        <w:rPr>
          <w:i/>
        </w:rPr>
        <w:t>Alternative Iron-making at BHP New Zealand Steel.</w:t>
      </w:r>
      <w:r w:rsidRPr="00ED41F2">
        <w:t xml:space="preserve"> In: 58th Electric Furnace Conference and 17th Process Technology Conference Proceedings. Orlando, FL: Iron and Steel Society. 12–15 November 2000. pp 535–546.</w:t>
      </w:r>
    </w:p>
    <w:p w14:paraId="66C48C9D" w14:textId="77777777" w:rsidR="0099547F" w:rsidRPr="00ED41F2" w:rsidRDefault="0099547F" w:rsidP="0099547F">
      <w:pPr>
        <w:pStyle w:val="References"/>
        <w:ind w:right="141"/>
      </w:pPr>
      <w:r w:rsidRPr="00ED41F2">
        <w:t>Verum Group Ltd. Unpublished. Hennessy W. Inventory of HFC, SF</w:t>
      </w:r>
      <w:r w:rsidRPr="00ED41F2">
        <w:rPr>
          <w:vertAlign w:val="subscript"/>
        </w:rPr>
        <w:t>6</w:t>
      </w:r>
      <w:r w:rsidRPr="00ED41F2">
        <w:t xml:space="preserve"> and Other Industrial Process Emissions for New Zealand 2020. A report by Verum Group Ltd to the Ministry for the Environment in 2021.</w:t>
      </w:r>
    </w:p>
    <w:p w14:paraId="1D535DB2" w14:textId="77777777" w:rsidR="0099547F" w:rsidRPr="00ED41F2" w:rsidRDefault="0099547F" w:rsidP="0099547F">
      <w:pPr>
        <w:pStyle w:val="References"/>
      </w:pPr>
      <w:r w:rsidRPr="00ED41F2">
        <w:t xml:space="preserve">World Business Council for Sustainable Development. 2005. </w:t>
      </w:r>
      <w:r w:rsidRPr="00ED41F2">
        <w:rPr>
          <w:i/>
        </w:rPr>
        <w:t>The Cement CO</w:t>
      </w:r>
      <w:r w:rsidRPr="00ED41F2">
        <w:rPr>
          <w:i/>
          <w:vertAlign w:val="subscript"/>
        </w:rPr>
        <w:t>2</w:t>
      </w:r>
      <w:r w:rsidRPr="00ED41F2">
        <w:rPr>
          <w:i/>
        </w:rPr>
        <w:t xml:space="preserve"> Protocol: CO</w:t>
      </w:r>
      <w:r w:rsidRPr="00ED41F2">
        <w:rPr>
          <w:i/>
          <w:vertAlign w:val="subscript"/>
        </w:rPr>
        <w:t>2</w:t>
      </w:r>
      <w:r w:rsidRPr="00ED41F2">
        <w:rPr>
          <w:i/>
        </w:rPr>
        <w:t xml:space="preserve"> Accounting and Reporting Standard for the Cement Industry</w:t>
      </w:r>
      <w:r w:rsidRPr="00ED41F2">
        <w:t xml:space="preserve">. Switzerland: World Business Council for Sustainable Development. </w:t>
      </w:r>
    </w:p>
    <w:p w14:paraId="223E41DE" w14:textId="77777777" w:rsidR="0099547F" w:rsidRPr="00ED41F2" w:rsidRDefault="0099547F" w:rsidP="0099547F"/>
    <w:p w14:paraId="7E35E26F" w14:textId="77777777" w:rsidR="00BB1CB5" w:rsidRDefault="00BB1CB5" w:rsidP="0087314B">
      <w:pPr>
        <w:sectPr w:rsidR="00BB1CB5" w:rsidSect="00A746A1">
          <w:footerReference w:type="even" r:id="rId94"/>
          <w:pgSz w:w="11907" w:h="16840" w:code="9"/>
          <w:pgMar w:top="1418" w:right="1701" w:bottom="1418" w:left="1701" w:header="567" w:footer="567" w:gutter="0"/>
          <w:cols w:space="720"/>
        </w:sectPr>
      </w:pPr>
    </w:p>
    <w:p w14:paraId="0EA6EE2C" w14:textId="77777777" w:rsidR="004543E0" w:rsidRPr="009660EC" w:rsidRDefault="004543E0" w:rsidP="004543E0">
      <w:pPr>
        <w:pStyle w:val="Heading1"/>
      </w:pPr>
      <w:bookmarkStart w:id="558" w:name="_Toc36224400"/>
      <w:bookmarkStart w:id="559" w:name="_Toc68786320"/>
      <w:bookmarkStart w:id="560" w:name="_Toc99659127"/>
      <w:r w:rsidRPr="009660EC">
        <w:lastRenderedPageBreak/>
        <w:t>Chapter 5: Agriculture</w:t>
      </w:r>
      <w:bookmarkEnd w:id="558"/>
      <w:bookmarkEnd w:id="559"/>
      <w:bookmarkEnd w:id="560"/>
    </w:p>
    <w:p w14:paraId="350BB59F" w14:textId="77777777" w:rsidR="004543E0" w:rsidRPr="009660EC" w:rsidRDefault="004543E0" w:rsidP="001C0B1A">
      <w:pPr>
        <w:pStyle w:val="Heading2"/>
        <w:spacing w:before="240"/>
      </w:pPr>
      <w:bookmarkStart w:id="561" w:name="_Toc481751384"/>
      <w:bookmarkStart w:id="562" w:name="_Toc511116599"/>
      <w:bookmarkStart w:id="563" w:name="_Toc5269361"/>
      <w:bookmarkStart w:id="564" w:name="_Toc32570642"/>
      <w:bookmarkStart w:id="565" w:name="_Toc36224401"/>
      <w:bookmarkStart w:id="566" w:name="_Toc68786321"/>
      <w:bookmarkStart w:id="567" w:name="_Toc99659128"/>
      <w:r w:rsidRPr="009660EC">
        <w:t xml:space="preserve">5.1 </w:t>
      </w:r>
      <w:r w:rsidRPr="009660EC">
        <w:tab/>
        <w:t>Sector overview</w:t>
      </w:r>
      <w:bookmarkEnd w:id="561"/>
      <w:bookmarkEnd w:id="562"/>
      <w:bookmarkEnd w:id="563"/>
      <w:bookmarkEnd w:id="564"/>
      <w:bookmarkEnd w:id="565"/>
      <w:bookmarkEnd w:id="566"/>
      <w:bookmarkEnd w:id="567"/>
    </w:p>
    <w:p w14:paraId="1D4371FA" w14:textId="77777777" w:rsidR="004543E0" w:rsidRPr="009660EC" w:rsidRDefault="004543E0" w:rsidP="004543E0">
      <w:pPr>
        <w:pStyle w:val="Heading4"/>
        <w:spacing w:before="200"/>
      </w:pPr>
      <w:r w:rsidRPr="009660EC">
        <w:t xml:space="preserve">Emissions summary </w:t>
      </w:r>
    </w:p>
    <w:p w14:paraId="3F7835CC" w14:textId="77777777" w:rsidR="004543E0" w:rsidRPr="009660EC" w:rsidRDefault="004543E0" w:rsidP="004543E0">
      <w:pPr>
        <w:pStyle w:val="Heading5"/>
        <w:spacing w:before="200"/>
      </w:pPr>
      <w:r w:rsidRPr="009660EC">
        <w:t>2020</w:t>
      </w:r>
    </w:p>
    <w:p w14:paraId="01B4B2DF" w14:textId="77777777" w:rsidR="004543E0" w:rsidRPr="009660EC" w:rsidRDefault="004543E0" w:rsidP="004543E0">
      <w:pPr>
        <w:pStyle w:val="BodyText"/>
        <w:spacing w:before="100" w:after="100"/>
      </w:pPr>
      <w:r w:rsidRPr="009660EC">
        <w:t>In 2020, emissions from the Agriculture sector totalled 39,425.5 kilotonnes carbon dioxide equivalent (kt CO</w:t>
      </w:r>
      <w:r w:rsidRPr="009660EC">
        <w:rPr>
          <w:vertAlign w:val="subscript"/>
        </w:rPr>
        <w:t>2</w:t>
      </w:r>
      <w:r w:rsidRPr="009660EC">
        <w:t>-e), representing 50.0 per cent of New Zealand’s gross emissions in 2020.</w:t>
      </w:r>
    </w:p>
    <w:p w14:paraId="0C3ECDBC" w14:textId="77777777" w:rsidR="004543E0" w:rsidRPr="009660EC" w:rsidRDefault="004543E0" w:rsidP="004543E0">
      <w:pPr>
        <w:pStyle w:val="BodyText"/>
        <w:spacing w:before="100" w:after="100"/>
      </w:pPr>
      <w:r w:rsidRPr="009660EC">
        <w:rPr>
          <w:i/>
          <w:iCs/>
        </w:rPr>
        <w:t>Enteric fermentation</w:t>
      </w:r>
      <w:r w:rsidRPr="009660EC">
        <w:t xml:space="preserve"> was the main source of agriculture emissions, contributing 73.1 per cent (28,831.5 kt CO</w:t>
      </w:r>
      <w:r w:rsidRPr="009660EC">
        <w:rPr>
          <w:vertAlign w:val="subscript"/>
        </w:rPr>
        <w:t>2</w:t>
      </w:r>
      <w:r w:rsidRPr="009660EC">
        <w:t xml:space="preserve">-e) of the sector’s emissions. </w:t>
      </w:r>
      <w:r w:rsidRPr="009660EC">
        <w:rPr>
          <w:i/>
          <w:iCs/>
        </w:rPr>
        <w:t xml:space="preserve">Agricultural soils </w:t>
      </w:r>
      <w:r w:rsidRPr="009660EC">
        <w:t xml:space="preserve">(20.0 per cent) was the second largest source followed by </w:t>
      </w:r>
      <w:r w:rsidRPr="009660EC">
        <w:rPr>
          <w:i/>
          <w:iCs/>
        </w:rPr>
        <w:t xml:space="preserve">Manure management </w:t>
      </w:r>
      <w:r w:rsidRPr="009660EC">
        <w:t xml:space="preserve">(4.4 per cent). </w:t>
      </w:r>
      <w:r w:rsidRPr="009660EC">
        <w:rPr>
          <w:i/>
          <w:iCs/>
        </w:rPr>
        <w:t xml:space="preserve">Urea application </w:t>
      </w:r>
      <w:r w:rsidRPr="009660EC">
        <w:t xml:space="preserve">and </w:t>
      </w:r>
      <w:r w:rsidRPr="009660EC">
        <w:rPr>
          <w:i/>
          <w:iCs/>
        </w:rPr>
        <w:t>Liming</w:t>
      </w:r>
      <w:r w:rsidRPr="009660EC">
        <w:t xml:space="preserve"> contributed 1.4 per cent and 1.0 per cent respectively. </w:t>
      </w:r>
      <w:r w:rsidRPr="009660EC">
        <w:rPr>
          <w:i/>
          <w:iCs/>
        </w:rPr>
        <w:t>Field burning of agricultural residues</w:t>
      </w:r>
      <w:r w:rsidRPr="009660EC">
        <w:t xml:space="preserve"> contributed the remaining 0.1 per cent.</w:t>
      </w:r>
    </w:p>
    <w:p w14:paraId="60676C08" w14:textId="77777777" w:rsidR="004543E0" w:rsidRPr="009660EC" w:rsidRDefault="004543E0" w:rsidP="004543E0">
      <w:pPr>
        <w:pStyle w:val="BodyText"/>
        <w:spacing w:before="100" w:after="100"/>
      </w:pPr>
      <w:r w:rsidRPr="009660EC">
        <w:t>Methane (CH</w:t>
      </w:r>
      <w:r w:rsidRPr="009660EC">
        <w:rPr>
          <w:vertAlign w:val="subscript"/>
        </w:rPr>
        <w:t>4</w:t>
      </w:r>
      <w:r w:rsidRPr="009660EC">
        <w:t xml:space="preserve">) emissions from </w:t>
      </w:r>
      <w:r w:rsidRPr="009660EC">
        <w:rPr>
          <w:i/>
          <w:iCs/>
        </w:rPr>
        <w:t>Enteric fermentation</w:t>
      </w:r>
      <w:r w:rsidRPr="009660EC">
        <w:t xml:space="preserve"> were 36.6 per cent of New Zealand’s gross emissions, and nitrous oxide (N</w:t>
      </w:r>
      <w:r w:rsidRPr="009660EC">
        <w:rPr>
          <w:vertAlign w:val="subscript"/>
        </w:rPr>
        <w:t>2</w:t>
      </w:r>
      <w:r w:rsidRPr="009660EC">
        <w:t xml:space="preserve">O) emissions from the </w:t>
      </w:r>
      <w:r w:rsidRPr="009660EC">
        <w:rPr>
          <w:i/>
          <w:iCs/>
        </w:rPr>
        <w:t>Agricultural soils</w:t>
      </w:r>
      <w:r w:rsidRPr="009660EC">
        <w:t xml:space="preserve"> category were 10.0 per cent of New Zealand’s gross emissions.</w:t>
      </w:r>
    </w:p>
    <w:p w14:paraId="7AA84B5B" w14:textId="77777777" w:rsidR="004543E0" w:rsidRPr="009660EC" w:rsidRDefault="004543E0" w:rsidP="004543E0">
      <w:pPr>
        <w:pStyle w:val="BodyText"/>
        <w:spacing w:before="100" w:after="100"/>
      </w:pPr>
      <w:r w:rsidRPr="009660EC">
        <w:t>New Zealand reports emissions from Tokelau, which is a dependent territory of New Zealand. These are reported for all activities in annex 7 of the National Inventory Report and within the ‘Other’ sector in the common reporting format (CRF) tables. Therefore, all emissions reported in this sector are from New Zealand excluding Tokelau. Please refer to chapter 8 and annex 7 for details of methods applied and emissions for Tokelau.</w:t>
      </w:r>
    </w:p>
    <w:p w14:paraId="255FD886" w14:textId="77777777" w:rsidR="004543E0" w:rsidRPr="009660EC" w:rsidRDefault="004543E0" w:rsidP="004543E0">
      <w:pPr>
        <w:pStyle w:val="Heading5"/>
        <w:spacing w:before="200"/>
      </w:pPr>
      <w:r w:rsidRPr="009660EC">
        <w:t>1990–2020</w:t>
      </w:r>
    </w:p>
    <w:p w14:paraId="690246E6" w14:textId="77777777" w:rsidR="004543E0" w:rsidRPr="009660EC" w:rsidRDefault="004543E0" w:rsidP="004543E0">
      <w:pPr>
        <w:pStyle w:val="BodyText"/>
      </w:pPr>
      <w:r w:rsidRPr="009660EC">
        <w:t xml:space="preserve">In 2020, New Zealand’s Agriculture sector emissions were 16.7 per cent (5,632.7 kt </w:t>
      </w:r>
      <w:r w:rsidRPr="009660EC">
        <w:rPr>
          <w:spacing w:val="-2"/>
        </w:rPr>
        <w:t>CO</w:t>
      </w:r>
      <w:r w:rsidRPr="009660EC">
        <w:rPr>
          <w:spacing w:val="-2"/>
          <w:vertAlign w:val="subscript"/>
        </w:rPr>
        <w:t>2</w:t>
      </w:r>
      <w:r w:rsidRPr="009660EC">
        <w:rPr>
          <w:spacing w:val="-2"/>
        </w:rPr>
        <w:t>-e</w:t>
      </w:r>
      <w:r w:rsidRPr="009660EC">
        <w:t xml:space="preserve">) above the 1990 level (33,792.9 kt </w:t>
      </w:r>
      <w:r w:rsidRPr="009660EC">
        <w:rPr>
          <w:spacing w:val="-2"/>
        </w:rPr>
        <w:t>CO</w:t>
      </w:r>
      <w:r w:rsidRPr="009660EC">
        <w:rPr>
          <w:spacing w:val="-2"/>
          <w:vertAlign w:val="subscript"/>
        </w:rPr>
        <w:t>2</w:t>
      </w:r>
      <w:r w:rsidRPr="009660EC">
        <w:rPr>
          <w:spacing w:val="-2"/>
        </w:rPr>
        <w:t>-e</w:t>
      </w:r>
      <w:r w:rsidRPr="009660EC">
        <w:t>) (table 5.1.1).</w:t>
      </w:r>
    </w:p>
    <w:p w14:paraId="1766C491" w14:textId="77777777" w:rsidR="004543E0" w:rsidRPr="009660EC" w:rsidRDefault="004543E0" w:rsidP="004543E0">
      <w:pPr>
        <w:pStyle w:val="Table"/>
        <w:rPr>
          <w:rFonts w:cs="Calibri"/>
        </w:rPr>
      </w:pPr>
      <w:bookmarkStart w:id="568" w:name="_Toc32570909"/>
      <w:bookmarkStart w:id="569" w:name="_Toc36224544"/>
      <w:bookmarkStart w:id="570" w:name="_Toc68786430"/>
      <w:bookmarkStart w:id="571" w:name="_Toc95574065"/>
      <w:bookmarkStart w:id="572" w:name="_Toc99659238"/>
      <w:r w:rsidRPr="009660EC">
        <w:rPr>
          <w:rFonts w:cs="Calibri"/>
        </w:rPr>
        <w:t xml:space="preserve">Table 5.1.1 </w:t>
      </w:r>
      <w:r w:rsidRPr="009660EC">
        <w:rPr>
          <w:rFonts w:cs="Calibri"/>
        </w:rPr>
        <w:tab/>
        <w:t>Trends and relative contribution of New Zealand’s agricultural greenhouse gas emissions by category between 1990 and </w:t>
      </w:r>
      <w:bookmarkEnd w:id="568"/>
      <w:bookmarkEnd w:id="569"/>
      <w:bookmarkEnd w:id="570"/>
      <w:r w:rsidRPr="009660EC">
        <w:rPr>
          <w:rFonts w:cs="Calibri"/>
        </w:rPr>
        <w:t>2020</w:t>
      </w:r>
      <w:bookmarkEnd w:id="571"/>
      <w:bookmarkEnd w:id="572"/>
    </w:p>
    <w:tbl>
      <w:tblPr>
        <w:tblW w:w="8505" w:type="dxa"/>
        <w:tblInd w:w="113" w:type="dxa"/>
        <w:tblBorders>
          <w:top w:val="single" w:sz="4" w:space="0" w:color="1B556B"/>
          <w:bottom w:val="single" w:sz="4" w:space="0" w:color="1B556B"/>
          <w:insideH w:val="single" w:sz="4" w:space="0" w:color="1B556B"/>
        </w:tblBorders>
        <w:tblLayout w:type="fixed"/>
        <w:tblCellMar>
          <w:right w:w="85" w:type="dxa"/>
        </w:tblCellMar>
        <w:tblLook w:val="04A0" w:firstRow="1" w:lastRow="0" w:firstColumn="1" w:lastColumn="0" w:noHBand="0" w:noVBand="1"/>
      </w:tblPr>
      <w:tblGrid>
        <w:gridCol w:w="3206"/>
        <w:gridCol w:w="796"/>
        <w:gridCol w:w="894"/>
        <w:gridCol w:w="1070"/>
        <w:gridCol w:w="989"/>
        <w:gridCol w:w="824"/>
        <w:gridCol w:w="726"/>
      </w:tblGrid>
      <w:tr w:rsidR="004543E0" w:rsidRPr="009660EC" w14:paraId="086E93D8" w14:textId="77777777" w:rsidTr="001C0B1A">
        <w:tc>
          <w:tcPr>
            <w:tcW w:w="3232" w:type="dxa"/>
            <w:shd w:val="clear" w:color="auto" w:fill="1B556B"/>
            <w:vAlign w:val="bottom"/>
          </w:tcPr>
          <w:p w14:paraId="5C8FAE70" w14:textId="77777777" w:rsidR="004543E0" w:rsidRPr="004543E0" w:rsidRDefault="004543E0" w:rsidP="007E3239">
            <w:pPr>
              <w:pStyle w:val="TableTextBold"/>
              <w:rPr>
                <w:noProof w:val="0"/>
                <w:color w:val="FFFFFF"/>
              </w:rPr>
            </w:pPr>
          </w:p>
        </w:tc>
        <w:tc>
          <w:tcPr>
            <w:tcW w:w="1701" w:type="dxa"/>
            <w:gridSpan w:val="2"/>
            <w:shd w:val="clear" w:color="auto" w:fill="1B556B"/>
            <w:vAlign w:val="bottom"/>
          </w:tcPr>
          <w:p w14:paraId="0F23EEA2" w14:textId="77777777" w:rsidR="004543E0" w:rsidRPr="004543E0" w:rsidRDefault="004543E0" w:rsidP="007E3239">
            <w:pPr>
              <w:pStyle w:val="TableTextBold"/>
              <w:spacing w:after="0"/>
              <w:jc w:val="center"/>
              <w:rPr>
                <w:noProof w:val="0"/>
                <w:color w:val="FFFFFF"/>
              </w:rPr>
            </w:pPr>
            <w:r w:rsidRPr="004543E0">
              <w:rPr>
                <w:noProof w:val="0"/>
                <w:color w:val="FFFFFF"/>
              </w:rPr>
              <w:t>Emissions</w:t>
            </w:r>
            <w:r w:rsidRPr="004543E0">
              <w:rPr>
                <w:noProof w:val="0"/>
                <w:color w:val="FFFFFF"/>
              </w:rPr>
              <w:br/>
              <w:t>(kt CO</w:t>
            </w:r>
            <w:r w:rsidRPr="004543E0">
              <w:rPr>
                <w:noProof w:val="0"/>
                <w:color w:val="FFFFFF"/>
                <w:vertAlign w:val="subscript"/>
              </w:rPr>
              <w:t>2</w:t>
            </w:r>
            <w:r w:rsidRPr="004543E0">
              <w:rPr>
                <w:noProof w:val="0"/>
                <w:color w:val="FFFFFF"/>
              </w:rPr>
              <w:t>-e)</w:t>
            </w:r>
          </w:p>
        </w:tc>
        <w:tc>
          <w:tcPr>
            <w:tcW w:w="1077" w:type="dxa"/>
            <w:shd w:val="clear" w:color="auto" w:fill="1B556B"/>
            <w:vAlign w:val="bottom"/>
          </w:tcPr>
          <w:p w14:paraId="70867E90" w14:textId="77777777" w:rsidR="004543E0" w:rsidRPr="004543E0" w:rsidRDefault="004543E0" w:rsidP="007E3239">
            <w:pPr>
              <w:pStyle w:val="TableTextBold"/>
              <w:spacing w:after="0"/>
              <w:jc w:val="center"/>
              <w:rPr>
                <w:noProof w:val="0"/>
                <w:color w:val="FFFFFF"/>
              </w:rPr>
            </w:pPr>
            <w:r w:rsidRPr="004543E0">
              <w:rPr>
                <w:noProof w:val="0"/>
                <w:color w:val="FFFFFF"/>
              </w:rPr>
              <w:t>Change</w:t>
            </w:r>
            <w:r w:rsidRPr="004543E0">
              <w:rPr>
                <w:noProof w:val="0"/>
                <w:color w:val="FFFFFF"/>
              </w:rPr>
              <w:br/>
              <w:t>(%)</w:t>
            </w:r>
          </w:p>
        </w:tc>
        <w:tc>
          <w:tcPr>
            <w:tcW w:w="996" w:type="dxa"/>
            <w:shd w:val="clear" w:color="auto" w:fill="1B556B"/>
            <w:vAlign w:val="bottom"/>
          </w:tcPr>
          <w:p w14:paraId="72B23F9D" w14:textId="77777777" w:rsidR="004543E0" w:rsidRPr="004543E0" w:rsidRDefault="004543E0" w:rsidP="007E3239">
            <w:pPr>
              <w:pStyle w:val="TableTextBold"/>
              <w:spacing w:after="0"/>
              <w:jc w:val="center"/>
              <w:rPr>
                <w:noProof w:val="0"/>
                <w:color w:val="FFFFFF"/>
              </w:rPr>
            </w:pPr>
            <w:r w:rsidRPr="004543E0">
              <w:rPr>
                <w:noProof w:val="0"/>
                <w:color w:val="FFFFFF"/>
              </w:rPr>
              <w:t>Difference</w:t>
            </w:r>
            <w:r w:rsidRPr="004543E0">
              <w:rPr>
                <w:noProof w:val="0"/>
                <w:color w:val="FFFFFF"/>
              </w:rPr>
              <w:br/>
              <w:t>(kt CO</w:t>
            </w:r>
            <w:r w:rsidRPr="004543E0">
              <w:rPr>
                <w:noProof w:val="0"/>
                <w:color w:val="FFFFFF"/>
                <w:vertAlign w:val="subscript"/>
              </w:rPr>
              <w:t>2</w:t>
            </w:r>
            <w:r w:rsidRPr="004543E0">
              <w:rPr>
                <w:noProof w:val="0"/>
                <w:color w:val="FFFFFF"/>
              </w:rPr>
              <w:t>-e)</w:t>
            </w:r>
          </w:p>
        </w:tc>
        <w:tc>
          <w:tcPr>
            <w:tcW w:w="1559" w:type="dxa"/>
            <w:gridSpan w:val="2"/>
            <w:shd w:val="clear" w:color="auto" w:fill="1B556B"/>
            <w:vAlign w:val="bottom"/>
          </w:tcPr>
          <w:p w14:paraId="3B3F5A0E" w14:textId="77777777" w:rsidR="004543E0" w:rsidRPr="004543E0" w:rsidRDefault="004543E0" w:rsidP="007E3239">
            <w:pPr>
              <w:pStyle w:val="TableTextBold"/>
              <w:spacing w:after="0"/>
              <w:jc w:val="center"/>
              <w:rPr>
                <w:noProof w:val="0"/>
                <w:color w:val="FFFFFF"/>
              </w:rPr>
            </w:pPr>
            <w:r w:rsidRPr="004543E0">
              <w:rPr>
                <w:noProof w:val="0"/>
                <w:color w:val="FFFFFF"/>
              </w:rPr>
              <w:t>Share (%) of sector</w:t>
            </w:r>
          </w:p>
        </w:tc>
      </w:tr>
      <w:tr w:rsidR="004543E0" w:rsidRPr="009660EC" w14:paraId="49FD9F5A" w14:textId="77777777" w:rsidTr="001C0B1A">
        <w:tc>
          <w:tcPr>
            <w:tcW w:w="3232" w:type="dxa"/>
            <w:shd w:val="clear" w:color="auto" w:fill="1B556B"/>
          </w:tcPr>
          <w:p w14:paraId="152A8742" w14:textId="77777777" w:rsidR="004543E0" w:rsidRPr="004543E0" w:rsidRDefault="004543E0" w:rsidP="007E3239">
            <w:pPr>
              <w:pStyle w:val="TableTextBold"/>
              <w:rPr>
                <w:noProof w:val="0"/>
                <w:color w:val="FFFFFF"/>
              </w:rPr>
            </w:pPr>
            <w:r w:rsidRPr="004543E0">
              <w:rPr>
                <w:noProof w:val="0"/>
                <w:color w:val="FFFFFF"/>
              </w:rPr>
              <w:t>Category</w:t>
            </w:r>
          </w:p>
        </w:tc>
        <w:tc>
          <w:tcPr>
            <w:tcW w:w="801" w:type="dxa"/>
            <w:shd w:val="clear" w:color="auto" w:fill="1B556B"/>
            <w:vAlign w:val="bottom"/>
          </w:tcPr>
          <w:p w14:paraId="1B93B4E3" w14:textId="77777777" w:rsidR="004543E0" w:rsidRPr="004543E0" w:rsidRDefault="004543E0" w:rsidP="007E3239">
            <w:pPr>
              <w:pStyle w:val="TableTextBold"/>
              <w:jc w:val="center"/>
              <w:rPr>
                <w:noProof w:val="0"/>
                <w:color w:val="FFFFFF"/>
              </w:rPr>
            </w:pPr>
            <w:r w:rsidRPr="004543E0">
              <w:rPr>
                <w:noProof w:val="0"/>
                <w:color w:val="FFFFFF"/>
              </w:rPr>
              <w:t>1990</w:t>
            </w:r>
          </w:p>
        </w:tc>
        <w:tc>
          <w:tcPr>
            <w:tcW w:w="900" w:type="dxa"/>
            <w:shd w:val="clear" w:color="auto" w:fill="1B556B"/>
            <w:vAlign w:val="bottom"/>
          </w:tcPr>
          <w:p w14:paraId="0C8F2E00" w14:textId="77777777" w:rsidR="004543E0" w:rsidRPr="004543E0" w:rsidRDefault="004543E0" w:rsidP="007E3239">
            <w:pPr>
              <w:pStyle w:val="TableTextBold"/>
              <w:jc w:val="center"/>
              <w:rPr>
                <w:noProof w:val="0"/>
                <w:color w:val="FFFFFF"/>
              </w:rPr>
            </w:pPr>
            <w:r w:rsidRPr="004543E0">
              <w:rPr>
                <w:noProof w:val="0"/>
                <w:color w:val="FFFFFF"/>
              </w:rPr>
              <w:t>2020</w:t>
            </w:r>
          </w:p>
        </w:tc>
        <w:tc>
          <w:tcPr>
            <w:tcW w:w="1077" w:type="dxa"/>
            <w:shd w:val="clear" w:color="auto" w:fill="1B556B"/>
            <w:vAlign w:val="bottom"/>
          </w:tcPr>
          <w:p w14:paraId="6BE47F0D" w14:textId="77777777" w:rsidR="004543E0" w:rsidRPr="004543E0" w:rsidRDefault="004543E0" w:rsidP="007E3239">
            <w:pPr>
              <w:pStyle w:val="TableTextBold"/>
              <w:jc w:val="center"/>
              <w:rPr>
                <w:noProof w:val="0"/>
                <w:color w:val="FFFFFF"/>
              </w:rPr>
            </w:pPr>
            <w:r w:rsidRPr="004543E0">
              <w:rPr>
                <w:noProof w:val="0"/>
                <w:color w:val="FFFFFF"/>
              </w:rPr>
              <w:t>1990–2020</w:t>
            </w:r>
          </w:p>
        </w:tc>
        <w:tc>
          <w:tcPr>
            <w:tcW w:w="996" w:type="dxa"/>
            <w:shd w:val="clear" w:color="auto" w:fill="1B556B"/>
            <w:vAlign w:val="bottom"/>
          </w:tcPr>
          <w:p w14:paraId="37EB19BF" w14:textId="77777777" w:rsidR="004543E0" w:rsidRPr="004543E0" w:rsidRDefault="004543E0" w:rsidP="007E3239">
            <w:pPr>
              <w:pStyle w:val="TableTextBold"/>
              <w:jc w:val="center"/>
              <w:rPr>
                <w:noProof w:val="0"/>
                <w:color w:val="FFFFFF"/>
              </w:rPr>
            </w:pPr>
            <w:r w:rsidRPr="004543E0">
              <w:rPr>
                <w:noProof w:val="0"/>
                <w:color w:val="FFFFFF"/>
              </w:rPr>
              <w:t>1990–2020</w:t>
            </w:r>
          </w:p>
        </w:tc>
        <w:tc>
          <w:tcPr>
            <w:tcW w:w="829" w:type="dxa"/>
            <w:shd w:val="clear" w:color="auto" w:fill="1B556B"/>
            <w:tcMar>
              <w:right w:w="85" w:type="dxa"/>
            </w:tcMar>
          </w:tcPr>
          <w:p w14:paraId="51479053" w14:textId="77777777" w:rsidR="004543E0" w:rsidRPr="004543E0" w:rsidRDefault="004543E0" w:rsidP="007E3239">
            <w:pPr>
              <w:pStyle w:val="TableTextBold"/>
              <w:jc w:val="center"/>
              <w:rPr>
                <w:noProof w:val="0"/>
                <w:color w:val="FFFFFF"/>
              </w:rPr>
            </w:pPr>
            <w:r w:rsidRPr="004543E0">
              <w:rPr>
                <w:noProof w:val="0"/>
                <w:color w:val="FFFFFF"/>
              </w:rPr>
              <w:t>1990</w:t>
            </w:r>
          </w:p>
        </w:tc>
        <w:tc>
          <w:tcPr>
            <w:tcW w:w="730" w:type="dxa"/>
            <w:shd w:val="clear" w:color="auto" w:fill="1B556B"/>
            <w:tcMar>
              <w:right w:w="85" w:type="dxa"/>
            </w:tcMar>
          </w:tcPr>
          <w:p w14:paraId="4178951F" w14:textId="77777777" w:rsidR="004543E0" w:rsidRPr="004543E0" w:rsidRDefault="004543E0" w:rsidP="007E3239">
            <w:pPr>
              <w:pStyle w:val="TableTextBold"/>
              <w:jc w:val="center"/>
              <w:rPr>
                <w:noProof w:val="0"/>
                <w:color w:val="FFFFFF"/>
              </w:rPr>
            </w:pPr>
            <w:r w:rsidRPr="004543E0">
              <w:rPr>
                <w:noProof w:val="0"/>
                <w:color w:val="FFFFFF"/>
              </w:rPr>
              <w:t>2020</w:t>
            </w:r>
          </w:p>
        </w:tc>
      </w:tr>
      <w:tr w:rsidR="004543E0" w:rsidRPr="009660EC" w14:paraId="5457BB00" w14:textId="77777777" w:rsidTr="001C0B1A">
        <w:tc>
          <w:tcPr>
            <w:tcW w:w="3232" w:type="dxa"/>
            <w:shd w:val="clear" w:color="auto" w:fill="auto"/>
            <w:vAlign w:val="bottom"/>
          </w:tcPr>
          <w:p w14:paraId="21D7186A" w14:textId="77777777" w:rsidR="004543E0" w:rsidRPr="009660EC" w:rsidRDefault="004543E0" w:rsidP="007E3239">
            <w:pPr>
              <w:pStyle w:val="TableText"/>
              <w:spacing w:before="50" w:after="50"/>
              <w:rPr>
                <w:rFonts w:cs="Calibri"/>
              </w:rPr>
            </w:pPr>
            <w:r w:rsidRPr="009660EC">
              <w:rPr>
                <w:rFonts w:cs="Calibri"/>
              </w:rPr>
              <w:t>Enteric fermentation (CRF 3.A)</w:t>
            </w:r>
          </w:p>
        </w:tc>
        <w:tc>
          <w:tcPr>
            <w:tcW w:w="801" w:type="dxa"/>
            <w:shd w:val="clear" w:color="auto" w:fill="auto"/>
            <w:vAlign w:val="bottom"/>
          </w:tcPr>
          <w:p w14:paraId="53D05061" w14:textId="77777777" w:rsidR="004543E0" w:rsidRPr="009660EC" w:rsidRDefault="004543E0" w:rsidP="007E3239">
            <w:pPr>
              <w:pStyle w:val="TableText"/>
              <w:spacing w:before="50" w:after="50"/>
              <w:jc w:val="right"/>
              <w:rPr>
                <w:rFonts w:cs="Calibri"/>
              </w:rPr>
            </w:pPr>
            <w:r w:rsidRPr="009660EC">
              <w:rPr>
                <w:rFonts w:cs="Calibri"/>
              </w:rPr>
              <w:t>27,350.4</w:t>
            </w:r>
          </w:p>
        </w:tc>
        <w:tc>
          <w:tcPr>
            <w:tcW w:w="900" w:type="dxa"/>
            <w:shd w:val="clear" w:color="auto" w:fill="auto"/>
            <w:vAlign w:val="bottom"/>
          </w:tcPr>
          <w:p w14:paraId="79A88A14" w14:textId="77777777" w:rsidR="004543E0" w:rsidRPr="009660EC" w:rsidRDefault="004543E0" w:rsidP="007E3239">
            <w:pPr>
              <w:pStyle w:val="TableText"/>
              <w:spacing w:before="50" w:after="50"/>
              <w:jc w:val="right"/>
              <w:rPr>
                <w:rFonts w:cs="Calibri"/>
              </w:rPr>
            </w:pPr>
            <w:r w:rsidRPr="009660EC">
              <w:rPr>
                <w:rFonts w:cs="Calibri"/>
              </w:rPr>
              <w:t>28,831.5</w:t>
            </w:r>
          </w:p>
        </w:tc>
        <w:tc>
          <w:tcPr>
            <w:tcW w:w="1077" w:type="dxa"/>
            <w:shd w:val="clear" w:color="auto" w:fill="auto"/>
            <w:vAlign w:val="bottom"/>
          </w:tcPr>
          <w:p w14:paraId="51C6103C" w14:textId="77777777" w:rsidR="004543E0" w:rsidRPr="009660EC" w:rsidRDefault="004543E0" w:rsidP="007E3239">
            <w:pPr>
              <w:pStyle w:val="TableText"/>
              <w:spacing w:before="50" w:after="50"/>
              <w:jc w:val="right"/>
              <w:rPr>
                <w:rFonts w:cs="Calibri"/>
              </w:rPr>
            </w:pPr>
            <w:r w:rsidRPr="009660EC">
              <w:rPr>
                <w:rFonts w:cs="Calibri"/>
              </w:rPr>
              <w:t>5.4</w:t>
            </w:r>
          </w:p>
        </w:tc>
        <w:tc>
          <w:tcPr>
            <w:tcW w:w="996" w:type="dxa"/>
            <w:shd w:val="clear" w:color="auto" w:fill="auto"/>
            <w:vAlign w:val="bottom"/>
          </w:tcPr>
          <w:p w14:paraId="3669A816" w14:textId="77777777" w:rsidR="004543E0" w:rsidRPr="009660EC" w:rsidRDefault="004543E0" w:rsidP="007E3239">
            <w:pPr>
              <w:pStyle w:val="TableText"/>
              <w:spacing w:before="50" w:after="50"/>
              <w:jc w:val="right"/>
              <w:rPr>
                <w:rFonts w:cs="Calibri"/>
              </w:rPr>
            </w:pPr>
            <w:r w:rsidRPr="009660EC">
              <w:rPr>
                <w:rFonts w:cs="Calibri"/>
              </w:rPr>
              <w:t>1,481.1</w:t>
            </w:r>
          </w:p>
        </w:tc>
        <w:tc>
          <w:tcPr>
            <w:tcW w:w="829" w:type="dxa"/>
            <w:shd w:val="clear" w:color="auto" w:fill="auto"/>
            <w:vAlign w:val="bottom"/>
          </w:tcPr>
          <w:p w14:paraId="0E62291D" w14:textId="77777777" w:rsidR="004543E0" w:rsidRPr="009660EC" w:rsidRDefault="004543E0" w:rsidP="007E3239">
            <w:pPr>
              <w:pStyle w:val="TableText"/>
              <w:spacing w:before="50" w:after="50"/>
              <w:jc w:val="right"/>
              <w:rPr>
                <w:rFonts w:cs="Calibri"/>
              </w:rPr>
            </w:pPr>
            <w:r w:rsidRPr="009660EC">
              <w:rPr>
                <w:rFonts w:cs="Calibri"/>
              </w:rPr>
              <w:t>80.9</w:t>
            </w:r>
          </w:p>
        </w:tc>
        <w:tc>
          <w:tcPr>
            <w:tcW w:w="730" w:type="dxa"/>
            <w:shd w:val="clear" w:color="auto" w:fill="auto"/>
            <w:vAlign w:val="bottom"/>
          </w:tcPr>
          <w:p w14:paraId="66CFFE32" w14:textId="77777777" w:rsidR="004543E0" w:rsidRPr="009660EC" w:rsidRDefault="004543E0" w:rsidP="007E3239">
            <w:pPr>
              <w:pStyle w:val="TableText"/>
              <w:spacing w:before="50" w:after="50"/>
              <w:jc w:val="right"/>
              <w:rPr>
                <w:rFonts w:cs="Calibri"/>
              </w:rPr>
            </w:pPr>
            <w:r w:rsidRPr="009660EC">
              <w:rPr>
                <w:rFonts w:cs="Calibri"/>
              </w:rPr>
              <w:t>73.1</w:t>
            </w:r>
          </w:p>
        </w:tc>
      </w:tr>
      <w:tr w:rsidR="004543E0" w:rsidRPr="009660EC" w14:paraId="483E5ED0" w14:textId="77777777" w:rsidTr="001C0B1A">
        <w:tc>
          <w:tcPr>
            <w:tcW w:w="3232" w:type="dxa"/>
            <w:shd w:val="clear" w:color="auto" w:fill="auto"/>
            <w:vAlign w:val="bottom"/>
          </w:tcPr>
          <w:p w14:paraId="44ADCBFC" w14:textId="77777777" w:rsidR="004543E0" w:rsidRPr="009660EC" w:rsidRDefault="004543E0" w:rsidP="007E3239">
            <w:pPr>
              <w:pStyle w:val="TableText"/>
              <w:spacing w:before="50" w:after="50"/>
              <w:rPr>
                <w:rFonts w:cs="Calibri"/>
              </w:rPr>
            </w:pPr>
            <w:r w:rsidRPr="009660EC">
              <w:rPr>
                <w:rFonts w:cs="Calibri"/>
              </w:rPr>
              <w:t>Manure management (CRF 3.B)</w:t>
            </w:r>
          </w:p>
        </w:tc>
        <w:tc>
          <w:tcPr>
            <w:tcW w:w="801" w:type="dxa"/>
            <w:shd w:val="clear" w:color="auto" w:fill="auto"/>
            <w:vAlign w:val="bottom"/>
          </w:tcPr>
          <w:p w14:paraId="5A776C58" w14:textId="77777777" w:rsidR="004543E0" w:rsidRPr="009660EC" w:rsidRDefault="004543E0" w:rsidP="007E3239">
            <w:pPr>
              <w:pStyle w:val="TableText"/>
              <w:spacing w:before="50" w:after="50"/>
              <w:jc w:val="right"/>
              <w:rPr>
                <w:rFonts w:cs="Calibri"/>
              </w:rPr>
            </w:pPr>
            <w:r w:rsidRPr="009660EC">
              <w:rPr>
                <w:rFonts w:cs="Calibri"/>
              </w:rPr>
              <w:t>778.5</w:t>
            </w:r>
          </w:p>
        </w:tc>
        <w:tc>
          <w:tcPr>
            <w:tcW w:w="900" w:type="dxa"/>
            <w:shd w:val="clear" w:color="auto" w:fill="auto"/>
            <w:vAlign w:val="bottom"/>
          </w:tcPr>
          <w:p w14:paraId="32845817" w14:textId="77777777" w:rsidR="004543E0" w:rsidRPr="009660EC" w:rsidRDefault="004543E0" w:rsidP="007E3239">
            <w:pPr>
              <w:pStyle w:val="TableText"/>
              <w:spacing w:before="50" w:after="50"/>
              <w:jc w:val="right"/>
              <w:rPr>
                <w:rFonts w:cs="Calibri"/>
              </w:rPr>
            </w:pPr>
            <w:r w:rsidRPr="009660EC">
              <w:rPr>
                <w:rFonts w:cs="Calibri"/>
              </w:rPr>
              <w:t>1,735.6</w:t>
            </w:r>
          </w:p>
        </w:tc>
        <w:tc>
          <w:tcPr>
            <w:tcW w:w="1077" w:type="dxa"/>
            <w:shd w:val="clear" w:color="auto" w:fill="auto"/>
            <w:vAlign w:val="bottom"/>
          </w:tcPr>
          <w:p w14:paraId="1A344851" w14:textId="77777777" w:rsidR="004543E0" w:rsidRPr="009660EC" w:rsidRDefault="004543E0" w:rsidP="007E3239">
            <w:pPr>
              <w:pStyle w:val="TableText"/>
              <w:spacing w:before="50" w:after="50"/>
              <w:jc w:val="right"/>
              <w:rPr>
                <w:rFonts w:cs="Calibri"/>
              </w:rPr>
            </w:pPr>
            <w:r w:rsidRPr="009660EC">
              <w:rPr>
                <w:rFonts w:cs="Calibri"/>
              </w:rPr>
              <w:t>122.9</w:t>
            </w:r>
          </w:p>
        </w:tc>
        <w:tc>
          <w:tcPr>
            <w:tcW w:w="996" w:type="dxa"/>
            <w:shd w:val="clear" w:color="auto" w:fill="auto"/>
            <w:vAlign w:val="bottom"/>
          </w:tcPr>
          <w:p w14:paraId="62C71CB9" w14:textId="77777777" w:rsidR="004543E0" w:rsidRPr="009660EC" w:rsidRDefault="004543E0" w:rsidP="007E3239">
            <w:pPr>
              <w:pStyle w:val="TableText"/>
              <w:spacing w:before="50" w:after="50"/>
              <w:jc w:val="right"/>
              <w:rPr>
                <w:rFonts w:cs="Calibri"/>
              </w:rPr>
            </w:pPr>
            <w:r w:rsidRPr="009660EC">
              <w:rPr>
                <w:rFonts w:cs="Calibri"/>
              </w:rPr>
              <w:t>957.1</w:t>
            </w:r>
          </w:p>
        </w:tc>
        <w:tc>
          <w:tcPr>
            <w:tcW w:w="829" w:type="dxa"/>
            <w:shd w:val="clear" w:color="auto" w:fill="auto"/>
            <w:vAlign w:val="bottom"/>
          </w:tcPr>
          <w:p w14:paraId="0BA5C21F" w14:textId="77777777" w:rsidR="004543E0" w:rsidRPr="009660EC" w:rsidRDefault="004543E0" w:rsidP="007E3239">
            <w:pPr>
              <w:pStyle w:val="TableText"/>
              <w:spacing w:before="50" w:after="50"/>
              <w:jc w:val="right"/>
              <w:rPr>
                <w:rFonts w:cs="Calibri"/>
              </w:rPr>
            </w:pPr>
            <w:r w:rsidRPr="009660EC">
              <w:rPr>
                <w:rFonts w:cs="Calibri"/>
              </w:rPr>
              <w:t>2.3</w:t>
            </w:r>
          </w:p>
        </w:tc>
        <w:tc>
          <w:tcPr>
            <w:tcW w:w="730" w:type="dxa"/>
            <w:shd w:val="clear" w:color="auto" w:fill="auto"/>
            <w:vAlign w:val="bottom"/>
          </w:tcPr>
          <w:p w14:paraId="7114DBBA" w14:textId="77777777" w:rsidR="004543E0" w:rsidRPr="009660EC" w:rsidRDefault="004543E0" w:rsidP="007E3239">
            <w:pPr>
              <w:pStyle w:val="TableText"/>
              <w:spacing w:before="50" w:after="50"/>
              <w:jc w:val="right"/>
              <w:rPr>
                <w:rFonts w:cs="Calibri"/>
              </w:rPr>
            </w:pPr>
            <w:r w:rsidRPr="009660EC">
              <w:rPr>
                <w:rFonts w:cs="Calibri"/>
              </w:rPr>
              <w:t>4.4</w:t>
            </w:r>
          </w:p>
        </w:tc>
      </w:tr>
      <w:tr w:rsidR="004543E0" w:rsidRPr="009660EC" w14:paraId="587565AC" w14:textId="77777777" w:rsidTr="001C0B1A">
        <w:tc>
          <w:tcPr>
            <w:tcW w:w="3232" w:type="dxa"/>
            <w:shd w:val="clear" w:color="auto" w:fill="auto"/>
            <w:vAlign w:val="bottom"/>
          </w:tcPr>
          <w:p w14:paraId="1BC82F4D" w14:textId="77777777" w:rsidR="004543E0" w:rsidRPr="009660EC" w:rsidRDefault="004543E0" w:rsidP="007E3239">
            <w:pPr>
              <w:pStyle w:val="TableText"/>
              <w:spacing w:before="50" w:after="50"/>
              <w:rPr>
                <w:rFonts w:cs="Calibri"/>
              </w:rPr>
            </w:pPr>
            <w:r w:rsidRPr="009660EC">
              <w:rPr>
                <w:rFonts w:cs="Calibri"/>
              </w:rPr>
              <w:t>Rice cultivation (CRF 3.C)</w:t>
            </w:r>
          </w:p>
        </w:tc>
        <w:tc>
          <w:tcPr>
            <w:tcW w:w="801" w:type="dxa"/>
            <w:shd w:val="clear" w:color="auto" w:fill="auto"/>
            <w:vAlign w:val="bottom"/>
          </w:tcPr>
          <w:p w14:paraId="69CB595D" w14:textId="77777777" w:rsidR="004543E0" w:rsidRPr="009660EC" w:rsidRDefault="004543E0" w:rsidP="007E3239">
            <w:pPr>
              <w:pStyle w:val="TableText"/>
              <w:spacing w:before="50" w:after="50"/>
              <w:jc w:val="right"/>
              <w:rPr>
                <w:rFonts w:cs="Calibri"/>
              </w:rPr>
            </w:pPr>
            <w:r w:rsidRPr="009660EC">
              <w:rPr>
                <w:rFonts w:cs="Calibri"/>
              </w:rPr>
              <w:t>NO</w:t>
            </w:r>
          </w:p>
        </w:tc>
        <w:tc>
          <w:tcPr>
            <w:tcW w:w="900" w:type="dxa"/>
            <w:shd w:val="clear" w:color="auto" w:fill="auto"/>
            <w:vAlign w:val="bottom"/>
          </w:tcPr>
          <w:p w14:paraId="39302E0F" w14:textId="77777777" w:rsidR="004543E0" w:rsidRPr="009660EC" w:rsidRDefault="004543E0" w:rsidP="007E3239">
            <w:pPr>
              <w:pStyle w:val="TableText"/>
              <w:spacing w:before="50" w:after="50"/>
              <w:jc w:val="right"/>
              <w:rPr>
                <w:rFonts w:cs="Calibri"/>
              </w:rPr>
            </w:pPr>
            <w:r w:rsidRPr="009660EC">
              <w:rPr>
                <w:rFonts w:cs="Calibri"/>
              </w:rPr>
              <w:t>NO</w:t>
            </w:r>
          </w:p>
        </w:tc>
        <w:tc>
          <w:tcPr>
            <w:tcW w:w="1077" w:type="dxa"/>
            <w:shd w:val="clear" w:color="auto" w:fill="auto"/>
            <w:vAlign w:val="bottom"/>
          </w:tcPr>
          <w:p w14:paraId="0863D729" w14:textId="77777777" w:rsidR="004543E0" w:rsidRPr="009660EC" w:rsidRDefault="004543E0" w:rsidP="007E3239">
            <w:pPr>
              <w:pStyle w:val="TableText"/>
              <w:spacing w:before="50" w:after="50"/>
              <w:jc w:val="right"/>
              <w:rPr>
                <w:rFonts w:cs="Calibri"/>
              </w:rPr>
            </w:pPr>
            <w:r w:rsidRPr="009660EC">
              <w:rPr>
                <w:rFonts w:cs="Calibri"/>
              </w:rPr>
              <w:t>–</w:t>
            </w:r>
          </w:p>
        </w:tc>
        <w:tc>
          <w:tcPr>
            <w:tcW w:w="996" w:type="dxa"/>
            <w:shd w:val="clear" w:color="auto" w:fill="auto"/>
            <w:vAlign w:val="bottom"/>
          </w:tcPr>
          <w:p w14:paraId="7941EDF9" w14:textId="77777777" w:rsidR="004543E0" w:rsidRPr="009660EC" w:rsidRDefault="004543E0" w:rsidP="007E3239">
            <w:pPr>
              <w:pStyle w:val="TableText"/>
              <w:spacing w:before="50" w:after="50"/>
              <w:jc w:val="right"/>
              <w:rPr>
                <w:rFonts w:cs="Calibri"/>
              </w:rPr>
            </w:pPr>
            <w:r w:rsidRPr="009660EC">
              <w:rPr>
                <w:rFonts w:cs="Calibri"/>
              </w:rPr>
              <w:t>–</w:t>
            </w:r>
          </w:p>
        </w:tc>
        <w:tc>
          <w:tcPr>
            <w:tcW w:w="829" w:type="dxa"/>
            <w:shd w:val="clear" w:color="auto" w:fill="auto"/>
            <w:vAlign w:val="bottom"/>
          </w:tcPr>
          <w:p w14:paraId="71535E7E" w14:textId="77777777" w:rsidR="004543E0" w:rsidRPr="009660EC" w:rsidRDefault="004543E0" w:rsidP="007E3239">
            <w:pPr>
              <w:pStyle w:val="TableText"/>
              <w:spacing w:before="50" w:after="50"/>
              <w:jc w:val="right"/>
              <w:rPr>
                <w:rFonts w:cs="Calibri"/>
              </w:rPr>
            </w:pPr>
            <w:r w:rsidRPr="009660EC">
              <w:rPr>
                <w:rFonts w:cs="Calibri"/>
              </w:rPr>
              <w:t>–</w:t>
            </w:r>
          </w:p>
        </w:tc>
        <w:tc>
          <w:tcPr>
            <w:tcW w:w="730" w:type="dxa"/>
            <w:shd w:val="clear" w:color="auto" w:fill="auto"/>
            <w:vAlign w:val="bottom"/>
          </w:tcPr>
          <w:p w14:paraId="265CFD7D" w14:textId="77777777" w:rsidR="004543E0" w:rsidRPr="009660EC" w:rsidRDefault="004543E0" w:rsidP="007E3239">
            <w:pPr>
              <w:pStyle w:val="TableText"/>
              <w:spacing w:before="50" w:after="50"/>
              <w:jc w:val="right"/>
              <w:rPr>
                <w:rFonts w:cs="Calibri"/>
              </w:rPr>
            </w:pPr>
            <w:r w:rsidRPr="009660EC">
              <w:rPr>
                <w:rFonts w:cs="Calibri"/>
              </w:rPr>
              <w:t>–</w:t>
            </w:r>
          </w:p>
        </w:tc>
      </w:tr>
      <w:tr w:rsidR="004543E0" w:rsidRPr="009660EC" w14:paraId="1FAEBCFD" w14:textId="77777777" w:rsidTr="001C0B1A">
        <w:tc>
          <w:tcPr>
            <w:tcW w:w="3232" w:type="dxa"/>
            <w:shd w:val="clear" w:color="auto" w:fill="auto"/>
            <w:vAlign w:val="bottom"/>
          </w:tcPr>
          <w:p w14:paraId="2ACA5958" w14:textId="77777777" w:rsidR="004543E0" w:rsidRPr="009660EC" w:rsidRDefault="004543E0" w:rsidP="007E3239">
            <w:pPr>
              <w:pStyle w:val="TableText"/>
              <w:spacing w:before="50" w:after="50"/>
              <w:rPr>
                <w:rFonts w:cs="Calibri"/>
              </w:rPr>
            </w:pPr>
            <w:r w:rsidRPr="009660EC">
              <w:rPr>
                <w:rFonts w:cs="Calibri"/>
              </w:rPr>
              <w:t>Agricultural soils (CRF 3.D)</w:t>
            </w:r>
          </w:p>
        </w:tc>
        <w:tc>
          <w:tcPr>
            <w:tcW w:w="801" w:type="dxa"/>
            <w:shd w:val="clear" w:color="auto" w:fill="auto"/>
            <w:vAlign w:val="bottom"/>
          </w:tcPr>
          <w:p w14:paraId="2FD240FD" w14:textId="77777777" w:rsidR="004543E0" w:rsidRPr="009660EC" w:rsidRDefault="004543E0" w:rsidP="007E3239">
            <w:pPr>
              <w:pStyle w:val="TableText"/>
              <w:spacing w:before="50" w:after="50"/>
              <w:jc w:val="right"/>
              <w:rPr>
                <w:rFonts w:cs="Calibri"/>
              </w:rPr>
            </w:pPr>
            <w:r w:rsidRPr="009660EC">
              <w:rPr>
                <w:rFonts w:cs="Calibri"/>
              </w:rPr>
              <w:t>5,300.9</w:t>
            </w:r>
          </w:p>
        </w:tc>
        <w:tc>
          <w:tcPr>
            <w:tcW w:w="900" w:type="dxa"/>
            <w:shd w:val="clear" w:color="auto" w:fill="auto"/>
            <w:vAlign w:val="bottom"/>
          </w:tcPr>
          <w:p w14:paraId="3013F058" w14:textId="77777777" w:rsidR="004543E0" w:rsidRPr="009660EC" w:rsidRDefault="004543E0" w:rsidP="007E3239">
            <w:pPr>
              <w:pStyle w:val="TableText"/>
              <w:spacing w:before="50" w:after="50"/>
              <w:jc w:val="right"/>
              <w:rPr>
                <w:rFonts w:cs="Calibri"/>
              </w:rPr>
            </w:pPr>
            <w:r w:rsidRPr="009660EC">
              <w:rPr>
                <w:rFonts w:cs="Calibri"/>
              </w:rPr>
              <w:t>7,882.8</w:t>
            </w:r>
          </w:p>
        </w:tc>
        <w:tc>
          <w:tcPr>
            <w:tcW w:w="1077" w:type="dxa"/>
            <w:shd w:val="clear" w:color="auto" w:fill="auto"/>
            <w:vAlign w:val="bottom"/>
          </w:tcPr>
          <w:p w14:paraId="07F82FEC" w14:textId="77777777" w:rsidR="004543E0" w:rsidRPr="009660EC" w:rsidRDefault="004543E0" w:rsidP="007E3239">
            <w:pPr>
              <w:pStyle w:val="TableText"/>
              <w:spacing w:before="50" w:after="50"/>
              <w:jc w:val="right"/>
              <w:rPr>
                <w:rFonts w:cs="Calibri"/>
              </w:rPr>
            </w:pPr>
            <w:r w:rsidRPr="009660EC">
              <w:rPr>
                <w:rFonts w:cs="Calibri"/>
              </w:rPr>
              <w:t>48.7</w:t>
            </w:r>
          </w:p>
        </w:tc>
        <w:tc>
          <w:tcPr>
            <w:tcW w:w="996" w:type="dxa"/>
            <w:shd w:val="clear" w:color="auto" w:fill="auto"/>
            <w:vAlign w:val="bottom"/>
          </w:tcPr>
          <w:p w14:paraId="57531CF1" w14:textId="77777777" w:rsidR="004543E0" w:rsidRPr="009660EC" w:rsidRDefault="004543E0" w:rsidP="007E3239">
            <w:pPr>
              <w:pStyle w:val="TableText"/>
              <w:spacing w:before="50" w:after="50"/>
              <w:jc w:val="right"/>
              <w:rPr>
                <w:rFonts w:cs="Calibri"/>
              </w:rPr>
            </w:pPr>
            <w:r w:rsidRPr="009660EC">
              <w:rPr>
                <w:rFonts w:cs="Calibri"/>
              </w:rPr>
              <w:t>2,581.9</w:t>
            </w:r>
          </w:p>
        </w:tc>
        <w:tc>
          <w:tcPr>
            <w:tcW w:w="829" w:type="dxa"/>
            <w:shd w:val="clear" w:color="auto" w:fill="auto"/>
            <w:vAlign w:val="bottom"/>
          </w:tcPr>
          <w:p w14:paraId="2A8A29D6" w14:textId="77777777" w:rsidR="004543E0" w:rsidRPr="009660EC" w:rsidRDefault="004543E0" w:rsidP="007E3239">
            <w:pPr>
              <w:pStyle w:val="TableText"/>
              <w:spacing w:before="50" w:after="50"/>
              <w:jc w:val="right"/>
              <w:rPr>
                <w:rFonts w:cs="Calibri"/>
              </w:rPr>
            </w:pPr>
            <w:r w:rsidRPr="009660EC">
              <w:rPr>
                <w:rFonts w:cs="Calibri"/>
              </w:rPr>
              <w:t>15.7</w:t>
            </w:r>
          </w:p>
        </w:tc>
        <w:tc>
          <w:tcPr>
            <w:tcW w:w="730" w:type="dxa"/>
            <w:shd w:val="clear" w:color="auto" w:fill="auto"/>
            <w:vAlign w:val="bottom"/>
          </w:tcPr>
          <w:p w14:paraId="1173B9E2" w14:textId="77777777" w:rsidR="004543E0" w:rsidRPr="009660EC" w:rsidRDefault="004543E0" w:rsidP="007E3239">
            <w:pPr>
              <w:pStyle w:val="TableText"/>
              <w:spacing w:before="50" w:after="50"/>
              <w:jc w:val="right"/>
              <w:rPr>
                <w:rFonts w:cs="Calibri"/>
              </w:rPr>
            </w:pPr>
            <w:r w:rsidRPr="009660EC">
              <w:rPr>
                <w:rFonts w:cs="Calibri"/>
              </w:rPr>
              <w:t>20.0</w:t>
            </w:r>
          </w:p>
        </w:tc>
      </w:tr>
      <w:tr w:rsidR="004543E0" w:rsidRPr="009660EC" w14:paraId="0B165B7A" w14:textId="77777777" w:rsidTr="001C0B1A">
        <w:tc>
          <w:tcPr>
            <w:tcW w:w="3232" w:type="dxa"/>
            <w:shd w:val="clear" w:color="auto" w:fill="auto"/>
            <w:vAlign w:val="bottom"/>
          </w:tcPr>
          <w:p w14:paraId="0D94FDFF" w14:textId="77777777" w:rsidR="004543E0" w:rsidRPr="009660EC" w:rsidRDefault="004543E0" w:rsidP="007E3239">
            <w:pPr>
              <w:pStyle w:val="TableText"/>
              <w:spacing w:before="50" w:after="50"/>
              <w:rPr>
                <w:rFonts w:cs="Calibri"/>
              </w:rPr>
            </w:pPr>
            <w:r w:rsidRPr="009660EC">
              <w:rPr>
                <w:rFonts w:cs="Calibri"/>
              </w:rPr>
              <w:t>Field burning of agricultural residues (CRF 3.F)</w:t>
            </w:r>
          </w:p>
        </w:tc>
        <w:tc>
          <w:tcPr>
            <w:tcW w:w="801" w:type="dxa"/>
            <w:shd w:val="clear" w:color="auto" w:fill="auto"/>
            <w:vAlign w:val="bottom"/>
          </w:tcPr>
          <w:p w14:paraId="27E0C913" w14:textId="77777777" w:rsidR="004543E0" w:rsidRPr="009660EC" w:rsidRDefault="004543E0" w:rsidP="007E3239">
            <w:pPr>
              <w:pStyle w:val="TableText"/>
              <w:spacing w:before="50" w:after="50"/>
              <w:jc w:val="right"/>
              <w:rPr>
                <w:rFonts w:cs="Calibri"/>
              </w:rPr>
            </w:pPr>
            <w:r w:rsidRPr="009660EC">
              <w:rPr>
                <w:rFonts w:cs="Calibri"/>
              </w:rPr>
              <w:t>27.4</w:t>
            </w:r>
          </w:p>
        </w:tc>
        <w:tc>
          <w:tcPr>
            <w:tcW w:w="900" w:type="dxa"/>
            <w:shd w:val="clear" w:color="auto" w:fill="auto"/>
            <w:vAlign w:val="bottom"/>
          </w:tcPr>
          <w:p w14:paraId="758EA289" w14:textId="77777777" w:rsidR="004543E0" w:rsidRPr="009660EC" w:rsidRDefault="004543E0" w:rsidP="007E3239">
            <w:pPr>
              <w:pStyle w:val="TableText"/>
              <w:spacing w:before="50" w:after="50"/>
              <w:jc w:val="right"/>
              <w:rPr>
                <w:rFonts w:cs="Calibri"/>
              </w:rPr>
            </w:pPr>
            <w:r w:rsidRPr="009660EC">
              <w:rPr>
                <w:rFonts w:cs="Calibri"/>
              </w:rPr>
              <w:t>24.1</w:t>
            </w:r>
          </w:p>
        </w:tc>
        <w:tc>
          <w:tcPr>
            <w:tcW w:w="1077" w:type="dxa"/>
            <w:shd w:val="clear" w:color="auto" w:fill="auto"/>
            <w:vAlign w:val="bottom"/>
          </w:tcPr>
          <w:p w14:paraId="7BFE4A4B" w14:textId="77777777" w:rsidR="004543E0" w:rsidRPr="009660EC" w:rsidRDefault="004543E0" w:rsidP="007E3239">
            <w:pPr>
              <w:pStyle w:val="TableText"/>
              <w:spacing w:before="50" w:after="50"/>
              <w:jc w:val="right"/>
              <w:rPr>
                <w:rFonts w:cs="Calibri"/>
              </w:rPr>
            </w:pPr>
            <w:r w:rsidRPr="009660EC">
              <w:rPr>
                <w:rFonts w:cs="Calibri"/>
              </w:rPr>
              <w:t>–12.0</w:t>
            </w:r>
          </w:p>
        </w:tc>
        <w:tc>
          <w:tcPr>
            <w:tcW w:w="996" w:type="dxa"/>
            <w:shd w:val="clear" w:color="auto" w:fill="auto"/>
            <w:vAlign w:val="bottom"/>
          </w:tcPr>
          <w:p w14:paraId="65750812" w14:textId="77777777" w:rsidR="004543E0" w:rsidRPr="009660EC" w:rsidRDefault="004543E0" w:rsidP="007E3239">
            <w:pPr>
              <w:pStyle w:val="TableText"/>
              <w:spacing w:before="50" w:after="50"/>
              <w:jc w:val="right"/>
              <w:rPr>
                <w:rFonts w:cs="Calibri"/>
              </w:rPr>
            </w:pPr>
            <w:r w:rsidRPr="009660EC">
              <w:rPr>
                <w:rFonts w:cs="Calibri"/>
              </w:rPr>
              <w:t>–3.3</w:t>
            </w:r>
          </w:p>
        </w:tc>
        <w:tc>
          <w:tcPr>
            <w:tcW w:w="829" w:type="dxa"/>
            <w:shd w:val="clear" w:color="auto" w:fill="auto"/>
            <w:vAlign w:val="bottom"/>
          </w:tcPr>
          <w:p w14:paraId="55C378DF" w14:textId="77777777" w:rsidR="004543E0" w:rsidRPr="009660EC" w:rsidRDefault="004543E0" w:rsidP="007E3239">
            <w:pPr>
              <w:pStyle w:val="TableText"/>
              <w:spacing w:before="50" w:after="50"/>
              <w:jc w:val="right"/>
              <w:rPr>
                <w:rFonts w:cs="Calibri"/>
              </w:rPr>
            </w:pPr>
            <w:r w:rsidRPr="009660EC">
              <w:rPr>
                <w:rFonts w:cs="Calibri"/>
              </w:rPr>
              <w:t>0.1</w:t>
            </w:r>
          </w:p>
        </w:tc>
        <w:tc>
          <w:tcPr>
            <w:tcW w:w="730" w:type="dxa"/>
            <w:shd w:val="clear" w:color="auto" w:fill="auto"/>
            <w:vAlign w:val="bottom"/>
          </w:tcPr>
          <w:p w14:paraId="4700F727" w14:textId="77777777" w:rsidR="004543E0" w:rsidRPr="009660EC" w:rsidRDefault="004543E0" w:rsidP="007E3239">
            <w:pPr>
              <w:pStyle w:val="TableText"/>
              <w:spacing w:before="50" w:after="50"/>
              <w:jc w:val="right"/>
              <w:rPr>
                <w:rFonts w:cs="Calibri"/>
              </w:rPr>
            </w:pPr>
            <w:r w:rsidRPr="009660EC">
              <w:rPr>
                <w:rFonts w:cs="Calibri"/>
              </w:rPr>
              <w:t>0.1</w:t>
            </w:r>
          </w:p>
        </w:tc>
      </w:tr>
      <w:tr w:rsidR="004543E0" w:rsidRPr="009660EC" w14:paraId="6F2F2310" w14:textId="77777777" w:rsidTr="001C0B1A">
        <w:tc>
          <w:tcPr>
            <w:tcW w:w="3232" w:type="dxa"/>
            <w:shd w:val="clear" w:color="auto" w:fill="auto"/>
            <w:vAlign w:val="bottom"/>
          </w:tcPr>
          <w:p w14:paraId="73C015A8" w14:textId="77777777" w:rsidR="004543E0" w:rsidRPr="009660EC" w:rsidRDefault="004543E0" w:rsidP="007E3239">
            <w:pPr>
              <w:pStyle w:val="TableText"/>
              <w:spacing w:before="50" w:after="50"/>
              <w:rPr>
                <w:rFonts w:cs="Calibri"/>
              </w:rPr>
            </w:pPr>
            <w:r w:rsidRPr="009660EC">
              <w:rPr>
                <w:rFonts w:cs="Calibri"/>
              </w:rPr>
              <w:t>Liming CO</w:t>
            </w:r>
            <w:r w:rsidRPr="009660EC">
              <w:rPr>
                <w:rFonts w:cs="Calibri"/>
                <w:vertAlign w:val="subscript"/>
              </w:rPr>
              <w:t>2</w:t>
            </w:r>
            <w:r w:rsidRPr="009660EC">
              <w:rPr>
                <w:rFonts w:cs="Calibri"/>
              </w:rPr>
              <w:t xml:space="preserve"> emissions (CRF 3.G)</w:t>
            </w:r>
          </w:p>
        </w:tc>
        <w:tc>
          <w:tcPr>
            <w:tcW w:w="801" w:type="dxa"/>
            <w:shd w:val="clear" w:color="auto" w:fill="auto"/>
            <w:vAlign w:val="bottom"/>
          </w:tcPr>
          <w:p w14:paraId="2B0BD308" w14:textId="77777777" w:rsidR="004543E0" w:rsidRPr="009660EC" w:rsidRDefault="004543E0" w:rsidP="007E3239">
            <w:pPr>
              <w:pStyle w:val="TableText"/>
              <w:spacing w:before="50" w:after="50"/>
              <w:jc w:val="right"/>
              <w:rPr>
                <w:rFonts w:cs="Calibri"/>
              </w:rPr>
            </w:pPr>
            <w:r w:rsidRPr="009660EC">
              <w:rPr>
                <w:rFonts w:cs="Calibri"/>
              </w:rPr>
              <w:t>296.5</w:t>
            </w:r>
          </w:p>
        </w:tc>
        <w:tc>
          <w:tcPr>
            <w:tcW w:w="900" w:type="dxa"/>
            <w:shd w:val="clear" w:color="auto" w:fill="auto"/>
            <w:vAlign w:val="bottom"/>
          </w:tcPr>
          <w:p w14:paraId="7FAB9D43" w14:textId="77777777" w:rsidR="004543E0" w:rsidRPr="009660EC" w:rsidRDefault="004543E0" w:rsidP="007E3239">
            <w:pPr>
              <w:pStyle w:val="TableText"/>
              <w:spacing w:before="50" w:after="50"/>
              <w:jc w:val="right"/>
              <w:rPr>
                <w:rFonts w:cs="Calibri"/>
              </w:rPr>
            </w:pPr>
            <w:r w:rsidRPr="009660EC">
              <w:rPr>
                <w:rFonts w:cs="Calibri"/>
              </w:rPr>
              <w:t>409.5</w:t>
            </w:r>
          </w:p>
        </w:tc>
        <w:tc>
          <w:tcPr>
            <w:tcW w:w="1077" w:type="dxa"/>
            <w:shd w:val="clear" w:color="auto" w:fill="auto"/>
            <w:vAlign w:val="bottom"/>
          </w:tcPr>
          <w:p w14:paraId="75BD1EDA" w14:textId="77777777" w:rsidR="004543E0" w:rsidRPr="009660EC" w:rsidRDefault="004543E0" w:rsidP="007E3239">
            <w:pPr>
              <w:pStyle w:val="TableText"/>
              <w:spacing w:before="50" w:after="50"/>
              <w:jc w:val="right"/>
              <w:rPr>
                <w:rFonts w:cs="Calibri"/>
              </w:rPr>
            </w:pPr>
            <w:r w:rsidRPr="009660EC">
              <w:rPr>
                <w:rFonts w:cs="Calibri"/>
              </w:rPr>
              <w:t>38.1</w:t>
            </w:r>
          </w:p>
        </w:tc>
        <w:tc>
          <w:tcPr>
            <w:tcW w:w="996" w:type="dxa"/>
            <w:shd w:val="clear" w:color="auto" w:fill="auto"/>
            <w:vAlign w:val="bottom"/>
          </w:tcPr>
          <w:p w14:paraId="735599C9" w14:textId="77777777" w:rsidR="004543E0" w:rsidRPr="009660EC" w:rsidRDefault="004543E0" w:rsidP="007E3239">
            <w:pPr>
              <w:pStyle w:val="TableText"/>
              <w:spacing w:before="50" w:after="50"/>
              <w:jc w:val="right"/>
              <w:rPr>
                <w:rFonts w:cs="Calibri"/>
              </w:rPr>
            </w:pPr>
            <w:r w:rsidRPr="009660EC">
              <w:rPr>
                <w:rFonts w:cs="Calibri"/>
              </w:rPr>
              <w:t>113.0</w:t>
            </w:r>
          </w:p>
        </w:tc>
        <w:tc>
          <w:tcPr>
            <w:tcW w:w="829" w:type="dxa"/>
            <w:shd w:val="clear" w:color="auto" w:fill="auto"/>
            <w:vAlign w:val="bottom"/>
          </w:tcPr>
          <w:p w14:paraId="35F9B951" w14:textId="77777777" w:rsidR="004543E0" w:rsidRPr="009660EC" w:rsidRDefault="004543E0" w:rsidP="007E3239">
            <w:pPr>
              <w:pStyle w:val="TableText"/>
              <w:spacing w:before="50" w:after="50"/>
              <w:jc w:val="right"/>
              <w:rPr>
                <w:rFonts w:cs="Calibri"/>
              </w:rPr>
            </w:pPr>
            <w:r w:rsidRPr="009660EC">
              <w:rPr>
                <w:rFonts w:cs="Calibri"/>
              </w:rPr>
              <w:t>0.9</w:t>
            </w:r>
          </w:p>
        </w:tc>
        <w:tc>
          <w:tcPr>
            <w:tcW w:w="730" w:type="dxa"/>
            <w:shd w:val="clear" w:color="auto" w:fill="auto"/>
            <w:vAlign w:val="bottom"/>
          </w:tcPr>
          <w:p w14:paraId="484737A9" w14:textId="77777777" w:rsidR="004543E0" w:rsidRPr="009660EC" w:rsidRDefault="004543E0" w:rsidP="007E3239">
            <w:pPr>
              <w:pStyle w:val="TableText"/>
              <w:spacing w:before="50" w:after="50"/>
              <w:jc w:val="right"/>
              <w:rPr>
                <w:rFonts w:cs="Calibri"/>
              </w:rPr>
            </w:pPr>
            <w:r w:rsidRPr="009660EC">
              <w:rPr>
                <w:rFonts w:cs="Calibri"/>
              </w:rPr>
              <w:t>1.0</w:t>
            </w:r>
          </w:p>
        </w:tc>
      </w:tr>
      <w:tr w:rsidR="004543E0" w:rsidRPr="009660EC" w14:paraId="17F884FD" w14:textId="77777777" w:rsidTr="001C0B1A">
        <w:tc>
          <w:tcPr>
            <w:tcW w:w="3232" w:type="dxa"/>
            <w:shd w:val="clear" w:color="auto" w:fill="auto"/>
            <w:vAlign w:val="bottom"/>
          </w:tcPr>
          <w:p w14:paraId="7E610064" w14:textId="77777777" w:rsidR="004543E0" w:rsidRPr="009660EC" w:rsidRDefault="004543E0" w:rsidP="007E3239">
            <w:pPr>
              <w:pStyle w:val="TableText"/>
              <w:spacing w:before="50" w:after="50"/>
              <w:rPr>
                <w:rFonts w:cs="Calibri"/>
              </w:rPr>
            </w:pPr>
            <w:r w:rsidRPr="009660EC">
              <w:rPr>
                <w:rFonts w:cs="Calibri"/>
              </w:rPr>
              <w:t>Urea application CO</w:t>
            </w:r>
            <w:r w:rsidRPr="009660EC">
              <w:rPr>
                <w:rFonts w:cs="Calibri"/>
                <w:vertAlign w:val="subscript"/>
              </w:rPr>
              <w:t>2</w:t>
            </w:r>
            <w:r w:rsidRPr="009660EC">
              <w:rPr>
                <w:rFonts w:cs="Calibri"/>
              </w:rPr>
              <w:t xml:space="preserve"> emissions (CRF 3.H)</w:t>
            </w:r>
          </w:p>
        </w:tc>
        <w:tc>
          <w:tcPr>
            <w:tcW w:w="801" w:type="dxa"/>
            <w:shd w:val="clear" w:color="auto" w:fill="auto"/>
            <w:vAlign w:val="bottom"/>
          </w:tcPr>
          <w:p w14:paraId="6A58E59A" w14:textId="77777777" w:rsidR="004543E0" w:rsidRPr="009660EC" w:rsidRDefault="004543E0" w:rsidP="007E3239">
            <w:pPr>
              <w:pStyle w:val="TableText"/>
              <w:spacing w:before="50" w:after="50"/>
              <w:jc w:val="right"/>
              <w:rPr>
                <w:rFonts w:cs="Calibri"/>
              </w:rPr>
            </w:pPr>
            <w:r w:rsidRPr="009660EC">
              <w:rPr>
                <w:rFonts w:cs="Calibri"/>
              </w:rPr>
              <w:t>39.2</w:t>
            </w:r>
          </w:p>
        </w:tc>
        <w:tc>
          <w:tcPr>
            <w:tcW w:w="900" w:type="dxa"/>
            <w:shd w:val="clear" w:color="auto" w:fill="auto"/>
            <w:vAlign w:val="bottom"/>
          </w:tcPr>
          <w:p w14:paraId="6F6D26B9" w14:textId="77777777" w:rsidR="004543E0" w:rsidRPr="009660EC" w:rsidRDefault="004543E0" w:rsidP="007E3239">
            <w:pPr>
              <w:pStyle w:val="TableText"/>
              <w:spacing w:before="50" w:after="50"/>
              <w:jc w:val="right"/>
              <w:rPr>
                <w:rFonts w:cs="Calibri"/>
              </w:rPr>
            </w:pPr>
            <w:r w:rsidRPr="009660EC">
              <w:rPr>
                <w:rFonts w:cs="Calibri"/>
              </w:rPr>
              <w:t>542.0</w:t>
            </w:r>
          </w:p>
        </w:tc>
        <w:tc>
          <w:tcPr>
            <w:tcW w:w="1077" w:type="dxa"/>
            <w:shd w:val="clear" w:color="auto" w:fill="auto"/>
            <w:vAlign w:val="bottom"/>
          </w:tcPr>
          <w:p w14:paraId="497388FC" w14:textId="77777777" w:rsidR="004543E0" w:rsidRPr="009660EC" w:rsidRDefault="004543E0" w:rsidP="007E3239">
            <w:pPr>
              <w:pStyle w:val="TableText"/>
              <w:spacing w:before="50" w:after="50"/>
              <w:jc w:val="right"/>
              <w:rPr>
                <w:rFonts w:cs="Calibri"/>
              </w:rPr>
            </w:pPr>
            <w:r w:rsidRPr="009660EC">
              <w:rPr>
                <w:rFonts w:cs="Calibri"/>
              </w:rPr>
              <w:t>1,282.9</w:t>
            </w:r>
          </w:p>
        </w:tc>
        <w:tc>
          <w:tcPr>
            <w:tcW w:w="996" w:type="dxa"/>
            <w:shd w:val="clear" w:color="auto" w:fill="auto"/>
            <w:vAlign w:val="bottom"/>
          </w:tcPr>
          <w:p w14:paraId="705AF619" w14:textId="77777777" w:rsidR="004543E0" w:rsidRPr="009660EC" w:rsidRDefault="004543E0" w:rsidP="007E3239">
            <w:pPr>
              <w:pStyle w:val="TableText"/>
              <w:spacing w:before="50" w:after="50"/>
              <w:jc w:val="right"/>
              <w:rPr>
                <w:rFonts w:cs="Calibri"/>
              </w:rPr>
            </w:pPr>
            <w:r w:rsidRPr="009660EC">
              <w:rPr>
                <w:rFonts w:cs="Calibri"/>
              </w:rPr>
              <w:t>502.8</w:t>
            </w:r>
          </w:p>
        </w:tc>
        <w:tc>
          <w:tcPr>
            <w:tcW w:w="829" w:type="dxa"/>
            <w:shd w:val="clear" w:color="auto" w:fill="auto"/>
            <w:vAlign w:val="bottom"/>
          </w:tcPr>
          <w:p w14:paraId="6CA01304" w14:textId="77777777" w:rsidR="004543E0" w:rsidRPr="009660EC" w:rsidRDefault="004543E0" w:rsidP="007E3239">
            <w:pPr>
              <w:pStyle w:val="TableText"/>
              <w:spacing w:before="50" w:after="50"/>
              <w:jc w:val="right"/>
              <w:rPr>
                <w:rFonts w:cs="Calibri"/>
              </w:rPr>
            </w:pPr>
            <w:r w:rsidRPr="009660EC">
              <w:rPr>
                <w:rFonts w:cs="Calibri"/>
              </w:rPr>
              <w:t>0.1</w:t>
            </w:r>
          </w:p>
        </w:tc>
        <w:tc>
          <w:tcPr>
            <w:tcW w:w="730" w:type="dxa"/>
            <w:shd w:val="clear" w:color="auto" w:fill="auto"/>
            <w:vAlign w:val="bottom"/>
          </w:tcPr>
          <w:p w14:paraId="54067D0F" w14:textId="77777777" w:rsidR="004543E0" w:rsidRPr="009660EC" w:rsidRDefault="004543E0" w:rsidP="007E3239">
            <w:pPr>
              <w:pStyle w:val="TableText"/>
              <w:spacing w:before="50" w:after="50"/>
              <w:jc w:val="right"/>
              <w:rPr>
                <w:rFonts w:cs="Calibri"/>
              </w:rPr>
            </w:pPr>
            <w:r w:rsidRPr="009660EC">
              <w:rPr>
                <w:rFonts w:cs="Calibri"/>
              </w:rPr>
              <w:t>1.4</w:t>
            </w:r>
          </w:p>
        </w:tc>
      </w:tr>
      <w:tr w:rsidR="004543E0" w:rsidRPr="009660EC" w14:paraId="3A9A4978" w14:textId="77777777" w:rsidTr="001C0B1A">
        <w:tc>
          <w:tcPr>
            <w:tcW w:w="3232" w:type="dxa"/>
            <w:shd w:val="clear" w:color="auto" w:fill="auto"/>
            <w:vAlign w:val="bottom"/>
          </w:tcPr>
          <w:p w14:paraId="34129DE6" w14:textId="77777777" w:rsidR="004543E0" w:rsidRPr="009660EC" w:rsidRDefault="004543E0" w:rsidP="007E3239">
            <w:pPr>
              <w:pStyle w:val="TableText"/>
              <w:spacing w:before="50" w:after="50"/>
              <w:rPr>
                <w:rFonts w:cs="Calibri"/>
              </w:rPr>
            </w:pPr>
            <w:r w:rsidRPr="009660EC">
              <w:rPr>
                <w:rFonts w:cs="Calibri"/>
              </w:rPr>
              <w:t>Other carbon-containing fertilisers (CRF 3.i)</w:t>
            </w:r>
          </w:p>
        </w:tc>
        <w:tc>
          <w:tcPr>
            <w:tcW w:w="801" w:type="dxa"/>
            <w:shd w:val="clear" w:color="auto" w:fill="auto"/>
            <w:vAlign w:val="bottom"/>
          </w:tcPr>
          <w:p w14:paraId="49405F0A" w14:textId="77777777" w:rsidR="004543E0" w:rsidRPr="009660EC" w:rsidRDefault="004543E0" w:rsidP="007E3239">
            <w:pPr>
              <w:pStyle w:val="TableText"/>
              <w:spacing w:before="50" w:after="50"/>
              <w:jc w:val="right"/>
              <w:rPr>
                <w:rFonts w:cs="Calibri"/>
              </w:rPr>
            </w:pPr>
            <w:r w:rsidRPr="009660EC">
              <w:rPr>
                <w:rFonts w:cs="Calibri"/>
              </w:rPr>
              <w:t>NE</w:t>
            </w:r>
          </w:p>
        </w:tc>
        <w:tc>
          <w:tcPr>
            <w:tcW w:w="900" w:type="dxa"/>
            <w:shd w:val="clear" w:color="auto" w:fill="auto"/>
            <w:vAlign w:val="bottom"/>
          </w:tcPr>
          <w:p w14:paraId="458ADE58" w14:textId="77777777" w:rsidR="004543E0" w:rsidRPr="009660EC" w:rsidRDefault="004543E0" w:rsidP="007E3239">
            <w:pPr>
              <w:pStyle w:val="TableText"/>
              <w:spacing w:before="50" w:after="50"/>
              <w:jc w:val="right"/>
              <w:rPr>
                <w:rFonts w:cs="Calibri"/>
              </w:rPr>
            </w:pPr>
            <w:r w:rsidRPr="009660EC">
              <w:rPr>
                <w:rFonts w:cs="Calibri"/>
              </w:rPr>
              <w:t>NE</w:t>
            </w:r>
          </w:p>
        </w:tc>
        <w:tc>
          <w:tcPr>
            <w:tcW w:w="1077" w:type="dxa"/>
            <w:shd w:val="clear" w:color="auto" w:fill="auto"/>
            <w:vAlign w:val="bottom"/>
          </w:tcPr>
          <w:p w14:paraId="7B80BC64" w14:textId="77777777" w:rsidR="004543E0" w:rsidRPr="009660EC" w:rsidRDefault="004543E0" w:rsidP="007E3239">
            <w:pPr>
              <w:pStyle w:val="TableText"/>
              <w:spacing w:before="50" w:after="50"/>
              <w:jc w:val="right"/>
              <w:rPr>
                <w:rFonts w:cs="Calibri"/>
              </w:rPr>
            </w:pPr>
            <w:r w:rsidRPr="009660EC">
              <w:rPr>
                <w:rFonts w:cs="Calibri"/>
              </w:rPr>
              <w:t>–</w:t>
            </w:r>
          </w:p>
        </w:tc>
        <w:tc>
          <w:tcPr>
            <w:tcW w:w="996" w:type="dxa"/>
            <w:shd w:val="clear" w:color="auto" w:fill="auto"/>
            <w:vAlign w:val="bottom"/>
          </w:tcPr>
          <w:p w14:paraId="14C85426" w14:textId="77777777" w:rsidR="004543E0" w:rsidRPr="009660EC" w:rsidRDefault="004543E0" w:rsidP="007E3239">
            <w:pPr>
              <w:pStyle w:val="TableText"/>
              <w:spacing w:before="50" w:after="50"/>
              <w:jc w:val="right"/>
              <w:rPr>
                <w:rFonts w:cs="Calibri"/>
              </w:rPr>
            </w:pPr>
            <w:r w:rsidRPr="009660EC">
              <w:rPr>
                <w:rFonts w:cs="Calibri"/>
              </w:rPr>
              <w:t>–</w:t>
            </w:r>
          </w:p>
        </w:tc>
        <w:tc>
          <w:tcPr>
            <w:tcW w:w="829" w:type="dxa"/>
            <w:shd w:val="clear" w:color="auto" w:fill="auto"/>
            <w:vAlign w:val="bottom"/>
          </w:tcPr>
          <w:p w14:paraId="6450E72E" w14:textId="77777777" w:rsidR="004543E0" w:rsidRPr="009660EC" w:rsidRDefault="004543E0" w:rsidP="007E3239">
            <w:pPr>
              <w:pStyle w:val="TableText"/>
              <w:spacing w:before="50" w:after="50"/>
              <w:jc w:val="right"/>
              <w:rPr>
                <w:rFonts w:cs="Calibri"/>
              </w:rPr>
            </w:pPr>
            <w:r w:rsidRPr="009660EC">
              <w:rPr>
                <w:rFonts w:cs="Calibri"/>
              </w:rPr>
              <w:t>–</w:t>
            </w:r>
          </w:p>
        </w:tc>
        <w:tc>
          <w:tcPr>
            <w:tcW w:w="730" w:type="dxa"/>
            <w:shd w:val="clear" w:color="auto" w:fill="auto"/>
            <w:vAlign w:val="bottom"/>
          </w:tcPr>
          <w:p w14:paraId="0EC1C474" w14:textId="77777777" w:rsidR="004543E0" w:rsidRPr="009660EC" w:rsidRDefault="004543E0" w:rsidP="007E3239">
            <w:pPr>
              <w:pStyle w:val="TableText"/>
              <w:spacing w:before="50" w:after="50"/>
              <w:jc w:val="right"/>
              <w:rPr>
                <w:rFonts w:cs="Calibri"/>
              </w:rPr>
            </w:pPr>
            <w:r w:rsidRPr="009660EC">
              <w:rPr>
                <w:rFonts w:cs="Calibri"/>
              </w:rPr>
              <w:t>–</w:t>
            </w:r>
          </w:p>
        </w:tc>
      </w:tr>
      <w:tr w:rsidR="004543E0" w:rsidRPr="009660EC" w14:paraId="0064AC47" w14:textId="77777777" w:rsidTr="001C0B1A">
        <w:tc>
          <w:tcPr>
            <w:tcW w:w="3232" w:type="dxa"/>
            <w:shd w:val="clear" w:color="auto" w:fill="auto"/>
            <w:vAlign w:val="bottom"/>
          </w:tcPr>
          <w:p w14:paraId="4C014454" w14:textId="77777777" w:rsidR="004543E0" w:rsidRPr="009660EC" w:rsidRDefault="004543E0" w:rsidP="007E3239">
            <w:pPr>
              <w:pStyle w:val="TableText"/>
              <w:spacing w:before="50" w:after="50"/>
              <w:rPr>
                <w:rFonts w:cs="Calibri"/>
                <w:b/>
                <w:bCs/>
                <w:color w:val="1B556B"/>
              </w:rPr>
            </w:pPr>
            <w:r w:rsidRPr="009660EC">
              <w:rPr>
                <w:rFonts w:cs="Calibri"/>
                <w:b/>
                <w:bCs/>
                <w:color w:val="1B556B"/>
              </w:rPr>
              <w:t>Total</w:t>
            </w:r>
          </w:p>
        </w:tc>
        <w:tc>
          <w:tcPr>
            <w:tcW w:w="801" w:type="dxa"/>
            <w:shd w:val="clear" w:color="auto" w:fill="auto"/>
            <w:vAlign w:val="bottom"/>
          </w:tcPr>
          <w:p w14:paraId="67A72C25" w14:textId="77777777" w:rsidR="004543E0" w:rsidRPr="009660EC" w:rsidRDefault="004543E0" w:rsidP="007E3239">
            <w:pPr>
              <w:pStyle w:val="TableText"/>
              <w:spacing w:before="50" w:after="50"/>
              <w:jc w:val="right"/>
              <w:rPr>
                <w:rFonts w:cs="Calibri"/>
                <w:b/>
                <w:bCs/>
                <w:color w:val="1B556B"/>
              </w:rPr>
            </w:pPr>
            <w:r w:rsidRPr="009660EC">
              <w:rPr>
                <w:rFonts w:cs="Calibri"/>
                <w:b/>
                <w:bCs/>
                <w:color w:val="1B556B"/>
              </w:rPr>
              <w:t>33,792.9</w:t>
            </w:r>
          </w:p>
        </w:tc>
        <w:tc>
          <w:tcPr>
            <w:tcW w:w="900" w:type="dxa"/>
            <w:shd w:val="clear" w:color="auto" w:fill="auto"/>
            <w:vAlign w:val="bottom"/>
          </w:tcPr>
          <w:p w14:paraId="13557B49" w14:textId="77777777" w:rsidR="004543E0" w:rsidRPr="009660EC" w:rsidRDefault="004543E0" w:rsidP="007E3239">
            <w:pPr>
              <w:pStyle w:val="TableText"/>
              <w:spacing w:before="50" w:after="50"/>
              <w:jc w:val="right"/>
              <w:rPr>
                <w:rFonts w:cs="Calibri"/>
                <w:b/>
                <w:bCs/>
                <w:color w:val="1B556B"/>
              </w:rPr>
            </w:pPr>
            <w:r w:rsidRPr="009660EC">
              <w:rPr>
                <w:rFonts w:cs="Calibri"/>
                <w:b/>
                <w:bCs/>
                <w:color w:val="1B556B"/>
              </w:rPr>
              <w:t>39,425.5</w:t>
            </w:r>
          </w:p>
        </w:tc>
        <w:tc>
          <w:tcPr>
            <w:tcW w:w="1077" w:type="dxa"/>
            <w:shd w:val="clear" w:color="auto" w:fill="auto"/>
            <w:vAlign w:val="bottom"/>
          </w:tcPr>
          <w:p w14:paraId="51674BF4" w14:textId="77777777" w:rsidR="004543E0" w:rsidRPr="009660EC" w:rsidRDefault="004543E0" w:rsidP="007E3239">
            <w:pPr>
              <w:pStyle w:val="TableText"/>
              <w:spacing w:before="50" w:after="50"/>
              <w:jc w:val="right"/>
              <w:rPr>
                <w:rFonts w:cs="Calibri"/>
                <w:b/>
                <w:bCs/>
                <w:color w:val="1B556B"/>
              </w:rPr>
            </w:pPr>
            <w:r w:rsidRPr="009660EC">
              <w:rPr>
                <w:rFonts w:cs="Calibri"/>
                <w:b/>
                <w:bCs/>
                <w:color w:val="1B556B"/>
              </w:rPr>
              <w:t>16.7</w:t>
            </w:r>
          </w:p>
        </w:tc>
        <w:tc>
          <w:tcPr>
            <w:tcW w:w="996" w:type="dxa"/>
            <w:shd w:val="clear" w:color="auto" w:fill="auto"/>
            <w:vAlign w:val="bottom"/>
          </w:tcPr>
          <w:p w14:paraId="02D99E78" w14:textId="77777777" w:rsidR="004543E0" w:rsidRPr="009660EC" w:rsidRDefault="004543E0" w:rsidP="007E3239">
            <w:pPr>
              <w:pStyle w:val="TableText"/>
              <w:spacing w:before="50" w:after="50"/>
              <w:jc w:val="right"/>
              <w:rPr>
                <w:rFonts w:cs="Calibri"/>
                <w:b/>
                <w:bCs/>
                <w:color w:val="1B556B"/>
              </w:rPr>
            </w:pPr>
            <w:r w:rsidRPr="009660EC">
              <w:rPr>
                <w:rFonts w:cs="Calibri"/>
                <w:b/>
                <w:bCs/>
                <w:color w:val="1B556B"/>
              </w:rPr>
              <w:t>5,632.7</w:t>
            </w:r>
          </w:p>
        </w:tc>
        <w:tc>
          <w:tcPr>
            <w:tcW w:w="829" w:type="dxa"/>
            <w:shd w:val="clear" w:color="auto" w:fill="auto"/>
            <w:vAlign w:val="bottom"/>
          </w:tcPr>
          <w:p w14:paraId="71A1185D" w14:textId="77777777" w:rsidR="004543E0" w:rsidRPr="009660EC" w:rsidRDefault="004543E0" w:rsidP="007E3239">
            <w:pPr>
              <w:pStyle w:val="TableText"/>
              <w:spacing w:before="50" w:after="50"/>
              <w:jc w:val="right"/>
              <w:rPr>
                <w:rFonts w:cs="Calibri"/>
                <w:b/>
                <w:bCs/>
                <w:color w:val="1B556B"/>
              </w:rPr>
            </w:pPr>
            <w:r w:rsidRPr="009660EC">
              <w:rPr>
                <w:rFonts w:cs="Calibri"/>
                <w:b/>
                <w:bCs/>
                <w:color w:val="1B556B"/>
              </w:rPr>
              <w:t>100</w:t>
            </w:r>
          </w:p>
        </w:tc>
        <w:tc>
          <w:tcPr>
            <w:tcW w:w="730" w:type="dxa"/>
            <w:shd w:val="clear" w:color="auto" w:fill="auto"/>
            <w:vAlign w:val="bottom"/>
          </w:tcPr>
          <w:p w14:paraId="4C309F86" w14:textId="77777777" w:rsidR="004543E0" w:rsidRPr="009660EC" w:rsidRDefault="004543E0" w:rsidP="007E3239">
            <w:pPr>
              <w:pStyle w:val="TableText"/>
              <w:spacing w:before="50" w:after="50"/>
              <w:jc w:val="right"/>
              <w:rPr>
                <w:rFonts w:cs="Calibri"/>
                <w:b/>
                <w:bCs/>
                <w:color w:val="1B556B"/>
              </w:rPr>
            </w:pPr>
            <w:r w:rsidRPr="009660EC">
              <w:rPr>
                <w:rFonts w:cs="Calibri"/>
                <w:b/>
                <w:bCs/>
                <w:color w:val="1B556B"/>
              </w:rPr>
              <w:t>100</w:t>
            </w:r>
          </w:p>
        </w:tc>
      </w:tr>
    </w:tbl>
    <w:p w14:paraId="3131D60B" w14:textId="77777777" w:rsidR="004543E0" w:rsidRPr="009660EC" w:rsidRDefault="004543E0" w:rsidP="004543E0">
      <w:pPr>
        <w:pStyle w:val="Noteundertable"/>
        <w:rPr>
          <w:rFonts w:cs="Calibri"/>
        </w:rPr>
      </w:pPr>
      <w:r w:rsidRPr="009660EC">
        <w:rPr>
          <w:rFonts w:cs="Calibri"/>
          <w:b/>
          <w:bCs/>
        </w:rPr>
        <w:t>Note:</w:t>
      </w:r>
      <w:r w:rsidRPr="009660EC">
        <w:rPr>
          <w:rFonts w:cs="Calibri"/>
        </w:rPr>
        <w:t xml:space="preserve"> </w:t>
      </w:r>
      <w:r w:rsidRPr="009660EC">
        <w:rPr>
          <w:rFonts w:cs="Calibri"/>
        </w:rPr>
        <w:tab/>
        <w:t>NO = not occurring, NE = not estimated. Percentages presented are calculated from unrounded values.</w:t>
      </w:r>
    </w:p>
    <w:p w14:paraId="5FED2AF4" w14:textId="77777777" w:rsidR="004543E0" w:rsidRPr="009660EC" w:rsidRDefault="004543E0" w:rsidP="004543E0">
      <w:pPr>
        <w:pStyle w:val="BodyText"/>
        <w:rPr>
          <w:rFonts w:cs="Calibri"/>
          <w:spacing w:val="-2"/>
        </w:rPr>
      </w:pPr>
      <w:r w:rsidRPr="009660EC">
        <w:rPr>
          <w:rFonts w:cs="Calibri"/>
        </w:rPr>
        <w:t xml:space="preserve">The greatest contributions to the increase since 1990 are a 48.7 per cent (2,581.9 kt </w:t>
      </w:r>
      <w:r w:rsidRPr="009660EC">
        <w:rPr>
          <w:rFonts w:cs="Calibri"/>
          <w:spacing w:val="-2"/>
        </w:rPr>
        <w:t>CO</w:t>
      </w:r>
      <w:r w:rsidRPr="009660EC">
        <w:rPr>
          <w:rFonts w:cs="Calibri"/>
          <w:spacing w:val="-2"/>
          <w:vertAlign w:val="subscript"/>
        </w:rPr>
        <w:t>2</w:t>
      </w:r>
      <w:r w:rsidRPr="009660EC">
        <w:rPr>
          <w:rFonts w:cs="Calibri"/>
          <w:spacing w:val="-2"/>
        </w:rPr>
        <w:t>-e) increase in N</w:t>
      </w:r>
      <w:r w:rsidRPr="009660EC">
        <w:rPr>
          <w:rFonts w:cs="Calibri"/>
          <w:spacing w:val="-2"/>
          <w:vertAlign w:val="subscript"/>
        </w:rPr>
        <w:t>2</w:t>
      </w:r>
      <w:r w:rsidRPr="009660EC">
        <w:rPr>
          <w:rFonts w:cs="Calibri"/>
          <w:spacing w:val="-2"/>
        </w:rPr>
        <w:t xml:space="preserve">O emissions from </w:t>
      </w:r>
      <w:r w:rsidRPr="009660EC">
        <w:rPr>
          <w:rFonts w:cs="Calibri"/>
          <w:i/>
          <w:iCs/>
          <w:spacing w:val="-2"/>
        </w:rPr>
        <w:t>Agricultural soils</w:t>
      </w:r>
      <w:r w:rsidRPr="009660EC">
        <w:rPr>
          <w:rFonts w:cs="Calibri"/>
        </w:rPr>
        <w:t xml:space="preserve"> </w:t>
      </w:r>
      <w:r w:rsidRPr="009660EC">
        <w:rPr>
          <w:rFonts w:cs="Calibri"/>
          <w:spacing w:val="-2"/>
        </w:rPr>
        <w:t>and a 5.4 per cent (1,481.1 kt CO</w:t>
      </w:r>
      <w:r w:rsidRPr="009660EC">
        <w:rPr>
          <w:rFonts w:cs="Calibri"/>
          <w:spacing w:val="-2"/>
          <w:vertAlign w:val="subscript"/>
        </w:rPr>
        <w:t>2</w:t>
      </w:r>
      <w:r w:rsidRPr="009660EC">
        <w:rPr>
          <w:rFonts w:cs="Calibri"/>
          <w:spacing w:val="-2"/>
        </w:rPr>
        <w:noBreakHyphen/>
        <w:t>e</w:t>
      </w:r>
      <w:r w:rsidRPr="009660EC">
        <w:rPr>
          <w:rFonts w:cs="Calibri"/>
        </w:rPr>
        <w:t>)</w:t>
      </w:r>
      <w:r w:rsidRPr="009660EC">
        <w:rPr>
          <w:rFonts w:cs="Calibri"/>
          <w:spacing w:val="-2"/>
        </w:rPr>
        <w:t xml:space="preserve"> increase in CH</w:t>
      </w:r>
      <w:r w:rsidRPr="009660EC">
        <w:rPr>
          <w:rFonts w:cs="Calibri"/>
          <w:spacing w:val="-2"/>
          <w:vertAlign w:val="subscript"/>
        </w:rPr>
        <w:t>4</w:t>
      </w:r>
      <w:r w:rsidRPr="009660EC">
        <w:rPr>
          <w:rFonts w:cs="Calibri"/>
          <w:spacing w:val="-2"/>
        </w:rPr>
        <w:t xml:space="preserve"> emissions from </w:t>
      </w:r>
      <w:r w:rsidRPr="009660EC">
        <w:rPr>
          <w:rFonts w:cs="Calibri"/>
          <w:i/>
          <w:iCs/>
          <w:spacing w:val="-2"/>
        </w:rPr>
        <w:t xml:space="preserve">Enteric fermentation </w:t>
      </w:r>
      <w:r w:rsidRPr="009660EC">
        <w:rPr>
          <w:rFonts w:cs="Calibri"/>
        </w:rPr>
        <w:t xml:space="preserve">(figure 5.1.1). </w:t>
      </w:r>
    </w:p>
    <w:p w14:paraId="1342C29F" w14:textId="77777777" w:rsidR="004543E0" w:rsidRPr="009660EC" w:rsidRDefault="004543E0" w:rsidP="004543E0">
      <w:pPr>
        <w:pStyle w:val="BodyText"/>
        <w:rPr>
          <w:rFonts w:cs="Calibri"/>
        </w:rPr>
      </w:pPr>
      <w:r w:rsidRPr="009660EC">
        <w:rPr>
          <w:rFonts w:cs="Calibri"/>
          <w:spacing w:val="-2"/>
        </w:rPr>
        <w:lastRenderedPageBreak/>
        <w:t>The increase in N</w:t>
      </w:r>
      <w:r w:rsidRPr="009660EC">
        <w:rPr>
          <w:rFonts w:cs="Calibri"/>
          <w:spacing w:val="-2"/>
          <w:vertAlign w:val="subscript"/>
        </w:rPr>
        <w:t>2</w:t>
      </w:r>
      <w:r w:rsidRPr="009660EC">
        <w:rPr>
          <w:rFonts w:cs="Calibri"/>
          <w:spacing w:val="-2"/>
        </w:rPr>
        <w:t xml:space="preserve">O emissions from </w:t>
      </w:r>
      <w:r w:rsidRPr="009660EC">
        <w:rPr>
          <w:rFonts w:cs="Calibri"/>
          <w:i/>
          <w:iCs/>
          <w:spacing w:val="-2"/>
        </w:rPr>
        <w:t>Agricultural soils</w:t>
      </w:r>
      <w:r w:rsidRPr="009660EC">
        <w:rPr>
          <w:rFonts w:cs="Calibri"/>
          <w:spacing w:val="-2"/>
        </w:rPr>
        <w:t xml:space="preserve"> is primarily a result of increased application</w:t>
      </w:r>
      <w:r w:rsidRPr="009660EC">
        <w:rPr>
          <w:rFonts w:cs="Calibri"/>
        </w:rPr>
        <w:t xml:space="preserve"> of synthetic nitrogen fertiliser by around 693 per cent</w:t>
      </w:r>
      <w:r w:rsidRPr="009660EC" w:rsidDel="00721C02">
        <w:rPr>
          <w:rFonts w:cs="Calibri"/>
        </w:rPr>
        <w:t xml:space="preserve"> </w:t>
      </w:r>
      <w:r w:rsidRPr="009660EC">
        <w:rPr>
          <w:rFonts w:cs="Calibri"/>
        </w:rPr>
        <w:t>since 1990, partly due to an increase in dairy farming.</w:t>
      </w:r>
    </w:p>
    <w:p w14:paraId="033118B2" w14:textId="77777777" w:rsidR="004543E0" w:rsidRPr="009660EC" w:rsidRDefault="004543E0" w:rsidP="004543E0">
      <w:pPr>
        <w:pStyle w:val="BodyText"/>
        <w:rPr>
          <w:rFonts w:cs="Calibri"/>
        </w:rPr>
      </w:pPr>
      <w:r w:rsidRPr="009660EC">
        <w:rPr>
          <w:rFonts w:cs="Calibri"/>
        </w:rPr>
        <w:t xml:space="preserve">The increase in emissions from </w:t>
      </w:r>
      <w:r w:rsidRPr="009660EC">
        <w:rPr>
          <w:rFonts w:cs="Calibri"/>
          <w:i/>
          <w:iCs/>
        </w:rPr>
        <w:t>Enteric fermentation</w:t>
      </w:r>
      <w:r w:rsidRPr="009660EC">
        <w:rPr>
          <w:rFonts w:cs="Calibri"/>
        </w:rPr>
        <w:t xml:space="preserve"> is driven by an increase in dairy cattle </w:t>
      </w:r>
      <w:r w:rsidRPr="009660EC">
        <w:rPr>
          <w:rFonts w:cs="Calibri"/>
          <w:spacing w:val="-2"/>
        </w:rPr>
        <w:t>numbers, which have been partially offset by a decrease in beef cattle and sheep numbers. The</w:t>
      </w:r>
      <w:r w:rsidRPr="009660EC">
        <w:rPr>
          <w:rFonts w:cs="Calibri"/>
        </w:rPr>
        <w:t xml:space="preserve"> change in animal populations since 1990 reflects the relative financial returns in each animal sector (it has been more profitable to farm dairy cattle than beef cattle or sheep in New Zealand over the reporting period) and changes in New Zealand’s regulatory environment, especially with regard to improving freshwater quality. </w:t>
      </w:r>
    </w:p>
    <w:p w14:paraId="0D8D0A5B" w14:textId="77777777" w:rsidR="004543E0" w:rsidRPr="009660EC" w:rsidRDefault="004543E0" w:rsidP="004543E0">
      <w:pPr>
        <w:pStyle w:val="Figure"/>
      </w:pPr>
      <w:bookmarkStart w:id="573" w:name="_Toc32570956"/>
      <w:bookmarkStart w:id="574" w:name="_Toc36292786"/>
      <w:bookmarkStart w:id="575" w:name="_Toc68786651"/>
      <w:bookmarkStart w:id="576" w:name="_Toc95574112"/>
      <w:bookmarkStart w:id="577" w:name="_Toc99696031"/>
      <w:r w:rsidRPr="009660EC">
        <w:t>Figure 5.1.1</w:t>
      </w:r>
      <w:r w:rsidRPr="009660EC">
        <w:tab/>
        <w:t>Change in New Zealand’s emissions from the Agriculture sector from 1990 to </w:t>
      </w:r>
      <w:bookmarkEnd w:id="573"/>
      <w:bookmarkEnd w:id="574"/>
      <w:bookmarkEnd w:id="575"/>
      <w:r w:rsidRPr="009660EC">
        <w:t>2020</w:t>
      </w:r>
      <w:bookmarkEnd w:id="576"/>
      <w:bookmarkEnd w:id="577"/>
    </w:p>
    <w:p w14:paraId="76D3068C" w14:textId="19A80DF2" w:rsidR="004543E0" w:rsidRPr="009660EC" w:rsidRDefault="004B48CC" w:rsidP="004543E0">
      <w:pPr>
        <w:pStyle w:val="BodyText"/>
        <w:spacing w:before="0"/>
        <w:rPr>
          <w:rFonts w:cs="Calibri"/>
        </w:rPr>
      </w:pPr>
      <w:r>
        <w:rPr>
          <w:rFonts w:cs="Calibri"/>
        </w:rPr>
        <w:pict w14:anchorId="6B25DFC6">
          <v:shape id="_x0000_i1068" type="#_x0000_t75" style="width:424.45pt;height:262.05pt;mso-left-percent:-10001;mso-top-percent:-10001;mso-position-horizontal:absolute;mso-position-horizontal-relative:char;mso-position-vertical:absolute;mso-position-vertical-relative:line;mso-left-percent:-10001;mso-top-percent:-10001">
            <v:imagedata r:id="rId95" o:title=""/>
          </v:shape>
        </w:pict>
      </w:r>
    </w:p>
    <w:p w14:paraId="18AF1043" w14:textId="77777777" w:rsidR="004543E0" w:rsidRPr="009660EC" w:rsidRDefault="004543E0" w:rsidP="004543E0">
      <w:pPr>
        <w:pStyle w:val="Noteundertable"/>
        <w:spacing w:before="0"/>
        <w:rPr>
          <w:rFonts w:cs="Calibri"/>
        </w:rPr>
      </w:pPr>
      <w:r w:rsidRPr="009660EC">
        <w:rPr>
          <w:rFonts w:cs="Calibri"/>
          <w:b/>
          <w:bCs/>
        </w:rPr>
        <w:t>Note:</w:t>
      </w:r>
      <w:r w:rsidRPr="009660EC">
        <w:rPr>
          <w:rFonts w:cs="Calibri"/>
        </w:rPr>
        <w:t xml:space="preserve"> </w:t>
      </w:r>
      <w:r w:rsidRPr="009660EC">
        <w:rPr>
          <w:rFonts w:cs="Calibri"/>
        </w:rPr>
        <w:tab/>
        <w:t xml:space="preserve">Rice cultivation does not occur (NO) in New Zealand. Emissions from other carbon-containing fertilisers are not estimated (NE). </w:t>
      </w:r>
    </w:p>
    <w:p w14:paraId="0F0FA74B" w14:textId="77777777" w:rsidR="004543E0" w:rsidRPr="009660EC" w:rsidRDefault="004543E0" w:rsidP="004543E0">
      <w:pPr>
        <w:pStyle w:val="BodyText"/>
        <w:rPr>
          <w:rFonts w:cs="Calibri"/>
        </w:rPr>
      </w:pPr>
      <w:r w:rsidRPr="009660EC">
        <w:rPr>
          <w:rFonts w:cs="Calibri"/>
        </w:rPr>
        <w:t xml:space="preserve">Agriculture emissions peaked at 39,922.8 kt </w:t>
      </w:r>
      <w:r w:rsidRPr="009660EC">
        <w:t>CO</w:t>
      </w:r>
      <w:r w:rsidRPr="009660EC">
        <w:rPr>
          <w:vertAlign w:val="subscript"/>
        </w:rPr>
        <w:t>2</w:t>
      </w:r>
      <w:r w:rsidRPr="009660EC">
        <w:t xml:space="preserve">-e in 2014, corresponding with a peak in dairy cattle (and total cattle overall) numbers. </w:t>
      </w:r>
      <w:r w:rsidRPr="009660EC">
        <w:rPr>
          <w:iCs/>
        </w:rPr>
        <w:t>Agriculture</w:t>
      </w:r>
      <w:r w:rsidRPr="009660EC">
        <w:rPr>
          <w:i/>
        </w:rPr>
        <w:t xml:space="preserve"> </w:t>
      </w:r>
      <w:r w:rsidRPr="009660EC">
        <w:t>emissions previously peaked in 2005 but dropped by around 1,000 kt CO</w:t>
      </w:r>
      <w:r w:rsidRPr="009660EC">
        <w:rPr>
          <w:vertAlign w:val="subscript"/>
        </w:rPr>
        <w:t>2</w:t>
      </w:r>
      <w:r w:rsidRPr="009660EC">
        <w:t>-e during the Global Financial Crisis (2007–08) and another 1,000 kt CO</w:t>
      </w:r>
      <w:r w:rsidRPr="009660EC">
        <w:rPr>
          <w:vertAlign w:val="subscript"/>
        </w:rPr>
        <w:t>2</w:t>
      </w:r>
      <w:r w:rsidRPr="009660EC">
        <w:t xml:space="preserve">-e during the 2008 nationwide drought but have since recovered. </w:t>
      </w:r>
      <w:r w:rsidRPr="009660EC">
        <w:rPr>
          <w:iCs/>
        </w:rPr>
        <w:t>Agriculture</w:t>
      </w:r>
      <w:r w:rsidRPr="009660EC">
        <w:rPr>
          <w:i/>
        </w:rPr>
        <w:t xml:space="preserve"> </w:t>
      </w:r>
      <w:r w:rsidRPr="009660EC">
        <w:t>emissions have remained slightly below the 2014 peak in the years 2015 to 2020. This is partly due to a drop in the profitability of dairy (relative to other primary sector exports) since 2015 (figure 5.1.2).</w:t>
      </w:r>
    </w:p>
    <w:p w14:paraId="6691B0A0" w14:textId="77777777" w:rsidR="004543E0" w:rsidRPr="009660EC" w:rsidRDefault="004543E0" w:rsidP="004543E0">
      <w:pPr>
        <w:pStyle w:val="Figure"/>
      </w:pPr>
      <w:bookmarkStart w:id="578" w:name="_Toc32570957"/>
      <w:bookmarkStart w:id="579" w:name="_Toc36292787"/>
      <w:bookmarkStart w:id="580" w:name="_Toc68786652"/>
      <w:bookmarkStart w:id="581" w:name="_Toc95574113"/>
      <w:bookmarkStart w:id="582" w:name="_Toc99696032"/>
      <w:r w:rsidRPr="009660EC">
        <w:lastRenderedPageBreak/>
        <w:t>Figure 5.1.2</w:t>
      </w:r>
      <w:r w:rsidRPr="009660EC">
        <w:tab/>
        <w:t>New Zealand’s Agriculture sector emissions from 1990 to </w:t>
      </w:r>
      <w:bookmarkEnd w:id="578"/>
      <w:bookmarkEnd w:id="579"/>
      <w:bookmarkEnd w:id="580"/>
      <w:r w:rsidRPr="009660EC">
        <w:t>2020</w:t>
      </w:r>
      <w:bookmarkEnd w:id="581"/>
      <w:bookmarkEnd w:id="582"/>
    </w:p>
    <w:p w14:paraId="7E31D5CB" w14:textId="2128571B" w:rsidR="004543E0" w:rsidRPr="009660EC" w:rsidRDefault="004B48CC" w:rsidP="004543E0">
      <w:pPr>
        <w:pStyle w:val="BodyText"/>
        <w:spacing w:before="0" w:after="0"/>
        <w:rPr>
          <w:rFonts w:cs="Calibri"/>
        </w:rPr>
      </w:pPr>
      <w:r>
        <w:rPr>
          <w:noProof/>
        </w:rPr>
        <w:pict w14:anchorId="7D181D48">
          <v:shape id="Chart 5" o:spid="_x0000_i1069" type="#_x0000_t75" style="width:430.35pt;height:211.8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">
            <v:imagedata r:id="rId96" o:title="" cropright="-8f"/>
            <o:lock v:ext="edit" aspectratio="f"/>
          </v:shape>
        </w:pict>
      </w:r>
    </w:p>
    <w:p w14:paraId="58E3CD9F" w14:textId="77777777" w:rsidR="004543E0" w:rsidRPr="009660EC" w:rsidRDefault="004543E0" w:rsidP="004543E0">
      <w:pPr>
        <w:pStyle w:val="Heading5"/>
        <w:rPr>
          <w:rFonts w:cs="Calibri"/>
        </w:rPr>
      </w:pPr>
      <w:r w:rsidRPr="009660EC">
        <w:rPr>
          <w:rFonts w:cs="Calibri"/>
        </w:rPr>
        <w:t xml:space="preserve">2019–2020 </w:t>
      </w:r>
    </w:p>
    <w:p w14:paraId="365436C9" w14:textId="77777777" w:rsidR="004543E0" w:rsidRPr="009660EC" w:rsidRDefault="004543E0" w:rsidP="004543E0">
      <w:pPr>
        <w:pStyle w:val="BodyText"/>
      </w:pPr>
      <w:r w:rsidRPr="009660EC">
        <w:t>Between 2019 and 2020, total agricultural emissions decreased by 0.2 per cent (93.1 kt CO</w:t>
      </w:r>
      <w:r w:rsidRPr="009660EC">
        <w:rPr>
          <w:vertAlign w:val="subscript"/>
        </w:rPr>
        <w:t>2</w:t>
      </w:r>
      <w:r w:rsidRPr="009660EC">
        <w:noBreakHyphen/>
        <w:t xml:space="preserve">e) due to a decrease in emissions from sheep, urea and liming. This comprises: </w:t>
      </w:r>
    </w:p>
    <w:p w14:paraId="57C697AE" w14:textId="77777777" w:rsidR="004543E0" w:rsidRPr="009660EC" w:rsidRDefault="004543E0" w:rsidP="004543E0">
      <w:pPr>
        <w:pStyle w:val="Bullet"/>
      </w:pPr>
      <w:r w:rsidRPr="009660EC">
        <w:t>sheep emissions, which decreased by 2.8 per cent (268.3 kt CO</w:t>
      </w:r>
      <w:r w:rsidRPr="009660EC">
        <w:rPr>
          <w:vertAlign w:val="subscript"/>
        </w:rPr>
        <w:t>2</w:t>
      </w:r>
      <w:r w:rsidRPr="009660EC">
        <w:t>-e) due to a further decrease in the sheep population</w:t>
      </w:r>
    </w:p>
    <w:p w14:paraId="78B5E62B" w14:textId="77777777" w:rsidR="004543E0" w:rsidRPr="009660EC" w:rsidRDefault="004543E0" w:rsidP="004543E0">
      <w:pPr>
        <w:pStyle w:val="Bullet"/>
      </w:pPr>
      <w:r w:rsidRPr="009660EC">
        <w:rPr>
          <w:i/>
        </w:rPr>
        <w:t>Liming</w:t>
      </w:r>
      <w:r w:rsidRPr="009660EC">
        <w:t xml:space="preserve"> emissions (CO</w:t>
      </w:r>
      <w:r w:rsidRPr="009660EC">
        <w:rPr>
          <w:vertAlign w:val="subscript"/>
        </w:rPr>
        <w:t>2</w:t>
      </w:r>
      <w:r w:rsidRPr="009660EC">
        <w:t>), which decreased by 9.0 per cent (40.3 kt CO</w:t>
      </w:r>
      <w:r w:rsidRPr="009660EC">
        <w:rPr>
          <w:vertAlign w:val="subscript"/>
        </w:rPr>
        <w:t>2</w:t>
      </w:r>
      <w:r w:rsidRPr="009660EC">
        <w:noBreakHyphen/>
        <w:t>e) due to decrease in the use of lime</w:t>
      </w:r>
    </w:p>
    <w:p w14:paraId="754BF867" w14:textId="77777777" w:rsidR="004543E0" w:rsidRPr="009660EC" w:rsidRDefault="004543E0" w:rsidP="004543E0">
      <w:pPr>
        <w:pStyle w:val="Bullet"/>
      </w:pPr>
      <w:r w:rsidRPr="009660EC">
        <w:rPr>
          <w:i/>
          <w:iCs/>
        </w:rPr>
        <w:t>Urea</w:t>
      </w:r>
      <w:r w:rsidRPr="009660EC">
        <w:t xml:space="preserve"> emissions (CO</w:t>
      </w:r>
      <w:r w:rsidRPr="009660EC">
        <w:rPr>
          <w:vertAlign w:val="subscript"/>
        </w:rPr>
        <w:t>2</w:t>
      </w:r>
      <w:r w:rsidRPr="009660EC">
        <w:t>), which fell by 5.0 per cent (28.7 kt CO</w:t>
      </w:r>
      <w:r w:rsidRPr="009660EC">
        <w:rPr>
          <w:vertAlign w:val="subscript"/>
        </w:rPr>
        <w:t>2</w:t>
      </w:r>
      <w:r w:rsidRPr="009660EC">
        <w:t>-e) due to a decrease in the use of urea fertiliser.</w:t>
      </w:r>
    </w:p>
    <w:p w14:paraId="7E858020" w14:textId="77777777" w:rsidR="004543E0" w:rsidRPr="009660EC" w:rsidRDefault="004543E0" w:rsidP="004543E0">
      <w:pPr>
        <w:pStyle w:val="BodyText"/>
      </w:pPr>
      <w:r w:rsidRPr="009660EC">
        <w:t>Emissions from other activities increased, but were not enough to offset the overall decrease in agricultural emissions. These increases comprise:</w:t>
      </w:r>
    </w:p>
    <w:p w14:paraId="62913D70" w14:textId="77777777" w:rsidR="004543E0" w:rsidRPr="009660EC" w:rsidRDefault="004543E0" w:rsidP="004543E0">
      <w:pPr>
        <w:pStyle w:val="Bullet"/>
      </w:pPr>
      <w:r w:rsidRPr="009660EC">
        <w:t>inorganic fertiliser, which increased by 7.5 per cent (128.5 kt CO</w:t>
      </w:r>
      <w:r w:rsidRPr="009660EC">
        <w:rPr>
          <w:vertAlign w:val="subscript"/>
        </w:rPr>
        <w:t>2</w:t>
      </w:r>
      <w:r w:rsidRPr="009660EC">
        <w:t>-e)</w:t>
      </w:r>
    </w:p>
    <w:p w14:paraId="78EEEE97" w14:textId="77777777" w:rsidR="004543E0" w:rsidRPr="009660EC" w:rsidRDefault="004543E0" w:rsidP="004543E0">
      <w:pPr>
        <w:pStyle w:val="Bullet"/>
      </w:pPr>
      <w:r w:rsidRPr="009660EC">
        <w:t>non-dairy (beef) cattle, which increased by 1.2 per cent (84.0 kt CO</w:t>
      </w:r>
      <w:r w:rsidRPr="009660EC">
        <w:rPr>
          <w:vertAlign w:val="subscript"/>
        </w:rPr>
        <w:t>2</w:t>
      </w:r>
      <w:r w:rsidRPr="009660EC">
        <w:t>-e) as the population recovered from a decrease in 2019</w:t>
      </w:r>
    </w:p>
    <w:p w14:paraId="01440F32" w14:textId="77777777" w:rsidR="004543E0" w:rsidRPr="009660EC" w:rsidRDefault="004543E0" w:rsidP="004543E0">
      <w:pPr>
        <w:pStyle w:val="Bullet"/>
      </w:pPr>
      <w:r w:rsidRPr="009660EC">
        <w:t>dairy cattle, which increased by 0.2 per cent (31.2 kt CO</w:t>
      </w:r>
      <w:r w:rsidRPr="009660EC">
        <w:rPr>
          <w:vertAlign w:val="subscript"/>
        </w:rPr>
        <w:t>2</w:t>
      </w:r>
      <w:r w:rsidRPr="009660EC">
        <w:t>-e) due a slight increase in the population.</w:t>
      </w:r>
    </w:p>
    <w:p w14:paraId="2B0799DA" w14:textId="77777777" w:rsidR="004543E0" w:rsidRPr="009660EC" w:rsidRDefault="004543E0" w:rsidP="004543E0">
      <w:pPr>
        <w:pStyle w:val="Heading3"/>
      </w:pPr>
      <w:bookmarkStart w:id="583" w:name="_Toc32570643"/>
      <w:r w:rsidRPr="009660EC">
        <w:t>5.1.1</w:t>
      </w:r>
      <w:r w:rsidRPr="009660EC">
        <w:tab/>
        <w:t>New Zealand farming practices and trends</w:t>
      </w:r>
      <w:bookmarkEnd w:id="583"/>
      <w:r w:rsidRPr="009660EC">
        <w:t xml:space="preserve"> </w:t>
      </w:r>
    </w:p>
    <w:p w14:paraId="5DA60BDF" w14:textId="77777777" w:rsidR="004543E0" w:rsidRPr="009660EC" w:rsidRDefault="004543E0" w:rsidP="004543E0">
      <w:pPr>
        <w:pStyle w:val="BodyText"/>
        <w:rPr>
          <w:rFonts w:cs="Calibri"/>
        </w:rPr>
      </w:pPr>
      <w:r w:rsidRPr="009660EC">
        <w:rPr>
          <w:rFonts w:cs="Calibri"/>
        </w:rPr>
        <w:t>Agriculture is a major component of the New Zealand economy, and exports from agricultural products (excluding fisheries and forestry) comprise around 66.6 per cent of the total free on</w:t>
      </w:r>
      <w:r w:rsidRPr="009660EC">
        <w:rPr>
          <w:rFonts w:cs="Calibri"/>
        </w:rPr>
        <w:noBreakHyphen/>
        <w:t xml:space="preserve">board value of merchandise exports (Stats NZ, 2022). The production of land-based agricultural products in New Zealand is helped by the favourable temperate climate and access to widespread natural water resources. Typical farming practices in New Zealand include the use of year-round outdoor pastoral grazing systems, nitrogen inputs through nitrogen fixation by legumes complemented by synthetic nitrogen fertiliser use. The common use of outdoor pastoral grazing systems means New Zealand’s agricultural production is more sensitive to climatic events affecting feed production than countries that use intensive grain-fed systems and indoor feedlots. </w:t>
      </w:r>
    </w:p>
    <w:p w14:paraId="462260E3" w14:textId="77777777" w:rsidR="004543E0" w:rsidRPr="009660EC" w:rsidRDefault="004543E0" w:rsidP="004543E0">
      <w:pPr>
        <w:pStyle w:val="BodyText"/>
        <w:keepLines/>
      </w:pPr>
      <w:r w:rsidRPr="009660EC">
        <w:lastRenderedPageBreak/>
        <w:t xml:space="preserve">Intensive housing of major ruminant livestock species rarely occurs in New Zealand. As part of normal day-to-day management, farmers may temporarily take animals off regular grazing areas in an effort to prevent damage to soils and any subsequent loss in pasture growth, although most of these off-paddock sites are also outside. This means New Zealand has a much lower proportion of agricultural emissions from manure management, compared with other Annex I Parties, because most manure is deposited directly onto pastures. For further information about New Zealand’s agricultural farming conditions, see section 2.9 (National circumstances, Agriculture) of New Zealand’s Seventh National Communication (Ministry for the Environment, 2017). </w:t>
      </w:r>
    </w:p>
    <w:p w14:paraId="2FEBB1CB" w14:textId="77777777" w:rsidR="004543E0" w:rsidRPr="009660EC" w:rsidRDefault="004543E0" w:rsidP="004543E0">
      <w:pPr>
        <w:pStyle w:val="BodyText"/>
        <w:rPr>
          <w:rFonts w:cs="Calibri"/>
        </w:rPr>
      </w:pPr>
      <w:r w:rsidRPr="009660EC">
        <w:rPr>
          <w:rFonts w:cs="Calibri"/>
        </w:rPr>
        <w:t xml:space="preserve">Trends in Agriculture sector emissions are largely driven by the populations of the ruminant livestock categories (dairy cattle, beef cattle, sheep and deer). In 1990 and 2020 respectively, 94.2 per cent and 90.0 per cent of agricultural emissions originated from these ruminant livestock categories. </w:t>
      </w:r>
    </w:p>
    <w:p w14:paraId="00107D9C" w14:textId="77777777" w:rsidR="004543E0" w:rsidRPr="009660EC" w:rsidRDefault="004543E0" w:rsidP="004543E0">
      <w:pPr>
        <w:pStyle w:val="BodyText"/>
      </w:pPr>
      <w:r w:rsidRPr="009660EC">
        <w:t>Agriculture and horticulture activities (excluding forestry) use around 42 per cent of New Zealand’s total land area (Stats NZ, 2017). Since 1990, changes have occurred in the proportions of the main livestock categories farmed in New Zealand (see figures 5.1.3a and 5.1.3b). The number of dairy cattle has increased while the population of sheep and beef cattle has decreased.</w:t>
      </w:r>
      <w:r w:rsidRPr="009660EC">
        <w:rPr>
          <w:color w:val="FF0000"/>
        </w:rPr>
        <w:t xml:space="preserve"> </w:t>
      </w:r>
      <w:r w:rsidRPr="009660EC">
        <w:t>Between 1990 and 2020, the land area used for sheep, beef and deer grazing has decreased by 35.7 per cent (4,452,293 hectares) (Beef + Lamb New Zealand Ltd, 2021), while the area used for dairy farming has increased by 67.4 per cent (689,970 hectares) (LIC and Dairy NZ, 2021).</w:t>
      </w:r>
      <w:r w:rsidRPr="009660EC" w:rsidDel="00103073">
        <w:t xml:space="preserve"> </w:t>
      </w:r>
    </w:p>
    <w:p w14:paraId="13AF7A61" w14:textId="77777777" w:rsidR="004543E0" w:rsidRPr="009660EC" w:rsidRDefault="004543E0" w:rsidP="004543E0">
      <w:pPr>
        <w:pStyle w:val="BodyText"/>
      </w:pPr>
      <w:r w:rsidRPr="009660EC">
        <w:t>The use of synthetic nitrogen fertiliser in the Agriculture sector has increased by nearly 693.0 per cent since 1990. Total emissions from synthetic nitrogen fertiliser (including CO</w:t>
      </w:r>
      <w:r w:rsidRPr="009660EC">
        <w:rPr>
          <w:vertAlign w:val="subscript"/>
        </w:rPr>
        <w:t>2</w:t>
      </w:r>
      <w:r w:rsidRPr="009660EC">
        <w:t xml:space="preserve"> from urea) have increased from 0.9 per cent (1990) to 6.1 per cent (2020) of agricultural emissions. The more cost-effective approach of using nitrogen fertiliser to boost pasture growth for feed (relative to the cost of other supplementary feeds) is largely responsible for this increased uptake.</w:t>
      </w:r>
    </w:p>
    <w:p w14:paraId="4DF69143" w14:textId="77777777" w:rsidR="004543E0" w:rsidRPr="009660EC" w:rsidRDefault="004543E0" w:rsidP="004543E0">
      <w:pPr>
        <w:pStyle w:val="Figure"/>
        <w:spacing w:after="0"/>
      </w:pPr>
      <w:bookmarkStart w:id="584" w:name="_Toc507158462"/>
      <w:bookmarkStart w:id="585" w:name="_Toc511116955"/>
      <w:bookmarkStart w:id="586" w:name="_Toc5269685"/>
      <w:bookmarkStart w:id="587" w:name="_Toc32570958"/>
      <w:bookmarkStart w:id="588" w:name="_Toc36292788"/>
      <w:bookmarkStart w:id="589" w:name="_Toc68786653"/>
      <w:bookmarkStart w:id="590" w:name="_Toc95574114"/>
      <w:bookmarkStart w:id="591" w:name="_Toc99696033"/>
      <w:r w:rsidRPr="009660EC">
        <w:t xml:space="preserve">Figure 5.1.3a </w:t>
      </w:r>
      <w:r w:rsidRPr="009660EC">
        <w:tab/>
        <w:t xml:space="preserve">Populations of New Zealand’s dairy cattle, beef cattle and deer from 1990 to 2020 </w:t>
      </w:r>
      <w:r w:rsidRPr="009660EC">
        <w:br/>
        <w:t>(June year ending)</w:t>
      </w:r>
      <w:bookmarkEnd w:id="584"/>
      <w:bookmarkEnd w:id="585"/>
      <w:bookmarkEnd w:id="586"/>
      <w:bookmarkEnd w:id="587"/>
      <w:bookmarkEnd w:id="588"/>
      <w:bookmarkEnd w:id="589"/>
      <w:bookmarkEnd w:id="590"/>
      <w:bookmarkEnd w:id="591"/>
      <w:r w:rsidRPr="009660EC">
        <w:t xml:space="preserve"> </w:t>
      </w:r>
    </w:p>
    <w:p w14:paraId="072F9D6A" w14:textId="24AE05CF" w:rsidR="004543E0" w:rsidRPr="009660EC" w:rsidRDefault="004B48CC" w:rsidP="004543E0">
      <w:pPr>
        <w:pStyle w:val="BodyText"/>
        <w:spacing w:before="0"/>
      </w:pPr>
      <w:r>
        <w:rPr>
          <w:noProof/>
        </w:rPr>
        <w:pict w14:anchorId="5C25795F">
          <v:shape id="Chart 8" o:spid="_x0000_i1070" type="#_x0000_t75" style="width:427.8pt;height:241.1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">
            <v:imagedata r:id="rId97" o:title="" cropbottom="-41f" cropright="-31f"/>
            <o:lock v:ext="edit" aspectratio="f"/>
          </v:shape>
        </w:pict>
      </w:r>
    </w:p>
    <w:p w14:paraId="48B6A640" w14:textId="77777777" w:rsidR="004543E0" w:rsidRPr="009660EC" w:rsidRDefault="004543E0" w:rsidP="004543E0">
      <w:pPr>
        <w:pStyle w:val="Source"/>
        <w:spacing w:before="0" w:after="120"/>
        <w:rPr>
          <w:rFonts w:cs="Calibri"/>
          <w:sz w:val="18"/>
          <w:szCs w:val="24"/>
        </w:rPr>
      </w:pPr>
      <w:r w:rsidRPr="009660EC">
        <w:rPr>
          <w:rFonts w:cs="Calibri"/>
          <w:b/>
          <w:bCs/>
          <w:sz w:val="18"/>
          <w:szCs w:val="24"/>
        </w:rPr>
        <w:t>Source:</w:t>
      </w:r>
      <w:r w:rsidRPr="009660EC">
        <w:rPr>
          <w:rFonts w:cs="Calibri"/>
          <w:b/>
          <w:bCs/>
          <w:sz w:val="18"/>
          <w:szCs w:val="24"/>
        </w:rPr>
        <w:tab/>
      </w:r>
      <w:r w:rsidRPr="009660EC">
        <w:rPr>
          <w:rFonts w:cs="Calibri"/>
          <w:sz w:val="18"/>
          <w:szCs w:val="24"/>
        </w:rPr>
        <w:t>Stats NZ</w:t>
      </w:r>
    </w:p>
    <w:p w14:paraId="2214CEAD" w14:textId="77777777" w:rsidR="004543E0" w:rsidRPr="009660EC" w:rsidRDefault="004543E0" w:rsidP="004543E0">
      <w:pPr>
        <w:pStyle w:val="Figure"/>
      </w:pPr>
      <w:bookmarkStart w:id="592" w:name="_Toc507158463"/>
      <w:bookmarkStart w:id="593" w:name="_Toc511116956"/>
      <w:bookmarkStart w:id="594" w:name="_Toc5269686"/>
      <w:bookmarkStart w:id="595" w:name="_Toc32570959"/>
      <w:bookmarkStart w:id="596" w:name="_Toc36292789"/>
      <w:bookmarkStart w:id="597" w:name="_Toc68786654"/>
      <w:bookmarkStart w:id="598" w:name="_Toc95574115"/>
      <w:bookmarkStart w:id="599" w:name="_Toc99696034"/>
      <w:r w:rsidRPr="009660EC">
        <w:lastRenderedPageBreak/>
        <w:t xml:space="preserve">Figure 5.1.3b </w:t>
      </w:r>
      <w:r w:rsidRPr="009660EC">
        <w:tab/>
        <w:t>Population of New Zealand’s sheep from 1990 to 2020 (June year ending)</w:t>
      </w:r>
      <w:bookmarkEnd w:id="592"/>
      <w:bookmarkEnd w:id="593"/>
      <w:bookmarkEnd w:id="594"/>
      <w:bookmarkEnd w:id="595"/>
      <w:bookmarkEnd w:id="596"/>
      <w:bookmarkEnd w:id="597"/>
      <w:bookmarkEnd w:id="598"/>
      <w:bookmarkEnd w:id="599"/>
    </w:p>
    <w:p w14:paraId="13498C21" w14:textId="4376AA6A" w:rsidR="004543E0" w:rsidRPr="009660EC" w:rsidRDefault="004B48CC" w:rsidP="004543E0">
      <w:pPr>
        <w:pStyle w:val="BodyText"/>
      </w:pPr>
      <w:bookmarkStart w:id="600" w:name="_Toc507158464"/>
      <w:bookmarkStart w:id="601" w:name="_MON_1606658001"/>
      <w:bookmarkEnd w:id="600"/>
      <w:bookmarkEnd w:id="601"/>
      <w:r>
        <w:rPr>
          <w:noProof/>
        </w:rPr>
        <w:pict w14:anchorId="5A84B9DC">
          <v:shape id="Chart 6" o:spid="_x0000_i1071" type="#_x0000_t75" style="width:423.65pt;height:265.4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">
            <v:imagedata r:id="rId98" o:title="" cropbottom="-12f" cropleft="840f"/>
          </v:shape>
        </w:pict>
      </w:r>
    </w:p>
    <w:p w14:paraId="07919A32" w14:textId="77777777" w:rsidR="004543E0" w:rsidRPr="009660EC" w:rsidRDefault="004543E0" w:rsidP="004543E0">
      <w:pPr>
        <w:pStyle w:val="Source"/>
      </w:pPr>
      <w:bookmarkStart w:id="602" w:name="_Toc507158465"/>
      <w:r w:rsidRPr="009660EC">
        <w:rPr>
          <w:b/>
          <w:bCs/>
        </w:rPr>
        <w:t>Source:</w:t>
      </w:r>
      <w:r w:rsidRPr="009660EC">
        <w:rPr>
          <w:b/>
          <w:bCs/>
        </w:rPr>
        <w:tab/>
      </w:r>
      <w:r w:rsidRPr="009660EC">
        <w:t>Stats NZ</w:t>
      </w:r>
      <w:bookmarkEnd w:id="602"/>
      <w:r w:rsidRPr="009660EC">
        <w:t xml:space="preserve"> </w:t>
      </w:r>
    </w:p>
    <w:p w14:paraId="77D51939" w14:textId="77777777" w:rsidR="004543E0" w:rsidRPr="009660EC" w:rsidRDefault="004543E0" w:rsidP="004543E0">
      <w:pPr>
        <w:pStyle w:val="Heading4"/>
        <w:rPr>
          <w:bCs/>
          <w:i/>
          <w:iCs/>
        </w:rPr>
      </w:pPr>
      <w:r w:rsidRPr="009660EC">
        <w:t>Effect of productivity improvements and climatic events on implied emission factors</w:t>
      </w:r>
    </w:p>
    <w:p w14:paraId="45358E3A" w14:textId="77777777" w:rsidR="004543E0" w:rsidRPr="009660EC" w:rsidRDefault="004543E0" w:rsidP="004543E0">
      <w:pPr>
        <w:pStyle w:val="BodyText"/>
        <w:rPr>
          <w:rFonts w:cs="Calibri"/>
        </w:rPr>
      </w:pPr>
      <w:r w:rsidRPr="009660EC">
        <w:rPr>
          <w:rFonts w:cs="Calibri"/>
        </w:rPr>
        <w:t>A gradual increase has occurred in the implied CH</w:t>
      </w:r>
      <w:r w:rsidRPr="009660EC">
        <w:rPr>
          <w:rFonts w:cs="Calibri"/>
          <w:vertAlign w:val="subscript"/>
        </w:rPr>
        <w:t>4</w:t>
      </w:r>
      <w:r w:rsidRPr="009660EC">
        <w:rPr>
          <w:rFonts w:cs="Calibri"/>
        </w:rPr>
        <w:t xml:space="preserve"> and N</w:t>
      </w:r>
      <w:r w:rsidRPr="009660EC">
        <w:rPr>
          <w:rFonts w:cs="Calibri"/>
          <w:vertAlign w:val="subscript"/>
        </w:rPr>
        <w:t>2</w:t>
      </w:r>
      <w:r w:rsidRPr="009660EC">
        <w:rPr>
          <w:rFonts w:cs="Calibri"/>
        </w:rPr>
        <w:t>O emission factors</w:t>
      </w:r>
      <w:r w:rsidRPr="009660EC">
        <w:rPr>
          <w:rStyle w:val="FootnoteReference"/>
          <w:rFonts w:cs="Calibri"/>
        </w:rPr>
        <w:footnoteReference w:id="33"/>
      </w:r>
      <w:r w:rsidRPr="009660EC">
        <w:rPr>
          <w:rFonts w:cs="Calibri"/>
        </w:rPr>
        <w:t xml:space="preserve"> per head of the major livestock species farmed in New Zealand. This trend reflects the increased levels of productivity (milk and meat yield per head) achieved by New Zealand farmers between 1990 and 2020. Increases in animal liveweight and milk yield per animal require increased feed intake per animal to meet higher energy demands, which results in higher CH</w:t>
      </w:r>
      <w:r w:rsidRPr="009660EC">
        <w:rPr>
          <w:rFonts w:cs="Calibri"/>
          <w:vertAlign w:val="subscript"/>
        </w:rPr>
        <w:t>4</w:t>
      </w:r>
      <w:r w:rsidRPr="009660EC">
        <w:rPr>
          <w:rFonts w:cs="Calibri"/>
        </w:rPr>
        <w:t xml:space="preserve"> and N</w:t>
      </w:r>
      <w:r w:rsidRPr="009660EC">
        <w:rPr>
          <w:rFonts w:cs="Calibri"/>
          <w:vertAlign w:val="subscript"/>
        </w:rPr>
        <w:t>2</w:t>
      </w:r>
      <w:r w:rsidRPr="009660EC">
        <w:rPr>
          <w:rFonts w:cs="Calibri"/>
        </w:rPr>
        <w:t>O emissions per animal (i.e., higher implied emission factors (IEFs)). Since 1990, emissions per unit of product (i.e., milk and meat emissions intensity) have steadily decreased.</w:t>
      </w:r>
    </w:p>
    <w:p w14:paraId="329E1DEA" w14:textId="77777777" w:rsidR="004543E0" w:rsidRPr="009660EC" w:rsidRDefault="004543E0" w:rsidP="004543E0">
      <w:pPr>
        <w:pStyle w:val="BodyText"/>
        <w:rPr>
          <w:rFonts w:cs="Calibri"/>
        </w:rPr>
      </w:pPr>
      <w:r w:rsidRPr="009660EC">
        <w:rPr>
          <w:rFonts w:cs="Calibri"/>
        </w:rPr>
        <w:t xml:space="preserve">The use of year-round outdoor pastoral grazing systems means New Zealand production is dependent on the quantity and quality of pasture grown on land managed by farmers, as well as the use and/or availability of any supplementary feeds. Pasture growth is strongly influenced by weather and climatic events, such as droughts and floods. These factors can cause changes in per-animal productivity and mean that IEFs can be noticeably different in adjacent years. For example, in 2008, a major nationwide drought affected both livestock numbers and animal performance, resulting in lower livestock emissions, and overall agricultural emissions (see figure 5.1.2). The livestock population and IEFs started to increase after the drought, once seasonal growing conditions improved, and farmers looked to rebuild herd and flock numbers. </w:t>
      </w:r>
    </w:p>
    <w:p w14:paraId="76EE617D" w14:textId="77777777" w:rsidR="004543E0" w:rsidRPr="009660EC" w:rsidRDefault="004543E0" w:rsidP="004543E0">
      <w:pPr>
        <w:pStyle w:val="BodyText"/>
        <w:rPr>
          <w:rFonts w:cs="Calibri"/>
        </w:rPr>
      </w:pPr>
      <w:r w:rsidRPr="009660EC">
        <w:rPr>
          <w:rFonts w:cs="Calibri"/>
        </w:rPr>
        <w:t>An example of this is included in figure 5.1.4, which overlays milk production per milking dairy cow with the IEFs (enteric fermentation) for dairy cattle from 1990 to 2020. The figure shows that, while per cow productivity has trended upward, there is a significant amount of inter-annual variability (influenced by climatic conditions and international product prices). It also shows that the IEFs are affected by these changes in productivity.</w:t>
      </w:r>
    </w:p>
    <w:p w14:paraId="321EDD31" w14:textId="77777777" w:rsidR="004543E0" w:rsidRPr="009660EC" w:rsidRDefault="004543E0" w:rsidP="004543E0">
      <w:pPr>
        <w:pStyle w:val="Figure"/>
      </w:pPr>
      <w:bookmarkStart w:id="603" w:name="_Toc507158466"/>
      <w:bookmarkStart w:id="604" w:name="_Toc511116957"/>
      <w:bookmarkStart w:id="605" w:name="_Toc5269687"/>
      <w:bookmarkStart w:id="606" w:name="_Toc32570960"/>
      <w:bookmarkStart w:id="607" w:name="_Toc36292790"/>
      <w:bookmarkStart w:id="608" w:name="_Toc68786655"/>
      <w:bookmarkStart w:id="609" w:name="_Toc95574116"/>
      <w:bookmarkStart w:id="610" w:name="_Toc99696035"/>
      <w:r w:rsidRPr="009660EC">
        <w:lastRenderedPageBreak/>
        <w:t>Figure 5.1.4</w:t>
      </w:r>
      <w:r w:rsidRPr="009660EC">
        <w:tab/>
        <w:t>Dairy milk productivity and implied enteric fermentation methane emission factors for dairy cows from 1990 to </w:t>
      </w:r>
      <w:bookmarkEnd w:id="603"/>
      <w:bookmarkEnd w:id="604"/>
      <w:bookmarkEnd w:id="605"/>
      <w:bookmarkEnd w:id="606"/>
      <w:bookmarkEnd w:id="607"/>
      <w:bookmarkEnd w:id="608"/>
      <w:r w:rsidRPr="009660EC">
        <w:t>2020</w:t>
      </w:r>
      <w:bookmarkEnd w:id="609"/>
      <w:bookmarkEnd w:id="610"/>
    </w:p>
    <w:p w14:paraId="6518601D" w14:textId="38096F84" w:rsidR="004543E0" w:rsidRPr="009660EC" w:rsidRDefault="004B48CC" w:rsidP="004543E0">
      <w:pPr>
        <w:pStyle w:val="BodyText"/>
        <w:spacing w:before="0" w:after="0"/>
        <w:rPr>
          <w:rFonts w:cs="Calibri"/>
        </w:rPr>
      </w:pPr>
      <w:r>
        <w:rPr>
          <w:noProof/>
        </w:rPr>
        <w:pict w14:anchorId="43975349">
          <v:shape id="Chart 19" o:spid="_x0000_i1072" type="#_x0000_t75" style="width:424.45pt;height:238.6pt;visibility:visible">
            <v:imagedata r:id="rId99" o:title=""/>
          </v:shape>
        </w:pict>
      </w:r>
      <w:r w:rsidR="004543E0" w:rsidRPr="009660EC" w:rsidDel="003545A0">
        <w:rPr>
          <w:rFonts w:cs="Calibri"/>
        </w:rPr>
        <w:t xml:space="preserve"> </w:t>
      </w:r>
    </w:p>
    <w:p w14:paraId="732C2507" w14:textId="77777777" w:rsidR="004543E0" w:rsidRPr="009660EC" w:rsidRDefault="004543E0" w:rsidP="004543E0">
      <w:pPr>
        <w:pStyle w:val="Noteundertable"/>
      </w:pPr>
      <w:r w:rsidRPr="009660EC">
        <w:rPr>
          <w:b/>
          <w:bCs/>
        </w:rPr>
        <w:t>Note:</w:t>
      </w:r>
      <w:r w:rsidRPr="009660EC">
        <w:t xml:space="preserve"> </w:t>
      </w:r>
      <w:r w:rsidRPr="009660EC">
        <w:tab/>
        <w:t>Milk production per cow is calculated by dividing total milk production by the milking dairy cattle population (i.e., excluding replacements and breeding bull numbers).</w:t>
      </w:r>
    </w:p>
    <w:p w14:paraId="7F957E57" w14:textId="77777777" w:rsidR="004543E0" w:rsidRPr="009660EC" w:rsidRDefault="004543E0" w:rsidP="004543E0">
      <w:pPr>
        <w:pStyle w:val="Heading3"/>
      </w:pPr>
      <w:bookmarkStart w:id="611" w:name="_Toc32570644"/>
      <w:r w:rsidRPr="009660EC">
        <w:t xml:space="preserve">5.1.2 </w:t>
      </w:r>
      <w:r w:rsidRPr="009660EC">
        <w:tab/>
        <w:t>Key categories for Agriculture sector emissions</w:t>
      </w:r>
      <w:bookmarkEnd w:id="611"/>
      <w:r w:rsidRPr="009660EC">
        <w:t xml:space="preserve"> </w:t>
      </w:r>
    </w:p>
    <w:p w14:paraId="251CD91A" w14:textId="77777777" w:rsidR="004543E0" w:rsidRPr="009660EC" w:rsidRDefault="004543E0" w:rsidP="004543E0">
      <w:pPr>
        <w:pStyle w:val="BodyText"/>
      </w:pPr>
      <w:r w:rsidRPr="009660EC">
        <w:t xml:space="preserve">Details of New Zealand’s analysis of key categories are in chapter 1, section 1.5. The key categories in the Agriculture sector are listed in table 5.1.2. </w:t>
      </w:r>
    </w:p>
    <w:p w14:paraId="5EC179E8" w14:textId="77777777" w:rsidR="004543E0" w:rsidRPr="009660EC" w:rsidRDefault="004543E0" w:rsidP="004543E0">
      <w:pPr>
        <w:pStyle w:val="Table"/>
      </w:pPr>
      <w:bookmarkStart w:id="612" w:name="_Toc481751507"/>
      <w:bookmarkStart w:id="613" w:name="_Toc507158597"/>
      <w:bookmarkStart w:id="614" w:name="_Toc511116731"/>
      <w:bookmarkStart w:id="615" w:name="_Toc5269471"/>
      <w:bookmarkStart w:id="616" w:name="_Toc32570910"/>
      <w:bookmarkStart w:id="617" w:name="_Toc36224545"/>
      <w:bookmarkStart w:id="618" w:name="_Toc68786431"/>
      <w:bookmarkStart w:id="619" w:name="_Toc95574066"/>
      <w:bookmarkStart w:id="620" w:name="_Toc99659239"/>
      <w:r w:rsidRPr="009660EC">
        <w:t xml:space="preserve">Table 5.1.2 </w:t>
      </w:r>
      <w:r w:rsidRPr="009660EC">
        <w:tab/>
        <w:t>Key categories in the Agriculture sector</w:t>
      </w:r>
      <w:bookmarkEnd w:id="612"/>
      <w:bookmarkEnd w:id="613"/>
      <w:bookmarkEnd w:id="614"/>
      <w:bookmarkEnd w:id="615"/>
      <w:bookmarkEnd w:id="616"/>
      <w:bookmarkEnd w:id="617"/>
      <w:bookmarkEnd w:id="618"/>
      <w:bookmarkEnd w:id="619"/>
      <w:bookmarkEnd w:id="620"/>
    </w:p>
    <w:tbl>
      <w:tblPr>
        <w:tblW w:w="8505" w:type="dxa"/>
        <w:tblInd w:w="113"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1169"/>
        <w:gridCol w:w="5210"/>
        <w:gridCol w:w="852"/>
        <w:gridCol w:w="1274"/>
      </w:tblGrid>
      <w:tr w:rsidR="004543E0" w:rsidRPr="009660EC" w14:paraId="0579D986" w14:textId="77777777" w:rsidTr="009E4A6F">
        <w:trPr>
          <w:trHeight w:val="462"/>
          <w:tblHeader/>
        </w:trPr>
        <w:tc>
          <w:tcPr>
            <w:tcW w:w="687" w:type="pct"/>
            <w:shd w:val="clear" w:color="auto" w:fill="1B556B"/>
            <w:vAlign w:val="bottom"/>
          </w:tcPr>
          <w:p w14:paraId="3F6EB3B7" w14:textId="77777777" w:rsidR="004543E0" w:rsidRPr="004543E0" w:rsidRDefault="004543E0" w:rsidP="007E3239">
            <w:pPr>
              <w:pStyle w:val="TableTextBold"/>
              <w:rPr>
                <w:noProof w:val="0"/>
                <w:color w:val="FFFFFF"/>
              </w:rPr>
            </w:pPr>
            <w:r w:rsidRPr="004543E0">
              <w:rPr>
                <w:noProof w:val="0"/>
                <w:color w:val="FFFFFF"/>
              </w:rPr>
              <w:t>CRF category code</w:t>
            </w:r>
          </w:p>
        </w:tc>
        <w:tc>
          <w:tcPr>
            <w:tcW w:w="3063" w:type="pct"/>
            <w:shd w:val="clear" w:color="auto" w:fill="1B556B"/>
            <w:vAlign w:val="bottom"/>
          </w:tcPr>
          <w:p w14:paraId="14F145AE" w14:textId="77777777" w:rsidR="004543E0" w:rsidRPr="004543E0" w:rsidRDefault="004543E0" w:rsidP="007E3239">
            <w:pPr>
              <w:pStyle w:val="TableTextBold"/>
              <w:rPr>
                <w:noProof w:val="0"/>
                <w:color w:val="FFFFFF"/>
              </w:rPr>
            </w:pPr>
            <w:r w:rsidRPr="004543E0">
              <w:rPr>
                <w:noProof w:val="0"/>
                <w:color w:val="FFFFFF"/>
              </w:rPr>
              <w:t>IPCC categories</w:t>
            </w:r>
          </w:p>
        </w:tc>
        <w:tc>
          <w:tcPr>
            <w:tcW w:w="501" w:type="pct"/>
            <w:shd w:val="clear" w:color="auto" w:fill="1B556B"/>
            <w:vAlign w:val="bottom"/>
          </w:tcPr>
          <w:p w14:paraId="070AE1A8" w14:textId="77777777" w:rsidR="004543E0" w:rsidRPr="004543E0" w:rsidRDefault="004543E0" w:rsidP="007E3239">
            <w:pPr>
              <w:pStyle w:val="TableTextBold"/>
              <w:jc w:val="center"/>
              <w:rPr>
                <w:noProof w:val="0"/>
                <w:color w:val="FFFFFF"/>
              </w:rPr>
            </w:pPr>
            <w:r w:rsidRPr="004543E0">
              <w:rPr>
                <w:noProof w:val="0"/>
                <w:color w:val="FFFFFF"/>
              </w:rPr>
              <w:t>Gas</w:t>
            </w:r>
          </w:p>
        </w:tc>
        <w:tc>
          <w:tcPr>
            <w:tcW w:w="749" w:type="pct"/>
            <w:shd w:val="clear" w:color="auto" w:fill="1B556B"/>
            <w:vAlign w:val="bottom"/>
          </w:tcPr>
          <w:p w14:paraId="477F9B69" w14:textId="77777777" w:rsidR="004543E0" w:rsidRPr="004543E0" w:rsidRDefault="004543E0" w:rsidP="007E3239">
            <w:pPr>
              <w:pStyle w:val="TableTextBold"/>
              <w:rPr>
                <w:noProof w:val="0"/>
                <w:color w:val="FFFFFF"/>
              </w:rPr>
            </w:pPr>
            <w:r w:rsidRPr="004543E0">
              <w:rPr>
                <w:noProof w:val="0"/>
                <w:color w:val="FFFFFF"/>
              </w:rPr>
              <w:t>Criteria for identification</w:t>
            </w:r>
          </w:p>
        </w:tc>
      </w:tr>
      <w:tr w:rsidR="004543E0" w:rsidRPr="009660EC" w14:paraId="4D8AE57C" w14:textId="77777777" w:rsidTr="009E4A6F">
        <w:trPr>
          <w:trHeight w:val="250"/>
        </w:trPr>
        <w:tc>
          <w:tcPr>
            <w:tcW w:w="687" w:type="pct"/>
            <w:shd w:val="clear" w:color="auto" w:fill="FFFFFF"/>
          </w:tcPr>
          <w:p w14:paraId="2E9A9D02" w14:textId="77777777" w:rsidR="004543E0" w:rsidRPr="009660EC" w:rsidRDefault="004543E0" w:rsidP="007E3239">
            <w:pPr>
              <w:pStyle w:val="TableText"/>
              <w:spacing w:before="50" w:after="50"/>
              <w:rPr>
                <w:rFonts w:cs="Calibri"/>
              </w:rPr>
            </w:pPr>
            <w:r w:rsidRPr="009660EC">
              <w:t>3.A.1</w:t>
            </w:r>
          </w:p>
        </w:tc>
        <w:tc>
          <w:tcPr>
            <w:tcW w:w="3063" w:type="pct"/>
            <w:shd w:val="clear" w:color="auto" w:fill="FFFFFF"/>
          </w:tcPr>
          <w:p w14:paraId="7C861975" w14:textId="77777777" w:rsidR="004543E0" w:rsidRPr="009660EC" w:rsidRDefault="004543E0" w:rsidP="007E3239">
            <w:pPr>
              <w:pStyle w:val="TableText"/>
              <w:spacing w:before="50" w:after="50"/>
              <w:rPr>
                <w:rFonts w:cs="Calibri"/>
              </w:rPr>
            </w:pPr>
            <w:r w:rsidRPr="009660EC">
              <w:t>Option A – Dairy Cattle</w:t>
            </w:r>
          </w:p>
        </w:tc>
        <w:tc>
          <w:tcPr>
            <w:tcW w:w="501" w:type="pct"/>
            <w:shd w:val="clear" w:color="auto" w:fill="FFFFFF"/>
          </w:tcPr>
          <w:p w14:paraId="3F8BA580" w14:textId="77777777" w:rsidR="004543E0" w:rsidRPr="009660EC" w:rsidRDefault="004543E0" w:rsidP="007E3239">
            <w:pPr>
              <w:pStyle w:val="TableText"/>
              <w:spacing w:before="50" w:after="50"/>
              <w:jc w:val="center"/>
              <w:rPr>
                <w:rFonts w:cs="Calibri"/>
              </w:rPr>
            </w:pPr>
            <w:r w:rsidRPr="009660EC">
              <w:t>CH</w:t>
            </w:r>
            <w:r w:rsidRPr="009660EC">
              <w:rPr>
                <w:vertAlign w:val="subscript"/>
              </w:rPr>
              <w:t>4</w:t>
            </w:r>
          </w:p>
        </w:tc>
        <w:tc>
          <w:tcPr>
            <w:tcW w:w="749" w:type="pct"/>
            <w:shd w:val="clear" w:color="auto" w:fill="FFFFFF"/>
          </w:tcPr>
          <w:p w14:paraId="6B58ED0C" w14:textId="77777777" w:rsidR="004543E0" w:rsidRPr="009660EC" w:rsidRDefault="004543E0" w:rsidP="007E3239">
            <w:pPr>
              <w:pStyle w:val="TableText"/>
              <w:spacing w:before="50" w:after="50"/>
              <w:rPr>
                <w:rFonts w:cs="Calibri"/>
              </w:rPr>
            </w:pPr>
            <w:r w:rsidRPr="009660EC">
              <w:t>L1, T1</w:t>
            </w:r>
          </w:p>
        </w:tc>
      </w:tr>
      <w:tr w:rsidR="004543E0" w:rsidRPr="009660EC" w14:paraId="04468706" w14:textId="77777777" w:rsidTr="009E4A6F">
        <w:tc>
          <w:tcPr>
            <w:tcW w:w="687" w:type="pct"/>
            <w:shd w:val="clear" w:color="auto" w:fill="FFFFFF"/>
          </w:tcPr>
          <w:p w14:paraId="6492B743" w14:textId="77777777" w:rsidR="004543E0" w:rsidRPr="009660EC" w:rsidRDefault="004543E0" w:rsidP="007E3239">
            <w:pPr>
              <w:pStyle w:val="TableText"/>
              <w:spacing w:before="50" w:after="50"/>
              <w:rPr>
                <w:rFonts w:cs="Calibri"/>
              </w:rPr>
            </w:pPr>
            <w:r w:rsidRPr="009660EC">
              <w:t>3.A.1</w:t>
            </w:r>
          </w:p>
        </w:tc>
        <w:tc>
          <w:tcPr>
            <w:tcW w:w="3063" w:type="pct"/>
            <w:shd w:val="clear" w:color="auto" w:fill="FFFFFF"/>
          </w:tcPr>
          <w:p w14:paraId="6B8D70C9" w14:textId="77777777" w:rsidR="004543E0" w:rsidRPr="009660EC" w:rsidRDefault="004543E0" w:rsidP="007E3239">
            <w:pPr>
              <w:pStyle w:val="TableText"/>
              <w:spacing w:before="50" w:after="50"/>
              <w:rPr>
                <w:rFonts w:cs="Calibri"/>
              </w:rPr>
            </w:pPr>
            <w:r w:rsidRPr="009660EC">
              <w:t xml:space="preserve">Option A – Non-Dairy </w:t>
            </w:r>
            <w:r w:rsidRPr="009660EC">
              <w:rPr>
                <w:i/>
                <w:iCs/>
              </w:rPr>
              <w:t>(Beef)</w:t>
            </w:r>
            <w:r w:rsidRPr="009660EC">
              <w:t xml:space="preserve"> Cattle</w:t>
            </w:r>
          </w:p>
        </w:tc>
        <w:tc>
          <w:tcPr>
            <w:tcW w:w="501" w:type="pct"/>
            <w:shd w:val="clear" w:color="auto" w:fill="FFFFFF"/>
          </w:tcPr>
          <w:p w14:paraId="2C2CBAFE" w14:textId="77777777" w:rsidR="004543E0" w:rsidRPr="009660EC" w:rsidRDefault="004543E0" w:rsidP="007E3239">
            <w:pPr>
              <w:pStyle w:val="TableText"/>
              <w:spacing w:before="50" w:after="50"/>
              <w:jc w:val="center"/>
              <w:rPr>
                <w:rFonts w:cs="Calibri"/>
              </w:rPr>
            </w:pPr>
            <w:r w:rsidRPr="009660EC">
              <w:t>CH</w:t>
            </w:r>
            <w:r w:rsidRPr="009660EC">
              <w:rPr>
                <w:vertAlign w:val="subscript"/>
              </w:rPr>
              <w:t>4</w:t>
            </w:r>
          </w:p>
        </w:tc>
        <w:tc>
          <w:tcPr>
            <w:tcW w:w="749" w:type="pct"/>
            <w:shd w:val="clear" w:color="auto" w:fill="FFFFFF"/>
          </w:tcPr>
          <w:p w14:paraId="4B0E725F" w14:textId="77777777" w:rsidR="004543E0" w:rsidRPr="009660EC" w:rsidRDefault="004543E0" w:rsidP="007E3239">
            <w:pPr>
              <w:pStyle w:val="TableText"/>
              <w:spacing w:before="50" w:after="50"/>
              <w:rPr>
                <w:rFonts w:cs="Calibri"/>
              </w:rPr>
            </w:pPr>
            <w:r w:rsidRPr="009660EC">
              <w:t>L1, T1</w:t>
            </w:r>
          </w:p>
        </w:tc>
      </w:tr>
      <w:tr w:rsidR="004543E0" w:rsidRPr="009660EC" w14:paraId="5B9C22FF" w14:textId="77777777" w:rsidTr="009E4A6F">
        <w:tc>
          <w:tcPr>
            <w:tcW w:w="687" w:type="pct"/>
            <w:shd w:val="clear" w:color="auto" w:fill="FFFFFF"/>
          </w:tcPr>
          <w:p w14:paraId="20B6A2DC" w14:textId="77777777" w:rsidR="004543E0" w:rsidRPr="009660EC" w:rsidRDefault="004543E0" w:rsidP="007E3239">
            <w:pPr>
              <w:pStyle w:val="TableText"/>
              <w:spacing w:before="50" w:after="50"/>
              <w:rPr>
                <w:rFonts w:cs="Calibri"/>
              </w:rPr>
            </w:pPr>
            <w:r w:rsidRPr="009660EC">
              <w:t>3.A.2</w:t>
            </w:r>
          </w:p>
        </w:tc>
        <w:tc>
          <w:tcPr>
            <w:tcW w:w="3063" w:type="pct"/>
            <w:shd w:val="clear" w:color="auto" w:fill="FFFFFF"/>
          </w:tcPr>
          <w:p w14:paraId="199295CF" w14:textId="77777777" w:rsidR="004543E0" w:rsidRPr="009660EC" w:rsidRDefault="004543E0" w:rsidP="007E3239">
            <w:pPr>
              <w:pStyle w:val="TableText"/>
              <w:spacing w:before="50" w:after="50"/>
              <w:rPr>
                <w:rFonts w:cs="Calibri"/>
              </w:rPr>
            </w:pPr>
            <w:r w:rsidRPr="009660EC">
              <w:t>Other (please specify) – Sheep</w:t>
            </w:r>
          </w:p>
        </w:tc>
        <w:tc>
          <w:tcPr>
            <w:tcW w:w="501" w:type="pct"/>
            <w:shd w:val="clear" w:color="auto" w:fill="FFFFFF"/>
          </w:tcPr>
          <w:p w14:paraId="2789EF68" w14:textId="77777777" w:rsidR="004543E0" w:rsidRPr="009660EC" w:rsidRDefault="004543E0" w:rsidP="007E3239">
            <w:pPr>
              <w:pStyle w:val="TableText"/>
              <w:spacing w:before="50" w:after="50"/>
              <w:jc w:val="center"/>
              <w:rPr>
                <w:rFonts w:cs="Calibri"/>
              </w:rPr>
            </w:pPr>
            <w:r w:rsidRPr="009660EC">
              <w:t>CH</w:t>
            </w:r>
            <w:r w:rsidRPr="009660EC">
              <w:rPr>
                <w:vertAlign w:val="subscript"/>
              </w:rPr>
              <w:t>4</w:t>
            </w:r>
          </w:p>
        </w:tc>
        <w:tc>
          <w:tcPr>
            <w:tcW w:w="749" w:type="pct"/>
            <w:shd w:val="clear" w:color="auto" w:fill="FFFFFF"/>
          </w:tcPr>
          <w:p w14:paraId="71B22E03" w14:textId="77777777" w:rsidR="004543E0" w:rsidRPr="009660EC" w:rsidRDefault="004543E0" w:rsidP="007E3239">
            <w:pPr>
              <w:pStyle w:val="TableText"/>
              <w:spacing w:before="50" w:after="50"/>
              <w:rPr>
                <w:rFonts w:cs="Calibri"/>
              </w:rPr>
            </w:pPr>
            <w:r w:rsidRPr="009660EC">
              <w:t>L1, T1</w:t>
            </w:r>
          </w:p>
        </w:tc>
      </w:tr>
      <w:tr w:rsidR="004543E0" w:rsidRPr="009660EC" w14:paraId="3C4E26AB" w14:textId="77777777" w:rsidTr="009E4A6F">
        <w:tc>
          <w:tcPr>
            <w:tcW w:w="687" w:type="pct"/>
            <w:shd w:val="clear" w:color="auto" w:fill="FFFFFF"/>
          </w:tcPr>
          <w:p w14:paraId="0FF77EDC" w14:textId="77777777" w:rsidR="004543E0" w:rsidRPr="009660EC" w:rsidRDefault="004543E0" w:rsidP="007E3239">
            <w:pPr>
              <w:pStyle w:val="TableText"/>
              <w:spacing w:before="50" w:after="50"/>
              <w:rPr>
                <w:rFonts w:cs="Calibri"/>
              </w:rPr>
            </w:pPr>
            <w:r w:rsidRPr="009660EC">
              <w:t>3.A.4</w:t>
            </w:r>
          </w:p>
        </w:tc>
        <w:tc>
          <w:tcPr>
            <w:tcW w:w="3063" w:type="pct"/>
            <w:shd w:val="clear" w:color="auto" w:fill="FFFFFF"/>
          </w:tcPr>
          <w:p w14:paraId="24CA78D1" w14:textId="77777777" w:rsidR="004543E0" w:rsidRPr="009660EC" w:rsidRDefault="004543E0" w:rsidP="007E3239">
            <w:pPr>
              <w:pStyle w:val="TableText"/>
              <w:spacing w:before="50" w:after="50"/>
              <w:rPr>
                <w:rFonts w:cs="Calibri"/>
              </w:rPr>
            </w:pPr>
            <w:r w:rsidRPr="009660EC">
              <w:t>Other Livestock – Deer</w:t>
            </w:r>
          </w:p>
        </w:tc>
        <w:tc>
          <w:tcPr>
            <w:tcW w:w="501" w:type="pct"/>
            <w:shd w:val="clear" w:color="auto" w:fill="FFFFFF"/>
          </w:tcPr>
          <w:p w14:paraId="0689BAED" w14:textId="77777777" w:rsidR="004543E0" w:rsidRPr="009660EC" w:rsidRDefault="004543E0" w:rsidP="007E3239">
            <w:pPr>
              <w:pStyle w:val="TableText"/>
              <w:spacing w:before="50" w:after="50"/>
              <w:jc w:val="center"/>
              <w:rPr>
                <w:rFonts w:cs="Calibri"/>
              </w:rPr>
            </w:pPr>
            <w:r w:rsidRPr="009660EC">
              <w:t>CH</w:t>
            </w:r>
            <w:r w:rsidRPr="009660EC">
              <w:rPr>
                <w:vertAlign w:val="subscript"/>
              </w:rPr>
              <w:t>4</w:t>
            </w:r>
          </w:p>
        </w:tc>
        <w:tc>
          <w:tcPr>
            <w:tcW w:w="749" w:type="pct"/>
            <w:shd w:val="clear" w:color="auto" w:fill="FFFFFF"/>
          </w:tcPr>
          <w:p w14:paraId="6CD4D722" w14:textId="77777777" w:rsidR="004543E0" w:rsidRPr="009660EC" w:rsidRDefault="004543E0" w:rsidP="007E3239">
            <w:pPr>
              <w:pStyle w:val="TableText"/>
              <w:spacing w:before="50" w:after="50"/>
              <w:rPr>
                <w:rFonts w:cs="Calibri"/>
              </w:rPr>
            </w:pPr>
            <w:r w:rsidRPr="009660EC">
              <w:t>L1</w:t>
            </w:r>
          </w:p>
        </w:tc>
      </w:tr>
      <w:tr w:rsidR="004543E0" w:rsidRPr="009660EC" w14:paraId="1A0DDAEE" w14:textId="77777777" w:rsidTr="009E4A6F">
        <w:tc>
          <w:tcPr>
            <w:tcW w:w="687" w:type="pct"/>
            <w:shd w:val="clear" w:color="auto" w:fill="FFFFFF"/>
          </w:tcPr>
          <w:p w14:paraId="1D2E3694" w14:textId="77777777" w:rsidR="004543E0" w:rsidRPr="009660EC" w:rsidRDefault="004543E0" w:rsidP="007E3239">
            <w:pPr>
              <w:pStyle w:val="TableText"/>
              <w:spacing w:before="50" w:after="50"/>
              <w:rPr>
                <w:rFonts w:cs="Calibri"/>
              </w:rPr>
            </w:pPr>
            <w:r w:rsidRPr="009660EC">
              <w:t>3.A.4</w:t>
            </w:r>
          </w:p>
        </w:tc>
        <w:tc>
          <w:tcPr>
            <w:tcW w:w="3063" w:type="pct"/>
            <w:shd w:val="clear" w:color="auto" w:fill="FFFFFF"/>
          </w:tcPr>
          <w:p w14:paraId="10F0980C" w14:textId="77777777" w:rsidR="004543E0" w:rsidRPr="009660EC" w:rsidRDefault="004543E0" w:rsidP="007E3239">
            <w:pPr>
              <w:pStyle w:val="TableText"/>
              <w:spacing w:before="50" w:after="50"/>
              <w:rPr>
                <w:rFonts w:cs="Calibri"/>
              </w:rPr>
            </w:pPr>
            <w:r w:rsidRPr="009660EC">
              <w:t>Other Livestock – Goats</w:t>
            </w:r>
          </w:p>
        </w:tc>
        <w:tc>
          <w:tcPr>
            <w:tcW w:w="501" w:type="pct"/>
            <w:shd w:val="clear" w:color="auto" w:fill="FFFFFF"/>
          </w:tcPr>
          <w:p w14:paraId="7905B463" w14:textId="77777777" w:rsidR="004543E0" w:rsidRPr="009660EC" w:rsidRDefault="004543E0" w:rsidP="007E3239">
            <w:pPr>
              <w:pStyle w:val="TableText"/>
              <w:spacing w:before="50" w:after="50"/>
              <w:jc w:val="center"/>
              <w:rPr>
                <w:rFonts w:cs="Calibri"/>
              </w:rPr>
            </w:pPr>
            <w:r w:rsidRPr="009660EC">
              <w:t>CH</w:t>
            </w:r>
            <w:r w:rsidRPr="009660EC">
              <w:rPr>
                <w:vertAlign w:val="subscript"/>
              </w:rPr>
              <w:t>4</w:t>
            </w:r>
          </w:p>
        </w:tc>
        <w:tc>
          <w:tcPr>
            <w:tcW w:w="749" w:type="pct"/>
            <w:shd w:val="clear" w:color="auto" w:fill="FFFFFF"/>
          </w:tcPr>
          <w:p w14:paraId="6AE6245C" w14:textId="77777777" w:rsidR="004543E0" w:rsidRPr="009660EC" w:rsidRDefault="004543E0" w:rsidP="007E3239">
            <w:pPr>
              <w:pStyle w:val="TableText"/>
              <w:spacing w:before="50" w:after="50"/>
              <w:rPr>
                <w:rFonts w:cs="Calibri"/>
              </w:rPr>
            </w:pPr>
            <w:r w:rsidRPr="009660EC">
              <w:t>T1</w:t>
            </w:r>
          </w:p>
        </w:tc>
      </w:tr>
      <w:tr w:rsidR="004543E0" w:rsidRPr="009660EC" w14:paraId="45F5F0BD" w14:textId="77777777" w:rsidTr="009E4A6F">
        <w:tc>
          <w:tcPr>
            <w:tcW w:w="687" w:type="pct"/>
            <w:shd w:val="clear" w:color="auto" w:fill="FFFFFF"/>
          </w:tcPr>
          <w:p w14:paraId="20949988" w14:textId="77777777" w:rsidR="004543E0" w:rsidRPr="009660EC" w:rsidRDefault="004543E0" w:rsidP="007E3239">
            <w:pPr>
              <w:pStyle w:val="TableText"/>
              <w:spacing w:before="50" w:after="50"/>
              <w:rPr>
                <w:rFonts w:cs="Calibri"/>
              </w:rPr>
            </w:pPr>
            <w:r w:rsidRPr="009660EC">
              <w:t>3.B.1.1</w:t>
            </w:r>
          </w:p>
        </w:tc>
        <w:tc>
          <w:tcPr>
            <w:tcW w:w="3063" w:type="pct"/>
            <w:shd w:val="clear" w:color="auto" w:fill="FFFFFF"/>
          </w:tcPr>
          <w:p w14:paraId="7FD2AB4D" w14:textId="77777777" w:rsidR="004543E0" w:rsidRPr="009660EC" w:rsidRDefault="004543E0" w:rsidP="007E3239">
            <w:pPr>
              <w:pStyle w:val="TableText"/>
              <w:spacing w:before="50" w:after="50"/>
              <w:rPr>
                <w:rFonts w:cs="Calibri"/>
              </w:rPr>
            </w:pPr>
            <w:r w:rsidRPr="009660EC">
              <w:t>Option A – Dairy Cattle</w:t>
            </w:r>
          </w:p>
        </w:tc>
        <w:tc>
          <w:tcPr>
            <w:tcW w:w="501" w:type="pct"/>
            <w:shd w:val="clear" w:color="auto" w:fill="FFFFFF"/>
          </w:tcPr>
          <w:p w14:paraId="5002B251" w14:textId="77777777" w:rsidR="004543E0" w:rsidRPr="009660EC" w:rsidRDefault="004543E0" w:rsidP="007E3239">
            <w:pPr>
              <w:pStyle w:val="TableText"/>
              <w:spacing w:before="50" w:after="50"/>
              <w:jc w:val="center"/>
              <w:rPr>
                <w:rFonts w:cs="Calibri"/>
              </w:rPr>
            </w:pPr>
            <w:r w:rsidRPr="009660EC">
              <w:t>CH</w:t>
            </w:r>
            <w:r w:rsidRPr="009660EC">
              <w:rPr>
                <w:vertAlign w:val="subscript"/>
              </w:rPr>
              <w:t>4</w:t>
            </w:r>
          </w:p>
        </w:tc>
        <w:tc>
          <w:tcPr>
            <w:tcW w:w="749" w:type="pct"/>
            <w:shd w:val="clear" w:color="auto" w:fill="FFFFFF"/>
          </w:tcPr>
          <w:p w14:paraId="127FA552" w14:textId="77777777" w:rsidR="004543E0" w:rsidRPr="009660EC" w:rsidRDefault="004543E0" w:rsidP="007E3239">
            <w:pPr>
              <w:pStyle w:val="TableText"/>
              <w:spacing w:before="50" w:after="50"/>
              <w:rPr>
                <w:rFonts w:cs="Calibri"/>
              </w:rPr>
            </w:pPr>
            <w:r w:rsidRPr="009660EC">
              <w:t>L1, T1</w:t>
            </w:r>
          </w:p>
        </w:tc>
      </w:tr>
      <w:tr w:rsidR="004543E0" w:rsidRPr="009660EC" w14:paraId="486A19DF" w14:textId="77777777" w:rsidTr="009E4A6F">
        <w:tc>
          <w:tcPr>
            <w:tcW w:w="687" w:type="pct"/>
            <w:shd w:val="clear" w:color="auto" w:fill="FFFFFF"/>
          </w:tcPr>
          <w:p w14:paraId="0721541C" w14:textId="77777777" w:rsidR="004543E0" w:rsidRPr="009660EC" w:rsidRDefault="004543E0" w:rsidP="007E3239">
            <w:pPr>
              <w:pStyle w:val="TableText"/>
              <w:spacing w:before="50" w:after="50"/>
              <w:rPr>
                <w:rFonts w:cs="Calibri"/>
              </w:rPr>
            </w:pPr>
            <w:r w:rsidRPr="009660EC">
              <w:t>3.B.1.2</w:t>
            </w:r>
          </w:p>
        </w:tc>
        <w:tc>
          <w:tcPr>
            <w:tcW w:w="3063" w:type="pct"/>
            <w:shd w:val="clear" w:color="auto" w:fill="FFFFFF"/>
          </w:tcPr>
          <w:p w14:paraId="24A47AA9" w14:textId="77777777" w:rsidR="004543E0" w:rsidRPr="009660EC" w:rsidRDefault="004543E0" w:rsidP="007E3239">
            <w:pPr>
              <w:pStyle w:val="TableText"/>
              <w:spacing w:before="50" w:after="50"/>
              <w:rPr>
                <w:rFonts w:cs="Calibri"/>
              </w:rPr>
            </w:pPr>
            <w:r w:rsidRPr="009660EC">
              <w:t>CH</w:t>
            </w:r>
            <w:r w:rsidRPr="009660EC">
              <w:rPr>
                <w:vertAlign w:val="subscript"/>
              </w:rPr>
              <w:t>4</w:t>
            </w:r>
            <w:r w:rsidRPr="009660EC">
              <w:t xml:space="preserve"> Emissions – Sheep</w:t>
            </w:r>
          </w:p>
        </w:tc>
        <w:tc>
          <w:tcPr>
            <w:tcW w:w="501" w:type="pct"/>
            <w:shd w:val="clear" w:color="auto" w:fill="FFFFFF"/>
          </w:tcPr>
          <w:p w14:paraId="5502599E" w14:textId="77777777" w:rsidR="004543E0" w:rsidRPr="009660EC" w:rsidRDefault="004543E0" w:rsidP="007E3239">
            <w:pPr>
              <w:pStyle w:val="TableText"/>
              <w:spacing w:before="50" w:after="50"/>
              <w:jc w:val="center"/>
              <w:rPr>
                <w:rFonts w:cs="Calibri"/>
              </w:rPr>
            </w:pPr>
            <w:r w:rsidRPr="009660EC">
              <w:t>CH</w:t>
            </w:r>
            <w:r w:rsidRPr="009660EC">
              <w:rPr>
                <w:vertAlign w:val="subscript"/>
              </w:rPr>
              <w:t>4</w:t>
            </w:r>
          </w:p>
        </w:tc>
        <w:tc>
          <w:tcPr>
            <w:tcW w:w="749" w:type="pct"/>
            <w:shd w:val="clear" w:color="auto" w:fill="FFFFFF"/>
          </w:tcPr>
          <w:p w14:paraId="5634F364" w14:textId="77777777" w:rsidR="004543E0" w:rsidRPr="009660EC" w:rsidRDefault="004543E0" w:rsidP="007E3239">
            <w:pPr>
              <w:pStyle w:val="TableText"/>
              <w:spacing w:before="50" w:after="50"/>
              <w:rPr>
                <w:rFonts w:cs="Calibri"/>
              </w:rPr>
            </w:pPr>
            <w:r w:rsidRPr="009660EC">
              <w:t>T1</w:t>
            </w:r>
          </w:p>
        </w:tc>
      </w:tr>
      <w:tr w:rsidR="004543E0" w:rsidRPr="009660EC" w14:paraId="21AB09EF" w14:textId="77777777" w:rsidTr="009E4A6F">
        <w:tc>
          <w:tcPr>
            <w:tcW w:w="687" w:type="pct"/>
            <w:shd w:val="clear" w:color="auto" w:fill="FFFFFF"/>
          </w:tcPr>
          <w:p w14:paraId="296F51FC" w14:textId="77777777" w:rsidR="004543E0" w:rsidRPr="009660EC" w:rsidRDefault="004543E0" w:rsidP="007E3239">
            <w:pPr>
              <w:pStyle w:val="TableText"/>
              <w:spacing w:before="50" w:after="50"/>
              <w:rPr>
                <w:rFonts w:cs="Calibri"/>
              </w:rPr>
            </w:pPr>
            <w:r w:rsidRPr="009660EC">
              <w:t>3.D.1.1</w:t>
            </w:r>
          </w:p>
        </w:tc>
        <w:tc>
          <w:tcPr>
            <w:tcW w:w="3063" w:type="pct"/>
            <w:shd w:val="clear" w:color="auto" w:fill="FFFFFF"/>
          </w:tcPr>
          <w:p w14:paraId="2EA8FF73" w14:textId="77777777" w:rsidR="004543E0" w:rsidRPr="009660EC" w:rsidRDefault="004543E0" w:rsidP="007E3239">
            <w:pPr>
              <w:pStyle w:val="TableText"/>
              <w:spacing w:before="50" w:after="50"/>
              <w:rPr>
                <w:rFonts w:cs="Calibri"/>
              </w:rPr>
            </w:pPr>
            <w:r w:rsidRPr="009660EC">
              <w:t>Direct N</w:t>
            </w:r>
            <w:r w:rsidRPr="009660EC">
              <w:rPr>
                <w:vertAlign w:val="subscript"/>
              </w:rPr>
              <w:t>2</w:t>
            </w:r>
            <w:r w:rsidRPr="009660EC">
              <w:t>O Emissions from Managed Soils – Inorganic N Fertilisers</w:t>
            </w:r>
          </w:p>
        </w:tc>
        <w:tc>
          <w:tcPr>
            <w:tcW w:w="501" w:type="pct"/>
            <w:shd w:val="clear" w:color="auto" w:fill="FFFFFF"/>
          </w:tcPr>
          <w:p w14:paraId="245C9C85" w14:textId="77777777" w:rsidR="004543E0" w:rsidRPr="009660EC" w:rsidRDefault="004543E0" w:rsidP="007E3239">
            <w:pPr>
              <w:pStyle w:val="TableText"/>
              <w:spacing w:before="50" w:after="50"/>
              <w:jc w:val="center"/>
              <w:rPr>
                <w:rFonts w:cs="Calibri"/>
              </w:rPr>
            </w:pPr>
            <w:r w:rsidRPr="009660EC">
              <w:t>N</w:t>
            </w:r>
            <w:r w:rsidRPr="009660EC">
              <w:rPr>
                <w:vertAlign w:val="subscript"/>
              </w:rPr>
              <w:t>2</w:t>
            </w:r>
            <w:r w:rsidRPr="009660EC">
              <w:t>O</w:t>
            </w:r>
          </w:p>
        </w:tc>
        <w:tc>
          <w:tcPr>
            <w:tcW w:w="749" w:type="pct"/>
            <w:shd w:val="clear" w:color="auto" w:fill="FFFFFF"/>
          </w:tcPr>
          <w:p w14:paraId="0FED6792" w14:textId="77777777" w:rsidR="004543E0" w:rsidRPr="009660EC" w:rsidRDefault="004543E0" w:rsidP="007E3239">
            <w:pPr>
              <w:pStyle w:val="TableText"/>
              <w:spacing w:before="50" w:after="50"/>
              <w:rPr>
                <w:rFonts w:cs="Calibri"/>
              </w:rPr>
            </w:pPr>
            <w:r w:rsidRPr="009660EC">
              <w:t>L1, T1</w:t>
            </w:r>
          </w:p>
        </w:tc>
      </w:tr>
      <w:tr w:rsidR="004543E0" w:rsidRPr="009660EC" w14:paraId="1B8DC635" w14:textId="77777777" w:rsidTr="009E4A6F">
        <w:tc>
          <w:tcPr>
            <w:tcW w:w="687" w:type="pct"/>
            <w:shd w:val="clear" w:color="auto" w:fill="FFFFFF"/>
          </w:tcPr>
          <w:p w14:paraId="39A8CAA6" w14:textId="77777777" w:rsidR="004543E0" w:rsidRPr="009660EC" w:rsidRDefault="004543E0" w:rsidP="007E3239">
            <w:pPr>
              <w:pStyle w:val="TableText"/>
              <w:spacing w:before="50" w:after="50"/>
              <w:rPr>
                <w:rFonts w:cs="Calibri"/>
              </w:rPr>
            </w:pPr>
            <w:r w:rsidRPr="009660EC">
              <w:t>3.D.1.3</w:t>
            </w:r>
          </w:p>
        </w:tc>
        <w:tc>
          <w:tcPr>
            <w:tcW w:w="3063" w:type="pct"/>
            <w:shd w:val="clear" w:color="auto" w:fill="FFFFFF"/>
          </w:tcPr>
          <w:p w14:paraId="1B731E52" w14:textId="77777777" w:rsidR="004543E0" w:rsidRPr="009660EC" w:rsidRDefault="004543E0" w:rsidP="007E3239">
            <w:pPr>
              <w:pStyle w:val="TableText"/>
              <w:spacing w:before="50" w:after="50"/>
              <w:rPr>
                <w:rFonts w:cs="Calibri"/>
              </w:rPr>
            </w:pPr>
            <w:r w:rsidRPr="009660EC">
              <w:t>Direct N</w:t>
            </w:r>
            <w:r w:rsidRPr="009660EC">
              <w:rPr>
                <w:vertAlign w:val="subscript"/>
              </w:rPr>
              <w:t>2</w:t>
            </w:r>
            <w:r w:rsidRPr="009660EC">
              <w:t>O Emissions from Managed Soils – Urine and Dung Deposited by Grazing Animals</w:t>
            </w:r>
          </w:p>
        </w:tc>
        <w:tc>
          <w:tcPr>
            <w:tcW w:w="501" w:type="pct"/>
            <w:shd w:val="clear" w:color="auto" w:fill="FFFFFF"/>
          </w:tcPr>
          <w:p w14:paraId="2A5EE55D" w14:textId="77777777" w:rsidR="004543E0" w:rsidRPr="009660EC" w:rsidRDefault="004543E0" w:rsidP="007E3239">
            <w:pPr>
              <w:pStyle w:val="TableText"/>
              <w:spacing w:before="50" w:after="50"/>
              <w:jc w:val="center"/>
              <w:rPr>
                <w:rFonts w:cs="Calibri"/>
              </w:rPr>
            </w:pPr>
            <w:r w:rsidRPr="009660EC">
              <w:t>N</w:t>
            </w:r>
            <w:r w:rsidRPr="009660EC">
              <w:rPr>
                <w:vertAlign w:val="subscript"/>
              </w:rPr>
              <w:t>2</w:t>
            </w:r>
            <w:r w:rsidRPr="009660EC">
              <w:t>O</w:t>
            </w:r>
          </w:p>
        </w:tc>
        <w:tc>
          <w:tcPr>
            <w:tcW w:w="749" w:type="pct"/>
            <w:shd w:val="clear" w:color="auto" w:fill="FFFFFF"/>
          </w:tcPr>
          <w:p w14:paraId="1591F5C2" w14:textId="77777777" w:rsidR="004543E0" w:rsidRPr="009660EC" w:rsidRDefault="004543E0" w:rsidP="007E3239">
            <w:pPr>
              <w:pStyle w:val="TableText"/>
              <w:spacing w:before="50" w:after="50"/>
              <w:rPr>
                <w:rFonts w:cs="Calibri"/>
              </w:rPr>
            </w:pPr>
            <w:r w:rsidRPr="009660EC">
              <w:t>L1, T1</w:t>
            </w:r>
          </w:p>
        </w:tc>
      </w:tr>
      <w:tr w:rsidR="004543E0" w:rsidRPr="009660EC" w14:paraId="5791B7E8" w14:textId="77777777" w:rsidTr="009E4A6F">
        <w:tc>
          <w:tcPr>
            <w:tcW w:w="687" w:type="pct"/>
            <w:shd w:val="clear" w:color="auto" w:fill="FFFFFF"/>
          </w:tcPr>
          <w:p w14:paraId="28F9919C" w14:textId="77777777" w:rsidR="004543E0" w:rsidRPr="009660EC" w:rsidRDefault="004543E0" w:rsidP="007E3239">
            <w:pPr>
              <w:pStyle w:val="TableText"/>
              <w:spacing w:before="50" w:after="50"/>
              <w:rPr>
                <w:rFonts w:cs="Calibri"/>
              </w:rPr>
            </w:pPr>
            <w:r w:rsidRPr="009660EC">
              <w:t>3.D.1.4</w:t>
            </w:r>
          </w:p>
        </w:tc>
        <w:tc>
          <w:tcPr>
            <w:tcW w:w="3063" w:type="pct"/>
            <w:shd w:val="clear" w:color="auto" w:fill="FFFFFF"/>
          </w:tcPr>
          <w:p w14:paraId="0953C38D" w14:textId="77777777" w:rsidR="004543E0" w:rsidRPr="009660EC" w:rsidRDefault="004543E0" w:rsidP="007E3239">
            <w:pPr>
              <w:pStyle w:val="TableText"/>
              <w:spacing w:before="50" w:after="50"/>
              <w:rPr>
                <w:rFonts w:cs="Calibri"/>
              </w:rPr>
            </w:pPr>
            <w:r w:rsidRPr="009660EC">
              <w:t>Direct N</w:t>
            </w:r>
            <w:r w:rsidRPr="009660EC">
              <w:rPr>
                <w:vertAlign w:val="subscript"/>
              </w:rPr>
              <w:t>2</w:t>
            </w:r>
            <w:r w:rsidRPr="009660EC">
              <w:t>O Emissions from Managed Soils – Crop Residues</w:t>
            </w:r>
          </w:p>
        </w:tc>
        <w:tc>
          <w:tcPr>
            <w:tcW w:w="501" w:type="pct"/>
            <w:shd w:val="clear" w:color="auto" w:fill="FFFFFF"/>
          </w:tcPr>
          <w:p w14:paraId="6D819C56" w14:textId="77777777" w:rsidR="004543E0" w:rsidRPr="009660EC" w:rsidRDefault="004543E0" w:rsidP="007E3239">
            <w:pPr>
              <w:pStyle w:val="TableText"/>
              <w:spacing w:before="50" w:after="50"/>
              <w:jc w:val="center"/>
              <w:rPr>
                <w:rFonts w:cs="Calibri"/>
              </w:rPr>
            </w:pPr>
            <w:r w:rsidRPr="009660EC">
              <w:t>N</w:t>
            </w:r>
            <w:r w:rsidRPr="009660EC">
              <w:rPr>
                <w:vertAlign w:val="subscript"/>
              </w:rPr>
              <w:t>2</w:t>
            </w:r>
            <w:r w:rsidRPr="009660EC">
              <w:t>O</w:t>
            </w:r>
          </w:p>
        </w:tc>
        <w:tc>
          <w:tcPr>
            <w:tcW w:w="749" w:type="pct"/>
            <w:shd w:val="clear" w:color="auto" w:fill="FFFFFF"/>
          </w:tcPr>
          <w:p w14:paraId="20577E37" w14:textId="77777777" w:rsidR="004543E0" w:rsidRPr="009660EC" w:rsidRDefault="004543E0" w:rsidP="007E3239">
            <w:pPr>
              <w:pStyle w:val="TableText"/>
              <w:spacing w:before="50" w:after="50"/>
              <w:rPr>
                <w:rFonts w:cs="Calibri"/>
              </w:rPr>
            </w:pPr>
            <w:r w:rsidRPr="009660EC">
              <w:t>L1</w:t>
            </w:r>
          </w:p>
        </w:tc>
      </w:tr>
      <w:tr w:rsidR="004543E0" w:rsidRPr="009660EC" w14:paraId="0AE849C3" w14:textId="77777777" w:rsidTr="009E4A6F">
        <w:tc>
          <w:tcPr>
            <w:tcW w:w="687" w:type="pct"/>
            <w:shd w:val="clear" w:color="auto" w:fill="FFFFFF"/>
          </w:tcPr>
          <w:p w14:paraId="0C491467" w14:textId="77777777" w:rsidR="004543E0" w:rsidRPr="009660EC" w:rsidRDefault="004543E0" w:rsidP="007E3239">
            <w:pPr>
              <w:pStyle w:val="TableText"/>
              <w:spacing w:before="50" w:after="50"/>
              <w:rPr>
                <w:rFonts w:cs="Calibri"/>
              </w:rPr>
            </w:pPr>
            <w:r w:rsidRPr="009660EC">
              <w:t>3.D.1.6</w:t>
            </w:r>
          </w:p>
        </w:tc>
        <w:tc>
          <w:tcPr>
            <w:tcW w:w="3063" w:type="pct"/>
            <w:shd w:val="clear" w:color="auto" w:fill="FFFFFF"/>
          </w:tcPr>
          <w:p w14:paraId="6AA07414" w14:textId="77777777" w:rsidR="004543E0" w:rsidRPr="009660EC" w:rsidRDefault="004543E0" w:rsidP="007E3239">
            <w:pPr>
              <w:pStyle w:val="TableText"/>
              <w:spacing w:before="50" w:after="50"/>
              <w:rPr>
                <w:rFonts w:cs="Calibri"/>
              </w:rPr>
            </w:pPr>
            <w:r w:rsidRPr="009660EC">
              <w:t>Direct N</w:t>
            </w:r>
            <w:r w:rsidRPr="009660EC">
              <w:rPr>
                <w:vertAlign w:val="subscript"/>
              </w:rPr>
              <w:t>2</w:t>
            </w:r>
            <w:r w:rsidRPr="009660EC">
              <w:t>O Emissions from Managed Soils – Cultivation of Organic Soils</w:t>
            </w:r>
          </w:p>
        </w:tc>
        <w:tc>
          <w:tcPr>
            <w:tcW w:w="501" w:type="pct"/>
            <w:shd w:val="clear" w:color="auto" w:fill="FFFFFF"/>
          </w:tcPr>
          <w:p w14:paraId="28921A1B" w14:textId="77777777" w:rsidR="004543E0" w:rsidRPr="009660EC" w:rsidRDefault="004543E0" w:rsidP="007E3239">
            <w:pPr>
              <w:pStyle w:val="TableText"/>
              <w:spacing w:before="50" w:after="50"/>
              <w:jc w:val="center"/>
              <w:rPr>
                <w:rFonts w:cs="Calibri"/>
              </w:rPr>
            </w:pPr>
            <w:r w:rsidRPr="009660EC">
              <w:t>N</w:t>
            </w:r>
            <w:r w:rsidRPr="009660EC">
              <w:rPr>
                <w:vertAlign w:val="subscript"/>
              </w:rPr>
              <w:t>2</w:t>
            </w:r>
            <w:r w:rsidRPr="009660EC">
              <w:t>O</w:t>
            </w:r>
          </w:p>
        </w:tc>
        <w:tc>
          <w:tcPr>
            <w:tcW w:w="749" w:type="pct"/>
            <w:shd w:val="clear" w:color="auto" w:fill="FFFFFF"/>
          </w:tcPr>
          <w:p w14:paraId="0800346F" w14:textId="77777777" w:rsidR="004543E0" w:rsidRPr="009660EC" w:rsidRDefault="004543E0" w:rsidP="007E3239">
            <w:pPr>
              <w:pStyle w:val="TableText"/>
              <w:spacing w:before="50" w:after="50"/>
              <w:rPr>
                <w:rFonts w:cs="Calibri"/>
              </w:rPr>
            </w:pPr>
            <w:r w:rsidRPr="009660EC">
              <w:t>L1, T1</w:t>
            </w:r>
          </w:p>
        </w:tc>
      </w:tr>
      <w:tr w:rsidR="004543E0" w:rsidRPr="009660EC" w14:paraId="1437AEDD" w14:textId="77777777" w:rsidTr="009E4A6F">
        <w:tc>
          <w:tcPr>
            <w:tcW w:w="687" w:type="pct"/>
            <w:shd w:val="clear" w:color="auto" w:fill="FFFFFF"/>
          </w:tcPr>
          <w:p w14:paraId="0C62839A" w14:textId="77777777" w:rsidR="004543E0" w:rsidRPr="009660EC" w:rsidRDefault="004543E0" w:rsidP="007E3239">
            <w:pPr>
              <w:pStyle w:val="TableText"/>
              <w:spacing w:before="50" w:after="50"/>
              <w:rPr>
                <w:rFonts w:cs="Calibri"/>
              </w:rPr>
            </w:pPr>
            <w:r w:rsidRPr="009660EC">
              <w:t>3.D.2.1</w:t>
            </w:r>
          </w:p>
        </w:tc>
        <w:tc>
          <w:tcPr>
            <w:tcW w:w="3063" w:type="pct"/>
            <w:shd w:val="clear" w:color="auto" w:fill="FFFFFF"/>
          </w:tcPr>
          <w:p w14:paraId="3A5F628B" w14:textId="77777777" w:rsidR="004543E0" w:rsidRPr="009660EC" w:rsidRDefault="004543E0" w:rsidP="007E3239">
            <w:pPr>
              <w:pStyle w:val="TableText"/>
              <w:spacing w:before="50" w:after="50"/>
              <w:rPr>
                <w:rFonts w:cs="Calibri"/>
              </w:rPr>
            </w:pPr>
            <w:r w:rsidRPr="009660EC">
              <w:t>Indirect N</w:t>
            </w:r>
            <w:r w:rsidRPr="009660EC">
              <w:rPr>
                <w:vertAlign w:val="subscript"/>
              </w:rPr>
              <w:t>2</w:t>
            </w:r>
            <w:r w:rsidRPr="009660EC">
              <w:t>O Emissions from Managed Soils – Atmospheric Deposition</w:t>
            </w:r>
          </w:p>
        </w:tc>
        <w:tc>
          <w:tcPr>
            <w:tcW w:w="501" w:type="pct"/>
            <w:shd w:val="clear" w:color="auto" w:fill="FFFFFF"/>
          </w:tcPr>
          <w:p w14:paraId="78543FCA" w14:textId="77777777" w:rsidR="004543E0" w:rsidRPr="009660EC" w:rsidRDefault="004543E0" w:rsidP="007E3239">
            <w:pPr>
              <w:pStyle w:val="TableText"/>
              <w:spacing w:before="50" w:after="50"/>
              <w:jc w:val="center"/>
              <w:rPr>
                <w:rFonts w:cs="Calibri"/>
              </w:rPr>
            </w:pPr>
            <w:r w:rsidRPr="009660EC">
              <w:t>N</w:t>
            </w:r>
            <w:r w:rsidRPr="009660EC">
              <w:rPr>
                <w:vertAlign w:val="subscript"/>
              </w:rPr>
              <w:t>2</w:t>
            </w:r>
            <w:r w:rsidRPr="009660EC">
              <w:t>O</w:t>
            </w:r>
          </w:p>
        </w:tc>
        <w:tc>
          <w:tcPr>
            <w:tcW w:w="749" w:type="pct"/>
            <w:shd w:val="clear" w:color="auto" w:fill="FFFFFF"/>
          </w:tcPr>
          <w:p w14:paraId="53202BA8" w14:textId="77777777" w:rsidR="004543E0" w:rsidRPr="009660EC" w:rsidRDefault="004543E0" w:rsidP="007E3239">
            <w:pPr>
              <w:pStyle w:val="TableText"/>
              <w:spacing w:before="50" w:after="50"/>
              <w:rPr>
                <w:rFonts w:cs="Calibri"/>
              </w:rPr>
            </w:pPr>
            <w:r w:rsidRPr="009660EC">
              <w:t>L1</w:t>
            </w:r>
          </w:p>
        </w:tc>
      </w:tr>
      <w:tr w:rsidR="004543E0" w:rsidRPr="009660EC" w14:paraId="3F31A54D" w14:textId="77777777" w:rsidTr="009E4A6F">
        <w:tc>
          <w:tcPr>
            <w:tcW w:w="687" w:type="pct"/>
            <w:shd w:val="clear" w:color="auto" w:fill="FFFFFF"/>
          </w:tcPr>
          <w:p w14:paraId="373C1E2A" w14:textId="77777777" w:rsidR="004543E0" w:rsidRPr="009660EC" w:rsidRDefault="004543E0" w:rsidP="007E3239">
            <w:pPr>
              <w:pStyle w:val="TableText"/>
              <w:spacing w:before="50" w:after="50"/>
              <w:rPr>
                <w:rFonts w:cs="Calibri"/>
              </w:rPr>
            </w:pPr>
            <w:r w:rsidRPr="009660EC">
              <w:t>3.D.2.2</w:t>
            </w:r>
          </w:p>
        </w:tc>
        <w:tc>
          <w:tcPr>
            <w:tcW w:w="3063" w:type="pct"/>
            <w:shd w:val="clear" w:color="auto" w:fill="FFFFFF"/>
          </w:tcPr>
          <w:p w14:paraId="185E0ED9" w14:textId="77777777" w:rsidR="004543E0" w:rsidRPr="009660EC" w:rsidRDefault="004543E0" w:rsidP="007E3239">
            <w:pPr>
              <w:pStyle w:val="TableText"/>
              <w:spacing w:before="50" w:after="50"/>
              <w:rPr>
                <w:rFonts w:cs="Calibri"/>
              </w:rPr>
            </w:pPr>
            <w:r w:rsidRPr="009660EC">
              <w:t>Indirect N</w:t>
            </w:r>
            <w:r w:rsidRPr="009660EC">
              <w:rPr>
                <w:vertAlign w:val="subscript"/>
              </w:rPr>
              <w:t>2</w:t>
            </w:r>
            <w:r w:rsidRPr="009660EC">
              <w:t>O Emissions from Managed Soils – Nitrogen Leaching and Run-off</w:t>
            </w:r>
          </w:p>
        </w:tc>
        <w:tc>
          <w:tcPr>
            <w:tcW w:w="501" w:type="pct"/>
            <w:shd w:val="clear" w:color="auto" w:fill="FFFFFF"/>
          </w:tcPr>
          <w:p w14:paraId="6B6C4949" w14:textId="77777777" w:rsidR="004543E0" w:rsidRPr="009660EC" w:rsidRDefault="004543E0" w:rsidP="007E3239">
            <w:pPr>
              <w:pStyle w:val="TableText"/>
              <w:spacing w:before="50" w:after="50"/>
              <w:jc w:val="center"/>
              <w:rPr>
                <w:rFonts w:cs="Calibri"/>
              </w:rPr>
            </w:pPr>
            <w:r w:rsidRPr="009660EC">
              <w:t>N</w:t>
            </w:r>
            <w:r w:rsidRPr="009660EC">
              <w:rPr>
                <w:vertAlign w:val="subscript"/>
              </w:rPr>
              <w:t>2</w:t>
            </w:r>
            <w:r w:rsidRPr="009660EC">
              <w:t>O</w:t>
            </w:r>
          </w:p>
        </w:tc>
        <w:tc>
          <w:tcPr>
            <w:tcW w:w="749" w:type="pct"/>
            <w:shd w:val="clear" w:color="auto" w:fill="FFFFFF"/>
          </w:tcPr>
          <w:p w14:paraId="34446709" w14:textId="77777777" w:rsidR="004543E0" w:rsidRPr="009660EC" w:rsidRDefault="004543E0" w:rsidP="007E3239">
            <w:pPr>
              <w:pStyle w:val="TableText"/>
              <w:spacing w:before="50" w:after="50"/>
              <w:rPr>
                <w:rFonts w:cs="Calibri"/>
              </w:rPr>
            </w:pPr>
            <w:r w:rsidRPr="009660EC">
              <w:t>L1</w:t>
            </w:r>
          </w:p>
        </w:tc>
      </w:tr>
      <w:tr w:rsidR="004543E0" w:rsidRPr="009660EC" w14:paraId="761245B4" w14:textId="77777777" w:rsidTr="009E4A6F">
        <w:tc>
          <w:tcPr>
            <w:tcW w:w="687" w:type="pct"/>
            <w:shd w:val="clear" w:color="auto" w:fill="FFFFFF"/>
          </w:tcPr>
          <w:p w14:paraId="6E9F5D6D" w14:textId="77777777" w:rsidR="004543E0" w:rsidRPr="009660EC" w:rsidRDefault="004543E0" w:rsidP="007E3239">
            <w:pPr>
              <w:pStyle w:val="TableText"/>
              <w:spacing w:before="50" w:after="50"/>
              <w:rPr>
                <w:rFonts w:cs="Calibri"/>
                <w:color w:val="000000"/>
              </w:rPr>
            </w:pPr>
            <w:r w:rsidRPr="009660EC">
              <w:t>3.G</w:t>
            </w:r>
          </w:p>
        </w:tc>
        <w:tc>
          <w:tcPr>
            <w:tcW w:w="3063" w:type="pct"/>
            <w:shd w:val="clear" w:color="auto" w:fill="FFFFFF"/>
          </w:tcPr>
          <w:p w14:paraId="72D0125C" w14:textId="77777777" w:rsidR="004543E0" w:rsidRPr="009660EC" w:rsidRDefault="004543E0" w:rsidP="007E3239">
            <w:pPr>
              <w:pStyle w:val="TableText"/>
              <w:spacing w:before="50" w:after="50"/>
              <w:rPr>
                <w:rFonts w:cs="Calibri"/>
                <w:color w:val="000000"/>
              </w:rPr>
            </w:pPr>
            <w:r w:rsidRPr="009660EC">
              <w:t>Agriculture – Liming</w:t>
            </w:r>
          </w:p>
        </w:tc>
        <w:tc>
          <w:tcPr>
            <w:tcW w:w="501" w:type="pct"/>
            <w:shd w:val="clear" w:color="auto" w:fill="FFFFFF"/>
          </w:tcPr>
          <w:p w14:paraId="335D45B0" w14:textId="77777777" w:rsidR="004543E0" w:rsidRPr="009660EC" w:rsidRDefault="004543E0" w:rsidP="007E3239">
            <w:pPr>
              <w:pStyle w:val="TableText"/>
              <w:spacing w:before="50" w:after="50"/>
              <w:jc w:val="center"/>
              <w:rPr>
                <w:rFonts w:cs="Calibri"/>
                <w:color w:val="000000"/>
              </w:rPr>
            </w:pPr>
            <w:r w:rsidRPr="009660EC">
              <w:t>CO</w:t>
            </w:r>
            <w:r w:rsidRPr="009660EC">
              <w:rPr>
                <w:vertAlign w:val="subscript"/>
              </w:rPr>
              <w:t>2</w:t>
            </w:r>
          </w:p>
        </w:tc>
        <w:tc>
          <w:tcPr>
            <w:tcW w:w="749" w:type="pct"/>
            <w:shd w:val="clear" w:color="auto" w:fill="FFFFFF"/>
          </w:tcPr>
          <w:p w14:paraId="1C474AEE" w14:textId="77777777" w:rsidR="004543E0" w:rsidRPr="009660EC" w:rsidRDefault="004543E0" w:rsidP="007E3239">
            <w:pPr>
              <w:pStyle w:val="TableText"/>
              <w:spacing w:before="50" w:after="50"/>
              <w:rPr>
                <w:rFonts w:cs="Calibri"/>
                <w:color w:val="000000"/>
              </w:rPr>
            </w:pPr>
            <w:r w:rsidRPr="009660EC">
              <w:t>L1</w:t>
            </w:r>
          </w:p>
        </w:tc>
      </w:tr>
      <w:tr w:rsidR="004543E0" w:rsidRPr="009660EC" w14:paraId="4263D631" w14:textId="77777777" w:rsidTr="009E4A6F">
        <w:tc>
          <w:tcPr>
            <w:tcW w:w="687" w:type="pct"/>
            <w:shd w:val="clear" w:color="auto" w:fill="FFFFFF"/>
          </w:tcPr>
          <w:p w14:paraId="360901E7" w14:textId="77777777" w:rsidR="004543E0" w:rsidRPr="009660EC" w:rsidRDefault="004543E0" w:rsidP="007E3239">
            <w:pPr>
              <w:pStyle w:val="TableText"/>
              <w:spacing w:before="50" w:after="50"/>
              <w:rPr>
                <w:rFonts w:cs="Calibri"/>
                <w:color w:val="000000"/>
              </w:rPr>
            </w:pPr>
            <w:r w:rsidRPr="009660EC">
              <w:t>3.H</w:t>
            </w:r>
          </w:p>
        </w:tc>
        <w:tc>
          <w:tcPr>
            <w:tcW w:w="3063" w:type="pct"/>
            <w:shd w:val="clear" w:color="auto" w:fill="FFFFFF"/>
          </w:tcPr>
          <w:p w14:paraId="129AC9F8" w14:textId="77777777" w:rsidR="004543E0" w:rsidRPr="009660EC" w:rsidRDefault="004543E0" w:rsidP="007E3239">
            <w:pPr>
              <w:pStyle w:val="TableText"/>
              <w:spacing w:before="50" w:after="50"/>
              <w:rPr>
                <w:rFonts w:cs="Calibri"/>
                <w:color w:val="000000"/>
              </w:rPr>
            </w:pPr>
            <w:r w:rsidRPr="009660EC">
              <w:t>Agriculture – Urea Application</w:t>
            </w:r>
          </w:p>
        </w:tc>
        <w:tc>
          <w:tcPr>
            <w:tcW w:w="501" w:type="pct"/>
            <w:shd w:val="clear" w:color="auto" w:fill="FFFFFF"/>
          </w:tcPr>
          <w:p w14:paraId="5742FAC5" w14:textId="77777777" w:rsidR="004543E0" w:rsidRPr="009660EC" w:rsidRDefault="004543E0" w:rsidP="007E3239">
            <w:pPr>
              <w:pStyle w:val="TableText"/>
              <w:spacing w:before="50" w:after="50"/>
              <w:jc w:val="center"/>
              <w:rPr>
                <w:rFonts w:cs="Calibri"/>
                <w:color w:val="000000"/>
              </w:rPr>
            </w:pPr>
            <w:r w:rsidRPr="009660EC">
              <w:t>CO</w:t>
            </w:r>
            <w:r w:rsidRPr="009660EC">
              <w:rPr>
                <w:vertAlign w:val="subscript"/>
              </w:rPr>
              <w:t>2</w:t>
            </w:r>
          </w:p>
        </w:tc>
        <w:tc>
          <w:tcPr>
            <w:tcW w:w="749" w:type="pct"/>
            <w:shd w:val="clear" w:color="auto" w:fill="FFFFFF"/>
          </w:tcPr>
          <w:p w14:paraId="3F9B42F0" w14:textId="77777777" w:rsidR="004543E0" w:rsidRPr="009660EC" w:rsidRDefault="004543E0" w:rsidP="007E3239">
            <w:pPr>
              <w:pStyle w:val="TableText"/>
              <w:spacing w:before="50" w:after="50"/>
              <w:rPr>
                <w:rFonts w:cs="Calibri"/>
                <w:color w:val="000000"/>
              </w:rPr>
            </w:pPr>
            <w:r w:rsidRPr="009660EC">
              <w:t>L1, T1</w:t>
            </w:r>
          </w:p>
        </w:tc>
      </w:tr>
    </w:tbl>
    <w:p w14:paraId="0B1CE9F3" w14:textId="77777777" w:rsidR="004543E0" w:rsidRPr="009660EC" w:rsidRDefault="004543E0" w:rsidP="004543E0">
      <w:pPr>
        <w:pStyle w:val="Noteundertable"/>
        <w:spacing w:before="100"/>
        <w:rPr>
          <w:rFonts w:cs="Calibri"/>
        </w:rPr>
      </w:pPr>
      <w:r w:rsidRPr="009660EC">
        <w:rPr>
          <w:rFonts w:cs="Calibri"/>
          <w:b/>
          <w:bCs/>
        </w:rPr>
        <w:t>Note</w:t>
      </w:r>
      <w:r w:rsidRPr="009660EC">
        <w:rPr>
          <w:rFonts w:cs="Calibri"/>
        </w:rPr>
        <w:t xml:space="preserve">: </w:t>
      </w:r>
      <w:r w:rsidRPr="009660EC">
        <w:rPr>
          <w:rFonts w:cs="Calibri"/>
        </w:rPr>
        <w:tab/>
        <w:t xml:space="preserve">L1 means a key category is identified under the level analysis – approach 1 and T1 is trend analysis </w:t>
      </w:r>
      <w:r w:rsidRPr="009660EC">
        <w:rPr>
          <w:rFonts w:cs="Calibri"/>
        </w:rPr>
        <w:br/>
        <w:t>– approach 1. See chapter 1 for more information.</w:t>
      </w:r>
    </w:p>
    <w:p w14:paraId="6F47C213" w14:textId="77777777" w:rsidR="004543E0" w:rsidRPr="009660EC" w:rsidRDefault="004543E0" w:rsidP="004543E0">
      <w:pPr>
        <w:pStyle w:val="Heading3"/>
      </w:pPr>
      <w:bookmarkStart w:id="621" w:name="_Toc32570645"/>
      <w:r w:rsidRPr="009660EC">
        <w:lastRenderedPageBreak/>
        <w:t xml:space="preserve">5.1.3 </w:t>
      </w:r>
      <w:r w:rsidRPr="009660EC">
        <w:tab/>
        <w:t>Methodological issues for the Agriculture sector</w:t>
      </w:r>
      <w:bookmarkEnd w:id="621"/>
      <w:r w:rsidRPr="009660EC">
        <w:t xml:space="preserve"> </w:t>
      </w:r>
    </w:p>
    <w:p w14:paraId="2EED58F3" w14:textId="77777777" w:rsidR="004543E0" w:rsidRPr="009660EC" w:rsidRDefault="004543E0" w:rsidP="004543E0">
      <w:pPr>
        <w:pStyle w:val="BodyText"/>
        <w:rPr>
          <w:rFonts w:cs="Calibri"/>
        </w:rPr>
      </w:pPr>
      <w:r w:rsidRPr="009660EC">
        <w:rPr>
          <w:rFonts w:cs="Calibri"/>
        </w:rPr>
        <w:t>The Agriculture</w:t>
      </w:r>
      <w:r w:rsidRPr="009660EC">
        <w:rPr>
          <w:rFonts w:cs="Calibri"/>
          <w:i/>
        </w:rPr>
        <w:t xml:space="preserve"> </w:t>
      </w:r>
      <w:r w:rsidRPr="009660EC">
        <w:rPr>
          <w:rFonts w:cs="Calibri"/>
        </w:rPr>
        <w:t>sector includes emissions of CH</w:t>
      </w:r>
      <w:r w:rsidRPr="009660EC">
        <w:rPr>
          <w:rFonts w:cs="Calibri"/>
          <w:vertAlign w:val="subscript"/>
        </w:rPr>
        <w:t>4</w:t>
      </w:r>
      <w:r w:rsidRPr="009660EC">
        <w:rPr>
          <w:rFonts w:cs="Calibri"/>
        </w:rPr>
        <w:t xml:space="preserve"> and N</w:t>
      </w:r>
      <w:r w:rsidRPr="009660EC">
        <w:rPr>
          <w:rFonts w:cs="Calibri"/>
          <w:vertAlign w:val="subscript"/>
        </w:rPr>
        <w:t>2</w:t>
      </w:r>
      <w:r w:rsidRPr="009660EC">
        <w:rPr>
          <w:rFonts w:cs="Calibri"/>
        </w:rPr>
        <w:t xml:space="preserve">O from livestock industries (estimated in </w:t>
      </w:r>
      <w:r w:rsidRPr="009660EC">
        <w:rPr>
          <w:rFonts w:cs="Calibri"/>
          <w:i/>
        </w:rPr>
        <w:t xml:space="preserve">Enteric fermentation </w:t>
      </w:r>
      <w:r w:rsidRPr="009660EC">
        <w:rPr>
          <w:rFonts w:cs="Calibri"/>
        </w:rPr>
        <w:t>(CH</w:t>
      </w:r>
      <w:r w:rsidRPr="009660EC">
        <w:rPr>
          <w:rFonts w:cs="Calibri"/>
          <w:vertAlign w:val="subscript"/>
        </w:rPr>
        <w:t>4</w:t>
      </w:r>
      <w:r w:rsidRPr="009660EC">
        <w:rPr>
          <w:rFonts w:cs="Calibri"/>
        </w:rPr>
        <w:t xml:space="preserve">) and </w:t>
      </w:r>
      <w:r w:rsidRPr="009660EC">
        <w:rPr>
          <w:rFonts w:cs="Calibri"/>
          <w:i/>
        </w:rPr>
        <w:t xml:space="preserve">Manure management </w:t>
      </w:r>
      <w:r w:rsidRPr="009660EC">
        <w:rPr>
          <w:rFonts w:cs="Calibri"/>
        </w:rPr>
        <w:t>(CH</w:t>
      </w:r>
      <w:r w:rsidRPr="009660EC">
        <w:rPr>
          <w:rFonts w:cs="Calibri"/>
          <w:vertAlign w:val="subscript"/>
        </w:rPr>
        <w:t>4</w:t>
      </w:r>
      <w:r w:rsidRPr="009660EC">
        <w:rPr>
          <w:rFonts w:cs="Calibri"/>
        </w:rPr>
        <w:t xml:space="preserve"> and N</w:t>
      </w:r>
      <w:r w:rsidRPr="009660EC">
        <w:rPr>
          <w:rFonts w:cs="Calibri"/>
          <w:vertAlign w:val="subscript"/>
        </w:rPr>
        <w:t>2</w:t>
      </w:r>
      <w:r w:rsidRPr="009660EC">
        <w:rPr>
          <w:rFonts w:cs="Calibri"/>
        </w:rPr>
        <w:t>O)).</w:t>
      </w:r>
      <w:r w:rsidRPr="009660EC">
        <w:rPr>
          <w:rFonts w:cs="Calibri"/>
          <w:i/>
        </w:rPr>
        <w:t xml:space="preserve"> </w:t>
      </w:r>
      <w:r w:rsidRPr="009660EC">
        <w:rPr>
          <w:rFonts w:cs="Calibri"/>
        </w:rPr>
        <w:t xml:space="preserve">In New Zealand, the predominant species (in terms of population numbers) are sheep, followed by dairy cattle, beef cattle and deer. New Zealand breeds are selected to perform under outdoor pastoral farming systems. </w:t>
      </w:r>
    </w:p>
    <w:p w14:paraId="627A3A77" w14:textId="77777777" w:rsidR="004543E0" w:rsidRPr="009660EC" w:rsidRDefault="004543E0" w:rsidP="004543E0">
      <w:pPr>
        <w:pStyle w:val="BodyText"/>
        <w:spacing w:before="100" w:after="100"/>
        <w:rPr>
          <w:rFonts w:cs="Calibri"/>
        </w:rPr>
      </w:pPr>
      <w:r w:rsidRPr="009660EC">
        <w:rPr>
          <w:rFonts w:cs="Calibri"/>
        </w:rPr>
        <w:t>Other agricultural emission sources include N</w:t>
      </w:r>
      <w:r w:rsidRPr="009660EC">
        <w:rPr>
          <w:rFonts w:cs="Calibri"/>
          <w:vertAlign w:val="subscript"/>
        </w:rPr>
        <w:t>2</w:t>
      </w:r>
      <w:r w:rsidRPr="009660EC">
        <w:rPr>
          <w:rFonts w:cs="Calibri"/>
        </w:rPr>
        <w:t xml:space="preserve">O from </w:t>
      </w:r>
      <w:r w:rsidRPr="009660EC">
        <w:rPr>
          <w:rFonts w:cs="Calibri"/>
          <w:i/>
          <w:iCs/>
        </w:rPr>
        <w:t>Agricultural soils</w:t>
      </w:r>
      <w:r w:rsidRPr="009660EC">
        <w:rPr>
          <w:rFonts w:cs="Calibri"/>
        </w:rPr>
        <w:t>, CH</w:t>
      </w:r>
      <w:r w:rsidRPr="009660EC">
        <w:rPr>
          <w:rFonts w:cs="Calibri"/>
          <w:vertAlign w:val="subscript"/>
        </w:rPr>
        <w:t>4</w:t>
      </w:r>
      <w:r w:rsidRPr="009660EC">
        <w:rPr>
          <w:rFonts w:cs="Calibri"/>
        </w:rPr>
        <w:t xml:space="preserve"> and N</w:t>
      </w:r>
      <w:r w:rsidRPr="009660EC">
        <w:rPr>
          <w:rFonts w:cs="Calibri"/>
          <w:vertAlign w:val="subscript"/>
        </w:rPr>
        <w:t>2</w:t>
      </w:r>
      <w:r w:rsidRPr="009660EC">
        <w:rPr>
          <w:rFonts w:cs="Calibri"/>
        </w:rPr>
        <w:t>O from </w:t>
      </w:r>
      <w:r w:rsidRPr="009660EC">
        <w:rPr>
          <w:rFonts w:cs="Calibri"/>
          <w:i/>
          <w:iCs/>
        </w:rPr>
        <w:t>Field burning of agricultural residues</w:t>
      </w:r>
      <w:r w:rsidRPr="009660EC">
        <w:rPr>
          <w:rFonts w:cs="Calibri"/>
        </w:rPr>
        <w:t xml:space="preserve"> and CO</w:t>
      </w:r>
      <w:r w:rsidRPr="009660EC">
        <w:rPr>
          <w:rFonts w:cs="Calibri"/>
          <w:vertAlign w:val="subscript"/>
        </w:rPr>
        <w:t>2</w:t>
      </w:r>
      <w:r w:rsidRPr="009660EC">
        <w:rPr>
          <w:rFonts w:cs="Calibri"/>
        </w:rPr>
        <w:t xml:space="preserve"> from </w:t>
      </w:r>
      <w:r w:rsidRPr="009660EC">
        <w:rPr>
          <w:rFonts w:cs="Calibri"/>
          <w:i/>
          <w:iCs/>
        </w:rPr>
        <w:t>Liming</w:t>
      </w:r>
      <w:r w:rsidRPr="009660EC">
        <w:rPr>
          <w:rFonts w:cs="Calibri"/>
        </w:rPr>
        <w:t xml:space="preserve"> and </w:t>
      </w:r>
      <w:r w:rsidRPr="009660EC">
        <w:rPr>
          <w:rFonts w:cs="Calibri"/>
          <w:i/>
          <w:iCs/>
        </w:rPr>
        <w:t>Urea application</w:t>
      </w:r>
      <w:r w:rsidRPr="009660EC">
        <w:rPr>
          <w:rFonts w:cs="Calibri"/>
        </w:rPr>
        <w:t>.</w:t>
      </w:r>
    </w:p>
    <w:p w14:paraId="0621DF6B" w14:textId="16B76B02" w:rsidR="004543E0" w:rsidRPr="009660EC" w:rsidRDefault="004543E0" w:rsidP="004543E0">
      <w:pPr>
        <w:pStyle w:val="BodyText"/>
        <w:spacing w:before="100" w:after="100"/>
        <w:rPr>
          <w:rFonts w:cs="Calibri"/>
        </w:rPr>
      </w:pPr>
      <w:r w:rsidRPr="009660EC">
        <w:rPr>
          <w:rFonts w:cs="Calibri"/>
        </w:rPr>
        <w:t xml:space="preserve">New Zealand uses a range of models and tiers appropriate to the size of the different emission categories for calculating emissions. For example, 90.0 per cent of New Zealand’s livestock emissions come from </w:t>
      </w:r>
      <w:r w:rsidRPr="009660EC">
        <w:rPr>
          <w:rFonts w:cs="Calibri"/>
          <w:i/>
          <w:iCs/>
        </w:rPr>
        <w:t>Dairy cattle</w:t>
      </w:r>
      <w:r w:rsidRPr="009660EC">
        <w:rPr>
          <w:rFonts w:cs="Calibri"/>
        </w:rPr>
        <w:t xml:space="preserve">, </w:t>
      </w:r>
      <w:r w:rsidRPr="009660EC">
        <w:rPr>
          <w:rFonts w:cs="Calibri"/>
          <w:i/>
          <w:iCs/>
        </w:rPr>
        <w:t xml:space="preserve">Non-dairy </w:t>
      </w:r>
      <w:r w:rsidRPr="009660EC">
        <w:rPr>
          <w:rFonts w:cs="Calibri"/>
        </w:rPr>
        <w:t>(beef)</w:t>
      </w:r>
      <w:r w:rsidRPr="009660EC">
        <w:rPr>
          <w:rFonts w:cs="Calibri"/>
          <w:i/>
          <w:iCs/>
        </w:rPr>
        <w:t xml:space="preserve"> cattle</w:t>
      </w:r>
      <w:r w:rsidRPr="009660EC">
        <w:rPr>
          <w:rFonts w:cs="Calibri"/>
        </w:rPr>
        <w:t>,</w:t>
      </w:r>
      <w:r w:rsidRPr="009660EC">
        <w:rPr>
          <w:rFonts w:cs="Calibri"/>
          <w:i/>
          <w:iCs/>
        </w:rPr>
        <w:t xml:space="preserve"> Sheep</w:t>
      </w:r>
      <w:r w:rsidRPr="009660EC">
        <w:rPr>
          <w:rFonts w:cs="Calibri"/>
        </w:rPr>
        <w:t xml:space="preserve"> and </w:t>
      </w:r>
      <w:r w:rsidRPr="009660EC">
        <w:rPr>
          <w:rFonts w:cs="Calibri"/>
          <w:i/>
          <w:iCs/>
        </w:rPr>
        <w:t>Deer</w:t>
      </w:r>
      <w:r w:rsidRPr="009660EC">
        <w:rPr>
          <w:rFonts w:cs="Calibri"/>
        </w:rPr>
        <w:t xml:space="preserve"> (‘major’ livestock </w:t>
      </w:r>
      <w:r w:rsidRPr="009660EC">
        <w:rPr>
          <w:rFonts w:cs="Calibri"/>
          <w:spacing w:val="-2"/>
        </w:rPr>
        <w:t>categories). Emissions from major livestock categories are estimated using Tier 2 methodologies.</w:t>
      </w:r>
      <w:r w:rsidRPr="009660EC">
        <w:rPr>
          <w:rFonts w:cs="Calibri"/>
        </w:rPr>
        <w:t xml:space="preserve"> Other livestock species, including </w:t>
      </w:r>
      <w:r w:rsidRPr="009660EC">
        <w:rPr>
          <w:rFonts w:cs="Calibri"/>
          <w:i/>
          <w:iCs/>
        </w:rPr>
        <w:t>Swine</w:t>
      </w:r>
      <w:r w:rsidRPr="009660EC">
        <w:rPr>
          <w:rFonts w:cs="Calibri"/>
        </w:rPr>
        <w:t>,</w:t>
      </w:r>
      <w:r w:rsidRPr="009660EC">
        <w:rPr>
          <w:rFonts w:cs="Calibri"/>
          <w:i/>
          <w:iCs/>
        </w:rPr>
        <w:t xml:space="preserve"> Goats</w:t>
      </w:r>
      <w:r w:rsidRPr="009660EC">
        <w:rPr>
          <w:rFonts w:cs="Calibri"/>
        </w:rPr>
        <w:t>,</w:t>
      </w:r>
      <w:r w:rsidRPr="009660EC">
        <w:rPr>
          <w:rFonts w:cs="Calibri"/>
          <w:i/>
          <w:iCs/>
        </w:rPr>
        <w:t xml:space="preserve"> Horses</w:t>
      </w:r>
      <w:r w:rsidRPr="00F319C8">
        <w:rPr>
          <w:rFonts w:cs="Calibri"/>
        </w:rPr>
        <w:t xml:space="preserve">, </w:t>
      </w:r>
      <w:r w:rsidR="00F319C8">
        <w:rPr>
          <w:rFonts w:cs="Calibri"/>
        </w:rPr>
        <w:t>l</w:t>
      </w:r>
      <w:r w:rsidRPr="00F319C8">
        <w:rPr>
          <w:rFonts w:cs="Calibri"/>
          <w:iCs/>
        </w:rPr>
        <w:t>lamas and alpacas</w:t>
      </w:r>
      <w:r w:rsidRPr="009660EC">
        <w:rPr>
          <w:rFonts w:cs="Calibri"/>
        </w:rPr>
        <w:t>,</w:t>
      </w:r>
      <w:r w:rsidRPr="009660EC">
        <w:rPr>
          <w:rFonts w:cs="Calibri"/>
          <w:i/>
          <w:iCs/>
        </w:rPr>
        <w:t xml:space="preserve"> Mules and asses</w:t>
      </w:r>
      <w:r w:rsidRPr="009660EC">
        <w:rPr>
          <w:rFonts w:cs="Calibri"/>
        </w:rPr>
        <w:t xml:space="preserve"> </w:t>
      </w:r>
      <w:r w:rsidRPr="009660EC">
        <w:rPr>
          <w:rFonts w:cs="Calibri"/>
          <w:spacing w:val="-2"/>
        </w:rPr>
        <w:t xml:space="preserve">and </w:t>
      </w:r>
      <w:r w:rsidRPr="009660EC">
        <w:rPr>
          <w:rFonts w:cs="Calibri"/>
          <w:i/>
          <w:iCs/>
          <w:spacing w:val="-2"/>
        </w:rPr>
        <w:t xml:space="preserve">Poultry </w:t>
      </w:r>
      <w:r w:rsidRPr="009660EC">
        <w:rPr>
          <w:rFonts w:cs="Calibri"/>
          <w:spacing w:val="-2"/>
        </w:rPr>
        <w:t>(‘minor’ livestock categories) account for only 0.5 per cent of agriculture emissions,</w:t>
      </w:r>
      <w:r w:rsidRPr="009660EC">
        <w:rPr>
          <w:rFonts w:cs="Calibri"/>
        </w:rPr>
        <w:t xml:space="preserve"> and are estimated using Tier 1 methodologies with some Tier 2 components. As such, most of New Zealand’s reported agricultural emissions are calculated using Tier 2 methodology.</w:t>
      </w:r>
    </w:p>
    <w:p w14:paraId="5C84CCD5" w14:textId="77777777" w:rsidR="004543E0" w:rsidRPr="009660EC" w:rsidRDefault="004543E0" w:rsidP="004543E0">
      <w:pPr>
        <w:pStyle w:val="BodyText"/>
        <w:keepNext/>
        <w:spacing w:before="100" w:after="100"/>
        <w:rPr>
          <w:rFonts w:cs="Calibri"/>
        </w:rPr>
      </w:pPr>
      <w:r w:rsidRPr="009660EC">
        <w:rPr>
          <w:rFonts w:cs="Calibri"/>
        </w:rPr>
        <w:t>Table 5.1.3 summarises methods and emission factors for agriculture categories.</w:t>
      </w:r>
    </w:p>
    <w:p w14:paraId="6DB2F3B9" w14:textId="77777777" w:rsidR="004543E0" w:rsidRPr="009660EC" w:rsidRDefault="004543E0" w:rsidP="004543E0">
      <w:pPr>
        <w:pStyle w:val="Table"/>
        <w:rPr>
          <w:rFonts w:cs="Calibri"/>
        </w:rPr>
      </w:pPr>
      <w:bookmarkStart w:id="622" w:name="_Toc32570911"/>
      <w:bookmarkStart w:id="623" w:name="_Toc36224546"/>
      <w:bookmarkStart w:id="624" w:name="_Toc68786432"/>
      <w:bookmarkStart w:id="625" w:name="_Toc95574067"/>
      <w:bookmarkStart w:id="626" w:name="_Toc99659240"/>
      <w:r w:rsidRPr="009660EC">
        <w:rPr>
          <w:rFonts w:cs="Calibri"/>
        </w:rPr>
        <w:t xml:space="preserve">Table 5.1.3 </w:t>
      </w:r>
      <w:r w:rsidRPr="009660EC">
        <w:rPr>
          <w:rFonts w:cs="Calibri"/>
        </w:rPr>
        <w:tab/>
        <w:t>Methods and emission factors in the Agriculture sector</w:t>
      </w:r>
      <w:bookmarkEnd w:id="622"/>
      <w:bookmarkEnd w:id="623"/>
      <w:bookmarkEnd w:id="624"/>
      <w:bookmarkEnd w:id="625"/>
      <w:bookmarkEnd w:id="626"/>
    </w:p>
    <w:tbl>
      <w:tblPr>
        <w:tblW w:w="8514" w:type="dxa"/>
        <w:tblInd w:w="113" w:type="dxa"/>
        <w:tblLayout w:type="fixed"/>
        <w:tblCellMar>
          <w:left w:w="85" w:type="dxa"/>
          <w:right w:w="85" w:type="dxa"/>
        </w:tblCellMar>
        <w:tblLook w:val="04A0" w:firstRow="1" w:lastRow="0" w:firstColumn="1" w:lastColumn="0" w:noHBand="0" w:noVBand="1"/>
      </w:tblPr>
      <w:tblGrid>
        <w:gridCol w:w="325"/>
        <w:gridCol w:w="3197"/>
        <w:gridCol w:w="832"/>
        <w:gridCol w:w="832"/>
        <w:gridCol w:w="832"/>
        <w:gridCol w:w="832"/>
        <w:gridCol w:w="832"/>
        <w:gridCol w:w="832"/>
      </w:tblGrid>
      <w:tr w:rsidR="00023E9B" w:rsidRPr="009660EC" w14:paraId="736273F0" w14:textId="77777777" w:rsidTr="00023E9B">
        <w:trPr>
          <w:tblHeader/>
        </w:trPr>
        <w:tc>
          <w:tcPr>
            <w:tcW w:w="3522" w:type="dxa"/>
            <w:gridSpan w:val="2"/>
            <w:vMerge w:val="restart"/>
            <w:tcBorders>
              <w:top w:val="single" w:sz="4" w:space="0" w:color="44546A"/>
              <w:left w:val="nil"/>
              <w:bottom w:val="single" w:sz="4" w:space="0" w:color="44546A"/>
              <w:right w:val="nil"/>
            </w:tcBorders>
            <w:shd w:val="clear" w:color="auto" w:fill="1B556B"/>
            <w:vAlign w:val="bottom"/>
          </w:tcPr>
          <w:p w14:paraId="053CF313" w14:textId="77777777" w:rsidR="004543E0" w:rsidRPr="004543E0" w:rsidRDefault="004543E0" w:rsidP="007E3239">
            <w:pPr>
              <w:pStyle w:val="TableTextBold"/>
              <w:keepNext/>
              <w:rPr>
                <w:noProof w:val="0"/>
                <w:color w:val="FFFFFF"/>
                <w:szCs w:val="16"/>
              </w:rPr>
            </w:pPr>
            <w:r w:rsidRPr="004543E0">
              <w:rPr>
                <w:noProof w:val="0"/>
                <w:color w:val="FFFFFF"/>
                <w:szCs w:val="16"/>
              </w:rPr>
              <w:t>Source category</w:t>
            </w:r>
          </w:p>
        </w:tc>
        <w:tc>
          <w:tcPr>
            <w:tcW w:w="1664" w:type="dxa"/>
            <w:gridSpan w:val="2"/>
            <w:tcBorders>
              <w:top w:val="single" w:sz="4" w:space="0" w:color="44546A"/>
              <w:left w:val="nil"/>
              <w:bottom w:val="single" w:sz="4" w:space="0" w:color="44546A"/>
              <w:right w:val="nil"/>
            </w:tcBorders>
            <w:shd w:val="clear" w:color="auto" w:fill="1B556B"/>
            <w:vAlign w:val="center"/>
          </w:tcPr>
          <w:p w14:paraId="0E45E4EA" w14:textId="77777777" w:rsidR="004543E0" w:rsidRPr="004543E0" w:rsidRDefault="004543E0" w:rsidP="007E3239">
            <w:pPr>
              <w:pStyle w:val="TableTextBold"/>
              <w:keepNext/>
              <w:spacing w:before="40" w:after="0"/>
              <w:jc w:val="center"/>
              <w:rPr>
                <w:noProof w:val="0"/>
                <w:color w:val="FFFFFF"/>
                <w:szCs w:val="16"/>
              </w:rPr>
            </w:pPr>
            <w:r w:rsidRPr="004543E0">
              <w:rPr>
                <w:noProof w:val="0"/>
                <w:color w:val="FFFFFF"/>
                <w:szCs w:val="16"/>
              </w:rPr>
              <w:t>CH</w:t>
            </w:r>
            <w:r w:rsidRPr="004543E0">
              <w:rPr>
                <w:noProof w:val="0"/>
                <w:color w:val="FFFFFF"/>
                <w:szCs w:val="16"/>
                <w:vertAlign w:val="subscript"/>
              </w:rPr>
              <w:t>4</w:t>
            </w:r>
          </w:p>
        </w:tc>
        <w:tc>
          <w:tcPr>
            <w:tcW w:w="1664" w:type="dxa"/>
            <w:gridSpan w:val="2"/>
            <w:tcBorders>
              <w:top w:val="single" w:sz="4" w:space="0" w:color="44546A"/>
              <w:left w:val="nil"/>
              <w:bottom w:val="single" w:sz="4" w:space="0" w:color="44546A"/>
              <w:right w:val="nil"/>
            </w:tcBorders>
            <w:shd w:val="clear" w:color="auto" w:fill="1B556B"/>
            <w:vAlign w:val="center"/>
          </w:tcPr>
          <w:p w14:paraId="2A6BA3A6" w14:textId="77777777" w:rsidR="004543E0" w:rsidRPr="004543E0" w:rsidRDefault="004543E0" w:rsidP="007E3239">
            <w:pPr>
              <w:pStyle w:val="TableTextBold"/>
              <w:keepNext/>
              <w:spacing w:before="40" w:after="0"/>
              <w:jc w:val="center"/>
              <w:rPr>
                <w:noProof w:val="0"/>
                <w:color w:val="FFFFFF"/>
                <w:szCs w:val="16"/>
              </w:rPr>
            </w:pPr>
            <w:r w:rsidRPr="004543E0">
              <w:rPr>
                <w:noProof w:val="0"/>
                <w:color w:val="FFFFFF"/>
                <w:szCs w:val="16"/>
              </w:rPr>
              <w:t>N</w:t>
            </w:r>
            <w:r w:rsidRPr="004543E0">
              <w:rPr>
                <w:noProof w:val="0"/>
                <w:color w:val="FFFFFF"/>
                <w:szCs w:val="16"/>
                <w:vertAlign w:val="subscript"/>
              </w:rPr>
              <w:t>2</w:t>
            </w:r>
            <w:r w:rsidRPr="004543E0">
              <w:rPr>
                <w:noProof w:val="0"/>
                <w:color w:val="FFFFFF"/>
                <w:szCs w:val="16"/>
              </w:rPr>
              <w:t>O</w:t>
            </w:r>
          </w:p>
        </w:tc>
        <w:tc>
          <w:tcPr>
            <w:tcW w:w="1664" w:type="dxa"/>
            <w:gridSpan w:val="2"/>
            <w:tcBorders>
              <w:top w:val="single" w:sz="4" w:space="0" w:color="44546A"/>
              <w:left w:val="nil"/>
              <w:bottom w:val="single" w:sz="4" w:space="0" w:color="44546A"/>
              <w:right w:val="nil"/>
            </w:tcBorders>
            <w:shd w:val="clear" w:color="auto" w:fill="1B556B"/>
            <w:vAlign w:val="center"/>
          </w:tcPr>
          <w:p w14:paraId="7E71EB72" w14:textId="77777777" w:rsidR="004543E0" w:rsidRPr="004543E0" w:rsidRDefault="004543E0" w:rsidP="007E3239">
            <w:pPr>
              <w:pStyle w:val="TableTextBold"/>
              <w:keepNext/>
              <w:spacing w:before="40" w:after="0"/>
              <w:jc w:val="center"/>
              <w:rPr>
                <w:noProof w:val="0"/>
                <w:color w:val="FFFFFF"/>
                <w:szCs w:val="16"/>
              </w:rPr>
            </w:pPr>
            <w:r w:rsidRPr="004543E0">
              <w:rPr>
                <w:noProof w:val="0"/>
                <w:color w:val="FFFFFF"/>
                <w:szCs w:val="16"/>
              </w:rPr>
              <w:t>CO</w:t>
            </w:r>
            <w:r w:rsidRPr="004543E0">
              <w:rPr>
                <w:noProof w:val="0"/>
                <w:color w:val="FFFFFF"/>
                <w:szCs w:val="16"/>
                <w:vertAlign w:val="subscript"/>
              </w:rPr>
              <w:t>2</w:t>
            </w:r>
          </w:p>
        </w:tc>
      </w:tr>
      <w:tr w:rsidR="004543E0" w:rsidRPr="009660EC" w14:paraId="7439719C" w14:textId="77777777" w:rsidTr="00023E9B">
        <w:trPr>
          <w:tblHeader/>
        </w:trPr>
        <w:tc>
          <w:tcPr>
            <w:tcW w:w="3522" w:type="dxa"/>
            <w:gridSpan w:val="2"/>
            <w:vMerge/>
            <w:tcBorders>
              <w:top w:val="single" w:sz="4" w:space="0" w:color="44546A"/>
              <w:left w:val="nil"/>
              <w:right w:val="nil"/>
            </w:tcBorders>
            <w:shd w:val="clear" w:color="auto" w:fill="1B556B"/>
            <w:vAlign w:val="center"/>
            <w:hideMark/>
          </w:tcPr>
          <w:p w14:paraId="2306C463" w14:textId="77777777" w:rsidR="004543E0" w:rsidRPr="004543E0" w:rsidRDefault="004543E0" w:rsidP="007E3239">
            <w:pPr>
              <w:pStyle w:val="TableTextBold"/>
              <w:keepNext/>
              <w:jc w:val="center"/>
              <w:rPr>
                <w:noProof w:val="0"/>
                <w:color w:val="FFFFFF"/>
                <w:szCs w:val="16"/>
              </w:rPr>
            </w:pPr>
          </w:p>
        </w:tc>
        <w:tc>
          <w:tcPr>
            <w:tcW w:w="832" w:type="dxa"/>
            <w:tcBorders>
              <w:top w:val="single" w:sz="4" w:space="0" w:color="44546A"/>
              <w:left w:val="nil"/>
              <w:right w:val="nil"/>
            </w:tcBorders>
            <w:shd w:val="clear" w:color="auto" w:fill="1B556B"/>
            <w:vAlign w:val="center"/>
            <w:hideMark/>
          </w:tcPr>
          <w:p w14:paraId="55A8C9BA" w14:textId="77777777" w:rsidR="004543E0" w:rsidRPr="004543E0" w:rsidRDefault="004543E0" w:rsidP="007E3239">
            <w:pPr>
              <w:pStyle w:val="TableTextBold"/>
              <w:keepNext/>
              <w:spacing w:before="40"/>
              <w:jc w:val="center"/>
              <w:rPr>
                <w:noProof w:val="0"/>
                <w:color w:val="FFFFFF"/>
                <w:szCs w:val="16"/>
              </w:rPr>
            </w:pPr>
            <w:r w:rsidRPr="004543E0">
              <w:rPr>
                <w:noProof w:val="0"/>
                <w:color w:val="FFFFFF"/>
                <w:szCs w:val="16"/>
              </w:rPr>
              <w:t>Method applied</w:t>
            </w:r>
          </w:p>
        </w:tc>
        <w:tc>
          <w:tcPr>
            <w:tcW w:w="832" w:type="dxa"/>
            <w:tcBorders>
              <w:top w:val="single" w:sz="4" w:space="0" w:color="44546A"/>
              <w:left w:val="nil"/>
              <w:right w:val="nil"/>
            </w:tcBorders>
            <w:shd w:val="clear" w:color="auto" w:fill="1B556B"/>
            <w:vAlign w:val="center"/>
            <w:hideMark/>
          </w:tcPr>
          <w:p w14:paraId="474FD483" w14:textId="77777777" w:rsidR="004543E0" w:rsidRPr="004543E0" w:rsidRDefault="004543E0" w:rsidP="007E3239">
            <w:pPr>
              <w:pStyle w:val="TableTextBold"/>
              <w:keepNext/>
              <w:spacing w:before="40"/>
              <w:jc w:val="center"/>
              <w:rPr>
                <w:noProof w:val="0"/>
                <w:color w:val="FFFFFF"/>
                <w:szCs w:val="16"/>
              </w:rPr>
            </w:pPr>
            <w:r w:rsidRPr="004543E0">
              <w:rPr>
                <w:noProof w:val="0"/>
                <w:color w:val="FFFFFF"/>
                <w:szCs w:val="16"/>
              </w:rPr>
              <w:t>Emission factor</w:t>
            </w:r>
          </w:p>
        </w:tc>
        <w:tc>
          <w:tcPr>
            <w:tcW w:w="832" w:type="dxa"/>
            <w:tcBorders>
              <w:top w:val="single" w:sz="4" w:space="0" w:color="44546A"/>
              <w:left w:val="nil"/>
              <w:right w:val="nil"/>
            </w:tcBorders>
            <w:shd w:val="clear" w:color="auto" w:fill="1B556B"/>
            <w:vAlign w:val="center"/>
            <w:hideMark/>
          </w:tcPr>
          <w:p w14:paraId="5C988DAA" w14:textId="77777777" w:rsidR="004543E0" w:rsidRPr="004543E0" w:rsidRDefault="004543E0" w:rsidP="007E3239">
            <w:pPr>
              <w:pStyle w:val="TableTextBold"/>
              <w:keepNext/>
              <w:spacing w:before="40"/>
              <w:jc w:val="center"/>
              <w:rPr>
                <w:noProof w:val="0"/>
                <w:color w:val="FFFFFF"/>
                <w:szCs w:val="16"/>
              </w:rPr>
            </w:pPr>
            <w:r w:rsidRPr="004543E0">
              <w:rPr>
                <w:noProof w:val="0"/>
                <w:color w:val="FFFFFF"/>
                <w:szCs w:val="16"/>
              </w:rPr>
              <w:t>Method applied</w:t>
            </w:r>
          </w:p>
        </w:tc>
        <w:tc>
          <w:tcPr>
            <w:tcW w:w="832" w:type="dxa"/>
            <w:tcBorders>
              <w:top w:val="single" w:sz="4" w:space="0" w:color="44546A"/>
              <w:left w:val="nil"/>
              <w:right w:val="nil"/>
            </w:tcBorders>
            <w:shd w:val="clear" w:color="auto" w:fill="1B556B"/>
            <w:vAlign w:val="center"/>
            <w:hideMark/>
          </w:tcPr>
          <w:p w14:paraId="637F980F" w14:textId="77777777" w:rsidR="004543E0" w:rsidRPr="004543E0" w:rsidRDefault="004543E0" w:rsidP="007E3239">
            <w:pPr>
              <w:pStyle w:val="TableTextBold"/>
              <w:keepNext/>
              <w:spacing w:before="40"/>
              <w:jc w:val="center"/>
              <w:rPr>
                <w:noProof w:val="0"/>
                <w:color w:val="FFFFFF"/>
                <w:szCs w:val="16"/>
              </w:rPr>
            </w:pPr>
            <w:r w:rsidRPr="004543E0">
              <w:rPr>
                <w:noProof w:val="0"/>
                <w:color w:val="FFFFFF"/>
                <w:szCs w:val="16"/>
              </w:rPr>
              <w:t>Emission factor</w:t>
            </w:r>
          </w:p>
        </w:tc>
        <w:tc>
          <w:tcPr>
            <w:tcW w:w="832" w:type="dxa"/>
            <w:tcBorders>
              <w:top w:val="single" w:sz="4" w:space="0" w:color="44546A"/>
              <w:left w:val="nil"/>
              <w:right w:val="nil"/>
            </w:tcBorders>
            <w:shd w:val="clear" w:color="auto" w:fill="1B556B"/>
            <w:vAlign w:val="center"/>
            <w:hideMark/>
          </w:tcPr>
          <w:p w14:paraId="30F96778" w14:textId="77777777" w:rsidR="004543E0" w:rsidRPr="004543E0" w:rsidRDefault="004543E0" w:rsidP="007E3239">
            <w:pPr>
              <w:pStyle w:val="TableTextBold"/>
              <w:keepNext/>
              <w:spacing w:before="40"/>
              <w:jc w:val="center"/>
              <w:rPr>
                <w:noProof w:val="0"/>
                <w:color w:val="FFFFFF"/>
                <w:szCs w:val="16"/>
              </w:rPr>
            </w:pPr>
            <w:r w:rsidRPr="004543E0">
              <w:rPr>
                <w:noProof w:val="0"/>
                <w:color w:val="FFFFFF"/>
                <w:szCs w:val="16"/>
              </w:rPr>
              <w:t>Method applied</w:t>
            </w:r>
          </w:p>
        </w:tc>
        <w:tc>
          <w:tcPr>
            <w:tcW w:w="832" w:type="dxa"/>
            <w:tcBorders>
              <w:top w:val="single" w:sz="4" w:space="0" w:color="44546A"/>
              <w:left w:val="nil"/>
              <w:right w:val="nil"/>
            </w:tcBorders>
            <w:shd w:val="clear" w:color="auto" w:fill="1B556B"/>
            <w:vAlign w:val="center"/>
            <w:hideMark/>
          </w:tcPr>
          <w:p w14:paraId="6B032F46" w14:textId="77777777" w:rsidR="004543E0" w:rsidRPr="004543E0" w:rsidRDefault="004543E0" w:rsidP="007E3239">
            <w:pPr>
              <w:pStyle w:val="TableTextBold"/>
              <w:keepNext/>
              <w:spacing w:before="40"/>
              <w:jc w:val="center"/>
              <w:rPr>
                <w:noProof w:val="0"/>
                <w:color w:val="FFFFFF"/>
                <w:szCs w:val="16"/>
              </w:rPr>
            </w:pPr>
            <w:r w:rsidRPr="004543E0">
              <w:rPr>
                <w:noProof w:val="0"/>
                <w:color w:val="FFFFFF"/>
                <w:szCs w:val="16"/>
              </w:rPr>
              <w:t>Emission factor</w:t>
            </w:r>
          </w:p>
        </w:tc>
      </w:tr>
      <w:tr w:rsidR="004543E0" w:rsidRPr="009660EC" w14:paraId="4E753140" w14:textId="77777777" w:rsidTr="00023E9B">
        <w:tc>
          <w:tcPr>
            <w:tcW w:w="325" w:type="dxa"/>
            <w:tcBorders>
              <w:left w:val="nil"/>
              <w:bottom w:val="single" w:sz="4" w:space="0" w:color="1B556B"/>
              <w:right w:val="nil"/>
            </w:tcBorders>
            <w:shd w:val="clear" w:color="auto" w:fill="auto"/>
            <w:noWrap/>
            <w:vAlign w:val="center"/>
            <w:hideMark/>
          </w:tcPr>
          <w:p w14:paraId="5AC85E23" w14:textId="77777777" w:rsidR="004543E0" w:rsidRPr="009660EC" w:rsidRDefault="004543E0" w:rsidP="005450E6">
            <w:pPr>
              <w:pStyle w:val="TableText"/>
              <w:spacing w:before="30" w:after="30"/>
            </w:pPr>
            <w:r w:rsidRPr="009660EC">
              <w:t>A</w:t>
            </w:r>
          </w:p>
        </w:tc>
        <w:tc>
          <w:tcPr>
            <w:tcW w:w="3197" w:type="dxa"/>
            <w:tcBorders>
              <w:left w:val="nil"/>
              <w:bottom w:val="single" w:sz="4" w:space="0" w:color="1B556B"/>
              <w:right w:val="nil"/>
            </w:tcBorders>
            <w:shd w:val="clear" w:color="auto" w:fill="auto"/>
            <w:vAlign w:val="center"/>
            <w:hideMark/>
          </w:tcPr>
          <w:p w14:paraId="53D05748" w14:textId="77777777" w:rsidR="004543E0" w:rsidRPr="009660EC" w:rsidRDefault="004543E0" w:rsidP="005450E6">
            <w:pPr>
              <w:pStyle w:val="TableText"/>
              <w:spacing w:before="30" w:after="30"/>
            </w:pPr>
            <w:r w:rsidRPr="009660EC">
              <w:t>Enteric Fermentation</w:t>
            </w:r>
          </w:p>
        </w:tc>
        <w:tc>
          <w:tcPr>
            <w:tcW w:w="832" w:type="dxa"/>
            <w:tcBorders>
              <w:left w:val="nil"/>
              <w:bottom w:val="single" w:sz="4" w:space="0" w:color="1B556B"/>
              <w:right w:val="nil"/>
            </w:tcBorders>
            <w:shd w:val="clear" w:color="auto" w:fill="auto"/>
            <w:noWrap/>
            <w:vAlign w:val="center"/>
            <w:hideMark/>
          </w:tcPr>
          <w:p w14:paraId="7AB13494" w14:textId="77777777" w:rsidR="004543E0" w:rsidRPr="009660EC" w:rsidRDefault="004543E0" w:rsidP="005450E6">
            <w:pPr>
              <w:pStyle w:val="TableText"/>
              <w:spacing w:before="30" w:after="30"/>
              <w:jc w:val="center"/>
            </w:pPr>
            <w:r w:rsidRPr="009660EC">
              <w:t>–</w:t>
            </w:r>
          </w:p>
        </w:tc>
        <w:tc>
          <w:tcPr>
            <w:tcW w:w="832" w:type="dxa"/>
            <w:tcBorders>
              <w:left w:val="nil"/>
              <w:bottom w:val="single" w:sz="4" w:space="0" w:color="1B556B"/>
              <w:right w:val="nil"/>
            </w:tcBorders>
            <w:shd w:val="clear" w:color="auto" w:fill="auto"/>
            <w:noWrap/>
            <w:vAlign w:val="center"/>
            <w:hideMark/>
          </w:tcPr>
          <w:p w14:paraId="7B3B0048" w14:textId="77777777" w:rsidR="004543E0" w:rsidRPr="009660EC" w:rsidRDefault="004543E0" w:rsidP="005450E6">
            <w:pPr>
              <w:pStyle w:val="TableText"/>
              <w:spacing w:before="30" w:after="30"/>
              <w:jc w:val="center"/>
            </w:pPr>
            <w:r w:rsidRPr="009660EC">
              <w:t>–</w:t>
            </w:r>
          </w:p>
        </w:tc>
        <w:tc>
          <w:tcPr>
            <w:tcW w:w="832" w:type="dxa"/>
            <w:tcBorders>
              <w:left w:val="nil"/>
              <w:bottom w:val="single" w:sz="4" w:space="0" w:color="1B556B"/>
              <w:right w:val="nil"/>
            </w:tcBorders>
            <w:shd w:val="clear" w:color="auto" w:fill="auto"/>
            <w:noWrap/>
            <w:vAlign w:val="center"/>
            <w:hideMark/>
          </w:tcPr>
          <w:p w14:paraId="2186C75D" w14:textId="77777777" w:rsidR="004543E0" w:rsidRPr="009660EC" w:rsidRDefault="004543E0" w:rsidP="005450E6">
            <w:pPr>
              <w:pStyle w:val="TableText"/>
              <w:spacing w:before="30" w:after="30"/>
              <w:jc w:val="center"/>
            </w:pPr>
            <w:r w:rsidRPr="009660EC">
              <w:t>–</w:t>
            </w:r>
          </w:p>
        </w:tc>
        <w:tc>
          <w:tcPr>
            <w:tcW w:w="832" w:type="dxa"/>
            <w:tcBorders>
              <w:left w:val="nil"/>
              <w:bottom w:val="single" w:sz="4" w:space="0" w:color="1B556B"/>
              <w:right w:val="nil"/>
            </w:tcBorders>
            <w:shd w:val="clear" w:color="auto" w:fill="auto"/>
            <w:noWrap/>
            <w:vAlign w:val="center"/>
            <w:hideMark/>
          </w:tcPr>
          <w:p w14:paraId="4A9B0257" w14:textId="77777777" w:rsidR="004543E0" w:rsidRPr="009660EC" w:rsidRDefault="004543E0" w:rsidP="005450E6">
            <w:pPr>
              <w:pStyle w:val="TableText"/>
              <w:spacing w:before="30" w:after="30"/>
              <w:jc w:val="center"/>
            </w:pPr>
            <w:r w:rsidRPr="009660EC">
              <w:t>–</w:t>
            </w:r>
          </w:p>
        </w:tc>
        <w:tc>
          <w:tcPr>
            <w:tcW w:w="832" w:type="dxa"/>
            <w:tcBorders>
              <w:left w:val="nil"/>
              <w:bottom w:val="single" w:sz="4" w:space="0" w:color="1B556B"/>
              <w:right w:val="nil"/>
            </w:tcBorders>
            <w:shd w:val="clear" w:color="auto" w:fill="auto"/>
            <w:noWrap/>
            <w:vAlign w:val="center"/>
            <w:hideMark/>
          </w:tcPr>
          <w:p w14:paraId="37B5AF5A" w14:textId="77777777" w:rsidR="004543E0" w:rsidRPr="009660EC" w:rsidRDefault="004543E0" w:rsidP="005450E6">
            <w:pPr>
              <w:pStyle w:val="TableText"/>
              <w:spacing w:before="30" w:after="30"/>
              <w:jc w:val="center"/>
            </w:pPr>
            <w:r w:rsidRPr="009660EC">
              <w:t>–</w:t>
            </w:r>
          </w:p>
        </w:tc>
        <w:tc>
          <w:tcPr>
            <w:tcW w:w="832" w:type="dxa"/>
            <w:tcBorders>
              <w:left w:val="nil"/>
              <w:bottom w:val="single" w:sz="4" w:space="0" w:color="1B556B"/>
              <w:right w:val="nil"/>
            </w:tcBorders>
            <w:shd w:val="clear" w:color="auto" w:fill="auto"/>
            <w:noWrap/>
            <w:vAlign w:val="center"/>
            <w:hideMark/>
          </w:tcPr>
          <w:p w14:paraId="5014F12D" w14:textId="77777777" w:rsidR="004543E0" w:rsidRPr="009660EC" w:rsidRDefault="004543E0" w:rsidP="005450E6">
            <w:pPr>
              <w:pStyle w:val="TableText"/>
              <w:spacing w:before="30" w:after="30"/>
              <w:jc w:val="center"/>
            </w:pPr>
            <w:r w:rsidRPr="009660EC">
              <w:t>–</w:t>
            </w:r>
          </w:p>
        </w:tc>
      </w:tr>
      <w:tr w:rsidR="004543E0" w:rsidRPr="009660EC" w14:paraId="1B9C183B" w14:textId="77777777" w:rsidTr="00023E9B">
        <w:tc>
          <w:tcPr>
            <w:tcW w:w="325" w:type="dxa"/>
            <w:vMerge w:val="restart"/>
            <w:tcBorders>
              <w:top w:val="single" w:sz="4" w:space="0" w:color="1B556B"/>
              <w:left w:val="nil"/>
              <w:bottom w:val="single" w:sz="8" w:space="0" w:color="365F91"/>
              <w:right w:val="nil"/>
            </w:tcBorders>
            <w:shd w:val="clear" w:color="auto" w:fill="auto"/>
            <w:noWrap/>
            <w:vAlign w:val="center"/>
            <w:hideMark/>
          </w:tcPr>
          <w:p w14:paraId="00EF3F4B" w14:textId="77777777" w:rsidR="004543E0" w:rsidRPr="009660EC" w:rsidRDefault="004543E0" w:rsidP="005450E6">
            <w:pPr>
              <w:pStyle w:val="TableText"/>
              <w:spacing w:before="30" w:after="30"/>
              <w:rPr>
                <w:rFonts w:cs="Calibri"/>
                <w:szCs w:val="16"/>
              </w:rPr>
            </w:pPr>
            <w:r w:rsidRPr="009660EC">
              <w:rPr>
                <w:rFonts w:cs="Calibri"/>
                <w:szCs w:val="16"/>
              </w:rPr>
              <w:t>1</w:t>
            </w:r>
          </w:p>
        </w:tc>
        <w:tc>
          <w:tcPr>
            <w:tcW w:w="3197" w:type="dxa"/>
            <w:tcBorders>
              <w:top w:val="single" w:sz="4" w:space="0" w:color="1B556B"/>
              <w:left w:val="nil"/>
              <w:bottom w:val="nil"/>
              <w:right w:val="nil"/>
            </w:tcBorders>
            <w:shd w:val="clear" w:color="auto" w:fill="auto"/>
            <w:vAlign w:val="center"/>
            <w:hideMark/>
          </w:tcPr>
          <w:p w14:paraId="755BC7F5" w14:textId="77777777" w:rsidR="004543E0" w:rsidRPr="009660EC" w:rsidRDefault="004543E0" w:rsidP="005450E6">
            <w:pPr>
              <w:pStyle w:val="TableText"/>
              <w:spacing w:before="30" w:after="30"/>
              <w:rPr>
                <w:rFonts w:cs="Calibri"/>
                <w:szCs w:val="16"/>
              </w:rPr>
            </w:pPr>
            <w:r w:rsidRPr="009660EC">
              <w:rPr>
                <w:rFonts w:cs="Calibri"/>
                <w:szCs w:val="16"/>
              </w:rPr>
              <w:t>Cattle</w:t>
            </w:r>
          </w:p>
        </w:tc>
        <w:tc>
          <w:tcPr>
            <w:tcW w:w="832" w:type="dxa"/>
            <w:tcBorders>
              <w:top w:val="single" w:sz="4" w:space="0" w:color="1B556B"/>
              <w:left w:val="nil"/>
              <w:bottom w:val="nil"/>
              <w:right w:val="nil"/>
            </w:tcBorders>
            <w:shd w:val="clear" w:color="auto" w:fill="auto"/>
            <w:noWrap/>
            <w:vAlign w:val="center"/>
            <w:hideMark/>
          </w:tcPr>
          <w:p w14:paraId="5D12E62F"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391578E9"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vAlign w:val="center"/>
            <w:hideMark/>
          </w:tcPr>
          <w:p w14:paraId="07CC4256"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42199FDB"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6C165A64"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vAlign w:val="center"/>
            <w:hideMark/>
          </w:tcPr>
          <w:p w14:paraId="30969342"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11B536F0" w14:textId="77777777" w:rsidTr="00023E9B">
        <w:tc>
          <w:tcPr>
            <w:tcW w:w="325" w:type="dxa"/>
            <w:vMerge/>
            <w:tcBorders>
              <w:top w:val="nil"/>
              <w:left w:val="nil"/>
              <w:bottom w:val="single" w:sz="8" w:space="0" w:color="365F91"/>
              <w:right w:val="nil"/>
            </w:tcBorders>
            <w:vAlign w:val="center"/>
            <w:hideMark/>
          </w:tcPr>
          <w:p w14:paraId="4E5A4D53" w14:textId="77777777" w:rsidR="004543E0" w:rsidRPr="009660EC" w:rsidRDefault="004543E0" w:rsidP="005450E6">
            <w:pPr>
              <w:pStyle w:val="TableText"/>
              <w:spacing w:before="30" w:after="30"/>
              <w:rPr>
                <w:rFonts w:cs="Calibri"/>
                <w:szCs w:val="16"/>
              </w:rPr>
            </w:pPr>
          </w:p>
        </w:tc>
        <w:tc>
          <w:tcPr>
            <w:tcW w:w="3197" w:type="dxa"/>
            <w:tcBorders>
              <w:top w:val="nil"/>
              <w:left w:val="nil"/>
              <w:bottom w:val="nil"/>
              <w:right w:val="nil"/>
            </w:tcBorders>
            <w:shd w:val="clear" w:color="auto" w:fill="auto"/>
            <w:vAlign w:val="center"/>
            <w:hideMark/>
          </w:tcPr>
          <w:p w14:paraId="79554456" w14:textId="77777777" w:rsidR="004543E0" w:rsidRPr="009660EC" w:rsidRDefault="004543E0" w:rsidP="005450E6">
            <w:pPr>
              <w:pStyle w:val="TableText"/>
              <w:spacing w:before="30" w:after="30"/>
              <w:rPr>
                <w:rFonts w:cs="Calibri"/>
                <w:szCs w:val="16"/>
              </w:rPr>
            </w:pPr>
            <w:r w:rsidRPr="009660EC">
              <w:rPr>
                <w:rFonts w:cs="Calibri"/>
                <w:szCs w:val="16"/>
              </w:rPr>
              <w:t>Dairy Cattle</w:t>
            </w:r>
          </w:p>
        </w:tc>
        <w:tc>
          <w:tcPr>
            <w:tcW w:w="832" w:type="dxa"/>
            <w:tcBorders>
              <w:top w:val="nil"/>
              <w:left w:val="nil"/>
              <w:bottom w:val="nil"/>
              <w:right w:val="nil"/>
            </w:tcBorders>
            <w:shd w:val="clear" w:color="auto" w:fill="auto"/>
            <w:noWrap/>
            <w:vAlign w:val="center"/>
            <w:hideMark/>
          </w:tcPr>
          <w:p w14:paraId="572B999E" w14:textId="77777777" w:rsidR="004543E0" w:rsidRPr="009660EC" w:rsidRDefault="004543E0" w:rsidP="005450E6">
            <w:pPr>
              <w:pStyle w:val="TableText"/>
              <w:spacing w:before="30" w:after="30"/>
              <w:jc w:val="center"/>
              <w:rPr>
                <w:rFonts w:cs="Calibri"/>
                <w:szCs w:val="16"/>
              </w:rPr>
            </w:pPr>
            <w:r w:rsidRPr="009660EC">
              <w:rPr>
                <w:rFonts w:cs="Calibri"/>
                <w:szCs w:val="16"/>
              </w:rPr>
              <w:t>T2</w:t>
            </w:r>
          </w:p>
        </w:tc>
        <w:tc>
          <w:tcPr>
            <w:tcW w:w="832" w:type="dxa"/>
            <w:tcBorders>
              <w:top w:val="nil"/>
              <w:left w:val="nil"/>
              <w:bottom w:val="nil"/>
              <w:right w:val="nil"/>
            </w:tcBorders>
            <w:shd w:val="clear" w:color="auto" w:fill="auto"/>
            <w:noWrap/>
            <w:vAlign w:val="center"/>
            <w:hideMark/>
          </w:tcPr>
          <w:p w14:paraId="3EB11E56" w14:textId="77777777" w:rsidR="004543E0" w:rsidRPr="009660EC" w:rsidRDefault="004543E0" w:rsidP="005450E6">
            <w:pPr>
              <w:pStyle w:val="TableText"/>
              <w:spacing w:before="30" w:after="30"/>
              <w:jc w:val="center"/>
              <w:rPr>
                <w:rFonts w:cs="Calibri"/>
                <w:szCs w:val="16"/>
              </w:rPr>
            </w:pPr>
            <w:r w:rsidRPr="009660EC">
              <w:rPr>
                <w:rFonts w:cs="Calibri"/>
                <w:szCs w:val="16"/>
              </w:rPr>
              <w:t>CS</w:t>
            </w:r>
          </w:p>
        </w:tc>
        <w:tc>
          <w:tcPr>
            <w:tcW w:w="832" w:type="dxa"/>
            <w:tcBorders>
              <w:top w:val="nil"/>
              <w:left w:val="nil"/>
              <w:bottom w:val="nil"/>
              <w:right w:val="nil"/>
            </w:tcBorders>
            <w:shd w:val="clear" w:color="auto" w:fill="auto"/>
            <w:vAlign w:val="center"/>
            <w:hideMark/>
          </w:tcPr>
          <w:p w14:paraId="2BE59E36"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22F356B6"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6C523677"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vAlign w:val="center"/>
            <w:hideMark/>
          </w:tcPr>
          <w:p w14:paraId="290075D5"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03A8AD32" w14:textId="77777777" w:rsidTr="00023E9B">
        <w:tc>
          <w:tcPr>
            <w:tcW w:w="325" w:type="dxa"/>
            <w:vMerge/>
            <w:tcBorders>
              <w:top w:val="nil"/>
              <w:left w:val="nil"/>
              <w:bottom w:val="single" w:sz="4" w:space="0" w:color="1B556B"/>
              <w:right w:val="nil"/>
            </w:tcBorders>
            <w:vAlign w:val="center"/>
            <w:hideMark/>
          </w:tcPr>
          <w:p w14:paraId="70093E65" w14:textId="77777777" w:rsidR="004543E0" w:rsidRPr="009660EC" w:rsidRDefault="004543E0" w:rsidP="005450E6">
            <w:pPr>
              <w:pStyle w:val="TableText"/>
              <w:spacing w:before="30" w:after="30"/>
              <w:rPr>
                <w:rFonts w:cs="Calibri"/>
                <w:szCs w:val="16"/>
              </w:rPr>
            </w:pPr>
          </w:p>
        </w:tc>
        <w:tc>
          <w:tcPr>
            <w:tcW w:w="3197" w:type="dxa"/>
            <w:tcBorders>
              <w:top w:val="nil"/>
              <w:left w:val="nil"/>
              <w:bottom w:val="single" w:sz="4" w:space="0" w:color="1B556B"/>
              <w:right w:val="nil"/>
            </w:tcBorders>
            <w:shd w:val="clear" w:color="auto" w:fill="auto"/>
            <w:vAlign w:val="center"/>
            <w:hideMark/>
          </w:tcPr>
          <w:p w14:paraId="2DABA526" w14:textId="77777777" w:rsidR="004543E0" w:rsidRPr="009660EC" w:rsidRDefault="004543E0" w:rsidP="005450E6">
            <w:pPr>
              <w:pStyle w:val="TableText"/>
              <w:spacing w:before="30" w:after="30"/>
              <w:rPr>
                <w:rFonts w:cs="Calibri"/>
                <w:szCs w:val="16"/>
              </w:rPr>
            </w:pPr>
            <w:r w:rsidRPr="009660EC">
              <w:rPr>
                <w:rFonts w:cs="Calibri"/>
                <w:szCs w:val="16"/>
              </w:rPr>
              <w:t xml:space="preserve">Non-Dairy </w:t>
            </w:r>
            <w:r w:rsidRPr="009660EC">
              <w:rPr>
                <w:rFonts w:cs="Calibri"/>
                <w:i/>
                <w:iCs/>
                <w:szCs w:val="16"/>
              </w:rPr>
              <w:t xml:space="preserve">(Beef) </w:t>
            </w:r>
            <w:r w:rsidRPr="009660EC">
              <w:rPr>
                <w:rFonts w:cs="Calibri"/>
                <w:szCs w:val="16"/>
              </w:rPr>
              <w:t>Cattle</w:t>
            </w:r>
          </w:p>
        </w:tc>
        <w:tc>
          <w:tcPr>
            <w:tcW w:w="832" w:type="dxa"/>
            <w:tcBorders>
              <w:top w:val="nil"/>
              <w:left w:val="nil"/>
              <w:bottom w:val="single" w:sz="4" w:space="0" w:color="1B556B"/>
              <w:right w:val="nil"/>
            </w:tcBorders>
            <w:shd w:val="clear" w:color="auto" w:fill="auto"/>
            <w:noWrap/>
            <w:vAlign w:val="center"/>
            <w:hideMark/>
          </w:tcPr>
          <w:p w14:paraId="2CEB7168" w14:textId="77777777" w:rsidR="004543E0" w:rsidRPr="009660EC" w:rsidRDefault="004543E0" w:rsidP="005450E6">
            <w:pPr>
              <w:pStyle w:val="TableText"/>
              <w:spacing w:before="30" w:after="30"/>
              <w:jc w:val="center"/>
              <w:rPr>
                <w:rFonts w:cs="Calibri"/>
                <w:szCs w:val="16"/>
              </w:rPr>
            </w:pPr>
            <w:r w:rsidRPr="009660EC">
              <w:rPr>
                <w:rFonts w:cs="Calibri"/>
                <w:szCs w:val="16"/>
              </w:rPr>
              <w:t>T2</w:t>
            </w:r>
          </w:p>
        </w:tc>
        <w:tc>
          <w:tcPr>
            <w:tcW w:w="832" w:type="dxa"/>
            <w:tcBorders>
              <w:top w:val="nil"/>
              <w:left w:val="nil"/>
              <w:bottom w:val="single" w:sz="4" w:space="0" w:color="1B556B"/>
              <w:right w:val="nil"/>
            </w:tcBorders>
            <w:shd w:val="clear" w:color="auto" w:fill="auto"/>
            <w:noWrap/>
            <w:vAlign w:val="center"/>
            <w:hideMark/>
          </w:tcPr>
          <w:p w14:paraId="5F6A6B03" w14:textId="77777777" w:rsidR="004543E0" w:rsidRPr="009660EC" w:rsidRDefault="004543E0" w:rsidP="005450E6">
            <w:pPr>
              <w:pStyle w:val="TableText"/>
              <w:spacing w:before="30" w:after="30"/>
              <w:jc w:val="center"/>
              <w:rPr>
                <w:rFonts w:cs="Calibri"/>
                <w:szCs w:val="16"/>
              </w:rPr>
            </w:pPr>
            <w:r w:rsidRPr="009660EC">
              <w:rPr>
                <w:rFonts w:cs="Calibri"/>
                <w:szCs w:val="16"/>
              </w:rPr>
              <w:t>CS</w:t>
            </w:r>
          </w:p>
        </w:tc>
        <w:tc>
          <w:tcPr>
            <w:tcW w:w="832" w:type="dxa"/>
            <w:tcBorders>
              <w:top w:val="nil"/>
              <w:left w:val="nil"/>
              <w:bottom w:val="single" w:sz="4" w:space="0" w:color="1B556B"/>
              <w:right w:val="nil"/>
            </w:tcBorders>
            <w:shd w:val="clear" w:color="auto" w:fill="auto"/>
            <w:vAlign w:val="center"/>
            <w:hideMark/>
          </w:tcPr>
          <w:p w14:paraId="10982FD4"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single" w:sz="4" w:space="0" w:color="1B556B"/>
              <w:right w:val="nil"/>
            </w:tcBorders>
            <w:shd w:val="clear" w:color="auto" w:fill="auto"/>
            <w:noWrap/>
            <w:vAlign w:val="center"/>
            <w:hideMark/>
          </w:tcPr>
          <w:p w14:paraId="396F9469"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single" w:sz="4" w:space="0" w:color="1B556B"/>
              <w:right w:val="nil"/>
            </w:tcBorders>
            <w:shd w:val="clear" w:color="auto" w:fill="auto"/>
            <w:noWrap/>
            <w:vAlign w:val="center"/>
            <w:hideMark/>
          </w:tcPr>
          <w:p w14:paraId="089D430F"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single" w:sz="4" w:space="0" w:color="1B556B"/>
              <w:right w:val="nil"/>
            </w:tcBorders>
            <w:shd w:val="clear" w:color="auto" w:fill="auto"/>
            <w:vAlign w:val="center"/>
            <w:hideMark/>
          </w:tcPr>
          <w:p w14:paraId="142251CC"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02F7FCC7" w14:textId="77777777" w:rsidTr="00023E9B">
        <w:tc>
          <w:tcPr>
            <w:tcW w:w="325" w:type="dxa"/>
            <w:tcBorders>
              <w:top w:val="single" w:sz="4" w:space="0" w:color="1B556B"/>
              <w:left w:val="nil"/>
              <w:bottom w:val="single" w:sz="4" w:space="0" w:color="1B556B"/>
              <w:right w:val="nil"/>
            </w:tcBorders>
            <w:shd w:val="clear" w:color="auto" w:fill="auto"/>
            <w:noWrap/>
            <w:vAlign w:val="center"/>
            <w:hideMark/>
          </w:tcPr>
          <w:p w14:paraId="7908FF79" w14:textId="77777777" w:rsidR="004543E0" w:rsidRPr="009660EC" w:rsidRDefault="004543E0" w:rsidP="005450E6">
            <w:pPr>
              <w:pStyle w:val="TableText"/>
              <w:spacing w:before="30" w:after="30"/>
              <w:rPr>
                <w:rFonts w:cs="Calibri"/>
                <w:szCs w:val="16"/>
              </w:rPr>
            </w:pPr>
            <w:r w:rsidRPr="009660EC">
              <w:rPr>
                <w:rFonts w:cs="Calibri"/>
                <w:szCs w:val="16"/>
              </w:rPr>
              <w:t>2</w:t>
            </w:r>
          </w:p>
        </w:tc>
        <w:tc>
          <w:tcPr>
            <w:tcW w:w="3197" w:type="dxa"/>
            <w:tcBorders>
              <w:top w:val="single" w:sz="4" w:space="0" w:color="1B556B"/>
              <w:left w:val="nil"/>
              <w:bottom w:val="single" w:sz="4" w:space="0" w:color="1B556B"/>
              <w:right w:val="nil"/>
            </w:tcBorders>
            <w:shd w:val="clear" w:color="auto" w:fill="auto"/>
            <w:vAlign w:val="center"/>
            <w:hideMark/>
          </w:tcPr>
          <w:p w14:paraId="693DBA84" w14:textId="77777777" w:rsidR="004543E0" w:rsidRPr="009660EC" w:rsidRDefault="004543E0" w:rsidP="005450E6">
            <w:pPr>
              <w:pStyle w:val="TableText"/>
              <w:spacing w:before="30" w:after="30"/>
              <w:rPr>
                <w:rFonts w:cs="Calibri"/>
                <w:szCs w:val="16"/>
              </w:rPr>
            </w:pPr>
            <w:r w:rsidRPr="009660EC">
              <w:rPr>
                <w:rFonts w:cs="Calibri"/>
                <w:szCs w:val="16"/>
              </w:rPr>
              <w:t xml:space="preserve">Sheep </w:t>
            </w:r>
          </w:p>
        </w:tc>
        <w:tc>
          <w:tcPr>
            <w:tcW w:w="832" w:type="dxa"/>
            <w:tcBorders>
              <w:top w:val="single" w:sz="4" w:space="0" w:color="1B556B"/>
              <w:left w:val="nil"/>
              <w:bottom w:val="single" w:sz="4" w:space="0" w:color="1B556B"/>
              <w:right w:val="nil"/>
            </w:tcBorders>
            <w:shd w:val="clear" w:color="auto" w:fill="auto"/>
            <w:noWrap/>
            <w:vAlign w:val="center"/>
            <w:hideMark/>
          </w:tcPr>
          <w:p w14:paraId="00295A03" w14:textId="77777777" w:rsidR="004543E0" w:rsidRPr="009660EC" w:rsidRDefault="004B48CC" w:rsidP="005450E6">
            <w:pPr>
              <w:pStyle w:val="TableText"/>
              <w:spacing w:before="30" w:after="30"/>
              <w:jc w:val="center"/>
              <w:rPr>
                <w:rFonts w:cs="Calibri"/>
                <w:szCs w:val="16"/>
              </w:rPr>
            </w:pPr>
            <w:hyperlink r:id="rId100" w:history="1">
              <w:r w:rsidR="004543E0" w:rsidRPr="009660EC">
                <w:rPr>
                  <w:rFonts w:cs="Calibri"/>
                  <w:szCs w:val="16"/>
                </w:rPr>
                <w:t>T2</w:t>
              </w:r>
            </w:hyperlink>
          </w:p>
        </w:tc>
        <w:tc>
          <w:tcPr>
            <w:tcW w:w="832" w:type="dxa"/>
            <w:tcBorders>
              <w:top w:val="single" w:sz="4" w:space="0" w:color="1B556B"/>
              <w:left w:val="nil"/>
              <w:bottom w:val="single" w:sz="4" w:space="0" w:color="1B556B"/>
              <w:right w:val="nil"/>
            </w:tcBorders>
            <w:shd w:val="clear" w:color="auto" w:fill="auto"/>
            <w:noWrap/>
            <w:vAlign w:val="center"/>
            <w:hideMark/>
          </w:tcPr>
          <w:p w14:paraId="4D6EC276" w14:textId="77777777" w:rsidR="004543E0" w:rsidRPr="009660EC" w:rsidRDefault="004543E0" w:rsidP="005450E6">
            <w:pPr>
              <w:pStyle w:val="TableText"/>
              <w:spacing w:before="30" w:after="30"/>
              <w:jc w:val="center"/>
              <w:rPr>
                <w:rFonts w:cs="Calibri"/>
                <w:szCs w:val="16"/>
              </w:rPr>
            </w:pPr>
            <w:r w:rsidRPr="009660EC">
              <w:rPr>
                <w:rFonts w:cs="Calibri"/>
                <w:szCs w:val="16"/>
              </w:rPr>
              <w:t>CS</w:t>
            </w:r>
          </w:p>
        </w:tc>
        <w:tc>
          <w:tcPr>
            <w:tcW w:w="832" w:type="dxa"/>
            <w:tcBorders>
              <w:top w:val="single" w:sz="4" w:space="0" w:color="1B556B"/>
              <w:left w:val="nil"/>
              <w:bottom w:val="single" w:sz="4" w:space="0" w:color="1B556B"/>
              <w:right w:val="nil"/>
            </w:tcBorders>
            <w:shd w:val="clear" w:color="auto" w:fill="auto"/>
            <w:noWrap/>
            <w:vAlign w:val="center"/>
            <w:hideMark/>
          </w:tcPr>
          <w:p w14:paraId="2D270A80"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4DCAAC5D"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734339C8"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750CB13A"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77DC0896" w14:textId="77777777" w:rsidTr="00023E9B">
        <w:tc>
          <w:tcPr>
            <w:tcW w:w="325" w:type="dxa"/>
            <w:tcBorders>
              <w:top w:val="single" w:sz="4" w:space="0" w:color="1B556B"/>
              <w:left w:val="nil"/>
              <w:bottom w:val="single" w:sz="4" w:space="0" w:color="1B556B"/>
              <w:right w:val="nil"/>
            </w:tcBorders>
            <w:shd w:val="clear" w:color="auto" w:fill="auto"/>
            <w:noWrap/>
            <w:vAlign w:val="center"/>
            <w:hideMark/>
          </w:tcPr>
          <w:p w14:paraId="7EA917C2" w14:textId="77777777" w:rsidR="004543E0" w:rsidRPr="009660EC" w:rsidRDefault="004543E0" w:rsidP="005450E6">
            <w:pPr>
              <w:pStyle w:val="TableText"/>
              <w:spacing w:before="30" w:after="30"/>
              <w:rPr>
                <w:rFonts w:cs="Calibri"/>
                <w:szCs w:val="16"/>
              </w:rPr>
            </w:pPr>
            <w:r w:rsidRPr="009660EC">
              <w:rPr>
                <w:rFonts w:cs="Calibri"/>
                <w:szCs w:val="16"/>
              </w:rPr>
              <w:t>3</w:t>
            </w:r>
          </w:p>
        </w:tc>
        <w:tc>
          <w:tcPr>
            <w:tcW w:w="3197" w:type="dxa"/>
            <w:tcBorders>
              <w:top w:val="single" w:sz="4" w:space="0" w:color="1B556B"/>
              <w:left w:val="nil"/>
              <w:bottom w:val="single" w:sz="4" w:space="0" w:color="1B556B"/>
              <w:right w:val="nil"/>
            </w:tcBorders>
            <w:shd w:val="clear" w:color="auto" w:fill="auto"/>
            <w:vAlign w:val="center"/>
            <w:hideMark/>
          </w:tcPr>
          <w:p w14:paraId="380179E5" w14:textId="77777777" w:rsidR="004543E0" w:rsidRPr="009660EC" w:rsidRDefault="004543E0" w:rsidP="005450E6">
            <w:pPr>
              <w:pStyle w:val="TableText"/>
              <w:spacing w:before="30" w:after="30"/>
              <w:rPr>
                <w:rFonts w:cs="Calibri"/>
                <w:szCs w:val="16"/>
              </w:rPr>
            </w:pPr>
            <w:r w:rsidRPr="009660EC">
              <w:rPr>
                <w:rFonts w:cs="Calibri"/>
                <w:szCs w:val="16"/>
              </w:rPr>
              <w:t>Swine</w:t>
            </w:r>
          </w:p>
        </w:tc>
        <w:tc>
          <w:tcPr>
            <w:tcW w:w="832" w:type="dxa"/>
            <w:tcBorders>
              <w:top w:val="single" w:sz="4" w:space="0" w:color="1B556B"/>
              <w:left w:val="nil"/>
              <w:bottom w:val="single" w:sz="4" w:space="0" w:color="1B556B"/>
              <w:right w:val="nil"/>
            </w:tcBorders>
            <w:shd w:val="clear" w:color="auto" w:fill="auto"/>
            <w:noWrap/>
            <w:vAlign w:val="center"/>
            <w:hideMark/>
          </w:tcPr>
          <w:p w14:paraId="2BAE1FE2" w14:textId="77777777" w:rsidR="004543E0" w:rsidRPr="009660EC" w:rsidRDefault="004543E0" w:rsidP="005450E6">
            <w:pPr>
              <w:pStyle w:val="TableText"/>
              <w:spacing w:before="30" w:after="30"/>
              <w:jc w:val="center"/>
              <w:rPr>
                <w:rFonts w:cs="Calibri"/>
                <w:szCs w:val="16"/>
              </w:rPr>
            </w:pPr>
            <w:r w:rsidRPr="009660EC">
              <w:rPr>
                <w:rFonts w:cs="Calibri"/>
                <w:szCs w:val="16"/>
              </w:rPr>
              <w:t>T1</w:t>
            </w:r>
          </w:p>
        </w:tc>
        <w:tc>
          <w:tcPr>
            <w:tcW w:w="832" w:type="dxa"/>
            <w:tcBorders>
              <w:top w:val="single" w:sz="4" w:space="0" w:color="1B556B"/>
              <w:left w:val="nil"/>
              <w:bottom w:val="single" w:sz="4" w:space="0" w:color="1B556B"/>
              <w:right w:val="nil"/>
            </w:tcBorders>
            <w:shd w:val="clear" w:color="auto" w:fill="auto"/>
            <w:noWrap/>
            <w:vAlign w:val="center"/>
            <w:hideMark/>
          </w:tcPr>
          <w:p w14:paraId="5209E4D6" w14:textId="77777777" w:rsidR="004543E0" w:rsidRPr="009660EC" w:rsidRDefault="004543E0" w:rsidP="005450E6">
            <w:pPr>
              <w:pStyle w:val="TableText"/>
              <w:spacing w:before="30" w:after="30"/>
              <w:jc w:val="center"/>
              <w:rPr>
                <w:rFonts w:cs="Calibri"/>
                <w:szCs w:val="16"/>
              </w:rPr>
            </w:pPr>
            <w:r w:rsidRPr="009660EC">
              <w:rPr>
                <w:rFonts w:cs="Calibri"/>
                <w:szCs w:val="16"/>
              </w:rPr>
              <w:t>CS</w:t>
            </w:r>
          </w:p>
        </w:tc>
        <w:tc>
          <w:tcPr>
            <w:tcW w:w="832" w:type="dxa"/>
            <w:tcBorders>
              <w:top w:val="single" w:sz="4" w:space="0" w:color="1B556B"/>
              <w:left w:val="nil"/>
              <w:bottom w:val="single" w:sz="4" w:space="0" w:color="1B556B"/>
              <w:right w:val="nil"/>
            </w:tcBorders>
            <w:shd w:val="clear" w:color="auto" w:fill="auto"/>
            <w:noWrap/>
            <w:vAlign w:val="center"/>
            <w:hideMark/>
          </w:tcPr>
          <w:p w14:paraId="609CC75F"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79997B59"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101DFE7F"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69B8F6AC"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760BE554" w14:textId="77777777" w:rsidTr="00023E9B">
        <w:tc>
          <w:tcPr>
            <w:tcW w:w="325" w:type="dxa"/>
            <w:tcBorders>
              <w:top w:val="single" w:sz="4" w:space="0" w:color="1B556B"/>
              <w:left w:val="nil"/>
              <w:bottom w:val="single" w:sz="4" w:space="0" w:color="1B556B"/>
              <w:right w:val="nil"/>
            </w:tcBorders>
            <w:shd w:val="clear" w:color="auto" w:fill="auto"/>
            <w:noWrap/>
            <w:vAlign w:val="center"/>
            <w:hideMark/>
          </w:tcPr>
          <w:p w14:paraId="4F42561B" w14:textId="77777777" w:rsidR="004543E0" w:rsidRPr="009660EC" w:rsidRDefault="004543E0" w:rsidP="005450E6">
            <w:pPr>
              <w:pStyle w:val="TableText"/>
              <w:spacing w:before="30" w:after="30"/>
              <w:rPr>
                <w:rFonts w:cs="Calibri"/>
                <w:szCs w:val="16"/>
              </w:rPr>
            </w:pPr>
            <w:r w:rsidRPr="009660EC">
              <w:rPr>
                <w:rFonts w:cs="Calibri"/>
                <w:szCs w:val="16"/>
              </w:rPr>
              <w:t>4</w:t>
            </w:r>
          </w:p>
        </w:tc>
        <w:tc>
          <w:tcPr>
            <w:tcW w:w="3197" w:type="dxa"/>
            <w:tcBorders>
              <w:top w:val="single" w:sz="4" w:space="0" w:color="1B556B"/>
              <w:left w:val="nil"/>
              <w:bottom w:val="single" w:sz="4" w:space="0" w:color="1B556B"/>
              <w:right w:val="nil"/>
            </w:tcBorders>
            <w:shd w:val="clear" w:color="auto" w:fill="auto"/>
            <w:vAlign w:val="center"/>
            <w:hideMark/>
          </w:tcPr>
          <w:p w14:paraId="3EEE2E23" w14:textId="77777777" w:rsidR="004543E0" w:rsidRPr="009660EC" w:rsidRDefault="004543E0" w:rsidP="005450E6">
            <w:pPr>
              <w:pStyle w:val="TableText"/>
              <w:spacing w:before="30" w:after="30"/>
              <w:rPr>
                <w:rFonts w:cs="Calibri"/>
                <w:szCs w:val="16"/>
              </w:rPr>
            </w:pPr>
            <w:r w:rsidRPr="009660EC">
              <w:rPr>
                <w:rFonts w:cs="Calibri"/>
                <w:szCs w:val="16"/>
              </w:rPr>
              <w:t>Other Livestock (Buffalo, Camels, Deer, Goats, Horses, Mules and Asses, Poultry)</w:t>
            </w:r>
          </w:p>
        </w:tc>
        <w:tc>
          <w:tcPr>
            <w:tcW w:w="832" w:type="dxa"/>
            <w:tcBorders>
              <w:top w:val="single" w:sz="4" w:space="0" w:color="1B556B"/>
              <w:left w:val="nil"/>
              <w:bottom w:val="single" w:sz="4" w:space="0" w:color="1B556B"/>
              <w:right w:val="nil"/>
            </w:tcBorders>
            <w:shd w:val="clear" w:color="auto" w:fill="auto"/>
            <w:noWrap/>
            <w:vAlign w:val="center"/>
            <w:hideMark/>
          </w:tcPr>
          <w:p w14:paraId="526CD6DF" w14:textId="77777777" w:rsidR="004543E0" w:rsidRPr="009660EC" w:rsidRDefault="004543E0" w:rsidP="005450E6">
            <w:pPr>
              <w:pStyle w:val="TableText"/>
              <w:spacing w:before="30" w:after="30"/>
              <w:jc w:val="center"/>
              <w:rPr>
                <w:rFonts w:cs="Calibri"/>
                <w:szCs w:val="16"/>
              </w:rPr>
            </w:pPr>
            <w:r w:rsidRPr="009660EC">
              <w:rPr>
                <w:rFonts w:cs="Calibri"/>
                <w:szCs w:val="16"/>
              </w:rPr>
              <w:t>T1, T2</w:t>
            </w:r>
          </w:p>
        </w:tc>
        <w:tc>
          <w:tcPr>
            <w:tcW w:w="832" w:type="dxa"/>
            <w:tcBorders>
              <w:top w:val="single" w:sz="4" w:space="0" w:color="1B556B"/>
              <w:left w:val="nil"/>
              <w:bottom w:val="single" w:sz="4" w:space="0" w:color="1B556B"/>
              <w:right w:val="nil"/>
            </w:tcBorders>
            <w:shd w:val="clear" w:color="auto" w:fill="auto"/>
            <w:noWrap/>
            <w:vAlign w:val="center"/>
            <w:hideMark/>
          </w:tcPr>
          <w:p w14:paraId="347C00E7" w14:textId="77777777" w:rsidR="004543E0" w:rsidRPr="009660EC" w:rsidRDefault="004543E0" w:rsidP="005450E6">
            <w:pPr>
              <w:pStyle w:val="TableText"/>
              <w:spacing w:before="30" w:after="30"/>
              <w:jc w:val="center"/>
              <w:rPr>
                <w:rFonts w:cs="Calibri"/>
                <w:szCs w:val="16"/>
              </w:rPr>
            </w:pPr>
            <w:r w:rsidRPr="009660EC">
              <w:rPr>
                <w:rFonts w:cs="Calibri"/>
                <w:szCs w:val="16"/>
              </w:rPr>
              <w:t>CS, D</w:t>
            </w:r>
          </w:p>
        </w:tc>
        <w:tc>
          <w:tcPr>
            <w:tcW w:w="832" w:type="dxa"/>
            <w:tcBorders>
              <w:top w:val="single" w:sz="4" w:space="0" w:color="1B556B"/>
              <w:left w:val="nil"/>
              <w:bottom w:val="single" w:sz="4" w:space="0" w:color="1B556B"/>
              <w:right w:val="nil"/>
            </w:tcBorders>
            <w:shd w:val="clear" w:color="auto" w:fill="auto"/>
            <w:noWrap/>
            <w:vAlign w:val="center"/>
            <w:hideMark/>
          </w:tcPr>
          <w:p w14:paraId="143B7A3C"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48CCFAE1"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7AC17495"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6AA27914"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795EE9F9" w14:textId="77777777" w:rsidTr="00023E9B">
        <w:tc>
          <w:tcPr>
            <w:tcW w:w="325" w:type="dxa"/>
            <w:tcBorders>
              <w:top w:val="single" w:sz="4" w:space="0" w:color="1B556B"/>
              <w:left w:val="nil"/>
              <w:bottom w:val="single" w:sz="4" w:space="0" w:color="1B556B"/>
              <w:right w:val="nil"/>
            </w:tcBorders>
            <w:shd w:val="clear" w:color="auto" w:fill="auto"/>
            <w:noWrap/>
            <w:vAlign w:val="center"/>
            <w:hideMark/>
          </w:tcPr>
          <w:p w14:paraId="4169CB64" w14:textId="77777777" w:rsidR="004543E0" w:rsidRPr="009660EC" w:rsidRDefault="004543E0" w:rsidP="005450E6">
            <w:pPr>
              <w:pStyle w:val="TableText"/>
              <w:spacing w:before="30" w:after="30"/>
              <w:rPr>
                <w:rFonts w:cs="Calibri"/>
                <w:b/>
                <w:bCs/>
                <w:szCs w:val="16"/>
              </w:rPr>
            </w:pPr>
            <w:r w:rsidRPr="009660EC">
              <w:rPr>
                <w:rFonts w:cs="Calibri"/>
                <w:b/>
                <w:bCs/>
                <w:szCs w:val="16"/>
              </w:rPr>
              <w:t>B</w:t>
            </w:r>
          </w:p>
        </w:tc>
        <w:tc>
          <w:tcPr>
            <w:tcW w:w="3197" w:type="dxa"/>
            <w:tcBorders>
              <w:top w:val="single" w:sz="4" w:space="0" w:color="1B556B"/>
              <w:left w:val="nil"/>
              <w:bottom w:val="single" w:sz="4" w:space="0" w:color="1B556B"/>
              <w:right w:val="nil"/>
            </w:tcBorders>
            <w:shd w:val="clear" w:color="auto" w:fill="auto"/>
            <w:vAlign w:val="center"/>
            <w:hideMark/>
          </w:tcPr>
          <w:p w14:paraId="12AC892F" w14:textId="77777777" w:rsidR="004543E0" w:rsidRPr="009660EC" w:rsidRDefault="004543E0" w:rsidP="005450E6">
            <w:pPr>
              <w:pStyle w:val="TableText"/>
              <w:spacing w:before="30" w:after="30"/>
              <w:rPr>
                <w:rFonts w:cs="Calibri"/>
                <w:b/>
                <w:bCs/>
                <w:szCs w:val="16"/>
              </w:rPr>
            </w:pPr>
            <w:r w:rsidRPr="009660EC">
              <w:rPr>
                <w:rFonts w:cs="Calibri"/>
                <w:b/>
                <w:bCs/>
                <w:szCs w:val="16"/>
              </w:rPr>
              <w:t>Manure Management</w:t>
            </w:r>
          </w:p>
        </w:tc>
        <w:tc>
          <w:tcPr>
            <w:tcW w:w="832" w:type="dxa"/>
            <w:tcBorders>
              <w:top w:val="single" w:sz="4" w:space="0" w:color="1B556B"/>
              <w:left w:val="nil"/>
              <w:bottom w:val="single" w:sz="4" w:space="0" w:color="1B556B"/>
              <w:right w:val="nil"/>
            </w:tcBorders>
            <w:shd w:val="clear" w:color="auto" w:fill="auto"/>
            <w:noWrap/>
            <w:vAlign w:val="center"/>
            <w:hideMark/>
          </w:tcPr>
          <w:p w14:paraId="001778FD"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1F893C22"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6ED49CFF"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6D97D666"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7508F951"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745198C6"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1242C915" w14:textId="77777777" w:rsidTr="00023E9B">
        <w:tc>
          <w:tcPr>
            <w:tcW w:w="325" w:type="dxa"/>
            <w:vMerge w:val="restart"/>
            <w:tcBorders>
              <w:top w:val="single" w:sz="4" w:space="0" w:color="1B556B"/>
              <w:left w:val="nil"/>
              <w:bottom w:val="single" w:sz="8" w:space="0" w:color="365F91"/>
              <w:right w:val="nil"/>
            </w:tcBorders>
            <w:shd w:val="clear" w:color="auto" w:fill="auto"/>
            <w:noWrap/>
            <w:vAlign w:val="center"/>
            <w:hideMark/>
          </w:tcPr>
          <w:p w14:paraId="4942F403" w14:textId="77777777" w:rsidR="004543E0" w:rsidRPr="009660EC" w:rsidRDefault="004543E0" w:rsidP="005450E6">
            <w:pPr>
              <w:pStyle w:val="TableText"/>
              <w:spacing w:before="30" w:after="30"/>
              <w:rPr>
                <w:rFonts w:cs="Calibri"/>
                <w:szCs w:val="16"/>
              </w:rPr>
            </w:pPr>
            <w:r w:rsidRPr="009660EC">
              <w:rPr>
                <w:rFonts w:cs="Calibri"/>
                <w:szCs w:val="16"/>
              </w:rPr>
              <w:t>1</w:t>
            </w:r>
          </w:p>
        </w:tc>
        <w:tc>
          <w:tcPr>
            <w:tcW w:w="3197" w:type="dxa"/>
            <w:tcBorders>
              <w:top w:val="single" w:sz="4" w:space="0" w:color="1B556B"/>
              <w:left w:val="nil"/>
              <w:bottom w:val="nil"/>
              <w:right w:val="nil"/>
            </w:tcBorders>
            <w:shd w:val="clear" w:color="auto" w:fill="auto"/>
            <w:vAlign w:val="center"/>
            <w:hideMark/>
          </w:tcPr>
          <w:p w14:paraId="2897E8FD" w14:textId="77777777" w:rsidR="004543E0" w:rsidRPr="009660EC" w:rsidRDefault="004543E0" w:rsidP="005450E6">
            <w:pPr>
              <w:pStyle w:val="TableText"/>
              <w:spacing w:before="30" w:after="30"/>
              <w:rPr>
                <w:rFonts w:cs="Calibri"/>
                <w:szCs w:val="16"/>
              </w:rPr>
            </w:pPr>
            <w:r w:rsidRPr="009660EC">
              <w:rPr>
                <w:rFonts w:cs="Calibri"/>
                <w:szCs w:val="16"/>
              </w:rPr>
              <w:t>Cattle</w:t>
            </w:r>
          </w:p>
        </w:tc>
        <w:tc>
          <w:tcPr>
            <w:tcW w:w="832" w:type="dxa"/>
            <w:tcBorders>
              <w:top w:val="single" w:sz="4" w:space="0" w:color="1B556B"/>
              <w:left w:val="nil"/>
              <w:bottom w:val="nil"/>
              <w:right w:val="nil"/>
            </w:tcBorders>
            <w:shd w:val="clear" w:color="auto" w:fill="auto"/>
            <w:noWrap/>
            <w:vAlign w:val="center"/>
            <w:hideMark/>
          </w:tcPr>
          <w:p w14:paraId="66D1F9D7"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206A9555"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33EFAAC2"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0C7695E4"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3C611542"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73795F1D"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6F0AC12D" w14:textId="77777777" w:rsidTr="00023E9B">
        <w:tc>
          <w:tcPr>
            <w:tcW w:w="325" w:type="dxa"/>
            <w:vMerge/>
            <w:tcBorders>
              <w:top w:val="nil"/>
              <w:left w:val="nil"/>
              <w:bottom w:val="single" w:sz="8" w:space="0" w:color="365F91"/>
              <w:right w:val="nil"/>
            </w:tcBorders>
            <w:vAlign w:val="center"/>
            <w:hideMark/>
          </w:tcPr>
          <w:p w14:paraId="2728F3B0" w14:textId="77777777" w:rsidR="004543E0" w:rsidRPr="009660EC" w:rsidRDefault="004543E0" w:rsidP="005450E6">
            <w:pPr>
              <w:pStyle w:val="TableText"/>
              <w:spacing w:before="30" w:after="30"/>
              <w:rPr>
                <w:rFonts w:cs="Calibri"/>
                <w:szCs w:val="16"/>
              </w:rPr>
            </w:pPr>
          </w:p>
        </w:tc>
        <w:tc>
          <w:tcPr>
            <w:tcW w:w="3197" w:type="dxa"/>
            <w:tcBorders>
              <w:top w:val="nil"/>
              <w:left w:val="nil"/>
              <w:bottom w:val="nil"/>
              <w:right w:val="nil"/>
            </w:tcBorders>
            <w:shd w:val="clear" w:color="auto" w:fill="auto"/>
            <w:vAlign w:val="center"/>
            <w:hideMark/>
          </w:tcPr>
          <w:p w14:paraId="69195E3B" w14:textId="77777777" w:rsidR="004543E0" w:rsidRPr="009660EC" w:rsidRDefault="004543E0" w:rsidP="005450E6">
            <w:pPr>
              <w:pStyle w:val="TableText"/>
              <w:spacing w:before="30" w:after="30"/>
              <w:rPr>
                <w:rFonts w:cs="Calibri"/>
                <w:szCs w:val="16"/>
              </w:rPr>
            </w:pPr>
            <w:r w:rsidRPr="009660EC">
              <w:rPr>
                <w:rFonts w:cs="Calibri"/>
                <w:szCs w:val="16"/>
              </w:rPr>
              <w:t>Dairy Cattle</w:t>
            </w:r>
          </w:p>
        </w:tc>
        <w:tc>
          <w:tcPr>
            <w:tcW w:w="832" w:type="dxa"/>
            <w:tcBorders>
              <w:top w:val="nil"/>
              <w:left w:val="nil"/>
              <w:bottom w:val="nil"/>
              <w:right w:val="nil"/>
            </w:tcBorders>
            <w:shd w:val="clear" w:color="auto" w:fill="auto"/>
            <w:noWrap/>
            <w:vAlign w:val="center"/>
            <w:hideMark/>
          </w:tcPr>
          <w:p w14:paraId="0D40FF96" w14:textId="77777777" w:rsidR="004543E0" w:rsidRPr="009660EC" w:rsidRDefault="004543E0" w:rsidP="005450E6">
            <w:pPr>
              <w:pStyle w:val="TableText"/>
              <w:spacing w:before="30" w:after="30"/>
              <w:jc w:val="center"/>
              <w:rPr>
                <w:rFonts w:cs="Calibri"/>
                <w:szCs w:val="16"/>
              </w:rPr>
            </w:pPr>
            <w:r w:rsidRPr="009660EC">
              <w:rPr>
                <w:rFonts w:cs="Calibri"/>
                <w:szCs w:val="16"/>
              </w:rPr>
              <w:t>T2</w:t>
            </w:r>
          </w:p>
        </w:tc>
        <w:tc>
          <w:tcPr>
            <w:tcW w:w="832" w:type="dxa"/>
            <w:tcBorders>
              <w:top w:val="nil"/>
              <w:left w:val="nil"/>
              <w:bottom w:val="nil"/>
              <w:right w:val="nil"/>
            </w:tcBorders>
            <w:shd w:val="clear" w:color="auto" w:fill="auto"/>
            <w:noWrap/>
            <w:vAlign w:val="center"/>
            <w:hideMark/>
          </w:tcPr>
          <w:p w14:paraId="1199E487" w14:textId="77777777" w:rsidR="004543E0" w:rsidRPr="009660EC" w:rsidRDefault="004543E0" w:rsidP="005450E6">
            <w:pPr>
              <w:pStyle w:val="TableText"/>
              <w:spacing w:before="30" w:after="30"/>
              <w:jc w:val="center"/>
              <w:rPr>
                <w:rFonts w:cs="Calibri"/>
                <w:szCs w:val="16"/>
              </w:rPr>
            </w:pPr>
            <w:r w:rsidRPr="009660EC">
              <w:rPr>
                <w:rFonts w:cs="Calibri"/>
                <w:szCs w:val="16"/>
              </w:rPr>
              <w:t>CS</w:t>
            </w:r>
          </w:p>
        </w:tc>
        <w:tc>
          <w:tcPr>
            <w:tcW w:w="832" w:type="dxa"/>
            <w:tcBorders>
              <w:top w:val="nil"/>
              <w:left w:val="nil"/>
              <w:bottom w:val="nil"/>
              <w:right w:val="nil"/>
            </w:tcBorders>
            <w:shd w:val="clear" w:color="auto" w:fill="auto"/>
            <w:noWrap/>
            <w:vAlign w:val="center"/>
            <w:hideMark/>
          </w:tcPr>
          <w:p w14:paraId="57E0CA03" w14:textId="77777777" w:rsidR="004543E0" w:rsidRPr="009660EC" w:rsidRDefault="004543E0" w:rsidP="005450E6">
            <w:pPr>
              <w:pStyle w:val="TableText"/>
              <w:spacing w:before="30" w:after="30"/>
              <w:jc w:val="center"/>
              <w:rPr>
                <w:rFonts w:cs="Calibri"/>
                <w:szCs w:val="16"/>
              </w:rPr>
            </w:pPr>
            <w:r w:rsidRPr="009660EC">
              <w:rPr>
                <w:rFonts w:cs="Calibri"/>
                <w:szCs w:val="16"/>
              </w:rPr>
              <w:t>T2</w:t>
            </w:r>
          </w:p>
        </w:tc>
        <w:tc>
          <w:tcPr>
            <w:tcW w:w="832" w:type="dxa"/>
            <w:tcBorders>
              <w:top w:val="nil"/>
              <w:left w:val="nil"/>
              <w:bottom w:val="nil"/>
              <w:right w:val="nil"/>
            </w:tcBorders>
            <w:shd w:val="clear" w:color="auto" w:fill="auto"/>
            <w:noWrap/>
            <w:vAlign w:val="center"/>
            <w:hideMark/>
          </w:tcPr>
          <w:p w14:paraId="65B2AD0E" w14:textId="77777777" w:rsidR="004543E0" w:rsidRPr="009660EC" w:rsidRDefault="004543E0" w:rsidP="005450E6">
            <w:pPr>
              <w:pStyle w:val="TableText"/>
              <w:spacing w:before="30" w:after="30"/>
              <w:jc w:val="center"/>
              <w:rPr>
                <w:rFonts w:cs="Calibri"/>
                <w:szCs w:val="16"/>
              </w:rPr>
            </w:pPr>
            <w:r w:rsidRPr="009660EC">
              <w:rPr>
                <w:rFonts w:cs="Calibri"/>
                <w:szCs w:val="16"/>
              </w:rPr>
              <w:t>CS</w:t>
            </w:r>
          </w:p>
        </w:tc>
        <w:tc>
          <w:tcPr>
            <w:tcW w:w="832" w:type="dxa"/>
            <w:tcBorders>
              <w:top w:val="nil"/>
              <w:left w:val="nil"/>
              <w:bottom w:val="nil"/>
              <w:right w:val="nil"/>
            </w:tcBorders>
            <w:shd w:val="clear" w:color="auto" w:fill="auto"/>
            <w:noWrap/>
            <w:vAlign w:val="center"/>
            <w:hideMark/>
          </w:tcPr>
          <w:p w14:paraId="12A5D55E"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7EF74479"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732C1C01" w14:textId="77777777" w:rsidTr="00023E9B">
        <w:tc>
          <w:tcPr>
            <w:tcW w:w="325" w:type="dxa"/>
            <w:vMerge/>
            <w:tcBorders>
              <w:top w:val="nil"/>
              <w:left w:val="nil"/>
              <w:bottom w:val="single" w:sz="4" w:space="0" w:color="1B556B"/>
              <w:right w:val="nil"/>
            </w:tcBorders>
            <w:vAlign w:val="center"/>
            <w:hideMark/>
          </w:tcPr>
          <w:p w14:paraId="0AA1D8DB" w14:textId="77777777" w:rsidR="004543E0" w:rsidRPr="009660EC" w:rsidRDefault="004543E0" w:rsidP="005450E6">
            <w:pPr>
              <w:pStyle w:val="TableText"/>
              <w:spacing w:before="30" w:after="30"/>
              <w:rPr>
                <w:rFonts w:cs="Calibri"/>
                <w:szCs w:val="16"/>
              </w:rPr>
            </w:pPr>
          </w:p>
        </w:tc>
        <w:tc>
          <w:tcPr>
            <w:tcW w:w="3197" w:type="dxa"/>
            <w:tcBorders>
              <w:top w:val="nil"/>
              <w:left w:val="nil"/>
              <w:bottom w:val="single" w:sz="4" w:space="0" w:color="1B556B"/>
              <w:right w:val="nil"/>
            </w:tcBorders>
            <w:shd w:val="clear" w:color="auto" w:fill="auto"/>
            <w:vAlign w:val="center"/>
            <w:hideMark/>
          </w:tcPr>
          <w:p w14:paraId="7E09069F" w14:textId="77777777" w:rsidR="004543E0" w:rsidRPr="009660EC" w:rsidRDefault="004543E0" w:rsidP="005450E6">
            <w:pPr>
              <w:pStyle w:val="TableText"/>
              <w:spacing w:before="30" w:after="30"/>
              <w:rPr>
                <w:rFonts w:cs="Calibri"/>
                <w:szCs w:val="16"/>
              </w:rPr>
            </w:pPr>
            <w:r w:rsidRPr="009660EC">
              <w:rPr>
                <w:rFonts w:cs="Calibri"/>
                <w:szCs w:val="16"/>
              </w:rPr>
              <w:t xml:space="preserve">Non-Dairy </w:t>
            </w:r>
            <w:r w:rsidRPr="009660EC">
              <w:rPr>
                <w:rFonts w:cs="Calibri"/>
                <w:i/>
                <w:iCs/>
                <w:szCs w:val="16"/>
              </w:rPr>
              <w:t>(Beef)</w:t>
            </w:r>
            <w:r w:rsidRPr="009660EC">
              <w:rPr>
                <w:rFonts w:cs="Calibri"/>
                <w:szCs w:val="16"/>
              </w:rPr>
              <w:t xml:space="preserve"> Cattle</w:t>
            </w:r>
          </w:p>
        </w:tc>
        <w:tc>
          <w:tcPr>
            <w:tcW w:w="832" w:type="dxa"/>
            <w:tcBorders>
              <w:top w:val="nil"/>
              <w:left w:val="nil"/>
              <w:bottom w:val="single" w:sz="4" w:space="0" w:color="1B556B"/>
              <w:right w:val="nil"/>
            </w:tcBorders>
            <w:shd w:val="clear" w:color="auto" w:fill="auto"/>
            <w:noWrap/>
            <w:vAlign w:val="center"/>
            <w:hideMark/>
          </w:tcPr>
          <w:p w14:paraId="3B500363" w14:textId="77777777" w:rsidR="004543E0" w:rsidRPr="009660EC" w:rsidRDefault="004543E0" w:rsidP="005450E6">
            <w:pPr>
              <w:pStyle w:val="TableText"/>
              <w:spacing w:before="30" w:after="30"/>
              <w:jc w:val="center"/>
              <w:rPr>
                <w:rFonts w:cs="Calibri"/>
                <w:szCs w:val="16"/>
              </w:rPr>
            </w:pPr>
            <w:r w:rsidRPr="009660EC">
              <w:rPr>
                <w:rFonts w:cs="Calibri"/>
                <w:szCs w:val="16"/>
              </w:rPr>
              <w:t>T2</w:t>
            </w:r>
          </w:p>
        </w:tc>
        <w:tc>
          <w:tcPr>
            <w:tcW w:w="832" w:type="dxa"/>
            <w:tcBorders>
              <w:top w:val="nil"/>
              <w:left w:val="nil"/>
              <w:bottom w:val="single" w:sz="4" w:space="0" w:color="1B556B"/>
              <w:right w:val="nil"/>
            </w:tcBorders>
            <w:shd w:val="clear" w:color="auto" w:fill="auto"/>
            <w:noWrap/>
            <w:vAlign w:val="center"/>
            <w:hideMark/>
          </w:tcPr>
          <w:p w14:paraId="079ED019" w14:textId="77777777" w:rsidR="004543E0" w:rsidRPr="009660EC" w:rsidRDefault="004543E0" w:rsidP="005450E6">
            <w:pPr>
              <w:pStyle w:val="TableText"/>
              <w:spacing w:before="30" w:after="30"/>
              <w:jc w:val="center"/>
              <w:rPr>
                <w:rFonts w:cs="Calibri"/>
                <w:szCs w:val="16"/>
              </w:rPr>
            </w:pPr>
            <w:r w:rsidRPr="009660EC">
              <w:rPr>
                <w:rFonts w:cs="Calibri"/>
                <w:szCs w:val="16"/>
              </w:rPr>
              <w:t>CS</w:t>
            </w:r>
          </w:p>
        </w:tc>
        <w:tc>
          <w:tcPr>
            <w:tcW w:w="832" w:type="dxa"/>
            <w:tcBorders>
              <w:top w:val="nil"/>
              <w:left w:val="nil"/>
              <w:bottom w:val="single" w:sz="4" w:space="0" w:color="1B556B"/>
              <w:right w:val="nil"/>
            </w:tcBorders>
            <w:shd w:val="clear" w:color="auto" w:fill="auto"/>
            <w:noWrap/>
            <w:vAlign w:val="center"/>
            <w:hideMark/>
          </w:tcPr>
          <w:p w14:paraId="72A20E78" w14:textId="77777777" w:rsidR="004543E0" w:rsidRPr="009660EC" w:rsidRDefault="004543E0" w:rsidP="005450E6">
            <w:pPr>
              <w:pStyle w:val="TableText"/>
              <w:spacing w:before="30" w:after="30"/>
              <w:jc w:val="center"/>
              <w:rPr>
                <w:rFonts w:cs="Calibri"/>
                <w:szCs w:val="16"/>
              </w:rPr>
            </w:pPr>
            <w:r w:rsidRPr="009660EC">
              <w:rPr>
                <w:rFonts w:cs="Calibri"/>
                <w:szCs w:val="16"/>
              </w:rPr>
              <w:t>NA</w:t>
            </w:r>
          </w:p>
        </w:tc>
        <w:tc>
          <w:tcPr>
            <w:tcW w:w="832" w:type="dxa"/>
            <w:tcBorders>
              <w:top w:val="nil"/>
              <w:left w:val="nil"/>
              <w:bottom w:val="single" w:sz="4" w:space="0" w:color="1B556B"/>
              <w:right w:val="nil"/>
            </w:tcBorders>
            <w:shd w:val="clear" w:color="auto" w:fill="auto"/>
            <w:noWrap/>
            <w:vAlign w:val="center"/>
            <w:hideMark/>
          </w:tcPr>
          <w:p w14:paraId="4E12050F" w14:textId="77777777" w:rsidR="004543E0" w:rsidRPr="009660EC" w:rsidRDefault="004543E0" w:rsidP="005450E6">
            <w:pPr>
              <w:pStyle w:val="TableText"/>
              <w:spacing w:before="30" w:after="30"/>
              <w:jc w:val="center"/>
              <w:rPr>
                <w:rFonts w:cs="Calibri"/>
                <w:szCs w:val="16"/>
              </w:rPr>
            </w:pPr>
            <w:r w:rsidRPr="009660EC">
              <w:rPr>
                <w:rFonts w:cs="Calibri"/>
                <w:szCs w:val="16"/>
              </w:rPr>
              <w:t>NA</w:t>
            </w:r>
          </w:p>
        </w:tc>
        <w:tc>
          <w:tcPr>
            <w:tcW w:w="832" w:type="dxa"/>
            <w:tcBorders>
              <w:top w:val="nil"/>
              <w:left w:val="nil"/>
              <w:bottom w:val="single" w:sz="4" w:space="0" w:color="1B556B"/>
              <w:right w:val="nil"/>
            </w:tcBorders>
            <w:shd w:val="clear" w:color="auto" w:fill="auto"/>
            <w:noWrap/>
            <w:vAlign w:val="center"/>
            <w:hideMark/>
          </w:tcPr>
          <w:p w14:paraId="2458E6D8"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single" w:sz="4" w:space="0" w:color="1B556B"/>
              <w:right w:val="nil"/>
            </w:tcBorders>
            <w:shd w:val="clear" w:color="auto" w:fill="auto"/>
            <w:noWrap/>
            <w:vAlign w:val="center"/>
            <w:hideMark/>
          </w:tcPr>
          <w:p w14:paraId="019CB082"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213A37C4" w14:textId="77777777" w:rsidTr="00023E9B">
        <w:tc>
          <w:tcPr>
            <w:tcW w:w="325" w:type="dxa"/>
            <w:tcBorders>
              <w:top w:val="single" w:sz="4" w:space="0" w:color="1B556B"/>
              <w:left w:val="nil"/>
              <w:right w:val="nil"/>
            </w:tcBorders>
            <w:shd w:val="clear" w:color="auto" w:fill="auto"/>
            <w:noWrap/>
            <w:vAlign w:val="center"/>
            <w:hideMark/>
          </w:tcPr>
          <w:p w14:paraId="7E3B35B7" w14:textId="77777777" w:rsidR="004543E0" w:rsidRPr="009660EC" w:rsidRDefault="004543E0" w:rsidP="005450E6">
            <w:pPr>
              <w:pStyle w:val="TableText"/>
              <w:spacing w:before="30" w:after="30"/>
              <w:rPr>
                <w:rFonts w:cs="Calibri"/>
                <w:szCs w:val="16"/>
              </w:rPr>
            </w:pPr>
            <w:r w:rsidRPr="009660EC">
              <w:rPr>
                <w:rFonts w:cs="Calibri"/>
                <w:szCs w:val="16"/>
              </w:rPr>
              <w:t>2</w:t>
            </w:r>
          </w:p>
        </w:tc>
        <w:tc>
          <w:tcPr>
            <w:tcW w:w="3197" w:type="dxa"/>
            <w:tcBorders>
              <w:top w:val="single" w:sz="4" w:space="0" w:color="1B556B"/>
              <w:left w:val="nil"/>
              <w:right w:val="nil"/>
            </w:tcBorders>
            <w:shd w:val="clear" w:color="auto" w:fill="auto"/>
            <w:vAlign w:val="center"/>
            <w:hideMark/>
          </w:tcPr>
          <w:p w14:paraId="4088B3AD" w14:textId="77777777" w:rsidR="004543E0" w:rsidRPr="009660EC" w:rsidRDefault="004543E0" w:rsidP="005450E6">
            <w:pPr>
              <w:pStyle w:val="TableText"/>
              <w:spacing w:before="30" w:after="30"/>
              <w:rPr>
                <w:rFonts w:cs="Calibri"/>
                <w:szCs w:val="16"/>
              </w:rPr>
            </w:pPr>
            <w:r w:rsidRPr="009660EC">
              <w:rPr>
                <w:rFonts w:cs="Calibri"/>
                <w:szCs w:val="16"/>
              </w:rPr>
              <w:t xml:space="preserve">Sheep </w:t>
            </w:r>
          </w:p>
        </w:tc>
        <w:tc>
          <w:tcPr>
            <w:tcW w:w="832" w:type="dxa"/>
            <w:tcBorders>
              <w:top w:val="single" w:sz="4" w:space="0" w:color="1B556B"/>
              <w:left w:val="nil"/>
              <w:right w:val="nil"/>
            </w:tcBorders>
            <w:shd w:val="clear" w:color="auto" w:fill="auto"/>
            <w:noWrap/>
            <w:vAlign w:val="center"/>
            <w:hideMark/>
          </w:tcPr>
          <w:p w14:paraId="5761D9F9" w14:textId="77777777" w:rsidR="004543E0" w:rsidRPr="009660EC" w:rsidRDefault="004543E0" w:rsidP="005450E6">
            <w:pPr>
              <w:pStyle w:val="TableText"/>
              <w:spacing w:before="30" w:after="30"/>
              <w:jc w:val="center"/>
              <w:rPr>
                <w:rFonts w:cs="Calibri"/>
                <w:szCs w:val="16"/>
              </w:rPr>
            </w:pPr>
            <w:r w:rsidRPr="009660EC">
              <w:rPr>
                <w:rFonts w:cs="Calibri"/>
                <w:szCs w:val="16"/>
              </w:rPr>
              <w:t>T2</w:t>
            </w:r>
          </w:p>
        </w:tc>
        <w:tc>
          <w:tcPr>
            <w:tcW w:w="832" w:type="dxa"/>
            <w:tcBorders>
              <w:top w:val="single" w:sz="4" w:space="0" w:color="1B556B"/>
              <w:left w:val="nil"/>
              <w:right w:val="nil"/>
            </w:tcBorders>
            <w:shd w:val="clear" w:color="auto" w:fill="auto"/>
            <w:noWrap/>
            <w:vAlign w:val="center"/>
            <w:hideMark/>
          </w:tcPr>
          <w:p w14:paraId="5FF41566" w14:textId="77777777" w:rsidR="004543E0" w:rsidRPr="009660EC" w:rsidRDefault="004543E0" w:rsidP="005450E6">
            <w:pPr>
              <w:pStyle w:val="TableText"/>
              <w:spacing w:before="30" w:after="30"/>
              <w:jc w:val="center"/>
              <w:rPr>
                <w:rFonts w:cs="Calibri"/>
                <w:szCs w:val="16"/>
              </w:rPr>
            </w:pPr>
            <w:r w:rsidRPr="009660EC">
              <w:rPr>
                <w:rFonts w:cs="Calibri"/>
                <w:szCs w:val="16"/>
              </w:rPr>
              <w:t>CS</w:t>
            </w:r>
          </w:p>
        </w:tc>
        <w:tc>
          <w:tcPr>
            <w:tcW w:w="832" w:type="dxa"/>
            <w:tcBorders>
              <w:top w:val="single" w:sz="4" w:space="0" w:color="1B556B"/>
              <w:left w:val="nil"/>
              <w:right w:val="nil"/>
            </w:tcBorders>
            <w:shd w:val="clear" w:color="auto" w:fill="auto"/>
            <w:noWrap/>
            <w:vAlign w:val="center"/>
            <w:hideMark/>
          </w:tcPr>
          <w:p w14:paraId="31E5D222" w14:textId="77777777" w:rsidR="004543E0" w:rsidRPr="009660EC" w:rsidRDefault="004543E0" w:rsidP="005450E6">
            <w:pPr>
              <w:pStyle w:val="TableText"/>
              <w:spacing w:before="30" w:after="30"/>
              <w:jc w:val="center"/>
              <w:rPr>
                <w:rFonts w:cs="Calibri"/>
                <w:szCs w:val="16"/>
              </w:rPr>
            </w:pPr>
            <w:r w:rsidRPr="009660EC">
              <w:rPr>
                <w:rFonts w:cs="Calibri"/>
                <w:szCs w:val="16"/>
              </w:rPr>
              <w:t>NA</w:t>
            </w:r>
          </w:p>
        </w:tc>
        <w:tc>
          <w:tcPr>
            <w:tcW w:w="832" w:type="dxa"/>
            <w:tcBorders>
              <w:top w:val="single" w:sz="4" w:space="0" w:color="1B556B"/>
              <w:left w:val="nil"/>
              <w:right w:val="nil"/>
            </w:tcBorders>
            <w:shd w:val="clear" w:color="auto" w:fill="auto"/>
            <w:noWrap/>
            <w:vAlign w:val="center"/>
            <w:hideMark/>
          </w:tcPr>
          <w:p w14:paraId="58BB214A" w14:textId="77777777" w:rsidR="004543E0" w:rsidRPr="009660EC" w:rsidRDefault="004543E0" w:rsidP="005450E6">
            <w:pPr>
              <w:pStyle w:val="TableText"/>
              <w:spacing w:before="30" w:after="30"/>
              <w:jc w:val="center"/>
              <w:rPr>
                <w:rFonts w:cs="Calibri"/>
                <w:szCs w:val="16"/>
              </w:rPr>
            </w:pPr>
            <w:r w:rsidRPr="009660EC">
              <w:rPr>
                <w:rFonts w:cs="Calibri"/>
                <w:szCs w:val="16"/>
              </w:rPr>
              <w:t>NA</w:t>
            </w:r>
          </w:p>
        </w:tc>
        <w:tc>
          <w:tcPr>
            <w:tcW w:w="832" w:type="dxa"/>
            <w:tcBorders>
              <w:top w:val="single" w:sz="4" w:space="0" w:color="1B556B"/>
              <w:left w:val="nil"/>
              <w:right w:val="nil"/>
            </w:tcBorders>
            <w:shd w:val="clear" w:color="auto" w:fill="auto"/>
            <w:noWrap/>
            <w:vAlign w:val="center"/>
            <w:hideMark/>
          </w:tcPr>
          <w:p w14:paraId="1DF903E7"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right w:val="nil"/>
            </w:tcBorders>
            <w:shd w:val="clear" w:color="auto" w:fill="auto"/>
            <w:noWrap/>
            <w:vAlign w:val="center"/>
            <w:hideMark/>
          </w:tcPr>
          <w:p w14:paraId="75177D98"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386D45CD" w14:textId="77777777" w:rsidTr="00023E9B">
        <w:tc>
          <w:tcPr>
            <w:tcW w:w="325" w:type="dxa"/>
            <w:tcBorders>
              <w:left w:val="nil"/>
              <w:bottom w:val="single" w:sz="4" w:space="0" w:color="1B556B"/>
              <w:right w:val="nil"/>
            </w:tcBorders>
            <w:shd w:val="clear" w:color="auto" w:fill="auto"/>
            <w:noWrap/>
            <w:vAlign w:val="center"/>
            <w:hideMark/>
          </w:tcPr>
          <w:p w14:paraId="517A244E" w14:textId="77777777" w:rsidR="004543E0" w:rsidRPr="009660EC" w:rsidRDefault="004543E0" w:rsidP="005450E6">
            <w:pPr>
              <w:pStyle w:val="TableText"/>
              <w:spacing w:before="30" w:after="30"/>
              <w:rPr>
                <w:rFonts w:cs="Calibri"/>
                <w:szCs w:val="16"/>
              </w:rPr>
            </w:pPr>
            <w:r w:rsidRPr="009660EC">
              <w:rPr>
                <w:rFonts w:cs="Calibri"/>
                <w:szCs w:val="16"/>
              </w:rPr>
              <w:t>3</w:t>
            </w:r>
          </w:p>
        </w:tc>
        <w:tc>
          <w:tcPr>
            <w:tcW w:w="3197" w:type="dxa"/>
            <w:tcBorders>
              <w:left w:val="nil"/>
              <w:bottom w:val="single" w:sz="4" w:space="0" w:color="1B556B"/>
              <w:right w:val="nil"/>
            </w:tcBorders>
            <w:shd w:val="clear" w:color="auto" w:fill="auto"/>
            <w:vAlign w:val="center"/>
            <w:hideMark/>
          </w:tcPr>
          <w:p w14:paraId="55CFB6D3" w14:textId="77777777" w:rsidR="004543E0" w:rsidRPr="009660EC" w:rsidRDefault="004543E0" w:rsidP="005450E6">
            <w:pPr>
              <w:pStyle w:val="TableText"/>
              <w:spacing w:before="30" w:after="30"/>
              <w:rPr>
                <w:rFonts w:cs="Calibri"/>
                <w:szCs w:val="16"/>
              </w:rPr>
            </w:pPr>
            <w:r w:rsidRPr="009660EC">
              <w:rPr>
                <w:rFonts w:cs="Calibri"/>
                <w:szCs w:val="16"/>
              </w:rPr>
              <w:t>Swine</w:t>
            </w:r>
          </w:p>
        </w:tc>
        <w:tc>
          <w:tcPr>
            <w:tcW w:w="832" w:type="dxa"/>
            <w:tcBorders>
              <w:left w:val="nil"/>
              <w:bottom w:val="single" w:sz="4" w:space="0" w:color="1B556B"/>
              <w:right w:val="nil"/>
            </w:tcBorders>
            <w:shd w:val="clear" w:color="auto" w:fill="auto"/>
            <w:noWrap/>
            <w:vAlign w:val="center"/>
            <w:hideMark/>
          </w:tcPr>
          <w:p w14:paraId="1CA5AB79" w14:textId="77777777" w:rsidR="004543E0" w:rsidRPr="009660EC" w:rsidRDefault="004543E0" w:rsidP="005450E6">
            <w:pPr>
              <w:pStyle w:val="TableText"/>
              <w:spacing w:before="30" w:after="30"/>
              <w:jc w:val="center"/>
              <w:rPr>
                <w:rFonts w:cs="Calibri"/>
                <w:szCs w:val="16"/>
              </w:rPr>
            </w:pPr>
            <w:r w:rsidRPr="009660EC">
              <w:rPr>
                <w:rFonts w:cs="Calibri"/>
                <w:szCs w:val="16"/>
              </w:rPr>
              <w:t>T1</w:t>
            </w:r>
          </w:p>
        </w:tc>
        <w:tc>
          <w:tcPr>
            <w:tcW w:w="832" w:type="dxa"/>
            <w:tcBorders>
              <w:left w:val="nil"/>
              <w:bottom w:val="single" w:sz="4" w:space="0" w:color="1B556B"/>
              <w:right w:val="nil"/>
            </w:tcBorders>
            <w:shd w:val="clear" w:color="auto" w:fill="auto"/>
            <w:noWrap/>
            <w:vAlign w:val="center"/>
            <w:hideMark/>
          </w:tcPr>
          <w:p w14:paraId="1AB00D3D" w14:textId="77777777" w:rsidR="004543E0" w:rsidRPr="009660EC" w:rsidRDefault="004543E0" w:rsidP="005450E6">
            <w:pPr>
              <w:pStyle w:val="TableText"/>
              <w:spacing w:before="30" w:after="30"/>
              <w:jc w:val="center"/>
              <w:rPr>
                <w:rFonts w:cs="Calibri"/>
                <w:szCs w:val="16"/>
              </w:rPr>
            </w:pPr>
            <w:r w:rsidRPr="009660EC">
              <w:rPr>
                <w:rFonts w:cs="Calibri"/>
                <w:szCs w:val="16"/>
              </w:rPr>
              <w:t>CS</w:t>
            </w:r>
          </w:p>
        </w:tc>
        <w:tc>
          <w:tcPr>
            <w:tcW w:w="832" w:type="dxa"/>
            <w:tcBorders>
              <w:left w:val="nil"/>
              <w:bottom w:val="single" w:sz="4" w:space="0" w:color="1B556B"/>
              <w:right w:val="nil"/>
            </w:tcBorders>
            <w:shd w:val="clear" w:color="auto" w:fill="auto"/>
            <w:noWrap/>
            <w:vAlign w:val="center"/>
            <w:hideMark/>
          </w:tcPr>
          <w:p w14:paraId="6EF88D30" w14:textId="77777777" w:rsidR="004543E0" w:rsidRPr="009660EC" w:rsidRDefault="004543E0" w:rsidP="005450E6">
            <w:pPr>
              <w:pStyle w:val="TableText"/>
              <w:spacing w:before="30" w:after="30"/>
              <w:jc w:val="center"/>
              <w:rPr>
                <w:rFonts w:cs="Calibri"/>
                <w:szCs w:val="16"/>
              </w:rPr>
            </w:pPr>
            <w:r w:rsidRPr="009660EC">
              <w:rPr>
                <w:rFonts w:cs="Calibri"/>
                <w:szCs w:val="16"/>
              </w:rPr>
              <w:t>T1</w:t>
            </w:r>
          </w:p>
        </w:tc>
        <w:tc>
          <w:tcPr>
            <w:tcW w:w="832" w:type="dxa"/>
            <w:tcBorders>
              <w:left w:val="nil"/>
              <w:bottom w:val="single" w:sz="4" w:space="0" w:color="1B556B"/>
              <w:right w:val="nil"/>
            </w:tcBorders>
            <w:shd w:val="clear" w:color="auto" w:fill="auto"/>
            <w:noWrap/>
            <w:vAlign w:val="center"/>
            <w:hideMark/>
          </w:tcPr>
          <w:p w14:paraId="504D54D6" w14:textId="77777777" w:rsidR="004543E0" w:rsidRPr="009660EC" w:rsidRDefault="004543E0" w:rsidP="005450E6">
            <w:pPr>
              <w:pStyle w:val="TableText"/>
              <w:spacing w:before="30" w:after="30"/>
              <w:jc w:val="center"/>
              <w:rPr>
                <w:rFonts w:cs="Calibri"/>
                <w:szCs w:val="16"/>
              </w:rPr>
            </w:pPr>
            <w:r w:rsidRPr="009660EC">
              <w:rPr>
                <w:rFonts w:cs="Calibri"/>
                <w:szCs w:val="16"/>
              </w:rPr>
              <w:t>CS</w:t>
            </w:r>
          </w:p>
        </w:tc>
        <w:tc>
          <w:tcPr>
            <w:tcW w:w="832" w:type="dxa"/>
            <w:tcBorders>
              <w:left w:val="nil"/>
              <w:bottom w:val="single" w:sz="4" w:space="0" w:color="1B556B"/>
              <w:right w:val="nil"/>
            </w:tcBorders>
            <w:shd w:val="clear" w:color="auto" w:fill="auto"/>
            <w:noWrap/>
            <w:vAlign w:val="center"/>
            <w:hideMark/>
          </w:tcPr>
          <w:p w14:paraId="41BC6CE2"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left w:val="nil"/>
              <w:bottom w:val="single" w:sz="4" w:space="0" w:color="1B556B"/>
              <w:right w:val="nil"/>
            </w:tcBorders>
            <w:shd w:val="clear" w:color="auto" w:fill="auto"/>
            <w:noWrap/>
            <w:vAlign w:val="center"/>
            <w:hideMark/>
          </w:tcPr>
          <w:p w14:paraId="74A9FD74"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31D70922" w14:textId="77777777" w:rsidTr="00023E9B">
        <w:tc>
          <w:tcPr>
            <w:tcW w:w="325" w:type="dxa"/>
            <w:vMerge w:val="restart"/>
            <w:tcBorders>
              <w:top w:val="single" w:sz="4" w:space="0" w:color="1B556B"/>
              <w:left w:val="nil"/>
              <w:bottom w:val="single" w:sz="8" w:space="0" w:color="365F91"/>
              <w:right w:val="nil"/>
            </w:tcBorders>
            <w:shd w:val="clear" w:color="auto" w:fill="auto"/>
            <w:noWrap/>
            <w:vAlign w:val="center"/>
            <w:hideMark/>
          </w:tcPr>
          <w:p w14:paraId="531B8A49" w14:textId="77777777" w:rsidR="004543E0" w:rsidRPr="009660EC" w:rsidRDefault="004543E0" w:rsidP="005450E6">
            <w:pPr>
              <w:pStyle w:val="TableText"/>
              <w:spacing w:before="30" w:after="30"/>
              <w:rPr>
                <w:rFonts w:cs="Calibri"/>
                <w:szCs w:val="16"/>
              </w:rPr>
            </w:pPr>
            <w:r w:rsidRPr="009660EC">
              <w:rPr>
                <w:rFonts w:cs="Calibri"/>
                <w:szCs w:val="16"/>
              </w:rPr>
              <w:t>4</w:t>
            </w:r>
          </w:p>
        </w:tc>
        <w:tc>
          <w:tcPr>
            <w:tcW w:w="3197" w:type="dxa"/>
            <w:tcBorders>
              <w:top w:val="single" w:sz="4" w:space="0" w:color="1B556B"/>
              <w:left w:val="nil"/>
              <w:bottom w:val="nil"/>
              <w:right w:val="nil"/>
            </w:tcBorders>
            <w:shd w:val="clear" w:color="auto" w:fill="auto"/>
            <w:vAlign w:val="center"/>
            <w:hideMark/>
          </w:tcPr>
          <w:p w14:paraId="6294F0ED" w14:textId="77777777" w:rsidR="004543E0" w:rsidRPr="009660EC" w:rsidRDefault="004543E0" w:rsidP="005450E6">
            <w:pPr>
              <w:pStyle w:val="TableText"/>
              <w:spacing w:before="30" w:after="30"/>
              <w:rPr>
                <w:rFonts w:cs="Calibri"/>
                <w:szCs w:val="16"/>
              </w:rPr>
            </w:pPr>
            <w:r w:rsidRPr="009660EC">
              <w:rPr>
                <w:rFonts w:cs="Calibri"/>
                <w:szCs w:val="16"/>
              </w:rPr>
              <w:t>Poultry</w:t>
            </w:r>
          </w:p>
        </w:tc>
        <w:tc>
          <w:tcPr>
            <w:tcW w:w="832" w:type="dxa"/>
            <w:tcBorders>
              <w:top w:val="single" w:sz="4" w:space="0" w:color="1B556B"/>
              <w:left w:val="nil"/>
              <w:bottom w:val="nil"/>
              <w:right w:val="nil"/>
            </w:tcBorders>
            <w:shd w:val="clear" w:color="auto" w:fill="auto"/>
            <w:noWrap/>
            <w:vAlign w:val="center"/>
            <w:hideMark/>
          </w:tcPr>
          <w:p w14:paraId="06EBAF35" w14:textId="77777777" w:rsidR="004543E0" w:rsidRPr="009660EC" w:rsidRDefault="004543E0" w:rsidP="005450E6">
            <w:pPr>
              <w:pStyle w:val="TableText"/>
              <w:spacing w:before="30" w:after="30"/>
              <w:jc w:val="center"/>
              <w:rPr>
                <w:rFonts w:cs="Calibri"/>
                <w:szCs w:val="16"/>
              </w:rPr>
            </w:pPr>
            <w:r w:rsidRPr="009660EC">
              <w:rPr>
                <w:rFonts w:cs="Calibri"/>
                <w:szCs w:val="16"/>
              </w:rPr>
              <w:t>T1</w:t>
            </w:r>
          </w:p>
        </w:tc>
        <w:tc>
          <w:tcPr>
            <w:tcW w:w="832" w:type="dxa"/>
            <w:tcBorders>
              <w:top w:val="single" w:sz="4" w:space="0" w:color="1B556B"/>
              <w:left w:val="nil"/>
              <w:bottom w:val="nil"/>
              <w:right w:val="nil"/>
            </w:tcBorders>
            <w:shd w:val="clear" w:color="auto" w:fill="auto"/>
            <w:noWrap/>
            <w:vAlign w:val="center"/>
            <w:hideMark/>
          </w:tcPr>
          <w:p w14:paraId="1AAD4871" w14:textId="77777777" w:rsidR="004543E0" w:rsidRPr="009660EC" w:rsidRDefault="004543E0" w:rsidP="005450E6">
            <w:pPr>
              <w:pStyle w:val="TableText"/>
              <w:spacing w:before="30" w:after="30"/>
              <w:jc w:val="center"/>
              <w:rPr>
                <w:rFonts w:cs="Calibri"/>
                <w:szCs w:val="16"/>
              </w:rPr>
            </w:pPr>
            <w:r w:rsidRPr="009660EC">
              <w:rPr>
                <w:rFonts w:cs="Calibri"/>
                <w:szCs w:val="16"/>
              </w:rPr>
              <w:t>D</w:t>
            </w:r>
          </w:p>
        </w:tc>
        <w:tc>
          <w:tcPr>
            <w:tcW w:w="832" w:type="dxa"/>
            <w:tcBorders>
              <w:top w:val="single" w:sz="4" w:space="0" w:color="1B556B"/>
              <w:left w:val="nil"/>
              <w:bottom w:val="nil"/>
              <w:right w:val="nil"/>
            </w:tcBorders>
            <w:shd w:val="clear" w:color="auto" w:fill="auto"/>
            <w:noWrap/>
            <w:vAlign w:val="center"/>
            <w:hideMark/>
          </w:tcPr>
          <w:p w14:paraId="04C0D5C5" w14:textId="77777777" w:rsidR="004543E0" w:rsidRPr="009660EC" w:rsidRDefault="004543E0" w:rsidP="005450E6">
            <w:pPr>
              <w:pStyle w:val="TableText"/>
              <w:spacing w:before="30" w:after="30"/>
              <w:jc w:val="center"/>
              <w:rPr>
                <w:rFonts w:cs="Calibri"/>
                <w:szCs w:val="16"/>
              </w:rPr>
            </w:pPr>
            <w:r w:rsidRPr="009660EC">
              <w:rPr>
                <w:rFonts w:cs="Calibri"/>
                <w:szCs w:val="16"/>
              </w:rPr>
              <w:t>T1</w:t>
            </w:r>
          </w:p>
        </w:tc>
        <w:tc>
          <w:tcPr>
            <w:tcW w:w="832" w:type="dxa"/>
            <w:tcBorders>
              <w:top w:val="single" w:sz="4" w:space="0" w:color="1B556B"/>
              <w:left w:val="nil"/>
              <w:bottom w:val="nil"/>
              <w:right w:val="nil"/>
            </w:tcBorders>
            <w:shd w:val="clear" w:color="auto" w:fill="auto"/>
            <w:noWrap/>
            <w:vAlign w:val="center"/>
            <w:hideMark/>
          </w:tcPr>
          <w:p w14:paraId="74D59B50" w14:textId="77777777" w:rsidR="004543E0" w:rsidRPr="009660EC" w:rsidRDefault="004543E0" w:rsidP="005450E6">
            <w:pPr>
              <w:pStyle w:val="TableText"/>
              <w:spacing w:before="30" w:after="30"/>
              <w:jc w:val="center"/>
              <w:rPr>
                <w:rFonts w:cs="Calibri"/>
                <w:szCs w:val="16"/>
              </w:rPr>
            </w:pPr>
            <w:r w:rsidRPr="009660EC">
              <w:rPr>
                <w:rFonts w:cs="Calibri"/>
                <w:szCs w:val="16"/>
              </w:rPr>
              <w:t>CS</w:t>
            </w:r>
          </w:p>
        </w:tc>
        <w:tc>
          <w:tcPr>
            <w:tcW w:w="832" w:type="dxa"/>
            <w:tcBorders>
              <w:top w:val="single" w:sz="4" w:space="0" w:color="1B556B"/>
              <w:left w:val="nil"/>
              <w:bottom w:val="nil"/>
              <w:right w:val="nil"/>
            </w:tcBorders>
            <w:shd w:val="clear" w:color="auto" w:fill="auto"/>
            <w:noWrap/>
            <w:vAlign w:val="center"/>
            <w:hideMark/>
          </w:tcPr>
          <w:p w14:paraId="41B44778"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3C26A6BA"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2A85A9E2" w14:textId="77777777" w:rsidTr="00023E9B">
        <w:tc>
          <w:tcPr>
            <w:tcW w:w="325" w:type="dxa"/>
            <w:vMerge/>
            <w:tcBorders>
              <w:top w:val="nil"/>
              <w:left w:val="nil"/>
              <w:bottom w:val="single" w:sz="4" w:space="0" w:color="1B556B"/>
              <w:right w:val="nil"/>
            </w:tcBorders>
            <w:vAlign w:val="center"/>
            <w:hideMark/>
          </w:tcPr>
          <w:p w14:paraId="218635D8" w14:textId="77777777" w:rsidR="004543E0" w:rsidRPr="009660EC" w:rsidRDefault="004543E0" w:rsidP="005450E6">
            <w:pPr>
              <w:pStyle w:val="TableText"/>
              <w:spacing w:before="30" w:after="30"/>
              <w:rPr>
                <w:rFonts w:cs="Calibri"/>
                <w:szCs w:val="16"/>
              </w:rPr>
            </w:pPr>
          </w:p>
        </w:tc>
        <w:tc>
          <w:tcPr>
            <w:tcW w:w="3197" w:type="dxa"/>
            <w:tcBorders>
              <w:top w:val="nil"/>
              <w:left w:val="nil"/>
              <w:bottom w:val="single" w:sz="4" w:space="0" w:color="1B556B"/>
              <w:right w:val="nil"/>
            </w:tcBorders>
            <w:shd w:val="clear" w:color="auto" w:fill="auto"/>
            <w:vAlign w:val="center"/>
            <w:hideMark/>
          </w:tcPr>
          <w:p w14:paraId="34CC66CD" w14:textId="77777777" w:rsidR="004543E0" w:rsidRPr="009660EC" w:rsidRDefault="004543E0" w:rsidP="005450E6">
            <w:pPr>
              <w:pStyle w:val="TableText"/>
              <w:spacing w:before="30" w:after="30"/>
              <w:rPr>
                <w:rFonts w:cs="Calibri"/>
                <w:szCs w:val="16"/>
              </w:rPr>
            </w:pPr>
            <w:r w:rsidRPr="009660EC">
              <w:rPr>
                <w:rFonts w:cs="Calibri"/>
                <w:szCs w:val="16"/>
              </w:rPr>
              <w:t>Other Livestock (Buffalo, Camels, Deer, Goats, Horses, Mules and Asses)</w:t>
            </w:r>
          </w:p>
        </w:tc>
        <w:tc>
          <w:tcPr>
            <w:tcW w:w="832" w:type="dxa"/>
            <w:tcBorders>
              <w:top w:val="nil"/>
              <w:left w:val="nil"/>
              <w:bottom w:val="single" w:sz="4" w:space="0" w:color="1B556B"/>
              <w:right w:val="nil"/>
            </w:tcBorders>
            <w:shd w:val="clear" w:color="auto" w:fill="auto"/>
            <w:noWrap/>
            <w:vAlign w:val="center"/>
            <w:hideMark/>
          </w:tcPr>
          <w:p w14:paraId="20909D51" w14:textId="77777777" w:rsidR="004543E0" w:rsidRPr="009660EC" w:rsidRDefault="004543E0" w:rsidP="005450E6">
            <w:pPr>
              <w:pStyle w:val="TableText"/>
              <w:spacing w:before="30" w:after="30"/>
              <w:jc w:val="center"/>
              <w:rPr>
                <w:rFonts w:cs="Calibri"/>
                <w:szCs w:val="16"/>
              </w:rPr>
            </w:pPr>
            <w:r w:rsidRPr="009660EC">
              <w:rPr>
                <w:rFonts w:cs="Calibri"/>
                <w:szCs w:val="16"/>
              </w:rPr>
              <w:t>T1, T2</w:t>
            </w:r>
          </w:p>
        </w:tc>
        <w:tc>
          <w:tcPr>
            <w:tcW w:w="832" w:type="dxa"/>
            <w:tcBorders>
              <w:top w:val="nil"/>
              <w:left w:val="nil"/>
              <w:bottom w:val="single" w:sz="4" w:space="0" w:color="1B556B"/>
              <w:right w:val="nil"/>
            </w:tcBorders>
            <w:shd w:val="clear" w:color="auto" w:fill="auto"/>
            <w:noWrap/>
            <w:vAlign w:val="center"/>
            <w:hideMark/>
          </w:tcPr>
          <w:p w14:paraId="66EFF3E8" w14:textId="77777777" w:rsidR="004543E0" w:rsidRPr="009660EC" w:rsidRDefault="004543E0" w:rsidP="005450E6">
            <w:pPr>
              <w:pStyle w:val="TableText"/>
              <w:spacing w:before="30" w:after="30"/>
              <w:jc w:val="center"/>
              <w:rPr>
                <w:rFonts w:cs="Calibri"/>
                <w:szCs w:val="16"/>
              </w:rPr>
            </w:pPr>
            <w:r w:rsidRPr="009660EC">
              <w:rPr>
                <w:rFonts w:cs="Calibri"/>
                <w:szCs w:val="16"/>
              </w:rPr>
              <w:t>CS, D</w:t>
            </w:r>
          </w:p>
        </w:tc>
        <w:tc>
          <w:tcPr>
            <w:tcW w:w="832" w:type="dxa"/>
            <w:tcBorders>
              <w:top w:val="nil"/>
              <w:left w:val="nil"/>
              <w:bottom w:val="single" w:sz="4" w:space="0" w:color="1B556B"/>
              <w:right w:val="nil"/>
            </w:tcBorders>
            <w:shd w:val="clear" w:color="auto" w:fill="auto"/>
            <w:noWrap/>
            <w:vAlign w:val="center"/>
            <w:hideMark/>
          </w:tcPr>
          <w:p w14:paraId="1E6CF010" w14:textId="77777777" w:rsidR="004543E0" w:rsidRPr="009660EC" w:rsidRDefault="004543E0" w:rsidP="005450E6">
            <w:pPr>
              <w:pStyle w:val="TableText"/>
              <w:spacing w:before="30" w:after="30"/>
              <w:jc w:val="center"/>
              <w:rPr>
                <w:rFonts w:cs="Calibri"/>
                <w:szCs w:val="16"/>
              </w:rPr>
            </w:pPr>
            <w:r w:rsidRPr="009660EC">
              <w:rPr>
                <w:rFonts w:cs="Calibri"/>
                <w:szCs w:val="16"/>
              </w:rPr>
              <w:t>NA</w:t>
            </w:r>
          </w:p>
        </w:tc>
        <w:tc>
          <w:tcPr>
            <w:tcW w:w="832" w:type="dxa"/>
            <w:tcBorders>
              <w:top w:val="nil"/>
              <w:left w:val="nil"/>
              <w:bottom w:val="single" w:sz="4" w:space="0" w:color="1B556B"/>
              <w:right w:val="nil"/>
            </w:tcBorders>
            <w:shd w:val="clear" w:color="auto" w:fill="auto"/>
            <w:noWrap/>
            <w:vAlign w:val="center"/>
            <w:hideMark/>
          </w:tcPr>
          <w:p w14:paraId="5442550D" w14:textId="77777777" w:rsidR="004543E0" w:rsidRPr="009660EC" w:rsidRDefault="004543E0" w:rsidP="005450E6">
            <w:pPr>
              <w:pStyle w:val="TableText"/>
              <w:spacing w:before="30" w:after="30"/>
              <w:jc w:val="center"/>
              <w:rPr>
                <w:rFonts w:cs="Calibri"/>
                <w:szCs w:val="16"/>
              </w:rPr>
            </w:pPr>
            <w:r w:rsidRPr="009660EC">
              <w:rPr>
                <w:rFonts w:cs="Calibri"/>
                <w:szCs w:val="16"/>
              </w:rPr>
              <w:t>NA</w:t>
            </w:r>
          </w:p>
        </w:tc>
        <w:tc>
          <w:tcPr>
            <w:tcW w:w="832" w:type="dxa"/>
            <w:tcBorders>
              <w:top w:val="nil"/>
              <w:left w:val="nil"/>
              <w:bottom w:val="single" w:sz="4" w:space="0" w:color="1B556B"/>
              <w:right w:val="nil"/>
            </w:tcBorders>
            <w:shd w:val="clear" w:color="auto" w:fill="auto"/>
            <w:noWrap/>
            <w:vAlign w:val="center"/>
            <w:hideMark/>
          </w:tcPr>
          <w:p w14:paraId="0FC5B941"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single" w:sz="4" w:space="0" w:color="1B556B"/>
              <w:right w:val="nil"/>
            </w:tcBorders>
            <w:shd w:val="clear" w:color="auto" w:fill="auto"/>
            <w:noWrap/>
            <w:vAlign w:val="center"/>
            <w:hideMark/>
          </w:tcPr>
          <w:p w14:paraId="2F60AAD0" w14:textId="77777777" w:rsidR="004543E0" w:rsidRPr="009660EC" w:rsidRDefault="004543E0" w:rsidP="005450E6">
            <w:pPr>
              <w:pStyle w:val="TableText"/>
              <w:spacing w:before="30" w:after="30"/>
              <w:jc w:val="center"/>
              <w:rPr>
                <w:rFonts w:cs="Calibri"/>
                <w:color w:val="FFFFFF"/>
                <w:szCs w:val="16"/>
              </w:rPr>
            </w:pPr>
            <w:r w:rsidRPr="009660EC">
              <w:rPr>
                <w:rFonts w:cs="Calibri"/>
                <w:color w:val="FFFFFF"/>
                <w:szCs w:val="16"/>
              </w:rPr>
              <w:t>-</w:t>
            </w:r>
          </w:p>
        </w:tc>
      </w:tr>
      <w:tr w:rsidR="004543E0" w:rsidRPr="009660EC" w14:paraId="3D3A26A8" w14:textId="77777777" w:rsidTr="00023E9B">
        <w:tc>
          <w:tcPr>
            <w:tcW w:w="325" w:type="dxa"/>
            <w:tcBorders>
              <w:top w:val="single" w:sz="4" w:space="0" w:color="1B556B"/>
              <w:left w:val="nil"/>
              <w:bottom w:val="single" w:sz="4" w:space="0" w:color="1B556B"/>
              <w:right w:val="nil"/>
            </w:tcBorders>
            <w:shd w:val="clear" w:color="auto" w:fill="auto"/>
            <w:noWrap/>
            <w:vAlign w:val="center"/>
            <w:hideMark/>
          </w:tcPr>
          <w:p w14:paraId="64D2FF0B" w14:textId="77777777" w:rsidR="004543E0" w:rsidRPr="009660EC" w:rsidRDefault="004543E0" w:rsidP="007E3239">
            <w:pPr>
              <w:pStyle w:val="TableText"/>
              <w:spacing w:before="40" w:after="40"/>
              <w:rPr>
                <w:rFonts w:cs="Calibri"/>
                <w:b/>
                <w:bCs/>
                <w:szCs w:val="16"/>
              </w:rPr>
            </w:pPr>
            <w:r w:rsidRPr="009660EC">
              <w:rPr>
                <w:rFonts w:cs="Calibri"/>
                <w:b/>
                <w:bCs/>
                <w:szCs w:val="16"/>
              </w:rPr>
              <w:t>C</w:t>
            </w:r>
          </w:p>
        </w:tc>
        <w:tc>
          <w:tcPr>
            <w:tcW w:w="3197" w:type="dxa"/>
            <w:tcBorders>
              <w:top w:val="single" w:sz="4" w:space="0" w:color="1B556B"/>
              <w:left w:val="nil"/>
              <w:bottom w:val="single" w:sz="4" w:space="0" w:color="1B556B"/>
              <w:right w:val="nil"/>
            </w:tcBorders>
            <w:shd w:val="clear" w:color="auto" w:fill="auto"/>
            <w:vAlign w:val="center"/>
            <w:hideMark/>
          </w:tcPr>
          <w:p w14:paraId="0D8F2ED4" w14:textId="77777777" w:rsidR="004543E0" w:rsidRPr="009660EC" w:rsidRDefault="004543E0" w:rsidP="007E3239">
            <w:pPr>
              <w:pStyle w:val="TableText"/>
              <w:spacing w:before="40" w:after="40"/>
              <w:rPr>
                <w:rFonts w:cs="Calibri"/>
                <w:b/>
                <w:bCs/>
                <w:szCs w:val="16"/>
              </w:rPr>
            </w:pPr>
            <w:r w:rsidRPr="009660EC">
              <w:rPr>
                <w:rFonts w:cs="Calibri"/>
                <w:b/>
                <w:bCs/>
                <w:szCs w:val="16"/>
              </w:rPr>
              <w:t>Rice Cultivation</w:t>
            </w:r>
          </w:p>
        </w:tc>
        <w:tc>
          <w:tcPr>
            <w:tcW w:w="832" w:type="dxa"/>
            <w:tcBorders>
              <w:top w:val="single" w:sz="4" w:space="0" w:color="1B556B"/>
              <w:left w:val="nil"/>
              <w:bottom w:val="single" w:sz="4" w:space="0" w:color="1B556B"/>
              <w:right w:val="nil"/>
            </w:tcBorders>
            <w:shd w:val="clear" w:color="auto" w:fill="auto"/>
            <w:noWrap/>
            <w:vAlign w:val="center"/>
            <w:hideMark/>
          </w:tcPr>
          <w:p w14:paraId="490428B9" w14:textId="77777777" w:rsidR="004543E0" w:rsidRPr="009660EC" w:rsidRDefault="004543E0" w:rsidP="007E3239">
            <w:pPr>
              <w:pStyle w:val="TableText"/>
              <w:spacing w:before="40" w:after="40"/>
              <w:jc w:val="center"/>
              <w:rPr>
                <w:rFonts w:cs="Calibri"/>
                <w:szCs w:val="16"/>
              </w:rPr>
            </w:pPr>
            <w:r w:rsidRPr="009660EC">
              <w:rPr>
                <w:rFonts w:cs="Calibri"/>
                <w:szCs w:val="16"/>
              </w:rPr>
              <w:t>NA</w:t>
            </w:r>
          </w:p>
        </w:tc>
        <w:tc>
          <w:tcPr>
            <w:tcW w:w="832" w:type="dxa"/>
            <w:tcBorders>
              <w:top w:val="single" w:sz="4" w:space="0" w:color="1B556B"/>
              <w:left w:val="nil"/>
              <w:bottom w:val="single" w:sz="4" w:space="0" w:color="1B556B"/>
              <w:right w:val="nil"/>
            </w:tcBorders>
            <w:shd w:val="clear" w:color="auto" w:fill="auto"/>
            <w:noWrap/>
            <w:vAlign w:val="center"/>
            <w:hideMark/>
          </w:tcPr>
          <w:p w14:paraId="3F9B1367" w14:textId="77777777" w:rsidR="004543E0" w:rsidRPr="009660EC" w:rsidRDefault="004543E0" w:rsidP="007E3239">
            <w:pPr>
              <w:pStyle w:val="TableText"/>
              <w:spacing w:before="40" w:after="40"/>
              <w:jc w:val="center"/>
              <w:rPr>
                <w:rFonts w:cs="Calibri"/>
                <w:szCs w:val="16"/>
              </w:rPr>
            </w:pPr>
            <w:r w:rsidRPr="009660EC">
              <w:rPr>
                <w:rFonts w:cs="Calibri"/>
                <w:szCs w:val="16"/>
              </w:rPr>
              <w:t>NA</w:t>
            </w:r>
          </w:p>
        </w:tc>
        <w:tc>
          <w:tcPr>
            <w:tcW w:w="832" w:type="dxa"/>
            <w:tcBorders>
              <w:top w:val="single" w:sz="4" w:space="0" w:color="1B556B"/>
              <w:left w:val="nil"/>
              <w:bottom w:val="single" w:sz="4" w:space="0" w:color="1B556B"/>
              <w:right w:val="nil"/>
            </w:tcBorders>
            <w:shd w:val="clear" w:color="auto" w:fill="auto"/>
            <w:noWrap/>
            <w:vAlign w:val="center"/>
            <w:hideMark/>
          </w:tcPr>
          <w:p w14:paraId="3B443A39"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437A7473"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4BD22E27"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594167DB"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342AC23B" w14:textId="77777777" w:rsidTr="00023E9B">
        <w:tc>
          <w:tcPr>
            <w:tcW w:w="325" w:type="dxa"/>
            <w:tcBorders>
              <w:top w:val="single" w:sz="4" w:space="0" w:color="1B556B"/>
              <w:left w:val="nil"/>
              <w:bottom w:val="single" w:sz="4" w:space="0" w:color="1B556B"/>
              <w:right w:val="nil"/>
            </w:tcBorders>
            <w:shd w:val="clear" w:color="auto" w:fill="auto"/>
            <w:noWrap/>
            <w:vAlign w:val="center"/>
            <w:hideMark/>
          </w:tcPr>
          <w:p w14:paraId="7AE9DCA9" w14:textId="77777777" w:rsidR="004543E0" w:rsidRPr="009660EC" w:rsidRDefault="004543E0" w:rsidP="007E3239">
            <w:pPr>
              <w:pStyle w:val="TableText"/>
              <w:spacing w:before="40" w:after="40"/>
              <w:rPr>
                <w:rFonts w:cs="Calibri"/>
                <w:b/>
                <w:bCs/>
                <w:szCs w:val="16"/>
              </w:rPr>
            </w:pPr>
            <w:r w:rsidRPr="009660EC">
              <w:rPr>
                <w:rFonts w:cs="Calibri"/>
                <w:b/>
                <w:bCs/>
                <w:szCs w:val="16"/>
              </w:rPr>
              <w:t>D</w:t>
            </w:r>
          </w:p>
        </w:tc>
        <w:tc>
          <w:tcPr>
            <w:tcW w:w="3197" w:type="dxa"/>
            <w:tcBorders>
              <w:top w:val="single" w:sz="4" w:space="0" w:color="1B556B"/>
              <w:left w:val="nil"/>
              <w:bottom w:val="single" w:sz="4" w:space="0" w:color="1B556B"/>
              <w:right w:val="nil"/>
            </w:tcBorders>
            <w:shd w:val="clear" w:color="auto" w:fill="auto"/>
            <w:vAlign w:val="center"/>
            <w:hideMark/>
          </w:tcPr>
          <w:p w14:paraId="78C3333B" w14:textId="77777777" w:rsidR="004543E0" w:rsidRPr="009660EC" w:rsidRDefault="004543E0" w:rsidP="007E3239">
            <w:pPr>
              <w:pStyle w:val="TableText"/>
              <w:spacing w:before="40" w:after="40"/>
              <w:rPr>
                <w:rFonts w:cs="Calibri"/>
                <w:b/>
                <w:bCs/>
                <w:szCs w:val="16"/>
              </w:rPr>
            </w:pPr>
            <w:r w:rsidRPr="009660EC">
              <w:rPr>
                <w:rFonts w:cs="Calibri"/>
                <w:b/>
                <w:bCs/>
                <w:szCs w:val="16"/>
              </w:rPr>
              <w:t>Agricultural Soils</w:t>
            </w:r>
          </w:p>
        </w:tc>
        <w:tc>
          <w:tcPr>
            <w:tcW w:w="832" w:type="dxa"/>
            <w:tcBorders>
              <w:top w:val="single" w:sz="4" w:space="0" w:color="1B556B"/>
              <w:left w:val="nil"/>
              <w:bottom w:val="single" w:sz="4" w:space="0" w:color="1B556B"/>
              <w:right w:val="nil"/>
            </w:tcBorders>
            <w:shd w:val="clear" w:color="auto" w:fill="auto"/>
            <w:noWrap/>
            <w:vAlign w:val="center"/>
            <w:hideMark/>
          </w:tcPr>
          <w:p w14:paraId="739157BD"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29DFF0DC"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0F2803DD"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0D28E3E5"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74BB7AEA"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57676216"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0F4506E5" w14:textId="77777777" w:rsidTr="00023E9B">
        <w:tc>
          <w:tcPr>
            <w:tcW w:w="325" w:type="dxa"/>
            <w:vMerge w:val="restart"/>
            <w:tcBorders>
              <w:top w:val="single" w:sz="4" w:space="0" w:color="1B556B"/>
              <w:left w:val="nil"/>
              <w:right w:val="nil"/>
            </w:tcBorders>
            <w:shd w:val="clear" w:color="auto" w:fill="auto"/>
            <w:noWrap/>
            <w:vAlign w:val="center"/>
            <w:hideMark/>
          </w:tcPr>
          <w:p w14:paraId="676A1BE9" w14:textId="77777777" w:rsidR="004543E0" w:rsidRPr="009660EC" w:rsidRDefault="004543E0" w:rsidP="007E3239">
            <w:pPr>
              <w:pStyle w:val="TableText"/>
              <w:spacing w:before="40" w:after="40"/>
              <w:rPr>
                <w:rFonts w:cs="Calibri"/>
                <w:szCs w:val="16"/>
              </w:rPr>
            </w:pPr>
            <w:r w:rsidRPr="009660EC">
              <w:rPr>
                <w:rFonts w:cs="Calibri"/>
                <w:szCs w:val="16"/>
              </w:rPr>
              <w:t>1</w:t>
            </w:r>
          </w:p>
        </w:tc>
        <w:tc>
          <w:tcPr>
            <w:tcW w:w="3197" w:type="dxa"/>
            <w:tcBorders>
              <w:top w:val="single" w:sz="4" w:space="0" w:color="1B556B"/>
              <w:left w:val="nil"/>
              <w:bottom w:val="nil"/>
              <w:right w:val="nil"/>
            </w:tcBorders>
            <w:shd w:val="clear" w:color="auto" w:fill="auto"/>
            <w:vAlign w:val="center"/>
            <w:hideMark/>
          </w:tcPr>
          <w:p w14:paraId="6CBDA89C" w14:textId="77777777" w:rsidR="004543E0" w:rsidRPr="009660EC" w:rsidRDefault="004543E0" w:rsidP="006D3859">
            <w:pPr>
              <w:pStyle w:val="TableText"/>
              <w:spacing w:before="30" w:after="30"/>
              <w:rPr>
                <w:rFonts w:cs="Calibri"/>
                <w:szCs w:val="16"/>
              </w:rPr>
            </w:pPr>
            <w:r w:rsidRPr="009660EC">
              <w:rPr>
                <w:rFonts w:cs="Calibri"/>
                <w:szCs w:val="16"/>
              </w:rPr>
              <w:t xml:space="preserve">Direct Emissions </w:t>
            </w:r>
          </w:p>
        </w:tc>
        <w:tc>
          <w:tcPr>
            <w:tcW w:w="832" w:type="dxa"/>
            <w:tcBorders>
              <w:top w:val="single" w:sz="4" w:space="0" w:color="1B556B"/>
              <w:left w:val="nil"/>
              <w:bottom w:val="nil"/>
              <w:right w:val="nil"/>
            </w:tcBorders>
            <w:shd w:val="clear" w:color="auto" w:fill="auto"/>
            <w:noWrap/>
            <w:vAlign w:val="center"/>
            <w:hideMark/>
          </w:tcPr>
          <w:p w14:paraId="42FA6940"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1BA48A67"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125E5635"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481DD8FD"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3C1A426B"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5672DAE9"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52803B56" w14:textId="77777777" w:rsidTr="00023E9B">
        <w:tc>
          <w:tcPr>
            <w:tcW w:w="325" w:type="dxa"/>
            <w:vMerge/>
            <w:tcBorders>
              <w:top w:val="single" w:sz="8" w:space="0" w:color="365F91"/>
              <w:left w:val="nil"/>
              <w:right w:val="nil"/>
            </w:tcBorders>
            <w:vAlign w:val="center"/>
            <w:hideMark/>
          </w:tcPr>
          <w:p w14:paraId="66264865" w14:textId="77777777" w:rsidR="004543E0" w:rsidRPr="009660EC" w:rsidRDefault="004543E0" w:rsidP="007E3239">
            <w:pPr>
              <w:pStyle w:val="TableText"/>
              <w:spacing w:before="40" w:after="40"/>
              <w:rPr>
                <w:rFonts w:cs="Calibri"/>
                <w:szCs w:val="16"/>
              </w:rPr>
            </w:pPr>
          </w:p>
        </w:tc>
        <w:tc>
          <w:tcPr>
            <w:tcW w:w="3197" w:type="dxa"/>
            <w:tcBorders>
              <w:top w:val="nil"/>
              <w:left w:val="nil"/>
              <w:bottom w:val="nil"/>
              <w:right w:val="nil"/>
            </w:tcBorders>
            <w:shd w:val="clear" w:color="auto" w:fill="auto"/>
            <w:vAlign w:val="center"/>
            <w:hideMark/>
          </w:tcPr>
          <w:p w14:paraId="65B43649" w14:textId="77777777" w:rsidR="004543E0" w:rsidRPr="009660EC" w:rsidRDefault="004543E0" w:rsidP="006D3859">
            <w:pPr>
              <w:pStyle w:val="TableText"/>
              <w:spacing w:before="30" w:after="30"/>
              <w:rPr>
                <w:rFonts w:cs="Calibri"/>
                <w:szCs w:val="16"/>
              </w:rPr>
            </w:pPr>
            <w:r w:rsidRPr="009660EC">
              <w:rPr>
                <w:rFonts w:cs="Calibri"/>
                <w:szCs w:val="16"/>
              </w:rPr>
              <w:t>Synthetic Fertilisers</w:t>
            </w:r>
          </w:p>
        </w:tc>
        <w:tc>
          <w:tcPr>
            <w:tcW w:w="832" w:type="dxa"/>
            <w:tcBorders>
              <w:top w:val="nil"/>
              <w:left w:val="nil"/>
              <w:bottom w:val="nil"/>
              <w:right w:val="nil"/>
            </w:tcBorders>
            <w:shd w:val="clear" w:color="auto" w:fill="auto"/>
            <w:noWrap/>
            <w:vAlign w:val="center"/>
            <w:hideMark/>
          </w:tcPr>
          <w:p w14:paraId="4D93886D"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2FE5ABBE"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18FA7251" w14:textId="77777777" w:rsidR="004543E0" w:rsidRPr="009660EC" w:rsidRDefault="004B48CC" w:rsidP="006D3859">
            <w:pPr>
              <w:pStyle w:val="TableText"/>
              <w:spacing w:before="30" w:after="30"/>
              <w:jc w:val="center"/>
              <w:rPr>
                <w:rFonts w:cs="Calibri"/>
                <w:szCs w:val="16"/>
              </w:rPr>
            </w:pPr>
            <w:hyperlink r:id="rId101" w:history="1">
              <w:r w:rsidR="004543E0" w:rsidRPr="009660EC">
                <w:rPr>
                  <w:rFonts w:cs="Calibri"/>
                  <w:szCs w:val="16"/>
                </w:rPr>
                <w:t>T2</w:t>
              </w:r>
            </w:hyperlink>
          </w:p>
        </w:tc>
        <w:tc>
          <w:tcPr>
            <w:tcW w:w="832" w:type="dxa"/>
            <w:tcBorders>
              <w:top w:val="nil"/>
              <w:left w:val="nil"/>
              <w:bottom w:val="nil"/>
              <w:right w:val="nil"/>
            </w:tcBorders>
            <w:shd w:val="clear" w:color="auto" w:fill="auto"/>
            <w:noWrap/>
            <w:vAlign w:val="center"/>
            <w:hideMark/>
          </w:tcPr>
          <w:p w14:paraId="5B003C2E" w14:textId="77777777" w:rsidR="004543E0" w:rsidRPr="009660EC" w:rsidRDefault="004543E0" w:rsidP="006D3859">
            <w:pPr>
              <w:pStyle w:val="TableText"/>
              <w:spacing w:before="30" w:after="30"/>
              <w:jc w:val="center"/>
              <w:rPr>
                <w:rFonts w:cs="Calibri"/>
                <w:szCs w:val="16"/>
              </w:rPr>
            </w:pPr>
            <w:r w:rsidRPr="009660EC">
              <w:rPr>
                <w:rFonts w:cs="Calibri"/>
                <w:szCs w:val="16"/>
              </w:rPr>
              <w:t>CS</w:t>
            </w:r>
          </w:p>
        </w:tc>
        <w:tc>
          <w:tcPr>
            <w:tcW w:w="832" w:type="dxa"/>
            <w:tcBorders>
              <w:top w:val="nil"/>
              <w:left w:val="nil"/>
              <w:bottom w:val="nil"/>
              <w:right w:val="nil"/>
            </w:tcBorders>
            <w:shd w:val="clear" w:color="auto" w:fill="auto"/>
            <w:noWrap/>
            <w:vAlign w:val="center"/>
            <w:hideMark/>
          </w:tcPr>
          <w:p w14:paraId="331197BD"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44F6FE22"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720168A4" w14:textId="77777777" w:rsidTr="00023E9B">
        <w:tc>
          <w:tcPr>
            <w:tcW w:w="325" w:type="dxa"/>
            <w:vMerge/>
            <w:tcBorders>
              <w:top w:val="single" w:sz="8" w:space="0" w:color="365F91"/>
              <w:left w:val="nil"/>
              <w:right w:val="nil"/>
            </w:tcBorders>
            <w:vAlign w:val="center"/>
            <w:hideMark/>
          </w:tcPr>
          <w:p w14:paraId="1C713C0B" w14:textId="77777777" w:rsidR="004543E0" w:rsidRPr="009660EC" w:rsidRDefault="004543E0" w:rsidP="007E3239">
            <w:pPr>
              <w:pStyle w:val="TableText"/>
              <w:spacing w:before="40" w:after="40"/>
              <w:rPr>
                <w:rFonts w:cs="Calibri"/>
                <w:szCs w:val="16"/>
              </w:rPr>
            </w:pPr>
          </w:p>
        </w:tc>
        <w:tc>
          <w:tcPr>
            <w:tcW w:w="3197" w:type="dxa"/>
            <w:tcBorders>
              <w:top w:val="nil"/>
              <w:left w:val="nil"/>
              <w:bottom w:val="nil"/>
              <w:right w:val="nil"/>
            </w:tcBorders>
            <w:shd w:val="clear" w:color="auto" w:fill="auto"/>
            <w:vAlign w:val="center"/>
            <w:hideMark/>
          </w:tcPr>
          <w:p w14:paraId="3F1937C1" w14:textId="77777777" w:rsidR="004543E0" w:rsidRPr="009660EC" w:rsidRDefault="004543E0" w:rsidP="006D3859">
            <w:pPr>
              <w:pStyle w:val="TableText"/>
              <w:spacing w:before="30" w:after="30"/>
              <w:rPr>
                <w:rFonts w:cs="Calibri"/>
                <w:szCs w:val="16"/>
              </w:rPr>
            </w:pPr>
            <w:r w:rsidRPr="009660EC">
              <w:rPr>
                <w:rFonts w:cs="Calibri"/>
                <w:szCs w:val="16"/>
              </w:rPr>
              <w:t>Animal Manure Applied to Soils</w:t>
            </w:r>
          </w:p>
        </w:tc>
        <w:tc>
          <w:tcPr>
            <w:tcW w:w="832" w:type="dxa"/>
            <w:tcBorders>
              <w:top w:val="nil"/>
              <w:left w:val="nil"/>
              <w:bottom w:val="nil"/>
              <w:right w:val="nil"/>
            </w:tcBorders>
            <w:shd w:val="clear" w:color="auto" w:fill="auto"/>
            <w:noWrap/>
            <w:vAlign w:val="center"/>
            <w:hideMark/>
          </w:tcPr>
          <w:p w14:paraId="457CC513"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5EA13B33"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6A68F070" w14:textId="77777777" w:rsidR="004543E0" w:rsidRPr="009660EC" w:rsidRDefault="004543E0" w:rsidP="006D3859">
            <w:pPr>
              <w:pStyle w:val="TableText"/>
              <w:spacing w:before="30" w:after="30"/>
              <w:jc w:val="center"/>
              <w:rPr>
                <w:rFonts w:cs="Calibri"/>
                <w:szCs w:val="16"/>
              </w:rPr>
            </w:pPr>
            <w:r w:rsidRPr="009660EC">
              <w:rPr>
                <w:rFonts w:cs="Calibri"/>
                <w:szCs w:val="16"/>
              </w:rPr>
              <w:t>T1, T2</w:t>
            </w:r>
          </w:p>
        </w:tc>
        <w:tc>
          <w:tcPr>
            <w:tcW w:w="832" w:type="dxa"/>
            <w:tcBorders>
              <w:top w:val="nil"/>
              <w:left w:val="nil"/>
              <w:bottom w:val="nil"/>
              <w:right w:val="nil"/>
            </w:tcBorders>
            <w:shd w:val="clear" w:color="auto" w:fill="auto"/>
            <w:noWrap/>
            <w:vAlign w:val="center"/>
            <w:hideMark/>
          </w:tcPr>
          <w:p w14:paraId="56DCDB84" w14:textId="77777777" w:rsidR="004543E0" w:rsidRPr="009660EC" w:rsidRDefault="004543E0" w:rsidP="006D3859">
            <w:pPr>
              <w:pStyle w:val="TableText"/>
              <w:spacing w:before="30" w:after="30"/>
              <w:jc w:val="center"/>
              <w:rPr>
                <w:rFonts w:cs="Calibri"/>
                <w:szCs w:val="16"/>
              </w:rPr>
            </w:pPr>
            <w:r w:rsidRPr="009660EC">
              <w:rPr>
                <w:rFonts w:cs="Calibri"/>
                <w:szCs w:val="16"/>
              </w:rPr>
              <w:t>CS</w:t>
            </w:r>
          </w:p>
        </w:tc>
        <w:tc>
          <w:tcPr>
            <w:tcW w:w="832" w:type="dxa"/>
            <w:tcBorders>
              <w:top w:val="nil"/>
              <w:left w:val="nil"/>
              <w:bottom w:val="nil"/>
              <w:right w:val="nil"/>
            </w:tcBorders>
            <w:shd w:val="clear" w:color="auto" w:fill="auto"/>
            <w:noWrap/>
            <w:vAlign w:val="center"/>
            <w:hideMark/>
          </w:tcPr>
          <w:p w14:paraId="71DE4731"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775E26BF"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5C615AC0" w14:textId="77777777" w:rsidTr="00023E9B">
        <w:tc>
          <w:tcPr>
            <w:tcW w:w="325" w:type="dxa"/>
            <w:vMerge/>
            <w:tcBorders>
              <w:top w:val="single" w:sz="8" w:space="0" w:color="365F91"/>
              <w:left w:val="nil"/>
              <w:right w:val="nil"/>
            </w:tcBorders>
            <w:vAlign w:val="center"/>
            <w:hideMark/>
          </w:tcPr>
          <w:p w14:paraId="3B185423" w14:textId="77777777" w:rsidR="004543E0" w:rsidRPr="009660EC" w:rsidRDefault="004543E0" w:rsidP="007E3239">
            <w:pPr>
              <w:pStyle w:val="TableText"/>
              <w:spacing w:before="50" w:after="50"/>
              <w:rPr>
                <w:rFonts w:cs="Calibri"/>
                <w:szCs w:val="16"/>
              </w:rPr>
            </w:pPr>
          </w:p>
        </w:tc>
        <w:tc>
          <w:tcPr>
            <w:tcW w:w="3197" w:type="dxa"/>
            <w:tcBorders>
              <w:top w:val="nil"/>
              <w:left w:val="nil"/>
              <w:bottom w:val="nil"/>
              <w:right w:val="nil"/>
            </w:tcBorders>
            <w:shd w:val="clear" w:color="auto" w:fill="auto"/>
            <w:vAlign w:val="center"/>
            <w:hideMark/>
          </w:tcPr>
          <w:p w14:paraId="2F60A698" w14:textId="77777777" w:rsidR="004543E0" w:rsidRPr="009660EC" w:rsidRDefault="004543E0" w:rsidP="006D3859">
            <w:pPr>
              <w:pStyle w:val="TableText"/>
              <w:spacing w:before="30" w:after="30"/>
              <w:rPr>
                <w:rFonts w:cs="Calibri"/>
                <w:szCs w:val="16"/>
              </w:rPr>
            </w:pPr>
            <w:r w:rsidRPr="009660EC">
              <w:rPr>
                <w:rFonts w:cs="Calibri"/>
                <w:szCs w:val="16"/>
              </w:rPr>
              <w:t>Sewage Sludge Applied to Soils</w:t>
            </w:r>
          </w:p>
        </w:tc>
        <w:tc>
          <w:tcPr>
            <w:tcW w:w="832" w:type="dxa"/>
            <w:tcBorders>
              <w:top w:val="nil"/>
              <w:left w:val="nil"/>
              <w:bottom w:val="nil"/>
              <w:right w:val="nil"/>
            </w:tcBorders>
            <w:shd w:val="clear" w:color="auto" w:fill="auto"/>
            <w:noWrap/>
            <w:vAlign w:val="center"/>
            <w:hideMark/>
          </w:tcPr>
          <w:p w14:paraId="29E3F3EE"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2911BBB7"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285B358C" w14:textId="77777777" w:rsidR="004543E0" w:rsidRPr="009660EC" w:rsidRDefault="004543E0" w:rsidP="006D3859">
            <w:pPr>
              <w:pStyle w:val="TableText"/>
              <w:spacing w:before="30" w:after="30"/>
              <w:jc w:val="center"/>
              <w:rPr>
                <w:rFonts w:cs="Calibri"/>
                <w:szCs w:val="16"/>
              </w:rPr>
            </w:pPr>
            <w:r w:rsidRPr="009660EC">
              <w:rPr>
                <w:rFonts w:cs="Calibri"/>
                <w:szCs w:val="16"/>
              </w:rPr>
              <w:t>NA</w:t>
            </w:r>
          </w:p>
        </w:tc>
        <w:tc>
          <w:tcPr>
            <w:tcW w:w="832" w:type="dxa"/>
            <w:tcBorders>
              <w:top w:val="nil"/>
              <w:left w:val="nil"/>
              <w:bottom w:val="nil"/>
              <w:right w:val="nil"/>
            </w:tcBorders>
            <w:shd w:val="clear" w:color="auto" w:fill="auto"/>
            <w:noWrap/>
            <w:vAlign w:val="center"/>
            <w:hideMark/>
          </w:tcPr>
          <w:p w14:paraId="4E21FC13" w14:textId="77777777" w:rsidR="004543E0" w:rsidRPr="009660EC" w:rsidRDefault="004543E0" w:rsidP="006D3859">
            <w:pPr>
              <w:pStyle w:val="TableText"/>
              <w:spacing w:before="30" w:after="30"/>
              <w:jc w:val="center"/>
              <w:rPr>
                <w:rFonts w:cs="Calibri"/>
                <w:szCs w:val="16"/>
              </w:rPr>
            </w:pPr>
            <w:r w:rsidRPr="009660EC">
              <w:rPr>
                <w:rFonts w:cs="Calibri"/>
                <w:szCs w:val="16"/>
              </w:rPr>
              <w:t>NA</w:t>
            </w:r>
          </w:p>
        </w:tc>
        <w:tc>
          <w:tcPr>
            <w:tcW w:w="832" w:type="dxa"/>
            <w:tcBorders>
              <w:top w:val="nil"/>
              <w:left w:val="nil"/>
              <w:bottom w:val="nil"/>
              <w:right w:val="nil"/>
            </w:tcBorders>
            <w:shd w:val="clear" w:color="auto" w:fill="auto"/>
            <w:noWrap/>
            <w:vAlign w:val="center"/>
            <w:hideMark/>
          </w:tcPr>
          <w:p w14:paraId="08D031EF"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361846D0"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6C3A9013" w14:textId="77777777" w:rsidTr="00023E9B">
        <w:tc>
          <w:tcPr>
            <w:tcW w:w="325" w:type="dxa"/>
            <w:vMerge/>
            <w:tcBorders>
              <w:top w:val="single" w:sz="8" w:space="0" w:color="365F91"/>
              <w:left w:val="nil"/>
              <w:right w:val="nil"/>
            </w:tcBorders>
            <w:vAlign w:val="center"/>
            <w:hideMark/>
          </w:tcPr>
          <w:p w14:paraId="1DE352A4" w14:textId="77777777" w:rsidR="004543E0" w:rsidRPr="009660EC" w:rsidRDefault="004543E0" w:rsidP="007E3239">
            <w:pPr>
              <w:pStyle w:val="TableText"/>
              <w:spacing w:before="50" w:after="50"/>
              <w:rPr>
                <w:rFonts w:cs="Calibri"/>
                <w:szCs w:val="16"/>
              </w:rPr>
            </w:pPr>
          </w:p>
        </w:tc>
        <w:tc>
          <w:tcPr>
            <w:tcW w:w="3197" w:type="dxa"/>
            <w:tcBorders>
              <w:top w:val="nil"/>
              <w:left w:val="nil"/>
              <w:bottom w:val="nil"/>
              <w:right w:val="nil"/>
            </w:tcBorders>
            <w:shd w:val="clear" w:color="auto" w:fill="auto"/>
            <w:vAlign w:val="center"/>
            <w:hideMark/>
          </w:tcPr>
          <w:p w14:paraId="34E61DB8" w14:textId="77777777" w:rsidR="004543E0" w:rsidRPr="009660EC" w:rsidRDefault="004543E0" w:rsidP="006D3859">
            <w:pPr>
              <w:pStyle w:val="TableText"/>
              <w:spacing w:before="30" w:after="30"/>
              <w:rPr>
                <w:rFonts w:cs="Calibri"/>
                <w:szCs w:val="16"/>
              </w:rPr>
            </w:pPr>
            <w:r w:rsidRPr="009660EC">
              <w:rPr>
                <w:rFonts w:cs="Calibri"/>
                <w:szCs w:val="16"/>
              </w:rPr>
              <w:t>Other Organic Fertilisers Applied to Soils</w:t>
            </w:r>
          </w:p>
        </w:tc>
        <w:tc>
          <w:tcPr>
            <w:tcW w:w="832" w:type="dxa"/>
            <w:tcBorders>
              <w:top w:val="nil"/>
              <w:left w:val="nil"/>
              <w:bottom w:val="nil"/>
              <w:right w:val="nil"/>
            </w:tcBorders>
            <w:shd w:val="clear" w:color="auto" w:fill="auto"/>
            <w:noWrap/>
            <w:vAlign w:val="center"/>
            <w:hideMark/>
          </w:tcPr>
          <w:p w14:paraId="7B0EE1E6"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04FD2E64"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7FE9734A" w14:textId="77777777" w:rsidR="004543E0" w:rsidRPr="009660EC" w:rsidRDefault="004543E0" w:rsidP="006D3859">
            <w:pPr>
              <w:pStyle w:val="TableText"/>
              <w:spacing w:before="30" w:after="30"/>
              <w:jc w:val="center"/>
              <w:rPr>
                <w:rFonts w:cs="Calibri"/>
                <w:szCs w:val="16"/>
              </w:rPr>
            </w:pPr>
            <w:r w:rsidRPr="009660EC">
              <w:rPr>
                <w:rFonts w:cs="Calibri"/>
                <w:szCs w:val="16"/>
              </w:rPr>
              <w:t>NA</w:t>
            </w:r>
          </w:p>
        </w:tc>
        <w:tc>
          <w:tcPr>
            <w:tcW w:w="832" w:type="dxa"/>
            <w:tcBorders>
              <w:top w:val="nil"/>
              <w:left w:val="nil"/>
              <w:bottom w:val="nil"/>
              <w:right w:val="nil"/>
            </w:tcBorders>
            <w:shd w:val="clear" w:color="auto" w:fill="auto"/>
            <w:noWrap/>
            <w:vAlign w:val="center"/>
            <w:hideMark/>
          </w:tcPr>
          <w:p w14:paraId="39F8CA3B" w14:textId="77777777" w:rsidR="004543E0" w:rsidRPr="009660EC" w:rsidRDefault="004543E0" w:rsidP="006D3859">
            <w:pPr>
              <w:pStyle w:val="TableText"/>
              <w:spacing w:before="30" w:after="30"/>
              <w:jc w:val="center"/>
              <w:rPr>
                <w:rFonts w:cs="Calibri"/>
                <w:szCs w:val="16"/>
              </w:rPr>
            </w:pPr>
            <w:r w:rsidRPr="009660EC">
              <w:rPr>
                <w:rFonts w:cs="Calibri"/>
                <w:szCs w:val="16"/>
              </w:rPr>
              <w:t>NA</w:t>
            </w:r>
          </w:p>
        </w:tc>
        <w:tc>
          <w:tcPr>
            <w:tcW w:w="832" w:type="dxa"/>
            <w:tcBorders>
              <w:top w:val="nil"/>
              <w:left w:val="nil"/>
              <w:bottom w:val="nil"/>
              <w:right w:val="nil"/>
            </w:tcBorders>
            <w:shd w:val="clear" w:color="auto" w:fill="auto"/>
            <w:noWrap/>
            <w:vAlign w:val="center"/>
            <w:hideMark/>
          </w:tcPr>
          <w:p w14:paraId="18730617"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0FBD4CDE"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647B0C71" w14:textId="77777777" w:rsidTr="00023E9B">
        <w:tc>
          <w:tcPr>
            <w:tcW w:w="325" w:type="dxa"/>
            <w:vMerge/>
            <w:tcBorders>
              <w:top w:val="single" w:sz="8" w:space="0" w:color="365F91"/>
              <w:left w:val="nil"/>
              <w:right w:val="nil"/>
            </w:tcBorders>
            <w:vAlign w:val="center"/>
            <w:hideMark/>
          </w:tcPr>
          <w:p w14:paraId="1DB62848" w14:textId="77777777" w:rsidR="004543E0" w:rsidRPr="009660EC" w:rsidRDefault="004543E0" w:rsidP="007E3239">
            <w:pPr>
              <w:pStyle w:val="TableText"/>
              <w:spacing w:before="50" w:after="50"/>
              <w:rPr>
                <w:rFonts w:cs="Calibri"/>
                <w:szCs w:val="16"/>
              </w:rPr>
            </w:pPr>
          </w:p>
        </w:tc>
        <w:tc>
          <w:tcPr>
            <w:tcW w:w="3197" w:type="dxa"/>
            <w:tcBorders>
              <w:top w:val="nil"/>
              <w:left w:val="nil"/>
              <w:bottom w:val="nil"/>
              <w:right w:val="nil"/>
            </w:tcBorders>
            <w:shd w:val="clear" w:color="auto" w:fill="auto"/>
            <w:vAlign w:val="center"/>
            <w:hideMark/>
          </w:tcPr>
          <w:p w14:paraId="703423E7" w14:textId="77777777" w:rsidR="004543E0" w:rsidRPr="009660EC" w:rsidRDefault="004543E0" w:rsidP="006D3859">
            <w:pPr>
              <w:pStyle w:val="TableText"/>
              <w:spacing w:before="30" w:after="30"/>
              <w:rPr>
                <w:rFonts w:cs="Calibri"/>
                <w:szCs w:val="16"/>
              </w:rPr>
            </w:pPr>
            <w:r w:rsidRPr="009660EC">
              <w:rPr>
                <w:rFonts w:cs="Calibri"/>
                <w:szCs w:val="16"/>
              </w:rPr>
              <w:t>Urine and Dung Deposited by Grazing Animals</w:t>
            </w:r>
          </w:p>
        </w:tc>
        <w:tc>
          <w:tcPr>
            <w:tcW w:w="832" w:type="dxa"/>
            <w:tcBorders>
              <w:top w:val="nil"/>
              <w:left w:val="nil"/>
              <w:bottom w:val="nil"/>
              <w:right w:val="nil"/>
            </w:tcBorders>
            <w:shd w:val="clear" w:color="auto" w:fill="auto"/>
            <w:noWrap/>
            <w:vAlign w:val="center"/>
            <w:hideMark/>
          </w:tcPr>
          <w:p w14:paraId="1B523547"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3BD2AF0C"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1C92396D" w14:textId="77777777" w:rsidR="004543E0" w:rsidRPr="009660EC" w:rsidRDefault="004543E0" w:rsidP="006D3859">
            <w:pPr>
              <w:pStyle w:val="TableText"/>
              <w:spacing w:before="30" w:after="30"/>
              <w:jc w:val="center"/>
              <w:rPr>
                <w:rFonts w:cs="Calibri"/>
                <w:szCs w:val="16"/>
              </w:rPr>
            </w:pPr>
            <w:r w:rsidRPr="009660EC">
              <w:rPr>
                <w:rFonts w:cs="Calibri"/>
                <w:szCs w:val="16"/>
              </w:rPr>
              <w:t>T1, T2</w:t>
            </w:r>
          </w:p>
        </w:tc>
        <w:tc>
          <w:tcPr>
            <w:tcW w:w="832" w:type="dxa"/>
            <w:tcBorders>
              <w:top w:val="nil"/>
              <w:left w:val="nil"/>
              <w:bottom w:val="nil"/>
              <w:right w:val="nil"/>
            </w:tcBorders>
            <w:shd w:val="clear" w:color="auto" w:fill="auto"/>
            <w:noWrap/>
            <w:vAlign w:val="center"/>
            <w:hideMark/>
          </w:tcPr>
          <w:p w14:paraId="30B1CAD0" w14:textId="77777777" w:rsidR="004543E0" w:rsidRPr="009660EC" w:rsidRDefault="004543E0" w:rsidP="006D3859">
            <w:pPr>
              <w:pStyle w:val="TableText"/>
              <w:spacing w:before="30" w:after="30"/>
              <w:jc w:val="center"/>
              <w:rPr>
                <w:rFonts w:cs="Calibri"/>
                <w:szCs w:val="16"/>
              </w:rPr>
            </w:pPr>
            <w:r w:rsidRPr="009660EC">
              <w:rPr>
                <w:rFonts w:cs="Calibri"/>
                <w:szCs w:val="16"/>
              </w:rPr>
              <w:t>CS</w:t>
            </w:r>
          </w:p>
        </w:tc>
        <w:tc>
          <w:tcPr>
            <w:tcW w:w="832" w:type="dxa"/>
            <w:tcBorders>
              <w:top w:val="nil"/>
              <w:left w:val="nil"/>
              <w:bottom w:val="nil"/>
              <w:right w:val="nil"/>
            </w:tcBorders>
            <w:shd w:val="clear" w:color="auto" w:fill="auto"/>
            <w:noWrap/>
            <w:vAlign w:val="center"/>
            <w:hideMark/>
          </w:tcPr>
          <w:p w14:paraId="2FBE5A97"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34A62235"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161597BA" w14:textId="77777777" w:rsidTr="00023E9B">
        <w:tc>
          <w:tcPr>
            <w:tcW w:w="325" w:type="dxa"/>
            <w:vMerge/>
            <w:tcBorders>
              <w:top w:val="single" w:sz="8" w:space="0" w:color="365F91"/>
              <w:left w:val="nil"/>
              <w:right w:val="nil"/>
            </w:tcBorders>
            <w:vAlign w:val="center"/>
            <w:hideMark/>
          </w:tcPr>
          <w:p w14:paraId="5F9925F0" w14:textId="77777777" w:rsidR="004543E0" w:rsidRPr="009660EC" w:rsidRDefault="004543E0" w:rsidP="007E3239">
            <w:pPr>
              <w:pStyle w:val="TableText"/>
              <w:spacing w:before="50" w:after="50"/>
              <w:rPr>
                <w:rFonts w:cs="Calibri"/>
                <w:szCs w:val="16"/>
              </w:rPr>
            </w:pPr>
          </w:p>
        </w:tc>
        <w:tc>
          <w:tcPr>
            <w:tcW w:w="3197" w:type="dxa"/>
            <w:tcBorders>
              <w:top w:val="nil"/>
              <w:left w:val="nil"/>
              <w:bottom w:val="nil"/>
              <w:right w:val="nil"/>
            </w:tcBorders>
            <w:shd w:val="clear" w:color="auto" w:fill="auto"/>
            <w:vAlign w:val="center"/>
            <w:hideMark/>
          </w:tcPr>
          <w:p w14:paraId="11514EB1" w14:textId="77777777" w:rsidR="004543E0" w:rsidRPr="009660EC" w:rsidRDefault="004543E0" w:rsidP="006D3859">
            <w:pPr>
              <w:pStyle w:val="TableText"/>
              <w:spacing w:before="30" w:after="30"/>
              <w:rPr>
                <w:rFonts w:cs="Calibri"/>
                <w:szCs w:val="16"/>
              </w:rPr>
            </w:pPr>
            <w:r w:rsidRPr="009660EC">
              <w:rPr>
                <w:rFonts w:cs="Calibri"/>
                <w:szCs w:val="16"/>
              </w:rPr>
              <w:t>Crop Residues</w:t>
            </w:r>
          </w:p>
        </w:tc>
        <w:tc>
          <w:tcPr>
            <w:tcW w:w="832" w:type="dxa"/>
            <w:tcBorders>
              <w:top w:val="nil"/>
              <w:left w:val="nil"/>
              <w:bottom w:val="nil"/>
              <w:right w:val="nil"/>
            </w:tcBorders>
            <w:shd w:val="clear" w:color="auto" w:fill="auto"/>
            <w:noWrap/>
            <w:vAlign w:val="center"/>
            <w:hideMark/>
          </w:tcPr>
          <w:p w14:paraId="7744A25B"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1F1576E5"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157EF028" w14:textId="77777777" w:rsidR="004543E0" w:rsidRPr="009660EC" w:rsidRDefault="004543E0" w:rsidP="006D3859">
            <w:pPr>
              <w:pStyle w:val="TableText"/>
              <w:spacing w:before="30" w:after="30"/>
              <w:jc w:val="center"/>
              <w:rPr>
                <w:rFonts w:cs="Calibri"/>
                <w:szCs w:val="16"/>
              </w:rPr>
            </w:pPr>
            <w:r w:rsidRPr="009660EC">
              <w:rPr>
                <w:rFonts w:cs="Calibri"/>
                <w:szCs w:val="16"/>
              </w:rPr>
              <w:t>T2</w:t>
            </w:r>
          </w:p>
        </w:tc>
        <w:tc>
          <w:tcPr>
            <w:tcW w:w="832" w:type="dxa"/>
            <w:tcBorders>
              <w:top w:val="nil"/>
              <w:left w:val="nil"/>
              <w:bottom w:val="nil"/>
              <w:right w:val="nil"/>
            </w:tcBorders>
            <w:shd w:val="clear" w:color="auto" w:fill="auto"/>
            <w:noWrap/>
            <w:vAlign w:val="center"/>
            <w:hideMark/>
          </w:tcPr>
          <w:p w14:paraId="41CFF484" w14:textId="77777777" w:rsidR="004543E0" w:rsidRPr="009660EC" w:rsidRDefault="004543E0" w:rsidP="006D3859">
            <w:pPr>
              <w:pStyle w:val="TableText"/>
              <w:spacing w:before="30" w:after="30"/>
              <w:jc w:val="center"/>
              <w:rPr>
                <w:rFonts w:cs="Calibri"/>
                <w:szCs w:val="16"/>
              </w:rPr>
            </w:pPr>
            <w:r w:rsidRPr="009660EC">
              <w:rPr>
                <w:rFonts w:cs="Calibri"/>
                <w:szCs w:val="16"/>
              </w:rPr>
              <w:t>CS</w:t>
            </w:r>
          </w:p>
        </w:tc>
        <w:tc>
          <w:tcPr>
            <w:tcW w:w="832" w:type="dxa"/>
            <w:tcBorders>
              <w:top w:val="nil"/>
              <w:left w:val="nil"/>
              <w:bottom w:val="nil"/>
              <w:right w:val="nil"/>
            </w:tcBorders>
            <w:shd w:val="clear" w:color="auto" w:fill="auto"/>
            <w:noWrap/>
            <w:vAlign w:val="center"/>
            <w:hideMark/>
          </w:tcPr>
          <w:p w14:paraId="61E43874"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0B56A571"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29614BB8" w14:textId="77777777" w:rsidTr="00023E9B">
        <w:tc>
          <w:tcPr>
            <w:tcW w:w="325" w:type="dxa"/>
            <w:vMerge/>
            <w:tcBorders>
              <w:top w:val="single" w:sz="8" w:space="0" w:color="365F91"/>
              <w:left w:val="nil"/>
              <w:right w:val="nil"/>
            </w:tcBorders>
            <w:vAlign w:val="center"/>
            <w:hideMark/>
          </w:tcPr>
          <w:p w14:paraId="556A6C79" w14:textId="77777777" w:rsidR="004543E0" w:rsidRPr="009660EC" w:rsidRDefault="004543E0" w:rsidP="007E3239">
            <w:pPr>
              <w:pStyle w:val="TableText"/>
              <w:spacing w:before="50" w:after="50"/>
              <w:rPr>
                <w:rFonts w:cs="Calibri"/>
                <w:szCs w:val="16"/>
              </w:rPr>
            </w:pPr>
          </w:p>
        </w:tc>
        <w:tc>
          <w:tcPr>
            <w:tcW w:w="3197" w:type="dxa"/>
            <w:tcBorders>
              <w:top w:val="nil"/>
              <w:left w:val="nil"/>
              <w:bottom w:val="nil"/>
              <w:right w:val="nil"/>
            </w:tcBorders>
            <w:shd w:val="clear" w:color="auto" w:fill="auto"/>
            <w:vAlign w:val="center"/>
            <w:hideMark/>
          </w:tcPr>
          <w:p w14:paraId="6ED036BF" w14:textId="77777777" w:rsidR="004543E0" w:rsidRPr="009660EC" w:rsidRDefault="004543E0" w:rsidP="006D3859">
            <w:pPr>
              <w:pStyle w:val="TableText"/>
              <w:spacing w:before="30" w:after="30"/>
              <w:rPr>
                <w:rFonts w:cs="Calibri"/>
                <w:szCs w:val="16"/>
              </w:rPr>
            </w:pPr>
            <w:r w:rsidRPr="009660EC">
              <w:rPr>
                <w:rFonts w:cs="Calibri"/>
                <w:szCs w:val="16"/>
              </w:rPr>
              <w:t>Mineralisation associated with Loss of Soil Organic Matter</w:t>
            </w:r>
          </w:p>
        </w:tc>
        <w:tc>
          <w:tcPr>
            <w:tcW w:w="832" w:type="dxa"/>
            <w:tcBorders>
              <w:top w:val="nil"/>
              <w:left w:val="nil"/>
              <w:bottom w:val="nil"/>
              <w:right w:val="nil"/>
            </w:tcBorders>
            <w:shd w:val="clear" w:color="auto" w:fill="auto"/>
            <w:noWrap/>
            <w:vAlign w:val="center"/>
            <w:hideMark/>
          </w:tcPr>
          <w:p w14:paraId="44D12098"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25DC2D94" w14:textId="77777777" w:rsidR="004543E0" w:rsidRPr="009660EC" w:rsidRDefault="004543E0" w:rsidP="006D3859">
            <w:pPr>
              <w:pStyle w:val="TableText"/>
              <w:spacing w:before="30" w:after="3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0ACD4FC0" w14:textId="77777777" w:rsidR="004543E0" w:rsidRPr="009660EC" w:rsidRDefault="004543E0" w:rsidP="006D3859">
            <w:pPr>
              <w:pStyle w:val="TableText"/>
              <w:spacing w:before="30" w:after="30"/>
              <w:jc w:val="center"/>
              <w:rPr>
                <w:rFonts w:cs="Calibri"/>
                <w:szCs w:val="16"/>
              </w:rPr>
            </w:pPr>
            <w:r w:rsidRPr="009660EC">
              <w:rPr>
                <w:rFonts w:cs="Calibri"/>
                <w:szCs w:val="16"/>
              </w:rPr>
              <w:t>T1</w:t>
            </w:r>
          </w:p>
        </w:tc>
        <w:tc>
          <w:tcPr>
            <w:tcW w:w="832" w:type="dxa"/>
            <w:tcBorders>
              <w:top w:val="nil"/>
              <w:left w:val="nil"/>
              <w:bottom w:val="nil"/>
              <w:right w:val="nil"/>
            </w:tcBorders>
            <w:shd w:val="clear" w:color="auto" w:fill="auto"/>
            <w:noWrap/>
            <w:vAlign w:val="center"/>
            <w:hideMark/>
          </w:tcPr>
          <w:p w14:paraId="01792915" w14:textId="77777777" w:rsidR="004543E0" w:rsidRPr="009660EC" w:rsidRDefault="004543E0" w:rsidP="006D3859">
            <w:pPr>
              <w:pStyle w:val="TableText"/>
              <w:spacing w:before="30" w:after="30"/>
              <w:jc w:val="center"/>
              <w:rPr>
                <w:rFonts w:cs="Calibri"/>
                <w:szCs w:val="16"/>
              </w:rPr>
            </w:pPr>
            <w:r w:rsidRPr="009660EC">
              <w:rPr>
                <w:rFonts w:cs="Calibri"/>
                <w:szCs w:val="16"/>
              </w:rPr>
              <w:t>D</w:t>
            </w:r>
          </w:p>
        </w:tc>
        <w:tc>
          <w:tcPr>
            <w:tcW w:w="832" w:type="dxa"/>
            <w:tcBorders>
              <w:top w:val="nil"/>
              <w:left w:val="nil"/>
              <w:bottom w:val="nil"/>
              <w:right w:val="nil"/>
            </w:tcBorders>
            <w:shd w:val="clear" w:color="auto" w:fill="auto"/>
            <w:noWrap/>
            <w:vAlign w:val="center"/>
            <w:hideMark/>
          </w:tcPr>
          <w:p w14:paraId="2029C42D"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7D57B901"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421826D4" w14:textId="77777777" w:rsidTr="00023E9B">
        <w:tc>
          <w:tcPr>
            <w:tcW w:w="325" w:type="dxa"/>
            <w:vMerge/>
            <w:tcBorders>
              <w:top w:val="single" w:sz="8" w:space="0" w:color="365F91"/>
              <w:left w:val="nil"/>
              <w:bottom w:val="single" w:sz="4" w:space="0" w:color="1B556B"/>
              <w:right w:val="nil"/>
            </w:tcBorders>
            <w:vAlign w:val="center"/>
            <w:hideMark/>
          </w:tcPr>
          <w:p w14:paraId="14A2A6BE" w14:textId="77777777" w:rsidR="004543E0" w:rsidRPr="009660EC" w:rsidRDefault="004543E0" w:rsidP="007E3239">
            <w:pPr>
              <w:pStyle w:val="TableText"/>
              <w:spacing w:before="50" w:after="50"/>
              <w:rPr>
                <w:rFonts w:cs="Calibri"/>
                <w:szCs w:val="16"/>
              </w:rPr>
            </w:pPr>
          </w:p>
        </w:tc>
        <w:tc>
          <w:tcPr>
            <w:tcW w:w="3197" w:type="dxa"/>
            <w:tcBorders>
              <w:top w:val="nil"/>
              <w:left w:val="nil"/>
              <w:bottom w:val="single" w:sz="4" w:space="0" w:color="1B556B"/>
              <w:right w:val="nil"/>
            </w:tcBorders>
            <w:shd w:val="clear" w:color="auto" w:fill="auto"/>
            <w:vAlign w:val="center"/>
            <w:hideMark/>
          </w:tcPr>
          <w:p w14:paraId="3EE372C8" w14:textId="77777777" w:rsidR="004543E0" w:rsidRPr="009660EC" w:rsidRDefault="004543E0" w:rsidP="007E3239">
            <w:pPr>
              <w:pStyle w:val="TableText"/>
              <w:spacing w:before="40" w:after="40"/>
              <w:rPr>
                <w:rFonts w:cs="Calibri"/>
                <w:szCs w:val="16"/>
              </w:rPr>
            </w:pPr>
            <w:r w:rsidRPr="009660EC">
              <w:rPr>
                <w:rFonts w:cs="Calibri"/>
                <w:szCs w:val="16"/>
              </w:rPr>
              <w:t>Cultivation of Organic Soils</w:t>
            </w:r>
          </w:p>
        </w:tc>
        <w:tc>
          <w:tcPr>
            <w:tcW w:w="832" w:type="dxa"/>
            <w:tcBorders>
              <w:top w:val="nil"/>
              <w:left w:val="nil"/>
              <w:bottom w:val="single" w:sz="4" w:space="0" w:color="1B556B"/>
              <w:right w:val="nil"/>
            </w:tcBorders>
            <w:shd w:val="clear" w:color="auto" w:fill="auto"/>
            <w:noWrap/>
            <w:vAlign w:val="center"/>
            <w:hideMark/>
          </w:tcPr>
          <w:p w14:paraId="36B73F7E"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single" w:sz="4" w:space="0" w:color="1B556B"/>
              <w:right w:val="nil"/>
            </w:tcBorders>
            <w:shd w:val="clear" w:color="auto" w:fill="auto"/>
            <w:noWrap/>
            <w:vAlign w:val="center"/>
            <w:hideMark/>
          </w:tcPr>
          <w:p w14:paraId="2F0BA0A3"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single" w:sz="4" w:space="0" w:color="1B556B"/>
              <w:right w:val="nil"/>
            </w:tcBorders>
            <w:shd w:val="clear" w:color="auto" w:fill="auto"/>
            <w:noWrap/>
            <w:vAlign w:val="center"/>
            <w:hideMark/>
          </w:tcPr>
          <w:p w14:paraId="6C1E5B36" w14:textId="77777777" w:rsidR="004543E0" w:rsidRPr="009660EC" w:rsidRDefault="004543E0" w:rsidP="007E3239">
            <w:pPr>
              <w:pStyle w:val="TableText"/>
              <w:spacing w:before="40" w:after="40"/>
              <w:jc w:val="center"/>
              <w:rPr>
                <w:rFonts w:cs="Calibri"/>
                <w:szCs w:val="16"/>
              </w:rPr>
            </w:pPr>
            <w:r w:rsidRPr="009660EC">
              <w:rPr>
                <w:rFonts w:cs="Calibri"/>
                <w:szCs w:val="16"/>
              </w:rPr>
              <w:t>T1</w:t>
            </w:r>
          </w:p>
        </w:tc>
        <w:tc>
          <w:tcPr>
            <w:tcW w:w="832" w:type="dxa"/>
            <w:tcBorders>
              <w:top w:val="nil"/>
              <w:left w:val="nil"/>
              <w:bottom w:val="single" w:sz="4" w:space="0" w:color="1B556B"/>
              <w:right w:val="nil"/>
            </w:tcBorders>
            <w:shd w:val="clear" w:color="auto" w:fill="auto"/>
            <w:noWrap/>
            <w:vAlign w:val="center"/>
            <w:hideMark/>
          </w:tcPr>
          <w:p w14:paraId="639E2A30" w14:textId="77777777" w:rsidR="004543E0" w:rsidRPr="009660EC" w:rsidRDefault="004543E0" w:rsidP="007E3239">
            <w:pPr>
              <w:pStyle w:val="TableText"/>
              <w:spacing w:before="40" w:after="40"/>
              <w:jc w:val="center"/>
              <w:rPr>
                <w:rFonts w:cs="Calibri"/>
                <w:szCs w:val="16"/>
              </w:rPr>
            </w:pPr>
            <w:r w:rsidRPr="009660EC">
              <w:rPr>
                <w:rFonts w:cs="Calibri"/>
                <w:szCs w:val="16"/>
              </w:rPr>
              <w:t>D</w:t>
            </w:r>
          </w:p>
        </w:tc>
        <w:tc>
          <w:tcPr>
            <w:tcW w:w="832" w:type="dxa"/>
            <w:tcBorders>
              <w:top w:val="nil"/>
              <w:left w:val="nil"/>
              <w:bottom w:val="single" w:sz="4" w:space="0" w:color="1B556B"/>
              <w:right w:val="nil"/>
            </w:tcBorders>
            <w:shd w:val="clear" w:color="auto" w:fill="auto"/>
            <w:noWrap/>
            <w:vAlign w:val="center"/>
            <w:hideMark/>
          </w:tcPr>
          <w:p w14:paraId="45C57224"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single" w:sz="4" w:space="0" w:color="1B556B"/>
              <w:right w:val="nil"/>
            </w:tcBorders>
            <w:shd w:val="clear" w:color="auto" w:fill="auto"/>
            <w:noWrap/>
            <w:vAlign w:val="center"/>
            <w:hideMark/>
          </w:tcPr>
          <w:p w14:paraId="42B8AED6"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64181BB5" w14:textId="77777777" w:rsidTr="00023E9B">
        <w:tc>
          <w:tcPr>
            <w:tcW w:w="325" w:type="dxa"/>
            <w:vMerge w:val="restart"/>
            <w:tcBorders>
              <w:top w:val="single" w:sz="4" w:space="0" w:color="1B556B"/>
              <w:left w:val="nil"/>
              <w:bottom w:val="single" w:sz="4" w:space="0" w:color="365F91"/>
              <w:right w:val="nil"/>
            </w:tcBorders>
            <w:shd w:val="clear" w:color="auto" w:fill="auto"/>
            <w:noWrap/>
            <w:vAlign w:val="center"/>
            <w:hideMark/>
          </w:tcPr>
          <w:p w14:paraId="339659C0" w14:textId="77777777" w:rsidR="004543E0" w:rsidRPr="009660EC" w:rsidRDefault="004543E0" w:rsidP="007E3239">
            <w:pPr>
              <w:pStyle w:val="TableText"/>
              <w:spacing w:before="50" w:after="50"/>
              <w:rPr>
                <w:rFonts w:cs="Calibri"/>
                <w:szCs w:val="16"/>
              </w:rPr>
            </w:pPr>
            <w:r w:rsidRPr="009660EC">
              <w:rPr>
                <w:rFonts w:cs="Calibri"/>
                <w:szCs w:val="16"/>
              </w:rPr>
              <w:lastRenderedPageBreak/>
              <w:t>2</w:t>
            </w:r>
          </w:p>
        </w:tc>
        <w:tc>
          <w:tcPr>
            <w:tcW w:w="3197" w:type="dxa"/>
            <w:tcBorders>
              <w:top w:val="single" w:sz="4" w:space="0" w:color="1B556B"/>
              <w:left w:val="nil"/>
              <w:bottom w:val="nil"/>
              <w:right w:val="nil"/>
            </w:tcBorders>
            <w:shd w:val="clear" w:color="auto" w:fill="auto"/>
            <w:vAlign w:val="center"/>
            <w:hideMark/>
          </w:tcPr>
          <w:p w14:paraId="29FDE036" w14:textId="77777777" w:rsidR="004543E0" w:rsidRPr="009660EC" w:rsidRDefault="004543E0" w:rsidP="007E3239">
            <w:pPr>
              <w:pStyle w:val="TableText"/>
              <w:spacing w:before="40" w:after="40"/>
              <w:rPr>
                <w:rFonts w:cs="Calibri"/>
                <w:szCs w:val="16"/>
              </w:rPr>
            </w:pPr>
            <w:r w:rsidRPr="009660EC">
              <w:rPr>
                <w:rFonts w:cs="Calibri"/>
                <w:szCs w:val="16"/>
              </w:rPr>
              <w:t>Indirect Emissions</w:t>
            </w:r>
          </w:p>
        </w:tc>
        <w:tc>
          <w:tcPr>
            <w:tcW w:w="832" w:type="dxa"/>
            <w:tcBorders>
              <w:top w:val="single" w:sz="4" w:space="0" w:color="1B556B"/>
              <w:left w:val="nil"/>
              <w:bottom w:val="nil"/>
              <w:right w:val="nil"/>
            </w:tcBorders>
            <w:shd w:val="clear" w:color="auto" w:fill="auto"/>
            <w:noWrap/>
            <w:vAlign w:val="center"/>
            <w:hideMark/>
          </w:tcPr>
          <w:p w14:paraId="0B8F39B5"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10A5902D"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3A98C366"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118CEA9D"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6611323E"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single" w:sz="4" w:space="0" w:color="1B556B"/>
              <w:left w:val="nil"/>
              <w:bottom w:val="nil"/>
              <w:right w:val="nil"/>
            </w:tcBorders>
            <w:shd w:val="clear" w:color="auto" w:fill="auto"/>
            <w:noWrap/>
            <w:vAlign w:val="center"/>
            <w:hideMark/>
          </w:tcPr>
          <w:p w14:paraId="3CC170FB"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4E9D5977" w14:textId="77777777" w:rsidTr="00023E9B">
        <w:tc>
          <w:tcPr>
            <w:tcW w:w="325" w:type="dxa"/>
            <w:vMerge/>
            <w:tcBorders>
              <w:top w:val="single" w:sz="8" w:space="0" w:color="365F91"/>
              <w:left w:val="nil"/>
              <w:bottom w:val="single" w:sz="4" w:space="0" w:color="365F91"/>
              <w:right w:val="nil"/>
            </w:tcBorders>
            <w:vAlign w:val="center"/>
            <w:hideMark/>
          </w:tcPr>
          <w:p w14:paraId="0BEBD662" w14:textId="77777777" w:rsidR="004543E0" w:rsidRPr="009660EC" w:rsidRDefault="004543E0" w:rsidP="007E3239">
            <w:pPr>
              <w:pStyle w:val="TableText"/>
              <w:spacing w:before="50" w:after="50"/>
              <w:rPr>
                <w:rFonts w:cs="Calibri"/>
                <w:szCs w:val="16"/>
              </w:rPr>
            </w:pPr>
          </w:p>
        </w:tc>
        <w:tc>
          <w:tcPr>
            <w:tcW w:w="3197" w:type="dxa"/>
            <w:tcBorders>
              <w:top w:val="nil"/>
              <w:left w:val="nil"/>
              <w:bottom w:val="nil"/>
              <w:right w:val="nil"/>
            </w:tcBorders>
            <w:shd w:val="clear" w:color="auto" w:fill="auto"/>
            <w:vAlign w:val="center"/>
            <w:hideMark/>
          </w:tcPr>
          <w:p w14:paraId="718C2918" w14:textId="77777777" w:rsidR="004543E0" w:rsidRPr="009660EC" w:rsidRDefault="004543E0" w:rsidP="007E3239">
            <w:pPr>
              <w:pStyle w:val="TableText"/>
              <w:spacing w:before="40" w:after="40"/>
              <w:rPr>
                <w:rFonts w:cs="Calibri"/>
                <w:szCs w:val="16"/>
              </w:rPr>
            </w:pPr>
            <w:r w:rsidRPr="009660EC">
              <w:rPr>
                <w:rFonts w:cs="Calibri"/>
                <w:szCs w:val="16"/>
              </w:rPr>
              <w:t>Atmospheric Deposition</w:t>
            </w:r>
          </w:p>
        </w:tc>
        <w:tc>
          <w:tcPr>
            <w:tcW w:w="832" w:type="dxa"/>
            <w:tcBorders>
              <w:top w:val="nil"/>
              <w:left w:val="nil"/>
              <w:bottom w:val="nil"/>
              <w:right w:val="nil"/>
            </w:tcBorders>
            <w:shd w:val="clear" w:color="auto" w:fill="auto"/>
            <w:noWrap/>
            <w:vAlign w:val="center"/>
            <w:hideMark/>
          </w:tcPr>
          <w:p w14:paraId="2911601A"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1AA08BF5"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1C25E68F" w14:textId="77777777" w:rsidR="004543E0" w:rsidRPr="009660EC" w:rsidRDefault="004543E0" w:rsidP="007E3239">
            <w:pPr>
              <w:pStyle w:val="TableText"/>
              <w:spacing w:before="40" w:after="40"/>
              <w:jc w:val="center"/>
              <w:rPr>
                <w:rFonts w:cs="Calibri"/>
                <w:szCs w:val="16"/>
              </w:rPr>
            </w:pPr>
            <w:r w:rsidRPr="009660EC">
              <w:rPr>
                <w:rFonts w:cs="Calibri"/>
                <w:szCs w:val="16"/>
              </w:rPr>
              <w:t>T1, T2</w:t>
            </w:r>
          </w:p>
        </w:tc>
        <w:tc>
          <w:tcPr>
            <w:tcW w:w="832" w:type="dxa"/>
            <w:tcBorders>
              <w:top w:val="nil"/>
              <w:left w:val="nil"/>
              <w:bottom w:val="nil"/>
              <w:right w:val="nil"/>
            </w:tcBorders>
            <w:shd w:val="clear" w:color="auto" w:fill="auto"/>
            <w:noWrap/>
            <w:vAlign w:val="center"/>
            <w:hideMark/>
          </w:tcPr>
          <w:p w14:paraId="750ACA65" w14:textId="77777777" w:rsidR="004543E0" w:rsidRPr="009660EC" w:rsidRDefault="004543E0" w:rsidP="007E3239">
            <w:pPr>
              <w:pStyle w:val="TableText"/>
              <w:spacing w:before="40" w:after="40"/>
              <w:jc w:val="center"/>
              <w:rPr>
                <w:rFonts w:cs="Calibri"/>
                <w:szCs w:val="16"/>
              </w:rPr>
            </w:pPr>
            <w:r w:rsidRPr="009660EC">
              <w:rPr>
                <w:rFonts w:cs="Calibri"/>
                <w:szCs w:val="16"/>
              </w:rPr>
              <w:t>D</w:t>
            </w:r>
          </w:p>
        </w:tc>
        <w:tc>
          <w:tcPr>
            <w:tcW w:w="832" w:type="dxa"/>
            <w:tcBorders>
              <w:top w:val="nil"/>
              <w:left w:val="nil"/>
              <w:bottom w:val="nil"/>
              <w:right w:val="nil"/>
            </w:tcBorders>
            <w:shd w:val="clear" w:color="auto" w:fill="auto"/>
            <w:noWrap/>
            <w:vAlign w:val="center"/>
            <w:hideMark/>
          </w:tcPr>
          <w:p w14:paraId="3A038BB6"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nil"/>
              <w:right w:val="nil"/>
            </w:tcBorders>
            <w:shd w:val="clear" w:color="auto" w:fill="auto"/>
            <w:noWrap/>
            <w:vAlign w:val="center"/>
            <w:hideMark/>
          </w:tcPr>
          <w:p w14:paraId="3513AB3F"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62EF1155" w14:textId="77777777" w:rsidTr="00023E9B">
        <w:tc>
          <w:tcPr>
            <w:tcW w:w="325" w:type="dxa"/>
            <w:vMerge/>
            <w:tcBorders>
              <w:top w:val="single" w:sz="8" w:space="0" w:color="365F91"/>
              <w:left w:val="nil"/>
              <w:bottom w:val="single" w:sz="4" w:space="0" w:color="1B556B"/>
              <w:right w:val="nil"/>
            </w:tcBorders>
            <w:vAlign w:val="center"/>
            <w:hideMark/>
          </w:tcPr>
          <w:p w14:paraId="057E124F" w14:textId="77777777" w:rsidR="004543E0" w:rsidRPr="009660EC" w:rsidRDefault="004543E0" w:rsidP="007E3239">
            <w:pPr>
              <w:pStyle w:val="TableText"/>
              <w:spacing w:before="50" w:after="50"/>
              <w:rPr>
                <w:rFonts w:cs="Calibri"/>
                <w:szCs w:val="16"/>
              </w:rPr>
            </w:pPr>
          </w:p>
        </w:tc>
        <w:tc>
          <w:tcPr>
            <w:tcW w:w="3197" w:type="dxa"/>
            <w:tcBorders>
              <w:top w:val="nil"/>
              <w:left w:val="nil"/>
              <w:bottom w:val="single" w:sz="4" w:space="0" w:color="1B556B"/>
              <w:right w:val="nil"/>
            </w:tcBorders>
            <w:shd w:val="clear" w:color="auto" w:fill="auto"/>
            <w:vAlign w:val="center"/>
            <w:hideMark/>
          </w:tcPr>
          <w:p w14:paraId="50911FA3" w14:textId="77777777" w:rsidR="004543E0" w:rsidRPr="009660EC" w:rsidRDefault="004543E0" w:rsidP="007E3239">
            <w:pPr>
              <w:pStyle w:val="TableText"/>
              <w:spacing w:before="40" w:after="40"/>
              <w:rPr>
                <w:rFonts w:cs="Calibri"/>
                <w:szCs w:val="16"/>
              </w:rPr>
            </w:pPr>
            <w:r w:rsidRPr="009660EC">
              <w:rPr>
                <w:rFonts w:cs="Calibri"/>
                <w:szCs w:val="16"/>
              </w:rPr>
              <w:t>Nitrogen Leaching and Run-off</w:t>
            </w:r>
          </w:p>
        </w:tc>
        <w:tc>
          <w:tcPr>
            <w:tcW w:w="832" w:type="dxa"/>
            <w:tcBorders>
              <w:top w:val="nil"/>
              <w:left w:val="nil"/>
              <w:bottom w:val="single" w:sz="4" w:space="0" w:color="1B556B"/>
              <w:right w:val="nil"/>
            </w:tcBorders>
            <w:shd w:val="clear" w:color="auto" w:fill="auto"/>
            <w:noWrap/>
            <w:vAlign w:val="center"/>
            <w:hideMark/>
          </w:tcPr>
          <w:p w14:paraId="6A77A03B"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single" w:sz="4" w:space="0" w:color="1B556B"/>
              <w:right w:val="nil"/>
            </w:tcBorders>
            <w:shd w:val="clear" w:color="auto" w:fill="auto"/>
            <w:noWrap/>
            <w:vAlign w:val="center"/>
            <w:hideMark/>
          </w:tcPr>
          <w:p w14:paraId="0A4AE67B"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single" w:sz="4" w:space="0" w:color="1B556B"/>
              <w:right w:val="nil"/>
            </w:tcBorders>
            <w:shd w:val="clear" w:color="auto" w:fill="auto"/>
            <w:noWrap/>
            <w:vAlign w:val="center"/>
            <w:hideMark/>
          </w:tcPr>
          <w:p w14:paraId="7678B780" w14:textId="77777777" w:rsidR="004543E0" w:rsidRPr="009660EC" w:rsidRDefault="004543E0" w:rsidP="007E3239">
            <w:pPr>
              <w:pStyle w:val="TableText"/>
              <w:spacing w:before="40" w:after="40"/>
              <w:jc w:val="center"/>
              <w:rPr>
                <w:rFonts w:cs="Calibri"/>
                <w:szCs w:val="16"/>
              </w:rPr>
            </w:pPr>
            <w:r w:rsidRPr="009660EC">
              <w:rPr>
                <w:rFonts w:cs="Calibri"/>
                <w:szCs w:val="16"/>
              </w:rPr>
              <w:t>T1, T2</w:t>
            </w:r>
          </w:p>
        </w:tc>
        <w:tc>
          <w:tcPr>
            <w:tcW w:w="832" w:type="dxa"/>
            <w:tcBorders>
              <w:top w:val="nil"/>
              <w:left w:val="nil"/>
              <w:bottom w:val="single" w:sz="4" w:space="0" w:color="1B556B"/>
              <w:right w:val="nil"/>
            </w:tcBorders>
            <w:shd w:val="clear" w:color="auto" w:fill="auto"/>
            <w:noWrap/>
            <w:vAlign w:val="center"/>
            <w:hideMark/>
          </w:tcPr>
          <w:p w14:paraId="102499E5" w14:textId="77777777" w:rsidR="004543E0" w:rsidRPr="009660EC" w:rsidRDefault="004543E0" w:rsidP="007E3239">
            <w:pPr>
              <w:pStyle w:val="TableText"/>
              <w:spacing w:before="40" w:after="40"/>
              <w:jc w:val="center"/>
              <w:rPr>
                <w:rFonts w:cs="Calibri"/>
                <w:szCs w:val="16"/>
              </w:rPr>
            </w:pPr>
            <w:r w:rsidRPr="009660EC">
              <w:rPr>
                <w:rFonts w:cs="Calibri"/>
                <w:szCs w:val="16"/>
              </w:rPr>
              <w:t>CS</w:t>
            </w:r>
          </w:p>
        </w:tc>
        <w:tc>
          <w:tcPr>
            <w:tcW w:w="832" w:type="dxa"/>
            <w:tcBorders>
              <w:top w:val="nil"/>
              <w:left w:val="nil"/>
              <w:bottom w:val="single" w:sz="4" w:space="0" w:color="1B556B"/>
              <w:right w:val="nil"/>
            </w:tcBorders>
            <w:shd w:val="clear" w:color="auto" w:fill="auto"/>
            <w:noWrap/>
            <w:vAlign w:val="center"/>
            <w:hideMark/>
          </w:tcPr>
          <w:p w14:paraId="6730AB59"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c>
          <w:tcPr>
            <w:tcW w:w="832" w:type="dxa"/>
            <w:tcBorders>
              <w:top w:val="nil"/>
              <w:left w:val="nil"/>
              <w:bottom w:val="single" w:sz="4" w:space="0" w:color="1B556B"/>
              <w:right w:val="nil"/>
            </w:tcBorders>
            <w:shd w:val="clear" w:color="auto" w:fill="auto"/>
            <w:noWrap/>
            <w:vAlign w:val="center"/>
            <w:hideMark/>
          </w:tcPr>
          <w:p w14:paraId="512A6845" w14:textId="77777777" w:rsidR="004543E0" w:rsidRPr="009660EC" w:rsidRDefault="004543E0" w:rsidP="007E3239">
            <w:pPr>
              <w:pStyle w:val="TableText"/>
              <w:spacing w:before="40" w:after="40"/>
              <w:jc w:val="center"/>
              <w:rPr>
                <w:rFonts w:cs="Calibri"/>
                <w:color w:val="FFFFFF"/>
                <w:szCs w:val="16"/>
              </w:rPr>
            </w:pPr>
            <w:r w:rsidRPr="009660EC">
              <w:rPr>
                <w:rFonts w:cs="Calibri"/>
                <w:color w:val="FFFFFF"/>
                <w:szCs w:val="16"/>
              </w:rPr>
              <w:t>-</w:t>
            </w:r>
          </w:p>
        </w:tc>
      </w:tr>
      <w:tr w:rsidR="004543E0" w:rsidRPr="009660EC" w14:paraId="127BC0AF" w14:textId="77777777" w:rsidTr="00023E9B">
        <w:tc>
          <w:tcPr>
            <w:tcW w:w="325" w:type="dxa"/>
            <w:tcBorders>
              <w:top w:val="single" w:sz="4" w:space="0" w:color="1B556B"/>
              <w:left w:val="nil"/>
              <w:bottom w:val="single" w:sz="4" w:space="0" w:color="1B556B"/>
              <w:right w:val="nil"/>
            </w:tcBorders>
            <w:shd w:val="clear" w:color="auto" w:fill="auto"/>
            <w:noWrap/>
            <w:vAlign w:val="center"/>
            <w:hideMark/>
          </w:tcPr>
          <w:p w14:paraId="0878C3CC" w14:textId="77777777" w:rsidR="004543E0" w:rsidRPr="009660EC" w:rsidRDefault="004543E0" w:rsidP="007E3239">
            <w:pPr>
              <w:spacing w:before="50" w:after="50"/>
              <w:rPr>
                <w:rFonts w:cs="Calibri"/>
                <w:b/>
                <w:bCs/>
                <w:color w:val="000000"/>
                <w:sz w:val="16"/>
                <w:szCs w:val="16"/>
              </w:rPr>
            </w:pPr>
            <w:r w:rsidRPr="009660EC">
              <w:rPr>
                <w:rFonts w:cs="Calibri"/>
                <w:b/>
                <w:bCs/>
                <w:color w:val="000000"/>
                <w:sz w:val="16"/>
                <w:szCs w:val="16"/>
              </w:rPr>
              <w:t>E</w:t>
            </w:r>
          </w:p>
        </w:tc>
        <w:tc>
          <w:tcPr>
            <w:tcW w:w="3197" w:type="dxa"/>
            <w:tcBorders>
              <w:top w:val="single" w:sz="4" w:space="0" w:color="1B556B"/>
              <w:left w:val="nil"/>
              <w:bottom w:val="single" w:sz="4" w:space="0" w:color="1B556B"/>
              <w:right w:val="nil"/>
            </w:tcBorders>
            <w:shd w:val="clear" w:color="auto" w:fill="auto"/>
            <w:vAlign w:val="center"/>
            <w:hideMark/>
          </w:tcPr>
          <w:p w14:paraId="1BFC1B64" w14:textId="77777777" w:rsidR="004543E0" w:rsidRPr="009660EC" w:rsidRDefault="004543E0" w:rsidP="007E3239">
            <w:pPr>
              <w:spacing w:before="40" w:after="40"/>
              <w:rPr>
                <w:rFonts w:cs="Calibri"/>
                <w:b/>
                <w:bCs/>
                <w:color w:val="000000"/>
                <w:sz w:val="16"/>
                <w:szCs w:val="16"/>
              </w:rPr>
            </w:pPr>
            <w:r w:rsidRPr="009660EC">
              <w:rPr>
                <w:rFonts w:cs="Calibri"/>
                <w:b/>
                <w:bCs/>
                <w:color w:val="000000"/>
                <w:sz w:val="16"/>
                <w:szCs w:val="16"/>
              </w:rPr>
              <w:t xml:space="preserve">Prescribed Burning of Savannas </w:t>
            </w:r>
          </w:p>
        </w:tc>
        <w:tc>
          <w:tcPr>
            <w:tcW w:w="832" w:type="dxa"/>
            <w:tcBorders>
              <w:top w:val="single" w:sz="4" w:space="0" w:color="1B556B"/>
              <w:left w:val="nil"/>
              <w:bottom w:val="single" w:sz="4" w:space="0" w:color="1B556B"/>
              <w:right w:val="nil"/>
            </w:tcBorders>
            <w:shd w:val="clear" w:color="auto" w:fill="auto"/>
            <w:noWrap/>
            <w:vAlign w:val="center"/>
            <w:hideMark/>
          </w:tcPr>
          <w:p w14:paraId="31B37A3C"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NA</w:t>
            </w:r>
          </w:p>
        </w:tc>
        <w:tc>
          <w:tcPr>
            <w:tcW w:w="832" w:type="dxa"/>
            <w:tcBorders>
              <w:top w:val="single" w:sz="4" w:space="0" w:color="1B556B"/>
              <w:left w:val="nil"/>
              <w:bottom w:val="single" w:sz="4" w:space="0" w:color="1B556B"/>
              <w:right w:val="nil"/>
            </w:tcBorders>
            <w:shd w:val="clear" w:color="auto" w:fill="auto"/>
            <w:noWrap/>
            <w:vAlign w:val="center"/>
            <w:hideMark/>
          </w:tcPr>
          <w:p w14:paraId="4D651E65"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NA</w:t>
            </w:r>
          </w:p>
        </w:tc>
        <w:tc>
          <w:tcPr>
            <w:tcW w:w="832" w:type="dxa"/>
            <w:tcBorders>
              <w:top w:val="single" w:sz="4" w:space="0" w:color="1B556B"/>
              <w:left w:val="nil"/>
              <w:bottom w:val="single" w:sz="4" w:space="0" w:color="1B556B"/>
              <w:right w:val="nil"/>
            </w:tcBorders>
            <w:shd w:val="clear" w:color="auto" w:fill="auto"/>
            <w:noWrap/>
            <w:vAlign w:val="center"/>
            <w:hideMark/>
          </w:tcPr>
          <w:p w14:paraId="3B4BF749"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NA</w:t>
            </w:r>
          </w:p>
        </w:tc>
        <w:tc>
          <w:tcPr>
            <w:tcW w:w="832" w:type="dxa"/>
            <w:tcBorders>
              <w:top w:val="single" w:sz="4" w:space="0" w:color="1B556B"/>
              <w:left w:val="nil"/>
              <w:bottom w:val="single" w:sz="4" w:space="0" w:color="1B556B"/>
              <w:right w:val="nil"/>
            </w:tcBorders>
            <w:shd w:val="clear" w:color="auto" w:fill="auto"/>
            <w:noWrap/>
            <w:vAlign w:val="center"/>
            <w:hideMark/>
          </w:tcPr>
          <w:p w14:paraId="6C5A8941"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NA</w:t>
            </w:r>
          </w:p>
        </w:tc>
        <w:tc>
          <w:tcPr>
            <w:tcW w:w="832" w:type="dxa"/>
            <w:tcBorders>
              <w:top w:val="single" w:sz="4" w:space="0" w:color="1B556B"/>
              <w:left w:val="nil"/>
              <w:bottom w:val="single" w:sz="4" w:space="0" w:color="1B556B"/>
              <w:right w:val="nil"/>
            </w:tcBorders>
            <w:shd w:val="clear" w:color="auto" w:fill="auto"/>
            <w:noWrap/>
            <w:vAlign w:val="center"/>
            <w:hideMark/>
          </w:tcPr>
          <w:p w14:paraId="6850655E"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6F4DB092"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r>
      <w:tr w:rsidR="004543E0" w:rsidRPr="009660EC" w14:paraId="20875C0A" w14:textId="77777777" w:rsidTr="00023E9B">
        <w:tc>
          <w:tcPr>
            <w:tcW w:w="325" w:type="dxa"/>
            <w:tcBorders>
              <w:top w:val="single" w:sz="4" w:space="0" w:color="1B556B"/>
              <w:left w:val="nil"/>
              <w:bottom w:val="single" w:sz="4" w:space="0" w:color="1B556B"/>
              <w:right w:val="nil"/>
            </w:tcBorders>
            <w:shd w:val="clear" w:color="auto" w:fill="auto"/>
            <w:noWrap/>
            <w:vAlign w:val="center"/>
            <w:hideMark/>
          </w:tcPr>
          <w:p w14:paraId="309BC5ED" w14:textId="77777777" w:rsidR="004543E0" w:rsidRPr="009660EC" w:rsidRDefault="004543E0" w:rsidP="007E3239">
            <w:pPr>
              <w:spacing w:before="50" w:after="50"/>
              <w:rPr>
                <w:rFonts w:cs="Calibri"/>
                <w:b/>
                <w:bCs/>
                <w:color w:val="000000"/>
                <w:sz w:val="16"/>
                <w:szCs w:val="16"/>
              </w:rPr>
            </w:pPr>
            <w:r w:rsidRPr="009660EC">
              <w:rPr>
                <w:rFonts w:cs="Calibri"/>
                <w:b/>
                <w:bCs/>
                <w:color w:val="000000"/>
                <w:sz w:val="16"/>
                <w:szCs w:val="16"/>
              </w:rPr>
              <w:t>F</w:t>
            </w:r>
          </w:p>
        </w:tc>
        <w:tc>
          <w:tcPr>
            <w:tcW w:w="3197" w:type="dxa"/>
            <w:tcBorders>
              <w:top w:val="single" w:sz="4" w:space="0" w:color="1B556B"/>
              <w:left w:val="nil"/>
              <w:bottom w:val="single" w:sz="4" w:space="0" w:color="1B556B"/>
              <w:right w:val="nil"/>
            </w:tcBorders>
            <w:shd w:val="clear" w:color="auto" w:fill="auto"/>
            <w:vAlign w:val="center"/>
            <w:hideMark/>
          </w:tcPr>
          <w:p w14:paraId="6304F275" w14:textId="77777777" w:rsidR="004543E0" w:rsidRPr="009660EC" w:rsidRDefault="004543E0" w:rsidP="007E3239">
            <w:pPr>
              <w:spacing w:before="40" w:after="40"/>
              <w:rPr>
                <w:rFonts w:cs="Calibri"/>
                <w:b/>
                <w:bCs/>
                <w:color w:val="000000"/>
                <w:sz w:val="16"/>
                <w:szCs w:val="16"/>
              </w:rPr>
            </w:pPr>
            <w:r w:rsidRPr="009660EC">
              <w:rPr>
                <w:rFonts w:cs="Calibri"/>
                <w:b/>
                <w:bCs/>
                <w:color w:val="000000"/>
                <w:sz w:val="16"/>
                <w:szCs w:val="16"/>
              </w:rPr>
              <w:t>Field Burning of Agricultural Residues</w:t>
            </w:r>
          </w:p>
        </w:tc>
        <w:tc>
          <w:tcPr>
            <w:tcW w:w="832" w:type="dxa"/>
            <w:tcBorders>
              <w:top w:val="single" w:sz="4" w:space="0" w:color="1B556B"/>
              <w:left w:val="nil"/>
              <w:bottom w:val="single" w:sz="4" w:space="0" w:color="1B556B"/>
              <w:right w:val="nil"/>
            </w:tcBorders>
            <w:shd w:val="clear" w:color="auto" w:fill="auto"/>
            <w:noWrap/>
            <w:vAlign w:val="center"/>
            <w:hideMark/>
          </w:tcPr>
          <w:p w14:paraId="4FD658C8"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T2</w:t>
            </w:r>
          </w:p>
        </w:tc>
        <w:tc>
          <w:tcPr>
            <w:tcW w:w="832" w:type="dxa"/>
            <w:tcBorders>
              <w:top w:val="single" w:sz="4" w:space="0" w:color="1B556B"/>
              <w:left w:val="nil"/>
              <w:bottom w:val="single" w:sz="4" w:space="0" w:color="1B556B"/>
              <w:right w:val="nil"/>
            </w:tcBorders>
            <w:shd w:val="clear" w:color="auto" w:fill="auto"/>
            <w:noWrap/>
            <w:vAlign w:val="center"/>
            <w:hideMark/>
          </w:tcPr>
          <w:p w14:paraId="6D18C82C"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CS</w:t>
            </w:r>
          </w:p>
        </w:tc>
        <w:tc>
          <w:tcPr>
            <w:tcW w:w="832" w:type="dxa"/>
            <w:tcBorders>
              <w:top w:val="single" w:sz="4" w:space="0" w:color="1B556B"/>
              <w:left w:val="nil"/>
              <w:bottom w:val="single" w:sz="4" w:space="0" w:color="1B556B"/>
              <w:right w:val="nil"/>
            </w:tcBorders>
            <w:shd w:val="clear" w:color="auto" w:fill="auto"/>
            <w:noWrap/>
            <w:vAlign w:val="center"/>
            <w:hideMark/>
          </w:tcPr>
          <w:p w14:paraId="6AC41FD1"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T2</w:t>
            </w:r>
          </w:p>
        </w:tc>
        <w:tc>
          <w:tcPr>
            <w:tcW w:w="832" w:type="dxa"/>
            <w:tcBorders>
              <w:top w:val="single" w:sz="4" w:space="0" w:color="1B556B"/>
              <w:left w:val="nil"/>
              <w:bottom w:val="single" w:sz="4" w:space="0" w:color="1B556B"/>
              <w:right w:val="nil"/>
            </w:tcBorders>
            <w:shd w:val="clear" w:color="auto" w:fill="auto"/>
            <w:noWrap/>
            <w:vAlign w:val="center"/>
            <w:hideMark/>
          </w:tcPr>
          <w:p w14:paraId="01057B0F"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CS</w:t>
            </w:r>
          </w:p>
        </w:tc>
        <w:tc>
          <w:tcPr>
            <w:tcW w:w="832" w:type="dxa"/>
            <w:tcBorders>
              <w:top w:val="single" w:sz="4" w:space="0" w:color="1B556B"/>
              <w:left w:val="nil"/>
              <w:bottom w:val="single" w:sz="4" w:space="0" w:color="1B556B"/>
              <w:right w:val="nil"/>
            </w:tcBorders>
            <w:shd w:val="clear" w:color="auto" w:fill="auto"/>
            <w:noWrap/>
            <w:vAlign w:val="center"/>
            <w:hideMark/>
          </w:tcPr>
          <w:p w14:paraId="4A4E91BD"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4339EEB5"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r>
      <w:tr w:rsidR="004543E0" w:rsidRPr="009660EC" w14:paraId="40F2A55A" w14:textId="77777777" w:rsidTr="00023E9B">
        <w:tc>
          <w:tcPr>
            <w:tcW w:w="325" w:type="dxa"/>
            <w:tcBorders>
              <w:top w:val="single" w:sz="4" w:space="0" w:color="1B556B"/>
              <w:left w:val="nil"/>
              <w:bottom w:val="single" w:sz="4" w:space="0" w:color="1B556B"/>
              <w:right w:val="nil"/>
            </w:tcBorders>
            <w:shd w:val="clear" w:color="auto" w:fill="auto"/>
            <w:noWrap/>
            <w:vAlign w:val="center"/>
            <w:hideMark/>
          </w:tcPr>
          <w:p w14:paraId="03E2ADA6" w14:textId="77777777" w:rsidR="004543E0" w:rsidRPr="009660EC" w:rsidRDefault="004543E0" w:rsidP="007E3239">
            <w:pPr>
              <w:spacing w:before="50" w:after="50"/>
              <w:rPr>
                <w:rFonts w:cs="Calibri"/>
                <w:b/>
                <w:bCs/>
                <w:color w:val="000000"/>
                <w:sz w:val="16"/>
                <w:szCs w:val="16"/>
              </w:rPr>
            </w:pPr>
            <w:r w:rsidRPr="009660EC">
              <w:rPr>
                <w:rFonts w:cs="Calibri"/>
                <w:b/>
                <w:bCs/>
                <w:color w:val="000000"/>
                <w:sz w:val="16"/>
                <w:szCs w:val="16"/>
              </w:rPr>
              <w:t>G</w:t>
            </w:r>
          </w:p>
        </w:tc>
        <w:tc>
          <w:tcPr>
            <w:tcW w:w="3197" w:type="dxa"/>
            <w:tcBorders>
              <w:top w:val="single" w:sz="4" w:space="0" w:color="1B556B"/>
              <w:left w:val="nil"/>
              <w:bottom w:val="single" w:sz="4" w:space="0" w:color="1B556B"/>
              <w:right w:val="nil"/>
            </w:tcBorders>
            <w:shd w:val="clear" w:color="auto" w:fill="auto"/>
            <w:vAlign w:val="center"/>
            <w:hideMark/>
          </w:tcPr>
          <w:p w14:paraId="2A2C6DC2" w14:textId="77777777" w:rsidR="004543E0" w:rsidRPr="009660EC" w:rsidRDefault="004543E0" w:rsidP="007E3239">
            <w:pPr>
              <w:spacing w:before="40" w:after="40"/>
              <w:rPr>
                <w:rFonts w:cs="Calibri"/>
                <w:b/>
                <w:bCs/>
                <w:color w:val="000000"/>
                <w:sz w:val="16"/>
                <w:szCs w:val="16"/>
              </w:rPr>
            </w:pPr>
            <w:r w:rsidRPr="009660EC">
              <w:rPr>
                <w:rFonts w:cs="Calibri"/>
                <w:b/>
                <w:bCs/>
                <w:color w:val="000000"/>
                <w:sz w:val="16"/>
                <w:szCs w:val="16"/>
              </w:rPr>
              <w:t>Liming</w:t>
            </w:r>
          </w:p>
        </w:tc>
        <w:tc>
          <w:tcPr>
            <w:tcW w:w="832" w:type="dxa"/>
            <w:tcBorders>
              <w:top w:val="single" w:sz="4" w:space="0" w:color="1B556B"/>
              <w:left w:val="nil"/>
              <w:bottom w:val="single" w:sz="4" w:space="0" w:color="1B556B"/>
              <w:right w:val="nil"/>
            </w:tcBorders>
            <w:shd w:val="clear" w:color="auto" w:fill="auto"/>
            <w:noWrap/>
            <w:vAlign w:val="center"/>
            <w:hideMark/>
          </w:tcPr>
          <w:p w14:paraId="057B64A7"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69D0FE7B"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11BFAE25"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018885C8"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6D80EFF1"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T1</w:t>
            </w:r>
          </w:p>
        </w:tc>
        <w:tc>
          <w:tcPr>
            <w:tcW w:w="832" w:type="dxa"/>
            <w:tcBorders>
              <w:top w:val="single" w:sz="4" w:space="0" w:color="1B556B"/>
              <w:left w:val="nil"/>
              <w:bottom w:val="single" w:sz="4" w:space="0" w:color="1B556B"/>
              <w:right w:val="nil"/>
            </w:tcBorders>
            <w:shd w:val="clear" w:color="auto" w:fill="auto"/>
            <w:noWrap/>
            <w:vAlign w:val="center"/>
            <w:hideMark/>
          </w:tcPr>
          <w:p w14:paraId="0681E9CA"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D</w:t>
            </w:r>
          </w:p>
        </w:tc>
      </w:tr>
      <w:tr w:rsidR="004543E0" w:rsidRPr="009660EC" w14:paraId="1D9FE8A4" w14:textId="77777777" w:rsidTr="00023E9B">
        <w:tc>
          <w:tcPr>
            <w:tcW w:w="325" w:type="dxa"/>
            <w:tcBorders>
              <w:top w:val="single" w:sz="4" w:space="0" w:color="1B556B"/>
              <w:left w:val="nil"/>
              <w:bottom w:val="single" w:sz="4" w:space="0" w:color="1B556B"/>
              <w:right w:val="nil"/>
            </w:tcBorders>
            <w:shd w:val="clear" w:color="auto" w:fill="auto"/>
            <w:noWrap/>
            <w:vAlign w:val="center"/>
            <w:hideMark/>
          </w:tcPr>
          <w:p w14:paraId="37BE45A9" w14:textId="77777777" w:rsidR="004543E0" w:rsidRPr="009660EC" w:rsidRDefault="004543E0" w:rsidP="007E3239">
            <w:pPr>
              <w:spacing w:before="50" w:after="50"/>
              <w:rPr>
                <w:rFonts w:cs="Calibri"/>
                <w:b/>
                <w:bCs/>
                <w:color w:val="000000"/>
                <w:sz w:val="16"/>
                <w:szCs w:val="16"/>
              </w:rPr>
            </w:pPr>
            <w:r w:rsidRPr="009660EC">
              <w:rPr>
                <w:rFonts w:cs="Calibri"/>
                <w:b/>
                <w:bCs/>
                <w:color w:val="000000"/>
                <w:sz w:val="16"/>
                <w:szCs w:val="16"/>
              </w:rPr>
              <w:t>H</w:t>
            </w:r>
          </w:p>
        </w:tc>
        <w:tc>
          <w:tcPr>
            <w:tcW w:w="3197" w:type="dxa"/>
            <w:tcBorders>
              <w:top w:val="single" w:sz="4" w:space="0" w:color="1B556B"/>
              <w:left w:val="nil"/>
              <w:bottom w:val="single" w:sz="4" w:space="0" w:color="1B556B"/>
              <w:right w:val="nil"/>
            </w:tcBorders>
            <w:shd w:val="clear" w:color="auto" w:fill="auto"/>
            <w:vAlign w:val="center"/>
            <w:hideMark/>
          </w:tcPr>
          <w:p w14:paraId="198347AD" w14:textId="77777777" w:rsidR="004543E0" w:rsidRPr="009660EC" w:rsidRDefault="004543E0" w:rsidP="007E3239">
            <w:pPr>
              <w:spacing w:before="40" w:after="40"/>
              <w:rPr>
                <w:rFonts w:cs="Calibri"/>
                <w:b/>
                <w:bCs/>
                <w:color w:val="000000"/>
                <w:sz w:val="16"/>
                <w:szCs w:val="16"/>
              </w:rPr>
            </w:pPr>
            <w:r w:rsidRPr="009660EC">
              <w:rPr>
                <w:rFonts w:cs="Calibri"/>
                <w:b/>
                <w:bCs/>
                <w:color w:val="000000"/>
                <w:sz w:val="16"/>
                <w:szCs w:val="16"/>
              </w:rPr>
              <w:t>Urea Application</w:t>
            </w:r>
          </w:p>
        </w:tc>
        <w:tc>
          <w:tcPr>
            <w:tcW w:w="832" w:type="dxa"/>
            <w:tcBorders>
              <w:top w:val="single" w:sz="4" w:space="0" w:color="1B556B"/>
              <w:left w:val="nil"/>
              <w:bottom w:val="single" w:sz="4" w:space="0" w:color="1B556B"/>
              <w:right w:val="nil"/>
            </w:tcBorders>
            <w:shd w:val="clear" w:color="auto" w:fill="auto"/>
            <w:noWrap/>
            <w:vAlign w:val="center"/>
            <w:hideMark/>
          </w:tcPr>
          <w:p w14:paraId="5C61852C"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243ED435"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195FCC53"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0B2E422E"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08AD90C4"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T1</w:t>
            </w:r>
          </w:p>
        </w:tc>
        <w:tc>
          <w:tcPr>
            <w:tcW w:w="832" w:type="dxa"/>
            <w:tcBorders>
              <w:top w:val="single" w:sz="4" w:space="0" w:color="1B556B"/>
              <w:left w:val="nil"/>
              <w:bottom w:val="single" w:sz="4" w:space="0" w:color="1B556B"/>
              <w:right w:val="nil"/>
            </w:tcBorders>
            <w:shd w:val="clear" w:color="auto" w:fill="auto"/>
            <w:noWrap/>
            <w:vAlign w:val="center"/>
            <w:hideMark/>
          </w:tcPr>
          <w:p w14:paraId="05976F92"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D</w:t>
            </w:r>
          </w:p>
        </w:tc>
      </w:tr>
      <w:tr w:rsidR="004543E0" w:rsidRPr="009660EC" w14:paraId="729BFE3D" w14:textId="77777777" w:rsidTr="00023E9B">
        <w:tc>
          <w:tcPr>
            <w:tcW w:w="325" w:type="dxa"/>
            <w:tcBorders>
              <w:top w:val="single" w:sz="4" w:space="0" w:color="1B556B"/>
              <w:left w:val="nil"/>
              <w:bottom w:val="single" w:sz="4" w:space="0" w:color="1B556B"/>
              <w:right w:val="nil"/>
            </w:tcBorders>
            <w:shd w:val="clear" w:color="auto" w:fill="auto"/>
            <w:noWrap/>
            <w:vAlign w:val="center"/>
            <w:hideMark/>
          </w:tcPr>
          <w:p w14:paraId="1AACA2B0" w14:textId="77777777" w:rsidR="004543E0" w:rsidRPr="009660EC" w:rsidRDefault="004543E0" w:rsidP="007E3239">
            <w:pPr>
              <w:spacing w:before="50" w:after="50"/>
              <w:rPr>
                <w:rFonts w:cs="Calibri"/>
                <w:b/>
                <w:bCs/>
                <w:color w:val="000000"/>
                <w:sz w:val="16"/>
                <w:szCs w:val="16"/>
              </w:rPr>
            </w:pPr>
            <w:r w:rsidRPr="009660EC">
              <w:rPr>
                <w:rFonts w:cs="Calibri"/>
                <w:b/>
                <w:bCs/>
                <w:color w:val="000000"/>
                <w:sz w:val="16"/>
                <w:szCs w:val="16"/>
              </w:rPr>
              <w:t>I</w:t>
            </w:r>
          </w:p>
        </w:tc>
        <w:tc>
          <w:tcPr>
            <w:tcW w:w="3197" w:type="dxa"/>
            <w:tcBorders>
              <w:top w:val="single" w:sz="4" w:space="0" w:color="1B556B"/>
              <w:left w:val="nil"/>
              <w:bottom w:val="single" w:sz="4" w:space="0" w:color="1B556B"/>
              <w:right w:val="nil"/>
            </w:tcBorders>
            <w:shd w:val="clear" w:color="auto" w:fill="auto"/>
            <w:vAlign w:val="center"/>
            <w:hideMark/>
          </w:tcPr>
          <w:p w14:paraId="6BE9FBDF" w14:textId="77777777" w:rsidR="004543E0" w:rsidRPr="009660EC" w:rsidRDefault="004543E0" w:rsidP="007E3239">
            <w:pPr>
              <w:spacing w:before="40" w:after="40"/>
              <w:rPr>
                <w:rFonts w:cs="Calibri"/>
                <w:b/>
                <w:bCs/>
                <w:color w:val="000000"/>
                <w:sz w:val="16"/>
                <w:szCs w:val="16"/>
              </w:rPr>
            </w:pPr>
            <w:r w:rsidRPr="009660EC">
              <w:rPr>
                <w:rFonts w:cs="Calibri"/>
                <w:b/>
                <w:bCs/>
                <w:color w:val="000000"/>
                <w:sz w:val="16"/>
                <w:szCs w:val="16"/>
              </w:rPr>
              <w:t>Other Carbon-containing Fertilisers</w:t>
            </w:r>
          </w:p>
        </w:tc>
        <w:tc>
          <w:tcPr>
            <w:tcW w:w="832" w:type="dxa"/>
            <w:tcBorders>
              <w:top w:val="single" w:sz="4" w:space="0" w:color="1B556B"/>
              <w:left w:val="nil"/>
              <w:bottom w:val="single" w:sz="4" w:space="0" w:color="1B556B"/>
              <w:right w:val="nil"/>
            </w:tcBorders>
            <w:shd w:val="clear" w:color="auto" w:fill="auto"/>
            <w:noWrap/>
            <w:vAlign w:val="center"/>
            <w:hideMark/>
          </w:tcPr>
          <w:p w14:paraId="0A709439"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1BF30C13"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562305AD"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189D9059" w14:textId="77777777" w:rsidR="004543E0" w:rsidRPr="009660EC" w:rsidRDefault="004543E0" w:rsidP="007E3239">
            <w:pPr>
              <w:spacing w:before="40" w:after="40"/>
              <w:jc w:val="center"/>
              <w:rPr>
                <w:rFonts w:cs="Calibri"/>
                <w:color w:val="FFFFFF"/>
                <w:sz w:val="16"/>
                <w:szCs w:val="16"/>
              </w:rPr>
            </w:pPr>
            <w:r w:rsidRPr="009660EC">
              <w:rPr>
                <w:rFonts w:cs="Calibri"/>
                <w:color w:val="FFFFFF"/>
                <w:sz w:val="16"/>
                <w:szCs w:val="16"/>
              </w:rPr>
              <w:t>-</w:t>
            </w:r>
          </w:p>
        </w:tc>
        <w:tc>
          <w:tcPr>
            <w:tcW w:w="832" w:type="dxa"/>
            <w:tcBorders>
              <w:top w:val="single" w:sz="4" w:space="0" w:color="1B556B"/>
              <w:left w:val="nil"/>
              <w:bottom w:val="single" w:sz="4" w:space="0" w:color="1B556B"/>
              <w:right w:val="nil"/>
            </w:tcBorders>
            <w:shd w:val="clear" w:color="auto" w:fill="auto"/>
            <w:noWrap/>
            <w:vAlign w:val="center"/>
            <w:hideMark/>
          </w:tcPr>
          <w:p w14:paraId="6FB75948"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NA</w:t>
            </w:r>
          </w:p>
        </w:tc>
        <w:tc>
          <w:tcPr>
            <w:tcW w:w="832" w:type="dxa"/>
            <w:tcBorders>
              <w:top w:val="single" w:sz="4" w:space="0" w:color="1B556B"/>
              <w:left w:val="nil"/>
              <w:bottom w:val="single" w:sz="4" w:space="0" w:color="1B556B"/>
              <w:right w:val="nil"/>
            </w:tcBorders>
            <w:shd w:val="clear" w:color="auto" w:fill="auto"/>
            <w:noWrap/>
            <w:vAlign w:val="center"/>
            <w:hideMark/>
          </w:tcPr>
          <w:p w14:paraId="67E90CC6" w14:textId="77777777" w:rsidR="004543E0" w:rsidRPr="009660EC" w:rsidRDefault="004543E0" w:rsidP="007E3239">
            <w:pPr>
              <w:spacing w:before="40" w:after="40"/>
              <w:jc w:val="center"/>
              <w:rPr>
                <w:rFonts w:cs="Calibri"/>
                <w:color w:val="000000"/>
                <w:sz w:val="16"/>
                <w:szCs w:val="16"/>
              </w:rPr>
            </w:pPr>
            <w:r w:rsidRPr="009660EC">
              <w:rPr>
                <w:rFonts w:cs="Calibri"/>
                <w:color w:val="000000"/>
                <w:sz w:val="16"/>
                <w:szCs w:val="16"/>
              </w:rPr>
              <w:t>NA</w:t>
            </w:r>
          </w:p>
        </w:tc>
      </w:tr>
    </w:tbl>
    <w:p w14:paraId="65756318" w14:textId="77777777" w:rsidR="004543E0" w:rsidRPr="009660EC" w:rsidRDefault="004543E0" w:rsidP="004543E0">
      <w:pPr>
        <w:pStyle w:val="Noteundertable"/>
        <w:rPr>
          <w:rFonts w:cs="Calibri"/>
        </w:rPr>
      </w:pPr>
      <w:r w:rsidRPr="009660EC">
        <w:rPr>
          <w:rFonts w:cs="Calibri"/>
          <w:b/>
          <w:bCs/>
        </w:rPr>
        <w:t>Note:</w:t>
      </w:r>
      <w:r w:rsidRPr="009660EC">
        <w:rPr>
          <w:rFonts w:cs="Calibri"/>
        </w:rPr>
        <w:t xml:space="preserve"> </w:t>
      </w:r>
      <w:r w:rsidRPr="009660EC">
        <w:rPr>
          <w:rFonts w:cs="Calibri"/>
        </w:rPr>
        <w:tab/>
        <w:t>CS = country specific; D = IPCC Guidelines (2006) default; NA = not applicable; T1 = Tier 1; T2 = Tier 2.</w:t>
      </w:r>
    </w:p>
    <w:p w14:paraId="63677026" w14:textId="77777777" w:rsidR="004543E0" w:rsidRPr="009660EC" w:rsidRDefault="004543E0" w:rsidP="004543E0">
      <w:pPr>
        <w:pStyle w:val="BodyText"/>
      </w:pPr>
      <w:r w:rsidRPr="009660EC">
        <w:t>Further technical details on emissions calculations is provided in the inventory methodology document on the Ministry for Primary Industries (MPI) website (</w:t>
      </w:r>
      <w:hyperlink r:id="rId102" w:history="1">
        <w:r w:rsidRPr="009660EC">
          <w:rPr>
            <w:rStyle w:val="Hyperlink"/>
          </w:rPr>
          <w:t>www.mpi.govt.nz/ dmsdocument/13906-detailed-methodologies-for-agricultural-greenhouse-gas-emission-calculation</w:t>
        </w:r>
      </w:hyperlink>
      <w:r w:rsidRPr="009660EC">
        <w:t xml:space="preserve">) and in the methodological issues section for each category in this document. The approach for determining livestock nutritional and energy requirements, which is required to calculate </w:t>
      </w:r>
      <w:r w:rsidRPr="009660EC">
        <w:rPr>
          <w:i/>
          <w:iCs/>
        </w:rPr>
        <w:t>Enteric fermentation</w:t>
      </w:r>
      <w:r w:rsidRPr="009660EC">
        <w:t xml:space="preserve"> emissions and nitrogen excreted by livestock as the precursor for calculating </w:t>
      </w:r>
      <w:r w:rsidRPr="009660EC">
        <w:rPr>
          <w:i/>
          <w:iCs/>
        </w:rPr>
        <w:t>Manure management</w:t>
      </w:r>
      <w:r w:rsidRPr="009660EC">
        <w:t xml:space="preserve"> (and some </w:t>
      </w:r>
      <w:r w:rsidRPr="009660EC">
        <w:rPr>
          <w:i/>
          <w:iCs/>
        </w:rPr>
        <w:t>Agricultural soils emissions</w:t>
      </w:r>
      <w:r w:rsidRPr="009660EC">
        <w:t>), is described in the following paragraphs.</w:t>
      </w:r>
    </w:p>
    <w:p w14:paraId="1246593E" w14:textId="77777777" w:rsidR="004543E0" w:rsidRPr="009660EC" w:rsidRDefault="004543E0" w:rsidP="004543E0">
      <w:pPr>
        <w:pStyle w:val="Heading4"/>
      </w:pPr>
      <w:r w:rsidRPr="009660EC">
        <w:t xml:space="preserve">Description of the Tier 2 model for determining emissions from energy requirements for major ruminant livestock categories </w:t>
      </w:r>
    </w:p>
    <w:p w14:paraId="2FDA6788" w14:textId="77777777" w:rsidR="004543E0" w:rsidRPr="009660EC" w:rsidRDefault="004543E0" w:rsidP="004543E0">
      <w:pPr>
        <w:pStyle w:val="BodyText"/>
      </w:pPr>
      <w:r w:rsidRPr="009660EC">
        <w:t xml:space="preserve">A Tier 2 inventory model has been developed to calculate emissions from the major ruminant livestock categories (Clark et al., 2003). Components of the national Agriculture inventory model are constantly being improved through findings from new international and commissioned domestic research. New Zealand’s model for calculating emissions from major livestock categories is a process-based model. The thoroughly researched country-specific emission factors and monthly data for livestock populations, animal productivity and pasture quality mean it is close to a Tier 3 inventory, however, data that inform pasture quality are not as comprehensive as would be required to report at a Tier 3 level. Figure 5.1.5 outlines the current Tier 2 methodology used to estimate emissions for the four major livestock categories. </w:t>
      </w:r>
    </w:p>
    <w:p w14:paraId="68C2953C" w14:textId="77777777" w:rsidR="004543E0" w:rsidRPr="009660EC" w:rsidRDefault="004543E0" w:rsidP="004543E0">
      <w:pPr>
        <w:pStyle w:val="BodyText"/>
      </w:pPr>
      <w:r w:rsidRPr="009660EC">
        <w:t>Agricultural production (meat, milk and wool) and livestock population data are combined in the model with data on the total metabolisable energy (ME) content of the animal’s diet. To determine CH</w:t>
      </w:r>
      <w:r w:rsidRPr="009660EC">
        <w:rPr>
          <w:vertAlign w:val="subscript"/>
        </w:rPr>
        <w:t>4</w:t>
      </w:r>
      <w:r w:rsidRPr="009660EC">
        <w:t xml:space="preserve"> emissions from enteric fermentation, the production data are used to determine the dry-matter intake (DMI) required to meet total annual productivity levels for each of the livestock categories and are then multiplied by a country-specific CH</w:t>
      </w:r>
      <w:r w:rsidRPr="009660EC">
        <w:rPr>
          <w:vertAlign w:val="subscript"/>
        </w:rPr>
        <w:t>4</w:t>
      </w:r>
      <w:r w:rsidRPr="009660EC">
        <w:t xml:space="preserve"> emission factor per unit of DMI. Manure management emissions are primarily CH</w:t>
      </w:r>
      <w:r w:rsidRPr="009660EC">
        <w:rPr>
          <w:vertAlign w:val="subscript"/>
        </w:rPr>
        <w:t>4</w:t>
      </w:r>
      <w:r w:rsidRPr="009660EC">
        <w:t xml:space="preserve"> from manure deposited directly onto pasture, but also N</w:t>
      </w:r>
      <w:r w:rsidRPr="009660EC">
        <w:rPr>
          <w:vertAlign w:val="subscript"/>
        </w:rPr>
        <w:t>2</w:t>
      </w:r>
      <w:r w:rsidRPr="009660EC">
        <w:t>O as that manure breaks down due to the processes of nitrification, denitrification, volatilisation and leaching. Information on the nitrogen content of feed is multiplied with the DMI previously calculated to determine quantity of animal nitrogen intake and subsequent nitrogen excretion after allowing for nitrogen in growth and milk production in dairy cattle.</w:t>
      </w:r>
    </w:p>
    <w:p w14:paraId="0BE40DEB" w14:textId="77777777" w:rsidR="004543E0" w:rsidRPr="009660EC" w:rsidRDefault="004543E0" w:rsidP="004543E0">
      <w:pPr>
        <w:pStyle w:val="Figure"/>
        <w:spacing w:after="0"/>
      </w:pPr>
      <w:bookmarkStart w:id="627" w:name="_Toc481752010"/>
      <w:bookmarkStart w:id="628" w:name="_Toc507158469"/>
      <w:bookmarkStart w:id="629" w:name="_Toc511116960"/>
      <w:bookmarkStart w:id="630" w:name="_Toc5269690"/>
      <w:bookmarkStart w:id="631" w:name="_Toc32570961"/>
      <w:bookmarkStart w:id="632" w:name="_Toc36292791"/>
      <w:bookmarkStart w:id="633" w:name="_Toc68786656"/>
      <w:bookmarkStart w:id="634" w:name="_Toc95574117"/>
      <w:bookmarkStart w:id="635" w:name="_Toc99696036"/>
      <w:r w:rsidRPr="009660EC">
        <w:lastRenderedPageBreak/>
        <w:t xml:space="preserve">Figure 5.1.5 </w:t>
      </w:r>
      <w:r w:rsidRPr="009660EC">
        <w:tab/>
        <w:t>Simplified methodology for calculating emissions for major ruminant livestock categories</w:t>
      </w:r>
      <w:bookmarkEnd w:id="627"/>
      <w:bookmarkEnd w:id="628"/>
      <w:bookmarkEnd w:id="629"/>
      <w:bookmarkEnd w:id="630"/>
      <w:bookmarkEnd w:id="631"/>
      <w:bookmarkEnd w:id="632"/>
      <w:bookmarkEnd w:id="633"/>
      <w:bookmarkEnd w:id="634"/>
      <w:bookmarkEnd w:id="635"/>
    </w:p>
    <w:p w14:paraId="46F6B228" w14:textId="77777777" w:rsidR="004543E0" w:rsidRPr="009660EC" w:rsidRDefault="004543E0" w:rsidP="004543E0">
      <w:pPr>
        <w:pStyle w:val="BodyText"/>
        <w:jc w:val="center"/>
      </w:pPr>
      <w:r w:rsidRPr="009660EC">
        <w:rPr>
          <w:rFonts w:eastAsia="Calibri"/>
        </w:rPr>
        <w:object w:dxaOrig="14670" w:dyaOrig="13470" w14:anchorId="610966C3">
          <v:shape id="_x0000_i1073" type="#_x0000_t75" style="width:331.55pt;height:366.7pt" o:ole="">
            <v:imagedata r:id="rId103" o:title="" cropbottom="1320f" cropright="12005f"/>
          </v:shape>
          <o:OLEObject Type="Embed" ProgID="Visio.Drawing.15" ShapeID="_x0000_i1073" DrawAspect="Content" ObjectID="_1710830384" r:id="rId104"/>
        </w:object>
      </w:r>
    </w:p>
    <w:p w14:paraId="011D94CF" w14:textId="77777777" w:rsidR="004543E0" w:rsidRPr="009660EC" w:rsidRDefault="004543E0" w:rsidP="004543E0">
      <w:pPr>
        <w:pStyle w:val="Noteundertable"/>
        <w:spacing w:before="0" w:after="60"/>
        <w:rPr>
          <w:rFonts w:cs="Calibri"/>
        </w:rPr>
      </w:pPr>
      <w:r w:rsidRPr="009660EC">
        <w:rPr>
          <w:rFonts w:cs="Calibri"/>
          <w:b/>
          <w:bCs/>
        </w:rPr>
        <w:t xml:space="preserve">Note: </w:t>
      </w:r>
      <w:r w:rsidRPr="009660EC">
        <w:rPr>
          <w:rFonts w:cs="Calibri"/>
        </w:rPr>
        <w:tab/>
        <w:t>CH</w:t>
      </w:r>
      <w:r w:rsidRPr="009660EC">
        <w:rPr>
          <w:rFonts w:cs="Calibri"/>
          <w:vertAlign w:val="subscript"/>
        </w:rPr>
        <w:t>4</w:t>
      </w:r>
      <w:r w:rsidRPr="009660EC">
        <w:rPr>
          <w:rFonts w:cs="Calibri"/>
        </w:rPr>
        <w:t xml:space="preserve"> = methane; DMI = dry-matter intake; kg = kilogram; MJ = megajoule; N</w:t>
      </w:r>
      <w:r w:rsidRPr="009660EC">
        <w:rPr>
          <w:rFonts w:cs="Calibri"/>
          <w:vertAlign w:val="subscript"/>
        </w:rPr>
        <w:t>2</w:t>
      </w:r>
      <w:r w:rsidRPr="009660EC">
        <w:rPr>
          <w:rFonts w:cs="Calibri"/>
        </w:rPr>
        <w:t>O = nitrous oxide; NZ = New Zealand.</w:t>
      </w:r>
    </w:p>
    <w:p w14:paraId="66E2685E" w14:textId="77777777" w:rsidR="004543E0" w:rsidRPr="009660EC" w:rsidRDefault="004543E0" w:rsidP="004543E0">
      <w:pPr>
        <w:pStyle w:val="BodyText"/>
      </w:pPr>
      <w:r w:rsidRPr="009660EC">
        <w:t>The main emissions from ruminant livestock are CH</w:t>
      </w:r>
      <w:r w:rsidRPr="009660EC">
        <w:rPr>
          <w:vertAlign w:val="subscript"/>
        </w:rPr>
        <w:t>4</w:t>
      </w:r>
      <w:r w:rsidRPr="009660EC">
        <w:t xml:space="preserve"> from enteric fermentation and N</w:t>
      </w:r>
      <w:r w:rsidRPr="009660EC">
        <w:rPr>
          <w:vertAlign w:val="subscript"/>
        </w:rPr>
        <w:t>2</w:t>
      </w:r>
      <w:r w:rsidRPr="009660EC">
        <w:t xml:space="preserve">O from manure (urine and dung). The quantity of livestock emissions has a linear relationship with the DMI, which is a function of livestock energy requirements and the energy concentration of the feed: </w:t>
      </w:r>
    </w:p>
    <w:p w14:paraId="16CACD92" w14:textId="119E20F3" w:rsidR="004543E0" w:rsidRPr="009660EC" w:rsidRDefault="004B48CC" w:rsidP="004543E0">
      <w:pPr>
        <w:spacing w:after="120"/>
        <w:jc w:val="center"/>
        <w:rPr>
          <w:rFonts w:cs="Calibri"/>
        </w:rPr>
      </w:pPr>
      <w:r>
        <w:pict w14:anchorId="11F8D207">
          <v:shape id="_x0000_i1074" type="#_x0000_t75" style="width:76.2pt;height:24.3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20&quot;/&gt;&lt;w:doNotEmbedSystemFonts/&gt;&lt;w:activeWritingStyle w:lang=&quot;EN-NZ&quot; w:vendorID=&quot;64&quot; w:dllVersion=&quot;6&quot; w:nlCheck=&quot;on&quot; w:optionSet=&quot;1&quot;/&gt;&lt;w:activeWritingStyle w:lang=&quot;EN-NZ&quot; w:vendorID=&quot;64&quot; w:dllVersion=&quot;0&quot; w:nlCheck=&quot;on&quot; w:optionSet=&quot;0&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suppressSpBfAfterPgBrk/&gt;&lt;w:doNotUseHTMLParagraphAutoSpacing/&gt;&lt;w:breakWrappedTables/&gt;&lt;w:snapToGridInCell/&gt;&lt;w:wrapTextWithPunct/&gt;&lt;w:useAsianBreakRules/&gt;&lt;/w:compat&gt;&lt;wsp:rsids&gt;&lt;wsp:rsidRoot wsp:val=&quot;00DC2081&quot;/&gt;&lt;wsp:rsid wsp:val=&quot;00001716&quot;/&gt;&lt;wsp:rsid wsp:val=&quot;00007ABB&quot;/&gt;&lt;wsp:rsid wsp:val=&quot;00021ACF&quot;/&gt;&lt;wsp:rsid wsp:val=&quot;00027E55&quot;/&gt;&lt;wsp:rsid wsp:val=&quot;00032A28&quot;/&gt;&lt;wsp:rsid wsp:val=&quot;00035185&quot;/&gt;&lt;wsp:rsid wsp:val=&quot;0003612E&quot;/&gt;&lt;wsp:rsid wsp:val=&quot;00050008&quot;/&gt;&lt;wsp:rsid wsp:val=&quot;000576EC&quot;/&gt;&lt;wsp:rsid wsp:val=&quot;0008510E&quot;/&gt;&lt;wsp:rsid wsp:val=&quot;000959CB&quot;/&gt;&lt;wsp:rsid wsp:val=&quot;000C20A6&quot;/&gt;&lt;wsp:rsid wsp:val=&quot;000D5C71&quot;/&gt;&lt;wsp:rsid wsp:val=&quot;000F4DEF&quot;/&gt;&lt;wsp:rsid wsp:val=&quot;00116E1B&quot;/&gt;&lt;wsp:rsid wsp:val=&quot;001221C3&quot;/&gt;&lt;wsp:rsid wsp:val=&quot;0013321C&quot;/&gt;&lt;wsp:rsid wsp:val=&quot;00153F5A&quot;/&gt;&lt;wsp:rsid wsp:val=&quot;001970E1&quot;/&gt;&lt;wsp:rsid wsp:val=&quot;001A1997&quot;/&gt;&lt;wsp:rsid wsp:val=&quot;001B6FD2&quot;/&gt;&lt;wsp:rsid wsp:val=&quot;001F48D9&quot;/&gt;&lt;wsp:rsid wsp:val=&quot;00207ABF&quot;/&gt;&lt;wsp:rsid wsp:val=&quot;00240B42&quot;/&gt;&lt;wsp:rsid wsp:val=&quot;00260B48&quot;/&gt;&lt;wsp:rsid wsp:val=&quot;0028581A&quot;/&gt;&lt;wsp:rsid wsp:val=&quot;002868D3&quot;/&gt;&lt;wsp:rsid wsp:val=&quot;00295B2A&quot;/&gt;&lt;wsp:rsid wsp:val=&quot;002A1361&quot;/&gt;&lt;wsp:rsid wsp:val=&quot;002A222C&quot;/&gt;&lt;wsp:rsid wsp:val=&quot;002A49D7&quot;/&gt;&lt;wsp:rsid wsp:val=&quot;002B1C5A&quot;/&gt;&lt;wsp:rsid wsp:val=&quot;002B3284&quot;/&gt;&lt;wsp:rsid wsp:val=&quot;002D60DB&quot;/&gt;&lt;wsp:rsid wsp:val=&quot;002D6A54&quot;/&gt;&lt;wsp:rsid wsp:val=&quot;002F134A&quot;/&gt;&lt;wsp:rsid wsp:val=&quot;002F1EF6&quot;/&gt;&lt;wsp:rsid wsp:val=&quot;002F66D0&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B57BB&quot;/&gt;&lt;wsp:rsid wsp:val=&quot;003C2615&quot;/&gt;&lt;wsp:rsid wsp:val=&quot;003D0318&quot;/&gt;&lt;wsp:rsid wsp:val=&quot;003D1F66&quot;/&gt;&lt;wsp:rsid wsp:val=&quot;003D5417&quot;/&gt;&lt;wsp:rsid wsp:val=&quot;00400F92&quot;/&gt;&lt;wsp:rsid wsp:val=&quot;004044F1&quot;/&gt;&lt;wsp:rsid wsp:val=&quot;0042424B&quot;/&gt;&lt;wsp:rsid wsp:val=&quot;00430D5D&quot;/&gt;&lt;wsp:rsid wsp:val=&quot;00436344&quot;/&gt;&lt;wsp:rsid wsp:val=&quot;004543E0&quot;/&gt;&lt;wsp:rsid wsp:val=&quot;0045652C&quot;/&gt;&lt;wsp:rsid wsp:val=&quot;00462497&quot;/&gt;&lt;wsp:rsid wsp:val=&quot;004805A3&quot;/&gt;&lt;wsp:rsid wsp:val=&quot;00490EB0&quot;/&gt;&lt;wsp:rsid wsp:val=&quot;004A088A&quot;/&gt;&lt;wsp:rsid wsp:val=&quot;004A618E&quot;/&gt;&lt;wsp:rsid wsp:val=&quot;004B119E&quot;/&gt;&lt;wsp:rsid wsp:val=&quot;004E4B2C&quot;/&gt;&lt;wsp:rsid wsp:val=&quot;004F1572&quot;/&gt;&lt;wsp:rsid wsp:val=&quot;00526270&quot;/&gt;&lt;wsp:rsid wsp:val=&quot;00534210&quot;/&gt;&lt;wsp:rsid wsp:val=&quot;00543478&quot;/&gt;&lt;wsp:rsid wsp:val=&quot;00545600&quot;/&gt;&lt;wsp:rsid wsp:val=&quot;00546A6A&quot;/&gt;&lt;wsp:rsid wsp:val=&quot;005545DF&quot;/&gt;&lt;wsp:rsid wsp:val=&quot;005630B0&quot;/&gt;&lt;wsp:rsid wsp:val=&quot;005660CD&quot;/&gt;&lt;wsp:rsid wsp:val=&quot;005720F2&quot;/&gt;&lt;wsp:rsid wsp:val=&quot;00596603&quot;/&gt;&lt;wsp:rsid wsp:val=&quot;005B4380&quot;/&gt;&lt;wsp:rsid wsp:val=&quot;005B76A4&quot;/&gt;&lt;wsp:rsid wsp:val=&quot;005C3384&quot;/&gt;&lt;wsp:rsid wsp:val=&quot;005C38A8&quot;/&gt;&lt;wsp:rsid wsp:val=&quot;005C416E&quot;/&gt;&lt;wsp:rsid wsp:val=&quot;005D1C3A&quot;/&gt;&lt;wsp:rsid wsp:val=&quot;005D2050&quot;/&gt;&lt;wsp:rsid wsp:val=&quot;005E43DD&quot;/&gt;&lt;wsp:rsid wsp:val=&quot;00600179&quot;/&gt;&lt;wsp:rsid wsp:val=&quot;00603FC0&quot;/&gt;&lt;wsp:rsid wsp:val=&quot;006127F2&quot;/&gt;&lt;wsp:rsid wsp:val=&quot;006208F5&quot;/&gt;&lt;wsp:rsid wsp:val=&quot;00636BF0&quot;/&gt;&lt;wsp:rsid wsp:val=&quot;00640C2E&quot;/&gt;&lt;wsp:rsid wsp:val=&quot;00646B6D&quot;/&gt;&lt;wsp:rsid wsp:val=&quot;00650F99&quot;/&gt;&lt;wsp:rsid wsp:val=&quot;00655908&quot;/&gt;&lt;wsp:rsid wsp:val=&quot;00663479&quot;/&gt;&lt;wsp:rsid wsp:val=&quot;006654F8&quot;/&gt;&lt;wsp:rsid wsp:val=&quot;00665768&quot;/&gt;&lt;wsp:rsid wsp:val=&quot;00667291&quot;/&gt;&lt;wsp:rsid wsp:val=&quot;0068545A&quot;/&gt;&lt;wsp:rsid wsp:val=&quot;00686249&quot;/&gt;&lt;wsp:rsid wsp:val=&quot;00687504&quot;/&gt;&lt;wsp:rsid wsp:val=&quot;0069744C&quot;/&gt;&lt;wsp:rsid wsp:val=&quot;006A171F&quot;/&gt;&lt;wsp:rsid wsp:val=&quot;006A4E5F&quot;/&gt;&lt;wsp:rsid wsp:val=&quot;006B282E&quot;/&gt;&lt;wsp:rsid wsp:val=&quot;006D3FAE&quot;/&gt;&lt;wsp:rsid wsp:val=&quot;006D4600&quot;/&gt;&lt;wsp:rsid wsp:val=&quot;006E0A2C&quot;/&gt;&lt;wsp:rsid wsp:val=&quot;006E202B&quot;/&gt;&lt;wsp:rsid wsp:val=&quot;006E25DF&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730C3&quot;/&gt;&lt;wsp:rsid wsp:val=&quot;0077453D&quot;/&gt;&lt;wsp:rsid wsp:val=&quot;007862A6&quot;/&gt;&lt;wsp:rsid wsp:val=&quot;007A7456&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7314B&quot;/&gt;&lt;wsp:rsid wsp:val=&quot;008A2A6D&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16E1B&quot;/&gt;&lt;wsp:rsid wsp:val=&quot;0092751F&quot;/&gt;&lt;wsp:rsid wsp:val=&quot;00932067&quot;/&gt;&lt;wsp:rsid wsp:val=&quot;0093594A&quot;/&gt;&lt;wsp:rsid wsp:val=&quot;00955D73&quot;/&gt;&lt;wsp:rsid wsp:val=&quot;0096512C&quot;/&gt;&lt;wsp:rsid wsp:val=&quot;0096540A&quot;/&gt;&lt;wsp:rsid wsp:val=&quot;0098180A&quot;/&gt;&lt;wsp:rsid wsp:val=&quot;0099547F&quot;/&gt;&lt;wsp:rsid wsp:val=&quot;009C5D2A&quot;/&gt;&lt;wsp:rsid wsp:val=&quot;00A06700&quot;/&gt;&lt;wsp:rsid wsp:val=&quot;00A331E7&quot;/&gt;&lt;wsp:rsid wsp:val=&quot;00A34169&quot;/&gt;&lt;wsp:rsid wsp:val=&quot;00A35FF4&quot;/&gt;&lt;wsp:rsid wsp:val=&quot;00A41C3C&quot;/&gt;&lt;wsp:rsid wsp:val=&quot;00A430C1&quot;/&gt;&lt;wsp:rsid wsp:val=&quot;00AB2710&quot;/&gt;&lt;wsp:rsid wsp:val=&quot;00AC2AB4&quot;/&gt;&lt;wsp:rsid wsp:val=&quot;00AC7268&quot;/&gt;&lt;wsp:rsid wsp:val=&quot;00AD184B&quot;/&gt;&lt;wsp:rsid wsp:val=&quot;00AE488C&quot;/&gt;&lt;wsp:rsid wsp:val=&quot;00B0566D&quot;/&gt;&lt;wsp:rsid wsp:val=&quot;00B10BD6&quot;/&gt;&lt;wsp:rsid wsp:val=&quot;00B153C7&quot;/&gt;&lt;wsp:rsid wsp:val=&quot;00B16055&quot;/&gt;&lt;wsp:rsid wsp:val=&quot;00B35BD9&quot;/&gt;&lt;wsp:rsid wsp:val=&quot;00B37DE8&quot;/&gt;&lt;wsp:rsid wsp:val=&quot;00B44BA5&quot;/&gt;&lt;wsp:rsid wsp:val=&quot;00B928E7&quot;/&gt;&lt;wsp:rsid wsp:val=&quot;00BA5F7E&quot;/&gt;&lt;wsp:rsid wsp:val=&quot;00BB1CB5&quot;/&gt;&lt;wsp:rsid wsp:val=&quot;00BC6694&quot;/&gt;&lt;wsp:rsid wsp:val=&quot;00BC7E76&quot;/&gt;&lt;wsp:rsid wsp:val=&quot;00BE6C4F&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D3919&quot;/&gt;&lt;wsp:rsid wsp:val=&quot;00CE19C1&quot;/&gt;&lt;wsp:rsid wsp:val=&quot;00CF3E69&quot;/&gt;&lt;wsp:rsid wsp:val=&quot;00D01CFE&quot;/&gt;&lt;wsp:rsid wsp:val=&quot;00D07C4B&quot;/&gt;&lt;wsp:rsid wsp:val=&quot;00D225D8&quot;/&gt;&lt;wsp:rsid wsp:val=&quot;00D33A2E&quot;/&gt;&lt;wsp:rsid wsp:val=&quot;00D40FA5&quot;/&gt;&lt;wsp:rsid wsp:val=&quot;00D41862&quot;/&gt;&lt;wsp:rsid wsp:val=&quot;00D511A1&quot;/&gt;&lt;wsp:rsid wsp:val=&quot;00D8244C&quot;/&gt;&lt;wsp:rsid wsp:val=&quot;00D872BF&quot;/&gt;&lt;wsp:rsid wsp:val=&quot;00DC2081&quot;/&gt;&lt;wsp:rsid wsp:val=&quot;00DE01F6&quot;/&gt;&lt;wsp:rsid wsp:val=&quot;00DE2998&quot;/&gt;&lt;wsp:rsid wsp:val=&quot;00DE4223&quot;/&gt;&lt;wsp:rsid wsp:val=&quot;00DE6B60&quot;/&gt;&lt;wsp:rsid wsp:val=&quot;00DF1483&quot;/&gt;&lt;wsp:rsid wsp:val=&quot;00E06D10&quot;/&gt;&lt;wsp:rsid wsp:val=&quot;00E20458&quot;/&gt;&lt;wsp:rsid wsp:val=&quot;00E56487&quot;/&gt;&lt;wsp:rsid wsp:val=&quot;00E853F3&quot;/&gt;&lt;wsp:rsid wsp:val=&quot;00E85CE2&quot;/&gt;&lt;wsp:rsid wsp:val=&quot;00EC2491&quot;/&gt;&lt;wsp:rsid wsp:val=&quot;00ED2C42&quot;/&gt;&lt;wsp:rsid wsp:val=&quot;00EF3B2B&quot;/&gt;&lt;wsp:rsid wsp:val=&quot;00F00EE9&quot;/&gt;&lt;wsp:rsid wsp:val=&quot;00F10D80&quot;/&gt;&lt;wsp:rsid wsp:val=&quot;00F379DD&quot;/&gt;&lt;wsp:rsid wsp:val=&quot;00F47244&quot;/&gt;&lt;wsp:rsid wsp:val=&quot;00F511A7&quot;/&gt;&lt;wsp:rsid wsp:val=&quot;00F660F9&quot;/&gt;&lt;wsp:rsid wsp:val=&quot;00F93F5E&quot;/&gt;&lt;wsp:rsid wsp:val=&quot;00FA0F57&quot;/&gt;&lt;wsp:rsid wsp:val=&quot;00FA5F45&quot;/&gt;&lt;wsp:rsid wsp:val=&quot;00FA7522&quot;/&gt;&lt;wsp:rsid wsp:val=&quot;00FC2C59&quot;/&gt;&lt;wsp:rsid wsp:val=&quot;00FD178C&quot;/&gt;&lt;/wsp:rsids&gt;&lt;/w:docPr&gt;&lt;w:body&gt;&lt;wx:sect&gt;&lt;w:p wsp:rsidR=&quot;00000000&quot; wsp:rsidRPr=&quot;0069744C&quot; wsp:rsidRDefault=&quot;0069744C&quot; wsp:rsidP=&quot;0069744C&quot;&gt;&lt;m:oMathPara&gt;&lt;m:oMath&gt;&lt;m:r&gt;&lt;w:rPr&gt;&lt;w:rFonts w:ascii=&quot;Cambria Math&quot; w:h-ansi=&quot;Cambria Math&quot; w:cs=&quot;Calibri&quot;/&gt;&lt;wx:font wx:val=&quot;Cambria Math&quot;/&gt;&lt;w:i/&gt;&lt;/w:rPr&gt;&lt;m:t&gt;DMI=&lt;/m:t&gt;&lt;/m:r&gt;&lt;m:f&gt;&lt;m:fPr&gt;&lt;m:ctrlPr&gt;&lt;w:rPr&gt;&lt;w:rFonts w:ascii=&quot;Cambria Math&quot; w:h-ansi=&quot;Cambria Math&quot; w:cs=&quot;Calibri&quot;/&gt;&lt;wx:font wx:val=&quot;Cambria Math&quot;/&gt;&lt;w:i/&gt;&lt;/w:rPr&gt;&lt;/m:ctrlPr&gt;&lt;/m:fPr&gt;&lt;m:num&gt;&lt;m:r&gt;&lt;w:rPr&gt;&lt;w:rFonts w:ascii=&quot;Cambria Math&quot; w:h-ansi=&quot;Cambria Math&quot; w:cs=&quot;Calibri&quot;/&gt;&lt;wx:font wx:val=&quot;Cambria Math&quot;/&gt;&lt;w:i/&gt;&lt;/w:rPr&gt;&lt;m:t&gt;M&lt;/m:t&gt;&lt;/m:r&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E&lt;/m:t&gt;&lt;/m:r&gt;&lt;/m:e&gt;&lt;m:sub&gt;&lt;m:r&gt;&lt;w:rPr&gt;&lt;w:rFonts w:ascii=&quot;Cambria Math&quot; w:h-ansi=&quot;Cambria Math&quot; w:cs=&quot;Calibri&quot;/&gt;&lt;wx:font wx:val=&quot;Cambria Math&quot;/&gt;&lt;w:i/&gt;&lt;/w:rPr&gt;&lt;m:t&gt;TOTAL&lt;/m:t&gt;&lt;/m:r&gt;&lt;/m:sub&gt;&lt;/m:sSub&gt;&lt;/m:num&gt;&lt;m:den&gt;&lt;m:r&gt;&lt;w:rPr&gt;&lt;w:rFonts w:ascii=&quot;Cambria Math&quot; w:h-ansi=&quot;Cambria Math&quot; w:cs=&quot;Calibri&quot;/&gt;&lt;wx:font wx:val=&quot;Cambria Math&quot;/&gt;&lt;w:i/&gt;&lt;/w:rPr&gt;&lt;m:t&gt;E&lt;/m:t&gt;&lt;/m:r&gt;&lt;/m:den&gt;&lt;/m:f&gt;&lt;/m:oMath&gt;&lt;/m:oMathPara&gt;&lt;/w:p&gt;&lt;w:sectPr wsp:rsidR=&quot;00000000&quot; wsp:rsidRPr=&quot;0069744C&quot;&gt;&lt;w:pgSz w:w=&quot;12240&quot; w:h=&quot;15840&quot;/&gt;&lt;w:pgMar w:top=&quot;1440&quot; w:right=&quot;1440&quot; w:bottom=&quot;1440&quot; w:left=&quot;1440&quot; w:header=&quot;720&quot; w:footer=&quot;720&quot; w:gutter=&quot;0&quot;/&gt;&lt;w:cols w:space=&quot;720&quot;/&gt;&lt;/w:sectPr&gt;&lt;/wx:sect&gt;&lt;/w:body&gt;&lt;/w:wordDocument&gt;">
            <v:imagedata r:id="rId105" o:title="" chromakey="white"/>
          </v:shape>
        </w:pict>
      </w:r>
    </w:p>
    <w:p w14:paraId="7D3D1CCC" w14:textId="77777777" w:rsidR="004543E0" w:rsidRPr="009660EC" w:rsidRDefault="004543E0" w:rsidP="004543E0">
      <w:pPr>
        <w:spacing w:before="120" w:after="60"/>
        <w:ind w:left="993" w:hanging="993"/>
        <w:rPr>
          <w:rFonts w:cs="Calibri"/>
        </w:rPr>
      </w:pPr>
      <w:r w:rsidRPr="009660EC">
        <w:rPr>
          <w:rFonts w:cs="Calibri"/>
        </w:rPr>
        <w:t>Where:</w:t>
      </w:r>
      <w:r w:rsidRPr="009660EC">
        <w:rPr>
          <w:rFonts w:cs="Calibri"/>
        </w:rPr>
        <w:tab/>
        <w:t>DMI is the dry-matter intake (kg year</w:t>
      </w:r>
      <w:r w:rsidRPr="009660EC">
        <w:rPr>
          <w:rFonts w:cs="Calibri"/>
          <w:vertAlign w:val="superscript"/>
        </w:rPr>
        <w:t>-1</w:t>
      </w:r>
      <w:r w:rsidRPr="009660EC">
        <w:rPr>
          <w:rFonts w:cs="Calibri"/>
        </w:rPr>
        <w:t>)</w:t>
      </w:r>
    </w:p>
    <w:p w14:paraId="2C86B83E" w14:textId="77777777" w:rsidR="004543E0" w:rsidRPr="009660EC" w:rsidRDefault="004543E0" w:rsidP="004543E0">
      <w:pPr>
        <w:spacing w:before="60" w:after="60"/>
        <w:ind w:left="993" w:hanging="993"/>
        <w:rPr>
          <w:rFonts w:cs="Calibri"/>
        </w:rPr>
      </w:pPr>
      <w:r w:rsidRPr="009660EC">
        <w:rPr>
          <w:rFonts w:cs="Calibri"/>
        </w:rPr>
        <w:tab/>
        <w:t>ME</w:t>
      </w:r>
      <w:r w:rsidRPr="009660EC">
        <w:rPr>
          <w:rFonts w:cs="Calibri"/>
          <w:vertAlign w:val="subscript"/>
        </w:rPr>
        <w:t>TOTAL</w:t>
      </w:r>
      <w:r w:rsidRPr="009660EC">
        <w:rPr>
          <w:rFonts w:cs="Calibri"/>
        </w:rPr>
        <w:t xml:space="preserve"> is the total metabolisable energy requirement of the animal (kJ), and</w:t>
      </w:r>
    </w:p>
    <w:p w14:paraId="4756FF5C" w14:textId="77777777" w:rsidR="004543E0" w:rsidRPr="009660EC" w:rsidRDefault="004543E0" w:rsidP="004543E0">
      <w:pPr>
        <w:spacing w:before="60" w:after="80"/>
        <w:ind w:left="993" w:hanging="993"/>
        <w:rPr>
          <w:rFonts w:cs="Calibri"/>
        </w:rPr>
      </w:pPr>
      <w:r w:rsidRPr="009660EC">
        <w:rPr>
          <w:rFonts w:cs="Calibri"/>
        </w:rPr>
        <w:tab/>
        <w:t>E is the energy concentration in the feed (kJ/kg DMI).</w:t>
      </w:r>
    </w:p>
    <w:p w14:paraId="6F8F4848" w14:textId="77777777" w:rsidR="004543E0" w:rsidRPr="009660EC" w:rsidRDefault="004543E0" w:rsidP="004543E0">
      <w:pPr>
        <w:pStyle w:val="Heading5"/>
      </w:pPr>
      <w:r w:rsidRPr="009660EC">
        <w:t>Calculating metabolisable energy requirements (ME</w:t>
      </w:r>
      <w:r w:rsidRPr="009660EC">
        <w:rPr>
          <w:vertAlign w:val="subscript"/>
        </w:rPr>
        <w:t>TOTAL</w:t>
      </w:r>
      <w:r w:rsidRPr="009660EC">
        <w:t xml:space="preserve">) </w:t>
      </w:r>
    </w:p>
    <w:p w14:paraId="66D4E685" w14:textId="77777777" w:rsidR="004543E0" w:rsidRPr="009660EC" w:rsidRDefault="004543E0" w:rsidP="004543E0">
      <w:pPr>
        <w:pStyle w:val="BodyText"/>
        <w:spacing w:after="100"/>
      </w:pPr>
      <w:r w:rsidRPr="009660EC">
        <w:t xml:space="preserve">For dairy cattle, beef cattle and sheep, the approach for calculating the total ME requirement </w:t>
      </w:r>
      <w:r w:rsidRPr="009660EC">
        <w:rPr>
          <w:spacing w:val="-2"/>
        </w:rPr>
        <w:t>was developed in Australia by the Commonwealth Scientific and Industrial Research Organisation</w:t>
      </w:r>
      <w:r w:rsidRPr="009660EC">
        <w:t xml:space="preserve"> (CSIRO, 1990). The CSIRO algorithms have been chosen because they specifically include methods to estimate the energy requirements of grazing ruminants, which is the predominant feeding method used in New Zealand. Further, </w:t>
      </w:r>
      <w:r w:rsidRPr="009660EC">
        <w:rPr>
          <w:spacing w:val="-2"/>
        </w:rPr>
        <w:t xml:space="preserve">the CSIRO algorithms take into account animal liveweight and production requirements based on the rate of liveweight gain, gender, milk yield and physiological state. </w:t>
      </w:r>
      <w:r w:rsidRPr="009660EC">
        <w:t xml:space="preserve">All calculations are performed on a monthly basis. The equation below is derived from the general equation used in the Australian feeding standards and adjusted to suit New Zealand conditions. </w:t>
      </w:r>
    </w:p>
    <w:p w14:paraId="109C599B" w14:textId="77777777" w:rsidR="004543E0" w:rsidRPr="009660EC" w:rsidRDefault="004543E0" w:rsidP="004543E0">
      <w:pPr>
        <w:pStyle w:val="BodyText"/>
        <w:spacing w:after="100"/>
      </w:pPr>
      <w:r w:rsidRPr="009660EC">
        <w:lastRenderedPageBreak/>
        <w:t>The total energy required (ME</w:t>
      </w:r>
      <w:r w:rsidRPr="009660EC">
        <w:rPr>
          <w:vertAlign w:val="subscript"/>
        </w:rPr>
        <w:t>TOTAL</w:t>
      </w:r>
      <w:r w:rsidRPr="009660EC">
        <w:t>) is made up of:</w:t>
      </w:r>
    </w:p>
    <w:p w14:paraId="59264841" w14:textId="77777777" w:rsidR="004543E0" w:rsidRPr="009660EC" w:rsidRDefault="004543E0" w:rsidP="004543E0">
      <w:pPr>
        <w:pStyle w:val="Bullet"/>
      </w:pPr>
      <w:r w:rsidRPr="009660EC">
        <w:t>energy required to maintain animal weight, which is a function of the animal’s liveweight, gender, breed and stage of maturity (ME</w:t>
      </w:r>
      <w:r w:rsidRPr="009660EC">
        <w:rPr>
          <w:vertAlign w:val="subscript"/>
        </w:rPr>
        <w:t>BASAL</w:t>
      </w:r>
      <w:r w:rsidRPr="009660EC">
        <w:t>)</w:t>
      </w:r>
    </w:p>
    <w:p w14:paraId="2CAEC141" w14:textId="77777777" w:rsidR="004543E0" w:rsidRPr="009660EC" w:rsidRDefault="004543E0" w:rsidP="004543E0">
      <w:pPr>
        <w:pStyle w:val="Bullet"/>
      </w:pPr>
      <w:r w:rsidRPr="009660EC">
        <w:t>energy required for the given level of productivity (milk yield and milk fat percentage, and liveweight gain for dairy and beef production respectively) and physiological state (e.g., growing, gestating (ME</w:t>
      </w:r>
      <w:r w:rsidRPr="009660EC">
        <w:rPr>
          <w:vertAlign w:val="subscript"/>
        </w:rPr>
        <w:t>C</w:t>
      </w:r>
      <w:r w:rsidRPr="009660EC">
        <w:t xml:space="preserve">) or lactating) </w:t>
      </w:r>
    </w:p>
    <w:p w14:paraId="473893B5" w14:textId="77777777" w:rsidR="004543E0" w:rsidRPr="009660EC" w:rsidRDefault="004543E0" w:rsidP="004543E0">
      <w:pPr>
        <w:pStyle w:val="Bullet"/>
      </w:pPr>
      <w:r w:rsidRPr="009660EC">
        <w:t>the additional amount of energy expended during grazing, compared with similar housed animals (ME</w:t>
      </w:r>
      <w:r w:rsidRPr="009660EC">
        <w:rPr>
          <w:vertAlign w:val="subscript"/>
        </w:rPr>
        <w:t>GRAZE</w:t>
      </w:r>
      <w:r w:rsidRPr="009660EC">
        <w:t>).</w:t>
      </w:r>
    </w:p>
    <w:p w14:paraId="60877054" w14:textId="21A14FEA" w:rsidR="004543E0" w:rsidRPr="009660EC" w:rsidRDefault="004B48CC" w:rsidP="004543E0">
      <w:pPr>
        <w:spacing w:before="60" w:after="120"/>
        <w:jc w:val="center"/>
        <w:rPr>
          <w:rFonts w:cs="Calibri"/>
          <w:sz w:val="24"/>
          <w:szCs w:val="24"/>
        </w:rPr>
      </w:pPr>
      <w:r>
        <w:pict w14:anchorId="37B47961">
          <v:shape id="_x0000_i1075" type="#_x0000_t75" style="width:252.85pt;height:13.4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20&quot;/&gt;&lt;w:doNotEmbedSystemFonts/&gt;&lt;w:activeWritingStyle w:lang=&quot;EN-NZ&quot; w:vendorID=&quot;64&quot; w:dllVersion=&quot;6&quot; w:nlCheck=&quot;on&quot; w:optionSet=&quot;1&quot;/&gt;&lt;w:activeWritingStyle w:lang=&quot;EN-NZ&quot; w:vendorID=&quot;64&quot; w:dllVersion=&quot;0&quot; w:nlCheck=&quot;on&quot; w:optionSet=&quot;0&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suppressSpBfAfterPgBrk/&gt;&lt;w:doNotUseHTMLParagraphAutoSpacing/&gt;&lt;w:breakWrappedTables/&gt;&lt;w:snapToGridInCell/&gt;&lt;w:wrapTextWithPunct/&gt;&lt;w:useAsianBreakRules/&gt;&lt;/w:compat&gt;&lt;wsp:rsids&gt;&lt;wsp:rsidRoot wsp:val=&quot;00DC2081&quot;/&gt;&lt;wsp:rsid wsp:val=&quot;00001716&quot;/&gt;&lt;wsp:rsid wsp:val=&quot;00007ABB&quot;/&gt;&lt;wsp:rsid wsp:val=&quot;00021ACF&quot;/&gt;&lt;wsp:rsid wsp:val=&quot;00027E55&quot;/&gt;&lt;wsp:rsid wsp:val=&quot;00032A28&quot;/&gt;&lt;wsp:rsid wsp:val=&quot;00035185&quot;/&gt;&lt;wsp:rsid wsp:val=&quot;0003612E&quot;/&gt;&lt;wsp:rsid wsp:val=&quot;00050008&quot;/&gt;&lt;wsp:rsid wsp:val=&quot;000576EC&quot;/&gt;&lt;wsp:rsid wsp:val=&quot;0008510E&quot;/&gt;&lt;wsp:rsid wsp:val=&quot;000959CB&quot;/&gt;&lt;wsp:rsid wsp:val=&quot;000C20A6&quot;/&gt;&lt;wsp:rsid wsp:val=&quot;000D5C71&quot;/&gt;&lt;wsp:rsid wsp:val=&quot;000F4DEF&quot;/&gt;&lt;wsp:rsid wsp:val=&quot;00116E1B&quot;/&gt;&lt;wsp:rsid wsp:val=&quot;001221C3&quot;/&gt;&lt;wsp:rsid wsp:val=&quot;0013321C&quot;/&gt;&lt;wsp:rsid wsp:val=&quot;00153F5A&quot;/&gt;&lt;wsp:rsid wsp:val=&quot;001970E1&quot;/&gt;&lt;wsp:rsid wsp:val=&quot;001A1997&quot;/&gt;&lt;wsp:rsid wsp:val=&quot;001B6FD2&quot;/&gt;&lt;wsp:rsid wsp:val=&quot;001F48D9&quot;/&gt;&lt;wsp:rsid wsp:val=&quot;00207ABF&quot;/&gt;&lt;wsp:rsid wsp:val=&quot;00240B42&quot;/&gt;&lt;wsp:rsid wsp:val=&quot;00260B48&quot;/&gt;&lt;wsp:rsid wsp:val=&quot;0028581A&quot;/&gt;&lt;wsp:rsid wsp:val=&quot;002868D3&quot;/&gt;&lt;wsp:rsid wsp:val=&quot;00295B2A&quot;/&gt;&lt;wsp:rsid wsp:val=&quot;002A1361&quot;/&gt;&lt;wsp:rsid wsp:val=&quot;002A222C&quot;/&gt;&lt;wsp:rsid wsp:val=&quot;002A49D7&quot;/&gt;&lt;wsp:rsid wsp:val=&quot;002B1C5A&quot;/&gt;&lt;wsp:rsid wsp:val=&quot;002B3284&quot;/&gt;&lt;wsp:rsid wsp:val=&quot;002D60DB&quot;/&gt;&lt;wsp:rsid wsp:val=&quot;002D6A54&quot;/&gt;&lt;wsp:rsid wsp:val=&quot;002F134A&quot;/&gt;&lt;wsp:rsid wsp:val=&quot;002F1EF6&quot;/&gt;&lt;wsp:rsid wsp:val=&quot;002F66D0&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B57BB&quot;/&gt;&lt;wsp:rsid wsp:val=&quot;003C2615&quot;/&gt;&lt;wsp:rsid wsp:val=&quot;003D0318&quot;/&gt;&lt;wsp:rsid wsp:val=&quot;003D1F66&quot;/&gt;&lt;wsp:rsid wsp:val=&quot;003D5417&quot;/&gt;&lt;wsp:rsid wsp:val=&quot;00400F92&quot;/&gt;&lt;wsp:rsid wsp:val=&quot;004044F1&quot;/&gt;&lt;wsp:rsid wsp:val=&quot;0042424B&quot;/&gt;&lt;wsp:rsid wsp:val=&quot;00430D5D&quot;/&gt;&lt;wsp:rsid wsp:val=&quot;00436344&quot;/&gt;&lt;wsp:rsid wsp:val=&quot;004543E0&quot;/&gt;&lt;wsp:rsid wsp:val=&quot;0045652C&quot;/&gt;&lt;wsp:rsid wsp:val=&quot;00462497&quot;/&gt;&lt;wsp:rsid wsp:val=&quot;004805A3&quot;/&gt;&lt;wsp:rsid wsp:val=&quot;00490EB0&quot;/&gt;&lt;wsp:rsid wsp:val=&quot;004A088A&quot;/&gt;&lt;wsp:rsid wsp:val=&quot;004A618E&quot;/&gt;&lt;wsp:rsid wsp:val=&quot;004B119E&quot;/&gt;&lt;wsp:rsid wsp:val=&quot;004E4B2C&quot;/&gt;&lt;wsp:rsid wsp:val=&quot;004F1572&quot;/&gt;&lt;wsp:rsid wsp:val=&quot;00526270&quot;/&gt;&lt;wsp:rsid wsp:val=&quot;00534210&quot;/&gt;&lt;wsp:rsid wsp:val=&quot;00543478&quot;/&gt;&lt;wsp:rsid wsp:val=&quot;00545600&quot;/&gt;&lt;wsp:rsid wsp:val=&quot;00546A6A&quot;/&gt;&lt;wsp:rsid wsp:val=&quot;005545DF&quot;/&gt;&lt;wsp:rsid wsp:val=&quot;005630B0&quot;/&gt;&lt;wsp:rsid wsp:val=&quot;005660CD&quot;/&gt;&lt;wsp:rsid wsp:val=&quot;005720F2&quot;/&gt;&lt;wsp:rsid wsp:val=&quot;00596603&quot;/&gt;&lt;wsp:rsid wsp:val=&quot;005B4380&quot;/&gt;&lt;wsp:rsid wsp:val=&quot;005B76A4&quot;/&gt;&lt;wsp:rsid wsp:val=&quot;005C3384&quot;/&gt;&lt;wsp:rsid wsp:val=&quot;005C38A8&quot;/&gt;&lt;wsp:rsid wsp:val=&quot;005C416E&quot;/&gt;&lt;wsp:rsid wsp:val=&quot;005D1C3A&quot;/&gt;&lt;wsp:rsid wsp:val=&quot;005D2050&quot;/&gt;&lt;wsp:rsid wsp:val=&quot;005E43DD&quot;/&gt;&lt;wsp:rsid wsp:val=&quot;00600179&quot;/&gt;&lt;wsp:rsid wsp:val=&quot;00603FC0&quot;/&gt;&lt;wsp:rsid wsp:val=&quot;006127F2&quot;/&gt;&lt;wsp:rsid wsp:val=&quot;006208F5&quot;/&gt;&lt;wsp:rsid wsp:val=&quot;00636BF0&quot;/&gt;&lt;wsp:rsid wsp:val=&quot;00640C2E&quot;/&gt;&lt;wsp:rsid wsp:val=&quot;00646B6D&quot;/&gt;&lt;wsp:rsid wsp:val=&quot;00650F99&quot;/&gt;&lt;wsp:rsid wsp:val=&quot;00655908&quot;/&gt;&lt;wsp:rsid wsp:val=&quot;00663479&quot;/&gt;&lt;wsp:rsid wsp:val=&quot;006654F8&quot;/&gt;&lt;wsp:rsid wsp:val=&quot;00665768&quot;/&gt;&lt;wsp:rsid wsp:val=&quot;00667291&quot;/&gt;&lt;wsp:rsid wsp:val=&quot;0068545A&quot;/&gt;&lt;wsp:rsid wsp:val=&quot;00686249&quot;/&gt;&lt;wsp:rsid wsp:val=&quot;00687504&quot;/&gt;&lt;wsp:rsid wsp:val=&quot;006A171F&quot;/&gt;&lt;wsp:rsid wsp:val=&quot;006A4E5F&quot;/&gt;&lt;wsp:rsid wsp:val=&quot;006B282E&quot;/&gt;&lt;wsp:rsid wsp:val=&quot;006D3FAE&quot;/&gt;&lt;wsp:rsid wsp:val=&quot;006D4600&quot;/&gt;&lt;wsp:rsid wsp:val=&quot;006E0A2C&quot;/&gt;&lt;wsp:rsid wsp:val=&quot;006E202B&quot;/&gt;&lt;wsp:rsid wsp:val=&quot;006E25DF&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730C3&quot;/&gt;&lt;wsp:rsid wsp:val=&quot;0077453D&quot;/&gt;&lt;wsp:rsid wsp:val=&quot;007862A6&quot;/&gt;&lt;wsp:rsid wsp:val=&quot;007A7456&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7314B&quot;/&gt;&lt;wsp:rsid wsp:val=&quot;008A2A6D&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16E1B&quot;/&gt;&lt;wsp:rsid wsp:val=&quot;0092751F&quot;/&gt;&lt;wsp:rsid wsp:val=&quot;00932067&quot;/&gt;&lt;wsp:rsid wsp:val=&quot;0093594A&quot;/&gt;&lt;wsp:rsid wsp:val=&quot;00955D73&quot;/&gt;&lt;wsp:rsid wsp:val=&quot;0096512C&quot;/&gt;&lt;wsp:rsid wsp:val=&quot;0096540A&quot;/&gt;&lt;wsp:rsid wsp:val=&quot;0098180A&quot;/&gt;&lt;wsp:rsid wsp:val=&quot;0099547F&quot;/&gt;&lt;wsp:rsid wsp:val=&quot;009C5D2A&quot;/&gt;&lt;wsp:rsid wsp:val=&quot;00A06700&quot;/&gt;&lt;wsp:rsid wsp:val=&quot;00A1775B&quot;/&gt;&lt;wsp:rsid wsp:val=&quot;00A331E7&quot;/&gt;&lt;wsp:rsid wsp:val=&quot;00A34169&quot;/&gt;&lt;wsp:rsid wsp:val=&quot;00A35FF4&quot;/&gt;&lt;wsp:rsid wsp:val=&quot;00A41C3C&quot;/&gt;&lt;wsp:rsid wsp:val=&quot;00A430C1&quot;/&gt;&lt;wsp:rsid wsp:val=&quot;00AB2710&quot;/&gt;&lt;wsp:rsid wsp:val=&quot;00AC2AB4&quot;/&gt;&lt;wsp:rsid wsp:val=&quot;00AC7268&quot;/&gt;&lt;wsp:rsid wsp:val=&quot;00AD184B&quot;/&gt;&lt;wsp:rsid wsp:val=&quot;00AE488C&quot;/&gt;&lt;wsp:rsid wsp:val=&quot;00B0566D&quot;/&gt;&lt;wsp:rsid wsp:val=&quot;00B10BD6&quot;/&gt;&lt;wsp:rsid wsp:val=&quot;00B153C7&quot;/&gt;&lt;wsp:rsid wsp:val=&quot;00B16055&quot;/&gt;&lt;wsp:rsid wsp:val=&quot;00B35BD9&quot;/&gt;&lt;wsp:rsid wsp:val=&quot;00B37DE8&quot;/&gt;&lt;wsp:rsid wsp:val=&quot;00B44BA5&quot;/&gt;&lt;wsp:rsid wsp:val=&quot;00B928E7&quot;/&gt;&lt;wsp:rsid wsp:val=&quot;00BA5F7E&quot;/&gt;&lt;wsp:rsid wsp:val=&quot;00BB1CB5&quot;/&gt;&lt;wsp:rsid wsp:val=&quot;00BC6694&quot;/&gt;&lt;wsp:rsid wsp:val=&quot;00BC7E76&quot;/&gt;&lt;wsp:rsid wsp:val=&quot;00BE6C4F&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D3919&quot;/&gt;&lt;wsp:rsid wsp:val=&quot;00CE19C1&quot;/&gt;&lt;wsp:rsid wsp:val=&quot;00CF3E69&quot;/&gt;&lt;wsp:rsid wsp:val=&quot;00D01CFE&quot;/&gt;&lt;wsp:rsid wsp:val=&quot;00D07C4B&quot;/&gt;&lt;wsp:rsid wsp:val=&quot;00D225D8&quot;/&gt;&lt;wsp:rsid wsp:val=&quot;00D33A2E&quot;/&gt;&lt;wsp:rsid wsp:val=&quot;00D40FA5&quot;/&gt;&lt;wsp:rsid wsp:val=&quot;00D41862&quot;/&gt;&lt;wsp:rsid wsp:val=&quot;00D511A1&quot;/&gt;&lt;wsp:rsid wsp:val=&quot;00D8244C&quot;/&gt;&lt;wsp:rsid wsp:val=&quot;00D872BF&quot;/&gt;&lt;wsp:rsid wsp:val=&quot;00DC2081&quot;/&gt;&lt;wsp:rsid wsp:val=&quot;00DE01F6&quot;/&gt;&lt;wsp:rsid wsp:val=&quot;00DE2998&quot;/&gt;&lt;wsp:rsid wsp:val=&quot;00DE4223&quot;/&gt;&lt;wsp:rsid wsp:val=&quot;00DE6B60&quot;/&gt;&lt;wsp:rsid wsp:val=&quot;00DF1483&quot;/&gt;&lt;wsp:rsid wsp:val=&quot;00E06D10&quot;/&gt;&lt;wsp:rsid wsp:val=&quot;00E20458&quot;/&gt;&lt;wsp:rsid wsp:val=&quot;00E56487&quot;/&gt;&lt;wsp:rsid wsp:val=&quot;00E853F3&quot;/&gt;&lt;wsp:rsid wsp:val=&quot;00E85CE2&quot;/&gt;&lt;wsp:rsid wsp:val=&quot;00EC2491&quot;/&gt;&lt;wsp:rsid wsp:val=&quot;00ED2C42&quot;/&gt;&lt;wsp:rsid wsp:val=&quot;00EF3B2B&quot;/&gt;&lt;wsp:rsid wsp:val=&quot;00F00EE9&quot;/&gt;&lt;wsp:rsid wsp:val=&quot;00F10D80&quot;/&gt;&lt;wsp:rsid wsp:val=&quot;00F379DD&quot;/&gt;&lt;wsp:rsid wsp:val=&quot;00F47244&quot;/&gt;&lt;wsp:rsid wsp:val=&quot;00F511A7&quot;/&gt;&lt;wsp:rsid wsp:val=&quot;00F660F9&quot;/&gt;&lt;wsp:rsid wsp:val=&quot;00F93F5E&quot;/&gt;&lt;wsp:rsid wsp:val=&quot;00FA0F57&quot;/&gt;&lt;wsp:rsid wsp:val=&quot;00FA5F45&quot;/&gt;&lt;wsp:rsid wsp:val=&quot;00FA7522&quot;/&gt;&lt;wsp:rsid wsp:val=&quot;00FC2C59&quot;/&gt;&lt;wsp:rsid wsp:val=&quot;00FD178C&quot;/&gt;&lt;/wsp:rsids&gt;&lt;/w:docPr&gt;&lt;w:body&gt;&lt;wx:sect&gt;&lt;w:p wsp:rsidR=&quot;00000000&quot; wsp:rsidRPr=&quot;00A1775B&quot; wsp:rsidRDefault=&quot;00A1775B&quot; wsp:rsidP=&quot;00A1775B&quot;&gt;&lt;m:oMathPara&gt;&lt;m:oMath&gt;&lt;m:r&gt;&lt;w:rPr&gt;&lt;w:rFonts w:ascii=&quot;Cambria Math&quot; w:h-ansi=&quot;Cambria Math&quot; w:cs=&quot;Calibri&quot;/&gt;&lt;wx:font wx:val=&quot;Cambria Math&quot;/&gt;&lt;w:i/&gt;&lt;w:sz w:val=&quot;24&quot;/&gt;&lt;w:sz-cs w:val=&quot;24&quot;/&gt;&lt;/w:rPr&gt;&lt;m:t&gt;M&lt;/m:t&gt;&lt;/m:r&gt;&lt;m:sSub&gt;&lt;m:sSubPr&gt;&lt;m:ctrlPr&gt;&lt;w:rPr&gt;&lt;w:rFonts w:ascii=&quot;Cambria Math&quot; w:h-ansi=&quot;Cambria Math&quot; w:cs=&quot;Calibri&quot;/&gt;&lt;wx:font wx:val=&quot;Cambria Math&quot;/&gt;&lt;w:sz w:val=&quot;24&quot;/&gt;&lt;w:sz-cs w:val=&quot;24&quot;/&gt;&lt;/w:rPr&gt;&lt;/m:ctrlPr&gt;&lt;/m:sSubPr&gt;&lt;m:e&gt;&lt;m:r&gt;&lt;w:rPr&gt;&lt;w:rFonts w:ascii=&quot;Cambria Math&quot; w:h-ansi=&quot;Cambria Math&quot; w:cs=&quot;Calibri&quot;/&gt;&lt;wx:font wx:val=&quot;Cambria Math&quot;/&gt;&lt;w:i/&gt;&lt;w:sz w:val=&quot;24&quot;/&gt;&lt;w:sz-cs w:val=&quot;24&quot;/&gt;&lt;/w:rPr&gt;&lt;m:t&gt;E&lt;/m:t&gt;&lt;/m:r&gt;&lt;/m:e&gt;&lt;m:sub&gt;&lt;m:r&gt;&lt;w:rPr&gt;&lt;w:rFonts w:ascii=&quot;Cambria Math&quot; w:h-ansi=&quot;Cambria Math&quot; w:cs=&quot;Calibri&quot;/&gt;&lt;wx:font wx:val=&quot;Cambria Math&quot;/&gt;&lt;w:i/&gt;&lt;w:sz w:val=&quot;24&quot;/&gt;&lt;w:sz-cs w:val=&quot;24&quot;/&gt;&lt;/w:rPr&gt;&lt;m:t&gt;TOTAL&lt;/m:t&gt;&lt;/m:r&gt;&lt;/m:sub&gt;&lt;/m:sSub&gt;&lt;m:r&gt;&lt;m:rPr&gt;&lt;m:sty m:val=&quot;p&quot;/&gt;&lt;/m:rPr&gt;&lt;w:rPr&gt;&lt;w:rFonts w:ascii=&quot;Cambria Math&quot; w:h-ansi=&quot;Cambria Math&quot; w:cs=&quot;Calibri&quot;/&gt;&lt;wx:font wx:val=&quot;Cambria Math&quot;/&gt;&lt;w:sz w:val=&quot;24&quot;/&gt;&lt;w:sz-cs w:val=&quot;24&quot;/&gt;&lt;/w:rPr&gt;&lt;m:t&gt;=&lt;/m:t&gt;&lt;/m:r&gt;&lt;m:sSub&gt;&lt;m:sSubPr&gt;&lt;m:ctrlPr&gt;&lt;w:rPr&gt;&lt;w:rFonts w:ascii=&quot;Cambria Math&quot; w:h-ansi=&quot;Cambria Math&quot; w:cs=&quot;Calibri&quot;/&gt;&lt;wx:font wx:val=&quot;Cambria Math&quot;/&gt;&lt;w:sz w:val=&quot;24&quot;/&gt;&lt;w:sz-cs w:val=&quot;24&quot;/&gt;&lt;/w:rPr&gt;&lt;/m:ctrlPr&gt;&lt;/m:sSubPr&gt;&lt;m:e&gt;&lt;m:r&gt;&lt;w:rPr&gt;&lt;w:rFonts w:ascii=&quot;Cambria Math&quot; w:h-ansi=&quot;Cambria Math&quot; w:cs=&quot;Calibri&quot;/&gt;&lt;wx:font wx:val=&quot;Cambria Math&quot;/&gt;&lt;w:i/&gt;&lt;w:sz w:val=&quot;24&quot;/&gt;&lt;w:sz-cs w:val=&quot;24&quot;/&gt;&lt;/w:rPr&gt;&lt;m:t&gt;ME&lt;/m:t&gt;&lt;/m:r&gt;&lt;/m:e&gt;&lt;m:sub&gt;&lt;m:r&gt;&lt;w:rPr&gt;&lt;w:rFonts w:ascii=&quot;Cambria Math&quot; w:h-ansi=&quot;Cambria Math&quot; w:cs=&quot;Calibri&quot;/&gt;&lt;wx:font wx:val=&quot;Cambria Math&quot;/&gt;&lt;w:i/&gt;&lt;w:sz w:val=&quot;24&quot;/&gt;&lt;w:sz-cs w:val=&quot;24&quot;/&gt;&lt;/w:rPr&gt;&lt;m:t&gt;BASAL&lt;/m:t&gt;&lt;/m:r&gt;&lt;/m:sub&gt;&lt;/m:sSub&gt;&lt;m:r&gt;&lt;m:rPr&gt;&lt;m:sty m:val=&quot;p&quot;/&gt;&lt;/m:rPr&gt;&lt;w:rPr&gt;&lt;w:rFonts w:ascii=&quot;Cambria Math&quot; w:h-ansi=&quot;Cambria Math&quot; w:cs=&quot;Calibri&quot;/&gt;&lt;wx:font wx:val=&quot;Cambria Math&quot;/&gt;&lt;w:sz w:val=&quot;24&quot;/&gt;&lt;w:sz-cs w:val=&quot;24&quot;/&gt;&lt;/w:rPr&gt;&lt;m:t&gt;+1.1&lt;/m:t&gt;&lt;/m:r&gt;&lt;m:sSub&gt;&lt;m:sSubPr&gt;&lt;m:ctrlPr&gt;&lt;w:rPr&gt;&lt;w:rFonts w:ascii=&quot;Cambria Math&quot; w:h-ansi=&quot;Cambria Math&quot; w:cs=&quot;Calibri&quot;/&gt;&lt;wx:font wx:val=&quot;Cambria Math&quot;/&gt;&lt;w:sz w:val=&quot;24&quot;/&gt;&lt;w:sz-cs w:val=&quot;24&quot;/&gt;&lt;/w:rPr&gt;&lt;/m:ctrlPr&gt;&lt;/m:sSubPr&gt;&lt;m:e&gt;&lt;m:r&gt;&lt;w:rPr&gt;&lt;w:rFonts w:ascii=&quot;Cambria Math&quot; w:h-ansi=&quot;Cambria Math&quot; w:cs=&quot;Calibri&quot;/&gt;&lt;wx:font wx:val=&quot;Cambria Math&quot;/&gt;&lt;w:i/&gt;&lt;w:sz w:val=&quot;24&quot;/&gt;&lt;w:sz-cs w:val=&quot;24&quot;/&gt;&lt;/w:rPr&gt;&lt;m:t&gt;ME&lt;/m:t&gt;&lt;/m:r&gt;&lt;/m:e&gt;&lt;m:sub&gt;&lt;m:r&gt;&lt;w:rPr&gt;&lt;w:rFonts w:ascii=&quot;Cambria Math&quot; w:h-ansi=&quot;Cambria Math&quot; w:cs=&quot;Calibri&quot;/&gt;&lt;wx:font wx:val=&quot;Cambria Math&quot;/&gt;&lt;w:i/&gt;&lt;w:sz w:val=&quot;24&quot;/&gt;&lt;w:sz-cs w:val=&quot;24&quot;/&gt;&lt;/w:rPr&gt;&lt;m:t&gt;P&lt;/m:t&gt;&lt;/m:r&gt;&lt;/m:sub&gt;&lt;/m:sSub&gt;&lt;m:r&gt;&lt;m:rPr&gt;&lt;m:sty m:val=&quot;p&quot;/&gt;&lt;/m:rPr&gt;&lt;w:rPr&gt;&lt;w:rFonts w:ascii=&quot;Cambria Math&quot; w:h-ansi=&quot;Cambria Math&quot; w:cs=&quot;Calibri&quot;/&gt;&lt;wx:font wx:val=&quot;Cambria Math&quot;/&gt;&lt;w:sz w:val=&quot;24&quot;/&gt;&lt;w:sz-cs w:val=&quot;24&quot;/&gt;&lt;/w:rPr&gt;&lt;m:t&gt;+&lt;/m:t&gt;&lt;/m:r&gt;&lt;m:sSub&gt;&lt;m:sSubPr&gt;&lt;m:ctrlPr&gt;&lt;w:rPr&gt;&lt;w:rFonts w:ascii=&quot;Cambria Math&quot; w:h-ansi=&quot;Cambria Math&quot; w:cs=&quot;Calibri&quot;/&gt;&lt;wx:font wx:val=&quot;Cambria Math&quot;/&gt;&lt;w:sz w:val=&quot;24&quot;/&gt;&lt;w:sz-cs w:val=&quot;24&quot;/&gt;&lt;/w:rPr&gt;&lt;/m:ctrlPr&gt;&lt;/m:sSubPr&gt;&lt;m:e&gt;&lt;m:r&gt;&lt;w:rPr&gt;&lt;w:rFonts w:ascii=&quot;Cambria Math&quot; w:h-ansi=&quot;Cambria Math&quot; w:cs=&quot;Calibri&quot;/&gt;&lt;wx:font wx:val=&quot;Cambria Math&quot;/&gt;&lt;w:i/&gt;&lt;w:sz w:val=&quot;24&quot;/&gt;&lt;w:sz-cs w:val=&quot;24&quot;/&gt;&lt;/w:rPr&gt;&lt;m:t&gt;ME&lt;/m:t&gt;&lt;/m:r&gt;&lt;/m:e&gt;&lt;m:sub&gt;&lt;m:r&gt;&lt;w:rPr&gt;&lt;w:rFonts w:ascii=&quot;Cambria Math&quot; w:h-ansi=&quot;Cambria Math&quot; w:cs=&quot;Calibri&quot;/&gt;&lt;wx:font wx:val=&quot;Cambria Math&quot;/&gt;&lt;w:i/&gt;&lt;w:sz w:val=&quot;24&quot;/&gt;&lt;w:sz-cs w:val=&quot;24&quot;/&gt;&lt;/w:rPr&gt;&lt;m:t&gt;GRAZE&lt;/m:t&gt;&lt;/m:r&gt;&lt;/m:sub&gt;&lt;/m:sSub&gt;&lt;m:r&gt;&lt;w:rPr&gt;&lt;w:rFonts w:ascii=&quot;Cambria Math&quot; w:h-ansi=&quot;Cambria Math&quot; w:cs=&quot;Calibri&quot;/&gt;&lt;wx:font wx:val=&quot;Cambria Math&quot;/&gt;&lt;w:i/&gt;&lt;w:sz w:val=&quot;24&quot;/&gt;&lt;w:sz-cs w:val=&quot;24&quot;/&gt;&lt;/w:rPr&gt;&lt;m:t&gt;+&lt;/m:t&gt;&lt;/m:r&gt;&lt;m:sSub&gt;&lt;m:sSubPr&gt;&lt;m:ctrlPr&gt;&lt;w:rPr&gt;&lt;w:rFonts w:ascii=&quot;Cambria Math&quot; w:h-ansi=&quot;Cambria Math&quot; w:cs=&quot;Calibri&quot;/&gt;&lt;wx:font wx:val=&quot;Cambria Math&quot;/&gt;&lt;w:i/&gt;&lt;w:sz w:val=&quot;24&quot;/&gt;&lt;w:sz-cs w:val=&quot;24&quot;/&gt;&lt;/w:rPr&gt;&lt;/m:ctrlPr&gt;&lt;/m:sSubPr&gt;&lt;m:e&gt;&lt;m:r&gt;&lt;w:rPr&gt;&lt;w:rFonts w:ascii=&quot;Cambria Math&quot; w:h-ansi=&quot;Cambria Math&quot; w:cs=&quot;Calibri&quot;/&gt;&lt;wx:font wx:val=&quot;Cambria Math&quot;/&gt;&lt;w:i/&gt;&lt;w:sz w:val=&quot;24&quot;/&gt;&lt;w:sz-cs w:val=&quot;24&quot;/&gt;&lt;/w:rPr&gt;&lt;m:t&gt;ME&lt;/m:t&gt;&lt;/m:r&gt;&lt;/m:e&gt;&lt;m:sub&gt;&lt;m:r&gt;&lt;w:rPr&gt;&lt;w:rFonts w:ascii=&quot;Cambria Math&quot; w:h-ansi=&quot;Cambria Math&quot; w:cs=&quot;Calibri&quot;/&gt;&lt;wx:font wx:val=&quot;Cambria Math&quot;/&gt;&lt;w:i/&gt;&lt;w:sz w:val=&quot;24&quot;/&gt;&lt;w:sz-cs w:val=&quot;24&quot;/&gt;&lt;/w:rPr&gt;&lt;m:t&gt;c&lt;/m:t&gt;&lt;/m:r&gt;&lt;/m:sub&gt;&lt;/m:sSub&gt;&lt;/m:oMath&gt;&lt;/m:oMathPara&gt;&lt;/w:p&gt;&lt;w:sectPr wsp:rsidR=&quot;00000000&quot; wsp:rsidRPr=&quot;00A1775B&quot;&gt;&lt;w:pgSz w:w=&quot;12240&quot; w:h=&quot;15840&quot;/&gt;&lt;w:pgMar w:top=&quot;1440&quot; w:right=&quot;1440&quot; w:bottom=&quot;1440&quot; w:left=&quot;1440&quot; w:header=&quot;720&quot; w:footer=&quot;720&quot; w:gutter=&quot;0&quot;/&gt;&lt;w:cols w:space=&quot;720&quot;/&gt;&lt;/w:sectPr&gt;&lt;/wx:sect&gt;&lt;/w:body&gt;&lt;/w:wordDocument&gt;">
            <v:imagedata r:id="rId106" o:title="" chromakey="white"/>
          </v:shape>
        </w:pict>
      </w:r>
    </w:p>
    <w:p w14:paraId="46ED1DBB" w14:textId="77777777" w:rsidR="004543E0" w:rsidRPr="009660EC" w:rsidRDefault="004543E0" w:rsidP="004543E0">
      <w:pPr>
        <w:pStyle w:val="BodyText"/>
        <w:tabs>
          <w:tab w:val="left" w:pos="964"/>
        </w:tabs>
        <w:spacing w:after="60"/>
      </w:pPr>
      <w:r w:rsidRPr="009660EC">
        <w:t xml:space="preserve">Where: </w:t>
      </w:r>
      <w:r w:rsidRPr="009660EC">
        <w:tab/>
        <w:t>ME</w:t>
      </w:r>
      <w:r w:rsidRPr="009660EC">
        <w:rPr>
          <w:vertAlign w:val="subscript"/>
        </w:rPr>
        <w:t>BASAL</w:t>
      </w:r>
      <w:r w:rsidRPr="009660EC">
        <w:t xml:space="preserve"> is the energy requirement for maintenance</w:t>
      </w:r>
    </w:p>
    <w:p w14:paraId="119A7943" w14:textId="77777777" w:rsidR="004543E0" w:rsidRPr="009660EC" w:rsidRDefault="004543E0" w:rsidP="004543E0">
      <w:pPr>
        <w:pStyle w:val="BodyText"/>
        <w:tabs>
          <w:tab w:val="left" w:pos="964"/>
        </w:tabs>
        <w:spacing w:before="60" w:after="60"/>
      </w:pPr>
      <w:r w:rsidRPr="009660EC">
        <w:tab/>
        <w:t>ME</w:t>
      </w:r>
      <w:r w:rsidRPr="009660EC">
        <w:rPr>
          <w:vertAlign w:val="subscript"/>
        </w:rPr>
        <w:t>P</w:t>
      </w:r>
      <w:r w:rsidRPr="009660EC">
        <w:t xml:space="preserve"> is the energy used directly for production (meat, milk, wool and so on) </w:t>
      </w:r>
    </w:p>
    <w:p w14:paraId="6E2AA926" w14:textId="77777777" w:rsidR="004543E0" w:rsidRPr="009660EC" w:rsidRDefault="004543E0" w:rsidP="004543E0">
      <w:pPr>
        <w:pStyle w:val="BodyText"/>
        <w:tabs>
          <w:tab w:val="left" w:pos="964"/>
        </w:tabs>
        <w:spacing w:before="60" w:after="60"/>
      </w:pPr>
      <w:r w:rsidRPr="009660EC">
        <w:tab/>
        <w:t>ME</w:t>
      </w:r>
      <w:r w:rsidRPr="009660EC">
        <w:rPr>
          <w:vertAlign w:val="subscript"/>
        </w:rPr>
        <w:t>GRAZE</w:t>
      </w:r>
      <w:r w:rsidRPr="009660EC">
        <w:t xml:space="preserve"> is the additional energy required by grazing livestock, and</w:t>
      </w:r>
    </w:p>
    <w:p w14:paraId="75A7FE47" w14:textId="77777777" w:rsidR="004543E0" w:rsidRPr="009660EC" w:rsidRDefault="004543E0" w:rsidP="004543E0">
      <w:pPr>
        <w:pStyle w:val="BodyText"/>
        <w:tabs>
          <w:tab w:val="left" w:pos="964"/>
        </w:tabs>
        <w:spacing w:before="60"/>
      </w:pPr>
      <w:r w:rsidRPr="009660EC">
        <w:tab/>
        <w:t>ME</w:t>
      </w:r>
      <w:r w:rsidRPr="009660EC">
        <w:rPr>
          <w:vertAlign w:val="subscript"/>
        </w:rPr>
        <w:t>c</w:t>
      </w:r>
      <w:r w:rsidRPr="009660EC">
        <w:t xml:space="preserve"> is the energy used for gestation or growth of the conceptus (MJ/d).</w:t>
      </w:r>
    </w:p>
    <w:p w14:paraId="48D2E427" w14:textId="77777777" w:rsidR="004543E0" w:rsidRPr="009660EC" w:rsidRDefault="004543E0" w:rsidP="004543E0">
      <w:pPr>
        <w:pStyle w:val="BodyText"/>
      </w:pPr>
      <w:r w:rsidRPr="009660EC">
        <w:t>And:</w:t>
      </w:r>
    </w:p>
    <w:p w14:paraId="5D877778" w14:textId="52031DE1" w:rsidR="004543E0" w:rsidRPr="009660EC" w:rsidRDefault="004B48CC" w:rsidP="004543E0">
      <w:pPr>
        <w:tabs>
          <w:tab w:val="left" w:pos="1418"/>
        </w:tabs>
        <w:spacing w:before="60" w:after="120"/>
        <w:jc w:val="center"/>
        <w:rPr>
          <w:rFonts w:cs="Calibri"/>
          <w:sz w:val="24"/>
          <w:szCs w:val="24"/>
        </w:rPr>
      </w:pPr>
      <w:r>
        <w:pict w14:anchorId="1A0BCEA4">
          <v:shape id="_x0000_i1076" type="#_x0000_t75" style="width:346.6pt;height:31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20&quot;/&gt;&lt;w:doNotEmbedSystemFonts/&gt;&lt;w:activeWritingStyle w:lang=&quot;EN-NZ&quot; w:vendorID=&quot;64&quot; w:dllVersion=&quot;6&quot; w:nlCheck=&quot;on&quot; w:optionSet=&quot;1&quot;/&gt;&lt;w:activeWritingStyle w:lang=&quot;EN-NZ&quot; w:vendorID=&quot;64&quot; w:dllVersion=&quot;0&quot; w:nlCheck=&quot;on&quot; w:optionSet=&quot;0&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suppressSpBfAfterPgBrk/&gt;&lt;w:doNotUseHTMLParagraphAutoSpacing/&gt;&lt;w:breakWrappedTables/&gt;&lt;w:snapToGridInCell/&gt;&lt;w:wrapTextWithPunct/&gt;&lt;w:useAsianBreakRules/&gt;&lt;/w:compat&gt;&lt;wsp:rsids&gt;&lt;wsp:rsidRoot wsp:val=&quot;00DC2081&quot;/&gt;&lt;wsp:rsid wsp:val=&quot;00001716&quot;/&gt;&lt;wsp:rsid wsp:val=&quot;00007ABB&quot;/&gt;&lt;wsp:rsid wsp:val=&quot;00021ACF&quot;/&gt;&lt;wsp:rsid wsp:val=&quot;00027E55&quot;/&gt;&lt;wsp:rsid wsp:val=&quot;00032A28&quot;/&gt;&lt;wsp:rsid wsp:val=&quot;00035185&quot;/&gt;&lt;wsp:rsid wsp:val=&quot;0003612E&quot;/&gt;&lt;wsp:rsid wsp:val=&quot;00050008&quot;/&gt;&lt;wsp:rsid wsp:val=&quot;000576EC&quot;/&gt;&lt;wsp:rsid wsp:val=&quot;0008510E&quot;/&gt;&lt;wsp:rsid wsp:val=&quot;000959CB&quot;/&gt;&lt;wsp:rsid wsp:val=&quot;000C20A6&quot;/&gt;&lt;wsp:rsid wsp:val=&quot;000D5C71&quot;/&gt;&lt;wsp:rsid wsp:val=&quot;000F4DEF&quot;/&gt;&lt;wsp:rsid wsp:val=&quot;00116E1B&quot;/&gt;&lt;wsp:rsid wsp:val=&quot;001221C3&quot;/&gt;&lt;wsp:rsid wsp:val=&quot;0013321C&quot;/&gt;&lt;wsp:rsid wsp:val=&quot;00153F5A&quot;/&gt;&lt;wsp:rsid wsp:val=&quot;001970E1&quot;/&gt;&lt;wsp:rsid wsp:val=&quot;001A1997&quot;/&gt;&lt;wsp:rsid wsp:val=&quot;001B6FD2&quot;/&gt;&lt;wsp:rsid wsp:val=&quot;001F48D9&quot;/&gt;&lt;wsp:rsid wsp:val=&quot;00207ABF&quot;/&gt;&lt;wsp:rsid wsp:val=&quot;00240B42&quot;/&gt;&lt;wsp:rsid wsp:val=&quot;00260B48&quot;/&gt;&lt;wsp:rsid wsp:val=&quot;0028581A&quot;/&gt;&lt;wsp:rsid wsp:val=&quot;002868D3&quot;/&gt;&lt;wsp:rsid wsp:val=&quot;00295B2A&quot;/&gt;&lt;wsp:rsid wsp:val=&quot;002A1361&quot;/&gt;&lt;wsp:rsid wsp:val=&quot;002A222C&quot;/&gt;&lt;wsp:rsid wsp:val=&quot;002A49D7&quot;/&gt;&lt;wsp:rsid wsp:val=&quot;002B1C5A&quot;/&gt;&lt;wsp:rsid wsp:val=&quot;002B3284&quot;/&gt;&lt;wsp:rsid wsp:val=&quot;002C1B8B&quot;/&gt;&lt;wsp:rsid wsp:val=&quot;002D60DB&quot;/&gt;&lt;wsp:rsid wsp:val=&quot;002D6A54&quot;/&gt;&lt;wsp:rsid wsp:val=&quot;002F134A&quot;/&gt;&lt;wsp:rsid wsp:val=&quot;002F1EF6&quot;/&gt;&lt;wsp:rsid wsp:val=&quot;002F66D0&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B57BB&quot;/&gt;&lt;wsp:rsid wsp:val=&quot;003C2615&quot;/&gt;&lt;wsp:rsid wsp:val=&quot;003D0318&quot;/&gt;&lt;wsp:rsid wsp:val=&quot;003D1F66&quot;/&gt;&lt;wsp:rsid wsp:val=&quot;003D5417&quot;/&gt;&lt;wsp:rsid wsp:val=&quot;00400F92&quot;/&gt;&lt;wsp:rsid wsp:val=&quot;004044F1&quot;/&gt;&lt;wsp:rsid wsp:val=&quot;0042424B&quot;/&gt;&lt;wsp:rsid wsp:val=&quot;00430D5D&quot;/&gt;&lt;wsp:rsid wsp:val=&quot;00436344&quot;/&gt;&lt;wsp:rsid wsp:val=&quot;004543E0&quot;/&gt;&lt;wsp:rsid wsp:val=&quot;0045652C&quot;/&gt;&lt;wsp:rsid wsp:val=&quot;00462497&quot;/&gt;&lt;wsp:rsid wsp:val=&quot;004805A3&quot;/&gt;&lt;wsp:rsid wsp:val=&quot;00490EB0&quot;/&gt;&lt;wsp:rsid wsp:val=&quot;004A088A&quot;/&gt;&lt;wsp:rsid wsp:val=&quot;004A618E&quot;/&gt;&lt;wsp:rsid wsp:val=&quot;004B119E&quot;/&gt;&lt;wsp:rsid wsp:val=&quot;004E4B2C&quot;/&gt;&lt;wsp:rsid wsp:val=&quot;004F1572&quot;/&gt;&lt;wsp:rsid wsp:val=&quot;00526270&quot;/&gt;&lt;wsp:rsid wsp:val=&quot;00534210&quot;/&gt;&lt;wsp:rsid wsp:val=&quot;00543478&quot;/&gt;&lt;wsp:rsid wsp:val=&quot;00545600&quot;/&gt;&lt;wsp:rsid wsp:val=&quot;00546A6A&quot;/&gt;&lt;wsp:rsid wsp:val=&quot;005545DF&quot;/&gt;&lt;wsp:rsid wsp:val=&quot;005630B0&quot;/&gt;&lt;wsp:rsid wsp:val=&quot;005660CD&quot;/&gt;&lt;wsp:rsid wsp:val=&quot;005720F2&quot;/&gt;&lt;wsp:rsid wsp:val=&quot;00596603&quot;/&gt;&lt;wsp:rsid wsp:val=&quot;005B4380&quot;/&gt;&lt;wsp:rsid wsp:val=&quot;005B76A4&quot;/&gt;&lt;wsp:rsid wsp:val=&quot;005C3384&quot;/&gt;&lt;wsp:rsid wsp:val=&quot;005C38A8&quot;/&gt;&lt;wsp:rsid wsp:val=&quot;005C416E&quot;/&gt;&lt;wsp:rsid wsp:val=&quot;005D1C3A&quot;/&gt;&lt;wsp:rsid wsp:val=&quot;005D2050&quot;/&gt;&lt;wsp:rsid wsp:val=&quot;005E43DD&quot;/&gt;&lt;wsp:rsid wsp:val=&quot;00600179&quot;/&gt;&lt;wsp:rsid wsp:val=&quot;00603FC0&quot;/&gt;&lt;wsp:rsid wsp:val=&quot;006127F2&quot;/&gt;&lt;wsp:rsid wsp:val=&quot;006208F5&quot;/&gt;&lt;wsp:rsid wsp:val=&quot;00636BF0&quot;/&gt;&lt;wsp:rsid wsp:val=&quot;00640C2E&quot;/&gt;&lt;wsp:rsid wsp:val=&quot;00646B6D&quot;/&gt;&lt;wsp:rsid wsp:val=&quot;00650F99&quot;/&gt;&lt;wsp:rsid wsp:val=&quot;00655908&quot;/&gt;&lt;wsp:rsid wsp:val=&quot;00663479&quot;/&gt;&lt;wsp:rsid wsp:val=&quot;006654F8&quot;/&gt;&lt;wsp:rsid wsp:val=&quot;00665768&quot;/&gt;&lt;wsp:rsid wsp:val=&quot;00667291&quot;/&gt;&lt;wsp:rsid wsp:val=&quot;0068545A&quot;/&gt;&lt;wsp:rsid wsp:val=&quot;00686249&quot;/&gt;&lt;wsp:rsid wsp:val=&quot;00687504&quot;/&gt;&lt;wsp:rsid wsp:val=&quot;006A171F&quot;/&gt;&lt;wsp:rsid wsp:val=&quot;006A4E5F&quot;/&gt;&lt;wsp:rsid wsp:val=&quot;006B282E&quot;/&gt;&lt;wsp:rsid wsp:val=&quot;006D3FAE&quot;/&gt;&lt;wsp:rsid wsp:val=&quot;006D4600&quot;/&gt;&lt;wsp:rsid wsp:val=&quot;006E0A2C&quot;/&gt;&lt;wsp:rsid wsp:val=&quot;006E202B&quot;/&gt;&lt;wsp:rsid wsp:val=&quot;006E25DF&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730C3&quot;/&gt;&lt;wsp:rsid wsp:val=&quot;0077453D&quot;/&gt;&lt;wsp:rsid wsp:val=&quot;007862A6&quot;/&gt;&lt;wsp:rsid wsp:val=&quot;007A7456&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7314B&quot;/&gt;&lt;wsp:rsid wsp:val=&quot;008A2A6D&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16E1B&quot;/&gt;&lt;wsp:rsid wsp:val=&quot;0092751F&quot;/&gt;&lt;wsp:rsid wsp:val=&quot;00932067&quot;/&gt;&lt;wsp:rsid wsp:val=&quot;0093594A&quot;/&gt;&lt;wsp:rsid wsp:val=&quot;00955D73&quot;/&gt;&lt;wsp:rsid wsp:val=&quot;0096512C&quot;/&gt;&lt;wsp:rsid wsp:val=&quot;0096540A&quot;/&gt;&lt;wsp:rsid wsp:val=&quot;0098180A&quot;/&gt;&lt;wsp:rsid wsp:val=&quot;0099547F&quot;/&gt;&lt;wsp:rsid wsp:val=&quot;009C5D2A&quot;/&gt;&lt;wsp:rsid wsp:val=&quot;00A06700&quot;/&gt;&lt;wsp:rsid wsp:val=&quot;00A331E7&quot;/&gt;&lt;wsp:rsid wsp:val=&quot;00A34169&quot;/&gt;&lt;wsp:rsid wsp:val=&quot;00A35FF4&quot;/&gt;&lt;wsp:rsid wsp:val=&quot;00A41C3C&quot;/&gt;&lt;wsp:rsid wsp:val=&quot;00A430C1&quot;/&gt;&lt;wsp:rsid wsp:val=&quot;00AB2710&quot;/&gt;&lt;wsp:rsid wsp:val=&quot;00AC2AB4&quot;/&gt;&lt;wsp:rsid wsp:val=&quot;00AC7268&quot;/&gt;&lt;wsp:rsid wsp:val=&quot;00AD184B&quot;/&gt;&lt;wsp:rsid wsp:val=&quot;00AE488C&quot;/&gt;&lt;wsp:rsid wsp:val=&quot;00B0566D&quot;/&gt;&lt;wsp:rsid wsp:val=&quot;00B10BD6&quot;/&gt;&lt;wsp:rsid wsp:val=&quot;00B153C7&quot;/&gt;&lt;wsp:rsid wsp:val=&quot;00B16055&quot;/&gt;&lt;wsp:rsid wsp:val=&quot;00B35BD9&quot;/&gt;&lt;wsp:rsid wsp:val=&quot;00B37DE8&quot;/&gt;&lt;wsp:rsid wsp:val=&quot;00B44BA5&quot;/&gt;&lt;wsp:rsid wsp:val=&quot;00B928E7&quot;/&gt;&lt;wsp:rsid wsp:val=&quot;00BA5F7E&quot;/&gt;&lt;wsp:rsid wsp:val=&quot;00BB1CB5&quot;/&gt;&lt;wsp:rsid wsp:val=&quot;00BC6694&quot;/&gt;&lt;wsp:rsid wsp:val=&quot;00BC7E76&quot;/&gt;&lt;wsp:rsid wsp:val=&quot;00BE6C4F&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D3919&quot;/&gt;&lt;wsp:rsid wsp:val=&quot;00CE19C1&quot;/&gt;&lt;wsp:rsid wsp:val=&quot;00CF3E69&quot;/&gt;&lt;wsp:rsid wsp:val=&quot;00D01CFE&quot;/&gt;&lt;wsp:rsid wsp:val=&quot;00D07C4B&quot;/&gt;&lt;wsp:rsid wsp:val=&quot;00D225D8&quot;/&gt;&lt;wsp:rsid wsp:val=&quot;00D33A2E&quot;/&gt;&lt;wsp:rsid wsp:val=&quot;00D40FA5&quot;/&gt;&lt;wsp:rsid wsp:val=&quot;00D41862&quot;/&gt;&lt;wsp:rsid wsp:val=&quot;00D511A1&quot;/&gt;&lt;wsp:rsid wsp:val=&quot;00D8244C&quot;/&gt;&lt;wsp:rsid wsp:val=&quot;00D872BF&quot;/&gt;&lt;wsp:rsid wsp:val=&quot;00DC2081&quot;/&gt;&lt;wsp:rsid wsp:val=&quot;00DE01F6&quot;/&gt;&lt;wsp:rsid wsp:val=&quot;00DE2998&quot;/&gt;&lt;wsp:rsid wsp:val=&quot;00DE4223&quot;/&gt;&lt;wsp:rsid wsp:val=&quot;00DE6B60&quot;/&gt;&lt;wsp:rsid wsp:val=&quot;00DF1483&quot;/&gt;&lt;wsp:rsid wsp:val=&quot;00E06D10&quot;/&gt;&lt;wsp:rsid wsp:val=&quot;00E20458&quot;/&gt;&lt;wsp:rsid wsp:val=&quot;00E56487&quot;/&gt;&lt;wsp:rsid wsp:val=&quot;00E853F3&quot;/&gt;&lt;wsp:rsid wsp:val=&quot;00E85CE2&quot;/&gt;&lt;wsp:rsid wsp:val=&quot;00EC2491&quot;/&gt;&lt;wsp:rsid wsp:val=&quot;00ED2C42&quot;/&gt;&lt;wsp:rsid wsp:val=&quot;00EF3B2B&quot;/&gt;&lt;wsp:rsid wsp:val=&quot;00F00EE9&quot;/&gt;&lt;wsp:rsid wsp:val=&quot;00F10D80&quot;/&gt;&lt;wsp:rsid wsp:val=&quot;00F379DD&quot;/&gt;&lt;wsp:rsid wsp:val=&quot;00F47244&quot;/&gt;&lt;wsp:rsid wsp:val=&quot;00F511A7&quot;/&gt;&lt;wsp:rsid wsp:val=&quot;00F660F9&quot;/&gt;&lt;wsp:rsid wsp:val=&quot;00F93F5E&quot;/&gt;&lt;wsp:rsid wsp:val=&quot;00FA0F57&quot;/&gt;&lt;wsp:rsid wsp:val=&quot;00FA5F45&quot;/&gt;&lt;wsp:rsid wsp:val=&quot;00FA7522&quot;/&gt;&lt;wsp:rsid wsp:val=&quot;00FC2C59&quot;/&gt;&lt;wsp:rsid wsp:val=&quot;00FD178C&quot;/&gt;&lt;/wsp:rsids&gt;&lt;/w:docPr&gt;&lt;w:body&gt;&lt;wx:sect&gt;&lt;w:p wsp:rsidR=&quot;00000000&quot; wsp:rsidRPr=&quot;002C1B8B&quot; wsp:rsidRDefault=&quot;002C1B8B&quot; wsp:rsidP=&quot;002C1B8B&quot;&gt;&lt;m:oMathPara&gt;&lt;m:oMath&gt;&lt;m:r&gt;&lt;w:rPr&gt;&lt;w:rFonts w:ascii=&quot;Cambria Math&quot; w:h-ansi=&quot;Cambria Math&quot; w:cs=&quot;Calibri&quot;/&gt;&lt;wx:font wx:val=&quot;Cambria Math&quot;/&gt;&lt;w:i/&gt;&lt;w:sz w:val=&quot;24&quot;/&gt;&lt;w:sz-cs w:val=&quot;24&quot;/&gt;&lt;/w:rPr&gt;&lt;m:t&gt;M&lt;/m:t&gt;&lt;/m:r&gt;&lt;m:sSub&gt;&lt;m:sSubPr&gt;&lt;m:ctrlPr&gt;&lt;w:rPr&gt;&lt;w:rFonts w:ascii=&quot;Cambria Math&quot; w:h-ansi=&quot;Cambria Math&quot; w:cs=&quot;Calibri&quot;/&gt;&lt;wx:font wx:val=&quot;Cambria Math&quot;/&gt;&lt;w:sz w:val=&quot;24&quot;/&gt;&lt;w:sz-cs w:val=&quot;24&quot;/&gt;&lt;/w:rPr&gt;&lt;/m:ctrlPr&gt;&lt;/m:sSubPr&gt;&lt;m:e&gt;&lt;m:r&gt;&lt;w:rPr&gt;&lt;w:rFonts w:ascii=&quot;Cambria Math&quot; w:h-ansi=&quot;Cambria Math&quot; w:cs=&quot;Calibri&quot;/&gt;&lt;wx:font wx:val=&quot;Cambria Math&quot;/&gt;&lt;w:i/&gt;&lt;w:sz w:val=&quot;24&quot;/&gt;&lt;w:sz-cs w:val=&quot;24&quot;/&gt;&lt;/w:rPr&gt;&lt;m:t&gt;E&lt;/m:t&gt;&lt;/m:r&gt;&lt;/m:e&gt;&lt;m:sub&gt;&lt;m:r&gt;&lt;w:rPr&gt;&lt;w:rFonts w:ascii=&quot;Cambria Math&quot; w:h-ansi=&quot;Cambria Math&quot; w:cs=&quot;Calibri&quot;/&gt;&lt;wx:font wx:val=&quot;Cambria Math&quot;/&gt;&lt;w:i/&gt;&lt;w:sz w:val=&quot;24&quot;/&gt;&lt;w:sz-cs w:val=&quot;24&quot;/&gt;&lt;/w:rPr&gt;&lt;m:t&gt;TOTAL&lt;/m:t&gt;&lt;/m:r&gt;&lt;/m:sub&gt;&lt;/m:sSub&gt;&lt;m:r&gt;&lt;m:rPr&gt;&lt;m:sty m:val=&quot;p&quot;/&gt;&lt;/m:rPr&gt;&lt;w:rPr&gt;&lt;w:rFonts w:ascii=&quot;Cambria Math&quot; w:h-ansi=&quot;Cambria Math&quot; w:cs=&quot;Calibri&quot;/&gt;&lt;wx:font wx:val=&quot;Cambria Math&quot;/&gt;&lt;w:sz w:val=&quot;24&quot;/&gt;&lt;w:sz-cs w:val=&quot;24&quot;/&gt;&lt;/w:rPr&gt;&lt;m:t&gt;=&lt;/m:t&gt;&lt;/m:r&gt;&lt;m:f&gt;&lt;m:fPr&gt;&lt;m:ctrlPr&gt;&lt;w:rPr&gt;&lt;w:rFonts w:ascii=&quot;Cambria Math&quot; w:h-ansi=&quot;Cambria Math&quot; w:cs=&quot;Calibri&quot;/&gt;&lt;wx:font wx:val=&quot;Cambria Math&quot;/&gt;&lt;w:sz w:val=&quot;24&quot;/&gt;&lt;w:sz-cs w:val=&quot;24&quot;/&gt;&lt;/w:rPr&gt;&lt;/m:ctrlPr&gt;&lt;/m:fPr&gt;&lt;m:num&gt;&lt;m:r&gt;&lt;w:rPr&gt;&lt;w:rFonts w:ascii=&quot;Cambria Math&quot; w:h-ansi=&quot;Cambria Math&quot; w:cs=&quot;Calibri&quot;/&gt;&lt;wx:font wx:val=&quot;Cambria Math&quot;/&gt;&lt;w:i/&gt;&lt;w:sz w:val=&quot;24&quot;/&gt;&lt;w:sz-cs w:val=&quot;24&quot;/&gt;&lt;/w:rPr&gt;&lt;m:t&gt;KS&lt;/m:t&gt;&lt;/m:r&gt;&lt;m:r&gt;&lt;m:rPr&gt;&lt;m:sty m:val=&quot;p&quot;/&gt;&lt;/m:rPr&gt;&lt;w:rPr&gt;&lt;w:rFonts w:ascii=&quot;Cambria Math&quot; w:h-ansi=&quot;Cambria Math&quot; w:cs=&quot;Calibri&quot;/&gt;&lt;wx:font wx:val=&quot;Cambria Math&quot;/&gt;&lt;w:sz w:val=&quot;24&quot;/&gt;&lt;w:sz-cs w:val=&quot;24&quot;/&gt;&lt;/w:rPr&gt;&lt;m:t&gt;(0.28&lt;/m:t&gt;&lt;/m:r&gt;&lt;m:sSup&gt;&lt;m:sSupPr&gt;&lt;m:ctrlPr&gt;&lt;w:rPr&gt;&lt;w:rFonts w:ascii=&quot;Cambria Math&quot; w:h-ansi=&quot;Cambria Math&quot; w:cs=&quot;Calibri&quot;/&gt;&lt;wx:font wx:val=&quot;Cambria Math&quot;/&gt;&lt;w:sz w:val=&quot;24&quot;/&gt;&lt;w:sz-cs w:val=&quot;24&quot;/&gt;&lt;/w:rPr&gt;&lt;/m:ctrlPr&gt;&lt;/m:sSupPr&gt;&lt;m:e&gt;&lt;m:r&gt;&lt;w:rPr&gt;&lt;w:rFonts w:ascii=&quot;Cambria Math&quot; w:h-ansi=&quot;Cambria Math&quot; w:cs=&quot;Calibri&quot;/&gt;&lt;wx:font wx:val=&quot;Cambria Math&quot;/&gt;&lt;w:i/&gt;&lt;w:sz w:val=&quot;24&quot;/&gt;&lt;w:sz-cs w:val=&quot;24&quot;/&gt;&lt;/w:rPr&gt;&lt;m:t&gt;W&lt;/m:t&gt;&lt;/m:r&gt;&lt;/m:e&gt;&lt;m:sup&gt;&lt;m:r&gt;&lt;m:rPr&gt;&lt;m:sty m:val=&quot;p&quot;/&gt;&lt;/m:rPr&gt;&lt;w:rPr&gt;&lt;w:rFonts w:ascii=&quot;Cambria Math&quot; w:h-ansi=&quot;Cambria Math&quot; w:cs=&quot;Calibri&quot;/&gt;&lt;wx:font wx:val=&quot;Cambria Math&quot;/&gt;&lt;w:sz w:val=&quot;24&quot;/&gt;&lt;w:sz-cs w:val=&quot;24&quot;/&gt;&lt;/w:rPr&gt;&lt;m:t&gt;0.75&lt;/m:t&gt;&lt;/m:r&gt;&lt;/m:sup&gt;&lt;/m:sSup&gt;&lt;m:func&gt;&lt;m:funcPr&gt;&lt;m:ctrlPr&gt;&lt;w:rPr&gt;&lt;w:rFonts w:ascii=&quot;Cambria Math&quot; w:h-ansi=&quot;Cambria Math&quot; w:cs=&quot;Calibri&quot;/&gt;&lt;wx:font wx:val=&quot;Cambria Math&quot;/&gt;&lt;w:sz w:val=&quot;24&quot;/&gt;&lt;w:sz-cs w:val=&quot;24&quot;/&gt;&lt;/w:rPr&gt;&lt;/m:ctrlPr&gt;&lt;/m:funcPr&gt;&lt;m:fName&gt;&lt;m:r&gt;&lt;m:rPr&gt;&lt;m:sty m:val=&quot;p&quot;/&gt;&lt;/m:rPr&gt;&lt;w:rPr&gt;&lt;w:rFonts w:ascii=&quot;Cambria Math&quot; w:h-ansi=&quot;Cambria Math&quot; w:cs=&quot;Calibri&quot;/&gt;&lt;wx:font wx:val=&quot;Cambria Math&quot;/&gt;&lt;w:sz w:val=&quot;24&quot;/&gt;&lt;w:sz-cs w:val=&quot;24&quot;/&gt;&lt;/w:rPr&gt;&lt;m:t&gt;exp&lt;/m:t&gt;&lt;/m:r&gt;&lt;/m:fName&gt;&lt;m:e&gt;&lt;m:d&gt;&lt;m:dPr&gt;&lt;m:ctrlPr&gt;&lt;w:rPr&gt;&lt;w:rFonts w:ascii=&quot;Cambria Math&quot; w:h-ansi=&quot;Cambria Math&quot; w:cs=&quot;Calibri&quot;/&gt;&lt;wx:font wx:val=&quot;Cambria Math&quot;/&gt;&lt;w:sz w:val=&quot;24&quot;/&gt;&lt;w:sz-cs w:val=&quot;24&quot;/&gt;&lt;/w:rPr&gt;&lt;/m:ctrlPr&gt;&lt;/m:dPr&gt;&lt;m:e&gt;&lt;m:r&gt;&lt;m:rPr&gt;&lt;m:sty m:val=&quot;p&quot;/&gt;&lt;/m:rPr&gt;&lt;w:rPr&gt;&lt;w:rFonts w:ascii=&quot;Cambria Math&quot; w:h-ansi=&quot;Cambria Math&quot; w:cs=&quot;Calibri&quot;/&gt;&lt;wx:font wx:val=&quot;Cambria Math&quot;/&gt;&lt;w:sz w:val=&quot;24&quot;/&gt;&lt;w:sz-cs w:val=&quot;24&quot;/&gt;&lt;/w:rPr&gt;&lt;m:t&gt;-0.03&lt;/m:t&gt;&lt;/m:r&gt;&lt;m:r&gt;&lt;w:rPr&gt;&lt;w:rFonts w:ascii=&quot;Cambria Math&quot; w:h-ansi=&quot;Cambria Math&quot; w:cs=&quot;Calibri&quot;/&gt;&lt;wx:font wx:val=&quot;Cambria Math&quot;/&gt;&lt;w:i/&gt;&lt;w:sz w:val=&quot;24&quot;/&gt;&lt;w:sz-cs w:val=&quot;24&quot;/&gt;&lt;/w:rPr&gt;&lt;m:t&gt;A&lt;/m:t&gt;&lt;/m:r&gt;&lt;/m:e&gt;&lt;/m:d&gt;&lt;/m:e&gt;&lt;/m:func&gt;&lt;m:r&gt;&lt;m:rPr&gt;&lt;m:sty m:val=&quot;p&quot;/&gt;&lt;/m:rPr&gt;&lt;w:rPr&gt;&lt;w:rFonts w:ascii=&quot;Cambria Math&quot; w:h-ansi=&quot;Cambria Math&quot; w:cs=&quot;Calibri&quot;/&gt;&lt;wx:font wx:val=&quot;Cambria Math&quot;/&gt;&lt;w:sz w:val=&quot;24&quot;/&gt;&lt;w:sz-cs w:val=&quot;24&quot;/&gt;&lt;/w:rPr&gt;&lt;m:t&gt;)&lt;/m:t&gt;&lt;/m:r&gt;&lt;/m:num&gt;&lt;m:den&gt;&lt;m:sSub&gt;&lt;m:sSubPr&gt;&lt;m:ctrlPr&gt;&lt;w:rPr&gt;&lt;w:rFonts w:ascii=&quot;Cambria Math&quot; w:h-ansi=&quot;Cambria Math&quot; w:cs=&quot;Calibri&quot;/&gt;&lt;wx:font wx:val=&quot;Cambria Math&quot;/&gt;&lt;w:sz w:val=&quot;24&quot;/&gt;&lt;w:sz-cs w:val=&quot;24&quot;/&gt;&lt;/w:rPr&gt;&lt;/m:ctrlPr&gt;&lt;/m:sSubPr&gt;&lt;m:e&gt;&lt;m:r&gt;&lt;w:rPr&gt;&lt;w:rFonts w:ascii=&quot;Cambria Math&quot; w:h-ansi=&quot;Cambria Math&quot; w:cs=&quot;Calibri&quot;/&gt;&lt;wx:font wx:val=&quot;Cambria Math&quot;/&gt;&lt;w:i/&gt;&lt;w:sz w:val=&quot;24&quot;/&gt;&lt;w:sz-cs w:val=&quot;24&quot;/&gt;&lt;/w:rPr&gt;&lt;m:t&gt;k&lt;/m:t&gt;&lt;/m:r&gt;&lt;/m:e&gt;&lt;m:sub&gt;&lt;m:r&gt;&lt;w:rPr&gt;&lt;w:rFonts w:ascii=&quot;Cambria Math&quot; w:h-ansi=&quot;Cambria Math&quot; w:cs=&quot;Calibri&quot;/&gt;&lt;wx:font wx:val=&quot;Cambria Math&quot;/&gt;&lt;w:i/&gt;&lt;w:sz w:val=&quot;24&quot;/&gt;&lt;w:sz-cs w:val=&quot;24&quot;/&gt;&lt;/w:rPr&gt;&lt;m:t&gt;m&lt;/m:t&gt;&lt;/m:r&gt;&lt;/m:sub&gt;&lt;/m:sSub&gt;&lt;/m:den&gt;&lt;/m:f&gt;&lt;m:r&gt;&lt;m:rPr&gt;&lt;m:sty m:val=&quot;p&quot;/&gt;&lt;/m:rPr&gt;&lt;w:rPr&gt;&lt;w:rFonts w:ascii=&quot;Cambria Math&quot; w:h-ansi=&quot;Cambria Math&quot; w:cs=&quot;Calibri&quot;/&gt;&lt;wx:font wx:val=&quot;Cambria Math&quot;/&gt;&lt;w:sz w:val=&quot;24&quot;/&gt;&lt;w:sz-cs w:val=&quot;24&quot;/&gt;&lt;/w:rPr&gt;&lt;m:t&gt;+1.1&lt;/m:t&gt;&lt;/m:r&gt;&lt;m:sSub&gt;&lt;m:sSubPr&gt;&lt;m:ctrlPr&gt;&lt;w:rPr&gt;&lt;w:rFonts w:ascii=&quot;Cambria Math&quot; w:h-ansi=&quot;Cambria Math&quot; w:cs=&quot;Calibri&quot;/&gt;&lt;wx:font wx:val=&quot;Cambria Math&quot;/&gt;&lt;w:sz w:val=&quot;24&quot;/&gt;&lt;w:sz-cs w:val=&quot;24&quot;/&gt;&lt;/w:rPr&gt;&lt;/m:ctrlPr&gt;&lt;/m:sSubPr&gt;&lt;m:e&gt;&lt;m:r&gt;&lt;w:rPr&gt;&lt;w:rFonts w:ascii=&quot;Cambria Math&quot; w:h-ansi=&quot;Cambria Math&quot; w:cs=&quot;Calibri&quot;/&gt;&lt;wx:font wx:val=&quot;Cambria Math&quot;/&gt;&lt;w:i/&gt;&lt;w:sz w:val=&quot;24&quot;/&gt;&lt;w:sz-cs w:val=&quot;24&quot;/&gt;&lt;/w:rPr&gt;&lt;m:t&gt;ME&lt;/m:t&gt;&lt;/m:r&gt;&lt;/m:e&gt;&lt;m:sub&gt;&lt;m:r&gt;&lt;w:rPr&gt;&lt;w:rFonts w:ascii=&quot;Cambria Math&quot; w:h-ansi=&quot;Cambria Math&quot; w:cs=&quot;Calibri&quot;/&gt;&lt;wx:font wx:val=&quot;Cambria Math&quot;/&gt;&lt;w:i/&gt;&lt;w:sz w:val=&quot;24&quot;/&gt;&lt;w:sz-cs w:val=&quot;24&quot;/&gt;&lt;/w:rPr&gt;&lt;m:t&gt;P&lt;/m:t&gt;&lt;/m:r&gt;&lt;/m:sub&gt;&lt;/m:sSub&gt;&lt;m:r&gt;&lt;m:rPr&gt;&lt;m:sty m:val=&quot;p&quot;/&gt;&lt;/m:rPr&gt;&lt;w:rPr&gt;&lt;w:rFonts w:ascii=&quot;Cambria Math&quot; w:h-ansi=&quot;Cambria Math&quot; w:cs=&quot;Calibri&quot;/&gt;&lt;wx:font wx:val=&quot;Cambria Math&quot;/&gt;&lt;w:sz w:val=&quot;24&quot;/&gt;&lt;w:sz-cs w:val=&quot;24&quot;/&gt;&lt;/w:rPr&gt;&lt;m:t&gt;+&lt;/m:t&gt;&lt;/m:r&gt;&lt;m:f&gt;&lt;m:fPr&gt;&lt;m:ctrlPr&gt;&lt;w:rPr&gt;&lt;w:rFonts w:ascii=&quot;Cambria Math&quot; w:h-ansi=&quot;Cambria Math&quot; w:cs=&quot;Calibri&quot;/&gt;&lt;wx:font wx:val=&quot;Cambria Math&quot;/&gt;&lt;w:sz w:val=&quot;24&quot;/&gt;&lt;w:sz-cs w:val=&quot;24&quot;/&gt;&lt;/w:rPr&gt;&lt;/m:ctrlPr&gt;&lt;/m:fPr&gt;&lt;m:num&gt;&lt;m:sSub&gt;&lt;m:sSubPr&gt;&lt;m:ctrlPr&gt;&lt;w:rPr&gt;&lt;w:rFonts w:ascii=&quot;Cambria Math&quot; w:h-ansi=&quot;Cambria Math&quot; w:cs=&quot;Calibri&quot;/&gt;&lt;wx:font wx:val=&quot;Cambria Math&quot;/&gt;&lt;w:sz w:val=&quot;24&quot;/&gt;&lt;w:sz-cs w:val=&quot;24&quot;/&gt;&lt;/w:rPr&gt;&lt;/m:ctrlPr&gt;&lt;/m:sSubPr&gt;&lt;m:e&gt;&lt;m:r&gt;&lt;w:rPr&gt;&lt;w:rFonts w:ascii=&quot;Cambria Math&quot; w:h-ansi=&quot;Cambria Math&quot; w:cs=&quot;Calibri&quot;/&gt;&lt;wx:font wx:val=&quot;Cambria Math&quot;/&gt;&lt;w:i/&gt;&lt;w:sz w:val=&quot;24&quot;/&gt;&lt;w:sz-cs w:val=&quot;24&quot;/&gt;&lt;/w:rPr&gt;&lt;m:t&gt;E&lt;/m:t&gt;&lt;/m:r&gt;&lt;/m:e&gt;&lt;m:sub&gt;&lt;m:r&gt;&lt;w:rPr&gt;&lt;w:rFonts w:ascii=&quot;Cambria Math&quot; w:h-ansi=&quot;Cambria Math&quot; w:cs=&quot;Calibri&quot;/&gt;&lt;wx:font wx:val=&quot;Cambria Math&quot;/&gt;&lt;w:i/&gt;&lt;w:sz w:val=&quot;24&quot;/&gt;&lt;w:sz-cs w:val=&quot;24&quot;/&gt;&lt;/w:rPr&gt;&lt;m:t&gt;GRAZE&lt;/m:t&gt;&lt;/m:r&gt;&lt;/m:sub&gt;&lt;/m:sSub&gt;&lt;/m:num&gt;&lt;m:den&gt;&lt;m:sSub&gt;&lt;m:sSubPr&gt;&lt;m:ctrlPr&gt;&lt;w:rPr&gt;&lt;w:rFonts w:ascii=&quot;Cambria Math&quot; w:h-ansi=&quot;Cambria Math&quot; w:cs=&quot;Calibri&quot;/&gt;&lt;wx:font wx:val=&quot;Cambria Math&quot;/&gt;&lt;w:sz w:val=&quot;24&quot;/&gt;&lt;w:sz-cs w:val=&quot;24&quot;/&gt;&lt;/w:rPr&gt;&lt;/m:ctrlPr&gt;&lt;/m:sSubPr&gt;&lt;m:e&gt;&lt;m:r&gt;&lt;w:rPr&gt;&lt;w:rFonts w:ascii=&quot;Cambria Math&quot; w:h-ansi=&quot;Cambria Math&quot; w:cs=&quot;Calibri&quot;/&gt;&lt;wx:font wx:val=&quot;Cambria Math&quot;/&gt;&lt;w:i/&gt;&lt;w:sz w:val=&quot;24&quot;/&gt;&lt;w:sz-cs w:val=&quot;24&quot;/&gt;&lt;/w:rPr&gt;&lt;m:t&gt;k&lt;/m:t&gt;&lt;/m:r&gt;&lt;/m:e&gt;&lt;m:sub&gt;&lt;m:r&gt;&lt;w:rPr&gt;&lt;w:rFonts w:ascii=&quot;Cambria Math&quot; w:h-ansi=&quot;Cambria Math&quot; w:cs=&quot;Calibri&quot;/&gt;&lt;wx:font wx:val=&quot;Cambria Math&quot;/&gt;&lt;w:i/&gt;&lt;w:sz w:val=&quot;24&quot;/&gt;&lt;w:sz-cs w:val=&quot;24&quot;/&gt;&lt;/w:rPr&gt;&lt;m:t&gt;m&lt;/m:t&gt;&lt;/m:r&gt;&lt;/m:sub&gt;&lt;/m:sSub&gt;&lt;/m:den&gt;&lt;/m:f&gt;&lt;m:r&gt;&lt;w:rPr&gt;&lt;w:rFonts w:ascii=&quot;Cambria Math&quot; w:h-ansi=&quot;Cambria Math&quot; w:cs=&quot;Calibri&quot;/&gt;&lt;wx:font wx:val=&quot;Cambria Math&quot;/&gt;&lt;w:i/&gt;&lt;w:sz w:val=&quot;24&quot;/&gt;&lt;w:sz-cs w:val=&quot;24&quot;/&gt;&lt;/w:rPr&gt;&lt;m:t&gt;+&lt;/m:t&gt;&lt;/m:r&gt;&lt;m:sSub&gt;&lt;m:sSubPr&gt;&lt;m:ctrlPr&gt;&lt;w:rPr&gt;&lt;w:rFonts w:ascii=&quot;Cambria Math&quot; w:h-ansi=&quot;Cambria Math&quot; w:cs=&quot;Calibri&quot;/&gt;&lt;wx:font wx:val=&quot;Cambria Math&quot;/&gt;&lt;w:i/&gt;&lt;w:sz w:val=&quot;24&quot;/&gt;&lt;w:sz-cs w:val=&quot;24&quot;/&gt;&lt;/w:rPr&gt;&lt;/m:ctrlPr&gt;&lt;/m:sSubPr&gt;&lt;m:e&gt;&lt;m:r&gt;&lt;w:rPr&gt;&lt;w:rFonts w:ascii=&quot;Cambria Math&quot; w:h-ansi=&quot;Cambria Math&quot; w:cs=&quot;Calibri&quot;/&gt;&lt;wx:font wx:val=&quot;Cambria Math&quot;/&gt;&lt;w:i/&gt;&lt;w:sz w:val=&quot;24&quot;/&gt;&lt;w:sz-cs w:val=&quot;24&quot;/&gt;&lt;/w:rPr&gt;&lt;m:t&gt;ME&lt;/m:t&gt;&lt;/m:r&gt;&lt;/m:e&gt;&lt;m:sub&gt;&lt;m:r&gt;&lt;w:rPr&gt;&lt;w:rFonts w:ascii=&quot;Cambria Math&quot; w:h-ansi=&quot;Cambria Math&quot; w:cs=&quot;Calibri&quot;/&gt;&lt;wx:font wx:val=&quot;Cambria Math&quot;/&gt;&lt;w:i/&gt;&lt;w:sz w:val=&quot;24&quot;/&gt;&lt;w:sz-cs w:val=&quot;24&quot;/&gt;&lt;/w:rPr&gt;&lt;m:t&gt;c&lt;/m:t&gt;&lt;/m:r&gt;&lt;/m:sub&gt;&lt;/m:sSub&gt;&lt;/m:oMath&gt;&lt;/m:oMathPara&gt;&lt;/w:p&gt;&lt;w:sectPr wsp:rsidR=&quot;00000000&quot; wsp:rsidRPr=&quot;002C1B8B&quot;&gt;&lt;w:pgSz w:w=&quot;12240&quot; w:h=&quot;15840&quot;/&gt;&lt;w:pgMar w:top=&quot;1440&quot; w:right=&quot;1440&quot; w:bottom=&quot;1440&quot; w:left=&quot;1440&quot; w:header=&quot;720&quot; w:footer=&quot;720&quot; w:gutter=&quot;0&quot;/&gt;&lt;w:cols w:space=&quot;720&quot;/&gt;&lt;/w:sectPr&gt;&lt;/wx:sect&gt;&lt;/w:body&gt;&lt;/w:wordDocument&gt;">
            <v:imagedata r:id="rId107" o:title="" chromakey="white"/>
          </v:shape>
        </w:pict>
      </w:r>
    </w:p>
    <w:p w14:paraId="30FF257D" w14:textId="77777777" w:rsidR="004543E0" w:rsidRPr="009660EC" w:rsidRDefault="004543E0" w:rsidP="004543E0">
      <w:pPr>
        <w:pStyle w:val="BodyText"/>
        <w:tabs>
          <w:tab w:val="left" w:pos="964"/>
        </w:tabs>
        <w:spacing w:after="60"/>
        <w:ind w:left="993" w:hanging="993"/>
      </w:pPr>
      <w:r w:rsidRPr="009660EC">
        <w:t>Where:</w:t>
      </w:r>
      <w:r w:rsidRPr="009660EC">
        <w:tab/>
        <w:t>K is the coefficient that accounts for differences in fasting heat production across species (CSIRO, 1990). This value is 1.0 for sheep and 1.4 for all cattle and deer (CSIRO, 2007)</w:t>
      </w:r>
    </w:p>
    <w:p w14:paraId="474DFFA8" w14:textId="77777777" w:rsidR="004543E0" w:rsidRPr="009660EC" w:rsidRDefault="004543E0" w:rsidP="004543E0">
      <w:pPr>
        <w:pStyle w:val="BodyText"/>
        <w:spacing w:before="60" w:after="60"/>
        <w:ind w:left="964" w:hanging="964"/>
      </w:pPr>
      <w:r w:rsidRPr="009660EC">
        <w:tab/>
        <w:t>S is the coefficient that accounts for differences in basal metabolic rate between males and females. This value is 1.0 for females and castrates and 1.15 for entire mature males (CSIRO, 2007)</w:t>
      </w:r>
    </w:p>
    <w:p w14:paraId="1655A24E" w14:textId="77777777" w:rsidR="004543E0" w:rsidRPr="009660EC" w:rsidRDefault="004543E0" w:rsidP="004543E0">
      <w:pPr>
        <w:pStyle w:val="BodyText"/>
        <w:spacing w:before="60" w:after="60"/>
        <w:ind w:left="964"/>
      </w:pPr>
      <w:r w:rsidRPr="009660EC">
        <w:t>W is the liveweight (kg)</w:t>
      </w:r>
    </w:p>
    <w:p w14:paraId="6E404EBE" w14:textId="77777777" w:rsidR="004543E0" w:rsidRPr="009660EC" w:rsidRDefault="004543E0" w:rsidP="004543E0">
      <w:pPr>
        <w:pStyle w:val="BodyText"/>
        <w:spacing w:before="60" w:after="60"/>
        <w:ind w:left="964"/>
      </w:pPr>
      <w:r w:rsidRPr="009660EC">
        <w:t>A is the age in years, up to a maximum value of 6</w:t>
      </w:r>
    </w:p>
    <w:p w14:paraId="3419C902" w14:textId="77777777" w:rsidR="004543E0" w:rsidRPr="009660EC" w:rsidRDefault="004543E0" w:rsidP="004543E0">
      <w:pPr>
        <w:pStyle w:val="BodyText"/>
        <w:spacing w:before="60" w:after="60"/>
        <w:ind w:left="964"/>
      </w:pPr>
      <w:r w:rsidRPr="009660EC">
        <w:t>k</w:t>
      </w:r>
      <w:r w:rsidRPr="009660EC">
        <w:rPr>
          <w:vertAlign w:val="subscript"/>
        </w:rPr>
        <w:t>m</w:t>
      </w:r>
      <w:r w:rsidRPr="009660EC">
        <w:t xml:space="preserve"> is the net efficiency of use of ME for maintenance (ME</w:t>
      </w:r>
      <w:r w:rsidRPr="009660EC">
        <w:rPr>
          <w:vertAlign w:val="subscript"/>
        </w:rPr>
        <w:t>BASAL</w:t>
      </w:r>
      <w:r w:rsidRPr="009660EC">
        <w:t>), and</w:t>
      </w:r>
    </w:p>
    <w:p w14:paraId="5C41207A" w14:textId="77777777" w:rsidR="004543E0" w:rsidRPr="009660EC" w:rsidRDefault="004543E0" w:rsidP="004543E0">
      <w:pPr>
        <w:pStyle w:val="BodyText"/>
        <w:spacing w:before="60"/>
        <w:ind w:left="964"/>
      </w:pPr>
      <w:r w:rsidRPr="009660EC">
        <w:t>E</w:t>
      </w:r>
      <w:r w:rsidRPr="009660EC">
        <w:rPr>
          <w:vertAlign w:val="subscript"/>
        </w:rPr>
        <w:t>GRAZE</w:t>
      </w:r>
      <w:r w:rsidRPr="009660EC">
        <w:t xml:space="preserve"> is the additional energy expenditure of livestock in cold stress.</w:t>
      </w:r>
    </w:p>
    <w:p w14:paraId="4987BE7D" w14:textId="77777777" w:rsidR="004543E0" w:rsidRPr="009660EC" w:rsidRDefault="004543E0" w:rsidP="004543E0">
      <w:pPr>
        <w:pStyle w:val="BodyText"/>
      </w:pPr>
      <w:r w:rsidRPr="009660EC">
        <w:t>For further details, see the inventory methodology document on the MPI website (</w:t>
      </w:r>
      <w:hyperlink r:id="rId108" w:history="1">
        <w:r w:rsidRPr="009660EC">
          <w:rPr>
            <w:rStyle w:val="Hyperlink"/>
            <w:rFonts w:cs="Calibri"/>
            <w:spacing w:val="-2"/>
          </w:rPr>
          <w:t>www.mpi.govt.nz/dmsdocument/13906-detailed-methodologies-for-agricultural-greenhouse-gas-emission-calculation</w:t>
        </w:r>
      </w:hyperlink>
      <w:r w:rsidRPr="009660EC">
        <w:t>).</w:t>
      </w:r>
    </w:p>
    <w:p w14:paraId="77A396E6" w14:textId="77777777" w:rsidR="004543E0" w:rsidRPr="009660EC" w:rsidRDefault="004543E0" w:rsidP="004543E0">
      <w:pPr>
        <w:pStyle w:val="Heading5"/>
      </w:pPr>
      <w:r w:rsidRPr="009660EC">
        <w:t xml:space="preserve">Monthly diet energy (E) concentration </w:t>
      </w:r>
    </w:p>
    <w:p w14:paraId="59E0FF6C" w14:textId="77777777" w:rsidR="004543E0" w:rsidRPr="009660EC" w:rsidRDefault="004543E0" w:rsidP="004543E0">
      <w:pPr>
        <w:pStyle w:val="BodyText"/>
        <w:rPr>
          <w:strike/>
        </w:rPr>
      </w:pPr>
      <w:r w:rsidRPr="009660EC">
        <w:t>Dairy cattle, beef cattle, sheep and deer are predominantly fed on pasture all year round. Data sets of estimated monthly energy concentrations of pasture consumed by different livestock species are used in the Agriculture inventory model. This diet may be supplemented with feeds of various types, such as pasture hay and silage, and a range of different crops. Data on the concentration of pasture are reported in the inventory methodology document (Pickering et al., 2020, appendices 3, 9 and 19) and are derived from published and unpublished research trial data and supplemented with additional data from farm surveys on commercial cattle and sheep farms.</w:t>
      </w:r>
    </w:p>
    <w:p w14:paraId="27B3B478" w14:textId="77777777" w:rsidR="004543E0" w:rsidRPr="009660EC" w:rsidRDefault="004543E0" w:rsidP="004543E0">
      <w:pPr>
        <w:pStyle w:val="BodyText"/>
      </w:pPr>
      <w:r w:rsidRPr="009660EC">
        <w:t>To ensure consistency across the livestock emission source categories, a single enhanced livestock population characterisation and DMI estimate is produced by the Tier 2 model. The enhanced livestock characterisation and DMI is used to estimate CH</w:t>
      </w:r>
      <w:r w:rsidRPr="009660EC">
        <w:rPr>
          <w:vertAlign w:val="subscript"/>
        </w:rPr>
        <w:t>4</w:t>
      </w:r>
      <w:r w:rsidRPr="009660EC">
        <w:t xml:space="preserve"> emissions for the </w:t>
      </w:r>
      <w:r w:rsidRPr="009660EC">
        <w:rPr>
          <w:i/>
          <w:iCs/>
        </w:rPr>
        <w:lastRenderedPageBreak/>
        <w:t xml:space="preserve">Enteric fermentation </w:t>
      </w:r>
      <w:r w:rsidRPr="009660EC">
        <w:t>category, CH</w:t>
      </w:r>
      <w:r w:rsidRPr="009660EC">
        <w:rPr>
          <w:vertAlign w:val="subscript"/>
        </w:rPr>
        <w:t>4</w:t>
      </w:r>
      <w:r w:rsidRPr="009660EC">
        <w:t xml:space="preserve"> and N</w:t>
      </w:r>
      <w:r w:rsidRPr="009660EC">
        <w:rPr>
          <w:vertAlign w:val="subscript"/>
        </w:rPr>
        <w:t>2</w:t>
      </w:r>
      <w:r w:rsidRPr="009660EC">
        <w:t xml:space="preserve">O emissions for the </w:t>
      </w:r>
      <w:r w:rsidRPr="009660EC">
        <w:rPr>
          <w:i/>
          <w:iCs/>
        </w:rPr>
        <w:t>Manure management</w:t>
      </w:r>
      <w:r w:rsidRPr="009660EC">
        <w:t xml:space="preserve"> category and N</w:t>
      </w:r>
      <w:r w:rsidRPr="009660EC">
        <w:rPr>
          <w:vertAlign w:val="subscript"/>
        </w:rPr>
        <w:t>2</w:t>
      </w:r>
      <w:r w:rsidRPr="009660EC">
        <w:t xml:space="preserve">O emissions for urine and dung deposited by grazing animals onto pasture in the </w:t>
      </w:r>
      <w:r w:rsidRPr="009660EC">
        <w:rPr>
          <w:i/>
          <w:iCs/>
        </w:rPr>
        <w:t>Agricultural soils</w:t>
      </w:r>
      <w:r w:rsidRPr="009660EC">
        <w:t xml:space="preserve"> category.</w:t>
      </w:r>
    </w:p>
    <w:p w14:paraId="341F1817" w14:textId="77777777" w:rsidR="004543E0" w:rsidRPr="009660EC" w:rsidRDefault="004543E0" w:rsidP="004543E0">
      <w:pPr>
        <w:pStyle w:val="Heading3"/>
        <w:spacing w:before="240"/>
      </w:pPr>
      <w:bookmarkStart w:id="636" w:name="_Toc32570646"/>
      <w:r w:rsidRPr="009660EC">
        <w:t xml:space="preserve">5.1.4 </w:t>
      </w:r>
      <w:r w:rsidRPr="009660EC">
        <w:tab/>
        <w:t>Activity data</w:t>
      </w:r>
      <w:bookmarkEnd w:id="636"/>
    </w:p>
    <w:p w14:paraId="27EC028C" w14:textId="77777777" w:rsidR="004543E0" w:rsidRPr="009660EC" w:rsidRDefault="004543E0" w:rsidP="004543E0">
      <w:pPr>
        <w:pStyle w:val="Heading4"/>
        <w:spacing w:before="200"/>
      </w:pPr>
      <w:r w:rsidRPr="009660EC">
        <w:t xml:space="preserve">Major livestock categories </w:t>
      </w:r>
    </w:p>
    <w:p w14:paraId="242A86AF" w14:textId="77777777" w:rsidR="004543E0" w:rsidRPr="009660EC" w:rsidRDefault="004543E0" w:rsidP="004543E0">
      <w:pPr>
        <w:pStyle w:val="BodyText"/>
        <w:spacing w:before="100" w:after="100"/>
      </w:pPr>
      <w:r w:rsidRPr="009660EC">
        <w:t xml:space="preserve">The Tier 2 methodology developed by New Zealand uses data on livestock population and productivity to calculate livestock energy requirements and hence DMI. Animal population data are collected by Stats NZ. Productivity data are available from the Livestock Improvement Corporation (LIC) and industry-good organisations such as Beef + Lamb New Zealand Ltd and Deer Industry New Zealand, which regularly collect animal sector statistics. Statistics on animal carcass weights are collected by MPI from all major meat processors and are used to derive liveweights. </w:t>
      </w:r>
    </w:p>
    <w:p w14:paraId="0E7DA88A" w14:textId="77777777" w:rsidR="004543E0" w:rsidRPr="009660EC" w:rsidRDefault="004543E0" w:rsidP="004543E0">
      <w:pPr>
        <w:pStyle w:val="BodyText"/>
        <w:spacing w:before="100" w:after="100"/>
        <w:rPr>
          <w:rFonts w:cs="Calibri"/>
        </w:rPr>
      </w:pPr>
      <w:r w:rsidRPr="009660EC">
        <w:rPr>
          <w:rFonts w:cs="Calibri"/>
        </w:rPr>
        <w:t>A challenge for New Zealand activity data is that the inventory is calculated on a calendar year, while New Zealand uses a June year end for animal statistics because this reflects the natural biological cycle for animals in the southern hemisphere. New Zealand developed a Tier 2 model that estimates livestock emissions on a monthly time step, beginning on 1 July of one calendar year and ending on 30 June of the next year. To calculate emissions for a single calendar year (January–December), the calculated emissions data from the last six months of a July–June year are combined with the first six months’ emissions of the next July–June year. This approach enables comparisons with the agricultural inventories of other countries.</w:t>
      </w:r>
    </w:p>
    <w:p w14:paraId="05B77C1F" w14:textId="77777777" w:rsidR="004543E0" w:rsidRPr="009660EC" w:rsidRDefault="004543E0" w:rsidP="004543E0">
      <w:pPr>
        <w:pStyle w:val="BodyText"/>
        <w:spacing w:before="100" w:after="100"/>
      </w:pPr>
      <w:r w:rsidRPr="009660EC">
        <w:rPr>
          <w:iCs/>
        </w:rPr>
        <w:t>Dairy cattle</w:t>
      </w:r>
      <w:r w:rsidRPr="009660EC">
        <w:t xml:space="preserve"> is the only livestock type where emissions are calculated on a sub-national regional area basis represented by regional council areas. This allows the inventory to take into account </w:t>
      </w:r>
      <w:r w:rsidRPr="009660EC">
        <w:rPr>
          <w:spacing w:val="-2"/>
        </w:rPr>
        <w:t>regional differences in productivity for dairy livestock as a result of New Zealand’s microclimates</w:t>
      </w:r>
      <w:r w:rsidRPr="009660EC">
        <w:t xml:space="preserve"> and management systems (Clark, 2008a). A regional emissions assessment is not carried out </w:t>
      </w:r>
      <w:r w:rsidRPr="009660EC">
        <w:rPr>
          <w:spacing w:val="-2"/>
        </w:rPr>
        <w:t>for other livestock types because regional productivity data are currently unable to be accurately</w:t>
      </w:r>
      <w:r w:rsidRPr="009660EC">
        <w:t xml:space="preserve"> collected at the sub-national level and integrated into the national population data. </w:t>
      </w:r>
    </w:p>
    <w:p w14:paraId="6B215766" w14:textId="77777777" w:rsidR="004543E0" w:rsidRPr="009660EC" w:rsidRDefault="004543E0" w:rsidP="004543E0">
      <w:pPr>
        <w:pStyle w:val="Heading5"/>
      </w:pPr>
      <w:r w:rsidRPr="009660EC">
        <w:t xml:space="preserve">Animal population data </w:t>
      </w:r>
    </w:p>
    <w:p w14:paraId="7922CF59" w14:textId="77777777" w:rsidR="004543E0" w:rsidRPr="009660EC" w:rsidRDefault="004543E0" w:rsidP="004543E0">
      <w:pPr>
        <w:pStyle w:val="BodyText"/>
        <w:spacing w:before="100" w:after="100"/>
        <w:rPr>
          <w:rFonts w:cs="Calibri"/>
        </w:rPr>
      </w:pPr>
      <w:r w:rsidRPr="009660EC">
        <w:rPr>
          <w:rFonts w:cs="Calibri"/>
        </w:rPr>
        <w:t>Stats NZ collects animal population data on a sub-national territorial authority basis. Animal population data are collected on an annual basis through the Agricultural Production census and Agricultural Production survey. The census occurs every five years (the most recent occurred in 2017) and the survey is conducted in the interim years. The only difference between these two processes is the sample size. The census attempts to gather information from the entire target population, and a survey attempts to gather information from a representative sample of that population. Further details about the scope and accuracy of the Stats NZ Agricultural Production data collection are provided in annex 3, section 3.1.</w:t>
      </w:r>
    </w:p>
    <w:p w14:paraId="47798DBB" w14:textId="77777777" w:rsidR="004543E0" w:rsidRPr="009660EC" w:rsidRDefault="004543E0" w:rsidP="004543E0">
      <w:pPr>
        <w:pStyle w:val="BodyText"/>
        <w:spacing w:before="100" w:after="100"/>
      </w:pPr>
      <w:r w:rsidRPr="009660EC">
        <w:t xml:space="preserve">The timing of Stats NZ final data releases (June the year after the survey) and the inventory submission deadlines mean data from an MPI </w:t>
      </w:r>
      <w:r w:rsidRPr="009660EC">
        <w:rPr>
          <w:i/>
          <w:iCs/>
        </w:rPr>
        <w:t>Expectations Report</w:t>
      </w:r>
      <w:r w:rsidRPr="009660EC">
        <w:t xml:space="preserve"> (see chapter 10, section 10.1.3 for more detail) have been used in the 2022 (1990–2020) submission. The 2022 submission results will be updated with final data from Stats NZ in the 2023 (1990–2021) submission. This affects 2021 livestock population data only, which are needed to estimate emissions for the 2020 year.</w:t>
      </w:r>
    </w:p>
    <w:p w14:paraId="1D3F1747" w14:textId="77777777" w:rsidR="004543E0" w:rsidRPr="009660EC" w:rsidRDefault="004543E0" w:rsidP="004543E0">
      <w:pPr>
        <w:pStyle w:val="BodyText"/>
        <w:spacing w:before="100" w:after="100"/>
      </w:pPr>
      <w:r w:rsidRPr="009660EC">
        <w:t xml:space="preserve">The New Zealand Agriculture inventory uses a country-specific population characterisation for pasture-based livestock compared with the default recommended by the Intergovernmental </w:t>
      </w:r>
      <w:r w:rsidRPr="009660EC">
        <w:rPr>
          <w:spacing w:val="-2"/>
        </w:rPr>
        <w:t>Panel on Climate Change (IPCC) for Tier 2 inventories (IPCC, 2000, 2006). The full list of categories</w:t>
      </w:r>
      <w:r w:rsidRPr="009660EC">
        <w:t xml:space="preserve"> for the major livestock populations can be found in annex 3, table A3.1.2, and in the inventory methodology document on the MPI website (</w:t>
      </w:r>
      <w:hyperlink r:id="rId109" w:history="1">
        <w:r w:rsidRPr="009660EC">
          <w:rPr>
            <w:rStyle w:val="Hyperlink"/>
          </w:rPr>
          <w:t>www.mpi.govt.nz/dmsdocument/13906-detailed-methodologies-for-agricultural-greenhouse-gas-emission-calculation</w:t>
        </w:r>
      </w:hyperlink>
      <w:r w:rsidRPr="009660EC">
        <w:t xml:space="preserve">). </w:t>
      </w:r>
    </w:p>
    <w:p w14:paraId="186CB831" w14:textId="77777777" w:rsidR="004543E0" w:rsidRPr="009660EC" w:rsidRDefault="004543E0" w:rsidP="004543E0">
      <w:pPr>
        <w:pStyle w:val="BodyText"/>
      </w:pPr>
      <w:r w:rsidRPr="009660EC">
        <w:lastRenderedPageBreak/>
        <w:t>Dairy cattle encompass all cattle that support the milking dairy herd. In addition to dairy heifers, this includes calves, young growing non-lactating heifers, dry cows and dairy bulls. All other cattle in New Zealand are characterised as beef cattle. These include beef breeding lactating cows used for producing slaughter animals, such as calves, dry cows, bulls and all slaughter classes. A proportion of female calves not required for dairy replacements, and dairy bull calves, are transferred into the beef herd and are slaughtered for meat consumption, generally at 18 to 24 months of age.</w:t>
      </w:r>
    </w:p>
    <w:p w14:paraId="1DE2E886" w14:textId="77777777" w:rsidR="004543E0" w:rsidRPr="009660EC" w:rsidRDefault="004543E0" w:rsidP="004543E0">
      <w:pPr>
        <w:pStyle w:val="BodyText"/>
      </w:pPr>
      <w:r w:rsidRPr="009660EC">
        <w:t>A detailed livestock population model is used to calculate monthly populations for dairy cattle, beef cattle, sheep and deer (see annex 3, table A3.1.2, for the full list of categories).</w:t>
      </w:r>
    </w:p>
    <w:p w14:paraId="24FF236A" w14:textId="77777777" w:rsidR="004543E0" w:rsidRPr="009660EC" w:rsidRDefault="004543E0" w:rsidP="004543E0">
      <w:pPr>
        <w:pStyle w:val="BodyText"/>
      </w:pPr>
      <w:r w:rsidRPr="009660EC">
        <w:t>This monthly population delineation has been developed by using industry knowledge and assumptions as detailed in Clark (2008b), Thomson et al. (2010, unpublished) and Suttie (2012). Populations within a given year are adjusted on a monthly basis to account for births, deaths and transfers between age groups. For example, most lambs are born and slaughtered between August and May, their numbers therefore do not appear in the June census or survey data. Additionally, male and female dairy calves not necessary for replacements are usually slaughtered at four days of age or transferred to the non-dairy herd. The monthly population model ensures that the calculated feed demand more accurately reflects the status of each livestock category at a particular time of the year. Average national estimates of monthly birth and death rates are used, which are based on expert opinion. In reality, these vary across the country, between farming species and between farms.</w:t>
      </w:r>
    </w:p>
    <w:p w14:paraId="6AFE5EF7" w14:textId="77777777" w:rsidR="004543E0" w:rsidRPr="009660EC" w:rsidRDefault="004543E0" w:rsidP="004543E0">
      <w:pPr>
        <w:pStyle w:val="Heading5"/>
      </w:pPr>
      <w:r w:rsidRPr="009660EC">
        <w:t xml:space="preserve">Animal productivity data </w:t>
      </w:r>
    </w:p>
    <w:p w14:paraId="3B8E122E" w14:textId="77777777" w:rsidR="004543E0" w:rsidRPr="009660EC" w:rsidRDefault="004543E0" w:rsidP="004543E0">
      <w:pPr>
        <w:pStyle w:val="BodyText"/>
      </w:pPr>
      <w:r w:rsidRPr="009660EC">
        <w:t xml:space="preserve">Animal productivity data are obtained from LIC and DairyNZ (2021), Beef + Lamb New Zealand Ltd (2021) and Deer Industry New Zealand. These are non-governmental, industry-good levy bodies providing services to the dairy cattle, beef cattle, sheep and deer industries. </w:t>
      </w:r>
    </w:p>
    <w:p w14:paraId="545C50A4" w14:textId="77777777" w:rsidR="004543E0" w:rsidRPr="009660EC" w:rsidRDefault="004543E0" w:rsidP="004543E0">
      <w:pPr>
        <w:pStyle w:val="BodyText"/>
        <w:rPr>
          <w:rFonts w:cs="Calibri"/>
        </w:rPr>
      </w:pPr>
      <w:r w:rsidRPr="009660EC">
        <w:rPr>
          <w:rFonts w:cs="Calibri"/>
        </w:rPr>
        <w:t xml:space="preserve">Slaughter statistics are collected by MPI and used as a proxy to establish changes in animal </w:t>
      </w:r>
      <w:r w:rsidRPr="009660EC">
        <w:t>liveweight over time (</w:t>
      </w:r>
      <w:hyperlink r:id="rId110" w:history="1">
        <w:r w:rsidRPr="009660EC">
          <w:rPr>
            <w:rStyle w:val="Hyperlink"/>
          </w:rPr>
          <w:t>www.mpi.govt.nz/resources-and-forms/economic-intelligence/data/</w:t>
        </w:r>
      </w:hyperlink>
      <w:r w:rsidRPr="009660EC">
        <w:t>). Animal liveweight is derived from published slaughter-weight statistics and general nationally derived killing-out percentages (Clark et al., 2003; Muir et al., 2008; Muir</w:t>
      </w:r>
      <w:r w:rsidRPr="009660EC">
        <w:rPr>
          <w:rFonts w:cs="Calibri"/>
        </w:rPr>
        <w:t xml:space="preserve"> and Thomson, 2010). </w:t>
      </w:r>
    </w:p>
    <w:p w14:paraId="748E8CED" w14:textId="77777777" w:rsidR="004543E0" w:rsidRPr="009660EC" w:rsidRDefault="004543E0" w:rsidP="004543E0">
      <w:pPr>
        <w:pStyle w:val="BodyText"/>
      </w:pPr>
      <w:r w:rsidRPr="009660EC">
        <w:t xml:space="preserve">The same data sources are used each year to ensure consistency. Other information, such as the liveweight of beef cattle and breeding bulls, is collected at irregular intervals from small survey populations. For years when data are not available, expert opinion and extrapolation from existing data are used. </w:t>
      </w:r>
    </w:p>
    <w:p w14:paraId="1BC148C6" w14:textId="77777777" w:rsidR="004543E0" w:rsidRPr="009660EC" w:rsidRDefault="004543E0" w:rsidP="004543E0">
      <w:pPr>
        <w:pStyle w:val="BodyText"/>
      </w:pPr>
      <w:r w:rsidRPr="009660EC">
        <w:rPr>
          <w:b/>
          <w:bCs/>
          <w:i/>
          <w:iCs/>
        </w:rPr>
        <w:t>Dairy cattle – milk production:</w:t>
      </w:r>
      <w:r w:rsidRPr="009660EC">
        <w:t xml:space="preserve"> Regional data on milk production, proportions of dairy cattle breeds and animal liveweights are provided by LIC and published annually. These data are collectively compiled by LIC and DairyNZ. </w:t>
      </w:r>
    </w:p>
    <w:p w14:paraId="6111A453" w14:textId="77777777" w:rsidR="004543E0" w:rsidRPr="009660EC" w:rsidRDefault="004543E0" w:rsidP="004543E0">
      <w:pPr>
        <w:pStyle w:val="BodyText"/>
      </w:pPr>
      <w:r w:rsidRPr="009660EC">
        <w:t xml:space="preserve">Data on New Zealand’s total milk production originate from the amount of milk processed through New Zealand dairy factories for both the export and domestic markets. Data on individual animal production are sourced from the Dairy Core Database, the regulated portion of LIC’s database that holds core production data from cow herds tested in New Zealand. Dairy farmers are paid on total kilograms of milk solids (fat and protein) collected. Tankers that collect the milk also meter the milk collected from individual farms. These meters are regularly calibrated and audited. Milk samples from individual farms are also independently tested for milk solids, milk fat percentage and protein content. </w:t>
      </w:r>
    </w:p>
    <w:p w14:paraId="7CDA0088" w14:textId="77777777" w:rsidR="004543E0" w:rsidRPr="009660EC" w:rsidRDefault="004543E0" w:rsidP="004543E0">
      <w:pPr>
        <w:pStyle w:val="BodyText"/>
      </w:pPr>
      <w:r w:rsidRPr="009660EC">
        <w:t xml:space="preserve">LIC provides annual milk production data (milk yield and composition), but the Tier 2 livestock model operates on a monthly time step. Monthly milk production is determined by multiplying the assumed proportion of annual milk production for each month by the total annual milk </w:t>
      </w:r>
      <w:r w:rsidRPr="009660EC">
        <w:lastRenderedPageBreak/>
        <w:t xml:space="preserve">production (see annex 3, table A3.1.3). Milk production commences from mid-July to early August every year, peaking around October–November and declines during autumn (April–May in the southern hemisphere). Milk production is low to non-existent in June and July in most herds (see figure 5.1.6). </w:t>
      </w:r>
    </w:p>
    <w:p w14:paraId="52534F53" w14:textId="77777777" w:rsidR="004543E0" w:rsidRPr="009660EC" w:rsidRDefault="004543E0" w:rsidP="004543E0">
      <w:pPr>
        <w:pStyle w:val="BodyText"/>
      </w:pPr>
      <w:r w:rsidRPr="009660EC">
        <w:t xml:space="preserve">Annual milk yields per animal have been obtained and reported as additional data in the CRF tables for Annex I country inventories by dividing the total milk produced by the total number of milking dairy cows and heifers. </w:t>
      </w:r>
    </w:p>
    <w:p w14:paraId="61170EF9" w14:textId="77777777" w:rsidR="004543E0" w:rsidRPr="009660EC" w:rsidRDefault="004543E0" w:rsidP="004543E0">
      <w:pPr>
        <w:pStyle w:val="Figure"/>
      </w:pPr>
      <w:bookmarkStart w:id="637" w:name="_Toc481752011"/>
      <w:bookmarkStart w:id="638" w:name="_Toc507158470"/>
      <w:bookmarkStart w:id="639" w:name="_Toc511116961"/>
      <w:bookmarkStart w:id="640" w:name="_Toc5269691"/>
      <w:bookmarkStart w:id="641" w:name="_Toc32570962"/>
      <w:bookmarkStart w:id="642" w:name="_Toc36292792"/>
      <w:bookmarkStart w:id="643" w:name="_Toc68786657"/>
      <w:bookmarkStart w:id="644" w:name="_Toc95574118"/>
      <w:bookmarkStart w:id="645" w:name="_Toc99696037"/>
      <w:r w:rsidRPr="009660EC">
        <w:t xml:space="preserve">Figure 5.1.6 </w:t>
      </w:r>
      <w:r w:rsidRPr="009660EC">
        <w:tab/>
        <w:t xml:space="preserve">National monthly milk production in New Zealand from 2018 to </w:t>
      </w:r>
      <w:bookmarkEnd w:id="637"/>
      <w:bookmarkEnd w:id="638"/>
      <w:bookmarkEnd w:id="639"/>
      <w:bookmarkEnd w:id="640"/>
      <w:bookmarkEnd w:id="641"/>
      <w:bookmarkEnd w:id="642"/>
      <w:bookmarkEnd w:id="643"/>
      <w:r w:rsidRPr="009660EC">
        <w:t>2020</w:t>
      </w:r>
      <w:bookmarkEnd w:id="644"/>
      <w:bookmarkEnd w:id="645"/>
    </w:p>
    <w:p w14:paraId="4CA64EE8" w14:textId="647BBED4" w:rsidR="004543E0" w:rsidRPr="009660EC" w:rsidRDefault="004B48CC" w:rsidP="002C481C">
      <w:pPr>
        <w:pStyle w:val="BodyText"/>
        <w:spacing w:before="0"/>
        <w:rPr>
          <w:rFonts w:cs="Calibri"/>
        </w:rPr>
      </w:pPr>
      <w:r>
        <w:rPr>
          <w:noProof/>
        </w:rPr>
        <w:pict w14:anchorId="65F3B352">
          <v:shape id="_x0000_i1077" type="#_x0000_t75" style="width:425.3pt;height:252.8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">
            <v:imagedata r:id="rId111" o:title="" cropbottom="2277f" cropright="3537f"/>
            <o:lock v:ext="edit" aspectratio="f"/>
          </v:shape>
        </w:pict>
      </w:r>
    </w:p>
    <w:p w14:paraId="232DFC11" w14:textId="77777777" w:rsidR="004543E0" w:rsidRPr="009660EC" w:rsidRDefault="004543E0" w:rsidP="002C481C">
      <w:pPr>
        <w:pStyle w:val="Source"/>
        <w:spacing w:after="120"/>
        <w:rPr>
          <w:rFonts w:cs="Calibri"/>
          <w:b/>
          <w:bCs/>
          <w:sz w:val="18"/>
          <w:szCs w:val="24"/>
        </w:rPr>
      </w:pPr>
      <w:r w:rsidRPr="009660EC">
        <w:rPr>
          <w:rFonts w:cs="Calibri"/>
          <w:b/>
          <w:bCs/>
          <w:sz w:val="18"/>
          <w:szCs w:val="24"/>
        </w:rPr>
        <w:t>Source</w:t>
      </w:r>
      <w:r w:rsidRPr="009660EC">
        <w:rPr>
          <w:rFonts w:cs="Calibri"/>
          <w:sz w:val="18"/>
          <w:szCs w:val="24"/>
        </w:rPr>
        <w:t>:</w:t>
      </w:r>
      <w:r w:rsidRPr="009660EC">
        <w:rPr>
          <w:rFonts w:cs="Calibri"/>
          <w:sz w:val="18"/>
          <w:szCs w:val="24"/>
        </w:rPr>
        <w:tab/>
        <w:t>Dairy Companies Association of New Zealand (2021)</w:t>
      </w:r>
    </w:p>
    <w:p w14:paraId="362BCD3A" w14:textId="77777777" w:rsidR="004543E0" w:rsidRPr="009660EC" w:rsidRDefault="004543E0" w:rsidP="004543E0">
      <w:pPr>
        <w:pStyle w:val="BodyText"/>
        <w:rPr>
          <w:rFonts w:cs="Calibri"/>
          <w:spacing w:val="-2"/>
        </w:rPr>
      </w:pPr>
      <w:r w:rsidRPr="009660EC">
        <w:rPr>
          <w:rFonts w:cs="Calibri"/>
          <w:spacing w:val="-2"/>
        </w:rPr>
        <w:t xml:space="preserve">Before 1993, no productivity data were collected at a territorial authority level, so pre-1993 data have been estimated by extrapolating from the trends observed in existing data from 1994 to 2008. </w:t>
      </w:r>
    </w:p>
    <w:p w14:paraId="496CF4A0" w14:textId="77777777" w:rsidR="004543E0" w:rsidRPr="009660EC" w:rsidRDefault="004543E0" w:rsidP="004543E0">
      <w:pPr>
        <w:pStyle w:val="BodyText"/>
        <w:rPr>
          <w:rFonts w:cs="Calibri"/>
        </w:rPr>
      </w:pPr>
      <w:r w:rsidRPr="009660EC">
        <w:rPr>
          <w:rFonts w:cs="Calibri"/>
        </w:rPr>
        <w:t>Before 2004, not all productivity data required could be collected from LIC at a territorial authority level. From 1993 to 2003, annual milk yield per cow was determined by the following equation:</w:t>
      </w:r>
    </w:p>
    <w:bookmarkStart w:id="646" w:name="_MON_1579592448"/>
    <w:bookmarkEnd w:id="646"/>
    <w:p w14:paraId="73F16DB2" w14:textId="77777777" w:rsidR="004543E0" w:rsidRPr="009660EC" w:rsidRDefault="004543E0" w:rsidP="004543E0">
      <w:pPr>
        <w:pStyle w:val="BodyText"/>
        <w:spacing w:before="0" w:after="0"/>
        <w:rPr>
          <w:rFonts w:cs="Calibri"/>
        </w:rPr>
      </w:pPr>
      <w:r w:rsidRPr="009660EC">
        <w:rPr>
          <w:rFonts w:cs="Calibri"/>
        </w:rPr>
        <w:object w:dxaOrig="5819" w:dyaOrig="720" w14:anchorId="40B834AF">
          <v:shape id="_x0000_i1078" type="#_x0000_t75" style="width:288.85pt;height:37.65pt" o:ole="">
            <v:imagedata r:id="rId112" o:title="" cropbottom="13577f"/>
          </v:shape>
          <o:OLEObject Type="Embed" ProgID="Word.Document.12" ShapeID="_x0000_i1078" DrawAspect="Content" ObjectID="_1710830385" r:id="rId113">
            <o:FieldCodes>\s</o:FieldCodes>
          </o:OLEObject>
        </w:object>
      </w:r>
    </w:p>
    <w:p w14:paraId="100A4220" w14:textId="77777777" w:rsidR="004543E0" w:rsidRPr="009660EC" w:rsidRDefault="004543E0" w:rsidP="004543E0">
      <w:pPr>
        <w:pStyle w:val="BodyText"/>
        <w:rPr>
          <w:rFonts w:cs="Calibri"/>
        </w:rPr>
      </w:pPr>
      <w:r w:rsidRPr="009660EC">
        <w:rPr>
          <w:rFonts w:cs="Calibri"/>
        </w:rPr>
        <w:t xml:space="preserve">From 2004 onwards, productivity data have been collected by LIC at a similar territorial authority level as the livestock population data collected by Stats NZ. MPI officials aggregate the territorial data up into the regional council boundaries used for the population data. </w:t>
      </w:r>
    </w:p>
    <w:p w14:paraId="74976DDC" w14:textId="77777777" w:rsidR="004543E0" w:rsidRPr="009660EC" w:rsidRDefault="004543E0" w:rsidP="004543E0">
      <w:pPr>
        <w:pStyle w:val="BodyText"/>
      </w:pPr>
      <w:r w:rsidRPr="009660EC">
        <w:t xml:space="preserve">Nearly 76 per cent of all dairy cattle in milk were tested by LIC for milk production, along with milk fat and protein levels in the 2020/21 season (LIC and DairyNZ, 2021). LIC also does genetic testing to identify key breeding stock and their genetic background. Genetic improvement has contributed to the productivity improvements in the New Zealand dairy cattle herd (LIC, 2009). </w:t>
      </w:r>
    </w:p>
    <w:p w14:paraId="705E7F83" w14:textId="77777777" w:rsidR="004543E0" w:rsidRPr="009660EC" w:rsidRDefault="004543E0" w:rsidP="004543E0">
      <w:pPr>
        <w:pStyle w:val="BodyText"/>
      </w:pPr>
      <w:r w:rsidRPr="009660EC">
        <w:t xml:space="preserve">New Zealand’s dairy production per animal is lower, compared with dairy production in other developed countries. This is because New Zealand has predominantly pasture-based dairy systems rather than the housed grain-fed systems used in Europe and North America. </w:t>
      </w:r>
    </w:p>
    <w:p w14:paraId="744EC8B0" w14:textId="77777777" w:rsidR="004543E0" w:rsidRPr="009660EC" w:rsidRDefault="004543E0" w:rsidP="004543E0">
      <w:pPr>
        <w:pStyle w:val="BodyText"/>
      </w:pPr>
      <w:r w:rsidRPr="009660EC">
        <w:rPr>
          <w:b/>
          <w:bCs/>
          <w:i/>
          <w:iCs/>
        </w:rPr>
        <w:lastRenderedPageBreak/>
        <w:t xml:space="preserve">Dairy cattle – liveweight: </w:t>
      </w:r>
      <w:r w:rsidRPr="009660EC">
        <w:t xml:space="preserve">Average liveweight data for dairy cows are obtained by taking into </w:t>
      </w:r>
      <w:r w:rsidRPr="009660EC">
        <w:rPr>
          <w:spacing w:val="-2"/>
        </w:rPr>
        <w:t>account the proportion of each breed in the national herd and its age structure based on LIC data</w:t>
      </w:r>
      <w:r w:rsidRPr="009660EC">
        <w:t xml:space="preserve">. Dairy cow liveweight data are only available from LIC from 1996 onwards and have been </w:t>
      </w:r>
      <w:r w:rsidRPr="009660EC">
        <w:rPr>
          <w:spacing w:val="-2"/>
        </w:rPr>
        <w:t xml:space="preserve">disaggregated into eight regions, with some of these comprising several regional council </w:t>
      </w:r>
      <w:r w:rsidRPr="009660EC">
        <w:t>regions</w:t>
      </w:r>
      <w:r w:rsidRPr="009660EC">
        <w:rPr>
          <w:spacing w:val="-2"/>
        </w:rPr>
        <w:t>.</w:t>
      </w:r>
      <w:r w:rsidRPr="009660EC">
        <w:t xml:space="preserve"> Data from the livestock improvement regions were appropriately apportioned to regional council areas. Liveweights before 1996 were estimated using the trend in liveweights from 1996 to 2008, together with data on the breed composition of the national herd (LIC, 2009). </w:t>
      </w:r>
    </w:p>
    <w:p w14:paraId="0D75EAC5" w14:textId="77777777" w:rsidR="004543E0" w:rsidRPr="009660EC" w:rsidRDefault="004543E0" w:rsidP="004543E0">
      <w:pPr>
        <w:pStyle w:val="BodyText"/>
      </w:pPr>
      <w:r w:rsidRPr="009660EC">
        <w:t xml:space="preserve">In the model, replacement dairy animals (calves) are assumed to be about 9 per cent of the weight of the average cow at birth and to reach 90 per cent of the weight of the average adult cow at calving (at two years of age) (Clark et al., 2003). Growth between birth and calving is divided into two periods: birth to weaning (two months of age) and weaning to calving. Higher growth rates are applied in the model between birth and weaning, when animals receive milk as part of their diet. Within each period, the same daily growth rate is applied for the entire length of the period and applied nationally. </w:t>
      </w:r>
    </w:p>
    <w:p w14:paraId="7FBC5184" w14:textId="77777777" w:rsidR="004543E0" w:rsidRPr="009660EC" w:rsidRDefault="004543E0" w:rsidP="004543E0">
      <w:pPr>
        <w:pStyle w:val="BodyText"/>
      </w:pPr>
      <w:r w:rsidRPr="009660EC">
        <w:t xml:space="preserve">No data are available on the liveweights and performance of most breeding dairy bulls, which can range from the small Jersey breeds through to larger European beef breeds. It is assumed, based on expert opinion and taking into account industry data (Clark et al., 2003), that the average mature weight as of 1 January is 500 kilograms and that they grow at 0.5 kilograms per day. This gives an average weight (at the mid-point of the year) of 592 kilograms. This is almost 25 per cent higher than the average weight of a New Zealand breeding dairy cow but is supported by expert opinion, given that some of the bulls will be of a heavier breed (e.g., Friesian and some beef breeds). Total emissions are not sensitive to these assumed liveweight values because breeding bulls in the dairy herd are low in number and contribute less than 0.1 per cent of emissions to the dairy sector. </w:t>
      </w:r>
    </w:p>
    <w:p w14:paraId="76903FDE" w14:textId="77777777" w:rsidR="004543E0" w:rsidRPr="009660EC" w:rsidRDefault="004543E0" w:rsidP="004543E0">
      <w:pPr>
        <w:pStyle w:val="BodyText"/>
      </w:pPr>
      <w:r w:rsidRPr="009660EC">
        <w:t>LIC and DairyNZ (2021) reported a number of different breeds in the New Zealand dairy herd, these included:</w:t>
      </w:r>
    </w:p>
    <w:p w14:paraId="16EF1EDD" w14:textId="77777777" w:rsidR="004543E0" w:rsidRPr="009660EC" w:rsidRDefault="004543E0" w:rsidP="004543E0">
      <w:pPr>
        <w:pStyle w:val="Bullet"/>
      </w:pPr>
      <w:r w:rsidRPr="009660EC">
        <w:t xml:space="preserve">Holstein–Friesian/Jersey crossbreed (49.6 per cent of the national cow population in 2020) </w:t>
      </w:r>
    </w:p>
    <w:p w14:paraId="6E7FB775" w14:textId="77777777" w:rsidR="004543E0" w:rsidRPr="009660EC" w:rsidRDefault="004543E0" w:rsidP="004543E0">
      <w:pPr>
        <w:pStyle w:val="Bullet"/>
      </w:pPr>
      <w:r w:rsidRPr="009660EC">
        <w:t xml:space="preserve">Holstein–Friesian (32.5 per cent) </w:t>
      </w:r>
    </w:p>
    <w:p w14:paraId="34AE0608" w14:textId="77777777" w:rsidR="004543E0" w:rsidRPr="009660EC" w:rsidRDefault="004543E0" w:rsidP="004543E0">
      <w:pPr>
        <w:pStyle w:val="Bullet"/>
      </w:pPr>
      <w:r w:rsidRPr="009660EC">
        <w:t xml:space="preserve">Jersey (8.2 per cent) </w:t>
      </w:r>
    </w:p>
    <w:p w14:paraId="132A2492" w14:textId="77777777" w:rsidR="004543E0" w:rsidRPr="009660EC" w:rsidRDefault="004543E0" w:rsidP="004543E0">
      <w:pPr>
        <w:pStyle w:val="Bullet"/>
      </w:pPr>
      <w:r w:rsidRPr="009660EC">
        <w:t xml:space="preserve">Ayrshire (0.4 per cent) </w:t>
      </w:r>
    </w:p>
    <w:p w14:paraId="52C9A957" w14:textId="77777777" w:rsidR="004543E0" w:rsidRPr="009660EC" w:rsidRDefault="004543E0" w:rsidP="004543E0">
      <w:pPr>
        <w:pStyle w:val="Bullet"/>
      </w:pPr>
      <w:r w:rsidRPr="009660EC">
        <w:t>other breeds (9.3 per cent).</w:t>
      </w:r>
    </w:p>
    <w:p w14:paraId="1D724034" w14:textId="77777777" w:rsidR="004543E0" w:rsidRPr="009660EC" w:rsidRDefault="004543E0" w:rsidP="004543E0">
      <w:pPr>
        <w:pStyle w:val="BodyText"/>
      </w:pPr>
      <w:r w:rsidRPr="009660EC">
        <w:t xml:space="preserve">The Holstein–Friesian/Jersey crossbreed has been developed specifically for New Zealand’s pasture-based systems. This breed is nearly 7.8 per cent lighter than a Holstein–Friesian (LIC and DairyNZ, 2021) and has lower maintenance feed requirements. It does less damage to pasture during wet periods due to its lower liveweight, compared with larger cattle breeds. It also has higher milk volumes than the Jersey breed while maintaining a high percentage of milk solids. </w:t>
      </w:r>
    </w:p>
    <w:p w14:paraId="4315DD50" w14:textId="77777777" w:rsidR="004543E0" w:rsidRPr="009660EC" w:rsidRDefault="004543E0" w:rsidP="004543E0">
      <w:pPr>
        <w:pStyle w:val="BodyText"/>
        <w:rPr>
          <w:rFonts w:cs="Calibri"/>
        </w:rPr>
      </w:pPr>
      <w:r w:rsidRPr="009660EC">
        <w:rPr>
          <w:rFonts w:cs="Calibri"/>
          <w:b/>
          <w:bCs/>
          <w:i/>
          <w:iCs/>
        </w:rPr>
        <w:t>Beef</w:t>
      </w:r>
      <w:r w:rsidRPr="009660EC">
        <w:rPr>
          <w:rFonts w:cs="Calibri"/>
          <w:b/>
          <w:bCs/>
        </w:rPr>
        <w:t xml:space="preserve"> </w:t>
      </w:r>
      <w:r w:rsidRPr="009660EC">
        <w:rPr>
          <w:rFonts w:cs="Calibri"/>
          <w:b/>
          <w:bCs/>
          <w:i/>
          <w:iCs/>
        </w:rPr>
        <w:t>cattle:</w:t>
      </w:r>
      <w:r w:rsidRPr="009660EC">
        <w:rPr>
          <w:rFonts w:cs="Calibri"/>
        </w:rPr>
        <w:t xml:space="preserve"> The principal source of information for estimating productivity for beef cattle is livestock slaughter statistics provided to MPI by meat processors. All growing beef animals are assumed to be slaughtered at two years of age,</w:t>
      </w:r>
      <w:r w:rsidRPr="009660EC">
        <w:rPr>
          <w:rStyle w:val="FootnoteReference"/>
          <w:rFonts w:cs="Calibri"/>
        </w:rPr>
        <w:footnoteReference w:id="34"/>
      </w:r>
      <w:r w:rsidRPr="009660EC">
        <w:rPr>
          <w:rFonts w:cs="Calibri"/>
        </w:rPr>
        <w:t xml:space="preserve"> and the average weight at slaughter for the three categories (</w:t>
      </w:r>
      <w:r w:rsidRPr="009660EC">
        <w:rPr>
          <w:rFonts w:cs="Calibri"/>
          <w:i/>
          <w:iCs/>
        </w:rPr>
        <w:t>Heifers</w:t>
      </w:r>
      <w:r w:rsidRPr="009660EC">
        <w:rPr>
          <w:rFonts w:cs="Calibri"/>
        </w:rPr>
        <w:t xml:space="preserve">, </w:t>
      </w:r>
      <w:r w:rsidRPr="009660EC">
        <w:rPr>
          <w:rFonts w:cs="Calibri"/>
          <w:i/>
          <w:iCs/>
        </w:rPr>
        <w:t>Steers</w:t>
      </w:r>
      <w:r w:rsidRPr="009660EC">
        <w:rPr>
          <w:rFonts w:cs="Calibri"/>
        </w:rPr>
        <w:t xml:space="preserve"> and </w:t>
      </w:r>
      <w:r w:rsidRPr="009660EC">
        <w:rPr>
          <w:rFonts w:cs="Calibri"/>
          <w:i/>
          <w:iCs/>
        </w:rPr>
        <w:t>Bulls</w:t>
      </w:r>
      <w:r w:rsidRPr="009660EC">
        <w:rPr>
          <w:rFonts w:cs="Calibri"/>
        </w:rPr>
        <w:t xml:space="preserve">) is estimated from the carcass weight at slaughter. Liveweights at birth are assumed to be around 9 per cent of an adult cow weight for heifers and 10 per cent for steers and bulls (Clark et al., 2003). As with dairy cattle, growth rates of all </w:t>
      </w:r>
      <w:r w:rsidRPr="009660EC">
        <w:rPr>
          <w:rFonts w:cs="Calibri"/>
        </w:rPr>
        <w:lastRenderedPageBreak/>
        <w:t xml:space="preserve">growing animals are divided into two periods in the model: birth to weaning and weaning to slaughter. Higher growth rates are applied before weaning when animals receive milk as part of their diet. Within each period, the same daily growth rate is applied for the entire period. </w:t>
      </w:r>
    </w:p>
    <w:p w14:paraId="38D81869" w14:textId="77777777" w:rsidR="004543E0" w:rsidRPr="009660EC" w:rsidRDefault="004543E0" w:rsidP="004543E0">
      <w:pPr>
        <w:pStyle w:val="BodyText"/>
        <w:rPr>
          <w:rFonts w:cs="Calibri"/>
        </w:rPr>
      </w:pPr>
      <w:r w:rsidRPr="009660EC">
        <w:rPr>
          <w:rFonts w:cs="Calibri"/>
        </w:rPr>
        <w:t>MPI slaughter statistics only began to separate carcass weights of adult dairy cows and adult beef cows in 2016 (MPI, 2021). Therefore, several assumptions</w:t>
      </w:r>
      <w:r w:rsidRPr="009660EC">
        <w:rPr>
          <w:rStyle w:val="FootnoteReference"/>
          <w:rFonts w:cs="Calibri"/>
        </w:rPr>
        <w:footnoteReference w:id="35"/>
      </w:r>
      <w:r w:rsidRPr="009660EC">
        <w:rPr>
          <w:rFonts w:cs="Calibri"/>
        </w:rPr>
        <w:t xml:space="preserve"> are made to estimate the liveweights of breeding beef cows. A total milk yield of 800 litres is assumed to be produced per breeding beef cow, which is then consumed by beef calves (Clark et al., 2003). </w:t>
      </w:r>
    </w:p>
    <w:p w14:paraId="552D3F85" w14:textId="77777777" w:rsidR="004543E0" w:rsidRPr="009660EC" w:rsidRDefault="004543E0" w:rsidP="004543E0">
      <w:pPr>
        <w:pStyle w:val="BodyText"/>
      </w:pPr>
      <w:r w:rsidRPr="009660EC">
        <w:rPr>
          <w:b/>
          <w:bCs/>
          <w:i/>
          <w:iCs/>
        </w:rPr>
        <w:t>Sheep:</w:t>
      </w:r>
      <w:r w:rsidRPr="009660EC">
        <w:t xml:space="preserve"> Livestock slaughter statistics from MPI provided by meat processors are used to estimate the liveweights of adult sheep and lambs at slaughter, assuming killing-out percentages</w:t>
      </w:r>
      <w:r w:rsidRPr="009660EC">
        <w:rPr>
          <w:rStyle w:val="FootnoteReference"/>
          <w:rFonts w:cs="Calibri"/>
        </w:rPr>
        <w:footnoteReference w:id="36"/>
      </w:r>
      <w:r w:rsidRPr="009660EC">
        <w:t xml:space="preserve"> of around 40 per cent for ewes and 45 per cent for lambs (Thomson et al., 2010). Lamb liveweights at birth are assumed to be 9 per cent of the adult ewe weight, with all lambs assumed to be born on 11 September on average (Thomson et al., 2010). Growing breeding and non</w:t>
      </w:r>
      <w:r w:rsidRPr="009660EC">
        <w:noBreakHyphen/>
        <w:t xml:space="preserve">breeding ewe hoggets are assumed to reach full adult size when subsequently mated at an age of 20 months. Adult wethers (castrated male sheep) are assumed to be the same weight as adult breeding females. No within-year pattern of liveweight change is assumed for either adult wethers or adult ewes. All ewes rearing a lamb are assumed to have a total milk yield of 100 litres. Breeding rams are assumed to weigh 40 per cent more than adult ewes (Clark et al., 2003). Wool growth (greasy fleece growth) is assumed to be 5 kilograms per annum in mature sheep (ewes, rams and wethers) and 2.5 kilograms per annum in growing sheep and lambs. Beef + Lamb New Zealand Ltd, the industry-good organisation representing the beef cattle and sheep industries, provides estimates of the total wool production from 1990 to 2020 from which the individual fleece weight is estimated (Beef + Lamb New Zealand Ltd, 2021). </w:t>
      </w:r>
    </w:p>
    <w:p w14:paraId="43EAC72E" w14:textId="77777777" w:rsidR="004543E0" w:rsidRPr="009660EC" w:rsidRDefault="004543E0" w:rsidP="004543E0">
      <w:pPr>
        <w:pStyle w:val="BodyText"/>
        <w:spacing w:after="100"/>
        <w:rPr>
          <w:rFonts w:cs="Calibri"/>
        </w:rPr>
      </w:pPr>
      <w:r w:rsidRPr="009660EC">
        <w:rPr>
          <w:rFonts w:cs="Calibri"/>
          <w:b/>
          <w:bCs/>
          <w:i/>
          <w:iCs/>
        </w:rPr>
        <w:t>Deer</w:t>
      </w:r>
      <w:r w:rsidRPr="009660EC">
        <w:rPr>
          <w:rFonts w:cs="Calibri"/>
          <w:b/>
          <w:bCs/>
        </w:rPr>
        <w:t>:</w:t>
      </w:r>
      <w:r w:rsidRPr="009660EC">
        <w:rPr>
          <w:rFonts w:cs="Calibri"/>
        </w:rPr>
        <w:t xml:space="preserve"> Liveweights of growing hinds and stags are estimated from Deer Industry New Zealand statistics, assuming a killing-out percentage of 55 per cent. A fawn birth weight of 9 per cent of the adult female weight and a common birth date of mid-November are assumed. Liveweights of breeding stags and hinds are based on a report by Suttie (2012). It is assumed there is no pattern of liveweight change within any given year. The lactation assumptions are 204 litres of milk over 120 days, an average daily lactation yield of 1.7 litres of milk per day (Suttie, 2012). </w:t>
      </w:r>
    </w:p>
    <w:p w14:paraId="20E7FED6" w14:textId="77777777" w:rsidR="004543E0" w:rsidRPr="009660EC" w:rsidRDefault="004543E0" w:rsidP="004543E0">
      <w:pPr>
        <w:pStyle w:val="Heading4"/>
      </w:pPr>
      <w:r w:rsidRPr="009660EC">
        <w:t xml:space="preserve">Minor livestock categories </w:t>
      </w:r>
    </w:p>
    <w:p w14:paraId="7F282A62" w14:textId="77777777" w:rsidR="004543E0" w:rsidRPr="009660EC" w:rsidRDefault="004543E0" w:rsidP="004543E0">
      <w:pPr>
        <w:pStyle w:val="BodyText"/>
      </w:pPr>
      <w:r w:rsidRPr="009660EC">
        <w:t xml:space="preserve">Tier 1 methodology is used for goats, horses, mules and asses, swine, poultry and alpacas (IPCC, 2006), using a combination of country-specific and IPCC default emission factors (annex 3, section A3.1.2, table A3.1.4). </w:t>
      </w:r>
    </w:p>
    <w:p w14:paraId="42EEFF37" w14:textId="77777777" w:rsidR="004543E0" w:rsidRPr="009660EC" w:rsidRDefault="004543E0" w:rsidP="004543E0">
      <w:pPr>
        <w:pStyle w:val="BodyText"/>
        <w:spacing w:after="100"/>
        <w:rPr>
          <w:rFonts w:cs="Calibri"/>
        </w:rPr>
      </w:pPr>
      <w:r w:rsidRPr="009660EC">
        <w:rPr>
          <w:rFonts w:cs="Calibri"/>
        </w:rPr>
        <w:t xml:space="preserve">The populations of goats, horses and swine are reported using data from the Stats NZ Agricultural Production census and the inter-census Agricultural Production survey. Data on the population of alpacas before 2010 are provided by Henderson and Cameron (unpublished) based on data from the Alpaca Association New Zealand. Alpaca population data from 2010 onwards are provided by Stats NZ. </w:t>
      </w:r>
    </w:p>
    <w:p w14:paraId="65C1C682" w14:textId="77777777" w:rsidR="004543E0" w:rsidRPr="009660EC" w:rsidRDefault="004543E0" w:rsidP="004543E0">
      <w:pPr>
        <w:pStyle w:val="BodyText"/>
      </w:pPr>
      <w:r w:rsidRPr="009660EC">
        <w:lastRenderedPageBreak/>
        <w:t xml:space="preserve">A small number of buffalo are farmed in New Zealand. Stats NZ advised that, in 2011, there were 192 buffalo. Because the buffalo livestock are used for producing milk (which is then used to produce mozzarella cheese for the restaurant industry), they are reported within the dairy herd, so the notation key ‘IE’ (included elsewhere) is used for buffalo. </w:t>
      </w:r>
    </w:p>
    <w:p w14:paraId="55E947C9" w14:textId="77777777" w:rsidR="004543E0" w:rsidRPr="009660EC" w:rsidRDefault="004543E0" w:rsidP="004543E0">
      <w:pPr>
        <w:pStyle w:val="BodyText"/>
      </w:pPr>
      <w:r w:rsidRPr="009660EC">
        <w:t xml:space="preserve">Mules and asses are not farmed commercially or used as working animals in New Zealand. A constant population of 141 donkeys has been included in the inventory under mules and asses. The emissions from these populations of animals are extremely small relative to the major livestock categories. </w:t>
      </w:r>
    </w:p>
    <w:p w14:paraId="7173CCB3" w14:textId="77777777" w:rsidR="004543E0" w:rsidRPr="009660EC" w:rsidRDefault="004543E0" w:rsidP="004543E0">
      <w:pPr>
        <w:pStyle w:val="BodyText"/>
      </w:pPr>
      <w:r w:rsidRPr="009660EC">
        <w:t>Poultry is further classified into three categories: broiler chicken, layer hens and other poultry. Stats NZ provides estimates of average annual broiler chicken flock sizes using industry data on the numbers of broilers processed every year since 1990. Mortality rates and days alive are used as suggested by Fick (2010). Stats NZ also obtains estimates of the number of layer hens and other poultry (e.g., ducks, turkeys, emus and ostriches) from the Agricultural Production census and survey. Ostrich and emu farming in New Zealand is extremely rare. In 2015, it was estimated only 739 ostriches were in the country. Other poultry manure management emissions are included and calculated. Enteric fermentation is negligible and therefore not estimated.</w:t>
      </w:r>
    </w:p>
    <w:p w14:paraId="0280D156" w14:textId="77777777" w:rsidR="004543E0" w:rsidRPr="009660EC" w:rsidRDefault="004543E0" w:rsidP="004543E0">
      <w:pPr>
        <w:pStyle w:val="BodyText"/>
      </w:pPr>
      <w:r w:rsidRPr="009660EC">
        <w:t xml:space="preserve">The average annual flock size of chickens is determined by the following equation: </w:t>
      </w:r>
    </w:p>
    <w:p w14:paraId="22EB8FB5" w14:textId="7C7E9D3A" w:rsidR="004543E0" w:rsidRPr="009660EC" w:rsidRDefault="004B48CC" w:rsidP="004543E0">
      <w:pPr>
        <w:pStyle w:val="BodyText"/>
        <w:spacing w:before="80" w:after="80"/>
      </w:pPr>
      <w:r>
        <w:rPr>
          <w:noProof/>
        </w:rPr>
        <w:pict w14:anchorId="350ADAF4">
          <v:shape id="Picture 7" o:spid="_x0000_i1079" type="#_x0000_t75" style="width:401.85pt;height:20.95pt;visibility:visible;mso-wrap-style:square">
            <v:imagedata r:id="rId114" o:title=""/>
          </v:shape>
        </w:pict>
      </w:r>
    </w:p>
    <w:p w14:paraId="41F4E6D3" w14:textId="77777777" w:rsidR="004543E0" w:rsidRPr="009660EC" w:rsidRDefault="004543E0" w:rsidP="004543E0">
      <w:pPr>
        <w:pStyle w:val="BodyText"/>
      </w:pPr>
      <w:r w:rsidRPr="009660EC">
        <w:t xml:space="preserve">Rabbits are considered an agricultural pest, and only a very small number are farmed in the country (R Sanson, pers. comm., 2019). Because of this, emissions from farmed rabbits are reported as ‘not estimated’ (NE) because their emissions are insignificant. There is no known farming of other fur-breeding animals. </w:t>
      </w:r>
    </w:p>
    <w:p w14:paraId="6B4815D9" w14:textId="77777777" w:rsidR="004543E0" w:rsidRPr="009660EC" w:rsidRDefault="004543E0" w:rsidP="004543E0">
      <w:pPr>
        <w:pStyle w:val="Heading3"/>
      </w:pPr>
      <w:bookmarkStart w:id="647" w:name="_Toc32570647"/>
      <w:r w:rsidRPr="009660EC">
        <w:t xml:space="preserve">5.1.5 </w:t>
      </w:r>
      <w:r w:rsidRPr="009660EC">
        <w:tab/>
        <w:t>Recalculations</w:t>
      </w:r>
      <w:bookmarkEnd w:id="647"/>
      <w:r w:rsidRPr="009660EC">
        <w:t xml:space="preserve"> </w:t>
      </w:r>
    </w:p>
    <w:p w14:paraId="477B26EF" w14:textId="77777777" w:rsidR="004543E0" w:rsidRPr="009660EC" w:rsidRDefault="004543E0" w:rsidP="004543E0">
      <w:pPr>
        <w:pStyle w:val="Heading4"/>
        <w:spacing w:before="160"/>
      </w:pPr>
      <w:r w:rsidRPr="009660EC">
        <w:t xml:space="preserve">Agriculture emissions research </w:t>
      </w:r>
    </w:p>
    <w:p w14:paraId="5A917777" w14:textId="77777777" w:rsidR="004543E0" w:rsidRPr="009660EC" w:rsidRDefault="004543E0" w:rsidP="004543E0">
      <w:pPr>
        <w:pStyle w:val="BodyText"/>
      </w:pPr>
      <w:r w:rsidRPr="009660EC">
        <w:t>New Zealand invests in a comprehensive research programme to develop technologies and practices to reduce biological greenhouse gas emissions from agriculture. This is facilitated through the following.</w:t>
      </w:r>
    </w:p>
    <w:p w14:paraId="19A0E580" w14:textId="77777777" w:rsidR="004543E0" w:rsidRPr="009660EC" w:rsidRDefault="004543E0" w:rsidP="004543E0">
      <w:pPr>
        <w:pStyle w:val="Bullet"/>
      </w:pPr>
      <w:r w:rsidRPr="009660EC">
        <w:t xml:space="preserve">The New Zealand Agricultural Greenhouse Gas Research Centre (NZAGRC), which was </w:t>
      </w:r>
      <w:r w:rsidRPr="009660EC">
        <w:rPr>
          <w:spacing w:val="-2"/>
        </w:rPr>
        <w:t xml:space="preserve">established in 2009. Its aims are to contribute to agricultural greenhouse gas </w:t>
      </w:r>
      <w:r w:rsidRPr="009660EC">
        <w:t>understanding and mitigation through research programmes and international collaboration, and to enhance New Zealand’s research capability and infrastructure in this area. </w:t>
      </w:r>
    </w:p>
    <w:p w14:paraId="4C912E19" w14:textId="77777777" w:rsidR="004543E0" w:rsidRPr="009660EC" w:rsidRDefault="004543E0" w:rsidP="004543E0">
      <w:pPr>
        <w:pStyle w:val="Bullet"/>
      </w:pPr>
      <w:r w:rsidRPr="009660EC">
        <w:t>The Pastoral Greenhouse Gas Research Consortium (PGgRc), which was established in 2003 by New Zealand agricultural sector organisations and private companies in partnership with Government. It funds research, primarily into mitigation technologies and management practices for ruminants but also to provide information to improve on</w:t>
      </w:r>
      <w:r w:rsidRPr="009660EC">
        <w:noBreakHyphen/>
        <w:t>farm greenhouse gas inventories. The PGgRc is funded in partnership between the Government, through the Ministry of Business, Innovation and Employment, and Agriculture sector parties.</w:t>
      </w:r>
    </w:p>
    <w:p w14:paraId="78A263AC" w14:textId="77777777" w:rsidR="004543E0" w:rsidRPr="009660EC" w:rsidRDefault="004543E0" w:rsidP="004543E0">
      <w:pPr>
        <w:pStyle w:val="Bullet"/>
      </w:pPr>
      <w:r w:rsidRPr="009660EC">
        <w:t xml:space="preserve">New Zealand is one of the founding members of the Global Research Alliance on Agricultural Greenhouse Gases (GRA), which facilitates international research collaboration to study means of increasing global food production while limiting agricultural greenhouse gas emissions. It also seeks to build capability and improve greenhouse gas inventories in developing countries. The GRA’s global networks build emission research capability and facilitate transfer of mitigation technologies and </w:t>
      </w:r>
      <w:r w:rsidRPr="009660EC">
        <w:lastRenderedPageBreak/>
        <w:t>knowledge. MPI has hosted the GRA Secretariat since its establishment in 2009 and coordinates New Zealand’s contribution, largely through the NZAGRC.</w:t>
      </w:r>
    </w:p>
    <w:p w14:paraId="08D6C196" w14:textId="77777777" w:rsidR="004543E0" w:rsidRPr="009660EC" w:rsidRDefault="004543E0" w:rsidP="004543E0">
      <w:pPr>
        <w:pStyle w:val="Bullet"/>
      </w:pPr>
      <w:r w:rsidRPr="009660EC">
        <w:t>MPI’s Greenhouse Gas Inventory Research Fund aims to support continuous improvement of the Agricultural Greenhouse Gas Inventory to improve the accuracy and reduce uncertainty of emissions reporting and forecasting. This is required under the United Nations Framework Convention on Climate Change (UNFCCC).</w:t>
      </w:r>
    </w:p>
    <w:p w14:paraId="31CD53F6" w14:textId="77777777" w:rsidR="004543E0" w:rsidRPr="009660EC" w:rsidRDefault="004543E0" w:rsidP="004543E0">
      <w:pPr>
        <w:pStyle w:val="BodyText"/>
      </w:pPr>
      <w:r w:rsidRPr="009660EC">
        <w:t>Research and data from these sources feed into New Zealand’s improvement of the Agriculture inventory, and these research activities allow New Zealand to share technical skills and expertise internationally.</w:t>
      </w:r>
    </w:p>
    <w:p w14:paraId="2D1ACE3F" w14:textId="77777777" w:rsidR="004543E0" w:rsidRPr="009660EC" w:rsidRDefault="004543E0" w:rsidP="004543E0">
      <w:pPr>
        <w:pStyle w:val="Heading5"/>
        <w:rPr>
          <w:rFonts w:cs="Calibri"/>
        </w:rPr>
      </w:pPr>
      <w:r w:rsidRPr="009660EC">
        <w:rPr>
          <w:rFonts w:cs="Calibri"/>
        </w:rPr>
        <w:t>Biological Emissions Reference Group</w:t>
      </w:r>
    </w:p>
    <w:p w14:paraId="78672478" w14:textId="77777777" w:rsidR="004543E0" w:rsidRPr="009660EC" w:rsidRDefault="004543E0" w:rsidP="004543E0">
      <w:pPr>
        <w:pStyle w:val="BodyText"/>
      </w:pPr>
      <w:r w:rsidRPr="009660EC">
        <w:t xml:space="preserve">The Biological Emissions Reference Group (BERG) was established in 2016. Group members included representatives from agricultural sector organisations and government agencies. The BERG’s purpose was to build a portfolio of published and reviewed scientific evidence covering the opportunities to reduce biological greenhouse gas emissions from New Zealand agriculture, and the costs and benefits of these opportunities and barriers to their use. </w:t>
      </w:r>
    </w:p>
    <w:p w14:paraId="27EF0AC7" w14:textId="77777777" w:rsidR="004543E0" w:rsidRPr="009660EC" w:rsidRDefault="004543E0" w:rsidP="004543E0">
      <w:pPr>
        <w:pStyle w:val="BodyText"/>
      </w:pPr>
      <w:r w:rsidRPr="009660EC">
        <w:t>The BERG published its evidence base</w:t>
      </w:r>
      <w:r w:rsidRPr="009660EC">
        <w:rPr>
          <w:rStyle w:val="FootnoteReference"/>
          <w:rFonts w:cs="Calibri"/>
        </w:rPr>
        <w:footnoteReference w:id="37"/>
      </w:r>
      <w:r w:rsidRPr="009660EC">
        <w:t xml:space="preserve"> in December 2018. This evidence has informed government agricultural emissions policy, as well as actions farmers can take to reduce their emissions. This group has now been disbanded.</w:t>
      </w:r>
    </w:p>
    <w:p w14:paraId="187D3F73" w14:textId="77777777" w:rsidR="004543E0" w:rsidRPr="009660EC" w:rsidRDefault="004543E0" w:rsidP="004543E0">
      <w:pPr>
        <w:pStyle w:val="Heading5"/>
        <w:rPr>
          <w:rFonts w:cs="Calibri"/>
        </w:rPr>
      </w:pPr>
      <w:bookmarkStart w:id="648" w:name="_Hlk63076843"/>
      <w:r w:rsidRPr="009660EC">
        <w:rPr>
          <w:rFonts w:cs="Calibri"/>
        </w:rPr>
        <w:t>He Waka Eke Noa – Primary Sector Climate Action Partnership</w:t>
      </w:r>
    </w:p>
    <w:p w14:paraId="17F7D960" w14:textId="77777777" w:rsidR="004543E0" w:rsidRPr="009660EC" w:rsidRDefault="004543E0" w:rsidP="004543E0">
      <w:pPr>
        <w:pStyle w:val="BodyText"/>
      </w:pPr>
      <w:r w:rsidRPr="009660EC">
        <w:t>He Waka Eke Noa forms part of New Zealand’s actions towards its Climate Change Response (Zero Carbon) Amendment Act 2019 targets and nationally determined contributions under the Paris Agreement.</w:t>
      </w:r>
    </w:p>
    <w:p w14:paraId="1A5AED00" w14:textId="77777777" w:rsidR="004543E0" w:rsidRPr="009660EC" w:rsidRDefault="004543E0" w:rsidP="004543E0">
      <w:pPr>
        <w:pStyle w:val="BodyText"/>
      </w:pPr>
      <w:r w:rsidRPr="009660EC">
        <w:t>In October 2019, the Government announced the formation of a Joint Action Plan (He Waka Eke Noa) with the agri-food and fibre sector to address agricultural emissions. He Waka Eke Noa aims to deliver a world-first nationwide scheme for the Agriculture sector to measure, manage and price agricultural greenhouse gas emissions by 2025. It has done this by setting milestones for the sector to achieve, including ensuring that all farms know their annual total on-farm greenhouse gas emissions by the end of 2022. The Ministers of Climate Change and Agriculture are required to report back in 2022 on the design and feasibility of implementing a farm-level pricing scheme.</w:t>
      </w:r>
    </w:p>
    <w:bookmarkEnd w:id="648"/>
    <w:p w14:paraId="2D42EA86" w14:textId="77777777" w:rsidR="004543E0" w:rsidRPr="009660EC" w:rsidRDefault="004543E0" w:rsidP="004543E0">
      <w:pPr>
        <w:pStyle w:val="Heading4"/>
      </w:pPr>
      <w:r w:rsidRPr="009660EC">
        <w:t>Recalculation and improvement approval process in the Agriculture inventory</w:t>
      </w:r>
    </w:p>
    <w:p w14:paraId="7B2BE221" w14:textId="77777777" w:rsidR="004543E0" w:rsidRPr="009660EC" w:rsidRDefault="004543E0" w:rsidP="004543E0">
      <w:pPr>
        <w:pStyle w:val="BodyText"/>
      </w:pPr>
      <w:r w:rsidRPr="009660EC">
        <w:t xml:space="preserve">The process for developing improvements and agreeing methodological changes to the Agriculture inventory is shown in figure 5.1.7. </w:t>
      </w:r>
    </w:p>
    <w:p w14:paraId="5D8F08D1" w14:textId="77777777" w:rsidR="004543E0" w:rsidRPr="009660EC" w:rsidRDefault="004543E0" w:rsidP="004543E0">
      <w:pPr>
        <w:pStyle w:val="BodyText"/>
      </w:pPr>
      <w:r w:rsidRPr="009660EC">
        <w:t>Domestically, New Zealand has an engaged network of scientific experts in the field of CH</w:t>
      </w:r>
      <w:r w:rsidRPr="009660EC">
        <w:rPr>
          <w:vertAlign w:val="subscript"/>
        </w:rPr>
        <w:t>4</w:t>
      </w:r>
      <w:r w:rsidRPr="009660EC">
        <w:t> and N</w:t>
      </w:r>
      <w:r w:rsidRPr="009660EC">
        <w:rPr>
          <w:vertAlign w:val="subscript"/>
        </w:rPr>
        <w:t>2</w:t>
      </w:r>
      <w:r w:rsidRPr="009660EC">
        <w:t xml:space="preserve">O emissions. Research findings are presented annually at the Greenhouse Gas Inventory Research Workshop. New inventory research ideas raised by the research community inform decisions for future inventory research. Final decisions on research priorities are made by MPI, following discussions between the network leaders and Ministry for the Environment (MfE) staff. Research is contracted to address specific questions relating to gaps in New Zealand’s knowledge and to review, test and improve current model parameters used. Draft research reports are peer reviewed by at least one external independent expert with knowledge in the </w:t>
      </w:r>
      <w:r w:rsidRPr="009660EC">
        <w:lastRenderedPageBreak/>
        <w:t>field and are assessed for their scientific robustness and suitability to be included in the inventory. A standard peer review report template is used.</w:t>
      </w:r>
    </w:p>
    <w:p w14:paraId="53522B71" w14:textId="77777777" w:rsidR="004543E0" w:rsidRPr="009660EC" w:rsidRDefault="004543E0" w:rsidP="004543E0">
      <w:pPr>
        <w:pStyle w:val="BodyText"/>
        <w:spacing w:after="100"/>
        <w:rPr>
          <w:rFonts w:cs="Calibri"/>
        </w:rPr>
      </w:pPr>
      <w:r w:rsidRPr="009660EC">
        <w:rPr>
          <w:rFonts w:cs="Calibri"/>
        </w:rPr>
        <w:t>If the report is suitable for inclusion in the inventory, a briefing and the final report are sent to the Agriculture Inventory Advisory Panel, which meets annually to review proposed changes to the inventory. The Panel comprises expert representatives from MPI and MfE, nominated science representatives from the Royal Society of New Zealand and the Methanet and NzOnet expert advisory groups.</w:t>
      </w:r>
      <w:r w:rsidRPr="009660EC">
        <w:rPr>
          <w:rStyle w:val="FootnoteReference"/>
          <w:rFonts w:cs="Calibri"/>
        </w:rPr>
        <w:footnoteReference w:id="38"/>
      </w:r>
      <w:r w:rsidRPr="009660EC">
        <w:rPr>
          <w:rFonts w:cs="Calibri"/>
        </w:rPr>
        <w:t xml:space="preserve"> The Panel is independent of policy and industry influences and has been formed to give independent advice on whether changes to the agriculture section of the National Inventory Report are scientifically robust, justifiable and internationally defensible. The Panel assesses if the proposed changes have been appropriately researched, using recognised scientific principles, and if there is sufficient scientific evidence to support the recommended changes. </w:t>
      </w:r>
    </w:p>
    <w:p w14:paraId="12596F03" w14:textId="77777777" w:rsidR="004543E0" w:rsidRPr="009660EC" w:rsidRDefault="004543E0" w:rsidP="004543E0">
      <w:pPr>
        <w:pStyle w:val="BodyText"/>
        <w:spacing w:before="100" w:after="100"/>
        <w:rPr>
          <w:rFonts w:cs="Calibri"/>
          <w:spacing w:val="-2"/>
        </w:rPr>
      </w:pPr>
      <w:r w:rsidRPr="009660EC">
        <w:rPr>
          <w:rFonts w:cs="Calibri"/>
          <w:spacing w:val="-2"/>
        </w:rPr>
        <w:t xml:space="preserve">Changes recommended by the Panel are sent to the Deputy Director-General (Policy and Trade) at MPI. The Deputy Director-General and MfE, via the Reporting Governance Group (RGG), must approve the changes for implementation into the annual national inventory. </w:t>
      </w:r>
    </w:p>
    <w:p w14:paraId="0C047B38" w14:textId="77777777" w:rsidR="004543E0" w:rsidRPr="009660EC" w:rsidRDefault="004543E0" w:rsidP="004543E0">
      <w:pPr>
        <w:pStyle w:val="BodyText"/>
        <w:spacing w:before="100" w:after="100"/>
        <w:rPr>
          <w:rFonts w:cs="Calibri"/>
        </w:rPr>
      </w:pPr>
      <w:r w:rsidRPr="009660EC">
        <w:rPr>
          <w:rFonts w:cs="Calibri"/>
        </w:rPr>
        <w:t xml:space="preserve">Recalculations being considered by all inventory sectors in the annual submission to the UNFCCC are proposed to the RGG. This group is chaired by MfE and leads the reporting, modelling and projections of greenhouse gas emissions and removals across government and all sectors. Further details of the RGG are provided in chapter 1, section 1.2.2. </w:t>
      </w:r>
    </w:p>
    <w:p w14:paraId="22F7BE81" w14:textId="77777777" w:rsidR="004543E0" w:rsidRPr="009660EC" w:rsidRDefault="004543E0" w:rsidP="004543E0">
      <w:pPr>
        <w:pStyle w:val="Figure"/>
      </w:pPr>
      <w:bookmarkStart w:id="649" w:name="_Toc447275694"/>
      <w:bookmarkStart w:id="650" w:name="_Toc481752012"/>
      <w:bookmarkStart w:id="651" w:name="_Toc507158471"/>
      <w:bookmarkStart w:id="652" w:name="_Toc511116962"/>
      <w:bookmarkStart w:id="653" w:name="_Toc5269692"/>
      <w:bookmarkStart w:id="654" w:name="_Toc32570963"/>
      <w:bookmarkStart w:id="655" w:name="_Toc36292793"/>
      <w:bookmarkStart w:id="656" w:name="_Toc68786658"/>
      <w:bookmarkStart w:id="657" w:name="_Toc95574119"/>
      <w:bookmarkStart w:id="658" w:name="_Toc99696038"/>
      <w:r w:rsidRPr="009660EC">
        <w:lastRenderedPageBreak/>
        <w:t xml:space="preserve">Figure 5.1.7 </w:t>
      </w:r>
      <w:r w:rsidRPr="009660EC">
        <w:tab/>
        <w:t>Agriculture sectoral approval process for inventory recalculations and improvements</w:t>
      </w:r>
      <w:bookmarkEnd w:id="649"/>
      <w:bookmarkEnd w:id="650"/>
      <w:bookmarkEnd w:id="651"/>
      <w:bookmarkEnd w:id="652"/>
      <w:bookmarkEnd w:id="653"/>
      <w:bookmarkEnd w:id="654"/>
      <w:bookmarkEnd w:id="655"/>
      <w:bookmarkEnd w:id="656"/>
      <w:bookmarkEnd w:id="657"/>
      <w:bookmarkEnd w:id="658"/>
    </w:p>
    <w:p w14:paraId="15542652" w14:textId="77777777" w:rsidR="004543E0" w:rsidRPr="009660EC" w:rsidRDefault="004543E0" w:rsidP="004543E0">
      <w:pPr>
        <w:pStyle w:val="BodyText"/>
        <w:spacing w:before="0" w:after="60"/>
        <w:jc w:val="center"/>
        <w:rPr>
          <w:rFonts w:eastAsia="Calibri" w:cs="Calibri"/>
        </w:rPr>
      </w:pPr>
      <w:r w:rsidRPr="009660EC">
        <w:rPr>
          <w:rFonts w:eastAsia="Calibri" w:cs="Calibri"/>
        </w:rPr>
        <w:object w:dxaOrig="14631" w:dyaOrig="24688" w14:anchorId="75CA025A">
          <v:shape id="_x0000_i1080" type="#_x0000_t75" style="width:372.55pt;height:520.75pt" o:ole="">
            <v:imagedata r:id="rId115" o:title="" croptop="1526f" cropbottom="2910f"/>
          </v:shape>
          <o:OLEObject Type="Embed" ProgID="Visio.Drawing.15" ShapeID="_x0000_i1080" DrawAspect="Content" ObjectID="_1710830386" r:id="rId116"/>
        </w:object>
      </w:r>
    </w:p>
    <w:p w14:paraId="584EC7E4" w14:textId="77777777" w:rsidR="004543E0" w:rsidRPr="009660EC" w:rsidRDefault="004543E0" w:rsidP="004543E0">
      <w:pPr>
        <w:pStyle w:val="Noteundertable"/>
        <w:rPr>
          <w:rFonts w:cs="Calibri"/>
        </w:rPr>
      </w:pPr>
      <w:r w:rsidRPr="009660EC">
        <w:rPr>
          <w:rFonts w:cs="Calibri"/>
          <w:b/>
          <w:bCs/>
        </w:rPr>
        <w:t>Note:</w:t>
      </w:r>
      <w:r w:rsidRPr="009660EC">
        <w:rPr>
          <w:rFonts w:cs="Calibri"/>
        </w:rPr>
        <w:tab/>
        <w:t xml:space="preserve">AG = agriculture; DDG = Deputy Director-General; MfE = Ministry for the Environment; MPI = Ministry for Primary Industries; NIR = National Inventory Report; RGG = Reporting Governance Group (for the NIR). </w:t>
      </w:r>
    </w:p>
    <w:p w14:paraId="61576731" w14:textId="77777777" w:rsidR="004543E0" w:rsidRPr="009660EC" w:rsidRDefault="004543E0" w:rsidP="004543E0">
      <w:pPr>
        <w:pStyle w:val="Heading5"/>
        <w:rPr>
          <w:rFonts w:cs="Calibri"/>
        </w:rPr>
      </w:pPr>
      <w:r w:rsidRPr="009660EC">
        <w:rPr>
          <w:rFonts w:cs="Calibri"/>
        </w:rPr>
        <w:t>Agriculture Inventory Advisory Panel meeting – 2021</w:t>
      </w:r>
    </w:p>
    <w:p w14:paraId="711EBC2F" w14:textId="77777777" w:rsidR="004543E0" w:rsidRPr="009660EC" w:rsidRDefault="004543E0" w:rsidP="004543E0">
      <w:pPr>
        <w:pStyle w:val="BodyText"/>
        <w:rPr>
          <w:rFonts w:cs="Calibri"/>
        </w:rPr>
      </w:pPr>
      <w:r w:rsidRPr="009660EC">
        <w:rPr>
          <w:rFonts w:cs="Calibri"/>
        </w:rPr>
        <w:t xml:space="preserve">The 2021 meeting of the Panel was held on 4 November and considered the following potential inventory changes: </w:t>
      </w:r>
    </w:p>
    <w:p w14:paraId="43263ACE" w14:textId="77777777" w:rsidR="004543E0" w:rsidRPr="009660EC" w:rsidRDefault="004543E0" w:rsidP="004543E0">
      <w:pPr>
        <w:pStyle w:val="Bullet"/>
      </w:pPr>
      <w:r w:rsidRPr="009660EC">
        <w:t>the adoption of a CH</w:t>
      </w:r>
      <w:r w:rsidRPr="009660EC">
        <w:rPr>
          <w:vertAlign w:val="subscript"/>
        </w:rPr>
        <w:t>4</w:t>
      </w:r>
      <w:r w:rsidRPr="009660EC">
        <w:t xml:space="preserve"> yield value for dairy and beef cattle</w:t>
      </w:r>
    </w:p>
    <w:p w14:paraId="2CAAC1AF" w14:textId="77777777" w:rsidR="004543E0" w:rsidRPr="009660EC" w:rsidRDefault="004543E0" w:rsidP="004543E0">
      <w:pPr>
        <w:pStyle w:val="Bullet"/>
      </w:pPr>
      <w:r w:rsidRPr="009660EC">
        <w:t>the adoption of new Frac</w:t>
      </w:r>
      <w:r w:rsidRPr="009660EC">
        <w:rPr>
          <w:vertAlign w:val="subscript"/>
        </w:rPr>
        <w:t>LEACH</w:t>
      </w:r>
      <w:r w:rsidRPr="009660EC">
        <w:t xml:space="preserve"> values for cropland and grassland</w:t>
      </w:r>
    </w:p>
    <w:p w14:paraId="2DD5300A" w14:textId="77777777" w:rsidR="004543E0" w:rsidRPr="009660EC" w:rsidRDefault="004543E0" w:rsidP="004543E0">
      <w:pPr>
        <w:pStyle w:val="Bullet"/>
      </w:pPr>
      <w:r w:rsidRPr="009660EC">
        <w:t>an update to the assumption used for the purity of agricultural lime.</w:t>
      </w:r>
    </w:p>
    <w:p w14:paraId="66A0C4D3" w14:textId="77777777" w:rsidR="004543E0" w:rsidRPr="009660EC" w:rsidRDefault="004543E0" w:rsidP="004543E0">
      <w:pPr>
        <w:pStyle w:val="BodyText"/>
        <w:spacing w:before="100" w:after="100"/>
        <w:rPr>
          <w:rFonts w:cs="Calibri"/>
        </w:rPr>
      </w:pPr>
      <w:r w:rsidRPr="009660EC">
        <w:rPr>
          <w:rFonts w:cs="Calibri"/>
        </w:rPr>
        <w:lastRenderedPageBreak/>
        <w:t xml:space="preserve">The Panel did not recommend a change be made to the </w:t>
      </w:r>
      <w:r w:rsidRPr="009660EC">
        <w:t>CH</w:t>
      </w:r>
      <w:r w:rsidRPr="009660EC">
        <w:rPr>
          <w:vertAlign w:val="subscript"/>
        </w:rPr>
        <w:t>4</w:t>
      </w:r>
      <w:r w:rsidRPr="009660EC">
        <w:rPr>
          <w:rFonts w:cs="Calibri"/>
        </w:rPr>
        <w:t xml:space="preserve"> yield value for cattle (Muetzel, unpublished), given the value recommended in the research was significantly different from that seen internationally, and the animals it was based on do not provide a fair representation of New Zealand’s dairy and beef herds. Further research (outlined in section 5.1.7) is ongoing to determine whether justification for a change exists.</w:t>
      </w:r>
    </w:p>
    <w:p w14:paraId="40ABC0A6" w14:textId="77777777" w:rsidR="004543E0" w:rsidRPr="009660EC" w:rsidRDefault="004543E0" w:rsidP="004543E0">
      <w:pPr>
        <w:pStyle w:val="BodyText"/>
        <w:spacing w:before="100" w:after="100"/>
        <w:rPr>
          <w:rFonts w:cs="Calibri"/>
        </w:rPr>
      </w:pPr>
      <w:r w:rsidRPr="009660EC">
        <w:rPr>
          <w:rFonts w:cs="Calibri"/>
        </w:rPr>
        <w:t>For the second proposed change, the Panel recommended the use of new Frac</w:t>
      </w:r>
      <w:r w:rsidRPr="009660EC">
        <w:rPr>
          <w:rFonts w:cs="Calibri"/>
          <w:vertAlign w:val="subscript"/>
        </w:rPr>
        <w:t>LEACH</w:t>
      </w:r>
      <w:r w:rsidRPr="009660EC">
        <w:rPr>
          <w:rFonts w:cs="Calibri"/>
        </w:rPr>
        <w:t xml:space="preserve"> values (Welten et al., 2021) on the proviso that further work is done to ensure the data behind the grassland values is credible. In the meantime, the Frac</w:t>
      </w:r>
      <w:r w:rsidRPr="009660EC">
        <w:rPr>
          <w:rFonts w:cs="Calibri"/>
          <w:vertAlign w:val="subscript"/>
        </w:rPr>
        <w:t>LEACH</w:t>
      </w:r>
      <w:r w:rsidRPr="009660EC">
        <w:rPr>
          <w:rFonts w:cs="Calibri"/>
        </w:rPr>
        <w:t xml:space="preserve"> value for croplands has been implemented for this submission, with the Frac</w:t>
      </w:r>
      <w:r w:rsidRPr="009660EC">
        <w:rPr>
          <w:rFonts w:cs="Calibri"/>
          <w:vertAlign w:val="subscript"/>
        </w:rPr>
        <w:t>LEACH</w:t>
      </w:r>
      <w:r w:rsidRPr="009660EC">
        <w:rPr>
          <w:rFonts w:cs="Calibri"/>
        </w:rPr>
        <w:t xml:space="preserve"> for grasslands to be implemented once it is determined to be suitable.</w:t>
      </w:r>
    </w:p>
    <w:p w14:paraId="180A6CA9" w14:textId="77777777" w:rsidR="004543E0" w:rsidRPr="009660EC" w:rsidRDefault="004543E0" w:rsidP="004543E0">
      <w:pPr>
        <w:pStyle w:val="BodyText"/>
        <w:spacing w:before="100" w:after="100"/>
        <w:rPr>
          <w:rFonts w:cs="Calibri"/>
        </w:rPr>
      </w:pPr>
      <w:r w:rsidRPr="009660EC">
        <w:rPr>
          <w:rFonts w:cs="Calibri"/>
        </w:rPr>
        <w:t>Finally, the Panel recommended the proposed improvement regarding the assumption used for the purity of agricultural lime. It was previously assumed that agricultural lime was 100 per cent pure calcium carbonate (CaCO</w:t>
      </w:r>
      <w:r w:rsidRPr="009660EC">
        <w:rPr>
          <w:rFonts w:cs="Calibri"/>
          <w:vertAlign w:val="subscript"/>
        </w:rPr>
        <w:t>3</w:t>
      </w:r>
      <w:r w:rsidRPr="009660EC">
        <w:rPr>
          <w:rFonts w:cs="Calibri"/>
        </w:rPr>
        <w:t>). However, new research by Thomson et al. (2021) has proposed the application of a correction factor to account for impurities and the moisture content in the lime applied.</w:t>
      </w:r>
    </w:p>
    <w:p w14:paraId="62F74664" w14:textId="77777777" w:rsidR="004543E0" w:rsidRPr="009660EC" w:rsidRDefault="004543E0" w:rsidP="004543E0">
      <w:pPr>
        <w:pStyle w:val="BodyText"/>
        <w:spacing w:before="100" w:after="100"/>
        <w:rPr>
          <w:rFonts w:cs="Calibri"/>
        </w:rPr>
      </w:pPr>
      <w:r w:rsidRPr="009660EC">
        <w:rPr>
          <w:rFonts w:cs="Calibri"/>
        </w:rPr>
        <w:t>All of the changes made have been backdated to the 1990 baseline. Further details on these changes are outlined in sections 5.5.5 and 5.8.6 (source-specific recalculations), as well as chapter 10 (all recalculations).</w:t>
      </w:r>
    </w:p>
    <w:p w14:paraId="4354509B" w14:textId="77777777" w:rsidR="004543E0" w:rsidRPr="009660EC" w:rsidRDefault="004543E0" w:rsidP="004543E0">
      <w:pPr>
        <w:pStyle w:val="BodyText"/>
        <w:spacing w:before="100" w:after="100"/>
      </w:pPr>
      <w:r w:rsidRPr="009660EC">
        <w:rPr>
          <w:rFonts w:cs="Calibri"/>
        </w:rPr>
        <w:t xml:space="preserve">The briefs, reports and minutes of the 2021 Panel meetings (as well as panel meetings </w:t>
      </w:r>
      <w:r w:rsidRPr="009660EC">
        <w:t>for previous years) are all available on the MPI website (</w:t>
      </w:r>
      <w:hyperlink r:id="rId117" w:history="1">
        <w:r w:rsidRPr="009660EC">
          <w:rPr>
            <w:rStyle w:val="Hyperlink"/>
          </w:rPr>
          <w:t>www.mpi.govt.nz/news-and-resources/statistics-and-forecasting/greenhouse-gas-reporting/agricultural-inventory-advisory-panel</w:t>
        </w:r>
      </w:hyperlink>
      <w:r w:rsidRPr="009660EC">
        <w:t xml:space="preserve">). </w:t>
      </w:r>
    </w:p>
    <w:p w14:paraId="14A521D4" w14:textId="77777777" w:rsidR="004543E0" w:rsidRPr="009660EC" w:rsidRDefault="004543E0" w:rsidP="004543E0">
      <w:pPr>
        <w:pStyle w:val="Heading4"/>
      </w:pPr>
      <w:r w:rsidRPr="009660EC">
        <w:t xml:space="preserve">Recalculations approved for the 2022 National Inventory Report submission in the Agriculture sector </w:t>
      </w:r>
    </w:p>
    <w:p w14:paraId="1E0F7B7D" w14:textId="77777777" w:rsidR="004543E0" w:rsidRPr="009660EC" w:rsidRDefault="004543E0" w:rsidP="004543E0">
      <w:pPr>
        <w:pStyle w:val="BodyText"/>
        <w:spacing w:after="100"/>
        <w:rPr>
          <w:rFonts w:cs="Calibri"/>
          <w:spacing w:val="-2"/>
        </w:rPr>
      </w:pPr>
      <w:r w:rsidRPr="009660EC">
        <w:rPr>
          <w:rFonts w:cs="Calibri"/>
          <w:spacing w:val="-2"/>
        </w:rPr>
        <w:t>Following the recommendations from the</w:t>
      </w:r>
      <w:r w:rsidRPr="009660EC">
        <w:rPr>
          <w:rFonts w:cs="Calibri"/>
        </w:rPr>
        <w:t xml:space="preserve"> </w:t>
      </w:r>
      <w:r w:rsidRPr="009660EC">
        <w:rPr>
          <w:rFonts w:cs="Calibri"/>
          <w:spacing w:val="-2"/>
        </w:rPr>
        <w:t>Agriculture Inventory Advisory Panel and approval from the Deputy Director-General (Policy and Trade) at MPI and the RGG, New Zealand has made the following improvements and corrections to the Agriculture sector in its 2022</w:t>
      </w:r>
      <w:r w:rsidRPr="009660EC">
        <w:rPr>
          <w:rFonts w:cs="Calibri"/>
        </w:rPr>
        <w:t xml:space="preserve"> </w:t>
      </w:r>
      <w:r w:rsidRPr="009660EC">
        <w:rPr>
          <w:rFonts w:cs="Calibri"/>
          <w:spacing w:val="-2"/>
        </w:rPr>
        <w:t>annual submission:</w:t>
      </w:r>
    </w:p>
    <w:p w14:paraId="53012A19" w14:textId="77777777" w:rsidR="004543E0" w:rsidRPr="009660EC" w:rsidRDefault="004543E0" w:rsidP="004543E0">
      <w:pPr>
        <w:pStyle w:val="Bullet"/>
      </w:pPr>
      <w:r w:rsidRPr="009660EC">
        <w:t>use of a new Frac</w:t>
      </w:r>
      <w:r w:rsidRPr="009660EC">
        <w:rPr>
          <w:vertAlign w:val="subscript"/>
        </w:rPr>
        <w:t>LEACH</w:t>
      </w:r>
      <w:r w:rsidRPr="009660EC">
        <w:t xml:space="preserve"> value for nitrogen applied to cropland</w:t>
      </w:r>
    </w:p>
    <w:p w14:paraId="6EB8EA0E" w14:textId="77777777" w:rsidR="004543E0" w:rsidRPr="009660EC" w:rsidRDefault="004543E0" w:rsidP="00AB2A5C">
      <w:pPr>
        <w:pStyle w:val="Bullet"/>
        <w:numPr>
          <w:ilvl w:val="0"/>
          <w:numId w:val="18"/>
        </w:numPr>
      </w:pPr>
      <w:r w:rsidRPr="009660EC">
        <w:t>an updated assumption on the purity of agricultural lime.</w:t>
      </w:r>
    </w:p>
    <w:p w14:paraId="46F80748" w14:textId="77777777" w:rsidR="004543E0" w:rsidRPr="009660EC" w:rsidRDefault="004543E0" w:rsidP="004543E0">
      <w:pPr>
        <w:pStyle w:val="BodyText"/>
        <w:spacing w:after="100"/>
      </w:pPr>
      <w:r w:rsidRPr="009660EC">
        <w:t>The implementation of these improvements has resulted in the estimate of Agriculture sector emissions in 2020 being 0.2 per cent lower in the 2022 submission than they would otherwise be without the changes.</w:t>
      </w:r>
    </w:p>
    <w:p w14:paraId="343C3A16" w14:textId="77777777" w:rsidR="004543E0" w:rsidRPr="009660EC" w:rsidRDefault="004543E0" w:rsidP="004543E0">
      <w:pPr>
        <w:pStyle w:val="Heading3"/>
      </w:pPr>
      <w:bookmarkStart w:id="659" w:name="_Toc32570648"/>
      <w:r w:rsidRPr="009660EC">
        <w:t xml:space="preserve">5.1.6 </w:t>
      </w:r>
      <w:r w:rsidRPr="009660EC">
        <w:tab/>
        <w:t>Quality assurance and quality control (QA/QC)</w:t>
      </w:r>
      <w:bookmarkEnd w:id="659"/>
    </w:p>
    <w:p w14:paraId="058D2B2C" w14:textId="77777777" w:rsidR="004543E0" w:rsidRPr="009660EC" w:rsidRDefault="004543E0" w:rsidP="004543E0">
      <w:pPr>
        <w:pStyle w:val="BodyText"/>
      </w:pPr>
      <w:r w:rsidRPr="009660EC">
        <w:t xml:space="preserve">The team responsible for the Agriculture inventory preparation within MPI maintains close contact with the teams responsible for the collation of primary industries (agriculture, horticulture, forestry and fishing) data. These teams liaise with Stats NZ and provide analysis and forecasts of primary industries activity and performance. This arrangement ensures that the inventory preparation team has a good understanding of activity data and agricultural performance. </w:t>
      </w:r>
    </w:p>
    <w:p w14:paraId="13BDEDE9" w14:textId="77777777" w:rsidR="004543E0" w:rsidRPr="009660EC" w:rsidRDefault="004543E0" w:rsidP="004543E0">
      <w:pPr>
        <w:pStyle w:val="BodyText"/>
      </w:pPr>
      <w:r w:rsidRPr="009660EC">
        <w:t>The connection with Stats NZ ensures that statistical data are aligned with changes in agricultural management practices in the primary industries sector. Capturing this data is required to be able to track changes in emissions as a result of mitigation and shifts in farm management in the inventory.</w:t>
      </w:r>
    </w:p>
    <w:p w14:paraId="785CBC96" w14:textId="77777777" w:rsidR="004543E0" w:rsidRPr="009660EC" w:rsidRDefault="004543E0" w:rsidP="004543E0">
      <w:pPr>
        <w:pStyle w:val="BodyText"/>
        <w:spacing w:after="100"/>
      </w:pPr>
      <w:r w:rsidRPr="009660EC">
        <w:lastRenderedPageBreak/>
        <w:t xml:space="preserve">The team responsible for the Agriculture inventory preparation also maintains relationships with industry bodies that provide additional data, such as Beef + Lamb New Zealand Ltd, LIC, Deer Industry New Zealand, the Poultry Industry Association New Zealand and the Fertiliser Association of New Zealand. </w:t>
      </w:r>
    </w:p>
    <w:p w14:paraId="18BBC87F" w14:textId="77777777" w:rsidR="004543E0" w:rsidRPr="009660EC" w:rsidRDefault="004543E0" w:rsidP="004543E0">
      <w:pPr>
        <w:pStyle w:val="BodyText"/>
        <w:spacing w:after="100"/>
      </w:pPr>
      <w:r w:rsidRPr="009660EC">
        <w:t xml:space="preserve">As part of the quality control procedures, the inventory is reviewed by MPI personnel with expertise in climate change policy, international policy, climate change science and livestock farming policy. The review ensures that the inventory clearly explains the sources of agricultural emissions in New Zealand as well as the trends in emissions from year to year. The results from the inventory also inform domestic and international climate change policy. </w:t>
      </w:r>
    </w:p>
    <w:p w14:paraId="7707694E" w14:textId="77777777" w:rsidR="004543E0" w:rsidRPr="009660EC" w:rsidRDefault="004543E0" w:rsidP="004543E0">
      <w:pPr>
        <w:pStyle w:val="BodyText"/>
        <w:spacing w:after="100"/>
      </w:pPr>
      <w:r w:rsidRPr="009660EC">
        <w:t xml:space="preserve">MPI’s Agriculture inventory experts meet regularly with the team at MfE that is responsible for coordinating the annual national inventory submission. MfE monitors MPI progress in implementing recommendations from previous expert review reports and on meeting timelines during the year. </w:t>
      </w:r>
    </w:p>
    <w:p w14:paraId="725FC5E0" w14:textId="77777777" w:rsidR="004543E0" w:rsidRPr="009660EC" w:rsidRDefault="004543E0" w:rsidP="004543E0">
      <w:pPr>
        <w:pStyle w:val="BodyText"/>
        <w:spacing w:after="100"/>
      </w:pPr>
      <w:r w:rsidRPr="009660EC">
        <w:t xml:space="preserve">MfE also manages an internal guidance document titled ‘New Zealand’s National Inventory System Guidelines for Compiling New Zealand’s Greenhouse Gas Inventory’. This document provides domestic guidelines for the National Inventory Report sector leads to follow, including the decisions under the UNFCCC and Kyoto Protocol, and the application of these decisions within the Kyoto Protocol. The document also includes New Zealand’s quality-assurance and quality-control plan, which is followed by all inventory sector leads. </w:t>
      </w:r>
    </w:p>
    <w:p w14:paraId="5F371BFB" w14:textId="77777777" w:rsidR="004543E0" w:rsidRPr="009660EC" w:rsidRDefault="004543E0" w:rsidP="004543E0">
      <w:pPr>
        <w:pStyle w:val="BodyText"/>
        <w:spacing w:after="100"/>
      </w:pPr>
      <w:r w:rsidRPr="009660EC">
        <w:t xml:space="preserve">MPI participates in the annual inventory debrief coordinated by MfE, to ensure the National Inventory Compiler and each sector lead understand what is working well and where improvements could be made. </w:t>
      </w:r>
    </w:p>
    <w:p w14:paraId="603964E4" w14:textId="77777777" w:rsidR="004543E0" w:rsidRPr="009660EC" w:rsidRDefault="004543E0" w:rsidP="004543E0">
      <w:pPr>
        <w:pStyle w:val="BodyText"/>
        <w:spacing w:after="100"/>
      </w:pPr>
      <w:r w:rsidRPr="009660EC">
        <w:t>In 2016, an external audit firm (Deloitte), with specialist skills in quality-assurance and quality</w:t>
      </w:r>
      <w:r w:rsidRPr="009660EC">
        <w:noBreakHyphen/>
        <w:t xml:space="preserve">control management, was engaged to evaluate and improve quality-assurance and quality-control processes for the Agriculture inventory. New Zealand has used this feedback to update and improve the quality-assurance and quality-control methodology. </w:t>
      </w:r>
    </w:p>
    <w:p w14:paraId="14E07092" w14:textId="77777777" w:rsidR="004543E0" w:rsidRPr="009660EC" w:rsidRDefault="004543E0" w:rsidP="004543E0">
      <w:pPr>
        <w:pStyle w:val="BodyText"/>
      </w:pPr>
      <w:r w:rsidRPr="009660EC">
        <w:t xml:space="preserve">A process of quality-control checks is mandated in the 2006 IPCC Guidelines for National Greenhouse Gas Inventories and the internal compilation process and is provided in table 5.1.4. </w:t>
      </w:r>
    </w:p>
    <w:p w14:paraId="014B608B" w14:textId="77777777" w:rsidR="004543E0" w:rsidRPr="009660EC" w:rsidRDefault="004543E0" w:rsidP="004543E0">
      <w:pPr>
        <w:pStyle w:val="Table"/>
        <w:rPr>
          <w:rFonts w:cs="Calibri"/>
        </w:rPr>
      </w:pPr>
      <w:bookmarkStart w:id="660" w:name="_Toc32570912"/>
      <w:bookmarkStart w:id="661" w:name="_Toc36224547"/>
      <w:bookmarkStart w:id="662" w:name="_Toc68786433"/>
      <w:bookmarkStart w:id="663" w:name="_Toc95574068"/>
      <w:bookmarkStart w:id="664" w:name="_Toc99659241"/>
      <w:r w:rsidRPr="009660EC">
        <w:t xml:space="preserve">Table 5.1.4 </w:t>
      </w:r>
      <w:r w:rsidRPr="009660EC">
        <w:tab/>
        <w:t>Agriculture sectoral approval process for inventory recalculations and improvements</w:t>
      </w:r>
      <w:bookmarkEnd w:id="660"/>
      <w:bookmarkEnd w:id="661"/>
      <w:bookmarkEnd w:id="662"/>
      <w:bookmarkEnd w:id="663"/>
      <w:bookmarkEnd w:id="664"/>
    </w:p>
    <w:tbl>
      <w:tblPr>
        <w:tblW w:w="8505" w:type="dxa"/>
        <w:tblInd w:w="113" w:type="dxa"/>
        <w:tblBorders>
          <w:top w:val="single" w:sz="4" w:space="0" w:color="44546A"/>
          <w:bottom w:val="single" w:sz="4" w:space="0" w:color="44546A"/>
          <w:insideH w:val="single" w:sz="4" w:space="0" w:color="44546A"/>
          <w:insideV w:val="single" w:sz="4" w:space="0" w:color="44546A"/>
        </w:tblBorders>
        <w:tblLook w:val="04A0" w:firstRow="1" w:lastRow="0" w:firstColumn="1" w:lastColumn="0" w:noHBand="0" w:noVBand="1"/>
      </w:tblPr>
      <w:tblGrid>
        <w:gridCol w:w="1324"/>
        <w:gridCol w:w="7181"/>
      </w:tblGrid>
      <w:tr w:rsidR="004543E0" w:rsidRPr="009660EC" w14:paraId="2475E97B" w14:textId="77777777" w:rsidTr="008816C0">
        <w:trPr>
          <w:tblHeader/>
        </w:trPr>
        <w:tc>
          <w:tcPr>
            <w:tcW w:w="1324" w:type="dxa"/>
            <w:shd w:val="clear" w:color="auto" w:fill="1B556B"/>
            <w:vAlign w:val="bottom"/>
          </w:tcPr>
          <w:p w14:paraId="43C35D42" w14:textId="77777777" w:rsidR="004543E0" w:rsidRPr="004543E0" w:rsidRDefault="004543E0" w:rsidP="007E3239">
            <w:pPr>
              <w:pStyle w:val="TableTextBold"/>
              <w:keepNext/>
              <w:rPr>
                <w:noProof w:val="0"/>
                <w:color w:val="FFFFFF"/>
              </w:rPr>
            </w:pPr>
            <w:r w:rsidRPr="004543E0">
              <w:rPr>
                <w:noProof w:val="0"/>
                <w:color w:val="FFFFFF"/>
              </w:rPr>
              <w:t>QA/QC area</w:t>
            </w:r>
          </w:p>
        </w:tc>
        <w:tc>
          <w:tcPr>
            <w:tcW w:w="7181" w:type="dxa"/>
            <w:shd w:val="clear" w:color="auto" w:fill="1B556B"/>
            <w:vAlign w:val="bottom"/>
          </w:tcPr>
          <w:p w14:paraId="38DD7FA0" w14:textId="77777777" w:rsidR="004543E0" w:rsidRPr="004543E0" w:rsidRDefault="004543E0" w:rsidP="007E3239">
            <w:pPr>
              <w:pStyle w:val="TableTextBold"/>
              <w:keepNext/>
              <w:rPr>
                <w:noProof w:val="0"/>
                <w:color w:val="FFFFFF"/>
              </w:rPr>
            </w:pPr>
            <w:r w:rsidRPr="004543E0">
              <w:rPr>
                <w:noProof w:val="0"/>
                <w:color w:val="FFFFFF"/>
              </w:rPr>
              <w:t>Details of QA/QC procedure</w:t>
            </w:r>
          </w:p>
        </w:tc>
      </w:tr>
      <w:tr w:rsidR="004543E0" w:rsidRPr="009660EC" w14:paraId="082BCA08" w14:textId="77777777" w:rsidTr="008816C0">
        <w:tc>
          <w:tcPr>
            <w:tcW w:w="1324" w:type="dxa"/>
            <w:shd w:val="clear" w:color="auto" w:fill="auto"/>
          </w:tcPr>
          <w:p w14:paraId="5A8ACAAE" w14:textId="77777777" w:rsidR="004543E0" w:rsidRPr="009660EC" w:rsidRDefault="004543E0" w:rsidP="007E3239">
            <w:pPr>
              <w:pStyle w:val="TableText"/>
            </w:pPr>
            <w:r w:rsidRPr="009660EC">
              <w:t xml:space="preserve">Activity data </w:t>
            </w:r>
          </w:p>
        </w:tc>
        <w:tc>
          <w:tcPr>
            <w:tcW w:w="7181" w:type="dxa"/>
            <w:shd w:val="clear" w:color="auto" w:fill="auto"/>
          </w:tcPr>
          <w:p w14:paraId="198E5B7E" w14:textId="77777777" w:rsidR="004543E0" w:rsidRPr="009660EC" w:rsidRDefault="004543E0" w:rsidP="007F4746">
            <w:pPr>
              <w:pStyle w:val="TableBullet"/>
            </w:pPr>
            <w:r w:rsidRPr="009660EC">
              <w:t xml:space="preserve">Data inputs and checks are recorded in a data check table, which is signed by the individual staff members performing the data input and checks. </w:t>
            </w:r>
          </w:p>
          <w:p w14:paraId="0558A1EE" w14:textId="77777777" w:rsidR="004543E0" w:rsidRPr="009660EC" w:rsidRDefault="004543E0" w:rsidP="007F4746">
            <w:pPr>
              <w:pStyle w:val="TableBullet"/>
            </w:pPr>
            <w:r w:rsidRPr="009660EC">
              <w:t xml:space="preserve">A comprehensive list of all external data to be collected annually from internal and external sources is included as a part of the data check sheet. </w:t>
            </w:r>
          </w:p>
          <w:p w14:paraId="3448E0EF" w14:textId="77777777" w:rsidR="004543E0" w:rsidRPr="009660EC" w:rsidRDefault="004543E0" w:rsidP="007F4746">
            <w:pPr>
              <w:pStyle w:val="TableBullet"/>
            </w:pPr>
            <w:r w:rsidRPr="009660EC">
              <w:t xml:space="preserve">New activity data are cross checked for accuracy and completeness by someone not involved in the data input and primary compilation. </w:t>
            </w:r>
          </w:p>
          <w:p w14:paraId="6AE9F083" w14:textId="77777777" w:rsidR="004543E0" w:rsidRPr="009660EC" w:rsidRDefault="004543E0" w:rsidP="007F4746">
            <w:pPr>
              <w:pStyle w:val="TableBullet"/>
            </w:pPr>
            <w:r w:rsidRPr="009660EC">
              <w:t xml:space="preserve">New data on activity and year-to-year time variance are reviewed by commodity analysts and economic modellers, to ensure the data are consistent and reflect the domestic situation. </w:t>
            </w:r>
          </w:p>
          <w:p w14:paraId="2BBCBA91" w14:textId="77777777" w:rsidR="004543E0" w:rsidRPr="009660EC" w:rsidRDefault="004543E0" w:rsidP="007F4746">
            <w:pPr>
              <w:pStyle w:val="TableBullet"/>
            </w:pPr>
            <w:r w:rsidRPr="009660EC">
              <w:t xml:space="preserve">Where practical, key historical data are re-checked concurrently with updating the latest data. </w:t>
            </w:r>
          </w:p>
          <w:p w14:paraId="024E1297" w14:textId="77777777" w:rsidR="004543E0" w:rsidRPr="009660EC" w:rsidRDefault="004543E0" w:rsidP="007F4746">
            <w:pPr>
              <w:pStyle w:val="TableBullet"/>
            </w:pPr>
            <w:r w:rsidRPr="009660EC">
              <w:t xml:space="preserve">The data check table is included with the managerial sign-off materials before delivery to the Ministry for the Environment (MfE). </w:t>
            </w:r>
          </w:p>
        </w:tc>
      </w:tr>
      <w:tr w:rsidR="004543E0" w:rsidRPr="009660EC" w14:paraId="65AC2351" w14:textId="77777777" w:rsidTr="008816C0">
        <w:tc>
          <w:tcPr>
            <w:tcW w:w="1324" w:type="dxa"/>
            <w:shd w:val="clear" w:color="auto" w:fill="auto"/>
          </w:tcPr>
          <w:p w14:paraId="12F2379A" w14:textId="77777777" w:rsidR="004543E0" w:rsidRPr="009660EC" w:rsidRDefault="004543E0" w:rsidP="007E3239">
            <w:pPr>
              <w:pStyle w:val="TableText"/>
              <w:spacing w:before="50" w:after="50"/>
              <w:rPr>
                <w:rFonts w:cs="Calibri"/>
                <w:color w:val="000000"/>
              </w:rPr>
            </w:pPr>
            <w:r w:rsidRPr="009660EC">
              <w:rPr>
                <w:rFonts w:cs="Calibri"/>
                <w:color w:val="000000"/>
              </w:rPr>
              <w:t xml:space="preserve">Emissions </w:t>
            </w:r>
          </w:p>
        </w:tc>
        <w:tc>
          <w:tcPr>
            <w:tcW w:w="7181" w:type="dxa"/>
            <w:shd w:val="clear" w:color="auto" w:fill="auto"/>
          </w:tcPr>
          <w:p w14:paraId="714BDD3C" w14:textId="77777777" w:rsidR="004543E0" w:rsidRPr="009660EC" w:rsidRDefault="004543E0" w:rsidP="007F4746">
            <w:pPr>
              <w:pStyle w:val="TableBullet"/>
            </w:pPr>
            <w:r w:rsidRPr="009660EC">
              <w:t xml:space="preserve">Implied emission factors are checked over time (1990 to most recent year) and against previous submissions. Any anomalies are investigated. </w:t>
            </w:r>
          </w:p>
          <w:p w14:paraId="067330A3" w14:textId="77777777" w:rsidR="004543E0" w:rsidRPr="009660EC" w:rsidRDefault="004543E0" w:rsidP="007F4746">
            <w:pPr>
              <w:pStyle w:val="TableBullet"/>
            </w:pPr>
            <w:r w:rsidRPr="009660EC">
              <w:t xml:space="preserve">Key category emissions are compared against Tier 1 default methodologies and against similar parties, particularly Australia. A challenge for New Zealand is the lack of countries with similar agricultural circumstances and management practices. For example, New Zealand’s major livestock types are almost all kept outdoors on pasture in all seasons. </w:t>
            </w:r>
          </w:p>
          <w:p w14:paraId="0C1D9364" w14:textId="77777777" w:rsidR="004543E0" w:rsidRPr="009660EC" w:rsidRDefault="004543E0" w:rsidP="007F4746">
            <w:pPr>
              <w:pStyle w:val="TableBullet"/>
            </w:pPr>
            <w:r w:rsidRPr="009660EC">
              <w:t>Total emissions and key activity data from the common reporting format (CRF) tables are checked for accuracy against total emissions and activity in the workbooks. Category totals are also checked.</w:t>
            </w:r>
          </w:p>
        </w:tc>
      </w:tr>
      <w:tr w:rsidR="004543E0" w:rsidRPr="009660EC" w14:paraId="37B7FC28" w14:textId="77777777" w:rsidTr="008816C0">
        <w:tc>
          <w:tcPr>
            <w:tcW w:w="1324" w:type="dxa"/>
            <w:shd w:val="clear" w:color="auto" w:fill="auto"/>
          </w:tcPr>
          <w:p w14:paraId="17D3B8EA" w14:textId="77777777" w:rsidR="004543E0" w:rsidRPr="009660EC" w:rsidRDefault="004543E0" w:rsidP="007E3239">
            <w:pPr>
              <w:pStyle w:val="TableText"/>
              <w:spacing w:before="50" w:after="50"/>
              <w:rPr>
                <w:rFonts w:cs="Calibri"/>
                <w:color w:val="000000"/>
              </w:rPr>
            </w:pPr>
            <w:r w:rsidRPr="009660EC">
              <w:rPr>
                <w:rFonts w:cs="Calibri"/>
                <w:color w:val="000000"/>
              </w:rPr>
              <w:t xml:space="preserve">Recalculations </w:t>
            </w:r>
          </w:p>
        </w:tc>
        <w:tc>
          <w:tcPr>
            <w:tcW w:w="7181" w:type="dxa"/>
            <w:shd w:val="clear" w:color="auto" w:fill="auto"/>
          </w:tcPr>
          <w:p w14:paraId="30699E5C" w14:textId="77777777" w:rsidR="004543E0" w:rsidRPr="009660EC" w:rsidRDefault="004543E0" w:rsidP="007F4746">
            <w:pPr>
              <w:pStyle w:val="TableBullet"/>
            </w:pPr>
            <w:r w:rsidRPr="009660EC">
              <w:t xml:space="preserve">Recalculations are agreed with MfE and the Reporting Governance Group every year before the Agriculture inventory compilation commences. </w:t>
            </w:r>
          </w:p>
          <w:p w14:paraId="5EECEF7C" w14:textId="77777777" w:rsidR="004543E0" w:rsidRPr="009660EC" w:rsidRDefault="004543E0" w:rsidP="007F4746">
            <w:pPr>
              <w:pStyle w:val="TableBullet"/>
            </w:pPr>
            <w:r w:rsidRPr="009660EC">
              <w:lastRenderedPageBreak/>
              <w:t>Recalculations are compared with previous submissions and, as far as possible, explained and confirmed by the changes in method or activity data.</w:t>
            </w:r>
          </w:p>
          <w:p w14:paraId="42AC4D80" w14:textId="77777777" w:rsidR="004543E0" w:rsidRPr="009660EC" w:rsidRDefault="004543E0" w:rsidP="007F4746">
            <w:pPr>
              <w:pStyle w:val="TableBullet"/>
            </w:pPr>
            <w:r w:rsidRPr="009660EC">
              <w:t xml:space="preserve">Anomalous results from recalculations are checked and corrected, if necessary. </w:t>
            </w:r>
          </w:p>
          <w:p w14:paraId="6725FF17" w14:textId="77777777" w:rsidR="004543E0" w:rsidRPr="009660EC" w:rsidRDefault="004543E0" w:rsidP="007F4746">
            <w:pPr>
              <w:pStyle w:val="TableBullet"/>
            </w:pPr>
            <w:r w:rsidRPr="009660EC">
              <w:t xml:space="preserve">The Agriculture inventory compiler completes recalculation forms, signs the forms and forwards them to MfE. </w:t>
            </w:r>
          </w:p>
        </w:tc>
      </w:tr>
      <w:tr w:rsidR="004543E0" w:rsidRPr="009660EC" w14:paraId="036F1635" w14:textId="77777777" w:rsidTr="008816C0">
        <w:tc>
          <w:tcPr>
            <w:tcW w:w="1324" w:type="dxa"/>
            <w:shd w:val="clear" w:color="auto" w:fill="auto"/>
          </w:tcPr>
          <w:p w14:paraId="28516C77" w14:textId="77777777" w:rsidR="004543E0" w:rsidRPr="009660EC" w:rsidRDefault="004543E0" w:rsidP="007E3239">
            <w:pPr>
              <w:pStyle w:val="TableText"/>
              <w:spacing w:before="50" w:after="50"/>
              <w:rPr>
                <w:rFonts w:cs="Calibri"/>
                <w:color w:val="000000"/>
              </w:rPr>
            </w:pPr>
            <w:r w:rsidRPr="009660EC">
              <w:rPr>
                <w:rFonts w:cs="Calibri"/>
                <w:color w:val="000000"/>
              </w:rPr>
              <w:lastRenderedPageBreak/>
              <w:t xml:space="preserve">Periodic reviews </w:t>
            </w:r>
          </w:p>
        </w:tc>
        <w:tc>
          <w:tcPr>
            <w:tcW w:w="7181" w:type="dxa"/>
            <w:shd w:val="clear" w:color="auto" w:fill="auto"/>
          </w:tcPr>
          <w:p w14:paraId="56BAD437" w14:textId="77777777" w:rsidR="004543E0" w:rsidRPr="009660EC" w:rsidRDefault="004543E0" w:rsidP="007F4746">
            <w:pPr>
              <w:pStyle w:val="TableBullet"/>
            </w:pPr>
            <w:r w:rsidRPr="009660EC">
              <w:t>Periodic reviews are completed on different aspects of the Agriculture inventory. Examples of these reviews are below.</w:t>
            </w:r>
          </w:p>
          <w:p w14:paraId="586C2AA7" w14:textId="77777777" w:rsidR="004543E0" w:rsidRPr="009660EC" w:rsidRDefault="004543E0" w:rsidP="007F4746">
            <w:pPr>
              <w:pStyle w:val="TableBullet"/>
            </w:pPr>
            <w:r w:rsidRPr="009660EC">
              <w:t xml:space="preserve">The livestock population models, and productivity parameters have been reviewed (e.g., Thomson et al., 2010). These reviews have also been used to update and improve the Tier 2 model. </w:t>
            </w:r>
          </w:p>
          <w:p w14:paraId="48AD3F5B" w14:textId="77777777" w:rsidR="004543E0" w:rsidRPr="009660EC" w:rsidRDefault="004543E0" w:rsidP="007F4746">
            <w:pPr>
              <w:pStyle w:val="TableBullet"/>
            </w:pPr>
            <w:r w:rsidRPr="009660EC">
              <w:t xml:space="preserve">During the 2012 submission, new crops were included in the National Inventory Report and a new complex methodology was implemented. For the 2013 submission, Plant and Food Research, a Crown research institute that has expertise in this area, was hired to review the workbooks, check the formulae, and model parameters. </w:t>
            </w:r>
          </w:p>
          <w:p w14:paraId="3964551C" w14:textId="77777777" w:rsidR="004543E0" w:rsidRPr="009660EC" w:rsidRDefault="004543E0" w:rsidP="007F4746">
            <w:pPr>
              <w:pStyle w:val="TableBullet"/>
            </w:pPr>
            <w:r w:rsidRPr="009660EC">
              <w:t xml:space="preserve">During the 2015 submission, a mutual bilateral greenhouse gas inventory review was held between Australia and New Zealand, which included the Agriculture sector (Australian Government, unpublished). </w:t>
            </w:r>
          </w:p>
          <w:p w14:paraId="5921DED9" w14:textId="77777777" w:rsidR="004543E0" w:rsidRPr="009660EC" w:rsidRDefault="004543E0" w:rsidP="007F4746">
            <w:pPr>
              <w:pStyle w:val="TableBullet"/>
            </w:pPr>
            <w:r w:rsidRPr="009660EC">
              <w:t xml:space="preserve">In 2018, the population models in the inventory model were reviewed. Small errors in the implementation of the population equations in the inventory model were found and corrected for in the 2019 (1990–2017) submission. </w:t>
            </w:r>
          </w:p>
        </w:tc>
      </w:tr>
      <w:tr w:rsidR="004543E0" w:rsidRPr="009660EC" w14:paraId="33C9E130" w14:textId="77777777" w:rsidTr="008816C0">
        <w:tc>
          <w:tcPr>
            <w:tcW w:w="1324" w:type="dxa"/>
            <w:shd w:val="clear" w:color="auto" w:fill="auto"/>
          </w:tcPr>
          <w:p w14:paraId="57B3ADE5" w14:textId="77777777" w:rsidR="004543E0" w:rsidRPr="009660EC" w:rsidRDefault="004543E0" w:rsidP="007E3239">
            <w:pPr>
              <w:pStyle w:val="TableText"/>
              <w:spacing w:before="50" w:after="50"/>
              <w:rPr>
                <w:rFonts w:cs="Calibri"/>
                <w:color w:val="000000"/>
              </w:rPr>
            </w:pPr>
            <w:r w:rsidRPr="009660EC">
              <w:rPr>
                <w:rFonts w:cs="Calibri"/>
                <w:color w:val="000000"/>
              </w:rPr>
              <w:t xml:space="preserve">Error checking and reporting </w:t>
            </w:r>
          </w:p>
        </w:tc>
        <w:tc>
          <w:tcPr>
            <w:tcW w:w="7181" w:type="dxa"/>
            <w:shd w:val="clear" w:color="auto" w:fill="auto"/>
          </w:tcPr>
          <w:p w14:paraId="2322FE57" w14:textId="77777777" w:rsidR="004543E0" w:rsidRPr="009660EC" w:rsidRDefault="004543E0" w:rsidP="007F4746">
            <w:pPr>
              <w:pStyle w:val="TableBullet"/>
            </w:pPr>
            <w:r w:rsidRPr="009660EC">
              <w:t xml:space="preserve">Errors confirmed during the year are recorded, and the National Inventory Compiler is notified. The factors contributing to the error are assessed. </w:t>
            </w:r>
          </w:p>
          <w:p w14:paraId="10840269" w14:textId="77777777" w:rsidR="004543E0" w:rsidRPr="009660EC" w:rsidRDefault="004543E0" w:rsidP="007F4746">
            <w:pPr>
              <w:pStyle w:val="TableBullet"/>
            </w:pPr>
            <w:r w:rsidRPr="009660EC">
              <w:t xml:space="preserve">An issues, risks and enhancements register is kept up to date and used to prioritise the resolution of key sources of risk to the Agriculture inventory compilation and results. </w:t>
            </w:r>
          </w:p>
          <w:p w14:paraId="335D2F77" w14:textId="77777777" w:rsidR="004543E0" w:rsidRPr="009660EC" w:rsidRDefault="004543E0" w:rsidP="007F4746">
            <w:pPr>
              <w:pStyle w:val="TableBullet"/>
            </w:pPr>
            <w:r w:rsidRPr="009660EC">
              <w:t xml:space="preserve">A checklist of quality-control activities is followed during data collection and entry into the model, data upload to the CRF reporting tool and National Inventory Report chapter preparation. </w:t>
            </w:r>
          </w:p>
          <w:p w14:paraId="18F2C059" w14:textId="77777777" w:rsidR="004543E0" w:rsidRPr="009660EC" w:rsidRDefault="004543E0" w:rsidP="007F4746">
            <w:pPr>
              <w:pStyle w:val="TableBullet"/>
            </w:pPr>
            <w:r w:rsidRPr="009660EC">
              <w:t xml:space="preserve">The Agriculture chapter of the National Inventory Report and the data exported to the CRF reporter are signed off by the chapter compiler, people involved in data checking and the responsible manager. </w:t>
            </w:r>
          </w:p>
        </w:tc>
      </w:tr>
      <w:tr w:rsidR="004543E0" w:rsidRPr="009660EC" w14:paraId="75B35873" w14:textId="77777777" w:rsidTr="008816C0">
        <w:tc>
          <w:tcPr>
            <w:tcW w:w="1324" w:type="dxa"/>
            <w:shd w:val="clear" w:color="auto" w:fill="auto"/>
          </w:tcPr>
          <w:p w14:paraId="62D0B385" w14:textId="77777777" w:rsidR="004543E0" w:rsidRPr="009660EC" w:rsidRDefault="004543E0" w:rsidP="007E3239">
            <w:pPr>
              <w:pStyle w:val="TableText"/>
              <w:spacing w:before="50" w:after="50"/>
              <w:rPr>
                <w:rFonts w:cs="Calibri"/>
                <w:color w:val="000000"/>
              </w:rPr>
            </w:pPr>
            <w:r w:rsidRPr="009660EC">
              <w:rPr>
                <w:rFonts w:cs="Calibri"/>
                <w:color w:val="000000"/>
              </w:rPr>
              <w:t xml:space="preserve">Documentation </w:t>
            </w:r>
          </w:p>
        </w:tc>
        <w:tc>
          <w:tcPr>
            <w:tcW w:w="7181" w:type="dxa"/>
            <w:shd w:val="clear" w:color="auto" w:fill="auto"/>
          </w:tcPr>
          <w:p w14:paraId="7B83E149" w14:textId="77777777" w:rsidR="004543E0" w:rsidRPr="009660EC" w:rsidRDefault="004543E0" w:rsidP="007F4746">
            <w:pPr>
              <w:pStyle w:val="TableBullet"/>
            </w:pPr>
            <w:r w:rsidRPr="009660EC">
              <w:t xml:space="preserve">Internal working instructions are maintained, to allow for staff movements. </w:t>
            </w:r>
          </w:p>
          <w:p w14:paraId="0D66A3E9" w14:textId="77777777" w:rsidR="004543E0" w:rsidRPr="009660EC" w:rsidRDefault="004543E0" w:rsidP="007F4746">
            <w:pPr>
              <w:pStyle w:val="TableBullet"/>
            </w:pPr>
            <w:r w:rsidRPr="009660EC">
              <w:t xml:space="preserve">Workbooks and calculations are kept on an electronic archiving and management system, enabling wider team access to all workbooks. </w:t>
            </w:r>
          </w:p>
          <w:p w14:paraId="35AAD4D2" w14:textId="77777777" w:rsidR="004543E0" w:rsidRPr="009660EC" w:rsidRDefault="004543E0" w:rsidP="007F4746">
            <w:pPr>
              <w:pStyle w:val="TableBullet"/>
            </w:pPr>
            <w:r w:rsidRPr="009660EC">
              <w:t xml:space="preserve">Hyperlinks between check sheets, sign-off documents and workbooks are used to link relevant files on the document management system. </w:t>
            </w:r>
          </w:p>
        </w:tc>
      </w:tr>
    </w:tbl>
    <w:p w14:paraId="7C551DA6" w14:textId="77777777" w:rsidR="004543E0" w:rsidRPr="009660EC" w:rsidRDefault="004543E0" w:rsidP="004543E0">
      <w:pPr>
        <w:pStyle w:val="Heading3"/>
        <w:spacing w:before="400"/>
      </w:pPr>
      <w:bookmarkStart w:id="665" w:name="_Toc32570649"/>
      <w:r w:rsidRPr="009660EC">
        <w:t>5.1.7</w:t>
      </w:r>
      <w:r w:rsidRPr="009660EC">
        <w:tab/>
        <w:t>Planned improvements</w:t>
      </w:r>
      <w:bookmarkEnd w:id="665"/>
      <w:r w:rsidRPr="009660EC">
        <w:t xml:space="preserve"> and research</w:t>
      </w:r>
    </w:p>
    <w:p w14:paraId="685F5C78" w14:textId="77777777" w:rsidR="004543E0" w:rsidRPr="009660EC" w:rsidRDefault="004543E0" w:rsidP="004543E0">
      <w:pPr>
        <w:pStyle w:val="BodyText"/>
        <w:rPr>
          <w:rFonts w:cs="Calibri"/>
        </w:rPr>
      </w:pPr>
      <w:r w:rsidRPr="009660EC">
        <w:rPr>
          <w:rFonts w:cs="Calibri"/>
        </w:rPr>
        <w:t xml:space="preserve">MPI has commissioned several projects aimed at further improving New Zealand’s Agriculture inventory. </w:t>
      </w:r>
    </w:p>
    <w:p w14:paraId="2D6B487A" w14:textId="77777777" w:rsidR="004543E0" w:rsidRPr="009660EC" w:rsidRDefault="004543E0" w:rsidP="004543E0">
      <w:pPr>
        <w:pStyle w:val="BodyText"/>
        <w:ind w:left="567" w:hanging="567"/>
        <w:rPr>
          <w:rFonts w:cs="Calibri"/>
        </w:rPr>
      </w:pPr>
      <w:r w:rsidRPr="009660EC">
        <w:rPr>
          <w:rFonts w:cs="Calibri"/>
        </w:rPr>
        <w:t>Short-term studies (around one year) include:</w:t>
      </w:r>
    </w:p>
    <w:p w14:paraId="07C844D8" w14:textId="77777777" w:rsidR="004543E0" w:rsidRPr="009660EC" w:rsidRDefault="004543E0" w:rsidP="004543E0">
      <w:pPr>
        <w:pStyle w:val="Bullet"/>
        <w:tabs>
          <w:tab w:val="num" w:pos="567"/>
        </w:tabs>
      </w:pPr>
      <w:r w:rsidRPr="009660EC">
        <w:t>estimating N</w:t>
      </w:r>
      <w:r w:rsidRPr="009660EC">
        <w:rPr>
          <w:vertAlign w:val="subscript"/>
        </w:rPr>
        <w:t>2</w:t>
      </w:r>
      <w:r w:rsidRPr="009660EC">
        <w:t>O</w:t>
      </w:r>
      <w:r w:rsidRPr="009660EC" w:rsidDel="00637A3F">
        <w:t xml:space="preserve"> </w:t>
      </w:r>
      <w:r w:rsidRPr="009660EC">
        <w:t>emission factors for dairy urine using soil data and soil moisture content (see section 5.5.6)</w:t>
      </w:r>
    </w:p>
    <w:p w14:paraId="2905C1C0" w14:textId="77777777" w:rsidR="004543E0" w:rsidRPr="009660EC" w:rsidRDefault="004543E0" w:rsidP="004543E0">
      <w:pPr>
        <w:pStyle w:val="Bullet"/>
        <w:tabs>
          <w:tab w:val="num" w:pos="567"/>
        </w:tabs>
      </w:pPr>
      <w:r w:rsidRPr="009660EC">
        <w:t>pork industry survey (see section 5.3.6)</w:t>
      </w:r>
    </w:p>
    <w:p w14:paraId="5CE6ADD4" w14:textId="77777777" w:rsidR="004543E0" w:rsidRPr="009660EC" w:rsidRDefault="004543E0" w:rsidP="004543E0">
      <w:pPr>
        <w:pStyle w:val="Bullet"/>
        <w:tabs>
          <w:tab w:val="num" w:pos="567"/>
        </w:tabs>
      </w:pPr>
      <w:r w:rsidRPr="009660EC">
        <w:t>reviewing the birth and slaughter dates for sheep and non-dairy (beef) cattle to evaluate the suitability of current assumptions (below)</w:t>
      </w:r>
    </w:p>
    <w:p w14:paraId="18A77802" w14:textId="77777777" w:rsidR="004543E0" w:rsidRPr="009660EC" w:rsidRDefault="004543E0" w:rsidP="00AB2A5C">
      <w:pPr>
        <w:pStyle w:val="Bullet"/>
        <w:numPr>
          <w:ilvl w:val="0"/>
          <w:numId w:val="18"/>
        </w:numPr>
      </w:pPr>
      <w:r w:rsidRPr="009660EC">
        <w:t>improving the understanding of emissions from organic soils, to enhance the accuracy of reported emissions with the aim of implementing the IPCC 2013 Wetlands Supplement (IPCC, 2014) (see section 5.5.6)</w:t>
      </w:r>
    </w:p>
    <w:p w14:paraId="6BB39DF8" w14:textId="77777777" w:rsidR="004543E0" w:rsidRPr="009660EC" w:rsidRDefault="004543E0" w:rsidP="004543E0">
      <w:pPr>
        <w:pStyle w:val="Bullet"/>
        <w:tabs>
          <w:tab w:val="num" w:pos="567"/>
        </w:tabs>
      </w:pPr>
      <w:r w:rsidRPr="009660EC">
        <w:t>investigating N</w:t>
      </w:r>
      <w:r w:rsidRPr="009660EC">
        <w:rPr>
          <w:vertAlign w:val="subscript"/>
        </w:rPr>
        <w:t>2</w:t>
      </w:r>
      <w:r w:rsidRPr="009660EC">
        <w:t>O</w:t>
      </w:r>
      <w:r w:rsidRPr="009660EC" w:rsidDel="00637A3F">
        <w:t xml:space="preserve"> </w:t>
      </w:r>
      <w:r w:rsidRPr="009660EC">
        <w:t>emissions from nitrogen fertilisers and whether more disaggregated emission factors for non-urea nitrogen fertilisers are needed (see section 5.5.6).</w:t>
      </w:r>
    </w:p>
    <w:p w14:paraId="64C02A9A" w14:textId="77777777" w:rsidR="004543E0" w:rsidRPr="009660EC" w:rsidRDefault="004543E0" w:rsidP="004543E0">
      <w:pPr>
        <w:pStyle w:val="BodyText"/>
        <w:keepNext/>
        <w:rPr>
          <w:rFonts w:cs="Calibri"/>
        </w:rPr>
      </w:pPr>
      <w:r w:rsidRPr="009660EC">
        <w:rPr>
          <w:rFonts w:cs="Calibri"/>
        </w:rPr>
        <w:t>Longer-term studies (more than one year) include:</w:t>
      </w:r>
    </w:p>
    <w:p w14:paraId="3B2F4B5C" w14:textId="77777777" w:rsidR="004543E0" w:rsidRPr="009660EC" w:rsidRDefault="004543E0" w:rsidP="00AB2A5C">
      <w:pPr>
        <w:pStyle w:val="Bullet"/>
        <w:numPr>
          <w:ilvl w:val="0"/>
          <w:numId w:val="18"/>
        </w:numPr>
      </w:pPr>
      <w:r w:rsidRPr="009660EC">
        <w:t>reviewing and updating the nutrient transfer model to capture new topography and animal behaviour data (see section 5.5.6)</w:t>
      </w:r>
    </w:p>
    <w:p w14:paraId="206AD41A" w14:textId="77777777" w:rsidR="004543E0" w:rsidRPr="009660EC" w:rsidRDefault="004543E0" w:rsidP="00AB2A5C">
      <w:pPr>
        <w:pStyle w:val="Bullet"/>
        <w:numPr>
          <w:ilvl w:val="0"/>
          <w:numId w:val="18"/>
        </w:numPr>
      </w:pPr>
      <w:r w:rsidRPr="009660EC">
        <w:t>quantifying temporal and spatial trends in dairying on slopes across New Zealand (see section 5.5.6)</w:t>
      </w:r>
    </w:p>
    <w:p w14:paraId="3D57AE74" w14:textId="77777777" w:rsidR="004543E0" w:rsidRPr="009660EC" w:rsidRDefault="004543E0" w:rsidP="00AB2A5C">
      <w:pPr>
        <w:pStyle w:val="Bullet"/>
        <w:numPr>
          <w:ilvl w:val="0"/>
          <w:numId w:val="18"/>
        </w:numPr>
      </w:pPr>
      <w:r w:rsidRPr="009660EC">
        <w:lastRenderedPageBreak/>
        <w:t>compiling data on the number of lifestyle blocks and farmlets</w:t>
      </w:r>
      <w:r w:rsidRPr="009660EC">
        <w:rPr>
          <w:rStyle w:val="FootnoteReference"/>
        </w:rPr>
        <w:footnoteReference w:id="39"/>
      </w:r>
      <w:r w:rsidRPr="009660EC">
        <w:t xml:space="preserve"> in New Zealand that can be used for assessment of the number of livestock and other farming practices alongside existing population estimates (below)</w:t>
      </w:r>
    </w:p>
    <w:p w14:paraId="67CC7D24" w14:textId="77777777" w:rsidR="004543E0" w:rsidRPr="009660EC" w:rsidRDefault="004543E0" w:rsidP="00AB2A5C">
      <w:pPr>
        <w:pStyle w:val="Bullet"/>
        <w:numPr>
          <w:ilvl w:val="0"/>
          <w:numId w:val="18"/>
        </w:numPr>
      </w:pPr>
      <w:r w:rsidRPr="009660EC">
        <w:t>reviewing the CH</w:t>
      </w:r>
      <w:r w:rsidRPr="009660EC">
        <w:rPr>
          <w:vertAlign w:val="subscript"/>
        </w:rPr>
        <w:t>4</w:t>
      </w:r>
      <w:r w:rsidRPr="009660EC">
        <w:t xml:space="preserve"> conversion factor for the calculation of CH</w:t>
      </w:r>
      <w:r w:rsidRPr="009660EC">
        <w:rPr>
          <w:vertAlign w:val="subscript"/>
        </w:rPr>
        <w:t>4</w:t>
      </w:r>
      <w:r w:rsidRPr="009660EC">
        <w:t xml:space="preserve"> from dairy cattle manure deposited in anaerobic lagoons (see section 5.3.6)</w:t>
      </w:r>
    </w:p>
    <w:p w14:paraId="2AE9C896" w14:textId="77777777" w:rsidR="004543E0" w:rsidRPr="009660EC" w:rsidRDefault="004543E0" w:rsidP="00AB2A5C">
      <w:pPr>
        <w:pStyle w:val="Bullet"/>
        <w:numPr>
          <w:ilvl w:val="0"/>
          <w:numId w:val="18"/>
        </w:numPr>
      </w:pPr>
      <w:r w:rsidRPr="009660EC">
        <w:t>measuring the CH</w:t>
      </w:r>
      <w:r w:rsidRPr="009660EC">
        <w:rPr>
          <w:vertAlign w:val="subscript"/>
        </w:rPr>
        <w:t>4</w:t>
      </w:r>
      <w:r w:rsidRPr="009660EC">
        <w:t xml:space="preserve"> emissions from supplemented dairy cows (see section 5.2.6). This work follows up from the proposal that was not recommended by the Agriculture Inventory Advisory Panel</w:t>
      </w:r>
    </w:p>
    <w:p w14:paraId="65C0FBA8" w14:textId="77777777" w:rsidR="004543E0" w:rsidRPr="009660EC" w:rsidRDefault="004543E0" w:rsidP="00AB2A5C">
      <w:pPr>
        <w:pStyle w:val="Bullet"/>
        <w:numPr>
          <w:ilvl w:val="0"/>
          <w:numId w:val="18"/>
        </w:numPr>
      </w:pPr>
      <w:r w:rsidRPr="009660EC">
        <w:t>determining the impact of pasture with content of the grass species kikuyu (</w:t>
      </w:r>
      <w:r w:rsidRPr="009660EC">
        <w:rPr>
          <w:i/>
          <w:iCs/>
        </w:rPr>
        <w:t>Pennisetum clandestinum</w:t>
      </w:r>
      <w:r w:rsidRPr="009660EC">
        <w:t>) on enteric fermentation emissions (see section 5.2.6)</w:t>
      </w:r>
    </w:p>
    <w:p w14:paraId="37833BB7" w14:textId="77777777" w:rsidR="004543E0" w:rsidRPr="009660EC" w:rsidRDefault="004543E0" w:rsidP="00AB2A5C">
      <w:pPr>
        <w:pStyle w:val="Bullet"/>
        <w:numPr>
          <w:ilvl w:val="0"/>
          <w:numId w:val="18"/>
        </w:numPr>
      </w:pPr>
      <w:r w:rsidRPr="009660EC">
        <w:t>modelling pasture quality data using remote sensing in the form of hyperspectral imaging (below)</w:t>
      </w:r>
    </w:p>
    <w:p w14:paraId="4096B399" w14:textId="77777777" w:rsidR="004543E0" w:rsidRPr="009660EC" w:rsidRDefault="004543E0" w:rsidP="00AB2A5C">
      <w:pPr>
        <w:pStyle w:val="Bullet"/>
        <w:numPr>
          <w:ilvl w:val="0"/>
          <w:numId w:val="18"/>
        </w:numPr>
      </w:pPr>
      <w:r w:rsidRPr="009660EC">
        <w:t>improving the information on feed types consumed by dairy cattle across New Zealand (see section 5.2.6)</w:t>
      </w:r>
    </w:p>
    <w:p w14:paraId="7074BF6F" w14:textId="77777777" w:rsidR="004543E0" w:rsidRPr="009660EC" w:rsidRDefault="004543E0" w:rsidP="00AB2A5C">
      <w:pPr>
        <w:pStyle w:val="Bullet"/>
        <w:numPr>
          <w:ilvl w:val="0"/>
          <w:numId w:val="18"/>
        </w:numPr>
      </w:pPr>
      <w:r w:rsidRPr="009660EC">
        <w:t>quantifying N</w:t>
      </w:r>
      <w:r w:rsidRPr="009660EC">
        <w:rPr>
          <w:vertAlign w:val="subscript"/>
        </w:rPr>
        <w:t>2</w:t>
      </w:r>
      <w:r w:rsidRPr="009660EC">
        <w:t>O emissions from eutrophic lakes as a result of pollution from agricultural runoffs and wastewater discharge (see section 5.5.6)</w:t>
      </w:r>
    </w:p>
    <w:p w14:paraId="49E0F0C5" w14:textId="77777777" w:rsidR="004543E0" w:rsidRPr="009660EC" w:rsidRDefault="004543E0" w:rsidP="00AB2A5C">
      <w:pPr>
        <w:pStyle w:val="Bullet"/>
        <w:numPr>
          <w:ilvl w:val="0"/>
          <w:numId w:val="18"/>
        </w:numPr>
      </w:pPr>
      <w:r w:rsidRPr="009660EC">
        <w:t>improving the methods used to determine the dairy cattle populations in the New Zealand inventory model (below)</w:t>
      </w:r>
    </w:p>
    <w:p w14:paraId="5581A1B0" w14:textId="77777777" w:rsidR="004543E0" w:rsidRPr="009660EC" w:rsidRDefault="004543E0" w:rsidP="00AB2A5C">
      <w:pPr>
        <w:pStyle w:val="Bullet"/>
        <w:numPr>
          <w:ilvl w:val="0"/>
          <w:numId w:val="18"/>
        </w:numPr>
      </w:pPr>
      <w:r w:rsidRPr="009660EC">
        <w:t xml:space="preserve">continuing work to improve activity data, including through the annual collection of agricultural data by Stats NZ. </w:t>
      </w:r>
    </w:p>
    <w:p w14:paraId="6924BAE5" w14:textId="77777777" w:rsidR="004543E0" w:rsidRPr="009660EC" w:rsidRDefault="004543E0" w:rsidP="004543E0">
      <w:pPr>
        <w:pStyle w:val="BodyText"/>
      </w:pPr>
      <w:r w:rsidRPr="009660EC">
        <w:t xml:space="preserve">New Zealand also intends to review the recent publication of the </w:t>
      </w:r>
      <w:r w:rsidRPr="009660EC">
        <w:rPr>
          <w:i/>
          <w:iCs/>
        </w:rPr>
        <w:t>2019 Refinement to the 2006 IPCC Guidelines for National Greenhouse Gas Inventories</w:t>
      </w:r>
      <w:r w:rsidRPr="009660EC">
        <w:t xml:space="preserve"> (IPCC, 2019), and investigate changes to methodology and emission factors for agriculture where appropriate.</w:t>
      </w:r>
    </w:p>
    <w:p w14:paraId="4122DADA" w14:textId="77777777" w:rsidR="004543E0" w:rsidRPr="009660EC" w:rsidRDefault="004543E0" w:rsidP="004543E0">
      <w:pPr>
        <w:pStyle w:val="BodyText"/>
        <w:rPr>
          <w:rFonts w:cs="Calibri"/>
        </w:rPr>
      </w:pPr>
      <w:r w:rsidRPr="009660EC">
        <w:rPr>
          <w:rFonts w:cs="Calibri"/>
        </w:rPr>
        <w:t>Some of these potential improvements cover multiple categories of the Agriculture inventory and are described further below. The remaining improvements relate only to a single Agriculture inventory category and are discussed in further detail in the relevant planned improvement sections 5.2.6 (</w:t>
      </w:r>
      <w:r w:rsidRPr="009660EC">
        <w:rPr>
          <w:rFonts w:cs="Calibri"/>
          <w:i/>
          <w:iCs/>
        </w:rPr>
        <w:t xml:space="preserve">Enteric fermentation </w:t>
      </w:r>
      <w:r w:rsidRPr="009660EC">
        <w:rPr>
          <w:rFonts w:cs="Calibri"/>
        </w:rPr>
        <w:t>(CRF 3.A)), 5.3.6 (</w:t>
      </w:r>
      <w:r w:rsidRPr="009660EC">
        <w:rPr>
          <w:rFonts w:cs="Calibri"/>
          <w:i/>
        </w:rPr>
        <w:t>Manure management</w:t>
      </w:r>
      <w:r w:rsidRPr="009660EC">
        <w:rPr>
          <w:rFonts w:cs="Calibri"/>
        </w:rPr>
        <w:t xml:space="preserve"> (CRF 3.B)) and 5.5.6 (</w:t>
      </w:r>
      <w:r w:rsidRPr="009660EC">
        <w:rPr>
          <w:rFonts w:cs="Calibri"/>
          <w:i/>
        </w:rPr>
        <w:t>Agricultural soils</w:t>
      </w:r>
      <w:r w:rsidRPr="009660EC">
        <w:rPr>
          <w:rFonts w:cs="Calibri"/>
        </w:rPr>
        <w:t xml:space="preserve"> (CRF 3.D)). </w:t>
      </w:r>
    </w:p>
    <w:p w14:paraId="7132BA1B" w14:textId="77777777" w:rsidR="004543E0" w:rsidRPr="009660EC" w:rsidRDefault="004543E0" w:rsidP="004543E0">
      <w:pPr>
        <w:pStyle w:val="Heading5"/>
        <w:rPr>
          <w:rFonts w:cs="Calibri"/>
        </w:rPr>
      </w:pPr>
      <w:r w:rsidRPr="009660EC">
        <w:rPr>
          <w:rFonts w:cs="Calibri"/>
        </w:rPr>
        <w:t>Lifestyle block analysis</w:t>
      </w:r>
    </w:p>
    <w:p w14:paraId="421A80A4" w14:textId="77777777" w:rsidR="004543E0" w:rsidRPr="009660EC" w:rsidRDefault="004543E0" w:rsidP="004543E0">
      <w:pPr>
        <w:pStyle w:val="BodyText"/>
        <w:rPr>
          <w:rFonts w:cs="Calibri"/>
        </w:rPr>
      </w:pPr>
      <w:r w:rsidRPr="009660EC">
        <w:rPr>
          <w:rFonts w:cs="Calibri"/>
        </w:rPr>
        <w:t>This project will use available geospatial and land parcel data to develop models to help understand the importance of the number of livestock farmed on lifestyle blocks and the overall impact on greenhouse gas emissions.</w:t>
      </w:r>
    </w:p>
    <w:p w14:paraId="0DC5DD89" w14:textId="77777777" w:rsidR="004543E0" w:rsidRPr="009660EC" w:rsidRDefault="004543E0" w:rsidP="004543E0">
      <w:pPr>
        <w:pStyle w:val="BodyText"/>
        <w:keepLines/>
        <w:rPr>
          <w:rFonts w:cs="Calibri"/>
        </w:rPr>
      </w:pPr>
      <w:r w:rsidRPr="009660EC">
        <w:rPr>
          <w:rFonts w:cs="Calibri"/>
        </w:rPr>
        <w:t>Currently, New Zealand’s Agriculture inventory relies heavily on the data sourced from the annual Stats NZ Agricultural Production survey, which provides farm-level data at national and regional scales. However, non-Goods and Service Tax</w:t>
      </w:r>
      <w:r w:rsidRPr="009660EC">
        <w:rPr>
          <w:rStyle w:val="FootnoteReference"/>
          <w:rFonts w:cs="Calibri"/>
        </w:rPr>
        <w:footnoteReference w:id="40"/>
      </w:r>
      <w:r w:rsidRPr="009660EC">
        <w:rPr>
          <w:rFonts w:cs="Calibri"/>
        </w:rPr>
        <w:t xml:space="preserve"> registered small land owners are not required to complete this survey. This makes it difficult to ascertain the impact of animals farmed on small lifestyle blocks. Better data on livestock and land managed by small lifestyle block owners would improve the accuracy of the animal population models within the inventory.</w:t>
      </w:r>
    </w:p>
    <w:p w14:paraId="7AD08EF5" w14:textId="77777777" w:rsidR="004543E0" w:rsidRPr="009660EC" w:rsidRDefault="004543E0" w:rsidP="004543E0">
      <w:pPr>
        <w:pStyle w:val="Heading5"/>
        <w:rPr>
          <w:rFonts w:cs="Calibri"/>
        </w:rPr>
      </w:pPr>
      <w:r w:rsidRPr="009660EC">
        <w:rPr>
          <w:rFonts w:cs="Calibri"/>
        </w:rPr>
        <w:lastRenderedPageBreak/>
        <w:t xml:space="preserve">Improvements to estimates of the dairy cattle population </w:t>
      </w:r>
    </w:p>
    <w:p w14:paraId="2E094411" w14:textId="77777777" w:rsidR="004543E0" w:rsidRPr="009660EC" w:rsidRDefault="004543E0" w:rsidP="004543E0">
      <w:pPr>
        <w:pStyle w:val="BodyText"/>
        <w:rPr>
          <w:rFonts w:cs="Calibri"/>
        </w:rPr>
      </w:pPr>
      <w:r w:rsidRPr="009660EC">
        <w:rPr>
          <w:rFonts w:cs="Calibri"/>
        </w:rPr>
        <w:t xml:space="preserve">This project will review the current methods and assumptions for determining the monthly dairy cattle populations used within the Agriculture inventory. This will be used to determine if these methods and assumptions adequately represent the New Zealand dairy industry throughout the reporting timeline (1990 onwards). </w:t>
      </w:r>
    </w:p>
    <w:p w14:paraId="34850BC8" w14:textId="77777777" w:rsidR="004543E0" w:rsidRPr="009660EC" w:rsidRDefault="004543E0" w:rsidP="004543E0">
      <w:pPr>
        <w:pStyle w:val="BodyText"/>
        <w:rPr>
          <w:rFonts w:cs="Calibri"/>
        </w:rPr>
      </w:pPr>
      <w:r w:rsidRPr="009660EC">
        <w:rPr>
          <w:rFonts w:cs="Calibri"/>
        </w:rPr>
        <w:t>The Agriculture inventory uses annual livestock population data provided from the Stats NZ Agricultural Production survey, but several assumptions are made on how this population changes over each month of the year.</w:t>
      </w:r>
    </w:p>
    <w:p w14:paraId="6F21B5B2" w14:textId="77777777" w:rsidR="004543E0" w:rsidRPr="009660EC" w:rsidRDefault="004543E0" w:rsidP="004543E0">
      <w:pPr>
        <w:pStyle w:val="Heading5"/>
        <w:rPr>
          <w:rFonts w:cs="Calibri"/>
        </w:rPr>
      </w:pPr>
      <w:r w:rsidRPr="009660EC">
        <w:rPr>
          <w:rFonts w:cs="Calibri"/>
        </w:rPr>
        <w:t>Remote sensing of pasture data</w:t>
      </w:r>
    </w:p>
    <w:p w14:paraId="7B4456C9" w14:textId="77777777" w:rsidR="004543E0" w:rsidRPr="009660EC" w:rsidRDefault="004543E0" w:rsidP="004543E0">
      <w:pPr>
        <w:pStyle w:val="BodyText"/>
        <w:rPr>
          <w:rFonts w:cs="Calibri"/>
        </w:rPr>
      </w:pPr>
      <w:r w:rsidRPr="009660EC">
        <w:rPr>
          <w:rFonts w:cs="Calibri"/>
        </w:rPr>
        <w:t>This project will seek to use remote sensing technologies to estimate the pasture quality (i.e</w:t>
      </w:r>
      <w:r>
        <w:rPr>
          <w:rFonts w:cs="Calibri"/>
        </w:rPr>
        <w:t>.</w:t>
      </w:r>
      <w:r w:rsidRPr="009660EC">
        <w:rPr>
          <w:rFonts w:cs="Calibri"/>
        </w:rPr>
        <w:t>, metabolisable energy, N content and digestibility). Physical sampling of sites is expensive and time consuming, and limits the amount of comprehensive farm-scale data that are available through New Zealand. Through the use of airborne hyperspectral imaging, this project will undertake a proof-of-concept to illustrate efficacy of mapping farm-scale pasture quality data compared with traditional methods.</w:t>
      </w:r>
    </w:p>
    <w:p w14:paraId="07C2573B" w14:textId="77777777" w:rsidR="004543E0" w:rsidRPr="009660EC" w:rsidRDefault="004543E0" w:rsidP="004543E0">
      <w:pPr>
        <w:pStyle w:val="Heading5"/>
        <w:rPr>
          <w:rFonts w:cs="Calibri"/>
        </w:rPr>
      </w:pPr>
      <w:r w:rsidRPr="009660EC">
        <w:rPr>
          <w:rFonts w:cs="Calibri"/>
        </w:rPr>
        <w:t>Birth and slaughter dates for sheep and beef cattle</w:t>
      </w:r>
    </w:p>
    <w:p w14:paraId="45992FCD" w14:textId="77777777" w:rsidR="004543E0" w:rsidRPr="009660EC" w:rsidRDefault="004543E0" w:rsidP="004543E0">
      <w:pPr>
        <w:pStyle w:val="BodyText"/>
        <w:rPr>
          <w:rFonts w:cs="Calibri"/>
        </w:rPr>
      </w:pPr>
      <w:r w:rsidRPr="009660EC">
        <w:rPr>
          <w:rFonts w:cs="Calibri"/>
        </w:rPr>
        <w:t xml:space="preserve">This research will review the current methods for determining sheep and beef cattle birth and </w:t>
      </w:r>
      <w:r w:rsidRPr="009660EC">
        <w:rPr>
          <w:rFonts w:cs="Calibri"/>
          <w:spacing w:val="-2"/>
        </w:rPr>
        <w:t>slaughter dates for calculating agricultural emissions. It will involve reviewing data from industry</w:t>
      </w:r>
      <w:r w:rsidRPr="009660EC">
        <w:rPr>
          <w:rFonts w:cs="Calibri"/>
        </w:rPr>
        <w:t xml:space="preserve"> bodies across New Zealand, as well as consulting with industry experts to determine whether the current methodology should be retained or updated based on the research findings.</w:t>
      </w:r>
    </w:p>
    <w:p w14:paraId="20CB9C3F" w14:textId="77777777" w:rsidR="004543E0" w:rsidRPr="009660EC" w:rsidRDefault="004543E0" w:rsidP="004543E0">
      <w:pPr>
        <w:pStyle w:val="Heading2"/>
      </w:pPr>
      <w:bookmarkStart w:id="666" w:name="_Toc352504860"/>
      <w:bookmarkStart w:id="667" w:name="_Toc448321523"/>
      <w:bookmarkStart w:id="668" w:name="_Toc481751385"/>
      <w:bookmarkStart w:id="669" w:name="_Toc511116600"/>
      <w:bookmarkStart w:id="670" w:name="_Toc5269362"/>
      <w:bookmarkStart w:id="671" w:name="_Toc32570650"/>
      <w:bookmarkStart w:id="672" w:name="_Toc36224402"/>
      <w:bookmarkStart w:id="673" w:name="_Toc68786322"/>
      <w:bookmarkStart w:id="674" w:name="_Toc99659129"/>
      <w:r w:rsidRPr="009660EC">
        <w:t>5.2</w:t>
      </w:r>
      <w:r w:rsidRPr="009660EC">
        <w:tab/>
        <w:t>Enteric fermentation (CRF 3.A)</w:t>
      </w:r>
      <w:bookmarkEnd w:id="666"/>
      <w:bookmarkEnd w:id="667"/>
      <w:bookmarkEnd w:id="668"/>
      <w:bookmarkEnd w:id="669"/>
      <w:bookmarkEnd w:id="670"/>
      <w:bookmarkEnd w:id="671"/>
      <w:bookmarkEnd w:id="672"/>
      <w:bookmarkEnd w:id="673"/>
      <w:bookmarkEnd w:id="674"/>
    </w:p>
    <w:p w14:paraId="3E35EF62" w14:textId="77777777" w:rsidR="004543E0" w:rsidRPr="009660EC" w:rsidRDefault="004543E0" w:rsidP="004543E0">
      <w:pPr>
        <w:pStyle w:val="Heading3"/>
        <w:spacing w:before="240"/>
      </w:pPr>
      <w:bookmarkStart w:id="675" w:name="_Toc139253917"/>
      <w:bookmarkStart w:id="676" w:name="_Toc32570651"/>
      <w:r w:rsidRPr="009660EC">
        <w:t>5.2.1</w:t>
      </w:r>
      <w:r w:rsidRPr="009660EC">
        <w:tab/>
        <w:t>Description</w:t>
      </w:r>
      <w:bookmarkEnd w:id="675"/>
      <w:bookmarkEnd w:id="676"/>
    </w:p>
    <w:p w14:paraId="362D5BEB" w14:textId="77777777" w:rsidR="004543E0" w:rsidRPr="009660EC" w:rsidRDefault="004543E0" w:rsidP="004543E0">
      <w:pPr>
        <w:pStyle w:val="BodyText"/>
        <w:spacing w:before="100"/>
        <w:rPr>
          <w:rFonts w:cs="Calibri"/>
        </w:rPr>
      </w:pPr>
      <w:r w:rsidRPr="009660EC">
        <w:rPr>
          <w:rFonts w:cs="Calibri"/>
        </w:rPr>
        <w:t>Methane is produced predominantly by ruminants as a by-product of enteric fermentation, which is a digestive process that breaks down consumed plant material in the rumen under anaerobic conditions. A portion of the plant material is fermented in the rumen to simple fatty acids, CO</w:t>
      </w:r>
      <w:r w:rsidRPr="009660EC">
        <w:rPr>
          <w:rFonts w:cs="Calibri"/>
          <w:vertAlign w:val="subscript"/>
        </w:rPr>
        <w:t>2</w:t>
      </w:r>
      <w:r w:rsidRPr="009660EC">
        <w:rPr>
          <w:rFonts w:cs="Calibri"/>
        </w:rPr>
        <w:t xml:space="preserve"> and CH</w:t>
      </w:r>
      <w:r w:rsidRPr="009660EC">
        <w:rPr>
          <w:rFonts w:cs="Calibri"/>
          <w:vertAlign w:val="subscript"/>
        </w:rPr>
        <w:t>4</w:t>
      </w:r>
      <w:r w:rsidRPr="009660EC">
        <w:rPr>
          <w:rFonts w:cs="Calibri"/>
        </w:rPr>
        <w:t>. The gases from this process are released by eructation (burping) and exhalation by the animal. The amount of CH</w:t>
      </w:r>
      <w:r w:rsidRPr="009660EC">
        <w:rPr>
          <w:rFonts w:cs="Calibri"/>
          <w:vertAlign w:val="subscript"/>
        </w:rPr>
        <w:t>4</w:t>
      </w:r>
      <w:r w:rsidRPr="009660EC">
        <w:rPr>
          <w:rFonts w:cs="Calibri"/>
        </w:rPr>
        <w:t xml:space="preserve"> released is dependent on the type, quality and quantity of feed consumed, and energy expenditure of the animal. Energy expenditure is dependent on the type, age, weight, and production of the animal, as well as whether the animal is pregnant (and the stage of pregnancy).</w:t>
      </w:r>
    </w:p>
    <w:p w14:paraId="052C0DA2" w14:textId="77777777" w:rsidR="004543E0" w:rsidRPr="009660EC" w:rsidRDefault="004543E0" w:rsidP="004543E0">
      <w:pPr>
        <w:pStyle w:val="BodyText"/>
        <w:keepLines/>
        <w:spacing w:before="100" w:after="100"/>
        <w:rPr>
          <w:rFonts w:cs="Calibri"/>
        </w:rPr>
      </w:pPr>
      <w:r w:rsidRPr="009660EC">
        <w:rPr>
          <w:rFonts w:cs="Calibri"/>
        </w:rPr>
        <w:t xml:space="preserve">Methane emissions from the </w:t>
      </w:r>
      <w:r w:rsidRPr="009660EC">
        <w:rPr>
          <w:rFonts w:cs="Calibri"/>
          <w:i/>
          <w:iCs/>
        </w:rPr>
        <w:t>Enteric fermentation</w:t>
      </w:r>
      <w:r w:rsidRPr="009660EC">
        <w:rPr>
          <w:rFonts w:cs="Calibri"/>
        </w:rPr>
        <w:t xml:space="preserve"> category from dairy cattle, beef cattle and sheep were identified as among the largest key categories for New Zealand in the 2020 level assessment, and were also assessed as key categories in the trend assessment (excluding Land Use, Land-Use Change and Forestry (LULUCF)). The </w:t>
      </w:r>
      <w:r w:rsidRPr="009660EC">
        <w:rPr>
          <w:rFonts w:cs="Calibri"/>
          <w:i/>
          <w:iCs/>
        </w:rPr>
        <w:t>Enteric fermentation</w:t>
      </w:r>
      <w:r w:rsidRPr="009660EC">
        <w:rPr>
          <w:rFonts w:cs="Calibri"/>
        </w:rPr>
        <w:t xml:space="preserve"> category from deer was also assessed as an additional key category in the level assessment, and the </w:t>
      </w:r>
      <w:r w:rsidRPr="009660EC">
        <w:rPr>
          <w:rFonts w:cs="Calibri"/>
          <w:i/>
          <w:iCs/>
        </w:rPr>
        <w:t>Enteric fermentation</w:t>
      </w:r>
      <w:r w:rsidRPr="009660EC">
        <w:rPr>
          <w:rFonts w:cs="Calibri"/>
        </w:rPr>
        <w:t xml:space="preserve"> category from goats as an additional key category in the trend assessment. The methodology used by New Zealand for calculating CH</w:t>
      </w:r>
      <w:r w:rsidRPr="009660EC">
        <w:rPr>
          <w:rFonts w:cs="Calibri"/>
          <w:vertAlign w:val="subscript"/>
        </w:rPr>
        <w:t>4</w:t>
      </w:r>
      <w:r w:rsidRPr="009660EC">
        <w:rPr>
          <w:rFonts w:cs="Calibri"/>
        </w:rPr>
        <w:t xml:space="preserve"> emissions from enteric fermentation in domestic livestock is a Tier 2 modelling approach. </w:t>
      </w:r>
    </w:p>
    <w:p w14:paraId="0613A95E" w14:textId="77777777" w:rsidR="004543E0" w:rsidRPr="009660EC" w:rsidRDefault="004543E0" w:rsidP="004543E0">
      <w:pPr>
        <w:pStyle w:val="BodyText"/>
        <w:spacing w:before="100" w:after="100"/>
        <w:rPr>
          <w:rFonts w:cs="Calibri"/>
        </w:rPr>
      </w:pPr>
      <w:r w:rsidRPr="009660EC">
        <w:rPr>
          <w:rFonts w:cs="Calibri"/>
          <w:i/>
          <w:iCs/>
        </w:rPr>
        <w:t>Enteric fermentation</w:t>
      </w:r>
      <w:r w:rsidRPr="009660EC">
        <w:rPr>
          <w:rFonts w:cs="Calibri"/>
        </w:rPr>
        <w:t xml:space="preserve"> contributed an estimated 28,831.5 kt CO</w:t>
      </w:r>
      <w:r w:rsidRPr="009660EC">
        <w:rPr>
          <w:rFonts w:cs="Calibri"/>
          <w:vertAlign w:val="subscript"/>
        </w:rPr>
        <w:t>2</w:t>
      </w:r>
      <w:r w:rsidRPr="009660EC">
        <w:rPr>
          <w:rFonts w:cs="Calibri"/>
        </w:rPr>
        <w:t xml:space="preserve">-e, representing 36.6 per cent of New Zealand’s gross emissions and 73.1 per cent of agriculture emissions in 2020. The major livestock categories contributing to </w:t>
      </w:r>
      <w:r w:rsidRPr="009660EC">
        <w:rPr>
          <w:rFonts w:cs="Calibri"/>
          <w:i/>
          <w:iCs/>
        </w:rPr>
        <w:t>Enteric fermentation</w:t>
      </w:r>
      <w:r w:rsidRPr="009660EC">
        <w:rPr>
          <w:rFonts w:cs="Calibri"/>
        </w:rPr>
        <w:t xml:space="preserve"> are:</w:t>
      </w:r>
    </w:p>
    <w:p w14:paraId="3B552063" w14:textId="77777777" w:rsidR="004543E0" w:rsidRPr="009660EC" w:rsidRDefault="004543E0" w:rsidP="00AB2A5C">
      <w:pPr>
        <w:pStyle w:val="Bullet"/>
        <w:numPr>
          <w:ilvl w:val="0"/>
          <w:numId w:val="18"/>
        </w:numPr>
      </w:pPr>
      <w:r w:rsidRPr="009660EC">
        <w:rPr>
          <w:i/>
          <w:iCs/>
        </w:rPr>
        <w:t>Dairy cattle</w:t>
      </w:r>
      <w:r w:rsidRPr="009660EC">
        <w:t xml:space="preserve"> (48.7 per cent of </w:t>
      </w:r>
      <w:r w:rsidRPr="009660EC">
        <w:rPr>
          <w:i/>
          <w:iCs/>
        </w:rPr>
        <w:t>Enteric fermentation</w:t>
      </w:r>
      <w:r w:rsidRPr="009660EC">
        <w:t>)</w:t>
      </w:r>
    </w:p>
    <w:p w14:paraId="4BC85A5E" w14:textId="77777777" w:rsidR="004543E0" w:rsidRPr="009660EC" w:rsidRDefault="004543E0" w:rsidP="00AB2A5C">
      <w:pPr>
        <w:pStyle w:val="Bullet"/>
        <w:numPr>
          <w:ilvl w:val="0"/>
          <w:numId w:val="18"/>
        </w:numPr>
      </w:pPr>
      <w:r w:rsidRPr="009660EC">
        <w:rPr>
          <w:i/>
          <w:iCs/>
        </w:rPr>
        <w:t>Sheep</w:t>
      </w:r>
      <w:r w:rsidRPr="009660EC">
        <w:t xml:space="preserve"> (28.7 per cent of </w:t>
      </w:r>
      <w:r w:rsidRPr="009660EC">
        <w:rPr>
          <w:i/>
          <w:iCs/>
        </w:rPr>
        <w:t>Enteric fermentation</w:t>
      </w:r>
      <w:r w:rsidRPr="009660EC">
        <w:t>)</w:t>
      </w:r>
    </w:p>
    <w:p w14:paraId="603FB145" w14:textId="77777777" w:rsidR="004543E0" w:rsidRPr="009660EC" w:rsidRDefault="004543E0" w:rsidP="00AB2A5C">
      <w:pPr>
        <w:pStyle w:val="Bullet"/>
        <w:numPr>
          <w:ilvl w:val="0"/>
          <w:numId w:val="18"/>
        </w:numPr>
      </w:pPr>
      <w:r w:rsidRPr="009660EC">
        <w:rPr>
          <w:i/>
          <w:iCs/>
        </w:rPr>
        <w:lastRenderedPageBreak/>
        <w:t xml:space="preserve">Non-dairy </w:t>
      </w:r>
      <w:r w:rsidRPr="009660EC">
        <w:t xml:space="preserve">(beef) </w:t>
      </w:r>
      <w:r w:rsidRPr="009660EC">
        <w:rPr>
          <w:i/>
          <w:iCs/>
        </w:rPr>
        <w:t>cattle</w:t>
      </w:r>
      <w:r w:rsidRPr="009660EC">
        <w:t xml:space="preserve"> (20.7 per cent of </w:t>
      </w:r>
      <w:r w:rsidRPr="009660EC">
        <w:rPr>
          <w:i/>
          <w:iCs/>
        </w:rPr>
        <w:t>Enteric fermentation</w:t>
      </w:r>
      <w:r w:rsidRPr="009660EC">
        <w:t>)</w:t>
      </w:r>
    </w:p>
    <w:p w14:paraId="06809E34" w14:textId="77777777" w:rsidR="004543E0" w:rsidRPr="009660EC" w:rsidRDefault="004543E0" w:rsidP="00AB2A5C">
      <w:pPr>
        <w:pStyle w:val="Bullet"/>
        <w:numPr>
          <w:ilvl w:val="0"/>
          <w:numId w:val="18"/>
        </w:numPr>
      </w:pPr>
      <w:r w:rsidRPr="009660EC">
        <w:rPr>
          <w:i/>
          <w:iCs/>
        </w:rPr>
        <w:t>Deer</w:t>
      </w:r>
      <w:r w:rsidRPr="009660EC">
        <w:t xml:space="preserve"> (1.7 per cent of </w:t>
      </w:r>
      <w:r w:rsidRPr="009660EC">
        <w:rPr>
          <w:i/>
          <w:iCs/>
        </w:rPr>
        <w:t>Enteric fermentation</w:t>
      </w:r>
      <w:r w:rsidRPr="009660EC">
        <w:t>).</w:t>
      </w:r>
    </w:p>
    <w:p w14:paraId="0F41E738" w14:textId="77777777" w:rsidR="004543E0" w:rsidRPr="009660EC" w:rsidRDefault="004543E0" w:rsidP="004543E0">
      <w:pPr>
        <w:pStyle w:val="Heading5"/>
        <w:rPr>
          <w:rFonts w:cs="Calibri"/>
        </w:rPr>
      </w:pPr>
      <w:r w:rsidRPr="009660EC">
        <w:rPr>
          <w:rFonts w:cs="Calibri"/>
        </w:rPr>
        <w:t>Trends</w:t>
      </w:r>
    </w:p>
    <w:p w14:paraId="6E4FF6E7" w14:textId="77777777" w:rsidR="004543E0" w:rsidRPr="009660EC" w:rsidRDefault="004543E0" w:rsidP="004543E0">
      <w:pPr>
        <w:pStyle w:val="BodyText"/>
        <w:rPr>
          <w:rFonts w:cs="Calibri"/>
        </w:rPr>
      </w:pPr>
      <w:r w:rsidRPr="009660EC">
        <w:rPr>
          <w:rFonts w:cs="Calibri"/>
        </w:rPr>
        <w:t xml:space="preserve">Emissions from </w:t>
      </w:r>
      <w:r w:rsidRPr="009660EC">
        <w:rPr>
          <w:rFonts w:cs="Calibri"/>
          <w:i/>
          <w:iCs/>
        </w:rPr>
        <w:t xml:space="preserve">Enteric fermentation </w:t>
      </w:r>
      <w:r w:rsidRPr="009660EC">
        <w:rPr>
          <w:rFonts w:cs="Calibri"/>
        </w:rPr>
        <w:t>increased 5.4 per cent (1,481.1 kt CO</w:t>
      </w:r>
      <w:r w:rsidRPr="009660EC">
        <w:rPr>
          <w:rFonts w:cs="Calibri"/>
          <w:vertAlign w:val="subscript"/>
        </w:rPr>
        <w:t>2</w:t>
      </w:r>
      <w:r w:rsidRPr="009660EC">
        <w:rPr>
          <w:rFonts w:cs="Calibri"/>
        </w:rPr>
        <w:t xml:space="preserve">-e) between 1990 and 2020. Since 1990, there have been changes in the relative sources of emissions within the </w:t>
      </w:r>
      <w:r w:rsidRPr="009660EC">
        <w:rPr>
          <w:rFonts w:cs="Calibri"/>
          <w:i/>
          <w:iCs/>
        </w:rPr>
        <w:t>Enteric fermentation</w:t>
      </w:r>
      <w:r w:rsidRPr="009660EC">
        <w:rPr>
          <w:rFonts w:cs="Calibri"/>
        </w:rPr>
        <w:t xml:space="preserve"> category (see table 5.2.1). Large increases in CH</w:t>
      </w:r>
      <w:r w:rsidRPr="009660EC">
        <w:rPr>
          <w:rFonts w:cs="Calibri"/>
          <w:vertAlign w:val="subscript"/>
        </w:rPr>
        <w:t>4</w:t>
      </w:r>
      <w:r w:rsidRPr="009660EC">
        <w:rPr>
          <w:rFonts w:cs="Calibri"/>
        </w:rPr>
        <w:t xml:space="preserve"> emissions from </w:t>
      </w:r>
      <w:r w:rsidRPr="009660EC">
        <w:rPr>
          <w:rFonts w:cs="Calibri"/>
          <w:i/>
          <w:iCs/>
        </w:rPr>
        <w:t>Dairy cattle</w:t>
      </w:r>
      <w:r w:rsidRPr="009660EC">
        <w:rPr>
          <w:rFonts w:cs="Calibri"/>
        </w:rPr>
        <w:t xml:space="preserve"> (128.3 per cent increase in </w:t>
      </w:r>
      <w:r w:rsidRPr="009660EC">
        <w:rPr>
          <w:rFonts w:cs="Calibri"/>
          <w:i/>
          <w:iCs/>
        </w:rPr>
        <w:t>Enteric fermentation</w:t>
      </w:r>
      <w:r w:rsidRPr="009660EC">
        <w:rPr>
          <w:rFonts w:cs="Calibri"/>
        </w:rPr>
        <w:t xml:space="preserve"> emissions between 1990 and 2020) have been partially offset by decreases in emissions from </w:t>
      </w:r>
      <w:r w:rsidRPr="009660EC">
        <w:rPr>
          <w:rFonts w:cs="Calibri"/>
          <w:i/>
          <w:iCs/>
        </w:rPr>
        <w:t>Non-dairy</w:t>
      </w:r>
      <w:r w:rsidRPr="009660EC">
        <w:rPr>
          <w:rFonts w:cs="Calibri"/>
        </w:rPr>
        <w:t xml:space="preserve"> (beef) </w:t>
      </w:r>
      <w:r w:rsidRPr="009660EC">
        <w:rPr>
          <w:rFonts w:cs="Calibri"/>
          <w:i/>
          <w:iCs/>
        </w:rPr>
        <w:t>cattle</w:t>
      </w:r>
      <w:r w:rsidRPr="009660EC">
        <w:rPr>
          <w:rFonts w:cs="Calibri"/>
        </w:rPr>
        <w:t xml:space="preserve">, </w:t>
      </w:r>
      <w:r w:rsidRPr="009660EC">
        <w:rPr>
          <w:rFonts w:cs="Calibri"/>
          <w:i/>
          <w:iCs/>
        </w:rPr>
        <w:t>Sheep</w:t>
      </w:r>
      <w:r w:rsidRPr="009660EC">
        <w:rPr>
          <w:rFonts w:cs="Calibri"/>
        </w:rPr>
        <w:t xml:space="preserve"> and minor livestock species, such as </w:t>
      </w:r>
      <w:r w:rsidRPr="009660EC">
        <w:rPr>
          <w:rFonts w:cs="Calibri"/>
          <w:i/>
          <w:iCs/>
        </w:rPr>
        <w:t>Goats</w:t>
      </w:r>
      <w:r w:rsidRPr="009660EC">
        <w:rPr>
          <w:rFonts w:cs="Calibri"/>
        </w:rPr>
        <w:t xml:space="preserve">, </w:t>
      </w:r>
      <w:r w:rsidRPr="009660EC">
        <w:rPr>
          <w:rFonts w:cs="Calibri"/>
          <w:i/>
          <w:iCs/>
        </w:rPr>
        <w:t>Horses</w:t>
      </w:r>
      <w:r w:rsidRPr="009660EC">
        <w:rPr>
          <w:rFonts w:cs="Calibri"/>
        </w:rPr>
        <w:t xml:space="preserve"> and </w:t>
      </w:r>
      <w:r w:rsidRPr="009660EC">
        <w:rPr>
          <w:rFonts w:cs="Calibri"/>
          <w:i/>
          <w:iCs/>
        </w:rPr>
        <w:t>Swine</w:t>
      </w:r>
      <w:r w:rsidRPr="009660EC">
        <w:rPr>
          <w:rFonts w:cs="Calibri"/>
        </w:rPr>
        <w:t>.</w:t>
      </w:r>
    </w:p>
    <w:p w14:paraId="0CBFF887" w14:textId="77777777" w:rsidR="004543E0" w:rsidRPr="009660EC" w:rsidRDefault="004543E0" w:rsidP="004543E0">
      <w:pPr>
        <w:pStyle w:val="Table"/>
        <w:tabs>
          <w:tab w:val="left" w:pos="709"/>
        </w:tabs>
        <w:rPr>
          <w:rFonts w:cs="Calibri"/>
        </w:rPr>
      </w:pPr>
      <w:bookmarkStart w:id="677" w:name="_Toc441830868"/>
      <w:bookmarkStart w:id="678" w:name="_Toc451176082"/>
      <w:bookmarkStart w:id="679" w:name="_Toc481751508"/>
      <w:bookmarkStart w:id="680" w:name="_Toc507158598"/>
      <w:bookmarkStart w:id="681" w:name="_Toc511116732"/>
      <w:bookmarkStart w:id="682" w:name="_Toc5269472"/>
      <w:bookmarkStart w:id="683" w:name="_Toc32570913"/>
      <w:bookmarkStart w:id="684" w:name="_Toc36224548"/>
      <w:bookmarkStart w:id="685" w:name="_Toc68786434"/>
      <w:bookmarkStart w:id="686" w:name="_Toc95574069"/>
      <w:bookmarkStart w:id="687" w:name="_Toc99659242"/>
      <w:bookmarkStart w:id="688" w:name="_Toc139253918"/>
      <w:r w:rsidRPr="009660EC">
        <w:rPr>
          <w:rFonts w:cs="Calibri"/>
        </w:rPr>
        <w:t>Table 5.2.1</w:t>
      </w:r>
      <w:r w:rsidRPr="009660EC">
        <w:rPr>
          <w:rFonts w:cs="Calibri"/>
        </w:rPr>
        <w:tab/>
        <w:t>Trends and relative contribution of enteric fermentation (methane expressed in kt CO</w:t>
      </w:r>
      <w:r w:rsidRPr="009660EC">
        <w:rPr>
          <w:rFonts w:cs="Calibri"/>
          <w:vertAlign w:val="subscript"/>
        </w:rPr>
        <w:t>2</w:t>
      </w:r>
      <w:r w:rsidRPr="009660EC">
        <w:rPr>
          <w:rFonts w:cs="Calibri"/>
        </w:rPr>
        <w:t xml:space="preserve">-e) from livestock categories between 1990 and </w:t>
      </w:r>
      <w:bookmarkEnd w:id="677"/>
      <w:bookmarkEnd w:id="678"/>
      <w:bookmarkEnd w:id="679"/>
      <w:bookmarkEnd w:id="680"/>
      <w:bookmarkEnd w:id="681"/>
      <w:bookmarkEnd w:id="682"/>
      <w:bookmarkEnd w:id="683"/>
      <w:bookmarkEnd w:id="684"/>
      <w:bookmarkEnd w:id="685"/>
      <w:r w:rsidRPr="009660EC">
        <w:rPr>
          <w:rFonts w:cs="Calibri"/>
        </w:rPr>
        <w:t>2020</w:t>
      </w:r>
      <w:bookmarkEnd w:id="686"/>
      <w:bookmarkEnd w:id="687"/>
    </w:p>
    <w:tbl>
      <w:tblPr>
        <w:tblW w:w="8505" w:type="dxa"/>
        <w:tblInd w:w="113" w:type="dxa"/>
        <w:tblBorders>
          <w:top w:val="single" w:sz="4" w:space="0" w:color="44546A"/>
          <w:bottom w:val="single" w:sz="4" w:space="0" w:color="44546A"/>
          <w:insideH w:val="single" w:sz="4" w:space="0" w:color="44546A"/>
        </w:tblBorders>
        <w:tblLayout w:type="fixed"/>
        <w:tblCellMar>
          <w:left w:w="85" w:type="dxa"/>
          <w:right w:w="85" w:type="dxa"/>
        </w:tblCellMar>
        <w:tblLook w:val="04A0" w:firstRow="1" w:lastRow="0" w:firstColumn="1" w:lastColumn="0" w:noHBand="0" w:noVBand="1"/>
      </w:tblPr>
      <w:tblGrid>
        <w:gridCol w:w="1638"/>
        <w:gridCol w:w="792"/>
        <w:gridCol w:w="848"/>
        <w:gridCol w:w="755"/>
        <w:gridCol w:w="799"/>
        <w:gridCol w:w="989"/>
        <w:gridCol w:w="989"/>
        <w:gridCol w:w="837"/>
        <w:gridCol w:w="858"/>
      </w:tblGrid>
      <w:tr w:rsidR="004543E0" w:rsidRPr="009660EC" w14:paraId="4C0912C4" w14:textId="77777777" w:rsidTr="008816C0">
        <w:tc>
          <w:tcPr>
            <w:tcW w:w="1644" w:type="dxa"/>
            <w:shd w:val="clear" w:color="auto" w:fill="1B556B"/>
            <w:vAlign w:val="bottom"/>
          </w:tcPr>
          <w:p w14:paraId="3BAE0937" w14:textId="77777777" w:rsidR="004543E0" w:rsidRPr="004543E0" w:rsidRDefault="004543E0" w:rsidP="007E3239">
            <w:pPr>
              <w:pStyle w:val="TableTextBold"/>
              <w:keepNext/>
              <w:spacing w:after="0"/>
              <w:rPr>
                <w:noProof w:val="0"/>
                <w:color w:val="FFFFFF"/>
                <w:szCs w:val="16"/>
              </w:rPr>
            </w:pPr>
          </w:p>
        </w:tc>
        <w:tc>
          <w:tcPr>
            <w:tcW w:w="794" w:type="dxa"/>
            <w:gridSpan w:val="2"/>
            <w:shd w:val="clear" w:color="auto" w:fill="1B556B"/>
            <w:vAlign w:val="bottom"/>
          </w:tcPr>
          <w:p w14:paraId="1EA46956" w14:textId="77777777" w:rsidR="004543E0" w:rsidRPr="004543E0" w:rsidRDefault="004543E0" w:rsidP="007E3239">
            <w:pPr>
              <w:pStyle w:val="TableTextBold"/>
              <w:keepNext/>
              <w:tabs>
                <w:tab w:val="left" w:pos="241"/>
                <w:tab w:val="left" w:pos="1062"/>
              </w:tabs>
              <w:spacing w:after="0"/>
              <w:jc w:val="center"/>
              <w:rPr>
                <w:noProof w:val="0"/>
                <w:color w:val="FFFFFF"/>
                <w:szCs w:val="16"/>
              </w:rPr>
            </w:pPr>
            <w:r w:rsidRPr="004543E0">
              <w:rPr>
                <w:noProof w:val="0"/>
                <w:color w:val="FFFFFF"/>
                <w:szCs w:val="16"/>
              </w:rPr>
              <w:t>Emissions (kt CO</w:t>
            </w:r>
            <w:r w:rsidRPr="004543E0">
              <w:rPr>
                <w:noProof w:val="0"/>
                <w:color w:val="FFFFFF"/>
                <w:szCs w:val="16"/>
                <w:vertAlign w:val="subscript"/>
              </w:rPr>
              <w:t>2</w:t>
            </w:r>
            <w:r w:rsidRPr="004543E0">
              <w:rPr>
                <w:noProof w:val="0"/>
                <w:color w:val="FFFFFF"/>
                <w:szCs w:val="16"/>
              </w:rPr>
              <w:t xml:space="preserve">-e) </w:t>
            </w:r>
          </w:p>
        </w:tc>
        <w:tc>
          <w:tcPr>
            <w:tcW w:w="1559" w:type="dxa"/>
            <w:gridSpan w:val="2"/>
            <w:shd w:val="clear" w:color="auto" w:fill="1B556B"/>
            <w:vAlign w:val="bottom"/>
          </w:tcPr>
          <w:p w14:paraId="2469C05E" w14:textId="77777777" w:rsidR="004543E0" w:rsidRPr="004543E0" w:rsidRDefault="004543E0" w:rsidP="007E3239">
            <w:pPr>
              <w:pStyle w:val="TableTextBold"/>
              <w:keepNext/>
              <w:spacing w:after="0"/>
              <w:jc w:val="center"/>
              <w:rPr>
                <w:noProof w:val="0"/>
                <w:color w:val="FFFFFF"/>
                <w:szCs w:val="16"/>
              </w:rPr>
            </w:pPr>
            <w:r w:rsidRPr="004543E0">
              <w:rPr>
                <w:noProof w:val="0"/>
                <w:color w:val="FFFFFF"/>
                <w:szCs w:val="16"/>
              </w:rPr>
              <w:t>Change from 1990</w:t>
            </w:r>
          </w:p>
        </w:tc>
        <w:tc>
          <w:tcPr>
            <w:tcW w:w="1984" w:type="dxa"/>
            <w:gridSpan w:val="2"/>
            <w:shd w:val="clear" w:color="auto" w:fill="1B556B"/>
            <w:vAlign w:val="bottom"/>
          </w:tcPr>
          <w:p w14:paraId="08058B80" w14:textId="77777777" w:rsidR="004543E0" w:rsidRPr="004543E0" w:rsidRDefault="004543E0" w:rsidP="007E3239">
            <w:pPr>
              <w:pStyle w:val="TableTextBold"/>
              <w:keepNext/>
              <w:spacing w:after="0"/>
              <w:jc w:val="center"/>
              <w:rPr>
                <w:noProof w:val="0"/>
                <w:color w:val="FFFFFF"/>
                <w:szCs w:val="16"/>
              </w:rPr>
            </w:pPr>
            <w:r w:rsidRPr="004543E0">
              <w:rPr>
                <w:noProof w:val="0"/>
                <w:color w:val="FFFFFF"/>
                <w:szCs w:val="16"/>
              </w:rPr>
              <w:t>Share of Enteric fermentation category (%)</w:t>
            </w:r>
          </w:p>
        </w:tc>
        <w:tc>
          <w:tcPr>
            <w:tcW w:w="1701" w:type="dxa"/>
            <w:gridSpan w:val="2"/>
            <w:shd w:val="clear" w:color="auto" w:fill="1B556B"/>
            <w:vAlign w:val="bottom"/>
          </w:tcPr>
          <w:p w14:paraId="57C56D90" w14:textId="77777777" w:rsidR="004543E0" w:rsidRPr="004543E0" w:rsidRDefault="004543E0" w:rsidP="007E3239">
            <w:pPr>
              <w:pStyle w:val="TableTextBold"/>
              <w:keepNext/>
              <w:spacing w:after="0"/>
              <w:jc w:val="center"/>
              <w:rPr>
                <w:noProof w:val="0"/>
                <w:color w:val="FFFFFF"/>
                <w:szCs w:val="16"/>
              </w:rPr>
            </w:pPr>
            <w:r w:rsidRPr="004543E0">
              <w:rPr>
                <w:noProof w:val="0"/>
                <w:color w:val="FFFFFF"/>
                <w:szCs w:val="16"/>
              </w:rPr>
              <w:t>Share of total Agriculture sector (%)</w:t>
            </w:r>
          </w:p>
        </w:tc>
      </w:tr>
      <w:tr w:rsidR="004543E0" w:rsidRPr="009660EC" w14:paraId="044D4A5C" w14:textId="77777777" w:rsidTr="008816C0">
        <w:tc>
          <w:tcPr>
            <w:tcW w:w="1644" w:type="dxa"/>
            <w:shd w:val="clear" w:color="auto" w:fill="1B556B"/>
            <w:vAlign w:val="bottom"/>
          </w:tcPr>
          <w:p w14:paraId="1321C0CC" w14:textId="77777777" w:rsidR="004543E0" w:rsidRPr="004543E0" w:rsidRDefault="004543E0" w:rsidP="007E3239">
            <w:pPr>
              <w:pStyle w:val="TableTextBold"/>
              <w:keepNext/>
              <w:rPr>
                <w:noProof w:val="0"/>
                <w:color w:val="FFFFFF"/>
                <w:szCs w:val="16"/>
              </w:rPr>
            </w:pPr>
            <w:r w:rsidRPr="004543E0">
              <w:rPr>
                <w:noProof w:val="0"/>
                <w:color w:val="FFFFFF"/>
                <w:szCs w:val="16"/>
              </w:rPr>
              <w:t>Livestock category</w:t>
            </w:r>
          </w:p>
        </w:tc>
        <w:tc>
          <w:tcPr>
            <w:tcW w:w="794" w:type="dxa"/>
            <w:shd w:val="clear" w:color="auto" w:fill="1B556B"/>
            <w:vAlign w:val="bottom"/>
          </w:tcPr>
          <w:p w14:paraId="10EE128D" w14:textId="77777777" w:rsidR="004543E0" w:rsidRPr="004543E0" w:rsidRDefault="004543E0" w:rsidP="007E3239">
            <w:pPr>
              <w:pStyle w:val="TableTextBold"/>
              <w:keepNext/>
              <w:spacing w:before="0"/>
              <w:jc w:val="right"/>
              <w:rPr>
                <w:noProof w:val="0"/>
                <w:color w:val="FFFFFF"/>
                <w:szCs w:val="16"/>
              </w:rPr>
            </w:pPr>
            <w:r w:rsidRPr="004543E0">
              <w:rPr>
                <w:noProof w:val="0"/>
                <w:color w:val="FFFFFF"/>
                <w:szCs w:val="16"/>
              </w:rPr>
              <w:t>1990</w:t>
            </w:r>
          </w:p>
        </w:tc>
        <w:tc>
          <w:tcPr>
            <w:tcW w:w="851" w:type="dxa"/>
            <w:shd w:val="clear" w:color="auto" w:fill="1B556B"/>
            <w:vAlign w:val="bottom"/>
          </w:tcPr>
          <w:p w14:paraId="184A66CB" w14:textId="77777777" w:rsidR="004543E0" w:rsidRPr="004543E0" w:rsidRDefault="004543E0" w:rsidP="007E3239">
            <w:pPr>
              <w:pStyle w:val="TableTextBold"/>
              <w:keepNext/>
              <w:spacing w:before="0"/>
              <w:jc w:val="right"/>
              <w:rPr>
                <w:noProof w:val="0"/>
                <w:color w:val="FFFFFF"/>
                <w:szCs w:val="16"/>
              </w:rPr>
            </w:pPr>
            <w:r w:rsidRPr="004543E0">
              <w:rPr>
                <w:noProof w:val="0"/>
                <w:color w:val="FFFFFF"/>
                <w:szCs w:val="16"/>
              </w:rPr>
              <w:t>2020</w:t>
            </w:r>
          </w:p>
        </w:tc>
        <w:tc>
          <w:tcPr>
            <w:tcW w:w="757" w:type="dxa"/>
            <w:shd w:val="clear" w:color="auto" w:fill="1B556B"/>
            <w:vAlign w:val="bottom"/>
          </w:tcPr>
          <w:p w14:paraId="79563CBB" w14:textId="77777777" w:rsidR="004543E0" w:rsidRPr="004543E0" w:rsidRDefault="004543E0" w:rsidP="007E3239">
            <w:pPr>
              <w:pStyle w:val="TableTextBold"/>
              <w:keepNext/>
              <w:spacing w:before="0"/>
              <w:jc w:val="right"/>
              <w:rPr>
                <w:noProof w:val="0"/>
                <w:color w:val="FFFFFF"/>
                <w:szCs w:val="16"/>
              </w:rPr>
            </w:pPr>
            <w:r w:rsidRPr="004543E0">
              <w:rPr>
                <w:noProof w:val="0"/>
                <w:color w:val="FFFFFF"/>
                <w:szCs w:val="16"/>
              </w:rPr>
              <w:t>%</w:t>
            </w:r>
          </w:p>
        </w:tc>
        <w:tc>
          <w:tcPr>
            <w:tcW w:w="802" w:type="dxa"/>
            <w:shd w:val="clear" w:color="auto" w:fill="1B556B"/>
            <w:vAlign w:val="bottom"/>
          </w:tcPr>
          <w:p w14:paraId="7C64BA9B" w14:textId="77777777" w:rsidR="004543E0" w:rsidRPr="004543E0" w:rsidRDefault="004543E0" w:rsidP="007E3239">
            <w:pPr>
              <w:pStyle w:val="TableTextBold"/>
              <w:keepNext/>
              <w:spacing w:before="0"/>
              <w:jc w:val="right"/>
              <w:rPr>
                <w:noProof w:val="0"/>
                <w:color w:val="FFFFFF"/>
                <w:szCs w:val="16"/>
              </w:rPr>
            </w:pPr>
            <w:r w:rsidRPr="004543E0">
              <w:rPr>
                <w:noProof w:val="0"/>
                <w:color w:val="FFFFFF"/>
                <w:szCs w:val="16"/>
              </w:rPr>
              <w:t>kt CO</w:t>
            </w:r>
            <w:r w:rsidRPr="004543E0">
              <w:rPr>
                <w:noProof w:val="0"/>
                <w:color w:val="FFFFFF"/>
                <w:szCs w:val="16"/>
                <w:vertAlign w:val="subscript"/>
              </w:rPr>
              <w:t>2</w:t>
            </w:r>
            <w:r w:rsidRPr="004543E0">
              <w:rPr>
                <w:noProof w:val="0"/>
                <w:color w:val="FFFFFF"/>
                <w:szCs w:val="16"/>
              </w:rPr>
              <w:t>-e</w:t>
            </w:r>
          </w:p>
        </w:tc>
        <w:tc>
          <w:tcPr>
            <w:tcW w:w="992" w:type="dxa"/>
            <w:shd w:val="clear" w:color="auto" w:fill="1B556B"/>
            <w:vAlign w:val="bottom"/>
          </w:tcPr>
          <w:p w14:paraId="3F57C312" w14:textId="77777777" w:rsidR="004543E0" w:rsidRPr="004543E0" w:rsidRDefault="004543E0" w:rsidP="007E3239">
            <w:pPr>
              <w:pStyle w:val="TableTextBold"/>
              <w:keepNext/>
              <w:spacing w:before="0"/>
              <w:jc w:val="right"/>
              <w:rPr>
                <w:noProof w:val="0"/>
                <w:color w:val="FFFFFF"/>
                <w:szCs w:val="16"/>
              </w:rPr>
            </w:pPr>
            <w:r w:rsidRPr="004543E0">
              <w:rPr>
                <w:noProof w:val="0"/>
                <w:color w:val="FFFFFF"/>
                <w:szCs w:val="16"/>
              </w:rPr>
              <w:t xml:space="preserve">1990 </w:t>
            </w:r>
          </w:p>
        </w:tc>
        <w:tc>
          <w:tcPr>
            <w:tcW w:w="992" w:type="dxa"/>
            <w:shd w:val="clear" w:color="auto" w:fill="1B556B"/>
            <w:vAlign w:val="bottom"/>
          </w:tcPr>
          <w:p w14:paraId="24E35FA2" w14:textId="77777777" w:rsidR="004543E0" w:rsidRPr="004543E0" w:rsidRDefault="004543E0" w:rsidP="007E3239">
            <w:pPr>
              <w:pStyle w:val="TableTextBold"/>
              <w:keepNext/>
              <w:spacing w:before="0"/>
              <w:jc w:val="right"/>
              <w:rPr>
                <w:noProof w:val="0"/>
                <w:color w:val="FFFFFF"/>
                <w:szCs w:val="16"/>
              </w:rPr>
            </w:pPr>
            <w:r w:rsidRPr="004543E0">
              <w:rPr>
                <w:noProof w:val="0"/>
                <w:color w:val="FFFFFF"/>
                <w:szCs w:val="16"/>
              </w:rPr>
              <w:t>2020</w:t>
            </w:r>
          </w:p>
        </w:tc>
        <w:tc>
          <w:tcPr>
            <w:tcW w:w="840" w:type="dxa"/>
            <w:shd w:val="clear" w:color="auto" w:fill="1B556B"/>
            <w:vAlign w:val="bottom"/>
          </w:tcPr>
          <w:p w14:paraId="41D89860" w14:textId="77777777" w:rsidR="004543E0" w:rsidRPr="004543E0" w:rsidRDefault="004543E0" w:rsidP="007E3239">
            <w:pPr>
              <w:pStyle w:val="TableTextBold"/>
              <w:keepNext/>
              <w:spacing w:before="0"/>
              <w:jc w:val="right"/>
              <w:rPr>
                <w:noProof w:val="0"/>
                <w:color w:val="FFFFFF"/>
                <w:szCs w:val="16"/>
              </w:rPr>
            </w:pPr>
            <w:r w:rsidRPr="004543E0">
              <w:rPr>
                <w:noProof w:val="0"/>
                <w:color w:val="FFFFFF"/>
                <w:szCs w:val="16"/>
              </w:rPr>
              <w:t>1990</w:t>
            </w:r>
          </w:p>
        </w:tc>
        <w:tc>
          <w:tcPr>
            <w:tcW w:w="861" w:type="dxa"/>
            <w:shd w:val="clear" w:color="auto" w:fill="1B556B"/>
            <w:vAlign w:val="bottom"/>
          </w:tcPr>
          <w:p w14:paraId="2D5A8281" w14:textId="77777777" w:rsidR="004543E0" w:rsidRPr="004543E0" w:rsidRDefault="004543E0" w:rsidP="007E3239">
            <w:pPr>
              <w:pStyle w:val="TableTextBold"/>
              <w:keepNext/>
              <w:spacing w:before="0"/>
              <w:jc w:val="center"/>
              <w:rPr>
                <w:noProof w:val="0"/>
                <w:color w:val="FFFFFF"/>
                <w:szCs w:val="16"/>
              </w:rPr>
            </w:pPr>
            <w:r w:rsidRPr="004543E0">
              <w:rPr>
                <w:noProof w:val="0"/>
                <w:color w:val="FFFFFF"/>
                <w:szCs w:val="16"/>
              </w:rPr>
              <w:t xml:space="preserve"> 2020</w:t>
            </w:r>
          </w:p>
        </w:tc>
      </w:tr>
      <w:tr w:rsidR="004543E0" w:rsidRPr="009660EC" w14:paraId="6D6A492D" w14:textId="77777777" w:rsidTr="008816C0">
        <w:tc>
          <w:tcPr>
            <w:tcW w:w="1644" w:type="dxa"/>
            <w:shd w:val="clear" w:color="auto" w:fill="auto"/>
          </w:tcPr>
          <w:p w14:paraId="242A6771" w14:textId="77777777" w:rsidR="004543E0" w:rsidRPr="009660EC" w:rsidRDefault="004543E0" w:rsidP="007E3239">
            <w:pPr>
              <w:pStyle w:val="TableText"/>
              <w:rPr>
                <w:rFonts w:cs="Calibri"/>
                <w:szCs w:val="16"/>
              </w:rPr>
            </w:pPr>
            <w:r w:rsidRPr="009660EC">
              <w:rPr>
                <w:rFonts w:cs="Calibri"/>
                <w:szCs w:val="16"/>
              </w:rPr>
              <w:t>Dairy cattle</w:t>
            </w:r>
          </w:p>
        </w:tc>
        <w:tc>
          <w:tcPr>
            <w:tcW w:w="794" w:type="dxa"/>
            <w:shd w:val="clear" w:color="auto" w:fill="auto"/>
          </w:tcPr>
          <w:p w14:paraId="09CF207D" w14:textId="77777777" w:rsidR="004543E0" w:rsidRPr="009660EC" w:rsidRDefault="004543E0" w:rsidP="007E3239">
            <w:pPr>
              <w:pStyle w:val="TableText"/>
              <w:jc w:val="right"/>
              <w:rPr>
                <w:rFonts w:cs="Calibri"/>
                <w:szCs w:val="16"/>
              </w:rPr>
            </w:pPr>
            <w:r w:rsidRPr="009660EC">
              <w:rPr>
                <w:rFonts w:cs="Calibri"/>
                <w:szCs w:val="16"/>
              </w:rPr>
              <w:t>6,147.3</w:t>
            </w:r>
          </w:p>
        </w:tc>
        <w:tc>
          <w:tcPr>
            <w:tcW w:w="851" w:type="dxa"/>
            <w:shd w:val="clear" w:color="auto" w:fill="auto"/>
          </w:tcPr>
          <w:p w14:paraId="6A1E04FE" w14:textId="77777777" w:rsidR="004543E0" w:rsidRPr="009660EC" w:rsidRDefault="004543E0" w:rsidP="007E3239">
            <w:pPr>
              <w:pStyle w:val="TableText"/>
              <w:jc w:val="right"/>
              <w:rPr>
                <w:rFonts w:cs="Calibri"/>
                <w:szCs w:val="16"/>
              </w:rPr>
            </w:pPr>
            <w:r w:rsidRPr="009660EC">
              <w:rPr>
                <w:rFonts w:cs="Calibri"/>
                <w:szCs w:val="16"/>
              </w:rPr>
              <w:t>14,034.7</w:t>
            </w:r>
          </w:p>
        </w:tc>
        <w:tc>
          <w:tcPr>
            <w:tcW w:w="757" w:type="dxa"/>
            <w:shd w:val="clear" w:color="auto" w:fill="auto"/>
          </w:tcPr>
          <w:p w14:paraId="1CB27D36" w14:textId="77777777" w:rsidR="004543E0" w:rsidRPr="009660EC" w:rsidRDefault="004543E0" w:rsidP="007E3239">
            <w:pPr>
              <w:pStyle w:val="TableText"/>
              <w:jc w:val="right"/>
              <w:rPr>
                <w:rFonts w:cs="Calibri"/>
                <w:szCs w:val="16"/>
              </w:rPr>
            </w:pPr>
            <w:r w:rsidRPr="009660EC">
              <w:rPr>
                <w:rFonts w:cs="Calibri"/>
                <w:szCs w:val="16"/>
              </w:rPr>
              <w:t>128.3</w:t>
            </w:r>
          </w:p>
        </w:tc>
        <w:tc>
          <w:tcPr>
            <w:tcW w:w="802" w:type="dxa"/>
            <w:shd w:val="clear" w:color="auto" w:fill="auto"/>
          </w:tcPr>
          <w:p w14:paraId="067A3A8A" w14:textId="77777777" w:rsidR="004543E0" w:rsidRPr="009660EC" w:rsidRDefault="004543E0" w:rsidP="007E3239">
            <w:pPr>
              <w:pStyle w:val="TableText"/>
              <w:jc w:val="right"/>
              <w:rPr>
                <w:rFonts w:cs="Calibri"/>
                <w:szCs w:val="16"/>
              </w:rPr>
            </w:pPr>
            <w:r w:rsidRPr="009660EC">
              <w:rPr>
                <w:rFonts w:cs="Calibri"/>
                <w:szCs w:val="16"/>
              </w:rPr>
              <w:t>7,887.3</w:t>
            </w:r>
          </w:p>
        </w:tc>
        <w:tc>
          <w:tcPr>
            <w:tcW w:w="992" w:type="dxa"/>
            <w:shd w:val="clear" w:color="auto" w:fill="auto"/>
          </w:tcPr>
          <w:p w14:paraId="1A248345" w14:textId="77777777" w:rsidR="004543E0" w:rsidRPr="009660EC" w:rsidRDefault="004543E0" w:rsidP="007E3239">
            <w:pPr>
              <w:pStyle w:val="TableText"/>
              <w:jc w:val="right"/>
              <w:rPr>
                <w:rFonts w:cs="Calibri"/>
                <w:szCs w:val="16"/>
              </w:rPr>
            </w:pPr>
            <w:r w:rsidRPr="009660EC">
              <w:rPr>
                <w:rFonts w:cs="Calibri"/>
                <w:szCs w:val="16"/>
              </w:rPr>
              <w:t>22.5</w:t>
            </w:r>
          </w:p>
        </w:tc>
        <w:tc>
          <w:tcPr>
            <w:tcW w:w="992" w:type="dxa"/>
            <w:shd w:val="clear" w:color="auto" w:fill="auto"/>
          </w:tcPr>
          <w:p w14:paraId="05CCBE52" w14:textId="77777777" w:rsidR="004543E0" w:rsidRPr="009660EC" w:rsidRDefault="004543E0" w:rsidP="007E3239">
            <w:pPr>
              <w:pStyle w:val="TableText"/>
              <w:jc w:val="right"/>
              <w:rPr>
                <w:rFonts w:cs="Calibri"/>
                <w:szCs w:val="16"/>
              </w:rPr>
            </w:pPr>
            <w:r w:rsidRPr="009660EC">
              <w:rPr>
                <w:rFonts w:cs="Calibri"/>
                <w:szCs w:val="16"/>
              </w:rPr>
              <w:t>48.7</w:t>
            </w:r>
          </w:p>
        </w:tc>
        <w:tc>
          <w:tcPr>
            <w:tcW w:w="840" w:type="dxa"/>
            <w:shd w:val="clear" w:color="auto" w:fill="auto"/>
          </w:tcPr>
          <w:p w14:paraId="1AADF182" w14:textId="77777777" w:rsidR="004543E0" w:rsidRPr="009660EC" w:rsidRDefault="004543E0" w:rsidP="007E3239">
            <w:pPr>
              <w:pStyle w:val="TableText"/>
              <w:jc w:val="right"/>
              <w:rPr>
                <w:rFonts w:cs="Calibri"/>
                <w:szCs w:val="16"/>
              </w:rPr>
            </w:pPr>
            <w:r w:rsidRPr="009660EC">
              <w:rPr>
                <w:rFonts w:cs="Calibri"/>
                <w:szCs w:val="16"/>
              </w:rPr>
              <w:t>18.2</w:t>
            </w:r>
          </w:p>
        </w:tc>
        <w:tc>
          <w:tcPr>
            <w:tcW w:w="861" w:type="dxa"/>
            <w:shd w:val="clear" w:color="auto" w:fill="auto"/>
          </w:tcPr>
          <w:p w14:paraId="1E16D807" w14:textId="77777777" w:rsidR="004543E0" w:rsidRPr="009660EC" w:rsidRDefault="004543E0" w:rsidP="007E3239">
            <w:pPr>
              <w:pStyle w:val="TableText"/>
              <w:jc w:val="right"/>
              <w:rPr>
                <w:rFonts w:cs="Calibri"/>
                <w:szCs w:val="16"/>
              </w:rPr>
            </w:pPr>
            <w:r w:rsidRPr="009660EC">
              <w:rPr>
                <w:rFonts w:cs="Calibri"/>
                <w:szCs w:val="16"/>
              </w:rPr>
              <w:t>35.6</w:t>
            </w:r>
          </w:p>
        </w:tc>
      </w:tr>
      <w:tr w:rsidR="004543E0" w:rsidRPr="009660EC" w14:paraId="0FA48818" w14:textId="77777777" w:rsidTr="008816C0">
        <w:tc>
          <w:tcPr>
            <w:tcW w:w="1644" w:type="dxa"/>
            <w:shd w:val="clear" w:color="auto" w:fill="auto"/>
          </w:tcPr>
          <w:p w14:paraId="21862BE0" w14:textId="77777777" w:rsidR="004543E0" w:rsidRPr="009660EC" w:rsidRDefault="004543E0" w:rsidP="007E3239">
            <w:pPr>
              <w:pStyle w:val="TableText"/>
              <w:rPr>
                <w:rFonts w:cs="Calibri"/>
                <w:szCs w:val="16"/>
              </w:rPr>
            </w:pPr>
            <w:r w:rsidRPr="009660EC">
              <w:rPr>
                <w:rFonts w:cs="Calibri"/>
                <w:szCs w:val="16"/>
              </w:rPr>
              <w:t xml:space="preserve">Non-dairy </w:t>
            </w:r>
            <w:r w:rsidRPr="009660EC">
              <w:rPr>
                <w:rFonts w:cs="Calibri"/>
                <w:i/>
                <w:iCs/>
                <w:szCs w:val="16"/>
              </w:rPr>
              <w:t>(beef)</w:t>
            </w:r>
            <w:r w:rsidRPr="009660EC">
              <w:rPr>
                <w:rFonts w:cs="Calibri"/>
                <w:szCs w:val="16"/>
              </w:rPr>
              <w:t xml:space="preserve"> cattle</w:t>
            </w:r>
          </w:p>
        </w:tc>
        <w:tc>
          <w:tcPr>
            <w:tcW w:w="794" w:type="dxa"/>
            <w:shd w:val="clear" w:color="auto" w:fill="auto"/>
          </w:tcPr>
          <w:p w14:paraId="334DF2D6" w14:textId="77777777" w:rsidR="004543E0" w:rsidRPr="009660EC" w:rsidRDefault="004543E0" w:rsidP="007E3239">
            <w:pPr>
              <w:pStyle w:val="TableText"/>
              <w:jc w:val="right"/>
              <w:rPr>
                <w:rFonts w:cs="Calibri"/>
                <w:szCs w:val="16"/>
              </w:rPr>
            </w:pPr>
            <w:r w:rsidRPr="009660EC">
              <w:rPr>
                <w:rFonts w:cs="Calibri"/>
                <w:szCs w:val="16"/>
              </w:rPr>
              <w:t>5,950.0</w:t>
            </w:r>
          </w:p>
        </w:tc>
        <w:tc>
          <w:tcPr>
            <w:tcW w:w="851" w:type="dxa"/>
            <w:shd w:val="clear" w:color="auto" w:fill="auto"/>
          </w:tcPr>
          <w:p w14:paraId="5069DA00" w14:textId="77777777" w:rsidR="004543E0" w:rsidRPr="009660EC" w:rsidRDefault="004543E0" w:rsidP="007E3239">
            <w:pPr>
              <w:pStyle w:val="TableText"/>
              <w:jc w:val="right"/>
              <w:rPr>
                <w:rFonts w:cs="Calibri"/>
                <w:szCs w:val="16"/>
              </w:rPr>
            </w:pPr>
            <w:r w:rsidRPr="009660EC">
              <w:rPr>
                <w:rFonts w:cs="Calibri"/>
                <w:szCs w:val="16"/>
              </w:rPr>
              <w:t>5,980.9</w:t>
            </w:r>
          </w:p>
        </w:tc>
        <w:tc>
          <w:tcPr>
            <w:tcW w:w="757" w:type="dxa"/>
            <w:shd w:val="clear" w:color="auto" w:fill="auto"/>
          </w:tcPr>
          <w:p w14:paraId="07DD1F2D" w14:textId="77777777" w:rsidR="004543E0" w:rsidRPr="009660EC" w:rsidRDefault="004543E0" w:rsidP="007E3239">
            <w:pPr>
              <w:pStyle w:val="TableText"/>
              <w:jc w:val="right"/>
              <w:rPr>
                <w:rFonts w:cs="Calibri"/>
                <w:szCs w:val="16"/>
              </w:rPr>
            </w:pPr>
            <w:r w:rsidRPr="009660EC">
              <w:rPr>
                <w:rFonts w:cs="Calibri"/>
                <w:szCs w:val="16"/>
              </w:rPr>
              <w:t>0.5</w:t>
            </w:r>
          </w:p>
        </w:tc>
        <w:tc>
          <w:tcPr>
            <w:tcW w:w="802" w:type="dxa"/>
            <w:shd w:val="clear" w:color="auto" w:fill="auto"/>
          </w:tcPr>
          <w:p w14:paraId="4901A769" w14:textId="77777777" w:rsidR="004543E0" w:rsidRPr="009660EC" w:rsidRDefault="004543E0" w:rsidP="007E3239">
            <w:pPr>
              <w:pStyle w:val="TableText"/>
              <w:jc w:val="right"/>
              <w:rPr>
                <w:rFonts w:cs="Calibri"/>
                <w:szCs w:val="16"/>
              </w:rPr>
            </w:pPr>
            <w:r w:rsidRPr="009660EC">
              <w:rPr>
                <w:rFonts w:cs="Calibri"/>
                <w:szCs w:val="16"/>
              </w:rPr>
              <w:t>30.8</w:t>
            </w:r>
          </w:p>
        </w:tc>
        <w:tc>
          <w:tcPr>
            <w:tcW w:w="992" w:type="dxa"/>
            <w:shd w:val="clear" w:color="auto" w:fill="auto"/>
          </w:tcPr>
          <w:p w14:paraId="5F804B79" w14:textId="77777777" w:rsidR="004543E0" w:rsidRPr="009660EC" w:rsidRDefault="004543E0" w:rsidP="007E3239">
            <w:pPr>
              <w:pStyle w:val="TableText"/>
              <w:jc w:val="right"/>
              <w:rPr>
                <w:rFonts w:cs="Calibri"/>
                <w:szCs w:val="16"/>
              </w:rPr>
            </w:pPr>
            <w:r w:rsidRPr="009660EC">
              <w:rPr>
                <w:rFonts w:cs="Calibri"/>
                <w:szCs w:val="16"/>
              </w:rPr>
              <w:t>21.8</w:t>
            </w:r>
          </w:p>
        </w:tc>
        <w:tc>
          <w:tcPr>
            <w:tcW w:w="992" w:type="dxa"/>
            <w:shd w:val="clear" w:color="auto" w:fill="auto"/>
          </w:tcPr>
          <w:p w14:paraId="57DC431D" w14:textId="77777777" w:rsidR="004543E0" w:rsidRPr="009660EC" w:rsidRDefault="004543E0" w:rsidP="007E3239">
            <w:pPr>
              <w:pStyle w:val="TableText"/>
              <w:jc w:val="right"/>
              <w:rPr>
                <w:rFonts w:cs="Calibri"/>
                <w:szCs w:val="16"/>
              </w:rPr>
            </w:pPr>
            <w:r w:rsidRPr="009660EC">
              <w:rPr>
                <w:rFonts w:cs="Calibri"/>
                <w:szCs w:val="16"/>
              </w:rPr>
              <w:t>20.7</w:t>
            </w:r>
          </w:p>
        </w:tc>
        <w:tc>
          <w:tcPr>
            <w:tcW w:w="840" w:type="dxa"/>
            <w:shd w:val="clear" w:color="auto" w:fill="auto"/>
          </w:tcPr>
          <w:p w14:paraId="3807876D" w14:textId="77777777" w:rsidR="004543E0" w:rsidRPr="009660EC" w:rsidRDefault="004543E0" w:rsidP="007E3239">
            <w:pPr>
              <w:pStyle w:val="TableText"/>
              <w:jc w:val="right"/>
              <w:rPr>
                <w:rFonts w:cs="Calibri"/>
                <w:szCs w:val="16"/>
              </w:rPr>
            </w:pPr>
            <w:r w:rsidRPr="009660EC">
              <w:rPr>
                <w:rFonts w:cs="Calibri"/>
                <w:szCs w:val="16"/>
              </w:rPr>
              <w:t>17.6</w:t>
            </w:r>
          </w:p>
        </w:tc>
        <w:tc>
          <w:tcPr>
            <w:tcW w:w="861" w:type="dxa"/>
            <w:shd w:val="clear" w:color="auto" w:fill="auto"/>
          </w:tcPr>
          <w:p w14:paraId="13E33CEA" w14:textId="77777777" w:rsidR="004543E0" w:rsidRPr="009660EC" w:rsidRDefault="004543E0" w:rsidP="007E3239">
            <w:pPr>
              <w:pStyle w:val="TableText"/>
              <w:jc w:val="right"/>
              <w:rPr>
                <w:rFonts w:cs="Calibri"/>
                <w:szCs w:val="16"/>
              </w:rPr>
            </w:pPr>
            <w:r w:rsidRPr="009660EC">
              <w:rPr>
                <w:rFonts w:cs="Calibri"/>
                <w:szCs w:val="16"/>
              </w:rPr>
              <w:t>15.2</w:t>
            </w:r>
          </w:p>
        </w:tc>
      </w:tr>
      <w:tr w:rsidR="004543E0" w:rsidRPr="009660EC" w14:paraId="43715102" w14:textId="77777777" w:rsidTr="008816C0">
        <w:tc>
          <w:tcPr>
            <w:tcW w:w="1644" w:type="dxa"/>
            <w:shd w:val="clear" w:color="auto" w:fill="auto"/>
          </w:tcPr>
          <w:p w14:paraId="3605C534" w14:textId="77777777" w:rsidR="004543E0" w:rsidRPr="009660EC" w:rsidRDefault="004543E0" w:rsidP="007E3239">
            <w:pPr>
              <w:pStyle w:val="TableText"/>
              <w:rPr>
                <w:rFonts w:cs="Calibri"/>
                <w:szCs w:val="16"/>
              </w:rPr>
            </w:pPr>
            <w:r w:rsidRPr="009660EC">
              <w:rPr>
                <w:rFonts w:cs="Calibri"/>
                <w:szCs w:val="16"/>
              </w:rPr>
              <w:t>Sheep</w:t>
            </w:r>
          </w:p>
        </w:tc>
        <w:tc>
          <w:tcPr>
            <w:tcW w:w="794" w:type="dxa"/>
            <w:shd w:val="clear" w:color="auto" w:fill="auto"/>
          </w:tcPr>
          <w:p w14:paraId="166B367B" w14:textId="77777777" w:rsidR="004543E0" w:rsidRPr="009660EC" w:rsidRDefault="004543E0" w:rsidP="007E3239">
            <w:pPr>
              <w:pStyle w:val="TableText"/>
              <w:jc w:val="right"/>
              <w:rPr>
                <w:rFonts w:cs="Calibri"/>
                <w:szCs w:val="16"/>
              </w:rPr>
            </w:pPr>
            <w:r w:rsidRPr="009660EC">
              <w:rPr>
                <w:rFonts w:cs="Calibri"/>
                <w:szCs w:val="16"/>
              </w:rPr>
              <w:t>14,557.9</w:t>
            </w:r>
          </w:p>
        </w:tc>
        <w:tc>
          <w:tcPr>
            <w:tcW w:w="851" w:type="dxa"/>
            <w:shd w:val="clear" w:color="auto" w:fill="auto"/>
          </w:tcPr>
          <w:p w14:paraId="2A15D750" w14:textId="77777777" w:rsidR="004543E0" w:rsidRPr="009660EC" w:rsidRDefault="004543E0" w:rsidP="007E3239">
            <w:pPr>
              <w:pStyle w:val="TableText"/>
              <w:jc w:val="right"/>
              <w:rPr>
                <w:rFonts w:cs="Calibri"/>
                <w:szCs w:val="16"/>
              </w:rPr>
            </w:pPr>
            <w:r w:rsidRPr="009660EC">
              <w:rPr>
                <w:rFonts w:cs="Calibri"/>
                <w:szCs w:val="16"/>
              </w:rPr>
              <w:t>8,271.2</w:t>
            </w:r>
          </w:p>
        </w:tc>
        <w:tc>
          <w:tcPr>
            <w:tcW w:w="757" w:type="dxa"/>
            <w:shd w:val="clear" w:color="auto" w:fill="auto"/>
          </w:tcPr>
          <w:p w14:paraId="22F1EE9B" w14:textId="77777777" w:rsidR="004543E0" w:rsidRPr="009660EC" w:rsidRDefault="004543E0" w:rsidP="007E3239">
            <w:pPr>
              <w:pStyle w:val="TableText"/>
              <w:jc w:val="right"/>
              <w:rPr>
                <w:rFonts w:cs="Calibri"/>
                <w:szCs w:val="16"/>
              </w:rPr>
            </w:pPr>
            <w:r w:rsidRPr="009660EC">
              <w:rPr>
                <w:rFonts w:cs="Calibri"/>
                <w:szCs w:val="16"/>
              </w:rPr>
              <w:t>–43.2</w:t>
            </w:r>
          </w:p>
        </w:tc>
        <w:tc>
          <w:tcPr>
            <w:tcW w:w="802" w:type="dxa"/>
            <w:shd w:val="clear" w:color="auto" w:fill="auto"/>
          </w:tcPr>
          <w:p w14:paraId="365B8248" w14:textId="77777777" w:rsidR="004543E0" w:rsidRPr="009660EC" w:rsidRDefault="004543E0" w:rsidP="007E3239">
            <w:pPr>
              <w:pStyle w:val="TableText"/>
              <w:jc w:val="right"/>
              <w:rPr>
                <w:rFonts w:cs="Calibri"/>
                <w:szCs w:val="16"/>
              </w:rPr>
            </w:pPr>
            <w:r w:rsidRPr="009660EC">
              <w:rPr>
                <w:rFonts w:cs="Calibri"/>
                <w:szCs w:val="16"/>
              </w:rPr>
              <w:t>–6,286.7</w:t>
            </w:r>
          </w:p>
        </w:tc>
        <w:tc>
          <w:tcPr>
            <w:tcW w:w="992" w:type="dxa"/>
            <w:shd w:val="clear" w:color="auto" w:fill="auto"/>
          </w:tcPr>
          <w:p w14:paraId="6FA1D30E" w14:textId="77777777" w:rsidR="004543E0" w:rsidRPr="009660EC" w:rsidRDefault="004543E0" w:rsidP="007E3239">
            <w:pPr>
              <w:pStyle w:val="TableText"/>
              <w:jc w:val="right"/>
              <w:rPr>
                <w:rFonts w:cs="Calibri"/>
                <w:szCs w:val="16"/>
              </w:rPr>
            </w:pPr>
            <w:r w:rsidRPr="009660EC">
              <w:rPr>
                <w:rFonts w:cs="Calibri"/>
                <w:szCs w:val="16"/>
              </w:rPr>
              <w:t>53.2</w:t>
            </w:r>
          </w:p>
        </w:tc>
        <w:tc>
          <w:tcPr>
            <w:tcW w:w="992" w:type="dxa"/>
            <w:shd w:val="clear" w:color="auto" w:fill="auto"/>
          </w:tcPr>
          <w:p w14:paraId="2E2AA431" w14:textId="77777777" w:rsidR="004543E0" w:rsidRPr="009660EC" w:rsidRDefault="004543E0" w:rsidP="007E3239">
            <w:pPr>
              <w:pStyle w:val="TableText"/>
              <w:jc w:val="right"/>
              <w:rPr>
                <w:rFonts w:cs="Calibri"/>
                <w:szCs w:val="16"/>
              </w:rPr>
            </w:pPr>
            <w:r w:rsidRPr="009660EC">
              <w:rPr>
                <w:rFonts w:cs="Calibri"/>
                <w:szCs w:val="16"/>
              </w:rPr>
              <w:t>28.7</w:t>
            </w:r>
          </w:p>
        </w:tc>
        <w:tc>
          <w:tcPr>
            <w:tcW w:w="840" w:type="dxa"/>
            <w:shd w:val="clear" w:color="auto" w:fill="auto"/>
          </w:tcPr>
          <w:p w14:paraId="34E9B90E" w14:textId="77777777" w:rsidR="004543E0" w:rsidRPr="009660EC" w:rsidRDefault="004543E0" w:rsidP="007E3239">
            <w:pPr>
              <w:pStyle w:val="TableText"/>
              <w:jc w:val="right"/>
              <w:rPr>
                <w:rFonts w:cs="Calibri"/>
                <w:szCs w:val="16"/>
              </w:rPr>
            </w:pPr>
            <w:r w:rsidRPr="009660EC">
              <w:rPr>
                <w:rFonts w:cs="Calibri"/>
                <w:szCs w:val="16"/>
              </w:rPr>
              <w:t>43.1</w:t>
            </w:r>
          </w:p>
        </w:tc>
        <w:tc>
          <w:tcPr>
            <w:tcW w:w="861" w:type="dxa"/>
            <w:shd w:val="clear" w:color="auto" w:fill="auto"/>
          </w:tcPr>
          <w:p w14:paraId="056D0BFB" w14:textId="77777777" w:rsidR="004543E0" w:rsidRPr="009660EC" w:rsidRDefault="004543E0" w:rsidP="007E3239">
            <w:pPr>
              <w:pStyle w:val="TableText"/>
              <w:jc w:val="right"/>
              <w:rPr>
                <w:rFonts w:cs="Calibri"/>
                <w:szCs w:val="16"/>
              </w:rPr>
            </w:pPr>
            <w:r w:rsidRPr="009660EC">
              <w:rPr>
                <w:rFonts w:cs="Calibri"/>
                <w:szCs w:val="16"/>
              </w:rPr>
              <w:t>21.0</w:t>
            </w:r>
          </w:p>
        </w:tc>
      </w:tr>
      <w:tr w:rsidR="004543E0" w:rsidRPr="009660EC" w14:paraId="6E829E02" w14:textId="77777777" w:rsidTr="008816C0">
        <w:tc>
          <w:tcPr>
            <w:tcW w:w="1644" w:type="dxa"/>
            <w:shd w:val="clear" w:color="auto" w:fill="auto"/>
          </w:tcPr>
          <w:p w14:paraId="6D3D95BC" w14:textId="77777777" w:rsidR="004543E0" w:rsidRPr="009660EC" w:rsidRDefault="004543E0" w:rsidP="007E3239">
            <w:pPr>
              <w:pStyle w:val="TableText"/>
              <w:rPr>
                <w:rFonts w:cs="Calibri"/>
                <w:szCs w:val="16"/>
              </w:rPr>
            </w:pPr>
            <w:r w:rsidRPr="009660EC">
              <w:rPr>
                <w:rFonts w:cs="Calibri"/>
                <w:szCs w:val="16"/>
              </w:rPr>
              <w:t>Deer</w:t>
            </w:r>
          </w:p>
        </w:tc>
        <w:tc>
          <w:tcPr>
            <w:tcW w:w="794" w:type="dxa"/>
            <w:shd w:val="clear" w:color="auto" w:fill="auto"/>
          </w:tcPr>
          <w:p w14:paraId="6EA64F98" w14:textId="77777777" w:rsidR="004543E0" w:rsidRPr="009660EC" w:rsidRDefault="004543E0" w:rsidP="007E3239">
            <w:pPr>
              <w:pStyle w:val="TableText"/>
              <w:jc w:val="right"/>
              <w:rPr>
                <w:rFonts w:cs="Calibri"/>
                <w:szCs w:val="16"/>
              </w:rPr>
            </w:pPr>
            <w:r w:rsidRPr="009660EC">
              <w:rPr>
                <w:rFonts w:cs="Calibri"/>
                <w:szCs w:val="16"/>
              </w:rPr>
              <w:t>445.5</w:t>
            </w:r>
          </w:p>
        </w:tc>
        <w:tc>
          <w:tcPr>
            <w:tcW w:w="851" w:type="dxa"/>
            <w:shd w:val="clear" w:color="auto" w:fill="auto"/>
          </w:tcPr>
          <w:p w14:paraId="7D48759F" w14:textId="77777777" w:rsidR="004543E0" w:rsidRPr="009660EC" w:rsidRDefault="004543E0" w:rsidP="007E3239">
            <w:pPr>
              <w:pStyle w:val="TableText"/>
              <w:jc w:val="right"/>
              <w:rPr>
                <w:rFonts w:cs="Calibri"/>
                <w:szCs w:val="16"/>
              </w:rPr>
            </w:pPr>
            <w:r w:rsidRPr="009660EC">
              <w:rPr>
                <w:rFonts w:cs="Calibri"/>
                <w:szCs w:val="16"/>
              </w:rPr>
              <w:t>497.6</w:t>
            </w:r>
          </w:p>
        </w:tc>
        <w:tc>
          <w:tcPr>
            <w:tcW w:w="757" w:type="dxa"/>
            <w:shd w:val="clear" w:color="auto" w:fill="auto"/>
          </w:tcPr>
          <w:p w14:paraId="5FD55B42" w14:textId="77777777" w:rsidR="004543E0" w:rsidRPr="009660EC" w:rsidRDefault="004543E0" w:rsidP="007E3239">
            <w:pPr>
              <w:pStyle w:val="TableText"/>
              <w:jc w:val="right"/>
              <w:rPr>
                <w:rFonts w:cs="Calibri"/>
                <w:szCs w:val="16"/>
              </w:rPr>
            </w:pPr>
            <w:r w:rsidRPr="009660EC">
              <w:rPr>
                <w:rFonts w:cs="Calibri"/>
                <w:szCs w:val="16"/>
              </w:rPr>
              <w:t>11.7</w:t>
            </w:r>
          </w:p>
        </w:tc>
        <w:tc>
          <w:tcPr>
            <w:tcW w:w="802" w:type="dxa"/>
            <w:shd w:val="clear" w:color="auto" w:fill="auto"/>
          </w:tcPr>
          <w:p w14:paraId="171ACE9E" w14:textId="77777777" w:rsidR="004543E0" w:rsidRPr="009660EC" w:rsidRDefault="004543E0" w:rsidP="007E3239">
            <w:pPr>
              <w:pStyle w:val="TableText"/>
              <w:jc w:val="right"/>
              <w:rPr>
                <w:rFonts w:cs="Calibri"/>
                <w:szCs w:val="16"/>
              </w:rPr>
            </w:pPr>
            <w:r w:rsidRPr="009660EC">
              <w:rPr>
                <w:rFonts w:cs="Calibri"/>
                <w:szCs w:val="16"/>
              </w:rPr>
              <w:t>52.1</w:t>
            </w:r>
          </w:p>
        </w:tc>
        <w:tc>
          <w:tcPr>
            <w:tcW w:w="992" w:type="dxa"/>
            <w:shd w:val="clear" w:color="auto" w:fill="auto"/>
          </w:tcPr>
          <w:p w14:paraId="7A753C7E" w14:textId="77777777" w:rsidR="004543E0" w:rsidRPr="009660EC" w:rsidRDefault="004543E0" w:rsidP="007E3239">
            <w:pPr>
              <w:pStyle w:val="TableText"/>
              <w:jc w:val="right"/>
              <w:rPr>
                <w:rFonts w:cs="Calibri"/>
                <w:szCs w:val="16"/>
              </w:rPr>
            </w:pPr>
            <w:r w:rsidRPr="009660EC">
              <w:rPr>
                <w:rFonts w:cs="Calibri"/>
                <w:szCs w:val="16"/>
              </w:rPr>
              <w:t>1.6</w:t>
            </w:r>
          </w:p>
        </w:tc>
        <w:tc>
          <w:tcPr>
            <w:tcW w:w="992" w:type="dxa"/>
            <w:shd w:val="clear" w:color="auto" w:fill="auto"/>
          </w:tcPr>
          <w:p w14:paraId="7E9E9758" w14:textId="77777777" w:rsidR="004543E0" w:rsidRPr="009660EC" w:rsidRDefault="004543E0" w:rsidP="007E3239">
            <w:pPr>
              <w:pStyle w:val="TableText"/>
              <w:jc w:val="right"/>
              <w:rPr>
                <w:rFonts w:cs="Calibri"/>
                <w:szCs w:val="16"/>
              </w:rPr>
            </w:pPr>
            <w:r w:rsidRPr="009660EC">
              <w:rPr>
                <w:rFonts w:cs="Calibri"/>
                <w:szCs w:val="16"/>
              </w:rPr>
              <w:t>1.7</w:t>
            </w:r>
          </w:p>
        </w:tc>
        <w:tc>
          <w:tcPr>
            <w:tcW w:w="840" w:type="dxa"/>
            <w:shd w:val="clear" w:color="auto" w:fill="auto"/>
          </w:tcPr>
          <w:p w14:paraId="252108A0" w14:textId="77777777" w:rsidR="004543E0" w:rsidRPr="009660EC" w:rsidRDefault="004543E0" w:rsidP="007E3239">
            <w:pPr>
              <w:pStyle w:val="TableText"/>
              <w:jc w:val="right"/>
              <w:rPr>
                <w:rFonts w:cs="Calibri"/>
                <w:szCs w:val="16"/>
              </w:rPr>
            </w:pPr>
            <w:r w:rsidRPr="009660EC">
              <w:rPr>
                <w:rFonts w:cs="Calibri"/>
                <w:szCs w:val="16"/>
              </w:rPr>
              <w:t>1.3</w:t>
            </w:r>
          </w:p>
        </w:tc>
        <w:tc>
          <w:tcPr>
            <w:tcW w:w="861" w:type="dxa"/>
            <w:shd w:val="clear" w:color="auto" w:fill="auto"/>
          </w:tcPr>
          <w:p w14:paraId="7F54AD20" w14:textId="77777777" w:rsidR="004543E0" w:rsidRPr="009660EC" w:rsidRDefault="004543E0" w:rsidP="007E3239">
            <w:pPr>
              <w:pStyle w:val="TableText"/>
              <w:jc w:val="right"/>
              <w:rPr>
                <w:rFonts w:cs="Calibri"/>
                <w:szCs w:val="16"/>
              </w:rPr>
            </w:pPr>
            <w:r w:rsidRPr="009660EC">
              <w:rPr>
                <w:rFonts w:cs="Calibri"/>
                <w:szCs w:val="16"/>
              </w:rPr>
              <w:t>1.3</w:t>
            </w:r>
          </w:p>
        </w:tc>
      </w:tr>
      <w:tr w:rsidR="004543E0" w:rsidRPr="009660EC" w14:paraId="3BD3E457" w14:textId="77777777" w:rsidTr="008816C0">
        <w:tc>
          <w:tcPr>
            <w:tcW w:w="1644" w:type="dxa"/>
            <w:shd w:val="clear" w:color="auto" w:fill="auto"/>
          </w:tcPr>
          <w:p w14:paraId="23F49675" w14:textId="77777777" w:rsidR="004543E0" w:rsidRPr="009660EC" w:rsidRDefault="004543E0" w:rsidP="007E3239">
            <w:pPr>
              <w:pStyle w:val="TableText"/>
              <w:rPr>
                <w:rFonts w:cs="Calibri"/>
                <w:szCs w:val="16"/>
              </w:rPr>
            </w:pPr>
            <w:r w:rsidRPr="009660EC">
              <w:rPr>
                <w:rFonts w:cs="Calibri"/>
                <w:szCs w:val="16"/>
              </w:rPr>
              <w:t>Minor livestock</w:t>
            </w:r>
          </w:p>
        </w:tc>
        <w:tc>
          <w:tcPr>
            <w:tcW w:w="794" w:type="dxa"/>
            <w:shd w:val="clear" w:color="auto" w:fill="auto"/>
          </w:tcPr>
          <w:p w14:paraId="793CD759" w14:textId="77777777" w:rsidR="004543E0" w:rsidRPr="009660EC" w:rsidRDefault="004543E0" w:rsidP="007E3239">
            <w:pPr>
              <w:pStyle w:val="TableText"/>
              <w:jc w:val="right"/>
              <w:rPr>
                <w:rFonts w:cs="Calibri"/>
                <w:szCs w:val="16"/>
              </w:rPr>
            </w:pPr>
            <w:r w:rsidRPr="009660EC">
              <w:rPr>
                <w:rFonts w:cs="Calibri"/>
                <w:szCs w:val="16"/>
              </w:rPr>
              <w:t>249.5</w:t>
            </w:r>
          </w:p>
        </w:tc>
        <w:tc>
          <w:tcPr>
            <w:tcW w:w="851" w:type="dxa"/>
            <w:shd w:val="clear" w:color="auto" w:fill="auto"/>
          </w:tcPr>
          <w:p w14:paraId="2E1E7129" w14:textId="77777777" w:rsidR="004543E0" w:rsidRPr="009660EC" w:rsidRDefault="004543E0" w:rsidP="007E3239">
            <w:pPr>
              <w:pStyle w:val="TableText"/>
              <w:jc w:val="right"/>
              <w:rPr>
                <w:rFonts w:cs="Calibri"/>
                <w:szCs w:val="16"/>
              </w:rPr>
            </w:pPr>
            <w:r w:rsidRPr="009660EC">
              <w:rPr>
                <w:rFonts w:cs="Calibri"/>
                <w:szCs w:val="16"/>
              </w:rPr>
              <w:t>47.1</w:t>
            </w:r>
          </w:p>
        </w:tc>
        <w:tc>
          <w:tcPr>
            <w:tcW w:w="757" w:type="dxa"/>
            <w:shd w:val="clear" w:color="auto" w:fill="auto"/>
          </w:tcPr>
          <w:p w14:paraId="60E8073C" w14:textId="77777777" w:rsidR="004543E0" w:rsidRPr="009660EC" w:rsidRDefault="004543E0" w:rsidP="007E3239">
            <w:pPr>
              <w:pStyle w:val="TableText"/>
              <w:jc w:val="right"/>
              <w:rPr>
                <w:rFonts w:cs="Calibri"/>
                <w:szCs w:val="16"/>
              </w:rPr>
            </w:pPr>
            <w:r w:rsidRPr="009660EC">
              <w:rPr>
                <w:rFonts w:cs="Calibri"/>
                <w:szCs w:val="16"/>
              </w:rPr>
              <w:t>–81.1</w:t>
            </w:r>
          </w:p>
        </w:tc>
        <w:tc>
          <w:tcPr>
            <w:tcW w:w="802" w:type="dxa"/>
            <w:shd w:val="clear" w:color="auto" w:fill="auto"/>
          </w:tcPr>
          <w:p w14:paraId="406A84BB" w14:textId="77777777" w:rsidR="004543E0" w:rsidRPr="009660EC" w:rsidRDefault="004543E0" w:rsidP="007E3239">
            <w:pPr>
              <w:pStyle w:val="TableText"/>
              <w:jc w:val="right"/>
              <w:rPr>
                <w:rFonts w:cs="Calibri"/>
                <w:szCs w:val="16"/>
              </w:rPr>
            </w:pPr>
            <w:r w:rsidRPr="009660EC">
              <w:rPr>
                <w:rFonts w:cs="Calibri"/>
                <w:szCs w:val="16"/>
              </w:rPr>
              <w:t>–202.4</w:t>
            </w:r>
          </w:p>
        </w:tc>
        <w:tc>
          <w:tcPr>
            <w:tcW w:w="992" w:type="dxa"/>
            <w:shd w:val="clear" w:color="auto" w:fill="auto"/>
          </w:tcPr>
          <w:p w14:paraId="5172BE0B" w14:textId="77777777" w:rsidR="004543E0" w:rsidRPr="009660EC" w:rsidRDefault="004543E0" w:rsidP="007E3239">
            <w:pPr>
              <w:pStyle w:val="TableText"/>
              <w:jc w:val="right"/>
              <w:rPr>
                <w:rFonts w:cs="Calibri"/>
                <w:szCs w:val="16"/>
              </w:rPr>
            </w:pPr>
            <w:r w:rsidRPr="009660EC">
              <w:rPr>
                <w:rFonts w:cs="Calibri"/>
                <w:szCs w:val="16"/>
              </w:rPr>
              <w:t>0.9</w:t>
            </w:r>
          </w:p>
        </w:tc>
        <w:tc>
          <w:tcPr>
            <w:tcW w:w="992" w:type="dxa"/>
            <w:shd w:val="clear" w:color="auto" w:fill="auto"/>
          </w:tcPr>
          <w:p w14:paraId="39F18A1B" w14:textId="77777777" w:rsidR="004543E0" w:rsidRPr="009660EC" w:rsidRDefault="004543E0" w:rsidP="007E3239">
            <w:pPr>
              <w:pStyle w:val="TableText"/>
              <w:jc w:val="right"/>
              <w:rPr>
                <w:rFonts w:cs="Calibri"/>
                <w:szCs w:val="16"/>
              </w:rPr>
            </w:pPr>
            <w:r w:rsidRPr="009660EC">
              <w:rPr>
                <w:rFonts w:cs="Calibri"/>
                <w:szCs w:val="16"/>
              </w:rPr>
              <w:t>0.2</w:t>
            </w:r>
          </w:p>
        </w:tc>
        <w:tc>
          <w:tcPr>
            <w:tcW w:w="840" w:type="dxa"/>
            <w:shd w:val="clear" w:color="auto" w:fill="auto"/>
          </w:tcPr>
          <w:p w14:paraId="024C0D0C" w14:textId="77777777" w:rsidR="004543E0" w:rsidRPr="009660EC" w:rsidRDefault="004543E0" w:rsidP="007E3239">
            <w:pPr>
              <w:pStyle w:val="TableText"/>
              <w:jc w:val="right"/>
              <w:rPr>
                <w:rFonts w:cs="Calibri"/>
                <w:szCs w:val="16"/>
              </w:rPr>
            </w:pPr>
            <w:r w:rsidRPr="009660EC">
              <w:rPr>
                <w:rFonts w:cs="Calibri"/>
                <w:szCs w:val="16"/>
              </w:rPr>
              <w:t>0.7</w:t>
            </w:r>
          </w:p>
        </w:tc>
        <w:tc>
          <w:tcPr>
            <w:tcW w:w="861" w:type="dxa"/>
            <w:shd w:val="clear" w:color="auto" w:fill="auto"/>
          </w:tcPr>
          <w:p w14:paraId="3A9D33AA" w14:textId="77777777" w:rsidR="004543E0" w:rsidRPr="009660EC" w:rsidRDefault="004543E0" w:rsidP="007E3239">
            <w:pPr>
              <w:pStyle w:val="TableText"/>
              <w:jc w:val="right"/>
              <w:rPr>
                <w:rFonts w:cs="Calibri"/>
                <w:szCs w:val="16"/>
              </w:rPr>
            </w:pPr>
            <w:r w:rsidRPr="009660EC">
              <w:rPr>
                <w:rFonts w:cs="Calibri"/>
                <w:szCs w:val="16"/>
              </w:rPr>
              <w:t>0.1</w:t>
            </w:r>
          </w:p>
        </w:tc>
      </w:tr>
      <w:tr w:rsidR="004543E0" w:rsidRPr="009660EC" w14:paraId="09BC28CE" w14:textId="77777777" w:rsidTr="008816C0">
        <w:tc>
          <w:tcPr>
            <w:tcW w:w="1644" w:type="dxa"/>
            <w:shd w:val="clear" w:color="auto" w:fill="auto"/>
          </w:tcPr>
          <w:p w14:paraId="4AEBB772" w14:textId="77777777" w:rsidR="004543E0" w:rsidRPr="009660EC" w:rsidRDefault="004543E0" w:rsidP="007E3239">
            <w:pPr>
              <w:pStyle w:val="TableText"/>
              <w:rPr>
                <w:rFonts w:cs="Calibri"/>
                <w:b/>
                <w:bCs/>
                <w:color w:val="1B556B"/>
                <w:szCs w:val="16"/>
              </w:rPr>
            </w:pPr>
            <w:r w:rsidRPr="009660EC">
              <w:rPr>
                <w:rFonts w:cs="Calibri"/>
                <w:b/>
                <w:bCs/>
                <w:color w:val="1B556B"/>
                <w:szCs w:val="16"/>
              </w:rPr>
              <w:t>Total</w:t>
            </w:r>
          </w:p>
        </w:tc>
        <w:tc>
          <w:tcPr>
            <w:tcW w:w="794" w:type="dxa"/>
            <w:shd w:val="clear" w:color="auto" w:fill="auto"/>
          </w:tcPr>
          <w:p w14:paraId="4FE96216" w14:textId="77777777" w:rsidR="004543E0" w:rsidRPr="009660EC" w:rsidRDefault="004543E0" w:rsidP="007E3239">
            <w:pPr>
              <w:pStyle w:val="TableText"/>
              <w:jc w:val="right"/>
              <w:rPr>
                <w:rFonts w:cs="Calibri"/>
                <w:b/>
                <w:bCs/>
                <w:color w:val="1B556B"/>
                <w:szCs w:val="16"/>
              </w:rPr>
            </w:pPr>
            <w:r w:rsidRPr="009660EC">
              <w:rPr>
                <w:rFonts w:cs="Calibri"/>
                <w:b/>
                <w:bCs/>
                <w:color w:val="1B556B"/>
                <w:szCs w:val="16"/>
              </w:rPr>
              <w:t>27,350.4</w:t>
            </w:r>
          </w:p>
        </w:tc>
        <w:tc>
          <w:tcPr>
            <w:tcW w:w="851" w:type="dxa"/>
            <w:shd w:val="clear" w:color="auto" w:fill="auto"/>
          </w:tcPr>
          <w:p w14:paraId="4764BF62" w14:textId="77777777" w:rsidR="004543E0" w:rsidRPr="009660EC" w:rsidRDefault="004543E0" w:rsidP="007E3239">
            <w:pPr>
              <w:pStyle w:val="TableText"/>
              <w:jc w:val="right"/>
              <w:rPr>
                <w:rFonts w:cs="Calibri"/>
                <w:b/>
                <w:bCs/>
                <w:color w:val="1B556B"/>
                <w:szCs w:val="16"/>
              </w:rPr>
            </w:pPr>
            <w:r w:rsidRPr="009660EC">
              <w:rPr>
                <w:rFonts w:cs="Calibri"/>
                <w:b/>
                <w:bCs/>
                <w:color w:val="1B556B"/>
                <w:szCs w:val="16"/>
              </w:rPr>
              <w:t>28,831.5</w:t>
            </w:r>
          </w:p>
        </w:tc>
        <w:tc>
          <w:tcPr>
            <w:tcW w:w="757" w:type="dxa"/>
            <w:shd w:val="clear" w:color="auto" w:fill="auto"/>
          </w:tcPr>
          <w:p w14:paraId="7F0EE0D3" w14:textId="77777777" w:rsidR="004543E0" w:rsidRPr="009660EC" w:rsidRDefault="004543E0" w:rsidP="007E3239">
            <w:pPr>
              <w:pStyle w:val="TableText"/>
              <w:jc w:val="right"/>
              <w:rPr>
                <w:rFonts w:cs="Calibri"/>
                <w:b/>
                <w:bCs/>
                <w:color w:val="1B556B"/>
                <w:szCs w:val="16"/>
              </w:rPr>
            </w:pPr>
            <w:r w:rsidRPr="009660EC">
              <w:rPr>
                <w:rFonts w:cs="Calibri"/>
                <w:b/>
                <w:bCs/>
                <w:color w:val="1B556B"/>
                <w:szCs w:val="16"/>
              </w:rPr>
              <w:t>5.4</w:t>
            </w:r>
          </w:p>
        </w:tc>
        <w:tc>
          <w:tcPr>
            <w:tcW w:w="802" w:type="dxa"/>
            <w:shd w:val="clear" w:color="auto" w:fill="auto"/>
          </w:tcPr>
          <w:p w14:paraId="78D3F0C4" w14:textId="77777777" w:rsidR="004543E0" w:rsidRPr="009660EC" w:rsidRDefault="004543E0" w:rsidP="007E3239">
            <w:pPr>
              <w:pStyle w:val="TableText"/>
              <w:jc w:val="right"/>
              <w:rPr>
                <w:rFonts w:cs="Calibri"/>
                <w:b/>
                <w:bCs/>
                <w:color w:val="1B556B"/>
                <w:szCs w:val="16"/>
              </w:rPr>
            </w:pPr>
            <w:r w:rsidRPr="009660EC">
              <w:rPr>
                <w:rFonts w:cs="Calibri"/>
                <w:b/>
                <w:bCs/>
                <w:color w:val="1B556B"/>
                <w:szCs w:val="16"/>
              </w:rPr>
              <w:t>1,481.1</w:t>
            </w:r>
          </w:p>
        </w:tc>
        <w:tc>
          <w:tcPr>
            <w:tcW w:w="992" w:type="dxa"/>
            <w:shd w:val="clear" w:color="auto" w:fill="auto"/>
          </w:tcPr>
          <w:p w14:paraId="75C8819E" w14:textId="77777777" w:rsidR="004543E0" w:rsidRPr="009660EC" w:rsidRDefault="004543E0" w:rsidP="007E3239">
            <w:pPr>
              <w:pStyle w:val="TableText"/>
              <w:jc w:val="right"/>
              <w:rPr>
                <w:rFonts w:cs="Calibri"/>
                <w:b/>
                <w:bCs/>
                <w:color w:val="1B556B"/>
                <w:szCs w:val="16"/>
              </w:rPr>
            </w:pPr>
            <w:r w:rsidRPr="009660EC">
              <w:rPr>
                <w:rFonts w:cs="Calibri"/>
                <w:b/>
                <w:bCs/>
                <w:color w:val="1B556B"/>
                <w:szCs w:val="16"/>
              </w:rPr>
              <w:t>100</w:t>
            </w:r>
          </w:p>
        </w:tc>
        <w:tc>
          <w:tcPr>
            <w:tcW w:w="992" w:type="dxa"/>
            <w:shd w:val="clear" w:color="auto" w:fill="auto"/>
          </w:tcPr>
          <w:p w14:paraId="28217253" w14:textId="77777777" w:rsidR="004543E0" w:rsidRPr="009660EC" w:rsidRDefault="004543E0" w:rsidP="007E3239">
            <w:pPr>
              <w:pStyle w:val="TableText"/>
              <w:jc w:val="right"/>
              <w:rPr>
                <w:rFonts w:cs="Calibri"/>
                <w:b/>
                <w:bCs/>
                <w:color w:val="1B556B"/>
                <w:szCs w:val="16"/>
              </w:rPr>
            </w:pPr>
            <w:r w:rsidRPr="009660EC">
              <w:rPr>
                <w:rFonts w:cs="Calibri"/>
                <w:b/>
                <w:bCs/>
                <w:color w:val="1B556B"/>
                <w:szCs w:val="16"/>
              </w:rPr>
              <w:t>100</w:t>
            </w:r>
          </w:p>
        </w:tc>
        <w:tc>
          <w:tcPr>
            <w:tcW w:w="840" w:type="dxa"/>
            <w:shd w:val="clear" w:color="auto" w:fill="auto"/>
          </w:tcPr>
          <w:p w14:paraId="262BB198" w14:textId="77777777" w:rsidR="004543E0" w:rsidRPr="009660EC" w:rsidRDefault="004543E0" w:rsidP="007E3239">
            <w:pPr>
              <w:pStyle w:val="TableText"/>
              <w:jc w:val="right"/>
              <w:rPr>
                <w:rFonts w:cs="Calibri"/>
                <w:b/>
                <w:bCs/>
                <w:color w:val="1B556B"/>
                <w:szCs w:val="16"/>
              </w:rPr>
            </w:pPr>
            <w:r w:rsidRPr="009660EC">
              <w:rPr>
                <w:rFonts w:cs="Calibri"/>
                <w:b/>
                <w:bCs/>
                <w:color w:val="1B556B"/>
                <w:szCs w:val="16"/>
              </w:rPr>
              <w:t>80.9</w:t>
            </w:r>
          </w:p>
        </w:tc>
        <w:tc>
          <w:tcPr>
            <w:tcW w:w="861" w:type="dxa"/>
            <w:shd w:val="clear" w:color="auto" w:fill="auto"/>
          </w:tcPr>
          <w:p w14:paraId="7548ED15" w14:textId="77777777" w:rsidR="004543E0" w:rsidRPr="009660EC" w:rsidRDefault="004543E0" w:rsidP="007E3239">
            <w:pPr>
              <w:pStyle w:val="TableText"/>
              <w:jc w:val="right"/>
              <w:rPr>
                <w:rFonts w:cs="Calibri"/>
                <w:b/>
                <w:bCs/>
                <w:color w:val="1B556B"/>
                <w:szCs w:val="16"/>
              </w:rPr>
            </w:pPr>
            <w:r w:rsidRPr="009660EC">
              <w:rPr>
                <w:rFonts w:cs="Calibri"/>
                <w:b/>
                <w:bCs/>
                <w:color w:val="1B556B"/>
                <w:szCs w:val="16"/>
              </w:rPr>
              <w:t>73.1</w:t>
            </w:r>
          </w:p>
        </w:tc>
      </w:tr>
    </w:tbl>
    <w:p w14:paraId="12762927" w14:textId="77777777" w:rsidR="004543E0" w:rsidRPr="009660EC" w:rsidRDefault="004543E0" w:rsidP="004543E0">
      <w:pPr>
        <w:pStyle w:val="Noteundertable"/>
        <w:rPr>
          <w:rFonts w:cs="Calibri"/>
        </w:rPr>
      </w:pPr>
      <w:r w:rsidRPr="009660EC">
        <w:rPr>
          <w:rFonts w:cs="Calibri"/>
          <w:b/>
          <w:bCs/>
        </w:rPr>
        <w:t>Note</w:t>
      </w:r>
      <w:r w:rsidRPr="009660EC">
        <w:rPr>
          <w:rFonts w:cs="Calibri"/>
        </w:rPr>
        <w:t>:</w:t>
      </w:r>
      <w:r w:rsidRPr="009660EC">
        <w:rPr>
          <w:rFonts w:cs="Calibri"/>
        </w:rPr>
        <w:tab/>
        <w:t>Percentages presented are calculated from unrounded values.</w:t>
      </w:r>
    </w:p>
    <w:p w14:paraId="5A156720" w14:textId="77777777" w:rsidR="004543E0" w:rsidRPr="009660EC" w:rsidRDefault="004543E0" w:rsidP="004543E0">
      <w:pPr>
        <w:pStyle w:val="Heading3"/>
      </w:pPr>
      <w:bookmarkStart w:id="689" w:name="_Toc32570652"/>
      <w:r w:rsidRPr="009660EC">
        <w:t>5.2.2</w:t>
      </w:r>
      <w:r w:rsidRPr="009660EC">
        <w:tab/>
        <w:t>Methodological issues</w:t>
      </w:r>
      <w:bookmarkEnd w:id="688"/>
      <w:bookmarkEnd w:id="689"/>
      <w:r w:rsidRPr="009660EC">
        <w:t xml:space="preserve"> </w:t>
      </w:r>
    </w:p>
    <w:p w14:paraId="02222C0B" w14:textId="77777777" w:rsidR="004543E0" w:rsidRPr="009660EC" w:rsidRDefault="004543E0" w:rsidP="004543E0">
      <w:pPr>
        <w:pStyle w:val="Heading4"/>
        <w:spacing w:before="160"/>
      </w:pPr>
      <w:r w:rsidRPr="009660EC">
        <w:t>Emissions from Non-dairy (beef) cattle, Dairy cattle and deer</w:t>
      </w:r>
    </w:p>
    <w:p w14:paraId="7400474F" w14:textId="77777777" w:rsidR="004543E0" w:rsidRPr="009660EC" w:rsidRDefault="004543E0" w:rsidP="004543E0">
      <w:pPr>
        <w:pStyle w:val="BodyText"/>
        <w:rPr>
          <w:rFonts w:cs="Calibri"/>
        </w:rPr>
      </w:pPr>
      <w:r w:rsidRPr="009660EC">
        <w:rPr>
          <w:rFonts w:cs="Calibri"/>
        </w:rPr>
        <w:t>The total amount of enteric CH</w:t>
      </w:r>
      <w:r w:rsidRPr="009660EC">
        <w:rPr>
          <w:rFonts w:cs="Calibri"/>
          <w:vertAlign w:val="subscript"/>
        </w:rPr>
        <w:t>4</w:t>
      </w:r>
      <w:r w:rsidRPr="009660EC">
        <w:rPr>
          <w:rFonts w:cs="Calibri"/>
        </w:rPr>
        <w:t xml:space="preserve"> emitted by </w:t>
      </w:r>
      <w:r w:rsidRPr="009660EC">
        <w:rPr>
          <w:rFonts w:cs="Calibri"/>
          <w:i/>
          <w:iCs/>
        </w:rPr>
        <w:t xml:space="preserve">Non-dairy </w:t>
      </w:r>
      <w:r w:rsidRPr="009660EC">
        <w:rPr>
          <w:rFonts w:cs="Calibri"/>
        </w:rPr>
        <w:t>(beef)</w:t>
      </w:r>
      <w:r w:rsidRPr="009660EC">
        <w:rPr>
          <w:rFonts w:cs="Calibri"/>
          <w:i/>
          <w:iCs/>
        </w:rPr>
        <w:t xml:space="preserve"> cattle, Dairy cattle</w:t>
      </w:r>
      <w:r w:rsidRPr="009660EC">
        <w:rPr>
          <w:rFonts w:cs="Calibri"/>
        </w:rPr>
        <w:t xml:space="preserve"> and </w:t>
      </w:r>
      <w:r w:rsidRPr="009660EC">
        <w:rPr>
          <w:rFonts w:cs="Calibri"/>
          <w:i/>
          <w:iCs/>
        </w:rPr>
        <w:t>Deer</w:t>
      </w:r>
      <w:r w:rsidRPr="009660EC">
        <w:rPr>
          <w:rFonts w:cs="Calibri"/>
        </w:rPr>
        <w:t xml:space="preserve"> is calculated using a CH</w:t>
      </w:r>
      <w:r w:rsidRPr="009660EC">
        <w:rPr>
          <w:rFonts w:cs="Calibri"/>
          <w:vertAlign w:val="subscript"/>
        </w:rPr>
        <w:t>4</w:t>
      </w:r>
      <w:r w:rsidRPr="009660EC">
        <w:rPr>
          <w:rFonts w:cs="Calibri"/>
        </w:rPr>
        <w:t xml:space="preserve"> conversion factor for emissions per unit of dry matter feed intake in kilograms of DMI per livestock category (see figure 5.2.1). The enhanced livestock population characterisation and DMI per head is calculated by New Zealand’s Tier 2 inventory model (see section 5.1.3).</w:t>
      </w:r>
      <w:r w:rsidRPr="009660EC">
        <w:rPr>
          <w:rFonts w:cs="Calibri"/>
          <w:i/>
        </w:rPr>
        <w:t xml:space="preserve"> </w:t>
      </w:r>
      <w:r w:rsidRPr="009660EC">
        <w:rPr>
          <w:rFonts w:cs="Calibri"/>
        </w:rPr>
        <w:t>A more complex algorithm has been used to calculate enteric CH</w:t>
      </w:r>
      <w:r w:rsidRPr="009660EC">
        <w:rPr>
          <w:rFonts w:cs="Calibri"/>
          <w:vertAlign w:val="subscript"/>
        </w:rPr>
        <w:t>4</w:t>
      </w:r>
      <w:r w:rsidRPr="009660EC">
        <w:rPr>
          <w:rFonts w:cs="Calibri"/>
        </w:rPr>
        <w:t xml:space="preserve"> emissions from sheep and is discussed in the next section.</w:t>
      </w:r>
    </w:p>
    <w:p w14:paraId="49BC8D13" w14:textId="5FDD1A61" w:rsidR="004543E0" w:rsidRPr="009660EC" w:rsidRDefault="004543E0" w:rsidP="004543E0">
      <w:pPr>
        <w:pStyle w:val="Figure"/>
      </w:pPr>
      <w:bookmarkStart w:id="690" w:name="_Toc447275695"/>
      <w:bookmarkStart w:id="691" w:name="_Toc481752013"/>
      <w:bookmarkStart w:id="692" w:name="_Toc507158472"/>
      <w:bookmarkStart w:id="693" w:name="_Toc511116963"/>
      <w:bookmarkStart w:id="694" w:name="_Toc5269693"/>
      <w:bookmarkStart w:id="695" w:name="_Toc32570964"/>
      <w:bookmarkStart w:id="696" w:name="_Toc36292794"/>
      <w:bookmarkStart w:id="697" w:name="_Toc68786659"/>
      <w:bookmarkStart w:id="698" w:name="_Toc95574120"/>
      <w:bookmarkStart w:id="699" w:name="_Toc99696039"/>
      <w:bookmarkStart w:id="700" w:name="_Toc288316894"/>
      <w:bookmarkStart w:id="701" w:name="_Toc352505149"/>
      <w:r w:rsidRPr="009660EC">
        <w:lastRenderedPageBreak/>
        <w:t>Figure 5.2.1</w:t>
      </w:r>
      <w:r w:rsidRPr="009660EC">
        <w:tab/>
        <w:t>Schematic diagram showing how New Zealand’s emissions from enteric fermentation for</w:t>
      </w:r>
      <w:r w:rsidR="00E402B6">
        <w:t> </w:t>
      </w:r>
      <w:r w:rsidRPr="009660EC">
        <w:t>cattle and deer are calculated</w:t>
      </w:r>
      <w:bookmarkEnd w:id="690"/>
      <w:bookmarkEnd w:id="691"/>
      <w:bookmarkEnd w:id="692"/>
      <w:bookmarkEnd w:id="693"/>
      <w:bookmarkEnd w:id="694"/>
      <w:bookmarkEnd w:id="695"/>
      <w:bookmarkEnd w:id="696"/>
      <w:bookmarkEnd w:id="697"/>
      <w:bookmarkEnd w:id="698"/>
      <w:bookmarkEnd w:id="699"/>
    </w:p>
    <w:p w14:paraId="617CE78B" w14:textId="77777777" w:rsidR="004543E0" w:rsidRPr="009660EC" w:rsidRDefault="004543E0" w:rsidP="004543E0">
      <w:pPr>
        <w:pStyle w:val="BodyText"/>
        <w:jc w:val="center"/>
        <w:rPr>
          <w:rFonts w:cs="Calibri"/>
        </w:rPr>
      </w:pPr>
      <w:r w:rsidRPr="009660EC">
        <w:rPr>
          <w:rFonts w:eastAsia="Calibri" w:cs="Calibri"/>
        </w:rPr>
        <w:object w:dxaOrig="17777" w:dyaOrig="9203" w14:anchorId="61C91C4C">
          <v:shape id="_x0000_i1081" type="#_x0000_t75" style="width:388.45pt;height:210.15pt" o:ole="">
            <v:imagedata r:id="rId118" o:title="" cropright="6980f"/>
          </v:shape>
          <o:OLEObject Type="Embed" ProgID="Visio.Drawing.15" ShapeID="_x0000_i1081" DrawAspect="Content" ObjectID="_1710830387" r:id="rId119"/>
        </w:object>
      </w:r>
    </w:p>
    <w:bookmarkEnd w:id="700"/>
    <w:bookmarkEnd w:id="701"/>
    <w:p w14:paraId="0FCBB0F1" w14:textId="77777777" w:rsidR="004543E0" w:rsidRPr="009660EC" w:rsidRDefault="004543E0" w:rsidP="004543E0">
      <w:pPr>
        <w:pStyle w:val="Noteundertable"/>
        <w:rPr>
          <w:rFonts w:cs="Calibri"/>
        </w:rPr>
      </w:pPr>
      <w:r w:rsidRPr="009660EC">
        <w:rPr>
          <w:rFonts w:cs="Calibri"/>
          <w:b/>
          <w:bCs/>
        </w:rPr>
        <w:t>Note:</w:t>
      </w:r>
      <w:r w:rsidRPr="009660EC">
        <w:rPr>
          <w:rFonts w:cs="Calibri"/>
        </w:rPr>
        <w:t xml:space="preserve"> </w:t>
      </w:r>
      <w:r w:rsidRPr="009660EC">
        <w:rPr>
          <w:rFonts w:cs="Calibri"/>
        </w:rPr>
        <w:tab/>
        <w:t>CH</w:t>
      </w:r>
      <w:r w:rsidRPr="009660EC">
        <w:rPr>
          <w:rFonts w:cs="Calibri"/>
          <w:vertAlign w:val="subscript"/>
        </w:rPr>
        <w:t>4</w:t>
      </w:r>
      <w:r w:rsidRPr="009660EC">
        <w:rPr>
          <w:rFonts w:cs="Calibri"/>
        </w:rPr>
        <w:t xml:space="preserve"> = methane; DMI = dry-matter intake; GEI = gross energy intake.</w:t>
      </w:r>
    </w:p>
    <w:p w14:paraId="144FC12E" w14:textId="77777777" w:rsidR="004543E0" w:rsidRPr="009660EC" w:rsidRDefault="004543E0" w:rsidP="004543E0">
      <w:pPr>
        <w:pStyle w:val="BodyText"/>
      </w:pPr>
      <w:r w:rsidRPr="009660EC">
        <w:t>The equation for the total production of enteric CH</w:t>
      </w:r>
      <w:r w:rsidRPr="009660EC">
        <w:rPr>
          <w:vertAlign w:val="subscript"/>
        </w:rPr>
        <w:t>4</w:t>
      </w:r>
      <w:r w:rsidRPr="009660EC">
        <w:t xml:space="preserve"> for cattle and deer is:</w:t>
      </w:r>
    </w:p>
    <w:bookmarkStart w:id="702" w:name="_MON_1545052669"/>
    <w:bookmarkEnd w:id="702"/>
    <w:p w14:paraId="52B2BAF5" w14:textId="77777777" w:rsidR="004543E0" w:rsidRPr="009660EC" w:rsidRDefault="004543E0" w:rsidP="004543E0">
      <w:pPr>
        <w:pStyle w:val="BodyText"/>
        <w:spacing w:after="0"/>
        <w:jc w:val="center"/>
        <w:rPr>
          <w:rFonts w:cs="Calibri"/>
        </w:rPr>
      </w:pPr>
      <w:r w:rsidRPr="009660EC">
        <w:rPr>
          <w:rFonts w:cs="Calibri"/>
        </w:rPr>
        <w:object w:dxaOrig="6506" w:dyaOrig="848" w14:anchorId="7B4F7522">
          <v:shape id="_x0000_i1082" type="#_x0000_t75" style="width:322.35pt;height:43.55pt" o:ole="">
            <v:imagedata r:id="rId120" o:title=""/>
          </v:shape>
          <o:OLEObject Type="Embed" ProgID="Word.Document.12" ShapeID="_x0000_i1082" DrawAspect="Content" ObjectID="_1710830388" r:id="rId121">
            <o:FieldCodes>\s</o:FieldCodes>
          </o:OLEObject>
        </w:object>
      </w:r>
    </w:p>
    <w:p w14:paraId="2DBB1A27" w14:textId="77777777" w:rsidR="004543E0" w:rsidRPr="009660EC" w:rsidRDefault="004543E0" w:rsidP="004543E0">
      <w:pPr>
        <w:pStyle w:val="BodyText"/>
        <w:keepNext/>
        <w:spacing w:after="0"/>
        <w:ind w:left="964" w:hanging="964"/>
        <w:rPr>
          <w:rFonts w:cs="Calibri"/>
        </w:rPr>
      </w:pPr>
      <w:r w:rsidRPr="009660EC">
        <w:rPr>
          <w:rFonts w:cs="Calibri"/>
        </w:rPr>
        <w:t xml:space="preserve">Where: </w:t>
      </w:r>
      <w:r w:rsidRPr="009660EC">
        <w:rPr>
          <w:rFonts w:cs="Calibri"/>
        </w:rPr>
        <w:tab/>
        <w:t>CH</w:t>
      </w:r>
      <w:r w:rsidRPr="009660EC">
        <w:rPr>
          <w:rFonts w:cs="Calibri"/>
          <w:vertAlign w:val="subscript"/>
        </w:rPr>
        <w:t>4-enteric</w:t>
      </w:r>
      <w:r w:rsidRPr="009660EC">
        <w:rPr>
          <w:rFonts w:cs="Calibri"/>
        </w:rPr>
        <w:t xml:space="preserve"> is the methane from enteric fermentation (kg CH</w:t>
      </w:r>
      <w:r w:rsidRPr="009660EC">
        <w:rPr>
          <w:rFonts w:cs="Calibri"/>
          <w:vertAlign w:val="subscript"/>
        </w:rPr>
        <w:t>4</w:t>
      </w:r>
      <w:r w:rsidRPr="009660EC">
        <w:rPr>
          <w:rFonts w:cs="Calibri"/>
        </w:rPr>
        <w:t>/year)</w:t>
      </w:r>
    </w:p>
    <w:p w14:paraId="7DE71924" w14:textId="77777777" w:rsidR="004543E0" w:rsidRPr="009660EC" w:rsidRDefault="004543E0" w:rsidP="004543E0">
      <w:pPr>
        <w:pStyle w:val="BodyText"/>
        <w:keepNext/>
        <w:spacing w:before="80" w:after="0"/>
        <w:ind w:left="964" w:hanging="964"/>
        <w:rPr>
          <w:rFonts w:cs="Calibri"/>
        </w:rPr>
      </w:pPr>
      <w:r w:rsidRPr="009660EC">
        <w:rPr>
          <w:rFonts w:cs="Calibri"/>
        </w:rPr>
        <w:tab/>
        <w:t xml:space="preserve">Livestock type is cattle or deer </w:t>
      </w:r>
    </w:p>
    <w:p w14:paraId="25BC6527" w14:textId="77777777" w:rsidR="004543E0" w:rsidRPr="009660EC" w:rsidRDefault="004543E0" w:rsidP="004543E0">
      <w:pPr>
        <w:pStyle w:val="BodyText"/>
        <w:keepNext/>
        <w:spacing w:before="80" w:after="0"/>
        <w:ind w:left="964" w:hanging="964"/>
        <w:rPr>
          <w:rFonts w:cs="Calibri"/>
        </w:rPr>
      </w:pPr>
      <w:r w:rsidRPr="009660EC">
        <w:rPr>
          <w:rFonts w:cs="Calibri"/>
        </w:rPr>
        <w:tab/>
        <w:t>n is the population of each livestock category (head)</w:t>
      </w:r>
    </w:p>
    <w:p w14:paraId="4781525F" w14:textId="77777777" w:rsidR="004543E0" w:rsidRPr="009660EC" w:rsidRDefault="004543E0" w:rsidP="004543E0">
      <w:pPr>
        <w:pStyle w:val="BodyText"/>
        <w:keepNext/>
        <w:spacing w:before="80" w:after="0"/>
        <w:ind w:left="964" w:hanging="964"/>
        <w:rPr>
          <w:rFonts w:cs="Calibri"/>
        </w:rPr>
      </w:pPr>
      <w:r w:rsidRPr="009660EC">
        <w:rPr>
          <w:rFonts w:cs="Calibri"/>
        </w:rPr>
        <w:tab/>
        <w:t>DMI is the dry-matter intake (kg dry matter/head/year), and</w:t>
      </w:r>
    </w:p>
    <w:p w14:paraId="4741F21C" w14:textId="77777777" w:rsidR="004543E0" w:rsidRPr="009660EC" w:rsidRDefault="004543E0" w:rsidP="004543E0">
      <w:pPr>
        <w:pStyle w:val="BodyText"/>
        <w:keepNext/>
        <w:spacing w:before="80"/>
        <w:ind w:left="964" w:hanging="964"/>
        <w:rPr>
          <w:rFonts w:cs="Calibri"/>
        </w:rPr>
      </w:pPr>
      <w:r w:rsidRPr="009660EC">
        <w:rPr>
          <w:rFonts w:cs="Calibri"/>
        </w:rPr>
        <w:tab/>
        <w:t>CH</w:t>
      </w:r>
      <w:r w:rsidRPr="009660EC">
        <w:rPr>
          <w:rFonts w:cs="Calibri"/>
          <w:vertAlign w:val="subscript"/>
        </w:rPr>
        <w:t>4</w:t>
      </w:r>
      <w:r w:rsidRPr="009660EC">
        <w:rPr>
          <w:rFonts w:cs="Calibri"/>
        </w:rPr>
        <w:t xml:space="preserve"> conversion rate is the CH</w:t>
      </w:r>
      <w:r w:rsidRPr="009660EC">
        <w:rPr>
          <w:rFonts w:cs="Calibri"/>
          <w:vertAlign w:val="subscript"/>
        </w:rPr>
        <w:t>4</w:t>
      </w:r>
      <w:r w:rsidRPr="009660EC">
        <w:rPr>
          <w:rFonts w:cs="Calibri"/>
        </w:rPr>
        <w:t xml:space="preserve"> emissions per unit of feed intake (g CH</w:t>
      </w:r>
      <w:r w:rsidRPr="009660EC">
        <w:rPr>
          <w:rFonts w:cs="Calibri"/>
          <w:vertAlign w:val="subscript"/>
        </w:rPr>
        <w:t>4</w:t>
      </w:r>
      <w:r w:rsidRPr="009660EC">
        <w:rPr>
          <w:rFonts w:cs="Calibri"/>
        </w:rPr>
        <w:t>/kg DMI) (see table 5.2.2).</w:t>
      </w:r>
    </w:p>
    <w:p w14:paraId="47F1EFB7" w14:textId="77777777" w:rsidR="004543E0" w:rsidRPr="009660EC" w:rsidRDefault="004543E0" w:rsidP="004543E0">
      <w:pPr>
        <w:pStyle w:val="Heading4"/>
      </w:pPr>
      <w:r w:rsidRPr="009660EC">
        <w:t>Emissions from sheep</w:t>
      </w:r>
    </w:p>
    <w:p w14:paraId="27862DA0" w14:textId="77777777" w:rsidR="004543E0" w:rsidRPr="009660EC" w:rsidRDefault="004543E0" w:rsidP="004543E0">
      <w:pPr>
        <w:pStyle w:val="BodyText"/>
        <w:rPr>
          <w:rFonts w:cs="Calibri"/>
        </w:rPr>
      </w:pPr>
      <w:r w:rsidRPr="009660EC">
        <w:rPr>
          <w:rFonts w:cs="Calibri"/>
        </w:rPr>
        <w:t>Enteric CH</w:t>
      </w:r>
      <w:r w:rsidRPr="009660EC">
        <w:rPr>
          <w:rFonts w:cs="Calibri"/>
          <w:vertAlign w:val="subscript"/>
        </w:rPr>
        <w:t>4</w:t>
      </w:r>
      <w:r w:rsidRPr="009660EC">
        <w:rPr>
          <w:rFonts w:cs="Calibri"/>
        </w:rPr>
        <w:t xml:space="preserve"> emissions from S</w:t>
      </w:r>
      <w:r w:rsidRPr="009660EC">
        <w:rPr>
          <w:rFonts w:cs="Calibri"/>
          <w:i/>
          <w:iCs/>
        </w:rPr>
        <w:t>heep</w:t>
      </w:r>
      <w:r w:rsidRPr="009660EC">
        <w:rPr>
          <w:rFonts w:cs="Calibri"/>
        </w:rPr>
        <w:t xml:space="preserve"> are calculated using a methodology outlined in a peer reviewed paper published by Swainson et al. (2016). This paper analysed a set of experiments where sheep were fed pasture of varying amounts and quality, and subsequent CH</w:t>
      </w:r>
      <w:r w:rsidRPr="009660EC">
        <w:rPr>
          <w:rFonts w:cs="Calibri"/>
          <w:vertAlign w:val="subscript"/>
        </w:rPr>
        <w:t>4</w:t>
      </w:r>
      <w:r w:rsidRPr="009660EC">
        <w:rPr>
          <w:rFonts w:cs="Calibri"/>
        </w:rPr>
        <w:t xml:space="preserve"> emissions were measured using respiration chambers, the benchmark for measuring CH</w:t>
      </w:r>
      <w:r w:rsidRPr="009660EC">
        <w:rPr>
          <w:rFonts w:cs="Calibri"/>
          <w:vertAlign w:val="subscript"/>
        </w:rPr>
        <w:t>4</w:t>
      </w:r>
      <w:r w:rsidRPr="009660EC">
        <w:rPr>
          <w:rFonts w:cs="Calibri"/>
        </w:rPr>
        <w:t xml:space="preserve"> emissions from livestock. The study confirmed that DMI alone has the largest influence on CH</w:t>
      </w:r>
      <w:r w:rsidRPr="009660EC">
        <w:rPr>
          <w:rFonts w:cs="Calibri"/>
          <w:vertAlign w:val="subscript"/>
        </w:rPr>
        <w:t>4</w:t>
      </w:r>
      <w:r w:rsidRPr="009660EC">
        <w:rPr>
          <w:rFonts w:cs="Calibri"/>
        </w:rPr>
        <w:t xml:space="preserve"> emissions and that pasture quality (as measured by ME content) has a small but statistically significant effect on emissions from sheep less than one year of age.</w:t>
      </w:r>
    </w:p>
    <w:p w14:paraId="61912D69" w14:textId="77777777" w:rsidR="004543E0" w:rsidRPr="009660EC" w:rsidRDefault="004543E0" w:rsidP="004543E0">
      <w:pPr>
        <w:pStyle w:val="BodyText"/>
        <w:rPr>
          <w:rFonts w:cs="Calibri"/>
        </w:rPr>
      </w:pPr>
      <w:r w:rsidRPr="009660EC">
        <w:rPr>
          <w:rFonts w:cs="Calibri"/>
        </w:rPr>
        <w:t>Swainson and colleagues concluded that two log-transformed linear regressions (one for sheep less than one year of age and one for sheep greater than one year of age) provided the best fit for the data and recommended that these equations be used in the National Inventory Report.</w:t>
      </w:r>
      <w:r w:rsidRPr="009660EC" w:rsidDel="00970856">
        <w:rPr>
          <w:rFonts w:cs="Calibri"/>
        </w:rPr>
        <w:t xml:space="preserve"> </w:t>
      </w:r>
    </w:p>
    <w:p w14:paraId="198810A1" w14:textId="77777777" w:rsidR="004543E0" w:rsidRPr="009660EC" w:rsidRDefault="004543E0" w:rsidP="004543E0">
      <w:pPr>
        <w:pStyle w:val="BodyText"/>
        <w:keepNext/>
        <w:spacing w:after="60"/>
        <w:rPr>
          <w:rFonts w:cs="Calibri"/>
        </w:rPr>
      </w:pPr>
      <w:r w:rsidRPr="009660EC">
        <w:rPr>
          <w:rFonts w:cs="Calibri"/>
        </w:rPr>
        <w:lastRenderedPageBreak/>
        <w:t>The equation</w:t>
      </w:r>
      <w:r w:rsidRPr="009660EC">
        <w:rPr>
          <w:rStyle w:val="FootnoteReference"/>
          <w:rFonts w:cs="Calibri"/>
        </w:rPr>
        <w:footnoteReference w:id="41"/>
      </w:r>
      <w:r w:rsidRPr="009660EC">
        <w:rPr>
          <w:rFonts w:cs="Calibri"/>
        </w:rPr>
        <w:t xml:space="preserve"> for the total production of enteric CH</w:t>
      </w:r>
      <w:r w:rsidRPr="009660EC">
        <w:rPr>
          <w:rFonts w:cs="Calibri"/>
          <w:vertAlign w:val="subscript"/>
        </w:rPr>
        <w:t>4</w:t>
      </w:r>
      <w:r w:rsidRPr="009660EC">
        <w:rPr>
          <w:rFonts w:cs="Calibri"/>
        </w:rPr>
        <w:t xml:space="preserve"> for sheep less than one year of age is:</w:t>
      </w:r>
    </w:p>
    <w:p w14:paraId="13F2B128" w14:textId="56F3A82F" w:rsidR="004543E0" w:rsidRPr="009660EC" w:rsidRDefault="004B48CC" w:rsidP="004543E0">
      <w:pPr>
        <w:pStyle w:val="BodyText"/>
        <w:spacing w:before="0" w:after="0"/>
        <w:jc w:val="center"/>
        <w:rPr>
          <w:rFonts w:cs="Calibri"/>
        </w:rPr>
      </w:pPr>
      <w:r>
        <w:pict w14:anchorId="040535F5">
          <v:shape id="_x0000_i1083" type="#_x0000_t75" style="width:296.35pt;height:39.3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20&quot;/&gt;&lt;w:doNotEmbedSystemFonts/&gt;&lt;w:activeWritingStyle w:lang=&quot;EN-NZ&quot; w:vendorID=&quot;64&quot; w:dllVersion=&quot;6&quot; w:nlCheck=&quot;on&quot; w:optionSet=&quot;1&quot;/&gt;&lt;w:activeWritingStyle w:lang=&quot;EN-NZ&quot; w:vendorID=&quot;64&quot; w:dllVersion=&quot;0&quot; w:nlCheck=&quot;on&quot; w:optionSet=&quot;0&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suppressSpBfAfterPgBrk/&gt;&lt;w:doNotUseHTMLParagraphAutoSpacing/&gt;&lt;w:breakWrappedTables/&gt;&lt;w:snapToGridInCell/&gt;&lt;w:wrapTextWithPunct/&gt;&lt;w:useAsianBreakRules/&gt;&lt;/w:compat&gt;&lt;wsp:rsids&gt;&lt;wsp:rsidRoot wsp:val=&quot;00DC2081&quot;/&gt;&lt;wsp:rsid wsp:val=&quot;00001716&quot;/&gt;&lt;wsp:rsid wsp:val=&quot;00007ABB&quot;/&gt;&lt;wsp:rsid wsp:val=&quot;00021ACF&quot;/&gt;&lt;wsp:rsid wsp:val=&quot;00027E55&quot;/&gt;&lt;wsp:rsid wsp:val=&quot;00032A28&quot;/&gt;&lt;wsp:rsid wsp:val=&quot;00035185&quot;/&gt;&lt;wsp:rsid wsp:val=&quot;0003612E&quot;/&gt;&lt;wsp:rsid wsp:val=&quot;00050008&quot;/&gt;&lt;wsp:rsid wsp:val=&quot;000576EC&quot;/&gt;&lt;wsp:rsid wsp:val=&quot;0008510E&quot;/&gt;&lt;wsp:rsid wsp:val=&quot;000959CB&quot;/&gt;&lt;wsp:rsid wsp:val=&quot;000C20A6&quot;/&gt;&lt;wsp:rsid wsp:val=&quot;000D5C71&quot;/&gt;&lt;wsp:rsid wsp:val=&quot;000F4DEF&quot;/&gt;&lt;wsp:rsid wsp:val=&quot;00116E1B&quot;/&gt;&lt;wsp:rsid wsp:val=&quot;001221C3&quot;/&gt;&lt;wsp:rsid wsp:val=&quot;0013321C&quot;/&gt;&lt;wsp:rsid wsp:val=&quot;00153F5A&quot;/&gt;&lt;wsp:rsid wsp:val=&quot;001970E1&quot;/&gt;&lt;wsp:rsid wsp:val=&quot;001A1997&quot;/&gt;&lt;wsp:rsid wsp:val=&quot;001B6FD2&quot;/&gt;&lt;wsp:rsid wsp:val=&quot;001F48D9&quot;/&gt;&lt;wsp:rsid wsp:val=&quot;00207ABF&quot;/&gt;&lt;wsp:rsid wsp:val=&quot;00240B42&quot;/&gt;&lt;wsp:rsid wsp:val=&quot;00260B48&quot;/&gt;&lt;wsp:rsid wsp:val=&quot;0028581A&quot;/&gt;&lt;wsp:rsid wsp:val=&quot;002868D3&quot;/&gt;&lt;wsp:rsid wsp:val=&quot;00295B2A&quot;/&gt;&lt;wsp:rsid wsp:val=&quot;002A1361&quot;/&gt;&lt;wsp:rsid wsp:val=&quot;002A222C&quot;/&gt;&lt;wsp:rsid wsp:val=&quot;002A49D7&quot;/&gt;&lt;wsp:rsid wsp:val=&quot;002B1C5A&quot;/&gt;&lt;wsp:rsid wsp:val=&quot;002B3284&quot;/&gt;&lt;wsp:rsid wsp:val=&quot;002D2D42&quot;/&gt;&lt;wsp:rsid wsp:val=&quot;002D60DB&quot;/&gt;&lt;wsp:rsid wsp:val=&quot;002D6A54&quot;/&gt;&lt;wsp:rsid wsp:val=&quot;002F134A&quot;/&gt;&lt;wsp:rsid wsp:val=&quot;002F1EF6&quot;/&gt;&lt;wsp:rsid wsp:val=&quot;002F66D0&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B57BB&quot;/&gt;&lt;wsp:rsid wsp:val=&quot;003C2615&quot;/&gt;&lt;wsp:rsid wsp:val=&quot;003D0318&quot;/&gt;&lt;wsp:rsid wsp:val=&quot;003D1F66&quot;/&gt;&lt;wsp:rsid wsp:val=&quot;003D5417&quot;/&gt;&lt;wsp:rsid wsp:val=&quot;00400F92&quot;/&gt;&lt;wsp:rsid wsp:val=&quot;004044F1&quot;/&gt;&lt;wsp:rsid wsp:val=&quot;0042424B&quot;/&gt;&lt;wsp:rsid wsp:val=&quot;00430D5D&quot;/&gt;&lt;wsp:rsid wsp:val=&quot;00436344&quot;/&gt;&lt;wsp:rsid wsp:val=&quot;004543E0&quot;/&gt;&lt;wsp:rsid wsp:val=&quot;0045652C&quot;/&gt;&lt;wsp:rsid wsp:val=&quot;00462497&quot;/&gt;&lt;wsp:rsid wsp:val=&quot;004805A3&quot;/&gt;&lt;wsp:rsid wsp:val=&quot;00490EB0&quot;/&gt;&lt;wsp:rsid wsp:val=&quot;004A088A&quot;/&gt;&lt;wsp:rsid wsp:val=&quot;004A618E&quot;/&gt;&lt;wsp:rsid wsp:val=&quot;004B119E&quot;/&gt;&lt;wsp:rsid wsp:val=&quot;004E4B2C&quot;/&gt;&lt;wsp:rsid wsp:val=&quot;004F1572&quot;/&gt;&lt;wsp:rsid wsp:val=&quot;00526270&quot;/&gt;&lt;wsp:rsid wsp:val=&quot;00534210&quot;/&gt;&lt;wsp:rsid wsp:val=&quot;00543478&quot;/&gt;&lt;wsp:rsid wsp:val=&quot;00545600&quot;/&gt;&lt;wsp:rsid wsp:val=&quot;00546A6A&quot;/&gt;&lt;wsp:rsid wsp:val=&quot;005545DF&quot;/&gt;&lt;wsp:rsid wsp:val=&quot;005630B0&quot;/&gt;&lt;wsp:rsid wsp:val=&quot;005660CD&quot;/&gt;&lt;wsp:rsid wsp:val=&quot;005720F2&quot;/&gt;&lt;wsp:rsid wsp:val=&quot;00596603&quot;/&gt;&lt;wsp:rsid wsp:val=&quot;005B4380&quot;/&gt;&lt;wsp:rsid wsp:val=&quot;005B76A4&quot;/&gt;&lt;wsp:rsid wsp:val=&quot;005C3384&quot;/&gt;&lt;wsp:rsid wsp:val=&quot;005C38A8&quot;/&gt;&lt;wsp:rsid wsp:val=&quot;005C416E&quot;/&gt;&lt;wsp:rsid wsp:val=&quot;005D1C3A&quot;/&gt;&lt;wsp:rsid wsp:val=&quot;005D2050&quot;/&gt;&lt;wsp:rsid wsp:val=&quot;005E43DD&quot;/&gt;&lt;wsp:rsid wsp:val=&quot;00600179&quot;/&gt;&lt;wsp:rsid wsp:val=&quot;00603FC0&quot;/&gt;&lt;wsp:rsid wsp:val=&quot;006127F2&quot;/&gt;&lt;wsp:rsid wsp:val=&quot;006208F5&quot;/&gt;&lt;wsp:rsid wsp:val=&quot;00636BF0&quot;/&gt;&lt;wsp:rsid wsp:val=&quot;00640C2E&quot;/&gt;&lt;wsp:rsid wsp:val=&quot;00646B6D&quot;/&gt;&lt;wsp:rsid wsp:val=&quot;00650F99&quot;/&gt;&lt;wsp:rsid wsp:val=&quot;00655908&quot;/&gt;&lt;wsp:rsid wsp:val=&quot;00663479&quot;/&gt;&lt;wsp:rsid wsp:val=&quot;006654F8&quot;/&gt;&lt;wsp:rsid wsp:val=&quot;00665768&quot;/&gt;&lt;wsp:rsid wsp:val=&quot;00667291&quot;/&gt;&lt;wsp:rsid wsp:val=&quot;0068545A&quot;/&gt;&lt;wsp:rsid wsp:val=&quot;00686249&quot;/&gt;&lt;wsp:rsid wsp:val=&quot;00687504&quot;/&gt;&lt;wsp:rsid wsp:val=&quot;006A171F&quot;/&gt;&lt;wsp:rsid wsp:val=&quot;006A4E5F&quot;/&gt;&lt;wsp:rsid wsp:val=&quot;006B282E&quot;/&gt;&lt;wsp:rsid wsp:val=&quot;006D3FAE&quot;/&gt;&lt;wsp:rsid wsp:val=&quot;006D4600&quot;/&gt;&lt;wsp:rsid wsp:val=&quot;006E0A2C&quot;/&gt;&lt;wsp:rsid wsp:val=&quot;006E202B&quot;/&gt;&lt;wsp:rsid wsp:val=&quot;006E25DF&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730C3&quot;/&gt;&lt;wsp:rsid wsp:val=&quot;0077453D&quot;/&gt;&lt;wsp:rsid wsp:val=&quot;007862A6&quot;/&gt;&lt;wsp:rsid wsp:val=&quot;007A7456&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7314B&quot;/&gt;&lt;wsp:rsid wsp:val=&quot;008A2A6D&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16E1B&quot;/&gt;&lt;wsp:rsid wsp:val=&quot;0092751F&quot;/&gt;&lt;wsp:rsid wsp:val=&quot;00932067&quot;/&gt;&lt;wsp:rsid wsp:val=&quot;0093594A&quot;/&gt;&lt;wsp:rsid wsp:val=&quot;00955D73&quot;/&gt;&lt;wsp:rsid wsp:val=&quot;0096512C&quot;/&gt;&lt;wsp:rsid wsp:val=&quot;0096540A&quot;/&gt;&lt;wsp:rsid wsp:val=&quot;0098180A&quot;/&gt;&lt;wsp:rsid wsp:val=&quot;0099547F&quot;/&gt;&lt;wsp:rsid wsp:val=&quot;009C5D2A&quot;/&gt;&lt;wsp:rsid wsp:val=&quot;00A06700&quot;/&gt;&lt;wsp:rsid wsp:val=&quot;00A331E7&quot;/&gt;&lt;wsp:rsid wsp:val=&quot;00A34169&quot;/&gt;&lt;wsp:rsid wsp:val=&quot;00A35FF4&quot;/&gt;&lt;wsp:rsid wsp:val=&quot;00A41C3C&quot;/&gt;&lt;wsp:rsid wsp:val=&quot;00A430C1&quot;/&gt;&lt;wsp:rsid wsp:val=&quot;00AB2710&quot;/&gt;&lt;wsp:rsid wsp:val=&quot;00AC2AB4&quot;/&gt;&lt;wsp:rsid wsp:val=&quot;00AC7268&quot;/&gt;&lt;wsp:rsid wsp:val=&quot;00AD184B&quot;/&gt;&lt;wsp:rsid wsp:val=&quot;00AE488C&quot;/&gt;&lt;wsp:rsid wsp:val=&quot;00B0566D&quot;/&gt;&lt;wsp:rsid wsp:val=&quot;00B10BD6&quot;/&gt;&lt;wsp:rsid wsp:val=&quot;00B153C7&quot;/&gt;&lt;wsp:rsid wsp:val=&quot;00B16055&quot;/&gt;&lt;wsp:rsid wsp:val=&quot;00B35BD9&quot;/&gt;&lt;wsp:rsid wsp:val=&quot;00B37DE8&quot;/&gt;&lt;wsp:rsid wsp:val=&quot;00B44BA5&quot;/&gt;&lt;wsp:rsid wsp:val=&quot;00B928E7&quot;/&gt;&lt;wsp:rsid wsp:val=&quot;00BA5F7E&quot;/&gt;&lt;wsp:rsid wsp:val=&quot;00BB1CB5&quot;/&gt;&lt;wsp:rsid wsp:val=&quot;00BC6694&quot;/&gt;&lt;wsp:rsid wsp:val=&quot;00BC7E76&quot;/&gt;&lt;wsp:rsid wsp:val=&quot;00BE6C4F&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D3919&quot;/&gt;&lt;wsp:rsid wsp:val=&quot;00CE19C1&quot;/&gt;&lt;wsp:rsid wsp:val=&quot;00CF3E69&quot;/&gt;&lt;wsp:rsid wsp:val=&quot;00D01CFE&quot;/&gt;&lt;wsp:rsid wsp:val=&quot;00D07C4B&quot;/&gt;&lt;wsp:rsid wsp:val=&quot;00D225D8&quot;/&gt;&lt;wsp:rsid wsp:val=&quot;00D33A2E&quot;/&gt;&lt;wsp:rsid wsp:val=&quot;00D40FA5&quot;/&gt;&lt;wsp:rsid wsp:val=&quot;00D41862&quot;/&gt;&lt;wsp:rsid wsp:val=&quot;00D511A1&quot;/&gt;&lt;wsp:rsid wsp:val=&quot;00D8244C&quot;/&gt;&lt;wsp:rsid wsp:val=&quot;00D872BF&quot;/&gt;&lt;wsp:rsid wsp:val=&quot;00DC2081&quot;/&gt;&lt;wsp:rsid wsp:val=&quot;00DE01F6&quot;/&gt;&lt;wsp:rsid wsp:val=&quot;00DE2998&quot;/&gt;&lt;wsp:rsid wsp:val=&quot;00DE4223&quot;/&gt;&lt;wsp:rsid wsp:val=&quot;00DE6B60&quot;/&gt;&lt;wsp:rsid wsp:val=&quot;00DF1483&quot;/&gt;&lt;wsp:rsid wsp:val=&quot;00E06D10&quot;/&gt;&lt;wsp:rsid wsp:val=&quot;00E20458&quot;/&gt;&lt;wsp:rsid wsp:val=&quot;00E56487&quot;/&gt;&lt;wsp:rsid wsp:val=&quot;00E853F3&quot;/&gt;&lt;wsp:rsid wsp:val=&quot;00E85CE2&quot;/&gt;&lt;wsp:rsid wsp:val=&quot;00EC2491&quot;/&gt;&lt;wsp:rsid wsp:val=&quot;00ED2C42&quot;/&gt;&lt;wsp:rsid wsp:val=&quot;00EF3B2B&quot;/&gt;&lt;wsp:rsid wsp:val=&quot;00F00EE9&quot;/&gt;&lt;wsp:rsid wsp:val=&quot;00F10D80&quot;/&gt;&lt;wsp:rsid wsp:val=&quot;00F379DD&quot;/&gt;&lt;wsp:rsid wsp:val=&quot;00F47244&quot;/&gt;&lt;wsp:rsid wsp:val=&quot;00F511A7&quot;/&gt;&lt;wsp:rsid wsp:val=&quot;00F660F9&quot;/&gt;&lt;wsp:rsid wsp:val=&quot;00F93F5E&quot;/&gt;&lt;wsp:rsid wsp:val=&quot;00FA0F57&quot;/&gt;&lt;wsp:rsid wsp:val=&quot;00FA5F45&quot;/&gt;&lt;wsp:rsid wsp:val=&quot;00FA7522&quot;/&gt;&lt;wsp:rsid wsp:val=&quot;00FC2C59&quot;/&gt;&lt;wsp:rsid wsp:val=&quot;00FD178C&quot;/&gt;&lt;/wsp:rsids&gt;&lt;/w:docPr&gt;&lt;w:body&gt;&lt;wx:sect&gt;&lt;w:p wsp:rsidR=&quot;00000000&quot; wsp:rsidRPr=&quot;002D2D42&quot; wsp:rsidRDefault=&quot;002D2D42&quot; wsp:rsidP=&quot;002D2D42&quot;&gt;&lt;m:oMathPara&gt;&lt;m:oMath&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CH&lt;/m:t&gt;&lt;/m:r&gt;&lt;/m:e&gt;&lt;m:sub&gt;&lt;m:r&gt;&lt;w:rPr&gt;&lt;w:rFonts w:ascii=&quot;Cambria Math&quot; w:h-ansi=&quot;Cambria Math&quot; w:cs=&quot;Calibri&quot;/&gt;&lt;wx:font wx:val=&quot;Cambria Math&quot;/&gt;&lt;w:i/&gt;&lt;/w:rPr&gt;&lt;m:t&gt;4-enteric&lt;/m:t&gt;&lt;/m:r&gt;&lt;/m:sub&gt;&lt;/m:sSub&gt;&lt;m:r&gt;&lt;w:rPr&gt;&lt;w:rFonts w:ascii=&quot;Cambria Math&quot; w:h-ansi=&quot;Cambria Math&quot; w:cs=&quot;Calibri&quot;/&gt;&lt;wx:font wx:val=&quot;Cambria Math&quot;/&gt;&lt;w:i/&gt;&lt;/w:rPr&gt;&lt;m:t&gt;= &lt;/m:t&gt;&lt;/m:r&gt;&lt;m:nary&gt;&lt;m:naryPr&gt;&lt;m:chr m:val=&quot;âˆ‘&quot;/&gt;&lt;m:limLoc m:val=&quot;undOvr&quot;/&gt;&lt;m:supHide m:val=&quot;1&quot;/&gt;&lt;m:ctrlPr&gt;&lt;w:rPr&gt;&lt;w:rFonts w:ascii=&quot;Cambria Math&quot; w:h-ansi=&quot;Cambria Math&quot; w:cs=&quot;Calibri&quot;/&gt;&lt;wx:font wx:val=&quot;Cambria Math&quot;/&gt;&lt;w:i/&gt;&lt;/w:rPr&gt;&lt;/m:ctrlPr&gt;&lt;/m:naryPr&gt;&lt;m:sub&gt;&lt;m:r&gt;&lt;w:rPr&gt;&lt;w:rFonts w:ascii=&quot;Cambria Math&quot; w:h-ansi=&quot;Cambria Math&quot; w:cs=&quot;Calibri&quot;/&gt;&lt;wx:font wx:val=&quot;Cambria Math&quot;/&gt;&lt;w:i/&gt;&lt;/w:rPr&gt;&lt;m:t&gt;class &lt;/m:t&gt;&lt;/m:r&gt;&lt;/m:sub&gt;&lt;m:sup/&gt;&lt;m:e&gt;&lt;m:nary&gt;&lt;m:naryPr&gt;&lt;m:chr m:val=&quot;âˆ‘&quot;/&gt;&lt;m:limLoc m:val=&quot;undOvr&quot;/&gt;&lt;m:supHide m:val=&quot;1&quot;/&gt;&lt;m:ctrlPr&gt;&lt;w:rPr&gt;&lt;w:rFonts w:ascii=&quot;Cambria Math&quot; w:h-ansi=&quot;Cambria Math&quot; w:cs=&quot;Calibri&quot;/&gt;&lt;wx:font wx:val=&quot;Cambria Math&quot;/&gt;&lt;w:i/&gt;&lt;/w:rPr&gt;&lt;/m:ctrlPr&gt;&lt;/m:naryPr&gt;&lt;m:sub&gt;&lt;m:r&gt;&lt;w:rPr&gt;&lt;w:rFonts w:ascii=&quot;Cambria Math&quot; w:h-ansi=&quot;Cambria Math&quot; w:cs=&quot;Calibri&quot;/&gt;&lt;wx:font wx:val=&quot;Cambria Math&quot;/&gt;&lt;w:i/&gt;&lt;/w:rPr&gt;&lt;m:t&gt;month&lt;/m:t&gt;&lt;/m:r&gt;&lt;/m:sub&gt;&lt;m:sup/&gt;&lt;m:e&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d&lt;/m:t&gt;&lt;/m:r&gt;&lt;/m:e&gt;&lt;m:sub&gt;&lt;m:r&gt;&lt;w:rPr&gt;&lt;w:rFonts w:ascii=&quot;Cambria Math&quot; w:h-ansi=&quot;Cambria Math&quot; w:cs=&quot;Calibri&quot;/&gt;&lt;wx:font wx:val=&quot;Cambria Math&quot;/&gt;&lt;w:i/&gt;&lt;/w:rPr&gt;&lt;m:t&gt;m&lt;/m:t&gt;&lt;/m:r&gt;&lt;/m:sub&gt;&lt;/m:sSub&gt;&lt;/m:e&gt;&lt;/m:nary&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Lamb&lt;/m:t&gt;&lt;/m:r&gt;&lt;/m:e&gt;&lt;m:sub&gt;&lt;m:r&gt;&lt;w:rPr&gt;&lt;w:rFonts w:ascii=&quot;Cambria Math&quot; w:h-ansi=&quot;Cambria Math&quot; w:cs=&quot;Calibri&quot;/&gt;&lt;wx:font wx:val=&quot;Cambria Math&quot;/&gt;&lt;w:i/&gt;&lt;/w:rPr&gt;&lt;m:t&gt;cm&lt;/m:t&gt;&lt;/m:r&gt;&lt;/m:sub&gt;&lt;/m:sSub&gt;&lt;m:f&gt;&lt;m:fPr&gt;&lt;m:ctrlPr&gt;&lt;w:rPr&gt;&lt;w:rFonts w:ascii=&quot;Cambria Math&quot; w:h-ansi=&quot;Cambria Math&quot; w:cs=&quot;Calibri&quot;/&gt;&lt;wx:font wx:val=&quot;Cambria Math&quot;/&gt;&lt;w:i/&gt;&lt;/w:rPr&gt;&lt;/m:ctrlPr&gt;&lt;/m:fPr&gt;&lt;m:num&gt;&lt;m:r&gt;&lt;w:rPr&gt;&lt;w:rFonts w:ascii=&quot;Cambria Math&quot; w:h-ansi=&quot;Cambria Math&quot; w:cs=&quot;Calibri&quot;/&gt;&lt;wx:font wx:val=&quot;Cambria Math&quot;/&gt;&lt;w:i/&gt;&lt;/w:rPr&gt;&lt;m:t&gt;11.705&lt;/m:t&gt;&lt;/m:r&gt;&lt;/m:num&gt;&lt;m:den&gt;&lt;m:r&gt;&lt;w:rPr&gt;&lt;w:rFonts w:ascii=&quot;Cambria Math&quot; w:h-ansi=&quot;Cambria Math&quot; w:cs=&quot;Calibri&quot;/&gt;&lt;wx:font wx:val=&quot;Cambria Math&quot;/&gt;&lt;w:i/&gt;&lt;/w:rPr&gt;&lt;m:t&gt;1000&lt;/m:t&gt;&lt;/m:r&gt;&lt;/m:den&gt;&lt;/m:f&gt;&lt;/m:e&gt;&lt;/m:nary&gt;&lt;m:sSup&gt;&lt;m:sSupPr&gt;&lt;m:ctrlPr&gt;&lt;w:rPr&gt;&lt;w:rFonts w:ascii=&quot;Cambria Math&quot; w:h-ansi=&quot;Cambria Math&quot; w:cs=&quot;Calibri&quot;/&gt;&lt;wx:font wx:val=&quot;Cambria Math&quot;/&gt;&lt;w:i/&gt;&lt;/w:rPr&gt;&lt;/m:ctrlPr&gt;&lt;/m:sSupPr&gt;&lt;m:e&gt;&lt;m:sSup&gt;&lt;m:sSupPr&gt;&lt;m:ctrlPr&gt;&lt;w:rPr&gt;&lt;w:rFonts w:ascii=&quot;Cambria Math&quot; w:h-ansi=&quot;Cambria Math&quot; w:cs=&quot;Calibri&quot;/&gt;&lt;wx:font wx:val=&quot;Cambria Math&quot;/&gt;&lt;w:i/&gt;&lt;/w:rPr&gt;&lt;/m:ctrlPr&gt;&lt;/m:sSupPr&gt;&lt;m:e&gt;&lt;m:r&gt;&lt;w:rPr&gt;&lt;w:rFonts w:ascii=&quot;Cambria Math&quot; w:h-ansi=&quot;Cambria Math&quot; w:cs=&quot;Calibri&quot;/&gt;&lt;wx:font wx:val=&quot;Cambria Math&quot;/&gt;&lt;w:i/&gt;&lt;/w:rPr&gt;&lt;m:t&gt;e&lt;/m:t&gt;&lt;/m:r&gt;&lt;/m:e&gt;&lt;m:sup&gt;&lt;m:r&gt;&lt;w:rPr&gt;&lt;w:rFonts w:ascii=&quot;Cambria Math&quot; w:h-ansi=&quot;Cambria Math&quot; w:cs=&quot;Calibri&quot;/&gt;&lt;wx:font wx:val=&quot;Cambria Math&quot;/&gt;&lt;w:i/&gt;&lt;/w:rPr&gt;&lt;m:t&gt;0.05Ã—ME&lt;/m:t&gt;&lt;/m:r&gt;&lt;/m:sup&gt;&lt;/m:sSup&gt;&lt;m:r&gt;&lt;w:rPr&gt;&lt;w:rFonts w:ascii=&quot;Cambria Math&quot; w:h-ansi=&quot;Cambria Math&quot; w:cs=&quot;Calibri&quot;/&gt;&lt;wx:font wx:val=&quot;Cambria Math&quot;/&gt;&lt;w:i/&gt;&lt;/w:rPr&gt;&lt;m:t&gt;DMI&lt;/m:t&gt;&lt;/m:r&gt;&lt;/m:e&gt;&lt;m:sup&gt;&lt;m:r&gt;&lt;w:rPr&gt;&lt;w:rFonts w:ascii=&quot;Cambria Math&quot; w:h-ansi=&quot;Cambria Math&quot; w:cs=&quot;Calibri&quot;/&gt;&lt;wx:font wx:val=&quot;Cambria Math&quot;/&gt;&lt;w:i/&gt;&lt;/w:rPr&gt;&lt;m:t&gt;0.734&lt;/m:t&gt;&lt;/m:r&gt;&lt;/m:sup&gt;&lt;/m:sSup&gt;&lt;/m:oMath&gt;&lt;/m:oMathPara&gt;&lt;/w:p&gt;&lt;w:sectPr wsp:rsidR=&quot;00000000&quot; wsp:rsidRPr=&quot;002D2D42&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2" o:title="" chromakey="white"/>
          </v:shape>
        </w:pict>
      </w:r>
    </w:p>
    <w:p w14:paraId="6082F5A4" w14:textId="77777777" w:rsidR="004543E0" w:rsidRPr="009660EC" w:rsidRDefault="004543E0" w:rsidP="004543E0">
      <w:pPr>
        <w:pStyle w:val="BodyText"/>
        <w:spacing w:before="160" w:after="0"/>
        <w:rPr>
          <w:rFonts w:cs="Calibri"/>
        </w:rPr>
      </w:pPr>
      <w:r w:rsidRPr="009660EC">
        <w:rPr>
          <w:rFonts w:cs="Calibri"/>
        </w:rPr>
        <w:t>The equation</w:t>
      </w:r>
      <w:r w:rsidRPr="009660EC">
        <w:rPr>
          <w:rStyle w:val="FootnoteReference"/>
          <w:rFonts w:cs="Calibri"/>
        </w:rPr>
        <w:footnoteReference w:id="42"/>
      </w:r>
      <w:r w:rsidRPr="009660EC">
        <w:rPr>
          <w:rFonts w:cs="Calibri"/>
        </w:rPr>
        <w:t xml:space="preserve"> for the total production of enteric CH</w:t>
      </w:r>
      <w:r w:rsidRPr="009660EC">
        <w:rPr>
          <w:rFonts w:cs="Calibri"/>
          <w:vertAlign w:val="subscript"/>
        </w:rPr>
        <w:t>4</w:t>
      </w:r>
      <w:r w:rsidRPr="009660EC">
        <w:rPr>
          <w:rFonts w:cs="Calibri"/>
        </w:rPr>
        <w:t xml:space="preserve"> for sheep greater than one year of age is:</w:t>
      </w:r>
    </w:p>
    <w:p w14:paraId="1B167191" w14:textId="1D96FF5E" w:rsidR="004543E0" w:rsidRPr="009660EC" w:rsidRDefault="004B48CC" w:rsidP="004543E0">
      <w:pPr>
        <w:pStyle w:val="BodyText"/>
        <w:spacing w:before="0"/>
        <w:jc w:val="center"/>
        <w:rPr>
          <w:rFonts w:cs="Calibri"/>
        </w:rPr>
      </w:pPr>
      <w:r>
        <w:pict w14:anchorId="58ADC623">
          <v:shape id="_x0000_i1084" type="#_x0000_t75" style="width:257pt;height:36.8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20&quot;/&gt;&lt;w:doNotEmbedSystemFonts/&gt;&lt;w:activeWritingStyle w:lang=&quot;EN-NZ&quot; w:vendorID=&quot;64&quot; w:dllVersion=&quot;6&quot; w:nlCheck=&quot;on&quot; w:optionSet=&quot;1&quot;/&gt;&lt;w:activeWritingStyle w:lang=&quot;EN-NZ&quot; w:vendorID=&quot;64&quot; w:dllVersion=&quot;0&quot; w:nlCheck=&quot;on&quot; w:optionSet=&quot;0&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suppressSpBfAfterPgBrk/&gt;&lt;w:doNotUseHTMLParagraphAutoSpacing/&gt;&lt;w:breakWrappedTables/&gt;&lt;w:snapToGridInCell/&gt;&lt;w:wrapTextWithPunct/&gt;&lt;w:useAsianBreakRules/&gt;&lt;/w:compat&gt;&lt;wsp:rsids&gt;&lt;wsp:rsidRoot wsp:val=&quot;00DC2081&quot;/&gt;&lt;wsp:rsid wsp:val=&quot;00001716&quot;/&gt;&lt;wsp:rsid wsp:val=&quot;00007ABB&quot;/&gt;&lt;wsp:rsid wsp:val=&quot;00021ACF&quot;/&gt;&lt;wsp:rsid wsp:val=&quot;00027E55&quot;/&gt;&lt;wsp:rsid wsp:val=&quot;00032A28&quot;/&gt;&lt;wsp:rsid wsp:val=&quot;00035185&quot;/&gt;&lt;wsp:rsid wsp:val=&quot;0003612E&quot;/&gt;&lt;wsp:rsid wsp:val=&quot;00050008&quot;/&gt;&lt;wsp:rsid wsp:val=&quot;000576EC&quot;/&gt;&lt;wsp:rsid wsp:val=&quot;0008510E&quot;/&gt;&lt;wsp:rsid wsp:val=&quot;000959CB&quot;/&gt;&lt;wsp:rsid wsp:val=&quot;000C20A6&quot;/&gt;&lt;wsp:rsid wsp:val=&quot;000D5C71&quot;/&gt;&lt;wsp:rsid wsp:val=&quot;000F4DEF&quot;/&gt;&lt;wsp:rsid wsp:val=&quot;00116E1B&quot;/&gt;&lt;wsp:rsid wsp:val=&quot;001221C3&quot;/&gt;&lt;wsp:rsid wsp:val=&quot;0013321C&quot;/&gt;&lt;wsp:rsid wsp:val=&quot;00153F5A&quot;/&gt;&lt;wsp:rsid wsp:val=&quot;001970E1&quot;/&gt;&lt;wsp:rsid wsp:val=&quot;001A1997&quot;/&gt;&lt;wsp:rsid wsp:val=&quot;001B6FD2&quot;/&gt;&lt;wsp:rsid wsp:val=&quot;001F48D9&quot;/&gt;&lt;wsp:rsid wsp:val=&quot;00207ABF&quot;/&gt;&lt;wsp:rsid wsp:val=&quot;00240B42&quot;/&gt;&lt;wsp:rsid wsp:val=&quot;00260B48&quot;/&gt;&lt;wsp:rsid wsp:val=&quot;0028581A&quot;/&gt;&lt;wsp:rsid wsp:val=&quot;002868D3&quot;/&gt;&lt;wsp:rsid wsp:val=&quot;00295B2A&quot;/&gt;&lt;wsp:rsid wsp:val=&quot;002A1361&quot;/&gt;&lt;wsp:rsid wsp:val=&quot;002A222C&quot;/&gt;&lt;wsp:rsid wsp:val=&quot;002A49D7&quot;/&gt;&lt;wsp:rsid wsp:val=&quot;002B1C5A&quot;/&gt;&lt;wsp:rsid wsp:val=&quot;002B3284&quot;/&gt;&lt;wsp:rsid wsp:val=&quot;002D60DB&quot;/&gt;&lt;wsp:rsid wsp:val=&quot;002D6A54&quot;/&gt;&lt;wsp:rsid wsp:val=&quot;002F134A&quot;/&gt;&lt;wsp:rsid wsp:val=&quot;002F1EF6&quot;/&gt;&lt;wsp:rsid wsp:val=&quot;002F66D0&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B57BB&quot;/&gt;&lt;wsp:rsid wsp:val=&quot;003C2615&quot;/&gt;&lt;wsp:rsid wsp:val=&quot;003D0318&quot;/&gt;&lt;wsp:rsid wsp:val=&quot;003D1F66&quot;/&gt;&lt;wsp:rsid wsp:val=&quot;003D5417&quot;/&gt;&lt;wsp:rsid wsp:val=&quot;00400F92&quot;/&gt;&lt;wsp:rsid wsp:val=&quot;004044F1&quot;/&gt;&lt;wsp:rsid wsp:val=&quot;0042424B&quot;/&gt;&lt;wsp:rsid wsp:val=&quot;00430D5D&quot;/&gt;&lt;wsp:rsid wsp:val=&quot;00436344&quot;/&gt;&lt;wsp:rsid wsp:val=&quot;004543E0&quot;/&gt;&lt;wsp:rsid wsp:val=&quot;0045652C&quot;/&gt;&lt;wsp:rsid wsp:val=&quot;00462497&quot;/&gt;&lt;wsp:rsid wsp:val=&quot;004805A3&quot;/&gt;&lt;wsp:rsid wsp:val=&quot;00490EB0&quot;/&gt;&lt;wsp:rsid wsp:val=&quot;004A088A&quot;/&gt;&lt;wsp:rsid wsp:val=&quot;004A618E&quot;/&gt;&lt;wsp:rsid wsp:val=&quot;004B119E&quot;/&gt;&lt;wsp:rsid wsp:val=&quot;004E4B2C&quot;/&gt;&lt;wsp:rsid wsp:val=&quot;004F1572&quot;/&gt;&lt;wsp:rsid wsp:val=&quot;00526270&quot;/&gt;&lt;wsp:rsid wsp:val=&quot;00534210&quot;/&gt;&lt;wsp:rsid wsp:val=&quot;00543478&quot;/&gt;&lt;wsp:rsid wsp:val=&quot;00545600&quot;/&gt;&lt;wsp:rsid wsp:val=&quot;00546A6A&quot;/&gt;&lt;wsp:rsid wsp:val=&quot;005545DF&quot;/&gt;&lt;wsp:rsid wsp:val=&quot;005630B0&quot;/&gt;&lt;wsp:rsid wsp:val=&quot;005660CD&quot;/&gt;&lt;wsp:rsid wsp:val=&quot;005720F2&quot;/&gt;&lt;wsp:rsid wsp:val=&quot;00596603&quot;/&gt;&lt;wsp:rsid wsp:val=&quot;005B4380&quot;/&gt;&lt;wsp:rsid wsp:val=&quot;005B76A4&quot;/&gt;&lt;wsp:rsid wsp:val=&quot;005C3384&quot;/&gt;&lt;wsp:rsid wsp:val=&quot;005C38A8&quot;/&gt;&lt;wsp:rsid wsp:val=&quot;005C416E&quot;/&gt;&lt;wsp:rsid wsp:val=&quot;005D1C3A&quot;/&gt;&lt;wsp:rsid wsp:val=&quot;005D2050&quot;/&gt;&lt;wsp:rsid wsp:val=&quot;005E43DD&quot;/&gt;&lt;wsp:rsid wsp:val=&quot;00600179&quot;/&gt;&lt;wsp:rsid wsp:val=&quot;00603FC0&quot;/&gt;&lt;wsp:rsid wsp:val=&quot;006127F2&quot;/&gt;&lt;wsp:rsid wsp:val=&quot;006208F5&quot;/&gt;&lt;wsp:rsid wsp:val=&quot;00636BF0&quot;/&gt;&lt;wsp:rsid wsp:val=&quot;00640C2E&quot;/&gt;&lt;wsp:rsid wsp:val=&quot;00646B6D&quot;/&gt;&lt;wsp:rsid wsp:val=&quot;00650F99&quot;/&gt;&lt;wsp:rsid wsp:val=&quot;00655908&quot;/&gt;&lt;wsp:rsid wsp:val=&quot;00663479&quot;/&gt;&lt;wsp:rsid wsp:val=&quot;006654F8&quot;/&gt;&lt;wsp:rsid wsp:val=&quot;00665768&quot;/&gt;&lt;wsp:rsid wsp:val=&quot;00667291&quot;/&gt;&lt;wsp:rsid wsp:val=&quot;0068545A&quot;/&gt;&lt;wsp:rsid wsp:val=&quot;00686249&quot;/&gt;&lt;wsp:rsid wsp:val=&quot;00687504&quot;/&gt;&lt;wsp:rsid wsp:val=&quot;006A171F&quot;/&gt;&lt;wsp:rsid wsp:val=&quot;006A4E5F&quot;/&gt;&lt;wsp:rsid wsp:val=&quot;006B282E&quot;/&gt;&lt;wsp:rsid wsp:val=&quot;006D3FAE&quot;/&gt;&lt;wsp:rsid wsp:val=&quot;006D4600&quot;/&gt;&lt;wsp:rsid wsp:val=&quot;006E0A2C&quot;/&gt;&lt;wsp:rsid wsp:val=&quot;006E202B&quot;/&gt;&lt;wsp:rsid wsp:val=&quot;006E25DF&quot;/&gt;&lt;wsp:rsid wsp:val=&quot;006E57B5&quot;/&gt;&lt;wsp:rsid wsp:val=&quot;00702FA0&quot;/&gt;&lt;wsp:rsid wsp:val=&quot;00715D39&quot;/&gt;&lt;wsp:rsid wsp:val=&quot;0072421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730C3&quot;/&gt;&lt;wsp:rsid wsp:val=&quot;0077453D&quot;/&gt;&lt;wsp:rsid wsp:val=&quot;007862A6&quot;/&gt;&lt;wsp:rsid wsp:val=&quot;007A7456&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7314B&quot;/&gt;&lt;wsp:rsid wsp:val=&quot;008A2A6D&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16E1B&quot;/&gt;&lt;wsp:rsid wsp:val=&quot;0092751F&quot;/&gt;&lt;wsp:rsid wsp:val=&quot;00932067&quot;/&gt;&lt;wsp:rsid wsp:val=&quot;0093594A&quot;/&gt;&lt;wsp:rsid wsp:val=&quot;00955D73&quot;/&gt;&lt;wsp:rsid wsp:val=&quot;0096512C&quot;/&gt;&lt;wsp:rsid wsp:val=&quot;0096540A&quot;/&gt;&lt;wsp:rsid wsp:val=&quot;0098180A&quot;/&gt;&lt;wsp:rsid wsp:val=&quot;0099547F&quot;/&gt;&lt;wsp:rsid wsp:val=&quot;009C5D2A&quot;/&gt;&lt;wsp:rsid wsp:val=&quot;00A06700&quot;/&gt;&lt;wsp:rsid wsp:val=&quot;00A331E7&quot;/&gt;&lt;wsp:rsid wsp:val=&quot;00A34169&quot;/&gt;&lt;wsp:rsid wsp:val=&quot;00A35FF4&quot;/&gt;&lt;wsp:rsid wsp:val=&quot;00A41C3C&quot;/&gt;&lt;wsp:rsid wsp:val=&quot;00A430C1&quot;/&gt;&lt;wsp:rsid wsp:val=&quot;00AB2710&quot;/&gt;&lt;wsp:rsid wsp:val=&quot;00AC2AB4&quot;/&gt;&lt;wsp:rsid wsp:val=&quot;00AC7268&quot;/&gt;&lt;wsp:rsid wsp:val=&quot;00AD184B&quot;/&gt;&lt;wsp:rsid wsp:val=&quot;00AE488C&quot;/&gt;&lt;wsp:rsid wsp:val=&quot;00B00C97&quot;/&gt;&lt;wsp:rsid wsp:val=&quot;00B0566D&quot;/&gt;&lt;wsp:rsid wsp:val=&quot;00B10BD6&quot;/&gt;&lt;wsp:rsid wsp:val=&quot;00B153C7&quot;/&gt;&lt;wsp:rsid wsp:val=&quot;00B16055&quot;/&gt;&lt;wsp:rsid wsp:val=&quot;00B35BD9&quot;/&gt;&lt;wsp:rsid wsp:val=&quot;00B37DE8&quot;/&gt;&lt;wsp:rsid wsp:val=&quot;00B44BA5&quot;/&gt;&lt;wsp:rsid wsp:val=&quot;00B928E7&quot;/&gt;&lt;wsp:rsid wsp:val=&quot;00BA5F7E&quot;/&gt;&lt;wsp:rsid wsp:val=&quot;00BB1CB5&quot;/&gt;&lt;wsp:rsid wsp:val=&quot;00BC6694&quot;/&gt;&lt;wsp:rsid wsp:val=&quot;00BC7E76&quot;/&gt;&lt;wsp:rsid wsp:val=&quot;00BE6C4F&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D3919&quot;/&gt;&lt;wsp:rsid wsp:val=&quot;00CE19C1&quot;/&gt;&lt;wsp:rsid wsp:val=&quot;00CF3E69&quot;/&gt;&lt;wsp:rsid wsp:val=&quot;00D01CFE&quot;/&gt;&lt;wsp:rsid wsp:val=&quot;00D07C4B&quot;/&gt;&lt;wsp:rsid wsp:val=&quot;00D225D8&quot;/&gt;&lt;wsp:rsid wsp:val=&quot;00D33A2E&quot;/&gt;&lt;wsp:rsid wsp:val=&quot;00D40FA5&quot;/&gt;&lt;wsp:rsid wsp:val=&quot;00D41862&quot;/&gt;&lt;wsp:rsid wsp:val=&quot;00D511A1&quot;/&gt;&lt;wsp:rsid wsp:val=&quot;00D8244C&quot;/&gt;&lt;wsp:rsid wsp:val=&quot;00D872BF&quot;/&gt;&lt;wsp:rsid wsp:val=&quot;00DC2081&quot;/&gt;&lt;wsp:rsid wsp:val=&quot;00DE01F6&quot;/&gt;&lt;wsp:rsid wsp:val=&quot;00DE2998&quot;/&gt;&lt;wsp:rsid wsp:val=&quot;00DE4223&quot;/&gt;&lt;wsp:rsid wsp:val=&quot;00DE6B60&quot;/&gt;&lt;wsp:rsid wsp:val=&quot;00DF1483&quot;/&gt;&lt;wsp:rsid wsp:val=&quot;00E06D10&quot;/&gt;&lt;wsp:rsid wsp:val=&quot;00E20458&quot;/&gt;&lt;wsp:rsid wsp:val=&quot;00E56487&quot;/&gt;&lt;wsp:rsid wsp:val=&quot;00E853F3&quot;/&gt;&lt;wsp:rsid wsp:val=&quot;00E85CE2&quot;/&gt;&lt;wsp:rsid wsp:val=&quot;00EC2491&quot;/&gt;&lt;wsp:rsid wsp:val=&quot;00ED2C42&quot;/&gt;&lt;wsp:rsid wsp:val=&quot;00EF3B2B&quot;/&gt;&lt;wsp:rsid wsp:val=&quot;00F00EE9&quot;/&gt;&lt;wsp:rsid wsp:val=&quot;00F10D80&quot;/&gt;&lt;wsp:rsid wsp:val=&quot;00F379DD&quot;/&gt;&lt;wsp:rsid wsp:val=&quot;00F47244&quot;/&gt;&lt;wsp:rsid wsp:val=&quot;00F511A7&quot;/&gt;&lt;wsp:rsid wsp:val=&quot;00F660F9&quot;/&gt;&lt;wsp:rsid wsp:val=&quot;00F93F5E&quot;/&gt;&lt;wsp:rsid wsp:val=&quot;00FA0F57&quot;/&gt;&lt;wsp:rsid wsp:val=&quot;00FA5F45&quot;/&gt;&lt;wsp:rsid wsp:val=&quot;00FA7522&quot;/&gt;&lt;wsp:rsid wsp:val=&quot;00FC2C59&quot;/&gt;&lt;wsp:rsid wsp:val=&quot;00FD178C&quot;/&gt;&lt;/wsp:rsids&gt;&lt;/w:docPr&gt;&lt;w:body&gt;&lt;wx:sect&gt;&lt;w:p wsp:rsidR=&quot;00000000&quot; wsp:rsidRPr=&quot;00B00C97&quot; wsp:rsidRDefault=&quot;00B00C97&quot; wsp:rsidP=&quot;00B00C97&quot;&gt;&lt;m:oMathPara&gt;&lt;m:oMath&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CH&lt;/m:t&gt;&lt;/m:r&gt;&lt;/m:e&gt;&lt;m:sub&gt;&lt;m:r&gt;&lt;w:rPr&gt;&lt;w:rFonts w:ascii=&quot;Cambria Math&quot; w:h-ansi=&quot;Cambria Math&quot; w:cs=&quot;Calibri&quot;/&gt;&lt;wx:font wx:val=&quot;Cambria Math&quot;/&gt;&lt;w:i/&gt;&lt;/w:rPr&gt;&lt;m:t&gt;4-enteric&lt;/m:t&gt;&lt;/m:r&gt;&lt;/m:sub&gt;&lt;/m:sSub&gt;&lt;m:r&gt;&lt;w:rPr&gt;&lt;w:rFonts w:ascii=&quot;Cambria Math&quot; w:h-ansi=&quot;Cambria Math&quot; w:cs=&quot;Calibri&quot;/&gt;&lt;wx:font wx:val=&quot;Cambria Math&quot;/&gt;&lt;w:i/&gt;&lt;/w:rPr&gt;&lt;m:t&gt;= &lt;/m:t&gt;&lt;/m:r&gt;&lt;m:nary&gt;&lt;m:naryPr&gt;&lt;m:chr m:val=&quot;âˆ‘&quot;/&gt;&lt;m:limLoc m:val=&quot;undOvr&quot;/&gt;&lt;m:supHide m:val=&quot;1&quot;/&gt;&lt;m:ctrlPr&gt;&lt;w:rPr&gt;&lt;w:rFonts w:ascii=&quot;Cambria Math&quot; w:h-ansi=&quot;Cambria Math&quot; w:cs=&quot;Calibri&quot;/&gt;&lt;wx:font wx:val=&quot;Cambria Math&quot;/&gt;&lt;w:i/&gt;&lt;/w:rPr&gt;&lt;/m:ctrlPr&gt;&lt;/m:naryPr&gt;&lt;m:sub&gt;&lt;m:r&gt;&lt;w:rPr&gt;&lt;w:rFonts w:ascii=&quot;Cambria Math&quot; w:h-ansi=&quot;Cambria Math&quot; w:cs=&quot;Calibri&quot;/&gt;&lt;wx:font wx:val=&quot;Cambria Math&quot;/&gt;&lt;w:i/&gt;&lt;/w:rPr&gt;&lt;m:t&gt;class &lt;/m:t&gt;&lt;/m:r&gt;&lt;/m:sub&gt;&lt;m:sup/&gt;&lt;m:e&gt;&lt;m:nary&gt;&lt;m:naryPr&gt;&lt;m:chr m:val=&quot;âˆ‘&quot;/&gt;&lt;m:limLoc m:val=&quot;undOvr&quot;/&gt;&lt;m:supHide m:val=&quot;1&quot;/&gt;&lt;m:ctrlPr&gt;&lt;w:rPr&gt;&lt;w:rFonts w:ascii=&quot;Cambria Math&quot; w:h-ansi=&quot;Cambria Math&quot; w:cs=&quot;Calibri&quot;/&gt;&lt;wx:font wx:val=&quot;Cambria Math&quot;/&gt;&lt;w:i/&gt;&lt;/w:rPr&gt;&lt;/m:ctrlPr&gt;&lt;/m:naryPr&gt;&lt;m:sub&gt;&lt;m:r&gt;&lt;w:rPr&gt;&lt;w:rFonts w:ascii=&quot;Cambria Math&quot; w:h-ansi=&quot;Cambria Math&quot; w:cs=&quot;Calibri&quot;/&gt;&lt;wx:font wx:val=&quot;Cambria Math&quot;/&gt;&lt;w:i/&gt;&lt;/w:rPr&gt;&lt;m:t&gt;month&lt;/m:t&gt;&lt;/m:r&gt;&lt;/m:sub&gt;&lt;m:sup/&gt;&lt;m:e&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d&lt;/m:t&gt;&lt;/m:r&gt;&lt;/m:e&gt;&lt;m:sub&gt;&lt;m:r&gt;&lt;w:rPr&gt;&lt;w:rFonts w:ascii=&quot;Cambria Math&quot; w:h-ansi=&quot;Cambria Math&quot; w:cs=&quot;Calibri&quot;/&gt;&lt;wx:font wx:val=&quot;Cambria Math&quot;/&gt;&lt;w:i/&gt;&lt;/w:rPr&gt;&lt;m:t&gt;m&lt;/m:t&gt;&lt;/m:r&gt;&lt;/m:sub&gt;&lt;/m:sSub&gt;&lt;/m:e&gt;&lt;/m:nary&gt;&lt;m:sSub&gt;&lt;m:sSubPr&gt;&lt;m:ctrlPr&gt;&lt;w:rPr&gt;&lt;w:rFonts w:ascii=&quot;Cambria Math&quot; w:h-ansi=&quot;Cambria Math&quot; w:cs=&quot;Calibri&quot;/&gt;&lt;wx:font wx:val=&quot;Cambria Math&quot;/&gt;&lt;w:i/&gt;&lt;/w:rPr&gt;&lt;/m:ctrlPr&gt;&lt;/m:sSubPr&gt;&lt;m:e&gt;&lt;m:r&gt;&lt;w:rPr&gt;&lt;w:rFonts w:ascii=&quot;Cambria Math&quot; w:h-ansi=&quot;Cambria Math&quot; w:cs=&quot;Calibri&quot;/&gt;&lt;wx:font wx:val=&quot;Cambria Math&quot;/&gt;&lt;w:i/&gt;&lt;/w:rPr&gt;&lt;m:t&gt;Sheep&lt;/m:t&gt;&lt;/m:r&gt;&lt;/m:e&gt;&lt;m:sub&gt;&lt;m:r&gt;&lt;w:rPr&gt;&lt;w:rFonts w:ascii=&quot;Cambria Math&quot; w:h-ansi=&quot;Cambria Math&quot; w:cs=&quot;Calibri&quot;/&gt;&lt;wx:font wx:val=&quot;Cambria Math&quot;/&gt;&lt;w:i/&gt;&lt;/w:rPr&gt;&lt;m:t&gt;cm&lt;/m:t&gt;&lt;/m:r&gt;&lt;/m:sub&gt;&lt;/m:sSub&gt;&lt;m:f&gt;&lt;m:fPr&gt;&lt;m:ctrlPr&gt;&lt;w:rPr&gt;&lt;w:rFonts w:ascii=&quot;Cambria Math&quot; w:h-ansi=&quot;Cambria Math&quot; w:cs=&quot;Calibri&quot;/&gt;&lt;wx:font wx:val=&quot;Cambria Math&quot;/&gt;&lt;w:i/&gt;&lt;/w:rPr&gt;&lt;/m:ctrlPr&gt;&lt;/m:fPr&gt;&lt;m:num&gt;&lt;m:r&gt;&lt;w:rPr&gt;&lt;w:rFonts w:ascii=&quot;Cambria Math&quot; w:h-ansi=&quot;Cambria Math&quot; w:cs=&quot;Calibri&quot;/&gt;&lt;wx:font wx:val=&quot;Cambria Math&quot;/&gt;&lt;w:i/&gt;&lt;/w:rPr&gt;&lt;m:t&gt;21.977&lt;/m:t&gt;&lt;/m:r&gt;&lt;/m:num&gt;&lt;m:den&gt;&lt;m:r&gt;&lt;w:rPr&gt;&lt;w:rFonts w:ascii=&quot;Cambria Math&quot; w:h-ansi=&quot;Cambria Math&quot; w:cs=&quot;Calibri&quot;/&gt;&lt;wx:font wx:val=&quot;Cambria Math&quot;/&gt;&lt;w:i/&gt;&lt;/w:rPr&gt;&lt;m:t&gt;1000&lt;/m:t&gt;&lt;/m:r&gt;&lt;/m:den&gt;&lt;/m:f&gt;&lt;/m:e&gt;&lt;/m:nary&gt;&lt;m:sSup&gt;&lt;m:sSupPr&gt;&lt;m:ctrlPr&gt;&lt;w:rPr&gt;&lt;w:rFonts w:ascii=&quot;Cambria Math&quot; w:h-ansi=&quot;Cambria Math&quot; w:cs=&quot;Calibri&quot;/&gt;&lt;wx:font wx:val=&quot;Cambria Math&quot;/&gt;&lt;w:i/&gt;&lt;/w:rPr&gt;&lt;/m:ctrlPr&gt;&lt;/m:sSupPr&gt;&lt;m:e&gt;&lt;m:r&gt;&lt;w:rPr&gt;&lt;w:rFonts w:ascii=&quot;Cambria Math&quot; w:h-ansi=&quot;Cambria Math&quot; w:cs=&quot;Calibri&quot;/&gt;&lt;wx:font wx:val=&quot;Cambria Math&quot;/&gt;&lt;w:i/&gt;&lt;/w:rPr&gt;&lt;m:t&gt;DMI&lt;/m:t&gt;&lt;/m:r&gt;&lt;/m:e&gt;&lt;m:sup&gt;&lt;m:r&gt;&lt;w:rPr&gt;&lt;w:rFonts w:ascii=&quot;Cambria Math&quot; w:h-ansi=&quot;Cambria Math&quot; w:cs=&quot;Calibri&quot;/&gt;&lt;wx:font wx:val=&quot;Cambria Math&quot;/&gt;&lt;w:i/&gt;&lt;/w:rPr&gt;&lt;m:t&gt;0.765&lt;/m:t&gt;&lt;/m:r&gt;&lt;/m:sup&gt;&lt;/m:sSup&gt;&lt;/m:oMath&gt;&lt;/m:oMathPara&gt;&lt;/w:p&gt;&lt;w:sectPr wsp:rsidR=&quot;00000000&quot; wsp:rsidRPr=&quot;00B00C97&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3" o:title="" chromakey="white"/>
          </v:shape>
        </w:pict>
      </w:r>
    </w:p>
    <w:p w14:paraId="470F8B1C" w14:textId="77777777" w:rsidR="004543E0" w:rsidRPr="009660EC" w:rsidRDefault="004543E0" w:rsidP="004543E0">
      <w:pPr>
        <w:pStyle w:val="BodyText"/>
        <w:spacing w:before="80" w:after="0"/>
        <w:ind w:left="964" w:hanging="964"/>
        <w:rPr>
          <w:rFonts w:cs="Calibri"/>
        </w:rPr>
      </w:pPr>
      <w:r w:rsidRPr="009660EC">
        <w:rPr>
          <w:rFonts w:cs="Calibri"/>
        </w:rPr>
        <w:t xml:space="preserve">Where: </w:t>
      </w:r>
      <w:r w:rsidRPr="009660EC">
        <w:rPr>
          <w:rFonts w:cs="Calibri"/>
        </w:rPr>
        <w:tab/>
        <w:t>CH</w:t>
      </w:r>
      <w:r w:rsidRPr="009660EC">
        <w:rPr>
          <w:rFonts w:cs="Calibri"/>
          <w:vertAlign w:val="subscript"/>
        </w:rPr>
        <w:t>4-enteric</w:t>
      </w:r>
      <w:r w:rsidRPr="009660EC">
        <w:rPr>
          <w:rFonts w:cs="Calibri"/>
        </w:rPr>
        <w:t xml:space="preserve"> is the total CH</w:t>
      </w:r>
      <w:r w:rsidRPr="009660EC">
        <w:rPr>
          <w:rFonts w:cs="Calibri"/>
          <w:vertAlign w:val="subscript"/>
        </w:rPr>
        <w:t>4</w:t>
      </w:r>
      <w:r w:rsidRPr="009660EC">
        <w:rPr>
          <w:rFonts w:cs="Calibri"/>
        </w:rPr>
        <w:t xml:space="preserve"> from enteric fermentation (kg CH</w:t>
      </w:r>
      <w:r w:rsidRPr="009660EC">
        <w:rPr>
          <w:rFonts w:cs="Calibri"/>
          <w:vertAlign w:val="subscript"/>
        </w:rPr>
        <w:t>4</w:t>
      </w:r>
      <w:r w:rsidRPr="009660EC">
        <w:rPr>
          <w:rFonts w:cs="Calibri"/>
        </w:rPr>
        <w:t>/year)</w:t>
      </w:r>
    </w:p>
    <w:p w14:paraId="3A589D4B" w14:textId="77777777" w:rsidR="004543E0" w:rsidRPr="009660EC" w:rsidRDefault="004543E0" w:rsidP="004543E0">
      <w:pPr>
        <w:pStyle w:val="BodyText"/>
        <w:spacing w:before="80" w:after="0"/>
        <w:ind w:left="964"/>
        <w:rPr>
          <w:rFonts w:cs="Calibri"/>
        </w:rPr>
      </w:pPr>
      <w:r w:rsidRPr="009660EC">
        <w:rPr>
          <w:rFonts w:cs="Calibri"/>
        </w:rPr>
        <w:t>d</w:t>
      </w:r>
      <w:r w:rsidRPr="009660EC">
        <w:rPr>
          <w:rFonts w:cs="Calibri"/>
          <w:vertAlign w:val="subscript"/>
        </w:rPr>
        <w:t>m</w:t>
      </w:r>
      <w:r w:rsidRPr="009660EC">
        <w:rPr>
          <w:rFonts w:cs="Calibri"/>
        </w:rPr>
        <w:t xml:space="preserve"> is the number of days in month m</w:t>
      </w:r>
    </w:p>
    <w:p w14:paraId="74972434" w14:textId="77777777" w:rsidR="004543E0" w:rsidRPr="009660EC" w:rsidRDefault="004543E0" w:rsidP="004543E0">
      <w:pPr>
        <w:pStyle w:val="BodyText"/>
        <w:spacing w:before="80" w:after="0"/>
        <w:ind w:left="964"/>
        <w:rPr>
          <w:rFonts w:cs="Calibri"/>
        </w:rPr>
      </w:pPr>
      <w:r w:rsidRPr="009660EC">
        <w:rPr>
          <w:rFonts w:cs="Calibri"/>
        </w:rPr>
        <w:t>Lamb</w:t>
      </w:r>
      <w:r w:rsidRPr="009660EC">
        <w:rPr>
          <w:rFonts w:cs="Calibri"/>
          <w:vertAlign w:val="subscript"/>
        </w:rPr>
        <w:t xml:space="preserve">cm </w:t>
      </w:r>
      <w:r w:rsidRPr="009660EC">
        <w:rPr>
          <w:rFonts w:cs="Calibri"/>
        </w:rPr>
        <w:t>is the population of sheep in class c during month m (head), less than one year of age (i.e., lambs)</w:t>
      </w:r>
    </w:p>
    <w:p w14:paraId="6554D68D" w14:textId="77777777" w:rsidR="004543E0" w:rsidRPr="009660EC" w:rsidRDefault="004543E0" w:rsidP="004543E0">
      <w:pPr>
        <w:pStyle w:val="BodyText"/>
        <w:spacing w:before="80" w:after="0"/>
        <w:ind w:left="964"/>
        <w:rPr>
          <w:rFonts w:cs="Calibri"/>
        </w:rPr>
      </w:pPr>
      <w:r w:rsidRPr="009660EC">
        <w:rPr>
          <w:rFonts w:cs="Calibri"/>
        </w:rPr>
        <w:t>Sheep</w:t>
      </w:r>
      <w:r w:rsidRPr="009660EC">
        <w:rPr>
          <w:rFonts w:cs="Calibri"/>
          <w:vertAlign w:val="subscript"/>
        </w:rPr>
        <w:t xml:space="preserve">cm </w:t>
      </w:r>
      <w:r w:rsidRPr="009660EC">
        <w:rPr>
          <w:rFonts w:cs="Calibri"/>
        </w:rPr>
        <w:t xml:space="preserve">is the population of sheep in class c during month m (head), greater than one year of age </w:t>
      </w:r>
    </w:p>
    <w:p w14:paraId="02B7BC36" w14:textId="77777777" w:rsidR="004543E0" w:rsidRPr="009660EC" w:rsidRDefault="004543E0" w:rsidP="004543E0">
      <w:pPr>
        <w:pStyle w:val="BodyText"/>
        <w:spacing w:before="80" w:after="0"/>
        <w:ind w:left="964"/>
        <w:rPr>
          <w:rFonts w:cs="Calibri"/>
        </w:rPr>
      </w:pPr>
      <w:r w:rsidRPr="009660EC">
        <w:rPr>
          <w:rFonts w:cs="Calibri"/>
        </w:rPr>
        <w:t>ME is the metabolisable energy concentration of pasture during month m (megajoules of metabolisable energy per kg of dry matter)</w:t>
      </w:r>
    </w:p>
    <w:p w14:paraId="5DBC270D" w14:textId="77777777" w:rsidR="004543E0" w:rsidRPr="009660EC" w:rsidRDefault="004543E0" w:rsidP="004543E0">
      <w:pPr>
        <w:pStyle w:val="BodyText"/>
        <w:spacing w:before="80" w:after="0"/>
        <w:ind w:left="964"/>
        <w:rPr>
          <w:rFonts w:cs="Calibri"/>
        </w:rPr>
      </w:pPr>
      <w:r w:rsidRPr="009660EC">
        <w:rPr>
          <w:rFonts w:cs="Calibri"/>
        </w:rPr>
        <w:t>DMI is the daily dry-matter intake of an individual sheep of class c in month m (kg dry matter/head/day)</w:t>
      </w:r>
    </w:p>
    <w:p w14:paraId="163309D9" w14:textId="77777777" w:rsidR="004543E0" w:rsidRPr="009660EC" w:rsidRDefault="004543E0" w:rsidP="004543E0">
      <w:pPr>
        <w:pStyle w:val="BodyText"/>
        <w:spacing w:before="80" w:after="0"/>
        <w:ind w:left="964"/>
        <w:rPr>
          <w:rFonts w:cs="Calibri"/>
        </w:rPr>
      </w:pPr>
      <w:r w:rsidRPr="009660EC">
        <w:rPr>
          <w:rFonts w:cs="Calibri"/>
        </w:rPr>
        <w:t>class refers to the different categories of sheep greater than one year of age (e.g., dry ewes, wethers, rams) used in the Agriculture inventory, and</w:t>
      </w:r>
    </w:p>
    <w:p w14:paraId="3F0D986F" w14:textId="77777777" w:rsidR="004543E0" w:rsidRPr="009660EC" w:rsidRDefault="004543E0" w:rsidP="004543E0">
      <w:pPr>
        <w:pStyle w:val="BodyText"/>
        <w:spacing w:before="80" w:after="80"/>
        <w:ind w:left="964"/>
        <w:rPr>
          <w:rFonts w:cs="Calibri"/>
        </w:rPr>
      </w:pPr>
      <w:r w:rsidRPr="009660EC">
        <w:rPr>
          <w:rFonts w:cs="Calibri"/>
        </w:rPr>
        <w:t>month refers to the 12 months of the calendar year.</w:t>
      </w:r>
    </w:p>
    <w:p w14:paraId="079DA28F" w14:textId="77777777" w:rsidR="004543E0" w:rsidRPr="009660EC" w:rsidRDefault="004543E0" w:rsidP="004543E0">
      <w:pPr>
        <w:pStyle w:val="BodyText"/>
        <w:spacing w:before="80" w:after="100"/>
        <w:rPr>
          <w:rFonts w:cs="Calibri"/>
        </w:rPr>
      </w:pPr>
      <w:r w:rsidRPr="009660EC">
        <w:rPr>
          <w:rFonts w:cs="Calibri"/>
        </w:rPr>
        <w:t>Dry-matter intake per sheep per day is calculated by New Zealand’s Tier 2 inventory model (see section 5.1.3). Monthly values of ME concentration for pasture are as provided by Giltrap and McNeill (2020).</w:t>
      </w:r>
    </w:p>
    <w:p w14:paraId="4571FF52" w14:textId="77777777" w:rsidR="004543E0" w:rsidRPr="009660EC" w:rsidRDefault="004543E0" w:rsidP="004543E0">
      <w:pPr>
        <w:pStyle w:val="Heading4"/>
        <w:spacing w:before="200"/>
      </w:pPr>
      <w:r w:rsidRPr="009660EC">
        <w:t>Methane measurement and modelling</w:t>
      </w:r>
    </w:p>
    <w:p w14:paraId="415CCF8B" w14:textId="77777777" w:rsidR="004543E0" w:rsidRPr="009660EC" w:rsidRDefault="004543E0" w:rsidP="004543E0">
      <w:pPr>
        <w:pStyle w:val="BodyText"/>
        <w:spacing w:before="100"/>
      </w:pPr>
      <w:r w:rsidRPr="009660EC">
        <w:t>New Zealand uses country-specific methodology and emission factors for estimating enteric fermentation CH</w:t>
      </w:r>
      <w:r w:rsidRPr="009660EC">
        <w:rPr>
          <w:vertAlign w:val="subscript"/>
        </w:rPr>
        <w:t>4</w:t>
      </w:r>
      <w:r w:rsidRPr="009660EC">
        <w:t xml:space="preserve"> emissions per kilogram of feed (i.e., DMI) for several reasons. First, the data requirements for existing digestion models</w:t>
      </w:r>
      <w:r w:rsidRPr="009660EC">
        <w:rPr>
          <w:rStyle w:val="FootnoteReference"/>
          <w:rFonts w:cs="Calibri"/>
        </w:rPr>
        <w:footnoteReference w:id="43"/>
      </w:r>
      <w:r w:rsidRPr="009660EC">
        <w:t xml:space="preserve"> are less relevant, given New Zealand’s predominantly pasture-based systems. The relationships in these models have been largely derived from animals fed indoors on diets dissimilar to the grass-based diets of New Zealand livestock. Further, none of these methods had high predictive power when compared against empirical experimental data derived from New Zealand research (Clark et al., 2003).</w:t>
      </w:r>
    </w:p>
    <w:p w14:paraId="2092F0C6" w14:textId="77777777" w:rsidR="004543E0" w:rsidRPr="009660EC" w:rsidRDefault="004543E0" w:rsidP="004543E0">
      <w:pPr>
        <w:pStyle w:val="BodyText"/>
        <w:spacing w:before="100" w:after="0"/>
      </w:pPr>
      <w:r w:rsidRPr="009660EC">
        <w:t>Since 1996, New Zealand scientists have been measuring CH</w:t>
      </w:r>
      <w:r w:rsidRPr="009660EC">
        <w:rPr>
          <w:vertAlign w:val="subscript"/>
        </w:rPr>
        <w:t>4</w:t>
      </w:r>
      <w:r w:rsidRPr="009660EC">
        <w:t xml:space="preserve"> emissions from grazing cattle and sheep initially using the sulphur hexafluoride (SF</w:t>
      </w:r>
      <w:r w:rsidRPr="009660EC">
        <w:rPr>
          <w:vertAlign w:val="subscript"/>
        </w:rPr>
        <w:t>6</w:t>
      </w:r>
      <w:r w:rsidRPr="009660EC">
        <w:t>) tracer technique (Lassey et al., 1997; Ulyatt et al., 1999). In recent years, New Zealand has invested in respiration chambers, which are considered the gold standard for assessing CH</w:t>
      </w:r>
      <w:r w:rsidRPr="009660EC">
        <w:rPr>
          <w:vertAlign w:val="subscript"/>
        </w:rPr>
        <w:t>4</w:t>
      </w:r>
      <w:r w:rsidRPr="009660EC">
        <w:t xml:space="preserve"> emissions from livestock. These have been used to derive respiration-chamber-based measurements of CH</w:t>
      </w:r>
      <w:r w:rsidRPr="009660EC">
        <w:rPr>
          <w:vertAlign w:val="subscript"/>
        </w:rPr>
        <w:t>4</w:t>
      </w:r>
      <w:r w:rsidRPr="009660EC">
        <w:t xml:space="preserve"> emissions for sheep and more recently, an expanded programme for dairy and beef cattle. </w:t>
      </w:r>
    </w:p>
    <w:p w14:paraId="402B9746" w14:textId="77777777" w:rsidR="004543E0" w:rsidRPr="009660EC" w:rsidRDefault="004543E0" w:rsidP="004543E0">
      <w:pPr>
        <w:pStyle w:val="BodyText"/>
        <w:keepLines/>
        <w:rPr>
          <w:rFonts w:cs="Calibri"/>
        </w:rPr>
      </w:pPr>
      <w:r w:rsidRPr="009660EC">
        <w:rPr>
          <w:rFonts w:cs="Calibri"/>
        </w:rPr>
        <w:lastRenderedPageBreak/>
        <w:t>To obtain New Zealand-specific values (or algorithms for sheep emissions), published and unpublished data on CH</w:t>
      </w:r>
      <w:r w:rsidRPr="009660EC">
        <w:rPr>
          <w:rFonts w:cs="Calibri"/>
          <w:vertAlign w:val="subscript"/>
        </w:rPr>
        <w:t>4</w:t>
      </w:r>
      <w:r w:rsidRPr="009660EC">
        <w:rPr>
          <w:rFonts w:cs="Calibri"/>
        </w:rPr>
        <w:t xml:space="preserve"> emissions from New Zealand were collated and average values for CH</w:t>
      </w:r>
      <w:r w:rsidRPr="009660EC">
        <w:rPr>
          <w:rFonts w:cs="Calibri"/>
          <w:vertAlign w:val="subscript"/>
        </w:rPr>
        <w:t>4</w:t>
      </w:r>
      <w:r w:rsidRPr="009660EC">
        <w:rPr>
          <w:rFonts w:cs="Calibri"/>
        </w:rPr>
        <w:t xml:space="preserve"> emissions from different categories of livestock were obtained </w:t>
      </w:r>
      <w:r w:rsidRPr="009660EC">
        <w:rPr>
          <w:rFonts w:cs="Calibri"/>
          <w:spacing w:val="-2"/>
        </w:rPr>
        <w:t xml:space="preserve">(Clark et al., 2003; </w:t>
      </w:r>
      <w:r w:rsidRPr="009660EC">
        <w:rPr>
          <w:rFonts w:cs="Calibri"/>
        </w:rPr>
        <w:t>Swainson et al., 2016). Sufficient data were available to obtain values for cattle and to generate a suitable set of algorithms for sheep. The associated data are presented in table 5.2.2 together with the IPCC (2006, tables 10.12 and 10.13) default values for per cent gross energy intake (GEI) used to calculate CH</w:t>
      </w:r>
      <w:r w:rsidRPr="009660EC">
        <w:rPr>
          <w:rFonts w:cs="Calibri"/>
          <w:vertAlign w:val="subscript"/>
        </w:rPr>
        <w:t>4</w:t>
      </w:r>
      <w:r w:rsidRPr="009660EC">
        <w:rPr>
          <w:rFonts w:cs="Calibri"/>
        </w:rPr>
        <w:t xml:space="preserve">. The New Zealand values for cattle fall within the IPCC range and are applied in this submission. </w:t>
      </w:r>
    </w:p>
    <w:p w14:paraId="63572CDF" w14:textId="77777777" w:rsidR="004543E0" w:rsidRPr="009660EC" w:rsidRDefault="004543E0" w:rsidP="004543E0">
      <w:pPr>
        <w:pStyle w:val="Table"/>
        <w:rPr>
          <w:rFonts w:cs="Calibri"/>
        </w:rPr>
      </w:pPr>
      <w:bookmarkStart w:id="703" w:name="_Toc441830869"/>
      <w:bookmarkStart w:id="704" w:name="_Toc451176083"/>
      <w:bookmarkStart w:id="705" w:name="_Toc481751509"/>
      <w:bookmarkStart w:id="706" w:name="_Toc507158599"/>
      <w:bookmarkStart w:id="707" w:name="_Toc511116733"/>
      <w:bookmarkStart w:id="708" w:name="_Toc5269473"/>
      <w:bookmarkStart w:id="709" w:name="_Toc32570914"/>
      <w:bookmarkStart w:id="710" w:name="_Toc36224549"/>
      <w:bookmarkStart w:id="711" w:name="_Toc68786435"/>
      <w:bookmarkStart w:id="712" w:name="_Toc95574070"/>
      <w:bookmarkStart w:id="713" w:name="_Toc99659243"/>
      <w:r w:rsidRPr="009660EC">
        <w:rPr>
          <w:rFonts w:cs="Calibri"/>
        </w:rPr>
        <w:t>Table 5.2.2</w:t>
      </w:r>
      <w:r w:rsidRPr="009660EC">
        <w:rPr>
          <w:rFonts w:cs="Calibri"/>
        </w:rPr>
        <w:tab/>
        <w:t>Methane (CH</w:t>
      </w:r>
      <w:r w:rsidRPr="009660EC">
        <w:rPr>
          <w:rFonts w:cs="Calibri"/>
          <w:vertAlign w:val="subscript"/>
        </w:rPr>
        <w:t>4</w:t>
      </w:r>
      <w:r w:rsidRPr="009660EC">
        <w:rPr>
          <w:rFonts w:cs="Calibri"/>
        </w:rPr>
        <w:t>) emissions and gross energy intake (GEI) from New Zealand measurements and IPCC (2006) default values</w:t>
      </w:r>
      <w:bookmarkEnd w:id="703"/>
      <w:bookmarkEnd w:id="704"/>
      <w:bookmarkEnd w:id="705"/>
      <w:bookmarkEnd w:id="706"/>
      <w:bookmarkEnd w:id="707"/>
      <w:bookmarkEnd w:id="708"/>
      <w:bookmarkEnd w:id="709"/>
      <w:bookmarkEnd w:id="710"/>
      <w:bookmarkEnd w:id="711"/>
      <w:bookmarkEnd w:id="712"/>
      <w:bookmarkEnd w:id="713"/>
    </w:p>
    <w:tbl>
      <w:tblPr>
        <w:tblW w:w="8505" w:type="dxa"/>
        <w:tblInd w:w="113" w:type="dxa"/>
        <w:tblBorders>
          <w:top w:val="single" w:sz="4" w:space="0" w:color="44546A"/>
          <w:bottom w:val="single" w:sz="4" w:space="0" w:color="44546A"/>
          <w:insideH w:val="single" w:sz="4" w:space="0" w:color="44546A"/>
        </w:tblBorders>
        <w:tblLayout w:type="fixed"/>
        <w:tblLook w:val="0000" w:firstRow="0" w:lastRow="0" w:firstColumn="0" w:lastColumn="0" w:noHBand="0" w:noVBand="0"/>
      </w:tblPr>
      <w:tblGrid>
        <w:gridCol w:w="3402"/>
        <w:gridCol w:w="1418"/>
        <w:gridCol w:w="1701"/>
        <w:gridCol w:w="1984"/>
      </w:tblGrid>
      <w:tr w:rsidR="004543E0" w:rsidRPr="009660EC" w14:paraId="3123599F" w14:textId="77777777" w:rsidTr="00CF021E">
        <w:trPr>
          <w:tblHeader/>
        </w:trPr>
        <w:tc>
          <w:tcPr>
            <w:tcW w:w="3402" w:type="dxa"/>
            <w:shd w:val="clear" w:color="auto" w:fill="1B556B"/>
            <w:vAlign w:val="bottom"/>
          </w:tcPr>
          <w:p w14:paraId="22615C0D" w14:textId="77777777" w:rsidR="004543E0" w:rsidRPr="004543E0" w:rsidRDefault="004543E0" w:rsidP="007E3239">
            <w:pPr>
              <w:pStyle w:val="TableTextBold"/>
              <w:keepNext/>
              <w:rPr>
                <w:noProof w:val="0"/>
                <w:color w:val="FFFFFF"/>
              </w:rPr>
            </w:pPr>
          </w:p>
        </w:tc>
        <w:tc>
          <w:tcPr>
            <w:tcW w:w="1418" w:type="dxa"/>
            <w:shd w:val="clear" w:color="auto" w:fill="1B556B"/>
            <w:vAlign w:val="bottom"/>
          </w:tcPr>
          <w:p w14:paraId="0C152DED" w14:textId="77777777" w:rsidR="004543E0" w:rsidRPr="004543E0" w:rsidRDefault="004543E0" w:rsidP="007E3239">
            <w:pPr>
              <w:pStyle w:val="TableTextBold"/>
              <w:keepNext/>
              <w:jc w:val="center"/>
              <w:rPr>
                <w:noProof w:val="0"/>
                <w:color w:val="FFFFFF"/>
              </w:rPr>
            </w:pPr>
            <w:r w:rsidRPr="004543E0">
              <w:rPr>
                <w:noProof w:val="0"/>
                <w:color w:val="FFFFFF"/>
              </w:rPr>
              <w:t>Adult cattle</w:t>
            </w:r>
          </w:p>
        </w:tc>
        <w:tc>
          <w:tcPr>
            <w:tcW w:w="1701" w:type="dxa"/>
            <w:shd w:val="clear" w:color="auto" w:fill="1B556B"/>
            <w:vAlign w:val="bottom"/>
          </w:tcPr>
          <w:p w14:paraId="238F905A" w14:textId="77777777" w:rsidR="004543E0" w:rsidRPr="004543E0" w:rsidRDefault="004543E0" w:rsidP="007E3239">
            <w:pPr>
              <w:pStyle w:val="TableTextBold"/>
              <w:keepNext/>
              <w:jc w:val="center"/>
              <w:rPr>
                <w:noProof w:val="0"/>
                <w:color w:val="FFFFFF"/>
              </w:rPr>
            </w:pPr>
            <w:r w:rsidRPr="004543E0">
              <w:rPr>
                <w:noProof w:val="0"/>
                <w:color w:val="FFFFFF"/>
              </w:rPr>
              <w:t>Adult sheep (&gt; 1 year)</w:t>
            </w:r>
          </w:p>
        </w:tc>
        <w:tc>
          <w:tcPr>
            <w:tcW w:w="1984" w:type="dxa"/>
            <w:shd w:val="clear" w:color="auto" w:fill="1B556B"/>
            <w:vAlign w:val="bottom"/>
          </w:tcPr>
          <w:p w14:paraId="55A18976" w14:textId="77777777" w:rsidR="004543E0" w:rsidRPr="004543E0" w:rsidRDefault="004543E0" w:rsidP="007E3239">
            <w:pPr>
              <w:pStyle w:val="TableTextBold"/>
              <w:keepNext/>
              <w:jc w:val="center"/>
              <w:rPr>
                <w:noProof w:val="0"/>
                <w:color w:val="FFFFFF"/>
              </w:rPr>
            </w:pPr>
            <w:r w:rsidRPr="004543E0">
              <w:rPr>
                <w:noProof w:val="0"/>
                <w:color w:val="FFFFFF"/>
              </w:rPr>
              <w:t>Young sheep (&lt; 1 year)</w:t>
            </w:r>
          </w:p>
        </w:tc>
      </w:tr>
      <w:tr w:rsidR="004543E0" w:rsidRPr="009660EC" w14:paraId="05A83FA5" w14:textId="77777777" w:rsidTr="00CF021E">
        <w:tc>
          <w:tcPr>
            <w:tcW w:w="3402" w:type="dxa"/>
            <w:vAlign w:val="bottom"/>
          </w:tcPr>
          <w:p w14:paraId="3431F5DD" w14:textId="77777777" w:rsidR="004543E0" w:rsidRPr="009660EC" w:rsidRDefault="004543E0" w:rsidP="007E3239">
            <w:pPr>
              <w:pStyle w:val="TableText"/>
              <w:keepNext/>
              <w:spacing w:before="50" w:after="50"/>
              <w:rPr>
                <w:rFonts w:cs="Calibri"/>
              </w:rPr>
            </w:pPr>
            <w:r w:rsidRPr="009660EC">
              <w:rPr>
                <w:rFonts w:cs="Calibri"/>
              </w:rPr>
              <w:t>New Zealand CH</w:t>
            </w:r>
            <w:r w:rsidRPr="009660EC">
              <w:rPr>
                <w:rFonts w:cs="Calibri"/>
                <w:vertAlign w:val="subscript"/>
              </w:rPr>
              <w:t>4</w:t>
            </w:r>
            <w:r w:rsidRPr="009660EC">
              <w:rPr>
                <w:rFonts w:cs="Calibri"/>
              </w:rPr>
              <w:t xml:space="preserve"> emission rates from Clark et al. (2003) and Swainson et al. (2016) (g CH</w:t>
            </w:r>
            <w:r w:rsidRPr="009660EC">
              <w:rPr>
                <w:rFonts w:cs="Calibri"/>
                <w:vertAlign w:val="subscript"/>
              </w:rPr>
              <w:t>4</w:t>
            </w:r>
            <w:r w:rsidRPr="009660EC">
              <w:rPr>
                <w:rFonts w:cs="Calibri"/>
              </w:rPr>
              <w:t>/kg DMI)</w:t>
            </w:r>
          </w:p>
        </w:tc>
        <w:tc>
          <w:tcPr>
            <w:tcW w:w="1418" w:type="dxa"/>
            <w:vAlign w:val="bottom"/>
          </w:tcPr>
          <w:p w14:paraId="7BB1F599" w14:textId="77777777" w:rsidR="004543E0" w:rsidRPr="009660EC" w:rsidRDefault="004543E0" w:rsidP="007E3239">
            <w:pPr>
              <w:pStyle w:val="TableText"/>
              <w:keepNext/>
              <w:spacing w:before="50" w:after="50"/>
              <w:jc w:val="center"/>
              <w:rPr>
                <w:rFonts w:cs="Calibri"/>
              </w:rPr>
            </w:pPr>
            <w:r w:rsidRPr="009660EC">
              <w:rPr>
                <w:rFonts w:cs="Calibri"/>
              </w:rPr>
              <w:t>21.6 × DMI</w:t>
            </w:r>
          </w:p>
        </w:tc>
        <w:tc>
          <w:tcPr>
            <w:tcW w:w="1701" w:type="dxa"/>
            <w:vAlign w:val="bottom"/>
          </w:tcPr>
          <w:p w14:paraId="7527F85F" w14:textId="751AD662" w:rsidR="004543E0" w:rsidRPr="009660EC" w:rsidRDefault="004543E0" w:rsidP="007E3239">
            <w:pPr>
              <w:pStyle w:val="TableText"/>
              <w:keepNext/>
              <w:spacing w:before="50" w:after="50"/>
              <w:jc w:val="center"/>
              <w:rPr>
                <w:rFonts w:cs="Calibri"/>
              </w:rPr>
            </w:pPr>
            <w:r w:rsidRPr="009660EC">
              <w:rPr>
                <w:rFonts w:cs="Calibri"/>
              </w:rPr>
              <w:t>21.977 × DM</w:t>
            </w:r>
            <w:r w:rsidR="002F002A">
              <w:rPr>
                <w:rFonts w:cs="Calibri"/>
              </w:rPr>
              <w:t>I</w:t>
            </w:r>
            <w:r w:rsidRPr="009660EC">
              <w:rPr>
                <w:rFonts w:cs="Calibri"/>
                <w:vertAlign w:val="superscript"/>
              </w:rPr>
              <w:t>0.765</w:t>
            </w:r>
          </w:p>
        </w:tc>
        <w:tc>
          <w:tcPr>
            <w:tcW w:w="1984" w:type="dxa"/>
            <w:vAlign w:val="bottom"/>
          </w:tcPr>
          <w:p w14:paraId="19705637" w14:textId="77777777" w:rsidR="004543E0" w:rsidRPr="009660EC" w:rsidRDefault="004543E0" w:rsidP="007E3239">
            <w:pPr>
              <w:pStyle w:val="TableText"/>
              <w:keepNext/>
              <w:spacing w:before="50" w:after="50"/>
              <w:jc w:val="center"/>
              <w:rPr>
                <w:rFonts w:cs="Calibri"/>
              </w:rPr>
            </w:pPr>
            <w:r w:rsidRPr="009660EC">
              <w:rPr>
                <w:rFonts w:cs="Calibri"/>
              </w:rPr>
              <w:t>11.705 × e</w:t>
            </w:r>
            <w:r w:rsidRPr="009660EC">
              <w:rPr>
                <w:rFonts w:cs="Calibri"/>
                <w:vertAlign w:val="superscript"/>
              </w:rPr>
              <w:t>0.5ME</w:t>
            </w:r>
            <w:r w:rsidRPr="009660EC">
              <w:rPr>
                <w:rFonts w:cs="Calibri"/>
              </w:rPr>
              <w:t xml:space="preserve"> × DMI</w:t>
            </w:r>
            <w:r w:rsidRPr="009660EC">
              <w:rPr>
                <w:rFonts w:cs="Calibri"/>
                <w:vertAlign w:val="superscript"/>
              </w:rPr>
              <w:t>0.734</w:t>
            </w:r>
          </w:p>
        </w:tc>
      </w:tr>
      <w:tr w:rsidR="004543E0" w:rsidRPr="009660EC" w14:paraId="29B8441D" w14:textId="77777777" w:rsidTr="00CF021E">
        <w:tc>
          <w:tcPr>
            <w:tcW w:w="3402" w:type="dxa"/>
            <w:shd w:val="clear" w:color="auto" w:fill="auto"/>
            <w:vAlign w:val="bottom"/>
          </w:tcPr>
          <w:p w14:paraId="229E513E" w14:textId="77777777" w:rsidR="004543E0" w:rsidRPr="009660EC" w:rsidRDefault="004543E0" w:rsidP="007E3239">
            <w:pPr>
              <w:pStyle w:val="TableText"/>
              <w:spacing w:before="50" w:after="50"/>
              <w:rPr>
                <w:rFonts w:cs="Calibri"/>
              </w:rPr>
            </w:pPr>
            <w:r w:rsidRPr="009660EC">
              <w:rPr>
                <w:rFonts w:cs="Calibri"/>
              </w:rPr>
              <w:t>New Zealand data (GEI, %)</w:t>
            </w:r>
          </w:p>
        </w:tc>
        <w:tc>
          <w:tcPr>
            <w:tcW w:w="1418" w:type="dxa"/>
            <w:shd w:val="clear" w:color="auto" w:fill="auto"/>
            <w:vAlign w:val="bottom"/>
          </w:tcPr>
          <w:p w14:paraId="2E9F891F" w14:textId="77777777" w:rsidR="004543E0" w:rsidRPr="009660EC" w:rsidRDefault="004543E0" w:rsidP="007E3239">
            <w:pPr>
              <w:pStyle w:val="TableText"/>
              <w:spacing w:before="50" w:after="50"/>
              <w:jc w:val="center"/>
              <w:rPr>
                <w:rFonts w:cs="Calibri"/>
              </w:rPr>
            </w:pPr>
            <w:r w:rsidRPr="009660EC">
              <w:rPr>
                <w:rFonts w:cs="Calibri"/>
              </w:rPr>
              <w:t>6.5</w:t>
            </w:r>
          </w:p>
        </w:tc>
        <w:tc>
          <w:tcPr>
            <w:tcW w:w="1701" w:type="dxa"/>
            <w:shd w:val="clear" w:color="auto" w:fill="auto"/>
            <w:vAlign w:val="bottom"/>
          </w:tcPr>
          <w:p w14:paraId="395C3CAF" w14:textId="77777777" w:rsidR="004543E0" w:rsidRPr="009660EC" w:rsidRDefault="004543E0" w:rsidP="007E3239">
            <w:pPr>
              <w:pStyle w:val="TableText"/>
              <w:spacing w:before="50" w:after="50"/>
              <w:jc w:val="center"/>
              <w:rPr>
                <w:rFonts w:cs="Calibri"/>
              </w:rPr>
            </w:pPr>
            <w:r w:rsidRPr="009660EC">
              <w:rPr>
                <w:rFonts w:cs="Calibri"/>
              </w:rPr>
              <w:t>–</w:t>
            </w:r>
          </w:p>
        </w:tc>
        <w:tc>
          <w:tcPr>
            <w:tcW w:w="1984" w:type="dxa"/>
            <w:shd w:val="clear" w:color="auto" w:fill="auto"/>
            <w:vAlign w:val="bottom"/>
          </w:tcPr>
          <w:p w14:paraId="2290D7EC" w14:textId="77777777" w:rsidR="004543E0" w:rsidRPr="009660EC" w:rsidRDefault="004543E0" w:rsidP="007E3239">
            <w:pPr>
              <w:pStyle w:val="TableText"/>
              <w:spacing w:before="50" w:after="50"/>
              <w:jc w:val="center"/>
              <w:rPr>
                <w:rFonts w:cs="Calibri"/>
              </w:rPr>
            </w:pPr>
            <w:r w:rsidRPr="009660EC">
              <w:rPr>
                <w:rFonts w:cs="Calibri"/>
              </w:rPr>
              <w:t>–</w:t>
            </w:r>
          </w:p>
        </w:tc>
      </w:tr>
      <w:tr w:rsidR="004543E0" w:rsidRPr="009660EC" w14:paraId="3775EA27" w14:textId="77777777" w:rsidTr="00CF021E">
        <w:tc>
          <w:tcPr>
            <w:tcW w:w="3402" w:type="dxa"/>
            <w:vAlign w:val="bottom"/>
          </w:tcPr>
          <w:p w14:paraId="1D19DC09" w14:textId="77777777" w:rsidR="004543E0" w:rsidRPr="009660EC" w:rsidRDefault="004543E0" w:rsidP="007E3239">
            <w:pPr>
              <w:pStyle w:val="TableText"/>
              <w:spacing w:before="50" w:after="50"/>
              <w:rPr>
                <w:rFonts w:cs="Calibri"/>
              </w:rPr>
            </w:pPr>
            <w:r w:rsidRPr="009660EC">
              <w:rPr>
                <w:rFonts w:cs="Calibri"/>
              </w:rPr>
              <w:t>IPCC (2006) default Y</w:t>
            </w:r>
            <w:r w:rsidRPr="009660EC">
              <w:rPr>
                <w:rFonts w:cs="Calibri"/>
                <w:vertAlign w:val="subscript"/>
              </w:rPr>
              <w:t>m</w:t>
            </w:r>
            <w:r w:rsidRPr="009660EC">
              <w:rPr>
                <w:rFonts w:cs="Calibri"/>
              </w:rPr>
              <w:t xml:space="preserve"> values (GEI, %)</w:t>
            </w:r>
          </w:p>
        </w:tc>
        <w:tc>
          <w:tcPr>
            <w:tcW w:w="1418" w:type="dxa"/>
            <w:vAlign w:val="bottom"/>
          </w:tcPr>
          <w:p w14:paraId="041B1466" w14:textId="77777777" w:rsidR="004543E0" w:rsidRPr="009660EC" w:rsidRDefault="004543E0" w:rsidP="007E3239">
            <w:pPr>
              <w:pStyle w:val="TableText"/>
              <w:spacing w:before="50" w:after="50"/>
              <w:jc w:val="center"/>
              <w:rPr>
                <w:rFonts w:cs="Calibri"/>
              </w:rPr>
            </w:pPr>
            <w:r w:rsidRPr="009660EC">
              <w:rPr>
                <w:rFonts w:cs="Calibri"/>
              </w:rPr>
              <w:t>6.5 ± 1.0</w:t>
            </w:r>
          </w:p>
        </w:tc>
        <w:tc>
          <w:tcPr>
            <w:tcW w:w="1701" w:type="dxa"/>
            <w:vAlign w:val="bottom"/>
          </w:tcPr>
          <w:p w14:paraId="1DEA3957" w14:textId="77777777" w:rsidR="004543E0" w:rsidRPr="009660EC" w:rsidRDefault="004543E0" w:rsidP="007E3239">
            <w:pPr>
              <w:pStyle w:val="TableText"/>
              <w:spacing w:before="50" w:after="50"/>
              <w:jc w:val="center"/>
              <w:rPr>
                <w:rFonts w:cs="Calibri"/>
              </w:rPr>
            </w:pPr>
            <w:r w:rsidRPr="009660EC">
              <w:rPr>
                <w:rFonts w:cs="Calibri"/>
              </w:rPr>
              <w:t>6.5 ± 1.0</w:t>
            </w:r>
          </w:p>
        </w:tc>
        <w:tc>
          <w:tcPr>
            <w:tcW w:w="1984" w:type="dxa"/>
            <w:vAlign w:val="bottom"/>
          </w:tcPr>
          <w:p w14:paraId="3DA67F7E" w14:textId="77777777" w:rsidR="004543E0" w:rsidRPr="009660EC" w:rsidRDefault="004543E0" w:rsidP="007E3239">
            <w:pPr>
              <w:pStyle w:val="TableText"/>
              <w:spacing w:before="50" w:after="50"/>
              <w:jc w:val="center"/>
              <w:rPr>
                <w:rFonts w:cs="Calibri"/>
              </w:rPr>
            </w:pPr>
            <w:r w:rsidRPr="009660EC">
              <w:rPr>
                <w:rFonts w:cs="Calibri"/>
              </w:rPr>
              <w:t>4.5 ± 1.0</w:t>
            </w:r>
          </w:p>
        </w:tc>
      </w:tr>
    </w:tbl>
    <w:p w14:paraId="41A4AACB" w14:textId="77777777" w:rsidR="004543E0" w:rsidRPr="009660EC" w:rsidRDefault="004543E0" w:rsidP="004543E0">
      <w:pPr>
        <w:pStyle w:val="Noteundertable"/>
        <w:rPr>
          <w:rFonts w:cs="Calibri"/>
        </w:rPr>
      </w:pPr>
      <w:r w:rsidRPr="009660EC">
        <w:rPr>
          <w:rFonts w:cs="Calibri"/>
          <w:b/>
          <w:bCs/>
        </w:rPr>
        <w:t xml:space="preserve">Note: </w:t>
      </w:r>
      <w:r w:rsidRPr="009660EC">
        <w:rPr>
          <w:rFonts w:cs="Calibri"/>
        </w:rPr>
        <w:tab/>
        <w:t>DMI = dry matter intake; Y</w:t>
      </w:r>
      <w:r w:rsidRPr="009660EC">
        <w:rPr>
          <w:rFonts w:cs="Calibri"/>
          <w:vertAlign w:val="subscript"/>
        </w:rPr>
        <w:t>m</w:t>
      </w:r>
      <w:r w:rsidRPr="009660EC">
        <w:rPr>
          <w:rFonts w:cs="Calibri"/>
        </w:rPr>
        <w:t xml:space="preserve"> = methane yield, ME = metabolisable energy.</w:t>
      </w:r>
    </w:p>
    <w:p w14:paraId="6538F24E" w14:textId="77777777" w:rsidR="004543E0" w:rsidRPr="009660EC" w:rsidRDefault="004543E0" w:rsidP="004543E0">
      <w:pPr>
        <w:pStyle w:val="BodyText"/>
        <w:rPr>
          <w:rFonts w:cs="Calibri"/>
        </w:rPr>
      </w:pPr>
      <w:r w:rsidRPr="009660EC">
        <w:rPr>
          <w:rFonts w:cs="Calibri"/>
        </w:rPr>
        <w:t>The adult cattle value is applied to all dairy and beef cattle, irrespective of age. The value for deer is calculated based on the average value for adult cows and the (now defunct) CH</w:t>
      </w:r>
      <w:r w:rsidRPr="009660EC">
        <w:rPr>
          <w:rFonts w:cs="Calibri"/>
          <w:vertAlign w:val="subscript"/>
        </w:rPr>
        <w:t>4</w:t>
      </w:r>
      <w:r w:rsidRPr="009660EC">
        <w:rPr>
          <w:rFonts w:cs="Calibri"/>
        </w:rPr>
        <w:t xml:space="preserve"> emission rate for adult ewes</w:t>
      </w:r>
      <w:r w:rsidRPr="009660EC">
        <w:rPr>
          <w:rStyle w:val="FootnoteReference"/>
          <w:rFonts w:cs="Calibri"/>
        </w:rPr>
        <w:footnoteReference w:id="44"/>
      </w:r>
      <w:r w:rsidRPr="009660EC">
        <w:rPr>
          <w:rFonts w:cs="Calibri"/>
        </w:rPr>
        <w:t xml:space="preserve"> (Clark et al., 2003). In very young animals receiving a milk diet, no CH</w:t>
      </w:r>
      <w:r w:rsidRPr="009660EC">
        <w:rPr>
          <w:rFonts w:cs="Calibri"/>
          <w:vertAlign w:val="subscript"/>
        </w:rPr>
        <w:t>4</w:t>
      </w:r>
      <w:r w:rsidRPr="009660EC">
        <w:rPr>
          <w:rFonts w:cs="Calibri"/>
        </w:rPr>
        <w:t xml:space="preserve"> emissions are assumed to arise from the milk portion of the diet duration.</w:t>
      </w:r>
    </w:p>
    <w:p w14:paraId="54B47BE4" w14:textId="77777777" w:rsidR="004543E0" w:rsidRPr="009660EC" w:rsidRDefault="004543E0" w:rsidP="004543E0">
      <w:pPr>
        <w:pStyle w:val="BodyText"/>
        <w:rPr>
          <w:rFonts w:cs="Calibri"/>
        </w:rPr>
      </w:pPr>
      <w:r w:rsidRPr="009660EC">
        <w:rPr>
          <w:rFonts w:cs="Calibri"/>
        </w:rPr>
        <w:t>Table 5.2.3 shows a time series of CH</w:t>
      </w:r>
      <w:r w:rsidRPr="009660EC">
        <w:rPr>
          <w:rFonts w:cs="Calibri"/>
          <w:vertAlign w:val="subscript"/>
        </w:rPr>
        <w:t>4</w:t>
      </w:r>
      <w:r w:rsidRPr="009660EC">
        <w:rPr>
          <w:rFonts w:cs="Calibri"/>
        </w:rPr>
        <w:t xml:space="preserve"> IEFs (total emissions produced per animal type divided by the population of animals for each category) for dairy cattle, beef cattle, sheep and deer. New Zealand experiences significant inter-annual variability in these IEFs, which is explained further in section 5.1.1. In table 5.2.3, </w:t>
      </w:r>
      <w:r w:rsidRPr="009660EC">
        <w:rPr>
          <w:rFonts w:cs="Calibri"/>
          <w:i/>
          <w:iCs/>
        </w:rPr>
        <w:t>Milking dairy cattle</w:t>
      </w:r>
      <w:r w:rsidRPr="009660EC">
        <w:rPr>
          <w:rFonts w:cs="Calibri"/>
        </w:rPr>
        <w:t xml:space="preserve"> is a subset of </w:t>
      </w:r>
      <w:r w:rsidRPr="009660EC">
        <w:rPr>
          <w:rFonts w:cs="Calibri"/>
          <w:i/>
          <w:iCs/>
        </w:rPr>
        <w:t>All dairy cattle</w:t>
      </w:r>
      <w:r w:rsidRPr="009660EC">
        <w:rPr>
          <w:rFonts w:cs="Calibri"/>
        </w:rPr>
        <w:t xml:space="preserve"> and only includes mature dairy cows that are being milked. </w:t>
      </w:r>
      <w:r w:rsidRPr="009660EC">
        <w:rPr>
          <w:rFonts w:cs="Calibri"/>
          <w:i/>
          <w:iCs/>
        </w:rPr>
        <w:t>All dairy cattle</w:t>
      </w:r>
      <w:r w:rsidRPr="009660EC">
        <w:rPr>
          <w:rFonts w:cs="Calibri"/>
        </w:rPr>
        <w:t xml:space="preserve"> includes milking cows as well as calves, dairy bulls and other dairy cattle not being milked.</w:t>
      </w:r>
    </w:p>
    <w:p w14:paraId="2B01C6B3" w14:textId="77777777" w:rsidR="004543E0" w:rsidRPr="009660EC" w:rsidRDefault="004543E0" w:rsidP="004543E0">
      <w:pPr>
        <w:pStyle w:val="Table"/>
        <w:rPr>
          <w:rFonts w:cs="Calibri"/>
        </w:rPr>
      </w:pPr>
      <w:bookmarkStart w:id="714" w:name="_Toc441830870"/>
      <w:bookmarkStart w:id="715" w:name="_Toc451176084"/>
      <w:bookmarkStart w:id="716" w:name="_Toc481751510"/>
      <w:bookmarkStart w:id="717" w:name="_Toc507158600"/>
      <w:bookmarkStart w:id="718" w:name="_Toc511116734"/>
      <w:bookmarkStart w:id="719" w:name="_Toc5269474"/>
      <w:bookmarkStart w:id="720" w:name="_Toc32570915"/>
      <w:bookmarkStart w:id="721" w:name="_Toc36224550"/>
      <w:bookmarkStart w:id="722" w:name="_Toc68786436"/>
      <w:bookmarkStart w:id="723" w:name="_Toc95574071"/>
      <w:bookmarkStart w:id="724" w:name="_Toc99659244"/>
      <w:r w:rsidRPr="009660EC">
        <w:rPr>
          <w:rFonts w:cs="Calibri"/>
        </w:rPr>
        <w:t>Table 5.2.3</w:t>
      </w:r>
      <w:r w:rsidRPr="009660EC">
        <w:rPr>
          <w:rFonts w:cs="Calibri"/>
        </w:rPr>
        <w:tab/>
        <w:t>New Zealand’s implied emission factors for enteric fermentation from 1990 to</w:t>
      </w:r>
      <w:bookmarkEnd w:id="714"/>
      <w:bookmarkEnd w:id="715"/>
      <w:bookmarkEnd w:id="716"/>
      <w:r w:rsidRPr="009660EC">
        <w:rPr>
          <w:rFonts w:cs="Calibri"/>
        </w:rPr>
        <w:t> </w:t>
      </w:r>
      <w:bookmarkEnd w:id="717"/>
      <w:bookmarkEnd w:id="718"/>
      <w:bookmarkEnd w:id="719"/>
      <w:bookmarkEnd w:id="720"/>
      <w:bookmarkEnd w:id="721"/>
      <w:bookmarkEnd w:id="722"/>
      <w:r w:rsidRPr="009660EC">
        <w:rPr>
          <w:rFonts w:cs="Calibri"/>
        </w:rPr>
        <w:t>2020</w:t>
      </w:r>
      <w:bookmarkEnd w:id="723"/>
      <w:bookmarkEnd w:id="724"/>
    </w:p>
    <w:tbl>
      <w:tblPr>
        <w:tblW w:w="8505" w:type="dxa"/>
        <w:tblInd w:w="113" w:type="dxa"/>
        <w:tblBorders>
          <w:top w:val="single" w:sz="4" w:space="0" w:color="44546A"/>
          <w:bottom w:val="single" w:sz="4" w:space="0" w:color="44546A"/>
          <w:insideH w:val="single" w:sz="4" w:space="0" w:color="44546A"/>
        </w:tblBorders>
        <w:tblLayout w:type="fixed"/>
        <w:tblLook w:val="0000" w:firstRow="0" w:lastRow="0" w:firstColumn="0" w:lastColumn="0" w:noHBand="0" w:noVBand="0"/>
      </w:tblPr>
      <w:tblGrid>
        <w:gridCol w:w="988"/>
        <w:gridCol w:w="1489"/>
        <w:gridCol w:w="1487"/>
        <w:gridCol w:w="1487"/>
        <w:gridCol w:w="1536"/>
        <w:gridCol w:w="1518"/>
      </w:tblGrid>
      <w:tr w:rsidR="004543E0" w:rsidRPr="009660EC" w14:paraId="20341946" w14:textId="77777777" w:rsidTr="00CF021E">
        <w:trPr>
          <w:trHeight w:val="623"/>
          <w:tblHeader/>
        </w:trPr>
        <w:tc>
          <w:tcPr>
            <w:tcW w:w="988" w:type="dxa"/>
            <w:shd w:val="clear" w:color="auto" w:fill="1B556B"/>
            <w:vAlign w:val="bottom"/>
          </w:tcPr>
          <w:p w14:paraId="7E3097F1" w14:textId="77777777" w:rsidR="004543E0" w:rsidRPr="004543E0" w:rsidRDefault="004543E0" w:rsidP="007E3239">
            <w:pPr>
              <w:pStyle w:val="TableTextBold"/>
              <w:keepNext/>
              <w:spacing w:before="50" w:after="50"/>
              <w:rPr>
                <w:noProof w:val="0"/>
                <w:color w:val="FFFFFF"/>
                <w:szCs w:val="16"/>
              </w:rPr>
            </w:pPr>
            <w:r w:rsidRPr="004543E0">
              <w:rPr>
                <w:noProof w:val="0"/>
                <w:color w:val="FFFFFF"/>
                <w:szCs w:val="16"/>
              </w:rPr>
              <w:t>Year</w:t>
            </w:r>
          </w:p>
        </w:tc>
        <w:tc>
          <w:tcPr>
            <w:tcW w:w="1489" w:type="dxa"/>
            <w:shd w:val="clear" w:color="auto" w:fill="1B556B"/>
            <w:vAlign w:val="bottom"/>
          </w:tcPr>
          <w:p w14:paraId="2941ED5E" w14:textId="77777777" w:rsidR="004543E0" w:rsidRPr="004543E0" w:rsidRDefault="004543E0" w:rsidP="007E3239">
            <w:pPr>
              <w:pStyle w:val="TableTextBold"/>
              <w:spacing w:before="50" w:after="50"/>
              <w:jc w:val="center"/>
              <w:rPr>
                <w:noProof w:val="0"/>
                <w:color w:val="FFFFFF"/>
                <w:szCs w:val="16"/>
              </w:rPr>
            </w:pPr>
            <w:r w:rsidRPr="004543E0">
              <w:rPr>
                <w:noProof w:val="0"/>
                <w:color w:val="FFFFFF"/>
                <w:szCs w:val="16"/>
              </w:rPr>
              <w:t>All dairy cattle</w:t>
            </w:r>
            <w:r w:rsidRPr="004543E0">
              <w:rPr>
                <w:noProof w:val="0"/>
                <w:color w:val="FFFFFF"/>
                <w:szCs w:val="16"/>
              </w:rPr>
              <w:br/>
              <w:t>(kg CH</w:t>
            </w:r>
            <w:r w:rsidRPr="004543E0">
              <w:rPr>
                <w:noProof w:val="0"/>
                <w:color w:val="FFFFFF"/>
                <w:szCs w:val="16"/>
                <w:vertAlign w:val="subscript"/>
              </w:rPr>
              <w:t xml:space="preserve">4 </w:t>
            </w:r>
            <w:r w:rsidRPr="004543E0">
              <w:rPr>
                <w:noProof w:val="0"/>
                <w:color w:val="FFFFFF"/>
                <w:szCs w:val="16"/>
              </w:rPr>
              <w:t>per animal per annum)</w:t>
            </w:r>
          </w:p>
        </w:tc>
        <w:tc>
          <w:tcPr>
            <w:tcW w:w="1487" w:type="dxa"/>
            <w:shd w:val="clear" w:color="auto" w:fill="1B556B"/>
          </w:tcPr>
          <w:p w14:paraId="613BE984" w14:textId="77777777" w:rsidR="004543E0" w:rsidRPr="004543E0" w:rsidRDefault="004543E0" w:rsidP="007E3239">
            <w:pPr>
              <w:pStyle w:val="TableTextBold"/>
              <w:spacing w:before="50" w:after="50"/>
              <w:jc w:val="center"/>
              <w:rPr>
                <w:noProof w:val="0"/>
                <w:color w:val="FFFFFF"/>
                <w:szCs w:val="16"/>
              </w:rPr>
            </w:pPr>
            <w:r w:rsidRPr="004543E0">
              <w:rPr>
                <w:noProof w:val="0"/>
                <w:color w:val="FFFFFF"/>
                <w:szCs w:val="16"/>
              </w:rPr>
              <w:t>Milking dairy cattle (kg CH</w:t>
            </w:r>
            <w:r w:rsidRPr="004543E0">
              <w:rPr>
                <w:noProof w:val="0"/>
                <w:color w:val="FFFFFF"/>
                <w:szCs w:val="16"/>
                <w:vertAlign w:val="subscript"/>
              </w:rPr>
              <w:t xml:space="preserve">4 </w:t>
            </w:r>
            <w:r w:rsidRPr="004543E0">
              <w:rPr>
                <w:noProof w:val="0"/>
                <w:color w:val="FFFFFF"/>
                <w:szCs w:val="16"/>
              </w:rPr>
              <w:t>per animal per annum)</w:t>
            </w:r>
          </w:p>
        </w:tc>
        <w:tc>
          <w:tcPr>
            <w:tcW w:w="1487" w:type="dxa"/>
            <w:shd w:val="clear" w:color="auto" w:fill="1B556B"/>
            <w:vAlign w:val="bottom"/>
          </w:tcPr>
          <w:p w14:paraId="527A59E6" w14:textId="77777777" w:rsidR="004543E0" w:rsidRPr="004543E0" w:rsidRDefault="004543E0" w:rsidP="007E3239">
            <w:pPr>
              <w:pStyle w:val="TableTextBold"/>
              <w:spacing w:before="50" w:after="50"/>
              <w:jc w:val="center"/>
              <w:rPr>
                <w:noProof w:val="0"/>
                <w:color w:val="FFFFFF"/>
                <w:szCs w:val="16"/>
              </w:rPr>
            </w:pPr>
            <w:r w:rsidRPr="004543E0">
              <w:rPr>
                <w:noProof w:val="0"/>
                <w:color w:val="FFFFFF"/>
                <w:szCs w:val="16"/>
              </w:rPr>
              <w:t xml:space="preserve">Non-dairy </w:t>
            </w:r>
            <w:r w:rsidRPr="004543E0">
              <w:rPr>
                <w:i/>
                <w:iCs/>
                <w:noProof w:val="0"/>
                <w:color w:val="FFFFFF"/>
                <w:szCs w:val="16"/>
              </w:rPr>
              <w:t>(beef)</w:t>
            </w:r>
            <w:r w:rsidRPr="004543E0">
              <w:rPr>
                <w:noProof w:val="0"/>
                <w:color w:val="FFFFFF"/>
                <w:szCs w:val="16"/>
              </w:rPr>
              <w:t xml:space="preserve"> cattle (kg CH</w:t>
            </w:r>
            <w:r w:rsidRPr="004543E0">
              <w:rPr>
                <w:noProof w:val="0"/>
                <w:color w:val="FFFFFF"/>
                <w:szCs w:val="16"/>
                <w:vertAlign w:val="subscript"/>
              </w:rPr>
              <w:t xml:space="preserve">4 </w:t>
            </w:r>
            <w:r w:rsidRPr="004543E0">
              <w:rPr>
                <w:noProof w:val="0"/>
                <w:color w:val="FFFFFF"/>
                <w:szCs w:val="16"/>
              </w:rPr>
              <w:t>per animal per annum)</w:t>
            </w:r>
          </w:p>
        </w:tc>
        <w:tc>
          <w:tcPr>
            <w:tcW w:w="1536" w:type="dxa"/>
            <w:shd w:val="clear" w:color="auto" w:fill="1B556B"/>
            <w:vAlign w:val="bottom"/>
          </w:tcPr>
          <w:p w14:paraId="3AD7AA71" w14:textId="77777777" w:rsidR="004543E0" w:rsidRPr="004543E0" w:rsidRDefault="004543E0" w:rsidP="007E3239">
            <w:pPr>
              <w:pStyle w:val="TableTextBold"/>
              <w:spacing w:before="50" w:after="50"/>
              <w:jc w:val="center"/>
              <w:rPr>
                <w:noProof w:val="0"/>
                <w:color w:val="FFFFFF"/>
                <w:szCs w:val="16"/>
              </w:rPr>
            </w:pPr>
            <w:r w:rsidRPr="004543E0">
              <w:rPr>
                <w:noProof w:val="0"/>
                <w:color w:val="FFFFFF"/>
                <w:szCs w:val="16"/>
              </w:rPr>
              <w:t>Sheep, all</w:t>
            </w:r>
            <w:r w:rsidRPr="004543E0">
              <w:rPr>
                <w:noProof w:val="0"/>
                <w:color w:val="FFFFFF"/>
                <w:szCs w:val="16"/>
              </w:rPr>
              <w:br/>
              <w:t>(kg CH</w:t>
            </w:r>
            <w:r w:rsidRPr="004543E0">
              <w:rPr>
                <w:noProof w:val="0"/>
                <w:color w:val="FFFFFF"/>
                <w:szCs w:val="16"/>
                <w:vertAlign w:val="subscript"/>
              </w:rPr>
              <w:t xml:space="preserve">4 </w:t>
            </w:r>
            <w:r w:rsidRPr="004543E0">
              <w:rPr>
                <w:noProof w:val="0"/>
                <w:color w:val="FFFFFF"/>
                <w:szCs w:val="16"/>
              </w:rPr>
              <w:t>per animal per annum)</w:t>
            </w:r>
          </w:p>
        </w:tc>
        <w:tc>
          <w:tcPr>
            <w:tcW w:w="1518" w:type="dxa"/>
            <w:shd w:val="clear" w:color="auto" w:fill="1B556B"/>
            <w:vAlign w:val="bottom"/>
          </w:tcPr>
          <w:p w14:paraId="7EB27B60" w14:textId="77777777" w:rsidR="004543E0" w:rsidRPr="004543E0" w:rsidRDefault="004543E0" w:rsidP="007E3239">
            <w:pPr>
              <w:pStyle w:val="TableTextBold"/>
              <w:spacing w:before="50" w:after="50"/>
              <w:jc w:val="center"/>
              <w:rPr>
                <w:noProof w:val="0"/>
                <w:color w:val="FFFFFF"/>
                <w:szCs w:val="16"/>
              </w:rPr>
            </w:pPr>
            <w:r w:rsidRPr="004543E0">
              <w:rPr>
                <w:noProof w:val="0"/>
                <w:color w:val="FFFFFF"/>
                <w:szCs w:val="16"/>
              </w:rPr>
              <w:t>Deer (kg CH</w:t>
            </w:r>
            <w:r w:rsidRPr="004543E0">
              <w:rPr>
                <w:noProof w:val="0"/>
                <w:color w:val="FFFFFF"/>
                <w:szCs w:val="16"/>
                <w:vertAlign w:val="subscript"/>
              </w:rPr>
              <w:t xml:space="preserve">4 </w:t>
            </w:r>
            <w:r w:rsidRPr="004543E0">
              <w:rPr>
                <w:noProof w:val="0"/>
                <w:color w:val="FFFFFF"/>
                <w:szCs w:val="16"/>
              </w:rPr>
              <w:t>per animal per annum)</w:t>
            </w:r>
          </w:p>
        </w:tc>
      </w:tr>
      <w:tr w:rsidR="004543E0" w:rsidRPr="009660EC" w14:paraId="6EBF6DF7" w14:textId="77777777" w:rsidTr="00CF021E">
        <w:trPr>
          <w:trHeight w:val="239"/>
        </w:trPr>
        <w:tc>
          <w:tcPr>
            <w:tcW w:w="988" w:type="dxa"/>
          </w:tcPr>
          <w:p w14:paraId="09BA4E9A" w14:textId="77777777" w:rsidR="004543E0" w:rsidRPr="009660EC" w:rsidRDefault="004543E0" w:rsidP="007E3239">
            <w:pPr>
              <w:pStyle w:val="TableText"/>
              <w:keepNext/>
              <w:spacing w:before="50" w:after="50"/>
              <w:rPr>
                <w:rFonts w:cs="Calibri"/>
                <w:szCs w:val="16"/>
              </w:rPr>
            </w:pPr>
            <w:r w:rsidRPr="009660EC">
              <w:rPr>
                <w:rFonts w:cs="Calibri"/>
                <w:szCs w:val="16"/>
              </w:rPr>
              <w:t>1990</w:t>
            </w:r>
          </w:p>
        </w:tc>
        <w:tc>
          <w:tcPr>
            <w:tcW w:w="1489" w:type="dxa"/>
            <w:vAlign w:val="bottom"/>
          </w:tcPr>
          <w:p w14:paraId="4B6617F3" w14:textId="77777777" w:rsidR="004543E0" w:rsidRPr="009660EC" w:rsidRDefault="004543E0" w:rsidP="007E3239">
            <w:pPr>
              <w:pStyle w:val="TableText"/>
              <w:spacing w:before="50" w:after="50"/>
              <w:jc w:val="center"/>
              <w:rPr>
                <w:rFonts w:cs="Calibri"/>
                <w:szCs w:val="16"/>
              </w:rPr>
            </w:pPr>
            <w:r w:rsidRPr="009660EC">
              <w:rPr>
                <w:rFonts w:cs="Calibri"/>
                <w:szCs w:val="16"/>
              </w:rPr>
              <w:t>71.5</w:t>
            </w:r>
          </w:p>
        </w:tc>
        <w:tc>
          <w:tcPr>
            <w:tcW w:w="1487" w:type="dxa"/>
            <w:vAlign w:val="center"/>
          </w:tcPr>
          <w:p w14:paraId="26B1B359" w14:textId="77777777" w:rsidR="004543E0" w:rsidRPr="009660EC" w:rsidRDefault="004543E0" w:rsidP="007E3239">
            <w:pPr>
              <w:pStyle w:val="TableText"/>
              <w:spacing w:before="50" w:after="50"/>
              <w:jc w:val="center"/>
              <w:rPr>
                <w:rFonts w:cs="Calibri"/>
                <w:szCs w:val="16"/>
              </w:rPr>
            </w:pPr>
            <w:r w:rsidRPr="009660EC">
              <w:rPr>
                <w:rFonts w:cs="Calibri"/>
                <w:szCs w:val="16"/>
              </w:rPr>
              <w:t>76.5</w:t>
            </w:r>
          </w:p>
        </w:tc>
        <w:tc>
          <w:tcPr>
            <w:tcW w:w="1487" w:type="dxa"/>
            <w:vAlign w:val="bottom"/>
          </w:tcPr>
          <w:p w14:paraId="0A3A30A8" w14:textId="77777777" w:rsidR="004543E0" w:rsidRPr="009660EC" w:rsidRDefault="004543E0" w:rsidP="007E3239">
            <w:pPr>
              <w:pStyle w:val="TableText"/>
              <w:spacing w:before="50" w:after="50"/>
              <w:jc w:val="center"/>
              <w:rPr>
                <w:rFonts w:cs="Calibri"/>
                <w:szCs w:val="16"/>
              </w:rPr>
            </w:pPr>
            <w:r w:rsidRPr="009660EC">
              <w:rPr>
                <w:rFonts w:cs="Calibri"/>
                <w:szCs w:val="16"/>
              </w:rPr>
              <w:t>51.8</w:t>
            </w:r>
          </w:p>
        </w:tc>
        <w:tc>
          <w:tcPr>
            <w:tcW w:w="1536" w:type="dxa"/>
            <w:vAlign w:val="bottom"/>
          </w:tcPr>
          <w:p w14:paraId="75694FE8"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10.1</w:t>
            </w:r>
          </w:p>
        </w:tc>
        <w:tc>
          <w:tcPr>
            <w:tcW w:w="1518" w:type="dxa"/>
            <w:vAlign w:val="bottom"/>
          </w:tcPr>
          <w:p w14:paraId="642B5DEE" w14:textId="77777777" w:rsidR="004543E0" w:rsidRPr="009660EC" w:rsidRDefault="004543E0" w:rsidP="007E3239">
            <w:pPr>
              <w:pStyle w:val="TableText"/>
              <w:spacing w:before="50" w:after="50"/>
              <w:jc w:val="center"/>
              <w:rPr>
                <w:rFonts w:cs="Calibri"/>
                <w:szCs w:val="16"/>
              </w:rPr>
            </w:pPr>
            <w:r w:rsidRPr="009660EC">
              <w:rPr>
                <w:rFonts w:cs="Calibri"/>
                <w:szCs w:val="16"/>
              </w:rPr>
              <w:t>18.3</w:t>
            </w:r>
          </w:p>
        </w:tc>
      </w:tr>
      <w:tr w:rsidR="004543E0" w:rsidRPr="009660EC" w14:paraId="5B7B5002" w14:textId="77777777" w:rsidTr="00CF021E">
        <w:trPr>
          <w:trHeight w:val="239"/>
        </w:trPr>
        <w:tc>
          <w:tcPr>
            <w:tcW w:w="988" w:type="dxa"/>
          </w:tcPr>
          <w:p w14:paraId="40EA9C42" w14:textId="77777777" w:rsidR="004543E0" w:rsidRPr="009660EC" w:rsidRDefault="004543E0" w:rsidP="007E3239">
            <w:pPr>
              <w:pStyle w:val="TableText"/>
              <w:spacing w:before="50" w:after="50"/>
              <w:rPr>
                <w:rFonts w:cs="Calibri"/>
                <w:szCs w:val="16"/>
              </w:rPr>
            </w:pPr>
            <w:r w:rsidRPr="009660EC">
              <w:rPr>
                <w:rFonts w:cs="Calibri"/>
                <w:szCs w:val="16"/>
              </w:rPr>
              <w:t>1991</w:t>
            </w:r>
          </w:p>
        </w:tc>
        <w:tc>
          <w:tcPr>
            <w:tcW w:w="1489" w:type="dxa"/>
            <w:vAlign w:val="bottom"/>
          </w:tcPr>
          <w:p w14:paraId="03796FD0" w14:textId="77777777" w:rsidR="004543E0" w:rsidRPr="009660EC" w:rsidRDefault="004543E0" w:rsidP="007E3239">
            <w:pPr>
              <w:pStyle w:val="TableText"/>
              <w:spacing w:before="50" w:after="50"/>
              <w:jc w:val="center"/>
              <w:rPr>
                <w:rFonts w:cs="Calibri"/>
                <w:szCs w:val="16"/>
              </w:rPr>
            </w:pPr>
            <w:r w:rsidRPr="009660EC">
              <w:rPr>
                <w:rFonts w:cs="Calibri"/>
                <w:szCs w:val="16"/>
              </w:rPr>
              <w:t>74.5</w:t>
            </w:r>
          </w:p>
        </w:tc>
        <w:tc>
          <w:tcPr>
            <w:tcW w:w="1487" w:type="dxa"/>
            <w:vAlign w:val="center"/>
          </w:tcPr>
          <w:p w14:paraId="64C33E40" w14:textId="77777777" w:rsidR="004543E0" w:rsidRPr="009660EC" w:rsidRDefault="004543E0" w:rsidP="007E3239">
            <w:pPr>
              <w:pStyle w:val="TableText"/>
              <w:spacing w:before="50" w:after="50"/>
              <w:jc w:val="center"/>
              <w:rPr>
                <w:rFonts w:cs="Calibri"/>
                <w:szCs w:val="16"/>
              </w:rPr>
            </w:pPr>
            <w:r w:rsidRPr="009660EC">
              <w:rPr>
                <w:rFonts w:cs="Calibri"/>
                <w:szCs w:val="16"/>
              </w:rPr>
              <w:t>74.9</w:t>
            </w:r>
          </w:p>
        </w:tc>
        <w:tc>
          <w:tcPr>
            <w:tcW w:w="1487" w:type="dxa"/>
            <w:vAlign w:val="bottom"/>
          </w:tcPr>
          <w:p w14:paraId="3138063A" w14:textId="77777777" w:rsidR="004543E0" w:rsidRPr="009660EC" w:rsidRDefault="004543E0" w:rsidP="007E3239">
            <w:pPr>
              <w:pStyle w:val="TableText"/>
              <w:spacing w:before="50" w:after="50"/>
              <w:jc w:val="center"/>
              <w:rPr>
                <w:rFonts w:cs="Calibri"/>
                <w:szCs w:val="16"/>
              </w:rPr>
            </w:pPr>
            <w:r w:rsidRPr="009660EC">
              <w:rPr>
                <w:rFonts w:cs="Calibri"/>
                <w:szCs w:val="16"/>
              </w:rPr>
              <w:t>53.3</w:t>
            </w:r>
          </w:p>
        </w:tc>
        <w:tc>
          <w:tcPr>
            <w:tcW w:w="1536" w:type="dxa"/>
            <w:vAlign w:val="bottom"/>
          </w:tcPr>
          <w:p w14:paraId="4D53A4E7"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10.2</w:t>
            </w:r>
          </w:p>
        </w:tc>
        <w:tc>
          <w:tcPr>
            <w:tcW w:w="1518" w:type="dxa"/>
            <w:vAlign w:val="bottom"/>
          </w:tcPr>
          <w:p w14:paraId="1CEA16D9" w14:textId="77777777" w:rsidR="004543E0" w:rsidRPr="009660EC" w:rsidRDefault="004543E0" w:rsidP="007E3239">
            <w:pPr>
              <w:pStyle w:val="TableText"/>
              <w:spacing w:before="50" w:after="50"/>
              <w:jc w:val="center"/>
              <w:rPr>
                <w:rFonts w:cs="Calibri"/>
                <w:szCs w:val="16"/>
              </w:rPr>
            </w:pPr>
            <w:r w:rsidRPr="009660EC">
              <w:rPr>
                <w:rFonts w:cs="Calibri"/>
                <w:szCs w:val="16"/>
              </w:rPr>
              <w:t>18.7</w:t>
            </w:r>
          </w:p>
        </w:tc>
      </w:tr>
      <w:tr w:rsidR="004543E0" w:rsidRPr="009660EC" w14:paraId="449B03B7" w14:textId="77777777" w:rsidTr="00CF021E">
        <w:trPr>
          <w:trHeight w:val="239"/>
        </w:trPr>
        <w:tc>
          <w:tcPr>
            <w:tcW w:w="988" w:type="dxa"/>
          </w:tcPr>
          <w:p w14:paraId="24B93A04" w14:textId="77777777" w:rsidR="004543E0" w:rsidRPr="009660EC" w:rsidRDefault="004543E0" w:rsidP="007E3239">
            <w:pPr>
              <w:pStyle w:val="TableText"/>
              <w:spacing w:before="50" w:after="50"/>
              <w:rPr>
                <w:rFonts w:cs="Calibri"/>
                <w:szCs w:val="16"/>
              </w:rPr>
            </w:pPr>
            <w:r w:rsidRPr="009660EC">
              <w:rPr>
                <w:rFonts w:cs="Calibri"/>
                <w:szCs w:val="16"/>
              </w:rPr>
              <w:t>1992</w:t>
            </w:r>
          </w:p>
        </w:tc>
        <w:tc>
          <w:tcPr>
            <w:tcW w:w="1489" w:type="dxa"/>
            <w:vAlign w:val="bottom"/>
          </w:tcPr>
          <w:p w14:paraId="70F36465" w14:textId="77777777" w:rsidR="004543E0" w:rsidRPr="009660EC" w:rsidRDefault="004543E0" w:rsidP="007E3239">
            <w:pPr>
              <w:pStyle w:val="TableText"/>
              <w:spacing w:before="50" w:after="50"/>
              <w:jc w:val="center"/>
              <w:rPr>
                <w:rFonts w:cs="Calibri"/>
                <w:szCs w:val="16"/>
              </w:rPr>
            </w:pPr>
            <w:r w:rsidRPr="009660EC">
              <w:rPr>
                <w:rFonts w:cs="Calibri"/>
                <w:szCs w:val="16"/>
              </w:rPr>
              <w:t>75.2</w:t>
            </w:r>
          </w:p>
        </w:tc>
        <w:tc>
          <w:tcPr>
            <w:tcW w:w="1487" w:type="dxa"/>
            <w:vAlign w:val="center"/>
          </w:tcPr>
          <w:p w14:paraId="445F78B1" w14:textId="77777777" w:rsidR="004543E0" w:rsidRPr="009660EC" w:rsidRDefault="004543E0" w:rsidP="007E3239">
            <w:pPr>
              <w:pStyle w:val="TableText"/>
              <w:spacing w:before="50" w:after="50"/>
              <w:jc w:val="center"/>
              <w:rPr>
                <w:rFonts w:cs="Calibri"/>
                <w:szCs w:val="16"/>
              </w:rPr>
            </w:pPr>
            <w:r w:rsidRPr="009660EC">
              <w:rPr>
                <w:rFonts w:cs="Calibri"/>
                <w:szCs w:val="16"/>
              </w:rPr>
              <w:t>79.5</w:t>
            </w:r>
          </w:p>
        </w:tc>
        <w:tc>
          <w:tcPr>
            <w:tcW w:w="1487" w:type="dxa"/>
            <w:vAlign w:val="bottom"/>
          </w:tcPr>
          <w:p w14:paraId="1DA5FDD6" w14:textId="77777777" w:rsidR="004543E0" w:rsidRPr="009660EC" w:rsidRDefault="004543E0" w:rsidP="007E3239">
            <w:pPr>
              <w:pStyle w:val="TableText"/>
              <w:spacing w:before="50" w:after="50"/>
              <w:jc w:val="center"/>
              <w:rPr>
                <w:rFonts w:cs="Calibri"/>
                <w:szCs w:val="16"/>
              </w:rPr>
            </w:pPr>
            <w:r w:rsidRPr="009660EC">
              <w:rPr>
                <w:rFonts w:cs="Calibri"/>
                <w:szCs w:val="16"/>
              </w:rPr>
              <w:t>54.1</w:t>
            </w:r>
          </w:p>
        </w:tc>
        <w:tc>
          <w:tcPr>
            <w:tcW w:w="1536" w:type="dxa"/>
            <w:vAlign w:val="bottom"/>
          </w:tcPr>
          <w:p w14:paraId="0407C4ED"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10.2</w:t>
            </w:r>
          </w:p>
        </w:tc>
        <w:tc>
          <w:tcPr>
            <w:tcW w:w="1518" w:type="dxa"/>
            <w:vAlign w:val="bottom"/>
          </w:tcPr>
          <w:p w14:paraId="391A64D5" w14:textId="77777777" w:rsidR="004543E0" w:rsidRPr="009660EC" w:rsidRDefault="004543E0" w:rsidP="007E3239">
            <w:pPr>
              <w:pStyle w:val="TableText"/>
              <w:spacing w:before="50" w:after="50"/>
              <w:jc w:val="center"/>
              <w:rPr>
                <w:rFonts w:cs="Calibri"/>
                <w:szCs w:val="16"/>
              </w:rPr>
            </w:pPr>
            <w:r w:rsidRPr="009660EC">
              <w:rPr>
                <w:rFonts w:cs="Calibri"/>
                <w:szCs w:val="16"/>
              </w:rPr>
              <w:t>19.6</w:t>
            </w:r>
          </w:p>
        </w:tc>
      </w:tr>
      <w:tr w:rsidR="004543E0" w:rsidRPr="009660EC" w14:paraId="482AFA59" w14:textId="77777777" w:rsidTr="00CF021E">
        <w:trPr>
          <w:trHeight w:val="239"/>
        </w:trPr>
        <w:tc>
          <w:tcPr>
            <w:tcW w:w="988" w:type="dxa"/>
          </w:tcPr>
          <w:p w14:paraId="09EA5023" w14:textId="77777777" w:rsidR="004543E0" w:rsidRPr="009660EC" w:rsidRDefault="004543E0" w:rsidP="007E3239">
            <w:pPr>
              <w:pStyle w:val="TableText"/>
              <w:spacing w:before="50" w:after="50"/>
              <w:rPr>
                <w:rFonts w:cs="Calibri"/>
                <w:szCs w:val="16"/>
              </w:rPr>
            </w:pPr>
            <w:r w:rsidRPr="009660EC">
              <w:rPr>
                <w:rFonts w:cs="Calibri"/>
                <w:szCs w:val="16"/>
              </w:rPr>
              <w:t>1993</w:t>
            </w:r>
          </w:p>
        </w:tc>
        <w:tc>
          <w:tcPr>
            <w:tcW w:w="1489" w:type="dxa"/>
            <w:vAlign w:val="bottom"/>
          </w:tcPr>
          <w:p w14:paraId="7D10FB38" w14:textId="77777777" w:rsidR="004543E0" w:rsidRPr="009660EC" w:rsidRDefault="004543E0" w:rsidP="007E3239">
            <w:pPr>
              <w:pStyle w:val="TableText"/>
              <w:spacing w:before="50" w:after="50"/>
              <w:jc w:val="center"/>
              <w:rPr>
                <w:rFonts w:cs="Calibri"/>
                <w:szCs w:val="16"/>
              </w:rPr>
            </w:pPr>
            <w:r w:rsidRPr="009660EC">
              <w:rPr>
                <w:rFonts w:cs="Calibri"/>
                <w:szCs w:val="16"/>
              </w:rPr>
              <w:t>76.0</w:t>
            </w:r>
          </w:p>
        </w:tc>
        <w:tc>
          <w:tcPr>
            <w:tcW w:w="1487" w:type="dxa"/>
            <w:vAlign w:val="center"/>
          </w:tcPr>
          <w:p w14:paraId="0F828F81" w14:textId="77777777" w:rsidR="004543E0" w:rsidRPr="009660EC" w:rsidRDefault="004543E0" w:rsidP="007E3239">
            <w:pPr>
              <w:pStyle w:val="TableText"/>
              <w:spacing w:before="50" w:after="50"/>
              <w:jc w:val="center"/>
              <w:rPr>
                <w:rFonts w:cs="Calibri"/>
                <w:szCs w:val="16"/>
              </w:rPr>
            </w:pPr>
            <w:r w:rsidRPr="009660EC">
              <w:rPr>
                <w:rFonts w:cs="Calibri"/>
                <w:szCs w:val="16"/>
              </w:rPr>
              <w:t>79.1</w:t>
            </w:r>
          </w:p>
        </w:tc>
        <w:tc>
          <w:tcPr>
            <w:tcW w:w="1487" w:type="dxa"/>
            <w:vAlign w:val="bottom"/>
          </w:tcPr>
          <w:p w14:paraId="1EC7FA98" w14:textId="77777777" w:rsidR="004543E0" w:rsidRPr="009660EC" w:rsidRDefault="004543E0" w:rsidP="007E3239">
            <w:pPr>
              <w:pStyle w:val="TableText"/>
              <w:spacing w:before="50" w:after="50"/>
              <w:jc w:val="center"/>
              <w:rPr>
                <w:rFonts w:cs="Calibri"/>
                <w:szCs w:val="16"/>
              </w:rPr>
            </w:pPr>
            <w:r w:rsidRPr="009660EC">
              <w:rPr>
                <w:rFonts w:cs="Calibri"/>
                <w:szCs w:val="16"/>
              </w:rPr>
              <w:t>54.9</w:t>
            </w:r>
          </w:p>
        </w:tc>
        <w:tc>
          <w:tcPr>
            <w:tcW w:w="1536" w:type="dxa"/>
            <w:vAlign w:val="bottom"/>
          </w:tcPr>
          <w:p w14:paraId="78E54B91"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10.4</w:t>
            </w:r>
          </w:p>
        </w:tc>
        <w:tc>
          <w:tcPr>
            <w:tcW w:w="1518" w:type="dxa"/>
            <w:vAlign w:val="bottom"/>
          </w:tcPr>
          <w:p w14:paraId="0F90FC47" w14:textId="77777777" w:rsidR="004543E0" w:rsidRPr="009660EC" w:rsidRDefault="004543E0" w:rsidP="007E3239">
            <w:pPr>
              <w:pStyle w:val="TableText"/>
              <w:spacing w:before="50" w:after="50"/>
              <w:jc w:val="center"/>
              <w:rPr>
                <w:rFonts w:cs="Calibri"/>
                <w:szCs w:val="16"/>
              </w:rPr>
            </w:pPr>
            <w:r w:rsidRPr="009660EC">
              <w:rPr>
                <w:rFonts w:cs="Calibri"/>
                <w:szCs w:val="16"/>
              </w:rPr>
              <w:t>20.1</w:t>
            </w:r>
          </w:p>
        </w:tc>
      </w:tr>
      <w:tr w:rsidR="004543E0" w:rsidRPr="009660EC" w14:paraId="7FF32961" w14:textId="77777777" w:rsidTr="00CF021E">
        <w:trPr>
          <w:trHeight w:val="239"/>
        </w:trPr>
        <w:tc>
          <w:tcPr>
            <w:tcW w:w="988" w:type="dxa"/>
          </w:tcPr>
          <w:p w14:paraId="33D2F7E8" w14:textId="77777777" w:rsidR="004543E0" w:rsidRPr="009660EC" w:rsidRDefault="004543E0" w:rsidP="007E3239">
            <w:pPr>
              <w:pStyle w:val="TableText"/>
              <w:spacing w:before="50" w:after="50"/>
              <w:rPr>
                <w:rFonts w:cs="Calibri"/>
                <w:szCs w:val="16"/>
              </w:rPr>
            </w:pPr>
            <w:r w:rsidRPr="009660EC">
              <w:rPr>
                <w:rFonts w:cs="Calibri"/>
                <w:szCs w:val="16"/>
              </w:rPr>
              <w:t>1994</w:t>
            </w:r>
          </w:p>
        </w:tc>
        <w:tc>
          <w:tcPr>
            <w:tcW w:w="1489" w:type="dxa"/>
            <w:vAlign w:val="bottom"/>
          </w:tcPr>
          <w:p w14:paraId="3F7D5560" w14:textId="77777777" w:rsidR="004543E0" w:rsidRPr="009660EC" w:rsidRDefault="004543E0" w:rsidP="007E3239">
            <w:pPr>
              <w:pStyle w:val="TableText"/>
              <w:spacing w:before="50" w:after="50"/>
              <w:jc w:val="center"/>
              <w:rPr>
                <w:rFonts w:cs="Calibri"/>
                <w:szCs w:val="16"/>
              </w:rPr>
            </w:pPr>
            <w:r w:rsidRPr="009660EC">
              <w:rPr>
                <w:rFonts w:cs="Calibri"/>
                <w:szCs w:val="16"/>
              </w:rPr>
              <w:t>74.6</w:t>
            </w:r>
          </w:p>
        </w:tc>
        <w:tc>
          <w:tcPr>
            <w:tcW w:w="1487" w:type="dxa"/>
            <w:vAlign w:val="center"/>
          </w:tcPr>
          <w:p w14:paraId="46411266" w14:textId="77777777" w:rsidR="004543E0" w:rsidRPr="009660EC" w:rsidRDefault="004543E0" w:rsidP="007E3239">
            <w:pPr>
              <w:pStyle w:val="TableText"/>
              <w:spacing w:before="50" w:after="50"/>
              <w:jc w:val="center"/>
              <w:rPr>
                <w:rFonts w:cs="Calibri"/>
                <w:szCs w:val="16"/>
              </w:rPr>
            </w:pPr>
            <w:r w:rsidRPr="009660EC">
              <w:rPr>
                <w:rFonts w:cs="Calibri"/>
                <w:szCs w:val="16"/>
              </w:rPr>
              <w:t>80.2</w:t>
            </w:r>
          </w:p>
        </w:tc>
        <w:tc>
          <w:tcPr>
            <w:tcW w:w="1487" w:type="dxa"/>
            <w:vAlign w:val="bottom"/>
          </w:tcPr>
          <w:p w14:paraId="496BBAAE" w14:textId="77777777" w:rsidR="004543E0" w:rsidRPr="009660EC" w:rsidRDefault="004543E0" w:rsidP="007E3239">
            <w:pPr>
              <w:pStyle w:val="TableText"/>
              <w:spacing w:before="50" w:after="50"/>
              <w:jc w:val="center"/>
              <w:rPr>
                <w:rFonts w:cs="Calibri"/>
                <w:szCs w:val="16"/>
              </w:rPr>
            </w:pPr>
            <w:r w:rsidRPr="009660EC">
              <w:rPr>
                <w:rFonts w:cs="Calibri"/>
                <w:szCs w:val="16"/>
              </w:rPr>
              <w:t>55.4</w:t>
            </w:r>
          </w:p>
        </w:tc>
        <w:tc>
          <w:tcPr>
            <w:tcW w:w="1536" w:type="dxa"/>
            <w:vAlign w:val="bottom"/>
          </w:tcPr>
          <w:p w14:paraId="44E58711"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10.6</w:t>
            </w:r>
          </w:p>
        </w:tc>
        <w:tc>
          <w:tcPr>
            <w:tcW w:w="1518" w:type="dxa"/>
            <w:vAlign w:val="bottom"/>
          </w:tcPr>
          <w:p w14:paraId="347B798F" w14:textId="77777777" w:rsidR="004543E0" w:rsidRPr="009660EC" w:rsidRDefault="004543E0" w:rsidP="007E3239">
            <w:pPr>
              <w:pStyle w:val="TableText"/>
              <w:spacing w:before="50" w:after="50"/>
              <w:jc w:val="center"/>
              <w:rPr>
                <w:rFonts w:cs="Calibri"/>
                <w:szCs w:val="16"/>
              </w:rPr>
            </w:pPr>
            <w:r w:rsidRPr="009660EC">
              <w:rPr>
                <w:rFonts w:cs="Calibri"/>
                <w:szCs w:val="16"/>
              </w:rPr>
              <w:t>19.7</w:t>
            </w:r>
          </w:p>
        </w:tc>
      </w:tr>
      <w:tr w:rsidR="004543E0" w:rsidRPr="009660EC" w14:paraId="7F30CFCC" w14:textId="77777777" w:rsidTr="00CF021E">
        <w:trPr>
          <w:trHeight w:val="239"/>
        </w:trPr>
        <w:tc>
          <w:tcPr>
            <w:tcW w:w="988" w:type="dxa"/>
          </w:tcPr>
          <w:p w14:paraId="2E87648D" w14:textId="77777777" w:rsidR="004543E0" w:rsidRPr="009660EC" w:rsidRDefault="004543E0" w:rsidP="007E3239">
            <w:pPr>
              <w:pStyle w:val="TableText"/>
              <w:spacing w:before="50" w:after="50"/>
              <w:rPr>
                <w:rFonts w:cs="Calibri"/>
                <w:szCs w:val="16"/>
              </w:rPr>
            </w:pPr>
            <w:r w:rsidRPr="009660EC">
              <w:rPr>
                <w:rFonts w:cs="Calibri"/>
                <w:szCs w:val="16"/>
              </w:rPr>
              <w:t>1995</w:t>
            </w:r>
          </w:p>
        </w:tc>
        <w:tc>
          <w:tcPr>
            <w:tcW w:w="1489" w:type="dxa"/>
            <w:vAlign w:val="bottom"/>
          </w:tcPr>
          <w:p w14:paraId="1B2947DF" w14:textId="77777777" w:rsidR="004543E0" w:rsidRPr="009660EC" w:rsidRDefault="004543E0" w:rsidP="007E3239">
            <w:pPr>
              <w:pStyle w:val="TableText"/>
              <w:spacing w:before="50" w:after="50"/>
              <w:jc w:val="center"/>
              <w:rPr>
                <w:rFonts w:cs="Calibri"/>
                <w:szCs w:val="16"/>
              </w:rPr>
            </w:pPr>
            <w:r w:rsidRPr="009660EC">
              <w:rPr>
                <w:rFonts w:cs="Calibri"/>
                <w:szCs w:val="16"/>
              </w:rPr>
              <w:t>74.2</w:t>
            </w:r>
          </w:p>
        </w:tc>
        <w:tc>
          <w:tcPr>
            <w:tcW w:w="1487" w:type="dxa"/>
            <w:vAlign w:val="center"/>
          </w:tcPr>
          <w:p w14:paraId="19B6F6E7" w14:textId="77777777" w:rsidR="004543E0" w:rsidRPr="009660EC" w:rsidRDefault="004543E0" w:rsidP="007E3239">
            <w:pPr>
              <w:pStyle w:val="TableText"/>
              <w:spacing w:before="50" w:after="50"/>
              <w:jc w:val="center"/>
              <w:rPr>
                <w:rFonts w:cs="Calibri"/>
                <w:szCs w:val="16"/>
              </w:rPr>
            </w:pPr>
            <w:r w:rsidRPr="009660EC">
              <w:rPr>
                <w:rFonts w:cs="Calibri"/>
                <w:szCs w:val="16"/>
              </w:rPr>
              <w:t>79.6</w:t>
            </w:r>
          </w:p>
        </w:tc>
        <w:tc>
          <w:tcPr>
            <w:tcW w:w="1487" w:type="dxa"/>
            <w:vAlign w:val="bottom"/>
          </w:tcPr>
          <w:p w14:paraId="1B2ABAEF" w14:textId="77777777" w:rsidR="004543E0" w:rsidRPr="009660EC" w:rsidRDefault="004543E0" w:rsidP="007E3239">
            <w:pPr>
              <w:pStyle w:val="TableText"/>
              <w:spacing w:before="50" w:after="50"/>
              <w:jc w:val="center"/>
              <w:rPr>
                <w:rFonts w:cs="Calibri"/>
                <w:szCs w:val="16"/>
              </w:rPr>
            </w:pPr>
            <w:r w:rsidRPr="009660EC">
              <w:rPr>
                <w:rFonts w:cs="Calibri"/>
                <w:szCs w:val="16"/>
              </w:rPr>
              <w:t>54.9</w:t>
            </w:r>
          </w:p>
        </w:tc>
        <w:tc>
          <w:tcPr>
            <w:tcW w:w="1536" w:type="dxa"/>
            <w:vAlign w:val="bottom"/>
          </w:tcPr>
          <w:p w14:paraId="51523372"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10.5</w:t>
            </w:r>
          </w:p>
        </w:tc>
        <w:tc>
          <w:tcPr>
            <w:tcW w:w="1518" w:type="dxa"/>
            <w:vAlign w:val="bottom"/>
          </w:tcPr>
          <w:p w14:paraId="598C8756" w14:textId="77777777" w:rsidR="004543E0" w:rsidRPr="009660EC" w:rsidRDefault="004543E0" w:rsidP="007E3239">
            <w:pPr>
              <w:pStyle w:val="TableText"/>
              <w:spacing w:before="50" w:after="50"/>
              <w:jc w:val="center"/>
              <w:rPr>
                <w:rFonts w:cs="Calibri"/>
                <w:szCs w:val="16"/>
              </w:rPr>
            </w:pPr>
            <w:r w:rsidRPr="009660EC">
              <w:rPr>
                <w:rFonts w:cs="Calibri"/>
                <w:szCs w:val="16"/>
              </w:rPr>
              <w:t>20.5</w:t>
            </w:r>
          </w:p>
        </w:tc>
      </w:tr>
      <w:tr w:rsidR="004543E0" w:rsidRPr="009660EC" w14:paraId="39E3E81E" w14:textId="77777777" w:rsidTr="00CF021E">
        <w:trPr>
          <w:trHeight w:val="239"/>
        </w:trPr>
        <w:tc>
          <w:tcPr>
            <w:tcW w:w="988" w:type="dxa"/>
          </w:tcPr>
          <w:p w14:paraId="0EA0B1FC" w14:textId="77777777" w:rsidR="004543E0" w:rsidRPr="009660EC" w:rsidRDefault="004543E0" w:rsidP="007E3239">
            <w:pPr>
              <w:pStyle w:val="TableText"/>
              <w:spacing w:before="50" w:after="50"/>
              <w:rPr>
                <w:rFonts w:cs="Calibri"/>
                <w:szCs w:val="16"/>
              </w:rPr>
            </w:pPr>
            <w:r w:rsidRPr="009660EC">
              <w:rPr>
                <w:rFonts w:cs="Calibri"/>
                <w:szCs w:val="16"/>
              </w:rPr>
              <w:t>1996</w:t>
            </w:r>
          </w:p>
        </w:tc>
        <w:tc>
          <w:tcPr>
            <w:tcW w:w="1489" w:type="dxa"/>
            <w:vAlign w:val="bottom"/>
          </w:tcPr>
          <w:p w14:paraId="45D8C12D" w14:textId="77777777" w:rsidR="004543E0" w:rsidRPr="009660EC" w:rsidRDefault="004543E0" w:rsidP="007E3239">
            <w:pPr>
              <w:pStyle w:val="TableText"/>
              <w:spacing w:before="50" w:after="50"/>
              <w:jc w:val="center"/>
              <w:rPr>
                <w:rFonts w:cs="Calibri"/>
                <w:szCs w:val="16"/>
              </w:rPr>
            </w:pPr>
            <w:r w:rsidRPr="009660EC">
              <w:rPr>
                <w:rFonts w:cs="Calibri"/>
                <w:szCs w:val="16"/>
              </w:rPr>
              <w:t>76.7</w:t>
            </w:r>
          </w:p>
        </w:tc>
        <w:tc>
          <w:tcPr>
            <w:tcW w:w="1487" w:type="dxa"/>
            <w:vAlign w:val="center"/>
          </w:tcPr>
          <w:p w14:paraId="2777B0C5" w14:textId="77777777" w:rsidR="004543E0" w:rsidRPr="009660EC" w:rsidRDefault="004543E0" w:rsidP="007E3239">
            <w:pPr>
              <w:pStyle w:val="TableText"/>
              <w:spacing w:before="50" w:after="50"/>
              <w:jc w:val="center"/>
              <w:rPr>
                <w:rFonts w:cs="Calibri"/>
                <w:szCs w:val="16"/>
              </w:rPr>
            </w:pPr>
            <w:r w:rsidRPr="009660EC">
              <w:rPr>
                <w:rFonts w:cs="Calibri"/>
                <w:szCs w:val="16"/>
              </w:rPr>
              <w:t>79.7</w:t>
            </w:r>
          </w:p>
        </w:tc>
        <w:tc>
          <w:tcPr>
            <w:tcW w:w="1487" w:type="dxa"/>
            <w:vAlign w:val="bottom"/>
          </w:tcPr>
          <w:p w14:paraId="35C52BBE" w14:textId="77777777" w:rsidR="004543E0" w:rsidRPr="009660EC" w:rsidRDefault="004543E0" w:rsidP="007E3239">
            <w:pPr>
              <w:pStyle w:val="TableText"/>
              <w:spacing w:before="50" w:after="50"/>
              <w:jc w:val="center"/>
              <w:rPr>
                <w:rFonts w:cs="Calibri"/>
                <w:szCs w:val="16"/>
              </w:rPr>
            </w:pPr>
            <w:r w:rsidRPr="009660EC">
              <w:rPr>
                <w:rFonts w:cs="Calibri"/>
                <w:szCs w:val="16"/>
              </w:rPr>
              <w:t>56.7</w:t>
            </w:r>
          </w:p>
        </w:tc>
        <w:tc>
          <w:tcPr>
            <w:tcW w:w="1536" w:type="dxa"/>
            <w:vAlign w:val="bottom"/>
          </w:tcPr>
          <w:p w14:paraId="682BD803"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10.9</w:t>
            </w:r>
          </w:p>
        </w:tc>
        <w:tc>
          <w:tcPr>
            <w:tcW w:w="1518" w:type="dxa"/>
            <w:vAlign w:val="bottom"/>
          </w:tcPr>
          <w:p w14:paraId="750AC992" w14:textId="77777777" w:rsidR="004543E0" w:rsidRPr="009660EC" w:rsidRDefault="004543E0" w:rsidP="007E3239">
            <w:pPr>
              <w:pStyle w:val="TableText"/>
              <w:spacing w:before="50" w:after="50"/>
              <w:jc w:val="center"/>
              <w:rPr>
                <w:rFonts w:cs="Calibri"/>
                <w:szCs w:val="16"/>
              </w:rPr>
            </w:pPr>
            <w:r w:rsidRPr="009660EC">
              <w:rPr>
                <w:rFonts w:cs="Calibri"/>
                <w:szCs w:val="16"/>
              </w:rPr>
              <w:t>20.7</w:t>
            </w:r>
          </w:p>
        </w:tc>
      </w:tr>
      <w:tr w:rsidR="004543E0" w:rsidRPr="009660EC" w14:paraId="5FEB3CAD" w14:textId="77777777" w:rsidTr="00CF021E">
        <w:trPr>
          <w:trHeight w:val="251"/>
        </w:trPr>
        <w:tc>
          <w:tcPr>
            <w:tcW w:w="988" w:type="dxa"/>
          </w:tcPr>
          <w:p w14:paraId="774C86F6" w14:textId="77777777" w:rsidR="004543E0" w:rsidRPr="009660EC" w:rsidRDefault="004543E0" w:rsidP="007E3239">
            <w:pPr>
              <w:pStyle w:val="TableText"/>
              <w:spacing w:before="50" w:after="50"/>
              <w:rPr>
                <w:rFonts w:cs="Calibri"/>
                <w:szCs w:val="16"/>
              </w:rPr>
            </w:pPr>
            <w:r w:rsidRPr="009660EC">
              <w:rPr>
                <w:rFonts w:cs="Calibri"/>
                <w:szCs w:val="16"/>
              </w:rPr>
              <w:t>1997</w:t>
            </w:r>
          </w:p>
        </w:tc>
        <w:tc>
          <w:tcPr>
            <w:tcW w:w="1489" w:type="dxa"/>
            <w:vAlign w:val="bottom"/>
          </w:tcPr>
          <w:p w14:paraId="4DE270D2" w14:textId="77777777" w:rsidR="004543E0" w:rsidRPr="009660EC" w:rsidRDefault="004543E0" w:rsidP="007E3239">
            <w:pPr>
              <w:pStyle w:val="TableText"/>
              <w:spacing w:before="50" w:after="50"/>
              <w:jc w:val="center"/>
              <w:rPr>
                <w:rFonts w:cs="Calibri"/>
                <w:szCs w:val="16"/>
              </w:rPr>
            </w:pPr>
            <w:r w:rsidRPr="009660EC">
              <w:rPr>
                <w:rFonts w:cs="Calibri"/>
                <w:szCs w:val="16"/>
              </w:rPr>
              <w:t>77.6</w:t>
            </w:r>
          </w:p>
        </w:tc>
        <w:tc>
          <w:tcPr>
            <w:tcW w:w="1487" w:type="dxa"/>
            <w:vAlign w:val="center"/>
          </w:tcPr>
          <w:p w14:paraId="030F0009" w14:textId="77777777" w:rsidR="004543E0" w:rsidRPr="009660EC" w:rsidRDefault="004543E0" w:rsidP="007E3239">
            <w:pPr>
              <w:pStyle w:val="TableText"/>
              <w:spacing w:before="50" w:after="50"/>
              <w:jc w:val="center"/>
              <w:rPr>
                <w:rFonts w:cs="Calibri"/>
                <w:szCs w:val="16"/>
              </w:rPr>
            </w:pPr>
            <w:r w:rsidRPr="009660EC">
              <w:rPr>
                <w:rFonts w:cs="Calibri"/>
                <w:szCs w:val="16"/>
              </w:rPr>
              <w:t>82.7</w:t>
            </w:r>
          </w:p>
        </w:tc>
        <w:tc>
          <w:tcPr>
            <w:tcW w:w="1487" w:type="dxa"/>
            <w:vAlign w:val="bottom"/>
          </w:tcPr>
          <w:p w14:paraId="71810147" w14:textId="77777777" w:rsidR="004543E0" w:rsidRPr="009660EC" w:rsidRDefault="004543E0" w:rsidP="007E3239">
            <w:pPr>
              <w:pStyle w:val="TableText"/>
              <w:spacing w:before="50" w:after="50"/>
              <w:jc w:val="center"/>
              <w:rPr>
                <w:rFonts w:cs="Calibri"/>
                <w:szCs w:val="16"/>
              </w:rPr>
            </w:pPr>
            <w:r w:rsidRPr="009660EC">
              <w:rPr>
                <w:rFonts w:cs="Calibri"/>
                <w:szCs w:val="16"/>
              </w:rPr>
              <w:t>57.7</w:t>
            </w:r>
          </w:p>
        </w:tc>
        <w:tc>
          <w:tcPr>
            <w:tcW w:w="1536" w:type="dxa"/>
            <w:vAlign w:val="bottom"/>
          </w:tcPr>
          <w:p w14:paraId="7D1B00D8"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11.2</w:t>
            </w:r>
          </w:p>
        </w:tc>
        <w:tc>
          <w:tcPr>
            <w:tcW w:w="1518" w:type="dxa"/>
            <w:vAlign w:val="bottom"/>
          </w:tcPr>
          <w:p w14:paraId="0FFC5F93" w14:textId="77777777" w:rsidR="004543E0" w:rsidRPr="009660EC" w:rsidRDefault="004543E0" w:rsidP="007E3239">
            <w:pPr>
              <w:pStyle w:val="TableText"/>
              <w:spacing w:before="50" w:after="50"/>
              <w:jc w:val="center"/>
              <w:rPr>
                <w:rFonts w:cs="Calibri"/>
                <w:szCs w:val="16"/>
              </w:rPr>
            </w:pPr>
            <w:r w:rsidRPr="009660EC">
              <w:rPr>
                <w:rFonts w:cs="Calibri"/>
                <w:szCs w:val="16"/>
              </w:rPr>
              <w:t>21.0</w:t>
            </w:r>
          </w:p>
        </w:tc>
      </w:tr>
      <w:tr w:rsidR="004543E0" w:rsidRPr="009660EC" w14:paraId="18DFA0D6" w14:textId="77777777" w:rsidTr="00CF021E">
        <w:trPr>
          <w:trHeight w:val="239"/>
        </w:trPr>
        <w:tc>
          <w:tcPr>
            <w:tcW w:w="988" w:type="dxa"/>
          </w:tcPr>
          <w:p w14:paraId="5E83B47A" w14:textId="77777777" w:rsidR="004543E0" w:rsidRPr="009660EC" w:rsidRDefault="004543E0" w:rsidP="007E3239">
            <w:pPr>
              <w:pStyle w:val="TableText"/>
              <w:spacing w:before="50" w:after="50"/>
              <w:rPr>
                <w:rFonts w:cs="Calibri"/>
                <w:szCs w:val="16"/>
              </w:rPr>
            </w:pPr>
            <w:r w:rsidRPr="009660EC">
              <w:rPr>
                <w:rFonts w:cs="Calibri"/>
                <w:szCs w:val="16"/>
              </w:rPr>
              <w:t>1998</w:t>
            </w:r>
          </w:p>
        </w:tc>
        <w:tc>
          <w:tcPr>
            <w:tcW w:w="1489" w:type="dxa"/>
            <w:vAlign w:val="bottom"/>
          </w:tcPr>
          <w:p w14:paraId="7DAFA148" w14:textId="77777777" w:rsidR="004543E0" w:rsidRPr="009660EC" w:rsidRDefault="004543E0" w:rsidP="007E3239">
            <w:pPr>
              <w:pStyle w:val="TableText"/>
              <w:spacing w:before="50" w:after="50"/>
              <w:jc w:val="center"/>
              <w:rPr>
                <w:rFonts w:cs="Calibri"/>
                <w:szCs w:val="16"/>
              </w:rPr>
            </w:pPr>
            <w:r w:rsidRPr="009660EC">
              <w:rPr>
                <w:rFonts w:cs="Calibri"/>
                <w:szCs w:val="16"/>
              </w:rPr>
              <w:t>75.6</w:t>
            </w:r>
          </w:p>
        </w:tc>
        <w:tc>
          <w:tcPr>
            <w:tcW w:w="1487" w:type="dxa"/>
            <w:vAlign w:val="center"/>
          </w:tcPr>
          <w:p w14:paraId="55CB35C0" w14:textId="77777777" w:rsidR="004543E0" w:rsidRPr="009660EC" w:rsidRDefault="004543E0" w:rsidP="007E3239">
            <w:pPr>
              <w:pStyle w:val="TableText"/>
              <w:spacing w:before="50" w:after="50"/>
              <w:jc w:val="center"/>
              <w:rPr>
                <w:rFonts w:cs="Calibri"/>
                <w:szCs w:val="16"/>
              </w:rPr>
            </w:pPr>
            <w:r w:rsidRPr="009660EC">
              <w:rPr>
                <w:rFonts w:cs="Calibri"/>
                <w:szCs w:val="16"/>
              </w:rPr>
              <w:t>83.6</w:t>
            </w:r>
          </w:p>
        </w:tc>
        <w:tc>
          <w:tcPr>
            <w:tcW w:w="1487" w:type="dxa"/>
            <w:vAlign w:val="bottom"/>
          </w:tcPr>
          <w:p w14:paraId="6FD9E47C" w14:textId="77777777" w:rsidR="004543E0" w:rsidRPr="009660EC" w:rsidRDefault="004543E0" w:rsidP="007E3239">
            <w:pPr>
              <w:pStyle w:val="TableText"/>
              <w:spacing w:before="50" w:after="50"/>
              <w:jc w:val="center"/>
              <w:rPr>
                <w:rFonts w:cs="Calibri"/>
                <w:szCs w:val="16"/>
              </w:rPr>
            </w:pPr>
            <w:r w:rsidRPr="009660EC">
              <w:rPr>
                <w:rFonts w:cs="Calibri"/>
                <w:szCs w:val="16"/>
              </w:rPr>
              <w:t>57.9</w:t>
            </w:r>
          </w:p>
        </w:tc>
        <w:tc>
          <w:tcPr>
            <w:tcW w:w="1536" w:type="dxa"/>
            <w:vAlign w:val="bottom"/>
          </w:tcPr>
          <w:p w14:paraId="151F4BCE"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11.3</w:t>
            </w:r>
          </w:p>
        </w:tc>
        <w:tc>
          <w:tcPr>
            <w:tcW w:w="1518" w:type="dxa"/>
            <w:vAlign w:val="bottom"/>
          </w:tcPr>
          <w:p w14:paraId="6CABE0E5" w14:textId="77777777" w:rsidR="004543E0" w:rsidRPr="009660EC" w:rsidRDefault="004543E0" w:rsidP="007E3239">
            <w:pPr>
              <w:pStyle w:val="TableText"/>
              <w:spacing w:before="50" w:after="50"/>
              <w:jc w:val="center"/>
              <w:rPr>
                <w:rFonts w:cs="Calibri"/>
                <w:szCs w:val="16"/>
              </w:rPr>
            </w:pPr>
            <w:r w:rsidRPr="009660EC">
              <w:rPr>
                <w:rFonts w:cs="Calibri"/>
                <w:szCs w:val="16"/>
              </w:rPr>
              <w:t>21.1</w:t>
            </w:r>
          </w:p>
        </w:tc>
      </w:tr>
      <w:tr w:rsidR="004543E0" w:rsidRPr="009660EC" w14:paraId="75291E24" w14:textId="77777777" w:rsidTr="00CF021E">
        <w:trPr>
          <w:trHeight w:val="239"/>
        </w:trPr>
        <w:tc>
          <w:tcPr>
            <w:tcW w:w="988" w:type="dxa"/>
          </w:tcPr>
          <w:p w14:paraId="5629FE18" w14:textId="77777777" w:rsidR="004543E0" w:rsidRPr="009660EC" w:rsidRDefault="004543E0" w:rsidP="007E3239">
            <w:pPr>
              <w:pStyle w:val="TableText"/>
              <w:spacing w:before="50" w:after="50"/>
              <w:rPr>
                <w:rFonts w:cs="Calibri"/>
                <w:szCs w:val="16"/>
              </w:rPr>
            </w:pPr>
            <w:r w:rsidRPr="009660EC">
              <w:rPr>
                <w:rFonts w:cs="Calibri"/>
                <w:szCs w:val="16"/>
              </w:rPr>
              <w:t>1999</w:t>
            </w:r>
          </w:p>
        </w:tc>
        <w:tc>
          <w:tcPr>
            <w:tcW w:w="1489" w:type="dxa"/>
            <w:vAlign w:val="bottom"/>
          </w:tcPr>
          <w:p w14:paraId="2405BC15" w14:textId="77777777" w:rsidR="004543E0" w:rsidRPr="009660EC" w:rsidRDefault="004543E0" w:rsidP="007E3239">
            <w:pPr>
              <w:pStyle w:val="TableText"/>
              <w:spacing w:before="50" w:after="50"/>
              <w:jc w:val="center"/>
              <w:rPr>
                <w:rFonts w:cs="Calibri"/>
                <w:szCs w:val="16"/>
              </w:rPr>
            </w:pPr>
            <w:r w:rsidRPr="009660EC">
              <w:rPr>
                <w:rFonts w:cs="Calibri"/>
                <w:szCs w:val="16"/>
              </w:rPr>
              <w:t>77.0</w:t>
            </w:r>
          </w:p>
        </w:tc>
        <w:tc>
          <w:tcPr>
            <w:tcW w:w="1487" w:type="dxa"/>
            <w:vAlign w:val="center"/>
          </w:tcPr>
          <w:p w14:paraId="0B0D318C" w14:textId="77777777" w:rsidR="004543E0" w:rsidRPr="009660EC" w:rsidRDefault="004543E0" w:rsidP="007E3239">
            <w:pPr>
              <w:pStyle w:val="TableText"/>
              <w:spacing w:before="50" w:after="50"/>
              <w:jc w:val="center"/>
              <w:rPr>
                <w:rFonts w:cs="Calibri"/>
                <w:szCs w:val="16"/>
              </w:rPr>
            </w:pPr>
            <w:r w:rsidRPr="009660EC">
              <w:rPr>
                <w:rFonts w:cs="Calibri"/>
                <w:szCs w:val="16"/>
              </w:rPr>
              <w:t>81.3</w:t>
            </w:r>
          </w:p>
        </w:tc>
        <w:tc>
          <w:tcPr>
            <w:tcW w:w="1487" w:type="dxa"/>
            <w:vAlign w:val="bottom"/>
          </w:tcPr>
          <w:p w14:paraId="14327904" w14:textId="77777777" w:rsidR="004543E0" w:rsidRPr="009660EC" w:rsidRDefault="004543E0" w:rsidP="007E3239">
            <w:pPr>
              <w:pStyle w:val="TableText"/>
              <w:spacing w:before="50" w:after="50"/>
              <w:jc w:val="center"/>
              <w:rPr>
                <w:rFonts w:cs="Calibri"/>
                <w:szCs w:val="16"/>
              </w:rPr>
            </w:pPr>
            <w:r w:rsidRPr="009660EC">
              <w:rPr>
                <w:rFonts w:cs="Calibri"/>
                <w:szCs w:val="16"/>
              </w:rPr>
              <w:t>56.5</w:t>
            </w:r>
          </w:p>
        </w:tc>
        <w:tc>
          <w:tcPr>
            <w:tcW w:w="1536" w:type="dxa"/>
            <w:vAlign w:val="bottom"/>
          </w:tcPr>
          <w:p w14:paraId="6F5947EC"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11.2</w:t>
            </w:r>
          </w:p>
        </w:tc>
        <w:tc>
          <w:tcPr>
            <w:tcW w:w="1518" w:type="dxa"/>
            <w:vAlign w:val="bottom"/>
          </w:tcPr>
          <w:p w14:paraId="4F290EC9" w14:textId="77777777" w:rsidR="004543E0" w:rsidRPr="009660EC" w:rsidRDefault="004543E0" w:rsidP="007E3239">
            <w:pPr>
              <w:pStyle w:val="TableText"/>
              <w:spacing w:before="50" w:after="50"/>
              <w:jc w:val="center"/>
              <w:rPr>
                <w:rFonts w:cs="Calibri"/>
                <w:szCs w:val="16"/>
              </w:rPr>
            </w:pPr>
            <w:r w:rsidRPr="009660EC">
              <w:rPr>
                <w:rFonts w:cs="Calibri"/>
                <w:szCs w:val="16"/>
              </w:rPr>
              <w:t>21.3</w:t>
            </w:r>
          </w:p>
        </w:tc>
      </w:tr>
      <w:tr w:rsidR="004543E0" w:rsidRPr="009660EC" w14:paraId="2D2E9B95" w14:textId="77777777" w:rsidTr="00CF021E">
        <w:trPr>
          <w:trHeight w:val="239"/>
        </w:trPr>
        <w:tc>
          <w:tcPr>
            <w:tcW w:w="988" w:type="dxa"/>
          </w:tcPr>
          <w:p w14:paraId="45764536" w14:textId="77777777" w:rsidR="004543E0" w:rsidRPr="009660EC" w:rsidRDefault="004543E0" w:rsidP="007E3239">
            <w:pPr>
              <w:pStyle w:val="TableText"/>
              <w:spacing w:before="50" w:after="50"/>
              <w:rPr>
                <w:rFonts w:cs="Calibri"/>
                <w:szCs w:val="16"/>
              </w:rPr>
            </w:pPr>
            <w:r w:rsidRPr="009660EC">
              <w:rPr>
                <w:rFonts w:cs="Calibri"/>
                <w:szCs w:val="16"/>
              </w:rPr>
              <w:t>2000</w:t>
            </w:r>
          </w:p>
        </w:tc>
        <w:tc>
          <w:tcPr>
            <w:tcW w:w="1489" w:type="dxa"/>
            <w:vAlign w:val="bottom"/>
          </w:tcPr>
          <w:p w14:paraId="654A0574" w14:textId="77777777" w:rsidR="004543E0" w:rsidRPr="009660EC" w:rsidRDefault="004543E0" w:rsidP="007E3239">
            <w:pPr>
              <w:pStyle w:val="TableText"/>
              <w:spacing w:before="50" w:after="50"/>
              <w:jc w:val="center"/>
              <w:rPr>
                <w:rFonts w:cs="Calibri"/>
                <w:szCs w:val="16"/>
              </w:rPr>
            </w:pPr>
            <w:r w:rsidRPr="009660EC">
              <w:rPr>
                <w:rFonts w:cs="Calibri"/>
                <w:szCs w:val="16"/>
              </w:rPr>
              <w:t>78.5</w:t>
            </w:r>
          </w:p>
        </w:tc>
        <w:tc>
          <w:tcPr>
            <w:tcW w:w="1487" w:type="dxa"/>
            <w:vAlign w:val="center"/>
          </w:tcPr>
          <w:p w14:paraId="63C00F00" w14:textId="77777777" w:rsidR="004543E0" w:rsidRPr="009660EC" w:rsidRDefault="004543E0" w:rsidP="007E3239">
            <w:pPr>
              <w:pStyle w:val="TableText"/>
              <w:spacing w:before="50" w:after="50"/>
              <w:jc w:val="center"/>
              <w:rPr>
                <w:rFonts w:cs="Calibri"/>
                <w:szCs w:val="16"/>
              </w:rPr>
            </w:pPr>
            <w:r w:rsidRPr="009660EC">
              <w:rPr>
                <w:rFonts w:cs="Calibri"/>
                <w:szCs w:val="16"/>
              </w:rPr>
              <w:t>83.0</w:t>
            </w:r>
          </w:p>
        </w:tc>
        <w:tc>
          <w:tcPr>
            <w:tcW w:w="1487" w:type="dxa"/>
            <w:vAlign w:val="bottom"/>
          </w:tcPr>
          <w:p w14:paraId="5A0C675D" w14:textId="77777777" w:rsidR="004543E0" w:rsidRPr="009660EC" w:rsidRDefault="004543E0" w:rsidP="007E3239">
            <w:pPr>
              <w:pStyle w:val="TableText"/>
              <w:spacing w:before="50" w:after="50"/>
              <w:jc w:val="center"/>
              <w:rPr>
                <w:rFonts w:cs="Calibri"/>
                <w:szCs w:val="16"/>
              </w:rPr>
            </w:pPr>
            <w:r w:rsidRPr="009660EC">
              <w:rPr>
                <w:rFonts w:cs="Calibri"/>
                <w:szCs w:val="16"/>
              </w:rPr>
              <w:t>58.5</w:t>
            </w:r>
          </w:p>
        </w:tc>
        <w:tc>
          <w:tcPr>
            <w:tcW w:w="1536" w:type="dxa"/>
            <w:vAlign w:val="bottom"/>
          </w:tcPr>
          <w:p w14:paraId="28E637FF"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11.6</w:t>
            </w:r>
          </w:p>
        </w:tc>
        <w:tc>
          <w:tcPr>
            <w:tcW w:w="1518" w:type="dxa"/>
            <w:vAlign w:val="bottom"/>
          </w:tcPr>
          <w:p w14:paraId="22FF09FB" w14:textId="77777777" w:rsidR="004543E0" w:rsidRPr="009660EC" w:rsidRDefault="004543E0" w:rsidP="007E3239">
            <w:pPr>
              <w:pStyle w:val="TableText"/>
              <w:spacing w:before="50" w:after="50"/>
              <w:jc w:val="center"/>
              <w:rPr>
                <w:rFonts w:cs="Calibri"/>
                <w:szCs w:val="16"/>
              </w:rPr>
            </w:pPr>
            <w:r w:rsidRPr="009660EC">
              <w:rPr>
                <w:rFonts w:cs="Calibri"/>
                <w:szCs w:val="16"/>
              </w:rPr>
              <w:t>21.7</w:t>
            </w:r>
          </w:p>
        </w:tc>
      </w:tr>
      <w:tr w:rsidR="004543E0" w:rsidRPr="009660EC" w14:paraId="7E47F831" w14:textId="77777777" w:rsidTr="00CF021E">
        <w:trPr>
          <w:trHeight w:val="239"/>
        </w:trPr>
        <w:tc>
          <w:tcPr>
            <w:tcW w:w="988" w:type="dxa"/>
          </w:tcPr>
          <w:p w14:paraId="70135BD9" w14:textId="77777777" w:rsidR="004543E0" w:rsidRPr="009660EC" w:rsidRDefault="004543E0" w:rsidP="007E3239">
            <w:pPr>
              <w:pStyle w:val="TableText"/>
              <w:spacing w:before="50" w:after="50"/>
              <w:rPr>
                <w:rFonts w:cs="Calibri"/>
                <w:szCs w:val="16"/>
              </w:rPr>
            </w:pPr>
            <w:r w:rsidRPr="009660EC">
              <w:rPr>
                <w:rFonts w:cs="Calibri"/>
                <w:szCs w:val="16"/>
              </w:rPr>
              <w:t>2001</w:t>
            </w:r>
          </w:p>
        </w:tc>
        <w:tc>
          <w:tcPr>
            <w:tcW w:w="1489" w:type="dxa"/>
            <w:vAlign w:val="bottom"/>
          </w:tcPr>
          <w:p w14:paraId="31B780EE" w14:textId="77777777" w:rsidR="004543E0" w:rsidRPr="009660EC" w:rsidRDefault="004543E0" w:rsidP="007E3239">
            <w:pPr>
              <w:pStyle w:val="TableText"/>
              <w:spacing w:before="50" w:after="50"/>
              <w:jc w:val="center"/>
              <w:rPr>
                <w:rFonts w:cs="Calibri"/>
                <w:szCs w:val="16"/>
              </w:rPr>
            </w:pPr>
            <w:r w:rsidRPr="009660EC">
              <w:rPr>
                <w:rFonts w:cs="Calibri"/>
                <w:szCs w:val="16"/>
              </w:rPr>
              <w:t>79.6</w:t>
            </w:r>
          </w:p>
        </w:tc>
        <w:tc>
          <w:tcPr>
            <w:tcW w:w="1487" w:type="dxa"/>
            <w:vAlign w:val="center"/>
          </w:tcPr>
          <w:p w14:paraId="67D9EFEB" w14:textId="77777777" w:rsidR="004543E0" w:rsidRPr="009660EC" w:rsidRDefault="004543E0" w:rsidP="007E3239">
            <w:pPr>
              <w:pStyle w:val="TableText"/>
              <w:spacing w:before="50" w:after="50"/>
              <w:jc w:val="center"/>
              <w:rPr>
                <w:rFonts w:cs="Calibri"/>
                <w:szCs w:val="16"/>
              </w:rPr>
            </w:pPr>
            <w:r w:rsidRPr="009660EC">
              <w:rPr>
                <w:rFonts w:cs="Calibri"/>
                <w:szCs w:val="16"/>
              </w:rPr>
              <w:t>85.6</w:t>
            </w:r>
          </w:p>
        </w:tc>
        <w:tc>
          <w:tcPr>
            <w:tcW w:w="1487" w:type="dxa"/>
            <w:vAlign w:val="bottom"/>
          </w:tcPr>
          <w:p w14:paraId="2ED5F2D3" w14:textId="77777777" w:rsidR="004543E0" w:rsidRPr="009660EC" w:rsidRDefault="004543E0" w:rsidP="007E3239">
            <w:pPr>
              <w:pStyle w:val="TableText"/>
              <w:spacing w:before="50" w:after="50"/>
              <w:jc w:val="center"/>
              <w:rPr>
                <w:rFonts w:cs="Calibri"/>
                <w:szCs w:val="16"/>
              </w:rPr>
            </w:pPr>
            <w:r w:rsidRPr="009660EC">
              <w:rPr>
                <w:rFonts w:cs="Calibri"/>
                <w:szCs w:val="16"/>
              </w:rPr>
              <w:t>59.6</w:t>
            </w:r>
          </w:p>
        </w:tc>
        <w:tc>
          <w:tcPr>
            <w:tcW w:w="1536" w:type="dxa"/>
            <w:vAlign w:val="bottom"/>
          </w:tcPr>
          <w:p w14:paraId="60D14412"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11.8</w:t>
            </w:r>
          </w:p>
        </w:tc>
        <w:tc>
          <w:tcPr>
            <w:tcW w:w="1518" w:type="dxa"/>
            <w:vAlign w:val="bottom"/>
          </w:tcPr>
          <w:p w14:paraId="572D41F3" w14:textId="77777777" w:rsidR="004543E0" w:rsidRPr="009660EC" w:rsidRDefault="004543E0" w:rsidP="007E3239">
            <w:pPr>
              <w:pStyle w:val="TableText"/>
              <w:spacing w:before="50" w:after="50"/>
              <w:jc w:val="center"/>
              <w:rPr>
                <w:rFonts w:cs="Calibri"/>
                <w:szCs w:val="16"/>
              </w:rPr>
            </w:pPr>
            <w:r w:rsidRPr="009660EC">
              <w:rPr>
                <w:rFonts w:cs="Calibri"/>
                <w:szCs w:val="16"/>
              </w:rPr>
              <w:t>21.7</w:t>
            </w:r>
          </w:p>
        </w:tc>
      </w:tr>
      <w:tr w:rsidR="004543E0" w:rsidRPr="009660EC" w14:paraId="20F678FF" w14:textId="77777777" w:rsidTr="00CF021E">
        <w:trPr>
          <w:trHeight w:val="239"/>
        </w:trPr>
        <w:tc>
          <w:tcPr>
            <w:tcW w:w="988" w:type="dxa"/>
          </w:tcPr>
          <w:p w14:paraId="2A0965BD" w14:textId="77777777" w:rsidR="004543E0" w:rsidRPr="009660EC" w:rsidRDefault="004543E0" w:rsidP="007E3239">
            <w:pPr>
              <w:pStyle w:val="TableText"/>
              <w:spacing w:before="50" w:after="50"/>
              <w:rPr>
                <w:rFonts w:cs="Calibri"/>
                <w:szCs w:val="16"/>
              </w:rPr>
            </w:pPr>
            <w:r w:rsidRPr="009660EC">
              <w:rPr>
                <w:rFonts w:cs="Calibri"/>
                <w:szCs w:val="16"/>
              </w:rPr>
              <w:t>2002</w:t>
            </w:r>
          </w:p>
        </w:tc>
        <w:tc>
          <w:tcPr>
            <w:tcW w:w="1489" w:type="dxa"/>
            <w:vAlign w:val="bottom"/>
          </w:tcPr>
          <w:p w14:paraId="4590D9E7" w14:textId="77777777" w:rsidR="004543E0" w:rsidRPr="009660EC" w:rsidRDefault="004543E0" w:rsidP="007E3239">
            <w:pPr>
              <w:pStyle w:val="TableText"/>
              <w:spacing w:before="50" w:after="50"/>
              <w:jc w:val="center"/>
              <w:rPr>
                <w:rFonts w:cs="Calibri"/>
                <w:szCs w:val="16"/>
              </w:rPr>
            </w:pPr>
            <w:r w:rsidRPr="009660EC">
              <w:rPr>
                <w:rFonts w:cs="Calibri"/>
                <w:szCs w:val="16"/>
              </w:rPr>
              <w:t>79.1</w:t>
            </w:r>
          </w:p>
        </w:tc>
        <w:tc>
          <w:tcPr>
            <w:tcW w:w="1487" w:type="dxa"/>
            <w:vAlign w:val="center"/>
          </w:tcPr>
          <w:p w14:paraId="61044F61" w14:textId="77777777" w:rsidR="004543E0" w:rsidRPr="009660EC" w:rsidRDefault="004543E0" w:rsidP="007E3239">
            <w:pPr>
              <w:pStyle w:val="TableText"/>
              <w:spacing w:before="50" w:after="50"/>
              <w:jc w:val="center"/>
              <w:rPr>
                <w:rFonts w:cs="Calibri"/>
                <w:szCs w:val="16"/>
              </w:rPr>
            </w:pPr>
            <w:r w:rsidRPr="009660EC">
              <w:rPr>
                <w:rFonts w:cs="Calibri"/>
                <w:szCs w:val="16"/>
              </w:rPr>
              <w:t>87.3</w:t>
            </w:r>
          </w:p>
        </w:tc>
        <w:tc>
          <w:tcPr>
            <w:tcW w:w="1487" w:type="dxa"/>
            <w:vAlign w:val="bottom"/>
          </w:tcPr>
          <w:p w14:paraId="7D661B9E" w14:textId="77777777" w:rsidR="004543E0" w:rsidRPr="009660EC" w:rsidRDefault="004543E0" w:rsidP="007E3239">
            <w:pPr>
              <w:pStyle w:val="TableText"/>
              <w:spacing w:before="50" w:after="50"/>
              <w:jc w:val="center"/>
              <w:rPr>
                <w:rFonts w:cs="Calibri"/>
                <w:szCs w:val="16"/>
              </w:rPr>
            </w:pPr>
            <w:r w:rsidRPr="009660EC">
              <w:rPr>
                <w:rFonts w:cs="Calibri"/>
                <w:szCs w:val="16"/>
              </w:rPr>
              <w:t>59.4</w:t>
            </w:r>
          </w:p>
        </w:tc>
        <w:tc>
          <w:tcPr>
            <w:tcW w:w="1536" w:type="dxa"/>
            <w:vAlign w:val="bottom"/>
          </w:tcPr>
          <w:p w14:paraId="513E855E"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11.7</w:t>
            </w:r>
          </w:p>
        </w:tc>
        <w:tc>
          <w:tcPr>
            <w:tcW w:w="1518" w:type="dxa"/>
            <w:vAlign w:val="bottom"/>
          </w:tcPr>
          <w:p w14:paraId="668F427C" w14:textId="77777777" w:rsidR="004543E0" w:rsidRPr="009660EC" w:rsidRDefault="004543E0" w:rsidP="007E3239">
            <w:pPr>
              <w:pStyle w:val="TableText"/>
              <w:spacing w:before="50" w:after="50"/>
              <w:jc w:val="center"/>
              <w:rPr>
                <w:rFonts w:cs="Calibri"/>
                <w:szCs w:val="16"/>
              </w:rPr>
            </w:pPr>
            <w:r w:rsidRPr="009660EC">
              <w:rPr>
                <w:rFonts w:cs="Calibri"/>
                <w:szCs w:val="16"/>
              </w:rPr>
              <w:t>21.8</w:t>
            </w:r>
          </w:p>
        </w:tc>
      </w:tr>
      <w:tr w:rsidR="004543E0" w:rsidRPr="009660EC" w14:paraId="727B5FB2" w14:textId="77777777" w:rsidTr="00CF021E">
        <w:trPr>
          <w:trHeight w:val="239"/>
        </w:trPr>
        <w:tc>
          <w:tcPr>
            <w:tcW w:w="988" w:type="dxa"/>
          </w:tcPr>
          <w:p w14:paraId="2A8CA255" w14:textId="77777777" w:rsidR="004543E0" w:rsidRPr="009660EC" w:rsidRDefault="004543E0" w:rsidP="007E3239">
            <w:pPr>
              <w:pStyle w:val="TableText"/>
              <w:spacing w:before="50" w:after="50"/>
              <w:rPr>
                <w:rFonts w:cs="Calibri"/>
                <w:szCs w:val="16"/>
              </w:rPr>
            </w:pPr>
            <w:r w:rsidRPr="009660EC">
              <w:rPr>
                <w:rFonts w:cs="Calibri"/>
                <w:szCs w:val="16"/>
              </w:rPr>
              <w:t>2003</w:t>
            </w:r>
          </w:p>
        </w:tc>
        <w:tc>
          <w:tcPr>
            <w:tcW w:w="1489" w:type="dxa"/>
            <w:vAlign w:val="bottom"/>
          </w:tcPr>
          <w:p w14:paraId="703C6C98" w14:textId="77777777" w:rsidR="004543E0" w:rsidRPr="009660EC" w:rsidRDefault="004543E0" w:rsidP="007E3239">
            <w:pPr>
              <w:pStyle w:val="TableText"/>
              <w:spacing w:before="50" w:after="50"/>
              <w:jc w:val="center"/>
              <w:rPr>
                <w:rFonts w:cs="Calibri"/>
                <w:szCs w:val="16"/>
              </w:rPr>
            </w:pPr>
            <w:r w:rsidRPr="009660EC">
              <w:rPr>
                <w:rFonts w:cs="Calibri"/>
                <w:szCs w:val="16"/>
              </w:rPr>
              <w:t>82.0</w:t>
            </w:r>
          </w:p>
        </w:tc>
        <w:tc>
          <w:tcPr>
            <w:tcW w:w="1487" w:type="dxa"/>
            <w:vAlign w:val="center"/>
          </w:tcPr>
          <w:p w14:paraId="591EFBA1" w14:textId="77777777" w:rsidR="004543E0" w:rsidRPr="009660EC" w:rsidRDefault="004543E0" w:rsidP="007E3239">
            <w:pPr>
              <w:pStyle w:val="TableText"/>
              <w:spacing w:before="50" w:after="50"/>
              <w:jc w:val="center"/>
              <w:rPr>
                <w:rFonts w:cs="Calibri"/>
                <w:szCs w:val="16"/>
              </w:rPr>
            </w:pPr>
            <w:r w:rsidRPr="009660EC">
              <w:rPr>
                <w:rFonts w:cs="Calibri"/>
                <w:szCs w:val="16"/>
              </w:rPr>
              <w:t>87.1</w:t>
            </w:r>
          </w:p>
        </w:tc>
        <w:tc>
          <w:tcPr>
            <w:tcW w:w="1487" w:type="dxa"/>
            <w:vAlign w:val="bottom"/>
          </w:tcPr>
          <w:p w14:paraId="14A8256F" w14:textId="77777777" w:rsidR="004543E0" w:rsidRPr="009660EC" w:rsidRDefault="004543E0" w:rsidP="007E3239">
            <w:pPr>
              <w:pStyle w:val="TableText"/>
              <w:spacing w:before="50" w:after="50"/>
              <w:jc w:val="center"/>
              <w:rPr>
                <w:rFonts w:cs="Calibri"/>
                <w:szCs w:val="16"/>
              </w:rPr>
            </w:pPr>
            <w:r w:rsidRPr="009660EC">
              <w:rPr>
                <w:rFonts w:cs="Calibri"/>
                <w:szCs w:val="16"/>
              </w:rPr>
              <w:t>59.0</w:t>
            </w:r>
          </w:p>
        </w:tc>
        <w:tc>
          <w:tcPr>
            <w:tcW w:w="1536" w:type="dxa"/>
            <w:vAlign w:val="bottom"/>
          </w:tcPr>
          <w:p w14:paraId="11B0D3EA"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11.7</w:t>
            </w:r>
          </w:p>
        </w:tc>
        <w:tc>
          <w:tcPr>
            <w:tcW w:w="1518" w:type="dxa"/>
            <w:vAlign w:val="bottom"/>
          </w:tcPr>
          <w:p w14:paraId="47BE8183" w14:textId="77777777" w:rsidR="004543E0" w:rsidRPr="009660EC" w:rsidRDefault="004543E0" w:rsidP="007E3239">
            <w:pPr>
              <w:pStyle w:val="TableText"/>
              <w:spacing w:before="50" w:after="50"/>
              <w:jc w:val="center"/>
              <w:rPr>
                <w:rFonts w:cs="Calibri"/>
                <w:szCs w:val="16"/>
              </w:rPr>
            </w:pPr>
            <w:r w:rsidRPr="009660EC">
              <w:rPr>
                <w:rFonts w:cs="Calibri"/>
                <w:szCs w:val="16"/>
              </w:rPr>
              <w:t>21.8</w:t>
            </w:r>
          </w:p>
        </w:tc>
      </w:tr>
      <w:tr w:rsidR="004543E0" w:rsidRPr="009660EC" w14:paraId="51335746" w14:textId="77777777" w:rsidTr="00CF021E">
        <w:trPr>
          <w:trHeight w:val="239"/>
        </w:trPr>
        <w:tc>
          <w:tcPr>
            <w:tcW w:w="988" w:type="dxa"/>
          </w:tcPr>
          <w:p w14:paraId="02131918" w14:textId="77777777" w:rsidR="004543E0" w:rsidRPr="009660EC" w:rsidRDefault="004543E0" w:rsidP="007E3239">
            <w:pPr>
              <w:pStyle w:val="TableText"/>
              <w:spacing w:before="50" w:after="50"/>
              <w:rPr>
                <w:rFonts w:cs="Calibri"/>
                <w:szCs w:val="16"/>
              </w:rPr>
            </w:pPr>
            <w:r w:rsidRPr="009660EC">
              <w:rPr>
                <w:rFonts w:cs="Calibri"/>
                <w:szCs w:val="16"/>
              </w:rPr>
              <w:lastRenderedPageBreak/>
              <w:t>2004</w:t>
            </w:r>
          </w:p>
        </w:tc>
        <w:tc>
          <w:tcPr>
            <w:tcW w:w="1489" w:type="dxa"/>
            <w:vAlign w:val="bottom"/>
          </w:tcPr>
          <w:p w14:paraId="31B650B6" w14:textId="77777777" w:rsidR="004543E0" w:rsidRPr="009660EC" w:rsidRDefault="004543E0" w:rsidP="007E3239">
            <w:pPr>
              <w:pStyle w:val="TableText"/>
              <w:spacing w:before="50" w:after="50"/>
              <w:jc w:val="center"/>
              <w:rPr>
                <w:rFonts w:cs="Calibri"/>
                <w:szCs w:val="16"/>
              </w:rPr>
            </w:pPr>
            <w:r w:rsidRPr="009660EC">
              <w:rPr>
                <w:rFonts w:cs="Calibri"/>
                <w:szCs w:val="16"/>
              </w:rPr>
              <w:t>80.8</w:t>
            </w:r>
          </w:p>
        </w:tc>
        <w:tc>
          <w:tcPr>
            <w:tcW w:w="1487" w:type="dxa"/>
            <w:vAlign w:val="center"/>
          </w:tcPr>
          <w:p w14:paraId="3A43294A" w14:textId="77777777" w:rsidR="004543E0" w:rsidRPr="009660EC" w:rsidRDefault="004543E0" w:rsidP="007E3239">
            <w:pPr>
              <w:pStyle w:val="TableText"/>
              <w:spacing w:before="50" w:after="50"/>
              <w:jc w:val="center"/>
              <w:rPr>
                <w:rFonts w:cs="Calibri"/>
                <w:szCs w:val="16"/>
              </w:rPr>
            </w:pPr>
            <w:r w:rsidRPr="009660EC">
              <w:rPr>
                <w:rFonts w:cs="Calibri"/>
                <w:szCs w:val="16"/>
              </w:rPr>
              <w:t>88.3</w:t>
            </w:r>
          </w:p>
        </w:tc>
        <w:tc>
          <w:tcPr>
            <w:tcW w:w="1487" w:type="dxa"/>
            <w:vAlign w:val="bottom"/>
          </w:tcPr>
          <w:p w14:paraId="3D93DE30" w14:textId="77777777" w:rsidR="004543E0" w:rsidRPr="009660EC" w:rsidRDefault="004543E0" w:rsidP="007E3239">
            <w:pPr>
              <w:pStyle w:val="TableText"/>
              <w:spacing w:before="50" w:after="50"/>
              <w:jc w:val="center"/>
              <w:rPr>
                <w:rFonts w:cs="Calibri"/>
                <w:szCs w:val="16"/>
              </w:rPr>
            </w:pPr>
            <w:r w:rsidRPr="009660EC">
              <w:rPr>
                <w:rFonts w:cs="Calibri"/>
                <w:szCs w:val="16"/>
              </w:rPr>
              <w:t>60.0</w:t>
            </w:r>
          </w:p>
        </w:tc>
        <w:tc>
          <w:tcPr>
            <w:tcW w:w="1536" w:type="dxa"/>
            <w:vAlign w:val="bottom"/>
          </w:tcPr>
          <w:p w14:paraId="6CBFBD43"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11.9</w:t>
            </w:r>
          </w:p>
        </w:tc>
        <w:tc>
          <w:tcPr>
            <w:tcW w:w="1518" w:type="dxa"/>
            <w:vAlign w:val="bottom"/>
          </w:tcPr>
          <w:p w14:paraId="12CCADC7" w14:textId="77777777" w:rsidR="004543E0" w:rsidRPr="009660EC" w:rsidRDefault="004543E0" w:rsidP="007E3239">
            <w:pPr>
              <w:pStyle w:val="TableText"/>
              <w:spacing w:before="50" w:after="50"/>
              <w:jc w:val="center"/>
              <w:rPr>
                <w:rFonts w:cs="Calibri"/>
                <w:szCs w:val="16"/>
              </w:rPr>
            </w:pPr>
            <w:r w:rsidRPr="009660EC">
              <w:rPr>
                <w:rFonts w:cs="Calibri"/>
                <w:szCs w:val="16"/>
              </w:rPr>
              <w:t>22.1</w:t>
            </w:r>
          </w:p>
        </w:tc>
      </w:tr>
      <w:tr w:rsidR="004543E0" w:rsidRPr="009660EC" w14:paraId="7AC63241" w14:textId="77777777" w:rsidTr="00CF021E">
        <w:trPr>
          <w:trHeight w:val="239"/>
        </w:trPr>
        <w:tc>
          <w:tcPr>
            <w:tcW w:w="988" w:type="dxa"/>
          </w:tcPr>
          <w:p w14:paraId="39A80A2C" w14:textId="77777777" w:rsidR="004543E0" w:rsidRPr="009660EC" w:rsidRDefault="004543E0" w:rsidP="007E3239">
            <w:pPr>
              <w:pStyle w:val="TableText"/>
              <w:spacing w:before="50" w:after="50"/>
              <w:rPr>
                <w:rFonts w:cs="Calibri"/>
                <w:szCs w:val="16"/>
              </w:rPr>
            </w:pPr>
            <w:r w:rsidRPr="009660EC">
              <w:rPr>
                <w:rFonts w:cs="Calibri"/>
                <w:szCs w:val="16"/>
              </w:rPr>
              <w:t>2005</w:t>
            </w:r>
          </w:p>
        </w:tc>
        <w:tc>
          <w:tcPr>
            <w:tcW w:w="1489" w:type="dxa"/>
            <w:vAlign w:val="bottom"/>
          </w:tcPr>
          <w:p w14:paraId="7E9B097B" w14:textId="77777777" w:rsidR="004543E0" w:rsidRPr="009660EC" w:rsidRDefault="004543E0" w:rsidP="007E3239">
            <w:pPr>
              <w:pStyle w:val="TableText"/>
              <w:spacing w:before="50" w:after="50"/>
              <w:jc w:val="center"/>
              <w:rPr>
                <w:rFonts w:cs="Calibri"/>
                <w:szCs w:val="16"/>
              </w:rPr>
            </w:pPr>
            <w:r w:rsidRPr="009660EC">
              <w:rPr>
                <w:rFonts w:cs="Calibri"/>
                <w:szCs w:val="16"/>
              </w:rPr>
              <w:t>81.3</w:t>
            </w:r>
          </w:p>
        </w:tc>
        <w:tc>
          <w:tcPr>
            <w:tcW w:w="1487" w:type="dxa"/>
            <w:vAlign w:val="center"/>
          </w:tcPr>
          <w:p w14:paraId="1CC7A92C" w14:textId="77777777" w:rsidR="004543E0" w:rsidRPr="009660EC" w:rsidRDefault="004543E0" w:rsidP="007E3239">
            <w:pPr>
              <w:pStyle w:val="TableText"/>
              <w:spacing w:before="50" w:after="50"/>
              <w:jc w:val="center"/>
              <w:rPr>
                <w:rFonts w:cs="Calibri"/>
                <w:szCs w:val="16"/>
              </w:rPr>
            </w:pPr>
            <w:r w:rsidRPr="009660EC">
              <w:rPr>
                <w:rFonts w:cs="Calibri"/>
                <w:szCs w:val="16"/>
              </w:rPr>
              <w:t>86.1</w:t>
            </w:r>
          </w:p>
        </w:tc>
        <w:tc>
          <w:tcPr>
            <w:tcW w:w="1487" w:type="dxa"/>
            <w:vAlign w:val="bottom"/>
          </w:tcPr>
          <w:p w14:paraId="32B1CFA2" w14:textId="77777777" w:rsidR="004543E0" w:rsidRPr="009660EC" w:rsidRDefault="004543E0" w:rsidP="007E3239">
            <w:pPr>
              <w:pStyle w:val="TableText"/>
              <w:spacing w:before="50" w:after="50"/>
              <w:jc w:val="center"/>
              <w:rPr>
                <w:rFonts w:cs="Calibri"/>
                <w:szCs w:val="16"/>
              </w:rPr>
            </w:pPr>
            <w:r w:rsidRPr="009660EC">
              <w:rPr>
                <w:rFonts w:cs="Calibri"/>
                <w:szCs w:val="16"/>
              </w:rPr>
              <w:t>60.7</w:t>
            </w:r>
          </w:p>
        </w:tc>
        <w:tc>
          <w:tcPr>
            <w:tcW w:w="1536" w:type="dxa"/>
            <w:vAlign w:val="bottom"/>
          </w:tcPr>
          <w:p w14:paraId="6A773ABD"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12.0</w:t>
            </w:r>
          </w:p>
        </w:tc>
        <w:tc>
          <w:tcPr>
            <w:tcW w:w="1518" w:type="dxa"/>
            <w:vAlign w:val="bottom"/>
          </w:tcPr>
          <w:p w14:paraId="7B154A09" w14:textId="77777777" w:rsidR="004543E0" w:rsidRPr="009660EC" w:rsidRDefault="004543E0" w:rsidP="007E3239">
            <w:pPr>
              <w:pStyle w:val="TableText"/>
              <w:spacing w:before="50" w:after="50"/>
              <w:jc w:val="center"/>
              <w:rPr>
                <w:rFonts w:cs="Calibri"/>
                <w:szCs w:val="16"/>
              </w:rPr>
            </w:pPr>
            <w:r w:rsidRPr="009660EC">
              <w:rPr>
                <w:rFonts w:cs="Calibri"/>
                <w:szCs w:val="16"/>
              </w:rPr>
              <w:t>22.5</w:t>
            </w:r>
          </w:p>
        </w:tc>
      </w:tr>
      <w:tr w:rsidR="004543E0" w:rsidRPr="009660EC" w14:paraId="6DEB92C5" w14:textId="77777777" w:rsidTr="00CF021E">
        <w:trPr>
          <w:trHeight w:val="251"/>
        </w:trPr>
        <w:tc>
          <w:tcPr>
            <w:tcW w:w="988" w:type="dxa"/>
          </w:tcPr>
          <w:p w14:paraId="2082D28A" w14:textId="77777777" w:rsidR="004543E0" w:rsidRPr="009660EC" w:rsidRDefault="004543E0" w:rsidP="007E3239">
            <w:pPr>
              <w:pStyle w:val="TableText"/>
              <w:spacing w:before="50" w:after="50"/>
              <w:rPr>
                <w:rFonts w:cs="Calibri"/>
                <w:szCs w:val="16"/>
              </w:rPr>
            </w:pPr>
            <w:r w:rsidRPr="009660EC">
              <w:rPr>
                <w:rFonts w:cs="Calibri"/>
                <w:szCs w:val="16"/>
              </w:rPr>
              <w:t>2006</w:t>
            </w:r>
          </w:p>
        </w:tc>
        <w:tc>
          <w:tcPr>
            <w:tcW w:w="1489" w:type="dxa"/>
            <w:vAlign w:val="bottom"/>
          </w:tcPr>
          <w:p w14:paraId="55D3B366" w14:textId="77777777" w:rsidR="004543E0" w:rsidRPr="009660EC" w:rsidRDefault="004543E0" w:rsidP="007E3239">
            <w:pPr>
              <w:pStyle w:val="TableText"/>
              <w:spacing w:before="50" w:after="50"/>
              <w:jc w:val="center"/>
              <w:rPr>
                <w:rFonts w:cs="Calibri"/>
                <w:szCs w:val="16"/>
              </w:rPr>
            </w:pPr>
            <w:r w:rsidRPr="009660EC">
              <w:rPr>
                <w:rFonts w:cs="Calibri"/>
                <w:szCs w:val="16"/>
              </w:rPr>
              <w:t>81.0</w:t>
            </w:r>
          </w:p>
        </w:tc>
        <w:tc>
          <w:tcPr>
            <w:tcW w:w="1487" w:type="dxa"/>
            <w:vAlign w:val="center"/>
          </w:tcPr>
          <w:p w14:paraId="359643E5" w14:textId="77777777" w:rsidR="004543E0" w:rsidRPr="009660EC" w:rsidRDefault="004543E0" w:rsidP="007E3239">
            <w:pPr>
              <w:pStyle w:val="TableText"/>
              <w:spacing w:before="50" w:after="50"/>
              <w:jc w:val="center"/>
              <w:rPr>
                <w:rFonts w:cs="Calibri"/>
                <w:szCs w:val="16"/>
              </w:rPr>
            </w:pPr>
            <w:r w:rsidRPr="009660EC">
              <w:rPr>
                <w:rFonts w:cs="Calibri"/>
                <w:szCs w:val="16"/>
              </w:rPr>
              <w:t>86.8</w:t>
            </w:r>
          </w:p>
        </w:tc>
        <w:tc>
          <w:tcPr>
            <w:tcW w:w="1487" w:type="dxa"/>
            <w:vAlign w:val="bottom"/>
          </w:tcPr>
          <w:p w14:paraId="60B77AFC" w14:textId="77777777" w:rsidR="004543E0" w:rsidRPr="009660EC" w:rsidRDefault="004543E0" w:rsidP="007E3239">
            <w:pPr>
              <w:pStyle w:val="TableText"/>
              <w:spacing w:before="50" w:after="50"/>
              <w:jc w:val="center"/>
              <w:rPr>
                <w:rFonts w:cs="Calibri"/>
                <w:szCs w:val="16"/>
              </w:rPr>
            </w:pPr>
            <w:r w:rsidRPr="009660EC">
              <w:rPr>
                <w:rFonts w:cs="Calibri"/>
                <w:szCs w:val="16"/>
              </w:rPr>
              <w:t>61.9</w:t>
            </w:r>
          </w:p>
        </w:tc>
        <w:tc>
          <w:tcPr>
            <w:tcW w:w="1536" w:type="dxa"/>
            <w:vAlign w:val="bottom"/>
          </w:tcPr>
          <w:p w14:paraId="79F60ABB"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11.9</w:t>
            </w:r>
          </w:p>
        </w:tc>
        <w:tc>
          <w:tcPr>
            <w:tcW w:w="1518" w:type="dxa"/>
            <w:vAlign w:val="bottom"/>
          </w:tcPr>
          <w:p w14:paraId="6F06AB6E" w14:textId="77777777" w:rsidR="004543E0" w:rsidRPr="009660EC" w:rsidRDefault="004543E0" w:rsidP="007E3239">
            <w:pPr>
              <w:pStyle w:val="TableText"/>
              <w:spacing w:before="50" w:after="50"/>
              <w:jc w:val="center"/>
              <w:rPr>
                <w:rFonts w:cs="Calibri"/>
                <w:szCs w:val="16"/>
              </w:rPr>
            </w:pPr>
            <w:r w:rsidRPr="009660EC">
              <w:rPr>
                <w:rFonts w:cs="Calibri"/>
                <w:szCs w:val="16"/>
              </w:rPr>
              <w:t>22.8</w:t>
            </w:r>
          </w:p>
        </w:tc>
      </w:tr>
      <w:tr w:rsidR="004543E0" w:rsidRPr="009660EC" w14:paraId="4AAD78C0" w14:textId="77777777" w:rsidTr="00CF021E">
        <w:trPr>
          <w:trHeight w:val="239"/>
        </w:trPr>
        <w:tc>
          <w:tcPr>
            <w:tcW w:w="988" w:type="dxa"/>
          </w:tcPr>
          <w:p w14:paraId="016A7A7E" w14:textId="77777777" w:rsidR="004543E0" w:rsidRPr="009660EC" w:rsidRDefault="004543E0" w:rsidP="007E3239">
            <w:pPr>
              <w:pStyle w:val="TableText"/>
              <w:spacing w:before="50" w:after="50"/>
              <w:rPr>
                <w:rFonts w:cs="Calibri"/>
                <w:szCs w:val="16"/>
              </w:rPr>
            </w:pPr>
            <w:r w:rsidRPr="009660EC">
              <w:rPr>
                <w:rFonts w:cs="Calibri"/>
                <w:szCs w:val="16"/>
              </w:rPr>
              <w:t>2007</w:t>
            </w:r>
          </w:p>
        </w:tc>
        <w:tc>
          <w:tcPr>
            <w:tcW w:w="1489" w:type="dxa"/>
            <w:vAlign w:val="bottom"/>
          </w:tcPr>
          <w:p w14:paraId="6CE9EF0A" w14:textId="77777777" w:rsidR="004543E0" w:rsidRPr="009660EC" w:rsidRDefault="004543E0" w:rsidP="007E3239">
            <w:pPr>
              <w:pStyle w:val="TableText"/>
              <w:spacing w:before="50" w:after="50"/>
              <w:jc w:val="center"/>
              <w:rPr>
                <w:rFonts w:cs="Calibri"/>
                <w:szCs w:val="16"/>
              </w:rPr>
            </w:pPr>
            <w:r w:rsidRPr="009660EC">
              <w:rPr>
                <w:rFonts w:cs="Calibri"/>
                <w:szCs w:val="16"/>
              </w:rPr>
              <w:t>80.0</w:t>
            </w:r>
          </w:p>
        </w:tc>
        <w:tc>
          <w:tcPr>
            <w:tcW w:w="1487" w:type="dxa"/>
            <w:vAlign w:val="center"/>
          </w:tcPr>
          <w:p w14:paraId="65844679" w14:textId="77777777" w:rsidR="004543E0" w:rsidRPr="009660EC" w:rsidRDefault="004543E0" w:rsidP="007E3239">
            <w:pPr>
              <w:pStyle w:val="TableText"/>
              <w:spacing w:before="50" w:after="50"/>
              <w:jc w:val="center"/>
              <w:rPr>
                <w:rFonts w:cs="Calibri"/>
                <w:szCs w:val="16"/>
              </w:rPr>
            </w:pPr>
            <w:r w:rsidRPr="009660EC">
              <w:rPr>
                <w:rFonts w:cs="Calibri"/>
                <w:szCs w:val="16"/>
              </w:rPr>
              <w:t>88.0</w:t>
            </w:r>
          </w:p>
        </w:tc>
        <w:tc>
          <w:tcPr>
            <w:tcW w:w="1487" w:type="dxa"/>
            <w:vAlign w:val="bottom"/>
          </w:tcPr>
          <w:p w14:paraId="1E906E4B" w14:textId="77777777" w:rsidR="004543E0" w:rsidRPr="009660EC" w:rsidRDefault="004543E0" w:rsidP="007E3239">
            <w:pPr>
              <w:pStyle w:val="TableText"/>
              <w:spacing w:before="50" w:after="50"/>
              <w:jc w:val="center"/>
              <w:rPr>
                <w:rFonts w:cs="Calibri"/>
                <w:szCs w:val="16"/>
              </w:rPr>
            </w:pPr>
            <w:r w:rsidRPr="009660EC">
              <w:rPr>
                <w:rFonts w:cs="Calibri"/>
                <w:szCs w:val="16"/>
              </w:rPr>
              <w:t>61.1</w:t>
            </w:r>
          </w:p>
        </w:tc>
        <w:tc>
          <w:tcPr>
            <w:tcW w:w="1536" w:type="dxa"/>
            <w:vAlign w:val="bottom"/>
          </w:tcPr>
          <w:p w14:paraId="25E40106"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11.7</w:t>
            </w:r>
          </w:p>
        </w:tc>
        <w:tc>
          <w:tcPr>
            <w:tcW w:w="1518" w:type="dxa"/>
            <w:vAlign w:val="bottom"/>
          </w:tcPr>
          <w:p w14:paraId="37080B7D" w14:textId="77777777" w:rsidR="004543E0" w:rsidRPr="009660EC" w:rsidRDefault="004543E0" w:rsidP="007E3239">
            <w:pPr>
              <w:pStyle w:val="TableText"/>
              <w:spacing w:before="50" w:after="50"/>
              <w:jc w:val="center"/>
              <w:rPr>
                <w:rFonts w:cs="Calibri"/>
                <w:szCs w:val="16"/>
              </w:rPr>
            </w:pPr>
            <w:r w:rsidRPr="009660EC">
              <w:rPr>
                <w:rFonts w:cs="Calibri"/>
                <w:szCs w:val="16"/>
              </w:rPr>
              <w:t>23.0</w:t>
            </w:r>
          </w:p>
        </w:tc>
      </w:tr>
      <w:tr w:rsidR="004543E0" w:rsidRPr="009660EC" w14:paraId="5CB5DE9D" w14:textId="77777777" w:rsidTr="00CF021E">
        <w:trPr>
          <w:trHeight w:val="239"/>
        </w:trPr>
        <w:tc>
          <w:tcPr>
            <w:tcW w:w="988" w:type="dxa"/>
          </w:tcPr>
          <w:p w14:paraId="7BFE3C62" w14:textId="77777777" w:rsidR="004543E0" w:rsidRPr="009660EC" w:rsidRDefault="004543E0" w:rsidP="007E3239">
            <w:pPr>
              <w:pStyle w:val="TableText"/>
              <w:spacing w:before="50" w:after="50"/>
              <w:rPr>
                <w:rFonts w:cs="Calibri"/>
                <w:szCs w:val="16"/>
              </w:rPr>
            </w:pPr>
            <w:r w:rsidRPr="009660EC">
              <w:rPr>
                <w:rFonts w:cs="Calibri"/>
                <w:szCs w:val="16"/>
              </w:rPr>
              <w:t>2008</w:t>
            </w:r>
          </w:p>
        </w:tc>
        <w:tc>
          <w:tcPr>
            <w:tcW w:w="1489" w:type="dxa"/>
            <w:vAlign w:val="bottom"/>
          </w:tcPr>
          <w:p w14:paraId="635F6540" w14:textId="77777777" w:rsidR="004543E0" w:rsidRPr="009660EC" w:rsidRDefault="004543E0" w:rsidP="007E3239">
            <w:pPr>
              <w:pStyle w:val="TableText"/>
              <w:spacing w:before="50" w:after="50"/>
              <w:jc w:val="center"/>
              <w:rPr>
                <w:rFonts w:cs="Calibri"/>
                <w:szCs w:val="16"/>
              </w:rPr>
            </w:pPr>
            <w:r w:rsidRPr="009660EC">
              <w:rPr>
                <w:rFonts w:cs="Calibri"/>
                <w:szCs w:val="16"/>
              </w:rPr>
              <w:t>78.8</w:t>
            </w:r>
          </w:p>
        </w:tc>
        <w:tc>
          <w:tcPr>
            <w:tcW w:w="1487" w:type="dxa"/>
            <w:vAlign w:val="center"/>
          </w:tcPr>
          <w:p w14:paraId="5DBC2695" w14:textId="77777777" w:rsidR="004543E0" w:rsidRPr="009660EC" w:rsidRDefault="004543E0" w:rsidP="007E3239">
            <w:pPr>
              <w:pStyle w:val="TableText"/>
              <w:spacing w:before="50" w:after="50"/>
              <w:jc w:val="center"/>
              <w:rPr>
                <w:rFonts w:cs="Calibri"/>
                <w:szCs w:val="16"/>
              </w:rPr>
            </w:pPr>
            <w:r w:rsidRPr="009660EC">
              <w:rPr>
                <w:rFonts w:cs="Calibri"/>
                <w:szCs w:val="16"/>
              </w:rPr>
              <w:t>87.4</w:t>
            </w:r>
          </w:p>
        </w:tc>
        <w:tc>
          <w:tcPr>
            <w:tcW w:w="1487" w:type="dxa"/>
            <w:vAlign w:val="bottom"/>
          </w:tcPr>
          <w:p w14:paraId="16211645" w14:textId="77777777" w:rsidR="004543E0" w:rsidRPr="009660EC" w:rsidRDefault="004543E0" w:rsidP="007E3239">
            <w:pPr>
              <w:pStyle w:val="TableText"/>
              <w:spacing w:before="50" w:after="50"/>
              <w:jc w:val="center"/>
              <w:rPr>
                <w:rFonts w:cs="Calibri"/>
                <w:szCs w:val="16"/>
              </w:rPr>
            </w:pPr>
            <w:r w:rsidRPr="009660EC">
              <w:rPr>
                <w:rFonts w:cs="Calibri"/>
                <w:szCs w:val="16"/>
              </w:rPr>
              <w:t>60.6</w:t>
            </w:r>
          </w:p>
        </w:tc>
        <w:tc>
          <w:tcPr>
            <w:tcW w:w="1536" w:type="dxa"/>
            <w:vAlign w:val="bottom"/>
          </w:tcPr>
          <w:p w14:paraId="0E601D60"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12.0</w:t>
            </w:r>
          </w:p>
        </w:tc>
        <w:tc>
          <w:tcPr>
            <w:tcW w:w="1518" w:type="dxa"/>
            <w:vAlign w:val="bottom"/>
          </w:tcPr>
          <w:p w14:paraId="1853AA38" w14:textId="77777777" w:rsidR="004543E0" w:rsidRPr="009660EC" w:rsidRDefault="004543E0" w:rsidP="007E3239">
            <w:pPr>
              <w:pStyle w:val="TableText"/>
              <w:spacing w:before="50" w:after="50"/>
              <w:jc w:val="center"/>
              <w:rPr>
                <w:rFonts w:cs="Calibri"/>
                <w:szCs w:val="16"/>
              </w:rPr>
            </w:pPr>
            <w:r w:rsidRPr="009660EC">
              <w:rPr>
                <w:rFonts w:cs="Calibri"/>
                <w:szCs w:val="16"/>
              </w:rPr>
              <w:t>23.2</w:t>
            </w:r>
          </w:p>
        </w:tc>
      </w:tr>
      <w:tr w:rsidR="004543E0" w:rsidRPr="009660EC" w14:paraId="50475E79" w14:textId="77777777" w:rsidTr="00CF021E">
        <w:trPr>
          <w:trHeight w:val="239"/>
        </w:trPr>
        <w:tc>
          <w:tcPr>
            <w:tcW w:w="988" w:type="dxa"/>
          </w:tcPr>
          <w:p w14:paraId="482A16AF" w14:textId="77777777" w:rsidR="004543E0" w:rsidRPr="009660EC" w:rsidRDefault="004543E0" w:rsidP="007E3239">
            <w:pPr>
              <w:pStyle w:val="TableText"/>
              <w:spacing w:before="50" w:after="50"/>
              <w:rPr>
                <w:rFonts w:cs="Calibri"/>
                <w:szCs w:val="16"/>
              </w:rPr>
            </w:pPr>
            <w:r w:rsidRPr="009660EC">
              <w:rPr>
                <w:rFonts w:cs="Calibri"/>
                <w:szCs w:val="16"/>
              </w:rPr>
              <w:t>2009</w:t>
            </w:r>
          </w:p>
        </w:tc>
        <w:tc>
          <w:tcPr>
            <w:tcW w:w="1489" w:type="dxa"/>
            <w:vAlign w:val="bottom"/>
          </w:tcPr>
          <w:p w14:paraId="11B515C3" w14:textId="77777777" w:rsidR="004543E0" w:rsidRPr="009660EC" w:rsidRDefault="004543E0" w:rsidP="007E3239">
            <w:pPr>
              <w:pStyle w:val="TableText"/>
              <w:spacing w:before="50" w:after="50"/>
              <w:jc w:val="center"/>
              <w:rPr>
                <w:rFonts w:cs="Calibri"/>
                <w:szCs w:val="16"/>
              </w:rPr>
            </w:pPr>
            <w:r w:rsidRPr="009660EC">
              <w:rPr>
                <w:rFonts w:cs="Calibri"/>
                <w:szCs w:val="16"/>
              </w:rPr>
              <w:t>79.3</w:t>
            </w:r>
          </w:p>
        </w:tc>
        <w:tc>
          <w:tcPr>
            <w:tcW w:w="1487" w:type="dxa"/>
            <w:vAlign w:val="center"/>
          </w:tcPr>
          <w:p w14:paraId="6B1099AD" w14:textId="77777777" w:rsidR="004543E0" w:rsidRPr="009660EC" w:rsidRDefault="004543E0" w:rsidP="007E3239">
            <w:pPr>
              <w:pStyle w:val="TableText"/>
              <w:spacing w:before="50" w:after="50"/>
              <w:jc w:val="center"/>
              <w:rPr>
                <w:rFonts w:cs="Calibri"/>
                <w:szCs w:val="16"/>
              </w:rPr>
            </w:pPr>
            <w:r w:rsidRPr="009660EC">
              <w:rPr>
                <w:rFonts w:cs="Calibri"/>
                <w:szCs w:val="16"/>
              </w:rPr>
              <w:t>86.9</w:t>
            </w:r>
          </w:p>
        </w:tc>
        <w:tc>
          <w:tcPr>
            <w:tcW w:w="1487" w:type="dxa"/>
            <w:vAlign w:val="bottom"/>
          </w:tcPr>
          <w:p w14:paraId="76E478C1" w14:textId="77777777" w:rsidR="004543E0" w:rsidRPr="009660EC" w:rsidRDefault="004543E0" w:rsidP="007E3239">
            <w:pPr>
              <w:pStyle w:val="TableText"/>
              <w:spacing w:before="50" w:after="50"/>
              <w:jc w:val="center"/>
              <w:rPr>
                <w:rFonts w:cs="Calibri"/>
                <w:szCs w:val="16"/>
              </w:rPr>
            </w:pPr>
            <w:r w:rsidRPr="009660EC">
              <w:rPr>
                <w:rFonts w:cs="Calibri"/>
                <w:szCs w:val="16"/>
              </w:rPr>
              <w:t>60.1</w:t>
            </w:r>
          </w:p>
        </w:tc>
        <w:tc>
          <w:tcPr>
            <w:tcW w:w="1536" w:type="dxa"/>
            <w:vAlign w:val="bottom"/>
          </w:tcPr>
          <w:p w14:paraId="35F98E82"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12.1</w:t>
            </w:r>
          </w:p>
        </w:tc>
        <w:tc>
          <w:tcPr>
            <w:tcW w:w="1518" w:type="dxa"/>
            <w:vAlign w:val="bottom"/>
          </w:tcPr>
          <w:p w14:paraId="41DCD796" w14:textId="77777777" w:rsidR="004543E0" w:rsidRPr="009660EC" w:rsidRDefault="004543E0" w:rsidP="007E3239">
            <w:pPr>
              <w:pStyle w:val="TableText"/>
              <w:spacing w:before="50" w:after="50"/>
              <w:jc w:val="center"/>
              <w:rPr>
                <w:rFonts w:cs="Calibri"/>
                <w:szCs w:val="16"/>
              </w:rPr>
            </w:pPr>
            <w:r w:rsidRPr="009660EC">
              <w:rPr>
                <w:rFonts w:cs="Calibri"/>
                <w:szCs w:val="16"/>
              </w:rPr>
              <w:t>23.3</w:t>
            </w:r>
          </w:p>
        </w:tc>
      </w:tr>
      <w:tr w:rsidR="004543E0" w:rsidRPr="009660EC" w14:paraId="49E08EAE" w14:textId="77777777" w:rsidTr="00CF021E">
        <w:trPr>
          <w:trHeight w:val="239"/>
        </w:trPr>
        <w:tc>
          <w:tcPr>
            <w:tcW w:w="988" w:type="dxa"/>
          </w:tcPr>
          <w:p w14:paraId="5D001EA6" w14:textId="77777777" w:rsidR="004543E0" w:rsidRPr="009660EC" w:rsidRDefault="004543E0" w:rsidP="007E3239">
            <w:pPr>
              <w:pStyle w:val="TableText"/>
              <w:spacing w:before="50" w:after="50"/>
              <w:rPr>
                <w:rFonts w:cs="Calibri"/>
                <w:szCs w:val="16"/>
              </w:rPr>
            </w:pPr>
            <w:r w:rsidRPr="009660EC">
              <w:rPr>
                <w:rFonts w:cs="Calibri"/>
                <w:szCs w:val="16"/>
              </w:rPr>
              <w:t>2010</w:t>
            </w:r>
          </w:p>
        </w:tc>
        <w:tc>
          <w:tcPr>
            <w:tcW w:w="1489" w:type="dxa"/>
            <w:vAlign w:val="bottom"/>
          </w:tcPr>
          <w:p w14:paraId="68A4A636" w14:textId="77777777" w:rsidR="004543E0" w:rsidRPr="009660EC" w:rsidRDefault="004543E0" w:rsidP="007E3239">
            <w:pPr>
              <w:pStyle w:val="TableText"/>
              <w:spacing w:before="50" w:after="50"/>
              <w:jc w:val="center"/>
              <w:rPr>
                <w:rFonts w:cs="Calibri"/>
                <w:szCs w:val="16"/>
              </w:rPr>
            </w:pPr>
            <w:r w:rsidRPr="009660EC">
              <w:rPr>
                <w:rFonts w:cs="Calibri"/>
                <w:szCs w:val="16"/>
              </w:rPr>
              <w:t>81.4</w:t>
            </w:r>
          </w:p>
        </w:tc>
        <w:tc>
          <w:tcPr>
            <w:tcW w:w="1487" w:type="dxa"/>
            <w:vAlign w:val="center"/>
          </w:tcPr>
          <w:p w14:paraId="0F8952A4" w14:textId="77777777" w:rsidR="004543E0" w:rsidRPr="009660EC" w:rsidRDefault="004543E0" w:rsidP="007E3239">
            <w:pPr>
              <w:pStyle w:val="TableText"/>
              <w:spacing w:before="50" w:after="50"/>
              <w:jc w:val="center"/>
              <w:rPr>
                <w:rFonts w:cs="Calibri"/>
                <w:szCs w:val="16"/>
              </w:rPr>
            </w:pPr>
            <w:r w:rsidRPr="009660EC">
              <w:rPr>
                <w:rFonts w:cs="Calibri"/>
                <w:szCs w:val="16"/>
              </w:rPr>
              <w:t>86.7</w:t>
            </w:r>
          </w:p>
        </w:tc>
        <w:tc>
          <w:tcPr>
            <w:tcW w:w="1487" w:type="dxa"/>
            <w:vAlign w:val="bottom"/>
          </w:tcPr>
          <w:p w14:paraId="22341C12" w14:textId="77777777" w:rsidR="004543E0" w:rsidRPr="009660EC" w:rsidRDefault="004543E0" w:rsidP="007E3239">
            <w:pPr>
              <w:pStyle w:val="TableText"/>
              <w:spacing w:before="50" w:after="50"/>
              <w:jc w:val="center"/>
              <w:rPr>
                <w:rFonts w:cs="Calibri"/>
                <w:szCs w:val="16"/>
              </w:rPr>
            </w:pPr>
            <w:r w:rsidRPr="009660EC">
              <w:rPr>
                <w:rFonts w:cs="Calibri"/>
                <w:szCs w:val="16"/>
              </w:rPr>
              <w:t>60.0</w:t>
            </w:r>
          </w:p>
        </w:tc>
        <w:tc>
          <w:tcPr>
            <w:tcW w:w="1536" w:type="dxa"/>
            <w:vAlign w:val="bottom"/>
          </w:tcPr>
          <w:p w14:paraId="4425A4BF"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11.8</w:t>
            </w:r>
          </w:p>
        </w:tc>
        <w:tc>
          <w:tcPr>
            <w:tcW w:w="1518" w:type="dxa"/>
            <w:vAlign w:val="bottom"/>
          </w:tcPr>
          <w:p w14:paraId="732E14CA" w14:textId="77777777" w:rsidR="004543E0" w:rsidRPr="009660EC" w:rsidRDefault="004543E0" w:rsidP="007E3239">
            <w:pPr>
              <w:pStyle w:val="TableText"/>
              <w:spacing w:before="50" w:after="50"/>
              <w:jc w:val="center"/>
              <w:rPr>
                <w:rFonts w:cs="Calibri"/>
                <w:szCs w:val="16"/>
              </w:rPr>
            </w:pPr>
            <w:r w:rsidRPr="009660EC">
              <w:rPr>
                <w:rFonts w:cs="Calibri"/>
                <w:szCs w:val="16"/>
              </w:rPr>
              <w:t>23.3</w:t>
            </w:r>
          </w:p>
        </w:tc>
      </w:tr>
      <w:tr w:rsidR="004543E0" w:rsidRPr="009660EC" w14:paraId="61A229BB" w14:textId="77777777" w:rsidTr="00CF021E">
        <w:trPr>
          <w:trHeight w:val="217"/>
        </w:trPr>
        <w:tc>
          <w:tcPr>
            <w:tcW w:w="988" w:type="dxa"/>
          </w:tcPr>
          <w:p w14:paraId="46CE8872" w14:textId="77777777" w:rsidR="004543E0" w:rsidRPr="009660EC" w:rsidRDefault="004543E0" w:rsidP="007E3239">
            <w:pPr>
              <w:pStyle w:val="TableText"/>
              <w:spacing w:before="50" w:after="50"/>
              <w:rPr>
                <w:rFonts w:cs="Calibri"/>
                <w:szCs w:val="16"/>
              </w:rPr>
            </w:pPr>
            <w:r w:rsidRPr="009660EC">
              <w:rPr>
                <w:rFonts w:cs="Calibri"/>
                <w:szCs w:val="16"/>
              </w:rPr>
              <w:t>2011</w:t>
            </w:r>
          </w:p>
        </w:tc>
        <w:tc>
          <w:tcPr>
            <w:tcW w:w="1489" w:type="dxa"/>
            <w:vAlign w:val="bottom"/>
          </w:tcPr>
          <w:p w14:paraId="7C555214" w14:textId="77777777" w:rsidR="004543E0" w:rsidRPr="009660EC" w:rsidRDefault="004543E0" w:rsidP="007E3239">
            <w:pPr>
              <w:pStyle w:val="TableText"/>
              <w:spacing w:before="50" w:after="50"/>
              <w:jc w:val="center"/>
              <w:rPr>
                <w:rFonts w:cs="Calibri"/>
                <w:szCs w:val="16"/>
              </w:rPr>
            </w:pPr>
            <w:r w:rsidRPr="009660EC">
              <w:rPr>
                <w:rFonts w:cs="Calibri"/>
                <w:szCs w:val="16"/>
              </w:rPr>
              <w:t>82.3</w:t>
            </w:r>
          </w:p>
        </w:tc>
        <w:tc>
          <w:tcPr>
            <w:tcW w:w="1487" w:type="dxa"/>
            <w:vAlign w:val="center"/>
          </w:tcPr>
          <w:p w14:paraId="703AD335" w14:textId="77777777" w:rsidR="004543E0" w:rsidRPr="009660EC" w:rsidRDefault="004543E0" w:rsidP="007E3239">
            <w:pPr>
              <w:pStyle w:val="TableText"/>
              <w:spacing w:before="50" w:after="50"/>
              <w:jc w:val="center"/>
              <w:rPr>
                <w:rFonts w:cs="Calibri"/>
                <w:szCs w:val="16"/>
              </w:rPr>
            </w:pPr>
            <w:r w:rsidRPr="009660EC">
              <w:rPr>
                <w:rFonts w:cs="Calibri"/>
                <w:szCs w:val="16"/>
              </w:rPr>
              <w:t>88.7</w:t>
            </w:r>
          </w:p>
        </w:tc>
        <w:tc>
          <w:tcPr>
            <w:tcW w:w="1487" w:type="dxa"/>
            <w:vAlign w:val="bottom"/>
          </w:tcPr>
          <w:p w14:paraId="1BC58188" w14:textId="77777777" w:rsidR="004543E0" w:rsidRPr="009660EC" w:rsidRDefault="004543E0" w:rsidP="007E3239">
            <w:pPr>
              <w:pStyle w:val="TableText"/>
              <w:spacing w:before="50" w:after="50"/>
              <w:jc w:val="center"/>
              <w:rPr>
                <w:rFonts w:cs="Calibri"/>
                <w:szCs w:val="16"/>
              </w:rPr>
            </w:pPr>
            <w:r w:rsidRPr="009660EC">
              <w:rPr>
                <w:rFonts w:cs="Calibri"/>
                <w:szCs w:val="16"/>
              </w:rPr>
              <w:t>60.8</w:t>
            </w:r>
          </w:p>
        </w:tc>
        <w:tc>
          <w:tcPr>
            <w:tcW w:w="1536" w:type="dxa"/>
            <w:vAlign w:val="bottom"/>
          </w:tcPr>
          <w:p w14:paraId="0306F9D4"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12.0</w:t>
            </w:r>
          </w:p>
        </w:tc>
        <w:tc>
          <w:tcPr>
            <w:tcW w:w="1518" w:type="dxa"/>
            <w:vAlign w:val="bottom"/>
          </w:tcPr>
          <w:p w14:paraId="3DAAEF11" w14:textId="77777777" w:rsidR="004543E0" w:rsidRPr="009660EC" w:rsidRDefault="004543E0" w:rsidP="007E3239">
            <w:pPr>
              <w:pStyle w:val="TableText"/>
              <w:spacing w:before="50" w:after="50"/>
              <w:jc w:val="center"/>
              <w:rPr>
                <w:rFonts w:cs="Calibri"/>
                <w:szCs w:val="16"/>
              </w:rPr>
            </w:pPr>
            <w:r w:rsidRPr="009660EC">
              <w:rPr>
                <w:rFonts w:cs="Calibri"/>
                <w:szCs w:val="16"/>
              </w:rPr>
              <w:t>23.5</w:t>
            </w:r>
          </w:p>
        </w:tc>
      </w:tr>
      <w:tr w:rsidR="004543E0" w:rsidRPr="009660EC" w14:paraId="5B3BB9D6" w14:textId="77777777" w:rsidTr="00CF021E">
        <w:trPr>
          <w:trHeight w:val="239"/>
        </w:trPr>
        <w:tc>
          <w:tcPr>
            <w:tcW w:w="988" w:type="dxa"/>
          </w:tcPr>
          <w:p w14:paraId="2527D183" w14:textId="77777777" w:rsidR="004543E0" w:rsidRPr="009660EC" w:rsidRDefault="004543E0" w:rsidP="007E3239">
            <w:pPr>
              <w:pStyle w:val="TableText"/>
              <w:spacing w:before="50" w:after="50"/>
              <w:rPr>
                <w:rFonts w:cs="Calibri"/>
                <w:szCs w:val="16"/>
              </w:rPr>
            </w:pPr>
            <w:r w:rsidRPr="009660EC">
              <w:rPr>
                <w:rFonts w:cs="Calibri"/>
                <w:szCs w:val="16"/>
              </w:rPr>
              <w:t>2012</w:t>
            </w:r>
          </w:p>
        </w:tc>
        <w:tc>
          <w:tcPr>
            <w:tcW w:w="1489" w:type="dxa"/>
            <w:vAlign w:val="bottom"/>
          </w:tcPr>
          <w:p w14:paraId="039D5B9F" w14:textId="77777777" w:rsidR="004543E0" w:rsidRPr="009660EC" w:rsidRDefault="004543E0" w:rsidP="007E3239">
            <w:pPr>
              <w:pStyle w:val="TableText"/>
              <w:spacing w:before="50" w:after="50"/>
              <w:jc w:val="center"/>
              <w:rPr>
                <w:rFonts w:cs="Calibri"/>
                <w:szCs w:val="16"/>
              </w:rPr>
            </w:pPr>
            <w:r w:rsidRPr="009660EC">
              <w:rPr>
                <w:rFonts w:cs="Calibri"/>
                <w:szCs w:val="16"/>
              </w:rPr>
              <w:t>82.4</w:t>
            </w:r>
          </w:p>
        </w:tc>
        <w:tc>
          <w:tcPr>
            <w:tcW w:w="1487" w:type="dxa"/>
            <w:vAlign w:val="center"/>
          </w:tcPr>
          <w:p w14:paraId="46D08BBF" w14:textId="77777777" w:rsidR="004543E0" w:rsidRPr="009660EC" w:rsidRDefault="004543E0" w:rsidP="007E3239">
            <w:pPr>
              <w:pStyle w:val="TableText"/>
              <w:spacing w:before="50" w:after="50"/>
              <w:jc w:val="center"/>
              <w:rPr>
                <w:rFonts w:cs="Calibri"/>
                <w:szCs w:val="16"/>
              </w:rPr>
            </w:pPr>
            <w:r w:rsidRPr="009660EC">
              <w:rPr>
                <w:rFonts w:cs="Calibri"/>
                <w:szCs w:val="16"/>
              </w:rPr>
              <w:t>91.2</w:t>
            </w:r>
          </w:p>
        </w:tc>
        <w:tc>
          <w:tcPr>
            <w:tcW w:w="1487" w:type="dxa"/>
            <w:vAlign w:val="bottom"/>
          </w:tcPr>
          <w:p w14:paraId="498E05F0" w14:textId="77777777" w:rsidR="004543E0" w:rsidRPr="009660EC" w:rsidRDefault="004543E0" w:rsidP="007E3239">
            <w:pPr>
              <w:pStyle w:val="TableText"/>
              <w:spacing w:before="50" w:after="50"/>
              <w:jc w:val="center"/>
              <w:rPr>
                <w:rFonts w:cs="Calibri"/>
                <w:szCs w:val="16"/>
              </w:rPr>
            </w:pPr>
            <w:r w:rsidRPr="009660EC">
              <w:rPr>
                <w:rFonts w:cs="Calibri"/>
                <w:szCs w:val="16"/>
              </w:rPr>
              <w:t>61.7</w:t>
            </w:r>
          </w:p>
        </w:tc>
        <w:tc>
          <w:tcPr>
            <w:tcW w:w="1536" w:type="dxa"/>
            <w:vAlign w:val="bottom"/>
          </w:tcPr>
          <w:p w14:paraId="6886A313"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12.1</w:t>
            </w:r>
          </w:p>
        </w:tc>
        <w:tc>
          <w:tcPr>
            <w:tcW w:w="1518" w:type="dxa"/>
            <w:vAlign w:val="bottom"/>
          </w:tcPr>
          <w:p w14:paraId="102AF668" w14:textId="77777777" w:rsidR="004543E0" w:rsidRPr="009660EC" w:rsidRDefault="004543E0" w:rsidP="007E3239">
            <w:pPr>
              <w:pStyle w:val="TableText"/>
              <w:spacing w:before="50" w:after="50"/>
              <w:jc w:val="center"/>
              <w:rPr>
                <w:rFonts w:cs="Calibri"/>
                <w:szCs w:val="16"/>
              </w:rPr>
            </w:pPr>
            <w:r w:rsidRPr="009660EC">
              <w:rPr>
                <w:rFonts w:cs="Calibri"/>
                <w:szCs w:val="16"/>
              </w:rPr>
              <w:t>23.6</w:t>
            </w:r>
          </w:p>
        </w:tc>
      </w:tr>
      <w:tr w:rsidR="004543E0" w:rsidRPr="009660EC" w14:paraId="28A1C8C0" w14:textId="77777777" w:rsidTr="00CF021E">
        <w:trPr>
          <w:trHeight w:val="239"/>
        </w:trPr>
        <w:tc>
          <w:tcPr>
            <w:tcW w:w="988" w:type="dxa"/>
          </w:tcPr>
          <w:p w14:paraId="1D554094" w14:textId="77777777" w:rsidR="004543E0" w:rsidRPr="009660EC" w:rsidRDefault="004543E0" w:rsidP="007E3239">
            <w:pPr>
              <w:pStyle w:val="TableText"/>
              <w:spacing w:before="50" w:after="50"/>
              <w:rPr>
                <w:rFonts w:cs="Calibri"/>
                <w:szCs w:val="16"/>
              </w:rPr>
            </w:pPr>
            <w:r w:rsidRPr="009660EC">
              <w:rPr>
                <w:rFonts w:cs="Calibri"/>
                <w:szCs w:val="16"/>
              </w:rPr>
              <w:t>2013</w:t>
            </w:r>
          </w:p>
        </w:tc>
        <w:tc>
          <w:tcPr>
            <w:tcW w:w="1489" w:type="dxa"/>
            <w:vAlign w:val="bottom"/>
          </w:tcPr>
          <w:p w14:paraId="6A9B2E94" w14:textId="77777777" w:rsidR="004543E0" w:rsidRPr="009660EC" w:rsidRDefault="004543E0" w:rsidP="007E3239">
            <w:pPr>
              <w:pStyle w:val="TableText"/>
              <w:spacing w:before="50" w:after="50"/>
              <w:jc w:val="center"/>
              <w:rPr>
                <w:rFonts w:cs="Calibri"/>
                <w:szCs w:val="16"/>
              </w:rPr>
            </w:pPr>
            <w:r w:rsidRPr="009660EC">
              <w:rPr>
                <w:rFonts w:cs="Calibri"/>
                <w:szCs w:val="16"/>
              </w:rPr>
              <w:t>84.3</w:t>
            </w:r>
          </w:p>
        </w:tc>
        <w:tc>
          <w:tcPr>
            <w:tcW w:w="1487" w:type="dxa"/>
            <w:vAlign w:val="center"/>
          </w:tcPr>
          <w:p w14:paraId="5E56C22C" w14:textId="77777777" w:rsidR="004543E0" w:rsidRPr="009660EC" w:rsidRDefault="004543E0" w:rsidP="007E3239">
            <w:pPr>
              <w:pStyle w:val="TableText"/>
              <w:spacing w:before="50" w:after="50"/>
              <w:jc w:val="center"/>
              <w:rPr>
                <w:rFonts w:cs="Calibri"/>
                <w:szCs w:val="16"/>
              </w:rPr>
            </w:pPr>
            <w:r w:rsidRPr="009660EC">
              <w:rPr>
                <w:rFonts w:cs="Calibri"/>
                <w:szCs w:val="16"/>
              </w:rPr>
              <w:t>91.1</w:t>
            </w:r>
          </w:p>
        </w:tc>
        <w:tc>
          <w:tcPr>
            <w:tcW w:w="1487" w:type="dxa"/>
            <w:vAlign w:val="bottom"/>
          </w:tcPr>
          <w:p w14:paraId="41640D17" w14:textId="77777777" w:rsidR="004543E0" w:rsidRPr="009660EC" w:rsidRDefault="004543E0" w:rsidP="007E3239">
            <w:pPr>
              <w:pStyle w:val="TableText"/>
              <w:spacing w:before="50" w:after="50"/>
              <w:jc w:val="center"/>
              <w:rPr>
                <w:rFonts w:cs="Calibri"/>
                <w:szCs w:val="16"/>
              </w:rPr>
            </w:pPr>
            <w:r w:rsidRPr="009660EC">
              <w:rPr>
                <w:rFonts w:cs="Calibri"/>
                <w:szCs w:val="16"/>
              </w:rPr>
              <w:t>60.7</w:t>
            </w:r>
          </w:p>
        </w:tc>
        <w:tc>
          <w:tcPr>
            <w:tcW w:w="1536" w:type="dxa"/>
            <w:vAlign w:val="bottom"/>
          </w:tcPr>
          <w:p w14:paraId="365715E8"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12.1</w:t>
            </w:r>
          </w:p>
        </w:tc>
        <w:tc>
          <w:tcPr>
            <w:tcW w:w="1518" w:type="dxa"/>
            <w:vAlign w:val="bottom"/>
          </w:tcPr>
          <w:p w14:paraId="45F023FF" w14:textId="77777777" w:rsidR="004543E0" w:rsidRPr="009660EC" w:rsidRDefault="004543E0" w:rsidP="007E3239">
            <w:pPr>
              <w:pStyle w:val="TableText"/>
              <w:spacing w:before="50" w:after="50"/>
              <w:jc w:val="center"/>
              <w:rPr>
                <w:rFonts w:cs="Calibri"/>
                <w:szCs w:val="16"/>
              </w:rPr>
            </w:pPr>
            <w:r w:rsidRPr="009660EC">
              <w:rPr>
                <w:rFonts w:cs="Calibri"/>
                <w:szCs w:val="16"/>
              </w:rPr>
              <w:t>23.3</w:t>
            </w:r>
          </w:p>
        </w:tc>
      </w:tr>
      <w:tr w:rsidR="004543E0" w:rsidRPr="009660EC" w14:paraId="5ED18BFA" w14:textId="77777777" w:rsidTr="00CF021E">
        <w:trPr>
          <w:trHeight w:val="251"/>
        </w:trPr>
        <w:tc>
          <w:tcPr>
            <w:tcW w:w="988" w:type="dxa"/>
          </w:tcPr>
          <w:p w14:paraId="619F42CB" w14:textId="77777777" w:rsidR="004543E0" w:rsidRPr="009660EC" w:rsidRDefault="004543E0" w:rsidP="007E3239">
            <w:pPr>
              <w:pStyle w:val="TableText"/>
              <w:spacing w:before="50" w:after="50"/>
              <w:rPr>
                <w:rFonts w:cs="Calibri"/>
                <w:szCs w:val="16"/>
              </w:rPr>
            </w:pPr>
            <w:r w:rsidRPr="009660EC">
              <w:rPr>
                <w:rFonts w:cs="Calibri"/>
                <w:szCs w:val="16"/>
              </w:rPr>
              <w:t>2014</w:t>
            </w:r>
          </w:p>
        </w:tc>
        <w:tc>
          <w:tcPr>
            <w:tcW w:w="1489" w:type="dxa"/>
            <w:vAlign w:val="bottom"/>
          </w:tcPr>
          <w:p w14:paraId="35D245CE" w14:textId="77777777" w:rsidR="004543E0" w:rsidRPr="009660EC" w:rsidRDefault="004543E0" w:rsidP="007E3239">
            <w:pPr>
              <w:pStyle w:val="TableText"/>
              <w:spacing w:before="50" w:after="50"/>
              <w:jc w:val="center"/>
              <w:rPr>
                <w:rFonts w:cs="Calibri"/>
                <w:szCs w:val="16"/>
              </w:rPr>
            </w:pPr>
            <w:r w:rsidRPr="009660EC">
              <w:rPr>
                <w:rFonts w:cs="Calibri"/>
                <w:szCs w:val="16"/>
              </w:rPr>
              <w:t>84.7</w:t>
            </w:r>
          </w:p>
        </w:tc>
        <w:tc>
          <w:tcPr>
            <w:tcW w:w="1487" w:type="dxa"/>
            <w:vAlign w:val="center"/>
          </w:tcPr>
          <w:p w14:paraId="5ECCC46E" w14:textId="77777777" w:rsidR="004543E0" w:rsidRPr="009660EC" w:rsidRDefault="004543E0" w:rsidP="007E3239">
            <w:pPr>
              <w:pStyle w:val="TableText"/>
              <w:spacing w:before="50" w:after="50"/>
              <w:jc w:val="center"/>
              <w:rPr>
                <w:rFonts w:cs="Calibri"/>
                <w:szCs w:val="16"/>
              </w:rPr>
            </w:pPr>
            <w:r w:rsidRPr="009660EC">
              <w:rPr>
                <w:rFonts w:cs="Calibri"/>
                <w:szCs w:val="16"/>
              </w:rPr>
              <w:t>93.8</w:t>
            </w:r>
          </w:p>
        </w:tc>
        <w:tc>
          <w:tcPr>
            <w:tcW w:w="1487" w:type="dxa"/>
            <w:vAlign w:val="bottom"/>
          </w:tcPr>
          <w:p w14:paraId="70988C92" w14:textId="77777777" w:rsidR="004543E0" w:rsidRPr="009660EC" w:rsidRDefault="004543E0" w:rsidP="007E3239">
            <w:pPr>
              <w:pStyle w:val="TableText"/>
              <w:spacing w:before="50" w:after="50"/>
              <w:jc w:val="center"/>
              <w:rPr>
                <w:rFonts w:cs="Calibri"/>
                <w:szCs w:val="16"/>
              </w:rPr>
            </w:pPr>
            <w:r w:rsidRPr="009660EC">
              <w:rPr>
                <w:rFonts w:cs="Calibri"/>
                <w:szCs w:val="16"/>
              </w:rPr>
              <w:t>60.4</w:t>
            </w:r>
          </w:p>
        </w:tc>
        <w:tc>
          <w:tcPr>
            <w:tcW w:w="1536" w:type="dxa"/>
            <w:vAlign w:val="bottom"/>
          </w:tcPr>
          <w:p w14:paraId="2755AA5C"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12.3</w:t>
            </w:r>
          </w:p>
        </w:tc>
        <w:tc>
          <w:tcPr>
            <w:tcW w:w="1518" w:type="dxa"/>
            <w:vAlign w:val="bottom"/>
          </w:tcPr>
          <w:p w14:paraId="1C7565DD" w14:textId="77777777" w:rsidR="004543E0" w:rsidRPr="009660EC" w:rsidRDefault="004543E0" w:rsidP="007E3239">
            <w:pPr>
              <w:pStyle w:val="TableText"/>
              <w:spacing w:before="50" w:after="50"/>
              <w:jc w:val="center"/>
              <w:rPr>
                <w:rFonts w:cs="Calibri"/>
                <w:szCs w:val="16"/>
              </w:rPr>
            </w:pPr>
            <w:r w:rsidRPr="009660EC">
              <w:rPr>
                <w:rFonts w:cs="Calibri"/>
                <w:szCs w:val="16"/>
              </w:rPr>
              <w:t>23.5</w:t>
            </w:r>
          </w:p>
        </w:tc>
      </w:tr>
      <w:tr w:rsidR="004543E0" w:rsidRPr="009660EC" w14:paraId="758229F1" w14:textId="77777777" w:rsidTr="00CF021E">
        <w:trPr>
          <w:trHeight w:val="239"/>
        </w:trPr>
        <w:tc>
          <w:tcPr>
            <w:tcW w:w="988" w:type="dxa"/>
          </w:tcPr>
          <w:p w14:paraId="27F3D49B" w14:textId="77777777" w:rsidR="004543E0" w:rsidRPr="009660EC" w:rsidRDefault="004543E0" w:rsidP="007E3239">
            <w:pPr>
              <w:pStyle w:val="TableText"/>
              <w:spacing w:before="50" w:after="50"/>
              <w:rPr>
                <w:rFonts w:cs="Calibri"/>
                <w:szCs w:val="16"/>
              </w:rPr>
            </w:pPr>
            <w:r w:rsidRPr="009660EC">
              <w:rPr>
                <w:rFonts w:cs="Calibri"/>
                <w:szCs w:val="16"/>
              </w:rPr>
              <w:t>2015</w:t>
            </w:r>
          </w:p>
        </w:tc>
        <w:tc>
          <w:tcPr>
            <w:tcW w:w="1489" w:type="dxa"/>
            <w:vAlign w:val="bottom"/>
          </w:tcPr>
          <w:p w14:paraId="50300F88" w14:textId="77777777" w:rsidR="004543E0" w:rsidRPr="009660EC" w:rsidRDefault="004543E0" w:rsidP="007E3239">
            <w:pPr>
              <w:pStyle w:val="TableText"/>
              <w:spacing w:before="50" w:after="50"/>
              <w:jc w:val="center"/>
              <w:rPr>
                <w:rFonts w:cs="Calibri"/>
                <w:szCs w:val="16"/>
              </w:rPr>
            </w:pPr>
            <w:r w:rsidRPr="009660EC">
              <w:rPr>
                <w:rFonts w:cs="Calibri"/>
                <w:szCs w:val="16"/>
              </w:rPr>
              <w:t>87.0</w:t>
            </w:r>
          </w:p>
        </w:tc>
        <w:tc>
          <w:tcPr>
            <w:tcW w:w="1487" w:type="dxa"/>
            <w:vAlign w:val="center"/>
          </w:tcPr>
          <w:p w14:paraId="5ED0AA59" w14:textId="77777777" w:rsidR="004543E0" w:rsidRPr="009660EC" w:rsidRDefault="004543E0" w:rsidP="007E3239">
            <w:pPr>
              <w:pStyle w:val="TableText"/>
              <w:spacing w:before="50" w:after="50"/>
              <w:jc w:val="center"/>
              <w:rPr>
                <w:rFonts w:cs="Calibri"/>
                <w:szCs w:val="16"/>
              </w:rPr>
            </w:pPr>
            <w:r w:rsidRPr="009660EC">
              <w:rPr>
                <w:rFonts w:cs="Calibri"/>
                <w:szCs w:val="16"/>
              </w:rPr>
              <w:t>94.5</w:t>
            </w:r>
          </w:p>
        </w:tc>
        <w:tc>
          <w:tcPr>
            <w:tcW w:w="1487" w:type="dxa"/>
            <w:vAlign w:val="bottom"/>
          </w:tcPr>
          <w:p w14:paraId="0623FF4A" w14:textId="77777777" w:rsidR="004543E0" w:rsidRPr="009660EC" w:rsidRDefault="004543E0" w:rsidP="007E3239">
            <w:pPr>
              <w:pStyle w:val="TableText"/>
              <w:spacing w:before="50" w:after="50"/>
              <w:jc w:val="center"/>
              <w:rPr>
                <w:rFonts w:cs="Calibri"/>
                <w:szCs w:val="16"/>
              </w:rPr>
            </w:pPr>
            <w:r w:rsidRPr="009660EC">
              <w:rPr>
                <w:rFonts w:cs="Calibri"/>
                <w:szCs w:val="16"/>
              </w:rPr>
              <w:t>61.0</w:t>
            </w:r>
          </w:p>
        </w:tc>
        <w:tc>
          <w:tcPr>
            <w:tcW w:w="1536" w:type="dxa"/>
            <w:vAlign w:val="bottom"/>
          </w:tcPr>
          <w:p w14:paraId="2E055D07"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12.3</w:t>
            </w:r>
          </w:p>
        </w:tc>
        <w:tc>
          <w:tcPr>
            <w:tcW w:w="1518" w:type="dxa"/>
            <w:vAlign w:val="bottom"/>
          </w:tcPr>
          <w:p w14:paraId="1ECE904A" w14:textId="77777777" w:rsidR="004543E0" w:rsidRPr="009660EC" w:rsidRDefault="004543E0" w:rsidP="007E3239">
            <w:pPr>
              <w:pStyle w:val="TableText"/>
              <w:spacing w:before="50" w:after="50"/>
              <w:jc w:val="center"/>
              <w:rPr>
                <w:rFonts w:cs="Calibri"/>
                <w:szCs w:val="16"/>
              </w:rPr>
            </w:pPr>
            <w:r w:rsidRPr="009660EC">
              <w:rPr>
                <w:rFonts w:cs="Calibri"/>
                <w:szCs w:val="16"/>
              </w:rPr>
              <w:t>23.6</w:t>
            </w:r>
          </w:p>
        </w:tc>
      </w:tr>
      <w:tr w:rsidR="004543E0" w:rsidRPr="009660EC" w14:paraId="098E2AAA" w14:textId="77777777" w:rsidTr="00CF021E">
        <w:trPr>
          <w:trHeight w:val="239"/>
        </w:trPr>
        <w:tc>
          <w:tcPr>
            <w:tcW w:w="988" w:type="dxa"/>
          </w:tcPr>
          <w:p w14:paraId="1D8FF232" w14:textId="77777777" w:rsidR="004543E0" w:rsidRPr="009660EC" w:rsidRDefault="004543E0" w:rsidP="007E3239">
            <w:pPr>
              <w:pStyle w:val="TableText"/>
              <w:spacing w:before="50" w:after="50"/>
              <w:rPr>
                <w:rFonts w:cs="Calibri"/>
                <w:szCs w:val="16"/>
              </w:rPr>
            </w:pPr>
            <w:r w:rsidRPr="009660EC">
              <w:rPr>
                <w:rFonts w:cs="Calibri"/>
                <w:szCs w:val="16"/>
              </w:rPr>
              <w:t>2016</w:t>
            </w:r>
          </w:p>
        </w:tc>
        <w:tc>
          <w:tcPr>
            <w:tcW w:w="1489" w:type="dxa"/>
            <w:vAlign w:val="bottom"/>
          </w:tcPr>
          <w:p w14:paraId="364B3484" w14:textId="77777777" w:rsidR="004543E0" w:rsidRPr="009660EC" w:rsidRDefault="004543E0" w:rsidP="007E3239">
            <w:pPr>
              <w:pStyle w:val="TableText"/>
              <w:spacing w:before="50" w:after="50"/>
              <w:jc w:val="center"/>
              <w:rPr>
                <w:rFonts w:cs="Calibri"/>
                <w:szCs w:val="16"/>
              </w:rPr>
            </w:pPr>
            <w:r w:rsidRPr="009660EC">
              <w:rPr>
                <w:rFonts w:cs="Calibri"/>
                <w:szCs w:val="16"/>
              </w:rPr>
              <w:t>84.9</w:t>
            </w:r>
          </w:p>
        </w:tc>
        <w:tc>
          <w:tcPr>
            <w:tcW w:w="1487" w:type="dxa"/>
            <w:vAlign w:val="center"/>
          </w:tcPr>
          <w:p w14:paraId="7E2A894F" w14:textId="77777777" w:rsidR="004543E0" w:rsidRPr="009660EC" w:rsidRDefault="004543E0" w:rsidP="007E3239">
            <w:pPr>
              <w:pStyle w:val="TableText"/>
              <w:spacing w:before="50" w:after="50"/>
              <w:jc w:val="center"/>
              <w:rPr>
                <w:rFonts w:cs="Calibri"/>
                <w:szCs w:val="16"/>
              </w:rPr>
            </w:pPr>
            <w:r w:rsidRPr="009660EC">
              <w:rPr>
                <w:rFonts w:cs="Calibri"/>
                <w:szCs w:val="16"/>
              </w:rPr>
              <w:t>96.3</w:t>
            </w:r>
          </w:p>
        </w:tc>
        <w:tc>
          <w:tcPr>
            <w:tcW w:w="1487" w:type="dxa"/>
            <w:vAlign w:val="bottom"/>
          </w:tcPr>
          <w:p w14:paraId="40E2A857" w14:textId="77777777" w:rsidR="004543E0" w:rsidRPr="009660EC" w:rsidRDefault="004543E0" w:rsidP="007E3239">
            <w:pPr>
              <w:pStyle w:val="TableText"/>
              <w:spacing w:before="50" w:after="50"/>
              <w:jc w:val="center"/>
              <w:rPr>
                <w:rFonts w:cs="Calibri"/>
                <w:szCs w:val="16"/>
              </w:rPr>
            </w:pPr>
            <w:r w:rsidRPr="009660EC">
              <w:rPr>
                <w:rFonts w:cs="Calibri"/>
                <w:szCs w:val="16"/>
              </w:rPr>
              <w:t>61.6</w:t>
            </w:r>
          </w:p>
        </w:tc>
        <w:tc>
          <w:tcPr>
            <w:tcW w:w="1536" w:type="dxa"/>
            <w:vAlign w:val="bottom"/>
          </w:tcPr>
          <w:p w14:paraId="5260E932"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12.5</w:t>
            </w:r>
          </w:p>
        </w:tc>
        <w:tc>
          <w:tcPr>
            <w:tcW w:w="1518" w:type="dxa"/>
            <w:vAlign w:val="bottom"/>
          </w:tcPr>
          <w:p w14:paraId="6ADF09F7" w14:textId="77777777" w:rsidR="004543E0" w:rsidRPr="009660EC" w:rsidRDefault="004543E0" w:rsidP="007E3239">
            <w:pPr>
              <w:pStyle w:val="TableText"/>
              <w:spacing w:before="50" w:after="50"/>
              <w:jc w:val="center"/>
              <w:rPr>
                <w:rFonts w:cs="Calibri"/>
                <w:szCs w:val="16"/>
              </w:rPr>
            </w:pPr>
            <w:r w:rsidRPr="009660EC">
              <w:rPr>
                <w:rFonts w:cs="Calibri"/>
                <w:szCs w:val="16"/>
              </w:rPr>
              <w:t>24.1</w:t>
            </w:r>
          </w:p>
        </w:tc>
      </w:tr>
      <w:tr w:rsidR="004543E0" w:rsidRPr="009660EC" w14:paraId="5342156F" w14:textId="77777777" w:rsidTr="00CF021E">
        <w:trPr>
          <w:trHeight w:val="239"/>
        </w:trPr>
        <w:tc>
          <w:tcPr>
            <w:tcW w:w="988" w:type="dxa"/>
          </w:tcPr>
          <w:p w14:paraId="2E077ED2" w14:textId="77777777" w:rsidR="004543E0" w:rsidRPr="009660EC" w:rsidRDefault="004543E0" w:rsidP="007E3239">
            <w:pPr>
              <w:pStyle w:val="TableText"/>
              <w:spacing w:before="50" w:after="50"/>
              <w:rPr>
                <w:rFonts w:cs="Calibri"/>
                <w:szCs w:val="16"/>
              </w:rPr>
            </w:pPr>
            <w:r w:rsidRPr="009660EC">
              <w:rPr>
                <w:rFonts w:cs="Calibri"/>
                <w:szCs w:val="16"/>
              </w:rPr>
              <w:t>2017</w:t>
            </w:r>
          </w:p>
        </w:tc>
        <w:tc>
          <w:tcPr>
            <w:tcW w:w="1489" w:type="dxa"/>
            <w:vAlign w:val="bottom"/>
          </w:tcPr>
          <w:p w14:paraId="70990791" w14:textId="77777777" w:rsidR="004543E0" w:rsidRPr="009660EC" w:rsidRDefault="004543E0" w:rsidP="007E3239">
            <w:pPr>
              <w:pStyle w:val="TableText"/>
              <w:spacing w:before="50" w:after="50"/>
              <w:jc w:val="center"/>
              <w:rPr>
                <w:rFonts w:cs="Calibri"/>
                <w:szCs w:val="16"/>
              </w:rPr>
            </w:pPr>
            <w:r w:rsidRPr="009660EC">
              <w:rPr>
                <w:rFonts w:cs="Calibri"/>
                <w:szCs w:val="16"/>
              </w:rPr>
              <w:t>86.0</w:t>
            </w:r>
          </w:p>
        </w:tc>
        <w:tc>
          <w:tcPr>
            <w:tcW w:w="1487" w:type="dxa"/>
            <w:vAlign w:val="center"/>
          </w:tcPr>
          <w:p w14:paraId="39C4383E" w14:textId="77777777" w:rsidR="004543E0" w:rsidRPr="009660EC" w:rsidRDefault="004543E0" w:rsidP="007E3239">
            <w:pPr>
              <w:pStyle w:val="TableText"/>
              <w:spacing w:before="50" w:after="50"/>
              <w:jc w:val="center"/>
              <w:rPr>
                <w:rFonts w:cs="Calibri"/>
                <w:szCs w:val="16"/>
              </w:rPr>
            </w:pPr>
            <w:r w:rsidRPr="009660EC">
              <w:rPr>
                <w:rFonts w:cs="Calibri"/>
                <w:szCs w:val="16"/>
              </w:rPr>
              <w:t>93.5</w:t>
            </w:r>
          </w:p>
        </w:tc>
        <w:tc>
          <w:tcPr>
            <w:tcW w:w="1487" w:type="dxa"/>
            <w:vAlign w:val="bottom"/>
          </w:tcPr>
          <w:p w14:paraId="37AE7206" w14:textId="77777777" w:rsidR="004543E0" w:rsidRPr="009660EC" w:rsidRDefault="004543E0" w:rsidP="007E3239">
            <w:pPr>
              <w:pStyle w:val="TableText"/>
              <w:spacing w:before="50" w:after="50"/>
              <w:jc w:val="center"/>
              <w:rPr>
                <w:rFonts w:cs="Calibri"/>
                <w:szCs w:val="16"/>
              </w:rPr>
            </w:pPr>
            <w:r w:rsidRPr="009660EC">
              <w:rPr>
                <w:rFonts w:cs="Calibri"/>
                <w:szCs w:val="16"/>
              </w:rPr>
              <w:t>61.2</w:t>
            </w:r>
          </w:p>
        </w:tc>
        <w:tc>
          <w:tcPr>
            <w:tcW w:w="1536" w:type="dxa"/>
            <w:vAlign w:val="bottom"/>
          </w:tcPr>
          <w:p w14:paraId="3A591F4E"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12.5</w:t>
            </w:r>
          </w:p>
        </w:tc>
        <w:tc>
          <w:tcPr>
            <w:tcW w:w="1518" w:type="dxa"/>
            <w:vAlign w:val="bottom"/>
          </w:tcPr>
          <w:p w14:paraId="0812C5FC" w14:textId="77777777" w:rsidR="004543E0" w:rsidRPr="009660EC" w:rsidRDefault="004543E0" w:rsidP="007E3239">
            <w:pPr>
              <w:pStyle w:val="TableText"/>
              <w:tabs>
                <w:tab w:val="left" w:pos="402"/>
                <w:tab w:val="center" w:pos="643"/>
              </w:tabs>
              <w:spacing w:before="50" w:after="50"/>
              <w:jc w:val="center"/>
              <w:rPr>
                <w:rFonts w:cs="Calibri"/>
                <w:szCs w:val="16"/>
              </w:rPr>
            </w:pPr>
            <w:r w:rsidRPr="009660EC">
              <w:rPr>
                <w:rFonts w:cs="Calibri"/>
                <w:szCs w:val="16"/>
              </w:rPr>
              <w:t>23.8</w:t>
            </w:r>
          </w:p>
        </w:tc>
      </w:tr>
      <w:tr w:rsidR="004543E0" w:rsidRPr="009660EC" w14:paraId="03CA9923" w14:textId="77777777" w:rsidTr="00CF021E">
        <w:trPr>
          <w:trHeight w:val="239"/>
        </w:trPr>
        <w:tc>
          <w:tcPr>
            <w:tcW w:w="988" w:type="dxa"/>
          </w:tcPr>
          <w:p w14:paraId="293D28B4" w14:textId="77777777" w:rsidR="004543E0" w:rsidRPr="009660EC" w:rsidRDefault="004543E0" w:rsidP="007E3239">
            <w:pPr>
              <w:pStyle w:val="TableText"/>
              <w:spacing w:before="50" w:after="50"/>
              <w:rPr>
                <w:rFonts w:cs="Calibri"/>
                <w:szCs w:val="16"/>
              </w:rPr>
            </w:pPr>
            <w:r w:rsidRPr="009660EC">
              <w:rPr>
                <w:rFonts w:cs="Calibri"/>
                <w:szCs w:val="16"/>
              </w:rPr>
              <w:t>2018</w:t>
            </w:r>
          </w:p>
        </w:tc>
        <w:tc>
          <w:tcPr>
            <w:tcW w:w="1489" w:type="dxa"/>
            <w:vAlign w:val="bottom"/>
          </w:tcPr>
          <w:p w14:paraId="2A4F5204" w14:textId="77777777" w:rsidR="004543E0" w:rsidRPr="009660EC" w:rsidRDefault="004543E0" w:rsidP="007E3239">
            <w:pPr>
              <w:pStyle w:val="TableText"/>
              <w:spacing w:before="50" w:after="50"/>
              <w:jc w:val="center"/>
              <w:rPr>
                <w:rFonts w:cs="Calibri"/>
                <w:szCs w:val="16"/>
              </w:rPr>
            </w:pPr>
            <w:r w:rsidRPr="009660EC">
              <w:rPr>
                <w:rFonts w:cs="Calibri"/>
                <w:szCs w:val="16"/>
              </w:rPr>
              <w:t>87.8</w:t>
            </w:r>
          </w:p>
        </w:tc>
        <w:tc>
          <w:tcPr>
            <w:tcW w:w="1487" w:type="dxa"/>
            <w:vAlign w:val="center"/>
          </w:tcPr>
          <w:p w14:paraId="400A2803" w14:textId="77777777" w:rsidR="004543E0" w:rsidRPr="009660EC" w:rsidRDefault="004543E0" w:rsidP="007E3239">
            <w:pPr>
              <w:pStyle w:val="TableText"/>
              <w:spacing w:before="50" w:after="50"/>
              <w:jc w:val="center"/>
              <w:rPr>
                <w:rFonts w:cs="Calibri"/>
                <w:szCs w:val="16"/>
              </w:rPr>
            </w:pPr>
            <w:r w:rsidRPr="009660EC">
              <w:rPr>
                <w:rFonts w:cs="Calibri"/>
                <w:szCs w:val="16"/>
              </w:rPr>
              <w:t>96.1</w:t>
            </w:r>
          </w:p>
        </w:tc>
        <w:tc>
          <w:tcPr>
            <w:tcW w:w="1487" w:type="dxa"/>
            <w:vAlign w:val="bottom"/>
          </w:tcPr>
          <w:p w14:paraId="60ADDCA5" w14:textId="77777777" w:rsidR="004543E0" w:rsidRPr="009660EC" w:rsidRDefault="004543E0" w:rsidP="007E3239">
            <w:pPr>
              <w:pStyle w:val="TableText"/>
              <w:spacing w:before="50" w:after="50"/>
              <w:jc w:val="center"/>
              <w:rPr>
                <w:rFonts w:cs="Calibri"/>
                <w:szCs w:val="16"/>
              </w:rPr>
            </w:pPr>
            <w:r w:rsidRPr="009660EC">
              <w:rPr>
                <w:rFonts w:cs="Calibri"/>
                <w:szCs w:val="16"/>
              </w:rPr>
              <w:t>59.5</w:t>
            </w:r>
          </w:p>
        </w:tc>
        <w:tc>
          <w:tcPr>
            <w:tcW w:w="1536" w:type="dxa"/>
            <w:vAlign w:val="bottom"/>
          </w:tcPr>
          <w:p w14:paraId="08F692D1"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12.6</w:t>
            </w:r>
          </w:p>
        </w:tc>
        <w:tc>
          <w:tcPr>
            <w:tcW w:w="1518" w:type="dxa"/>
            <w:vAlign w:val="bottom"/>
          </w:tcPr>
          <w:p w14:paraId="766B0C7A" w14:textId="77777777" w:rsidR="004543E0" w:rsidRPr="009660EC" w:rsidRDefault="004543E0" w:rsidP="007E3239">
            <w:pPr>
              <w:pStyle w:val="TableText"/>
              <w:tabs>
                <w:tab w:val="left" w:pos="402"/>
                <w:tab w:val="center" w:pos="643"/>
              </w:tabs>
              <w:spacing w:before="50" w:after="50"/>
              <w:jc w:val="center"/>
              <w:rPr>
                <w:rFonts w:cs="Calibri"/>
                <w:szCs w:val="16"/>
              </w:rPr>
            </w:pPr>
            <w:r w:rsidRPr="009660EC">
              <w:rPr>
                <w:rFonts w:cs="Calibri"/>
                <w:szCs w:val="16"/>
              </w:rPr>
              <w:t>23.4</w:t>
            </w:r>
          </w:p>
        </w:tc>
      </w:tr>
      <w:tr w:rsidR="004543E0" w:rsidRPr="009660EC" w14:paraId="551B1A3D" w14:textId="77777777" w:rsidTr="00CF021E">
        <w:trPr>
          <w:trHeight w:val="239"/>
        </w:trPr>
        <w:tc>
          <w:tcPr>
            <w:tcW w:w="988" w:type="dxa"/>
          </w:tcPr>
          <w:p w14:paraId="0E618E16" w14:textId="77777777" w:rsidR="004543E0" w:rsidRPr="009660EC" w:rsidRDefault="004543E0" w:rsidP="007E3239">
            <w:pPr>
              <w:pStyle w:val="TableText"/>
              <w:spacing w:before="50" w:after="50"/>
              <w:rPr>
                <w:rFonts w:cs="Calibri"/>
                <w:szCs w:val="16"/>
              </w:rPr>
            </w:pPr>
            <w:r w:rsidRPr="009660EC">
              <w:rPr>
                <w:rFonts w:cs="Calibri"/>
                <w:szCs w:val="16"/>
              </w:rPr>
              <w:t>2019</w:t>
            </w:r>
          </w:p>
        </w:tc>
        <w:tc>
          <w:tcPr>
            <w:tcW w:w="1489" w:type="dxa"/>
            <w:vAlign w:val="bottom"/>
          </w:tcPr>
          <w:p w14:paraId="4F94A893" w14:textId="77777777" w:rsidR="004543E0" w:rsidRPr="009660EC" w:rsidRDefault="004543E0" w:rsidP="007E3239">
            <w:pPr>
              <w:pStyle w:val="TableText"/>
              <w:spacing w:before="50" w:after="50"/>
              <w:jc w:val="center"/>
              <w:rPr>
                <w:rFonts w:cs="Calibri"/>
                <w:szCs w:val="16"/>
              </w:rPr>
            </w:pPr>
            <w:r w:rsidRPr="009660EC">
              <w:rPr>
                <w:rFonts w:cs="Calibri"/>
                <w:szCs w:val="16"/>
              </w:rPr>
              <w:t>89.5</w:t>
            </w:r>
          </w:p>
        </w:tc>
        <w:tc>
          <w:tcPr>
            <w:tcW w:w="1487" w:type="dxa"/>
            <w:vAlign w:val="center"/>
          </w:tcPr>
          <w:p w14:paraId="1513ED4A" w14:textId="77777777" w:rsidR="004543E0" w:rsidRPr="009660EC" w:rsidRDefault="004543E0" w:rsidP="007E3239">
            <w:pPr>
              <w:pStyle w:val="TableText"/>
              <w:spacing w:before="50" w:after="50"/>
              <w:jc w:val="center"/>
              <w:rPr>
                <w:rFonts w:cs="Calibri"/>
                <w:szCs w:val="16"/>
              </w:rPr>
            </w:pPr>
            <w:r w:rsidRPr="009660EC">
              <w:rPr>
                <w:rFonts w:cs="Calibri"/>
                <w:szCs w:val="16"/>
              </w:rPr>
              <w:t>97.1</w:t>
            </w:r>
          </w:p>
        </w:tc>
        <w:tc>
          <w:tcPr>
            <w:tcW w:w="1487" w:type="dxa"/>
            <w:vAlign w:val="bottom"/>
          </w:tcPr>
          <w:p w14:paraId="3882FA36" w14:textId="77777777" w:rsidR="004543E0" w:rsidRPr="009660EC" w:rsidRDefault="004543E0" w:rsidP="007E3239">
            <w:pPr>
              <w:pStyle w:val="TableText"/>
              <w:spacing w:before="50" w:after="50"/>
              <w:jc w:val="center"/>
              <w:rPr>
                <w:rFonts w:cs="Calibri"/>
                <w:szCs w:val="16"/>
              </w:rPr>
            </w:pPr>
            <w:r w:rsidRPr="009660EC">
              <w:rPr>
                <w:rFonts w:cs="Calibri"/>
                <w:szCs w:val="16"/>
              </w:rPr>
              <w:t>60.8</w:t>
            </w:r>
          </w:p>
        </w:tc>
        <w:tc>
          <w:tcPr>
            <w:tcW w:w="1536" w:type="dxa"/>
            <w:vAlign w:val="bottom"/>
          </w:tcPr>
          <w:p w14:paraId="13C5CAA7"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12.7</w:t>
            </w:r>
          </w:p>
        </w:tc>
        <w:tc>
          <w:tcPr>
            <w:tcW w:w="1518" w:type="dxa"/>
            <w:vAlign w:val="bottom"/>
          </w:tcPr>
          <w:p w14:paraId="25FC24C3" w14:textId="77777777" w:rsidR="004543E0" w:rsidRPr="009660EC" w:rsidRDefault="004543E0" w:rsidP="007E3239">
            <w:pPr>
              <w:pStyle w:val="TableText"/>
              <w:tabs>
                <w:tab w:val="left" w:pos="402"/>
                <w:tab w:val="center" w:pos="643"/>
              </w:tabs>
              <w:spacing w:before="50" w:after="50"/>
              <w:jc w:val="center"/>
              <w:rPr>
                <w:rFonts w:cs="Calibri"/>
                <w:szCs w:val="16"/>
              </w:rPr>
            </w:pPr>
            <w:r w:rsidRPr="009660EC">
              <w:rPr>
                <w:rFonts w:cs="Calibri"/>
                <w:szCs w:val="16"/>
              </w:rPr>
              <w:t>24.4</w:t>
            </w:r>
          </w:p>
        </w:tc>
      </w:tr>
      <w:tr w:rsidR="004543E0" w:rsidRPr="009660EC" w14:paraId="45888ADA" w14:textId="77777777" w:rsidTr="00CF021E">
        <w:trPr>
          <w:trHeight w:val="239"/>
        </w:trPr>
        <w:tc>
          <w:tcPr>
            <w:tcW w:w="988" w:type="dxa"/>
          </w:tcPr>
          <w:p w14:paraId="0BCA885B" w14:textId="77777777" w:rsidR="004543E0" w:rsidRPr="009660EC" w:rsidRDefault="004543E0" w:rsidP="007E3239">
            <w:pPr>
              <w:pStyle w:val="TableText"/>
              <w:spacing w:before="50" w:after="50"/>
              <w:rPr>
                <w:rFonts w:cs="Calibri"/>
                <w:szCs w:val="16"/>
              </w:rPr>
            </w:pPr>
            <w:r w:rsidRPr="009660EC">
              <w:rPr>
                <w:rFonts w:cs="Calibri"/>
                <w:szCs w:val="16"/>
              </w:rPr>
              <w:t>2020</w:t>
            </w:r>
          </w:p>
        </w:tc>
        <w:tc>
          <w:tcPr>
            <w:tcW w:w="1489" w:type="dxa"/>
            <w:vAlign w:val="bottom"/>
          </w:tcPr>
          <w:p w14:paraId="73DDB7A3" w14:textId="77777777" w:rsidR="004543E0" w:rsidRPr="009660EC" w:rsidRDefault="004543E0" w:rsidP="007E3239">
            <w:pPr>
              <w:pStyle w:val="TableText"/>
              <w:spacing w:before="50" w:after="50"/>
              <w:jc w:val="center"/>
              <w:rPr>
                <w:rFonts w:cs="Calibri"/>
                <w:szCs w:val="16"/>
              </w:rPr>
            </w:pPr>
            <w:r w:rsidRPr="009660EC">
              <w:rPr>
                <w:rFonts w:cs="Calibri"/>
                <w:szCs w:val="16"/>
              </w:rPr>
              <w:t>90.5</w:t>
            </w:r>
          </w:p>
        </w:tc>
        <w:tc>
          <w:tcPr>
            <w:tcW w:w="1487" w:type="dxa"/>
            <w:vAlign w:val="center"/>
          </w:tcPr>
          <w:p w14:paraId="1BDAEB58" w14:textId="77777777" w:rsidR="004543E0" w:rsidRPr="009660EC" w:rsidRDefault="004543E0" w:rsidP="007E3239">
            <w:pPr>
              <w:pStyle w:val="TableText"/>
              <w:spacing w:before="50" w:after="50"/>
              <w:jc w:val="center"/>
              <w:rPr>
                <w:rFonts w:cs="Calibri"/>
                <w:szCs w:val="16"/>
              </w:rPr>
            </w:pPr>
            <w:r w:rsidRPr="009660EC">
              <w:rPr>
                <w:rFonts w:cs="Calibri"/>
                <w:szCs w:val="16"/>
              </w:rPr>
              <w:t>98.4</w:t>
            </w:r>
          </w:p>
        </w:tc>
        <w:tc>
          <w:tcPr>
            <w:tcW w:w="1487" w:type="dxa"/>
            <w:vAlign w:val="bottom"/>
          </w:tcPr>
          <w:p w14:paraId="38833DA6" w14:textId="77777777" w:rsidR="004543E0" w:rsidRPr="009660EC" w:rsidRDefault="004543E0" w:rsidP="007E3239">
            <w:pPr>
              <w:pStyle w:val="TableText"/>
              <w:spacing w:before="50" w:after="50"/>
              <w:jc w:val="center"/>
              <w:rPr>
                <w:rFonts w:cs="Calibri"/>
                <w:szCs w:val="16"/>
              </w:rPr>
            </w:pPr>
            <w:r w:rsidRPr="009660EC">
              <w:rPr>
                <w:rFonts w:cs="Calibri"/>
                <w:szCs w:val="16"/>
              </w:rPr>
              <w:t>61.6</w:t>
            </w:r>
          </w:p>
        </w:tc>
        <w:tc>
          <w:tcPr>
            <w:tcW w:w="1536" w:type="dxa"/>
            <w:vAlign w:val="bottom"/>
          </w:tcPr>
          <w:p w14:paraId="1DE0E95D" w14:textId="77777777" w:rsidR="004543E0" w:rsidRPr="009660EC" w:rsidRDefault="004543E0" w:rsidP="007E3239">
            <w:pPr>
              <w:pStyle w:val="TableText"/>
              <w:spacing w:before="50" w:after="50"/>
              <w:ind w:right="510"/>
              <w:jc w:val="right"/>
              <w:rPr>
                <w:rFonts w:cs="Calibri"/>
                <w:szCs w:val="16"/>
              </w:rPr>
            </w:pPr>
            <w:r w:rsidRPr="009660EC">
              <w:rPr>
                <w:rFonts w:cs="Calibri"/>
                <w:szCs w:val="16"/>
              </w:rPr>
              <w:t>12.7</w:t>
            </w:r>
          </w:p>
        </w:tc>
        <w:tc>
          <w:tcPr>
            <w:tcW w:w="1518" w:type="dxa"/>
            <w:vAlign w:val="bottom"/>
          </w:tcPr>
          <w:p w14:paraId="58656961" w14:textId="77777777" w:rsidR="004543E0" w:rsidRPr="009660EC" w:rsidRDefault="004543E0" w:rsidP="007E3239">
            <w:pPr>
              <w:pStyle w:val="TableText"/>
              <w:tabs>
                <w:tab w:val="left" w:pos="402"/>
                <w:tab w:val="center" w:pos="643"/>
              </w:tabs>
              <w:spacing w:before="50" w:after="50"/>
              <w:jc w:val="center"/>
              <w:rPr>
                <w:rFonts w:cs="Calibri"/>
                <w:szCs w:val="16"/>
              </w:rPr>
            </w:pPr>
            <w:r w:rsidRPr="009660EC">
              <w:rPr>
                <w:rFonts w:cs="Calibri"/>
                <w:szCs w:val="16"/>
              </w:rPr>
              <w:t>23.9</w:t>
            </w:r>
          </w:p>
        </w:tc>
      </w:tr>
    </w:tbl>
    <w:p w14:paraId="22439428" w14:textId="77777777" w:rsidR="004543E0" w:rsidRPr="009660EC" w:rsidRDefault="004543E0" w:rsidP="004543E0">
      <w:pPr>
        <w:pStyle w:val="Heading4"/>
        <w:spacing w:before="360"/>
      </w:pPr>
      <w:r w:rsidRPr="009660EC">
        <w:t>Emissions from minor livestock categories</w:t>
      </w:r>
    </w:p>
    <w:p w14:paraId="15977689" w14:textId="77777777" w:rsidR="004543E0" w:rsidRPr="009660EC" w:rsidRDefault="004543E0" w:rsidP="004543E0">
      <w:pPr>
        <w:pStyle w:val="BodyText"/>
      </w:pPr>
      <w:r w:rsidRPr="009660EC">
        <w:t xml:space="preserve">A Tier 1 approach is adopted for the minor livestock categories of </w:t>
      </w:r>
      <w:r w:rsidRPr="009660EC">
        <w:rPr>
          <w:i/>
          <w:iCs/>
        </w:rPr>
        <w:t>Goats</w:t>
      </w:r>
      <w:r w:rsidRPr="009660EC">
        <w:t xml:space="preserve">, </w:t>
      </w:r>
      <w:r w:rsidRPr="009660EC">
        <w:rPr>
          <w:i/>
          <w:iCs/>
        </w:rPr>
        <w:t>Horses</w:t>
      </w:r>
      <w:r w:rsidRPr="009660EC">
        <w:t xml:space="preserve">, </w:t>
      </w:r>
      <w:r w:rsidRPr="009660EC">
        <w:rPr>
          <w:i/>
          <w:iCs/>
        </w:rPr>
        <w:t>Swine</w:t>
      </w:r>
      <w:r w:rsidRPr="009660EC">
        <w:t xml:space="preserve">, llamas and alpacas, and </w:t>
      </w:r>
      <w:r w:rsidRPr="009660EC">
        <w:rPr>
          <w:i/>
          <w:iCs/>
        </w:rPr>
        <w:t>Mules and asses</w:t>
      </w:r>
      <w:r w:rsidRPr="009660EC">
        <w:t xml:space="preserve">, using either IPCC (2006) default emission factors (horses, alpacas, and mules and asses) or New Zealand country-specific emission factors (goats and swine). These minor livestock species comprised 0.2 per cent of the total </w:t>
      </w:r>
      <w:r w:rsidRPr="009660EC">
        <w:rPr>
          <w:i/>
          <w:iCs/>
        </w:rPr>
        <w:t>Enteric fermentation</w:t>
      </w:r>
      <w:r w:rsidRPr="009660EC">
        <w:t xml:space="preserve"> emissions in 2020. The populations of goats, horses, pigs, alpacas, and mules and asses are reported using the statistics and assumptions described in section 5.1.4.</w:t>
      </w:r>
    </w:p>
    <w:p w14:paraId="6EAB1B7E" w14:textId="77777777" w:rsidR="004543E0" w:rsidRPr="009660EC" w:rsidRDefault="004543E0" w:rsidP="004543E0">
      <w:pPr>
        <w:pStyle w:val="BodyText"/>
      </w:pPr>
      <w:r w:rsidRPr="009660EC">
        <w:rPr>
          <w:b/>
          <w:bCs/>
          <w:i/>
          <w:iCs/>
        </w:rPr>
        <w:t>Goats:</w:t>
      </w:r>
      <w:r w:rsidRPr="009660EC">
        <w:t xml:space="preserve"> From 1990 to 2020, the population of goats declined from 1,062,900 to 96,416. This was largely driven by a decrease in demand for goat fibre and meat. New Zealand uses a country-specific emission factor for goats for enteric fermentation of 7.4 kg CH</w:t>
      </w:r>
      <w:r w:rsidRPr="009660EC">
        <w:rPr>
          <w:vertAlign w:val="subscript"/>
        </w:rPr>
        <w:t>4</w:t>
      </w:r>
      <w:r w:rsidRPr="009660EC">
        <w:t xml:space="preserve"> head</w:t>
      </w:r>
      <w:r w:rsidRPr="009660EC">
        <w:rPr>
          <w:vertAlign w:val="superscript"/>
        </w:rPr>
        <w:t>-1</w:t>
      </w:r>
      <w:r w:rsidRPr="009660EC">
        <w:t xml:space="preserve"> year</w:t>
      </w:r>
      <w:r w:rsidRPr="009660EC">
        <w:rPr>
          <w:vertAlign w:val="superscript"/>
        </w:rPr>
        <w:t>-1</w:t>
      </w:r>
      <w:r w:rsidRPr="009660EC">
        <w:t xml:space="preserve"> for 1990 and 8.5 kg CH</w:t>
      </w:r>
      <w:r w:rsidRPr="009660EC">
        <w:rPr>
          <w:vertAlign w:val="subscript"/>
        </w:rPr>
        <w:t>4</w:t>
      </w:r>
      <w:r w:rsidRPr="009660EC">
        <w:t xml:space="preserve"> head</w:t>
      </w:r>
      <w:r w:rsidRPr="009660EC">
        <w:rPr>
          <w:vertAlign w:val="superscript"/>
        </w:rPr>
        <w:t>-1</w:t>
      </w:r>
      <w:r w:rsidRPr="009660EC">
        <w:t xml:space="preserve"> year</w:t>
      </w:r>
      <w:r w:rsidRPr="009660EC">
        <w:rPr>
          <w:vertAlign w:val="superscript"/>
        </w:rPr>
        <w:t>-1</w:t>
      </w:r>
      <w:r w:rsidRPr="009660EC">
        <w:t xml:space="preserve"> for 2009 based on the differing population characteristics for those two years (Lassey, 2011). For the intermediate years between 1990 and 2009 and for 2010 to 2020, the emission factor is calculated based on the goat population, with the assumption that the dairy goat population has remained relatively consistent over time while the rest of the goat population has declined (Burggraaf et al., unpublished). The emission factor in 2020 was calculated to be 9.0 kg CH</w:t>
      </w:r>
      <w:r w:rsidRPr="009660EC">
        <w:rPr>
          <w:vertAlign w:val="subscript"/>
        </w:rPr>
        <w:t>4</w:t>
      </w:r>
      <w:r w:rsidRPr="009660EC">
        <w:t xml:space="preserve"> head</w:t>
      </w:r>
      <w:r w:rsidRPr="009660EC">
        <w:rPr>
          <w:vertAlign w:val="superscript"/>
        </w:rPr>
        <w:t>-1</w:t>
      </w:r>
      <w:r w:rsidRPr="009660EC">
        <w:t xml:space="preserve"> year</w:t>
      </w:r>
      <w:r w:rsidRPr="009660EC">
        <w:rPr>
          <w:vertAlign w:val="superscript"/>
        </w:rPr>
        <w:t>-1</w:t>
      </w:r>
      <w:r w:rsidRPr="009660EC">
        <w:t xml:space="preserve">. </w:t>
      </w:r>
    </w:p>
    <w:p w14:paraId="354A93AE" w14:textId="77777777" w:rsidR="004543E0" w:rsidRPr="009660EC" w:rsidRDefault="004543E0" w:rsidP="004543E0">
      <w:pPr>
        <w:pStyle w:val="BodyText"/>
      </w:pPr>
      <w:r w:rsidRPr="009660EC">
        <w:rPr>
          <w:b/>
          <w:bCs/>
          <w:i/>
          <w:iCs/>
        </w:rPr>
        <w:t>Swine:</w:t>
      </w:r>
      <w:r w:rsidRPr="009660EC">
        <w:t xml:space="preserve"> New Zealand uses a Tier 1 approach with country-specific emission factors to determine enteric fermentation emissions from swine and emissions from swine manure management. A country-specific emission factor was developed from research performed by Hill (2012) in which data on the composition of swine diets and industry practices in place to manage waste from production systems were obtained from a representative survey of 56 swine farms. The information obtained on swine diets and waste management practices was representative of practices from 59 per cent and over 67 per cent of New Zealand pork production respectively. Nutritional information was available for different swine age classes and categories. Additionally, the average value of GEI was adjusted for population and further verified against national animal welfare standards. The country-specific emission factor for enteric fermentation (1.06 kg CH</w:t>
      </w:r>
      <w:r w:rsidRPr="009660EC">
        <w:rPr>
          <w:vertAlign w:val="subscript"/>
        </w:rPr>
        <w:t>4</w:t>
      </w:r>
      <w:r w:rsidRPr="009660EC">
        <w:t xml:space="preserve"> head</w:t>
      </w:r>
      <w:r w:rsidRPr="009660EC">
        <w:rPr>
          <w:vertAlign w:val="superscript"/>
        </w:rPr>
        <w:t>-1</w:t>
      </w:r>
      <w:r w:rsidRPr="009660EC">
        <w:t xml:space="preserve"> year</w:t>
      </w:r>
      <w:r w:rsidRPr="009660EC">
        <w:rPr>
          <w:vertAlign w:val="superscript"/>
        </w:rPr>
        <w:t>-1</w:t>
      </w:r>
      <w:r w:rsidRPr="009660EC">
        <w:t xml:space="preserve">) was developed from industry data on GEI (Hill, 2012). Gross energy data from swine diets were used in the Tier 2 IPCC equation </w:t>
      </w:r>
      <w:r w:rsidRPr="009660EC">
        <w:lastRenderedPageBreak/>
        <w:t>(equation 10.21, IPCC, 2006) to determine the country-specific enteric fermentation emission factor. This factor is then multiplied by population data to obtain the total CH</w:t>
      </w:r>
      <w:r w:rsidRPr="009660EC">
        <w:rPr>
          <w:vertAlign w:val="subscript"/>
        </w:rPr>
        <w:t>4</w:t>
      </w:r>
      <w:r w:rsidRPr="009660EC">
        <w:t xml:space="preserve"> emissions produced by swine from enteric fermentation for a given inventory year. </w:t>
      </w:r>
    </w:p>
    <w:p w14:paraId="09104B10" w14:textId="77777777" w:rsidR="004543E0" w:rsidRPr="009660EC" w:rsidRDefault="004543E0" w:rsidP="004543E0">
      <w:pPr>
        <w:pStyle w:val="BodyText"/>
        <w:spacing w:before="100"/>
        <w:rPr>
          <w:rFonts w:cs="Calibri"/>
        </w:rPr>
      </w:pPr>
      <w:r w:rsidRPr="009660EC">
        <w:rPr>
          <w:rFonts w:cs="Calibri"/>
        </w:rPr>
        <w:t>The New Zealand emission factor for swine is lower than the IPCC (2006) default for developed countries,</w:t>
      </w:r>
      <w:r w:rsidRPr="009660EC">
        <w:rPr>
          <w:rStyle w:val="FootnoteReference"/>
          <w:rFonts w:cs="Calibri"/>
        </w:rPr>
        <w:footnoteReference w:id="45"/>
      </w:r>
      <w:r w:rsidRPr="009660EC">
        <w:rPr>
          <w:rFonts w:cs="Calibri"/>
        </w:rPr>
        <w:t xml:space="preserve"> which is based on average values derived from 1980s Western German swine production and population statistics. The IPCC (2006) default value for swine is not representative of New Zealand swine systems and does not reflect changes in production due to: improvements in genetic selection, reproductive cycle performance, housing and feed, animal husbandry and herd management. Further information on these factors is provided in the report by Hill (2012). </w:t>
      </w:r>
    </w:p>
    <w:p w14:paraId="511C57EA" w14:textId="77777777" w:rsidR="004543E0" w:rsidRPr="009660EC" w:rsidRDefault="004543E0" w:rsidP="004543E0">
      <w:pPr>
        <w:pStyle w:val="BodyText"/>
        <w:spacing w:before="100"/>
        <w:rPr>
          <w:rFonts w:cs="Calibri"/>
        </w:rPr>
      </w:pPr>
      <w:r w:rsidRPr="009660EC">
        <w:rPr>
          <w:rFonts w:cs="Calibri"/>
          <w:b/>
          <w:bCs/>
          <w:i/>
          <w:iCs/>
        </w:rPr>
        <w:t>Horses:</w:t>
      </w:r>
      <w:r w:rsidRPr="009660EC">
        <w:rPr>
          <w:rFonts w:cs="Calibri"/>
        </w:rPr>
        <w:t xml:space="preserve"> The IPCC (2006) default value (18 kg CH</w:t>
      </w:r>
      <w:r w:rsidRPr="009660EC">
        <w:rPr>
          <w:rFonts w:cs="Calibri"/>
          <w:vertAlign w:val="subscript"/>
        </w:rPr>
        <w:t>4</w:t>
      </w:r>
      <w:r w:rsidRPr="009660EC">
        <w:rPr>
          <w:rFonts w:cs="Calibri"/>
        </w:rPr>
        <w:t xml:space="preserve"> head</w:t>
      </w:r>
      <w:r w:rsidRPr="009660EC">
        <w:rPr>
          <w:rFonts w:cs="Calibri"/>
          <w:vertAlign w:val="superscript"/>
        </w:rPr>
        <w:t>-1</w:t>
      </w:r>
      <w:r w:rsidRPr="009660EC">
        <w:rPr>
          <w:rFonts w:cs="Calibri"/>
        </w:rPr>
        <w:t xml:space="preserve"> year</w:t>
      </w:r>
      <w:r w:rsidRPr="009660EC">
        <w:rPr>
          <w:rFonts w:cs="Calibri"/>
          <w:vertAlign w:val="superscript"/>
        </w:rPr>
        <w:t>-1</w:t>
      </w:r>
      <w:r w:rsidRPr="009660EC">
        <w:rPr>
          <w:rFonts w:cs="Calibri"/>
        </w:rPr>
        <w:t>) is used to estimate emissions from the digestive system of horses.</w:t>
      </w:r>
    </w:p>
    <w:p w14:paraId="47658133" w14:textId="77777777" w:rsidR="004543E0" w:rsidRPr="009660EC" w:rsidRDefault="004543E0" w:rsidP="004543E0">
      <w:pPr>
        <w:pStyle w:val="BodyText"/>
        <w:spacing w:before="100"/>
        <w:rPr>
          <w:rFonts w:cs="Calibri"/>
        </w:rPr>
      </w:pPr>
      <w:r w:rsidRPr="00F319C8">
        <w:rPr>
          <w:rFonts w:cs="Calibri"/>
          <w:b/>
          <w:bCs/>
        </w:rPr>
        <w:t>Llamas and alpacas</w:t>
      </w:r>
      <w:r w:rsidRPr="009660EC">
        <w:rPr>
          <w:rFonts w:cs="Calibri"/>
          <w:b/>
          <w:bCs/>
          <w:i/>
          <w:iCs/>
        </w:rPr>
        <w:t>:</w:t>
      </w:r>
      <w:r w:rsidRPr="009660EC">
        <w:rPr>
          <w:rFonts w:cs="Calibri"/>
        </w:rPr>
        <w:t xml:space="preserve"> The IPCC (2006) default value (8 kg CH</w:t>
      </w:r>
      <w:r w:rsidRPr="009660EC">
        <w:rPr>
          <w:rFonts w:cs="Calibri"/>
          <w:vertAlign w:val="subscript"/>
        </w:rPr>
        <w:t>4</w:t>
      </w:r>
      <w:r w:rsidRPr="009660EC">
        <w:rPr>
          <w:rFonts w:cs="Calibri"/>
        </w:rPr>
        <w:t xml:space="preserve"> head</w:t>
      </w:r>
      <w:r w:rsidRPr="009660EC">
        <w:rPr>
          <w:rFonts w:cs="Calibri"/>
          <w:vertAlign w:val="superscript"/>
        </w:rPr>
        <w:t>-1</w:t>
      </w:r>
      <w:r w:rsidRPr="009660EC">
        <w:rPr>
          <w:rFonts w:cs="Calibri"/>
        </w:rPr>
        <w:t xml:space="preserve"> year</w:t>
      </w:r>
      <w:r w:rsidRPr="009660EC">
        <w:rPr>
          <w:rFonts w:cs="Calibri"/>
          <w:vertAlign w:val="superscript"/>
        </w:rPr>
        <w:t>-1</w:t>
      </w:r>
      <w:r w:rsidRPr="009660EC">
        <w:rPr>
          <w:rFonts w:cs="Calibri"/>
        </w:rPr>
        <w:t xml:space="preserve">) is used to estimate emissions from this livestock category. </w:t>
      </w:r>
    </w:p>
    <w:p w14:paraId="1C1A6F86" w14:textId="77777777" w:rsidR="004543E0" w:rsidRPr="009660EC" w:rsidRDefault="004543E0" w:rsidP="004543E0">
      <w:pPr>
        <w:pStyle w:val="BodyText"/>
        <w:spacing w:before="100"/>
        <w:rPr>
          <w:rFonts w:cs="Calibri"/>
        </w:rPr>
      </w:pPr>
      <w:r w:rsidRPr="009660EC">
        <w:rPr>
          <w:rFonts w:cs="Calibri"/>
          <w:b/>
          <w:bCs/>
          <w:i/>
          <w:iCs/>
        </w:rPr>
        <w:t>Mules and asses:</w:t>
      </w:r>
      <w:r w:rsidRPr="009660EC">
        <w:rPr>
          <w:rFonts w:cs="Calibri"/>
        </w:rPr>
        <w:t xml:space="preserve"> The IPCC (2006) default value is used (10 kg CH</w:t>
      </w:r>
      <w:r w:rsidRPr="009660EC">
        <w:rPr>
          <w:rFonts w:cs="Calibri"/>
          <w:vertAlign w:val="subscript"/>
        </w:rPr>
        <w:t>4</w:t>
      </w:r>
      <w:r w:rsidRPr="009660EC">
        <w:rPr>
          <w:rFonts w:cs="Calibri"/>
        </w:rPr>
        <w:t xml:space="preserve"> head</w:t>
      </w:r>
      <w:r w:rsidRPr="009660EC">
        <w:rPr>
          <w:rFonts w:cs="Calibri"/>
          <w:vertAlign w:val="superscript"/>
        </w:rPr>
        <w:t>-1</w:t>
      </w:r>
      <w:r w:rsidRPr="009660EC">
        <w:rPr>
          <w:rFonts w:cs="Calibri"/>
        </w:rPr>
        <w:t xml:space="preserve"> year</w:t>
      </w:r>
      <w:r w:rsidRPr="009660EC">
        <w:rPr>
          <w:rFonts w:cs="Calibri"/>
          <w:vertAlign w:val="superscript"/>
        </w:rPr>
        <w:t>-1</w:t>
      </w:r>
      <w:r w:rsidRPr="009660EC">
        <w:rPr>
          <w:rFonts w:cs="Calibri"/>
        </w:rPr>
        <w:t>) to estimate emissions from this livestock category.</w:t>
      </w:r>
    </w:p>
    <w:p w14:paraId="3D353408" w14:textId="77777777" w:rsidR="004543E0" w:rsidRPr="009660EC" w:rsidRDefault="004543E0" w:rsidP="004543E0">
      <w:pPr>
        <w:pStyle w:val="Heading3"/>
      </w:pPr>
      <w:bookmarkStart w:id="725" w:name="_Toc139253919"/>
      <w:bookmarkStart w:id="726" w:name="_Toc32570653"/>
      <w:r w:rsidRPr="009660EC">
        <w:t>5.2.3</w:t>
      </w:r>
      <w:r w:rsidRPr="009660EC">
        <w:tab/>
        <w:t>Uncertainties and time-series consistency</w:t>
      </w:r>
      <w:bookmarkEnd w:id="725"/>
      <w:bookmarkEnd w:id="726"/>
    </w:p>
    <w:p w14:paraId="3D19F444" w14:textId="77777777" w:rsidR="004543E0" w:rsidRPr="009660EC" w:rsidRDefault="004543E0" w:rsidP="004543E0">
      <w:pPr>
        <w:pStyle w:val="BodyText"/>
        <w:spacing w:before="100" w:after="100"/>
        <w:rPr>
          <w:rFonts w:cs="Calibri"/>
        </w:rPr>
      </w:pPr>
      <w:r w:rsidRPr="009660EC">
        <w:rPr>
          <w:rFonts w:cs="Calibri"/>
        </w:rPr>
        <w:t>To ensure consistency across emission categories, a single enhanced livestock population characterisation and feed-intake estimate is produced by the Tier 2 model (see annex 3, table A3.1.2). It is used in different parts of the calculations for the National Inventory Report to estimate: CH</w:t>
      </w:r>
      <w:r w:rsidRPr="009660EC">
        <w:rPr>
          <w:rFonts w:cs="Calibri"/>
          <w:vertAlign w:val="subscript"/>
        </w:rPr>
        <w:t>4</w:t>
      </w:r>
      <w:r w:rsidRPr="009660EC">
        <w:rPr>
          <w:rFonts w:cs="Calibri"/>
        </w:rPr>
        <w:t xml:space="preserve"> emissions for the </w:t>
      </w:r>
      <w:r w:rsidRPr="009660EC">
        <w:rPr>
          <w:rFonts w:cs="Calibri"/>
          <w:i/>
          <w:iCs/>
        </w:rPr>
        <w:t>Enteric fermentation</w:t>
      </w:r>
      <w:r w:rsidRPr="009660EC">
        <w:rPr>
          <w:rFonts w:cs="Calibri"/>
        </w:rPr>
        <w:t xml:space="preserve"> category, CH</w:t>
      </w:r>
      <w:r w:rsidRPr="009660EC">
        <w:rPr>
          <w:rFonts w:cs="Calibri"/>
          <w:vertAlign w:val="subscript"/>
        </w:rPr>
        <w:t>4</w:t>
      </w:r>
      <w:r w:rsidRPr="009660EC">
        <w:rPr>
          <w:rFonts w:cs="Calibri"/>
        </w:rPr>
        <w:t xml:space="preserve"> and N</w:t>
      </w:r>
      <w:r w:rsidRPr="009660EC">
        <w:rPr>
          <w:rFonts w:cs="Calibri"/>
          <w:vertAlign w:val="subscript"/>
        </w:rPr>
        <w:t>2</w:t>
      </w:r>
      <w:r w:rsidRPr="009660EC">
        <w:rPr>
          <w:rFonts w:cs="Calibri"/>
        </w:rPr>
        <w:t xml:space="preserve">O emissions for the </w:t>
      </w:r>
      <w:r w:rsidRPr="009660EC">
        <w:rPr>
          <w:rFonts w:cs="Calibri"/>
          <w:i/>
          <w:iCs/>
        </w:rPr>
        <w:t>Manure management</w:t>
      </w:r>
      <w:r w:rsidRPr="009660EC">
        <w:rPr>
          <w:rFonts w:cs="Calibri"/>
        </w:rPr>
        <w:t xml:space="preserve"> category and N</w:t>
      </w:r>
      <w:r w:rsidRPr="009660EC">
        <w:rPr>
          <w:rFonts w:cs="Calibri"/>
          <w:vertAlign w:val="subscript"/>
        </w:rPr>
        <w:t>2</w:t>
      </w:r>
      <w:r w:rsidRPr="009660EC">
        <w:rPr>
          <w:rFonts w:cs="Calibri"/>
        </w:rPr>
        <w:t xml:space="preserve">O emissions for the </w:t>
      </w:r>
      <w:r w:rsidRPr="009660EC">
        <w:rPr>
          <w:rFonts w:cs="Calibri"/>
          <w:i/>
          <w:iCs/>
        </w:rPr>
        <w:t>Pasture, range and paddock manure</w:t>
      </w:r>
      <w:r w:rsidRPr="009660EC">
        <w:rPr>
          <w:rFonts w:cs="Calibri"/>
        </w:rPr>
        <w:t xml:space="preserve"> category.</w:t>
      </w:r>
    </w:p>
    <w:p w14:paraId="27BCBAFB" w14:textId="77777777" w:rsidR="004543E0" w:rsidRPr="009660EC" w:rsidRDefault="004543E0" w:rsidP="004543E0">
      <w:pPr>
        <w:pStyle w:val="Heading4"/>
      </w:pPr>
      <w:r w:rsidRPr="009660EC">
        <w:t>Livestock numbers</w:t>
      </w:r>
    </w:p>
    <w:p w14:paraId="0E5E06B4" w14:textId="77777777" w:rsidR="004543E0" w:rsidRPr="009660EC" w:rsidRDefault="004543E0" w:rsidP="004543E0">
      <w:pPr>
        <w:pStyle w:val="BodyText"/>
        <w:rPr>
          <w:rFonts w:cs="Calibri"/>
        </w:rPr>
      </w:pPr>
      <w:r w:rsidRPr="009660EC">
        <w:rPr>
          <w:rFonts w:cs="Calibri"/>
        </w:rPr>
        <w:t xml:space="preserve">The calculations for total enteric fermentation require livestock population data. Information on uncertainties and time-series consistency for the livestock population data is included in section 5.1.4 and annex 3, section 3.1. </w:t>
      </w:r>
    </w:p>
    <w:p w14:paraId="4833E0DC" w14:textId="77777777" w:rsidR="004543E0" w:rsidRPr="009660EC" w:rsidRDefault="004543E0" w:rsidP="004543E0">
      <w:pPr>
        <w:pStyle w:val="Heading4"/>
      </w:pPr>
      <w:r w:rsidRPr="009660EC">
        <w:t>Methane emissions from enteric fermentation</w:t>
      </w:r>
    </w:p>
    <w:p w14:paraId="09463DFA" w14:textId="77777777" w:rsidR="004543E0" w:rsidRPr="009660EC" w:rsidRDefault="004543E0" w:rsidP="004543E0">
      <w:pPr>
        <w:pStyle w:val="BodyText"/>
        <w:rPr>
          <w:rFonts w:cs="Calibri"/>
        </w:rPr>
      </w:pPr>
      <w:r w:rsidRPr="009660EC">
        <w:rPr>
          <w:rFonts w:cs="Calibri"/>
        </w:rPr>
        <w:t>A 2009 report by Kelliher et al. (2009) calculated the uncertainty of enteric fermentation CH</w:t>
      </w:r>
      <w:r w:rsidRPr="009660EC">
        <w:rPr>
          <w:rFonts w:cs="Calibri"/>
          <w:vertAlign w:val="subscript"/>
        </w:rPr>
        <w:t>4</w:t>
      </w:r>
      <w:r w:rsidRPr="009660EC">
        <w:rPr>
          <w:rFonts w:cs="Calibri"/>
        </w:rPr>
        <w:t xml:space="preserve"> emissions for sheep and cattle using a Monte Carlo approach. This superseded a previous analysis undertaken in 2003 (Clark et al., 2003). The analysis expressed the coefficient of variation according to the standard deviation of the CH</w:t>
      </w:r>
      <w:r w:rsidRPr="009660EC">
        <w:rPr>
          <w:rFonts w:cs="Calibri"/>
          <w:vertAlign w:val="subscript"/>
        </w:rPr>
        <w:t>4</w:t>
      </w:r>
      <w:r w:rsidRPr="009660EC">
        <w:rPr>
          <w:rFonts w:cs="Calibri"/>
        </w:rPr>
        <w:t xml:space="preserve"> yield. Kelliher et al. (2009) calculated the uncertainty by expressing the coefficient of variation according to the standard deviation of the CH</w:t>
      </w:r>
      <w:r w:rsidRPr="009660EC">
        <w:rPr>
          <w:rFonts w:cs="Calibri"/>
          <w:vertAlign w:val="subscript"/>
        </w:rPr>
        <w:t>4</w:t>
      </w:r>
      <w:r w:rsidRPr="009660EC">
        <w:rPr>
          <w:rFonts w:cs="Calibri"/>
        </w:rPr>
        <w:t xml:space="preserve"> yield using a larger sample of measurements (relative to the previous analysis). The analysis was restricted to a single diet type: grass–legume pasture, the predominant diet of sheep and cattle in New Zealand. The resulting overall uncertainty of the enteric CH</w:t>
      </w:r>
      <w:r w:rsidRPr="009660EC">
        <w:rPr>
          <w:rFonts w:cs="Calibri"/>
          <w:vertAlign w:val="subscript"/>
        </w:rPr>
        <w:t>4</w:t>
      </w:r>
      <w:r w:rsidRPr="009660EC">
        <w:rPr>
          <w:rFonts w:cs="Calibri"/>
        </w:rPr>
        <w:t xml:space="preserve"> emissions inventory, expressed as a 95 per cent confidence interval, was ±16 per cent (see table 5.2.4).</w:t>
      </w:r>
    </w:p>
    <w:p w14:paraId="66C4626E" w14:textId="77777777" w:rsidR="004543E0" w:rsidRPr="009660EC" w:rsidRDefault="004543E0" w:rsidP="004543E0">
      <w:pPr>
        <w:pStyle w:val="Table"/>
        <w:rPr>
          <w:rFonts w:cs="Calibri"/>
        </w:rPr>
      </w:pPr>
      <w:bookmarkStart w:id="727" w:name="_Toc144607406"/>
      <w:bookmarkStart w:id="728" w:name="_Toc144607683"/>
      <w:bookmarkStart w:id="729" w:name="_Toc235955625"/>
      <w:bookmarkStart w:id="730" w:name="_Toc288316750"/>
      <w:bookmarkStart w:id="731" w:name="_Toc352504968"/>
      <w:bookmarkStart w:id="732" w:name="_Toc441830871"/>
      <w:bookmarkStart w:id="733" w:name="_Toc451176085"/>
      <w:bookmarkStart w:id="734" w:name="_Toc481751511"/>
      <w:bookmarkStart w:id="735" w:name="_Toc507158601"/>
      <w:bookmarkStart w:id="736" w:name="_Toc511116735"/>
      <w:bookmarkStart w:id="737" w:name="_Toc5269475"/>
      <w:bookmarkStart w:id="738" w:name="_Toc32570916"/>
      <w:bookmarkStart w:id="739" w:name="_Toc36224551"/>
      <w:bookmarkStart w:id="740" w:name="_Toc68786437"/>
      <w:bookmarkStart w:id="741" w:name="_Toc95574072"/>
      <w:bookmarkStart w:id="742" w:name="_Toc99659245"/>
      <w:r w:rsidRPr="009660EC">
        <w:rPr>
          <w:rFonts w:cs="Calibri"/>
        </w:rPr>
        <w:lastRenderedPageBreak/>
        <w:t>Table 5.2.4</w:t>
      </w:r>
      <w:r w:rsidRPr="009660EC">
        <w:rPr>
          <w:rFonts w:cs="Calibri"/>
        </w:rPr>
        <w:tab/>
        <w:t xml:space="preserve">New Zealand’s uncertainty in the annual estimate of enteric fermentation emissions for 1990 and 2020, estimated using </w:t>
      </w:r>
      <w:bookmarkEnd w:id="727"/>
      <w:bookmarkEnd w:id="728"/>
      <w:bookmarkEnd w:id="729"/>
      <w:r w:rsidRPr="009660EC">
        <w:rPr>
          <w:rFonts w:cs="Calibri"/>
        </w:rPr>
        <w:t>the 95 per cent confidence interval (±16 per cent</w:t>
      </w:r>
      <w:bookmarkEnd w:id="730"/>
      <w:bookmarkEnd w:id="731"/>
      <w:r w:rsidRPr="009660EC">
        <w:rPr>
          <w:rFonts w:cs="Calibri"/>
        </w:rPr>
        <w:t>)</w:t>
      </w:r>
      <w:bookmarkEnd w:id="732"/>
      <w:bookmarkEnd w:id="733"/>
      <w:bookmarkEnd w:id="734"/>
      <w:bookmarkEnd w:id="735"/>
      <w:bookmarkEnd w:id="736"/>
      <w:bookmarkEnd w:id="737"/>
      <w:bookmarkEnd w:id="738"/>
      <w:bookmarkEnd w:id="739"/>
      <w:bookmarkEnd w:id="740"/>
      <w:bookmarkEnd w:id="741"/>
      <w:bookmarkEnd w:id="742"/>
    </w:p>
    <w:tbl>
      <w:tblPr>
        <w:tblW w:w="8505" w:type="dxa"/>
        <w:tblInd w:w="113" w:type="dxa"/>
        <w:tblBorders>
          <w:top w:val="single" w:sz="4" w:space="0" w:color="44546A"/>
          <w:bottom w:val="single" w:sz="4" w:space="0" w:color="44546A"/>
          <w:insideH w:val="single" w:sz="4" w:space="0" w:color="44546A"/>
        </w:tblBorders>
        <w:tblLook w:val="01E0" w:firstRow="1" w:lastRow="1" w:firstColumn="1" w:lastColumn="1" w:noHBand="0" w:noVBand="0"/>
      </w:tblPr>
      <w:tblGrid>
        <w:gridCol w:w="1701"/>
        <w:gridCol w:w="1701"/>
        <w:gridCol w:w="1701"/>
        <w:gridCol w:w="1701"/>
        <w:gridCol w:w="1701"/>
      </w:tblGrid>
      <w:tr w:rsidR="004543E0" w:rsidRPr="009660EC" w14:paraId="2D8889DF" w14:textId="77777777" w:rsidTr="00E402B6">
        <w:tc>
          <w:tcPr>
            <w:tcW w:w="1000" w:type="pct"/>
            <w:shd w:val="clear" w:color="auto" w:fill="1B556B"/>
            <w:vAlign w:val="bottom"/>
          </w:tcPr>
          <w:p w14:paraId="17010229" w14:textId="77777777" w:rsidR="004543E0" w:rsidRPr="004543E0" w:rsidRDefault="004543E0" w:rsidP="007E3239">
            <w:pPr>
              <w:pStyle w:val="TableTextBold"/>
              <w:keepNext/>
              <w:spacing w:before="40" w:after="40"/>
              <w:rPr>
                <w:noProof w:val="0"/>
                <w:color w:val="FFFFFF"/>
              </w:rPr>
            </w:pPr>
            <w:r w:rsidRPr="004543E0">
              <w:rPr>
                <w:noProof w:val="0"/>
                <w:color w:val="FFFFFF"/>
              </w:rPr>
              <w:t>Year</w:t>
            </w:r>
          </w:p>
        </w:tc>
        <w:tc>
          <w:tcPr>
            <w:tcW w:w="1000" w:type="pct"/>
            <w:shd w:val="clear" w:color="auto" w:fill="1B556B"/>
            <w:vAlign w:val="bottom"/>
          </w:tcPr>
          <w:p w14:paraId="1CBC9D76" w14:textId="77777777" w:rsidR="004543E0" w:rsidRPr="004543E0" w:rsidRDefault="004543E0" w:rsidP="007E3239">
            <w:pPr>
              <w:pStyle w:val="TableTextBold"/>
              <w:keepNext/>
              <w:spacing w:before="40" w:after="40"/>
              <w:jc w:val="center"/>
              <w:rPr>
                <w:noProof w:val="0"/>
                <w:color w:val="FFFFFF"/>
              </w:rPr>
            </w:pPr>
            <w:r w:rsidRPr="004543E0">
              <w:rPr>
                <w:noProof w:val="0"/>
                <w:color w:val="FFFFFF"/>
              </w:rPr>
              <w:t>Enteric CH</w:t>
            </w:r>
            <w:r w:rsidRPr="004543E0">
              <w:rPr>
                <w:noProof w:val="0"/>
                <w:color w:val="FFFFFF"/>
                <w:vertAlign w:val="subscript"/>
              </w:rPr>
              <w:t>4</w:t>
            </w:r>
            <w:r w:rsidRPr="004543E0">
              <w:rPr>
                <w:noProof w:val="0"/>
                <w:color w:val="FFFFFF"/>
              </w:rPr>
              <w:t xml:space="preserve"> emissions </w:t>
            </w:r>
            <w:r w:rsidRPr="004543E0">
              <w:rPr>
                <w:noProof w:val="0"/>
                <w:color w:val="FFFFFF"/>
                <w:szCs w:val="16"/>
              </w:rPr>
              <w:br/>
            </w:r>
            <w:r w:rsidRPr="004543E0">
              <w:rPr>
                <w:noProof w:val="0"/>
                <w:color w:val="FFFFFF"/>
              </w:rPr>
              <w:t>(kt CH</w:t>
            </w:r>
            <w:r w:rsidRPr="004543E0">
              <w:rPr>
                <w:noProof w:val="0"/>
                <w:color w:val="FFFFFF"/>
                <w:vertAlign w:val="subscript"/>
              </w:rPr>
              <w:t>4</w:t>
            </w:r>
            <w:r w:rsidRPr="004543E0">
              <w:rPr>
                <w:noProof w:val="0"/>
                <w:color w:val="FFFFFF"/>
              </w:rPr>
              <w:t>/annum)</w:t>
            </w:r>
          </w:p>
        </w:tc>
        <w:tc>
          <w:tcPr>
            <w:tcW w:w="1000" w:type="pct"/>
            <w:shd w:val="clear" w:color="auto" w:fill="1B556B"/>
            <w:vAlign w:val="bottom"/>
          </w:tcPr>
          <w:p w14:paraId="0AF1850C" w14:textId="77777777" w:rsidR="004543E0" w:rsidRPr="004543E0" w:rsidRDefault="004543E0" w:rsidP="007E3239">
            <w:pPr>
              <w:pStyle w:val="TableTextBold"/>
              <w:keepNext/>
              <w:spacing w:before="40" w:after="40"/>
              <w:jc w:val="center"/>
              <w:rPr>
                <w:noProof w:val="0"/>
                <w:color w:val="FFFFFF"/>
              </w:rPr>
            </w:pPr>
            <w:r w:rsidRPr="004543E0">
              <w:rPr>
                <w:noProof w:val="0"/>
                <w:color w:val="FFFFFF"/>
              </w:rPr>
              <w:t>95% confidence interval minimum</w:t>
            </w:r>
            <w:r w:rsidRPr="004543E0">
              <w:rPr>
                <w:noProof w:val="0"/>
                <w:color w:val="FFFFFF"/>
                <w:szCs w:val="16"/>
              </w:rPr>
              <w:br/>
            </w:r>
            <w:r w:rsidRPr="004543E0">
              <w:rPr>
                <w:noProof w:val="0"/>
                <w:color w:val="FFFFFF"/>
              </w:rPr>
              <w:t xml:space="preserve"> (kt CH</w:t>
            </w:r>
            <w:r w:rsidRPr="004543E0">
              <w:rPr>
                <w:noProof w:val="0"/>
                <w:color w:val="FFFFFF"/>
                <w:vertAlign w:val="subscript"/>
              </w:rPr>
              <w:t>4</w:t>
            </w:r>
            <w:r w:rsidRPr="004543E0">
              <w:rPr>
                <w:noProof w:val="0"/>
                <w:color w:val="FFFFFF"/>
              </w:rPr>
              <w:t>/annum)</w:t>
            </w:r>
          </w:p>
        </w:tc>
        <w:tc>
          <w:tcPr>
            <w:tcW w:w="1000" w:type="pct"/>
            <w:shd w:val="clear" w:color="auto" w:fill="1B556B"/>
            <w:vAlign w:val="bottom"/>
          </w:tcPr>
          <w:p w14:paraId="6E89D448" w14:textId="77777777" w:rsidR="004543E0" w:rsidRPr="004543E0" w:rsidRDefault="004543E0" w:rsidP="007E3239">
            <w:pPr>
              <w:pStyle w:val="TableTextBold"/>
              <w:keepNext/>
              <w:spacing w:before="40" w:after="40"/>
              <w:jc w:val="center"/>
              <w:rPr>
                <w:noProof w:val="0"/>
                <w:color w:val="FFFFFF"/>
              </w:rPr>
            </w:pPr>
            <w:r w:rsidRPr="004543E0">
              <w:rPr>
                <w:noProof w:val="0"/>
                <w:color w:val="FFFFFF"/>
              </w:rPr>
              <w:t xml:space="preserve">95% confidence interval maximum </w:t>
            </w:r>
            <w:r w:rsidRPr="004543E0">
              <w:rPr>
                <w:noProof w:val="0"/>
                <w:color w:val="FFFFFF"/>
                <w:szCs w:val="16"/>
              </w:rPr>
              <w:br/>
            </w:r>
            <w:r w:rsidRPr="004543E0">
              <w:rPr>
                <w:noProof w:val="0"/>
                <w:color w:val="FFFFFF"/>
              </w:rPr>
              <w:t>(kt CH</w:t>
            </w:r>
            <w:r w:rsidRPr="004543E0">
              <w:rPr>
                <w:noProof w:val="0"/>
                <w:color w:val="FFFFFF"/>
                <w:vertAlign w:val="subscript"/>
              </w:rPr>
              <w:t>4</w:t>
            </w:r>
            <w:r w:rsidRPr="004543E0">
              <w:rPr>
                <w:noProof w:val="0"/>
                <w:color w:val="FFFFFF"/>
              </w:rPr>
              <w:t>/annum)</w:t>
            </w:r>
          </w:p>
        </w:tc>
        <w:tc>
          <w:tcPr>
            <w:tcW w:w="1000" w:type="pct"/>
            <w:shd w:val="clear" w:color="auto" w:fill="1B556B"/>
            <w:vAlign w:val="bottom"/>
          </w:tcPr>
          <w:p w14:paraId="38A1AD77" w14:textId="77777777" w:rsidR="004543E0" w:rsidRPr="004543E0" w:rsidRDefault="004543E0" w:rsidP="007E3239">
            <w:pPr>
              <w:pStyle w:val="TableTextBold"/>
              <w:keepNext/>
              <w:spacing w:before="40" w:after="40"/>
              <w:jc w:val="center"/>
              <w:rPr>
                <w:noProof w:val="0"/>
                <w:color w:val="FFFFFF"/>
              </w:rPr>
            </w:pPr>
            <w:r w:rsidRPr="004543E0">
              <w:rPr>
                <w:noProof w:val="0"/>
                <w:color w:val="FFFFFF"/>
              </w:rPr>
              <w:t>Range of uncertainty (kt CH</w:t>
            </w:r>
            <w:r w:rsidRPr="004543E0">
              <w:rPr>
                <w:noProof w:val="0"/>
                <w:color w:val="FFFFFF"/>
                <w:vertAlign w:val="subscript"/>
              </w:rPr>
              <w:t>4</w:t>
            </w:r>
            <w:r w:rsidRPr="004543E0">
              <w:rPr>
                <w:noProof w:val="0"/>
                <w:color w:val="FFFFFF"/>
              </w:rPr>
              <w:t>/annum)</w:t>
            </w:r>
          </w:p>
        </w:tc>
      </w:tr>
      <w:tr w:rsidR="004543E0" w:rsidRPr="009660EC" w14:paraId="2002F5B6" w14:textId="77777777" w:rsidTr="00E402B6">
        <w:trPr>
          <w:trHeight w:val="247"/>
        </w:trPr>
        <w:tc>
          <w:tcPr>
            <w:tcW w:w="1000" w:type="pct"/>
          </w:tcPr>
          <w:p w14:paraId="6A1DE91B" w14:textId="77777777" w:rsidR="004543E0" w:rsidRPr="009660EC" w:rsidRDefault="004543E0" w:rsidP="007E3239">
            <w:pPr>
              <w:pStyle w:val="TableText"/>
              <w:keepNext/>
              <w:spacing w:before="50" w:after="50"/>
              <w:rPr>
                <w:rFonts w:cs="Calibri"/>
              </w:rPr>
            </w:pPr>
            <w:r w:rsidRPr="009660EC">
              <w:rPr>
                <w:rFonts w:cs="Calibri"/>
              </w:rPr>
              <w:t>1990</w:t>
            </w:r>
          </w:p>
        </w:tc>
        <w:tc>
          <w:tcPr>
            <w:tcW w:w="1000" w:type="pct"/>
          </w:tcPr>
          <w:p w14:paraId="18849A63" w14:textId="77777777" w:rsidR="004543E0" w:rsidRPr="009660EC" w:rsidRDefault="004543E0" w:rsidP="007E3239">
            <w:pPr>
              <w:pStyle w:val="TableText"/>
              <w:keepNext/>
              <w:spacing w:before="50" w:after="50"/>
              <w:jc w:val="center"/>
              <w:rPr>
                <w:rFonts w:cs="Calibri"/>
              </w:rPr>
            </w:pPr>
            <w:r w:rsidRPr="009660EC">
              <w:rPr>
                <w:rFonts w:cs="Calibri"/>
              </w:rPr>
              <w:t>1,094.0</w:t>
            </w:r>
          </w:p>
        </w:tc>
        <w:tc>
          <w:tcPr>
            <w:tcW w:w="1000" w:type="pct"/>
          </w:tcPr>
          <w:p w14:paraId="322378D2" w14:textId="77777777" w:rsidR="004543E0" w:rsidRPr="009660EC" w:rsidRDefault="004543E0" w:rsidP="007E3239">
            <w:pPr>
              <w:pStyle w:val="TableText"/>
              <w:keepNext/>
              <w:spacing w:before="50" w:after="50"/>
              <w:jc w:val="center"/>
              <w:rPr>
                <w:rFonts w:cs="Calibri"/>
              </w:rPr>
            </w:pPr>
            <w:r w:rsidRPr="009660EC">
              <w:rPr>
                <w:rFonts w:cs="Calibri"/>
              </w:rPr>
              <w:t>919.0</w:t>
            </w:r>
          </w:p>
        </w:tc>
        <w:tc>
          <w:tcPr>
            <w:tcW w:w="1000" w:type="pct"/>
          </w:tcPr>
          <w:p w14:paraId="15DED440" w14:textId="77777777" w:rsidR="004543E0" w:rsidRPr="009660EC" w:rsidRDefault="004543E0" w:rsidP="007E3239">
            <w:pPr>
              <w:pStyle w:val="TableText"/>
              <w:keepNext/>
              <w:spacing w:before="50" w:after="50"/>
              <w:jc w:val="center"/>
              <w:rPr>
                <w:rFonts w:cs="Calibri"/>
              </w:rPr>
            </w:pPr>
            <w:r w:rsidRPr="009660EC">
              <w:rPr>
                <w:rFonts w:cs="Calibri"/>
              </w:rPr>
              <w:t>1,269.1</w:t>
            </w:r>
          </w:p>
        </w:tc>
        <w:tc>
          <w:tcPr>
            <w:tcW w:w="1000" w:type="pct"/>
          </w:tcPr>
          <w:p w14:paraId="20816B6D" w14:textId="77777777" w:rsidR="004543E0" w:rsidRPr="009660EC" w:rsidRDefault="004543E0" w:rsidP="007E3239">
            <w:pPr>
              <w:pStyle w:val="TableText"/>
              <w:keepNext/>
              <w:spacing w:before="50" w:after="50"/>
              <w:jc w:val="center"/>
              <w:rPr>
                <w:rFonts w:cs="Calibri"/>
              </w:rPr>
            </w:pPr>
            <w:r w:rsidRPr="009660EC">
              <w:rPr>
                <w:rFonts w:cs="Calibri"/>
              </w:rPr>
              <w:t>350.1</w:t>
            </w:r>
          </w:p>
        </w:tc>
      </w:tr>
      <w:tr w:rsidR="004543E0" w:rsidRPr="009660EC" w14:paraId="5F4ABE36" w14:textId="77777777" w:rsidTr="00E402B6">
        <w:trPr>
          <w:trHeight w:val="247"/>
        </w:trPr>
        <w:tc>
          <w:tcPr>
            <w:tcW w:w="1000" w:type="pct"/>
          </w:tcPr>
          <w:p w14:paraId="2C991B0A" w14:textId="77777777" w:rsidR="004543E0" w:rsidRPr="009660EC" w:rsidRDefault="004543E0" w:rsidP="007E3239">
            <w:pPr>
              <w:pStyle w:val="TableText"/>
              <w:spacing w:before="50" w:after="50"/>
              <w:rPr>
                <w:rFonts w:cs="Calibri"/>
              </w:rPr>
            </w:pPr>
            <w:r w:rsidRPr="009660EC">
              <w:rPr>
                <w:rFonts w:cs="Calibri"/>
              </w:rPr>
              <w:t>2020</w:t>
            </w:r>
          </w:p>
        </w:tc>
        <w:tc>
          <w:tcPr>
            <w:tcW w:w="1000" w:type="pct"/>
          </w:tcPr>
          <w:p w14:paraId="08AF12E5" w14:textId="77777777" w:rsidR="004543E0" w:rsidRPr="009660EC" w:rsidRDefault="004543E0" w:rsidP="007E3239">
            <w:pPr>
              <w:pStyle w:val="TableText"/>
              <w:spacing w:before="50" w:after="50"/>
              <w:jc w:val="center"/>
              <w:rPr>
                <w:rFonts w:cs="Calibri"/>
              </w:rPr>
            </w:pPr>
            <w:r w:rsidRPr="009660EC">
              <w:rPr>
                <w:rFonts w:cs="Calibri"/>
              </w:rPr>
              <w:t>1,153.3</w:t>
            </w:r>
          </w:p>
        </w:tc>
        <w:tc>
          <w:tcPr>
            <w:tcW w:w="1000" w:type="pct"/>
          </w:tcPr>
          <w:p w14:paraId="3F74A0E0" w14:textId="77777777" w:rsidR="004543E0" w:rsidRPr="009660EC" w:rsidRDefault="004543E0" w:rsidP="007E3239">
            <w:pPr>
              <w:pStyle w:val="TableText"/>
              <w:spacing w:before="50" w:after="50"/>
              <w:jc w:val="center"/>
              <w:rPr>
                <w:rFonts w:cs="Calibri"/>
              </w:rPr>
            </w:pPr>
            <w:r w:rsidRPr="009660EC">
              <w:rPr>
                <w:rFonts w:cs="Calibri"/>
              </w:rPr>
              <w:t>968.7</w:t>
            </w:r>
          </w:p>
        </w:tc>
        <w:tc>
          <w:tcPr>
            <w:tcW w:w="1000" w:type="pct"/>
          </w:tcPr>
          <w:p w14:paraId="784C885D" w14:textId="77777777" w:rsidR="004543E0" w:rsidRPr="009660EC" w:rsidRDefault="004543E0" w:rsidP="007E3239">
            <w:pPr>
              <w:pStyle w:val="TableText"/>
              <w:spacing w:before="50" w:after="50"/>
              <w:jc w:val="center"/>
              <w:rPr>
                <w:rFonts w:cs="Calibri"/>
              </w:rPr>
            </w:pPr>
            <w:r w:rsidRPr="009660EC">
              <w:rPr>
                <w:rFonts w:cs="Calibri"/>
              </w:rPr>
              <w:t>1,337.8</w:t>
            </w:r>
          </w:p>
        </w:tc>
        <w:tc>
          <w:tcPr>
            <w:tcW w:w="1000" w:type="pct"/>
          </w:tcPr>
          <w:p w14:paraId="2B185391" w14:textId="77777777" w:rsidR="004543E0" w:rsidRPr="009660EC" w:rsidRDefault="004543E0" w:rsidP="007E3239">
            <w:pPr>
              <w:pStyle w:val="TableText"/>
              <w:spacing w:before="50" w:after="50"/>
              <w:jc w:val="center"/>
              <w:rPr>
                <w:rFonts w:cs="Calibri"/>
              </w:rPr>
            </w:pPr>
            <w:r w:rsidRPr="009660EC">
              <w:rPr>
                <w:rFonts w:cs="Calibri"/>
              </w:rPr>
              <w:t>369.0</w:t>
            </w:r>
          </w:p>
        </w:tc>
      </w:tr>
    </w:tbl>
    <w:p w14:paraId="517003F8" w14:textId="77777777" w:rsidR="004543E0" w:rsidRPr="009660EC" w:rsidRDefault="004543E0" w:rsidP="004543E0">
      <w:pPr>
        <w:pStyle w:val="Noteundertable"/>
        <w:rPr>
          <w:rFonts w:cs="Calibri"/>
        </w:rPr>
      </w:pPr>
      <w:r w:rsidRPr="009660EC">
        <w:rPr>
          <w:rFonts w:cs="Calibri"/>
          <w:b/>
          <w:bCs/>
        </w:rPr>
        <w:t xml:space="preserve">Note: </w:t>
      </w:r>
      <w:r w:rsidRPr="009660EC">
        <w:rPr>
          <w:rFonts w:cs="Calibri"/>
          <w:b/>
        </w:rPr>
        <w:tab/>
      </w:r>
      <w:r w:rsidRPr="009660EC">
        <w:rPr>
          <w:rFonts w:cs="Calibri"/>
        </w:rPr>
        <w:t>The methane (CH</w:t>
      </w:r>
      <w:r w:rsidRPr="009660EC">
        <w:rPr>
          <w:rFonts w:cs="Calibri"/>
          <w:vertAlign w:val="subscript"/>
        </w:rPr>
        <w:t>4</w:t>
      </w:r>
      <w:r w:rsidRPr="009660EC">
        <w:rPr>
          <w:rFonts w:cs="Calibri"/>
        </w:rPr>
        <w:t>) emissions used in the Monte Carlo analysis exclude those from swine, horses, goats, mules and asses, and llamas and alpacas, which represent a small proportion of total CH</w:t>
      </w:r>
      <w:r w:rsidRPr="009660EC">
        <w:rPr>
          <w:rFonts w:cs="Calibri"/>
          <w:vertAlign w:val="subscript"/>
        </w:rPr>
        <w:t>4</w:t>
      </w:r>
      <w:r w:rsidRPr="009660EC">
        <w:rPr>
          <w:rFonts w:cs="Calibri"/>
        </w:rPr>
        <w:t> emissions.</w:t>
      </w:r>
    </w:p>
    <w:p w14:paraId="51551F94" w14:textId="77777777" w:rsidR="004543E0" w:rsidRPr="009660EC" w:rsidRDefault="004543E0" w:rsidP="004543E0">
      <w:pPr>
        <w:pStyle w:val="BodyText"/>
        <w:rPr>
          <w:rFonts w:cs="Calibri"/>
        </w:rPr>
      </w:pPr>
      <w:r w:rsidRPr="009660EC">
        <w:rPr>
          <w:rFonts w:cs="Calibri"/>
        </w:rPr>
        <w:t>Uncertainty in the annual CH</w:t>
      </w:r>
      <w:r w:rsidRPr="009660EC">
        <w:rPr>
          <w:rFonts w:cs="Calibri"/>
          <w:vertAlign w:val="subscript"/>
        </w:rPr>
        <w:t>4</w:t>
      </w:r>
      <w:r w:rsidRPr="009660EC">
        <w:rPr>
          <w:rFonts w:cs="Calibri"/>
        </w:rPr>
        <w:t xml:space="preserve"> estimate is dominated by variance in the measurements of the ‘methane per unit of intake’ factor. This uncertainty is predominantly due to natural variation from one animal to the next due to genetic, management and environmental factors. Uncertainties in the estimates of livestock energy requirements, forage quality and animal population data are much smaller (Clark et al., 2003).</w:t>
      </w:r>
    </w:p>
    <w:p w14:paraId="49A94C7A" w14:textId="77777777" w:rsidR="004543E0" w:rsidRPr="009660EC" w:rsidRDefault="004543E0" w:rsidP="004543E0">
      <w:pPr>
        <w:pStyle w:val="Heading3"/>
      </w:pPr>
      <w:bookmarkStart w:id="743" w:name="_Toc139253920"/>
      <w:bookmarkStart w:id="744" w:name="_Toc32570654"/>
      <w:r w:rsidRPr="009660EC">
        <w:t>5.2.4</w:t>
      </w:r>
      <w:r w:rsidRPr="009660EC">
        <w:tab/>
        <w:t>Source-specific QA/QC</w:t>
      </w:r>
      <w:r w:rsidRPr="009660EC">
        <w:rPr>
          <w:lang w:eastAsia="en-GB"/>
        </w:rPr>
        <w:t xml:space="preserve"> control </w:t>
      </w:r>
      <w:r w:rsidRPr="009660EC">
        <w:t>and verification</w:t>
      </w:r>
      <w:bookmarkEnd w:id="743"/>
      <w:bookmarkEnd w:id="744"/>
    </w:p>
    <w:p w14:paraId="7EE7CABE" w14:textId="77777777" w:rsidR="004543E0" w:rsidRPr="009660EC" w:rsidRDefault="004543E0" w:rsidP="004543E0">
      <w:pPr>
        <w:pStyle w:val="BodyText"/>
        <w:rPr>
          <w:rFonts w:cs="Calibri"/>
        </w:rPr>
      </w:pPr>
      <w:r w:rsidRPr="009660EC">
        <w:rPr>
          <w:rFonts w:cs="Calibri"/>
        </w:rPr>
        <w:t xml:space="preserve">Methane from </w:t>
      </w:r>
      <w:r w:rsidRPr="009660EC">
        <w:rPr>
          <w:rFonts w:cs="Calibri"/>
          <w:i/>
        </w:rPr>
        <w:t>Enteric fermentation</w:t>
      </w:r>
      <w:r w:rsidRPr="009660EC">
        <w:rPr>
          <w:rFonts w:cs="Calibri"/>
        </w:rPr>
        <w:t xml:space="preserve"> from </w:t>
      </w:r>
      <w:r w:rsidRPr="009660EC">
        <w:rPr>
          <w:rFonts w:cs="Calibri"/>
          <w:i/>
          <w:iCs/>
        </w:rPr>
        <w:t>Dairy cattle</w:t>
      </w:r>
      <w:r w:rsidRPr="009660EC">
        <w:rPr>
          <w:rFonts w:cs="Calibri"/>
        </w:rPr>
        <w:t xml:space="preserve">, </w:t>
      </w:r>
      <w:r w:rsidRPr="009660EC">
        <w:rPr>
          <w:rFonts w:cs="Calibri"/>
          <w:i/>
          <w:iCs/>
        </w:rPr>
        <w:t>Non-dairy</w:t>
      </w:r>
      <w:r w:rsidRPr="009660EC">
        <w:rPr>
          <w:rFonts w:cs="Calibri"/>
        </w:rPr>
        <w:t xml:space="preserve"> (beef) </w:t>
      </w:r>
      <w:r w:rsidRPr="009660EC">
        <w:rPr>
          <w:rFonts w:cs="Calibri"/>
          <w:i/>
          <w:iCs/>
        </w:rPr>
        <w:t>cattle</w:t>
      </w:r>
      <w:r w:rsidRPr="009660EC">
        <w:rPr>
          <w:rFonts w:cs="Calibri"/>
        </w:rPr>
        <w:t xml:space="preserve"> and</w:t>
      </w:r>
      <w:r w:rsidRPr="009660EC">
        <w:rPr>
          <w:rFonts w:cs="Calibri"/>
          <w:i/>
          <w:iCs/>
        </w:rPr>
        <w:t xml:space="preserve"> Sheep </w:t>
      </w:r>
      <w:r w:rsidRPr="009660EC">
        <w:rPr>
          <w:rFonts w:cs="Calibri"/>
        </w:rPr>
        <w:t xml:space="preserve">was identified as a key category (level and trend assessment). Methane from </w:t>
      </w:r>
      <w:r w:rsidRPr="009660EC">
        <w:rPr>
          <w:rFonts w:cs="Calibri"/>
          <w:i/>
        </w:rPr>
        <w:t>Enteric fermentation</w:t>
      </w:r>
      <w:r w:rsidRPr="009660EC">
        <w:rPr>
          <w:rFonts w:cs="Calibri"/>
        </w:rPr>
        <w:t xml:space="preserve"> from </w:t>
      </w:r>
      <w:r w:rsidRPr="009660EC">
        <w:rPr>
          <w:rFonts w:cs="Calibri"/>
          <w:i/>
          <w:iCs/>
        </w:rPr>
        <w:t>Goats</w:t>
      </w:r>
      <w:r w:rsidRPr="009660EC">
        <w:rPr>
          <w:rFonts w:cs="Calibri"/>
        </w:rPr>
        <w:t xml:space="preserve"> is a key category in the trend assessment, and from </w:t>
      </w:r>
      <w:r w:rsidRPr="009660EC">
        <w:rPr>
          <w:rFonts w:cs="Calibri"/>
          <w:i/>
          <w:iCs/>
        </w:rPr>
        <w:t>Deer</w:t>
      </w:r>
      <w:r w:rsidRPr="009660EC">
        <w:rPr>
          <w:rFonts w:cs="Calibri"/>
        </w:rPr>
        <w:t xml:space="preserve"> in the level assessment. In the preparation for this inventory, the data for this category underwent Tier 1 and Tier 2 quality checks.</w:t>
      </w:r>
    </w:p>
    <w:p w14:paraId="1D59E6D8" w14:textId="77777777" w:rsidR="004543E0" w:rsidRPr="009660EC" w:rsidRDefault="004543E0" w:rsidP="004543E0">
      <w:pPr>
        <w:pStyle w:val="BodyText"/>
        <w:rPr>
          <w:rFonts w:cs="Calibri"/>
        </w:rPr>
      </w:pPr>
      <w:r w:rsidRPr="009660EC">
        <w:rPr>
          <w:rFonts w:cs="Calibri"/>
        </w:rPr>
        <w:t>Enteric CH</w:t>
      </w:r>
      <w:r w:rsidRPr="009660EC">
        <w:rPr>
          <w:rFonts w:cs="Calibri"/>
          <w:vertAlign w:val="subscript"/>
        </w:rPr>
        <w:t>4</w:t>
      </w:r>
      <w:r w:rsidRPr="009660EC">
        <w:rPr>
          <w:rFonts w:cs="Calibri"/>
        </w:rPr>
        <w:t xml:space="preserve"> emission rates per animal have been verified using micrometeorological techniques. Laubach and Kelliher (2004) used the integrated horizontal flux technique and the flux gradient technique to measure CH</w:t>
      </w:r>
      <w:r w:rsidRPr="009660EC">
        <w:rPr>
          <w:rFonts w:cs="Calibri"/>
          <w:vertAlign w:val="subscript"/>
        </w:rPr>
        <w:t>4</w:t>
      </w:r>
      <w:r w:rsidRPr="009660EC">
        <w:rPr>
          <w:rFonts w:cs="Calibri"/>
        </w:rPr>
        <w:t xml:space="preserve"> emission flux above a dairy herd. Both techniques are comparable, within estimated errors, to scaled-up dairy animal emissions. The emissions from the cows measured by integrated horizontal flux (averaged over three trials) were 329 (±153) g CH</w:t>
      </w:r>
      <w:r w:rsidRPr="009660EC">
        <w:rPr>
          <w:rFonts w:cs="Calibri"/>
          <w:vertAlign w:val="subscript"/>
        </w:rPr>
        <w:t>4</w:t>
      </w:r>
      <w:r w:rsidRPr="009660EC">
        <w:rPr>
          <w:rFonts w:cs="Calibri"/>
        </w:rPr>
        <w:t>/day/cow, compared with 365 (±61) g CH</w:t>
      </w:r>
      <w:r w:rsidRPr="009660EC">
        <w:rPr>
          <w:rFonts w:cs="Calibri"/>
          <w:vertAlign w:val="subscript"/>
        </w:rPr>
        <w:t>4</w:t>
      </w:r>
      <w:r w:rsidRPr="009660EC">
        <w:rPr>
          <w:rFonts w:cs="Calibri"/>
        </w:rPr>
        <w:t>/day/cow for the scaled-up measurements reported by Waghorn et al. (unpublished(a), unpublished(b)) using the SF</w:t>
      </w:r>
      <w:r w:rsidRPr="009660EC">
        <w:rPr>
          <w:rFonts w:cs="Calibri"/>
          <w:vertAlign w:val="subscript"/>
        </w:rPr>
        <w:t>6</w:t>
      </w:r>
      <w:r w:rsidRPr="009660EC">
        <w:rPr>
          <w:rFonts w:cs="Calibri"/>
        </w:rPr>
        <w:t> technique for CH</w:t>
      </w:r>
      <w:r w:rsidRPr="009660EC">
        <w:rPr>
          <w:rFonts w:cs="Calibri"/>
          <w:vertAlign w:val="subscript"/>
        </w:rPr>
        <w:t>4</w:t>
      </w:r>
      <w:r w:rsidRPr="009660EC">
        <w:rPr>
          <w:rFonts w:cs="Calibri"/>
        </w:rPr>
        <w:t xml:space="preserve"> measurement. </w:t>
      </w:r>
    </w:p>
    <w:p w14:paraId="1CF99DD9" w14:textId="77777777" w:rsidR="004543E0" w:rsidRPr="009660EC" w:rsidRDefault="004543E0" w:rsidP="004543E0">
      <w:pPr>
        <w:pStyle w:val="BodyText"/>
        <w:rPr>
          <w:rFonts w:cs="Calibri"/>
        </w:rPr>
      </w:pPr>
      <w:r w:rsidRPr="009660EC">
        <w:rPr>
          <w:rFonts w:cs="Calibri"/>
        </w:rPr>
        <w:t>Enteric CH</w:t>
      </w:r>
      <w:r w:rsidRPr="009660EC">
        <w:rPr>
          <w:rFonts w:cs="Calibri"/>
          <w:vertAlign w:val="subscript"/>
        </w:rPr>
        <w:t>4</w:t>
      </w:r>
      <w:r w:rsidRPr="009660EC">
        <w:rPr>
          <w:rFonts w:cs="Calibri"/>
        </w:rPr>
        <w:t xml:space="preserve"> emissions from lactating dairy cows have also been measured using the New Zealand SF</w:t>
      </w:r>
      <w:r w:rsidRPr="009660EC">
        <w:rPr>
          <w:rFonts w:cs="Calibri"/>
          <w:vertAlign w:val="subscript"/>
        </w:rPr>
        <w:t>6</w:t>
      </w:r>
      <w:r w:rsidRPr="009660EC">
        <w:rPr>
          <w:rFonts w:cs="Calibri"/>
        </w:rPr>
        <w:t xml:space="preserve"> tracer method compared with the respiration chamber techniques (Grainger et al., 2007). </w:t>
      </w:r>
      <w:r w:rsidRPr="009660EC">
        <w:rPr>
          <w:rFonts w:cs="Calibri"/>
          <w:snapToGrid w:val="0"/>
          <w:color w:val="000000"/>
        </w:rPr>
        <w:t xml:space="preserve">Total </w:t>
      </w:r>
      <w:r w:rsidRPr="009660EC">
        <w:rPr>
          <w:rFonts w:cs="Calibri"/>
        </w:rPr>
        <w:t>CH</w:t>
      </w:r>
      <w:r w:rsidRPr="009660EC">
        <w:rPr>
          <w:rFonts w:cs="Calibri"/>
          <w:vertAlign w:val="subscript"/>
        </w:rPr>
        <w:t xml:space="preserve">4 </w:t>
      </w:r>
      <w:r w:rsidRPr="009660EC">
        <w:rPr>
          <w:rFonts w:cs="Calibri"/>
        </w:rPr>
        <w:t>emissions were similar when measured using respiration chambers (322 g CH</w:t>
      </w:r>
      <w:r w:rsidRPr="009660EC">
        <w:rPr>
          <w:rFonts w:cs="Calibri"/>
          <w:vertAlign w:val="subscript"/>
        </w:rPr>
        <w:t>4</w:t>
      </w:r>
      <w:r w:rsidRPr="009660EC">
        <w:rPr>
          <w:rFonts w:cs="Calibri"/>
        </w:rPr>
        <w:t xml:space="preserve">/day/cow) or the </w:t>
      </w:r>
      <w:r w:rsidRPr="009660EC">
        <w:rPr>
          <w:rFonts w:cs="Calibri"/>
          <w:snapToGrid w:val="0"/>
          <w:color w:val="000000"/>
        </w:rPr>
        <w:t>SF</w:t>
      </w:r>
      <w:r w:rsidRPr="009660EC">
        <w:rPr>
          <w:rFonts w:cs="Calibri"/>
          <w:snapToGrid w:val="0"/>
          <w:color w:val="000000"/>
          <w:vertAlign w:val="subscript"/>
        </w:rPr>
        <w:t>6</w:t>
      </w:r>
      <w:r w:rsidRPr="009660EC">
        <w:rPr>
          <w:rFonts w:cs="Calibri"/>
          <w:snapToGrid w:val="0"/>
          <w:color w:val="000000"/>
        </w:rPr>
        <w:t xml:space="preserve"> tracer technique (</w:t>
      </w:r>
      <w:r w:rsidRPr="009660EC">
        <w:rPr>
          <w:rFonts w:cs="Calibri"/>
        </w:rPr>
        <w:t>331 g CH</w:t>
      </w:r>
      <w:r w:rsidRPr="009660EC">
        <w:rPr>
          <w:rFonts w:cs="Calibri"/>
          <w:vertAlign w:val="subscript"/>
        </w:rPr>
        <w:t>4</w:t>
      </w:r>
      <w:r w:rsidRPr="009660EC">
        <w:rPr>
          <w:rFonts w:cs="Calibri"/>
        </w:rPr>
        <w:t>/day/cow) but the uncertainty of the SF</w:t>
      </w:r>
      <w:r w:rsidRPr="009660EC">
        <w:rPr>
          <w:rFonts w:cs="Calibri"/>
          <w:vertAlign w:val="subscript"/>
        </w:rPr>
        <w:t>6</w:t>
      </w:r>
      <w:r w:rsidRPr="009660EC">
        <w:rPr>
          <w:rFonts w:cs="Calibri"/>
        </w:rPr>
        <w:t xml:space="preserve"> technique measurements was greater. </w:t>
      </w:r>
    </w:p>
    <w:p w14:paraId="2F295C35" w14:textId="77777777" w:rsidR="004543E0" w:rsidRPr="009660EC" w:rsidRDefault="004543E0" w:rsidP="004543E0">
      <w:pPr>
        <w:pStyle w:val="BodyText"/>
      </w:pPr>
      <w:r w:rsidRPr="009660EC">
        <w:t xml:space="preserve">The calculations in New Zealand’s model for all cattle, sheep and deer are Tier 2 and are based on the 2006 IPCC Guidelines (IPCC, 2006). Table 5.2.5 shows a comparison of the New Zealand-specific 2020 IEFs for enteric fermentation with the IPCC Tier 1 Oceania default value, the IPCC Tier 2 net energy-based value and the Australian-specific 2019 IEF for dairy cattle, beef cattle and sheep. </w:t>
      </w:r>
    </w:p>
    <w:p w14:paraId="60C336F1" w14:textId="77777777" w:rsidR="004543E0" w:rsidRPr="009660EC" w:rsidRDefault="004543E0" w:rsidP="004543E0">
      <w:pPr>
        <w:pStyle w:val="BodyText"/>
      </w:pPr>
      <w:r w:rsidRPr="009660EC">
        <w:t>The IPCC Tier 2 net energy-based values are determined from the net energy algorithms in the 2006 IPCC Guidelines (equation 10.16) for dairy cattle, beef cattle and sheep. New Zealand’s inventory model calculates emissions for sheep (one year of age and older) and lambs (less than one year old) separately. Therefore, to provide an appropriate comparison between the New Zealand-specific IEF and the IPCC Tier 2 net energy-based values for sheep, the gross energy values determined using the IPCC Tier 2 energy equations were obtained for both sheep and lambs.</w:t>
      </w:r>
    </w:p>
    <w:p w14:paraId="3C1FA5A6" w14:textId="77777777" w:rsidR="004543E0" w:rsidRPr="009660EC" w:rsidRDefault="004543E0" w:rsidP="004543E0">
      <w:pPr>
        <w:pStyle w:val="Table"/>
        <w:rPr>
          <w:rFonts w:cs="Calibri"/>
        </w:rPr>
      </w:pPr>
      <w:bookmarkStart w:id="745" w:name="_Toc288316751"/>
      <w:bookmarkStart w:id="746" w:name="_Toc352504969"/>
      <w:bookmarkStart w:id="747" w:name="_Toc441830872"/>
      <w:bookmarkStart w:id="748" w:name="_Toc451176086"/>
      <w:bookmarkStart w:id="749" w:name="_Toc481751512"/>
      <w:bookmarkStart w:id="750" w:name="_Toc507158602"/>
      <w:bookmarkStart w:id="751" w:name="_Toc511116736"/>
      <w:bookmarkStart w:id="752" w:name="_Toc5269476"/>
      <w:bookmarkStart w:id="753" w:name="_Toc32570917"/>
      <w:bookmarkStart w:id="754" w:name="_Toc36224552"/>
      <w:bookmarkStart w:id="755" w:name="_Toc68786438"/>
      <w:bookmarkStart w:id="756" w:name="_Toc95574073"/>
      <w:bookmarkStart w:id="757" w:name="_Toc99659246"/>
      <w:r w:rsidRPr="009660EC">
        <w:rPr>
          <w:rFonts w:cs="Calibri"/>
        </w:rPr>
        <w:lastRenderedPageBreak/>
        <w:t>Table 5.2.5</w:t>
      </w:r>
      <w:r w:rsidRPr="009660EC">
        <w:rPr>
          <w:rFonts w:cs="Calibri"/>
        </w:rPr>
        <w:tab/>
        <w:t>Comparison of the IPCC (2006) default emission factor and country-specific implied emission factors (IEFs) for methane (CH</w:t>
      </w:r>
      <w:r w:rsidRPr="009660EC">
        <w:rPr>
          <w:rFonts w:cs="Calibri"/>
          <w:vertAlign w:val="subscript"/>
        </w:rPr>
        <w:t>4</w:t>
      </w:r>
      <w:r w:rsidRPr="009660EC">
        <w:rPr>
          <w:rFonts w:cs="Calibri"/>
        </w:rPr>
        <w:t xml:space="preserve">) from </w:t>
      </w:r>
      <w:r w:rsidRPr="009660EC">
        <w:rPr>
          <w:rFonts w:cs="Calibri"/>
          <w:i/>
          <w:iCs/>
        </w:rPr>
        <w:t>Enteric fermentation</w:t>
      </w:r>
      <w:r w:rsidRPr="009660EC">
        <w:rPr>
          <w:rFonts w:cs="Calibri"/>
        </w:rPr>
        <w:t xml:space="preserve"> for </w:t>
      </w:r>
      <w:r w:rsidRPr="009660EC">
        <w:rPr>
          <w:rFonts w:cs="Calibri"/>
          <w:i/>
          <w:iCs/>
        </w:rPr>
        <w:t>Dairy cattle</w:t>
      </w:r>
      <w:r w:rsidRPr="009660EC">
        <w:rPr>
          <w:rFonts w:cs="Calibri"/>
        </w:rPr>
        <w:t>,</w:t>
      </w:r>
      <w:r w:rsidRPr="009660EC">
        <w:rPr>
          <w:rFonts w:cs="Calibri"/>
        </w:rPr>
        <w:br/>
      </w:r>
      <w:r w:rsidRPr="009660EC">
        <w:rPr>
          <w:rFonts w:cs="Calibri"/>
          <w:i/>
          <w:iCs/>
        </w:rPr>
        <w:t>Non</w:t>
      </w:r>
      <w:r w:rsidRPr="009660EC">
        <w:rPr>
          <w:rFonts w:cs="Calibri"/>
          <w:i/>
          <w:iCs/>
        </w:rPr>
        <w:noBreakHyphen/>
        <w:t>dairy</w:t>
      </w:r>
      <w:r w:rsidRPr="009660EC">
        <w:rPr>
          <w:rFonts w:cs="Calibri"/>
        </w:rPr>
        <w:t xml:space="preserve"> (beef) </w:t>
      </w:r>
      <w:r w:rsidRPr="009660EC">
        <w:rPr>
          <w:rFonts w:cs="Calibri"/>
          <w:i/>
          <w:iCs/>
        </w:rPr>
        <w:t>cattle</w:t>
      </w:r>
      <w:r w:rsidRPr="009660EC">
        <w:rPr>
          <w:rFonts w:cs="Calibri"/>
        </w:rPr>
        <w:t xml:space="preserve"> and </w:t>
      </w:r>
      <w:r w:rsidRPr="009660EC">
        <w:rPr>
          <w:rFonts w:cs="Calibri"/>
          <w:i/>
          <w:iCs/>
        </w:rPr>
        <w:t>Sheep</w:t>
      </w:r>
      <w:bookmarkEnd w:id="745"/>
      <w:bookmarkEnd w:id="746"/>
      <w:bookmarkEnd w:id="747"/>
      <w:bookmarkEnd w:id="748"/>
      <w:bookmarkEnd w:id="749"/>
      <w:bookmarkEnd w:id="750"/>
      <w:bookmarkEnd w:id="751"/>
      <w:bookmarkEnd w:id="752"/>
      <w:bookmarkEnd w:id="753"/>
      <w:bookmarkEnd w:id="754"/>
      <w:bookmarkEnd w:id="755"/>
      <w:bookmarkEnd w:id="756"/>
      <w:bookmarkEnd w:id="757"/>
    </w:p>
    <w:tbl>
      <w:tblPr>
        <w:tblW w:w="8448" w:type="dxa"/>
        <w:tblInd w:w="113" w:type="dxa"/>
        <w:tblBorders>
          <w:top w:val="single" w:sz="4" w:space="0" w:color="44546A"/>
          <w:bottom w:val="single" w:sz="4" w:space="0" w:color="44546A"/>
          <w:insideH w:val="single" w:sz="4" w:space="0" w:color="44546A"/>
        </w:tblBorders>
        <w:tblLayout w:type="fixed"/>
        <w:tblCellMar>
          <w:left w:w="85" w:type="dxa"/>
          <w:right w:w="57" w:type="dxa"/>
        </w:tblCellMar>
        <w:tblLook w:val="0000" w:firstRow="0" w:lastRow="0" w:firstColumn="0" w:lastColumn="0" w:noHBand="0" w:noVBand="0"/>
      </w:tblPr>
      <w:tblGrid>
        <w:gridCol w:w="2875"/>
        <w:gridCol w:w="2648"/>
        <w:gridCol w:w="1447"/>
        <w:gridCol w:w="1478"/>
      </w:tblGrid>
      <w:tr w:rsidR="004543E0" w:rsidRPr="009660EC" w14:paraId="04F56949" w14:textId="77777777" w:rsidTr="00E402B6">
        <w:trPr>
          <w:trHeight w:val="406"/>
          <w:tblHeader/>
        </w:trPr>
        <w:tc>
          <w:tcPr>
            <w:tcW w:w="2892" w:type="dxa"/>
            <w:shd w:val="clear" w:color="auto" w:fill="1B556B"/>
          </w:tcPr>
          <w:p w14:paraId="2522B2F0" w14:textId="77777777" w:rsidR="004543E0" w:rsidRPr="004543E0" w:rsidRDefault="004543E0" w:rsidP="007E3239">
            <w:pPr>
              <w:pStyle w:val="TableTextBold"/>
              <w:rPr>
                <w:noProof w:val="0"/>
                <w:color w:val="FFFFFF"/>
                <w:szCs w:val="16"/>
              </w:rPr>
            </w:pPr>
          </w:p>
        </w:tc>
        <w:tc>
          <w:tcPr>
            <w:tcW w:w="2665" w:type="dxa"/>
            <w:shd w:val="clear" w:color="auto" w:fill="1B556B"/>
            <w:vAlign w:val="bottom"/>
          </w:tcPr>
          <w:p w14:paraId="3F376EAA" w14:textId="77777777" w:rsidR="004543E0" w:rsidRPr="004543E0" w:rsidRDefault="004543E0" w:rsidP="007E3239">
            <w:pPr>
              <w:pStyle w:val="TableTextBold"/>
              <w:jc w:val="center"/>
              <w:rPr>
                <w:noProof w:val="0"/>
                <w:color w:val="FFFFFF"/>
                <w:szCs w:val="16"/>
              </w:rPr>
            </w:pPr>
            <w:r w:rsidRPr="004543E0">
              <w:rPr>
                <w:noProof w:val="0"/>
                <w:color w:val="FFFFFF"/>
                <w:szCs w:val="16"/>
              </w:rPr>
              <w:t>Dairy cattle</w:t>
            </w:r>
            <w:r w:rsidRPr="004543E0">
              <w:rPr>
                <w:noProof w:val="0"/>
                <w:color w:val="FFFFFF"/>
                <w:szCs w:val="16"/>
              </w:rPr>
              <w:br/>
              <w:t>(kg CH</w:t>
            </w:r>
            <w:r w:rsidRPr="004543E0">
              <w:rPr>
                <w:noProof w:val="0"/>
                <w:color w:val="FFFFFF"/>
                <w:szCs w:val="16"/>
                <w:vertAlign w:val="subscript"/>
              </w:rPr>
              <w:t>4</w:t>
            </w:r>
            <w:r w:rsidRPr="004543E0">
              <w:rPr>
                <w:noProof w:val="0"/>
                <w:color w:val="FFFFFF"/>
                <w:szCs w:val="16"/>
              </w:rPr>
              <w:t>/head/year)</w:t>
            </w:r>
          </w:p>
        </w:tc>
        <w:tc>
          <w:tcPr>
            <w:tcW w:w="1456" w:type="dxa"/>
            <w:shd w:val="clear" w:color="auto" w:fill="1B556B"/>
            <w:vAlign w:val="bottom"/>
          </w:tcPr>
          <w:p w14:paraId="4C9D428E" w14:textId="77777777" w:rsidR="004543E0" w:rsidRPr="004543E0" w:rsidRDefault="004543E0" w:rsidP="007E3239">
            <w:pPr>
              <w:pStyle w:val="TableTextBold"/>
              <w:jc w:val="center"/>
              <w:rPr>
                <w:noProof w:val="0"/>
                <w:color w:val="FFFFFF"/>
                <w:szCs w:val="16"/>
              </w:rPr>
            </w:pPr>
            <w:r w:rsidRPr="004543E0">
              <w:rPr>
                <w:noProof w:val="0"/>
                <w:color w:val="FFFFFF"/>
                <w:szCs w:val="16"/>
              </w:rPr>
              <w:t xml:space="preserve">Non-dairy </w:t>
            </w:r>
            <w:r w:rsidRPr="004543E0">
              <w:rPr>
                <w:noProof w:val="0"/>
                <w:color w:val="FFFFFF"/>
                <w:szCs w:val="16"/>
              </w:rPr>
              <w:br/>
              <w:t>(beef) cattle</w:t>
            </w:r>
            <w:r w:rsidRPr="004543E0">
              <w:rPr>
                <w:noProof w:val="0"/>
                <w:color w:val="FFFFFF"/>
                <w:szCs w:val="16"/>
              </w:rPr>
              <w:br/>
              <w:t>(kg CH</w:t>
            </w:r>
            <w:r w:rsidRPr="004543E0">
              <w:rPr>
                <w:noProof w:val="0"/>
                <w:color w:val="FFFFFF"/>
                <w:szCs w:val="16"/>
                <w:vertAlign w:val="subscript"/>
              </w:rPr>
              <w:t>4</w:t>
            </w:r>
            <w:r w:rsidRPr="004543E0">
              <w:rPr>
                <w:noProof w:val="0"/>
                <w:color w:val="FFFFFF"/>
                <w:szCs w:val="16"/>
              </w:rPr>
              <w:t>/head/year)</w:t>
            </w:r>
          </w:p>
        </w:tc>
        <w:tc>
          <w:tcPr>
            <w:tcW w:w="1487" w:type="dxa"/>
            <w:shd w:val="clear" w:color="auto" w:fill="1B556B"/>
            <w:vAlign w:val="bottom"/>
          </w:tcPr>
          <w:p w14:paraId="480F1069" w14:textId="77777777" w:rsidR="004543E0" w:rsidRPr="004543E0" w:rsidRDefault="004543E0" w:rsidP="007E3239">
            <w:pPr>
              <w:pStyle w:val="TableTextBold"/>
              <w:jc w:val="center"/>
              <w:rPr>
                <w:noProof w:val="0"/>
                <w:color w:val="FFFFFF"/>
                <w:szCs w:val="16"/>
              </w:rPr>
            </w:pPr>
            <w:r w:rsidRPr="004543E0">
              <w:rPr>
                <w:noProof w:val="0"/>
                <w:color w:val="FFFFFF"/>
                <w:szCs w:val="16"/>
              </w:rPr>
              <w:t>Sheep</w:t>
            </w:r>
            <w:r w:rsidRPr="004543E0">
              <w:rPr>
                <w:noProof w:val="0"/>
                <w:color w:val="FFFFFF"/>
                <w:szCs w:val="16"/>
              </w:rPr>
              <w:br/>
              <w:t>(kg CH</w:t>
            </w:r>
            <w:r w:rsidRPr="004543E0">
              <w:rPr>
                <w:noProof w:val="0"/>
                <w:color w:val="FFFFFF"/>
                <w:szCs w:val="16"/>
                <w:vertAlign w:val="subscript"/>
              </w:rPr>
              <w:t>4</w:t>
            </w:r>
            <w:r w:rsidRPr="004543E0">
              <w:rPr>
                <w:noProof w:val="0"/>
                <w:color w:val="FFFFFF"/>
                <w:szCs w:val="16"/>
              </w:rPr>
              <w:t>/head/year)</w:t>
            </w:r>
          </w:p>
        </w:tc>
      </w:tr>
      <w:tr w:rsidR="004543E0" w:rsidRPr="009660EC" w14:paraId="6A4BEF2F" w14:textId="77777777" w:rsidTr="00E402B6">
        <w:trPr>
          <w:trHeight w:val="248"/>
        </w:trPr>
        <w:tc>
          <w:tcPr>
            <w:tcW w:w="2892" w:type="dxa"/>
          </w:tcPr>
          <w:p w14:paraId="55D4C087" w14:textId="77777777" w:rsidR="004543E0" w:rsidRPr="009660EC" w:rsidRDefault="004543E0" w:rsidP="007E3239">
            <w:pPr>
              <w:pStyle w:val="TableText"/>
              <w:rPr>
                <w:rFonts w:cs="Calibri"/>
                <w:szCs w:val="16"/>
              </w:rPr>
            </w:pPr>
            <w:r w:rsidRPr="009660EC">
              <w:rPr>
                <w:rFonts w:cs="Calibri"/>
                <w:szCs w:val="16"/>
              </w:rPr>
              <w:t>IPCC (2006) Tier 1 Oceania default value</w:t>
            </w:r>
          </w:p>
        </w:tc>
        <w:tc>
          <w:tcPr>
            <w:tcW w:w="2665" w:type="dxa"/>
          </w:tcPr>
          <w:p w14:paraId="5DEADEEC" w14:textId="77777777" w:rsidR="004543E0" w:rsidRPr="009660EC" w:rsidRDefault="004543E0" w:rsidP="007E3239">
            <w:pPr>
              <w:pStyle w:val="TableText"/>
              <w:jc w:val="center"/>
              <w:rPr>
                <w:rFonts w:cs="Calibri"/>
                <w:szCs w:val="16"/>
              </w:rPr>
            </w:pPr>
            <w:r w:rsidRPr="009660EC">
              <w:rPr>
                <w:rFonts w:cs="Calibri"/>
                <w:szCs w:val="16"/>
              </w:rPr>
              <w:t>90.0</w:t>
            </w:r>
          </w:p>
        </w:tc>
        <w:tc>
          <w:tcPr>
            <w:tcW w:w="1456" w:type="dxa"/>
          </w:tcPr>
          <w:p w14:paraId="1676E272" w14:textId="77777777" w:rsidR="004543E0" w:rsidRPr="009660EC" w:rsidRDefault="004543E0" w:rsidP="007E3239">
            <w:pPr>
              <w:pStyle w:val="TableText"/>
              <w:jc w:val="center"/>
              <w:rPr>
                <w:rFonts w:cs="Calibri"/>
                <w:szCs w:val="16"/>
              </w:rPr>
            </w:pPr>
            <w:r w:rsidRPr="009660EC">
              <w:rPr>
                <w:rFonts w:cs="Calibri"/>
                <w:szCs w:val="16"/>
              </w:rPr>
              <w:t>60.0</w:t>
            </w:r>
          </w:p>
        </w:tc>
        <w:tc>
          <w:tcPr>
            <w:tcW w:w="1487" w:type="dxa"/>
          </w:tcPr>
          <w:p w14:paraId="69D9F9AA" w14:textId="77777777" w:rsidR="004543E0" w:rsidRPr="009660EC" w:rsidRDefault="004543E0" w:rsidP="007E3239">
            <w:pPr>
              <w:pStyle w:val="TableText"/>
              <w:jc w:val="center"/>
              <w:rPr>
                <w:rFonts w:cs="Calibri"/>
                <w:szCs w:val="16"/>
              </w:rPr>
            </w:pPr>
            <w:r w:rsidRPr="009660EC">
              <w:rPr>
                <w:rFonts w:cs="Calibri"/>
                <w:szCs w:val="16"/>
              </w:rPr>
              <w:t>8.0</w:t>
            </w:r>
          </w:p>
        </w:tc>
      </w:tr>
      <w:tr w:rsidR="004543E0" w:rsidRPr="009660EC" w14:paraId="438B9F77" w14:textId="77777777" w:rsidTr="00E402B6">
        <w:trPr>
          <w:trHeight w:val="248"/>
        </w:trPr>
        <w:tc>
          <w:tcPr>
            <w:tcW w:w="2892" w:type="dxa"/>
            <w:shd w:val="clear" w:color="auto" w:fill="auto"/>
          </w:tcPr>
          <w:p w14:paraId="7E23C4A6" w14:textId="77777777" w:rsidR="004543E0" w:rsidRPr="009660EC" w:rsidRDefault="004543E0" w:rsidP="007E3239">
            <w:pPr>
              <w:pStyle w:val="TableText"/>
              <w:rPr>
                <w:rFonts w:cs="Calibri"/>
                <w:szCs w:val="16"/>
              </w:rPr>
            </w:pPr>
            <w:r w:rsidRPr="009660EC">
              <w:rPr>
                <w:rFonts w:cs="Calibri"/>
                <w:szCs w:val="16"/>
              </w:rPr>
              <w:t>IPCC (2006) Tier 2 net energy-based value</w:t>
            </w:r>
          </w:p>
        </w:tc>
        <w:tc>
          <w:tcPr>
            <w:tcW w:w="2665" w:type="dxa"/>
            <w:shd w:val="clear" w:color="auto" w:fill="auto"/>
          </w:tcPr>
          <w:p w14:paraId="3D3C07B2" w14:textId="77777777" w:rsidR="004543E0" w:rsidRPr="009660EC" w:rsidRDefault="004543E0" w:rsidP="007E3239">
            <w:pPr>
              <w:pStyle w:val="TableText"/>
              <w:jc w:val="center"/>
              <w:rPr>
                <w:rFonts w:cs="Calibri"/>
                <w:szCs w:val="16"/>
              </w:rPr>
            </w:pPr>
            <w:r w:rsidRPr="009660EC">
              <w:rPr>
                <w:rFonts w:cs="Calibri"/>
                <w:szCs w:val="16"/>
              </w:rPr>
              <w:t>72.5</w:t>
            </w:r>
          </w:p>
        </w:tc>
        <w:tc>
          <w:tcPr>
            <w:tcW w:w="1456" w:type="dxa"/>
            <w:shd w:val="clear" w:color="auto" w:fill="auto"/>
          </w:tcPr>
          <w:p w14:paraId="43000703" w14:textId="77777777" w:rsidR="004543E0" w:rsidRPr="009660EC" w:rsidRDefault="004543E0" w:rsidP="007E3239">
            <w:pPr>
              <w:pStyle w:val="TableText"/>
              <w:jc w:val="center"/>
              <w:rPr>
                <w:rFonts w:cs="Calibri"/>
                <w:szCs w:val="16"/>
              </w:rPr>
            </w:pPr>
            <w:r w:rsidRPr="009660EC">
              <w:rPr>
                <w:rFonts w:cs="Calibri"/>
                <w:szCs w:val="16"/>
              </w:rPr>
              <w:t>51.6</w:t>
            </w:r>
          </w:p>
        </w:tc>
        <w:tc>
          <w:tcPr>
            <w:tcW w:w="1487" w:type="dxa"/>
            <w:shd w:val="clear" w:color="auto" w:fill="auto"/>
          </w:tcPr>
          <w:p w14:paraId="7319E5A3" w14:textId="77777777" w:rsidR="004543E0" w:rsidRPr="009660EC" w:rsidRDefault="004543E0" w:rsidP="007E3239">
            <w:pPr>
              <w:pStyle w:val="TableText"/>
              <w:jc w:val="center"/>
              <w:rPr>
                <w:rFonts w:cs="Calibri"/>
                <w:szCs w:val="16"/>
              </w:rPr>
            </w:pPr>
            <w:r w:rsidRPr="009660EC">
              <w:rPr>
                <w:rFonts w:cs="Calibri"/>
                <w:szCs w:val="16"/>
              </w:rPr>
              <w:t>8.9</w:t>
            </w:r>
          </w:p>
        </w:tc>
      </w:tr>
      <w:tr w:rsidR="004543E0" w:rsidRPr="00E402B6" w14:paraId="4A51F581" w14:textId="77777777" w:rsidTr="00E402B6">
        <w:trPr>
          <w:trHeight w:val="455"/>
        </w:trPr>
        <w:tc>
          <w:tcPr>
            <w:tcW w:w="2892" w:type="dxa"/>
          </w:tcPr>
          <w:p w14:paraId="5E717ECE" w14:textId="77777777" w:rsidR="004543E0" w:rsidRPr="00E402B6" w:rsidRDefault="004543E0" w:rsidP="007E3239">
            <w:pPr>
              <w:pStyle w:val="TableText"/>
              <w:rPr>
                <w:rFonts w:cs="Calibri"/>
                <w:szCs w:val="16"/>
              </w:rPr>
            </w:pPr>
            <w:r w:rsidRPr="00E402B6">
              <w:rPr>
                <w:rFonts w:cs="Calibri"/>
                <w:szCs w:val="16"/>
              </w:rPr>
              <w:t>Australian-specific IEF 2019 value</w:t>
            </w:r>
            <w:r w:rsidRPr="00E402B6">
              <w:rPr>
                <w:rStyle w:val="FootnoteReference"/>
                <w:rFonts w:cs="Calibri"/>
                <w:sz w:val="16"/>
                <w:szCs w:val="16"/>
              </w:rPr>
              <w:footnoteReference w:id="46"/>
            </w:r>
          </w:p>
        </w:tc>
        <w:tc>
          <w:tcPr>
            <w:tcW w:w="2665" w:type="dxa"/>
          </w:tcPr>
          <w:p w14:paraId="431A983A" w14:textId="77777777" w:rsidR="004543E0" w:rsidRPr="00E402B6" w:rsidRDefault="004543E0" w:rsidP="007E3239">
            <w:pPr>
              <w:pStyle w:val="TableText"/>
              <w:jc w:val="center"/>
              <w:rPr>
                <w:rFonts w:cs="Calibri"/>
                <w:szCs w:val="16"/>
              </w:rPr>
            </w:pPr>
            <w:r w:rsidRPr="00E402B6">
              <w:rPr>
                <w:rFonts w:cs="Calibri"/>
                <w:szCs w:val="16"/>
              </w:rPr>
              <w:t>92.8</w:t>
            </w:r>
          </w:p>
        </w:tc>
        <w:tc>
          <w:tcPr>
            <w:tcW w:w="1456" w:type="dxa"/>
          </w:tcPr>
          <w:p w14:paraId="6E4EB86B" w14:textId="77777777" w:rsidR="004543E0" w:rsidRPr="00E402B6" w:rsidRDefault="004543E0" w:rsidP="007E3239">
            <w:pPr>
              <w:pStyle w:val="TableText"/>
              <w:spacing w:after="20"/>
              <w:jc w:val="center"/>
              <w:rPr>
                <w:rFonts w:cs="Calibri"/>
                <w:szCs w:val="16"/>
              </w:rPr>
            </w:pPr>
            <w:r w:rsidRPr="00E402B6">
              <w:rPr>
                <w:rFonts w:cs="Calibri"/>
                <w:szCs w:val="16"/>
              </w:rPr>
              <w:t>51.0 (pasture)</w:t>
            </w:r>
          </w:p>
          <w:p w14:paraId="5D05C86C" w14:textId="77777777" w:rsidR="004543E0" w:rsidRPr="00E402B6" w:rsidRDefault="004543E0" w:rsidP="007E3239">
            <w:pPr>
              <w:pStyle w:val="TableText"/>
              <w:spacing w:before="0"/>
              <w:jc w:val="center"/>
              <w:rPr>
                <w:rFonts w:cs="Calibri"/>
                <w:szCs w:val="16"/>
              </w:rPr>
            </w:pPr>
            <w:r w:rsidRPr="00E402B6">
              <w:rPr>
                <w:rFonts w:cs="Calibri"/>
                <w:szCs w:val="16"/>
              </w:rPr>
              <w:t>66.6 (feedlot)</w:t>
            </w:r>
          </w:p>
        </w:tc>
        <w:tc>
          <w:tcPr>
            <w:tcW w:w="1487" w:type="dxa"/>
          </w:tcPr>
          <w:p w14:paraId="41E6B246" w14:textId="77777777" w:rsidR="004543E0" w:rsidRPr="00E402B6" w:rsidRDefault="004543E0" w:rsidP="007E3239">
            <w:pPr>
              <w:pStyle w:val="TableText"/>
              <w:jc w:val="center"/>
              <w:rPr>
                <w:rFonts w:cs="Calibri"/>
                <w:szCs w:val="16"/>
              </w:rPr>
            </w:pPr>
            <w:r w:rsidRPr="00E402B6">
              <w:rPr>
                <w:rFonts w:cs="Calibri"/>
                <w:szCs w:val="16"/>
              </w:rPr>
              <w:t>6.8</w:t>
            </w:r>
          </w:p>
        </w:tc>
      </w:tr>
      <w:tr w:rsidR="004543E0" w:rsidRPr="009660EC" w14:paraId="37FC5FCF" w14:textId="77777777" w:rsidTr="00E402B6">
        <w:trPr>
          <w:trHeight w:val="36"/>
        </w:trPr>
        <w:tc>
          <w:tcPr>
            <w:tcW w:w="2892" w:type="dxa"/>
          </w:tcPr>
          <w:p w14:paraId="45443A0B" w14:textId="77777777" w:rsidR="004543E0" w:rsidRPr="009660EC" w:rsidRDefault="004543E0" w:rsidP="007E3239">
            <w:pPr>
              <w:pStyle w:val="TableText"/>
              <w:rPr>
                <w:rFonts w:cs="Calibri"/>
                <w:szCs w:val="16"/>
              </w:rPr>
            </w:pPr>
            <w:r w:rsidRPr="009660EC">
              <w:rPr>
                <w:rFonts w:cs="Calibri"/>
                <w:szCs w:val="16"/>
              </w:rPr>
              <w:t>New Zealand-specific IEF 2020 value</w:t>
            </w:r>
          </w:p>
        </w:tc>
        <w:tc>
          <w:tcPr>
            <w:tcW w:w="2665" w:type="dxa"/>
          </w:tcPr>
          <w:p w14:paraId="65738C37" w14:textId="77777777" w:rsidR="004543E0" w:rsidRPr="009660EC" w:rsidRDefault="004543E0" w:rsidP="007E3239">
            <w:pPr>
              <w:pStyle w:val="TableText"/>
              <w:spacing w:after="0"/>
              <w:jc w:val="center"/>
              <w:rPr>
                <w:rFonts w:cs="Calibri"/>
                <w:szCs w:val="16"/>
              </w:rPr>
            </w:pPr>
            <w:r w:rsidRPr="009660EC">
              <w:rPr>
                <w:rFonts w:cs="Calibri"/>
                <w:szCs w:val="16"/>
              </w:rPr>
              <w:t>90.5 (all dairy cattle, including calves)</w:t>
            </w:r>
          </w:p>
          <w:p w14:paraId="1CD6FA1E" w14:textId="77777777" w:rsidR="004543E0" w:rsidRPr="009660EC" w:rsidRDefault="004543E0" w:rsidP="007E3239">
            <w:pPr>
              <w:pStyle w:val="TableText"/>
              <w:spacing w:before="20"/>
              <w:jc w:val="center"/>
              <w:rPr>
                <w:rFonts w:cs="Calibri"/>
                <w:szCs w:val="16"/>
              </w:rPr>
            </w:pPr>
            <w:r w:rsidRPr="009660EC">
              <w:rPr>
                <w:rFonts w:cs="Calibri"/>
                <w:szCs w:val="16"/>
              </w:rPr>
              <w:t>98.4 (mature milking cattle only)</w:t>
            </w:r>
          </w:p>
        </w:tc>
        <w:tc>
          <w:tcPr>
            <w:tcW w:w="1456" w:type="dxa"/>
          </w:tcPr>
          <w:p w14:paraId="7E460618" w14:textId="77777777" w:rsidR="004543E0" w:rsidRPr="009660EC" w:rsidRDefault="004543E0" w:rsidP="007E3239">
            <w:pPr>
              <w:pStyle w:val="TableText"/>
              <w:jc w:val="center"/>
              <w:rPr>
                <w:rFonts w:cs="Calibri"/>
                <w:szCs w:val="16"/>
              </w:rPr>
            </w:pPr>
            <w:r w:rsidRPr="009660EC">
              <w:rPr>
                <w:rFonts w:cs="Calibri"/>
                <w:szCs w:val="16"/>
              </w:rPr>
              <w:t>61.6</w:t>
            </w:r>
          </w:p>
        </w:tc>
        <w:tc>
          <w:tcPr>
            <w:tcW w:w="1487" w:type="dxa"/>
          </w:tcPr>
          <w:p w14:paraId="5F64C592" w14:textId="77777777" w:rsidR="004543E0" w:rsidRPr="009660EC" w:rsidDel="00176609" w:rsidRDefault="004543E0" w:rsidP="007E3239">
            <w:pPr>
              <w:pStyle w:val="TableText"/>
              <w:jc w:val="center"/>
              <w:rPr>
                <w:rFonts w:cs="Calibri"/>
                <w:szCs w:val="16"/>
              </w:rPr>
            </w:pPr>
            <w:r w:rsidRPr="009660EC">
              <w:rPr>
                <w:rFonts w:cs="Calibri"/>
                <w:szCs w:val="16"/>
              </w:rPr>
              <w:t>12.7</w:t>
            </w:r>
          </w:p>
        </w:tc>
      </w:tr>
    </w:tbl>
    <w:p w14:paraId="67F46602" w14:textId="77777777" w:rsidR="004543E0" w:rsidRPr="009660EC" w:rsidRDefault="004543E0" w:rsidP="004543E0">
      <w:pPr>
        <w:pStyle w:val="Noteundertable"/>
        <w:rPr>
          <w:rFonts w:cs="Calibri"/>
        </w:rPr>
      </w:pPr>
      <w:r w:rsidRPr="009660EC">
        <w:rPr>
          <w:rFonts w:cs="Calibri"/>
          <w:b/>
          <w:bCs/>
        </w:rPr>
        <w:t xml:space="preserve">Note: </w:t>
      </w:r>
      <w:r w:rsidRPr="009660EC">
        <w:rPr>
          <w:rFonts w:cs="Calibri"/>
          <w:b/>
        </w:rPr>
        <w:tab/>
      </w:r>
      <w:r w:rsidRPr="009660EC">
        <w:rPr>
          <w:rFonts w:cs="Calibri"/>
        </w:rPr>
        <w:t>The IPCC (2006) value for sheep is for developed countries.</w:t>
      </w:r>
    </w:p>
    <w:p w14:paraId="25FA4474" w14:textId="77777777" w:rsidR="004543E0" w:rsidRPr="009660EC" w:rsidRDefault="004543E0" w:rsidP="004543E0">
      <w:pPr>
        <w:pStyle w:val="BodyText"/>
        <w:rPr>
          <w:rFonts w:cs="Calibri"/>
        </w:rPr>
      </w:pPr>
      <w:r w:rsidRPr="009660EC">
        <w:rPr>
          <w:rFonts w:cs="Calibri"/>
          <w:b/>
          <w:bCs/>
          <w:i/>
          <w:iCs/>
        </w:rPr>
        <w:t>Dairy cattle:</w:t>
      </w:r>
      <w:r w:rsidRPr="009660EC">
        <w:rPr>
          <w:rFonts w:cs="Calibri"/>
        </w:rPr>
        <w:t xml:space="preserve"> New Zealand’s 2020 IEF for all dairy cattle, including calves, is higher than the IPCC Tier 1 Oceania default value but lower than the Australian-specific IEF. New Zealand’s 2020 IEF for mature milking cattle is higher than the IPCC Tier 1 Oceania default value and the 2019 Australian-specific IEF.</w:t>
      </w:r>
    </w:p>
    <w:p w14:paraId="0D20D4EF" w14:textId="77777777" w:rsidR="004543E0" w:rsidRPr="009660EC" w:rsidRDefault="004543E0" w:rsidP="004543E0">
      <w:pPr>
        <w:pStyle w:val="BodyText"/>
        <w:rPr>
          <w:rFonts w:cs="Calibri"/>
        </w:rPr>
      </w:pPr>
      <w:r w:rsidRPr="009660EC">
        <w:rPr>
          <w:rFonts w:cs="Calibri"/>
        </w:rPr>
        <w:t xml:space="preserve">Although the predominantly pasture-based system in New Zealand is similar to Australian dairy cattle management, the lower IEF value could be explained by New Zealand’s higher proportion of lower liveweight cattle breeds. The 2017 Australian dairy herd comprised 74 per cent Holstein; other breeds include Jersey, Brown Swiss, Ayrshire, the Australian Red and the Illawarra (DataGene Limited, 2018). In 2020, 49.6 per cent of New Zealand’s cow population comprised a Holstein–Friesian/Jersey crossbreed, 32.5 per cent are Holstein–Friesian and 8.2 per cent are Jersey (LIC and DairyNZ, 2021). </w:t>
      </w:r>
    </w:p>
    <w:p w14:paraId="3F95908B" w14:textId="77777777" w:rsidR="004543E0" w:rsidRPr="009660EC" w:rsidRDefault="004543E0" w:rsidP="004543E0">
      <w:pPr>
        <w:pStyle w:val="BodyText"/>
        <w:rPr>
          <w:rFonts w:cs="Calibri"/>
          <w:spacing w:val="-2"/>
        </w:rPr>
      </w:pPr>
      <w:r w:rsidRPr="009660EC">
        <w:rPr>
          <w:rFonts w:cs="Calibri"/>
          <w:spacing w:val="-2"/>
        </w:rPr>
        <w:t>In New Zealand’s Tier 2 inventory model, dairy cattle encompass all cattle that are required to support the milking dairy herd. This includes calves, young growing non</w:t>
      </w:r>
      <w:r w:rsidRPr="009660EC">
        <w:rPr>
          <w:rFonts w:cs="Calibri"/>
          <w:spacing w:val="-2"/>
        </w:rPr>
        <w:noBreakHyphen/>
        <w:t xml:space="preserve">lactating heifers, dry cows and bulls. Because the emissions from these animals are included in the IEF calculations, the IEF will be lower than if only mature milking cows had been taken into account. </w:t>
      </w:r>
    </w:p>
    <w:p w14:paraId="67D6F56B" w14:textId="77777777" w:rsidR="004543E0" w:rsidRPr="009660EC" w:rsidRDefault="004543E0" w:rsidP="004543E0">
      <w:pPr>
        <w:pStyle w:val="BodyText"/>
        <w:rPr>
          <w:rFonts w:cs="Calibri"/>
        </w:rPr>
      </w:pPr>
      <w:r w:rsidRPr="009660EC">
        <w:rPr>
          <w:rFonts w:cs="Calibri"/>
        </w:rPr>
        <w:t>New Zealand’s dairy 2020 IEF is higher than the IPCC Tier 2 net energy-based value because the feeding algorithms within New Zealand’s national inventory use New Zealand-specific activity data and methodology that better reflect the pastoral-based farming systems in New Zealand.</w:t>
      </w:r>
    </w:p>
    <w:p w14:paraId="3C91EA4E" w14:textId="77777777" w:rsidR="004543E0" w:rsidRPr="009660EC" w:rsidRDefault="004543E0" w:rsidP="004543E0">
      <w:pPr>
        <w:pStyle w:val="BodyText"/>
        <w:rPr>
          <w:rFonts w:cs="Calibri"/>
        </w:rPr>
      </w:pPr>
      <w:r w:rsidRPr="009660EC">
        <w:rPr>
          <w:rFonts w:cs="Calibri"/>
          <w:b/>
          <w:bCs/>
          <w:i/>
          <w:iCs/>
        </w:rPr>
        <w:t xml:space="preserve">Non-dairy </w:t>
      </w:r>
      <w:r w:rsidRPr="009660EC">
        <w:rPr>
          <w:rFonts w:cs="Calibri"/>
          <w:b/>
          <w:bCs/>
        </w:rPr>
        <w:t>(beef)</w:t>
      </w:r>
      <w:r w:rsidRPr="009660EC">
        <w:rPr>
          <w:rFonts w:cs="Calibri"/>
          <w:b/>
          <w:bCs/>
          <w:i/>
          <w:iCs/>
        </w:rPr>
        <w:t xml:space="preserve"> cattle:</w:t>
      </w:r>
      <w:r w:rsidRPr="009660EC">
        <w:rPr>
          <w:rFonts w:cs="Calibri"/>
        </w:rPr>
        <w:t xml:space="preserve"> The New Zealand-specific 2020 IEF for </w:t>
      </w:r>
      <w:r w:rsidRPr="009660EC">
        <w:rPr>
          <w:rFonts w:cs="Calibri"/>
          <w:i/>
          <w:iCs/>
        </w:rPr>
        <w:t xml:space="preserve">Non-dairy </w:t>
      </w:r>
      <w:r w:rsidRPr="009660EC">
        <w:rPr>
          <w:rFonts w:cs="Calibri"/>
        </w:rPr>
        <w:t>(beef)</w:t>
      </w:r>
      <w:r w:rsidRPr="009660EC">
        <w:rPr>
          <w:rFonts w:cs="Calibri"/>
          <w:i/>
          <w:iCs/>
        </w:rPr>
        <w:t xml:space="preserve"> cattle</w:t>
      </w:r>
      <w:r w:rsidRPr="009660EC">
        <w:rPr>
          <w:rFonts w:cs="Calibri"/>
        </w:rPr>
        <w:t xml:space="preserve"> is similar to the IPCC Tier 1 Oceania default value but greater than the IPCC Tier 2 net energy-based value. Differences such as feed type and quality, breed and which animals are characterised as non</w:t>
      </w:r>
      <w:r w:rsidRPr="009660EC">
        <w:rPr>
          <w:rFonts w:cs="Calibri"/>
        </w:rPr>
        <w:noBreakHyphen/>
        <w:t>dairy will influence the IEFs. As explained for dairy cattle above, the main difference between the IPCC Tier 2 value and the New Zealand-specific value (apart from the different energy equations determining them) is that the feeding algorithms within New Zealand’s national inventory use New Zealand-specific activity data and methodology that better reflect New Zealand’s outdoor pastoral-based farming systems.</w:t>
      </w:r>
    </w:p>
    <w:p w14:paraId="44D68369" w14:textId="77777777" w:rsidR="004543E0" w:rsidRPr="009660EC" w:rsidRDefault="004543E0" w:rsidP="004543E0">
      <w:pPr>
        <w:pStyle w:val="BodyText"/>
        <w:keepLines/>
        <w:rPr>
          <w:rFonts w:cs="Calibri"/>
        </w:rPr>
      </w:pPr>
      <w:r w:rsidRPr="009660EC">
        <w:rPr>
          <w:rFonts w:cs="Calibri"/>
          <w:b/>
          <w:bCs/>
          <w:i/>
          <w:iCs/>
        </w:rPr>
        <w:lastRenderedPageBreak/>
        <w:t>Sheep:</w:t>
      </w:r>
      <w:r w:rsidRPr="009660EC">
        <w:rPr>
          <w:rFonts w:cs="Calibri"/>
        </w:rPr>
        <w:t xml:space="preserve"> New Zealand’s 2020 IEF for sheep is higher than the IPCC Tier 1 default value and higher than the 2019 Australian-specific IEF. This is because the annual sheep population figure used to calculate the IEF is based on the June population, in winter. This count excludes most lambs, born in spring (August–September) and raised and slaughtered during summer and early autumn (February, March and April). New Zealand does take lambs into account when determining annual enteric CH</w:t>
      </w:r>
      <w:r w:rsidRPr="009660EC">
        <w:rPr>
          <w:rFonts w:cs="Calibri"/>
          <w:vertAlign w:val="subscript"/>
        </w:rPr>
        <w:t>4</w:t>
      </w:r>
      <w:r w:rsidRPr="009660EC">
        <w:rPr>
          <w:rFonts w:cs="Calibri"/>
        </w:rPr>
        <w:t xml:space="preserve"> emissions because emissions are calculated monthly, but it does not include the lamb population when estimating the IEF. This results in the 2020 calculated sheep IEF being higher than the IPCC default IEF. The IPCC Tier 2 net energy-based sheep IEF is lower than New Zealand’s-specific 2020 sheep IEF. The difference can be explained by the same rationale as put forward for cattle.</w:t>
      </w:r>
    </w:p>
    <w:p w14:paraId="747C1B26" w14:textId="77777777" w:rsidR="004543E0" w:rsidRPr="009660EC" w:rsidRDefault="004543E0" w:rsidP="004543E0">
      <w:pPr>
        <w:pStyle w:val="Heading4"/>
      </w:pPr>
      <w:r w:rsidRPr="009660EC">
        <w:t>Verifying regional methane emissions using inverse modelling techniques</w:t>
      </w:r>
    </w:p>
    <w:p w14:paraId="582A6FFF" w14:textId="77777777" w:rsidR="004543E0" w:rsidRPr="009660EC" w:rsidRDefault="004543E0" w:rsidP="004543E0">
      <w:pPr>
        <w:pStyle w:val="BodyText"/>
      </w:pPr>
      <w:r w:rsidRPr="009660EC">
        <w:t>New Zealand has made a significant investment in developing country-specific methods and emission factors to estimate CH</w:t>
      </w:r>
      <w:r w:rsidRPr="009660EC">
        <w:rPr>
          <w:vertAlign w:val="subscript"/>
        </w:rPr>
        <w:t>4</w:t>
      </w:r>
      <w:r w:rsidRPr="009660EC">
        <w:t xml:space="preserve"> emissions from ruminant animals reflecting its importance in the inventory. Present CH</w:t>
      </w:r>
      <w:r w:rsidRPr="009660EC">
        <w:rPr>
          <w:vertAlign w:val="subscript"/>
        </w:rPr>
        <w:t>4</w:t>
      </w:r>
      <w:r w:rsidRPr="009660EC">
        <w:t xml:space="preserve"> emissions can be robustly calculated from estimates of animal populations, DMI and emission factors, but large-scale verification of the efficacy of mitigation technologies in the field present a challenge. A possible solution is inverse modelling of emissions, based on atmospheric greenhouse gas measurements from a network of observing stations, combined with models that describe the pathway the air took before arriving at the station to infer regional to national greenhouse gas emissions or uptake. The inversion is conducted by taking all existing data, the initial estimates of regional CH</w:t>
      </w:r>
      <w:r w:rsidRPr="009660EC">
        <w:rPr>
          <w:vertAlign w:val="subscript"/>
        </w:rPr>
        <w:t>4</w:t>
      </w:r>
      <w:r w:rsidRPr="009660EC">
        <w:t xml:space="preserve"> (a priori), observations and back trajectory modelling, to infer what the regional emissions of CH</w:t>
      </w:r>
      <w:r w:rsidRPr="009660EC">
        <w:rPr>
          <w:vertAlign w:val="subscript"/>
        </w:rPr>
        <w:t>4</w:t>
      </w:r>
      <w:r w:rsidRPr="009660EC">
        <w:t xml:space="preserve"> were.</w:t>
      </w:r>
    </w:p>
    <w:p w14:paraId="6F1778C1" w14:textId="77777777" w:rsidR="004543E0" w:rsidRPr="009660EC" w:rsidRDefault="004543E0" w:rsidP="004543E0">
      <w:pPr>
        <w:pStyle w:val="BodyText"/>
      </w:pPr>
      <w:r w:rsidRPr="009660EC">
        <w:t xml:space="preserve">In a recently completed research project (Geddes et al., 2020), atmospheric inverse modelling was tested on regional and national emission estimates for 2011 to 2013 and 2018 using data collected from the National Institute of Water and Atmospheric Research observing stations at Lauder, Central Otago, and Baring Head, Wellington region. </w:t>
      </w:r>
    </w:p>
    <w:p w14:paraId="72806C43" w14:textId="77777777" w:rsidR="004543E0" w:rsidRPr="009660EC" w:rsidRDefault="004543E0" w:rsidP="004543E0">
      <w:pPr>
        <w:pStyle w:val="BodyText"/>
      </w:pPr>
      <w:r w:rsidRPr="009660EC">
        <w:t>The emission estimates from this research are underpinned by several key resources: (i) an initial estimate of monthly CH</w:t>
      </w:r>
      <w:r w:rsidRPr="009660EC">
        <w:rPr>
          <w:vertAlign w:val="subscript"/>
        </w:rPr>
        <w:t>4</w:t>
      </w:r>
      <w:r w:rsidRPr="009660EC">
        <w:t xml:space="preserve"> emissions and distributions; (ii) atmospheric CH</w:t>
      </w:r>
      <w:r w:rsidRPr="009660EC">
        <w:rPr>
          <w:vertAlign w:val="subscript"/>
        </w:rPr>
        <w:t>4</w:t>
      </w:r>
      <w:r w:rsidRPr="009660EC">
        <w:t xml:space="preserve"> measurements at an inland and a background (baseline CH</w:t>
      </w:r>
      <w:r w:rsidRPr="009660EC">
        <w:rPr>
          <w:vertAlign w:val="subscript"/>
        </w:rPr>
        <w:t>4</w:t>
      </w:r>
      <w:r w:rsidRPr="009660EC">
        <w:t xml:space="preserve"> levels) site; (iii) an atmospheric transport model that describes the pathway air took before arriving at the observing sites; and (iv) an inverse method that estimates the best combination of emissions to match the available data. </w:t>
      </w:r>
    </w:p>
    <w:p w14:paraId="43C632C3" w14:textId="77777777" w:rsidR="004543E0" w:rsidRPr="009660EC" w:rsidRDefault="004543E0" w:rsidP="004543E0">
      <w:pPr>
        <w:pStyle w:val="BodyText"/>
      </w:pPr>
      <w:r w:rsidRPr="009660EC">
        <w:t>Due to the atmospheric observing network’s insensitivity to North Island CH</w:t>
      </w:r>
      <w:r w:rsidRPr="009660EC">
        <w:rPr>
          <w:vertAlign w:val="subscript"/>
        </w:rPr>
        <w:t>4</w:t>
      </w:r>
      <w:r w:rsidRPr="009660EC">
        <w:t xml:space="preserve"> emissions, calculated emissions for the South Island using the inverse model were more defensible than North Island estimates. For the South Island, estimated emissions using this technique were found to be comparable with those reported using inventory methods and data. The analysis showed that the atmospheric observations are adding new information that can be used to validate and enhance the Agriculture inventory. The inverse approach has the potential to shed light on seasonal and inter-annual variability and detect emission changes. </w:t>
      </w:r>
    </w:p>
    <w:p w14:paraId="25963663" w14:textId="77777777" w:rsidR="004543E0" w:rsidRPr="009660EC" w:rsidRDefault="004543E0" w:rsidP="004543E0">
      <w:pPr>
        <w:pStyle w:val="BodyText"/>
      </w:pPr>
      <w:r w:rsidRPr="009660EC">
        <w:t>The accuracy of these estimates will be improved by the addition of more observations, the installation of additional sites, and further quality control. An expansion of New Zealand’s national CH</w:t>
      </w:r>
      <w:r w:rsidRPr="009660EC">
        <w:rPr>
          <w:vertAlign w:val="subscript"/>
        </w:rPr>
        <w:t>4</w:t>
      </w:r>
      <w:r w:rsidRPr="009660EC">
        <w:t xml:space="preserve"> observing network from two to eight sites is under way through the CarbonWatch NZ research programme. Satellites could also be a useful adjunct to allow further analysis of historical emissions and to constrain emissions where ground-based measurements are challenging (Geddes et al., 2020).</w:t>
      </w:r>
      <w:bookmarkStart w:id="758" w:name="_Toc139253921"/>
      <w:bookmarkStart w:id="759" w:name="_Toc32570655"/>
    </w:p>
    <w:p w14:paraId="0EB13BC0" w14:textId="77777777" w:rsidR="004543E0" w:rsidRPr="009660EC" w:rsidRDefault="004543E0" w:rsidP="004543E0">
      <w:pPr>
        <w:pStyle w:val="Heading3"/>
      </w:pPr>
      <w:r w:rsidRPr="009660EC">
        <w:t>5.2.5</w:t>
      </w:r>
      <w:r w:rsidRPr="009660EC">
        <w:tab/>
        <w:t>Source-specific recalculations</w:t>
      </w:r>
      <w:bookmarkEnd w:id="758"/>
      <w:bookmarkEnd w:id="759"/>
    </w:p>
    <w:p w14:paraId="404DE8AD" w14:textId="77777777" w:rsidR="004543E0" w:rsidRPr="009660EC" w:rsidRDefault="004543E0" w:rsidP="004543E0">
      <w:pPr>
        <w:pStyle w:val="BodyText"/>
      </w:pPr>
      <w:r w:rsidRPr="009660EC">
        <w:t>All activity data were updated with the latest available Stats NZ data.</w:t>
      </w:r>
    </w:p>
    <w:p w14:paraId="07E409F8" w14:textId="77777777" w:rsidR="004543E0" w:rsidRPr="009660EC" w:rsidRDefault="004543E0" w:rsidP="004543E0">
      <w:pPr>
        <w:pStyle w:val="Heading3"/>
      </w:pPr>
      <w:bookmarkStart w:id="760" w:name="_Toc32570656"/>
      <w:bookmarkStart w:id="761" w:name="_Toc69611740"/>
      <w:bookmarkStart w:id="762" w:name="_Toc69612696"/>
      <w:bookmarkStart w:id="763" w:name="_Toc69612895"/>
      <w:bookmarkStart w:id="764" w:name="_Toc69613155"/>
      <w:bookmarkStart w:id="765" w:name="_Toc69633319"/>
      <w:bookmarkStart w:id="766" w:name="_Toc69717484"/>
      <w:bookmarkStart w:id="767" w:name="_Toc69802966"/>
      <w:bookmarkStart w:id="768" w:name="_Toc69815103"/>
      <w:bookmarkStart w:id="769" w:name="_Toc70492396"/>
      <w:bookmarkStart w:id="770" w:name="_Toc101310603"/>
      <w:bookmarkStart w:id="771" w:name="_Toc101318463"/>
      <w:bookmarkStart w:id="772" w:name="_Toc101318568"/>
      <w:bookmarkStart w:id="773" w:name="_Toc101318752"/>
      <w:bookmarkStart w:id="774" w:name="_Toc101334028"/>
      <w:bookmarkStart w:id="775" w:name="_Toc134847205"/>
      <w:bookmarkStart w:id="776" w:name="_Toc139253923"/>
      <w:bookmarkStart w:id="777" w:name="_Toc144710414"/>
      <w:bookmarkStart w:id="778" w:name="_Toc165890368"/>
      <w:bookmarkStart w:id="779" w:name="_Toc195322662"/>
      <w:bookmarkStart w:id="780" w:name="_Toc235955528"/>
      <w:bookmarkStart w:id="781" w:name="_Toc288316641"/>
      <w:bookmarkStart w:id="782" w:name="_Toc352504861"/>
      <w:bookmarkStart w:id="783" w:name="_Toc448321524"/>
      <w:bookmarkStart w:id="784" w:name="_Toc481751386"/>
      <w:bookmarkStart w:id="785" w:name="_Toc511116601"/>
      <w:bookmarkStart w:id="786" w:name="_Toc5269363"/>
      <w:r w:rsidRPr="009660EC">
        <w:lastRenderedPageBreak/>
        <w:t>5.2.6</w:t>
      </w:r>
      <w:r w:rsidRPr="009660EC">
        <w:tab/>
        <w:t>Source-specific planned improvements</w:t>
      </w:r>
      <w:bookmarkEnd w:id="760"/>
      <w:r w:rsidRPr="009660EC">
        <w:t xml:space="preserve"> </w:t>
      </w:r>
    </w:p>
    <w:p w14:paraId="525F2FC2" w14:textId="77777777" w:rsidR="004543E0" w:rsidRPr="009660EC" w:rsidRDefault="004543E0" w:rsidP="004543E0">
      <w:pPr>
        <w:pStyle w:val="BodyText"/>
        <w:rPr>
          <w:rFonts w:cs="Calibri"/>
        </w:rPr>
      </w:pPr>
      <w:r w:rsidRPr="009660EC">
        <w:rPr>
          <w:rFonts w:cs="Calibri"/>
        </w:rPr>
        <w:t>New Zealand is carrying out ongoing research to improve estimates of CH</w:t>
      </w:r>
      <w:r w:rsidRPr="009660EC">
        <w:rPr>
          <w:rFonts w:cs="Calibri"/>
          <w:vertAlign w:val="subscript"/>
        </w:rPr>
        <w:t>4</w:t>
      </w:r>
      <w:r w:rsidRPr="009660EC">
        <w:rPr>
          <w:rFonts w:cs="Calibri"/>
        </w:rPr>
        <w:t xml:space="preserve"> emissions from </w:t>
      </w:r>
      <w:r w:rsidRPr="009660EC">
        <w:rPr>
          <w:rFonts w:cs="Calibri"/>
          <w:i/>
          <w:iCs/>
        </w:rPr>
        <w:t>Enteric fermentation</w:t>
      </w:r>
      <w:r w:rsidRPr="009660EC">
        <w:rPr>
          <w:rFonts w:cs="Calibri"/>
        </w:rPr>
        <w:t>. The projects described below outline research focused specifically on the </w:t>
      </w:r>
      <w:r w:rsidRPr="009660EC">
        <w:rPr>
          <w:rFonts w:cs="Calibri"/>
          <w:i/>
          <w:iCs/>
        </w:rPr>
        <w:t>Enteric fermentation</w:t>
      </w:r>
      <w:r w:rsidRPr="009660EC">
        <w:rPr>
          <w:rFonts w:cs="Calibri"/>
        </w:rPr>
        <w:t xml:space="preserve"> reporting category of the Agriculture inventory, although several cross-cutting, broader projects will improve the accuracy of emissions in multiple categories (including </w:t>
      </w:r>
      <w:r w:rsidRPr="009660EC">
        <w:rPr>
          <w:rFonts w:cs="Calibri"/>
          <w:i/>
        </w:rPr>
        <w:t>Enteric fermentation</w:t>
      </w:r>
      <w:r w:rsidRPr="009660EC">
        <w:rPr>
          <w:rFonts w:cs="Calibri"/>
        </w:rPr>
        <w:t xml:space="preserve">, </w:t>
      </w:r>
      <w:r w:rsidRPr="009660EC">
        <w:rPr>
          <w:rFonts w:cs="Calibri"/>
          <w:i/>
        </w:rPr>
        <w:t>Manure management</w:t>
      </w:r>
      <w:r w:rsidRPr="009660EC">
        <w:rPr>
          <w:rFonts w:cs="Calibri"/>
        </w:rPr>
        <w:t xml:space="preserve"> and </w:t>
      </w:r>
      <w:r w:rsidRPr="009660EC">
        <w:rPr>
          <w:rFonts w:cs="Calibri"/>
          <w:i/>
          <w:iCs/>
        </w:rPr>
        <w:t>Agricultural soils</w:t>
      </w:r>
      <w:r w:rsidRPr="009660EC">
        <w:rPr>
          <w:rFonts w:cs="Calibri"/>
        </w:rPr>
        <w:t>) that are described in section 5.1.7.</w:t>
      </w:r>
    </w:p>
    <w:p w14:paraId="28B7F5F4" w14:textId="77777777" w:rsidR="004543E0" w:rsidRPr="009660EC" w:rsidRDefault="004543E0" w:rsidP="004543E0">
      <w:pPr>
        <w:pStyle w:val="Heading5"/>
        <w:spacing w:before="200"/>
        <w:rPr>
          <w:rFonts w:cs="Calibri"/>
        </w:rPr>
      </w:pPr>
      <w:r w:rsidRPr="009660EC">
        <w:rPr>
          <w:rFonts w:cs="Calibri"/>
        </w:rPr>
        <w:t>Methane emissions from supplemented dairy cows</w:t>
      </w:r>
    </w:p>
    <w:p w14:paraId="34634844" w14:textId="77777777" w:rsidR="004543E0" w:rsidRPr="009660EC" w:rsidRDefault="004543E0" w:rsidP="004543E0">
      <w:pPr>
        <w:pStyle w:val="BodyText"/>
      </w:pPr>
      <w:r w:rsidRPr="009660EC">
        <w:t>This project will determine CH</w:t>
      </w:r>
      <w:r w:rsidRPr="009660EC">
        <w:rPr>
          <w:vertAlign w:val="subscript"/>
        </w:rPr>
        <w:t>4</w:t>
      </w:r>
      <w:r w:rsidRPr="009660EC">
        <w:t xml:space="preserve"> emissions, using several measurement techniques, from early to mid lactation dairy cows grazing pasture and supplemented with graded levels of concentrate. This new data will be combined with relevant existing data from New Zealand and international databases on CH</w:t>
      </w:r>
      <w:r w:rsidRPr="009660EC">
        <w:rPr>
          <w:vertAlign w:val="subscript"/>
        </w:rPr>
        <w:t>4</w:t>
      </w:r>
      <w:r w:rsidRPr="009660EC">
        <w:t xml:space="preserve"> emissions from dairy cows fed pasture plus supplements. This will be used to determine if CH</w:t>
      </w:r>
      <w:r w:rsidRPr="009660EC">
        <w:rPr>
          <w:vertAlign w:val="subscript"/>
        </w:rPr>
        <w:t>4</w:t>
      </w:r>
      <w:r w:rsidRPr="009660EC">
        <w:t xml:space="preserve"> emissions differ between cattle-fed pasture alone or with supplementation.</w:t>
      </w:r>
    </w:p>
    <w:p w14:paraId="5FD81C23" w14:textId="77777777" w:rsidR="004543E0" w:rsidRPr="009660EC" w:rsidRDefault="004543E0" w:rsidP="004543E0">
      <w:pPr>
        <w:pStyle w:val="Heading5"/>
        <w:spacing w:before="200"/>
        <w:rPr>
          <w:rFonts w:cs="Calibri"/>
        </w:rPr>
      </w:pPr>
      <w:r w:rsidRPr="009660EC">
        <w:rPr>
          <w:rFonts w:cs="Calibri"/>
        </w:rPr>
        <w:t>Impact of pasture kikuyu content on enteric methane emissions</w:t>
      </w:r>
    </w:p>
    <w:p w14:paraId="00BC56D7" w14:textId="77777777" w:rsidR="004543E0" w:rsidRPr="009660EC" w:rsidRDefault="004543E0" w:rsidP="004543E0">
      <w:pPr>
        <w:pStyle w:val="BodyText"/>
      </w:pPr>
      <w:r w:rsidRPr="009660EC">
        <w:t>Kikuyu grass is dominant in pastures during summer and autumn in Northland and other coastal areas within the upper North Island of New Zealand due to its drought tolerance, and global warming is expected to increase and spread its dominance further. Indicative research has shown it to produce more CH</w:t>
      </w:r>
      <w:r w:rsidRPr="009660EC">
        <w:rPr>
          <w:vertAlign w:val="subscript"/>
        </w:rPr>
        <w:t>4</w:t>
      </w:r>
      <w:r w:rsidRPr="009660EC">
        <w:t xml:space="preserve"> per unit of organic matter intake, however, this has not been tested in New Zealand.</w:t>
      </w:r>
    </w:p>
    <w:p w14:paraId="545C2DB4" w14:textId="77777777" w:rsidR="004543E0" w:rsidRPr="009660EC" w:rsidRDefault="004543E0" w:rsidP="004543E0">
      <w:pPr>
        <w:pStyle w:val="BodyText"/>
      </w:pPr>
      <w:r w:rsidRPr="009660EC">
        <w:t>This research will compare kikuyu composition against the default values used in the inventory, as well as estimate how the management of this pasture affects CH</w:t>
      </w:r>
      <w:r w:rsidRPr="009660EC">
        <w:rPr>
          <w:vertAlign w:val="subscript"/>
        </w:rPr>
        <w:t>4</w:t>
      </w:r>
      <w:r w:rsidRPr="009660EC">
        <w:t xml:space="preserve"> production potential, using in vitro and modelling approaches.</w:t>
      </w:r>
    </w:p>
    <w:p w14:paraId="6F5223B0" w14:textId="77777777" w:rsidR="004543E0" w:rsidRPr="009660EC" w:rsidRDefault="004543E0" w:rsidP="004543E0">
      <w:pPr>
        <w:pStyle w:val="Heading5"/>
        <w:spacing w:before="200"/>
        <w:rPr>
          <w:rFonts w:cs="Calibri"/>
        </w:rPr>
      </w:pPr>
      <w:r w:rsidRPr="009660EC">
        <w:rPr>
          <w:rFonts w:cs="Calibri"/>
        </w:rPr>
        <w:t>Improving information on feeding practices in dairy farming systems</w:t>
      </w:r>
    </w:p>
    <w:p w14:paraId="3D2FFF50" w14:textId="77777777" w:rsidR="004543E0" w:rsidRPr="009660EC" w:rsidRDefault="004543E0" w:rsidP="004543E0">
      <w:pPr>
        <w:pStyle w:val="BodyText"/>
      </w:pPr>
      <w:r w:rsidRPr="009660EC">
        <w:t>It is currently assumed that New Zealand dairy cattle consume 100 per cent pasture all year round, however, more robust data is needed before other feed types are able to be incorporated into the inventory. This research will estimate the number of dairy cattle in different farm systems and the likely timing and difference in diets between 1990 and present. Typical farming systems used in New Zealand can be found on the DairyNZ website (</w:t>
      </w:r>
      <w:hyperlink r:id="rId124" w:history="1">
        <w:r w:rsidRPr="009660EC">
          <w:rPr>
            <w:rStyle w:val="Hyperlink"/>
          </w:rPr>
          <w:t>www.dairynz.co.nz/business/the-5-production-systems/</w:t>
        </w:r>
      </w:hyperlink>
      <w:r w:rsidRPr="009660EC">
        <w:t>).</w:t>
      </w:r>
    </w:p>
    <w:p w14:paraId="75627AF3" w14:textId="77777777" w:rsidR="004543E0" w:rsidRPr="009660EC" w:rsidRDefault="004543E0" w:rsidP="004543E0">
      <w:pPr>
        <w:pStyle w:val="Heading2"/>
      </w:pPr>
      <w:bookmarkStart w:id="787" w:name="_Toc32570657"/>
      <w:bookmarkStart w:id="788" w:name="_Toc36224403"/>
      <w:bookmarkStart w:id="789" w:name="_Toc68786323"/>
      <w:bookmarkStart w:id="790" w:name="_Toc99659130"/>
      <w:r w:rsidRPr="009660EC">
        <w:t>5.3</w:t>
      </w:r>
      <w:bookmarkStart w:id="791" w:name="Manure_Management"/>
      <w:r w:rsidRPr="009660EC">
        <w:tab/>
        <w:t xml:space="preserve">Manure management </w:t>
      </w:r>
      <w:bookmarkEnd w:id="791"/>
      <w:r w:rsidRPr="009660EC">
        <w:t>(CRF 3.B)</w:t>
      </w:r>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p>
    <w:p w14:paraId="5E13A2C7" w14:textId="77777777" w:rsidR="004543E0" w:rsidRPr="009660EC" w:rsidRDefault="004543E0" w:rsidP="004543E0">
      <w:pPr>
        <w:pStyle w:val="Heading3"/>
        <w:spacing w:before="240"/>
      </w:pPr>
      <w:bookmarkStart w:id="792" w:name="_Toc32570658"/>
      <w:bookmarkStart w:id="793" w:name="_Toc139253925"/>
      <w:r w:rsidRPr="009660EC">
        <w:t>5.3.1</w:t>
      </w:r>
      <w:r w:rsidRPr="009660EC">
        <w:tab/>
        <w:t>Description</w:t>
      </w:r>
      <w:bookmarkEnd w:id="792"/>
    </w:p>
    <w:p w14:paraId="325898B7" w14:textId="77777777" w:rsidR="004543E0" w:rsidRPr="009660EC" w:rsidRDefault="004543E0" w:rsidP="004543E0">
      <w:pPr>
        <w:pStyle w:val="BodyText"/>
      </w:pPr>
      <w:r w:rsidRPr="009660EC">
        <w:t xml:space="preserve">Most emissions from the </w:t>
      </w:r>
      <w:r w:rsidRPr="009660EC">
        <w:rPr>
          <w:i/>
          <w:iCs/>
        </w:rPr>
        <w:t>Manure management</w:t>
      </w:r>
      <w:r w:rsidRPr="009660EC">
        <w:t xml:space="preserve"> category are from CH</w:t>
      </w:r>
      <w:r w:rsidRPr="009660EC">
        <w:rPr>
          <w:vertAlign w:val="subscript"/>
        </w:rPr>
        <w:t>4</w:t>
      </w:r>
      <w:r w:rsidRPr="009660EC">
        <w:t xml:space="preserve"> produced during the storage and treatment of manure, and from manure deposited on pasture. The category also includes N</w:t>
      </w:r>
      <w:r w:rsidRPr="009660EC">
        <w:rPr>
          <w:vertAlign w:val="subscript"/>
        </w:rPr>
        <w:t>2</w:t>
      </w:r>
      <w:r w:rsidRPr="009660EC">
        <w:t>O emissions produced during the storage and treatment of manure. It does not include N</w:t>
      </w:r>
      <w:r w:rsidRPr="009660EC">
        <w:rPr>
          <w:vertAlign w:val="subscript"/>
        </w:rPr>
        <w:t>2</w:t>
      </w:r>
      <w:r w:rsidRPr="009660EC">
        <w:t xml:space="preserve">O emissions from the spreading of animal manure and from manure deposited directly onto pasture by grazing livestock. Instead, emissions from these sources are included in the </w:t>
      </w:r>
      <w:r w:rsidRPr="009660EC">
        <w:rPr>
          <w:i/>
          <w:iCs/>
        </w:rPr>
        <w:t>Agricultural soils</w:t>
      </w:r>
      <w:r w:rsidRPr="009660EC">
        <w:t xml:space="preserve"> category (under </w:t>
      </w:r>
      <w:r w:rsidRPr="009660EC">
        <w:rPr>
          <w:i/>
          <w:iCs/>
        </w:rPr>
        <w:t>Organic nitrogen fertilisers</w:t>
      </w:r>
      <w:r w:rsidRPr="009660EC">
        <w:t xml:space="preserve"> and </w:t>
      </w:r>
      <w:r w:rsidRPr="009660EC">
        <w:rPr>
          <w:i/>
          <w:iCs/>
        </w:rPr>
        <w:t>Urine and dung deposited by grazing animals</w:t>
      </w:r>
      <w:r w:rsidRPr="009660EC">
        <w:t xml:space="preserve"> respectively).</w:t>
      </w:r>
    </w:p>
    <w:p w14:paraId="0BE777F4" w14:textId="77777777" w:rsidR="004543E0" w:rsidRPr="009660EC" w:rsidRDefault="004543E0" w:rsidP="004543E0">
      <w:pPr>
        <w:pStyle w:val="BodyText"/>
      </w:pPr>
      <w:r w:rsidRPr="009660EC">
        <w:t>Methane is produced when manure decomposes in the absence of oxygen (anaerobic conditions). The main factors affecting CH</w:t>
      </w:r>
      <w:r w:rsidRPr="009660EC">
        <w:rPr>
          <w:vertAlign w:val="subscript"/>
        </w:rPr>
        <w:t>4</w:t>
      </w:r>
      <w:r w:rsidRPr="009660EC">
        <w:t xml:space="preserve"> emissions are the amount of manure produced and the portion of the manure that decomposes anaerobically. When manure is stored or treated as a liquid (e.g., in lagoons or ponds), it decomposes anaerobically and can produce </w:t>
      </w:r>
      <w:r w:rsidRPr="009660EC">
        <w:lastRenderedPageBreak/>
        <w:t>CH</w:t>
      </w:r>
      <w:r w:rsidRPr="009660EC">
        <w:rPr>
          <w:vertAlign w:val="subscript"/>
        </w:rPr>
        <w:t>4</w:t>
      </w:r>
      <w:r w:rsidRPr="009660EC">
        <w:t>. The temperature and the length of time spent in storage also affect the cumulative amount of CH</w:t>
      </w:r>
      <w:r w:rsidRPr="009660EC">
        <w:rPr>
          <w:vertAlign w:val="subscript"/>
        </w:rPr>
        <w:t>4</w:t>
      </w:r>
      <w:r w:rsidRPr="009660EC">
        <w:t xml:space="preserve"> produced over the inventory year. When manure is handled as a solid or when it is deposited directly on pastures, it tends to decompose under aerobic conditions and less CH</w:t>
      </w:r>
      <w:r w:rsidRPr="009660EC">
        <w:rPr>
          <w:vertAlign w:val="subscript"/>
        </w:rPr>
        <w:t>4</w:t>
      </w:r>
      <w:r w:rsidRPr="009660EC">
        <w:t xml:space="preserve"> is produced overall. </w:t>
      </w:r>
    </w:p>
    <w:p w14:paraId="49F18C74" w14:textId="77777777" w:rsidR="004543E0" w:rsidRPr="009660EC" w:rsidRDefault="004543E0" w:rsidP="004543E0">
      <w:pPr>
        <w:pStyle w:val="BodyText"/>
      </w:pPr>
      <w:r w:rsidRPr="009660EC">
        <w:t>Nitrous oxide emissions from managed manure occur directly through the processes of nitrification and denitrification of nitrogen contained in the manure. Nitrous oxide is also emitted indirectly through diffusion of oxides of nitrogen (NO</w:t>
      </w:r>
      <w:r w:rsidRPr="009660EC">
        <w:rPr>
          <w:vertAlign w:val="subscript"/>
        </w:rPr>
        <w:t>x</w:t>
      </w:r>
      <w:r w:rsidRPr="009660EC">
        <w:t>) into the surrounding air (volatilisation) or via leaching and runoff. As with CH</w:t>
      </w:r>
      <w:r w:rsidRPr="009660EC">
        <w:rPr>
          <w:vertAlign w:val="subscript"/>
        </w:rPr>
        <w:t>4</w:t>
      </w:r>
      <w:r w:rsidRPr="009660EC">
        <w:t xml:space="preserve">, the amount of manure </w:t>
      </w:r>
      <w:r w:rsidRPr="009660EC">
        <w:rPr>
          <w:spacing w:val="-2"/>
        </w:rPr>
        <w:t>N</w:t>
      </w:r>
      <w:r w:rsidRPr="009660EC">
        <w:rPr>
          <w:spacing w:val="-2"/>
          <w:vertAlign w:val="subscript"/>
        </w:rPr>
        <w:t>2</w:t>
      </w:r>
      <w:r w:rsidRPr="009660EC">
        <w:rPr>
          <w:spacing w:val="-2"/>
        </w:rPr>
        <w:t>O</w:t>
      </w:r>
      <w:r w:rsidRPr="009660EC">
        <w:t xml:space="preserve"> emissions produced depends on the system of waste management and the duration of storage. In New Zealand, most manure is deposited directly on pasture by grazing animals, with little going into manure management systems. Manure management systems comprise manure mainly from just dairy cattle. </w:t>
      </w:r>
    </w:p>
    <w:p w14:paraId="52A61C8D" w14:textId="77777777" w:rsidR="004543E0" w:rsidRPr="009660EC" w:rsidRDefault="004543E0" w:rsidP="004543E0">
      <w:pPr>
        <w:pStyle w:val="BodyText"/>
      </w:pPr>
      <w:r w:rsidRPr="009660EC">
        <w:t xml:space="preserve">Methane from </w:t>
      </w:r>
      <w:r w:rsidRPr="009660EC">
        <w:rPr>
          <w:i/>
          <w:iCs/>
        </w:rPr>
        <w:t>Manure management</w:t>
      </w:r>
      <w:r w:rsidRPr="009660EC">
        <w:t xml:space="preserve"> from dairy cattle (level and trend assessment) and sheep (trend assessment) were identified as key categories for New Zealand in 2020.</w:t>
      </w:r>
    </w:p>
    <w:p w14:paraId="49A221F7" w14:textId="77777777" w:rsidR="004543E0" w:rsidRPr="009660EC" w:rsidRDefault="004543E0" w:rsidP="004543E0">
      <w:pPr>
        <w:pStyle w:val="BodyText"/>
        <w:spacing w:before="100" w:after="100"/>
        <w:rPr>
          <w:rFonts w:cs="Calibri"/>
        </w:rPr>
      </w:pPr>
      <w:r w:rsidRPr="009660EC">
        <w:rPr>
          <w:rFonts w:cs="Calibri"/>
          <w:i/>
          <w:iCs/>
        </w:rPr>
        <w:t>Manure management</w:t>
      </w:r>
      <w:r w:rsidRPr="009660EC">
        <w:rPr>
          <w:rFonts w:cs="Calibri"/>
        </w:rPr>
        <w:t xml:space="preserve"> contributed an estimated </w:t>
      </w:r>
      <w:r w:rsidRPr="009660EC">
        <w:rPr>
          <w:rFonts w:cs="Calibri"/>
          <w:color w:val="000000"/>
        </w:rPr>
        <w:t>1,735.6 kt CO</w:t>
      </w:r>
      <w:r w:rsidRPr="009660EC">
        <w:rPr>
          <w:rFonts w:cs="Calibri"/>
          <w:color w:val="000000"/>
          <w:vertAlign w:val="subscript"/>
        </w:rPr>
        <w:t>2</w:t>
      </w:r>
      <w:r w:rsidRPr="009660EC">
        <w:rPr>
          <w:rFonts w:cs="Calibri"/>
        </w:rPr>
        <w:t>-e, representing 4.4 per cent of </w:t>
      </w:r>
      <w:r w:rsidRPr="009660EC">
        <w:rPr>
          <w:rFonts w:cs="Calibri"/>
          <w:i/>
          <w:iCs/>
        </w:rPr>
        <w:t xml:space="preserve">Agriculture </w:t>
      </w:r>
      <w:r w:rsidRPr="009660EC">
        <w:rPr>
          <w:rFonts w:cs="Calibri"/>
        </w:rPr>
        <w:t>emissions in 2020. Estimated emissions from this category consist of:</w:t>
      </w:r>
    </w:p>
    <w:p w14:paraId="6BFDEB47" w14:textId="77777777" w:rsidR="004543E0" w:rsidRPr="009660EC" w:rsidRDefault="004543E0" w:rsidP="00AB2A5C">
      <w:pPr>
        <w:pStyle w:val="Bullet"/>
        <w:numPr>
          <w:ilvl w:val="0"/>
          <w:numId w:val="18"/>
        </w:numPr>
      </w:pPr>
      <w:r w:rsidRPr="009660EC">
        <w:t>CH</w:t>
      </w:r>
      <w:r w:rsidRPr="009660EC">
        <w:rPr>
          <w:vertAlign w:val="subscript"/>
        </w:rPr>
        <w:t>4</w:t>
      </w:r>
      <w:r w:rsidRPr="009660EC">
        <w:t xml:space="preserve"> emissions (93.4 per cent of </w:t>
      </w:r>
      <w:r w:rsidRPr="009660EC">
        <w:rPr>
          <w:i/>
          <w:iCs/>
        </w:rPr>
        <w:t>Manure management</w:t>
      </w:r>
      <w:r w:rsidRPr="009660EC">
        <w:t xml:space="preserve"> emissions)</w:t>
      </w:r>
    </w:p>
    <w:p w14:paraId="0737E7E0" w14:textId="77777777" w:rsidR="004543E0" w:rsidRPr="009660EC" w:rsidRDefault="004543E0" w:rsidP="00AB2A5C">
      <w:pPr>
        <w:pStyle w:val="Bullet"/>
        <w:numPr>
          <w:ilvl w:val="0"/>
          <w:numId w:val="18"/>
        </w:numPr>
      </w:pPr>
      <w:r w:rsidRPr="009660EC">
        <w:t>N</w:t>
      </w:r>
      <w:r w:rsidRPr="009660EC">
        <w:rPr>
          <w:vertAlign w:val="subscript"/>
        </w:rPr>
        <w:t>2</w:t>
      </w:r>
      <w:r w:rsidRPr="009660EC">
        <w:t xml:space="preserve">O emissions (6.6 per cent of </w:t>
      </w:r>
      <w:r w:rsidRPr="009660EC">
        <w:rPr>
          <w:i/>
          <w:iCs/>
        </w:rPr>
        <w:t xml:space="preserve">Manure management </w:t>
      </w:r>
      <w:r w:rsidRPr="009660EC">
        <w:t>emissions).</w:t>
      </w:r>
    </w:p>
    <w:p w14:paraId="06C73134" w14:textId="77777777" w:rsidR="004543E0" w:rsidRPr="009660EC" w:rsidRDefault="004543E0" w:rsidP="004543E0">
      <w:pPr>
        <w:pStyle w:val="BodyText"/>
        <w:rPr>
          <w:rFonts w:cs="Calibri"/>
        </w:rPr>
      </w:pPr>
      <w:r w:rsidRPr="009660EC">
        <w:rPr>
          <w:rFonts w:cs="Calibri"/>
        </w:rPr>
        <w:t>In 2020, N</w:t>
      </w:r>
      <w:r w:rsidRPr="009660EC">
        <w:rPr>
          <w:rFonts w:cs="Calibri"/>
          <w:vertAlign w:val="subscript"/>
        </w:rPr>
        <w:t>2</w:t>
      </w:r>
      <w:r w:rsidRPr="009660EC">
        <w:rPr>
          <w:rFonts w:cs="Calibri"/>
        </w:rPr>
        <w:t>O emissions were 115.1 kt CO</w:t>
      </w:r>
      <w:r w:rsidRPr="009660EC">
        <w:rPr>
          <w:rFonts w:cs="Calibri"/>
          <w:vertAlign w:val="subscript"/>
        </w:rPr>
        <w:t>2</w:t>
      </w:r>
      <w:r w:rsidRPr="009660EC">
        <w:rPr>
          <w:rFonts w:cs="Calibri"/>
        </w:rPr>
        <w:t xml:space="preserve">-e (0.3 per cent of emissions from the Agriculture sector) (see table 5.3.1). In comparison, the combined direct and indirect </w:t>
      </w:r>
      <w:r w:rsidRPr="009660EC">
        <w:rPr>
          <w:rFonts w:cs="Calibri"/>
          <w:spacing w:val="-2"/>
        </w:rPr>
        <w:t>N</w:t>
      </w:r>
      <w:r w:rsidRPr="009660EC">
        <w:rPr>
          <w:rFonts w:cs="Calibri"/>
          <w:spacing w:val="-2"/>
          <w:vertAlign w:val="subscript"/>
        </w:rPr>
        <w:t>2</w:t>
      </w:r>
      <w:r w:rsidRPr="009660EC">
        <w:rPr>
          <w:rFonts w:cs="Calibri"/>
          <w:spacing w:val="-2"/>
        </w:rPr>
        <w:t>O</w:t>
      </w:r>
      <w:r w:rsidRPr="009660EC">
        <w:rPr>
          <w:rFonts w:cs="Calibri"/>
        </w:rPr>
        <w:t xml:space="preserve"> emissions from organic fertilisers (spreading of animal manure) and manure deposited directly by grazing livestock reported in the </w:t>
      </w:r>
      <w:r w:rsidRPr="009660EC">
        <w:rPr>
          <w:rFonts w:cs="Calibri"/>
          <w:i/>
          <w:iCs/>
        </w:rPr>
        <w:t>Agricultural soils</w:t>
      </w:r>
      <w:r w:rsidRPr="009660EC">
        <w:rPr>
          <w:rFonts w:cs="Calibri"/>
        </w:rPr>
        <w:t xml:space="preserve"> category totalled 5,087.2</w:t>
      </w:r>
      <w:r w:rsidRPr="009660EC" w:rsidDel="00DD5978">
        <w:rPr>
          <w:rFonts w:cs="Calibri"/>
        </w:rPr>
        <w:t xml:space="preserve"> </w:t>
      </w:r>
      <w:r w:rsidRPr="009660EC">
        <w:rPr>
          <w:rFonts w:cs="Calibri"/>
        </w:rPr>
        <w:t>kt CO</w:t>
      </w:r>
      <w:r w:rsidRPr="009660EC">
        <w:rPr>
          <w:rFonts w:cs="Calibri"/>
          <w:vertAlign w:val="subscript"/>
        </w:rPr>
        <w:t>2</w:t>
      </w:r>
      <w:r w:rsidRPr="009660EC">
        <w:rPr>
          <w:rFonts w:cs="Calibri"/>
        </w:rPr>
        <w:t>-e in 2020 (12.9 per cent of emissions from the Agriculture sector).</w:t>
      </w:r>
    </w:p>
    <w:p w14:paraId="22B74D8B" w14:textId="77777777" w:rsidR="004543E0" w:rsidRPr="009660EC" w:rsidRDefault="004543E0" w:rsidP="004543E0">
      <w:pPr>
        <w:pStyle w:val="Table"/>
        <w:rPr>
          <w:rFonts w:cs="Calibri"/>
        </w:rPr>
      </w:pPr>
      <w:bookmarkStart w:id="794" w:name="_Toc32570920"/>
      <w:bookmarkStart w:id="795" w:name="_Toc36224555"/>
      <w:bookmarkStart w:id="796" w:name="_Toc68786440"/>
      <w:bookmarkStart w:id="797" w:name="_Toc95574074"/>
      <w:bookmarkStart w:id="798" w:name="_Toc99659247"/>
      <w:r w:rsidRPr="009660EC">
        <w:rPr>
          <w:rFonts w:cs="Calibri"/>
        </w:rPr>
        <w:t>Table 5.3.1</w:t>
      </w:r>
      <w:r w:rsidRPr="009660EC">
        <w:rPr>
          <w:rFonts w:cs="Calibri"/>
        </w:rPr>
        <w:tab/>
        <w:t xml:space="preserve">Trends and relative contribution of methane and nitrous oxide emissions under the </w:t>
      </w:r>
      <w:r w:rsidRPr="009660EC">
        <w:rPr>
          <w:rFonts w:cs="Calibri"/>
          <w:i/>
          <w:iCs/>
        </w:rPr>
        <w:t>Manure management</w:t>
      </w:r>
      <w:r w:rsidRPr="009660EC">
        <w:rPr>
          <w:rFonts w:cs="Calibri"/>
        </w:rPr>
        <w:t xml:space="preserve"> category between 1990 and 2020</w:t>
      </w:r>
      <w:bookmarkEnd w:id="794"/>
      <w:bookmarkEnd w:id="795"/>
      <w:bookmarkEnd w:id="796"/>
      <w:bookmarkEnd w:id="797"/>
      <w:bookmarkEnd w:id="798"/>
    </w:p>
    <w:tbl>
      <w:tblPr>
        <w:tblW w:w="8505" w:type="dxa"/>
        <w:tblInd w:w="113" w:type="dxa"/>
        <w:tblBorders>
          <w:top w:val="single" w:sz="4" w:space="0" w:color="44546A"/>
          <w:bottom w:val="single" w:sz="4" w:space="0" w:color="44546A"/>
          <w:insideH w:val="single" w:sz="4" w:space="0" w:color="44546A"/>
        </w:tblBorders>
        <w:tblLayout w:type="fixed"/>
        <w:tblLook w:val="04A0" w:firstRow="1" w:lastRow="0" w:firstColumn="1" w:lastColumn="0" w:noHBand="0" w:noVBand="1"/>
      </w:tblPr>
      <w:tblGrid>
        <w:gridCol w:w="1948"/>
        <w:gridCol w:w="837"/>
        <w:gridCol w:w="838"/>
        <w:gridCol w:w="772"/>
        <w:gridCol w:w="1039"/>
        <w:gridCol w:w="837"/>
        <w:gridCol w:w="774"/>
        <w:gridCol w:w="733"/>
        <w:gridCol w:w="727"/>
      </w:tblGrid>
      <w:tr w:rsidR="004543E0" w:rsidRPr="009660EC" w14:paraId="73049333" w14:textId="77777777" w:rsidTr="00E402B6">
        <w:tc>
          <w:tcPr>
            <w:tcW w:w="1948" w:type="dxa"/>
            <w:vMerge w:val="restart"/>
            <w:shd w:val="clear" w:color="auto" w:fill="1B556B"/>
            <w:vAlign w:val="bottom"/>
          </w:tcPr>
          <w:p w14:paraId="6D268311" w14:textId="77777777" w:rsidR="004543E0" w:rsidRPr="004543E0" w:rsidRDefault="004543E0" w:rsidP="007E3239">
            <w:pPr>
              <w:pStyle w:val="TableTextBold"/>
              <w:keepNext/>
              <w:spacing w:before="40" w:after="40"/>
              <w:rPr>
                <w:noProof w:val="0"/>
                <w:color w:val="FFFFFF"/>
                <w:szCs w:val="16"/>
              </w:rPr>
            </w:pPr>
            <w:r w:rsidRPr="004543E0">
              <w:rPr>
                <w:noProof w:val="0"/>
                <w:color w:val="FFFFFF"/>
                <w:szCs w:val="16"/>
              </w:rPr>
              <w:t>Manure management category</w:t>
            </w:r>
          </w:p>
        </w:tc>
        <w:tc>
          <w:tcPr>
            <w:tcW w:w="1675" w:type="dxa"/>
            <w:gridSpan w:val="2"/>
            <w:shd w:val="clear" w:color="auto" w:fill="1B556B"/>
            <w:vAlign w:val="bottom"/>
          </w:tcPr>
          <w:p w14:paraId="797F1E81" w14:textId="77777777" w:rsidR="004543E0" w:rsidRPr="004543E0" w:rsidRDefault="004543E0" w:rsidP="007E3239">
            <w:pPr>
              <w:pStyle w:val="TableTextBold"/>
              <w:keepNext/>
              <w:spacing w:before="40" w:after="0"/>
              <w:jc w:val="center"/>
              <w:rPr>
                <w:noProof w:val="0"/>
                <w:color w:val="FFFFFF"/>
                <w:szCs w:val="16"/>
              </w:rPr>
            </w:pPr>
            <w:r w:rsidRPr="004543E0">
              <w:rPr>
                <w:noProof w:val="0"/>
                <w:color w:val="FFFFFF"/>
                <w:szCs w:val="16"/>
              </w:rPr>
              <w:t xml:space="preserve">Emissions </w:t>
            </w:r>
            <w:r w:rsidRPr="004543E0">
              <w:rPr>
                <w:noProof w:val="0"/>
                <w:color w:val="FFFFFF"/>
                <w:szCs w:val="16"/>
              </w:rPr>
              <w:br/>
              <w:t>(kt CO</w:t>
            </w:r>
            <w:r w:rsidRPr="004543E0">
              <w:rPr>
                <w:noProof w:val="0"/>
                <w:color w:val="FFFFFF"/>
                <w:szCs w:val="16"/>
                <w:vertAlign w:val="subscript"/>
              </w:rPr>
              <w:t>2</w:t>
            </w:r>
            <w:r w:rsidRPr="004543E0">
              <w:rPr>
                <w:noProof w:val="0"/>
                <w:color w:val="FFFFFF"/>
                <w:szCs w:val="16"/>
              </w:rPr>
              <w:t>-e)</w:t>
            </w:r>
          </w:p>
        </w:tc>
        <w:tc>
          <w:tcPr>
            <w:tcW w:w="1811" w:type="dxa"/>
            <w:gridSpan w:val="2"/>
            <w:shd w:val="clear" w:color="auto" w:fill="1B556B"/>
            <w:vAlign w:val="bottom"/>
          </w:tcPr>
          <w:p w14:paraId="1CC23A78" w14:textId="77777777" w:rsidR="004543E0" w:rsidRPr="004543E0" w:rsidRDefault="004543E0" w:rsidP="007E3239">
            <w:pPr>
              <w:pStyle w:val="TableTextBold"/>
              <w:keepNext/>
              <w:spacing w:before="40" w:after="40"/>
              <w:jc w:val="center"/>
              <w:rPr>
                <w:noProof w:val="0"/>
                <w:color w:val="FFFFFF"/>
                <w:szCs w:val="16"/>
              </w:rPr>
            </w:pPr>
            <w:r w:rsidRPr="004543E0">
              <w:rPr>
                <w:noProof w:val="0"/>
                <w:color w:val="FFFFFF"/>
                <w:szCs w:val="16"/>
              </w:rPr>
              <w:t>Change from 1990</w:t>
            </w:r>
          </w:p>
        </w:tc>
        <w:tc>
          <w:tcPr>
            <w:tcW w:w="1611" w:type="dxa"/>
            <w:gridSpan w:val="2"/>
            <w:shd w:val="clear" w:color="auto" w:fill="1B556B"/>
            <w:vAlign w:val="bottom"/>
          </w:tcPr>
          <w:p w14:paraId="6249CDF5" w14:textId="77777777" w:rsidR="004543E0" w:rsidRPr="004543E0" w:rsidRDefault="004543E0" w:rsidP="007E3239">
            <w:pPr>
              <w:pStyle w:val="TableTextBold"/>
              <w:keepNext/>
              <w:spacing w:before="40" w:after="0"/>
              <w:jc w:val="center"/>
              <w:rPr>
                <w:noProof w:val="0"/>
                <w:color w:val="FFFFFF"/>
                <w:szCs w:val="16"/>
              </w:rPr>
            </w:pPr>
            <w:r w:rsidRPr="004543E0">
              <w:rPr>
                <w:noProof w:val="0"/>
                <w:color w:val="FFFFFF"/>
                <w:szCs w:val="16"/>
              </w:rPr>
              <w:t>Share of Manure management category (%)</w:t>
            </w:r>
          </w:p>
        </w:tc>
        <w:tc>
          <w:tcPr>
            <w:tcW w:w="1460" w:type="dxa"/>
            <w:gridSpan w:val="2"/>
            <w:shd w:val="clear" w:color="auto" w:fill="1B556B"/>
            <w:vAlign w:val="bottom"/>
          </w:tcPr>
          <w:p w14:paraId="446F0AF8" w14:textId="77777777" w:rsidR="004543E0" w:rsidRPr="004543E0" w:rsidRDefault="004543E0" w:rsidP="007E3239">
            <w:pPr>
              <w:pStyle w:val="TableTextBold"/>
              <w:keepNext/>
              <w:spacing w:before="40" w:after="0"/>
              <w:jc w:val="center"/>
              <w:rPr>
                <w:noProof w:val="0"/>
                <w:color w:val="FFFFFF"/>
                <w:szCs w:val="16"/>
              </w:rPr>
            </w:pPr>
            <w:r w:rsidRPr="004543E0">
              <w:rPr>
                <w:noProof w:val="0"/>
                <w:color w:val="FFFFFF"/>
                <w:szCs w:val="16"/>
              </w:rPr>
              <w:t>Share of total Agriculture sector (%)</w:t>
            </w:r>
          </w:p>
        </w:tc>
      </w:tr>
      <w:tr w:rsidR="004543E0" w:rsidRPr="009660EC" w14:paraId="52368E3C" w14:textId="77777777" w:rsidTr="00E402B6">
        <w:tc>
          <w:tcPr>
            <w:tcW w:w="1948" w:type="dxa"/>
            <w:vMerge/>
            <w:shd w:val="clear" w:color="auto" w:fill="1B556B"/>
            <w:vAlign w:val="bottom"/>
          </w:tcPr>
          <w:p w14:paraId="118FF3D5" w14:textId="77777777" w:rsidR="004543E0" w:rsidRPr="004543E0" w:rsidRDefault="004543E0" w:rsidP="007E3239">
            <w:pPr>
              <w:keepNext/>
              <w:spacing w:before="40" w:after="40"/>
              <w:rPr>
                <w:rFonts w:cs="Calibri"/>
                <w:b/>
                <w:color w:val="FFFFFF"/>
                <w:sz w:val="16"/>
                <w:szCs w:val="16"/>
              </w:rPr>
            </w:pPr>
          </w:p>
        </w:tc>
        <w:tc>
          <w:tcPr>
            <w:tcW w:w="837" w:type="dxa"/>
            <w:shd w:val="clear" w:color="auto" w:fill="1B556B"/>
            <w:vAlign w:val="bottom"/>
          </w:tcPr>
          <w:p w14:paraId="5A89DFDC" w14:textId="77777777" w:rsidR="004543E0" w:rsidRPr="004543E0" w:rsidRDefault="004543E0" w:rsidP="007E3239">
            <w:pPr>
              <w:pStyle w:val="TableTextBold"/>
              <w:keepNext/>
              <w:spacing w:before="0" w:after="40"/>
              <w:jc w:val="center"/>
              <w:rPr>
                <w:noProof w:val="0"/>
                <w:color w:val="FFFFFF"/>
                <w:szCs w:val="16"/>
              </w:rPr>
            </w:pPr>
            <w:r w:rsidRPr="004543E0">
              <w:rPr>
                <w:noProof w:val="0"/>
                <w:color w:val="FFFFFF"/>
                <w:szCs w:val="16"/>
              </w:rPr>
              <w:t>1990</w:t>
            </w:r>
          </w:p>
        </w:tc>
        <w:tc>
          <w:tcPr>
            <w:tcW w:w="838" w:type="dxa"/>
            <w:shd w:val="clear" w:color="auto" w:fill="1B556B"/>
            <w:vAlign w:val="bottom"/>
          </w:tcPr>
          <w:p w14:paraId="765DDE93" w14:textId="77777777" w:rsidR="004543E0" w:rsidRPr="004543E0" w:rsidRDefault="004543E0" w:rsidP="007E3239">
            <w:pPr>
              <w:pStyle w:val="TableTextBold"/>
              <w:keepNext/>
              <w:spacing w:before="40" w:after="40"/>
              <w:jc w:val="center"/>
              <w:rPr>
                <w:noProof w:val="0"/>
                <w:color w:val="FFFFFF"/>
                <w:szCs w:val="16"/>
              </w:rPr>
            </w:pPr>
            <w:r w:rsidRPr="004543E0">
              <w:rPr>
                <w:noProof w:val="0"/>
                <w:color w:val="FFFFFF"/>
                <w:szCs w:val="16"/>
              </w:rPr>
              <w:t>2020</w:t>
            </w:r>
          </w:p>
        </w:tc>
        <w:tc>
          <w:tcPr>
            <w:tcW w:w="772" w:type="dxa"/>
            <w:shd w:val="clear" w:color="auto" w:fill="1B556B"/>
            <w:vAlign w:val="bottom"/>
          </w:tcPr>
          <w:p w14:paraId="0A309D93" w14:textId="77777777" w:rsidR="004543E0" w:rsidRPr="004543E0" w:rsidRDefault="004543E0" w:rsidP="007E3239">
            <w:pPr>
              <w:pStyle w:val="TableTextBold"/>
              <w:keepNext/>
              <w:spacing w:before="0" w:after="40"/>
              <w:jc w:val="center"/>
              <w:rPr>
                <w:noProof w:val="0"/>
                <w:color w:val="FFFFFF"/>
                <w:szCs w:val="16"/>
              </w:rPr>
            </w:pPr>
            <w:r w:rsidRPr="004543E0">
              <w:rPr>
                <w:noProof w:val="0"/>
                <w:color w:val="FFFFFF"/>
                <w:szCs w:val="16"/>
              </w:rPr>
              <w:t>%</w:t>
            </w:r>
          </w:p>
        </w:tc>
        <w:tc>
          <w:tcPr>
            <w:tcW w:w="1039" w:type="dxa"/>
            <w:shd w:val="clear" w:color="auto" w:fill="1B556B"/>
            <w:vAlign w:val="bottom"/>
          </w:tcPr>
          <w:p w14:paraId="0619C0BC" w14:textId="77777777" w:rsidR="004543E0" w:rsidRPr="004543E0" w:rsidRDefault="004543E0" w:rsidP="007E3239">
            <w:pPr>
              <w:pStyle w:val="TableTextBold"/>
              <w:keepNext/>
              <w:spacing w:before="0" w:after="0"/>
              <w:jc w:val="center"/>
              <w:rPr>
                <w:noProof w:val="0"/>
                <w:color w:val="FFFFFF"/>
                <w:szCs w:val="16"/>
              </w:rPr>
            </w:pPr>
            <w:r w:rsidRPr="004543E0">
              <w:rPr>
                <w:noProof w:val="0"/>
                <w:color w:val="FFFFFF"/>
                <w:szCs w:val="16"/>
              </w:rPr>
              <w:t>Difference</w:t>
            </w:r>
            <w:r w:rsidRPr="004543E0">
              <w:rPr>
                <w:noProof w:val="0"/>
                <w:color w:val="FFFFFF"/>
                <w:szCs w:val="16"/>
              </w:rPr>
              <w:br/>
              <w:t>(kt CO</w:t>
            </w:r>
            <w:r w:rsidRPr="004543E0">
              <w:rPr>
                <w:noProof w:val="0"/>
                <w:color w:val="FFFFFF"/>
                <w:szCs w:val="16"/>
                <w:vertAlign w:val="subscript"/>
              </w:rPr>
              <w:t>2</w:t>
            </w:r>
            <w:r w:rsidRPr="004543E0">
              <w:rPr>
                <w:noProof w:val="0"/>
                <w:color w:val="FFFFFF"/>
                <w:szCs w:val="16"/>
              </w:rPr>
              <w:t>-e)</w:t>
            </w:r>
          </w:p>
        </w:tc>
        <w:tc>
          <w:tcPr>
            <w:tcW w:w="837" w:type="dxa"/>
            <w:shd w:val="clear" w:color="auto" w:fill="1B556B"/>
            <w:vAlign w:val="bottom"/>
          </w:tcPr>
          <w:p w14:paraId="2503A5D8" w14:textId="77777777" w:rsidR="004543E0" w:rsidRPr="004543E0" w:rsidRDefault="004543E0" w:rsidP="007E3239">
            <w:pPr>
              <w:pStyle w:val="TableTextBold"/>
              <w:keepNext/>
              <w:spacing w:before="0" w:after="40"/>
              <w:jc w:val="right"/>
              <w:rPr>
                <w:noProof w:val="0"/>
                <w:color w:val="FFFFFF"/>
                <w:szCs w:val="16"/>
              </w:rPr>
            </w:pPr>
            <w:r w:rsidRPr="004543E0">
              <w:rPr>
                <w:noProof w:val="0"/>
                <w:color w:val="FFFFFF"/>
                <w:szCs w:val="16"/>
              </w:rPr>
              <w:t>1990</w:t>
            </w:r>
          </w:p>
        </w:tc>
        <w:tc>
          <w:tcPr>
            <w:tcW w:w="774" w:type="dxa"/>
            <w:shd w:val="clear" w:color="auto" w:fill="1B556B"/>
            <w:vAlign w:val="bottom"/>
          </w:tcPr>
          <w:p w14:paraId="17FE1621" w14:textId="77777777" w:rsidR="004543E0" w:rsidRPr="004543E0" w:rsidRDefault="004543E0" w:rsidP="007E3239">
            <w:pPr>
              <w:pStyle w:val="TableTextBold"/>
              <w:keepNext/>
              <w:spacing w:before="0" w:after="40"/>
              <w:jc w:val="right"/>
              <w:rPr>
                <w:noProof w:val="0"/>
                <w:color w:val="FFFFFF"/>
                <w:szCs w:val="16"/>
              </w:rPr>
            </w:pPr>
            <w:r w:rsidRPr="004543E0">
              <w:rPr>
                <w:noProof w:val="0"/>
                <w:color w:val="FFFFFF"/>
                <w:szCs w:val="16"/>
              </w:rPr>
              <w:t>2020</w:t>
            </w:r>
          </w:p>
        </w:tc>
        <w:tc>
          <w:tcPr>
            <w:tcW w:w="733" w:type="dxa"/>
            <w:shd w:val="clear" w:color="auto" w:fill="1B556B"/>
            <w:vAlign w:val="bottom"/>
          </w:tcPr>
          <w:p w14:paraId="09A3AE7B" w14:textId="77777777" w:rsidR="004543E0" w:rsidRPr="004543E0" w:rsidRDefault="004543E0" w:rsidP="007E3239">
            <w:pPr>
              <w:pStyle w:val="TableTextBold"/>
              <w:keepNext/>
              <w:spacing w:before="0" w:after="40"/>
              <w:jc w:val="right"/>
              <w:rPr>
                <w:noProof w:val="0"/>
                <w:color w:val="FFFFFF"/>
                <w:szCs w:val="16"/>
              </w:rPr>
            </w:pPr>
            <w:r w:rsidRPr="004543E0">
              <w:rPr>
                <w:noProof w:val="0"/>
                <w:color w:val="FFFFFF"/>
                <w:szCs w:val="16"/>
              </w:rPr>
              <w:t>1990</w:t>
            </w:r>
          </w:p>
        </w:tc>
        <w:tc>
          <w:tcPr>
            <w:tcW w:w="727" w:type="dxa"/>
            <w:shd w:val="clear" w:color="auto" w:fill="1B556B"/>
            <w:vAlign w:val="bottom"/>
          </w:tcPr>
          <w:p w14:paraId="67696AE4" w14:textId="77777777" w:rsidR="004543E0" w:rsidRPr="004543E0" w:rsidRDefault="004543E0" w:rsidP="007E3239">
            <w:pPr>
              <w:pStyle w:val="TableTextBold"/>
              <w:keepNext/>
              <w:spacing w:before="40" w:after="40"/>
              <w:jc w:val="right"/>
              <w:rPr>
                <w:noProof w:val="0"/>
                <w:color w:val="FFFFFF"/>
                <w:szCs w:val="16"/>
              </w:rPr>
            </w:pPr>
            <w:r w:rsidRPr="004543E0">
              <w:rPr>
                <w:noProof w:val="0"/>
                <w:color w:val="FFFFFF"/>
                <w:szCs w:val="16"/>
              </w:rPr>
              <w:t>2020</w:t>
            </w:r>
          </w:p>
        </w:tc>
      </w:tr>
      <w:tr w:rsidR="004543E0" w:rsidRPr="009660EC" w14:paraId="7BB3B5BF" w14:textId="77777777" w:rsidTr="00E402B6">
        <w:tc>
          <w:tcPr>
            <w:tcW w:w="1948" w:type="dxa"/>
            <w:shd w:val="clear" w:color="auto" w:fill="auto"/>
          </w:tcPr>
          <w:p w14:paraId="11FB72BC" w14:textId="77777777" w:rsidR="004543E0" w:rsidRPr="009660EC" w:rsidRDefault="004543E0" w:rsidP="007E3239">
            <w:pPr>
              <w:pStyle w:val="TableText"/>
              <w:keepNext/>
              <w:rPr>
                <w:rFonts w:cs="Calibri"/>
                <w:szCs w:val="16"/>
              </w:rPr>
            </w:pPr>
            <w:r w:rsidRPr="009660EC">
              <w:rPr>
                <w:rFonts w:cs="Calibri"/>
                <w:szCs w:val="16"/>
              </w:rPr>
              <w:t>Methane (CRF 3.B.(a))</w:t>
            </w:r>
          </w:p>
        </w:tc>
        <w:tc>
          <w:tcPr>
            <w:tcW w:w="837" w:type="dxa"/>
            <w:shd w:val="clear" w:color="auto" w:fill="auto"/>
          </w:tcPr>
          <w:p w14:paraId="766D4F17" w14:textId="77777777" w:rsidR="004543E0" w:rsidRPr="009660EC" w:rsidRDefault="004543E0" w:rsidP="007E3239">
            <w:pPr>
              <w:pStyle w:val="TableText"/>
              <w:keepNext/>
              <w:jc w:val="right"/>
              <w:rPr>
                <w:rFonts w:cs="Calibri"/>
                <w:szCs w:val="16"/>
              </w:rPr>
            </w:pPr>
            <w:r w:rsidRPr="009660EC">
              <w:t>727.8</w:t>
            </w:r>
          </w:p>
        </w:tc>
        <w:tc>
          <w:tcPr>
            <w:tcW w:w="838" w:type="dxa"/>
            <w:shd w:val="clear" w:color="auto" w:fill="auto"/>
          </w:tcPr>
          <w:p w14:paraId="5A80196B" w14:textId="77777777" w:rsidR="004543E0" w:rsidRPr="009660EC" w:rsidRDefault="004543E0" w:rsidP="007E3239">
            <w:pPr>
              <w:pStyle w:val="TableText"/>
              <w:keepNext/>
              <w:jc w:val="right"/>
              <w:rPr>
                <w:rFonts w:cs="Calibri"/>
                <w:szCs w:val="16"/>
              </w:rPr>
            </w:pPr>
            <w:r w:rsidRPr="009660EC">
              <w:t>1,620.5</w:t>
            </w:r>
          </w:p>
        </w:tc>
        <w:tc>
          <w:tcPr>
            <w:tcW w:w="772" w:type="dxa"/>
            <w:shd w:val="clear" w:color="auto" w:fill="auto"/>
          </w:tcPr>
          <w:p w14:paraId="7F5C05A5" w14:textId="77777777" w:rsidR="004543E0" w:rsidRPr="009660EC" w:rsidRDefault="004543E0" w:rsidP="007E3239">
            <w:pPr>
              <w:pStyle w:val="TableText"/>
              <w:keepNext/>
              <w:jc w:val="right"/>
              <w:rPr>
                <w:rFonts w:cs="Calibri"/>
                <w:szCs w:val="16"/>
              </w:rPr>
            </w:pPr>
            <w:r w:rsidRPr="009660EC">
              <w:t>122.7%</w:t>
            </w:r>
          </w:p>
        </w:tc>
        <w:tc>
          <w:tcPr>
            <w:tcW w:w="1039" w:type="dxa"/>
            <w:shd w:val="clear" w:color="auto" w:fill="auto"/>
          </w:tcPr>
          <w:p w14:paraId="08517ABD" w14:textId="77777777" w:rsidR="004543E0" w:rsidRPr="009660EC" w:rsidRDefault="004543E0" w:rsidP="007E3239">
            <w:pPr>
              <w:pStyle w:val="TableText"/>
              <w:keepNext/>
              <w:jc w:val="right"/>
              <w:rPr>
                <w:rFonts w:cs="Calibri"/>
                <w:szCs w:val="16"/>
              </w:rPr>
            </w:pPr>
            <w:r w:rsidRPr="009660EC">
              <w:t>892.7</w:t>
            </w:r>
          </w:p>
        </w:tc>
        <w:tc>
          <w:tcPr>
            <w:tcW w:w="837" w:type="dxa"/>
            <w:shd w:val="clear" w:color="auto" w:fill="auto"/>
          </w:tcPr>
          <w:p w14:paraId="38DE5870" w14:textId="77777777" w:rsidR="004543E0" w:rsidRPr="009660EC" w:rsidRDefault="004543E0" w:rsidP="007E3239">
            <w:pPr>
              <w:pStyle w:val="TableText"/>
              <w:keepNext/>
              <w:jc w:val="right"/>
              <w:rPr>
                <w:rFonts w:cs="Calibri"/>
                <w:szCs w:val="16"/>
              </w:rPr>
            </w:pPr>
            <w:r w:rsidRPr="009660EC">
              <w:t>93.5%</w:t>
            </w:r>
          </w:p>
        </w:tc>
        <w:tc>
          <w:tcPr>
            <w:tcW w:w="774" w:type="dxa"/>
            <w:shd w:val="clear" w:color="auto" w:fill="auto"/>
          </w:tcPr>
          <w:p w14:paraId="44F387DF" w14:textId="77777777" w:rsidR="004543E0" w:rsidRPr="009660EC" w:rsidRDefault="004543E0" w:rsidP="007E3239">
            <w:pPr>
              <w:pStyle w:val="TableText"/>
              <w:keepNext/>
              <w:jc w:val="right"/>
              <w:rPr>
                <w:rFonts w:cs="Calibri"/>
                <w:szCs w:val="16"/>
              </w:rPr>
            </w:pPr>
            <w:r w:rsidRPr="009660EC">
              <w:t>93.4%</w:t>
            </w:r>
          </w:p>
        </w:tc>
        <w:tc>
          <w:tcPr>
            <w:tcW w:w="733" w:type="dxa"/>
            <w:shd w:val="clear" w:color="auto" w:fill="auto"/>
          </w:tcPr>
          <w:p w14:paraId="4DB03EEB" w14:textId="77777777" w:rsidR="004543E0" w:rsidRPr="009660EC" w:rsidRDefault="004543E0" w:rsidP="007E3239">
            <w:pPr>
              <w:pStyle w:val="TableText"/>
              <w:keepNext/>
              <w:jc w:val="right"/>
              <w:rPr>
                <w:rFonts w:cs="Calibri"/>
                <w:szCs w:val="16"/>
              </w:rPr>
            </w:pPr>
            <w:r w:rsidRPr="009660EC">
              <w:t>2.2%</w:t>
            </w:r>
          </w:p>
        </w:tc>
        <w:tc>
          <w:tcPr>
            <w:tcW w:w="727" w:type="dxa"/>
            <w:shd w:val="clear" w:color="auto" w:fill="auto"/>
          </w:tcPr>
          <w:p w14:paraId="7D6A8D17" w14:textId="77777777" w:rsidR="004543E0" w:rsidRPr="009660EC" w:rsidRDefault="004543E0" w:rsidP="007E3239">
            <w:pPr>
              <w:pStyle w:val="TableText"/>
              <w:keepNext/>
              <w:jc w:val="right"/>
              <w:rPr>
                <w:rFonts w:cs="Calibri"/>
                <w:szCs w:val="16"/>
              </w:rPr>
            </w:pPr>
            <w:r w:rsidRPr="009660EC">
              <w:t>4.1%</w:t>
            </w:r>
          </w:p>
        </w:tc>
      </w:tr>
      <w:tr w:rsidR="004543E0" w:rsidRPr="009660EC" w14:paraId="395ACFEE" w14:textId="77777777" w:rsidTr="00E402B6">
        <w:tc>
          <w:tcPr>
            <w:tcW w:w="1948" w:type="dxa"/>
            <w:shd w:val="clear" w:color="auto" w:fill="auto"/>
          </w:tcPr>
          <w:p w14:paraId="38504D1C" w14:textId="77777777" w:rsidR="004543E0" w:rsidRPr="009660EC" w:rsidRDefault="004543E0" w:rsidP="007E3239">
            <w:pPr>
              <w:pStyle w:val="TableText"/>
              <w:rPr>
                <w:rFonts w:cs="Calibri"/>
                <w:szCs w:val="16"/>
              </w:rPr>
            </w:pPr>
            <w:r w:rsidRPr="009660EC">
              <w:rPr>
                <w:rFonts w:cs="Calibri"/>
                <w:szCs w:val="16"/>
              </w:rPr>
              <w:t>Nitrous oxide (</w:t>
            </w:r>
            <w:r w:rsidRPr="009660EC">
              <w:rPr>
                <w:rFonts w:cs="Calibri"/>
                <w:spacing w:val="-2"/>
                <w:szCs w:val="16"/>
              </w:rPr>
              <w:t>CRF 3.B.(b))</w:t>
            </w:r>
          </w:p>
        </w:tc>
        <w:tc>
          <w:tcPr>
            <w:tcW w:w="837" w:type="dxa"/>
            <w:shd w:val="clear" w:color="auto" w:fill="auto"/>
          </w:tcPr>
          <w:p w14:paraId="7BAAF439" w14:textId="77777777" w:rsidR="004543E0" w:rsidRPr="009660EC" w:rsidRDefault="004543E0" w:rsidP="007E3239">
            <w:pPr>
              <w:pStyle w:val="TableText"/>
              <w:jc w:val="right"/>
              <w:rPr>
                <w:rFonts w:cs="Calibri"/>
                <w:szCs w:val="16"/>
              </w:rPr>
            </w:pPr>
            <w:r w:rsidRPr="009660EC">
              <w:t>50.7</w:t>
            </w:r>
          </w:p>
        </w:tc>
        <w:tc>
          <w:tcPr>
            <w:tcW w:w="838" w:type="dxa"/>
            <w:shd w:val="clear" w:color="auto" w:fill="auto"/>
          </w:tcPr>
          <w:p w14:paraId="686832BB" w14:textId="77777777" w:rsidR="004543E0" w:rsidRPr="009660EC" w:rsidRDefault="004543E0" w:rsidP="007E3239">
            <w:pPr>
              <w:pStyle w:val="TableText"/>
              <w:jc w:val="right"/>
              <w:rPr>
                <w:rFonts w:cs="Calibri"/>
                <w:szCs w:val="16"/>
              </w:rPr>
            </w:pPr>
            <w:r w:rsidRPr="009660EC">
              <w:t>115.1</w:t>
            </w:r>
          </w:p>
        </w:tc>
        <w:tc>
          <w:tcPr>
            <w:tcW w:w="772" w:type="dxa"/>
            <w:shd w:val="clear" w:color="auto" w:fill="auto"/>
          </w:tcPr>
          <w:p w14:paraId="006F0BE0" w14:textId="77777777" w:rsidR="004543E0" w:rsidRPr="009660EC" w:rsidRDefault="004543E0" w:rsidP="007E3239">
            <w:pPr>
              <w:pStyle w:val="TableText"/>
              <w:jc w:val="right"/>
              <w:rPr>
                <w:rFonts w:cs="Calibri"/>
                <w:szCs w:val="16"/>
              </w:rPr>
            </w:pPr>
            <w:r w:rsidRPr="009660EC">
              <w:t>127.0%</w:t>
            </w:r>
          </w:p>
        </w:tc>
        <w:tc>
          <w:tcPr>
            <w:tcW w:w="1039" w:type="dxa"/>
            <w:shd w:val="clear" w:color="auto" w:fill="auto"/>
          </w:tcPr>
          <w:p w14:paraId="3F273EFB" w14:textId="77777777" w:rsidR="004543E0" w:rsidRPr="009660EC" w:rsidRDefault="004543E0" w:rsidP="007E3239">
            <w:pPr>
              <w:pStyle w:val="TableText"/>
              <w:jc w:val="right"/>
              <w:rPr>
                <w:rFonts w:cs="Calibri"/>
                <w:szCs w:val="16"/>
              </w:rPr>
            </w:pPr>
            <w:r w:rsidRPr="009660EC">
              <w:t>64.4</w:t>
            </w:r>
          </w:p>
        </w:tc>
        <w:tc>
          <w:tcPr>
            <w:tcW w:w="837" w:type="dxa"/>
            <w:shd w:val="clear" w:color="auto" w:fill="auto"/>
          </w:tcPr>
          <w:p w14:paraId="5FA7FC46" w14:textId="77777777" w:rsidR="004543E0" w:rsidRPr="009660EC" w:rsidRDefault="004543E0" w:rsidP="007E3239">
            <w:pPr>
              <w:pStyle w:val="TableText"/>
              <w:jc w:val="right"/>
              <w:rPr>
                <w:rFonts w:cs="Calibri"/>
                <w:szCs w:val="16"/>
              </w:rPr>
            </w:pPr>
            <w:r w:rsidRPr="009660EC">
              <w:t>6.5%</w:t>
            </w:r>
          </w:p>
        </w:tc>
        <w:tc>
          <w:tcPr>
            <w:tcW w:w="774" w:type="dxa"/>
            <w:shd w:val="clear" w:color="auto" w:fill="auto"/>
          </w:tcPr>
          <w:p w14:paraId="4A85ED9C" w14:textId="77777777" w:rsidR="004543E0" w:rsidRPr="009660EC" w:rsidRDefault="004543E0" w:rsidP="007E3239">
            <w:pPr>
              <w:pStyle w:val="TableText"/>
              <w:jc w:val="right"/>
              <w:rPr>
                <w:rFonts w:cs="Calibri"/>
                <w:szCs w:val="16"/>
              </w:rPr>
            </w:pPr>
            <w:r w:rsidRPr="009660EC">
              <w:t>6.6%</w:t>
            </w:r>
          </w:p>
        </w:tc>
        <w:tc>
          <w:tcPr>
            <w:tcW w:w="733" w:type="dxa"/>
            <w:shd w:val="clear" w:color="auto" w:fill="auto"/>
          </w:tcPr>
          <w:p w14:paraId="0EF94DE5" w14:textId="77777777" w:rsidR="004543E0" w:rsidRPr="009660EC" w:rsidRDefault="004543E0" w:rsidP="007E3239">
            <w:pPr>
              <w:pStyle w:val="TableText"/>
              <w:jc w:val="right"/>
              <w:rPr>
                <w:rFonts w:cs="Calibri"/>
                <w:szCs w:val="16"/>
              </w:rPr>
            </w:pPr>
            <w:r w:rsidRPr="009660EC">
              <w:t>0.2%</w:t>
            </w:r>
          </w:p>
        </w:tc>
        <w:tc>
          <w:tcPr>
            <w:tcW w:w="727" w:type="dxa"/>
            <w:shd w:val="clear" w:color="auto" w:fill="auto"/>
          </w:tcPr>
          <w:p w14:paraId="0D2E03F7" w14:textId="77777777" w:rsidR="004543E0" w:rsidRPr="009660EC" w:rsidRDefault="004543E0" w:rsidP="007E3239">
            <w:pPr>
              <w:pStyle w:val="TableText"/>
              <w:jc w:val="right"/>
              <w:rPr>
                <w:rFonts w:cs="Calibri"/>
                <w:szCs w:val="16"/>
              </w:rPr>
            </w:pPr>
            <w:r w:rsidRPr="009660EC">
              <w:t>0.3%</w:t>
            </w:r>
          </w:p>
        </w:tc>
      </w:tr>
    </w:tbl>
    <w:p w14:paraId="6BE7B5F3" w14:textId="77777777" w:rsidR="004543E0" w:rsidRPr="009660EC" w:rsidRDefault="004543E0" w:rsidP="004543E0">
      <w:pPr>
        <w:pStyle w:val="BodyText"/>
        <w:spacing w:before="240"/>
        <w:rPr>
          <w:rFonts w:cs="Calibri"/>
        </w:rPr>
      </w:pPr>
      <w:r w:rsidRPr="009660EC">
        <w:rPr>
          <w:rFonts w:cs="Calibri"/>
        </w:rPr>
        <w:t xml:space="preserve">Table 5.3.2 shows the distribution of livestock waste across animal waste management systems in New Zealand. All beef cattle, sheep and deer manure is deposited directly onto pasture. Dairy cattle have a small amount of excreta (7.3 per cent) stored in anaerobic lagoon waste systems (Rollo et al., 2017). This is based on the proportion of time dairy cattle spend on pasture compared with the time they spend in the milking shed. </w:t>
      </w:r>
    </w:p>
    <w:p w14:paraId="333C18F9" w14:textId="77777777" w:rsidR="004543E0" w:rsidRPr="009660EC" w:rsidRDefault="004543E0" w:rsidP="004543E0">
      <w:pPr>
        <w:pStyle w:val="BodyText"/>
        <w:rPr>
          <w:rFonts w:cs="Calibri"/>
        </w:rPr>
      </w:pPr>
      <w:r w:rsidRPr="009660EC">
        <w:rPr>
          <w:rFonts w:cs="Calibri"/>
        </w:rPr>
        <w:t xml:space="preserve">The minor livestock categories of </w:t>
      </w:r>
      <w:r w:rsidRPr="009660EC">
        <w:rPr>
          <w:rFonts w:cs="Calibri"/>
          <w:i/>
          <w:iCs/>
        </w:rPr>
        <w:t>Goats</w:t>
      </w:r>
      <w:r w:rsidRPr="009660EC">
        <w:rPr>
          <w:rFonts w:cs="Calibri"/>
        </w:rPr>
        <w:t xml:space="preserve">, </w:t>
      </w:r>
      <w:r w:rsidRPr="009660EC">
        <w:rPr>
          <w:rFonts w:cs="Calibri"/>
          <w:i/>
          <w:iCs/>
        </w:rPr>
        <w:t>Horses</w:t>
      </w:r>
      <w:r w:rsidRPr="009660EC">
        <w:rPr>
          <w:rFonts w:cs="Calibri"/>
        </w:rPr>
        <w:t xml:space="preserve">, </w:t>
      </w:r>
      <w:r w:rsidRPr="009660EC">
        <w:rPr>
          <w:rFonts w:cs="Calibri"/>
          <w:i/>
          <w:iCs/>
        </w:rPr>
        <w:t>Mules and asses</w:t>
      </w:r>
      <w:r w:rsidRPr="009660EC">
        <w:rPr>
          <w:rFonts w:cs="Calibri"/>
        </w:rPr>
        <w:t>, and llamas and alpacas are assumed to graze outdoors all year and deposit all their manure directly onto pastures. Estimates of the proportions of different waste management systems for swine and poultry in the manure management systems in New Zealand have been provided by Hill (2012) and Fick et al. (2011) respectively.</w:t>
      </w:r>
    </w:p>
    <w:p w14:paraId="2396DF4D" w14:textId="77777777" w:rsidR="004543E0" w:rsidRPr="009660EC" w:rsidRDefault="004543E0" w:rsidP="004543E0">
      <w:pPr>
        <w:pStyle w:val="Table"/>
        <w:rPr>
          <w:rFonts w:cs="Calibri"/>
        </w:rPr>
      </w:pPr>
      <w:bookmarkStart w:id="799" w:name="_Toc32570921"/>
      <w:bookmarkStart w:id="800" w:name="_Toc36224556"/>
      <w:bookmarkStart w:id="801" w:name="_Toc68786441"/>
      <w:bookmarkStart w:id="802" w:name="_Toc95574075"/>
      <w:bookmarkStart w:id="803" w:name="_Toc99659248"/>
      <w:r w:rsidRPr="009660EC">
        <w:rPr>
          <w:rFonts w:cs="Calibri"/>
        </w:rPr>
        <w:lastRenderedPageBreak/>
        <w:t>Table 5.3.2</w:t>
      </w:r>
      <w:r w:rsidRPr="009660EC">
        <w:rPr>
          <w:rFonts w:cs="Calibri"/>
        </w:rPr>
        <w:tab/>
        <w:t>Distribution of livestock waste across animal waste management systems in New Zealand</w:t>
      </w:r>
      <w:bookmarkEnd w:id="799"/>
      <w:bookmarkEnd w:id="800"/>
      <w:bookmarkEnd w:id="801"/>
      <w:bookmarkEnd w:id="802"/>
      <w:bookmarkEnd w:id="803"/>
    </w:p>
    <w:tbl>
      <w:tblPr>
        <w:tblW w:w="8505" w:type="dxa"/>
        <w:tblInd w:w="113" w:type="dxa"/>
        <w:tblBorders>
          <w:top w:val="single" w:sz="4" w:space="0" w:color="44546A"/>
          <w:bottom w:val="single" w:sz="4" w:space="0" w:color="44546A"/>
          <w:insideH w:val="single" w:sz="4" w:space="0" w:color="44546A"/>
        </w:tblBorders>
        <w:tblLayout w:type="fixed"/>
        <w:tblLook w:val="01E0" w:firstRow="1" w:lastRow="1" w:firstColumn="1" w:lastColumn="1" w:noHBand="0" w:noVBand="0"/>
      </w:tblPr>
      <w:tblGrid>
        <w:gridCol w:w="1767"/>
        <w:gridCol w:w="1651"/>
        <w:gridCol w:w="1424"/>
        <w:gridCol w:w="1431"/>
        <w:gridCol w:w="1264"/>
        <w:gridCol w:w="968"/>
      </w:tblGrid>
      <w:tr w:rsidR="004543E0" w:rsidRPr="00E402B6" w14:paraId="73540415" w14:textId="77777777" w:rsidTr="00E402B6">
        <w:trPr>
          <w:cantSplit/>
          <w:tblHeader/>
        </w:trPr>
        <w:tc>
          <w:tcPr>
            <w:tcW w:w="1758" w:type="dxa"/>
            <w:shd w:val="clear" w:color="auto" w:fill="1B556B"/>
            <w:vAlign w:val="bottom"/>
          </w:tcPr>
          <w:p w14:paraId="6E015474" w14:textId="77777777" w:rsidR="004543E0" w:rsidRPr="00E402B6" w:rsidRDefault="004543E0" w:rsidP="007E3239">
            <w:pPr>
              <w:pStyle w:val="TableTextBold"/>
              <w:keepNext/>
              <w:rPr>
                <w:rFonts w:cs="Calibri"/>
                <w:noProof w:val="0"/>
                <w:color w:val="FFFFFF"/>
                <w:szCs w:val="16"/>
              </w:rPr>
            </w:pPr>
            <w:r w:rsidRPr="00E402B6">
              <w:rPr>
                <w:rFonts w:cs="Calibri"/>
                <w:noProof w:val="0"/>
                <w:color w:val="FFFFFF"/>
                <w:szCs w:val="16"/>
              </w:rPr>
              <w:t>Livestock category</w:t>
            </w:r>
          </w:p>
        </w:tc>
        <w:tc>
          <w:tcPr>
            <w:tcW w:w="1644" w:type="dxa"/>
            <w:shd w:val="clear" w:color="auto" w:fill="1B556B"/>
            <w:vAlign w:val="bottom"/>
          </w:tcPr>
          <w:p w14:paraId="4411CAEB" w14:textId="77777777" w:rsidR="004543E0" w:rsidRPr="00E402B6" w:rsidRDefault="004543E0" w:rsidP="007E3239">
            <w:pPr>
              <w:pStyle w:val="TableTextBold"/>
              <w:keepNext/>
              <w:jc w:val="center"/>
              <w:rPr>
                <w:rFonts w:cs="Calibri"/>
                <w:noProof w:val="0"/>
                <w:color w:val="FFFFFF"/>
                <w:szCs w:val="16"/>
              </w:rPr>
            </w:pPr>
            <w:r w:rsidRPr="00E402B6">
              <w:rPr>
                <w:rFonts w:cs="Calibri"/>
                <w:noProof w:val="0"/>
                <w:color w:val="FFFFFF"/>
                <w:szCs w:val="16"/>
              </w:rPr>
              <w:t>Anaerobic lagoon (%)</w:t>
            </w:r>
          </w:p>
        </w:tc>
        <w:tc>
          <w:tcPr>
            <w:tcW w:w="1418" w:type="dxa"/>
            <w:shd w:val="clear" w:color="auto" w:fill="1B556B"/>
            <w:vAlign w:val="bottom"/>
          </w:tcPr>
          <w:p w14:paraId="79A27F0C" w14:textId="77777777" w:rsidR="004543E0" w:rsidRPr="00E402B6" w:rsidRDefault="004543E0" w:rsidP="007E3239">
            <w:pPr>
              <w:pStyle w:val="TableTextBold"/>
              <w:keepNext/>
              <w:jc w:val="center"/>
              <w:rPr>
                <w:rFonts w:cs="Calibri"/>
                <w:noProof w:val="0"/>
                <w:color w:val="FFFFFF"/>
                <w:szCs w:val="16"/>
              </w:rPr>
            </w:pPr>
            <w:r w:rsidRPr="00E402B6">
              <w:rPr>
                <w:rFonts w:cs="Calibri"/>
                <w:noProof w:val="0"/>
                <w:color w:val="FFFFFF"/>
                <w:szCs w:val="16"/>
              </w:rPr>
              <w:t>Daily spread</w:t>
            </w:r>
            <w:r w:rsidRPr="00E402B6">
              <w:rPr>
                <w:rStyle w:val="FootnoteReference"/>
                <w:rFonts w:cs="Calibri"/>
                <w:noProof w:val="0"/>
                <w:color w:val="FFFFFF"/>
                <w:sz w:val="16"/>
                <w:szCs w:val="16"/>
              </w:rPr>
              <w:footnoteReference w:id="47"/>
            </w:r>
            <w:r w:rsidRPr="00E402B6">
              <w:rPr>
                <w:rFonts w:cs="Calibri"/>
                <w:noProof w:val="0"/>
                <w:color w:val="FFFFFF"/>
                <w:szCs w:val="16"/>
              </w:rPr>
              <w:t xml:space="preserve"> (%)</w:t>
            </w:r>
          </w:p>
        </w:tc>
        <w:tc>
          <w:tcPr>
            <w:tcW w:w="1425" w:type="dxa"/>
            <w:shd w:val="clear" w:color="auto" w:fill="1B556B"/>
            <w:vAlign w:val="bottom"/>
          </w:tcPr>
          <w:p w14:paraId="69F0DBDA" w14:textId="77777777" w:rsidR="004543E0" w:rsidRPr="00E402B6" w:rsidRDefault="004543E0" w:rsidP="007E3239">
            <w:pPr>
              <w:pStyle w:val="TableTextBold"/>
              <w:keepNext/>
              <w:jc w:val="center"/>
              <w:rPr>
                <w:rFonts w:cs="Calibri"/>
                <w:noProof w:val="0"/>
                <w:color w:val="FFFFFF"/>
                <w:szCs w:val="16"/>
              </w:rPr>
            </w:pPr>
            <w:r w:rsidRPr="00E402B6">
              <w:rPr>
                <w:rFonts w:cs="Calibri"/>
                <w:noProof w:val="0"/>
                <w:color w:val="FFFFFF"/>
                <w:szCs w:val="16"/>
              </w:rPr>
              <w:t>Pasture, range and paddock</w:t>
            </w:r>
            <w:r w:rsidRPr="00E402B6">
              <w:rPr>
                <w:rStyle w:val="FootnoteReference"/>
                <w:rFonts w:cs="Calibri"/>
                <w:noProof w:val="0"/>
                <w:color w:val="FFFFFF"/>
                <w:sz w:val="16"/>
                <w:szCs w:val="16"/>
              </w:rPr>
              <w:footnoteReference w:id="48"/>
            </w:r>
            <w:r w:rsidRPr="00E402B6">
              <w:rPr>
                <w:rFonts w:cs="Calibri"/>
                <w:noProof w:val="0"/>
                <w:color w:val="FFFFFF"/>
                <w:szCs w:val="16"/>
              </w:rPr>
              <w:t xml:space="preserve"> (%)</w:t>
            </w:r>
          </w:p>
        </w:tc>
        <w:tc>
          <w:tcPr>
            <w:tcW w:w="1258" w:type="dxa"/>
            <w:shd w:val="clear" w:color="auto" w:fill="1B556B"/>
            <w:vAlign w:val="bottom"/>
          </w:tcPr>
          <w:p w14:paraId="582F3AFF" w14:textId="77777777" w:rsidR="004543E0" w:rsidRPr="00E402B6" w:rsidRDefault="004543E0" w:rsidP="007E3239">
            <w:pPr>
              <w:pStyle w:val="TableTextBold"/>
              <w:keepNext/>
              <w:jc w:val="center"/>
              <w:rPr>
                <w:rFonts w:cs="Calibri"/>
                <w:noProof w:val="0"/>
                <w:color w:val="FFFFFF"/>
                <w:szCs w:val="16"/>
              </w:rPr>
            </w:pPr>
            <w:r w:rsidRPr="00E402B6">
              <w:rPr>
                <w:rFonts w:cs="Calibri"/>
                <w:noProof w:val="0"/>
                <w:color w:val="FFFFFF"/>
                <w:szCs w:val="16"/>
              </w:rPr>
              <w:t>Solid storage and dry lot (%)</w:t>
            </w:r>
          </w:p>
        </w:tc>
        <w:tc>
          <w:tcPr>
            <w:tcW w:w="964" w:type="dxa"/>
            <w:shd w:val="clear" w:color="auto" w:fill="1B556B"/>
            <w:vAlign w:val="bottom"/>
          </w:tcPr>
          <w:p w14:paraId="26F72BB2" w14:textId="77777777" w:rsidR="004543E0" w:rsidRPr="00E402B6" w:rsidRDefault="004543E0" w:rsidP="007E3239">
            <w:pPr>
              <w:pStyle w:val="TableTextBold"/>
              <w:keepNext/>
              <w:jc w:val="center"/>
              <w:rPr>
                <w:rFonts w:cs="Calibri"/>
                <w:noProof w:val="0"/>
                <w:color w:val="FFFFFF"/>
                <w:szCs w:val="16"/>
              </w:rPr>
            </w:pPr>
            <w:r w:rsidRPr="00E402B6">
              <w:rPr>
                <w:rFonts w:cs="Calibri"/>
                <w:noProof w:val="0"/>
                <w:color w:val="FFFFFF"/>
                <w:szCs w:val="16"/>
              </w:rPr>
              <w:t>Other (%)</w:t>
            </w:r>
          </w:p>
        </w:tc>
      </w:tr>
      <w:tr w:rsidR="004543E0" w:rsidRPr="00E402B6" w14:paraId="723BA3A6" w14:textId="77777777" w:rsidTr="00E402B6">
        <w:trPr>
          <w:cantSplit/>
        </w:trPr>
        <w:tc>
          <w:tcPr>
            <w:tcW w:w="1758" w:type="dxa"/>
            <w:vAlign w:val="bottom"/>
          </w:tcPr>
          <w:p w14:paraId="792D9136" w14:textId="77777777" w:rsidR="004543E0" w:rsidRPr="00E402B6" w:rsidRDefault="004543E0" w:rsidP="007E3239">
            <w:pPr>
              <w:pStyle w:val="TableText"/>
              <w:spacing w:before="50" w:after="50"/>
              <w:rPr>
                <w:rFonts w:cs="Calibri"/>
                <w:szCs w:val="16"/>
              </w:rPr>
            </w:pPr>
            <w:r w:rsidRPr="00E402B6">
              <w:rPr>
                <w:rFonts w:cs="Calibri"/>
                <w:szCs w:val="16"/>
              </w:rPr>
              <w:t>Dairy cattle</w:t>
            </w:r>
            <w:r w:rsidRPr="00E402B6">
              <w:rPr>
                <w:rStyle w:val="FootnoteReference"/>
                <w:rFonts w:cs="Calibri"/>
                <w:sz w:val="16"/>
                <w:szCs w:val="16"/>
              </w:rPr>
              <w:footnoteReference w:id="49"/>
            </w:r>
          </w:p>
        </w:tc>
        <w:tc>
          <w:tcPr>
            <w:tcW w:w="1644" w:type="dxa"/>
            <w:vAlign w:val="center"/>
          </w:tcPr>
          <w:p w14:paraId="6428C0EC" w14:textId="77777777" w:rsidR="004543E0" w:rsidRPr="00E402B6" w:rsidRDefault="004543E0" w:rsidP="007E3239">
            <w:pPr>
              <w:pStyle w:val="TableText"/>
              <w:spacing w:before="50" w:after="50"/>
              <w:jc w:val="center"/>
              <w:rPr>
                <w:rFonts w:cs="Calibri"/>
                <w:szCs w:val="16"/>
              </w:rPr>
            </w:pPr>
            <w:r w:rsidRPr="00E402B6">
              <w:rPr>
                <w:rFonts w:cs="Calibri"/>
                <w:szCs w:val="16"/>
              </w:rPr>
              <w:t>7.3</w:t>
            </w:r>
          </w:p>
        </w:tc>
        <w:tc>
          <w:tcPr>
            <w:tcW w:w="1418" w:type="dxa"/>
            <w:vAlign w:val="center"/>
          </w:tcPr>
          <w:p w14:paraId="0A7E04C4"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25" w:type="dxa"/>
            <w:vAlign w:val="center"/>
          </w:tcPr>
          <w:p w14:paraId="1F897D51" w14:textId="77777777" w:rsidR="004543E0" w:rsidRPr="00E402B6" w:rsidRDefault="004543E0" w:rsidP="007E3239">
            <w:pPr>
              <w:pStyle w:val="TableText"/>
              <w:spacing w:before="50" w:after="50"/>
              <w:jc w:val="center"/>
              <w:rPr>
                <w:rFonts w:cs="Calibri"/>
                <w:szCs w:val="16"/>
              </w:rPr>
            </w:pPr>
            <w:r w:rsidRPr="00E402B6">
              <w:rPr>
                <w:rFonts w:cs="Calibri"/>
                <w:szCs w:val="16"/>
              </w:rPr>
              <w:t>92.7</w:t>
            </w:r>
          </w:p>
        </w:tc>
        <w:tc>
          <w:tcPr>
            <w:tcW w:w="1258" w:type="dxa"/>
            <w:vAlign w:val="center"/>
          </w:tcPr>
          <w:p w14:paraId="7899430C"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964" w:type="dxa"/>
            <w:vAlign w:val="center"/>
          </w:tcPr>
          <w:p w14:paraId="2AAE0D29"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r>
      <w:tr w:rsidR="004543E0" w:rsidRPr="00E402B6" w14:paraId="26D9E9D3" w14:textId="77777777" w:rsidTr="00E402B6">
        <w:trPr>
          <w:cantSplit/>
        </w:trPr>
        <w:tc>
          <w:tcPr>
            <w:tcW w:w="1758" w:type="dxa"/>
            <w:vAlign w:val="bottom"/>
          </w:tcPr>
          <w:p w14:paraId="75021BA0" w14:textId="77777777" w:rsidR="004543E0" w:rsidRPr="00E402B6" w:rsidRDefault="004543E0" w:rsidP="007E3239">
            <w:pPr>
              <w:pStyle w:val="TableText"/>
              <w:spacing w:before="50" w:after="50"/>
              <w:rPr>
                <w:rFonts w:cs="Calibri"/>
                <w:szCs w:val="16"/>
              </w:rPr>
            </w:pPr>
            <w:r w:rsidRPr="00E402B6">
              <w:rPr>
                <w:rFonts w:cs="Calibri"/>
                <w:szCs w:val="16"/>
              </w:rPr>
              <w:t xml:space="preserve">Non-dairy </w:t>
            </w:r>
            <w:r w:rsidRPr="00E402B6">
              <w:rPr>
                <w:rFonts w:cs="Calibri"/>
                <w:i/>
                <w:iCs/>
                <w:szCs w:val="16"/>
              </w:rPr>
              <w:t>(beef)</w:t>
            </w:r>
            <w:r w:rsidRPr="00E402B6">
              <w:rPr>
                <w:rFonts w:cs="Calibri"/>
                <w:szCs w:val="16"/>
              </w:rPr>
              <w:t xml:space="preserve"> cattle</w:t>
            </w:r>
          </w:p>
        </w:tc>
        <w:tc>
          <w:tcPr>
            <w:tcW w:w="1644" w:type="dxa"/>
            <w:vAlign w:val="center"/>
          </w:tcPr>
          <w:p w14:paraId="6CEAC0EF"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18" w:type="dxa"/>
            <w:vAlign w:val="center"/>
          </w:tcPr>
          <w:p w14:paraId="04F87BC0"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25" w:type="dxa"/>
            <w:vAlign w:val="center"/>
          </w:tcPr>
          <w:p w14:paraId="4BB03005" w14:textId="77777777" w:rsidR="004543E0" w:rsidRPr="00E402B6" w:rsidRDefault="004543E0" w:rsidP="007E3239">
            <w:pPr>
              <w:pStyle w:val="TableText"/>
              <w:spacing w:before="50" w:after="50"/>
              <w:jc w:val="center"/>
              <w:rPr>
                <w:rFonts w:cs="Calibri"/>
                <w:szCs w:val="16"/>
              </w:rPr>
            </w:pPr>
            <w:r w:rsidRPr="00E402B6">
              <w:rPr>
                <w:rFonts w:cs="Calibri"/>
                <w:szCs w:val="16"/>
              </w:rPr>
              <w:t>100.0</w:t>
            </w:r>
          </w:p>
        </w:tc>
        <w:tc>
          <w:tcPr>
            <w:tcW w:w="1258" w:type="dxa"/>
            <w:vAlign w:val="center"/>
          </w:tcPr>
          <w:p w14:paraId="412EFD4B"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964" w:type="dxa"/>
            <w:vAlign w:val="center"/>
          </w:tcPr>
          <w:p w14:paraId="42B7F90B"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r>
      <w:tr w:rsidR="004543E0" w:rsidRPr="00E402B6" w14:paraId="635F0143" w14:textId="77777777" w:rsidTr="00E402B6">
        <w:trPr>
          <w:cantSplit/>
        </w:trPr>
        <w:tc>
          <w:tcPr>
            <w:tcW w:w="1758" w:type="dxa"/>
            <w:vAlign w:val="bottom"/>
          </w:tcPr>
          <w:p w14:paraId="10EBFA6E" w14:textId="77777777" w:rsidR="004543E0" w:rsidRPr="00E402B6" w:rsidRDefault="004543E0" w:rsidP="007E3239">
            <w:pPr>
              <w:pStyle w:val="TableText"/>
              <w:spacing w:before="50" w:after="50"/>
              <w:rPr>
                <w:rFonts w:cs="Calibri"/>
                <w:szCs w:val="16"/>
              </w:rPr>
            </w:pPr>
            <w:r w:rsidRPr="00E402B6">
              <w:rPr>
                <w:rFonts w:cs="Calibri"/>
                <w:szCs w:val="16"/>
              </w:rPr>
              <w:t>Sheep</w:t>
            </w:r>
          </w:p>
        </w:tc>
        <w:tc>
          <w:tcPr>
            <w:tcW w:w="1644" w:type="dxa"/>
            <w:vAlign w:val="center"/>
          </w:tcPr>
          <w:p w14:paraId="47F2F8F8"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18" w:type="dxa"/>
            <w:vAlign w:val="center"/>
          </w:tcPr>
          <w:p w14:paraId="4F4625F9"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25" w:type="dxa"/>
            <w:vAlign w:val="center"/>
          </w:tcPr>
          <w:p w14:paraId="512BA02A" w14:textId="77777777" w:rsidR="004543E0" w:rsidRPr="00E402B6" w:rsidRDefault="004543E0" w:rsidP="007E3239">
            <w:pPr>
              <w:pStyle w:val="TableText"/>
              <w:spacing w:before="50" w:after="50"/>
              <w:jc w:val="center"/>
              <w:rPr>
                <w:rFonts w:cs="Calibri"/>
                <w:szCs w:val="16"/>
              </w:rPr>
            </w:pPr>
            <w:r w:rsidRPr="00E402B6">
              <w:rPr>
                <w:rFonts w:cs="Calibri"/>
                <w:szCs w:val="16"/>
              </w:rPr>
              <w:t>100.0</w:t>
            </w:r>
          </w:p>
        </w:tc>
        <w:tc>
          <w:tcPr>
            <w:tcW w:w="1258" w:type="dxa"/>
            <w:vAlign w:val="center"/>
          </w:tcPr>
          <w:p w14:paraId="11AC5BE1"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964" w:type="dxa"/>
            <w:vAlign w:val="center"/>
          </w:tcPr>
          <w:p w14:paraId="1C4D7A71"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r>
      <w:tr w:rsidR="004543E0" w:rsidRPr="00E402B6" w14:paraId="0918BA69" w14:textId="77777777" w:rsidTr="00E402B6">
        <w:trPr>
          <w:cantSplit/>
        </w:trPr>
        <w:tc>
          <w:tcPr>
            <w:tcW w:w="1758" w:type="dxa"/>
            <w:vAlign w:val="bottom"/>
          </w:tcPr>
          <w:p w14:paraId="4EC05ABB" w14:textId="77777777" w:rsidR="004543E0" w:rsidRPr="00E402B6" w:rsidRDefault="004543E0" w:rsidP="007E3239">
            <w:pPr>
              <w:pStyle w:val="TableText"/>
              <w:spacing w:before="50" w:after="50"/>
              <w:rPr>
                <w:rFonts w:cs="Calibri"/>
                <w:szCs w:val="16"/>
              </w:rPr>
            </w:pPr>
            <w:r w:rsidRPr="00E402B6">
              <w:rPr>
                <w:rFonts w:cs="Calibri"/>
                <w:szCs w:val="16"/>
              </w:rPr>
              <w:t>Deer</w:t>
            </w:r>
          </w:p>
        </w:tc>
        <w:tc>
          <w:tcPr>
            <w:tcW w:w="1644" w:type="dxa"/>
            <w:vAlign w:val="center"/>
          </w:tcPr>
          <w:p w14:paraId="44658748"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18" w:type="dxa"/>
            <w:vAlign w:val="center"/>
          </w:tcPr>
          <w:p w14:paraId="0603BCB6"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25" w:type="dxa"/>
            <w:vAlign w:val="center"/>
          </w:tcPr>
          <w:p w14:paraId="586B46A4" w14:textId="77777777" w:rsidR="004543E0" w:rsidRPr="00E402B6" w:rsidRDefault="004543E0" w:rsidP="007E3239">
            <w:pPr>
              <w:pStyle w:val="TableText"/>
              <w:spacing w:before="50" w:after="50"/>
              <w:jc w:val="center"/>
              <w:rPr>
                <w:rFonts w:cs="Calibri"/>
                <w:szCs w:val="16"/>
              </w:rPr>
            </w:pPr>
            <w:r w:rsidRPr="00E402B6">
              <w:rPr>
                <w:rFonts w:cs="Calibri"/>
                <w:szCs w:val="16"/>
              </w:rPr>
              <w:t>100.0</w:t>
            </w:r>
          </w:p>
        </w:tc>
        <w:tc>
          <w:tcPr>
            <w:tcW w:w="1258" w:type="dxa"/>
            <w:vAlign w:val="center"/>
          </w:tcPr>
          <w:p w14:paraId="2681E815"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964" w:type="dxa"/>
            <w:vAlign w:val="center"/>
          </w:tcPr>
          <w:p w14:paraId="60B133AF"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r>
      <w:tr w:rsidR="004543E0" w:rsidRPr="00E402B6" w14:paraId="6F50AFFE" w14:textId="77777777" w:rsidTr="00E402B6">
        <w:trPr>
          <w:cantSplit/>
        </w:trPr>
        <w:tc>
          <w:tcPr>
            <w:tcW w:w="1758" w:type="dxa"/>
            <w:vAlign w:val="bottom"/>
          </w:tcPr>
          <w:p w14:paraId="14B40EF6" w14:textId="77777777" w:rsidR="004543E0" w:rsidRPr="00E402B6" w:rsidRDefault="004543E0" w:rsidP="007E3239">
            <w:pPr>
              <w:pStyle w:val="TableText"/>
              <w:spacing w:before="50" w:after="50"/>
              <w:rPr>
                <w:rFonts w:cs="Calibri"/>
                <w:szCs w:val="16"/>
              </w:rPr>
            </w:pPr>
            <w:r w:rsidRPr="00E402B6">
              <w:rPr>
                <w:rFonts w:cs="Calibri"/>
                <w:szCs w:val="16"/>
              </w:rPr>
              <w:t>Goats</w:t>
            </w:r>
          </w:p>
        </w:tc>
        <w:tc>
          <w:tcPr>
            <w:tcW w:w="1644" w:type="dxa"/>
            <w:vAlign w:val="center"/>
          </w:tcPr>
          <w:p w14:paraId="5AAEAB6A"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18" w:type="dxa"/>
            <w:vAlign w:val="center"/>
          </w:tcPr>
          <w:p w14:paraId="79F2D640"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25" w:type="dxa"/>
            <w:vAlign w:val="center"/>
          </w:tcPr>
          <w:p w14:paraId="74123FCC" w14:textId="77777777" w:rsidR="004543E0" w:rsidRPr="00E402B6" w:rsidRDefault="004543E0" w:rsidP="007E3239">
            <w:pPr>
              <w:pStyle w:val="TableText"/>
              <w:spacing w:before="50" w:after="50"/>
              <w:jc w:val="center"/>
              <w:rPr>
                <w:rFonts w:cs="Calibri"/>
                <w:szCs w:val="16"/>
              </w:rPr>
            </w:pPr>
            <w:r w:rsidRPr="00E402B6">
              <w:rPr>
                <w:rFonts w:cs="Calibri"/>
                <w:szCs w:val="16"/>
              </w:rPr>
              <w:t>100.0</w:t>
            </w:r>
          </w:p>
        </w:tc>
        <w:tc>
          <w:tcPr>
            <w:tcW w:w="1258" w:type="dxa"/>
            <w:vAlign w:val="center"/>
          </w:tcPr>
          <w:p w14:paraId="7B265A56"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964" w:type="dxa"/>
            <w:vAlign w:val="center"/>
          </w:tcPr>
          <w:p w14:paraId="09647E5F"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r>
      <w:tr w:rsidR="004543E0" w:rsidRPr="00E402B6" w14:paraId="031EAA21" w14:textId="77777777" w:rsidTr="00E402B6">
        <w:trPr>
          <w:cantSplit/>
        </w:trPr>
        <w:tc>
          <w:tcPr>
            <w:tcW w:w="1758" w:type="dxa"/>
            <w:vAlign w:val="bottom"/>
          </w:tcPr>
          <w:p w14:paraId="057C86EF" w14:textId="77777777" w:rsidR="004543E0" w:rsidRPr="00E402B6" w:rsidRDefault="004543E0" w:rsidP="007E3239">
            <w:pPr>
              <w:pStyle w:val="TableText"/>
              <w:spacing w:before="50" w:after="50"/>
              <w:rPr>
                <w:rFonts w:cs="Calibri"/>
                <w:szCs w:val="16"/>
              </w:rPr>
            </w:pPr>
            <w:r w:rsidRPr="00E402B6">
              <w:rPr>
                <w:rFonts w:cs="Calibri"/>
                <w:szCs w:val="16"/>
              </w:rPr>
              <w:t>Horses</w:t>
            </w:r>
          </w:p>
        </w:tc>
        <w:tc>
          <w:tcPr>
            <w:tcW w:w="1644" w:type="dxa"/>
            <w:vAlign w:val="center"/>
          </w:tcPr>
          <w:p w14:paraId="1551226B"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18" w:type="dxa"/>
            <w:vAlign w:val="center"/>
          </w:tcPr>
          <w:p w14:paraId="64A2210F"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25" w:type="dxa"/>
            <w:vAlign w:val="center"/>
          </w:tcPr>
          <w:p w14:paraId="3ADB3383" w14:textId="77777777" w:rsidR="004543E0" w:rsidRPr="00E402B6" w:rsidRDefault="004543E0" w:rsidP="007E3239">
            <w:pPr>
              <w:pStyle w:val="TableText"/>
              <w:spacing w:before="50" w:after="50"/>
              <w:jc w:val="center"/>
              <w:rPr>
                <w:rFonts w:cs="Calibri"/>
                <w:szCs w:val="16"/>
              </w:rPr>
            </w:pPr>
            <w:r w:rsidRPr="00E402B6">
              <w:rPr>
                <w:rFonts w:cs="Calibri"/>
                <w:szCs w:val="16"/>
              </w:rPr>
              <w:t>100.0</w:t>
            </w:r>
          </w:p>
        </w:tc>
        <w:tc>
          <w:tcPr>
            <w:tcW w:w="1258" w:type="dxa"/>
            <w:vAlign w:val="center"/>
          </w:tcPr>
          <w:p w14:paraId="0653F41F"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964" w:type="dxa"/>
            <w:vAlign w:val="center"/>
          </w:tcPr>
          <w:p w14:paraId="5DC90055"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r>
      <w:tr w:rsidR="004543E0" w:rsidRPr="00E402B6" w14:paraId="38929629" w14:textId="77777777" w:rsidTr="00E402B6">
        <w:trPr>
          <w:cantSplit/>
        </w:trPr>
        <w:tc>
          <w:tcPr>
            <w:tcW w:w="1758" w:type="dxa"/>
            <w:vAlign w:val="bottom"/>
          </w:tcPr>
          <w:p w14:paraId="4A716105" w14:textId="77777777" w:rsidR="004543E0" w:rsidRPr="00E402B6" w:rsidRDefault="004543E0" w:rsidP="007E3239">
            <w:pPr>
              <w:pStyle w:val="TableText"/>
              <w:spacing w:before="50" w:after="50"/>
              <w:rPr>
                <w:rFonts w:cs="Calibri"/>
                <w:szCs w:val="16"/>
              </w:rPr>
            </w:pPr>
            <w:r w:rsidRPr="00E402B6">
              <w:rPr>
                <w:rFonts w:cs="Calibri"/>
                <w:szCs w:val="16"/>
              </w:rPr>
              <w:t>Swine</w:t>
            </w:r>
            <w:r w:rsidRPr="00E402B6">
              <w:rPr>
                <w:rStyle w:val="FootnoteReference"/>
                <w:rFonts w:cs="Calibri"/>
                <w:sz w:val="16"/>
                <w:szCs w:val="16"/>
              </w:rPr>
              <w:footnoteReference w:id="50"/>
            </w:r>
          </w:p>
        </w:tc>
        <w:tc>
          <w:tcPr>
            <w:tcW w:w="1644" w:type="dxa"/>
            <w:vAlign w:val="center"/>
          </w:tcPr>
          <w:p w14:paraId="7AA3DD06" w14:textId="77777777" w:rsidR="004543E0" w:rsidRPr="00E402B6" w:rsidRDefault="004543E0" w:rsidP="007E3239">
            <w:pPr>
              <w:pStyle w:val="TableText"/>
              <w:spacing w:before="50" w:after="50"/>
              <w:jc w:val="center"/>
              <w:rPr>
                <w:rFonts w:cs="Calibri"/>
                <w:szCs w:val="16"/>
              </w:rPr>
            </w:pPr>
            <w:r w:rsidRPr="00E402B6">
              <w:rPr>
                <w:rFonts w:cs="Calibri"/>
                <w:szCs w:val="16"/>
              </w:rPr>
              <w:t>20.5</w:t>
            </w:r>
          </w:p>
        </w:tc>
        <w:tc>
          <w:tcPr>
            <w:tcW w:w="1418" w:type="dxa"/>
            <w:vAlign w:val="center"/>
          </w:tcPr>
          <w:p w14:paraId="7B6328B6" w14:textId="77777777" w:rsidR="004543E0" w:rsidRPr="00E402B6" w:rsidRDefault="004543E0" w:rsidP="007E3239">
            <w:pPr>
              <w:pStyle w:val="TableText"/>
              <w:spacing w:before="50" w:after="50"/>
              <w:jc w:val="center"/>
              <w:rPr>
                <w:rFonts w:cs="Calibri"/>
                <w:szCs w:val="16"/>
              </w:rPr>
            </w:pPr>
            <w:r w:rsidRPr="00E402B6">
              <w:rPr>
                <w:rFonts w:cs="Calibri"/>
                <w:szCs w:val="16"/>
              </w:rPr>
              <w:t>25.7</w:t>
            </w:r>
          </w:p>
        </w:tc>
        <w:tc>
          <w:tcPr>
            <w:tcW w:w="1425" w:type="dxa"/>
            <w:vAlign w:val="center"/>
          </w:tcPr>
          <w:p w14:paraId="261DBFEF" w14:textId="77777777" w:rsidR="004543E0" w:rsidRPr="00E402B6" w:rsidRDefault="004543E0" w:rsidP="007E3239">
            <w:pPr>
              <w:pStyle w:val="TableText"/>
              <w:spacing w:before="50" w:after="50"/>
              <w:jc w:val="center"/>
              <w:rPr>
                <w:rFonts w:cs="Calibri"/>
                <w:szCs w:val="16"/>
              </w:rPr>
            </w:pPr>
            <w:r w:rsidRPr="00E402B6">
              <w:rPr>
                <w:rFonts w:cs="Calibri"/>
                <w:szCs w:val="16"/>
              </w:rPr>
              <w:t>8.9</w:t>
            </w:r>
          </w:p>
        </w:tc>
        <w:tc>
          <w:tcPr>
            <w:tcW w:w="1258" w:type="dxa"/>
            <w:vAlign w:val="center"/>
          </w:tcPr>
          <w:p w14:paraId="5E590A5D" w14:textId="77777777" w:rsidR="004543E0" w:rsidRPr="00E402B6" w:rsidRDefault="004543E0" w:rsidP="007E3239">
            <w:pPr>
              <w:pStyle w:val="TableText"/>
              <w:spacing w:before="50" w:after="50"/>
              <w:jc w:val="center"/>
              <w:rPr>
                <w:rFonts w:cs="Calibri"/>
                <w:szCs w:val="16"/>
              </w:rPr>
            </w:pPr>
            <w:r w:rsidRPr="00E402B6">
              <w:rPr>
                <w:rFonts w:cs="Calibri"/>
                <w:szCs w:val="16"/>
              </w:rPr>
              <w:t>42.5</w:t>
            </w:r>
          </w:p>
        </w:tc>
        <w:tc>
          <w:tcPr>
            <w:tcW w:w="964" w:type="dxa"/>
            <w:vAlign w:val="center"/>
          </w:tcPr>
          <w:p w14:paraId="18EF8A1F" w14:textId="77777777" w:rsidR="004543E0" w:rsidRPr="00E402B6" w:rsidRDefault="004543E0" w:rsidP="007E3239">
            <w:pPr>
              <w:pStyle w:val="TableText"/>
              <w:spacing w:before="50" w:after="50"/>
              <w:jc w:val="center"/>
              <w:rPr>
                <w:rFonts w:cs="Calibri"/>
                <w:szCs w:val="16"/>
              </w:rPr>
            </w:pPr>
            <w:r w:rsidRPr="00E402B6">
              <w:rPr>
                <w:rFonts w:cs="Calibri"/>
                <w:szCs w:val="16"/>
              </w:rPr>
              <w:t>2.4</w:t>
            </w:r>
          </w:p>
        </w:tc>
      </w:tr>
      <w:tr w:rsidR="004543E0" w:rsidRPr="00E402B6" w14:paraId="25BDCBC4" w14:textId="77777777" w:rsidTr="00E402B6">
        <w:trPr>
          <w:cantSplit/>
        </w:trPr>
        <w:tc>
          <w:tcPr>
            <w:tcW w:w="1758" w:type="dxa"/>
            <w:vAlign w:val="bottom"/>
          </w:tcPr>
          <w:p w14:paraId="6A9786FF" w14:textId="77777777" w:rsidR="004543E0" w:rsidRPr="00E402B6" w:rsidRDefault="004543E0" w:rsidP="007E3239">
            <w:pPr>
              <w:pStyle w:val="TableText"/>
              <w:spacing w:before="50" w:after="50"/>
              <w:rPr>
                <w:rFonts w:cs="Calibri"/>
                <w:szCs w:val="16"/>
              </w:rPr>
            </w:pPr>
            <w:r w:rsidRPr="00E402B6">
              <w:rPr>
                <w:rFonts w:cs="Calibri"/>
                <w:szCs w:val="16"/>
              </w:rPr>
              <w:t>Poultry – broilers</w:t>
            </w:r>
            <w:r w:rsidRPr="00E402B6">
              <w:rPr>
                <w:rStyle w:val="FootnoteReference"/>
                <w:rFonts w:cs="Calibri"/>
                <w:sz w:val="16"/>
                <w:szCs w:val="16"/>
              </w:rPr>
              <w:footnoteReference w:id="51"/>
            </w:r>
          </w:p>
        </w:tc>
        <w:tc>
          <w:tcPr>
            <w:tcW w:w="1644" w:type="dxa"/>
            <w:vAlign w:val="center"/>
          </w:tcPr>
          <w:p w14:paraId="5222D840"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18" w:type="dxa"/>
            <w:vAlign w:val="center"/>
          </w:tcPr>
          <w:p w14:paraId="1DCEF382"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25" w:type="dxa"/>
            <w:vAlign w:val="center"/>
          </w:tcPr>
          <w:p w14:paraId="2760770E" w14:textId="77777777" w:rsidR="004543E0" w:rsidRPr="00E402B6" w:rsidRDefault="004543E0" w:rsidP="007E3239">
            <w:pPr>
              <w:pStyle w:val="TableText"/>
              <w:spacing w:before="50" w:after="50"/>
              <w:jc w:val="center"/>
              <w:rPr>
                <w:rFonts w:cs="Calibri"/>
                <w:szCs w:val="16"/>
              </w:rPr>
            </w:pPr>
            <w:r w:rsidRPr="00E402B6">
              <w:rPr>
                <w:rFonts w:cs="Calibri"/>
                <w:szCs w:val="16"/>
              </w:rPr>
              <w:t>4.9</w:t>
            </w:r>
          </w:p>
        </w:tc>
        <w:tc>
          <w:tcPr>
            <w:tcW w:w="1258" w:type="dxa"/>
            <w:vAlign w:val="center"/>
          </w:tcPr>
          <w:p w14:paraId="3AC409BC"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964" w:type="dxa"/>
            <w:vAlign w:val="center"/>
          </w:tcPr>
          <w:p w14:paraId="0DB64D3D" w14:textId="77777777" w:rsidR="004543E0" w:rsidRPr="00E402B6" w:rsidRDefault="004543E0" w:rsidP="007E3239">
            <w:pPr>
              <w:pStyle w:val="TableText"/>
              <w:spacing w:before="50" w:after="50"/>
              <w:jc w:val="center"/>
              <w:rPr>
                <w:rFonts w:cs="Calibri"/>
                <w:szCs w:val="16"/>
              </w:rPr>
            </w:pPr>
            <w:r w:rsidRPr="00E402B6">
              <w:rPr>
                <w:rFonts w:cs="Calibri"/>
                <w:szCs w:val="16"/>
              </w:rPr>
              <w:t>95.1</w:t>
            </w:r>
          </w:p>
        </w:tc>
      </w:tr>
      <w:tr w:rsidR="004543E0" w:rsidRPr="00E402B6" w14:paraId="66B5FFFA" w14:textId="77777777" w:rsidTr="00E402B6">
        <w:trPr>
          <w:cantSplit/>
        </w:trPr>
        <w:tc>
          <w:tcPr>
            <w:tcW w:w="1758" w:type="dxa"/>
            <w:vAlign w:val="bottom"/>
          </w:tcPr>
          <w:p w14:paraId="7D3EF74A" w14:textId="77777777" w:rsidR="004543E0" w:rsidRPr="00E402B6" w:rsidRDefault="004543E0" w:rsidP="007E3239">
            <w:pPr>
              <w:pStyle w:val="TableText"/>
              <w:spacing w:before="50" w:after="50"/>
              <w:rPr>
                <w:rFonts w:cs="Calibri"/>
                <w:szCs w:val="16"/>
                <w:vertAlign w:val="superscript"/>
              </w:rPr>
            </w:pPr>
            <w:r w:rsidRPr="00E402B6">
              <w:rPr>
                <w:rFonts w:cs="Calibri"/>
                <w:szCs w:val="16"/>
              </w:rPr>
              <w:t>Poultry – layers</w:t>
            </w:r>
            <w:r w:rsidRPr="00E402B6">
              <w:rPr>
                <w:rStyle w:val="FootnoteReference"/>
                <w:rFonts w:cs="Calibri"/>
                <w:sz w:val="16"/>
                <w:szCs w:val="16"/>
              </w:rPr>
              <w:footnoteReference w:id="52"/>
            </w:r>
          </w:p>
        </w:tc>
        <w:tc>
          <w:tcPr>
            <w:tcW w:w="1644" w:type="dxa"/>
            <w:vAlign w:val="center"/>
          </w:tcPr>
          <w:p w14:paraId="73A1D0F5"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18" w:type="dxa"/>
            <w:vAlign w:val="center"/>
          </w:tcPr>
          <w:p w14:paraId="21DA499B" w14:textId="77777777" w:rsidR="004543E0" w:rsidRPr="00E402B6" w:rsidDel="00063FE1" w:rsidRDefault="004543E0" w:rsidP="007E3239">
            <w:pPr>
              <w:pStyle w:val="TableText"/>
              <w:spacing w:before="50" w:after="50"/>
              <w:jc w:val="center"/>
              <w:rPr>
                <w:rFonts w:cs="Calibri"/>
                <w:szCs w:val="16"/>
              </w:rPr>
            </w:pPr>
            <w:r w:rsidRPr="00E402B6">
              <w:rPr>
                <w:rFonts w:cs="Calibri"/>
                <w:szCs w:val="16"/>
              </w:rPr>
              <w:t>–</w:t>
            </w:r>
          </w:p>
        </w:tc>
        <w:tc>
          <w:tcPr>
            <w:tcW w:w="1425" w:type="dxa"/>
            <w:vAlign w:val="center"/>
          </w:tcPr>
          <w:p w14:paraId="4E4689DD" w14:textId="77777777" w:rsidR="004543E0" w:rsidRPr="00E402B6" w:rsidRDefault="004543E0" w:rsidP="007E3239">
            <w:pPr>
              <w:pStyle w:val="TableText"/>
              <w:spacing w:before="50" w:after="50"/>
              <w:jc w:val="center"/>
              <w:rPr>
                <w:rFonts w:cs="Calibri"/>
                <w:szCs w:val="16"/>
              </w:rPr>
            </w:pPr>
            <w:r w:rsidRPr="00E402B6">
              <w:rPr>
                <w:rFonts w:cs="Calibri"/>
                <w:szCs w:val="16"/>
              </w:rPr>
              <w:t>5.8</w:t>
            </w:r>
          </w:p>
        </w:tc>
        <w:tc>
          <w:tcPr>
            <w:tcW w:w="1258" w:type="dxa"/>
            <w:vAlign w:val="center"/>
          </w:tcPr>
          <w:p w14:paraId="0323B2DD"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964" w:type="dxa"/>
            <w:vAlign w:val="center"/>
          </w:tcPr>
          <w:p w14:paraId="0B917805" w14:textId="77777777" w:rsidR="004543E0" w:rsidRPr="00E402B6" w:rsidRDefault="004543E0" w:rsidP="007E3239">
            <w:pPr>
              <w:pStyle w:val="TableText"/>
              <w:spacing w:before="50" w:after="50"/>
              <w:jc w:val="center"/>
              <w:rPr>
                <w:rFonts w:cs="Calibri"/>
                <w:szCs w:val="16"/>
              </w:rPr>
            </w:pPr>
            <w:r w:rsidRPr="00E402B6">
              <w:rPr>
                <w:rFonts w:cs="Calibri"/>
                <w:szCs w:val="16"/>
              </w:rPr>
              <w:t>94.2</w:t>
            </w:r>
          </w:p>
        </w:tc>
      </w:tr>
      <w:tr w:rsidR="004543E0" w:rsidRPr="00E402B6" w14:paraId="2C9695D9" w14:textId="77777777" w:rsidTr="00E402B6">
        <w:trPr>
          <w:cantSplit/>
        </w:trPr>
        <w:tc>
          <w:tcPr>
            <w:tcW w:w="1758" w:type="dxa"/>
            <w:vAlign w:val="bottom"/>
          </w:tcPr>
          <w:p w14:paraId="6F2A1870" w14:textId="77777777" w:rsidR="004543E0" w:rsidRPr="00E402B6" w:rsidRDefault="004543E0" w:rsidP="007E3239">
            <w:pPr>
              <w:pStyle w:val="TableText"/>
              <w:spacing w:before="50" w:after="50"/>
              <w:rPr>
                <w:rFonts w:cs="Calibri"/>
                <w:szCs w:val="16"/>
              </w:rPr>
            </w:pPr>
            <w:r w:rsidRPr="00E402B6">
              <w:rPr>
                <w:rFonts w:cs="Calibri"/>
                <w:szCs w:val="16"/>
              </w:rPr>
              <w:t>Poultry – other</w:t>
            </w:r>
            <w:r w:rsidRPr="00E402B6">
              <w:rPr>
                <w:rStyle w:val="FootnoteReference"/>
                <w:rFonts w:cs="Calibri"/>
                <w:sz w:val="16"/>
                <w:szCs w:val="16"/>
              </w:rPr>
              <w:footnoteReference w:id="53"/>
            </w:r>
          </w:p>
        </w:tc>
        <w:tc>
          <w:tcPr>
            <w:tcW w:w="1644" w:type="dxa"/>
            <w:vAlign w:val="center"/>
          </w:tcPr>
          <w:p w14:paraId="3CF8708E"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18" w:type="dxa"/>
            <w:vAlign w:val="center"/>
          </w:tcPr>
          <w:p w14:paraId="2202D8C5"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25" w:type="dxa"/>
            <w:vAlign w:val="center"/>
          </w:tcPr>
          <w:p w14:paraId="6242C798" w14:textId="77777777" w:rsidR="004543E0" w:rsidRPr="00E402B6" w:rsidRDefault="004543E0" w:rsidP="007E3239">
            <w:pPr>
              <w:pStyle w:val="TableText"/>
              <w:spacing w:before="50" w:after="50"/>
              <w:jc w:val="center"/>
              <w:rPr>
                <w:rFonts w:cs="Calibri"/>
                <w:szCs w:val="16"/>
              </w:rPr>
            </w:pPr>
            <w:r w:rsidRPr="00E402B6">
              <w:rPr>
                <w:rFonts w:cs="Calibri"/>
                <w:szCs w:val="16"/>
              </w:rPr>
              <w:t>3.0</w:t>
            </w:r>
          </w:p>
        </w:tc>
        <w:tc>
          <w:tcPr>
            <w:tcW w:w="1258" w:type="dxa"/>
            <w:vAlign w:val="center"/>
          </w:tcPr>
          <w:p w14:paraId="36EFFDBE"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964" w:type="dxa"/>
            <w:vAlign w:val="center"/>
          </w:tcPr>
          <w:p w14:paraId="2FE62E9A" w14:textId="77777777" w:rsidR="004543E0" w:rsidRPr="00E402B6" w:rsidRDefault="004543E0" w:rsidP="007E3239">
            <w:pPr>
              <w:pStyle w:val="TableText"/>
              <w:spacing w:before="50" w:after="50"/>
              <w:jc w:val="center"/>
              <w:rPr>
                <w:rFonts w:cs="Calibri"/>
                <w:szCs w:val="16"/>
              </w:rPr>
            </w:pPr>
            <w:r w:rsidRPr="00E402B6">
              <w:rPr>
                <w:rFonts w:cs="Calibri"/>
                <w:szCs w:val="16"/>
              </w:rPr>
              <w:t>97.0</w:t>
            </w:r>
          </w:p>
        </w:tc>
      </w:tr>
      <w:tr w:rsidR="004543E0" w:rsidRPr="00E402B6" w14:paraId="0AF30033" w14:textId="77777777" w:rsidTr="00E402B6">
        <w:trPr>
          <w:cantSplit/>
        </w:trPr>
        <w:tc>
          <w:tcPr>
            <w:tcW w:w="1758" w:type="dxa"/>
            <w:vAlign w:val="bottom"/>
          </w:tcPr>
          <w:p w14:paraId="27FF7FBF" w14:textId="77777777" w:rsidR="004543E0" w:rsidRPr="00E402B6" w:rsidRDefault="004543E0" w:rsidP="007E3239">
            <w:pPr>
              <w:pStyle w:val="TableText"/>
              <w:spacing w:before="50" w:after="50"/>
              <w:rPr>
                <w:rFonts w:cs="Calibri"/>
                <w:szCs w:val="16"/>
              </w:rPr>
            </w:pPr>
            <w:r w:rsidRPr="00E402B6">
              <w:rPr>
                <w:rFonts w:cs="Calibri"/>
                <w:szCs w:val="16"/>
              </w:rPr>
              <w:t>Alpacas</w:t>
            </w:r>
          </w:p>
        </w:tc>
        <w:tc>
          <w:tcPr>
            <w:tcW w:w="1644" w:type="dxa"/>
            <w:vAlign w:val="center"/>
          </w:tcPr>
          <w:p w14:paraId="0FD49B08"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18" w:type="dxa"/>
            <w:vAlign w:val="center"/>
          </w:tcPr>
          <w:p w14:paraId="6A4C30CF"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25" w:type="dxa"/>
            <w:vAlign w:val="center"/>
          </w:tcPr>
          <w:p w14:paraId="07F96A2B" w14:textId="77777777" w:rsidR="004543E0" w:rsidRPr="00E402B6" w:rsidRDefault="004543E0" w:rsidP="007E3239">
            <w:pPr>
              <w:pStyle w:val="TableText"/>
              <w:spacing w:before="50" w:after="50"/>
              <w:jc w:val="center"/>
              <w:rPr>
                <w:rFonts w:cs="Calibri"/>
                <w:szCs w:val="16"/>
              </w:rPr>
            </w:pPr>
            <w:r w:rsidRPr="00E402B6">
              <w:rPr>
                <w:rFonts w:cs="Calibri"/>
                <w:szCs w:val="16"/>
              </w:rPr>
              <w:t>100.0</w:t>
            </w:r>
          </w:p>
        </w:tc>
        <w:tc>
          <w:tcPr>
            <w:tcW w:w="1258" w:type="dxa"/>
            <w:vAlign w:val="center"/>
          </w:tcPr>
          <w:p w14:paraId="066A957E"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964" w:type="dxa"/>
            <w:vAlign w:val="center"/>
          </w:tcPr>
          <w:p w14:paraId="41F5BA25"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r>
      <w:tr w:rsidR="004543E0" w:rsidRPr="00E402B6" w14:paraId="4DC36070" w14:textId="77777777" w:rsidTr="00E402B6">
        <w:trPr>
          <w:cantSplit/>
        </w:trPr>
        <w:tc>
          <w:tcPr>
            <w:tcW w:w="1758" w:type="dxa"/>
            <w:vAlign w:val="bottom"/>
          </w:tcPr>
          <w:p w14:paraId="275B6771" w14:textId="77777777" w:rsidR="004543E0" w:rsidRPr="00E402B6" w:rsidRDefault="004543E0" w:rsidP="007E3239">
            <w:pPr>
              <w:pStyle w:val="TableText"/>
              <w:spacing w:before="50" w:after="50"/>
              <w:rPr>
                <w:rFonts w:cs="Calibri"/>
                <w:szCs w:val="16"/>
              </w:rPr>
            </w:pPr>
            <w:r w:rsidRPr="00E402B6">
              <w:rPr>
                <w:rFonts w:cs="Calibri"/>
                <w:szCs w:val="16"/>
              </w:rPr>
              <w:t>Mules and asses</w:t>
            </w:r>
          </w:p>
        </w:tc>
        <w:tc>
          <w:tcPr>
            <w:tcW w:w="1644" w:type="dxa"/>
            <w:vAlign w:val="center"/>
          </w:tcPr>
          <w:p w14:paraId="789C1564"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18" w:type="dxa"/>
            <w:vAlign w:val="center"/>
          </w:tcPr>
          <w:p w14:paraId="16ED9823"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1425" w:type="dxa"/>
            <w:vAlign w:val="center"/>
          </w:tcPr>
          <w:p w14:paraId="33F24577" w14:textId="77777777" w:rsidR="004543E0" w:rsidRPr="00E402B6" w:rsidRDefault="004543E0" w:rsidP="007E3239">
            <w:pPr>
              <w:pStyle w:val="TableText"/>
              <w:spacing w:before="50" w:after="50"/>
              <w:jc w:val="center"/>
              <w:rPr>
                <w:rFonts w:cs="Calibri"/>
                <w:szCs w:val="16"/>
              </w:rPr>
            </w:pPr>
            <w:r w:rsidRPr="00E402B6">
              <w:rPr>
                <w:rFonts w:cs="Calibri"/>
                <w:szCs w:val="16"/>
              </w:rPr>
              <w:t>100.0</w:t>
            </w:r>
          </w:p>
        </w:tc>
        <w:tc>
          <w:tcPr>
            <w:tcW w:w="1258" w:type="dxa"/>
            <w:vAlign w:val="center"/>
          </w:tcPr>
          <w:p w14:paraId="705FBC65"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c>
          <w:tcPr>
            <w:tcW w:w="964" w:type="dxa"/>
            <w:vAlign w:val="center"/>
          </w:tcPr>
          <w:p w14:paraId="23CB6A8D" w14:textId="77777777" w:rsidR="004543E0" w:rsidRPr="00E402B6" w:rsidRDefault="004543E0" w:rsidP="007E3239">
            <w:pPr>
              <w:pStyle w:val="TableText"/>
              <w:spacing w:before="50" w:after="50"/>
              <w:jc w:val="center"/>
              <w:rPr>
                <w:rFonts w:cs="Calibri"/>
                <w:szCs w:val="16"/>
              </w:rPr>
            </w:pPr>
            <w:r w:rsidRPr="00E402B6">
              <w:rPr>
                <w:rFonts w:cs="Calibri"/>
                <w:szCs w:val="16"/>
              </w:rPr>
              <w:t>–</w:t>
            </w:r>
          </w:p>
        </w:tc>
      </w:tr>
    </w:tbl>
    <w:p w14:paraId="5B5791E3" w14:textId="77777777" w:rsidR="004543E0" w:rsidRPr="009660EC" w:rsidRDefault="004543E0" w:rsidP="004543E0">
      <w:pPr>
        <w:pStyle w:val="Heading3"/>
        <w:spacing w:before="400"/>
      </w:pPr>
      <w:bookmarkStart w:id="804" w:name="_Toc32570659"/>
      <w:r w:rsidRPr="009660EC">
        <w:t>5.3.2</w:t>
      </w:r>
      <w:r w:rsidRPr="009660EC">
        <w:tab/>
        <w:t>Methodological issues</w:t>
      </w:r>
      <w:bookmarkEnd w:id="793"/>
      <w:bookmarkEnd w:id="804"/>
    </w:p>
    <w:p w14:paraId="49848C34" w14:textId="77777777" w:rsidR="004543E0" w:rsidRPr="009660EC" w:rsidRDefault="004543E0" w:rsidP="004543E0">
      <w:pPr>
        <w:pStyle w:val="Heading4"/>
      </w:pPr>
      <w:r w:rsidRPr="009660EC">
        <w:t xml:space="preserve">Methane from manure management systems (CRF 3.B.(a)) </w:t>
      </w:r>
    </w:p>
    <w:p w14:paraId="7D037F74" w14:textId="77777777" w:rsidR="004543E0" w:rsidRPr="009660EC" w:rsidRDefault="004543E0" w:rsidP="004543E0">
      <w:pPr>
        <w:pStyle w:val="BodyText"/>
      </w:pPr>
      <w:r w:rsidRPr="009660EC">
        <w:t>New Zealand uses a Tier 2 approach to calculate CH</w:t>
      </w:r>
      <w:r w:rsidRPr="009660EC">
        <w:rPr>
          <w:vertAlign w:val="subscript"/>
        </w:rPr>
        <w:t xml:space="preserve">4 </w:t>
      </w:r>
      <w:r w:rsidRPr="009660EC">
        <w:t>emissions from ruminant animal wastes from the major livestock categories in New Zealand (</w:t>
      </w:r>
      <w:r w:rsidRPr="009660EC">
        <w:rPr>
          <w:i/>
          <w:iCs/>
        </w:rPr>
        <w:t>Dairy cattle</w:t>
      </w:r>
      <w:r w:rsidRPr="009660EC">
        <w:t xml:space="preserve">, </w:t>
      </w:r>
      <w:r w:rsidRPr="009660EC">
        <w:rPr>
          <w:i/>
          <w:iCs/>
        </w:rPr>
        <w:t xml:space="preserve">Non-dairy </w:t>
      </w:r>
      <w:r w:rsidRPr="009660EC">
        <w:t>(beef)</w:t>
      </w:r>
      <w:r w:rsidRPr="009660EC">
        <w:rPr>
          <w:i/>
          <w:iCs/>
        </w:rPr>
        <w:t xml:space="preserve"> cattle</w:t>
      </w:r>
      <w:r w:rsidRPr="009660EC">
        <w:t xml:space="preserve">, </w:t>
      </w:r>
      <w:r w:rsidRPr="009660EC">
        <w:rPr>
          <w:i/>
          <w:iCs/>
        </w:rPr>
        <w:t>Sheep</w:t>
      </w:r>
      <w:r w:rsidRPr="009660EC">
        <w:t xml:space="preserve"> and </w:t>
      </w:r>
      <w:r w:rsidRPr="009660EC">
        <w:rPr>
          <w:i/>
          <w:iCs/>
        </w:rPr>
        <w:t>Deer</w:t>
      </w:r>
      <w:r w:rsidRPr="009660EC">
        <w:t>). This approach is based on the methods recommended by Saggar et al</w:t>
      </w:r>
      <w:r w:rsidRPr="009660EC">
        <w:rPr>
          <w:spacing w:val="-2"/>
        </w:rPr>
        <w:t xml:space="preserve">. </w:t>
      </w:r>
      <w:r w:rsidRPr="009660EC">
        <w:t>(unpublished) and is consistent with the 2006 IPCC Guidelines.</w:t>
      </w:r>
    </w:p>
    <w:p w14:paraId="0A3D79CF" w14:textId="77777777" w:rsidR="004543E0" w:rsidRPr="009660EC" w:rsidRDefault="004543E0" w:rsidP="004543E0">
      <w:pPr>
        <w:pStyle w:val="BodyText"/>
        <w:ind w:right="-57"/>
        <w:rPr>
          <w:rFonts w:cs="Calibri"/>
        </w:rPr>
      </w:pPr>
      <w:r w:rsidRPr="009660EC">
        <w:rPr>
          <w:rFonts w:cs="Calibri"/>
        </w:rPr>
        <w:t>Because New Zealand has detailed information on the dairy population and their characteristics (such as feed intake), the IPCC (2006) Tier 2 methodology for dairy anaerobic lagoons is used. The Tier 1 methodology for estimating emissions from various manure management systems of the minor livestock categories uses country-specific and IPCC (2006) default emission factors.</w:t>
      </w:r>
    </w:p>
    <w:p w14:paraId="7376A6A1" w14:textId="77777777" w:rsidR="004543E0" w:rsidRPr="009660EC" w:rsidRDefault="004543E0" w:rsidP="004543E0">
      <w:pPr>
        <w:pStyle w:val="Heading5"/>
        <w:rPr>
          <w:rFonts w:cs="Calibri"/>
        </w:rPr>
      </w:pPr>
      <w:bookmarkStart w:id="805" w:name="_Toc139264110"/>
      <w:r w:rsidRPr="009660EC">
        <w:rPr>
          <w:rFonts w:cs="Calibri"/>
        </w:rPr>
        <w:t xml:space="preserve">Manure methane </w:t>
      </w:r>
      <w:bookmarkEnd w:id="805"/>
      <w:r w:rsidRPr="009660EC">
        <w:rPr>
          <w:rFonts w:cs="Calibri"/>
        </w:rPr>
        <w:t xml:space="preserve">from the major livestock categories </w:t>
      </w:r>
    </w:p>
    <w:p w14:paraId="29E363AE" w14:textId="77777777" w:rsidR="004543E0" w:rsidRPr="009660EC" w:rsidRDefault="004543E0" w:rsidP="004543E0">
      <w:pPr>
        <w:pStyle w:val="BodyText"/>
        <w:rPr>
          <w:rFonts w:cs="Calibri"/>
        </w:rPr>
      </w:pPr>
      <w:r w:rsidRPr="009660EC">
        <w:rPr>
          <w:rFonts w:cs="Calibri"/>
        </w:rPr>
        <w:t>The approach for calculating CH</w:t>
      </w:r>
      <w:r w:rsidRPr="009660EC">
        <w:rPr>
          <w:rFonts w:cs="Calibri"/>
          <w:vertAlign w:val="subscript"/>
        </w:rPr>
        <w:t>4</w:t>
      </w:r>
      <w:r w:rsidRPr="009660EC">
        <w:rPr>
          <w:rFonts w:cs="Calibri"/>
        </w:rPr>
        <w:t xml:space="preserve"> emissions from the major livestock categories relies on: </w:t>
      </w:r>
    </w:p>
    <w:p w14:paraId="1373C0FD" w14:textId="77777777" w:rsidR="004543E0" w:rsidRPr="009660EC" w:rsidRDefault="004543E0" w:rsidP="004543E0">
      <w:pPr>
        <w:pStyle w:val="BodyText"/>
        <w:spacing w:before="0"/>
        <w:ind w:left="567" w:hanging="567"/>
        <w:rPr>
          <w:rFonts w:cs="Calibri"/>
        </w:rPr>
      </w:pPr>
      <w:r w:rsidRPr="009660EC">
        <w:rPr>
          <w:rFonts w:cs="Calibri"/>
        </w:rPr>
        <w:t xml:space="preserve">(1) </w:t>
      </w:r>
      <w:r w:rsidRPr="009660EC">
        <w:rPr>
          <w:rFonts w:cs="Calibri"/>
        </w:rPr>
        <w:tab/>
        <w:t>an estimation of the total quantity of faecal material produced, split into dung and urine</w:t>
      </w:r>
    </w:p>
    <w:p w14:paraId="5ABF54EB" w14:textId="77777777" w:rsidR="004543E0" w:rsidRPr="009660EC" w:rsidRDefault="004543E0" w:rsidP="004543E0">
      <w:pPr>
        <w:pStyle w:val="BodyText"/>
        <w:spacing w:before="0"/>
        <w:ind w:left="567" w:hanging="567"/>
        <w:rPr>
          <w:rFonts w:cs="Calibri"/>
        </w:rPr>
      </w:pPr>
      <w:r w:rsidRPr="009660EC">
        <w:rPr>
          <w:rFonts w:cs="Calibri"/>
        </w:rPr>
        <w:t xml:space="preserve">(2) </w:t>
      </w:r>
      <w:r w:rsidRPr="009660EC">
        <w:rPr>
          <w:rFonts w:cs="Calibri"/>
        </w:rPr>
        <w:tab/>
        <w:t xml:space="preserve">allocating the faecal material to the appropriate manure management system, either onto pastures or anaerobic lagoons (based on the distributions in table 5.3.2) </w:t>
      </w:r>
    </w:p>
    <w:p w14:paraId="79299F3F" w14:textId="77777777" w:rsidR="004543E0" w:rsidRPr="009660EC" w:rsidRDefault="004543E0" w:rsidP="004543E0">
      <w:pPr>
        <w:pStyle w:val="BodyText"/>
        <w:spacing w:before="0"/>
        <w:ind w:left="567" w:hanging="567"/>
        <w:rPr>
          <w:rFonts w:cs="Calibri"/>
        </w:rPr>
      </w:pPr>
      <w:r w:rsidRPr="009660EC">
        <w:rPr>
          <w:rFonts w:cs="Calibri"/>
        </w:rPr>
        <w:t xml:space="preserve">(3) </w:t>
      </w:r>
      <w:r w:rsidRPr="009660EC">
        <w:rPr>
          <w:rFonts w:cs="Calibri"/>
        </w:rPr>
        <w:tab/>
        <w:t>New Zealand-specific emission factors for the quantity of CH</w:t>
      </w:r>
      <w:r w:rsidRPr="009660EC">
        <w:rPr>
          <w:rFonts w:cs="Calibri"/>
          <w:vertAlign w:val="subscript"/>
        </w:rPr>
        <w:t>4</w:t>
      </w:r>
      <w:r w:rsidRPr="009660EC">
        <w:rPr>
          <w:rFonts w:cs="Calibri"/>
        </w:rPr>
        <w:t xml:space="preserve"> produced per unit of faecal dry-matter (FDM) output.</w:t>
      </w:r>
    </w:p>
    <w:p w14:paraId="4CCF38F5" w14:textId="77777777" w:rsidR="004543E0" w:rsidRPr="009660EC" w:rsidRDefault="004543E0" w:rsidP="004543E0">
      <w:pPr>
        <w:pStyle w:val="BodyText"/>
        <w:keepNext/>
        <w:rPr>
          <w:rFonts w:cs="Calibri"/>
        </w:rPr>
      </w:pPr>
      <w:r w:rsidRPr="009660EC">
        <w:rPr>
          <w:rFonts w:cs="Calibri"/>
        </w:rPr>
        <w:lastRenderedPageBreak/>
        <w:t>The following equation is used to determine the monthly FDM output for each livestock category (</w:t>
      </w:r>
      <w:r w:rsidRPr="009660EC">
        <w:rPr>
          <w:rFonts w:cs="Calibri"/>
          <w:i/>
          <w:iCs/>
        </w:rPr>
        <w:t>Dairy cattle</w:t>
      </w:r>
      <w:r w:rsidRPr="009660EC">
        <w:rPr>
          <w:rFonts w:cs="Calibri"/>
        </w:rPr>
        <w:t xml:space="preserve">, </w:t>
      </w:r>
      <w:r w:rsidRPr="009660EC">
        <w:rPr>
          <w:rFonts w:cs="Calibri"/>
          <w:i/>
          <w:iCs/>
        </w:rPr>
        <w:t xml:space="preserve">Non-dairy </w:t>
      </w:r>
      <w:r w:rsidRPr="009660EC">
        <w:rPr>
          <w:rFonts w:cs="Calibri"/>
        </w:rPr>
        <w:t xml:space="preserve">(beef) </w:t>
      </w:r>
      <w:r w:rsidRPr="009660EC">
        <w:rPr>
          <w:rFonts w:cs="Calibri"/>
          <w:i/>
          <w:iCs/>
        </w:rPr>
        <w:t>cattle</w:t>
      </w:r>
      <w:r w:rsidRPr="009660EC">
        <w:rPr>
          <w:rFonts w:cs="Calibri"/>
        </w:rPr>
        <w:t xml:space="preserve">, </w:t>
      </w:r>
      <w:r w:rsidRPr="009660EC">
        <w:rPr>
          <w:rFonts w:cs="Calibri"/>
          <w:i/>
          <w:iCs/>
        </w:rPr>
        <w:t>Sheep</w:t>
      </w:r>
      <w:r w:rsidRPr="009660EC">
        <w:rPr>
          <w:rFonts w:cs="Calibri"/>
        </w:rPr>
        <w:t xml:space="preserve"> and </w:t>
      </w:r>
      <w:r w:rsidRPr="009660EC">
        <w:rPr>
          <w:rFonts w:cs="Calibri"/>
          <w:i/>
          <w:iCs/>
        </w:rPr>
        <w:t>Deer</w:t>
      </w:r>
      <w:r w:rsidRPr="009660EC">
        <w:rPr>
          <w:rFonts w:cs="Calibri"/>
        </w:rPr>
        <w:t>):</w:t>
      </w:r>
    </w:p>
    <w:p w14:paraId="44C8FF9F" w14:textId="77777777" w:rsidR="004543E0" w:rsidRPr="009660EC" w:rsidRDefault="004543E0" w:rsidP="004543E0">
      <w:pPr>
        <w:spacing w:before="120" w:after="120"/>
        <w:jc w:val="center"/>
        <w:rPr>
          <w:rFonts w:ascii="Cambria Math" w:hAnsi="Cambria Math" w:cs="Calibri"/>
          <w:i/>
          <w:iCs/>
          <w:szCs w:val="24"/>
        </w:rPr>
      </w:pPr>
      <w:r w:rsidRPr="009660EC">
        <w:rPr>
          <w:rFonts w:ascii="Cambria Math" w:hAnsi="Cambria Math" w:cs="Calibri"/>
          <w:i/>
          <w:iCs/>
          <w:szCs w:val="24"/>
        </w:rPr>
        <w:t>FDM = DMI × (1 – DMD)</w:t>
      </w:r>
    </w:p>
    <w:p w14:paraId="6E0350D3" w14:textId="77777777" w:rsidR="004543E0" w:rsidRPr="009660EC" w:rsidRDefault="004543E0" w:rsidP="004543E0">
      <w:pPr>
        <w:pStyle w:val="BodyText"/>
        <w:spacing w:before="60" w:after="60"/>
        <w:ind w:left="964" w:hanging="964"/>
      </w:pPr>
      <w:r w:rsidRPr="009660EC">
        <w:t xml:space="preserve">Where: </w:t>
      </w:r>
      <w:r w:rsidRPr="009660EC">
        <w:tab/>
        <w:t>FDM is faecal dry matter (kg head</w:t>
      </w:r>
      <w:r w:rsidRPr="009660EC">
        <w:rPr>
          <w:vertAlign w:val="superscript"/>
        </w:rPr>
        <w:t xml:space="preserve">-1 </w:t>
      </w:r>
      <w:r w:rsidRPr="009660EC">
        <w:t>month</w:t>
      </w:r>
      <w:r w:rsidRPr="009660EC">
        <w:rPr>
          <w:vertAlign w:val="superscript"/>
        </w:rPr>
        <w:t>-1</w:t>
      </w:r>
      <w:r w:rsidRPr="009660EC">
        <w:t>)</w:t>
      </w:r>
    </w:p>
    <w:p w14:paraId="1040953B" w14:textId="77777777" w:rsidR="004543E0" w:rsidRPr="009660EC" w:rsidRDefault="004543E0" w:rsidP="004543E0">
      <w:pPr>
        <w:pStyle w:val="BodyText"/>
        <w:spacing w:before="60" w:after="60"/>
        <w:ind w:left="964" w:hanging="964"/>
      </w:pPr>
      <w:r w:rsidRPr="009660EC">
        <w:tab/>
        <w:t>DMI is dry-matter intake (kg head</w:t>
      </w:r>
      <w:r w:rsidRPr="009660EC">
        <w:rPr>
          <w:vertAlign w:val="superscript"/>
        </w:rPr>
        <w:t>-1</w:t>
      </w:r>
      <w:r w:rsidRPr="009660EC">
        <w:t xml:space="preserve"> month</w:t>
      </w:r>
      <w:r w:rsidRPr="009660EC">
        <w:rPr>
          <w:vertAlign w:val="superscript"/>
        </w:rPr>
        <w:t>-1</w:t>
      </w:r>
      <w:r w:rsidRPr="009660EC">
        <w:t>), and</w:t>
      </w:r>
    </w:p>
    <w:p w14:paraId="18A9C58A" w14:textId="77777777" w:rsidR="004543E0" w:rsidRPr="009660EC" w:rsidRDefault="004543E0" w:rsidP="004543E0">
      <w:pPr>
        <w:pStyle w:val="BodyText"/>
        <w:spacing w:before="60"/>
        <w:ind w:left="964" w:hanging="964"/>
      </w:pPr>
      <w:r w:rsidRPr="009660EC">
        <w:tab/>
        <w:t>DMD is dry-matter digestibility (decimal proportion).</w:t>
      </w:r>
    </w:p>
    <w:p w14:paraId="440BEF16" w14:textId="77777777" w:rsidR="004543E0" w:rsidRPr="009660EC" w:rsidRDefault="004543E0" w:rsidP="004543E0">
      <w:pPr>
        <w:pStyle w:val="BodyText"/>
        <w:rPr>
          <w:rFonts w:cs="Calibri"/>
        </w:rPr>
      </w:pPr>
      <w:r w:rsidRPr="009660EC">
        <w:rPr>
          <w:rFonts w:cs="Calibri"/>
        </w:rPr>
        <w:t>The DMI and dry-matter digestibility estimates in this calculation are the same as those used to calculate the enteric fermentation CH</w:t>
      </w:r>
      <w:r w:rsidRPr="009660EC">
        <w:rPr>
          <w:rFonts w:cs="Calibri"/>
          <w:vertAlign w:val="subscript"/>
        </w:rPr>
        <w:t xml:space="preserve">4 </w:t>
      </w:r>
      <w:r w:rsidRPr="009660EC">
        <w:rPr>
          <w:rFonts w:cs="Calibri"/>
          <w:spacing w:val="-2"/>
        </w:rPr>
        <w:t xml:space="preserve">and </w:t>
      </w:r>
      <w:r w:rsidRPr="009660EC">
        <w:rPr>
          <w:rFonts w:cs="Calibri"/>
        </w:rPr>
        <w:t>nitrogen</w:t>
      </w:r>
      <w:r w:rsidRPr="009660EC">
        <w:rPr>
          <w:rFonts w:cs="Calibri"/>
          <w:spacing w:val="-2"/>
        </w:rPr>
        <w:t xml:space="preserve"> in excreta.</w:t>
      </w:r>
      <w:r w:rsidRPr="009660EC">
        <w:rPr>
          <w:rFonts w:cs="Calibri"/>
        </w:rPr>
        <w:t xml:space="preserve"> These Tier 2 model calculations are based on livestock performance statistics (see section 5.1.4). </w:t>
      </w:r>
    </w:p>
    <w:p w14:paraId="18E0026D" w14:textId="77777777" w:rsidR="004543E0" w:rsidRPr="009660EC" w:rsidRDefault="004543E0" w:rsidP="004543E0">
      <w:pPr>
        <w:pStyle w:val="Heading5"/>
        <w:spacing w:before="200"/>
        <w:rPr>
          <w:rFonts w:cs="Calibri"/>
        </w:rPr>
      </w:pPr>
      <w:r w:rsidRPr="009660EC">
        <w:rPr>
          <w:rFonts w:cs="Calibri"/>
        </w:rPr>
        <w:t xml:space="preserve">Methane from dairy effluent anaerobic lagoons </w:t>
      </w:r>
    </w:p>
    <w:p w14:paraId="64C9C47F" w14:textId="77777777" w:rsidR="004543E0" w:rsidRPr="009660EC" w:rsidRDefault="004543E0" w:rsidP="004543E0">
      <w:pPr>
        <w:pStyle w:val="BodyText"/>
        <w:spacing w:before="100" w:after="60"/>
        <w:rPr>
          <w:rFonts w:cs="Calibri"/>
        </w:rPr>
      </w:pPr>
      <w:r w:rsidRPr="009660EC">
        <w:rPr>
          <w:rFonts w:cs="Calibri"/>
        </w:rPr>
        <w:t>Each year, a proportion of manure from dairy cows is stored in anaerobic lagoons (Rollo et al., 2017). A Tier 2 methodology derived from the 2006 IPCC Guidelines (equations 10.23 and 10.24) linking volatile solids to FDM is used for calculating CH</w:t>
      </w:r>
      <w:r w:rsidRPr="009660EC">
        <w:rPr>
          <w:rFonts w:cs="Calibri"/>
          <w:vertAlign w:val="subscript"/>
        </w:rPr>
        <w:t>4</w:t>
      </w:r>
      <w:r w:rsidRPr="009660EC">
        <w:rPr>
          <w:rFonts w:cs="Calibri"/>
        </w:rPr>
        <w:t xml:space="preserve"> emissions from this activity.</w:t>
      </w:r>
    </w:p>
    <w:p w14:paraId="2B841F1E" w14:textId="77777777" w:rsidR="004543E0" w:rsidRPr="009660EC" w:rsidRDefault="004543E0" w:rsidP="004543E0">
      <w:pPr>
        <w:pStyle w:val="BodyText"/>
        <w:spacing w:after="0"/>
        <w:rPr>
          <w:rFonts w:cs="Calibri"/>
        </w:rPr>
      </w:pPr>
      <w:r w:rsidRPr="009660EC">
        <w:rPr>
          <w:rFonts w:cs="Calibri"/>
        </w:rPr>
        <w:t>The following equation is used to determine CH</w:t>
      </w:r>
      <w:r w:rsidRPr="009660EC">
        <w:rPr>
          <w:rFonts w:cs="Calibri"/>
          <w:vertAlign w:val="subscript"/>
        </w:rPr>
        <w:t>4</w:t>
      </w:r>
      <w:r w:rsidRPr="009660EC">
        <w:rPr>
          <w:rFonts w:cs="Calibri"/>
        </w:rPr>
        <w:t xml:space="preserve"> emissions (CH</w:t>
      </w:r>
      <w:r w:rsidRPr="009660EC">
        <w:rPr>
          <w:rFonts w:cs="Calibri"/>
          <w:vertAlign w:val="subscript"/>
        </w:rPr>
        <w:t>4-MM</w:t>
      </w:r>
      <w:r w:rsidRPr="009660EC">
        <w:rPr>
          <w:rFonts w:cs="Calibri"/>
        </w:rPr>
        <w:t>) from dairy cattle manure in anaerobic lagoons:</w:t>
      </w:r>
    </w:p>
    <w:bookmarkStart w:id="806" w:name="_MON_1573034334"/>
    <w:bookmarkEnd w:id="806"/>
    <w:p w14:paraId="06AA99B8" w14:textId="77777777" w:rsidR="004543E0" w:rsidRPr="009660EC" w:rsidRDefault="004543E0" w:rsidP="004543E0">
      <w:pPr>
        <w:pStyle w:val="BodyText"/>
        <w:spacing w:after="0"/>
        <w:rPr>
          <w:rFonts w:cs="Calibri"/>
        </w:rPr>
      </w:pPr>
      <w:r w:rsidRPr="009660EC">
        <w:rPr>
          <w:rFonts w:cs="Calibri"/>
        </w:rPr>
        <w:object w:dxaOrig="7814" w:dyaOrig="448" w14:anchorId="324D9E47">
          <v:shape id="_x0000_i1085" type="#_x0000_t75" style="width:388.45pt;height:20.95pt" o:ole="">
            <v:imagedata r:id="rId125" o:title=""/>
          </v:shape>
          <o:OLEObject Type="Embed" ProgID="Word.Document.12" ShapeID="_x0000_i1085" DrawAspect="Content" ObjectID="_1710830389" r:id="rId126">
            <o:FieldCodes>\s</o:FieldCodes>
          </o:OLEObject>
        </w:object>
      </w:r>
    </w:p>
    <w:p w14:paraId="59D7D6D3" w14:textId="77777777" w:rsidR="004543E0" w:rsidRPr="009660EC" w:rsidRDefault="004543E0" w:rsidP="004543E0">
      <w:pPr>
        <w:pStyle w:val="BodyText"/>
        <w:spacing w:before="60" w:after="60"/>
        <w:ind w:left="964" w:hanging="964"/>
      </w:pPr>
      <w:r w:rsidRPr="009660EC">
        <w:t xml:space="preserve">Where: </w:t>
      </w:r>
      <w:r w:rsidRPr="009660EC">
        <w:tab/>
        <w:t>FDM is the faecal dry matter excreted by dairy cows (on pasture and stored in anaerobic lagoons) (kg head</w:t>
      </w:r>
      <w:r w:rsidRPr="009660EC">
        <w:rPr>
          <w:vertAlign w:val="superscript"/>
        </w:rPr>
        <w:t>-1</w:t>
      </w:r>
      <w:r w:rsidRPr="009660EC">
        <w:t xml:space="preserve"> month</w:t>
      </w:r>
      <w:r w:rsidRPr="009660EC">
        <w:rPr>
          <w:vertAlign w:val="superscript"/>
        </w:rPr>
        <w:t>-1</w:t>
      </w:r>
      <w:r w:rsidRPr="009660EC">
        <w:t>)</w:t>
      </w:r>
    </w:p>
    <w:p w14:paraId="48593238" w14:textId="77777777" w:rsidR="004543E0" w:rsidRPr="009660EC" w:rsidRDefault="004543E0" w:rsidP="004543E0">
      <w:pPr>
        <w:pStyle w:val="BodyText"/>
        <w:spacing w:before="60" w:after="60"/>
        <w:ind w:left="964" w:hanging="964"/>
      </w:pPr>
      <w:r w:rsidRPr="009660EC">
        <w:tab/>
        <w:t>ASH is the ash content of manure, 0.08 (IPCC, 2006, default value)</w:t>
      </w:r>
    </w:p>
    <w:p w14:paraId="20E878D2" w14:textId="77777777" w:rsidR="004543E0" w:rsidRPr="009660EC" w:rsidRDefault="004543E0" w:rsidP="004543E0">
      <w:pPr>
        <w:pStyle w:val="BodyText"/>
        <w:spacing w:before="60" w:after="60"/>
        <w:ind w:left="964" w:hanging="964"/>
      </w:pPr>
      <w:r w:rsidRPr="009660EC">
        <w:tab/>
        <w:t>B</w:t>
      </w:r>
      <w:r w:rsidRPr="009660EC">
        <w:rPr>
          <w:vertAlign w:val="subscript"/>
        </w:rPr>
        <w:t>0</w:t>
      </w:r>
      <w:r w:rsidRPr="009660EC">
        <w:t xml:space="preserve"> is the maximum CH</w:t>
      </w:r>
      <w:r w:rsidRPr="009660EC">
        <w:rPr>
          <w:vertAlign w:val="subscript"/>
        </w:rPr>
        <w:t>4</w:t>
      </w:r>
      <w:r w:rsidRPr="009660EC">
        <w:t>-producing capacity of manure variable by species and diet, 0.24 (IPCC, 2006; Oceania default value, verified by Pratt et al., 2012)</w:t>
      </w:r>
    </w:p>
    <w:p w14:paraId="116FC80A" w14:textId="77777777" w:rsidR="004543E0" w:rsidRPr="009660EC" w:rsidRDefault="004543E0" w:rsidP="004543E0">
      <w:pPr>
        <w:pStyle w:val="BodyText"/>
        <w:spacing w:before="60" w:after="40"/>
        <w:ind w:left="964" w:hanging="964"/>
      </w:pPr>
      <w:r w:rsidRPr="009660EC">
        <w:tab/>
        <w:t>0.67 is the conversion factor for converting CH</w:t>
      </w:r>
      <w:r w:rsidRPr="009660EC">
        <w:rPr>
          <w:vertAlign w:val="subscript"/>
        </w:rPr>
        <w:t>4</w:t>
      </w:r>
      <w:r w:rsidRPr="009660EC">
        <w:t xml:space="preserve"> from cubic metres to kilograms (IPCC, 2006)</w:t>
      </w:r>
    </w:p>
    <w:p w14:paraId="0859E082" w14:textId="77777777" w:rsidR="004543E0" w:rsidRPr="009660EC" w:rsidRDefault="004543E0" w:rsidP="004543E0">
      <w:pPr>
        <w:pStyle w:val="BodyText"/>
        <w:spacing w:before="60" w:after="40"/>
        <w:ind w:left="964" w:hanging="964"/>
      </w:pPr>
      <w:r w:rsidRPr="009660EC">
        <w:tab/>
        <w:t>MCF is the CH</w:t>
      </w:r>
      <w:r w:rsidRPr="009660EC">
        <w:rPr>
          <w:vertAlign w:val="subscript"/>
        </w:rPr>
        <w:t>4</w:t>
      </w:r>
      <w:r w:rsidRPr="009660EC">
        <w:t xml:space="preserve"> conversion factor, 0.76 (IPCC, 2006, table 10.17, default for uncovered anaerobic lagoon, average annual temperature 15 degrees Celsius, verified by Pratt et al., 2012) </w:t>
      </w:r>
    </w:p>
    <w:p w14:paraId="7B068987" w14:textId="77777777" w:rsidR="004543E0" w:rsidRPr="009660EC" w:rsidRDefault="004543E0" w:rsidP="004543E0">
      <w:pPr>
        <w:pStyle w:val="BodyText"/>
        <w:spacing w:before="60" w:after="60"/>
        <w:ind w:left="964" w:hanging="964"/>
      </w:pPr>
      <w:r w:rsidRPr="009660EC">
        <w:tab/>
        <w:t>MS is the fraction of total dairy manure excreted in anaerobic lagoons.</w:t>
      </w:r>
    </w:p>
    <w:p w14:paraId="44D709FC" w14:textId="77777777" w:rsidR="004543E0" w:rsidRPr="009660EC" w:rsidRDefault="004543E0" w:rsidP="004543E0">
      <w:pPr>
        <w:pStyle w:val="Heading5"/>
        <w:spacing w:before="200"/>
        <w:rPr>
          <w:rFonts w:cs="Calibri"/>
        </w:rPr>
      </w:pPr>
      <w:r w:rsidRPr="009660EC">
        <w:rPr>
          <w:rFonts w:cs="Calibri"/>
        </w:rPr>
        <w:t>Methane emissions from the major livestock categories</w:t>
      </w:r>
    </w:p>
    <w:p w14:paraId="08A6F1D3" w14:textId="77777777" w:rsidR="004543E0" w:rsidRPr="009660EC" w:rsidRDefault="004543E0" w:rsidP="004543E0">
      <w:pPr>
        <w:pStyle w:val="BodyText"/>
        <w:spacing w:after="0"/>
      </w:pPr>
      <w:r w:rsidRPr="009660EC">
        <w:t>The following equation is used to determine CH</w:t>
      </w:r>
      <w:r w:rsidRPr="009660EC">
        <w:rPr>
          <w:vertAlign w:val="subscript"/>
        </w:rPr>
        <w:t>4</w:t>
      </w:r>
      <w:r w:rsidRPr="009660EC">
        <w:t xml:space="preserve"> emissions (CH</w:t>
      </w:r>
      <w:r w:rsidRPr="009660EC">
        <w:rPr>
          <w:vertAlign w:val="subscript"/>
        </w:rPr>
        <w:t>4-PRP</w:t>
      </w:r>
      <w:r w:rsidRPr="009660EC">
        <w:t>) from beef cattle, sheep and deer manure deposited onto pasture:</w:t>
      </w:r>
    </w:p>
    <w:bookmarkStart w:id="807" w:name="_MON_1573034444"/>
    <w:bookmarkEnd w:id="807"/>
    <w:p w14:paraId="0797E700" w14:textId="77777777" w:rsidR="004543E0" w:rsidRPr="009660EC" w:rsidRDefault="004543E0" w:rsidP="004543E0">
      <w:pPr>
        <w:pStyle w:val="BodyText"/>
        <w:spacing w:after="0"/>
        <w:rPr>
          <w:rFonts w:cs="Calibri"/>
        </w:rPr>
      </w:pPr>
      <w:r w:rsidRPr="009660EC">
        <w:rPr>
          <w:rFonts w:cs="Calibri"/>
        </w:rPr>
        <w:object w:dxaOrig="7289" w:dyaOrig="411" w14:anchorId="66BDC642">
          <v:shape id="_x0000_i1086" type="#_x0000_t75" style="width:367.55pt;height:20.95pt" o:ole="">
            <v:imagedata r:id="rId127" o:title=""/>
          </v:shape>
          <o:OLEObject Type="Embed" ProgID="Word.Document.12" ShapeID="_x0000_i1086" DrawAspect="Content" ObjectID="_1710830390" r:id="rId128">
            <o:FieldCodes>\s</o:FieldCodes>
          </o:OLEObject>
        </w:object>
      </w:r>
    </w:p>
    <w:p w14:paraId="69859914" w14:textId="77777777" w:rsidR="004543E0" w:rsidRPr="009660EC" w:rsidRDefault="004543E0" w:rsidP="004543E0">
      <w:pPr>
        <w:pStyle w:val="BodyText"/>
        <w:spacing w:before="80" w:after="40"/>
        <w:ind w:left="964" w:hanging="964"/>
      </w:pPr>
      <w:r w:rsidRPr="009660EC">
        <w:t xml:space="preserve">Where: </w:t>
      </w:r>
      <w:r w:rsidRPr="009660EC">
        <w:tab/>
        <w:t>FDM is the faecal dry matter (kg/head/month)</w:t>
      </w:r>
    </w:p>
    <w:p w14:paraId="454E894E" w14:textId="77777777" w:rsidR="004543E0" w:rsidRPr="009660EC" w:rsidRDefault="004543E0" w:rsidP="004543E0">
      <w:pPr>
        <w:pStyle w:val="BodyText"/>
        <w:spacing w:before="40"/>
        <w:ind w:left="964" w:hanging="964"/>
      </w:pPr>
      <w:r w:rsidRPr="009660EC">
        <w:tab/>
        <w:t>Y</w:t>
      </w:r>
      <w:r w:rsidRPr="009660EC">
        <w:rPr>
          <w:vertAlign w:val="subscript"/>
        </w:rPr>
        <w:t>m</w:t>
      </w:r>
      <w:r w:rsidRPr="009660EC">
        <w:t xml:space="preserve"> is the CH</w:t>
      </w:r>
      <w:r w:rsidRPr="009660EC">
        <w:rPr>
          <w:vertAlign w:val="subscript"/>
        </w:rPr>
        <w:t>4</w:t>
      </w:r>
      <w:r w:rsidRPr="009660EC">
        <w:t xml:space="preserve"> yield value.</w:t>
      </w:r>
    </w:p>
    <w:p w14:paraId="70F64488" w14:textId="77777777" w:rsidR="004543E0" w:rsidRPr="009660EC" w:rsidRDefault="004543E0" w:rsidP="004543E0">
      <w:pPr>
        <w:pStyle w:val="BodyText"/>
        <w:spacing w:before="100" w:after="100"/>
      </w:pPr>
      <w:r w:rsidRPr="009660EC">
        <w:t>Country-specific CH</w:t>
      </w:r>
      <w:r w:rsidRPr="009660EC">
        <w:rPr>
          <w:vertAlign w:val="subscript"/>
        </w:rPr>
        <w:t>4</w:t>
      </w:r>
      <w:r w:rsidRPr="009660EC">
        <w:t xml:space="preserve"> yield values have been developed from New Zealand studies. Details on the values used for each of the major livestock categories are provided below.</w:t>
      </w:r>
    </w:p>
    <w:p w14:paraId="32B01563" w14:textId="77777777" w:rsidR="004543E0" w:rsidRPr="009660EC" w:rsidRDefault="004543E0" w:rsidP="004543E0">
      <w:pPr>
        <w:pStyle w:val="BodyText"/>
        <w:spacing w:before="100" w:after="100"/>
        <w:rPr>
          <w:rFonts w:cs="Calibri"/>
        </w:rPr>
      </w:pPr>
      <w:r w:rsidRPr="009660EC">
        <w:rPr>
          <w:rFonts w:cs="Calibri"/>
          <w:b/>
          <w:bCs/>
          <w:i/>
          <w:iCs/>
        </w:rPr>
        <w:t>Dairy cattle:</w:t>
      </w:r>
      <w:r w:rsidRPr="009660EC">
        <w:rPr>
          <w:rFonts w:cs="Calibri"/>
        </w:rPr>
        <w:t xml:space="preserve"> The quantity of CH</w:t>
      </w:r>
      <w:r w:rsidRPr="009660EC">
        <w:rPr>
          <w:rFonts w:cs="Calibri"/>
          <w:vertAlign w:val="subscript"/>
        </w:rPr>
        <w:t>4</w:t>
      </w:r>
      <w:r w:rsidRPr="009660EC">
        <w:rPr>
          <w:rFonts w:cs="Calibri"/>
        </w:rPr>
        <w:t xml:space="preserve"> produced per kilogram of FDM is 0.98 g CH</w:t>
      </w:r>
      <w:r w:rsidRPr="009660EC">
        <w:rPr>
          <w:rFonts w:cs="Calibri"/>
          <w:vertAlign w:val="subscript"/>
        </w:rPr>
        <w:t>4</w:t>
      </w:r>
      <w:r w:rsidRPr="009660EC">
        <w:rPr>
          <w:rFonts w:cs="Calibri"/>
        </w:rPr>
        <w:t>/kg for manure deposited on pasture. This value is obtained from New Zealand studies on dairy cows and varies from around 0.92 to 1.04 g CH</w:t>
      </w:r>
      <w:r w:rsidRPr="009660EC">
        <w:rPr>
          <w:rFonts w:cs="Calibri"/>
          <w:vertAlign w:val="subscript"/>
        </w:rPr>
        <w:t>4</w:t>
      </w:r>
      <w:r w:rsidRPr="009660EC">
        <w:rPr>
          <w:rFonts w:cs="Calibri"/>
        </w:rPr>
        <w:t>/kg (Saggar et al., unpublished; Sherlock et al., unpublished).</w:t>
      </w:r>
    </w:p>
    <w:p w14:paraId="283133BC" w14:textId="77777777" w:rsidR="004543E0" w:rsidRPr="009660EC" w:rsidRDefault="004543E0" w:rsidP="004543E0">
      <w:pPr>
        <w:pStyle w:val="BodyText"/>
      </w:pPr>
      <w:r w:rsidRPr="009660EC">
        <w:rPr>
          <w:b/>
          <w:bCs/>
          <w:i/>
          <w:iCs/>
        </w:rPr>
        <w:lastRenderedPageBreak/>
        <w:t xml:space="preserve">Non-dairy </w:t>
      </w:r>
      <w:r w:rsidRPr="009660EC">
        <w:rPr>
          <w:b/>
          <w:bCs/>
        </w:rPr>
        <w:t>(beef)</w:t>
      </w:r>
      <w:r w:rsidRPr="009660EC">
        <w:rPr>
          <w:b/>
          <w:bCs/>
          <w:i/>
          <w:iCs/>
        </w:rPr>
        <w:t xml:space="preserve"> cattle:</w:t>
      </w:r>
      <w:r w:rsidRPr="009660EC">
        <w:t xml:space="preserve"> The value of 0.98 g CH</w:t>
      </w:r>
      <w:r w:rsidRPr="009660EC">
        <w:rPr>
          <w:vertAlign w:val="subscript"/>
        </w:rPr>
        <w:t>4</w:t>
      </w:r>
      <w:r w:rsidRPr="009660EC">
        <w:t>/kg per unit of FDM is based on New Zealand studies on dairy cattle manure (Saggar et al., unpublished; Sherlock et al., unpublished). No specific studies have been conducted in New Zealand on CH</w:t>
      </w:r>
      <w:r w:rsidRPr="009660EC">
        <w:rPr>
          <w:vertAlign w:val="subscript"/>
        </w:rPr>
        <w:t>4</w:t>
      </w:r>
      <w:r w:rsidRPr="009660EC">
        <w:t xml:space="preserve"> emissions from beef cattle manure.</w:t>
      </w:r>
    </w:p>
    <w:p w14:paraId="029A72B1" w14:textId="77777777" w:rsidR="004543E0" w:rsidRPr="009660EC" w:rsidRDefault="004543E0" w:rsidP="004543E0">
      <w:pPr>
        <w:pStyle w:val="BodyText"/>
        <w:spacing w:before="100" w:after="100"/>
      </w:pPr>
      <w:r w:rsidRPr="009660EC">
        <w:rPr>
          <w:b/>
          <w:bCs/>
          <w:i/>
          <w:iCs/>
        </w:rPr>
        <w:t>Sheep:</w:t>
      </w:r>
      <w:r w:rsidRPr="009660EC">
        <w:rPr>
          <w:i/>
          <w:iCs/>
        </w:rPr>
        <w:t xml:space="preserve"> </w:t>
      </w:r>
      <w:r w:rsidRPr="009660EC">
        <w:t>The quantity of CH</w:t>
      </w:r>
      <w:r w:rsidRPr="009660EC">
        <w:rPr>
          <w:vertAlign w:val="subscript"/>
        </w:rPr>
        <w:t>4</w:t>
      </w:r>
      <w:r w:rsidRPr="009660EC">
        <w:t xml:space="preserve"> produced per unit of sheep FDM is 0.69 g CH</w:t>
      </w:r>
      <w:r w:rsidRPr="009660EC">
        <w:rPr>
          <w:vertAlign w:val="subscript"/>
        </w:rPr>
        <w:t>4</w:t>
      </w:r>
      <w:r w:rsidRPr="009660EC">
        <w:t>/kg. This value is obtained from a New Zealand study on sheep in which values ranged from 0.340 to 1.288 over six sampling periods (Carran et al., unpublished).</w:t>
      </w:r>
    </w:p>
    <w:p w14:paraId="7A2E9709" w14:textId="77777777" w:rsidR="004543E0" w:rsidRPr="009660EC" w:rsidRDefault="004543E0" w:rsidP="004543E0">
      <w:pPr>
        <w:pStyle w:val="BodyText"/>
        <w:spacing w:before="100" w:after="100"/>
      </w:pPr>
      <w:r w:rsidRPr="009660EC">
        <w:rPr>
          <w:b/>
          <w:bCs/>
          <w:i/>
          <w:iCs/>
        </w:rPr>
        <w:t>Deer:</w:t>
      </w:r>
      <w:r w:rsidRPr="009660EC">
        <w:t xml:space="preserve"> The quantity of CH</w:t>
      </w:r>
      <w:r w:rsidRPr="009660EC">
        <w:rPr>
          <w:vertAlign w:val="subscript"/>
        </w:rPr>
        <w:t>4</w:t>
      </w:r>
      <w:r w:rsidRPr="009660EC">
        <w:t xml:space="preserve"> produced per unit of FDM is assumed to be 0.91 g CH</w:t>
      </w:r>
      <w:r w:rsidRPr="009660EC">
        <w:rPr>
          <w:vertAlign w:val="subscript"/>
        </w:rPr>
        <w:t>4</w:t>
      </w:r>
      <w:r w:rsidRPr="009660EC">
        <w:t>/kg. Deer are not housed in New Zealand, and all faecal material is deposited directly onto pasture. This value is derived from New Zealand studies on sheep (Carran et al.,</w:t>
      </w:r>
      <w:r w:rsidRPr="009660EC">
        <w:rPr>
          <w:i/>
          <w:iCs/>
        </w:rPr>
        <w:t xml:space="preserve"> </w:t>
      </w:r>
      <w:r w:rsidRPr="009660EC">
        <w:t>unpublished) and dairy cattle (Saggar et al., unpublished; Sherlock et al., unpublished). No New Zealand studies have been done on CH</w:t>
      </w:r>
      <w:r w:rsidRPr="009660EC">
        <w:rPr>
          <w:vertAlign w:val="subscript"/>
        </w:rPr>
        <w:t>4</w:t>
      </w:r>
      <w:r w:rsidRPr="009660EC">
        <w:t xml:space="preserve"> emissions from deer manure. Further information on the calculation of the manure CH</w:t>
      </w:r>
      <w:r w:rsidRPr="009660EC">
        <w:rPr>
          <w:vertAlign w:val="subscript"/>
        </w:rPr>
        <w:t>4</w:t>
      </w:r>
      <w:r w:rsidRPr="009660EC">
        <w:t xml:space="preserve"> emission factor for deer is contained on page 123 (section 7.1.4) of the inventory methodology (Pickering et al., 2020).</w:t>
      </w:r>
    </w:p>
    <w:p w14:paraId="686530F3" w14:textId="77777777" w:rsidR="004543E0" w:rsidRPr="009660EC" w:rsidRDefault="004543E0" w:rsidP="004543E0">
      <w:pPr>
        <w:pStyle w:val="Heading5"/>
        <w:spacing w:before="200"/>
        <w:rPr>
          <w:rFonts w:cs="Calibri"/>
        </w:rPr>
      </w:pPr>
      <w:r w:rsidRPr="009660EC">
        <w:rPr>
          <w:rFonts w:cs="Calibri"/>
        </w:rPr>
        <w:t xml:space="preserve">Methane emissions from minor livestock categories </w:t>
      </w:r>
    </w:p>
    <w:p w14:paraId="0D13D4CA" w14:textId="77777777" w:rsidR="004543E0" w:rsidRPr="009660EC" w:rsidRDefault="004543E0" w:rsidP="004543E0">
      <w:pPr>
        <w:pStyle w:val="BodyText"/>
        <w:spacing w:before="100"/>
        <w:rPr>
          <w:rFonts w:cs="Calibri"/>
        </w:rPr>
      </w:pPr>
      <w:r w:rsidRPr="009660EC">
        <w:rPr>
          <w:rFonts w:cs="Calibri"/>
        </w:rPr>
        <w:t>Manure CH</w:t>
      </w:r>
      <w:r w:rsidRPr="009660EC">
        <w:rPr>
          <w:rFonts w:cs="Calibri"/>
          <w:vertAlign w:val="subscript"/>
        </w:rPr>
        <w:t>4</w:t>
      </w:r>
      <w:r w:rsidRPr="009660EC">
        <w:rPr>
          <w:rFonts w:cs="Calibri"/>
        </w:rPr>
        <w:t xml:space="preserve"> emissions from the minor livestock categories are calculated per head</w:t>
      </w:r>
      <w:r w:rsidRPr="009660EC">
        <w:rPr>
          <w:rFonts w:cs="Calibri"/>
          <w:vertAlign w:val="superscript"/>
        </w:rPr>
        <w:t>-1</w:t>
      </w:r>
      <w:r w:rsidRPr="009660EC">
        <w:rPr>
          <w:rFonts w:cs="Calibri"/>
        </w:rPr>
        <w:t>, using country-specific and IPCC default emission factors.</w:t>
      </w:r>
    </w:p>
    <w:p w14:paraId="4CD6FC2F" w14:textId="77777777" w:rsidR="004543E0" w:rsidRPr="009660EC" w:rsidRDefault="004543E0" w:rsidP="004543E0">
      <w:pPr>
        <w:pStyle w:val="BodyText"/>
        <w:spacing w:before="100"/>
        <w:rPr>
          <w:rFonts w:cs="Calibri"/>
        </w:rPr>
      </w:pPr>
      <w:r w:rsidRPr="009660EC">
        <w:rPr>
          <w:rFonts w:cs="Calibri"/>
          <w:b/>
          <w:bCs/>
          <w:i/>
          <w:iCs/>
        </w:rPr>
        <w:t>Swine:</w:t>
      </w:r>
      <w:r w:rsidRPr="009660EC">
        <w:rPr>
          <w:rFonts w:cs="Calibri"/>
          <w:b/>
          <w:bCs/>
        </w:rPr>
        <w:t xml:space="preserve"> </w:t>
      </w:r>
      <w:r w:rsidRPr="009660EC">
        <w:rPr>
          <w:rFonts w:cs="Calibri"/>
        </w:rPr>
        <w:t>New Zealand uses a country-specific emission factor of 5.94 kg CH</w:t>
      </w:r>
      <w:r w:rsidRPr="009660EC">
        <w:rPr>
          <w:rFonts w:cs="Calibri"/>
          <w:vertAlign w:val="subscript"/>
        </w:rPr>
        <w:t>4</w:t>
      </w:r>
      <w:r w:rsidRPr="009660EC">
        <w:rPr>
          <w:rFonts w:cs="Calibri"/>
        </w:rPr>
        <w:t xml:space="preserve"> head</w:t>
      </w:r>
      <w:r w:rsidRPr="009660EC">
        <w:rPr>
          <w:rFonts w:cs="Calibri"/>
          <w:vertAlign w:val="superscript"/>
        </w:rPr>
        <w:t>-1</w:t>
      </w:r>
      <w:r w:rsidRPr="009660EC">
        <w:rPr>
          <w:rFonts w:cs="Calibri"/>
        </w:rPr>
        <w:t xml:space="preserve"> year</w:t>
      </w:r>
      <w:r w:rsidRPr="009660EC">
        <w:rPr>
          <w:rFonts w:cs="Calibri"/>
          <w:vertAlign w:val="superscript"/>
        </w:rPr>
        <w:t>-1</w:t>
      </w:r>
      <w:r w:rsidRPr="009660EC">
        <w:rPr>
          <w:rFonts w:cs="Calibri"/>
        </w:rPr>
        <w:t xml:space="preserve"> (Hill, 2012) for estimating CH</w:t>
      </w:r>
      <w:r w:rsidRPr="009660EC">
        <w:rPr>
          <w:rFonts w:cs="Calibri"/>
          <w:vertAlign w:val="subscript"/>
        </w:rPr>
        <w:t>4</w:t>
      </w:r>
      <w:r w:rsidRPr="009660EC">
        <w:rPr>
          <w:rFonts w:cs="Calibri"/>
        </w:rPr>
        <w:t xml:space="preserve"> emissions from swine manure management. Industry data on swine diets </w:t>
      </w:r>
      <w:r w:rsidRPr="009660EC">
        <w:rPr>
          <w:rFonts w:cs="Calibri"/>
          <w:spacing w:val="-2"/>
        </w:rPr>
        <w:t>(to determine digestible energy of the swine feed and volatile solid excretion levels) and the use of waste management systems used by New Zealand swine producers (Hill, 2012) were used (equations 15 and 16 from the 1996 IPCC Guidelines, which correspond to equations 10.23 and 10.24 in the 2006 IPCC Guidelines) to determine a country-specific manure management emission factor. Further information on this is provided in the report by Hill (2012).</w:t>
      </w:r>
    </w:p>
    <w:p w14:paraId="6E9576C1" w14:textId="77777777" w:rsidR="004543E0" w:rsidRPr="009660EC" w:rsidRDefault="004543E0" w:rsidP="004543E0">
      <w:pPr>
        <w:pStyle w:val="BodyText"/>
        <w:keepLines/>
        <w:rPr>
          <w:rFonts w:cs="Calibri"/>
          <w:spacing w:val="-2"/>
        </w:rPr>
      </w:pPr>
      <w:r w:rsidRPr="009660EC">
        <w:rPr>
          <w:rFonts w:cs="Calibri"/>
          <w:b/>
          <w:bCs/>
          <w:i/>
          <w:iCs/>
          <w:spacing w:val="-2"/>
        </w:rPr>
        <w:t>Poultry:</w:t>
      </w:r>
      <w:r w:rsidRPr="009660EC">
        <w:rPr>
          <w:rFonts w:cs="Calibri"/>
          <w:i/>
          <w:iCs/>
          <w:spacing w:val="-2"/>
        </w:rPr>
        <w:t xml:space="preserve"> </w:t>
      </w:r>
      <w:r w:rsidRPr="009660EC">
        <w:rPr>
          <w:rFonts w:cs="Calibri"/>
          <w:spacing w:val="-2"/>
        </w:rPr>
        <w:t xml:space="preserve">Methane emissions from poultry manure management use New Zealand-specific emission factor values derived from Fick et al. (2011). These are based on New Zealand-specific volatile solids and proportions of poultry faeces in each manure management system for each production category. The poultry population has been disaggregated into three different categories, and the manure management emission factor values for each category are: </w:t>
      </w:r>
      <w:r w:rsidRPr="009660EC">
        <w:rPr>
          <w:rFonts w:cs="Calibri"/>
          <w:i/>
          <w:iCs/>
          <w:spacing w:val="-2"/>
        </w:rPr>
        <w:t>Broiler birds</w:t>
      </w:r>
      <w:r w:rsidRPr="009660EC">
        <w:rPr>
          <w:rFonts w:cs="Calibri"/>
          <w:spacing w:val="-2"/>
        </w:rPr>
        <w:t xml:space="preserve"> 0.022 kg CH</w:t>
      </w:r>
      <w:r w:rsidRPr="009660EC">
        <w:rPr>
          <w:rFonts w:cs="Calibri"/>
          <w:spacing w:val="-2"/>
          <w:vertAlign w:val="subscript"/>
        </w:rPr>
        <w:t>4</w:t>
      </w:r>
      <w:r w:rsidRPr="009660EC">
        <w:rPr>
          <w:rFonts w:cs="Calibri"/>
          <w:spacing w:val="-2"/>
        </w:rPr>
        <w:t xml:space="preserve"> head</w:t>
      </w:r>
      <w:r w:rsidRPr="009660EC">
        <w:rPr>
          <w:rFonts w:cs="Calibri"/>
          <w:spacing w:val="-2"/>
          <w:vertAlign w:val="superscript"/>
        </w:rPr>
        <w:t>-1</w:t>
      </w:r>
      <w:r w:rsidRPr="009660EC">
        <w:rPr>
          <w:rFonts w:cs="Calibri"/>
          <w:spacing w:val="-2"/>
        </w:rPr>
        <w:t xml:space="preserve"> year</w:t>
      </w:r>
      <w:r w:rsidRPr="009660EC">
        <w:rPr>
          <w:rFonts w:cs="Calibri"/>
          <w:spacing w:val="-2"/>
          <w:vertAlign w:val="superscript"/>
        </w:rPr>
        <w:t>-1</w:t>
      </w:r>
      <w:r w:rsidRPr="009660EC">
        <w:rPr>
          <w:rFonts w:cs="Calibri"/>
        </w:rPr>
        <w:t xml:space="preserve">; </w:t>
      </w:r>
      <w:r w:rsidRPr="009660EC">
        <w:rPr>
          <w:rFonts w:cs="Calibri"/>
          <w:i/>
          <w:iCs/>
          <w:spacing w:val="-2"/>
        </w:rPr>
        <w:t>Layer hens</w:t>
      </w:r>
      <w:r w:rsidRPr="009660EC">
        <w:rPr>
          <w:rFonts w:cs="Calibri"/>
          <w:spacing w:val="-2"/>
        </w:rPr>
        <w:t xml:space="preserve"> 0.016 kg CH</w:t>
      </w:r>
      <w:r w:rsidRPr="009660EC">
        <w:rPr>
          <w:rFonts w:cs="Calibri"/>
          <w:spacing w:val="-2"/>
          <w:vertAlign w:val="subscript"/>
        </w:rPr>
        <w:t>4</w:t>
      </w:r>
      <w:r w:rsidRPr="009660EC">
        <w:rPr>
          <w:rFonts w:cs="Calibri"/>
          <w:spacing w:val="-2"/>
        </w:rPr>
        <w:t xml:space="preserve"> head</w:t>
      </w:r>
      <w:r w:rsidRPr="009660EC">
        <w:rPr>
          <w:rFonts w:cs="Calibri"/>
          <w:spacing w:val="-2"/>
          <w:vertAlign w:val="superscript"/>
        </w:rPr>
        <w:t>-1</w:t>
      </w:r>
      <w:r w:rsidRPr="009660EC">
        <w:rPr>
          <w:rFonts w:cs="Calibri"/>
          <w:spacing w:val="-2"/>
        </w:rPr>
        <w:t xml:space="preserve"> year</w:t>
      </w:r>
      <w:r w:rsidRPr="009660EC">
        <w:rPr>
          <w:rFonts w:cs="Calibri"/>
          <w:spacing w:val="-2"/>
          <w:vertAlign w:val="superscript"/>
        </w:rPr>
        <w:t>-1</w:t>
      </w:r>
      <w:r w:rsidRPr="009660EC">
        <w:rPr>
          <w:rFonts w:cs="Calibri"/>
          <w:spacing w:val="-2"/>
        </w:rPr>
        <w:t xml:space="preserve">; and </w:t>
      </w:r>
      <w:r w:rsidRPr="009660EC">
        <w:rPr>
          <w:rFonts w:cs="Calibri"/>
          <w:i/>
          <w:iCs/>
          <w:spacing w:val="-2"/>
        </w:rPr>
        <w:t>Other</w:t>
      </w:r>
      <w:r w:rsidRPr="009660EC">
        <w:rPr>
          <w:rStyle w:val="FootnoteReference"/>
          <w:rFonts w:cs="Calibri"/>
          <w:i/>
          <w:iCs/>
          <w:spacing w:val="-2"/>
        </w:rPr>
        <w:footnoteReference w:id="54"/>
      </w:r>
      <w:r w:rsidRPr="009660EC">
        <w:rPr>
          <w:rFonts w:cs="Calibri"/>
          <w:spacing w:val="-2"/>
        </w:rPr>
        <w:t xml:space="preserve"> 0.117</w:t>
      </w:r>
      <w:r w:rsidRPr="009660EC">
        <w:rPr>
          <w:rFonts w:cs="Calibri"/>
        </w:rPr>
        <w:t> </w:t>
      </w:r>
      <w:r w:rsidRPr="009660EC">
        <w:rPr>
          <w:rFonts w:cs="Calibri"/>
          <w:spacing w:val="-2"/>
        </w:rPr>
        <w:t>kg CH</w:t>
      </w:r>
      <w:r w:rsidRPr="009660EC">
        <w:rPr>
          <w:rFonts w:cs="Calibri"/>
          <w:spacing w:val="-2"/>
          <w:vertAlign w:val="subscript"/>
        </w:rPr>
        <w:t>4</w:t>
      </w:r>
      <w:r w:rsidRPr="009660EC">
        <w:rPr>
          <w:rFonts w:cs="Calibri"/>
          <w:spacing w:val="-2"/>
        </w:rPr>
        <w:t xml:space="preserve"> head</w:t>
      </w:r>
      <w:r w:rsidRPr="009660EC">
        <w:rPr>
          <w:rFonts w:cs="Calibri"/>
          <w:spacing w:val="-2"/>
          <w:vertAlign w:val="superscript"/>
        </w:rPr>
        <w:t>-1</w:t>
      </w:r>
      <w:r w:rsidRPr="009660EC">
        <w:rPr>
          <w:rFonts w:cs="Calibri"/>
          <w:spacing w:val="-2"/>
        </w:rPr>
        <w:t xml:space="preserve"> year</w:t>
      </w:r>
      <w:r w:rsidRPr="009660EC">
        <w:rPr>
          <w:rFonts w:cs="Calibri"/>
          <w:spacing w:val="-2"/>
          <w:vertAlign w:val="superscript"/>
        </w:rPr>
        <w:t>-1</w:t>
      </w:r>
      <w:r w:rsidRPr="009660EC">
        <w:rPr>
          <w:rFonts w:cs="Calibri"/>
          <w:spacing w:val="-2"/>
        </w:rPr>
        <w:t>. The overall IEF for poultry is affected by the change over time in the population proportions of these different poultry categories.</w:t>
      </w:r>
    </w:p>
    <w:p w14:paraId="76F9C897" w14:textId="7960ECD4" w:rsidR="004543E0" w:rsidRPr="009660EC" w:rsidRDefault="004543E0" w:rsidP="004543E0">
      <w:pPr>
        <w:pStyle w:val="BodyText"/>
        <w:rPr>
          <w:rFonts w:cs="Calibri"/>
        </w:rPr>
      </w:pPr>
      <w:r w:rsidRPr="009660EC">
        <w:rPr>
          <w:rFonts w:cs="Calibri"/>
          <w:b/>
          <w:bCs/>
          <w:i/>
          <w:iCs/>
        </w:rPr>
        <w:t>Goats</w:t>
      </w:r>
      <w:r w:rsidRPr="009660EC">
        <w:rPr>
          <w:rFonts w:cs="Calibri"/>
          <w:b/>
          <w:bCs/>
        </w:rPr>
        <w:t xml:space="preserve">, </w:t>
      </w:r>
      <w:r w:rsidRPr="009660EC">
        <w:rPr>
          <w:rFonts w:cs="Calibri"/>
          <w:b/>
          <w:bCs/>
          <w:i/>
          <w:iCs/>
        </w:rPr>
        <w:t>Horses</w:t>
      </w:r>
      <w:r w:rsidRPr="009660EC">
        <w:rPr>
          <w:rFonts w:cs="Calibri"/>
          <w:b/>
          <w:bCs/>
        </w:rPr>
        <w:t xml:space="preserve">, and </w:t>
      </w:r>
      <w:r w:rsidRPr="009660EC">
        <w:rPr>
          <w:rFonts w:cs="Calibri"/>
          <w:b/>
          <w:bCs/>
          <w:i/>
          <w:iCs/>
        </w:rPr>
        <w:t>Mules and asses:</w:t>
      </w:r>
      <w:r w:rsidRPr="009660EC">
        <w:rPr>
          <w:rFonts w:cs="Calibri"/>
          <w:b/>
          <w:bCs/>
        </w:rPr>
        <w:t xml:space="preserve"> </w:t>
      </w:r>
      <w:r w:rsidRPr="009660EC">
        <w:rPr>
          <w:rFonts w:cs="Calibri"/>
        </w:rPr>
        <w:t>New Zealand uses IPCC (2006) default emission factors for CH</w:t>
      </w:r>
      <w:r w:rsidRPr="009660EC">
        <w:rPr>
          <w:rFonts w:cs="Calibri"/>
          <w:vertAlign w:val="subscript"/>
        </w:rPr>
        <w:t>4</w:t>
      </w:r>
      <w:r w:rsidRPr="009660EC">
        <w:rPr>
          <w:rFonts w:cs="Calibri"/>
        </w:rPr>
        <w:t xml:space="preserve"> emissions from manure management for goats, horses, mules and asses (table 10.15, IPCC, 2006). The emission factors are 0.20 kg CH</w:t>
      </w:r>
      <w:r w:rsidRPr="009660EC">
        <w:rPr>
          <w:rFonts w:cs="Calibri"/>
          <w:vertAlign w:val="subscript"/>
        </w:rPr>
        <w:t>4</w:t>
      </w:r>
      <w:r w:rsidRPr="009660EC">
        <w:rPr>
          <w:rFonts w:cs="Calibri"/>
        </w:rPr>
        <w:t xml:space="preserve"> head</w:t>
      </w:r>
      <w:r w:rsidRPr="009660EC">
        <w:rPr>
          <w:rFonts w:cs="Calibri"/>
          <w:vertAlign w:val="superscript"/>
        </w:rPr>
        <w:t>-1</w:t>
      </w:r>
      <w:r w:rsidRPr="009660EC">
        <w:rPr>
          <w:rFonts w:cs="Calibri"/>
        </w:rPr>
        <w:t xml:space="preserve"> year</w:t>
      </w:r>
      <w:r w:rsidRPr="009660EC">
        <w:rPr>
          <w:rFonts w:cs="Calibri"/>
          <w:vertAlign w:val="superscript"/>
        </w:rPr>
        <w:t>-1</w:t>
      </w:r>
      <w:r w:rsidRPr="009660EC">
        <w:rPr>
          <w:rFonts w:cs="Calibri"/>
        </w:rPr>
        <w:t xml:space="preserve"> for goats, 2.34 kg CH</w:t>
      </w:r>
      <w:r w:rsidRPr="009660EC">
        <w:rPr>
          <w:rFonts w:cs="Calibri"/>
          <w:vertAlign w:val="subscript"/>
        </w:rPr>
        <w:t>4</w:t>
      </w:r>
      <w:r w:rsidRPr="009660EC">
        <w:rPr>
          <w:rFonts w:cs="Calibri"/>
        </w:rPr>
        <w:t xml:space="preserve"> head</w:t>
      </w:r>
      <w:r w:rsidRPr="009660EC">
        <w:rPr>
          <w:rFonts w:cs="Calibri"/>
          <w:vertAlign w:val="superscript"/>
        </w:rPr>
        <w:t>-1</w:t>
      </w:r>
      <w:r w:rsidRPr="009660EC">
        <w:rPr>
          <w:rFonts w:cs="Calibri"/>
        </w:rPr>
        <w:t xml:space="preserve"> year</w:t>
      </w:r>
      <w:r w:rsidRPr="009660EC">
        <w:rPr>
          <w:rFonts w:cs="Calibri"/>
          <w:vertAlign w:val="superscript"/>
        </w:rPr>
        <w:t>-1</w:t>
      </w:r>
      <w:r w:rsidRPr="009660EC">
        <w:rPr>
          <w:rFonts w:cs="Calibri"/>
        </w:rPr>
        <w:t xml:space="preserve"> for horses and 1.10 kg CH</w:t>
      </w:r>
      <w:r w:rsidRPr="009660EC">
        <w:rPr>
          <w:rFonts w:cs="Calibri"/>
          <w:vertAlign w:val="subscript"/>
        </w:rPr>
        <w:t>4</w:t>
      </w:r>
      <w:r w:rsidRPr="009660EC">
        <w:rPr>
          <w:rFonts w:cs="Calibri"/>
        </w:rPr>
        <w:t xml:space="preserve"> head</w:t>
      </w:r>
      <w:r w:rsidRPr="009660EC">
        <w:rPr>
          <w:rFonts w:cs="Calibri"/>
          <w:vertAlign w:val="superscript"/>
        </w:rPr>
        <w:t>-1</w:t>
      </w:r>
      <w:r w:rsidRPr="009660EC">
        <w:rPr>
          <w:rFonts w:cs="Calibri"/>
        </w:rPr>
        <w:t xml:space="preserve"> year</w:t>
      </w:r>
      <w:r w:rsidRPr="009660EC">
        <w:rPr>
          <w:rFonts w:cs="Calibri"/>
          <w:vertAlign w:val="superscript"/>
        </w:rPr>
        <w:t>-1</w:t>
      </w:r>
      <w:r w:rsidRPr="009660EC">
        <w:rPr>
          <w:rFonts w:cs="Calibri"/>
        </w:rPr>
        <w:t xml:space="preserve"> for mules and asses. These are the IPCC values for temperate developed countries. </w:t>
      </w:r>
    </w:p>
    <w:p w14:paraId="67913A12" w14:textId="77777777" w:rsidR="004543E0" w:rsidRPr="009660EC" w:rsidRDefault="004543E0" w:rsidP="004543E0">
      <w:pPr>
        <w:pStyle w:val="BodyText"/>
        <w:rPr>
          <w:rFonts w:cs="Calibri"/>
        </w:rPr>
      </w:pPr>
      <w:r w:rsidRPr="007A1369">
        <w:rPr>
          <w:rFonts w:cs="Calibri"/>
          <w:b/>
          <w:bCs/>
        </w:rPr>
        <w:t>Llamas and alpacas:</w:t>
      </w:r>
      <w:r w:rsidRPr="009660EC">
        <w:rPr>
          <w:rFonts w:cs="Calibri"/>
        </w:rPr>
        <w:t xml:space="preserve"> No IPCC default value is available for CH</w:t>
      </w:r>
      <w:r w:rsidRPr="009660EC">
        <w:rPr>
          <w:rFonts w:cs="Calibri"/>
          <w:vertAlign w:val="subscript"/>
        </w:rPr>
        <w:t>4</w:t>
      </w:r>
      <w:r w:rsidRPr="009660EC">
        <w:rPr>
          <w:rFonts w:cs="Calibri"/>
        </w:rPr>
        <w:t xml:space="preserve"> emissions from manure management for alpacas. The emissions are calculated by assuming that the CH</w:t>
      </w:r>
      <w:r w:rsidRPr="009660EC">
        <w:rPr>
          <w:rFonts w:cs="Calibri"/>
          <w:vertAlign w:val="subscript"/>
        </w:rPr>
        <w:t>4</w:t>
      </w:r>
      <w:r w:rsidRPr="009660EC">
        <w:rPr>
          <w:rFonts w:cs="Calibri"/>
        </w:rPr>
        <w:t xml:space="preserve"> emission factor from manure management for alpacas for all years is equal to the CH</w:t>
      </w:r>
      <w:r w:rsidRPr="009660EC">
        <w:rPr>
          <w:rFonts w:cs="Calibri"/>
          <w:vertAlign w:val="subscript"/>
        </w:rPr>
        <w:t>4</w:t>
      </w:r>
      <w:r w:rsidRPr="009660EC">
        <w:rPr>
          <w:rFonts w:cs="Calibri"/>
        </w:rPr>
        <w:t xml:space="preserve"> manure management IEF for sheep in 1990 (i.e., manure management CH</w:t>
      </w:r>
      <w:r w:rsidRPr="009660EC">
        <w:rPr>
          <w:rFonts w:cs="Calibri"/>
          <w:vertAlign w:val="subscript"/>
        </w:rPr>
        <w:t>4</w:t>
      </w:r>
      <w:r w:rsidRPr="009660EC">
        <w:rPr>
          <w:rFonts w:cs="Calibri"/>
        </w:rPr>
        <w:t xml:space="preserve"> sheep emissions per sheep).The alpaca emission factor (0.10 kg CH</w:t>
      </w:r>
      <w:r w:rsidRPr="009660EC">
        <w:rPr>
          <w:rFonts w:cs="Calibri"/>
          <w:vertAlign w:val="subscript"/>
        </w:rPr>
        <w:t>4</w:t>
      </w:r>
      <w:r w:rsidRPr="009660EC">
        <w:rPr>
          <w:rFonts w:cs="Calibri"/>
        </w:rPr>
        <w:t xml:space="preserve"> head</w:t>
      </w:r>
      <w:r w:rsidRPr="009660EC">
        <w:rPr>
          <w:rFonts w:cs="Calibri"/>
          <w:vertAlign w:val="superscript"/>
        </w:rPr>
        <w:t>-1</w:t>
      </w:r>
      <w:r w:rsidRPr="009660EC">
        <w:rPr>
          <w:rFonts w:cs="Calibri"/>
        </w:rPr>
        <w:t xml:space="preserve"> year</w:t>
      </w:r>
      <w:r w:rsidRPr="009660EC">
        <w:rPr>
          <w:rFonts w:cs="Calibri"/>
          <w:vertAlign w:val="superscript"/>
        </w:rPr>
        <w:t>-1</w:t>
      </w:r>
      <w:r w:rsidRPr="009660EC">
        <w:rPr>
          <w:rFonts w:cs="Calibri"/>
        </w:rPr>
        <w:t>) is not indexed to sheep over time because there are no data indicating that alpacas have had the productivity increases over time seen in sheep.</w:t>
      </w:r>
    </w:p>
    <w:p w14:paraId="496DB010" w14:textId="77777777" w:rsidR="004543E0" w:rsidRPr="009660EC" w:rsidRDefault="004543E0" w:rsidP="004543E0">
      <w:pPr>
        <w:pStyle w:val="Heading4"/>
      </w:pPr>
      <w:r w:rsidRPr="009660EC">
        <w:lastRenderedPageBreak/>
        <w:t xml:space="preserve">Nitrous oxide from manure management systems (CRF 3.B.(b)) </w:t>
      </w:r>
    </w:p>
    <w:p w14:paraId="10082264" w14:textId="77777777" w:rsidR="004543E0" w:rsidRPr="009660EC" w:rsidRDefault="004543E0" w:rsidP="004543E0">
      <w:pPr>
        <w:pStyle w:val="BodyText"/>
        <w:rPr>
          <w:rFonts w:cs="Calibri"/>
        </w:rPr>
      </w:pPr>
      <w:r w:rsidRPr="009660EC">
        <w:rPr>
          <w:rFonts w:cs="Calibri"/>
        </w:rPr>
        <w:t>Nitrous oxide emissions from manure management can be classified as either direct or indirect. Direct N</w:t>
      </w:r>
      <w:r w:rsidRPr="009660EC">
        <w:rPr>
          <w:rFonts w:cs="Calibri"/>
          <w:vertAlign w:val="subscript"/>
        </w:rPr>
        <w:t>2</w:t>
      </w:r>
      <w:r w:rsidRPr="009660EC">
        <w:rPr>
          <w:rFonts w:cs="Calibri"/>
        </w:rPr>
        <w:t>O emissions occur from nitrification and denitrification of nitrogen contained in the manure. Indirect N</w:t>
      </w:r>
      <w:r w:rsidRPr="009660EC">
        <w:rPr>
          <w:rFonts w:cs="Calibri"/>
          <w:vertAlign w:val="subscript"/>
        </w:rPr>
        <w:t>2</w:t>
      </w:r>
      <w:r w:rsidRPr="009660EC">
        <w:rPr>
          <w:rFonts w:cs="Calibri"/>
        </w:rPr>
        <w:t>O emissions result from volatile nitrogen losses in the forms of ammonia (NH</w:t>
      </w:r>
      <w:r w:rsidRPr="009660EC">
        <w:rPr>
          <w:rFonts w:cs="Calibri"/>
          <w:vertAlign w:val="subscript"/>
        </w:rPr>
        <w:t>3</w:t>
      </w:r>
      <w:r w:rsidRPr="009660EC">
        <w:rPr>
          <w:rFonts w:cs="Calibri"/>
        </w:rPr>
        <w:t>) and NO</w:t>
      </w:r>
      <w:r w:rsidRPr="009660EC">
        <w:rPr>
          <w:rFonts w:cs="Calibri"/>
          <w:vertAlign w:val="subscript"/>
        </w:rPr>
        <w:t>x</w:t>
      </w:r>
      <w:r w:rsidRPr="009660EC">
        <w:rPr>
          <w:rFonts w:cs="Calibri"/>
        </w:rPr>
        <w:t xml:space="preserve"> that are emitted via diffusion into the surrounding air (volatilisation) or via leaching and runoff. </w:t>
      </w:r>
    </w:p>
    <w:p w14:paraId="231C223C" w14:textId="77777777" w:rsidR="004543E0" w:rsidRPr="009660EC" w:rsidRDefault="004543E0" w:rsidP="004543E0">
      <w:pPr>
        <w:pStyle w:val="BodyText"/>
        <w:rPr>
          <w:rFonts w:cs="Calibri"/>
        </w:rPr>
      </w:pPr>
      <w:r w:rsidRPr="009660EC">
        <w:rPr>
          <w:rFonts w:cs="Calibri"/>
        </w:rPr>
        <w:t>Nitrous oxide emissions from manure are calculated for each livestock category based on:</w:t>
      </w:r>
    </w:p>
    <w:p w14:paraId="095A0B5A" w14:textId="77777777" w:rsidR="004543E0" w:rsidRPr="009660EC" w:rsidRDefault="004543E0" w:rsidP="004543E0">
      <w:pPr>
        <w:spacing w:after="120"/>
        <w:ind w:left="397" w:hanging="397"/>
        <w:rPr>
          <w:rFonts w:cs="Calibri"/>
        </w:rPr>
      </w:pPr>
      <w:r w:rsidRPr="009660EC">
        <w:rPr>
          <w:rFonts w:cs="Calibri"/>
        </w:rPr>
        <w:t xml:space="preserve">(1) </w:t>
      </w:r>
      <w:r w:rsidRPr="009660EC">
        <w:rPr>
          <w:rFonts w:cs="Calibri"/>
        </w:rPr>
        <w:tab/>
        <w:t xml:space="preserve">livestock population characterisation data (consistent with section 5.1.3) </w:t>
      </w:r>
    </w:p>
    <w:p w14:paraId="5E722DF8" w14:textId="77777777" w:rsidR="004543E0" w:rsidRPr="009660EC" w:rsidRDefault="004543E0" w:rsidP="004543E0">
      <w:pPr>
        <w:spacing w:after="120"/>
        <w:ind w:left="397" w:hanging="397"/>
        <w:rPr>
          <w:rFonts w:cs="Calibri"/>
        </w:rPr>
      </w:pPr>
      <w:r w:rsidRPr="009660EC">
        <w:rPr>
          <w:rFonts w:cs="Calibri"/>
        </w:rPr>
        <w:t xml:space="preserve">(2) </w:t>
      </w:r>
      <w:r w:rsidRPr="009660EC">
        <w:rPr>
          <w:rFonts w:cs="Calibri"/>
        </w:rPr>
        <w:tab/>
        <w:t>the average nitrogen excretion rate per head</w:t>
      </w:r>
      <w:r w:rsidRPr="009660EC">
        <w:rPr>
          <w:rFonts w:cs="Calibri"/>
          <w:vertAlign w:val="superscript"/>
        </w:rPr>
        <w:t>-1</w:t>
      </w:r>
      <w:r w:rsidRPr="009660EC">
        <w:rPr>
          <w:rFonts w:cs="Calibri"/>
        </w:rPr>
        <w:t xml:space="preserve"> year</w:t>
      </w:r>
      <w:r w:rsidRPr="009660EC">
        <w:rPr>
          <w:rFonts w:cs="Calibri"/>
          <w:vertAlign w:val="superscript"/>
        </w:rPr>
        <w:t>-1</w:t>
      </w:r>
    </w:p>
    <w:p w14:paraId="5D5A7EB9" w14:textId="77777777" w:rsidR="004543E0" w:rsidRPr="009660EC" w:rsidRDefault="004543E0" w:rsidP="004543E0">
      <w:pPr>
        <w:spacing w:after="120"/>
        <w:ind w:left="397" w:hanging="397"/>
        <w:rPr>
          <w:rFonts w:cs="Calibri"/>
        </w:rPr>
      </w:pPr>
      <w:r w:rsidRPr="009660EC">
        <w:rPr>
          <w:rFonts w:cs="Calibri"/>
        </w:rPr>
        <w:t xml:space="preserve">(3) </w:t>
      </w:r>
      <w:r w:rsidRPr="009660EC">
        <w:rPr>
          <w:rFonts w:cs="Calibri"/>
        </w:rPr>
        <w:tab/>
        <w:t>an estimation of the total quantity of faecal material produced (consistent with the calculations in the previous section for CH</w:t>
      </w:r>
      <w:r w:rsidRPr="009660EC">
        <w:rPr>
          <w:rFonts w:cs="Calibri"/>
          <w:vertAlign w:val="subscript"/>
        </w:rPr>
        <w:t>4</w:t>
      </w:r>
      <w:r w:rsidRPr="009660EC">
        <w:rPr>
          <w:rFonts w:cs="Calibri"/>
        </w:rPr>
        <w:t xml:space="preserve"> from manure management) split into dung and urine</w:t>
      </w:r>
    </w:p>
    <w:p w14:paraId="73BC742B" w14:textId="77777777" w:rsidR="004543E0" w:rsidRPr="009660EC" w:rsidRDefault="004543E0" w:rsidP="004543E0">
      <w:pPr>
        <w:spacing w:after="120"/>
        <w:ind w:left="397" w:hanging="397"/>
        <w:rPr>
          <w:rFonts w:cs="Calibri"/>
        </w:rPr>
      </w:pPr>
      <w:r w:rsidRPr="009660EC">
        <w:rPr>
          <w:rFonts w:cs="Calibri"/>
        </w:rPr>
        <w:t xml:space="preserve">(4) </w:t>
      </w:r>
      <w:r w:rsidRPr="009660EC">
        <w:rPr>
          <w:rFonts w:cs="Calibri"/>
        </w:rPr>
        <w:tab/>
        <w:t>the partitioning of this faecal material between manure management systems (based on the manure distributions in table 5.3.2)</w:t>
      </w:r>
    </w:p>
    <w:p w14:paraId="1FC18438" w14:textId="77777777" w:rsidR="004543E0" w:rsidRPr="009660EC" w:rsidRDefault="004543E0" w:rsidP="004543E0">
      <w:pPr>
        <w:spacing w:after="120"/>
        <w:ind w:left="397" w:hanging="397"/>
        <w:rPr>
          <w:rFonts w:cs="Calibri"/>
        </w:rPr>
      </w:pPr>
      <w:r w:rsidRPr="009660EC">
        <w:rPr>
          <w:rFonts w:cs="Calibri"/>
        </w:rPr>
        <w:t xml:space="preserve">(5) </w:t>
      </w:r>
      <w:r w:rsidRPr="009660EC">
        <w:rPr>
          <w:rFonts w:cs="Calibri"/>
        </w:rPr>
        <w:tab/>
        <w:t xml:space="preserve">the total amount of nitrogen managed in each system multiplied by an emission factor (IPCC, 2006). </w:t>
      </w:r>
    </w:p>
    <w:p w14:paraId="5DFA0FB7" w14:textId="77777777" w:rsidR="004543E0" w:rsidRPr="009660EC" w:rsidRDefault="004543E0" w:rsidP="004543E0">
      <w:pPr>
        <w:pStyle w:val="Heading5"/>
        <w:rPr>
          <w:rFonts w:cs="Calibri"/>
        </w:rPr>
      </w:pPr>
      <w:r w:rsidRPr="009660EC">
        <w:rPr>
          <w:rFonts w:cs="Calibri"/>
        </w:rPr>
        <w:t>Nitrogen excretion rates for the major livestock categories</w:t>
      </w:r>
    </w:p>
    <w:p w14:paraId="5D39C23C" w14:textId="77777777" w:rsidR="004543E0" w:rsidRPr="009660EC" w:rsidRDefault="004543E0" w:rsidP="004543E0">
      <w:pPr>
        <w:pStyle w:val="BodyText"/>
        <w:spacing w:before="100" w:after="100"/>
        <w:rPr>
          <w:rFonts w:cs="Calibri"/>
        </w:rPr>
      </w:pPr>
      <w:r w:rsidRPr="009660EC">
        <w:rPr>
          <w:rFonts w:cs="Calibri"/>
        </w:rPr>
        <w:t>The nitrogen excretion (N</w:t>
      </w:r>
      <w:r w:rsidRPr="009660EC">
        <w:rPr>
          <w:rFonts w:cs="Calibri"/>
          <w:vertAlign w:val="subscript"/>
        </w:rPr>
        <w:t>ex</w:t>
      </w:r>
      <w:r w:rsidRPr="009660EC">
        <w:rPr>
          <w:rFonts w:cs="Calibri"/>
        </w:rPr>
        <w:t>) rates for the main livestock categories in New Zealand (dairy cattle, beef cattle, sheep and deer) are calculated from the nitrogen intake less the nitrogen retained through digestion and contained within animal products, such as liveweight gain, milk, wool and velvet. Nitrogen intake is determined from the dry-matter feed intake and the nitrogen content of the feed eaten. Feed intake and animal productivity values are the same as those used in a Tier 3 model for determining DMI (Clark et al., 2003; section 5.1.3). Monthly values for the nitrogen content of feed are provided by Giltrap and McNeill (2020).</w:t>
      </w:r>
    </w:p>
    <w:p w14:paraId="0BDD6113" w14:textId="77777777" w:rsidR="004543E0" w:rsidRPr="009660EC" w:rsidRDefault="004543E0" w:rsidP="004543E0">
      <w:pPr>
        <w:pStyle w:val="BodyText"/>
        <w:spacing w:before="100" w:after="100"/>
        <w:rPr>
          <w:rFonts w:cs="Calibri"/>
        </w:rPr>
      </w:pPr>
      <w:r w:rsidRPr="009660EC">
        <w:rPr>
          <w:rFonts w:cs="Calibri"/>
        </w:rPr>
        <w:t xml:space="preserve">The nitrogen content of animal products is derived from industry data. For lactating dairy cows, the nitrogen content of milk is derived from the protein content of milk, which is published annually by LIC. The nitrogen content of sheep meat, milk and wool, non-dairy meat and milk, and the nitrogen retained in deer velvet, is taken from New Zealand research (Bown et al., 2013). </w:t>
      </w:r>
    </w:p>
    <w:p w14:paraId="46E1D13F" w14:textId="77777777" w:rsidR="004543E0" w:rsidRPr="009660EC" w:rsidRDefault="004543E0" w:rsidP="004543E0">
      <w:pPr>
        <w:pStyle w:val="BodyText"/>
        <w:spacing w:before="100" w:after="100"/>
        <w:rPr>
          <w:rFonts w:cs="Calibri"/>
        </w:rPr>
      </w:pPr>
      <w:r w:rsidRPr="009660EC">
        <w:rPr>
          <w:rFonts w:cs="Calibri"/>
        </w:rPr>
        <w:t>Table 5.3.3 shows the N</w:t>
      </w:r>
      <w:r w:rsidRPr="009660EC">
        <w:rPr>
          <w:rFonts w:cs="Calibri"/>
          <w:vertAlign w:val="subscript"/>
        </w:rPr>
        <w:t>ex</w:t>
      </w:r>
      <w:r w:rsidRPr="009660EC">
        <w:rPr>
          <w:rFonts w:cs="Calibri"/>
        </w:rPr>
        <w:t xml:space="preserve"> rates for the major livestock categories. These rates have increased over time, reflecting the increases in animal productivity and animal DMI in New Zealand since 1990. Nitrogen excretion</w:t>
      </w:r>
      <w:r w:rsidRPr="009660EC" w:rsidDel="00317E26">
        <w:rPr>
          <w:rFonts w:cs="Calibri"/>
        </w:rPr>
        <w:t xml:space="preserve"> </w:t>
      </w:r>
      <w:r w:rsidRPr="009660EC">
        <w:rPr>
          <w:rFonts w:cs="Calibri"/>
        </w:rPr>
        <w:t>rates are also affected by adverse events, which effect the amount of DMI and can cause large changes in productivity and N</w:t>
      </w:r>
      <w:r w:rsidRPr="009660EC">
        <w:rPr>
          <w:rFonts w:cs="Calibri"/>
          <w:vertAlign w:val="subscript"/>
        </w:rPr>
        <w:t>ex</w:t>
      </w:r>
      <w:r w:rsidRPr="009660EC">
        <w:rPr>
          <w:rFonts w:cs="Calibri"/>
        </w:rPr>
        <w:t xml:space="preserve"> rates in adjacent years (see section 5.1.1).</w:t>
      </w:r>
      <w:r w:rsidRPr="009660EC">
        <w:rPr>
          <w:rStyle w:val="FootnoteReference"/>
          <w:rFonts w:cs="Calibri"/>
        </w:rPr>
        <w:footnoteReference w:id="55"/>
      </w:r>
      <w:r w:rsidRPr="009660EC">
        <w:rPr>
          <w:rFonts w:cs="Calibri"/>
        </w:rPr>
        <w:t xml:space="preserve"> </w:t>
      </w:r>
    </w:p>
    <w:p w14:paraId="60253254" w14:textId="77777777" w:rsidR="004543E0" w:rsidRPr="009660EC" w:rsidRDefault="004543E0" w:rsidP="004543E0">
      <w:pPr>
        <w:pStyle w:val="Table"/>
        <w:rPr>
          <w:rFonts w:cs="Calibri"/>
        </w:rPr>
      </w:pPr>
      <w:bookmarkStart w:id="808" w:name="_Toc288316754"/>
      <w:bookmarkStart w:id="809" w:name="_Toc235955628"/>
      <w:bookmarkStart w:id="810" w:name="_Toc352504972"/>
      <w:bookmarkStart w:id="811" w:name="_Toc441830875"/>
      <w:bookmarkStart w:id="812" w:name="_Toc451176089"/>
      <w:bookmarkStart w:id="813" w:name="_Toc481751517"/>
      <w:bookmarkStart w:id="814" w:name="_Toc507158605"/>
      <w:bookmarkStart w:id="815" w:name="_Toc511116739"/>
      <w:bookmarkStart w:id="816" w:name="_Toc5269479"/>
      <w:bookmarkStart w:id="817" w:name="_Toc32570922"/>
      <w:bookmarkStart w:id="818" w:name="_Toc36224557"/>
      <w:bookmarkStart w:id="819" w:name="_Toc68786442"/>
      <w:bookmarkStart w:id="820" w:name="_Toc95574076"/>
      <w:bookmarkStart w:id="821" w:name="_Toc99659249"/>
      <w:r w:rsidRPr="009660EC">
        <w:rPr>
          <w:rFonts w:cs="Calibri"/>
        </w:rPr>
        <w:t>Table 5.3.3</w:t>
      </w:r>
      <w:r w:rsidRPr="009660EC">
        <w:rPr>
          <w:rFonts w:cs="Calibri"/>
        </w:rPr>
        <w:tab/>
        <w:t>Nitrogen excretion rates (N</w:t>
      </w:r>
      <w:r w:rsidRPr="009660EC">
        <w:rPr>
          <w:rFonts w:cs="Calibri"/>
          <w:vertAlign w:val="subscript"/>
        </w:rPr>
        <w:t>ex</w:t>
      </w:r>
      <w:r w:rsidRPr="009660EC">
        <w:rPr>
          <w:rFonts w:cs="Calibri"/>
        </w:rPr>
        <w:t>) for New Zealand’s major livestock categories from 1990 to </w:t>
      </w:r>
      <w:bookmarkEnd w:id="808"/>
      <w:bookmarkEnd w:id="809"/>
      <w:bookmarkEnd w:id="810"/>
      <w:bookmarkEnd w:id="811"/>
      <w:bookmarkEnd w:id="812"/>
      <w:bookmarkEnd w:id="813"/>
      <w:bookmarkEnd w:id="814"/>
      <w:bookmarkEnd w:id="815"/>
      <w:bookmarkEnd w:id="816"/>
      <w:bookmarkEnd w:id="817"/>
      <w:bookmarkEnd w:id="818"/>
      <w:bookmarkEnd w:id="819"/>
      <w:r w:rsidRPr="009660EC">
        <w:rPr>
          <w:rFonts w:cs="Calibri"/>
        </w:rPr>
        <w:t>2020</w:t>
      </w:r>
      <w:bookmarkEnd w:id="820"/>
      <w:bookmarkEnd w:id="821"/>
      <w:r w:rsidRPr="009660EC">
        <w:rPr>
          <w:rFonts w:cs="Calibri"/>
        </w:rPr>
        <w:t xml:space="preserve"> </w:t>
      </w:r>
    </w:p>
    <w:tbl>
      <w:tblPr>
        <w:tblW w:w="8505" w:type="dxa"/>
        <w:tblInd w:w="113" w:type="dxa"/>
        <w:tblBorders>
          <w:top w:val="single" w:sz="4" w:space="0" w:color="44546A"/>
          <w:bottom w:val="single" w:sz="4" w:space="0" w:color="44546A"/>
          <w:insideH w:val="single" w:sz="4" w:space="0" w:color="44546A"/>
        </w:tblBorders>
        <w:tblLook w:val="0000" w:firstRow="0" w:lastRow="0" w:firstColumn="0" w:lastColumn="0" w:noHBand="0" w:noVBand="0"/>
      </w:tblPr>
      <w:tblGrid>
        <w:gridCol w:w="1378"/>
        <w:gridCol w:w="1826"/>
        <w:gridCol w:w="1826"/>
        <w:gridCol w:w="1842"/>
        <w:gridCol w:w="1633"/>
      </w:tblGrid>
      <w:tr w:rsidR="004543E0" w:rsidRPr="00705FD2" w14:paraId="5A88A55E" w14:textId="77777777" w:rsidTr="00705FD2">
        <w:trPr>
          <w:tblHeader/>
        </w:trPr>
        <w:tc>
          <w:tcPr>
            <w:tcW w:w="1378" w:type="dxa"/>
            <w:shd w:val="clear" w:color="auto" w:fill="1B556B"/>
            <w:noWrap/>
            <w:vAlign w:val="bottom"/>
          </w:tcPr>
          <w:p w14:paraId="0E08B58F" w14:textId="77777777" w:rsidR="004543E0" w:rsidRPr="00705FD2" w:rsidRDefault="004543E0" w:rsidP="007E3239">
            <w:pPr>
              <w:pStyle w:val="TableTextBold"/>
              <w:keepNext/>
              <w:spacing w:before="30" w:after="30"/>
              <w:rPr>
                <w:rFonts w:cs="Calibri"/>
                <w:noProof w:val="0"/>
                <w:color w:val="FFFFFF"/>
                <w:szCs w:val="16"/>
              </w:rPr>
            </w:pPr>
            <w:r w:rsidRPr="00705FD2">
              <w:rPr>
                <w:rFonts w:cs="Calibri"/>
                <w:noProof w:val="0"/>
                <w:color w:val="FFFFFF"/>
                <w:szCs w:val="16"/>
              </w:rPr>
              <w:t>Year</w:t>
            </w:r>
          </w:p>
        </w:tc>
        <w:tc>
          <w:tcPr>
            <w:tcW w:w="1826" w:type="dxa"/>
            <w:shd w:val="clear" w:color="auto" w:fill="1B556B"/>
            <w:noWrap/>
            <w:vAlign w:val="bottom"/>
          </w:tcPr>
          <w:p w14:paraId="7F29D7C8" w14:textId="77777777" w:rsidR="004543E0" w:rsidRPr="00705FD2" w:rsidRDefault="004543E0" w:rsidP="007E3239">
            <w:pPr>
              <w:pStyle w:val="TableTextBold"/>
              <w:keepNext/>
              <w:spacing w:before="30" w:after="30"/>
              <w:jc w:val="center"/>
              <w:rPr>
                <w:rFonts w:cs="Calibri"/>
                <w:noProof w:val="0"/>
                <w:color w:val="FFFFFF"/>
                <w:szCs w:val="16"/>
              </w:rPr>
            </w:pPr>
            <w:r w:rsidRPr="00705FD2">
              <w:rPr>
                <w:rFonts w:cs="Calibri"/>
                <w:noProof w:val="0"/>
                <w:color w:val="FFFFFF"/>
                <w:szCs w:val="16"/>
              </w:rPr>
              <w:t>Dairy cattle N</w:t>
            </w:r>
            <w:r w:rsidRPr="00705FD2">
              <w:rPr>
                <w:rFonts w:cs="Calibri"/>
                <w:noProof w:val="0"/>
                <w:color w:val="FFFFFF"/>
                <w:szCs w:val="16"/>
                <w:vertAlign w:val="subscript"/>
              </w:rPr>
              <w:t>ex</w:t>
            </w:r>
            <w:r w:rsidRPr="00705FD2">
              <w:rPr>
                <w:rFonts w:cs="Calibri"/>
                <w:noProof w:val="0"/>
                <w:color w:val="FFFFFF"/>
                <w:szCs w:val="16"/>
              </w:rPr>
              <w:t xml:space="preserve"> (kg/head/year)</w:t>
            </w:r>
          </w:p>
        </w:tc>
        <w:tc>
          <w:tcPr>
            <w:tcW w:w="1826" w:type="dxa"/>
            <w:shd w:val="clear" w:color="auto" w:fill="1B556B"/>
            <w:noWrap/>
            <w:vAlign w:val="bottom"/>
          </w:tcPr>
          <w:p w14:paraId="034813A3" w14:textId="77777777" w:rsidR="004543E0" w:rsidRPr="00705FD2" w:rsidRDefault="004543E0" w:rsidP="007E3239">
            <w:pPr>
              <w:pStyle w:val="TableTextBold"/>
              <w:keepNext/>
              <w:spacing w:before="30" w:after="30"/>
              <w:jc w:val="center"/>
              <w:rPr>
                <w:rFonts w:cs="Calibri"/>
                <w:noProof w:val="0"/>
                <w:color w:val="FFFFFF"/>
                <w:szCs w:val="16"/>
              </w:rPr>
            </w:pPr>
            <w:r w:rsidRPr="00705FD2">
              <w:rPr>
                <w:rFonts w:cs="Calibri"/>
                <w:noProof w:val="0"/>
                <w:color w:val="FFFFFF"/>
                <w:szCs w:val="16"/>
              </w:rPr>
              <w:t xml:space="preserve">Non-dairy </w:t>
            </w:r>
            <w:r w:rsidRPr="00705FD2">
              <w:rPr>
                <w:rFonts w:cs="Calibri"/>
                <w:i/>
                <w:iCs/>
                <w:noProof w:val="0"/>
                <w:color w:val="FFFFFF"/>
                <w:szCs w:val="16"/>
              </w:rPr>
              <w:t xml:space="preserve">(beef) </w:t>
            </w:r>
            <w:r w:rsidRPr="00705FD2">
              <w:rPr>
                <w:rFonts w:cs="Calibri"/>
                <w:noProof w:val="0"/>
                <w:color w:val="FFFFFF"/>
                <w:szCs w:val="16"/>
              </w:rPr>
              <w:t>cattle N</w:t>
            </w:r>
            <w:r w:rsidRPr="00705FD2">
              <w:rPr>
                <w:rFonts w:cs="Calibri"/>
                <w:noProof w:val="0"/>
                <w:color w:val="FFFFFF"/>
                <w:szCs w:val="16"/>
                <w:vertAlign w:val="subscript"/>
              </w:rPr>
              <w:t>ex</w:t>
            </w:r>
            <w:r w:rsidRPr="00705FD2">
              <w:rPr>
                <w:rFonts w:cs="Calibri"/>
                <w:noProof w:val="0"/>
                <w:color w:val="FFFFFF"/>
                <w:szCs w:val="16"/>
              </w:rPr>
              <w:t xml:space="preserve"> (kg/head/year)</w:t>
            </w:r>
          </w:p>
        </w:tc>
        <w:tc>
          <w:tcPr>
            <w:tcW w:w="1842" w:type="dxa"/>
            <w:shd w:val="clear" w:color="auto" w:fill="1B556B"/>
            <w:noWrap/>
            <w:vAlign w:val="bottom"/>
          </w:tcPr>
          <w:p w14:paraId="7F2610FA" w14:textId="77777777" w:rsidR="004543E0" w:rsidRPr="00705FD2" w:rsidRDefault="004543E0" w:rsidP="007E3239">
            <w:pPr>
              <w:pStyle w:val="TableTextBold"/>
              <w:keepNext/>
              <w:spacing w:before="30" w:after="30"/>
              <w:jc w:val="center"/>
              <w:rPr>
                <w:rFonts w:cs="Calibri"/>
                <w:noProof w:val="0"/>
                <w:color w:val="FFFFFF"/>
                <w:szCs w:val="16"/>
              </w:rPr>
            </w:pPr>
            <w:r w:rsidRPr="00705FD2">
              <w:rPr>
                <w:rFonts w:cs="Calibri"/>
                <w:noProof w:val="0"/>
                <w:color w:val="FFFFFF"/>
                <w:szCs w:val="16"/>
              </w:rPr>
              <w:t>Sheep N</w:t>
            </w:r>
            <w:r w:rsidRPr="00705FD2">
              <w:rPr>
                <w:rFonts w:cs="Calibri"/>
                <w:noProof w:val="0"/>
                <w:color w:val="FFFFFF"/>
                <w:szCs w:val="16"/>
                <w:vertAlign w:val="subscript"/>
              </w:rPr>
              <w:t>ex</w:t>
            </w:r>
            <w:r w:rsidRPr="00705FD2">
              <w:rPr>
                <w:rFonts w:cs="Calibri"/>
                <w:noProof w:val="0"/>
                <w:color w:val="FFFFFF"/>
                <w:szCs w:val="16"/>
              </w:rPr>
              <w:t xml:space="preserve"> (kg/head/year)</w:t>
            </w:r>
          </w:p>
        </w:tc>
        <w:tc>
          <w:tcPr>
            <w:tcW w:w="1633" w:type="dxa"/>
            <w:shd w:val="clear" w:color="auto" w:fill="1B556B"/>
            <w:noWrap/>
            <w:vAlign w:val="bottom"/>
          </w:tcPr>
          <w:p w14:paraId="726652F0" w14:textId="77777777" w:rsidR="004543E0" w:rsidRPr="00705FD2" w:rsidRDefault="004543E0" w:rsidP="007E3239">
            <w:pPr>
              <w:pStyle w:val="TableTextBold"/>
              <w:keepNext/>
              <w:spacing w:before="30" w:after="30"/>
              <w:jc w:val="center"/>
              <w:rPr>
                <w:rFonts w:cs="Calibri"/>
                <w:noProof w:val="0"/>
                <w:color w:val="FFFFFF"/>
                <w:szCs w:val="16"/>
              </w:rPr>
            </w:pPr>
            <w:r w:rsidRPr="00705FD2">
              <w:rPr>
                <w:rFonts w:cs="Calibri"/>
                <w:noProof w:val="0"/>
                <w:color w:val="FFFFFF"/>
                <w:szCs w:val="16"/>
              </w:rPr>
              <w:t>Deer N</w:t>
            </w:r>
            <w:r w:rsidRPr="00705FD2">
              <w:rPr>
                <w:rFonts w:cs="Calibri"/>
                <w:noProof w:val="0"/>
                <w:color w:val="FFFFFF"/>
                <w:szCs w:val="16"/>
                <w:vertAlign w:val="subscript"/>
              </w:rPr>
              <w:t>ex</w:t>
            </w:r>
            <w:r w:rsidRPr="00705FD2">
              <w:rPr>
                <w:rFonts w:cs="Calibri"/>
                <w:noProof w:val="0"/>
                <w:color w:val="FFFFFF"/>
                <w:szCs w:val="16"/>
              </w:rPr>
              <w:t xml:space="preserve"> (kg/head/year)</w:t>
            </w:r>
          </w:p>
        </w:tc>
      </w:tr>
      <w:tr w:rsidR="004543E0" w:rsidRPr="00705FD2" w14:paraId="4158B427" w14:textId="77777777" w:rsidTr="00705FD2">
        <w:tc>
          <w:tcPr>
            <w:tcW w:w="1378" w:type="dxa"/>
            <w:noWrap/>
          </w:tcPr>
          <w:p w14:paraId="473CDB71" w14:textId="77777777" w:rsidR="004543E0" w:rsidRPr="00705FD2" w:rsidRDefault="004543E0" w:rsidP="007E3239">
            <w:pPr>
              <w:pStyle w:val="TableText"/>
              <w:keepNext/>
              <w:spacing w:before="40" w:after="30"/>
              <w:rPr>
                <w:rFonts w:cs="Calibri"/>
                <w:szCs w:val="16"/>
              </w:rPr>
            </w:pPr>
            <w:r w:rsidRPr="00705FD2">
              <w:rPr>
                <w:rFonts w:cs="Calibri"/>
                <w:szCs w:val="16"/>
              </w:rPr>
              <w:t>1990</w:t>
            </w:r>
          </w:p>
        </w:tc>
        <w:tc>
          <w:tcPr>
            <w:tcW w:w="1826" w:type="dxa"/>
            <w:shd w:val="clear" w:color="auto" w:fill="auto"/>
            <w:noWrap/>
          </w:tcPr>
          <w:p w14:paraId="04BB6528" w14:textId="77777777" w:rsidR="004543E0" w:rsidRPr="00705FD2" w:rsidRDefault="004543E0" w:rsidP="007E3239">
            <w:pPr>
              <w:pStyle w:val="TableText"/>
              <w:spacing w:before="40" w:after="30"/>
              <w:jc w:val="center"/>
              <w:rPr>
                <w:rFonts w:cs="Calibri"/>
                <w:szCs w:val="16"/>
              </w:rPr>
            </w:pPr>
            <w:r w:rsidRPr="00705FD2">
              <w:rPr>
                <w:rFonts w:cs="Calibri"/>
                <w:szCs w:val="16"/>
              </w:rPr>
              <w:t>99.3</w:t>
            </w:r>
          </w:p>
        </w:tc>
        <w:tc>
          <w:tcPr>
            <w:tcW w:w="1826" w:type="dxa"/>
            <w:shd w:val="clear" w:color="auto" w:fill="auto"/>
            <w:noWrap/>
          </w:tcPr>
          <w:p w14:paraId="2424609C" w14:textId="77777777" w:rsidR="004543E0" w:rsidRPr="00705FD2" w:rsidRDefault="004543E0" w:rsidP="007E3239">
            <w:pPr>
              <w:pStyle w:val="TableText"/>
              <w:spacing w:before="40" w:after="30"/>
              <w:jc w:val="center"/>
              <w:rPr>
                <w:rFonts w:cs="Calibri"/>
                <w:szCs w:val="16"/>
              </w:rPr>
            </w:pPr>
            <w:r w:rsidRPr="00705FD2">
              <w:rPr>
                <w:rFonts w:cs="Calibri"/>
                <w:szCs w:val="16"/>
              </w:rPr>
              <w:t>68.1</w:t>
            </w:r>
          </w:p>
        </w:tc>
        <w:tc>
          <w:tcPr>
            <w:tcW w:w="1842" w:type="dxa"/>
            <w:shd w:val="clear" w:color="auto" w:fill="auto"/>
            <w:noWrap/>
          </w:tcPr>
          <w:p w14:paraId="229B198A" w14:textId="77777777" w:rsidR="004543E0" w:rsidRPr="00705FD2" w:rsidRDefault="004543E0" w:rsidP="007E3239">
            <w:pPr>
              <w:pStyle w:val="TableText"/>
              <w:spacing w:before="40" w:after="30"/>
              <w:jc w:val="center"/>
              <w:rPr>
                <w:rFonts w:cs="Calibri"/>
                <w:szCs w:val="16"/>
              </w:rPr>
            </w:pPr>
            <w:r w:rsidRPr="00705FD2">
              <w:rPr>
                <w:rFonts w:cs="Calibri"/>
                <w:szCs w:val="16"/>
              </w:rPr>
              <w:t>14.1</w:t>
            </w:r>
          </w:p>
        </w:tc>
        <w:tc>
          <w:tcPr>
            <w:tcW w:w="1633" w:type="dxa"/>
            <w:shd w:val="clear" w:color="auto" w:fill="auto"/>
            <w:noWrap/>
          </w:tcPr>
          <w:p w14:paraId="332F86F2" w14:textId="77777777" w:rsidR="004543E0" w:rsidRPr="00705FD2" w:rsidRDefault="004543E0" w:rsidP="007E3239">
            <w:pPr>
              <w:pStyle w:val="TableText"/>
              <w:spacing w:before="40" w:after="30"/>
              <w:jc w:val="center"/>
              <w:rPr>
                <w:rFonts w:cs="Calibri"/>
                <w:szCs w:val="16"/>
              </w:rPr>
            </w:pPr>
            <w:r w:rsidRPr="00705FD2">
              <w:rPr>
                <w:rFonts w:cs="Calibri"/>
                <w:szCs w:val="16"/>
              </w:rPr>
              <w:t>26.2</w:t>
            </w:r>
          </w:p>
        </w:tc>
      </w:tr>
      <w:tr w:rsidR="004543E0" w:rsidRPr="00705FD2" w14:paraId="26394A06" w14:textId="77777777" w:rsidTr="00705FD2">
        <w:tc>
          <w:tcPr>
            <w:tcW w:w="1378" w:type="dxa"/>
            <w:noWrap/>
          </w:tcPr>
          <w:p w14:paraId="03040587" w14:textId="77777777" w:rsidR="004543E0" w:rsidRPr="00705FD2" w:rsidRDefault="004543E0" w:rsidP="007E3239">
            <w:pPr>
              <w:pStyle w:val="TableText"/>
              <w:keepNext/>
              <w:spacing w:before="40" w:after="30"/>
              <w:rPr>
                <w:rFonts w:cs="Calibri"/>
                <w:szCs w:val="16"/>
              </w:rPr>
            </w:pPr>
            <w:r w:rsidRPr="00705FD2">
              <w:rPr>
                <w:rFonts w:cs="Calibri"/>
                <w:szCs w:val="16"/>
              </w:rPr>
              <w:t>1991</w:t>
            </w:r>
          </w:p>
        </w:tc>
        <w:tc>
          <w:tcPr>
            <w:tcW w:w="1826" w:type="dxa"/>
            <w:shd w:val="clear" w:color="auto" w:fill="auto"/>
            <w:noWrap/>
          </w:tcPr>
          <w:p w14:paraId="4C54B8DA" w14:textId="77777777" w:rsidR="004543E0" w:rsidRPr="00705FD2" w:rsidRDefault="004543E0" w:rsidP="007E3239">
            <w:pPr>
              <w:pStyle w:val="TableText"/>
              <w:spacing w:before="40" w:after="30"/>
              <w:jc w:val="center"/>
              <w:rPr>
                <w:rFonts w:cs="Calibri"/>
                <w:szCs w:val="16"/>
              </w:rPr>
            </w:pPr>
            <w:r w:rsidRPr="00705FD2">
              <w:rPr>
                <w:rFonts w:cs="Calibri"/>
                <w:szCs w:val="16"/>
              </w:rPr>
              <w:t>102.9</w:t>
            </w:r>
          </w:p>
        </w:tc>
        <w:tc>
          <w:tcPr>
            <w:tcW w:w="1826" w:type="dxa"/>
            <w:shd w:val="clear" w:color="auto" w:fill="auto"/>
            <w:noWrap/>
          </w:tcPr>
          <w:p w14:paraId="69444E80" w14:textId="77777777" w:rsidR="004543E0" w:rsidRPr="00705FD2" w:rsidRDefault="004543E0" w:rsidP="007E3239">
            <w:pPr>
              <w:pStyle w:val="TableText"/>
              <w:spacing w:before="40" w:after="30"/>
              <w:jc w:val="center"/>
              <w:rPr>
                <w:rFonts w:cs="Calibri"/>
                <w:szCs w:val="16"/>
              </w:rPr>
            </w:pPr>
            <w:r w:rsidRPr="00705FD2">
              <w:rPr>
                <w:rFonts w:cs="Calibri"/>
                <w:szCs w:val="16"/>
              </w:rPr>
              <w:t>70.1</w:t>
            </w:r>
          </w:p>
        </w:tc>
        <w:tc>
          <w:tcPr>
            <w:tcW w:w="1842" w:type="dxa"/>
            <w:shd w:val="clear" w:color="auto" w:fill="auto"/>
            <w:noWrap/>
          </w:tcPr>
          <w:p w14:paraId="7C846408" w14:textId="77777777" w:rsidR="004543E0" w:rsidRPr="00705FD2" w:rsidRDefault="004543E0" w:rsidP="007E3239">
            <w:pPr>
              <w:pStyle w:val="TableText"/>
              <w:spacing w:before="40" w:after="30"/>
              <w:jc w:val="center"/>
              <w:rPr>
                <w:rFonts w:cs="Calibri"/>
                <w:szCs w:val="16"/>
              </w:rPr>
            </w:pPr>
            <w:r w:rsidRPr="00705FD2">
              <w:rPr>
                <w:rFonts w:cs="Calibri"/>
                <w:szCs w:val="16"/>
              </w:rPr>
              <w:t>14.3</w:t>
            </w:r>
          </w:p>
        </w:tc>
        <w:tc>
          <w:tcPr>
            <w:tcW w:w="1633" w:type="dxa"/>
            <w:shd w:val="clear" w:color="auto" w:fill="auto"/>
            <w:noWrap/>
          </w:tcPr>
          <w:p w14:paraId="7DFE7772" w14:textId="77777777" w:rsidR="004543E0" w:rsidRPr="00705FD2" w:rsidRDefault="004543E0" w:rsidP="007E3239">
            <w:pPr>
              <w:pStyle w:val="TableText"/>
              <w:spacing w:before="40" w:after="30"/>
              <w:jc w:val="center"/>
              <w:rPr>
                <w:rFonts w:cs="Calibri"/>
                <w:szCs w:val="16"/>
              </w:rPr>
            </w:pPr>
            <w:r w:rsidRPr="00705FD2">
              <w:rPr>
                <w:rFonts w:cs="Calibri"/>
                <w:szCs w:val="16"/>
              </w:rPr>
              <w:t>26.9</w:t>
            </w:r>
          </w:p>
        </w:tc>
      </w:tr>
      <w:tr w:rsidR="004543E0" w:rsidRPr="00705FD2" w14:paraId="31259E4A" w14:textId="77777777" w:rsidTr="00705FD2">
        <w:tc>
          <w:tcPr>
            <w:tcW w:w="1378" w:type="dxa"/>
            <w:noWrap/>
          </w:tcPr>
          <w:p w14:paraId="7ED99A86" w14:textId="77777777" w:rsidR="004543E0" w:rsidRPr="00705FD2" w:rsidRDefault="004543E0" w:rsidP="007E3239">
            <w:pPr>
              <w:pStyle w:val="TableText"/>
              <w:spacing w:before="40" w:after="30"/>
              <w:rPr>
                <w:rFonts w:cs="Calibri"/>
                <w:szCs w:val="16"/>
              </w:rPr>
            </w:pPr>
            <w:r w:rsidRPr="00705FD2">
              <w:rPr>
                <w:rFonts w:cs="Calibri"/>
                <w:szCs w:val="16"/>
              </w:rPr>
              <w:t>1992</w:t>
            </w:r>
          </w:p>
        </w:tc>
        <w:tc>
          <w:tcPr>
            <w:tcW w:w="1826" w:type="dxa"/>
            <w:shd w:val="clear" w:color="auto" w:fill="auto"/>
            <w:noWrap/>
          </w:tcPr>
          <w:p w14:paraId="7D09F86B" w14:textId="77777777" w:rsidR="004543E0" w:rsidRPr="00705FD2" w:rsidRDefault="004543E0" w:rsidP="007E3239">
            <w:pPr>
              <w:pStyle w:val="TableText"/>
              <w:spacing w:before="40" w:after="30"/>
              <w:jc w:val="center"/>
              <w:rPr>
                <w:rFonts w:cs="Calibri"/>
                <w:szCs w:val="16"/>
              </w:rPr>
            </w:pPr>
            <w:r w:rsidRPr="00705FD2">
              <w:rPr>
                <w:rFonts w:cs="Calibri"/>
                <w:szCs w:val="16"/>
              </w:rPr>
              <w:t>103.5</w:t>
            </w:r>
          </w:p>
        </w:tc>
        <w:tc>
          <w:tcPr>
            <w:tcW w:w="1826" w:type="dxa"/>
            <w:shd w:val="clear" w:color="auto" w:fill="auto"/>
            <w:noWrap/>
          </w:tcPr>
          <w:p w14:paraId="028C16E3" w14:textId="77777777" w:rsidR="004543E0" w:rsidRPr="00705FD2" w:rsidRDefault="004543E0" w:rsidP="007E3239">
            <w:pPr>
              <w:pStyle w:val="TableText"/>
              <w:spacing w:before="40" w:after="30"/>
              <w:jc w:val="center"/>
              <w:rPr>
                <w:rFonts w:cs="Calibri"/>
                <w:szCs w:val="16"/>
              </w:rPr>
            </w:pPr>
            <w:r w:rsidRPr="00705FD2">
              <w:rPr>
                <w:rFonts w:cs="Calibri"/>
                <w:szCs w:val="16"/>
              </w:rPr>
              <w:t>71.1</w:t>
            </w:r>
          </w:p>
        </w:tc>
        <w:tc>
          <w:tcPr>
            <w:tcW w:w="1842" w:type="dxa"/>
            <w:shd w:val="clear" w:color="auto" w:fill="auto"/>
            <w:noWrap/>
          </w:tcPr>
          <w:p w14:paraId="5356B93D" w14:textId="77777777" w:rsidR="004543E0" w:rsidRPr="00705FD2" w:rsidRDefault="004543E0" w:rsidP="007E3239">
            <w:pPr>
              <w:pStyle w:val="TableText"/>
              <w:spacing w:before="40" w:after="30"/>
              <w:jc w:val="center"/>
              <w:rPr>
                <w:rFonts w:cs="Calibri"/>
                <w:szCs w:val="16"/>
              </w:rPr>
            </w:pPr>
            <w:r w:rsidRPr="00705FD2">
              <w:rPr>
                <w:rFonts w:cs="Calibri"/>
                <w:szCs w:val="16"/>
              </w:rPr>
              <w:t>14.2</w:t>
            </w:r>
          </w:p>
        </w:tc>
        <w:tc>
          <w:tcPr>
            <w:tcW w:w="1633" w:type="dxa"/>
            <w:shd w:val="clear" w:color="auto" w:fill="auto"/>
            <w:noWrap/>
          </w:tcPr>
          <w:p w14:paraId="410D2A89" w14:textId="77777777" w:rsidR="004543E0" w:rsidRPr="00705FD2" w:rsidRDefault="004543E0" w:rsidP="007E3239">
            <w:pPr>
              <w:pStyle w:val="TableText"/>
              <w:spacing w:before="40" w:after="30"/>
              <w:jc w:val="center"/>
              <w:rPr>
                <w:rFonts w:cs="Calibri"/>
                <w:szCs w:val="16"/>
              </w:rPr>
            </w:pPr>
            <w:r w:rsidRPr="00705FD2">
              <w:rPr>
                <w:rFonts w:cs="Calibri"/>
                <w:szCs w:val="16"/>
              </w:rPr>
              <w:t>28.0</w:t>
            </w:r>
          </w:p>
        </w:tc>
      </w:tr>
      <w:tr w:rsidR="004543E0" w:rsidRPr="00705FD2" w14:paraId="3AB97797" w14:textId="77777777" w:rsidTr="00705FD2">
        <w:tc>
          <w:tcPr>
            <w:tcW w:w="1378" w:type="dxa"/>
            <w:noWrap/>
          </w:tcPr>
          <w:p w14:paraId="0B365288" w14:textId="77777777" w:rsidR="004543E0" w:rsidRPr="00705FD2" w:rsidRDefault="004543E0" w:rsidP="007E3239">
            <w:pPr>
              <w:pStyle w:val="TableText"/>
              <w:spacing w:before="40" w:after="30"/>
              <w:rPr>
                <w:rFonts w:cs="Calibri"/>
                <w:szCs w:val="16"/>
              </w:rPr>
            </w:pPr>
            <w:r w:rsidRPr="00705FD2">
              <w:rPr>
                <w:rFonts w:cs="Calibri"/>
                <w:szCs w:val="16"/>
              </w:rPr>
              <w:t>1993</w:t>
            </w:r>
          </w:p>
        </w:tc>
        <w:tc>
          <w:tcPr>
            <w:tcW w:w="1826" w:type="dxa"/>
            <w:shd w:val="clear" w:color="auto" w:fill="auto"/>
            <w:noWrap/>
          </w:tcPr>
          <w:p w14:paraId="3E08D01F" w14:textId="77777777" w:rsidR="004543E0" w:rsidRPr="00705FD2" w:rsidRDefault="004543E0" w:rsidP="007E3239">
            <w:pPr>
              <w:pStyle w:val="TableText"/>
              <w:spacing w:before="40" w:after="30"/>
              <w:jc w:val="center"/>
              <w:rPr>
                <w:rFonts w:cs="Calibri"/>
                <w:szCs w:val="16"/>
              </w:rPr>
            </w:pPr>
            <w:r w:rsidRPr="00705FD2">
              <w:rPr>
                <w:rFonts w:cs="Calibri"/>
                <w:szCs w:val="16"/>
              </w:rPr>
              <w:t>104.7</w:t>
            </w:r>
          </w:p>
        </w:tc>
        <w:tc>
          <w:tcPr>
            <w:tcW w:w="1826" w:type="dxa"/>
            <w:shd w:val="clear" w:color="auto" w:fill="auto"/>
            <w:noWrap/>
          </w:tcPr>
          <w:p w14:paraId="73250F3F" w14:textId="77777777" w:rsidR="004543E0" w:rsidRPr="00705FD2" w:rsidRDefault="004543E0" w:rsidP="007E3239">
            <w:pPr>
              <w:pStyle w:val="TableText"/>
              <w:spacing w:before="40" w:after="30"/>
              <w:jc w:val="center"/>
              <w:rPr>
                <w:rFonts w:cs="Calibri"/>
                <w:szCs w:val="16"/>
              </w:rPr>
            </w:pPr>
            <w:r w:rsidRPr="00705FD2">
              <w:rPr>
                <w:rFonts w:cs="Calibri"/>
                <w:szCs w:val="16"/>
              </w:rPr>
              <w:t>72.4</w:t>
            </w:r>
          </w:p>
        </w:tc>
        <w:tc>
          <w:tcPr>
            <w:tcW w:w="1842" w:type="dxa"/>
            <w:shd w:val="clear" w:color="auto" w:fill="auto"/>
            <w:noWrap/>
          </w:tcPr>
          <w:p w14:paraId="6FC6E9DB" w14:textId="77777777" w:rsidR="004543E0" w:rsidRPr="00705FD2" w:rsidRDefault="004543E0" w:rsidP="007E3239">
            <w:pPr>
              <w:pStyle w:val="TableText"/>
              <w:spacing w:before="40" w:after="30"/>
              <w:jc w:val="center"/>
              <w:rPr>
                <w:rFonts w:cs="Calibri"/>
                <w:szCs w:val="16"/>
              </w:rPr>
            </w:pPr>
            <w:r w:rsidRPr="00705FD2">
              <w:rPr>
                <w:rFonts w:cs="Calibri"/>
                <w:szCs w:val="16"/>
              </w:rPr>
              <w:t>14.7</w:t>
            </w:r>
          </w:p>
        </w:tc>
        <w:tc>
          <w:tcPr>
            <w:tcW w:w="1633" w:type="dxa"/>
            <w:shd w:val="clear" w:color="auto" w:fill="auto"/>
            <w:noWrap/>
          </w:tcPr>
          <w:p w14:paraId="3D066E12" w14:textId="77777777" w:rsidR="004543E0" w:rsidRPr="00705FD2" w:rsidRDefault="004543E0" w:rsidP="007E3239">
            <w:pPr>
              <w:pStyle w:val="TableText"/>
              <w:spacing w:before="40" w:after="30"/>
              <w:jc w:val="center"/>
              <w:rPr>
                <w:rFonts w:cs="Calibri"/>
                <w:szCs w:val="16"/>
              </w:rPr>
            </w:pPr>
            <w:r w:rsidRPr="00705FD2">
              <w:rPr>
                <w:rFonts w:cs="Calibri"/>
                <w:szCs w:val="16"/>
              </w:rPr>
              <w:t>28.5</w:t>
            </w:r>
          </w:p>
        </w:tc>
      </w:tr>
      <w:tr w:rsidR="004543E0" w:rsidRPr="00705FD2" w14:paraId="71E4CDAD" w14:textId="77777777" w:rsidTr="00705FD2">
        <w:tc>
          <w:tcPr>
            <w:tcW w:w="1378" w:type="dxa"/>
            <w:noWrap/>
          </w:tcPr>
          <w:p w14:paraId="782DA788" w14:textId="77777777" w:rsidR="004543E0" w:rsidRPr="00705FD2" w:rsidRDefault="004543E0" w:rsidP="007E3239">
            <w:pPr>
              <w:pStyle w:val="TableText"/>
              <w:spacing w:before="40" w:after="30"/>
              <w:rPr>
                <w:rFonts w:cs="Calibri"/>
                <w:szCs w:val="16"/>
              </w:rPr>
            </w:pPr>
            <w:r w:rsidRPr="00705FD2">
              <w:rPr>
                <w:rFonts w:cs="Calibri"/>
                <w:szCs w:val="16"/>
              </w:rPr>
              <w:t>1994</w:t>
            </w:r>
          </w:p>
        </w:tc>
        <w:tc>
          <w:tcPr>
            <w:tcW w:w="1826" w:type="dxa"/>
            <w:shd w:val="clear" w:color="auto" w:fill="auto"/>
            <w:noWrap/>
          </w:tcPr>
          <w:p w14:paraId="0A80F7C8" w14:textId="77777777" w:rsidR="004543E0" w:rsidRPr="00705FD2" w:rsidRDefault="004543E0" w:rsidP="007E3239">
            <w:pPr>
              <w:pStyle w:val="TableText"/>
              <w:spacing w:before="40" w:after="30"/>
              <w:jc w:val="center"/>
              <w:rPr>
                <w:rFonts w:cs="Calibri"/>
                <w:szCs w:val="16"/>
              </w:rPr>
            </w:pPr>
            <w:r w:rsidRPr="00705FD2">
              <w:rPr>
                <w:rFonts w:cs="Calibri"/>
                <w:szCs w:val="16"/>
              </w:rPr>
              <w:t>102.8</w:t>
            </w:r>
          </w:p>
        </w:tc>
        <w:tc>
          <w:tcPr>
            <w:tcW w:w="1826" w:type="dxa"/>
            <w:shd w:val="clear" w:color="auto" w:fill="auto"/>
            <w:noWrap/>
          </w:tcPr>
          <w:p w14:paraId="10AE7260" w14:textId="77777777" w:rsidR="004543E0" w:rsidRPr="00705FD2" w:rsidRDefault="004543E0" w:rsidP="007E3239">
            <w:pPr>
              <w:pStyle w:val="TableText"/>
              <w:spacing w:before="40" w:after="30"/>
              <w:jc w:val="center"/>
              <w:rPr>
                <w:rFonts w:cs="Calibri"/>
                <w:szCs w:val="16"/>
              </w:rPr>
            </w:pPr>
            <w:r w:rsidRPr="00705FD2">
              <w:rPr>
                <w:rFonts w:cs="Calibri"/>
                <w:szCs w:val="16"/>
              </w:rPr>
              <w:t>73.1</w:t>
            </w:r>
          </w:p>
        </w:tc>
        <w:tc>
          <w:tcPr>
            <w:tcW w:w="1842" w:type="dxa"/>
            <w:shd w:val="clear" w:color="auto" w:fill="auto"/>
            <w:noWrap/>
          </w:tcPr>
          <w:p w14:paraId="0F6681A1" w14:textId="77777777" w:rsidR="004543E0" w:rsidRPr="00705FD2" w:rsidRDefault="004543E0" w:rsidP="007E3239">
            <w:pPr>
              <w:pStyle w:val="TableText"/>
              <w:spacing w:before="40" w:after="30"/>
              <w:jc w:val="center"/>
              <w:rPr>
                <w:rFonts w:cs="Calibri"/>
                <w:szCs w:val="16"/>
              </w:rPr>
            </w:pPr>
            <w:r w:rsidRPr="00705FD2">
              <w:rPr>
                <w:rFonts w:cs="Calibri"/>
                <w:szCs w:val="16"/>
              </w:rPr>
              <w:t>14.9</w:t>
            </w:r>
          </w:p>
        </w:tc>
        <w:tc>
          <w:tcPr>
            <w:tcW w:w="1633" w:type="dxa"/>
            <w:shd w:val="clear" w:color="auto" w:fill="auto"/>
            <w:noWrap/>
          </w:tcPr>
          <w:p w14:paraId="6A87AC2B" w14:textId="77777777" w:rsidR="004543E0" w:rsidRPr="00705FD2" w:rsidRDefault="004543E0" w:rsidP="007E3239">
            <w:pPr>
              <w:pStyle w:val="TableText"/>
              <w:spacing w:before="40" w:after="30"/>
              <w:jc w:val="center"/>
              <w:rPr>
                <w:rFonts w:cs="Calibri"/>
                <w:szCs w:val="16"/>
              </w:rPr>
            </w:pPr>
            <w:r w:rsidRPr="00705FD2">
              <w:rPr>
                <w:rFonts w:cs="Calibri"/>
                <w:szCs w:val="16"/>
              </w:rPr>
              <w:t>28.0</w:t>
            </w:r>
          </w:p>
        </w:tc>
      </w:tr>
      <w:tr w:rsidR="004543E0" w:rsidRPr="00705FD2" w14:paraId="472FD73C" w14:textId="77777777" w:rsidTr="00705FD2">
        <w:tc>
          <w:tcPr>
            <w:tcW w:w="1378" w:type="dxa"/>
            <w:noWrap/>
          </w:tcPr>
          <w:p w14:paraId="71B360CD" w14:textId="77777777" w:rsidR="004543E0" w:rsidRPr="00705FD2" w:rsidRDefault="004543E0" w:rsidP="007E3239">
            <w:pPr>
              <w:pStyle w:val="TableText"/>
              <w:spacing w:before="40" w:after="30"/>
              <w:rPr>
                <w:rFonts w:cs="Calibri"/>
                <w:szCs w:val="16"/>
              </w:rPr>
            </w:pPr>
            <w:r w:rsidRPr="00705FD2">
              <w:rPr>
                <w:rFonts w:cs="Calibri"/>
                <w:szCs w:val="16"/>
              </w:rPr>
              <w:lastRenderedPageBreak/>
              <w:t>1995</w:t>
            </w:r>
          </w:p>
        </w:tc>
        <w:tc>
          <w:tcPr>
            <w:tcW w:w="1826" w:type="dxa"/>
            <w:shd w:val="clear" w:color="auto" w:fill="auto"/>
            <w:noWrap/>
          </w:tcPr>
          <w:p w14:paraId="09959B87" w14:textId="77777777" w:rsidR="004543E0" w:rsidRPr="00705FD2" w:rsidRDefault="004543E0" w:rsidP="007E3239">
            <w:pPr>
              <w:pStyle w:val="TableText"/>
              <w:spacing w:before="40" w:after="30"/>
              <w:jc w:val="center"/>
              <w:rPr>
                <w:rFonts w:cs="Calibri"/>
                <w:szCs w:val="16"/>
              </w:rPr>
            </w:pPr>
            <w:r w:rsidRPr="00705FD2">
              <w:rPr>
                <w:rFonts w:cs="Calibri"/>
                <w:szCs w:val="16"/>
              </w:rPr>
              <w:t>102.5</w:t>
            </w:r>
          </w:p>
        </w:tc>
        <w:tc>
          <w:tcPr>
            <w:tcW w:w="1826" w:type="dxa"/>
            <w:shd w:val="clear" w:color="auto" w:fill="auto"/>
            <w:noWrap/>
          </w:tcPr>
          <w:p w14:paraId="4B7C31AE" w14:textId="77777777" w:rsidR="004543E0" w:rsidRPr="00705FD2" w:rsidRDefault="004543E0" w:rsidP="007E3239">
            <w:pPr>
              <w:pStyle w:val="TableText"/>
              <w:spacing w:before="40" w:after="30"/>
              <w:jc w:val="center"/>
              <w:rPr>
                <w:rFonts w:cs="Calibri"/>
                <w:szCs w:val="16"/>
              </w:rPr>
            </w:pPr>
            <w:r w:rsidRPr="00705FD2">
              <w:rPr>
                <w:rFonts w:cs="Calibri"/>
                <w:szCs w:val="16"/>
              </w:rPr>
              <w:t>72.4</w:t>
            </w:r>
          </w:p>
        </w:tc>
        <w:tc>
          <w:tcPr>
            <w:tcW w:w="1842" w:type="dxa"/>
            <w:shd w:val="clear" w:color="auto" w:fill="auto"/>
            <w:noWrap/>
          </w:tcPr>
          <w:p w14:paraId="768ABD6B" w14:textId="77777777" w:rsidR="004543E0" w:rsidRPr="00705FD2" w:rsidRDefault="004543E0" w:rsidP="007E3239">
            <w:pPr>
              <w:pStyle w:val="TableText"/>
              <w:spacing w:before="40" w:after="30"/>
              <w:jc w:val="center"/>
              <w:rPr>
                <w:rFonts w:cs="Calibri"/>
                <w:szCs w:val="16"/>
              </w:rPr>
            </w:pPr>
            <w:r w:rsidRPr="00705FD2">
              <w:rPr>
                <w:rFonts w:cs="Calibri"/>
                <w:szCs w:val="16"/>
              </w:rPr>
              <w:t>14.7</w:t>
            </w:r>
          </w:p>
        </w:tc>
        <w:tc>
          <w:tcPr>
            <w:tcW w:w="1633" w:type="dxa"/>
            <w:shd w:val="clear" w:color="auto" w:fill="auto"/>
            <w:noWrap/>
          </w:tcPr>
          <w:p w14:paraId="4391B093" w14:textId="77777777" w:rsidR="004543E0" w:rsidRPr="00705FD2" w:rsidRDefault="004543E0" w:rsidP="007E3239">
            <w:pPr>
              <w:pStyle w:val="TableText"/>
              <w:spacing w:before="40" w:after="30"/>
              <w:jc w:val="center"/>
              <w:rPr>
                <w:rFonts w:cs="Calibri"/>
                <w:szCs w:val="16"/>
              </w:rPr>
            </w:pPr>
            <w:r w:rsidRPr="00705FD2">
              <w:rPr>
                <w:rFonts w:cs="Calibri"/>
                <w:szCs w:val="16"/>
              </w:rPr>
              <w:t>29.2</w:t>
            </w:r>
          </w:p>
        </w:tc>
      </w:tr>
      <w:tr w:rsidR="004543E0" w:rsidRPr="00705FD2" w14:paraId="0D35C388" w14:textId="77777777" w:rsidTr="00705FD2">
        <w:tc>
          <w:tcPr>
            <w:tcW w:w="1378" w:type="dxa"/>
            <w:noWrap/>
          </w:tcPr>
          <w:p w14:paraId="1160FEDA" w14:textId="77777777" w:rsidR="004543E0" w:rsidRPr="00705FD2" w:rsidRDefault="004543E0" w:rsidP="007E3239">
            <w:pPr>
              <w:pStyle w:val="TableText"/>
              <w:spacing w:before="40" w:after="30"/>
              <w:rPr>
                <w:rFonts w:cs="Calibri"/>
                <w:szCs w:val="16"/>
              </w:rPr>
            </w:pPr>
            <w:r w:rsidRPr="00705FD2">
              <w:rPr>
                <w:rFonts w:cs="Calibri"/>
                <w:szCs w:val="16"/>
              </w:rPr>
              <w:t>1996</w:t>
            </w:r>
          </w:p>
        </w:tc>
        <w:tc>
          <w:tcPr>
            <w:tcW w:w="1826" w:type="dxa"/>
            <w:shd w:val="clear" w:color="auto" w:fill="auto"/>
            <w:noWrap/>
          </w:tcPr>
          <w:p w14:paraId="511DB3CE" w14:textId="77777777" w:rsidR="004543E0" w:rsidRPr="00705FD2" w:rsidRDefault="004543E0" w:rsidP="007E3239">
            <w:pPr>
              <w:pStyle w:val="TableText"/>
              <w:spacing w:before="40" w:after="30"/>
              <w:jc w:val="center"/>
              <w:rPr>
                <w:rFonts w:cs="Calibri"/>
                <w:szCs w:val="16"/>
              </w:rPr>
            </w:pPr>
            <w:r w:rsidRPr="00705FD2">
              <w:rPr>
                <w:rFonts w:cs="Calibri"/>
                <w:szCs w:val="16"/>
              </w:rPr>
              <w:t>105.3</w:t>
            </w:r>
          </w:p>
        </w:tc>
        <w:tc>
          <w:tcPr>
            <w:tcW w:w="1826" w:type="dxa"/>
            <w:shd w:val="clear" w:color="auto" w:fill="auto"/>
            <w:noWrap/>
          </w:tcPr>
          <w:p w14:paraId="7B87D207" w14:textId="77777777" w:rsidR="004543E0" w:rsidRPr="00705FD2" w:rsidRDefault="004543E0" w:rsidP="007E3239">
            <w:pPr>
              <w:pStyle w:val="TableText"/>
              <w:spacing w:before="40" w:after="30"/>
              <w:jc w:val="center"/>
              <w:rPr>
                <w:rFonts w:cs="Calibri"/>
                <w:szCs w:val="16"/>
              </w:rPr>
            </w:pPr>
            <w:r w:rsidRPr="00705FD2">
              <w:rPr>
                <w:rFonts w:cs="Calibri"/>
                <w:szCs w:val="16"/>
              </w:rPr>
              <w:t>75.0</w:t>
            </w:r>
          </w:p>
        </w:tc>
        <w:tc>
          <w:tcPr>
            <w:tcW w:w="1842" w:type="dxa"/>
            <w:shd w:val="clear" w:color="auto" w:fill="auto"/>
            <w:noWrap/>
          </w:tcPr>
          <w:p w14:paraId="249161D6" w14:textId="77777777" w:rsidR="004543E0" w:rsidRPr="00705FD2" w:rsidRDefault="004543E0" w:rsidP="007E3239">
            <w:pPr>
              <w:pStyle w:val="TableText"/>
              <w:spacing w:before="40" w:after="30"/>
              <w:jc w:val="center"/>
              <w:rPr>
                <w:rFonts w:cs="Calibri"/>
                <w:szCs w:val="16"/>
              </w:rPr>
            </w:pPr>
            <w:r w:rsidRPr="00705FD2">
              <w:rPr>
                <w:rFonts w:cs="Calibri"/>
                <w:szCs w:val="16"/>
              </w:rPr>
              <w:t>15.4</w:t>
            </w:r>
          </w:p>
        </w:tc>
        <w:tc>
          <w:tcPr>
            <w:tcW w:w="1633" w:type="dxa"/>
            <w:shd w:val="clear" w:color="auto" w:fill="auto"/>
            <w:noWrap/>
          </w:tcPr>
          <w:p w14:paraId="78631BFD" w14:textId="77777777" w:rsidR="004543E0" w:rsidRPr="00705FD2" w:rsidRDefault="004543E0" w:rsidP="007E3239">
            <w:pPr>
              <w:pStyle w:val="TableText"/>
              <w:spacing w:before="40" w:after="30"/>
              <w:jc w:val="center"/>
              <w:rPr>
                <w:rFonts w:cs="Calibri"/>
                <w:szCs w:val="16"/>
              </w:rPr>
            </w:pPr>
            <w:r w:rsidRPr="00705FD2">
              <w:rPr>
                <w:rFonts w:cs="Calibri"/>
                <w:szCs w:val="16"/>
              </w:rPr>
              <w:t>29.4</w:t>
            </w:r>
          </w:p>
        </w:tc>
      </w:tr>
      <w:tr w:rsidR="004543E0" w:rsidRPr="00705FD2" w14:paraId="37E1F140" w14:textId="77777777" w:rsidTr="00705FD2">
        <w:tc>
          <w:tcPr>
            <w:tcW w:w="1378" w:type="dxa"/>
            <w:noWrap/>
          </w:tcPr>
          <w:p w14:paraId="629AED61" w14:textId="77777777" w:rsidR="004543E0" w:rsidRPr="00705FD2" w:rsidRDefault="004543E0" w:rsidP="007E3239">
            <w:pPr>
              <w:pStyle w:val="TableText"/>
              <w:spacing w:before="40" w:after="30"/>
              <w:rPr>
                <w:rFonts w:cs="Calibri"/>
                <w:szCs w:val="16"/>
              </w:rPr>
            </w:pPr>
            <w:r w:rsidRPr="00705FD2">
              <w:rPr>
                <w:rFonts w:cs="Calibri"/>
                <w:szCs w:val="16"/>
              </w:rPr>
              <w:t>1997</w:t>
            </w:r>
          </w:p>
        </w:tc>
        <w:tc>
          <w:tcPr>
            <w:tcW w:w="1826" w:type="dxa"/>
            <w:shd w:val="clear" w:color="auto" w:fill="auto"/>
            <w:noWrap/>
          </w:tcPr>
          <w:p w14:paraId="6C918C2F" w14:textId="77777777" w:rsidR="004543E0" w:rsidRPr="00705FD2" w:rsidRDefault="004543E0" w:rsidP="007E3239">
            <w:pPr>
              <w:pStyle w:val="TableText"/>
              <w:spacing w:before="40" w:after="30"/>
              <w:jc w:val="center"/>
              <w:rPr>
                <w:rFonts w:cs="Calibri"/>
                <w:szCs w:val="16"/>
              </w:rPr>
            </w:pPr>
            <w:r w:rsidRPr="00705FD2">
              <w:rPr>
                <w:rFonts w:cs="Calibri"/>
                <w:szCs w:val="16"/>
              </w:rPr>
              <w:t>106.1</w:t>
            </w:r>
          </w:p>
        </w:tc>
        <w:tc>
          <w:tcPr>
            <w:tcW w:w="1826" w:type="dxa"/>
            <w:shd w:val="clear" w:color="auto" w:fill="auto"/>
            <w:noWrap/>
          </w:tcPr>
          <w:p w14:paraId="26BBE122" w14:textId="77777777" w:rsidR="004543E0" w:rsidRPr="00705FD2" w:rsidRDefault="004543E0" w:rsidP="007E3239">
            <w:pPr>
              <w:pStyle w:val="TableText"/>
              <w:spacing w:before="40" w:after="30"/>
              <w:jc w:val="center"/>
              <w:rPr>
                <w:rFonts w:cs="Calibri"/>
                <w:szCs w:val="16"/>
              </w:rPr>
            </w:pPr>
            <w:r w:rsidRPr="00705FD2">
              <w:rPr>
                <w:rFonts w:cs="Calibri"/>
                <w:szCs w:val="16"/>
              </w:rPr>
              <w:t>76.3</w:t>
            </w:r>
          </w:p>
        </w:tc>
        <w:tc>
          <w:tcPr>
            <w:tcW w:w="1842" w:type="dxa"/>
            <w:shd w:val="clear" w:color="auto" w:fill="auto"/>
            <w:noWrap/>
          </w:tcPr>
          <w:p w14:paraId="10B8AB26" w14:textId="77777777" w:rsidR="004543E0" w:rsidRPr="00705FD2" w:rsidRDefault="004543E0" w:rsidP="007E3239">
            <w:pPr>
              <w:pStyle w:val="TableText"/>
              <w:spacing w:before="40" w:after="30"/>
              <w:jc w:val="center"/>
              <w:rPr>
                <w:rFonts w:cs="Calibri"/>
                <w:szCs w:val="16"/>
              </w:rPr>
            </w:pPr>
            <w:r w:rsidRPr="00705FD2">
              <w:rPr>
                <w:rFonts w:cs="Calibri"/>
                <w:szCs w:val="16"/>
              </w:rPr>
              <w:t>16.1</w:t>
            </w:r>
          </w:p>
        </w:tc>
        <w:tc>
          <w:tcPr>
            <w:tcW w:w="1633" w:type="dxa"/>
            <w:shd w:val="clear" w:color="auto" w:fill="auto"/>
            <w:noWrap/>
          </w:tcPr>
          <w:p w14:paraId="178A8376" w14:textId="77777777" w:rsidR="004543E0" w:rsidRPr="00705FD2" w:rsidRDefault="004543E0" w:rsidP="007E3239">
            <w:pPr>
              <w:pStyle w:val="TableText"/>
              <w:spacing w:before="40" w:after="30"/>
              <w:jc w:val="center"/>
              <w:rPr>
                <w:rFonts w:cs="Calibri"/>
                <w:szCs w:val="16"/>
              </w:rPr>
            </w:pPr>
            <w:r w:rsidRPr="00705FD2">
              <w:rPr>
                <w:rFonts w:cs="Calibri"/>
                <w:szCs w:val="16"/>
              </w:rPr>
              <w:t>29.7</w:t>
            </w:r>
          </w:p>
        </w:tc>
      </w:tr>
      <w:tr w:rsidR="004543E0" w:rsidRPr="00705FD2" w14:paraId="7CBF216F" w14:textId="77777777" w:rsidTr="00705FD2">
        <w:tc>
          <w:tcPr>
            <w:tcW w:w="1378" w:type="dxa"/>
            <w:noWrap/>
          </w:tcPr>
          <w:p w14:paraId="71F1049B" w14:textId="77777777" w:rsidR="004543E0" w:rsidRPr="00705FD2" w:rsidRDefault="004543E0" w:rsidP="007E3239">
            <w:pPr>
              <w:pStyle w:val="TableText"/>
              <w:spacing w:before="40" w:after="30"/>
              <w:rPr>
                <w:rFonts w:cs="Calibri"/>
                <w:szCs w:val="16"/>
              </w:rPr>
            </w:pPr>
            <w:r w:rsidRPr="00705FD2">
              <w:rPr>
                <w:rFonts w:cs="Calibri"/>
                <w:szCs w:val="16"/>
              </w:rPr>
              <w:t>1998</w:t>
            </w:r>
          </w:p>
        </w:tc>
        <w:tc>
          <w:tcPr>
            <w:tcW w:w="1826" w:type="dxa"/>
            <w:noWrap/>
          </w:tcPr>
          <w:p w14:paraId="464A9EC7" w14:textId="77777777" w:rsidR="004543E0" w:rsidRPr="00705FD2" w:rsidRDefault="004543E0" w:rsidP="007E3239">
            <w:pPr>
              <w:pStyle w:val="TableText"/>
              <w:spacing w:before="40" w:after="30"/>
              <w:jc w:val="center"/>
              <w:rPr>
                <w:rFonts w:cs="Calibri"/>
                <w:szCs w:val="16"/>
              </w:rPr>
            </w:pPr>
            <w:r w:rsidRPr="00705FD2">
              <w:rPr>
                <w:rFonts w:cs="Calibri"/>
                <w:szCs w:val="16"/>
              </w:rPr>
              <w:t>103.8</w:t>
            </w:r>
          </w:p>
        </w:tc>
        <w:tc>
          <w:tcPr>
            <w:tcW w:w="1826" w:type="dxa"/>
            <w:noWrap/>
          </w:tcPr>
          <w:p w14:paraId="37BA047F" w14:textId="77777777" w:rsidR="004543E0" w:rsidRPr="00705FD2" w:rsidRDefault="004543E0" w:rsidP="007E3239">
            <w:pPr>
              <w:pStyle w:val="TableText"/>
              <w:spacing w:before="40" w:after="30"/>
              <w:jc w:val="center"/>
              <w:rPr>
                <w:rFonts w:cs="Calibri"/>
                <w:szCs w:val="16"/>
              </w:rPr>
            </w:pPr>
            <w:r w:rsidRPr="00705FD2">
              <w:rPr>
                <w:rFonts w:cs="Calibri"/>
                <w:szCs w:val="16"/>
              </w:rPr>
              <w:t>76.2</w:t>
            </w:r>
          </w:p>
        </w:tc>
        <w:tc>
          <w:tcPr>
            <w:tcW w:w="1842" w:type="dxa"/>
            <w:noWrap/>
          </w:tcPr>
          <w:p w14:paraId="764B4B8F" w14:textId="77777777" w:rsidR="004543E0" w:rsidRPr="00705FD2" w:rsidRDefault="004543E0" w:rsidP="007E3239">
            <w:pPr>
              <w:pStyle w:val="TableText"/>
              <w:spacing w:before="40" w:after="30"/>
              <w:jc w:val="center"/>
              <w:rPr>
                <w:rFonts w:cs="Calibri"/>
                <w:szCs w:val="16"/>
              </w:rPr>
            </w:pPr>
            <w:r w:rsidRPr="00705FD2">
              <w:rPr>
                <w:rFonts w:cs="Calibri"/>
                <w:szCs w:val="16"/>
              </w:rPr>
              <w:t>16.1</w:t>
            </w:r>
          </w:p>
        </w:tc>
        <w:tc>
          <w:tcPr>
            <w:tcW w:w="1633" w:type="dxa"/>
            <w:noWrap/>
          </w:tcPr>
          <w:p w14:paraId="419E9B78" w14:textId="77777777" w:rsidR="004543E0" w:rsidRPr="00705FD2" w:rsidRDefault="004543E0" w:rsidP="007E3239">
            <w:pPr>
              <w:pStyle w:val="TableText"/>
              <w:spacing w:before="40" w:after="30"/>
              <w:jc w:val="center"/>
              <w:rPr>
                <w:rFonts w:cs="Calibri"/>
                <w:szCs w:val="16"/>
              </w:rPr>
            </w:pPr>
            <w:r w:rsidRPr="00705FD2">
              <w:rPr>
                <w:rFonts w:cs="Calibri"/>
                <w:szCs w:val="16"/>
              </w:rPr>
              <w:t>29.9</w:t>
            </w:r>
          </w:p>
        </w:tc>
      </w:tr>
      <w:tr w:rsidR="004543E0" w:rsidRPr="00705FD2" w14:paraId="5BC66FA5" w14:textId="77777777" w:rsidTr="00705FD2">
        <w:tc>
          <w:tcPr>
            <w:tcW w:w="1378" w:type="dxa"/>
            <w:noWrap/>
          </w:tcPr>
          <w:p w14:paraId="4B728D2B" w14:textId="77777777" w:rsidR="004543E0" w:rsidRPr="00705FD2" w:rsidRDefault="004543E0" w:rsidP="007E3239">
            <w:pPr>
              <w:pStyle w:val="TableText"/>
              <w:spacing w:before="40" w:after="30"/>
              <w:rPr>
                <w:rFonts w:cs="Calibri"/>
                <w:szCs w:val="16"/>
              </w:rPr>
            </w:pPr>
            <w:r w:rsidRPr="00705FD2">
              <w:rPr>
                <w:rFonts w:cs="Calibri"/>
                <w:szCs w:val="16"/>
              </w:rPr>
              <w:t>1999</w:t>
            </w:r>
          </w:p>
        </w:tc>
        <w:tc>
          <w:tcPr>
            <w:tcW w:w="1826" w:type="dxa"/>
            <w:noWrap/>
          </w:tcPr>
          <w:p w14:paraId="049E8F8E" w14:textId="77777777" w:rsidR="004543E0" w:rsidRPr="00705FD2" w:rsidRDefault="004543E0" w:rsidP="007E3239">
            <w:pPr>
              <w:pStyle w:val="TableText"/>
              <w:spacing w:before="40" w:after="30"/>
              <w:jc w:val="center"/>
              <w:rPr>
                <w:rFonts w:cs="Calibri"/>
                <w:szCs w:val="16"/>
              </w:rPr>
            </w:pPr>
            <w:r w:rsidRPr="00705FD2">
              <w:rPr>
                <w:rFonts w:cs="Calibri"/>
                <w:szCs w:val="16"/>
              </w:rPr>
              <w:t>105.6</w:t>
            </w:r>
          </w:p>
        </w:tc>
        <w:tc>
          <w:tcPr>
            <w:tcW w:w="1826" w:type="dxa"/>
            <w:noWrap/>
          </w:tcPr>
          <w:p w14:paraId="51F5E166" w14:textId="77777777" w:rsidR="004543E0" w:rsidRPr="00705FD2" w:rsidRDefault="004543E0" w:rsidP="007E3239">
            <w:pPr>
              <w:pStyle w:val="TableText"/>
              <w:spacing w:before="40" w:after="30"/>
              <w:jc w:val="center"/>
              <w:rPr>
                <w:rFonts w:cs="Calibri"/>
                <w:szCs w:val="16"/>
              </w:rPr>
            </w:pPr>
            <w:r w:rsidRPr="00705FD2">
              <w:rPr>
                <w:rFonts w:cs="Calibri"/>
                <w:szCs w:val="16"/>
              </w:rPr>
              <w:t>74.5</w:t>
            </w:r>
          </w:p>
        </w:tc>
        <w:tc>
          <w:tcPr>
            <w:tcW w:w="1842" w:type="dxa"/>
            <w:noWrap/>
          </w:tcPr>
          <w:p w14:paraId="60D4E357" w14:textId="77777777" w:rsidR="004543E0" w:rsidRPr="00705FD2" w:rsidRDefault="004543E0" w:rsidP="007E3239">
            <w:pPr>
              <w:pStyle w:val="TableText"/>
              <w:spacing w:before="40" w:after="30"/>
              <w:jc w:val="center"/>
              <w:rPr>
                <w:rFonts w:cs="Calibri"/>
                <w:szCs w:val="16"/>
              </w:rPr>
            </w:pPr>
            <w:r w:rsidRPr="00705FD2">
              <w:rPr>
                <w:rFonts w:cs="Calibri"/>
                <w:szCs w:val="16"/>
              </w:rPr>
              <w:t>16.0</w:t>
            </w:r>
          </w:p>
        </w:tc>
        <w:tc>
          <w:tcPr>
            <w:tcW w:w="1633" w:type="dxa"/>
            <w:noWrap/>
          </w:tcPr>
          <w:p w14:paraId="62225FEA" w14:textId="77777777" w:rsidR="004543E0" w:rsidRPr="00705FD2" w:rsidRDefault="004543E0" w:rsidP="007E3239">
            <w:pPr>
              <w:pStyle w:val="TableText"/>
              <w:spacing w:before="40" w:after="30"/>
              <w:jc w:val="center"/>
              <w:rPr>
                <w:rFonts w:cs="Calibri"/>
                <w:szCs w:val="16"/>
              </w:rPr>
            </w:pPr>
            <w:r w:rsidRPr="00705FD2">
              <w:rPr>
                <w:rFonts w:cs="Calibri"/>
                <w:szCs w:val="16"/>
              </w:rPr>
              <w:t>30.2</w:t>
            </w:r>
          </w:p>
        </w:tc>
      </w:tr>
      <w:tr w:rsidR="004543E0" w:rsidRPr="00705FD2" w14:paraId="63231625" w14:textId="77777777" w:rsidTr="00705FD2">
        <w:tc>
          <w:tcPr>
            <w:tcW w:w="1378" w:type="dxa"/>
            <w:noWrap/>
          </w:tcPr>
          <w:p w14:paraId="66B5EC66" w14:textId="77777777" w:rsidR="004543E0" w:rsidRPr="00705FD2" w:rsidRDefault="004543E0" w:rsidP="007E3239">
            <w:pPr>
              <w:pStyle w:val="TableText"/>
              <w:spacing w:before="40" w:after="30"/>
              <w:rPr>
                <w:rFonts w:cs="Calibri"/>
                <w:szCs w:val="16"/>
              </w:rPr>
            </w:pPr>
            <w:r w:rsidRPr="00705FD2">
              <w:rPr>
                <w:rFonts w:cs="Calibri"/>
                <w:szCs w:val="16"/>
              </w:rPr>
              <w:t>2000</w:t>
            </w:r>
          </w:p>
        </w:tc>
        <w:tc>
          <w:tcPr>
            <w:tcW w:w="1826" w:type="dxa"/>
            <w:noWrap/>
          </w:tcPr>
          <w:p w14:paraId="6C3AEEA0" w14:textId="77777777" w:rsidR="004543E0" w:rsidRPr="00705FD2" w:rsidRDefault="004543E0" w:rsidP="007E3239">
            <w:pPr>
              <w:pStyle w:val="TableText"/>
              <w:spacing w:before="40" w:after="30"/>
              <w:jc w:val="center"/>
              <w:rPr>
                <w:rFonts w:cs="Calibri"/>
                <w:szCs w:val="16"/>
              </w:rPr>
            </w:pPr>
            <w:r w:rsidRPr="00705FD2">
              <w:rPr>
                <w:rFonts w:cs="Calibri"/>
                <w:szCs w:val="16"/>
              </w:rPr>
              <w:t>107.1</w:t>
            </w:r>
          </w:p>
        </w:tc>
        <w:tc>
          <w:tcPr>
            <w:tcW w:w="1826" w:type="dxa"/>
            <w:noWrap/>
          </w:tcPr>
          <w:p w14:paraId="2BE16DB5" w14:textId="77777777" w:rsidR="004543E0" w:rsidRPr="00705FD2" w:rsidRDefault="004543E0" w:rsidP="007E3239">
            <w:pPr>
              <w:pStyle w:val="TableText"/>
              <w:spacing w:before="40" w:after="30"/>
              <w:jc w:val="center"/>
              <w:rPr>
                <w:rFonts w:cs="Calibri"/>
                <w:szCs w:val="16"/>
              </w:rPr>
            </w:pPr>
            <w:r w:rsidRPr="00705FD2">
              <w:rPr>
                <w:rFonts w:cs="Calibri"/>
                <w:szCs w:val="16"/>
              </w:rPr>
              <w:t>77.1</w:t>
            </w:r>
          </w:p>
        </w:tc>
        <w:tc>
          <w:tcPr>
            <w:tcW w:w="1842" w:type="dxa"/>
            <w:noWrap/>
          </w:tcPr>
          <w:p w14:paraId="023A7CB8" w14:textId="77777777" w:rsidR="004543E0" w:rsidRPr="00705FD2" w:rsidRDefault="004543E0" w:rsidP="007E3239">
            <w:pPr>
              <w:pStyle w:val="TableText"/>
              <w:spacing w:before="40" w:after="30"/>
              <w:jc w:val="center"/>
              <w:rPr>
                <w:rFonts w:cs="Calibri"/>
                <w:szCs w:val="16"/>
              </w:rPr>
            </w:pPr>
            <w:r w:rsidRPr="00705FD2">
              <w:rPr>
                <w:rFonts w:cs="Calibri"/>
                <w:szCs w:val="16"/>
              </w:rPr>
              <w:t>16.7</w:t>
            </w:r>
          </w:p>
        </w:tc>
        <w:tc>
          <w:tcPr>
            <w:tcW w:w="1633" w:type="dxa"/>
            <w:noWrap/>
          </w:tcPr>
          <w:p w14:paraId="18CF48A8" w14:textId="77777777" w:rsidR="004543E0" w:rsidRPr="00705FD2" w:rsidRDefault="004543E0" w:rsidP="007E3239">
            <w:pPr>
              <w:pStyle w:val="TableText"/>
              <w:spacing w:before="40" w:after="30"/>
              <w:jc w:val="center"/>
              <w:rPr>
                <w:rFonts w:cs="Calibri"/>
                <w:szCs w:val="16"/>
              </w:rPr>
            </w:pPr>
            <w:r w:rsidRPr="00705FD2">
              <w:rPr>
                <w:rFonts w:cs="Calibri"/>
                <w:szCs w:val="16"/>
              </w:rPr>
              <w:t>30.8</w:t>
            </w:r>
          </w:p>
        </w:tc>
      </w:tr>
      <w:tr w:rsidR="004543E0" w:rsidRPr="00705FD2" w14:paraId="28155555" w14:textId="77777777" w:rsidTr="00705FD2">
        <w:tc>
          <w:tcPr>
            <w:tcW w:w="1378" w:type="dxa"/>
            <w:noWrap/>
          </w:tcPr>
          <w:p w14:paraId="5415745D" w14:textId="77777777" w:rsidR="004543E0" w:rsidRPr="00705FD2" w:rsidRDefault="004543E0" w:rsidP="007E3239">
            <w:pPr>
              <w:pStyle w:val="TableText"/>
              <w:spacing w:before="40" w:after="30"/>
              <w:rPr>
                <w:rFonts w:cs="Calibri"/>
                <w:szCs w:val="16"/>
              </w:rPr>
            </w:pPr>
            <w:r w:rsidRPr="00705FD2">
              <w:rPr>
                <w:rFonts w:cs="Calibri"/>
                <w:szCs w:val="16"/>
              </w:rPr>
              <w:t>2001</w:t>
            </w:r>
          </w:p>
        </w:tc>
        <w:tc>
          <w:tcPr>
            <w:tcW w:w="1826" w:type="dxa"/>
            <w:noWrap/>
          </w:tcPr>
          <w:p w14:paraId="561DF557" w14:textId="77777777" w:rsidR="004543E0" w:rsidRPr="00705FD2" w:rsidRDefault="004543E0" w:rsidP="007E3239">
            <w:pPr>
              <w:pStyle w:val="TableText"/>
              <w:spacing w:before="40" w:after="30"/>
              <w:jc w:val="center"/>
              <w:rPr>
                <w:rFonts w:cs="Calibri"/>
                <w:szCs w:val="16"/>
              </w:rPr>
            </w:pPr>
            <w:r w:rsidRPr="00705FD2">
              <w:rPr>
                <w:rFonts w:cs="Calibri"/>
                <w:szCs w:val="16"/>
              </w:rPr>
              <w:t>108.1</w:t>
            </w:r>
          </w:p>
        </w:tc>
        <w:tc>
          <w:tcPr>
            <w:tcW w:w="1826" w:type="dxa"/>
            <w:noWrap/>
          </w:tcPr>
          <w:p w14:paraId="5659F77A" w14:textId="77777777" w:rsidR="004543E0" w:rsidRPr="00705FD2" w:rsidRDefault="004543E0" w:rsidP="007E3239">
            <w:pPr>
              <w:pStyle w:val="TableText"/>
              <w:spacing w:before="40" w:after="30"/>
              <w:jc w:val="center"/>
              <w:rPr>
                <w:rFonts w:cs="Calibri"/>
                <w:szCs w:val="16"/>
              </w:rPr>
            </w:pPr>
            <w:r w:rsidRPr="00705FD2">
              <w:rPr>
                <w:rFonts w:cs="Calibri"/>
                <w:szCs w:val="16"/>
              </w:rPr>
              <w:t>78.4</w:t>
            </w:r>
          </w:p>
        </w:tc>
        <w:tc>
          <w:tcPr>
            <w:tcW w:w="1842" w:type="dxa"/>
            <w:noWrap/>
          </w:tcPr>
          <w:p w14:paraId="5477DA3C" w14:textId="77777777" w:rsidR="004543E0" w:rsidRPr="00705FD2" w:rsidRDefault="004543E0" w:rsidP="007E3239">
            <w:pPr>
              <w:pStyle w:val="TableText"/>
              <w:spacing w:before="40" w:after="30"/>
              <w:jc w:val="center"/>
              <w:rPr>
                <w:rFonts w:cs="Calibri"/>
                <w:szCs w:val="16"/>
              </w:rPr>
            </w:pPr>
            <w:r w:rsidRPr="00705FD2">
              <w:rPr>
                <w:rFonts w:cs="Calibri"/>
                <w:szCs w:val="16"/>
              </w:rPr>
              <w:t>16.9</w:t>
            </w:r>
          </w:p>
        </w:tc>
        <w:tc>
          <w:tcPr>
            <w:tcW w:w="1633" w:type="dxa"/>
            <w:noWrap/>
          </w:tcPr>
          <w:p w14:paraId="14FC249D" w14:textId="77777777" w:rsidR="004543E0" w:rsidRPr="00705FD2" w:rsidRDefault="004543E0" w:rsidP="007E3239">
            <w:pPr>
              <w:pStyle w:val="TableText"/>
              <w:spacing w:before="40" w:after="30"/>
              <w:jc w:val="center"/>
              <w:rPr>
                <w:rFonts w:cs="Calibri"/>
                <w:szCs w:val="16"/>
              </w:rPr>
            </w:pPr>
            <w:r w:rsidRPr="00705FD2">
              <w:rPr>
                <w:rFonts w:cs="Calibri"/>
                <w:szCs w:val="16"/>
              </w:rPr>
              <w:t>30.8</w:t>
            </w:r>
          </w:p>
        </w:tc>
      </w:tr>
      <w:tr w:rsidR="004543E0" w:rsidRPr="00705FD2" w14:paraId="54217118" w14:textId="77777777" w:rsidTr="00705FD2">
        <w:tc>
          <w:tcPr>
            <w:tcW w:w="1378" w:type="dxa"/>
            <w:noWrap/>
          </w:tcPr>
          <w:p w14:paraId="55775D7E" w14:textId="77777777" w:rsidR="004543E0" w:rsidRPr="00705FD2" w:rsidRDefault="004543E0" w:rsidP="007E3239">
            <w:pPr>
              <w:pStyle w:val="TableText"/>
              <w:spacing w:before="40" w:after="30"/>
              <w:rPr>
                <w:rFonts w:cs="Calibri"/>
                <w:szCs w:val="16"/>
              </w:rPr>
            </w:pPr>
            <w:r w:rsidRPr="00705FD2">
              <w:rPr>
                <w:rFonts w:cs="Calibri"/>
                <w:szCs w:val="16"/>
              </w:rPr>
              <w:t>2002</w:t>
            </w:r>
          </w:p>
        </w:tc>
        <w:tc>
          <w:tcPr>
            <w:tcW w:w="1826" w:type="dxa"/>
            <w:noWrap/>
          </w:tcPr>
          <w:p w14:paraId="5F4A8CC7" w14:textId="77777777" w:rsidR="004543E0" w:rsidRPr="00705FD2" w:rsidRDefault="004543E0" w:rsidP="007E3239">
            <w:pPr>
              <w:pStyle w:val="TableText"/>
              <w:spacing w:before="40" w:after="30"/>
              <w:jc w:val="center"/>
              <w:rPr>
                <w:rFonts w:cs="Calibri"/>
                <w:szCs w:val="16"/>
              </w:rPr>
            </w:pPr>
            <w:r w:rsidRPr="00705FD2">
              <w:rPr>
                <w:rFonts w:cs="Calibri"/>
                <w:szCs w:val="16"/>
              </w:rPr>
              <w:t>107.4</w:t>
            </w:r>
          </w:p>
        </w:tc>
        <w:tc>
          <w:tcPr>
            <w:tcW w:w="1826" w:type="dxa"/>
            <w:noWrap/>
          </w:tcPr>
          <w:p w14:paraId="4A079E9C" w14:textId="77777777" w:rsidR="004543E0" w:rsidRPr="00705FD2" w:rsidRDefault="004543E0" w:rsidP="007E3239">
            <w:pPr>
              <w:pStyle w:val="TableText"/>
              <w:spacing w:before="40" w:after="30"/>
              <w:jc w:val="center"/>
              <w:rPr>
                <w:rFonts w:cs="Calibri"/>
                <w:szCs w:val="16"/>
              </w:rPr>
            </w:pPr>
            <w:r w:rsidRPr="00705FD2">
              <w:rPr>
                <w:rFonts w:cs="Calibri"/>
                <w:szCs w:val="16"/>
              </w:rPr>
              <w:t>78.0</w:t>
            </w:r>
          </w:p>
        </w:tc>
        <w:tc>
          <w:tcPr>
            <w:tcW w:w="1842" w:type="dxa"/>
            <w:noWrap/>
          </w:tcPr>
          <w:p w14:paraId="215CAB3A" w14:textId="77777777" w:rsidR="004543E0" w:rsidRPr="00705FD2" w:rsidRDefault="004543E0" w:rsidP="007E3239">
            <w:pPr>
              <w:pStyle w:val="TableText"/>
              <w:spacing w:before="40" w:after="30"/>
              <w:jc w:val="center"/>
              <w:rPr>
                <w:rFonts w:cs="Calibri"/>
                <w:szCs w:val="16"/>
              </w:rPr>
            </w:pPr>
            <w:r w:rsidRPr="00705FD2">
              <w:rPr>
                <w:rFonts w:cs="Calibri"/>
                <w:szCs w:val="16"/>
              </w:rPr>
              <w:t>16.9</w:t>
            </w:r>
          </w:p>
        </w:tc>
        <w:tc>
          <w:tcPr>
            <w:tcW w:w="1633" w:type="dxa"/>
            <w:noWrap/>
          </w:tcPr>
          <w:p w14:paraId="7B21A0C4" w14:textId="77777777" w:rsidR="004543E0" w:rsidRPr="00705FD2" w:rsidRDefault="004543E0" w:rsidP="007E3239">
            <w:pPr>
              <w:pStyle w:val="TableText"/>
              <w:spacing w:before="40" w:after="30"/>
              <w:jc w:val="center"/>
              <w:rPr>
                <w:rFonts w:cs="Calibri"/>
                <w:szCs w:val="16"/>
              </w:rPr>
            </w:pPr>
            <w:r w:rsidRPr="00705FD2">
              <w:rPr>
                <w:rFonts w:cs="Calibri"/>
                <w:szCs w:val="16"/>
              </w:rPr>
              <w:t>30.9</w:t>
            </w:r>
          </w:p>
        </w:tc>
      </w:tr>
      <w:tr w:rsidR="004543E0" w:rsidRPr="00705FD2" w14:paraId="457005CB" w14:textId="77777777" w:rsidTr="00705FD2">
        <w:tc>
          <w:tcPr>
            <w:tcW w:w="1378" w:type="dxa"/>
            <w:noWrap/>
          </w:tcPr>
          <w:p w14:paraId="21FC8328" w14:textId="77777777" w:rsidR="004543E0" w:rsidRPr="00705FD2" w:rsidRDefault="004543E0" w:rsidP="007E3239">
            <w:pPr>
              <w:pStyle w:val="TableText"/>
              <w:spacing w:before="40" w:after="30"/>
              <w:rPr>
                <w:rFonts w:cs="Calibri"/>
                <w:szCs w:val="16"/>
              </w:rPr>
            </w:pPr>
            <w:r w:rsidRPr="00705FD2">
              <w:rPr>
                <w:rFonts w:cs="Calibri"/>
                <w:szCs w:val="16"/>
              </w:rPr>
              <w:t>2003</w:t>
            </w:r>
          </w:p>
        </w:tc>
        <w:tc>
          <w:tcPr>
            <w:tcW w:w="1826" w:type="dxa"/>
            <w:noWrap/>
          </w:tcPr>
          <w:p w14:paraId="6F405C69" w14:textId="77777777" w:rsidR="004543E0" w:rsidRPr="00705FD2" w:rsidRDefault="004543E0" w:rsidP="007E3239">
            <w:pPr>
              <w:pStyle w:val="TableText"/>
              <w:spacing w:before="40" w:after="30"/>
              <w:jc w:val="center"/>
              <w:rPr>
                <w:rFonts w:cs="Calibri"/>
                <w:szCs w:val="16"/>
              </w:rPr>
            </w:pPr>
            <w:r w:rsidRPr="00705FD2">
              <w:rPr>
                <w:rFonts w:cs="Calibri"/>
                <w:szCs w:val="16"/>
              </w:rPr>
              <w:t>111.2</w:t>
            </w:r>
          </w:p>
        </w:tc>
        <w:tc>
          <w:tcPr>
            <w:tcW w:w="1826" w:type="dxa"/>
            <w:noWrap/>
          </w:tcPr>
          <w:p w14:paraId="132621E8" w14:textId="77777777" w:rsidR="004543E0" w:rsidRPr="00705FD2" w:rsidRDefault="004543E0" w:rsidP="007E3239">
            <w:pPr>
              <w:pStyle w:val="TableText"/>
              <w:spacing w:before="40" w:after="30"/>
              <w:jc w:val="center"/>
              <w:rPr>
                <w:rFonts w:cs="Calibri"/>
                <w:szCs w:val="16"/>
              </w:rPr>
            </w:pPr>
            <w:r w:rsidRPr="00705FD2">
              <w:rPr>
                <w:rFonts w:cs="Calibri"/>
                <w:szCs w:val="16"/>
              </w:rPr>
              <w:t>77.7</w:t>
            </w:r>
          </w:p>
        </w:tc>
        <w:tc>
          <w:tcPr>
            <w:tcW w:w="1842" w:type="dxa"/>
            <w:noWrap/>
          </w:tcPr>
          <w:p w14:paraId="38EF7B34" w14:textId="77777777" w:rsidR="004543E0" w:rsidRPr="00705FD2" w:rsidRDefault="004543E0" w:rsidP="007E3239">
            <w:pPr>
              <w:pStyle w:val="TableText"/>
              <w:spacing w:before="40" w:after="30"/>
              <w:jc w:val="center"/>
              <w:rPr>
                <w:rFonts w:cs="Calibri"/>
                <w:szCs w:val="16"/>
              </w:rPr>
            </w:pPr>
            <w:r w:rsidRPr="00705FD2">
              <w:rPr>
                <w:rFonts w:cs="Calibri"/>
                <w:szCs w:val="16"/>
              </w:rPr>
              <w:t>16.9</w:t>
            </w:r>
          </w:p>
        </w:tc>
        <w:tc>
          <w:tcPr>
            <w:tcW w:w="1633" w:type="dxa"/>
            <w:noWrap/>
          </w:tcPr>
          <w:p w14:paraId="56563D06" w14:textId="77777777" w:rsidR="004543E0" w:rsidRPr="00705FD2" w:rsidRDefault="004543E0" w:rsidP="007E3239">
            <w:pPr>
              <w:pStyle w:val="TableText"/>
              <w:spacing w:before="40" w:after="30"/>
              <w:jc w:val="center"/>
              <w:rPr>
                <w:rFonts w:cs="Calibri"/>
                <w:szCs w:val="16"/>
              </w:rPr>
            </w:pPr>
            <w:r w:rsidRPr="00705FD2">
              <w:rPr>
                <w:rFonts w:cs="Calibri"/>
                <w:szCs w:val="16"/>
              </w:rPr>
              <w:t>30.7</w:t>
            </w:r>
          </w:p>
        </w:tc>
      </w:tr>
      <w:tr w:rsidR="004543E0" w:rsidRPr="00705FD2" w14:paraId="0F1A6540" w14:textId="77777777" w:rsidTr="00705FD2">
        <w:tc>
          <w:tcPr>
            <w:tcW w:w="1378" w:type="dxa"/>
            <w:noWrap/>
          </w:tcPr>
          <w:p w14:paraId="759B04D3" w14:textId="77777777" w:rsidR="004543E0" w:rsidRPr="00705FD2" w:rsidRDefault="004543E0" w:rsidP="007E3239">
            <w:pPr>
              <w:pStyle w:val="TableText"/>
              <w:spacing w:before="40" w:after="30"/>
              <w:rPr>
                <w:rFonts w:cs="Calibri"/>
                <w:szCs w:val="16"/>
              </w:rPr>
            </w:pPr>
            <w:r w:rsidRPr="00705FD2">
              <w:rPr>
                <w:rFonts w:cs="Calibri"/>
                <w:szCs w:val="16"/>
              </w:rPr>
              <w:t>2004</w:t>
            </w:r>
          </w:p>
        </w:tc>
        <w:tc>
          <w:tcPr>
            <w:tcW w:w="1826" w:type="dxa"/>
            <w:noWrap/>
          </w:tcPr>
          <w:p w14:paraId="571508D0" w14:textId="77777777" w:rsidR="004543E0" w:rsidRPr="00705FD2" w:rsidRDefault="004543E0" w:rsidP="007E3239">
            <w:pPr>
              <w:pStyle w:val="TableText"/>
              <w:spacing w:before="40" w:after="30"/>
              <w:jc w:val="center"/>
              <w:rPr>
                <w:rFonts w:cs="Calibri"/>
                <w:szCs w:val="16"/>
              </w:rPr>
            </w:pPr>
            <w:r w:rsidRPr="00705FD2">
              <w:rPr>
                <w:rFonts w:cs="Calibri"/>
                <w:szCs w:val="16"/>
              </w:rPr>
              <w:t>109.8</w:t>
            </w:r>
          </w:p>
        </w:tc>
        <w:tc>
          <w:tcPr>
            <w:tcW w:w="1826" w:type="dxa"/>
            <w:noWrap/>
          </w:tcPr>
          <w:p w14:paraId="5CFFFEA2" w14:textId="77777777" w:rsidR="004543E0" w:rsidRPr="00705FD2" w:rsidRDefault="004543E0" w:rsidP="007E3239">
            <w:pPr>
              <w:pStyle w:val="TableText"/>
              <w:spacing w:before="40" w:after="30"/>
              <w:jc w:val="center"/>
              <w:rPr>
                <w:rFonts w:cs="Calibri"/>
                <w:szCs w:val="16"/>
              </w:rPr>
            </w:pPr>
            <w:r w:rsidRPr="00705FD2">
              <w:rPr>
                <w:rFonts w:cs="Calibri"/>
                <w:szCs w:val="16"/>
              </w:rPr>
              <w:t>79.0</w:t>
            </w:r>
          </w:p>
        </w:tc>
        <w:tc>
          <w:tcPr>
            <w:tcW w:w="1842" w:type="dxa"/>
            <w:noWrap/>
          </w:tcPr>
          <w:p w14:paraId="63D87C58" w14:textId="77777777" w:rsidR="004543E0" w:rsidRPr="00705FD2" w:rsidRDefault="004543E0" w:rsidP="007E3239">
            <w:pPr>
              <w:pStyle w:val="TableText"/>
              <w:spacing w:before="40" w:after="30"/>
              <w:jc w:val="center"/>
              <w:rPr>
                <w:rFonts w:cs="Calibri"/>
                <w:szCs w:val="16"/>
              </w:rPr>
            </w:pPr>
            <w:r w:rsidRPr="00705FD2">
              <w:rPr>
                <w:rFonts w:cs="Calibri"/>
                <w:szCs w:val="16"/>
              </w:rPr>
              <w:t>17.4</w:t>
            </w:r>
          </w:p>
        </w:tc>
        <w:tc>
          <w:tcPr>
            <w:tcW w:w="1633" w:type="dxa"/>
            <w:noWrap/>
          </w:tcPr>
          <w:p w14:paraId="0327209A" w14:textId="77777777" w:rsidR="004543E0" w:rsidRPr="00705FD2" w:rsidRDefault="004543E0" w:rsidP="007E3239">
            <w:pPr>
              <w:pStyle w:val="TableText"/>
              <w:spacing w:before="40" w:after="30"/>
              <w:jc w:val="center"/>
              <w:rPr>
                <w:rFonts w:cs="Calibri"/>
                <w:szCs w:val="16"/>
              </w:rPr>
            </w:pPr>
            <w:r w:rsidRPr="00705FD2">
              <w:rPr>
                <w:rFonts w:cs="Calibri"/>
                <w:szCs w:val="16"/>
              </w:rPr>
              <w:t>31.0</w:t>
            </w:r>
          </w:p>
        </w:tc>
      </w:tr>
      <w:tr w:rsidR="004543E0" w:rsidRPr="00705FD2" w14:paraId="12CAC9EC" w14:textId="77777777" w:rsidTr="00705FD2">
        <w:tc>
          <w:tcPr>
            <w:tcW w:w="1378" w:type="dxa"/>
            <w:noWrap/>
          </w:tcPr>
          <w:p w14:paraId="02AB0FAA" w14:textId="77777777" w:rsidR="004543E0" w:rsidRPr="00705FD2" w:rsidRDefault="004543E0" w:rsidP="007E3239">
            <w:pPr>
              <w:pStyle w:val="TableText"/>
              <w:spacing w:before="40" w:after="30"/>
              <w:rPr>
                <w:rFonts w:cs="Calibri"/>
                <w:szCs w:val="16"/>
              </w:rPr>
            </w:pPr>
            <w:r w:rsidRPr="00705FD2">
              <w:rPr>
                <w:rFonts w:cs="Calibri"/>
                <w:szCs w:val="16"/>
              </w:rPr>
              <w:t>2005</w:t>
            </w:r>
          </w:p>
        </w:tc>
        <w:tc>
          <w:tcPr>
            <w:tcW w:w="1826" w:type="dxa"/>
            <w:noWrap/>
          </w:tcPr>
          <w:p w14:paraId="778494D7" w14:textId="77777777" w:rsidR="004543E0" w:rsidRPr="00705FD2" w:rsidRDefault="004543E0" w:rsidP="007E3239">
            <w:pPr>
              <w:pStyle w:val="TableText"/>
              <w:spacing w:before="40" w:after="30"/>
              <w:jc w:val="center"/>
              <w:rPr>
                <w:rFonts w:cs="Calibri"/>
                <w:szCs w:val="16"/>
              </w:rPr>
            </w:pPr>
            <w:r w:rsidRPr="00705FD2">
              <w:rPr>
                <w:rFonts w:cs="Calibri"/>
                <w:szCs w:val="16"/>
              </w:rPr>
              <w:t>110.4</w:t>
            </w:r>
          </w:p>
        </w:tc>
        <w:tc>
          <w:tcPr>
            <w:tcW w:w="1826" w:type="dxa"/>
            <w:noWrap/>
          </w:tcPr>
          <w:p w14:paraId="344F0321" w14:textId="77777777" w:rsidR="004543E0" w:rsidRPr="00705FD2" w:rsidRDefault="004543E0" w:rsidP="007E3239">
            <w:pPr>
              <w:pStyle w:val="TableText"/>
              <w:spacing w:before="40" w:after="30"/>
              <w:jc w:val="center"/>
              <w:rPr>
                <w:rFonts w:cs="Calibri"/>
                <w:szCs w:val="16"/>
              </w:rPr>
            </w:pPr>
            <w:r w:rsidRPr="00705FD2">
              <w:rPr>
                <w:rFonts w:cs="Calibri"/>
                <w:szCs w:val="16"/>
              </w:rPr>
              <w:t>80.0</w:t>
            </w:r>
          </w:p>
        </w:tc>
        <w:tc>
          <w:tcPr>
            <w:tcW w:w="1842" w:type="dxa"/>
            <w:noWrap/>
          </w:tcPr>
          <w:p w14:paraId="5637DFAE" w14:textId="77777777" w:rsidR="004543E0" w:rsidRPr="00705FD2" w:rsidRDefault="004543E0" w:rsidP="007E3239">
            <w:pPr>
              <w:pStyle w:val="TableText"/>
              <w:spacing w:before="40" w:after="30"/>
              <w:jc w:val="center"/>
              <w:rPr>
                <w:rFonts w:cs="Calibri"/>
                <w:szCs w:val="16"/>
              </w:rPr>
            </w:pPr>
            <w:r w:rsidRPr="00705FD2">
              <w:rPr>
                <w:rFonts w:cs="Calibri"/>
                <w:szCs w:val="16"/>
              </w:rPr>
              <w:t>17.6</w:t>
            </w:r>
          </w:p>
        </w:tc>
        <w:tc>
          <w:tcPr>
            <w:tcW w:w="1633" w:type="dxa"/>
            <w:noWrap/>
          </w:tcPr>
          <w:p w14:paraId="388CF61F" w14:textId="77777777" w:rsidR="004543E0" w:rsidRPr="00705FD2" w:rsidRDefault="004543E0" w:rsidP="007E3239">
            <w:pPr>
              <w:pStyle w:val="TableText"/>
              <w:spacing w:before="40" w:after="30"/>
              <w:jc w:val="center"/>
              <w:rPr>
                <w:rFonts w:cs="Calibri"/>
                <w:szCs w:val="16"/>
              </w:rPr>
            </w:pPr>
            <w:r w:rsidRPr="00705FD2">
              <w:rPr>
                <w:rFonts w:cs="Calibri"/>
                <w:szCs w:val="16"/>
              </w:rPr>
              <w:t>31.3</w:t>
            </w:r>
          </w:p>
        </w:tc>
      </w:tr>
      <w:tr w:rsidR="004543E0" w:rsidRPr="00705FD2" w14:paraId="5709983E" w14:textId="77777777" w:rsidTr="00705FD2">
        <w:tc>
          <w:tcPr>
            <w:tcW w:w="1378" w:type="dxa"/>
            <w:noWrap/>
          </w:tcPr>
          <w:p w14:paraId="08B1213A" w14:textId="77777777" w:rsidR="004543E0" w:rsidRPr="00705FD2" w:rsidRDefault="004543E0" w:rsidP="007E3239">
            <w:pPr>
              <w:pStyle w:val="TableText"/>
              <w:spacing w:before="40" w:after="30"/>
              <w:rPr>
                <w:rFonts w:cs="Calibri"/>
                <w:szCs w:val="16"/>
              </w:rPr>
            </w:pPr>
            <w:r w:rsidRPr="00705FD2">
              <w:rPr>
                <w:rFonts w:cs="Calibri"/>
                <w:szCs w:val="16"/>
              </w:rPr>
              <w:t>2006</w:t>
            </w:r>
          </w:p>
        </w:tc>
        <w:tc>
          <w:tcPr>
            <w:tcW w:w="1826" w:type="dxa"/>
            <w:noWrap/>
          </w:tcPr>
          <w:p w14:paraId="0E547448" w14:textId="77777777" w:rsidR="004543E0" w:rsidRPr="00705FD2" w:rsidRDefault="004543E0" w:rsidP="007E3239">
            <w:pPr>
              <w:pStyle w:val="TableText"/>
              <w:spacing w:before="40" w:after="30"/>
              <w:jc w:val="center"/>
              <w:rPr>
                <w:rFonts w:cs="Calibri"/>
                <w:szCs w:val="16"/>
              </w:rPr>
            </w:pPr>
            <w:r w:rsidRPr="00705FD2">
              <w:rPr>
                <w:rFonts w:cs="Calibri"/>
                <w:szCs w:val="16"/>
              </w:rPr>
              <w:t>109.6</w:t>
            </w:r>
          </w:p>
        </w:tc>
        <w:tc>
          <w:tcPr>
            <w:tcW w:w="1826" w:type="dxa"/>
            <w:noWrap/>
          </w:tcPr>
          <w:p w14:paraId="58FDA933" w14:textId="77777777" w:rsidR="004543E0" w:rsidRPr="00705FD2" w:rsidRDefault="004543E0" w:rsidP="007E3239">
            <w:pPr>
              <w:pStyle w:val="TableText"/>
              <w:spacing w:before="40" w:after="30"/>
              <w:jc w:val="center"/>
              <w:rPr>
                <w:rFonts w:cs="Calibri"/>
                <w:szCs w:val="16"/>
              </w:rPr>
            </w:pPr>
            <w:r w:rsidRPr="00705FD2">
              <w:rPr>
                <w:rFonts w:cs="Calibri"/>
                <w:szCs w:val="16"/>
              </w:rPr>
              <w:t>81.5</w:t>
            </w:r>
          </w:p>
        </w:tc>
        <w:tc>
          <w:tcPr>
            <w:tcW w:w="1842" w:type="dxa"/>
            <w:noWrap/>
          </w:tcPr>
          <w:p w14:paraId="1650E877" w14:textId="77777777" w:rsidR="004543E0" w:rsidRPr="00705FD2" w:rsidRDefault="004543E0" w:rsidP="007E3239">
            <w:pPr>
              <w:pStyle w:val="TableText"/>
              <w:spacing w:before="40" w:after="30"/>
              <w:jc w:val="center"/>
              <w:rPr>
                <w:rFonts w:cs="Calibri"/>
                <w:szCs w:val="16"/>
              </w:rPr>
            </w:pPr>
            <w:r w:rsidRPr="00705FD2">
              <w:rPr>
                <w:rFonts w:cs="Calibri"/>
                <w:szCs w:val="16"/>
              </w:rPr>
              <w:t>17.3</w:t>
            </w:r>
          </w:p>
        </w:tc>
        <w:tc>
          <w:tcPr>
            <w:tcW w:w="1633" w:type="dxa"/>
            <w:noWrap/>
          </w:tcPr>
          <w:p w14:paraId="38F2D607" w14:textId="77777777" w:rsidR="004543E0" w:rsidRPr="00705FD2" w:rsidRDefault="004543E0" w:rsidP="007E3239">
            <w:pPr>
              <w:pStyle w:val="TableText"/>
              <w:spacing w:before="40" w:after="30"/>
              <w:jc w:val="center"/>
              <w:rPr>
                <w:rFonts w:cs="Calibri"/>
                <w:szCs w:val="16"/>
              </w:rPr>
            </w:pPr>
            <w:r w:rsidRPr="00705FD2">
              <w:rPr>
                <w:rFonts w:cs="Calibri"/>
                <w:szCs w:val="16"/>
              </w:rPr>
              <w:t>31.5</w:t>
            </w:r>
          </w:p>
        </w:tc>
      </w:tr>
      <w:tr w:rsidR="004543E0" w:rsidRPr="00705FD2" w14:paraId="1D1C1CCC" w14:textId="77777777" w:rsidTr="00705FD2">
        <w:tc>
          <w:tcPr>
            <w:tcW w:w="1378" w:type="dxa"/>
            <w:noWrap/>
          </w:tcPr>
          <w:p w14:paraId="26226A3A" w14:textId="77777777" w:rsidR="004543E0" w:rsidRPr="00705FD2" w:rsidRDefault="004543E0" w:rsidP="007E3239">
            <w:pPr>
              <w:pStyle w:val="TableText"/>
              <w:spacing w:before="40" w:after="30"/>
              <w:rPr>
                <w:rFonts w:cs="Calibri"/>
                <w:szCs w:val="16"/>
              </w:rPr>
            </w:pPr>
            <w:r w:rsidRPr="00705FD2">
              <w:rPr>
                <w:rFonts w:cs="Calibri"/>
                <w:szCs w:val="16"/>
              </w:rPr>
              <w:t>2007</w:t>
            </w:r>
          </w:p>
        </w:tc>
        <w:tc>
          <w:tcPr>
            <w:tcW w:w="1826" w:type="dxa"/>
            <w:noWrap/>
          </w:tcPr>
          <w:p w14:paraId="1151F589" w14:textId="77777777" w:rsidR="004543E0" w:rsidRPr="00705FD2" w:rsidRDefault="004543E0" w:rsidP="007E3239">
            <w:pPr>
              <w:pStyle w:val="TableText"/>
              <w:spacing w:before="40" w:after="30"/>
              <w:jc w:val="center"/>
              <w:rPr>
                <w:rFonts w:cs="Calibri"/>
                <w:szCs w:val="16"/>
              </w:rPr>
            </w:pPr>
            <w:r w:rsidRPr="00705FD2">
              <w:rPr>
                <w:rFonts w:cs="Calibri"/>
                <w:szCs w:val="16"/>
              </w:rPr>
              <w:t>108.3</w:t>
            </w:r>
          </w:p>
        </w:tc>
        <w:tc>
          <w:tcPr>
            <w:tcW w:w="1826" w:type="dxa"/>
            <w:noWrap/>
          </w:tcPr>
          <w:p w14:paraId="104540AB" w14:textId="77777777" w:rsidR="004543E0" w:rsidRPr="00705FD2" w:rsidRDefault="004543E0" w:rsidP="007E3239">
            <w:pPr>
              <w:pStyle w:val="TableText"/>
              <w:spacing w:before="40" w:after="30"/>
              <w:jc w:val="center"/>
              <w:rPr>
                <w:rFonts w:cs="Calibri"/>
                <w:szCs w:val="16"/>
              </w:rPr>
            </w:pPr>
            <w:r w:rsidRPr="00705FD2">
              <w:rPr>
                <w:rFonts w:cs="Calibri"/>
                <w:szCs w:val="16"/>
              </w:rPr>
              <w:t>80.3</w:t>
            </w:r>
          </w:p>
        </w:tc>
        <w:tc>
          <w:tcPr>
            <w:tcW w:w="1842" w:type="dxa"/>
            <w:noWrap/>
          </w:tcPr>
          <w:p w14:paraId="4BCEA6EE" w14:textId="77777777" w:rsidR="004543E0" w:rsidRPr="00705FD2" w:rsidRDefault="004543E0" w:rsidP="007E3239">
            <w:pPr>
              <w:pStyle w:val="TableText"/>
              <w:spacing w:before="40" w:after="30"/>
              <w:jc w:val="center"/>
              <w:rPr>
                <w:rFonts w:cs="Calibri"/>
                <w:szCs w:val="16"/>
              </w:rPr>
            </w:pPr>
            <w:r w:rsidRPr="00705FD2">
              <w:rPr>
                <w:rFonts w:cs="Calibri"/>
                <w:szCs w:val="16"/>
              </w:rPr>
              <w:t>16.9</w:t>
            </w:r>
          </w:p>
        </w:tc>
        <w:tc>
          <w:tcPr>
            <w:tcW w:w="1633" w:type="dxa"/>
            <w:noWrap/>
          </w:tcPr>
          <w:p w14:paraId="51E6C4E3" w14:textId="77777777" w:rsidR="004543E0" w:rsidRPr="00705FD2" w:rsidRDefault="004543E0" w:rsidP="007E3239">
            <w:pPr>
              <w:pStyle w:val="TableText"/>
              <w:spacing w:before="40" w:after="30"/>
              <w:jc w:val="center"/>
              <w:rPr>
                <w:rFonts w:cs="Calibri"/>
                <w:szCs w:val="16"/>
              </w:rPr>
            </w:pPr>
            <w:r w:rsidRPr="00705FD2">
              <w:rPr>
                <w:rFonts w:cs="Calibri"/>
                <w:szCs w:val="16"/>
              </w:rPr>
              <w:t>31.6</w:t>
            </w:r>
          </w:p>
        </w:tc>
      </w:tr>
      <w:tr w:rsidR="004543E0" w:rsidRPr="00705FD2" w14:paraId="4C4F477C" w14:textId="77777777" w:rsidTr="00705FD2">
        <w:tc>
          <w:tcPr>
            <w:tcW w:w="1378" w:type="dxa"/>
            <w:noWrap/>
          </w:tcPr>
          <w:p w14:paraId="5A8979E7" w14:textId="77777777" w:rsidR="004543E0" w:rsidRPr="00705FD2" w:rsidRDefault="004543E0" w:rsidP="007E3239">
            <w:pPr>
              <w:pStyle w:val="TableText"/>
              <w:spacing w:before="40" w:after="30"/>
              <w:rPr>
                <w:rFonts w:cs="Calibri"/>
                <w:szCs w:val="16"/>
              </w:rPr>
            </w:pPr>
            <w:r w:rsidRPr="00705FD2">
              <w:rPr>
                <w:rFonts w:cs="Calibri"/>
                <w:szCs w:val="16"/>
              </w:rPr>
              <w:t>2008</w:t>
            </w:r>
          </w:p>
        </w:tc>
        <w:tc>
          <w:tcPr>
            <w:tcW w:w="1826" w:type="dxa"/>
            <w:noWrap/>
          </w:tcPr>
          <w:p w14:paraId="67166ACF" w14:textId="77777777" w:rsidR="004543E0" w:rsidRPr="00705FD2" w:rsidRDefault="004543E0" w:rsidP="007E3239">
            <w:pPr>
              <w:pStyle w:val="TableText"/>
              <w:spacing w:before="40" w:after="30"/>
              <w:jc w:val="center"/>
              <w:rPr>
                <w:rFonts w:cs="Calibri"/>
                <w:szCs w:val="16"/>
              </w:rPr>
            </w:pPr>
            <w:r w:rsidRPr="00705FD2">
              <w:rPr>
                <w:rFonts w:cs="Calibri"/>
                <w:szCs w:val="16"/>
              </w:rPr>
              <w:t>106.8</w:t>
            </w:r>
          </w:p>
        </w:tc>
        <w:tc>
          <w:tcPr>
            <w:tcW w:w="1826" w:type="dxa"/>
            <w:noWrap/>
          </w:tcPr>
          <w:p w14:paraId="620C6382" w14:textId="77777777" w:rsidR="004543E0" w:rsidRPr="00705FD2" w:rsidRDefault="004543E0" w:rsidP="007E3239">
            <w:pPr>
              <w:pStyle w:val="TableText"/>
              <w:spacing w:before="40" w:after="30"/>
              <w:jc w:val="center"/>
              <w:rPr>
                <w:rFonts w:cs="Calibri"/>
                <w:szCs w:val="16"/>
              </w:rPr>
            </w:pPr>
            <w:r w:rsidRPr="00705FD2">
              <w:rPr>
                <w:rFonts w:cs="Calibri"/>
                <w:szCs w:val="16"/>
              </w:rPr>
              <w:t>79.7</w:t>
            </w:r>
          </w:p>
        </w:tc>
        <w:tc>
          <w:tcPr>
            <w:tcW w:w="1842" w:type="dxa"/>
            <w:noWrap/>
          </w:tcPr>
          <w:p w14:paraId="10526A0A" w14:textId="77777777" w:rsidR="004543E0" w:rsidRPr="00705FD2" w:rsidRDefault="004543E0" w:rsidP="007E3239">
            <w:pPr>
              <w:pStyle w:val="TableText"/>
              <w:spacing w:before="40" w:after="30"/>
              <w:jc w:val="center"/>
              <w:rPr>
                <w:rFonts w:cs="Calibri"/>
                <w:szCs w:val="16"/>
              </w:rPr>
            </w:pPr>
            <w:r w:rsidRPr="00705FD2">
              <w:rPr>
                <w:rFonts w:cs="Calibri"/>
                <w:szCs w:val="16"/>
              </w:rPr>
              <w:t>17.3</w:t>
            </w:r>
          </w:p>
        </w:tc>
        <w:tc>
          <w:tcPr>
            <w:tcW w:w="1633" w:type="dxa"/>
            <w:noWrap/>
          </w:tcPr>
          <w:p w14:paraId="44BAC61E" w14:textId="77777777" w:rsidR="004543E0" w:rsidRPr="00705FD2" w:rsidRDefault="004543E0" w:rsidP="007E3239">
            <w:pPr>
              <w:pStyle w:val="TableText"/>
              <w:spacing w:before="40" w:after="30"/>
              <w:jc w:val="center"/>
              <w:rPr>
                <w:rFonts w:cs="Calibri"/>
                <w:szCs w:val="16"/>
              </w:rPr>
            </w:pPr>
            <w:r w:rsidRPr="00705FD2">
              <w:rPr>
                <w:rFonts w:cs="Calibri"/>
                <w:szCs w:val="16"/>
              </w:rPr>
              <w:t>31.6</w:t>
            </w:r>
          </w:p>
        </w:tc>
      </w:tr>
      <w:tr w:rsidR="004543E0" w:rsidRPr="00705FD2" w14:paraId="340B0240" w14:textId="77777777" w:rsidTr="00705FD2">
        <w:tc>
          <w:tcPr>
            <w:tcW w:w="1378" w:type="dxa"/>
            <w:noWrap/>
          </w:tcPr>
          <w:p w14:paraId="1876510B" w14:textId="77777777" w:rsidR="004543E0" w:rsidRPr="00705FD2" w:rsidRDefault="004543E0" w:rsidP="007E3239">
            <w:pPr>
              <w:pStyle w:val="TableText"/>
              <w:spacing w:before="40" w:after="30"/>
              <w:rPr>
                <w:rFonts w:cs="Calibri"/>
                <w:szCs w:val="16"/>
              </w:rPr>
            </w:pPr>
            <w:r w:rsidRPr="00705FD2">
              <w:rPr>
                <w:rFonts w:cs="Calibri"/>
                <w:szCs w:val="16"/>
              </w:rPr>
              <w:t>2009</w:t>
            </w:r>
          </w:p>
        </w:tc>
        <w:tc>
          <w:tcPr>
            <w:tcW w:w="1826" w:type="dxa"/>
            <w:noWrap/>
          </w:tcPr>
          <w:p w14:paraId="0E0FC32E" w14:textId="77777777" w:rsidR="004543E0" w:rsidRPr="00705FD2" w:rsidRDefault="004543E0" w:rsidP="007E3239">
            <w:pPr>
              <w:pStyle w:val="TableText"/>
              <w:spacing w:before="40" w:after="30"/>
              <w:jc w:val="center"/>
              <w:rPr>
                <w:rFonts w:cs="Calibri"/>
                <w:szCs w:val="16"/>
              </w:rPr>
            </w:pPr>
            <w:r w:rsidRPr="00705FD2">
              <w:rPr>
                <w:rFonts w:cs="Calibri"/>
                <w:szCs w:val="16"/>
              </w:rPr>
              <w:t>107.5</w:t>
            </w:r>
          </w:p>
        </w:tc>
        <w:tc>
          <w:tcPr>
            <w:tcW w:w="1826" w:type="dxa"/>
            <w:noWrap/>
          </w:tcPr>
          <w:p w14:paraId="0DBF6753" w14:textId="77777777" w:rsidR="004543E0" w:rsidRPr="00705FD2" w:rsidRDefault="004543E0" w:rsidP="007E3239">
            <w:pPr>
              <w:pStyle w:val="TableText"/>
              <w:spacing w:before="40" w:after="30"/>
              <w:jc w:val="center"/>
              <w:rPr>
                <w:rFonts w:cs="Calibri"/>
                <w:szCs w:val="16"/>
              </w:rPr>
            </w:pPr>
            <w:r w:rsidRPr="00705FD2">
              <w:rPr>
                <w:rFonts w:cs="Calibri"/>
                <w:szCs w:val="16"/>
              </w:rPr>
              <w:t>79.1</w:t>
            </w:r>
          </w:p>
        </w:tc>
        <w:tc>
          <w:tcPr>
            <w:tcW w:w="1842" w:type="dxa"/>
            <w:noWrap/>
          </w:tcPr>
          <w:p w14:paraId="02EB83B1" w14:textId="77777777" w:rsidR="004543E0" w:rsidRPr="00705FD2" w:rsidRDefault="004543E0" w:rsidP="007E3239">
            <w:pPr>
              <w:pStyle w:val="TableText"/>
              <w:spacing w:before="40" w:after="30"/>
              <w:jc w:val="center"/>
              <w:rPr>
                <w:rFonts w:cs="Calibri"/>
                <w:szCs w:val="16"/>
              </w:rPr>
            </w:pPr>
            <w:r w:rsidRPr="00705FD2">
              <w:rPr>
                <w:rFonts w:cs="Calibri"/>
                <w:szCs w:val="16"/>
              </w:rPr>
              <w:t>17.8</w:t>
            </w:r>
          </w:p>
        </w:tc>
        <w:tc>
          <w:tcPr>
            <w:tcW w:w="1633" w:type="dxa"/>
            <w:noWrap/>
          </w:tcPr>
          <w:p w14:paraId="2027DB0B" w14:textId="77777777" w:rsidR="004543E0" w:rsidRPr="00705FD2" w:rsidRDefault="004543E0" w:rsidP="007E3239">
            <w:pPr>
              <w:pStyle w:val="TableText"/>
              <w:spacing w:before="40" w:after="30"/>
              <w:jc w:val="center"/>
              <w:rPr>
                <w:rFonts w:cs="Calibri"/>
                <w:szCs w:val="16"/>
              </w:rPr>
            </w:pPr>
            <w:r w:rsidRPr="00705FD2">
              <w:rPr>
                <w:rFonts w:cs="Calibri"/>
                <w:szCs w:val="16"/>
              </w:rPr>
              <w:t>31.7</w:t>
            </w:r>
          </w:p>
        </w:tc>
      </w:tr>
      <w:tr w:rsidR="004543E0" w:rsidRPr="00705FD2" w14:paraId="07277D7A" w14:textId="77777777" w:rsidTr="00705FD2">
        <w:tc>
          <w:tcPr>
            <w:tcW w:w="1378" w:type="dxa"/>
            <w:noWrap/>
          </w:tcPr>
          <w:p w14:paraId="25622625" w14:textId="77777777" w:rsidR="004543E0" w:rsidRPr="00705FD2" w:rsidRDefault="004543E0" w:rsidP="007E3239">
            <w:pPr>
              <w:pStyle w:val="TableText"/>
              <w:spacing w:before="40" w:after="30"/>
              <w:rPr>
                <w:rFonts w:cs="Calibri"/>
                <w:szCs w:val="16"/>
              </w:rPr>
            </w:pPr>
            <w:r w:rsidRPr="00705FD2">
              <w:rPr>
                <w:rFonts w:cs="Calibri"/>
                <w:szCs w:val="16"/>
              </w:rPr>
              <w:t>2010</w:t>
            </w:r>
          </w:p>
        </w:tc>
        <w:tc>
          <w:tcPr>
            <w:tcW w:w="1826" w:type="dxa"/>
            <w:noWrap/>
          </w:tcPr>
          <w:p w14:paraId="415E2B90" w14:textId="77777777" w:rsidR="004543E0" w:rsidRPr="00705FD2" w:rsidRDefault="004543E0" w:rsidP="007E3239">
            <w:pPr>
              <w:pStyle w:val="TableText"/>
              <w:spacing w:before="40" w:after="30"/>
              <w:jc w:val="center"/>
              <w:rPr>
                <w:rFonts w:cs="Calibri"/>
                <w:szCs w:val="16"/>
              </w:rPr>
            </w:pPr>
            <w:r w:rsidRPr="00705FD2">
              <w:rPr>
                <w:rFonts w:cs="Calibri"/>
                <w:szCs w:val="16"/>
              </w:rPr>
              <w:t>110.0</w:t>
            </w:r>
          </w:p>
        </w:tc>
        <w:tc>
          <w:tcPr>
            <w:tcW w:w="1826" w:type="dxa"/>
            <w:noWrap/>
          </w:tcPr>
          <w:p w14:paraId="54BA1026" w14:textId="77777777" w:rsidR="004543E0" w:rsidRPr="00705FD2" w:rsidRDefault="004543E0" w:rsidP="007E3239">
            <w:pPr>
              <w:pStyle w:val="TableText"/>
              <w:spacing w:before="40" w:after="30"/>
              <w:jc w:val="center"/>
              <w:rPr>
                <w:rFonts w:cs="Calibri"/>
                <w:szCs w:val="16"/>
              </w:rPr>
            </w:pPr>
            <w:r w:rsidRPr="00705FD2">
              <w:rPr>
                <w:rFonts w:cs="Calibri"/>
                <w:szCs w:val="16"/>
              </w:rPr>
              <w:t>78.9</w:t>
            </w:r>
          </w:p>
        </w:tc>
        <w:tc>
          <w:tcPr>
            <w:tcW w:w="1842" w:type="dxa"/>
            <w:noWrap/>
          </w:tcPr>
          <w:p w14:paraId="010A5DAC" w14:textId="77777777" w:rsidR="004543E0" w:rsidRPr="00705FD2" w:rsidRDefault="004543E0" w:rsidP="007E3239">
            <w:pPr>
              <w:pStyle w:val="TableText"/>
              <w:spacing w:before="40" w:after="30"/>
              <w:jc w:val="center"/>
              <w:rPr>
                <w:rFonts w:cs="Calibri"/>
                <w:szCs w:val="16"/>
              </w:rPr>
            </w:pPr>
            <w:r w:rsidRPr="00705FD2">
              <w:rPr>
                <w:rFonts w:cs="Calibri"/>
                <w:szCs w:val="16"/>
              </w:rPr>
              <w:t>17.2</w:t>
            </w:r>
          </w:p>
        </w:tc>
        <w:tc>
          <w:tcPr>
            <w:tcW w:w="1633" w:type="dxa"/>
            <w:noWrap/>
          </w:tcPr>
          <w:p w14:paraId="05B83720" w14:textId="77777777" w:rsidR="004543E0" w:rsidRPr="00705FD2" w:rsidRDefault="004543E0" w:rsidP="007E3239">
            <w:pPr>
              <w:pStyle w:val="TableText"/>
              <w:spacing w:before="40" w:after="30"/>
              <w:jc w:val="center"/>
              <w:rPr>
                <w:rFonts w:cs="Calibri"/>
                <w:szCs w:val="16"/>
              </w:rPr>
            </w:pPr>
            <w:r w:rsidRPr="00705FD2">
              <w:rPr>
                <w:rFonts w:cs="Calibri"/>
                <w:szCs w:val="16"/>
              </w:rPr>
              <w:t>31.6</w:t>
            </w:r>
          </w:p>
        </w:tc>
      </w:tr>
      <w:tr w:rsidR="004543E0" w:rsidRPr="00705FD2" w14:paraId="01405B20" w14:textId="77777777" w:rsidTr="00705FD2">
        <w:tc>
          <w:tcPr>
            <w:tcW w:w="1378" w:type="dxa"/>
            <w:noWrap/>
          </w:tcPr>
          <w:p w14:paraId="11056ECC" w14:textId="77777777" w:rsidR="004543E0" w:rsidRPr="00705FD2" w:rsidRDefault="004543E0" w:rsidP="007E3239">
            <w:pPr>
              <w:pStyle w:val="TableText"/>
              <w:spacing w:before="40" w:after="30"/>
              <w:rPr>
                <w:rFonts w:cs="Calibri"/>
                <w:szCs w:val="16"/>
              </w:rPr>
            </w:pPr>
            <w:r w:rsidRPr="00705FD2">
              <w:rPr>
                <w:rFonts w:cs="Calibri"/>
                <w:szCs w:val="16"/>
              </w:rPr>
              <w:t>2011</w:t>
            </w:r>
          </w:p>
        </w:tc>
        <w:tc>
          <w:tcPr>
            <w:tcW w:w="1826" w:type="dxa"/>
            <w:noWrap/>
          </w:tcPr>
          <w:p w14:paraId="18784888" w14:textId="77777777" w:rsidR="004543E0" w:rsidRPr="00705FD2" w:rsidRDefault="004543E0" w:rsidP="007E3239">
            <w:pPr>
              <w:pStyle w:val="TableText"/>
              <w:spacing w:before="40" w:after="30"/>
              <w:jc w:val="center"/>
              <w:rPr>
                <w:rFonts w:cs="Calibri"/>
                <w:szCs w:val="16"/>
              </w:rPr>
            </w:pPr>
            <w:r w:rsidRPr="00705FD2">
              <w:rPr>
                <w:rFonts w:cs="Calibri"/>
                <w:szCs w:val="16"/>
              </w:rPr>
              <w:t>110.9</w:t>
            </w:r>
          </w:p>
        </w:tc>
        <w:tc>
          <w:tcPr>
            <w:tcW w:w="1826" w:type="dxa"/>
            <w:noWrap/>
          </w:tcPr>
          <w:p w14:paraId="59834CD2" w14:textId="77777777" w:rsidR="004543E0" w:rsidRPr="00705FD2" w:rsidRDefault="004543E0" w:rsidP="007E3239">
            <w:pPr>
              <w:pStyle w:val="TableText"/>
              <w:spacing w:before="40" w:after="30"/>
              <w:jc w:val="center"/>
              <w:rPr>
                <w:rFonts w:cs="Calibri"/>
                <w:szCs w:val="16"/>
              </w:rPr>
            </w:pPr>
            <w:r w:rsidRPr="00705FD2">
              <w:rPr>
                <w:rFonts w:cs="Calibri"/>
                <w:szCs w:val="16"/>
              </w:rPr>
              <w:t>80.1</w:t>
            </w:r>
          </w:p>
        </w:tc>
        <w:tc>
          <w:tcPr>
            <w:tcW w:w="1842" w:type="dxa"/>
            <w:noWrap/>
          </w:tcPr>
          <w:p w14:paraId="1D270843" w14:textId="77777777" w:rsidR="004543E0" w:rsidRPr="00705FD2" w:rsidRDefault="004543E0" w:rsidP="007E3239">
            <w:pPr>
              <w:pStyle w:val="TableText"/>
              <w:spacing w:before="40" w:after="30"/>
              <w:jc w:val="center"/>
              <w:rPr>
                <w:rFonts w:cs="Calibri"/>
                <w:szCs w:val="16"/>
              </w:rPr>
            </w:pPr>
            <w:r w:rsidRPr="00705FD2">
              <w:rPr>
                <w:rFonts w:cs="Calibri"/>
                <w:szCs w:val="16"/>
              </w:rPr>
              <w:t>17.6</w:t>
            </w:r>
          </w:p>
        </w:tc>
        <w:tc>
          <w:tcPr>
            <w:tcW w:w="1633" w:type="dxa"/>
            <w:noWrap/>
          </w:tcPr>
          <w:p w14:paraId="7D74B493" w14:textId="77777777" w:rsidR="004543E0" w:rsidRPr="00705FD2" w:rsidRDefault="004543E0" w:rsidP="007E3239">
            <w:pPr>
              <w:pStyle w:val="TableText"/>
              <w:spacing w:before="40" w:after="30"/>
              <w:jc w:val="center"/>
              <w:rPr>
                <w:rFonts w:cs="Calibri"/>
                <w:szCs w:val="16"/>
              </w:rPr>
            </w:pPr>
            <w:r w:rsidRPr="00705FD2">
              <w:rPr>
                <w:rFonts w:cs="Calibri"/>
                <w:szCs w:val="16"/>
              </w:rPr>
              <w:t>31.9</w:t>
            </w:r>
          </w:p>
        </w:tc>
      </w:tr>
      <w:tr w:rsidR="004543E0" w:rsidRPr="00705FD2" w14:paraId="704F5144" w14:textId="77777777" w:rsidTr="00705FD2">
        <w:tc>
          <w:tcPr>
            <w:tcW w:w="1378" w:type="dxa"/>
            <w:noWrap/>
          </w:tcPr>
          <w:p w14:paraId="1CF48782" w14:textId="77777777" w:rsidR="004543E0" w:rsidRPr="00705FD2" w:rsidRDefault="004543E0" w:rsidP="007E3239">
            <w:pPr>
              <w:pStyle w:val="TableText"/>
              <w:spacing w:before="40" w:after="30"/>
              <w:rPr>
                <w:rFonts w:cs="Calibri"/>
                <w:szCs w:val="16"/>
              </w:rPr>
            </w:pPr>
            <w:r w:rsidRPr="00705FD2">
              <w:rPr>
                <w:rFonts w:cs="Calibri"/>
                <w:szCs w:val="16"/>
              </w:rPr>
              <w:t>2012</w:t>
            </w:r>
          </w:p>
        </w:tc>
        <w:tc>
          <w:tcPr>
            <w:tcW w:w="1826" w:type="dxa"/>
            <w:noWrap/>
          </w:tcPr>
          <w:p w14:paraId="6BFF587F" w14:textId="77777777" w:rsidR="004543E0" w:rsidRPr="00705FD2" w:rsidRDefault="004543E0" w:rsidP="007E3239">
            <w:pPr>
              <w:pStyle w:val="TableText"/>
              <w:spacing w:before="40" w:after="30"/>
              <w:jc w:val="center"/>
              <w:rPr>
                <w:rFonts w:cs="Calibri"/>
                <w:szCs w:val="16"/>
              </w:rPr>
            </w:pPr>
            <w:r w:rsidRPr="00705FD2">
              <w:rPr>
                <w:rFonts w:cs="Calibri"/>
                <w:szCs w:val="16"/>
              </w:rPr>
              <w:t>110.9</w:t>
            </w:r>
          </w:p>
        </w:tc>
        <w:tc>
          <w:tcPr>
            <w:tcW w:w="1826" w:type="dxa"/>
            <w:noWrap/>
          </w:tcPr>
          <w:p w14:paraId="3DF2F669" w14:textId="77777777" w:rsidR="004543E0" w:rsidRPr="00705FD2" w:rsidRDefault="004543E0" w:rsidP="007E3239">
            <w:pPr>
              <w:pStyle w:val="TableText"/>
              <w:spacing w:before="40" w:after="30"/>
              <w:jc w:val="center"/>
              <w:rPr>
                <w:rFonts w:cs="Calibri"/>
                <w:szCs w:val="16"/>
              </w:rPr>
            </w:pPr>
            <w:r w:rsidRPr="00705FD2">
              <w:rPr>
                <w:rFonts w:cs="Calibri"/>
                <w:szCs w:val="16"/>
              </w:rPr>
              <w:t>81.1</w:t>
            </w:r>
          </w:p>
        </w:tc>
        <w:tc>
          <w:tcPr>
            <w:tcW w:w="1842" w:type="dxa"/>
            <w:noWrap/>
          </w:tcPr>
          <w:p w14:paraId="2CE3FC87" w14:textId="77777777" w:rsidR="004543E0" w:rsidRPr="00705FD2" w:rsidRDefault="004543E0" w:rsidP="007E3239">
            <w:pPr>
              <w:pStyle w:val="TableText"/>
              <w:spacing w:before="40" w:after="30"/>
              <w:jc w:val="center"/>
              <w:rPr>
                <w:rFonts w:cs="Calibri"/>
                <w:szCs w:val="16"/>
              </w:rPr>
            </w:pPr>
            <w:r w:rsidRPr="00705FD2">
              <w:rPr>
                <w:rFonts w:cs="Calibri"/>
                <w:szCs w:val="16"/>
              </w:rPr>
              <w:t>17.9</w:t>
            </w:r>
          </w:p>
        </w:tc>
        <w:tc>
          <w:tcPr>
            <w:tcW w:w="1633" w:type="dxa"/>
            <w:noWrap/>
          </w:tcPr>
          <w:p w14:paraId="415B8D7A" w14:textId="77777777" w:rsidR="004543E0" w:rsidRPr="00705FD2" w:rsidRDefault="004543E0" w:rsidP="007E3239">
            <w:pPr>
              <w:pStyle w:val="TableText"/>
              <w:spacing w:before="40" w:after="30"/>
              <w:jc w:val="center"/>
              <w:rPr>
                <w:rFonts w:cs="Calibri"/>
                <w:szCs w:val="16"/>
              </w:rPr>
            </w:pPr>
            <w:r w:rsidRPr="00705FD2">
              <w:rPr>
                <w:rFonts w:cs="Calibri"/>
                <w:szCs w:val="16"/>
              </w:rPr>
              <w:t>32.0</w:t>
            </w:r>
          </w:p>
        </w:tc>
      </w:tr>
      <w:tr w:rsidR="004543E0" w:rsidRPr="00705FD2" w14:paraId="3C7FD99A" w14:textId="77777777" w:rsidTr="00705FD2">
        <w:tc>
          <w:tcPr>
            <w:tcW w:w="1378" w:type="dxa"/>
            <w:noWrap/>
          </w:tcPr>
          <w:p w14:paraId="2DED96A4" w14:textId="77777777" w:rsidR="004543E0" w:rsidRPr="00705FD2" w:rsidRDefault="004543E0" w:rsidP="007E3239">
            <w:pPr>
              <w:pStyle w:val="TableText"/>
              <w:spacing w:before="40" w:after="30"/>
              <w:rPr>
                <w:rFonts w:cs="Calibri"/>
                <w:szCs w:val="16"/>
              </w:rPr>
            </w:pPr>
            <w:r w:rsidRPr="00705FD2">
              <w:rPr>
                <w:rFonts w:cs="Calibri"/>
                <w:szCs w:val="16"/>
              </w:rPr>
              <w:t>2013</w:t>
            </w:r>
          </w:p>
        </w:tc>
        <w:tc>
          <w:tcPr>
            <w:tcW w:w="1826" w:type="dxa"/>
            <w:noWrap/>
          </w:tcPr>
          <w:p w14:paraId="0EB8CBA7" w14:textId="77777777" w:rsidR="004543E0" w:rsidRPr="00705FD2" w:rsidRDefault="004543E0" w:rsidP="007E3239">
            <w:pPr>
              <w:pStyle w:val="TableText"/>
              <w:spacing w:before="40" w:after="30"/>
              <w:jc w:val="center"/>
              <w:rPr>
                <w:rFonts w:cs="Calibri"/>
                <w:szCs w:val="16"/>
              </w:rPr>
            </w:pPr>
            <w:r w:rsidRPr="00705FD2">
              <w:rPr>
                <w:rFonts w:cs="Calibri"/>
                <w:szCs w:val="16"/>
              </w:rPr>
              <w:t>113.1</w:t>
            </w:r>
          </w:p>
        </w:tc>
        <w:tc>
          <w:tcPr>
            <w:tcW w:w="1826" w:type="dxa"/>
            <w:noWrap/>
          </w:tcPr>
          <w:p w14:paraId="62697060" w14:textId="77777777" w:rsidR="004543E0" w:rsidRPr="00705FD2" w:rsidRDefault="004543E0" w:rsidP="007E3239">
            <w:pPr>
              <w:pStyle w:val="TableText"/>
              <w:spacing w:before="40" w:after="30"/>
              <w:jc w:val="center"/>
              <w:rPr>
                <w:rFonts w:cs="Calibri"/>
                <w:szCs w:val="16"/>
              </w:rPr>
            </w:pPr>
            <w:r w:rsidRPr="00705FD2">
              <w:rPr>
                <w:rFonts w:cs="Calibri"/>
                <w:szCs w:val="16"/>
              </w:rPr>
              <w:t>79.8</w:t>
            </w:r>
          </w:p>
        </w:tc>
        <w:tc>
          <w:tcPr>
            <w:tcW w:w="1842" w:type="dxa"/>
            <w:noWrap/>
          </w:tcPr>
          <w:p w14:paraId="02090140" w14:textId="77777777" w:rsidR="004543E0" w:rsidRPr="00705FD2" w:rsidRDefault="004543E0" w:rsidP="007E3239">
            <w:pPr>
              <w:pStyle w:val="TableText"/>
              <w:spacing w:before="40" w:after="30"/>
              <w:jc w:val="center"/>
              <w:rPr>
                <w:rFonts w:cs="Calibri"/>
                <w:szCs w:val="16"/>
              </w:rPr>
            </w:pPr>
            <w:r w:rsidRPr="00705FD2">
              <w:rPr>
                <w:rFonts w:cs="Calibri"/>
                <w:szCs w:val="16"/>
              </w:rPr>
              <w:t>17.8</w:t>
            </w:r>
          </w:p>
        </w:tc>
        <w:tc>
          <w:tcPr>
            <w:tcW w:w="1633" w:type="dxa"/>
            <w:noWrap/>
          </w:tcPr>
          <w:p w14:paraId="2E8196B8" w14:textId="77777777" w:rsidR="004543E0" w:rsidRPr="00705FD2" w:rsidRDefault="004543E0" w:rsidP="007E3239">
            <w:pPr>
              <w:pStyle w:val="TableText"/>
              <w:spacing w:before="40" w:after="30"/>
              <w:jc w:val="center"/>
              <w:rPr>
                <w:rFonts w:cs="Calibri"/>
                <w:szCs w:val="16"/>
              </w:rPr>
            </w:pPr>
            <w:r w:rsidRPr="00705FD2">
              <w:rPr>
                <w:rFonts w:cs="Calibri"/>
                <w:szCs w:val="16"/>
              </w:rPr>
              <w:t>31.7</w:t>
            </w:r>
          </w:p>
        </w:tc>
      </w:tr>
      <w:tr w:rsidR="004543E0" w:rsidRPr="00705FD2" w14:paraId="18113C66" w14:textId="77777777" w:rsidTr="00705FD2">
        <w:tc>
          <w:tcPr>
            <w:tcW w:w="1378" w:type="dxa"/>
            <w:noWrap/>
          </w:tcPr>
          <w:p w14:paraId="0FCBC1BD" w14:textId="77777777" w:rsidR="004543E0" w:rsidRPr="00705FD2" w:rsidRDefault="004543E0" w:rsidP="007E3239">
            <w:pPr>
              <w:pStyle w:val="TableText"/>
              <w:spacing w:before="40" w:after="30"/>
              <w:rPr>
                <w:rFonts w:cs="Calibri"/>
                <w:szCs w:val="16"/>
              </w:rPr>
            </w:pPr>
            <w:r w:rsidRPr="00705FD2">
              <w:rPr>
                <w:rFonts w:cs="Calibri"/>
                <w:szCs w:val="16"/>
              </w:rPr>
              <w:t>2014</w:t>
            </w:r>
          </w:p>
        </w:tc>
        <w:tc>
          <w:tcPr>
            <w:tcW w:w="1826" w:type="dxa"/>
            <w:noWrap/>
          </w:tcPr>
          <w:p w14:paraId="16D42C81" w14:textId="77777777" w:rsidR="004543E0" w:rsidRPr="00705FD2" w:rsidRDefault="004543E0" w:rsidP="007E3239">
            <w:pPr>
              <w:pStyle w:val="TableText"/>
              <w:spacing w:before="40" w:after="30"/>
              <w:jc w:val="center"/>
              <w:rPr>
                <w:rFonts w:cs="Calibri"/>
                <w:szCs w:val="16"/>
              </w:rPr>
            </w:pPr>
            <w:r w:rsidRPr="00705FD2">
              <w:rPr>
                <w:rFonts w:cs="Calibri"/>
                <w:szCs w:val="16"/>
              </w:rPr>
              <w:t>113.1</w:t>
            </w:r>
          </w:p>
        </w:tc>
        <w:tc>
          <w:tcPr>
            <w:tcW w:w="1826" w:type="dxa"/>
            <w:noWrap/>
          </w:tcPr>
          <w:p w14:paraId="64BC1738" w14:textId="77777777" w:rsidR="004543E0" w:rsidRPr="00705FD2" w:rsidRDefault="004543E0" w:rsidP="007E3239">
            <w:pPr>
              <w:pStyle w:val="TableText"/>
              <w:spacing w:before="40" w:after="30"/>
              <w:jc w:val="center"/>
              <w:rPr>
                <w:rFonts w:cs="Calibri"/>
                <w:szCs w:val="16"/>
              </w:rPr>
            </w:pPr>
            <w:r w:rsidRPr="00705FD2">
              <w:rPr>
                <w:rFonts w:cs="Calibri"/>
                <w:szCs w:val="16"/>
              </w:rPr>
              <w:t>79.5</w:t>
            </w:r>
          </w:p>
        </w:tc>
        <w:tc>
          <w:tcPr>
            <w:tcW w:w="1842" w:type="dxa"/>
            <w:noWrap/>
          </w:tcPr>
          <w:p w14:paraId="1ED3AEB1" w14:textId="77777777" w:rsidR="004543E0" w:rsidRPr="00705FD2" w:rsidRDefault="004543E0" w:rsidP="007E3239">
            <w:pPr>
              <w:pStyle w:val="TableText"/>
              <w:spacing w:before="40" w:after="30"/>
              <w:jc w:val="center"/>
              <w:rPr>
                <w:rFonts w:cs="Calibri"/>
                <w:szCs w:val="16"/>
              </w:rPr>
            </w:pPr>
            <w:r w:rsidRPr="00705FD2">
              <w:rPr>
                <w:rFonts w:cs="Calibri"/>
                <w:szCs w:val="16"/>
              </w:rPr>
              <w:t>18.1</w:t>
            </w:r>
          </w:p>
        </w:tc>
        <w:tc>
          <w:tcPr>
            <w:tcW w:w="1633" w:type="dxa"/>
            <w:noWrap/>
          </w:tcPr>
          <w:p w14:paraId="39E16CA1" w14:textId="77777777" w:rsidR="004543E0" w:rsidRPr="00705FD2" w:rsidRDefault="004543E0" w:rsidP="007E3239">
            <w:pPr>
              <w:pStyle w:val="TableText"/>
              <w:spacing w:before="40" w:after="30"/>
              <w:jc w:val="center"/>
              <w:rPr>
                <w:rFonts w:cs="Calibri"/>
                <w:szCs w:val="16"/>
              </w:rPr>
            </w:pPr>
            <w:r w:rsidRPr="00705FD2">
              <w:rPr>
                <w:rFonts w:cs="Calibri"/>
                <w:szCs w:val="16"/>
              </w:rPr>
              <w:t>32.0</w:t>
            </w:r>
          </w:p>
        </w:tc>
      </w:tr>
      <w:tr w:rsidR="004543E0" w:rsidRPr="00705FD2" w14:paraId="1E93711B" w14:textId="77777777" w:rsidTr="00705FD2">
        <w:tc>
          <w:tcPr>
            <w:tcW w:w="1378" w:type="dxa"/>
            <w:noWrap/>
          </w:tcPr>
          <w:p w14:paraId="6846DBB6" w14:textId="77777777" w:rsidR="004543E0" w:rsidRPr="00705FD2" w:rsidRDefault="004543E0" w:rsidP="007E3239">
            <w:pPr>
              <w:pStyle w:val="TableText"/>
              <w:spacing w:before="40" w:after="30"/>
              <w:rPr>
                <w:rFonts w:cs="Calibri"/>
                <w:szCs w:val="16"/>
              </w:rPr>
            </w:pPr>
            <w:r w:rsidRPr="00705FD2">
              <w:rPr>
                <w:rFonts w:cs="Calibri"/>
                <w:szCs w:val="16"/>
              </w:rPr>
              <w:t>2015</w:t>
            </w:r>
          </w:p>
        </w:tc>
        <w:tc>
          <w:tcPr>
            <w:tcW w:w="1826" w:type="dxa"/>
            <w:noWrap/>
          </w:tcPr>
          <w:p w14:paraId="0167B9FA" w14:textId="77777777" w:rsidR="004543E0" w:rsidRPr="00705FD2" w:rsidRDefault="004543E0" w:rsidP="007E3239">
            <w:pPr>
              <w:pStyle w:val="TableText"/>
              <w:spacing w:before="40" w:after="30"/>
              <w:jc w:val="center"/>
              <w:rPr>
                <w:rFonts w:cs="Calibri"/>
                <w:szCs w:val="16"/>
              </w:rPr>
            </w:pPr>
            <w:r w:rsidRPr="00705FD2">
              <w:rPr>
                <w:rFonts w:cs="Calibri"/>
                <w:szCs w:val="16"/>
              </w:rPr>
              <w:t>115.6</w:t>
            </w:r>
          </w:p>
        </w:tc>
        <w:tc>
          <w:tcPr>
            <w:tcW w:w="1826" w:type="dxa"/>
            <w:noWrap/>
          </w:tcPr>
          <w:p w14:paraId="03564BAB" w14:textId="77777777" w:rsidR="004543E0" w:rsidRPr="00705FD2" w:rsidRDefault="004543E0" w:rsidP="007E3239">
            <w:pPr>
              <w:pStyle w:val="TableText"/>
              <w:spacing w:before="40" w:after="30"/>
              <w:jc w:val="center"/>
              <w:rPr>
                <w:rFonts w:cs="Calibri"/>
                <w:szCs w:val="16"/>
              </w:rPr>
            </w:pPr>
            <w:r w:rsidRPr="00705FD2">
              <w:rPr>
                <w:rFonts w:cs="Calibri"/>
                <w:szCs w:val="16"/>
              </w:rPr>
              <w:t>80.4</w:t>
            </w:r>
          </w:p>
        </w:tc>
        <w:tc>
          <w:tcPr>
            <w:tcW w:w="1842" w:type="dxa"/>
            <w:noWrap/>
          </w:tcPr>
          <w:p w14:paraId="20A19A2B" w14:textId="77777777" w:rsidR="004543E0" w:rsidRPr="00705FD2" w:rsidRDefault="004543E0" w:rsidP="007E3239">
            <w:pPr>
              <w:pStyle w:val="TableText"/>
              <w:spacing w:before="40" w:after="30"/>
              <w:jc w:val="center"/>
              <w:rPr>
                <w:rFonts w:cs="Calibri"/>
                <w:szCs w:val="16"/>
              </w:rPr>
            </w:pPr>
            <w:r w:rsidRPr="00705FD2">
              <w:rPr>
                <w:rFonts w:cs="Calibri"/>
                <w:szCs w:val="16"/>
              </w:rPr>
              <w:t>18.1</w:t>
            </w:r>
          </w:p>
        </w:tc>
        <w:tc>
          <w:tcPr>
            <w:tcW w:w="1633" w:type="dxa"/>
            <w:noWrap/>
          </w:tcPr>
          <w:p w14:paraId="72A427B0" w14:textId="77777777" w:rsidR="004543E0" w:rsidRPr="00705FD2" w:rsidRDefault="004543E0" w:rsidP="007E3239">
            <w:pPr>
              <w:pStyle w:val="TableText"/>
              <w:spacing w:before="40" w:after="30"/>
              <w:jc w:val="center"/>
              <w:rPr>
                <w:rFonts w:cs="Calibri"/>
                <w:szCs w:val="16"/>
              </w:rPr>
            </w:pPr>
            <w:r w:rsidRPr="00705FD2">
              <w:rPr>
                <w:rFonts w:cs="Calibri"/>
                <w:szCs w:val="16"/>
              </w:rPr>
              <w:t>32.0</w:t>
            </w:r>
          </w:p>
        </w:tc>
      </w:tr>
      <w:tr w:rsidR="004543E0" w:rsidRPr="00705FD2" w14:paraId="14852A8B" w14:textId="77777777" w:rsidTr="00705FD2">
        <w:tc>
          <w:tcPr>
            <w:tcW w:w="1378" w:type="dxa"/>
            <w:noWrap/>
          </w:tcPr>
          <w:p w14:paraId="1966D2BB" w14:textId="77777777" w:rsidR="004543E0" w:rsidRPr="00705FD2" w:rsidRDefault="004543E0" w:rsidP="007E3239">
            <w:pPr>
              <w:pStyle w:val="TableText"/>
              <w:spacing w:before="40" w:after="30"/>
              <w:rPr>
                <w:rFonts w:cs="Calibri"/>
                <w:szCs w:val="16"/>
              </w:rPr>
            </w:pPr>
            <w:r w:rsidRPr="00705FD2">
              <w:rPr>
                <w:rFonts w:cs="Calibri"/>
                <w:szCs w:val="16"/>
              </w:rPr>
              <w:t>2016</w:t>
            </w:r>
          </w:p>
        </w:tc>
        <w:tc>
          <w:tcPr>
            <w:tcW w:w="1826" w:type="dxa"/>
            <w:noWrap/>
          </w:tcPr>
          <w:p w14:paraId="18AF1312" w14:textId="77777777" w:rsidR="004543E0" w:rsidRPr="00705FD2" w:rsidRDefault="004543E0" w:rsidP="007E3239">
            <w:pPr>
              <w:pStyle w:val="TableText"/>
              <w:spacing w:before="40" w:after="30"/>
              <w:jc w:val="center"/>
              <w:rPr>
                <w:rFonts w:cs="Calibri"/>
                <w:szCs w:val="16"/>
              </w:rPr>
            </w:pPr>
            <w:r w:rsidRPr="00705FD2">
              <w:rPr>
                <w:rFonts w:cs="Calibri"/>
                <w:szCs w:val="16"/>
              </w:rPr>
              <w:t>113.2</w:t>
            </w:r>
          </w:p>
        </w:tc>
        <w:tc>
          <w:tcPr>
            <w:tcW w:w="1826" w:type="dxa"/>
            <w:noWrap/>
          </w:tcPr>
          <w:p w14:paraId="0F7B69CA" w14:textId="77777777" w:rsidR="004543E0" w:rsidRPr="00705FD2" w:rsidRDefault="004543E0" w:rsidP="007E3239">
            <w:pPr>
              <w:pStyle w:val="TableText"/>
              <w:spacing w:before="40" w:after="30"/>
              <w:jc w:val="center"/>
              <w:rPr>
                <w:rFonts w:cs="Calibri"/>
                <w:szCs w:val="16"/>
              </w:rPr>
            </w:pPr>
            <w:r w:rsidRPr="00705FD2">
              <w:rPr>
                <w:rFonts w:cs="Calibri"/>
                <w:szCs w:val="16"/>
              </w:rPr>
              <w:t>81.1</w:t>
            </w:r>
          </w:p>
        </w:tc>
        <w:tc>
          <w:tcPr>
            <w:tcW w:w="1842" w:type="dxa"/>
            <w:noWrap/>
          </w:tcPr>
          <w:p w14:paraId="0C963278" w14:textId="77777777" w:rsidR="004543E0" w:rsidRPr="00705FD2" w:rsidRDefault="004543E0" w:rsidP="007E3239">
            <w:pPr>
              <w:pStyle w:val="TableText"/>
              <w:spacing w:before="40" w:after="30"/>
              <w:jc w:val="center"/>
              <w:rPr>
                <w:rFonts w:cs="Calibri"/>
                <w:szCs w:val="16"/>
              </w:rPr>
            </w:pPr>
            <w:r w:rsidRPr="00705FD2">
              <w:rPr>
                <w:rFonts w:cs="Calibri"/>
                <w:szCs w:val="16"/>
              </w:rPr>
              <w:t>18.5</w:t>
            </w:r>
          </w:p>
        </w:tc>
        <w:tc>
          <w:tcPr>
            <w:tcW w:w="1633" w:type="dxa"/>
            <w:noWrap/>
          </w:tcPr>
          <w:p w14:paraId="791ACF07" w14:textId="77777777" w:rsidR="004543E0" w:rsidRPr="00705FD2" w:rsidRDefault="004543E0" w:rsidP="007E3239">
            <w:pPr>
              <w:pStyle w:val="TableText"/>
              <w:spacing w:before="40" w:after="30"/>
              <w:jc w:val="center"/>
              <w:rPr>
                <w:rFonts w:cs="Calibri"/>
                <w:szCs w:val="16"/>
              </w:rPr>
            </w:pPr>
            <w:r w:rsidRPr="00705FD2">
              <w:rPr>
                <w:rFonts w:cs="Calibri"/>
                <w:szCs w:val="16"/>
              </w:rPr>
              <w:t>32.7</w:t>
            </w:r>
          </w:p>
        </w:tc>
      </w:tr>
      <w:tr w:rsidR="004543E0" w:rsidRPr="00705FD2" w14:paraId="32EC0630" w14:textId="77777777" w:rsidTr="00705FD2">
        <w:tc>
          <w:tcPr>
            <w:tcW w:w="1378" w:type="dxa"/>
            <w:noWrap/>
          </w:tcPr>
          <w:p w14:paraId="53BDD8A8" w14:textId="77777777" w:rsidR="004543E0" w:rsidRPr="00705FD2" w:rsidRDefault="004543E0" w:rsidP="007E3239">
            <w:pPr>
              <w:pStyle w:val="TableText"/>
              <w:spacing w:before="40" w:after="30"/>
              <w:rPr>
                <w:rFonts w:cs="Calibri"/>
                <w:szCs w:val="16"/>
              </w:rPr>
            </w:pPr>
            <w:r w:rsidRPr="00705FD2">
              <w:rPr>
                <w:rFonts w:cs="Calibri"/>
                <w:szCs w:val="16"/>
              </w:rPr>
              <w:t>2017</w:t>
            </w:r>
          </w:p>
        </w:tc>
        <w:tc>
          <w:tcPr>
            <w:tcW w:w="1826" w:type="dxa"/>
            <w:noWrap/>
          </w:tcPr>
          <w:p w14:paraId="352D8DC8" w14:textId="77777777" w:rsidR="004543E0" w:rsidRPr="00705FD2" w:rsidRDefault="004543E0" w:rsidP="007E3239">
            <w:pPr>
              <w:pStyle w:val="TableText"/>
              <w:spacing w:before="40" w:after="30"/>
              <w:jc w:val="center"/>
              <w:rPr>
                <w:rFonts w:cs="Calibri"/>
                <w:szCs w:val="16"/>
              </w:rPr>
            </w:pPr>
            <w:r w:rsidRPr="00705FD2">
              <w:rPr>
                <w:rFonts w:cs="Calibri"/>
                <w:szCs w:val="16"/>
              </w:rPr>
              <w:t>114.5</w:t>
            </w:r>
          </w:p>
        </w:tc>
        <w:tc>
          <w:tcPr>
            <w:tcW w:w="1826" w:type="dxa"/>
            <w:noWrap/>
          </w:tcPr>
          <w:p w14:paraId="2FA508F3" w14:textId="77777777" w:rsidR="004543E0" w:rsidRPr="00705FD2" w:rsidRDefault="004543E0" w:rsidP="007E3239">
            <w:pPr>
              <w:pStyle w:val="TableText"/>
              <w:spacing w:before="40" w:after="30"/>
              <w:jc w:val="center"/>
              <w:rPr>
                <w:rFonts w:cs="Calibri"/>
                <w:szCs w:val="16"/>
              </w:rPr>
            </w:pPr>
            <w:r w:rsidRPr="00705FD2">
              <w:rPr>
                <w:rFonts w:cs="Calibri"/>
                <w:szCs w:val="16"/>
              </w:rPr>
              <w:t>80.4</w:t>
            </w:r>
          </w:p>
        </w:tc>
        <w:tc>
          <w:tcPr>
            <w:tcW w:w="1842" w:type="dxa"/>
            <w:noWrap/>
          </w:tcPr>
          <w:p w14:paraId="69551D34" w14:textId="77777777" w:rsidR="004543E0" w:rsidRPr="00705FD2" w:rsidRDefault="004543E0" w:rsidP="007E3239">
            <w:pPr>
              <w:pStyle w:val="TableText"/>
              <w:spacing w:before="40" w:after="30"/>
              <w:jc w:val="center"/>
              <w:rPr>
                <w:rFonts w:cs="Calibri"/>
                <w:szCs w:val="16"/>
              </w:rPr>
            </w:pPr>
            <w:r w:rsidRPr="00705FD2">
              <w:rPr>
                <w:rFonts w:cs="Calibri"/>
                <w:szCs w:val="16"/>
              </w:rPr>
              <w:t>18.6</w:t>
            </w:r>
          </w:p>
        </w:tc>
        <w:tc>
          <w:tcPr>
            <w:tcW w:w="1633" w:type="dxa"/>
            <w:noWrap/>
          </w:tcPr>
          <w:p w14:paraId="014E464F" w14:textId="77777777" w:rsidR="004543E0" w:rsidRPr="00705FD2" w:rsidRDefault="004543E0" w:rsidP="007E3239">
            <w:pPr>
              <w:pStyle w:val="TableText"/>
              <w:spacing w:before="40" w:after="30"/>
              <w:jc w:val="center"/>
              <w:rPr>
                <w:rFonts w:cs="Calibri"/>
                <w:szCs w:val="16"/>
              </w:rPr>
            </w:pPr>
            <w:r w:rsidRPr="00705FD2">
              <w:rPr>
                <w:rFonts w:cs="Calibri"/>
                <w:szCs w:val="16"/>
              </w:rPr>
              <w:t>32.4</w:t>
            </w:r>
          </w:p>
        </w:tc>
      </w:tr>
      <w:tr w:rsidR="004543E0" w:rsidRPr="00705FD2" w14:paraId="0B7BE4BC" w14:textId="77777777" w:rsidTr="00705FD2">
        <w:tc>
          <w:tcPr>
            <w:tcW w:w="1378" w:type="dxa"/>
            <w:noWrap/>
          </w:tcPr>
          <w:p w14:paraId="23B62FD7" w14:textId="77777777" w:rsidR="004543E0" w:rsidRPr="00705FD2" w:rsidRDefault="004543E0" w:rsidP="007E3239">
            <w:pPr>
              <w:pStyle w:val="TableText"/>
              <w:spacing w:before="40" w:after="30"/>
              <w:rPr>
                <w:rFonts w:cs="Calibri"/>
                <w:szCs w:val="16"/>
              </w:rPr>
            </w:pPr>
            <w:r w:rsidRPr="00705FD2">
              <w:rPr>
                <w:rFonts w:cs="Calibri"/>
                <w:szCs w:val="16"/>
              </w:rPr>
              <w:t>2018</w:t>
            </w:r>
          </w:p>
        </w:tc>
        <w:tc>
          <w:tcPr>
            <w:tcW w:w="1826" w:type="dxa"/>
            <w:noWrap/>
          </w:tcPr>
          <w:p w14:paraId="1F560644" w14:textId="77777777" w:rsidR="004543E0" w:rsidRPr="00705FD2" w:rsidRDefault="004543E0" w:rsidP="007E3239">
            <w:pPr>
              <w:pStyle w:val="TableText"/>
              <w:spacing w:before="40" w:after="30"/>
              <w:jc w:val="center"/>
              <w:rPr>
                <w:rFonts w:cs="Calibri"/>
                <w:szCs w:val="16"/>
              </w:rPr>
            </w:pPr>
            <w:r w:rsidRPr="00705FD2">
              <w:rPr>
                <w:rFonts w:cs="Calibri"/>
                <w:szCs w:val="16"/>
              </w:rPr>
              <w:t>117.1</w:t>
            </w:r>
          </w:p>
        </w:tc>
        <w:tc>
          <w:tcPr>
            <w:tcW w:w="1826" w:type="dxa"/>
            <w:noWrap/>
          </w:tcPr>
          <w:p w14:paraId="423B0E8C" w14:textId="77777777" w:rsidR="004543E0" w:rsidRPr="00705FD2" w:rsidRDefault="004543E0" w:rsidP="007E3239">
            <w:pPr>
              <w:pStyle w:val="TableText"/>
              <w:spacing w:before="40" w:after="30"/>
              <w:jc w:val="center"/>
              <w:rPr>
                <w:rFonts w:cs="Calibri"/>
                <w:szCs w:val="16"/>
              </w:rPr>
            </w:pPr>
            <w:r w:rsidRPr="00705FD2">
              <w:rPr>
                <w:rFonts w:cs="Calibri"/>
                <w:szCs w:val="16"/>
              </w:rPr>
              <w:t>79.2</w:t>
            </w:r>
          </w:p>
        </w:tc>
        <w:tc>
          <w:tcPr>
            <w:tcW w:w="1842" w:type="dxa"/>
            <w:noWrap/>
          </w:tcPr>
          <w:p w14:paraId="6EA9D6A7" w14:textId="77777777" w:rsidR="004543E0" w:rsidRPr="00705FD2" w:rsidRDefault="004543E0" w:rsidP="007E3239">
            <w:pPr>
              <w:pStyle w:val="TableText"/>
              <w:spacing w:before="40" w:after="30"/>
              <w:jc w:val="center"/>
              <w:rPr>
                <w:rFonts w:cs="Calibri"/>
                <w:szCs w:val="16"/>
              </w:rPr>
            </w:pPr>
            <w:r w:rsidRPr="00705FD2">
              <w:rPr>
                <w:rFonts w:cs="Calibri"/>
                <w:szCs w:val="16"/>
              </w:rPr>
              <w:t>18.9</w:t>
            </w:r>
          </w:p>
        </w:tc>
        <w:tc>
          <w:tcPr>
            <w:tcW w:w="1633" w:type="dxa"/>
            <w:noWrap/>
          </w:tcPr>
          <w:p w14:paraId="049CB943" w14:textId="77777777" w:rsidR="004543E0" w:rsidRPr="00705FD2" w:rsidRDefault="004543E0" w:rsidP="007E3239">
            <w:pPr>
              <w:pStyle w:val="TableText"/>
              <w:spacing w:before="40" w:after="30"/>
              <w:jc w:val="center"/>
              <w:rPr>
                <w:rFonts w:cs="Calibri"/>
                <w:szCs w:val="16"/>
              </w:rPr>
            </w:pPr>
            <w:r w:rsidRPr="00705FD2">
              <w:rPr>
                <w:rFonts w:cs="Calibri"/>
                <w:szCs w:val="16"/>
              </w:rPr>
              <w:t>32.5</w:t>
            </w:r>
          </w:p>
        </w:tc>
      </w:tr>
      <w:tr w:rsidR="004543E0" w:rsidRPr="00705FD2" w14:paraId="4F8F719E" w14:textId="77777777" w:rsidTr="00705FD2">
        <w:tc>
          <w:tcPr>
            <w:tcW w:w="1378" w:type="dxa"/>
            <w:noWrap/>
          </w:tcPr>
          <w:p w14:paraId="2B02A5EA" w14:textId="77777777" w:rsidR="004543E0" w:rsidRPr="00705FD2" w:rsidRDefault="004543E0" w:rsidP="007E3239">
            <w:pPr>
              <w:pStyle w:val="TableText"/>
              <w:spacing w:before="40" w:after="30"/>
              <w:rPr>
                <w:rFonts w:cs="Calibri"/>
                <w:szCs w:val="16"/>
              </w:rPr>
            </w:pPr>
            <w:r w:rsidRPr="00705FD2">
              <w:rPr>
                <w:rFonts w:cs="Calibri"/>
                <w:szCs w:val="16"/>
              </w:rPr>
              <w:t>2019</w:t>
            </w:r>
          </w:p>
        </w:tc>
        <w:tc>
          <w:tcPr>
            <w:tcW w:w="1826" w:type="dxa"/>
            <w:noWrap/>
          </w:tcPr>
          <w:p w14:paraId="1FA3BC87" w14:textId="77777777" w:rsidR="004543E0" w:rsidRPr="00705FD2" w:rsidRDefault="004543E0" w:rsidP="007E3239">
            <w:pPr>
              <w:pStyle w:val="TableText"/>
              <w:spacing w:before="40" w:after="30"/>
              <w:jc w:val="center"/>
              <w:rPr>
                <w:rFonts w:cs="Calibri"/>
                <w:szCs w:val="16"/>
              </w:rPr>
            </w:pPr>
            <w:r w:rsidRPr="00705FD2">
              <w:rPr>
                <w:rFonts w:cs="Calibri"/>
                <w:szCs w:val="16"/>
              </w:rPr>
              <w:t>118.5</w:t>
            </w:r>
          </w:p>
        </w:tc>
        <w:tc>
          <w:tcPr>
            <w:tcW w:w="1826" w:type="dxa"/>
            <w:noWrap/>
          </w:tcPr>
          <w:p w14:paraId="67845B8F" w14:textId="77777777" w:rsidR="004543E0" w:rsidRPr="00705FD2" w:rsidRDefault="004543E0" w:rsidP="007E3239">
            <w:pPr>
              <w:pStyle w:val="TableText"/>
              <w:spacing w:before="40" w:after="30"/>
              <w:jc w:val="center"/>
              <w:rPr>
                <w:rFonts w:cs="Calibri"/>
                <w:szCs w:val="16"/>
              </w:rPr>
            </w:pPr>
            <w:r w:rsidRPr="00705FD2">
              <w:rPr>
                <w:rFonts w:cs="Calibri"/>
                <w:szCs w:val="16"/>
              </w:rPr>
              <w:t>80.1</w:t>
            </w:r>
          </w:p>
        </w:tc>
        <w:tc>
          <w:tcPr>
            <w:tcW w:w="1842" w:type="dxa"/>
            <w:noWrap/>
          </w:tcPr>
          <w:p w14:paraId="5BB978F4" w14:textId="77777777" w:rsidR="004543E0" w:rsidRPr="00705FD2" w:rsidRDefault="004543E0" w:rsidP="007E3239">
            <w:pPr>
              <w:pStyle w:val="TableText"/>
              <w:spacing w:before="40" w:after="30"/>
              <w:jc w:val="center"/>
              <w:rPr>
                <w:rFonts w:cs="Calibri"/>
                <w:szCs w:val="16"/>
              </w:rPr>
            </w:pPr>
            <w:r w:rsidRPr="00705FD2">
              <w:rPr>
                <w:rFonts w:cs="Calibri"/>
                <w:szCs w:val="16"/>
              </w:rPr>
              <w:t>18.9</w:t>
            </w:r>
          </w:p>
        </w:tc>
        <w:tc>
          <w:tcPr>
            <w:tcW w:w="1633" w:type="dxa"/>
            <w:noWrap/>
          </w:tcPr>
          <w:p w14:paraId="75621A14" w14:textId="77777777" w:rsidR="004543E0" w:rsidRPr="00705FD2" w:rsidRDefault="004543E0" w:rsidP="007E3239">
            <w:pPr>
              <w:pStyle w:val="TableText"/>
              <w:spacing w:before="40" w:after="30"/>
              <w:jc w:val="center"/>
              <w:rPr>
                <w:rFonts w:cs="Calibri"/>
                <w:szCs w:val="16"/>
              </w:rPr>
            </w:pPr>
            <w:r w:rsidRPr="00705FD2">
              <w:rPr>
                <w:rFonts w:cs="Calibri"/>
                <w:szCs w:val="16"/>
              </w:rPr>
              <w:t>33.1</w:t>
            </w:r>
          </w:p>
        </w:tc>
      </w:tr>
      <w:tr w:rsidR="004543E0" w:rsidRPr="00705FD2" w14:paraId="4EEE602E" w14:textId="77777777" w:rsidTr="00705FD2">
        <w:tc>
          <w:tcPr>
            <w:tcW w:w="1378" w:type="dxa"/>
            <w:noWrap/>
          </w:tcPr>
          <w:p w14:paraId="4D069A15" w14:textId="77777777" w:rsidR="004543E0" w:rsidRPr="00705FD2" w:rsidRDefault="004543E0" w:rsidP="007E3239">
            <w:pPr>
              <w:pStyle w:val="TableText"/>
              <w:spacing w:before="40" w:after="30"/>
              <w:rPr>
                <w:rFonts w:cs="Calibri"/>
                <w:szCs w:val="16"/>
              </w:rPr>
            </w:pPr>
            <w:r w:rsidRPr="00705FD2">
              <w:rPr>
                <w:rFonts w:cs="Calibri"/>
                <w:szCs w:val="16"/>
              </w:rPr>
              <w:t>2020</w:t>
            </w:r>
          </w:p>
        </w:tc>
        <w:tc>
          <w:tcPr>
            <w:tcW w:w="1826" w:type="dxa"/>
            <w:noWrap/>
          </w:tcPr>
          <w:p w14:paraId="1151EFBF" w14:textId="77777777" w:rsidR="004543E0" w:rsidRPr="00705FD2" w:rsidRDefault="004543E0" w:rsidP="007E3239">
            <w:pPr>
              <w:pStyle w:val="TableText"/>
              <w:spacing w:before="40" w:after="30"/>
              <w:jc w:val="center"/>
              <w:rPr>
                <w:rFonts w:cs="Calibri"/>
                <w:szCs w:val="16"/>
              </w:rPr>
            </w:pPr>
            <w:r w:rsidRPr="00705FD2">
              <w:rPr>
                <w:rFonts w:cs="Calibri"/>
                <w:szCs w:val="16"/>
              </w:rPr>
              <w:t>119.6</w:t>
            </w:r>
          </w:p>
        </w:tc>
        <w:tc>
          <w:tcPr>
            <w:tcW w:w="1826" w:type="dxa"/>
            <w:noWrap/>
          </w:tcPr>
          <w:p w14:paraId="0F673D3E" w14:textId="77777777" w:rsidR="004543E0" w:rsidRPr="00705FD2" w:rsidRDefault="004543E0" w:rsidP="007E3239">
            <w:pPr>
              <w:pStyle w:val="TableText"/>
              <w:spacing w:before="40" w:after="30"/>
              <w:jc w:val="center"/>
              <w:rPr>
                <w:rFonts w:cs="Calibri"/>
                <w:szCs w:val="16"/>
              </w:rPr>
            </w:pPr>
            <w:r w:rsidRPr="00705FD2">
              <w:rPr>
                <w:rFonts w:cs="Calibri"/>
                <w:szCs w:val="16"/>
              </w:rPr>
              <w:t>81.1</w:t>
            </w:r>
          </w:p>
        </w:tc>
        <w:tc>
          <w:tcPr>
            <w:tcW w:w="1842" w:type="dxa"/>
            <w:noWrap/>
          </w:tcPr>
          <w:p w14:paraId="06A5389C" w14:textId="77777777" w:rsidR="004543E0" w:rsidRPr="00705FD2" w:rsidRDefault="004543E0" w:rsidP="007E3239">
            <w:pPr>
              <w:pStyle w:val="TableText"/>
              <w:spacing w:before="40" w:after="30"/>
              <w:jc w:val="center"/>
              <w:rPr>
                <w:rFonts w:cs="Calibri"/>
                <w:szCs w:val="16"/>
              </w:rPr>
            </w:pPr>
            <w:r w:rsidRPr="00705FD2">
              <w:rPr>
                <w:rFonts w:cs="Calibri"/>
                <w:szCs w:val="16"/>
              </w:rPr>
              <w:t>19.0</w:t>
            </w:r>
          </w:p>
        </w:tc>
        <w:tc>
          <w:tcPr>
            <w:tcW w:w="1633" w:type="dxa"/>
            <w:noWrap/>
          </w:tcPr>
          <w:p w14:paraId="0B797E49" w14:textId="77777777" w:rsidR="004543E0" w:rsidRPr="00705FD2" w:rsidRDefault="004543E0" w:rsidP="007E3239">
            <w:pPr>
              <w:pStyle w:val="TableText"/>
              <w:spacing w:before="40" w:after="30"/>
              <w:jc w:val="center"/>
              <w:rPr>
                <w:rFonts w:cs="Calibri"/>
                <w:szCs w:val="16"/>
              </w:rPr>
            </w:pPr>
            <w:r w:rsidRPr="00705FD2">
              <w:rPr>
                <w:rFonts w:cs="Calibri"/>
                <w:szCs w:val="16"/>
              </w:rPr>
              <w:t>32.4</w:t>
            </w:r>
          </w:p>
        </w:tc>
      </w:tr>
    </w:tbl>
    <w:p w14:paraId="29EC9E40" w14:textId="77777777" w:rsidR="004543E0" w:rsidRPr="009660EC" w:rsidRDefault="004543E0" w:rsidP="004543E0">
      <w:pPr>
        <w:pStyle w:val="Heading5"/>
        <w:spacing w:before="320"/>
        <w:rPr>
          <w:rFonts w:cs="Calibri"/>
        </w:rPr>
      </w:pPr>
      <w:r w:rsidRPr="009660EC">
        <w:rPr>
          <w:rFonts w:cs="Calibri"/>
        </w:rPr>
        <w:t xml:space="preserve">Nitrogen excretion rates for the minor livestock categories </w:t>
      </w:r>
    </w:p>
    <w:p w14:paraId="757FD969" w14:textId="77777777" w:rsidR="004543E0" w:rsidRPr="009660EC" w:rsidRDefault="004543E0" w:rsidP="004543E0">
      <w:pPr>
        <w:pStyle w:val="BodyText"/>
      </w:pPr>
      <w:r w:rsidRPr="009660EC">
        <w:rPr>
          <w:b/>
          <w:bCs/>
          <w:i/>
          <w:iCs/>
        </w:rPr>
        <w:t>Swine:</w:t>
      </w:r>
      <w:r w:rsidRPr="009660EC">
        <w:rPr>
          <w:i/>
          <w:iCs/>
        </w:rPr>
        <w:t xml:space="preserve"> </w:t>
      </w:r>
      <w:r w:rsidRPr="009660EC">
        <w:t>A New Zealand-specific N</w:t>
      </w:r>
      <w:r w:rsidRPr="009660EC">
        <w:rPr>
          <w:vertAlign w:val="subscript"/>
        </w:rPr>
        <w:t>ex</w:t>
      </w:r>
      <w:r w:rsidRPr="009660EC">
        <w:t xml:space="preserve"> rate for swine is calculated for each year (see table 5.3.4) based on the 2009 value of 10.8 kg nitrogen (N) head</w:t>
      </w:r>
      <w:r w:rsidRPr="009660EC">
        <w:rPr>
          <w:vertAlign w:val="superscript"/>
        </w:rPr>
        <w:t>-1</w:t>
      </w:r>
      <w:r w:rsidRPr="009660EC">
        <w:t xml:space="preserve"> year</w:t>
      </w:r>
      <w:r w:rsidRPr="009660EC">
        <w:rPr>
          <w:vertAlign w:val="superscript"/>
        </w:rPr>
        <w:t>-1</w:t>
      </w:r>
      <w:r w:rsidRPr="009660EC">
        <w:t xml:space="preserve"> (Hill, 2012). This 2009 value is based on the weighted average of the distribution of animal weights by swine category. Estimates of N</w:t>
      </w:r>
      <w:r w:rsidRPr="009660EC">
        <w:rPr>
          <w:vertAlign w:val="subscript"/>
        </w:rPr>
        <w:t>ex</w:t>
      </w:r>
      <w:r w:rsidRPr="009660EC">
        <w:t xml:space="preserve"> rates for all other years are indexed relative to 2009 for the average pig kill weights for each year. Average pig weights have increased since 1990 due to improvements in productivity. Data on swine carcass weights are collected by MPI from meat processors.</w:t>
      </w:r>
    </w:p>
    <w:p w14:paraId="44C47B05" w14:textId="77777777" w:rsidR="004543E0" w:rsidRPr="009660EC" w:rsidRDefault="004543E0" w:rsidP="004543E0">
      <w:pPr>
        <w:pStyle w:val="BodyText"/>
      </w:pPr>
      <w:r w:rsidRPr="009660EC">
        <w:rPr>
          <w:b/>
          <w:bCs/>
          <w:i/>
          <w:iCs/>
        </w:rPr>
        <w:t>Goats:</w:t>
      </w:r>
      <w:r w:rsidRPr="009660EC">
        <w:t xml:space="preserve"> New Zealand uses country-specific N</w:t>
      </w:r>
      <w:r w:rsidRPr="009660EC">
        <w:rPr>
          <w:vertAlign w:val="subscript"/>
        </w:rPr>
        <w:t>ex</w:t>
      </w:r>
      <w:r w:rsidRPr="009660EC">
        <w:t xml:space="preserve"> rates for goats to estimate N</w:t>
      </w:r>
      <w:r w:rsidRPr="009660EC">
        <w:rPr>
          <w:vertAlign w:val="subscript"/>
        </w:rPr>
        <w:t>2</w:t>
      </w:r>
      <w:r w:rsidRPr="009660EC">
        <w:t>O emissions of 10.6 kg N head</w:t>
      </w:r>
      <w:r w:rsidRPr="009660EC">
        <w:rPr>
          <w:vertAlign w:val="superscript"/>
        </w:rPr>
        <w:t>-1</w:t>
      </w:r>
      <w:r w:rsidRPr="009660EC">
        <w:t xml:space="preserve"> year</w:t>
      </w:r>
      <w:r w:rsidRPr="009660EC">
        <w:rPr>
          <w:vertAlign w:val="superscript"/>
        </w:rPr>
        <w:t>-1</w:t>
      </w:r>
      <w:r w:rsidRPr="009660EC">
        <w:t xml:space="preserve"> for 1990 and 12.1 kg N head</w:t>
      </w:r>
      <w:r w:rsidRPr="009660EC">
        <w:rPr>
          <w:vertAlign w:val="superscript"/>
        </w:rPr>
        <w:t>-1</w:t>
      </w:r>
      <w:r w:rsidRPr="009660EC">
        <w:t xml:space="preserve"> year</w:t>
      </w:r>
      <w:r w:rsidRPr="009660EC">
        <w:rPr>
          <w:vertAlign w:val="superscript"/>
        </w:rPr>
        <w:t>-1</w:t>
      </w:r>
      <w:r w:rsidRPr="009660EC">
        <w:t xml:space="preserve"> for 2009 based on the differing population characteristics for those two years (Lassey, 2011). As explained in section 5.2.2 for </w:t>
      </w:r>
      <w:r w:rsidRPr="009660EC">
        <w:rPr>
          <w:i/>
          <w:iCs/>
        </w:rPr>
        <w:t>Enteric fermentation</w:t>
      </w:r>
      <w:r w:rsidRPr="009660EC">
        <w:t xml:space="preserve">, for the intermediate years between 1990 and 2009 and for later years, the excretion rate was interpolated based on assumptions that the dairy goat population has remained in a near constant state over time while the rest of the goat population has declined (see table 5.3.4). </w:t>
      </w:r>
    </w:p>
    <w:p w14:paraId="40B03B9E" w14:textId="4BEED282" w:rsidR="004543E0" w:rsidRPr="009660EC" w:rsidRDefault="004543E0" w:rsidP="004543E0">
      <w:pPr>
        <w:pStyle w:val="BodyText"/>
      </w:pPr>
      <w:r w:rsidRPr="009660EC">
        <w:rPr>
          <w:b/>
          <w:bCs/>
          <w:i/>
          <w:iCs/>
        </w:rPr>
        <w:t>Poultry:</w:t>
      </w:r>
      <w:r w:rsidRPr="009660EC">
        <w:t xml:space="preserve"> New Zealand-specific and IPCC default N</w:t>
      </w:r>
      <w:r w:rsidRPr="009660EC">
        <w:rPr>
          <w:vertAlign w:val="subscript"/>
        </w:rPr>
        <w:t>ex</w:t>
      </w:r>
      <w:r w:rsidRPr="009660EC">
        <w:t xml:space="preserve"> rates are used for poultry (Fick et al., 2011). These are the country-specific values of 0.39 kg N head</w:t>
      </w:r>
      <w:r w:rsidRPr="009660EC">
        <w:rPr>
          <w:vertAlign w:val="superscript"/>
        </w:rPr>
        <w:t>-1</w:t>
      </w:r>
      <w:r w:rsidRPr="009660EC">
        <w:t xml:space="preserve"> year</w:t>
      </w:r>
      <w:r w:rsidRPr="009660EC">
        <w:rPr>
          <w:vertAlign w:val="superscript"/>
        </w:rPr>
        <w:t>-1</w:t>
      </w:r>
      <w:r w:rsidRPr="009660EC">
        <w:t xml:space="preserve"> for broiler birds and 0.42 kg N head</w:t>
      </w:r>
      <w:r w:rsidRPr="009660EC">
        <w:rPr>
          <w:vertAlign w:val="superscript"/>
        </w:rPr>
        <w:t>-1</w:t>
      </w:r>
      <w:r w:rsidRPr="009660EC">
        <w:t xml:space="preserve"> year</w:t>
      </w:r>
      <w:r w:rsidRPr="009660EC">
        <w:rPr>
          <w:vertAlign w:val="superscript"/>
        </w:rPr>
        <w:t>-1</w:t>
      </w:r>
      <w:r w:rsidRPr="009660EC">
        <w:t xml:space="preserve"> for layer hens. Ducks, turkeys and other unusual poultry types, such as ostriches and phoenixes, make up around 1 per cent of New Zealand’s poultry population, and flock sizes are unclear because they are reported by Stats NZ under ‘other poultry’. Therefore, the value of 0.60 kg N head</w:t>
      </w:r>
      <w:r w:rsidRPr="009660EC">
        <w:rPr>
          <w:vertAlign w:val="superscript"/>
        </w:rPr>
        <w:t>-1</w:t>
      </w:r>
      <w:r w:rsidRPr="009660EC">
        <w:t xml:space="preserve"> year</w:t>
      </w:r>
      <w:r w:rsidRPr="009660EC">
        <w:rPr>
          <w:vertAlign w:val="superscript"/>
        </w:rPr>
        <w:t>-1</w:t>
      </w:r>
      <w:r w:rsidRPr="009660EC">
        <w:t xml:space="preserve"> for ducks and turkeys recommended by Fick et al. (2011) is</w:t>
      </w:r>
      <w:r w:rsidR="00604F5F">
        <w:t> </w:t>
      </w:r>
      <w:r w:rsidRPr="009660EC">
        <w:t>retained. These values are used for all years from 1990. The overall N</w:t>
      </w:r>
      <w:r w:rsidRPr="009660EC">
        <w:rPr>
          <w:vertAlign w:val="subscript"/>
        </w:rPr>
        <w:t>ex</w:t>
      </w:r>
      <w:r w:rsidRPr="009660EC">
        <w:t xml:space="preserve"> rate for poultry is affected by the change over time in the population proportions of these different categories.</w:t>
      </w:r>
    </w:p>
    <w:p w14:paraId="43EBFD35" w14:textId="77777777" w:rsidR="004543E0" w:rsidRPr="009660EC" w:rsidRDefault="004543E0" w:rsidP="004543E0">
      <w:pPr>
        <w:pStyle w:val="BodyText"/>
        <w:rPr>
          <w:rFonts w:cs="Calibri"/>
        </w:rPr>
      </w:pPr>
      <w:r w:rsidRPr="009660EC">
        <w:rPr>
          <w:rFonts w:cs="Calibri"/>
          <w:b/>
          <w:bCs/>
          <w:i/>
          <w:iCs/>
        </w:rPr>
        <w:lastRenderedPageBreak/>
        <w:t>Horses</w:t>
      </w:r>
      <w:r w:rsidRPr="009660EC">
        <w:rPr>
          <w:rFonts w:cs="Calibri"/>
          <w:b/>
          <w:bCs/>
        </w:rPr>
        <w:t xml:space="preserve">, and </w:t>
      </w:r>
      <w:r w:rsidRPr="009660EC">
        <w:rPr>
          <w:rFonts w:cs="Calibri"/>
          <w:b/>
          <w:bCs/>
          <w:i/>
          <w:iCs/>
        </w:rPr>
        <w:t>Mules and asses:</w:t>
      </w:r>
      <w:r w:rsidRPr="009660EC">
        <w:rPr>
          <w:rFonts w:cs="Calibri"/>
        </w:rPr>
        <w:t xml:space="preserve"> New Zealand-specific N</w:t>
      </w:r>
      <w:r w:rsidRPr="009660EC">
        <w:rPr>
          <w:rFonts w:cs="Calibri"/>
          <w:vertAlign w:val="subscript"/>
        </w:rPr>
        <w:t>ex</w:t>
      </w:r>
      <w:r w:rsidRPr="009660EC">
        <w:rPr>
          <w:rFonts w:cs="Calibri"/>
        </w:rPr>
        <w:t xml:space="preserve"> rates are not available for horses, mules and asses, and the default N</w:t>
      </w:r>
      <w:r w:rsidRPr="009660EC">
        <w:rPr>
          <w:rFonts w:cs="Calibri"/>
          <w:vertAlign w:val="subscript"/>
        </w:rPr>
        <w:t>ex</w:t>
      </w:r>
      <w:r w:rsidRPr="009660EC">
        <w:rPr>
          <w:rFonts w:cs="Calibri"/>
        </w:rPr>
        <w:t xml:space="preserve"> rate for Oceania of 0.3 kg N per 1,000 kg of animal mass per day is used (IPCC, 2006, table 10.19).</w:t>
      </w:r>
    </w:p>
    <w:p w14:paraId="4F5DA7CE" w14:textId="77777777" w:rsidR="004543E0" w:rsidRPr="009660EC" w:rsidRDefault="004543E0" w:rsidP="004543E0">
      <w:pPr>
        <w:pStyle w:val="BodyText"/>
        <w:rPr>
          <w:rFonts w:cs="Calibri"/>
          <w:spacing w:val="-2"/>
        </w:rPr>
      </w:pPr>
      <w:r w:rsidRPr="00F319C8">
        <w:rPr>
          <w:rFonts w:cs="Calibri"/>
          <w:b/>
          <w:bCs/>
          <w:spacing w:val="-2"/>
        </w:rPr>
        <w:t>Llamas and alpacas</w:t>
      </w:r>
      <w:r w:rsidRPr="009660EC">
        <w:rPr>
          <w:rFonts w:cs="Calibri"/>
          <w:b/>
          <w:bCs/>
          <w:i/>
          <w:iCs/>
          <w:spacing w:val="-2"/>
        </w:rPr>
        <w:t>:</w:t>
      </w:r>
      <w:r w:rsidRPr="009660EC">
        <w:rPr>
          <w:rFonts w:cs="Calibri"/>
          <w:i/>
          <w:iCs/>
          <w:spacing w:val="-2"/>
        </w:rPr>
        <w:t xml:space="preserve"> </w:t>
      </w:r>
      <w:r w:rsidRPr="009660EC">
        <w:rPr>
          <w:rFonts w:cs="Calibri"/>
          <w:spacing w:val="-2"/>
        </w:rPr>
        <w:t>Because there is no IPCC default N</w:t>
      </w:r>
      <w:r w:rsidRPr="009660EC">
        <w:rPr>
          <w:rFonts w:cs="Calibri"/>
          <w:spacing w:val="-2"/>
          <w:vertAlign w:val="subscript"/>
        </w:rPr>
        <w:t>ex</w:t>
      </w:r>
      <w:r w:rsidRPr="009660EC">
        <w:rPr>
          <w:rFonts w:cs="Calibri"/>
          <w:spacing w:val="-2"/>
        </w:rPr>
        <w:t xml:space="preserve"> rate for alpacas, this was calculated by assuming a default N</w:t>
      </w:r>
      <w:r w:rsidRPr="009660EC">
        <w:rPr>
          <w:rFonts w:cs="Calibri"/>
          <w:spacing w:val="-2"/>
          <w:vertAlign w:val="subscript"/>
        </w:rPr>
        <w:t>ex</w:t>
      </w:r>
      <w:r w:rsidRPr="009660EC">
        <w:rPr>
          <w:rFonts w:cs="Calibri"/>
          <w:spacing w:val="-2"/>
        </w:rPr>
        <w:t xml:space="preserve"> rate for alpacas for all years that is equal to the per-head value of the average sheep in 1990 (i.e., 14.1 kg head</w:t>
      </w:r>
      <w:r w:rsidRPr="009660EC">
        <w:rPr>
          <w:rFonts w:cs="Calibri"/>
          <w:spacing w:val="-2"/>
          <w:vertAlign w:val="superscript"/>
        </w:rPr>
        <w:t>-1</w:t>
      </w:r>
      <w:r w:rsidRPr="009660EC">
        <w:rPr>
          <w:rFonts w:cs="Calibri"/>
          <w:spacing w:val="-2"/>
        </w:rPr>
        <w:t xml:space="preserve"> year</w:t>
      </w:r>
      <w:r w:rsidRPr="009660EC">
        <w:rPr>
          <w:rFonts w:cs="Calibri"/>
          <w:spacing w:val="-2"/>
          <w:vertAlign w:val="superscript"/>
        </w:rPr>
        <w:t>-1</w:t>
      </w:r>
      <w:r w:rsidRPr="009660EC">
        <w:rPr>
          <w:rFonts w:cs="Calibri"/>
          <w:spacing w:val="-2"/>
        </w:rPr>
        <w:t>). The alpaca emission factor is not indexed to sheep over time because no data are available to support the productivity increases that have been seen in sheep. Sheep were used, rather than the IPCC default value for ‘other animals’, because the literature indicates that alpacas have a nitrogen intake close to that of sheep and no significant difference in the partitioning of nitrogen (Pinares-Patino et al., 2003).</w:t>
      </w:r>
    </w:p>
    <w:p w14:paraId="56FB6399" w14:textId="77777777" w:rsidR="004543E0" w:rsidRPr="009660EC" w:rsidRDefault="004543E0" w:rsidP="004543E0">
      <w:pPr>
        <w:pStyle w:val="Table"/>
        <w:rPr>
          <w:rFonts w:cs="Calibri"/>
        </w:rPr>
      </w:pPr>
      <w:bookmarkStart w:id="822" w:name="_Toc441830876"/>
      <w:bookmarkStart w:id="823" w:name="_Toc451176090"/>
      <w:bookmarkStart w:id="824" w:name="_Toc481751518"/>
      <w:bookmarkStart w:id="825" w:name="_Toc507158606"/>
      <w:bookmarkStart w:id="826" w:name="_Toc511116740"/>
      <w:bookmarkStart w:id="827" w:name="_Toc5269480"/>
      <w:bookmarkStart w:id="828" w:name="_Toc32570923"/>
      <w:bookmarkStart w:id="829" w:name="_Toc36224558"/>
      <w:bookmarkStart w:id="830" w:name="_Toc68786443"/>
      <w:bookmarkStart w:id="831" w:name="_Toc95574077"/>
      <w:bookmarkStart w:id="832" w:name="_Toc99659250"/>
      <w:r w:rsidRPr="009660EC">
        <w:rPr>
          <w:rFonts w:cs="Calibri"/>
        </w:rPr>
        <w:t>Table 5.3.4</w:t>
      </w:r>
      <w:r w:rsidRPr="009660EC">
        <w:rPr>
          <w:rFonts w:cs="Calibri"/>
        </w:rPr>
        <w:tab/>
        <w:t>Nitrogen excretion (N</w:t>
      </w:r>
      <w:r w:rsidRPr="009660EC">
        <w:rPr>
          <w:rFonts w:cs="Calibri"/>
          <w:vertAlign w:val="subscript"/>
        </w:rPr>
        <w:t>ex</w:t>
      </w:r>
      <w:r w:rsidRPr="009660EC">
        <w:rPr>
          <w:rFonts w:cs="Calibri"/>
        </w:rPr>
        <w:t>) rates for New Zealand’s swine and goats from 1990 to </w:t>
      </w:r>
      <w:bookmarkEnd w:id="822"/>
      <w:bookmarkEnd w:id="823"/>
      <w:bookmarkEnd w:id="824"/>
      <w:bookmarkEnd w:id="825"/>
      <w:bookmarkEnd w:id="826"/>
      <w:bookmarkEnd w:id="827"/>
      <w:bookmarkEnd w:id="828"/>
      <w:bookmarkEnd w:id="829"/>
      <w:bookmarkEnd w:id="830"/>
      <w:r w:rsidRPr="009660EC">
        <w:rPr>
          <w:rFonts w:cs="Calibri"/>
        </w:rPr>
        <w:t>2020</w:t>
      </w:r>
      <w:bookmarkEnd w:id="831"/>
      <w:bookmarkEnd w:id="832"/>
      <w:r w:rsidRPr="009660EC">
        <w:rPr>
          <w:rFonts w:cs="Calibri"/>
        </w:rPr>
        <w:t xml:space="preserve"> </w:t>
      </w:r>
    </w:p>
    <w:tbl>
      <w:tblPr>
        <w:tblW w:w="8505" w:type="dxa"/>
        <w:tblInd w:w="113" w:type="dxa"/>
        <w:tblLook w:val="0000" w:firstRow="0" w:lastRow="0" w:firstColumn="0" w:lastColumn="0" w:noHBand="0" w:noVBand="0"/>
      </w:tblPr>
      <w:tblGrid>
        <w:gridCol w:w="930"/>
        <w:gridCol w:w="1601"/>
        <w:gridCol w:w="1601"/>
        <w:gridCol w:w="349"/>
        <w:gridCol w:w="987"/>
        <w:gridCol w:w="1601"/>
        <w:gridCol w:w="1436"/>
      </w:tblGrid>
      <w:tr w:rsidR="004543E0" w:rsidRPr="00705FD2" w14:paraId="4006866D" w14:textId="77777777" w:rsidTr="00705FD2">
        <w:trPr>
          <w:tblHeader/>
        </w:trPr>
        <w:tc>
          <w:tcPr>
            <w:tcW w:w="547" w:type="pct"/>
            <w:tcBorders>
              <w:top w:val="single" w:sz="4" w:space="0" w:color="44546A"/>
              <w:bottom w:val="single" w:sz="4" w:space="0" w:color="44546A"/>
            </w:tcBorders>
            <w:shd w:val="clear" w:color="auto" w:fill="1B556B"/>
            <w:noWrap/>
            <w:vAlign w:val="bottom"/>
          </w:tcPr>
          <w:p w14:paraId="0528D5A7" w14:textId="77777777" w:rsidR="004543E0" w:rsidRPr="00705FD2" w:rsidRDefault="004543E0" w:rsidP="007E3239">
            <w:pPr>
              <w:pStyle w:val="TableTextBold"/>
              <w:keepNext/>
              <w:spacing w:before="40" w:after="40"/>
              <w:rPr>
                <w:rFonts w:cs="Calibri"/>
                <w:noProof w:val="0"/>
                <w:color w:val="FFFFFF"/>
                <w:szCs w:val="16"/>
              </w:rPr>
            </w:pPr>
            <w:r w:rsidRPr="00705FD2">
              <w:rPr>
                <w:rFonts w:cs="Calibri"/>
                <w:noProof w:val="0"/>
                <w:color w:val="FFFFFF"/>
                <w:szCs w:val="16"/>
              </w:rPr>
              <w:t>Year</w:t>
            </w:r>
          </w:p>
        </w:tc>
        <w:tc>
          <w:tcPr>
            <w:tcW w:w="941" w:type="pct"/>
            <w:tcBorders>
              <w:top w:val="single" w:sz="4" w:space="0" w:color="44546A"/>
              <w:bottom w:val="single" w:sz="4" w:space="0" w:color="44546A"/>
            </w:tcBorders>
            <w:shd w:val="clear" w:color="auto" w:fill="1B556B"/>
            <w:noWrap/>
            <w:vAlign w:val="bottom"/>
          </w:tcPr>
          <w:p w14:paraId="0A991ED2" w14:textId="77777777" w:rsidR="004543E0" w:rsidRPr="00705FD2" w:rsidRDefault="004543E0" w:rsidP="007E3239">
            <w:pPr>
              <w:pStyle w:val="TableTextBold"/>
              <w:keepNext/>
              <w:spacing w:before="40" w:after="40"/>
              <w:jc w:val="center"/>
              <w:rPr>
                <w:rFonts w:cs="Calibri"/>
                <w:noProof w:val="0"/>
                <w:color w:val="FFFFFF"/>
                <w:szCs w:val="16"/>
              </w:rPr>
            </w:pPr>
            <w:r w:rsidRPr="00705FD2">
              <w:rPr>
                <w:rFonts w:cs="Calibri"/>
                <w:noProof w:val="0"/>
                <w:color w:val="FFFFFF"/>
                <w:szCs w:val="16"/>
              </w:rPr>
              <w:t>Goat N</w:t>
            </w:r>
            <w:r w:rsidRPr="00705FD2">
              <w:rPr>
                <w:rFonts w:cs="Calibri"/>
                <w:noProof w:val="0"/>
                <w:color w:val="FFFFFF"/>
                <w:szCs w:val="16"/>
                <w:vertAlign w:val="subscript"/>
              </w:rPr>
              <w:t xml:space="preserve">ex </w:t>
            </w:r>
            <w:r w:rsidRPr="00705FD2">
              <w:rPr>
                <w:rFonts w:cs="Calibri"/>
                <w:noProof w:val="0"/>
                <w:color w:val="FFFFFF"/>
                <w:szCs w:val="16"/>
              </w:rPr>
              <w:br/>
              <w:t>(kg/head/year)</w:t>
            </w:r>
          </w:p>
        </w:tc>
        <w:tc>
          <w:tcPr>
            <w:tcW w:w="941" w:type="pct"/>
            <w:tcBorders>
              <w:top w:val="single" w:sz="4" w:space="0" w:color="44546A"/>
              <w:bottom w:val="single" w:sz="4" w:space="0" w:color="44546A"/>
            </w:tcBorders>
            <w:shd w:val="clear" w:color="auto" w:fill="1B556B"/>
            <w:noWrap/>
            <w:vAlign w:val="bottom"/>
          </w:tcPr>
          <w:p w14:paraId="2F4005C7" w14:textId="77777777" w:rsidR="004543E0" w:rsidRPr="00705FD2" w:rsidRDefault="004543E0" w:rsidP="007E3239">
            <w:pPr>
              <w:pStyle w:val="TableTextBold"/>
              <w:keepNext/>
              <w:spacing w:before="40" w:after="40"/>
              <w:jc w:val="center"/>
              <w:rPr>
                <w:rFonts w:cs="Calibri"/>
                <w:noProof w:val="0"/>
                <w:color w:val="FFFFFF"/>
                <w:szCs w:val="16"/>
              </w:rPr>
            </w:pPr>
            <w:r w:rsidRPr="00705FD2">
              <w:rPr>
                <w:rFonts w:cs="Calibri"/>
                <w:noProof w:val="0"/>
                <w:color w:val="FFFFFF"/>
                <w:szCs w:val="16"/>
              </w:rPr>
              <w:t>Swine N</w:t>
            </w:r>
            <w:r w:rsidRPr="00705FD2">
              <w:rPr>
                <w:rFonts w:cs="Calibri"/>
                <w:noProof w:val="0"/>
                <w:color w:val="FFFFFF"/>
                <w:szCs w:val="16"/>
                <w:vertAlign w:val="subscript"/>
              </w:rPr>
              <w:t>ex</w:t>
            </w:r>
            <w:r w:rsidRPr="00705FD2">
              <w:rPr>
                <w:rFonts w:cs="Calibri"/>
                <w:noProof w:val="0"/>
                <w:color w:val="FFFFFF"/>
                <w:szCs w:val="16"/>
              </w:rPr>
              <w:t xml:space="preserve"> </w:t>
            </w:r>
            <w:r w:rsidRPr="00705FD2">
              <w:rPr>
                <w:rFonts w:cs="Calibri"/>
                <w:noProof w:val="0"/>
                <w:color w:val="FFFFFF"/>
                <w:szCs w:val="16"/>
              </w:rPr>
              <w:br/>
              <w:t>(kg/head/year)</w:t>
            </w:r>
          </w:p>
        </w:tc>
        <w:tc>
          <w:tcPr>
            <w:tcW w:w="205" w:type="pct"/>
            <w:tcBorders>
              <w:top w:val="single" w:sz="4" w:space="0" w:color="44546A"/>
              <w:bottom w:val="single" w:sz="4" w:space="0" w:color="44546A"/>
            </w:tcBorders>
            <w:shd w:val="clear" w:color="auto" w:fill="1B556B"/>
          </w:tcPr>
          <w:p w14:paraId="462A7291" w14:textId="77777777" w:rsidR="004543E0" w:rsidRPr="00705FD2" w:rsidRDefault="004543E0" w:rsidP="007E3239">
            <w:pPr>
              <w:pStyle w:val="TableTextBold"/>
              <w:keepNext/>
              <w:spacing w:before="40" w:after="40"/>
              <w:rPr>
                <w:rFonts w:cs="Calibri"/>
                <w:b w:val="0"/>
                <w:bCs/>
                <w:noProof w:val="0"/>
                <w:color w:val="FFFFFF"/>
                <w:szCs w:val="16"/>
              </w:rPr>
            </w:pPr>
          </w:p>
        </w:tc>
        <w:tc>
          <w:tcPr>
            <w:tcW w:w="580" w:type="pct"/>
            <w:tcBorders>
              <w:top w:val="single" w:sz="4" w:space="0" w:color="44546A"/>
              <w:bottom w:val="single" w:sz="4" w:space="0" w:color="44546A"/>
            </w:tcBorders>
            <w:shd w:val="clear" w:color="auto" w:fill="1B556B"/>
            <w:noWrap/>
            <w:vAlign w:val="bottom"/>
          </w:tcPr>
          <w:p w14:paraId="657A0542" w14:textId="77777777" w:rsidR="004543E0" w:rsidRPr="00705FD2" w:rsidRDefault="004543E0" w:rsidP="007E3239">
            <w:pPr>
              <w:pStyle w:val="TableTextBold"/>
              <w:keepNext/>
              <w:spacing w:before="40" w:after="40"/>
              <w:jc w:val="center"/>
              <w:rPr>
                <w:rFonts w:cs="Calibri"/>
                <w:noProof w:val="0"/>
                <w:color w:val="FFFFFF"/>
                <w:szCs w:val="16"/>
              </w:rPr>
            </w:pPr>
            <w:r w:rsidRPr="00705FD2">
              <w:rPr>
                <w:rFonts w:cs="Calibri"/>
                <w:noProof w:val="0"/>
                <w:color w:val="FFFFFF"/>
                <w:szCs w:val="16"/>
              </w:rPr>
              <w:t>Year</w:t>
            </w:r>
          </w:p>
        </w:tc>
        <w:tc>
          <w:tcPr>
            <w:tcW w:w="941" w:type="pct"/>
            <w:tcBorders>
              <w:top w:val="single" w:sz="4" w:space="0" w:color="44546A"/>
              <w:bottom w:val="single" w:sz="4" w:space="0" w:color="44546A"/>
            </w:tcBorders>
            <w:shd w:val="clear" w:color="auto" w:fill="1B556B"/>
            <w:noWrap/>
            <w:vAlign w:val="bottom"/>
          </w:tcPr>
          <w:p w14:paraId="152893FD" w14:textId="77777777" w:rsidR="004543E0" w:rsidRPr="00705FD2" w:rsidRDefault="004543E0" w:rsidP="007E3239">
            <w:pPr>
              <w:pStyle w:val="TableTextBold"/>
              <w:keepNext/>
              <w:spacing w:before="40" w:after="40"/>
              <w:jc w:val="center"/>
              <w:rPr>
                <w:rFonts w:cs="Calibri"/>
                <w:noProof w:val="0"/>
                <w:color w:val="FFFFFF"/>
                <w:szCs w:val="16"/>
              </w:rPr>
            </w:pPr>
            <w:r w:rsidRPr="00705FD2">
              <w:rPr>
                <w:rFonts w:cs="Calibri"/>
                <w:noProof w:val="0"/>
                <w:color w:val="FFFFFF"/>
                <w:szCs w:val="16"/>
              </w:rPr>
              <w:t>Goat N</w:t>
            </w:r>
            <w:r w:rsidRPr="00705FD2">
              <w:rPr>
                <w:rFonts w:cs="Calibri"/>
                <w:noProof w:val="0"/>
                <w:color w:val="FFFFFF"/>
                <w:szCs w:val="16"/>
                <w:vertAlign w:val="subscript"/>
              </w:rPr>
              <w:t xml:space="preserve">ex </w:t>
            </w:r>
            <w:r w:rsidRPr="00705FD2">
              <w:rPr>
                <w:rFonts w:cs="Calibri"/>
                <w:noProof w:val="0"/>
                <w:color w:val="FFFFFF"/>
                <w:szCs w:val="16"/>
              </w:rPr>
              <w:br/>
              <w:t>(kg/head/year)</w:t>
            </w:r>
          </w:p>
        </w:tc>
        <w:tc>
          <w:tcPr>
            <w:tcW w:w="844" w:type="pct"/>
            <w:tcBorders>
              <w:top w:val="single" w:sz="4" w:space="0" w:color="44546A"/>
              <w:bottom w:val="single" w:sz="4" w:space="0" w:color="44546A"/>
            </w:tcBorders>
            <w:shd w:val="clear" w:color="auto" w:fill="1B556B"/>
            <w:vAlign w:val="bottom"/>
          </w:tcPr>
          <w:p w14:paraId="50C210AC" w14:textId="77777777" w:rsidR="004543E0" w:rsidRPr="00705FD2" w:rsidRDefault="004543E0" w:rsidP="007E3239">
            <w:pPr>
              <w:pStyle w:val="TableTextBold"/>
              <w:keepNext/>
              <w:spacing w:before="40" w:after="40"/>
              <w:jc w:val="center"/>
              <w:rPr>
                <w:rFonts w:cs="Calibri"/>
                <w:noProof w:val="0"/>
                <w:color w:val="FFFFFF"/>
                <w:szCs w:val="16"/>
              </w:rPr>
            </w:pPr>
            <w:r w:rsidRPr="00705FD2">
              <w:rPr>
                <w:rFonts w:cs="Calibri"/>
                <w:noProof w:val="0"/>
                <w:color w:val="FFFFFF"/>
                <w:szCs w:val="16"/>
              </w:rPr>
              <w:t>Swine N</w:t>
            </w:r>
            <w:r w:rsidRPr="00705FD2">
              <w:rPr>
                <w:rFonts w:cs="Calibri"/>
                <w:noProof w:val="0"/>
                <w:color w:val="FFFFFF"/>
                <w:szCs w:val="16"/>
                <w:vertAlign w:val="subscript"/>
              </w:rPr>
              <w:t xml:space="preserve">ex </w:t>
            </w:r>
            <w:r w:rsidRPr="00705FD2">
              <w:rPr>
                <w:rFonts w:cs="Calibri"/>
                <w:noProof w:val="0"/>
                <w:color w:val="FFFFFF"/>
                <w:szCs w:val="16"/>
              </w:rPr>
              <w:br/>
              <w:t>(kg/head/year)</w:t>
            </w:r>
          </w:p>
        </w:tc>
      </w:tr>
      <w:tr w:rsidR="004543E0" w:rsidRPr="00705FD2" w14:paraId="4DC53F0F" w14:textId="77777777" w:rsidTr="00705FD2">
        <w:tc>
          <w:tcPr>
            <w:tcW w:w="547" w:type="pct"/>
            <w:tcBorders>
              <w:top w:val="single" w:sz="4" w:space="0" w:color="44546A"/>
              <w:bottom w:val="single" w:sz="4" w:space="0" w:color="365F91"/>
            </w:tcBorders>
            <w:shd w:val="clear" w:color="auto" w:fill="auto"/>
            <w:noWrap/>
          </w:tcPr>
          <w:p w14:paraId="555FEBAC" w14:textId="77777777" w:rsidR="004543E0" w:rsidRPr="00705FD2" w:rsidRDefault="004543E0" w:rsidP="007E3239">
            <w:pPr>
              <w:pStyle w:val="TableText"/>
              <w:spacing w:before="40" w:after="40"/>
              <w:rPr>
                <w:rFonts w:cs="Calibri"/>
                <w:szCs w:val="16"/>
              </w:rPr>
            </w:pPr>
            <w:r w:rsidRPr="00705FD2">
              <w:rPr>
                <w:rFonts w:cs="Calibri"/>
                <w:szCs w:val="16"/>
              </w:rPr>
              <w:t>1990</w:t>
            </w:r>
          </w:p>
        </w:tc>
        <w:tc>
          <w:tcPr>
            <w:tcW w:w="941" w:type="pct"/>
            <w:tcBorders>
              <w:top w:val="single" w:sz="4" w:space="0" w:color="44546A"/>
              <w:bottom w:val="single" w:sz="4" w:space="0" w:color="365F91"/>
            </w:tcBorders>
            <w:noWrap/>
          </w:tcPr>
          <w:p w14:paraId="5BE10AC9" w14:textId="77777777" w:rsidR="004543E0" w:rsidRPr="00705FD2" w:rsidRDefault="004543E0" w:rsidP="007E3239">
            <w:pPr>
              <w:pStyle w:val="TableText"/>
              <w:spacing w:before="40" w:after="40"/>
              <w:jc w:val="center"/>
              <w:rPr>
                <w:rFonts w:cs="Calibri"/>
                <w:szCs w:val="16"/>
              </w:rPr>
            </w:pPr>
            <w:r w:rsidRPr="00705FD2">
              <w:rPr>
                <w:rFonts w:cs="Calibri"/>
                <w:szCs w:val="16"/>
              </w:rPr>
              <w:t>10.6</w:t>
            </w:r>
          </w:p>
        </w:tc>
        <w:tc>
          <w:tcPr>
            <w:tcW w:w="941" w:type="pct"/>
            <w:tcBorders>
              <w:top w:val="single" w:sz="4" w:space="0" w:color="44546A"/>
              <w:bottom w:val="single" w:sz="4" w:space="0" w:color="365F91"/>
              <w:right w:val="single" w:sz="4" w:space="0" w:color="365F91"/>
            </w:tcBorders>
            <w:noWrap/>
          </w:tcPr>
          <w:p w14:paraId="6367B109" w14:textId="77777777" w:rsidR="004543E0" w:rsidRPr="00705FD2" w:rsidRDefault="004543E0" w:rsidP="007E3239">
            <w:pPr>
              <w:pStyle w:val="TableText"/>
              <w:spacing w:before="40" w:after="40"/>
              <w:jc w:val="center"/>
              <w:rPr>
                <w:rFonts w:cs="Calibri"/>
                <w:szCs w:val="16"/>
              </w:rPr>
            </w:pPr>
            <w:r w:rsidRPr="00705FD2">
              <w:rPr>
                <w:rFonts w:cs="Calibri"/>
                <w:szCs w:val="16"/>
              </w:rPr>
              <w:t>9.0</w:t>
            </w:r>
          </w:p>
        </w:tc>
        <w:tc>
          <w:tcPr>
            <w:tcW w:w="205" w:type="pct"/>
            <w:tcBorders>
              <w:top w:val="single" w:sz="4" w:space="0" w:color="44546A"/>
              <w:left w:val="single" w:sz="4" w:space="0" w:color="365F91"/>
              <w:right w:val="single" w:sz="4" w:space="0" w:color="365F91"/>
            </w:tcBorders>
          </w:tcPr>
          <w:p w14:paraId="1BFF9551" w14:textId="77777777" w:rsidR="004543E0" w:rsidRPr="00705FD2" w:rsidRDefault="004543E0" w:rsidP="007E3239">
            <w:pPr>
              <w:pStyle w:val="TableText"/>
              <w:spacing w:before="40" w:after="40"/>
              <w:rPr>
                <w:rFonts w:cs="Calibri"/>
                <w:szCs w:val="16"/>
              </w:rPr>
            </w:pPr>
          </w:p>
        </w:tc>
        <w:tc>
          <w:tcPr>
            <w:tcW w:w="580" w:type="pct"/>
            <w:tcBorders>
              <w:top w:val="single" w:sz="4" w:space="0" w:color="44546A"/>
              <w:left w:val="single" w:sz="4" w:space="0" w:color="365F91"/>
              <w:bottom w:val="single" w:sz="4" w:space="0" w:color="365F91"/>
            </w:tcBorders>
            <w:noWrap/>
          </w:tcPr>
          <w:p w14:paraId="370FFF3F" w14:textId="77777777" w:rsidR="004543E0" w:rsidRPr="00705FD2" w:rsidRDefault="004543E0" w:rsidP="007E3239">
            <w:pPr>
              <w:pStyle w:val="TableText"/>
              <w:spacing w:before="40" w:after="40"/>
              <w:rPr>
                <w:rFonts w:cs="Calibri"/>
                <w:szCs w:val="16"/>
              </w:rPr>
            </w:pPr>
            <w:r w:rsidRPr="00705FD2">
              <w:rPr>
                <w:rFonts w:cs="Calibri"/>
                <w:szCs w:val="16"/>
              </w:rPr>
              <w:t>2006</w:t>
            </w:r>
          </w:p>
        </w:tc>
        <w:tc>
          <w:tcPr>
            <w:tcW w:w="941" w:type="pct"/>
            <w:tcBorders>
              <w:top w:val="single" w:sz="4" w:space="0" w:color="44546A"/>
              <w:bottom w:val="single" w:sz="4" w:space="0" w:color="365F91"/>
            </w:tcBorders>
            <w:noWrap/>
          </w:tcPr>
          <w:p w14:paraId="7BBFDDEA" w14:textId="77777777" w:rsidR="004543E0" w:rsidRPr="00705FD2" w:rsidRDefault="004543E0" w:rsidP="007E3239">
            <w:pPr>
              <w:pStyle w:val="TableText"/>
              <w:spacing w:before="40" w:after="40"/>
              <w:jc w:val="center"/>
              <w:rPr>
                <w:rFonts w:cs="Calibri"/>
                <w:szCs w:val="16"/>
              </w:rPr>
            </w:pPr>
            <w:r w:rsidRPr="00705FD2">
              <w:rPr>
                <w:rFonts w:cs="Calibri"/>
                <w:szCs w:val="16"/>
              </w:rPr>
              <w:t>11.9</w:t>
            </w:r>
          </w:p>
        </w:tc>
        <w:tc>
          <w:tcPr>
            <w:tcW w:w="844" w:type="pct"/>
            <w:tcBorders>
              <w:top w:val="single" w:sz="4" w:space="0" w:color="44546A"/>
              <w:bottom w:val="single" w:sz="4" w:space="0" w:color="365F91"/>
            </w:tcBorders>
          </w:tcPr>
          <w:p w14:paraId="0AB14589" w14:textId="77777777" w:rsidR="004543E0" w:rsidRPr="00705FD2" w:rsidRDefault="004543E0" w:rsidP="007E3239">
            <w:pPr>
              <w:pStyle w:val="TableText"/>
              <w:spacing w:before="40" w:after="40"/>
              <w:jc w:val="center"/>
              <w:rPr>
                <w:rFonts w:cs="Calibri"/>
                <w:szCs w:val="16"/>
              </w:rPr>
            </w:pPr>
            <w:r w:rsidRPr="00705FD2">
              <w:rPr>
                <w:rFonts w:cs="Calibri"/>
                <w:szCs w:val="16"/>
              </w:rPr>
              <w:t>10.7</w:t>
            </w:r>
          </w:p>
        </w:tc>
      </w:tr>
      <w:tr w:rsidR="004543E0" w:rsidRPr="00705FD2" w14:paraId="3435AFD7" w14:textId="77777777" w:rsidTr="00705FD2">
        <w:tc>
          <w:tcPr>
            <w:tcW w:w="547" w:type="pct"/>
            <w:tcBorders>
              <w:top w:val="single" w:sz="4" w:space="0" w:color="365F91"/>
              <w:bottom w:val="single" w:sz="4" w:space="0" w:color="365F91"/>
            </w:tcBorders>
            <w:shd w:val="clear" w:color="auto" w:fill="auto"/>
            <w:noWrap/>
          </w:tcPr>
          <w:p w14:paraId="2310F552" w14:textId="77777777" w:rsidR="004543E0" w:rsidRPr="00705FD2" w:rsidRDefault="004543E0" w:rsidP="007E3239">
            <w:pPr>
              <w:pStyle w:val="TableText"/>
              <w:spacing w:before="40" w:after="40"/>
              <w:rPr>
                <w:rFonts w:cs="Calibri"/>
                <w:szCs w:val="16"/>
              </w:rPr>
            </w:pPr>
            <w:r w:rsidRPr="00705FD2">
              <w:rPr>
                <w:rFonts w:cs="Calibri"/>
                <w:szCs w:val="16"/>
              </w:rPr>
              <w:t>1991</w:t>
            </w:r>
          </w:p>
        </w:tc>
        <w:tc>
          <w:tcPr>
            <w:tcW w:w="941" w:type="pct"/>
            <w:tcBorders>
              <w:top w:val="single" w:sz="4" w:space="0" w:color="365F91"/>
              <w:bottom w:val="single" w:sz="4" w:space="0" w:color="365F91"/>
            </w:tcBorders>
            <w:noWrap/>
          </w:tcPr>
          <w:p w14:paraId="5CA02095" w14:textId="77777777" w:rsidR="004543E0" w:rsidRPr="00705FD2" w:rsidRDefault="004543E0" w:rsidP="007E3239">
            <w:pPr>
              <w:pStyle w:val="TableText"/>
              <w:spacing w:before="40" w:after="40"/>
              <w:jc w:val="center"/>
              <w:rPr>
                <w:rFonts w:cs="Calibri"/>
                <w:szCs w:val="16"/>
              </w:rPr>
            </w:pPr>
            <w:r w:rsidRPr="00705FD2">
              <w:rPr>
                <w:rFonts w:cs="Calibri"/>
                <w:szCs w:val="16"/>
              </w:rPr>
              <w:t>10.7</w:t>
            </w:r>
          </w:p>
        </w:tc>
        <w:tc>
          <w:tcPr>
            <w:tcW w:w="941" w:type="pct"/>
            <w:tcBorders>
              <w:top w:val="single" w:sz="4" w:space="0" w:color="365F91"/>
              <w:bottom w:val="single" w:sz="4" w:space="0" w:color="365F91"/>
              <w:right w:val="single" w:sz="4" w:space="0" w:color="365F91"/>
            </w:tcBorders>
            <w:noWrap/>
          </w:tcPr>
          <w:p w14:paraId="060ECD26" w14:textId="77777777" w:rsidR="004543E0" w:rsidRPr="00705FD2" w:rsidRDefault="004543E0" w:rsidP="007E3239">
            <w:pPr>
              <w:pStyle w:val="TableText"/>
              <w:spacing w:before="40" w:after="40"/>
              <w:jc w:val="center"/>
              <w:rPr>
                <w:rFonts w:cs="Calibri"/>
                <w:szCs w:val="16"/>
              </w:rPr>
            </w:pPr>
            <w:r w:rsidRPr="00705FD2">
              <w:rPr>
                <w:rFonts w:cs="Calibri"/>
                <w:szCs w:val="16"/>
              </w:rPr>
              <w:t>9.2</w:t>
            </w:r>
          </w:p>
        </w:tc>
        <w:tc>
          <w:tcPr>
            <w:tcW w:w="205" w:type="pct"/>
            <w:tcBorders>
              <w:left w:val="single" w:sz="4" w:space="0" w:color="365F91"/>
              <w:right w:val="single" w:sz="4" w:space="0" w:color="365F91"/>
            </w:tcBorders>
          </w:tcPr>
          <w:p w14:paraId="00E0D631" w14:textId="77777777" w:rsidR="004543E0" w:rsidRPr="00705FD2" w:rsidRDefault="004543E0" w:rsidP="007E3239">
            <w:pPr>
              <w:pStyle w:val="TableText"/>
              <w:spacing w:before="40" w:after="40"/>
              <w:rPr>
                <w:rFonts w:cs="Calibri"/>
                <w:szCs w:val="16"/>
              </w:rPr>
            </w:pPr>
          </w:p>
        </w:tc>
        <w:tc>
          <w:tcPr>
            <w:tcW w:w="580" w:type="pct"/>
            <w:tcBorders>
              <w:top w:val="single" w:sz="4" w:space="0" w:color="365F91"/>
              <w:left w:val="single" w:sz="4" w:space="0" w:color="365F91"/>
              <w:bottom w:val="single" w:sz="4" w:space="0" w:color="365F91"/>
            </w:tcBorders>
            <w:noWrap/>
          </w:tcPr>
          <w:p w14:paraId="4C85CFCB" w14:textId="77777777" w:rsidR="004543E0" w:rsidRPr="00705FD2" w:rsidRDefault="004543E0" w:rsidP="007E3239">
            <w:pPr>
              <w:pStyle w:val="TableText"/>
              <w:spacing w:before="40" w:after="40"/>
              <w:rPr>
                <w:rFonts w:cs="Calibri"/>
                <w:szCs w:val="16"/>
              </w:rPr>
            </w:pPr>
            <w:r w:rsidRPr="00705FD2">
              <w:rPr>
                <w:rFonts w:cs="Calibri"/>
                <w:szCs w:val="16"/>
              </w:rPr>
              <w:t>2007</w:t>
            </w:r>
          </w:p>
        </w:tc>
        <w:tc>
          <w:tcPr>
            <w:tcW w:w="941" w:type="pct"/>
            <w:tcBorders>
              <w:top w:val="single" w:sz="4" w:space="0" w:color="365F91"/>
              <w:bottom w:val="single" w:sz="4" w:space="0" w:color="365F91"/>
            </w:tcBorders>
            <w:noWrap/>
          </w:tcPr>
          <w:p w14:paraId="44818F37" w14:textId="77777777" w:rsidR="004543E0" w:rsidRPr="00705FD2" w:rsidRDefault="004543E0" w:rsidP="007E3239">
            <w:pPr>
              <w:pStyle w:val="TableText"/>
              <w:spacing w:before="40" w:after="40"/>
              <w:jc w:val="center"/>
              <w:rPr>
                <w:rFonts w:cs="Calibri"/>
                <w:szCs w:val="16"/>
              </w:rPr>
            </w:pPr>
            <w:r w:rsidRPr="00705FD2">
              <w:rPr>
                <w:rFonts w:cs="Calibri"/>
                <w:szCs w:val="16"/>
              </w:rPr>
              <w:t>11.9</w:t>
            </w:r>
          </w:p>
        </w:tc>
        <w:tc>
          <w:tcPr>
            <w:tcW w:w="844" w:type="pct"/>
            <w:tcBorders>
              <w:top w:val="single" w:sz="4" w:space="0" w:color="365F91"/>
              <w:bottom w:val="single" w:sz="4" w:space="0" w:color="365F91"/>
            </w:tcBorders>
          </w:tcPr>
          <w:p w14:paraId="39600893" w14:textId="77777777" w:rsidR="004543E0" w:rsidRPr="00705FD2" w:rsidRDefault="004543E0" w:rsidP="007E3239">
            <w:pPr>
              <w:pStyle w:val="TableText"/>
              <w:spacing w:before="40" w:after="40"/>
              <w:jc w:val="center"/>
              <w:rPr>
                <w:rFonts w:cs="Calibri"/>
                <w:szCs w:val="16"/>
              </w:rPr>
            </w:pPr>
            <w:r w:rsidRPr="00705FD2">
              <w:rPr>
                <w:rFonts w:cs="Calibri"/>
                <w:szCs w:val="16"/>
              </w:rPr>
              <w:t>10.8</w:t>
            </w:r>
          </w:p>
        </w:tc>
      </w:tr>
      <w:tr w:rsidR="004543E0" w:rsidRPr="00705FD2" w14:paraId="5B345707" w14:textId="77777777" w:rsidTr="00705FD2">
        <w:tc>
          <w:tcPr>
            <w:tcW w:w="547" w:type="pct"/>
            <w:tcBorders>
              <w:top w:val="single" w:sz="4" w:space="0" w:color="365F91"/>
              <w:bottom w:val="single" w:sz="4" w:space="0" w:color="365F91"/>
            </w:tcBorders>
            <w:shd w:val="clear" w:color="auto" w:fill="auto"/>
            <w:noWrap/>
          </w:tcPr>
          <w:p w14:paraId="0AA7AD0A" w14:textId="77777777" w:rsidR="004543E0" w:rsidRPr="00705FD2" w:rsidRDefault="004543E0" w:rsidP="007E3239">
            <w:pPr>
              <w:pStyle w:val="TableText"/>
              <w:spacing w:before="40" w:after="40"/>
              <w:rPr>
                <w:rFonts w:cs="Calibri"/>
                <w:szCs w:val="16"/>
              </w:rPr>
            </w:pPr>
            <w:r w:rsidRPr="00705FD2">
              <w:rPr>
                <w:rFonts w:cs="Calibri"/>
                <w:szCs w:val="16"/>
              </w:rPr>
              <w:t>1992</w:t>
            </w:r>
          </w:p>
        </w:tc>
        <w:tc>
          <w:tcPr>
            <w:tcW w:w="941" w:type="pct"/>
            <w:tcBorders>
              <w:top w:val="single" w:sz="4" w:space="0" w:color="365F91"/>
              <w:bottom w:val="single" w:sz="4" w:space="0" w:color="365F91"/>
            </w:tcBorders>
            <w:noWrap/>
          </w:tcPr>
          <w:p w14:paraId="5DA61B9E" w14:textId="77777777" w:rsidR="004543E0" w:rsidRPr="00705FD2" w:rsidRDefault="004543E0" w:rsidP="007E3239">
            <w:pPr>
              <w:pStyle w:val="TableText"/>
              <w:spacing w:before="40" w:after="40"/>
              <w:jc w:val="center"/>
              <w:rPr>
                <w:rFonts w:cs="Calibri"/>
                <w:szCs w:val="16"/>
              </w:rPr>
            </w:pPr>
            <w:r w:rsidRPr="00705FD2">
              <w:rPr>
                <w:rFonts w:cs="Calibri"/>
                <w:szCs w:val="16"/>
              </w:rPr>
              <w:t>10.8</w:t>
            </w:r>
          </w:p>
        </w:tc>
        <w:tc>
          <w:tcPr>
            <w:tcW w:w="941" w:type="pct"/>
            <w:tcBorders>
              <w:top w:val="single" w:sz="4" w:space="0" w:color="365F91"/>
              <w:bottom w:val="single" w:sz="4" w:space="0" w:color="365F91"/>
              <w:right w:val="single" w:sz="4" w:space="0" w:color="365F91"/>
            </w:tcBorders>
            <w:noWrap/>
          </w:tcPr>
          <w:p w14:paraId="487E6513" w14:textId="77777777" w:rsidR="004543E0" w:rsidRPr="00705FD2" w:rsidRDefault="004543E0" w:rsidP="007E3239">
            <w:pPr>
              <w:pStyle w:val="TableText"/>
              <w:spacing w:before="40" w:after="40"/>
              <w:jc w:val="center"/>
              <w:rPr>
                <w:rFonts w:cs="Calibri"/>
                <w:szCs w:val="16"/>
              </w:rPr>
            </w:pPr>
            <w:r w:rsidRPr="00705FD2">
              <w:rPr>
                <w:rFonts w:cs="Calibri"/>
                <w:szCs w:val="16"/>
              </w:rPr>
              <w:t>9.3</w:t>
            </w:r>
          </w:p>
        </w:tc>
        <w:tc>
          <w:tcPr>
            <w:tcW w:w="205" w:type="pct"/>
            <w:tcBorders>
              <w:left w:val="single" w:sz="4" w:space="0" w:color="365F91"/>
              <w:right w:val="single" w:sz="4" w:space="0" w:color="365F91"/>
            </w:tcBorders>
          </w:tcPr>
          <w:p w14:paraId="33F85A3A" w14:textId="77777777" w:rsidR="004543E0" w:rsidRPr="00705FD2" w:rsidRDefault="004543E0" w:rsidP="007E3239">
            <w:pPr>
              <w:pStyle w:val="TableText"/>
              <w:spacing w:before="40" w:after="40"/>
              <w:rPr>
                <w:rFonts w:cs="Calibri"/>
                <w:szCs w:val="16"/>
              </w:rPr>
            </w:pPr>
          </w:p>
        </w:tc>
        <w:tc>
          <w:tcPr>
            <w:tcW w:w="580" w:type="pct"/>
            <w:tcBorders>
              <w:top w:val="single" w:sz="4" w:space="0" w:color="365F91"/>
              <w:left w:val="single" w:sz="4" w:space="0" w:color="365F91"/>
              <w:bottom w:val="single" w:sz="4" w:space="0" w:color="365F91"/>
            </w:tcBorders>
            <w:noWrap/>
          </w:tcPr>
          <w:p w14:paraId="59AA321E" w14:textId="77777777" w:rsidR="004543E0" w:rsidRPr="00705FD2" w:rsidRDefault="004543E0" w:rsidP="007E3239">
            <w:pPr>
              <w:pStyle w:val="TableText"/>
              <w:spacing w:before="40" w:after="40"/>
              <w:rPr>
                <w:rFonts w:cs="Calibri"/>
                <w:szCs w:val="16"/>
              </w:rPr>
            </w:pPr>
            <w:r w:rsidRPr="00705FD2">
              <w:rPr>
                <w:rFonts w:cs="Calibri"/>
                <w:szCs w:val="16"/>
              </w:rPr>
              <w:t>2008</w:t>
            </w:r>
          </w:p>
        </w:tc>
        <w:tc>
          <w:tcPr>
            <w:tcW w:w="941" w:type="pct"/>
            <w:tcBorders>
              <w:top w:val="single" w:sz="4" w:space="0" w:color="365F91"/>
              <w:bottom w:val="single" w:sz="4" w:space="0" w:color="365F91"/>
            </w:tcBorders>
            <w:noWrap/>
          </w:tcPr>
          <w:p w14:paraId="71519AF0" w14:textId="77777777" w:rsidR="004543E0" w:rsidRPr="00705FD2" w:rsidRDefault="004543E0" w:rsidP="007E3239">
            <w:pPr>
              <w:pStyle w:val="TableText"/>
              <w:spacing w:before="40" w:after="40"/>
              <w:jc w:val="center"/>
              <w:rPr>
                <w:rFonts w:cs="Calibri"/>
                <w:szCs w:val="16"/>
              </w:rPr>
            </w:pPr>
            <w:r w:rsidRPr="00705FD2">
              <w:rPr>
                <w:rFonts w:cs="Calibri"/>
                <w:szCs w:val="16"/>
              </w:rPr>
              <w:t>12.0</w:t>
            </w:r>
          </w:p>
        </w:tc>
        <w:tc>
          <w:tcPr>
            <w:tcW w:w="844" w:type="pct"/>
            <w:tcBorders>
              <w:top w:val="single" w:sz="4" w:space="0" w:color="365F91"/>
              <w:bottom w:val="single" w:sz="4" w:space="0" w:color="365F91"/>
            </w:tcBorders>
          </w:tcPr>
          <w:p w14:paraId="62B1D48F" w14:textId="77777777" w:rsidR="004543E0" w:rsidRPr="00705FD2" w:rsidRDefault="004543E0" w:rsidP="007E3239">
            <w:pPr>
              <w:pStyle w:val="TableText"/>
              <w:spacing w:before="40" w:after="40"/>
              <w:jc w:val="center"/>
              <w:rPr>
                <w:rFonts w:cs="Calibri"/>
                <w:szCs w:val="16"/>
              </w:rPr>
            </w:pPr>
            <w:r w:rsidRPr="00705FD2">
              <w:rPr>
                <w:rFonts w:cs="Calibri"/>
                <w:szCs w:val="16"/>
              </w:rPr>
              <w:t>10.8</w:t>
            </w:r>
          </w:p>
        </w:tc>
      </w:tr>
      <w:tr w:rsidR="004543E0" w:rsidRPr="00705FD2" w14:paraId="72718A28" w14:textId="77777777" w:rsidTr="00705FD2">
        <w:tc>
          <w:tcPr>
            <w:tcW w:w="547" w:type="pct"/>
            <w:tcBorders>
              <w:top w:val="single" w:sz="4" w:space="0" w:color="365F91"/>
              <w:bottom w:val="single" w:sz="4" w:space="0" w:color="365F91"/>
            </w:tcBorders>
            <w:shd w:val="clear" w:color="auto" w:fill="auto"/>
            <w:noWrap/>
          </w:tcPr>
          <w:p w14:paraId="01FB82A9" w14:textId="77777777" w:rsidR="004543E0" w:rsidRPr="00705FD2" w:rsidRDefault="004543E0" w:rsidP="007E3239">
            <w:pPr>
              <w:pStyle w:val="TableText"/>
              <w:spacing w:before="40" w:after="40"/>
              <w:rPr>
                <w:rFonts w:cs="Calibri"/>
                <w:szCs w:val="16"/>
              </w:rPr>
            </w:pPr>
            <w:r w:rsidRPr="00705FD2">
              <w:rPr>
                <w:rFonts w:cs="Calibri"/>
                <w:szCs w:val="16"/>
              </w:rPr>
              <w:t>1993</w:t>
            </w:r>
          </w:p>
        </w:tc>
        <w:tc>
          <w:tcPr>
            <w:tcW w:w="941" w:type="pct"/>
            <w:tcBorders>
              <w:top w:val="single" w:sz="4" w:space="0" w:color="365F91"/>
              <w:bottom w:val="single" w:sz="4" w:space="0" w:color="365F91"/>
            </w:tcBorders>
            <w:noWrap/>
          </w:tcPr>
          <w:p w14:paraId="28D03C14" w14:textId="77777777" w:rsidR="004543E0" w:rsidRPr="00705FD2" w:rsidRDefault="004543E0" w:rsidP="007E3239">
            <w:pPr>
              <w:pStyle w:val="TableText"/>
              <w:spacing w:before="40" w:after="40"/>
              <w:jc w:val="center"/>
              <w:rPr>
                <w:rFonts w:cs="Calibri"/>
                <w:szCs w:val="16"/>
              </w:rPr>
            </w:pPr>
            <w:r w:rsidRPr="00705FD2">
              <w:rPr>
                <w:rFonts w:cs="Calibri"/>
                <w:szCs w:val="16"/>
              </w:rPr>
              <w:t>10.8</w:t>
            </w:r>
          </w:p>
        </w:tc>
        <w:tc>
          <w:tcPr>
            <w:tcW w:w="941" w:type="pct"/>
            <w:tcBorders>
              <w:top w:val="single" w:sz="4" w:space="0" w:color="365F91"/>
              <w:bottom w:val="single" w:sz="4" w:space="0" w:color="365F91"/>
              <w:right w:val="single" w:sz="4" w:space="0" w:color="365F91"/>
            </w:tcBorders>
            <w:noWrap/>
          </w:tcPr>
          <w:p w14:paraId="579D84F6" w14:textId="77777777" w:rsidR="004543E0" w:rsidRPr="00705FD2" w:rsidRDefault="004543E0" w:rsidP="007E3239">
            <w:pPr>
              <w:pStyle w:val="TableText"/>
              <w:spacing w:before="40" w:after="40"/>
              <w:jc w:val="center"/>
              <w:rPr>
                <w:rFonts w:cs="Calibri"/>
                <w:szCs w:val="16"/>
              </w:rPr>
            </w:pPr>
            <w:r w:rsidRPr="00705FD2">
              <w:rPr>
                <w:rFonts w:cs="Calibri"/>
                <w:szCs w:val="16"/>
              </w:rPr>
              <w:t>9.5</w:t>
            </w:r>
          </w:p>
        </w:tc>
        <w:tc>
          <w:tcPr>
            <w:tcW w:w="205" w:type="pct"/>
            <w:tcBorders>
              <w:left w:val="single" w:sz="4" w:space="0" w:color="365F91"/>
              <w:right w:val="single" w:sz="4" w:space="0" w:color="365F91"/>
            </w:tcBorders>
          </w:tcPr>
          <w:p w14:paraId="5102BCF7" w14:textId="77777777" w:rsidR="004543E0" w:rsidRPr="00705FD2" w:rsidRDefault="004543E0" w:rsidP="007E3239">
            <w:pPr>
              <w:pStyle w:val="TableText"/>
              <w:spacing w:before="40" w:after="40"/>
              <w:rPr>
                <w:rFonts w:cs="Calibri"/>
                <w:szCs w:val="16"/>
              </w:rPr>
            </w:pPr>
          </w:p>
        </w:tc>
        <w:tc>
          <w:tcPr>
            <w:tcW w:w="580" w:type="pct"/>
            <w:tcBorders>
              <w:top w:val="single" w:sz="4" w:space="0" w:color="365F91"/>
              <w:left w:val="single" w:sz="4" w:space="0" w:color="365F91"/>
              <w:bottom w:val="single" w:sz="4" w:space="0" w:color="365F91"/>
            </w:tcBorders>
            <w:noWrap/>
          </w:tcPr>
          <w:p w14:paraId="71182346" w14:textId="77777777" w:rsidR="004543E0" w:rsidRPr="00705FD2" w:rsidRDefault="004543E0" w:rsidP="007E3239">
            <w:pPr>
              <w:pStyle w:val="TableText"/>
              <w:spacing w:before="40" w:after="40"/>
              <w:rPr>
                <w:rFonts w:cs="Calibri"/>
                <w:szCs w:val="16"/>
              </w:rPr>
            </w:pPr>
            <w:r w:rsidRPr="00705FD2">
              <w:rPr>
                <w:rFonts w:cs="Calibri"/>
                <w:szCs w:val="16"/>
              </w:rPr>
              <w:t>2009</w:t>
            </w:r>
          </w:p>
        </w:tc>
        <w:tc>
          <w:tcPr>
            <w:tcW w:w="941" w:type="pct"/>
            <w:tcBorders>
              <w:top w:val="single" w:sz="4" w:space="0" w:color="365F91"/>
              <w:bottom w:val="single" w:sz="4" w:space="0" w:color="365F91"/>
            </w:tcBorders>
            <w:noWrap/>
          </w:tcPr>
          <w:p w14:paraId="460E2293" w14:textId="77777777" w:rsidR="004543E0" w:rsidRPr="00705FD2" w:rsidRDefault="004543E0" w:rsidP="007E3239">
            <w:pPr>
              <w:pStyle w:val="TableText"/>
              <w:spacing w:before="40" w:after="40"/>
              <w:jc w:val="center"/>
              <w:rPr>
                <w:rFonts w:cs="Calibri"/>
                <w:szCs w:val="16"/>
              </w:rPr>
            </w:pPr>
            <w:r w:rsidRPr="00705FD2">
              <w:rPr>
                <w:rFonts w:cs="Calibri"/>
                <w:szCs w:val="16"/>
              </w:rPr>
              <w:t>12.1</w:t>
            </w:r>
          </w:p>
        </w:tc>
        <w:tc>
          <w:tcPr>
            <w:tcW w:w="844" w:type="pct"/>
            <w:tcBorders>
              <w:top w:val="single" w:sz="4" w:space="0" w:color="365F91"/>
              <w:bottom w:val="single" w:sz="4" w:space="0" w:color="365F91"/>
            </w:tcBorders>
          </w:tcPr>
          <w:p w14:paraId="27513BD8" w14:textId="77777777" w:rsidR="004543E0" w:rsidRPr="00705FD2" w:rsidRDefault="004543E0" w:rsidP="007E3239">
            <w:pPr>
              <w:pStyle w:val="TableText"/>
              <w:spacing w:before="40" w:after="40"/>
              <w:jc w:val="center"/>
              <w:rPr>
                <w:rFonts w:cs="Calibri"/>
                <w:szCs w:val="16"/>
              </w:rPr>
            </w:pPr>
            <w:r w:rsidRPr="00705FD2">
              <w:rPr>
                <w:rFonts w:cs="Calibri"/>
                <w:szCs w:val="16"/>
              </w:rPr>
              <w:t>10.8</w:t>
            </w:r>
          </w:p>
        </w:tc>
      </w:tr>
      <w:tr w:rsidR="004543E0" w:rsidRPr="00705FD2" w14:paraId="015E861D" w14:textId="77777777" w:rsidTr="00705FD2">
        <w:tc>
          <w:tcPr>
            <w:tcW w:w="547" w:type="pct"/>
            <w:tcBorders>
              <w:top w:val="single" w:sz="4" w:space="0" w:color="365F91"/>
              <w:bottom w:val="single" w:sz="4" w:space="0" w:color="365F91"/>
            </w:tcBorders>
            <w:shd w:val="clear" w:color="auto" w:fill="auto"/>
            <w:noWrap/>
          </w:tcPr>
          <w:p w14:paraId="08CE25AF" w14:textId="77777777" w:rsidR="004543E0" w:rsidRPr="00705FD2" w:rsidRDefault="004543E0" w:rsidP="007E3239">
            <w:pPr>
              <w:pStyle w:val="TableText"/>
              <w:spacing w:before="40" w:after="40"/>
              <w:rPr>
                <w:rFonts w:cs="Calibri"/>
                <w:szCs w:val="16"/>
              </w:rPr>
            </w:pPr>
            <w:r w:rsidRPr="00705FD2">
              <w:rPr>
                <w:rFonts w:cs="Calibri"/>
                <w:szCs w:val="16"/>
              </w:rPr>
              <w:t>1994</w:t>
            </w:r>
          </w:p>
        </w:tc>
        <w:tc>
          <w:tcPr>
            <w:tcW w:w="941" w:type="pct"/>
            <w:tcBorders>
              <w:top w:val="single" w:sz="4" w:space="0" w:color="365F91"/>
              <w:bottom w:val="single" w:sz="4" w:space="0" w:color="365F91"/>
            </w:tcBorders>
            <w:noWrap/>
          </w:tcPr>
          <w:p w14:paraId="67885582" w14:textId="77777777" w:rsidR="004543E0" w:rsidRPr="00705FD2" w:rsidRDefault="004543E0" w:rsidP="007E3239">
            <w:pPr>
              <w:pStyle w:val="TableText"/>
              <w:spacing w:before="40" w:after="40"/>
              <w:jc w:val="center"/>
              <w:rPr>
                <w:rFonts w:cs="Calibri"/>
                <w:szCs w:val="16"/>
              </w:rPr>
            </w:pPr>
            <w:r w:rsidRPr="00705FD2">
              <w:rPr>
                <w:rFonts w:cs="Calibri"/>
                <w:szCs w:val="16"/>
              </w:rPr>
              <w:t>10.9</w:t>
            </w:r>
          </w:p>
        </w:tc>
        <w:tc>
          <w:tcPr>
            <w:tcW w:w="941" w:type="pct"/>
            <w:tcBorders>
              <w:top w:val="single" w:sz="4" w:space="0" w:color="365F91"/>
              <w:bottom w:val="single" w:sz="4" w:space="0" w:color="365F91"/>
              <w:right w:val="single" w:sz="4" w:space="0" w:color="365F91"/>
            </w:tcBorders>
            <w:noWrap/>
          </w:tcPr>
          <w:p w14:paraId="74453923" w14:textId="77777777" w:rsidR="004543E0" w:rsidRPr="00705FD2" w:rsidRDefault="004543E0" w:rsidP="007E3239">
            <w:pPr>
              <w:pStyle w:val="TableText"/>
              <w:spacing w:before="40" w:after="40"/>
              <w:jc w:val="center"/>
              <w:rPr>
                <w:rFonts w:cs="Calibri"/>
                <w:szCs w:val="16"/>
              </w:rPr>
            </w:pPr>
            <w:r w:rsidRPr="00705FD2">
              <w:rPr>
                <w:rFonts w:cs="Calibri"/>
                <w:szCs w:val="16"/>
              </w:rPr>
              <w:t>9.5</w:t>
            </w:r>
          </w:p>
        </w:tc>
        <w:tc>
          <w:tcPr>
            <w:tcW w:w="205" w:type="pct"/>
            <w:tcBorders>
              <w:left w:val="single" w:sz="4" w:space="0" w:color="365F91"/>
              <w:right w:val="single" w:sz="4" w:space="0" w:color="365F91"/>
            </w:tcBorders>
          </w:tcPr>
          <w:p w14:paraId="1EADD68C" w14:textId="77777777" w:rsidR="004543E0" w:rsidRPr="00705FD2" w:rsidRDefault="004543E0" w:rsidP="007E3239">
            <w:pPr>
              <w:pStyle w:val="TableText"/>
              <w:spacing w:before="40" w:after="40"/>
              <w:rPr>
                <w:rFonts w:cs="Calibri"/>
                <w:szCs w:val="16"/>
              </w:rPr>
            </w:pPr>
          </w:p>
        </w:tc>
        <w:tc>
          <w:tcPr>
            <w:tcW w:w="580" w:type="pct"/>
            <w:tcBorders>
              <w:top w:val="single" w:sz="4" w:space="0" w:color="365F91"/>
              <w:left w:val="single" w:sz="4" w:space="0" w:color="365F91"/>
              <w:bottom w:val="single" w:sz="4" w:space="0" w:color="365F91"/>
            </w:tcBorders>
            <w:noWrap/>
          </w:tcPr>
          <w:p w14:paraId="0E0C82D1" w14:textId="77777777" w:rsidR="004543E0" w:rsidRPr="00705FD2" w:rsidRDefault="004543E0" w:rsidP="007E3239">
            <w:pPr>
              <w:pStyle w:val="TableText"/>
              <w:spacing w:before="40" w:after="40"/>
              <w:rPr>
                <w:rFonts w:cs="Calibri"/>
                <w:szCs w:val="16"/>
              </w:rPr>
            </w:pPr>
            <w:r w:rsidRPr="00705FD2">
              <w:rPr>
                <w:rFonts w:cs="Calibri"/>
                <w:szCs w:val="16"/>
              </w:rPr>
              <w:t>2010</w:t>
            </w:r>
          </w:p>
        </w:tc>
        <w:tc>
          <w:tcPr>
            <w:tcW w:w="941" w:type="pct"/>
            <w:tcBorders>
              <w:top w:val="single" w:sz="4" w:space="0" w:color="365F91"/>
              <w:bottom w:val="single" w:sz="4" w:space="0" w:color="365F91"/>
            </w:tcBorders>
            <w:noWrap/>
          </w:tcPr>
          <w:p w14:paraId="11034A1F" w14:textId="77777777" w:rsidR="004543E0" w:rsidRPr="00705FD2" w:rsidRDefault="004543E0" w:rsidP="007E3239">
            <w:pPr>
              <w:pStyle w:val="TableText"/>
              <w:spacing w:before="40" w:after="40"/>
              <w:jc w:val="center"/>
              <w:rPr>
                <w:rFonts w:cs="Calibri"/>
                <w:szCs w:val="16"/>
              </w:rPr>
            </w:pPr>
            <w:r w:rsidRPr="00705FD2">
              <w:rPr>
                <w:rFonts w:cs="Calibri"/>
                <w:szCs w:val="16"/>
              </w:rPr>
              <w:t>12.2</w:t>
            </w:r>
          </w:p>
        </w:tc>
        <w:tc>
          <w:tcPr>
            <w:tcW w:w="844" w:type="pct"/>
            <w:tcBorders>
              <w:top w:val="single" w:sz="4" w:space="0" w:color="365F91"/>
              <w:bottom w:val="single" w:sz="4" w:space="0" w:color="365F91"/>
            </w:tcBorders>
          </w:tcPr>
          <w:p w14:paraId="463F3199" w14:textId="77777777" w:rsidR="004543E0" w:rsidRPr="00705FD2" w:rsidRDefault="004543E0" w:rsidP="007E3239">
            <w:pPr>
              <w:pStyle w:val="TableText"/>
              <w:spacing w:before="40" w:after="40"/>
              <w:jc w:val="center"/>
              <w:rPr>
                <w:rFonts w:cs="Calibri"/>
                <w:szCs w:val="16"/>
              </w:rPr>
            </w:pPr>
            <w:r w:rsidRPr="00705FD2">
              <w:rPr>
                <w:rFonts w:cs="Calibri"/>
                <w:szCs w:val="16"/>
              </w:rPr>
              <w:t>10.8</w:t>
            </w:r>
          </w:p>
        </w:tc>
      </w:tr>
      <w:tr w:rsidR="004543E0" w:rsidRPr="00705FD2" w14:paraId="04A5129B" w14:textId="77777777" w:rsidTr="00705FD2">
        <w:tc>
          <w:tcPr>
            <w:tcW w:w="547" w:type="pct"/>
            <w:tcBorders>
              <w:top w:val="single" w:sz="4" w:space="0" w:color="365F91"/>
              <w:bottom w:val="single" w:sz="4" w:space="0" w:color="365F91"/>
            </w:tcBorders>
            <w:shd w:val="clear" w:color="auto" w:fill="auto"/>
            <w:noWrap/>
          </w:tcPr>
          <w:p w14:paraId="224BBD9C" w14:textId="77777777" w:rsidR="004543E0" w:rsidRPr="00705FD2" w:rsidRDefault="004543E0" w:rsidP="007E3239">
            <w:pPr>
              <w:pStyle w:val="TableText"/>
              <w:spacing w:before="40" w:after="40"/>
              <w:rPr>
                <w:rFonts w:cs="Calibri"/>
                <w:szCs w:val="16"/>
              </w:rPr>
            </w:pPr>
            <w:r w:rsidRPr="00705FD2">
              <w:rPr>
                <w:rFonts w:cs="Calibri"/>
                <w:szCs w:val="16"/>
              </w:rPr>
              <w:t>1995</w:t>
            </w:r>
          </w:p>
        </w:tc>
        <w:tc>
          <w:tcPr>
            <w:tcW w:w="941" w:type="pct"/>
            <w:tcBorders>
              <w:top w:val="single" w:sz="4" w:space="0" w:color="365F91"/>
              <w:bottom w:val="single" w:sz="4" w:space="0" w:color="365F91"/>
            </w:tcBorders>
            <w:noWrap/>
          </w:tcPr>
          <w:p w14:paraId="4EB5D08E" w14:textId="77777777" w:rsidR="004543E0" w:rsidRPr="00705FD2" w:rsidRDefault="004543E0" w:rsidP="007E3239">
            <w:pPr>
              <w:pStyle w:val="TableText"/>
              <w:spacing w:before="40" w:after="40"/>
              <w:jc w:val="center"/>
              <w:rPr>
                <w:rFonts w:cs="Calibri"/>
                <w:szCs w:val="16"/>
              </w:rPr>
            </w:pPr>
            <w:r w:rsidRPr="00705FD2">
              <w:rPr>
                <w:rFonts w:cs="Calibri"/>
                <w:szCs w:val="16"/>
              </w:rPr>
              <w:t>11.0</w:t>
            </w:r>
          </w:p>
        </w:tc>
        <w:tc>
          <w:tcPr>
            <w:tcW w:w="941" w:type="pct"/>
            <w:tcBorders>
              <w:top w:val="single" w:sz="4" w:space="0" w:color="365F91"/>
              <w:bottom w:val="single" w:sz="4" w:space="0" w:color="365F91"/>
              <w:right w:val="single" w:sz="4" w:space="0" w:color="365F91"/>
            </w:tcBorders>
            <w:noWrap/>
          </w:tcPr>
          <w:p w14:paraId="300EB67C" w14:textId="77777777" w:rsidR="004543E0" w:rsidRPr="00705FD2" w:rsidRDefault="004543E0" w:rsidP="007E3239">
            <w:pPr>
              <w:pStyle w:val="TableText"/>
              <w:spacing w:before="40" w:after="40"/>
              <w:jc w:val="center"/>
              <w:rPr>
                <w:rFonts w:cs="Calibri"/>
                <w:szCs w:val="16"/>
              </w:rPr>
            </w:pPr>
            <w:r w:rsidRPr="00705FD2">
              <w:rPr>
                <w:rFonts w:cs="Calibri"/>
                <w:szCs w:val="16"/>
              </w:rPr>
              <w:t>9.6</w:t>
            </w:r>
          </w:p>
        </w:tc>
        <w:tc>
          <w:tcPr>
            <w:tcW w:w="205" w:type="pct"/>
            <w:tcBorders>
              <w:left w:val="single" w:sz="4" w:space="0" w:color="365F91"/>
              <w:right w:val="single" w:sz="4" w:space="0" w:color="365F91"/>
            </w:tcBorders>
          </w:tcPr>
          <w:p w14:paraId="3F7B7B94" w14:textId="77777777" w:rsidR="004543E0" w:rsidRPr="00705FD2" w:rsidRDefault="004543E0" w:rsidP="007E3239">
            <w:pPr>
              <w:pStyle w:val="TableText"/>
              <w:spacing w:before="40" w:after="40"/>
              <w:rPr>
                <w:rFonts w:cs="Calibri"/>
                <w:bCs/>
                <w:szCs w:val="16"/>
              </w:rPr>
            </w:pPr>
          </w:p>
        </w:tc>
        <w:tc>
          <w:tcPr>
            <w:tcW w:w="580" w:type="pct"/>
            <w:tcBorders>
              <w:top w:val="single" w:sz="4" w:space="0" w:color="365F91"/>
              <w:left w:val="single" w:sz="4" w:space="0" w:color="365F91"/>
              <w:bottom w:val="single" w:sz="4" w:space="0" w:color="365F91"/>
            </w:tcBorders>
            <w:noWrap/>
          </w:tcPr>
          <w:p w14:paraId="7F40B002" w14:textId="77777777" w:rsidR="004543E0" w:rsidRPr="00705FD2" w:rsidRDefault="004543E0" w:rsidP="007E3239">
            <w:pPr>
              <w:pStyle w:val="TableText"/>
              <w:spacing w:before="40" w:after="40"/>
              <w:rPr>
                <w:rFonts w:cs="Calibri"/>
                <w:szCs w:val="16"/>
              </w:rPr>
            </w:pPr>
            <w:r w:rsidRPr="00705FD2">
              <w:rPr>
                <w:rFonts w:cs="Calibri"/>
                <w:szCs w:val="16"/>
              </w:rPr>
              <w:t>2011</w:t>
            </w:r>
          </w:p>
        </w:tc>
        <w:tc>
          <w:tcPr>
            <w:tcW w:w="941" w:type="pct"/>
            <w:tcBorders>
              <w:top w:val="single" w:sz="4" w:space="0" w:color="365F91"/>
              <w:bottom w:val="single" w:sz="4" w:space="0" w:color="365F91"/>
            </w:tcBorders>
            <w:noWrap/>
          </w:tcPr>
          <w:p w14:paraId="6FAD355C" w14:textId="77777777" w:rsidR="004543E0" w:rsidRPr="00705FD2" w:rsidRDefault="004543E0" w:rsidP="007E3239">
            <w:pPr>
              <w:pStyle w:val="TableText"/>
              <w:spacing w:before="40" w:after="40"/>
              <w:jc w:val="center"/>
              <w:rPr>
                <w:rFonts w:cs="Calibri"/>
                <w:szCs w:val="16"/>
              </w:rPr>
            </w:pPr>
            <w:r w:rsidRPr="00705FD2">
              <w:rPr>
                <w:rFonts w:cs="Calibri"/>
                <w:szCs w:val="16"/>
              </w:rPr>
              <w:t>12.3</w:t>
            </w:r>
          </w:p>
        </w:tc>
        <w:tc>
          <w:tcPr>
            <w:tcW w:w="844" w:type="pct"/>
            <w:tcBorders>
              <w:top w:val="single" w:sz="4" w:space="0" w:color="365F91"/>
              <w:bottom w:val="single" w:sz="4" w:space="0" w:color="365F91"/>
            </w:tcBorders>
          </w:tcPr>
          <w:p w14:paraId="62E4F558" w14:textId="77777777" w:rsidR="004543E0" w:rsidRPr="00705FD2" w:rsidRDefault="004543E0" w:rsidP="007E3239">
            <w:pPr>
              <w:pStyle w:val="TableText"/>
              <w:spacing w:before="40" w:after="40"/>
              <w:jc w:val="center"/>
              <w:rPr>
                <w:rFonts w:cs="Calibri"/>
                <w:szCs w:val="16"/>
              </w:rPr>
            </w:pPr>
            <w:r w:rsidRPr="00705FD2">
              <w:rPr>
                <w:rFonts w:cs="Calibri"/>
                <w:szCs w:val="16"/>
              </w:rPr>
              <w:t>11.0</w:t>
            </w:r>
          </w:p>
        </w:tc>
      </w:tr>
      <w:tr w:rsidR="004543E0" w:rsidRPr="00705FD2" w14:paraId="53A99395" w14:textId="77777777" w:rsidTr="00705FD2">
        <w:tc>
          <w:tcPr>
            <w:tcW w:w="547" w:type="pct"/>
            <w:tcBorders>
              <w:top w:val="single" w:sz="4" w:space="0" w:color="365F91"/>
              <w:bottom w:val="single" w:sz="4" w:space="0" w:color="365F91"/>
            </w:tcBorders>
            <w:shd w:val="clear" w:color="auto" w:fill="auto"/>
            <w:noWrap/>
          </w:tcPr>
          <w:p w14:paraId="4BC76B6C" w14:textId="77777777" w:rsidR="004543E0" w:rsidRPr="00705FD2" w:rsidRDefault="004543E0" w:rsidP="007E3239">
            <w:pPr>
              <w:pStyle w:val="TableText"/>
              <w:spacing w:before="40" w:after="40"/>
              <w:rPr>
                <w:rFonts w:cs="Calibri"/>
                <w:szCs w:val="16"/>
              </w:rPr>
            </w:pPr>
            <w:r w:rsidRPr="00705FD2">
              <w:rPr>
                <w:rFonts w:cs="Calibri"/>
                <w:szCs w:val="16"/>
              </w:rPr>
              <w:t>1996</w:t>
            </w:r>
          </w:p>
        </w:tc>
        <w:tc>
          <w:tcPr>
            <w:tcW w:w="941" w:type="pct"/>
            <w:tcBorders>
              <w:top w:val="single" w:sz="4" w:space="0" w:color="365F91"/>
              <w:bottom w:val="single" w:sz="4" w:space="0" w:color="365F91"/>
            </w:tcBorders>
            <w:noWrap/>
          </w:tcPr>
          <w:p w14:paraId="3C70E108" w14:textId="77777777" w:rsidR="004543E0" w:rsidRPr="00705FD2" w:rsidRDefault="004543E0" w:rsidP="007E3239">
            <w:pPr>
              <w:pStyle w:val="TableText"/>
              <w:spacing w:before="40" w:after="40"/>
              <w:jc w:val="center"/>
              <w:rPr>
                <w:rFonts w:cs="Calibri"/>
                <w:szCs w:val="16"/>
              </w:rPr>
            </w:pPr>
            <w:r w:rsidRPr="00705FD2">
              <w:rPr>
                <w:rFonts w:cs="Calibri"/>
                <w:szCs w:val="16"/>
              </w:rPr>
              <w:t>11.1</w:t>
            </w:r>
          </w:p>
        </w:tc>
        <w:tc>
          <w:tcPr>
            <w:tcW w:w="941" w:type="pct"/>
            <w:tcBorders>
              <w:top w:val="single" w:sz="4" w:space="0" w:color="365F91"/>
              <w:bottom w:val="single" w:sz="4" w:space="0" w:color="365F91"/>
              <w:right w:val="single" w:sz="4" w:space="0" w:color="365F91"/>
            </w:tcBorders>
            <w:noWrap/>
          </w:tcPr>
          <w:p w14:paraId="5175BEBB" w14:textId="77777777" w:rsidR="004543E0" w:rsidRPr="00705FD2" w:rsidRDefault="004543E0" w:rsidP="007E3239">
            <w:pPr>
              <w:pStyle w:val="TableText"/>
              <w:spacing w:before="40" w:after="40"/>
              <w:jc w:val="center"/>
              <w:rPr>
                <w:rFonts w:cs="Calibri"/>
                <w:szCs w:val="16"/>
              </w:rPr>
            </w:pPr>
            <w:r w:rsidRPr="00705FD2">
              <w:rPr>
                <w:rFonts w:cs="Calibri"/>
                <w:szCs w:val="16"/>
              </w:rPr>
              <w:t>9.8</w:t>
            </w:r>
          </w:p>
        </w:tc>
        <w:tc>
          <w:tcPr>
            <w:tcW w:w="205" w:type="pct"/>
            <w:tcBorders>
              <w:left w:val="single" w:sz="4" w:space="0" w:color="365F91"/>
              <w:right w:val="single" w:sz="4" w:space="0" w:color="365F91"/>
            </w:tcBorders>
          </w:tcPr>
          <w:p w14:paraId="2D22E912" w14:textId="77777777" w:rsidR="004543E0" w:rsidRPr="00705FD2" w:rsidRDefault="004543E0" w:rsidP="007E3239">
            <w:pPr>
              <w:pStyle w:val="TableText"/>
              <w:spacing w:before="40" w:after="40"/>
              <w:rPr>
                <w:rFonts w:cs="Calibri"/>
                <w:bCs/>
                <w:szCs w:val="16"/>
              </w:rPr>
            </w:pPr>
          </w:p>
        </w:tc>
        <w:tc>
          <w:tcPr>
            <w:tcW w:w="580" w:type="pct"/>
            <w:tcBorders>
              <w:top w:val="single" w:sz="4" w:space="0" w:color="365F91"/>
              <w:left w:val="single" w:sz="4" w:space="0" w:color="365F91"/>
              <w:bottom w:val="single" w:sz="4" w:space="0" w:color="365F91"/>
            </w:tcBorders>
            <w:noWrap/>
          </w:tcPr>
          <w:p w14:paraId="2F5428EA" w14:textId="77777777" w:rsidR="004543E0" w:rsidRPr="00705FD2" w:rsidRDefault="004543E0" w:rsidP="007E3239">
            <w:pPr>
              <w:pStyle w:val="TableText"/>
              <w:spacing w:before="40" w:after="40"/>
              <w:rPr>
                <w:rFonts w:cs="Calibri"/>
                <w:szCs w:val="16"/>
              </w:rPr>
            </w:pPr>
            <w:r w:rsidRPr="00705FD2">
              <w:rPr>
                <w:rFonts w:cs="Calibri"/>
                <w:szCs w:val="16"/>
              </w:rPr>
              <w:t>2012</w:t>
            </w:r>
          </w:p>
        </w:tc>
        <w:tc>
          <w:tcPr>
            <w:tcW w:w="941" w:type="pct"/>
            <w:tcBorders>
              <w:top w:val="single" w:sz="4" w:space="0" w:color="365F91"/>
              <w:bottom w:val="single" w:sz="4" w:space="0" w:color="365F91"/>
            </w:tcBorders>
            <w:noWrap/>
          </w:tcPr>
          <w:p w14:paraId="4AB25686" w14:textId="77777777" w:rsidR="004543E0" w:rsidRPr="00705FD2" w:rsidRDefault="004543E0" w:rsidP="007E3239">
            <w:pPr>
              <w:pStyle w:val="TableText"/>
              <w:spacing w:before="40" w:after="40"/>
              <w:jc w:val="center"/>
              <w:rPr>
                <w:rFonts w:cs="Calibri"/>
                <w:szCs w:val="16"/>
              </w:rPr>
            </w:pPr>
            <w:r w:rsidRPr="00705FD2">
              <w:rPr>
                <w:rFonts w:cs="Calibri"/>
                <w:szCs w:val="16"/>
              </w:rPr>
              <w:t>12.3</w:t>
            </w:r>
          </w:p>
        </w:tc>
        <w:tc>
          <w:tcPr>
            <w:tcW w:w="844" w:type="pct"/>
            <w:tcBorders>
              <w:top w:val="single" w:sz="4" w:space="0" w:color="365F91"/>
              <w:bottom w:val="single" w:sz="4" w:space="0" w:color="365F91"/>
            </w:tcBorders>
          </w:tcPr>
          <w:p w14:paraId="36AE3164" w14:textId="77777777" w:rsidR="004543E0" w:rsidRPr="00705FD2" w:rsidRDefault="004543E0" w:rsidP="007E3239">
            <w:pPr>
              <w:pStyle w:val="TableText"/>
              <w:spacing w:before="40" w:after="40"/>
              <w:jc w:val="center"/>
              <w:rPr>
                <w:rFonts w:cs="Calibri"/>
                <w:szCs w:val="16"/>
              </w:rPr>
            </w:pPr>
            <w:r w:rsidRPr="00705FD2">
              <w:rPr>
                <w:rFonts w:cs="Calibri"/>
                <w:szCs w:val="16"/>
              </w:rPr>
              <w:t>11.0</w:t>
            </w:r>
          </w:p>
        </w:tc>
      </w:tr>
      <w:tr w:rsidR="004543E0" w:rsidRPr="00705FD2" w14:paraId="50DEF485" w14:textId="77777777" w:rsidTr="00705FD2">
        <w:tc>
          <w:tcPr>
            <w:tcW w:w="547" w:type="pct"/>
            <w:tcBorders>
              <w:top w:val="single" w:sz="4" w:space="0" w:color="365F91"/>
              <w:bottom w:val="single" w:sz="4" w:space="0" w:color="365F91"/>
            </w:tcBorders>
            <w:shd w:val="clear" w:color="auto" w:fill="auto"/>
            <w:noWrap/>
          </w:tcPr>
          <w:p w14:paraId="2B8F9532" w14:textId="77777777" w:rsidR="004543E0" w:rsidRPr="00705FD2" w:rsidRDefault="004543E0" w:rsidP="007E3239">
            <w:pPr>
              <w:pStyle w:val="TableText"/>
              <w:spacing w:before="40" w:after="40"/>
              <w:rPr>
                <w:rFonts w:cs="Calibri"/>
                <w:szCs w:val="16"/>
              </w:rPr>
            </w:pPr>
            <w:r w:rsidRPr="00705FD2">
              <w:rPr>
                <w:rFonts w:cs="Calibri"/>
                <w:szCs w:val="16"/>
              </w:rPr>
              <w:t>1997</w:t>
            </w:r>
          </w:p>
        </w:tc>
        <w:tc>
          <w:tcPr>
            <w:tcW w:w="941" w:type="pct"/>
            <w:tcBorders>
              <w:top w:val="single" w:sz="4" w:space="0" w:color="365F91"/>
              <w:bottom w:val="single" w:sz="4" w:space="0" w:color="365F91"/>
            </w:tcBorders>
            <w:noWrap/>
          </w:tcPr>
          <w:p w14:paraId="3E5B5F61" w14:textId="77777777" w:rsidR="004543E0" w:rsidRPr="00705FD2" w:rsidRDefault="004543E0" w:rsidP="007E3239">
            <w:pPr>
              <w:pStyle w:val="TableText"/>
              <w:spacing w:before="40" w:after="40"/>
              <w:jc w:val="center"/>
              <w:rPr>
                <w:rFonts w:cs="Calibri"/>
                <w:szCs w:val="16"/>
              </w:rPr>
            </w:pPr>
            <w:r w:rsidRPr="00705FD2">
              <w:rPr>
                <w:rFonts w:cs="Calibri"/>
                <w:szCs w:val="16"/>
              </w:rPr>
              <w:t>11.2</w:t>
            </w:r>
          </w:p>
        </w:tc>
        <w:tc>
          <w:tcPr>
            <w:tcW w:w="941" w:type="pct"/>
            <w:tcBorders>
              <w:top w:val="single" w:sz="4" w:space="0" w:color="365F91"/>
              <w:bottom w:val="single" w:sz="4" w:space="0" w:color="365F91"/>
              <w:right w:val="single" w:sz="4" w:space="0" w:color="365F91"/>
            </w:tcBorders>
            <w:noWrap/>
          </w:tcPr>
          <w:p w14:paraId="5266D944" w14:textId="77777777" w:rsidR="004543E0" w:rsidRPr="00705FD2" w:rsidRDefault="004543E0" w:rsidP="007E3239">
            <w:pPr>
              <w:pStyle w:val="TableText"/>
              <w:spacing w:before="40" w:after="40"/>
              <w:jc w:val="center"/>
              <w:rPr>
                <w:rFonts w:cs="Calibri"/>
                <w:szCs w:val="16"/>
              </w:rPr>
            </w:pPr>
            <w:r w:rsidRPr="00705FD2">
              <w:rPr>
                <w:rFonts w:cs="Calibri"/>
                <w:szCs w:val="16"/>
              </w:rPr>
              <w:t>9.9</w:t>
            </w:r>
          </w:p>
        </w:tc>
        <w:tc>
          <w:tcPr>
            <w:tcW w:w="205" w:type="pct"/>
            <w:tcBorders>
              <w:left w:val="single" w:sz="4" w:space="0" w:color="365F91"/>
              <w:right w:val="single" w:sz="4" w:space="0" w:color="365F91"/>
            </w:tcBorders>
          </w:tcPr>
          <w:p w14:paraId="4EA9D50D" w14:textId="77777777" w:rsidR="004543E0" w:rsidRPr="00705FD2" w:rsidRDefault="004543E0" w:rsidP="007E3239">
            <w:pPr>
              <w:pStyle w:val="TableText"/>
              <w:spacing w:before="40" w:after="40"/>
              <w:rPr>
                <w:rFonts w:cs="Calibri"/>
                <w:bCs/>
                <w:szCs w:val="16"/>
              </w:rPr>
            </w:pPr>
          </w:p>
        </w:tc>
        <w:tc>
          <w:tcPr>
            <w:tcW w:w="580" w:type="pct"/>
            <w:tcBorders>
              <w:top w:val="single" w:sz="4" w:space="0" w:color="365F91"/>
              <w:left w:val="single" w:sz="4" w:space="0" w:color="365F91"/>
              <w:bottom w:val="single" w:sz="4" w:space="0" w:color="365F91"/>
            </w:tcBorders>
            <w:noWrap/>
          </w:tcPr>
          <w:p w14:paraId="645F3B46" w14:textId="77777777" w:rsidR="004543E0" w:rsidRPr="00705FD2" w:rsidRDefault="004543E0" w:rsidP="007E3239">
            <w:pPr>
              <w:pStyle w:val="TableText"/>
              <w:spacing w:before="40" w:after="40"/>
              <w:rPr>
                <w:rFonts w:cs="Calibri"/>
                <w:szCs w:val="16"/>
              </w:rPr>
            </w:pPr>
            <w:r w:rsidRPr="00705FD2">
              <w:rPr>
                <w:rFonts w:cs="Calibri"/>
                <w:szCs w:val="16"/>
              </w:rPr>
              <w:t>2013</w:t>
            </w:r>
          </w:p>
        </w:tc>
        <w:tc>
          <w:tcPr>
            <w:tcW w:w="941" w:type="pct"/>
            <w:tcBorders>
              <w:top w:val="single" w:sz="4" w:space="0" w:color="365F91"/>
              <w:bottom w:val="single" w:sz="4" w:space="0" w:color="365F91"/>
            </w:tcBorders>
            <w:noWrap/>
          </w:tcPr>
          <w:p w14:paraId="3471C752" w14:textId="77777777" w:rsidR="004543E0" w:rsidRPr="00705FD2" w:rsidRDefault="004543E0" w:rsidP="007E3239">
            <w:pPr>
              <w:pStyle w:val="TableText"/>
              <w:spacing w:before="40" w:after="40"/>
              <w:jc w:val="center"/>
              <w:rPr>
                <w:rFonts w:cs="Calibri"/>
                <w:szCs w:val="16"/>
              </w:rPr>
            </w:pPr>
            <w:r w:rsidRPr="00705FD2">
              <w:rPr>
                <w:rFonts w:cs="Calibri"/>
                <w:szCs w:val="16"/>
              </w:rPr>
              <w:t>12.4</w:t>
            </w:r>
          </w:p>
        </w:tc>
        <w:tc>
          <w:tcPr>
            <w:tcW w:w="844" w:type="pct"/>
            <w:tcBorders>
              <w:top w:val="single" w:sz="4" w:space="0" w:color="365F91"/>
              <w:bottom w:val="single" w:sz="4" w:space="0" w:color="365F91"/>
            </w:tcBorders>
          </w:tcPr>
          <w:p w14:paraId="0BF854EE" w14:textId="77777777" w:rsidR="004543E0" w:rsidRPr="00705FD2" w:rsidRDefault="004543E0" w:rsidP="007E3239">
            <w:pPr>
              <w:pStyle w:val="TableText"/>
              <w:spacing w:before="40" w:after="40"/>
              <w:jc w:val="center"/>
              <w:rPr>
                <w:rFonts w:cs="Calibri"/>
                <w:szCs w:val="16"/>
              </w:rPr>
            </w:pPr>
            <w:r w:rsidRPr="00705FD2">
              <w:rPr>
                <w:rFonts w:cs="Calibri"/>
                <w:szCs w:val="16"/>
              </w:rPr>
              <w:t>11.1</w:t>
            </w:r>
          </w:p>
        </w:tc>
      </w:tr>
      <w:tr w:rsidR="004543E0" w:rsidRPr="00705FD2" w14:paraId="6BD4CE01" w14:textId="77777777" w:rsidTr="00705FD2">
        <w:tc>
          <w:tcPr>
            <w:tcW w:w="547" w:type="pct"/>
            <w:tcBorders>
              <w:top w:val="single" w:sz="4" w:space="0" w:color="365F91"/>
              <w:bottom w:val="single" w:sz="4" w:space="0" w:color="365F91"/>
            </w:tcBorders>
            <w:shd w:val="clear" w:color="auto" w:fill="auto"/>
            <w:noWrap/>
          </w:tcPr>
          <w:p w14:paraId="145765CA" w14:textId="77777777" w:rsidR="004543E0" w:rsidRPr="00705FD2" w:rsidRDefault="004543E0" w:rsidP="007E3239">
            <w:pPr>
              <w:pStyle w:val="TableText"/>
              <w:spacing w:before="40" w:after="40"/>
              <w:rPr>
                <w:rFonts w:cs="Calibri"/>
                <w:szCs w:val="16"/>
              </w:rPr>
            </w:pPr>
            <w:r w:rsidRPr="00705FD2">
              <w:rPr>
                <w:rFonts w:cs="Calibri"/>
                <w:szCs w:val="16"/>
              </w:rPr>
              <w:t>1998</w:t>
            </w:r>
          </w:p>
        </w:tc>
        <w:tc>
          <w:tcPr>
            <w:tcW w:w="941" w:type="pct"/>
            <w:tcBorders>
              <w:top w:val="single" w:sz="4" w:space="0" w:color="365F91"/>
              <w:bottom w:val="single" w:sz="4" w:space="0" w:color="365F91"/>
            </w:tcBorders>
            <w:noWrap/>
          </w:tcPr>
          <w:p w14:paraId="77E8B731" w14:textId="77777777" w:rsidR="004543E0" w:rsidRPr="00705FD2" w:rsidRDefault="004543E0" w:rsidP="007E3239">
            <w:pPr>
              <w:pStyle w:val="TableText"/>
              <w:spacing w:before="40" w:after="40"/>
              <w:jc w:val="center"/>
              <w:rPr>
                <w:rFonts w:cs="Calibri"/>
                <w:szCs w:val="16"/>
              </w:rPr>
            </w:pPr>
            <w:r w:rsidRPr="00705FD2">
              <w:rPr>
                <w:rFonts w:cs="Calibri"/>
                <w:szCs w:val="16"/>
              </w:rPr>
              <w:t>11.2</w:t>
            </w:r>
          </w:p>
        </w:tc>
        <w:tc>
          <w:tcPr>
            <w:tcW w:w="941" w:type="pct"/>
            <w:tcBorders>
              <w:top w:val="single" w:sz="4" w:space="0" w:color="365F91"/>
              <w:bottom w:val="single" w:sz="4" w:space="0" w:color="365F91"/>
              <w:right w:val="single" w:sz="4" w:space="0" w:color="365F91"/>
            </w:tcBorders>
            <w:noWrap/>
          </w:tcPr>
          <w:p w14:paraId="35C8D793" w14:textId="77777777" w:rsidR="004543E0" w:rsidRPr="00705FD2" w:rsidRDefault="004543E0" w:rsidP="007E3239">
            <w:pPr>
              <w:pStyle w:val="TableText"/>
              <w:spacing w:before="40" w:after="40"/>
              <w:jc w:val="center"/>
              <w:rPr>
                <w:rFonts w:cs="Calibri"/>
                <w:szCs w:val="16"/>
              </w:rPr>
            </w:pPr>
            <w:r w:rsidRPr="00705FD2">
              <w:rPr>
                <w:rFonts w:cs="Calibri"/>
                <w:szCs w:val="16"/>
              </w:rPr>
              <w:t>9.9</w:t>
            </w:r>
          </w:p>
        </w:tc>
        <w:tc>
          <w:tcPr>
            <w:tcW w:w="205" w:type="pct"/>
            <w:tcBorders>
              <w:left w:val="single" w:sz="4" w:space="0" w:color="365F91"/>
              <w:right w:val="single" w:sz="4" w:space="0" w:color="365F91"/>
            </w:tcBorders>
          </w:tcPr>
          <w:p w14:paraId="7502F725" w14:textId="77777777" w:rsidR="004543E0" w:rsidRPr="00705FD2" w:rsidRDefault="004543E0" w:rsidP="007E3239">
            <w:pPr>
              <w:pStyle w:val="TableText"/>
              <w:spacing w:before="40" w:after="40"/>
              <w:rPr>
                <w:rFonts w:cs="Calibri"/>
                <w:bCs/>
                <w:szCs w:val="16"/>
              </w:rPr>
            </w:pPr>
          </w:p>
        </w:tc>
        <w:tc>
          <w:tcPr>
            <w:tcW w:w="580" w:type="pct"/>
            <w:tcBorders>
              <w:top w:val="single" w:sz="4" w:space="0" w:color="365F91"/>
              <w:left w:val="single" w:sz="4" w:space="0" w:color="365F91"/>
              <w:bottom w:val="single" w:sz="4" w:space="0" w:color="365F91"/>
            </w:tcBorders>
            <w:noWrap/>
          </w:tcPr>
          <w:p w14:paraId="0DD030FE" w14:textId="77777777" w:rsidR="004543E0" w:rsidRPr="00705FD2" w:rsidRDefault="004543E0" w:rsidP="007E3239">
            <w:pPr>
              <w:pStyle w:val="TableText"/>
              <w:spacing w:before="40" w:after="40"/>
              <w:rPr>
                <w:rFonts w:cs="Calibri"/>
                <w:szCs w:val="16"/>
              </w:rPr>
            </w:pPr>
            <w:r w:rsidRPr="00705FD2">
              <w:rPr>
                <w:rFonts w:cs="Calibri"/>
                <w:szCs w:val="16"/>
              </w:rPr>
              <w:t>2014</w:t>
            </w:r>
          </w:p>
        </w:tc>
        <w:tc>
          <w:tcPr>
            <w:tcW w:w="941" w:type="pct"/>
            <w:tcBorders>
              <w:top w:val="single" w:sz="4" w:space="0" w:color="365F91"/>
              <w:bottom w:val="single" w:sz="4" w:space="0" w:color="365F91"/>
            </w:tcBorders>
            <w:noWrap/>
          </w:tcPr>
          <w:p w14:paraId="06F43F24" w14:textId="77777777" w:rsidR="004543E0" w:rsidRPr="00705FD2" w:rsidRDefault="004543E0" w:rsidP="007E3239">
            <w:pPr>
              <w:pStyle w:val="TableText"/>
              <w:spacing w:before="40" w:after="40"/>
              <w:jc w:val="center"/>
              <w:rPr>
                <w:rFonts w:cs="Calibri"/>
                <w:szCs w:val="16"/>
              </w:rPr>
            </w:pPr>
            <w:r w:rsidRPr="00705FD2">
              <w:rPr>
                <w:rFonts w:cs="Calibri"/>
                <w:szCs w:val="16"/>
              </w:rPr>
              <w:t>12.5</w:t>
            </w:r>
          </w:p>
        </w:tc>
        <w:tc>
          <w:tcPr>
            <w:tcW w:w="844" w:type="pct"/>
            <w:tcBorders>
              <w:top w:val="single" w:sz="4" w:space="0" w:color="365F91"/>
              <w:bottom w:val="single" w:sz="4" w:space="0" w:color="365F91"/>
            </w:tcBorders>
          </w:tcPr>
          <w:p w14:paraId="63270AC3" w14:textId="77777777" w:rsidR="004543E0" w:rsidRPr="00705FD2" w:rsidRDefault="004543E0" w:rsidP="007E3239">
            <w:pPr>
              <w:pStyle w:val="TableText"/>
              <w:spacing w:before="40" w:after="40"/>
              <w:jc w:val="center"/>
              <w:rPr>
                <w:rFonts w:cs="Calibri"/>
                <w:szCs w:val="16"/>
              </w:rPr>
            </w:pPr>
            <w:r w:rsidRPr="00705FD2">
              <w:rPr>
                <w:rFonts w:cs="Calibri"/>
                <w:szCs w:val="16"/>
              </w:rPr>
              <w:t>11.3</w:t>
            </w:r>
          </w:p>
        </w:tc>
      </w:tr>
      <w:tr w:rsidR="004543E0" w:rsidRPr="00705FD2" w14:paraId="446B7D64" w14:textId="77777777" w:rsidTr="00705FD2">
        <w:tc>
          <w:tcPr>
            <w:tcW w:w="547" w:type="pct"/>
            <w:tcBorders>
              <w:top w:val="single" w:sz="4" w:space="0" w:color="365F91"/>
              <w:bottom w:val="single" w:sz="4" w:space="0" w:color="365F91"/>
            </w:tcBorders>
            <w:shd w:val="clear" w:color="auto" w:fill="auto"/>
            <w:noWrap/>
          </w:tcPr>
          <w:p w14:paraId="5DEFDD2B" w14:textId="77777777" w:rsidR="004543E0" w:rsidRPr="00705FD2" w:rsidRDefault="004543E0" w:rsidP="007E3239">
            <w:pPr>
              <w:pStyle w:val="TableText"/>
              <w:spacing w:before="40" w:after="40"/>
              <w:rPr>
                <w:rFonts w:cs="Calibri"/>
                <w:szCs w:val="16"/>
              </w:rPr>
            </w:pPr>
            <w:r w:rsidRPr="00705FD2">
              <w:rPr>
                <w:rFonts w:cs="Calibri"/>
                <w:szCs w:val="16"/>
              </w:rPr>
              <w:t>1999</w:t>
            </w:r>
          </w:p>
        </w:tc>
        <w:tc>
          <w:tcPr>
            <w:tcW w:w="941" w:type="pct"/>
            <w:tcBorders>
              <w:top w:val="single" w:sz="4" w:space="0" w:color="365F91"/>
              <w:bottom w:val="single" w:sz="4" w:space="0" w:color="365F91"/>
            </w:tcBorders>
            <w:noWrap/>
          </w:tcPr>
          <w:p w14:paraId="5604AE89" w14:textId="77777777" w:rsidR="004543E0" w:rsidRPr="00705FD2" w:rsidRDefault="004543E0" w:rsidP="007E3239">
            <w:pPr>
              <w:pStyle w:val="TableText"/>
              <w:spacing w:before="40" w:after="40"/>
              <w:jc w:val="center"/>
              <w:rPr>
                <w:rFonts w:cs="Calibri"/>
                <w:szCs w:val="16"/>
              </w:rPr>
            </w:pPr>
            <w:r w:rsidRPr="00705FD2">
              <w:rPr>
                <w:rFonts w:cs="Calibri"/>
                <w:szCs w:val="16"/>
              </w:rPr>
              <w:t>11.3</w:t>
            </w:r>
          </w:p>
        </w:tc>
        <w:tc>
          <w:tcPr>
            <w:tcW w:w="941" w:type="pct"/>
            <w:tcBorders>
              <w:top w:val="single" w:sz="4" w:space="0" w:color="365F91"/>
              <w:bottom w:val="single" w:sz="4" w:space="0" w:color="365F91"/>
              <w:right w:val="single" w:sz="4" w:space="0" w:color="365F91"/>
            </w:tcBorders>
            <w:noWrap/>
          </w:tcPr>
          <w:p w14:paraId="0CA89789" w14:textId="77777777" w:rsidR="004543E0" w:rsidRPr="00705FD2" w:rsidRDefault="004543E0" w:rsidP="007E3239">
            <w:pPr>
              <w:pStyle w:val="TableText"/>
              <w:spacing w:before="40" w:after="40"/>
              <w:jc w:val="center"/>
              <w:rPr>
                <w:rFonts w:cs="Calibri"/>
                <w:szCs w:val="16"/>
              </w:rPr>
            </w:pPr>
            <w:r w:rsidRPr="00705FD2">
              <w:rPr>
                <w:rFonts w:cs="Calibri"/>
                <w:szCs w:val="16"/>
              </w:rPr>
              <w:t>9.9</w:t>
            </w:r>
          </w:p>
        </w:tc>
        <w:tc>
          <w:tcPr>
            <w:tcW w:w="205" w:type="pct"/>
            <w:tcBorders>
              <w:left w:val="single" w:sz="4" w:space="0" w:color="365F91"/>
              <w:right w:val="single" w:sz="4" w:space="0" w:color="365F91"/>
            </w:tcBorders>
          </w:tcPr>
          <w:p w14:paraId="3ACA2D79" w14:textId="77777777" w:rsidR="004543E0" w:rsidRPr="00705FD2" w:rsidRDefault="004543E0" w:rsidP="007E3239">
            <w:pPr>
              <w:pStyle w:val="TableText"/>
              <w:spacing w:before="40" w:after="40"/>
              <w:rPr>
                <w:rFonts w:cs="Calibri"/>
                <w:bCs/>
                <w:szCs w:val="16"/>
              </w:rPr>
            </w:pPr>
          </w:p>
        </w:tc>
        <w:tc>
          <w:tcPr>
            <w:tcW w:w="580" w:type="pct"/>
            <w:tcBorders>
              <w:top w:val="single" w:sz="4" w:space="0" w:color="365F91"/>
              <w:left w:val="single" w:sz="4" w:space="0" w:color="365F91"/>
              <w:bottom w:val="single" w:sz="4" w:space="0" w:color="365F91"/>
            </w:tcBorders>
            <w:noWrap/>
          </w:tcPr>
          <w:p w14:paraId="793F5877" w14:textId="77777777" w:rsidR="004543E0" w:rsidRPr="00705FD2" w:rsidRDefault="004543E0" w:rsidP="007E3239">
            <w:pPr>
              <w:pStyle w:val="TableText"/>
              <w:spacing w:before="40" w:after="40"/>
              <w:rPr>
                <w:rFonts w:cs="Calibri"/>
                <w:szCs w:val="16"/>
              </w:rPr>
            </w:pPr>
            <w:r w:rsidRPr="00705FD2">
              <w:rPr>
                <w:rFonts w:cs="Calibri"/>
                <w:szCs w:val="16"/>
              </w:rPr>
              <w:t>2015</w:t>
            </w:r>
          </w:p>
        </w:tc>
        <w:tc>
          <w:tcPr>
            <w:tcW w:w="941" w:type="pct"/>
            <w:tcBorders>
              <w:top w:val="single" w:sz="4" w:space="0" w:color="365F91"/>
              <w:bottom w:val="single" w:sz="4" w:space="0" w:color="365F91"/>
            </w:tcBorders>
            <w:noWrap/>
          </w:tcPr>
          <w:p w14:paraId="0E31C173" w14:textId="77777777" w:rsidR="004543E0" w:rsidRPr="00705FD2" w:rsidRDefault="004543E0" w:rsidP="007E3239">
            <w:pPr>
              <w:pStyle w:val="TableText"/>
              <w:spacing w:before="40" w:after="40"/>
              <w:jc w:val="center"/>
              <w:rPr>
                <w:rFonts w:cs="Calibri"/>
                <w:szCs w:val="16"/>
              </w:rPr>
            </w:pPr>
            <w:r w:rsidRPr="00705FD2">
              <w:rPr>
                <w:rFonts w:cs="Calibri"/>
                <w:szCs w:val="16"/>
              </w:rPr>
              <w:t>12.6</w:t>
            </w:r>
          </w:p>
        </w:tc>
        <w:tc>
          <w:tcPr>
            <w:tcW w:w="844" w:type="pct"/>
            <w:tcBorders>
              <w:top w:val="single" w:sz="4" w:space="0" w:color="365F91"/>
              <w:bottom w:val="single" w:sz="4" w:space="0" w:color="365F91"/>
            </w:tcBorders>
          </w:tcPr>
          <w:p w14:paraId="25D701C4" w14:textId="77777777" w:rsidR="004543E0" w:rsidRPr="00705FD2" w:rsidRDefault="004543E0" w:rsidP="007E3239">
            <w:pPr>
              <w:pStyle w:val="TableText"/>
              <w:spacing w:before="40" w:after="40"/>
              <w:jc w:val="center"/>
              <w:rPr>
                <w:rFonts w:cs="Calibri"/>
                <w:szCs w:val="16"/>
              </w:rPr>
            </w:pPr>
            <w:r w:rsidRPr="00705FD2">
              <w:rPr>
                <w:rFonts w:cs="Calibri"/>
                <w:szCs w:val="16"/>
              </w:rPr>
              <w:t>11.4</w:t>
            </w:r>
          </w:p>
        </w:tc>
      </w:tr>
      <w:tr w:rsidR="004543E0" w:rsidRPr="00705FD2" w14:paraId="7260CD18" w14:textId="77777777" w:rsidTr="00705FD2">
        <w:tc>
          <w:tcPr>
            <w:tcW w:w="547" w:type="pct"/>
            <w:tcBorders>
              <w:top w:val="single" w:sz="4" w:space="0" w:color="365F91"/>
              <w:bottom w:val="single" w:sz="4" w:space="0" w:color="365F91"/>
            </w:tcBorders>
            <w:shd w:val="clear" w:color="auto" w:fill="auto"/>
            <w:noWrap/>
          </w:tcPr>
          <w:p w14:paraId="6AB64037" w14:textId="77777777" w:rsidR="004543E0" w:rsidRPr="00705FD2" w:rsidRDefault="004543E0" w:rsidP="007E3239">
            <w:pPr>
              <w:pStyle w:val="TableText"/>
              <w:spacing w:before="40" w:after="40"/>
              <w:rPr>
                <w:rFonts w:cs="Calibri"/>
                <w:szCs w:val="16"/>
              </w:rPr>
            </w:pPr>
            <w:r w:rsidRPr="00705FD2">
              <w:rPr>
                <w:rFonts w:cs="Calibri"/>
                <w:szCs w:val="16"/>
              </w:rPr>
              <w:t>2000</w:t>
            </w:r>
          </w:p>
        </w:tc>
        <w:tc>
          <w:tcPr>
            <w:tcW w:w="941" w:type="pct"/>
            <w:tcBorders>
              <w:top w:val="single" w:sz="4" w:space="0" w:color="365F91"/>
              <w:bottom w:val="single" w:sz="4" w:space="0" w:color="365F91"/>
            </w:tcBorders>
            <w:noWrap/>
          </w:tcPr>
          <w:p w14:paraId="6CCA647B" w14:textId="77777777" w:rsidR="004543E0" w:rsidRPr="00705FD2" w:rsidRDefault="004543E0" w:rsidP="007E3239">
            <w:pPr>
              <w:pStyle w:val="TableText"/>
              <w:spacing w:before="40" w:after="40"/>
              <w:jc w:val="center"/>
              <w:rPr>
                <w:rFonts w:cs="Calibri"/>
                <w:szCs w:val="16"/>
              </w:rPr>
            </w:pPr>
            <w:r w:rsidRPr="00705FD2">
              <w:rPr>
                <w:rFonts w:cs="Calibri"/>
                <w:szCs w:val="16"/>
              </w:rPr>
              <w:t>11.4</w:t>
            </w:r>
          </w:p>
        </w:tc>
        <w:tc>
          <w:tcPr>
            <w:tcW w:w="941" w:type="pct"/>
            <w:tcBorders>
              <w:top w:val="single" w:sz="4" w:space="0" w:color="365F91"/>
              <w:bottom w:val="single" w:sz="4" w:space="0" w:color="365F91"/>
              <w:right w:val="single" w:sz="4" w:space="0" w:color="365F91"/>
            </w:tcBorders>
            <w:noWrap/>
          </w:tcPr>
          <w:p w14:paraId="2B7DAF1B" w14:textId="77777777" w:rsidR="004543E0" w:rsidRPr="00705FD2" w:rsidRDefault="004543E0" w:rsidP="007E3239">
            <w:pPr>
              <w:pStyle w:val="TableText"/>
              <w:spacing w:before="40" w:after="40"/>
              <w:jc w:val="center"/>
              <w:rPr>
                <w:rFonts w:cs="Calibri"/>
                <w:szCs w:val="16"/>
              </w:rPr>
            </w:pPr>
            <w:r w:rsidRPr="00705FD2">
              <w:rPr>
                <w:rFonts w:cs="Calibri"/>
                <w:szCs w:val="16"/>
              </w:rPr>
              <w:t>10.2</w:t>
            </w:r>
          </w:p>
        </w:tc>
        <w:tc>
          <w:tcPr>
            <w:tcW w:w="205" w:type="pct"/>
            <w:tcBorders>
              <w:left w:val="single" w:sz="4" w:space="0" w:color="365F91"/>
              <w:right w:val="single" w:sz="4" w:space="0" w:color="365F91"/>
            </w:tcBorders>
          </w:tcPr>
          <w:p w14:paraId="0FB3725B" w14:textId="77777777" w:rsidR="004543E0" w:rsidRPr="00705FD2" w:rsidRDefault="004543E0" w:rsidP="007E3239">
            <w:pPr>
              <w:pStyle w:val="TableText"/>
              <w:spacing w:before="40" w:after="40"/>
              <w:rPr>
                <w:rFonts w:cs="Calibri"/>
                <w:bCs/>
                <w:szCs w:val="16"/>
              </w:rPr>
            </w:pPr>
          </w:p>
        </w:tc>
        <w:tc>
          <w:tcPr>
            <w:tcW w:w="580" w:type="pct"/>
            <w:tcBorders>
              <w:top w:val="single" w:sz="4" w:space="0" w:color="365F91"/>
              <w:left w:val="single" w:sz="4" w:space="0" w:color="365F91"/>
              <w:bottom w:val="single" w:sz="4" w:space="0" w:color="365F91"/>
            </w:tcBorders>
            <w:noWrap/>
          </w:tcPr>
          <w:p w14:paraId="7236D4D6" w14:textId="77777777" w:rsidR="004543E0" w:rsidRPr="00705FD2" w:rsidRDefault="004543E0" w:rsidP="007E3239">
            <w:pPr>
              <w:pStyle w:val="TableText"/>
              <w:spacing w:before="40" w:after="40"/>
              <w:rPr>
                <w:rFonts w:cs="Calibri"/>
                <w:szCs w:val="16"/>
              </w:rPr>
            </w:pPr>
            <w:r w:rsidRPr="00705FD2">
              <w:rPr>
                <w:rFonts w:cs="Calibri"/>
                <w:szCs w:val="16"/>
              </w:rPr>
              <w:t>2016</w:t>
            </w:r>
          </w:p>
        </w:tc>
        <w:tc>
          <w:tcPr>
            <w:tcW w:w="941" w:type="pct"/>
            <w:tcBorders>
              <w:top w:val="single" w:sz="4" w:space="0" w:color="365F91"/>
              <w:bottom w:val="single" w:sz="4" w:space="0" w:color="365F91"/>
            </w:tcBorders>
            <w:noWrap/>
          </w:tcPr>
          <w:p w14:paraId="3C901665" w14:textId="77777777" w:rsidR="004543E0" w:rsidRPr="00705FD2" w:rsidRDefault="004543E0" w:rsidP="007E3239">
            <w:pPr>
              <w:pStyle w:val="TableText"/>
              <w:spacing w:before="40" w:after="40"/>
              <w:jc w:val="center"/>
              <w:rPr>
                <w:rFonts w:cs="Calibri"/>
                <w:szCs w:val="16"/>
              </w:rPr>
            </w:pPr>
            <w:r w:rsidRPr="00705FD2">
              <w:rPr>
                <w:rFonts w:cs="Calibri"/>
                <w:szCs w:val="16"/>
              </w:rPr>
              <w:t>12.7</w:t>
            </w:r>
          </w:p>
        </w:tc>
        <w:tc>
          <w:tcPr>
            <w:tcW w:w="844" w:type="pct"/>
            <w:tcBorders>
              <w:top w:val="single" w:sz="4" w:space="0" w:color="365F91"/>
              <w:bottom w:val="single" w:sz="4" w:space="0" w:color="365F91"/>
            </w:tcBorders>
          </w:tcPr>
          <w:p w14:paraId="7EB7F5E2" w14:textId="77777777" w:rsidR="004543E0" w:rsidRPr="00705FD2" w:rsidRDefault="004543E0" w:rsidP="007E3239">
            <w:pPr>
              <w:pStyle w:val="TableText"/>
              <w:spacing w:before="40" w:after="40"/>
              <w:jc w:val="center"/>
              <w:rPr>
                <w:rFonts w:cs="Calibri"/>
                <w:szCs w:val="16"/>
              </w:rPr>
            </w:pPr>
            <w:r w:rsidRPr="00705FD2">
              <w:rPr>
                <w:rFonts w:cs="Calibri"/>
                <w:szCs w:val="16"/>
              </w:rPr>
              <w:t>11.3</w:t>
            </w:r>
          </w:p>
        </w:tc>
      </w:tr>
      <w:tr w:rsidR="004543E0" w:rsidRPr="00705FD2" w14:paraId="0865A3C4" w14:textId="77777777" w:rsidTr="00705FD2">
        <w:tc>
          <w:tcPr>
            <w:tcW w:w="547" w:type="pct"/>
            <w:tcBorders>
              <w:top w:val="single" w:sz="4" w:space="0" w:color="365F91"/>
              <w:bottom w:val="single" w:sz="4" w:space="0" w:color="365F91"/>
            </w:tcBorders>
            <w:shd w:val="clear" w:color="auto" w:fill="auto"/>
            <w:noWrap/>
          </w:tcPr>
          <w:p w14:paraId="06A90470" w14:textId="77777777" w:rsidR="004543E0" w:rsidRPr="00705FD2" w:rsidRDefault="004543E0" w:rsidP="007E3239">
            <w:pPr>
              <w:pStyle w:val="TableText"/>
              <w:spacing w:before="40" w:after="40"/>
              <w:rPr>
                <w:rFonts w:cs="Calibri"/>
                <w:szCs w:val="16"/>
              </w:rPr>
            </w:pPr>
            <w:r w:rsidRPr="00705FD2">
              <w:rPr>
                <w:rFonts w:cs="Calibri"/>
                <w:szCs w:val="16"/>
              </w:rPr>
              <w:t>2001</w:t>
            </w:r>
          </w:p>
        </w:tc>
        <w:tc>
          <w:tcPr>
            <w:tcW w:w="941" w:type="pct"/>
            <w:tcBorders>
              <w:top w:val="single" w:sz="4" w:space="0" w:color="365F91"/>
              <w:bottom w:val="single" w:sz="4" w:space="0" w:color="365F91"/>
            </w:tcBorders>
            <w:noWrap/>
          </w:tcPr>
          <w:p w14:paraId="1D1BF3C3" w14:textId="77777777" w:rsidR="004543E0" w:rsidRPr="00705FD2" w:rsidRDefault="004543E0" w:rsidP="007E3239">
            <w:pPr>
              <w:pStyle w:val="TableText"/>
              <w:spacing w:before="40" w:after="40"/>
              <w:jc w:val="center"/>
              <w:rPr>
                <w:rFonts w:cs="Calibri"/>
                <w:szCs w:val="16"/>
              </w:rPr>
            </w:pPr>
            <w:r w:rsidRPr="00705FD2">
              <w:rPr>
                <w:rFonts w:cs="Calibri"/>
                <w:szCs w:val="16"/>
              </w:rPr>
              <w:t>11.5</w:t>
            </w:r>
          </w:p>
        </w:tc>
        <w:tc>
          <w:tcPr>
            <w:tcW w:w="941" w:type="pct"/>
            <w:tcBorders>
              <w:top w:val="single" w:sz="4" w:space="0" w:color="365F91"/>
              <w:bottom w:val="single" w:sz="4" w:space="0" w:color="365F91"/>
              <w:right w:val="single" w:sz="4" w:space="0" w:color="365F91"/>
            </w:tcBorders>
            <w:noWrap/>
          </w:tcPr>
          <w:p w14:paraId="546346B9" w14:textId="77777777" w:rsidR="004543E0" w:rsidRPr="00705FD2" w:rsidRDefault="004543E0" w:rsidP="007E3239">
            <w:pPr>
              <w:pStyle w:val="TableText"/>
              <w:spacing w:before="40" w:after="40"/>
              <w:jc w:val="center"/>
              <w:rPr>
                <w:rFonts w:cs="Calibri"/>
                <w:szCs w:val="16"/>
              </w:rPr>
            </w:pPr>
            <w:r w:rsidRPr="00705FD2">
              <w:rPr>
                <w:rFonts w:cs="Calibri"/>
                <w:szCs w:val="16"/>
              </w:rPr>
              <w:t>10.5</w:t>
            </w:r>
          </w:p>
        </w:tc>
        <w:tc>
          <w:tcPr>
            <w:tcW w:w="205" w:type="pct"/>
            <w:tcBorders>
              <w:left w:val="single" w:sz="4" w:space="0" w:color="365F91"/>
              <w:right w:val="single" w:sz="4" w:space="0" w:color="365F91"/>
            </w:tcBorders>
          </w:tcPr>
          <w:p w14:paraId="7F9CFA99" w14:textId="77777777" w:rsidR="004543E0" w:rsidRPr="00705FD2" w:rsidRDefault="004543E0" w:rsidP="007E3239">
            <w:pPr>
              <w:pStyle w:val="TableText"/>
              <w:spacing w:before="40" w:after="40"/>
              <w:rPr>
                <w:rFonts w:cs="Calibri"/>
                <w:bCs/>
                <w:szCs w:val="16"/>
              </w:rPr>
            </w:pPr>
          </w:p>
        </w:tc>
        <w:tc>
          <w:tcPr>
            <w:tcW w:w="580" w:type="pct"/>
            <w:tcBorders>
              <w:top w:val="single" w:sz="4" w:space="0" w:color="365F91"/>
              <w:left w:val="single" w:sz="4" w:space="0" w:color="365F91"/>
              <w:bottom w:val="single" w:sz="4" w:space="0" w:color="365F91"/>
            </w:tcBorders>
            <w:noWrap/>
          </w:tcPr>
          <w:p w14:paraId="4446C627" w14:textId="77777777" w:rsidR="004543E0" w:rsidRPr="00705FD2" w:rsidRDefault="004543E0" w:rsidP="007E3239">
            <w:pPr>
              <w:pStyle w:val="TableText"/>
              <w:spacing w:before="40" w:after="40"/>
              <w:rPr>
                <w:rFonts w:cs="Calibri"/>
                <w:szCs w:val="16"/>
              </w:rPr>
            </w:pPr>
            <w:r w:rsidRPr="00705FD2">
              <w:rPr>
                <w:rFonts w:cs="Calibri"/>
                <w:szCs w:val="16"/>
              </w:rPr>
              <w:t>2017</w:t>
            </w:r>
          </w:p>
        </w:tc>
        <w:tc>
          <w:tcPr>
            <w:tcW w:w="941" w:type="pct"/>
            <w:tcBorders>
              <w:top w:val="single" w:sz="4" w:space="0" w:color="365F91"/>
              <w:bottom w:val="single" w:sz="4" w:space="0" w:color="365F91"/>
            </w:tcBorders>
            <w:noWrap/>
          </w:tcPr>
          <w:p w14:paraId="6A2CA8B2" w14:textId="77777777" w:rsidR="004543E0" w:rsidRPr="00705FD2" w:rsidRDefault="004543E0" w:rsidP="007E3239">
            <w:pPr>
              <w:pStyle w:val="TableText"/>
              <w:spacing w:before="40" w:after="40"/>
              <w:jc w:val="center"/>
              <w:rPr>
                <w:rFonts w:cs="Calibri"/>
                <w:szCs w:val="16"/>
              </w:rPr>
            </w:pPr>
            <w:r w:rsidRPr="00705FD2">
              <w:rPr>
                <w:rFonts w:cs="Calibri"/>
                <w:szCs w:val="16"/>
              </w:rPr>
              <w:t>12.8</w:t>
            </w:r>
          </w:p>
        </w:tc>
        <w:tc>
          <w:tcPr>
            <w:tcW w:w="844" w:type="pct"/>
            <w:tcBorders>
              <w:top w:val="single" w:sz="4" w:space="0" w:color="365F91"/>
              <w:bottom w:val="single" w:sz="4" w:space="0" w:color="365F91"/>
            </w:tcBorders>
          </w:tcPr>
          <w:p w14:paraId="4E50AF65" w14:textId="77777777" w:rsidR="004543E0" w:rsidRPr="00705FD2" w:rsidRDefault="004543E0" w:rsidP="007E3239">
            <w:pPr>
              <w:pStyle w:val="TableText"/>
              <w:spacing w:before="40" w:after="40"/>
              <w:jc w:val="center"/>
              <w:rPr>
                <w:rFonts w:cs="Calibri"/>
                <w:szCs w:val="16"/>
              </w:rPr>
            </w:pPr>
            <w:r w:rsidRPr="00705FD2">
              <w:rPr>
                <w:rFonts w:cs="Calibri"/>
                <w:szCs w:val="16"/>
              </w:rPr>
              <w:t>11.3</w:t>
            </w:r>
          </w:p>
        </w:tc>
      </w:tr>
      <w:tr w:rsidR="004543E0" w:rsidRPr="00705FD2" w14:paraId="07D52550" w14:textId="77777777" w:rsidTr="00705FD2">
        <w:tc>
          <w:tcPr>
            <w:tcW w:w="547" w:type="pct"/>
            <w:tcBorders>
              <w:top w:val="single" w:sz="4" w:space="0" w:color="365F91"/>
              <w:bottom w:val="single" w:sz="4" w:space="0" w:color="365F91"/>
            </w:tcBorders>
            <w:shd w:val="clear" w:color="auto" w:fill="auto"/>
            <w:noWrap/>
          </w:tcPr>
          <w:p w14:paraId="3E484329" w14:textId="77777777" w:rsidR="004543E0" w:rsidRPr="00705FD2" w:rsidRDefault="004543E0" w:rsidP="007E3239">
            <w:pPr>
              <w:pStyle w:val="TableText"/>
              <w:spacing w:before="40" w:after="40"/>
              <w:rPr>
                <w:rFonts w:cs="Calibri"/>
                <w:szCs w:val="16"/>
              </w:rPr>
            </w:pPr>
            <w:r w:rsidRPr="00705FD2">
              <w:rPr>
                <w:rFonts w:cs="Calibri"/>
                <w:szCs w:val="16"/>
              </w:rPr>
              <w:t>2002</w:t>
            </w:r>
          </w:p>
        </w:tc>
        <w:tc>
          <w:tcPr>
            <w:tcW w:w="941" w:type="pct"/>
            <w:tcBorders>
              <w:top w:val="single" w:sz="4" w:space="0" w:color="365F91"/>
              <w:bottom w:val="single" w:sz="4" w:space="0" w:color="365F91"/>
            </w:tcBorders>
            <w:noWrap/>
          </w:tcPr>
          <w:p w14:paraId="75455522" w14:textId="77777777" w:rsidR="004543E0" w:rsidRPr="00705FD2" w:rsidRDefault="004543E0" w:rsidP="007E3239">
            <w:pPr>
              <w:pStyle w:val="TableText"/>
              <w:spacing w:before="40" w:after="40"/>
              <w:jc w:val="center"/>
              <w:rPr>
                <w:rFonts w:cs="Calibri"/>
                <w:szCs w:val="16"/>
              </w:rPr>
            </w:pPr>
            <w:r w:rsidRPr="00705FD2">
              <w:rPr>
                <w:rFonts w:cs="Calibri"/>
                <w:szCs w:val="16"/>
              </w:rPr>
              <w:t>11.5</w:t>
            </w:r>
          </w:p>
        </w:tc>
        <w:tc>
          <w:tcPr>
            <w:tcW w:w="941" w:type="pct"/>
            <w:tcBorders>
              <w:top w:val="single" w:sz="4" w:space="0" w:color="365F91"/>
              <w:bottom w:val="single" w:sz="4" w:space="0" w:color="365F91"/>
              <w:right w:val="single" w:sz="4" w:space="0" w:color="365F91"/>
            </w:tcBorders>
            <w:noWrap/>
          </w:tcPr>
          <w:p w14:paraId="7FDFE000" w14:textId="77777777" w:rsidR="004543E0" w:rsidRPr="00705FD2" w:rsidRDefault="004543E0" w:rsidP="007E3239">
            <w:pPr>
              <w:pStyle w:val="TableText"/>
              <w:spacing w:before="40" w:after="40"/>
              <w:jc w:val="center"/>
              <w:rPr>
                <w:rFonts w:cs="Calibri"/>
                <w:szCs w:val="16"/>
              </w:rPr>
            </w:pPr>
            <w:r w:rsidRPr="00705FD2">
              <w:rPr>
                <w:rFonts w:cs="Calibri"/>
                <w:szCs w:val="16"/>
              </w:rPr>
              <w:t>10.2</w:t>
            </w:r>
          </w:p>
        </w:tc>
        <w:tc>
          <w:tcPr>
            <w:tcW w:w="205" w:type="pct"/>
            <w:tcBorders>
              <w:left w:val="single" w:sz="4" w:space="0" w:color="365F91"/>
              <w:right w:val="single" w:sz="4" w:space="0" w:color="365F91"/>
            </w:tcBorders>
          </w:tcPr>
          <w:p w14:paraId="4AA15A82" w14:textId="77777777" w:rsidR="004543E0" w:rsidRPr="00705FD2" w:rsidRDefault="004543E0" w:rsidP="007E3239">
            <w:pPr>
              <w:pStyle w:val="TableText"/>
              <w:spacing w:before="40" w:after="40"/>
              <w:rPr>
                <w:rFonts w:cs="Calibri"/>
                <w:bCs/>
                <w:szCs w:val="16"/>
              </w:rPr>
            </w:pPr>
          </w:p>
        </w:tc>
        <w:tc>
          <w:tcPr>
            <w:tcW w:w="580" w:type="pct"/>
            <w:tcBorders>
              <w:top w:val="single" w:sz="4" w:space="0" w:color="365F91"/>
              <w:left w:val="single" w:sz="4" w:space="0" w:color="365F91"/>
              <w:bottom w:val="single" w:sz="4" w:space="0" w:color="365F91"/>
            </w:tcBorders>
            <w:noWrap/>
          </w:tcPr>
          <w:p w14:paraId="2B1A0678" w14:textId="77777777" w:rsidR="004543E0" w:rsidRPr="00705FD2" w:rsidRDefault="004543E0" w:rsidP="007E3239">
            <w:pPr>
              <w:pStyle w:val="TableText"/>
              <w:spacing w:before="40" w:after="40"/>
              <w:rPr>
                <w:rFonts w:cs="Calibri"/>
                <w:szCs w:val="16"/>
              </w:rPr>
            </w:pPr>
            <w:r w:rsidRPr="00705FD2">
              <w:rPr>
                <w:rFonts w:cs="Calibri"/>
                <w:szCs w:val="16"/>
              </w:rPr>
              <w:t>2018</w:t>
            </w:r>
          </w:p>
        </w:tc>
        <w:tc>
          <w:tcPr>
            <w:tcW w:w="941" w:type="pct"/>
            <w:tcBorders>
              <w:top w:val="single" w:sz="4" w:space="0" w:color="365F91"/>
              <w:bottom w:val="single" w:sz="4" w:space="0" w:color="365F91"/>
            </w:tcBorders>
            <w:noWrap/>
          </w:tcPr>
          <w:p w14:paraId="2076E9E2" w14:textId="77777777" w:rsidR="004543E0" w:rsidRPr="00705FD2" w:rsidRDefault="004543E0" w:rsidP="007E3239">
            <w:pPr>
              <w:pStyle w:val="TableText"/>
              <w:spacing w:before="40" w:after="40"/>
              <w:jc w:val="center"/>
              <w:rPr>
                <w:rFonts w:cs="Calibri"/>
                <w:szCs w:val="16"/>
              </w:rPr>
            </w:pPr>
            <w:r w:rsidRPr="00705FD2">
              <w:rPr>
                <w:rFonts w:cs="Calibri"/>
                <w:szCs w:val="16"/>
              </w:rPr>
              <w:t>12.7</w:t>
            </w:r>
          </w:p>
        </w:tc>
        <w:tc>
          <w:tcPr>
            <w:tcW w:w="844" w:type="pct"/>
            <w:tcBorders>
              <w:top w:val="single" w:sz="4" w:space="0" w:color="365F91"/>
              <w:bottom w:val="single" w:sz="4" w:space="0" w:color="365F91"/>
            </w:tcBorders>
          </w:tcPr>
          <w:p w14:paraId="0CF7571A" w14:textId="77777777" w:rsidR="004543E0" w:rsidRPr="00705FD2" w:rsidRDefault="004543E0" w:rsidP="007E3239">
            <w:pPr>
              <w:pStyle w:val="TableText"/>
              <w:spacing w:before="40" w:after="40"/>
              <w:jc w:val="center"/>
              <w:rPr>
                <w:rFonts w:cs="Calibri"/>
                <w:szCs w:val="16"/>
              </w:rPr>
            </w:pPr>
            <w:r w:rsidRPr="00705FD2">
              <w:rPr>
                <w:rFonts w:cs="Calibri"/>
                <w:szCs w:val="16"/>
              </w:rPr>
              <w:t>11.4</w:t>
            </w:r>
          </w:p>
        </w:tc>
      </w:tr>
      <w:tr w:rsidR="004543E0" w:rsidRPr="00705FD2" w14:paraId="51388158" w14:textId="77777777" w:rsidTr="00705FD2">
        <w:tc>
          <w:tcPr>
            <w:tcW w:w="547" w:type="pct"/>
            <w:tcBorders>
              <w:top w:val="single" w:sz="4" w:space="0" w:color="365F91"/>
              <w:bottom w:val="single" w:sz="4" w:space="0" w:color="365F91"/>
            </w:tcBorders>
            <w:shd w:val="clear" w:color="auto" w:fill="auto"/>
            <w:noWrap/>
          </w:tcPr>
          <w:p w14:paraId="17052FA1" w14:textId="77777777" w:rsidR="004543E0" w:rsidRPr="00705FD2" w:rsidRDefault="004543E0" w:rsidP="007E3239">
            <w:pPr>
              <w:pStyle w:val="TableText"/>
              <w:spacing w:before="40" w:after="40"/>
              <w:rPr>
                <w:rFonts w:cs="Calibri"/>
                <w:szCs w:val="16"/>
              </w:rPr>
            </w:pPr>
            <w:r w:rsidRPr="00705FD2">
              <w:rPr>
                <w:rFonts w:cs="Calibri"/>
                <w:szCs w:val="16"/>
              </w:rPr>
              <w:t>2003</w:t>
            </w:r>
          </w:p>
        </w:tc>
        <w:tc>
          <w:tcPr>
            <w:tcW w:w="941" w:type="pct"/>
            <w:tcBorders>
              <w:top w:val="single" w:sz="4" w:space="0" w:color="365F91"/>
              <w:bottom w:val="single" w:sz="4" w:space="0" w:color="365F91"/>
            </w:tcBorders>
            <w:noWrap/>
          </w:tcPr>
          <w:p w14:paraId="3D00E47E" w14:textId="77777777" w:rsidR="004543E0" w:rsidRPr="00705FD2" w:rsidRDefault="004543E0" w:rsidP="007E3239">
            <w:pPr>
              <w:pStyle w:val="TableText"/>
              <w:spacing w:before="40" w:after="40"/>
              <w:jc w:val="center"/>
              <w:rPr>
                <w:rFonts w:cs="Calibri"/>
                <w:szCs w:val="16"/>
              </w:rPr>
            </w:pPr>
            <w:r w:rsidRPr="00705FD2">
              <w:rPr>
                <w:rFonts w:cs="Calibri"/>
                <w:szCs w:val="16"/>
              </w:rPr>
              <w:t>11.6</w:t>
            </w:r>
          </w:p>
        </w:tc>
        <w:tc>
          <w:tcPr>
            <w:tcW w:w="941" w:type="pct"/>
            <w:tcBorders>
              <w:top w:val="single" w:sz="4" w:space="0" w:color="365F91"/>
              <w:bottom w:val="single" w:sz="4" w:space="0" w:color="365F91"/>
              <w:right w:val="single" w:sz="4" w:space="0" w:color="365F91"/>
            </w:tcBorders>
            <w:noWrap/>
          </w:tcPr>
          <w:p w14:paraId="664A87AB" w14:textId="77777777" w:rsidR="004543E0" w:rsidRPr="00705FD2" w:rsidRDefault="004543E0" w:rsidP="007E3239">
            <w:pPr>
              <w:pStyle w:val="TableText"/>
              <w:spacing w:before="40" w:after="40"/>
              <w:jc w:val="center"/>
              <w:rPr>
                <w:rFonts w:cs="Calibri"/>
                <w:szCs w:val="16"/>
              </w:rPr>
            </w:pPr>
            <w:r w:rsidRPr="00705FD2">
              <w:rPr>
                <w:rFonts w:cs="Calibri"/>
                <w:szCs w:val="16"/>
              </w:rPr>
              <w:t>10.1</w:t>
            </w:r>
          </w:p>
        </w:tc>
        <w:tc>
          <w:tcPr>
            <w:tcW w:w="205" w:type="pct"/>
            <w:tcBorders>
              <w:left w:val="single" w:sz="4" w:space="0" w:color="365F91"/>
              <w:right w:val="single" w:sz="4" w:space="0" w:color="365F91"/>
            </w:tcBorders>
          </w:tcPr>
          <w:p w14:paraId="5443996A" w14:textId="77777777" w:rsidR="004543E0" w:rsidRPr="00705FD2" w:rsidRDefault="004543E0" w:rsidP="007E3239">
            <w:pPr>
              <w:pStyle w:val="TableText"/>
              <w:spacing w:before="40" w:after="40"/>
              <w:rPr>
                <w:rFonts w:cs="Calibri"/>
                <w:bCs/>
                <w:szCs w:val="16"/>
              </w:rPr>
            </w:pPr>
          </w:p>
        </w:tc>
        <w:tc>
          <w:tcPr>
            <w:tcW w:w="580" w:type="pct"/>
            <w:tcBorders>
              <w:top w:val="single" w:sz="4" w:space="0" w:color="365F91"/>
              <w:left w:val="single" w:sz="4" w:space="0" w:color="365F91"/>
              <w:bottom w:val="single" w:sz="4" w:space="0" w:color="365F91"/>
            </w:tcBorders>
            <w:noWrap/>
          </w:tcPr>
          <w:p w14:paraId="40615FBC" w14:textId="77777777" w:rsidR="004543E0" w:rsidRPr="00705FD2" w:rsidRDefault="004543E0" w:rsidP="007E3239">
            <w:pPr>
              <w:pStyle w:val="TableText"/>
              <w:spacing w:before="40" w:after="40"/>
              <w:rPr>
                <w:rFonts w:cs="Calibri"/>
                <w:szCs w:val="16"/>
              </w:rPr>
            </w:pPr>
            <w:r w:rsidRPr="00705FD2">
              <w:rPr>
                <w:rFonts w:cs="Calibri"/>
                <w:szCs w:val="16"/>
              </w:rPr>
              <w:t>2019</w:t>
            </w:r>
          </w:p>
        </w:tc>
        <w:tc>
          <w:tcPr>
            <w:tcW w:w="941" w:type="pct"/>
            <w:tcBorders>
              <w:top w:val="single" w:sz="4" w:space="0" w:color="365F91"/>
              <w:bottom w:val="single" w:sz="4" w:space="0" w:color="365F91"/>
            </w:tcBorders>
            <w:noWrap/>
          </w:tcPr>
          <w:p w14:paraId="72A27C2C" w14:textId="77777777" w:rsidR="004543E0" w:rsidRPr="00705FD2" w:rsidRDefault="004543E0" w:rsidP="007E3239">
            <w:pPr>
              <w:pStyle w:val="TableText"/>
              <w:spacing w:before="40" w:after="40"/>
              <w:jc w:val="center"/>
              <w:rPr>
                <w:rFonts w:cs="Calibri"/>
                <w:szCs w:val="16"/>
              </w:rPr>
            </w:pPr>
            <w:r w:rsidRPr="00705FD2">
              <w:rPr>
                <w:rFonts w:cs="Calibri"/>
                <w:szCs w:val="16"/>
              </w:rPr>
              <w:t>12.7</w:t>
            </w:r>
          </w:p>
        </w:tc>
        <w:tc>
          <w:tcPr>
            <w:tcW w:w="844" w:type="pct"/>
            <w:tcBorders>
              <w:top w:val="single" w:sz="4" w:space="0" w:color="365F91"/>
              <w:bottom w:val="single" w:sz="4" w:space="0" w:color="365F91"/>
            </w:tcBorders>
          </w:tcPr>
          <w:p w14:paraId="5E828BC2" w14:textId="77777777" w:rsidR="004543E0" w:rsidRPr="00705FD2" w:rsidRDefault="004543E0" w:rsidP="007E3239">
            <w:pPr>
              <w:pStyle w:val="TableText"/>
              <w:spacing w:before="40" w:after="40"/>
              <w:jc w:val="center"/>
              <w:rPr>
                <w:rFonts w:cs="Calibri"/>
                <w:szCs w:val="16"/>
              </w:rPr>
            </w:pPr>
            <w:r w:rsidRPr="00705FD2">
              <w:rPr>
                <w:rFonts w:cs="Calibri"/>
                <w:szCs w:val="16"/>
              </w:rPr>
              <w:t>11.3</w:t>
            </w:r>
          </w:p>
        </w:tc>
      </w:tr>
      <w:tr w:rsidR="004543E0" w:rsidRPr="00705FD2" w14:paraId="7E51C5D5" w14:textId="77777777" w:rsidTr="00705FD2">
        <w:tc>
          <w:tcPr>
            <w:tcW w:w="547" w:type="pct"/>
            <w:tcBorders>
              <w:top w:val="single" w:sz="4" w:space="0" w:color="365F91"/>
              <w:bottom w:val="single" w:sz="4" w:space="0" w:color="365F91"/>
            </w:tcBorders>
            <w:shd w:val="clear" w:color="auto" w:fill="auto"/>
            <w:noWrap/>
          </w:tcPr>
          <w:p w14:paraId="7FC6EE12" w14:textId="77777777" w:rsidR="004543E0" w:rsidRPr="00705FD2" w:rsidRDefault="004543E0" w:rsidP="007E3239">
            <w:pPr>
              <w:pStyle w:val="TableText"/>
              <w:spacing w:before="40" w:after="40"/>
              <w:rPr>
                <w:rFonts w:cs="Calibri"/>
                <w:szCs w:val="16"/>
              </w:rPr>
            </w:pPr>
            <w:r w:rsidRPr="00705FD2">
              <w:rPr>
                <w:rFonts w:cs="Calibri"/>
                <w:szCs w:val="16"/>
              </w:rPr>
              <w:t>2004</w:t>
            </w:r>
          </w:p>
        </w:tc>
        <w:tc>
          <w:tcPr>
            <w:tcW w:w="941" w:type="pct"/>
            <w:tcBorders>
              <w:top w:val="single" w:sz="4" w:space="0" w:color="365F91"/>
              <w:bottom w:val="single" w:sz="4" w:space="0" w:color="365F91"/>
            </w:tcBorders>
            <w:noWrap/>
          </w:tcPr>
          <w:p w14:paraId="0DA83854" w14:textId="77777777" w:rsidR="004543E0" w:rsidRPr="00705FD2" w:rsidRDefault="004543E0" w:rsidP="007E3239">
            <w:pPr>
              <w:pStyle w:val="TableText"/>
              <w:spacing w:before="40" w:after="40"/>
              <w:jc w:val="center"/>
              <w:rPr>
                <w:rFonts w:cs="Calibri"/>
                <w:szCs w:val="16"/>
              </w:rPr>
            </w:pPr>
            <w:r w:rsidRPr="00705FD2">
              <w:rPr>
                <w:rFonts w:cs="Calibri"/>
                <w:szCs w:val="16"/>
              </w:rPr>
              <w:t>11.7</w:t>
            </w:r>
          </w:p>
        </w:tc>
        <w:tc>
          <w:tcPr>
            <w:tcW w:w="941" w:type="pct"/>
            <w:tcBorders>
              <w:top w:val="single" w:sz="4" w:space="0" w:color="365F91"/>
              <w:bottom w:val="single" w:sz="4" w:space="0" w:color="365F91"/>
              <w:right w:val="single" w:sz="4" w:space="0" w:color="365F91"/>
            </w:tcBorders>
            <w:noWrap/>
          </w:tcPr>
          <w:p w14:paraId="0985B7E0" w14:textId="77777777" w:rsidR="004543E0" w:rsidRPr="00705FD2" w:rsidRDefault="004543E0" w:rsidP="007E3239">
            <w:pPr>
              <w:pStyle w:val="TableText"/>
              <w:spacing w:before="40" w:after="40"/>
              <w:jc w:val="center"/>
              <w:rPr>
                <w:rFonts w:cs="Calibri"/>
                <w:szCs w:val="16"/>
              </w:rPr>
            </w:pPr>
            <w:r w:rsidRPr="00705FD2">
              <w:rPr>
                <w:rFonts w:cs="Calibri"/>
                <w:szCs w:val="16"/>
              </w:rPr>
              <w:t>10.5</w:t>
            </w:r>
          </w:p>
        </w:tc>
        <w:tc>
          <w:tcPr>
            <w:tcW w:w="205" w:type="pct"/>
            <w:tcBorders>
              <w:left w:val="single" w:sz="4" w:space="0" w:color="365F91"/>
              <w:right w:val="single" w:sz="4" w:space="0" w:color="365F91"/>
            </w:tcBorders>
          </w:tcPr>
          <w:p w14:paraId="69EBB92E" w14:textId="77777777" w:rsidR="004543E0" w:rsidRPr="00705FD2" w:rsidRDefault="004543E0" w:rsidP="007E3239">
            <w:pPr>
              <w:pStyle w:val="TableText"/>
              <w:spacing w:before="40" w:after="40"/>
              <w:rPr>
                <w:rFonts w:cs="Calibri"/>
                <w:bCs/>
                <w:szCs w:val="16"/>
              </w:rPr>
            </w:pPr>
          </w:p>
        </w:tc>
        <w:tc>
          <w:tcPr>
            <w:tcW w:w="580" w:type="pct"/>
            <w:tcBorders>
              <w:top w:val="single" w:sz="4" w:space="0" w:color="365F91"/>
              <w:left w:val="single" w:sz="4" w:space="0" w:color="365F91"/>
              <w:bottom w:val="single" w:sz="4" w:space="0" w:color="365F91"/>
            </w:tcBorders>
            <w:noWrap/>
          </w:tcPr>
          <w:p w14:paraId="132C0B61" w14:textId="77777777" w:rsidR="004543E0" w:rsidRPr="00705FD2" w:rsidRDefault="004543E0" w:rsidP="007E3239">
            <w:pPr>
              <w:pStyle w:val="TableText"/>
              <w:spacing w:before="40" w:after="40"/>
              <w:rPr>
                <w:rFonts w:cs="Calibri"/>
                <w:szCs w:val="16"/>
              </w:rPr>
            </w:pPr>
            <w:r w:rsidRPr="00705FD2">
              <w:rPr>
                <w:rFonts w:cs="Calibri"/>
                <w:szCs w:val="16"/>
              </w:rPr>
              <w:t>2020</w:t>
            </w:r>
          </w:p>
        </w:tc>
        <w:tc>
          <w:tcPr>
            <w:tcW w:w="941" w:type="pct"/>
            <w:tcBorders>
              <w:top w:val="single" w:sz="4" w:space="0" w:color="365F91"/>
              <w:bottom w:val="single" w:sz="4" w:space="0" w:color="365F91"/>
            </w:tcBorders>
            <w:noWrap/>
          </w:tcPr>
          <w:p w14:paraId="1BBD50C5" w14:textId="77777777" w:rsidR="004543E0" w:rsidRPr="00705FD2" w:rsidRDefault="004543E0" w:rsidP="007E3239">
            <w:pPr>
              <w:pStyle w:val="TableText"/>
              <w:spacing w:before="40" w:after="40"/>
              <w:jc w:val="center"/>
              <w:rPr>
                <w:rFonts w:cs="Calibri"/>
                <w:szCs w:val="16"/>
              </w:rPr>
            </w:pPr>
            <w:r w:rsidRPr="00705FD2">
              <w:rPr>
                <w:rFonts w:cs="Calibri"/>
                <w:szCs w:val="16"/>
              </w:rPr>
              <w:t>12.7</w:t>
            </w:r>
          </w:p>
        </w:tc>
        <w:tc>
          <w:tcPr>
            <w:tcW w:w="844" w:type="pct"/>
            <w:tcBorders>
              <w:top w:val="single" w:sz="4" w:space="0" w:color="365F91"/>
              <w:bottom w:val="single" w:sz="4" w:space="0" w:color="365F91"/>
            </w:tcBorders>
          </w:tcPr>
          <w:p w14:paraId="48D068D0" w14:textId="77777777" w:rsidR="004543E0" w:rsidRPr="00705FD2" w:rsidRDefault="004543E0" w:rsidP="007E3239">
            <w:pPr>
              <w:pStyle w:val="TableText"/>
              <w:spacing w:before="40" w:after="40"/>
              <w:jc w:val="center"/>
              <w:rPr>
                <w:rFonts w:cs="Calibri"/>
                <w:szCs w:val="16"/>
              </w:rPr>
            </w:pPr>
            <w:r w:rsidRPr="00705FD2">
              <w:rPr>
                <w:rFonts w:cs="Calibri"/>
                <w:szCs w:val="16"/>
              </w:rPr>
              <w:t>11.3</w:t>
            </w:r>
          </w:p>
        </w:tc>
      </w:tr>
      <w:tr w:rsidR="004543E0" w:rsidRPr="00705FD2" w14:paraId="2508F0C7" w14:textId="77777777" w:rsidTr="00705FD2">
        <w:tc>
          <w:tcPr>
            <w:tcW w:w="547" w:type="pct"/>
            <w:tcBorders>
              <w:top w:val="single" w:sz="4" w:space="0" w:color="365F91"/>
              <w:bottom w:val="single" w:sz="4" w:space="0" w:color="365F91"/>
            </w:tcBorders>
            <w:shd w:val="clear" w:color="auto" w:fill="auto"/>
            <w:noWrap/>
          </w:tcPr>
          <w:p w14:paraId="221F6727" w14:textId="77777777" w:rsidR="004543E0" w:rsidRPr="00705FD2" w:rsidRDefault="004543E0" w:rsidP="007E3239">
            <w:pPr>
              <w:pStyle w:val="TableText"/>
              <w:spacing w:before="40" w:after="40"/>
              <w:rPr>
                <w:rFonts w:cs="Calibri"/>
                <w:szCs w:val="16"/>
              </w:rPr>
            </w:pPr>
            <w:r w:rsidRPr="00705FD2">
              <w:rPr>
                <w:rFonts w:cs="Calibri"/>
                <w:szCs w:val="16"/>
              </w:rPr>
              <w:t>2005</w:t>
            </w:r>
          </w:p>
        </w:tc>
        <w:tc>
          <w:tcPr>
            <w:tcW w:w="941" w:type="pct"/>
            <w:tcBorders>
              <w:top w:val="single" w:sz="4" w:space="0" w:color="365F91"/>
              <w:bottom w:val="single" w:sz="4" w:space="0" w:color="365F91"/>
            </w:tcBorders>
            <w:noWrap/>
          </w:tcPr>
          <w:p w14:paraId="29C516DD" w14:textId="77777777" w:rsidR="004543E0" w:rsidRPr="00705FD2" w:rsidRDefault="004543E0" w:rsidP="007E3239">
            <w:pPr>
              <w:pStyle w:val="TableText"/>
              <w:spacing w:before="40" w:after="40"/>
              <w:jc w:val="center"/>
              <w:rPr>
                <w:rFonts w:cs="Calibri"/>
                <w:szCs w:val="16"/>
              </w:rPr>
            </w:pPr>
            <w:r w:rsidRPr="00705FD2">
              <w:rPr>
                <w:rFonts w:cs="Calibri"/>
                <w:szCs w:val="16"/>
              </w:rPr>
              <w:t>11.8</w:t>
            </w:r>
          </w:p>
        </w:tc>
        <w:tc>
          <w:tcPr>
            <w:tcW w:w="941" w:type="pct"/>
            <w:tcBorders>
              <w:top w:val="single" w:sz="4" w:space="0" w:color="365F91"/>
              <w:bottom w:val="single" w:sz="4" w:space="0" w:color="365F91"/>
              <w:right w:val="single" w:sz="4" w:space="0" w:color="365F91"/>
            </w:tcBorders>
            <w:noWrap/>
          </w:tcPr>
          <w:p w14:paraId="090AF202" w14:textId="77777777" w:rsidR="004543E0" w:rsidRPr="00705FD2" w:rsidRDefault="004543E0" w:rsidP="007E3239">
            <w:pPr>
              <w:pStyle w:val="TableText"/>
              <w:spacing w:before="40" w:after="40"/>
              <w:jc w:val="center"/>
              <w:rPr>
                <w:rFonts w:cs="Calibri"/>
                <w:szCs w:val="16"/>
              </w:rPr>
            </w:pPr>
            <w:r w:rsidRPr="00705FD2">
              <w:rPr>
                <w:rFonts w:cs="Calibri"/>
                <w:szCs w:val="16"/>
              </w:rPr>
              <w:t>10.6</w:t>
            </w:r>
          </w:p>
        </w:tc>
        <w:tc>
          <w:tcPr>
            <w:tcW w:w="205" w:type="pct"/>
            <w:tcBorders>
              <w:left w:val="single" w:sz="4" w:space="0" w:color="365F91"/>
              <w:right w:val="single" w:sz="4" w:space="0" w:color="365F91"/>
            </w:tcBorders>
          </w:tcPr>
          <w:p w14:paraId="03F2E26A" w14:textId="77777777" w:rsidR="004543E0" w:rsidRPr="00705FD2" w:rsidRDefault="004543E0" w:rsidP="007E3239">
            <w:pPr>
              <w:pStyle w:val="TableText"/>
              <w:spacing w:before="40" w:after="40"/>
              <w:rPr>
                <w:rFonts w:cs="Calibri"/>
                <w:bCs/>
                <w:szCs w:val="16"/>
              </w:rPr>
            </w:pPr>
          </w:p>
        </w:tc>
        <w:tc>
          <w:tcPr>
            <w:tcW w:w="580" w:type="pct"/>
            <w:tcBorders>
              <w:top w:val="single" w:sz="4" w:space="0" w:color="365F91"/>
              <w:left w:val="single" w:sz="4" w:space="0" w:color="365F91"/>
              <w:bottom w:val="single" w:sz="4" w:space="0" w:color="365F91"/>
            </w:tcBorders>
            <w:noWrap/>
          </w:tcPr>
          <w:p w14:paraId="17E4AC04" w14:textId="77777777" w:rsidR="004543E0" w:rsidRPr="00705FD2" w:rsidRDefault="004543E0" w:rsidP="007E3239">
            <w:pPr>
              <w:pStyle w:val="TableText"/>
              <w:spacing w:before="40" w:after="40"/>
              <w:rPr>
                <w:rFonts w:cs="Calibri"/>
                <w:szCs w:val="16"/>
              </w:rPr>
            </w:pPr>
          </w:p>
        </w:tc>
        <w:tc>
          <w:tcPr>
            <w:tcW w:w="941" w:type="pct"/>
            <w:tcBorders>
              <w:top w:val="single" w:sz="4" w:space="0" w:color="365F91"/>
              <w:bottom w:val="single" w:sz="4" w:space="0" w:color="365F91"/>
            </w:tcBorders>
            <w:noWrap/>
            <w:vAlign w:val="bottom"/>
          </w:tcPr>
          <w:p w14:paraId="3AA7CF13" w14:textId="77777777" w:rsidR="004543E0" w:rsidRPr="00705FD2" w:rsidRDefault="004543E0" w:rsidP="007E3239">
            <w:pPr>
              <w:pStyle w:val="TableText"/>
              <w:spacing w:before="40" w:after="40"/>
              <w:jc w:val="center"/>
              <w:rPr>
                <w:rFonts w:cs="Calibri"/>
                <w:szCs w:val="16"/>
              </w:rPr>
            </w:pPr>
          </w:p>
        </w:tc>
        <w:tc>
          <w:tcPr>
            <w:tcW w:w="844" w:type="pct"/>
            <w:tcBorders>
              <w:top w:val="single" w:sz="4" w:space="0" w:color="365F91"/>
              <w:bottom w:val="single" w:sz="4" w:space="0" w:color="365F91"/>
            </w:tcBorders>
            <w:vAlign w:val="bottom"/>
          </w:tcPr>
          <w:p w14:paraId="52BFD987" w14:textId="77777777" w:rsidR="004543E0" w:rsidRPr="00705FD2" w:rsidRDefault="004543E0" w:rsidP="007E3239">
            <w:pPr>
              <w:pStyle w:val="TableText"/>
              <w:spacing w:before="40" w:after="40"/>
              <w:jc w:val="center"/>
              <w:rPr>
                <w:rFonts w:cs="Calibri"/>
                <w:szCs w:val="16"/>
              </w:rPr>
            </w:pPr>
          </w:p>
        </w:tc>
      </w:tr>
    </w:tbl>
    <w:p w14:paraId="6309C8E0" w14:textId="77777777" w:rsidR="004543E0" w:rsidRPr="009660EC" w:rsidRDefault="004543E0" w:rsidP="004543E0">
      <w:pPr>
        <w:pStyle w:val="Heading5"/>
        <w:spacing w:before="320"/>
        <w:rPr>
          <w:rFonts w:cs="Calibri"/>
        </w:rPr>
      </w:pPr>
      <w:r w:rsidRPr="009660EC">
        <w:rPr>
          <w:rFonts w:cs="Calibri"/>
        </w:rPr>
        <w:t xml:space="preserve">Direct nitrous oxide emissions from manure management </w:t>
      </w:r>
    </w:p>
    <w:p w14:paraId="096C1744" w14:textId="77777777" w:rsidR="004543E0" w:rsidRPr="009660EC" w:rsidRDefault="004543E0" w:rsidP="004543E0">
      <w:pPr>
        <w:pStyle w:val="BodyText"/>
      </w:pPr>
      <w:r w:rsidRPr="009660EC">
        <w:rPr>
          <w:b/>
          <w:bCs/>
        </w:rPr>
        <w:t>Major livestock categories:</w:t>
      </w:r>
      <w:r w:rsidRPr="009660EC">
        <w:t xml:space="preserve"> For the major livestock categories (</w:t>
      </w:r>
      <w:r w:rsidRPr="009660EC">
        <w:rPr>
          <w:i/>
          <w:iCs/>
        </w:rPr>
        <w:t>Dairy cattle</w:t>
      </w:r>
      <w:r w:rsidRPr="009660EC">
        <w:t xml:space="preserve">, </w:t>
      </w:r>
      <w:r w:rsidRPr="009660EC">
        <w:rPr>
          <w:i/>
          <w:iCs/>
        </w:rPr>
        <w:t xml:space="preserve">Non-dairy </w:t>
      </w:r>
      <w:r w:rsidRPr="009660EC">
        <w:t xml:space="preserve">(beef) </w:t>
      </w:r>
      <w:r w:rsidRPr="009660EC">
        <w:rPr>
          <w:i/>
          <w:iCs/>
        </w:rPr>
        <w:t>cattle</w:t>
      </w:r>
      <w:r w:rsidRPr="009660EC">
        <w:t xml:space="preserve">, </w:t>
      </w:r>
      <w:r w:rsidRPr="009660EC">
        <w:rPr>
          <w:i/>
          <w:iCs/>
        </w:rPr>
        <w:t>Sheep</w:t>
      </w:r>
      <w:r w:rsidRPr="009660EC">
        <w:t xml:space="preserve"> and </w:t>
      </w:r>
      <w:r w:rsidRPr="009660EC">
        <w:rPr>
          <w:i/>
          <w:iCs/>
        </w:rPr>
        <w:t>Deer</w:t>
      </w:r>
      <w:r w:rsidRPr="009660EC">
        <w:t>), most manure is deposited directly onto pasture by grazing animals (see table 5.3.2). Direct and indirect N</w:t>
      </w:r>
      <w:r w:rsidRPr="009660EC">
        <w:rPr>
          <w:vertAlign w:val="subscript"/>
        </w:rPr>
        <w:t>2</w:t>
      </w:r>
      <w:r w:rsidRPr="009660EC">
        <w:t xml:space="preserve">O emissions from the manure deposited by grazing animals are reported in the </w:t>
      </w:r>
      <w:r w:rsidRPr="009660EC">
        <w:rPr>
          <w:i/>
          <w:iCs/>
        </w:rPr>
        <w:t>Agricultural soils</w:t>
      </w:r>
      <w:r w:rsidRPr="009660EC">
        <w:t xml:space="preserve"> category (</w:t>
      </w:r>
      <w:r w:rsidRPr="009660EC">
        <w:rPr>
          <w:i/>
          <w:iCs/>
        </w:rPr>
        <w:t xml:space="preserve">Urine and dung deposited by grazing animals </w:t>
      </w:r>
      <w:r w:rsidRPr="009660EC">
        <w:t xml:space="preserve">(CRF 3.D.1.3)). </w:t>
      </w:r>
    </w:p>
    <w:p w14:paraId="12C52FAC" w14:textId="77777777" w:rsidR="004543E0" w:rsidRPr="009660EC" w:rsidRDefault="004543E0" w:rsidP="004543E0">
      <w:pPr>
        <w:pStyle w:val="BodyText"/>
      </w:pPr>
      <w:r w:rsidRPr="009660EC">
        <w:t>The remainder of dairy manure is managed in anaerobic lagoons. The 2006 IPCC Guidelines note that the production of emissions of direct N</w:t>
      </w:r>
      <w:r w:rsidRPr="009660EC">
        <w:rPr>
          <w:vertAlign w:val="subscript"/>
        </w:rPr>
        <w:t>2</w:t>
      </w:r>
      <w:r w:rsidRPr="009660EC">
        <w:t>O from managed manure requires aerobic conditions for the formation of oxidised forms of nitrogen but assumes that negligible direct N</w:t>
      </w:r>
      <w:r w:rsidRPr="009660EC">
        <w:rPr>
          <w:vertAlign w:val="subscript"/>
        </w:rPr>
        <w:t>2</w:t>
      </w:r>
      <w:r w:rsidRPr="009660EC">
        <w:t>O emissions occur during storage in anaerobic lagoons (IPCC, 2006, table 10.21). Direct N</w:t>
      </w:r>
      <w:r w:rsidRPr="009660EC">
        <w:rPr>
          <w:vertAlign w:val="subscript"/>
        </w:rPr>
        <w:t>2</w:t>
      </w:r>
      <w:r w:rsidRPr="009660EC">
        <w:t xml:space="preserve">O emissions from dairy effluent anaerobic lagoons are reported in the </w:t>
      </w:r>
      <w:r w:rsidRPr="009660EC">
        <w:rPr>
          <w:i/>
          <w:iCs/>
        </w:rPr>
        <w:t>Agricultural soils</w:t>
      </w:r>
      <w:r w:rsidRPr="009660EC">
        <w:t xml:space="preserve"> category (</w:t>
      </w:r>
      <w:r w:rsidRPr="009660EC">
        <w:rPr>
          <w:i/>
          <w:iCs/>
        </w:rPr>
        <w:t xml:space="preserve">Organic nitrogen fertilisers </w:t>
      </w:r>
      <w:r w:rsidRPr="009660EC">
        <w:t>(CRF 3.D.1.2)) when the stored effluent is spread onto agricultural land.</w:t>
      </w:r>
    </w:p>
    <w:p w14:paraId="31C29428" w14:textId="77777777" w:rsidR="004543E0" w:rsidRPr="009660EC" w:rsidRDefault="004543E0" w:rsidP="004543E0">
      <w:pPr>
        <w:pStyle w:val="BodyText"/>
      </w:pPr>
      <w:r w:rsidRPr="009660EC">
        <w:rPr>
          <w:b/>
          <w:bCs/>
          <w:i/>
          <w:iCs/>
        </w:rPr>
        <w:t>Swine:</w:t>
      </w:r>
      <w:r w:rsidRPr="009660EC">
        <w:t xml:space="preserve"> Swine manure is managed under various types of waste management systems (see table 5.3.2). The 2006 IPCC Guidelines (table 10.21, IPCC, 2006) assume that negligible direct N</w:t>
      </w:r>
      <w:r w:rsidRPr="009660EC">
        <w:rPr>
          <w:vertAlign w:val="subscript"/>
        </w:rPr>
        <w:t>2</w:t>
      </w:r>
      <w:r w:rsidRPr="009660EC">
        <w:t xml:space="preserve">O emissions occur in anaerobic lagoons and daily spread. Nitrous oxide emissions from manure from these systems occur once the stored effluent is spread onto agricultural land and are reported in the </w:t>
      </w:r>
      <w:r w:rsidRPr="009660EC">
        <w:rPr>
          <w:i/>
          <w:iCs/>
        </w:rPr>
        <w:t>Agricultural soils</w:t>
      </w:r>
      <w:r w:rsidRPr="009660EC">
        <w:t xml:space="preserve"> category (</w:t>
      </w:r>
      <w:r w:rsidRPr="009660EC">
        <w:rPr>
          <w:i/>
          <w:iCs/>
        </w:rPr>
        <w:t xml:space="preserve">Organic nitrogen fertilisers </w:t>
      </w:r>
      <w:r w:rsidRPr="009660EC">
        <w:t xml:space="preserve">(CRF 3.D.1.2)). </w:t>
      </w:r>
      <w:r w:rsidRPr="009660EC">
        <w:lastRenderedPageBreak/>
        <w:t>Nitrous oxide emissions from manure management of swine for dry lot and other manure management systems are estimated using the IPCC (2006) default emission factors for direct N</w:t>
      </w:r>
      <w:r w:rsidRPr="009660EC">
        <w:rPr>
          <w:vertAlign w:val="subscript"/>
        </w:rPr>
        <w:t>2</w:t>
      </w:r>
      <w:r w:rsidRPr="009660EC">
        <w:t>O emission</w:t>
      </w:r>
      <w:r w:rsidRPr="009660EC">
        <w:rPr>
          <w:spacing w:val="-2"/>
        </w:rPr>
        <w:t>s from manure management (EF</w:t>
      </w:r>
      <w:r w:rsidRPr="009660EC">
        <w:rPr>
          <w:spacing w:val="-2"/>
          <w:vertAlign w:val="subscript"/>
        </w:rPr>
        <w:t>3,PRP</w:t>
      </w:r>
      <w:r w:rsidRPr="009660EC">
        <w:rPr>
          <w:spacing w:val="-2"/>
        </w:rPr>
        <w:t>)</w:t>
      </w:r>
      <w:r w:rsidRPr="009660EC">
        <w:rPr>
          <w:spacing w:val="-2"/>
          <w:vertAlign w:val="subscript"/>
        </w:rPr>
        <w:t xml:space="preserve"> </w:t>
      </w:r>
      <w:r w:rsidRPr="009660EC">
        <w:rPr>
          <w:spacing w:val="-2"/>
        </w:rPr>
        <w:t>of 0.02 and 0.005 kg N</w:t>
      </w:r>
      <w:r w:rsidRPr="009660EC">
        <w:rPr>
          <w:spacing w:val="-2"/>
          <w:vertAlign w:val="subscript"/>
        </w:rPr>
        <w:t>2</w:t>
      </w:r>
      <w:r w:rsidRPr="009660EC">
        <w:rPr>
          <w:spacing w:val="-2"/>
        </w:rPr>
        <w:t>O</w:t>
      </w:r>
      <w:r w:rsidRPr="009660EC">
        <w:rPr>
          <w:spacing w:val="-2"/>
        </w:rPr>
        <w:noBreakHyphen/>
        <w:t xml:space="preserve">N/kg N respectively. </w:t>
      </w:r>
    </w:p>
    <w:p w14:paraId="10BA7EA1" w14:textId="77777777" w:rsidR="004543E0" w:rsidRPr="009660EC" w:rsidRDefault="004543E0" w:rsidP="004543E0">
      <w:pPr>
        <w:pStyle w:val="BodyText"/>
      </w:pPr>
      <w:r w:rsidRPr="009660EC">
        <w:rPr>
          <w:b/>
          <w:bCs/>
          <w:i/>
          <w:iCs/>
        </w:rPr>
        <w:t>Poultry</w:t>
      </w:r>
      <w:r w:rsidRPr="009660EC">
        <w:rPr>
          <w:i/>
          <w:iCs/>
        </w:rPr>
        <w:t>:</w:t>
      </w:r>
      <w:r w:rsidRPr="009660EC">
        <w:t xml:space="preserve"> Direct N</w:t>
      </w:r>
      <w:r w:rsidRPr="009660EC">
        <w:rPr>
          <w:vertAlign w:val="subscript"/>
        </w:rPr>
        <w:t>2</w:t>
      </w:r>
      <w:r w:rsidRPr="009660EC">
        <w:t xml:space="preserve">O emissions from poultry manure deposited directly on pasture are reported in the </w:t>
      </w:r>
      <w:r w:rsidRPr="009660EC">
        <w:rPr>
          <w:i/>
          <w:iCs/>
        </w:rPr>
        <w:t>Agricultural soils</w:t>
      </w:r>
      <w:r w:rsidRPr="009660EC">
        <w:t xml:space="preserve"> category (</w:t>
      </w:r>
      <w:r w:rsidRPr="009660EC">
        <w:rPr>
          <w:i/>
          <w:iCs/>
        </w:rPr>
        <w:t>Urine and dung deposited by grazing animals</w:t>
      </w:r>
      <w:r w:rsidRPr="009660EC">
        <w:t xml:space="preserve"> (CRF 3.D.1.3)). For other manure management systems, the IPCC (2006, table 10.21) default emission factor for EF</w:t>
      </w:r>
      <w:r w:rsidRPr="009660EC">
        <w:rPr>
          <w:vertAlign w:val="subscript"/>
        </w:rPr>
        <w:t>3,PRP</w:t>
      </w:r>
      <w:r w:rsidRPr="009660EC">
        <w:t xml:space="preserve"> of 0.001 kg N</w:t>
      </w:r>
      <w:r w:rsidRPr="009660EC">
        <w:rPr>
          <w:vertAlign w:val="subscript"/>
        </w:rPr>
        <w:t>2</w:t>
      </w:r>
      <w:r w:rsidRPr="009660EC">
        <w:t>O-N/kg N for poultry manure with and without litter is assumed.</w:t>
      </w:r>
    </w:p>
    <w:p w14:paraId="5D988D86" w14:textId="77777777" w:rsidR="004543E0" w:rsidRPr="009660EC" w:rsidRDefault="004543E0" w:rsidP="004543E0">
      <w:pPr>
        <w:pStyle w:val="BodyText"/>
      </w:pPr>
      <w:r w:rsidRPr="009660EC">
        <w:rPr>
          <w:b/>
          <w:bCs/>
          <w:i/>
          <w:iCs/>
        </w:rPr>
        <w:t>Goats</w:t>
      </w:r>
      <w:r w:rsidRPr="009660EC">
        <w:rPr>
          <w:b/>
          <w:bCs/>
        </w:rPr>
        <w:t xml:space="preserve">, </w:t>
      </w:r>
      <w:r w:rsidRPr="009660EC">
        <w:rPr>
          <w:b/>
          <w:bCs/>
          <w:i/>
          <w:iCs/>
        </w:rPr>
        <w:t>Horses</w:t>
      </w:r>
      <w:r w:rsidRPr="009660EC">
        <w:rPr>
          <w:b/>
        </w:rPr>
        <w:t xml:space="preserve">, </w:t>
      </w:r>
      <w:r w:rsidRPr="00705FD2">
        <w:rPr>
          <w:b/>
          <w:iCs/>
        </w:rPr>
        <w:t>llamas and</w:t>
      </w:r>
      <w:r w:rsidRPr="009660EC">
        <w:rPr>
          <w:b/>
          <w:bCs/>
          <w:iCs/>
        </w:rPr>
        <w:t xml:space="preserve"> a</w:t>
      </w:r>
      <w:r w:rsidRPr="00705FD2">
        <w:rPr>
          <w:b/>
          <w:iCs/>
        </w:rPr>
        <w:t>lpacas</w:t>
      </w:r>
      <w:r w:rsidRPr="009660EC">
        <w:rPr>
          <w:b/>
          <w:bCs/>
          <w:iCs/>
        </w:rPr>
        <w:t xml:space="preserve">, </w:t>
      </w:r>
      <w:r w:rsidRPr="009660EC">
        <w:rPr>
          <w:b/>
          <w:bCs/>
        </w:rPr>
        <w:t xml:space="preserve">and </w:t>
      </w:r>
      <w:r w:rsidRPr="009660EC">
        <w:rPr>
          <w:b/>
          <w:i/>
        </w:rPr>
        <w:t>Mules and asses</w:t>
      </w:r>
      <w:r w:rsidRPr="009660EC">
        <w:rPr>
          <w:b/>
        </w:rPr>
        <w:t xml:space="preserve">: </w:t>
      </w:r>
      <w:r w:rsidRPr="009660EC">
        <w:t>All faecal material from these livestock is deposited directly onto pasture, and direct N</w:t>
      </w:r>
      <w:r w:rsidRPr="009660EC">
        <w:rPr>
          <w:vertAlign w:val="subscript"/>
        </w:rPr>
        <w:t>2</w:t>
      </w:r>
      <w:r w:rsidRPr="009660EC">
        <w:t xml:space="preserve">O emissions from grazing animals are reported in the </w:t>
      </w:r>
      <w:r w:rsidRPr="009660EC">
        <w:rPr>
          <w:i/>
          <w:iCs/>
        </w:rPr>
        <w:t>Agricultural soils</w:t>
      </w:r>
      <w:r w:rsidRPr="009660EC">
        <w:t xml:space="preserve"> category (</w:t>
      </w:r>
      <w:r w:rsidRPr="009660EC">
        <w:rPr>
          <w:i/>
          <w:iCs/>
        </w:rPr>
        <w:t>Urine and dung deposited by grazing animals</w:t>
      </w:r>
      <w:r w:rsidRPr="009660EC">
        <w:t xml:space="preserve"> (CRF 3.D.1.3)). </w:t>
      </w:r>
    </w:p>
    <w:p w14:paraId="407A3FDF" w14:textId="77777777" w:rsidR="004543E0" w:rsidRPr="009660EC" w:rsidRDefault="004543E0" w:rsidP="004543E0">
      <w:pPr>
        <w:pStyle w:val="Heading5"/>
        <w:spacing w:before="200"/>
        <w:rPr>
          <w:rFonts w:cs="Calibri"/>
        </w:rPr>
      </w:pPr>
      <w:r w:rsidRPr="009660EC">
        <w:rPr>
          <w:rFonts w:cs="Calibri"/>
        </w:rPr>
        <w:t>Indirect nitrous oxide emissions from manure management</w:t>
      </w:r>
    </w:p>
    <w:p w14:paraId="2CF120F5" w14:textId="77777777" w:rsidR="004543E0" w:rsidRPr="009660EC" w:rsidRDefault="004543E0" w:rsidP="004543E0">
      <w:pPr>
        <w:pStyle w:val="BodyText"/>
      </w:pPr>
      <w:r w:rsidRPr="009660EC">
        <w:t>Indirect N</w:t>
      </w:r>
      <w:r w:rsidRPr="009660EC">
        <w:rPr>
          <w:vertAlign w:val="subscript"/>
        </w:rPr>
        <w:t>2</w:t>
      </w:r>
      <w:r w:rsidRPr="009660EC">
        <w:t xml:space="preserve">O emissions from manure management result from diffusion into the surrounding </w:t>
      </w:r>
      <w:r w:rsidRPr="009660EC">
        <w:rPr>
          <w:spacing w:val="-2"/>
        </w:rPr>
        <w:t>air (volatilisation) and from leaching and runoff. All indirect N</w:t>
      </w:r>
      <w:r w:rsidRPr="009660EC">
        <w:rPr>
          <w:spacing w:val="-2"/>
          <w:vertAlign w:val="subscript"/>
        </w:rPr>
        <w:t>2</w:t>
      </w:r>
      <w:r w:rsidRPr="009660EC">
        <w:rPr>
          <w:spacing w:val="-2"/>
        </w:rPr>
        <w:t>O emissions for the pasture, range</w:t>
      </w:r>
      <w:r w:rsidRPr="009660EC">
        <w:t xml:space="preserve"> and paddock manure management systems are reported in the </w:t>
      </w:r>
      <w:r w:rsidRPr="009660EC">
        <w:rPr>
          <w:i/>
          <w:iCs/>
        </w:rPr>
        <w:t>Agricultural soils</w:t>
      </w:r>
      <w:r w:rsidRPr="009660EC">
        <w:t xml:space="preserve"> category. </w:t>
      </w:r>
    </w:p>
    <w:p w14:paraId="398A33C4" w14:textId="77777777" w:rsidR="004543E0" w:rsidRPr="009660EC" w:rsidRDefault="004543E0" w:rsidP="004543E0">
      <w:pPr>
        <w:pStyle w:val="BodyText"/>
      </w:pPr>
      <w:r w:rsidRPr="009660EC">
        <w:t>The IPCC (2006) Tier 1 methodology is used for calculating N</w:t>
      </w:r>
      <w:r w:rsidRPr="009660EC">
        <w:rPr>
          <w:vertAlign w:val="subscript"/>
        </w:rPr>
        <w:t>2</w:t>
      </w:r>
      <w:r w:rsidRPr="009660EC">
        <w:t>O emissions resulting from volatilisation:</w:t>
      </w:r>
    </w:p>
    <w:bookmarkStart w:id="833" w:name="_1543985758"/>
    <w:bookmarkStart w:id="834" w:name="_1670051240"/>
    <w:bookmarkEnd w:id="833"/>
    <w:bookmarkEnd w:id="834"/>
    <w:p w14:paraId="05F0BB1A" w14:textId="77777777" w:rsidR="004543E0" w:rsidRPr="009660EC" w:rsidRDefault="004543E0" w:rsidP="004543E0">
      <w:pPr>
        <w:pStyle w:val="BodyText"/>
        <w:spacing w:before="0" w:after="0"/>
      </w:pPr>
      <w:r w:rsidRPr="009660EC">
        <w:object w:dxaOrig="7889" w:dyaOrig="495" w14:anchorId="196BC239">
          <v:shape id="_x0000_i1087" type="#_x0000_t75" style="width:390.15pt;height:24.3pt" o:ole="">
            <v:imagedata r:id="rId129" o:title=""/>
          </v:shape>
          <o:OLEObject Type="Embed" ProgID="Word.Document.12" ShapeID="_x0000_i1087" DrawAspect="Content" ObjectID="_1710830391" r:id="rId130">
            <o:FieldCodes>\s</o:FieldCodes>
          </o:OLEObject>
        </w:object>
      </w:r>
    </w:p>
    <w:p w14:paraId="7F468033" w14:textId="77777777" w:rsidR="004543E0" w:rsidRPr="009660EC" w:rsidRDefault="004543E0" w:rsidP="004543E0">
      <w:pPr>
        <w:pStyle w:val="BodyText"/>
        <w:spacing w:after="0"/>
        <w:rPr>
          <w:rFonts w:cs="Calibri"/>
        </w:rPr>
      </w:pPr>
      <w:r w:rsidRPr="009660EC">
        <w:rPr>
          <w:rFonts w:cs="Calibri"/>
        </w:rPr>
        <w:t>And:</w:t>
      </w:r>
    </w:p>
    <w:bookmarkStart w:id="835" w:name="_1545464011"/>
    <w:bookmarkEnd w:id="835"/>
    <w:bookmarkStart w:id="836" w:name="_MON_1576576510"/>
    <w:bookmarkEnd w:id="836"/>
    <w:p w14:paraId="4EB127BA" w14:textId="77777777" w:rsidR="004543E0" w:rsidRPr="009660EC" w:rsidRDefault="004543E0" w:rsidP="004543E0">
      <w:pPr>
        <w:pStyle w:val="BodyText"/>
        <w:spacing w:before="0" w:after="80"/>
        <w:jc w:val="center"/>
        <w:rPr>
          <w:rFonts w:cs="Calibri"/>
        </w:rPr>
      </w:pPr>
      <w:r w:rsidRPr="009660EC">
        <w:rPr>
          <w:rFonts w:cs="Calibri"/>
        </w:rPr>
        <w:object w:dxaOrig="6947" w:dyaOrig="704" w14:anchorId="5606BBEE">
          <v:shape id="_x0000_i1088" type="#_x0000_t75" style="width:346.6pt;height:36.85pt" o:ole="">
            <v:imagedata r:id="rId131" o:title=""/>
          </v:shape>
          <o:OLEObject Type="Embed" ProgID="Word.Document.12" ShapeID="_x0000_i1088" DrawAspect="Content" ObjectID="_1710830392" r:id="rId132">
            <o:FieldCodes>\s</o:FieldCodes>
          </o:OLEObject>
        </w:object>
      </w:r>
    </w:p>
    <w:p w14:paraId="7D4DE681" w14:textId="77777777" w:rsidR="004543E0" w:rsidRPr="009660EC" w:rsidRDefault="004543E0" w:rsidP="004543E0">
      <w:pPr>
        <w:pStyle w:val="BodyText"/>
        <w:spacing w:after="60"/>
        <w:ind w:left="964" w:hanging="964"/>
      </w:pPr>
      <w:r w:rsidRPr="009660EC">
        <w:t>Where:</w:t>
      </w:r>
      <w:r w:rsidRPr="009660EC">
        <w:tab/>
        <w:t>N</w:t>
      </w:r>
      <w:r w:rsidRPr="009660EC">
        <w:rPr>
          <w:vertAlign w:val="subscript"/>
        </w:rPr>
        <w:t>vol – MMS</w:t>
      </w:r>
      <w:r w:rsidRPr="009660EC">
        <w:t xml:space="preserve"> is the amount of manure nitrogen that is lost due to volatilisation (kg/year)</w:t>
      </w:r>
    </w:p>
    <w:p w14:paraId="3090DE32" w14:textId="77777777" w:rsidR="004543E0" w:rsidRPr="009660EC" w:rsidRDefault="004543E0" w:rsidP="004543E0">
      <w:pPr>
        <w:pStyle w:val="BodyText"/>
        <w:spacing w:before="60" w:after="60"/>
        <w:ind w:left="964"/>
      </w:pPr>
      <w:r w:rsidRPr="009660EC">
        <w:t>EF</w:t>
      </w:r>
      <w:r w:rsidRPr="009660EC">
        <w:rPr>
          <w:vertAlign w:val="subscript"/>
        </w:rPr>
        <w:t>4</w:t>
      </w:r>
      <w:r w:rsidRPr="009660EC">
        <w:t xml:space="preserve"> is the emission factor for N</w:t>
      </w:r>
      <w:r w:rsidRPr="009660EC">
        <w:rPr>
          <w:vertAlign w:val="subscript"/>
        </w:rPr>
        <w:t>2</w:t>
      </w:r>
      <w:r w:rsidRPr="009660EC">
        <w:t>O emissions from volatilisation; the IPCC (2006) default value of 0.01 kg N</w:t>
      </w:r>
      <w:r w:rsidRPr="009660EC">
        <w:rPr>
          <w:vertAlign w:val="subscript"/>
        </w:rPr>
        <w:t>2</w:t>
      </w:r>
      <w:r w:rsidRPr="009660EC">
        <w:t>O-N/(kg NH</w:t>
      </w:r>
      <w:r w:rsidRPr="009660EC">
        <w:rPr>
          <w:vertAlign w:val="subscript"/>
        </w:rPr>
        <w:t>3</w:t>
      </w:r>
      <w:r w:rsidRPr="009660EC">
        <w:t>-N + NO</w:t>
      </w:r>
      <w:r w:rsidRPr="009660EC">
        <w:rPr>
          <w:vertAlign w:val="subscript"/>
        </w:rPr>
        <w:t>x</w:t>
      </w:r>
      <w:r w:rsidRPr="009660EC">
        <w:t>-N volatilised) is used</w:t>
      </w:r>
    </w:p>
    <w:p w14:paraId="40A8FD67" w14:textId="77777777" w:rsidR="004543E0" w:rsidRPr="009660EC" w:rsidRDefault="004543E0" w:rsidP="004543E0">
      <w:pPr>
        <w:pStyle w:val="BodyText"/>
        <w:spacing w:before="60" w:after="60"/>
        <w:ind w:left="964"/>
      </w:pPr>
      <w:r w:rsidRPr="009660EC">
        <w:t>N</w:t>
      </w:r>
      <w:r w:rsidRPr="009660EC">
        <w:rPr>
          <w:vertAlign w:val="subscript"/>
        </w:rPr>
        <w:t>T</w:t>
      </w:r>
      <w:r w:rsidRPr="009660EC">
        <w:t xml:space="preserve"> is the number of livestock per category (head), detailed in section 5.1.4</w:t>
      </w:r>
    </w:p>
    <w:p w14:paraId="2E0E3F12" w14:textId="77777777" w:rsidR="004543E0" w:rsidRPr="009660EC" w:rsidRDefault="004543E0" w:rsidP="004543E0">
      <w:pPr>
        <w:pStyle w:val="BodyText"/>
        <w:spacing w:before="60" w:after="60"/>
        <w:ind w:left="964"/>
      </w:pPr>
      <w:r w:rsidRPr="009660EC">
        <w:t>Nex</w:t>
      </w:r>
      <w:r w:rsidRPr="009660EC">
        <w:rPr>
          <w:vertAlign w:val="subscript"/>
        </w:rPr>
        <w:t>T</w:t>
      </w:r>
      <w:r w:rsidRPr="009660EC">
        <w:t xml:space="preserve"> is the average nitrogen excretion for each livestock category, T, detailed above</w:t>
      </w:r>
    </w:p>
    <w:p w14:paraId="73966988" w14:textId="77777777" w:rsidR="004543E0" w:rsidRPr="009660EC" w:rsidRDefault="004543E0" w:rsidP="004543E0">
      <w:pPr>
        <w:pStyle w:val="BodyText"/>
        <w:spacing w:before="60" w:after="60"/>
        <w:ind w:left="964"/>
      </w:pPr>
      <w:r w:rsidRPr="009660EC">
        <w:t>MS</w:t>
      </w:r>
      <w:r w:rsidRPr="009660EC">
        <w:rPr>
          <w:vertAlign w:val="subscript"/>
        </w:rPr>
        <w:t>T,S</w:t>
      </w:r>
      <w:r w:rsidRPr="009660EC">
        <w:t xml:space="preserve"> is the fraction of total nitrogen excretion per livestock category, T, per manure management system, S, derived from table 5.3.2, and</w:t>
      </w:r>
    </w:p>
    <w:p w14:paraId="6C5B77FF" w14:textId="77777777" w:rsidR="004543E0" w:rsidRPr="009660EC" w:rsidRDefault="004543E0" w:rsidP="004543E0">
      <w:pPr>
        <w:pStyle w:val="BodyText"/>
        <w:spacing w:before="60"/>
        <w:ind w:left="964"/>
      </w:pPr>
      <w:r w:rsidRPr="009660EC">
        <w:t>Frac</w:t>
      </w:r>
      <w:r w:rsidRPr="009660EC">
        <w:rPr>
          <w:vertAlign w:val="subscript"/>
        </w:rPr>
        <w:t>GasMS</w:t>
      </w:r>
      <w:r w:rsidRPr="009660EC">
        <w:t xml:space="preserve"> is the per cent of managed manure nitrogen for each livestock category, T, which volatilises as NH</w:t>
      </w:r>
      <w:r w:rsidRPr="009660EC">
        <w:rPr>
          <w:vertAlign w:val="subscript"/>
        </w:rPr>
        <w:t>3</w:t>
      </w:r>
      <w:r w:rsidRPr="009660EC">
        <w:t xml:space="preserve"> and NO</w:t>
      </w:r>
      <w:r w:rsidRPr="009660EC">
        <w:rPr>
          <w:vertAlign w:val="subscript"/>
        </w:rPr>
        <w:t>x</w:t>
      </w:r>
      <w:r w:rsidRPr="009660EC">
        <w:t xml:space="preserve"> per manure management system, S. New Zealand uses default values for Frac</w:t>
      </w:r>
      <w:r w:rsidRPr="009660EC">
        <w:rPr>
          <w:vertAlign w:val="subscript"/>
        </w:rPr>
        <w:t>GasMS</w:t>
      </w:r>
      <w:r w:rsidRPr="009660EC">
        <w:t xml:space="preserve"> detailed in table 5.3.5.</w:t>
      </w:r>
    </w:p>
    <w:p w14:paraId="0C175991" w14:textId="77777777" w:rsidR="004543E0" w:rsidRPr="009660EC" w:rsidRDefault="004543E0" w:rsidP="004543E0">
      <w:pPr>
        <w:pStyle w:val="BodyText"/>
      </w:pPr>
      <w:r w:rsidRPr="009660EC">
        <w:t>The IPCC (2006) Tier 1 guidelines do not provide a methodology for determining indirect N</w:t>
      </w:r>
      <w:r w:rsidRPr="009660EC">
        <w:rPr>
          <w:vertAlign w:val="subscript"/>
        </w:rPr>
        <w:t>2</w:t>
      </w:r>
      <w:r w:rsidRPr="009660EC">
        <w:t>O emissions from leaching and runoff. There have been no country-specific emission factors derived for leaching and runoff from manure management systems in New Zealand (e.g., Hill, 2012), and available data are usually extremely limited (IPCC, 2006). Leaching and runoff from dairy anaerobic lagoons is likely to be an insignificant activity in New Zealand (T Wilson, pers. comm., 2014). All indirect N</w:t>
      </w:r>
      <w:r w:rsidRPr="009660EC">
        <w:rPr>
          <w:vertAlign w:val="subscript"/>
        </w:rPr>
        <w:t>2</w:t>
      </w:r>
      <w:r w:rsidRPr="009660EC">
        <w:t xml:space="preserve">O emissions from leaching and runoff are reported in the </w:t>
      </w:r>
      <w:r w:rsidRPr="009660EC">
        <w:rPr>
          <w:i/>
          <w:iCs/>
        </w:rPr>
        <w:t>Agricultural soils</w:t>
      </w:r>
      <w:r w:rsidRPr="009660EC">
        <w:t> category.</w:t>
      </w:r>
    </w:p>
    <w:p w14:paraId="76D3C0C0" w14:textId="77777777" w:rsidR="004543E0" w:rsidRPr="009660EC" w:rsidRDefault="004543E0" w:rsidP="004543E0">
      <w:pPr>
        <w:pStyle w:val="Table"/>
        <w:rPr>
          <w:rFonts w:cs="Calibri"/>
        </w:rPr>
      </w:pPr>
      <w:bookmarkStart w:id="837" w:name="_Toc441830877"/>
      <w:bookmarkStart w:id="838" w:name="_Toc451176091"/>
      <w:bookmarkStart w:id="839" w:name="_Toc481751519"/>
      <w:bookmarkStart w:id="840" w:name="_Toc507158607"/>
      <w:bookmarkStart w:id="841" w:name="_Toc511116741"/>
      <w:bookmarkStart w:id="842" w:name="_Toc5269481"/>
      <w:bookmarkStart w:id="843" w:name="_Toc32570924"/>
      <w:bookmarkStart w:id="844" w:name="_Toc36224559"/>
      <w:bookmarkStart w:id="845" w:name="_Toc68786444"/>
      <w:bookmarkStart w:id="846" w:name="_Toc95574078"/>
      <w:bookmarkStart w:id="847" w:name="_Toc99659251"/>
      <w:r w:rsidRPr="009660EC">
        <w:rPr>
          <w:rFonts w:cs="Calibri"/>
        </w:rPr>
        <w:lastRenderedPageBreak/>
        <w:t>Table 5.3.5</w:t>
      </w:r>
      <w:r w:rsidRPr="009660EC">
        <w:rPr>
          <w:rFonts w:cs="Calibri"/>
        </w:rPr>
        <w:tab/>
        <w:t>IPCC default values for the fraction of managed manure nitrogen that volatilises as ammonia and oxides of nitrogen (Frac</w:t>
      </w:r>
      <w:r w:rsidRPr="009660EC">
        <w:rPr>
          <w:rFonts w:cs="Calibri"/>
          <w:vertAlign w:val="subscript"/>
        </w:rPr>
        <w:t>GasMS</w:t>
      </w:r>
      <w:r w:rsidRPr="009660EC">
        <w:rPr>
          <w:rFonts w:cs="Calibri"/>
        </w:rPr>
        <w:t>/100) for livestock categories per manure management system in New Zealand</w:t>
      </w:r>
      <w:bookmarkEnd w:id="837"/>
      <w:bookmarkEnd w:id="838"/>
      <w:bookmarkEnd w:id="839"/>
      <w:bookmarkEnd w:id="840"/>
      <w:bookmarkEnd w:id="841"/>
      <w:bookmarkEnd w:id="842"/>
      <w:bookmarkEnd w:id="843"/>
      <w:bookmarkEnd w:id="844"/>
      <w:bookmarkEnd w:id="845"/>
      <w:bookmarkEnd w:id="846"/>
      <w:bookmarkEnd w:id="847"/>
    </w:p>
    <w:tbl>
      <w:tblPr>
        <w:tblW w:w="8505" w:type="dxa"/>
        <w:tblInd w:w="113"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941"/>
        <w:gridCol w:w="3648"/>
        <w:gridCol w:w="1916"/>
      </w:tblGrid>
      <w:tr w:rsidR="004543E0" w:rsidRPr="009660EC" w14:paraId="7F8D3A82" w14:textId="77777777" w:rsidTr="00705FD2">
        <w:trPr>
          <w:tblHeader/>
        </w:trPr>
        <w:tc>
          <w:tcPr>
            <w:tcW w:w="2745" w:type="dxa"/>
            <w:tcBorders>
              <w:top w:val="single" w:sz="4" w:space="0" w:color="44546A"/>
              <w:left w:val="nil"/>
              <w:bottom w:val="single" w:sz="4" w:space="0" w:color="44546A"/>
              <w:right w:val="nil"/>
            </w:tcBorders>
            <w:shd w:val="clear" w:color="auto" w:fill="1B556B"/>
            <w:vAlign w:val="bottom"/>
          </w:tcPr>
          <w:p w14:paraId="349684FB" w14:textId="77777777" w:rsidR="004543E0" w:rsidRPr="004543E0" w:rsidRDefault="004543E0" w:rsidP="007E3239">
            <w:pPr>
              <w:pStyle w:val="TableTextBold"/>
              <w:keepNext/>
              <w:spacing w:before="40" w:after="40"/>
              <w:rPr>
                <w:noProof w:val="0"/>
                <w:color w:val="FFFFFF"/>
              </w:rPr>
            </w:pPr>
            <w:r w:rsidRPr="004543E0">
              <w:rPr>
                <w:noProof w:val="0"/>
                <w:color w:val="FFFFFF"/>
              </w:rPr>
              <w:t>Manure management system</w:t>
            </w:r>
          </w:p>
        </w:tc>
        <w:tc>
          <w:tcPr>
            <w:tcW w:w="3405" w:type="dxa"/>
            <w:tcBorders>
              <w:top w:val="single" w:sz="4" w:space="0" w:color="44546A"/>
              <w:left w:val="nil"/>
              <w:bottom w:val="single" w:sz="4" w:space="0" w:color="44546A"/>
              <w:right w:val="nil"/>
            </w:tcBorders>
            <w:shd w:val="clear" w:color="auto" w:fill="1B556B"/>
            <w:vAlign w:val="bottom"/>
          </w:tcPr>
          <w:p w14:paraId="0D785526" w14:textId="77777777" w:rsidR="004543E0" w:rsidRPr="004543E0" w:rsidRDefault="004543E0" w:rsidP="007E3239">
            <w:pPr>
              <w:pStyle w:val="TableTextBold"/>
              <w:keepNext/>
              <w:spacing w:before="40" w:after="40"/>
              <w:rPr>
                <w:noProof w:val="0"/>
                <w:color w:val="FFFFFF"/>
              </w:rPr>
            </w:pPr>
            <w:r w:rsidRPr="004543E0">
              <w:rPr>
                <w:noProof w:val="0"/>
                <w:color w:val="FFFFFF"/>
              </w:rPr>
              <w:t>Livestock category</w:t>
            </w:r>
          </w:p>
        </w:tc>
        <w:tc>
          <w:tcPr>
            <w:tcW w:w="1788" w:type="dxa"/>
            <w:tcBorders>
              <w:top w:val="single" w:sz="4" w:space="0" w:color="44546A"/>
              <w:left w:val="nil"/>
              <w:bottom w:val="single" w:sz="4" w:space="0" w:color="44546A"/>
              <w:right w:val="nil"/>
            </w:tcBorders>
            <w:shd w:val="clear" w:color="auto" w:fill="1B556B"/>
          </w:tcPr>
          <w:p w14:paraId="5C673C9D" w14:textId="77777777" w:rsidR="004543E0" w:rsidRPr="004543E0" w:rsidRDefault="004543E0" w:rsidP="007E3239">
            <w:pPr>
              <w:pStyle w:val="TableTextBold"/>
              <w:keepNext/>
              <w:spacing w:before="40" w:after="40"/>
              <w:jc w:val="center"/>
              <w:rPr>
                <w:noProof w:val="0"/>
                <w:color w:val="FFFFFF"/>
              </w:rPr>
            </w:pPr>
            <w:r w:rsidRPr="004543E0">
              <w:rPr>
                <w:noProof w:val="0"/>
                <w:color w:val="FFFFFF"/>
              </w:rPr>
              <w:t>Value</w:t>
            </w:r>
          </w:p>
        </w:tc>
      </w:tr>
      <w:tr w:rsidR="004543E0" w:rsidRPr="009660EC" w14:paraId="51FD2EE1" w14:textId="77777777" w:rsidTr="00705FD2">
        <w:tc>
          <w:tcPr>
            <w:tcW w:w="2745" w:type="dxa"/>
            <w:vMerge w:val="restart"/>
            <w:tcBorders>
              <w:top w:val="single" w:sz="4" w:space="0" w:color="44546A"/>
              <w:left w:val="nil"/>
              <w:right w:val="nil"/>
            </w:tcBorders>
            <w:vAlign w:val="center"/>
          </w:tcPr>
          <w:p w14:paraId="680A8782" w14:textId="77777777" w:rsidR="004543E0" w:rsidRPr="009660EC" w:rsidRDefault="004543E0" w:rsidP="007E3239">
            <w:pPr>
              <w:pStyle w:val="TableText"/>
              <w:spacing w:before="40" w:after="40"/>
              <w:rPr>
                <w:rFonts w:cs="Calibri"/>
              </w:rPr>
            </w:pPr>
            <w:r w:rsidRPr="009660EC">
              <w:rPr>
                <w:rFonts w:cs="Calibri"/>
              </w:rPr>
              <w:t>Anaerobic lagoons</w:t>
            </w:r>
          </w:p>
        </w:tc>
        <w:tc>
          <w:tcPr>
            <w:tcW w:w="3405" w:type="dxa"/>
            <w:tcBorders>
              <w:top w:val="single" w:sz="4" w:space="0" w:color="44546A"/>
              <w:left w:val="nil"/>
              <w:bottom w:val="single" w:sz="4" w:space="0" w:color="365F91"/>
              <w:right w:val="nil"/>
            </w:tcBorders>
          </w:tcPr>
          <w:p w14:paraId="76FD70D9" w14:textId="77777777" w:rsidR="004543E0" w:rsidRPr="009660EC" w:rsidRDefault="004543E0" w:rsidP="007E3239">
            <w:pPr>
              <w:pStyle w:val="TableText"/>
              <w:spacing w:before="40" w:after="40"/>
              <w:rPr>
                <w:rFonts w:cs="Calibri"/>
              </w:rPr>
            </w:pPr>
            <w:r w:rsidRPr="009660EC">
              <w:rPr>
                <w:rFonts w:cs="Calibri"/>
              </w:rPr>
              <w:t>Dairy</w:t>
            </w:r>
          </w:p>
        </w:tc>
        <w:tc>
          <w:tcPr>
            <w:tcW w:w="1788" w:type="dxa"/>
            <w:tcBorders>
              <w:top w:val="single" w:sz="4" w:space="0" w:color="44546A"/>
              <w:left w:val="nil"/>
              <w:bottom w:val="single" w:sz="4" w:space="0" w:color="365F91"/>
              <w:right w:val="nil"/>
            </w:tcBorders>
          </w:tcPr>
          <w:p w14:paraId="73DF20E0" w14:textId="77777777" w:rsidR="004543E0" w:rsidRPr="009660EC" w:rsidRDefault="004543E0" w:rsidP="007E3239">
            <w:pPr>
              <w:pStyle w:val="TableText"/>
              <w:tabs>
                <w:tab w:val="decimal" w:pos="283"/>
              </w:tabs>
              <w:spacing w:before="40" w:after="40"/>
              <w:jc w:val="center"/>
              <w:rPr>
                <w:rFonts w:cs="Calibri"/>
              </w:rPr>
            </w:pPr>
            <w:r w:rsidRPr="009660EC">
              <w:rPr>
                <w:rFonts w:cs="Calibri"/>
              </w:rPr>
              <w:t>0.35</w:t>
            </w:r>
          </w:p>
        </w:tc>
      </w:tr>
      <w:tr w:rsidR="004543E0" w:rsidRPr="009660EC" w14:paraId="60301B30" w14:textId="77777777" w:rsidTr="00705FD2">
        <w:tc>
          <w:tcPr>
            <w:tcW w:w="2745" w:type="dxa"/>
            <w:vMerge/>
            <w:tcBorders>
              <w:left w:val="nil"/>
              <w:bottom w:val="single" w:sz="4" w:space="0" w:color="365F91"/>
              <w:right w:val="nil"/>
            </w:tcBorders>
          </w:tcPr>
          <w:p w14:paraId="78FC512A" w14:textId="77777777" w:rsidR="004543E0" w:rsidRPr="009660EC" w:rsidRDefault="004543E0" w:rsidP="007E3239">
            <w:pPr>
              <w:pStyle w:val="TableText"/>
              <w:spacing w:before="40" w:after="40"/>
              <w:rPr>
                <w:rFonts w:cs="Calibri"/>
              </w:rPr>
            </w:pPr>
          </w:p>
        </w:tc>
        <w:tc>
          <w:tcPr>
            <w:tcW w:w="3405" w:type="dxa"/>
            <w:tcBorders>
              <w:top w:val="single" w:sz="4" w:space="0" w:color="365F91"/>
              <w:left w:val="nil"/>
              <w:bottom w:val="single" w:sz="4" w:space="0" w:color="365F91"/>
              <w:right w:val="nil"/>
            </w:tcBorders>
          </w:tcPr>
          <w:p w14:paraId="02C2B9E3" w14:textId="77777777" w:rsidR="004543E0" w:rsidRPr="009660EC" w:rsidRDefault="004543E0" w:rsidP="007E3239">
            <w:pPr>
              <w:pStyle w:val="TableText"/>
              <w:spacing w:before="40" w:after="40"/>
              <w:rPr>
                <w:rFonts w:cs="Calibri"/>
              </w:rPr>
            </w:pPr>
            <w:r w:rsidRPr="009660EC">
              <w:rPr>
                <w:rFonts w:cs="Calibri"/>
              </w:rPr>
              <w:t>Swine</w:t>
            </w:r>
          </w:p>
        </w:tc>
        <w:tc>
          <w:tcPr>
            <w:tcW w:w="1788" w:type="dxa"/>
            <w:tcBorders>
              <w:top w:val="single" w:sz="4" w:space="0" w:color="365F91"/>
              <w:left w:val="nil"/>
              <w:bottom w:val="single" w:sz="4" w:space="0" w:color="365F91"/>
              <w:right w:val="nil"/>
            </w:tcBorders>
          </w:tcPr>
          <w:p w14:paraId="0361F63C" w14:textId="77777777" w:rsidR="004543E0" w:rsidRPr="009660EC" w:rsidRDefault="004543E0" w:rsidP="007E3239">
            <w:pPr>
              <w:pStyle w:val="TableText"/>
              <w:tabs>
                <w:tab w:val="decimal" w:pos="283"/>
              </w:tabs>
              <w:spacing w:before="40" w:after="40"/>
              <w:jc w:val="center"/>
              <w:rPr>
                <w:rFonts w:cs="Calibri"/>
              </w:rPr>
            </w:pPr>
            <w:r w:rsidRPr="009660EC">
              <w:rPr>
                <w:rFonts w:cs="Calibri"/>
              </w:rPr>
              <w:t>0.40</w:t>
            </w:r>
          </w:p>
        </w:tc>
      </w:tr>
      <w:tr w:rsidR="004543E0" w:rsidRPr="009660EC" w14:paraId="321BF108" w14:textId="77777777" w:rsidTr="00705FD2">
        <w:tc>
          <w:tcPr>
            <w:tcW w:w="2745" w:type="dxa"/>
            <w:tcBorders>
              <w:top w:val="single" w:sz="4" w:space="0" w:color="365F91"/>
              <w:left w:val="nil"/>
              <w:bottom w:val="single" w:sz="4" w:space="0" w:color="365F91"/>
              <w:right w:val="nil"/>
            </w:tcBorders>
          </w:tcPr>
          <w:p w14:paraId="308FE489" w14:textId="77777777" w:rsidR="004543E0" w:rsidRPr="009660EC" w:rsidRDefault="004543E0" w:rsidP="007E3239">
            <w:pPr>
              <w:pStyle w:val="TableText"/>
              <w:spacing w:before="40" w:after="40"/>
              <w:rPr>
                <w:rFonts w:cs="Calibri"/>
              </w:rPr>
            </w:pPr>
            <w:r w:rsidRPr="009660EC">
              <w:rPr>
                <w:rFonts w:cs="Calibri"/>
              </w:rPr>
              <w:t>Daily spread</w:t>
            </w:r>
          </w:p>
        </w:tc>
        <w:tc>
          <w:tcPr>
            <w:tcW w:w="3405" w:type="dxa"/>
            <w:tcBorders>
              <w:top w:val="single" w:sz="4" w:space="0" w:color="365F91"/>
              <w:left w:val="nil"/>
              <w:bottom w:val="single" w:sz="4" w:space="0" w:color="365F91"/>
              <w:right w:val="nil"/>
            </w:tcBorders>
          </w:tcPr>
          <w:p w14:paraId="1B3F19BD" w14:textId="77777777" w:rsidR="004543E0" w:rsidRPr="009660EC" w:rsidRDefault="004543E0" w:rsidP="007E3239">
            <w:pPr>
              <w:pStyle w:val="TableText"/>
              <w:spacing w:before="40" w:after="40"/>
              <w:rPr>
                <w:rFonts w:cs="Calibri"/>
              </w:rPr>
            </w:pPr>
            <w:r w:rsidRPr="009660EC">
              <w:rPr>
                <w:rFonts w:cs="Calibri"/>
              </w:rPr>
              <w:t>Swine (Hill, 2012)</w:t>
            </w:r>
          </w:p>
        </w:tc>
        <w:tc>
          <w:tcPr>
            <w:tcW w:w="1788" w:type="dxa"/>
            <w:tcBorders>
              <w:top w:val="single" w:sz="4" w:space="0" w:color="365F91"/>
              <w:left w:val="nil"/>
              <w:bottom w:val="single" w:sz="4" w:space="0" w:color="365F91"/>
              <w:right w:val="nil"/>
            </w:tcBorders>
          </w:tcPr>
          <w:p w14:paraId="5ECB2374" w14:textId="77777777" w:rsidR="004543E0" w:rsidRPr="009660EC" w:rsidRDefault="004543E0" w:rsidP="007E3239">
            <w:pPr>
              <w:pStyle w:val="TableText"/>
              <w:tabs>
                <w:tab w:val="decimal" w:pos="283"/>
              </w:tabs>
              <w:spacing w:before="40" w:after="40"/>
              <w:jc w:val="center"/>
              <w:rPr>
                <w:rFonts w:cs="Calibri"/>
              </w:rPr>
            </w:pPr>
            <w:r w:rsidRPr="009660EC">
              <w:rPr>
                <w:rFonts w:cs="Calibri"/>
              </w:rPr>
              <w:t>0.07</w:t>
            </w:r>
          </w:p>
        </w:tc>
      </w:tr>
      <w:tr w:rsidR="004543E0" w:rsidRPr="009660EC" w14:paraId="0075AAE6" w14:textId="77777777" w:rsidTr="00705FD2">
        <w:tc>
          <w:tcPr>
            <w:tcW w:w="2745" w:type="dxa"/>
            <w:tcBorders>
              <w:top w:val="single" w:sz="4" w:space="0" w:color="365F91"/>
              <w:left w:val="nil"/>
              <w:bottom w:val="single" w:sz="4" w:space="0" w:color="365F91"/>
              <w:right w:val="nil"/>
            </w:tcBorders>
          </w:tcPr>
          <w:p w14:paraId="74FA9C37" w14:textId="77777777" w:rsidR="004543E0" w:rsidRPr="009660EC" w:rsidRDefault="004543E0" w:rsidP="007E3239">
            <w:pPr>
              <w:pStyle w:val="TableText"/>
              <w:spacing w:before="40" w:after="40"/>
              <w:rPr>
                <w:rFonts w:cs="Calibri"/>
              </w:rPr>
            </w:pPr>
            <w:r w:rsidRPr="009660EC">
              <w:rPr>
                <w:rFonts w:cs="Calibri"/>
              </w:rPr>
              <w:t>Solid storage and dry lot</w:t>
            </w:r>
          </w:p>
        </w:tc>
        <w:tc>
          <w:tcPr>
            <w:tcW w:w="3405" w:type="dxa"/>
            <w:tcBorders>
              <w:top w:val="single" w:sz="4" w:space="0" w:color="365F91"/>
              <w:left w:val="nil"/>
              <w:bottom w:val="single" w:sz="4" w:space="0" w:color="365F91"/>
              <w:right w:val="nil"/>
            </w:tcBorders>
          </w:tcPr>
          <w:p w14:paraId="4D47E1CA" w14:textId="77777777" w:rsidR="004543E0" w:rsidRPr="009660EC" w:rsidRDefault="004543E0" w:rsidP="007E3239">
            <w:pPr>
              <w:pStyle w:val="TableText"/>
              <w:spacing w:before="40" w:after="40"/>
              <w:rPr>
                <w:rFonts w:cs="Calibri"/>
              </w:rPr>
            </w:pPr>
            <w:r w:rsidRPr="009660EC">
              <w:rPr>
                <w:rFonts w:cs="Calibri"/>
              </w:rPr>
              <w:t>Swine</w:t>
            </w:r>
          </w:p>
        </w:tc>
        <w:tc>
          <w:tcPr>
            <w:tcW w:w="1788" w:type="dxa"/>
            <w:tcBorders>
              <w:top w:val="single" w:sz="4" w:space="0" w:color="365F91"/>
              <w:left w:val="nil"/>
              <w:bottom w:val="single" w:sz="4" w:space="0" w:color="365F91"/>
              <w:right w:val="nil"/>
            </w:tcBorders>
          </w:tcPr>
          <w:p w14:paraId="59ADED4E" w14:textId="77777777" w:rsidR="004543E0" w:rsidRPr="009660EC" w:rsidRDefault="004543E0" w:rsidP="007E3239">
            <w:pPr>
              <w:pStyle w:val="TableText"/>
              <w:tabs>
                <w:tab w:val="decimal" w:pos="283"/>
              </w:tabs>
              <w:spacing w:before="40" w:after="40"/>
              <w:jc w:val="center"/>
              <w:rPr>
                <w:rFonts w:cs="Calibri"/>
              </w:rPr>
            </w:pPr>
            <w:r w:rsidRPr="009660EC">
              <w:rPr>
                <w:rFonts w:cs="Calibri"/>
              </w:rPr>
              <w:t>0.30</w:t>
            </w:r>
          </w:p>
        </w:tc>
      </w:tr>
      <w:tr w:rsidR="004543E0" w:rsidRPr="009660EC" w14:paraId="359414A8" w14:textId="77777777" w:rsidTr="00705FD2">
        <w:tc>
          <w:tcPr>
            <w:tcW w:w="2745" w:type="dxa"/>
            <w:vMerge w:val="restart"/>
            <w:tcBorders>
              <w:top w:val="single" w:sz="4" w:space="0" w:color="365F91"/>
              <w:left w:val="nil"/>
              <w:right w:val="nil"/>
            </w:tcBorders>
            <w:vAlign w:val="center"/>
          </w:tcPr>
          <w:p w14:paraId="3D29D9B3" w14:textId="77777777" w:rsidR="004543E0" w:rsidRPr="009660EC" w:rsidRDefault="004543E0" w:rsidP="007E3239">
            <w:pPr>
              <w:pStyle w:val="TableText"/>
              <w:spacing w:before="40" w:after="40"/>
              <w:rPr>
                <w:rFonts w:cs="Calibri"/>
              </w:rPr>
            </w:pPr>
            <w:r w:rsidRPr="009660EC">
              <w:rPr>
                <w:rFonts w:cs="Calibri"/>
              </w:rPr>
              <w:t>Other (deep bedding)</w:t>
            </w:r>
          </w:p>
        </w:tc>
        <w:tc>
          <w:tcPr>
            <w:tcW w:w="3405" w:type="dxa"/>
            <w:tcBorders>
              <w:top w:val="single" w:sz="4" w:space="0" w:color="365F91"/>
              <w:left w:val="nil"/>
              <w:bottom w:val="single" w:sz="4" w:space="0" w:color="365F91"/>
              <w:right w:val="nil"/>
            </w:tcBorders>
          </w:tcPr>
          <w:p w14:paraId="09917EF3" w14:textId="77777777" w:rsidR="004543E0" w:rsidRPr="009660EC" w:rsidRDefault="004543E0" w:rsidP="007E3239">
            <w:pPr>
              <w:pStyle w:val="TableText"/>
              <w:spacing w:before="40" w:after="40"/>
              <w:rPr>
                <w:rFonts w:cs="Calibri"/>
              </w:rPr>
            </w:pPr>
            <w:r w:rsidRPr="009660EC">
              <w:rPr>
                <w:rFonts w:cs="Calibri"/>
              </w:rPr>
              <w:t>Swine</w:t>
            </w:r>
          </w:p>
        </w:tc>
        <w:tc>
          <w:tcPr>
            <w:tcW w:w="1788" w:type="dxa"/>
            <w:tcBorders>
              <w:top w:val="single" w:sz="4" w:space="0" w:color="365F91"/>
              <w:left w:val="nil"/>
              <w:bottom w:val="single" w:sz="4" w:space="0" w:color="365F91"/>
              <w:right w:val="nil"/>
            </w:tcBorders>
          </w:tcPr>
          <w:p w14:paraId="2DBFE3D4" w14:textId="77777777" w:rsidR="004543E0" w:rsidRPr="009660EC" w:rsidRDefault="004543E0" w:rsidP="007E3239">
            <w:pPr>
              <w:pStyle w:val="TableText"/>
              <w:tabs>
                <w:tab w:val="decimal" w:pos="283"/>
              </w:tabs>
              <w:spacing w:before="40" w:after="40"/>
              <w:jc w:val="center"/>
              <w:rPr>
                <w:rFonts w:cs="Calibri"/>
              </w:rPr>
            </w:pPr>
            <w:r w:rsidRPr="009660EC">
              <w:rPr>
                <w:rFonts w:cs="Calibri"/>
              </w:rPr>
              <w:t>0.25</w:t>
            </w:r>
          </w:p>
        </w:tc>
      </w:tr>
      <w:tr w:rsidR="004543E0" w:rsidRPr="009660EC" w14:paraId="39D7CD96" w14:textId="77777777" w:rsidTr="00705FD2">
        <w:tc>
          <w:tcPr>
            <w:tcW w:w="2745" w:type="dxa"/>
            <w:vMerge/>
            <w:tcBorders>
              <w:left w:val="nil"/>
              <w:right w:val="nil"/>
            </w:tcBorders>
          </w:tcPr>
          <w:p w14:paraId="0CE9464E" w14:textId="77777777" w:rsidR="004543E0" w:rsidRPr="009660EC" w:rsidRDefault="004543E0" w:rsidP="007E3239">
            <w:pPr>
              <w:pStyle w:val="TableText"/>
              <w:spacing w:before="40" w:after="40"/>
              <w:rPr>
                <w:rFonts w:cs="Calibri"/>
              </w:rPr>
            </w:pPr>
          </w:p>
        </w:tc>
        <w:tc>
          <w:tcPr>
            <w:tcW w:w="3405" w:type="dxa"/>
            <w:tcBorders>
              <w:top w:val="single" w:sz="4" w:space="0" w:color="365F91"/>
              <w:left w:val="nil"/>
              <w:bottom w:val="single" w:sz="4" w:space="0" w:color="365F91"/>
              <w:right w:val="nil"/>
            </w:tcBorders>
          </w:tcPr>
          <w:p w14:paraId="6C3AC692" w14:textId="77777777" w:rsidR="004543E0" w:rsidRPr="009660EC" w:rsidRDefault="004543E0" w:rsidP="007E3239">
            <w:pPr>
              <w:pStyle w:val="TableText"/>
              <w:spacing w:before="40" w:after="40"/>
              <w:rPr>
                <w:rFonts w:cs="Calibri"/>
              </w:rPr>
            </w:pPr>
            <w:r w:rsidRPr="009660EC">
              <w:rPr>
                <w:rFonts w:cs="Calibri"/>
              </w:rPr>
              <w:t>Poultry – broilers</w:t>
            </w:r>
          </w:p>
        </w:tc>
        <w:tc>
          <w:tcPr>
            <w:tcW w:w="1788" w:type="dxa"/>
            <w:tcBorders>
              <w:top w:val="single" w:sz="4" w:space="0" w:color="365F91"/>
              <w:left w:val="nil"/>
              <w:bottom w:val="single" w:sz="4" w:space="0" w:color="365F91"/>
              <w:right w:val="nil"/>
            </w:tcBorders>
          </w:tcPr>
          <w:p w14:paraId="25E0BDA3" w14:textId="77777777" w:rsidR="004543E0" w:rsidRPr="009660EC" w:rsidRDefault="004543E0" w:rsidP="007E3239">
            <w:pPr>
              <w:pStyle w:val="TableText"/>
              <w:tabs>
                <w:tab w:val="decimal" w:pos="283"/>
              </w:tabs>
              <w:spacing w:before="40" w:after="40"/>
              <w:jc w:val="center"/>
              <w:rPr>
                <w:rFonts w:cs="Calibri"/>
              </w:rPr>
            </w:pPr>
            <w:r w:rsidRPr="009660EC">
              <w:rPr>
                <w:rFonts w:cs="Calibri"/>
              </w:rPr>
              <w:t>0.25</w:t>
            </w:r>
          </w:p>
        </w:tc>
      </w:tr>
      <w:tr w:rsidR="004543E0" w:rsidRPr="009660EC" w14:paraId="2AF1EE64" w14:textId="77777777" w:rsidTr="00705FD2">
        <w:tc>
          <w:tcPr>
            <w:tcW w:w="2745" w:type="dxa"/>
            <w:vMerge/>
            <w:tcBorders>
              <w:left w:val="nil"/>
              <w:right w:val="nil"/>
            </w:tcBorders>
          </w:tcPr>
          <w:p w14:paraId="26F6D640" w14:textId="77777777" w:rsidR="004543E0" w:rsidRPr="009660EC" w:rsidRDefault="004543E0" w:rsidP="007E3239">
            <w:pPr>
              <w:pStyle w:val="TableText"/>
              <w:spacing w:before="40" w:after="40"/>
              <w:rPr>
                <w:rFonts w:cs="Calibri"/>
              </w:rPr>
            </w:pPr>
          </w:p>
        </w:tc>
        <w:tc>
          <w:tcPr>
            <w:tcW w:w="3405" w:type="dxa"/>
            <w:tcBorders>
              <w:top w:val="single" w:sz="4" w:space="0" w:color="365F91"/>
              <w:left w:val="nil"/>
              <w:bottom w:val="single" w:sz="4" w:space="0" w:color="365F91"/>
              <w:right w:val="nil"/>
            </w:tcBorders>
          </w:tcPr>
          <w:p w14:paraId="66861829" w14:textId="77777777" w:rsidR="004543E0" w:rsidRPr="009660EC" w:rsidRDefault="004543E0" w:rsidP="007E3239">
            <w:pPr>
              <w:pStyle w:val="TableText"/>
              <w:spacing w:before="40" w:after="40"/>
              <w:rPr>
                <w:rFonts w:cs="Calibri"/>
              </w:rPr>
            </w:pPr>
            <w:r w:rsidRPr="009660EC">
              <w:rPr>
                <w:rFonts w:cs="Calibri"/>
              </w:rPr>
              <w:t xml:space="preserve">Poultry – layers </w:t>
            </w:r>
          </w:p>
        </w:tc>
        <w:tc>
          <w:tcPr>
            <w:tcW w:w="1788" w:type="dxa"/>
            <w:tcBorders>
              <w:top w:val="single" w:sz="4" w:space="0" w:color="365F91"/>
              <w:left w:val="nil"/>
              <w:bottom w:val="single" w:sz="4" w:space="0" w:color="365F91"/>
              <w:right w:val="nil"/>
            </w:tcBorders>
          </w:tcPr>
          <w:p w14:paraId="4159BE9A" w14:textId="77777777" w:rsidR="004543E0" w:rsidRPr="009660EC" w:rsidRDefault="004543E0" w:rsidP="007E3239">
            <w:pPr>
              <w:pStyle w:val="TableText"/>
              <w:tabs>
                <w:tab w:val="decimal" w:pos="283"/>
              </w:tabs>
              <w:spacing w:before="40" w:after="40"/>
              <w:jc w:val="center"/>
              <w:rPr>
                <w:rFonts w:cs="Calibri"/>
              </w:rPr>
            </w:pPr>
            <w:r w:rsidRPr="009660EC">
              <w:rPr>
                <w:rFonts w:cs="Calibri"/>
              </w:rPr>
              <w:t>0.25</w:t>
            </w:r>
          </w:p>
        </w:tc>
      </w:tr>
      <w:tr w:rsidR="004543E0" w:rsidRPr="009660EC" w14:paraId="6155A23A" w14:textId="77777777" w:rsidTr="00705FD2">
        <w:tc>
          <w:tcPr>
            <w:tcW w:w="2745" w:type="dxa"/>
            <w:vMerge/>
            <w:tcBorders>
              <w:left w:val="nil"/>
              <w:bottom w:val="single" w:sz="4" w:space="0" w:color="365F91"/>
              <w:right w:val="nil"/>
            </w:tcBorders>
          </w:tcPr>
          <w:p w14:paraId="1E534101" w14:textId="77777777" w:rsidR="004543E0" w:rsidRPr="009660EC" w:rsidRDefault="004543E0" w:rsidP="007E3239">
            <w:pPr>
              <w:pStyle w:val="TableText"/>
              <w:spacing w:before="40" w:after="40"/>
              <w:rPr>
                <w:rFonts w:cs="Calibri"/>
              </w:rPr>
            </w:pPr>
          </w:p>
        </w:tc>
        <w:tc>
          <w:tcPr>
            <w:tcW w:w="3405" w:type="dxa"/>
            <w:tcBorders>
              <w:top w:val="single" w:sz="4" w:space="0" w:color="365F91"/>
              <w:left w:val="nil"/>
              <w:bottom w:val="single" w:sz="4" w:space="0" w:color="365F91"/>
              <w:right w:val="nil"/>
            </w:tcBorders>
          </w:tcPr>
          <w:p w14:paraId="7AF1928F" w14:textId="77777777" w:rsidR="004543E0" w:rsidRPr="009660EC" w:rsidRDefault="004543E0" w:rsidP="007E3239">
            <w:pPr>
              <w:pStyle w:val="TableText"/>
              <w:spacing w:before="40" w:after="40"/>
              <w:rPr>
                <w:rFonts w:cs="Calibri"/>
              </w:rPr>
            </w:pPr>
            <w:r w:rsidRPr="009660EC">
              <w:rPr>
                <w:rFonts w:cs="Calibri"/>
              </w:rPr>
              <w:t xml:space="preserve">Poultry – other </w:t>
            </w:r>
          </w:p>
        </w:tc>
        <w:tc>
          <w:tcPr>
            <w:tcW w:w="1788" w:type="dxa"/>
            <w:tcBorders>
              <w:top w:val="single" w:sz="4" w:space="0" w:color="365F91"/>
              <w:left w:val="nil"/>
              <w:bottom w:val="single" w:sz="4" w:space="0" w:color="365F91"/>
              <w:right w:val="nil"/>
            </w:tcBorders>
          </w:tcPr>
          <w:p w14:paraId="209077EE" w14:textId="77777777" w:rsidR="004543E0" w:rsidRPr="009660EC" w:rsidRDefault="004543E0" w:rsidP="007E3239">
            <w:pPr>
              <w:pStyle w:val="TableText"/>
              <w:tabs>
                <w:tab w:val="decimal" w:pos="283"/>
              </w:tabs>
              <w:spacing w:before="40" w:after="40"/>
              <w:jc w:val="center"/>
              <w:rPr>
                <w:rFonts w:cs="Calibri"/>
              </w:rPr>
            </w:pPr>
            <w:r w:rsidRPr="009660EC">
              <w:rPr>
                <w:rFonts w:cs="Calibri"/>
              </w:rPr>
              <w:t>0.25</w:t>
            </w:r>
          </w:p>
        </w:tc>
      </w:tr>
    </w:tbl>
    <w:p w14:paraId="2D3D70D3" w14:textId="77777777" w:rsidR="004543E0" w:rsidRPr="009660EC" w:rsidRDefault="004543E0" w:rsidP="004543E0">
      <w:pPr>
        <w:pStyle w:val="Source"/>
        <w:rPr>
          <w:rFonts w:cs="Calibri"/>
          <w:sz w:val="18"/>
          <w:szCs w:val="24"/>
        </w:rPr>
      </w:pPr>
      <w:r w:rsidRPr="009660EC">
        <w:rPr>
          <w:rFonts w:cs="Calibri"/>
          <w:b/>
          <w:bCs/>
          <w:sz w:val="18"/>
          <w:szCs w:val="24"/>
        </w:rPr>
        <w:t xml:space="preserve">Source: </w:t>
      </w:r>
      <w:r w:rsidRPr="009660EC">
        <w:rPr>
          <w:rFonts w:cs="Calibri"/>
          <w:b/>
          <w:sz w:val="18"/>
          <w:szCs w:val="24"/>
        </w:rPr>
        <w:tab/>
      </w:r>
      <w:r w:rsidRPr="009660EC">
        <w:rPr>
          <w:rFonts w:cs="Calibri"/>
          <w:sz w:val="18"/>
          <w:szCs w:val="24"/>
        </w:rPr>
        <w:t>IPCC (2006) table 10.22 and Hill (2012)</w:t>
      </w:r>
    </w:p>
    <w:p w14:paraId="291E1BC1" w14:textId="77777777" w:rsidR="004543E0" w:rsidRPr="009660EC" w:rsidRDefault="004543E0" w:rsidP="004543E0">
      <w:pPr>
        <w:pStyle w:val="Heading3"/>
      </w:pPr>
      <w:bookmarkStart w:id="848" w:name="_Toc32570660"/>
      <w:r w:rsidRPr="009660EC">
        <w:t>5.3.3</w:t>
      </w:r>
      <w:r w:rsidRPr="009660EC">
        <w:tab/>
        <w:t>Uncertainties and time-series consistency</w:t>
      </w:r>
      <w:bookmarkEnd w:id="848"/>
    </w:p>
    <w:p w14:paraId="031B916F" w14:textId="77777777" w:rsidR="004543E0" w:rsidRPr="009660EC" w:rsidRDefault="004543E0" w:rsidP="004543E0">
      <w:pPr>
        <w:pStyle w:val="BodyText"/>
        <w:rPr>
          <w:rFonts w:cs="Calibri"/>
        </w:rPr>
      </w:pPr>
      <w:r w:rsidRPr="009660EC">
        <w:rPr>
          <w:rFonts w:cs="Calibri"/>
        </w:rPr>
        <w:t>To ensure consistency, a single enhanced livestock population characterisation and feed-intake estimate is produced by the Tier 2 model for the major livestock categories. It is used in different parts of the calculations for the inventory to estimate: CH</w:t>
      </w:r>
      <w:r w:rsidRPr="009660EC">
        <w:rPr>
          <w:rFonts w:cs="Calibri"/>
          <w:vertAlign w:val="subscript"/>
        </w:rPr>
        <w:t>4</w:t>
      </w:r>
      <w:r w:rsidRPr="009660EC">
        <w:rPr>
          <w:rFonts w:cs="Calibri"/>
        </w:rPr>
        <w:t xml:space="preserve"> emissions for the </w:t>
      </w:r>
      <w:r w:rsidRPr="009660EC">
        <w:rPr>
          <w:rFonts w:cs="Calibri"/>
          <w:i/>
          <w:iCs/>
        </w:rPr>
        <w:t>Enteric fermentation</w:t>
      </w:r>
      <w:r w:rsidRPr="009660EC">
        <w:rPr>
          <w:rFonts w:cs="Calibri"/>
        </w:rPr>
        <w:t xml:space="preserve"> category, CH</w:t>
      </w:r>
      <w:r w:rsidRPr="009660EC">
        <w:rPr>
          <w:rFonts w:cs="Calibri"/>
          <w:vertAlign w:val="subscript"/>
        </w:rPr>
        <w:t>4</w:t>
      </w:r>
      <w:r w:rsidRPr="009660EC">
        <w:rPr>
          <w:rFonts w:cs="Calibri"/>
        </w:rPr>
        <w:t xml:space="preserve"> and N</w:t>
      </w:r>
      <w:r w:rsidRPr="009660EC">
        <w:rPr>
          <w:rFonts w:cs="Calibri"/>
          <w:vertAlign w:val="subscript"/>
        </w:rPr>
        <w:t>2</w:t>
      </w:r>
      <w:r w:rsidRPr="009660EC">
        <w:rPr>
          <w:rFonts w:cs="Calibri"/>
        </w:rPr>
        <w:t xml:space="preserve">O emissions for the </w:t>
      </w:r>
      <w:r w:rsidRPr="009660EC">
        <w:rPr>
          <w:rFonts w:cs="Calibri"/>
          <w:i/>
          <w:iCs/>
        </w:rPr>
        <w:t>Manure management</w:t>
      </w:r>
      <w:r w:rsidRPr="009660EC">
        <w:rPr>
          <w:rFonts w:cs="Calibri"/>
        </w:rPr>
        <w:t xml:space="preserve"> category and N</w:t>
      </w:r>
      <w:r w:rsidRPr="009660EC">
        <w:rPr>
          <w:rFonts w:cs="Calibri"/>
          <w:vertAlign w:val="subscript"/>
        </w:rPr>
        <w:t>2</w:t>
      </w:r>
      <w:r w:rsidRPr="009660EC">
        <w:rPr>
          <w:rFonts w:cs="Calibri"/>
        </w:rPr>
        <w:t xml:space="preserve">O emissions for the </w:t>
      </w:r>
      <w:r w:rsidRPr="009660EC">
        <w:rPr>
          <w:rFonts w:cs="Calibri"/>
          <w:i/>
          <w:iCs/>
        </w:rPr>
        <w:t>Agricultural soils</w:t>
      </w:r>
      <w:r w:rsidRPr="009660EC">
        <w:rPr>
          <w:rFonts w:cs="Calibri"/>
        </w:rPr>
        <w:t xml:space="preserve"> category.</w:t>
      </w:r>
    </w:p>
    <w:p w14:paraId="53A70C64" w14:textId="77777777" w:rsidR="004543E0" w:rsidRPr="009660EC" w:rsidRDefault="004543E0" w:rsidP="004543E0">
      <w:pPr>
        <w:pStyle w:val="Heading4"/>
      </w:pPr>
      <w:r w:rsidRPr="009660EC">
        <w:t xml:space="preserve">Methane emissions </w:t>
      </w:r>
    </w:p>
    <w:p w14:paraId="4A933398" w14:textId="77777777" w:rsidR="004543E0" w:rsidRPr="009660EC" w:rsidRDefault="004543E0" w:rsidP="004543E0">
      <w:pPr>
        <w:pStyle w:val="BodyText"/>
        <w:rPr>
          <w:rFonts w:cs="Calibri"/>
        </w:rPr>
      </w:pPr>
      <w:r w:rsidRPr="009660EC">
        <w:rPr>
          <w:rFonts w:cs="Calibri"/>
        </w:rPr>
        <w:t>The major sources of uncertainty in CH</w:t>
      </w:r>
      <w:r w:rsidRPr="009660EC">
        <w:rPr>
          <w:rFonts w:cs="Calibri"/>
          <w:vertAlign w:val="subscript"/>
        </w:rPr>
        <w:t>4</w:t>
      </w:r>
      <w:r w:rsidRPr="009660EC">
        <w:rPr>
          <w:rFonts w:cs="Calibri"/>
        </w:rPr>
        <w:t xml:space="preserve"> emissions from </w:t>
      </w:r>
      <w:r w:rsidRPr="009660EC">
        <w:rPr>
          <w:rFonts w:cs="Calibri"/>
          <w:i/>
          <w:iCs/>
        </w:rPr>
        <w:t>Manure management</w:t>
      </w:r>
      <w:r w:rsidRPr="009660EC">
        <w:rPr>
          <w:rFonts w:cs="Calibri"/>
        </w:rPr>
        <w:t xml:space="preserve"> are the accuracy of emission factors for manure management system distribution, the activity data for the livestock population and the classification and use of the various manure management systems (IPCC, 2006). The ranges for measured emissions for the major livestock categories have been stated where available. </w:t>
      </w:r>
    </w:p>
    <w:p w14:paraId="0C2F21D8" w14:textId="77777777" w:rsidR="004543E0" w:rsidRPr="009660EC" w:rsidRDefault="004543E0" w:rsidP="004543E0">
      <w:pPr>
        <w:pStyle w:val="BodyText"/>
        <w:rPr>
          <w:rFonts w:cs="Calibri"/>
        </w:rPr>
      </w:pPr>
      <w:r w:rsidRPr="009660EC">
        <w:rPr>
          <w:rFonts w:cs="Calibri"/>
        </w:rPr>
        <w:t>The IPCC (2006) states that emission factor estimates are likely to have uncertainties of ±30 per cent for Tier 1 methodologies and ±20 per cent for Tier 2 methodologies. New Zealand does not currently have country-specific uncertainty values for CH</w:t>
      </w:r>
      <w:r w:rsidRPr="009660EC">
        <w:rPr>
          <w:rFonts w:cs="Calibri"/>
          <w:vertAlign w:val="subscript"/>
        </w:rPr>
        <w:t>4</w:t>
      </w:r>
      <w:r w:rsidRPr="009660EC">
        <w:rPr>
          <w:rFonts w:cs="Calibri"/>
        </w:rPr>
        <w:t xml:space="preserve"> from manure management, and, because around 95 per cent of CH</w:t>
      </w:r>
      <w:r w:rsidRPr="009660EC">
        <w:rPr>
          <w:rFonts w:cs="Calibri"/>
          <w:vertAlign w:val="subscript"/>
        </w:rPr>
        <w:t>4</w:t>
      </w:r>
      <w:r w:rsidRPr="009660EC">
        <w:rPr>
          <w:rFonts w:cs="Calibri"/>
        </w:rPr>
        <w:t xml:space="preserve"> from </w:t>
      </w:r>
      <w:r w:rsidRPr="009660EC">
        <w:rPr>
          <w:rFonts w:cs="Calibri"/>
          <w:i/>
          <w:iCs/>
        </w:rPr>
        <w:t>Manure management</w:t>
      </w:r>
      <w:r w:rsidRPr="009660EC">
        <w:rPr>
          <w:rFonts w:cs="Calibri"/>
        </w:rPr>
        <w:t xml:space="preserve"> is calculated using Tier 2 methodologies, an uncertainty value of ±20 per cent has been used for the </w:t>
      </w:r>
      <w:r w:rsidRPr="009660EC">
        <w:rPr>
          <w:rFonts w:cs="Calibri"/>
          <w:i/>
          <w:iCs/>
        </w:rPr>
        <w:t xml:space="preserve">Manure management </w:t>
      </w:r>
      <w:r w:rsidRPr="009660EC">
        <w:rPr>
          <w:rFonts w:cs="Calibri"/>
        </w:rPr>
        <w:t>CH</w:t>
      </w:r>
      <w:r w:rsidRPr="009660EC">
        <w:rPr>
          <w:rFonts w:cs="Calibri"/>
          <w:vertAlign w:val="subscript"/>
        </w:rPr>
        <w:t>4</w:t>
      </w:r>
      <w:r w:rsidRPr="009660EC">
        <w:rPr>
          <w:rFonts w:cs="Calibri"/>
        </w:rPr>
        <w:t xml:space="preserve"> emissions uncertainty. </w:t>
      </w:r>
    </w:p>
    <w:p w14:paraId="073203DC" w14:textId="77777777" w:rsidR="004543E0" w:rsidRPr="009660EC" w:rsidRDefault="004543E0" w:rsidP="004543E0">
      <w:pPr>
        <w:pStyle w:val="BodyText"/>
        <w:rPr>
          <w:rFonts w:cs="Calibri"/>
        </w:rPr>
      </w:pPr>
      <w:r w:rsidRPr="009660EC">
        <w:rPr>
          <w:rFonts w:cs="Calibri"/>
        </w:rPr>
        <w:t xml:space="preserve">Uncertainties for the livestock characterisation are also discussed in section 5.1.4 and annex 3, section A3.1.1. </w:t>
      </w:r>
    </w:p>
    <w:p w14:paraId="24CABEBA" w14:textId="77777777" w:rsidR="004543E0" w:rsidRPr="009660EC" w:rsidRDefault="004543E0" w:rsidP="004543E0">
      <w:pPr>
        <w:pStyle w:val="Heading4"/>
      </w:pPr>
      <w:r w:rsidRPr="009660EC">
        <w:t>Nitrous oxide emissions</w:t>
      </w:r>
    </w:p>
    <w:p w14:paraId="1103BB11" w14:textId="77777777" w:rsidR="004543E0" w:rsidRPr="009660EC" w:rsidRDefault="004543E0" w:rsidP="004543E0">
      <w:pPr>
        <w:pStyle w:val="BodyText"/>
        <w:spacing w:before="100" w:after="100"/>
        <w:rPr>
          <w:rFonts w:cs="Calibri"/>
        </w:rPr>
      </w:pPr>
      <w:r w:rsidRPr="009660EC">
        <w:rPr>
          <w:rFonts w:cs="Calibri"/>
        </w:rPr>
        <w:t>The main factors causing uncertainty in direct and indirect N</w:t>
      </w:r>
      <w:r w:rsidRPr="009660EC">
        <w:rPr>
          <w:rFonts w:cs="Calibri"/>
          <w:vertAlign w:val="subscript"/>
        </w:rPr>
        <w:t>2</w:t>
      </w:r>
      <w:r w:rsidRPr="009660EC">
        <w:rPr>
          <w:rFonts w:cs="Calibri"/>
        </w:rPr>
        <w:t>O emissions from manure management are the N</w:t>
      </w:r>
      <w:r w:rsidRPr="009660EC">
        <w:rPr>
          <w:rFonts w:cs="Calibri"/>
          <w:vertAlign w:val="subscript"/>
        </w:rPr>
        <w:t>ex</w:t>
      </w:r>
      <w:r w:rsidRPr="009660EC">
        <w:rPr>
          <w:rFonts w:cs="Calibri"/>
        </w:rPr>
        <w:t xml:space="preserve"> rates, the emission factors for manure and manure management systems, activity data on the livestock populations and the classification and use of the various manure management systems (IPCC, 2006). </w:t>
      </w:r>
    </w:p>
    <w:p w14:paraId="572C3851" w14:textId="77777777" w:rsidR="004543E0" w:rsidRPr="009660EC" w:rsidRDefault="004543E0" w:rsidP="004543E0">
      <w:pPr>
        <w:pStyle w:val="BodyText"/>
        <w:spacing w:before="100" w:after="100"/>
        <w:rPr>
          <w:rFonts w:cs="Calibri"/>
        </w:rPr>
      </w:pPr>
      <w:r w:rsidRPr="009660EC">
        <w:rPr>
          <w:rFonts w:cs="Calibri"/>
        </w:rPr>
        <w:t>Uncertainty ranges for the default N</w:t>
      </w:r>
      <w:r w:rsidRPr="009660EC">
        <w:rPr>
          <w:rFonts w:cs="Calibri"/>
          <w:vertAlign w:val="subscript"/>
        </w:rPr>
        <w:t>ex</w:t>
      </w:r>
      <w:r w:rsidRPr="009660EC">
        <w:rPr>
          <w:rFonts w:cs="Calibri"/>
        </w:rPr>
        <w:t xml:space="preserve"> values are estimated at about ±50 per cent (IPCC, 2006), and may be substantially smaller for the values for the livestock whose N</w:t>
      </w:r>
      <w:r w:rsidRPr="009660EC">
        <w:rPr>
          <w:rFonts w:cs="Calibri"/>
          <w:vertAlign w:val="subscript"/>
        </w:rPr>
        <w:t>ex</w:t>
      </w:r>
      <w:r w:rsidRPr="009660EC">
        <w:rPr>
          <w:rFonts w:cs="Calibri"/>
        </w:rPr>
        <w:t xml:space="preserve"> rates were derived from in-country statistics on productivity. New Zealand uses the default values for EF</w:t>
      </w:r>
      <w:r w:rsidRPr="009660EC">
        <w:rPr>
          <w:rFonts w:cs="Calibri"/>
          <w:vertAlign w:val="subscript"/>
        </w:rPr>
        <w:t>3,PRP</w:t>
      </w:r>
      <w:r w:rsidRPr="009660EC">
        <w:rPr>
          <w:rFonts w:cs="Calibri"/>
        </w:rPr>
        <w:t xml:space="preserve"> for direct N</w:t>
      </w:r>
      <w:r w:rsidRPr="009660EC">
        <w:rPr>
          <w:rFonts w:cs="Calibri"/>
          <w:vertAlign w:val="subscript"/>
        </w:rPr>
        <w:t>2</w:t>
      </w:r>
      <w:r w:rsidRPr="009660EC">
        <w:rPr>
          <w:rFonts w:cs="Calibri"/>
        </w:rPr>
        <w:t xml:space="preserve">O emissions from the manure management of swine and poultry, which have uncertainties ranging from –50 per cent to +100 per cent. An uncertainty value range of ±100 per cent has been used for the </w:t>
      </w:r>
      <w:r w:rsidRPr="009660EC">
        <w:rPr>
          <w:rFonts w:cs="Calibri"/>
          <w:i/>
          <w:iCs/>
        </w:rPr>
        <w:t>Manure management</w:t>
      </w:r>
      <w:r w:rsidRPr="009660EC">
        <w:rPr>
          <w:rFonts w:cs="Calibri"/>
        </w:rPr>
        <w:t xml:space="preserve"> N</w:t>
      </w:r>
      <w:r w:rsidRPr="009660EC">
        <w:rPr>
          <w:rFonts w:cs="Calibri"/>
          <w:vertAlign w:val="subscript"/>
        </w:rPr>
        <w:t>2</w:t>
      </w:r>
      <w:r w:rsidRPr="009660EC">
        <w:rPr>
          <w:rFonts w:cs="Calibri"/>
        </w:rPr>
        <w:t>O emissions uncertainty (Giltrap et al., unpublished).</w:t>
      </w:r>
    </w:p>
    <w:p w14:paraId="56795DA8" w14:textId="77777777" w:rsidR="004543E0" w:rsidRPr="009660EC" w:rsidRDefault="004543E0" w:rsidP="004543E0">
      <w:pPr>
        <w:pStyle w:val="BodyText"/>
      </w:pPr>
      <w:r w:rsidRPr="009660EC">
        <w:lastRenderedPageBreak/>
        <w:t xml:space="preserve">As above, uncertainties for the livestock characterisation are discussed in section 5.1.4 and annex 3, section A3.1.1. </w:t>
      </w:r>
    </w:p>
    <w:p w14:paraId="090AD4E5" w14:textId="77777777" w:rsidR="004543E0" w:rsidRPr="009660EC" w:rsidRDefault="004543E0" w:rsidP="004543E0">
      <w:pPr>
        <w:pStyle w:val="Heading3"/>
      </w:pPr>
      <w:bookmarkStart w:id="849" w:name="_Toc139253927"/>
      <w:bookmarkStart w:id="850" w:name="_Toc32570661"/>
      <w:r w:rsidRPr="009660EC">
        <w:t>5.3.4</w:t>
      </w:r>
      <w:r w:rsidRPr="009660EC">
        <w:tab/>
        <w:t>Source-specific QA/QC and verification</w:t>
      </w:r>
      <w:bookmarkEnd w:id="849"/>
      <w:bookmarkEnd w:id="850"/>
    </w:p>
    <w:p w14:paraId="7F960704" w14:textId="77777777" w:rsidR="004543E0" w:rsidRPr="009660EC" w:rsidRDefault="004543E0" w:rsidP="004543E0">
      <w:pPr>
        <w:pStyle w:val="BodyText"/>
      </w:pPr>
      <w:r w:rsidRPr="009660EC">
        <w:t xml:space="preserve">Methane from </w:t>
      </w:r>
      <w:r w:rsidRPr="009660EC">
        <w:rPr>
          <w:i/>
          <w:iCs/>
        </w:rPr>
        <w:t>Manure management</w:t>
      </w:r>
      <w:r w:rsidRPr="009660EC">
        <w:t xml:space="preserve"> from dairy cattle was identified as a key category for New</w:t>
      </w:r>
      <w:r>
        <w:t> </w:t>
      </w:r>
      <w:r w:rsidRPr="009660EC">
        <w:t xml:space="preserve">Zealand in the 2020 level and 1990 to 2020 trend assessment. Methane from </w:t>
      </w:r>
      <w:r w:rsidRPr="009660EC">
        <w:rPr>
          <w:i/>
          <w:iCs/>
        </w:rPr>
        <w:t xml:space="preserve">Manure management </w:t>
      </w:r>
      <w:r w:rsidRPr="009660EC">
        <w:t xml:space="preserve">from sheep was also identified as a key category for the 1990 to 2020 trend assessment. </w:t>
      </w:r>
    </w:p>
    <w:p w14:paraId="39981CA4" w14:textId="77777777" w:rsidR="004543E0" w:rsidRPr="009660EC" w:rsidRDefault="004543E0" w:rsidP="004543E0">
      <w:pPr>
        <w:pStyle w:val="BodyText"/>
      </w:pPr>
      <w:r w:rsidRPr="009660EC">
        <w:t>In the preparation for this inventory submission, the data for this category underwent Tier 1 and Tier 2 quality checks.</w:t>
      </w:r>
    </w:p>
    <w:p w14:paraId="1B8F808B" w14:textId="77777777" w:rsidR="004543E0" w:rsidRPr="009660EC" w:rsidRDefault="004543E0" w:rsidP="004543E0">
      <w:pPr>
        <w:pStyle w:val="BodyText"/>
      </w:pPr>
      <w:r w:rsidRPr="009660EC">
        <w:t>Table 5.3.6 shows a comparison of the New Zealand-specific 2020 IEF for CH</w:t>
      </w:r>
      <w:r w:rsidRPr="009660EC">
        <w:rPr>
          <w:vertAlign w:val="subscript"/>
        </w:rPr>
        <w:t>4</w:t>
      </w:r>
      <w:r w:rsidRPr="009660EC">
        <w:t xml:space="preserve"> from </w:t>
      </w:r>
      <w:r w:rsidRPr="009660EC">
        <w:rPr>
          <w:i/>
          <w:iCs/>
        </w:rPr>
        <w:t>Manure management</w:t>
      </w:r>
      <w:r w:rsidRPr="009660EC">
        <w:t xml:space="preserve"> with the IPCC (2006) Tier 1 Oceania default, the IPCC Tier 2 net energy-based value and the 2019 Australian-specific IEF for </w:t>
      </w:r>
      <w:r w:rsidRPr="009660EC">
        <w:rPr>
          <w:i/>
          <w:iCs/>
        </w:rPr>
        <w:t>Dairy cattle</w:t>
      </w:r>
      <w:r w:rsidRPr="009660EC">
        <w:t xml:space="preserve">, </w:t>
      </w:r>
      <w:r w:rsidRPr="009660EC">
        <w:rPr>
          <w:i/>
          <w:iCs/>
        </w:rPr>
        <w:t xml:space="preserve">Non-dairy </w:t>
      </w:r>
      <w:r w:rsidRPr="009660EC">
        <w:t>(beef)</w:t>
      </w:r>
      <w:r w:rsidRPr="009660EC">
        <w:rPr>
          <w:i/>
          <w:iCs/>
        </w:rPr>
        <w:t xml:space="preserve"> cattle</w:t>
      </w:r>
      <w:r w:rsidRPr="009660EC">
        <w:t xml:space="preserve"> and </w:t>
      </w:r>
      <w:r w:rsidRPr="009660EC">
        <w:rPr>
          <w:i/>
          <w:iCs/>
        </w:rPr>
        <w:t>Sheep</w:t>
      </w:r>
      <w:r w:rsidRPr="009660EC">
        <w:t>. The IPCC Tier 2 value was determined from net energy equations to determine gross energy for each of New Zealand’s major livestock categories. This information is then used to determine volatile solid excretion and the annual CH</w:t>
      </w:r>
      <w:r w:rsidRPr="009660EC">
        <w:rPr>
          <w:vertAlign w:val="subscript"/>
        </w:rPr>
        <w:t>4</w:t>
      </w:r>
      <w:r w:rsidRPr="009660EC">
        <w:t xml:space="preserve"> emission factors for each livestock category as per the equations described in the 2006 IPCC Guidelines (i.e., equations 10.16, 10.23 and 10.24).</w:t>
      </w:r>
    </w:p>
    <w:p w14:paraId="6B431A7A" w14:textId="77777777" w:rsidR="004543E0" w:rsidRPr="009660EC" w:rsidRDefault="004543E0" w:rsidP="004543E0">
      <w:pPr>
        <w:pStyle w:val="BodyText"/>
      </w:pPr>
      <w:r w:rsidRPr="009660EC">
        <w:t>New Zealand has lower IEFs for CH</w:t>
      </w:r>
      <w:r w:rsidRPr="009660EC">
        <w:rPr>
          <w:vertAlign w:val="subscript"/>
        </w:rPr>
        <w:t>4</w:t>
      </w:r>
      <w:r w:rsidRPr="009660EC">
        <w:t xml:space="preserve"> from </w:t>
      </w:r>
      <w:r w:rsidRPr="009660EC">
        <w:rPr>
          <w:i/>
          <w:iCs/>
        </w:rPr>
        <w:t>Manure management</w:t>
      </w:r>
      <w:r w:rsidRPr="009660EC">
        <w:t xml:space="preserve"> for beef cattle and sheep than the IPCC Tier 1 Oceania default and the IPCC Tier 2 net energy-based emission factors. Additionally, New Zealand has lower dairy and non-dairy IEFs for CH</w:t>
      </w:r>
      <w:r w:rsidRPr="009660EC">
        <w:rPr>
          <w:vertAlign w:val="subscript"/>
        </w:rPr>
        <w:t>4</w:t>
      </w:r>
      <w:r w:rsidRPr="009660EC">
        <w:t xml:space="preserve"> from </w:t>
      </w:r>
      <w:r w:rsidRPr="009660EC">
        <w:rPr>
          <w:i/>
          <w:iCs/>
        </w:rPr>
        <w:t>Manure management</w:t>
      </w:r>
      <w:r w:rsidRPr="009660EC">
        <w:t xml:space="preserve"> than the Australian-specific 2019 IEFs. Differences between New Zealand’s IEFs, the IPCC Tier 1 and Tier 2 and the Australian-specific IEFs are due to the reasons outlined under </w:t>
      </w:r>
      <w:r w:rsidRPr="009660EC">
        <w:rPr>
          <w:i/>
          <w:iCs/>
        </w:rPr>
        <w:t>Enteric fermentation</w:t>
      </w:r>
      <w:r w:rsidRPr="009660EC">
        <w:t xml:space="preserve"> (see section 5.2.4): that is, size and productivity of the animals, the age classes of livestock included in New Zealand’s modelling and the use of different algorithms to determine energy intake. The New Zealand-specific IEF from </w:t>
      </w:r>
      <w:r w:rsidRPr="009660EC">
        <w:rPr>
          <w:i/>
          <w:iCs/>
        </w:rPr>
        <w:t>Manure management</w:t>
      </w:r>
      <w:r w:rsidRPr="009660EC">
        <w:t xml:space="preserve"> for dairy cattle also reflects the activity data on the use of dairy effluent management systems in New Zealand (see section 5.3.2).</w:t>
      </w:r>
    </w:p>
    <w:p w14:paraId="085BAD30" w14:textId="77777777" w:rsidR="004543E0" w:rsidRPr="009660EC" w:rsidRDefault="004543E0" w:rsidP="004543E0">
      <w:pPr>
        <w:pStyle w:val="Table"/>
        <w:rPr>
          <w:rFonts w:cs="Calibri"/>
        </w:rPr>
      </w:pPr>
      <w:bookmarkStart w:id="851" w:name="_Toc441830878"/>
      <w:bookmarkStart w:id="852" w:name="_Toc451176092"/>
      <w:bookmarkStart w:id="853" w:name="_Toc481751520"/>
      <w:bookmarkStart w:id="854" w:name="_Toc507158608"/>
      <w:bookmarkStart w:id="855" w:name="_Toc511116742"/>
      <w:bookmarkStart w:id="856" w:name="_Toc5269482"/>
      <w:bookmarkStart w:id="857" w:name="_Toc32570925"/>
      <w:bookmarkStart w:id="858" w:name="_Toc36224560"/>
      <w:bookmarkStart w:id="859" w:name="_Toc68786445"/>
      <w:bookmarkStart w:id="860" w:name="_Toc95574079"/>
      <w:bookmarkStart w:id="861" w:name="_Toc99659252"/>
      <w:bookmarkStart w:id="862" w:name="_Toc288316755"/>
      <w:bookmarkStart w:id="863" w:name="_Toc352504973"/>
      <w:r w:rsidRPr="009660EC">
        <w:rPr>
          <w:rFonts w:cs="Calibri"/>
        </w:rPr>
        <w:t>Table 5.3.6</w:t>
      </w:r>
      <w:r w:rsidRPr="009660EC">
        <w:rPr>
          <w:rFonts w:cs="Calibri"/>
        </w:rPr>
        <w:tab/>
        <w:t>Comparison of IPCC (2006) table 10A-4 default emission factors and country-specific implied emission factors (IEFs) for methane from manure management</w:t>
      </w:r>
      <w:bookmarkEnd w:id="851"/>
      <w:bookmarkEnd w:id="852"/>
      <w:bookmarkEnd w:id="853"/>
      <w:bookmarkEnd w:id="854"/>
      <w:bookmarkEnd w:id="855"/>
      <w:bookmarkEnd w:id="856"/>
      <w:bookmarkEnd w:id="857"/>
      <w:bookmarkEnd w:id="858"/>
      <w:bookmarkEnd w:id="859"/>
      <w:bookmarkEnd w:id="860"/>
      <w:bookmarkEnd w:id="861"/>
      <w:r w:rsidRPr="009660EC">
        <w:rPr>
          <w:rFonts w:cs="Calibri"/>
        </w:rPr>
        <w:t xml:space="preserve"> </w:t>
      </w:r>
      <w:bookmarkEnd w:id="862"/>
      <w:bookmarkEnd w:id="863"/>
    </w:p>
    <w:tbl>
      <w:tblPr>
        <w:tblW w:w="8505" w:type="dxa"/>
        <w:tblInd w:w="113" w:type="dxa"/>
        <w:tblBorders>
          <w:top w:val="single" w:sz="4" w:space="0" w:color="365F91"/>
          <w:bottom w:val="single" w:sz="4" w:space="0" w:color="365F91"/>
          <w:insideH w:val="single" w:sz="4" w:space="0" w:color="365F91"/>
        </w:tblBorders>
        <w:tblLayout w:type="fixed"/>
        <w:tblCellMar>
          <w:left w:w="57" w:type="dxa"/>
          <w:right w:w="0" w:type="dxa"/>
        </w:tblCellMar>
        <w:tblLook w:val="0000" w:firstRow="0" w:lastRow="0" w:firstColumn="0" w:lastColumn="0" w:noHBand="0" w:noVBand="0"/>
      </w:tblPr>
      <w:tblGrid>
        <w:gridCol w:w="2921"/>
        <w:gridCol w:w="2552"/>
        <w:gridCol w:w="2182"/>
        <w:gridCol w:w="850"/>
      </w:tblGrid>
      <w:tr w:rsidR="0032311A" w:rsidRPr="00AB0F5E" w14:paraId="51593604" w14:textId="77777777" w:rsidTr="004E62A8">
        <w:trPr>
          <w:tblHeader/>
        </w:trPr>
        <w:tc>
          <w:tcPr>
            <w:tcW w:w="2921" w:type="dxa"/>
            <w:tcBorders>
              <w:top w:val="single" w:sz="4" w:space="0" w:color="44546A"/>
              <w:bottom w:val="single" w:sz="4" w:space="0" w:color="44546A"/>
            </w:tcBorders>
            <w:shd w:val="clear" w:color="auto" w:fill="1B556B"/>
            <w:vAlign w:val="bottom"/>
          </w:tcPr>
          <w:p w14:paraId="400FCF72" w14:textId="77777777" w:rsidR="004543E0" w:rsidRPr="00AB0F5E" w:rsidRDefault="004543E0" w:rsidP="007E3239">
            <w:pPr>
              <w:pStyle w:val="TableTextBold"/>
              <w:keepNext/>
              <w:spacing w:after="0"/>
              <w:rPr>
                <w:noProof w:val="0"/>
                <w:color w:val="FFFFFF"/>
                <w:szCs w:val="16"/>
              </w:rPr>
            </w:pPr>
          </w:p>
        </w:tc>
        <w:tc>
          <w:tcPr>
            <w:tcW w:w="5584" w:type="dxa"/>
            <w:gridSpan w:val="3"/>
            <w:tcBorders>
              <w:top w:val="single" w:sz="4" w:space="0" w:color="44546A"/>
              <w:bottom w:val="single" w:sz="4" w:space="0" w:color="44546A"/>
            </w:tcBorders>
            <w:shd w:val="clear" w:color="auto" w:fill="1B556B"/>
            <w:vAlign w:val="bottom"/>
          </w:tcPr>
          <w:p w14:paraId="39962D6B" w14:textId="77777777" w:rsidR="004543E0" w:rsidRPr="00AB0F5E" w:rsidRDefault="004543E0" w:rsidP="007E3239">
            <w:pPr>
              <w:pStyle w:val="TableTextBold"/>
              <w:spacing w:after="0"/>
              <w:jc w:val="center"/>
              <w:rPr>
                <w:noProof w:val="0"/>
                <w:color w:val="FFFFFF"/>
                <w:szCs w:val="16"/>
              </w:rPr>
            </w:pPr>
            <w:r w:rsidRPr="00AB0F5E">
              <w:rPr>
                <w:noProof w:val="0"/>
                <w:color w:val="FFFFFF"/>
                <w:szCs w:val="16"/>
              </w:rPr>
              <w:t>kg CH</w:t>
            </w:r>
            <w:r w:rsidRPr="00AB0F5E">
              <w:rPr>
                <w:noProof w:val="0"/>
                <w:color w:val="FFFFFF"/>
                <w:szCs w:val="16"/>
                <w:vertAlign w:val="subscript"/>
              </w:rPr>
              <w:t>4</w:t>
            </w:r>
            <w:r w:rsidRPr="00AB0F5E">
              <w:rPr>
                <w:noProof w:val="0"/>
                <w:color w:val="FFFFFF"/>
                <w:szCs w:val="16"/>
              </w:rPr>
              <w:t>/head/year</w:t>
            </w:r>
          </w:p>
        </w:tc>
      </w:tr>
      <w:tr w:rsidR="004543E0" w:rsidRPr="00AB0F5E" w14:paraId="022A079D" w14:textId="77777777" w:rsidTr="004E62A8">
        <w:trPr>
          <w:tblHeader/>
        </w:trPr>
        <w:tc>
          <w:tcPr>
            <w:tcW w:w="2921" w:type="dxa"/>
            <w:tcBorders>
              <w:top w:val="single" w:sz="4" w:space="0" w:color="44546A"/>
              <w:bottom w:val="single" w:sz="4" w:space="0" w:color="44546A"/>
            </w:tcBorders>
            <w:shd w:val="clear" w:color="auto" w:fill="1B556B"/>
            <w:vAlign w:val="bottom"/>
          </w:tcPr>
          <w:p w14:paraId="667A109E" w14:textId="77777777" w:rsidR="004543E0" w:rsidRPr="00AB0F5E" w:rsidRDefault="004543E0" w:rsidP="007E3239">
            <w:pPr>
              <w:pStyle w:val="TableTextBold"/>
              <w:keepNext/>
              <w:rPr>
                <w:noProof w:val="0"/>
                <w:color w:val="FFFFFF"/>
                <w:szCs w:val="16"/>
              </w:rPr>
            </w:pPr>
          </w:p>
        </w:tc>
        <w:tc>
          <w:tcPr>
            <w:tcW w:w="2552" w:type="dxa"/>
            <w:tcBorders>
              <w:top w:val="single" w:sz="4" w:space="0" w:color="44546A"/>
              <w:bottom w:val="single" w:sz="4" w:space="0" w:color="44546A"/>
            </w:tcBorders>
            <w:shd w:val="clear" w:color="auto" w:fill="1B556B"/>
            <w:vAlign w:val="bottom"/>
          </w:tcPr>
          <w:p w14:paraId="73DC5D14" w14:textId="77777777" w:rsidR="004543E0" w:rsidRPr="00AB0F5E" w:rsidRDefault="004543E0" w:rsidP="007E3239">
            <w:pPr>
              <w:pStyle w:val="TableTextBold"/>
              <w:spacing w:before="0"/>
              <w:jc w:val="center"/>
              <w:rPr>
                <w:noProof w:val="0"/>
                <w:color w:val="FFFFFF"/>
                <w:szCs w:val="16"/>
              </w:rPr>
            </w:pPr>
            <w:r w:rsidRPr="00AB0F5E">
              <w:rPr>
                <w:noProof w:val="0"/>
                <w:color w:val="FFFFFF"/>
                <w:szCs w:val="16"/>
              </w:rPr>
              <w:t>Dairy cattle</w:t>
            </w:r>
          </w:p>
        </w:tc>
        <w:tc>
          <w:tcPr>
            <w:tcW w:w="2182" w:type="dxa"/>
            <w:tcBorders>
              <w:top w:val="single" w:sz="4" w:space="0" w:color="44546A"/>
              <w:bottom w:val="single" w:sz="4" w:space="0" w:color="44546A"/>
            </w:tcBorders>
            <w:shd w:val="clear" w:color="auto" w:fill="1B556B"/>
            <w:vAlign w:val="bottom"/>
          </w:tcPr>
          <w:p w14:paraId="67EBC6BE" w14:textId="77777777" w:rsidR="004543E0" w:rsidRPr="00AB0F5E" w:rsidRDefault="004543E0" w:rsidP="007E3239">
            <w:pPr>
              <w:pStyle w:val="TableTextBold"/>
              <w:spacing w:before="0"/>
              <w:jc w:val="center"/>
              <w:rPr>
                <w:noProof w:val="0"/>
                <w:color w:val="FFFFFF"/>
                <w:szCs w:val="16"/>
              </w:rPr>
            </w:pPr>
            <w:r w:rsidRPr="00AB0F5E">
              <w:rPr>
                <w:noProof w:val="0"/>
                <w:color w:val="FFFFFF"/>
                <w:szCs w:val="16"/>
              </w:rPr>
              <w:t xml:space="preserve">Non-dairy </w:t>
            </w:r>
            <w:r w:rsidRPr="00AB0F5E">
              <w:rPr>
                <w:i/>
                <w:iCs/>
                <w:noProof w:val="0"/>
                <w:color w:val="FFFFFF"/>
                <w:szCs w:val="16"/>
              </w:rPr>
              <w:t>(beef)</w:t>
            </w:r>
            <w:r w:rsidRPr="00AB0F5E">
              <w:rPr>
                <w:noProof w:val="0"/>
                <w:color w:val="FFFFFF"/>
                <w:szCs w:val="16"/>
              </w:rPr>
              <w:t xml:space="preserve"> cattle</w:t>
            </w:r>
          </w:p>
        </w:tc>
        <w:tc>
          <w:tcPr>
            <w:tcW w:w="850" w:type="dxa"/>
            <w:tcBorders>
              <w:top w:val="single" w:sz="4" w:space="0" w:color="44546A"/>
              <w:bottom w:val="single" w:sz="4" w:space="0" w:color="44546A"/>
            </w:tcBorders>
            <w:shd w:val="clear" w:color="auto" w:fill="1B556B"/>
            <w:vAlign w:val="bottom"/>
          </w:tcPr>
          <w:p w14:paraId="5B34583D" w14:textId="77777777" w:rsidR="004543E0" w:rsidRPr="00AB0F5E" w:rsidRDefault="004543E0" w:rsidP="007E3239">
            <w:pPr>
              <w:pStyle w:val="TableTextBold"/>
              <w:spacing w:before="0"/>
              <w:jc w:val="center"/>
              <w:rPr>
                <w:noProof w:val="0"/>
                <w:color w:val="FFFFFF"/>
                <w:szCs w:val="16"/>
              </w:rPr>
            </w:pPr>
            <w:r w:rsidRPr="00AB0F5E">
              <w:rPr>
                <w:noProof w:val="0"/>
                <w:color w:val="FFFFFF"/>
                <w:szCs w:val="16"/>
              </w:rPr>
              <w:t>Sheep</w:t>
            </w:r>
          </w:p>
        </w:tc>
      </w:tr>
      <w:tr w:rsidR="0032311A" w:rsidRPr="00AB0F5E" w14:paraId="172D1A88" w14:textId="77777777" w:rsidTr="004E62A8">
        <w:trPr>
          <w:trHeight w:val="254"/>
        </w:trPr>
        <w:tc>
          <w:tcPr>
            <w:tcW w:w="2921" w:type="dxa"/>
            <w:tcBorders>
              <w:top w:val="single" w:sz="4" w:space="0" w:color="44546A"/>
            </w:tcBorders>
          </w:tcPr>
          <w:p w14:paraId="2172B148" w14:textId="77777777" w:rsidR="004543E0" w:rsidRPr="00AB0F5E" w:rsidRDefault="004543E0" w:rsidP="007E3239">
            <w:pPr>
              <w:pStyle w:val="TableText"/>
              <w:keepNext/>
              <w:spacing w:before="50" w:after="50"/>
              <w:rPr>
                <w:rFonts w:cs="Calibri"/>
                <w:szCs w:val="16"/>
              </w:rPr>
            </w:pPr>
            <w:r w:rsidRPr="00AB0F5E">
              <w:rPr>
                <w:rFonts w:cs="Calibri"/>
                <w:szCs w:val="16"/>
              </w:rPr>
              <w:t>IPCC Tier 1 Oceania default value (average temperature 15°C (cattle)/developed temperate default value (sheep))</w:t>
            </w:r>
          </w:p>
        </w:tc>
        <w:tc>
          <w:tcPr>
            <w:tcW w:w="2552" w:type="dxa"/>
            <w:tcBorders>
              <w:top w:val="single" w:sz="4" w:space="0" w:color="44546A"/>
            </w:tcBorders>
          </w:tcPr>
          <w:p w14:paraId="4807E72F" w14:textId="77777777" w:rsidR="004543E0" w:rsidRPr="00AB0F5E" w:rsidRDefault="004543E0" w:rsidP="007E3239">
            <w:pPr>
              <w:pStyle w:val="TableText"/>
              <w:jc w:val="center"/>
              <w:rPr>
                <w:rFonts w:cs="Calibri"/>
                <w:szCs w:val="16"/>
              </w:rPr>
            </w:pPr>
            <w:r w:rsidRPr="00AB0F5E">
              <w:rPr>
                <w:rFonts w:cs="Calibri"/>
                <w:szCs w:val="16"/>
              </w:rPr>
              <w:t>27.00</w:t>
            </w:r>
          </w:p>
        </w:tc>
        <w:tc>
          <w:tcPr>
            <w:tcW w:w="2182" w:type="dxa"/>
            <w:tcBorders>
              <w:top w:val="single" w:sz="4" w:space="0" w:color="44546A"/>
            </w:tcBorders>
          </w:tcPr>
          <w:p w14:paraId="723CC040" w14:textId="77777777" w:rsidR="004543E0" w:rsidRPr="00AB0F5E" w:rsidRDefault="004543E0" w:rsidP="007E3239">
            <w:pPr>
              <w:pStyle w:val="TableText"/>
              <w:spacing w:before="50" w:after="50"/>
              <w:jc w:val="center"/>
              <w:rPr>
                <w:rFonts w:cs="Calibri"/>
                <w:szCs w:val="16"/>
              </w:rPr>
            </w:pPr>
            <w:r w:rsidRPr="00AB0F5E">
              <w:rPr>
                <w:rFonts w:cs="Calibri"/>
                <w:szCs w:val="16"/>
              </w:rPr>
              <w:t>2.00</w:t>
            </w:r>
          </w:p>
        </w:tc>
        <w:tc>
          <w:tcPr>
            <w:tcW w:w="850" w:type="dxa"/>
            <w:tcBorders>
              <w:top w:val="single" w:sz="4" w:space="0" w:color="44546A"/>
            </w:tcBorders>
          </w:tcPr>
          <w:p w14:paraId="1FA850B6" w14:textId="77777777" w:rsidR="004543E0" w:rsidRPr="00AB0F5E" w:rsidRDefault="004543E0" w:rsidP="007E3239">
            <w:pPr>
              <w:pStyle w:val="TableText"/>
              <w:spacing w:before="50" w:after="50"/>
              <w:jc w:val="center"/>
              <w:rPr>
                <w:rFonts w:cs="Calibri"/>
                <w:szCs w:val="16"/>
              </w:rPr>
            </w:pPr>
            <w:r w:rsidRPr="00AB0F5E">
              <w:rPr>
                <w:rFonts w:cs="Calibri"/>
                <w:szCs w:val="16"/>
              </w:rPr>
              <w:t>0.28</w:t>
            </w:r>
          </w:p>
        </w:tc>
      </w:tr>
      <w:tr w:rsidR="004543E0" w:rsidRPr="00AB0F5E" w14:paraId="6CB087A7" w14:textId="77777777" w:rsidTr="004E62A8">
        <w:trPr>
          <w:trHeight w:val="254"/>
        </w:trPr>
        <w:tc>
          <w:tcPr>
            <w:tcW w:w="2921" w:type="dxa"/>
            <w:shd w:val="clear" w:color="auto" w:fill="auto"/>
          </w:tcPr>
          <w:p w14:paraId="385F80AA" w14:textId="77777777" w:rsidR="004543E0" w:rsidRPr="00AB0F5E" w:rsidRDefault="004543E0" w:rsidP="007E3239">
            <w:pPr>
              <w:pStyle w:val="TableText"/>
              <w:keepNext/>
              <w:spacing w:before="50" w:after="50"/>
              <w:rPr>
                <w:rFonts w:cs="Calibri"/>
                <w:szCs w:val="16"/>
              </w:rPr>
            </w:pPr>
            <w:r w:rsidRPr="00AB0F5E">
              <w:rPr>
                <w:rFonts w:cs="Calibri"/>
                <w:szCs w:val="16"/>
              </w:rPr>
              <w:t>IPCC Tier 2 net energy-based value</w:t>
            </w:r>
          </w:p>
        </w:tc>
        <w:tc>
          <w:tcPr>
            <w:tcW w:w="2552" w:type="dxa"/>
            <w:shd w:val="clear" w:color="auto" w:fill="auto"/>
          </w:tcPr>
          <w:p w14:paraId="42D7C882" w14:textId="77777777" w:rsidR="004543E0" w:rsidRPr="00AB0F5E" w:rsidRDefault="004543E0" w:rsidP="007E3239">
            <w:pPr>
              <w:pStyle w:val="TableText"/>
              <w:jc w:val="center"/>
              <w:rPr>
                <w:rFonts w:cs="Calibri"/>
                <w:szCs w:val="16"/>
              </w:rPr>
            </w:pPr>
            <w:r w:rsidRPr="00AB0F5E">
              <w:rPr>
                <w:rFonts w:cs="Calibri"/>
                <w:szCs w:val="16"/>
              </w:rPr>
              <w:t>5.97</w:t>
            </w:r>
          </w:p>
        </w:tc>
        <w:tc>
          <w:tcPr>
            <w:tcW w:w="2182" w:type="dxa"/>
            <w:shd w:val="clear" w:color="auto" w:fill="auto"/>
          </w:tcPr>
          <w:p w14:paraId="6B33F964" w14:textId="77777777" w:rsidR="004543E0" w:rsidRPr="00AB0F5E" w:rsidRDefault="004543E0" w:rsidP="007E3239">
            <w:pPr>
              <w:pStyle w:val="TableText"/>
              <w:spacing w:before="50" w:after="50"/>
              <w:jc w:val="center"/>
              <w:rPr>
                <w:rFonts w:cs="Calibri"/>
                <w:szCs w:val="16"/>
              </w:rPr>
            </w:pPr>
            <w:r w:rsidRPr="00AB0F5E">
              <w:rPr>
                <w:rFonts w:cs="Calibri"/>
                <w:szCs w:val="16"/>
              </w:rPr>
              <w:t>0.82</w:t>
            </w:r>
          </w:p>
        </w:tc>
        <w:tc>
          <w:tcPr>
            <w:tcW w:w="850" w:type="dxa"/>
            <w:shd w:val="clear" w:color="auto" w:fill="auto"/>
          </w:tcPr>
          <w:p w14:paraId="43F36D2F" w14:textId="77777777" w:rsidR="004543E0" w:rsidRPr="00AB0F5E" w:rsidRDefault="004543E0" w:rsidP="007E3239">
            <w:pPr>
              <w:pStyle w:val="TableText"/>
              <w:spacing w:before="50" w:after="50"/>
              <w:jc w:val="center"/>
              <w:rPr>
                <w:rFonts w:cs="Calibri"/>
                <w:szCs w:val="16"/>
              </w:rPr>
            </w:pPr>
            <w:r w:rsidRPr="00AB0F5E">
              <w:rPr>
                <w:rFonts w:cs="Calibri"/>
                <w:szCs w:val="16"/>
              </w:rPr>
              <w:t>0.18</w:t>
            </w:r>
          </w:p>
        </w:tc>
      </w:tr>
      <w:tr w:rsidR="004543E0" w:rsidRPr="00AB0F5E" w14:paraId="6F05DBF5" w14:textId="77777777" w:rsidTr="004E62A8">
        <w:trPr>
          <w:trHeight w:val="254"/>
        </w:trPr>
        <w:tc>
          <w:tcPr>
            <w:tcW w:w="2921" w:type="dxa"/>
          </w:tcPr>
          <w:p w14:paraId="4B50FADE" w14:textId="77777777" w:rsidR="004543E0" w:rsidRPr="00AB0F5E" w:rsidRDefault="004543E0" w:rsidP="007E3239">
            <w:pPr>
              <w:pStyle w:val="TableText"/>
              <w:spacing w:before="50" w:after="50"/>
              <w:rPr>
                <w:rFonts w:cs="Calibri"/>
                <w:szCs w:val="16"/>
              </w:rPr>
            </w:pPr>
            <w:r w:rsidRPr="00AB0F5E">
              <w:rPr>
                <w:rFonts w:cs="Calibri"/>
                <w:szCs w:val="16"/>
              </w:rPr>
              <w:t>Australian-specific IEF 2019 value</w:t>
            </w:r>
            <w:r w:rsidRPr="00AB0F5E">
              <w:rPr>
                <w:rStyle w:val="FootnoteReference"/>
                <w:rFonts w:cs="Calibri"/>
                <w:sz w:val="16"/>
                <w:szCs w:val="16"/>
              </w:rPr>
              <w:footnoteReference w:id="56"/>
            </w:r>
          </w:p>
        </w:tc>
        <w:tc>
          <w:tcPr>
            <w:tcW w:w="2552" w:type="dxa"/>
          </w:tcPr>
          <w:p w14:paraId="7CB4F162" w14:textId="77777777" w:rsidR="004543E0" w:rsidRPr="00AB0F5E" w:rsidRDefault="004543E0" w:rsidP="007E3239">
            <w:pPr>
              <w:pStyle w:val="TableText"/>
              <w:jc w:val="center"/>
              <w:rPr>
                <w:rFonts w:cs="Calibri"/>
                <w:szCs w:val="16"/>
              </w:rPr>
            </w:pPr>
            <w:r w:rsidRPr="00AB0F5E">
              <w:rPr>
                <w:rFonts w:cs="Calibri"/>
                <w:szCs w:val="16"/>
              </w:rPr>
              <w:t>14.82</w:t>
            </w:r>
          </w:p>
        </w:tc>
        <w:tc>
          <w:tcPr>
            <w:tcW w:w="2182" w:type="dxa"/>
          </w:tcPr>
          <w:p w14:paraId="449D3B88" w14:textId="77777777" w:rsidR="004543E0" w:rsidRPr="00AB0F5E" w:rsidRDefault="004543E0" w:rsidP="007E3239">
            <w:pPr>
              <w:pStyle w:val="TableText"/>
              <w:spacing w:before="50" w:after="0"/>
              <w:jc w:val="center"/>
              <w:rPr>
                <w:rFonts w:cs="Calibri"/>
                <w:color w:val="000000"/>
                <w:szCs w:val="16"/>
              </w:rPr>
            </w:pPr>
            <w:r w:rsidRPr="00AB0F5E">
              <w:rPr>
                <w:rFonts w:cs="Calibri"/>
                <w:color w:val="000000"/>
                <w:szCs w:val="16"/>
              </w:rPr>
              <w:t>4.86 (pasture)</w:t>
            </w:r>
          </w:p>
          <w:p w14:paraId="5F019EDB" w14:textId="77777777" w:rsidR="004543E0" w:rsidRPr="00AB0F5E" w:rsidRDefault="004543E0" w:rsidP="007E3239">
            <w:pPr>
              <w:pStyle w:val="TableText"/>
              <w:spacing w:before="50" w:after="50"/>
              <w:jc w:val="center"/>
              <w:rPr>
                <w:rFonts w:cs="Calibri"/>
                <w:color w:val="000000"/>
                <w:szCs w:val="16"/>
              </w:rPr>
            </w:pPr>
            <w:r w:rsidRPr="00AB0F5E">
              <w:rPr>
                <w:rFonts w:cs="Calibri"/>
                <w:szCs w:val="16"/>
              </w:rPr>
              <w:t>3.48 (feedlot)</w:t>
            </w:r>
          </w:p>
        </w:tc>
        <w:tc>
          <w:tcPr>
            <w:tcW w:w="850" w:type="dxa"/>
          </w:tcPr>
          <w:p w14:paraId="5C381837" w14:textId="77777777" w:rsidR="004543E0" w:rsidRPr="00AB0F5E" w:rsidRDefault="004543E0" w:rsidP="007E3239">
            <w:pPr>
              <w:pStyle w:val="TableText"/>
              <w:spacing w:before="50" w:after="50"/>
              <w:jc w:val="center"/>
              <w:rPr>
                <w:rFonts w:cs="Calibri"/>
                <w:szCs w:val="16"/>
              </w:rPr>
            </w:pPr>
            <w:r w:rsidRPr="00AB0F5E">
              <w:rPr>
                <w:rFonts w:cs="Calibri"/>
                <w:color w:val="000000"/>
                <w:szCs w:val="16"/>
              </w:rPr>
              <w:t>0.34</w:t>
            </w:r>
          </w:p>
        </w:tc>
      </w:tr>
      <w:tr w:rsidR="004543E0" w:rsidRPr="00AB0F5E" w14:paraId="6F7A8CC6" w14:textId="77777777" w:rsidTr="004E62A8">
        <w:trPr>
          <w:trHeight w:val="254"/>
        </w:trPr>
        <w:tc>
          <w:tcPr>
            <w:tcW w:w="2921" w:type="dxa"/>
          </w:tcPr>
          <w:p w14:paraId="4ED42802" w14:textId="77777777" w:rsidR="004543E0" w:rsidRPr="00AB0F5E" w:rsidRDefault="004543E0" w:rsidP="007E3239">
            <w:pPr>
              <w:pStyle w:val="TableText"/>
              <w:spacing w:before="50" w:after="50"/>
              <w:rPr>
                <w:rFonts w:cs="Calibri"/>
                <w:szCs w:val="16"/>
              </w:rPr>
            </w:pPr>
            <w:r w:rsidRPr="00AB0F5E">
              <w:rPr>
                <w:rFonts w:cs="Calibri"/>
                <w:szCs w:val="16"/>
              </w:rPr>
              <w:t>New Zealand-specific IEF 2020 value</w:t>
            </w:r>
          </w:p>
        </w:tc>
        <w:tc>
          <w:tcPr>
            <w:tcW w:w="2552" w:type="dxa"/>
          </w:tcPr>
          <w:p w14:paraId="3C0FC50B" w14:textId="77777777" w:rsidR="004543E0" w:rsidRPr="00AB0F5E" w:rsidRDefault="004543E0" w:rsidP="007E3239">
            <w:pPr>
              <w:pStyle w:val="TableText"/>
              <w:spacing w:after="20"/>
              <w:jc w:val="center"/>
              <w:rPr>
                <w:rFonts w:cs="Calibri"/>
                <w:szCs w:val="16"/>
              </w:rPr>
            </w:pPr>
            <w:r w:rsidRPr="00AB0F5E">
              <w:rPr>
                <w:rFonts w:cs="Calibri"/>
                <w:szCs w:val="16"/>
              </w:rPr>
              <w:t>8.95 (all dairy cattle, including calves)</w:t>
            </w:r>
          </w:p>
          <w:p w14:paraId="44071B8D" w14:textId="77777777" w:rsidR="004543E0" w:rsidRPr="00AB0F5E" w:rsidRDefault="004543E0" w:rsidP="007E3239">
            <w:pPr>
              <w:pStyle w:val="TableText"/>
              <w:spacing w:before="0"/>
              <w:jc w:val="center"/>
              <w:rPr>
                <w:rFonts w:cs="Calibri"/>
                <w:szCs w:val="16"/>
              </w:rPr>
            </w:pPr>
            <w:r w:rsidRPr="00AB0F5E">
              <w:rPr>
                <w:rFonts w:cs="Calibri"/>
                <w:szCs w:val="16"/>
              </w:rPr>
              <w:t>11.08 (mature milking cows only)</w:t>
            </w:r>
          </w:p>
        </w:tc>
        <w:tc>
          <w:tcPr>
            <w:tcW w:w="2182" w:type="dxa"/>
          </w:tcPr>
          <w:p w14:paraId="5FB8C0EB" w14:textId="77777777" w:rsidR="004543E0" w:rsidRPr="00AB0F5E" w:rsidRDefault="004543E0" w:rsidP="007E3239">
            <w:pPr>
              <w:pStyle w:val="TableText"/>
              <w:spacing w:before="50" w:after="50"/>
              <w:jc w:val="center"/>
              <w:rPr>
                <w:rFonts w:cs="Calibri"/>
                <w:color w:val="000000"/>
                <w:szCs w:val="16"/>
              </w:rPr>
            </w:pPr>
            <w:r w:rsidRPr="00AB0F5E">
              <w:rPr>
                <w:szCs w:val="16"/>
              </w:rPr>
              <w:t>0.85</w:t>
            </w:r>
          </w:p>
        </w:tc>
        <w:tc>
          <w:tcPr>
            <w:tcW w:w="850" w:type="dxa"/>
          </w:tcPr>
          <w:p w14:paraId="4DCDE943" w14:textId="77777777" w:rsidR="004543E0" w:rsidRPr="00AB0F5E" w:rsidRDefault="004543E0" w:rsidP="007E3239">
            <w:pPr>
              <w:pStyle w:val="TableText"/>
              <w:spacing w:before="50" w:after="50"/>
              <w:jc w:val="center"/>
              <w:rPr>
                <w:rFonts w:cs="Calibri"/>
                <w:color w:val="000000"/>
                <w:szCs w:val="16"/>
              </w:rPr>
            </w:pPr>
            <w:r w:rsidRPr="00AB0F5E">
              <w:rPr>
                <w:szCs w:val="16"/>
              </w:rPr>
              <w:t>0.14</w:t>
            </w:r>
          </w:p>
        </w:tc>
      </w:tr>
    </w:tbl>
    <w:p w14:paraId="4B77752D" w14:textId="77777777" w:rsidR="004543E0" w:rsidRPr="009660EC" w:rsidRDefault="004543E0" w:rsidP="004543E0">
      <w:pPr>
        <w:pStyle w:val="Heading3"/>
      </w:pPr>
      <w:bookmarkStart w:id="864" w:name="_Toc139253928"/>
      <w:bookmarkStart w:id="865" w:name="_Toc32570662"/>
      <w:r w:rsidRPr="009660EC">
        <w:lastRenderedPageBreak/>
        <w:t>5.3.5</w:t>
      </w:r>
      <w:r w:rsidRPr="009660EC">
        <w:tab/>
        <w:t>Source-specific recalculations</w:t>
      </w:r>
      <w:bookmarkEnd w:id="864"/>
      <w:bookmarkEnd w:id="865"/>
    </w:p>
    <w:p w14:paraId="40D712E5" w14:textId="77777777" w:rsidR="004543E0" w:rsidRPr="009660EC" w:rsidRDefault="004543E0" w:rsidP="004543E0">
      <w:pPr>
        <w:pStyle w:val="BodyText"/>
        <w:rPr>
          <w:rFonts w:cs="Calibri"/>
        </w:rPr>
      </w:pPr>
      <w:bookmarkStart w:id="866" w:name="_Toc134847206"/>
      <w:bookmarkStart w:id="867" w:name="_Toc69611741"/>
      <w:bookmarkStart w:id="868" w:name="_Toc69612697"/>
      <w:bookmarkStart w:id="869" w:name="_Toc69612896"/>
      <w:bookmarkStart w:id="870" w:name="_Toc69613156"/>
      <w:bookmarkStart w:id="871" w:name="_Toc69633320"/>
      <w:bookmarkStart w:id="872" w:name="_Toc69717485"/>
      <w:bookmarkStart w:id="873" w:name="_Toc69802967"/>
      <w:bookmarkStart w:id="874" w:name="_Toc69815104"/>
      <w:bookmarkStart w:id="875" w:name="_Toc70492397"/>
      <w:bookmarkStart w:id="876" w:name="_Toc101310604"/>
      <w:bookmarkStart w:id="877" w:name="_Toc101318464"/>
      <w:bookmarkStart w:id="878" w:name="_Toc101318569"/>
      <w:bookmarkStart w:id="879" w:name="_Toc101318753"/>
      <w:bookmarkStart w:id="880" w:name="_Toc101334029"/>
      <w:r w:rsidRPr="009660EC">
        <w:rPr>
          <w:rFonts w:cs="Calibri"/>
        </w:rPr>
        <w:t xml:space="preserve">No recalculations of emissions estimates in the </w:t>
      </w:r>
      <w:r w:rsidRPr="009660EC">
        <w:rPr>
          <w:rFonts w:cs="Calibri"/>
          <w:i/>
          <w:iCs/>
        </w:rPr>
        <w:t>Manure management</w:t>
      </w:r>
      <w:r w:rsidRPr="009660EC">
        <w:rPr>
          <w:rFonts w:cs="Calibri"/>
        </w:rPr>
        <w:t xml:space="preserve"> category were implemented in the 2022 inventory compilation. Some emissions figures have been slightly affected by revisions of agricultural data, particularly for the most recent year. For more information, see chapter 10, section 10.1.3 </w:t>
      </w:r>
      <w:r w:rsidRPr="009660EC">
        <w:rPr>
          <w:rFonts w:cs="Calibri"/>
          <w:i/>
          <w:iCs/>
        </w:rPr>
        <w:t>Revision of agricultural statistics</w:t>
      </w:r>
      <w:r w:rsidRPr="009660EC">
        <w:rPr>
          <w:rFonts w:cs="Calibri"/>
        </w:rPr>
        <w:t>.</w:t>
      </w:r>
    </w:p>
    <w:p w14:paraId="15FCA2FA" w14:textId="77777777" w:rsidR="004543E0" w:rsidRPr="009660EC" w:rsidRDefault="004543E0" w:rsidP="004543E0">
      <w:pPr>
        <w:pStyle w:val="Heading3"/>
      </w:pPr>
      <w:bookmarkStart w:id="881" w:name="_Toc32570663"/>
      <w:r w:rsidRPr="009660EC">
        <w:t>5.3.6</w:t>
      </w:r>
      <w:r w:rsidRPr="009660EC">
        <w:tab/>
        <w:t>Source-specific planned improvements</w:t>
      </w:r>
      <w:bookmarkEnd w:id="881"/>
      <w:r w:rsidRPr="009660EC">
        <w:t xml:space="preserve"> </w:t>
      </w:r>
    </w:p>
    <w:bookmarkEnd w:id="866"/>
    <w:p w14:paraId="180504C0" w14:textId="77777777" w:rsidR="004543E0" w:rsidRPr="009660EC" w:rsidRDefault="004543E0" w:rsidP="004543E0">
      <w:pPr>
        <w:pStyle w:val="BodyText"/>
        <w:rPr>
          <w:rFonts w:cs="Calibri"/>
        </w:rPr>
      </w:pPr>
      <w:r w:rsidRPr="009660EC">
        <w:rPr>
          <w:rFonts w:cs="Calibri"/>
        </w:rPr>
        <w:t xml:space="preserve">The following section covers the planned improvements being undertaken for </w:t>
      </w:r>
      <w:r w:rsidRPr="009660EC">
        <w:rPr>
          <w:rFonts w:cs="Calibri"/>
          <w:i/>
          <w:iCs/>
        </w:rPr>
        <w:t>Manure management</w:t>
      </w:r>
      <w:r w:rsidRPr="009660EC">
        <w:rPr>
          <w:rFonts w:cs="Calibri"/>
        </w:rPr>
        <w:t xml:space="preserve">. These findings may be incorporated in future annual inventory submissions. </w:t>
      </w:r>
    </w:p>
    <w:p w14:paraId="1393E882" w14:textId="77777777" w:rsidR="004543E0" w:rsidRPr="009660EC" w:rsidRDefault="004543E0" w:rsidP="004543E0">
      <w:pPr>
        <w:pStyle w:val="Heading5"/>
        <w:spacing w:before="160"/>
        <w:rPr>
          <w:rFonts w:cs="Calibri"/>
        </w:rPr>
      </w:pPr>
      <w:r w:rsidRPr="009660EC">
        <w:rPr>
          <w:rFonts w:cs="Calibri"/>
        </w:rPr>
        <w:t>Review of the methane conversion factor for dairy cattle</w:t>
      </w:r>
    </w:p>
    <w:p w14:paraId="2C4B83E4" w14:textId="77777777" w:rsidR="004543E0" w:rsidRPr="009660EC" w:rsidRDefault="004543E0" w:rsidP="004543E0">
      <w:pPr>
        <w:pStyle w:val="BodyText"/>
        <w:rPr>
          <w:rFonts w:cs="Calibri"/>
        </w:rPr>
      </w:pPr>
      <w:r w:rsidRPr="009660EC">
        <w:rPr>
          <w:rFonts w:cs="Calibri"/>
        </w:rPr>
        <w:t>A research project is under way that aims to review the methane conversion factor (MCF) for the calculation of CH</w:t>
      </w:r>
      <w:r w:rsidRPr="009660EC">
        <w:rPr>
          <w:rFonts w:cs="Calibri"/>
          <w:vertAlign w:val="subscript"/>
        </w:rPr>
        <w:t>4</w:t>
      </w:r>
      <w:r w:rsidRPr="009660EC">
        <w:rPr>
          <w:rFonts w:cs="Calibri"/>
        </w:rPr>
        <w:t xml:space="preserve"> from manure deposited in anaerobic lagoons from dairy cattle. The current vales for the MCF is 0.74, based on the 2006 IPCC default value for uncovered anaerobic lagoons at an annual temperature of 15 degrees Celsius.</w:t>
      </w:r>
    </w:p>
    <w:p w14:paraId="680F924D" w14:textId="77777777" w:rsidR="004543E0" w:rsidRPr="009660EC" w:rsidRDefault="004543E0" w:rsidP="004543E0">
      <w:pPr>
        <w:pStyle w:val="BodyText"/>
        <w:rPr>
          <w:rFonts w:cs="Calibri"/>
        </w:rPr>
      </w:pPr>
      <w:r w:rsidRPr="009660EC">
        <w:rPr>
          <w:rFonts w:cs="Calibri"/>
        </w:rPr>
        <w:t>The aim of this research is to review and, if deemed necessary, revise the MCF to a suitable New Zealand-specific value or values to improve the accuracy of dairy cattle manure CH</w:t>
      </w:r>
      <w:r w:rsidRPr="009660EC">
        <w:rPr>
          <w:rFonts w:cs="Calibri"/>
          <w:vertAlign w:val="subscript"/>
        </w:rPr>
        <w:t>4</w:t>
      </w:r>
      <w:r w:rsidRPr="009660EC">
        <w:rPr>
          <w:rFonts w:cs="Calibri"/>
        </w:rPr>
        <w:t xml:space="preserve"> emissions. The research is scheduled to be completed in 2022, with recommendations that could be implemented in the 2023 NIR.</w:t>
      </w:r>
    </w:p>
    <w:p w14:paraId="386C70F6" w14:textId="77777777" w:rsidR="004543E0" w:rsidRPr="009660EC" w:rsidRDefault="004543E0" w:rsidP="004543E0">
      <w:pPr>
        <w:pStyle w:val="Heading5"/>
        <w:rPr>
          <w:rFonts w:cs="Calibri"/>
        </w:rPr>
      </w:pPr>
      <w:r w:rsidRPr="009660EC">
        <w:rPr>
          <w:rFonts w:cs="Calibri"/>
        </w:rPr>
        <w:t>Pork industry survey</w:t>
      </w:r>
    </w:p>
    <w:p w14:paraId="333650CE" w14:textId="77777777" w:rsidR="004543E0" w:rsidRPr="009660EC" w:rsidRDefault="004543E0" w:rsidP="004543E0">
      <w:pPr>
        <w:pStyle w:val="BodyText"/>
        <w:rPr>
          <w:rFonts w:cs="Calibri"/>
        </w:rPr>
      </w:pPr>
      <w:r w:rsidRPr="009660EC">
        <w:rPr>
          <w:rFonts w:cs="Calibri"/>
        </w:rPr>
        <w:t>This project will redesign and update a survey that was previously sent out to the New Zealand pork industry, with the purpose of improving the accuracy of the data used to estimate emissions from swine. A large portion of the new survey will focus on the use of manure management systems in the pork industry, and will be designed in a way that ensures the results are compatible with the 2006 IPCC Guidelines for National Greenhouse Gas Inventories as well as the 2019 Refinement.</w:t>
      </w:r>
    </w:p>
    <w:p w14:paraId="45C6B498" w14:textId="77777777" w:rsidR="004543E0" w:rsidRPr="009660EC" w:rsidRDefault="004543E0" w:rsidP="004543E0">
      <w:pPr>
        <w:pStyle w:val="BodyText"/>
        <w:rPr>
          <w:rFonts w:cs="Calibri"/>
        </w:rPr>
      </w:pPr>
      <w:r w:rsidRPr="009660EC">
        <w:rPr>
          <w:rFonts w:cs="Calibri"/>
          <w:spacing w:val="-2"/>
        </w:rPr>
        <w:t>In the 10 years since the initial survey was taken, the swine industry has evolved and progressed</w:t>
      </w:r>
      <w:r w:rsidRPr="009660EC">
        <w:rPr>
          <w:rFonts w:cs="Calibri"/>
        </w:rPr>
        <w:t xml:space="preserve"> to the point that the data currently used in the methodology may no longer accurately reflect that of the industry. This survey will provide more up-to-date information, leading to a more accurate estimate of emissions. It is hoped that the results of the new survey will be implemented in the 2023 or 2024 inventory submission.</w:t>
      </w:r>
    </w:p>
    <w:p w14:paraId="730B092D" w14:textId="77777777" w:rsidR="004543E0" w:rsidRPr="009660EC" w:rsidRDefault="004543E0" w:rsidP="004543E0">
      <w:pPr>
        <w:pStyle w:val="Heading2"/>
      </w:pPr>
      <w:bookmarkStart w:id="882" w:name="_Toc134847207"/>
      <w:bookmarkStart w:id="883" w:name="_Toc139253930"/>
      <w:bookmarkStart w:id="884" w:name="_Toc144710415"/>
      <w:bookmarkStart w:id="885" w:name="_Toc165890369"/>
      <w:bookmarkStart w:id="886" w:name="_Toc195322663"/>
      <w:bookmarkStart w:id="887" w:name="_Toc235955529"/>
      <w:bookmarkStart w:id="888" w:name="_Toc288316642"/>
      <w:bookmarkStart w:id="889" w:name="_Toc352504862"/>
      <w:bookmarkStart w:id="890" w:name="_Toc448321525"/>
      <w:bookmarkStart w:id="891" w:name="_Toc481751387"/>
      <w:bookmarkStart w:id="892" w:name="_Toc511116602"/>
      <w:bookmarkStart w:id="893" w:name="_Toc5269364"/>
      <w:bookmarkStart w:id="894" w:name="_Toc32570664"/>
      <w:bookmarkStart w:id="895" w:name="_Toc36224404"/>
      <w:bookmarkStart w:id="896" w:name="_Toc68786324"/>
      <w:bookmarkStart w:id="897" w:name="_Toc99659131"/>
      <w:r w:rsidRPr="009660EC">
        <w:t>5.4</w:t>
      </w:r>
      <w:r w:rsidRPr="009660EC">
        <w:tab/>
        <w:t>Rice cultivation (CRF 3.C)</w:t>
      </w:r>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p>
    <w:p w14:paraId="096BFB03" w14:textId="77777777" w:rsidR="004543E0" w:rsidRPr="009660EC" w:rsidRDefault="004543E0" w:rsidP="004543E0">
      <w:pPr>
        <w:pStyle w:val="Heading3"/>
        <w:spacing w:before="240"/>
      </w:pPr>
      <w:bookmarkStart w:id="898" w:name="_Toc139253931"/>
      <w:bookmarkStart w:id="899" w:name="_Toc32570665"/>
      <w:r w:rsidRPr="009660EC">
        <w:t>5.4.1</w:t>
      </w:r>
      <w:r w:rsidRPr="009660EC">
        <w:tab/>
        <w:t>Description</w:t>
      </w:r>
      <w:bookmarkEnd w:id="898"/>
      <w:bookmarkEnd w:id="899"/>
    </w:p>
    <w:p w14:paraId="0E8958B7" w14:textId="77777777" w:rsidR="004543E0" w:rsidRPr="009660EC" w:rsidRDefault="004543E0" w:rsidP="004543E0">
      <w:pPr>
        <w:pStyle w:val="BodyText"/>
        <w:rPr>
          <w:rFonts w:cs="Calibri"/>
        </w:rPr>
      </w:pPr>
      <w:r w:rsidRPr="009660EC">
        <w:rPr>
          <w:rFonts w:cs="Calibri"/>
        </w:rPr>
        <w:t xml:space="preserve">At present, no commercial rice cultivation is carried out in New Zealand. This has been confirmed with experts from Plant and Food Research, a New Zealand Crown research institute. The ‘NO’ (not occurring) notation is reported in the CRF tables. </w:t>
      </w:r>
    </w:p>
    <w:p w14:paraId="461D27EA" w14:textId="77777777" w:rsidR="004543E0" w:rsidRPr="009660EC" w:rsidRDefault="004543E0" w:rsidP="004543E0">
      <w:pPr>
        <w:pStyle w:val="Heading2"/>
      </w:pPr>
      <w:bookmarkStart w:id="900" w:name="_Toc69611742"/>
      <w:bookmarkStart w:id="901" w:name="_Toc69612698"/>
      <w:bookmarkStart w:id="902" w:name="_Toc69612897"/>
      <w:bookmarkStart w:id="903" w:name="_Toc69613157"/>
      <w:bookmarkStart w:id="904" w:name="_Toc69633321"/>
      <w:bookmarkStart w:id="905" w:name="_Toc69717486"/>
      <w:bookmarkStart w:id="906" w:name="_Toc69802968"/>
      <w:bookmarkStart w:id="907" w:name="_Toc69815105"/>
      <w:bookmarkStart w:id="908" w:name="_Toc70492398"/>
      <w:bookmarkStart w:id="909" w:name="_Toc101310605"/>
      <w:bookmarkStart w:id="910" w:name="_Toc101318465"/>
      <w:bookmarkStart w:id="911" w:name="_Toc101318570"/>
      <w:bookmarkStart w:id="912" w:name="_Toc101318754"/>
      <w:bookmarkStart w:id="913" w:name="_Toc101334030"/>
      <w:bookmarkStart w:id="914" w:name="_Toc134847208"/>
      <w:bookmarkStart w:id="915" w:name="_Toc139253932"/>
      <w:bookmarkStart w:id="916" w:name="_Toc144710416"/>
      <w:bookmarkStart w:id="917" w:name="_Toc165890370"/>
      <w:bookmarkStart w:id="918" w:name="_Toc195322664"/>
      <w:bookmarkStart w:id="919" w:name="_Toc235955530"/>
      <w:bookmarkStart w:id="920" w:name="_Toc288316643"/>
      <w:bookmarkStart w:id="921" w:name="_Toc352504863"/>
      <w:bookmarkStart w:id="922" w:name="_Toc448321526"/>
      <w:bookmarkStart w:id="923" w:name="_Toc481751388"/>
      <w:bookmarkStart w:id="924" w:name="_Toc511116603"/>
      <w:bookmarkStart w:id="925" w:name="_Toc5269365"/>
      <w:bookmarkStart w:id="926" w:name="_Toc32570666"/>
      <w:bookmarkStart w:id="927" w:name="_Toc36224405"/>
      <w:bookmarkStart w:id="928" w:name="_Toc68786325"/>
      <w:bookmarkStart w:id="929" w:name="_Toc99659132"/>
      <w:r w:rsidRPr="009660EC">
        <w:t>5.5</w:t>
      </w:r>
      <w:r w:rsidRPr="009660EC">
        <w:tab/>
        <w:t>Agricultural soils (CRF 3.D)</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p>
    <w:p w14:paraId="67912821" w14:textId="77777777" w:rsidR="004543E0" w:rsidRPr="009660EC" w:rsidRDefault="004543E0" w:rsidP="004543E0">
      <w:pPr>
        <w:pStyle w:val="Heading3"/>
        <w:spacing w:before="240"/>
      </w:pPr>
      <w:bookmarkStart w:id="930" w:name="_Toc139253933"/>
      <w:bookmarkStart w:id="931" w:name="_Toc32570667"/>
      <w:r w:rsidRPr="009660EC">
        <w:t>5.5.1</w:t>
      </w:r>
      <w:r w:rsidRPr="009660EC">
        <w:tab/>
        <w:t>Description</w:t>
      </w:r>
      <w:bookmarkEnd w:id="930"/>
      <w:bookmarkEnd w:id="931"/>
    </w:p>
    <w:p w14:paraId="46BD57F3" w14:textId="77777777" w:rsidR="004543E0" w:rsidRPr="009660EC" w:rsidRDefault="004543E0" w:rsidP="004543E0">
      <w:pPr>
        <w:pStyle w:val="BodyText"/>
        <w:rPr>
          <w:rFonts w:cs="Calibri"/>
        </w:rPr>
      </w:pPr>
      <w:r w:rsidRPr="009660EC">
        <w:rPr>
          <w:rFonts w:cs="Calibri"/>
        </w:rPr>
        <w:t>Several categories contribute to N</w:t>
      </w:r>
      <w:r w:rsidRPr="009660EC">
        <w:rPr>
          <w:rFonts w:cs="Calibri"/>
          <w:vertAlign w:val="subscript"/>
        </w:rPr>
        <w:t>2</w:t>
      </w:r>
      <w:r w:rsidRPr="009660EC">
        <w:rPr>
          <w:rFonts w:cs="Calibri"/>
        </w:rPr>
        <w:t xml:space="preserve">O emissions from </w:t>
      </w:r>
      <w:r w:rsidRPr="009660EC">
        <w:rPr>
          <w:rFonts w:cs="Calibri"/>
          <w:i/>
          <w:iCs/>
        </w:rPr>
        <w:t>Agricultural soils</w:t>
      </w:r>
      <w:r w:rsidRPr="009660EC">
        <w:rPr>
          <w:rFonts w:cs="Calibri"/>
        </w:rPr>
        <w:t xml:space="preserve"> from both direct and indirect pathways; these are summarised in figure 5.5.1. </w:t>
      </w:r>
    </w:p>
    <w:p w14:paraId="68E3D693" w14:textId="77777777" w:rsidR="004543E0" w:rsidRPr="009660EC" w:rsidRDefault="004543E0" w:rsidP="004543E0">
      <w:pPr>
        <w:pStyle w:val="Figure"/>
      </w:pPr>
      <w:bookmarkStart w:id="932" w:name="_Toc481752014"/>
      <w:bookmarkStart w:id="933" w:name="_Toc507158473"/>
      <w:bookmarkStart w:id="934" w:name="_Toc511116964"/>
      <w:bookmarkStart w:id="935" w:name="_Toc5269694"/>
      <w:bookmarkStart w:id="936" w:name="_Toc32570965"/>
      <w:bookmarkStart w:id="937" w:name="_Toc36292795"/>
      <w:bookmarkStart w:id="938" w:name="_Toc68786660"/>
      <w:bookmarkStart w:id="939" w:name="_Toc95574121"/>
      <w:bookmarkStart w:id="940" w:name="_Toc99696040"/>
      <w:r w:rsidRPr="009660EC">
        <w:lastRenderedPageBreak/>
        <w:t>Figure 5.5.1</w:t>
      </w:r>
      <w:r w:rsidRPr="009660EC">
        <w:tab/>
        <w:t xml:space="preserve">Sources of nitrous oxide emissions from </w:t>
      </w:r>
      <w:r w:rsidRPr="009660EC">
        <w:rPr>
          <w:i/>
          <w:iCs/>
        </w:rPr>
        <w:t>Agricultural soils</w:t>
      </w:r>
      <w:r w:rsidRPr="009660EC">
        <w:t>, showing the contribution of each source to emissions through both direct and indirect pathways</w:t>
      </w:r>
      <w:bookmarkEnd w:id="932"/>
      <w:bookmarkEnd w:id="933"/>
      <w:bookmarkEnd w:id="934"/>
      <w:bookmarkEnd w:id="935"/>
      <w:bookmarkEnd w:id="936"/>
      <w:bookmarkEnd w:id="937"/>
      <w:bookmarkEnd w:id="938"/>
      <w:bookmarkEnd w:id="939"/>
      <w:bookmarkEnd w:id="940"/>
    </w:p>
    <w:p w14:paraId="07ABA251" w14:textId="78C3DE66" w:rsidR="004543E0" w:rsidRPr="009660EC" w:rsidRDefault="004B48CC" w:rsidP="004543E0">
      <w:pPr>
        <w:pStyle w:val="BodyText"/>
        <w:spacing w:before="60"/>
        <w:jc w:val="center"/>
        <w:rPr>
          <w:rFonts w:cs="Calibri"/>
        </w:rPr>
      </w:pPr>
      <w:r>
        <w:rPr>
          <w:noProof/>
        </w:rPr>
        <w:pict w14:anchorId="5BF59E39">
          <v:shape id="Picture 13" o:spid="_x0000_i1089" type="#_x0000_t75" style="width:381.75pt;height:420.3pt;visibility:visible;mso-wrap-style:square">
            <v:imagedata r:id="rId133" o:title=""/>
          </v:shape>
        </w:pict>
      </w:r>
    </w:p>
    <w:p w14:paraId="5E7EB9E4" w14:textId="77777777" w:rsidR="004543E0" w:rsidRPr="009660EC" w:rsidRDefault="004543E0" w:rsidP="004543E0">
      <w:pPr>
        <w:pStyle w:val="BodyText"/>
      </w:pPr>
      <w:r w:rsidRPr="009660EC">
        <w:t>Direct N</w:t>
      </w:r>
      <w:r w:rsidRPr="009660EC">
        <w:rPr>
          <w:vertAlign w:val="subscript"/>
        </w:rPr>
        <w:t>2</w:t>
      </w:r>
      <w:r w:rsidRPr="009660EC">
        <w:t>O emissions come directly from the soils to which nitrogen has been applied in either organic (animal excreta and organic fertilisers) or inorganic (synthetic nitrogen fertiliser) form. Indirect emissions come from the volatilisation (evaporation or sublimation) of nitrogen from the land. A fraction of this volatilised nitrogen returns to the ground during rainfall and is then re-emitted as N</w:t>
      </w:r>
      <w:r w:rsidRPr="009660EC">
        <w:rPr>
          <w:vertAlign w:val="subscript"/>
        </w:rPr>
        <w:t>2</w:t>
      </w:r>
      <w:r w:rsidRPr="009660EC">
        <w:t>O. Indirect emissions also arise from leaching and runoff of nitrogen (IPCC, 2006) and from further nitrification and denitrification from waterways.</w:t>
      </w:r>
    </w:p>
    <w:p w14:paraId="3EAE5012" w14:textId="77777777" w:rsidR="004543E0" w:rsidRPr="009660EC" w:rsidRDefault="004543E0" w:rsidP="004543E0">
      <w:pPr>
        <w:pStyle w:val="BodyText"/>
        <w:spacing w:before="100" w:after="100"/>
        <w:rPr>
          <w:rFonts w:cs="Calibri"/>
          <w:i/>
          <w:iCs/>
        </w:rPr>
      </w:pPr>
      <w:r w:rsidRPr="009660EC">
        <w:rPr>
          <w:rFonts w:cs="Calibri"/>
        </w:rPr>
        <w:t>Indirect emissions from livestock waste management systems are reported in section 5.3 (</w:t>
      </w:r>
      <w:r w:rsidRPr="009660EC">
        <w:rPr>
          <w:rFonts w:cs="Calibri"/>
          <w:i/>
          <w:iCs/>
        </w:rPr>
        <w:t>Manure management</w:t>
      </w:r>
      <w:r w:rsidRPr="009660EC">
        <w:rPr>
          <w:rFonts w:cs="Calibri"/>
        </w:rPr>
        <w:t>). Carbon dioxide emissions from lime and dolomite fertilisers are reported in section 5.8 (</w:t>
      </w:r>
      <w:r w:rsidRPr="009660EC">
        <w:rPr>
          <w:rFonts w:cs="Calibri"/>
          <w:i/>
          <w:iCs/>
        </w:rPr>
        <w:t>Liming</w:t>
      </w:r>
      <w:r w:rsidRPr="009660EC">
        <w:rPr>
          <w:rFonts w:cs="Calibri"/>
        </w:rPr>
        <w:t>), and CO</w:t>
      </w:r>
      <w:r w:rsidRPr="009660EC">
        <w:rPr>
          <w:rFonts w:cs="Calibri"/>
          <w:vertAlign w:val="subscript"/>
        </w:rPr>
        <w:t>2</w:t>
      </w:r>
      <w:r w:rsidRPr="009660EC">
        <w:rPr>
          <w:rFonts w:cs="Calibri"/>
        </w:rPr>
        <w:t xml:space="preserve"> emissions from urea fertiliser are reported in section 5.9 (</w:t>
      </w:r>
      <w:r w:rsidRPr="009660EC">
        <w:rPr>
          <w:rFonts w:cs="Calibri"/>
          <w:i/>
          <w:iCs/>
        </w:rPr>
        <w:t>Urea application</w:t>
      </w:r>
      <w:r w:rsidRPr="009660EC">
        <w:rPr>
          <w:rFonts w:cs="Calibri"/>
        </w:rPr>
        <w:t>)</w:t>
      </w:r>
      <w:r w:rsidRPr="009660EC">
        <w:rPr>
          <w:rFonts w:cs="Calibri"/>
          <w:i/>
          <w:iCs/>
        </w:rPr>
        <w:t>.</w:t>
      </w:r>
    </w:p>
    <w:p w14:paraId="4042A020" w14:textId="77777777" w:rsidR="004543E0" w:rsidRPr="009660EC" w:rsidRDefault="004543E0" w:rsidP="004543E0">
      <w:pPr>
        <w:pStyle w:val="BodyText"/>
        <w:spacing w:before="100" w:after="100"/>
        <w:rPr>
          <w:rFonts w:cs="Calibri"/>
        </w:rPr>
      </w:pPr>
      <w:r w:rsidRPr="009660EC">
        <w:rPr>
          <w:rFonts w:cs="Calibri"/>
          <w:i/>
          <w:iCs/>
        </w:rPr>
        <w:t>Agricultural soils</w:t>
      </w:r>
      <w:r w:rsidRPr="009660EC">
        <w:rPr>
          <w:rFonts w:cs="Calibri"/>
        </w:rPr>
        <w:t xml:space="preserve"> contributed an estimated 7,882.8 kt CO</w:t>
      </w:r>
      <w:r w:rsidRPr="009660EC">
        <w:rPr>
          <w:rFonts w:cs="Calibri"/>
          <w:vertAlign w:val="subscript"/>
        </w:rPr>
        <w:t>2</w:t>
      </w:r>
      <w:r w:rsidRPr="009660EC">
        <w:rPr>
          <w:rFonts w:cs="Calibri"/>
        </w:rPr>
        <w:t>-e, representing 10.0 per cent of New Zealand’s gross emissions and 20.0 per cent of agriculture</w:t>
      </w:r>
      <w:r w:rsidRPr="009660EC">
        <w:rPr>
          <w:rFonts w:cs="Calibri"/>
          <w:i/>
          <w:iCs/>
        </w:rPr>
        <w:t xml:space="preserve"> </w:t>
      </w:r>
      <w:r w:rsidRPr="009660EC">
        <w:rPr>
          <w:rFonts w:cs="Calibri"/>
        </w:rPr>
        <w:t xml:space="preserve">emissions in 2020. The </w:t>
      </w:r>
      <w:r w:rsidRPr="009660EC">
        <w:rPr>
          <w:rFonts w:cs="Calibri"/>
          <w:i/>
          <w:iCs/>
        </w:rPr>
        <w:t>Agricultural soils</w:t>
      </w:r>
      <w:r w:rsidRPr="009660EC">
        <w:rPr>
          <w:rFonts w:cs="Calibri"/>
        </w:rPr>
        <w:t xml:space="preserve"> category was the source of 93.1 per cent of New Zealand’s total 2020 </w:t>
      </w:r>
      <w:r w:rsidRPr="009660EC">
        <w:rPr>
          <w:rFonts w:cs="Calibri"/>
          <w:spacing w:val="-2"/>
        </w:rPr>
        <w:t>N</w:t>
      </w:r>
      <w:r w:rsidRPr="009660EC">
        <w:rPr>
          <w:rFonts w:cs="Calibri"/>
          <w:spacing w:val="-2"/>
          <w:vertAlign w:val="subscript"/>
        </w:rPr>
        <w:t>2</w:t>
      </w:r>
      <w:r w:rsidRPr="009660EC">
        <w:rPr>
          <w:rFonts w:cs="Calibri"/>
          <w:spacing w:val="-2"/>
        </w:rPr>
        <w:t>O</w:t>
      </w:r>
      <w:r w:rsidRPr="009660EC">
        <w:rPr>
          <w:rFonts w:cs="Calibri"/>
        </w:rPr>
        <w:t xml:space="preserve"> emissions.</w:t>
      </w:r>
    </w:p>
    <w:p w14:paraId="5705C071" w14:textId="77777777" w:rsidR="004543E0" w:rsidRPr="009660EC" w:rsidRDefault="004543E0" w:rsidP="004543E0">
      <w:pPr>
        <w:pStyle w:val="BodyText"/>
        <w:spacing w:before="100" w:after="100"/>
        <w:rPr>
          <w:rFonts w:cs="Calibri"/>
        </w:rPr>
      </w:pPr>
      <w:r w:rsidRPr="009660EC">
        <w:rPr>
          <w:rFonts w:cs="Calibri"/>
        </w:rPr>
        <w:t xml:space="preserve">The categories that contribute the most to emissions from </w:t>
      </w:r>
      <w:r w:rsidRPr="009660EC">
        <w:rPr>
          <w:rFonts w:cs="Calibri"/>
          <w:i/>
          <w:iCs/>
        </w:rPr>
        <w:t>Agricultural soils</w:t>
      </w:r>
      <w:r w:rsidRPr="009660EC">
        <w:rPr>
          <w:rFonts w:cs="Calibri"/>
        </w:rPr>
        <w:t xml:space="preserve"> and that are identified as key categories are outlined below in order of significance.</w:t>
      </w:r>
    </w:p>
    <w:p w14:paraId="12B4A092" w14:textId="77777777" w:rsidR="004543E0" w:rsidRPr="009660EC" w:rsidRDefault="004543E0" w:rsidP="00AB2A5C">
      <w:pPr>
        <w:pStyle w:val="Bullet"/>
        <w:numPr>
          <w:ilvl w:val="0"/>
          <w:numId w:val="18"/>
        </w:numPr>
        <w:rPr>
          <w:spacing w:val="-2"/>
        </w:rPr>
      </w:pPr>
      <w:r w:rsidRPr="009660EC">
        <w:t xml:space="preserve">Urine and dung deposited by grazing animals (pasture, range and paddock manure) (level and trend assessment): 49.3 per cent of emissions from </w:t>
      </w:r>
      <w:r w:rsidRPr="009660EC">
        <w:rPr>
          <w:i/>
          <w:iCs/>
        </w:rPr>
        <w:t>Agricultural soils</w:t>
      </w:r>
      <w:r w:rsidRPr="009660EC">
        <w:t>.</w:t>
      </w:r>
    </w:p>
    <w:p w14:paraId="3680BBA2" w14:textId="77777777" w:rsidR="004543E0" w:rsidRPr="009660EC" w:rsidRDefault="004543E0" w:rsidP="00AB2A5C">
      <w:pPr>
        <w:pStyle w:val="Bullet"/>
        <w:numPr>
          <w:ilvl w:val="0"/>
          <w:numId w:val="18"/>
        </w:numPr>
      </w:pPr>
      <w:r w:rsidRPr="009660EC">
        <w:lastRenderedPageBreak/>
        <w:t xml:space="preserve">Synthetic nitrogen fertiliser (level and trend assessment): 19.6 per cent of </w:t>
      </w:r>
      <w:r w:rsidRPr="009660EC">
        <w:rPr>
          <w:iCs/>
        </w:rPr>
        <w:t>emissions from</w:t>
      </w:r>
      <w:r w:rsidRPr="009660EC">
        <w:rPr>
          <w:i/>
          <w:iCs/>
        </w:rPr>
        <w:t xml:space="preserve"> Agricultural soils</w:t>
      </w:r>
      <w:r w:rsidRPr="009660EC">
        <w:t>.</w:t>
      </w:r>
    </w:p>
    <w:p w14:paraId="03AB1158" w14:textId="77777777" w:rsidR="004543E0" w:rsidRPr="009660EC" w:rsidRDefault="004543E0" w:rsidP="00AB2A5C">
      <w:pPr>
        <w:pStyle w:val="Bullet"/>
        <w:numPr>
          <w:ilvl w:val="0"/>
          <w:numId w:val="18"/>
        </w:numPr>
      </w:pPr>
      <w:r w:rsidRPr="009660EC">
        <w:t xml:space="preserve">Volatilisation (level assessment): 11.7 per cent of emissions from </w:t>
      </w:r>
      <w:r w:rsidRPr="009660EC">
        <w:rPr>
          <w:i/>
          <w:iCs/>
        </w:rPr>
        <w:t>Agricultural soils</w:t>
      </w:r>
      <w:r w:rsidRPr="009660EC">
        <w:t>.</w:t>
      </w:r>
    </w:p>
    <w:p w14:paraId="54C50820" w14:textId="77777777" w:rsidR="004543E0" w:rsidRPr="009660EC" w:rsidRDefault="004543E0" w:rsidP="00AB2A5C">
      <w:pPr>
        <w:pStyle w:val="Bullet"/>
        <w:numPr>
          <w:ilvl w:val="0"/>
          <w:numId w:val="18"/>
        </w:numPr>
      </w:pPr>
      <w:r w:rsidRPr="009660EC">
        <w:t>Managed organic soils (level and trend assessment): 8.5 per cent</w:t>
      </w:r>
      <w:r w:rsidRPr="009660EC" w:rsidDel="00C07FB2">
        <w:t xml:space="preserve"> </w:t>
      </w:r>
      <w:r w:rsidRPr="009660EC">
        <w:t xml:space="preserve">of emissions from </w:t>
      </w:r>
      <w:r w:rsidRPr="009660EC">
        <w:rPr>
          <w:i/>
          <w:iCs/>
        </w:rPr>
        <w:t>Agricultural soils</w:t>
      </w:r>
      <w:r w:rsidRPr="009660EC">
        <w:t>.</w:t>
      </w:r>
    </w:p>
    <w:p w14:paraId="25D5A571" w14:textId="77777777" w:rsidR="004543E0" w:rsidRPr="009660EC" w:rsidRDefault="004543E0" w:rsidP="00AB2A5C">
      <w:pPr>
        <w:pStyle w:val="Bullet"/>
        <w:numPr>
          <w:ilvl w:val="0"/>
          <w:numId w:val="18"/>
        </w:numPr>
      </w:pPr>
      <w:r w:rsidRPr="009660EC">
        <w:t>Leaching and runoff (level assessment): 6.6 per cent</w:t>
      </w:r>
      <w:r w:rsidRPr="009660EC" w:rsidDel="00C07FB2">
        <w:t xml:space="preserve"> </w:t>
      </w:r>
      <w:r w:rsidRPr="009660EC">
        <w:t xml:space="preserve">of emissions from </w:t>
      </w:r>
      <w:r w:rsidRPr="009660EC">
        <w:rPr>
          <w:i/>
          <w:iCs/>
        </w:rPr>
        <w:t>Agricultural soils</w:t>
      </w:r>
      <w:r w:rsidRPr="009660EC">
        <w:t>.</w:t>
      </w:r>
    </w:p>
    <w:p w14:paraId="1038B685" w14:textId="77777777" w:rsidR="004543E0" w:rsidRPr="009660EC" w:rsidRDefault="004543E0" w:rsidP="00AB2A5C">
      <w:pPr>
        <w:pStyle w:val="Bullet"/>
        <w:numPr>
          <w:ilvl w:val="0"/>
          <w:numId w:val="18"/>
        </w:numPr>
      </w:pPr>
      <w:r w:rsidRPr="009660EC">
        <w:t>Crop residues (level assessment): 3.3 per cent</w:t>
      </w:r>
      <w:r w:rsidRPr="009660EC" w:rsidDel="00C07FB2">
        <w:t xml:space="preserve"> </w:t>
      </w:r>
      <w:r w:rsidRPr="009660EC">
        <w:t xml:space="preserve">of emissions from </w:t>
      </w:r>
      <w:r w:rsidRPr="009660EC">
        <w:rPr>
          <w:i/>
          <w:iCs/>
        </w:rPr>
        <w:t>Agricultural soils</w:t>
      </w:r>
      <w:r w:rsidRPr="009660EC">
        <w:t xml:space="preserve">. </w:t>
      </w:r>
    </w:p>
    <w:p w14:paraId="6ABED751" w14:textId="77777777" w:rsidR="004543E0" w:rsidRPr="009660EC" w:rsidRDefault="004543E0" w:rsidP="004543E0">
      <w:pPr>
        <w:pStyle w:val="Heading5"/>
        <w:rPr>
          <w:rFonts w:cs="Calibri"/>
        </w:rPr>
      </w:pPr>
      <w:r w:rsidRPr="009660EC">
        <w:rPr>
          <w:rFonts w:cs="Calibri"/>
        </w:rPr>
        <w:t>Trends</w:t>
      </w:r>
    </w:p>
    <w:p w14:paraId="365737CF" w14:textId="77777777" w:rsidR="004543E0" w:rsidRPr="009660EC" w:rsidRDefault="004543E0" w:rsidP="004543E0">
      <w:pPr>
        <w:pStyle w:val="BodyText"/>
      </w:pPr>
      <w:r w:rsidRPr="009660EC">
        <w:t xml:space="preserve">Emissions from </w:t>
      </w:r>
      <w:r w:rsidRPr="009660EC">
        <w:rPr>
          <w:i/>
          <w:iCs/>
        </w:rPr>
        <w:t xml:space="preserve">Agricultural soils </w:t>
      </w:r>
      <w:r w:rsidRPr="009660EC">
        <w:t>increased 48.7 per cent (2,581.9 kt CO</w:t>
      </w:r>
      <w:r w:rsidRPr="009660EC">
        <w:rPr>
          <w:vertAlign w:val="subscript"/>
        </w:rPr>
        <w:t>2</w:t>
      </w:r>
      <w:r w:rsidRPr="009660EC">
        <w:t xml:space="preserve">-e) between 1990 and 2020. Increases in the use of synthetic nitrogen fertiliser and the dairy cattle population are the predominant drivers of increasing emissions from </w:t>
      </w:r>
      <w:r w:rsidRPr="009660EC">
        <w:rPr>
          <w:i/>
          <w:iCs/>
        </w:rPr>
        <w:t>Agricultural soils</w:t>
      </w:r>
      <w:r w:rsidRPr="009660EC">
        <w:t xml:space="preserve">, which have been partially offset by decreases in the sheep and beef cattle populations. </w:t>
      </w:r>
    </w:p>
    <w:p w14:paraId="4B04E3EE" w14:textId="77777777" w:rsidR="004543E0" w:rsidRPr="009660EC" w:rsidRDefault="004543E0" w:rsidP="004543E0">
      <w:pPr>
        <w:pStyle w:val="BodyText"/>
      </w:pPr>
      <w:r w:rsidRPr="009660EC">
        <w:t xml:space="preserve">Trends from 1990 and 2020 across the key categories in </w:t>
      </w:r>
      <w:r w:rsidRPr="009660EC">
        <w:rPr>
          <w:i/>
          <w:iCs/>
        </w:rPr>
        <w:t xml:space="preserve">Agricultural soils </w:t>
      </w:r>
      <w:r w:rsidRPr="009660EC">
        <w:t>are detailed below.</w:t>
      </w:r>
    </w:p>
    <w:p w14:paraId="15A8F23D" w14:textId="77777777" w:rsidR="004543E0" w:rsidRPr="009660EC" w:rsidRDefault="004543E0" w:rsidP="00AB2A5C">
      <w:pPr>
        <w:pStyle w:val="Bullet"/>
        <w:numPr>
          <w:ilvl w:val="0"/>
          <w:numId w:val="18"/>
        </w:numPr>
        <w:rPr>
          <w:spacing w:val="-2"/>
        </w:rPr>
      </w:pPr>
      <w:r w:rsidRPr="009660EC">
        <w:t>Urine and dung deposited by grazing animals (pasture, range and paddock manure) (level and trend assessment): 26.8 per cent (821.4 kt CO</w:t>
      </w:r>
      <w:r w:rsidRPr="009660EC">
        <w:rPr>
          <w:vertAlign w:val="subscript"/>
        </w:rPr>
        <w:t>2</w:t>
      </w:r>
      <w:r w:rsidRPr="009660EC">
        <w:t>-e) increase.</w:t>
      </w:r>
    </w:p>
    <w:p w14:paraId="0D61BA4C" w14:textId="77777777" w:rsidR="004543E0" w:rsidRPr="009660EC" w:rsidRDefault="004543E0" w:rsidP="00AB2A5C">
      <w:pPr>
        <w:pStyle w:val="Bullet"/>
        <w:numPr>
          <w:ilvl w:val="0"/>
          <w:numId w:val="18"/>
        </w:numPr>
        <w:rPr>
          <w:spacing w:val="-2"/>
        </w:rPr>
      </w:pPr>
      <w:r w:rsidRPr="009660EC">
        <w:t>Synthetic nitrogen fertiliser (level and trend assessment): 572.2 per cent (1317.8 kt CO</w:t>
      </w:r>
      <w:r w:rsidRPr="009660EC">
        <w:rPr>
          <w:vertAlign w:val="subscript"/>
        </w:rPr>
        <w:t>2</w:t>
      </w:r>
      <w:r w:rsidRPr="009660EC">
        <w:t>-e) increase.</w:t>
      </w:r>
    </w:p>
    <w:p w14:paraId="7934A88F" w14:textId="77777777" w:rsidR="004543E0" w:rsidRPr="009660EC" w:rsidRDefault="004543E0" w:rsidP="00AB2A5C">
      <w:pPr>
        <w:pStyle w:val="Bullet"/>
        <w:numPr>
          <w:ilvl w:val="0"/>
          <w:numId w:val="18"/>
        </w:numPr>
        <w:rPr>
          <w:spacing w:val="-2"/>
        </w:rPr>
      </w:pPr>
      <w:r w:rsidRPr="009660EC">
        <w:t>Volatilisation (level assessment): 25.9 per cent (190.1 kt CO</w:t>
      </w:r>
      <w:r w:rsidRPr="009660EC">
        <w:rPr>
          <w:vertAlign w:val="subscript"/>
        </w:rPr>
        <w:t>2</w:t>
      </w:r>
      <w:r w:rsidRPr="009660EC">
        <w:t>-e) increase.</w:t>
      </w:r>
    </w:p>
    <w:p w14:paraId="74336391" w14:textId="77777777" w:rsidR="004543E0" w:rsidRPr="009660EC" w:rsidRDefault="004543E0" w:rsidP="00AB2A5C">
      <w:pPr>
        <w:pStyle w:val="Bullet"/>
        <w:numPr>
          <w:ilvl w:val="0"/>
          <w:numId w:val="18"/>
        </w:numPr>
        <w:rPr>
          <w:spacing w:val="-2"/>
        </w:rPr>
      </w:pPr>
      <w:r w:rsidRPr="009660EC">
        <w:t>Cultivation of organic soils (level and trend assessment): 1.4 per cent (8.9 kt CO</w:t>
      </w:r>
      <w:r w:rsidRPr="009660EC">
        <w:rPr>
          <w:vertAlign w:val="subscript"/>
        </w:rPr>
        <w:t>2</w:t>
      </w:r>
      <w:r w:rsidRPr="009660EC">
        <w:t>-e) increase.</w:t>
      </w:r>
    </w:p>
    <w:p w14:paraId="727FA7FC" w14:textId="77777777" w:rsidR="004543E0" w:rsidRPr="009660EC" w:rsidRDefault="004543E0" w:rsidP="00AB2A5C">
      <w:pPr>
        <w:pStyle w:val="Bullet"/>
        <w:numPr>
          <w:ilvl w:val="0"/>
          <w:numId w:val="18"/>
        </w:numPr>
        <w:rPr>
          <w:spacing w:val="-2"/>
        </w:rPr>
      </w:pPr>
      <w:r w:rsidRPr="009660EC">
        <w:t>Leaching and runoff (level assessment): 30.4 per cent (120.4 kt CO</w:t>
      </w:r>
      <w:r w:rsidRPr="009660EC">
        <w:rPr>
          <w:vertAlign w:val="subscript"/>
        </w:rPr>
        <w:t>2</w:t>
      </w:r>
      <w:r w:rsidRPr="009660EC">
        <w:t>-e) increase.</w:t>
      </w:r>
    </w:p>
    <w:p w14:paraId="265C678F" w14:textId="77777777" w:rsidR="004543E0" w:rsidRPr="009660EC" w:rsidRDefault="004543E0" w:rsidP="00AB2A5C">
      <w:pPr>
        <w:pStyle w:val="Bullet"/>
        <w:numPr>
          <w:ilvl w:val="0"/>
          <w:numId w:val="18"/>
        </w:numPr>
        <w:rPr>
          <w:spacing w:val="-2"/>
        </w:rPr>
      </w:pPr>
      <w:r w:rsidRPr="009660EC">
        <w:t>Crop residues (level assessment): 47.4 per cent (83.2 kt CO</w:t>
      </w:r>
      <w:r w:rsidRPr="009660EC">
        <w:rPr>
          <w:vertAlign w:val="subscript"/>
        </w:rPr>
        <w:t>2</w:t>
      </w:r>
      <w:r w:rsidRPr="009660EC">
        <w:t>-e) increase.</w:t>
      </w:r>
    </w:p>
    <w:p w14:paraId="41FD99EA" w14:textId="77777777" w:rsidR="004543E0" w:rsidRPr="009660EC" w:rsidRDefault="004543E0" w:rsidP="004543E0">
      <w:pPr>
        <w:pStyle w:val="BodyText"/>
      </w:pPr>
      <w:r w:rsidRPr="009660EC">
        <w:t>Table 5.5.1 shows the trends and relative contribution of N</w:t>
      </w:r>
      <w:r w:rsidRPr="009660EC">
        <w:rPr>
          <w:vertAlign w:val="subscript"/>
        </w:rPr>
        <w:t>2</w:t>
      </w:r>
      <w:r w:rsidRPr="009660EC">
        <w:t>O emissions from these categories between 1990 and 2020.</w:t>
      </w:r>
    </w:p>
    <w:p w14:paraId="39066BFE" w14:textId="77777777" w:rsidR="004543E0" w:rsidRPr="009660EC" w:rsidRDefault="004543E0" w:rsidP="004543E0">
      <w:pPr>
        <w:pStyle w:val="Table"/>
        <w:rPr>
          <w:rFonts w:cs="Calibri"/>
        </w:rPr>
      </w:pPr>
      <w:bookmarkStart w:id="941" w:name="_Toc481751521"/>
      <w:bookmarkStart w:id="942" w:name="_Toc507158609"/>
      <w:bookmarkStart w:id="943" w:name="_Toc511116743"/>
      <w:bookmarkStart w:id="944" w:name="_Toc5269485"/>
      <w:bookmarkStart w:id="945" w:name="_Toc32570927"/>
      <w:bookmarkStart w:id="946" w:name="_Toc36224562"/>
      <w:bookmarkStart w:id="947" w:name="_Toc68786447"/>
      <w:bookmarkStart w:id="948" w:name="_Toc95574080"/>
      <w:bookmarkStart w:id="949" w:name="_Toc99659253"/>
      <w:r w:rsidRPr="009660EC">
        <w:rPr>
          <w:rFonts w:cs="Calibri"/>
        </w:rPr>
        <w:t>Table 5.5.1</w:t>
      </w:r>
      <w:r w:rsidRPr="009660EC">
        <w:rPr>
          <w:rFonts w:cs="Calibri"/>
        </w:rPr>
        <w:tab/>
        <w:t xml:space="preserve">Trends and relative contribution of nitrous oxide emissions from </w:t>
      </w:r>
      <w:r w:rsidRPr="009660EC">
        <w:rPr>
          <w:rFonts w:cs="Calibri"/>
          <w:i/>
          <w:iCs/>
        </w:rPr>
        <w:t>Agricultural soils</w:t>
      </w:r>
      <w:r w:rsidRPr="009660EC">
        <w:rPr>
          <w:rFonts w:cs="Calibri"/>
        </w:rPr>
        <w:t xml:space="preserve"> categories between 1990 and </w:t>
      </w:r>
      <w:bookmarkEnd w:id="941"/>
      <w:bookmarkEnd w:id="942"/>
      <w:bookmarkEnd w:id="943"/>
      <w:bookmarkEnd w:id="944"/>
      <w:bookmarkEnd w:id="945"/>
      <w:bookmarkEnd w:id="946"/>
      <w:bookmarkEnd w:id="947"/>
      <w:r w:rsidRPr="009660EC">
        <w:rPr>
          <w:rFonts w:cs="Calibri"/>
        </w:rPr>
        <w:t>2020</w:t>
      </w:r>
      <w:bookmarkEnd w:id="948"/>
      <w:bookmarkEnd w:id="949"/>
    </w:p>
    <w:tbl>
      <w:tblPr>
        <w:tblW w:w="85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2445"/>
        <w:gridCol w:w="708"/>
        <w:gridCol w:w="722"/>
        <w:gridCol w:w="854"/>
        <w:gridCol w:w="712"/>
        <w:gridCol w:w="1095"/>
        <w:gridCol w:w="1153"/>
      </w:tblGrid>
      <w:tr w:rsidR="004543E0" w:rsidRPr="001B0B75" w14:paraId="7497EB81" w14:textId="77777777" w:rsidTr="001B0B75">
        <w:tc>
          <w:tcPr>
            <w:tcW w:w="3261" w:type="dxa"/>
            <w:gridSpan w:val="2"/>
            <w:tcBorders>
              <w:top w:val="single" w:sz="4" w:space="0" w:color="44546A"/>
              <w:left w:val="nil"/>
              <w:bottom w:val="nil"/>
              <w:right w:val="nil"/>
            </w:tcBorders>
            <w:shd w:val="clear" w:color="auto" w:fill="1B556B"/>
            <w:vAlign w:val="bottom"/>
          </w:tcPr>
          <w:p w14:paraId="4669BBC6" w14:textId="77777777" w:rsidR="004543E0" w:rsidRPr="001B0B75" w:rsidRDefault="004543E0" w:rsidP="007E3239">
            <w:pPr>
              <w:pStyle w:val="TableTextBold"/>
              <w:rPr>
                <w:rFonts w:cs="Calibri"/>
                <w:noProof w:val="0"/>
                <w:color w:val="FFFFFF"/>
                <w:szCs w:val="16"/>
              </w:rPr>
            </w:pPr>
          </w:p>
        </w:tc>
        <w:tc>
          <w:tcPr>
            <w:tcW w:w="1430" w:type="dxa"/>
            <w:gridSpan w:val="2"/>
            <w:tcBorders>
              <w:top w:val="single" w:sz="4" w:space="0" w:color="44546A"/>
              <w:left w:val="nil"/>
              <w:bottom w:val="nil"/>
              <w:right w:val="nil"/>
            </w:tcBorders>
            <w:shd w:val="clear" w:color="auto" w:fill="1B556B"/>
            <w:vAlign w:val="bottom"/>
          </w:tcPr>
          <w:p w14:paraId="6155863A" w14:textId="77777777" w:rsidR="004543E0" w:rsidRPr="001B0B75" w:rsidRDefault="004543E0" w:rsidP="007E3239">
            <w:pPr>
              <w:pStyle w:val="TableTextBold"/>
              <w:spacing w:after="0"/>
              <w:jc w:val="center"/>
              <w:rPr>
                <w:rFonts w:cs="Calibri"/>
                <w:noProof w:val="0"/>
                <w:color w:val="FFFFFF"/>
                <w:szCs w:val="16"/>
              </w:rPr>
            </w:pPr>
            <w:r w:rsidRPr="001B0B75">
              <w:rPr>
                <w:rFonts w:cs="Calibri"/>
                <w:noProof w:val="0"/>
                <w:color w:val="FFFFFF"/>
                <w:szCs w:val="16"/>
              </w:rPr>
              <w:t xml:space="preserve">Emissions </w:t>
            </w:r>
            <w:r w:rsidRPr="001B0B75">
              <w:rPr>
                <w:rFonts w:cs="Calibri"/>
                <w:noProof w:val="0"/>
                <w:color w:val="FFFFFF"/>
                <w:szCs w:val="16"/>
              </w:rPr>
              <w:br/>
              <w:t>(kt CO</w:t>
            </w:r>
            <w:r w:rsidRPr="001B0B75">
              <w:rPr>
                <w:rFonts w:cs="Calibri"/>
                <w:noProof w:val="0"/>
                <w:color w:val="FFFFFF"/>
                <w:szCs w:val="16"/>
                <w:vertAlign w:val="subscript"/>
              </w:rPr>
              <w:t>2</w:t>
            </w:r>
            <w:r w:rsidRPr="001B0B75">
              <w:rPr>
                <w:rFonts w:cs="Calibri"/>
                <w:noProof w:val="0"/>
                <w:color w:val="FFFFFF"/>
                <w:szCs w:val="16"/>
              </w:rPr>
              <w:t>-e)</w:t>
            </w:r>
          </w:p>
        </w:tc>
        <w:tc>
          <w:tcPr>
            <w:tcW w:w="1566" w:type="dxa"/>
            <w:gridSpan w:val="2"/>
            <w:tcBorders>
              <w:top w:val="single" w:sz="4" w:space="0" w:color="44546A"/>
              <w:left w:val="nil"/>
              <w:bottom w:val="nil"/>
              <w:right w:val="nil"/>
            </w:tcBorders>
            <w:shd w:val="clear" w:color="auto" w:fill="1B556B"/>
            <w:vAlign w:val="bottom"/>
          </w:tcPr>
          <w:p w14:paraId="290B3D1B" w14:textId="77777777" w:rsidR="004543E0" w:rsidRPr="001B0B75" w:rsidRDefault="004543E0" w:rsidP="007E3239">
            <w:pPr>
              <w:pStyle w:val="TableTextBold"/>
              <w:spacing w:after="0"/>
              <w:jc w:val="center"/>
              <w:rPr>
                <w:rFonts w:cs="Calibri"/>
                <w:noProof w:val="0"/>
                <w:color w:val="FFFFFF"/>
                <w:szCs w:val="16"/>
              </w:rPr>
            </w:pPr>
            <w:r w:rsidRPr="001B0B75">
              <w:rPr>
                <w:rFonts w:cs="Calibri"/>
                <w:noProof w:val="0"/>
                <w:color w:val="FFFFFF"/>
                <w:szCs w:val="16"/>
              </w:rPr>
              <w:t xml:space="preserve">Change from </w:t>
            </w:r>
            <w:r w:rsidRPr="001B0B75">
              <w:rPr>
                <w:rFonts w:cs="Calibri"/>
                <w:noProof w:val="0"/>
                <w:color w:val="FFFFFF"/>
                <w:szCs w:val="16"/>
              </w:rPr>
              <w:br/>
              <w:t>1990–2020</w:t>
            </w:r>
          </w:p>
        </w:tc>
        <w:tc>
          <w:tcPr>
            <w:tcW w:w="1095" w:type="dxa"/>
            <w:tcBorders>
              <w:top w:val="single" w:sz="4" w:space="0" w:color="44546A"/>
              <w:left w:val="nil"/>
              <w:bottom w:val="nil"/>
              <w:right w:val="nil"/>
            </w:tcBorders>
            <w:shd w:val="clear" w:color="auto" w:fill="1B556B"/>
            <w:vAlign w:val="bottom"/>
          </w:tcPr>
          <w:p w14:paraId="2F340D13" w14:textId="77777777" w:rsidR="004543E0" w:rsidRPr="001B0B75" w:rsidRDefault="004543E0" w:rsidP="007E3239">
            <w:pPr>
              <w:pStyle w:val="TableTextBold"/>
              <w:spacing w:after="0"/>
              <w:jc w:val="center"/>
              <w:rPr>
                <w:rFonts w:cs="Calibri"/>
                <w:noProof w:val="0"/>
                <w:color w:val="FFFFFF"/>
                <w:szCs w:val="16"/>
              </w:rPr>
            </w:pPr>
            <w:r w:rsidRPr="001B0B75">
              <w:rPr>
                <w:rFonts w:cs="Calibri"/>
                <w:noProof w:val="0"/>
                <w:color w:val="FFFFFF"/>
                <w:szCs w:val="16"/>
              </w:rPr>
              <w:t xml:space="preserve">Share of </w:t>
            </w:r>
            <w:r w:rsidRPr="001B0B75">
              <w:rPr>
                <w:rFonts w:cs="Calibri"/>
                <w:noProof w:val="0"/>
                <w:color w:val="FFFFFF"/>
                <w:szCs w:val="16"/>
              </w:rPr>
              <w:br/>
              <w:t>Agricultural soils category (%)</w:t>
            </w:r>
          </w:p>
        </w:tc>
        <w:tc>
          <w:tcPr>
            <w:tcW w:w="1153" w:type="dxa"/>
            <w:tcBorders>
              <w:top w:val="single" w:sz="4" w:space="0" w:color="44546A"/>
              <w:left w:val="nil"/>
              <w:bottom w:val="nil"/>
              <w:right w:val="nil"/>
            </w:tcBorders>
            <w:shd w:val="clear" w:color="auto" w:fill="1B556B"/>
            <w:vAlign w:val="bottom"/>
          </w:tcPr>
          <w:p w14:paraId="7AE66AB0" w14:textId="77777777" w:rsidR="004543E0" w:rsidRPr="001B0B75" w:rsidRDefault="004543E0" w:rsidP="007E3239">
            <w:pPr>
              <w:pStyle w:val="TableTextBold"/>
              <w:spacing w:after="0"/>
              <w:jc w:val="center"/>
              <w:rPr>
                <w:rFonts w:cs="Calibri"/>
                <w:noProof w:val="0"/>
                <w:color w:val="FFFFFF"/>
                <w:szCs w:val="16"/>
              </w:rPr>
            </w:pPr>
            <w:r w:rsidRPr="001B0B75">
              <w:rPr>
                <w:rFonts w:cs="Calibri"/>
                <w:noProof w:val="0"/>
                <w:color w:val="FFFFFF"/>
                <w:szCs w:val="16"/>
              </w:rPr>
              <w:t xml:space="preserve">Share of total </w:t>
            </w:r>
            <w:r w:rsidRPr="001B0B75">
              <w:rPr>
                <w:rFonts w:cs="Calibri"/>
                <w:noProof w:val="0"/>
                <w:color w:val="FFFFFF"/>
                <w:szCs w:val="16"/>
              </w:rPr>
              <w:br/>
              <w:t xml:space="preserve">Agriculture sector </w:t>
            </w:r>
            <w:r w:rsidRPr="001B0B75">
              <w:rPr>
                <w:rFonts w:cs="Calibri"/>
                <w:noProof w:val="0"/>
                <w:color w:val="FFFFFF"/>
                <w:szCs w:val="16"/>
              </w:rPr>
              <w:br/>
              <w:t>(%)</w:t>
            </w:r>
          </w:p>
        </w:tc>
      </w:tr>
      <w:tr w:rsidR="004543E0" w:rsidRPr="001B0B75" w14:paraId="3635983B" w14:textId="77777777" w:rsidTr="001B0B75">
        <w:tc>
          <w:tcPr>
            <w:tcW w:w="3261" w:type="dxa"/>
            <w:gridSpan w:val="2"/>
            <w:tcBorders>
              <w:top w:val="nil"/>
              <w:left w:val="nil"/>
              <w:bottom w:val="single" w:sz="4" w:space="0" w:color="44546A"/>
              <w:right w:val="nil"/>
            </w:tcBorders>
            <w:shd w:val="clear" w:color="auto" w:fill="1B556B"/>
          </w:tcPr>
          <w:p w14:paraId="0332A097" w14:textId="77777777" w:rsidR="004543E0" w:rsidRPr="001B0B75" w:rsidRDefault="004543E0" w:rsidP="007E3239">
            <w:pPr>
              <w:pStyle w:val="TableTextBold"/>
              <w:rPr>
                <w:rFonts w:cs="Calibri"/>
                <w:noProof w:val="0"/>
                <w:color w:val="FFFFFF"/>
                <w:szCs w:val="16"/>
              </w:rPr>
            </w:pPr>
            <w:r w:rsidRPr="001B0B75">
              <w:rPr>
                <w:rFonts w:cs="Calibri"/>
                <w:noProof w:val="0"/>
                <w:color w:val="FFFFFF"/>
                <w:szCs w:val="16"/>
              </w:rPr>
              <w:t>Agricultural soils category</w:t>
            </w:r>
          </w:p>
        </w:tc>
        <w:tc>
          <w:tcPr>
            <w:tcW w:w="708" w:type="dxa"/>
            <w:tcBorders>
              <w:top w:val="nil"/>
              <w:left w:val="nil"/>
              <w:bottom w:val="single" w:sz="4" w:space="0" w:color="44546A"/>
              <w:right w:val="nil"/>
            </w:tcBorders>
            <w:shd w:val="clear" w:color="auto" w:fill="1B556B"/>
            <w:vAlign w:val="bottom"/>
          </w:tcPr>
          <w:p w14:paraId="4847638C" w14:textId="77777777" w:rsidR="004543E0" w:rsidRPr="001B0B75" w:rsidRDefault="004543E0" w:rsidP="007E3239">
            <w:pPr>
              <w:pStyle w:val="TableTextBold"/>
              <w:jc w:val="center"/>
              <w:rPr>
                <w:rFonts w:cs="Calibri"/>
                <w:noProof w:val="0"/>
                <w:color w:val="FFFFFF"/>
                <w:szCs w:val="16"/>
              </w:rPr>
            </w:pPr>
            <w:r w:rsidRPr="001B0B75">
              <w:rPr>
                <w:rFonts w:cs="Calibri"/>
                <w:noProof w:val="0"/>
                <w:color w:val="FFFFFF"/>
                <w:szCs w:val="16"/>
              </w:rPr>
              <w:t>1990</w:t>
            </w:r>
          </w:p>
        </w:tc>
        <w:tc>
          <w:tcPr>
            <w:tcW w:w="722" w:type="dxa"/>
            <w:tcBorders>
              <w:top w:val="nil"/>
              <w:left w:val="nil"/>
              <w:bottom w:val="single" w:sz="4" w:space="0" w:color="44546A"/>
              <w:right w:val="nil"/>
            </w:tcBorders>
            <w:shd w:val="clear" w:color="auto" w:fill="1B556B"/>
            <w:vAlign w:val="bottom"/>
          </w:tcPr>
          <w:p w14:paraId="75C2CF85" w14:textId="77777777" w:rsidR="004543E0" w:rsidRPr="001B0B75" w:rsidRDefault="004543E0" w:rsidP="007E3239">
            <w:pPr>
              <w:pStyle w:val="TableTextBold"/>
              <w:jc w:val="center"/>
              <w:rPr>
                <w:rFonts w:cs="Calibri"/>
                <w:noProof w:val="0"/>
                <w:color w:val="FFFFFF"/>
                <w:szCs w:val="16"/>
              </w:rPr>
            </w:pPr>
            <w:r w:rsidRPr="001B0B75">
              <w:rPr>
                <w:rFonts w:cs="Calibri"/>
                <w:noProof w:val="0"/>
                <w:color w:val="FFFFFF"/>
                <w:szCs w:val="16"/>
              </w:rPr>
              <w:t>2020</w:t>
            </w:r>
          </w:p>
        </w:tc>
        <w:tc>
          <w:tcPr>
            <w:tcW w:w="854" w:type="dxa"/>
            <w:tcBorders>
              <w:top w:val="nil"/>
              <w:left w:val="nil"/>
              <w:bottom w:val="single" w:sz="4" w:space="0" w:color="44546A"/>
              <w:right w:val="nil"/>
            </w:tcBorders>
            <w:shd w:val="clear" w:color="auto" w:fill="1B556B"/>
            <w:vAlign w:val="bottom"/>
          </w:tcPr>
          <w:p w14:paraId="4DA0141B" w14:textId="77777777" w:rsidR="004543E0" w:rsidRPr="001B0B75" w:rsidRDefault="004543E0" w:rsidP="007E3239">
            <w:pPr>
              <w:pStyle w:val="TableTextBold"/>
              <w:jc w:val="center"/>
              <w:rPr>
                <w:rFonts w:cs="Calibri"/>
                <w:noProof w:val="0"/>
                <w:color w:val="FFFFFF"/>
                <w:szCs w:val="16"/>
              </w:rPr>
            </w:pPr>
            <w:r w:rsidRPr="001B0B75">
              <w:rPr>
                <w:rFonts w:cs="Calibri"/>
                <w:noProof w:val="0"/>
                <w:color w:val="FFFFFF"/>
                <w:szCs w:val="16"/>
              </w:rPr>
              <w:t>kt CO</w:t>
            </w:r>
            <w:r w:rsidRPr="001B0B75">
              <w:rPr>
                <w:rFonts w:cs="Calibri"/>
                <w:noProof w:val="0"/>
                <w:color w:val="FFFFFF"/>
                <w:szCs w:val="16"/>
                <w:vertAlign w:val="subscript"/>
              </w:rPr>
              <w:t>2</w:t>
            </w:r>
            <w:r w:rsidRPr="001B0B75">
              <w:rPr>
                <w:rFonts w:cs="Calibri"/>
                <w:noProof w:val="0"/>
                <w:color w:val="FFFFFF"/>
                <w:szCs w:val="16"/>
              </w:rPr>
              <w:t>-e</w:t>
            </w:r>
          </w:p>
        </w:tc>
        <w:tc>
          <w:tcPr>
            <w:tcW w:w="712" w:type="dxa"/>
            <w:tcBorders>
              <w:top w:val="nil"/>
              <w:left w:val="nil"/>
              <w:bottom w:val="single" w:sz="4" w:space="0" w:color="44546A"/>
              <w:right w:val="nil"/>
            </w:tcBorders>
            <w:shd w:val="clear" w:color="auto" w:fill="1B556B"/>
            <w:vAlign w:val="bottom"/>
          </w:tcPr>
          <w:p w14:paraId="11303424" w14:textId="77777777" w:rsidR="004543E0" w:rsidRPr="001B0B75" w:rsidRDefault="004543E0" w:rsidP="007E3239">
            <w:pPr>
              <w:pStyle w:val="TableTextBold"/>
              <w:jc w:val="center"/>
              <w:rPr>
                <w:rFonts w:cs="Calibri"/>
                <w:noProof w:val="0"/>
                <w:color w:val="FFFFFF"/>
                <w:szCs w:val="16"/>
              </w:rPr>
            </w:pPr>
            <w:r w:rsidRPr="001B0B75">
              <w:rPr>
                <w:rFonts w:cs="Calibri"/>
                <w:noProof w:val="0"/>
                <w:color w:val="FFFFFF"/>
                <w:szCs w:val="16"/>
              </w:rPr>
              <w:t>%</w:t>
            </w:r>
          </w:p>
        </w:tc>
        <w:tc>
          <w:tcPr>
            <w:tcW w:w="1095" w:type="dxa"/>
            <w:tcBorders>
              <w:top w:val="nil"/>
              <w:left w:val="nil"/>
              <w:bottom w:val="single" w:sz="4" w:space="0" w:color="44546A"/>
              <w:right w:val="nil"/>
            </w:tcBorders>
            <w:shd w:val="clear" w:color="auto" w:fill="1B556B"/>
            <w:vAlign w:val="bottom"/>
          </w:tcPr>
          <w:p w14:paraId="014D04E0" w14:textId="77777777" w:rsidR="004543E0" w:rsidRPr="001B0B75" w:rsidRDefault="004543E0" w:rsidP="007E3239">
            <w:pPr>
              <w:pStyle w:val="TableTextBold"/>
              <w:jc w:val="center"/>
              <w:rPr>
                <w:rFonts w:cs="Calibri"/>
                <w:noProof w:val="0"/>
                <w:color w:val="FFFFFF"/>
                <w:szCs w:val="16"/>
              </w:rPr>
            </w:pPr>
            <w:r w:rsidRPr="001B0B75">
              <w:rPr>
                <w:rFonts w:cs="Calibri"/>
                <w:noProof w:val="0"/>
                <w:color w:val="FFFFFF"/>
                <w:szCs w:val="16"/>
              </w:rPr>
              <w:t>2020</w:t>
            </w:r>
          </w:p>
        </w:tc>
        <w:tc>
          <w:tcPr>
            <w:tcW w:w="1153" w:type="dxa"/>
            <w:tcBorders>
              <w:top w:val="nil"/>
              <w:left w:val="nil"/>
              <w:bottom w:val="single" w:sz="4" w:space="0" w:color="44546A"/>
              <w:right w:val="nil"/>
            </w:tcBorders>
            <w:shd w:val="clear" w:color="auto" w:fill="1B556B"/>
            <w:vAlign w:val="bottom"/>
          </w:tcPr>
          <w:p w14:paraId="02C0B6E8" w14:textId="77777777" w:rsidR="004543E0" w:rsidRPr="001B0B75" w:rsidRDefault="004543E0" w:rsidP="007E3239">
            <w:pPr>
              <w:pStyle w:val="TableTextBold"/>
              <w:jc w:val="center"/>
              <w:rPr>
                <w:rFonts w:cs="Calibri"/>
                <w:noProof w:val="0"/>
                <w:color w:val="FFFFFF"/>
                <w:szCs w:val="16"/>
              </w:rPr>
            </w:pPr>
            <w:r w:rsidRPr="001B0B75">
              <w:rPr>
                <w:rFonts w:cs="Calibri"/>
                <w:noProof w:val="0"/>
                <w:color w:val="FFFFFF"/>
                <w:szCs w:val="16"/>
              </w:rPr>
              <w:t>2020</w:t>
            </w:r>
          </w:p>
        </w:tc>
      </w:tr>
      <w:tr w:rsidR="004543E0" w:rsidRPr="001B0B75" w14:paraId="06CE4121" w14:textId="77777777" w:rsidTr="001B0B75">
        <w:tc>
          <w:tcPr>
            <w:tcW w:w="816" w:type="dxa"/>
            <w:vMerge w:val="restart"/>
            <w:tcBorders>
              <w:top w:val="single" w:sz="4" w:space="0" w:color="44546A"/>
              <w:left w:val="nil"/>
              <w:right w:val="nil"/>
            </w:tcBorders>
            <w:shd w:val="clear" w:color="auto" w:fill="auto"/>
          </w:tcPr>
          <w:p w14:paraId="411DEC61" w14:textId="77777777" w:rsidR="004543E0" w:rsidRPr="001B0B75" w:rsidRDefault="004543E0" w:rsidP="007E3239">
            <w:pPr>
              <w:pStyle w:val="TableText"/>
              <w:spacing w:before="50" w:after="50"/>
              <w:rPr>
                <w:rFonts w:cs="Calibri"/>
                <w:szCs w:val="16"/>
              </w:rPr>
            </w:pPr>
            <w:r w:rsidRPr="001B0B75">
              <w:rPr>
                <w:rFonts w:cs="Calibri"/>
                <w:szCs w:val="16"/>
              </w:rPr>
              <w:t>Direct</w:t>
            </w:r>
          </w:p>
        </w:tc>
        <w:tc>
          <w:tcPr>
            <w:tcW w:w="2445" w:type="dxa"/>
            <w:tcBorders>
              <w:top w:val="single" w:sz="4" w:space="0" w:color="44546A"/>
              <w:left w:val="nil"/>
              <w:bottom w:val="single" w:sz="4" w:space="0" w:color="1B556B"/>
              <w:right w:val="nil"/>
            </w:tcBorders>
            <w:shd w:val="clear" w:color="auto" w:fill="auto"/>
            <w:vAlign w:val="bottom"/>
          </w:tcPr>
          <w:p w14:paraId="340227C5" w14:textId="77777777" w:rsidR="004543E0" w:rsidRPr="001B0B75" w:rsidRDefault="004543E0" w:rsidP="007E3239">
            <w:pPr>
              <w:pStyle w:val="TableText"/>
              <w:spacing w:before="50" w:after="50"/>
              <w:rPr>
                <w:rFonts w:cs="Calibri"/>
                <w:szCs w:val="16"/>
              </w:rPr>
            </w:pPr>
            <w:r w:rsidRPr="001B0B75">
              <w:rPr>
                <w:rFonts w:cs="Calibri"/>
                <w:szCs w:val="16"/>
              </w:rPr>
              <w:t>Synthetic nitrogen fertilisers</w:t>
            </w:r>
          </w:p>
        </w:tc>
        <w:tc>
          <w:tcPr>
            <w:tcW w:w="708" w:type="dxa"/>
            <w:tcBorders>
              <w:top w:val="single" w:sz="4" w:space="0" w:color="44546A"/>
              <w:left w:val="nil"/>
              <w:bottom w:val="single" w:sz="4" w:space="0" w:color="1B556B"/>
              <w:right w:val="nil"/>
            </w:tcBorders>
            <w:shd w:val="clear" w:color="auto" w:fill="auto"/>
            <w:vAlign w:val="bottom"/>
          </w:tcPr>
          <w:p w14:paraId="51BC84EF" w14:textId="77777777" w:rsidR="004543E0" w:rsidRPr="001B0B75" w:rsidRDefault="004543E0" w:rsidP="007E3239">
            <w:pPr>
              <w:pStyle w:val="TableText"/>
              <w:spacing w:before="50" w:after="50"/>
              <w:jc w:val="center"/>
              <w:rPr>
                <w:rFonts w:cs="Calibri"/>
                <w:szCs w:val="16"/>
              </w:rPr>
            </w:pPr>
            <w:r w:rsidRPr="001B0B75">
              <w:rPr>
                <w:rFonts w:cs="Calibri"/>
                <w:szCs w:val="16"/>
              </w:rPr>
              <w:t>230.3</w:t>
            </w:r>
          </w:p>
        </w:tc>
        <w:tc>
          <w:tcPr>
            <w:tcW w:w="722" w:type="dxa"/>
            <w:tcBorders>
              <w:top w:val="single" w:sz="4" w:space="0" w:color="44546A"/>
              <w:left w:val="nil"/>
              <w:bottom w:val="single" w:sz="4" w:space="0" w:color="1B556B"/>
              <w:right w:val="nil"/>
            </w:tcBorders>
            <w:shd w:val="clear" w:color="auto" w:fill="auto"/>
            <w:vAlign w:val="bottom"/>
          </w:tcPr>
          <w:p w14:paraId="4844B2E5" w14:textId="77777777" w:rsidR="004543E0" w:rsidRPr="001B0B75" w:rsidRDefault="004543E0" w:rsidP="007E3239">
            <w:pPr>
              <w:pStyle w:val="TableText"/>
              <w:spacing w:before="50" w:after="50"/>
              <w:jc w:val="center"/>
              <w:rPr>
                <w:rFonts w:cs="Calibri"/>
                <w:szCs w:val="16"/>
              </w:rPr>
            </w:pPr>
            <w:r w:rsidRPr="001B0B75">
              <w:rPr>
                <w:rFonts w:cs="Calibri"/>
                <w:szCs w:val="16"/>
              </w:rPr>
              <w:t>1,548.2</w:t>
            </w:r>
          </w:p>
        </w:tc>
        <w:tc>
          <w:tcPr>
            <w:tcW w:w="854" w:type="dxa"/>
            <w:tcBorders>
              <w:top w:val="single" w:sz="4" w:space="0" w:color="44546A"/>
              <w:left w:val="nil"/>
              <w:bottom w:val="single" w:sz="4" w:space="0" w:color="1B556B"/>
              <w:right w:val="nil"/>
            </w:tcBorders>
            <w:shd w:val="clear" w:color="auto" w:fill="auto"/>
            <w:vAlign w:val="bottom"/>
          </w:tcPr>
          <w:p w14:paraId="0E8FCE84" w14:textId="77777777" w:rsidR="004543E0" w:rsidRPr="001B0B75" w:rsidRDefault="004543E0" w:rsidP="007E3239">
            <w:pPr>
              <w:pStyle w:val="TableText"/>
              <w:spacing w:before="50" w:after="50"/>
              <w:jc w:val="center"/>
              <w:rPr>
                <w:rFonts w:cs="Calibri"/>
                <w:szCs w:val="16"/>
              </w:rPr>
            </w:pPr>
            <w:r w:rsidRPr="001B0B75">
              <w:rPr>
                <w:rFonts w:cs="Calibri"/>
                <w:szCs w:val="16"/>
              </w:rPr>
              <w:t>1,317.8</w:t>
            </w:r>
          </w:p>
        </w:tc>
        <w:tc>
          <w:tcPr>
            <w:tcW w:w="712" w:type="dxa"/>
            <w:tcBorders>
              <w:top w:val="single" w:sz="4" w:space="0" w:color="44546A"/>
              <w:left w:val="nil"/>
              <w:bottom w:val="single" w:sz="4" w:space="0" w:color="1B556B"/>
              <w:right w:val="nil"/>
            </w:tcBorders>
            <w:shd w:val="clear" w:color="auto" w:fill="auto"/>
            <w:vAlign w:val="bottom"/>
          </w:tcPr>
          <w:p w14:paraId="3DF250D4" w14:textId="77777777" w:rsidR="004543E0" w:rsidRPr="001B0B75" w:rsidRDefault="004543E0" w:rsidP="007E3239">
            <w:pPr>
              <w:pStyle w:val="TableText"/>
              <w:spacing w:before="50" w:after="50"/>
              <w:jc w:val="center"/>
              <w:rPr>
                <w:rFonts w:cs="Calibri"/>
                <w:szCs w:val="16"/>
              </w:rPr>
            </w:pPr>
            <w:r w:rsidRPr="001B0B75">
              <w:rPr>
                <w:rFonts w:cs="Calibri"/>
                <w:szCs w:val="16"/>
              </w:rPr>
              <w:t>572.2</w:t>
            </w:r>
          </w:p>
        </w:tc>
        <w:tc>
          <w:tcPr>
            <w:tcW w:w="1095" w:type="dxa"/>
            <w:tcBorders>
              <w:top w:val="single" w:sz="4" w:space="0" w:color="44546A"/>
              <w:left w:val="nil"/>
              <w:bottom w:val="single" w:sz="4" w:space="0" w:color="1B556B"/>
              <w:right w:val="nil"/>
            </w:tcBorders>
            <w:shd w:val="clear" w:color="auto" w:fill="auto"/>
            <w:vAlign w:val="bottom"/>
          </w:tcPr>
          <w:p w14:paraId="1413BBAC" w14:textId="77777777" w:rsidR="004543E0" w:rsidRPr="001B0B75" w:rsidRDefault="004543E0" w:rsidP="007E3239">
            <w:pPr>
              <w:pStyle w:val="TableText"/>
              <w:spacing w:before="50" w:after="50"/>
              <w:jc w:val="center"/>
              <w:rPr>
                <w:rFonts w:cs="Calibri"/>
                <w:szCs w:val="16"/>
              </w:rPr>
            </w:pPr>
            <w:r w:rsidRPr="001B0B75">
              <w:rPr>
                <w:rFonts w:cs="Calibri"/>
                <w:szCs w:val="16"/>
              </w:rPr>
              <w:t>19.6%</w:t>
            </w:r>
          </w:p>
        </w:tc>
        <w:tc>
          <w:tcPr>
            <w:tcW w:w="1153" w:type="dxa"/>
            <w:tcBorders>
              <w:top w:val="single" w:sz="4" w:space="0" w:color="44546A"/>
              <w:left w:val="nil"/>
              <w:bottom w:val="single" w:sz="4" w:space="0" w:color="1B556B"/>
              <w:right w:val="nil"/>
            </w:tcBorders>
            <w:shd w:val="clear" w:color="auto" w:fill="auto"/>
            <w:vAlign w:val="bottom"/>
          </w:tcPr>
          <w:p w14:paraId="5413631D" w14:textId="77777777" w:rsidR="004543E0" w:rsidRPr="001B0B75" w:rsidRDefault="004543E0" w:rsidP="007E3239">
            <w:pPr>
              <w:pStyle w:val="TableText"/>
              <w:spacing w:before="50" w:after="50"/>
              <w:jc w:val="center"/>
              <w:rPr>
                <w:rFonts w:cs="Calibri"/>
                <w:szCs w:val="16"/>
              </w:rPr>
            </w:pPr>
            <w:r w:rsidRPr="001B0B75">
              <w:rPr>
                <w:rFonts w:cs="Calibri"/>
                <w:szCs w:val="16"/>
              </w:rPr>
              <w:t>3.9%</w:t>
            </w:r>
          </w:p>
        </w:tc>
      </w:tr>
      <w:tr w:rsidR="004543E0" w:rsidRPr="001B0B75" w14:paraId="7FA5BB41" w14:textId="77777777" w:rsidTr="001B0B75">
        <w:tc>
          <w:tcPr>
            <w:tcW w:w="816" w:type="dxa"/>
            <w:vMerge/>
            <w:tcBorders>
              <w:left w:val="nil"/>
              <w:right w:val="nil"/>
            </w:tcBorders>
            <w:shd w:val="clear" w:color="auto" w:fill="auto"/>
          </w:tcPr>
          <w:p w14:paraId="31A5508D" w14:textId="77777777" w:rsidR="004543E0" w:rsidRPr="001B0B75" w:rsidRDefault="004543E0" w:rsidP="007E3239">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2E100897" w14:textId="77777777" w:rsidR="004543E0" w:rsidRPr="001B0B75" w:rsidRDefault="004543E0" w:rsidP="007E3239">
            <w:pPr>
              <w:pStyle w:val="TableText"/>
              <w:spacing w:before="50" w:after="50"/>
              <w:rPr>
                <w:rFonts w:cs="Calibri"/>
                <w:szCs w:val="16"/>
              </w:rPr>
            </w:pPr>
            <w:r w:rsidRPr="001B0B75">
              <w:rPr>
                <w:rFonts w:cs="Calibri"/>
                <w:szCs w:val="16"/>
              </w:rPr>
              <w:t>Organic fertilisers (animal manure spread on pasture)</w:t>
            </w:r>
          </w:p>
        </w:tc>
        <w:tc>
          <w:tcPr>
            <w:tcW w:w="708" w:type="dxa"/>
            <w:tcBorders>
              <w:top w:val="single" w:sz="4" w:space="0" w:color="1B556B"/>
              <w:left w:val="nil"/>
              <w:bottom w:val="single" w:sz="4" w:space="0" w:color="1B556B"/>
              <w:right w:val="nil"/>
            </w:tcBorders>
            <w:shd w:val="clear" w:color="auto" w:fill="auto"/>
            <w:vAlign w:val="bottom"/>
          </w:tcPr>
          <w:p w14:paraId="38265AC1" w14:textId="77777777" w:rsidR="004543E0" w:rsidRPr="001B0B75" w:rsidRDefault="004543E0" w:rsidP="007E3239">
            <w:pPr>
              <w:pStyle w:val="TableText"/>
              <w:spacing w:before="50" w:after="50"/>
              <w:jc w:val="center"/>
              <w:rPr>
                <w:rFonts w:cs="Calibri"/>
                <w:szCs w:val="16"/>
              </w:rPr>
            </w:pPr>
            <w:r w:rsidRPr="001B0B75">
              <w:rPr>
                <w:rFonts w:cs="Calibri"/>
                <w:szCs w:val="16"/>
              </w:rPr>
              <w:t>36.3</w:t>
            </w:r>
          </w:p>
        </w:tc>
        <w:tc>
          <w:tcPr>
            <w:tcW w:w="722" w:type="dxa"/>
            <w:tcBorders>
              <w:top w:val="single" w:sz="4" w:space="0" w:color="1B556B"/>
              <w:left w:val="nil"/>
              <w:bottom w:val="single" w:sz="4" w:space="0" w:color="1B556B"/>
              <w:right w:val="nil"/>
            </w:tcBorders>
            <w:shd w:val="clear" w:color="auto" w:fill="auto"/>
            <w:vAlign w:val="bottom"/>
          </w:tcPr>
          <w:p w14:paraId="3274660C" w14:textId="77777777" w:rsidR="004543E0" w:rsidRPr="001B0B75" w:rsidRDefault="004543E0" w:rsidP="007E3239">
            <w:pPr>
              <w:pStyle w:val="TableText"/>
              <w:spacing w:before="50" w:after="50"/>
              <w:jc w:val="center"/>
              <w:rPr>
                <w:rFonts w:cs="Calibri"/>
                <w:szCs w:val="16"/>
              </w:rPr>
            </w:pPr>
            <w:r w:rsidRPr="001B0B75">
              <w:rPr>
                <w:rFonts w:cs="Calibri"/>
                <w:szCs w:val="16"/>
              </w:rPr>
              <w:t>76.2</w:t>
            </w:r>
          </w:p>
        </w:tc>
        <w:tc>
          <w:tcPr>
            <w:tcW w:w="854" w:type="dxa"/>
            <w:tcBorders>
              <w:top w:val="single" w:sz="4" w:space="0" w:color="1B556B"/>
              <w:left w:val="nil"/>
              <w:bottom w:val="single" w:sz="4" w:space="0" w:color="1B556B"/>
              <w:right w:val="nil"/>
            </w:tcBorders>
            <w:shd w:val="clear" w:color="auto" w:fill="auto"/>
            <w:vAlign w:val="bottom"/>
          </w:tcPr>
          <w:p w14:paraId="367B9C39" w14:textId="77777777" w:rsidR="004543E0" w:rsidRPr="001B0B75" w:rsidRDefault="004543E0" w:rsidP="007E3239">
            <w:pPr>
              <w:pStyle w:val="TableText"/>
              <w:spacing w:before="50" w:after="50"/>
              <w:jc w:val="center"/>
              <w:rPr>
                <w:rFonts w:cs="Calibri"/>
                <w:szCs w:val="16"/>
              </w:rPr>
            </w:pPr>
            <w:r w:rsidRPr="001B0B75">
              <w:rPr>
                <w:rFonts w:cs="Calibri"/>
                <w:szCs w:val="16"/>
              </w:rPr>
              <w:t>40.0</w:t>
            </w:r>
          </w:p>
        </w:tc>
        <w:tc>
          <w:tcPr>
            <w:tcW w:w="712" w:type="dxa"/>
            <w:tcBorders>
              <w:top w:val="single" w:sz="4" w:space="0" w:color="1B556B"/>
              <w:left w:val="nil"/>
              <w:bottom w:val="single" w:sz="4" w:space="0" w:color="1B556B"/>
              <w:right w:val="nil"/>
            </w:tcBorders>
            <w:shd w:val="clear" w:color="auto" w:fill="auto"/>
            <w:vAlign w:val="bottom"/>
          </w:tcPr>
          <w:p w14:paraId="3F250395" w14:textId="77777777" w:rsidR="004543E0" w:rsidRPr="001B0B75" w:rsidRDefault="004543E0" w:rsidP="007E3239">
            <w:pPr>
              <w:pStyle w:val="TableText"/>
              <w:spacing w:before="50" w:after="50"/>
              <w:jc w:val="center"/>
              <w:rPr>
                <w:rFonts w:cs="Calibri"/>
                <w:szCs w:val="16"/>
              </w:rPr>
            </w:pPr>
            <w:r w:rsidRPr="001B0B75">
              <w:rPr>
                <w:rFonts w:cs="Calibri"/>
                <w:szCs w:val="16"/>
              </w:rPr>
              <w:t>110.2</w:t>
            </w:r>
          </w:p>
        </w:tc>
        <w:tc>
          <w:tcPr>
            <w:tcW w:w="1095" w:type="dxa"/>
            <w:tcBorders>
              <w:top w:val="single" w:sz="4" w:space="0" w:color="1B556B"/>
              <w:left w:val="nil"/>
              <w:bottom w:val="single" w:sz="4" w:space="0" w:color="1B556B"/>
              <w:right w:val="nil"/>
            </w:tcBorders>
            <w:shd w:val="clear" w:color="auto" w:fill="auto"/>
            <w:vAlign w:val="bottom"/>
          </w:tcPr>
          <w:p w14:paraId="0A0752E9" w14:textId="77777777" w:rsidR="004543E0" w:rsidRPr="001B0B75" w:rsidRDefault="004543E0" w:rsidP="007E3239">
            <w:pPr>
              <w:pStyle w:val="TableText"/>
              <w:spacing w:before="50" w:after="50"/>
              <w:jc w:val="center"/>
              <w:rPr>
                <w:rFonts w:cs="Calibri"/>
                <w:szCs w:val="16"/>
              </w:rPr>
            </w:pPr>
            <w:r w:rsidRPr="001B0B75">
              <w:rPr>
                <w:rFonts w:cs="Calibri"/>
                <w:szCs w:val="16"/>
              </w:rPr>
              <w:t>1.0%</w:t>
            </w:r>
          </w:p>
        </w:tc>
        <w:tc>
          <w:tcPr>
            <w:tcW w:w="1153" w:type="dxa"/>
            <w:tcBorders>
              <w:top w:val="single" w:sz="4" w:space="0" w:color="1B556B"/>
              <w:left w:val="nil"/>
              <w:bottom w:val="single" w:sz="4" w:space="0" w:color="1B556B"/>
              <w:right w:val="nil"/>
            </w:tcBorders>
            <w:shd w:val="clear" w:color="auto" w:fill="auto"/>
            <w:vAlign w:val="bottom"/>
          </w:tcPr>
          <w:p w14:paraId="560457B6" w14:textId="77777777" w:rsidR="004543E0" w:rsidRPr="001B0B75" w:rsidRDefault="004543E0" w:rsidP="007E3239">
            <w:pPr>
              <w:pStyle w:val="TableText"/>
              <w:spacing w:before="50" w:after="50"/>
              <w:jc w:val="center"/>
              <w:rPr>
                <w:rFonts w:cs="Calibri"/>
                <w:szCs w:val="16"/>
              </w:rPr>
            </w:pPr>
            <w:r w:rsidRPr="001B0B75">
              <w:rPr>
                <w:rFonts w:cs="Calibri"/>
                <w:szCs w:val="16"/>
              </w:rPr>
              <w:t>0.2%</w:t>
            </w:r>
          </w:p>
        </w:tc>
      </w:tr>
      <w:tr w:rsidR="004543E0" w:rsidRPr="001B0B75" w14:paraId="6282796B" w14:textId="77777777" w:rsidTr="001B0B75">
        <w:tc>
          <w:tcPr>
            <w:tcW w:w="816" w:type="dxa"/>
            <w:vMerge/>
            <w:tcBorders>
              <w:left w:val="nil"/>
              <w:right w:val="nil"/>
            </w:tcBorders>
            <w:shd w:val="clear" w:color="auto" w:fill="auto"/>
          </w:tcPr>
          <w:p w14:paraId="140D9A29" w14:textId="77777777" w:rsidR="004543E0" w:rsidRPr="001B0B75" w:rsidRDefault="004543E0" w:rsidP="007E3239">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68DFDFF3" w14:textId="77777777" w:rsidR="004543E0" w:rsidRPr="001B0B75" w:rsidRDefault="004543E0" w:rsidP="007E3239">
            <w:pPr>
              <w:pStyle w:val="TableText"/>
              <w:spacing w:before="50" w:after="50"/>
              <w:rPr>
                <w:rFonts w:cs="Calibri"/>
                <w:szCs w:val="16"/>
              </w:rPr>
            </w:pPr>
            <w:r w:rsidRPr="001B0B75">
              <w:rPr>
                <w:rFonts w:cs="Calibri"/>
                <w:szCs w:val="16"/>
              </w:rPr>
              <w:t>Pasture, range and paddock manure</w:t>
            </w:r>
          </w:p>
        </w:tc>
        <w:tc>
          <w:tcPr>
            <w:tcW w:w="708" w:type="dxa"/>
            <w:tcBorders>
              <w:top w:val="single" w:sz="4" w:space="0" w:color="1B556B"/>
              <w:left w:val="nil"/>
              <w:bottom w:val="single" w:sz="4" w:space="0" w:color="1B556B"/>
              <w:right w:val="nil"/>
            </w:tcBorders>
            <w:shd w:val="clear" w:color="auto" w:fill="auto"/>
            <w:vAlign w:val="bottom"/>
          </w:tcPr>
          <w:p w14:paraId="6F9F4AEF" w14:textId="77777777" w:rsidR="004543E0" w:rsidRPr="001B0B75" w:rsidRDefault="004543E0" w:rsidP="007E3239">
            <w:pPr>
              <w:pStyle w:val="TableText"/>
              <w:spacing w:before="50" w:after="50"/>
              <w:jc w:val="center"/>
              <w:rPr>
                <w:rFonts w:cs="Calibri"/>
                <w:szCs w:val="16"/>
              </w:rPr>
            </w:pPr>
            <w:r w:rsidRPr="001B0B75">
              <w:rPr>
                <w:rFonts w:cs="Calibri"/>
                <w:szCs w:val="16"/>
              </w:rPr>
              <w:t>3,068.6</w:t>
            </w:r>
          </w:p>
        </w:tc>
        <w:tc>
          <w:tcPr>
            <w:tcW w:w="722" w:type="dxa"/>
            <w:tcBorders>
              <w:top w:val="single" w:sz="4" w:space="0" w:color="1B556B"/>
              <w:left w:val="nil"/>
              <w:bottom w:val="single" w:sz="4" w:space="0" w:color="1B556B"/>
              <w:right w:val="nil"/>
            </w:tcBorders>
            <w:shd w:val="clear" w:color="auto" w:fill="auto"/>
            <w:vAlign w:val="bottom"/>
          </w:tcPr>
          <w:p w14:paraId="4D0AB4F9" w14:textId="77777777" w:rsidR="004543E0" w:rsidRPr="001B0B75" w:rsidRDefault="004543E0" w:rsidP="007E3239">
            <w:pPr>
              <w:pStyle w:val="TableText"/>
              <w:spacing w:before="50" w:after="50"/>
              <w:jc w:val="center"/>
              <w:rPr>
                <w:rFonts w:cs="Calibri"/>
                <w:szCs w:val="16"/>
              </w:rPr>
            </w:pPr>
            <w:r w:rsidRPr="001B0B75">
              <w:rPr>
                <w:rFonts w:cs="Calibri"/>
                <w:szCs w:val="16"/>
              </w:rPr>
              <w:t>3,890.0</w:t>
            </w:r>
          </w:p>
        </w:tc>
        <w:tc>
          <w:tcPr>
            <w:tcW w:w="854" w:type="dxa"/>
            <w:tcBorders>
              <w:top w:val="single" w:sz="4" w:space="0" w:color="1B556B"/>
              <w:left w:val="nil"/>
              <w:bottom w:val="single" w:sz="4" w:space="0" w:color="1B556B"/>
              <w:right w:val="nil"/>
            </w:tcBorders>
            <w:shd w:val="clear" w:color="auto" w:fill="auto"/>
            <w:vAlign w:val="bottom"/>
          </w:tcPr>
          <w:p w14:paraId="2ECDA1EE" w14:textId="77777777" w:rsidR="004543E0" w:rsidRPr="001B0B75" w:rsidRDefault="004543E0" w:rsidP="007E3239">
            <w:pPr>
              <w:pStyle w:val="TableText"/>
              <w:spacing w:before="50" w:after="50"/>
              <w:jc w:val="center"/>
              <w:rPr>
                <w:rFonts w:cs="Calibri"/>
                <w:szCs w:val="16"/>
              </w:rPr>
            </w:pPr>
            <w:r w:rsidRPr="001B0B75">
              <w:rPr>
                <w:rFonts w:cs="Calibri"/>
                <w:szCs w:val="16"/>
              </w:rPr>
              <w:t>821.4</w:t>
            </w:r>
          </w:p>
        </w:tc>
        <w:tc>
          <w:tcPr>
            <w:tcW w:w="712" w:type="dxa"/>
            <w:tcBorders>
              <w:top w:val="single" w:sz="4" w:space="0" w:color="1B556B"/>
              <w:left w:val="nil"/>
              <w:bottom w:val="single" w:sz="4" w:space="0" w:color="1B556B"/>
              <w:right w:val="nil"/>
            </w:tcBorders>
            <w:shd w:val="clear" w:color="auto" w:fill="auto"/>
            <w:vAlign w:val="bottom"/>
          </w:tcPr>
          <w:p w14:paraId="21C9E966" w14:textId="77777777" w:rsidR="004543E0" w:rsidRPr="001B0B75" w:rsidRDefault="004543E0" w:rsidP="007E3239">
            <w:pPr>
              <w:pStyle w:val="TableText"/>
              <w:spacing w:before="50" w:after="50"/>
              <w:jc w:val="center"/>
              <w:rPr>
                <w:rFonts w:cs="Calibri"/>
                <w:szCs w:val="16"/>
              </w:rPr>
            </w:pPr>
            <w:r w:rsidRPr="001B0B75">
              <w:rPr>
                <w:rFonts w:cs="Calibri"/>
                <w:szCs w:val="16"/>
              </w:rPr>
              <w:t>26.8</w:t>
            </w:r>
          </w:p>
        </w:tc>
        <w:tc>
          <w:tcPr>
            <w:tcW w:w="1095" w:type="dxa"/>
            <w:tcBorders>
              <w:top w:val="single" w:sz="4" w:space="0" w:color="1B556B"/>
              <w:left w:val="nil"/>
              <w:bottom w:val="single" w:sz="4" w:space="0" w:color="1B556B"/>
              <w:right w:val="nil"/>
            </w:tcBorders>
            <w:shd w:val="clear" w:color="auto" w:fill="auto"/>
            <w:vAlign w:val="bottom"/>
          </w:tcPr>
          <w:p w14:paraId="5A0BC1E6" w14:textId="77777777" w:rsidR="004543E0" w:rsidRPr="001B0B75" w:rsidRDefault="004543E0" w:rsidP="007E3239">
            <w:pPr>
              <w:pStyle w:val="TableText"/>
              <w:spacing w:before="50" w:after="50"/>
              <w:jc w:val="center"/>
              <w:rPr>
                <w:rFonts w:cs="Calibri"/>
                <w:szCs w:val="16"/>
              </w:rPr>
            </w:pPr>
            <w:r w:rsidRPr="001B0B75">
              <w:rPr>
                <w:rFonts w:cs="Calibri"/>
                <w:szCs w:val="16"/>
              </w:rPr>
              <w:t>49.3%</w:t>
            </w:r>
          </w:p>
        </w:tc>
        <w:tc>
          <w:tcPr>
            <w:tcW w:w="1153" w:type="dxa"/>
            <w:tcBorders>
              <w:top w:val="single" w:sz="4" w:space="0" w:color="1B556B"/>
              <w:left w:val="nil"/>
              <w:bottom w:val="single" w:sz="4" w:space="0" w:color="1B556B"/>
              <w:right w:val="nil"/>
            </w:tcBorders>
            <w:shd w:val="clear" w:color="auto" w:fill="auto"/>
            <w:vAlign w:val="bottom"/>
          </w:tcPr>
          <w:p w14:paraId="101A7836" w14:textId="77777777" w:rsidR="004543E0" w:rsidRPr="001B0B75" w:rsidRDefault="004543E0" w:rsidP="007E3239">
            <w:pPr>
              <w:pStyle w:val="TableText"/>
              <w:spacing w:before="50" w:after="50"/>
              <w:jc w:val="center"/>
              <w:rPr>
                <w:rFonts w:cs="Calibri"/>
                <w:szCs w:val="16"/>
              </w:rPr>
            </w:pPr>
            <w:r w:rsidRPr="001B0B75">
              <w:rPr>
                <w:rFonts w:cs="Calibri"/>
                <w:szCs w:val="16"/>
              </w:rPr>
              <w:t>9.9%</w:t>
            </w:r>
          </w:p>
        </w:tc>
      </w:tr>
      <w:tr w:rsidR="004543E0" w:rsidRPr="001B0B75" w14:paraId="5C82FD24" w14:textId="77777777" w:rsidTr="001B0B75">
        <w:tc>
          <w:tcPr>
            <w:tcW w:w="816" w:type="dxa"/>
            <w:vMerge/>
            <w:tcBorders>
              <w:left w:val="nil"/>
              <w:right w:val="nil"/>
            </w:tcBorders>
            <w:shd w:val="clear" w:color="auto" w:fill="auto"/>
          </w:tcPr>
          <w:p w14:paraId="4278FADA" w14:textId="77777777" w:rsidR="004543E0" w:rsidRPr="001B0B75" w:rsidRDefault="004543E0" w:rsidP="007E3239">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363C5623" w14:textId="77777777" w:rsidR="004543E0" w:rsidRPr="001B0B75" w:rsidRDefault="004543E0" w:rsidP="007E3239">
            <w:pPr>
              <w:pStyle w:val="TableText"/>
              <w:spacing w:before="50" w:after="50"/>
              <w:rPr>
                <w:rFonts w:cs="Calibri"/>
                <w:szCs w:val="16"/>
              </w:rPr>
            </w:pPr>
            <w:r w:rsidRPr="001B0B75">
              <w:rPr>
                <w:rFonts w:cs="Calibri"/>
                <w:szCs w:val="16"/>
              </w:rPr>
              <w:t xml:space="preserve">Crop residue </w:t>
            </w:r>
          </w:p>
        </w:tc>
        <w:tc>
          <w:tcPr>
            <w:tcW w:w="708" w:type="dxa"/>
            <w:tcBorders>
              <w:top w:val="single" w:sz="4" w:space="0" w:color="1B556B"/>
              <w:left w:val="nil"/>
              <w:bottom w:val="single" w:sz="4" w:space="0" w:color="1B556B"/>
              <w:right w:val="nil"/>
            </w:tcBorders>
            <w:shd w:val="clear" w:color="auto" w:fill="auto"/>
            <w:vAlign w:val="bottom"/>
          </w:tcPr>
          <w:p w14:paraId="43C1477E" w14:textId="77777777" w:rsidR="004543E0" w:rsidRPr="001B0B75" w:rsidRDefault="004543E0" w:rsidP="007E3239">
            <w:pPr>
              <w:pStyle w:val="TableText"/>
              <w:spacing w:before="50" w:after="50"/>
              <w:jc w:val="center"/>
              <w:rPr>
                <w:rFonts w:cs="Calibri"/>
                <w:szCs w:val="16"/>
              </w:rPr>
            </w:pPr>
            <w:r w:rsidRPr="001B0B75">
              <w:rPr>
                <w:rFonts w:cs="Calibri"/>
                <w:szCs w:val="16"/>
              </w:rPr>
              <w:t>175.5</w:t>
            </w:r>
          </w:p>
        </w:tc>
        <w:tc>
          <w:tcPr>
            <w:tcW w:w="722" w:type="dxa"/>
            <w:tcBorders>
              <w:top w:val="single" w:sz="4" w:space="0" w:color="1B556B"/>
              <w:left w:val="nil"/>
              <w:bottom w:val="single" w:sz="4" w:space="0" w:color="1B556B"/>
              <w:right w:val="nil"/>
            </w:tcBorders>
            <w:shd w:val="clear" w:color="auto" w:fill="auto"/>
            <w:vAlign w:val="bottom"/>
          </w:tcPr>
          <w:p w14:paraId="68E09140" w14:textId="77777777" w:rsidR="004543E0" w:rsidRPr="001B0B75" w:rsidRDefault="004543E0" w:rsidP="007E3239">
            <w:pPr>
              <w:pStyle w:val="TableText"/>
              <w:spacing w:before="50" w:after="50"/>
              <w:jc w:val="center"/>
              <w:rPr>
                <w:rFonts w:cs="Calibri"/>
                <w:szCs w:val="16"/>
              </w:rPr>
            </w:pPr>
            <w:r w:rsidRPr="001B0B75">
              <w:rPr>
                <w:rFonts w:cs="Calibri"/>
                <w:szCs w:val="16"/>
              </w:rPr>
              <w:t>258.6</w:t>
            </w:r>
          </w:p>
        </w:tc>
        <w:tc>
          <w:tcPr>
            <w:tcW w:w="854" w:type="dxa"/>
            <w:tcBorders>
              <w:top w:val="single" w:sz="4" w:space="0" w:color="1B556B"/>
              <w:left w:val="nil"/>
              <w:bottom w:val="single" w:sz="4" w:space="0" w:color="1B556B"/>
              <w:right w:val="nil"/>
            </w:tcBorders>
            <w:shd w:val="clear" w:color="auto" w:fill="auto"/>
            <w:vAlign w:val="bottom"/>
          </w:tcPr>
          <w:p w14:paraId="0A313459" w14:textId="77777777" w:rsidR="004543E0" w:rsidRPr="001B0B75" w:rsidRDefault="004543E0" w:rsidP="007E3239">
            <w:pPr>
              <w:pStyle w:val="TableText"/>
              <w:spacing w:before="50" w:after="50"/>
              <w:jc w:val="center"/>
              <w:rPr>
                <w:rFonts w:cs="Calibri"/>
                <w:szCs w:val="16"/>
              </w:rPr>
            </w:pPr>
            <w:r w:rsidRPr="001B0B75">
              <w:rPr>
                <w:rFonts w:cs="Calibri"/>
                <w:szCs w:val="16"/>
              </w:rPr>
              <w:t>83.2</w:t>
            </w:r>
          </w:p>
        </w:tc>
        <w:tc>
          <w:tcPr>
            <w:tcW w:w="712" w:type="dxa"/>
            <w:tcBorders>
              <w:top w:val="single" w:sz="4" w:space="0" w:color="1B556B"/>
              <w:left w:val="nil"/>
              <w:bottom w:val="single" w:sz="4" w:space="0" w:color="1B556B"/>
              <w:right w:val="nil"/>
            </w:tcBorders>
            <w:shd w:val="clear" w:color="auto" w:fill="auto"/>
            <w:vAlign w:val="bottom"/>
          </w:tcPr>
          <w:p w14:paraId="1CB1E39F" w14:textId="77777777" w:rsidR="004543E0" w:rsidRPr="001B0B75" w:rsidRDefault="004543E0" w:rsidP="007E3239">
            <w:pPr>
              <w:pStyle w:val="TableText"/>
              <w:spacing w:before="50" w:after="50"/>
              <w:jc w:val="center"/>
              <w:rPr>
                <w:rFonts w:cs="Calibri"/>
                <w:szCs w:val="16"/>
              </w:rPr>
            </w:pPr>
            <w:r w:rsidRPr="001B0B75">
              <w:rPr>
                <w:rFonts w:cs="Calibri"/>
                <w:szCs w:val="16"/>
              </w:rPr>
              <w:t>47.4</w:t>
            </w:r>
          </w:p>
        </w:tc>
        <w:tc>
          <w:tcPr>
            <w:tcW w:w="1095" w:type="dxa"/>
            <w:tcBorders>
              <w:top w:val="single" w:sz="4" w:space="0" w:color="1B556B"/>
              <w:left w:val="nil"/>
              <w:bottom w:val="single" w:sz="4" w:space="0" w:color="1B556B"/>
              <w:right w:val="nil"/>
            </w:tcBorders>
            <w:shd w:val="clear" w:color="auto" w:fill="auto"/>
            <w:vAlign w:val="bottom"/>
          </w:tcPr>
          <w:p w14:paraId="6F760175" w14:textId="77777777" w:rsidR="004543E0" w:rsidRPr="001B0B75" w:rsidRDefault="004543E0" w:rsidP="007E3239">
            <w:pPr>
              <w:pStyle w:val="TableText"/>
              <w:spacing w:before="50" w:after="50"/>
              <w:jc w:val="center"/>
              <w:rPr>
                <w:rFonts w:cs="Calibri"/>
                <w:szCs w:val="16"/>
              </w:rPr>
            </w:pPr>
            <w:r w:rsidRPr="001B0B75">
              <w:rPr>
                <w:rFonts w:cs="Calibri"/>
                <w:szCs w:val="16"/>
              </w:rPr>
              <w:t>3.3%</w:t>
            </w:r>
          </w:p>
        </w:tc>
        <w:tc>
          <w:tcPr>
            <w:tcW w:w="1153" w:type="dxa"/>
            <w:tcBorders>
              <w:top w:val="single" w:sz="4" w:space="0" w:color="1B556B"/>
              <w:left w:val="nil"/>
              <w:bottom w:val="single" w:sz="4" w:space="0" w:color="1B556B"/>
              <w:right w:val="nil"/>
            </w:tcBorders>
            <w:shd w:val="clear" w:color="auto" w:fill="auto"/>
            <w:vAlign w:val="bottom"/>
          </w:tcPr>
          <w:p w14:paraId="1D22D646" w14:textId="77777777" w:rsidR="004543E0" w:rsidRPr="001B0B75" w:rsidRDefault="004543E0" w:rsidP="007E3239">
            <w:pPr>
              <w:pStyle w:val="TableText"/>
              <w:spacing w:before="50" w:after="50"/>
              <w:jc w:val="center"/>
              <w:rPr>
                <w:rFonts w:cs="Calibri"/>
                <w:szCs w:val="16"/>
              </w:rPr>
            </w:pPr>
            <w:r w:rsidRPr="001B0B75">
              <w:rPr>
                <w:rFonts w:cs="Calibri"/>
                <w:szCs w:val="16"/>
              </w:rPr>
              <w:t>0.7%</w:t>
            </w:r>
          </w:p>
        </w:tc>
      </w:tr>
      <w:tr w:rsidR="004543E0" w:rsidRPr="001B0B75" w14:paraId="4F063E07" w14:textId="77777777" w:rsidTr="001B0B75">
        <w:tc>
          <w:tcPr>
            <w:tcW w:w="816" w:type="dxa"/>
            <w:vMerge/>
            <w:tcBorders>
              <w:left w:val="nil"/>
              <w:right w:val="nil"/>
            </w:tcBorders>
            <w:shd w:val="clear" w:color="auto" w:fill="auto"/>
          </w:tcPr>
          <w:p w14:paraId="28363362" w14:textId="77777777" w:rsidR="004543E0" w:rsidRPr="001B0B75" w:rsidRDefault="004543E0" w:rsidP="007E3239">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425E0042" w14:textId="77777777" w:rsidR="004543E0" w:rsidRPr="001B0B75" w:rsidRDefault="004543E0" w:rsidP="007E3239">
            <w:pPr>
              <w:pStyle w:val="TableText"/>
              <w:spacing w:before="50" w:after="50"/>
              <w:rPr>
                <w:rFonts w:cs="Calibri"/>
                <w:szCs w:val="16"/>
              </w:rPr>
            </w:pPr>
            <w:r w:rsidRPr="001B0B75">
              <w:rPr>
                <w:rFonts w:cs="Calibri"/>
                <w:szCs w:val="16"/>
              </w:rPr>
              <w:t>Cropland nitrogen mineralisation from soil organic matter loss</w:t>
            </w:r>
          </w:p>
        </w:tc>
        <w:tc>
          <w:tcPr>
            <w:tcW w:w="708" w:type="dxa"/>
            <w:tcBorders>
              <w:top w:val="single" w:sz="4" w:space="0" w:color="1B556B"/>
              <w:left w:val="nil"/>
              <w:bottom w:val="single" w:sz="4" w:space="0" w:color="1B556B"/>
              <w:right w:val="nil"/>
            </w:tcBorders>
            <w:shd w:val="clear" w:color="auto" w:fill="auto"/>
            <w:vAlign w:val="bottom"/>
          </w:tcPr>
          <w:p w14:paraId="2B3CACA9" w14:textId="77777777" w:rsidR="004543E0" w:rsidRPr="001B0B75" w:rsidRDefault="004543E0" w:rsidP="007E3239">
            <w:pPr>
              <w:pStyle w:val="TableText"/>
              <w:spacing w:before="50" w:after="50"/>
              <w:jc w:val="center"/>
              <w:rPr>
                <w:rFonts w:cs="Calibri"/>
                <w:szCs w:val="16"/>
              </w:rPr>
            </w:pPr>
            <w:r w:rsidRPr="001B0B75">
              <w:rPr>
                <w:rFonts w:cs="Calibri"/>
                <w:szCs w:val="16"/>
              </w:rPr>
              <w:t>0.0</w:t>
            </w:r>
          </w:p>
        </w:tc>
        <w:tc>
          <w:tcPr>
            <w:tcW w:w="722" w:type="dxa"/>
            <w:tcBorders>
              <w:top w:val="single" w:sz="4" w:space="0" w:color="1B556B"/>
              <w:left w:val="nil"/>
              <w:bottom w:val="single" w:sz="4" w:space="0" w:color="1B556B"/>
              <w:right w:val="nil"/>
            </w:tcBorders>
            <w:shd w:val="clear" w:color="auto" w:fill="auto"/>
            <w:vAlign w:val="bottom"/>
          </w:tcPr>
          <w:p w14:paraId="51B88A36" w14:textId="77777777" w:rsidR="004543E0" w:rsidRPr="001B0B75" w:rsidRDefault="004543E0" w:rsidP="007E3239">
            <w:pPr>
              <w:pStyle w:val="TableText"/>
              <w:spacing w:before="50" w:after="50"/>
              <w:jc w:val="center"/>
              <w:rPr>
                <w:rFonts w:cs="Calibri"/>
                <w:szCs w:val="16"/>
              </w:rPr>
            </w:pPr>
            <w:r w:rsidRPr="001B0B75">
              <w:rPr>
                <w:rFonts w:cs="Calibri"/>
                <w:szCs w:val="16"/>
              </w:rPr>
              <w:t>0.1</w:t>
            </w:r>
          </w:p>
        </w:tc>
        <w:tc>
          <w:tcPr>
            <w:tcW w:w="854" w:type="dxa"/>
            <w:tcBorders>
              <w:top w:val="single" w:sz="4" w:space="0" w:color="1B556B"/>
              <w:left w:val="nil"/>
              <w:bottom w:val="single" w:sz="4" w:space="0" w:color="1B556B"/>
              <w:right w:val="nil"/>
            </w:tcBorders>
            <w:shd w:val="clear" w:color="auto" w:fill="auto"/>
            <w:vAlign w:val="bottom"/>
          </w:tcPr>
          <w:p w14:paraId="2F9B2A03" w14:textId="77777777" w:rsidR="004543E0" w:rsidRPr="001B0B75" w:rsidRDefault="004543E0" w:rsidP="007E3239">
            <w:pPr>
              <w:pStyle w:val="TableText"/>
              <w:spacing w:before="50" w:after="50"/>
              <w:jc w:val="center"/>
              <w:rPr>
                <w:rFonts w:cs="Calibri"/>
                <w:szCs w:val="16"/>
              </w:rPr>
            </w:pPr>
            <w:r w:rsidRPr="001B0B75">
              <w:rPr>
                <w:rFonts w:cs="Calibri"/>
                <w:szCs w:val="16"/>
              </w:rPr>
              <w:t>0.1</w:t>
            </w:r>
          </w:p>
        </w:tc>
        <w:tc>
          <w:tcPr>
            <w:tcW w:w="712" w:type="dxa"/>
            <w:tcBorders>
              <w:top w:val="single" w:sz="4" w:space="0" w:color="1B556B"/>
              <w:left w:val="nil"/>
              <w:bottom w:val="single" w:sz="4" w:space="0" w:color="1B556B"/>
              <w:right w:val="nil"/>
            </w:tcBorders>
            <w:shd w:val="clear" w:color="auto" w:fill="auto"/>
            <w:vAlign w:val="bottom"/>
          </w:tcPr>
          <w:p w14:paraId="6EA77A3F" w14:textId="77777777" w:rsidR="004543E0" w:rsidRPr="001B0B75" w:rsidRDefault="004543E0" w:rsidP="007E3239">
            <w:pPr>
              <w:pStyle w:val="TableText"/>
              <w:spacing w:before="50" w:after="50"/>
              <w:jc w:val="center"/>
              <w:rPr>
                <w:rFonts w:cs="Calibri"/>
                <w:szCs w:val="16"/>
              </w:rPr>
            </w:pPr>
            <w:r w:rsidRPr="001B0B75">
              <w:rPr>
                <w:rFonts w:cs="Calibri"/>
                <w:szCs w:val="16"/>
              </w:rPr>
              <w:t>321.7</w:t>
            </w:r>
          </w:p>
        </w:tc>
        <w:tc>
          <w:tcPr>
            <w:tcW w:w="1095" w:type="dxa"/>
            <w:tcBorders>
              <w:top w:val="single" w:sz="4" w:space="0" w:color="1B556B"/>
              <w:left w:val="nil"/>
              <w:bottom w:val="single" w:sz="4" w:space="0" w:color="1B556B"/>
              <w:right w:val="nil"/>
            </w:tcBorders>
            <w:shd w:val="clear" w:color="auto" w:fill="auto"/>
            <w:vAlign w:val="bottom"/>
          </w:tcPr>
          <w:p w14:paraId="2A09B5D4" w14:textId="77777777" w:rsidR="004543E0" w:rsidRPr="001B0B75" w:rsidRDefault="004543E0" w:rsidP="007E3239">
            <w:pPr>
              <w:pStyle w:val="TableText"/>
              <w:spacing w:before="50" w:after="50"/>
              <w:jc w:val="center"/>
              <w:rPr>
                <w:rFonts w:cs="Calibri"/>
                <w:szCs w:val="16"/>
              </w:rPr>
            </w:pPr>
            <w:r w:rsidRPr="001B0B75">
              <w:rPr>
                <w:rFonts w:cs="Calibri"/>
                <w:szCs w:val="16"/>
              </w:rPr>
              <w:t>0.0%</w:t>
            </w:r>
          </w:p>
        </w:tc>
        <w:tc>
          <w:tcPr>
            <w:tcW w:w="1153" w:type="dxa"/>
            <w:tcBorders>
              <w:top w:val="single" w:sz="4" w:space="0" w:color="1B556B"/>
              <w:left w:val="nil"/>
              <w:bottom w:val="single" w:sz="4" w:space="0" w:color="1B556B"/>
              <w:right w:val="nil"/>
            </w:tcBorders>
            <w:shd w:val="clear" w:color="auto" w:fill="auto"/>
            <w:vAlign w:val="bottom"/>
          </w:tcPr>
          <w:p w14:paraId="51915211" w14:textId="77777777" w:rsidR="004543E0" w:rsidRPr="001B0B75" w:rsidRDefault="004543E0" w:rsidP="007E3239">
            <w:pPr>
              <w:pStyle w:val="TableText"/>
              <w:spacing w:before="50" w:after="50"/>
              <w:jc w:val="center"/>
              <w:rPr>
                <w:rFonts w:cs="Calibri"/>
                <w:szCs w:val="16"/>
              </w:rPr>
            </w:pPr>
            <w:r w:rsidRPr="001B0B75">
              <w:rPr>
                <w:rFonts w:cs="Calibri"/>
                <w:szCs w:val="16"/>
              </w:rPr>
              <w:t>0.0%</w:t>
            </w:r>
          </w:p>
        </w:tc>
      </w:tr>
      <w:tr w:rsidR="004543E0" w:rsidRPr="001B0B75" w14:paraId="19636367" w14:textId="77777777" w:rsidTr="001B0B75">
        <w:tc>
          <w:tcPr>
            <w:tcW w:w="816" w:type="dxa"/>
            <w:vMerge/>
            <w:tcBorders>
              <w:left w:val="nil"/>
              <w:bottom w:val="single" w:sz="4" w:space="0" w:color="365F91"/>
              <w:right w:val="nil"/>
            </w:tcBorders>
            <w:shd w:val="clear" w:color="auto" w:fill="auto"/>
          </w:tcPr>
          <w:p w14:paraId="3D8662F1" w14:textId="77777777" w:rsidR="004543E0" w:rsidRPr="001B0B75" w:rsidRDefault="004543E0" w:rsidP="007E3239">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vAlign w:val="bottom"/>
          </w:tcPr>
          <w:p w14:paraId="678E8D91" w14:textId="77777777" w:rsidR="004543E0" w:rsidRPr="001B0B75" w:rsidRDefault="004543E0" w:rsidP="007E3239">
            <w:pPr>
              <w:pStyle w:val="TableText"/>
              <w:spacing w:before="50" w:after="50"/>
              <w:rPr>
                <w:rFonts w:cs="Calibri"/>
                <w:szCs w:val="16"/>
              </w:rPr>
            </w:pPr>
            <w:r w:rsidRPr="001B0B75">
              <w:rPr>
                <w:rFonts w:cs="Calibri"/>
                <w:szCs w:val="16"/>
              </w:rPr>
              <w:t>Cultivation of organic soils</w:t>
            </w:r>
          </w:p>
        </w:tc>
        <w:tc>
          <w:tcPr>
            <w:tcW w:w="708" w:type="dxa"/>
            <w:tcBorders>
              <w:top w:val="single" w:sz="4" w:space="0" w:color="1B556B"/>
              <w:left w:val="nil"/>
              <w:bottom w:val="single" w:sz="4" w:space="0" w:color="1B556B"/>
              <w:right w:val="nil"/>
            </w:tcBorders>
            <w:shd w:val="clear" w:color="auto" w:fill="auto"/>
            <w:vAlign w:val="bottom"/>
          </w:tcPr>
          <w:p w14:paraId="62D9E198" w14:textId="77777777" w:rsidR="004543E0" w:rsidRPr="001B0B75" w:rsidRDefault="004543E0" w:rsidP="007E3239">
            <w:pPr>
              <w:pStyle w:val="TableText"/>
              <w:spacing w:before="50" w:after="50"/>
              <w:jc w:val="center"/>
              <w:rPr>
                <w:rFonts w:cs="Calibri"/>
                <w:szCs w:val="16"/>
              </w:rPr>
            </w:pPr>
            <w:r w:rsidRPr="001B0B75">
              <w:rPr>
                <w:rFonts w:cs="Calibri"/>
                <w:szCs w:val="16"/>
              </w:rPr>
              <w:t>658.7</w:t>
            </w:r>
          </w:p>
        </w:tc>
        <w:tc>
          <w:tcPr>
            <w:tcW w:w="722" w:type="dxa"/>
            <w:tcBorders>
              <w:top w:val="single" w:sz="4" w:space="0" w:color="1B556B"/>
              <w:left w:val="nil"/>
              <w:bottom w:val="single" w:sz="4" w:space="0" w:color="1B556B"/>
              <w:right w:val="nil"/>
            </w:tcBorders>
            <w:shd w:val="clear" w:color="auto" w:fill="auto"/>
            <w:vAlign w:val="bottom"/>
          </w:tcPr>
          <w:p w14:paraId="5BB06FF7" w14:textId="77777777" w:rsidR="004543E0" w:rsidRPr="001B0B75" w:rsidRDefault="004543E0" w:rsidP="007E3239">
            <w:pPr>
              <w:pStyle w:val="TableText"/>
              <w:spacing w:before="50" w:after="50"/>
              <w:jc w:val="center"/>
              <w:rPr>
                <w:rFonts w:cs="Calibri"/>
                <w:szCs w:val="16"/>
              </w:rPr>
            </w:pPr>
            <w:r w:rsidRPr="001B0B75">
              <w:rPr>
                <w:rFonts w:cs="Calibri"/>
                <w:szCs w:val="16"/>
              </w:rPr>
              <w:t>667.6</w:t>
            </w:r>
          </w:p>
        </w:tc>
        <w:tc>
          <w:tcPr>
            <w:tcW w:w="854" w:type="dxa"/>
            <w:tcBorders>
              <w:top w:val="single" w:sz="4" w:space="0" w:color="1B556B"/>
              <w:left w:val="nil"/>
              <w:bottom w:val="single" w:sz="4" w:space="0" w:color="1B556B"/>
              <w:right w:val="nil"/>
            </w:tcBorders>
            <w:shd w:val="clear" w:color="auto" w:fill="auto"/>
            <w:vAlign w:val="bottom"/>
          </w:tcPr>
          <w:p w14:paraId="1AC43837" w14:textId="77777777" w:rsidR="004543E0" w:rsidRPr="001B0B75" w:rsidRDefault="004543E0" w:rsidP="007E3239">
            <w:pPr>
              <w:pStyle w:val="TableText"/>
              <w:spacing w:before="50" w:after="50"/>
              <w:jc w:val="center"/>
              <w:rPr>
                <w:rFonts w:cs="Calibri"/>
                <w:szCs w:val="16"/>
              </w:rPr>
            </w:pPr>
            <w:r w:rsidRPr="001B0B75">
              <w:rPr>
                <w:rFonts w:cs="Calibri"/>
                <w:szCs w:val="16"/>
              </w:rPr>
              <w:t>8.9</w:t>
            </w:r>
          </w:p>
        </w:tc>
        <w:tc>
          <w:tcPr>
            <w:tcW w:w="712" w:type="dxa"/>
            <w:tcBorders>
              <w:top w:val="single" w:sz="4" w:space="0" w:color="1B556B"/>
              <w:left w:val="nil"/>
              <w:bottom w:val="single" w:sz="4" w:space="0" w:color="1B556B"/>
              <w:right w:val="nil"/>
            </w:tcBorders>
            <w:shd w:val="clear" w:color="auto" w:fill="auto"/>
            <w:vAlign w:val="bottom"/>
          </w:tcPr>
          <w:p w14:paraId="74AD5584" w14:textId="77777777" w:rsidR="004543E0" w:rsidRPr="001B0B75" w:rsidRDefault="004543E0" w:rsidP="007E3239">
            <w:pPr>
              <w:pStyle w:val="TableText"/>
              <w:spacing w:before="50" w:after="50"/>
              <w:jc w:val="center"/>
              <w:rPr>
                <w:rFonts w:cs="Calibri"/>
                <w:szCs w:val="16"/>
              </w:rPr>
            </w:pPr>
            <w:r w:rsidRPr="001B0B75">
              <w:rPr>
                <w:rFonts w:cs="Calibri"/>
                <w:szCs w:val="16"/>
              </w:rPr>
              <w:t>1.4</w:t>
            </w:r>
          </w:p>
        </w:tc>
        <w:tc>
          <w:tcPr>
            <w:tcW w:w="1095" w:type="dxa"/>
            <w:tcBorders>
              <w:top w:val="single" w:sz="4" w:space="0" w:color="1B556B"/>
              <w:left w:val="nil"/>
              <w:bottom w:val="single" w:sz="4" w:space="0" w:color="1B556B"/>
              <w:right w:val="nil"/>
            </w:tcBorders>
            <w:shd w:val="clear" w:color="auto" w:fill="auto"/>
            <w:vAlign w:val="bottom"/>
          </w:tcPr>
          <w:p w14:paraId="38B6AA5B" w14:textId="77777777" w:rsidR="004543E0" w:rsidRPr="001B0B75" w:rsidRDefault="004543E0" w:rsidP="007E3239">
            <w:pPr>
              <w:pStyle w:val="TableText"/>
              <w:spacing w:before="50" w:after="50"/>
              <w:jc w:val="center"/>
              <w:rPr>
                <w:rFonts w:cs="Calibri"/>
                <w:szCs w:val="16"/>
              </w:rPr>
            </w:pPr>
            <w:r w:rsidRPr="001B0B75">
              <w:rPr>
                <w:rFonts w:cs="Calibri"/>
                <w:szCs w:val="16"/>
              </w:rPr>
              <w:t>8.5%</w:t>
            </w:r>
          </w:p>
        </w:tc>
        <w:tc>
          <w:tcPr>
            <w:tcW w:w="1153" w:type="dxa"/>
            <w:tcBorders>
              <w:top w:val="single" w:sz="4" w:space="0" w:color="1B556B"/>
              <w:left w:val="nil"/>
              <w:bottom w:val="single" w:sz="4" w:space="0" w:color="1B556B"/>
              <w:right w:val="nil"/>
            </w:tcBorders>
            <w:shd w:val="clear" w:color="auto" w:fill="auto"/>
            <w:vAlign w:val="bottom"/>
          </w:tcPr>
          <w:p w14:paraId="52B23335" w14:textId="77777777" w:rsidR="004543E0" w:rsidRPr="001B0B75" w:rsidRDefault="004543E0" w:rsidP="007E3239">
            <w:pPr>
              <w:pStyle w:val="TableText"/>
              <w:spacing w:before="50" w:after="50"/>
              <w:jc w:val="center"/>
              <w:rPr>
                <w:rFonts w:cs="Calibri"/>
                <w:szCs w:val="16"/>
              </w:rPr>
            </w:pPr>
            <w:r w:rsidRPr="001B0B75">
              <w:rPr>
                <w:rFonts w:cs="Calibri"/>
                <w:szCs w:val="16"/>
              </w:rPr>
              <w:t>1.7%</w:t>
            </w:r>
          </w:p>
        </w:tc>
      </w:tr>
      <w:tr w:rsidR="004543E0" w:rsidRPr="001B0B75" w14:paraId="58B92C37" w14:textId="77777777" w:rsidTr="001B0B75">
        <w:tc>
          <w:tcPr>
            <w:tcW w:w="816" w:type="dxa"/>
            <w:vMerge w:val="restart"/>
            <w:tcBorders>
              <w:top w:val="single" w:sz="4" w:space="0" w:color="365F91"/>
              <w:left w:val="nil"/>
              <w:bottom w:val="nil"/>
              <w:right w:val="nil"/>
            </w:tcBorders>
            <w:shd w:val="clear" w:color="auto" w:fill="auto"/>
          </w:tcPr>
          <w:p w14:paraId="14E93685" w14:textId="77777777" w:rsidR="004543E0" w:rsidRPr="001B0B75" w:rsidRDefault="004543E0" w:rsidP="007E3239">
            <w:pPr>
              <w:pStyle w:val="TableText"/>
              <w:spacing w:before="50" w:after="50"/>
              <w:rPr>
                <w:rFonts w:cs="Calibri"/>
                <w:szCs w:val="16"/>
              </w:rPr>
            </w:pPr>
            <w:r w:rsidRPr="001B0B75">
              <w:rPr>
                <w:rFonts w:cs="Calibri"/>
                <w:szCs w:val="16"/>
              </w:rPr>
              <w:t>Indirect</w:t>
            </w:r>
          </w:p>
        </w:tc>
        <w:tc>
          <w:tcPr>
            <w:tcW w:w="2445" w:type="dxa"/>
            <w:tcBorders>
              <w:top w:val="single" w:sz="4" w:space="0" w:color="1B556B"/>
              <w:left w:val="nil"/>
              <w:bottom w:val="single" w:sz="4" w:space="0" w:color="1B556B"/>
              <w:right w:val="nil"/>
            </w:tcBorders>
            <w:shd w:val="clear" w:color="auto" w:fill="auto"/>
          </w:tcPr>
          <w:p w14:paraId="51DD4676" w14:textId="77777777" w:rsidR="004543E0" w:rsidRPr="001B0B75" w:rsidRDefault="004543E0" w:rsidP="007E3239">
            <w:pPr>
              <w:pStyle w:val="TableText"/>
              <w:spacing w:before="50" w:after="50"/>
              <w:rPr>
                <w:rFonts w:cs="Calibri"/>
                <w:szCs w:val="16"/>
              </w:rPr>
            </w:pPr>
            <w:r w:rsidRPr="001B0B75">
              <w:rPr>
                <w:rFonts w:cs="Calibri"/>
                <w:szCs w:val="16"/>
              </w:rPr>
              <w:t>Volatilisation</w:t>
            </w:r>
          </w:p>
        </w:tc>
        <w:tc>
          <w:tcPr>
            <w:tcW w:w="708" w:type="dxa"/>
            <w:tcBorders>
              <w:top w:val="single" w:sz="4" w:space="0" w:color="1B556B"/>
              <w:left w:val="nil"/>
              <w:bottom w:val="single" w:sz="4" w:space="0" w:color="1B556B"/>
              <w:right w:val="nil"/>
            </w:tcBorders>
            <w:shd w:val="clear" w:color="auto" w:fill="auto"/>
            <w:vAlign w:val="bottom"/>
          </w:tcPr>
          <w:p w14:paraId="30E4F4E9" w14:textId="77777777" w:rsidR="004543E0" w:rsidRPr="001B0B75" w:rsidRDefault="004543E0" w:rsidP="007E3239">
            <w:pPr>
              <w:pStyle w:val="TableText"/>
              <w:spacing w:before="50" w:after="50"/>
              <w:jc w:val="center"/>
              <w:rPr>
                <w:rFonts w:cs="Calibri"/>
                <w:szCs w:val="16"/>
              </w:rPr>
            </w:pPr>
            <w:r w:rsidRPr="001B0B75">
              <w:rPr>
                <w:rFonts w:cs="Calibri"/>
                <w:szCs w:val="16"/>
              </w:rPr>
              <w:t>735.1</w:t>
            </w:r>
          </w:p>
        </w:tc>
        <w:tc>
          <w:tcPr>
            <w:tcW w:w="722" w:type="dxa"/>
            <w:tcBorders>
              <w:top w:val="single" w:sz="4" w:space="0" w:color="1B556B"/>
              <w:left w:val="nil"/>
              <w:bottom w:val="single" w:sz="4" w:space="0" w:color="1B556B"/>
              <w:right w:val="nil"/>
            </w:tcBorders>
            <w:shd w:val="clear" w:color="auto" w:fill="auto"/>
            <w:vAlign w:val="bottom"/>
          </w:tcPr>
          <w:p w14:paraId="5A945287" w14:textId="77777777" w:rsidR="004543E0" w:rsidRPr="001B0B75" w:rsidRDefault="004543E0" w:rsidP="007E3239">
            <w:pPr>
              <w:pStyle w:val="TableText"/>
              <w:spacing w:before="50" w:after="50"/>
              <w:jc w:val="center"/>
              <w:rPr>
                <w:rFonts w:cs="Calibri"/>
                <w:szCs w:val="16"/>
              </w:rPr>
            </w:pPr>
            <w:r w:rsidRPr="001B0B75">
              <w:rPr>
                <w:rFonts w:cs="Calibri"/>
                <w:szCs w:val="16"/>
              </w:rPr>
              <w:t>925.2</w:t>
            </w:r>
          </w:p>
        </w:tc>
        <w:tc>
          <w:tcPr>
            <w:tcW w:w="854" w:type="dxa"/>
            <w:tcBorders>
              <w:top w:val="single" w:sz="4" w:space="0" w:color="1B556B"/>
              <w:left w:val="nil"/>
              <w:bottom w:val="single" w:sz="4" w:space="0" w:color="1B556B"/>
              <w:right w:val="nil"/>
            </w:tcBorders>
            <w:shd w:val="clear" w:color="auto" w:fill="auto"/>
            <w:vAlign w:val="bottom"/>
          </w:tcPr>
          <w:p w14:paraId="072EF49D" w14:textId="77777777" w:rsidR="004543E0" w:rsidRPr="001B0B75" w:rsidRDefault="004543E0" w:rsidP="007E3239">
            <w:pPr>
              <w:pStyle w:val="TableText"/>
              <w:spacing w:before="50" w:after="50"/>
              <w:jc w:val="center"/>
              <w:rPr>
                <w:rFonts w:cs="Calibri"/>
                <w:szCs w:val="16"/>
              </w:rPr>
            </w:pPr>
            <w:r w:rsidRPr="001B0B75">
              <w:rPr>
                <w:rFonts w:cs="Calibri"/>
                <w:szCs w:val="16"/>
              </w:rPr>
              <w:t>190.1</w:t>
            </w:r>
          </w:p>
        </w:tc>
        <w:tc>
          <w:tcPr>
            <w:tcW w:w="712" w:type="dxa"/>
            <w:tcBorders>
              <w:top w:val="single" w:sz="4" w:space="0" w:color="1B556B"/>
              <w:left w:val="nil"/>
              <w:bottom w:val="single" w:sz="4" w:space="0" w:color="1B556B"/>
              <w:right w:val="nil"/>
            </w:tcBorders>
            <w:shd w:val="clear" w:color="auto" w:fill="auto"/>
            <w:vAlign w:val="bottom"/>
          </w:tcPr>
          <w:p w14:paraId="2F6AF045" w14:textId="77777777" w:rsidR="004543E0" w:rsidRPr="001B0B75" w:rsidRDefault="004543E0" w:rsidP="007E3239">
            <w:pPr>
              <w:pStyle w:val="TableText"/>
              <w:spacing w:before="50" w:after="50"/>
              <w:jc w:val="center"/>
              <w:rPr>
                <w:rFonts w:cs="Calibri"/>
                <w:szCs w:val="16"/>
              </w:rPr>
            </w:pPr>
            <w:r w:rsidRPr="001B0B75">
              <w:rPr>
                <w:rFonts w:cs="Calibri"/>
                <w:szCs w:val="16"/>
              </w:rPr>
              <w:t>25.9</w:t>
            </w:r>
          </w:p>
        </w:tc>
        <w:tc>
          <w:tcPr>
            <w:tcW w:w="1095" w:type="dxa"/>
            <w:tcBorders>
              <w:top w:val="single" w:sz="4" w:space="0" w:color="1B556B"/>
              <w:left w:val="nil"/>
              <w:bottom w:val="single" w:sz="4" w:space="0" w:color="1B556B"/>
              <w:right w:val="nil"/>
            </w:tcBorders>
            <w:shd w:val="clear" w:color="auto" w:fill="auto"/>
            <w:vAlign w:val="bottom"/>
          </w:tcPr>
          <w:p w14:paraId="34905A9D" w14:textId="77777777" w:rsidR="004543E0" w:rsidRPr="001B0B75" w:rsidRDefault="004543E0" w:rsidP="007E3239">
            <w:pPr>
              <w:pStyle w:val="TableText"/>
              <w:spacing w:before="50" w:after="50"/>
              <w:jc w:val="center"/>
              <w:rPr>
                <w:rFonts w:cs="Calibri"/>
                <w:szCs w:val="16"/>
              </w:rPr>
            </w:pPr>
            <w:r w:rsidRPr="001B0B75">
              <w:rPr>
                <w:rFonts w:cs="Calibri"/>
                <w:szCs w:val="16"/>
              </w:rPr>
              <w:t>11.7%</w:t>
            </w:r>
          </w:p>
        </w:tc>
        <w:tc>
          <w:tcPr>
            <w:tcW w:w="1153" w:type="dxa"/>
            <w:tcBorders>
              <w:top w:val="single" w:sz="4" w:space="0" w:color="1B556B"/>
              <w:left w:val="nil"/>
              <w:bottom w:val="single" w:sz="4" w:space="0" w:color="1B556B"/>
              <w:right w:val="nil"/>
            </w:tcBorders>
            <w:shd w:val="clear" w:color="auto" w:fill="auto"/>
            <w:vAlign w:val="bottom"/>
          </w:tcPr>
          <w:p w14:paraId="20F100D2" w14:textId="77777777" w:rsidR="004543E0" w:rsidRPr="001B0B75" w:rsidRDefault="004543E0" w:rsidP="007E3239">
            <w:pPr>
              <w:pStyle w:val="TableText"/>
              <w:spacing w:before="50" w:after="50"/>
              <w:jc w:val="center"/>
              <w:rPr>
                <w:rFonts w:cs="Calibri"/>
                <w:szCs w:val="16"/>
              </w:rPr>
            </w:pPr>
            <w:r w:rsidRPr="001B0B75">
              <w:rPr>
                <w:rFonts w:cs="Calibri"/>
                <w:szCs w:val="16"/>
              </w:rPr>
              <w:t>2.3%</w:t>
            </w:r>
          </w:p>
        </w:tc>
      </w:tr>
      <w:tr w:rsidR="004543E0" w:rsidRPr="001B0B75" w14:paraId="2217DE3C" w14:textId="77777777" w:rsidTr="001B0B75">
        <w:tc>
          <w:tcPr>
            <w:tcW w:w="816" w:type="dxa"/>
            <w:vMerge/>
            <w:tcBorders>
              <w:top w:val="nil"/>
              <w:left w:val="nil"/>
              <w:bottom w:val="nil"/>
              <w:right w:val="nil"/>
            </w:tcBorders>
            <w:shd w:val="clear" w:color="auto" w:fill="auto"/>
          </w:tcPr>
          <w:p w14:paraId="52E20F19" w14:textId="77777777" w:rsidR="004543E0" w:rsidRPr="001B0B75" w:rsidRDefault="004543E0" w:rsidP="007E3239">
            <w:pPr>
              <w:pStyle w:val="TableText"/>
              <w:spacing w:before="50" w:after="50"/>
              <w:rPr>
                <w:rFonts w:cs="Calibri"/>
                <w:szCs w:val="16"/>
              </w:rPr>
            </w:pPr>
          </w:p>
        </w:tc>
        <w:tc>
          <w:tcPr>
            <w:tcW w:w="2445" w:type="dxa"/>
            <w:tcBorders>
              <w:top w:val="single" w:sz="4" w:space="0" w:color="1B556B"/>
              <w:left w:val="nil"/>
              <w:bottom w:val="single" w:sz="4" w:space="0" w:color="1B556B"/>
              <w:right w:val="nil"/>
            </w:tcBorders>
            <w:shd w:val="clear" w:color="auto" w:fill="auto"/>
          </w:tcPr>
          <w:p w14:paraId="456A191C" w14:textId="77777777" w:rsidR="004543E0" w:rsidRPr="001B0B75" w:rsidRDefault="004543E0" w:rsidP="007E3239">
            <w:pPr>
              <w:pStyle w:val="TableText"/>
              <w:spacing w:before="50" w:after="50"/>
              <w:rPr>
                <w:rFonts w:cs="Calibri"/>
                <w:szCs w:val="16"/>
              </w:rPr>
            </w:pPr>
            <w:r w:rsidRPr="001B0B75">
              <w:rPr>
                <w:rFonts w:cs="Calibri"/>
                <w:szCs w:val="16"/>
              </w:rPr>
              <w:t>Leaching and runoff</w:t>
            </w:r>
          </w:p>
        </w:tc>
        <w:tc>
          <w:tcPr>
            <w:tcW w:w="708" w:type="dxa"/>
            <w:tcBorders>
              <w:top w:val="single" w:sz="4" w:space="0" w:color="1B556B"/>
              <w:left w:val="nil"/>
              <w:bottom w:val="single" w:sz="4" w:space="0" w:color="1B556B"/>
              <w:right w:val="nil"/>
            </w:tcBorders>
            <w:shd w:val="clear" w:color="auto" w:fill="auto"/>
            <w:vAlign w:val="bottom"/>
          </w:tcPr>
          <w:p w14:paraId="125217A6" w14:textId="77777777" w:rsidR="004543E0" w:rsidRPr="001B0B75" w:rsidRDefault="004543E0" w:rsidP="007E3239">
            <w:pPr>
              <w:pStyle w:val="TableText"/>
              <w:spacing w:before="50" w:after="50"/>
              <w:jc w:val="center"/>
              <w:rPr>
                <w:rFonts w:cs="Calibri"/>
                <w:szCs w:val="16"/>
              </w:rPr>
            </w:pPr>
            <w:r w:rsidRPr="001B0B75">
              <w:rPr>
                <w:rFonts w:cs="Calibri"/>
                <w:szCs w:val="16"/>
              </w:rPr>
              <w:t>396.5</w:t>
            </w:r>
          </w:p>
        </w:tc>
        <w:tc>
          <w:tcPr>
            <w:tcW w:w="722" w:type="dxa"/>
            <w:tcBorders>
              <w:top w:val="single" w:sz="4" w:space="0" w:color="1B556B"/>
              <w:left w:val="nil"/>
              <w:bottom w:val="single" w:sz="4" w:space="0" w:color="1B556B"/>
              <w:right w:val="nil"/>
            </w:tcBorders>
            <w:shd w:val="clear" w:color="auto" w:fill="auto"/>
            <w:vAlign w:val="bottom"/>
          </w:tcPr>
          <w:p w14:paraId="7261F1ED" w14:textId="77777777" w:rsidR="004543E0" w:rsidRPr="001B0B75" w:rsidRDefault="004543E0" w:rsidP="007E3239">
            <w:pPr>
              <w:pStyle w:val="TableText"/>
              <w:spacing w:before="50" w:after="50"/>
              <w:jc w:val="center"/>
              <w:rPr>
                <w:rFonts w:cs="Calibri"/>
                <w:szCs w:val="16"/>
              </w:rPr>
            </w:pPr>
            <w:r w:rsidRPr="001B0B75">
              <w:rPr>
                <w:rFonts w:cs="Calibri"/>
                <w:szCs w:val="16"/>
              </w:rPr>
              <w:t>516.9</w:t>
            </w:r>
          </w:p>
        </w:tc>
        <w:tc>
          <w:tcPr>
            <w:tcW w:w="854" w:type="dxa"/>
            <w:tcBorders>
              <w:top w:val="single" w:sz="4" w:space="0" w:color="1B556B"/>
              <w:left w:val="nil"/>
              <w:bottom w:val="single" w:sz="4" w:space="0" w:color="1B556B"/>
              <w:right w:val="nil"/>
            </w:tcBorders>
            <w:shd w:val="clear" w:color="auto" w:fill="auto"/>
            <w:vAlign w:val="bottom"/>
          </w:tcPr>
          <w:p w14:paraId="328AFAE6" w14:textId="77777777" w:rsidR="004543E0" w:rsidRPr="001B0B75" w:rsidRDefault="004543E0" w:rsidP="007E3239">
            <w:pPr>
              <w:pStyle w:val="TableText"/>
              <w:tabs>
                <w:tab w:val="center" w:pos="400"/>
                <w:tab w:val="right" w:pos="801"/>
              </w:tabs>
              <w:spacing w:before="50" w:after="50"/>
              <w:jc w:val="center"/>
              <w:rPr>
                <w:rFonts w:cs="Calibri"/>
                <w:szCs w:val="16"/>
              </w:rPr>
            </w:pPr>
            <w:r w:rsidRPr="001B0B75">
              <w:rPr>
                <w:rFonts w:cs="Calibri"/>
                <w:szCs w:val="16"/>
              </w:rPr>
              <w:t>120.4</w:t>
            </w:r>
          </w:p>
        </w:tc>
        <w:tc>
          <w:tcPr>
            <w:tcW w:w="712" w:type="dxa"/>
            <w:tcBorders>
              <w:top w:val="single" w:sz="4" w:space="0" w:color="1B556B"/>
              <w:left w:val="nil"/>
              <w:bottom w:val="single" w:sz="4" w:space="0" w:color="1B556B"/>
              <w:right w:val="nil"/>
            </w:tcBorders>
            <w:shd w:val="clear" w:color="auto" w:fill="auto"/>
            <w:vAlign w:val="bottom"/>
          </w:tcPr>
          <w:p w14:paraId="18C80F51" w14:textId="77777777" w:rsidR="004543E0" w:rsidRPr="001B0B75" w:rsidRDefault="004543E0" w:rsidP="007E3239">
            <w:pPr>
              <w:pStyle w:val="TableText"/>
              <w:spacing w:before="50" w:after="50"/>
              <w:jc w:val="center"/>
              <w:rPr>
                <w:rFonts w:cs="Calibri"/>
                <w:szCs w:val="16"/>
              </w:rPr>
            </w:pPr>
            <w:r w:rsidRPr="001B0B75">
              <w:rPr>
                <w:rFonts w:cs="Calibri"/>
                <w:szCs w:val="16"/>
              </w:rPr>
              <w:t>30.4</w:t>
            </w:r>
          </w:p>
        </w:tc>
        <w:tc>
          <w:tcPr>
            <w:tcW w:w="1095" w:type="dxa"/>
            <w:tcBorders>
              <w:top w:val="single" w:sz="4" w:space="0" w:color="1B556B"/>
              <w:left w:val="nil"/>
              <w:bottom w:val="single" w:sz="4" w:space="0" w:color="1B556B"/>
              <w:right w:val="nil"/>
            </w:tcBorders>
            <w:shd w:val="clear" w:color="auto" w:fill="auto"/>
            <w:vAlign w:val="bottom"/>
          </w:tcPr>
          <w:p w14:paraId="4E004E06" w14:textId="77777777" w:rsidR="004543E0" w:rsidRPr="001B0B75" w:rsidRDefault="004543E0" w:rsidP="007E3239">
            <w:pPr>
              <w:pStyle w:val="TableText"/>
              <w:spacing w:before="50" w:after="50"/>
              <w:jc w:val="center"/>
              <w:rPr>
                <w:rFonts w:cs="Calibri"/>
                <w:szCs w:val="16"/>
              </w:rPr>
            </w:pPr>
            <w:r w:rsidRPr="001B0B75">
              <w:rPr>
                <w:rFonts w:cs="Calibri"/>
                <w:szCs w:val="16"/>
              </w:rPr>
              <w:t>6.6%</w:t>
            </w:r>
          </w:p>
        </w:tc>
        <w:tc>
          <w:tcPr>
            <w:tcW w:w="1153" w:type="dxa"/>
            <w:tcBorders>
              <w:top w:val="single" w:sz="4" w:space="0" w:color="1B556B"/>
              <w:left w:val="nil"/>
              <w:bottom w:val="single" w:sz="4" w:space="0" w:color="1B556B"/>
              <w:right w:val="nil"/>
            </w:tcBorders>
            <w:shd w:val="clear" w:color="auto" w:fill="auto"/>
            <w:vAlign w:val="bottom"/>
          </w:tcPr>
          <w:p w14:paraId="7CBE0D79" w14:textId="77777777" w:rsidR="004543E0" w:rsidRPr="001B0B75" w:rsidRDefault="004543E0" w:rsidP="007E3239">
            <w:pPr>
              <w:pStyle w:val="TableText"/>
              <w:spacing w:before="50" w:after="50"/>
              <w:jc w:val="center"/>
              <w:rPr>
                <w:rFonts w:cs="Calibri"/>
                <w:szCs w:val="16"/>
              </w:rPr>
            </w:pPr>
            <w:r w:rsidRPr="001B0B75">
              <w:rPr>
                <w:rFonts w:cs="Calibri"/>
                <w:szCs w:val="16"/>
              </w:rPr>
              <w:t>1.3%</w:t>
            </w:r>
          </w:p>
        </w:tc>
      </w:tr>
      <w:tr w:rsidR="004543E0" w:rsidRPr="001B0B75" w14:paraId="7D5E68CF" w14:textId="77777777" w:rsidTr="001B0B75">
        <w:tc>
          <w:tcPr>
            <w:tcW w:w="3261" w:type="dxa"/>
            <w:gridSpan w:val="2"/>
            <w:tcBorders>
              <w:top w:val="nil"/>
              <w:left w:val="nil"/>
              <w:bottom w:val="single" w:sz="4" w:space="0" w:color="1B556B"/>
              <w:right w:val="nil"/>
            </w:tcBorders>
            <w:shd w:val="clear" w:color="auto" w:fill="auto"/>
          </w:tcPr>
          <w:p w14:paraId="08B56045" w14:textId="77777777" w:rsidR="004543E0" w:rsidRPr="001B0B75" w:rsidRDefault="004543E0" w:rsidP="007E3239">
            <w:pPr>
              <w:pStyle w:val="TableText"/>
              <w:spacing w:before="50" w:after="50"/>
              <w:rPr>
                <w:rFonts w:cs="Calibri"/>
                <w:b/>
                <w:bCs/>
                <w:color w:val="1B556B"/>
                <w:szCs w:val="16"/>
              </w:rPr>
            </w:pPr>
            <w:r w:rsidRPr="001B0B75">
              <w:rPr>
                <w:rFonts w:cs="Calibri"/>
                <w:b/>
                <w:bCs/>
                <w:color w:val="1B556B"/>
                <w:szCs w:val="16"/>
              </w:rPr>
              <w:t>Total Agricultural soils</w:t>
            </w:r>
          </w:p>
        </w:tc>
        <w:tc>
          <w:tcPr>
            <w:tcW w:w="708" w:type="dxa"/>
            <w:tcBorders>
              <w:top w:val="nil"/>
              <w:left w:val="nil"/>
              <w:bottom w:val="single" w:sz="4" w:space="0" w:color="1B556B"/>
              <w:right w:val="nil"/>
            </w:tcBorders>
            <w:shd w:val="clear" w:color="auto" w:fill="auto"/>
            <w:vAlign w:val="bottom"/>
          </w:tcPr>
          <w:p w14:paraId="313ADA95" w14:textId="77777777" w:rsidR="004543E0" w:rsidRPr="001B0B75" w:rsidRDefault="004543E0" w:rsidP="007E3239">
            <w:pPr>
              <w:pStyle w:val="TableText"/>
              <w:spacing w:before="50" w:after="50"/>
              <w:jc w:val="center"/>
              <w:rPr>
                <w:rFonts w:cs="Calibri"/>
                <w:b/>
                <w:bCs/>
                <w:color w:val="1B556B"/>
                <w:szCs w:val="16"/>
              </w:rPr>
            </w:pPr>
            <w:r w:rsidRPr="001B0B75">
              <w:rPr>
                <w:rFonts w:cs="Calibri"/>
                <w:b/>
                <w:bCs/>
                <w:color w:val="1B556B"/>
                <w:szCs w:val="16"/>
              </w:rPr>
              <w:t>5,300.9</w:t>
            </w:r>
          </w:p>
        </w:tc>
        <w:tc>
          <w:tcPr>
            <w:tcW w:w="722" w:type="dxa"/>
            <w:tcBorders>
              <w:top w:val="nil"/>
              <w:left w:val="nil"/>
              <w:bottom w:val="single" w:sz="4" w:space="0" w:color="1B556B"/>
              <w:right w:val="nil"/>
            </w:tcBorders>
            <w:shd w:val="clear" w:color="auto" w:fill="auto"/>
            <w:vAlign w:val="bottom"/>
          </w:tcPr>
          <w:p w14:paraId="39E063B7" w14:textId="77777777" w:rsidR="004543E0" w:rsidRPr="001B0B75" w:rsidRDefault="004543E0" w:rsidP="007E3239">
            <w:pPr>
              <w:pStyle w:val="TableText"/>
              <w:spacing w:before="50" w:after="50"/>
              <w:jc w:val="center"/>
              <w:rPr>
                <w:rFonts w:cs="Calibri"/>
                <w:b/>
                <w:bCs/>
                <w:color w:val="1B556B"/>
                <w:szCs w:val="16"/>
              </w:rPr>
            </w:pPr>
            <w:r w:rsidRPr="001B0B75">
              <w:rPr>
                <w:rFonts w:cs="Calibri"/>
                <w:b/>
                <w:bCs/>
                <w:color w:val="1B556B"/>
                <w:szCs w:val="16"/>
              </w:rPr>
              <w:t>7,882.8</w:t>
            </w:r>
          </w:p>
        </w:tc>
        <w:tc>
          <w:tcPr>
            <w:tcW w:w="854" w:type="dxa"/>
            <w:tcBorders>
              <w:top w:val="nil"/>
              <w:left w:val="nil"/>
              <w:bottom w:val="single" w:sz="4" w:space="0" w:color="1B556B"/>
              <w:right w:val="nil"/>
            </w:tcBorders>
            <w:shd w:val="clear" w:color="auto" w:fill="auto"/>
            <w:vAlign w:val="bottom"/>
          </w:tcPr>
          <w:p w14:paraId="705E384C" w14:textId="77777777" w:rsidR="004543E0" w:rsidRPr="001B0B75" w:rsidRDefault="004543E0" w:rsidP="007E3239">
            <w:pPr>
              <w:pStyle w:val="TableText"/>
              <w:tabs>
                <w:tab w:val="center" w:pos="400"/>
                <w:tab w:val="right" w:pos="801"/>
              </w:tabs>
              <w:spacing w:before="50" w:after="50"/>
              <w:jc w:val="center"/>
              <w:rPr>
                <w:rFonts w:cs="Calibri"/>
                <w:b/>
                <w:bCs/>
                <w:color w:val="1B556B"/>
                <w:szCs w:val="16"/>
              </w:rPr>
            </w:pPr>
            <w:r w:rsidRPr="001B0B75">
              <w:rPr>
                <w:rFonts w:cs="Calibri"/>
                <w:b/>
                <w:bCs/>
                <w:color w:val="1B556B"/>
                <w:szCs w:val="16"/>
              </w:rPr>
              <w:t>2,581.9</w:t>
            </w:r>
          </w:p>
        </w:tc>
        <w:tc>
          <w:tcPr>
            <w:tcW w:w="712" w:type="dxa"/>
            <w:tcBorders>
              <w:top w:val="nil"/>
              <w:left w:val="nil"/>
              <w:bottom w:val="single" w:sz="4" w:space="0" w:color="1B556B"/>
              <w:right w:val="nil"/>
            </w:tcBorders>
            <w:shd w:val="clear" w:color="auto" w:fill="auto"/>
            <w:vAlign w:val="bottom"/>
          </w:tcPr>
          <w:p w14:paraId="69A2AD20" w14:textId="77777777" w:rsidR="004543E0" w:rsidRPr="001B0B75" w:rsidRDefault="004543E0" w:rsidP="007E3239">
            <w:pPr>
              <w:pStyle w:val="TableText"/>
              <w:spacing w:before="50" w:after="50"/>
              <w:jc w:val="center"/>
              <w:rPr>
                <w:rFonts w:cs="Calibri"/>
                <w:b/>
                <w:bCs/>
                <w:color w:val="1B556B"/>
                <w:szCs w:val="16"/>
              </w:rPr>
            </w:pPr>
            <w:r w:rsidRPr="001B0B75">
              <w:rPr>
                <w:rFonts w:cs="Calibri"/>
                <w:b/>
                <w:bCs/>
                <w:color w:val="1B556B"/>
                <w:szCs w:val="16"/>
              </w:rPr>
              <w:t>48.7</w:t>
            </w:r>
          </w:p>
        </w:tc>
        <w:tc>
          <w:tcPr>
            <w:tcW w:w="1095" w:type="dxa"/>
            <w:tcBorders>
              <w:top w:val="nil"/>
              <w:left w:val="nil"/>
              <w:bottom w:val="single" w:sz="4" w:space="0" w:color="1B556B"/>
              <w:right w:val="nil"/>
            </w:tcBorders>
            <w:shd w:val="clear" w:color="auto" w:fill="auto"/>
            <w:vAlign w:val="bottom"/>
          </w:tcPr>
          <w:p w14:paraId="20D885A9" w14:textId="77777777" w:rsidR="004543E0" w:rsidRPr="001B0B75" w:rsidRDefault="004543E0" w:rsidP="007E3239">
            <w:pPr>
              <w:pStyle w:val="TableText"/>
              <w:spacing w:before="50" w:after="50"/>
              <w:jc w:val="center"/>
              <w:rPr>
                <w:rFonts w:cs="Calibri"/>
                <w:b/>
                <w:bCs/>
                <w:color w:val="1B556B"/>
                <w:szCs w:val="16"/>
              </w:rPr>
            </w:pPr>
            <w:r w:rsidRPr="001B0B75">
              <w:rPr>
                <w:rFonts w:cs="Calibri"/>
                <w:b/>
                <w:bCs/>
                <w:color w:val="1B556B"/>
                <w:szCs w:val="16"/>
              </w:rPr>
              <w:t>100.0%</w:t>
            </w:r>
          </w:p>
        </w:tc>
        <w:tc>
          <w:tcPr>
            <w:tcW w:w="1153" w:type="dxa"/>
            <w:tcBorders>
              <w:top w:val="nil"/>
              <w:left w:val="nil"/>
              <w:bottom w:val="single" w:sz="4" w:space="0" w:color="1B556B"/>
              <w:right w:val="nil"/>
            </w:tcBorders>
            <w:shd w:val="clear" w:color="auto" w:fill="auto"/>
            <w:vAlign w:val="bottom"/>
          </w:tcPr>
          <w:p w14:paraId="2D8C607D" w14:textId="77777777" w:rsidR="004543E0" w:rsidRPr="001B0B75" w:rsidRDefault="004543E0" w:rsidP="007E3239">
            <w:pPr>
              <w:pStyle w:val="TableText"/>
              <w:spacing w:before="50" w:after="50"/>
              <w:jc w:val="center"/>
              <w:rPr>
                <w:rFonts w:cs="Calibri"/>
                <w:b/>
                <w:bCs/>
                <w:color w:val="1B556B"/>
                <w:szCs w:val="16"/>
              </w:rPr>
            </w:pPr>
            <w:r w:rsidRPr="001B0B75">
              <w:rPr>
                <w:rFonts w:cs="Calibri"/>
                <w:b/>
                <w:bCs/>
                <w:color w:val="1B556B"/>
                <w:szCs w:val="16"/>
              </w:rPr>
              <w:t>20.0%</w:t>
            </w:r>
          </w:p>
        </w:tc>
      </w:tr>
    </w:tbl>
    <w:p w14:paraId="29E7BF64" w14:textId="77777777" w:rsidR="004543E0" w:rsidRPr="009660EC" w:rsidRDefault="004543E0" w:rsidP="004543E0">
      <w:pPr>
        <w:pStyle w:val="Noteundertable"/>
        <w:rPr>
          <w:rFonts w:cs="Calibri"/>
        </w:rPr>
      </w:pPr>
      <w:r w:rsidRPr="009660EC">
        <w:rPr>
          <w:rFonts w:cs="Calibri"/>
          <w:b/>
          <w:bCs/>
        </w:rPr>
        <w:t>Note:</w:t>
      </w:r>
      <w:r w:rsidRPr="009660EC">
        <w:rPr>
          <w:rFonts w:cs="Calibri"/>
        </w:rPr>
        <w:tab/>
        <w:t>Columns may not add due to rounding. Percentages presented are calculated from unrounded values.</w:t>
      </w:r>
    </w:p>
    <w:p w14:paraId="3AA63246" w14:textId="77777777" w:rsidR="004543E0" w:rsidRPr="009660EC" w:rsidRDefault="004543E0" w:rsidP="004543E0">
      <w:pPr>
        <w:pStyle w:val="Heading3"/>
      </w:pPr>
      <w:bookmarkStart w:id="950" w:name="_Toc139253934"/>
      <w:bookmarkStart w:id="951" w:name="_Toc32570668"/>
      <w:r w:rsidRPr="009660EC">
        <w:lastRenderedPageBreak/>
        <w:t>5.5.2</w:t>
      </w:r>
      <w:r w:rsidRPr="009660EC">
        <w:tab/>
        <w:t>Methodological issues</w:t>
      </w:r>
      <w:bookmarkEnd w:id="950"/>
      <w:bookmarkEnd w:id="951"/>
      <w:r w:rsidRPr="009660EC">
        <w:t xml:space="preserve"> </w:t>
      </w:r>
    </w:p>
    <w:p w14:paraId="14E38432" w14:textId="77777777" w:rsidR="004543E0" w:rsidRPr="009660EC" w:rsidRDefault="004543E0" w:rsidP="004543E0">
      <w:pPr>
        <w:pStyle w:val="BodyText"/>
        <w:spacing w:before="100" w:after="100"/>
      </w:pPr>
      <w:r w:rsidRPr="009660EC">
        <w:t>New Zealand uses methodologies based on the IPCC Guidelines (IPCC, 2006), outputs of the Tier 2 livestock population characterisation, modelling of the livestock nutrition and energy requirements, and some country-specific equations to calculate N</w:t>
      </w:r>
      <w:r w:rsidRPr="009660EC">
        <w:rPr>
          <w:vertAlign w:val="subscript"/>
        </w:rPr>
        <w:t>2</w:t>
      </w:r>
      <w:r w:rsidRPr="009660EC">
        <w:t>O emissions from </w:t>
      </w:r>
      <w:r w:rsidRPr="009660EC">
        <w:rPr>
          <w:i/>
          <w:iCs/>
        </w:rPr>
        <w:t>Agricultural soils</w:t>
      </w:r>
      <w:r w:rsidRPr="009660EC">
        <w:t>. A combination of default and country-specific emission factors and parameters is also used to calculate emissions from this category. Details on these emission factors and parameters are listed in tables 5.5.2 and 5.5.3; annex 3, tables A3.1.5, A3.1.6 and A3.1.7; and in table 5.5.5 for mitigation technologies.</w:t>
      </w:r>
    </w:p>
    <w:p w14:paraId="775320B1" w14:textId="77777777" w:rsidR="004543E0" w:rsidRPr="009660EC" w:rsidRDefault="004543E0" w:rsidP="004543E0">
      <w:pPr>
        <w:pStyle w:val="BodyText"/>
        <w:spacing w:before="100" w:after="100"/>
      </w:pPr>
      <w:r w:rsidRPr="009660EC">
        <w:t xml:space="preserve">The largest inputs of nitrogen to agricultural soils are manure (urine and dung) from grazing livestock and synthetic nitrogen fertilisers, which together contribute just over two thirds of emissions from the </w:t>
      </w:r>
      <w:r w:rsidRPr="009660EC">
        <w:rPr>
          <w:i/>
          <w:iCs/>
        </w:rPr>
        <w:t>Agricultural soils</w:t>
      </w:r>
      <w:r w:rsidRPr="009660EC">
        <w:t xml:space="preserve"> category. The following paragraphs provide an overview of the country-specific improvements made to the </w:t>
      </w:r>
      <w:r w:rsidRPr="009660EC">
        <w:rPr>
          <w:i/>
          <w:iCs/>
        </w:rPr>
        <w:t>Agricultural soils</w:t>
      </w:r>
      <w:r w:rsidRPr="009660EC">
        <w:t xml:space="preserve"> category.</w:t>
      </w:r>
    </w:p>
    <w:p w14:paraId="4B1A1EC9" w14:textId="77777777" w:rsidR="004543E0" w:rsidRPr="009660EC" w:rsidRDefault="004543E0" w:rsidP="004543E0">
      <w:pPr>
        <w:pStyle w:val="Heading5"/>
      </w:pPr>
      <w:r w:rsidRPr="009660EC">
        <w:t>Overview of research and improvements in the Agricultural soils category</w:t>
      </w:r>
    </w:p>
    <w:p w14:paraId="441BE1DB" w14:textId="77777777" w:rsidR="004543E0" w:rsidRPr="009660EC" w:rsidRDefault="004543E0" w:rsidP="004543E0">
      <w:pPr>
        <w:pStyle w:val="BodyText"/>
        <w:spacing w:before="100" w:after="100"/>
      </w:pPr>
      <w:r w:rsidRPr="009660EC">
        <w:t>Considerable research effort has gone into establishing New Zealand-specific emission factors for emissions from synthetic fertiliser application (EF</w:t>
      </w:r>
      <w:r w:rsidRPr="009660EC">
        <w:rPr>
          <w:vertAlign w:val="subscript"/>
        </w:rPr>
        <w:t>1</w:t>
      </w:r>
      <w:r w:rsidRPr="009660EC">
        <w:t>) and emissions from manure on pasture from grazing livestock (EF</w:t>
      </w:r>
      <w:r w:rsidRPr="009660EC">
        <w:rPr>
          <w:vertAlign w:val="subscript"/>
        </w:rPr>
        <w:t>3,PRP</w:t>
      </w:r>
      <w:r w:rsidRPr="009660EC">
        <w:t xml:space="preserve">). In New Zealand, most livestock waste is excreted directly onto pasture during grazing (see table 5.3.2). </w:t>
      </w:r>
    </w:p>
    <w:p w14:paraId="7CB46A6B" w14:textId="77777777" w:rsidR="004543E0" w:rsidRPr="009660EC" w:rsidRDefault="004543E0" w:rsidP="004543E0">
      <w:pPr>
        <w:pStyle w:val="BodyText"/>
        <w:spacing w:before="100" w:after="100"/>
      </w:pPr>
      <w:r w:rsidRPr="009660EC">
        <w:t>Recently, direct N</w:t>
      </w:r>
      <w:r w:rsidRPr="009660EC">
        <w:rPr>
          <w:vertAlign w:val="subscript"/>
        </w:rPr>
        <w:t>2</w:t>
      </w:r>
      <w:r w:rsidRPr="009660EC">
        <w:t xml:space="preserve">O emission factors for dung and urine have been disaggregated based on livestock type (for </w:t>
      </w:r>
      <w:r w:rsidRPr="009660EC">
        <w:rPr>
          <w:i/>
          <w:iCs/>
        </w:rPr>
        <w:t>Dairy cattle</w:t>
      </w:r>
      <w:r w:rsidRPr="009660EC">
        <w:t xml:space="preserve">, </w:t>
      </w:r>
      <w:r w:rsidRPr="009660EC">
        <w:rPr>
          <w:i/>
          <w:iCs/>
        </w:rPr>
        <w:t>Non-dairy</w:t>
      </w:r>
      <w:r w:rsidRPr="009660EC">
        <w:t xml:space="preserve"> (beef) </w:t>
      </w:r>
      <w:r w:rsidRPr="009660EC">
        <w:rPr>
          <w:i/>
          <w:iCs/>
        </w:rPr>
        <w:t>cattle</w:t>
      </w:r>
      <w:r w:rsidRPr="009660EC">
        <w:t xml:space="preserve">, </w:t>
      </w:r>
      <w:r w:rsidRPr="009660EC">
        <w:rPr>
          <w:i/>
          <w:iCs/>
        </w:rPr>
        <w:t>Sheep</w:t>
      </w:r>
      <w:r w:rsidRPr="009660EC">
        <w:t xml:space="preserve"> and </w:t>
      </w:r>
      <w:r w:rsidRPr="009660EC">
        <w:rPr>
          <w:i/>
          <w:iCs/>
        </w:rPr>
        <w:t>Deer</w:t>
      </w:r>
      <w:r w:rsidRPr="009660EC">
        <w:t>) and hill slope category based on research by Saggar et al. (2015) and van der Weerden et al. (2019, 2020) (see table 5.5.3). A ‘nutrient transfer model’ developed by Saggar et al. (2015) is used to calculate the amount of dung and urine deposited onto different hill slope categories. Around 79 per cent of sloped land on sheep, beef and deer farms is classed as medium (12–24 degrees) or steep (greater than 24 degrees) sloped land (see annex 3, figure A3.1.3).</w:t>
      </w:r>
    </w:p>
    <w:p w14:paraId="30637F3C" w14:textId="77777777" w:rsidR="004543E0" w:rsidRPr="009660EC" w:rsidRDefault="004543E0" w:rsidP="004543E0">
      <w:pPr>
        <w:pStyle w:val="BodyText"/>
      </w:pPr>
      <w:r w:rsidRPr="009660EC">
        <w:t xml:space="preserve">For minor livestock categories, such as </w:t>
      </w:r>
      <w:r w:rsidRPr="009660EC">
        <w:rPr>
          <w:i/>
          <w:iCs/>
        </w:rPr>
        <w:t>Horses</w:t>
      </w:r>
      <w:r w:rsidRPr="009660EC">
        <w:t>, llamas and alpacas,</w:t>
      </w:r>
      <w:r w:rsidRPr="009660EC">
        <w:rPr>
          <w:i/>
          <w:iCs/>
        </w:rPr>
        <w:t xml:space="preserve"> Poultry</w:t>
      </w:r>
      <w:r w:rsidRPr="009660EC">
        <w:t>,</w:t>
      </w:r>
      <w:r w:rsidRPr="009660EC">
        <w:rPr>
          <w:i/>
          <w:iCs/>
        </w:rPr>
        <w:t xml:space="preserve"> Swine</w:t>
      </w:r>
      <w:r w:rsidRPr="009660EC">
        <w:t>,</w:t>
      </w:r>
      <w:r w:rsidRPr="009660EC">
        <w:rPr>
          <w:i/>
          <w:iCs/>
        </w:rPr>
        <w:t xml:space="preserve"> Goats</w:t>
      </w:r>
      <w:r w:rsidRPr="009660EC">
        <w:t>, and</w:t>
      </w:r>
      <w:r w:rsidRPr="009660EC">
        <w:rPr>
          <w:i/>
          <w:iCs/>
        </w:rPr>
        <w:t xml:space="preserve"> Mules and asses</w:t>
      </w:r>
      <w:r w:rsidRPr="009660EC">
        <w:t>, New Zealand uses IPCC default emission factors and methodology. Research conducted in New Zealand confirmed that the IPCC default emission factors and methodology for direct N</w:t>
      </w:r>
      <w:r w:rsidRPr="009660EC">
        <w:rPr>
          <w:vertAlign w:val="subscript"/>
        </w:rPr>
        <w:t>2</w:t>
      </w:r>
      <w:r w:rsidRPr="009660EC">
        <w:t>O emissions from manure deposited onto soil (EF</w:t>
      </w:r>
      <w:r w:rsidRPr="009660EC">
        <w:rPr>
          <w:vertAlign w:val="subscript"/>
        </w:rPr>
        <w:t>3,PRP-MINOR</w:t>
      </w:r>
      <w:r w:rsidRPr="009660EC">
        <w:t>) are appropriate for New Zealand conditions (Carran et al., 1995; de Klein et al., 2003; Muller et al., 1995).</w:t>
      </w:r>
    </w:p>
    <w:p w14:paraId="7414FE14" w14:textId="77777777" w:rsidR="004543E0" w:rsidRPr="009660EC" w:rsidRDefault="004543E0" w:rsidP="004543E0">
      <w:pPr>
        <w:pStyle w:val="BodyText"/>
      </w:pPr>
      <w:r w:rsidRPr="009660EC">
        <w:t xml:space="preserve">New Zealand uses country-specific emission factors for urea fertiliser (0.0059) and dairy cattle effluent manure (0.0025) applied to soils (van der Weerden et al., 2016a and 2016b). The IPCC default value of 0.01 is used for other nitrogen inputs including synthetic nitrogen fertiliser (excluding urea), animal manure from minor livestock species applied to soils, and crop residues. This emission factor of 0.01 has been verified as suitable for New Zealand conditions by Kelliher and de Klein (unpublished). </w:t>
      </w:r>
    </w:p>
    <w:p w14:paraId="64644AF0" w14:textId="77777777" w:rsidR="004543E0" w:rsidRPr="009660EC" w:rsidRDefault="004543E0" w:rsidP="004543E0">
      <w:pPr>
        <w:pStyle w:val="BodyText"/>
      </w:pPr>
      <w:r w:rsidRPr="009660EC">
        <w:t>The emission factor for indirect N</w:t>
      </w:r>
      <w:r w:rsidRPr="009660EC">
        <w:rPr>
          <w:vertAlign w:val="subscript"/>
        </w:rPr>
        <w:t>2</w:t>
      </w:r>
      <w:r w:rsidRPr="009660EC">
        <w:t>O emissions from leaching and runoff (EF</w:t>
      </w:r>
      <w:r w:rsidRPr="009660EC">
        <w:rPr>
          <w:vertAlign w:val="subscript"/>
        </w:rPr>
        <w:t>5</w:t>
      </w:r>
      <w:r w:rsidRPr="009660EC">
        <w:t xml:space="preserve">) for rivers, lakes and estuaries has also been reviewed (Clough and Kelliher, unpublished). The review concluded that further research is required to develop a country-specific value, and that the IPCC (2006) default emission factor (0.0075) is appropriate for New Zealand in the meantime. </w:t>
      </w:r>
    </w:p>
    <w:p w14:paraId="769BB4D2" w14:textId="77777777" w:rsidR="004543E0" w:rsidRPr="009660EC" w:rsidRDefault="004543E0" w:rsidP="004543E0">
      <w:pPr>
        <w:pStyle w:val="BodyText"/>
      </w:pPr>
      <w:r w:rsidRPr="009660EC">
        <w:t>In addition to these coun</w:t>
      </w:r>
      <w:r w:rsidRPr="009660EC">
        <w:rPr>
          <w:spacing w:val="-2"/>
        </w:rPr>
        <w:t xml:space="preserve">try-specific emission factors, New Zealand has developed country-specific parameters for volatilisation, leaching, and nitrogen input from crop residue burning and pasture renewal (see table 5.5.4). New Zealand has also incorporated country-specific emission factors and country-specific parameters </w:t>
      </w:r>
      <w:r w:rsidRPr="009660EC">
        <w:t xml:space="preserve">for calculating emissions from the use of the following mitigation technologies </w:t>
      </w:r>
      <w:r w:rsidRPr="009660EC">
        <w:rPr>
          <w:spacing w:val="-2"/>
        </w:rPr>
        <w:t>(see table 5.5.5)</w:t>
      </w:r>
      <w:r w:rsidRPr="009660EC">
        <w:t>:</w:t>
      </w:r>
    </w:p>
    <w:p w14:paraId="4E74E21C" w14:textId="77777777" w:rsidR="004543E0" w:rsidRPr="009660EC" w:rsidRDefault="004543E0" w:rsidP="00AB2A5C">
      <w:pPr>
        <w:pStyle w:val="Bullet"/>
        <w:numPr>
          <w:ilvl w:val="0"/>
          <w:numId w:val="18"/>
        </w:numPr>
      </w:pPr>
      <w:r w:rsidRPr="009660EC">
        <w:t xml:space="preserve">urease inhibitors such as N-butyl thiophosphoric triamide </w:t>
      </w:r>
    </w:p>
    <w:p w14:paraId="751335E5" w14:textId="77777777" w:rsidR="004543E0" w:rsidRPr="009660EC" w:rsidRDefault="004543E0" w:rsidP="00AB2A5C">
      <w:pPr>
        <w:pStyle w:val="Bullet"/>
        <w:numPr>
          <w:ilvl w:val="0"/>
          <w:numId w:val="18"/>
        </w:numPr>
        <w:rPr>
          <w:spacing w:val="-2"/>
        </w:rPr>
      </w:pPr>
      <w:r w:rsidRPr="009660EC">
        <w:t xml:space="preserve">dicyandiamide (DCD), a nitrification inhibitor. </w:t>
      </w:r>
    </w:p>
    <w:p w14:paraId="227A4D34" w14:textId="77777777" w:rsidR="004543E0" w:rsidRPr="009660EC" w:rsidRDefault="004543E0" w:rsidP="004543E0">
      <w:pPr>
        <w:pStyle w:val="Table"/>
        <w:rPr>
          <w:rFonts w:cs="Calibri"/>
        </w:rPr>
      </w:pPr>
      <w:bookmarkStart w:id="952" w:name="_Toc441830880"/>
      <w:bookmarkStart w:id="953" w:name="_Toc451176094"/>
      <w:bookmarkStart w:id="954" w:name="_Toc481751522"/>
      <w:bookmarkStart w:id="955" w:name="_Toc507158610"/>
      <w:bookmarkStart w:id="956" w:name="_Toc511116744"/>
      <w:bookmarkStart w:id="957" w:name="_Toc5269486"/>
      <w:bookmarkStart w:id="958" w:name="_Toc32570928"/>
      <w:bookmarkStart w:id="959" w:name="_Toc36224563"/>
      <w:bookmarkStart w:id="960" w:name="_Toc68786448"/>
      <w:bookmarkStart w:id="961" w:name="_Toc95574081"/>
      <w:bookmarkStart w:id="962" w:name="_Toc99659254"/>
      <w:r w:rsidRPr="009660EC">
        <w:rPr>
          <w:rFonts w:cs="Calibri"/>
        </w:rPr>
        <w:lastRenderedPageBreak/>
        <w:t>Table 5.5.2</w:t>
      </w:r>
      <w:r w:rsidRPr="009660EC">
        <w:rPr>
          <w:rFonts w:cs="Calibri"/>
        </w:rPr>
        <w:tab/>
        <w:t xml:space="preserve">Nitrous oxide emission factors for </w:t>
      </w:r>
      <w:r w:rsidRPr="009660EC">
        <w:rPr>
          <w:rFonts w:cs="Calibri"/>
          <w:i/>
          <w:iCs/>
        </w:rPr>
        <w:t>Agricultural soils</w:t>
      </w:r>
      <w:r w:rsidRPr="009660EC">
        <w:rPr>
          <w:rFonts w:cs="Calibri"/>
        </w:rPr>
        <w:t xml:space="preserve"> in New Zealand</w:t>
      </w:r>
      <w:bookmarkEnd w:id="952"/>
      <w:bookmarkEnd w:id="953"/>
      <w:bookmarkEnd w:id="954"/>
      <w:bookmarkEnd w:id="955"/>
      <w:bookmarkEnd w:id="956"/>
      <w:bookmarkEnd w:id="957"/>
      <w:r w:rsidRPr="009660EC">
        <w:rPr>
          <w:rFonts w:cs="Calibri"/>
        </w:rPr>
        <w:t>, excluding EF</w:t>
      </w:r>
      <w:r w:rsidRPr="009660EC">
        <w:rPr>
          <w:rFonts w:cs="Calibri"/>
          <w:vertAlign w:val="subscript"/>
        </w:rPr>
        <w:t>3,PRP</w:t>
      </w:r>
      <w:r w:rsidRPr="009660EC">
        <w:rPr>
          <w:rFonts w:cs="Calibri"/>
          <w:vertAlign w:val="subscript"/>
        </w:rPr>
        <w:noBreakHyphen/>
        <w:t xml:space="preserve"> URINE</w:t>
      </w:r>
      <w:r w:rsidRPr="009660EC">
        <w:rPr>
          <w:rFonts w:cs="Calibri"/>
        </w:rPr>
        <w:t xml:space="preserve"> for cattle, sheep and deer</w:t>
      </w:r>
      <w:bookmarkEnd w:id="958"/>
      <w:bookmarkEnd w:id="959"/>
      <w:bookmarkEnd w:id="960"/>
      <w:bookmarkEnd w:id="961"/>
      <w:bookmarkEnd w:id="962"/>
    </w:p>
    <w:tbl>
      <w:tblPr>
        <w:tblW w:w="8505" w:type="dxa"/>
        <w:tblInd w:w="113" w:type="dxa"/>
        <w:tblBorders>
          <w:top w:val="single" w:sz="4" w:space="0" w:color="365F91"/>
          <w:bottom w:val="single" w:sz="4" w:space="0" w:color="365F91"/>
          <w:insideH w:val="single" w:sz="4" w:space="0" w:color="365F91"/>
        </w:tblBorders>
        <w:tblCellMar>
          <w:left w:w="85" w:type="dxa"/>
          <w:right w:w="85" w:type="dxa"/>
        </w:tblCellMar>
        <w:tblLook w:val="01E0" w:firstRow="1" w:lastRow="1" w:firstColumn="1" w:lastColumn="1" w:noHBand="0" w:noVBand="0"/>
      </w:tblPr>
      <w:tblGrid>
        <w:gridCol w:w="3234"/>
        <w:gridCol w:w="987"/>
        <w:gridCol w:w="708"/>
        <w:gridCol w:w="1407"/>
        <w:gridCol w:w="2169"/>
      </w:tblGrid>
      <w:tr w:rsidR="004543E0" w:rsidRPr="00A763A2" w14:paraId="4AE04E39" w14:textId="77777777" w:rsidTr="00A763A2">
        <w:trPr>
          <w:tblHeader/>
        </w:trPr>
        <w:tc>
          <w:tcPr>
            <w:tcW w:w="3261" w:type="dxa"/>
            <w:tcBorders>
              <w:top w:val="single" w:sz="4" w:space="0" w:color="44546A"/>
              <w:bottom w:val="single" w:sz="4" w:space="0" w:color="44546A"/>
            </w:tcBorders>
            <w:shd w:val="clear" w:color="auto" w:fill="1B556B"/>
            <w:vAlign w:val="bottom"/>
          </w:tcPr>
          <w:p w14:paraId="48F07C76" w14:textId="77777777" w:rsidR="004543E0" w:rsidRPr="00A763A2" w:rsidRDefault="004543E0" w:rsidP="007E3239">
            <w:pPr>
              <w:pStyle w:val="TableTextBold"/>
              <w:keepNext/>
              <w:rPr>
                <w:rFonts w:cs="Calibri"/>
                <w:noProof w:val="0"/>
                <w:color w:val="FFFFFF"/>
                <w:szCs w:val="16"/>
              </w:rPr>
            </w:pPr>
            <w:r w:rsidRPr="00A763A2">
              <w:rPr>
                <w:rFonts w:cs="Calibri"/>
                <w:noProof w:val="0"/>
                <w:color w:val="FFFFFF"/>
                <w:szCs w:val="16"/>
              </w:rPr>
              <w:t>Category</w:t>
            </w:r>
          </w:p>
        </w:tc>
        <w:tc>
          <w:tcPr>
            <w:tcW w:w="3118" w:type="dxa"/>
            <w:gridSpan w:val="3"/>
            <w:tcBorders>
              <w:top w:val="single" w:sz="4" w:space="0" w:color="44546A"/>
              <w:bottom w:val="single" w:sz="4" w:space="0" w:color="44546A"/>
            </w:tcBorders>
            <w:shd w:val="clear" w:color="auto" w:fill="1B556B"/>
            <w:vAlign w:val="bottom"/>
          </w:tcPr>
          <w:p w14:paraId="4CE39A07" w14:textId="77777777" w:rsidR="004543E0" w:rsidRPr="00A763A2" w:rsidRDefault="004543E0" w:rsidP="007E3239">
            <w:pPr>
              <w:pStyle w:val="TableTextBold"/>
              <w:keepNext/>
              <w:jc w:val="center"/>
              <w:rPr>
                <w:rFonts w:cs="Calibri"/>
                <w:noProof w:val="0"/>
                <w:color w:val="FFFFFF"/>
                <w:szCs w:val="16"/>
              </w:rPr>
            </w:pPr>
            <w:r w:rsidRPr="00A763A2">
              <w:rPr>
                <w:rFonts w:cs="Calibri"/>
                <w:noProof w:val="0"/>
                <w:color w:val="FFFFFF"/>
                <w:szCs w:val="16"/>
              </w:rPr>
              <w:t>Emission factor</w:t>
            </w:r>
          </w:p>
        </w:tc>
        <w:tc>
          <w:tcPr>
            <w:tcW w:w="2183" w:type="dxa"/>
            <w:tcBorders>
              <w:top w:val="single" w:sz="4" w:space="0" w:color="44546A"/>
              <w:bottom w:val="single" w:sz="4" w:space="0" w:color="44546A"/>
            </w:tcBorders>
            <w:shd w:val="clear" w:color="auto" w:fill="1B556B"/>
            <w:vAlign w:val="bottom"/>
          </w:tcPr>
          <w:p w14:paraId="5298CC3E" w14:textId="77777777" w:rsidR="004543E0" w:rsidRPr="00A763A2" w:rsidRDefault="004543E0" w:rsidP="007E3239">
            <w:pPr>
              <w:pStyle w:val="TableTextBold"/>
              <w:keepNext/>
              <w:jc w:val="center"/>
              <w:rPr>
                <w:rFonts w:cs="Calibri"/>
                <w:noProof w:val="0"/>
                <w:color w:val="FFFFFF"/>
                <w:szCs w:val="16"/>
              </w:rPr>
            </w:pPr>
            <w:r w:rsidRPr="00A763A2">
              <w:rPr>
                <w:rFonts w:cs="Calibri"/>
                <w:noProof w:val="0"/>
                <w:color w:val="FFFFFF"/>
                <w:szCs w:val="16"/>
              </w:rPr>
              <w:t>Source</w:t>
            </w:r>
          </w:p>
        </w:tc>
      </w:tr>
      <w:tr w:rsidR="004543E0" w:rsidRPr="00A763A2" w14:paraId="36B144AB" w14:textId="77777777" w:rsidTr="00A763A2">
        <w:tc>
          <w:tcPr>
            <w:tcW w:w="0" w:type="auto"/>
            <w:gridSpan w:val="5"/>
            <w:tcBorders>
              <w:top w:val="single" w:sz="4" w:space="0" w:color="44546A"/>
              <w:bottom w:val="single" w:sz="4" w:space="0" w:color="44546A"/>
            </w:tcBorders>
          </w:tcPr>
          <w:p w14:paraId="1A25C989" w14:textId="77777777" w:rsidR="004543E0" w:rsidRPr="00A763A2" w:rsidRDefault="004543E0" w:rsidP="007E3239">
            <w:pPr>
              <w:pStyle w:val="TableText"/>
              <w:keepNext/>
              <w:spacing w:before="50" w:after="50"/>
              <w:rPr>
                <w:rFonts w:cs="Calibri"/>
                <w:b/>
                <w:bCs/>
                <w:szCs w:val="16"/>
              </w:rPr>
            </w:pPr>
            <w:r w:rsidRPr="00A763A2">
              <w:rPr>
                <w:rFonts w:cs="Calibri"/>
                <w:b/>
                <w:bCs/>
                <w:szCs w:val="16"/>
              </w:rPr>
              <w:t>3.D.1 Direct N</w:t>
            </w:r>
            <w:r w:rsidRPr="00A763A2">
              <w:rPr>
                <w:rFonts w:cs="Calibri"/>
                <w:b/>
                <w:bCs/>
                <w:szCs w:val="16"/>
                <w:vertAlign w:val="subscript"/>
              </w:rPr>
              <w:t>2</w:t>
            </w:r>
            <w:r w:rsidRPr="00A763A2">
              <w:rPr>
                <w:rFonts w:cs="Calibri"/>
                <w:b/>
                <w:bCs/>
                <w:szCs w:val="16"/>
              </w:rPr>
              <w:t>O emissions</w:t>
            </w:r>
          </w:p>
        </w:tc>
      </w:tr>
      <w:tr w:rsidR="004543E0" w:rsidRPr="00A763A2" w14:paraId="79D8C782" w14:textId="77777777" w:rsidTr="00A763A2">
        <w:tc>
          <w:tcPr>
            <w:tcW w:w="3261" w:type="dxa"/>
            <w:tcBorders>
              <w:top w:val="single" w:sz="4" w:space="0" w:color="44546A"/>
              <w:bottom w:val="single" w:sz="4" w:space="0" w:color="44546A"/>
            </w:tcBorders>
          </w:tcPr>
          <w:p w14:paraId="49A41AEE" w14:textId="77777777" w:rsidR="004543E0" w:rsidRPr="00A763A2" w:rsidRDefault="004543E0" w:rsidP="007E3239">
            <w:pPr>
              <w:pStyle w:val="TableText"/>
              <w:spacing w:before="50" w:after="50"/>
              <w:rPr>
                <w:rFonts w:cs="Calibri"/>
                <w:szCs w:val="16"/>
              </w:rPr>
            </w:pPr>
            <w:r w:rsidRPr="00A763A2">
              <w:rPr>
                <w:rFonts w:cs="Calibri"/>
                <w:szCs w:val="16"/>
              </w:rPr>
              <w:t>Synthetic nitrogen fertiliser (urea)</w:t>
            </w:r>
          </w:p>
        </w:tc>
        <w:tc>
          <w:tcPr>
            <w:tcW w:w="992" w:type="dxa"/>
            <w:tcBorders>
              <w:top w:val="single" w:sz="4" w:space="0" w:color="44546A"/>
              <w:bottom w:val="single" w:sz="4" w:space="0" w:color="44546A"/>
            </w:tcBorders>
          </w:tcPr>
          <w:p w14:paraId="37A9E8E3" w14:textId="77777777" w:rsidR="004543E0" w:rsidRPr="00A763A2" w:rsidRDefault="004543E0" w:rsidP="007E3239">
            <w:pPr>
              <w:pStyle w:val="TableText"/>
              <w:keepNext/>
              <w:spacing w:before="50" w:after="50"/>
              <w:rPr>
                <w:rFonts w:cs="Calibri"/>
                <w:szCs w:val="16"/>
              </w:rPr>
            </w:pPr>
            <w:r w:rsidRPr="00A763A2">
              <w:rPr>
                <w:rFonts w:cs="Calibri"/>
                <w:szCs w:val="16"/>
              </w:rPr>
              <w:t>EF</w:t>
            </w:r>
            <w:r w:rsidRPr="00A763A2">
              <w:rPr>
                <w:rFonts w:cs="Calibri"/>
                <w:szCs w:val="16"/>
                <w:vertAlign w:val="subscript"/>
              </w:rPr>
              <w:t>1-UREA</w:t>
            </w:r>
          </w:p>
        </w:tc>
        <w:tc>
          <w:tcPr>
            <w:tcW w:w="709" w:type="dxa"/>
            <w:tcBorders>
              <w:top w:val="single" w:sz="4" w:space="0" w:color="44546A"/>
              <w:bottom w:val="single" w:sz="4" w:space="0" w:color="44546A"/>
            </w:tcBorders>
          </w:tcPr>
          <w:p w14:paraId="0C5830CC" w14:textId="77777777" w:rsidR="004543E0" w:rsidRPr="00A763A2" w:rsidRDefault="004543E0" w:rsidP="007E3239">
            <w:pPr>
              <w:pStyle w:val="TableText"/>
              <w:keepNext/>
              <w:spacing w:before="50" w:after="50"/>
              <w:rPr>
                <w:rFonts w:cs="Calibri"/>
                <w:szCs w:val="16"/>
              </w:rPr>
            </w:pPr>
            <w:r w:rsidRPr="00A763A2">
              <w:rPr>
                <w:rFonts w:cs="Calibri"/>
                <w:szCs w:val="16"/>
              </w:rPr>
              <w:t>0.0059</w:t>
            </w:r>
          </w:p>
        </w:tc>
        <w:tc>
          <w:tcPr>
            <w:tcW w:w="1417" w:type="dxa"/>
            <w:tcBorders>
              <w:top w:val="single" w:sz="4" w:space="0" w:color="44546A"/>
              <w:bottom w:val="single" w:sz="4" w:space="0" w:color="44546A"/>
            </w:tcBorders>
            <w:tcMar>
              <w:right w:w="28" w:type="dxa"/>
            </w:tcMar>
          </w:tcPr>
          <w:p w14:paraId="2E54BDE7" w14:textId="77777777" w:rsidR="004543E0" w:rsidRPr="00A763A2" w:rsidRDefault="004543E0" w:rsidP="007E3239">
            <w:pPr>
              <w:pStyle w:val="TableText"/>
              <w:keepNext/>
              <w:spacing w:before="50" w:after="50"/>
              <w:rPr>
                <w:rFonts w:cs="Calibri"/>
                <w:szCs w:val="16"/>
              </w:rPr>
            </w:pPr>
            <w:r w:rsidRPr="00A763A2">
              <w:rPr>
                <w:rFonts w:cs="Calibri"/>
                <w:szCs w:val="16"/>
              </w:rPr>
              <w:t>kg N</w:t>
            </w:r>
            <w:r w:rsidRPr="00A763A2">
              <w:rPr>
                <w:rFonts w:cs="Calibri"/>
                <w:szCs w:val="16"/>
                <w:vertAlign w:val="subscript"/>
              </w:rPr>
              <w:t>2</w:t>
            </w:r>
            <w:r w:rsidRPr="00A763A2">
              <w:rPr>
                <w:rFonts w:cs="Calibri"/>
                <w:szCs w:val="16"/>
              </w:rPr>
              <w:t>O-N/kg N</w:t>
            </w:r>
          </w:p>
        </w:tc>
        <w:tc>
          <w:tcPr>
            <w:tcW w:w="2183" w:type="dxa"/>
            <w:tcBorders>
              <w:top w:val="single" w:sz="4" w:space="0" w:color="44546A"/>
              <w:bottom w:val="single" w:sz="4" w:space="0" w:color="44546A"/>
            </w:tcBorders>
          </w:tcPr>
          <w:p w14:paraId="04061ED0" w14:textId="77777777" w:rsidR="004543E0" w:rsidRPr="00A763A2" w:rsidRDefault="004543E0" w:rsidP="007E3239">
            <w:pPr>
              <w:pStyle w:val="TableText"/>
              <w:keepNext/>
              <w:spacing w:before="50" w:after="50"/>
              <w:rPr>
                <w:rFonts w:cs="Calibri"/>
                <w:szCs w:val="16"/>
              </w:rPr>
            </w:pPr>
            <w:r w:rsidRPr="00A763A2">
              <w:rPr>
                <w:rFonts w:cs="Calibri"/>
                <w:szCs w:val="16"/>
              </w:rPr>
              <w:t>van der Weerden et al. (2016a, 2016b)</w:t>
            </w:r>
          </w:p>
        </w:tc>
      </w:tr>
      <w:tr w:rsidR="004543E0" w:rsidRPr="00A763A2" w14:paraId="4922D678" w14:textId="77777777" w:rsidTr="00A763A2">
        <w:tc>
          <w:tcPr>
            <w:tcW w:w="3261" w:type="dxa"/>
            <w:tcBorders>
              <w:top w:val="single" w:sz="4" w:space="0" w:color="44546A"/>
              <w:bottom w:val="single" w:sz="4" w:space="0" w:color="44546A"/>
            </w:tcBorders>
          </w:tcPr>
          <w:p w14:paraId="0C6ABE0A" w14:textId="77777777" w:rsidR="004543E0" w:rsidRPr="00A763A2" w:rsidRDefault="004543E0" w:rsidP="007E3239">
            <w:pPr>
              <w:pStyle w:val="TableText"/>
              <w:spacing w:before="50" w:after="50"/>
              <w:rPr>
                <w:rFonts w:cs="Calibri"/>
                <w:szCs w:val="16"/>
              </w:rPr>
            </w:pPr>
            <w:r w:rsidRPr="00A763A2">
              <w:rPr>
                <w:rFonts w:cs="Calibri"/>
                <w:szCs w:val="16"/>
              </w:rPr>
              <w:t>Organic fertiliser (dairy cattle manure)</w:t>
            </w:r>
          </w:p>
        </w:tc>
        <w:tc>
          <w:tcPr>
            <w:tcW w:w="992" w:type="dxa"/>
            <w:tcBorders>
              <w:top w:val="single" w:sz="4" w:space="0" w:color="44546A"/>
              <w:bottom w:val="single" w:sz="4" w:space="0" w:color="44546A"/>
            </w:tcBorders>
          </w:tcPr>
          <w:p w14:paraId="76094A30" w14:textId="77777777" w:rsidR="004543E0" w:rsidRPr="00A763A2" w:rsidRDefault="004543E0" w:rsidP="007E3239">
            <w:pPr>
              <w:pStyle w:val="TableText"/>
              <w:keepNext/>
              <w:spacing w:before="50" w:after="50"/>
              <w:rPr>
                <w:rFonts w:cs="Calibri"/>
                <w:szCs w:val="16"/>
              </w:rPr>
            </w:pPr>
            <w:r w:rsidRPr="00A763A2">
              <w:rPr>
                <w:rFonts w:cs="Calibri"/>
                <w:szCs w:val="16"/>
              </w:rPr>
              <w:t>EF</w:t>
            </w:r>
            <w:r w:rsidRPr="00A763A2">
              <w:rPr>
                <w:rFonts w:cs="Calibri"/>
                <w:szCs w:val="16"/>
                <w:vertAlign w:val="subscript"/>
              </w:rPr>
              <w:t>1-DAIRY</w:t>
            </w:r>
          </w:p>
        </w:tc>
        <w:tc>
          <w:tcPr>
            <w:tcW w:w="709" w:type="dxa"/>
            <w:tcBorders>
              <w:top w:val="single" w:sz="4" w:space="0" w:color="44546A"/>
              <w:bottom w:val="single" w:sz="4" w:space="0" w:color="44546A"/>
            </w:tcBorders>
          </w:tcPr>
          <w:p w14:paraId="5D701B5B" w14:textId="77777777" w:rsidR="004543E0" w:rsidRPr="00A763A2" w:rsidRDefault="004543E0" w:rsidP="007E3239">
            <w:pPr>
              <w:pStyle w:val="TableText"/>
              <w:keepNext/>
              <w:spacing w:before="50" w:after="50"/>
              <w:rPr>
                <w:rFonts w:cs="Calibri"/>
                <w:szCs w:val="16"/>
              </w:rPr>
            </w:pPr>
            <w:r w:rsidRPr="00A763A2">
              <w:rPr>
                <w:rFonts w:cs="Calibri"/>
                <w:szCs w:val="16"/>
              </w:rPr>
              <w:t>0.0025</w:t>
            </w:r>
          </w:p>
        </w:tc>
        <w:tc>
          <w:tcPr>
            <w:tcW w:w="1417" w:type="dxa"/>
            <w:tcBorders>
              <w:top w:val="single" w:sz="4" w:space="0" w:color="44546A"/>
              <w:bottom w:val="single" w:sz="4" w:space="0" w:color="44546A"/>
            </w:tcBorders>
            <w:tcMar>
              <w:right w:w="28" w:type="dxa"/>
            </w:tcMar>
          </w:tcPr>
          <w:p w14:paraId="30D65F15" w14:textId="77777777" w:rsidR="004543E0" w:rsidRPr="00A763A2" w:rsidRDefault="004543E0" w:rsidP="007E3239">
            <w:pPr>
              <w:pStyle w:val="TableText"/>
              <w:keepNext/>
              <w:spacing w:before="50" w:after="50"/>
              <w:rPr>
                <w:rFonts w:cs="Calibri"/>
                <w:szCs w:val="16"/>
              </w:rPr>
            </w:pPr>
            <w:r w:rsidRPr="00A763A2">
              <w:rPr>
                <w:rFonts w:cs="Calibri"/>
                <w:szCs w:val="16"/>
              </w:rPr>
              <w:t>kg N</w:t>
            </w:r>
            <w:r w:rsidRPr="00A763A2">
              <w:rPr>
                <w:rFonts w:cs="Calibri"/>
                <w:szCs w:val="16"/>
                <w:vertAlign w:val="subscript"/>
              </w:rPr>
              <w:t>2</w:t>
            </w:r>
            <w:r w:rsidRPr="00A763A2">
              <w:rPr>
                <w:rFonts w:cs="Calibri"/>
                <w:szCs w:val="16"/>
              </w:rPr>
              <w:t>O-N/kg N</w:t>
            </w:r>
          </w:p>
        </w:tc>
        <w:tc>
          <w:tcPr>
            <w:tcW w:w="2183" w:type="dxa"/>
            <w:tcBorders>
              <w:top w:val="single" w:sz="4" w:space="0" w:color="44546A"/>
              <w:bottom w:val="single" w:sz="4" w:space="0" w:color="44546A"/>
            </w:tcBorders>
          </w:tcPr>
          <w:p w14:paraId="2B0A671F" w14:textId="77777777" w:rsidR="004543E0" w:rsidRPr="00A763A2" w:rsidRDefault="004543E0" w:rsidP="007E3239">
            <w:pPr>
              <w:pStyle w:val="TableText"/>
              <w:keepNext/>
              <w:spacing w:before="50" w:after="50"/>
              <w:rPr>
                <w:rFonts w:cs="Calibri"/>
                <w:szCs w:val="16"/>
              </w:rPr>
            </w:pPr>
            <w:r w:rsidRPr="00A763A2">
              <w:rPr>
                <w:rFonts w:cs="Calibri"/>
                <w:szCs w:val="16"/>
              </w:rPr>
              <w:t>van der Weerden et al. (2016a, 2016b)</w:t>
            </w:r>
          </w:p>
        </w:tc>
      </w:tr>
      <w:tr w:rsidR="004543E0" w:rsidRPr="00A763A2" w14:paraId="0EB65C52" w14:textId="77777777" w:rsidTr="00A763A2">
        <w:tc>
          <w:tcPr>
            <w:tcW w:w="3261" w:type="dxa"/>
            <w:tcBorders>
              <w:top w:val="single" w:sz="4" w:space="0" w:color="44546A"/>
              <w:bottom w:val="single" w:sz="4" w:space="0" w:color="44546A"/>
            </w:tcBorders>
          </w:tcPr>
          <w:p w14:paraId="588A9B00" w14:textId="77777777" w:rsidR="004543E0" w:rsidRPr="00A763A2" w:rsidRDefault="004543E0" w:rsidP="007E3239">
            <w:pPr>
              <w:pStyle w:val="TableText"/>
              <w:spacing w:before="50" w:after="50"/>
              <w:rPr>
                <w:rFonts w:cs="Calibri"/>
                <w:szCs w:val="16"/>
              </w:rPr>
            </w:pPr>
            <w:r w:rsidRPr="00A763A2">
              <w:rPr>
                <w:rFonts w:cs="Calibri"/>
                <w:szCs w:val="16"/>
              </w:rPr>
              <w:t xml:space="preserve">Synthetic nitrogen fertiliser (other), organic fertiliser (swine and poultry manure) crop residue, nitrogen loss due to soil organic matter mineralisation, organic soil mineralisation due to cultivation </w:t>
            </w:r>
          </w:p>
        </w:tc>
        <w:tc>
          <w:tcPr>
            <w:tcW w:w="992" w:type="dxa"/>
            <w:tcBorders>
              <w:top w:val="single" w:sz="4" w:space="0" w:color="44546A"/>
              <w:bottom w:val="single" w:sz="4" w:space="0" w:color="44546A"/>
            </w:tcBorders>
          </w:tcPr>
          <w:p w14:paraId="58692DEF" w14:textId="77777777" w:rsidR="004543E0" w:rsidRPr="00A763A2" w:rsidRDefault="004543E0" w:rsidP="007E3239">
            <w:pPr>
              <w:pStyle w:val="TableText"/>
              <w:keepNext/>
              <w:spacing w:before="50" w:after="50"/>
              <w:rPr>
                <w:rFonts w:cs="Calibri"/>
                <w:szCs w:val="16"/>
              </w:rPr>
            </w:pPr>
            <w:r w:rsidRPr="00A763A2">
              <w:rPr>
                <w:rFonts w:cs="Calibri"/>
                <w:szCs w:val="16"/>
              </w:rPr>
              <w:t>EF</w:t>
            </w:r>
            <w:r w:rsidRPr="00A763A2">
              <w:rPr>
                <w:rFonts w:cs="Calibri"/>
                <w:szCs w:val="16"/>
                <w:vertAlign w:val="subscript"/>
              </w:rPr>
              <w:t>1</w:t>
            </w:r>
          </w:p>
        </w:tc>
        <w:tc>
          <w:tcPr>
            <w:tcW w:w="709" w:type="dxa"/>
            <w:tcBorders>
              <w:top w:val="single" w:sz="4" w:space="0" w:color="44546A"/>
              <w:bottom w:val="single" w:sz="4" w:space="0" w:color="44546A"/>
            </w:tcBorders>
          </w:tcPr>
          <w:p w14:paraId="561408FB" w14:textId="77777777" w:rsidR="004543E0" w:rsidRPr="00A763A2" w:rsidRDefault="004543E0" w:rsidP="007E3239">
            <w:pPr>
              <w:pStyle w:val="TableText"/>
              <w:keepNext/>
              <w:spacing w:before="50" w:after="50"/>
              <w:rPr>
                <w:rFonts w:cs="Calibri"/>
                <w:szCs w:val="16"/>
              </w:rPr>
            </w:pPr>
            <w:r w:rsidRPr="00A763A2">
              <w:rPr>
                <w:rFonts w:cs="Calibri"/>
                <w:szCs w:val="16"/>
              </w:rPr>
              <w:t xml:space="preserve">0.01 </w:t>
            </w:r>
          </w:p>
        </w:tc>
        <w:tc>
          <w:tcPr>
            <w:tcW w:w="1417" w:type="dxa"/>
            <w:tcBorders>
              <w:top w:val="single" w:sz="4" w:space="0" w:color="44546A"/>
              <w:bottom w:val="single" w:sz="4" w:space="0" w:color="44546A"/>
            </w:tcBorders>
            <w:tcMar>
              <w:right w:w="28" w:type="dxa"/>
            </w:tcMar>
          </w:tcPr>
          <w:p w14:paraId="59A9793F" w14:textId="77777777" w:rsidR="004543E0" w:rsidRPr="00A763A2" w:rsidRDefault="004543E0" w:rsidP="007E3239">
            <w:pPr>
              <w:pStyle w:val="TableText"/>
              <w:keepNext/>
              <w:spacing w:before="50" w:after="50"/>
              <w:rPr>
                <w:rFonts w:cs="Calibri"/>
                <w:szCs w:val="16"/>
              </w:rPr>
            </w:pPr>
            <w:r w:rsidRPr="00A763A2">
              <w:rPr>
                <w:rFonts w:cs="Calibri"/>
                <w:szCs w:val="16"/>
              </w:rPr>
              <w:t>kg N</w:t>
            </w:r>
            <w:r w:rsidRPr="00A763A2">
              <w:rPr>
                <w:rFonts w:cs="Calibri"/>
                <w:szCs w:val="16"/>
                <w:vertAlign w:val="subscript"/>
              </w:rPr>
              <w:t>2</w:t>
            </w:r>
            <w:r w:rsidRPr="00A763A2">
              <w:rPr>
                <w:rFonts w:cs="Calibri"/>
                <w:szCs w:val="16"/>
              </w:rPr>
              <w:t>O-N/kg N</w:t>
            </w:r>
          </w:p>
        </w:tc>
        <w:tc>
          <w:tcPr>
            <w:tcW w:w="2183" w:type="dxa"/>
            <w:tcBorders>
              <w:top w:val="single" w:sz="4" w:space="0" w:color="44546A"/>
              <w:bottom w:val="single" w:sz="4" w:space="0" w:color="44546A"/>
            </w:tcBorders>
          </w:tcPr>
          <w:p w14:paraId="559D4D96" w14:textId="77777777" w:rsidR="004543E0" w:rsidRPr="00A763A2" w:rsidRDefault="004543E0" w:rsidP="007E3239">
            <w:pPr>
              <w:pStyle w:val="TableText"/>
              <w:keepNext/>
              <w:spacing w:before="50" w:after="50"/>
              <w:rPr>
                <w:rFonts w:cs="Calibri"/>
                <w:szCs w:val="16"/>
              </w:rPr>
            </w:pPr>
            <w:r w:rsidRPr="00A763A2">
              <w:rPr>
                <w:rFonts w:cs="Calibri"/>
                <w:szCs w:val="16"/>
              </w:rPr>
              <w:t>Kelliher and de Klein (unpublished), IPCC (2006, table 11.1)</w:t>
            </w:r>
          </w:p>
        </w:tc>
      </w:tr>
      <w:tr w:rsidR="004543E0" w:rsidRPr="00A763A2" w14:paraId="4BD4C496" w14:textId="77777777" w:rsidTr="00A763A2">
        <w:tc>
          <w:tcPr>
            <w:tcW w:w="3261" w:type="dxa"/>
            <w:tcBorders>
              <w:top w:val="single" w:sz="4" w:space="0" w:color="44546A"/>
              <w:bottom w:val="single" w:sz="4" w:space="0" w:color="44546A"/>
            </w:tcBorders>
          </w:tcPr>
          <w:p w14:paraId="05006DB1" w14:textId="77777777" w:rsidR="004543E0" w:rsidRPr="00A763A2" w:rsidRDefault="004543E0" w:rsidP="007E3239">
            <w:pPr>
              <w:pStyle w:val="TableText"/>
              <w:spacing w:before="50" w:after="50"/>
              <w:rPr>
                <w:rFonts w:cs="Calibri"/>
                <w:szCs w:val="16"/>
              </w:rPr>
            </w:pPr>
            <w:r w:rsidRPr="00A763A2">
              <w:rPr>
                <w:rFonts w:cs="Calibri"/>
                <w:szCs w:val="16"/>
              </w:rPr>
              <w:t>Cultivation of organic soils</w:t>
            </w:r>
          </w:p>
        </w:tc>
        <w:tc>
          <w:tcPr>
            <w:tcW w:w="992" w:type="dxa"/>
            <w:tcBorders>
              <w:top w:val="single" w:sz="4" w:space="0" w:color="44546A"/>
              <w:bottom w:val="single" w:sz="4" w:space="0" w:color="44546A"/>
            </w:tcBorders>
          </w:tcPr>
          <w:p w14:paraId="7C7CBFBE" w14:textId="77777777" w:rsidR="004543E0" w:rsidRPr="00A763A2" w:rsidRDefault="004543E0" w:rsidP="007E3239">
            <w:pPr>
              <w:pStyle w:val="TableText"/>
              <w:spacing w:before="50" w:after="50"/>
              <w:rPr>
                <w:rFonts w:cs="Calibri"/>
                <w:szCs w:val="16"/>
              </w:rPr>
            </w:pPr>
            <w:r w:rsidRPr="00A763A2">
              <w:rPr>
                <w:rFonts w:cs="Calibri"/>
                <w:szCs w:val="16"/>
              </w:rPr>
              <w:t>EF</w:t>
            </w:r>
            <w:r w:rsidRPr="00A763A2">
              <w:rPr>
                <w:rFonts w:cs="Calibri"/>
                <w:szCs w:val="16"/>
                <w:vertAlign w:val="subscript"/>
              </w:rPr>
              <w:t>2</w:t>
            </w:r>
          </w:p>
        </w:tc>
        <w:tc>
          <w:tcPr>
            <w:tcW w:w="709" w:type="dxa"/>
            <w:tcBorders>
              <w:top w:val="single" w:sz="4" w:space="0" w:color="44546A"/>
              <w:bottom w:val="single" w:sz="4" w:space="0" w:color="44546A"/>
            </w:tcBorders>
          </w:tcPr>
          <w:p w14:paraId="58D4CED0" w14:textId="77777777" w:rsidR="004543E0" w:rsidRPr="00A763A2" w:rsidRDefault="004543E0" w:rsidP="007E3239">
            <w:pPr>
              <w:pStyle w:val="TableText"/>
              <w:spacing w:before="50" w:after="50"/>
              <w:rPr>
                <w:rFonts w:cs="Calibri"/>
                <w:szCs w:val="16"/>
              </w:rPr>
            </w:pPr>
            <w:r w:rsidRPr="00A763A2">
              <w:rPr>
                <w:rFonts w:cs="Calibri"/>
                <w:szCs w:val="16"/>
              </w:rPr>
              <w:t xml:space="preserve">8.0 </w:t>
            </w:r>
          </w:p>
        </w:tc>
        <w:tc>
          <w:tcPr>
            <w:tcW w:w="1417" w:type="dxa"/>
            <w:tcBorders>
              <w:top w:val="single" w:sz="4" w:space="0" w:color="44546A"/>
              <w:bottom w:val="single" w:sz="4" w:space="0" w:color="44546A"/>
            </w:tcBorders>
            <w:tcMar>
              <w:right w:w="28" w:type="dxa"/>
            </w:tcMar>
          </w:tcPr>
          <w:p w14:paraId="770EE5E3" w14:textId="77777777" w:rsidR="004543E0" w:rsidRPr="00A763A2" w:rsidRDefault="004543E0" w:rsidP="007E3239">
            <w:pPr>
              <w:pStyle w:val="TableText"/>
              <w:spacing w:before="50" w:after="50"/>
              <w:rPr>
                <w:rFonts w:cs="Calibri"/>
                <w:szCs w:val="16"/>
              </w:rPr>
            </w:pPr>
            <w:r w:rsidRPr="00A763A2">
              <w:rPr>
                <w:rFonts w:cs="Calibri"/>
                <w:szCs w:val="16"/>
              </w:rPr>
              <w:t>kg N</w:t>
            </w:r>
            <w:r w:rsidRPr="00A763A2">
              <w:rPr>
                <w:rFonts w:cs="Calibri"/>
                <w:szCs w:val="16"/>
                <w:vertAlign w:val="subscript"/>
              </w:rPr>
              <w:t>2</w:t>
            </w:r>
            <w:r w:rsidRPr="00A763A2">
              <w:rPr>
                <w:rFonts w:cs="Calibri"/>
                <w:szCs w:val="16"/>
              </w:rPr>
              <w:t>O-N/ha/kg N</w:t>
            </w:r>
          </w:p>
        </w:tc>
        <w:tc>
          <w:tcPr>
            <w:tcW w:w="2183" w:type="dxa"/>
            <w:tcBorders>
              <w:top w:val="single" w:sz="4" w:space="0" w:color="44546A"/>
              <w:bottom w:val="single" w:sz="4" w:space="0" w:color="44546A"/>
            </w:tcBorders>
          </w:tcPr>
          <w:p w14:paraId="11963DFD" w14:textId="77777777" w:rsidR="004543E0" w:rsidRPr="00A763A2" w:rsidRDefault="004543E0" w:rsidP="007E3239">
            <w:pPr>
              <w:pStyle w:val="TableText"/>
              <w:spacing w:before="50" w:after="50"/>
              <w:rPr>
                <w:rFonts w:cs="Calibri"/>
                <w:szCs w:val="16"/>
              </w:rPr>
            </w:pPr>
            <w:r w:rsidRPr="00A763A2">
              <w:rPr>
                <w:rFonts w:cs="Calibri"/>
                <w:szCs w:val="16"/>
              </w:rPr>
              <w:t>IPCC (2006, table 11.1)</w:t>
            </w:r>
          </w:p>
        </w:tc>
      </w:tr>
      <w:tr w:rsidR="004543E0" w:rsidRPr="00A763A2" w14:paraId="6047D434" w14:textId="77777777" w:rsidTr="00A763A2">
        <w:trPr>
          <w:trHeight w:val="605"/>
        </w:trPr>
        <w:tc>
          <w:tcPr>
            <w:tcW w:w="3261" w:type="dxa"/>
            <w:tcBorders>
              <w:top w:val="single" w:sz="4" w:space="0" w:color="44546A"/>
              <w:bottom w:val="single" w:sz="4" w:space="0" w:color="44546A"/>
            </w:tcBorders>
          </w:tcPr>
          <w:p w14:paraId="3C8698BE" w14:textId="77777777" w:rsidR="004543E0" w:rsidRPr="00A763A2" w:rsidRDefault="004543E0" w:rsidP="007E3239">
            <w:pPr>
              <w:pStyle w:val="TableText"/>
              <w:spacing w:before="50" w:after="50"/>
              <w:rPr>
                <w:rFonts w:cs="Calibri"/>
                <w:szCs w:val="16"/>
              </w:rPr>
            </w:pPr>
            <w:r w:rsidRPr="00A763A2">
              <w:rPr>
                <w:rFonts w:cs="Calibri"/>
                <w:szCs w:val="16"/>
              </w:rPr>
              <w:t xml:space="preserve">Manure (dung and urine) from minor grazing animals (i.e., </w:t>
            </w:r>
            <w:r w:rsidRPr="00A763A2">
              <w:rPr>
                <w:rFonts w:cs="Calibri"/>
                <w:i/>
                <w:szCs w:val="16"/>
              </w:rPr>
              <w:t>excluding</w:t>
            </w:r>
            <w:r w:rsidRPr="00A763A2">
              <w:rPr>
                <w:rFonts w:cs="Calibri"/>
                <w:szCs w:val="16"/>
              </w:rPr>
              <w:t xml:space="preserve"> cattle, sheep and deer) in pasture, range and paddock systems</w:t>
            </w:r>
          </w:p>
        </w:tc>
        <w:tc>
          <w:tcPr>
            <w:tcW w:w="992" w:type="dxa"/>
            <w:tcBorders>
              <w:top w:val="single" w:sz="4" w:space="0" w:color="44546A"/>
              <w:bottom w:val="single" w:sz="4" w:space="0" w:color="44546A"/>
            </w:tcBorders>
          </w:tcPr>
          <w:p w14:paraId="129E7A3B" w14:textId="77777777" w:rsidR="004543E0" w:rsidRPr="00A763A2" w:rsidRDefault="004543E0" w:rsidP="007E3239">
            <w:pPr>
              <w:pStyle w:val="TableText"/>
              <w:spacing w:before="50" w:after="50"/>
              <w:rPr>
                <w:rFonts w:cs="Calibri"/>
                <w:szCs w:val="16"/>
              </w:rPr>
            </w:pPr>
            <w:r w:rsidRPr="00A763A2">
              <w:rPr>
                <w:rFonts w:cs="Calibri"/>
                <w:szCs w:val="16"/>
              </w:rPr>
              <w:t>EF</w:t>
            </w:r>
            <w:r w:rsidRPr="00A763A2">
              <w:rPr>
                <w:rFonts w:cs="Calibri"/>
                <w:szCs w:val="16"/>
                <w:vertAlign w:val="subscript"/>
              </w:rPr>
              <w:t>3,PRP-MINOR</w:t>
            </w:r>
          </w:p>
        </w:tc>
        <w:tc>
          <w:tcPr>
            <w:tcW w:w="709" w:type="dxa"/>
            <w:tcBorders>
              <w:top w:val="single" w:sz="4" w:space="0" w:color="44546A"/>
              <w:bottom w:val="single" w:sz="4" w:space="0" w:color="44546A"/>
            </w:tcBorders>
          </w:tcPr>
          <w:p w14:paraId="64C3EEAA" w14:textId="77777777" w:rsidR="004543E0" w:rsidRPr="00A763A2" w:rsidRDefault="004543E0" w:rsidP="007E3239">
            <w:pPr>
              <w:pStyle w:val="TableText"/>
              <w:spacing w:before="50" w:after="50"/>
              <w:rPr>
                <w:rFonts w:cs="Calibri"/>
                <w:szCs w:val="16"/>
              </w:rPr>
            </w:pPr>
            <w:r w:rsidRPr="00A763A2">
              <w:rPr>
                <w:rFonts w:cs="Calibri"/>
                <w:szCs w:val="16"/>
              </w:rPr>
              <w:t>0.01</w:t>
            </w:r>
          </w:p>
        </w:tc>
        <w:tc>
          <w:tcPr>
            <w:tcW w:w="1417" w:type="dxa"/>
            <w:tcBorders>
              <w:top w:val="single" w:sz="4" w:space="0" w:color="44546A"/>
              <w:bottom w:val="single" w:sz="4" w:space="0" w:color="44546A"/>
            </w:tcBorders>
            <w:tcMar>
              <w:right w:w="28" w:type="dxa"/>
            </w:tcMar>
          </w:tcPr>
          <w:p w14:paraId="4BA7E9AA" w14:textId="77777777" w:rsidR="004543E0" w:rsidRPr="00A763A2" w:rsidRDefault="004543E0" w:rsidP="007E3239">
            <w:pPr>
              <w:pStyle w:val="TableText"/>
              <w:spacing w:before="50" w:after="50"/>
              <w:rPr>
                <w:rFonts w:cs="Calibri"/>
                <w:szCs w:val="16"/>
              </w:rPr>
            </w:pPr>
            <w:r w:rsidRPr="00A763A2">
              <w:rPr>
                <w:rFonts w:cs="Calibri"/>
                <w:szCs w:val="16"/>
              </w:rPr>
              <w:t>kg N</w:t>
            </w:r>
            <w:r w:rsidRPr="00A763A2">
              <w:rPr>
                <w:rFonts w:cs="Calibri"/>
                <w:szCs w:val="16"/>
                <w:vertAlign w:val="subscript"/>
              </w:rPr>
              <w:t>2</w:t>
            </w:r>
            <w:r w:rsidRPr="00A763A2">
              <w:rPr>
                <w:rFonts w:cs="Calibri"/>
                <w:szCs w:val="16"/>
              </w:rPr>
              <w:t>O-N/kg N</w:t>
            </w:r>
          </w:p>
        </w:tc>
        <w:tc>
          <w:tcPr>
            <w:tcW w:w="2183" w:type="dxa"/>
            <w:tcBorders>
              <w:top w:val="single" w:sz="4" w:space="0" w:color="44546A"/>
              <w:bottom w:val="single" w:sz="4" w:space="0" w:color="44546A"/>
            </w:tcBorders>
          </w:tcPr>
          <w:p w14:paraId="03BC0CE8" w14:textId="77777777" w:rsidR="004543E0" w:rsidRPr="00A763A2" w:rsidRDefault="004543E0" w:rsidP="007E3239">
            <w:pPr>
              <w:pStyle w:val="TableText"/>
              <w:spacing w:before="50" w:after="50"/>
              <w:rPr>
                <w:rFonts w:cs="Calibri"/>
                <w:szCs w:val="16"/>
              </w:rPr>
            </w:pPr>
            <w:r w:rsidRPr="00A763A2">
              <w:rPr>
                <w:rFonts w:cs="Calibri"/>
                <w:szCs w:val="16"/>
              </w:rPr>
              <w:t>Carran et al. (1995); Muller et al. (1995); de Klein et al. (2003)</w:t>
            </w:r>
          </w:p>
        </w:tc>
      </w:tr>
      <w:tr w:rsidR="004543E0" w:rsidRPr="00A763A2" w14:paraId="6D2AD71D" w14:textId="77777777" w:rsidTr="00A763A2">
        <w:tc>
          <w:tcPr>
            <w:tcW w:w="3261" w:type="dxa"/>
            <w:tcBorders>
              <w:top w:val="single" w:sz="4" w:space="0" w:color="44546A"/>
              <w:bottom w:val="single" w:sz="4" w:space="0" w:color="44546A"/>
            </w:tcBorders>
          </w:tcPr>
          <w:p w14:paraId="3EA4CA5F" w14:textId="77777777" w:rsidR="004543E0" w:rsidRPr="00A763A2" w:rsidRDefault="004543E0" w:rsidP="007E3239">
            <w:pPr>
              <w:pStyle w:val="TableText"/>
              <w:spacing w:before="50" w:after="50"/>
              <w:rPr>
                <w:rFonts w:cs="Calibri"/>
                <w:szCs w:val="16"/>
              </w:rPr>
            </w:pPr>
            <w:r w:rsidRPr="00A763A2">
              <w:rPr>
                <w:rFonts w:cs="Calibri"/>
                <w:szCs w:val="16"/>
              </w:rPr>
              <w:t xml:space="preserve">Dung from grazing cattle, sheep and deer in pasture, range and paddock systems </w:t>
            </w:r>
          </w:p>
        </w:tc>
        <w:tc>
          <w:tcPr>
            <w:tcW w:w="992" w:type="dxa"/>
            <w:tcBorders>
              <w:top w:val="single" w:sz="4" w:space="0" w:color="44546A"/>
              <w:bottom w:val="single" w:sz="4" w:space="0" w:color="44546A"/>
            </w:tcBorders>
          </w:tcPr>
          <w:p w14:paraId="52F4858A" w14:textId="77777777" w:rsidR="004543E0" w:rsidRPr="00A763A2" w:rsidRDefault="004543E0" w:rsidP="007E3239">
            <w:pPr>
              <w:pStyle w:val="TableText"/>
              <w:spacing w:before="50" w:after="50"/>
              <w:rPr>
                <w:rFonts w:cs="Calibri"/>
                <w:szCs w:val="16"/>
              </w:rPr>
            </w:pPr>
            <w:r w:rsidRPr="00A763A2">
              <w:rPr>
                <w:rFonts w:cs="Calibri"/>
                <w:szCs w:val="16"/>
              </w:rPr>
              <w:t>EF</w:t>
            </w:r>
            <w:r w:rsidRPr="00A763A2">
              <w:rPr>
                <w:rFonts w:cs="Calibri"/>
                <w:szCs w:val="16"/>
                <w:vertAlign w:val="subscript"/>
              </w:rPr>
              <w:t>3,PRP-DUNG</w:t>
            </w:r>
          </w:p>
        </w:tc>
        <w:tc>
          <w:tcPr>
            <w:tcW w:w="709" w:type="dxa"/>
            <w:tcBorders>
              <w:top w:val="single" w:sz="4" w:space="0" w:color="44546A"/>
              <w:bottom w:val="single" w:sz="4" w:space="0" w:color="44546A"/>
            </w:tcBorders>
          </w:tcPr>
          <w:p w14:paraId="09B3CF9C" w14:textId="77777777" w:rsidR="004543E0" w:rsidRPr="00A763A2" w:rsidRDefault="004543E0" w:rsidP="007E3239">
            <w:pPr>
              <w:pStyle w:val="TableText"/>
              <w:spacing w:before="50" w:after="50"/>
              <w:rPr>
                <w:rFonts w:cs="Calibri"/>
                <w:szCs w:val="16"/>
              </w:rPr>
            </w:pPr>
            <w:r w:rsidRPr="00A763A2">
              <w:rPr>
                <w:rFonts w:cs="Calibri"/>
                <w:szCs w:val="16"/>
              </w:rPr>
              <w:t>0.0012</w:t>
            </w:r>
          </w:p>
        </w:tc>
        <w:tc>
          <w:tcPr>
            <w:tcW w:w="1417" w:type="dxa"/>
            <w:tcBorders>
              <w:top w:val="single" w:sz="4" w:space="0" w:color="44546A"/>
              <w:bottom w:val="single" w:sz="4" w:space="0" w:color="44546A"/>
            </w:tcBorders>
            <w:tcMar>
              <w:right w:w="28" w:type="dxa"/>
            </w:tcMar>
          </w:tcPr>
          <w:p w14:paraId="52304A4B" w14:textId="77777777" w:rsidR="004543E0" w:rsidRPr="00A763A2" w:rsidRDefault="004543E0" w:rsidP="007E3239">
            <w:pPr>
              <w:pStyle w:val="TableText"/>
              <w:spacing w:before="50" w:after="50"/>
              <w:rPr>
                <w:rFonts w:cs="Calibri"/>
                <w:szCs w:val="16"/>
              </w:rPr>
            </w:pPr>
            <w:r w:rsidRPr="00A763A2">
              <w:rPr>
                <w:rFonts w:cs="Calibri"/>
                <w:szCs w:val="16"/>
              </w:rPr>
              <w:t>kg N</w:t>
            </w:r>
            <w:r w:rsidRPr="00A763A2">
              <w:rPr>
                <w:rFonts w:cs="Calibri"/>
                <w:szCs w:val="16"/>
                <w:vertAlign w:val="subscript"/>
              </w:rPr>
              <w:t>2</w:t>
            </w:r>
            <w:r w:rsidRPr="00A763A2">
              <w:rPr>
                <w:rFonts w:cs="Calibri"/>
                <w:szCs w:val="16"/>
              </w:rPr>
              <w:t>O-N/kg N</w:t>
            </w:r>
          </w:p>
        </w:tc>
        <w:tc>
          <w:tcPr>
            <w:tcW w:w="2183" w:type="dxa"/>
            <w:tcBorders>
              <w:top w:val="single" w:sz="4" w:space="0" w:color="44546A"/>
              <w:bottom w:val="single" w:sz="4" w:space="0" w:color="44546A"/>
            </w:tcBorders>
          </w:tcPr>
          <w:p w14:paraId="219F090C" w14:textId="77777777" w:rsidR="004543E0" w:rsidRPr="00A763A2" w:rsidRDefault="004543E0" w:rsidP="007E3239">
            <w:pPr>
              <w:pStyle w:val="TableText"/>
              <w:spacing w:before="50" w:after="50"/>
              <w:rPr>
                <w:rFonts w:cs="Calibri"/>
                <w:szCs w:val="16"/>
              </w:rPr>
            </w:pPr>
            <w:r w:rsidRPr="00A763A2">
              <w:rPr>
                <w:rFonts w:cs="Calibri"/>
                <w:szCs w:val="16"/>
              </w:rPr>
              <w:t>van der Weerden et al. (2019, 2020)</w:t>
            </w:r>
          </w:p>
        </w:tc>
      </w:tr>
      <w:tr w:rsidR="004543E0" w:rsidRPr="00A763A2" w14:paraId="4482045E" w14:textId="77777777" w:rsidTr="00A763A2">
        <w:tc>
          <w:tcPr>
            <w:tcW w:w="0" w:type="auto"/>
            <w:gridSpan w:val="5"/>
            <w:tcBorders>
              <w:top w:val="single" w:sz="4" w:space="0" w:color="44546A"/>
              <w:bottom w:val="single" w:sz="4" w:space="0" w:color="44546A"/>
            </w:tcBorders>
            <w:tcMar>
              <w:right w:w="28" w:type="dxa"/>
            </w:tcMar>
          </w:tcPr>
          <w:p w14:paraId="1F8B77DC" w14:textId="77777777" w:rsidR="004543E0" w:rsidRPr="00A763A2" w:rsidRDefault="004543E0" w:rsidP="007E3239">
            <w:pPr>
              <w:pStyle w:val="TableText"/>
              <w:spacing w:before="50" w:after="50"/>
              <w:rPr>
                <w:rFonts w:cs="Calibri"/>
                <w:b/>
                <w:bCs/>
                <w:szCs w:val="16"/>
              </w:rPr>
            </w:pPr>
            <w:r w:rsidRPr="00A763A2">
              <w:rPr>
                <w:rFonts w:cs="Calibri"/>
                <w:b/>
                <w:bCs/>
                <w:szCs w:val="16"/>
              </w:rPr>
              <w:t>3.D.2 Indirect N</w:t>
            </w:r>
            <w:r w:rsidRPr="00A763A2">
              <w:rPr>
                <w:rFonts w:cs="Calibri"/>
                <w:b/>
                <w:bCs/>
                <w:szCs w:val="16"/>
                <w:vertAlign w:val="subscript"/>
              </w:rPr>
              <w:t>2</w:t>
            </w:r>
            <w:r w:rsidRPr="00A763A2">
              <w:rPr>
                <w:rFonts w:cs="Calibri"/>
                <w:b/>
                <w:bCs/>
                <w:szCs w:val="16"/>
              </w:rPr>
              <w:t>O emissions</w:t>
            </w:r>
          </w:p>
        </w:tc>
      </w:tr>
      <w:tr w:rsidR="004543E0" w:rsidRPr="00A763A2" w14:paraId="332285DC" w14:textId="77777777" w:rsidTr="00A763A2">
        <w:tc>
          <w:tcPr>
            <w:tcW w:w="3261" w:type="dxa"/>
            <w:tcBorders>
              <w:top w:val="single" w:sz="4" w:space="0" w:color="44546A"/>
              <w:bottom w:val="single" w:sz="4" w:space="0" w:color="44546A"/>
            </w:tcBorders>
          </w:tcPr>
          <w:p w14:paraId="4AEE74FF" w14:textId="77777777" w:rsidR="004543E0" w:rsidRPr="00A763A2" w:rsidRDefault="004543E0" w:rsidP="007E3239">
            <w:pPr>
              <w:pStyle w:val="TableText"/>
              <w:spacing w:before="50" w:after="50"/>
              <w:rPr>
                <w:rFonts w:cs="Calibri"/>
                <w:szCs w:val="16"/>
              </w:rPr>
            </w:pPr>
            <w:r w:rsidRPr="00A763A2">
              <w:rPr>
                <w:rFonts w:cs="Calibri"/>
                <w:szCs w:val="16"/>
              </w:rPr>
              <w:t>Volatilisation</w:t>
            </w:r>
          </w:p>
        </w:tc>
        <w:tc>
          <w:tcPr>
            <w:tcW w:w="992" w:type="dxa"/>
            <w:tcBorders>
              <w:top w:val="single" w:sz="4" w:space="0" w:color="44546A"/>
              <w:bottom w:val="single" w:sz="4" w:space="0" w:color="44546A"/>
            </w:tcBorders>
          </w:tcPr>
          <w:p w14:paraId="390B353A" w14:textId="77777777" w:rsidR="004543E0" w:rsidRPr="00A763A2" w:rsidRDefault="004543E0" w:rsidP="007E3239">
            <w:pPr>
              <w:pStyle w:val="TableText"/>
              <w:spacing w:before="50" w:after="50"/>
              <w:rPr>
                <w:rFonts w:cs="Calibri"/>
                <w:szCs w:val="16"/>
              </w:rPr>
            </w:pPr>
            <w:r w:rsidRPr="00A763A2">
              <w:rPr>
                <w:rFonts w:cs="Calibri"/>
                <w:szCs w:val="16"/>
              </w:rPr>
              <w:t>EF</w:t>
            </w:r>
            <w:r w:rsidRPr="00A763A2">
              <w:rPr>
                <w:rFonts w:cs="Calibri"/>
                <w:szCs w:val="16"/>
                <w:vertAlign w:val="subscript"/>
              </w:rPr>
              <w:t>4</w:t>
            </w:r>
          </w:p>
        </w:tc>
        <w:tc>
          <w:tcPr>
            <w:tcW w:w="709" w:type="dxa"/>
            <w:tcBorders>
              <w:top w:val="single" w:sz="4" w:space="0" w:color="44546A"/>
              <w:bottom w:val="single" w:sz="4" w:space="0" w:color="44546A"/>
            </w:tcBorders>
          </w:tcPr>
          <w:p w14:paraId="7E05BCB2" w14:textId="77777777" w:rsidR="004543E0" w:rsidRPr="00A763A2" w:rsidRDefault="004543E0" w:rsidP="007E3239">
            <w:pPr>
              <w:pStyle w:val="TableText"/>
              <w:spacing w:before="50" w:after="50"/>
              <w:rPr>
                <w:rFonts w:cs="Calibri"/>
                <w:szCs w:val="16"/>
              </w:rPr>
            </w:pPr>
            <w:r w:rsidRPr="00A763A2">
              <w:rPr>
                <w:rFonts w:cs="Calibri"/>
                <w:szCs w:val="16"/>
              </w:rPr>
              <w:t xml:space="preserve">0.010 </w:t>
            </w:r>
          </w:p>
        </w:tc>
        <w:tc>
          <w:tcPr>
            <w:tcW w:w="1417" w:type="dxa"/>
            <w:tcBorders>
              <w:top w:val="single" w:sz="4" w:space="0" w:color="44546A"/>
              <w:bottom w:val="single" w:sz="4" w:space="0" w:color="44546A"/>
            </w:tcBorders>
            <w:tcMar>
              <w:right w:w="28" w:type="dxa"/>
            </w:tcMar>
          </w:tcPr>
          <w:p w14:paraId="3D24F592" w14:textId="77777777" w:rsidR="004543E0" w:rsidRPr="00A763A2" w:rsidRDefault="004543E0" w:rsidP="007E3239">
            <w:pPr>
              <w:pStyle w:val="TableText"/>
              <w:spacing w:before="50" w:after="50"/>
              <w:rPr>
                <w:rFonts w:cs="Calibri"/>
                <w:szCs w:val="16"/>
              </w:rPr>
            </w:pPr>
            <w:r w:rsidRPr="00A763A2">
              <w:rPr>
                <w:rFonts w:cs="Calibri"/>
                <w:szCs w:val="16"/>
              </w:rPr>
              <w:t>kg N</w:t>
            </w:r>
            <w:r w:rsidRPr="00A763A2">
              <w:rPr>
                <w:rFonts w:cs="Calibri"/>
                <w:szCs w:val="16"/>
                <w:vertAlign w:val="subscript"/>
              </w:rPr>
              <w:t>2</w:t>
            </w:r>
            <w:r w:rsidRPr="00A763A2">
              <w:rPr>
                <w:rFonts w:cs="Calibri"/>
                <w:szCs w:val="16"/>
              </w:rPr>
              <w:t>O-N/kg N</w:t>
            </w:r>
          </w:p>
        </w:tc>
        <w:tc>
          <w:tcPr>
            <w:tcW w:w="2183" w:type="dxa"/>
            <w:tcBorders>
              <w:top w:val="single" w:sz="4" w:space="0" w:color="44546A"/>
              <w:bottom w:val="single" w:sz="4" w:space="0" w:color="44546A"/>
            </w:tcBorders>
          </w:tcPr>
          <w:p w14:paraId="4DEDB416" w14:textId="77777777" w:rsidR="004543E0" w:rsidRPr="00A763A2" w:rsidRDefault="004543E0" w:rsidP="007E3239">
            <w:pPr>
              <w:pStyle w:val="TableText"/>
              <w:spacing w:before="50" w:after="50"/>
              <w:rPr>
                <w:rFonts w:cs="Calibri"/>
                <w:szCs w:val="16"/>
              </w:rPr>
            </w:pPr>
            <w:r w:rsidRPr="00A763A2">
              <w:rPr>
                <w:rFonts w:cs="Calibri"/>
                <w:szCs w:val="16"/>
              </w:rPr>
              <w:t>IPCC (2006, table 11.3)</w:t>
            </w:r>
          </w:p>
        </w:tc>
      </w:tr>
      <w:tr w:rsidR="004543E0" w:rsidRPr="00A763A2" w14:paraId="168CC5DE" w14:textId="77777777" w:rsidTr="00A763A2">
        <w:tc>
          <w:tcPr>
            <w:tcW w:w="3261" w:type="dxa"/>
            <w:tcBorders>
              <w:top w:val="single" w:sz="4" w:space="0" w:color="44546A"/>
              <w:bottom w:val="single" w:sz="4" w:space="0" w:color="44546A"/>
            </w:tcBorders>
          </w:tcPr>
          <w:p w14:paraId="4E7628E8" w14:textId="77777777" w:rsidR="004543E0" w:rsidRPr="00A763A2" w:rsidRDefault="004543E0" w:rsidP="007E3239">
            <w:pPr>
              <w:pStyle w:val="TableText"/>
              <w:spacing w:before="50" w:after="50"/>
              <w:rPr>
                <w:rFonts w:cs="Calibri"/>
                <w:szCs w:val="16"/>
              </w:rPr>
            </w:pPr>
            <w:r w:rsidRPr="00A763A2">
              <w:rPr>
                <w:rFonts w:cs="Calibri"/>
                <w:szCs w:val="16"/>
              </w:rPr>
              <w:t>Leaching and runoff</w:t>
            </w:r>
          </w:p>
        </w:tc>
        <w:tc>
          <w:tcPr>
            <w:tcW w:w="992" w:type="dxa"/>
            <w:tcBorders>
              <w:top w:val="single" w:sz="4" w:space="0" w:color="44546A"/>
              <w:bottom w:val="single" w:sz="4" w:space="0" w:color="44546A"/>
            </w:tcBorders>
          </w:tcPr>
          <w:p w14:paraId="260C19E9" w14:textId="77777777" w:rsidR="004543E0" w:rsidRPr="00A763A2" w:rsidRDefault="004543E0" w:rsidP="007E3239">
            <w:pPr>
              <w:pStyle w:val="TableText"/>
              <w:spacing w:before="50" w:after="50"/>
              <w:rPr>
                <w:rFonts w:cs="Calibri"/>
                <w:szCs w:val="16"/>
              </w:rPr>
            </w:pPr>
            <w:r w:rsidRPr="00A763A2">
              <w:rPr>
                <w:rFonts w:cs="Calibri"/>
                <w:szCs w:val="16"/>
              </w:rPr>
              <w:t>EF</w:t>
            </w:r>
            <w:r w:rsidRPr="00A763A2">
              <w:rPr>
                <w:rFonts w:cs="Calibri"/>
                <w:szCs w:val="16"/>
                <w:vertAlign w:val="subscript"/>
              </w:rPr>
              <w:t>5</w:t>
            </w:r>
          </w:p>
        </w:tc>
        <w:tc>
          <w:tcPr>
            <w:tcW w:w="709" w:type="dxa"/>
            <w:tcBorders>
              <w:top w:val="single" w:sz="4" w:space="0" w:color="44546A"/>
              <w:bottom w:val="single" w:sz="4" w:space="0" w:color="44546A"/>
            </w:tcBorders>
          </w:tcPr>
          <w:p w14:paraId="394ABA04" w14:textId="77777777" w:rsidR="004543E0" w:rsidRPr="00A763A2" w:rsidRDefault="004543E0" w:rsidP="007E3239">
            <w:pPr>
              <w:pStyle w:val="TableText"/>
              <w:spacing w:before="50" w:after="50"/>
              <w:rPr>
                <w:rFonts w:cs="Calibri"/>
                <w:szCs w:val="16"/>
              </w:rPr>
            </w:pPr>
            <w:r w:rsidRPr="00A763A2">
              <w:rPr>
                <w:rFonts w:cs="Calibri"/>
                <w:szCs w:val="16"/>
              </w:rPr>
              <w:t xml:space="preserve">0.0075 </w:t>
            </w:r>
          </w:p>
        </w:tc>
        <w:tc>
          <w:tcPr>
            <w:tcW w:w="1417" w:type="dxa"/>
            <w:tcBorders>
              <w:top w:val="single" w:sz="4" w:space="0" w:color="44546A"/>
              <w:bottom w:val="single" w:sz="4" w:space="0" w:color="44546A"/>
            </w:tcBorders>
            <w:tcMar>
              <w:right w:w="28" w:type="dxa"/>
            </w:tcMar>
          </w:tcPr>
          <w:p w14:paraId="02CEF20A" w14:textId="77777777" w:rsidR="004543E0" w:rsidRPr="00A763A2" w:rsidRDefault="004543E0" w:rsidP="007E3239">
            <w:pPr>
              <w:pStyle w:val="TableText"/>
              <w:spacing w:before="50" w:after="50"/>
              <w:rPr>
                <w:rFonts w:cs="Calibri"/>
                <w:szCs w:val="16"/>
              </w:rPr>
            </w:pPr>
            <w:r w:rsidRPr="00A763A2">
              <w:rPr>
                <w:rFonts w:cs="Calibri"/>
                <w:szCs w:val="16"/>
              </w:rPr>
              <w:t>kg N</w:t>
            </w:r>
            <w:r w:rsidRPr="00A763A2">
              <w:rPr>
                <w:rFonts w:cs="Calibri"/>
                <w:szCs w:val="16"/>
                <w:vertAlign w:val="subscript"/>
              </w:rPr>
              <w:t>2</w:t>
            </w:r>
            <w:r w:rsidRPr="00A763A2">
              <w:rPr>
                <w:rFonts w:cs="Calibri"/>
                <w:szCs w:val="16"/>
              </w:rPr>
              <w:t>O-N/kg N</w:t>
            </w:r>
          </w:p>
        </w:tc>
        <w:tc>
          <w:tcPr>
            <w:tcW w:w="2183" w:type="dxa"/>
            <w:tcBorders>
              <w:top w:val="single" w:sz="4" w:space="0" w:color="44546A"/>
              <w:bottom w:val="single" w:sz="4" w:space="0" w:color="44546A"/>
            </w:tcBorders>
          </w:tcPr>
          <w:p w14:paraId="58282127" w14:textId="77777777" w:rsidR="004543E0" w:rsidRPr="00A763A2" w:rsidRDefault="004543E0" w:rsidP="007E3239">
            <w:pPr>
              <w:pStyle w:val="TableText"/>
              <w:spacing w:before="50" w:after="50"/>
              <w:rPr>
                <w:rFonts w:cs="Calibri"/>
                <w:szCs w:val="16"/>
              </w:rPr>
            </w:pPr>
            <w:r w:rsidRPr="00A763A2">
              <w:rPr>
                <w:rFonts w:cs="Calibri"/>
                <w:szCs w:val="16"/>
              </w:rPr>
              <w:t>IPCC (2006, table 11.3), confirmed by Clough and Kelliher (unpublished)</w:t>
            </w:r>
          </w:p>
        </w:tc>
      </w:tr>
    </w:tbl>
    <w:p w14:paraId="318F80F5" w14:textId="77777777" w:rsidR="004543E0" w:rsidRPr="009660EC" w:rsidRDefault="004543E0" w:rsidP="004543E0">
      <w:pPr>
        <w:pStyle w:val="Table"/>
        <w:spacing w:before="240"/>
        <w:rPr>
          <w:rFonts w:cs="Calibri"/>
        </w:rPr>
      </w:pPr>
      <w:bookmarkStart w:id="963" w:name="_Toc32570929"/>
      <w:bookmarkStart w:id="964" w:name="_Toc36224564"/>
      <w:bookmarkStart w:id="965" w:name="_Toc68786449"/>
      <w:bookmarkStart w:id="966" w:name="_Toc95574082"/>
      <w:bookmarkStart w:id="967" w:name="_Toc99659255"/>
      <w:bookmarkStart w:id="968" w:name="_Toc441830881"/>
      <w:bookmarkStart w:id="969" w:name="_Toc451176095"/>
      <w:bookmarkStart w:id="970" w:name="_Toc481751523"/>
      <w:bookmarkStart w:id="971" w:name="_Toc507158611"/>
      <w:bookmarkStart w:id="972" w:name="_Toc511116745"/>
      <w:bookmarkStart w:id="973" w:name="_Toc5269487"/>
      <w:r w:rsidRPr="009660EC">
        <w:rPr>
          <w:rFonts w:cs="Calibri"/>
        </w:rPr>
        <w:t>Table 5.5.3</w:t>
      </w:r>
      <w:r w:rsidRPr="009660EC">
        <w:rPr>
          <w:rFonts w:cs="Calibri"/>
        </w:rPr>
        <w:tab/>
        <w:t>Direct nitrous oxide (N</w:t>
      </w:r>
      <w:r w:rsidRPr="009660EC">
        <w:rPr>
          <w:rFonts w:cs="Calibri"/>
          <w:vertAlign w:val="subscript"/>
        </w:rPr>
        <w:t>2</w:t>
      </w:r>
      <w:r w:rsidRPr="009660EC">
        <w:rPr>
          <w:rFonts w:cs="Calibri"/>
        </w:rPr>
        <w:t>O) emission factors for urine deposited by cattle, sheep and deer, by livestock type and slope, using values calculated by van der Weerden et al. (2019, 2020)</w:t>
      </w:r>
      <w:bookmarkEnd w:id="963"/>
      <w:bookmarkEnd w:id="964"/>
      <w:bookmarkEnd w:id="965"/>
      <w:bookmarkEnd w:id="966"/>
      <w:bookmarkEnd w:id="967"/>
    </w:p>
    <w:tbl>
      <w:tblPr>
        <w:tblW w:w="8505" w:type="dxa"/>
        <w:tblInd w:w="113" w:type="dxa"/>
        <w:tblBorders>
          <w:top w:val="single" w:sz="4" w:space="0" w:color="44546A"/>
          <w:bottom w:val="single" w:sz="4" w:space="0" w:color="44546A"/>
          <w:insideH w:val="single" w:sz="4" w:space="0" w:color="44546A"/>
        </w:tblBorders>
        <w:tblCellMar>
          <w:left w:w="85" w:type="dxa"/>
          <w:right w:w="85" w:type="dxa"/>
        </w:tblCellMar>
        <w:tblLook w:val="01E0" w:firstRow="1" w:lastRow="1" w:firstColumn="1" w:lastColumn="1" w:noHBand="0" w:noVBand="0"/>
      </w:tblPr>
      <w:tblGrid>
        <w:gridCol w:w="3193"/>
        <w:gridCol w:w="2581"/>
        <w:gridCol w:w="2731"/>
      </w:tblGrid>
      <w:tr w:rsidR="004543E0" w:rsidRPr="009660EC" w14:paraId="0EFDC320" w14:textId="77777777" w:rsidTr="00615D94">
        <w:trPr>
          <w:tblHeader/>
        </w:trPr>
        <w:tc>
          <w:tcPr>
            <w:tcW w:w="3153" w:type="dxa"/>
            <w:tcBorders>
              <w:bottom w:val="nil"/>
            </w:tcBorders>
            <w:shd w:val="clear" w:color="auto" w:fill="1B556B"/>
            <w:vAlign w:val="bottom"/>
          </w:tcPr>
          <w:p w14:paraId="69531064" w14:textId="77777777" w:rsidR="004543E0" w:rsidRPr="004543E0" w:rsidRDefault="004543E0" w:rsidP="007E3239">
            <w:pPr>
              <w:pStyle w:val="TableTextBold"/>
              <w:keepNext/>
              <w:spacing w:after="0"/>
              <w:rPr>
                <w:noProof w:val="0"/>
                <w:color w:val="FFFFFF"/>
              </w:rPr>
            </w:pPr>
          </w:p>
        </w:tc>
        <w:tc>
          <w:tcPr>
            <w:tcW w:w="5244" w:type="dxa"/>
            <w:gridSpan w:val="2"/>
            <w:tcBorders>
              <w:bottom w:val="nil"/>
            </w:tcBorders>
            <w:shd w:val="clear" w:color="auto" w:fill="1B556B"/>
          </w:tcPr>
          <w:p w14:paraId="32A8C0EB" w14:textId="77777777" w:rsidR="004543E0" w:rsidRPr="004543E0" w:rsidRDefault="004543E0" w:rsidP="007E3239">
            <w:pPr>
              <w:pStyle w:val="TableTextBold"/>
              <w:keepNext/>
              <w:spacing w:after="40"/>
              <w:jc w:val="center"/>
              <w:rPr>
                <w:noProof w:val="0"/>
                <w:color w:val="FFFFFF"/>
              </w:rPr>
            </w:pPr>
            <w:r w:rsidRPr="004543E0">
              <w:rPr>
                <w:noProof w:val="0"/>
                <w:color w:val="FFFFFF"/>
              </w:rPr>
              <w:t>Emissions factor by slope</w:t>
            </w:r>
          </w:p>
        </w:tc>
      </w:tr>
      <w:tr w:rsidR="004543E0" w:rsidRPr="009660EC" w14:paraId="326C196E" w14:textId="77777777" w:rsidTr="00615D94">
        <w:trPr>
          <w:tblHeader/>
        </w:trPr>
        <w:tc>
          <w:tcPr>
            <w:tcW w:w="3153" w:type="dxa"/>
            <w:tcBorders>
              <w:top w:val="nil"/>
            </w:tcBorders>
            <w:shd w:val="clear" w:color="auto" w:fill="1B556B"/>
            <w:vAlign w:val="bottom"/>
          </w:tcPr>
          <w:p w14:paraId="38336E9A" w14:textId="77777777" w:rsidR="004543E0" w:rsidRPr="004543E0" w:rsidRDefault="004543E0" w:rsidP="007E3239">
            <w:pPr>
              <w:pStyle w:val="TableTextBold"/>
              <w:keepNext/>
              <w:spacing w:before="40" w:after="40"/>
              <w:rPr>
                <w:noProof w:val="0"/>
                <w:color w:val="FFFFFF"/>
              </w:rPr>
            </w:pPr>
            <w:r w:rsidRPr="004543E0">
              <w:rPr>
                <w:noProof w:val="0"/>
                <w:color w:val="FFFFFF"/>
              </w:rPr>
              <w:t>Livestock type</w:t>
            </w:r>
          </w:p>
        </w:tc>
        <w:tc>
          <w:tcPr>
            <w:tcW w:w="2548" w:type="dxa"/>
            <w:tcBorders>
              <w:top w:val="nil"/>
            </w:tcBorders>
            <w:shd w:val="clear" w:color="auto" w:fill="1B556B"/>
            <w:vAlign w:val="center"/>
          </w:tcPr>
          <w:p w14:paraId="2826EAD4" w14:textId="77777777" w:rsidR="004543E0" w:rsidRPr="004543E0" w:rsidRDefault="004543E0" w:rsidP="007E3239">
            <w:pPr>
              <w:pStyle w:val="TableTextBold"/>
              <w:keepNext/>
              <w:spacing w:before="0" w:after="0"/>
              <w:jc w:val="center"/>
              <w:rPr>
                <w:noProof w:val="0"/>
                <w:color w:val="FFFFFF"/>
                <w:szCs w:val="21"/>
              </w:rPr>
            </w:pPr>
            <w:r w:rsidRPr="004543E0">
              <w:rPr>
                <w:noProof w:val="0"/>
                <w:color w:val="FFFFFF"/>
              </w:rPr>
              <w:t xml:space="preserve">Flat and low sloped land </w:t>
            </w:r>
            <w:r w:rsidRPr="004543E0">
              <w:rPr>
                <w:noProof w:val="0"/>
                <w:color w:val="FFFFFF"/>
              </w:rPr>
              <w:br/>
              <w:t>(less than 12</w:t>
            </w:r>
            <w:r w:rsidRPr="004543E0">
              <w:rPr>
                <w:noProof w:val="0"/>
                <w:color w:val="FFFFFF"/>
                <w:szCs w:val="21"/>
              </w:rPr>
              <w:t>° gradient)</w:t>
            </w:r>
          </w:p>
          <w:p w14:paraId="780B9B88" w14:textId="77777777" w:rsidR="004543E0" w:rsidRPr="004543E0" w:rsidRDefault="004543E0" w:rsidP="007E3239">
            <w:pPr>
              <w:pStyle w:val="TableTextBold"/>
              <w:keepNext/>
              <w:spacing w:before="0" w:after="40"/>
              <w:jc w:val="center"/>
              <w:rPr>
                <w:noProof w:val="0"/>
                <w:color w:val="FFFFFF"/>
              </w:rPr>
            </w:pPr>
            <w:r w:rsidRPr="004543E0">
              <w:rPr>
                <w:noProof w:val="0"/>
                <w:color w:val="FFFFFF"/>
              </w:rPr>
              <w:t>EF</w:t>
            </w:r>
            <w:r w:rsidRPr="004543E0">
              <w:rPr>
                <w:noProof w:val="0"/>
                <w:color w:val="FFFFFF"/>
                <w:vertAlign w:val="subscript"/>
              </w:rPr>
              <w:t>3,PRP-FLAT</w:t>
            </w:r>
          </w:p>
        </w:tc>
        <w:tc>
          <w:tcPr>
            <w:tcW w:w="2696" w:type="dxa"/>
            <w:tcBorders>
              <w:top w:val="nil"/>
            </w:tcBorders>
            <w:shd w:val="clear" w:color="auto" w:fill="1B556B"/>
            <w:vAlign w:val="center"/>
          </w:tcPr>
          <w:p w14:paraId="705AAC69" w14:textId="77777777" w:rsidR="004543E0" w:rsidRPr="004543E0" w:rsidRDefault="004543E0" w:rsidP="007E3239">
            <w:pPr>
              <w:pStyle w:val="TableTextBold"/>
              <w:keepNext/>
              <w:spacing w:before="0" w:after="0"/>
              <w:jc w:val="center"/>
              <w:rPr>
                <w:noProof w:val="0"/>
                <w:color w:val="FFFFFF"/>
                <w:szCs w:val="21"/>
              </w:rPr>
            </w:pPr>
            <w:r w:rsidRPr="004543E0">
              <w:rPr>
                <w:noProof w:val="0"/>
                <w:color w:val="FFFFFF"/>
              </w:rPr>
              <w:t>Medium and steep sloped land (greater than 12</w:t>
            </w:r>
            <w:r w:rsidRPr="004543E0">
              <w:rPr>
                <w:noProof w:val="0"/>
                <w:color w:val="FFFFFF"/>
                <w:szCs w:val="21"/>
              </w:rPr>
              <w:t>° gradient)</w:t>
            </w:r>
          </w:p>
          <w:p w14:paraId="619529A9" w14:textId="77777777" w:rsidR="004543E0" w:rsidRPr="004543E0" w:rsidRDefault="004543E0" w:rsidP="007E3239">
            <w:pPr>
              <w:pStyle w:val="TableTextBold"/>
              <w:keepNext/>
              <w:spacing w:before="0" w:after="40"/>
              <w:jc w:val="center"/>
              <w:rPr>
                <w:noProof w:val="0"/>
                <w:color w:val="FFFFFF"/>
              </w:rPr>
            </w:pPr>
            <w:r w:rsidRPr="004543E0">
              <w:rPr>
                <w:noProof w:val="0"/>
                <w:color w:val="FFFFFF"/>
              </w:rPr>
              <w:t>EF</w:t>
            </w:r>
            <w:r w:rsidRPr="004543E0">
              <w:rPr>
                <w:noProof w:val="0"/>
                <w:color w:val="FFFFFF"/>
                <w:vertAlign w:val="subscript"/>
              </w:rPr>
              <w:t>3,PRP-STEEP</w:t>
            </w:r>
          </w:p>
        </w:tc>
      </w:tr>
      <w:tr w:rsidR="004543E0" w:rsidRPr="009660EC" w14:paraId="47B8F8FA" w14:textId="77777777" w:rsidTr="00615D94">
        <w:tc>
          <w:tcPr>
            <w:tcW w:w="3153" w:type="dxa"/>
          </w:tcPr>
          <w:p w14:paraId="78184D0D" w14:textId="77777777" w:rsidR="004543E0" w:rsidRPr="009660EC" w:rsidRDefault="004543E0" w:rsidP="007E3239">
            <w:pPr>
              <w:pStyle w:val="TableText"/>
              <w:spacing w:before="40" w:after="40"/>
              <w:rPr>
                <w:rFonts w:cs="Calibri"/>
              </w:rPr>
            </w:pPr>
            <w:r w:rsidRPr="009660EC">
              <w:rPr>
                <w:rFonts w:cs="Calibri"/>
              </w:rPr>
              <w:t>All cattle (includes dairy and non-dairy)</w:t>
            </w:r>
          </w:p>
        </w:tc>
        <w:tc>
          <w:tcPr>
            <w:tcW w:w="2548" w:type="dxa"/>
            <w:vAlign w:val="center"/>
          </w:tcPr>
          <w:p w14:paraId="5750DF7C" w14:textId="77777777" w:rsidR="004543E0" w:rsidRPr="009660EC" w:rsidRDefault="004543E0" w:rsidP="007E3239">
            <w:pPr>
              <w:pStyle w:val="TableText"/>
              <w:spacing w:before="40" w:after="40"/>
              <w:jc w:val="center"/>
              <w:rPr>
                <w:rFonts w:cs="Calibri"/>
              </w:rPr>
            </w:pPr>
            <w:r w:rsidRPr="009660EC">
              <w:rPr>
                <w:rFonts w:cs="Calibri"/>
              </w:rPr>
              <w:t>0.0098</w:t>
            </w:r>
          </w:p>
        </w:tc>
        <w:tc>
          <w:tcPr>
            <w:tcW w:w="2696" w:type="dxa"/>
            <w:vAlign w:val="center"/>
          </w:tcPr>
          <w:p w14:paraId="549A8A50" w14:textId="77777777" w:rsidR="004543E0" w:rsidRPr="009660EC" w:rsidRDefault="004543E0" w:rsidP="007E3239">
            <w:pPr>
              <w:pStyle w:val="TableText"/>
              <w:spacing w:before="40" w:after="40"/>
              <w:jc w:val="center"/>
              <w:rPr>
                <w:rFonts w:cs="Calibri"/>
              </w:rPr>
            </w:pPr>
            <w:r w:rsidRPr="009660EC">
              <w:rPr>
                <w:rFonts w:cs="Calibri"/>
              </w:rPr>
              <w:t>0.0033</w:t>
            </w:r>
          </w:p>
        </w:tc>
      </w:tr>
      <w:tr w:rsidR="004543E0" w:rsidRPr="009660EC" w14:paraId="597D4BA8" w14:textId="77777777" w:rsidTr="00615D94">
        <w:tc>
          <w:tcPr>
            <w:tcW w:w="3153" w:type="dxa"/>
          </w:tcPr>
          <w:p w14:paraId="1E346776" w14:textId="77777777" w:rsidR="004543E0" w:rsidRPr="009660EC" w:rsidRDefault="004543E0" w:rsidP="007E3239">
            <w:pPr>
              <w:pStyle w:val="TableText"/>
              <w:spacing w:before="40" w:after="40"/>
              <w:rPr>
                <w:rFonts w:cs="Calibri"/>
              </w:rPr>
            </w:pPr>
            <w:r w:rsidRPr="009660EC">
              <w:rPr>
                <w:rFonts w:cs="Calibri"/>
              </w:rPr>
              <w:t>Deer</w:t>
            </w:r>
          </w:p>
        </w:tc>
        <w:tc>
          <w:tcPr>
            <w:tcW w:w="2548" w:type="dxa"/>
            <w:vAlign w:val="center"/>
          </w:tcPr>
          <w:p w14:paraId="5B71EF22" w14:textId="77777777" w:rsidR="004543E0" w:rsidRPr="009660EC" w:rsidRDefault="004543E0" w:rsidP="007E3239">
            <w:pPr>
              <w:pStyle w:val="TableText"/>
              <w:spacing w:before="40" w:after="40"/>
              <w:jc w:val="center"/>
              <w:rPr>
                <w:rFonts w:cs="Calibri"/>
              </w:rPr>
            </w:pPr>
            <w:r w:rsidRPr="009660EC">
              <w:rPr>
                <w:rFonts w:cs="Calibri"/>
              </w:rPr>
              <w:t>0.0074</w:t>
            </w:r>
          </w:p>
        </w:tc>
        <w:tc>
          <w:tcPr>
            <w:tcW w:w="2696" w:type="dxa"/>
            <w:vAlign w:val="center"/>
          </w:tcPr>
          <w:p w14:paraId="3CEFE051" w14:textId="77777777" w:rsidR="004543E0" w:rsidRPr="009660EC" w:rsidRDefault="004543E0" w:rsidP="007E3239">
            <w:pPr>
              <w:pStyle w:val="TableText"/>
              <w:spacing w:before="40" w:after="40"/>
              <w:jc w:val="center"/>
              <w:rPr>
                <w:rFonts w:cs="Calibri"/>
              </w:rPr>
            </w:pPr>
            <w:r w:rsidRPr="009660EC">
              <w:rPr>
                <w:rFonts w:cs="Calibri"/>
              </w:rPr>
              <w:t>0.0020</w:t>
            </w:r>
          </w:p>
        </w:tc>
      </w:tr>
      <w:tr w:rsidR="004543E0" w:rsidRPr="009660EC" w14:paraId="350E1B80" w14:textId="77777777" w:rsidTr="00615D94">
        <w:tc>
          <w:tcPr>
            <w:tcW w:w="3153" w:type="dxa"/>
          </w:tcPr>
          <w:p w14:paraId="36CC49C4" w14:textId="77777777" w:rsidR="004543E0" w:rsidRPr="009660EC" w:rsidRDefault="004543E0" w:rsidP="007E3239">
            <w:pPr>
              <w:pStyle w:val="TableText"/>
              <w:spacing w:before="40" w:after="40"/>
              <w:rPr>
                <w:rFonts w:cs="Calibri"/>
              </w:rPr>
            </w:pPr>
            <w:r w:rsidRPr="009660EC">
              <w:rPr>
                <w:rFonts w:cs="Calibri"/>
              </w:rPr>
              <w:t xml:space="preserve">Sheep </w:t>
            </w:r>
          </w:p>
        </w:tc>
        <w:tc>
          <w:tcPr>
            <w:tcW w:w="2548" w:type="dxa"/>
            <w:vAlign w:val="center"/>
          </w:tcPr>
          <w:p w14:paraId="5636C6F5" w14:textId="77777777" w:rsidR="004543E0" w:rsidRPr="009660EC" w:rsidRDefault="004543E0" w:rsidP="007E3239">
            <w:pPr>
              <w:pStyle w:val="TableText"/>
              <w:spacing w:before="40" w:after="40"/>
              <w:jc w:val="center"/>
              <w:rPr>
                <w:rFonts w:cs="Calibri"/>
              </w:rPr>
            </w:pPr>
            <w:r w:rsidRPr="009660EC">
              <w:rPr>
                <w:rFonts w:cs="Calibri"/>
              </w:rPr>
              <w:t>0.0050</w:t>
            </w:r>
          </w:p>
        </w:tc>
        <w:tc>
          <w:tcPr>
            <w:tcW w:w="2696" w:type="dxa"/>
            <w:vAlign w:val="center"/>
          </w:tcPr>
          <w:p w14:paraId="0E7B8E48" w14:textId="77777777" w:rsidR="004543E0" w:rsidRPr="009660EC" w:rsidRDefault="004543E0" w:rsidP="007E3239">
            <w:pPr>
              <w:pStyle w:val="TableText"/>
              <w:spacing w:before="40" w:after="40"/>
              <w:jc w:val="center"/>
              <w:rPr>
                <w:rFonts w:cs="Calibri"/>
              </w:rPr>
            </w:pPr>
            <w:r w:rsidRPr="009660EC">
              <w:rPr>
                <w:rFonts w:cs="Calibri"/>
              </w:rPr>
              <w:t>0.0008</w:t>
            </w:r>
          </w:p>
        </w:tc>
      </w:tr>
    </w:tbl>
    <w:p w14:paraId="7941D1F1" w14:textId="77777777" w:rsidR="004543E0" w:rsidRPr="009660EC" w:rsidRDefault="004543E0" w:rsidP="004543E0">
      <w:pPr>
        <w:pStyle w:val="Table"/>
        <w:spacing w:before="240"/>
        <w:rPr>
          <w:rFonts w:cs="Calibri"/>
        </w:rPr>
      </w:pPr>
      <w:bookmarkStart w:id="974" w:name="_Toc32570930"/>
      <w:bookmarkStart w:id="975" w:name="_Toc36224565"/>
      <w:bookmarkStart w:id="976" w:name="_Toc68786450"/>
      <w:bookmarkStart w:id="977" w:name="_Toc95574083"/>
      <w:bookmarkStart w:id="978" w:name="_Toc99659256"/>
      <w:r w:rsidRPr="009660EC">
        <w:rPr>
          <w:rFonts w:cs="Calibri"/>
        </w:rPr>
        <w:t>Table 5.5.4</w:t>
      </w:r>
      <w:r w:rsidRPr="009660EC">
        <w:rPr>
          <w:rFonts w:cs="Calibri"/>
        </w:rPr>
        <w:tab/>
        <w:t>Parameters for indirect nitrous oxide (N</w:t>
      </w:r>
      <w:r w:rsidRPr="009660EC">
        <w:rPr>
          <w:rFonts w:cs="Calibri"/>
          <w:vertAlign w:val="subscript"/>
        </w:rPr>
        <w:t>2</w:t>
      </w:r>
      <w:r w:rsidRPr="009660EC">
        <w:rPr>
          <w:rFonts w:cs="Calibri"/>
        </w:rPr>
        <w:t xml:space="preserve">O) emissions from </w:t>
      </w:r>
      <w:r w:rsidRPr="009660EC">
        <w:rPr>
          <w:rFonts w:cs="Calibri"/>
          <w:i/>
          <w:iCs/>
        </w:rPr>
        <w:t>Agricultural soils</w:t>
      </w:r>
      <w:r w:rsidRPr="009660EC">
        <w:rPr>
          <w:rFonts w:cs="Calibri"/>
        </w:rPr>
        <w:t xml:space="preserve"> in New Zealand</w:t>
      </w:r>
      <w:bookmarkEnd w:id="968"/>
      <w:bookmarkEnd w:id="969"/>
      <w:bookmarkEnd w:id="970"/>
      <w:bookmarkEnd w:id="971"/>
      <w:bookmarkEnd w:id="972"/>
      <w:bookmarkEnd w:id="973"/>
      <w:bookmarkEnd w:id="974"/>
      <w:bookmarkEnd w:id="975"/>
      <w:bookmarkEnd w:id="976"/>
      <w:bookmarkEnd w:id="977"/>
      <w:bookmarkEnd w:id="978"/>
    </w:p>
    <w:tbl>
      <w:tblPr>
        <w:tblW w:w="8505" w:type="dxa"/>
        <w:tblInd w:w="113" w:type="dxa"/>
        <w:tblBorders>
          <w:top w:val="single" w:sz="4" w:space="0" w:color="365F91"/>
          <w:bottom w:val="single" w:sz="4" w:space="0" w:color="365F91"/>
          <w:insideH w:val="single" w:sz="4" w:space="0" w:color="365F91"/>
        </w:tblBorders>
        <w:tblLayout w:type="fixed"/>
        <w:tblCellMar>
          <w:left w:w="85" w:type="dxa"/>
          <w:right w:w="85" w:type="dxa"/>
        </w:tblCellMar>
        <w:tblLook w:val="01E0" w:firstRow="1" w:lastRow="1" w:firstColumn="1" w:lastColumn="1" w:noHBand="0" w:noVBand="0"/>
      </w:tblPr>
      <w:tblGrid>
        <w:gridCol w:w="2127"/>
        <w:gridCol w:w="992"/>
        <w:gridCol w:w="1559"/>
        <w:gridCol w:w="1701"/>
        <w:gridCol w:w="2126"/>
      </w:tblGrid>
      <w:tr w:rsidR="004543E0" w:rsidRPr="00615D94" w14:paraId="5A6C3EE2" w14:textId="77777777" w:rsidTr="00615D94">
        <w:trPr>
          <w:tblHeader/>
        </w:trPr>
        <w:tc>
          <w:tcPr>
            <w:tcW w:w="2127" w:type="dxa"/>
            <w:tcBorders>
              <w:top w:val="single" w:sz="4" w:space="0" w:color="44546A"/>
              <w:bottom w:val="single" w:sz="4" w:space="0" w:color="44546A"/>
              <w:right w:val="nil"/>
            </w:tcBorders>
            <w:shd w:val="clear" w:color="auto" w:fill="1B556B"/>
            <w:vAlign w:val="bottom"/>
          </w:tcPr>
          <w:p w14:paraId="6D1FFF96" w14:textId="77777777" w:rsidR="004543E0" w:rsidRPr="00615D94" w:rsidRDefault="004543E0" w:rsidP="007E3239">
            <w:pPr>
              <w:pStyle w:val="TableTextBold"/>
              <w:keepNext/>
              <w:spacing w:before="40" w:after="40"/>
              <w:rPr>
                <w:rFonts w:cs="Calibri"/>
                <w:noProof w:val="0"/>
                <w:color w:val="FFFFFF"/>
                <w:szCs w:val="16"/>
              </w:rPr>
            </w:pPr>
            <w:r w:rsidRPr="00615D94">
              <w:rPr>
                <w:rFonts w:cs="Calibri"/>
                <w:noProof w:val="0"/>
                <w:color w:val="FFFFFF"/>
                <w:szCs w:val="16"/>
              </w:rPr>
              <w:t>Category</w:t>
            </w:r>
          </w:p>
        </w:tc>
        <w:tc>
          <w:tcPr>
            <w:tcW w:w="4252" w:type="dxa"/>
            <w:gridSpan w:val="3"/>
            <w:tcBorders>
              <w:top w:val="single" w:sz="4" w:space="0" w:color="44546A"/>
              <w:left w:val="nil"/>
              <w:bottom w:val="single" w:sz="4" w:space="0" w:color="44546A"/>
              <w:right w:val="nil"/>
            </w:tcBorders>
            <w:shd w:val="clear" w:color="auto" w:fill="1B556B"/>
            <w:vAlign w:val="bottom"/>
          </w:tcPr>
          <w:p w14:paraId="7F9D1333" w14:textId="77777777" w:rsidR="004543E0" w:rsidRPr="00615D94" w:rsidRDefault="004543E0" w:rsidP="007E3239">
            <w:pPr>
              <w:pStyle w:val="TableTextBold"/>
              <w:keepNext/>
              <w:spacing w:before="40" w:after="40"/>
              <w:jc w:val="center"/>
              <w:rPr>
                <w:rFonts w:cs="Calibri"/>
                <w:noProof w:val="0"/>
                <w:color w:val="FFFFFF"/>
                <w:szCs w:val="16"/>
              </w:rPr>
            </w:pPr>
            <w:r w:rsidRPr="00615D94">
              <w:rPr>
                <w:rFonts w:cs="Calibri"/>
                <w:noProof w:val="0"/>
                <w:color w:val="FFFFFF"/>
                <w:szCs w:val="16"/>
              </w:rPr>
              <w:t>Parameter</w:t>
            </w:r>
          </w:p>
        </w:tc>
        <w:tc>
          <w:tcPr>
            <w:tcW w:w="2126" w:type="dxa"/>
            <w:tcBorders>
              <w:top w:val="single" w:sz="4" w:space="0" w:color="44546A"/>
              <w:left w:val="nil"/>
              <w:bottom w:val="single" w:sz="4" w:space="0" w:color="44546A"/>
            </w:tcBorders>
            <w:shd w:val="clear" w:color="auto" w:fill="1B556B"/>
            <w:vAlign w:val="bottom"/>
          </w:tcPr>
          <w:p w14:paraId="47F69984" w14:textId="77777777" w:rsidR="004543E0" w:rsidRPr="00615D94" w:rsidRDefault="004543E0" w:rsidP="007E3239">
            <w:pPr>
              <w:pStyle w:val="TableTextBold"/>
              <w:keepNext/>
              <w:spacing w:before="40" w:after="40"/>
              <w:jc w:val="center"/>
              <w:rPr>
                <w:rFonts w:cs="Calibri"/>
                <w:noProof w:val="0"/>
                <w:color w:val="FFFFFF"/>
                <w:szCs w:val="16"/>
              </w:rPr>
            </w:pPr>
            <w:r w:rsidRPr="00615D94">
              <w:rPr>
                <w:rFonts w:cs="Calibri"/>
                <w:noProof w:val="0"/>
                <w:color w:val="FFFFFF"/>
                <w:szCs w:val="16"/>
              </w:rPr>
              <w:t>Source</w:t>
            </w:r>
          </w:p>
        </w:tc>
      </w:tr>
      <w:tr w:rsidR="004543E0" w:rsidRPr="00615D94" w14:paraId="17691D74" w14:textId="77777777" w:rsidTr="00615D94">
        <w:tc>
          <w:tcPr>
            <w:tcW w:w="8505" w:type="dxa"/>
            <w:gridSpan w:val="5"/>
            <w:tcBorders>
              <w:top w:val="single" w:sz="4" w:space="0" w:color="44546A"/>
            </w:tcBorders>
          </w:tcPr>
          <w:p w14:paraId="05B54D74" w14:textId="77777777" w:rsidR="004543E0" w:rsidRPr="00615D94" w:rsidRDefault="004543E0" w:rsidP="007E3239">
            <w:pPr>
              <w:pStyle w:val="TableText"/>
              <w:spacing w:before="40" w:after="40"/>
              <w:rPr>
                <w:rFonts w:cs="Calibri"/>
                <w:b/>
                <w:bCs/>
                <w:szCs w:val="16"/>
              </w:rPr>
            </w:pPr>
            <w:r w:rsidRPr="00615D94">
              <w:rPr>
                <w:rFonts w:cs="Calibri"/>
                <w:b/>
                <w:bCs/>
                <w:szCs w:val="16"/>
              </w:rPr>
              <w:t>3.D.2 Indirect N</w:t>
            </w:r>
            <w:r w:rsidRPr="00615D94">
              <w:rPr>
                <w:rFonts w:cs="Calibri"/>
                <w:b/>
                <w:bCs/>
                <w:szCs w:val="16"/>
                <w:vertAlign w:val="subscript"/>
              </w:rPr>
              <w:t>2</w:t>
            </w:r>
            <w:r w:rsidRPr="00615D94">
              <w:rPr>
                <w:rFonts w:cs="Calibri"/>
                <w:b/>
                <w:bCs/>
                <w:szCs w:val="16"/>
              </w:rPr>
              <w:t>O emissions</w:t>
            </w:r>
          </w:p>
        </w:tc>
      </w:tr>
      <w:tr w:rsidR="004543E0" w:rsidRPr="00615D94" w14:paraId="03187443" w14:textId="77777777" w:rsidTr="00615D94">
        <w:tc>
          <w:tcPr>
            <w:tcW w:w="2127" w:type="dxa"/>
          </w:tcPr>
          <w:p w14:paraId="369BBB77" w14:textId="77777777" w:rsidR="004543E0" w:rsidRPr="00615D94" w:rsidRDefault="004543E0" w:rsidP="007E3239">
            <w:pPr>
              <w:pStyle w:val="TableText"/>
              <w:spacing w:before="40" w:after="40"/>
              <w:rPr>
                <w:rFonts w:cs="Calibri"/>
                <w:szCs w:val="16"/>
              </w:rPr>
            </w:pPr>
            <w:r w:rsidRPr="00615D94">
              <w:rPr>
                <w:rFonts w:cs="Calibri"/>
                <w:szCs w:val="16"/>
              </w:rPr>
              <w:t>Fraction of volatilisation from synthetic fertiliser</w:t>
            </w:r>
          </w:p>
        </w:tc>
        <w:tc>
          <w:tcPr>
            <w:tcW w:w="992" w:type="dxa"/>
          </w:tcPr>
          <w:p w14:paraId="0F739348" w14:textId="77777777" w:rsidR="004543E0" w:rsidRPr="00615D94" w:rsidRDefault="004543E0" w:rsidP="007E3239">
            <w:pPr>
              <w:pStyle w:val="TableText"/>
              <w:spacing w:before="40" w:after="40"/>
              <w:rPr>
                <w:rFonts w:cs="Calibri"/>
                <w:szCs w:val="16"/>
              </w:rPr>
            </w:pPr>
            <w:r w:rsidRPr="00615D94">
              <w:rPr>
                <w:rFonts w:cs="Calibri"/>
                <w:szCs w:val="16"/>
              </w:rPr>
              <w:t>Frac</w:t>
            </w:r>
            <w:r w:rsidRPr="00615D94">
              <w:rPr>
                <w:rFonts w:cs="Calibri"/>
                <w:szCs w:val="16"/>
                <w:vertAlign w:val="subscript"/>
              </w:rPr>
              <w:t>GASF</w:t>
            </w:r>
          </w:p>
        </w:tc>
        <w:tc>
          <w:tcPr>
            <w:tcW w:w="1559" w:type="dxa"/>
          </w:tcPr>
          <w:p w14:paraId="5FE5FCD5" w14:textId="77777777" w:rsidR="004543E0" w:rsidRPr="00615D94" w:rsidRDefault="004543E0" w:rsidP="007E3239">
            <w:pPr>
              <w:pStyle w:val="TableText"/>
              <w:spacing w:before="40" w:after="40"/>
              <w:rPr>
                <w:rFonts w:cs="Calibri"/>
                <w:szCs w:val="16"/>
              </w:rPr>
            </w:pPr>
            <w:r w:rsidRPr="00615D94">
              <w:rPr>
                <w:rFonts w:cs="Calibri"/>
                <w:szCs w:val="16"/>
              </w:rPr>
              <w:t xml:space="preserve">0.1 </w:t>
            </w:r>
          </w:p>
        </w:tc>
        <w:tc>
          <w:tcPr>
            <w:tcW w:w="1701" w:type="dxa"/>
          </w:tcPr>
          <w:p w14:paraId="152162C1" w14:textId="77777777" w:rsidR="004543E0" w:rsidRPr="00615D94" w:rsidRDefault="004543E0" w:rsidP="007E3239">
            <w:pPr>
              <w:pStyle w:val="TableText"/>
              <w:spacing w:before="40" w:after="40"/>
              <w:rPr>
                <w:rFonts w:cs="Calibri"/>
                <w:szCs w:val="16"/>
              </w:rPr>
            </w:pPr>
            <w:r w:rsidRPr="00615D94">
              <w:rPr>
                <w:rFonts w:cs="Calibri"/>
                <w:szCs w:val="16"/>
              </w:rPr>
              <w:t>kg NH</w:t>
            </w:r>
            <w:r w:rsidRPr="00615D94">
              <w:rPr>
                <w:rFonts w:cs="Calibri"/>
                <w:szCs w:val="16"/>
                <w:vertAlign w:val="subscript"/>
              </w:rPr>
              <w:t>3</w:t>
            </w:r>
            <w:r w:rsidRPr="00615D94">
              <w:rPr>
                <w:rFonts w:cs="Calibri"/>
                <w:szCs w:val="16"/>
              </w:rPr>
              <w:t>-N + NO</w:t>
            </w:r>
            <w:r w:rsidRPr="00615D94">
              <w:rPr>
                <w:rFonts w:cs="Calibri"/>
                <w:szCs w:val="16"/>
                <w:vertAlign w:val="subscript"/>
              </w:rPr>
              <w:t>x</w:t>
            </w:r>
            <w:r w:rsidRPr="00615D94">
              <w:rPr>
                <w:rFonts w:cs="Calibri"/>
                <w:szCs w:val="16"/>
              </w:rPr>
              <w:t>-N/kg N</w:t>
            </w:r>
          </w:p>
        </w:tc>
        <w:tc>
          <w:tcPr>
            <w:tcW w:w="2126" w:type="dxa"/>
          </w:tcPr>
          <w:p w14:paraId="3CD644C1" w14:textId="77777777" w:rsidR="004543E0" w:rsidRPr="00615D94" w:rsidRDefault="004543E0" w:rsidP="007E3239">
            <w:pPr>
              <w:pStyle w:val="TableText"/>
              <w:spacing w:before="40" w:after="40"/>
              <w:rPr>
                <w:rFonts w:cs="Calibri"/>
                <w:szCs w:val="16"/>
              </w:rPr>
            </w:pPr>
            <w:r w:rsidRPr="00615D94">
              <w:rPr>
                <w:rFonts w:cs="Calibri"/>
                <w:szCs w:val="16"/>
              </w:rPr>
              <w:t>IPCC (2006), verified by Sherlock et al. (2008)</w:t>
            </w:r>
          </w:p>
        </w:tc>
      </w:tr>
      <w:tr w:rsidR="004543E0" w:rsidRPr="00615D94" w14:paraId="12721354" w14:textId="77777777" w:rsidTr="00615D94">
        <w:tc>
          <w:tcPr>
            <w:tcW w:w="2127" w:type="dxa"/>
          </w:tcPr>
          <w:p w14:paraId="5C30E124" w14:textId="77777777" w:rsidR="004543E0" w:rsidRPr="00615D94" w:rsidRDefault="004543E0" w:rsidP="007E3239">
            <w:pPr>
              <w:pStyle w:val="TableText"/>
              <w:spacing w:before="40" w:after="40"/>
              <w:rPr>
                <w:rFonts w:cs="Calibri"/>
                <w:szCs w:val="16"/>
              </w:rPr>
            </w:pPr>
            <w:r w:rsidRPr="00615D94">
              <w:rPr>
                <w:rFonts w:cs="Calibri"/>
                <w:szCs w:val="16"/>
              </w:rPr>
              <w:t xml:space="preserve">Fraction of volatilisation from organic nitrogen additions including pasture manure </w:t>
            </w:r>
          </w:p>
        </w:tc>
        <w:tc>
          <w:tcPr>
            <w:tcW w:w="992" w:type="dxa"/>
            <w:tcBorders>
              <w:bottom w:val="single" w:sz="4" w:space="0" w:color="365F91"/>
            </w:tcBorders>
          </w:tcPr>
          <w:p w14:paraId="5A3A01C3" w14:textId="77777777" w:rsidR="004543E0" w:rsidRPr="00615D94" w:rsidRDefault="004543E0" w:rsidP="007E3239">
            <w:pPr>
              <w:pStyle w:val="TableText"/>
              <w:spacing w:before="40" w:after="40"/>
              <w:rPr>
                <w:rFonts w:cs="Calibri"/>
                <w:szCs w:val="16"/>
              </w:rPr>
            </w:pPr>
            <w:r w:rsidRPr="00615D94">
              <w:rPr>
                <w:rFonts w:cs="Calibri"/>
                <w:szCs w:val="16"/>
              </w:rPr>
              <w:t>Frac</w:t>
            </w:r>
            <w:r w:rsidRPr="00615D94">
              <w:rPr>
                <w:rFonts w:cs="Calibri"/>
                <w:szCs w:val="16"/>
                <w:vertAlign w:val="subscript"/>
              </w:rPr>
              <w:t>GASM</w:t>
            </w:r>
          </w:p>
        </w:tc>
        <w:tc>
          <w:tcPr>
            <w:tcW w:w="1559" w:type="dxa"/>
            <w:tcBorders>
              <w:bottom w:val="single" w:sz="4" w:space="0" w:color="365F91"/>
            </w:tcBorders>
          </w:tcPr>
          <w:p w14:paraId="7E6284F4" w14:textId="77777777" w:rsidR="004543E0" w:rsidRPr="00615D94" w:rsidRDefault="004543E0" w:rsidP="007E3239">
            <w:pPr>
              <w:pStyle w:val="TableText"/>
              <w:spacing w:before="40" w:after="40"/>
              <w:rPr>
                <w:rFonts w:cs="Calibri"/>
                <w:szCs w:val="16"/>
              </w:rPr>
            </w:pPr>
            <w:r w:rsidRPr="00615D94">
              <w:rPr>
                <w:rFonts w:cs="Calibri"/>
                <w:szCs w:val="16"/>
              </w:rPr>
              <w:t>0.1</w:t>
            </w:r>
          </w:p>
        </w:tc>
        <w:tc>
          <w:tcPr>
            <w:tcW w:w="1701" w:type="dxa"/>
            <w:tcBorders>
              <w:bottom w:val="single" w:sz="4" w:space="0" w:color="365F91"/>
            </w:tcBorders>
          </w:tcPr>
          <w:p w14:paraId="24939328" w14:textId="77777777" w:rsidR="004543E0" w:rsidRPr="00615D94" w:rsidRDefault="004543E0" w:rsidP="007E3239">
            <w:pPr>
              <w:pStyle w:val="TableText"/>
              <w:spacing w:before="40" w:after="40"/>
              <w:rPr>
                <w:rFonts w:cs="Calibri"/>
                <w:szCs w:val="16"/>
              </w:rPr>
            </w:pPr>
            <w:r w:rsidRPr="00615D94">
              <w:rPr>
                <w:rFonts w:cs="Calibri"/>
                <w:szCs w:val="16"/>
              </w:rPr>
              <w:t>kg NH</w:t>
            </w:r>
            <w:r w:rsidRPr="00615D94">
              <w:rPr>
                <w:rFonts w:cs="Calibri"/>
                <w:szCs w:val="16"/>
                <w:vertAlign w:val="subscript"/>
              </w:rPr>
              <w:t>3</w:t>
            </w:r>
            <w:r w:rsidRPr="00615D94">
              <w:rPr>
                <w:rFonts w:cs="Calibri"/>
                <w:szCs w:val="16"/>
              </w:rPr>
              <w:t>-N + NO</w:t>
            </w:r>
            <w:r w:rsidRPr="00615D94">
              <w:rPr>
                <w:rFonts w:cs="Calibri"/>
                <w:szCs w:val="16"/>
                <w:vertAlign w:val="subscript"/>
              </w:rPr>
              <w:t>x</w:t>
            </w:r>
            <w:r w:rsidRPr="00615D94">
              <w:rPr>
                <w:rFonts w:cs="Calibri"/>
                <w:szCs w:val="16"/>
              </w:rPr>
              <w:t>-N/kg N</w:t>
            </w:r>
          </w:p>
        </w:tc>
        <w:tc>
          <w:tcPr>
            <w:tcW w:w="2126" w:type="dxa"/>
            <w:tcBorders>
              <w:bottom w:val="single" w:sz="4" w:space="0" w:color="365F91"/>
            </w:tcBorders>
          </w:tcPr>
          <w:p w14:paraId="4C812B97" w14:textId="77777777" w:rsidR="004543E0" w:rsidRPr="00615D94" w:rsidRDefault="004543E0" w:rsidP="007E3239">
            <w:pPr>
              <w:pStyle w:val="TableText"/>
              <w:spacing w:before="40" w:after="40"/>
              <w:rPr>
                <w:rFonts w:cs="Calibri"/>
                <w:szCs w:val="16"/>
              </w:rPr>
            </w:pPr>
            <w:r w:rsidRPr="00615D94">
              <w:rPr>
                <w:rFonts w:cs="Calibri"/>
                <w:szCs w:val="16"/>
              </w:rPr>
              <w:t>Sherlock et al. (2008)</w:t>
            </w:r>
          </w:p>
        </w:tc>
      </w:tr>
      <w:tr w:rsidR="004543E0" w:rsidRPr="00615D94" w14:paraId="016E5D81" w14:textId="77777777" w:rsidTr="00615D94">
        <w:tc>
          <w:tcPr>
            <w:tcW w:w="2127" w:type="dxa"/>
            <w:vMerge w:val="restart"/>
          </w:tcPr>
          <w:p w14:paraId="3D5C3E54" w14:textId="77777777" w:rsidR="004543E0" w:rsidRPr="00615D94" w:rsidRDefault="004543E0" w:rsidP="007E3239">
            <w:pPr>
              <w:pStyle w:val="TableText"/>
              <w:spacing w:before="40" w:after="40"/>
              <w:rPr>
                <w:rFonts w:cs="Calibri"/>
                <w:szCs w:val="16"/>
              </w:rPr>
            </w:pPr>
            <w:r w:rsidRPr="00615D94">
              <w:rPr>
                <w:rFonts w:cs="Calibri"/>
                <w:szCs w:val="16"/>
              </w:rPr>
              <w:t>Fraction of leaching and runoff from all nitrogen applied to soil</w:t>
            </w:r>
          </w:p>
        </w:tc>
        <w:tc>
          <w:tcPr>
            <w:tcW w:w="992" w:type="dxa"/>
            <w:tcBorders>
              <w:top w:val="single" w:sz="4" w:space="0" w:color="365F91"/>
              <w:left w:val="nil"/>
              <w:bottom w:val="single" w:sz="4" w:space="0" w:color="365F91"/>
              <w:right w:val="nil"/>
            </w:tcBorders>
            <w:shd w:val="clear" w:color="auto" w:fill="auto"/>
            <w:vAlign w:val="center"/>
          </w:tcPr>
          <w:p w14:paraId="16CFFAEE" w14:textId="77777777" w:rsidR="004543E0" w:rsidRPr="00615D94" w:rsidRDefault="004543E0" w:rsidP="007E3239">
            <w:pPr>
              <w:pStyle w:val="TableText"/>
              <w:spacing w:before="40" w:after="40"/>
              <w:rPr>
                <w:rFonts w:cs="Calibri"/>
                <w:szCs w:val="16"/>
              </w:rPr>
            </w:pPr>
            <w:r w:rsidRPr="00615D94">
              <w:rPr>
                <w:rFonts w:cs="Calibri"/>
                <w:szCs w:val="16"/>
              </w:rPr>
              <w:t>Cropland Frac</w:t>
            </w:r>
            <w:r w:rsidRPr="00615D94">
              <w:rPr>
                <w:rFonts w:cs="Calibri"/>
                <w:szCs w:val="16"/>
                <w:vertAlign w:val="subscript"/>
              </w:rPr>
              <w:t>LEACH – (H)</w:t>
            </w:r>
          </w:p>
        </w:tc>
        <w:tc>
          <w:tcPr>
            <w:tcW w:w="1559" w:type="dxa"/>
            <w:tcBorders>
              <w:top w:val="single" w:sz="4" w:space="0" w:color="365F91"/>
              <w:left w:val="nil"/>
              <w:bottom w:val="single" w:sz="4" w:space="0" w:color="365F91"/>
              <w:right w:val="nil"/>
            </w:tcBorders>
            <w:shd w:val="clear" w:color="auto" w:fill="auto"/>
            <w:vAlign w:val="center"/>
          </w:tcPr>
          <w:p w14:paraId="43DA2AD7" w14:textId="77777777" w:rsidR="004543E0" w:rsidRPr="00615D94" w:rsidRDefault="004543E0" w:rsidP="007E3239">
            <w:pPr>
              <w:pStyle w:val="TableText"/>
              <w:spacing w:before="40" w:after="40"/>
              <w:rPr>
                <w:rFonts w:cs="Calibri"/>
                <w:szCs w:val="16"/>
              </w:rPr>
            </w:pPr>
            <w:r w:rsidRPr="00615D94">
              <w:rPr>
                <w:rFonts w:cs="Calibri"/>
                <w:szCs w:val="16"/>
              </w:rPr>
              <w:t>0.1</w:t>
            </w:r>
          </w:p>
        </w:tc>
        <w:tc>
          <w:tcPr>
            <w:tcW w:w="1701" w:type="dxa"/>
            <w:tcBorders>
              <w:top w:val="single" w:sz="4" w:space="0" w:color="365F91"/>
              <w:left w:val="nil"/>
              <w:bottom w:val="single" w:sz="4" w:space="0" w:color="365F91"/>
              <w:right w:val="nil"/>
            </w:tcBorders>
            <w:shd w:val="clear" w:color="auto" w:fill="auto"/>
            <w:vAlign w:val="center"/>
          </w:tcPr>
          <w:p w14:paraId="23AA64A8" w14:textId="77777777" w:rsidR="004543E0" w:rsidRPr="00615D94" w:rsidRDefault="004543E0" w:rsidP="007E3239">
            <w:pPr>
              <w:pStyle w:val="TableText"/>
              <w:spacing w:before="40" w:after="40"/>
              <w:rPr>
                <w:rFonts w:cs="Calibri"/>
                <w:szCs w:val="16"/>
              </w:rPr>
            </w:pPr>
            <w:r w:rsidRPr="00615D94">
              <w:rPr>
                <w:rFonts w:cs="Calibri"/>
                <w:szCs w:val="16"/>
              </w:rPr>
              <w:t>kg N/kg N</w:t>
            </w:r>
          </w:p>
        </w:tc>
        <w:tc>
          <w:tcPr>
            <w:tcW w:w="2126" w:type="dxa"/>
            <w:tcBorders>
              <w:top w:val="single" w:sz="4" w:space="0" w:color="365F91"/>
              <w:left w:val="nil"/>
              <w:bottom w:val="single" w:sz="4" w:space="0" w:color="365F91"/>
              <w:right w:val="nil"/>
            </w:tcBorders>
            <w:shd w:val="clear" w:color="auto" w:fill="auto"/>
            <w:vAlign w:val="center"/>
          </w:tcPr>
          <w:p w14:paraId="5AE43FBF" w14:textId="77777777" w:rsidR="004543E0" w:rsidRPr="00615D94" w:rsidRDefault="004543E0" w:rsidP="007E3239">
            <w:pPr>
              <w:pStyle w:val="TableText"/>
              <w:spacing w:before="40" w:after="40"/>
              <w:rPr>
                <w:rFonts w:cs="Calibri"/>
                <w:szCs w:val="16"/>
              </w:rPr>
            </w:pPr>
            <w:r w:rsidRPr="00615D94">
              <w:rPr>
                <w:rFonts w:cs="Calibri"/>
                <w:szCs w:val="16"/>
              </w:rPr>
              <w:t>Welten et al. (2021)</w:t>
            </w:r>
          </w:p>
        </w:tc>
      </w:tr>
      <w:tr w:rsidR="004543E0" w:rsidRPr="00615D94" w14:paraId="44DD0730" w14:textId="77777777" w:rsidTr="00615D94">
        <w:tc>
          <w:tcPr>
            <w:tcW w:w="2127" w:type="dxa"/>
            <w:vMerge/>
          </w:tcPr>
          <w:p w14:paraId="0205CC8C" w14:textId="77777777" w:rsidR="004543E0" w:rsidRPr="00615D94" w:rsidRDefault="004543E0" w:rsidP="007E3239">
            <w:pPr>
              <w:pStyle w:val="TableText"/>
              <w:spacing w:before="40" w:after="40"/>
              <w:rPr>
                <w:rFonts w:cs="Calibri"/>
                <w:szCs w:val="16"/>
              </w:rPr>
            </w:pPr>
          </w:p>
        </w:tc>
        <w:tc>
          <w:tcPr>
            <w:tcW w:w="992" w:type="dxa"/>
            <w:tcBorders>
              <w:top w:val="single" w:sz="4" w:space="0" w:color="365F91"/>
              <w:left w:val="nil"/>
              <w:bottom w:val="single" w:sz="4" w:space="0" w:color="365F91"/>
              <w:right w:val="nil"/>
            </w:tcBorders>
            <w:shd w:val="clear" w:color="auto" w:fill="auto"/>
            <w:vAlign w:val="center"/>
          </w:tcPr>
          <w:p w14:paraId="3384D08E" w14:textId="77777777" w:rsidR="004543E0" w:rsidRPr="00615D94" w:rsidRDefault="004543E0" w:rsidP="007E3239">
            <w:pPr>
              <w:pStyle w:val="TableText"/>
              <w:spacing w:before="40" w:after="40"/>
              <w:rPr>
                <w:rFonts w:cs="Calibri"/>
                <w:szCs w:val="16"/>
              </w:rPr>
            </w:pPr>
            <w:r w:rsidRPr="00615D94">
              <w:rPr>
                <w:rFonts w:cs="Calibri"/>
                <w:szCs w:val="16"/>
              </w:rPr>
              <w:t>Grassland Frac</w:t>
            </w:r>
            <w:r w:rsidRPr="00615D94">
              <w:rPr>
                <w:rFonts w:cs="Calibri"/>
                <w:szCs w:val="16"/>
                <w:vertAlign w:val="subscript"/>
              </w:rPr>
              <w:t>LEACH – (H)</w:t>
            </w:r>
          </w:p>
        </w:tc>
        <w:tc>
          <w:tcPr>
            <w:tcW w:w="1559" w:type="dxa"/>
            <w:tcBorders>
              <w:top w:val="single" w:sz="4" w:space="0" w:color="365F91"/>
              <w:left w:val="nil"/>
              <w:bottom w:val="single" w:sz="4" w:space="0" w:color="365F91"/>
              <w:right w:val="nil"/>
            </w:tcBorders>
            <w:shd w:val="clear" w:color="auto" w:fill="auto"/>
            <w:vAlign w:val="center"/>
          </w:tcPr>
          <w:p w14:paraId="0941B7AF" w14:textId="77777777" w:rsidR="004543E0" w:rsidRPr="00615D94" w:rsidRDefault="004543E0" w:rsidP="007E3239">
            <w:pPr>
              <w:pStyle w:val="TableText"/>
              <w:spacing w:before="40" w:after="40"/>
              <w:rPr>
                <w:rFonts w:cs="Calibri"/>
                <w:szCs w:val="16"/>
              </w:rPr>
            </w:pPr>
            <w:r w:rsidRPr="00615D94">
              <w:rPr>
                <w:rFonts w:cs="Calibri"/>
                <w:szCs w:val="16"/>
              </w:rPr>
              <w:t>0.07</w:t>
            </w:r>
          </w:p>
        </w:tc>
        <w:tc>
          <w:tcPr>
            <w:tcW w:w="1701" w:type="dxa"/>
            <w:tcBorders>
              <w:top w:val="single" w:sz="4" w:space="0" w:color="365F91"/>
              <w:left w:val="nil"/>
              <w:bottom w:val="single" w:sz="4" w:space="0" w:color="365F91"/>
              <w:right w:val="nil"/>
            </w:tcBorders>
            <w:shd w:val="clear" w:color="auto" w:fill="auto"/>
            <w:vAlign w:val="center"/>
          </w:tcPr>
          <w:p w14:paraId="39306278" w14:textId="77777777" w:rsidR="004543E0" w:rsidRPr="00615D94" w:rsidRDefault="004543E0" w:rsidP="007E3239">
            <w:pPr>
              <w:pStyle w:val="TableText"/>
              <w:spacing w:before="40" w:after="40"/>
              <w:rPr>
                <w:rFonts w:cs="Calibri"/>
                <w:szCs w:val="16"/>
              </w:rPr>
            </w:pPr>
            <w:r w:rsidRPr="00615D94">
              <w:rPr>
                <w:rFonts w:cs="Calibri"/>
                <w:szCs w:val="16"/>
              </w:rPr>
              <w:t>kg N/kg N</w:t>
            </w:r>
          </w:p>
        </w:tc>
        <w:tc>
          <w:tcPr>
            <w:tcW w:w="2126" w:type="dxa"/>
            <w:tcBorders>
              <w:top w:val="single" w:sz="4" w:space="0" w:color="365F91"/>
              <w:left w:val="nil"/>
              <w:bottom w:val="single" w:sz="4" w:space="0" w:color="365F91"/>
              <w:right w:val="nil"/>
            </w:tcBorders>
            <w:shd w:val="clear" w:color="auto" w:fill="auto"/>
            <w:vAlign w:val="center"/>
          </w:tcPr>
          <w:p w14:paraId="103E6608" w14:textId="77777777" w:rsidR="004543E0" w:rsidRPr="00615D94" w:rsidRDefault="004543E0" w:rsidP="007E3239">
            <w:pPr>
              <w:pStyle w:val="TableText"/>
              <w:spacing w:before="40" w:after="40"/>
              <w:rPr>
                <w:rFonts w:cs="Calibri"/>
                <w:szCs w:val="16"/>
              </w:rPr>
            </w:pPr>
            <w:r w:rsidRPr="00615D94">
              <w:rPr>
                <w:rFonts w:cs="Calibri"/>
                <w:szCs w:val="16"/>
              </w:rPr>
              <w:t>Thomas et al. (unpublished), Thomas et al. (2005)</w:t>
            </w:r>
          </w:p>
        </w:tc>
      </w:tr>
      <w:tr w:rsidR="004543E0" w:rsidRPr="00615D94" w14:paraId="2838EC96" w14:textId="77777777" w:rsidTr="00615D94">
        <w:tc>
          <w:tcPr>
            <w:tcW w:w="2127" w:type="dxa"/>
          </w:tcPr>
          <w:p w14:paraId="6E69A4CF" w14:textId="77777777" w:rsidR="004543E0" w:rsidRPr="00615D94" w:rsidRDefault="004543E0" w:rsidP="007E3239">
            <w:pPr>
              <w:pStyle w:val="TableText"/>
              <w:spacing w:before="40" w:after="40"/>
              <w:rPr>
                <w:rFonts w:cs="Calibri"/>
                <w:szCs w:val="16"/>
              </w:rPr>
            </w:pPr>
            <w:r w:rsidRPr="00615D94">
              <w:rPr>
                <w:rFonts w:cs="Calibri"/>
                <w:szCs w:val="16"/>
              </w:rPr>
              <w:t xml:space="preserve">Fraction of crop residue burned in the field </w:t>
            </w:r>
          </w:p>
        </w:tc>
        <w:tc>
          <w:tcPr>
            <w:tcW w:w="992" w:type="dxa"/>
            <w:tcBorders>
              <w:top w:val="single" w:sz="4" w:space="0" w:color="365F91"/>
            </w:tcBorders>
          </w:tcPr>
          <w:p w14:paraId="65E49A60" w14:textId="77777777" w:rsidR="004543E0" w:rsidRPr="00615D94" w:rsidRDefault="004543E0" w:rsidP="007E3239">
            <w:pPr>
              <w:pStyle w:val="TableText"/>
              <w:spacing w:before="40" w:after="40"/>
              <w:rPr>
                <w:rFonts w:cs="Calibri"/>
                <w:szCs w:val="16"/>
              </w:rPr>
            </w:pPr>
            <w:r w:rsidRPr="00615D94">
              <w:rPr>
                <w:rFonts w:cs="Calibri"/>
                <w:szCs w:val="16"/>
              </w:rPr>
              <w:t>Frac</w:t>
            </w:r>
            <w:r w:rsidRPr="00615D94">
              <w:rPr>
                <w:rFonts w:cs="Calibri"/>
                <w:szCs w:val="16"/>
                <w:vertAlign w:val="subscript"/>
              </w:rPr>
              <w:t>BURN</w:t>
            </w:r>
          </w:p>
        </w:tc>
        <w:tc>
          <w:tcPr>
            <w:tcW w:w="1559" w:type="dxa"/>
            <w:tcBorders>
              <w:top w:val="single" w:sz="4" w:space="0" w:color="365F91"/>
            </w:tcBorders>
          </w:tcPr>
          <w:p w14:paraId="0E033469" w14:textId="77777777" w:rsidR="004543E0" w:rsidRPr="00615D94" w:rsidRDefault="004543E0" w:rsidP="007E3239">
            <w:pPr>
              <w:pStyle w:val="TableText"/>
              <w:spacing w:before="40" w:after="40"/>
              <w:rPr>
                <w:rFonts w:cs="Calibri"/>
                <w:szCs w:val="16"/>
              </w:rPr>
            </w:pPr>
            <w:r w:rsidRPr="00615D94">
              <w:rPr>
                <w:rFonts w:cs="Calibri"/>
                <w:szCs w:val="16"/>
              </w:rPr>
              <w:t>Crop-specific</w:t>
            </w:r>
          </w:p>
        </w:tc>
        <w:tc>
          <w:tcPr>
            <w:tcW w:w="1701" w:type="dxa"/>
            <w:tcBorders>
              <w:top w:val="single" w:sz="4" w:space="0" w:color="365F91"/>
            </w:tcBorders>
          </w:tcPr>
          <w:p w14:paraId="2BFE6A53" w14:textId="77777777" w:rsidR="004543E0" w:rsidRPr="00615D94" w:rsidRDefault="004543E0" w:rsidP="007E3239">
            <w:pPr>
              <w:pStyle w:val="TableText"/>
              <w:spacing w:before="40" w:after="40"/>
              <w:rPr>
                <w:rFonts w:cs="Calibri"/>
                <w:szCs w:val="16"/>
              </w:rPr>
            </w:pPr>
            <w:r w:rsidRPr="00615D94">
              <w:rPr>
                <w:rFonts w:cs="Calibri"/>
                <w:szCs w:val="16"/>
              </w:rPr>
              <w:t>kg N/kg crop-N</w:t>
            </w:r>
          </w:p>
        </w:tc>
        <w:tc>
          <w:tcPr>
            <w:tcW w:w="2126" w:type="dxa"/>
            <w:tcBorders>
              <w:top w:val="single" w:sz="4" w:space="0" w:color="365F91"/>
            </w:tcBorders>
          </w:tcPr>
          <w:p w14:paraId="5A41C53F" w14:textId="77777777" w:rsidR="004543E0" w:rsidRPr="00615D94" w:rsidRDefault="004543E0" w:rsidP="007E3239">
            <w:pPr>
              <w:pStyle w:val="TableText"/>
              <w:spacing w:before="40" w:after="40"/>
              <w:rPr>
                <w:rFonts w:cs="Calibri"/>
                <w:szCs w:val="16"/>
              </w:rPr>
            </w:pPr>
            <w:r w:rsidRPr="00615D94">
              <w:rPr>
                <w:rFonts w:cs="Calibri"/>
                <w:szCs w:val="16"/>
              </w:rPr>
              <w:t>Thomas et al. (2008, table 14)</w:t>
            </w:r>
          </w:p>
        </w:tc>
      </w:tr>
      <w:tr w:rsidR="004543E0" w:rsidRPr="00615D94" w14:paraId="58C6803C" w14:textId="77777777" w:rsidTr="00615D94">
        <w:tc>
          <w:tcPr>
            <w:tcW w:w="2127" w:type="dxa"/>
          </w:tcPr>
          <w:p w14:paraId="2AD90325" w14:textId="77777777" w:rsidR="004543E0" w:rsidRPr="00615D94" w:rsidRDefault="004543E0" w:rsidP="007E3239">
            <w:pPr>
              <w:pStyle w:val="TableText"/>
              <w:keepNext/>
              <w:spacing w:before="40" w:after="40"/>
              <w:rPr>
                <w:rFonts w:cs="Calibri"/>
                <w:szCs w:val="16"/>
              </w:rPr>
            </w:pPr>
            <w:r w:rsidRPr="00615D94">
              <w:rPr>
                <w:rFonts w:cs="Calibri"/>
                <w:szCs w:val="16"/>
              </w:rPr>
              <w:t>Fraction of legume crop residue burning in the field</w:t>
            </w:r>
          </w:p>
        </w:tc>
        <w:tc>
          <w:tcPr>
            <w:tcW w:w="992" w:type="dxa"/>
          </w:tcPr>
          <w:p w14:paraId="625A754F" w14:textId="77777777" w:rsidR="004543E0" w:rsidRPr="00615D94" w:rsidRDefault="004543E0" w:rsidP="007E3239">
            <w:pPr>
              <w:pStyle w:val="TableText"/>
              <w:keepNext/>
              <w:spacing w:before="40" w:after="40"/>
              <w:rPr>
                <w:rFonts w:cs="Calibri"/>
                <w:szCs w:val="16"/>
              </w:rPr>
            </w:pPr>
            <w:r w:rsidRPr="00615D94">
              <w:rPr>
                <w:rFonts w:cs="Calibri"/>
                <w:szCs w:val="16"/>
              </w:rPr>
              <w:t>Frac</w:t>
            </w:r>
            <w:r w:rsidRPr="00615D94">
              <w:rPr>
                <w:rFonts w:cs="Calibri"/>
                <w:szCs w:val="16"/>
                <w:vertAlign w:val="subscript"/>
              </w:rPr>
              <w:t>BURNL</w:t>
            </w:r>
          </w:p>
        </w:tc>
        <w:tc>
          <w:tcPr>
            <w:tcW w:w="1559" w:type="dxa"/>
          </w:tcPr>
          <w:p w14:paraId="435353DB" w14:textId="77777777" w:rsidR="004543E0" w:rsidRPr="00615D94" w:rsidRDefault="004543E0" w:rsidP="007E3239">
            <w:pPr>
              <w:pStyle w:val="TableText"/>
              <w:keepNext/>
              <w:spacing w:before="40" w:after="40"/>
              <w:rPr>
                <w:rFonts w:cs="Calibri"/>
                <w:szCs w:val="16"/>
              </w:rPr>
            </w:pPr>
            <w:r w:rsidRPr="00615D94">
              <w:rPr>
                <w:rFonts w:cs="Calibri"/>
                <w:szCs w:val="16"/>
              </w:rPr>
              <w:t>0 (not burned in NZ)</w:t>
            </w:r>
          </w:p>
        </w:tc>
        <w:tc>
          <w:tcPr>
            <w:tcW w:w="1701" w:type="dxa"/>
          </w:tcPr>
          <w:p w14:paraId="6EC4D192" w14:textId="77777777" w:rsidR="004543E0" w:rsidRPr="00615D94" w:rsidRDefault="004543E0" w:rsidP="007E3239">
            <w:pPr>
              <w:pStyle w:val="TableText"/>
              <w:keepNext/>
              <w:spacing w:before="40" w:after="40"/>
              <w:rPr>
                <w:rFonts w:cs="Calibri"/>
                <w:szCs w:val="16"/>
              </w:rPr>
            </w:pPr>
            <w:r w:rsidRPr="00615D94">
              <w:rPr>
                <w:rFonts w:cs="Calibri"/>
                <w:szCs w:val="16"/>
              </w:rPr>
              <w:t>kg N/kg crop-N</w:t>
            </w:r>
          </w:p>
        </w:tc>
        <w:tc>
          <w:tcPr>
            <w:tcW w:w="2126" w:type="dxa"/>
          </w:tcPr>
          <w:p w14:paraId="0FA8C627" w14:textId="77777777" w:rsidR="004543E0" w:rsidRPr="00615D94" w:rsidRDefault="004543E0" w:rsidP="007E3239">
            <w:pPr>
              <w:pStyle w:val="TableText"/>
              <w:keepNext/>
              <w:spacing w:before="40" w:after="40"/>
              <w:rPr>
                <w:rFonts w:cs="Calibri"/>
                <w:szCs w:val="16"/>
              </w:rPr>
            </w:pPr>
            <w:r w:rsidRPr="00615D94">
              <w:rPr>
                <w:rFonts w:cs="Calibri"/>
                <w:szCs w:val="16"/>
              </w:rPr>
              <w:t xml:space="preserve">Thomas et al. (2008) </w:t>
            </w:r>
          </w:p>
        </w:tc>
      </w:tr>
      <w:tr w:rsidR="004543E0" w:rsidRPr="00615D94" w14:paraId="17E606F4" w14:textId="77777777" w:rsidTr="00615D94">
        <w:tc>
          <w:tcPr>
            <w:tcW w:w="2127" w:type="dxa"/>
          </w:tcPr>
          <w:p w14:paraId="5232753B" w14:textId="77777777" w:rsidR="004543E0" w:rsidRPr="00615D94" w:rsidRDefault="004543E0" w:rsidP="007E3239">
            <w:pPr>
              <w:pStyle w:val="TableText"/>
              <w:spacing w:before="40" w:after="40"/>
              <w:rPr>
                <w:rFonts w:cs="Calibri"/>
                <w:szCs w:val="16"/>
              </w:rPr>
            </w:pPr>
            <w:r w:rsidRPr="00615D94">
              <w:rPr>
                <w:rFonts w:cs="Calibri"/>
                <w:szCs w:val="16"/>
              </w:rPr>
              <w:t>Fraction of land undergoing pasture renewal</w:t>
            </w:r>
          </w:p>
        </w:tc>
        <w:tc>
          <w:tcPr>
            <w:tcW w:w="992" w:type="dxa"/>
          </w:tcPr>
          <w:p w14:paraId="74C846CD" w14:textId="77777777" w:rsidR="004543E0" w:rsidRPr="00615D94" w:rsidRDefault="004543E0" w:rsidP="007E3239">
            <w:pPr>
              <w:pStyle w:val="TableText"/>
              <w:spacing w:before="40" w:after="40"/>
              <w:rPr>
                <w:rFonts w:cs="Calibri"/>
                <w:szCs w:val="16"/>
              </w:rPr>
            </w:pPr>
            <w:r w:rsidRPr="00615D94">
              <w:rPr>
                <w:rFonts w:cs="Calibri"/>
                <w:szCs w:val="16"/>
              </w:rPr>
              <w:t>Frac</w:t>
            </w:r>
            <w:r w:rsidRPr="00615D94">
              <w:rPr>
                <w:rFonts w:cs="Calibri"/>
                <w:szCs w:val="16"/>
                <w:vertAlign w:val="subscript"/>
              </w:rPr>
              <w:t>RENEW</w:t>
            </w:r>
          </w:p>
        </w:tc>
        <w:tc>
          <w:tcPr>
            <w:tcW w:w="1559" w:type="dxa"/>
          </w:tcPr>
          <w:p w14:paraId="425115AB" w14:textId="77777777" w:rsidR="004543E0" w:rsidRPr="00615D94" w:rsidRDefault="004543E0" w:rsidP="007E3239">
            <w:pPr>
              <w:pStyle w:val="TableText"/>
              <w:spacing w:before="40" w:after="40"/>
              <w:rPr>
                <w:rStyle w:val="CommentReference"/>
                <w:rFonts w:cs="Calibri"/>
              </w:rPr>
            </w:pPr>
            <w:r w:rsidRPr="00615D94">
              <w:rPr>
                <w:rStyle w:val="CommentReference"/>
                <w:rFonts w:cs="Calibri"/>
              </w:rPr>
              <w:t>Year-specific</w:t>
            </w:r>
          </w:p>
        </w:tc>
        <w:tc>
          <w:tcPr>
            <w:tcW w:w="1701" w:type="dxa"/>
          </w:tcPr>
          <w:p w14:paraId="3BB909E1" w14:textId="77777777" w:rsidR="004543E0" w:rsidRPr="00615D94" w:rsidRDefault="004543E0" w:rsidP="007E3239">
            <w:pPr>
              <w:pStyle w:val="TableText"/>
              <w:spacing w:before="40" w:after="40"/>
              <w:rPr>
                <w:rFonts w:cs="Calibri"/>
                <w:szCs w:val="16"/>
              </w:rPr>
            </w:pPr>
          </w:p>
        </w:tc>
        <w:tc>
          <w:tcPr>
            <w:tcW w:w="2126" w:type="dxa"/>
          </w:tcPr>
          <w:p w14:paraId="44BCBE86" w14:textId="77777777" w:rsidR="004543E0" w:rsidRPr="00615D94" w:rsidRDefault="004543E0" w:rsidP="007E3239">
            <w:pPr>
              <w:pStyle w:val="TableText"/>
              <w:spacing w:before="40" w:after="40"/>
              <w:rPr>
                <w:rFonts w:cs="Calibri"/>
                <w:szCs w:val="16"/>
              </w:rPr>
            </w:pPr>
            <w:r w:rsidRPr="00615D94">
              <w:rPr>
                <w:rFonts w:cs="Calibri"/>
                <w:szCs w:val="16"/>
              </w:rPr>
              <w:t>Beare et al. (unpublished); Thomas et al. (2014)</w:t>
            </w:r>
          </w:p>
        </w:tc>
      </w:tr>
      <w:tr w:rsidR="004543E0" w:rsidRPr="00615D94" w14:paraId="2649EF6F" w14:textId="77777777" w:rsidTr="00615D94">
        <w:tc>
          <w:tcPr>
            <w:tcW w:w="2127" w:type="dxa"/>
          </w:tcPr>
          <w:p w14:paraId="6EA5842C" w14:textId="77777777" w:rsidR="004543E0" w:rsidRPr="00615D94" w:rsidRDefault="004543E0" w:rsidP="007E3239">
            <w:pPr>
              <w:pStyle w:val="TableText"/>
              <w:spacing w:before="40" w:after="40"/>
              <w:rPr>
                <w:rFonts w:cs="Calibri"/>
                <w:szCs w:val="16"/>
              </w:rPr>
            </w:pPr>
            <w:r w:rsidRPr="00615D94">
              <w:rPr>
                <w:rFonts w:cs="Calibri"/>
                <w:szCs w:val="16"/>
              </w:rPr>
              <w:t>Fraction of nitrogen in above-ground residues removed for bedding, feed or construction</w:t>
            </w:r>
          </w:p>
        </w:tc>
        <w:tc>
          <w:tcPr>
            <w:tcW w:w="992" w:type="dxa"/>
          </w:tcPr>
          <w:p w14:paraId="5ECC7B67" w14:textId="77777777" w:rsidR="004543E0" w:rsidRPr="00615D94" w:rsidRDefault="004543E0" w:rsidP="007E3239">
            <w:pPr>
              <w:pStyle w:val="TableText"/>
              <w:spacing w:before="40" w:after="40"/>
              <w:rPr>
                <w:rFonts w:cs="Calibri"/>
                <w:szCs w:val="16"/>
              </w:rPr>
            </w:pPr>
            <w:r w:rsidRPr="00615D94">
              <w:rPr>
                <w:rFonts w:cs="Calibri"/>
                <w:szCs w:val="16"/>
              </w:rPr>
              <w:t>Frac</w:t>
            </w:r>
            <w:r w:rsidRPr="00615D94">
              <w:rPr>
                <w:rFonts w:cs="Calibri"/>
                <w:szCs w:val="16"/>
                <w:vertAlign w:val="subscript"/>
              </w:rPr>
              <w:t>REMOVE</w:t>
            </w:r>
          </w:p>
        </w:tc>
        <w:tc>
          <w:tcPr>
            <w:tcW w:w="1559" w:type="dxa"/>
          </w:tcPr>
          <w:p w14:paraId="65A6FC27" w14:textId="77777777" w:rsidR="004543E0" w:rsidRPr="00615D94" w:rsidRDefault="004543E0" w:rsidP="007E3239">
            <w:pPr>
              <w:pStyle w:val="TableText"/>
              <w:spacing w:before="40" w:after="40"/>
              <w:rPr>
                <w:rFonts w:cs="Calibri"/>
                <w:szCs w:val="16"/>
              </w:rPr>
            </w:pPr>
            <w:r w:rsidRPr="00615D94">
              <w:rPr>
                <w:rFonts w:cs="Calibri"/>
                <w:szCs w:val="16"/>
              </w:rPr>
              <w:t>0</w:t>
            </w:r>
          </w:p>
        </w:tc>
        <w:tc>
          <w:tcPr>
            <w:tcW w:w="1701" w:type="dxa"/>
          </w:tcPr>
          <w:p w14:paraId="522446EC" w14:textId="77777777" w:rsidR="004543E0" w:rsidRPr="00615D94" w:rsidRDefault="004543E0" w:rsidP="007E3239">
            <w:pPr>
              <w:pStyle w:val="TableText"/>
              <w:spacing w:before="40" w:after="40"/>
              <w:rPr>
                <w:rFonts w:cs="Calibri"/>
                <w:szCs w:val="16"/>
              </w:rPr>
            </w:pPr>
            <w:r w:rsidRPr="00615D94">
              <w:rPr>
                <w:rFonts w:cs="Calibri"/>
                <w:szCs w:val="16"/>
              </w:rPr>
              <w:t>kg N/kg crop-N</w:t>
            </w:r>
          </w:p>
        </w:tc>
        <w:tc>
          <w:tcPr>
            <w:tcW w:w="2126" w:type="dxa"/>
          </w:tcPr>
          <w:p w14:paraId="54C1B502" w14:textId="77777777" w:rsidR="004543E0" w:rsidRPr="00615D94" w:rsidRDefault="004543E0" w:rsidP="007E3239">
            <w:pPr>
              <w:pStyle w:val="TableText"/>
              <w:spacing w:before="40" w:after="40"/>
              <w:rPr>
                <w:rFonts w:cs="Calibri"/>
                <w:szCs w:val="16"/>
              </w:rPr>
            </w:pPr>
            <w:r w:rsidRPr="00615D94">
              <w:rPr>
                <w:rFonts w:cs="Calibri"/>
                <w:szCs w:val="16"/>
              </w:rPr>
              <w:t>Thomas et al. (2014)</w:t>
            </w:r>
          </w:p>
        </w:tc>
      </w:tr>
    </w:tbl>
    <w:p w14:paraId="7D7349C4" w14:textId="77777777" w:rsidR="004543E0" w:rsidRPr="009660EC" w:rsidRDefault="004543E0" w:rsidP="004543E0">
      <w:pPr>
        <w:pStyle w:val="Table"/>
        <w:spacing w:before="240"/>
        <w:rPr>
          <w:rFonts w:cs="Calibri"/>
        </w:rPr>
      </w:pPr>
      <w:bookmarkStart w:id="979" w:name="_Toc441830882"/>
      <w:bookmarkStart w:id="980" w:name="_Toc451176096"/>
      <w:bookmarkStart w:id="981" w:name="_Toc481751524"/>
      <w:bookmarkStart w:id="982" w:name="_Toc507158612"/>
      <w:bookmarkStart w:id="983" w:name="_Toc511116746"/>
      <w:bookmarkStart w:id="984" w:name="_Toc5269488"/>
      <w:bookmarkStart w:id="985" w:name="_Toc32570931"/>
      <w:bookmarkStart w:id="986" w:name="_Toc36224566"/>
      <w:bookmarkStart w:id="987" w:name="_Toc68786451"/>
      <w:bookmarkStart w:id="988" w:name="_Toc95574084"/>
      <w:bookmarkStart w:id="989" w:name="_Toc99659257"/>
      <w:r w:rsidRPr="009660EC">
        <w:rPr>
          <w:rFonts w:cs="Calibri"/>
        </w:rPr>
        <w:lastRenderedPageBreak/>
        <w:t>Table 5.5.5</w:t>
      </w:r>
      <w:r w:rsidRPr="009660EC">
        <w:rPr>
          <w:rFonts w:cs="Calibri"/>
        </w:rPr>
        <w:tab/>
        <w:t>Emission factors and parameter values for use of mitigation technologies</w:t>
      </w:r>
      <w:bookmarkEnd w:id="979"/>
      <w:bookmarkEnd w:id="980"/>
      <w:bookmarkEnd w:id="981"/>
      <w:bookmarkEnd w:id="982"/>
      <w:bookmarkEnd w:id="983"/>
      <w:bookmarkEnd w:id="984"/>
      <w:bookmarkEnd w:id="985"/>
      <w:bookmarkEnd w:id="986"/>
      <w:bookmarkEnd w:id="987"/>
      <w:bookmarkEnd w:id="988"/>
      <w:bookmarkEnd w:id="989"/>
    </w:p>
    <w:tbl>
      <w:tblPr>
        <w:tblW w:w="8505" w:type="dxa"/>
        <w:tblInd w:w="113" w:type="dxa"/>
        <w:tblBorders>
          <w:top w:val="single" w:sz="4" w:space="0" w:color="365F91"/>
          <w:bottom w:val="single" w:sz="4" w:space="0" w:color="365F91"/>
          <w:insideH w:val="single" w:sz="4" w:space="0" w:color="365F91"/>
        </w:tblBorders>
        <w:tblLayout w:type="fixed"/>
        <w:tblLook w:val="01E0" w:firstRow="1" w:lastRow="1" w:firstColumn="1" w:lastColumn="1" w:noHBand="0" w:noVBand="0"/>
      </w:tblPr>
      <w:tblGrid>
        <w:gridCol w:w="4786"/>
        <w:gridCol w:w="1268"/>
        <w:gridCol w:w="845"/>
        <w:gridCol w:w="1606"/>
      </w:tblGrid>
      <w:tr w:rsidR="004543E0" w:rsidRPr="009660EC" w14:paraId="59E21733" w14:textId="77777777" w:rsidTr="00615D94">
        <w:trPr>
          <w:tblHeader/>
        </w:trPr>
        <w:tc>
          <w:tcPr>
            <w:tcW w:w="4820" w:type="dxa"/>
            <w:tcBorders>
              <w:top w:val="single" w:sz="4" w:space="0" w:color="44546A"/>
              <w:bottom w:val="single" w:sz="4" w:space="0" w:color="44546A"/>
            </w:tcBorders>
            <w:shd w:val="clear" w:color="auto" w:fill="1B556B"/>
            <w:vAlign w:val="bottom"/>
          </w:tcPr>
          <w:p w14:paraId="4AE1D93E" w14:textId="77777777" w:rsidR="004543E0" w:rsidRPr="004543E0" w:rsidRDefault="004543E0" w:rsidP="007E3239">
            <w:pPr>
              <w:pStyle w:val="TableTextBold"/>
              <w:keepNext/>
              <w:rPr>
                <w:noProof w:val="0"/>
                <w:color w:val="FFFFFF"/>
              </w:rPr>
            </w:pPr>
            <w:r w:rsidRPr="004543E0">
              <w:rPr>
                <w:noProof w:val="0"/>
                <w:color w:val="FFFFFF"/>
              </w:rPr>
              <w:t>Category</w:t>
            </w:r>
          </w:p>
        </w:tc>
        <w:tc>
          <w:tcPr>
            <w:tcW w:w="2126" w:type="dxa"/>
            <w:gridSpan w:val="2"/>
            <w:tcBorders>
              <w:top w:val="single" w:sz="4" w:space="0" w:color="44546A"/>
              <w:bottom w:val="single" w:sz="4" w:space="0" w:color="44546A"/>
            </w:tcBorders>
            <w:shd w:val="clear" w:color="auto" w:fill="1B556B"/>
            <w:vAlign w:val="bottom"/>
          </w:tcPr>
          <w:p w14:paraId="5557EEDF" w14:textId="77777777" w:rsidR="004543E0" w:rsidRPr="004543E0" w:rsidRDefault="004543E0" w:rsidP="007E3239">
            <w:pPr>
              <w:pStyle w:val="TableTextBold"/>
              <w:keepNext/>
              <w:jc w:val="center"/>
              <w:rPr>
                <w:noProof w:val="0"/>
                <w:color w:val="FFFFFF"/>
              </w:rPr>
            </w:pPr>
            <w:r w:rsidRPr="004543E0">
              <w:rPr>
                <w:noProof w:val="0"/>
                <w:color w:val="FFFFFF"/>
              </w:rPr>
              <w:t>Parameter and value (%)</w:t>
            </w:r>
          </w:p>
        </w:tc>
        <w:tc>
          <w:tcPr>
            <w:tcW w:w="1616" w:type="dxa"/>
            <w:tcBorders>
              <w:top w:val="single" w:sz="4" w:space="0" w:color="44546A"/>
              <w:bottom w:val="single" w:sz="4" w:space="0" w:color="44546A"/>
            </w:tcBorders>
            <w:shd w:val="clear" w:color="auto" w:fill="1B556B"/>
            <w:vAlign w:val="bottom"/>
          </w:tcPr>
          <w:p w14:paraId="2973C890" w14:textId="77777777" w:rsidR="004543E0" w:rsidRPr="004543E0" w:rsidRDefault="004543E0" w:rsidP="007E3239">
            <w:pPr>
              <w:pStyle w:val="TableTextBold"/>
              <w:keepNext/>
              <w:jc w:val="center"/>
              <w:rPr>
                <w:noProof w:val="0"/>
                <w:color w:val="FFFFFF"/>
              </w:rPr>
            </w:pPr>
            <w:r w:rsidRPr="004543E0">
              <w:rPr>
                <w:noProof w:val="0"/>
                <w:color w:val="FFFFFF"/>
              </w:rPr>
              <w:t>Source</w:t>
            </w:r>
          </w:p>
        </w:tc>
      </w:tr>
      <w:tr w:rsidR="004543E0" w:rsidRPr="009660EC" w14:paraId="0708C3E1" w14:textId="77777777" w:rsidTr="00615D94">
        <w:tc>
          <w:tcPr>
            <w:tcW w:w="4820" w:type="dxa"/>
            <w:tcBorders>
              <w:top w:val="single" w:sz="4" w:space="0" w:color="44546A"/>
            </w:tcBorders>
          </w:tcPr>
          <w:p w14:paraId="51A0E607" w14:textId="77777777" w:rsidR="004543E0" w:rsidRPr="009660EC" w:rsidRDefault="004543E0" w:rsidP="007E3239">
            <w:pPr>
              <w:pStyle w:val="TableText"/>
              <w:spacing w:before="40" w:after="40"/>
              <w:rPr>
                <w:rFonts w:cs="Calibri"/>
              </w:rPr>
            </w:pPr>
            <w:r w:rsidRPr="009660EC">
              <w:rPr>
                <w:rFonts w:cs="Calibri"/>
              </w:rPr>
              <w:t>Urine from grazing dairy cattle in pasture, range and paddock systems with application of dicyandiamide (DCD)</w:t>
            </w:r>
          </w:p>
        </w:tc>
        <w:tc>
          <w:tcPr>
            <w:tcW w:w="1276" w:type="dxa"/>
            <w:tcBorders>
              <w:top w:val="single" w:sz="4" w:space="0" w:color="44546A"/>
            </w:tcBorders>
          </w:tcPr>
          <w:p w14:paraId="24A586F7" w14:textId="77777777" w:rsidR="004543E0" w:rsidRPr="009660EC" w:rsidRDefault="004543E0" w:rsidP="007E3239">
            <w:pPr>
              <w:pStyle w:val="TableText"/>
              <w:spacing w:before="40" w:after="40"/>
              <w:rPr>
                <w:rFonts w:cs="Calibri"/>
              </w:rPr>
            </w:pPr>
            <w:r w:rsidRPr="009660EC">
              <w:rPr>
                <w:rFonts w:cs="Calibri"/>
              </w:rPr>
              <w:t>EF</w:t>
            </w:r>
            <w:r w:rsidRPr="009660EC">
              <w:rPr>
                <w:rFonts w:cs="Calibri"/>
                <w:vertAlign w:val="subscript"/>
              </w:rPr>
              <w:t>3(PRP-DCD)</w:t>
            </w:r>
          </w:p>
        </w:tc>
        <w:tc>
          <w:tcPr>
            <w:tcW w:w="850" w:type="dxa"/>
            <w:tcBorders>
              <w:top w:val="single" w:sz="4" w:space="0" w:color="44546A"/>
            </w:tcBorders>
          </w:tcPr>
          <w:p w14:paraId="7D378532" w14:textId="77777777" w:rsidR="004543E0" w:rsidRPr="009660EC" w:rsidRDefault="004543E0" w:rsidP="007E3239">
            <w:pPr>
              <w:pStyle w:val="TableText"/>
              <w:spacing w:before="40" w:after="40"/>
              <w:rPr>
                <w:rFonts w:cs="Calibri"/>
              </w:rPr>
            </w:pPr>
            <w:r w:rsidRPr="009660EC">
              <w:rPr>
                <w:rFonts w:cs="Calibri"/>
              </w:rPr>
              <w:t>0.67</w:t>
            </w:r>
          </w:p>
        </w:tc>
        <w:tc>
          <w:tcPr>
            <w:tcW w:w="1616" w:type="dxa"/>
            <w:tcBorders>
              <w:top w:val="single" w:sz="4" w:space="0" w:color="44546A"/>
            </w:tcBorders>
          </w:tcPr>
          <w:p w14:paraId="55FDDCB4" w14:textId="77777777" w:rsidR="004543E0" w:rsidRPr="009660EC" w:rsidRDefault="004543E0" w:rsidP="007E3239">
            <w:pPr>
              <w:pStyle w:val="TableText"/>
              <w:spacing w:before="40" w:after="40"/>
              <w:rPr>
                <w:rFonts w:cs="Calibri"/>
              </w:rPr>
            </w:pPr>
            <w:r w:rsidRPr="009660EC">
              <w:rPr>
                <w:rFonts w:cs="Calibri"/>
              </w:rPr>
              <w:t>Clough et al. (2008)</w:t>
            </w:r>
          </w:p>
        </w:tc>
      </w:tr>
      <w:tr w:rsidR="004543E0" w:rsidRPr="009660EC" w14:paraId="3908F0DE" w14:textId="77777777" w:rsidTr="00615D94">
        <w:tc>
          <w:tcPr>
            <w:tcW w:w="4820" w:type="dxa"/>
          </w:tcPr>
          <w:p w14:paraId="764F4416" w14:textId="77777777" w:rsidR="004543E0" w:rsidRPr="009660EC" w:rsidRDefault="004543E0" w:rsidP="007E3239">
            <w:pPr>
              <w:pStyle w:val="TableText"/>
              <w:spacing w:before="40" w:after="40"/>
              <w:rPr>
                <w:rFonts w:cs="Calibri"/>
              </w:rPr>
            </w:pPr>
            <w:r w:rsidRPr="009660EC">
              <w:rPr>
                <w:rFonts w:cs="Calibri"/>
              </w:rPr>
              <w:t>Fraction of nitrogen from leaching and runoff with application of DCD</w:t>
            </w:r>
          </w:p>
        </w:tc>
        <w:tc>
          <w:tcPr>
            <w:tcW w:w="1276" w:type="dxa"/>
          </w:tcPr>
          <w:p w14:paraId="59F3E66B" w14:textId="77777777" w:rsidR="004543E0" w:rsidRPr="009660EC" w:rsidRDefault="004543E0" w:rsidP="007E3239">
            <w:pPr>
              <w:pStyle w:val="TableText"/>
              <w:spacing w:before="40" w:after="40"/>
              <w:rPr>
                <w:rFonts w:cs="Calibri"/>
              </w:rPr>
            </w:pPr>
            <w:r w:rsidRPr="009660EC">
              <w:rPr>
                <w:rFonts w:cs="Calibri"/>
              </w:rPr>
              <w:t>Frac</w:t>
            </w:r>
            <w:r w:rsidRPr="009660EC">
              <w:rPr>
                <w:rFonts w:cs="Calibri"/>
                <w:vertAlign w:val="subscript"/>
              </w:rPr>
              <w:t>LEACH – (H)-DCD</w:t>
            </w:r>
          </w:p>
        </w:tc>
        <w:tc>
          <w:tcPr>
            <w:tcW w:w="850" w:type="dxa"/>
          </w:tcPr>
          <w:p w14:paraId="7CDB7C65" w14:textId="77777777" w:rsidR="004543E0" w:rsidRPr="009660EC" w:rsidRDefault="004543E0" w:rsidP="007E3239">
            <w:pPr>
              <w:pStyle w:val="TableText"/>
              <w:spacing w:before="40" w:after="40"/>
              <w:rPr>
                <w:rFonts w:cs="Calibri"/>
              </w:rPr>
            </w:pPr>
            <w:r w:rsidRPr="009660EC">
              <w:rPr>
                <w:rFonts w:cs="Calibri"/>
              </w:rPr>
              <w:t>0.53</w:t>
            </w:r>
          </w:p>
        </w:tc>
        <w:tc>
          <w:tcPr>
            <w:tcW w:w="1616" w:type="dxa"/>
          </w:tcPr>
          <w:p w14:paraId="0B40339E" w14:textId="77777777" w:rsidR="004543E0" w:rsidRPr="009660EC" w:rsidRDefault="004543E0" w:rsidP="007E3239">
            <w:pPr>
              <w:pStyle w:val="TableText"/>
              <w:spacing w:before="40" w:after="40"/>
              <w:rPr>
                <w:rFonts w:cs="Calibri"/>
              </w:rPr>
            </w:pPr>
            <w:r w:rsidRPr="009660EC">
              <w:rPr>
                <w:rFonts w:cs="Calibri"/>
              </w:rPr>
              <w:t>Clough et al. (2008)</w:t>
            </w:r>
          </w:p>
        </w:tc>
      </w:tr>
      <w:tr w:rsidR="004543E0" w:rsidRPr="009660EC" w14:paraId="1F127C28" w14:textId="77777777" w:rsidTr="00615D94">
        <w:tc>
          <w:tcPr>
            <w:tcW w:w="4820" w:type="dxa"/>
          </w:tcPr>
          <w:p w14:paraId="270D3E88" w14:textId="77777777" w:rsidR="004543E0" w:rsidRPr="009660EC" w:rsidRDefault="004543E0" w:rsidP="007E3239">
            <w:pPr>
              <w:pStyle w:val="TableText"/>
              <w:spacing w:before="40" w:after="40"/>
              <w:rPr>
                <w:rFonts w:cs="Calibri"/>
              </w:rPr>
            </w:pPr>
            <w:r w:rsidRPr="009660EC">
              <w:rPr>
                <w:rFonts w:cs="Calibri"/>
              </w:rPr>
              <w:t>Volatilisation from synthetic nitrogen fertiliser coated with urease inhibitor (nBTPT)</w:t>
            </w:r>
          </w:p>
        </w:tc>
        <w:tc>
          <w:tcPr>
            <w:tcW w:w="1276" w:type="dxa"/>
          </w:tcPr>
          <w:p w14:paraId="42249EA1" w14:textId="77777777" w:rsidR="004543E0" w:rsidRPr="009660EC" w:rsidRDefault="004543E0" w:rsidP="007E3239">
            <w:pPr>
              <w:pStyle w:val="TableText"/>
              <w:spacing w:before="40" w:after="40"/>
              <w:rPr>
                <w:rFonts w:cs="Calibri"/>
              </w:rPr>
            </w:pPr>
            <w:r w:rsidRPr="009660EC">
              <w:rPr>
                <w:rFonts w:cs="Calibri"/>
              </w:rPr>
              <w:t>Frac</w:t>
            </w:r>
            <w:r w:rsidRPr="009660EC">
              <w:rPr>
                <w:rFonts w:cs="Calibri"/>
                <w:vertAlign w:val="subscript"/>
              </w:rPr>
              <w:t>GASF-UI</w:t>
            </w:r>
          </w:p>
        </w:tc>
        <w:tc>
          <w:tcPr>
            <w:tcW w:w="850" w:type="dxa"/>
          </w:tcPr>
          <w:p w14:paraId="11E65B4F" w14:textId="77777777" w:rsidR="004543E0" w:rsidRPr="009660EC" w:rsidRDefault="004543E0" w:rsidP="007E3239">
            <w:pPr>
              <w:pStyle w:val="TableText"/>
              <w:spacing w:before="40" w:after="40"/>
              <w:rPr>
                <w:rFonts w:cs="Calibri"/>
              </w:rPr>
            </w:pPr>
            <w:r w:rsidRPr="009660EC">
              <w:rPr>
                <w:rFonts w:cs="Calibri"/>
              </w:rPr>
              <w:t>0.055</w:t>
            </w:r>
          </w:p>
        </w:tc>
        <w:tc>
          <w:tcPr>
            <w:tcW w:w="1616" w:type="dxa"/>
          </w:tcPr>
          <w:p w14:paraId="4D49B0DA" w14:textId="77777777" w:rsidR="004543E0" w:rsidRPr="009660EC" w:rsidRDefault="004543E0" w:rsidP="007E3239">
            <w:pPr>
              <w:pStyle w:val="TableText"/>
              <w:spacing w:before="40" w:after="40"/>
              <w:rPr>
                <w:rFonts w:cs="Calibri"/>
              </w:rPr>
            </w:pPr>
            <w:r w:rsidRPr="009660EC">
              <w:rPr>
                <w:rFonts w:cs="Calibri"/>
              </w:rPr>
              <w:t>Saggar et al. (2013)</w:t>
            </w:r>
          </w:p>
        </w:tc>
      </w:tr>
    </w:tbl>
    <w:p w14:paraId="2331BFA8" w14:textId="77777777" w:rsidR="004543E0" w:rsidRPr="009660EC" w:rsidRDefault="004543E0" w:rsidP="004543E0">
      <w:pPr>
        <w:pStyle w:val="Heading4"/>
        <w:spacing w:before="360"/>
      </w:pPr>
      <w:r w:rsidRPr="009660EC">
        <w:t>Direct nitrous oxide emissions from managed soils (CRF 3.D.1)</w:t>
      </w:r>
    </w:p>
    <w:p w14:paraId="4692618E" w14:textId="77777777" w:rsidR="004543E0" w:rsidRPr="009660EC" w:rsidRDefault="004543E0" w:rsidP="004543E0">
      <w:pPr>
        <w:pStyle w:val="BodyText"/>
        <w:spacing w:after="100"/>
        <w:rPr>
          <w:rFonts w:cs="Calibri"/>
        </w:rPr>
      </w:pPr>
      <w:r w:rsidRPr="009660EC">
        <w:rPr>
          <w:rFonts w:cs="Calibri"/>
        </w:rPr>
        <w:t xml:space="preserve">Emissions from the </w:t>
      </w:r>
      <w:r w:rsidRPr="009660EC">
        <w:rPr>
          <w:rFonts w:cs="Calibri"/>
          <w:i/>
          <w:iCs/>
        </w:rPr>
        <w:t>Direct N</w:t>
      </w:r>
      <w:r w:rsidRPr="009660EC">
        <w:rPr>
          <w:rFonts w:cs="Calibri"/>
          <w:i/>
          <w:iCs/>
          <w:vertAlign w:val="subscript"/>
        </w:rPr>
        <w:t>2</w:t>
      </w:r>
      <w:r w:rsidRPr="009660EC">
        <w:rPr>
          <w:rFonts w:cs="Calibri"/>
          <w:i/>
          <w:iCs/>
        </w:rPr>
        <w:t xml:space="preserve">O emissions from managed soils </w:t>
      </w:r>
      <w:r w:rsidRPr="009660EC">
        <w:rPr>
          <w:rFonts w:cs="Calibri"/>
        </w:rPr>
        <w:t xml:space="preserve">category arise from: </w:t>
      </w:r>
    </w:p>
    <w:p w14:paraId="78B55009" w14:textId="77777777" w:rsidR="004543E0" w:rsidRPr="009660EC" w:rsidRDefault="004543E0" w:rsidP="00AB2A5C">
      <w:pPr>
        <w:pStyle w:val="Bullet"/>
        <w:numPr>
          <w:ilvl w:val="0"/>
          <w:numId w:val="18"/>
        </w:numPr>
        <w:spacing w:after="100"/>
      </w:pPr>
      <w:r w:rsidRPr="009660EC">
        <w:t>synthetic nitrogen fertiliser use (F</w:t>
      </w:r>
      <w:r w:rsidRPr="009660EC">
        <w:rPr>
          <w:vertAlign w:val="subscript"/>
        </w:rPr>
        <w:t>SN</w:t>
      </w:r>
      <w:r w:rsidRPr="009660EC">
        <w:t>)</w:t>
      </w:r>
    </w:p>
    <w:p w14:paraId="5ECC6619" w14:textId="77777777" w:rsidR="004543E0" w:rsidRPr="009660EC" w:rsidRDefault="004543E0" w:rsidP="00AB2A5C">
      <w:pPr>
        <w:pStyle w:val="Bullet"/>
        <w:numPr>
          <w:ilvl w:val="0"/>
          <w:numId w:val="18"/>
        </w:numPr>
        <w:spacing w:after="100"/>
      </w:pPr>
      <w:r w:rsidRPr="009660EC">
        <w:t>organic fertilisers (which in New Zealand are solely the spreading of animal manure, F</w:t>
      </w:r>
      <w:r w:rsidRPr="009660EC">
        <w:rPr>
          <w:vertAlign w:val="subscript"/>
        </w:rPr>
        <w:t>AM</w:t>
      </w:r>
      <w:r w:rsidRPr="009660EC">
        <w:t>)</w:t>
      </w:r>
    </w:p>
    <w:p w14:paraId="6275BE99" w14:textId="77777777" w:rsidR="004543E0" w:rsidRPr="009660EC" w:rsidRDefault="004543E0" w:rsidP="00AB2A5C">
      <w:pPr>
        <w:pStyle w:val="Bullet"/>
        <w:numPr>
          <w:ilvl w:val="0"/>
          <w:numId w:val="18"/>
        </w:numPr>
        <w:spacing w:after="100"/>
      </w:pPr>
      <w:r w:rsidRPr="009660EC">
        <w:t>manure deposited by grazing livestock in pasture, range and paddock (F</w:t>
      </w:r>
      <w:r w:rsidRPr="009660EC">
        <w:rPr>
          <w:vertAlign w:val="subscript"/>
        </w:rPr>
        <w:t>PRP</w:t>
      </w:r>
      <w:r w:rsidRPr="009660EC">
        <w:t>)</w:t>
      </w:r>
    </w:p>
    <w:p w14:paraId="5A1DD48A" w14:textId="77777777" w:rsidR="004543E0" w:rsidRPr="009660EC" w:rsidRDefault="004543E0" w:rsidP="00AB2A5C">
      <w:pPr>
        <w:pStyle w:val="Bullet"/>
        <w:numPr>
          <w:ilvl w:val="0"/>
          <w:numId w:val="18"/>
        </w:numPr>
        <w:spacing w:after="100"/>
      </w:pPr>
      <w:r w:rsidRPr="009660EC">
        <w:t>decomposition of crop residues left on fields (F</w:t>
      </w:r>
      <w:r w:rsidRPr="009660EC">
        <w:rPr>
          <w:vertAlign w:val="subscript"/>
        </w:rPr>
        <w:t>CR</w:t>
      </w:r>
      <w:r w:rsidRPr="009660EC">
        <w:t>)</w:t>
      </w:r>
    </w:p>
    <w:p w14:paraId="456F8D9F" w14:textId="77777777" w:rsidR="004543E0" w:rsidRPr="009660EC" w:rsidRDefault="004543E0" w:rsidP="00AB2A5C">
      <w:pPr>
        <w:pStyle w:val="Bullet"/>
        <w:numPr>
          <w:ilvl w:val="0"/>
          <w:numId w:val="18"/>
        </w:numPr>
        <w:spacing w:after="100"/>
      </w:pPr>
      <w:r w:rsidRPr="009660EC">
        <w:t>nitrogen mineralisation associated with loss of soil organic matter (F</w:t>
      </w:r>
      <w:r w:rsidRPr="009660EC">
        <w:rPr>
          <w:vertAlign w:val="subscript"/>
        </w:rPr>
        <w:t>SOM</w:t>
      </w:r>
      <w:r w:rsidRPr="009660EC">
        <w:t>)</w:t>
      </w:r>
    </w:p>
    <w:p w14:paraId="6398DE48" w14:textId="77777777" w:rsidR="004543E0" w:rsidRPr="009660EC" w:rsidRDefault="004543E0" w:rsidP="00AB2A5C">
      <w:pPr>
        <w:pStyle w:val="Bullet"/>
        <w:numPr>
          <w:ilvl w:val="0"/>
          <w:numId w:val="18"/>
        </w:numPr>
      </w:pPr>
      <w:r w:rsidRPr="009660EC">
        <w:t>cultivation of organic soils.</w:t>
      </w:r>
    </w:p>
    <w:p w14:paraId="7A9461F8" w14:textId="77777777" w:rsidR="004543E0" w:rsidRPr="009660EC" w:rsidRDefault="004543E0" w:rsidP="004543E0">
      <w:pPr>
        <w:pStyle w:val="BodyText"/>
      </w:pPr>
      <w:r w:rsidRPr="009660EC">
        <w:t>Many of these sources of emissions</w:t>
      </w:r>
      <w:r w:rsidRPr="009660EC" w:rsidDel="00A44CC2">
        <w:t xml:space="preserve"> </w:t>
      </w:r>
      <w:r w:rsidRPr="009660EC">
        <w:t>have N</w:t>
      </w:r>
      <w:r w:rsidRPr="009660EC">
        <w:rPr>
          <w:vertAlign w:val="subscript"/>
        </w:rPr>
        <w:t>2</w:t>
      </w:r>
      <w:r w:rsidRPr="009660EC">
        <w:t>O emissions from indirect pathways as well, and these calculations are described in detail in the section on indirect N</w:t>
      </w:r>
      <w:r w:rsidRPr="009660EC">
        <w:rPr>
          <w:vertAlign w:val="subscript"/>
        </w:rPr>
        <w:t>2</w:t>
      </w:r>
      <w:r w:rsidRPr="009660EC">
        <w:t xml:space="preserve">O emissions from </w:t>
      </w:r>
      <w:r w:rsidRPr="009660EC">
        <w:rPr>
          <w:i/>
          <w:iCs/>
        </w:rPr>
        <w:t>Agricultural soils</w:t>
      </w:r>
      <w:r w:rsidRPr="009660EC">
        <w:t xml:space="preserve">. </w:t>
      </w:r>
    </w:p>
    <w:p w14:paraId="297F63ED" w14:textId="77777777" w:rsidR="004543E0" w:rsidRPr="009660EC" w:rsidRDefault="004543E0" w:rsidP="004543E0">
      <w:pPr>
        <w:pStyle w:val="BodyText"/>
        <w:spacing w:before="100" w:after="100"/>
      </w:pPr>
      <w:r w:rsidRPr="009660EC">
        <w:t>Emissions from the non-manure components of organic fertilisers (F</w:t>
      </w:r>
      <w:r w:rsidRPr="009660EC">
        <w:rPr>
          <w:vertAlign w:val="subscript"/>
        </w:rPr>
        <w:t>ON</w:t>
      </w:r>
      <w:r w:rsidRPr="009660EC">
        <w:t xml:space="preserve">) are not estimated in New Zealand’s inventory because they have been found to be insignificant. New Zealand commissioned research to review sources of organic waste and found that they are not of significant volume in New Zealand (van der Weerden et al., 2014). These components include sources such as dairy processing wastewater, compost sold to the rural sector, meat processing wastewater sand sludge, grape marc from the wine industry and vegetable processing wastewater applied to land. </w:t>
      </w:r>
    </w:p>
    <w:p w14:paraId="17294641" w14:textId="77777777" w:rsidR="004543E0" w:rsidRPr="009660EC" w:rsidRDefault="004543E0" w:rsidP="004543E0">
      <w:pPr>
        <w:pStyle w:val="BodyText"/>
        <w:spacing w:before="100" w:after="100"/>
      </w:pPr>
      <w:r w:rsidRPr="009660EC">
        <w:t>New Zealand’s methodology for determining the values for nitrogen inputs to soils for F</w:t>
      </w:r>
      <w:r w:rsidRPr="009660EC">
        <w:rPr>
          <w:vertAlign w:val="subscript"/>
        </w:rPr>
        <w:t>AM</w:t>
      </w:r>
      <w:r w:rsidRPr="009660EC">
        <w:t xml:space="preserve"> and F</w:t>
      </w:r>
      <w:r w:rsidRPr="009660EC">
        <w:rPr>
          <w:vertAlign w:val="subscript"/>
        </w:rPr>
        <w:t>PRP</w:t>
      </w:r>
      <w:r w:rsidRPr="009660EC">
        <w:t xml:space="preserve"> is consistent with other parts of the inventory. The underlying values for N</w:t>
      </w:r>
      <w:r w:rsidRPr="009660EC">
        <w:rPr>
          <w:vertAlign w:val="subscript"/>
        </w:rPr>
        <w:t>ex</w:t>
      </w:r>
      <w:r w:rsidRPr="009660EC">
        <w:t xml:space="preserve"> and for the allocation of excreta to animal waste management systems are the same as in the </w:t>
      </w:r>
      <w:r w:rsidRPr="009660EC">
        <w:rPr>
          <w:i/>
          <w:iCs/>
        </w:rPr>
        <w:t>Manure management</w:t>
      </w:r>
      <w:r w:rsidRPr="009660EC">
        <w:t xml:space="preserve"> category. These N</w:t>
      </w:r>
      <w:r w:rsidRPr="009660EC">
        <w:rPr>
          <w:vertAlign w:val="subscript"/>
        </w:rPr>
        <w:t>ex</w:t>
      </w:r>
      <w:r w:rsidRPr="009660EC">
        <w:t xml:space="preserve"> values have been calculated based on the same animal intake and animal productivity values used for calculating CH</w:t>
      </w:r>
      <w:r w:rsidRPr="009660EC">
        <w:rPr>
          <w:vertAlign w:val="subscript"/>
        </w:rPr>
        <w:t>4</w:t>
      </w:r>
      <w:r w:rsidRPr="009660EC">
        <w:t xml:space="preserve"> emissions for the different animal categories and species in the Tier 2 model (see section 5.1.3). This ensures the same base DMI values are used for both the CH</w:t>
      </w:r>
      <w:r w:rsidRPr="009660EC">
        <w:rPr>
          <w:vertAlign w:val="subscript"/>
        </w:rPr>
        <w:t>4</w:t>
      </w:r>
      <w:r w:rsidRPr="009660EC">
        <w:t xml:space="preserve"> and N</w:t>
      </w:r>
      <w:r w:rsidRPr="009660EC">
        <w:rPr>
          <w:vertAlign w:val="subscript"/>
        </w:rPr>
        <w:t>2</w:t>
      </w:r>
      <w:r w:rsidRPr="009660EC">
        <w:t>O emission calculations. Further details can be found in the inventory methodology document on the MPI website (</w:t>
      </w:r>
      <w:hyperlink r:id="rId134" w:history="1">
        <w:r w:rsidRPr="009660EC">
          <w:rPr>
            <w:rStyle w:val="Hyperlink"/>
          </w:rPr>
          <w:t>www.mpi.govt.nz/dmsdocument/13906-detailed-methodologies-for-agricultural-greenhouse-gas-emission-calculation</w:t>
        </w:r>
      </w:hyperlink>
      <w:r w:rsidRPr="009660EC">
        <w:t>).</w:t>
      </w:r>
    </w:p>
    <w:p w14:paraId="2578E636" w14:textId="77777777" w:rsidR="004543E0" w:rsidRPr="009660EC" w:rsidRDefault="004543E0" w:rsidP="004543E0">
      <w:pPr>
        <w:pStyle w:val="Heading5"/>
        <w:spacing w:before="160"/>
        <w:rPr>
          <w:rFonts w:cs="Calibri"/>
        </w:rPr>
      </w:pPr>
      <w:r w:rsidRPr="009660EC">
        <w:rPr>
          <w:rFonts w:cs="Calibri"/>
        </w:rPr>
        <w:t>Synthetic nitrogen fertiliser (CRF 3.D.1.1)</w:t>
      </w:r>
    </w:p>
    <w:p w14:paraId="2A245ABE" w14:textId="77777777" w:rsidR="004543E0" w:rsidRPr="009660EC" w:rsidRDefault="004543E0" w:rsidP="004543E0">
      <w:pPr>
        <w:pStyle w:val="BodyText"/>
        <w:spacing w:before="80" w:after="100"/>
      </w:pPr>
      <w:r w:rsidRPr="009660EC">
        <w:t>Anthropogenic N</w:t>
      </w:r>
      <w:r w:rsidRPr="009660EC">
        <w:rPr>
          <w:vertAlign w:val="subscript"/>
        </w:rPr>
        <w:t>2</w:t>
      </w:r>
      <w:r w:rsidRPr="009660EC">
        <w:t>O emissions from synthetic nitrogen fertiliser are a relatively small proportion of total N</w:t>
      </w:r>
      <w:r w:rsidRPr="009660EC">
        <w:rPr>
          <w:vertAlign w:val="subscript"/>
        </w:rPr>
        <w:t>2</w:t>
      </w:r>
      <w:r w:rsidRPr="009660EC">
        <w:t xml:space="preserve">O emissions, but they have grown significantly since 1990. Most synthetic nitrogen fertiliser used in New Zealand is urea fertiliser applied to dairy pasture land to increase pasture growth during spring (September to November) and autumn (March to May). </w:t>
      </w:r>
    </w:p>
    <w:p w14:paraId="4FB9FC8B" w14:textId="77777777" w:rsidR="004543E0" w:rsidRPr="009660EC" w:rsidRDefault="004543E0" w:rsidP="004543E0">
      <w:pPr>
        <w:pStyle w:val="BodyText"/>
      </w:pPr>
      <w:r w:rsidRPr="009660EC">
        <w:t>In accordance with IPCC Guidelines (IPCC, 2006), the following equation is used to determine direct N</w:t>
      </w:r>
      <w:r w:rsidRPr="009660EC">
        <w:rPr>
          <w:vertAlign w:val="subscript"/>
        </w:rPr>
        <w:t>2</w:t>
      </w:r>
      <w:r w:rsidRPr="009660EC">
        <w:t xml:space="preserve">O emissions from the application of nitrogen-based fertiliser: </w:t>
      </w:r>
    </w:p>
    <w:bookmarkStart w:id="990" w:name="_MON_1546322146"/>
    <w:bookmarkEnd w:id="990"/>
    <w:p w14:paraId="2D1A5250" w14:textId="77777777" w:rsidR="004543E0" w:rsidRPr="009660EC" w:rsidRDefault="004543E0" w:rsidP="004543E0">
      <w:pPr>
        <w:pStyle w:val="BodyText"/>
        <w:spacing w:before="0" w:after="80"/>
        <w:rPr>
          <w:rFonts w:cs="Calibri"/>
        </w:rPr>
      </w:pPr>
      <w:r w:rsidRPr="009660EC">
        <w:rPr>
          <w:rFonts w:cs="Calibri"/>
        </w:rPr>
        <w:object w:dxaOrig="7889" w:dyaOrig="450" w14:anchorId="5B646E47">
          <v:shape id="_x0000_i1090" type="#_x0000_t75" style="width:390.15pt;height:24.3pt" o:ole="">
            <v:imagedata r:id="rId135" o:title=""/>
          </v:shape>
          <o:OLEObject Type="Embed" ProgID="Word.Document.12" ShapeID="_x0000_i1090" DrawAspect="Content" ObjectID="_1710830393" r:id="rId136">
            <o:FieldCodes>\s</o:FieldCodes>
          </o:OLEObject>
        </w:object>
      </w:r>
    </w:p>
    <w:p w14:paraId="65D49D87" w14:textId="77777777" w:rsidR="004543E0" w:rsidRPr="009660EC" w:rsidRDefault="004543E0" w:rsidP="004543E0">
      <w:pPr>
        <w:pStyle w:val="BodyText"/>
        <w:spacing w:after="60"/>
        <w:ind w:left="964" w:hanging="964"/>
      </w:pPr>
      <w:r w:rsidRPr="009660EC">
        <w:lastRenderedPageBreak/>
        <w:t>Where:</w:t>
      </w:r>
      <w:r w:rsidRPr="009660EC">
        <w:tab/>
        <w:t>F</w:t>
      </w:r>
      <w:r w:rsidRPr="009660EC">
        <w:rPr>
          <w:vertAlign w:val="subscript"/>
        </w:rPr>
        <w:t>SN</w:t>
      </w:r>
      <w:r w:rsidRPr="009660EC">
        <w:t xml:space="preserve"> is the total annual amount of synthetic nitrogen fertiliser applied to soils (urea</w:t>
      </w:r>
      <w:r w:rsidRPr="009660EC">
        <w:noBreakHyphen/>
        <w:t>based and other fertilisers)</w:t>
      </w:r>
    </w:p>
    <w:p w14:paraId="28AC3569" w14:textId="77777777" w:rsidR="004543E0" w:rsidRPr="009660EC" w:rsidRDefault="004543E0" w:rsidP="004543E0">
      <w:pPr>
        <w:pStyle w:val="BodyText"/>
        <w:spacing w:before="40" w:after="60"/>
        <w:ind w:left="964" w:hanging="964"/>
      </w:pPr>
      <w:r w:rsidRPr="009660EC">
        <w:tab/>
        <w:t>EF</w:t>
      </w:r>
      <w:r w:rsidRPr="009660EC">
        <w:rPr>
          <w:vertAlign w:val="subscript"/>
        </w:rPr>
        <w:t>1(UREA)</w:t>
      </w:r>
      <w:r w:rsidRPr="009660EC">
        <w:t xml:space="preserve"> is the proportion of direct N</w:t>
      </w:r>
      <w:r w:rsidRPr="009660EC">
        <w:rPr>
          <w:vertAlign w:val="subscript"/>
        </w:rPr>
        <w:t>2</w:t>
      </w:r>
      <w:r w:rsidRPr="009660EC">
        <w:t>O emissions from nitrogen input to the soil for urea fertilisers (0.0059; table 5.5.2), and</w:t>
      </w:r>
    </w:p>
    <w:p w14:paraId="7189D02A" w14:textId="77777777" w:rsidR="004543E0" w:rsidRPr="009660EC" w:rsidRDefault="004543E0" w:rsidP="004543E0">
      <w:pPr>
        <w:pStyle w:val="BodyText"/>
        <w:spacing w:before="40" w:after="80"/>
        <w:ind w:left="964" w:hanging="964"/>
      </w:pPr>
      <w:r w:rsidRPr="009660EC">
        <w:tab/>
        <w:t>EF</w:t>
      </w:r>
      <w:r w:rsidRPr="009660EC">
        <w:rPr>
          <w:vertAlign w:val="subscript"/>
        </w:rPr>
        <w:t>1</w:t>
      </w:r>
      <w:r w:rsidRPr="009660EC">
        <w:t xml:space="preserve"> is the proportion of direct N</w:t>
      </w:r>
      <w:r w:rsidRPr="009660EC">
        <w:rPr>
          <w:vertAlign w:val="subscript"/>
        </w:rPr>
        <w:t>2</w:t>
      </w:r>
      <w:r w:rsidRPr="009660EC">
        <w:t>O emissions from nitrogen input to the soil (0.01; table 5.5.2).</w:t>
      </w:r>
    </w:p>
    <w:p w14:paraId="4F03BEFD" w14:textId="77777777" w:rsidR="004543E0" w:rsidRPr="009660EC" w:rsidRDefault="004543E0" w:rsidP="004543E0">
      <w:pPr>
        <w:pStyle w:val="BodyText"/>
        <w:spacing w:before="80" w:after="100"/>
      </w:pPr>
      <w:r w:rsidRPr="009660EC">
        <w:t>Data on synthetic fertiliser use are provided by the Fertiliser Association of New Zealand from sales records from the two major fertiliser companies for 1990 to 2020, with estimates from smaller companies.</w:t>
      </w:r>
    </w:p>
    <w:p w14:paraId="5DC2C0C2" w14:textId="77777777" w:rsidR="004543E0" w:rsidRPr="009660EC" w:rsidRDefault="004543E0" w:rsidP="004543E0">
      <w:pPr>
        <w:pStyle w:val="BodyText"/>
        <w:spacing w:before="100" w:after="100"/>
      </w:pPr>
      <w:r w:rsidRPr="009660EC">
        <w:t>The EF</w:t>
      </w:r>
      <w:r w:rsidRPr="009660EC">
        <w:rPr>
          <w:vertAlign w:val="subscript"/>
        </w:rPr>
        <w:t>1(UREA)</w:t>
      </w:r>
      <w:r w:rsidRPr="009660EC">
        <w:t xml:space="preserve"> value was changed to 0.0059 in 2017, following a recommendation from the Agriculture Inventory Advisory Panel in 2016. The Panel agreed that the value of 0.0059, based on the research by van der Weerden et al. (2016a), was more representative of New Zealand farming practices and conditions, where only small (30–50 kg N/ha/application) urea dressings are applied but on several occasions during a year. The lower value of EF</w:t>
      </w:r>
      <w:r w:rsidRPr="009660EC">
        <w:rPr>
          <w:vertAlign w:val="subscript"/>
        </w:rPr>
        <w:t>1(UREA)</w:t>
      </w:r>
      <w:r w:rsidRPr="009660EC">
        <w:t>, compared with the IPCC default of 1 per cent, is comparable with studies conducted in Australia (Chen et al., 2010; Galbally et al., 2005) and the Netherlands (Kuikman et al., 2006), which have found EF</w:t>
      </w:r>
      <w:r w:rsidRPr="009660EC">
        <w:rPr>
          <w:vertAlign w:val="subscript"/>
        </w:rPr>
        <w:t>1</w:t>
      </w:r>
      <w:r w:rsidRPr="009660EC">
        <w:t xml:space="preserve"> urea fertiliser values of around 0.5 per cent. </w:t>
      </w:r>
    </w:p>
    <w:p w14:paraId="1369ABF2" w14:textId="77777777" w:rsidR="004543E0" w:rsidRPr="009660EC" w:rsidRDefault="004543E0" w:rsidP="004543E0">
      <w:pPr>
        <w:pStyle w:val="BodyText"/>
        <w:spacing w:before="100" w:after="100"/>
      </w:pPr>
      <w:r w:rsidRPr="009660EC">
        <w:t>Since 1990, a large increase has occurred in nitrogen</w:t>
      </w:r>
      <w:r w:rsidRPr="009660EC" w:rsidDel="00384723">
        <w:t xml:space="preserve"> </w:t>
      </w:r>
      <w:r w:rsidRPr="009660EC">
        <w:t xml:space="preserve">applied through synthetic fertiliser, from 59,265 tonnes in 1990 to 470,000 tonnes in 2020 (see figure 5.5.2). At the same time, the proportion of urea fertiliser applied has increased from just over 41.5 per cent to 72.3 per cent of all synthetic nitrogen fertiliser (see figure 5.5.3). </w:t>
      </w:r>
    </w:p>
    <w:p w14:paraId="57F611BE" w14:textId="77777777" w:rsidR="004543E0" w:rsidRPr="009660EC" w:rsidRDefault="004543E0" w:rsidP="004543E0">
      <w:pPr>
        <w:pStyle w:val="Figure"/>
      </w:pPr>
      <w:bookmarkStart w:id="991" w:name="_Toc447275696"/>
      <w:bookmarkStart w:id="992" w:name="_Toc481752015"/>
      <w:bookmarkStart w:id="993" w:name="_Toc507158474"/>
      <w:bookmarkStart w:id="994" w:name="_Toc511116965"/>
      <w:bookmarkStart w:id="995" w:name="_Toc5269695"/>
      <w:bookmarkStart w:id="996" w:name="_Toc32570966"/>
      <w:bookmarkStart w:id="997" w:name="_Toc36292796"/>
      <w:bookmarkStart w:id="998" w:name="_Toc68786661"/>
      <w:bookmarkStart w:id="999" w:name="_Toc95574122"/>
      <w:bookmarkStart w:id="1000" w:name="_Toc99696041"/>
      <w:r w:rsidRPr="009660EC">
        <w:t>Figure 5.5.2</w:t>
      </w:r>
      <w:r w:rsidRPr="009660EC">
        <w:tab/>
        <w:t>Synthetic nitrogen fertiliser use in New Zealand from 1990 to </w:t>
      </w:r>
      <w:bookmarkEnd w:id="991"/>
      <w:bookmarkEnd w:id="992"/>
      <w:bookmarkEnd w:id="993"/>
      <w:bookmarkEnd w:id="994"/>
      <w:bookmarkEnd w:id="995"/>
      <w:bookmarkEnd w:id="996"/>
      <w:bookmarkEnd w:id="997"/>
      <w:bookmarkEnd w:id="998"/>
      <w:r w:rsidRPr="009660EC">
        <w:rPr>
          <w:color w:val="000000"/>
        </w:rPr>
        <w:t>2020</w:t>
      </w:r>
      <w:bookmarkEnd w:id="999"/>
      <w:bookmarkEnd w:id="1000"/>
    </w:p>
    <w:p w14:paraId="16139405" w14:textId="117E9735" w:rsidR="004543E0" w:rsidRPr="009660EC" w:rsidRDefault="004B48CC" w:rsidP="004543E0">
      <w:pPr>
        <w:pStyle w:val="BodyText"/>
        <w:spacing w:before="0" w:after="60"/>
        <w:rPr>
          <w:rFonts w:cs="Calibri"/>
        </w:rPr>
      </w:pPr>
      <w:bookmarkStart w:id="1001" w:name="_MON_1605429256"/>
      <w:bookmarkEnd w:id="1001"/>
      <w:r>
        <w:pict w14:anchorId="0AE77C2B">
          <v:shape id="_x0000_i1091" type="#_x0000_t75" style="width:421.95pt;height:263.7pt">
            <v:imagedata r:id="rId137" o:title="" cropbottom="1306f" cropleft="2066f" cropright="1141f"/>
          </v:shape>
        </w:pict>
      </w:r>
    </w:p>
    <w:p w14:paraId="0822502C" w14:textId="77777777" w:rsidR="004543E0" w:rsidRPr="009660EC" w:rsidRDefault="004543E0" w:rsidP="004543E0">
      <w:pPr>
        <w:pStyle w:val="Source"/>
        <w:spacing w:after="120"/>
        <w:rPr>
          <w:rFonts w:cs="Calibri"/>
          <w:sz w:val="18"/>
          <w:szCs w:val="24"/>
        </w:rPr>
      </w:pPr>
      <w:r w:rsidRPr="009660EC">
        <w:rPr>
          <w:rFonts w:cs="Calibri"/>
          <w:b/>
          <w:bCs/>
          <w:sz w:val="18"/>
          <w:szCs w:val="24"/>
        </w:rPr>
        <w:t>Source:</w:t>
      </w:r>
      <w:r w:rsidRPr="009660EC">
        <w:rPr>
          <w:rFonts w:cs="Calibri"/>
          <w:b/>
          <w:bCs/>
          <w:sz w:val="18"/>
          <w:szCs w:val="24"/>
        </w:rPr>
        <w:tab/>
      </w:r>
      <w:r w:rsidRPr="009660EC">
        <w:rPr>
          <w:rFonts w:cs="Calibri"/>
          <w:sz w:val="18"/>
          <w:szCs w:val="24"/>
        </w:rPr>
        <w:t>Fertiliser Association of New Zealand</w:t>
      </w:r>
    </w:p>
    <w:p w14:paraId="36CAA976" w14:textId="77777777" w:rsidR="004543E0" w:rsidRPr="009660EC" w:rsidRDefault="004543E0" w:rsidP="004543E0">
      <w:pPr>
        <w:pStyle w:val="Figure"/>
      </w:pPr>
      <w:bookmarkStart w:id="1002" w:name="_Toc447275697"/>
      <w:bookmarkStart w:id="1003" w:name="_Toc481752016"/>
      <w:bookmarkStart w:id="1004" w:name="_Toc507158475"/>
      <w:bookmarkStart w:id="1005" w:name="_Toc511116966"/>
      <w:bookmarkStart w:id="1006" w:name="_Toc5269696"/>
      <w:bookmarkStart w:id="1007" w:name="_Toc32570967"/>
      <w:bookmarkStart w:id="1008" w:name="_Toc36292797"/>
      <w:bookmarkStart w:id="1009" w:name="_Toc68786662"/>
      <w:bookmarkStart w:id="1010" w:name="_Toc95574123"/>
      <w:bookmarkStart w:id="1011" w:name="_Toc99696042"/>
      <w:r w:rsidRPr="009660EC">
        <w:lastRenderedPageBreak/>
        <w:t>Figure 5.5.3</w:t>
      </w:r>
      <w:r w:rsidRPr="009660EC">
        <w:tab/>
        <w:t>Percentage of synthetic nitrogen fertiliser derived from urea from 1990 to</w:t>
      </w:r>
      <w:bookmarkEnd w:id="1002"/>
      <w:bookmarkEnd w:id="1003"/>
      <w:r w:rsidRPr="009660EC">
        <w:t> </w:t>
      </w:r>
      <w:bookmarkEnd w:id="1004"/>
      <w:bookmarkEnd w:id="1005"/>
      <w:bookmarkEnd w:id="1006"/>
      <w:bookmarkEnd w:id="1007"/>
      <w:bookmarkEnd w:id="1008"/>
      <w:bookmarkEnd w:id="1009"/>
      <w:r w:rsidRPr="009660EC">
        <w:t>2020</w:t>
      </w:r>
      <w:bookmarkEnd w:id="1010"/>
      <w:bookmarkEnd w:id="1011"/>
    </w:p>
    <w:p w14:paraId="17D3EB63" w14:textId="4040031A" w:rsidR="004543E0" w:rsidRPr="009660EC" w:rsidRDefault="004B48CC" w:rsidP="004543E0">
      <w:pPr>
        <w:pStyle w:val="BodyText"/>
        <w:spacing w:before="0" w:after="60"/>
        <w:rPr>
          <w:rFonts w:cs="Calibri"/>
        </w:rPr>
      </w:pPr>
      <w:r>
        <w:pict w14:anchorId="4ED0D69A">
          <v:shape id="_x0000_i1092" type="#_x0000_t75" style="width:416.95pt;height:235.25pt">
            <v:imagedata r:id="rId138" o:title="" cropleft="2351f" cropright="1064f"/>
          </v:shape>
        </w:pict>
      </w:r>
    </w:p>
    <w:p w14:paraId="37F9EE70" w14:textId="77777777" w:rsidR="004543E0" w:rsidRPr="009660EC" w:rsidRDefault="004543E0" w:rsidP="004543E0">
      <w:pPr>
        <w:pStyle w:val="Source"/>
        <w:rPr>
          <w:sz w:val="18"/>
          <w:szCs w:val="24"/>
        </w:rPr>
      </w:pPr>
      <w:r w:rsidRPr="009660EC">
        <w:rPr>
          <w:b/>
          <w:bCs/>
          <w:sz w:val="18"/>
          <w:szCs w:val="24"/>
        </w:rPr>
        <w:t>Source:</w:t>
      </w:r>
      <w:r w:rsidRPr="009660EC">
        <w:rPr>
          <w:sz w:val="18"/>
          <w:szCs w:val="24"/>
        </w:rPr>
        <w:tab/>
        <w:t>International Fertiliser Industry Association and Fertiliser Association of New Zealand</w:t>
      </w:r>
    </w:p>
    <w:p w14:paraId="0A3CFE61" w14:textId="77777777" w:rsidR="004543E0" w:rsidRPr="009660EC" w:rsidRDefault="004543E0" w:rsidP="004543E0">
      <w:pPr>
        <w:pStyle w:val="BodyText"/>
      </w:pPr>
      <w:r w:rsidRPr="009660EC">
        <w:t>The increase in synthetic nitrogen fertiliser use since 1990 has resulted in an increase in emissions from this category, from 230.3 kt CO</w:t>
      </w:r>
      <w:r w:rsidRPr="009660EC">
        <w:rPr>
          <w:vertAlign w:val="subscript"/>
        </w:rPr>
        <w:t>2</w:t>
      </w:r>
      <w:r w:rsidRPr="009660EC">
        <w:t>-e in 1990 (0.7 per cent of total agricultural emissions) to 1,548.2 kt CO</w:t>
      </w:r>
      <w:r w:rsidRPr="009660EC">
        <w:rPr>
          <w:vertAlign w:val="subscript"/>
        </w:rPr>
        <w:t>2</w:t>
      </w:r>
      <w:r w:rsidRPr="009660EC">
        <w:noBreakHyphen/>
        <w:t xml:space="preserve">e in 2020 (3.9 per cent of agricultural emissions). </w:t>
      </w:r>
    </w:p>
    <w:p w14:paraId="60F791D9" w14:textId="77777777" w:rsidR="004543E0" w:rsidRPr="009660EC" w:rsidRDefault="004543E0" w:rsidP="004543E0">
      <w:pPr>
        <w:pStyle w:val="Heading5"/>
        <w:rPr>
          <w:rFonts w:cs="Calibri"/>
        </w:rPr>
      </w:pPr>
      <w:r w:rsidRPr="009660EC">
        <w:rPr>
          <w:rFonts w:cs="Calibri"/>
        </w:rPr>
        <w:t>Organic nitrogen fertilisers (CRF 3.D.1.2)</w:t>
      </w:r>
    </w:p>
    <w:p w14:paraId="14A31E08" w14:textId="77777777" w:rsidR="004543E0" w:rsidRPr="009660EC" w:rsidRDefault="004543E0" w:rsidP="004543E0">
      <w:pPr>
        <w:pStyle w:val="BodyText"/>
        <w:spacing w:before="100"/>
      </w:pPr>
      <w:r w:rsidRPr="009660EC">
        <w:t>In New Zealand, emissions from organic nitrogen fertilisers are solely from animal manure that is spread on pasture after collection in manure management systems. Most animal manure in New Zealand is excreted directly onto pasture, but some manure from dairy farms is collected in manure management systems and applied to soils as an organic fertiliser (see table 5.3.2). Some manure is also collected but not stored; rather, it is spread directly onto pasture daily (e.g., swine manure and some dairy manure). The emissions calculation in this category (organic nitrogen fertilisers) excludes manure deposited directly on pasture by grazing livestock, which is covered in the next section (</w:t>
      </w:r>
      <w:r w:rsidRPr="009660EC">
        <w:rPr>
          <w:i/>
          <w:iCs/>
        </w:rPr>
        <w:t>Urine and dung deposited by grazing animals</w:t>
      </w:r>
      <w:r w:rsidRPr="009660EC">
        <w:t xml:space="preserve"> (CRF 3.D.1.3)). Animal manure is not used for fuel or construction in New Zealand.</w:t>
      </w:r>
    </w:p>
    <w:p w14:paraId="50C3D778" w14:textId="77777777" w:rsidR="004543E0" w:rsidRPr="009660EC" w:rsidRDefault="004543E0" w:rsidP="004543E0">
      <w:pPr>
        <w:pStyle w:val="BodyText"/>
      </w:pPr>
      <w:r w:rsidRPr="009660EC">
        <w:t>New Zealand has developed a country-specific emission factor for dairy cattle manure applied to soils of 0.0025 (van der Weerden et al., 2016a, 2016b). This value was based on a meta-analysis of field trials carried out in New Zealand that measured emissions from dairy cattle manure on soil. This emission factor was changed to 0.0025 in 2017, following a recommendation from the Agriculture Inventory Advisory Panel in 2016. The Panel agreed that the new value was more representative of New Zealand farming practices and conditions. Given that dairy cattle manure is a mixture of urine and dung (combined with water), the value of 0.0025 is consistent with the EF</w:t>
      </w:r>
      <w:r w:rsidRPr="009660EC">
        <w:rPr>
          <w:vertAlign w:val="subscript"/>
        </w:rPr>
        <w:t>3</w:t>
      </w:r>
      <w:r w:rsidRPr="009660EC">
        <w:t xml:space="preserve"> emission factor values used in New Zealand for dairy cattle urine (0.0098 and 0.0033 for flat and medium to steep sloped land respectively) and dung (0.0012) (van der Weerden et al., 2016a). Direct N</w:t>
      </w:r>
      <w:r w:rsidRPr="009660EC">
        <w:rPr>
          <w:vertAlign w:val="subscript"/>
        </w:rPr>
        <w:t>2</w:t>
      </w:r>
      <w:r w:rsidRPr="009660EC">
        <w:t>O emissions from organic fertiliser (dairy cattle manure) in 2020 (using the EF of 0.0025) were 0.139 kt N</w:t>
      </w:r>
      <w:r w:rsidRPr="009660EC">
        <w:rPr>
          <w:vertAlign w:val="subscript"/>
        </w:rPr>
        <w:t>2</w:t>
      </w:r>
      <w:r w:rsidRPr="009660EC">
        <w:t>O.</w:t>
      </w:r>
    </w:p>
    <w:p w14:paraId="042E0A23" w14:textId="77777777" w:rsidR="004543E0" w:rsidRPr="009660EC" w:rsidRDefault="004543E0" w:rsidP="004543E0">
      <w:pPr>
        <w:pStyle w:val="BodyText"/>
      </w:pPr>
      <w:r w:rsidRPr="009660EC">
        <w:t>Manure from poultry and swine spread onto soil has an emission factor of 0.01, which is consistent with the IPCC default.</w:t>
      </w:r>
    </w:p>
    <w:p w14:paraId="754797A2" w14:textId="77777777" w:rsidR="004543E0" w:rsidRPr="009660EC" w:rsidRDefault="004543E0" w:rsidP="001D691A">
      <w:pPr>
        <w:pStyle w:val="BodyText"/>
        <w:keepNext/>
        <w:spacing w:before="100" w:after="60"/>
      </w:pPr>
      <w:r w:rsidRPr="009660EC">
        <w:lastRenderedPageBreak/>
        <w:t>The following equation is used to determine direct N</w:t>
      </w:r>
      <w:r w:rsidRPr="009660EC">
        <w:rPr>
          <w:vertAlign w:val="subscript"/>
        </w:rPr>
        <w:t>2</w:t>
      </w:r>
      <w:r w:rsidRPr="009660EC">
        <w:t>O emissions from the application of animal manure to soil:</w:t>
      </w:r>
    </w:p>
    <w:bookmarkStart w:id="1012" w:name="_MON_1543746072"/>
    <w:bookmarkEnd w:id="1012"/>
    <w:p w14:paraId="56912786" w14:textId="77777777" w:rsidR="004543E0" w:rsidRPr="009660EC" w:rsidRDefault="004543E0" w:rsidP="004543E0">
      <w:pPr>
        <w:pStyle w:val="BodyText"/>
        <w:spacing w:before="0" w:after="60"/>
        <w:jc w:val="center"/>
        <w:rPr>
          <w:rFonts w:cs="Calibri"/>
        </w:rPr>
      </w:pPr>
      <w:r w:rsidRPr="009660EC">
        <w:rPr>
          <w:rFonts w:cs="Calibri"/>
        </w:rPr>
        <w:object w:dxaOrig="6524" w:dyaOrig="450" w14:anchorId="36E78B4F">
          <v:shape id="_x0000_i1093" type="#_x0000_t75" style="width:324pt;height:24.3pt" o:ole="">
            <v:imagedata r:id="rId139" o:title="" cropright="6115f"/>
          </v:shape>
          <o:OLEObject Type="Embed" ProgID="Word.Document.12" ShapeID="_x0000_i1093" DrawAspect="Content" ObjectID="_1710830394" r:id="rId140">
            <o:FieldCodes>\s</o:FieldCodes>
          </o:OLEObject>
        </w:object>
      </w:r>
    </w:p>
    <w:p w14:paraId="19A61B52" w14:textId="77777777" w:rsidR="004543E0" w:rsidRPr="009660EC" w:rsidRDefault="004543E0" w:rsidP="004543E0">
      <w:pPr>
        <w:pStyle w:val="BodyText"/>
        <w:spacing w:after="40"/>
        <w:ind w:left="964" w:hanging="964"/>
      </w:pPr>
      <w:r w:rsidRPr="009660EC">
        <w:t>Where:</w:t>
      </w:r>
      <w:r w:rsidRPr="009660EC">
        <w:tab/>
        <w:t>F</w:t>
      </w:r>
      <w:r w:rsidRPr="009660EC">
        <w:rPr>
          <w:vertAlign w:val="subscript"/>
        </w:rPr>
        <w:t>AM</w:t>
      </w:r>
      <w:r w:rsidRPr="009660EC">
        <w:t xml:space="preserve"> is the total amount of animal manure nitrogen (swine and poultry) applied to soils from manure management systems (other than pasture, range and paddock), which is derived as a fraction of the nitrogen excretion rates, N</w:t>
      </w:r>
      <w:r w:rsidRPr="009660EC">
        <w:rPr>
          <w:vertAlign w:val="subscript"/>
        </w:rPr>
        <w:t>ex</w:t>
      </w:r>
      <w:r w:rsidRPr="009660EC">
        <w:t xml:space="preserve">, described in section 5.3.2 </w:t>
      </w:r>
    </w:p>
    <w:p w14:paraId="1472D1E3" w14:textId="77777777" w:rsidR="004543E0" w:rsidRPr="009660EC" w:rsidRDefault="004543E0" w:rsidP="004543E0">
      <w:pPr>
        <w:pStyle w:val="BodyText"/>
        <w:spacing w:before="60" w:after="40"/>
        <w:ind w:left="964" w:hanging="964"/>
      </w:pPr>
      <w:r w:rsidRPr="009660EC">
        <w:tab/>
        <w:t>EF</w:t>
      </w:r>
      <w:r w:rsidRPr="009660EC">
        <w:rPr>
          <w:vertAlign w:val="subscript"/>
        </w:rPr>
        <w:t>1</w:t>
      </w:r>
      <w:r w:rsidRPr="009660EC">
        <w:t xml:space="preserve"> is the proportion of direct N</w:t>
      </w:r>
      <w:r w:rsidRPr="009660EC">
        <w:rPr>
          <w:vertAlign w:val="subscript"/>
        </w:rPr>
        <w:t>2</w:t>
      </w:r>
      <w:r w:rsidRPr="009660EC">
        <w:t>O emissions from animal manure (swine and poultry) applied to soils (0.01; table 5.5.2)</w:t>
      </w:r>
    </w:p>
    <w:p w14:paraId="13EAB4AE" w14:textId="77777777" w:rsidR="004543E0" w:rsidRPr="009660EC" w:rsidRDefault="004543E0" w:rsidP="004543E0">
      <w:pPr>
        <w:pStyle w:val="BodyText"/>
        <w:spacing w:before="60" w:after="40"/>
        <w:ind w:left="964" w:hanging="964"/>
      </w:pPr>
      <w:r w:rsidRPr="009660EC">
        <w:tab/>
        <w:t>F</w:t>
      </w:r>
      <w:r w:rsidRPr="009660EC">
        <w:rPr>
          <w:vertAlign w:val="subscript"/>
        </w:rPr>
        <w:t>AM(DAIRY)</w:t>
      </w:r>
      <w:r w:rsidRPr="009660EC">
        <w:t xml:space="preserve"> is the total amount of animal manure nitrogen (dairy) applied to soils from manure management systems (other than pasture, range and paddock), which is derived as a fraction of the nitrogen excretion rates, N</w:t>
      </w:r>
      <w:r w:rsidRPr="009660EC">
        <w:rPr>
          <w:vertAlign w:val="subscript"/>
        </w:rPr>
        <w:t>ex</w:t>
      </w:r>
      <w:r w:rsidRPr="009660EC">
        <w:t>, described in section 5.3.2, and</w:t>
      </w:r>
    </w:p>
    <w:p w14:paraId="2E222811" w14:textId="77777777" w:rsidR="004543E0" w:rsidRPr="009660EC" w:rsidDel="00380393" w:rsidRDefault="004543E0" w:rsidP="004543E0">
      <w:pPr>
        <w:pStyle w:val="BodyText"/>
        <w:spacing w:before="40"/>
        <w:ind w:left="964" w:hanging="964"/>
      </w:pPr>
      <w:r w:rsidRPr="009660EC">
        <w:tab/>
        <w:t>EF</w:t>
      </w:r>
      <w:r w:rsidRPr="009660EC">
        <w:rPr>
          <w:vertAlign w:val="subscript"/>
        </w:rPr>
        <w:t>1(DAIRY)</w:t>
      </w:r>
      <w:r w:rsidRPr="009660EC">
        <w:t xml:space="preserve"> is the proportion of direct N</w:t>
      </w:r>
      <w:r w:rsidRPr="009660EC">
        <w:rPr>
          <w:vertAlign w:val="subscript"/>
        </w:rPr>
        <w:t>2</w:t>
      </w:r>
      <w:r w:rsidRPr="009660EC">
        <w:t>O emissions from animal manure (dairy cattle) applied to soils (0.0025; table 5.5.2)</w:t>
      </w:r>
      <w:r w:rsidRPr="009660EC" w:rsidDel="00380393">
        <w:t xml:space="preserve">. </w:t>
      </w:r>
    </w:p>
    <w:p w14:paraId="6F67D822" w14:textId="77777777" w:rsidR="004543E0" w:rsidRPr="009660EC" w:rsidRDefault="004543E0" w:rsidP="004543E0">
      <w:pPr>
        <w:pStyle w:val="BodyText"/>
      </w:pPr>
      <w:r w:rsidRPr="009660EC">
        <w:t xml:space="preserve">The IPCC Guidelines (IPCC, 2006) recommend that non-manure components of organic nitrogen applied to agricultural soils, such as compost sewage sludge and rendering waste, are included under organic fertilisers. New Zealand commissioned research on sources of organic waste and found that these activities are not significant for New Zealand (van der Weerden et al., 2014). They account for nearly 0.025 per cent of national gross greenhouse gas emissions and, therefore, this category has been reported as ‘not estimated’ (NE). </w:t>
      </w:r>
    </w:p>
    <w:p w14:paraId="7DDB86E2" w14:textId="77777777" w:rsidR="004543E0" w:rsidRPr="009660EC" w:rsidRDefault="004543E0" w:rsidP="004543E0">
      <w:pPr>
        <w:pStyle w:val="BodyText"/>
        <w:spacing w:before="100" w:after="100"/>
      </w:pPr>
      <w:r w:rsidRPr="009660EC">
        <w:t>The research assessed a range of potential sources, including dairy processing wastewater, compost sold to the rural sector, blood and bone fertiliser, meat processing wastewater and sludge, grape marc from the wine industry, vegetable processing wastewater and sewage sludge applied to land. No brewery waste is applied to soils in New Zealand because spent yeast is used in the food industry to manufacture a yeast spread, or fed directly to stock.</w:t>
      </w:r>
    </w:p>
    <w:p w14:paraId="69D29A17" w14:textId="77777777" w:rsidR="004543E0" w:rsidRPr="009660EC" w:rsidDel="00A405B4" w:rsidRDefault="004543E0" w:rsidP="004543E0">
      <w:pPr>
        <w:pStyle w:val="BodyText"/>
        <w:spacing w:before="100" w:after="100"/>
      </w:pPr>
      <w:r w:rsidRPr="009660EC">
        <w:t>Because most livestock manure in New Zealand is excreted directly onto pasture, emissions from the organic nitrogen fertilisers category are relatively small. In 2020, N</w:t>
      </w:r>
      <w:r w:rsidRPr="009660EC">
        <w:rPr>
          <w:vertAlign w:val="subscript"/>
        </w:rPr>
        <w:t>2</w:t>
      </w:r>
      <w:r w:rsidRPr="009660EC">
        <w:t>O emissions from this source contributed 76.2 kt CO</w:t>
      </w:r>
      <w:r w:rsidRPr="009660EC">
        <w:rPr>
          <w:vertAlign w:val="subscript"/>
        </w:rPr>
        <w:t>2</w:t>
      </w:r>
      <w:r w:rsidRPr="009660EC">
        <w:t xml:space="preserve">-e (1.0 per cent of emissions from </w:t>
      </w:r>
      <w:r w:rsidRPr="009660EC">
        <w:rPr>
          <w:i/>
          <w:iCs/>
        </w:rPr>
        <w:t>Agricultural soils</w:t>
      </w:r>
      <w:r w:rsidRPr="009660EC">
        <w:t>, and 0.2 per cent of total agricultural emissions). This is an increase of 40.0 kt CO</w:t>
      </w:r>
      <w:r w:rsidRPr="009660EC">
        <w:rPr>
          <w:vertAlign w:val="subscript"/>
        </w:rPr>
        <w:t>2</w:t>
      </w:r>
      <w:r w:rsidRPr="009660EC">
        <w:t>-e (110.2 per cent) from the 1990 level of 36.3 kt CO</w:t>
      </w:r>
      <w:r w:rsidRPr="009660EC">
        <w:rPr>
          <w:vertAlign w:val="subscript"/>
        </w:rPr>
        <w:t>2</w:t>
      </w:r>
      <w:r w:rsidRPr="009660EC">
        <w:t xml:space="preserve">-e. </w:t>
      </w:r>
    </w:p>
    <w:p w14:paraId="4F6E4649" w14:textId="77777777" w:rsidR="004543E0" w:rsidRPr="009660EC" w:rsidRDefault="004543E0" w:rsidP="004543E0">
      <w:pPr>
        <w:pStyle w:val="Heading5"/>
        <w:rPr>
          <w:rFonts w:cs="Calibri"/>
        </w:rPr>
      </w:pPr>
      <w:r w:rsidRPr="009660EC">
        <w:rPr>
          <w:rFonts w:cs="Calibri"/>
        </w:rPr>
        <w:t>Urine and dung deposited by grazing animals (CRF 3.D.1.3)</w:t>
      </w:r>
    </w:p>
    <w:p w14:paraId="548B47DE" w14:textId="77777777" w:rsidR="004543E0" w:rsidRPr="009660EC" w:rsidRDefault="004543E0" w:rsidP="004543E0">
      <w:pPr>
        <w:pStyle w:val="BodyText"/>
        <w:spacing w:before="100"/>
      </w:pPr>
      <w:r w:rsidRPr="009660EC">
        <w:t>Most livestock in New Zealand are grazed outdoors on pasture, with around 92.7 per cent of dairy cattle excreta and 100 per cent of beef cattle, sheep, deer and other livestock excreta deposited on pasture (see table 5.3.2). In New Zealand, dairy cattle are kept close to the milking shed and dairy farming tends to be on flatland. Sheep, beef and deer farming predominantly occur on hill country and rarely on flatland.</w:t>
      </w:r>
    </w:p>
    <w:p w14:paraId="7E50F852" w14:textId="77777777" w:rsidR="004543E0" w:rsidRPr="009660EC" w:rsidRDefault="004543E0" w:rsidP="004543E0">
      <w:pPr>
        <w:pStyle w:val="BodyText"/>
        <w:spacing w:before="100"/>
      </w:pPr>
      <w:r w:rsidRPr="009660EC">
        <w:t>The following equations are used to determine direct N</w:t>
      </w:r>
      <w:r w:rsidRPr="009660EC">
        <w:rPr>
          <w:vertAlign w:val="subscript"/>
        </w:rPr>
        <w:t>2</w:t>
      </w:r>
      <w:r w:rsidRPr="009660EC">
        <w:t>O emissions from grazing livestock manure.</w:t>
      </w:r>
    </w:p>
    <w:p w14:paraId="0353587B" w14:textId="77777777" w:rsidR="004543E0" w:rsidRPr="009660EC" w:rsidRDefault="004543E0" w:rsidP="001D691A">
      <w:pPr>
        <w:pStyle w:val="BodyText"/>
        <w:spacing w:before="100" w:after="80"/>
      </w:pPr>
      <w:r w:rsidRPr="009660EC">
        <w:t xml:space="preserve">For urine deposited on flatland and low slopes by sheep, cattle and deer only: </w:t>
      </w:r>
    </w:p>
    <w:bookmarkStart w:id="1013" w:name="_MON_1608113144"/>
    <w:bookmarkEnd w:id="1013"/>
    <w:p w14:paraId="2F760F5F" w14:textId="77777777" w:rsidR="004543E0" w:rsidRPr="009660EC" w:rsidRDefault="004543E0" w:rsidP="004543E0">
      <w:pPr>
        <w:pStyle w:val="BodyText"/>
        <w:spacing w:before="80" w:after="80"/>
      </w:pPr>
      <w:r w:rsidRPr="009660EC">
        <w:object w:dxaOrig="7709" w:dyaOrig="1087" w14:anchorId="6BD836A7">
          <v:shape id="_x0000_i1094" type="#_x0000_t75" style="width:389.3pt;height:58.6pt" o:ole="">
            <v:imagedata r:id="rId141" o:title=""/>
          </v:shape>
          <o:OLEObject Type="Embed" ProgID="Word.Document.12" ShapeID="_x0000_i1094" DrawAspect="Content" ObjectID="_1710830395" r:id="rId142">
            <o:FieldCodes>\s</o:FieldCodes>
          </o:OLEObject>
        </w:object>
      </w:r>
    </w:p>
    <w:p w14:paraId="5F387B31" w14:textId="77777777" w:rsidR="004543E0" w:rsidRPr="009660EC" w:rsidRDefault="004543E0" w:rsidP="004543E0">
      <w:pPr>
        <w:pStyle w:val="BodyText"/>
        <w:keepNext/>
        <w:rPr>
          <w:rFonts w:cs="Calibri"/>
        </w:rPr>
      </w:pPr>
      <w:r w:rsidRPr="009660EC">
        <w:rPr>
          <w:rFonts w:cs="Calibri"/>
        </w:rPr>
        <w:lastRenderedPageBreak/>
        <w:t xml:space="preserve">For urine deposited on medium and steep slopes by sheep, cattle and deer only: </w:t>
      </w:r>
    </w:p>
    <w:bookmarkStart w:id="1014" w:name="_MON_1635763769"/>
    <w:bookmarkEnd w:id="1014"/>
    <w:p w14:paraId="14DAE2D1" w14:textId="77777777" w:rsidR="004543E0" w:rsidRPr="009660EC" w:rsidRDefault="004543E0" w:rsidP="004543E0">
      <w:pPr>
        <w:pStyle w:val="BodyText"/>
        <w:keepNext/>
        <w:spacing w:before="80" w:after="80"/>
        <w:rPr>
          <w:rFonts w:cs="Calibri"/>
        </w:rPr>
      </w:pPr>
      <w:r w:rsidRPr="009660EC">
        <w:rPr>
          <w:rFonts w:cs="Calibri"/>
        </w:rPr>
        <w:object w:dxaOrig="7709" w:dyaOrig="1087" w14:anchorId="60B5A684">
          <v:shape id="_x0000_i1095" type="#_x0000_t75" style="width:389.3pt;height:58.6pt" o:ole="">
            <v:imagedata r:id="rId143" o:title=""/>
          </v:shape>
          <o:OLEObject Type="Embed" ProgID="Word.Document.12" ShapeID="_x0000_i1095" DrawAspect="Content" ObjectID="_1710830396" r:id="rId144">
            <o:FieldCodes>\s</o:FieldCodes>
          </o:OLEObject>
        </w:object>
      </w:r>
    </w:p>
    <w:p w14:paraId="2C3C2180" w14:textId="77777777" w:rsidR="004543E0" w:rsidRPr="009660EC" w:rsidRDefault="004543E0" w:rsidP="004543E0">
      <w:pPr>
        <w:pStyle w:val="BodyText"/>
        <w:rPr>
          <w:rFonts w:cs="Calibri"/>
        </w:rPr>
      </w:pPr>
      <w:r w:rsidRPr="009660EC">
        <w:rPr>
          <w:rFonts w:cs="Calibri"/>
        </w:rPr>
        <w:t>For all dung from sheep, cattle and deer:</w:t>
      </w:r>
    </w:p>
    <w:bookmarkStart w:id="1015" w:name="_MON_1608112789"/>
    <w:bookmarkEnd w:id="1015"/>
    <w:p w14:paraId="19DE0079" w14:textId="77777777" w:rsidR="004543E0" w:rsidRPr="009660EC" w:rsidRDefault="004543E0" w:rsidP="004543E0">
      <w:pPr>
        <w:pStyle w:val="BodyText"/>
        <w:spacing w:before="80" w:after="80"/>
        <w:rPr>
          <w:rFonts w:cs="Calibri"/>
        </w:rPr>
      </w:pPr>
      <w:r w:rsidRPr="009660EC">
        <w:rPr>
          <w:rFonts w:cs="Calibri"/>
        </w:rPr>
        <w:object w:dxaOrig="7889" w:dyaOrig="637" w14:anchorId="33C20DEA">
          <v:shape id="_x0000_i1096" type="#_x0000_t75" style="width:396.85pt;height:36pt" o:ole="">
            <v:imagedata r:id="rId145" o:title=""/>
          </v:shape>
          <o:OLEObject Type="Embed" ProgID="Word.Document.12" ShapeID="_x0000_i1096" DrawAspect="Content" ObjectID="_1710830397" r:id="rId146">
            <o:FieldCodes>\s</o:FieldCodes>
          </o:OLEObject>
        </w:object>
      </w:r>
    </w:p>
    <w:p w14:paraId="74C4D4AE" w14:textId="77777777" w:rsidR="004543E0" w:rsidRPr="009660EC" w:rsidRDefault="004543E0" w:rsidP="004543E0">
      <w:pPr>
        <w:pStyle w:val="BodyText"/>
        <w:keepNext/>
        <w:rPr>
          <w:rFonts w:cs="Calibri"/>
        </w:rPr>
      </w:pPr>
      <w:r w:rsidRPr="009660EC">
        <w:rPr>
          <w:rFonts w:cs="Calibri"/>
        </w:rPr>
        <w:t xml:space="preserve">For urine and dung from other livestock categories (swine, goats, horses, alpaca, mules, asses and poultry): </w:t>
      </w:r>
    </w:p>
    <w:bookmarkStart w:id="1016" w:name="_MON_1635762384"/>
    <w:bookmarkEnd w:id="1016"/>
    <w:p w14:paraId="3E20164A" w14:textId="77777777" w:rsidR="004543E0" w:rsidRPr="009660EC" w:rsidRDefault="004543E0" w:rsidP="004543E0">
      <w:pPr>
        <w:pStyle w:val="BodyText"/>
        <w:spacing w:before="80" w:after="80"/>
      </w:pPr>
      <w:r w:rsidRPr="009660EC">
        <w:object w:dxaOrig="7934" w:dyaOrig="661" w14:anchorId="369C9C6E">
          <v:shape id="_x0000_i1097" type="#_x0000_t75" style="width:395.15pt;height:36pt" o:ole="">
            <v:imagedata r:id="rId147" o:title=""/>
          </v:shape>
          <o:OLEObject Type="Embed" ProgID="Word.Document.12" ShapeID="_x0000_i1097" DrawAspect="Content" ObjectID="_1710830398" r:id="rId148">
            <o:FieldCodes>\s</o:FieldCodes>
          </o:OLEObject>
        </w:object>
      </w:r>
    </w:p>
    <w:p w14:paraId="7003F11E" w14:textId="77777777" w:rsidR="004543E0" w:rsidRPr="009660EC" w:rsidRDefault="004543E0" w:rsidP="004543E0">
      <w:pPr>
        <w:pStyle w:val="BodyText"/>
        <w:keepNext/>
        <w:spacing w:before="60" w:after="40"/>
        <w:ind w:left="964" w:hanging="964"/>
      </w:pPr>
      <w:r w:rsidRPr="009660EC">
        <w:t xml:space="preserve">Where: </w:t>
      </w:r>
      <w:r w:rsidRPr="009660EC">
        <w:tab/>
        <w:t>N</w:t>
      </w:r>
      <w:r w:rsidRPr="009660EC">
        <w:rPr>
          <w:vertAlign w:val="subscript"/>
        </w:rPr>
        <w:t xml:space="preserve">T </w:t>
      </w:r>
      <w:r w:rsidRPr="009660EC">
        <w:t>is the population of the livestock category (sheep, cattle, deer or other); T (population as calculated in section 5.1.3)</w:t>
      </w:r>
    </w:p>
    <w:p w14:paraId="6245FCBD" w14:textId="77777777" w:rsidR="004543E0" w:rsidRPr="009660EC" w:rsidRDefault="004543E0" w:rsidP="004543E0">
      <w:pPr>
        <w:pStyle w:val="BodyText"/>
        <w:spacing w:before="60" w:after="0"/>
        <w:ind w:left="964" w:hanging="964"/>
      </w:pPr>
      <w:r w:rsidRPr="009660EC">
        <w:tab/>
        <w:t>Nex</w:t>
      </w:r>
      <w:r w:rsidRPr="009660EC">
        <w:rPr>
          <w:vertAlign w:val="subscript"/>
        </w:rPr>
        <w:t>URINE,FLAT</w:t>
      </w:r>
      <w:r w:rsidRPr="009660EC">
        <w:t xml:space="preserve"> is the annual urinary N excretion per head deposited on flatland</w:t>
      </w:r>
      <w:r w:rsidRPr="009660EC">
        <w:rPr>
          <w:rStyle w:val="FootnoteReference"/>
          <w:rFonts w:cs="Calibri"/>
        </w:rPr>
        <w:footnoteReference w:id="57"/>
      </w:r>
      <w:r w:rsidRPr="009660EC">
        <w:t xml:space="preserve"> (kg N/head/year) </w:t>
      </w:r>
    </w:p>
    <w:p w14:paraId="31FDCDC8" w14:textId="77777777" w:rsidR="004543E0" w:rsidRPr="009660EC" w:rsidRDefault="004543E0" w:rsidP="004543E0">
      <w:pPr>
        <w:pStyle w:val="BodyText"/>
        <w:spacing w:before="60" w:after="40"/>
        <w:ind w:left="964" w:hanging="964"/>
      </w:pPr>
      <w:r w:rsidRPr="009660EC">
        <w:tab/>
        <w:t>Nex</w:t>
      </w:r>
      <w:r w:rsidRPr="009660EC">
        <w:rPr>
          <w:vertAlign w:val="subscript"/>
        </w:rPr>
        <w:t>URINE,LOW</w:t>
      </w:r>
      <w:r w:rsidRPr="009660EC">
        <w:t xml:space="preserve"> is the annual urinary N excretion per head deposited on low slopes</w:t>
      </w:r>
      <w:r w:rsidRPr="009660EC">
        <w:rPr>
          <w:rStyle w:val="FootnoteReference"/>
          <w:rFonts w:cs="Calibri"/>
        </w:rPr>
        <w:footnoteReference w:id="58"/>
      </w:r>
      <w:r w:rsidRPr="009660EC">
        <w:t xml:space="preserve"> (kg N/head/year) </w:t>
      </w:r>
    </w:p>
    <w:p w14:paraId="70CC3371" w14:textId="77777777" w:rsidR="004543E0" w:rsidRPr="009660EC" w:rsidRDefault="004543E0" w:rsidP="004543E0">
      <w:pPr>
        <w:pStyle w:val="BodyText"/>
        <w:spacing w:before="60" w:after="40"/>
        <w:ind w:left="964" w:hanging="964"/>
      </w:pPr>
      <w:r w:rsidRPr="009660EC">
        <w:tab/>
        <w:t>Nex</w:t>
      </w:r>
      <w:r w:rsidRPr="009660EC">
        <w:rPr>
          <w:vertAlign w:val="subscript"/>
        </w:rPr>
        <w:t>URINE,MED</w:t>
      </w:r>
      <w:r w:rsidRPr="009660EC">
        <w:t xml:space="preserve"> is the annual urinary N excretion per head deposited on medium slopes</w:t>
      </w:r>
      <w:r w:rsidRPr="009660EC">
        <w:rPr>
          <w:rStyle w:val="FootnoteReference"/>
          <w:rFonts w:cs="Calibri"/>
        </w:rPr>
        <w:footnoteReference w:id="59"/>
      </w:r>
      <w:r w:rsidRPr="009660EC">
        <w:t xml:space="preserve"> (kg N/head/year) </w:t>
      </w:r>
    </w:p>
    <w:p w14:paraId="64DE6252" w14:textId="77777777" w:rsidR="004543E0" w:rsidRPr="009660EC" w:rsidRDefault="004543E0" w:rsidP="004543E0">
      <w:pPr>
        <w:pStyle w:val="BodyText"/>
        <w:spacing w:before="60" w:after="40"/>
        <w:ind w:left="964" w:hanging="964"/>
      </w:pPr>
      <w:r w:rsidRPr="009660EC">
        <w:tab/>
        <w:t>Nex</w:t>
      </w:r>
      <w:r w:rsidRPr="009660EC">
        <w:rPr>
          <w:vertAlign w:val="subscript"/>
        </w:rPr>
        <w:t>URINE,STEEP</w:t>
      </w:r>
      <w:r w:rsidRPr="009660EC">
        <w:t xml:space="preserve"> is the annual urinary N excretion per head deposited on steep slopes</w:t>
      </w:r>
      <w:r w:rsidRPr="009660EC">
        <w:rPr>
          <w:rStyle w:val="FootnoteReference"/>
          <w:rFonts w:cs="Calibri"/>
        </w:rPr>
        <w:footnoteReference w:id="60"/>
      </w:r>
      <w:r w:rsidRPr="009660EC">
        <w:t xml:space="preserve"> (kg N/head/year) </w:t>
      </w:r>
    </w:p>
    <w:p w14:paraId="426ECFC3" w14:textId="77777777" w:rsidR="004543E0" w:rsidRPr="009660EC" w:rsidRDefault="004543E0" w:rsidP="004543E0">
      <w:pPr>
        <w:pStyle w:val="BodyText"/>
        <w:spacing w:before="60" w:after="40"/>
        <w:ind w:left="964" w:hanging="964"/>
      </w:pPr>
      <w:r w:rsidRPr="009660EC">
        <w:tab/>
        <w:t>Nex</w:t>
      </w:r>
      <w:r w:rsidRPr="009660EC">
        <w:rPr>
          <w:vertAlign w:val="subscript"/>
        </w:rPr>
        <w:t>DUNG,T</w:t>
      </w:r>
      <w:r w:rsidRPr="009660EC">
        <w:t xml:space="preserve"> is the annual average excretion per head (kg N/head/year) </w:t>
      </w:r>
    </w:p>
    <w:p w14:paraId="30253BDD" w14:textId="77777777" w:rsidR="004543E0" w:rsidRPr="009660EC" w:rsidRDefault="004543E0" w:rsidP="004543E0">
      <w:pPr>
        <w:pStyle w:val="BodyText"/>
        <w:spacing w:before="60" w:after="40"/>
        <w:ind w:left="964" w:hanging="964"/>
      </w:pPr>
      <w:r w:rsidRPr="009660EC">
        <w:tab/>
        <w:t>Nex</w:t>
      </w:r>
      <w:r w:rsidRPr="009660EC">
        <w:rPr>
          <w:vertAlign w:val="subscript"/>
        </w:rPr>
        <w:t>T</w:t>
      </w:r>
      <w:r w:rsidRPr="009660EC">
        <w:t xml:space="preserve"> is the annual average N excretion per head (kg N/head/year) (see section 5.3) </w:t>
      </w:r>
    </w:p>
    <w:p w14:paraId="1F7666D4" w14:textId="77777777" w:rsidR="004543E0" w:rsidRPr="009660EC" w:rsidRDefault="004543E0" w:rsidP="004543E0">
      <w:pPr>
        <w:pStyle w:val="BodyText"/>
        <w:spacing w:before="60" w:after="40"/>
        <w:ind w:left="964" w:hanging="964"/>
      </w:pPr>
      <w:r w:rsidRPr="009660EC">
        <w:tab/>
        <w:t>MS</w:t>
      </w:r>
      <w:r w:rsidRPr="009660EC">
        <w:rPr>
          <w:vertAlign w:val="subscript"/>
        </w:rPr>
        <w:t>T</w:t>
      </w:r>
      <w:r w:rsidRPr="009660EC">
        <w:t xml:space="preserve"> is the proportion of manure excreted directly onto pasture, range and paddock (see table 5.3.2)</w:t>
      </w:r>
    </w:p>
    <w:p w14:paraId="1C5388D1" w14:textId="77777777" w:rsidR="004543E0" w:rsidRPr="009660EC" w:rsidRDefault="004543E0" w:rsidP="004543E0">
      <w:pPr>
        <w:pStyle w:val="BodyText"/>
        <w:spacing w:before="60" w:after="40"/>
        <w:ind w:left="964" w:hanging="964"/>
      </w:pPr>
      <w:r w:rsidRPr="009660EC">
        <w:tab/>
        <w:t>EF</w:t>
      </w:r>
      <w:r w:rsidRPr="009660EC">
        <w:rPr>
          <w:vertAlign w:val="subscript"/>
        </w:rPr>
        <w:t>3(PRP-FLAT)</w:t>
      </w:r>
      <w:r w:rsidRPr="009660EC">
        <w:t xml:space="preserve"> is the emission factor for urinary N deposited on flatland and low slopes by sheep, deer and cattle (note that emission factors vary by animal category, see table 5.5.2)</w:t>
      </w:r>
    </w:p>
    <w:p w14:paraId="4BB47D70" w14:textId="77777777" w:rsidR="004543E0" w:rsidRPr="009660EC" w:rsidRDefault="004543E0" w:rsidP="004543E0">
      <w:pPr>
        <w:pStyle w:val="BodyText"/>
        <w:spacing w:before="60" w:after="40"/>
        <w:ind w:left="964" w:hanging="964"/>
      </w:pPr>
      <w:r w:rsidRPr="009660EC">
        <w:tab/>
        <w:t>EF</w:t>
      </w:r>
      <w:r w:rsidRPr="009660EC">
        <w:rPr>
          <w:vertAlign w:val="subscript"/>
        </w:rPr>
        <w:t>3(PRP-STEEP)</w:t>
      </w:r>
      <w:r w:rsidRPr="009660EC">
        <w:t xml:space="preserve"> is the emission factor for urinary N deposited on medium and steep slopes, for sheep, deer and cattle (note emission factors vary by animal category, see table 5.5.2)</w:t>
      </w:r>
    </w:p>
    <w:p w14:paraId="663CFE69" w14:textId="77777777" w:rsidR="004543E0" w:rsidRPr="009660EC" w:rsidRDefault="004543E0" w:rsidP="004543E0">
      <w:pPr>
        <w:pStyle w:val="BodyText"/>
        <w:spacing w:before="60" w:after="40"/>
        <w:ind w:left="964" w:hanging="964"/>
      </w:pPr>
      <w:r w:rsidRPr="009660EC">
        <w:tab/>
        <w:t>EF</w:t>
      </w:r>
      <w:r w:rsidRPr="009660EC">
        <w:rPr>
          <w:vertAlign w:val="subscript"/>
        </w:rPr>
        <w:t>3(PRP-DUNG)</w:t>
      </w:r>
      <w:r w:rsidRPr="009660EC">
        <w:t xml:space="preserve"> is the emission factor for dung N excreta deposited by sheep, deer and cattle on pasture, range and paddock (0.0012, see table 5.5.2)</w:t>
      </w:r>
    </w:p>
    <w:p w14:paraId="4CF90259" w14:textId="77777777" w:rsidR="004543E0" w:rsidRPr="009660EC" w:rsidRDefault="004543E0" w:rsidP="004543E0">
      <w:pPr>
        <w:pStyle w:val="BodyText"/>
        <w:spacing w:before="60"/>
        <w:ind w:left="964" w:hanging="964"/>
      </w:pPr>
      <w:r w:rsidRPr="009660EC">
        <w:tab/>
        <w:t>EF</w:t>
      </w:r>
      <w:r w:rsidRPr="009660EC">
        <w:rPr>
          <w:vertAlign w:val="subscript"/>
        </w:rPr>
        <w:t>3(PRP-MINOR)</w:t>
      </w:r>
      <w:r w:rsidRPr="009660EC">
        <w:t xml:space="preserve"> is the emission factor for dung from minor animal categories deposited on pasture, range and paddock (see table 5.5.2).</w:t>
      </w:r>
    </w:p>
    <w:p w14:paraId="07DBE202" w14:textId="77777777" w:rsidR="004543E0" w:rsidRPr="009660EC" w:rsidRDefault="004543E0" w:rsidP="004543E0">
      <w:pPr>
        <w:pStyle w:val="BodyText"/>
      </w:pPr>
      <w:r w:rsidRPr="009660EC">
        <w:lastRenderedPageBreak/>
        <w:t>For cattle, sheep and deer, the estimated N</w:t>
      </w:r>
      <w:r w:rsidRPr="009660EC">
        <w:rPr>
          <w:vertAlign w:val="subscript"/>
        </w:rPr>
        <w:t>ex</w:t>
      </w:r>
      <w:r w:rsidRPr="009660EC">
        <w:t xml:space="preserve"> values are separated into urine and dung components using the methodology outlined by Pacheco et al. (2018). </w:t>
      </w:r>
    </w:p>
    <w:p w14:paraId="197A19C1" w14:textId="77777777" w:rsidR="004543E0" w:rsidRPr="009660EC" w:rsidRDefault="004543E0" w:rsidP="004543E0">
      <w:pPr>
        <w:pStyle w:val="BodyText"/>
      </w:pPr>
      <w:r w:rsidRPr="009660EC">
        <w:t>The inventory assumes that all dairy cattle graze on flatland, due to New Zealand farming practices, therefore,</w:t>
      </w:r>
      <w:r w:rsidRPr="009660EC" w:rsidDel="00FF398C">
        <w:t xml:space="preserve"> </w:t>
      </w:r>
      <w:r w:rsidRPr="009660EC">
        <w:t>all dairy urinary N is allocated to Nex</w:t>
      </w:r>
      <w:r w:rsidRPr="009660EC">
        <w:rPr>
          <w:vertAlign w:val="subscript"/>
        </w:rPr>
        <w:t>URINE,FLAT</w:t>
      </w:r>
      <w:r w:rsidRPr="009660EC">
        <w:t xml:space="preserve">. </w:t>
      </w:r>
    </w:p>
    <w:p w14:paraId="7C3ACF56" w14:textId="77777777" w:rsidR="004543E0" w:rsidRPr="009660EC" w:rsidRDefault="004543E0" w:rsidP="004543E0">
      <w:pPr>
        <w:pStyle w:val="BodyText"/>
      </w:pPr>
      <w:r w:rsidRPr="009660EC">
        <w:t>Urinary N from beef cattle, sheep and deer is allocated to the different slope types, Nex</w:t>
      </w:r>
      <w:r w:rsidRPr="009660EC">
        <w:rPr>
          <w:vertAlign w:val="subscript"/>
        </w:rPr>
        <w:t>URINE,LOW</w:t>
      </w:r>
      <w:r w:rsidRPr="009660EC">
        <w:t>, Nex</w:t>
      </w:r>
      <w:r w:rsidRPr="009660EC">
        <w:rPr>
          <w:vertAlign w:val="subscript"/>
        </w:rPr>
        <w:t>URINE,MED</w:t>
      </w:r>
      <w:r w:rsidRPr="009660EC">
        <w:t xml:space="preserve"> and Nex</w:t>
      </w:r>
      <w:r w:rsidRPr="009660EC">
        <w:rPr>
          <w:vertAlign w:val="subscript"/>
        </w:rPr>
        <w:t>URINE,STEEP</w:t>
      </w:r>
      <w:r w:rsidRPr="009660EC">
        <w:t>, however, there is zero land allocated to flatland, Nex</w:t>
      </w:r>
      <w:r w:rsidRPr="009660EC">
        <w:rPr>
          <w:vertAlign w:val="subscript"/>
        </w:rPr>
        <w:t>URINE,FLAT</w:t>
      </w:r>
      <w:r w:rsidRPr="009660EC">
        <w:t>, due to New Zealand farming practices (flatland is used for dairy systems).</w:t>
      </w:r>
    </w:p>
    <w:p w14:paraId="7731085B" w14:textId="77777777" w:rsidR="004543E0" w:rsidRPr="009660EC" w:rsidRDefault="004543E0" w:rsidP="004543E0">
      <w:pPr>
        <w:pStyle w:val="Heading5"/>
        <w:rPr>
          <w:rFonts w:cs="Calibri"/>
        </w:rPr>
      </w:pPr>
      <w:r w:rsidRPr="009660EC">
        <w:rPr>
          <w:rFonts w:cs="Calibri"/>
        </w:rPr>
        <w:t>New EF</w:t>
      </w:r>
      <w:r w:rsidRPr="009660EC">
        <w:rPr>
          <w:rFonts w:cs="Calibri"/>
          <w:vertAlign w:val="subscript"/>
        </w:rPr>
        <w:t>3</w:t>
      </w:r>
      <w:r w:rsidRPr="009660EC">
        <w:rPr>
          <w:rFonts w:cs="Calibri"/>
        </w:rPr>
        <w:t xml:space="preserve"> emission factors for excreta deposited by cattle, sheep and deer on sloped land</w:t>
      </w:r>
    </w:p>
    <w:p w14:paraId="2F1A7D7A" w14:textId="77777777" w:rsidR="004543E0" w:rsidRPr="009660EC" w:rsidRDefault="004543E0" w:rsidP="004543E0">
      <w:pPr>
        <w:pStyle w:val="BodyText"/>
      </w:pPr>
      <w:r w:rsidRPr="009660EC">
        <w:t>New EF</w:t>
      </w:r>
      <w:r w:rsidRPr="009660EC">
        <w:rPr>
          <w:vertAlign w:val="subscript"/>
        </w:rPr>
        <w:t xml:space="preserve">3 </w:t>
      </w:r>
      <w:r w:rsidRPr="009660EC">
        <w:t>emission factors were incorporated in the 2020 inventory and are detailed in table 5.5.2 (EF</w:t>
      </w:r>
      <w:r w:rsidRPr="009660EC">
        <w:rPr>
          <w:vertAlign w:val="subscript"/>
        </w:rPr>
        <w:t>3(PRP-DUNG)</w:t>
      </w:r>
      <w:r w:rsidRPr="009660EC">
        <w:t>) and table 5.5.3. These EF</w:t>
      </w:r>
      <w:r w:rsidRPr="009660EC">
        <w:rPr>
          <w:vertAlign w:val="subscript"/>
        </w:rPr>
        <w:t>3</w:t>
      </w:r>
      <w:r w:rsidRPr="009660EC">
        <w:t xml:space="preserve"> emission factors used to calculate N</w:t>
      </w:r>
      <w:r w:rsidRPr="009660EC">
        <w:rPr>
          <w:vertAlign w:val="subscript"/>
        </w:rPr>
        <w:t>2</w:t>
      </w:r>
      <w:r w:rsidRPr="009660EC">
        <w:t>O emissions from cattle (dairy and beef), sheep and deer are based on a meta-analysis undertaken by van der Weerden et al. (2019, 2020) based on field studies undertaken in the past decade (de Klein et al., 2014; Hoogendoorn et al., 2013; Luo et al., 2013, 2016, 2019; and Saggar et al., 2015). The research collectively shows (see table 5.5.6):</w:t>
      </w:r>
    </w:p>
    <w:p w14:paraId="264C72E2" w14:textId="77777777" w:rsidR="004543E0" w:rsidRPr="009660EC" w:rsidRDefault="004543E0" w:rsidP="004543E0">
      <w:pPr>
        <w:pStyle w:val="Bullet"/>
      </w:pPr>
      <w:r w:rsidRPr="009660EC">
        <w:t>a statistically significant difference in urine emission factors between cattle and sheep</w:t>
      </w:r>
    </w:p>
    <w:p w14:paraId="5DE01F77" w14:textId="77777777" w:rsidR="004543E0" w:rsidRPr="009660EC" w:rsidRDefault="004543E0" w:rsidP="004543E0">
      <w:pPr>
        <w:pStyle w:val="Bullet"/>
      </w:pPr>
      <w:r w:rsidRPr="009660EC">
        <w:t>that emissions from sheep, beef cattle and dairy cattle excreta deposited on low (between 0 degrees and 12 degrees), medium (between 12 degrees and 24 degrees) and steep (greater than 24 degrees) sloped land are significantly lower than corresponding emissions on land that is flat or of a low gradient.</w:t>
      </w:r>
    </w:p>
    <w:p w14:paraId="7A24107D" w14:textId="77777777" w:rsidR="004543E0" w:rsidRPr="009660EC" w:rsidRDefault="004543E0" w:rsidP="004543E0">
      <w:pPr>
        <w:pStyle w:val="Heading5"/>
        <w:rPr>
          <w:rFonts w:cs="Calibri"/>
        </w:rPr>
      </w:pPr>
      <w:r w:rsidRPr="009660EC">
        <w:rPr>
          <w:rFonts w:cs="Calibri"/>
        </w:rPr>
        <w:t>Evidence and meta-analysis for new EF</w:t>
      </w:r>
      <w:r w:rsidRPr="009660EC">
        <w:rPr>
          <w:rFonts w:cs="Calibri"/>
          <w:vertAlign w:val="subscript"/>
        </w:rPr>
        <w:t>3</w:t>
      </w:r>
      <w:r w:rsidRPr="009660EC">
        <w:rPr>
          <w:rFonts w:cs="Calibri"/>
        </w:rPr>
        <w:t xml:space="preserve"> emission factors for excreta deposited on sloped land</w:t>
      </w:r>
    </w:p>
    <w:p w14:paraId="549979B4" w14:textId="77777777" w:rsidR="004543E0" w:rsidRPr="009660EC" w:rsidRDefault="004543E0" w:rsidP="004543E0">
      <w:pPr>
        <w:pStyle w:val="BodyText"/>
        <w:rPr>
          <w:rFonts w:cs="Calibri"/>
        </w:rPr>
      </w:pPr>
      <w:r w:rsidRPr="009660EC">
        <w:rPr>
          <w:rFonts w:cs="Calibri"/>
        </w:rPr>
        <w:t>The meta-analysis (van der Weerden et al., 2020), built on a previous study by Kelliher et al. (2014), calculated new emission factors based on animal type, season and slope. This was based on an expanded data set of 1,217 replicate-level emission factors from 236 field experiments conducted over the past decade, largely measured using the same standardised experimental methods for N</w:t>
      </w:r>
      <w:r w:rsidRPr="009660EC">
        <w:rPr>
          <w:rFonts w:cs="Calibri"/>
          <w:vertAlign w:val="subscript"/>
        </w:rPr>
        <w:t>2</w:t>
      </w:r>
      <w:r w:rsidRPr="009660EC">
        <w:rPr>
          <w:rFonts w:cs="Calibri"/>
        </w:rPr>
        <w:t>O (see table 5.5.7).</w:t>
      </w:r>
    </w:p>
    <w:p w14:paraId="1EDED69E" w14:textId="77777777" w:rsidR="004543E0" w:rsidRPr="009660EC" w:rsidRDefault="004543E0" w:rsidP="004543E0">
      <w:pPr>
        <w:pStyle w:val="BodyText"/>
        <w:rPr>
          <w:rFonts w:cs="Calibri"/>
        </w:rPr>
      </w:pPr>
      <w:r w:rsidRPr="009660EC">
        <w:rPr>
          <w:rFonts w:cs="Calibri"/>
        </w:rPr>
        <w:t>The meta-analysis included results of studies from dung and urine deposited onto flatland and steep sloped land published in scientific journals (Hoogendoorn et al., 2008; Ledgard et al., 2014; Luo et al., 2013; van der Weerden et al., 2011) and reported to MPI’s inventory reporting team (Hoogendoorn et al., 2013; Luo et al., 2016, 2019). These data were compiled to contribute to existing data on emissions from dung and urine deposited on low and medium sloped land from the Kelliher et al. (2014) study.</w:t>
      </w:r>
      <w:r w:rsidRPr="009660EC" w:rsidDel="00866057">
        <w:rPr>
          <w:rFonts w:cs="Calibri"/>
        </w:rPr>
        <w:t xml:space="preserve"> </w:t>
      </w:r>
    </w:p>
    <w:p w14:paraId="65DC3846" w14:textId="77777777" w:rsidR="004543E0" w:rsidRPr="009660EC" w:rsidRDefault="004543E0" w:rsidP="004543E0">
      <w:pPr>
        <w:pStyle w:val="BodyText"/>
        <w:rPr>
          <w:rFonts w:cs="Calibri"/>
        </w:rPr>
      </w:pPr>
      <w:r w:rsidRPr="009660EC">
        <w:rPr>
          <w:rFonts w:cs="Calibri"/>
        </w:rPr>
        <w:t>Additional evidence conducted overseas supporting the use of emission factors that vary by land slope has been provided in a study in the United Kingdom by Marsden et al. (2018), who found that sheep EF</w:t>
      </w:r>
      <w:r w:rsidRPr="009660EC">
        <w:rPr>
          <w:rFonts w:cs="Calibri"/>
          <w:vertAlign w:val="subscript"/>
        </w:rPr>
        <w:t>3</w:t>
      </w:r>
      <w:r w:rsidRPr="009660EC">
        <w:rPr>
          <w:rFonts w:cs="Calibri"/>
        </w:rPr>
        <w:t xml:space="preserve"> values are lower on upland and hill areas compared with intensively managed lowlands.</w:t>
      </w:r>
    </w:p>
    <w:p w14:paraId="4C67BD34" w14:textId="77777777" w:rsidR="004543E0" w:rsidRPr="009660EC" w:rsidRDefault="004543E0" w:rsidP="004543E0">
      <w:pPr>
        <w:pStyle w:val="Table"/>
        <w:rPr>
          <w:rFonts w:cs="Calibri"/>
        </w:rPr>
      </w:pPr>
      <w:bookmarkStart w:id="1017" w:name="_Toc32570932"/>
      <w:bookmarkStart w:id="1018" w:name="_Toc36224567"/>
      <w:bookmarkStart w:id="1019" w:name="_Toc68786452"/>
      <w:bookmarkStart w:id="1020" w:name="_Toc95574085"/>
      <w:bookmarkStart w:id="1021" w:name="_Toc99659258"/>
      <w:r w:rsidRPr="009660EC">
        <w:rPr>
          <w:rFonts w:cs="Calibri"/>
        </w:rPr>
        <w:t>Table 5.5.6</w:t>
      </w:r>
      <w:r w:rsidRPr="009660EC">
        <w:rPr>
          <w:rFonts w:cs="Calibri"/>
        </w:rPr>
        <w:tab/>
        <w:t>Number of replicate-level EF</w:t>
      </w:r>
      <w:r w:rsidRPr="009660EC">
        <w:rPr>
          <w:rFonts w:cs="Calibri"/>
          <w:vertAlign w:val="subscript"/>
        </w:rPr>
        <w:t>3</w:t>
      </w:r>
      <w:r w:rsidRPr="009660EC">
        <w:rPr>
          <w:rFonts w:cs="Calibri"/>
        </w:rPr>
        <w:t xml:space="preserve"> values collated by the van der Weerden et al. (2019, 2020) analysis, for each nitrogen source and topography (number of individual trials shown in brackets)</w:t>
      </w:r>
      <w:bookmarkEnd w:id="1017"/>
      <w:bookmarkEnd w:id="1018"/>
      <w:bookmarkEnd w:id="1019"/>
      <w:bookmarkEnd w:id="1020"/>
      <w:bookmarkEnd w:id="1021"/>
    </w:p>
    <w:tbl>
      <w:tblPr>
        <w:tblW w:w="85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6"/>
        <w:gridCol w:w="1249"/>
        <w:gridCol w:w="1249"/>
        <w:gridCol w:w="1303"/>
        <w:gridCol w:w="1249"/>
        <w:gridCol w:w="1249"/>
      </w:tblGrid>
      <w:tr w:rsidR="004543E0" w:rsidRPr="00FC4502" w14:paraId="44B1E6A7" w14:textId="77777777" w:rsidTr="00FC4502">
        <w:trPr>
          <w:tblHeader/>
        </w:trPr>
        <w:tc>
          <w:tcPr>
            <w:tcW w:w="2206" w:type="dxa"/>
            <w:tcBorders>
              <w:top w:val="single" w:sz="4" w:space="0" w:color="44546A"/>
              <w:left w:val="nil"/>
              <w:bottom w:val="single" w:sz="4" w:space="0" w:color="44546A"/>
              <w:right w:val="nil"/>
            </w:tcBorders>
            <w:shd w:val="clear" w:color="auto" w:fill="1B556B"/>
            <w:vAlign w:val="bottom"/>
          </w:tcPr>
          <w:p w14:paraId="42D263AF" w14:textId="77777777" w:rsidR="004543E0" w:rsidRPr="00FC4502" w:rsidRDefault="004543E0" w:rsidP="007E3239">
            <w:pPr>
              <w:pStyle w:val="TableTextBold"/>
              <w:keepNext/>
              <w:rPr>
                <w:rFonts w:cs="Calibri"/>
                <w:noProof w:val="0"/>
                <w:color w:val="FFFFFF"/>
                <w:szCs w:val="16"/>
              </w:rPr>
            </w:pPr>
            <w:r w:rsidRPr="00FC4502">
              <w:rPr>
                <w:rFonts w:cs="Calibri"/>
                <w:noProof w:val="0"/>
                <w:color w:val="FFFFFF"/>
                <w:szCs w:val="16"/>
              </w:rPr>
              <w:t>Nitrogen source</w:t>
            </w:r>
          </w:p>
        </w:tc>
        <w:tc>
          <w:tcPr>
            <w:tcW w:w="1249" w:type="dxa"/>
            <w:tcBorders>
              <w:top w:val="single" w:sz="4" w:space="0" w:color="44546A"/>
              <w:left w:val="nil"/>
              <w:bottom w:val="single" w:sz="4" w:space="0" w:color="44546A"/>
              <w:right w:val="nil"/>
            </w:tcBorders>
            <w:shd w:val="clear" w:color="auto" w:fill="1B556B"/>
            <w:vAlign w:val="bottom"/>
          </w:tcPr>
          <w:p w14:paraId="1C470AB7" w14:textId="77777777" w:rsidR="004543E0" w:rsidRPr="00FC4502" w:rsidRDefault="004543E0" w:rsidP="007E3239">
            <w:pPr>
              <w:pStyle w:val="TableTextBold"/>
              <w:keepNext/>
              <w:jc w:val="right"/>
              <w:rPr>
                <w:rFonts w:cs="Calibri"/>
                <w:noProof w:val="0"/>
                <w:color w:val="FFFFFF"/>
                <w:szCs w:val="16"/>
              </w:rPr>
            </w:pPr>
            <w:r w:rsidRPr="00FC4502">
              <w:rPr>
                <w:rFonts w:cs="Calibri"/>
                <w:noProof w:val="0"/>
                <w:color w:val="FFFFFF"/>
                <w:szCs w:val="16"/>
              </w:rPr>
              <w:t xml:space="preserve">Flatland </w:t>
            </w:r>
            <w:r w:rsidRPr="00FC4502">
              <w:rPr>
                <w:rFonts w:cs="Calibri"/>
                <w:noProof w:val="0"/>
                <w:color w:val="FFFFFF"/>
                <w:szCs w:val="16"/>
              </w:rPr>
              <w:br/>
              <w:t>(0–12</w:t>
            </w:r>
            <w:r w:rsidRPr="00FC4502">
              <w:rPr>
                <w:rFonts w:cs="Calibri"/>
                <w:noProof w:val="0"/>
                <w:color w:val="FFFFFF"/>
                <w:szCs w:val="16"/>
                <w:vertAlign w:val="superscript"/>
              </w:rPr>
              <w:t>o</w:t>
            </w:r>
            <w:r w:rsidRPr="00FC4502">
              <w:rPr>
                <w:rFonts w:cs="Calibri"/>
                <w:noProof w:val="0"/>
                <w:color w:val="FFFFFF"/>
                <w:szCs w:val="16"/>
              </w:rPr>
              <w:t>)</w:t>
            </w:r>
          </w:p>
        </w:tc>
        <w:tc>
          <w:tcPr>
            <w:tcW w:w="1249" w:type="dxa"/>
            <w:tcBorders>
              <w:top w:val="single" w:sz="4" w:space="0" w:color="44546A"/>
              <w:left w:val="nil"/>
              <w:bottom w:val="single" w:sz="4" w:space="0" w:color="44546A"/>
              <w:right w:val="nil"/>
            </w:tcBorders>
            <w:shd w:val="clear" w:color="auto" w:fill="1B556B"/>
            <w:vAlign w:val="bottom"/>
          </w:tcPr>
          <w:p w14:paraId="6C72D5A9" w14:textId="77777777" w:rsidR="004543E0" w:rsidRPr="00FC4502" w:rsidRDefault="004543E0" w:rsidP="007E3239">
            <w:pPr>
              <w:pStyle w:val="TableTextBold"/>
              <w:keepNext/>
              <w:jc w:val="right"/>
              <w:rPr>
                <w:rFonts w:cs="Calibri"/>
                <w:noProof w:val="0"/>
                <w:color w:val="FFFFFF"/>
                <w:szCs w:val="16"/>
              </w:rPr>
            </w:pPr>
            <w:r w:rsidRPr="00FC4502">
              <w:rPr>
                <w:rFonts w:cs="Calibri"/>
                <w:noProof w:val="0"/>
                <w:color w:val="FFFFFF"/>
                <w:szCs w:val="16"/>
              </w:rPr>
              <w:t>Low sloped land (0–12</w:t>
            </w:r>
            <w:r w:rsidRPr="00FC4502">
              <w:rPr>
                <w:rFonts w:cs="Calibri"/>
                <w:noProof w:val="0"/>
                <w:color w:val="FFFFFF"/>
                <w:szCs w:val="16"/>
                <w:vertAlign w:val="superscript"/>
              </w:rPr>
              <w:t>o</w:t>
            </w:r>
            <w:r w:rsidRPr="00FC4502">
              <w:rPr>
                <w:rFonts w:cs="Calibri"/>
                <w:noProof w:val="0"/>
                <w:color w:val="FFFFFF"/>
                <w:szCs w:val="16"/>
              </w:rPr>
              <w:t>)</w:t>
            </w:r>
          </w:p>
        </w:tc>
        <w:tc>
          <w:tcPr>
            <w:tcW w:w="1303" w:type="dxa"/>
            <w:tcBorders>
              <w:top w:val="single" w:sz="4" w:space="0" w:color="44546A"/>
              <w:left w:val="nil"/>
              <w:bottom w:val="single" w:sz="4" w:space="0" w:color="44546A"/>
              <w:right w:val="nil"/>
            </w:tcBorders>
            <w:shd w:val="clear" w:color="auto" w:fill="1B556B"/>
            <w:vAlign w:val="bottom"/>
          </w:tcPr>
          <w:p w14:paraId="0C7BA3AB" w14:textId="77777777" w:rsidR="004543E0" w:rsidRPr="00FC4502" w:rsidRDefault="004543E0" w:rsidP="007E3239">
            <w:pPr>
              <w:pStyle w:val="TableTextBold"/>
              <w:keepNext/>
              <w:jc w:val="right"/>
              <w:rPr>
                <w:rFonts w:cs="Calibri"/>
                <w:noProof w:val="0"/>
                <w:color w:val="FFFFFF"/>
                <w:szCs w:val="16"/>
              </w:rPr>
            </w:pPr>
            <w:r w:rsidRPr="00FC4502">
              <w:rPr>
                <w:rFonts w:cs="Calibri"/>
                <w:noProof w:val="0"/>
                <w:color w:val="FFFFFF"/>
                <w:szCs w:val="16"/>
              </w:rPr>
              <w:t>Medium sloped land (12–24</w:t>
            </w:r>
            <w:r w:rsidRPr="00FC4502">
              <w:rPr>
                <w:rFonts w:cs="Calibri"/>
                <w:noProof w:val="0"/>
                <w:color w:val="FFFFFF"/>
                <w:szCs w:val="16"/>
                <w:vertAlign w:val="superscript"/>
              </w:rPr>
              <w:t>o</w:t>
            </w:r>
            <w:r w:rsidRPr="00FC4502">
              <w:rPr>
                <w:rFonts w:cs="Calibri"/>
                <w:noProof w:val="0"/>
                <w:color w:val="FFFFFF"/>
                <w:szCs w:val="16"/>
              </w:rPr>
              <w:t>)</w:t>
            </w:r>
          </w:p>
        </w:tc>
        <w:tc>
          <w:tcPr>
            <w:tcW w:w="1249" w:type="dxa"/>
            <w:tcBorders>
              <w:top w:val="single" w:sz="4" w:space="0" w:color="44546A"/>
              <w:left w:val="nil"/>
              <w:bottom w:val="single" w:sz="4" w:space="0" w:color="44546A"/>
              <w:right w:val="nil"/>
            </w:tcBorders>
            <w:shd w:val="clear" w:color="auto" w:fill="1B556B"/>
            <w:vAlign w:val="bottom"/>
          </w:tcPr>
          <w:p w14:paraId="7E42808E" w14:textId="77777777" w:rsidR="004543E0" w:rsidRPr="00FC4502" w:rsidRDefault="004543E0" w:rsidP="007E3239">
            <w:pPr>
              <w:pStyle w:val="TableTextBold"/>
              <w:keepNext/>
              <w:jc w:val="right"/>
              <w:rPr>
                <w:rFonts w:cs="Calibri"/>
                <w:noProof w:val="0"/>
                <w:color w:val="FFFFFF"/>
                <w:szCs w:val="16"/>
              </w:rPr>
            </w:pPr>
            <w:r w:rsidRPr="00FC4502">
              <w:rPr>
                <w:rFonts w:cs="Calibri"/>
                <w:noProof w:val="0"/>
                <w:color w:val="FFFFFF"/>
                <w:szCs w:val="16"/>
              </w:rPr>
              <w:t>Steep sloped land (&gt;24</w:t>
            </w:r>
            <w:r w:rsidRPr="00FC4502">
              <w:rPr>
                <w:rFonts w:cs="Calibri"/>
                <w:noProof w:val="0"/>
                <w:color w:val="FFFFFF"/>
                <w:szCs w:val="16"/>
                <w:vertAlign w:val="superscript"/>
              </w:rPr>
              <w:t>o</w:t>
            </w:r>
            <w:r w:rsidRPr="00FC4502">
              <w:rPr>
                <w:rFonts w:cs="Calibri"/>
                <w:noProof w:val="0"/>
                <w:color w:val="FFFFFF"/>
                <w:szCs w:val="16"/>
              </w:rPr>
              <w:t>)</w:t>
            </w:r>
          </w:p>
        </w:tc>
        <w:tc>
          <w:tcPr>
            <w:tcW w:w="1249" w:type="dxa"/>
            <w:tcBorders>
              <w:top w:val="single" w:sz="4" w:space="0" w:color="44546A"/>
              <w:left w:val="nil"/>
              <w:bottom w:val="single" w:sz="4" w:space="0" w:color="44546A"/>
              <w:right w:val="nil"/>
            </w:tcBorders>
            <w:shd w:val="clear" w:color="auto" w:fill="1B556B"/>
            <w:vAlign w:val="bottom"/>
          </w:tcPr>
          <w:p w14:paraId="584AB295" w14:textId="77777777" w:rsidR="004543E0" w:rsidRPr="00FC4502" w:rsidRDefault="004543E0" w:rsidP="007E3239">
            <w:pPr>
              <w:pStyle w:val="TableTextBold"/>
              <w:keepNext/>
              <w:jc w:val="right"/>
              <w:rPr>
                <w:rFonts w:cs="Calibri"/>
                <w:noProof w:val="0"/>
                <w:color w:val="FFFFFF"/>
                <w:szCs w:val="16"/>
              </w:rPr>
            </w:pPr>
            <w:r w:rsidRPr="00FC4502">
              <w:rPr>
                <w:rFonts w:cs="Calibri"/>
                <w:noProof w:val="0"/>
                <w:color w:val="FFFFFF"/>
                <w:szCs w:val="16"/>
              </w:rPr>
              <w:t>Total</w:t>
            </w:r>
          </w:p>
        </w:tc>
      </w:tr>
      <w:tr w:rsidR="004543E0" w:rsidRPr="00FC4502" w14:paraId="1419F941" w14:textId="77777777" w:rsidTr="00FC4502">
        <w:tc>
          <w:tcPr>
            <w:tcW w:w="2206" w:type="dxa"/>
            <w:tcBorders>
              <w:top w:val="single" w:sz="4" w:space="0" w:color="44546A"/>
              <w:left w:val="nil"/>
              <w:bottom w:val="single" w:sz="4" w:space="0" w:color="44546A"/>
              <w:right w:val="nil"/>
            </w:tcBorders>
            <w:shd w:val="clear" w:color="auto" w:fill="auto"/>
          </w:tcPr>
          <w:p w14:paraId="77EA7D6A" w14:textId="77777777" w:rsidR="004543E0" w:rsidRPr="00FC4502" w:rsidRDefault="004543E0" w:rsidP="007E3239">
            <w:pPr>
              <w:pStyle w:val="TableText"/>
              <w:spacing w:before="50" w:after="50"/>
              <w:rPr>
                <w:rFonts w:cs="Calibri"/>
                <w:szCs w:val="16"/>
              </w:rPr>
            </w:pPr>
            <w:r w:rsidRPr="00FC4502">
              <w:rPr>
                <w:rFonts w:cs="Calibri"/>
                <w:szCs w:val="16"/>
              </w:rPr>
              <w:t>Dairy cattle urine</w:t>
            </w:r>
          </w:p>
        </w:tc>
        <w:tc>
          <w:tcPr>
            <w:tcW w:w="1249" w:type="dxa"/>
            <w:tcBorders>
              <w:top w:val="single" w:sz="4" w:space="0" w:color="44546A"/>
              <w:left w:val="nil"/>
              <w:bottom w:val="single" w:sz="4" w:space="0" w:color="44546A"/>
              <w:right w:val="nil"/>
            </w:tcBorders>
            <w:shd w:val="clear" w:color="auto" w:fill="auto"/>
            <w:vAlign w:val="center"/>
          </w:tcPr>
          <w:p w14:paraId="79DA4929" w14:textId="77777777" w:rsidR="004543E0" w:rsidRPr="00FC4502" w:rsidRDefault="004543E0" w:rsidP="007E3239">
            <w:pPr>
              <w:pStyle w:val="TableText"/>
              <w:spacing w:before="50" w:after="50"/>
              <w:jc w:val="right"/>
              <w:rPr>
                <w:rFonts w:cs="Calibri"/>
                <w:szCs w:val="16"/>
              </w:rPr>
            </w:pPr>
            <w:r w:rsidRPr="00FC4502">
              <w:rPr>
                <w:rFonts w:cs="Calibri"/>
                <w:szCs w:val="16"/>
              </w:rPr>
              <w:t>341 (57)</w:t>
            </w:r>
          </w:p>
        </w:tc>
        <w:tc>
          <w:tcPr>
            <w:tcW w:w="1249" w:type="dxa"/>
            <w:tcBorders>
              <w:top w:val="single" w:sz="4" w:space="0" w:color="44546A"/>
              <w:left w:val="nil"/>
              <w:bottom w:val="single" w:sz="4" w:space="0" w:color="44546A"/>
              <w:right w:val="nil"/>
            </w:tcBorders>
            <w:shd w:val="clear" w:color="auto" w:fill="auto"/>
            <w:vAlign w:val="center"/>
          </w:tcPr>
          <w:p w14:paraId="46359B43" w14:textId="77777777" w:rsidR="004543E0" w:rsidRPr="00FC4502" w:rsidRDefault="004543E0" w:rsidP="007E3239">
            <w:pPr>
              <w:pStyle w:val="TableText"/>
              <w:spacing w:before="50" w:after="50"/>
              <w:jc w:val="right"/>
              <w:rPr>
                <w:rFonts w:cs="Calibri"/>
                <w:szCs w:val="16"/>
              </w:rPr>
            </w:pPr>
            <w:r w:rsidRPr="00FC4502">
              <w:rPr>
                <w:rFonts w:cs="Calibri"/>
                <w:szCs w:val="16"/>
              </w:rPr>
              <w:t>108 (22)</w:t>
            </w:r>
          </w:p>
        </w:tc>
        <w:tc>
          <w:tcPr>
            <w:tcW w:w="1303" w:type="dxa"/>
            <w:tcBorders>
              <w:top w:val="single" w:sz="4" w:space="0" w:color="44546A"/>
              <w:left w:val="nil"/>
              <w:bottom w:val="single" w:sz="4" w:space="0" w:color="44546A"/>
              <w:right w:val="nil"/>
            </w:tcBorders>
            <w:shd w:val="clear" w:color="auto" w:fill="auto"/>
            <w:vAlign w:val="center"/>
          </w:tcPr>
          <w:p w14:paraId="11922C70" w14:textId="77777777" w:rsidR="004543E0" w:rsidRPr="00FC4502" w:rsidRDefault="004543E0" w:rsidP="007E3239">
            <w:pPr>
              <w:pStyle w:val="TableText"/>
              <w:spacing w:before="50" w:after="50"/>
              <w:jc w:val="right"/>
              <w:rPr>
                <w:rFonts w:cs="Calibri"/>
                <w:szCs w:val="16"/>
              </w:rPr>
            </w:pPr>
            <w:r w:rsidRPr="00FC4502">
              <w:rPr>
                <w:rFonts w:cs="Calibri"/>
                <w:szCs w:val="16"/>
              </w:rPr>
              <w:t>20 (4)</w:t>
            </w:r>
          </w:p>
        </w:tc>
        <w:tc>
          <w:tcPr>
            <w:tcW w:w="1249" w:type="dxa"/>
            <w:tcBorders>
              <w:top w:val="single" w:sz="4" w:space="0" w:color="44546A"/>
              <w:left w:val="nil"/>
              <w:bottom w:val="single" w:sz="4" w:space="0" w:color="44546A"/>
              <w:right w:val="nil"/>
            </w:tcBorders>
            <w:shd w:val="clear" w:color="auto" w:fill="auto"/>
            <w:vAlign w:val="center"/>
          </w:tcPr>
          <w:p w14:paraId="2FBF8906" w14:textId="77777777" w:rsidR="004543E0" w:rsidRPr="00FC4502" w:rsidRDefault="004543E0" w:rsidP="007E3239">
            <w:pPr>
              <w:pStyle w:val="TableText"/>
              <w:spacing w:before="50" w:after="50"/>
              <w:jc w:val="right"/>
              <w:rPr>
                <w:rFonts w:cs="Calibri"/>
                <w:szCs w:val="16"/>
              </w:rPr>
            </w:pPr>
            <w:r w:rsidRPr="00FC4502">
              <w:rPr>
                <w:rFonts w:cs="Calibri"/>
                <w:szCs w:val="16"/>
              </w:rPr>
              <w:t xml:space="preserve"> </w:t>
            </w:r>
          </w:p>
        </w:tc>
        <w:tc>
          <w:tcPr>
            <w:tcW w:w="1249" w:type="dxa"/>
            <w:tcBorders>
              <w:top w:val="single" w:sz="4" w:space="0" w:color="44546A"/>
              <w:left w:val="nil"/>
              <w:bottom w:val="single" w:sz="4" w:space="0" w:color="44546A"/>
              <w:right w:val="nil"/>
            </w:tcBorders>
            <w:shd w:val="clear" w:color="auto" w:fill="auto"/>
            <w:vAlign w:val="center"/>
          </w:tcPr>
          <w:p w14:paraId="61F877D4" w14:textId="77777777" w:rsidR="004543E0" w:rsidRPr="00FC4502" w:rsidRDefault="004543E0" w:rsidP="007E3239">
            <w:pPr>
              <w:pStyle w:val="TableText"/>
              <w:spacing w:before="50" w:after="50"/>
              <w:jc w:val="right"/>
              <w:rPr>
                <w:rFonts w:cs="Calibri"/>
                <w:szCs w:val="16"/>
              </w:rPr>
            </w:pPr>
            <w:r w:rsidRPr="00FC4502">
              <w:rPr>
                <w:rFonts w:cs="Calibri"/>
                <w:szCs w:val="16"/>
              </w:rPr>
              <w:t>469 (83)</w:t>
            </w:r>
          </w:p>
        </w:tc>
      </w:tr>
      <w:tr w:rsidR="004543E0" w:rsidRPr="00FC4502" w14:paraId="13E2A496" w14:textId="77777777" w:rsidTr="00FC4502">
        <w:tc>
          <w:tcPr>
            <w:tcW w:w="2206" w:type="dxa"/>
            <w:tcBorders>
              <w:top w:val="single" w:sz="4" w:space="0" w:color="44546A"/>
              <w:left w:val="nil"/>
              <w:bottom w:val="single" w:sz="4" w:space="0" w:color="44546A"/>
              <w:right w:val="nil"/>
            </w:tcBorders>
            <w:shd w:val="clear" w:color="auto" w:fill="auto"/>
          </w:tcPr>
          <w:p w14:paraId="437BE20B" w14:textId="77777777" w:rsidR="004543E0" w:rsidRPr="00FC4502" w:rsidRDefault="004543E0" w:rsidP="007E3239">
            <w:pPr>
              <w:pStyle w:val="TableText"/>
              <w:spacing w:before="50" w:after="50"/>
              <w:rPr>
                <w:rFonts w:cs="Calibri"/>
                <w:szCs w:val="16"/>
              </w:rPr>
            </w:pPr>
            <w:r w:rsidRPr="00FC4502">
              <w:rPr>
                <w:rFonts w:cs="Calibri"/>
                <w:szCs w:val="16"/>
              </w:rPr>
              <w:t>Dairy cattle dung</w:t>
            </w:r>
          </w:p>
        </w:tc>
        <w:tc>
          <w:tcPr>
            <w:tcW w:w="1249" w:type="dxa"/>
            <w:tcBorders>
              <w:top w:val="single" w:sz="4" w:space="0" w:color="44546A"/>
              <w:left w:val="nil"/>
              <w:bottom w:val="single" w:sz="4" w:space="0" w:color="44546A"/>
              <w:right w:val="nil"/>
            </w:tcBorders>
            <w:shd w:val="clear" w:color="auto" w:fill="auto"/>
            <w:vAlign w:val="center"/>
          </w:tcPr>
          <w:p w14:paraId="029B9904" w14:textId="77777777" w:rsidR="004543E0" w:rsidRPr="00FC4502" w:rsidRDefault="004543E0" w:rsidP="007E3239">
            <w:pPr>
              <w:pStyle w:val="TableText"/>
              <w:spacing w:before="50" w:after="50"/>
              <w:jc w:val="right"/>
              <w:rPr>
                <w:rFonts w:cs="Calibri"/>
                <w:szCs w:val="16"/>
              </w:rPr>
            </w:pPr>
            <w:r w:rsidRPr="00FC4502">
              <w:rPr>
                <w:rFonts w:cs="Calibri"/>
                <w:szCs w:val="16"/>
              </w:rPr>
              <w:t>84 (19)</w:t>
            </w:r>
          </w:p>
        </w:tc>
        <w:tc>
          <w:tcPr>
            <w:tcW w:w="1249" w:type="dxa"/>
            <w:tcBorders>
              <w:top w:val="single" w:sz="4" w:space="0" w:color="44546A"/>
              <w:left w:val="nil"/>
              <w:bottom w:val="single" w:sz="4" w:space="0" w:color="44546A"/>
              <w:right w:val="nil"/>
            </w:tcBorders>
            <w:shd w:val="clear" w:color="auto" w:fill="auto"/>
            <w:vAlign w:val="center"/>
          </w:tcPr>
          <w:p w14:paraId="2649D9D7" w14:textId="77777777" w:rsidR="004543E0" w:rsidRPr="00FC4502" w:rsidRDefault="004543E0" w:rsidP="007E3239">
            <w:pPr>
              <w:pStyle w:val="TableText"/>
              <w:spacing w:before="50" w:after="50"/>
              <w:jc w:val="right"/>
              <w:rPr>
                <w:rFonts w:cs="Calibri"/>
                <w:szCs w:val="16"/>
              </w:rPr>
            </w:pPr>
            <w:r w:rsidRPr="00FC4502">
              <w:rPr>
                <w:rFonts w:cs="Calibri"/>
                <w:szCs w:val="16"/>
              </w:rPr>
              <w:t>46 (9)</w:t>
            </w:r>
          </w:p>
        </w:tc>
        <w:tc>
          <w:tcPr>
            <w:tcW w:w="1303" w:type="dxa"/>
            <w:tcBorders>
              <w:top w:val="single" w:sz="4" w:space="0" w:color="44546A"/>
              <w:left w:val="nil"/>
              <w:bottom w:val="single" w:sz="4" w:space="0" w:color="44546A"/>
              <w:right w:val="nil"/>
            </w:tcBorders>
            <w:shd w:val="clear" w:color="auto" w:fill="auto"/>
            <w:vAlign w:val="center"/>
          </w:tcPr>
          <w:p w14:paraId="7A36C719" w14:textId="77777777" w:rsidR="004543E0" w:rsidRPr="00FC4502" w:rsidRDefault="004543E0" w:rsidP="007E3239">
            <w:pPr>
              <w:pStyle w:val="TableText"/>
              <w:spacing w:before="50" w:after="50"/>
              <w:jc w:val="right"/>
              <w:rPr>
                <w:rFonts w:cs="Calibri"/>
                <w:szCs w:val="16"/>
              </w:rPr>
            </w:pPr>
            <w:r w:rsidRPr="00FC4502">
              <w:rPr>
                <w:rFonts w:cs="Calibri"/>
                <w:szCs w:val="16"/>
              </w:rPr>
              <w:t>20 (4)</w:t>
            </w:r>
          </w:p>
        </w:tc>
        <w:tc>
          <w:tcPr>
            <w:tcW w:w="1249" w:type="dxa"/>
            <w:tcBorders>
              <w:top w:val="single" w:sz="4" w:space="0" w:color="44546A"/>
              <w:left w:val="nil"/>
              <w:bottom w:val="single" w:sz="4" w:space="0" w:color="44546A"/>
              <w:right w:val="nil"/>
            </w:tcBorders>
            <w:shd w:val="clear" w:color="auto" w:fill="auto"/>
            <w:vAlign w:val="center"/>
          </w:tcPr>
          <w:p w14:paraId="2281118E" w14:textId="77777777" w:rsidR="004543E0" w:rsidRPr="00FC4502" w:rsidRDefault="004543E0" w:rsidP="007E3239">
            <w:pPr>
              <w:pStyle w:val="TableText"/>
              <w:spacing w:before="50" w:after="50"/>
              <w:jc w:val="right"/>
              <w:rPr>
                <w:rFonts w:cs="Calibri"/>
                <w:szCs w:val="16"/>
              </w:rPr>
            </w:pPr>
            <w:r w:rsidRPr="00FC4502">
              <w:rPr>
                <w:rFonts w:cs="Calibri"/>
                <w:szCs w:val="16"/>
              </w:rPr>
              <w:t xml:space="preserve"> </w:t>
            </w:r>
          </w:p>
        </w:tc>
        <w:tc>
          <w:tcPr>
            <w:tcW w:w="1249" w:type="dxa"/>
            <w:tcBorders>
              <w:top w:val="single" w:sz="4" w:space="0" w:color="44546A"/>
              <w:left w:val="nil"/>
              <w:bottom w:val="single" w:sz="4" w:space="0" w:color="44546A"/>
              <w:right w:val="nil"/>
            </w:tcBorders>
            <w:shd w:val="clear" w:color="auto" w:fill="auto"/>
            <w:vAlign w:val="center"/>
          </w:tcPr>
          <w:p w14:paraId="4C8B37A5" w14:textId="77777777" w:rsidR="004543E0" w:rsidRPr="00FC4502" w:rsidRDefault="004543E0" w:rsidP="007E3239">
            <w:pPr>
              <w:pStyle w:val="TableText"/>
              <w:spacing w:before="50" w:after="50"/>
              <w:jc w:val="right"/>
              <w:rPr>
                <w:rFonts w:cs="Calibri"/>
                <w:szCs w:val="16"/>
              </w:rPr>
            </w:pPr>
            <w:r w:rsidRPr="00FC4502">
              <w:rPr>
                <w:rFonts w:cs="Calibri"/>
                <w:szCs w:val="16"/>
              </w:rPr>
              <w:t>150 (32)</w:t>
            </w:r>
          </w:p>
        </w:tc>
      </w:tr>
      <w:tr w:rsidR="004543E0" w:rsidRPr="00FC4502" w14:paraId="27B37CA4" w14:textId="77777777" w:rsidTr="00FC4502">
        <w:tc>
          <w:tcPr>
            <w:tcW w:w="2206" w:type="dxa"/>
            <w:tcBorders>
              <w:top w:val="single" w:sz="4" w:space="0" w:color="44546A"/>
              <w:left w:val="nil"/>
              <w:bottom w:val="single" w:sz="4" w:space="0" w:color="44546A"/>
              <w:right w:val="nil"/>
            </w:tcBorders>
            <w:shd w:val="clear" w:color="auto" w:fill="auto"/>
          </w:tcPr>
          <w:p w14:paraId="78D0DAB1" w14:textId="77777777" w:rsidR="004543E0" w:rsidRPr="00FC4502" w:rsidRDefault="004543E0" w:rsidP="007E3239">
            <w:pPr>
              <w:pStyle w:val="TableText"/>
              <w:spacing w:before="50" w:after="50"/>
              <w:rPr>
                <w:rFonts w:cs="Calibri"/>
                <w:szCs w:val="16"/>
              </w:rPr>
            </w:pPr>
            <w:r w:rsidRPr="00FC4502">
              <w:rPr>
                <w:rFonts w:cs="Calibri"/>
                <w:szCs w:val="16"/>
              </w:rPr>
              <w:t>Beef cattle urine</w:t>
            </w:r>
          </w:p>
        </w:tc>
        <w:tc>
          <w:tcPr>
            <w:tcW w:w="1249" w:type="dxa"/>
            <w:tcBorders>
              <w:top w:val="single" w:sz="4" w:space="0" w:color="44546A"/>
              <w:left w:val="nil"/>
              <w:bottom w:val="single" w:sz="4" w:space="0" w:color="44546A"/>
              <w:right w:val="nil"/>
            </w:tcBorders>
            <w:shd w:val="clear" w:color="auto" w:fill="auto"/>
            <w:vAlign w:val="center"/>
          </w:tcPr>
          <w:p w14:paraId="7F62AE16" w14:textId="77777777" w:rsidR="004543E0" w:rsidRPr="00FC4502" w:rsidRDefault="004543E0" w:rsidP="007E3239">
            <w:pPr>
              <w:pStyle w:val="TableText"/>
              <w:spacing w:before="50" w:after="50"/>
              <w:jc w:val="right"/>
              <w:rPr>
                <w:rFonts w:cs="Calibri"/>
                <w:szCs w:val="16"/>
              </w:rPr>
            </w:pPr>
            <w:r w:rsidRPr="00FC4502">
              <w:rPr>
                <w:rFonts w:cs="Calibri"/>
                <w:szCs w:val="16"/>
              </w:rPr>
              <w:t>8 (1)</w:t>
            </w:r>
          </w:p>
        </w:tc>
        <w:tc>
          <w:tcPr>
            <w:tcW w:w="1249" w:type="dxa"/>
            <w:tcBorders>
              <w:top w:val="single" w:sz="4" w:space="0" w:color="44546A"/>
              <w:left w:val="nil"/>
              <w:bottom w:val="single" w:sz="4" w:space="0" w:color="44546A"/>
              <w:right w:val="nil"/>
            </w:tcBorders>
            <w:shd w:val="clear" w:color="auto" w:fill="auto"/>
            <w:vAlign w:val="center"/>
          </w:tcPr>
          <w:p w14:paraId="07BD7084" w14:textId="77777777" w:rsidR="004543E0" w:rsidRPr="00FC4502" w:rsidRDefault="004543E0" w:rsidP="007E3239">
            <w:pPr>
              <w:pStyle w:val="TableText"/>
              <w:spacing w:before="50" w:after="50"/>
              <w:jc w:val="right"/>
              <w:rPr>
                <w:rFonts w:cs="Calibri"/>
                <w:szCs w:val="16"/>
              </w:rPr>
            </w:pPr>
            <w:r w:rsidRPr="00FC4502">
              <w:rPr>
                <w:rFonts w:cs="Calibri"/>
                <w:szCs w:val="16"/>
              </w:rPr>
              <w:t>40 (8)</w:t>
            </w:r>
          </w:p>
        </w:tc>
        <w:tc>
          <w:tcPr>
            <w:tcW w:w="1303" w:type="dxa"/>
            <w:tcBorders>
              <w:top w:val="single" w:sz="4" w:space="0" w:color="44546A"/>
              <w:left w:val="nil"/>
              <w:bottom w:val="single" w:sz="4" w:space="0" w:color="44546A"/>
              <w:right w:val="nil"/>
            </w:tcBorders>
            <w:shd w:val="clear" w:color="auto" w:fill="auto"/>
            <w:vAlign w:val="center"/>
          </w:tcPr>
          <w:p w14:paraId="0992286F" w14:textId="77777777" w:rsidR="004543E0" w:rsidRPr="00FC4502" w:rsidRDefault="004543E0" w:rsidP="007E3239">
            <w:pPr>
              <w:pStyle w:val="TableText"/>
              <w:spacing w:before="50" w:after="50"/>
              <w:jc w:val="right"/>
              <w:rPr>
                <w:rFonts w:cs="Calibri"/>
                <w:szCs w:val="16"/>
              </w:rPr>
            </w:pPr>
            <w:r w:rsidRPr="00FC4502">
              <w:rPr>
                <w:rFonts w:cs="Calibri"/>
                <w:szCs w:val="16"/>
              </w:rPr>
              <w:t>60 (12)</w:t>
            </w:r>
          </w:p>
        </w:tc>
        <w:tc>
          <w:tcPr>
            <w:tcW w:w="1249" w:type="dxa"/>
            <w:tcBorders>
              <w:top w:val="single" w:sz="4" w:space="0" w:color="44546A"/>
              <w:left w:val="nil"/>
              <w:bottom w:val="single" w:sz="4" w:space="0" w:color="44546A"/>
              <w:right w:val="nil"/>
            </w:tcBorders>
            <w:shd w:val="clear" w:color="auto" w:fill="auto"/>
            <w:vAlign w:val="center"/>
          </w:tcPr>
          <w:p w14:paraId="4725F1CE" w14:textId="77777777" w:rsidR="004543E0" w:rsidRPr="00FC4502" w:rsidRDefault="004543E0" w:rsidP="007E3239">
            <w:pPr>
              <w:pStyle w:val="TableText"/>
              <w:spacing w:before="50" w:after="50"/>
              <w:jc w:val="right"/>
              <w:rPr>
                <w:rFonts w:cs="Calibri"/>
                <w:szCs w:val="16"/>
              </w:rPr>
            </w:pPr>
            <w:r w:rsidRPr="00FC4502">
              <w:rPr>
                <w:rFonts w:cs="Calibri"/>
                <w:szCs w:val="16"/>
              </w:rPr>
              <w:t>20 (4)</w:t>
            </w:r>
          </w:p>
        </w:tc>
        <w:tc>
          <w:tcPr>
            <w:tcW w:w="1249" w:type="dxa"/>
            <w:tcBorders>
              <w:top w:val="single" w:sz="4" w:space="0" w:color="44546A"/>
              <w:left w:val="nil"/>
              <w:bottom w:val="single" w:sz="4" w:space="0" w:color="44546A"/>
              <w:right w:val="nil"/>
            </w:tcBorders>
            <w:shd w:val="clear" w:color="auto" w:fill="auto"/>
            <w:vAlign w:val="center"/>
          </w:tcPr>
          <w:p w14:paraId="15BA509E" w14:textId="77777777" w:rsidR="004543E0" w:rsidRPr="00FC4502" w:rsidRDefault="004543E0" w:rsidP="007E3239">
            <w:pPr>
              <w:pStyle w:val="TableText"/>
              <w:spacing w:before="50" w:after="50"/>
              <w:jc w:val="right"/>
              <w:rPr>
                <w:rFonts w:cs="Calibri"/>
                <w:szCs w:val="16"/>
              </w:rPr>
            </w:pPr>
            <w:r w:rsidRPr="00FC4502">
              <w:rPr>
                <w:rFonts w:cs="Calibri"/>
                <w:szCs w:val="16"/>
              </w:rPr>
              <w:t>128 (25)</w:t>
            </w:r>
          </w:p>
        </w:tc>
      </w:tr>
      <w:tr w:rsidR="004543E0" w:rsidRPr="00FC4502" w14:paraId="541A9CB5" w14:textId="77777777" w:rsidTr="00FC4502">
        <w:tc>
          <w:tcPr>
            <w:tcW w:w="2206" w:type="dxa"/>
            <w:tcBorders>
              <w:top w:val="single" w:sz="4" w:space="0" w:color="44546A"/>
              <w:left w:val="nil"/>
              <w:bottom w:val="single" w:sz="4" w:space="0" w:color="44546A"/>
              <w:right w:val="nil"/>
            </w:tcBorders>
            <w:shd w:val="clear" w:color="auto" w:fill="auto"/>
          </w:tcPr>
          <w:p w14:paraId="2BC15EBF" w14:textId="77777777" w:rsidR="004543E0" w:rsidRPr="00FC4502" w:rsidRDefault="004543E0" w:rsidP="007E3239">
            <w:pPr>
              <w:pStyle w:val="TableText"/>
              <w:spacing w:before="50" w:after="50"/>
              <w:rPr>
                <w:rFonts w:cs="Calibri"/>
                <w:szCs w:val="16"/>
              </w:rPr>
            </w:pPr>
            <w:r w:rsidRPr="00FC4502">
              <w:rPr>
                <w:rFonts w:cs="Calibri"/>
                <w:szCs w:val="16"/>
              </w:rPr>
              <w:t>Beef cattle dung</w:t>
            </w:r>
          </w:p>
        </w:tc>
        <w:tc>
          <w:tcPr>
            <w:tcW w:w="1249" w:type="dxa"/>
            <w:tcBorders>
              <w:top w:val="single" w:sz="4" w:space="0" w:color="44546A"/>
              <w:left w:val="nil"/>
              <w:bottom w:val="single" w:sz="4" w:space="0" w:color="44546A"/>
              <w:right w:val="nil"/>
            </w:tcBorders>
            <w:shd w:val="clear" w:color="auto" w:fill="auto"/>
            <w:vAlign w:val="center"/>
          </w:tcPr>
          <w:p w14:paraId="345C7D95" w14:textId="77777777" w:rsidR="004543E0" w:rsidRPr="00FC4502" w:rsidRDefault="004543E0" w:rsidP="007E3239">
            <w:pPr>
              <w:pStyle w:val="TableText"/>
              <w:spacing w:before="50" w:after="50"/>
              <w:jc w:val="right"/>
              <w:rPr>
                <w:rFonts w:cs="Calibri"/>
                <w:szCs w:val="16"/>
              </w:rPr>
            </w:pPr>
            <w:r w:rsidRPr="00FC4502">
              <w:rPr>
                <w:rFonts w:cs="Calibri"/>
                <w:szCs w:val="16"/>
              </w:rPr>
              <w:t xml:space="preserve"> </w:t>
            </w:r>
          </w:p>
        </w:tc>
        <w:tc>
          <w:tcPr>
            <w:tcW w:w="1249" w:type="dxa"/>
            <w:tcBorders>
              <w:top w:val="single" w:sz="4" w:space="0" w:color="44546A"/>
              <w:left w:val="nil"/>
              <w:bottom w:val="single" w:sz="4" w:space="0" w:color="44546A"/>
              <w:right w:val="nil"/>
            </w:tcBorders>
            <w:shd w:val="clear" w:color="auto" w:fill="auto"/>
            <w:vAlign w:val="center"/>
          </w:tcPr>
          <w:p w14:paraId="5B4A9FCF" w14:textId="77777777" w:rsidR="004543E0" w:rsidRPr="00FC4502" w:rsidRDefault="004543E0" w:rsidP="007E3239">
            <w:pPr>
              <w:pStyle w:val="TableText"/>
              <w:spacing w:before="50" w:after="50"/>
              <w:jc w:val="right"/>
              <w:rPr>
                <w:rFonts w:cs="Calibri"/>
                <w:szCs w:val="16"/>
              </w:rPr>
            </w:pPr>
            <w:r w:rsidRPr="00FC4502">
              <w:rPr>
                <w:rFonts w:cs="Calibri"/>
                <w:szCs w:val="16"/>
              </w:rPr>
              <w:t>76 (16)</w:t>
            </w:r>
          </w:p>
        </w:tc>
        <w:tc>
          <w:tcPr>
            <w:tcW w:w="1303" w:type="dxa"/>
            <w:tcBorders>
              <w:top w:val="single" w:sz="4" w:space="0" w:color="44546A"/>
              <w:left w:val="nil"/>
              <w:bottom w:val="single" w:sz="4" w:space="0" w:color="44546A"/>
              <w:right w:val="nil"/>
            </w:tcBorders>
            <w:shd w:val="clear" w:color="auto" w:fill="auto"/>
            <w:vAlign w:val="center"/>
          </w:tcPr>
          <w:p w14:paraId="58E1AA81" w14:textId="77777777" w:rsidR="004543E0" w:rsidRPr="00FC4502" w:rsidRDefault="004543E0" w:rsidP="007E3239">
            <w:pPr>
              <w:pStyle w:val="TableText"/>
              <w:spacing w:before="50" w:after="50"/>
              <w:jc w:val="right"/>
              <w:rPr>
                <w:rFonts w:cs="Calibri"/>
                <w:szCs w:val="16"/>
              </w:rPr>
            </w:pPr>
            <w:r w:rsidRPr="00FC4502">
              <w:rPr>
                <w:rFonts w:cs="Calibri"/>
                <w:szCs w:val="16"/>
              </w:rPr>
              <w:t>60 (12)</w:t>
            </w:r>
          </w:p>
        </w:tc>
        <w:tc>
          <w:tcPr>
            <w:tcW w:w="1249" w:type="dxa"/>
            <w:tcBorders>
              <w:top w:val="single" w:sz="4" w:space="0" w:color="44546A"/>
              <w:left w:val="nil"/>
              <w:bottom w:val="single" w:sz="4" w:space="0" w:color="44546A"/>
              <w:right w:val="nil"/>
            </w:tcBorders>
            <w:shd w:val="clear" w:color="auto" w:fill="auto"/>
            <w:vAlign w:val="center"/>
          </w:tcPr>
          <w:p w14:paraId="6456FCB0" w14:textId="77777777" w:rsidR="004543E0" w:rsidRPr="00FC4502" w:rsidRDefault="004543E0" w:rsidP="007E3239">
            <w:pPr>
              <w:pStyle w:val="TableText"/>
              <w:spacing w:before="50" w:after="50"/>
              <w:jc w:val="right"/>
              <w:rPr>
                <w:rFonts w:cs="Calibri"/>
                <w:szCs w:val="16"/>
              </w:rPr>
            </w:pPr>
            <w:r w:rsidRPr="00FC4502">
              <w:rPr>
                <w:rFonts w:cs="Calibri"/>
                <w:szCs w:val="16"/>
              </w:rPr>
              <w:t>20 (4)</w:t>
            </w:r>
          </w:p>
        </w:tc>
        <w:tc>
          <w:tcPr>
            <w:tcW w:w="1249" w:type="dxa"/>
            <w:tcBorders>
              <w:top w:val="single" w:sz="4" w:space="0" w:color="44546A"/>
              <w:left w:val="nil"/>
              <w:bottom w:val="single" w:sz="4" w:space="0" w:color="44546A"/>
              <w:right w:val="nil"/>
            </w:tcBorders>
            <w:shd w:val="clear" w:color="auto" w:fill="auto"/>
            <w:vAlign w:val="center"/>
          </w:tcPr>
          <w:p w14:paraId="7828E65E" w14:textId="77777777" w:rsidR="004543E0" w:rsidRPr="00FC4502" w:rsidRDefault="004543E0" w:rsidP="007E3239">
            <w:pPr>
              <w:pStyle w:val="TableText"/>
              <w:spacing w:before="50" w:after="50"/>
              <w:jc w:val="right"/>
              <w:rPr>
                <w:rFonts w:cs="Calibri"/>
                <w:szCs w:val="16"/>
              </w:rPr>
            </w:pPr>
            <w:r w:rsidRPr="00FC4502">
              <w:rPr>
                <w:rFonts w:cs="Calibri"/>
                <w:szCs w:val="16"/>
              </w:rPr>
              <w:t>156 (32)</w:t>
            </w:r>
          </w:p>
        </w:tc>
      </w:tr>
      <w:tr w:rsidR="004543E0" w:rsidRPr="00FC4502" w14:paraId="25F998FE" w14:textId="77777777" w:rsidTr="00FC4502">
        <w:tc>
          <w:tcPr>
            <w:tcW w:w="2206" w:type="dxa"/>
            <w:tcBorders>
              <w:top w:val="single" w:sz="4" w:space="0" w:color="44546A"/>
              <w:left w:val="nil"/>
              <w:bottom w:val="single" w:sz="4" w:space="0" w:color="44546A"/>
              <w:right w:val="nil"/>
            </w:tcBorders>
            <w:shd w:val="clear" w:color="auto" w:fill="auto"/>
          </w:tcPr>
          <w:p w14:paraId="1BFAAFA3" w14:textId="77777777" w:rsidR="004543E0" w:rsidRPr="00FC4502" w:rsidRDefault="004543E0" w:rsidP="007E3239">
            <w:pPr>
              <w:pStyle w:val="TableText"/>
              <w:spacing w:before="50" w:after="50"/>
              <w:rPr>
                <w:rFonts w:cs="Calibri"/>
                <w:szCs w:val="16"/>
              </w:rPr>
            </w:pPr>
            <w:r w:rsidRPr="00FC4502">
              <w:rPr>
                <w:rFonts w:cs="Calibri"/>
                <w:szCs w:val="16"/>
              </w:rPr>
              <w:lastRenderedPageBreak/>
              <w:t>Sheep urine</w:t>
            </w:r>
          </w:p>
        </w:tc>
        <w:tc>
          <w:tcPr>
            <w:tcW w:w="1249" w:type="dxa"/>
            <w:tcBorders>
              <w:top w:val="single" w:sz="4" w:space="0" w:color="44546A"/>
              <w:left w:val="nil"/>
              <w:bottom w:val="single" w:sz="4" w:space="0" w:color="44546A"/>
              <w:right w:val="nil"/>
            </w:tcBorders>
            <w:shd w:val="clear" w:color="auto" w:fill="auto"/>
            <w:vAlign w:val="center"/>
          </w:tcPr>
          <w:p w14:paraId="7B30B88F" w14:textId="77777777" w:rsidR="004543E0" w:rsidRPr="00FC4502" w:rsidRDefault="004543E0" w:rsidP="007E3239">
            <w:pPr>
              <w:pStyle w:val="TableText"/>
              <w:spacing w:before="50" w:after="50"/>
              <w:jc w:val="right"/>
              <w:rPr>
                <w:rFonts w:cs="Calibri"/>
                <w:szCs w:val="16"/>
              </w:rPr>
            </w:pPr>
            <w:r w:rsidRPr="00FC4502">
              <w:rPr>
                <w:rFonts w:cs="Calibri"/>
                <w:szCs w:val="16"/>
              </w:rPr>
              <w:t>40 (7)</w:t>
            </w:r>
          </w:p>
        </w:tc>
        <w:tc>
          <w:tcPr>
            <w:tcW w:w="1249" w:type="dxa"/>
            <w:tcBorders>
              <w:top w:val="single" w:sz="4" w:space="0" w:color="44546A"/>
              <w:left w:val="nil"/>
              <w:bottom w:val="single" w:sz="4" w:space="0" w:color="44546A"/>
              <w:right w:val="nil"/>
            </w:tcBorders>
            <w:shd w:val="clear" w:color="auto" w:fill="auto"/>
            <w:vAlign w:val="center"/>
          </w:tcPr>
          <w:p w14:paraId="17253692" w14:textId="77777777" w:rsidR="004543E0" w:rsidRPr="00FC4502" w:rsidRDefault="004543E0" w:rsidP="007E3239">
            <w:pPr>
              <w:pStyle w:val="TableText"/>
              <w:spacing w:before="50" w:after="50"/>
              <w:jc w:val="right"/>
              <w:rPr>
                <w:rFonts w:cs="Calibri"/>
                <w:szCs w:val="16"/>
              </w:rPr>
            </w:pPr>
            <w:r w:rsidRPr="00FC4502">
              <w:rPr>
                <w:rFonts w:cs="Calibri"/>
                <w:szCs w:val="16"/>
              </w:rPr>
              <w:t>64 (12)</w:t>
            </w:r>
          </w:p>
        </w:tc>
        <w:tc>
          <w:tcPr>
            <w:tcW w:w="1303" w:type="dxa"/>
            <w:tcBorders>
              <w:top w:val="single" w:sz="4" w:space="0" w:color="44546A"/>
              <w:left w:val="nil"/>
              <w:bottom w:val="single" w:sz="4" w:space="0" w:color="44546A"/>
              <w:right w:val="nil"/>
            </w:tcBorders>
            <w:shd w:val="clear" w:color="auto" w:fill="auto"/>
            <w:vAlign w:val="center"/>
          </w:tcPr>
          <w:p w14:paraId="09AB32D1" w14:textId="77777777" w:rsidR="004543E0" w:rsidRPr="00FC4502" w:rsidRDefault="004543E0" w:rsidP="007E3239">
            <w:pPr>
              <w:pStyle w:val="TableText"/>
              <w:spacing w:before="50" w:after="50"/>
              <w:jc w:val="right"/>
              <w:rPr>
                <w:rFonts w:cs="Calibri"/>
                <w:szCs w:val="16"/>
              </w:rPr>
            </w:pPr>
            <w:r w:rsidRPr="00FC4502">
              <w:rPr>
                <w:rFonts w:cs="Calibri"/>
                <w:szCs w:val="16"/>
              </w:rPr>
              <w:t>60 (12)</w:t>
            </w:r>
          </w:p>
        </w:tc>
        <w:tc>
          <w:tcPr>
            <w:tcW w:w="1249" w:type="dxa"/>
            <w:tcBorders>
              <w:top w:val="single" w:sz="4" w:space="0" w:color="44546A"/>
              <w:left w:val="nil"/>
              <w:bottom w:val="single" w:sz="4" w:space="0" w:color="44546A"/>
              <w:right w:val="nil"/>
            </w:tcBorders>
            <w:shd w:val="clear" w:color="auto" w:fill="auto"/>
            <w:vAlign w:val="center"/>
          </w:tcPr>
          <w:p w14:paraId="07C9431D" w14:textId="77777777" w:rsidR="004543E0" w:rsidRPr="00FC4502" w:rsidRDefault="004543E0" w:rsidP="007E3239">
            <w:pPr>
              <w:pStyle w:val="TableText"/>
              <w:spacing w:before="50" w:after="50"/>
              <w:jc w:val="right"/>
              <w:rPr>
                <w:rFonts w:cs="Calibri"/>
                <w:szCs w:val="16"/>
              </w:rPr>
            </w:pPr>
            <w:r w:rsidRPr="00FC4502">
              <w:rPr>
                <w:rFonts w:cs="Calibri"/>
                <w:szCs w:val="16"/>
              </w:rPr>
              <w:t>20 (4)</w:t>
            </w:r>
          </w:p>
        </w:tc>
        <w:tc>
          <w:tcPr>
            <w:tcW w:w="1249" w:type="dxa"/>
            <w:tcBorders>
              <w:top w:val="single" w:sz="4" w:space="0" w:color="44546A"/>
              <w:left w:val="nil"/>
              <w:bottom w:val="single" w:sz="4" w:space="0" w:color="44546A"/>
              <w:right w:val="nil"/>
            </w:tcBorders>
            <w:shd w:val="clear" w:color="auto" w:fill="auto"/>
            <w:vAlign w:val="center"/>
          </w:tcPr>
          <w:p w14:paraId="4F205214" w14:textId="77777777" w:rsidR="004543E0" w:rsidRPr="00FC4502" w:rsidRDefault="004543E0" w:rsidP="007E3239">
            <w:pPr>
              <w:pStyle w:val="TableText"/>
              <w:spacing w:before="50" w:after="50"/>
              <w:jc w:val="right"/>
              <w:rPr>
                <w:rFonts w:cs="Calibri"/>
                <w:szCs w:val="16"/>
              </w:rPr>
            </w:pPr>
            <w:r w:rsidRPr="00FC4502">
              <w:rPr>
                <w:rFonts w:cs="Calibri"/>
                <w:szCs w:val="16"/>
              </w:rPr>
              <w:t>184 (35)</w:t>
            </w:r>
          </w:p>
        </w:tc>
      </w:tr>
      <w:tr w:rsidR="004543E0" w:rsidRPr="00FC4502" w14:paraId="593D61BD" w14:textId="77777777" w:rsidTr="00FC4502">
        <w:tc>
          <w:tcPr>
            <w:tcW w:w="2206" w:type="dxa"/>
            <w:tcBorders>
              <w:top w:val="single" w:sz="4" w:space="0" w:color="44546A"/>
              <w:left w:val="nil"/>
              <w:bottom w:val="single" w:sz="4" w:space="0" w:color="44546A"/>
              <w:right w:val="nil"/>
            </w:tcBorders>
            <w:shd w:val="clear" w:color="auto" w:fill="auto"/>
          </w:tcPr>
          <w:p w14:paraId="736F05F0" w14:textId="77777777" w:rsidR="004543E0" w:rsidRPr="00FC4502" w:rsidRDefault="004543E0" w:rsidP="007E3239">
            <w:pPr>
              <w:pStyle w:val="TableText"/>
              <w:spacing w:before="50" w:after="50"/>
              <w:rPr>
                <w:rFonts w:cs="Calibri"/>
                <w:szCs w:val="16"/>
              </w:rPr>
            </w:pPr>
            <w:r w:rsidRPr="00FC4502">
              <w:rPr>
                <w:rFonts w:cs="Calibri"/>
                <w:szCs w:val="16"/>
              </w:rPr>
              <w:t>Sheep dung</w:t>
            </w:r>
          </w:p>
        </w:tc>
        <w:tc>
          <w:tcPr>
            <w:tcW w:w="1249" w:type="dxa"/>
            <w:tcBorders>
              <w:top w:val="single" w:sz="4" w:space="0" w:color="44546A"/>
              <w:left w:val="nil"/>
              <w:bottom w:val="single" w:sz="4" w:space="0" w:color="44546A"/>
              <w:right w:val="nil"/>
            </w:tcBorders>
            <w:shd w:val="clear" w:color="auto" w:fill="auto"/>
            <w:vAlign w:val="center"/>
          </w:tcPr>
          <w:p w14:paraId="0543B4D6" w14:textId="77777777" w:rsidR="004543E0" w:rsidRPr="00FC4502" w:rsidRDefault="004543E0" w:rsidP="007E3239">
            <w:pPr>
              <w:pStyle w:val="TableText"/>
              <w:spacing w:before="50" w:after="50"/>
              <w:jc w:val="right"/>
              <w:rPr>
                <w:rFonts w:cs="Calibri"/>
                <w:szCs w:val="16"/>
              </w:rPr>
            </w:pPr>
            <w:r w:rsidRPr="00FC4502">
              <w:rPr>
                <w:rFonts w:cs="Calibri"/>
                <w:szCs w:val="16"/>
              </w:rPr>
              <w:t>54 (13)</w:t>
            </w:r>
          </w:p>
        </w:tc>
        <w:tc>
          <w:tcPr>
            <w:tcW w:w="1249" w:type="dxa"/>
            <w:tcBorders>
              <w:top w:val="single" w:sz="4" w:space="0" w:color="44546A"/>
              <w:left w:val="nil"/>
              <w:bottom w:val="single" w:sz="4" w:space="0" w:color="44546A"/>
              <w:right w:val="nil"/>
            </w:tcBorders>
            <w:shd w:val="clear" w:color="auto" w:fill="auto"/>
            <w:vAlign w:val="center"/>
          </w:tcPr>
          <w:p w14:paraId="117D37E8" w14:textId="77777777" w:rsidR="004543E0" w:rsidRPr="00FC4502" w:rsidRDefault="004543E0" w:rsidP="007E3239">
            <w:pPr>
              <w:pStyle w:val="TableText"/>
              <w:spacing w:before="50" w:after="50"/>
              <w:jc w:val="right"/>
              <w:rPr>
                <w:rFonts w:cs="Calibri"/>
                <w:szCs w:val="16"/>
              </w:rPr>
            </w:pPr>
            <w:r w:rsidRPr="00FC4502">
              <w:rPr>
                <w:rFonts w:cs="Calibri"/>
                <w:szCs w:val="16"/>
              </w:rPr>
              <w:t>36 (8)</w:t>
            </w:r>
          </w:p>
        </w:tc>
        <w:tc>
          <w:tcPr>
            <w:tcW w:w="1303" w:type="dxa"/>
            <w:tcBorders>
              <w:top w:val="single" w:sz="4" w:space="0" w:color="44546A"/>
              <w:left w:val="nil"/>
              <w:bottom w:val="single" w:sz="4" w:space="0" w:color="44546A"/>
              <w:right w:val="nil"/>
            </w:tcBorders>
            <w:shd w:val="clear" w:color="auto" w:fill="auto"/>
            <w:vAlign w:val="center"/>
          </w:tcPr>
          <w:p w14:paraId="0BD681AC" w14:textId="77777777" w:rsidR="004543E0" w:rsidRPr="00FC4502" w:rsidRDefault="004543E0" w:rsidP="007E3239">
            <w:pPr>
              <w:pStyle w:val="TableText"/>
              <w:spacing w:before="50" w:after="50"/>
              <w:jc w:val="right"/>
              <w:rPr>
                <w:rFonts w:cs="Calibri"/>
                <w:szCs w:val="16"/>
              </w:rPr>
            </w:pPr>
            <w:r w:rsidRPr="00FC4502">
              <w:rPr>
                <w:rFonts w:cs="Calibri"/>
                <w:szCs w:val="16"/>
              </w:rPr>
              <w:t>20 (4)</w:t>
            </w:r>
          </w:p>
        </w:tc>
        <w:tc>
          <w:tcPr>
            <w:tcW w:w="1249" w:type="dxa"/>
            <w:tcBorders>
              <w:top w:val="single" w:sz="4" w:space="0" w:color="44546A"/>
              <w:left w:val="nil"/>
              <w:bottom w:val="single" w:sz="4" w:space="0" w:color="44546A"/>
              <w:right w:val="nil"/>
            </w:tcBorders>
            <w:shd w:val="clear" w:color="auto" w:fill="auto"/>
            <w:vAlign w:val="center"/>
          </w:tcPr>
          <w:p w14:paraId="3F39546A" w14:textId="77777777" w:rsidR="004543E0" w:rsidRPr="00FC4502" w:rsidRDefault="004543E0" w:rsidP="007E3239">
            <w:pPr>
              <w:pStyle w:val="TableText"/>
              <w:spacing w:before="50" w:after="50"/>
              <w:jc w:val="right"/>
              <w:rPr>
                <w:rFonts w:cs="Calibri"/>
                <w:szCs w:val="16"/>
              </w:rPr>
            </w:pPr>
            <w:r w:rsidRPr="00FC4502">
              <w:rPr>
                <w:rFonts w:cs="Calibri"/>
                <w:szCs w:val="16"/>
              </w:rPr>
              <w:t>20 (4)</w:t>
            </w:r>
          </w:p>
        </w:tc>
        <w:tc>
          <w:tcPr>
            <w:tcW w:w="1249" w:type="dxa"/>
            <w:tcBorders>
              <w:top w:val="single" w:sz="4" w:space="0" w:color="44546A"/>
              <w:left w:val="nil"/>
              <w:bottom w:val="single" w:sz="4" w:space="0" w:color="44546A"/>
              <w:right w:val="nil"/>
            </w:tcBorders>
            <w:shd w:val="clear" w:color="auto" w:fill="auto"/>
            <w:vAlign w:val="center"/>
          </w:tcPr>
          <w:p w14:paraId="15683170" w14:textId="77777777" w:rsidR="004543E0" w:rsidRPr="00FC4502" w:rsidRDefault="004543E0" w:rsidP="007E3239">
            <w:pPr>
              <w:pStyle w:val="TableText"/>
              <w:spacing w:before="50" w:after="50"/>
              <w:jc w:val="right"/>
              <w:rPr>
                <w:rFonts w:cs="Calibri"/>
                <w:szCs w:val="16"/>
              </w:rPr>
            </w:pPr>
            <w:r w:rsidRPr="00FC4502">
              <w:rPr>
                <w:rFonts w:cs="Calibri"/>
                <w:szCs w:val="16"/>
              </w:rPr>
              <w:t>130 (29)</w:t>
            </w:r>
          </w:p>
        </w:tc>
      </w:tr>
      <w:tr w:rsidR="004543E0" w:rsidRPr="00FC4502" w14:paraId="7EE71C84" w14:textId="77777777" w:rsidTr="00FC4502">
        <w:tc>
          <w:tcPr>
            <w:tcW w:w="2206" w:type="dxa"/>
            <w:tcBorders>
              <w:top w:val="single" w:sz="4" w:space="0" w:color="44546A"/>
              <w:left w:val="nil"/>
              <w:bottom w:val="single" w:sz="4" w:space="0" w:color="44546A"/>
              <w:right w:val="nil"/>
            </w:tcBorders>
            <w:shd w:val="clear" w:color="auto" w:fill="auto"/>
          </w:tcPr>
          <w:p w14:paraId="22DB7783" w14:textId="77777777" w:rsidR="004543E0" w:rsidRPr="00FC4502" w:rsidRDefault="004543E0" w:rsidP="007E3239">
            <w:pPr>
              <w:pStyle w:val="Tableboldblue"/>
              <w:spacing w:before="50" w:after="50"/>
              <w:rPr>
                <w:rFonts w:cs="Calibri"/>
                <w:szCs w:val="16"/>
              </w:rPr>
            </w:pPr>
            <w:r w:rsidRPr="00FC4502">
              <w:rPr>
                <w:rFonts w:cs="Calibri"/>
                <w:szCs w:val="16"/>
              </w:rPr>
              <w:t>Total urine</w:t>
            </w:r>
          </w:p>
        </w:tc>
        <w:tc>
          <w:tcPr>
            <w:tcW w:w="1249" w:type="dxa"/>
            <w:tcBorders>
              <w:top w:val="single" w:sz="4" w:space="0" w:color="44546A"/>
              <w:left w:val="nil"/>
              <w:bottom w:val="single" w:sz="4" w:space="0" w:color="44546A"/>
              <w:right w:val="nil"/>
            </w:tcBorders>
            <w:shd w:val="clear" w:color="auto" w:fill="auto"/>
            <w:vAlign w:val="center"/>
          </w:tcPr>
          <w:p w14:paraId="5884ACFD" w14:textId="77777777" w:rsidR="004543E0" w:rsidRPr="00FC4502" w:rsidRDefault="004543E0" w:rsidP="007E3239">
            <w:pPr>
              <w:pStyle w:val="Tableboldblue"/>
              <w:spacing w:before="50" w:after="50"/>
              <w:jc w:val="right"/>
              <w:rPr>
                <w:rFonts w:cs="Calibri"/>
                <w:szCs w:val="16"/>
              </w:rPr>
            </w:pPr>
            <w:r w:rsidRPr="00FC4502">
              <w:rPr>
                <w:rFonts w:cs="Calibri"/>
                <w:szCs w:val="16"/>
              </w:rPr>
              <w:t>389 (65)</w:t>
            </w:r>
          </w:p>
        </w:tc>
        <w:tc>
          <w:tcPr>
            <w:tcW w:w="1249" w:type="dxa"/>
            <w:tcBorders>
              <w:top w:val="single" w:sz="4" w:space="0" w:color="44546A"/>
              <w:left w:val="nil"/>
              <w:bottom w:val="single" w:sz="4" w:space="0" w:color="44546A"/>
              <w:right w:val="nil"/>
            </w:tcBorders>
            <w:shd w:val="clear" w:color="auto" w:fill="auto"/>
            <w:vAlign w:val="center"/>
          </w:tcPr>
          <w:p w14:paraId="74ED3BED" w14:textId="77777777" w:rsidR="004543E0" w:rsidRPr="00FC4502" w:rsidRDefault="004543E0" w:rsidP="007E3239">
            <w:pPr>
              <w:pStyle w:val="Tableboldblue"/>
              <w:spacing w:before="50" w:after="50"/>
              <w:jc w:val="right"/>
              <w:rPr>
                <w:rFonts w:cs="Calibri"/>
                <w:szCs w:val="16"/>
              </w:rPr>
            </w:pPr>
            <w:r w:rsidRPr="00FC4502">
              <w:rPr>
                <w:rFonts w:cs="Calibri"/>
                <w:szCs w:val="16"/>
              </w:rPr>
              <w:t>212 (42)</w:t>
            </w:r>
          </w:p>
        </w:tc>
        <w:tc>
          <w:tcPr>
            <w:tcW w:w="1303" w:type="dxa"/>
            <w:tcBorders>
              <w:top w:val="single" w:sz="4" w:space="0" w:color="44546A"/>
              <w:left w:val="nil"/>
              <w:bottom w:val="single" w:sz="4" w:space="0" w:color="44546A"/>
              <w:right w:val="nil"/>
            </w:tcBorders>
            <w:shd w:val="clear" w:color="auto" w:fill="auto"/>
            <w:vAlign w:val="center"/>
          </w:tcPr>
          <w:p w14:paraId="4C20E104" w14:textId="77777777" w:rsidR="004543E0" w:rsidRPr="00FC4502" w:rsidRDefault="004543E0" w:rsidP="007E3239">
            <w:pPr>
              <w:pStyle w:val="Tableboldblue"/>
              <w:spacing w:before="50" w:after="50"/>
              <w:jc w:val="right"/>
              <w:rPr>
                <w:rFonts w:cs="Calibri"/>
                <w:szCs w:val="16"/>
              </w:rPr>
            </w:pPr>
            <w:r w:rsidRPr="00FC4502">
              <w:rPr>
                <w:rFonts w:cs="Calibri"/>
                <w:szCs w:val="16"/>
              </w:rPr>
              <w:t>140 (28)</w:t>
            </w:r>
          </w:p>
        </w:tc>
        <w:tc>
          <w:tcPr>
            <w:tcW w:w="1249" w:type="dxa"/>
            <w:tcBorders>
              <w:top w:val="single" w:sz="4" w:space="0" w:color="44546A"/>
              <w:left w:val="nil"/>
              <w:bottom w:val="single" w:sz="4" w:space="0" w:color="44546A"/>
              <w:right w:val="nil"/>
            </w:tcBorders>
            <w:shd w:val="clear" w:color="auto" w:fill="auto"/>
            <w:vAlign w:val="center"/>
          </w:tcPr>
          <w:p w14:paraId="24654247" w14:textId="77777777" w:rsidR="004543E0" w:rsidRPr="00FC4502" w:rsidRDefault="004543E0" w:rsidP="007E3239">
            <w:pPr>
              <w:pStyle w:val="Tableboldblue"/>
              <w:spacing w:before="50" w:after="50"/>
              <w:jc w:val="right"/>
              <w:rPr>
                <w:rFonts w:cs="Calibri"/>
                <w:szCs w:val="16"/>
              </w:rPr>
            </w:pPr>
            <w:r w:rsidRPr="00FC4502">
              <w:rPr>
                <w:rFonts w:cs="Calibri"/>
                <w:szCs w:val="16"/>
              </w:rPr>
              <w:t>40 (8)</w:t>
            </w:r>
          </w:p>
        </w:tc>
        <w:tc>
          <w:tcPr>
            <w:tcW w:w="1249" w:type="dxa"/>
            <w:tcBorders>
              <w:top w:val="single" w:sz="4" w:space="0" w:color="44546A"/>
              <w:left w:val="nil"/>
              <w:bottom w:val="single" w:sz="4" w:space="0" w:color="44546A"/>
              <w:right w:val="nil"/>
            </w:tcBorders>
            <w:shd w:val="clear" w:color="auto" w:fill="auto"/>
            <w:vAlign w:val="center"/>
          </w:tcPr>
          <w:p w14:paraId="5BAC5FE1" w14:textId="77777777" w:rsidR="004543E0" w:rsidRPr="00FC4502" w:rsidRDefault="004543E0" w:rsidP="007E3239">
            <w:pPr>
              <w:pStyle w:val="Tableboldblue"/>
              <w:spacing w:before="50" w:after="50"/>
              <w:jc w:val="right"/>
              <w:rPr>
                <w:rFonts w:cs="Calibri"/>
                <w:szCs w:val="16"/>
              </w:rPr>
            </w:pPr>
            <w:r w:rsidRPr="00FC4502">
              <w:rPr>
                <w:rFonts w:cs="Calibri"/>
                <w:szCs w:val="16"/>
              </w:rPr>
              <w:t>781 (143)</w:t>
            </w:r>
          </w:p>
        </w:tc>
      </w:tr>
      <w:tr w:rsidR="004543E0" w:rsidRPr="00FC4502" w14:paraId="1C8CA1DA" w14:textId="77777777" w:rsidTr="00FC4502">
        <w:tc>
          <w:tcPr>
            <w:tcW w:w="2206" w:type="dxa"/>
            <w:tcBorders>
              <w:top w:val="single" w:sz="4" w:space="0" w:color="44546A"/>
              <w:left w:val="nil"/>
              <w:bottom w:val="single" w:sz="4" w:space="0" w:color="44546A"/>
              <w:right w:val="nil"/>
            </w:tcBorders>
            <w:shd w:val="clear" w:color="auto" w:fill="auto"/>
          </w:tcPr>
          <w:p w14:paraId="033DF5BC" w14:textId="77777777" w:rsidR="004543E0" w:rsidRPr="00FC4502" w:rsidRDefault="004543E0" w:rsidP="007E3239">
            <w:pPr>
              <w:pStyle w:val="Tableboldblue"/>
              <w:spacing w:before="50" w:after="50"/>
              <w:rPr>
                <w:rFonts w:cs="Calibri"/>
                <w:szCs w:val="16"/>
              </w:rPr>
            </w:pPr>
            <w:r w:rsidRPr="00FC4502">
              <w:rPr>
                <w:rFonts w:cs="Calibri"/>
                <w:szCs w:val="16"/>
              </w:rPr>
              <w:t>Total dung</w:t>
            </w:r>
          </w:p>
        </w:tc>
        <w:tc>
          <w:tcPr>
            <w:tcW w:w="1249" w:type="dxa"/>
            <w:tcBorders>
              <w:top w:val="single" w:sz="4" w:space="0" w:color="44546A"/>
              <w:left w:val="nil"/>
              <w:bottom w:val="single" w:sz="4" w:space="0" w:color="44546A"/>
              <w:right w:val="nil"/>
            </w:tcBorders>
            <w:shd w:val="clear" w:color="auto" w:fill="auto"/>
            <w:vAlign w:val="center"/>
          </w:tcPr>
          <w:p w14:paraId="7B08D17C" w14:textId="77777777" w:rsidR="004543E0" w:rsidRPr="00FC4502" w:rsidRDefault="004543E0" w:rsidP="007E3239">
            <w:pPr>
              <w:pStyle w:val="Tableboldblue"/>
              <w:spacing w:before="50" w:after="50"/>
              <w:jc w:val="right"/>
              <w:rPr>
                <w:rFonts w:cs="Calibri"/>
                <w:szCs w:val="16"/>
              </w:rPr>
            </w:pPr>
            <w:r w:rsidRPr="00FC4502">
              <w:rPr>
                <w:rFonts w:cs="Calibri"/>
                <w:szCs w:val="16"/>
              </w:rPr>
              <w:t>138 (32)</w:t>
            </w:r>
          </w:p>
        </w:tc>
        <w:tc>
          <w:tcPr>
            <w:tcW w:w="1249" w:type="dxa"/>
            <w:tcBorders>
              <w:top w:val="single" w:sz="4" w:space="0" w:color="44546A"/>
              <w:left w:val="nil"/>
              <w:bottom w:val="single" w:sz="4" w:space="0" w:color="44546A"/>
              <w:right w:val="nil"/>
            </w:tcBorders>
            <w:shd w:val="clear" w:color="auto" w:fill="auto"/>
            <w:vAlign w:val="center"/>
          </w:tcPr>
          <w:p w14:paraId="1C5977FD" w14:textId="77777777" w:rsidR="004543E0" w:rsidRPr="00FC4502" w:rsidRDefault="004543E0" w:rsidP="007E3239">
            <w:pPr>
              <w:pStyle w:val="Tableboldblue"/>
              <w:spacing w:before="50" w:after="50"/>
              <w:jc w:val="right"/>
              <w:rPr>
                <w:rFonts w:cs="Calibri"/>
                <w:szCs w:val="16"/>
              </w:rPr>
            </w:pPr>
            <w:r w:rsidRPr="00FC4502">
              <w:rPr>
                <w:rFonts w:cs="Calibri"/>
                <w:szCs w:val="16"/>
              </w:rPr>
              <w:t>158 (33)</w:t>
            </w:r>
          </w:p>
        </w:tc>
        <w:tc>
          <w:tcPr>
            <w:tcW w:w="1303" w:type="dxa"/>
            <w:tcBorders>
              <w:top w:val="single" w:sz="4" w:space="0" w:color="44546A"/>
              <w:left w:val="nil"/>
              <w:bottom w:val="single" w:sz="4" w:space="0" w:color="44546A"/>
              <w:right w:val="nil"/>
            </w:tcBorders>
            <w:shd w:val="clear" w:color="auto" w:fill="auto"/>
            <w:vAlign w:val="center"/>
          </w:tcPr>
          <w:p w14:paraId="2F5CEBB8" w14:textId="77777777" w:rsidR="004543E0" w:rsidRPr="00FC4502" w:rsidRDefault="004543E0" w:rsidP="007E3239">
            <w:pPr>
              <w:pStyle w:val="Tableboldblue"/>
              <w:spacing w:before="50" w:after="50"/>
              <w:jc w:val="right"/>
              <w:rPr>
                <w:rFonts w:cs="Calibri"/>
                <w:szCs w:val="16"/>
              </w:rPr>
            </w:pPr>
            <w:r w:rsidRPr="00FC4502">
              <w:rPr>
                <w:rFonts w:cs="Calibri"/>
                <w:szCs w:val="16"/>
              </w:rPr>
              <w:t>100 (20)</w:t>
            </w:r>
          </w:p>
        </w:tc>
        <w:tc>
          <w:tcPr>
            <w:tcW w:w="1249" w:type="dxa"/>
            <w:tcBorders>
              <w:top w:val="single" w:sz="4" w:space="0" w:color="44546A"/>
              <w:left w:val="nil"/>
              <w:bottom w:val="single" w:sz="4" w:space="0" w:color="44546A"/>
              <w:right w:val="nil"/>
            </w:tcBorders>
            <w:shd w:val="clear" w:color="auto" w:fill="auto"/>
            <w:vAlign w:val="center"/>
          </w:tcPr>
          <w:p w14:paraId="1ACBBE46" w14:textId="77777777" w:rsidR="004543E0" w:rsidRPr="00FC4502" w:rsidRDefault="004543E0" w:rsidP="007E3239">
            <w:pPr>
              <w:pStyle w:val="Tableboldblue"/>
              <w:spacing w:before="50" w:after="50"/>
              <w:jc w:val="right"/>
              <w:rPr>
                <w:rFonts w:cs="Calibri"/>
                <w:szCs w:val="16"/>
              </w:rPr>
            </w:pPr>
            <w:r w:rsidRPr="00FC4502">
              <w:rPr>
                <w:rFonts w:cs="Calibri"/>
                <w:szCs w:val="16"/>
              </w:rPr>
              <w:t>40 (8)</w:t>
            </w:r>
          </w:p>
        </w:tc>
        <w:tc>
          <w:tcPr>
            <w:tcW w:w="1249" w:type="dxa"/>
            <w:tcBorders>
              <w:top w:val="single" w:sz="4" w:space="0" w:color="44546A"/>
              <w:left w:val="nil"/>
              <w:bottom w:val="single" w:sz="4" w:space="0" w:color="44546A"/>
              <w:right w:val="nil"/>
            </w:tcBorders>
            <w:shd w:val="clear" w:color="auto" w:fill="auto"/>
            <w:vAlign w:val="center"/>
          </w:tcPr>
          <w:p w14:paraId="154F4166" w14:textId="77777777" w:rsidR="004543E0" w:rsidRPr="00FC4502" w:rsidRDefault="004543E0" w:rsidP="007E3239">
            <w:pPr>
              <w:pStyle w:val="Tableboldblue"/>
              <w:spacing w:before="50" w:after="50"/>
              <w:jc w:val="right"/>
              <w:rPr>
                <w:rFonts w:cs="Calibri"/>
                <w:szCs w:val="16"/>
              </w:rPr>
            </w:pPr>
            <w:r w:rsidRPr="00FC4502">
              <w:rPr>
                <w:rFonts w:cs="Calibri"/>
                <w:szCs w:val="16"/>
              </w:rPr>
              <w:t>436 (93)</w:t>
            </w:r>
          </w:p>
        </w:tc>
      </w:tr>
      <w:tr w:rsidR="004543E0" w:rsidRPr="00FC4502" w14:paraId="2CA5B807" w14:textId="77777777" w:rsidTr="00FC4502">
        <w:tc>
          <w:tcPr>
            <w:tcW w:w="2206" w:type="dxa"/>
            <w:tcBorders>
              <w:top w:val="single" w:sz="4" w:space="0" w:color="44546A"/>
              <w:left w:val="nil"/>
              <w:bottom w:val="single" w:sz="4" w:space="0" w:color="44546A"/>
              <w:right w:val="nil"/>
            </w:tcBorders>
            <w:shd w:val="clear" w:color="auto" w:fill="auto"/>
          </w:tcPr>
          <w:p w14:paraId="5A29D9B9" w14:textId="77777777" w:rsidR="004543E0" w:rsidRPr="00FC4502" w:rsidRDefault="004543E0" w:rsidP="007E3239">
            <w:pPr>
              <w:pStyle w:val="Tableboldblue"/>
              <w:spacing w:before="50" w:after="50"/>
              <w:rPr>
                <w:rFonts w:cs="Calibri"/>
                <w:szCs w:val="16"/>
              </w:rPr>
            </w:pPr>
            <w:r w:rsidRPr="00FC4502">
              <w:rPr>
                <w:rFonts w:cs="Calibri"/>
                <w:szCs w:val="16"/>
              </w:rPr>
              <w:t>Total excreta</w:t>
            </w:r>
          </w:p>
        </w:tc>
        <w:tc>
          <w:tcPr>
            <w:tcW w:w="1249" w:type="dxa"/>
            <w:tcBorders>
              <w:top w:val="single" w:sz="4" w:space="0" w:color="44546A"/>
              <w:left w:val="nil"/>
              <w:bottom w:val="single" w:sz="4" w:space="0" w:color="44546A"/>
              <w:right w:val="nil"/>
            </w:tcBorders>
            <w:shd w:val="clear" w:color="auto" w:fill="auto"/>
            <w:vAlign w:val="center"/>
          </w:tcPr>
          <w:p w14:paraId="12926A86" w14:textId="77777777" w:rsidR="004543E0" w:rsidRPr="00FC4502" w:rsidRDefault="004543E0" w:rsidP="007E3239">
            <w:pPr>
              <w:pStyle w:val="Tableboldblue"/>
              <w:spacing w:before="50" w:after="50"/>
              <w:jc w:val="right"/>
              <w:rPr>
                <w:rFonts w:cs="Calibri"/>
                <w:szCs w:val="16"/>
              </w:rPr>
            </w:pPr>
            <w:r w:rsidRPr="00FC4502">
              <w:rPr>
                <w:rFonts w:cs="Calibri"/>
                <w:szCs w:val="16"/>
              </w:rPr>
              <w:t>527 (97)</w:t>
            </w:r>
          </w:p>
        </w:tc>
        <w:tc>
          <w:tcPr>
            <w:tcW w:w="1249" w:type="dxa"/>
            <w:tcBorders>
              <w:top w:val="single" w:sz="4" w:space="0" w:color="44546A"/>
              <w:left w:val="nil"/>
              <w:bottom w:val="single" w:sz="4" w:space="0" w:color="44546A"/>
              <w:right w:val="nil"/>
            </w:tcBorders>
            <w:shd w:val="clear" w:color="auto" w:fill="auto"/>
            <w:vAlign w:val="center"/>
          </w:tcPr>
          <w:p w14:paraId="160D41C4" w14:textId="77777777" w:rsidR="004543E0" w:rsidRPr="00FC4502" w:rsidRDefault="004543E0" w:rsidP="007E3239">
            <w:pPr>
              <w:pStyle w:val="Tableboldblue"/>
              <w:spacing w:before="50" w:after="50"/>
              <w:jc w:val="right"/>
              <w:rPr>
                <w:rFonts w:cs="Calibri"/>
                <w:szCs w:val="16"/>
              </w:rPr>
            </w:pPr>
            <w:r w:rsidRPr="00FC4502">
              <w:rPr>
                <w:rFonts w:cs="Calibri"/>
                <w:szCs w:val="16"/>
              </w:rPr>
              <w:t>370 (75)</w:t>
            </w:r>
          </w:p>
        </w:tc>
        <w:tc>
          <w:tcPr>
            <w:tcW w:w="1303" w:type="dxa"/>
            <w:tcBorders>
              <w:top w:val="single" w:sz="4" w:space="0" w:color="44546A"/>
              <w:left w:val="nil"/>
              <w:bottom w:val="single" w:sz="4" w:space="0" w:color="44546A"/>
              <w:right w:val="nil"/>
            </w:tcBorders>
            <w:shd w:val="clear" w:color="auto" w:fill="auto"/>
            <w:vAlign w:val="center"/>
          </w:tcPr>
          <w:p w14:paraId="15A0C0B1" w14:textId="77777777" w:rsidR="004543E0" w:rsidRPr="00FC4502" w:rsidRDefault="004543E0" w:rsidP="007E3239">
            <w:pPr>
              <w:pStyle w:val="Tableboldblue"/>
              <w:spacing w:before="50" w:after="50"/>
              <w:jc w:val="right"/>
              <w:rPr>
                <w:rFonts w:cs="Calibri"/>
                <w:szCs w:val="16"/>
              </w:rPr>
            </w:pPr>
            <w:r w:rsidRPr="00FC4502">
              <w:rPr>
                <w:rFonts w:cs="Calibri"/>
                <w:szCs w:val="16"/>
              </w:rPr>
              <w:t>240 (48)</w:t>
            </w:r>
          </w:p>
        </w:tc>
        <w:tc>
          <w:tcPr>
            <w:tcW w:w="1249" w:type="dxa"/>
            <w:tcBorders>
              <w:top w:val="single" w:sz="4" w:space="0" w:color="44546A"/>
              <w:left w:val="nil"/>
              <w:bottom w:val="single" w:sz="4" w:space="0" w:color="44546A"/>
              <w:right w:val="nil"/>
            </w:tcBorders>
            <w:shd w:val="clear" w:color="auto" w:fill="auto"/>
            <w:vAlign w:val="center"/>
          </w:tcPr>
          <w:p w14:paraId="530CFA86" w14:textId="77777777" w:rsidR="004543E0" w:rsidRPr="00FC4502" w:rsidRDefault="004543E0" w:rsidP="007E3239">
            <w:pPr>
              <w:pStyle w:val="Tableboldblue"/>
              <w:spacing w:before="50" w:after="50"/>
              <w:jc w:val="right"/>
              <w:rPr>
                <w:rFonts w:cs="Calibri"/>
                <w:szCs w:val="16"/>
              </w:rPr>
            </w:pPr>
            <w:r w:rsidRPr="00FC4502">
              <w:rPr>
                <w:rFonts w:cs="Calibri"/>
                <w:szCs w:val="16"/>
              </w:rPr>
              <w:t>80 (16)</w:t>
            </w:r>
          </w:p>
        </w:tc>
        <w:tc>
          <w:tcPr>
            <w:tcW w:w="1249" w:type="dxa"/>
            <w:tcBorders>
              <w:top w:val="single" w:sz="4" w:space="0" w:color="44546A"/>
              <w:left w:val="nil"/>
              <w:bottom w:val="single" w:sz="4" w:space="0" w:color="44546A"/>
              <w:right w:val="nil"/>
            </w:tcBorders>
            <w:shd w:val="clear" w:color="auto" w:fill="auto"/>
            <w:vAlign w:val="center"/>
          </w:tcPr>
          <w:p w14:paraId="33F3D7AC" w14:textId="77777777" w:rsidR="004543E0" w:rsidRPr="00FC4502" w:rsidRDefault="004543E0" w:rsidP="007E3239">
            <w:pPr>
              <w:pStyle w:val="Tableboldblue"/>
              <w:spacing w:before="50" w:after="50"/>
              <w:jc w:val="right"/>
              <w:rPr>
                <w:rFonts w:cs="Calibri"/>
                <w:szCs w:val="16"/>
              </w:rPr>
            </w:pPr>
            <w:r w:rsidRPr="00FC4502">
              <w:rPr>
                <w:rFonts w:cs="Calibri"/>
                <w:szCs w:val="16"/>
              </w:rPr>
              <w:t>1,217 (236)</w:t>
            </w:r>
          </w:p>
        </w:tc>
      </w:tr>
    </w:tbl>
    <w:p w14:paraId="6C91B683" w14:textId="77777777" w:rsidR="004543E0" w:rsidRPr="009660EC" w:rsidRDefault="004543E0" w:rsidP="004543E0">
      <w:pPr>
        <w:pStyle w:val="Table"/>
        <w:spacing w:before="240"/>
        <w:rPr>
          <w:rFonts w:cs="Calibri"/>
        </w:rPr>
      </w:pPr>
      <w:bookmarkStart w:id="1022" w:name="_Toc32570933"/>
      <w:bookmarkStart w:id="1023" w:name="_Toc36224568"/>
      <w:bookmarkStart w:id="1024" w:name="_Toc68786453"/>
      <w:bookmarkStart w:id="1025" w:name="_Toc95574086"/>
      <w:bookmarkStart w:id="1026" w:name="_Toc99659259"/>
      <w:r w:rsidRPr="009660EC">
        <w:rPr>
          <w:rFonts w:cs="Calibri"/>
        </w:rPr>
        <w:t>Table 5.5.7</w:t>
      </w:r>
      <w:r w:rsidRPr="009660EC">
        <w:rPr>
          <w:rFonts w:cs="Calibri"/>
        </w:rPr>
        <w:tab/>
        <w:t>Number of replicate-level EF</w:t>
      </w:r>
      <w:r w:rsidRPr="009660EC">
        <w:rPr>
          <w:rFonts w:cs="Calibri"/>
          <w:vertAlign w:val="subscript"/>
        </w:rPr>
        <w:t>3</w:t>
      </w:r>
      <w:r w:rsidRPr="009660EC">
        <w:rPr>
          <w:rFonts w:cs="Calibri"/>
        </w:rPr>
        <w:t xml:space="preserve"> values collated by the van der Weerden et al. (2019, 2020) analysis, for each nitrogen source, season that trial was undertaken and topography</w:t>
      </w:r>
      <w:bookmarkEnd w:id="1022"/>
      <w:bookmarkEnd w:id="1023"/>
      <w:bookmarkEnd w:id="1024"/>
      <w:bookmarkEnd w:id="1025"/>
      <w:bookmarkEnd w:id="1026"/>
    </w:p>
    <w:tbl>
      <w:tblPr>
        <w:tblW w:w="85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6"/>
        <w:gridCol w:w="1889"/>
        <w:gridCol w:w="886"/>
        <w:gridCol w:w="886"/>
        <w:gridCol w:w="886"/>
        <w:gridCol w:w="886"/>
        <w:gridCol w:w="886"/>
      </w:tblGrid>
      <w:tr w:rsidR="004543E0" w:rsidRPr="00FC4502" w14:paraId="3CAF16A5" w14:textId="77777777" w:rsidTr="00FC4502">
        <w:trPr>
          <w:tblHeader/>
        </w:trPr>
        <w:tc>
          <w:tcPr>
            <w:tcW w:w="2098" w:type="dxa"/>
            <w:tcBorders>
              <w:top w:val="single" w:sz="4" w:space="0" w:color="44546A"/>
              <w:left w:val="nil"/>
              <w:bottom w:val="single" w:sz="4" w:space="0" w:color="44546A"/>
              <w:right w:val="nil"/>
            </w:tcBorders>
            <w:shd w:val="clear" w:color="auto" w:fill="1B556B"/>
            <w:vAlign w:val="bottom"/>
          </w:tcPr>
          <w:p w14:paraId="2D13B4DB" w14:textId="77777777" w:rsidR="004543E0" w:rsidRPr="00FC4502" w:rsidRDefault="004543E0" w:rsidP="007E3239">
            <w:pPr>
              <w:pStyle w:val="TableTextBold"/>
              <w:keepNext/>
              <w:rPr>
                <w:rFonts w:cs="Calibri"/>
                <w:noProof w:val="0"/>
                <w:color w:val="FFFFFF"/>
                <w:szCs w:val="16"/>
              </w:rPr>
            </w:pPr>
            <w:r w:rsidRPr="00FC4502">
              <w:rPr>
                <w:rFonts w:cs="Calibri"/>
                <w:noProof w:val="0"/>
                <w:color w:val="FFFFFF"/>
                <w:szCs w:val="16"/>
              </w:rPr>
              <w:t>Nitrogen source</w:t>
            </w:r>
          </w:p>
        </w:tc>
        <w:tc>
          <w:tcPr>
            <w:tcW w:w="1814" w:type="dxa"/>
            <w:tcBorders>
              <w:top w:val="single" w:sz="4" w:space="0" w:color="44546A"/>
              <w:left w:val="nil"/>
              <w:bottom w:val="single" w:sz="4" w:space="0" w:color="44546A"/>
              <w:right w:val="nil"/>
            </w:tcBorders>
            <w:shd w:val="clear" w:color="auto" w:fill="1B556B"/>
            <w:vAlign w:val="bottom"/>
          </w:tcPr>
          <w:p w14:paraId="680DF35F" w14:textId="77777777" w:rsidR="004543E0" w:rsidRPr="00FC4502" w:rsidRDefault="004543E0" w:rsidP="007E3239">
            <w:pPr>
              <w:pStyle w:val="TableTextBold"/>
              <w:keepNext/>
              <w:rPr>
                <w:rFonts w:cs="Calibri"/>
                <w:noProof w:val="0"/>
                <w:color w:val="FFFFFF"/>
                <w:szCs w:val="16"/>
              </w:rPr>
            </w:pPr>
            <w:r w:rsidRPr="00FC4502">
              <w:rPr>
                <w:rFonts w:cs="Calibri"/>
                <w:noProof w:val="0"/>
                <w:color w:val="FFFFFF"/>
                <w:szCs w:val="16"/>
              </w:rPr>
              <w:t>Topography class</w:t>
            </w:r>
          </w:p>
        </w:tc>
        <w:tc>
          <w:tcPr>
            <w:tcW w:w="851" w:type="dxa"/>
            <w:tcBorders>
              <w:top w:val="single" w:sz="4" w:space="0" w:color="44546A"/>
              <w:left w:val="nil"/>
              <w:bottom w:val="single" w:sz="4" w:space="0" w:color="44546A"/>
              <w:right w:val="nil"/>
            </w:tcBorders>
            <w:shd w:val="clear" w:color="auto" w:fill="1B556B"/>
          </w:tcPr>
          <w:p w14:paraId="7A3E7E17" w14:textId="77777777" w:rsidR="004543E0" w:rsidRPr="00FC4502" w:rsidRDefault="004543E0" w:rsidP="007E3239">
            <w:pPr>
              <w:pStyle w:val="TableTextBold"/>
              <w:keepNext/>
              <w:jc w:val="right"/>
              <w:rPr>
                <w:rFonts w:cs="Calibri"/>
                <w:noProof w:val="0"/>
                <w:color w:val="FFFFFF"/>
                <w:szCs w:val="16"/>
              </w:rPr>
            </w:pPr>
            <w:r w:rsidRPr="00FC4502">
              <w:rPr>
                <w:rFonts w:cs="Calibri"/>
                <w:noProof w:val="0"/>
                <w:color w:val="FFFFFF"/>
                <w:szCs w:val="16"/>
              </w:rPr>
              <w:t>Autumn</w:t>
            </w:r>
          </w:p>
        </w:tc>
        <w:tc>
          <w:tcPr>
            <w:tcW w:w="851" w:type="dxa"/>
            <w:tcBorders>
              <w:top w:val="single" w:sz="4" w:space="0" w:color="44546A"/>
              <w:left w:val="nil"/>
              <w:bottom w:val="single" w:sz="4" w:space="0" w:color="44546A"/>
              <w:right w:val="nil"/>
            </w:tcBorders>
            <w:shd w:val="clear" w:color="auto" w:fill="1B556B"/>
          </w:tcPr>
          <w:p w14:paraId="4A783EDA" w14:textId="77777777" w:rsidR="004543E0" w:rsidRPr="00FC4502" w:rsidRDefault="004543E0" w:rsidP="007E3239">
            <w:pPr>
              <w:pStyle w:val="TableTextBold"/>
              <w:keepNext/>
              <w:jc w:val="right"/>
              <w:rPr>
                <w:rFonts w:cs="Calibri"/>
                <w:noProof w:val="0"/>
                <w:color w:val="FFFFFF"/>
                <w:szCs w:val="16"/>
              </w:rPr>
            </w:pPr>
            <w:r w:rsidRPr="00FC4502">
              <w:rPr>
                <w:rFonts w:cs="Calibri"/>
                <w:noProof w:val="0"/>
                <w:color w:val="FFFFFF"/>
                <w:szCs w:val="16"/>
              </w:rPr>
              <w:t>Winter</w:t>
            </w:r>
          </w:p>
        </w:tc>
        <w:tc>
          <w:tcPr>
            <w:tcW w:w="851" w:type="dxa"/>
            <w:tcBorders>
              <w:top w:val="single" w:sz="4" w:space="0" w:color="44546A"/>
              <w:left w:val="nil"/>
              <w:bottom w:val="single" w:sz="4" w:space="0" w:color="44546A"/>
              <w:right w:val="nil"/>
            </w:tcBorders>
            <w:shd w:val="clear" w:color="auto" w:fill="1B556B"/>
          </w:tcPr>
          <w:p w14:paraId="02100CD6" w14:textId="77777777" w:rsidR="004543E0" w:rsidRPr="00FC4502" w:rsidRDefault="004543E0" w:rsidP="007E3239">
            <w:pPr>
              <w:pStyle w:val="TableTextBold"/>
              <w:keepNext/>
              <w:jc w:val="right"/>
              <w:rPr>
                <w:rFonts w:cs="Calibri"/>
                <w:noProof w:val="0"/>
                <w:color w:val="FFFFFF"/>
                <w:szCs w:val="16"/>
              </w:rPr>
            </w:pPr>
            <w:r w:rsidRPr="00FC4502">
              <w:rPr>
                <w:rFonts w:cs="Calibri"/>
                <w:noProof w:val="0"/>
                <w:color w:val="FFFFFF"/>
                <w:szCs w:val="16"/>
              </w:rPr>
              <w:t>Spring</w:t>
            </w:r>
          </w:p>
        </w:tc>
        <w:tc>
          <w:tcPr>
            <w:tcW w:w="851" w:type="dxa"/>
            <w:tcBorders>
              <w:top w:val="single" w:sz="4" w:space="0" w:color="44546A"/>
              <w:left w:val="nil"/>
              <w:bottom w:val="single" w:sz="4" w:space="0" w:color="44546A"/>
              <w:right w:val="nil"/>
            </w:tcBorders>
            <w:shd w:val="clear" w:color="auto" w:fill="1B556B"/>
          </w:tcPr>
          <w:p w14:paraId="3CC926D7" w14:textId="77777777" w:rsidR="004543E0" w:rsidRPr="00FC4502" w:rsidRDefault="004543E0" w:rsidP="007E3239">
            <w:pPr>
              <w:pStyle w:val="TableTextBold"/>
              <w:keepNext/>
              <w:jc w:val="right"/>
              <w:rPr>
                <w:rFonts w:cs="Calibri"/>
                <w:noProof w:val="0"/>
                <w:color w:val="FFFFFF"/>
                <w:szCs w:val="16"/>
              </w:rPr>
            </w:pPr>
            <w:r w:rsidRPr="00FC4502">
              <w:rPr>
                <w:rFonts w:cs="Calibri"/>
                <w:noProof w:val="0"/>
                <w:color w:val="FFFFFF"/>
                <w:szCs w:val="16"/>
              </w:rPr>
              <w:t>Summer</w:t>
            </w:r>
          </w:p>
        </w:tc>
        <w:tc>
          <w:tcPr>
            <w:tcW w:w="851" w:type="dxa"/>
            <w:tcBorders>
              <w:top w:val="single" w:sz="4" w:space="0" w:color="44546A"/>
              <w:left w:val="nil"/>
              <w:bottom w:val="single" w:sz="4" w:space="0" w:color="44546A"/>
              <w:right w:val="nil"/>
            </w:tcBorders>
            <w:shd w:val="clear" w:color="auto" w:fill="1B556B"/>
          </w:tcPr>
          <w:p w14:paraId="0BE3C952" w14:textId="77777777" w:rsidR="004543E0" w:rsidRPr="00FC4502" w:rsidRDefault="004543E0" w:rsidP="007E3239">
            <w:pPr>
              <w:pStyle w:val="TableTextBold"/>
              <w:keepNext/>
              <w:jc w:val="center"/>
              <w:rPr>
                <w:rFonts w:cs="Calibri"/>
                <w:noProof w:val="0"/>
                <w:color w:val="FFFFFF"/>
                <w:szCs w:val="16"/>
              </w:rPr>
            </w:pPr>
            <w:r w:rsidRPr="00FC4502">
              <w:rPr>
                <w:rFonts w:cs="Calibri"/>
                <w:noProof w:val="0"/>
                <w:color w:val="FFFFFF"/>
                <w:szCs w:val="16"/>
              </w:rPr>
              <w:t>Total</w:t>
            </w:r>
          </w:p>
        </w:tc>
      </w:tr>
      <w:tr w:rsidR="004543E0" w:rsidRPr="00FC4502" w14:paraId="2A5CBA33" w14:textId="77777777" w:rsidTr="00FC4502">
        <w:tc>
          <w:tcPr>
            <w:tcW w:w="2098" w:type="dxa"/>
            <w:tcBorders>
              <w:top w:val="single" w:sz="4" w:space="0" w:color="44546A"/>
              <w:left w:val="nil"/>
              <w:bottom w:val="single" w:sz="4" w:space="0" w:color="44546A"/>
              <w:right w:val="nil"/>
            </w:tcBorders>
            <w:shd w:val="clear" w:color="auto" w:fill="auto"/>
          </w:tcPr>
          <w:p w14:paraId="24049933" w14:textId="77777777" w:rsidR="004543E0" w:rsidRPr="00FC4502" w:rsidRDefault="004543E0" w:rsidP="007E3239">
            <w:pPr>
              <w:pStyle w:val="TableText"/>
              <w:keepNext/>
              <w:spacing w:before="50" w:after="50"/>
              <w:rPr>
                <w:rFonts w:cs="Calibri"/>
                <w:szCs w:val="16"/>
              </w:rPr>
            </w:pPr>
            <w:r w:rsidRPr="00FC4502">
              <w:rPr>
                <w:rFonts w:cs="Calibri"/>
                <w:szCs w:val="16"/>
              </w:rPr>
              <w:t>Dairy cattle urine</w:t>
            </w:r>
          </w:p>
        </w:tc>
        <w:tc>
          <w:tcPr>
            <w:tcW w:w="1814" w:type="dxa"/>
            <w:tcBorders>
              <w:top w:val="single" w:sz="4" w:space="0" w:color="44546A"/>
              <w:left w:val="nil"/>
              <w:bottom w:val="single" w:sz="4" w:space="0" w:color="44546A"/>
              <w:right w:val="nil"/>
            </w:tcBorders>
          </w:tcPr>
          <w:p w14:paraId="5F760A86" w14:textId="77777777" w:rsidR="004543E0" w:rsidRPr="00FC4502" w:rsidRDefault="004543E0" w:rsidP="007E3239">
            <w:pPr>
              <w:pStyle w:val="TableText"/>
              <w:keepNext/>
              <w:spacing w:before="50" w:after="50"/>
              <w:rPr>
                <w:rFonts w:cs="Calibri"/>
                <w:szCs w:val="16"/>
              </w:rPr>
            </w:pPr>
            <w:r w:rsidRPr="00FC4502">
              <w:rPr>
                <w:rFonts w:cs="Calibri"/>
                <w:szCs w:val="16"/>
              </w:rPr>
              <w:t>Flatland (0</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4E7E9E15" w14:textId="77777777" w:rsidR="004543E0" w:rsidRPr="00FC4502" w:rsidRDefault="004543E0" w:rsidP="007E3239">
            <w:pPr>
              <w:pStyle w:val="TableText"/>
              <w:keepNext/>
              <w:spacing w:before="50" w:after="50"/>
              <w:jc w:val="right"/>
              <w:rPr>
                <w:rFonts w:cs="Calibri"/>
                <w:szCs w:val="16"/>
              </w:rPr>
            </w:pPr>
            <w:r w:rsidRPr="00FC4502">
              <w:rPr>
                <w:rFonts w:cs="Calibri"/>
                <w:szCs w:val="16"/>
              </w:rPr>
              <w:t>128</w:t>
            </w:r>
          </w:p>
        </w:tc>
        <w:tc>
          <w:tcPr>
            <w:tcW w:w="851" w:type="dxa"/>
            <w:tcBorders>
              <w:top w:val="single" w:sz="4" w:space="0" w:color="44546A"/>
              <w:left w:val="nil"/>
              <w:bottom w:val="single" w:sz="4" w:space="0" w:color="44546A"/>
              <w:right w:val="nil"/>
            </w:tcBorders>
            <w:shd w:val="clear" w:color="auto" w:fill="auto"/>
          </w:tcPr>
          <w:p w14:paraId="6A835894" w14:textId="77777777" w:rsidR="004543E0" w:rsidRPr="00FC4502" w:rsidRDefault="004543E0" w:rsidP="007E3239">
            <w:pPr>
              <w:pStyle w:val="TableText"/>
              <w:keepNext/>
              <w:spacing w:before="50" w:after="50"/>
              <w:jc w:val="right"/>
              <w:rPr>
                <w:rFonts w:cs="Calibri"/>
                <w:szCs w:val="16"/>
              </w:rPr>
            </w:pPr>
            <w:r w:rsidRPr="00FC4502">
              <w:rPr>
                <w:rFonts w:cs="Calibri"/>
                <w:szCs w:val="16"/>
              </w:rPr>
              <w:t>105</w:t>
            </w:r>
          </w:p>
        </w:tc>
        <w:tc>
          <w:tcPr>
            <w:tcW w:w="851" w:type="dxa"/>
            <w:tcBorders>
              <w:top w:val="single" w:sz="4" w:space="0" w:color="44546A"/>
              <w:left w:val="nil"/>
              <w:bottom w:val="single" w:sz="4" w:space="0" w:color="44546A"/>
              <w:right w:val="nil"/>
            </w:tcBorders>
            <w:shd w:val="clear" w:color="auto" w:fill="auto"/>
          </w:tcPr>
          <w:p w14:paraId="4BEA1482" w14:textId="77777777" w:rsidR="004543E0" w:rsidRPr="00FC4502" w:rsidRDefault="004543E0" w:rsidP="007E3239">
            <w:pPr>
              <w:pStyle w:val="TableText"/>
              <w:keepNext/>
              <w:spacing w:before="50" w:after="50"/>
              <w:jc w:val="right"/>
              <w:rPr>
                <w:rFonts w:cs="Calibri"/>
                <w:szCs w:val="16"/>
              </w:rPr>
            </w:pPr>
            <w:r w:rsidRPr="00FC4502">
              <w:rPr>
                <w:rFonts w:cs="Calibri"/>
                <w:szCs w:val="16"/>
              </w:rPr>
              <w:t>88</w:t>
            </w:r>
          </w:p>
        </w:tc>
        <w:tc>
          <w:tcPr>
            <w:tcW w:w="851" w:type="dxa"/>
            <w:tcBorders>
              <w:top w:val="single" w:sz="4" w:space="0" w:color="44546A"/>
              <w:left w:val="nil"/>
              <w:bottom w:val="single" w:sz="4" w:space="0" w:color="44546A"/>
              <w:right w:val="nil"/>
            </w:tcBorders>
            <w:shd w:val="clear" w:color="auto" w:fill="auto"/>
          </w:tcPr>
          <w:p w14:paraId="6E21AAE5" w14:textId="77777777" w:rsidR="004543E0" w:rsidRPr="00FC4502" w:rsidRDefault="004543E0" w:rsidP="007E3239">
            <w:pPr>
              <w:pStyle w:val="TableText"/>
              <w:keepNext/>
              <w:spacing w:before="50" w:after="50"/>
              <w:jc w:val="right"/>
              <w:rPr>
                <w:rFonts w:cs="Calibri"/>
                <w:szCs w:val="16"/>
              </w:rPr>
            </w:pPr>
            <w:r w:rsidRPr="00FC4502">
              <w:rPr>
                <w:rFonts w:cs="Calibri"/>
                <w:szCs w:val="16"/>
              </w:rPr>
              <w:t>12</w:t>
            </w:r>
          </w:p>
        </w:tc>
        <w:tc>
          <w:tcPr>
            <w:tcW w:w="851" w:type="dxa"/>
            <w:tcBorders>
              <w:top w:val="single" w:sz="4" w:space="0" w:color="44546A"/>
              <w:left w:val="nil"/>
              <w:bottom w:val="single" w:sz="4" w:space="0" w:color="44546A"/>
              <w:right w:val="nil"/>
            </w:tcBorders>
            <w:shd w:val="clear" w:color="auto" w:fill="auto"/>
          </w:tcPr>
          <w:p w14:paraId="1CA61412" w14:textId="77777777" w:rsidR="004543E0" w:rsidRPr="00FC4502" w:rsidRDefault="004543E0" w:rsidP="007E3239">
            <w:pPr>
              <w:pStyle w:val="TableText"/>
              <w:keepNext/>
              <w:spacing w:before="50" w:after="50"/>
              <w:jc w:val="right"/>
              <w:rPr>
                <w:rFonts w:cs="Calibri"/>
                <w:szCs w:val="16"/>
              </w:rPr>
            </w:pPr>
            <w:r w:rsidRPr="00FC4502">
              <w:rPr>
                <w:rFonts w:cs="Calibri"/>
                <w:szCs w:val="16"/>
              </w:rPr>
              <w:t>333</w:t>
            </w:r>
          </w:p>
        </w:tc>
      </w:tr>
      <w:tr w:rsidR="004543E0" w:rsidRPr="00FC4502" w14:paraId="678AF545" w14:textId="77777777" w:rsidTr="00FC4502">
        <w:tc>
          <w:tcPr>
            <w:tcW w:w="2098" w:type="dxa"/>
            <w:tcBorders>
              <w:top w:val="single" w:sz="4" w:space="0" w:color="44546A"/>
              <w:left w:val="nil"/>
              <w:bottom w:val="single" w:sz="4" w:space="0" w:color="44546A"/>
              <w:right w:val="nil"/>
            </w:tcBorders>
            <w:shd w:val="clear" w:color="auto" w:fill="auto"/>
          </w:tcPr>
          <w:p w14:paraId="42601131" w14:textId="77777777" w:rsidR="004543E0" w:rsidRPr="00FC4502" w:rsidRDefault="004543E0" w:rsidP="007E3239">
            <w:pPr>
              <w:pStyle w:val="TableText"/>
              <w:keepN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7A805665" w14:textId="77777777" w:rsidR="004543E0" w:rsidRPr="00FC4502" w:rsidRDefault="004543E0" w:rsidP="007E3239">
            <w:pPr>
              <w:pStyle w:val="TableText"/>
              <w:keepNext/>
              <w:spacing w:before="50" w:after="50"/>
              <w:rPr>
                <w:rFonts w:cs="Calibri"/>
                <w:szCs w:val="16"/>
              </w:rPr>
            </w:pPr>
            <w:r w:rsidRPr="00FC4502">
              <w:rPr>
                <w:rFonts w:cs="Calibri"/>
                <w:szCs w:val="16"/>
              </w:rPr>
              <w:t>Low slope (0–12</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287F597A" w14:textId="77777777" w:rsidR="004543E0" w:rsidRPr="00FC4502" w:rsidRDefault="004543E0" w:rsidP="007E3239">
            <w:pPr>
              <w:pStyle w:val="TableText"/>
              <w:keepNext/>
              <w:spacing w:before="50" w:after="50"/>
              <w:jc w:val="right"/>
              <w:rPr>
                <w:rFonts w:cs="Calibri"/>
                <w:szCs w:val="16"/>
              </w:rPr>
            </w:pPr>
            <w:r w:rsidRPr="00FC4502">
              <w:rPr>
                <w:rFonts w:cs="Calibri"/>
                <w:szCs w:val="16"/>
              </w:rPr>
              <w:t>34</w:t>
            </w:r>
          </w:p>
        </w:tc>
        <w:tc>
          <w:tcPr>
            <w:tcW w:w="851" w:type="dxa"/>
            <w:tcBorders>
              <w:top w:val="single" w:sz="4" w:space="0" w:color="44546A"/>
              <w:left w:val="nil"/>
              <w:bottom w:val="single" w:sz="4" w:space="0" w:color="44546A"/>
              <w:right w:val="nil"/>
            </w:tcBorders>
            <w:shd w:val="clear" w:color="auto" w:fill="auto"/>
          </w:tcPr>
          <w:p w14:paraId="38986FAB" w14:textId="77777777" w:rsidR="004543E0" w:rsidRPr="00FC4502" w:rsidRDefault="004543E0" w:rsidP="007E3239">
            <w:pPr>
              <w:pStyle w:val="TableText"/>
              <w:keepNext/>
              <w:spacing w:before="50" w:after="50"/>
              <w:jc w:val="right"/>
              <w:rPr>
                <w:rFonts w:cs="Calibri"/>
                <w:szCs w:val="16"/>
              </w:rPr>
            </w:pPr>
            <w:r w:rsidRPr="00FC4502">
              <w:rPr>
                <w:rFonts w:cs="Calibri"/>
                <w:szCs w:val="16"/>
              </w:rPr>
              <w:t>34</w:t>
            </w:r>
          </w:p>
        </w:tc>
        <w:tc>
          <w:tcPr>
            <w:tcW w:w="851" w:type="dxa"/>
            <w:tcBorders>
              <w:top w:val="single" w:sz="4" w:space="0" w:color="44546A"/>
              <w:left w:val="nil"/>
              <w:bottom w:val="single" w:sz="4" w:space="0" w:color="44546A"/>
              <w:right w:val="nil"/>
            </w:tcBorders>
            <w:shd w:val="clear" w:color="auto" w:fill="auto"/>
          </w:tcPr>
          <w:p w14:paraId="4B00BE80" w14:textId="77777777" w:rsidR="004543E0" w:rsidRPr="00FC4502" w:rsidRDefault="004543E0" w:rsidP="007E3239">
            <w:pPr>
              <w:pStyle w:val="TableText"/>
              <w:keepNext/>
              <w:spacing w:before="50" w:after="50"/>
              <w:jc w:val="right"/>
              <w:rPr>
                <w:rFonts w:cs="Calibri"/>
                <w:szCs w:val="16"/>
              </w:rPr>
            </w:pPr>
            <w:r w:rsidRPr="00FC4502">
              <w:rPr>
                <w:rFonts w:cs="Calibri"/>
                <w:szCs w:val="16"/>
              </w:rPr>
              <w:t>28</w:t>
            </w:r>
          </w:p>
        </w:tc>
        <w:tc>
          <w:tcPr>
            <w:tcW w:w="851" w:type="dxa"/>
            <w:tcBorders>
              <w:top w:val="single" w:sz="4" w:space="0" w:color="44546A"/>
              <w:left w:val="nil"/>
              <w:bottom w:val="single" w:sz="4" w:space="0" w:color="44546A"/>
              <w:right w:val="nil"/>
            </w:tcBorders>
            <w:shd w:val="clear" w:color="auto" w:fill="auto"/>
          </w:tcPr>
          <w:p w14:paraId="769903FF" w14:textId="77777777" w:rsidR="004543E0" w:rsidRPr="00FC4502" w:rsidRDefault="004543E0" w:rsidP="007E3239">
            <w:pPr>
              <w:pStyle w:val="TableText"/>
              <w:keepN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673B431F" w14:textId="77777777" w:rsidR="004543E0" w:rsidRPr="00FC4502" w:rsidRDefault="004543E0" w:rsidP="007E3239">
            <w:pPr>
              <w:pStyle w:val="TableText"/>
              <w:keepNext/>
              <w:spacing w:before="50" w:after="50"/>
              <w:jc w:val="right"/>
              <w:rPr>
                <w:rFonts w:cs="Calibri"/>
                <w:szCs w:val="16"/>
              </w:rPr>
            </w:pPr>
            <w:r w:rsidRPr="00FC4502">
              <w:rPr>
                <w:rFonts w:cs="Calibri"/>
                <w:szCs w:val="16"/>
              </w:rPr>
              <w:t>116</w:t>
            </w:r>
          </w:p>
        </w:tc>
      </w:tr>
      <w:tr w:rsidR="004543E0" w:rsidRPr="00FC4502" w14:paraId="5D03A68B" w14:textId="77777777" w:rsidTr="00FC4502">
        <w:tc>
          <w:tcPr>
            <w:tcW w:w="2098" w:type="dxa"/>
            <w:tcBorders>
              <w:top w:val="single" w:sz="4" w:space="0" w:color="44546A"/>
              <w:left w:val="nil"/>
              <w:bottom w:val="single" w:sz="4" w:space="0" w:color="44546A"/>
              <w:right w:val="nil"/>
            </w:tcBorders>
            <w:shd w:val="clear" w:color="auto" w:fill="auto"/>
          </w:tcPr>
          <w:p w14:paraId="58F03F51" w14:textId="77777777" w:rsidR="004543E0" w:rsidRPr="00FC4502" w:rsidRDefault="004543E0" w:rsidP="007E3239">
            <w:pPr>
              <w:pStyle w:val="TableText"/>
              <w:keepN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13B9EBCF" w14:textId="77777777" w:rsidR="004543E0" w:rsidRPr="00FC4502" w:rsidRDefault="004543E0" w:rsidP="007E3239">
            <w:pPr>
              <w:pStyle w:val="TableText"/>
              <w:keepNext/>
              <w:spacing w:before="50" w:after="50"/>
              <w:rPr>
                <w:rFonts w:cs="Calibri"/>
                <w:szCs w:val="16"/>
              </w:rPr>
            </w:pPr>
            <w:r w:rsidRPr="00FC4502">
              <w:rPr>
                <w:rFonts w:cs="Calibri"/>
                <w:szCs w:val="16"/>
              </w:rPr>
              <w:t>Medium slope (12–24</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5E980E75" w14:textId="77777777" w:rsidR="004543E0" w:rsidRPr="00FC4502" w:rsidRDefault="004543E0" w:rsidP="007E3239">
            <w:pPr>
              <w:pStyle w:val="TableText"/>
              <w:keepN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0A6F896E" w14:textId="77777777" w:rsidR="004543E0" w:rsidRPr="00FC4502" w:rsidRDefault="004543E0" w:rsidP="007E3239">
            <w:pPr>
              <w:pStyle w:val="TableText"/>
              <w:keepN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73F7FC27" w14:textId="77777777" w:rsidR="004543E0" w:rsidRPr="00FC4502" w:rsidRDefault="004543E0" w:rsidP="007E3239">
            <w:pPr>
              <w:pStyle w:val="TableText"/>
              <w:keepN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0B91510B" w14:textId="77777777" w:rsidR="004543E0" w:rsidRPr="00FC4502" w:rsidRDefault="004543E0" w:rsidP="007E3239">
            <w:pPr>
              <w:pStyle w:val="TableText"/>
              <w:keepN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60DEC39F" w14:textId="77777777" w:rsidR="004543E0" w:rsidRPr="00FC4502" w:rsidRDefault="004543E0" w:rsidP="007E3239">
            <w:pPr>
              <w:pStyle w:val="TableText"/>
              <w:keepNext/>
              <w:spacing w:before="50" w:after="50"/>
              <w:jc w:val="right"/>
              <w:rPr>
                <w:rFonts w:cs="Calibri"/>
                <w:szCs w:val="16"/>
              </w:rPr>
            </w:pPr>
            <w:r w:rsidRPr="00FC4502">
              <w:rPr>
                <w:rFonts w:cs="Calibri"/>
                <w:szCs w:val="16"/>
              </w:rPr>
              <w:t>20</w:t>
            </w:r>
          </w:p>
        </w:tc>
      </w:tr>
      <w:tr w:rsidR="004543E0" w:rsidRPr="00FC4502" w14:paraId="51DC4181" w14:textId="77777777" w:rsidTr="00FC4502">
        <w:tc>
          <w:tcPr>
            <w:tcW w:w="2098" w:type="dxa"/>
            <w:tcBorders>
              <w:top w:val="single" w:sz="4" w:space="0" w:color="44546A"/>
              <w:left w:val="nil"/>
              <w:bottom w:val="single" w:sz="4" w:space="0" w:color="44546A"/>
              <w:right w:val="nil"/>
            </w:tcBorders>
            <w:shd w:val="clear" w:color="auto" w:fill="auto"/>
          </w:tcPr>
          <w:p w14:paraId="7018FF08"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09FCBC43" w14:textId="77777777" w:rsidR="004543E0" w:rsidRPr="00FC4502" w:rsidRDefault="004543E0" w:rsidP="007E3239">
            <w:pPr>
              <w:pStyle w:val="TableText"/>
              <w:spacing w:before="50" w:after="50"/>
              <w:rPr>
                <w:rFonts w:cs="Calibri"/>
                <w:szCs w:val="16"/>
              </w:rPr>
            </w:pPr>
            <w:r w:rsidRPr="00FC4502">
              <w:rPr>
                <w:rFonts w:cs="Calibri"/>
                <w:szCs w:val="16"/>
              </w:rPr>
              <w:t>Steep slope (&gt;24</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3FCF0E9D"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05706053"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432C07F9"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0B3AC1AA"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682440F1" w14:textId="77777777" w:rsidR="004543E0" w:rsidRPr="00FC4502" w:rsidRDefault="004543E0" w:rsidP="007E3239">
            <w:pPr>
              <w:pStyle w:val="TableText"/>
              <w:spacing w:before="50" w:after="50"/>
              <w:jc w:val="right"/>
              <w:rPr>
                <w:rFonts w:cs="Calibri"/>
                <w:szCs w:val="16"/>
              </w:rPr>
            </w:pPr>
          </w:p>
        </w:tc>
      </w:tr>
      <w:tr w:rsidR="004543E0" w:rsidRPr="00FC4502" w14:paraId="6F072918" w14:textId="77777777" w:rsidTr="00FC4502">
        <w:tc>
          <w:tcPr>
            <w:tcW w:w="2098" w:type="dxa"/>
            <w:tcBorders>
              <w:top w:val="single" w:sz="4" w:space="0" w:color="44546A"/>
              <w:left w:val="nil"/>
              <w:bottom w:val="single" w:sz="4" w:space="0" w:color="44546A"/>
              <w:right w:val="nil"/>
            </w:tcBorders>
            <w:shd w:val="clear" w:color="auto" w:fill="auto"/>
          </w:tcPr>
          <w:p w14:paraId="09C9D78B" w14:textId="77777777" w:rsidR="004543E0" w:rsidRPr="00FC4502" w:rsidRDefault="004543E0" w:rsidP="007E3239">
            <w:pPr>
              <w:pStyle w:val="TableText"/>
              <w:spacing w:before="50" w:after="50"/>
              <w:rPr>
                <w:rFonts w:cs="Calibri"/>
                <w:szCs w:val="16"/>
              </w:rPr>
            </w:pPr>
            <w:r w:rsidRPr="00FC4502">
              <w:rPr>
                <w:rFonts w:cs="Calibri"/>
                <w:szCs w:val="16"/>
              </w:rPr>
              <w:t>Dairy cattle dung</w:t>
            </w:r>
          </w:p>
        </w:tc>
        <w:tc>
          <w:tcPr>
            <w:tcW w:w="1814" w:type="dxa"/>
            <w:tcBorders>
              <w:top w:val="single" w:sz="4" w:space="0" w:color="44546A"/>
              <w:left w:val="nil"/>
              <w:bottom w:val="single" w:sz="4" w:space="0" w:color="44546A"/>
              <w:right w:val="nil"/>
            </w:tcBorders>
          </w:tcPr>
          <w:p w14:paraId="1F5EB5A2" w14:textId="77777777" w:rsidR="004543E0" w:rsidRPr="00FC4502" w:rsidRDefault="004543E0" w:rsidP="007E3239">
            <w:pPr>
              <w:pStyle w:val="TableText"/>
              <w:spacing w:before="50" w:after="50"/>
              <w:rPr>
                <w:rFonts w:cs="Calibri"/>
                <w:szCs w:val="16"/>
              </w:rPr>
            </w:pPr>
            <w:r w:rsidRPr="00FC4502">
              <w:rPr>
                <w:rFonts w:cs="Calibri"/>
                <w:szCs w:val="16"/>
              </w:rPr>
              <w:t>Flatland (0</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0F6ABBEE" w14:textId="77777777" w:rsidR="004543E0" w:rsidRPr="00FC4502" w:rsidRDefault="004543E0" w:rsidP="007E3239">
            <w:pPr>
              <w:pStyle w:val="TableText"/>
              <w:spacing w:before="50" w:after="50"/>
              <w:jc w:val="right"/>
              <w:rPr>
                <w:rFonts w:cs="Calibri"/>
                <w:szCs w:val="16"/>
              </w:rPr>
            </w:pPr>
            <w:r w:rsidRPr="00FC4502">
              <w:rPr>
                <w:rFonts w:cs="Calibri"/>
                <w:szCs w:val="16"/>
              </w:rPr>
              <w:t>14</w:t>
            </w:r>
          </w:p>
        </w:tc>
        <w:tc>
          <w:tcPr>
            <w:tcW w:w="851" w:type="dxa"/>
            <w:tcBorders>
              <w:top w:val="single" w:sz="4" w:space="0" w:color="44546A"/>
              <w:left w:val="nil"/>
              <w:bottom w:val="single" w:sz="4" w:space="0" w:color="44546A"/>
              <w:right w:val="nil"/>
            </w:tcBorders>
            <w:shd w:val="clear" w:color="auto" w:fill="auto"/>
          </w:tcPr>
          <w:p w14:paraId="0CB85628" w14:textId="77777777" w:rsidR="004543E0" w:rsidRPr="00FC4502" w:rsidRDefault="004543E0" w:rsidP="007E3239">
            <w:pPr>
              <w:pStyle w:val="TableText"/>
              <w:spacing w:before="50" w:after="50"/>
              <w:jc w:val="right"/>
              <w:rPr>
                <w:rFonts w:cs="Calibri"/>
                <w:szCs w:val="16"/>
              </w:rPr>
            </w:pPr>
            <w:r w:rsidRPr="00FC4502">
              <w:rPr>
                <w:rFonts w:cs="Calibri"/>
                <w:szCs w:val="16"/>
              </w:rPr>
              <w:t>34</w:t>
            </w:r>
          </w:p>
        </w:tc>
        <w:tc>
          <w:tcPr>
            <w:tcW w:w="851" w:type="dxa"/>
            <w:tcBorders>
              <w:top w:val="single" w:sz="4" w:space="0" w:color="44546A"/>
              <w:left w:val="nil"/>
              <w:bottom w:val="single" w:sz="4" w:space="0" w:color="44546A"/>
              <w:right w:val="nil"/>
            </w:tcBorders>
            <w:shd w:val="clear" w:color="auto" w:fill="auto"/>
          </w:tcPr>
          <w:p w14:paraId="16CDF4F5" w14:textId="77777777" w:rsidR="004543E0" w:rsidRPr="00FC4502" w:rsidRDefault="004543E0" w:rsidP="007E3239">
            <w:pPr>
              <w:pStyle w:val="TableText"/>
              <w:spacing w:before="50" w:after="50"/>
              <w:jc w:val="right"/>
              <w:rPr>
                <w:rFonts w:cs="Calibri"/>
                <w:szCs w:val="16"/>
              </w:rPr>
            </w:pPr>
            <w:r w:rsidRPr="00FC4502">
              <w:rPr>
                <w:rFonts w:cs="Calibri"/>
                <w:szCs w:val="16"/>
              </w:rPr>
              <w:t>36</w:t>
            </w:r>
          </w:p>
        </w:tc>
        <w:tc>
          <w:tcPr>
            <w:tcW w:w="851" w:type="dxa"/>
            <w:tcBorders>
              <w:top w:val="single" w:sz="4" w:space="0" w:color="44546A"/>
              <w:left w:val="nil"/>
              <w:bottom w:val="single" w:sz="4" w:space="0" w:color="44546A"/>
              <w:right w:val="nil"/>
            </w:tcBorders>
            <w:shd w:val="clear" w:color="auto" w:fill="auto"/>
          </w:tcPr>
          <w:p w14:paraId="763B05DC"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515CC53A" w14:textId="77777777" w:rsidR="004543E0" w:rsidRPr="00FC4502" w:rsidRDefault="004543E0" w:rsidP="007E3239">
            <w:pPr>
              <w:pStyle w:val="TableText"/>
              <w:spacing w:before="50" w:after="50"/>
              <w:jc w:val="right"/>
              <w:rPr>
                <w:rFonts w:cs="Calibri"/>
                <w:szCs w:val="16"/>
              </w:rPr>
            </w:pPr>
            <w:r w:rsidRPr="00FC4502">
              <w:rPr>
                <w:rFonts w:cs="Calibri"/>
                <w:szCs w:val="16"/>
              </w:rPr>
              <w:t>84</w:t>
            </w:r>
          </w:p>
        </w:tc>
      </w:tr>
      <w:tr w:rsidR="004543E0" w:rsidRPr="00FC4502" w14:paraId="5ED9F583" w14:textId="77777777" w:rsidTr="00FC4502">
        <w:tc>
          <w:tcPr>
            <w:tcW w:w="2098" w:type="dxa"/>
            <w:tcBorders>
              <w:top w:val="single" w:sz="4" w:space="0" w:color="44546A"/>
              <w:left w:val="nil"/>
              <w:bottom w:val="single" w:sz="4" w:space="0" w:color="44546A"/>
              <w:right w:val="nil"/>
            </w:tcBorders>
            <w:shd w:val="clear" w:color="auto" w:fill="auto"/>
          </w:tcPr>
          <w:p w14:paraId="00C0748F"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724448B8" w14:textId="77777777" w:rsidR="004543E0" w:rsidRPr="00FC4502" w:rsidRDefault="004543E0" w:rsidP="007E3239">
            <w:pPr>
              <w:pStyle w:val="TableText"/>
              <w:spacing w:before="50" w:after="50"/>
              <w:rPr>
                <w:rFonts w:cs="Calibri"/>
                <w:szCs w:val="16"/>
              </w:rPr>
            </w:pPr>
            <w:r w:rsidRPr="00FC4502">
              <w:rPr>
                <w:rFonts w:cs="Calibri"/>
                <w:szCs w:val="16"/>
              </w:rPr>
              <w:t>Low slope (0–12</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40A6B295"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561DC72F" w14:textId="77777777" w:rsidR="004543E0" w:rsidRPr="00FC4502" w:rsidRDefault="004543E0" w:rsidP="007E3239">
            <w:pPr>
              <w:pStyle w:val="TableText"/>
              <w:spacing w:before="50" w:after="50"/>
              <w:jc w:val="right"/>
              <w:rPr>
                <w:rFonts w:cs="Calibri"/>
                <w:szCs w:val="16"/>
              </w:rPr>
            </w:pPr>
            <w:r w:rsidRPr="00FC4502">
              <w:rPr>
                <w:rFonts w:cs="Calibri"/>
                <w:szCs w:val="16"/>
              </w:rPr>
              <w:t>26</w:t>
            </w:r>
          </w:p>
        </w:tc>
        <w:tc>
          <w:tcPr>
            <w:tcW w:w="851" w:type="dxa"/>
            <w:tcBorders>
              <w:top w:val="single" w:sz="4" w:space="0" w:color="44546A"/>
              <w:left w:val="nil"/>
              <w:bottom w:val="single" w:sz="4" w:space="0" w:color="44546A"/>
              <w:right w:val="nil"/>
            </w:tcBorders>
            <w:shd w:val="clear" w:color="auto" w:fill="auto"/>
          </w:tcPr>
          <w:p w14:paraId="4F6F33BC"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78208F15"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141E0607" w14:textId="77777777" w:rsidR="004543E0" w:rsidRPr="00FC4502" w:rsidRDefault="004543E0" w:rsidP="007E3239">
            <w:pPr>
              <w:pStyle w:val="TableText"/>
              <w:spacing w:before="50" w:after="50"/>
              <w:jc w:val="right"/>
              <w:rPr>
                <w:rFonts w:cs="Calibri"/>
                <w:szCs w:val="16"/>
              </w:rPr>
            </w:pPr>
            <w:r w:rsidRPr="00FC4502">
              <w:rPr>
                <w:rFonts w:cs="Calibri"/>
                <w:szCs w:val="16"/>
              </w:rPr>
              <w:t>46</w:t>
            </w:r>
          </w:p>
        </w:tc>
      </w:tr>
      <w:tr w:rsidR="004543E0" w:rsidRPr="00FC4502" w14:paraId="54F4715A" w14:textId="77777777" w:rsidTr="00FC4502">
        <w:tc>
          <w:tcPr>
            <w:tcW w:w="2098" w:type="dxa"/>
            <w:tcBorders>
              <w:top w:val="single" w:sz="4" w:space="0" w:color="44546A"/>
              <w:left w:val="nil"/>
              <w:bottom w:val="single" w:sz="4" w:space="0" w:color="44546A"/>
              <w:right w:val="nil"/>
            </w:tcBorders>
            <w:shd w:val="clear" w:color="auto" w:fill="auto"/>
          </w:tcPr>
          <w:p w14:paraId="6AAC7A8E"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75E67CDD" w14:textId="77777777" w:rsidR="004543E0" w:rsidRPr="00FC4502" w:rsidRDefault="004543E0" w:rsidP="007E3239">
            <w:pPr>
              <w:pStyle w:val="TableText"/>
              <w:spacing w:before="50" w:after="50"/>
              <w:rPr>
                <w:rFonts w:cs="Calibri"/>
                <w:szCs w:val="16"/>
              </w:rPr>
            </w:pPr>
            <w:r w:rsidRPr="00FC4502">
              <w:rPr>
                <w:rFonts w:cs="Calibri"/>
                <w:szCs w:val="16"/>
              </w:rPr>
              <w:t>Medium slope (12–24</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26511DFA"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10F7C4AF"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0C411E48"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3933662E"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03E3CB21"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r>
      <w:tr w:rsidR="004543E0" w:rsidRPr="00FC4502" w14:paraId="454BC07E" w14:textId="77777777" w:rsidTr="00FC4502">
        <w:tc>
          <w:tcPr>
            <w:tcW w:w="2098" w:type="dxa"/>
            <w:tcBorders>
              <w:top w:val="single" w:sz="4" w:space="0" w:color="44546A"/>
              <w:left w:val="nil"/>
              <w:bottom w:val="single" w:sz="4" w:space="0" w:color="44546A"/>
              <w:right w:val="nil"/>
            </w:tcBorders>
            <w:shd w:val="clear" w:color="auto" w:fill="auto"/>
          </w:tcPr>
          <w:p w14:paraId="40AD64A9"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56FB6E80" w14:textId="77777777" w:rsidR="004543E0" w:rsidRPr="00FC4502" w:rsidRDefault="004543E0" w:rsidP="007E3239">
            <w:pPr>
              <w:pStyle w:val="TableText"/>
              <w:spacing w:before="50" w:after="50"/>
              <w:rPr>
                <w:rFonts w:cs="Calibri"/>
                <w:szCs w:val="16"/>
              </w:rPr>
            </w:pPr>
            <w:r w:rsidRPr="00FC4502">
              <w:rPr>
                <w:rFonts w:cs="Calibri"/>
                <w:szCs w:val="16"/>
              </w:rPr>
              <w:t>Steep slope (&gt;24</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06CB0CCE"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36B6E851"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21FB4F15"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4115A26F"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760552F0" w14:textId="77777777" w:rsidR="004543E0" w:rsidRPr="00FC4502" w:rsidRDefault="004543E0" w:rsidP="007E3239">
            <w:pPr>
              <w:pStyle w:val="TableText"/>
              <w:spacing w:before="50" w:after="50"/>
              <w:jc w:val="right"/>
              <w:rPr>
                <w:rFonts w:cs="Calibri"/>
                <w:szCs w:val="16"/>
              </w:rPr>
            </w:pPr>
          </w:p>
        </w:tc>
      </w:tr>
      <w:tr w:rsidR="004543E0" w:rsidRPr="00FC4502" w14:paraId="6C54ABA9" w14:textId="77777777" w:rsidTr="00FC4502">
        <w:tc>
          <w:tcPr>
            <w:tcW w:w="2098" w:type="dxa"/>
            <w:tcBorders>
              <w:top w:val="single" w:sz="4" w:space="0" w:color="44546A"/>
              <w:left w:val="nil"/>
              <w:bottom w:val="single" w:sz="4" w:space="0" w:color="44546A"/>
              <w:right w:val="nil"/>
            </w:tcBorders>
            <w:shd w:val="clear" w:color="auto" w:fill="auto"/>
          </w:tcPr>
          <w:p w14:paraId="06246CA1" w14:textId="77777777" w:rsidR="004543E0" w:rsidRPr="00FC4502" w:rsidRDefault="004543E0" w:rsidP="007E3239">
            <w:pPr>
              <w:pStyle w:val="TableText"/>
              <w:spacing w:before="50" w:after="50"/>
              <w:rPr>
                <w:rFonts w:cs="Calibri"/>
                <w:szCs w:val="16"/>
              </w:rPr>
            </w:pPr>
            <w:r w:rsidRPr="00FC4502">
              <w:rPr>
                <w:rFonts w:cs="Calibri"/>
                <w:szCs w:val="16"/>
              </w:rPr>
              <w:t>Beef cattle urine</w:t>
            </w:r>
          </w:p>
        </w:tc>
        <w:tc>
          <w:tcPr>
            <w:tcW w:w="1814" w:type="dxa"/>
            <w:tcBorders>
              <w:top w:val="single" w:sz="4" w:space="0" w:color="44546A"/>
              <w:left w:val="nil"/>
              <w:bottom w:val="single" w:sz="4" w:space="0" w:color="44546A"/>
              <w:right w:val="nil"/>
            </w:tcBorders>
          </w:tcPr>
          <w:p w14:paraId="3E682193" w14:textId="77777777" w:rsidR="004543E0" w:rsidRPr="00FC4502" w:rsidRDefault="004543E0" w:rsidP="007E3239">
            <w:pPr>
              <w:pStyle w:val="TableText"/>
              <w:spacing w:before="50" w:after="50"/>
              <w:rPr>
                <w:rFonts w:cs="Calibri"/>
                <w:szCs w:val="16"/>
              </w:rPr>
            </w:pPr>
            <w:r w:rsidRPr="00FC4502">
              <w:rPr>
                <w:rFonts w:cs="Calibri"/>
                <w:szCs w:val="16"/>
              </w:rPr>
              <w:t>Flatland (0</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3BDCCA03"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203EA51E" w14:textId="77777777" w:rsidR="004543E0" w:rsidRPr="00FC4502" w:rsidRDefault="004543E0" w:rsidP="007E3239">
            <w:pPr>
              <w:pStyle w:val="TableText"/>
              <w:spacing w:before="50" w:after="50"/>
              <w:jc w:val="right"/>
              <w:rPr>
                <w:rFonts w:cs="Calibri"/>
                <w:szCs w:val="16"/>
              </w:rPr>
            </w:pPr>
            <w:r w:rsidRPr="00FC4502">
              <w:rPr>
                <w:rFonts w:cs="Calibri"/>
                <w:szCs w:val="16"/>
              </w:rPr>
              <w:t>8</w:t>
            </w:r>
          </w:p>
        </w:tc>
        <w:tc>
          <w:tcPr>
            <w:tcW w:w="851" w:type="dxa"/>
            <w:tcBorders>
              <w:top w:val="single" w:sz="4" w:space="0" w:color="44546A"/>
              <w:left w:val="nil"/>
              <w:bottom w:val="single" w:sz="4" w:space="0" w:color="44546A"/>
              <w:right w:val="nil"/>
            </w:tcBorders>
            <w:shd w:val="clear" w:color="auto" w:fill="auto"/>
          </w:tcPr>
          <w:p w14:paraId="1E512314"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29BB6C11"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162D8BB0" w14:textId="77777777" w:rsidR="004543E0" w:rsidRPr="00FC4502" w:rsidRDefault="004543E0" w:rsidP="007E3239">
            <w:pPr>
              <w:pStyle w:val="TableText"/>
              <w:spacing w:before="50" w:after="50"/>
              <w:jc w:val="right"/>
              <w:rPr>
                <w:rFonts w:cs="Calibri"/>
                <w:szCs w:val="16"/>
              </w:rPr>
            </w:pPr>
            <w:r w:rsidRPr="00FC4502">
              <w:rPr>
                <w:rFonts w:cs="Calibri"/>
                <w:szCs w:val="16"/>
              </w:rPr>
              <w:t>8</w:t>
            </w:r>
          </w:p>
        </w:tc>
      </w:tr>
      <w:tr w:rsidR="004543E0" w:rsidRPr="00FC4502" w14:paraId="736E9E89" w14:textId="77777777" w:rsidTr="00FC4502">
        <w:tc>
          <w:tcPr>
            <w:tcW w:w="2098" w:type="dxa"/>
            <w:tcBorders>
              <w:top w:val="single" w:sz="4" w:space="0" w:color="44546A"/>
              <w:left w:val="nil"/>
              <w:bottom w:val="single" w:sz="4" w:space="0" w:color="44546A"/>
              <w:right w:val="nil"/>
            </w:tcBorders>
            <w:shd w:val="clear" w:color="auto" w:fill="auto"/>
          </w:tcPr>
          <w:p w14:paraId="074A729A"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4E1B2954" w14:textId="77777777" w:rsidR="004543E0" w:rsidRPr="00FC4502" w:rsidRDefault="004543E0" w:rsidP="007E3239">
            <w:pPr>
              <w:pStyle w:val="TableText"/>
              <w:spacing w:before="50" w:after="50"/>
              <w:rPr>
                <w:rFonts w:cs="Calibri"/>
                <w:szCs w:val="16"/>
              </w:rPr>
            </w:pPr>
            <w:r w:rsidRPr="00FC4502">
              <w:rPr>
                <w:rFonts w:cs="Calibri"/>
                <w:szCs w:val="16"/>
              </w:rPr>
              <w:t>Low slope (0–12</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030D5BE1"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328A6A7B"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0323BCD1"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0D0F5706"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208A4465" w14:textId="77777777" w:rsidR="004543E0" w:rsidRPr="00FC4502" w:rsidRDefault="004543E0" w:rsidP="007E3239">
            <w:pPr>
              <w:pStyle w:val="TableText"/>
              <w:spacing w:before="50" w:after="50"/>
              <w:jc w:val="right"/>
              <w:rPr>
                <w:rFonts w:cs="Calibri"/>
                <w:szCs w:val="16"/>
              </w:rPr>
            </w:pPr>
            <w:r w:rsidRPr="00FC4502">
              <w:rPr>
                <w:rFonts w:cs="Calibri"/>
                <w:szCs w:val="16"/>
              </w:rPr>
              <w:t>40</w:t>
            </w:r>
          </w:p>
        </w:tc>
      </w:tr>
      <w:tr w:rsidR="004543E0" w:rsidRPr="00FC4502" w14:paraId="4326D695" w14:textId="77777777" w:rsidTr="00FC4502">
        <w:tc>
          <w:tcPr>
            <w:tcW w:w="2098" w:type="dxa"/>
            <w:tcBorders>
              <w:top w:val="single" w:sz="4" w:space="0" w:color="44546A"/>
              <w:left w:val="nil"/>
              <w:bottom w:val="single" w:sz="4" w:space="0" w:color="44546A"/>
              <w:right w:val="nil"/>
            </w:tcBorders>
            <w:shd w:val="clear" w:color="auto" w:fill="auto"/>
          </w:tcPr>
          <w:p w14:paraId="75C4E624"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1DBDD8C2" w14:textId="77777777" w:rsidR="004543E0" w:rsidRPr="00FC4502" w:rsidRDefault="004543E0" w:rsidP="007E3239">
            <w:pPr>
              <w:pStyle w:val="TableText"/>
              <w:spacing w:before="50" w:after="50"/>
              <w:rPr>
                <w:rFonts w:cs="Calibri"/>
                <w:szCs w:val="16"/>
              </w:rPr>
            </w:pPr>
            <w:r w:rsidRPr="00FC4502">
              <w:rPr>
                <w:rFonts w:cs="Calibri"/>
                <w:szCs w:val="16"/>
              </w:rPr>
              <w:t>Medium slope (12–24</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173150B0"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59F12AFB" w14:textId="77777777" w:rsidR="004543E0" w:rsidRPr="00FC4502" w:rsidRDefault="004543E0" w:rsidP="007E3239">
            <w:pPr>
              <w:pStyle w:val="TableText"/>
              <w:spacing w:before="50" w:after="50"/>
              <w:jc w:val="right"/>
              <w:rPr>
                <w:rFonts w:cs="Calibri"/>
                <w:szCs w:val="16"/>
              </w:rPr>
            </w:pPr>
            <w:r w:rsidRPr="00FC4502">
              <w:rPr>
                <w:rFonts w:cs="Calibri"/>
                <w:szCs w:val="16"/>
              </w:rPr>
              <w:t>30</w:t>
            </w:r>
          </w:p>
        </w:tc>
        <w:tc>
          <w:tcPr>
            <w:tcW w:w="851" w:type="dxa"/>
            <w:tcBorders>
              <w:top w:val="single" w:sz="4" w:space="0" w:color="44546A"/>
              <w:left w:val="nil"/>
              <w:bottom w:val="single" w:sz="4" w:space="0" w:color="44546A"/>
              <w:right w:val="nil"/>
            </w:tcBorders>
            <w:shd w:val="clear" w:color="auto" w:fill="auto"/>
          </w:tcPr>
          <w:p w14:paraId="140ABE1F"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7B2C640E"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71076126" w14:textId="77777777" w:rsidR="004543E0" w:rsidRPr="00FC4502" w:rsidRDefault="004543E0" w:rsidP="007E3239">
            <w:pPr>
              <w:pStyle w:val="TableText"/>
              <w:spacing w:before="50" w:after="50"/>
              <w:jc w:val="right"/>
              <w:rPr>
                <w:rFonts w:cs="Calibri"/>
                <w:szCs w:val="16"/>
              </w:rPr>
            </w:pPr>
            <w:r w:rsidRPr="00FC4502">
              <w:rPr>
                <w:rFonts w:cs="Calibri"/>
                <w:szCs w:val="16"/>
              </w:rPr>
              <w:t>60</w:t>
            </w:r>
          </w:p>
        </w:tc>
      </w:tr>
      <w:tr w:rsidR="004543E0" w:rsidRPr="00FC4502" w14:paraId="1DA5CF84" w14:textId="77777777" w:rsidTr="00FC4502">
        <w:tc>
          <w:tcPr>
            <w:tcW w:w="2098" w:type="dxa"/>
            <w:tcBorders>
              <w:top w:val="single" w:sz="4" w:space="0" w:color="44546A"/>
              <w:left w:val="nil"/>
              <w:bottom w:val="single" w:sz="4" w:space="0" w:color="44546A"/>
              <w:right w:val="nil"/>
            </w:tcBorders>
            <w:shd w:val="clear" w:color="auto" w:fill="auto"/>
          </w:tcPr>
          <w:p w14:paraId="4402DBA2"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3CB0B6F6" w14:textId="77777777" w:rsidR="004543E0" w:rsidRPr="00FC4502" w:rsidRDefault="004543E0" w:rsidP="007E3239">
            <w:pPr>
              <w:pStyle w:val="TableText"/>
              <w:spacing w:before="50" w:after="50"/>
              <w:rPr>
                <w:rFonts w:cs="Calibri"/>
                <w:szCs w:val="16"/>
              </w:rPr>
            </w:pPr>
            <w:r w:rsidRPr="00FC4502">
              <w:rPr>
                <w:rFonts w:cs="Calibri"/>
                <w:szCs w:val="16"/>
              </w:rPr>
              <w:t>Steep slope (&gt;24</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6267BE6D"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41014B3E"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69B055B9"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2CD58FFF"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1801F1CC"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r>
      <w:tr w:rsidR="004543E0" w:rsidRPr="00FC4502" w14:paraId="7CE8CE6A" w14:textId="77777777" w:rsidTr="00FC4502">
        <w:tc>
          <w:tcPr>
            <w:tcW w:w="2098" w:type="dxa"/>
            <w:tcBorders>
              <w:top w:val="single" w:sz="4" w:space="0" w:color="44546A"/>
              <w:left w:val="nil"/>
              <w:bottom w:val="single" w:sz="4" w:space="0" w:color="44546A"/>
              <w:right w:val="nil"/>
            </w:tcBorders>
            <w:shd w:val="clear" w:color="auto" w:fill="auto"/>
          </w:tcPr>
          <w:p w14:paraId="7D16BB77" w14:textId="77777777" w:rsidR="004543E0" w:rsidRPr="00FC4502" w:rsidRDefault="004543E0" w:rsidP="007E3239">
            <w:pPr>
              <w:pStyle w:val="TableText"/>
              <w:spacing w:before="50" w:after="50"/>
              <w:rPr>
                <w:rFonts w:cs="Calibri"/>
                <w:szCs w:val="16"/>
              </w:rPr>
            </w:pPr>
            <w:r w:rsidRPr="00FC4502">
              <w:rPr>
                <w:rFonts w:cs="Calibri"/>
                <w:szCs w:val="16"/>
              </w:rPr>
              <w:t>Beef cattle dung</w:t>
            </w:r>
          </w:p>
        </w:tc>
        <w:tc>
          <w:tcPr>
            <w:tcW w:w="1814" w:type="dxa"/>
            <w:tcBorders>
              <w:top w:val="single" w:sz="4" w:space="0" w:color="44546A"/>
              <w:left w:val="nil"/>
              <w:bottom w:val="single" w:sz="4" w:space="0" w:color="44546A"/>
              <w:right w:val="nil"/>
            </w:tcBorders>
          </w:tcPr>
          <w:p w14:paraId="6C22AD21" w14:textId="77777777" w:rsidR="004543E0" w:rsidRPr="00FC4502" w:rsidRDefault="004543E0" w:rsidP="007E3239">
            <w:pPr>
              <w:pStyle w:val="TableText"/>
              <w:spacing w:before="50" w:after="50"/>
              <w:rPr>
                <w:rFonts w:cs="Calibri"/>
                <w:szCs w:val="16"/>
              </w:rPr>
            </w:pPr>
            <w:r w:rsidRPr="00FC4502">
              <w:rPr>
                <w:rFonts w:cs="Calibri"/>
                <w:szCs w:val="16"/>
              </w:rPr>
              <w:t>Flatland (0</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0958B038"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2A6D171B"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361C3A94"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74001C73"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43505C11" w14:textId="77777777" w:rsidR="004543E0" w:rsidRPr="00FC4502" w:rsidRDefault="004543E0" w:rsidP="007E3239">
            <w:pPr>
              <w:pStyle w:val="TableText"/>
              <w:spacing w:before="50" w:after="50"/>
              <w:jc w:val="right"/>
              <w:rPr>
                <w:rFonts w:cs="Calibri"/>
                <w:szCs w:val="16"/>
              </w:rPr>
            </w:pPr>
          </w:p>
        </w:tc>
      </w:tr>
      <w:tr w:rsidR="004543E0" w:rsidRPr="00FC4502" w14:paraId="51CCA2F4" w14:textId="77777777" w:rsidTr="00FC4502">
        <w:tc>
          <w:tcPr>
            <w:tcW w:w="2098" w:type="dxa"/>
            <w:tcBorders>
              <w:top w:val="single" w:sz="4" w:space="0" w:color="44546A"/>
              <w:left w:val="nil"/>
              <w:bottom w:val="single" w:sz="4" w:space="0" w:color="44546A"/>
              <w:right w:val="nil"/>
            </w:tcBorders>
            <w:shd w:val="clear" w:color="auto" w:fill="auto"/>
          </w:tcPr>
          <w:p w14:paraId="0A43BB56"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63768B69" w14:textId="77777777" w:rsidR="004543E0" w:rsidRPr="00FC4502" w:rsidRDefault="004543E0" w:rsidP="007E3239">
            <w:pPr>
              <w:pStyle w:val="TableText"/>
              <w:spacing w:before="50" w:after="50"/>
              <w:rPr>
                <w:rFonts w:cs="Calibri"/>
                <w:szCs w:val="16"/>
              </w:rPr>
            </w:pPr>
            <w:r w:rsidRPr="00FC4502">
              <w:rPr>
                <w:rFonts w:cs="Calibri"/>
                <w:szCs w:val="16"/>
              </w:rPr>
              <w:t>Low slope (0–12</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55CF2BB0"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07CBD209" w14:textId="77777777" w:rsidR="004543E0" w:rsidRPr="00FC4502" w:rsidRDefault="004543E0" w:rsidP="007E3239">
            <w:pPr>
              <w:pStyle w:val="TableText"/>
              <w:spacing w:before="50" w:after="50"/>
              <w:jc w:val="right"/>
              <w:rPr>
                <w:rFonts w:cs="Calibri"/>
                <w:szCs w:val="16"/>
              </w:rPr>
            </w:pPr>
            <w:r w:rsidRPr="00FC4502">
              <w:rPr>
                <w:rFonts w:cs="Calibri"/>
                <w:szCs w:val="16"/>
              </w:rPr>
              <w:t>28</w:t>
            </w:r>
          </w:p>
        </w:tc>
        <w:tc>
          <w:tcPr>
            <w:tcW w:w="851" w:type="dxa"/>
            <w:tcBorders>
              <w:top w:val="single" w:sz="4" w:space="0" w:color="44546A"/>
              <w:left w:val="nil"/>
              <w:bottom w:val="single" w:sz="4" w:space="0" w:color="44546A"/>
              <w:right w:val="nil"/>
            </w:tcBorders>
            <w:shd w:val="clear" w:color="auto" w:fill="auto"/>
          </w:tcPr>
          <w:p w14:paraId="3145679B" w14:textId="77777777" w:rsidR="004543E0" w:rsidRPr="00FC4502" w:rsidRDefault="004543E0" w:rsidP="007E3239">
            <w:pPr>
              <w:pStyle w:val="TableText"/>
              <w:spacing w:before="50" w:after="50"/>
              <w:jc w:val="right"/>
              <w:rPr>
                <w:rFonts w:cs="Calibri"/>
                <w:szCs w:val="16"/>
              </w:rPr>
            </w:pPr>
            <w:r w:rsidRPr="00FC4502">
              <w:rPr>
                <w:rFonts w:cs="Calibri"/>
                <w:szCs w:val="16"/>
              </w:rPr>
              <w:t>8</w:t>
            </w:r>
          </w:p>
        </w:tc>
        <w:tc>
          <w:tcPr>
            <w:tcW w:w="851" w:type="dxa"/>
            <w:tcBorders>
              <w:top w:val="single" w:sz="4" w:space="0" w:color="44546A"/>
              <w:left w:val="nil"/>
              <w:bottom w:val="single" w:sz="4" w:space="0" w:color="44546A"/>
              <w:right w:val="nil"/>
            </w:tcBorders>
            <w:shd w:val="clear" w:color="auto" w:fill="auto"/>
          </w:tcPr>
          <w:p w14:paraId="4EA471F6"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15B4BD3E" w14:textId="77777777" w:rsidR="004543E0" w:rsidRPr="00FC4502" w:rsidRDefault="004543E0" w:rsidP="007E3239">
            <w:pPr>
              <w:pStyle w:val="TableText"/>
              <w:spacing w:before="50" w:after="50"/>
              <w:jc w:val="right"/>
              <w:rPr>
                <w:rFonts w:cs="Calibri"/>
                <w:szCs w:val="16"/>
              </w:rPr>
            </w:pPr>
            <w:r w:rsidRPr="00FC4502">
              <w:rPr>
                <w:rFonts w:cs="Calibri"/>
                <w:szCs w:val="16"/>
              </w:rPr>
              <w:t>76</w:t>
            </w:r>
          </w:p>
        </w:tc>
      </w:tr>
      <w:tr w:rsidR="004543E0" w:rsidRPr="00FC4502" w14:paraId="05510115" w14:textId="77777777" w:rsidTr="00FC4502">
        <w:tc>
          <w:tcPr>
            <w:tcW w:w="2098" w:type="dxa"/>
            <w:tcBorders>
              <w:top w:val="single" w:sz="4" w:space="0" w:color="44546A"/>
              <w:left w:val="nil"/>
              <w:bottom w:val="single" w:sz="4" w:space="0" w:color="44546A"/>
              <w:right w:val="nil"/>
            </w:tcBorders>
            <w:shd w:val="clear" w:color="auto" w:fill="auto"/>
          </w:tcPr>
          <w:p w14:paraId="329443A8"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7CF455C6" w14:textId="77777777" w:rsidR="004543E0" w:rsidRPr="00FC4502" w:rsidRDefault="004543E0" w:rsidP="007E3239">
            <w:pPr>
              <w:pStyle w:val="TableText"/>
              <w:spacing w:before="50" w:after="50"/>
              <w:rPr>
                <w:rFonts w:cs="Calibri"/>
                <w:szCs w:val="16"/>
              </w:rPr>
            </w:pPr>
            <w:r w:rsidRPr="00FC4502">
              <w:rPr>
                <w:rFonts w:cs="Calibri"/>
                <w:szCs w:val="16"/>
              </w:rPr>
              <w:t>Medium slope (12–24</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448B93A7"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39AC37EC" w14:textId="77777777" w:rsidR="004543E0" w:rsidRPr="00FC4502" w:rsidRDefault="004543E0" w:rsidP="007E3239">
            <w:pPr>
              <w:pStyle w:val="TableText"/>
              <w:spacing w:before="50" w:after="50"/>
              <w:jc w:val="right"/>
              <w:rPr>
                <w:rFonts w:cs="Calibri"/>
                <w:szCs w:val="16"/>
              </w:rPr>
            </w:pPr>
            <w:r w:rsidRPr="00FC4502">
              <w:rPr>
                <w:rFonts w:cs="Calibri"/>
                <w:szCs w:val="16"/>
              </w:rPr>
              <w:t>30</w:t>
            </w:r>
          </w:p>
        </w:tc>
        <w:tc>
          <w:tcPr>
            <w:tcW w:w="851" w:type="dxa"/>
            <w:tcBorders>
              <w:top w:val="single" w:sz="4" w:space="0" w:color="44546A"/>
              <w:left w:val="nil"/>
              <w:bottom w:val="single" w:sz="4" w:space="0" w:color="44546A"/>
              <w:right w:val="nil"/>
            </w:tcBorders>
            <w:shd w:val="clear" w:color="auto" w:fill="auto"/>
          </w:tcPr>
          <w:p w14:paraId="1EEA32CD"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19ABA2B0"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688D06F6" w14:textId="77777777" w:rsidR="004543E0" w:rsidRPr="00FC4502" w:rsidRDefault="004543E0" w:rsidP="007E3239">
            <w:pPr>
              <w:pStyle w:val="TableText"/>
              <w:spacing w:before="50" w:after="50"/>
              <w:jc w:val="right"/>
              <w:rPr>
                <w:rFonts w:cs="Calibri"/>
                <w:szCs w:val="16"/>
              </w:rPr>
            </w:pPr>
            <w:r w:rsidRPr="00FC4502">
              <w:rPr>
                <w:rFonts w:cs="Calibri"/>
                <w:szCs w:val="16"/>
              </w:rPr>
              <w:t>60</w:t>
            </w:r>
          </w:p>
        </w:tc>
      </w:tr>
      <w:tr w:rsidR="004543E0" w:rsidRPr="00FC4502" w14:paraId="08BA8F8D" w14:textId="77777777" w:rsidTr="00FC4502">
        <w:tc>
          <w:tcPr>
            <w:tcW w:w="2098" w:type="dxa"/>
            <w:tcBorders>
              <w:top w:val="single" w:sz="4" w:space="0" w:color="44546A"/>
              <w:left w:val="nil"/>
              <w:bottom w:val="single" w:sz="4" w:space="0" w:color="44546A"/>
              <w:right w:val="nil"/>
            </w:tcBorders>
            <w:shd w:val="clear" w:color="auto" w:fill="auto"/>
          </w:tcPr>
          <w:p w14:paraId="0FA343D2"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056D83D1" w14:textId="77777777" w:rsidR="004543E0" w:rsidRPr="00FC4502" w:rsidRDefault="004543E0" w:rsidP="007E3239">
            <w:pPr>
              <w:pStyle w:val="TableText"/>
              <w:spacing w:before="50" w:after="50"/>
              <w:rPr>
                <w:rFonts w:cs="Calibri"/>
                <w:szCs w:val="16"/>
              </w:rPr>
            </w:pPr>
            <w:r w:rsidRPr="00FC4502">
              <w:rPr>
                <w:rFonts w:cs="Calibri"/>
                <w:szCs w:val="16"/>
              </w:rPr>
              <w:t>Steep slope (&gt;24</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5566A910"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5E70B73B"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25324C45"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15A4B3E2"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6A959D25"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r>
      <w:tr w:rsidR="004543E0" w:rsidRPr="00FC4502" w14:paraId="3F2A1ABD" w14:textId="77777777" w:rsidTr="00FC4502">
        <w:tc>
          <w:tcPr>
            <w:tcW w:w="2098" w:type="dxa"/>
            <w:tcBorders>
              <w:top w:val="single" w:sz="4" w:space="0" w:color="44546A"/>
              <w:left w:val="nil"/>
              <w:bottom w:val="single" w:sz="4" w:space="0" w:color="44546A"/>
              <w:right w:val="nil"/>
            </w:tcBorders>
            <w:shd w:val="clear" w:color="auto" w:fill="auto"/>
          </w:tcPr>
          <w:p w14:paraId="7821D868" w14:textId="77777777" w:rsidR="004543E0" w:rsidRPr="00FC4502" w:rsidRDefault="004543E0" w:rsidP="007E3239">
            <w:pPr>
              <w:pStyle w:val="TableText"/>
              <w:spacing w:before="50" w:after="50"/>
              <w:rPr>
                <w:rFonts w:cs="Calibri"/>
                <w:szCs w:val="16"/>
              </w:rPr>
            </w:pPr>
            <w:r w:rsidRPr="00FC4502">
              <w:rPr>
                <w:rFonts w:cs="Calibri"/>
                <w:szCs w:val="16"/>
              </w:rPr>
              <w:t>Sheep urine</w:t>
            </w:r>
          </w:p>
        </w:tc>
        <w:tc>
          <w:tcPr>
            <w:tcW w:w="1814" w:type="dxa"/>
            <w:tcBorders>
              <w:top w:val="single" w:sz="4" w:space="0" w:color="44546A"/>
              <w:left w:val="nil"/>
              <w:bottom w:val="single" w:sz="4" w:space="0" w:color="44546A"/>
              <w:right w:val="nil"/>
            </w:tcBorders>
          </w:tcPr>
          <w:p w14:paraId="4577F2DC" w14:textId="77777777" w:rsidR="004543E0" w:rsidRPr="00FC4502" w:rsidRDefault="004543E0" w:rsidP="007E3239">
            <w:pPr>
              <w:pStyle w:val="TableText"/>
              <w:spacing w:before="50" w:after="50"/>
              <w:rPr>
                <w:rFonts w:cs="Calibri"/>
                <w:szCs w:val="16"/>
              </w:rPr>
            </w:pPr>
            <w:r w:rsidRPr="00FC4502">
              <w:rPr>
                <w:rFonts w:cs="Calibri"/>
                <w:szCs w:val="16"/>
              </w:rPr>
              <w:t>Flatland (0</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25ACBD1D" w14:textId="77777777" w:rsidR="004543E0" w:rsidRPr="00FC4502" w:rsidRDefault="004543E0" w:rsidP="007E3239">
            <w:pPr>
              <w:pStyle w:val="TableText"/>
              <w:spacing w:before="50" w:after="50"/>
              <w:jc w:val="right"/>
              <w:rPr>
                <w:rFonts w:cs="Calibri"/>
                <w:szCs w:val="16"/>
              </w:rPr>
            </w:pPr>
            <w:r w:rsidRPr="00FC4502">
              <w:rPr>
                <w:rFonts w:cs="Calibri"/>
                <w:szCs w:val="16"/>
              </w:rPr>
              <w:t>8</w:t>
            </w:r>
          </w:p>
        </w:tc>
        <w:tc>
          <w:tcPr>
            <w:tcW w:w="851" w:type="dxa"/>
            <w:tcBorders>
              <w:top w:val="single" w:sz="4" w:space="0" w:color="44546A"/>
              <w:left w:val="nil"/>
              <w:bottom w:val="single" w:sz="4" w:space="0" w:color="44546A"/>
              <w:right w:val="nil"/>
            </w:tcBorders>
            <w:shd w:val="clear" w:color="auto" w:fill="auto"/>
          </w:tcPr>
          <w:p w14:paraId="6EDFB72E" w14:textId="77777777" w:rsidR="004543E0" w:rsidRPr="00FC4502" w:rsidRDefault="004543E0" w:rsidP="007E3239">
            <w:pPr>
              <w:pStyle w:val="TableText"/>
              <w:spacing w:before="50" w:after="50"/>
              <w:jc w:val="right"/>
              <w:rPr>
                <w:rFonts w:cs="Calibri"/>
                <w:szCs w:val="16"/>
              </w:rPr>
            </w:pPr>
            <w:r w:rsidRPr="00FC4502">
              <w:rPr>
                <w:rFonts w:cs="Calibri"/>
                <w:szCs w:val="16"/>
              </w:rPr>
              <w:t>8</w:t>
            </w:r>
          </w:p>
        </w:tc>
        <w:tc>
          <w:tcPr>
            <w:tcW w:w="851" w:type="dxa"/>
            <w:tcBorders>
              <w:top w:val="single" w:sz="4" w:space="0" w:color="44546A"/>
              <w:left w:val="nil"/>
              <w:bottom w:val="single" w:sz="4" w:space="0" w:color="44546A"/>
              <w:right w:val="nil"/>
            </w:tcBorders>
            <w:shd w:val="clear" w:color="auto" w:fill="auto"/>
          </w:tcPr>
          <w:p w14:paraId="17836204"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2653E223"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7B171268" w14:textId="77777777" w:rsidR="004543E0" w:rsidRPr="00FC4502" w:rsidRDefault="004543E0" w:rsidP="007E3239">
            <w:pPr>
              <w:pStyle w:val="TableText"/>
              <w:spacing w:before="50" w:after="50"/>
              <w:jc w:val="right"/>
              <w:rPr>
                <w:rFonts w:cs="Calibri"/>
                <w:szCs w:val="16"/>
              </w:rPr>
            </w:pPr>
            <w:r w:rsidRPr="00FC4502">
              <w:rPr>
                <w:rFonts w:cs="Calibri"/>
                <w:szCs w:val="16"/>
              </w:rPr>
              <w:t>36</w:t>
            </w:r>
          </w:p>
        </w:tc>
      </w:tr>
      <w:tr w:rsidR="004543E0" w:rsidRPr="00FC4502" w14:paraId="6510C2DF" w14:textId="77777777" w:rsidTr="00FC4502">
        <w:tc>
          <w:tcPr>
            <w:tcW w:w="2098" w:type="dxa"/>
            <w:tcBorders>
              <w:top w:val="single" w:sz="4" w:space="0" w:color="44546A"/>
              <w:left w:val="nil"/>
              <w:bottom w:val="single" w:sz="4" w:space="0" w:color="44546A"/>
              <w:right w:val="nil"/>
            </w:tcBorders>
            <w:shd w:val="clear" w:color="auto" w:fill="auto"/>
          </w:tcPr>
          <w:p w14:paraId="4D50A159"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294AA142" w14:textId="77777777" w:rsidR="004543E0" w:rsidRPr="00FC4502" w:rsidRDefault="004543E0" w:rsidP="007E3239">
            <w:pPr>
              <w:pStyle w:val="TableText"/>
              <w:spacing w:before="50" w:after="50"/>
              <w:rPr>
                <w:rFonts w:cs="Calibri"/>
                <w:szCs w:val="16"/>
              </w:rPr>
            </w:pPr>
            <w:r w:rsidRPr="00FC4502">
              <w:rPr>
                <w:rFonts w:cs="Calibri"/>
                <w:szCs w:val="16"/>
              </w:rPr>
              <w:t>Low slope (0–12</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2F193738" w14:textId="77777777" w:rsidR="004543E0" w:rsidRPr="00FC4502" w:rsidRDefault="004543E0" w:rsidP="007E3239">
            <w:pPr>
              <w:pStyle w:val="TableText"/>
              <w:spacing w:before="50" w:after="50"/>
              <w:jc w:val="right"/>
              <w:rPr>
                <w:rFonts w:cs="Calibri"/>
                <w:szCs w:val="16"/>
              </w:rPr>
            </w:pPr>
            <w:r w:rsidRPr="00FC4502">
              <w:rPr>
                <w:rFonts w:cs="Calibri"/>
                <w:szCs w:val="16"/>
              </w:rPr>
              <w:t>24</w:t>
            </w:r>
          </w:p>
        </w:tc>
        <w:tc>
          <w:tcPr>
            <w:tcW w:w="851" w:type="dxa"/>
            <w:tcBorders>
              <w:top w:val="single" w:sz="4" w:space="0" w:color="44546A"/>
              <w:left w:val="nil"/>
              <w:bottom w:val="single" w:sz="4" w:space="0" w:color="44546A"/>
              <w:right w:val="nil"/>
            </w:tcBorders>
            <w:shd w:val="clear" w:color="auto" w:fill="auto"/>
          </w:tcPr>
          <w:p w14:paraId="75683BCD"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3ACB2D38" w14:textId="77777777" w:rsidR="004543E0" w:rsidRPr="00FC4502" w:rsidRDefault="004543E0" w:rsidP="007E3239">
            <w:pPr>
              <w:pStyle w:val="TableText"/>
              <w:spacing w:before="50" w:after="50"/>
              <w:jc w:val="right"/>
              <w:rPr>
                <w:rFonts w:cs="Calibri"/>
                <w:szCs w:val="16"/>
              </w:rPr>
            </w:pPr>
            <w:r w:rsidRPr="00FC4502">
              <w:rPr>
                <w:rFonts w:cs="Calibri"/>
                <w:szCs w:val="16"/>
              </w:rPr>
              <w:t>44</w:t>
            </w:r>
          </w:p>
        </w:tc>
        <w:tc>
          <w:tcPr>
            <w:tcW w:w="851" w:type="dxa"/>
            <w:tcBorders>
              <w:top w:val="single" w:sz="4" w:space="0" w:color="44546A"/>
              <w:left w:val="nil"/>
              <w:bottom w:val="single" w:sz="4" w:space="0" w:color="44546A"/>
              <w:right w:val="nil"/>
            </w:tcBorders>
            <w:shd w:val="clear" w:color="auto" w:fill="auto"/>
          </w:tcPr>
          <w:p w14:paraId="1F92A007"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5711E87C" w14:textId="77777777" w:rsidR="004543E0" w:rsidRPr="00FC4502" w:rsidRDefault="004543E0" w:rsidP="007E3239">
            <w:pPr>
              <w:pStyle w:val="TableText"/>
              <w:spacing w:before="50" w:after="50"/>
              <w:jc w:val="right"/>
              <w:rPr>
                <w:rFonts w:cs="Calibri"/>
                <w:szCs w:val="16"/>
              </w:rPr>
            </w:pPr>
            <w:r w:rsidRPr="00FC4502">
              <w:rPr>
                <w:rFonts w:cs="Calibri"/>
                <w:szCs w:val="16"/>
              </w:rPr>
              <w:t>68</w:t>
            </w:r>
          </w:p>
        </w:tc>
      </w:tr>
      <w:tr w:rsidR="004543E0" w:rsidRPr="00FC4502" w14:paraId="63D7F0D6" w14:textId="77777777" w:rsidTr="00FC4502">
        <w:tc>
          <w:tcPr>
            <w:tcW w:w="2098" w:type="dxa"/>
            <w:tcBorders>
              <w:top w:val="single" w:sz="4" w:space="0" w:color="44546A"/>
              <w:left w:val="nil"/>
              <w:bottom w:val="single" w:sz="4" w:space="0" w:color="44546A"/>
              <w:right w:val="nil"/>
            </w:tcBorders>
            <w:shd w:val="clear" w:color="auto" w:fill="auto"/>
          </w:tcPr>
          <w:p w14:paraId="4F10DF72"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5558EA9C" w14:textId="77777777" w:rsidR="004543E0" w:rsidRPr="00FC4502" w:rsidRDefault="004543E0" w:rsidP="007E3239">
            <w:pPr>
              <w:pStyle w:val="TableText"/>
              <w:spacing w:before="50" w:after="50"/>
              <w:rPr>
                <w:rFonts w:cs="Calibri"/>
                <w:szCs w:val="16"/>
              </w:rPr>
            </w:pPr>
            <w:r w:rsidRPr="00FC4502">
              <w:rPr>
                <w:rFonts w:cs="Calibri"/>
                <w:szCs w:val="16"/>
              </w:rPr>
              <w:t>Medium slope (12–24</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4F2D467A" w14:textId="77777777" w:rsidR="004543E0" w:rsidRPr="00FC4502" w:rsidRDefault="004543E0" w:rsidP="007E3239">
            <w:pPr>
              <w:pStyle w:val="TableText"/>
              <w:spacing w:before="50" w:after="50"/>
              <w:jc w:val="right"/>
              <w:rPr>
                <w:rFonts w:cs="Calibri"/>
                <w:szCs w:val="16"/>
              </w:rPr>
            </w:pPr>
            <w:r w:rsidRPr="00FC4502">
              <w:rPr>
                <w:rFonts w:cs="Calibri"/>
                <w:szCs w:val="16"/>
              </w:rPr>
              <w:t>30</w:t>
            </w:r>
          </w:p>
        </w:tc>
        <w:tc>
          <w:tcPr>
            <w:tcW w:w="851" w:type="dxa"/>
            <w:tcBorders>
              <w:top w:val="single" w:sz="4" w:space="0" w:color="44546A"/>
              <w:left w:val="nil"/>
              <w:bottom w:val="single" w:sz="4" w:space="0" w:color="44546A"/>
              <w:right w:val="nil"/>
            </w:tcBorders>
            <w:shd w:val="clear" w:color="auto" w:fill="auto"/>
          </w:tcPr>
          <w:p w14:paraId="16F58E10"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6557CA2F"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73F46D20"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030B4EBA" w14:textId="77777777" w:rsidR="004543E0" w:rsidRPr="00FC4502" w:rsidRDefault="004543E0" w:rsidP="007E3239">
            <w:pPr>
              <w:pStyle w:val="TableText"/>
              <w:spacing w:before="50" w:after="50"/>
              <w:jc w:val="right"/>
              <w:rPr>
                <w:rFonts w:cs="Calibri"/>
                <w:szCs w:val="16"/>
              </w:rPr>
            </w:pPr>
            <w:r w:rsidRPr="00FC4502">
              <w:rPr>
                <w:rFonts w:cs="Calibri"/>
                <w:szCs w:val="16"/>
              </w:rPr>
              <w:t>60</w:t>
            </w:r>
          </w:p>
        </w:tc>
      </w:tr>
      <w:tr w:rsidR="004543E0" w:rsidRPr="00FC4502" w14:paraId="64DADFD8" w14:textId="77777777" w:rsidTr="00FC4502">
        <w:tc>
          <w:tcPr>
            <w:tcW w:w="2098" w:type="dxa"/>
            <w:tcBorders>
              <w:top w:val="single" w:sz="4" w:space="0" w:color="44546A"/>
              <w:left w:val="nil"/>
              <w:bottom w:val="single" w:sz="4" w:space="0" w:color="44546A"/>
              <w:right w:val="nil"/>
            </w:tcBorders>
            <w:shd w:val="clear" w:color="auto" w:fill="auto"/>
          </w:tcPr>
          <w:p w14:paraId="6E3F3595"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09F77EEE" w14:textId="77777777" w:rsidR="004543E0" w:rsidRPr="00FC4502" w:rsidRDefault="004543E0" w:rsidP="007E3239">
            <w:pPr>
              <w:pStyle w:val="TableText"/>
              <w:spacing w:before="50" w:after="50"/>
              <w:rPr>
                <w:rFonts w:cs="Calibri"/>
                <w:szCs w:val="16"/>
              </w:rPr>
            </w:pPr>
            <w:r w:rsidRPr="00FC4502">
              <w:rPr>
                <w:rFonts w:cs="Calibri"/>
                <w:szCs w:val="16"/>
              </w:rPr>
              <w:t>Steep slope (&gt;24</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76CD3637"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39A5E04E"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2B9AE1C9"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6FD4A080"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4B1E4F74"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r>
      <w:tr w:rsidR="004543E0" w:rsidRPr="00FC4502" w14:paraId="59A0D565" w14:textId="77777777" w:rsidTr="00FC4502">
        <w:tc>
          <w:tcPr>
            <w:tcW w:w="2098" w:type="dxa"/>
            <w:tcBorders>
              <w:top w:val="single" w:sz="4" w:space="0" w:color="44546A"/>
              <w:left w:val="nil"/>
              <w:bottom w:val="single" w:sz="4" w:space="0" w:color="44546A"/>
              <w:right w:val="nil"/>
            </w:tcBorders>
            <w:shd w:val="clear" w:color="auto" w:fill="auto"/>
          </w:tcPr>
          <w:p w14:paraId="3BCA3EFB" w14:textId="77777777" w:rsidR="004543E0" w:rsidRPr="00FC4502" w:rsidRDefault="004543E0" w:rsidP="007E3239">
            <w:pPr>
              <w:pStyle w:val="TableText"/>
              <w:spacing w:before="50" w:after="50"/>
              <w:rPr>
                <w:rFonts w:cs="Calibri"/>
                <w:szCs w:val="16"/>
              </w:rPr>
            </w:pPr>
            <w:r w:rsidRPr="00FC4502">
              <w:rPr>
                <w:rFonts w:cs="Calibri"/>
                <w:szCs w:val="16"/>
              </w:rPr>
              <w:t>Sheep dung</w:t>
            </w:r>
          </w:p>
        </w:tc>
        <w:tc>
          <w:tcPr>
            <w:tcW w:w="1814" w:type="dxa"/>
            <w:tcBorders>
              <w:top w:val="single" w:sz="4" w:space="0" w:color="44546A"/>
              <w:left w:val="nil"/>
              <w:bottom w:val="single" w:sz="4" w:space="0" w:color="44546A"/>
              <w:right w:val="nil"/>
            </w:tcBorders>
          </w:tcPr>
          <w:p w14:paraId="58DEF108" w14:textId="77777777" w:rsidR="004543E0" w:rsidRPr="00FC4502" w:rsidRDefault="004543E0" w:rsidP="007E3239">
            <w:pPr>
              <w:pStyle w:val="TableText"/>
              <w:spacing w:before="50" w:after="50"/>
              <w:rPr>
                <w:rFonts w:cs="Calibri"/>
                <w:szCs w:val="16"/>
              </w:rPr>
            </w:pPr>
            <w:r w:rsidRPr="00FC4502">
              <w:rPr>
                <w:rFonts w:cs="Calibri"/>
                <w:szCs w:val="16"/>
              </w:rPr>
              <w:t>Flatland (0</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7BD1B58A"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372E7614" w14:textId="77777777" w:rsidR="004543E0" w:rsidRPr="00FC4502" w:rsidRDefault="004543E0" w:rsidP="007E3239">
            <w:pPr>
              <w:pStyle w:val="TableText"/>
              <w:spacing w:before="50" w:after="50"/>
              <w:jc w:val="right"/>
              <w:rPr>
                <w:rFonts w:cs="Calibri"/>
                <w:szCs w:val="16"/>
              </w:rPr>
            </w:pPr>
            <w:r w:rsidRPr="00FC4502">
              <w:rPr>
                <w:rFonts w:cs="Calibri"/>
                <w:szCs w:val="16"/>
              </w:rPr>
              <w:t>16</w:t>
            </w:r>
          </w:p>
        </w:tc>
        <w:tc>
          <w:tcPr>
            <w:tcW w:w="851" w:type="dxa"/>
            <w:tcBorders>
              <w:top w:val="single" w:sz="4" w:space="0" w:color="44546A"/>
              <w:left w:val="nil"/>
              <w:bottom w:val="single" w:sz="4" w:space="0" w:color="44546A"/>
              <w:right w:val="nil"/>
            </w:tcBorders>
            <w:shd w:val="clear" w:color="auto" w:fill="auto"/>
          </w:tcPr>
          <w:p w14:paraId="0C74BC5A" w14:textId="77777777" w:rsidR="004543E0" w:rsidRPr="00FC4502" w:rsidRDefault="004543E0" w:rsidP="007E3239">
            <w:pPr>
              <w:pStyle w:val="TableText"/>
              <w:spacing w:before="50" w:after="50"/>
              <w:jc w:val="right"/>
              <w:rPr>
                <w:rFonts w:cs="Calibri"/>
                <w:szCs w:val="16"/>
              </w:rPr>
            </w:pPr>
            <w:r w:rsidRPr="00FC4502">
              <w:rPr>
                <w:rFonts w:cs="Calibri"/>
                <w:szCs w:val="16"/>
              </w:rPr>
              <w:t>28</w:t>
            </w:r>
          </w:p>
        </w:tc>
        <w:tc>
          <w:tcPr>
            <w:tcW w:w="851" w:type="dxa"/>
            <w:tcBorders>
              <w:top w:val="single" w:sz="4" w:space="0" w:color="44546A"/>
              <w:left w:val="nil"/>
              <w:bottom w:val="single" w:sz="4" w:space="0" w:color="44546A"/>
              <w:right w:val="nil"/>
            </w:tcBorders>
            <w:shd w:val="clear" w:color="auto" w:fill="auto"/>
          </w:tcPr>
          <w:p w14:paraId="756A8F6D"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140D346C" w14:textId="77777777" w:rsidR="004543E0" w:rsidRPr="00FC4502" w:rsidRDefault="004543E0" w:rsidP="007E3239">
            <w:pPr>
              <w:pStyle w:val="TableText"/>
              <w:spacing w:before="50" w:after="50"/>
              <w:jc w:val="right"/>
              <w:rPr>
                <w:rFonts w:cs="Calibri"/>
                <w:szCs w:val="16"/>
              </w:rPr>
            </w:pPr>
            <w:r w:rsidRPr="00FC4502">
              <w:rPr>
                <w:rFonts w:cs="Calibri"/>
                <w:szCs w:val="16"/>
              </w:rPr>
              <w:t>54</w:t>
            </w:r>
          </w:p>
        </w:tc>
      </w:tr>
      <w:tr w:rsidR="004543E0" w:rsidRPr="00FC4502" w14:paraId="3A373D43" w14:textId="77777777" w:rsidTr="00FC4502">
        <w:tc>
          <w:tcPr>
            <w:tcW w:w="2098" w:type="dxa"/>
            <w:tcBorders>
              <w:top w:val="single" w:sz="4" w:space="0" w:color="44546A"/>
              <w:left w:val="nil"/>
              <w:bottom w:val="single" w:sz="4" w:space="0" w:color="44546A"/>
              <w:right w:val="nil"/>
            </w:tcBorders>
            <w:shd w:val="clear" w:color="auto" w:fill="auto"/>
          </w:tcPr>
          <w:p w14:paraId="0A276C72"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25780258" w14:textId="77777777" w:rsidR="004543E0" w:rsidRPr="00FC4502" w:rsidRDefault="004543E0" w:rsidP="007E3239">
            <w:pPr>
              <w:pStyle w:val="TableText"/>
              <w:spacing w:before="50" w:after="50"/>
              <w:rPr>
                <w:rFonts w:cs="Calibri"/>
                <w:szCs w:val="16"/>
              </w:rPr>
            </w:pPr>
            <w:r w:rsidRPr="00FC4502">
              <w:rPr>
                <w:rFonts w:cs="Calibri"/>
                <w:szCs w:val="16"/>
              </w:rPr>
              <w:t>Low slope (0–12</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07FEB4E7"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c>
          <w:tcPr>
            <w:tcW w:w="851" w:type="dxa"/>
            <w:tcBorders>
              <w:top w:val="single" w:sz="4" w:space="0" w:color="44546A"/>
              <w:left w:val="nil"/>
              <w:bottom w:val="single" w:sz="4" w:space="0" w:color="44546A"/>
              <w:right w:val="nil"/>
            </w:tcBorders>
            <w:shd w:val="clear" w:color="auto" w:fill="auto"/>
          </w:tcPr>
          <w:p w14:paraId="516EA79B" w14:textId="77777777" w:rsidR="004543E0" w:rsidRPr="00FC4502" w:rsidRDefault="004543E0" w:rsidP="007E3239">
            <w:pPr>
              <w:pStyle w:val="TableText"/>
              <w:spacing w:before="50" w:after="50"/>
              <w:jc w:val="right"/>
              <w:rPr>
                <w:rFonts w:cs="Calibri"/>
                <w:szCs w:val="16"/>
              </w:rPr>
            </w:pPr>
            <w:r w:rsidRPr="00FC4502">
              <w:rPr>
                <w:rFonts w:cs="Calibri"/>
                <w:szCs w:val="16"/>
              </w:rPr>
              <w:t>8</w:t>
            </w:r>
          </w:p>
        </w:tc>
        <w:tc>
          <w:tcPr>
            <w:tcW w:w="851" w:type="dxa"/>
            <w:tcBorders>
              <w:top w:val="single" w:sz="4" w:space="0" w:color="44546A"/>
              <w:left w:val="nil"/>
              <w:bottom w:val="single" w:sz="4" w:space="0" w:color="44546A"/>
              <w:right w:val="nil"/>
            </w:tcBorders>
            <w:shd w:val="clear" w:color="auto" w:fill="auto"/>
          </w:tcPr>
          <w:p w14:paraId="1D20CD29" w14:textId="77777777" w:rsidR="004543E0" w:rsidRPr="00FC4502" w:rsidRDefault="004543E0" w:rsidP="007E3239">
            <w:pPr>
              <w:pStyle w:val="TableText"/>
              <w:spacing w:before="50" w:after="50"/>
              <w:jc w:val="right"/>
              <w:rPr>
                <w:rFonts w:cs="Calibri"/>
                <w:szCs w:val="16"/>
              </w:rPr>
            </w:pPr>
            <w:r w:rsidRPr="00FC4502">
              <w:rPr>
                <w:rFonts w:cs="Calibri"/>
                <w:szCs w:val="16"/>
              </w:rPr>
              <w:t>8</w:t>
            </w:r>
          </w:p>
        </w:tc>
        <w:tc>
          <w:tcPr>
            <w:tcW w:w="851" w:type="dxa"/>
            <w:tcBorders>
              <w:top w:val="single" w:sz="4" w:space="0" w:color="44546A"/>
              <w:left w:val="nil"/>
              <w:bottom w:val="single" w:sz="4" w:space="0" w:color="44546A"/>
              <w:right w:val="nil"/>
            </w:tcBorders>
            <w:shd w:val="clear" w:color="auto" w:fill="auto"/>
          </w:tcPr>
          <w:p w14:paraId="0E6B6E4C"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4A730943" w14:textId="77777777" w:rsidR="004543E0" w:rsidRPr="00FC4502" w:rsidRDefault="004543E0" w:rsidP="007E3239">
            <w:pPr>
              <w:pStyle w:val="TableText"/>
              <w:spacing w:before="50" w:after="50"/>
              <w:jc w:val="right"/>
              <w:rPr>
                <w:rFonts w:cs="Calibri"/>
                <w:szCs w:val="16"/>
              </w:rPr>
            </w:pPr>
            <w:r w:rsidRPr="00FC4502">
              <w:rPr>
                <w:rFonts w:cs="Calibri"/>
                <w:szCs w:val="16"/>
              </w:rPr>
              <w:t>36</w:t>
            </w:r>
          </w:p>
        </w:tc>
      </w:tr>
      <w:tr w:rsidR="004543E0" w:rsidRPr="00FC4502" w14:paraId="421F4F14" w14:textId="77777777" w:rsidTr="00FC4502">
        <w:tc>
          <w:tcPr>
            <w:tcW w:w="2098" w:type="dxa"/>
            <w:tcBorders>
              <w:top w:val="single" w:sz="4" w:space="0" w:color="44546A"/>
              <w:left w:val="nil"/>
              <w:bottom w:val="single" w:sz="4" w:space="0" w:color="44546A"/>
              <w:right w:val="nil"/>
            </w:tcBorders>
            <w:shd w:val="clear" w:color="auto" w:fill="auto"/>
          </w:tcPr>
          <w:p w14:paraId="7435F8B8"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5593B2B0" w14:textId="77777777" w:rsidR="004543E0" w:rsidRPr="00FC4502" w:rsidRDefault="004543E0" w:rsidP="007E3239">
            <w:pPr>
              <w:pStyle w:val="TableText"/>
              <w:spacing w:before="50" w:after="50"/>
              <w:rPr>
                <w:rFonts w:cs="Calibri"/>
                <w:szCs w:val="16"/>
              </w:rPr>
            </w:pPr>
            <w:r w:rsidRPr="00FC4502">
              <w:rPr>
                <w:rFonts w:cs="Calibri"/>
                <w:szCs w:val="16"/>
              </w:rPr>
              <w:t>Medium slope (12–24</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1E3AEFEB"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5612C603"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29435169"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1696E756"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36359EF1"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r>
      <w:tr w:rsidR="004543E0" w:rsidRPr="00FC4502" w14:paraId="610B2CBF" w14:textId="77777777" w:rsidTr="00FC4502">
        <w:tc>
          <w:tcPr>
            <w:tcW w:w="2098" w:type="dxa"/>
            <w:tcBorders>
              <w:top w:val="single" w:sz="4" w:space="0" w:color="44546A"/>
              <w:left w:val="nil"/>
              <w:bottom w:val="single" w:sz="4" w:space="0" w:color="44546A"/>
              <w:right w:val="nil"/>
            </w:tcBorders>
            <w:shd w:val="clear" w:color="auto" w:fill="auto"/>
          </w:tcPr>
          <w:p w14:paraId="46298FB3" w14:textId="77777777" w:rsidR="004543E0" w:rsidRPr="00FC4502" w:rsidRDefault="004543E0" w:rsidP="007E3239">
            <w:pPr>
              <w:pStyle w:val="TableText"/>
              <w:spacing w:before="50" w:after="50"/>
              <w:jc w:val="right"/>
              <w:rPr>
                <w:rFonts w:cs="Calibri"/>
                <w:szCs w:val="16"/>
              </w:rPr>
            </w:pPr>
          </w:p>
        </w:tc>
        <w:tc>
          <w:tcPr>
            <w:tcW w:w="1814" w:type="dxa"/>
            <w:tcBorders>
              <w:top w:val="single" w:sz="4" w:space="0" w:color="44546A"/>
              <w:left w:val="nil"/>
              <w:bottom w:val="single" w:sz="4" w:space="0" w:color="44546A"/>
              <w:right w:val="nil"/>
            </w:tcBorders>
          </w:tcPr>
          <w:p w14:paraId="437AB346" w14:textId="77777777" w:rsidR="004543E0" w:rsidRPr="00FC4502" w:rsidRDefault="004543E0" w:rsidP="007E3239">
            <w:pPr>
              <w:pStyle w:val="TableText"/>
              <w:spacing w:before="50" w:after="50"/>
              <w:rPr>
                <w:rFonts w:cs="Calibri"/>
                <w:szCs w:val="16"/>
              </w:rPr>
            </w:pPr>
            <w:r w:rsidRPr="00FC4502">
              <w:rPr>
                <w:rFonts w:cs="Calibri"/>
                <w:szCs w:val="16"/>
              </w:rPr>
              <w:t>Steep slope (&gt;24</w:t>
            </w:r>
            <w:r w:rsidRPr="00FC4502">
              <w:rPr>
                <w:rFonts w:cs="Calibri"/>
                <w:szCs w:val="16"/>
                <w:vertAlign w:val="superscript"/>
              </w:rPr>
              <w:t>o</w:t>
            </w:r>
            <w:r w:rsidRPr="00FC4502">
              <w:rPr>
                <w:rFonts w:cs="Calibri"/>
                <w:szCs w:val="16"/>
              </w:rPr>
              <w:t>)</w:t>
            </w:r>
          </w:p>
        </w:tc>
        <w:tc>
          <w:tcPr>
            <w:tcW w:w="851" w:type="dxa"/>
            <w:tcBorders>
              <w:top w:val="single" w:sz="4" w:space="0" w:color="44546A"/>
              <w:left w:val="nil"/>
              <w:bottom w:val="single" w:sz="4" w:space="0" w:color="44546A"/>
              <w:right w:val="nil"/>
            </w:tcBorders>
            <w:shd w:val="clear" w:color="auto" w:fill="auto"/>
          </w:tcPr>
          <w:p w14:paraId="553C57D3"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070219DD" w14:textId="77777777" w:rsidR="004543E0" w:rsidRPr="00FC4502" w:rsidRDefault="004543E0" w:rsidP="007E3239">
            <w:pPr>
              <w:pStyle w:val="TableText"/>
              <w:spacing w:before="50" w:after="50"/>
              <w:jc w:val="right"/>
              <w:rPr>
                <w:rFonts w:cs="Calibri"/>
                <w:szCs w:val="16"/>
              </w:rPr>
            </w:pPr>
            <w:r w:rsidRPr="00FC4502">
              <w:rPr>
                <w:rFonts w:cs="Calibri"/>
                <w:szCs w:val="16"/>
              </w:rPr>
              <w:t>10</w:t>
            </w:r>
          </w:p>
        </w:tc>
        <w:tc>
          <w:tcPr>
            <w:tcW w:w="851" w:type="dxa"/>
            <w:tcBorders>
              <w:top w:val="single" w:sz="4" w:space="0" w:color="44546A"/>
              <w:left w:val="nil"/>
              <w:bottom w:val="single" w:sz="4" w:space="0" w:color="44546A"/>
              <w:right w:val="nil"/>
            </w:tcBorders>
            <w:shd w:val="clear" w:color="auto" w:fill="auto"/>
          </w:tcPr>
          <w:p w14:paraId="76A6EF73"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7D3D0982" w14:textId="77777777" w:rsidR="004543E0" w:rsidRPr="00FC4502" w:rsidRDefault="004543E0" w:rsidP="007E3239">
            <w:pPr>
              <w:pStyle w:val="TableText"/>
              <w:spacing w:before="50" w:after="50"/>
              <w:jc w:val="right"/>
              <w:rPr>
                <w:rFonts w:cs="Calibri"/>
                <w:szCs w:val="16"/>
              </w:rPr>
            </w:pPr>
          </w:p>
        </w:tc>
        <w:tc>
          <w:tcPr>
            <w:tcW w:w="851" w:type="dxa"/>
            <w:tcBorders>
              <w:top w:val="single" w:sz="4" w:space="0" w:color="44546A"/>
              <w:left w:val="nil"/>
              <w:bottom w:val="single" w:sz="4" w:space="0" w:color="44546A"/>
              <w:right w:val="nil"/>
            </w:tcBorders>
            <w:shd w:val="clear" w:color="auto" w:fill="auto"/>
          </w:tcPr>
          <w:p w14:paraId="29A2AE73" w14:textId="77777777" w:rsidR="004543E0" w:rsidRPr="00FC4502" w:rsidRDefault="004543E0" w:rsidP="007E3239">
            <w:pPr>
              <w:pStyle w:val="TableText"/>
              <w:spacing w:before="50" w:after="50"/>
              <w:jc w:val="right"/>
              <w:rPr>
                <w:rFonts w:cs="Calibri"/>
                <w:szCs w:val="16"/>
              </w:rPr>
            </w:pPr>
            <w:r w:rsidRPr="00FC4502">
              <w:rPr>
                <w:rFonts w:cs="Calibri"/>
                <w:szCs w:val="16"/>
              </w:rPr>
              <w:t>20</w:t>
            </w:r>
          </w:p>
        </w:tc>
      </w:tr>
      <w:tr w:rsidR="004543E0" w:rsidRPr="00FC4502" w14:paraId="37B0DE1B" w14:textId="77777777" w:rsidTr="00FC4502">
        <w:tc>
          <w:tcPr>
            <w:tcW w:w="2098" w:type="dxa"/>
            <w:tcBorders>
              <w:top w:val="single" w:sz="4" w:space="0" w:color="44546A"/>
              <w:left w:val="nil"/>
              <w:bottom w:val="single" w:sz="4" w:space="0" w:color="44546A"/>
              <w:right w:val="nil"/>
            </w:tcBorders>
            <w:shd w:val="clear" w:color="auto" w:fill="auto"/>
          </w:tcPr>
          <w:p w14:paraId="04C0735B" w14:textId="77777777" w:rsidR="004543E0" w:rsidRPr="00FC4502" w:rsidRDefault="004543E0" w:rsidP="007E3239">
            <w:pPr>
              <w:pStyle w:val="Tableboldblue"/>
              <w:spacing w:before="50" w:after="50"/>
              <w:rPr>
                <w:rFonts w:cs="Calibri"/>
                <w:szCs w:val="16"/>
              </w:rPr>
            </w:pPr>
            <w:r w:rsidRPr="00FC4502">
              <w:rPr>
                <w:rFonts w:cs="Calibri"/>
                <w:szCs w:val="16"/>
              </w:rPr>
              <w:t>Total urine</w:t>
            </w:r>
          </w:p>
        </w:tc>
        <w:tc>
          <w:tcPr>
            <w:tcW w:w="1814" w:type="dxa"/>
            <w:tcBorders>
              <w:top w:val="single" w:sz="4" w:space="0" w:color="44546A"/>
              <w:left w:val="nil"/>
              <w:bottom w:val="single" w:sz="4" w:space="0" w:color="44546A"/>
              <w:right w:val="nil"/>
            </w:tcBorders>
          </w:tcPr>
          <w:p w14:paraId="661626F9" w14:textId="77777777" w:rsidR="004543E0" w:rsidRPr="00FC4502" w:rsidRDefault="004543E0" w:rsidP="007E3239">
            <w:pPr>
              <w:pStyle w:val="Tableboldblue"/>
              <w:spacing w:before="50" w:after="50"/>
              <w:rPr>
                <w:rFonts w:cs="Calibri"/>
                <w:szCs w:val="16"/>
              </w:rPr>
            </w:pPr>
          </w:p>
        </w:tc>
        <w:tc>
          <w:tcPr>
            <w:tcW w:w="851" w:type="dxa"/>
            <w:tcBorders>
              <w:top w:val="single" w:sz="4" w:space="0" w:color="44546A"/>
              <w:left w:val="nil"/>
              <w:bottom w:val="single" w:sz="4" w:space="0" w:color="44546A"/>
              <w:right w:val="nil"/>
            </w:tcBorders>
            <w:shd w:val="clear" w:color="auto" w:fill="auto"/>
          </w:tcPr>
          <w:p w14:paraId="7AE21225" w14:textId="77777777" w:rsidR="004543E0" w:rsidRPr="00FC4502" w:rsidRDefault="004543E0" w:rsidP="007E3239">
            <w:pPr>
              <w:pStyle w:val="Tableboldblue"/>
              <w:spacing w:before="50" w:after="50"/>
              <w:jc w:val="right"/>
              <w:rPr>
                <w:rFonts w:cs="Calibri"/>
                <w:szCs w:val="16"/>
              </w:rPr>
            </w:pPr>
            <w:r w:rsidRPr="00FC4502">
              <w:rPr>
                <w:rFonts w:cs="Calibri"/>
                <w:szCs w:val="16"/>
              </w:rPr>
              <w:t>254</w:t>
            </w:r>
          </w:p>
        </w:tc>
        <w:tc>
          <w:tcPr>
            <w:tcW w:w="851" w:type="dxa"/>
            <w:tcBorders>
              <w:top w:val="single" w:sz="4" w:space="0" w:color="44546A"/>
              <w:left w:val="nil"/>
              <w:bottom w:val="single" w:sz="4" w:space="0" w:color="44546A"/>
              <w:right w:val="nil"/>
            </w:tcBorders>
            <w:shd w:val="clear" w:color="auto" w:fill="auto"/>
          </w:tcPr>
          <w:p w14:paraId="4DDF00AA" w14:textId="77777777" w:rsidR="004543E0" w:rsidRPr="00FC4502" w:rsidRDefault="004543E0" w:rsidP="007E3239">
            <w:pPr>
              <w:pStyle w:val="Tableboldblue"/>
              <w:spacing w:before="50" w:after="50"/>
              <w:jc w:val="right"/>
              <w:rPr>
                <w:rFonts w:cs="Calibri"/>
                <w:szCs w:val="16"/>
              </w:rPr>
            </w:pPr>
            <w:r w:rsidRPr="00FC4502">
              <w:rPr>
                <w:rFonts w:cs="Calibri"/>
                <w:szCs w:val="16"/>
              </w:rPr>
              <w:t>255</w:t>
            </w:r>
          </w:p>
        </w:tc>
        <w:tc>
          <w:tcPr>
            <w:tcW w:w="851" w:type="dxa"/>
            <w:tcBorders>
              <w:top w:val="single" w:sz="4" w:space="0" w:color="44546A"/>
              <w:left w:val="nil"/>
              <w:bottom w:val="single" w:sz="4" w:space="0" w:color="44546A"/>
              <w:right w:val="nil"/>
            </w:tcBorders>
            <w:shd w:val="clear" w:color="auto" w:fill="auto"/>
          </w:tcPr>
          <w:p w14:paraId="7F2950E5" w14:textId="77777777" w:rsidR="004543E0" w:rsidRPr="00FC4502" w:rsidRDefault="004543E0" w:rsidP="007E3239">
            <w:pPr>
              <w:pStyle w:val="Tableboldblue"/>
              <w:spacing w:before="50" w:after="50"/>
              <w:jc w:val="right"/>
              <w:rPr>
                <w:rFonts w:cs="Calibri"/>
                <w:szCs w:val="16"/>
              </w:rPr>
            </w:pPr>
            <w:r w:rsidRPr="00FC4502">
              <w:rPr>
                <w:rFonts w:cs="Calibri"/>
                <w:szCs w:val="16"/>
              </w:rPr>
              <w:t>200</w:t>
            </w:r>
          </w:p>
        </w:tc>
        <w:tc>
          <w:tcPr>
            <w:tcW w:w="851" w:type="dxa"/>
            <w:tcBorders>
              <w:top w:val="single" w:sz="4" w:space="0" w:color="44546A"/>
              <w:left w:val="nil"/>
              <w:bottom w:val="single" w:sz="4" w:space="0" w:color="44546A"/>
              <w:right w:val="nil"/>
            </w:tcBorders>
            <w:shd w:val="clear" w:color="auto" w:fill="auto"/>
          </w:tcPr>
          <w:p w14:paraId="6F116AE8" w14:textId="77777777" w:rsidR="004543E0" w:rsidRPr="00FC4502" w:rsidRDefault="004543E0" w:rsidP="007E3239">
            <w:pPr>
              <w:pStyle w:val="Tableboldblue"/>
              <w:spacing w:before="50" w:after="50"/>
              <w:jc w:val="right"/>
              <w:rPr>
                <w:rFonts w:cs="Calibri"/>
                <w:szCs w:val="16"/>
              </w:rPr>
            </w:pPr>
            <w:r w:rsidRPr="00FC4502">
              <w:rPr>
                <w:rFonts w:cs="Calibri"/>
                <w:szCs w:val="16"/>
              </w:rPr>
              <w:t>72</w:t>
            </w:r>
          </w:p>
        </w:tc>
        <w:tc>
          <w:tcPr>
            <w:tcW w:w="851" w:type="dxa"/>
            <w:tcBorders>
              <w:top w:val="single" w:sz="4" w:space="0" w:color="44546A"/>
              <w:left w:val="nil"/>
              <w:bottom w:val="single" w:sz="4" w:space="0" w:color="44546A"/>
              <w:right w:val="nil"/>
            </w:tcBorders>
            <w:shd w:val="clear" w:color="auto" w:fill="auto"/>
          </w:tcPr>
          <w:p w14:paraId="0A3F4118" w14:textId="77777777" w:rsidR="004543E0" w:rsidRPr="00FC4502" w:rsidRDefault="004543E0" w:rsidP="007E3239">
            <w:pPr>
              <w:pStyle w:val="Tableboldblue"/>
              <w:spacing w:before="50" w:after="50"/>
              <w:jc w:val="right"/>
              <w:rPr>
                <w:rFonts w:cs="Calibri"/>
                <w:szCs w:val="16"/>
              </w:rPr>
            </w:pPr>
            <w:r w:rsidRPr="00FC4502">
              <w:rPr>
                <w:rFonts w:cs="Calibri"/>
                <w:szCs w:val="16"/>
              </w:rPr>
              <w:t>781</w:t>
            </w:r>
          </w:p>
        </w:tc>
      </w:tr>
      <w:tr w:rsidR="004543E0" w:rsidRPr="00FC4502" w14:paraId="43BCC2CB" w14:textId="77777777" w:rsidTr="00FC4502">
        <w:tc>
          <w:tcPr>
            <w:tcW w:w="2098" w:type="dxa"/>
            <w:tcBorders>
              <w:top w:val="single" w:sz="4" w:space="0" w:color="44546A"/>
              <w:left w:val="nil"/>
              <w:bottom w:val="single" w:sz="4" w:space="0" w:color="44546A"/>
              <w:right w:val="nil"/>
            </w:tcBorders>
            <w:shd w:val="clear" w:color="auto" w:fill="auto"/>
          </w:tcPr>
          <w:p w14:paraId="174587FB" w14:textId="77777777" w:rsidR="004543E0" w:rsidRPr="00FC4502" w:rsidRDefault="004543E0" w:rsidP="007E3239">
            <w:pPr>
              <w:pStyle w:val="Tableboldblue"/>
              <w:spacing w:before="50" w:after="50"/>
              <w:rPr>
                <w:rFonts w:cs="Calibri"/>
                <w:szCs w:val="16"/>
              </w:rPr>
            </w:pPr>
            <w:r w:rsidRPr="00FC4502">
              <w:rPr>
                <w:rFonts w:cs="Calibri"/>
                <w:szCs w:val="16"/>
              </w:rPr>
              <w:t>Total dung</w:t>
            </w:r>
          </w:p>
        </w:tc>
        <w:tc>
          <w:tcPr>
            <w:tcW w:w="1814" w:type="dxa"/>
            <w:tcBorders>
              <w:top w:val="single" w:sz="4" w:space="0" w:color="44546A"/>
              <w:left w:val="nil"/>
              <w:bottom w:val="single" w:sz="4" w:space="0" w:color="44546A"/>
              <w:right w:val="nil"/>
            </w:tcBorders>
          </w:tcPr>
          <w:p w14:paraId="617E5750" w14:textId="77777777" w:rsidR="004543E0" w:rsidRPr="00FC4502" w:rsidRDefault="004543E0" w:rsidP="007E3239">
            <w:pPr>
              <w:pStyle w:val="Tableboldblue"/>
              <w:spacing w:before="50" w:after="50"/>
              <w:rPr>
                <w:rFonts w:cs="Calibri"/>
                <w:szCs w:val="16"/>
              </w:rPr>
            </w:pPr>
          </w:p>
        </w:tc>
        <w:tc>
          <w:tcPr>
            <w:tcW w:w="851" w:type="dxa"/>
            <w:tcBorders>
              <w:top w:val="single" w:sz="4" w:space="0" w:color="44546A"/>
              <w:left w:val="nil"/>
              <w:bottom w:val="single" w:sz="4" w:space="0" w:color="44546A"/>
              <w:right w:val="nil"/>
            </w:tcBorders>
            <w:shd w:val="clear" w:color="auto" w:fill="auto"/>
          </w:tcPr>
          <w:p w14:paraId="46E87B91" w14:textId="77777777" w:rsidR="004543E0" w:rsidRPr="00FC4502" w:rsidRDefault="004543E0" w:rsidP="007E3239">
            <w:pPr>
              <w:pStyle w:val="Tableboldblue"/>
              <w:spacing w:before="50" w:after="50"/>
              <w:jc w:val="right"/>
              <w:rPr>
                <w:rFonts w:cs="Calibri"/>
                <w:szCs w:val="16"/>
              </w:rPr>
            </w:pPr>
            <w:r w:rsidRPr="00FC4502">
              <w:rPr>
                <w:rFonts w:cs="Calibri"/>
                <w:szCs w:val="16"/>
              </w:rPr>
              <w:t>104</w:t>
            </w:r>
          </w:p>
        </w:tc>
        <w:tc>
          <w:tcPr>
            <w:tcW w:w="851" w:type="dxa"/>
            <w:tcBorders>
              <w:top w:val="single" w:sz="4" w:space="0" w:color="44546A"/>
              <w:left w:val="nil"/>
              <w:bottom w:val="single" w:sz="4" w:space="0" w:color="44546A"/>
              <w:right w:val="nil"/>
            </w:tcBorders>
            <w:shd w:val="clear" w:color="auto" w:fill="auto"/>
          </w:tcPr>
          <w:p w14:paraId="5FD94BE8" w14:textId="77777777" w:rsidR="004543E0" w:rsidRPr="00FC4502" w:rsidRDefault="004543E0" w:rsidP="007E3239">
            <w:pPr>
              <w:pStyle w:val="Tableboldblue"/>
              <w:spacing w:before="50" w:after="50"/>
              <w:jc w:val="right"/>
              <w:rPr>
                <w:rFonts w:cs="Calibri"/>
                <w:szCs w:val="16"/>
              </w:rPr>
            </w:pPr>
            <w:r w:rsidRPr="00FC4502">
              <w:rPr>
                <w:rFonts w:cs="Calibri"/>
                <w:szCs w:val="16"/>
              </w:rPr>
              <w:t>192</w:t>
            </w:r>
          </w:p>
        </w:tc>
        <w:tc>
          <w:tcPr>
            <w:tcW w:w="851" w:type="dxa"/>
            <w:tcBorders>
              <w:top w:val="single" w:sz="4" w:space="0" w:color="44546A"/>
              <w:left w:val="nil"/>
              <w:bottom w:val="single" w:sz="4" w:space="0" w:color="44546A"/>
              <w:right w:val="nil"/>
            </w:tcBorders>
            <w:shd w:val="clear" w:color="auto" w:fill="auto"/>
          </w:tcPr>
          <w:p w14:paraId="2E41E224" w14:textId="77777777" w:rsidR="004543E0" w:rsidRPr="00FC4502" w:rsidRDefault="004543E0" w:rsidP="007E3239">
            <w:pPr>
              <w:pStyle w:val="Tableboldblue"/>
              <w:spacing w:before="50" w:after="50"/>
              <w:jc w:val="right"/>
              <w:rPr>
                <w:rFonts w:cs="Calibri"/>
                <w:szCs w:val="16"/>
              </w:rPr>
            </w:pPr>
            <w:r w:rsidRPr="00FC4502">
              <w:rPr>
                <w:rFonts w:cs="Calibri"/>
                <w:szCs w:val="16"/>
              </w:rPr>
              <w:t>80</w:t>
            </w:r>
          </w:p>
        </w:tc>
        <w:tc>
          <w:tcPr>
            <w:tcW w:w="851" w:type="dxa"/>
            <w:tcBorders>
              <w:top w:val="single" w:sz="4" w:space="0" w:color="44546A"/>
              <w:left w:val="nil"/>
              <w:bottom w:val="single" w:sz="4" w:space="0" w:color="44546A"/>
              <w:right w:val="nil"/>
            </w:tcBorders>
            <w:shd w:val="clear" w:color="auto" w:fill="auto"/>
          </w:tcPr>
          <w:p w14:paraId="308D5745" w14:textId="77777777" w:rsidR="004543E0" w:rsidRPr="00FC4502" w:rsidRDefault="004543E0" w:rsidP="007E3239">
            <w:pPr>
              <w:pStyle w:val="Tableboldblue"/>
              <w:spacing w:before="50" w:after="50"/>
              <w:jc w:val="right"/>
              <w:rPr>
                <w:rFonts w:cs="Calibri"/>
                <w:szCs w:val="16"/>
              </w:rPr>
            </w:pPr>
            <w:r w:rsidRPr="00FC4502">
              <w:rPr>
                <w:rFonts w:cs="Calibri"/>
                <w:szCs w:val="16"/>
              </w:rPr>
              <w:t>60</w:t>
            </w:r>
          </w:p>
        </w:tc>
        <w:tc>
          <w:tcPr>
            <w:tcW w:w="851" w:type="dxa"/>
            <w:tcBorders>
              <w:top w:val="single" w:sz="4" w:space="0" w:color="44546A"/>
              <w:left w:val="nil"/>
              <w:bottom w:val="single" w:sz="4" w:space="0" w:color="44546A"/>
              <w:right w:val="nil"/>
            </w:tcBorders>
            <w:shd w:val="clear" w:color="auto" w:fill="auto"/>
          </w:tcPr>
          <w:p w14:paraId="3959C3E4" w14:textId="77777777" w:rsidR="004543E0" w:rsidRPr="00FC4502" w:rsidRDefault="004543E0" w:rsidP="007E3239">
            <w:pPr>
              <w:pStyle w:val="Tableboldblue"/>
              <w:spacing w:before="50" w:after="50"/>
              <w:jc w:val="right"/>
              <w:rPr>
                <w:rFonts w:cs="Calibri"/>
                <w:szCs w:val="16"/>
              </w:rPr>
            </w:pPr>
            <w:r w:rsidRPr="00FC4502">
              <w:rPr>
                <w:rFonts w:cs="Calibri"/>
                <w:szCs w:val="16"/>
              </w:rPr>
              <w:t>436</w:t>
            </w:r>
          </w:p>
        </w:tc>
      </w:tr>
      <w:tr w:rsidR="004543E0" w:rsidRPr="00FC4502" w14:paraId="5F6E7E4A" w14:textId="77777777" w:rsidTr="00FC4502">
        <w:tc>
          <w:tcPr>
            <w:tcW w:w="2098" w:type="dxa"/>
            <w:tcBorders>
              <w:top w:val="single" w:sz="4" w:space="0" w:color="44546A"/>
              <w:left w:val="nil"/>
              <w:bottom w:val="single" w:sz="4" w:space="0" w:color="44546A"/>
              <w:right w:val="nil"/>
            </w:tcBorders>
            <w:shd w:val="clear" w:color="auto" w:fill="auto"/>
          </w:tcPr>
          <w:p w14:paraId="3B89ABBB" w14:textId="77777777" w:rsidR="004543E0" w:rsidRPr="00FC4502" w:rsidRDefault="004543E0" w:rsidP="007E3239">
            <w:pPr>
              <w:pStyle w:val="Tableboldblue"/>
              <w:spacing w:before="50" w:after="50"/>
              <w:rPr>
                <w:rFonts w:cs="Calibri"/>
                <w:szCs w:val="16"/>
              </w:rPr>
            </w:pPr>
            <w:r w:rsidRPr="00FC4502">
              <w:rPr>
                <w:rFonts w:cs="Calibri"/>
                <w:szCs w:val="16"/>
              </w:rPr>
              <w:t>Total excreta</w:t>
            </w:r>
          </w:p>
        </w:tc>
        <w:tc>
          <w:tcPr>
            <w:tcW w:w="1814" w:type="dxa"/>
            <w:tcBorders>
              <w:top w:val="single" w:sz="4" w:space="0" w:color="44546A"/>
              <w:left w:val="nil"/>
              <w:bottom w:val="single" w:sz="4" w:space="0" w:color="44546A"/>
              <w:right w:val="nil"/>
            </w:tcBorders>
          </w:tcPr>
          <w:p w14:paraId="2B8DF170" w14:textId="77777777" w:rsidR="004543E0" w:rsidRPr="00FC4502" w:rsidRDefault="004543E0" w:rsidP="007E3239">
            <w:pPr>
              <w:pStyle w:val="Tableboldblue"/>
              <w:spacing w:before="50" w:after="50"/>
              <w:rPr>
                <w:rFonts w:cs="Calibri"/>
                <w:szCs w:val="16"/>
              </w:rPr>
            </w:pPr>
          </w:p>
        </w:tc>
        <w:tc>
          <w:tcPr>
            <w:tcW w:w="851" w:type="dxa"/>
            <w:tcBorders>
              <w:top w:val="single" w:sz="4" w:space="0" w:color="44546A"/>
              <w:left w:val="nil"/>
              <w:bottom w:val="single" w:sz="4" w:space="0" w:color="44546A"/>
              <w:right w:val="nil"/>
            </w:tcBorders>
            <w:shd w:val="clear" w:color="auto" w:fill="auto"/>
          </w:tcPr>
          <w:p w14:paraId="7F741A9E" w14:textId="77777777" w:rsidR="004543E0" w:rsidRPr="00FC4502" w:rsidRDefault="004543E0" w:rsidP="007E3239">
            <w:pPr>
              <w:pStyle w:val="Tableboldblue"/>
              <w:spacing w:before="50" w:after="50"/>
              <w:jc w:val="right"/>
              <w:rPr>
                <w:rFonts w:cs="Calibri"/>
                <w:szCs w:val="16"/>
              </w:rPr>
            </w:pPr>
            <w:r w:rsidRPr="00FC4502">
              <w:rPr>
                <w:rFonts w:cs="Calibri"/>
                <w:szCs w:val="16"/>
              </w:rPr>
              <w:t>358</w:t>
            </w:r>
          </w:p>
        </w:tc>
        <w:tc>
          <w:tcPr>
            <w:tcW w:w="851" w:type="dxa"/>
            <w:tcBorders>
              <w:top w:val="single" w:sz="4" w:space="0" w:color="44546A"/>
              <w:left w:val="nil"/>
              <w:bottom w:val="single" w:sz="4" w:space="0" w:color="44546A"/>
              <w:right w:val="nil"/>
            </w:tcBorders>
            <w:shd w:val="clear" w:color="auto" w:fill="auto"/>
          </w:tcPr>
          <w:p w14:paraId="242E23CC" w14:textId="77777777" w:rsidR="004543E0" w:rsidRPr="00FC4502" w:rsidRDefault="004543E0" w:rsidP="007E3239">
            <w:pPr>
              <w:pStyle w:val="Tableboldblue"/>
              <w:spacing w:before="50" w:after="50"/>
              <w:jc w:val="right"/>
              <w:rPr>
                <w:rFonts w:cs="Calibri"/>
                <w:szCs w:val="16"/>
              </w:rPr>
            </w:pPr>
            <w:r w:rsidRPr="00FC4502">
              <w:rPr>
                <w:rFonts w:cs="Calibri"/>
                <w:szCs w:val="16"/>
              </w:rPr>
              <w:t>447</w:t>
            </w:r>
          </w:p>
        </w:tc>
        <w:tc>
          <w:tcPr>
            <w:tcW w:w="851" w:type="dxa"/>
            <w:tcBorders>
              <w:top w:val="single" w:sz="4" w:space="0" w:color="44546A"/>
              <w:left w:val="nil"/>
              <w:bottom w:val="single" w:sz="4" w:space="0" w:color="44546A"/>
              <w:right w:val="nil"/>
            </w:tcBorders>
            <w:shd w:val="clear" w:color="auto" w:fill="auto"/>
          </w:tcPr>
          <w:p w14:paraId="19202174" w14:textId="77777777" w:rsidR="004543E0" w:rsidRPr="00FC4502" w:rsidRDefault="004543E0" w:rsidP="007E3239">
            <w:pPr>
              <w:pStyle w:val="Tableboldblue"/>
              <w:spacing w:before="50" w:after="50"/>
              <w:jc w:val="right"/>
              <w:rPr>
                <w:rFonts w:cs="Calibri"/>
                <w:szCs w:val="16"/>
              </w:rPr>
            </w:pPr>
            <w:r w:rsidRPr="00FC4502">
              <w:rPr>
                <w:rFonts w:cs="Calibri"/>
                <w:szCs w:val="16"/>
              </w:rPr>
              <w:t>280</w:t>
            </w:r>
          </w:p>
        </w:tc>
        <w:tc>
          <w:tcPr>
            <w:tcW w:w="851" w:type="dxa"/>
            <w:tcBorders>
              <w:top w:val="single" w:sz="4" w:space="0" w:color="44546A"/>
              <w:left w:val="nil"/>
              <w:bottom w:val="single" w:sz="4" w:space="0" w:color="44546A"/>
              <w:right w:val="nil"/>
            </w:tcBorders>
            <w:shd w:val="clear" w:color="auto" w:fill="auto"/>
          </w:tcPr>
          <w:p w14:paraId="00B0188A" w14:textId="77777777" w:rsidR="004543E0" w:rsidRPr="00FC4502" w:rsidRDefault="004543E0" w:rsidP="007E3239">
            <w:pPr>
              <w:pStyle w:val="Tableboldblue"/>
              <w:spacing w:before="50" w:after="50"/>
              <w:jc w:val="right"/>
              <w:rPr>
                <w:rFonts w:cs="Calibri"/>
                <w:szCs w:val="16"/>
              </w:rPr>
            </w:pPr>
            <w:r w:rsidRPr="00FC4502">
              <w:rPr>
                <w:rFonts w:cs="Calibri"/>
                <w:szCs w:val="16"/>
              </w:rPr>
              <w:t>132</w:t>
            </w:r>
          </w:p>
        </w:tc>
        <w:tc>
          <w:tcPr>
            <w:tcW w:w="851" w:type="dxa"/>
            <w:tcBorders>
              <w:top w:val="single" w:sz="4" w:space="0" w:color="44546A"/>
              <w:left w:val="nil"/>
              <w:bottom w:val="single" w:sz="4" w:space="0" w:color="44546A"/>
              <w:right w:val="nil"/>
            </w:tcBorders>
            <w:shd w:val="clear" w:color="auto" w:fill="auto"/>
          </w:tcPr>
          <w:p w14:paraId="7EAA1EDA" w14:textId="77777777" w:rsidR="004543E0" w:rsidRPr="00FC4502" w:rsidRDefault="004543E0" w:rsidP="007E3239">
            <w:pPr>
              <w:pStyle w:val="Tableboldblue"/>
              <w:spacing w:before="50" w:after="50"/>
              <w:jc w:val="right"/>
              <w:rPr>
                <w:rFonts w:cs="Calibri"/>
                <w:szCs w:val="16"/>
              </w:rPr>
            </w:pPr>
            <w:r w:rsidRPr="00FC4502">
              <w:rPr>
                <w:rFonts w:cs="Calibri"/>
                <w:szCs w:val="16"/>
              </w:rPr>
              <w:t>1,217</w:t>
            </w:r>
          </w:p>
        </w:tc>
      </w:tr>
    </w:tbl>
    <w:p w14:paraId="2CEFD43F" w14:textId="77777777" w:rsidR="004543E0" w:rsidRPr="009660EC" w:rsidRDefault="004543E0" w:rsidP="004543E0">
      <w:pPr>
        <w:pStyle w:val="BodyText"/>
        <w:spacing w:before="240" w:after="100"/>
      </w:pPr>
      <w:r w:rsidRPr="009660EC">
        <w:t>The meta-analysis used arithmetic means to calculate new average EF</w:t>
      </w:r>
      <w:r w:rsidRPr="009660EC">
        <w:rPr>
          <w:vertAlign w:val="subscript"/>
        </w:rPr>
        <w:t>3</w:t>
      </w:r>
      <w:r w:rsidRPr="009660EC">
        <w:t xml:space="preserve"> values (categorised by animal, slope and excreta type). Because the differences between some of these values were not statistically significant, it was recommended that some of the arithmetic means be pooled. This resulted in the dung EF</w:t>
      </w:r>
      <w:r w:rsidRPr="009660EC">
        <w:rPr>
          <w:vertAlign w:val="subscript"/>
        </w:rPr>
        <w:t>3</w:t>
      </w:r>
      <w:r w:rsidRPr="009660EC">
        <w:t xml:space="preserve"> averages being combined into a single value (0.0012). The urine EF</w:t>
      </w:r>
      <w:r w:rsidRPr="009660EC">
        <w:rPr>
          <w:vertAlign w:val="subscript"/>
        </w:rPr>
        <w:t>3</w:t>
      </w:r>
      <w:r w:rsidRPr="009660EC">
        <w:t xml:space="preserve"> values were pooled into four categories:</w:t>
      </w:r>
    </w:p>
    <w:p w14:paraId="07AE35EE" w14:textId="77777777" w:rsidR="004543E0" w:rsidRPr="009660EC" w:rsidRDefault="004543E0" w:rsidP="00AB2A5C">
      <w:pPr>
        <w:pStyle w:val="Bullet"/>
        <w:numPr>
          <w:ilvl w:val="0"/>
          <w:numId w:val="18"/>
        </w:numPr>
        <w:spacing w:after="100"/>
      </w:pPr>
      <w:r w:rsidRPr="009660EC">
        <w:t>cattle urine on flatland/low slopes (0.0098)</w:t>
      </w:r>
    </w:p>
    <w:p w14:paraId="4157920D" w14:textId="77777777" w:rsidR="004543E0" w:rsidRPr="009660EC" w:rsidRDefault="004543E0" w:rsidP="00AB2A5C">
      <w:pPr>
        <w:pStyle w:val="Bullet"/>
        <w:numPr>
          <w:ilvl w:val="0"/>
          <w:numId w:val="18"/>
        </w:numPr>
        <w:spacing w:after="100"/>
      </w:pPr>
      <w:r w:rsidRPr="009660EC">
        <w:t>cattle urine on medium/steep slopes (0.0033)</w:t>
      </w:r>
    </w:p>
    <w:p w14:paraId="578AC51A" w14:textId="77777777" w:rsidR="004543E0" w:rsidRPr="009660EC" w:rsidRDefault="004543E0" w:rsidP="00AB2A5C">
      <w:pPr>
        <w:pStyle w:val="Bullet"/>
        <w:numPr>
          <w:ilvl w:val="0"/>
          <w:numId w:val="18"/>
        </w:numPr>
        <w:spacing w:after="100"/>
      </w:pPr>
      <w:r w:rsidRPr="009660EC">
        <w:t xml:space="preserve">sheep urine on flatland/low slopes (0.005) </w:t>
      </w:r>
    </w:p>
    <w:p w14:paraId="01B8621F" w14:textId="77777777" w:rsidR="004543E0" w:rsidRPr="009660EC" w:rsidRDefault="004543E0" w:rsidP="00AB2A5C">
      <w:pPr>
        <w:pStyle w:val="Bullet"/>
        <w:numPr>
          <w:ilvl w:val="0"/>
          <w:numId w:val="18"/>
        </w:numPr>
      </w:pPr>
      <w:r w:rsidRPr="009660EC">
        <w:t>sheep urine on medium/steep slopes (0.0008).</w:t>
      </w:r>
    </w:p>
    <w:p w14:paraId="1998F36A" w14:textId="77777777" w:rsidR="004543E0" w:rsidRPr="009660EC" w:rsidRDefault="004543E0" w:rsidP="004543E0">
      <w:pPr>
        <w:pStyle w:val="BodyText"/>
      </w:pPr>
      <w:r w:rsidRPr="009660EC">
        <w:lastRenderedPageBreak/>
        <w:t>The lower emission factors observed for urine on steeper slopes are thought to be due to these soils having lower soil fertility and moisture content compared with less steep slopes (Luo et al., 2013).</w:t>
      </w:r>
    </w:p>
    <w:p w14:paraId="1BBEED2C" w14:textId="77777777" w:rsidR="004543E0" w:rsidRPr="009660EC" w:rsidRDefault="004543E0" w:rsidP="004543E0">
      <w:pPr>
        <w:pStyle w:val="BodyText"/>
      </w:pPr>
      <w:r w:rsidRPr="009660EC">
        <w:t>The new urine emission factor values for each livestock type by slope are lower than the current IPCC default EF</w:t>
      </w:r>
      <w:r w:rsidRPr="009660EC">
        <w:rPr>
          <w:vertAlign w:val="subscript"/>
        </w:rPr>
        <w:t>3</w:t>
      </w:r>
      <w:r w:rsidRPr="009660EC">
        <w:t xml:space="preserve"> value, which is based on common international farming systems where, on average, farmed land is on less hilly terrain than common farm land in New Zealand. In addition to the large proportion of farmed hill country, New Zealand’s climate and soil characteristics contribute to differences between international default emission factors and New Zealand’s country-specific emission factors. When using these emission factors, the IEF for direct N</w:t>
      </w:r>
      <w:r w:rsidRPr="009660EC">
        <w:rPr>
          <w:vertAlign w:val="subscript"/>
        </w:rPr>
        <w:t>2</w:t>
      </w:r>
      <w:r w:rsidRPr="009660EC">
        <w:t>O from dung and urine was 0.0054 in 2020. This value is comparable with that calculated for the United Kingdom (0.0037) and Australia (0.0040) in their respective inventory submissions in 2021.</w:t>
      </w:r>
    </w:p>
    <w:p w14:paraId="069D7C4B" w14:textId="77777777" w:rsidR="004543E0" w:rsidRPr="009660EC" w:rsidRDefault="004543E0" w:rsidP="004543E0">
      <w:pPr>
        <w:pStyle w:val="BodyText"/>
      </w:pPr>
      <w:r w:rsidRPr="009660EC">
        <w:t>Nitrous oxide</w:t>
      </w:r>
      <w:r w:rsidRPr="009660EC" w:rsidDel="00271764">
        <w:t xml:space="preserve"> </w:t>
      </w:r>
      <w:r w:rsidRPr="009660EC">
        <w:t>emissions</w:t>
      </w:r>
      <w:r w:rsidRPr="009660EC" w:rsidDel="00271764">
        <w:t xml:space="preserve"> </w:t>
      </w:r>
      <w:r w:rsidRPr="009660EC">
        <w:t>have not been measured for deer excreta, therefore, deer EF</w:t>
      </w:r>
      <w:r w:rsidRPr="009660EC">
        <w:rPr>
          <w:vertAlign w:val="subscript"/>
        </w:rPr>
        <w:t>3</w:t>
      </w:r>
      <w:r w:rsidRPr="009660EC">
        <w:t xml:space="preserve"> values were calculated using average EF</w:t>
      </w:r>
      <w:r w:rsidRPr="009660EC">
        <w:rPr>
          <w:vertAlign w:val="subscript"/>
        </w:rPr>
        <w:t>3</w:t>
      </w:r>
      <w:r w:rsidRPr="009660EC">
        <w:t xml:space="preserve"> values from cattle and sheep. Based on animal liveweight, deer excreta characteristics (in terms of total deposition volume and weight) are assumed to be between the excreta characteristics of cattle and sheep (van der Weerden et al., 2019, 2020).</w:t>
      </w:r>
    </w:p>
    <w:p w14:paraId="62B5EB69" w14:textId="77777777" w:rsidR="004543E0" w:rsidRPr="009660EC" w:rsidRDefault="004543E0" w:rsidP="004543E0">
      <w:pPr>
        <w:pStyle w:val="BodyText"/>
      </w:pPr>
      <w:r w:rsidRPr="009660EC">
        <w:t>To apply these emission factors, estimates on the amount of urine and dung deposited onto separate slopes are needed. A nutrient transfer model developed by Saggar et al. (2015) is used to allocate total excreta (N</w:t>
      </w:r>
      <w:r w:rsidRPr="009660EC">
        <w:rPr>
          <w:vertAlign w:val="subscript"/>
        </w:rPr>
        <w:t>ex</w:t>
      </w:r>
      <w:r w:rsidRPr="009660EC">
        <w:t>,</w:t>
      </w:r>
      <w:r w:rsidRPr="009660EC">
        <w:rPr>
          <w:vertAlign w:val="subscript"/>
        </w:rPr>
        <w:t xml:space="preserve"> </w:t>
      </w:r>
      <w:r w:rsidRPr="009660EC">
        <w:t>calculated using the methods described in section 5.3) by livestock type to the different slope categories. The nutrient transfer model uses data on the area of farm land for each slope type, and accounts for animal behaviour where livestock spend relatively more time on lower slopes, and so deposit more excreta on these lower slopes. For more information on this model, please refer to annex 3, section 3.1.3.</w:t>
      </w:r>
    </w:p>
    <w:p w14:paraId="781514C0" w14:textId="77777777" w:rsidR="004543E0" w:rsidRPr="009660EC" w:rsidRDefault="004543E0" w:rsidP="004543E0">
      <w:pPr>
        <w:pStyle w:val="BodyText"/>
      </w:pPr>
      <w:r w:rsidRPr="009660EC">
        <w:t>The use of these revised EF</w:t>
      </w:r>
      <w:r w:rsidRPr="009660EC">
        <w:rPr>
          <w:vertAlign w:val="subscript"/>
        </w:rPr>
        <w:t>3</w:t>
      </w:r>
      <w:r w:rsidRPr="009660EC">
        <w:t xml:space="preserve"> emission factors and the nutrient transfer model was recommended by the Agriculture Inventory Advisory Panel in late 2019.</w:t>
      </w:r>
    </w:p>
    <w:p w14:paraId="5BCA0262" w14:textId="77777777" w:rsidR="004543E0" w:rsidRPr="009660EC" w:rsidRDefault="004543E0" w:rsidP="004543E0">
      <w:pPr>
        <w:pStyle w:val="Heading5"/>
        <w:rPr>
          <w:rFonts w:cs="Calibri"/>
        </w:rPr>
      </w:pPr>
      <w:r w:rsidRPr="009660EC">
        <w:rPr>
          <w:rFonts w:cs="Calibri"/>
        </w:rPr>
        <w:t>Direct nitrous oxide emission factors for minor livestock types</w:t>
      </w:r>
    </w:p>
    <w:p w14:paraId="6FCA5486" w14:textId="77777777" w:rsidR="004543E0" w:rsidRPr="009660EC" w:rsidRDefault="004543E0" w:rsidP="004543E0">
      <w:pPr>
        <w:pStyle w:val="BodyText"/>
      </w:pPr>
      <w:r w:rsidRPr="009660EC">
        <w:t>Minor livestock types, including swine, goats, horses, alpaca, mules, asses and poultry, make up a small proportion of total agricultural emissions. New Zealand will therefore continue to use the previous emission factor for minor livestock types (EF</w:t>
      </w:r>
      <w:r w:rsidRPr="009660EC">
        <w:rPr>
          <w:vertAlign w:val="subscript"/>
        </w:rPr>
        <w:t>3(PRP-MINOR)</w:t>
      </w:r>
      <w:r w:rsidRPr="009660EC">
        <w:t>) of 0.01, which is the IPCC default. Research conducted in New Zealand has confirmed this value is appropriate for New Zealand’s conditions (Carran et al., 1995; de Klein et al., 2003; Muller et al., 1995).</w:t>
      </w:r>
    </w:p>
    <w:p w14:paraId="40197A3D" w14:textId="77777777" w:rsidR="004543E0" w:rsidRPr="009660EC" w:rsidRDefault="004543E0" w:rsidP="004543E0">
      <w:pPr>
        <w:pStyle w:val="BodyText"/>
        <w:rPr>
          <w:rFonts w:cs="Calibri"/>
        </w:rPr>
      </w:pPr>
      <w:r w:rsidRPr="009660EC">
        <w:rPr>
          <w:rFonts w:cs="Calibri"/>
        </w:rPr>
        <w:t xml:space="preserve">In 2020, direct </w:t>
      </w:r>
      <w:r w:rsidRPr="009660EC">
        <w:rPr>
          <w:rFonts w:cs="Calibri"/>
          <w:spacing w:val="-2"/>
        </w:rPr>
        <w:t>N</w:t>
      </w:r>
      <w:r w:rsidRPr="009660EC">
        <w:rPr>
          <w:rFonts w:cs="Calibri"/>
          <w:spacing w:val="-2"/>
          <w:vertAlign w:val="subscript"/>
        </w:rPr>
        <w:t>2</w:t>
      </w:r>
      <w:r w:rsidRPr="009660EC">
        <w:rPr>
          <w:rFonts w:cs="Calibri"/>
          <w:spacing w:val="-2"/>
        </w:rPr>
        <w:t>O</w:t>
      </w:r>
      <w:r w:rsidRPr="009660EC">
        <w:rPr>
          <w:rFonts w:cs="Calibri"/>
        </w:rPr>
        <w:t xml:space="preserve"> emissions from </w:t>
      </w:r>
      <w:r w:rsidRPr="009660EC">
        <w:rPr>
          <w:rFonts w:cs="Calibri"/>
          <w:i/>
          <w:iCs/>
        </w:rPr>
        <w:t>Urine and dung deposited by grazing animals</w:t>
      </w:r>
      <w:r w:rsidRPr="009660EC">
        <w:rPr>
          <w:rFonts w:cs="Calibri"/>
        </w:rPr>
        <w:t xml:space="preserve"> (pasture, range and paddock manure from all livestock categories) contributed 49.3 per cent (3,890.0 kt CO</w:t>
      </w:r>
      <w:r w:rsidRPr="009660EC">
        <w:rPr>
          <w:rFonts w:cs="Calibri"/>
          <w:vertAlign w:val="subscript"/>
        </w:rPr>
        <w:t>2</w:t>
      </w:r>
      <w:r w:rsidRPr="009660EC">
        <w:rPr>
          <w:rFonts w:cs="Calibri"/>
        </w:rPr>
        <w:t>-e) of</w:t>
      </w:r>
      <w:r w:rsidRPr="009660EC">
        <w:rPr>
          <w:rFonts w:cs="Calibri"/>
          <w:spacing w:val="-2"/>
        </w:rPr>
        <w:t xml:space="preserve"> emissions from </w:t>
      </w:r>
      <w:r w:rsidRPr="009660EC">
        <w:rPr>
          <w:rFonts w:cs="Calibri"/>
          <w:i/>
          <w:iCs/>
          <w:spacing w:val="-2"/>
        </w:rPr>
        <w:t>Agricultural soils</w:t>
      </w:r>
      <w:r w:rsidRPr="009660EC">
        <w:rPr>
          <w:rFonts w:cs="Calibri"/>
          <w:spacing w:val="-2"/>
        </w:rPr>
        <w:t xml:space="preserve">, or 9.9 per cent of total agricultural emissions. This is an increase of 26.8 per cent since 1990. </w:t>
      </w:r>
      <w:r w:rsidRPr="009660EC">
        <w:rPr>
          <w:rFonts w:cs="Calibri"/>
        </w:rPr>
        <w:t xml:space="preserve">Emissions for each livestock category are given in table 5.5.8. Emissions from </w:t>
      </w:r>
      <w:r w:rsidRPr="009660EC">
        <w:rPr>
          <w:rFonts w:cs="Calibri"/>
          <w:i/>
          <w:iCs/>
        </w:rPr>
        <w:t>Urine and dung deposited by grazing animals</w:t>
      </w:r>
      <w:r w:rsidRPr="009660EC">
        <w:rPr>
          <w:rFonts w:cs="Calibri"/>
        </w:rPr>
        <w:t xml:space="preserve"> were identified as a key category (level and trend assessment).</w:t>
      </w:r>
    </w:p>
    <w:p w14:paraId="2C733CD2" w14:textId="77777777" w:rsidR="004543E0" w:rsidRPr="009660EC" w:rsidRDefault="004543E0" w:rsidP="004543E0">
      <w:pPr>
        <w:pStyle w:val="Table"/>
        <w:rPr>
          <w:rFonts w:cs="Calibri"/>
        </w:rPr>
      </w:pPr>
      <w:bookmarkStart w:id="1027" w:name="_Toc441830883"/>
      <w:bookmarkStart w:id="1028" w:name="_Toc451176097"/>
      <w:bookmarkStart w:id="1029" w:name="_Toc481751525"/>
      <w:bookmarkStart w:id="1030" w:name="_Toc507158613"/>
      <w:bookmarkStart w:id="1031" w:name="_Toc511116747"/>
      <w:bookmarkStart w:id="1032" w:name="_Toc5269489"/>
      <w:bookmarkStart w:id="1033" w:name="_Toc32570934"/>
      <w:bookmarkStart w:id="1034" w:name="_Toc36224569"/>
      <w:bookmarkStart w:id="1035" w:name="_Toc68786454"/>
      <w:bookmarkStart w:id="1036" w:name="_Toc95574087"/>
      <w:bookmarkStart w:id="1037" w:name="_Toc99659260"/>
      <w:r w:rsidRPr="009660EC">
        <w:rPr>
          <w:rFonts w:cs="Calibri"/>
        </w:rPr>
        <w:lastRenderedPageBreak/>
        <w:t>Table 5.5.8</w:t>
      </w:r>
      <w:r w:rsidRPr="009660EC">
        <w:rPr>
          <w:rFonts w:cs="Calibri"/>
        </w:rPr>
        <w:tab/>
        <w:t xml:space="preserve">Trends and relative contribution of direct nitrous oxide emissions from urine and dung deposited by grazing animals per livestock category between 1990 and </w:t>
      </w:r>
      <w:bookmarkEnd w:id="1027"/>
      <w:bookmarkEnd w:id="1028"/>
      <w:bookmarkEnd w:id="1029"/>
      <w:bookmarkEnd w:id="1030"/>
      <w:bookmarkEnd w:id="1031"/>
      <w:bookmarkEnd w:id="1032"/>
      <w:bookmarkEnd w:id="1033"/>
      <w:bookmarkEnd w:id="1034"/>
      <w:bookmarkEnd w:id="1035"/>
      <w:r w:rsidRPr="009660EC">
        <w:rPr>
          <w:rFonts w:cs="Calibri"/>
        </w:rPr>
        <w:t>2020</w:t>
      </w:r>
      <w:bookmarkEnd w:id="1036"/>
      <w:bookmarkEnd w:id="1037"/>
    </w:p>
    <w:tbl>
      <w:tblPr>
        <w:tblW w:w="8505" w:type="dxa"/>
        <w:tblInd w:w="113" w:type="dxa"/>
        <w:tblBorders>
          <w:top w:val="single" w:sz="4" w:space="0" w:color="365F91"/>
          <w:left w:val="single" w:sz="4" w:space="0" w:color="365F91"/>
          <w:bottom w:val="single" w:sz="4" w:space="0" w:color="365F91"/>
          <w:right w:val="single" w:sz="4" w:space="0" w:color="365F91"/>
          <w:insideH w:val="single" w:sz="4" w:space="0" w:color="365F91"/>
        </w:tblBorders>
        <w:tblLayout w:type="fixed"/>
        <w:tblLook w:val="04A0" w:firstRow="1" w:lastRow="0" w:firstColumn="1" w:lastColumn="0" w:noHBand="0" w:noVBand="1"/>
      </w:tblPr>
      <w:tblGrid>
        <w:gridCol w:w="1746"/>
        <w:gridCol w:w="856"/>
        <w:gridCol w:w="856"/>
        <w:gridCol w:w="857"/>
        <w:gridCol w:w="784"/>
        <w:gridCol w:w="852"/>
        <w:gridCol w:w="851"/>
        <w:gridCol w:w="852"/>
        <w:gridCol w:w="851"/>
      </w:tblGrid>
      <w:tr w:rsidR="004543E0" w:rsidRPr="009660EC" w14:paraId="2F589094" w14:textId="77777777" w:rsidTr="00D75334">
        <w:trPr>
          <w:tblHeader/>
        </w:trPr>
        <w:tc>
          <w:tcPr>
            <w:tcW w:w="1746" w:type="dxa"/>
            <w:vMerge w:val="restart"/>
            <w:tcBorders>
              <w:top w:val="single" w:sz="4" w:space="0" w:color="44546A"/>
              <w:left w:val="nil"/>
              <w:bottom w:val="nil"/>
            </w:tcBorders>
            <w:shd w:val="clear" w:color="auto" w:fill="1B556B"/>
            <w:vAlign w:val="bottom"/>
          </w:tcPr>
          <w:p w14:paraId="5BF102C7" w14:textId="77777777" w:rsidR="004543E0" w:rsidRPr="004543E0" w:rsidRDefault="004543E0" w:rsidP="007E3239">
            <w:pPr>
              <w:pStyle w:val="TableTextBold"/>
              <w:keepNext/>
              <w:spacing w:before="40" w:after="40"/>
              <w:rPr>
                <w:i/>
                <w:iCs/>
                <w:noProof w:val="0"/>
                <w:color w:val="FFFFFF"/>
                <w:szCs w:val="16"/>
              </w:rPr>
            </w:pPr>
            <w:bookmarkStart w:id="1038" w:name="OLE_LINK1"/>
            <w:r w:rsidRPr="004543E0">
              <w:rPr>
                <w:noProof w:val="0"/>
                <w:color w:val="FFFFFF"/>
                <w:szCs w:val="16"/>
              </w:rPr>
              <w:t>Livestock category</w:t>
            </w:r>
          </w:p>
        </w:tc>
        <w:tc>
          <w:tcPr>
            <w:tcW w:w="1712" w:type="dxa"/>
            <w:gridSpan w:val="2"/>
            <w:tcBorders>
              <w:top w:val="single" w:sz="4" w:space="0" w:color="44546A"/>
              <w:bottom w:val="nil"/>
            </w:tcBorders>
            <w:shd w:val="clear" w:color="auto" w:fill="1B556B"/>
            <w:vAlign w:val="bottom"/>
          </w:tcPr>
          <w:p w14:paraId="480478DD" w14:textId="77777777" w:rsidR="004543E0" w:rsidRPr="004543E0" w:rsidRDefault="004543E0" w:rsidP="007E3239">
            <w:pPr>
              <w:pStyle w:val="TableTextBold"/>
              <w:keepNext/>
              <w:spacing w:before="40" w:after="0"/>
              <w:jc w:val="center"/>
              <w:rPr>
                <w:i/>
                <w:iCs/>
                <w:noProof w:val="0"/>
                <w:color w:val="FFFFFF"/>
                <w:szCs w:val="16"/>
              </w:rPr>
            </w:pPr>
            <w:r w:rsidRPr="004543E0">
              <w:rPr>
                <w:noProof w:val="0"/>
                <w:color w:val="FFFFFF"/>
                <w:szCs w:val="16"/>
              </w:rPr>
              <w:t xml:space="preserve">Emissions </w:t>
            </w:r>
            <w:r w:rsidRPr="004543E0">
              <w:rPr>
                <w:noProof w:val="0"/>
                <w:color w:val="FFFFFF"/>
                <w:szCs w:val="16"/>
              </w:rPr>
              <w:br/>
              <w:t>(kt CO</w:t>
            </w:r>
            <w:r w:rsidRPr="004543E0">
              <w:rPr>
                <w:noProof w:val="0"/>
                <w:color w:val="FFFFFF"/>
                <w:szCs w:val="16"/>
                <w:vertAlign w:val="subscript"/>
              </w:rPr>
              <w:t>2</w:t>
            </w:r>
            <w:r w:rsidRPr="004543E0">
              <w:rPr>
                <w:noProof w:val="0"/>
                <w:color w:val="FFFFFF"/>
                <w:szCs w:val="16"/>
              </w:rPr>
              <w:t>-e)</w:t>
            </w:r>
          </w:p>
        </w:tc>
        <w:tc>
          <w:tcPr>
            <w:tcW w:w="1641" w:type="dxa"/>
            <w:gridSpan w:val="2"/>
            <w:tcBorders>
              <w:top w:val="single" w:sz="4" w:space="0" w:color="44546A"/>
              <w:bottom w:val="nil"/>
            </w:tcBorders>
            <w:shd w:val="clear" w:color="auto" w:fill="1B556B"/>
            <w:vAlign w:val="bottom"/>
          </w:tcPr>
          <w:p w14:paraId="6E9D97B0" w14:textId="77777777" w:rsidR="004543E0" w:rsidRPr="004543E0" w:rsidRDefault="004543E0" w:rsidP="007E3239">
            <w:pPr>
              <w:pStyle w:val="TableTextBold"/>
              <w:keepNext/>
              <w:spacing w:before="40" w:after="0"/>
              <w:jc w:val="center"/>
              <w:rPr>
                <w:i/>
                <w:iCs/>
                <w:noProof w:val="0"/>
                <w:color w:val="FFFFFF"/>
                <w:szCs w:val="16"/>
              </w:rPr>
            </w:pPr>
            <w:r w:rsidRPr="004543E0">
              <w:rPr>
                <w:noProof w:val="0"/>
                <w:color w:val="FFFFFF"/>
                <w:szCs w:val="16"/>
              </w:rPr>
              <w:t xml:space="preserve">Change from </w:t>
            </w:r>
            <w:r w:rsidRPr="004543E0">
              <w:rPr>
                <w:noProof w:val="0"/>
                <w:color w:val="FFFFFF"/>
                <w:szCs w:val="16"/>
              </w:rPr>
              <w:br/>
              <w:t>1990–2020</w:t>
            </w:r>
          </w:p>
        </w:tc>
        <w:tc>
          <w:tcPr>
            <w:tcW w:w="1703" w:type="dxa"/>
            <w:gridSpan w:val="2"/>
            <w:tcBorders>
              <w:top w:val="single" w:sz="4" w:space="0" w:color="44546A"/>
              <w:bottom w:val="nil"/>
            </w:tcBorders>
            <w:shd w:val="clear" w:color="auto" w:fill="1B556B"/>
            <w:vAlign w:val="bottom"/>
          </w:tcPr>
          <w:p w14:paraId="2ED1403C" w14:textId="77777777" w:rsidR="004543E0" w:rsidRPr="004543E0" w:rsidRDefault="004543E0" w:rsidP="007E3239">
            <w:pPr>
              <w:pStyle w:val="TableTextBold"/>
              <w:keepNext/>
              <w:spacing w:before="40" w:after="0"/>
              <w:jc w:val="center"/>
              <w:rPr>
                <w:i/>
                <w:iCs/>
                <w:noProof w:val="0"/>
                <w:color w:val="FFFFFF"/>
                <w:szCs w:val="16"/>
              </w:rPr>
            </w:pPr>
            <w:r w:rsidRPr="004543E0">
              <w:rPr>
                <w:noProof w:val="0"/>
                <w:color w:val="FFFFFF"/>
                <w:szCs w:val="16"/>
              </w:rPr>
              <w:t>Share of Agricultural soils category (%)</w:t>
            </w:r>
          </w:p>
        </w:tc>
        <w:tc>
          <w:tcPr>
            <w:tcW w:w="1703" w:type="dxa"/>
            <w:gridSpan w:val="2"/>
            <w:tcBorders>
              <w:top w:val="single" w:sz="4" w:space="0" w:color="44546A"/>
              <w:bottom w:val="nil"/>
              <w:right w:val="nil"/>
            </w:tcBorders>
            <w:shd w:val="clear" w:color="auto" w:fill="1B556B"/>
            <w:vAlign w:val="bottom"/>
          </w:tcPr>
          <w:p w14:paraId="2C9A1D08" w14:textId="77777777" w:rsidR="004543E0" w:rsidRPr="004543E0" w:rsidRDefault="004543E0" w:rsidP="007E3239">
            <w:pPr>
              <w:pStyle w:val="TableTextBold"/>
              <w:keepNext/>
              <w:spacing w:before="40" w:after="0"/>
              <w:jc w:val="center"/>
              <w:rPr>
                <w:i/>
                <w:iCs/>
                <w:noProof w:val="0"/>
                <w:color w:val="FFFFFF"/>
                <w:szCs w:val="16"/>
              </w:rPr>
            </w:pPr>
            <w:r w:rsidRPr="004543E0">
              <w:rPr>
                <w:noProof w:val="0"/>
                <w:color w:val="FFFFFF"/>
                <w:szCs w:val="16"/>
              </w:rPr>
              <w:t>Share of total Agriculture sector (%)</w:t>
            </w:r>
          </w:p>
        </w:tc>
      </w:tr>
      <w:tr w:rsidR="004543E0" w:rsidRPr="009660EC" w14:paraId="507A8B91" w14:textId="77777777" w:rsidTr="00D75334">
        <w:trPr>
          <w:tblHeader/>
        </w:trPr>
        <w:tc>
          <w:tcPr>
            <w:tcW w:w="1746" w:type="dxa"/>
            <w:vMerge/>
            <w:tcBorders>
              <w:top w:val="nil"/>
              <w:left w:val="nil"/>
              <w:bottom w:val="single" w:sz="4" w:space="0" w:color="44546A"/>
            </w:tcBorders>
            <w:shd w:val="clear" w:color="auto" w:fill="1B556B"/>
            <w:vAlign w:val="bottom"/>
          </w:tcPr>
          <w:p w14:paraId="73AF3AFB" w14:textId="77777777" w:rsidR="004543E0" w:rsidRPr="004543E0" w:rsidRDefault="004543E0" w:rsidP="007E3239">
            <w:pPr>
              <w:pStyle w:val="TableTextBold"/>
              <w:keepNext/>
              <w:spacing w:before="40" w:after="40"/>
              <w:rPr>
                <w:i/>
                <w:noProof w:val="0"/>
                <w:color w:val="FFFFFF"/>
                <w:szCs w:val="16"/>
              </w:rPr>
            </w:pPr>
          </w:p>
        </w:tc>
        <w:tc>
          <w:tcPr>
            <w:tcW w:w="856" w:type="dxa"/>
            <w:tcBorders>
              <w:top w:val="nil"/>
              <w:bottom w:val="single" w:sz="4" w:space="0" w:color="44546A"/>
            </w:tcBorders>
            <w:shd w:val="clear" w:color="auto" w:fill="1B556B"/>
            <w:vAlign w:val="bottom"/>
          </w:tcPr>
          <w:p w14:paraId="24769863" w14:textId="77777777" w:rsidR="004543E0" w:rsidRPr="004543E0" w:rsidRDefault="004543E0" w:rsidP="007E3239">
            <w:pPr>
              <w:pStyle w:val="TableTextBold"/>
              <w:keepNext/>
              <w:spacing w:before="40" w:after="40"/>
              <w:jc w:val="right"/>
              <w:rPr>
                <w:i/>
                <w:iCs/>
                <w:noProof w:val="0"/>
                <w:color w:val="FFFFFF"/>
                <w:szCs w:val="16"/>
              </w:rPr>
            </w:pPr>
            <w:r w:rsidRPr="004543E0">
              <w:rPr>
                <w:noProof w:val="0"/>
                <w:color w:val="FFFFFF"/>
                <w:szCs w:val="16"/>
              </w:rPr>
              <w:t>1990</w:t>
            </w:r>
          </w:p>
        </w:tc>
        <w:tc>
          <w:tcPr>
            <w:tcW w:w="856" w:type="dxa"/>
            <w:tcBorders>
              <w:top w:val="nil"/>
              <w:bottom w:val="single" w:sz="4" w:space="0" w:color="44546A"/>
            </w:tcBorders>
            <w:shd w:val="clear" w:color="auto" w:fill="1B556B"/>
            <w:vAlign w:val="bottom"/>
          </w:tcPr>
          <w:p w14:paraId="74C0C256" w14:textId="77777777" w:rsidR="004543E0" w:rsidRPr="004543E0" w:rsidRDefault="004543E0" w:rsidP="007E3239">
            <w:pPr>
              <w:pStyle w:val="TableTextBold"/>
              <w:keepNext/>
              <w:spacing w:before="40" w:after="40"/>
              <w:jc w:val="right"/>
              <w:rPr>
                <w:i/>
                <w:iCs/>
                <w:noProof w:val="0"/>
                <w:color w:val="FFFFFF"/>
                <w:szCs w:val="16"/>
              </w:rPr>
            </w:pPr>
            <w:r w:rsidRPr="004543E0">
              <w:rPr>
                <w:noProof w:val="0"/>
                <w:color w:val="FFFFFF"/>
                <w:szCs w:val="16"/>
              </w:rPr>
              <w:t>2020</w:t>
            </w:r>
          </w:p>
        </w:tc>
        <w:tc>
          <w:tcPr>
            <w:tcW w:w="857" w:type="dxa"/>
            <w:tcBorders>
              <w:top w:val="nil"/>
              <w:bottom w:val="single" w:sz="4" w:space="0" w:color="44546A"/>
            </w:tcBorders>
            <w:shd w:val="clear" w:color="auto" w:fill="1B556B"/>
            <w:vAlign w:val="bottom"/>
          </w:tcPr>
          <w:p w14:paraId="21EC5C2C" w14:textId="77777777" w:rsidR="004543E0" w:rsidRPr="004543E0" w:rsidRDefault="004543E0" w:rsidP="007E3239">
            <w:pPr>
              <w:pStyle w:val="TableTextBold"/>
              <w:keepNext/>
              <w:spacing w:before="40" w:after="40"/>
              <w:jc w:val="right"/>
              <w:rPr>
                <w:i/>
                <w:iCs/>
                <w:noProof w:val="0"/>
                <w:color w:val="FFFFFF"/>
                <w:szCs w:val="16"/>
              </w:rPr>
            </w:pPr>
            <w:r w:rsidRPr="004543E0">
              <w:rPr>
                <w:noProof w:val="0"/>
                <w:color w:val="FFFFFF"/>
                <w:szCs w:val="16"/>
              </w:rPr>
              <w:t>kt CO</w:t>
            </w:r>
            <w:r w:rsidRPr="004543E0">
              <w:rPr>
                <w:noProof w:val="0"/>
                <w:color w:val="FFFFFF"/>
                <w:szCs w:val="16"/>
                <w:vertAlign w:val="subscript"/>
              </w:rPr>
              <w:t>2</w:t>
            </w:r>
            <w:r w:rsidRPr="004543E0">
              <w:rPr>
                <w:noProof w:val="0"/>
                <w:color w:val="FFFFFF"/>
                <w:szCs w:val="16"/>
              </w:rPr>
              <w:t>-e</w:t>
            </w:r>
          </w:p>
        </w:tc>
        <w:tc>
          <w:tcPr>
            <w:tcW w:w="784" w:type="dxa"/>
            <w:tcBorders>
              <w:top w:val="nil"/>
              <w:bottom w:val="single" w:sz="4" w:space="0" w:color="44546A"/>
            </w:tcBorders>
            <w:shd w:val="clear" w:color="auto" w:fill="1B556B"/>
            <w:vAlign w:val="bottom"/>
          </w:tcPr>
          <w:p w14:paraId="0398D270" w14:textId="77777777" w:rsidR="004543E0" w:rsidRPr="004543E0" w:rsidRDefault="004543E0" w:rsidP="007E3239">
            <w:pPr>
              <w:pStyle w:val="TableTextBold"/>
              <w:keepNext/>
              <w:spacing w:before="40" w:after="40"/>
              <w:jc w:val="right"/>
              <w:rPr>
                <w:i/>
                <w:iCs/>
                <w:noProof w:val="0"/>
                <w:color w:val="FFFFFF"/>
                <w:szCs w:val="16"/>
              </w:rPr>
            </w:pPr>
            <w:r w:rsidRPr="004543E0">
              <w:rPr>
                <w:noProof w:val="0"/>
                <w:color w:val="FFFFFF"/>
                <w:szCs w:val="16"/>
              </w:rPr>
              <w:t>%</w:t>
            </w:r>
          </w:p>
        </w:tc>
        <w:tc>
          <w:tcPr>
            <w:tcW w:w="852" w:type="dxa"/>
            <w:tcBorders>
              <w:top w:val="nil"/>
              <w:bottom w:val="single" w:sz="4" w:space="0" w:color="44546A"/>
            </w:tcBorders>
            <w:shd w:val="clear" w:color="auto" w:fill="1B556B"/>
            <w:vAlign w:val="bottom"/>
          </w:tcPr>
          <w:p w14:paraId="18CDCCFC" w14:textId="77777777" w:rsidR="004543E0" w:rsidRPr="004543E0" w:rsidRDefault="004543E0" w:rsidP="007E3239">
            <w:pPr>
              <w:pStyle w:val="TableTextBold"/>
              <w:keepNext/>
              <w:spacing w:before="40" w:after="40"/>
              <w:jc w:val="right"/>
              <w:rPr>
                <w:i/>
                <w:iCs/>
                <w:noProof w:val="0"/>
                <w:color w:val="FFFFFF"/>
                <w:szCs w:val="16"/>
              </w:rPr>
            </w:pPr>
            <w:r w:rsidRPr="004543E0">
              <w:rPr>
                <w:noProof w:val="0"/>
                <w:color w:val="FFFFFF"/>
                <w:szCs w:val="16"/>
              </w:rPr>
              <w:t xml:space="preserve">1990 </w:t>
            </w:r>
          </w:p>
        </w:tc>
        <w:tc>
          <w:tcPr>
            <w:tcW w:w="851" w:type="dxa"/>
            <w:tcBorders>
              <w:top w:val="nil"/>
              <w:bottom w:val="single" w:sz="4" w:space="0" w:color="44546A"/>
            </w:tcBorders>
            <w:shd w:val="clear" w:color="auto" w:fill="1B556B"/>
            <w:vAlign w:val="bottom"/>
          </w:tcPr>
          <w:p w14:paraId="2A3D9F2A" w14:textId="77777777" w:rsidR="004543E0" w:rsidRPr="004543E0" w:rsidRDefault="004543E0" w:rsidP="007E3239">
            <w:pPr>
              <w:pStyle w:val="TableTextBold"/>
              <w:keepNext/>
              <w:spacing w:before="40" w:after="40"/>
              <w:jc w:val="right"/>
              <w:rPr>
                <w:i/>
                <w:iCs/>
                <w:noProof w:val="0"/>
                <w:color w:val="FFFFFF"/>
                <w:szCs w:val="16"/>
              </w:rPr>
            </w:pPr>
            <w:r w:rsidRPr="004543E0">
              <w:rPr>
                <w:noProof w:val="0"/>
                <w:color w:val="FFFFFF"/>
                <w:szCs w:val="16"/>
              </w:rPr>
              <w:t>2020</w:t>
            </w:r>
          </w:p>
        </w:tc>
        <w:tc>
          <w:tcPr>
            <w:tcW w:w="852" w:type="dxa"/>
            <w:tcBorders>
              <w:top w:val="nil"/>
              <w:bottom w:val="single" w:sz="4" w:space="0" w:color="44546A"/>
            </w:tcBorders>
            <w:shd w:val="clear" w:color="auto" w:fill="1B556B"/>
            <w:vAlign w:val="bottom"/>
          </w:tcPr>
          <w:p w14:paraId="190FC9E7" w14:textId="77777777" w:rsidR="004543E0" w:rsidRPr="004543E0" w:rsidRDefault="004543E0" w:rsidP="007E3239">
            <w:pPr>
              <w:pStyle w:val="TableTextBold"/>
              <w:keepNext/>
              <w:spacing w:before="40" w:after="40"/>
              <w:jc w:val="right"/>
              <w:rPr>
                <w:i/>
                <w:iCs/>
                <w:noProof w:val="0"/>
                <w:color w:val="FFFFFF"/>
                <w:szCs w:val="16"/>
              </w:rPr>
            </w:pPr>
            <w:r w:rsidRPr="004543E0">
              <w:rPr>
                <w:noProof w:val="0"/>
                <w:color w:val="FFFFFF"/>
                <w:szCs w:val="16"/>
              </w:rPr>
              <w:t>1990</w:t>
            </w:r>
          </w:p>
        </w:tc>
        <w:tc>
          <w:tcPr>
            <w:tcW w:w="851" w:type="dxa"/>
            <w:tcBorders>
              <w:top w:val="nil"/>
              <w:bottom w:val="single" w:sz="4" w:space="0" w:color="44546A"/>
              <w:right w:val="nil"/>
            </w:tcBorders>
            <w:shd w:val="clear" w:color="auto" w:fill="1B556B"/>
            <w:vAlign w:val="bottom"/>
          </w:tcPr>
          <w:p w14:paraId="0DC16CE0" w14:textId="77777777" w:rsidR="004543E0" w:rsidRPr="004543E0" w:rsidRDefault="004543E0" w:rsidP="007E3239">
            <w:pPr>
              <w:pStyle w:val="TableTextBold"/>
              <w:keepNext/>
              <w:spacing w:before="40" w:after="40"/>
              <w:jc w:val="right"/>
              <w:rPr>
                <w:i/>
                <w:iCs/>
                <w:noProof w:val="0"/>
                <w:color w:val="FFFFFF"/>
                <w:szCs w:val="16"/>
              </w:rPr>
            </w:pPr>
            <w:r w:rsidRPr="004543E0">
              <w:rPr>
                <w:noProof w:val="0"/>
                <w:color w:val="FFFFFF"/>
                <w:szCs w:val="16"/>
              </w:rPr>
              <w:t>2020</w:t>
            </w:r>
          </w:p>
        </w:tc>
      </w:tr>
      <w:tr w:rsidR="004543E0" w:rsidRPr="009660EC" w14:paraId="5F648A48" w14:textId="77777777" w:rsidTr="00D75334">
        <w:tc>
          <w:tcPr>
            <w:tcW w:w="1746" w:type="dxa"/>
            <w:tcBorders>
              <w:top w:val="single" w:sz="4" w:space="0" w:color="44546A"/>
              <w:left w:val="nil"/>
              <w:bottom w:val="nil"/>
            </w:tcBorders>
            <w:shd w:val="clear" w:color="auto" w:fill="auto"/>
          </w:tcPr>
          <w:p w14:paraId="08490A61" w14:textId="77777777" w:rsidR="004543E0" w:rsidRPr="009660EC" w:rsidRDefault="004543E0" w:rsidP="007E3239">
            <w:pPr>
              <w:pStyle w:val="TableText"/>
              <w:keepNext/>
              <w:spacing w:before="50" w:after="50"/>
            </w:pPr>
            <w:r w:rsidRPr="009660EC">
              <w:t>Dairy cattle</w:t>
            </w:r>
          </w:p>
        </w:tc>
        <w:tc>
          <w:tcPr>
            <w:tcW w:w="856" w:type="dxa"/>
            <w:tcBorders>
              <w:top w:val="single" w:sz="4" w:space="0" w:color="44546A"/>
              <w:left w:val="nil"/>
              <w:bottom w:val="single" w:sz="4" w:space="0" w:color="44546A"/>
              <w:right w:val="nil"/>
            </w:tcBorders>
            <w:shd w:val="clear" w:color="auto" w:fill="auto"/>
            <w:vAlign w:val="center"/>
          </w:tcPr>
          <w:p w14:paraId="751FD066" w14:textId="77777777" w:rsidR="004543E0" w:rsidRPr="004543E0" w:rsidRDefault="004543E0" w:rsidP="007E3239">
            <w:pPr>
              <w:pStyle w:val="TableText"/>
              <w:keepNext/>
              <w:spacing w:before="50" w:after="50"/>
              <w:jc w:val="right"/>
              <w:rPr>
                <w:rFonts w:cs="Calibri"/>
                <w:szCs w:val="16"/>
              </w:rPr>
            </w:pPr>
            <w:r w:rsidRPr="004543E0">
              <w:rPr>
                <w:rFonts w:cs="Calibri"/>
                <w:szCs w:val="16"/>
              </w:rPr>
              <w:t>1,163.7</w:t>
            </w:r>
          </w:p>
        </w:tc>
        <w:tc>
          <w:tcPr>
            <w:tcW w:w="856" w:type="dxa"/>
            <w:tcBorders>
              <w:top w:val="single" w:sz="4" w:space="0" w:color="44546A"/>
              <w:left w:val="nil"/>
              <w:bottom w:val="single" w:sz="4" w:space="0" w:color="44546A"/>
              <w:right w:val="nil"/>
            </w:tcBorders>
            <w:shd w:val="clear" w:color="auto" w:fill="auto"/>
            <w:vAlign w:val="center"/>
          </w:tcPr>
          <w:p w14:paraId="608ADCDA" w14:textId="77777777" w:rsidR="004543E0" w:rsidRPr="004543E0" w:rsidRDefault="004543E0" w:rsidP="007E3239">
            <w:pPr>
              <w:pStyle w:val="TableText"/>
              <w:keepNext/>
              <w:spacing w:before="50" w:after="50"/>
              <w:jc w:val="right"/>
              <w:rPr>
                <w:rFonts w:cs="Calibri"/>
                <w:szCs w:val="16"/>
              </w:rPr>
            </w:pPr>
            <w:r w:rsidRPr="004543E0">
              <w:rPr>
                <w:rFonts w:cs="Calibri"/>
                <w:szCs w:val="16"/>
              </w:rPr>
              <w:t>2,413.3</w:t>
            </w:r>
          </w:p>
        </w:tc>
        <w:tc>
          <w:tcPr>
            <w:tcW w:w="857" w:type="dxa"/>
            <w:tcBorders>
              <w:top w:val="single" w:sz="4" w:space="0" w:color="44546A"/>
              <w:left w:val="nil"/>
              <w:bottom w:val="single" w:sz="4" w:space="0" w:color="44546A"/>
              <w:right w:val="nil"/>
            </w:tcBorders>
            <w:shd w:val="clear" w:color="auto" w:fill="auto"/>
            <w:vAlign w:val="center"/>
          </w:tcPr>
          <w:p w14:paraId="4A478484" w14:textId="77777777" w:rsidR="004543E0" w:rsidRPr="004543E0" w:rsidRDefault="004543E0" w:rsidP="007E3239">
            <w:pPr>
              <w:pStyle w:val="TableText"/>
              <w:keepNext/>
              <w:spacing w:before="50" w:after="50"/>
              <w:jc w:val="right"/>
              <w:rPr>
                <w:rFonts w:cs="Calibri"/>
                <w:szCs w:val="16"/>
              </w:rPr>
            </w:pPr>
            <w:r w:rsidRPr="004543E0">
              <w:rPr>
                <w:rFonts w:cs="Calibri"/>
                <w:szCs w:val="16"/>
              </w:rPr>
              <w:t>1,249.5</w:t>
            </w:r>
          </w:p>
        </w:tc>
        <w:tc>
          <w:tcPr>
            <w:tcW w:w="784" w:type="dxa"/>
            <w:tcBorders>
              <w:top w:val="single" w:sz="4" w:space="0" w:color="44546A"/>
              <w:left w:val="nil"/>
              <w:bottom w:val="single" w:sz="4" w:space="0" w:color="44546A"/>
              <w:right w:val="nil"/>
            </w:tcBorders>
            <w:shd w:val="clear" w:color="auto" w:fill="auto"/>
            <w:vAlign w:val="center"/>
          </w:tcPr>
          <w:p w14:paraId="34B39651" w14:textId="77777777" w:rsidR="004543E0" w:rsidRPr="004543E0" w:rsidRDefault="004543E0" w:rsidP="007E3239">
            <w:pPr>
              <w:pStyle w:val="TableText"/>
              <w:keepNext/>
              <w:spacing w:before="50" w:after="50"/>
              <w:jc w:val="right"/>
              <w:rPr>
                <w:rFonts w:cs="Calibri"/>
                <w:szCs w:val="16"/>
              </w:rPr>
            </w:pPr>
            <w:r w:rsidRPr="004543E0">
              <w:rPr>
                <w:rFonts w:cs="Calibri"/>
                <w:szCs w:val="16"/>
              </w:rPr>
              <w:t>107.4</w:t>
            </w:r>
          </w:p>
        </w:tc>
        <w:tc>
          <w:tcPr>
            <w:tcW w:w="852" w:type="dxa"/>
            <w:tcBorders>
              <w:top w:val="single" w:sz="4" w:space="0" w:color="44546A"/>
              <w:left w:val="nil"/>
              <w:bottom w:val="single" w:sz="4" w:space="0" w:color="44546A"/>
              <w:right w:val="nil"/>
            </w:tcBorders>
            <w:shd w:val="clear" w:color="auto" w:fill="auto"/>
            <w:vAlign w:val="center"/>
          </w:tcPr>
          <w:p w14:paraId="689A7D83" w14:textId="77777777" w:rsidR="004543E0" w:rsidRPr="004543E0" w:rsidRDefault="004543E0" w:rsidP="007E3239">
            <w:pPr>
              <w:pStyle w:val="TableText"/>
              <w:keepNext/>
              <w:spacing w:before="50" w:after="50"/>
              <w:jc w:val="right"/>
              <w:rPr>
                <w:rFonts w:cs="Calibri"/>
                <w:szCs w:val="16"/>
              </w:rPr>
            </w:pPr>
            <w:r w:rsidRPr="004543E0">
              <w:rPr>
                <w:rFonts w:cs="Calibri"/>
                <w:szCs w:val="16"/>
              </w:rPr>
              <w:t>22.0</w:t>
            </w:r>
          </w:p>
        </w:tc>
        <w:tc>
          <w:tcPr>
            <w:tcW w:w="851" w:type="dxa"/>
            <w:tcBorders>
              <w:top w:val="single" w:sz="4" w:space="0" w:color="44546A"/>
              <w:left w:val="nil"/>
              <w:bottom w:val="single" w:sz="4" w:space="0" w:color="44546A"/>
              <w:right w:val="nil"/>
            </w:tcBorders>
            <w:shd w:val="clear" w:color="auto" w:fill="auto"/>
            <w:vAlign w:val="center"/>
          </w:tcPr>
          <w:p w14:paraId="09CDED80" w14:textId="77777777" w:rsidR="004543E0" w:rsidRPr="004543E0" w:rsidRDefault="004543E0" w:rsidP="007E3239">
            <w:pPr>
              <w:pStyle w:val="TableText"/>
              <w:keepNext/>
              <w:spacing w:before="50" w:after="50"/>
              <w:jc w:val="right"/>
              <w:rPr>
                <w:rFonts w:cs="Calibri"/>
                <w:szCs w:val="16"/>
              </w:rPr>
            </w:pPr>
            <w:r w:rsidRPr="004543E0">
              <w:rPr>
                <w:rFonts w:cs="Calibri"/>
                <w:szCs w:val="16"/>
              </w:rPr>
              <w:t>30.6</w:t>
            </w:r>
          </w:p>
        </w:tc>
        <w:tc>
          <w:tcPr>
            <w:tcW w:w="852" w:type="dxa"/>
            <w:tcBorders>
              <w:top w:val="single" w:sz="4" w:space="0" w:color="44546A"/>
              <w:left w:val="nil"/>
              <w:bottom w:val="single" w:sz="4" w:space="0" w:color="44546A"/>
              <w:right w:val="nil"/>
            </w:tcBorders>
            <w:shd w:val="clear" w:color="auto" w:fill="auto"/>
            <w:vAlign w:val="center"/>
          </w:tcPr>
          <w:p w14:paraId="3C1CF1FC" w14:textId="77777777" w:rsidR="004543E0" w:rsidRPr="004543E0" w:rsidRDefault="004543E0" w:rsidP="007E3239">
            <w:pPr>
              <w:pStyle w:val="TableText"/>
              <w:keepNext/>
              <w:spacing w:before="50" w:after="50"/>
              <w:jc w:val="right"/>
              <w:rPr>
                <w:rFonts w:cs="Calibri"/>
                <w:szCs w:val="16"/>
              </w:rPr>
            </w:pPr>
            <w:r w:rsidRPr="004543E0">
              <w:rPr>
                <w:rFonts w:cs="Calibri"/>
                <w:szCs w:val="16"/>
              </w:rPr>
              <w:t>3.4</w:t>
            </w:r>
          </w:p>
        </w:tc>
        <w:tc>
          <w:tcPr>
            <w:tcW w:w="851" w:type="dxa"/>
            <w:tcBorders>
              <w:top w:val="single" w:sz="4" w:space="0" w:color="44546A"/>
              <w:left w:val="nil"/>
              <w:bottom w:val="single" w:sz="4" w:space="0" w:color="44546A"/>
              <w:right w:val="nil"/>
            </w:tcBorders>
            <w:shd w:val="clear" w:color="auto" w:fill="auto"/>
            <w:vAlign w:val="center"/>
          </w:tcPr>
          <w:p w14:paraId="3D7C2A03" w14:textId="77777777" w:rsidR="004543E0" w:rsidRPr="004543E0" w:rsidRDefault="004543E0" w:rsidP="007E3239">
            <w:pPr>
              <w:pStyle w:val="TableText"/>
              <w:keepNext/>
              <w:spacing w:before="50" w:after="50"/>
              <w:jc w:val="right"/>
              <w:rPr>
                <w:rFonts w:cs="Calibri"/>
                <w:szCs w:val="16"/>
              </w:rPr>
            </w:pPr>
            <w:r w:rsidRPr="004543E0">
              <w:rPr>
                <w:rFonts w:cs="Calibri"/>
                <w:szCs w:val="16"/>
              </w:rPr>
              <w:t>6.1</w:t>
            </w:r>
          </w:p>
        </w:tc>
      </w:tr>
      <w:tr w:rsidR="004543E0" w:rsidRPr="009660EC" w14:paraId="2B39D50D" w14:textId="77777777" w:rsidTr="00D75334">
        <w:tc>
          <w:tcPr>
            <w:tcW w:w="1746" w:type="dxa"/>
            <w:tcBorders>
              <w:top w:val="nil"/>
              <w:left w:val="nil"/>
              <w:bottom w:val="nil"/>
            </w:tcBorders>
            <w:shd w:val="clear" w:color="auto" w:fill="auto"/>
          </w:tcPr>
          <w:p w14:paraId="2F19DA27" w14:textId="77777777" w:rsidR="004543E0" w:rsidRPr="009660EC" w:rsidRDefault="004543E0" w:rsidP="007E3239">
            <w:pPr>
              <w:pStyle w:val="TableText"/>
              <w:keepNext/>
              <w:spacing w:before="50" w:after="50"/>
            </w:pPr>
            <w:r w:rsidRPr="009660EC">
              <w:t xml:space="preserve">Non-dairy </w:t>
            </w:r>
            <w:r w:rsidRPr="009660EC">
              <w:rPr>
                <w:i/>
                <w:iCs/>
              </w:rPr>
              <w:t>(beef)</w:t>
            </w:r>
            <w:r w:rsidRPr="009660EC">
              <w:t xml:space="preserve"> cattle</w:t>
            </w:r>
          </w:p>
        </w:tc>
        <w:tc>
          <w:tcPr>
            <w:tcW w:w="856" w:type="dxa"/>
            <w:tcBorders>
              <w:top w:val="single" w:sz="4" w:space="0" w:color="44546A"/>
              <w:left w:val="nil"/>
              <w:bottom w:val="single" w:sz="4" w:space="0" w:color="44546A"/>
              <w:right w:val="nil"/>
            </w:tcBorders>
            <w:shd w:val="clear" w:color="auto" w:fill="auto"/>
            <w:vAlign w:val="center"/>
          </w:tcPr>
          <w:p w14:paraId="0DD2D686" w14:textId="77777777" w:rsidR="004543E0" w:rsidRPr="004543E0" w:rsidRDefault="004543E0" w:rsidP="007E3239">
            <w:pPr>
              <w:pStyle w:val="TableText"/>
              <w:keepNext/>
              <w:spacing w:before="50" w:after="50"/>
              <w:jc w:val="right"/>
              <w:rPr>
                <w:rFonts w:cs="Calibri"/>
                <w:szCs w:val="16"/>
              </w:rPr>
            </w:pPr>
            <w:r w:rsidRPr="004543E0">
              <w:rPr>
                <w:rFonts w:cs="Calibri"/>
                <w:szCs w:val="16"/>
              </w:rPr>
              <w:t>785.1</w:t>
            </w:r>
          </w:p>
        </w:tc>
        <w:tc>
          <w:tcPr>
            <w:tcW w:w="856" w:type="dxa"/>
            <w:tcBorders>
              <w:top w:val="single" w:sz="4" w:space="0" w:color="44546A"/>
              <w:left w:val="nil"/>
              <w:bottom w:val="single" w:sz="4" w:space="0" w:color="44546A"/>
              <w:right w:val="nil"/>
            </w:tcBorders>
            <w:shd w:val="clear" w:color="auto" w:fill="auto"/>
            <w:vAlign w:val="center"/>
          </w:tcPr>
          <w:p w14:paraId="6C7C89AD" w14:textId="77777777" w:rsidR="004543E0" w:rsidRPr="004543E0" w:rsidRDefault="004543E0" w:rsidP="007E3239">
            <w:pPr>
              <w:pStyle w:val="TableText"/>
              <w:keepNext/>
              <w:spacing w:before="50" w:after="50"/>
              <w:jc w:val="right"/>
              <w:rPr>
                <w:rFonts w:cs="Calibri"/>
                <w:szCs w:val="16"/>
              </w:rPr>
            </w:pPr>
            <w:r w:rsidRPr="004543E0">
              <w:rPr>
                <w:rFonts w:cs="Calibri"/>
                <w:szCs w:val="16"/>
              </w:rPr>
              <w:t>813.4</w:t>
            </w:r>
          </w:p>
        </w:tc>
        <w:tc>
          <w:tcPr>
            <w:tcW w:w="857" w:type="dxa"/>
            <w:tcBorders>
              <w:top w:val="single" w:sz="4" w:space="0" w:color="44546A"/>
              <w:left w:val="nil"/>
              <w:bottom w:val="single" w:sz="4" w:space="0" w:color="44546A"/>
              <w:right w:val="nil"/>
            </w:tcBorders>
            <w:shd w:val="clear" w:color="auto" w:fill="auto"/>
            <w:vAlign w:val="center"/>
          </w:tcPr>
          <w:p w14:paraId="00BA9821" w14:textId="77777777" w:rsidR="004543E0" w:rsidRPr="004543E0" w:rsidRDefault="004543E0" w:rsidP="007E3239">
            <w:pPr>
              <w:pStyle w:val="TableText"/>
              <w:keepNext/>
              <w:spacing w:before="50" w:after="50"/>
              <w:jc w:val="right"/>
              <w:rPr>
                <w:rFonts w:cs="Calibri"/>
                <w:szCs w:val="16"/>
              </w:rPr>
            </w:pPr>
            <w:r w:rsidRPr="004543E0">
              <w:rPr>
                <w:rFonts w:cs="Calibri"/>
                <w:szCs w:val="16"/>
              </w:rPr>
              <w:t>28.3</w:t>
            </w:r>
          </w:p>
        </w:tc>
        <w:tc>
          <w:tcPr>
            <w:tcW w:w="784" w:type="dxa"/>
            <w:tcBorders>
              <w:top w:val="single" w:sz="4" w:space="0" w:color="44546A"/>
              <w:left w:val="nil"/>
              <w:bottom w:val="single" w:sz="4" w:space="0" w:color="44546A"/>
              <w:right w:val="nil"/>
            </w:tcBorders>
            <w:shd w:val="clear" w:color="auto" w:fill="auto"/>
            <w:vAlign w:val="center"/>
          </w:tcPr>
          <w:p w14:paraId="116ADB38" w14:textId="77777777" w:rsidR="004543E0" w:rsidRPr="004543E0" w:rsidRDefault="004543E0" w:rsidP="007E3239">
            <w:pPr>
              <w:pStyle w:val="TableText"/>
              <w:keepNext/>
              <w:spacing w:before="50" w:after="50"/>
              <w:jc w:val="right"/>
              <w:rPr>
                <w:rFonts w:cs="Calibri"/>
                <w:szCs w:val="16"/>
              </w:rPr>
            </w:pPr>
            <w:r w:rsidRPr="004543E0">
              <w:rPr>
                <w:rFonts w:cs="Calibri"/>
                <w:szCs w:val="16"/>
              </w:rPr>
              <w:t>3.6</w:t>
            </w:r>
          </w:p>
        </w:tc>
        <w:tc>
          <w:tcPr>
            <w:tcW w:w="852" w:type="dxa"/>
            <w:tcBorders>
              <w:top w:val="single" w:sz="4" w:space="0" w:color="44546A"/>
              <w:left w:val="nil"/>
              <w:bottom w:val="single" w:sz="4" w:space="0" w:color="44546A"/>
              <w:right w:val="nil"/>
            </w:tcBorders>
            <w:shd w:val="clear" w:color="auto" w:fill="auto"/>
            <w:vAlign w:val="center"/>
          </w:tcPr>
          <w:p w14:paraId="4B68B3C8" w14:textId="77777777" w:rsidR="004543E0" w:rsidRPr="004543E0" w:rsidRDefault="004543E0" w:rsidP="007E3239">
            <w:pPr>
              <w:pStyle w:val="TableText"/>
              <w:keepNext/>
              <w:spacing w:before="50" w:after="50"/>
              <w:jc w:val="right"/>
              <w:rPr>
                <w:rFonts w:cs="Calibri"/>
                <w:szCs w:val="16"/>
              </w:rPr>
            </w:pPr>
            <w:r w:rsidRPr="004543E0">
              <w:rPr>
                <w:rFonts w:cs="Calibri"/>
                <w:szCs w:val="16"/>
              </w:rPr>
              <w:t>14.8</w:t>
            </w:r>
          </w:p>
        </w:tc>
        <w:tc>
          <w:tcPr>
            <w:tcW w:w="851" w:type="dxa"/>
            <w:tcBorders>
              <w:top w:val="single" w:sz="4" w:space="0" w:color="44546A"/>
              <w:left w:val="nil"/>
              <w:bottom w:val="single" w:sz="4" w:space="0" w:color="44546A"/>
              <w:right w:val="nil"/>
            </w:tcBorders>
            <w:shd w:val="clear" w:color="auto" w:fill="auto"/>
            <w:vAlign w:val="center"/>
          </w:tcPr>
          <w:p w14:paraId="0AC5ED18" w14:textId="77777777" w:rsidR="004543E0" w:rsidRPr="004543E0" w:rsidRDefault="004543E0" w:rsidP="007E3239">
            <w:pPr>
              <w:pStyle w:val="TableText"/>
              <w:keepNext/>
              <w:spacing w:before="50" w:after="50"/>
              <w:jc w:val="right"/>
              <w:rPr>
                <w:rFonts w:cs="Calibri"/>
                <w:szCs w:val="16"/>
              </w:rPr>
            </w:pPr>
            <w:r w:rsidRPr="004543E0">
              <w:rPr>
                <w:rFonts w:cs="Calibri"/>
                <w:szCs w:val="16"/>
              </w:rPr>
              <w:t>10.3</w:t>
            </w:r>
          </w:p>
        </w:tc>
        <w:tc>
          <w:tcPr>
            <w:tcW w:w="852" w:type="dxa"/>
            <w:tcBorders>
              <w:top w:val="single" w:sz="4" w:space="0" w:color="44546A"/>
              <w:left w:val="nil"/>
              <w:bottom w:val="single" w:sz="4" w:space="0" w:color="44546A"/>
              <w:right w:val="nil"/>
            </w:tcBorders>
            <w:shd w:val="clear" w:color="auto" w:fill="auto"/>
            <w:vAlign w:val="center"/>
          </w:tcPr>
          <w:p w14:paraId="66255D06" w14:textId="77777777" w:rsidR="004543E0" w:rsidRPr="004543E0" w:rsidRDefault="004543E0" w:rsidP="007E3239">
            <w:pPr>
              <w:pStyle w:val="TableText"/>
              <w:keepNext/>
              <w:spacing w:before="50" w:after="50"/>
              <w:jc w:val="right"/>
              <w:rPr>
                <w:rFonts w:cs="Calibri"/>
                <w:szCs w:val="16"/>
              </w:rPr>
            </w:pPr>
            <w:r w:rsidRPr="004543E0">
              <w:rPr>
                <w:rFonts w:cs="Calibri"/>
                <w:szCs w:val="16"/>
              </w:rPr>
              <w:t>2.3</w:t>
            </w:r>
          </w:p>
        </w:tc>
        <w:tc>
          <w:tcPr>
            <w:tcW w:w="851" w:type="dxa"/>
            <w:tcBorders>
              <w:top w:val="single" w:sz="4" w:space="0" w:color="44546A"/>
              <w:left w:val="nil"/>
              <w:bottom w:val="single" w:sz="4" w:space="0" w:color="44546A"/>
              <w:right w:val="nil"/>
            </w:tcBorders>
            <w:shd w:val="clear" w:color="auto" w:fill="auto"/>
            <w:vAlign w:val="center"/>
          </w:tcPr>
          <w:p w14:paraId="426EAEEF" w14:textId="77777777" w:rsidR="004543E0" w:rsidRPr="004543E0" w:rsidRDefault="004543E0" w:rsidP="007E3239">
            <w:pPr>
              <w:pStyle w:val="TableText"/>
              <w:keepNext/>
              <w:spacing w:before="50" w:after="50"/>
              <w:jc w:val="right"/>
              <w:rPr>
                <w:rFonts w:cs="Calibri"/>
                <w:szCs w:val="16"/>
              </w:rPr>
            </w:pPr>
            <w:r w:rsidRPr="004543E0">
              <w:rPr>
                <w:rFonts w:cs="Calibri"/>
                <w:szCs w:val="16"/>
              </w:rPr>
              <w:t>2.1</w:t>
            </w:r>
          </w:p>
        </w:tc>
      </w:tr>
      <w:tr w:rsidR="004543E0" w:rsidRPr="009660EC" w14:paraId="367AEA9D" w14:textId="77777777" w:rsidTr="00D75334">
        <w:tc>
          <w:tcPr>
            <w:tcW w:w="1746" w:type="dxa"/>
            <w:tcBorders>
              <w:top w:val="nil"/>
              <w:left w:val="nil"/>
              <w:bottom w:val="nil"/>
            </w:tcBorders>
            <w:shd w:val="clear" w:color="auto" w:fill="auto"/>
          </w:tcPr>
          <w:p w14:paraId="64AF1F79" w14:textId="77777777" w:rsidR="004543E0" w:rsidRPr="009660EC" w:rsidRDefault="004543E0" w:rsidP="007E3239">
            <w:pPr>
              <w:pStyle w:val="TableText"/>
              <w:keepNext/>
              <w:spacing w:before="50" w:after="50"/>
            </w:pPr>
            <w:r w:rsidRPr="009660EC">
              <w:t>Sheep</w:t>
            </w:r>
          </w:p>
        </w:tc>
        <w:tc>
          <w:tcPr>
            <w:tcW w:w="856" w:type="dxa"/>
            <w:tcBorders>
              <w:top w:val="single" w:sz="4" w:space="0" w:color="44546A"/>
              <w:left w:val="nil"/>
              <w:bottom w:val="single" w:sz="4" w:space="0" w:color="44546A"/>
              <w:right w:val="nil"/>
            </w:tcBorders>
            <w:shd w:val="clear" w:color="auto" w:fill="auto"/>
            <w:vAlign w:val="center"/>
          </w:tcPr>
          <w:p w14:paraId="2D57574D" w14:textId="77777777" w:rsidR="004543E0" w:rsidRPr="004543E0" w:rsidRDefault="004543E0" w:rsidP="007E3239">
            <w:pPr>
              <w:pStyle w:val="TableText"/>
              <w:keepNext/>
              <w:spacing w:before="50" w:after="50"/>
              <w:jc w:val="right"/>
              <w:rPr>
                <w:rFonts w:cs="Calibri"/>
                <w:szCs w:val="16"/>
              </w:rPr>
            </w:pPr>
            <w:r w:rsidRPr="004543E0">
              <w:rPr>
                <w:rFonts w:cs="Calibri"/>
                <w:szCs w:val="16"/>
              </w:rPr>
              <w:t>990.5</w:t>
            </w:r>
          </w:p>
        </w:tc>
        <w:tc>
          <w:tcPr>
            <w:tcW w:w="856" w:type="dxa"/>
            <w:tcBorders>
              <w:top w:val="single" w:sz="4" w:space="0" w:color="44546A"/>
              <w:left w:val="nil"/>
              <w:bottom w:val="single" w:sz="4" w:space="0" w:color="44546A"/>
              <w:right w:val="nil"/>
            </w:tcBorders>
            <w:shd w:val="clear" w:color="auto" w:fill="auto"/>
            <w:vAlign w:val="center"/>
          </w:tcPr>
          <w:p w14:paraId="0ABCDF7F" w14:textId="77777777" w:rsidR="004543E0" w:rsidRPr="004543E0" w:rsidRDefault="004543E0" w:rsidP="007E3239">
            <w:pPr>
              <w:pStyle w:val="TableText"/>
              <w:keepNext/>
              <w:spacing w:before="50" w:after="50"/>
              <w:jc w:val="right"/>
              <w:rPr>
                <w:rFonts w:cs="Calibri"/>
                <w:szCs w:val="16"/>
              </w:rPr>
            </w:pPr>
            <w:r w:rsidRPr="004543E0">
              <w:rPr>
                <w:rFonts w:cs="Calibri"/>
                <w:szCs w:val="16"/>
              </w:rPr>
              <w:t>592.6</w:t>
            </w:r>
          </w:p>
        </w:tc>
        <w:tc>
          <w:tcPr>
            <w:tcW w:w="857" w:type="dxa"/>
            <w:tcBorders>
              <w:top w:val="single" w:sz="4" w:space="0" w:color="44546A"/>
              <w:left w:val="nil"/>
              <w:bottom w:val="single" w:sz="4" w:space="0" w:color="44546A"/>
              <w:right w:val="nil"/>
            </w:tcBorders>
            <w:shd w:val="clear" w:color="auto" w:fill="auto"/>
            <w:vAlign w:val="center"/>
          </w:tcPr>
          <w:p w14:paraId="0AD6B94C" w14:textId="77777777" w:rsidR="004543E0" w:rsidRPr="004543E0" w:rsidRDefault="004543E0" w:rsidP="007E3239">
            <w:pPr>
              <w:pStyle w:val="TableText"/>
              <w:keepNext/>
              <w:spacing w:before="50" w:after="50"/>
              <w:jc w:val="right"/>
              <w:rPr>
                <w:rFonts w:cs="Calibri"/>
                <w:szCs w:val="16"/>
              </w:rPr>
            </w:pPr>
            <w:r w:rsidRPr="004543E0">
              <w:rPr>
                <w:rFonts w:cs="Calibri"/>
                <w:szCs w:val="16"/>
              </w:rPr>
              <w:t>–397.9</w:t>
            </w:r>
          </w:p>
        </w:tc>
        <w:tc>
          <w:tcPr>
            <w:tcW w:w="784" w:type="dxa"/>
            <w:tcBorders>
              <w:top w:val="single" w:sz="4" w:space="0" w:color="44546A"/>
              <w:left w:val="nil"/>
              <w:bottom w:val="single" w:sz="4" w:space="0" w:color="44546A"/>
              <w:right w:val="nil"/>
            </w:tcBorders>
            <w:shd w:val="clear" w:color="auto" w:fill="auto"/>
            <w:vAlign w:val="center"/>
          </w:tcPr>
          <w:p w14:paraId="6A8F47E3" w14:textId="77777777" w:rsidR="004543E0" w:rsidRPr="004543E0" w:rsidRDefault="004543E0" w:rsidP="007E3239">
            <w:pPr>
              <w:pStyle w:val="TableText"/>
              <w:keepNext/>
              <w:spacing w:before="50" w:after="50"/>
              <w:jc w:val="right"/>
              <w:rPr>
                <w:rFonts w:cs="Calibri"/>
                <w:szCs w:val="16"/>
              </w:rPr>
            </w:pPr>
            <w:r w:rsidRPr="004543E0">
              <w:rPr>
                <w:rFonts w:cs="Calibri"/>
                <w:szCs w:val="16"/>
              </w:rPr>
              <w:t>–40.2</w:t>
            </w:r>
          </w:p>
        </w:tc>
        <w:tc>
          <w:tcPr>
            <w:tcW w:w="852" w:type="dxa"/>
            <w:tcBorders>
              <w:top w:val="single" w:sz="4" w:space="0" w:color="44546A"/>
              <w:left w:val="nil"/>
              <w:bottom w:val="single" w:sz="4" w:space="0" w:color="44546A"/>
              <w:right w:val="nil"/>
            </w:tcBorders>
            <w:shd w:val="clear" w:color="auto" w:fill="auto"/>
            <w:vAlign w:val="center"/>
          </w:tcPr>
          <w:p w14:paraId="15C5C0E9" w14:textId="77777777" w:rsidR="004543E0" w:rsidRPr="004543E0" w:rsidRDefault="004543E0" w:rsidP="007E3239">
            <w:pPr>
              <w:pStyle w:val="TableText"/>
              <w:keepNext/>
              <w:spacing w:before="50" w:after="50"/>
              <w:jc w:val="right"/>
              <w:rPr>
                <w:rFonts w:cs="Calibri"/>
                <w:szCs w:val="16"/>
              </w:rPr>
            </w:pPr>
            <w:r w:rsidRPr="004543E0">
              <w:rPr>
                <w:rFonts w:cs="Calibri"/>
                <w:szCs w:val="16"/>
              </w:rPr>
              <w:t>18.7</w:t>
            </w:r>
          </w:p>
        </w:tc>
        <w:tc>
          <w:tcPr>
            <w:tcW w:w="851" w:type="dxa"/>
            <w:tcBorders>
              <w:top w:val="single" w:sz="4" w:space="0" w:color="44546A"/>
              <w:left w:val="nil"/>
              <w:bottom w:val="single" w:sz="4" w:space="0" w:color="44546A"/>
              <w:right w:val="nil"/>
            </w:tcBorders>
            <w:shd w:val="clear" w:color="auto" w:fill="auto"/>
            <w:vAlign w:val="center"/>
          </w:tcPr>
          <w:p w14:paraId="5E865E45" w14:textId="77777777" w:rsidR="004543E0" w:rsidRPr="004543E0" w:rsidRDefault="004543E0" w:rsidP="007E3239">
            <w:pPr>
              <w:pStyle w:val="TableText"/>
              <w:keepNext/>
              <w:spacing w:before="50" w:after="50"/>
              <w:jc w:val="right"/>
              <w:rPr>
                <w:rFonts w:cs="Calibri"/>
                <w:szCs w:val="16"/>
              </w:rPr>
            </w:pPr>
            <w:r w:rsidRPr="004543E0">
              <w:rPr>
                <w:rFonts w:cs="Calibri"/>
                <w:szCs w:val="16"/>
              </w:rPr>
              <w:t>7.5</w:t>
            </w:r>
          </w:p>
        </w:tc>
        <w:tc>
          <w:tcPr>
            <w:tcW w:w="852" w:type="dxa"/>
            <w:tcBorders>
              <w:top w:val="single" w:sz="4" w:space="0" w:color="44546A"/>
              <w:left w:val="nil"/>
              <w:bottom w:val="single" w:sz="4" w:space="0" w:color="44546A"/>
              <w:right w:val="nil"/>
            </w:tcBorders>
            <w:shd w:val="clear" w:color="auto" w:fill="auto"/>
            <w:vAlign w:val="center"/>
          </w:tcPr>
          <w:p w14:paraId="63DB5CAC" w14:textId="77777777" w:rsidR="004543E0" w:rsidRPr="004543E0" w:rsidRDefault="004543E0" w:rsidP="007E3239">
            <w:pPr>
              <w:pStyle w:val="TableText"/>
              <w:keepNext/>
              <w:spacing w:before="50" w:after="50"/>
              <w:jc w:val="right"/>
              <w:rPr>
                <w:rFonts w:cs="Calibri"/>
                <w:szCs w:val="16"/>
              </w:rPr>
            </w:pPr>
            <w:r w:rsidRPr="004543E0">
              <w:rPr>
                <w:rFonts w:cs="Calibri"/>
                <w:szCs w:val="16"/>
              </w:rPr>
              <w:t>2.9</w:t>
            </w:r>
          </w:p>
        </w:tc>
        <w:tc>
          <w:tcPr>
            <w:tcW w:w="851" w:type="dxa"/>
            <w:tcBorders>
              <w:top w:val="single" w:sz="4" w:space="0" w:color="44546A"/>
              <w:left w:val="nil"/>
              <w:bottom w:val="single" w:sz="4" w:space="0" w:color="44546A"/>
              <w:right w:val="nil"/>
            </w:tcBorders>
            <w:shd w:val="clear" w:color="auto" w:fill="auto"/>
            <w:vAlign w:val="center"/>
          </w:tcPr>
          <w:p w14:paraId="717F29FE" w14:textId="77777777" w:rsidR="004543E0" w:rsidRPr="004543E0" w:rsidRDefault="004543E0" w:rsidP="007E3239">
            <w:pPr>
              <w:pStyle w:val="TableText"/>
              <w:keepNext/>
              <w:spacing w:before="50" w:after="50"/>
              <w:jc w:val="right"/>
              <w:rPr>
                <w:rFonts w:cs="Calibri"/>
                <w:szCs w:val="16"/>
              </w:rPr>
            </w:pPr>
            <w:r w:rsidRPr="004543E0">
              <w:rPr>
                <w:rFonts w:cs="Calibri"/>
                <w:szCs w:val="16"/>
              </w:rPr>
              <w:t>1.5</w:t>
            </w:r>
          </w:p>
        </w:tc>
      </w:tr>
      <w:tr w:rsidR="004543E0" w:rsidRPr="009660EC" w14:paraId="5B700F08" w14:textId="77777777" w:rsidTr="00D75334">
        <w:tc>
          <w:tcPr>
            <w:tcW w:w="1746" w:type="dxa"/>
            <w:tcBorders>
              <w:top w:val="nil"/>
              <w:left w:val="nil"/>
              <w:bottom w:val="nil"/>
            </w:tcBorders>
            <w:shd w:val="clear" w:color="auto" w:fill="auto"/>
          </w:tcPr>
          <w:p w14:paraId="24874DE5" w14:textId="77777777" w:rsidR="004543E0" w:rsidRPr="009660EC" w:rsidRDefault="004543E0" w:rsidP="007E3239">
            <w:pPr>
              <w:pStyle w:val="TableText"/>
              <w:spacing w:before="50" w:after="50"/>
            </w:pPr>
            <w:r w:rsidRPr="009660EC">
              <w:t>Deer</w:t>
            </w:r>
          </w:p>
        </w:tc>
        <w:tc>
          <w:tcPr>
            <w:tcW w:w="856" w:type="dxa"/>
            <w:tcBorders>
              <w:top w:val="single" w:sz="4" w:space="0" w:color="44546A"/>
              <w:left w:val="nil"/>
              <w:bottom w:val="single" w:sz="4" w:space="0" w:color="44546A"/>
              <w:right w:val="nil"/>
            </w:tcBorders>
            <w:shd w:val="clear" w:color="auto" w:fill="auto"/>
            <w:vAlign w:val="center"/>
          </w:tcPr>
          <w:p w14:paraId="75C42141" w14:textId="77777777" w:rsidR="004543E0" w:rsidRPr="004543E0" w:rsidRDefault="004543E0" w:rsidP="007E3239">
            <w:pPr>
              <w:pStyle w:val="TableText"/>
              <w:spacing w:before="50" w:after="50"/>
              <w:jc w:val="right"/>
              <w:rPr>
                <w:rFonts w:cs="Calibri"/>
                <w:szCs w:val="16"/>
              </w:rPr>
            </w:pPr>
            <w:r w:rsidRPr="004543E0">
              <w:rPr>
                <w:rFonts w:cs="Calibri"/>
                <w:szCs w:val="16"/>
              </w:rPr>
              <w:t>48.5</w:t>
            </w:r>
          </w:p>
        </w:tc>
        <w:tc>
          <w:tcPr>
            <w:tcW w:w="856" w:type="dxa"/>
            <w:tcBorders>
              <w:top w:val="single" w:sz="4" w:space="0" w:color="44546A"/>
              <w:left w:val="nil"/>
              <w:bottom w:val="single" w:sz="4" w:space="0" w:color="44546A"/>
              <w:right w:val="nil"/>
            </w:tcBorders>
            <w:shd w:val="clear" w:color="auto" w:fill="auto"/>
            <w:vAlign w:val="center"/>
          </w:tcPr>
          <w:p w14:paraId="003CBD5E" w14:textId="77777777" w:rsidR="004543E0" w:rsidRPr="004543E0" w:rsidRDefault="004543E0" w:rsidP="007E3239">
            <w:pPr>
              <w:pStyle w:val="TableText"/>
              <w:spacing w:before="50" w:after="50"/>
              <w:jc w:val="right"/>
              <w:rPr>
                <w:rFonts w:cs="Calibri"/>
                <w:szCs w:val="16"/>
              </w:rPr>
            </w:pPr>
            <w:r w:rsidRPr="004543E0">
              <w:rPr>
                <w:rFonts w:cs="Calibri"/>
                <w:szCs w:val="16"/>
              </w:rPr>
              <w:t>50.5</w:t>
            </w:r>
          </w:p>
        </w:tc>
        <w:tc>
          <w:tcPr>
            <w:tcW w:w="857" w:type="dxa"/>
            <w:tcBorders>
              <w:top w:val="single" w:sz="4" w:space="0" w:color="44546A"/>
              <w:left w:val="nil"/>
              <w:bottom w:val="single" w:sz="4" w:space="0" w:color="44546A"/>
              <w:right w:val="nil"/>
            </w:tcBorders>
            <w:shd w:val="clear" w:color="auto" w:fill="auto"/>
            <w:vAlign w:val="center"/>
          </w:tcPr>
          <w:p w14:paraId="35397147" w14:textId="77777777" w:rsidR="004543E0" w:rsidRPr="004543E0" w:rsidRDefault="004543E0" w:rsidP="007E3239">
            <w:pPr>
              <w:pStyle w:val="TableText"/>
              <w:spacing w:before="50" w:after="50"/>
              <w:jc w:val="right"/>
              <w:rPr>
                <w:rFonts w:cs="Calibri"/>
                <w:szCs w:val="16"/>
              </w:rPr>
            </w:pPr>
            <w:r w:rsidRPr="004543E0">
              <w:rPr>
                <w:rFonts w:cs="Calibri"/>
                <w:szCs w:val="16"/>
              </w:rPr>
              <w:t>2.0</w:t>
            </w:r>
          </w:p>
        </w:tc>
        <w:tc>
          <w:tcPr>
            <w:tcW w:w="784" w:type="dxa"/>
            <w:tcBorders>
              <w:top w:val="single" w:sz="4" w:space="0" w:color="44546A"/>
              <w:left w:val="nil"/>
              <w:bottom w:val="single" w:sz="4" w:space="0" w:color="44546A"/>
              <w:right w:val="nil"/>
            </w:tcBorders>
            <w:shd w:val="clear" w:color="auto" w:fill="auto"/>
            <w:vAlign w:val="center"/>
          </w:tcPr>
          <w:p w14:paraId="77BB7820" w14:textId="77777777" w:rsidR="004543E0" w:rsidRPr="004543E0" w:rsidRDefault="004543E0" w:rsidP="007E3239">
            <w:pPr>
              <w:pStyle w:val="TableText"/>
              <w:spacing w:before="50" w:after="50"/>
              <w:jc w:val="right"/>
              <w:rPr>
                <w:rFonts w:cs="Calibri"/>
                <w:szCs w:val="16"/>
              </w:rPr>
            </w:pPr>
            <w:r w:rsidRPr="004543E0">
              <w:rPr>
                <w:rFonts w:cs="Calibri"/>
                <w:szCs w:val="16"/>
              </w:rPr>
              <w:t>4.2</w:t>
            </w:r>
          </w:p>
        </w:tc>
        <w:tc>
          <w:tcPr>
            <w:tcW w:w="852" w:type="dxa"/>
            <w:tcBorders>
              <w:top w:val="single" w:sz="4" w:space="0" w:color="44546A"/>
              <w:left w:val="nil"/>
              <w:bottom w:val="single" w:sz="4" w:space="0" w:color="44546A"/>
              <w:right w:val="nil"/>
            </w:tcBorders>
            <w:shd w:val="clear" w:color="auto" w:fill="auto"/>
            <w:vAlign w:val="center"/>
          </w:tcPr>
          <w:p w14:paraId="6DFC48DA" w14:textId="77777777" w:rsidR="004543E0" w:rsidRPr="004543E0" w:rsidRDefault="004543E0" w:rsidP="007E3239">
            <w:pPr>
              <w:pStyle w:val="TableText"/>
              <w:spacing w:before="50" w:after="50"/>
              <w:jc w:val="right"/>
              <w:rPr>
                <w:rFonts w:cs="Calibri"/>
                <w:szCs w:val="16"/>
              </w:rPr>
            </w:pPr>
            <w:r w:rsidRPr="004543E0">
              <w:rPr>
                <w:rFonts w:cs="Calibri"/>
                <w:szCs w:val="16"/>
              </w:rPr>
              <w:t>0.9</w:t>
            </w:r>
          </w:p>
        </w:tc>
        <w:tc>
          <w:tcPr>
            <w:tcW w:w="851" w:type="dxa"/>
            <w:tcBorders>
              <w:top w:val="single" w:sz="4" w:space="0" w:color="44546A"/>
              <w:left w:val="nil"/>
              <w:bottom w:val="single" w:sz="4" w:space="0" w:color="44546A"/>
              <w:right w:val="nil"/>
            </w:tcBorders>
            <w:shd w:val="clear" w:color="auto" w:fill="auto"/>
            <w:vAlign w:val="center"/>
          </w:tcPr>
          <w:p w14:paraId="0283BC53" w14:textId="77777777" w:rsidR="004543E0" w:rsidRPr="004543E0" w:rsidRDefault="004543E0" w:rsidP="007E3239">
            <w:pPr>
              <w:pStyle w:val="TableText"/>
              <w:spacing w:before="50" w:after="50"/>
              <w:jc w:val="right"/>
              <w:rPr>
                <w:rFonts w:cs="Calibri"/>
                <w:szCs w:val="16"/>
              </w:rPr>
            </w:pPr>
            <w:r w:rsidRPr="004543E0">
              <w:rPr>
                <w:rFonts w:cs="Calibri"/>
                <w:szCs w:val="16"/>
              </w:rPr>
              <w:t>0.6</w:t>
            </w:r>
          </w:p>
        </w:tc>
        <w:tc>
          <w:tcPr>
            <w:tcW w:w="852" w:type="dxa"/>
            <w:tcBorders>
              <w:top w:val="single" w:sz="4" w:space="0" w:color="44546A"/>
              <w:left w:val="nil"/>
              <w:bottom w:val="single" w:sz="4" w:space="0" w:color="44546A"/>
              <w:right w:val="nil"/>
            </w:tcBorders>
            <w:shd w:val="clear" w:color="auto" w:fill="auto"/>
            <w:vAlign w:val="center"/>
          </w:tcPr>
          <w:p w14:paraId="12DC69A3" w14:textId="77777777" w:rsidR="004543E0" w:rsidRPr="004543E0" w:rsidRDefault="004543E0" w:rsidP="007E3239">
            <w:pPr>
              <w:pStyle w:val="TableText"/>
              <w:spacing w:before="50" w:after="50"/>
              <w:jc w:val="right"/>
              <w:rPr>
                <w:rFonts w:cs="Calibri"/>
                <w:szCs w:val="16"/>
              </w:rPr>
            </w:pPr>
            <w:r w:rsidRPr="004543E0">
              <w:rPr>
                <w:rFonts w:cs="Calibri"/>
                <w:szCs w:val="16"/>
              </w:rPr>
              <w:t>0.1</w:t>
            </w:r>
          </w:p>
        </w:tc>
        <w:tc>
          <w:tcPr>
            <w:tcW w:w="851" w:type="dxa"/>
            <w:tcBorders>
              <w:top w:val="single" w:sz="4" w:space="0" w:color="44546A"/>
              <w:left w:val="nil"/>
              <w:bottom w:val="single" w:sz="4" w:space="0" w:color="44546A"/>
              <w:right w:val="nil"/>
            </w:tcBorders>
            <w:shd w:val="clear" w:color="auto" w:fill="auto"/>
            <w:vAlign w:val="center"/>
          </w:tcPr>
          <w:p w14:paraId="2CCD4F83" w14:textId="77777777" w:rsidR="004543E0" w:rsidRPr="004543E0" w:rsidRDefault="004543E0" w:rsidP="007E3239">
            <w:pPr>
              <w:pStyle w:val="TableText"/>
              <w:spacing w:before="50" w:after="50"/>
              <w:jc w:val="right"/>
              <w:rPr>
                <w:rFonts w:cs="Calibri"/>
                <w:szCs w:val="16"/>
              </w:rPr>
            </w:pPr>
            <w:r w:rsidRPr="004543E0">
              <w:rPr>
                <w:rFonts w:cs="Calibri"/>
                <w:szCs w:val="16"/>
              </w:rPr>
              <w:t>0.1</w:t>
            </w:r>
          </w:p>
        </w:tc>
      </w:tr>
      <w:tr w:rsidR="004543E0" w:rsidRPr="009660EC" w14:paraId="7A1D79DC" w14:textId="77777777" w:rsidTr="00D75334">
        <w:tc>
          <w:tcPr>
            <w:tcW w:w="1746" w:type="dxa"/>
            <w:tcBorders>
              <w:top w:val="nil"/>
              <w:left w:val="nil"/>
              <w:bottom w:val="single" w:sz="4" w:space="0" w:color="44546A"/>
            </w:tcBorders>
            <w:shd w:val="clear" w:color="auto" w:fill="auto"/>
          </w:tcPr>
          <w:p w14:paraId="74FD99D1" w14:textId="77777777" w:rsidR="004543E0" w:rsidRPr="009660EC" w:rsidRDefault="004543E0" w:rsidP="007E3239">
            <w:pPr>
              <w:pStyle w:val="TableText"/>
              <w:spacing w:before="50" w:after="50"/>
              <w:rPr>
                <w:rFonts w:cs="Calibri"/>
                <w:i/>
                <w:iCs/>
                <w:szCs w:val="16"/>
              </w:rPr>
            </w:pPr>
            <w:r w:rsidRPr="009660EC">
              <w:rPr>
                <w:rFonts w:cs="Calibri"/>
                <w:szCs w:val="16"/>
              </w:rPr>
              <w:t>Minor livestock</w:t>
            </w:r>
          </w:p>
        </w:tc>
        <w:tc>
          <w:tcPr>
            <w:tcW w:w="856" w:type="dxa"/>
            <w:tcBorders>
              <w:top w:val="single" w:sz="4" w:space="0" w:color="44546A"/>
              <w:left w:val="nil"/>
              <w:bottom w:val="single" w:sz="4" w:space="0" w:color="44546A"/>
              <w:right w:val="nil"/>
            </w:tcBorders>
            <w:shd w:val="clear" w:color="auto" w:fill="auto"/>
            <w:vAlign w:val="center"/>
          </w:tcPr>
          <w:p w14:paraId="4002E70E" w14:textId="77777777" w:rsidR="004543E0" w:rsidRPr="004543E0" w:rsidRDefault="004543E0" w:rsidP="007E3239">
            <w:pPr>
              <w:pStyle w:val="TableText"/>
              <w:spacing w:before="50" w:after="50"/>
              <w:jc w:val="right"/>
              <w:rPr>
                <w:rFonts w:cs="Calibri"/>
                <w:szCs w:val="16"/>
              </w:rPr>
            </w:pPr>
            <w:r w:rsidRPr="004543E0">
              <w:rPr>
                <w:rFonts w:cs="Calibri"/>
                <w:szCs w:val="16"/>
              </w:rPr>
              <w:t>80.8</w:t>
            </w:r>
          </w:p>
        </w:tc>
        <w:tc>
          <w:tcPr>
            <w:tcW w:w="856" w:type="dxa"/>
            <w:tcBorders>
              <w:top w:val="single" w:sz="4" w:space="0" w:color="44546A"/>
              <w:left w:val="nil"/>
              <w:bottom w:val="single" w:sz="4" w:space="0" w:color="44546A"/>
              <w:right w:val="nil"/>
            </w:tcBorders>
            <w:shd w:val="clear" w:color="auto" w:fill="auto"/>
            <w:vAlign w:val="center"/>
          </w:tcPr>
          <w:p w14:paraId="4A66CEF0" w14:textId="77777777" w:rsidR="004543E0" w:rsidRPr="004543E0" w:rsidRDefault="004543E0" w:rsidP="007E3239">
            <w:pPr>
              <w:pStyle w:val="TableText"/>
              <w:spacing w:before="50" w:after="50"/>
              <w:jc w:val="right"/>
              <w:rPr>
                <w:rFonts w:cs="Calibri"/>
                <w:szCs w:val="16"/>
              </w:rPr>
            </w:pPr>
            <w:r w:rsidRPr="004543E0">
              <w:rPr>
                <w:rFonts w:cs="Calibri"/>
                <w:szCs w:val="16"/>
              </w:rPr>
              <w:t>20.1</w:t>
            </w:r>
          </w:p>
        </w:tc>
        <w:tc>
          <w:tcPr>
            <w:tcW w:w="857" w:type="dxa"/>
            <w:tcBorders>
              <w:top w:val="single" w:sz="4" w:space="0" w:color="44546A"/>
              <w:left w:val="nil"/>
              <w:bottom w:val="single" w:sz="4" w:space="0" w:color="44546A"/>
              <w:right w:val="nil"/>
            </w:tcBorders>
            <w:shd w:val="clear" w:color="auto" w:fill="auto"/>
            <w:vAlign w:val="center"/>
          </w:tcPr>
          <w:p w14:paraId="651DB8A2" w14:textId="77777777" w:rsidR="004543E0" w:rsidRPr="004543E0" w:rsidRDefault="004543E0" w:rsidP="007E3239">
            <w:pPr>
              <w:pStyle w:val="TableText"/>
              <w:spacing w:before="50" w:after="50"/>
              <w:jc w:val="right"/>
              <w:rPr>
                <w:rFonts w:cs="Calibri"/>
                <w:szCs w:val="16"/>
              </w:rPr>
            </w:pPr>
            <w:r w:rsidRPr="004543E0">
              <w:rPr>
                <w:rFonts w:cs="Calibri"/>
                <w:szCs w:val="16"/>
              </w:rPr>
              <w:t>–60.7</w:t>
            </w:r>
          </w:p>
        </w:tc>
        <w:tc>
          <w:tcPr>
            <w:tcW w:w="784" w:type="dxa"/>
            <w:tcBorders>
              <w:top w:val="single" w:sz="4" w:space="0" w:color="44546A"/>
              <w:left w:val="nil"/>
              <w:bottom w:val="single" w:sz="4" w:space="0" w:color="44546A"/>
              <w:right w:val="nil"/>
            </w:tcBorders>
            <w:shd w:val="clear" w:color="auto" w:fill="auto"/>
            <w:vAlign w:val="center"/>
          </w:tcPr>
          <w:p w14:paraId="40410AD3" w14:textId="77777777" w:rsidR="004543E0" w:rsidRPr="004543E0" w:rsidRDefault="004543E0" w:rsidP="007E3239">
            <w:pPr>
              <w:pStyle w:val="TableText"/>
              <w:spacing w:before="50" w:after="50"/>
              <w:jc w:val="right"/>
              <w:rPr>
                <w:rFonts w:cs="Calibri"/>
                <w:szCs w:val="16"/>
              </w:rPr>
            </w:pPr>
            <w:r w:rsidRPr="004543E0">
              <w:rPr>
                <w:rFonts w:cs="Calibri"/>
                <w:szCs w:val="16"/>
              </w:rPr>
              <w:t>–75.1</w:t>
            </w:r>
          </w:p>
        </w:tc>
        <w:tc>
          <w:tcPr>
            <w:tcW w:w="852" w:type="dxa"/>
            <w:tcBorders>
              <w:top w:val="single" w:sz="4" w:space="0" w:color="44546A"/>
              <w:left w:val="nil"/>
              <w:bottom w:val="single" w:sz="4" w:space="0" w:color="44546A"/>
              <w:right w:val="nil"/>
            </w:tcBorders>
            <w:shd w:val="clear" w:color="auto" w:fill="auto"/>
            <w:vAlign w:val="center"/>
          </w:tcPr>
          <w:p w14:paraId="1A4910AE" w14:textId="77777777" w:rsidR="004543E0" w:rsidRPr="004543E0" w:rsidRDefault="004543E0" w:rsidP="007E3239">
            <w:pPr>
              <w:pStyle w:val="TableText"/>
              <w:spacing w:before="50" w:after="50"/>
              <w:jc w:val="right"/>
              <w:rPr>
                <w:rFonts w:cs="Calibri"/>
                <w:szCs w:val="16"/>
              </w:rPr>
            </w:pPr>
            <w:r w:rsidRPr="004543E0">
              <w:rPr>
                <w:rFonts w:cs="Calibri"/>
                <w:szCs w:val="16"/>
              </w:rPr>
              <w:t>1.5</w:t>
            </w:r>
          </w:p>
        </w:tc>
        <w:tc>
          <w:tcPr>
            <w:tcW w:w="851" w:type="dxa"/>
            <w:tcBorders>
              <w:top w:val="single" w:sz="4" w:space="0" w:color="44546A"/>
              <w:left w:val="nil"/>
              <w:bottom w:val="single" w:sz="4" w:space="0" w:color="44546A"/>
              <w:right w:val="nil"/>
            </w:tcBorders>
            <w:shd w:val="clear" w:color="auto" w:fill="auto"/>
            <w:vAlign w:val="center"/>
          </w:tcPr>
          <w:p w14:paraId="00119664" w14:textId="77777777" w:rsidR="004543E0" w:rsidRPr="004543E0" w:rsidRDefault="004543E0" w:rsidP="007E3239">
            <w:pPr>
              <w:pStyle w:val="TableText"/>
              <w:spacing w:before="50" w:after="50"/>
              <w:jc w:val="right"/>
              <w:rPr>
                <w:rFonts w:cs="Calibri"/>
                <w:szCs w:val="16"/>
              </w:rPr>
            </w:pPr>
            <w:r w:rsidRPr="004543E0">
              <w:rPr>
                <w:rFonts w:cs="Calibri"/>
                <w:szCs w:val="16"/>
              </w:rPr>
              <w:t>0.3</w:t>
            </w:r>
          </w:p>
        </w:tc>
        <w:tc>
          <w:tcPr>
            <w:tcW w:w="852" w:type="dxa"/>
            <w:tcBorders>
              <w:top w:val="single" w:sz="4" w:space="0" w:color="44546A"/>
              <w:left w:val="nil"/>
              <w:bottom w:val="single" w:sz="4" w:space="0" w:color="44546A"/>
              <w:right w:val="nil"/>
            </w:tcBorders>
            <w:shd w:val="clear" w:color="auto" w:fill="auto"/>
            <w:vAlign w:val="center"/>
          </w:tcPr>
          <w:p w14:paraId="3DC33021" w14:textId="77777777" w:rsidR="004543E0" w:rsidRPr="004543E0" w:rsidRDefault="004543E0" w:rsidP="007E3239">
            <w:pPr>
              <w:pStyle w:val="TableText"/>
              <w:spacing w:before="50" w:after="50"/>
              <w:jc w:val="right"/>
              <w:rPr>
                <w:rFonts w:cs="Calibri"/>
                <w:szCs w:val="16"/>
              </w:rPr>
            </w:pPr>
            <w:r w:rsidRPr="004543E0">
              <w:rPr>
                <w:rFonts w:cs="Calibri"/>
                <w:szCs w:val="16"/>
              </w:rPr>
              <w:t>0.2</w:t>
            </w:r>
          </w:p>
        </w:tc>
        <w:tc>
          <w:tcPr>
            <w:tcW w:w="851" w:type="dxa"/>
            <w:tcBorders>
              <w:top w:val="single" w:sz="4" w:space="0" w:color="44546A"/>
              <w:left w:val="nil"/>
              <w:bottom w:val="single" w:sz="4" w:space="0" w:color="44546A"/>
              <w:right w:val="nil"/>
            </w:tcBorders>
            <w:shd w:val="clear" w:color="auto" w:fill="auto"/>
            <w:vAlign w:val="center"/>
          </w:tcPr>
          <w:p w14:paraId="041A2581" w14:textId="77777777" w:rsidR="004543E0" w:rsidRPr="004543E0" w:rsidRDefault="004543E0" w:rsidP="007E3239">
            <w:pPr>
              <w:pStyle w:val="TableText"/>
              <w:spacing w:before="50" w:after="50"/>
              <w:jc w:val="right"/>
              <w:rPr>
                <w:rFonts w:cs="Calibri"/>
                <w:szCs w:val="16"/>
              </w:rPr>
            </w:pPr>
            <w:r w:rsidRPr="004543E0">
              <w:rPr>
                <w:rFonts w:cs="Calibri"/>
                <w:szCs w:val="16"/>
              </w:rPr>
              <w:t>0.1</w:t>
            </w:r>
          </w:p>
        </w:tc>
      </w:tr>
    </w:tbl>
    <w:p w14:paraId="57D8EF5F" w14:textId="77777777" w:rsidR="004543E0" w:rsidRPr="009660EC" w:rsidRDefault="004543E0" w:rsidP="004543E0">
      <w:pPr>
        <w:pStyle w:val="Noteundertable"/>
        <w:spacing w:before="160"/>
        <w:rPr>
          <w:rFonts w:cs="Calibri"/>
        </w:rPr>
      </w:pPr>
      <w:bookmarkStart w:id="1039" w:name="_Toc274046122"/>
      <w:bookmarkEnd w:id="1038"/>
      <w:r w:rsidRPr="009660EC">
        <w:rPr>
          <w:rFonts w:cs="Calibri"/>
          <w:b/>
          <w:bCs/>
        </w:rPr>
        <w:t>Note:</w:t>
      </w:r>
      <w:r w:rsidRPr="009660EC">
        <w:rPr>
          <w:rFonts w:cs="Calibri"/>
        </w:rPr>
        <w:tab/>
        <w:t>Percentages presented are calculated from unrounded values.</w:t>
      </w:r>
    </w:p>
    <w:p w14:paraId="3863F27E" w14:textId="77777777" w:rsidR="004543E0" w:rsidRPr="009660EC" w:rsidRDefault="004543E0" w:rsidP="004543E0">
      <w:pPr>
        <w:pStyle w:val="Heading5"/>
        <w:rPr>
          <w:rFonts w:cs="Calibri"/>
        </w:rPr>
      </w:pPr>
      <w:r w:rsidRPr="009660EC">
        <w:rPr>
          <w:rFonts w:cs="Calibri"/>
        </w:rPr>
        <w:t>Nitrous oxide from crop residue returned to soil</w:t>
      </w:r>
      <w:bookmarkEnd w:id="1039"/>
      <w:r w:rsidRPr="009660EC">
        <w:rPr>
          <w:rFonts w:cs="Calibri"/>
        </w:rPr>
        <w:t xml:space="preserve"> (CRF 3.D.1.4)</w:t>
      </w:r>
    </w:p>
    <w:p w14:paraId="6D5AA396" w14:textId="77777777" w:rsidR="004543E0" w:rsidRPr="009660EC" w:rsidDel="005621A7" w:rsidRDefault="004543E0" w:rsidP="004543E0">
      <w:pPr>
        <w:pStyle w:val="BodyText"/>
        <w:rPr>
          <w:rFonts w:cs="Calibri"/>
        </w:rPr>
      </w:pPr>
      <w:r w:rsidRPr="009660EC">
        <w:rPr>
          <w:rFonts w:cs="Calibri"/>
        </w:rPr>
        <w:t>This emissions category includes emissions from nitrogen added to soils by above-ground and below-ground crop residue (including residue left behind by crop burning), and the nitrogen added as a result of mineralisation of forages during pasture renewal. It includes both nitrogen-fixing and non-nitrogen-fixing crop species. Crop residues are materials left in an agricultural field after the crop has been harvested. Pasture renewal is the destruction of low</w:t>
      </w:r>
      <w:r w:rsidRPr="009660EC">
        <w:rPr>
          <w:rFonts w:cs="Calibri"/>
        </w:rPr>
        <w:noBreakHyphen/>
        <w:t xml:space="preserve">quality pasture followed by the sowing of improved pasture species and/or varieties. It is promoted as a method to increase farm productivity. The direct emissions from agricultural residue burning are reported in section 5.7. </w:t>
      </w:r>
    </w:p>
    <w:p w14:paraId="4942AD33" w14:textId="77777777" w:rsidR="004543E0" w:rsidRPr="009660EC" w:rsidRDefault="004543E0" w:rsidP="004543E0">
      <w:pPr>
        <w:pStyle w:val="BodyText"/>
        <w:spacing w:before="100"/>
        <w:rPr>
          <w:rFonts w:cs="Calibri"/>
        </w:rPr>
      </w:pPr>
      <w:r w:rsidRPr="009660EC">
        <w:rPr>
          <w:rFonts w:cs="Calibri"/>
        </w:rPr>
        <w:t>New Zealand does not include an adjustment for crop residue removed for feed and bedding, which is assumed to be minor by Thomas et al. (2008) until such a time that appropriate activity data become available.</w:t>
      </w:r>
    </w:p>
    <w:p w14:paraId="1DFB532C" w14:textId="77777777" w:rsidR="004543E0" w:rsidRPr="009660EC" w:rsidRDefault="004543E0" w:rsidP="004543E0">
      <w:pPr>
        <w:pStyle w:val="BodyText"/>
        <w:spacing w:before="100"/>
        <w:rPr>
          <w:rFonts w:cs="Calibri"/>
        </w:rPr>
      </w:pPr>
      <w:r w:rsidRPr="009660EC">
        <w:rPr>
          <w:rFonts w:cs="Calibri"/>
          <w:b/>
          <w:bCs/>
        </w:rPr>
        <w:t xml:space="preserve">Nitrogen from crop residue: </w:t>
      </w:r>
      <w:r w:rsidRPr="009660EC">
        <w:rPr>
          <w:rFonts w:cs="Calibri"/>
        </w:rPr>
        <w:t xml:space="preserve">The non-nitrogen-fixing crops grown in New Zealand are barley, </w:t>
      </w:r>
      <w:r w:rsidRPr="009660EC">
        <w:rPr>
          <w:rFonts w:cs="Calibri"/>
          <w:spacing w:val="-2"/>
        </w:rPr>
        <w:t>wheat, oats, potatoes, maize for seed, and other seed crops. For the 2012 submission onwards,</w:t>
      </w:r>
      <w:r w:rsidRPr="009660EC">
        <w:rPr>
          <w:rFonts w:cs="Calibri"/>
        </w:rPr>
        <w:t xml:space="preserve"> New Zealand has reported emissions from additional cropping activity not previously estimated, such as onions, squash and sweetcorn (Thomas et al., 2011). The nitrogen-fixing crops grown in New Zealand include peas grown for both processing and seed markets as well as lentil production, and forage legume seeds grown for pasture production.</w:t>
      </w:r>
    </w:p>
    <w:p w14:paraId="4DB28A10" w14:textId="77777777" w:rsidR="004543E0" w:rsidRPr="009660EC" w:rsidRDefault="004543E0" w:rsidP="004543E0">
      <w:pPr>
        <w:pStyle w:val="BodyText"/>
        <w:spacing w:after="80"/>
      </w:pPr>
      <w:r w:rsidRPr="009660EC">
        <w:t>A country-specific methodology is used to calculate emissions from crop residue (Thomas et al., 2008):</w:t>
      </w:r>
    </w:p>
    <w:bookmarkStart w:id="1040" w:name="_1640173609"/>
    <w:bookmarkEnd w:id="1040"/>
    <w:p w14:paraId="556761CD" w14:textId="77777777" w:rsidR="004543E0" w:rsidRPr="009660EC" w:rsidRDefault="004543E0" w:rsidP="004543E0">
      <w:pPr>
        <w:pStyle w:val="BodyText"/>
        <w:spacing w:before="80" w:after="60"/>
        <w:jc w:val="center"/>
        <w:rPr>
          <w:rFonts w:cs="Calibri"/>
        </w:rPr>
      </w:pPr>
      <w:r w:rsidRPr="009660EC">
        <w:rPr>
          <w:rFonts w:cs="Calibri"/>
        </w:rPr>
        <w:object w:dxaOrig="7196" w:dyaOrig="613" w14:anchorId="3129FA4F">
          <v:shape id="_x0000_i1098" type="#_x0000_t75" style="width:5in;height:28.45pt" o:ole="">
            <v:imagedata r:id="rId149" o:title="" cropbottom="10201f"/>
          </v:shape>
          <o:OLEObject Type="Embed" ProgID="Word.Document.12" ShapeID="_x0000_i1098" DrawAspect="Content" ObjectID="_1710830399" r:id="rId150">
            <o:FieldCodes>\s</o:FieldCodes>
          </o:OLEObject>
        </w:object>
      </w:r>
    </w:p>
    <w:p w14:paraId="7A1FD514" w14:textId="77777777" w:rsidR="004543E0" w:rsidRPr="009660EC" w:rsidRDefault="004543E0" w:rsidP="004543E0">
      <w:pPr>
        <w:pStyle w:val="BodyText"/>
        <w:spacing w:before="80" w:after="80"/>
        <w:ind w:left="964" w:hanging="964"/>
      </w:pPr>
      <w:r w:rsidRPr="009660EC">
        <w:t>Where:</w:t>
      </w:r>
      <w:r w:rsidRPr="009660EC">
        <w:tab/>
        <w:t>AG</w:t>
      </w:r>
      <w:r w:rsidRPr="009660EC">
        <w:rPr>
          <w:vertAlign w:val="subscript"/>
        </w:rPr>
        <w:t>N</w:t>
      </w:r>
      <w:r w:rsidRPr="009660EC">
        <w:t xml:space="preserve"> and BG</w:t>
      </w:r>
      <w:r w:rsidRPr="009660EC">
        <w:rPr>
          <w:vertAlign w:val="subscript"/>
        </w:rPr>
        <w:t>N</w:t>
      </w:r>
      <w:r w:rsidRPr="009660EC">
        <w:t xml:space="preserve"> are the annual nitrogen residue returned to soils from above- and below-ground crop residue, and crop-specific values are given in annex 3, table A3.1.8, and the country-specific value of EF</w:t>
      </w:r>
      <w:r w:rsidRPr="009660EC">
        <w:rPr>
          <w:vertAlign w:val="subscript"/>
        </w:rPr>
        <w:t>1</w:t>
      </w:r>
      <w:r w:rsidRPr="009660EC">
        <w:t xml:space="preserve"> of 0.01 is used (see table 5.5.2).</w:t>
      </w:r>
    </w:p>
    <w:bookmarkStart w:id="1041" w:name="_MON_1552215074"/>
    <w:bookmarkEnd w:id="1041"/>
    <w:p w14:paraId="323E57C7" w14:textId="77777777" w:rsidR="004543E0" w:rsidRPr="009660EC" w:rsidRDefault="004543E0" w:rsidP="004543E0">
      <w:pPr>
        <w:pStyle w:val="BodyText"/>
        <w:spacing w:before="80" w:after="0"/>
        <w:jc w:val="center"/>
        <w:rPr>
          <w:rFonts w:cs="Calibri"/>
        </w:rPr>
      </w:pPr>
      <w:r w:rsidRPr="009660EC">
        <w:rPr>
          <w:rFonts w:cs="Calibri"/>
        </w:rPr>
        <w:object w:dxaOrig="8201" w:dyaOrig="801" w14:anchorId="32747414">
          <v:shape id="_x0000_i1099" type="#_x0000_t75" style="width:400.2pt;height:43.55pt" o:ole="">
            <v:imagedata r:id="rId151" o:title="" cropleft="4520f" cropright="2002f"/>
          </v:shape>
          <o:OLEObject Type="Embed" ProgID="Word.Document.12" ShapeID="_x0000_i1099" DrawAspect="Content" ObjectID="_1710830400" r:id="rId152">
            <o:FieldCodes>\s</o:FieldCodes>
          </o:OLEObject>
        </w:object>
      </w:r>
    </w:p>
    <w:p w14:paraId="1CBA3C58" w14:textId="77777777" w:rsidR="004543E0" w:rsidRPr="009660EC" w:rsidRDefault="004543E0" w:rsidP="004543E0">
      <w:pPr>
        <w:pStyle w:val="BodyText"/>
        <w:spacing w:before="60" w:after="40"/>
        <w:ind w:left="964" w:hanging="964"/>
      </w:pPr>
      <w:r w:rsidRPr="009660EC">
        <w:t>Where:</w:t>
      </w:r>
      <w:r w:rsidRPr="009660EC">
        <w:tab/>
        <w:t>AG</w:t>
      </w:r>
      <w:r w:rsidRPr="009660EC">
        <w:rPr>
          <w:vertAlign w:val="subscript"/>
        </w:rPr>
        <w:t>DM</w:t>
      </w:r>
      <w:r w:rsidRPr="009660EC">
        <w:t xml:space="preserve"> is the mass of the above-ground residue dry matter (explained in the equation below)</w:t>
      </w:r>
    </w:p>
    <w:p w14:paraId="2FA9C7A6" w14:textId="77777777" w:rsidR="004543E0" w:rsidRPr="009660EC" w:rsidRDefault="004543E0" w:rsidP="004543E0">
      <w:pPr>
        <w:pStyle w:val="BodyText"/>
        <w:spacing w:before="60" w:after="40"/>
        <w:ind w:left="964" w:hanging="964"/>
      </w:pPr>
      <w:r w:rsidRPr="009660EC">
        <w:tab/>
        <w:t>Crop</w:t>
      </w:r>
      <w:r w:rsidRPr="009660EC">
        <w:rPr>
          <w:vertAlign w:val="subscript"/>
        </w:rPr>
        <w:t>T</w:t>
      </w:r>
      <w:r w:rsidRPr="009660EC">
        <w:t xml:space="preserve"> is the crop yield, or mass, removed during harvest</w:t>
      </w:r>
    </w:p>
    <w:p w14:paraId="1F5CF051" w14:textId="77777777" w:rsidR="004543E0" w:rsidRPr="009660EC" w:rsidRDefault="004543E0" w:rsidP="004543E0">
      <w:pPr>
        <w:pStyle w:val="BodyText"/>
        <w:spacing w:before="60" w:after="40"/>
        <w:ind w:left="964" w:hanging="964"/>
      </w:pPr>
      <w:r w:rsidRPr="009660EC">
        <w:tab/>
        <w:t>N</w:t>
      </w:r>
      <w:r w:rsidRPr="009660EC">
        <w:rPr>
          <w:vertAlign w:val="subscript"/>
        </w:rPr>
        <w:t>AG</w:t>
      </w:r>
      <w:r w:rsidRPr="009660EC">
        <w:t xml:space="preserve"> and N</w:t>
      </w:r>
      <w:r w:rsidRPr="009660EC">
        <w:rPr>
          <w:vertAlign w:val="subscript"/>
        </w:rPr>
        <w:t>BG</w:t>
      </w:r>
      <w:r w:rsidRPr="009660EC">
        <w:t xml:space="preserve"> are the above- and below-ground crop-specific nitrogen concentration factors, and</w:t>
      </w:r>
    </w:p>
    <w:p w14:paraId="4B7C1211" w14:textId="77777777" w:rsidR="004543E0" w:rsidRPr="009660EC" w:rsidRDefault="004543E0" w:rsidP="004543E0">
      <w:pPr>
        <w:pStyle w:val="BodyText"/>
        <w:spacing w:before="60"/>
        <w:ind w:left="964" w:hanging="964"/>
      </w:pPr>
      <w:r w:rsidRPr="009660EC">
        <w:lastRenderedPageBreak/>
        <w:tab/>
        <w:t>R</w:t>
      </w:r>
      <w:r w:rsidRPr="009660EC">
        <w:rPr>
          <w:vertAlign w:val="subscript"/>
        </w:rPr>
        <w:t>BG</w:t>
      </w:r>
      <w:r w:rsidRPr="009660EC">
        <w:t xml:space="preserve"> is the crop-specific root:shoot ratio of below-ground dry matter against the total above-ground crop biomass (crop gathered, Crop</w:t>
      </w:r>
      <w:r w:rsidRPr="009660EC">
        <w:rPr>
          <w:vertAlign w:val="subscript"/>
        </w:rPr>
        <w:t>T</w:t>
      </w:r>
      <w:r w:rsidRPr="009660EC">
        <w:t>, plus above-ground residue dry matter, AG</w:t>
      </w:r>
      <w:r w:rsidRPr="009660EC">
        <w:rPr>
          <w:vertAlign w:val="subscript"/>
        </w:rPr>
        <w:t>DM</w:t>
      </w:r>
      <w:r w:rsidRPr="009660EC">
        <w:t>), 0.1 (see annex 3, table A3.1.8).</w:t>
      </w:r>
    </w:p>
    <w:bookmarkStart w:id="1042" w:name="_MON_1644047455"/>
    <w:bookmarkEnd w:id="1042"/>
    <w:p w14:paraId="71CDEA51" w14:textId="77777777" w:rsidR="004543E0" w:rsidRPr="009660EC" w:rsidRDefault="004543E0" w:rsidP="004543E0">
      <w:pPr>
        <w:pStyle w:val="BodyText"/>
        <w:spacing w:before="60" w:after="60"/>
        <w:jc w:val="center"/>
        <w:rPr>
          <w:rFonts w:cs="Calibri"/>
        </w:rPr>
      </w:pPr>
      <w:r w:rsidRPr="009660EC">
        <w:rPr>
          <w:rFonts w:cs="Calibri"/>
        </w:rPr>
        <w:object w:dxaOrig="6341" w:dyaOrig="502" w14:anchorId="3895F2C4">
          <v:shape id="_x0000_i1100" type="#_x0000_t75" style="width:316.45pt;height:28.45pt" o:ole="">
            <v:imagedata r:id="rId153" o:title=""/>
          </v:shape>
          <o:OLEObject Type="Embed" ProgID="Word.Document.12" ShapeID="_x0000_i1100" DrawAspect="Content" ObjectID="_1710830401" r:id="rId154">
            <o:FieldCodes>\s</o:FieldCodes>
          </o:OLEObject>
        </w:object>
      </w:r>
    </w:p>
    <w:p w14:paraId="03A324F5" w14:textId="77777777" w:rsidR="004543E0" w:rsidRPr="009660EC" w:rsidRDefault="004543E0" w:rsidP="004543E0">
      <w:pPr>
        <w:pStyle w:val="BodyText"/>
        <w:spacing w:after="60"/>
        <w:ind w:left="964" w:hanging="964"/>
      </w:pPr>
      <w:r w:rsidRPr="009660EC">
        <w:t>Where:</w:t>
      </w:r>
      <w:r w:rsidRPr="009660EC">
        <w:tab/>
        <w:t>HI is the crop-specific harvest index or fraction of the crop that is harvested (see annex 3, table A3.1.8)</w:t>
      </w:r>
    </w:p>
    <w:p w14:paraId="24CD847A" w14:textId="77777777" w:rsidR="004543E0" w:rsidRPr="009660EC" w:rsidRDefault="004543E0" w:rsidP="004543E0">
      <w:pPr>
        <w:pStyle w:val="BodyText"/>
        <w:spacing w:before="60" w:after="60"/>
        <w:ind w:left="964" w:hanging="964"/>
      </w:pPr>
      <w:r w:rsidRPr="009660EC">
        <w:tab/>
        <w:t>Frac</w:t>
      </w:r>
      <w:r w:rsidRPr="009660EC">
        <w:rPr>
          <w:vertAlign w:val="subscript"/>
        </w:rPr>
        <w:t>BURN</w:t>
      </w:r>
      <w:r w:rsidRPr="009660EC">
        <w:t xml:space="preserve"> is the fraction of residue burned in the field (see table 5.5.4), and</w:t>
      </w:r>
    </w:p>
    <w:p w14:paraId="7B5FFC02" w14:textId="77777777" w:rsidR="004543E0" w:rsidRPr="009660EC" w:rsidRDefault="004543E0" w:rsidP="004543E0">
      <w:pPr>
        <w:pStyle w:val="BodyText"/>
        <w:spacing w:before="60" w:after="60"/>
        <w:ind w:left="964" w:hanging="964"/>
      </w:pPr>
      <w:r w:rsidRPr="009660EC">
        <w:tab/>
        <w:t>C</w:t>
      </w:r>
      <w:r w:rsidRPr="009660EC">
        <w:rPr>
          <w:vertAlign w:val="subscript"/>
        </w:rPr>
        <w:t>f</w:t>
      </w:r>
      <w:r w:rsidRPr="009660EC">
        <w:t xml:space="preserve"> is the combustion factor; a value of 0.7 is recommended (Thomas et al., 2008).</w:t>
      </w:r>
    </w:p>
    <w:p w14:paraId="2C53C1B4" w14:textId="77777777" w:rsidR="004543E0" w:rsidRPr="009660EC" w:rsidRDefault="004543E0" w:rsidP="004543E0">
      <w:pPr>
        <w:pStyle w:val="BodyText"/>
      </w:pPr>
      <w:r w:rsidRPr="009660EC">
        <w:t>The country-specific value for Frac</w:t>
      </w:r>
      <w:r w:rsidRPr="009660EC">
        <w:rPr>
          <w:vertAlign w:val="subscript"/>
        </w:rPr>
        <w:t>BURN</w:t>
      </w:r>
      <w:r w:rsidRPr="009660EC">
        <w:t>, the fraction of residue burned in the field, was derived from Stats NZ data and farmer surveys (Thomas et al., 2011). The parameters used to estimate the nitrogen added by above- and below-ground crop residues were compiled from published and unpublished reports for New Zealand-grown crops (Cichota et al., 2010) and ‘typical’ values derived for use in the OVERSEER</w:t>
      </w:r>
      <w:r w:rsidRPr="009660EC">
        <w:rPr>
          <w:vertAlign w:val="superscript"/>
        </w:rPr>
        <w:t>®</w:t>
      </w:r>
      <w:r w:rsidRPr="009660EC">
        <w:t xml:space="preserve"> nutrient budget model for New Zealand. The OVERSEER</w:t>
      </w:r>
      <w:r w:rsidRPr="009660EC">
        <w:rPr>
          <w:vertAlign w:val="superscript"/>
        </w:rPr>
        <w:t>®</w:t>
      </w:r>
      <w:r w:rsidRPr="009660EC">
        <w:t xml:space="preserve"> model provides average estimates of the fate of nitrogen for a range of pastoral, arable and horticultural systems (www.overseer.org.nz). </w:t>
      </w:r>
    </w:p>
    <w:p w14:paraId="243ADC4D" w14:textId="77777777" w:rsidR="004543E0" w:rsidRPr="009660EC" w:rsidRDefault="004543E0" w:rsidP="004543E0">
      <w:pPr>
        <w:pStyle w:val="BodyText"/>
      </w:pPr>
      <w:r w:rsidRPr="009660EC">
        <w:t xml:space="preserve">The per-year harvested tonnage of most non-nitrogen-fixing crops in New Zealand is supplied by Stats NZ from its Agricultural Production census and survey. Additional information on potatoes is provided by Potatoes New Zealand, and updated information on seed crops is provided by AsureQuality, which provides verification and certification services for the seed industry (Thomas, unpublished; S Thomas, pers. comm., 2014). The tonnage of nitrogen-fixing crops is supplied by Stats NZ from its Agricultural Production census and survey (lentils and legumes) and Horticulture New Zealand (peas) (S Thomas, pers. comm., 2014). </w:t>
      </w:r>
    </w:p>
    <w:p w14:paraId="01223B83" w14:textId="77777777" w:rsidR="004543E0" w:rsidRPr="009660EC" w:rsidRDefault="004543E0" w:rsidP="004543E0">
      <w:pPr>
        <w:pStyle w:val="BodyText"/>
        <w:rPr>
          <w:rFonts w:cs="Calibri"/>
          <w:spacing w:val="-2"/>
        </w:rPr>
      </w:pPr>
      <w:r w:rsidRPr="009660EC">
        <w:rPr>
          <w:rFonts w:cs="Calibri"/>
          <w:b/>
          <w:bCs/>
          <w:spacing w:val="-2"/>
        </w:rPr>
        <w:t xml:space="preserve">Nitrogen from pasture renewal: </w:t>
      </w:r>
      <w:r w:rsidRPr="009660EC">
        <w:rPr>
          <w:rFonts w:cs="Calibri"/>
          <w:spacing w:val="-2"/>
        </w:rPr>
        <w:t>Of the four categories of perennial forage that the IPCC (2006) lists for pasture renewal, only two categories are appropriate for New Zealand (Thomas et al., 2014): these are grass–clover pastures and lucerne, a nitrogen-fixing perennial forage. New Zealand has calculated emissions from pasture renewal per plant species type, T, separately:</w:t>
      </w:r>
    </w:p>
    <w:bookmarkStart w:id="1043" w:name="_MON_1576650483"/>
    <w:bookmarkEnd w:id="1043"/>
    <w:p w14:paraId="1951B349" w14:textId="77777777" w:rsidR="004543E0" w:rsidRPr="009660EC" w:rsidRDefault="004543E0" w:rsidP="004543E0">
      <w:pPr>
        <w:pStyle w:val="BodyText"/>
        <w:spacing w:before="60" w:after="0"/>
      </w:pPr>
      <w:r w:rsidRPr="009660EC">
        <w:object w:dxaOrig="8471" w:dyaOrig="796" w14:anchorId="6B8F1853">
          <v:shape id="_x0000_i1101" type="#_x0000_t75" style="width:425.3pt;height:43.55pt" o:ole="">
            <v:imagedata r:id="rId155" o:title="" cropright="6217f"/>
          </v:shape>
          <o:OLEObject Type="Embed" ProgID="Word.Document.12" ShapeID="_x0000_i1101" DrawAspect="Content" ObjectID="_1710830402" r:id="rId156">
            <o:FieldCodes>\s</o:FieldCodes>
          </o:OLEObject>
        </w:object>
      </w:r>
    </w:p>
    <w:p w14:paraId="6E57AED1" w14:textId="77777777" w:rsidR="004543E0" w:rsidRPr="009660EC" w:rsidRDefault="004543E0" w:rsidP="004543E0">
      <w:pPr>
        <w:pStyle w:val="BodyText"/>
        <w:spacing w:after="40"/>
        <w:ind w:left="964" w:hanging="964"/>
      </w:pPr>
      <w:r w:rsidRPr="009660EC">
        <w:t>Where:</w:t>
      </w:r>
      <w:r w:rsidRPr="009660EC">
        <w:tab/>
        <w:t>Area</w:t>
      </w:r>
      <w:r w:rsidRPr="009660EC">
        <w:rPr>
          <w:vertAlign w:val="subscript"/>
        </w:rPr>
        <w:t>T</w:t>
      </w:r>
      <w:r w:rsidRPr="009660EC">
        <w:t xml:space="preserve"> is the total annual area harvested (hectares per year). No burning is used for pasture renewal in New Zealand</w:t>
      </w:r>
    </w:p>
    <w:p w14:paraId="34DA6F37" w14:textId="77777777" w:rsidR="004543E0" w:rsidRPr="009660EC" w:rsidRDefault="004543E0" w:rsidP="004543E0">
      <w:pPr>
        <w:pStyle w:val="BodyText"/>
        <w:spacing w:before="60" w:after="40"/>
        <w:ind w:left="964" w:hanging="964"/>
      </w:pPr>
      <w:r w:rsidRPr="009660EC">
        <w:tab/>
        <w:t>Frac</w:t>
      </w:r>
      <w:r w:rsidRPr="009660EC">
        <w:rPr>
          <w:vertAlign w:val="subscript"/>
        </w:rPr>
        <w:t>RENEW(T)</w:t>
      </w:r>
      <w:r w:rsidRPr="009660EC">
        <w:t xml:space="preserve"> is the fraction of the area under each crop that is renewed</w:t>
      </w:r>
    </w:p>
    <w:p w14:paraId="3AE966C6" w14:textId="77777777" w:rsidR="004543E0" w:rsidRPr="009660EC" w:rsidRDefault="004543E0" w:rsidP="004543E0">
      <w:pPr>
        <w:pStyle w:val="BodyText"/>
        <w:spacing w:before="60" w:after="40"/>
        <w:ind w:left="964" w:hanging="964"/>
      </w:pPr>
      <w:r w:rsidRPr="009660EC">
        <w:tab/>
        <w:t>R</w:t>
      </w:r>
      <w:r w:rsidRPr="009660EC">
        <w:rPr>
          <w:vertAlign w:val="subscript"/>
        </w:rPr>
        <w:t>AG(T)</w:t>
      </w:r>
      <w:r w:rsidRPr="009660EC">
        <w:t xml:space="preserve"> is the ratio of above-ground residue dry matter (DM) to harvested yield (kg N/kg DM)</w:t>
      </w:r>
    </w:p>
    <w:p w14:paraId="271892F2" w14:textId="77777777" w:rsidR="004543E0" w:rsidRPr="009660EC" w:rsidRDefault="004543E0" w:rsidP="004543E0">
      <w:pPr>
        <w:pStyle w:val="BodyText"/>
        <w:spacing w:before="60" w:after="40"/>
        <w:ind w:left="964" w:hanging="964"/>
      </w:pPr>
      <w:r w:rsidRPr="009660EC">
        <w:tab/>
        <w:t>N</w:t>
      </w:r>
      <w:r w:rsidRPr="009660EC">
        <w:rPr>
          <w:vertAlign w:val="subscript"/>
        </w:rPr>
        <w:t>AG(T)</w:t>
      </w:r>
      <w:r w:rsidRPr="009660EC">
        <w:t xml:space="preserve"> is the nitrogen content of above-ground residue (kg N/kg DM)</w:t>
      </w:r>
    </w:p>
    <w:p w14:paraId="74CA1FA8" w14:textId="77777777" w:rsidR="004543E0" w:rsidRPr="009660EC" w:rsidRDefault="004543E0" w:rsidP="004543E0">
      <w:pPr>
        <w:pStyle w:val="BodyText"/>
        <w:spacing w:before="60" w:after="40"/>
        <w:ind w:left="964" w:hanging="964"/>
      </w:pPr>
      <w:r w:rsidRPr="009660EC">
        <w:tab/>
        <w:t>Frac</w:t>
      </w:r>
      <w:r w:rsidRPr="009660EC">
        <w:rPr>
          <w:vertAlign w:val="subscript"/>
        </w:rPr>
        <w:t>REMOVE (T)</w:t>
      </w:r>
      <w:r w:rsidRPr="009660EC">
        <w:t xml:space="preserve"> is the fraction of above-ground residue removed annually for feed, assumed zero for New Zealand</w:t>
      </w:r>
    </w:p>
    <w:p w14:paraId="092D76C2" w14:textId="77777777" w:rsidR="004543E0" w:rsidRPr="009660EC" w:rsidRDefault="004543E0" w:rsidP="004543E0">
      <w:pPr>
        <w:pStyle w:val="BodyText"/>
        <w:spacing w:before="60" w:after="40"/>
        <w:ind w:left="964" w:hanging="964"/>
      </w:pPr>
      <w:r w:rsidRPr="009660EC">
        <w:tab/>
        <w:t>R</w:t>
      </w:r>
      <w:r w:rsidRPr="009660EC">
        <w:rPr>
          <w:vertAlign w:val="subscript"/>
        </w:rPr>
        <w:t>BG(T)</w:t>
      </w:r>
      <w:r w:rsidRPr="009660EC">
        <w:t xml:space="preserve"> is the ratio of below-ground residue DM to harvest yield (kg N/kg DM), and</w:t>
      </w:r>
    </w:p>
    <w:p w14:paraId="3031945E" w14:textId="77777777" w:rsidR="004543E0" w:rsidRPr="009660EC" w:rsidRDefault="004543E0" w:rsidP="004543E0">
      <w:pPr>
        <w:pStyle w:val="BodyText"/>
        <w:spacing w:before="60"/>
        <w:ind w:left="964" w:hanging="964"/>
      </w:pPr>
      <w:r w:rsidRPr="009660EC">
        <w:tab/>
        <w:t>N</w:t>
      </w:r>
      <w:r w:rsidRPr="009660EC">
        <w:rPr>
          <w:vertAlign w:val="subscript"/>
        </w:rPr>
        <w:t>BG(T)</w:t>
      </w:r>
      <w:r w:rsidRPr="009660EC">
        <w:t xml:space="preserve"> is the nitrogen content of below-ground residue (kg N/kg DM).</w:t>
      </w:r>
    </w:p>
    <w:p w14:paraId="7915B436" w14:textId="77777777" w:rsidR="004543E0" w:rsidRPr="009660EC" w:rsidRDefault="004543E0" w:rsidP="004543E0">
      <w:pPr>
        <w:pStyle w:val="BodyText"/>
        <w:rPr>
          <w:rFonts w:cs="Calibri"/>
        </w:rPr>
      </w:pPr>
      <w:r w:rsidRPr="009660EC">
        <w:rPr>
          <w:rFonts w:cs="Calibri"/>
        </w:rPr>
        <w:t>The areas for each perennial forage crop were obtained from the Stats NZ Agricultural Production census a</w:t>
      </w:r>
      <w:r w:rsidRPr="009660EC">
        <w:rPr>
          <w:rStyle w:val="BodyTextChar"/>
          <w:rFonts w:cs="Calibri"/>
        </w:rPr>
        <w:t>n</w:t>
      </w:r>
      <w:r w:rsidRPr="009660EC">
        <w:rPr>
          <w:rFonts w:cs="Calibri"/>
        </w:rPr>
        <w:t xml:space="preserve">d survey, which include the area of grassland and annual crops from 1990 to 2020. The disaggregation of grass–clover systems has been considered, but there </w:t>
      </w:r>
      <w:r w:rsidRPr="009660EC">
        <w:rPr>
          <w:rFonts w:cs="Calibri"/>
        </w:rPr>
        <w:lastRenderedPageBreak/>
        <w:t>is insufficient activity data for pastures of different compositions in New Zealand because the proportion of clover varies widely in high nitrogen input systems. This means that disaggregated data on the nitrogen content are not presently available.</w:t>
      </w:r>
    </w:p>
    <w:p w14:paraId="50AF6231" w14:textId="77777777" w:rsidR="004543E0" w:rsidRPr="009660EC" w:rsidRDefault="004543E0" w:rsidP="004543E0">
      <w:pPr>
        <w:pStyle w:val="BodyText"/>
        <w:rPr>
          <w:rFonts w:cs="Calibri"/>
        </w:rPr>
      </w:pPr>
      <w:r w:rsidRPr="009660EC">
        <w:rPr>
          <w:rFonts w:cs="Calibri"/>
        </w:rPr>
        <w:t>The contribution of crop residues and pasture renewal to overall agricultural emissions is small, with 175.5 kt CO</w:t>
      </w:r>
      <w:r w:rsidRPr="009660EC">
        <w:rPr>
          <w:rFonts w:cs="Calibri"/>
          <w:vertAlign w:val="subscript"/>
        </w:rPr>
        <w:t>2</w:t>
      </w:r>
      <w:r w:rsidRPr="009660EC">
        <w:rPr>
          <w:rFonts w:cs="Calibri"/>
        </w:rPr>
        <w:t>-e (0.5 per cent of total agricultural emissions) in 1990 and 258.6 kt CO</w:t>
      </w:r>
      <w:r w:rsidRPr="009660EC">
        <w:rPr>
          <w:rFonts w:cs="Calibri"/>
          <w:vertAlign w:val="subscript"/>
        </w:rPr>
        <w:t>2</w:t>
      </w:r>
      <w:r w:rsidRPr="009660EC">
        <w:rPr>
          <w:rFonts w:cs="Calibri"/>
        </w:rPr>
        <w:noBreakHyphen/>
        <w:t>e (0.7 per cent of total agricultural emissions) in 2020.</w:t>
      </w:r>
    </w:p>
    <w:p w14:paraId="7356E543" w14:textId="77777777" w:rsidR="004543E0" w:rsidRPr="009660EC" w:rsidRDefault="004543E0" w:rsidP="004543E0">
      <w:pPr>
        <w:pStyle w:val="Heading5"/>
        <w:rPr>
          <w:rFonts w:cs="Calibri"/>
        </w:rPr>
      </w:pPr>
      <w:r w:rsidRPr="009660EC">
        <w:rPr>
          <w:rFonts w:cs="Calibri"/>
        </w:rPr>
        <w:t>Nitrogen mineralisation from loss of soil organic matter in mineral soils (CRF 3.D.1.5)</w:t>
      </w:r>
    </w:p>
    <w:p w14:paraId="67A63805" w14:textId="77777777" w:rsidR="004543E0" w:rsidRPr="009660EC" w:rsidRDefault="004543E0" w:rsidP="004543E0">
      <w:pPr>
        <w:pStyle w:val="BodyText"/>
        <w:rPr>
          <w:rFonts w:cs="Calibri"/>
        </w:rPr>
      </w:pPr>
      <w:r w:rsidRPr="009660EC">
        <w:rPr>
          <w:rFonts w:cs="Calibri"/>
        </w:rPr>
        <w:t>Nitrogen mineralisation is the process by which organic nitrogen is converted to plant-available inorganic forms. Nitrogen mineralisation occurs when soil carbon is lost due to land</w:t>
      </w:r>
      <w:r w:rsidRPr="009660EC">
        <w:rPr>
          <w:rFonts w:cs="Calibri"/>
        </w:rPr>
        <w:noBreakHyphen/>
        <w:t xml:space="preserve">use or management change. Most of New Zealand’s emissions from nitrogen mineralised during the loss of soil organic matter are covered under the LULUCF sector. The exception is for activities under the </w:t>
      </w:r>
      <w:r w:rsidRPr="009660EC">
        <w:rPr>
          <w:rFonts w:cs="Calibri"/>
          <w:i/>
          <w:iCs/>
        </w:rPr>
        <w:t>Cropland remaining cropland</w:t>
      </w:r>
      <w:r w:rsidRPr="009660EC">
        <w:rPr>
          <w:rFonts w:cs="Calibri"/>
        </w:rPr>
        <w:t xml:space="preserve"> land-use category, which are reported under the Agriculture sector (IPCC, 2006). </w:t>
      </w:r>
    </w:p>
    <w:p w14:paraId="6EBFFB3E" w14:textId="77777777" w:rsidR="004543E0" w:rsidRPr="009660EC" w:rsidRDefault="004543E0" w:rsidP="004543E0">
      <w:pPr>
        <w:pStyle w:val="BodyText"/>
        <w:spacing w:after="60"/>
        <w:rPr>
          <w:rFonts w:cs="Calibri"/>
        </w:rPr>
      </w:pPr>
      <w:r w:rsidRPr="009660EC">
        <w:rPr>
          <w:rFonts w:cs="Calibri"/>
        </w:rPr>
        <w:t>The following equations are used to determine emissions from this activity:</w:t>
      </w:r>
    </w:p>
    <w:p w14:paraId="56167B26" w14:textId="77777777" w:rsidR="004543E0" w:rsidRPr="009660EC" w:rsidRDefault="004543E0" w:rsidP="004543E0">
      <w:pPr>
        <w:pStyle w:val="BodyText"/>
        <w:spacing w:before="20" w:after="20"/>
        <w:jc w:val="center"/>
        <w:rPr>
          <w:rFonts w:cs="Calibri"/>
        </w:rPr>
      </w:pPr>
      <w:r w:rsidRPr="009660EC">
        <w:rPr>
          <w:rFonts w:cs="Calibri"/>
        </w:rPr>
        <w:object w:dxaOrig="6221" w:dyaOrig="501" w14:anchorId="6BA52129">
          <v:shape id="_x0000_i1102" type="#_x0000_t75" style="width:309.75pt;height:28.45pt" o:ole="">
            <v:imagedata r:id="rId157" o:title=""/>
          </v:shape>
          <o:OLEObject Type="Embed" ProgID="Word.Document.12" ShapeID="_x0000_i1102" DrawAspect="Content" ObjectID="_1710830403" r:id="rId158">
            <o:FieldCodes>\s</o:FieldCodes>
          </o:OLEObject>
        </w:object>
      </w:r>
    </w:p>
    <w:p w14:paraId="377F43F0" w14:textId="77777777" w:rsidR="004543E0" w:rsidRPr="009660EC" w:rsidRDefault="004543E0" w:rsidP="004543E0">
      <w:pPr>
        <w:pStyle w:val="BodyText"/>
        <w:spacing w:after="40"/>
        <w:ind w:left="964" w:hanging="964"/>
        <w:rPr>
          <w:rFonts w:cs="Calibri"/>
        </w:rPr>
      </w:pPr>
      <w:r w:rsidRPr="009660EC">
        <w:rPr>
          <w:rFonts w:cs="Calibri"/>
        </w:rPr>
        <w:t>Where:</w:t>
      </w:r>
      <w:r w:rsidRPr="009660EC">
        <w:rPr>
          <w:rFonts w:cs="Calibri"/>
        </w:rPr>
        <w:tab/>
        <w:t>N</w:t>
      </w:r>
      <w:r w:rsidRPr="009660EC">
        <w:rPr>
          <w:rFonts w:cs="Calibri"/>
          <w:vertAlign w:val="subscript"/>
        </w:rPr>
        <w:t>2</w:t>
      </w:r>
      <w:r w:rsidRPr="009660EC">
        <w:rPr>
          <w:rFonts w:cs="Calibri"/>
        </w:rPr>
        <w:t>O</w:t>
      </w:r>
      <w:r w:rsidRPr="009660EC">
        <w:rPr>
          <w:rFonts w:cs="Calibri"/>
          <w:vertAlign w:val="subscript"/>
        </w:rPr>
        <w:t>FSOM</w:t>
      </w:r>
      <w:r w:rsidRPr="009660EC">
        <w:rPr>
          <w:rFonts w:cs="Calibri"/>
        </w:rPr>
        <w:t xml:space="preserve"> is the N</w:t>
      </w:r>
      <w:r w:rsidRPr="009660EC">
        <w:rPr>
          <w:rFonts w:cs="Calibri"/>
          <w:vertAlign w:val="subscript"/>
        </w:rPr>
        <w:t>2</w:t>
      </w:r>
      <w:r w:rsidRPr="009660EC">
        <w:rPr>
          <w:rFonts w:cs="Calibri"/>
        </w:rPr>
        <w:t>O emitted as a result of nitrogen mineralisation from loss of soil organic matter in mineral soils (kt), and</w:t>
      </w:r>
    </w:p>
    <w:p w14:paraId="285E0D94" w14:textId="77777777" w:rsidR="004543E0" w:rsidRPr="009660EC" w:rsidRDefault="004543E0" w:rsidP="004543E0">
      <w:pPr>
        <w:pStyle w:val="BodyText"/>
        <w:spacing w:before="60" w:after="40"/>
        <w:ind w:left="964" w:hanging="964"/>
        <w:rPr>
          <w:rFonts w:cs="Calibri"/>
        </w:rPr>
      </w:pPr>
      <w:r w:rsidRPr="009660EC">
        <w:rPr>
          <w:rFonts w:cs="Calibri"/>
        </w:rPr>
        <w:tab/>
        <w:t>F</w:t>
      </w:r>
      <w:r w:rsidRPr="009660EC">
        <w:rPr>
          <w:rFonts w:cs="Calibri"/>
          <w:vertAlign w:val="subscript"/>
        </w:rPr>
        <w:t>SOM</w:t>
      </w:r>
      <w:r w:rsidRPr="009660EC">
        <w:rPr>
          <w:rFonts w:cs="Calibri"/>
        </w:rPr>
        <w:t xml:space="preserve"> is the nitrogen mineralisation from loss of soil organic matter in mineral soils through land management for </w:t>
      </w:r>
      <w:r w:rsidRPr="009660EC">
        <w:rPr>
          <w:rFonts w:cs="Calibri"/>
          <w:i/>
          <w:iCs/>
        </w:rPr>
        <w:t>Cropland remaining cropland</w:t>
      </w:r>
      <w:r w:rsidRPr="009660EC">
        <w:rPr>
          <w:rFonts w:cs="Calibri"/>
        </w:rPr>
        <w:t xml:space="preserve"> (kg).</w:t>
      </w:r>
    </w:p>
    <w:p w14:paraId="3B3BB3DE" w14:textId="77777777" w:rsidR="004543E0" w:rsidRPr="009660EC" w:rsidRDefault="004543E0" w:rsidP="004543E0">
      <w:pPr>
        <w:pStyle w:val="BodyText"/>
        <w:spacing w:before="60"/>
        <w:ind w:left="964" w:hanging="964"/>
        <w:rPr>
          <w:rFonts w:cs="Calibri"/>
        </w:rPr>
      </w:pPr>
      <w:r w:rsidRPr="009660EC">
        <w:rPr>
          <w:rFonts w:cs="Calibri"/>
        </w:rPr>
        <w:tab/>
        <w:t>The emission factor EF</w:t>
      </w:r>
      <w:r w:rsidRPr="009660EC">
        <w:rPr>
          <w:rFonts w:cs="Calibri"/>
          <w:vertAlign w:val="subscript"/>
        </w:rPr>
        <w:t>1</w:t>
      </w:r>
      <w:r w:rsidRPr="009660EC">
        <w:rPr>
          <w:rFonts w:cs="Calibri"/>
        </w:rPr>
        <w:t xml:space="preserve"> is 0.01 (Kelliher and de Klein, unpublished).</w:t>
      </w:r>
    </w:p>
    <w:p w14:paraId="7C7021F6" w14:textId="77777777" w:rsidR="004543E0" w:rsidRPr="009660EC" w:rsidRDefault="004543E0" w:rsidP="004543E0">
      <w:pPr>
        <w:pStyle w:val="BodyText"/>
        <w:keepNext/>
        <w:spacing w:after="80"/>
        <w:rPr>
          <w:rFonts w:cs="Calibri"/>
        </w:rPr>
      </w:pPr>
      <w:r w:rsidRPr="009660EC">
        <w:rPr>
          <w:rFonts w:cs="Calibri"/>
        </w:rPr>
        <w:t>And:</w:t>
      </w:r>
    </w:p>
    <w:p w14:paraId="74D3E428" w14:textId="77777777" w:rsidR="004543E0" w:rsidRPr="009660EC" w:rsidRDefault="004543E0" w:rsidP="004543E0">
      <w:pPr>
        <w:pStyle w:val="BodyText"/>
        <w:spacing w:before="0"/>
        <w:jc w:val="center"/>
        <w:rPr>
          <w:rFonts w:cs="Calibri"/>
        </w:rPr>
      </w:pPr>
      <w:r w:rsidRPr="009660EC">
        <w:rPr>
          <w:rFonts w:cs="Calibri"/>
        </w:rPr>
        <w:object w:dxaOrig="5351" w:dyaOrig="494" w14:anchorId="38F60939">
          <v:shape id="_x0000_i1103" type="#_x0000_t75" style="width:264.55pt;height:28.45pt" o:ole="">
            <v:imagedata r:id="rId159" o:title=""/>
          </v:shape>
          <o:OLEObject Type="Embed" ProgID="Word.Document.12" ShapeID="_x0000_i1103" DrawAspect="Content" ObjectID="_1710830404" r:id="rId160">
            <o:FieldCodes>\s</o:FieldCodes>
          </o:OLEObject>
        </w:object>
      </w:r>
    </w:p>
    <w:p w14:paraId="7FE4D43B" w14:textId="77777777" w:rsidR="004543E0" w:rsidRPr="009660EC" w:rsidRDefault="004543E0" w:rsidP="004543E0">
      <w:pPr>
        <w:pStyle w:val="BodyText"/>
        <w:spacing w:after="40"/>
        <w:ind w:left="964" w:hanging="964"/>
        <w:rPr>
          <w:rFonts w:cs="Calibri"/>
        </w:rPr>
      </w:pPr>
      <w:r w:rsidRPr="009660EC">
        <w:rPr>
          <w:rFonts w:cs="Calibri"/>
        </w:rPr>
        <w:t>Where:</w:t>
      </w:r>
      <w:r w:rsidRPr="009660EC">
        <w:rPr>
          <w:rFonts w:cs="Calibri"/>
        </w:rPr>
        <w:tab/>
        <w:t>∆C</w:t>
      </w:r>
      <w:r w:rsidRPr="009660EC">
        <w:rPr>
          <w:rFonts w:cs="Calibri"/>
          <w:vertAlign w:val="subscript"/>
        </w:rPr>
        <w:t>Mineral,CrC</w:t>
      </w:r>
      <w:r w:rsidRPr="009660EC">
        <w:rPr>
          <w:rFonts w:cs="Calibri"/>
        </w:rPr>
        <w:t xml:space="preserve"> is the loss of soil carbon (C) in mineral soil during management of cropland (kt), and</w:t>
      </w:r>
    </w:p>
    <w:p w14:paraId="08AEC576" w14:textId="77777777" w:rsidR="004543E0" w:rsidRPr="009660EC" w:rsidRDefault="004543E0" w:rsidP="004543E0">
      <w:pPr>
        <w:pStyle w:val="BodyText"/>
        <w:spacing w:before="60"/>
        <w:ind w:left="964" w:hanging="964"/>
        <w:rPr>
          <w:rFonts w:cs="Calibri"/>
        </w:rPr>
      </w:pPr>
      <w:r w:rsidRPr="009660EC">
        <w:rPr>
          <w:rFonts w:cs="Calibri"/>
        </w:rPr>
        <w:tab/>
        <w:t>R is the C:N ratio; the IPCC (2006) default value of 10 is used.</w:t>
      </w:r>
    </w:p>
    <w:p w14:paraId="33D9F43E" w14:textId="77777777" w:rsidR="004543E0" w:rsidRPr="009660EC" w:rsidRDefault="004543E0" w:rsidP="004543E0">
      <w:pPr>
        <w:pStyle w:val="BodyText"/>
      </w:pPr>
      <w:r w:rsidRPr="009660EC">
        <w:t>Activity data on the soil carbon loss associated with cropland since 1990 were provided by calculations under the LULUCF sector (refer to chapter 6, section 6.5).</w:t>
      </w:r>
    </w:p>
    <w:p w14:paraId="4B7BC717" w14:textId="77777777" w:rsidR="004543E0" w:rsidRPr="009660EC" w:rsidRDefault="004543E0" w:rsidP="004543E0">
      <w:pPr>
        <w:pStyle w:val="BodyText"/>
      </w:pPr>
      <w:r w:rsidRPr="009660EC">
        <w:t>The contribution of nitrogen mineralisation from loss of soil organic matter to overall agricultural emissions is small, with 0.03 kt CO</w:t>
      </w:r>
      <w:r w:rsidRPr="009660EC">
        <w:rPr>
          <w:vertAlign w:val="subscript"/>
        </w:rPr>
        <w:t>2</w:t>
      </w:r>
      <w:r w:rsidRPr="009660EC">
        <w:t>-e in 1990 and 0.12 kt CO</w:t>
      </w:r>
      <w:r w:rsidRPr="009660EC">
        <w:rPr>
          <w:vertAlign w:val="subscript"/>
        </w:rPr>
        <w:t>2</w:t>
      </w:r>
      <w:r w:rsidRPr="009660EC">
        <w:t>-e in 2020.</w:t>
      </w:r>
    </w:p>
    <w:p w14:paraId="66918BA7" w14:textId="77777777" w:rsidR="004543E0" w:rsidRPr="009660EC" w:rsidRDefault="004543E0" w:rsidP="004543E0">
      <w:pPr>
        <w:pStyle w:val="Heading5"/>
        <w:rPr>
          <w:rFonts w:cs="Calibri"/>
        </w:rPr>
      </w:pPr>
      <w:bookmarkStart w:id="1044" w:name="_Hlk58833796"/>
      <w:r w:rsidRPr="009660EC">
        <w:rPr>
          <w:rFonts w:cs="Calibri"/>
        </w:rPr>
        <w:t xml:space="preserve">Cultivation of organic soils </w:t>
      </w:r>
      <w:bookmarkEnd w:id="1044"/>
      <w:r w:rsidRPr="009660EC">
        <w:rPr>
          <w:rFonts w:cs="Calibri"/>
        </w:rPr>
        <w:t>(CRF 3.D.1.6)</w:t>
      </w:r>
    </w:p>
    <w:p w14:paraId="78A77EC0" w14:textId="77777777" w:rsidR="004543E0" w:rsidRPr="009660EC" w:rsidRDefault="004543E0" w:rsidP="004543E0">
      <w:pPr>
        <w:pStyle w:val="BodyText"/>
      </w:pPr>
      <w:r w:rsidRPr="009660EC">
        <w:t>The management of organic soils is a source of N</w:t>
      </w:r>
      <w:r w:rsidRPr="009660EC">
        <w:rPr>
          <w:vertAlign w:val="subscript"/>
        </w:rPr>
        <w:t>2</w:t>
      </w:r>
      <w:r w:rsidRPr="009660EC">
        <w:t xml:space="preserve">O emissions. The area of managed organic soils (histosols) in New Zealand includes both the area of cultivated organic soils (as reported under the LULUCF sector) and the area of mineral agricultural soils with a peaty layer that is cultivated (Dresser et al., 2011). Mineral soils with a peaty layer are included in the definition of organic soils because these soils have similar emissions behaviour to that of organic soils (Dresser et al., 2011). The full definition used in the Agriculture sector for organic soils (plus mineral soils with a peaty layer) is: </w:t>
      </w:r>
    </w:p>
    <w:p w14:paraId="4CB679F8" w14:textId="77777777" w:rsidR="004543E0" w:rsidRPr="009660EC" w:rsidRDefault="004543E0" w:rsidP="00AB2A5C">
      <w:pPr>
        <w:pStyle w:val="Bullet"/>
        <w:numPr>
          <w:ilvl w:val="0"/>
          <w:numId w:val="18"/>
        </w:numPr>
      </w:pPr>
      <w:r w:rsidRPr="009660EC">
        <w:t xml:space="preserve">17 per cent organic matter content (includes slightly peaty, peaty and peat soils of </w:t>
      </w:r>
      <w:r w:rsidRPr="009660EC">
        <w:br/>
        <w:t>17–30 per cent, 30–50 per cent and greater than 50 per cent organic matter content)</w:t>
      </w:r>
    </w:p>
    <w:p w14:paraId="0F72006E" w14:textId="77777777" w:rsidR="004543E0" w:rsidRPr="009660EC" w:rsidRDefault="004543E0" w:rsidP="00AB2A5C">
      <w:pPr>
        <w:pStyle w:val="Bullet"/>
        <w:numPr>
          <w:ilvl w:val="0"/>
          <w:numId w:val="18"/>
        </w:numPr>
      </w:pPr>
      <w:r w:rsidRPr="009660EC">
        <w:lastRenderedPageBreak/>
        <w:t>0.1 metres of this depth occurring within 0.3 metres of the surface.</w:t>
      </w:r>
    </w:p>
    <w:p w14:paraId="23872D91" w14:textId="77777777" w:rsidR="004543E0" w:rsidRPr="009660EC" w:rsidRDefault="004543E0" w:rsidP="004543E0">
      <w:pPr>
        <w:pStyle w:val="BodyText"/>
      </w:pPr>
      <w:r w:rsidRPr="009660EC">
        <w:t>The total area of managed and cultivated organic soils in New Zealand in 2020 was 178,203.5 hectares, with 94.1 per cent of this area on grassland and 5.9 per cent on cropland. It is assumed that all of this area is managed. The estimate of managed cultivated organic soils on cropland and grassland is consistent with data and methodology used for the LULUCF sector. The total area of managed cultivated organic soils has increased slightly, by 1.4 per cent (2,386.6 hectares) since 1990.</w:t>
      </w:r>
    </w:p>
    <w:p w14:paraId="13EBD098" w14:textId="77777777" w:rsidR="004543E0" w:rsidRPr="009660EC" w:rsidRDefault="004543E0" w:rsidP="004543E0">
      <w:pPr>
        <w:pStyle w:val="BodyText"/>
      </w:pPr>
      <w:r w:rsidRPr="009660EC">
        <w:t xml:space="preserve">In 2021, the area used to calculate emissions from the cultivation of organic soils was changed to be more consistent with the wording in the 2006 IPCC Guidelines (volume 4, chapter 11, page 11.16), and to match with the data used in chapter 6. </w:t>
      </w:r>
    </w:p>
    <w:p w14:paraId="58AE248B" w14:textId="77777777" w:rsidR="004543E0" w:rsidRPr="009660EC" w:rsidRDefault="004543E0" w:rsidP="004543E0">
      <w:pPr>
        <w:pStyle w:val="BodyText"/>
      </w:pPr>
      <w:r w:rsidRPr="009660EC">
        <w:t>Emissions from organic soils are calculated using the Tier 1 methodology for all years of the time series by multiplying the area of cultivated organic soils (178,204 hectares in 2020) by the default value of emission factor EF</w:t>
      </w:r>
      <w:r w:rsidRPr="009660EC">
        <w:rPr>
          <w:vertAlign w:val="subscript"/>
        </w:rPr>
        <w:t>2</w:t>
      </w:r>
      <w:r w:rsidRPr="009660EC">
        <w:t xml:space="preserve"> of 8 kg N</w:t>
      </w:r>
      <w:r w:rsidRPr="009660EC">
        <w:rPr>
          <w:vertAlign w:val="subscript"/>
        </w:rPr>
        <w:t>2</w:t>
      </w:r>
      <w:r w:rsidRPr="009660EC">
        <w:t>O</w:t>
      </w:r>
      <w:r w:rsidRPr="009660EC">
        <w:noBreakHyphen/>
        <w:t xml:space="preserve">N/ha (IPCC, 2006). </w:t>
      </w:r>
    </w:p>
    <w:p w14:paraId="2BBCD3B8" w14:textId="77777777" w:rsidR="004543E0" w:rsidRPr="009660EC" w:rsidRDefault="004543E0" w:rsidP="004543E0">
      <w:pPr>
        <w:pStyle w:val="BodyText"/>
      </w:pPr>
      <w:r w:rsidRPr="009660EC">
        <w:t>In 2020, direct N</w:t>
      </w:r>
      <w:r w:rsidRPr="009660EC">
        <w:rPr>
          <w:vertAlign w:val="subscript"/>
        </w:rPr>
        <w:t>2</w:t>
      </w:r>
      <w:r w:rsidRPr="009660EC">
        <w:t xml:space="preserve">O emissions from </w:t>
      </w:r>
      <w:r w:rsidRPr="009660EC">
        <w:rPr>
          <w:i/>
          <w:iCs/>
        </w:rPr>
        <w:t>Cultivation of organic soils</w:t>
      </w:r>
      <w:r w:rsidRPr="009660EC">
        <w:t xml:space="preserve"> contributed 8.5 per cent (667.6 kt CO</w:t>
      </w:r>
      <w:r w:rsidRPr="009660EC">
        <w:rPr>
          <w:vertAlign w:val="subscript"/>
        </w:rPr>
        <w:t>2</w:t>
      </w:r>
      <w:r w:rsidRPr="009660EC">
        <w:t xml:space="preserve">-e) of emissions from </w:t>
      </w:r>
      <w:r w:rsidRPr="009660EC">
        <w:rPr>
          <w:i/>
          <w:iCs/>
        </w:rPr>
        <w:t>Agricultural soils</w:t>
      </w:r>
      <w:r w:rsidRPr="009660EC">
        <w:t xml:space="preserve">, or 1.7 per cent of total agricultural emissions). This is an increase of 1.4 per cent since 1990. Emissions from </w:t>
      </w:r>
      <w:r w:rsidRPr="009660EC">
        <w:rPr>
          <w:i/>
          <w:iCs/>
        </w:rPr>
        <w:t>Cultivation of organic soils</w:t>
      </w:r>
      <w:r w:rsidRPr="009660EC">
        <w:t xml:space="preserve"> were identified as a key category (level and trend assessment).</w:t>
      </w:r>
    </w:p>
    <w:p w14:paraId="061310EA" w14:textId="77777777" w:rsidR="004543E0" w:rsidRPr="009660EC" w:rsidRDefault="004543E0" w:rsidP="004543E0">
      <w:pPr>
        <w:pStyle w:val="Heading4"/>
      </w:pPr>
      <w:r w:rsidRPr="009660EC">
        <w:t xml:space="preserve">Indirect </w:t>
      </w:r>
      <w:r w:rsidRPr="009660EC">
        <w:rPr>
          <w:spacing w:val="-2"/>
        </w:rPr>
        <w:t>nitrous oxide</w:t>
      </w:r>
      <w:r w:rsidRPr="009660EC">
        <w:t xml:space="preserve"> emissions from managed soils (CRF 3.D.2) </w:t>
      </w:r>
    </w:p>
    <w:p w14:paraId="247C9708" w14:textId="77777777" w:rsidR="004543E0" w:rsidRPr="009660EC" w:rsidRDefault="004543E0" w:rsidP="004543E0">
      <w:pPr>
        <w:pStyle w:val="BodyText"/>
        <w:spacing w:before="100"/>
        <w:rPr>
          <w:rFonts w:cs="Calibri"/>
        </w:rPr>
      </w:pPr>
      <w:r w:rsidRPr="009660EC">
        <w:rPr>
          <w:rFonts w:cs="Calibri"/>
        </w:rPr>
        <w:t>In addition to direct N</w:t>
      </w:r>
      <w:r w:rsidRPr="009660EC">
        <w:rPr>
          <w:rFonts w:cs="Calibri"/>
          <w:vertAlign w:val="subscript"/>
        </w:rPr>
        <w:t>2</w:t>
      </w:r>
      <w:r w:rsidRPr="009660EC">
        <w:rPr>
          <w:rFonts w:cs="Calibri"/>
        </w:rPr>
        <w:t>O emissions from managed soils, emissions of N</w:t>
      </w:r>
      <w:r w:rsidRPr="009660EC">
        <w:rPr>
          <w:rFonts w:cs="Calibri"/>
          <w:vertAlign w:val="subscript"/>
        </w:rPr>
        <w:t>2</w:t>
      </w:r>
      <w:r w:rsidRPr="009660EC">
        <w:rPr>
          <w:rFonts w:cs="Calibri"/>
        </w:rPr>
        <w:t>O also occur through two indirect pathways: volatilisation, and leaching and runoff.</w:t>
      </w:r>
    </w:p>
    <w:p w14:paraId="5ABAE652" w14:textId="77777777" w:rsidR="004543E0" w:rsidRPr="009660EC" w:rsidRDefault="004543E0" w:rsidP="004543E0">
      <w:pPr>
        <w:pStyle w:val="Heading5"/>
        <w:rPr>
          <w:rFonts w:cs="Calibri"/>
        </w:rPr>
      </w:pPr>
      <w:r w:rsidRPr="009660EC">
        <w:rPr>
          <w:rFonts w:cs="Calibri"/>
        </w:rPr>
        <w:t>Volatilisation (CRF 3.D.2.1)</w:t>
      </w:r>
    </w:p>
    <w:p w14:paraId="4F22BE84" w14:textId="77777777" w:rsidR="004543E0" w:rsidRPr="009660EC" w:rsidRDefault="004543E0" w:rsidP="004543E0">
      <w:pPr>
        <w:pStyle w:val="BodyText"/>
        <w:spacing w:before="100" w:after="100"/>
        <w:rPr>
          <w:rFonts w:cs="Calibri"/>
        </w:rPr>
      </w:pPr>
      <w:r w:rsidRPr="009660EC">
        <w:rPr>
          <w:rFonts w:cs="Calibri"/>
        </w:rPr>
        <w:t>Some of the nitrogen deposited or spread on agricultural land is emitted into the atmosphere through volatilisation in the form of NH</w:t>
      </w:r>
      <w:r w:rsidRPr="009660EC">
        <w:rPr>
          <w:rFonts w:cs="Calibri"/>
          <w:vertAlign w:val="subscript"/>
        </w:rPr>
        <w:t>3</w:t>
      </w:r>
      <w:r w:rsidRPr="009660EC">
        <w:rPr>
          <w:rFonts w:cs="Calibri"/>
        </w:rPr>
        <w:t xml:space="preserve"> and NO</w:t>
      </w:r>
      <w:r w:rsidRPr="009660EC">
        <w:rPr>
          <w:rFonts w:cs="Calibri"/>
          <w:vertAlign w:val="subscript"/>
        </w:rPr>
        <w:t>x</w:t>
      </w:r>
      <w:r w:rsidRPr="009660EC">
        <w:rPr>
          <w:rFonts w:cs="Calibri"/>
        </w:rPr>
        <w:t xml:space="preserve">. A fraction of this volatilised nitrogen returns to the ground during rainfall and is then re-emitted as </w:t>
      </w:r>
      <w:r w:rsidRPr="009660EC">
        <w:rPr>
          <w:rFonts w:cs="Calibri"/>
          <w:spacing w:val="-2"/>
        </w:rPr>
        <w:t>N</w:t>
      </w:r>
      <w:r w:rsidRPr="009660EC">
        <w:rPr>
          <w:rFonts w:cs="Calibri"/>
          <w:spacing w:val="-2"/>
          <w:vertAlign w:val="subscript"/>
        </w:rPr>
        <w:t>2</w:t>
      </w:r>
      <w:r w:rsidRPr="009660EC">
        <w:rPr>
          <w:rFonts w:cs="Calibri"/>
          <w:spacing w:val="-2"/>
        </w:rPr>
        <w:t>O</w:t>
      </w:r>
      <w:r w:rsidRPr="009660EC">
        <w:rPr>
          <w:rFonts w:cs="Calibri"/>
        </w:rPr>
        <w:t>. The fraction of nitrogen that becomes N</w:t>
      </w:r>
      <w:r w:rsidRPr="009660EC">
        <w:rPr>
          <w:rFonts w:cs="Calibri"/>
          <w:vertAlign w:val="subscript"/>
        </w:rPr>
        <w:t>2</w:t>
      </w:r>
      <w:r w:rsidRPr="009660EC">
        <w:rPr>
          <w:rFonts w:cs="Calibri"/>
        </w:rPr>
        <w:t>O during this process is calculated using the parameters Frac</w:t>
      </w:r>
      <w:r w:rsidRPr="009660EC">
        <w:rPr>
          <w:rFonts w:cs="Calibri"/>
          <w:vertAlign w:val="subscript"/>
        </w:rPr>
        <w:t>GASF</w:t>
      </w:r>
      <w:r w:rsidRPr="009660EC">
        <w:rPr>
          <w:rFonts w:cs="Calibri"/>
        </w:rPr>
        <w:t xml:space="preserve"> for synthetic nitrogen fertiliser and Frac</w:t>
      </w:r>
      <w:r w:rsidRPr="009660EC">
        <w:rPr>
          <w:rFonts w:cs="Calibri"/>
          <w:vertAlign w:val="subscript"/>
        </w:rPr>
        <w:t>GASM</w:t>
      </w:r>
      <w:r w:rsidRPr="009660EC">
        <w:rPr>
          <w:rFonts w:cs="Calibri"/>
        </w:rPr>
        <w:t xml:space="preserve"> for organic inputs from animal excreta. New Zealand uses country-specific values for both of these parameters.</w:t>
      </w:r>
    </w:p>
    <w:p w14:paraId="02F3A8EC" w14:textId="77777777" w:rsidR="004543E0" w:rsidRPr="009660EC" w:rsidRDefault="004543E0" w:rsidP="004543E0">
      <w:pPr>
        <w:pStyle w:val="BodyText"/>
        <w:spacing w:before="100" w:after="100"/>
        <w:rPr>
          <w:rFonts w:cs="Calibri"/>
        </w:rPr>
      </w:pPr>
      <w:r w:rsidRPr="009660EC">
        <w:rPr>
          <w:rFonts w:cs="Calibri"/>
        </w:rPr>
        <w:t>In New Zealand, nitrogen added to agricultural soils from synthetic nitrogen fertiliser (F</w:t>
      </w:r>
      <w:r w:rsidRPr="009660EC">
        <w:rPr>
          <w:rFonts w:cs="Calibri"/>
          <w:vertAlign w:val="subscript"/>
        </w:rPr>
        <w:t>SN</w:t>
      </w:r>
      <w:r w:rsidRPr="009660EC">
        <w:rPr>
          <w:rFonts w:cs="Calibri"/>
        </w:rPr>
        <w:t>), organic nitrogen fertiliser from the spreading of managed manure (F</w:t>
      </w:r>
      <w:r w:rsidRPr="009660EC">
        <w:rPr>
          <w:rFonts w:cs="Calibri"/>
          <w:vertAlign w:val="subscript"/>
        </w:rPr>
        <w:t>ON</w:t>
      </w:r>
      <w:r w:rsidRPr="009660EC">
        <w:rPr>
          <w:rFonts w:cs="Calibri"/>
        </w:rPr>
        <w:t>), and excreta from grazing livestock on pasture (F</w:t>
      </w:r>
      <w:r w:rsidRPr="009660EC">
        <w:rPr>
          <w:rFonts w:cs="Calibri"/>
          <w:vertAlign w:val="subscript"/>
        </w:rPr>
        <w:t>PRP</w:t>
      </w:r>
      <w:r w:rsidRPr="009660EC">
        <w:rPr>
          <w:rFonts w:cs="Calibri"/>
        </w:rPr>
        <w:t>) all contribute to N</w:t>
      </w:r>
      <w:r w:rsidRPr="009660EC">
        <w:rPr>
          <w:rFonts w:cs="Calibri"/>
          <w:vertAlign w:val="subscript"/>
        </w:rPr>
        <w:t>2</w:t>
      </w:r>
      <w:r w:rsidRPr="009660EC">
        <w:rPr>
          <w:rFonts w:cs="Calibri"/>
        </w:rPr>
        <w:t>O emissions from volatilisation. The collection of activity data for F</w:t>
      </w:r>
      <w:r w:rsidRPr="009660EC">
        <w:rPr>
          <w:rFonts w:cs="Calibri"/>
          <w:vertAlign w:val="subscript"/>
        </w:rPr>
        <w:t>SN</w:t>
      </w:r>
      <w:r w:rsidRPr="009660EC">
        <w:rPr>
          <w:rFonts w:cs="Calibri"/>
        </w:rPr>
        <w:t>, F</w:t>
      </w:r>
      <w:r w:rsidRPr="009660EC">
        <w:rPr>
          <w:rFonts w:cs="Calibri"/>
          <w:vertAlign w:val="subscript"/>
        </w:rPr>
        <w:t>ON</w:t>
      </w:r>
      <w:r w:rsidRPr="009660EC">
        <w:rPr>
          <w:rFonts w:cs="Calibri"/>
        </w:rPr>
        <w:t xml:space="preserve"> and F</w:t>
      </w:r>
      <w:r w:rsidRPr="009660EC">
        <w:rPr>
          <w:rFonts w:cs="Calibri"/>
          <w:vertAlign w:val="subscript"/>
        </w:rPr>
        <w:t xml:space="preserve">PRP </w:t>
      </w:r>
      <w:r w:rsidRPr="009660EC">
        <w:rPr>
          <w:rFonts w:cs="Calibri"/>
        </w:rPr>
        <w:t xml:space="preserve">is described above (see </w:t>
      </w:r>
      <w:r w:rsidRPr="009660EC">
        <w:rPr>
          <w:rFonts w:cs="Calibri"/>
          <w:i/>
          <w:iCs/>
        </w:rPr>
        <w:t>Direct N</w:t>
      </w:r>
      <w:r w:rsidRPr="009660EC">
        <w:rPr>
          <w:rFonts w:cs="Calibri"/>
          <w:i/>
          <w:iCs/>
          <w:vertAlign w:val="subscript"/>
        </w:rPr>
        <w:t>2</w:t>
      </w:r>
      <w:r w:rsidRPr="009660EC">
        <w:rPr>
          <w:rFonts w:cs="Calibri"/>
          <w:i/>
          <w:iCs/>
        </w:rPr>
        <w:t>O emissions from managed soils</w:t>
      </w:r>
      <w:r w:rsidRPr="009660EC">
        <w:rPr>
          <w:rFonts w:cs="Calibri"/>
        </w:rPr>
        <w:t xml:space="preserve"> (CRF 3.D.1)). Volatilisation from manure stored in manure management systems (before application to land) is reported in the </w:t>
      </w:r>
      <w:r w:rsidRPr="009660EC">
        <w:rPr>
          <w:rFonts w:cs="Calibri"/>
          <w:i/>
          <w:iCs/>
        </w:rPr>
        <w:t>Manure management</w:t>
      </w:r>
      <w:r w:rsidRPr="009660EC">
        <w:rPr>
          <w:rFonts w:cs="Calibri"/>
        </w:rPr>
        <w:t xml:space="preserve"> category (see section 5.3.2).</w:t>
      </w:r>
    </w:p>
    <w:p w14:paraId="58A4067A" w14:textId="77777777" w:rsidR="004543E0" w:rsidRPr="009660EC" w:rsidRDefault="004543E0" w:rsidP="004543E0">
      <w:pPr>
        <w:pStyle w:val="BodyText"/>
        <w:spacing w:before="100" w:after="60"/>
        <w:rPr>
          <w:rFonts w:cs="Calibri"/>
        </w:rPr>
      </w:pPr>
      <w:r w:rsidRPr="009660EC">
        <w:rPr>
          <w:rFonts w:cs="Calibri"/>
        </w:rPr>
        <w:t>New Zealand uses a Tier 1 methodology with country-specific emission factors for Frac</w:t>
      </w:r>
      <w:r w:rsidRPr="009660EC">
        <w:rPr>
          <w:rFonts w:cs="Calibri"/>
          <w:vertAlign w:val="subscript"/>
        </w:rPr>
        <w:t>GASF</w:t>
      </w:r>
      <w:r w:rsidRPr="009660EC">
        <w:rPr>
          <w:rFonts w:cs="Calibri"/>
        </w:rPr>
        <w:t xml:space="preserve"> and Frac</w:t>
      </w:r>
      <w:r w:rsidRPr="009660EC">
        <w:rPr>
          <w:rFonts w:cs="Calibri"/>
          <w:vertAlign w:val="subscript"/>
        </w:rPr>
        <w:t>GASM</w:t>
      </w:r>
      <w:r w:rsidRPr="009660EC">
        <w:rPr>
          <w:rFonts w:cs="Calibri"/>
        </w:rPr>
        <w:t xml:space="preserve"> and a default value for the EF</w:t>
      </w:r>
      <w:r w:rsidRPr="009660EC">
        <w:rPr>
          <w:rFonts w:cs="Calibri"/>
          <w:vertAlign w:val="subscript"/>
        </w:rPr>
        <w:t>4</w:t>
      </w:r>
      <w:r w:rsidRPr="009660EC">
        <w:rPr>
          <w:rFonts w:cs="Calibri"/>
        </w:rPr>
        <w:t xml:space="preserve"> emission factor to calculate emissions from volatilisation: </w:t>
      </w:r>
    </w:p>
    <w:bookmarkStart w:id="1045" w:name="_MON_1545721563"/>
    <w:bookmarkEnd w:id="1045"/>
    <w:p w14:paraId="27995EA0" w14:textId="77777777" w:rsidR="004543E0" w:rsidRPr="009660EC" w:rsidRDefault="004543E0" w:rsidP="004543E0">
      <w:pPr>
        <w:pStyle w:val="BodyText"/>
        <w:spacing w:before="0" w:after="60"/>
        <w:rPr>
          <w:rFonts w:cs="Calibri"/>
        </w:rPr>
      </w:pPr>
      <w:r w:rsidRPr="009660EC">
        <w:rPr>
          <w:rFonts w:cs="Calibri"/>
        </w:rPr>
        <w:object w:dxaOrig="8321" w:dyaOrig="727" w14:anchorId="51CC95C4">
          <v:shape id="_x0000_i1104" type="#_x0000_t75" style="width:416.1pt;height:35.15pt" o:ole="">
            <v:imagedata r:id="rId161" o:title="" cropbottom="11302f"/>
          </v:shape>
          <o:OLEObject Type="Embed" ProgID="Word.Document.12" ShapeID="_x0000_i1104" DrawAspect="Content" ObjectID="_1710830405" r:id="rId162">
            <o:FieldCodes>\s</o:FieldCodes>
          </o:OLEObject>
        </w:object>
      </w:r>
    </w:p>
    <w:p w14:paraId="41CFE49C" w14:textId="77777777" w:rsidR="004543E0" w:rsidRPr="009660EC" w:rsidRDefault="004543E0" w:rsidP="004543E0">
      <w:pPr>
        <w:pStyle w:val="BodyText"/>
        <w:spacing w:after="40"/>
        <w:ind w:left="964" w:hanging="964"/>
      </w:pPr>
      <w:r w:rsidRPr="009660EC">
        <w:t>Where:</w:t>
      </w:r>
      <w:r w:rsidRPr="009660EC">
        <w:tab/>
        <w:t>N</w:t>
      </w:r>
      <w:r w:rsidRPr="009660EC">
        <w:rPr>
          <w:vertAlign w:val="subscript"/>
        </w:rPr>
        <w:t>2</w:t>
      </w:r>
      <w:r w:rsidRPr="009660EC">
        <w:t>O</w:t>
      </w:r>
      <w:r w:rsidRPr="009660EC">
        <w:rPr>
          <w:vertAlign w:val="subscript"/>
        </w:rPr>
        <w:t>ATD</w:t>
      </w:r>
      <w:r w:rsidRPr="009660EC">
        <w:t>–N is the annual amount of N</w:t>
      </w:r>
      <w:r w:rsidRPr="009660EC">
        <w:rPr>
          <w:vertAlign w:val="subscript"/>
        </w:rPr>
        <w:t>2</w:t>
      </w:r>
      <w:r w:rsidRPr="009660EC">
        <w:t>O-N produced by atmospheric deposition of volatilised nitrogen from agricultural soils (kg N</w:t>
      </w:r>
      <w:r w:rsidRPr="009660EC">
        <w:rPr>
          <w:vertAlign w:val="subscript"/>
        </w:rPr>
        <w:t>2</w:t>
      </w:r>
      <w:r w:rsidRPr="009660EC">
        <w:t>O-N/year)</w:t>
      </w:r>
    </w:p>
    <w:p w14:paraId="5F820F42" w14:textId="77777777" w:rsidR="004543E0" w:rsidRPr="009660EC" w:rsidRDefault="004543E0" w:rsidP="004543E0">
      <w:pPr>
        <w:pStyle w:val="BodyText"/>
        <w:spacing w:before="60" w:after="40"/>
        <w:ind w:left="964" w:hanging="964"/>
      </w:pPr>
      <w:r w:rsidRPr="009660EC">
        <w:tab/>
        <w:t>F</w:t>
      </w:r>
      <w:r w:rsidRPr="009660EC">
        <w:rPr>
          <w:vertAlign w:val="subscript"/>
        </w:rPr>
        <w:t>SN</w:t>
      </w:r>
      <w:r w:rsidRPr="009660EC">
        <w:t>, F</w:t>
      </w:r>
      <w:r w:rsidRPr="009660EC">
        <w:rPr>
          <w:vertAlign w:val="subscript"/>
        </w:rPr>
        <w:t>ON</w:t>
      </w:r>
      <w:r w:rsidRPr="009660EC">
        <w:t xml:space="preserve"> and F</w:t>
      </w:r>
      <w:r w:rsidRPr="009660EC">
        <w:rPr>
          <w:vertAlign w:val="subscript"/>
        </w:rPr>
        <w:t>PRP</w:t>
      </w:r>
      <w:r w:rsidRPr="009660EC">
        <w:t xml:space="preserve"> are defined above (kg N/year)</w:t>
      </w:r>
    </w:p>
    <w:p w14:paraId="1B9047F9" w14:textId="77777777" w:rsidR="004543E0" w:rsidRPr="009660EC" w:rsidRDefault="004543E0" w:rsidP="004543E0">
      <w:pPr>
        <w:pStyle w:val="BodyText"/>
        <w:spacing w:before="60" w:after="40"/>
        <w:ind w:left="964" w:hanging="964"/>
      </w:pPr>
      <w:r w:rsidRPr="009660EC">
        <w:lastRenderedPageBreak/>
        <w:tab/>
        <w:t>Frac</w:t>
      </w:r>
      <w:r w:rsidRPr="009660EC">
        <w:rPr>
          <w:vertAlign w:val="subscript"/>
        </w:rPr>
        <w:t>GASF</w:t>
      </w:r>
      <w:r w:rsidRPr="009660EC">
        <w:t xml:space="preserve"> is the fraction of nitrogen from synthetic fertiliser that volatilises as NH</w:t>
      </w:r>
      <w:r w:rsidRPr="009660EC">
        <w:rPr>
          <w:vertAlign w:val="subscript"/>
        </w:rPr>
        <w:t>3</w:t>
      </w:r>
      <w:r w:rsidRPr="009660EC">
        <w:t xml:space="preserve"> and NO</w:t>
      </w:r>
      <w:r w:rsidRPr="009660EC">
        <w:rPr>
          <w:vertAlign w:val="subscript"/>
        </w:rPr>
        <w:t>x</w:t>
      </w:r>
      <w:r w:rsidRPr="009660EC">
        <w:t xml:space="preserve"> (see table 5.5.4)</w:t>
      </w:r>
    </w:p>
    <w:p w14:paraId="0925CBA4" w14:textId="77777777" w:rsidR="004543E0" w:rsidRPr="009660EC" w:rsidRDefault="004543E0" w:rsidP="004543E0">
      <w:pPr>
        <w:pStyle w:val="BodyText"/>
        <w:spacing w:before="60" w:after="40"/>
        <w:ind w:left="964" w:hanging="964"/>
      </w:pPr>
      <w:r w:rsidRPr="009660EC">
        <w:tab/>
        <w:t>Frac</w:t>
      </w:r>
      <w:r w:rsidRPr="009660EC">
        <w:rPr>
          <w:vertAlign w:val="subscript"/>
        </w:rPr>
        <w:t>GASM</w:t>
      </w:r>
      <w:r w:rsidRPr="009660EC">
        <w:t xml:space="preserve"> is the fraction of nitrogen</w:t>
      </w:r>
      <w:r w:rsidRPr="009660EC" w:rsidDel="009B1CDF">
        <w:t xml:space="preserve"> </w:t>
      </w:r>
      <w:r w:rsidRPr="009660EC">
        <w:t>from manure spreading and pasture, range and paddock manure that volatilises as NH</w:t>
      </w:r>
      <w:r w:rsidRPr="009660EC">
        <w:rPr>
          <w:vertAlign w:val="subscript"/>
        </w:rPr>
        <w:t>3</w:t>
      </w:r>
      <w:r w:rsidRPr="009660EC">
        <w:t xml:space="preserve"> and NO</w:t>
      </w:r>
      <w:r w:rsidRPr="009660EC">
        <w:rPr>
          <w:vertAlign w:val="subscript"/>
        </w:rPr>
        <w:t>x</w:t>
      </w:r>
      <w:r w:rsidRPr="009660EC">
        <w:t xml:space="preserve"> (see table 5.5.4), and</w:t>
      </w:r>
    </w:p>
    <w:p w14:paraId="0A01FE31" w14:textId="77777777" w:rsidR="004543E0" w:rsidRPr="009660EC" w:rsidRDefault="004543E0" w:rsidP="004543E0">
      <w:pPr>
        <w:pStyle w:val="BodyText"/>
        <w:spacing w:before="60"/>
        <w:ind w:left="964" w:hanging="964"/>
      </w:pPr>
      <w:r w:rsidRPr="009660EC">
        <w:tab/>
        <w:t>EF</w:t>
      </w:r>
      <w:r w:rsidRPr="009660EC">
        <w:rPr>
          <w:vertAlign w:val="subscript"/>
        </w:rPr>
        <w:t>4</w:t>
      </w:r>
      <w:r w:rsidRPr="009660EC">
        <w:t xml:space="preserve"> is the emission factor for N</w:t>
      </w:r>
      <w:r w:rsidRPr="009660EC">
        <w:rPr>
          <w:vertAlign w:val="subscript"/>
        </w:rPr>
        <w:t>2</w:t>
      </w:r>
      <w:r w:rsidRPr="009660EC">
        <w:t>O emissions from atmospheric deposition of nitrogen on soils and water (kg N</w:t>
      </w:r>
      <w:r w:rsidRPr="009660EC">
        <w:rPr>
          <w:vertAlign w:val="subscript"/>
        </w:rPr>
        <w:t>2</w:t>
      </w:r>
      <w:r w:rsidRPr="009660EC">
        <w:t>O-N/kg N).</w:t>
      </w:r>
    </w:p>
    <w:p w14:paraId="09814657" w14:textId="77777777" w:rsidR="004543E0" w:rsidRPr="009660EC" w:rsidRDefault="004543E0" w:rsidP="004543E0">
      <w:pPr>
        <w:pStyle w:val="BodyText"/>
      </w:pPr>
      <w:r w:rsidRPr="009660EC">
        <w:t>New Zealand has a country-specific value of 0.1 for Frac</w:t>
      </w:r>
      <w:r w:rsidRPr="009660EC">
        <w:rPr>
          <w:vertAlign w:val="subscript"/>
        </w:rPr>
        <w:t>GASF</w:t>
      </w:r>
      <w:r w:rsidRPr="009660EC">
        <w:t>, the fraction of volatilised nitrogen from synthetic nitrogen fertiliser. This value is based on a review by Sherlock et al. (2008) of relevant New Zealand and international research. The review determined that a value of 0.096 for Frac</w:t>
      </w:r>
      <w:r w:rsidRPr="009660EC">
        <w:rPr>
          <w:vertAlign w:val="subscript"/>
        </w:rPr>
        <w:t>GASF</w:t>
      </w:r>
      <w:r w:rsidRPr="009660EC">
        <w:t xml:space="preserve"> was suitable for New Zealand conditions. Because this value of 0.096 is almost identical to the IPCC default value of 0.1, the value of 0.1 was adopted by New Zealand as a country-specific value for Frac</w:t>
      </w:r>
      <w:r w:rsidRPr="009660EC">
        <w:rPr>
          <w:vertAlign w:val="subscript"/>
        </w:rPr>
        <w:t>GASF</w:t>
      </w:r>
      <w:r w:rsidRPr="009660EC">
        <w:t xml:space="preserve">. </w:t>
      </w:r>
    </w:p>
    <w:p w14:paraId="3F743559" w14:textId="77777777" w:rsidR="004543E0" w:rsidRPr="009660EC" w:rsidRDefault="004543E0" w:rsidP="004543E0">
      <w:pPr>
        <w:pStyle w:val="BodyText"/>
      </w:pPr>
      <w:r w:rsidRPr="009660EC">
        <w:t>The review by Sherlock et al. (2008) also recommended a country-specific value of 0.1 for Frac</w:t>
      </w:r>
      <w:r w:rsidRPr="009660EC">
        <w:rPr>
          <w:vertAlign w:val="subscript"/>
        </w:rPr>
        <w:t>GASM</w:t>
      </w:r>
      <w:r w:rsidRPr="009660EC">
        <w:t>, the fraction of volatilised nitrogen from manure spreading and pasture, range and paddock manure. The review showed that the default value of 0.2 for Frac</w:t>
      </w:r>
      <w:r w:rsidRPr="009660EC">
        <w:rPr>
          <w:vertAlign w:val="subscript"/>
        </w:rPr>
        <w:t>GASM</w:t>
      </w:r>
      <w:r w:rsidRPr="009660EC">
        <w:t xml:space="preserve"> (IPCC, 2006) was too high for New Zealand conditions and that 0.1 was more appropriate. This value was also confirmed by subsequent field experiments (Laubach et al., 2012). </w:t>
      </w:r>
    </w:p>
    <w:p w14:paraId="682F6495" w14:textId="77777777" w:rsidR="004543E0" w:rsidRPr="009660EC" w:rsidRDefault="004543E0" w:rsidP="004543E0">
      <w:pPr>
        <w:pStyle w:val="BodyText"/>
      </w:pPr>
      <w:r w:rsidRPr="009660EC">
        <w:t xml:space="preserve">In 2020, </w:t>
      </w:r>
      <w:r w:rsidRPr="009660EC">
        <w:rPr>
          <w:spacing w:val="-2"/>
        </w:rPr>
        <w:t>N</w:t>
      </w:r>
      <w:r w:rsidRPr="009660EC">
        <w:rPr>
          <w:spacing w:val="-2"/>
          <w:vertAlign w:val="subscript"/>
        </w:rPr>
        <w:t>2</w:t>
      </w:r>
      <w:r w:rsidRPr="009660EC">
        <w:rPr>
          <w:spacing w:val="-2"/>
        </w:rPr>
        <w:t>O</w:t>
      </w:r>
      <w:r w:rsidRPr="009660EC">
        <w:t xml:space="preserve"> emissions from volatilisation contributed 2.3 per cent (925.2 kt CO</w:t>
      </w:r>
      <w:r w:rsidRPr="009660EC">
        <w:rPr>
          <w:vertAlign w:val="subscript"/>
        </w:rPr>
        <w:t>2</w:t>
      </w:r>
      <w:r w:rsidRPr="009660EC">
        <w:t>-e) to total agricultural emissions, an increase of 25.9 per cent from the 1990 value of 735.1 kt CO</w:t>
      </w:r>
      <w:r w:rsidRPr="009660EC">
        <w:rPr>
          <w:vertAlign w:val="subscript"/>
        </w:rPr>
        <w:t>2</w:t>
      </w:r>
      <w:r w:rsidRPr="009660EC">
        <w:t>-e.</w:t>
      </w:r>
    </w:p>
    <w:p w14:paraId="7D328C61" w14:textId="77777777" w:rsidR="004543E0" w:rsidRPr="009660EC" w:rsidRDefault="004543E0" w:rsidP="004543E0">
      <w:pPr>
        <w:pStyle w:val="Heading5"/>
      </w:pPr>
      <w:r w:rsidRPr="009660EC">
        <w:t>Leaching and runoff (CRF 3.D.2.2)</w:t>
      </w:r>
    </w:p>
    <w:p w14:paraId="174066CB" w14:textId="77777777" w:rsidR="004543E0" w:rsidRPr="009660EC" w:rsidRDefault="004543E0" w:rsidP="004543E0">
      <w:pPr>
        <w:pStyle w:val="BodyText"/>
      </w:pPr>
      <w:r w:rsidRPr="009660EC">
        <w:rPr>
          <w:spacing w:val="-2"/>
        </w:rPr>
        <w:t xml:space="preserve">Nitrous oxide </w:t>
      </w:r>
      <w:r w:rsidRPr="009660EC">
        <w:t>emissions from leaching and runoff originate from the following sources: synthetic nitrogen fertiliser (F</w:t>
      </w:r>
      <w:r w:rsidRPr="009660EC">
        <w:rPr>
          <w:vertAlign w:val="subscript"/>
        </w:rPr>
        <w:t>SN</w:t>
      </w:r>
      <w:r w:rsidRPr="009660EC">
        <w:t>), organic nitrogen additions from the spreading of animal manure (F</w:t>
      </w:r>
      <w:r w:rsidRPr="009660EC">
        <w:rPr>
          <w:vertAlign w:val="subscript"/>
        </w:rPr>
        <w:t>ON</w:t>
      </w:r>
      <w:r w:rsidRPr="009660EC">
        <w:t>), above- and below-ground crop residues (F</w:t>
      </w:r>
      <w:r w:rsidRPr="009660EC">
        <w:rPr>
          <w:vertAlign w:val="subscript"/>
        </w:rPr>
        <w:t>CR</w:t>
      </w:r>
      <w:r w:rsidRPr="009660EC">
        <w:t>), nitrogen mineralisation associated with loss of soil organic matter from cropland land management (F</w:t>
      </w:r>
      <w:r w:rsidRPr="009660EC">
        <w:rPr>
          <w:vertAlign w:val="subscript"/>
        </w:rPr>
        <w:t>SOM</w:t>
      </w:r>
      <w:r w:rsidRPr="009660EC">
        <w:t>) and excreta from grazing livestock on pasture, range and paddock (F</w:t>
      </w:r>
      <w:r w:rsidRPr="009660EC">
        <w:rPr>
          <w:vertAlign w:val="subscript"/>
        </w:rPr>
        <w:t>PRP</w:t>
      </w:r>
      <w:r w:rsidRPr="009660EC">
        <w:t>) (IPCC, 2006). The collection of activity data for F</w:t>
      </w:r>
      <w:r w:rsidRPr="009660EC">
        <w:rPr>
          <w:vertAlign w:val="subscript"/>
        </w:rPr>
        <w:t>SN</w:t>
      </w:r>
      <w:r w:rsidRPr="009660EC">
        <w:t>, F</w:t>
      </w:r>
      <w:r w:rsidRPr="009660EC">
        <w:rPr>
          <w:vertAlign w:val="subscript"/>
        </w:rPr>
        <w:t>ON</w:t>
      </w:r>
      <w:r w:rsidRPr="009660EC">
        <w:t>, F</w:t>
      </w:r>
      <w:r w:rsidRPr="009660EC">
        <w:rPr>
          <w:vertAlign w:val="subscript"/>
        </w:rPr>
        <w:t>CR</w:t>
      </w:r>
      <w:r w:rsidRPr="009660EC">
        <w:t>, F</w:t>
      </w:r>
      <w:r w:rsidRPr="009660EC">
        <w:rPr>
          <w:vertAlign w:val="subscript"/>
        </w:rPr>
        <w:t xml:space="preserve">PRP </w:t>
      </w:r>
      <w:r w:rsidRPr="009660EC">
        <w:t>and F</w:t>
      </w:r>
      <w:r w:rsidRPr="009660EC">
        <w:rPr>
          <w:vertAlign w:val="subscript"/>
        </w:rPr>
        <w:t>SOM</w:t>
      </w:r>
      <w:r w:rsidRPr="009660EC">
        <w:t xml:space="preserve"> is described above (see </w:t>
      </w:r>
      <w:r w:rsidRPr="009660EC">
        <w:rPr>
          <w:i/>
          <w:iCs/>
        </w:rPr>
        <w:t>Direct N</w:t>
      </w:r>
      <w:r w:rsidRPr="009660EC">
        <w:rPr>
          <w:i/>
          <w:iCs/>
          <w:vertAlign w:val="subscript"/>
        </w:rPr>
        <w:t>2</w:t>
      </w:r>
      <w:r w:rsidRPr="009660EC">
        <w:rPr>
          <w:i/>
          <w:iCs/>
        </w:rPr>
        <w:t>O emissions from managed soils</w:t>
      </w:r>
      <w:r w:rsidRPr="009660EC">
        <w:t xml:space="preserve"> (CRF 3.D.1)). </w:t>
      </w:r>
    </w:p>
    <w:p w14:paraId="1CB42F79" w14:textId="77777777" w:rsidR="004543E0" w:rsidRPr="009660EC" w:rsidRDefault="004543E0" w:rsidP="004543E0">
      <w:pPr>
        <w:pStyle w:val="BodyText"/>
      </w:pPr>
      <w:r w:rsidRPr="009660EC">
        <w:t xml:space="preserve">New Zealand reports all emissions from leaching under the </w:t>
      </w:r>
      <w:r w:rsidRPr="009660EC">
        <w:rPr>
          <w:i/>
          <w:iCs/>
        </w:rPr>
        <w:t>Agricultural soils</w:t>
      </w:r>
      <w:r w:rsidRPr="009660EC">
        <w:t xml:space="preserve"> category. As discussed under</w:t>
      </w:r>
      <w:r w:rsidRPr="009660EC">
        <w:rPr>
          <w:i/>
          <w:iCs/>
        </w:rPr>
        <w:t xml:space="preserve"> Manure management </w:t>
      </w:r>
      <w:r w:rsidRPr="009660EC">
        <w:t>(see section 5.3.2), New Zealand livestock are predominantly grazed outdoors (see table 5.3.2). New Zealand uses a Tier 1 methodology with country-specific default parameters to calculate indirect N</w:t>
      </w:r>
      <w:r w:rsidRPr="009660EC">
        <w:rPr>
          <w:vertAlign w:val="subscript"/>
        </w:rPr>
        <w:t>2</w:t>
      </w:r>
      <w:r w:rsidRPr="009660EC">
        <w:t>O emissions from nitrogen leaching. The general equation is:</w:t>
      </w:r>
    </w:p>
    <w:bookmarkStart w:id="1046" w:name="_1701239732"/>
    <w:bookmarkEnd w:id="1046"/>
    <w:p w14:paraId="478DF180" w14:textId="77777777" w:rsidR="004543E0" w:rsidRPr="009660EC" w:rsidRDefault="004543E0" w:rsidP="000C7549">
      <w:pPr>
        <w:pStyle w:val="BodyText"/>
        <w:spacing w:before="0" w:after="0"/>
        <w:rPr>
          <w:rFonts w:cs="Calibri"/>
        </w:rPr>
      </w:pPr>
      <w:r w:rsidRPr="009660EC">
        <w:rPr>
          <w:rFonts w:cs="Calibri"/>
        </w:rPr>
        <w:object w:dxaOrig="8381" w:dyaOrig="694" w14:anchorId="309A53AD">
          <v:shape id="_x0000_i1105" type="#_x0000_t75" style="width:417.75pt;height:34.35pt" o:ole="">
            <v:imagedata r:id="rId163" o:title="" cropbottom="7859f"/>
          </v:shape>
          <o:OLEObject Type="Embed" ProgID="Word.Document.12" ShapeID="_x0000_i1105" DrawAspect="Content" ObjectID="_1710830406" r:id="rId164">
            <o:FieldCodes>\s</o:FieldCodes>
          </o:OLEObject>
        </w:object>
      </w:r>
    </w:p>
    <w:p w14:paraId="2B768C59" w14:textId="77777777" w:rsidR="004543E0" w:rsidRPr="009660EC" w:rsidRDefault="004543E0" w:rsidP="004543E0">
      <w:pPr>
        <w:pStyle w:val="BodyText"/>
        <w:spacing w:before="60"/>
        <w:rPr>
          <w:rFonts w:cs="Calibri"/>
        </w:rPr>
      </w:pPr>
      <w:r w:rsidRPr="009660EC">
        <w:rPr>
          <w:rFonts w:cs="Calibri"/>
        </w:rPr>
        <w:t xml:space="preserve">The following are specific equations used to calculate </w:t>
      </w:r>
      <w:r w:rsidRPr="009660EC">
        <w:t>indirect N</w:t>
      </w:r>
      <w:r w:rsidRPr="009660EC">
        <w:rPr>
          <w:vertAlign w:val="subscript"/>
        </w:rPr>
        <w:t>2</w:t>
      </w:r>
      <w:r w:rsidRPr="009660EC">
        <w:t>O emissions from nitrogen leaching for cropping systems and grassland:</w:t>
      </w:r>
    </w:p>
    <w:bookmarkStart w:id="1047" w:name="_MON_1701244952"/>
    <w:bookmarkEnd w:id="1047"/>
    <w:p w14:paraId="7DF30BCB" w14:textId="77777777" w:rsidR="004543E0" w:rsidRPr="009660EC" w:rsidRDefault="004543E0" w:rsidP="008765F6">
      <w:pPr>
        <w:pStyle w:val="BodyText"/>
        <w:spacing w:before="60" w:after="60"/>
        <w:rPr>
          <w:rFonts w:cs="Calibri"/>
        </w:rPr>
      </w:pPr>
      <w:r w:rsidRPr="009660EC">
        <w:rPr>
          <w:rFonts w:cs="Calibri"/>
        </w:rPr>
        <w:object w:dxaOrig="8381" w:dyaOrig="703" w14:anchorId="2B88D4AA">
          <v:shape id="_x0000_i1106" type="#_x0000_t75" style="width:417.75pt;height:35.15pt" o:ole="">
            <v:imagedata r:id="rId165" o:title="" cropbottom="7859f"/>
          </v:shape>
          <o:OLEObject Type="Embed" ProgID="Word.Document.12" ShapeID="_x0000_i1106" DrawAspect="Content" ObjectID="_1710830407" r:id="rId166">
            <o:FieldCodes>\s</o:FieldCodes>
          </o:OLEObject>
        </w:object>
      </w:r>
    </w:p>
    <w:bookmarkStart w:id="1048" w:name="_MON_1701244990"/>
    <w:bookmarkEnd w:id="1048"/>
    <w:p w14:paraId="7018664D" w14:textId="17D8565F" w:rsidR="004543E0" w:rsidRPr="009660EC" w:rsidRDefault="009952BB" w:rsidP="004543E0">
      <w:pPr>
        <w:pStyle w:val="BodyText"/>
        <w:spacing w:before="60"/>
        <w:rPr>
          <w:rFonts w:cs="Calibri"/>
        </w:rPr>
      </w:pPr>
      <w:r w:rsidRPr="009660EC">
        <w:rPr>
          <w:rFonts w:cs="Calibri"/>
        </w:rPr>
        <w:object w:dxaOrig="8381" w:dyaOrig="703" w14:anchorId="3B5335CE">
          <v:shape id="_x0000_i1107" type="#_x0000_t75" style="width:417.75pt;height:35.15pt" o:ole="">
            <v:imagedata r:id="rId167" o:title="" cropbottom="7859f"/>
          </v:shape>
          <o:OLEObject Type="Embed" ProgID="Word.Document.12" ShapeID="_x0000_i1107" DrawAspect="Content" ObjectID="_1710830408" r:id="rId168">
            <o:FieldCodes>\s</o:FieldCodes>
          </o:OLEObject>
        </w:object>
      </w:r>
    </w:p>
    <w:p w14:paraId="7319860A" w14:textId="77777777" w:rsidR="004543E0" w:rsidRPr="009660EC" w:rsidRDefault="004543E0" w:rsidP="000C7549">
      <w:pPr>
        <w:pStyle w:val="BodyText"/>
        <w:spacing w:before="0" w:after="60"/>
        <w:ind w:left="964" w:hanging="964"/>
        <w:rPr>
          <w:rFonts w:cs="Calibri"/>
        </w:rPr>
      </w:pPr>
      <w:r w:rsidRPr="009660EC">
        <w:rPr>
          <w:rFonts w:cs="Calibri"/>
        </w:rPr>
        <w:t>Where:</w:t>
      </w:r>
      <w:r w:rsidRPr="009660EC">
        <w:rPr>
          <w:rFonts w:cs="Calibri"/>
        </w:rPr>
        <w:tab/>
        <w:t>N</w:t>
      </w:r>
      <w:r w:rsidRPr="009660EC">
        <w:rPr>
          <w:rFonts w:cs="Calibri"/>
          <w:vertAlign w:val="subscript"/>
        </w:rPr>
        <w:t>2</w:t>
      </w:r>
      <w:r w:rsidRPr="009660EC">
        <w:rPr>
          <w:rFonts w:cs="Calibri"/>
        </w:rPr>
        <w:t>O</w:t>
      </w:r>
      <w:r w:rsidRPr="009660EC">
        <w:rPr>
          <w:rFonts w:cs="Calibri"/>
          <w:vertAlign w:val="subscript"/>
        </w:rPr>
        <w:t>L</w:t>
      </w:r>
      <w:r w:rsidRPr="009660EC">
        <w:rPr>
          <w:rFonts w:cs="Calibri"/>
        </w:rPr>
        <w:t>–N is the annual amount of N</w:t>
      </w:r>
      <w:r w:rsidRPr="009660EC">
        <w:rPr>
          <w:rFonts w:cs="Calibri"/>
          <w:vertAlign w:val="subscript"/>
        </w:rPr>
        <w:t>2</w:t>
      </w:r>
      <w:r w:rsidRPr="009660EC">
        <w:rPr>
          <w:rFonts w:cs="Calibri"/>
        </w:rPr>
        <w:t>O-N from runoff and leaching from agricultural soils (kg N</w:t>
      </w:r>
      <w:r w:rsidRPr="009660EC">
        <w:rPr>
          <w:rFonts w:cs="Calibri"/>
          <w:vertAlign w:val="subscript"/>
        </w:rPr>
        <w:t>2</w:t>
      </w:r>
      <w:r w:rsidRPr="009660EC">
        <w:rPr>
          <w:rFonts w:cs="Calibri"/>
        </w:rPr>
        <w:t>O-N/year)</w:t>
      </w:r>
    </w:p>
    <w:p w14:paraId="35382764" w14:textId="77777777" w:rsidR="004543E0" w:rsidRPr="009660EC" w:rsidRDefault="004543E0" w:rsidP="004543E0">
      <w:pPr>
        <w:pStyle w:val="BodyText"/>
        <w:spacing w:before="60" w:after="60"/>
        <w:ind w:left="964"/>
      </w:pPr>
      <w:r w:rsidRPr="009660EC">
        <w:t>F</w:t>
      </w:r>
      <w:r w:rsidRPr="009660EC">
        <w:rPr>
          <w:vertAlign w:val="subscript"/>
        </w:rPr>
        <w:t>SN</w:t>
      </w:r>
      <w:r w:rsidRPr="009660EC">
        <w:t>, F</w:t>
      </w:r>
      <w:r w:rsidRPr="009660EC">
        <w:rPr>
          <w:vertAlign w:val="subscript"/>
        </w:rPr>
        <w:t>ON</w:t>
      </w:r>
      <w:r w:rsidRPr="009660EC">
        <w:t>, F</w:t>
      </w:r>
      <w:r w:rsidRPr="009660EC">
        <w:rPr>
          <w:vertAlign w:val="subscript"/>
        </w:rPr>
        <w:t>PRP</w:t>
      </w:r>
      <w:r w:rsidRPr="009660EC">
        <w:t>, F</w:t>
      </w:r>
      <w:r w:rsidRPr="009660EC">
        <w:rPr>
          <w:vertAlign w:val="subscript"/>
        </w:rPr>
        <w:t>CR</w:t>
      </w:r>
      <w:r w:rsidRPr="009660EC">
        <w:t xml:space="preserve"> and F</w:t>
      </w:r>
      <w:r w:rsidRPr="009660EC">
        <w:rPr>
          <w:vertAlign w:val="subscript"/>
        </w:rPr>
        <w:t>SOM</w:t>
      </w:r>
      <w:r w:rsidRPr="009660EC">
        <w:t xml:space="preserve"> are defined above (kg N/year)</w:t>
      </w:r>
    </w:p>
    <w:p w14:paraId="464C079C" w14:textId="77777777" w:rsidR="004543E0" w:rsidRPr="009660EC" w:rsidRDefault="004543E0" w:rsidP="004543E0">
      <w:pPr>
        <w:pStyle w:val="BodyText"/>
        <w:spacing w:before="60" w:after="60"/>
        <w:ind w:left="964"/>
      </w:pPr>
      <w:r w:rsidRPr="009660EC">
        <w:lastRenderedPageBreak/>
        <w:t>Frac</w:t>
      </w:r>
      <w:r w:rsidRPr="009660EC">
        <w:rPr>
          <w:vertAlign w:val="subscript"/>
        </w:rPr>
        <w:t>LEACH-H(CROPPING)</w:t>
      </w:r>
      <w:r w:rsidRPr="009660EC">
        <w:t xml:space="preserve"> is the fraction of nitrogen added to, or mineralised from, cropping systems that is lost from soil through leaching and runoff (see table 5.5.4)</w:t>
      </w:r>
    </w:p>
    <w:p w14:paraId="6DCCD52B" w14:textId="77777777" w:rsidR="004543E0" w:rsidRPr="009660EC" w:rsidRDefault="004543E0" w:rsidP="004543E0">
      <w:pPr>
        <w:pStyle w:val="BodyText"/>
        <w:spacing w:before="60" w:after="60"/>
        <w:ind w:left="964"/>
      </w:pPr>
      <w:r w:rsidRPr="009660EC">
        <w:t>Frac</w:t>
      </w:r>
      <w:r w:rsidRPr="009660EC">
        <w:rPr>
          <w:vertAlign w:val="subscript"/>
        </w:rPr>
        <w:t>LEACH-H(GRASSLAND)</w:t>
      </w:r>
      <w:r w:rsidRPr="009660EC">
        <w:t xml:space="preserve"> is the fraction of nitrogen added to, or mineralised from, grassland that is lost from soil through leaching and runoff (see table 5.5.4), and</w:t>
      </w:r>
    </w:p>
    <w:p w14:paraId="661AC93B" w14:textId="77777777" w:rsidR="004543E0" w:rsidRPr="009660EC" w:rsidRDefault="004543E0" w:rsidP="004543E0">
      <w:pPr>
        <w:pStyle w:val="BodyText"/>
        <w:spacing w:before="60"/>
        <w:ind w:left="964"/>
      </w:pPr>
      <w:r w:rsidRPr="009660EC">
        <w:t>EF</w:t>
      </w:r>
      <w:r w:rsidRPr="009660EC">
        <w:rPr>
          <w:vertAlign w:val="subscript"/>
        </w:rPr>
        <w:t>5</w:t>
      </w:r>
      <w:r w:rsidRPr="009660EC">
        <w:t xml:space="preserve"> is the IPCC (2006) default factor for N</w:t>
      </w:r>
      <w:r w:rsidRPr="009660EC">
        <w:rPr>
          <w:vertAlign w:val="subscript"/>
        </w:rPr>
        <w:t>2</w:t>
      </w:r>
      <w:r w:rsidRPr="009660EC">
        <w:t xml:space="preserve">O emissions from leaching and runoff. </w:t>
      </w:r>
    </w:p>
    <w:p w14:paraId="2CA6CAF4" w14:textId="77777777" w:rsidR="004543E0" w:rsidRPr="009660EC" w:rsidRDefault="004543E0" w:rsidP="004543E0">
      <w:pPr>
        <w:pStyle w:val="BodyText"/>
        <w:spacing w:after="100"/>
        <w:rPr>
          <w:rFonts w:cs="Calibri"/>
        </w:rPr>
      </w:pPr>
      <w:r w:rsidRPr="009660EC">
        <w:rPr>
          <w:rFonts w:cs="Calibri"/>
        </w:rPr>
        <w:t>New Zealand uses differing Frac</w:t>
      </w:r>
      <w:r w:rsidRPr="009660EC">
        <w:rPr>
          <w:rFonts w:cs="Calibri"/>
          <w:vertAlign w:val="subscript"/>
        </w:rPr>
        <w:t>LEACH</w:t>
      </w:r>
      <w:r w:rsidRPr="009660EC">
        <w:rPr>
          <w:rFonts w:cs="Calibri"/>
        </w:rPr>
        <w:t xml:space="preserve"> parameters that are dependent on the type of agricultural system the nitrogen has been applied to. These values were derived using measured values, as well as modelled values from </w:t>
      </w:r>
      <w:r w:rsidRPr="009660EC">
        <w:t>OVERSEER</w:t>
      </w:r>
      <w:r w:rsidRPr="009660EC">
        <w:rPr>
          <w:vertAlign w:val="superscript"/>
        </w:rPr>
        <w:t>®</w:t>
      </w:r>
      <w:r w:rsidRPr="009660EC">
        <w:t>, a New Zealand-specific nutrient budgeting model. The Frac</w:t>
      </w:r>
      <w:r w:rsidRPr="009660EC">
        <w:rPr>
          <w:vertAlign w:val="subscript"/>
        </w:rPr>
        <w:t>LEACH</w:t>
      </w:r>
      <w:r w:rsidRPr="009660EC">
        <w:t xml:space="preserve"> is 0.10 (Welten et al., 2021) for nitrogen applied to cropland, and 0.07 for grassland (Thomas et al., 2005).</w:t>
      </w:r>
    </w:p>
    <w:p w14:paraId="15C4C969" w14:textId="77777777" w:rsidR="004543E0" w:rsidRPr="009660EC" w:rsidRDefault="004543E0" w:rsidP="009952BB">
      <w:pPr>
        <w:pStyle w:val="BodyText"/>
        <w:spacing w:before="100" w:after="100"/>
      </w:pPr>
      <w:r w:rsidRPr="009660EC">
        <w:t>The OVERSEER</w:t>
      </w:r>
      <w:r w:rsidRPr="009660EC">
        <w:rPr>
          <w:vertAlign w:val="superscript"/>
        </w:rPr>
        <w:t>®</w:t>
      </w:r>
      <w:r w:rsidRPr="009660EC">
        <w:t xml:space="preserve"> model provides average estimates of the fate of nitrogen for a range of pastoral, arable and horticultural systems. In pastoral systems, nitrate (NO</w:t>
      </w:r>
      <w:r w:rsidRPr="009660EC">
        <w:rPr>
          <w:vertAlign w:val="subscript"/>
        </w:rPr>
        <w:t>3</w:t>
      </w:r>
      <w:r w:rsidRPr="009660EC">
        <w:t>) leaching is determined by rainfall, soil type and the amount of nitrogen entering the farm system (from nitrogen-based fertilisers, dung and urine applied as dairy farm effluent or directly excreted by grazing animals). Dung and urine output from animals is calculated from the difference between nitrogen intake by grazing animals and nitrogen retained in animal products, such as milk, meat, wool and velvet. This is based on user inputs of stocking rates or production and an internal database with information on the nitrogen content of pasture and animal products, and is calibrated against empirical field measurements. In cropping systems, two years (previous and reporting) of monthly crop and management data is required for modelling NO</w:t>
      </w:r>
      <w:r w:rsidRPr="009660EC">
        <w:rPr>
          <w:vertAlign w:val="subscript"/>
        </w:rPr>
        <w:t xml:space="preserve">3 </w:t>
      </w:r>
      <w:r w:rsidRPr="009660EC">
        <w:t>leaching in OVERSEER</w:t>
      </w:r>
      <w:r w:rsidRPr="009660EC">
        <w:rPr>
          <w:vertAlign w:val="superscript"/>
        </w:rPr>
        <w:t>®</w:t>
      </w:r>
      <w:r w:rsidRPr="009660EC">
        <w:t>, including nitrogen applied as fertiliser and effluent, as well as factors influencing or indicating the water content of soil, such as temperature, irrigation, rainfall, drainage and field capacity.</w:t>
      </w:r>
    </w:p>
    <w:p w14:paraId="396F81A9" w14:textId="77777777" w:rsidR="004543E0" w:rsidRPr="009660EC" w:rsidRDefault="004543E0" w:rsidP="009952BB">
      <w:pPr>
        <w:pStyle w:val="BodyText"/>
        <w:spacing w:before="100" w:after="100"/>
      </w:pPr>
      <w:r w:rsidRPr="009660EC">
        <w:t xml:space="preserve">In 2020, </w:t>
      </w:r>
      <w:r w:rsidRPr="009660EC">
        <w:rPr>
          <w:spacing w:val="-2"/>
        </w:rPr>
        <w:t>N</w:t>
      </w:r>
      <w:r w:rsidRPr="009660EC">
        <w:rPr>
          <w:spacing w:val="-2"/>
          <w:vertAlign w:val="subscript"/>
        </w:rPr>
        <w:t>2</w:t>
      </w:r>
      <w:r w:rsidRPr="009660EC">
        <w:rPr>
          <w:spacing w:val="-2"/>
        </w:rPr>
        <w:t>O</w:t>
      </w:r>
      <w:r w:rsidRPr="009660EC">
        <w:t xml:space="preserve"> emissions from leaching and runoff made up 1.3 per cent (516.9 kt CO</w:t>
      </w:r>
      <w:r w:rsidRPr="009660EC">
        <w:rPr>
          <w:vertAlign w:val="subscript"/>
        </w:rPr>
        <w:t>2</w:t>
      </w:r>
      <w:r w:rsidRPr="009660EC">
        <w:t>-e) of total agricultural emissions, an increase of 30.4 per cent from the 1990 value of 396.5 kt CO</w:t>
      </w:r>
      <w:r w:rsidRPr="009660EC">
        <w:rPr>
          <w:vertAlign w:val="subscript"/>
        </w:rPr>
        <w:t>2</w:t>
      </w:r>
      <w:r w:rsidRPr="009660EC">
        <w:t>-e.</w:t>
      </w:r>
    </w:p>
    <w:p w14:paraId="05CDF2EF" w14:textId="77777777" w:rsidR="004543E0" w:rsidRPr="009660EC" w:rsidRDefault="004543E0" w:rsidP="004543E0">
      <w:pPr>
        <w:pStyle w:val="Heading4"/>
      </w:pPr>
      <w:r w:rsidRPr="009660EC">
        <w:t>Incorporation of nitrous oxide mitigation technologies into the Agriculture inventory</w:t>
      </w:r>
    </w:p>
    <w:p w14:paraId="48ED79B0" w14:textId="77777777" w:rsidR="004543E0" w:rsidRPr="009660EC" w:rsidRDefault="004543E0" w:rsidP="004543E0">
      <w:pPr>
        <w:pStyle w:val="Heading5"/>
        <w:spacing w:before="160"/>
        <w:rPr>
          <w:rFonts w:cs="Calibri"/>
        </w:rPr>
      </w:pPr>
      <w:r w:rsidRPr="009660EC">
        <w:rPr>
          <w:rFonts w:cs="Calibri"/>
        </w:rPr>
        <w:t xml:space="preserve">Urease inhibitors </w:t>
      </w:r>
    </w:p>
    <w:p w14:paraId="59623DFC" w14:textId="77777777" w:rsidR="004543E0" w:rsidRPr="009660EC" w:rsidRDefault="004543E0" w:rsidP="009952BB">
      <w:pPr>
        <w:pStyle w:val="BodyText"/>
        <w:spacing w:before="100"/>
      </w:pPr>
      <w:r w:rsidRPr="009660EC">
        <w:t xml:space="preserve">The </w:t>
      </w:r>
      <w:r w:rsidRPr="009660EC">
        <w:rPr>
          <w:spacing w:val="-2"/>
        </w:rPr>
        <w:t>N</w:t>
      </w:r>
      <w:r w:rsidRPr="009660EC">
        <w:rPr>
          <w:spacing w:val="-2"/>
          <w:vertAlign w:val="subscript"/>
        </w:rPr>
        <w:t>2</w:t>
      </w:r>
      <w:r w:rsidRPr="009660EC">
        <w:rPr>
          <w:spacing w:val="-2"/>
        </w:rPr>
        <w:t>O</w:t>
      </w:r>
      <w:r w:rsidRPr="009660EC">
        <w:t xml:space="preserve"> emissions reported in the </w:t>
      </w:r>
      <w:r w:rsidRPr="009660EC">
        <w:rPr>
          <w:i/>
          <w:iCs/>
        </w:rPr>
        <w:t>Agricultural soils</w:t>
      </w:r>
      <w:r w:rsidRPr="009660EC">
        <w:t xml:space="preserve"> category take into account the use of urease inhibitors, a greenhouse gas mitigation technology. Urea is the main type of synthetic nitrogen </w:t>
      </w:r>
      <w:r w:rsidRPr="009660EC">
        <w:rPr>
          <w:spacing w:val="-2"/>
        </w:rPr>
        <w:t>fertiliser applied to pastures. Urease inhibitors restrict the action of the urease</w:t>
      </w:r>
      <w:r w:rsidRPr="009660EC">
        <w:t xml:space="preserve"> </w:t>
      </w:r>
      <w:r w:rsidRPr="009660EC">
        <w:rPr>
          <w:spacing w:val="-2"/>
        </w:rPr>
        <w:t>enzyme. Urease is a catalyst for the volatilisation of the nitrogen contained in urea fertiliser and urine into</w:t>
      </w:r>
      <w:r w:rsidRPr="009660EC">
        <w:t> </w:t>
      </w:r>
      <w:r w:rsidRPr="009660EC">
        <w:rPr>
          <w:spacing w:val="-2"/>
        </w:rPr>
        <w:t>NH</w:t>
      </w:r>
      <w:r w:rsidRPr="009660EC">
        <w:rPr>
          <w:spacing w:val="-2"/>
          <w:vertAlign w:val="subscript"/>
        </w:rPr>
        <w:t>3</w:t>
      </w:r>
      <w:r w:rsidRPr="009660EC">
        <w:rPr>
          <w:spacing w:val="-2"/>
        </w:rPr>
        <w:t xml:space="preserve"> gas. </w:t>
      </w:r>
    </w:p>
    <w:p w14:paraId="28F0DFB7" w14:textId="77777777" w:rsidR="004543E0" w:rsidRPr="009660EC" w:rsidRDefault="004543E0" w:rsidP="009952BB">
      <w:pPr>
        <w:pStyle w:val="BodyText"/>
        <w:spacing w:before="100"/>
      </w:pPr>
      <w:r w:rsidRPr="009660EC">
        <w:t>Urease inhibitor mitigation is included in New Zealand’s Agriculture inventory by adjusting the value of the existing country-specific N</w:t>
      </w:r>
      <w:r w:rsidRPr="009660EC">
        <w:rPr>
          <w:vertAlign w:val="subscript"/>
        </w:rPr>
        <w:t>2</w:t>
      </w:r>
      <w:r w:rsidRPr="009660EC">
        <w:t>O parameter: Frac</w:t>
      </w:r>
      <w:r w:rsidRPr="009660EC">
        <w:rPr>
          <w:vertAlign w:val="subscript"/>
        </w:rPr>
        <w:t>GASF</w:t>
      </w:r>
      <w:r w:rsidRPr="009660EC">
        <w:t>. Saggar et al. (2013) assessed the mitigating effect of the urease inhibitor nBTPT (sold as ‘Agrotain’), the most widely used product. Saggar et al. (2013) showed that the presently recommended country-specific value of Frac</w:t>
      </w:r>
      <w:r w:rsidRPr="009660EC">
        <w:rPr>
          <w:vertAlign w:val="subscript"/>
        </w:rPr>
        <w:t>GASF</w:t>
      </w:r>
      <w:r w:rsidRPr="009660EC">
        <w:t xml:space="preserve"> of 0.1 should be reduced to 0.055 for urease treated urea fertiliser. This finding was based on field and laboratory studies conducted both in New Zealand and worldwide.</w:t>
      </w:r>
    </w:p>
    <w:p w14:paraId="3BC329ED" w14:textId="77777777" w:rsidR="004543E0" w:rsidRPr="009660EC" w:rsidRDefault="004543E0" w:rsidP="009952BB">
      <w:pPr>
        <w:pStyle w:val="BodyText"/>
        <w:spacing w:before="100"/>
      </w:pPr>
      <w:r w:rsidRPr="009660EC">
        <w:t>Indirect N</w:t>
      </w:r>
      <w:r w:rsidRPr="009660EC">
        <w:rPr>
          <w:vertAlign w:val="subscript"/>
        </w:rPr>
        <w:t>2</w:t>
      </w:r>
      <w:r w:rsidRPr="009660EC">
        <w:t>O emissions from volatilisation from all synthetic nitrogen fertilisers (including urea and other nitrogen fertilisers, with and without urease inhibitors applied to the urea component) are calculated as shown below:</w:t>
      </w:r>
    </w:p>
    <w:p w14:paraId="492C36A6" w14:textId="77777777" w:rsidR="004543E0" w:rsidRPr="009660EC" w:rsidRDefault="004543E0" w:rsidP="004543E0">
      <w:pPr>
        <w:pStyle w:val="BodyText"/>
        <w:spacing w:before="60" w:after="0"/>
      </w:pPr>
      <w:r w:rsidRPr="009660EC">
        <w:object w:dxaOrig="8186" w:dyaOrig="719" w14:anchorId="0243F495">
          <v:shape id="_x0000_i1108" type="#_x0000_t75" style="width:410.25pt;height:36pt" o:ole="">
            <v:imagedata r:id="rId169" o:title="" cropbottom="11442f"/>
          </v:shape>
          <o:OLEObject Type="Embed" ProgID="Word.Document.12" ShapeID="_x0000_i1108" DrawAspect="Content" ObjectID="_1710830409" r:id="rId170">
            <o:FieldCodes>\s</o:FieldCodes>
          </o:OLEObject>
        </w:object>
      </w:r>
    </w:p>
    <w:p w14:paraId="40395812" w14:textId="77777777" w:rsidR="004543E0" w:rsidRPr="009660EC" w:rsidRDefault="004543E0" w:rsidP="004543E0">
      <w:pPr>
        <w:pStyle w:val="BodyText"/>
        <w:spacing w:after="40"/>
        <w:ind w:left="964" w:hanging="964"/>
      </w:pPr>
      <w:r w:rsidRPr="009660EC">
        <w:lastRenderedPageBreak/>
        <w:t>Where:</w:t>
      </w:r>
      <w:r w:rsidRPr="009660EC">
        <w:tab/>
        <w:t>N</w:t>
      </w:r>
      <w:r w:rsidRPr="009660EC">
        <w:rPr>
          <w:vertAlign w:val="subscript"/>
        </w:rPr>
        <w:t>2</w:t>
      </w:r>
      <w:r w:rsidRPr="009660EC">
        <w:t>O</w:t>
      </w:r>
      <w:r w:rsidRPr="009660EC">
        <w:rPr>
          <w:vertAlign w:val="subscript"/>
        </w:rPr>
        <w:t>ATD-FSN</w:t>
      </w:r>
      <w:r w:rsidRPr="009660EC">
        <w:t>–N is the annual amount of N</w:t>
      </w:r>
      <w:r w:rsidRPr="009660EC">
        <w:rPr>
          <w:vertAlign w:val="subscript"/>
        </w:rPr>
        <w:t>2</w:t>
      </w:r>
      <w:r w:rsidRPr="009660EC">
        <w:t>O-N produced by atmospheric deposition of volatilised nitrogen from all synthetic nitrogen fertiliser applied to agricultural soils (kg N</w:t>
      </w:r>
      <w:r w:rsidRPr="009660EC">
        <w:rPr>
          <w:vertAlign w:val="subscript"/>
        </w:rPr>
        <w:t>2</w:t>
      </w:r>
      <w:r w:rsidRPr="009660EC">
        <w:t>O-N/year)</w:t>
      </w:r>
    </w:p>
    <w:p w14:paraId="72F4753D" w14:textId="77777777" w:rsidR="004543E0" w:rsidRPr="009660EC" w:rsidRDefault="004543E0" w:rsidP="004543E0">
      <w:pPr>
        <w:pStyle w:val="BodyText"/>
        <w:spacing w:before="60" w:after="40"/>
        <w:ind w:left="964"/>
      </w:pPr>
      <w:r w:rsidRPr="009660EC">
        <w:t xml:space="preserve">S is urea fertiliser (untreated), urea fertiliser (treated) or non-urea nitrogen fertiliser </w:t>
      </w:r>
    </w:p>
    <w:p w14:paraId="2742A909" w14:textId="77777777" w:rsidR="004543E0" w:rsidRPr="009660EC" w:rsidRDefault="004543E0" w:rsidP="004543E0">
      <w:pPr>
        <w:pStyle w:val="BodyText"/>
        <w:spacing w:before="60" w:after="60"/>
        <w:ind w:left="964"/>
      </w:pPr>
      <w:r w:rsidRPr="009660EC">
        <w:t>F</w:t>
      </w:r>
      <w:r w:rsidRPr="009660EC">
        <w:rPr>
          <w:vertAlign w:val="subscript"/>
        </w:rPr>
        <w:t>SN</w:t>
      </w:r>
      <w:r w:rsidRPr="009660EC">
        <w:t xml:space="preserve"> is the total annual amount of synthetic nitrogen fertiliser applied (kg N/year) per fertiliser type, S</w:t>
      </w:r>
    </w:p>
    <w:p w14:paraId="435B8C1F" w14:textId="77777777" w:rsidR="004543E0" w:rsidRPr="009660EC" w:rsidRDefault="004543E0" w:rsidP="004543E0">
      <w:pPr>
        <w:pStyle w:val="BodyText"/>
        <w:spacing w:before="60" w:after="60"/>
        <w:ind w:left="964"/>
      </w:pPr>
      <w:r w:rsidRPr="009660EC">
        <w:t>Frac</w:t>
      </w:r>
      <w:r w:rsidRPr="009660EC">
        <w:rPr>
          <w:vertAlign w:val="subscript"/>
        </w:rPr>
        <w:t>GASF</w:t>
      </w:r>
      <w:r w:rsidRPr="009660EC">
        <w:t xml:space="preserve"> is the fraction of nitrogen from synthetic nitrogen fertiliser that volatilises as NH</w:t>
      </w:r>
      <w:r w:rsidRPr="009660EC">
        <w:rPr>
          <w:vertAlign w:val="subscript"/>
        </w:rPr>
        <w:t>3</w:t>
      </w:r>
      <w:r w:rsidRPr="009660EC">
        <w:t xml:space="preserve"> and NO</w:t>
      </w:r>
      <w:r w:rsidRPr="009660EC">
        <w:rPr>
          <w:vertAlign w:val="subscript"/>
        </w:rPr>
        <w:t>x</w:t>
      </w:r>
      <w:r w:rsidRPr="009660EC">
        <w:t>; 0.055 for treated urea fertiliser and 0.1 for untreated urea and other nitrogen fertiliser, and</w:t>
      </w:r>
    </w:p>
    <w:p w14:paraId="2A1B508A" w14:textId="77777777" w:rsidR="004543E0" w:rsidRPr="009660EC" w:rsidRDefault="004543E0" w:rsidP="004543E0">
      <w:pPr>
        <w:pStyle w:val="BodyText"/>
        <w:spacing w:before="60"/>
        <w:ind w:left="964"/>
      </w:pPr>
      <w:r w:rsidRPr="009660EC">
        <w:t>EF</w:t>
      </w:r>
      <w:r w:rsidRPr="009660EC">
        <w:rPr>
          <w:vertAlign w:val="subscript"/>
        </w:rPr>
        <w:t>4</w:t>
      </w:r>
      <w:r w:rsidRPr="009660EC">
        <w:t xml:space="preserve"> is the emission factor for N</w:t>
      </w:r>
      <w:r w:rsidRPr="009660EC">
        <w:rPr>
          <w:vertAlign w:val="subscript"/>
        </w:rPr>
        <w:t>2</w:t>
      </w:r>
      <w:r w:rsidRPr="009660EC">
        <w:t>O emissions from atmospheric deposition of nitrogen on soils and water; 0.01 per cent.</w:t>
      </w:r>
    </w:p>
    <w:p w14:paraId="74ED7859" w14:textId="77777777" w:rsidR="004543E0" w:rsidRPr="009660EC" w:rsidRDefault="004543E0" w:rsidP="004543E0">
      <w:pPr>
        <w:pStyle w:val="BodyText"/>
      </w:pPr>
      <w:r w:rsidRPr="009660EC">
        <w:t>All other emission factors and parameters relating to animal excreta and synthetic nitrogen fertiliser use (Frac</w:t>
      </w:r>
      <w:r w:rsidRPr="009660EC">
        <w:rPr>
          <w:vertAlign w:val="subscript"/>
        </w:rPr>
        <w:t>GASM</w:t>
      </w:r>
      <w:r w:rsidRPr="009660EC">
        <w:t>, Frac</w:t>
      </w:r>
      <w:r w:rsidRPr="009660EC">
        <w:rPr>
          <w:vertAlign w:val="subscript"/>
        </w:rPr>
        <w:t>LEACH</w:t>
      </w:r>
      <w:r w:rsidRPr="009660EC">
        <w:t xml:space="preserve"> and EF</w:t>
      </w:r>
      <w:r w:rsidRPr="009660EC">
        <w:rPr>
          <w:vertAlign w:val="subscript"/>
        </w:rPr>
        <w:t>1</w:t>
      </w:r>
      <w:r w:rsidRPr="009660EC">
        <w:t>) do not change as a result of including urease inhibitors in the calculations. An adjustment for Frac</w:t>
      </w:r>
      <w:r w:rsidRPr="009660EC">
        <w:rPr>
          <w:vertAlign w:val="subscript"/>
        </w:rPr>
        <w:t>GASM</w:t>
      </w:r>
      <w:r w:rsidRPr="009660EC">
        <w:t xml:space="preserve"> was not recommended because the effect of urease inhibitors on reducing NH</w:t>
      </w:r>
      <w:r w:rsidRPr="009660EC">
        <w:rPr>
          <w:vertAlign w:val="subscript"/>
        </w:rPr>
        <w:t>3</w:t>
      </w:r>
      <w:r w:rsidRPr="009660EC">
        <w:t xml:space="preserve"> volatilisation from animal dung and urine could not be accurately assessed (Saggar et al., 2013).</w:t>
      </w:r>
    </w:p>
    <w:p w14:paraId="552EF3B4" w14:textId="77777777" w:rsidR="004543E0" w:rsidRPr="009660EC" w:rsidRDefault="004543E0" w:rsidP="004543E0">
      <w:pPr>
        <w:pStyle w:val="BodyText"/>
      </w:pPr>
      <w:r w:rsidRPr="009660EC">
        <w:t>Urea fertiliser coated with urease inhibitors was first used commercially in New Zealand in 2001. Activity data on urease inhibitor usage are provided by the Fertiliser Association of New Zealand from sales records.</w:t>
      </w:r>
      <w:r w:rsidRPr="009660EC">
        <w:rPr>
          <w:rStyle w:val="FootnoteReference"/>
          <w:rFonts w:cs="Calibri"/>
        </w:rPr>
        <w:footnoteReference w:id="61"/>
      </w:r>
      <w:r w:rsidRPr="009660EC">
        <w:t xml:space="preserve"> These activity data record the total amount of nitrogen in urea fertiliser that has been treated with a urease inhibitor. Some urea fertiliser coated with urease inhibitors is also blended into other non-nitrogen fertiliser products. </w:t>
      </w:r>
    </w:p>
    <w:p w14:paraId="05482686" w14:textId="77777777" w:rsidR="004543E0" w:rsidRPr="009660EC" w:rsidRDefault="004543E0" w:rsidP="004543E0">
      <w:pPr>
        <w:pStyle w:val="BodyText"/>
      </w:pPr>
      <w:r w:rsidRPr="009660EC">
        <w:t>Estimates of the mitigation impact of urease inhibitors on N</w:t>
      </w:r>
      <w:r w:rsidRPr="009660EC">
        <w:rPr>
          <w:vertAlign w:val="subscript"/>
        </w:rPr>
        <w:t>2</w:t>
      </w:r>
      <w:r w:rsidRPr="009660EC">
        <w:t>O emissions from volatilisation for the calendar years 2001 to 2020 are shown in table 5.5.9. In 2014, 2016 and 2019, large increases occurred in the use of urease inhibitors.</w:t>
      </w:r>
    </w:p>
    <w:p w14:paraId="3BFA85E6" w14:textId="77777777" w:rsidR="004543E0" w:rsidRPr="009660EC" w:rsidRDefault="004543E0" w:rsidP="004543E0">
      <w:pPr>
        <w:pStyle w:val="Table"/>
        <w:rPr>
          <w:rFonts w:cs="Calibri"/>
        </w:rPr>
      </w:pPr>
      <w:bookmarkStart w:id="1049" w:name="_Toc441830884"/>
      <w:bookmarkStart w:id="1050" w:name="_Toc451176098"/>
      <w:bookmarkStart w:id="1051" w:name="_Toc481751526"/>
      <w:bookmarkStart w:id="1052" w:name="_Toc507158614"/>
      <w:bookmarkStart w:id="1053" w:name="_Toc511116748"/>
      <w:bookmarkStart w:id="1054" w:name="_Toc5269490"/>
      <w:bookmarkStart w:id="1055" w:name="_Toc32570935"/>
      <w:bookmarkStart w:id="1056" w:name="_Toc36224570"/>
      <w:bookmarkStart w:id="1057" w:name="_Toc68786455"/>
      <w:bookmarkStart w:id="1058" w:name="_Toc95574088"/>
      <w:bookmarkStart w:id="1059" w:name="_Toc99659261"/>
      <w:r w:rsidRPr="009660EC">
        <w:rPr>
          <w:rFonts w:cs="Calibri"/>
        </w:rPr>
        <w:t>Table 5.5.9</w:t>
      </w:r>
      <w:r w:rsidRPr="009660EC">
        <w:rPr>
          <w:rFonts w:cs="Calibri"/>
        </w:rPr>
        <w:tab/>
        <w:t>Mitigation impact of urease inhibitors on nitrous oxide emissions from volatilisation,</w:t>
      </w:r>
      <w:r w:rsidRPr="009660EC">
        <w:rPr>
          <w:rFonts w:cs="Calibri"/>
        </w:rPr>
        <w:br/>
        <w:t xml:space="preserve">from 2001 to </w:t>
      </w:r>
      <w:bookmarkEnd w:id="1049"/>
      <w:bookmarkEnd w:id="1050"/>
      <w:bookmarkEnd w:id="1051"/>
      <w:bookmarkEnd w:id="1052"/>
      <w:bookmarkEnd w:id="1053"/>
      <w:bookmarkEnd w:id="1054"/>
      <w:bookmarkEnd w:id="1055"/>
      <w:bookmarkEnd w:id="1056"/>
      <w:bookmarkEnd w:id="1057"/>
      <w:r w:rsidRPr="009660EC">
        <w:rPr>
          <w:rFonts w:cs="Calibri"/>
        </w:rPr>
        <w:t>2020</w:t>
      </w:r>
      <w:bookmarkEnd w:id="1058"/>
      <w:bookmarkEnd w:id="1059"/>
      <w:r w:rsidRPr="009660EC">
        <w:rPr>
          <w:rFonts w:cs="Calibri"/>
        </w:rPr>
        <w:t xml:space="preserve"> </w:t>
      </w:r>
    </w:p>
    <w:tbl>
      <w:tblPr>
        <w:tblW w:w="8505" w:type="dxa"/>
        <w:tblInd w:w="113" w:type="dxa"/>
        <w:tblBorders>
          <w:top w:val="single" w:sz="4" w:space="0" w:color="44546A"/>
          <w:bottom w:val="single" w:sz="4" w:space="0" w:color="44546A"/>
          <w:insideH w:val="single" w:sz="4" w:space="0" w:color="44546A"/>
        </w:tblBorders>
        <w:tblLayout w:type="fixed"/>
        <w:tblCellMar>
          <w:left w:w="85" w:type="dxa"/>
          <w:right w:w="85" w:type="dxa"/>
        </w:tblCellMar>
        <w:tblLook w:val="00A0" w:firstRow="1" w:lastRow="0" w:firstColumn="1" w:lastColumn="0" w:noHBand="0" w:noVBand="0"/>
      </w:tblPr>
      <w:tblGrid>
        <w:gridCol w:w="1113"/>
        <w:gridCol w:w="3928"/>
        <w:gridCol w:w="3464"/>
      </w:tblGrid>
      <w:tr w:rsidR="000C7549" w:rsidRPr="000C7549" w14:paraId="64FC6E48" w14:textId="77777777" w:rsidTr="000C7549">
        <w:trPr>
          <w:tblHeader/>
        </w:trPr>
        <w:tc>
          <w:tcPr>
            <w:tcW w:w="1113" w:type="dxa"/>
            <w:shd w:val="clear" w:color="auto" w:fill="1B556B"/>
            <w:vAlign w:val="bottom"/>
          </w:tcPr>
          <w:p w14:paraId="14EF8A45" w14:textId="77777777" w:rsidR="004543E0" w:rsidRPr="000C7549" w:rsidRDefault="004543E0" w:rsidP="007E3239">
            <w:pPr>
              <w:pStyle w:val="TableTextBold"/>
              <w:spacing w:before="50" w:after="50"/>
              <w:rPr>
                <w:rFonts w:cs="Calibri"/>
                <w:noProof w:val="0"/>
                <w:color w:val="FFFFFF"/>
                <w:szCs w:val="16"/>
              </w:rPr>
            </w:pPr>
            <w:r w:rsidRPr="000C7549">
              <w:rPr>
                <w:rFonts w:cs="Calibri"/>
                <w:noProof w:val="0"/>
                <w:color w:val="FFFFFF"/>
                <w:szCs w:val="16"/>
              </w:rPr>
              <w:t>Year</w:t>
            </w:r>
          </w:p>
        </w:tc>
        <w:tc>
          <w:tcPr>
            <w:tcW w:w="3928" w:type="dxa"/>
            <w:shd w:val="clear" w:color="auto" w:fill="1B556B"/>
          </w:tcPr>
          <w:p w14:paraId="44983802" w14:textId="77777777" w:rsidR="004543E0" w:rsidRPr="000C7549" w:rsidRDefault="004543E0" w:rsidP="007E3239">
            <w:pPr>
              <w:pStyle w:val="TableTextBold"/>
              <w:spacing w:before="50" w:after="50"/>
              <w:jc w:val="center"/>
              <w:rPr>
                <w:rFonts w:cs="Calibri"/>
                <w:i/>
                <w:iCs/>
                <w:noProof w:val="0"/>
                <w:color w:val="FFFFFF"/>
                <w:szCs w:val="16"/>
              </w:rPr>
            </w:pPr>
            <w:r w:rsidRPr="000C7549">
              <w:rPr>
                <w:rFonts w:cs="Calibri"/>
                <w:noProof w:val="0"/>
                <w:color w:val="FFFFFF"/>
                <w:szCs w:val="16"/>
              </w:rPr>
              <w:t>Percentage of urea fertiliser applied that included urease inhibitor (urea treated/total urea)</w:t>
            </w:r>
          </w:p>
        </w:tc>
        <w:tc>
          <w:tcPr>
            <w:tcW w:w="3464" w:type="dxa"/>
            <w:shd w:val="clear" w:color="auto" w:fill="1B556B"/>
          </w:tcPr>
          <w:p w14:paraId="1EA96E62" w14:textId="77777777" w:rsidR="004543E0" w:rsidRPr="000C7549" w:rsidRDefault="004543E0" w:rsidP="007E3239">
            <w:pPr>
              <w:pStyle w:val="TableTextBold"/>
              <w:spacing w:before="50" w:after="50"/>
              <w:jc w:val="center"/>
              <w:rPr>
                <w:rFonts w:cs="Calibri"/>
                <w:i/>
                <w:iCs/>
                <w:noProof w:val="0"/>
                <w:color w:val="FFFFFF"/>
                <w:szCs w:val="16"/>
              </w:rPr>
            </w:pPr>
            <w:r w:rsidRPr="000C7549">
              <w:rPr>
                <w:rFonts w:cs="Calibri"/>
                <w:noProof w:val="0"/>
                <w:color w:val="FFFFFF"/>
                <w:szCs w:val="16"/>
              </w:rPr>
              <w:t>Estimated greenhouse gas mitigation from using urease inhibitor (kt CO</w:t>
            </w:r>
            <w:r w:rsidRPr="000C7549">
              <w:rPr>
                <w:rFonts w:cs="Calibri"/>
                <w:noProof w:val="0"/>
                <w:color w:val="FFFFFF"/>
                <w:szCs w:val="16"/>
                <w:vertAlign w:val="subscript"/>
              </w:rPr>
              <w:t>2</w:t>
            </w:r>
            <w:r w:rsidRPr="000C7549">
              <w:rPr>
                <w:rFonts w:cs="Calibri"/>
                <w:noProof w:val="0"/>
                <w:color w:val="FFFFFF"/>
                <w:szCs w:val="16"/>
              </w:rPr>
              <w:t>-e)</w:t>
            </w:r>
          </w:p>
        </w:tc>
      </w:tr>
      <w:tr w:rsidR="004543E0" w:rsidRPr="000C7549" w14:paraId="7A7E2973" w14:textId="77777777" w:rsidTr="000C7549">
        <w:tc>
          <w:tcPr>
            <w:tcW w:w="1113" w:type="dxa"/>
            <w:shd w:val="clear" w:color="auto" w:fill="auto"/>
          </w:tcPr>
          <w:p w14:paraId="431FA157" w14:textId="77777777" w:rsidR="004543E0" w:rsidRPr="000C7549" w:rsidRDefault="004543E0" w:rsidP="009952BB">
            <w:pPr>
              <w:pStyle w:val="TableText"/>
              <w:spacing w:before="40" w:after="40"/>
              <w:rPr>
                <w:rFonts w:cs="Calibri"/>
                <w:szCs w:val="16"/>
              </w:rPr>
            </w:pPr>
            <w:r w:rsidRPr="000C7549">
              <w:rPr>
                <w:rFonts w:cs="Calibri"/>
                <w:szCs w:val="16"/>
              </w:rPr>
              <w:t>2001</w:t>
            </w:r>
          </w:p>
        </w:tc>
        <w:tc>
          <w:tcPr>
            <w:tcW w:w="3928" w:type="dxa"/>
            <w:shd w:val="clear" w:color="auto" w:fill="auto"/>
            <w:vAlign w:val="bottom"/>
          </w:tcPr>
          <w:p w14:paraId="2F7D50A3" w14:textId="77777777" w:rsidR="004543E0" w:rsidRPr="000C7549" w:rsidRDefault="004543E0" w:rsidP="009952BB">
            <w:pPr>
              <w:pStyle w:val="TableText"/>
              <w:spacing w:before="40" w:after="40"/>
              <w:jc w:val="center"/>
              <w:rPr>
                <w:rFonts w:cs="Calibri"/>
                <w:szCs w:val="16"/>
              </w:rPr>
            </w:pPr>
            <w:r w:rsidRPr="000C7549">
              <w:rPr>
                <w:rFonts w:cs="Calibri"/>
                <w:szCs w:val="16"/>
              </w:rPr>
              <w:t>5.6</w:t>
            </w:r>
          </w:p>
        </w:tc>
        <w:tc>
          <w:tcPr>
            <w:tcW w:w="3464" w:type="dxa"/>
            <w:shd w:val="clear" w:color="auto" w:fill="auto"/>
            <w:vAlign w:val="bottom"/>
          </w:tcPr>
          <w:p w14:paraId="758B425F" w14:textId="77777777" w:rsidR="004543E0" w:rsidRPr="000C7549" w:rsidRDefault="004543E0" w:rsidP="009952BB">
            <w:pPr>
              <w:pStyle w:val="TableText"/>
              <w:spacing w:before="40" w:after="40"/>
              <w:jc w:val="center"/>
              <w:rPr>
                <w:rFonts w:cs="Calibri"/>
                <w:szCs w:val="16"/>
              </w:rPr>
            </w:pPr>
            <w:r w:rsidRPr="000C7549">
              <w:rPr>
                <w:rFonts w:cs="Calibri"/>
                <w:szCs w:val="16"/>
              </w:rPr>
              <w:t>2.2</w:t>
            </w:r>
          </w:p>
        </w:tc>
      </w:tr>
      <w:tr w:rsidR="004543E0" w:rsidRPr="000C7549" w14:paraId="236CBD16" w14:textId="77777777" w:rsidTr="000C7549">
        <w:tc>
          <w:tcPr>
            <w:tcW w:w="1113" w:type="dxa"/>
            <w:shd w:val="clear" w:color="auto" w:fill="auto"/>
          </w:tcPr>
          <w:p w14:paraId="55091331" w14:textId="77777777" w:rsidR="004543E0" w:rsidRPr="000C7549" w:rsidRDefault="004543E0" w:rsidP="009952BB">
            <w:pPr>
              <w:pStyle w:val="TableText"/>
              <w:spacing w:before="40" w:after="40"/>
              <w:rPr>
                <w:rFonts w:cs="Calibri"/>
                <w:szCs w:val="16"/>
              </w:rPr>
            </w:pPr>
            <w:r w:rsidRPr="000C7549">
              <w:rPr>
                <w:rFonts w:cs="Calibri"/>
                <w:szCs w:val="16"/>
              </w:rPr>
              <w:t>2002</w:t>
            </w:r>
          </w:p>
        </w:tc>
        <w:tc>
          <w:tcPr>
            <w:tcW w:w="3928" w:type="dxa"/>
            <w:shd w:val="clear" w:color="auto" w:fill="auto"/>
            <w:vAlign w:val="bottom"/>
          </w:tcPr>
          <w:p w14:paraId="583226BA" w14:textId="77777777" w:rsidR="004543E0" w:rsidRPr="000C7549" w:rsidRDefault="004543E0" w:rsidP="009952BB">
            <w:pPr>
              <w:pStyle w:val="TableText"/>
              <w:spacing w:before="40" w:after="40"/>
              <w:jc w:val="center"/>
              <w:rPr>
                <w:rFonts w:cs="Calibri"/>
                <w:szCs w:val="16"/>
              </w:rPr>
            </w:pPr>
            <w:r w:rsidRPr="000C7549">
              <w:rPr>
                <w:rFonts w:cs="Calibri"/>
                <w:szCs w:val="16"/>
              </w:rPr>
              <w:t>3.8</w:t>
            </w:r>
          </w:p>
        </w:tc>
        <w:tc>
          <w:tcPr>
            <w:tcW w:w="3464" w:type="dxa"/>
            <w:shd w:val="clear" w:color="auto" w:fill="auto"/>
            <w:vAlign w:val="bottom"/>
          </w:tcPr>
          <w:p w14:paraId="170484F1" w14:textId="77777777" w:rsidR="004543E0" w:rsidRPr="000C7549" w:rsidRDefault="004543E0" w:rsidP="009952BB">
            <w:pPr>
              <w:pStyle w:val="TableText"/>
              <w:spacing w:before="40" w:after="40"/>
              <w:jc w:val="center"/>
              <w:rPr>
                <w:rFonts w:cs="Calibri"/>
                <w:szCs w:val="16"/>
              </w:rPr>
            </w:pPr>
            <w:r w:rsidRPr="000C7549">
              <w:rPr>
                <w:rFonts w:cs="Calibri"/>
                <w:szCs w:val="16"/>
              </w:rPr>
              <w:t>1.9</w:t>
            </w:r>
          </w:p>
        </w:tc>
      </w:tr>
      <w:tr w:rsidR="004543E0" w:rsidRPr="000C7549" w14:paraId="5D2DCD73" w14:textId="77777777" w:rsidTr="000C7549">
        <w:tc>
          <w:tcPr>
            <w:tcW w:w="1113" w:type="dxa"/>
            <w:shd w:val="clear" w:color="auto" w:fill="auto"/>
          </w:tcPr>
          <w:p w14:paraId="1D9EBCED" w14:textId="77777777" w:rsidR="004543E0" w:rsidRPr="000C7549" w:rsidDel="00E408EA" w:rsidRDefault="004543E0" w:rsidP="009952BB">
            <w:pPr>
              <w:pStyle w:val="TableText"/>
              <w:spacing w:before="40" w:after="40"/>
              <w:rPr>
                <w:rFonts w:cs="Calibri"/>
                <w:szCs w:val="16"/>
              </w:rPr>
            </w:pPr>
            <w:r w:rsidRPr="000C7549">
              <w:rPr>
                <w:rFonts w:cs="Calibri"/>
                <w:szCs w:val="16"/>
              </w:rPr>
              <w:t>2003</w:t>
            </w:r>
          </w:p>
        </w:tc>
        <w:tc>
          <w:tcPr>
            <w:tcW w:w="3928" w:type="dxa"/>
            <w:shd w:val="clear" w:color="auto" w:fill="auto"/>
            <w:vAlign w:val="bottom"/>
          </w:tcPr>
          <w:p w14:paraId="6DC291F5"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4.6</w:t>
            </w:r>
          </w:p>
        </w:tc>
        <w:tc>
          <w:tcPr>
            <w:tcW w:w="3464" w:type="dxa"/>
            <w:shd w:val="clear" w:color="auto" w:fill="auto"/>
            <w:vAlign w:val="bottom"/>
          </w:tcPr>
          <w:p w14:paraId="5C66573E"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2.6</w:t>
            </w:r>
          </w:p>
        </w:tc>
      </w:tr>
      <w:tr w:rsidR="004543E0" w:rsidRPr="000C7549" w14:paraId="4AEA1DFF" w14:textId="77777777" w:rsidTr="000C7549">
        <w:tc>
          <w:tcPr>
            <w:tcW w:w="1113" w:type="dxa"/>
            <w:shd w:val="clear" w:color="auto" w:fill="auto"/>
          </w:tcPr>
          <w:p w14:paraId="412F8C25" w14:textId="77777777" w:rsidR="004543E0" w:rsidRPr="000C7549" w:rsidDel="00E408EA" w:rsidRDefault="004543E0" w:rsidP="009952BB">
            <w:pPr>
              <w:pStyle w:val="TableText"/>
              <w:spacing w:before="40" w:after="40"/>
              <w:rPr>
                <w:rFonts w:cs="Calibri"/>
                <w:szCs w:val="16"/>
              </w:rPr>
            </w:pPr>
            <w:r w:rsidRPr="000C7549">
              <w:rPr>
                <w:rFonts w:cs="Calibri"/>
                <w:szCs w:val="16"/>
              </w:rPr>
              <w:t>2004</w:t>
            </w:r>
          </w:p>
        </w:tc>
        <w:tc>
          <w:tcPr>
            <w:tcW w:w="3928" w:type="dxa"/>
            <w:shd w:val="clear" w:color="auto" w:fill="auto"/>
            <w:vAlign w:val="bottom"/>
          </w:tcPr>
          <w:p w14:paraId="58203956"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8.1</w:t>
            </w:r>
          </w:p>
        </w:tc>
        <w:tc>
          <w:tcPr>
            <w:tcW w:w="3464" w:type="dxa"/>
            <w:shd w:val="clear" w:color="auto" w:fill="auto"/>
            <w:vAlign w:val="bottom"/>
          </w:tcPr>
          <w:p w14:paraId="67448689"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4.8</w:t>
            </w:r>
          </w:p>
        </w:tc>
      </w:tr>
      <w:tr w:rsidR="004543E0" w:rsidRPr="000C7549" w14:paraId="4FD457E7" w14:textId="77777777" w:rsidTr="000C7549">
        <w:tc>
          <w:tcPr>
            <w:tcW w:w="1113" w:type="dxa"/>
            <w:shd w:val="clear" w:color="auto" w:fill="auto"/>
          </w:tcPr>
          <w:p w14:paraId="128D8C84" w14:textId="77777777" w:rsidR="004543E0" w:rsidRPr="000C7549" w:rsidRDefault="004543E0" w:rsidP="009952BB">
            <w:pPr>
              <w:pStyle w:val="TableText"/>
              <w:spacing w:before="40" w:after="40"/>
              <w:rPr>
                <w:rFonts w:cs="Calibri"/>
                <w:szCs w:val="16"/>
              </w:rPr>
            </w:pPr>
            <w:r w:rsidRPr="000C7549">
              <w:rPr>
                <w:rFonts w:cs="Calibri"/>
                <w:szCs w:val="16"/>
              </w:rPr>
              <w:t>2005</w:t>
            </w:r>
          </w:p>
        </w:tc>
        <w:tc>
          <w:tcPr>
            <w:tcW w:w="3928" w:type="dxa"/>
            <w:shd w:val="clear" w:color="auto" w:fill="auto"/>
            <w:vAlign w:val="bottom"/>
          </w:tcPr>
          <w:p w14:paraId="5B54655D"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1.6</w:t>
            </w:r>
          </w:p>
        </w:tc>
        <w:tc>
          <w:tcPr>
            <w:tcW w:w="3464" w:type="dxa"/>
            <w:shd w:val="clear" w:color="auto" w:fill="auto"/>
            <w:vAlign w:val="bottom"/>
          </w:tcPr>
          <w:p w14:paraId="4FC19094"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1.0</w:t>
            </w:r>
          </w:p>
        </w:tc>
      </w:tr>
      <w:tr w:rsidR="004543E0" w:rsidRPr="000C7549" w14:paraId="1F528EB8" w14:textId="77777777" w:rsidTr="000C7549">
        <w:tc>
          <w:tcPr>
            <w:tcW w:w="1113" w:type="dxa"/>
            <w:shd w:val="clear" w:color="auto" w:fill="auto"/>
          </w:tcPr>
          <w:p w14:paraId="203D2677" w14:textId="77777777" w:rsidR="004543E0" w:rsidRPr="000C7549" w:rsidRDefault="004543E0" w:rsidP="009952BB">
            <w:pPr>
              <w:pStyle w:val="TableText"/>
              <w:spacing w:before="40" w:after="40"/>
              <w:rPr>
                <w:rFonts w:cs="Calibri"/>
                <w:szCs w:val="16"/>
              </w:rPr>
            </w:pPr>
            <w:r w:rsidRPr="000C7549">
              <w:rPr>
                <w:rFonts w:cs="Calibri"/>
                <w:szCs w:val="16"/>
              </w:rPr>
              <w:t>2006</w:t>
            </w:r>
          </w:p>
        </w:tc>
        <w:tc>
          <w:tcPr>
            <w:tcW w:w="3928" w:type="dxa"/>
            <w:shd w:val="clear" w:color="auto" w:fill="auto"/>
            <w:vAlign w:val="bottom"/>
          </w:tcPr>
          <w:p w14:paraId="64F96C22"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8.4</w:t>
            </w:r>
          </w:p>
        </w:tc>
        <w:tc>
          <w:tcPr>
            <w:tcW w:w="3464" w:type="dxa"/>
            <w:shd w:val="clear" w:color="auto" w:fill="auto"/>
            <w:vAlign w:val="bottom"/>
          </w:tcPr>
          <w:p w14:paraId="4FB64A70"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4.7</w:t>
            </w:r>
          </w:p>
        </w:tc>
      </w:tr>
      <w:tr w:rsidR="004543E0" w:rsidRPr="000C7549" w14:paraId="67D73C18" w14:textId="77777777" w:rsidTr="000C7549">
        <w:tc>
          <w:tcPr>
            <w:tcW w:w="1113" w:type="dxa"/>
            <w:shd w:val="clear" w:color="auto" w:fill="auto"/>
          </w:tcPr>
          <w:p w14:paraId="3D39EF21" w14:textId="77777777" w:rsidR="004543E0" w:rsidRPr="000C7549" w:rsidRDefault="004543E0" w:rsidP="009952BB">
            <w:pPr>
              <w:pStyle w:val="TableText"/>
              <w:spacing w:before="40" w:after="40"/>
              <w:rPr>
                <w:rFonts w:cs="Calibri"/>
                <w:szCs w:val="16"/>
              </w:rPr>
            </w:pPr>
            <w:r w:rsidRPr="000C7549">
              <w:rPr>
                <w:rFonts w:cs="Calibri"/>
                <w:szCs w:val="16"/>
              </w:rPr>
              <w:t>2007</w:t>
            </w:r>
          </w:p>
        </w:tc>
        <w:tc>
          <w:tcPr>
            <w:tcW w:w="3928" w:type="dxa"/>
            <w:shd w:val="clear" w:color="auto" w:fill="auto"/>
            <w:vAlign w:val="bottom"/>
          </w:tcPr>
          <w:p w14:paraId="729786FF"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5.0</w:t>
            </w:r>
          </w:p>
        </w:tc>
        <w:tc>
          <w:tcPr>
            <w:tcW w:w="3464" w:type="dxa"/>
            <w:shd w:val="clear" w:color="auto" w:fill="auto"/>
            <w:vAlign w:val="bottom"/>
          </w:tcPr>
          <w:p w14:paraId="3A22E5D0"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3.0</w:t>
            </w:r>
          </w:p>
        </w:tc>
      </w:tr>
      <w:tr w:rsidR="004543E0" w:rsidRPr="000C7549" w14:paraId="1E0B19D5" w14:textId="77777777" w:rsidTr="000C7549">
        <w:tc>
          <w:tcPr>
            <w:tcW w:w="1113" w:type="dxa"/>
            <w:shd w:val="clear" w:color="auto" w:fill="auto"/>
          </w:tcPr>
          <w:p w14:paraId="47295543" w14:textId="77777777" w:rsidR="004543E0" w:rsidRPr="000C7549" w:rsidRDefault="004543E0" w:rsidP="009952BB">
            <w:pPr>
              <w:pStyle w:val="TableText"/>
              <w:spacing w:before="40" w:after="40"/>
              <w:rPr>
                <w:rFonts w:cs="Calibri"/>
                <w:szCs w:val="16"/>
              </w:rPr>
            </w:pPr>
            <w:r w:rsidRPr="000C7549">
              <w:rPr>
                <w:rFonts w:cs="Calibri"/>
                <w:szCs w:val="16"/>
              </w:rPr>
              <w:t>2008</w:t>
            </w:r>
          </w:p>
        </w:tc>
        <w:tc>
          <w:tcPr>
            <w:tcW w:w="3928" w:type="dxa"/>
            <w:shd w:val="clear" w:color="auto" w:fill="auto"/>
            <w:vAlign w:val="bottom"/>
          </w:tcPr>
          <w:p w14:paraId="17B8BE70"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5.2</w:t>
            </w:r>
          </w:p>
        </w:tc>
        <w:tc>
          <w:tcPr>
            <w:tcW w:w="3464" w:type="dxa"/>
            <w:shd w:val="clear" w:color="auto" w:fill="auto"/>
            <w:vAlign w:val="bottom"/>
          </w:tcPr>
          <w:p w14:paraId="256E9306"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3.0</w:t>
            </w:r>
          </w:p>
        </w:tc>
      </w:tr>
      <w:tr w:rsidR="004543E0" w:rsidRPr="000C7549" w14:paraId="70AE1BD5" w14:textId="77777777" w:rsidTr="000C7549">
        <w:tc>
          <w:tcPr>
            <w:tcW w:w="1113" w:type="dxa"/>
            <w:shd w:val="clear" w:color="auto" w:fill="auto"/>
          </w:tcPr>
          <w:p w14:paraId="2AEAD340" w14:textId="77777777" w:rsidR="004543E0" w:rsidRPr="000C7549" w:rsidRDefault="004543E0" w:rsidP="009952BB">
            <w:pPr>
              <w:pStyle w:val="TableText"/>
              <w:spacing w:before="40" w:after="40"/>
              <w:rPr>
                <w:rFonts w:cs="Calibri"/>
                <w:szCs w:val="16"/>
              </w:rPr>
            </w:pPr>
            <w:r w:rsidRPr="000C7549">
              <w:rPr>
                <w:rFonts w:cs="Calibri"/>
                <w:szCs w:val="16"/>
              </w:rPr>
              <w:t>2009</w:t>
            </w:r>
          </w:p>
        </w:tc>
        <w:tc>
          <w:tcPr>
            <w:tcW w:w="3928" w:type="dxa"/>
            <w:shd w:val="clear" w:color="auto" w:fill="auto"/>
            <w:vAlign w:val="bottom"/>
          </w:tcPr>
          <w:p w14:paraId="0DB7140C"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9.4</w:t>
            </w:r>
          </w:p>
        </w:tc>
        <w:tc>
          <w:tcPr>
            <w:tcW w:w="3464" w:type="dxa"/>
            <w:shd w:val="clear" w:color="auto" w:fill="auto"/>
            <w:vAlign w:val="bottom"/>
          </w:tcPr>
          <w:p w14:paraId="4388C303"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4.7</w:t>
            </w:r>
          </w:p>
        </w:tc>
      </w:tr>
      <w:tr w:rsidR="004543E0" w:rsidRPr="000C7549" w14:paraId="04665DF0" w14:textId="77777777" w:rsidTr="000C7549">
        <w:tc>
          <w:tcPr>
            <w:tcW w:w="1113" w:type="dxa"/>
            <w:shd w:val="clear" w:color="auto" w:fill="auto"/>
          </w:tcPr>
          <w:p w14:paraId="626EC119" w14:textId="77777777" w:rsidR="004543E0" w:rsidRPr="000C7549" w:rsidRDefault="004543E0" w:rsidP="009952BB">
            <w:pPr>
              <w:pStyle w:val="TableText"/>
              <w:spacing w:before="40" w:after="40"/>
              <w:rPr>
                <w:rFonts w:cs="Calibri"/>
                <w:szCs w:val="16"/>
              </w:rPr>
            </w:pPr>
            <w:r w:rsidRPr="000C7549">
              <w:rPr>
                <w:rFonts w:cs="Calibri"/>
                <w:szCs w:val="16"/>
              </w:rPr>
              <w:t>2010</w:t>
            </w:r>
          </w:p>
        </w:tc>
        <w:tc>
          <w:tcPr>
            <w:tcW w:w="3928" w:type="dxa"/>
            <w:shd w:val="clear" w:color="auto" w:fill="auto"/>
            <w:vAlign w:val="bottom"/>
          </w:tcPr>
          <w:p w14:paraId="4DF2CCB3"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6.9</w:t>
            </w:r>
          </w:p>
        </w:tc>
        <w:tc>
          <w:tcPr>
            <w:tcW w:w="3464" w:type="dxa"/>
            <w:shd w:val="clear" w:color="auto" w:fill="auto"/>
            <w:vAlign w:val="bottom"/>
          </w:tcPr>
          <w:p w14:paraId="76A3C917"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4.1</w:t>
            </w:r>
          </w:p>
        </w:tc>
      </w:tr>
      <w:tr w:rsidR="004543E0" w:rsidRPr="000C7549" w14:paraId="3BE30B73" w14:textId="77777777" w:rsidTr="000C7549">
        <w:tc>
          <w:tcPr>
            <w:tcW w:w="1113" w:type="dxa"/>
            <w:shd w:val="clear" w:color="auto" w:fill="auto"/>
          </w:tcPr>
          <w:p w14:paraId="662E66EC" w14:textId="77777777" w:rsidR="004543E0" w:rsidRPr="000C7549" w:rsidRDefault="004543E0" w:rsidP="009952BB">
            <w:pPr>
              <w:pStyle w:val="TableText"/>
              <w:spacing w:before="40" w:after="40"/>
              <w:rPr>
                <w:rFonts w:cs="Calibri"/>
                <w:szCs w:val="16"/>
              </w:rPr>
            </w:pPr>
            <w:r w:rsidRPr="000C7549">
              <w:rPr>
                <w:rFonts w:cs="Calibri"/>
                <w:szCs w:val="16"/>
              </w:rPr>
              <w:t>2011</w:t>
            </w:r>
          </w:p>
        </w:tc>
        <w:tc>
          <w:tcPr>
            <w:tcW w:w="3928" w:type="dxa"/>
            <w:shd w:val="clear" w:color="auto" w:fill="auto"/>
            <w:vAlign w:val="bottom"/>
          </w:tcPr>
          <w:p w14:paraId="1D2F686B"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5.3</w:t>
            </w:r>
          </w:p>
        </w:tc>
        <w:tc>
          <w:tcPr>
            <w:tcW w:w="3464" w:type="dxa"/>
            <w:shd w:val="clear" w:color="auto" w:fill="auto"/>
            <w:vAlign w:val="bottom"/>
          </w:tcPr>
          <w:p w14:paraId="3EC58DF0"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3.5</w:t>
            </w:r>
          </w:p>
        </w:tc>
      </w:tr>
      <w:tr w:rsidR="004543E0" w:rsidRPr="000C7549" w14:paraId="48084B6C" w14:textId="77777777" w:rsidTr="000C7549">
        <w:tc>
          <w:tcPr>
            <w:tcW w:w="1113" w:type="dxa"/>
            <w:shd w:val="clear" w:color="auto" w:fill="auto"/>
          </w:tcPr>
          <w:p w14:paraId="103B1DC3" w14:textId="77777777" w:rsidR="004543E0" w:rsidRPr="000C7549" w:rsidRDefault="004543E0" w:rsidP="009952BB">
            <w:pPr>
              <w:pStyle w:val="TableText"/>
              <w:spacing w:before="40" w:after="40"/>
              <w:rPr>
                <w:rFonts w:cs="Calibri"/>
                <w:szCs w:val="16"/>
              </w:rPr>
            </w:pPr>
            <w:r w:rsidRPr="000C7549">
              <w:rPr>
                <w:rFonts w:cs="Calibri"/>
                <w:szCs w:val="16"/>
              </w:rPr>
              <w:t>2012</w:t>
            </w:r>
          </w:p>
        </w:tc>
        <w:tc>
          <w:tcPr>
            <w:tcW w:w="3928" w:type="dxa"/>
            <w:shd w:val="clear" w:color="auto" w:fill="auto"/>
            <w:vAlign w:val="bottom"/>
          </w:tcPr>
          <w:p w14:paraId="46F1734B"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7.0</w:t>
            </w:r>
          </w:p>
        </w:tc>
        <w:tc>
          <w:tcPr>
            <w:tcW w:w="3464" w:type="dxa"/>
            <w:shd w:val="clear" w:color="auto" w:fill="auto"/>
            <w:vAlign w:val="bottom"/>
          </w:tcPr>
          <w:p w14:paraId="37E0D997"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4.6</w:t>
            </w:r>
          </w:p>
        </w:tc>
      </w:tr>
      <w:tr w:rsidR="004543E0" w:rsidRPr="000C7549" w14:paraId="4C9E1473" w14:textId="77777777" w:rsidTr="000C7549">
        <w:tc>
          <w:tcPr>
            <w:tcW w:w="1113" w:type="dxa"/>
            <w:shd w:val="clear" w:color="auto" w:fill="auto"/>
          </w:tcPr>
          <w:p w14:paraId="014258B6" w14:textId="77777777" w:rsidR="004543E0" w:rsidRPr="000C7549" w:rsidRDefault="004543E0" w:rsidP="009952BB">
            <w:pPr>
              <w:pStyle w:val="TableText"/>
              <w:spacing w:before="40" w:after="40"/>
              <w:rPr>
                <w:rFonts w:cs="Calibri"/>
                <w:szCs w:val="16"/>
              </w:rPr>
            </w:pPr>
            <w:r w:rsidRPr="000C7549">
              <w:rPr>
                <w:rFonts w:cs="Calibri"/>
                <w:szCs w:val="16"/>
              </w:rPr>
              <w:t>2013</w:t>
            </w:r>
          </w:p>
        </w:tc>
        <w:tc>
          <w:tcPr>
            <w:tcW w:w="3928" w:type="dxa"/>
            <w:shd w:val="clear" w:color="auto" w:fill="auto"/>
            <w:vAlign w:val="bottom"/>
          </w:tcPr>
          <w:p w14:paraId="6951F5DD"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8.6</w:t>
            </w:r>
          </w:p>
        </w:tc>
        <w:tc>
          <w:tcPr>
            <w:tcW w:w="3464" w:type="dxa"/>
            <w:shd w:val="clear" w:color="auto" w:fill="auto"/>
            <w:vAlign w:val="bottom"/>
          </w:tcPr>
          <w:p w14:paraId="0851FE86"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5.9</w:t>
            </w:r>
          </w:p>
        </w:tc>
      </w:tr>
      <w:tr w:rsidR="004543E0" w:rsidRPr="000C7549" w14:paraId="0AD6A05A" w14:textId="77777777" w:rsidTr="000C7549">
        <w:tc>
          <w:tcPr>
            <w:tcW w:w="1113" w:type="dxa"/>
            <w:shd w:val="clear" w:color="auto" w:fill="auto"/>
          </w:tcPr>
          <w:p w14:paraId="67835B56" w14:textId="77777777" w:rsidR="004543E0" w:rsidRPr="000C7549" w:rsidRDefault="004543E0" w:rsidP="009952BB">
            <w:pPr>
              <w:pStyle w:val="TableText"/>
              <w:spacing w:before="40" w:after="40"/>
              <w:rPr>
                <w:rFonts w:cs="Calibri"/>
                <w:szCs w:val="16"/>
              </w:rPr>
            </w:pPr>
            <w:r w:rsidRPr="000C7549">
              <w:rPr>
                <w:rFonts w:cs="Calibri"/>
                <w:szCs w:val="16"/>
              </w:rPr>
              <w:t>2014</w:t>
            </w:r>
          </w:p>
        </w:tc>
        <w:tc>
          <w:tcPr>
            <w:tcW w:w="3928" w:type="dxa"/>
            <w:shd w:val="clear" w:color="auto" w:fill="auto"/>
            <w:vAlign w:val="bottom"/>
          </w:tcPr>
          <w:p w14:paraId="3553F119"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20.2</w:t>
            </w:r>
          </w:p>
        </w:tc>
        <w:tc>
          <w:tcPr>
            <w:tcW w:w="3464" w:type="dxa"/>
            <w:shd w:val="clear" w:color="auto" w:fill="auto"/>
            <w:vAlign w:val="bottom"/>
          </w:tcPr>
          <w:p w14:paraId="70551369"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13.6</w:t>
            </w:r>
          </w:p>
        </w:tc>
      </w:tr>
      <w:tr w:rsidR="004543E0" w:rsidRPr="000C7549" w14:paraId="3F1322CD" w14:textId="77777777" w:rsidTr="000C7549">
        <w:tc>
          <w:tcPr>
            <w:tcW w:w="1113" w:type="dxa"/>
            <w:shd w:val="clear" w:color="auto" w:fill="auto"/>
          </w:tcPr>
          <w:p w14:paraId="66D26440" w14:textId="77777777" w:rsidR="004543E0" w:rsidRPr="000C7549" w:rsidRDefault="004543E0" w:rsidP="009952BB">
            <w:pPr>
              <w:pStyle w:val="TableText"/>
              <w:spacing w:before="40" w:after="40"/>
              <w:rPr>
                <w:rFonts w:cs="Calibri"/>
                <w:szCs w:val="16"/>
              </w:rPr>
            </w:pPr>
            <w:r w:rsidRPr="000C7549">
              <w:rPr>
                <w:rFonts w:cs="Calibri"/>
                <w:szCs w:val="16"/>
              </w:rPr>
              <w:t>2015</w:t>
            </w:r>
          </w:p>
        </w:tc>
        <w:tc>
          <w:tcPr>
            <w:tcW w:w="3928" w:type="dxa"/>
            <w:shd w:val="clear" w:color="auto" w:fill="auto"/>
            <w:vAlign w:val="bottom"/>
          </w:tcPr>
          <w:p w14:paraId="305CD700"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16.2</w:t>
            </w:r>
          </w:p>
        </w:tc>
        <w:tc>
          <w:tcPr>
            <w:tcW w:w="3464" w:type="dxa"/>
            <w:shd w:val="clear" w:color="auto" w:fill="auto"/>
            <w:vAlign w:val="bottom"/>
          </w:tcPr>
          <w:p w14:paraId="74B0D61E"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13.1</w:t>
            </w:r>
          </w:p>
        </w:tc>
      </w:tr>
      <w:tr w:rsidR="004543E0" w:rsidRPr="000C7549" w14:paraId="66575C7B" w14:textId="77777777" w:rsidTr="000C7549">
        <w:tc>
          <w:tcPr>
            <w:tcW w:w="1113" w:type="dxa"/>
            <w:shd w:val="clear" w:color="auto" w:fill="auto"/>
          </w:tcPr>
          <w:p w14:paraId="5C2AED82" w14:textId="77777777" w:rsidR="004543E0" w:rsidRPr="000C7549" w:rsidRDefault="004543E0" w:rsidP="009952BB">
            <w:pPr>
              <w:pStyle w:val="TableText"/>
              <w:spacing w:before="40" w:after="40"/>
              <w:rPr>
                <w:rFonts w:cs="Calibri"/>
                <w:szCs w:val="16"/>
              </w:rPr>
            </w:pPr>
            <w:r w:rsidRPr="000C7549">
              <w:rPr>
                <w:rFonts w:cs="Calibri"/>
                <w:szCs w:val="16"/>
              </w:rPr>
              <w:t>2016</w:t>
            </w:r>
          </w:p>
        </w:tc>
        <w:tc>
          <w:tcPr>
            <w:tcW w:w="3928" w:type="dxa"/>
            <w:shd w:val="clear" w:color="auto" w:fill="auto"/>
            <w:vAlign w:val="bottom"/>
          </w:tcPr>
          <w:p w14:paraId="75E688AA"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26.5</w:t>
            </w:r>
          </w:p>
        </w:tc>
        <w:tc>
          <w:tcPr>
            <w:tcW w:w="3464" w:type="dxa"/>
            <w:shd w:val="clear" w:color="auto" w:fill="auto"/>
            <w:vAlign w:val="bottom"/>
          </w:tcPr>
          <w:p w14:paraId="2815C5F0" w14:textId="77777777" w:rsidR="004543E0" w:rsidRPr="000C7549" w:rsidRDefault="004543E0" w:rsidP="009952BB">
            <w:pPr>
              <w:pStyle w:val="TableText"/>
              <w:spacing w:before="40" w:after="40"/>
              <w:jc w:val="center"/>
              <w:rPr>
                <w:rFonts w:cs="Calibri"/>
                <w:color w:val="000000"/>
                <w:szCs w:val="16"/>
              </w:rPr>
            </w:pPr>
            <w:r w:rsidRPr="000C7549">
              <w:rPr>
                <w:rFonts w:cs="Calibri"/>
                <w:szCs w:val="16"/>
              </w:rPr>
              <w:t>20.1</w:t>
            </w:r>
          </w:p>
        </w:tc>
      </w:tr>
      <w:tr w:rsidR="004543E0" w:rsidRPr="000C7549" w14:paraId="57FDE61B" w14:textId="77777777" w:rsidTr="000C7549">
        <w:tc>
          <w:tcPr>
            <w:tcW w:w="1113" w:type="dxa"/>
            <w:shd w:val="clear" w:color="auto" w:fill="auto"/>
          </w:tcPr>
          <w:p w14:paraId="4083C1C9" w14:textId="77777777" w:rsidR="004543E0" w:rsidRPr="000C7549" w:rsidRDefault="004543E0" w:rsidP="009952BB">
            <w:pPr>
              <w:pStyle w:val="TableText"/>
              <w:spacing w:before="40" w:after="40"/>
              <w:rPr>
                <w:rFonts w:cs="Calibri"/>
                <w:szCs w:val="16"/>
              </w:rPr>
            </w:pPr>
            <w:r w:rsidRPr="000C7549">
              <w:rPr>
                <w:rFonts w:cs="Calibri"/>
                <w:szCs w:val="16"/>
              </w:rPr>
              <w:t>2017</w:t>
            </w:r>
          </w:p>
        </w:tc>
        <w:tc>
          <w:tcPr>
            <w:tcW w:w="3928" w:type="dxa"/>
            <w:shd w:val="clear" w:color="auto" w:fill="auto"/>
            <w:vAlign w:val="bottom"/>
          </w:tcPr>
          <w:p w14:paraId="19AE1377" w14:textId="77777777" w:rsidR="004543E0" w:rsidRPr="000C7549" w:rsidRDefault="004543E0" w:rsidP="009952BB">
            <w:pPr>
              <w:pStyle w:val="TableText"/>
              <w:spacing w:before="40" w:after="40"/>
              <w:jc w:val="center"/>
              <w:rPr>
                <w:rFonts w:cs="Calibri"/>
                <w:szCs w:val="16"/>
              </w:rPr>
            </w:pPr>
            <w:r w:rsidRPr="000C7549">
              <w:rPr>
                <w:rFonts w:cs="Calibri"/>
                <w:szCs w:val="16"/>
              </w:rPr>
              <w:t>27.8</w:t>
            </w:r>
          </w:p>
        </w:tc>
        <w:tc>
          <w:tcPr>
            <w:tcW w:w="3464" w:type="dxa"/>
            <w:shd w:val="clear" w:color="auto" w:fill="auto"/>
            <w:vAlign w:val="bottom"/>
          </w:tcPr>
          <w:p w14:paraId="462D6EBB" w14:textId="77777777" w:rsidR="004543E0" w:rsidRPr="000C7549" w:rsidRDefault="004543E0" w:rsidP="009952BB">
            <w:pPr>
              <w:pStyle w:val="TableText"/>
              <w:spacing w:before="40" w:after="40"/>
              <w:jc w:val="center"/>
              <w:rPr>
                <w:rFonts w:cs="Calibri"/>
                <w:szCs w:val="16"/>
              </w:rPr>
            </w:pPr>
            <w:r w:rsidRPr="000C7549">
              <w:rPr>
                <w:rFonts w:cs="Calibri"/>
                <w:szCs w:val="16"/>
              </w:rPr>
              <w:t>21.6</w:t>
            </w:r>
          </w:p>
        </w:tc>
      </w:tr>
      <w:tr w:rsidR="004543E0" w:rsidRPr="000C7549" w14:paraId="6849E5C9" w14:textId="77777777" w:rsidTr="000C7549">
        <w:tc>
          <w:tcPr>
            <w:tcW w:w="1113" w:type="dxa"/>
            <w:shd w:val="clear" w:color="auto" w:fill="auto"/>
          </w:tcPr>
          <w:p w14:paraId="42718269" w14:textId="77777777" w:rsidR="004543E0" w:rsidRPr="000C7549" w:rsidRDefault="004543E0" w:rsidP="009952BB">
            <w:pPr>
              <w:pStyle w:val="TableText"/>
              <w:spacing w:before="40" w:after="40"/>
              <w:rPr>
                <w:rFonts w:cs="Calibri"/>
                <w:szCs w:val="16"/>
              </w:rPr>
            </w:pPr>
            <w:r w:rsidRPr="000C7549">
              <w:rPr>
                <w:rFonts w:cs="Calibri"/>
                <w:szCs w:val="16"/>
              </w:rPr>
              <w:lastRenderedPageBreak/>
              <w:t>2018</w:t>
            </w:r>
          </w:p>
        </w:tc>
        <w:tc>
          <w:tcPr>
            <w:tcW w:w="3928" w:type="dxa"/>
            <w:shd w:val="clear" w:color="auto" w:fill="auto"/>
            <w:vAlign w:val="bottom"/>
          </w:tcPr>
          <w:p w14:paraId="17A4BF81" w14:textId="77777777" w:rsidR="004543E0" w:rsidRPr="000C7549" w:rsidRDefault="004543E0" w:rsidP="009952BB">
            <w:pPr>
              <w:pStyle w:val="TableText"/>
              <w:spacing w:before="40" w:after="40"/>
              <w:jc w:val="center"/>
              <w:rPr>
                <w:rFonts w:cs="Calibri"/>
                <w:szCs w:val="16"/>
              </w:rPr>
            </w:pPr>
            <w:r w:rsidRPr="000C7549">
              <w:rPr>
                <w:rFonts w:cs="Calibri"/>
                <w:szCs w:val="16"/>
              </w:rPr>
              <w:t>29.9</w:t>
            </w:r>
          </w:p>
        </w:tc>
        <w:tc>
          <w:tcPr>
            <w:tcW w:w="3464" w:type="dxa"/>
            <w:shd w:val="clear" w:color="auto" w:fill="auto"/>
            <w:vAlign w:val="bottom"/>
          </w:tcPr>
          <w:p w14:paraId="265364AC" w14:textId="77777777" w:rsidR="004543E0" w:rsidRPr="000C7549" w:rsidRDefault="004543E0" w:rsidP="009952BB">
            <w:pPr>
              <w:pStyle w:val="TableText"/>
              <w:spacing w:before="40" w:after="40"/>
              <w:jc w:val="center"/>
              <w:rPr>
                <w:rFonts w:cs="Calibri"/>
                <w:szCs w:val="16"/>
              </w:rPr>
            </w:pPr>
            <w:r w:rsidRPr="000C7549">
              <w:rPr>
                <w:rFonts w:cs="Calibri"/>
                <w:szCs w:val="16"/>
              </w:rPr>
              <w:t>24.0</w:t>
            </w:r>
          </w:p>
        </w:tc>
      </w:tr>
      <w:tr w:rsidR="004543E0" w:rsidRPr="000C7549" w14:paraId="7C01D5BE" w14:textId="77777777" w:rsidTr="000C7549">
        <w:tc>
          <w:tcPr>
            <w:tcW w:w="1113" w:type="dxa"/>
            <w:shd w:val="clear" w:color="auto" w:fill="auto"/>
          </w:tcPr>
          <w:p w14:paraId="76013EE9" w14:textId="77777777" w:rsidR="004543E0" w:rsidRPr="000C7549" w:rsidRDefault="004543E0" w:rsidP="009952BB">
            <w:pPr>
              <w:pStyle w:val="TableText"/>
              <w:spacing w:before="40" w:after="40"/>
              <w:rPr>
                <w:rFonts w:cs="Calibri"/>
                <w:szCs w:val="16"/>
              </w:rPr>
            </w:pPr>
            <w:r w:rsidRPr="000C7549">
              <w:rPr>
                <w:rFonts w:cs="Calibri"/>
                <w:szCs w:val="16"/>
              </w:rPr>
              <w:t>2019</w:t>
            </w:r>
          </w:p>
        </w:tc>
        <w:tc>
          <w:tcPr>
            <w:tcW w:w="3928" w:type="dxa"/>
            <w:shd w:val="clear" w:color="auto" w:fill="auto"/>
            <w:vAlign w:val="bottom"/>
          </w:tcPr>
          <w:p w14:paraId="28D76A41" w14:textId="77777777" w:rsidR="004543E0" w:rsidRPr="000C7549" w:rsidRDefault="004543E0" w:rsidP="009952BB">
            <w:pPr>
              <w:pStyle w:val="TableText"/>
              <w:spacing w:before="40" w:after="40"/>
              <w:jc w:val="center"/>
              <w:rPr>
                <w:rFonts w:cs="Calibri"/>
                <w:szCs w:val="16"/>
              </w:rPr>
            </w:pPr>
            <w:r w:rsidRPr="000C7549">
              <w:rPr>
                <w:rFonts w:cs="Calibri"/>
                <w:szCs w:val="16"/>
              </w:rPr>
              <w:t>35.5</w:t>
            </w:r>
          </w:p>
        </w:tc>
        <w:tc>
          <w:tcPr>
            <w:tcW w:w="3464" w:type="dxa"/>
            <w:shd w:val="clear" w:color="auto" w:fill="auto"/>
            <w:vAlign w:val="bottom"/>
          </w:tcPr>
          <w:p w14:paraId="6B1411F5" w14:textId="77777777" w:rsidR="004543E0" w:rsidRPr="000C7549" w:rsidRDefault="004543E0" w:rsidP="009952BB">
            <w:pPr>
              <w:pStyle w:val="TableText"/>
              <w:spacing w:before="40" w:after="40"/>
              <w:jc w:val="center"/>
              <w:rPr>
                <w:rFonts w:cs="Calibri"/>
                <w:szCs w:val="16"/>
              </w:rPr>
            </w:pPr>
            <w:r w:rsidRPr="000C7549">
              <w:rPr>
                <w:rFonts w:cs="Calibri"/>
                <w:szCs w:val="16"/>
              </w:rPr>
              <w:t>26.8</w:t>
            </w:r>
          </w:p>
        </w:tc>
      </w:tr>
      <w:tr w:rsidR="004543E0" w:rsidRPr="000C7549" w14:paraId="2F707CEB" w14:textId="77777777" w:rsidTr="000C7549">
        <w:tc>
          <w:tcPr>
            <w:tcW w:w="1113" w:type="dxa"/>
            <w:shd w:val="clear" w:color="auto" w:fill="auto"/>
          </w:tcPr>
          <w:p w14:paraId="6D71D008" w14:textId="77777777" w:rsidR="004543E0" w:rsidRPr="000C7549" w:rsidRDefault="004543E0" w:rsidP="009952BB">
            <w:pPr>
              <w:pStyle w:val="TableText"/>
              <w:spacing w:before="40" w:after="40"/>
              <w:rPr>
                <w:rFonts w:cs="Calibri"/>
                <w:szCs w:val="16"/>
              </w:rPr>
            </w:pPr>
            <w:r w:rsidRPr="000C7549">
              <w:rPr>
                <w:rFonts w:cs="Calibri"/>
                <w:szCs w:val="16"/>
              </w:rPr>
              <w:t>2020</w:t>
            </w:r>
          </w:p>
        </w:tc>
        <w:tc>
          <w:tcPr>
            <w:tcW w:w="3928" w:type="dxa"/>
            <w:shd w:val="clear" w:color="auto" w:fill="auto"/>
            <w:vAlign w:val="bottom"/>
          </w:tcPr>
          <w:p w14:paraId="4246C668" w14:textId="77777777" w:rsidR="004543E0" w:rsidRPr="000C7549" w:rsidRDefault="004543E0" w:rsidP="009952BB">
            <w:pPr>
              <w:pStyle w:val="TableText"/>
              <w:spacing w:before="40" w:after="40"/>
              <w:jc w:val="center"/>
              <w:rPr>
                <w:rFonts w:cs="Calibri"/>
                <w:szCs w:val="16"/>
              </w:rPr>
            </w:pPr>
            <w:r w:rsidRPr="000C7549">
              <w:rPr>
                <w:rFonts w:cs="Calibri"/>
                <w:szCs w:val="16"/>
              </w:rPr>
              <w:t>41.8</w:t>
            </w:r>
          </w:p>
        </w:tc>
        <w:tc>
          <w:tcPr>
            <w:tcW w:w="3464" w:type="dxa"/>
            <w:shd w:val="clear" w:color="auto" w:fill="auto"/>
            <w:vAlign w:val="bottom"/>
          </w:tcPr>
          <w:p w14:paraId="3036553B" w14:textId="77777777" w:rsidR="004543E0" w:rsidRPr="000C7549" w:rsidRDefault="004543E0" w:rsidP="009952BB">
            <w:pPr>
              <w:pStyle w:val="TableText"/>
              <w:spacing w:before="40" w:after="40"/>
              <w:jc w:val="center"/>
              <w:rPr>
                <w:rFonts w:cs="Calibri"/>
                <w:szCs w:val="16"/>
              </w:rPr>
            </w:pPr>
            <w:r w:rsidRPr="000C7549">
              <w:rPr>
                <w:rFonts w:cs="Calibri"/>
                <w:szCs w:val="16"/>
              </w:rPr>
              <w:t>29.9</w:t>
            </w:r>
          </w:p>
        </w:tc>
      </w:tr>
    </w:tbl>
    <w:p w14:paraId="09751DF7" w14:textId="77777777" w:rsidR="004543E0" w:rsidRPr="009660EC" w:rsidRDefault="004543E0" w:rsidP="004543E0">
      <w:pPr>
        <w:pStyle w:val="Source"/>
        <w:rPr>
          <w:rFonts w:cs="Calibri"/>
          <w:sz w:val="18"/>
          <w:szCs w:val="24"/>
        </w:rPr>
      </w:pPr>
      <w:r w:rsidRPr="009660EC">
        <w:rPr>
          <w:rFonts w:cs="Calibri"/>
          <w:b/>
          <w:bCs/>
          <w:sz w:val="18"/>
          <w:szCs w:val="24"/>
        </w:rPr>
        <w:t>Source:</w:t>
      </w:r>
      <w:r w:rsidRPr="009660EC">
        <w:rPr>
          <w:rFonts w:cs="Calibri"/>
          <w:sz w:val="18"/>
          <w:szCs w:val="24"/>
        </w:rPr>
        <w:tab/>
        <w:t>Fertiliser Association of New Zealand and Ballance Agri-Nutrients Limited</w:t>
      </w:r>
    </w:p>
    <w:p w14:paraId="6D0B30FE" w14:textId="77777777" w:rsidR="004543E0" w:rsidRPr="009660EC" w:rsidRDefault="004543E0" w:rsidP="004543E0">
      <w:pPr>
        <w:pStyle w:val="Heading5"/>
      </w:pPr>
      <w:r w:rsidRPr="009660EC">
        <w:t xml:space="preserve">Nitrification inhibitor dicyandiamide </w:t>
      </w:r>
    </w:p>
    <w:p w14:paraId="61637D2D" w14:textId="77777777" w:rsidR="004543E0" w:rsidRPr="009660EC" w:rsidRDefault="004543E0" w:rsidP="004543E0">
      <w:pPr>
        <w:pStyle w:val="BodyText"/>
      </w:pPr>
      <w:r w:rsidRPr="009660EC">
        <w:t xml:space="preserve">A methodology has been developed to incorporate the nitrification inhibitor DCD, an </w:t>
      </w:r>
      <w:r w:rsidRPr="009660EC">
        <w:rPr>
          <w:spacing w:val="-2"/>
        </w:rPr>
        <w:t>N</w:t>
      </w:r>
      <w:r w:rsidRPr="009660EC">
        <w:rPr>
          <w:spacing w:val="-2"/>
          <w:vertAlign w:val="subscript"/>
        </w:rPr>
        <w:t>2</w:t>
      </w:r>
      <w:r w:rsidRPr="009660EC">
        <w:rPr>
          <w:spacing w:val="-2"/>
        </w:rPr>
        <w:t>O</w:t>
      </w:r>
      <w:r w:rsidRPr="009660EC">
        <w:t xml:space="preserve"> mitigation technology, into the inventory. The </w:t>
      </w:r>
      <w:r w:rsidRPr="009660EC">
        <w:rPr>
          <w:spacing w:val="-2"/>
        </w:rPr>
        <w:t>N</w:t>
      </w:r>
      <w:r w:rsidRPr="009660EC">
        <w:rPr>
          <w:spacing w:val="-2"/>
          <w:vertAlign w:val="subscript"/>
        </w:rPr>
        <w:t>2</w:t>
      </w:r>
      <w:r w:rsidRPr="009660EC">
        <w:rPr>
          <w:spacing w:val="-2"/>
        </w:rPr>
        <w:t>O</w:t>
      </w:r>
      <w:r w:rsidRPr="009660EC">
        <w:t xml:space="preserve"> emissions reported in the </w:t>
      </w:r>
      <w:r w:rsidRPr="009660EC">
        <w:rPr>
          <w:i/>
          <w:iCs/>
        </w:rPr>
        <w:t>Agricultural soils</w:t>
      </w:r>
      <w:r w:rsidRPr="009660EC">
        <w:t> category take into account the use of nitrification inhibitors on dairy farms using the methodology described in Clough et al. (2008). Greenhouse gas mitigation estimates from DCD are reported in the inventory only up until 2012, because it was no longer used after this time. Sales were suspended due to the detection of low levels of DCD residues in milk.</w:t>
      </w:r>
    </w:p>
    <w:p w14:paraId="40C61FC2" w14:textId="77777777" w:rsidR="004543E0" w:rsidRPr="009660EC" w:rsidRDefault="004543E0" w:rsidP="004543E0">
      <w:pPr>
        <w:pStyle w:val="BodyText"/>
      </w:pPr>
      <w:r w:rsidRPr="009660EC">
        <w:t xml:space="preserve">Research has shown that DCD reduces </w:t>
      </w:r>
      <w:r w:rsidRPr="009660EC">
        <w:rPr>
          <w:spacing w:val="-2"/>
        </w:rPr>
        <w:t>N</w:t>
      </w:r>
      <w:r w:rsidRPr="009660EC">
        <w:rPr>
          <w:spacing w:val="-2"/>
          <w:vertAlign w:val="subscript"/>
        </w:rPr>
        <w:t>2</w:t>
      </w:r>
      <w:r w:rsidRPr="009660EC">
        <w:rPr>
          <w:spacing w:val="-2"/>
        </w:rPr>
        <w:t>O</w:t>
      </w:r>
      <w:r w:rsidRPr="009660EC">
        <w:t xml:space="preserve"> emissions and nitrate (NO</w:t>
      </w:r>
      <w:r w:rsidRPr="009660EC">
        <w:rPr>
          <w:vertAlign w:val="subscript"/>
        </w:rPr>
        <w:t>3</w:t>
      </w:r>
      <w:r w:rsidRPr="009660EC">
        <w:t>–) leaching in pastoral grassland systems grazed by ruminant animals. The inventory methodology incorporates DCD use by modifying the emission factors EF</w:t>
      </w:r>
      <w:r w:rsidRPr="009660EC">
        <w:rPr>
          <w:vertAlign w:val="subscript"/>
        </w:rPr>
        <w:t>3(PRP)</w:t>
      </w:r>
      <w:r w:rsidRPr="009660EC">
        <w:t xml:space="preserve"> and the parameter Frac</w:t>
      </w:r>
      <w:r w:rsidRPr="009660EC">
        <w:rPr>
          <w:vertAlign w:val="subscript"/>
        </w:rPr>
        <w:t>LEACH</w:t>
      </w:r>
      <w:r w:rsidRPr="009660EC">
        <w:t xml:space="preserve"> (see table 5.5.5). These were modified based on comprehensive field-based research that showed significant reductions in direct and indirect </w:t>
      </w:r>
      <w:r w:rsidRPr="009660EC">
        <w:rPr>
          <w:spacing w:val="-2"/>
        </w:rPr>
        <w:t>N</w:t>
      </w:r>
      <w:r w:rsidRPr="009660EC">
        <w:rPr>
          <w:spacing w:val="-2"/>
          <w:vertAlign w:val="subscript"/>
        </w:rPr>
        <w:t>2</w:t>
      </w:r>
      <w:r w:rsidRPr="009660EC">
        <w:rPr>
          <w:spacing w:val="-2"/>
        </w:rPr>
        <w:t>O</w:t>
      </w:r>
      <w:r w:rsidRPr="009660EC">
        <w:t xml:space="preserve"> emissions and NO</w:t>
      </w:r>
      <w:r w:rsidRPr="009660EC">
        <w:rPr>
          <w:vertAlign w:val="subscript"/>
        </w:rPr>
        <w:t>3</w:t>
      </w:r>
      <w:r w:rsidRPr="009660EC">
        <w:t>– leaching where the DCD was applied. It was determined that, on a national basis, reductions in EF</w:t>
      </w:r>
      <w:r w:rsidRPr="009660EC">
        <w:rPr>
          <w:vertAlign w:val="subscript"/>
        </w:rPr>
        <w:t>3(PRP)</w:t>
      </w:r>
      <w:r w:rsidRPr="009660EC">
        <w:t xml:space="preserve"> and Frac</w:t>
      </w:r>
      <w:r w:rsidRPr="009660EC">
        <w:rPr>
          <w:vertAlign w:val="subscript"/>
        </w:rPr>
        <w:t>LEACH</w:t>
      </w:r>
      <w:r w:rsidRPr="009660EC">
        <w:t xml:space="preserve"> of 67 per cent and 53 per cent respectively could be made (Clough et al., 2008). </w:t>
      </w:r>
    </w:p>
    <w:p w14:paraId="0BBD2B59" w14:textId="77777777" w:rsidR="004543E0" w:rsidRPr="009660EC" w:rsidRDefault="004543E0" w:rsidP="004543E0">
      <w:pPr>
        <w:pStyle w:val="BodyText"/>
      </w:pPr>
      <w:r w:rsidRPr="009660EC">
        <w:t>Limited research has been done into the effect of DCD on dung (EF</w:t>
      </w:r>
      <w:r w:rsidRPr="009660EC">
        <w:rPr>
          <w:vertAlign w:val="subscript"/>
        </w:rPr>
        <w:t>3(PRP-DUNG)</w:t>
      </w:r>
      <w:r w:rsidRPr="009660EC">
        <w:t>); however, this research was inconclusive and further work needs to be carried out before incorporating the impact on dung emissions into the inventory. Application of this inhibitor was found to have no effect on NH</w:t>
      </w:r>
      <w:r w:rsidRPr="009660EC">
        <w:rPr>
          <w:vertAlign w:val="subscript"/>
        </w:rPr>
        <w:t>3</w:t>
      </w:r>
      <w:r w:rsidRPr="009660EC">
        <w:t xml:space="preserve"> volatilisation, which is supported by the results of field studies (Clough et al., 2008; Sherlock et al., 2008). Therefore, the parameter for volatilisation remains unchanged.</w:t>
      </w:r>
    </w:p>
    <w:p w14:paraId="7334AEF3" w14:textId="77777777" w:rsidR="004543E0" w:rsidRPr="009660EC" w:rsidRDefault="004543E0" w:rsidP="004543E0">
      <w:pPr>
        <w:pStyle w:val="BodyText"/>
        <w:rPr>
          <w:rFonts w:cs="Calibri"/>
        </w:rPr>
      </w:pPr>
      <w:r w:rsidRPr="009660EC">
        <w:rPr>
          <w:rFonts w:cs="Calibri"/>
        </w:rPr>
        <w:t>The DCD weighting factors are calculated based on reductions in emission factors and parameters, and the fraction of dairy land treated with the inhibitor, as follows:</w:t>
      </w:r>
    </w:p>
    <w:p w14:paraId="47289444" w14:textId="77777777" w:rsidR="004543E0" w:rsidRPr="009660EC" w:rsidRDefault="004543E0" w:rsidP="004543E0">
      <w:pPr>
        <w:pStyle w:val="BodyText"/>
      </w:pPr>
      <w:r w:rsidRPr="009660EC">
        <w:object w:dxaOrig="7391" w:dyaOrig="503" w14:anchorId="040ABC51">
          <v:shape id="_x0000_i1109" type="#_x0000_t75" style="width:375.05pt;height:28.45pt" o:ole="">
            <v:imagedata r:id="rId171" o:title="" cropright="4398f"/>
          </v:shape>
          <o:OLEObject Type="Embed" ProgID="Word.Document.12" ShapeID="_x0000_i1109" DrawAspect="Content" ObjectID="_1710830410" r:id="rId172">
            <o:FieldCodes>\s</o:FieldCodes>
          </o:OLEObject>
        </w:object>
      </w:r>
    </w:p>
    <w:p w14:paraId="7ACCD56F" w14:textId="77777777" w:rsidR="004543E0" w:rsidRPr="009660EC" w:rsidRDefault="004543E0" w:rsidP="004543E0">
      <w:pPr>
        <w:pStyle w:val="BodyText"/>
        <w:rPr>
          <w:rFonts w:cs="Calibri"/>
          <w:spacing w:val="-2"/>
        </w:rPr>
      </w:pPr>
      <w:r w:rsidRPr="009660EC">
        <w:rPr>
          <w:rFonts w:cs="Calibri"/>
          <w:spacing w:val="-2"/>
        </w:rPr>
        <w:t>The appropriate weighting factor is then used as an additional multiplier in the current methodology for calculating indirect and direct emissions of N</w:t>
      </w:r>
      <w:r w:rsidRPr="009660EC">
        <w:rPr>
          <w:rFonts w:cs="Calibri"/>
          <w:spacing w:val="-2"/>
          <w:vertAlign w:val="subscript"/>
        </w:rPr>
        <w:t>2</w:t>
      </w:r>
      <w:r w:rsidRPr="009660EC">
        <w:rPr>
          <w:rFonts w:cs="Calibri"/>
          <w:spacing w:val="-2"/>
        </w:rPr>
        <w:t>O from grazed pastures. The calculations use a modified EF</w:t>
      </w:r>
      <w:r w:rsidRPr="009660EC">
        <w:rPr>
          <w:rFonts w:cs="Calibri"/>
          <w:spacing w:val="-2"/>
          <w:vertAlign w:val="subscript"/>
        </w:rPr>
        <w:t xml:space="preserve">3(PRP) </w:t>
      </w:r>
      <w:r w:rsidRPr="009660EC">
        <w:rPr>
          <w:rFonts w:cs="Calibri"/>
          <w:spacing w:val="-2"/>
        </w:rPr>
        <w:t>of 0.0097 and Frac</w:t>
      </w:r>
      <w:r w:rsidRPr="009660EC">
        <w:rPr>
          <w:rFonts w:cs="Calibri"/>
          <w:spacing w:val="-2"/>
          <w:vertAlign w:val="subscript"/>
        </w:rPr>
        <w:t xml:space="preserve">LEACH </w:t>
      </w:r>
      <w:r w:rsidRPr="009660EC">
        <w:rPr>
          <w:rFonts w:cs="Calibri"/>
          <w:spacing w:val="-2"/>
        </w:rPr>
        <w:t>of 0.0696 for the dairy grazing area in the months that the inhibitor is applied (May to September). The modified emission factors (see table 5.5.10) are based on information from the Stats NZ Agricultural Production survey that 2.9 per cent of the effective dairying area in New Zealand received DCD in 2012.</w:t>
      </w:r>
    </w:p>
    <w:p w14:paraId="1F24F046" w14:textId="2885EACE" w:rsidR="004543E0" w:rsidRPr="009660EC" w:rsidRDefault="004543E0" w:rsidP="004543E0">
      <w:pPr>
        <w:pStyle w:val="BodyText"/>
        <w:rPr>
          <w:rFonts w:cs="Calibri"/>
          <w:spacing w:val="-2"/>
        </w:rPr>
      </w:pPr>
      <w:r w:rsidRPr="009660EC">
        <w:rPr>
          <w:rFonts w:cs="Calibri"/>
          <w:spacing w:val="-2"/>
        </w:rPr>
        <w:t>Activity data on livestock numbers come from the Stats NZ Agricultural Production survey. The inhibitor is applied to pastures based on recommended ‘good management practice’ to maximise N</w:t>
      </w:r>
      <w:r w:rsidRPr="009660EC">
        <w:rPr>
          <w:rFonts w:cs="Calibri"/>
          <w:spacing w:val="-2"/>
          <w:vertAlign w:val="subscript"/>
        </w:rPr>
        <w:t>2</w:t>
      </w:r>
      <w:r w:rsidRPr="009660EC">
        <w:rPr>
          <w:rFonts w:cs="Calibri"/>
          <w:spacing w:val="-2"/>
        </w:rPr>
        <w:t>O emission reductions. This is an application rate of 10 kilograms per hectare, applied twice per year in autumn (March to May) and early spring (September) within seven days</w:t>
      </w:r>
      <w:r w:rsidR="003B1A57">
        <w:rPr>
          <w:rFonts w:cs="Calibri"/>
          <w:spacing w:val="-2"/>
        </w:rPr>
        <w:t> </w:t>
      </w:r>
      <w:r w:rsidRPr="009660EC">
        <w:rPr>
          <w:rFonts w:cs="Calibri"/>
          <w:spacing w:val="-2"/>
        </w:rPr>
        <w:t>of the application of animal</w:t>
      </w:r>
      <w:r w:rsidRPr="009660EC">
        <w:rPr>
          <w:rFonts w:cs="Calibri"/>
        </w:rPr>
        <w:t xml:space="preserve"> </w:t>
      </w:r>
      <w:r w:rsidRPr="009660EC">
        <w:rPr>
          <w:rFonts w:cs="Calibri"/>
          <w:spacing w:val="-2"/>
        </w:rPr>
        <w:t>excreta. ‘Good practice’ application methods of DCD can be by</w:t>
      </w:r>
      <w:r w:rsidR="003B1A57">
        <w:rPr>
          <w:rFonts w:cs="Calibri"/>
          <w:spacing w:val="-2"/>
        </w:rPr>
        <w:t> </w:t>
      </w:r>
      <w:r w:rsidRPr="009660EC">
        <w:rPr>
          <w:rFonts w:cs="Calibri"/>
          <w:spacing w:val="-2"/>
        </w:rPr>
        <w:t>slurry or DCD-coated granule.</w:t>
      </w:r>
    </w:p>
    <w:p w14:paraId="67226519" w14:textId="77777777" w:rsidR="004543E0" w:rsidRPr="009660EC" w:rsidRDefault="004543E0" w:rsidP="003B1A57">
      <w:pPr>
        <w:pStyle w:val="BodyText"/>
        <w:keepNext/>
        <w:rPr>
          <w:rFonts w:cs="Calibri"/>
        </w:rPr>
      </w:pPr>
      <w:r w:rsidRPr="009660EC">
        <w:rPr>
          <w:rFonts w:cs="Calibri"/>
        </w:rPr>
        <w:lastRenderedPageBreak/>
        <w:t xml:space="preserve">Mitigation estimates for the calendar years 2007 to 2012 are shown in table 5.5.10. </w:t>
      </w:r>
    </w:p>
    <w:p w14:paraId="2D8D6EB6" w14:textId="77777777" w:rsidR="004543E0" w:rsidRPr="009660EC" w:rsidRDefault="004543E0" w:rsidP="003B1A57">
      <w:pPr>
        <w:pStyle w:val="Table"/>
        <w:rPr>
          <w:rFonts w:cs="Calibri"/>
        </w:rPr>
      </w:pPr>
      <w:bookmarkStart w:id="1060" w:name="_Toc441830885"/>
      <w:bookmarkStart w:id="1061" w:name="_Toc451176099"/>
      <w:bookmarkStart w:id="1062" w:name="_Toc481751527"/>
      <w:bookmarkStart w:id="1063" w:name="_Toc507158615"/>
      <w:bookmarkStart w:id="1064" w:name="_Toc511116749"/>
      <w:bookmarkStart w:id="1065" w:name="_Toc5269491"/>
      <w:bookmarkStart w:id="1066" w:name="_Toc32570936"/>
      <w:bookmarkStart w:id="1067" w:name="_Toc36224571"/>
      <w:bookmarkStart w:id="1068" w:name="_Toc68786456"/>
      <w:bookmarkStart w:id="1069" w:name="_Toc95574089"/>
      <w:bookmarkStart w:id="1070" w:name="_Toc99659262"/>
      <w:r w:rsidRPr="009660EC">
        <w:rPr>
          <w:rFonts w:cs="Calibri"/>
        </w:rPr>
        <w:t>Table 5.5.10</w:t>
      </w:r>
      <w:r w:rsidRPr="009660EC">
        <w:rPr>
          <w:rFonts w:cs="Calibri"/>
        </w:rPr>
        <w:tab/>
        <w:t>Emission factors, parameters and mitigation for New Zealand’s dicyandiamide inhibitor calculations</w:t>
      </w:r>
      <w:bookmarkEnd w:id="1060"/>
      <w:r w:rsidRPr="009660EC">
        <w:rPr>
          <w:rFonts w:cs="Calibri"/>
        </w:rPr>
        <w:t xml:space="preserve"> from 2007 to 2012</w:t>
      </w:r>
      <w:bookmarkEnd w:id="1061"/>
      <w:bookmarkEnd w:id="1062"/>
      <w:bookmarkEnd w:id="1063"/>
      <w:bookmarkEnd w:id="1064"/>
      <w:bookmarkEnd w:id="1065"/>
      <w:bookmarkEnd w:id="1066"/>
      <w:bookmarkEnd w:id="1067"/>
      <w:bookmarkEnd w:id="1068"/>
      <w:bookmarkEnd w:id="1069"/>
      <w:bookmarkEnd w:id="1070"/>
    </w:p>
    <w:tbl>
      <w:tblPr>
        <w:tblW w:w="8505" w:type="dxa"/>
        <w:tblInd w:w="113" w:type="dxa"/>
        <w:tblBorders>
          <w:top w:val="single" w:sz="4" w:space="0" w:color="44546A"/>
          <w:bottom w:val="single" w:sz="4" w:space="0" w:color="44546A"/>
          <w:insideH w:val="single" w:sz="4" w:space="0" w:color="44546A"/>
        </w:tblBorders>
        <w:tblLayout w:type="fixed"/>
        <w:tblCellMar>
          <w:left w:w="85" w:type="dxa"/>
          <w:right w:w="85" w:type="dxa"/>
        </w:tblCellMar>
        <w:tblLook w:val="00A0" w:firstRow="1" w:lastRow="0" w:firstColumn="1" w:lastColumn="0" w:noHBand="0" w:noVBand="0"/>
      </w:tblPr>
      <w:tblGrid>
        <w:gridCol w:w="3635"/>
        <w:gridCol w:w="728"/>
        <w:gridCol w:w="845"/>
        <w:gridCol w:w="846"/>
        <w:gridCol w:w="845"/>
        <w:gridCol w:w="846"/>
        <w:gridCol w:w="760"/>
      </w:tblGrid>
      <w:tr w:rsidR="004543E0" w:rsidRPr="009660EC" w14:paraId="5216C10F" w14:textId="77777777" w:rsidTr="003B1A57">
        <w:trPr>
          <w:tblHeader/>
        </w:trPr>
        <w:tc>
          <w:tcPr>
            <w:tcW w:w="3635" w:type="dxa"/>
            <w:shd w:val="clear" w:color="auto" w:fill="1B556B"/>
          </w:tcPr>
          <w:p w14:paraId="25DD14E9" w14:textId="77777777" w:rsidR="004543E0" w:rsidRPr="004543E0" w:rsidRDefault="004543E0" w:rsidP="003B1A57">
            <w:pPr>
              <w:pStyle w:val="TableTextBold"/>
              <w:keepNext/>
              <w:spacing w:before="50" w:after="50"/>
              <w:jc w:val="center"/>
              <w:rPr>
                <w:noProof w:val="0"/>
                <w:color w:val="FFFFFF"/>
              </w:rPr>
            </w:pPr>
          </w:p>
        </w:tc>
        <w:tc>
          <w:tcPr>
            <w:tcW w:w="728" w:type="dxa"/>
            <w:shd w:val="clear" w:color="auto" w:fill="1B556B"/>
          </w:tcPr>
          <w:p w14:paraId="2D77EB7D" w14:textId="77777777" w:rsidR="004543E0" w:rsidRPr="004543E0" w:rsidRDefault="004543E0" w:rsidP="003B1A57">
            <w:pPr>
              <w:pStyle w:val="TableTextBold"/>
              <w:keepNext/>
              <w:spacing w:before="50" w:after="50"/>
              <w:jc w:val="right"/>
              <w:rPr>
                <w:i/>
                <w:iCs/>
                <w:noProof w:val="0"/>
                <w:color w:val="FFFFFF"/>
              </w:rPr>
            </w:pPr>
            <w:r w:rsidRPr="004543E0">
              <w:rPr>
                <w:noProof w:val="0"/>
                <w:color w:val="FFFFFF"/>
              </w:rPr>
              <w:t>2007</w:t>
            </w:r>
          </w:p>
        </w:tc>
        <w:tc>
          <w:tcPr>
            <w:tcW w:w="845" w:type="dxa"/>
            <w:shd w:val="clear" w:color="auto" w:fill="1B556B"/>
          </w:tcPr>
          <w:p w14:paraId="6C91E0C4" w14:textId="77777777" w:rsidR="004543E0" w:rsidRPr="004543E0" w:rsidRDefault="004543E0" w:rsidP="003B1A57">
            <w:pPr>
              <w:pStyle w:val="TableTextBold"/>
              <w:keepNext/>
              <w:spacing w:before="50" w:after="50"/>
              <w:jc w:val="right"/>
              <w:rPr>
                <w:i/>
                <w:iCs/>
                <w:noProof w:val="0"/>
                <w:color w:val="FFFFFF"/>
              </w:rPr>
            </w:pPr>
            <w:r w:rsidRPr="004543E0">
              <w:rPr>
                <w:noProof w:val="0"/>
                <w:color w:val="FFFFFF"/>
              </w:rPr>
              <w:t>2008</w:t>
            </w:r>
          </w:p>
        </w:tc>
        <w:tc>
          <w:tcPr>
            <w:tcW w:w="846" w:type="dxa"/>
            <w:shd w:val="clear" w:color="auto" w:fill="1B556B"/>
          </w:tcPr>
          <w:p w14:paraId="3368AE8C" w14:textId="77777777" w:rsidR="004543E0" w:rsidRPr="004543E0" w:rsidRDefault="004543E0" w:rsidP="003B1A57">
            <w:pPr>
              <w:pStyle w:val="TableTextBold"/>
              <w:keepNext/>
              <w:spacing w:before="50" w:after="50"/>
              <w:jc w:val="right"/>
              <w:rPr>
                <w:i/>
                <w:iCs/>
                <w:noProof w:val="0"/>
                <w:color w:val="FFFFFF"/>
              </w:rPr>
            </w:pPr>
            <w:r w:rsidRPr="004543E0">
              <w:rPr>
                <w:noProof w:val="0"/>
                <w:color w:val="FFFFFF"/>
              </w:rPr>
              <w:t>2009</w:t>
            </w:r>
          </w:p>
        </w:tc>
        <w:tc>
          <w:tcPr>
            <w:tcW w:w="845" w:type="dxa"/>
            <w:shd w:val="clear" w:color="auto" w:fill="1B556B"/>
          </w:tcPr>
          <w:p w14:paraId="51FD07B3" w14:textId="77777777" w:rsidR="004543E0" w:rsidRPr="004543E0" w:rsidRDefault="004543E0" w:rsidP="003B1A57">
            <w:pPr>
              <w:pStyle w:val="TableTextBold"/>
              <w:keepNext/>
              <w:spacing w:before="50" w:after="50"/>
              <w:jc w:val="right"/>
              <w:rPr>
                <w:i/>
                <w:iCs/>
                <w:noProof w:val="0"/>
                <w:color w:val="FFFFFF"/>
              </w:rPr>
            </w:pPr>
            <w:r w:rsidRPr="004543E0">
              <w:rPr>
                <w:noProof w:val="0"/>
                <w:color w:val="FFFFFF"/>
              </w:rPr>
              <w:t>2010</w:t>
            </w:r>
          </w:p>
        </w:tc>
        <w:tc>
          <w:tcPr>
            <w:tcW w:w="846" w:type="dxa"/>
            <w:shd w:val="clear" w:color="auto" w:fill="1B556B"/>
          </w:tcPr>
          <w:p w14:paraId="731D4BDF" w14:textId="77777777" w:rsidR="004543E0" w:rsidRPr="004543E0" w:rsidRDefault="004543E0" w:rsidP="003B1A57">
            <w:pPr>
              <w:pStyle w:val="TableTextBold"/>
              <w:keepNext/>
              <w:spacing w:before="50" w:after="50"/>
              <w:jc w:val="right"/>
              <w:rPr>
                <w:i/>
                <w:iCs/>
                <w:noProof w:val="0"/>
                <w:color w:val="FFFFFF"/>
              </w:rPr>
            </w:pPr>
            <w:r w:rsidRPr="004543E0">
              <w:rPr>
                <w:noProof w:val="0"/>
                <w:color w:val="FFFFFF"/>
              </w:rPr>
              <w:t>2011</w:t>
            </w:r>
          </w:p>
        </w:tc>
        <w:tc>
          <w:tcPr>
            <w:tcW w:w="760" w:type="dxa"/>
            <w:shd w:val="clear" w:color="auto" w:fill="1B556B"/>
          </w:tcPr>
          <w:p w14:paraId="45F48ECA" w14:textId="77777777" w:rsidR="004543E0" w:rsidRPr="004543E0" w:rsidRDefault="004543E0" w:rsidP="003B1A57">
            <w:pPr>
              <w:pStyle w:val="TableTextBold"/>
              <w:keepNext/>
              <w:spacing w:before="50" w:after="50"/>
              <w:jc w:val="right"/>
              <w:rPr>
                <w:i/>
                <w:iCs/>
                <w:noProof w:val="0"/>
                <w:color w:val="FFFFFF"/>
              </w:rPr>
            </w:pPr>
            <w:r w:rsidRPr="004543E0">
              <w:rPr>
                <w:noProof w:val="0"/>
                <w:color w:val="FFFFFF"/>
              </w:rPr>
              <w:t>2012</w:t>
            </w:r>
          </w:p>
        </w:tc>
      </w:tr>
      <w:tr w:rsidR="004543E0" w:rsidRPr="009660EC" w14:paraId="12302BDA" w14:textId="77777777" w:rsidTr="003B1A57">
        <w:tc>
          <w:tcPr>
            <w:tcW w:w="3635" w:type="dxa"/>
            <w:shd w:val="clear" w:color="auto" w:fill="auto"/>
          </w:tcPr>
          <w:p w14:paraId="4DF948F2" w14:textId="77777777" w:rsidR="004543E0" w:rsidRPr="009660EC" w:rsidRDefault="004543E0" w:rsidP="003B1A57">
            <w:pPr>
              <w:pStyle w:val="TableText"/>
              <w:keepNext/>
              <w:spacing w:before="50" w:after="50"/>
              <w:rPr>
                <w:rFonts w:cs="Calibri"/>
              </w:rPr>
            </w:pPr>
            <w:r w:rsidRPr="009660EC">
              <w:rPr>
                <w:rFonts w:cs="Calibri"/>
              </w:rPr>
              <w:t>Percentage of dairy area applied with inhibitor</w:t>
            </w:r>
          </w:p>
        </w:tc>
        <w:tc>
          <w:tcPr>
            <w:tcW w:w="728" w:type="dxa"/>
          </w:tcPr>
          <w:p w14:paraId="6F70465A" w14:textId="77777777" w:rsidR="004543E0" w:rsidRPr="009660EC" w:rsidRDefault="004543E0" w:rsidP="003B1A57">
            <w:pPr>
              <w:pStyle w:val="TableText"/>
              <w:keepNext/>
              <w:spacing w:before="50" w:after="50"/>
              <w:jc w:val="right"/>
              <w:rPr>
                <w:rFonts w:cs="Calibri"/>
              </w:rPr>
            </w:pPr>
            <w:r w:rsidRPr="009660EC">
              <w:rPr>
                <w:rFonts w:cs="Calibri"/>
              </w:rPr>
              <w:t>3.5</w:t>
            </w:r>
          </w:p>
        </w:tc>
        <w:tc>
          <w:tcPr>
            <w:tcW w:w="845" w:type="dxa"/>
          </w:tcPr>
          <w:p w14:paraId="4147CDC0" w14:textId="77777777" w:rsidR="004543E0" w:rsidRPr="009660EC" w:rsidRDefault="004543E0" w:rsidP="003B1A57">
            <w:pPr>
              <w:pStyle w:val="TableText"/>
              <w:keepNext/>
              <w:spacing w:before="50" w:after="50"/>
              <w:jc w:val="right"/>
              <w:rPr>
                <w:rFonts w:cs="Calibri"/>
              </w:rPr>
            </w:pPr>
            <w:r w:rsidRPr="009660EC">
              <w:rPr>
                <w:rFonts w:cs="Calibri"/>
              </w:rPr>
              <w:t>4.5</w:t>
            </w:r>
          </w:p>
        </w:tc>
        <w:tc>
          <w:tcPr>
            <w:tcW w:w="846" w:type="dxa"/>
          </w:tcPr>
          <w:p w14:paraId="7AAD1DAE" w14:textId="77777777" w:rsidR="004543E0" w:rsidRPr="009660EC" w:rsidRDefault="004543E0" w:rsidP="003B1A57">
            <w:pPr>
              <w:pStyle w:val="TableText"/>
              <w:keepNext/>
              <w:spacing w:before="50" w:after="50"/>
              <w:jc w:val="right"/>
              <w:rPr>
                <w:rFonts w:cs="Calibri"/>
              </w:rPr>
            </w:pPr>
            <w:r w:rsidRPr="009660EC">
              <w:rPr>
                <w:rFonts w:cs="Calibri"/>
              </w:rPr>
              <w:t>3.1</w:t>
            </w:r>
          </w:p>
        </w:tc>
        <w:tc>
          <w:tcPr>
            <w:tcW w:w="845" w:type="dxa"/>
          </w:tcPr>
          <w:p w14:paraId="5E58A1BB" w14:textId="77777777" w:rsidR="004543E0" w:rsidRPr="009660EC" w:rsidRDefault="004543E0" w:rsidP="003B1A57">
            <w:pPr>
              <w:pStyle w:val="TableText"/>
              <w:keepNext/>
              <w:spacing w:before="50" w:after="50"/>
              <w:jc w:val="right"/>
              <w:rPr>
                <w:rFonts w:cs="Calibri"/>
              </w:rPr>
            </w:pPr>
            <w:r w:rsidRPr="009660EC">
              <w:rPr>
                <w:rFonts w:cs="Calibri"/>
              </w:rPr>
              <w:t>2.2</w:t>
            </w:r>
          </w:p>
        </w:tc>
        <w:tc>
          <w:tcPr>
            <w:tcW w:w="846" w:type="dxa"/>
          </w:tcPr>
          <w:p w14:paraId="09417727" w14:textId="77777777" w:rsidR="004543E0" w:rsidRPr="009660EC" w:rsidRDefault="004543E0" w:rsidP="003B1A57">
            <w:pPr>
              <w:pStyle w:val="TableText"/>
              <w:keepNext/>
              <w:spacing w:before="50" w:after="50"/>
              <w:jc w:val="right"/>
              <w:rPr>
                <w:rFonts w:cs="Calibri"/>
              </w:rPr>
            </w:pPr>
            <w:r w:rsidRPr="009660EC">
              <w:rPr>
                <w:rFonts w:cs="Calibri"/>
              </w:rPr>
              <w:t>3.0</w:t>
            </w:r>
          </w:p>
        </w:tc>
        <w:tc>
          <w:tcPr>
            <w:tcW w:w="760" w:type="dxa"/>
          </w:tcPr>
          <w:p w14:paraId="2F84BC15" w14:textId="77777777" w:rsidR="004543E0" w:rsidRPr="009660EC" w:rsidRDefault="004543E0" w:rsidP="003B1A57">
            <w:pPr>
              <w:pStyle w:val="TableText"/>
              <w:keepNext/>
              <w:spacing w:before="50" w:after="50"/>
              <w:jc w:val="right"/>
              <w:rPr>
                <w:rFonts w:cs="Calibri"/>
              </w:rPr>
            </w:pPr>
            <w:r w:rsidRPr="009660EC">
              <w:rPr>
                <w:rFonts w:cs="Calibri"/>
              </w:rPr>
              <w:t>2.9</w:t>
            </w:r>
          </w:p>
        </w:tc>
      </w:tr>
      <w:tr w:rsidR="004543E0" w:rsidRPr="009660EC" w14:paraId="39ACAC36" w14:textId="77777777" w:rsidTr="003B1A57">
        <w:tc>
          <w:tcPr>
            <w:tcW w:w="3635" w:type="dxa"/>
            <w:shd w:val="clear" w:color="auto" w:fill="auto"/>
          </w:tcPr>
          <w:p w14:paraId="5D0F02D7" w14:textId="77777777" w:rsidR="004543E0" w:rsidRPr="009660EC" w:rsidRDefault="004543E0" w:rsidP="003B1A57">
            <w:pPr>
              <w:pStyle w:val="TableText"/>
              <w:keepNext/>
              <w:spacing w:before="50" w:after="50"/>
              <w:rPr>
                <w:rFonts w:cs="Calibri"/>
              </w:rPr>
            </w:pPr>
            <w:r w:rsidRPr="009660EC">
              <w:rPr>
                <w:rFonts w:cs="Calibri"/>
              </w:rPr>
              <w:t>Final modified emission factor or parameter for dairy cattle, EF</w:t>
            </w:r>
            <w:r w:rsidRPr="009660EC">
              <w:rPr>
                <w:rFonts w:cs="Calibri"/>
                <w:vertAlign w:val="subscript"/>
              </w:rPr>
              <w:t>3(PRP)</w:t>
            </w:r>
            <w:r w:rsidRPr="009660EC">
              <w:rPr>
                <w:rFonts w:cs="Calibri"/>
              </w:rPr>
              <w:t xml:space="preserve"> (kg N</w:t>
            </w:r>
            <w:r w:rsidRPr="009660EC">
              <w:rPr>
                <w:rFonts w:cs="Calibri"/>
                <w:vertAlign w:val="subscript"/>
              </w:rPr>
              <w:t>2</w:t>
            </w:r>
            <w:r w:rsidRPr="009660EC">
              <w:rPr>
                <w:rFonts w:cs="Calibri"/>
              </w:rPr>
              <w:t>O-N/kg N)</w:t>
            </w:r>
          </w:p>
        </w:tc>
        <w:tc>
          <w:tcPr>
            <w:tcW w:w="728" w:type="dxa"/>
            <w:shd w:val="clear" w:color="auto" w:fill="auto"/>
          </w:tcPr>
          <w:p w14:paraId="23ECD83C" w14:textId="77777777" w:rsidR="004543E0" w:rsidRPr="004543E0" w:rsidRDefault="004543E0" w:rsidP="003B1A57">
            <w:pPr>
              <w:pStyle w:val="TableText"/>
              <w:keepNext/>
              <w:spacing w:before="50" w:after="50"/>
              <w:jc w:val="right"/>
              <w:rPr>
                <w:rFonts w:cs="Calibri"/>
                <w:szCs w:val="16"/>
              </w:rPr>
            </w:pPr>
            <w:r w:rsidRPr="004543E0">
              <w:rPr>
                <w:rFonts w:cs="Calibri"/>
                <w:szCs w:val="16"/>
              </w:rPr>
              <w:t>0.00971</w:t>
            </w:r>
          </w:p>
        </w:tc>
        <w:tc>
          <w:tcPr>
            <w:tcW w:w="845" w:type="dxa"/>
            <w:shd w:val="clear" w:color="auto" w:fill="auto"/>
          </w:tcPr>
          <w:p w14:paraId="50303F60" w14:textId="77777777" w:rsidR="004543E0" w:rsidRPr="004543E0" w:rsidRDefault="004543E0" w:rsidP="003B1A57">
            <w:pPr>
              <w:pStyle w:val="TableText"/>
              <w:keepNext/>
              <w:spacing w:before="50" w:after="50"/>
              <w:jc w:val="right"/>
              <w:rPr>
                <w:rFonts w:cs="Calibri"/>
                <w:szCs w:val="16"/>
              </w:rPr>
            </w:pPr>
            <w:r w:rsidRPr="004543E0">
              <w:rPr>
                <w:rFonts w:cs="Calibri"/>
                <w:szCs w:val="16"/>
              </w:rPr>
              <w:t>0.00968</w:t>
            </w:r>
          </w:p>
        </w:tc>
        <w:tc>
          <w:tcPr>
            <w:tcW w:w="846" w:type="dxa"/>
            <w:shd w:val="clear" w:color="auto" w:fill="auto"/>
          </w:tcPr>
          <w:p w14:paraId="65FC2DF3" w14:textId="77777777" w:rsidR="004543E0" w:rsidRPr="004543E0" w:rsidRDefault="004543E0" w:rsidP="003B1A57">
            <w:pPr>
              <w:pStyle w:val="TableText"/>
              <w:keepNext/>
              <w:spacing w:before="50" w:after="50"/>
              <w:jc w:val="right"/>
              <w:rPr>
                <w:rFonts w:cs="Calibri"/>
                <w:szCs w:val="16"/>
              </w:rPr>
            </w:pPr>
            <w:r w:rsidRPr="004543E0">
              <w:rPr>
                <w:rFonts w:cs="Calibri"/>
                <w:szCs w:val="16"/>
              </w:rPr>
              <w:t>0.00972</w:t>
            </w:r>
          </w:p>
        </w:tc>
        <w:tc>
          <w:tcPr>
            <w:tcW w:w="845" w:type="dxa"/>
            <w:shd w:val="clear" w:color="auto" w:fill="auto"/>
          </w:tcPr>
          <w:p w14:paraId="167BA895" w14:textId="77777777" w:rsidR="004543E0" w:rsidRPr="004543E0" w:rsidRDefault="004543E0" w:rsidP="003B1A57">
            <w:pPr>
              <w:pStyle w:val="TableText"/>
              <w:keepNext/>
              <w:spacing w:before="50" w:after="50"/>
              <w:jc w:val="right"/>
              <w:rPr>
                <w:rFonts w:cs="Calibri"/>
                <w:szCs w:val="16"/>
              </w:rPr>
            </w:pPr>
            <w:r w:rsidRPr="004543E0">
              <w:rPr>
                <w:rFonts w:cs="Calibri"/>
                <w:szCs w:val="16"/>
              </w:rPr>
              <w:t>0.00974</w:t>
            </w:r>
          </w:p>
        </w:tc>
        <w:tc>
          <w:tcPr>
            <w:tcW w:w="846" w:type="dxa"/>
            <w:shd w:val="clear" w:color="auto" w:fill="auto"/>
          </w:tcPr>
          <w:p w14:paraId="20FF25C9" w14:textId="77777777" w:rsidR="004543E0" w:rsidRPr="004543E0" w:rsidRDefault="004543E0" w:rsidP="003B1A57">
            <w:pPr>
              <w:pStyle w:val="TableText"/>
              <w:keepNext/>
              <w:spacing w:before="50" w:after="50"/>
              <w:jc w:val="right"/>
              <w:rPr>
                <w:rFonts w:cs="Calibri"/>
                <w:szCs w:val="16"/>
              </w:rPr>
            </w:pPr>
            <w:r w:rsidRPr="004543E0">
              <w:rPr>
                <w:rFonts w:cs="Calibri"/>
                <w:szCs w:val="16"/>
              </w:rPr>
              <w:t>0.00972</w:t>
            </w:r>
          </w:p>
        </w:tc>
        <w:tc>
          <w:tcPr>
            <w:tcW w:w="760" w:type="dxa"/>
            <w:shd w:val="clear" w:color="auto" w:fill="auto"/>
          </w:tcPr>
          <w:p w14:paraId="775958B2" w14:textId="77777777" w:rsidR="004543E0" w:rsidRPr="004543E0" w:rsidRDefault="004543E0" w:rsidP="003B1A57">
            <w:pPr>
              <w:pStyle w:val="TableText"/>
              <w:keepNext/>
              <w:spacing w:before="50" w:after="50"/>
              <w:jc w:val="right"/>
              <w:rPr>
                <w:rFonts w:cs="Calibri"/>
                <w:szCs w:val="16"/>
              </w:rPr>
            </w:pPr>
            <w:r w:rsidRPr="004543E0">
              <w:rPr>
                <w:rFonts w:cs="Calibri"/>
                <w:szCs w:val="16"/>
              </w:rPr>
              <w:t>0.00972</w:t>
            </w:r>
          </w:p>
        </w:tc>
      </w:tr>
      <w:tr w:rsidR="004543E0" w:rsidRPr="009660EC" w14:paraId="30876927" w14:textId="77777777" w:rsidTr="003B1A57">
        <w:tc>
          <w:tcPr>
            <w:tcW w:w="3635" w:type="dxa"/>
            <w:shd w:val="clear" w:color="auto" w:fill="auto"/>
          </w:tcPr>
          <w:p w14:paraId="30575DB9" w14:textId="77777777" w:rsidR="004543E0" w:rsidRPr="009660EC" w:rsidRDefault="004543E0" w:rsidP="003B1A57">
            <w:pPr>
              <w:pStyle w:val="TableText"/>
              <w:keepNext/>
              <w:spacing w:before="50" w:after="50"/>
              <w:rPr>
                <w:rFonts w:cs="Calibri"/>
              </w:rPr>
            </w:pPr>
            <w:r w:rsidRPr="009660EC">
              <w:rPr>
                <w:rFonts w:cs="Calibri"/>
              </w:rPr>
              <w:t>Final modified emission factor or parameter for dairy cattle, Frac</w:t>
            </w:r>
            <w:r w:rsidRPr="009660EC">
              <w:rPr>
                <w:rFonts w:cs="Calibri"/>
                <w:vertAlign w:val="subscript"/>
              </w:rPr>
              <w:t xml:space="preserve">LEACH </w:t>
            </w:r>
            <w:r w:rsidRPr="009660EC">
              <w:rPr>
                <w:rFonts w:cs="Calibri"/>
              </w:rPr>
              <w:t>(kg N</w:t>
            </w:r>
            <w:r w:rsidRPr="009660EC">
              <w:rPr>
                <w:rFonts w:cs="Calibri"/>
                <w:vertAlign w:val="subscript"/>
              </w:rPr>
              <w:t>2</w:t>
            </w:r>
            <w:r w:rsidRPr="009660EC">
              <w:rPr>
                <w:rFonts w:cs="Calibri"/>
              </w:rPr>
              <w:t>O-N/kg N)</w:t>
            </w:r>
          </w:p>
        </w:tc>
        <w:tc>
          <w:tcPr>
            <w:tcW w:w="728" w:type="dxa"/>
            <w:shd w:val="clear" w:color="auto" w:fill="auto"/>
          </w:tcPr>
          <w:p w14:paraId="22B34E56" w14:textId="77777777" w:rsidR="004543E0" w:rsidRPr="004543E0" w:rsidRDefault="004543E0" w:rsidP="003B1A57">
            <w:pPr>
              <w:pStyle w:val="TableText"/>
              <w:keepNext/>
              <w:spacing w:before="50" w:after="50"/>
              <w:jc w:val="right"/>
              <w:rPr>
                <w:rFonts w:cs="Calibri"/>
                <w:szCs w:val="16"/>
              </w:rPr>
            </w:pPr>
            <w:r w:rsidRPr="004543E0">
              <w:rPr>
                <w:rFonts w:cs="Calibri"/>
                <w:szCs w:val="16"/>
              </w:rPr>
              <w:t>0.0695</w:t>
            </w:r>
          </w:p>
        </w:tc>
        <w:tc>
          <w:tcPr>
            <w:tcW w:w="845" w:type="dxa"/>
            <w:shd w:val="clear" w:color="auto" w:fill="auto"/>
          </w:tcPr>
          <w:p w14:paraId="53D101B2" w14:textId="77777777" w:rsidR="004543E0" w:rsidRPr="004543E0" w:rsidRDefault="004543E0" w:rsidP="003B1A57">
            <w:pPr>
              <w:pStyle w:val="TableText"/>
              <w:keepNext/>
              <w:spacing w:before="50" w:after="50"/>
              <w:jc w:val="right"/>
              <w:rPr>
                <w:rFonts w:cs="Calibri"/>
                <w:szCs w:val="16"/>
              </w:rPr>
            </w:pPr>
            <w:r w:rsidRPr="004543E0">
              <w:rPr>
                <w:rFonts w:cs="Calibri"/>
                <w:szCs w:val="16"/>
              </w:rPr>
              <w:t>0.0693</w:t>
            </w:r>
          </w:p>
        </w:tc>
        <w:tc>
          <w:tcPr>
            <w:tcW w:w="846" w:type="dxa"/>
            <w:shd w:val="clear" w:color="auto" w:fill="auto"/>
          </w:tcPr>
          <w:p w14:paraId="143AFC4F" w14:textId="77777777" w:rsidR="004543E0" w:rsidRPr="004543E0" w:rsidRDefault="004543E0" w:rsidP="003B1A57">
            <w:pPr>
              <w:pStyle w:val="TableText"/>
              <w:keepNext/>
              <w:spacing w:before="50" w:after="50"/>
              <w:jc w:val="right"/>
              <w:rPr>
                <w:rFonts w:cs="Calibri"/>
                <w:szCs w:val="16"/>
              </w:rPr>
            </w:pPr>
            <w:r w:rsidRPr="004543E0">
              <w:rPr>
                <w:rFonts w:cs="Calibri"/>
                <w:szCs w:val="16"/>
              </w:rPr>
              <w:t>0.0695</w:t>
            </w:r>
          </w:p>
        </w:tc>
        <w:tc>
          <w:tcPr>
            <w:tcW w:w="845" w:type="dxa"/>
            <w:shd w:val="clear" w:color="auto" w:fill="auto"/>
          </w:tcPr>
          <w:p w14:paraId="35EE12BB" w14:textId="77777777" w:rsidR="004543E0" w:rsidRPr="004543E0" w:rsidRDefault="004543E0" w:rsidP="003B1A57">
            <w:pPr>
              <w:pStyle w:val="TableText"/>
              <w:keepNext/>
              <w:spacing w:before="50" w:after="50"/>
              <w:jc w:val="right"/>
              <w:rPr>
                <w:rFonts w:cs="Calibri"/>
                <w:szCs w:val="16"/>
              </w:rPr>
            </w:pPr>
            <w:r w:rsidRPr="004543E0">
              <w:rPr>
                <w:rFonts w:cs="Calibri"/>
                <w:szCs w:val="16"/>
              </w:rPr>
              <w:t>0.0697</w:t>
            </w:r>
          </w:p>
        </w:tc>
        <w:tc>
          <w:tcPr>
            <w:tcW w:w="846" w:type="dxa"/>
            <w:shd w:val="clear" w:color="auto" w:fill="auto"/>
          </w:tcPr>
          <w:p w14:paraId="095153F9" w14:textId="77777777" w:rsidR="004543E0" w:rsidRPr="004543E0" w:rsidRDefault="004543E0" w:rsidP="003B1A57">
            <w:pPr>
              <w:pStyle w:val="TableText"/>
              <w:keepNext/>
              <w:spacing w:before="50" w:after="50"/>
              <w:jc w:val="right"/>
              <w:rPr>
                <w:rFonts w:cs="Calibri"/>
                <w:szCs w:val="16"/>
              </w:rPr>
            </w:pPr>
            <w:r w:rsidRPr="004543E0">
              <w:rPr>
                <w:rFonts w:cs="Calibri"/>
                <w:szCs w:val="16"/>
              </w:rPr>
              <w:t>0.0696</w:t>
            </w:r>
          </w:p>
        </w:tc>
        <w:tc>
          <w:tcPr>
            <w:tcW w:w="760" w:type="dxa"/>
            <w:shd w:val="clear" w:color="auto" w:fill="auto"/>
          </w:tcPr>
          <w:p w14:paraId="100F283D" w14:textId="77777777" w:rsidR="004543E0" w:rsidRPr="004543E0" w:rsidRDefault="004543E0" w:rsidP="003B1A57">
            <w:pPr>
              <w:pStyle w:val="TableText"/>
              <w:keepNext/>
              <w:spacing w:before="50" w:after="50"/>
              <w:jc w:val="right"/>
              <w:rPr>
                <w:rFonts w:cs="Calibri"/>
                <w:szCs w:val="16"/>
              </w:rPr>
            </w:pPr>
            <w:r w:rsidRPr="004543E0">
              <w:rPr>
                <w:rFonts w:cs="Calibri"/>
                <w:szCs w:val="16"/>
              </w:rPr>
              <w:t>0.0696</w:t>
            </w:r>
          </w:p>
        </w:tc>
      </w:tr>
      <w:tr w:rsidR="004543E0" w:rsidRPr="009660EC" w14:paraId="3EA07243" w14:textId="77777777" w:rsidTr="003B1A57">
        <w:tc>
          <w:tcPr>
            <w:tcW w:w="3635" w:type="dxa"/>
            <w:shd w:val="clear" w:color="auto" w:fill="auto"/>
            <w:vAlign w:val="bottom"/>
          </w:tcPr>
          <w:p w14:paraId="55D9D176" w14:textId="77777777" w:rsidR="004543E0" w:rsidRPr="009660EC" w:rsidRDefault="004543E0" w:rsidP="003B1A57">
            <w:pPr>
              <w:pStyle w:val="TableText"/>
              <w:keepNext/>
              <w:spacing w:before="50" w:after="50"/>
              <w:rPr>
                <w:rFonts w:cs="Calibri"/>
              </w:rPr>
            </w:pPr>
            <w:r w:rsidRPr="009660EC">
              <w:rPr>
                <w:rFonts w:cs="Calibri"/>
              </w:rPr>
              <w:t>Mitigation (kt CO</w:t>
            </w:r>
            <w:r w:rsidRPr="009660EC">
              <w:rPr>
                <w:rFonts w:cs="Calibri"/>
                <w:vertAlign w:val="subscript"/>
              </w:rPr>
              <w:t>2</w:t>
            </w:r>
            <w:r w:rsidRPr="009660EC">
              <w:rPr>
                <w:rFonts w:cs="Calibri"/>
              </w:rPr>
              <w:t>-e)</w:t>
            </w:r>
          </w:p>
        </w:tc>
        <w:tc>
          <w:tcPr>
            <w:tcW w:w="728" w:type="dxa"/>
            <w:shd w:val="clear" w:color="auto" w:fill="auto"/>
          </w:tcPr>
          <w:p w14:paraId="204582F9" w14:textId="77777777" w:rsidR="004543E0" w:rsidRPr="004543E0" w:rsidRDefault="004543E0" w:rsidP="003B1A57">
            <w:pPr>
              <w:pStyle w:val="TableText"/>
              <w:keepNext/>
              <w:spacing w:before="50" w:after="50"/>
              <w:jc w:val="right"/>
              <w:rPr>
                <w:rFonts w:cs="Calibri"/>
                <w:szCs w:val="16"/>
              </w:rPr>
            </w:pPr>
            <w:r w:rsidRPr="004543E0">
              <w:rPr>
                <w:rFonts w:cs="Calibri"/>
                <w:szCs w:val="16"/>
              </w:rPr>
              <w:t>18.0</w:t>
            </w:r>
          </w:p>
        </w:tc>
        <w:tc>
          <w:tcPr>
            <w:tcW w:w="845" w:type="dxa"/>
            <w:shd w:val="clear" w:color="auto" w:fill="auto"/>
          </w:tcPr>
          <w:p w14:paraId="25BE3B89" w14:textId="77777777" w:rsidR="004543E0" w:rsidRPr="004543E0" w:rsidRDefault="004543E0" w:rsidP="003B1A57">
            <w:pPr>
              <w:pStyle w:val="TableText"/>
              <w:keepNext/>
              <w:spacing w:before="50" w:after="50"/>
              <w:jc w:val="right"/>
              <w:rPr>
                <w:rFonts w:cs="Calibri"/>
                <w:szCs w:val="16"/>
              </w:rPr>
            </w:pPr>
            <w:r w:rsidRPr="004543E0">
              <w:rPr>
                <w:rFonts w:cs="Calibri"/>
                <w:szCs w:val="16"/>
              </w:rPr>
              <w:t>24.4</w:t>
            </w:r>
          </w:p>
        </w:tc>
        <w:tc>
          <w:tcPr>
            <w:tcW w:w="846" w:type="dxa"/>
            <w:shd w:val="clear" w:color="auto" w:fill="auto"/>
          </w:tcPr>
          <w:p w14:paraId="0DFECFA3" w14:textId="77777777" w:rsidR="004543E0" w:rsidRPr="004543E0" w:rsidRDefault="004543E0" w:rsidP="003B1A57">
            <w:pPr>
              <w:pStyle w:val="TableText"/>
              <w:keepNext/>
              <w:spacing w:before="50" w:after="50"/>
              <w:jc w:val="right"/>
              <w:rPr>
                <w:rFonts w:cs="Calibri"/>
                <w:szCs w:val="16"/>
              </w:rPr>
            </w:pPr>
            <w:r w:rsidRPr="004543E0">
              <w:rPr>
                <w:rFonts w:cs="Calibri"/>
                <w:szCs w:val="16"/>
              </w:rPr>
              <w:t>17.6</w:t>
            </w:r>
          </w:p>
        </w:tc>
        <w:tc>
          <w:tcPr>
            <w:tcW w:w="845" w:type="dxa"/>
            <w:shd w:val="clear" w:color="auto" w:fill="auto"/>
          </w:tcPr>
          <w:p w14:paraId="03706407" w14:textId="77777777" w:rsidR="004543E0" w:rsidRPr="004543E0" w:rsidRDefault="004543E0" w:rsidP="003B1A57">
            <w:pPr>
              <w:pStyle w:val="TableText"/>
              <w:keepNext/>
              <w:spacing w:before="50" w:after="50"/>
              <w:jc w:val="right"/>
              <w:rPr>
                <w:rFonts w:cs="Calibri"/>
                <w:szCs w:val="16"/>
              </w:rPr>
            </w:pPr>
            <w:r w:rsidRPr="004543E0">
              <w:rPr>
                <w:rFonts w:cs="Calibri"/>
                <w:szCs w:val="16"/>
              </w:rPr>
              <w:t>13.1</w:t>
            </w:r>
          </w:p>
        </w:tc>
        <w:tc>
          <w:tcPr>
            <w:tcW w:w="846" w:type="dxa"/>
            <w:shd w:val="clear" w:color="auto" w:fill="auto"/>
          </w:tcPr>
          <w:p w14:paraId="09BA22C9" w14:textId="77777777" w:rsidR="004543E0" w:rsidRPr="004543E0" w:rsidRDefault="004543E0" w:rsidP="003B1A57">
            <w:pPr>
              <w:pStyle w:val="TableText"/>
              <w:keepNext/>
              <w:spacing w:before="50" w:after="50"/>
              <w:jc w:val="right"/>
              <w:rPr>
                <w:rFonts w:cs="Calibri"/>
                <w:szCs w:val="16"/>
              </w:rPr>
            </w:pPr>
            <w:r w:rsidRPr="004543E0">
              <w:rPr>
                <w:rFonts w:cs="Calibri"/>
                <w:szCs w:val="16"/>
              </w:rPr>
              <w:t>18.6</w:t>
            </w:r>
          </w:p>
        </w:tc>
        <w:tc>
          <w:tcPr>
            <w:tcW w:w="760" w:type="dxa"/>
            <w:shd w:val="clear" w:color="auto" w:fill="auto"/>
          </w:tcPr>
          <w:p w14:paraId="44D51C03" w14:textId="77777777" w:rsidR="004543E0" w:rsidRPr="004543E0" w:rsidRDefault="004543E0" w:rsidP="003B1A57">
            <w:pPr>
              <w:pStyle w:val="TableText"/>
              <w:keepNext/>
              <w:spacing w:before="50" w:after="50"/>
              <w:jc w:val="right"/>
              <w:rPr>
                <w:rFonts w:cs="Calibri"/>
                <w:szCs w:val="16"/>
              </w:rPr>
            </w:pPr>
            <w:r w:rsidRPr="004543E0">
              <w:rPr>
                <w:rFonts w:cs="Calibri"/>
                <w:szCs w:val="16"/>
              </w:rPr>
              <w:t>18.6</w:t>
            </w:r>
          </w:p>
        </w:tc>
      </w:tr>
    </w:tbl>
    <w:p w14:paraId="2C4C3FA5" w14:textId="77777777" w:rsidR="004543E0" w:rsidRPr="009660EC" w:rsidRDefault="004543E0" w:rsidP="004543E0">
      <w:pPr>
        <w:pStyle w:val="Noteundertable"/>
        <w:rPr>
          <w:rFonts w:cs="Calibri"/>
        </w:rPr>
      </w:pPr>
      <w:r w:rsidRPr="009660EC">
        <w:rPr>
          <w:rFonts w:cs="Calibri"/>
          <w:b/>
          <w:bCs/>
        </w:rPr>
        <w:t>Note:</w:t>
      </w:r>
      <w:r w:rsidRPr="009660EC">
        <w:rPr>
          <w:rFonts w:cs="Calibri"/>
        </w:rPr>
        <w:t xml:space="preserve"> </w:t>
      </w:r>
      <w:r w:rsidRPr="009660EC">
        <w:rPr>
          <w:rFonts w:cs="Calibri"/>
        </w:rPr>
        <w:tab/>
        <w:t>EF</w:t>
      </w:r>
      <w:r w:rsidRPr="009660EC">
        <w:rPr>
          <w:rFonts w:cs="Calibri"/>
          <w:vertAlign w:val="subscript"/>
        </w:rPr>
        <w:t>3(PRP)</w:t>
      </w:r>
      <w:r w:rsidRPr="009660EC">
        <w:rPr>
          <w:rFonts w:cs="Calibri"/>
        </w:rPr>
        <w:t xml:space="preserve"> = 0.0098 and FRAC</w:t>
      </w:r>
      <w:r w:rsidRPr="009660EC">
        <w:rPr>
          <w:rFonts w:cs="Calibri"/>
          <w:vertAlign w:val="subscript"/>
        </w:rPr>
        <w:t>LEACH</w:t>
      </w:r>
      <w:r w:rsidRPr="009660EC">
        <w:rPr>
          <w:rFonts w:cs="Calibri"/>
        </w:rPr>
        <w:t xml:space="preserve"> = 0.10 for cropland and 0.07 for grassland when inhibitor is not applied. All other emission factors and parameters relating to animal excreta and fertiliser use (Frac</w:t>
      </w:r>
      <w:r w:rsidRPr="009660EC">
        <w:rPr>
          <w:rFonts w:cs="Calibri"/>
          <w:vertAlign w:val="subscript"/>
        </w:rPr>
        <w:t>GASM</w:t>
      </w:r>
      <w:r w:rsidRPr="009660EC">
        <w:rPr>
          <w:rFonts w:cs="Calibri"/>
        </w:rPr>
        <w:t>, Frac</w:t>
      </w:r>
      <w:r w:rsidRPr="009660EC">
        <w:rPr>
          <w:rFonts w:cs="Calibri"/>
          <w:vertAlign w:val="subscript"/>
        </w:rPr>
        <w:t>GASF</w:t>
      </w:r>
      <w:r w:rsidRPr="009660EC">
        <w:rPr>
          <w:rFonts w:cs="Calibri"/>
        </w:rPr>
        <w:t>, EF</w:t>
      </w:r>
      <w:r w:rsidRPr="009660EC">
        <w:rPr>
          <w:rFonts w:cs="Calibri"/>
          <w:vertAlign w:val="subscript"/>
        </w:rPr>
        <w:t>4</w:t>
      </w:r>
      <w:r w:rsidRPr="009660EC">
        <w:rPr>
          <w:rFonts w:cs="Calibri"/>
        </w:rPr>
        <w:t xml:space="preserve"> and EF</w:t>
      </w:r>
      <w:r w:rsidRPr="009660EC">
        <w:rPr>
          <w:rFonts w:cs="Calibri"/>
          <w:vertAlign w:val="subscript"/>
        </w:rPr>
        <w:t>5</w:t>
      </w:r>
      <w:r w:rsidRPr="009660EC">
        <w:rPr>
          <w:rFonts w:cs="Calibri"/>
        </w:rPr>
        <w:t xml:space="preserve">) remain unchanged when the inhibitor is used as a </w:t>
      </w:r>
      <w:r w:rsidRPr="009660EC">
        <w:rPr>
          <w:rFonts w:cs="Calibri"/>
          <w:spacing w:val="-2"/>
        </w:rPr>
        <w:t>nitrous oxide</w:t>
      </w:r>
      <w:r w:rsidRPr="009660EC">
        <w:rPr>
          <w:rFonts w:cs="Calibri"/>
        </w:rPr>
        <w:t xml:space="preserve"> mitigation technology. </w:t>
      </w:r>
    </w:p>
    <w:p w14:paraId="0432657A" w14:textId="77777777" w:rsidR="004543E0" w:rsidRPr="009660EC" w:rsidRDefault="004543E0" w:rsidP="004543E0">
      <w:pPr>
        <w:pStyle w:val="Heading3"/>
      </w:pPr>
      <w:bookmarkStart w:id="1071" w:name="_Toc139253935"/>
      <w:bookmarkStart w:id="1072" w:name="_Toc32570669"/>
      <w:r w:rsidRPr="009660EC">
        <w:t>5.5.3</w:t>
      </w:r>
      <w:r w:rsidRPr="009660EC">
        <w:tab/>
        <w:t>Uncertainties and time-series consistency</w:t>
      </w:r>
      <w:bookmarkEnd w:id="1071"/>
      <w:bookmarkEnd w:id="1072"/>
    </w:p>
    <w:p w14:paraId="1C6BA634" w14:textId="77777777" w:rsidR="004543E0" w:rsidRPr="009660EC" w:rsidRDefault="004543E0" w:rsidP="004543E0">
      <w:pPr>
        <w:pStyle w:val="BodyText"/>
        <w:rPr>
          <w:rFonts w:cs="Calibri"/>
        </w:rPr>
      </w:pPr>
      <w:r w:rsidRPr="009660EC">
        <w:rPr>
          <w:rFonts w:cs="Calibri"/>
        </w:rPr>
        <w:t>To ensure consistency in the calculations involving animal manure, a single enhanced livestock population characterisation and feed-intake estimate is produced by the Tier 2 model for the major livestock categories. This is used in different parts of the calculations for the inventory to estimate: CH</w:t>
      </w:r>
      <w:r w:rsidRPr="009660EC">
        <w:rPr>
          <w:rFonts w:cs="Calibri"/>
          <w:vertAlign w:val="subscript"/>
        </w:rPr>
        <w:t>4</w:t>
      </w:r>
      <w:r w:rsidRPr="009660EC">
        <w:rPr>
          <w:rFonts w:cs="Calibri"/>
        </w:rPr>
        <w:t xml:space="preserve"> emissions for the </w:t>
      </w:r>
      <w:r w:rsidRPr="009660EC">
        <w:rPr>
          <w:rFonts w:cs="Calibri"/>
          <w:i/>
          <w:iCs/>
        </w:rPr>
        <w:t>Enteric fermentation</w:t>
      </w:r>
      <w:r w:rsidRPr="009660EC">
        <w:rPr>
          <w:rFonts w:cs="Calibri"/>
        </w:rPr>
        <w:t xml:space="preserve"> category, CH</w:t>
      </w:r>
      <w:r w:rsidRPr="009660EC">
        <w:rPr>
          <w:rFonts w:cs="Calibri"/>
          <w:vertAlign w:val="subscript"/>
        </w:rPr>
        <w:t>4</w:t>
      </w:r>
      <w:r w:rsidRPr="009660EC">
        <w:rPr>
          <w:rFonts w:cs="Calibri"/>
        </w:rPr>
        <w:t xml:space="preserve"> and N</w:t>
      </w:r>
      <w:r w:rsidRPr="009660EC">
        <w:rPr>
          <w:rFonts w:cs="Calibri"/>
          <w:vertAlign w:val="subscript"/>
        </w:rPr>
        <w:t>2</w:t>
      </w:r>
      <w:r w:rsidRPr="009660EC">
        <w:rPr>
          <w:rFonts w:cs="Calibri"/>
        </w:rPr>
        <w:t xml:space="preserve">O emissions for the </w:t>
      </w:r>
      <w:r w:rsidRPr="009660EC">
        <w:rPr>
          <w:rFonts w:cs="Calibri"/>
          <w:i/>
          <w:iCs/>
        </w:rPr>
        <w:t>Manure management</w:t>
      </w:r>
      <w:r w:rsidRPr="009660EC">
        <w:rPr>
          <w:rFonts w:cs="Calibri"/>
        </w:rPr>
        <w:t xml:space="preserve"> category and N</w:t>
      </w:r>
      <w:r w:rsidRPr="009660EC">
        <w:rPr>
          <w:rFonts w:cs="Calibri"/>
          <w:vertAlign w:val="subscript"/>
        </w:rPr>
        <w:t>2</w:t>
      </w:r>
      <w:r w:rsidRPr="009660EC">
        <w:rPr>
          <w:rFonts w:cs="Calibri"/>
        </w:rPr>
        <w:t xml:space="preserve">O emissions for the </w:t>
      </w:r>
      <w:r w:rsidRPr="009660EC">
        <w:rPr>
          <w:rFonts w:cs="Calibri"/>
          <w:i/>
          <w:iCs/>
        </w:rPr>
        <w:t>Urine and dung deposited by grazing animals</w:t>
      </w:r>
      <w:r w:rsidRPr="009660EC">
        <w:rPr>
          <w:rFonts w:cs="Calibri"/>
        </w:rPr>
        <w:t xml:space="preserve"> </w:t>
      </w:r>
      <w:r w:rsidRPr="009660EC">
        <w:rPr>
          <w:rFonts w:cs="Calibri"/>
          <w:i/>
          <w:iCs/>
        </w:rPr>
        <w:t>(pasture, range and paddock manure)</w:t>
      </w:r>
      <w:r w:rsidRPr="009660EC">
        <w:rPr>
          <w:rFonts w:cs="Calibri"/>
        </w:rPr>
        <w:t xml:space="preserve"> category.</w:t>
      </w:r>
    </w:p>
    <w:p w14:paraId="68D3EB29" w14:textId="77777777" w:rsidR="004543E0" w:rsidRPr="009660EC" w:rsidRDefault="004543E0" w:rsidP="004543E0">
      <w:pPr>
        <w:pStyle w:val="BodyText"/>
        <w:rPr>
          <w:rFonts w:cs="Calibri"/>
        </w:rPr>
      </w:pPr>
      <w:r w:rsidRPr="009660EC">
        <w:rPr>
          <w:rFonts w:cs="Calibri"/>
        </w:rPr>
        <w:t xml:space="preserve">Uncertainties in </w:t>
      </w:r>
      <w:r w:rsidRPr="009660EC">
        <w:rPr>
          <w:rFonts w:cs="Calibri"/>
          <w:spacing w:val="-2"/>
        </w:rPr>
        <w:t>N</w:t>
      </w:r>
      <w:r w:rsidRPr="009660EC">
        <w:rPr>
          <w:rFonts w:cs="Calibri"/>
          <w:spacing w:val="-2"/>
          <w:vertAlign w:val="subscript"/>
        </w:rPr>
        <w:t>2</w:t>
      </w:r>
      <w:r w:rsidRPr="009660EC">
        <w:rPr>
          <w:rFonts w:cs="Calibri"/>
          <w:spacing w:val="-2"/>
        </w:rPr>
        <w:t>O</w:t>
      </w:r>
      <w:r w:rsidRPr="009660EC">
        <w:rPr>
          <w:rFonts w:cs="Calibri"/>
        </w:rPr>
        <w:t xml:space="preserve"> emissions from </w:t>
      </w:r>
      <w:r w:rsidRPr="009660EC">
        <w:rPr>
          <w:rFonts w:cs="Calibri"/>
          <w:i/>
          <w:iCs/>
        </w:rPr>
        <w:t>Agricultural soils</w:t>
      </w:r>
      <w:r w:rsidRPr="009660EC">
        <w:rPr>
          <w:rFonts w:cs="Calibri"/>
        </w:rPr>
        <w:t xml:space="preserve"> are calculated using an analytical method developed by Kelliher et al. (2017). This method estimated the uncertainty of the </w:t>
      </w:r>
      <w:r w:rsidRPr="009660EC">
        <w:rPr>
          <w:rFonts w:cs="Calibri"/>
          <w:i/>
          <w:iCs/>
        </w:rPr>
        <w:t>Agricultural soils</w:t>
      </w:r>
      <w:r w:rsidRPr="009660EC">
        <w:rPr>
          <w:rFonts w:cs="Calibri"/>
        </w:rPr>
        <w:t xml:space="preserve"> category to be ±55.3 per cent for 2020.</w:t>
      </w:r>
    </w:p>
    <w:p w14:paraId="24F16EAB" w14:textId="77777777" w:rsidR="004543E0" w:rsidRPr="009660EC" w:rsidRDefault="004543E0" w:rsidP="004543E0">
      <w:pPr>
        <w:pStyle w:val="BodyText"/>
        <w:rPr>
          <w:rFonts w:cs="Calibri"/>
        </w:rPr>
      </w:pPr>
      <w:r w:rsidRPr="009660EC">
        <w:rPr>
          <w:rFonts w:cs="Calibri"/>
        </w:rPr>
        <w:t>The benefit of using the analytical method is that it can be updated annually by the Agriculture sector inventory compilers. Kelliher et al. (2017) also compared the analytical method with the Monte Carlo method used for previous years and found that both produced similar results.</w:t>
      </w:r>
    </w:p>
    <w:p w14:paraId="5D2F69BD" w14:textId="77777777" w:rsidR="004543E0" w:rsidRPr="009660EC" w:rsidRDefault="004543E0" w:rsidP="004543E0">
      <w:pPr>
        <w:pStyle w:val="BodyText"/>
        <w:rPr>
          <w:rFonts w:cs="Calibri"/>
        </w:rPr>
      </w:pPr>
      <w:r w:rsidRPr="009660EC">
        <w:rPr>
          <w:rFonts w:cs="Calibri"/>
        </w:rPr>
        <w:t xml:space="preserve">Uncertainties were assessed for the 1990, 2002 and 2012 inventories using the Monte Carlo method. For the 1990 and 2002 inventories, the uncertainties were assessed using a Monte Carlo simulation of 5,000 scenarios with the @RISK software (Kelliher et al., unpublished) (see table 5.5.11). For the 2012 inventory, the uncertainty in the annual estimate was calculated using the 95 per cent confidence interval determined from the 2002 Monte Carlo simulation as a percentage of the mean value (i.e., in 2002, the uncertainty in annual emissions was +74 per cent and –42 per cent). </w:t>
      </w:r>
    </w:p>
    <w:p w14:paraId="7EF86CC5" w14:textId="77777777" w:rsidR="004543E0" w:rsidRPr="009660EC" w:rsidRDefault="004543E0" w:rsidP="004543E0">
      <w:pPr>
        <w:pStyle w:val="Table"/>
        <w:rPr>
          <w:rFonts w:cs="Calibri"/>
        </w:rPr>
      </w:pPr>
      <w:bookmarkStart w:id="1073" w:name="_Toc144607408"/>
      <w:bookmarkStart w:id="1074" w:name="_Toc144607685"/>
      <w:bookmarkStart w:id="1075" w:name="_Toc235955630"/>
      <w:bookmarkStart w:id="1076" w:name="_Toc288316757"/>
      <w:bookmarkStart w:id="1077" w:name="_Toc352504975"/>
      <w:bookmarkStart w:id="1078" w:name="_Toc441830886"/>
      <w:bookmarkStart w:id="1079" w:name="_Toc451176100"/>
      <w:bookmarkStart w:id="1080" w:name="_Toc481751528"/>
      <w:bookmarkStart w:id="1081" w:name="_Toc507158616"/>
      <w:bookmarkStart w:id="1082" w:name="_Toc511116750"/>
      <w:bookmarkStart w:id="1083" w:name="_Toc5269492"/>
      <w:bookmarkStart w:id="1084" w:name="_Toc32570937"/>
      <w:bookmarkStart w:id="1085" w:name="_Toc36224572"/>
      <w:bookmarkStart w:id="1086" w:name="_Toc68786457"/>
      <w:bookmarkStart w:id="1087" w:name="_Toc95574090"/>
      <w:bookmarkStart w:id="1088" w:name="_Toc99659263"/>
      <w:r w:rsidRPr="009660EC">
        <w:rPr>
          <w:rFonts w:cs="Calibri"/>
        </w:rPr>
        <w:t>Table 5.5.11</w:t>
      </w:r>
      <w:r w:rsidRPr="009660EC">
        <w:rPr>
          <w:rFonts w:cs="Calibri"/>
        </w:rPr>
        <w:tab/>
        <w:t xml:space="preserve">New Zealand’s uncertainties in </w:t>
      </w:r>
      <w:r w:rsidRPr="009660EC">
        <w:rPr>
          <w:rFonts w:cs="Calibri"/>
          <w:spacing w:val="-2"/>
        </w:rPr>
        <w:t>nitrous oxide</w:t>
      </w:r>
      <w:r w:rsidRPr="009660EC">
        <w:rPr>
          <w:rFonts w:cs="Calibri"/>
        </w:rPr>
        <w:t xml:space="preserve"> (N</w:t>
      </w:r>
      <w:r w:rsidRPr="009660EC">
        <w:rPr>
          <w:rFonts w:cs="Calibri"/>
          <w:vertAlign w:val="subscript"/>
        </w:rPr>
        <w:t>2</w:t>
      </w:r>
      <w:r w:rsidRPr="009660EC">
        <w:rPr>
          <w:rFonts w:cs="Calibri"/>
        </w:rPr>
        <w:t xml:space="preserve">O) emissions from </w:t>
      </w:r>
      <w:r w:rsidRPr="009660EC">
        <w:rPr>
          <w:rFonts w:cs="Calibri"/>
          <w:i/>
          <w:iCs/>
        </w:rPr>
        <w:t>Agricultural soils</w:t>
      </w:r>
      <w:r w:rsidRPr="009660EC">
        <w:rPr>
          <w:rFonts w:cs="Calibri"/>
        </w:rPr>
        <w:t xml:space="preserve"> for 1990, 2002, 2012 and 2016 estimated using Monte Carlo simulation (1990, 2002), the 95 per cent confidence interval (2012)</w:t>
      </w:r>
      <w:bookmarkEnd w:id="1073"/>
      <w:bookmarkEnd w:id="1074"/>
      <w:bookmarkEnd w:id="1075"/>
      <w:bookmarkEnd w:id="1076"/>
      <w:bookmarkEnd w:id="1077"/>
      <w:bookmarkEnd w:id="1078"/>
      <w:bookmarkEnd w:id="1079"/>
      <w:r w:rsidRPr="009660EC">
        <w:rPr>
          <w:rFonts w:cs="Calibri"/>
        </w:rPr>
        <w:t xml:space="preserve"> and the analytical method (2020)</w:t>
      </w:r>
      <w:bookmarkEnd w:id="1080"/>
      <w:bookmarkEnd w:id="1081"/>
      <w:bookmarkEnd w:id="1082"/>
      <w:bookmarkEnd w:id="1083"/>
      <w:bookmarkEnd w:id="1084"/>
      <w:bookmarkEnd w:id="1085"/>
      <w:bookmarkEnd w:id="1086"/>
      <w:bookmarkEnd w:id="1087"/>
      <w:bookmarkEnd w:id="1088"/>
    </w:p>
    <w:tbl>
      <w:tblPr>
        <w:tblW w:w="8505" w:type="dxa"/>
        <w:tblInd w:w="113" w:type="dxa"/>
        <w:tblBorders>
          <w:top w:val="single" w:sz="4" w:space="0" w:color="44546A"/>
          <w:bottom w:val="single" w:sz="4" w:space="0" w:color="44546A"/>
          <w:insideH w:val="single" w:sz="4" w:space="0" w:color="44546A"/>
        </w:tblBorders>
        <w:tblLayout w:type="fixed"/>
        <w:tblLook w:val="01E0" w:firstRow="1" w:lastRow="1" w:firstColumn="1" w:lastColumn="1" w:noHBand="0" w:noVBand="0"/>
      </w:tblPr>
      <w:tblGrid>
        <w:gridCol w:w="1150"/>
        <w:gridCol w:w="2642"/>
        <w:gridCol w:w="2414"/>
        <w:gridCol w:w="2299"/>
      </w:tblGrid>
      <w:tr w:rsidR="004543E0" w:rsidRPr="009660EC" w14:paraId="221EEA99" w14:textId="77777777" w:rsidTr="000E52A5">
        <w:trPr>
          <w:trHeight w:val="434"/>
        </w:trPr>
        <w:tc>
          <w:tcPr>
            <w:tcW w:w="1081" w:type="dxa"/>
            <w:shd w:val="clear" w:color="auto" w:fill="1B556B"/>
            <w:vAlign w:val="bottom"/>
          </w:tcPr>
          <w:p w14:paraId="1B71BE1A" w14:textId="77777777" w:rsidR="004543E0" w:rsidRPr="004543E0" w:rsidRDefault="004543E0" w:rsidP="007E3239">
            <w:pPr>
              <w:pStyle w:val="TableTextBold"/>
              <w:keepNext/>
              <w:spacing w:before="50" w:after="50"/>
              <w:rPr>
                <w:noProof w:val="0"/>
                <w:color w:val="FFFFFF"/>
              </w:rPr>
            </w:pPr>
            <w:r w:rsidRPr="004543E0">
              <w:rPr>
                <w:noProof w:val="0"/>
                <w:color w:val="FFFFFF"/>
              </w:rPr>
              <w:t>Year</w:t>
            </w:r>
          </w:p>
        </w:tc>
        <w:tc>
          <w:tcPr>
            <w:tcW w:w="2484" w:type="dxa"/>
            <w:shd w:val="clear" w:color="auto" w:fill="1B556B"/>
            <w:vAlign w:val="bottom"/>
          </w:tcPr>
          <w:p w14:paraId="75969AB9" w14:textId="77777777" w:rsidR="004543E0" w:rsidRPr="004543E0" w:rsidRDefault="004543E0" w:rsidP="007E3239">
            <w:pPr>
              <w:pStyle w:val="TableTextBold"/>
              <w:keepNext/>
              <w:spacing w:before="50" w:after="50"/>
              <w:jc w:val="center"/>
              <w:rPr>
                <w:noProof w:val="0"/>
                <w:color w:val="FFFFFF"/>
              </w:rPr>
            </w:pPr>
            <w:r w:rsidRPr="004543E0">
              <w:rPr>
                <w:noProof w:val="0"/>
                <w:color w:val="FFFFFF"/>
              </w:rPr>
              <w:t>N</w:t>
            </w:r>
            <w:r w:rsidRPr="004543E0">
              <w:rPr>
                <w:noProof w:val="0"/>
                <w:color w:val="FFFFFF"/>
                <w:vertAlign w:val="subscript"/>
              </w:rPr>
              <w:t>2</w:t>
            </w:r>
            <w:r w:rsidRPr="004543E0">
              <w:rPr>
                <w:noProof w:val="0"/>
                <w:color w:val="FFFFFF"/>
              </w:rPr>
              <w:t>O emissions from Agricultural soils (kt/annum)</w:t>
            </w:r>
          </w:p>
        </w:tc>
        <w:tc>
          <w:tcPr>
            <w:tcW w:w="2269" w:type="dxa"/>
            <w:shd w:val="clear" w:color="auto" w:fill="1B556B"/>
            <w:vAlign w:val="bottom"/>
          </w:tcPr>
          <w:p w14:paraId="2DBA9CA6" w14:textId="77777777" w:rsidR="004543E0" w:rsidRPr="004543E0" w:rsidRDefault="004543E0" w:rsidP="007E3239">
            <w:pPr>
              <w:pStyle w:val="TableTextBold"/>
              <w:keepNext/>
              <w:spacing w:before="50" w:after="50"/>
              <w:jc w:val="center"/>
              <w:rPr>
                <w:noProof w:val="0"/>
                <w:color w:val="FFFFFF"/>
              </w:rPr>
            </w:pPr>
            <w:r w:rsidRPr="004543E0">
              <w:rPr>
                <w:noProof w:val="0"/>
                <w:color w:val="FFFFFF"/>
              </w:rPr>
              <w:t>95% confidence interval minimum (kt/annum)</w:t>
            </w:r>
          </w:p>
        </w:tc>
        <w:tc>
          <w:tcPr>
            <w:tcW w:w="2161" w:type="dxa"/>
            <w:shd w:val="clear" w:color="auto" w:fill="1B556B"/>
            <w:vAlign w:val="bottom"/>
          </w:tcPr>
          <w:p w14:paraId="6B186671" w14:textId="77777777" w:rsidR="004543E0" w:rsidRPr="004543E0" w:rsidRDefault="004543E0" w:rsidP="007E3239">
            <w:pPr>
              <w:pStyle w:val="TableTextBold"/>
              <w:keepNext/>
              <w:spacing w:before="50" w:after="50"/>
              <w:jc w:val="center"/>
              <w:rPr>
                <w:noProof w:val="0"/>
                <w:color w:val="FFFFFF"/>
              </w:rPr>
            </w:pPr>
            <w:r w:rsidRPr="004543E0">
              <w:rPr>
                <w:noProof w:val="0"/>
                <w:color w:val="FFFFFF"/>
              </w:rPr>
              <w:t>95% confidence interval maximum (kt/annum)</w:t>
            </w:r>
          </w:p>
        </w:tc>
      </w:tr>
      <w:tr w:rsidR="004543E0" w:rsidRPr="009660EC" w14:paraId="7B03A115" w14:textId="77777777" w:rsidTr="000E52A5">
        <w:trPr>
          <w:trHeight w:val="247"/>
        </w:trPr>
        <w:tc>
          <w:tcPr>
            <w:tcW w:w="1081" w:type="dxa"/>
          </w:tcPr>
          <w:p w14:paraId="171AB8A4" w14:textId="77777777" w:rsidR="004543E0" w:rsidRPr="009660EC" w:rsidRDefault="004543E0" w:rsidP="007E3239">
            <w:pPr>
              <w:pStyle w:val="TableText"/>
              <w:keepNext/>
              <w:spacing w:before="50" w:after="50"/>
              <w:rPr>
                <w:rFonts w:cs="Calibri"/>
              </w:rPr>
            </w:pPr>
            <w:r w:rsidRPr="009660EC">
              <w:rPr>
                <w:rFonts w:cs="Calibri"/>
              </w:rPr>
              <w:t>1990</w:t>
            </w:r>
          </w:p>
        </w:tc>
        <w:tc>
          <w:tcPr>
            <w:tcW w:w="2484" w:type="dxa"/>
          </w:tcPr>
          <w:p w14:paraId="772A22DF" w14:textId="77777777" w:rsidR="004543E0" w:rsidRPr="009660EC" w:rsidRDefault="004543E0" w:rsidP="007E3239">
            <w:pPr>
              <w:pStyle w:val="TableText"/>
              <w:spacing w:before="50" w:after="50"/>
              <w:jc w:val="center"/>
              <w:rPr>
                <w:rFonts w:cs="Calibri"/>
              </w:rPr>
            </w:pPr>
            <w:r w:rsidRPr="009660EC">
              <w:rPr>
                <w:rFonts w:cs="Calibri"/>
              </w:rPr>
              <w:t>25.3</w:t>
            </w:r>
          </w:p>
        </w:tc>
        <w:tc>
          <w:tcPr>
            <w:tcW w:w="2269" w:type="dxa"/>
          </w:tcPr>
          <w:p w14:paraId="2688C72A" w14:textId="77777777" w:rsidR="004543E0" w:rsidRPr="009660EC" w:rsidRDefault="004543E0" w:rsidP="007E3239">
            <w:pPr>
              <w:pStyle w:val="TableText"/>
              <w:spacing w:before="50" w:after="50"/>
              <w:jc w:val="center"/>
              <w:rPr>
                <w:rFonts w:cs="Calibri"/>
              </w:rPr>
            </w:pPr>
            <w:r w:rsidRPr="009660EC">
              <w:rPr>
                <w:rFonts w:cs="Calibri"/>
              </w:rPr>
              <w:t>14.7</w:t>
            </w:r>
          </w:p>
        </w:tc>
        <w:tc>
          <w:tcPr>
            <w:tcW w:w="2161" w:type="dxa"/>
          </w:tcPr>
          <w:p w14:paraId="684D5D5D" w14:textId="77777777" w:rsidR="004543E0" w:rsidRPr="009660EC" w:rsidRDefault="004543E0" w:rsidP="007E3239">
            <w:pPr>
              <w:pStyle w:val="TableText"/>
              <w:spacing w:before="50" w:after="50"/>
              <w:jc w:val="center"/>
              <w:rPr>
                <w:rFonts w:cs="Calibri"/>
              </w:rPr>
            </w:pPr>
            <w:r w:rsidRPr="009660EC">
              <w:rPr>
                <w:rFonts w:cs="Calibri"/>
              </w:rPr>
              <w:t>44.0</w:t>
            </w:r>
          </w:p>
        </w:tc>
      </w:tr>
      <w:tr w:rsidR="004543E0" w:rsidRPr="009660EC" w14:paraId="407CF447" w14:textId="77777777" w:rsidTr="000E52A5">
        <w:trPr>
          <w:trHeight w:val="247"/>
        </w:trPr>
        <w:tc>
          <w:tcPr>
            <w:tcW w:w="1081" w:type="dxa"/>
          </w:tcPr>
          <w:p w14:paraId="55479CD6" w14:textId="77777777" w:rsidR="004543E0" w:rsidRPr="009660EC" w:rsidRDefault="004543E0" w:rsidP="007E3239">
            <w:pPr>
              <w:pStyle w:val="TableText"/>
              <w:keepNext/>
              <w:spacing w:before="50" w:after="50"/>
              <w:rPr>
                <w:rFonts w:cs="Calibri"/>
              </w:rPr>
            </w:pPr>
            <w:r w:rsidRPr="009660EC">
              <w:rPr>
                <w:rFonts w:cs="Calibri"/>
              </w:rPr>
              <w:t>2002</w:t>
            </w:r>
          </w:p>
        </w:tc>
        <w:tc>
          <w:tcPr>
            <w:tcW w:w="2484" w:type="dxa"/>
          </w:tcPr>
          <w:p w14:paraId="3758A179" w14:textId="77777777" w:rsidR="004543E0" w:rsidRPr="009660EC" w:rsidRDefault="004543E0" w:rsidP="007E3239">
            <w:pPr>
              <w:pStyle w:val="TableText"/>
              <w:spacing w:before="50" w:after="50"/>
              <w:jc w:val="center"/>
              <w:rPr>
                <w:rFonts w:cs="Calibri"/>
              </w:rPr>
            </w:pPr>
            <w:r w:rsidRPr="009660EC">
              <w:rPr>
                <w:rFonts w:cs="Calibri"/>
              </w:rPr>
              <w:t>32.2</w:t>
            </w:r>
          </w:p>
        </w:tc>
        <w:tc>
          <w:tcPr>
            <w:tcW w:w="2269" w:type="dxa"/>
          </w:tcPr>
          <w:p w14:paraId="5E376FBA" w14:textId="77777777" w:rsidR="004543E0" w:rsidRPr="009660EC" w:rsidRDefault="004543E0" w:rsidP="007E3239">
            <w:pPr>
              <w:pStyle w:val="TableText"/>
              <w:spacing w:before="50" w:after="50"/>
              <w:jc w:val="center"/>
              <w:rPr>
                <w:rFonts w:cs="Calibri"/>
              </w:rPr>
            </w:pPr>
            <w:r w:rsidRPr="009660EC">
              <w:rPr>
                <w:rFonts w:cs="Calibri"/>
              </w:rPr>
              <w:t>18.7</w:t>
            </w:r>
          </w:p>
        </w:tc>
        <w:tc>
          <w:tcPr>
            <w:tcW w:w="2161" w:type="dxa"/>
          </w:tcPr>
          <w:p w14:paraId="0FC62B6F" w14:textId="77777777" w:rsidR="004543E0" w:rsidRPr="009660EC" w:rsidRDefault="004543E0" w:rsidP="007E3239">
            <w:pPr>
              <w:pStyle w:val="TableText"/>
              <w:spacing w:before="50" w:after="50"/>
              <w:jc w:val="center"/>
              <w:rPr>
                <w:rFonts w:cs="Calibri"/>
              </w:rPr>
            </w:pPr>
            <w:r w:rsidRPr="009660EC">
              <w:rPr>
                <w:rFonts w:cs="Calibri"/>
              </w:rPr>
              <w:t>56.0</w:t>
            </w:r>
          </w:p>
        </w:tc>
      </w:tr>
      <w:tr w:rsidR="004543E0" w:rsidRPr="009660EC" w14:paraId="4A5B4E72" w14:textId="77777777" w:rsidTr="000E52A5">
        <w:trPr>
          <w:trHeight w:val="247"/>
        </w:trPr>
        <w:tc>
          <w:tcPr>
            <w:tcW w:w="1081" w:type="dxa"/>
          </w:tcPr>
          <w:p w14:paraId="14B40F0E" w14:textId="77777777" w:rsidR="004543E0" w:rsidRPr="009660EC" w:rsidRDefault="004543E0" w:rsidP="007E3239">
            <w:pPr>
              <w:pStyle w:val="TableText"/>
              <w:spacing w:before="50" w:after="50"/>
              <w:rPr>
                <w:rFonts w:cs="Calibri"/>
              </w:rPr>
            </w:pPr>
            <w:r w:rsidRPr="009660EC">
              <w:rPr>
                <w:rFonts w:cs="Calibri"/>
              </w:rPr>
              <w:t>2012</w:t>
            </w:r>
          </w:p>
        </w:tc>
        <w:tc>
          <w:tcPr>
            <w:tcW w:w="2484" w:type="dxa"/>
          </w:tcPr>
          <w:p w14:paraId="5AB23598" w14:textId="77777777" w:rsidR="004543E0" w:rsidRPr="009660EC" w:rsidRDefault="004543E0" w:rsidP="007E3239">
            <w:pPr>
              <w:pStyle w:val="TableText"/>
              <w:spacing w:before="50" w:after="50"/>
              <w:jc w:val="center"/>
              <w:rPr>
                <w:rFonts w:cs="Calibri"/>
              </w:rPr>
            </w:pPr>
            <w:r w:rsidRPr="009660EC">
              <w:rPr>
                <w:rFonts w:cs="Calibri"/>
              </w:rPr>
              <w:t>33.4</w:t>
            </w:r>
          </w:p>
        </w:tc>
        <w:tc>
          <w:tcPr>
            <w:tcW w:w="2269" w:type="dxa"/>
          </w:tcPr>
          <w:p w14:paraId="01BEFA30" w14:textId="77777777" w:rsidR="004543E0" w:rsidRPr="009660EC" w:rsidRDefault="004543E0" w:rsidP="007E3239">
            <w:pPr>
              <w:pStyle w:val="TableText"/>
              <w:spacing w:before="50" w:after="50"/>
              <w:jc w:val="center"/>
              <w:rPr>
                <w:rFonts w:cs="Calibri"/>
              </w:rPr>
            </w:pPr>
            <w:r w:rsidRPr="009660EC">
              <w:rPr>
                <w:rFonts w:cs="Calibri"/>
              </w:rPr>
              <w:t>19.3</w:t>
            </w:r>
          </w:p>
        </w:tc>
        <w:tc>
          <w:tcPr>
            <w:tcW w:w="2161" w:type="dxa"/>
          </w:tcPr>
          <w:p w14:paraId="1690C17B" w14:textId="77777777" w:rsidR="004543E0" w:rsidRPr="009660EC" w:rsidRDefault="004543E0" w:rsidP="007E3239">
            <w:pPr>
              <w:pStyle w:val="TableText"/>
              <w:spacing w:before="50" w:after="50"/>
              <w:jc w:val="center"/>
              <w:rPr>
                <w:rFonts w:cs="Calibri"/>
              </w:rPr>
            </w:pPr>
            <w:r w:rsidRPr="009660EC">
              <w:rPr>
                <w:rFonts w:cs="Calibri"/>
              </w:rPr>
              <w:t>58.0</w:t>
            </w:r>
          </w:p>
        </w:tc>
      </w:tr>
      <w:tr w:rsidR="004543E0" w:rsidRPr="009660EC" w14:paraId="3175214F" w14:textId="77777777" w:rsidTr="000E52A5">
        <w:trPr>
          <w:trHeight w:val="247"/>
        </w:trPr>
        <w:tc>
          <w:tcPr>
            <w:tcW w:w="1081" w:type="dxa"/>
          </w:tcPr>
          <w:p w14:paraId="2BDD5630" w14:textId="77777777" w:rsidR="004543E0" w:rsidRPr="009660EC" w:rsidRDefault="004543E0" w:rsidP="007E3239">
            <w:pPr>
              <w:pStyle w:val="TableText"/>
              <w:spacing w:before="50" w:after="50"/>
              <w:rPr>
                <w:rFonts w:cs="Calibri"/>
              </w:rPr>
            </w:pPr>
            <w:r w:rsidRPr="009660EC">
              <w:rPr>
                <w:rFonts w:cs="Calibri"/>
              </w:rPr>
              <w:t>2020</w:t>
            </w:r>
          </w:p>
        </w:tc>
        <w:tc>
          <w:tcPr>
            <w:tcW w:w="2484" w:type="dxa"/>
          </w:tcPr>
          <w:p w14:paraId="6540430E" w14:textId="77777777" w:rsidR="004543E0" w:rsidRPr="009660EC" w:rsidRDefault="004543E0" w:rsidP="007E3239">
            <w:pPr>
              <w:pStyle w:val="TableText"/>
              <w:spacing w:before="50" w:after="50"/>
              <w:jc w:val="center"/>
              <w:rPr>
                <w:rFonts w:cs="Calibri"/>
              </w:rPr>
            </w:pPr>
            <w:r w:rsidRPr="009660EC">
              <w:rPr>
                <w:rFonts w:cs="Calibri"/>
              </w:rPr>
              <w:t>26.5</w:t>
            </w:r>
          </w:p>
        </w:tc>
        <w:tc>
          <w:tcPr>
            <w:tcW w:w="2269" w:type="dxa"/>
          </w:tcPr>
          <w:p w14:paraId="6D596532" w14:textId="77777777" w:rsidR="004543E0" w:rsidRPr="009660EC" w:rsidRDefault="004543E0" w:rsidP="007E3239">
            <w:pPr>
              <w:pStyle w:val="TableText"/>
              <w:spacing w:before="50" w:after="50"/>
              <w:jc w:val="center"/>
              <w:rPr>
                <w:rFonts w:cs="Calibri"/>
              </w:rPr>
            </w:pPr>
            <w:r w:rsidRPr="009660EC">
              <w:rPr>
                <w:rFonts w:cs="Calibri"/>
              </w:rPr>
              <w:t>19.0</w:t>
            </w:r>
          </w:p>
        </w:tc>
        <w:tc>
          <w:tcPr>
            <w:tcW w:w="2161" w:type="dxa"/>
          </w:tcPr>
          <w:p w14:paraId="198C2BB3" w14:textId="77777777" w:rsidR="004543E0" w:rsidRPr="009660EC" w:rsidRDefault="004543E0" w:rsidP="007E3239">
            <w:pPr>
              <w:pStyle w:val="TableText"/>
              <w:spacing w:before="50" w:after="50"/>
              <w:jc w:val="center"/>
              <w:rPr>
                <w:rFonts w:cs="Calibri"/>
              </w:rPr>
            </w:pPr>
            <w:r w:rsidRPr="009660EC">
              <w:rPr>
                <w:rFonts w:cs="Calibri"/>
              </w:rPr>
              <w:t>33.9</w:t>
            </w:r>
          </w:p>
        </w:tc>
      </w:tr>
    </w:tbl>
    <w:p w14:paraId="758B9EC6" w14:textId="77777777" w:rsidR="004543E0" w:rsidRPr="009660EC" w:rsidRDefault="004543E0" w:rsidP="004543E0">
      <w:pPr>
        <w:pStyle w:val="Noteundertable"/>
        <w:rPr>
          <w:rFonts w:cs="Calibri"/>
        </w:rPr>
      </w:pPr>
      <w:r w:rsidRPr="009660EC">
        <w:rPr>
          <w:rFonts w:cs="Calibri"/>
          <w:b/>
          <w:bCs/>
        </w:rPr>
        <w:t>Note:</w:t>
      </w:r>
      <w:r w:rsidRPr="009660EC">
        <w:rPr>
          <w:rFonts w:cs="Calibri"/>
        </w:rPr>
        <w:t xml:space="preserve"> </w:t>
      </w:r>
      <w:r w:rsidRPr="009660EC">
        <w:rPr>
          <w:rFonts w:cs="Calibri"/>
        </w:rPr>
        <w:tab/>
        <w:t>The N</w:t>
      </w:r>
      <w:r w:rsidRPr="009660EC">
        <w:rPr>
          <w:rFonts w:cs="Calibri"/>
          <w:vertAlign w:val="subscript"/>
        </w:rPr>
        <w:t>2</w:t>
      </w:r>
      <w:r w:rsidRPr="009660EC">
        <w:rPr>
          <w:rFonts w:cs="Calibri"/>
        </w:rPr>
        <w:t>O emissions listed in this table for each year were calculated based on the reporting rules and methodologies used at that time.</w:t>
      </w:r>
    </w:p>
    <w:p w14:paraId="08571249" w14:textId="77777777" w:rsidR="004543E0" w:rsidRPr="009660EC" w:rsidRDefault="004543E0" w:rsidP="004543E0">
      <w:pPr>
        <w:pStyle w:val="BodyText"/>
        <w:rPr>
          <w:rFonts w:cs="Calibri"/>
        </w:rPr>
      </w:pPr>
      <w:r w:rsidRPr="009660EC">
        <w:rPr>
          <w:rFonts w:cs="Calibri"/>
          <w:spacing w:val="-2"/>
        </w:rPr>
        <w:lastRenderedPageBreak/>
        <w:t>The overall inventory uncertainty analysis shown in annex 2 demonstrates that the uncertainty</w:t>
      </w:r>
      <w:r w:rsidRPr="009660EC">
        <w:rPr>
          <w:rFonts w:cs="Calibri"/>
        </w:rPr>
        <w:t xml:space="preserve"> in annual emissions from </w:t>
      </w:r>
      <w:r w:rsidRPr="009660EC">
        <w:rPr>
          <w:rFonts w:cs="Calibri"/>
          <w:i/>
          <w:iCs/>
        </w:rPr>
        <w:t>Agricultural soils</w:t>
      </w:r>
      <w:r w:rsidRPr="009660EC">
        <w:rPr>
          <w:rFonts w:cs="Calibri"/>
        </w:rPr>
        <w:t xml:space="preserve"> is a major contributor to uncertainty in New Zealand’s total greenhouse gas emissions. The uncertainty between years was assumed to be correlated, and therefore the uncertainty is mostly associated with the emission factors. The uncertainty associated with the trend is much lower than the uncertainty for an annual estimate. </w:t>
      </w:r>
    </w:p>
    <w:p w14:paraId="0F6533D8" w14:textId="77777777" w:rsidR="004543E0" w:rsidRPr="009660EC" w:rsidRDefault="004543E0" w:rsidP="004543E0">
      <w:pPr>
        <w:pStyle w:val="BodyText"/>
        <w:rPr>
          <w:rFonts w:cs="Calibri"/>
        </w:rPr>
      </w:pPr>
      <w:r w:rsidRPr="009660EC">
        <w:rPr>
          <w:rFonts w:cs="Calibri"/>
        </w:rPr>
        <w:t xml:space="preserve">The uncertainty in emissions from </w:t>
      </w:r>
      <w:r w:rsidRPr="009660EC">
        <w:rPr>
          <w:rFonts w:cs="Calibri"/>
          <w:i/>
          <w:iCs/>
        </w:rPr>
        <w:t>Agricultural soils</w:t>
      </w:r>
      <w:r w:rsidRPr="009660EC">
        <w:rPr>
          <w:rFonts w:cs="Calibri"/>
        </w:rPr>
        <w:t xml:space="preserve"> is largely due to the parameter EF</w:t>
      </w:r>
      <w:r w:rsidRPr="009660EC">
        <w:rPr>
          <w:rFonts w:cs="Calibri"/>
          <w:vertAlign w:val="subscript"/>
        </w:rPr>
        <w:t>3(PRP)</w:t>
      </w:r>
      <w:r w:rsidRPr="009660EC">
        <w:rPr>
          <w:rFonts w:cs="Calibri"/>
        </w:rPr>
        <w:t xml:space="preserve"> and emissions from urine and dung deposited by grazing animals. This uncertainty reflects natural variance in EF</w:t>
      </w:r>
      <w:r w:rsidRPr="009660EC">
        <w:rPr>
          <w:rFonts w:cs="Calibri"/>
          <w:vertAlign w:val="subscript"/>
        </w:rPr>
        <w:t xml:space="preserve">3 </w:t>
      </w:r>
      <w:r w:rsidRPr="009660EC">
        <w:rPr>
          <w:rFonts w:cs="Calibri"/>
        </w:rPr>
        <w:t>due to weather, climate and soil type (Kelliher et al., unpublished).</w:t>
      </w:r>
    </w:p>
    <w:p w14:paraId="38829739" w14:textId="77777777" w:rsidR="004543E0" w:rsidRPr="009660EC" w:rsidRDefault="004543E0" w:rsidP="004543E0">
      <w:pPr>
        <w:pStyle w:val="Heading3"/>
      </w:pPr>
      <w:bookmarkStart w:id="1089" w:name="_Toc139253936"/>
      <w:bookmarkStart w:id="1090" w:name="_Toc32570670"/>
      <w:r w:rsidRPr="009660EC">
        <w:t>5.5.4</w:t>
      </w:r>
      <w:r w:rsidRPr="009660EC">
        <w:tab/>
        <w:t>Source-specific QA/QC and verification</w:t>
      </w:r>
      <w:bookmarkEnd w:id="1089"/>
      <w:bookmarkEnd w:id="1090"/>
    </w:p>
    <w:p w14:paraId="04F03090" w14:textId="77777777" w:rsidR="004543E0" w:rsidRPr="009660EC" w:rsidRDefault="004543E0" w:rsidP="004543E0">
      <w:pPr>
        <w:pStyle w:val="BodyText"/>
        <w:rPr>
          <w:rFonts w:cs="Calibri"/>
        </w:rPr>
      </w:pPr>
      <w:r w:rsidRPr="009660EC">
        <w:rPr>
          <w:rFonts w:cs="Calibri"/>
        </w:rPr>
        <w:t>In preparation for this inventory submission, the data underwent Tier 1 and Tier 2 quality checks.</w:t>
      </w:r>
    </w:p>
    <w:p w14:paraId="0D83C966" w14:textId="77777777" w:rsidR="004543E0" w:rsidRPr="009660EC" w:rsidRDefault="004543E0" w:rsidP="004543E0">
      <w:pPr>
        <w:pStyle w:val="Heading5"/>
        <w:spacing w:before="120"/>
        <w:rPr>
          <w:rFonts w:cs="Calibri"/>
        </w:rPr>
      </w:pPr>
      <w:r w:rsidRPr="009660EC">
        <w:rPr>
          <w:rFonts w:cs="Calibri"/>
        </w:rPr>
        <w:t>Verification of activity data</w:t>
      </w:r>
    </w:p>
    <w:p w14:paraId="13D213AB" w14:textId="77777777" w:rsidR="004543E0" w:rsidRPr="009660EC" w:rsidRDefault="004543E0" w:rsidP="004543E0">
      <w:pPr>
        <w:pStyle w:val="BodyText"/>
        <w:spacing w:before="80"/>
        <w:rPr>
          <w:rFonts w:cs="Calibri"/>
        </w:rPr>
      </w:pPr>
      <w:r w:rsidRPr="009660EC">
        <w:rPr>
          <w:rFonts w:cs="Calibri"/>
        </w:rPr>
        <w:t xml:space="preserve">Research has been carried out to verify the activity data for crops. In 2008 and 2011, MPI commissioned reports investigating </w:t>
      </w:r>
      <w:r w:rsidRPr="009660EC">
        <w:rPr>
          <w:rFonts w:cs="Calibri"/>
          <w:spacing w:val="-2"/>
        </w:rPr>
        <w:t>N</w:t>
      </w:r>
      <w:r w:rsidRPr="009660EC">
        <w:rPr>
          <w:rFonts w:cs="Calibri"/>
          <w:spacing w:val="-2"/>
          <w:vertAlign w:val="subscript"/>
        </w:rPr>
        <w:t>2</w:t>
      </w:r>
      <w:r w:rsidRPr="009660EC">
        <w:rPr>
          <w:rFonts w:cs="Calibri"/>
          <w:spacing w:val="-2"/>
        </w:rPr>
        <w:t>O</w:t>
      </w:r>
      <w:r w:rsidRPr="009660EC">
        <w:rPr>
          <w:rFonts w:cs="Calibri"/>
        </w:rPr>
        <w:t xml:space="preserve"> emission factors and activity data for crops (Thomas et al., 2008, 2011). The reports compared activity data from the Stats NZ Agricultural Production survey with the Foundation for Arable Research production database. Data for wheat and maize between the two data sources were very similar, although differences were evident for some of the other crops.</w:t>
      </w:r>
    </w:p>
    <w:p w14:paraId="7D4930C7" w14:textId="77777777" w:rsidR="004543E0" w:rsidRPr="009660EC" w:rsidRDefault="004543E0" w:rsidP="004543E0">
      <w:pPr>
        <w:pStyle w:val="BodyText"/>
        <w:rPr>
          <w:rFonts w:cs="Calibri"/>
        </w:rPr>
      </w:pPr>
      <w:r w:rsidRPr="009660EC">
        <w:rPr>
          <w:rFonts w:cs="Calibri"/>
        </w:rPr>
        <w:t xml:space="preserve">The accuracy of synthetic nitrogen fertiliser data has also been assessed by comparing fertiliser sales data received from the Fertiliser Association of New Zealand with data collected from the Agricultural Production survey. </w:t>
      </w:r>
    </w:p>
    <w:p w14:paraId="7BE14231" w14:textId="77777777" w:rsidR="004543E0" w:rsidRPr="009660EC" w:rsidRDefault="004543E0" w:rsidP="004543E0">
      <w:pPr>
        <w:pStyle w:val="BodyText"/>
        <w:rPr>
          <w:rFonts w:cs="Calibri"/>
        </w:rPr>
      </w:pPr>
      <w:r w:rsidRPr="009660EC">
        <w:rPr>
          <w:rFonts w:cs="Calibri"/>
        </w:rPr>
        <w:t xml:space="preserve">The Fertiliser Association sales data are used rather than the Agricultural Production survey data because the sales data are considered to be more accurate. Around 98 per cent of New Zealand synthetic nitrogen fertiliser is sold by two large companies that provide sales data to the Fertiliser Association. The Fertiliser Association provides an estimate of the additional synthetic nitrogen fertiliser sold by other companies (2 per cent). In contrast, the Agricultural Production survey data are collected from a sampling frame of around 49,300 individual farms. There are a large number of differently named fertilisers, and the survey respondents often have difficulty filling in the fertiliser component in the annual questionnaire. Some farmers use contract fertiliser spreading companies (including aerial spreading) and may not have an accurate estimate of the tonnes of fertiliser applied. The Agricultural Production census and survey data verified the long-term trend of the increasing use of synthetic nitrogen fertiliser. </w:t>
      </w:r>
    </w:p>
    <w:p w14:paraId="0BB55468" w14:textId="77777777" w:rsidR="004543E0" w:rsidRPr="009660EC" w:rsidRDefault="004543E0" w:rsidP="004543E0">
      <w:pPr>
        <w:pStyle w:val="Heading5"/>
        <w:rPr>
          <w:rFonts w:cs="Calibri"/>
        </w:rPr>
      </w:pPr>
      <w:r w:rsidRPr="009660EC">
        <w:rPr>
          <w:rFonts w:cs="Calibri"/>
        </w:rPr>
        <w:t>Comparison of New Zealand emission factors and parameters with IPCC default values</w:t>
      </w:r>
    </w:p>
    <w:p w14:paraId="4673BDF9" w14:textId="77777777" w:rsidR="004543E0" w:rsidRPr="009660EC" w:rsidRDefault="004543E0" w:rsidP="004543E0">
      <w:pPr>
        <w:pStyle w:val="BodyText"/>
      </w:pPr>
      <w:r w:rsidRPr="009660EC">
        <w:t>Table 5.5.12 compares New Zealand’s IEFs for EF</w:t>
      </w:r>
      <w:r w:rsidRPr="009660EC">
        <w:rPr>
          <w:vertAlign w:val="subscript"/>
        </w:rPr>
        <w:t>1</w:t>
      </w:r>
      <w:r w:rsidRPr="009660EC">
        <w:t xml:space="preserve"> (synthetic nitrogen fertiliser) and EF</w:t>
      </w:r>
      <w:r w:rsidRPr="009660EC">
        <w:rPr>
          <w:vertAlign w:val="subscript"/>
        </w:rPr>
        <w:t>3(PRP)</w:t>
      </w:r>
      <w:r w:rsidRPr="009660EC">
        <w:t xml:space="preserve"> (urine and dung deposited by grazing animals) with the 2006 IPCC default values and emission factors used by Australia. The New Zealand EF</w:t>
      </w:r>
      <w:r w:rsidRPr="009660EC">
        <w:rPr>
          <w:vertAlign w:val="subscript"/>
        </w:rPr>
        <w:t>1</w:t>
      </w:r>
      <w:r w:rsidRPr="009660EC">
        <w:t xml:space="preserve"> value is lower than the IPCC default due to the use of a country-specific emission factor for urea fertiliser and the incorporation of effect of urease inhibitors. For EF</w:t>
      </w:r>
      <w:r w:rsidRPr="009660EC">
        <w:rPr>
          <w:vertAlign w:val="subscript"/>
        </w:rPr>
        <w:t>3</w:t>
      </w:r>
      <w:r w:rsidRPr="009660EC">
        <w:t>,</w:t>
      </w:r>
      <w:r w:rsidRPr="009660EC">
        <w:rPr>
          <w:vertAlign w:val="subscript"/>
        </w:rPr>
        <w:t xml:space="preserve"> </w:t>
      </w:r>
      <w:r w:rsidRPr="009660EC">
        <w:t xml:space="preserve">the New Zealand value is also lower than the IPCC default. This reflects research that has developed country-specific emission factors for dung and urine from trials summarised by van der Weerden et al. (2019) (see section 5.5.2). </w:t>
      </w:r>
    </w:p>
    <w:p w14:paraId="614BC907" w14:textId="77777777" w:rsidR="004543E0" w:rsidRPr="009660EC" w:rsidRDefault="004543E0" w:rsidP="004543E0">
      <w:pPr>
        <w:pStyle w:val="Table"/>
        <w:rPr>
          <w:rFonts w:cs="Calibri"/>
        </w:rPr>
      </w:pPr>
      <w:bookmarkStart w:id="1091" w:name="_Toc441830888"/>
      <w:bookmarkStart w:id="1092" w:name="_Toc451176102"/>
      <w:bookmarkStart w:id="1093" w:name="_Toc481751529"/>
      <w:bookmarkStart w:id="1094" w:name="_Toc507158617"/>
      <w:bookmarkStart w:id="1095" w:name="_Toc511116751"/>
      <w:bookmarkStart w:id="1096" w:name="_Toc5269493"/>
      <w:bookmarkStart w:id="1097" w:name="_Toc32570938"/>
      <w:bookmarkStart w:id="1098" w:name="_Toc36224573"/>
      <w:bookmarkStart w:id="1099" w:name="_Toc68786458"/>
      <w:bookmarkStart w:id="1100" w:name="_Toc95574091"/>
      <w:bookmarkStart w:id="1101" w:name="_Toc99659264"/>
      <w:bookmarkStart w:id="1102" w:name="_Toc288316759"/>
      <w:bookmarkStart w:id="1103" w:name="_Toc352504977"/>
      <w:r w:rsidRPr="009660EC">
        <w:rPr>
          <w:rFonts w:cs="Calibri"/>
        </w:rPr>
        <w:lastRenderedPageBreak/>
        <w:t>Table 5.5.12</w:t>
      </w:r>
      <w:r w:rsidRPr="009660EC">
        <w:rPr>
          <w:rFonts w:cs="Calibri"/>
        </w:rPr>
        <w:tab/>
        <w:t>Comparison of New Zealand’s implied emission factors (IEFs) for EF</w:t>
      </w:r>
      <w:r w:rsidRPr="009660EC">
        <w:rPr>
          <w:rFonts w:cs="Calibri"/>
          <w:vertAlign w:val="subscript"/>
        </w:rPr>
        <w:t>1</w:t>
      </w:r>
      <w:r w:rsidRPr="009660EC">
        <w:rPr>
          <w:rFonts w:cs="Calibri"/>
        </w:rPr>
        <w:t xml:space="preserve"> (synthetic nitrogen fertiliser) and EF</w:t>
      </w:r>
      <w:r w:rsidRPr="009660EC">
        <w:rPr>
          <w:rFonts w:cs="Calibri"/>
          <w:vertAlign w:val="subscript"/>
        </w:rPr>
        <w:t>3(PRP)</w:t>
      </w:r>
      <w:r w:rsidRPr="009660EC">
        <w:rPr>
          <w:rFonts w:cs="Calibri"/>
        </w:rPr>
        <w:t xml:space="preserve"> (pasture, range and paddock manure) with the IPCC default and the Australia</w:t>
      </w:r>
      <w:bookmarkEnd w:id="1091"/>
      <w:r w:rsidRPr="009660EC">
        <w:rPr>
          <w:rFonts w:cs="Calibri"/>
        </w:rPr>
        <w:t>n-specific value</w:t>
      </w:r>
      <w:bookmarkEnd w:id="1092"/>
      <w:bookmarkEnd w:id="1093"/>
      <w:bookmarkEnd w:id="1094"/>
      <w:bookmarkEnd w:id="1095"/>
      <w:bookmarkEnd w:id="1096"/>
      <w:bookmarkEnd w:id="1097"/>
      <w:bookmarkEnd w:id="1098"/>
      <w:bookmarkEnd w:id="1099"/>
      <w:bookmarkEnd w:id="1100"/>
      <w:bookmarkEnd w:id="1101"/>
      <w:r w:rsidRPr="009660EC">
        <w:rPr>
          <w:rFonts w:cs="Calibri"/>
        </w:rPr>
        <w:t xml:space="preserve"> </w:t>
      </w:r>
      <w:bookmarkEnd w:id="1102"/>
      <w:bookmarkEnd w:id="1103"/>
    </w:p>
    <w:tbl>
      <w:tblPr>
        <w:tblW w:w="8505" w:type="dxa"/>
        <w:tblInd w:w="113" w:type="dxa"/>
        <w:tblBorders>
          <w:top w:val="single" w:sz="4" w:space="0" w:color="365F91"/>
          <w:bottom w:val="single" w:sz="4" w:space="0" w:color="365F91"/>
          <w:insideH w:val="single" w:sz="4" w:space="0" w:color="365F91"/>
        </w:tblBorders>
        <w:tblLook w:val="01E0" w:firstRow="1" w:lastRow="1" w:firstColumn="1" w:lastColumn="1" w:noHBand="0" w:noVBand="0"/>
      </w:tblPr>
      <w:tblGrid>
        <w:gridCol w:w="3181"/>
        <w:gridCol w:w="2633"/>
        <w:gridCol w:w="2691"/>
      </w:tblGrid>
      <w:tr w:rsidR="004543E0" w:rsidRPr="009660EC" w14:paraId="34AC2231" w14:textId="77777777" w:rsidTr="000E52A5">
        <w:tc>
          <w:tcPr>
            <w:tcW w:w="1870" w:type="pct"/>
            <w:shd w:val="clear" w:color="auto" w:fill="1B556B"/>
            <w:vAlign w:val="bottom"/>
          </w:tcPr>
          <w:p w14:paraId="336C0E00" w14:textId="77777777" w:rsidR="004543E0" w:rsidRPr="004543E0" w:rsidRDefault="004543E0" w:rsidP="007E3239">
            <w:pPr>
              <w:pStyle w:val="TableTextBold"/>
              <w:keepNext/>
              <w:rPr>
                <w:noProof w:val="0"/>
                <w:color w:val="FFFFFF"/>
                <w:szCs w:val="16"/>
              </w:rPr>
            </w:pPr>
          </w:p>
        </w:tc>
        <w:tc>
          <w:tcPr>
            <w:tcW w:w="1548" w:type="pct"/>
            <w:shd w:val="clear" w:color="auto" w:fill="1B556B"/>
            <w:vAlign w:val="bottom"/>
          </w:tcPr>
          <w:p w14:paraId="5361E486" w14:textId="77777777" w:rsidR="004543E0" w:rsidRPr="004543E0" w:rsidRDefault="004543E0" w:rsidP="007E3239">
            <w:pPr>
              <w:pStyle w:val="TableTextBold"/>
              <w:keepNext/>
              <w:rPr>
                <w:noProof w:val="0"/>
                <w:color w:val="FFFFFF"/>
                <w:szCs w:val="16"/>
              </w:rPr>
            </w:pPr>
            <w:r w:rsidRPr="004543E0">
              <w:rPr>
                <w:noProof w:val="0"/>
                <w:color w:val="FFFFFF"/>
                <w:szCs w:val="16"/>
              </w:rPr>
              <w:t>EF</w:t>
            </w:r>
            <w:r w:rsidRPr="004543E0">
              <w:rPr>
                <w:noProof w:val="0"/>
                <w:color w:val="FFFFFF"/>
                <w:szCs w:val="16"/>
                <w:vertAlign w:val="subscript"/>
              </w:rPr>
              <w:t>1</w:t>
            </w:r>
            <w:r w:rsidRPr="004543E0">
              <w:rPr>
                <w:noProof w:val="0"/>
                <w:color w:val="FFFFFF"/>
                <w:szCs w:val="16"/>
              </w:rPr>
              <w:t xml:space="preserve"> (kg N</w:t>
            </w:r>
            <w:r w:rsidRPr="004543E0">
              <w:rPr>
                <w:noProof w:val="0"/>
                <w:color w:val="FFFFFF"/>
                <w:szCs w:val="16"/>
                <w:vertAlign w:val="subscript"/>
              </w:rPr>
              <w:t>2</w:t>
            </w:r>
            <w:r w:rsidRPr="004543E0">
              <w:rPr>
                <w:noProof w:val="0"/>
                <w:color w:val="FFFFFF"/>
                <w:szCs w:val="16"/>
              </w:rPr>
              <w:t>O-N/kg N)</w:t>
            </w:r>
          </w:p>
        </w:tc>
        <w:tc>
          <w:tcPr>
            <w:tcW w:w="1582" w:type="pct"/>
            <w:shd w:val="clear" w:color="auto" w:fill="1B556B"/>
            <w:vAlign w:val="bottom"/>
          </w:tcPr>
          <w:p w14:paraId="6D88D04E" w14:textId="77777777" w:rsidR="004543E0" w:rsidRPr="004543E0" w:rsidRDefault="004543E0" w:rsidP="007E3239">
            <w:pPr>
              <w:pStyle w:val="TableTextBold"/>
              <w:keepNext/>
              <w:rPr>
                <w:noProof w:val="0"/>
                <w:color w:val="FFFFFF"/>
                <w:szCs w:val="16"/>
              </w:rPr>
            </w:pPr>
            <w:r w:rsidRPr="004543E0">
              <w:rPr>
                <w:noProof w:val="0"/>
                <w:color w:val="FFFFFF"/>
                <w:szCs w:val="16"/>
              </w:rPr>
              <w:t>EF</w:t>
            </w:r>
            <w:r w:rsidRPr="004543E0">
              <w:rPr>
                <w:noProof w:val="0"/>
                <w:color w:val="FFFFFF"/>
                <w:szCs w:val="16"/>
                <w:vertAlign w:val="subscript"/>
              </w:rPr>
              <w:t>3</w:t>
            </w:r>
            <w:r w:rsidRPr="004543E0">
              <w:rPr>
                <w:noProof w:val="0"/>
                <w:color w:val="FFFFFF"/>
                <w:szCs w:val="16"/>
              </w:rPr>
              <w:t xml:space="preserve"> (kg N</w:t>
            </w:r>
            <w:r w:rsidRPr="004543E0">
              <w:rPr>
                <w:noProof w:val="0"/>
                <w:color w:val="FFFFFF"/>
                <w:szCs w:val="16"/>
                <w:vertAlign w:val="subscript"/>
              </w:rPr>
              <w:t>2</w:t>
            </w:r>
            <w:r w:rsidRPr="004543E0">
              <w:rPr>
                <w:noProof w:val="0"/>
                <w:color w:val="FFFFFF"/>
                <w:szCs w:val="16"/>
              </w:rPr>
              <w:t>O-N/kg N excreted)</w:t>
            </w:r>
          </w:p>
        </w:tc>
      </w:tr>
      <w:tr w:rsidR="004543E0" w:rsidRPr="009660EC" w14:paraId="0B7EE265" w14:textId="77777777" w:rsidTr="000E52A5">
        <w:tc>
          <w:tcPr>
            <w:tcW w:w="1870" w:type="pct"/>
          </w:tcPr>
          <w:p w14:paraId="4AA89455" w14:textId="77777777" w:rsidR="004543E0" w:rsidRPr="009660EC" w:rsidRDefault="004543E0" w:rsidP="007E3239">
            <w:pPr>
              <w:pStyle w:val="TableText"/>
              <w:keepNext/>
              <w:spacing w:before="50" w:after="50"/>
              <w:rPr>
                <w:rFonts w:cs="Calibri"/>
                <w:szCs w:val="16"/>
              </w:rPr>
            </w:pPr>
            <w:r w:rsidRPr="009660EC">
              <w:rPr>
                <w:rFonts w:cs="Calibri"/>
                <w:szCs w:val="16"/>
              </w:rPr>
              <w:t>IPCC (2006) developed temperate climate/Oceania default value</w:t>
            </w:r>
          </w:p>
        </w:tc>
        <w:tc>
          <w:tcPr>
            <w:tcW w:w="1548" w:type="pct"/>
          </w:tcPr>
          <w:p w14:paraId="404F5540" w14:textId="77777777" w:rsidR="004543E0" w:rsidRPr="009660EC" w:rsidRDefault="004543E0" w:rsidP="007E3239">
            <w:pPr>
              <w:pStyle w:val="TableText"/>
              <w:keepNext/>
              <w:spacing w:before="50" w:after="50"/>
              <w:rPr>
                <w:rFonts w:cs="Calibri"/>
                <w:szCs w:val="16"/>
              </w:rPr>
            </w:pPr>
            <w:r w:rsidRPr="009660EC">
              <w:rPr>
                <w:rFonts w:cs="Calibri"/>
                <w:szCs w:val="16"/>
              </w:rPr>
              <w:t>0.01</w:t>
            </w:r>
          </w:p>
        </w:tc>
        <w:tc>
          <w:tcPr>
            <w:tcW w:w="1582" w:type="pct"/>
          </w:tcPr>
          <w:p w14:paraId="3E863FF5" w14:textId="77777777" w:rsidR="004543E0" w:rsidRPr="009660EC" w:rsidRDefault="004543E0" w:rsidP="007E3239">
            <w:pPr>
              <w:pStyle w:val="TableText"/>
              <w:keepNext/>
              <w:spacing w:before="50" w:after="0"/>
              <w:rPr>
                <w:rFonts w:cs="Calibri"/>
                <w:szCs w:val="16"/>
              </w:rPr>
            </w:pPr>
            <w:r w:rsidRPr="009660EC">
              <w:rPr>
                <w:rFonts w:cs="Calibri"/>
                <w:szCs w:val="16"/>
              </w:rPr>
              <w:t>0.02 (cattle, poultry and pigs)</w:t>
            </w:r>
          </w:p>
          <w:p w14:paraId="3F506D53" w14:textId="77777777" w:rsidR="004543E0" w:rsidRPr="009660EC" w:rsidRDefault="004543E0" w:rsidP="007E3239">
            <w:pPr>
              <w:pStyle w:val="TableText"/>
              <w:keepNext/>
              <w:spacing w:before="50" w:after="50"/>
              <w:rPr>
                <w:rFonts w:cs="Calibri"/>
                <w:szCs w:val="16"/>
              </w:rPr>
            </w:pPr>
            <w:r w:rsidRPr="009660EC">
              <w:rPr>
                <w:rFonts w:cs="Calibri"/>
                <w:szCs w:val="16"/>
              </w:rPr>
              <w:t>0.01 (sheep and other animals)</w:t>
            </w:r>
          </w:p>
        </w:tc>
      </w:tr>
      <w:tr w:rsidR="004543E0" w:rsidRPr="009660EC" w14:paraId="09F9171E" w14:textId="77777777" w:rsidTr="000E52A5">
        <w:tc>
          <w:tcPr>
            <w:tcW w:w="1870" w:type="pct"/>
          </w:tcPr>
          <w:p w14:paraId="1DBFFCFB" w14:textId="77777777" w:rsidR="004543E0" w:rsidRPr="009660EC" w:rsidRDefault="004543E0" w:rsidP="007E3239">
            <w:pPr>
              <w:pStyle w:val="TableText"/>
              <w:keepNext/>
              <w:spacing w:before="50" w:after="50"/>
              <w:rPr>
                <w:rFonts w:cs="Calibri"/>
                <w:szCs w:val="16"/>
              </w:rPr>
            </w:pPr>
            <w:r w:rsidRPr="009660EC">
              <w:rPr>
                <w:rFonts w:cs="Calibri"/>
                <w:szCs w:val="16"/>
              </w:rPr>
              <w:t>Australian-specific IEF 2019 value</w:t>
            </w:r>
          </w:p>
        </w:tc>
        <w:tc>
          <w:tcPr>
            <w:tcW w:w="1548" w:type="pct"/>
          </w:tcPr>
          <w:p w14:paraId="6958FD2D" w14:textId="77777777" w:rsidR="004543E0" w:rsidRPr="009660EC" w:rsidRDefault="004543E0" w:rsidP="007E3239">
            <w:pPr>
              <w:pStyle w:val="TableText"/>
              <w:keepNext/>
              <w:spacing w:before="50" w:after="50"/>
              <w:rPr>
                <w:rFonts w:cs="Calibri"/>
                <w:szCs w:val="16"/>
              </w:rPr>
            </w:pPr>
            <w:r w:rsidRPr="009660EC">
              <w:rPr>
                <w:rFonts w:cs="Calibri"/>
                <w:szCs w:val="16"/>
              </w:rPr>
              <w:t>0.0035</w:t>
            </w:r>
          </w:p>
        </w:tc>
        <w:tc>
          <w:tcPr>
            <w:tcW w:w="1582" w:type="pct"/>
          </w:tcPr>
          <w:p w14:paraId="15F598F1" w14:textId="77777777" w:rsidR="004543E0" w:rsidRPr="009660EC" w:rsidRDefault="004543E0" w:rsidP="007E3239">
            <w:pPr>
              <w:pStyle w:val="TableText"/>
              <w:keepNext/>
              <w:spacing w:before="50" w:after="50"/>
              <w:rPr>
                <w:rFonts w:cs="Calibri"/>
                <w:szCs w:val="16"/>
              </w:rPr>
            </w:pPr>
            <w:r w:rsidRPr="009660EC">
              <w:rPr>
                <w:rFonts w:cs="Calibri"/>
                <w:szCs w:val="16"/>
              </w:rPr>
              <w:t>0.0040</w:t>
            </w:r>
          </w:p>
        </w:tc>
      </w:tr>
      <w:tr w:rsidR="004543E0" w:rsidRPr="009660EC" w14:paraId="21C4A7C9" w14:textId="77777777" w:rsidTr="000E52A5">
        <w:tc>
          <w:tcPr>
            <w:tcW w:w="1870" w:type="pct"/>
          </w:tcPr>
          <w:p w14:paraId="33F88AE7" w14:textId="77777777" w:rsidR="004543E0" w:rsidRPr="009660EC" w:rsidRDefault="004543E0" w:rsidP="007E3239">
            <w:pPr>
              <w:pStyle w:val="TableText"/>
              <w:spacing w:before="50" w:after="50"/>
              <w:rPr>
                <w:rFonts w:cs="Calibri"/>
                <w:szCs w:val="16"/>
              </w:rPr>
            </w:pPr>
            <w:r w:rsidRPr="009660EC">
              <w:rPr>
                <w:rFonts w:cs="Calibri"/>
                <w:szCs w:val="16"/>
              </w:rPr>
              <w:t>New Zealand-specific IEF 2020 value</w:t>
            </w:r>
          </w:p>
        </w:tc>
        <w:tc>
          <w:tcPr>
            <w:tcW w:w="1548" w:type="pct"/>
          </w:tcPr>
          <w:p w14:paraId="60F591D0" w14:textId="77777777" w:rsidR="004543E0" w:rsidRPr="009660EC" w:rsidRDefault="004543E0" w:rsidP="007E3239">
            <w:pPr>
              <w:pStyle w:val="TableText"/>
              <w:spacing w:before="50" w:after="50"/>
              <w:rPr>
                <w:rFonts w:cs="Calibri"/>
                <w:szCs w:val="16"/>
              </w:rPr>
            </w:pPr>
            <w:r w:rsidRPr="009660EC">
              <w:rPr>
                <w:rFonts w:cs="Calibri"/>
                <w:szCs w:val="16"/>
              </w:rPr>
              <w:t>0.0070</w:t>
            </w:r>
          </w:p>
        </w:tc>
        <w:tc>
          <w:tcPr>
            <w:tcW w:w="1582" w:type="pct"/>
          </w:tcPr>
          <w:p w14:paraId="47E7C6DB" w14:textId="77777777" w:rsidR="004543E0" w:rsidRPr="009660EC" w:rsidRDefault="004543E0" w:rsidP="007E3239">
            <w:pPr>
              <w:pStyle w:val="TableText"/>
              <w:spacing w:before="50" w:after="50"/>
              <w:rPr>
                <w:rFonts w:cs="Calibri"/>
                <w:szCs w:val="16"/>
              </w:rPr>
            </w:pPr>
            <w:r w:rsidRPr="009660EC">
              <w:rPr>
                <w:rFonts w:cs="Calibri"/>
                <w:szCs w:val="16"/>
              </w:rPr>
              <w:t>0.0054</w:t>
            </w:r>
          </w:p>
        </w:tc>
      </w:tr>
    </w:tbl>
    <w:p w14:paraId="106596E6" w14:textId="77777777" w:rsidR="004543E0" w:rsidRPr="009660EC" w:rsidRDefault="004543E0" w:rsidP="004543E0">
      <w:pPr>
        <w:pStyle w:val="Source"/>
        <w:spacing w:after="120"/>
        <w:rPr>
          <w:rFonts w:cs="Calibri"/>
          <w:sz w:val="18"/>
          <w:szCs w:val="24"/>
        </w:rPr>
      </w:pPr>
      <w:r w:rsidRPr="009660EC">
        <w:rPr>
          <w:rFonts w:cs="Calibri"/>
          <w:b/>
          <w:bCs/>
          <w:sz w:val="18"/>
          <w:szCs w:val="24"/>
        </w:rPr>
        <w:t>Source:</w:t>
      </w:r>
      <w:r w:rsidRPr="009660EC">
        <w:rPr>
          <w:rFonts w:cs="Calibri"/>
          <w:sz w:val="18"/>
          <w:szCs w:val="24"/>
        </w:rPr>
        <w:t xml:space="preserve"> </w:t>
      </w:r>
      <w:r w:rsidRPr="009660EC">
        <w:rPr>
          <w:rFonts w:cs="Calibri"/>
          <w:sz w:val="18"/>
          <w:szCs w:val="24"/>
        </w:rPr>
        <w:tab/>
        <w:t>UNFCCC (https://unfccc.int/documents/65705)</w:t>
      </w:r>
      <w:r w:rsidRPr="009660EC" w:rsidDel="00D478FB">
        <w:rPr>
          <w:rFonts w:cs="Calibri"/>
          <w:sz w:val="18"/>
          <w:szCs w:val="24"/>
        </w:rPr>
        <w:t xml:space="preserve"> </w:t>
      </w:r>
    </w:p>
    <w:p w14:paraId="245AB6F8" w14:textId="77777777" w:rsidR="004543E0" w:rsidRPr="009660EC" w:rsidRDefault="004543E0" w:rsidP="004543E0">
      <w:pPr>
        <w:pStyle w:val="BodyText"/>
        <w:rPr>
          <w:rFonts w:cs="Calibri"/>
        </w:rPr>
      </w:pPr>
      <w:r w:rsidRPr="009660EC">
        <w:rPr>
          <w:rFonts w:cs="Calibri"/>
        </w:rPr>
        <w:t>Table 5.5.13 compares the New Zealand-specific values Frac</w:t>
      </w:r>
      <w:r w:rsidRPr="009660EC">
        <w:rPr>
          <w:rFonts w:cs="Calibri"/>
          <w:vertAlign w:val="subscript"/>
        </w:rPr>
        <w:t>GASF</w:t>
      </w:r>
      <w:r w:rsidRPr="009660EC">
        <w:rPr>
          <w:rFonts w:cs="Calibri"/>
        </w:rPr>
        <w:t>, Frac</w:t>
      </w:r>
      <w:r w:rsidRPr="009660EC">
        <w:rPr>
          <w:rFonts w:cs="Calibri"/>
          <w:vertAlign w:val="subscript"/>
        </w:rPr>
        <w:t>GASM</w:t>
      </w:r>
      <w:r w:rsidRPr="009660EC">
        <w:rPr>
          <w:rFonts w:cs="Calibri"/>
        </w:rPr>
        <w:t xml:space="preserve"> and Frac</w:t>
      </w:r>
      <w:r w:rsidRPr="009660EC">
        <w:rPr>
          <w:rFonts w:cs="Calibri"/>
          <w:vertAlign w:val="subscript"/>
        </w:rPr>
        <w:t>LEACH-H</w:t>
      </w:r>
      <w:r w:rsidRPr="009660EC">
        <w:rPr>
          <w:rFonts w:cs="Calibri"/>
        </w:rPr>
        <w:t xml:space="preserve"> with </w:t>
      </w:r>
      <w:r w:rsidRPr="009660EC">
        <w:rPr>
          <w:rFonts w:cs="Calibri"/>
          <w:spacing w:val="-2"/>
        </w:rPr>
        <w:t>the 2006 IPCC default and fractions used by Australia. New Zealand has taken a country</w:t>
      </w:r>
      <w:r w:rsidRPr="009660EC">
        <w:rPr>
          <w:rFonts w:cs="Calibri"/>
          <w:spacing w:val="-2"/>
        </w:rPr>
        <w:noBreakHyphen/>
        <w:t>specific</w:t>
      </w:r>
      <w:r w:rsidRPr="009660EC">
        <w:rPr>
          <w:rFonts w:cs="Calibri"/>
        </w:rPr>
        <w:t xml:space="preserve"> value for Frac</w:t>
      </w:r>
      <w:r w:rsidRPr="009660EC">
        <w:rPr>
          <w:rFonts w:cs="Calibri"/>
          <w:vertAlign w:val="subscript"/>
        </w:rPr>
        <w:t>GASF</w:t>
      </w:r>
      <w:r w:rsidRPr="009660EC">
        <w:rPr>
          <w:rFonts w:cs="Calibri"/>
        </w:rPr>
        <w:t xml:space="preserve"> of 0.1, and it is the same as the 2006 IPCC default and almost identical to that of Australia (0.11). Research showed that the 0.1 value was appropriate for New Zealand conditions (Sherlock et al., 2008). </w:t>
      </w:r>
    </w:p>
    <w:p w14:paraId="472A1186" w14:textId="77777777" w:rsidR="004543E0" w:rsidRPr="009660EC" w:rsidRDefault="004543E0" w:rsidP="004543E0">
      <w:pPr>
        <w:pStyle w:val="BodyText"/>
        <w:rPr>
          <w:lang w:eastAsia="en-GB"/>
        </w:rPr>
      </w:pPr>
      <w:r w:rsidRPr="009660EC">
        <w:t>This research also showed that the previously used 2006 IPCC default value of 0.2 for Frac</w:t>
      </w:r>
      <w:r w:rsidRPr="009660EC">
        <w:rPr>
          <w:vertAlign w:val="subscript"/>
        </w:rPr>
        <w:t>GASM</w:t>
      </w:r>
      <w:r w:rsidRPr="009660EC">
        <w:t xml:space="preserve"> was too high and a lower value of 0.1 was adopted after an extensive review of scientific literature (Sherlock et al., 2008), which was also confirmed by subsequent field experiments (Laubach et al., 2012). The reduction in Frac</w:t>
      </w:r>
      <w:r w:rsidRPr="009660EC">
        <w:rPr>
          <w:vertAlign w:val="subscript"/>
        </w:rPr>
        <w:t>GASM</w:t>
      </w:r>
      <w:r w:rsidRPr="009660EC">
        <w:t xml:space="preserve"> is due to the proportion of the different sources that make up this value. In New Zealand, over 95 per cent of animal excreta is deposited onto pasture and only a small proportion is managed. In contrast, the 2006 IPCC default value was calculated based on systems where a much higher percentage of manure management and storage is normal. Manure management and storage results in a much higher proportion of nitrogen being volatilised and, hence, the higher Frac</w:t>
      </w:r>
      <w:r w:rsidRPr="009660EC">
        <w:rPr>
          <w:vertAlign w:val="subscript"/>
        </w:rPr>
        <w:t>GASM</w:t>
      </w:r>
      <w:r w:rsidRPr="009660EC">
        <w:t xml:space="preserve"> for the default value compared with the country-specific New Zealand value. </w:t>
      </w:r>
    </w:p>
    <w:p w14:paraId="33EF1BD2" w14:textId="77777777" w:rsidR="004543E0" w:rsidRPr="009660EC" w:rsidRDefault="004543E0" w:rsidP="004543E0">
      <w:pPr>
        <w:pStyle w:val="BodyText"/>
      </w:pPr>
      <w:r w:rsidRPr="009660EC">
        <w:t>New Zealand also has much lower values of Frac</w:t>
      </w:r>
      <w:r w:rsidRPr="009660EC">
        <w:rPr>
          <w:vertAlign w:val="subscript"/>
        </w:rPr>
        <w:t>LEACH</w:t>
      </w:r>
      <w:r w:rsidRPr="009660EC" w:rsidDel="009C0F97">
        <w:rPr>
          <w:vertAlign w:val="subscript"/>
        </w:rPr>
        <w:t>-H</w:t>
      </w:r>
      <w:r w:rsidRPr="009660EC" w:rsidDel="009C0F97">
        <w:t>.</w:t>
      </w:r>
      <w:r w:rsidRPr="009660EC">
        <w:t xml:space="preserve"> Research suggests that New Zealand applies a much lower rate of nitrogen fertiliser at each application than what was assumed when the IPCC default value was developed (Thomas et al., unpublished, 2005). When the OVERSEER</w:t>
      </w:r>
      <w:r w:rsidRPr="009660EC">
        <w:rPr>
          <w:vertAlign w:val="superscript"/>
        </w:rPr>
        <w:t>®</w:t>
      </w:r>
      <w:r w:rsidRPr="009660EC">
        <w:t xml:space="preserve"> nutrient budget model (Wheeler et al., 2003) took this lower rate into account, the rate of leaching was much lower than when compared with farms with a high nitrogen fertiliser, which can be typical in other developed countries. </w:t>
      </w:r>
    </w:p>
    <w:p w14:paraId="770B0E78" w14:textId="77777777" w:rsidR="004543E0" w:rsidRPr="009660EC" w:rsidRDefault="004543E0" w:rsidP="004543E0">
      <w:pPr>
        <w:pStyle w:val="Table"/>
        <w:rPr>
          <w:rFonts w:cs="Calibri"/>
        </w:rPr>
      </w:pPr>
      <w:bookmarkStart w:id="1104" w:name="_Toc441830889"/>
      <w:bookmarkStart w:id="1105" w:name="_Toc288316760"/>
      <w:bookmarkStart w:id="1106" w:name="_Toc352504978"/>
      <w:bookmarkStart w:id="1107" w:name="_Toc451176103"/>
      <w:bookmarkStart w:id="1108" w:name="_Toc481751530"/>
      <w:bookmarkStart w:id="1109" w:name="_Toc507158618"/>
      <w:bookmarkStart w:id="1110" w:name="_Toc511116752"/>
      <w:bookmarkStart w:id="1111" w:name="_Toc5269494"/>
      <w:bookmarkStart w:id="1112" w:name="_Toc32570939"/>
      <w:bookmarkStart w:id="1113" w:name="_Toc36224574"/>
      <w:bookmarkStart w:id="1114" w:name="_Toc68786459"/>
      <w:bookmarkStart w:id="1115" w:name="_Toc95574092"/>
      <w:bookmarkStart w:id="1116" w:name="_Toc99659265"/>
      <w:r w:rsidRPr="009660EC">
        <w:rPr>
          <w:rFonts w:cs="Calibri"/>
        </w:rPr>
        <w:t>Table 5.5.13</w:t>
      </w:r>
      <w:r w:rsidRPr="009660EC">
        <w:rPr>
          <w:rFonts w:cs="Calibri"/>
        </w:rPr>
        <w:tab/>
        <w:t>Comparison of New Zealand’s country-specific factors for volatilisation (Frac</w:t>
      </w:r>
      <w:r w:rsidRPr="009660EC">
        <w:rPr>
          <w:rFonts w:cs="Calibri"/>
          <w:vertAlign w:val="subscript"/>
        </w:rPr>
        <w:t>GASF</w:t>
      </w:r>
      <w:r w:rsidRPr="009660EC">
        <w:rPr>
          <w:rFonts w:cs="Calibri"/>
        </w:rPr>
        <w:t>, Frac</w:t>
      </w:r>
      <w:r w:rsidRPr="009660EC">
        <w:rPr>
          <w:rFonts w:cs="Calibri"/>
          <w:vertAlign w:val="subscript"/>
        </w:rPr>
        <w:t>GASM</w:t>
      </w:r>
      <w:r w:rsidRPr="009660EC">
        <w:rPr>
          <w:rFonts w:cs="Calibri"/>
        </w:rPr>
        <w:t>) and leaching and runoff (Frac</w:t>
      </w:r>
      <w:r w:rsidRPr="009660EC">
        <w:rPr>
          <w:rFonts w:cs="Calibri"/>
          <w:vertAlign w:val="subscript"/>
        </w:rPr>
        <w:t>LEACH-(H)</w:t>
      </w:r>
      <w:r w:rsidRPr="009660EC">
        <w:rPr>
          <w:rFonts w:cs="Calibri"/>
        </w:rPr>
        <w:t>) with the IPCC default value and the Australia</w:t>
      </w:r>
      <w:bookmarkEnd w:id="1104"/>
      <w:r w:rsidRPr="009660EC">
        <w:rPr>
          <w:rFonts w:cs="Calibri"/>
        </w:rPr>
        <w:t>n implied emission factor (IEF</w:t>
      </w:r>
      <w:bookmarkEnd w:id="1105"/>
      <w:bookmarkEnd w:id="1106"/>
      <w:bookmarkEnd w:id="1107"/>
      <w:bookmarkEnd w:id="1108"/>
      <w:r w:rsidRPr="009660EC">
        <w:rPr>
          <w:rFonts w:cs="Calibri"/>
        </w:rPr>
        <w:t>)</w:t>
      </w:r>
      <w:bookmarkEnd w:id="1109"/>
      <w:bookmarkEnd w:id="1110"/>
      <w:bookmarkEnd w:id="1111"/>
      <w:bookmarkEnd w:id="1112"/>
      <w:bookmarkEnd w:id="1113"/>
      <w:bookmarkEnd w:id="1114"/>
      <w:bookmarkEnd w:id="1115"/>
      <w:bookmarkEnd w:id="1116"/>
    </w:p>
    <w:tbl>
      <w:tblPr>
        <w:tblW w:w="8505" w:type="dxa"/>
        <w:tblInd w:w="113" w:type="dxa"/>
        <w:tblBorders>
          <w:top w:val="single" w:sz="4" w:space="0" w:color="44546A"/>
          <w:bottom w:val="single" w:sz="4" w:space="0" w:color="44546A"/>
          <w:insideH w:val="single" w:sz="4" w:space="0" w:color="44546A"/>
        </w:tblBorders>
        <w:tblLook w:val="01E0" w:firstRow="1" w:lastRow="1" w:firstColumn="1" w:lastColumn="1" w:noHBand="0" w:noVBand="0"/>
      </w:tblPr>
      <w:tblGrid>
        <w:gridCol w:w="2689"/>
        <w:gridCol w:w="1983"/>
        <w:gridCol w:w="1987"/>
        <w:gridCol w:w="1839"/>
        <w:gridCol w:w="7"/>
      </w:tblGrid>
      <w:tr w:rsidR="004543E0" w:rsidRPr="009660EC" w14:paraId="2A8782F3" w14:textId="77777777" w:rsidTr="000E52A5">
        <w:trPr>
          <w:gridAfter w:val="1"/>
          <w:wAfter w:w="5" w:type="pct"/>
          <w:trHeight w:val="287"/>
        </w:trPr>
        <w:tc>
          <w:tcPr>
            <w:tcW w:w="1581" w:type="pct"/>
            <w:shd w:val="clear" w:color="auto" w:fill="1B556B"/>
            <w:vAlign w:val="bottom"/>
          </w:tcPr>
          <w:p w14:paraId="7E3700DC" w14:textId="77777777" w:rsidR="004543E0" w:rsidRPr="004543E0" w:rsidRDefault="004543E0" w:rsidP="007E3239">
            <w:pPr>
              <w:pStyle w:val="TableTextBold"/>
              <w:keepNext/>
              <w:spacing w:before="50" w:after="50"/>
              <w:rPr>
                <w:noProof w:val="0"/>
                <w:color w:val="FFFFFF"/>
              </w:rPr>
            </w:pPr>
          </w:p>
        </w:tc>
        <w:tc>
          <w:tcPr>
            <w:tcW w:w="1166" w:type="pct"/>
            <w:shd w:val="clear" w:color="auto" w:fill="1B556B"/>
            <w:vAlign w:val="bottom"/>
          </w:tcPr>
          <w:p w14:paraId="1F28EE16" w14:textId="77777777" w:rsidR="004543E0" w:rsidRPr="004543E0" w:rsidRDefault="004543E0" w:rsidP="007E3239">
            <w:pPr>
              <w:pStyle w:val="TableTextBold"/>
              <w:keepNext/>
              <w:spacing w:before="50" w:after="50"/>
              <w:rPr>
                <w:noProof w:val="0"/>
                <w:color w:val="FFFFFF"/>
              </w:rPr>
            </w:pPr>
            <w:r w:rsidRPr="004543E0">
              <w:rPr>
                <w:noProof w:val="0"/>
                <w:color w:val="FFFFFF"/>
              </w:rPr>
              <w:t>Frac</w:t>
            </w:r>
            <w:r w:rsidRPr="004543E0">
              <w:rPr>
                <w:noProof w:val="0"/>
                <w:color w:val="FFFFFF"/>
                <w:vertAlign w:val="subscript"/>
              </w:rPr>
              <w:t xml:space="preserve">GASF </w:t>
            </w:r>
            <w:r w:rsidRPr="004543E0">
              <w:rPr>
                <w:noProof w:val="0"/>
                <w:color w:val="FFFFFF"/>
                <w:vertAlign w:val="subscript"/>
              </w:rPr>
              <w:br/>
            </w:r>
            <w:r w:rsidRPr="004543E0">
              <w:rPr>
                <w:noProof w:val="0"/>
                <w:color w:val="FFFFFF"/>
              </w:rPr>
              <w:t>(kg NH</w:t>
            </w:r>
            <w:r w:rsidRPr="004543E0">
              <w:rPr>
                <w:noProof w:val="0"/>
                <w:color w:val="FFFFFF"/>
                <w:vertAlign w:val="subscript"/>
              </w:rPr>
              <w:t>3</w:t>
            </w:r>
            <w:r w:rsidRPr="004543E0">
              <w:rPr>
                <w:noProof w:val="0"/>
                <w:color w:val="FFFFFF"/>
              </w:rPr>
              <w:t>-N and NO</w:t>
            </w:r>
            <w:r w:rsidRPr="004543E0">
              <w:rPr>
                <w:noProof w:val="0"/>
                <w:color w:val="FFFFFF"/>
                <w:vertAlign w:val="subscript"/>
              </w:rPr>
              <w:t>x</w:t>
            </w:r>
            <w:r w:rsidRPr="004543E0">
              <w:rPr>
                <w:noProof w:val="0"/>
                <w:color w:val="FFFFFF"/>
              </w:rPr>
              <w:t>-N/kg of N input)</w:t>
            </w:r>
          </w:p>
        </w:tc>
        <w:tc>
          <w:tcPr>
            <w:tcW w:w="1168" w:type="pct"/>
            <w:shd w:val="clear" w:color="auto" w:fill="1B556B"/>
            <w:vAlign w:val="bottom"/>
          </w:tcPr>
          <w:p w14:paraId="004286B5" w14:textId="77777777" w:rsidR="004543E0" w:rsidRPr="004543E0" w:rsidRDefault="004543E0" w:rsidP="007E3239">
            <w:pPr>
              <w:pStyle w:val="TableTextBold"/>
              <w:keepNext/>
              <w:spacing w:before="50" w:after="50"/>
              <w:rPr>
                <w:noProof w:val="0"/>
                <w:color w:val="FFFFFF"/>
              </w:rPr>
            </w:pPr>
            <w:r w:rsidRPr="004543E0">
              <w:rPr>
                <w:noProof w:val="0"/>
                <w:color w:val="FFFFFF"/>
              </w:rPr>
              <w:t>Frac</w:t>
            </w:r>
            <w:r w:rsidRPr="004543E0">
              <w:rPr>
                <w:noProof w:val="0"/>
                <w:color w:val="FFFFFF"/>
                <w:vertAlign w:val="subscript"/>
              </w:rPr>
              <w:t>GASM</w:t>
            </w:r>
            <w:r w:rsidRPr="004543E0">
              <w:rPr>
                <w:noProof w:val="0"/>
                <w:color w:val="FFFFFF"/>
                <w:vertAlign w:val="subscript"/>
              </w:rPr>
              <w:br/>
            </w:r>
            <w:r w:rsidRPr="004543E0">
              <w:rPr>
                <w:noProof w:val="0"/>
                <w:color w:val="FFFFFF"/>
              </w:rPr>
              <w:t>(kg NH</w:t>
            </w:r>
            <w:r w:rsidRPr="004543E0">
              <w:rPr>
                <w:noProof w:val="0"/>
                <w:color w:val="FFFFFF"/>
                <w:vertAlign w:val="subscript"/>
              </w:rPr>
              <w:t>3</w:t>
            </w:r>
            <w:r w:rsidRPr="004543E0">
              <w:rPr>
                <w:noProof w:val="0"/>
                <w:color w:val="FFFFFF"/>
              </w:rPr>
              <w:t>-N and NO</w:t>
            </w:r>
            <w:r w:rsidRPr="004543E0">
              <w:rPr>
                <w:noProof w:val="0"/>
                <w:color w:val="FFFFFF"/>
                <w:vertAlign w:val="subscript"/>
              </w:rPr>
              <w:t>x</w:t>
            </w:r>
            <w:r w:rsidRPr="004543E0">
              <w:rPr>
                <w:noProof w:val="0"/>
                <w:color w:val="FFFFFF"/>
              </w:rPr>
              <w:t>-N/kg of N excreted)</w:t>
            </w:r>
          </w:p>
        </w:tc>
        <w:tc>
          <w:tcPr>
            <w:tcW w:w="1081" w:type="pct"/>
            <w:shd w:val="clear" w:color="auto" w:fill="1B556B"/>
            <w:vAlign w:val="bottom"/>
          </w:tcPr>
          <w:p w14:paraId="13367086" w14:textId="77777777" w:rsidR="004543E0" w:rsidRPr="004543E0" w:rsidRDefault="004543E0" w:rsidP="007E3239">
            <w:pPr>
              <w:pStyle w:val="TableTextBold"/>
              <w:keepNext/>
              <w:spacing w:before="50" w:after="50"/>
              <w:rPr>
                <w:noProof w:val="0"/>
                <w:color w:val="FFFFFF"/>
              </w:rPr>
            </w:pPr>
            <w:r w:rsidRPr="004543E0">
              <w:rPr>
                <w:noProof w:val="0"/>
                <w:color w:val="FFFFFF"/>
              </w:rPr>
              <w:t>Frac</w:t>
            </w:r>
            <w:r w:rsidRPr="004543E0">
              <w:rPr>
                <w:noProof w:val="0"/>
                <w:color w:val="FFFFFF"/>
                <w:vertAlign w:val="subscript"/>
              </w:rPr>
              <w:t>LEACH-(H)</w:t>
            </w:r>
            <w:r w:rsidRPr="004543E0">
              <w:rPr>
                <w:noProof w:val="0"/>
                <w:color w:val="FFFFFF"/>
                <w:vertAlign w:val="subscript"/>
              </w:rPr>
              <w:br/>
            </w:r>
            <w:r w:rsidRPr="004543E0">
              <w:rPr>
                <w:noProof w:val="0"/>
                <w:color w:val="FFFFFF"/>
              </w:rPr>
              <w:t>(kg N/kg fertiliser or manure N)</w:t>
            </w:r>
          </w:p>
        </w:tc>
      </w:tr>
      <w:tr w:rsidR="000E52A5" w:rsidRPr="009660EC" w14:paraId="1D85999F" w14:textId="77777777" w:rsidTr="000E52A5">
        <w:tc>
          <w:tcPr>
            <w:tcW w:w="1581" w:type="pct"/>
            <w:shd w:val="clear" w:color="auto" w:fill="auto"/>
          </w:tcPr>
          <w:p w14:paraId="2BB763F3" w14:textId="77777777" w:rsidR="004543E0" w:rsidRPr="009660EC" w:rsidRDefault="004543E0" w:rsidP="007E3239">
            <w:pPr>
              <w:pStyle w:val="TableText"/>
              <w:spacing w:before="50" w:after="50"/>
              <w:rPr>
                <w:rFonts w:cs="Calibri"/>
              </w:rPr>
            </w:pPr>
            <w:r w:rsidRPr="009660EC">
              <w:rPr>
                <w:rFonts w:cs="Calibri"/>
              </w:rPr>
              <w:t>IPCC (2006) default value</w:t>
            </w:r>
          </w:p>
        </w:tc>
        <w:tc>
          <w:tcPr>
            <w:tcW w:w="1166" w:type="pct"/>
            <w:shd w:val="clear" w:color="auto" w:fill="auto"/>
          </w:tcPr>
          <w:p w14:paraId="35822BC2" w14:textId="77777777" w:rsidR="004543E0" w:rsidRPr="009660EC" w:rsidRDefault="004543E0" w:rsidP="007E3239">
            <w:pPr>
              <w:pStyle w:val="TableText"/>
              <w:spacing w:before="50" w:after="50"/>
              <w:rPr>
                <w:rFonts w:cs="Calibri"/>
              </w:rPr>
            </w:pPr>
            <w:r w:rsidRPr="009660EC">
              <w:rPr>
                <w:rFonts w:cs="Calibri"/>
              </w:rPr>
              <w:t>0.1</w:t>
            </w:r>
          </w:p>
        </w:tc>
        <w:tc>
          <w:tcPr>
            <w:tcW w:w="1168" w:type="pct"/>
            <w:shd w:val="clear" w:color="auto" w:fill="auto"/>
          </w:tcPr>
          <w:p w14:paraId="5DD57A15" w14:textId="77777777" w:rsidR="004543E0" w:rsidRPr="009660EC" w:rsidRDefault="004543E0" w:rsidP="007E3239">
            <w:pPr>
              <w:pStyle w:val="TableText"/>
              <w:spacing w:before="50" w:after="50"/>
              <w:rPr>
                <w:rFonts w:cs="Calibri"/>
              </w:rPr>
            </w:pPr>
            <w:r w:rsidRPr="009660EC">
              <w:rPr>
                <w:rFonts w:cs="Calibri"/>
              </w:rPr>
              <w:t>0.2</w:t>
            </w:r>
          </w:p>
        </w:tc>
        <w:tc>
          <w:tcPr>
            <w:tcW w:w="1086" w:type="pct"/>
            <w:gridSpan w:val="2"/>
            <w:shd w:val="clear" w:color="auto" w:fill="auto"/>
          </w:tcPr>
          <w:p w14:paraId="61B951D7" w14:textId="77777777" w:rsidR="004543E0" w:rsidRPr="009660EC" w:rsidRDefault="004543E0" w:rsidP="007E3239">
            <w:pPr>
              <w:pStyle w:val="TableText"/>
              <w:spacing w:before="50" w:after="50"/>
              <w:rPr>
                <w:rFonts w:cs="Calibri"/>
              </w:rPr>
            </w:pPr>
            <w:r w:rsidRPr="009660EC">
              <w:rPr>
                <w:rFonts w:cs="Calibri"/>
              </w:rPr>
              <w:t>0.3</w:t>
            </w:r>
          </w:p>
        </w:tc>
      </w:tr>
      <w:tr w:rsidR="000E52A5" w:rsidRPr="009660EC" w14:paraId="23DD3DBD" w14:textId="77777777" w:rsidTr="000E52A5">
        <w:tc>
          <w:tcPr>
            <w:tcW w:w="1581" w:type="pct"/>
          </w:tcPr>
          <w:p w14:paraId="29632D8C" w14:textId="77777777" w:rsidR="004543E0" w:rsidRPr="009660EC" w:rsidRDefault="004543E0" w:rsidP="007E3239">
            <w:pPr>
              <w:pStyle w:val="TableText"/>
              <w:spacing w:before="50" w:after="50"/>
              <w:rPr>
                <w:rFonts w:cs="Calibri"/>
              </w:rPr>
            </w:pPr>
            <w:r w:rsidRPr="009660EC">
              <w:rPr>
                <w:rFonts w:cs="Calibri"/>
              </w:rPr>
              <w:t>Australian-specific 2019 value</w:t>
            </w:r>
          </w:p>
        </w:tc>
        <w:tc>
          <w:tcPr>
            <w:tcW w:w="1166" w:type="pct"/>
          </w:tcPr>
          <w:p w14:paraId="5CD723F5" w14:textId="77777777" w:rsidR="004543E0" w:rsidRPr="009660EC" w:rsidRDefault="004543E0" w:rsidP="007E3239">
            <w:pPr>
              <w:pStyle w:val="TableText"/>
              <w:spacing w:before="50" w:after="50"/>
              <w:rPr>
                <w:rFonts w:cs="Calibri"/>
              </w:rPr>
            </w:pPr>
            <w:r w:rsidRPr="009660EC">
              <w:rPr>
                <w:rFonts w:cs="Calibri"/>
              </w:rPr>
              <w:t>0.11</w:t>
            </w:r>
          </w:p>
        </w:tc>
        <w:tc>
          <w:tcPr>
            <w:tcW w:w="1168" w:type="pct"/>
          </w:tcPr>
          <w:p w14:paraId="448B4E83" w14:textId="77777777" w:rsidR="004543E0" w:rsidRPr="009660EC" w:rsidRDefault="004543E0" w:rsidP="007E3239">
            <w:pPr>
              <w:pStyle w:val="TableText"/>
              <w:spacing w:before="50" w:after="50"/>
              <w:rPr>
                <w:rFonts w:cs="Calibri"/>
              </w:rPr>
            </w:pPr>
            <w:r w:rsidRPr="009660EC">
              <w:rPr>
                <w:rFonts w:cs="Calibri"/>
              </w:rPr>
              <w:t>0.21</w:t>
            </w:r>
          </w:p>
        </w:tc>
        <w:tc>
          <w:tcPr>
            <w:tcW w:w="1086" w:type="pct"/>
            <w:gridSpan w:val="2"/>
          </w:tcPr>
          <w:p w14:paraId="2F4FCFA2" w14:textId="77777777" w:rsidR="004543E0" w:rsidRPr="009660EC" w:rsidRDefault="004543E0" w:rsidP="007E3239">
            <w:pPr>
              <w:pStyle w:val="TableText"/>
              <w:spacing w:before="50" w:after="50"/>
              <w:rPr>
                <w:rFonts w:cs="Calibri"/>
              </w:rPr>
            </w:pPr>
            <w:r w:rsidRPr="009660EC">
              <w:rPr>
                <w:rFonts w:cs="Calibri"/>
              </w:rPr>
              <w:t>0.24</w:t>
            </w:r>
          </w:p>
        </w:tc>
      </w:tr>
      <w:tr w:rsidR="000E52A5" w:rsidRPr="009660EC" w14:paraId="28AAD705" w14:textId="77777777" w:rsidTr="000E52A5">
        <w:tc>
          <w:tcPr>
            <w:tcW w:w="1581" w:type="pct"/>
          </w:tcPr>
          <w:p w14:paraId="799644DD" w14:textId="77777777" w:rsidR="004543E0" w:rsidRPr="009660EC" w:rsidRDefault="004543E0" w:rsidP="007E3239">
            <w:pPr>
              <w:pStyle w:val="TableText"/>
              <w:spacing w:before="50" w:after="50"/>
              <w:rPr>
                <w:rFonts w:cs="Calibri"/>
              </w:rPr>
            </w:pPr>
            <w:r w:rsidRPr="009660EC">
              <w:rPr>
                <w:rFonts w:cs="Calibri"/>
              </w:rPr>
              <w:t>New Zealand-specific IEF 2020 value</w:t>
            </w:r>
          </w:p>
        </w:tc>
        <w:tc>
          <w:tcPr>
            <w:tcW w:w="1166" w:type="pct"/>
          </w:tcPr>
          <w:p w14:paraId="14DCBDE3" w14:textId="77777777" w:rsidR="004543E0" w:rsidRPr="009660EC" w:rsidRDefault="004543E0" w:rsidP="007E3239">
            <w:pPr>
              <w:pStyle w:val="TableText"/>
              <w:spacing w:before="50" w:after="50"/>
              <w:rPr>
                <w:rFonts w:cs="Calibri"/>
              </w:rPr>
            </w:pPr>
            <w:r w:rsidRPr="009660EC">
              <w:rPr>
                <w:rFonts w:cs="Calibri"/>
              </w:rPr>
              <w:t>0.1</w:t>
            </w:r>
          </w:p>
        </w:tc>
        <w:tc>
          <w:tcPr>
            <w:tcW w:w="1168" w:type="pct"/>
          </w:tcPr>
          <w:p w14:paraId="736D5AA5" w14:textId="77777777" w:rsidR="004543E0" w:rsidRPr="009660EC" w:rsidRDefault="004543E0" w:rsidP="007E3239">
            <w:pPr>
              <w:pStyle w:val="TableText"/>
              <w:spacing w:before="50" w:after="50"/>
              <w:rPr>
                <w:rFonts w:cs="Calibri"/>
              </w:rPr>
            </w:pPr>
            <w:r w:rsidRPr="009660EC">
              <w:rPr>
                <w:rFonts w:cs="Calibri"/>
              </w:rPr>
              <w:t>0.1</w:t>
            </w:r>
          </w:p>
        </w:tc>
        <w:tc>
          <w:tcPr>
            <w:tcW w:w="1086" w:type="pct"/>
            <w:gridSpan w:val="2"/>
          </w:tcPr>
          <w:p w14:paraId="453B5A16" w14:textId="77777777" w:rsidR="004543E0" w:rsidRPr="009660EC" w:rsidRDefault="004543E0" w:rsidP="007E3239">
            <w:pPr>
              <w:pStyle w:val="TableText"/>
              <w:spacing w:before="50" w:after="0"/>
              <w:rPr>
                <w:rFonts w:cs="Calibri"/>
              </w:rPr>
            </w:pPr>
            <w:r w:rsidRPr="009660EC">
              <w:rPr>
                <w:rFonts w:cs="Calibri"/>
              </w:rPr>
              <w:t>0.10 (Cropland)</w:t>
            </w:r>
          </w:p>
          <w:p w14:paraId="10FBD86F" w14:textId="77777777" w:rsidR="004543E0" w:rsidRPr="009660EC" w:rsidRDefault="004543E0" w:rsidP="007E3239">
            <w:pPr>
              <w:pStyle w:val="TableText"/>
              <w:spacing w:before="50" w:after="50"/>
              <w:rPr>
                <w:rFonts w:cs="Calibri"/>
              </w:rPr>
            </w:pPr>
            <w:r w:rsidRPr="009660EC">
              <w:rPr>
                <w:rFonts w:cs="Calibri"/>
              </w:rPr>
              <w:t>0.07 (Grassland)</w:t>
            </w:r>
          </w:p>
        </w:tc>
      </w:tr>
    </w:tbl>
    <w:p w14:paraId="3D07933D" w14:textId="77777777" w:rsidR="004543E0" w:rsidRPr="009660EC" w:rsidRDefault="004543E0" w:rsidP="004543E0">
      <w:pPr>
        <w:pStyle w:val="Source"/>
      </w:pPr>
      <w:r w:rsidRPr="009660EC">
        <w:rPr>
          <w:b/>
          <w:bCs/>
        </w:rPr>
        <w:t>Source:</w:t>
      </w:r>
      <w:r w:rsidRPr="009660EC">
        <w:t xml:space="preserve"> </w:t>
      </w:r>
      <w:r w:rsidRPr="009660EC">
        <w:tab/>
        <w:t>UNFCCC (https://unfccc.int/documents/195780)</w:t>
      </w:r>
    </w:p>
    <w:p w14:paraId="66A85C61" w14:textId="77777777" w:rsidR="004543E0" w:rsidRPr="009660EC" w:rsidRDefault="004543E0" w:rsidP="004543E0">
      <w:pPr>
        <w:pStyle w:val="Heading3"/>
      </w:pPr>
      <w:bookmarkStart w:id="1117" w:name="_Toc139253937"/>
      <w:bookmarkStart w:id="1118" w:name="_Toc32570671"/>
      <w:r w:rsidRPr="009660EC">
        <w:t>5.5.5</w:t>
      </w:r>
      <w:r w:rsidRPr="009660EC">
        <w:tab/>
        <w:t>Source-specific recalculations</w:t>
      </w:r>
      <w:bookmarkEnd w:id="1117"/>
      <w:bookmarkEnd w:id="1118"/>
    </w:p>
    <w:p w14:paraId="63ECF18B" w14:textId="77777777" w:rsidR="004543E0" w:rsidRPr="009660EC" w:rsidRDefault="004543E0" w:rsidP="004543E0">
      <w:pPr>
        <w:pStyle w:val="BodyText"/>
      </w:pPr>
      <w:bookmarkStart w:id="1119" w:name="_Toc139253938"/>
      <w:r w:rsidRPr="009660EC">
        <w:t xml:space="preserve">Emissions estimates in the </w:t>
      </w:r>
      <w:r w:rsidRPr="009660EC">
        <w:rPr>
          <w:i/>
          <w:iCs/>
        </w:rPr>
        <w:t>Agricultural soils</w:t>
      </w:r>
      <w:r w:rsidRPr="009660EC">
        <w:t xml:space="preserve"> category reported in 2022 have been affected by a methodological improvement to the Frac</w:t>
      </w:r>
      <w:r w:rsidRPr="009660EC">
        <w:rPr>
          <w:vertAlign w:val="subscript"/>
        </w:rPr>
        <w:t>LEACH</w:t>
      </w:r>
      <w:r w:rsidRPr="009660EC">
        <w:t xml:space="preserve"> parameter used to calculate indirect N</w:t>
      </w:r>
      <w:r w:rsidRPr="009660EC">
        <w:rPr>
          <w:vertAlign w:val="subscript"/>
        </w:rPr>
        <w:t>2</w:t>
      </w:r>
      <w:r w:rsidRPr="009660EC">
        <w:t xml:space="preserve">O emissions from nitrogen applied to agricultural soils. </w:t>
      </w:r>
    </w:p>
    <w:p w14:paraId="13FB4873" w14:textId="77777777" w:rsidR="004543E0" w:rsidRPr="009660EC" w:rsidRDefault="004543E0" w:rsidP="004543E0">
      <w:pPr>
        <w:pStyle w:val="Heading5"/>
      </w:pPr>
      <w:r w:rsidRPr="009660EC">
        <w:lastRenderedPageBreak/>
        <w:t>Disaggregation of the Frac</w:t>
      </w:r>
      <w:r w:rsidRPr="009660EC">
        <w:rPr>
          <w:vertAlign w:val="subscript"/>
        </w:rPr>
        <w:t>LEACH</w:t>
      </w:r>
      <w:r w:rsidRPr="009660EC">
        <w:t xml:space="preserve"> parameter</w:t>
      </w:r>
    </w:p>
    <w:p w14:paraId="56310443" w14:textId="77777777" w:rsidR="004543E0" w:rsidRPr="009660EC" w:rsidRDefault="004543E0" w:rsidP="000E52A5">
      <w:pPr>
        <w:pStyle w:val="BodyText"/>
      </w:pPr>
      <w:r w:rsidRPr="009660EC">
        <w:t xml:space="preserve">In the 2022 inventory, </w:t>
      </w:r>
      <w:bookmarkStart w:id="1120" w:name="_Hlk91059730"/>
      <w:r w:rsidRPr="009660EC">
        <w:t>the Frac</w:t>
      </w:r>
      <w:r w:rsidRPr="009660EC">
        <w:rPr>
          <w:vertAlign w:val="subscript"/>
        </w:rPr>
        <w:t>LEACH</w:t>
      </w:r>
      <w:r w:rsidRPr="009660EC">
        <w:t xml:space="preserve"> parameter has been disaggregated into two values: 0.10 for cropping systems and 0.07 for grassland. The value of 0.10 for cropping systems was derived by Welten et al. (2021), using measured and modelled values from OVERSEER</w:t>
      </w:r>
      <w:r w:rsidRPr="009660EC">
        <w:rPr>
          <w:vertAlign w:val="superscript"/>
        </w:rPr>
        <w:t>®</w:t>
      </w:r>
      <w:r w:rsidRPr="009660EC">
        <w:t xml:space="preserve"> to estimate nitrogen leaching for a variety of arable and vegetable cropping systems. Variables in their analysis included cropping rotation sequences, regions, soil types and rainfall. This investigation produced a Frac</w:t>
      </w:r>
      <w:r w:rsidRPr="009660EC">
        <w:rPr>
          <w:vertAlign w:val="subscript"/>
        </w:rPr>
        <w:t>LEACH</w:t>
      </w:r>
      <w:r w:rsidRPr="009660EC">
        <w:t xml:space="preserve"> value more representative of the range of cropping systems in New Zealand than the value of 0.07 that has been applied across all agricultural systems in previous inventory submissions. This improvement was recommended by the Agriculture Inventory Advisory Panel, which discussed the proposed change in November 2021.</w:t>
      </w:r>
    </w:p>
    <w:p w14:paraId="317D67C4" w14:textId="77777777" w:rsidR="004543E0" w:rsidRPr="009660EC" w:rsidRDefault="004543E0" w:rsidP="000E52A5">
      <w:pPr>
        <w:pStyle w:val="BodyText"/>
      </w:pPr>
      <w:r w:rsidRPr="009660EC">
        <w:t>Welten et al. (2021) also recommended the adoption of a Frac</w:t>
      </w:r>
      <w:r w:rsidRPr="009660EC">
        <w:rPr>
          <w:vertAlign w:val="subscript"/>
        </w:rPr>
        <w:t>LEACH</w:t>
      </w:r>
      <w:r w:rsidRPr="009660EC">
        <w:t xml:space="preserve"> value of 0.08 for grassland, which was agreed to in principle by the Panel, subject to further investigation as to whether the pasture nutrition data in OVERSEER</w:t>
      </w:r>
      <w:r w:rsidRPr="009660EC">
        <w:rPr>
          <w:vertAlign w:val="superscript"/>
        </w:rPr>
        <w:t>®</w:t>
      </w:r>
      <w:r w:rsidRPr="009660EC">
        <w:t xml:space="preserve"> is representative of pasture nutrition data in the Agriculture inventory. Because these investigations were ongoing at the time of writing the National Inventory Report, the Frac</w:t>
      </w:r>
      <w:r w:rsidRPr="009660EC">
        <w:rPr>
          <w:vertAlign w:val="subscript"/>
        </w:rPr>
        <w:t>LEACH</w:t>
      </w:r>
      <w:r w:rsidRPr="009660EC">
        <w:t xml:space="preserve"> value of 0.07 for grazing systems has been retained for the 2022 inventory submission.</w:t>
      </w:r>
    </w:p>
    <w:p w14:paraId="3302937C" w14:textId="77777777" w:rsidR="004543E0" w:rsidRPr="009660EC" w:rsidRDefault="004543E0" w:rsidP="004543E0">
      <w:pPr>
        <w:pStyle w:val="BodyText"/>
        <w:spacing w:after="100"/>
        <w:rPr>
          <w:rFonts w:cs="Calibri"/>
        </w:rPr>
      </w:pPr>
      <w:r w:rsidRPr="009660EC">
        <w:rPr>
          <w:rFonts w:cs="Calibri"/>
        </w:rPr>
        <w:t>Previously, a uniform Frac</w:t>
      </w:r>
      <w:r w:rsidRPr="009660EC">
        <w:rPr>
          <w:rFonts w:cs="Calibri"/>
          <w:vertAlign w:val="subscript"/>
        </w:rPr>
        <w:t>LEACH</w:t>
      </w:r>
      <w:r w:rsidRPr="009660EC">
        <w:rPr>
          <w:rFonts w:cs="Calibri"/>
        </w:rPr>
        <w:t xml:space="preserve"> value of 0.07 was used for all nitrogen applied to agricultural soil in New Zealand. This value was sourced from Thomas et al. (2005), who compared nitrogen leaching estimates for different farm systems based on IPCC methodology (a value of 0.30 kg N/kg of fertiliser or manure) with estimates from OVERSEER</w:t>
      </w:r>
      <w:r w:rsidRPr="009660EC">
        <w:rPr>
          <w:rFonts w:cs="Calibri"/>
          <w:vertAlign w:val="superscript"/>
        </w:rPr>
        <w:t>®</w:t>
      </w:r>
      <w:r w:rsidRPr="009660EC">
        <w:rPr>
          <w:rFonts w:cs="Calibri"/>
        </w:rPr>
        <w:t xml:space="preserve"> (Wheeler et al., 2003). The IPCC-based estimates were found, on average, to be 50 per cent higher than those estimated using the OVERSEER</w:t>
      </w:r>
      <w:r w:rsidRPr="009660EC">
        <w:rPr>
          <w:rFonts w:cs="Calibri"/>
          <w:vertAlign w:val="superscript"/>
        </w:rPr>
        <w:t>®</w:t>
      </w:r>
      <w:r w:rsidRPr="009660EC">
        <w:rPr>
          <w:rFonts w:cs="Calibri"/>
        </w:rPr>
        <w:t xml:space="preserve"> nutrient budget model (using a Frac</w:t>
      </w:r>
      <w:r w:rsidRPr="009660EC">
        <w:rPr>
          <w:rFonts w:cs="Calibri"/>
          <w:vertAlign w:val="subscript"/>
        </w:rPr>
        <w:t>LEACH</w:t>
      </w:r>
      <w:r w:rsidRPr="009660EC">
        <w:rPr>
          <w:rFonts w:cs="Calibri"/>
        </w:rPr>
        <w:t xml:space="preserve"> value of 0.15</w:t>
      </w:r>
      <w:r w:rsidRPr="009660EC">
        <w:rPr>
          <w:rStyle w:val="FootnoteReference"/>
          <w:rFonts w:cs="Calibri"/>
        </w:rPr>
        <w:footnoteReference w:id="62"/>
      </w:r>
      <w:r w:rsidRPr="009660EC">
        <w:rPr>
          <w:rFonts w:cs="Calibri"/>
        </w:rPr>
        <w:t>). However, the investigation by Welten et al. (2021) in 2021 found that a Frac</w:t>
      </w:r>
      <w:r w:rsidRPr="009660EC">
        <w:rPr>
          <w:rFonts w:cs="Calibri"/>
          <w:vertAlign w:val="subscript"/>
        </w:rPr>
        <w:t>LEACH</w:t>
      </w:r>
      <w:r w:rsidRPr="009660EC">
        <w:rPr>
          <w:rFonts w:cs="Calibri"/>
        </w:rPr>
        <w:t xml:space="preserve"> of 0.07 was not representative of all agricultural system types, resulting in the disaggregation of the Frac</w:t>
      </w:r>
      <w:r w:rsidRPr="009660EC">
        <w:rPr>
          <w:rFonts w:cs="Calibri"/>
          <w:vertAlign w:val="subscript"/>
        </w:rPr>
        <w:t>LEACH</w:t>
      </w:r>
      <w:r w:rsidRPr="009660EC">
        <w:rPr>
          <w:rFonts w:cs="Calibri"/>
        </w:rPr>
        <w:t xml:space="preserve"> parameter for the 2022 inventory submission.</w:t>
      </w:r>
    </w:p>
    <w:bookmarkEnd w:id="1120"/>
    <w:p w14:paraId="04E0C841" w14:textId="640AAB6D" w:rsidR="004543E0" w:rsidRPr="009660EC" w:rsidRDefault="004543E0" w:rsidP="004543E0">
      <w:pPr>
        <w:pStyle w:val="BodyText"/>
        <w:spacing w:after="100"/>
      </w:pPr>
      <w:r w:rsidRPr="009660EC">
        <w:rPr>
          <w:rFonts w:cs="Calibri"/>
        </w:rPr>
        <w:t xml:space="preserve">The implementation of this improvement caused estimated emissions from </w:t>
      </w:r>
      <w:r w:rsidRPr="009660EC">
        <w:rPr>
          <w:rFonts w:cs="Calibri"/>
          <w:i/>
          <w:iCs/>
        </w:rPr>
        <w:t>Agricultural soils</w:t>
      </w:r>
      <w:r w:rsidRPr="009660EC">
        <w:rPr>
          <w:rFonts w:cs="Calibri"/>
        </w:rPr>
        <w:t xml:space="preserve"> to</w:t>
      </w:r>
      <w:r w:rsidR="00347FC8">
        <w:rPr>
          <w:rFonts w:cs="Calibri"/>
        </w:rPr>
        <w:t> </w:t>
      </w:r>
      <w:r w:rsidRPr="009660EC">
        <w:rPr>
          <w:rFonts w:cs="Calibri"/>
        </w:rPr>
        <w:t xml:space="preserve">increase by 0.025 per cent in 1990 and 0.023 per cent in 2020 (see table 5.5.14). </w:t>
      </w:r>
    </w:p>
    <w:p w14:paraId="3E6F0EAD" w14:textId="77777777" w:rsidR="004543E0" w:rsidRPr="009660EC" w:rsidRDefault="004543E0" w:rsidP="004543E0">
      <w:pPr>
        <w:pStyle w:val="Table"/>
        <w:rPr>
          <w:rFonts w:cs="Calibri"/>
        </w:rPr>
      </w:pPr>
      <w:bookmarkStart w:id="1121" w:name="_Toc95574093"/>
      <w:bookmarkStart w:id="1122" w:name="_Toc99659266"/>
      <w:r w:rsidRPr="009660EC">
        <w:rPr>
          <w:rFonts w:cs="Calibri"/>
        </w:rPr>
        <w:t>Table 5.5.14</w:t>
      </w:r>
      <w:r w:rsidRPr="009660EC">
        <w:rPr>
          <w:rFonts w:cs="Calibri"/>
        </w:rPr>
        <w:tab/>
        <w:t>Comparison of current and previous emissions estimates before and after change to the Frac</w:t>
      </w:r>
      <w:r w:rsidRPr="009660EC">
        <w:rPr>
          <w:rFonts w:cs="Calibri"/>
          <w:vertAlign w:val="subscript"/>
        </w:rPr>
        <w:t>LEACH</w:t>
      </w:r>
      <w:r>
        <w:rPr>
          <w:rFonts w:cs="Calibri"/>
        </w:rPr>
        <w:t> </w:t>
      </w:r>
      <w:r w:rsidRPr="009660EC">
        <w:rPr>
          <w:rFonts w:cs="Calibri"/>
        </w:rPr>
        <w:t>value used in the Agriculture inventory</w:t>
      </w:r>
      <w:bookmarkEnd w:id="1121"/>
      <w:bookmarkEnd w:id="1122"/>
    </w:p>
    <w:tbl>
      <w:tblPr>
        <w:tblW w:w="8505" w:type="dxa"/>
        <w:tblInd w:w="113"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371"/>
        <w:gridCol w:w="2454"/>
        <w:gridCol w:w="799"/>
        <w:gridCol w:w="799"/>
        <w:gridCol w:w="1541"/>
        <w:gridCol w:w="1541"/>
      </w:tblGrid>
      <w:tr w:rsidR="004543E0" w:rsidRPr="009660EC" w14:paraId="3AC870FB" w14:textId="77777777" w:rsidTr="000E52A5">
        <w:trPr>
          <w:tblHeader/>
        </w:trPr>
        <w:tc>
          <w:tcPr>
            <w:tcW w:w="1371" w:type="dxa"/>
            <w:tcBorders>
              <w:top w:val="single" w:sz="4" w:space="0" w:color="44546A"/>
              <w:bottom w:val="single" w:sz="4" w:space="0" w:color="44546A"/>
            </w:tcBorders>
            <w:shd w:val="clear" w:color="auto" w:fill="1B556B"/>
            <w:vAlign w:val="bottom"/>
          </w:tcPr>
          <w:p w14:paraId="4592CB01" w14:textId="77777777" w:rsidR="004543E0" w:rsidRPr="004543E0" w:rsidRDefault="004543E0" w:rsidP="007E3239">
            <w:pPr>
              <w:pStyle w:val="TableTextBold"/>
              <w:spacing w:before="40" w:after="40"/>
              <w:rPr>
                <w:noProof w:val="0"/>
                <w:color w:val="FFFFFF"/>
                <w:szCs w:val="16"/>
              </w:rPr>
            </w:pPr>
            <w:r w:rsidRPr="004543E0">
              <w:rPr>
                <w:noProof w:val="0"/>
                <w:color w:val="FFFFFF"/>
                <w:szCs w:val="16"/>
              </w:rPr>
              <w:t xml:space="preserve">Emissions </w:t>
            </w:r>
            <w:r w:rsidRPr="004543E0">
              <w:rPr>
                <w:noProof w:val="0"/>
                <w:color w:val="FFFFFF"/>
                <w:szCs w:val="16"/>
              </w:rPr>
              <w:br/>
              <w:t>(kt CO</w:t>
            </w:r>
            <w:r w:rsidRPr="004543E0">
              <w:rPr>
                <w:noProof w:val="0"/>
                <w:color w:val="FFFFFF"/>
                <w:szCs w:val="16"/>
                <w:vertAlign w:val="subscript"/>
              </w:rPr>
              <w:t>2</w:t>
            </w:r>
            <w:r w:rsidRPr="004543E0">
              <w:rPr>
                <w:noProof w:val="0"/>
                <w:color w:val="FFFFFF"/>
                <w:szCs w:val="16"/>
              </w:rPr>
              <w:t>-e)</w:t>
            </w:r>
          </w:p>
        </w:tc>
        <w:tc>
          <w:tcPr>
            <w:tcW w:w="2454" w:type="dxa"/>
            <w:tcBorders>
              <w:top w:val="single" w:sz="4" w:space="0" w:color="44546A"/>
              <w:bottom w:val="single" w:sz="4" w:space="0" w:color="44546A"/>
            </w:tcBorders>
            <w:shd w:val="clear" w:color="auto" w:fill="1B556B"/>
            <w:vAlign w:val="bottom"/>
          </w:tcPr>
          <w:p w14:paraId="2B82BC22" w14:textId="77777777" w:rsidR="004543E0" w:rsidRPr="004543E0" w:rsidRDefault="004543E0" w:rsidP="007E3239">
            <w:pPr>
              <w:pStyle w:val="TableTextBold"/>
              <w:spacing w:before="40" w:after="40"/>
              <w:rPr>
                <w:noProof w:val="0"/>
                <w:color w:val="FFFFFF"/>
                <w:szCs w:val="16"/>
              </w:rPr>
            </w:pPr>
          </w:p>
        </w:tc>
        <w:tc>
          <w:tcPr>
            <w:tcW w:w="799" w:type="dxa"/>
            <w:tcBorders>
              <w:top w:val="single" w:sz="4" w:space="0" w:color="44546A"/>
              <w:bottom w:val="single" w:sz="4" w:space="0" w:color="44546A"/>
            </w:tcBorders>
            <w:shd w:val="clear" w:color="auto" w:fill="1B556B"/>
            <w:vAlign w:val="bottom"/>
          </w:tcPr>
          <w:p w14:paraId="517824DD" w14:textId="77777777" w:rsidR="004543E0" w:rsidRPr="004543E0" w:rsidRDefault="004543E0" w:rsidP="007E3239">
            <w:pPr>
              <w:pStyle w:val="TableTextBold"/>
              <w:spacing w:before="40" w:after="40"/>
              <w:jc w:val="center"/>
              <w:rPr>
                <w:noProof w:val="0"/>
                <w:color w:val="FFFFFF"/>
                <w:szCs w:val="16"/>
              </w:rPr>
            </w:pPr>
            <w:r w:rsidRPr="004543E0">
              <w:rPr>
                <w:noProof w:val="0"/>
                <w:color w:val="FFFFFF"/>
                <w:szCs w:val="16"/>
              </w:rPr>
              <w:t>1990</w:t>
            </w:r>
          </w:p>
        </w:tc>
        <w:tc>
          <w:tcPr>
            <w:tcW w:w="799" w:type="dxa"/>
            <w:tcBorders>
              <w:top w:val="single" w:sz="4" w:space="0" w:color="44546A"/>
              <w:bottom w:val="single" w:sz="4" w:space="0" w:color="44546A"/>
            </w:tcBorders>
            <w:shd w:val="clear" w:color="auto" w:fill="1B556B"/>
            <w:vAlign w:val="bottom"/>
          </w:tcPr>
          <w:p w14:paraId="092B1B30" w14:textId="77777777" w:rsidR="004543E0" w:rsidRPr="004543E0" w:rsidRDefault="004543E0" w:rsidP="007E3239">
            <w:pPr>
              <w:pStyle w:val="TableTextBold"/>
              <w:spacing w:before="40" w:after="40"/>
              <w:jc w:val="center"/>
              <w:rPr>
                <w:noProof w:val="0"/>
                <w:color w:val="FFFFFF"/>
                <w:szCs w:val="16"/>
              </w:rPr>
            </w:pPr>
            <w:r w:rsidRPr="004543E0">
              <w:rPr>
                <w:noProof w:val="0"/>
                <w:color w:val="FFFFFF"/>
                <w:szCs w:val="16"/>
              </w:rPr>
              <w:t>2020</w:t>
            </w:r>
          </w:p>
        </w:tc>
        <w:tc>
          <w:tcPr>
            <w:tcW w:w="1541" w:type="dxa"/>
            <w:tcBorders>
              <w:top w:val="single" w:sz="4" w:space="0" w:color="44546A"/>
              <w:bottom w:val="single" w:sz="4" w:space="0" w:color="44546A"/>
            </w:tcBorders>
            <w:shd w:val="clear" w:color="auto" w:fill="1B556B"/>
            <w:vAlign w:val="bottom"/>
          </w:tcPr>
          <w:p w14:paraId="55BEBF4D" w14:textId="77777777" w:rsidR="004543E0" w:rsidRPr="004543E0" w:rsidRDefault="004543E0" w:rsidP="007E3239">
            <w:pPr>
              <w:pStyle w:val="TableTextBold"/>
              <w:spacing w:before="40" w:after="40"/>
              <w:jc w:val="center"/>
              <w:rPr>
                <w:noProof w:val="0"/>
                <w:color w:val="FFFFFF"/>
                <w:szCs w:val="16"/>
              </w:rPr>
            </w:pPr>
            <w:r w:rsidRPr="004543E0">
              <w:rPr>
                <w:noProof w:val="0"/>
                <w:color w:val="FFFFFF"/>
                <w:szCs w:val="16"/>
              </w:rPr>
              <w:t xml:space="preserve">Change in emission outputs between 1990 and 2020 </w:t>
            </w:r>
            <w:r w:rsidRPr="004543E0">
              <w:rPr>
                <w:noProof w:val="0"/>
                <w:color w:val="FFFFFF"/>
                <w:szCs w:val="16"/>
              </w:rPr>
              <w:br/>
              <w:t>(kt CO</w:t>
            </w:r>
            <w:r w:rsidRPr="004543E0">
              <w:rPr>
                <w:noProof w:val="0"/>
                <w:color w:val="FFFFFF"/>
                <w:szCs w:val="16"/>
                <w:vertAlign w:val="subscript"/>
              </w:rPr>
              <w:t>2</w:t>
            </w:r>
            <w:r w:rsidRPr="004543E0">
              <w:rPr>
                <w:noProof w:val="0"/>
                <w:color w:val="FFFFFF"/>
                <w:szCs w:val="16"/>
              </w:rPr>
              <w:t xml:space="preserve">-e) </w:t>
            </w:r>
          </w:p>
        </w:tc>
        <w:tc>
          <w:tcPr>
            <w:tcW w:w="1541" w:type="dxa"/>
            <w:tcBorders>
              <w:top w:val="single" w:sz="4" w:space="0" w:color="44546A"/>
              <w:bottom w:val="single" w:sz="4" w:space="0" w:color="44546A"/>
            </w:tcBorders>
            <w:shd w:val="clear" w:color="auto" w:fill="1B556B"/>
            <w:vAlign w:val="bottom"/>
          </w:tcPr>
          <w:p w14:paraId="11BDD606" w14:textId="77777777" w:rsidR="004543E0" w:rsidRPr="004543E0" w:rsidRDefault="004543E0" w:rsidP="007E3239">
            <w:pPr>
              <w:pStyle w:val="TableTextBold"/>
              <w:spacing w:before="40" w:after="40"/>
              <w:jc w:val="center"/>
              <w:rPr>
                <w:noProof w:val="0"/>
                <w:color w:val="FFFFFF"/>
                <w:szCs w:val="16"/>
              </w:rPr>
            </w:pPr>
            <w:r w:rsidRPr="004543E0">
              <w:rPr>
                <w:noProof w:val="0"/>
                <w:color w:val="FFFFFF"/>
                <w:szCs w:val="16"/>
              </w:rPr>
              <w:t xml:space="preserve">Percentage change in emission outputs between </w:t>
            </w:r>
            <w:r w:rsidRPr="004543E0">
              <w:rPr>
                <w:noProof w:val="0"/>
                <w:color w:val="FFFFFF"/>
                <w:szCs w:val="16"/>
              </w:rPr>
              <w:br/>
              <w:t>1990 and 2020</w:t>
            </w:r>
          </w:p>
        </w:tc>
      </w:tr>
      <w:tr w:rsidR="004543E0" w:rsidRPr="009660EC" w14:paraId="44650717" w14:textId="77777777" w:rsidTr="000E52A5">
        <w:tc>
          <w:tcPr>
            <w:tcW w:w="1371" w:type="dxa"/>
            <w:vMerge w:val="restart"/>
            <w:tcBorders>
              <w:top w:val="single" w:sz="4" w:space="0" w:color="44546A"/>
            </w:tcBorders>
            <w:vAlign w:val="center"/>
          </w:tcPr>
          <w:p w14:paraId="36A32DFE" w14:textId="77777777" w:rsidR="004543E0" w:rsidRPr="009660EC" w:rsidRDefault="004543E0" w:rsidP="007E3239">
            <w:pPr>
              <w:pStyle w:val="TableText"/>
              <w:spacing w:before="40" w:after="40"/>
              <w:rPr>
                <w:rFonts w:cs="Calibri"/>
                <w:szCs w:val="16"/>
              </w:rPr>
            </w:pPr>
            <w:r w:rsidRPr="009660EC">
              <w:rPr>
                <w:rFonts w:cs="Calibri"/>
                <w:szCs w:val="16"/>
              </w:rPr>
              <w:t>Total emissions from Agricultural soils (kt CO</w:t>
            </w:r>
            <w:r w:rsidRPr="009660EC">
              <w:rPr>
                <w:rFonts w:cs="Calibri"/>
                <w:szCs w:val="16"/>
                <w:vertAlign w:val="subscript"/>
              </w:rPr>
              <w:t>2</w:t>
            </w:r>
            <w:r w:rsidRPr="009660EC">
              <w:rPr>
                <w:rFonts w:cs="Calibri"/>
                <w:szCs w:val="16"/>
              </w:rPr>
              <w:t>-e)</w:t>
            </w:r>
          </w:p>
        </w:tc>
        <w:tc>
          <w:tcPr>
            <w:tcW w:w="2454" w:type="dxa"/>
            <w:tcBorders>
              <w:top w:val="single" w:sz="4" w:space="0" w:color="44546A"/>
              <w:left w:val="nil"/>
              <w:bottom w:val="single" w:sz="4" w:space="0" w:color="44546A"/>
              <w:right w:val="nil"/>
            </w:tcBorders>
            <w:shd w:val="clear" w:color="auto" w:fill="auto"/>
            <w:vAlign w:val="center"/>
          </w:tcPr>
          <w:p w14:paraId="2D2836D3" w14:textId="77777777" w:rsidR="004543E0" w:rsidRPr="004543E0" w:rsidRDefault="004543E0" w:rsidP="007E3239">
            <w:pPr>
              <w:pStyle w:val="TableText"/>
              <w:spacing w:before="40" w:after="40"/>
              <w:rPr>
                <w:rFonts w:cs="Calibri"/>
                <w:szCs w:val="16"/>
              </w:rPr>
            </w:pPr>
            <w:r w:rsidRPr="004543E0">
              <w:rPr>
                <w:rFonts w:cs="Calibri"/>
                <w:szCs w:val="16"/>
              </w:rPr>
              <w:t>2022 (1990–2020) emissions estimate using previous Frac</w:t>
            </w:r>
            <w:r w:rsidRPr="004543E0">
              <w:rPr>
                <w:rFonts w:cs="Calibri"/>
                <w:szCs w:val="16"/>
                <w:vertAlign w:val="subscript"/>
              </w:rPr>
              <w:t>LEACH</w:t>
            </w:r>
            <w:r w:rsidRPr="004543E0">
              <w:rPr>
                <w:rFonts w:cs="Calibri"/>
                <w:szCs w:val="16"/>
              </w:rPr>
              <w:t xml:space="preserve"> values</w:t>
            </w:r>
          </w:p>
        </w:tc>
        <w:tc>
          <w:tcPr>
            <w:tcW w:w="799" w:type="dxa"/>
            <w:tcBorders>
              <w:top w:val="single" w:sz="4" w:space="0" w:color="44546A"/>
              <w:left w:val="nil"/>
              <w:bottom w:val="single" w:sz="4" w:space="0" w:color="44546A"/>
              <w:right w:val="nil"/>
            </w:tcBorders>
            <w:shd w:val="clear" w:color="auto" w:fill="auto"/>
            <w:vAlign w:val="center"/>
          </w:tcPr>
          <w:p w14:paraId="7ACC166A" w14:textId="77777777" w:rsidR="004543E0" w:rsidRPr="004543E0" w:rsidRDefault="004543E0" w:rsidP="007E3239">
            <w:pPr>
              <w:pStyle w:val="TableText"/>
              <w:spacing w:before="40" w:after="40"/>
              <w:jc w:val="center"/>
              <w:rPr>
                <w:rFonts w:cs="Calibri"/>
                <w:szCs w:val="16"/>
              </w:rPr>
            </w:pPr>
            <w:r w:rsidRPr="004543E0">
              <w:rPr>
                <w:rFonts w:cs="Calibri"/>
                <w:szCs w:val="16"/>
              </w:rPr>
              <w:t>5,299.6</w:t>
            </w:r>
          </w:p>
        </w:tc>
        <w:tc>
          <w:tcPr>
            <w:tcW w:w="799" w:type="dxa"/>
            <w:tcBorders>
              <w:top w:val="single" w:sz="4" w:space="0" w:color="44546A"/>
              <w:left w:val="nil"/>
              <w:bottom w:val="single" w:sz="4" w:space="0" w:color="44546A"/>
              <w:right w:val="nil"/>
            </w:tcBorders>
            <w:shd w:val="clear" w:color="auto" w:fill="auto"/>
            <w:vAlign w:val="center"/>
          </w:tcPr>
          <w:p w14:paraId="0284D194" w14:textId="77777777" w:rsidR="004543E0" w:rsidRPr="004543E0" w:rsidRDefault="004543E0" w:rsidP="007E3239">
            <w:pPr>
              <w:pStyle w:val="TableText"/>
              <w:spacing w:before="40" w:after="40"/>
              <w:jc w:val="center"/>
              <w:rPr>
                <w:rFonts w:cs="Calibri"/>
                <w:szCs w:val="16"/>
              </w:rPr>
            </w:pPr>
            <w:r w:rsidRPr="004543E0">
              <w:rPr>
                <w:rFonts w:cs="Calibri"/>
                <w:szCs w:val="16"/>
              </w:rPr>
              <w:t>7,881.0</w:t>
            </w:r>
          </w:p>
        </w:tc>
        <w:tc>
          <w:tcPr>
            <w:tcW w:w="1541" w:type="dxa"/>
            <w:tcBorders>
              <w:top w:val="single" w:sz="4" w:space="0" w:color="44546A"/>
              <w:left w:val="nil"/>
              <w:bottom w:val="single" w:sz="4" w:space="0" w:color="44546A"/>
              <w:right w:val="nil"/>
            </w:tcBorders>
            <w:shd w:val="clear" w:color="auto" w:fill="auto"/>
            <w:vAlign w:val="center"/>
          </w:tcPr>
          <w:p w14:paraId="3C68D1FD" w14:textId="77777777" w:rsidR="004543E0" w:rsidRPr="004543E0" w:rsidRDefault="004543E0" w:rsidP="007E3239">
            <w:pPr>
              <w:pStyle w:val="TableText"/>
              <w:spacing w:before="40" w:after="40"/>
              <w:jc w:val="center"/>
              <w:rPr>
                <w:rFonts w:cs="Calibri"/>
                <w:szCs w:val="16"/>
              </w:rPr>
            </w:pPr>
            <w:r w:rsidRPr="004543E0">
              <w:rPr>
                <w:rFonts w:cs="Calibri"/>
                <w:szCs w:val="16"/>
              </w:rPr>
              <w:t>2,581.4</w:t>
            </w:r>
          </w:p>
        </w:tc>
        <w:tc>
          <w:tcPr>
            <w:tcW w:w="1541" w:type="dxa"/>
            <w:tcBorders>
              <w:top w:val="single" w:sz="4" w:space="0" w:color="44546A"/>
              <w:left w:val="nil"/>
              <w:bottom w:val="single" w:sz="4" w:space="0" w:color="44546A"/>
              <w:right w:val="nil"/>
            </w:tcBorders>
            <w:shd w:val="clear" w:color="auto" w:fill="auto"/>
            <w:vAlign w:val="center"/>
          </w:tcPr>
          <w:p w14:paraId="1C4CABBC" w14:textId="77777777" w:rsidR="004543E0" w:rsidRPr="004543E0" w:rsidRDefault="004543E0" w:rsidP="007E3239">
            <w:pPr>
              <w:pStyle w:val="TableText"/>
              <w:spacing w:before="40" w:after="40"/>
              <w:jc w:val="center"/>
              <w:rPr>
                <w:rFonts w:cs="Calibri"/>
                <w:szCs w:val="16"/>
              </w:rPr>
            </w:pPr>
            <w:r w:rsidRPr="004543E0">
              <w:rPr>
                <w:rFonts w:cs="Calibri"/>
                <w:szCs w:val="16"/>
              </w:rPr>
              <w:t>48.7</w:t>
            </w:r>
          </w:p>
        </w:tc>
      </w:tr>
      <w:tr w:rsidR="004543E0" w:rsidRPr="009660EC" w14:paraId="45A4281D" w14:textId="77777777" w:rsidTr="000E52A5">
        <w:tc>
          <w:tcPr>
            <w:tcW w:w="1371" w:type="dxa"/>
            <w:vMerge/>
          </w:tcPr>
          <w:p w14:paraId="72CDD53E" w14:textId="77777777" w:rsidR="004543E0" w:rsidRPr="009660EC" w:rsidRDefault="004543E0" w:rsidP="007E3239">
            <w:pPr>
              <w:pStyle w:val="TableText"/>
              <w:spacing w:before="40" w:after="40"/>
              <w:rPr>
                <w:rFonts w:cs="Calibri"/>
                <w:szCs w:val="16"/>
              </w:rPr>
            </w:pPr>
          </w:p>
        </w:tc>
        <w:tc>
          <w:tcPr>
            <w:tcW w:w="2454" w:type="dxa"/>
            <w:tcBorders>
              <w:top w:val="single" w:sz="4" w:space="0" w:color="44546A"/>
              <w:left w:val="nil"/>
              <w:bottom w:val="single" w:sz="4" w:space="0" w:color="44546A"/>
              <w:right w:val="nil"/>
            </w:tcBorders>
            <w:shd w:val="clear" w:color="auto" w:fill="auto"/>
            <w:vAlign w:val="center"/>
          </w:tcPr>
          <w:p w14:paraId="5D7AAE32" w14:textId="77777777" w:rsidR="004543E0" w:rsidRPr="004543E0" w:rsidRDefault="004543E0" w:rsidP="007E3239">
            <w:pPr>
              <w:pStyle w:val="TableText"/>
              <w:spacing w:before="40" w:after="40"/>
              <w:rPr>
                <w:rFonts w:cs="Calibri"/>
                <w:szCs w:val="16"/>
              </w:rPr>
            </w:pPr>
            <w:r w:rsidRPr="004543E0">
              <w:rPr>
                <w:rFonts w:cs="Calibri"/>
                <w:szCs w:val="16"/>
              </w:rPr>
              <w:t>2022 (1990–2020) emissions estimate using new Frac</w:t>
            </w:r>
            <w:r w:rsidRPr="004543E0">
              <w:rPr>
                <w:rFonts w:cs="Calibri"/>
                <w:szCs w:val="16"/>
                <w:vertAlign w:val="subscript"/>
              </w:rPr>
              <w:t>LEACH</w:t>
            </w:r>
            <w:r w:rsidRPr="004543E0">
              <w:rPr>
                <w:rFonts w:cs="Calibri"/>
                <w:szCs w:val="16"/>
              </w:rPr>
              <w:t xml:space="preserve"> values</w:t>
            </w:r>
          </w:p>
        </w:tc>
        <w:tc>
          <w:tcPr>
            <w:tcW w:w="799" w:type="dxa"/>
            <w:tcBorders>
              <w:top w:val="single" w:sz="4" w:space="0" w:color="44546A"/>
              <w:left w:val="nil"/>
              <w:bottom w:val="single" w:sz="4" w:space="0" w:color="44546A"/>
              <w:right w:val="nil"/>
            </w:tcBorders>
            <w:shd w:val="clear" w:color="auto" w:fill="auto"/>
            <w:vAlign w:val="center"/>
          </w:tcPr>
          <w:p w14:paraId="4679ABF9" w14:textId="77777777" w:rsidR="004543E0" w:rsidRPr="004543E0" w:rsidRDefault="004543E0" w:rsidP="007E3239">
            <w:pPr>
              <w:pStyle w:val="TableText"/>
              <w:spacing w:before="40" w:after="40"/>
              <w:jc w:val="center"/>
              <w:rPr>
                <w:rFonts w:cs="Calibri"/>
                <w:szCs w:val="16"/>
              </w:rPr>
            </w:pPr>
            <w:r w:rsidRPr="004543E0">
              <w:rPr>
                <w:rFonts w:cs="Calibri"/>
                <w:szCs w:val="16"/>
              </w:rPr>
              <w:t>5,300.9</w:t>
            </w:r>
          </w:p>
        </w:tc>
        <w:tc>
          <w:tcPr>
            <w:tcW w:w="799" w:type="dxa"/>
            <w:tcBorders>
              <w:top w:val="single" w:sz="4" w:space="0" w:color="44546A"/>
              <w:left w:val="nil"/>
              <w:bottom w:val="single" w:sz="4" w:space="0" w:color="44546A"/>
              <w:right w:val="nil"/>
            </w:tcBorders>
            <w:shd w:val="clear" w:color="auto" w:fill="auto"/>
            <w:vAlign w:val="center"/>
          </w:tcPr>
          <w:p w14:paraId="44C75A4E" w14:textId="77777777" w:rsidR="004543E0" w:rsidRPr="004543E0" w:rsidRDefault="004543E0" w:rsidP="007E3239">
            <w:pPr>
              <w:pStyle w:val="TableText"/>
              <w:spacing w:before="40" w:after="40"/>
              <w:jc w:val="center"/>
              <w:rPr>
                <w:rFonts w:cs="Calibri"/>
                <w:szCs w:val="16"/>
              </w:rPr>
            </w:pPr>
            <w:r w:rsidRPr="004543E0">
              <w:rPr>
                <w:rFonts w:cs="Calibri"/>
                <w:szCs w:val="16"/>
              </w:rPr>
              <w:t>7,882.8</w:t>
            </w:r>
          </w:p>
        </w:tc>
        <w:tc>
          <w:tcPr>
            <w:tcW w:w="1541" w:type="dxa"/>
            <w:tcBorders>
              <w:top w:val="single" w:sz="4" w:space="0" w:color="44546A"/>
              <w:left w:val="nil"/>
              <w:bottom w:val="single" w:sz="4" w:space="0" w:color="44546A"/>
              <w:right w:val="nil"/>
            </w:tcBorders>
            <w:shd w:val="clear" w:color="auto" w:fill="auto"/>
            <w:vAlign w:val="center"/>
          </w:tcPr>
          <w:p w14:paraId="2EE03CED" w14:textId="77777777" w:rsidR="004543E0" w:rsidRPr="004543E0" w:rsidRDefault="004543E0" w:rsidP="007E3239">
            <w:pPr>
              <w:pStyle w:val="TableText"/>
              <w:spacing w:before="40" w:after="40"/>
              <w:jc w:val="center"/>
              <w:rPr>
                <w:rFonts w:cs="Calibri"/>
                <w:szCs w:val="16"/>
              </w:rPr>
            </w:pPr>
            <w:r w:rsidRPr="004543E0">
              <w:rPr>
                <w:rFonts w:cs="Calibri"/>
                <w:szCs w:val="16"/>
              </w:rPr>
              <w:t>2,581.9</w:t>
            </w:r>
          </w:p>
        </w:tc>
        <w:tc>
          <w:tcPr>
            <w:tcW w:w="1541" w:type="dxa"/>
            <w:tcBorders>
              <w:top w:val="single" w:sz="4" w:space="0" w:color="44546A"/>
              <w:left w:val="nil"/>
              <w:bottom w:val="single" w:sz="4" w:space="0" w:color="44546A"/>
              <w:right w:val="nil"/>
            </w:tcBorders>
            <w:shd w:val="clear" w:color="auto" w:fill="auto"/>
            <w:vAlign w:val="center"/>
          </w:tcPr>
          <w:p w14:paraId="6B8E1AB9" w14:textId="77777777" w:rsidR="004543E0" w:rsidRPr="004543E0" w:rsidRDefault="004543E0" w:rsidP="007E3239">
            <w:pPr>
              <w:pStyle w:val="TableText"/>
              <w:spacing w:before="40" w:after="40"/>
              <w:jc w:val="center"/>
              <w:rPr>
                <w:rFonts w:cs="Calibri"/>
                <w:szCs w:val="16"/>
              </w:rPr>
            </w:pPr>
            <w:r w:rsidRPr="004543E0">
              <w:rPr>
                <w:rFonts w:cs="Calibri"/>
                <w:szCs w:val="16"/>
              </w:rPr>
              <w:t>48.7</w:t>
            </w:r>
          </w:p>
        </w:tc>
      </w:tr>
      <w:tr w:rsidR="004543E0" w:rsidRPr="009660EC" w14:paraId="53B02B8E" w14:textId="77777777" w:rsidTr="000E52A5">
        <w:tc>
          <w:tcPr>
            <w:tcW w:w="1371" w:type="dxa"/>
            <w:vMerge/>
          </w:tcPr>
          <w:p w14:paraId="45A3B295" w14:textId="77777777" w:rsidR="004543E0" w:rsidRPr="009660EC" w:rsidRDefault="004543E0" w:rsidP="007E3239">
            <w:pPr>
              <w:pStyle w:val="TableText"/>
              <w:spacing w:before="40" w:after="40"/>
              <w:rPr>
                <w:rFonts w:cs="Calibri"/>
                <w:szCs w:val="16"/>
              </w:rPr>
            </w:pPr>
          </w:p>
        </w:tc>
        <w:tc>
          <w:tcPr>
            <w:tcW w:w="2454" w:type="dxa"/>
            <w:tcBorders>
              <w:top w:val="single" w:sz="4" w:space="0" w:color="44546A"/>
              <w:left w:val="nil"/>
              <w:bottom w:val="single" w:sz="4" w:space="0" w:color="44546A"/>
              <w:right w:val="nil"/>
            </w:tcBorders>
            <w:shd w:val="clear" w:color="auto" w:fill="auto"/>
            <w:vAlign w:val="center"/>
          </w:tcPr>
          <w:p w14:paraId="3406D3FF" w14:textId="77777777" w:rsidR="004543E0" w:rsidRPr="004543E0" w:rsidRDefault="004543E0" w:rsidP="007E3239">
            <w:pPr>
              <w:pStyle w:val="TableText"/>
              <w:spacing w:before="40" w:after="40"/>
              <w:rPr>
                <w:rFonts w:cs="Calibri"/>
                <w:szCs w:val="16"/>
              </w:rPr>
            </w:pPr>
            <w:r w:rsidRPr="004543E0">
              <w:rPr>
                <w:rFonts w:cs="Calibri"/>
                <w:szCs w:val="16"/>
              </w:rPr>
              <w:t>Absolute difference in emission estimates compared with current inventory</w:t>
            </w:r>
          </w:p>
        </w:tc>
        <w:tc>
          <w:tcPr>
            <w:tcW w:w="799" w:type="dxa"/>
            <w:tcBorders>
              <w:top w:val="single" w:sz="4" w:space="0" w:color="44546A"/>
              <w:left w:val="nil"/>
              <w:bottom w:val="single" w:sz="4" w:space="0" w:color="44546A"/>
              <w:right w:val="nil"/>
            </w:tcBorders>
            <w:shd w:val="clear" w:color="auto" w:fill="auto"/>
            <w:vAlign w:val="center"/>
          </w:tcPr>
          <w:p w14:paraId="04FFBDA0" w14:textId="77777777" w:rsidR="004543E0" w:rsidRPr="004543E0" w:rsidRDefault="004543E0" w:rsidP="007E3239">
            <w:pPr>
              <w:pStyle w:val="TableText"/>
              <w:spacing w:before="40" w:after="40"/>
              <w:jc w:val="center"/>
              <w:rPr>
                <w:rFonts w:cs="Calibri"/>
                <w:szCs w:val="16"/>
              </w:rPr>
            </w:pPr>
            <w:r w:rsidRPr="004543E0">
              <w:rPr>
                <w:rFonts w:cs="Calibri"/>
                <w:szCs w:val="16"/>
              </w:rPr>
              <w:t>1.3</w:t>
            </w:r>
          </w:p>
        </w:tc>
        <w:tc>
          <w:tcPr>
            <w:tcW w:w="799" w:type="dxa"/>
            <w:tcBorders>
              <w:top w:val="single" w:sz="4" w:space="0" w:color="44546A"/>
              <w:left w:val="nil"/>
              <w:bottom w:val="single" w:sz="4" w:space="0" w:color="44546A"/>
              <w:right w:val="nil"/>
            </w:tcBorders>
            <w:shd w:val="clear" w:color="auto" w:fill="auto"/>
            <w:vAlign w:val="center"/>
          </w:tcPr>
          <w:p w14:paraId="621A4A63" w14:textId="77777777" w:rsidR="004543E0" w:rsidRPr="004543E0" w:rsidRDefault="004543E0" w:rsidP="007E3239">
            <w:pPr>
              <w:pStyle w:val="TableText"/>
              <w:spacing w:before="40" w:after="40"/>
              <w:jc w:val="center"/>
              <w:rPr>
                <w:rFonts w:cs="Calibri"/>
                <w:szCs w:val="16"/>
              </w:rPr>
            </w:pPr>
            <w:r w:rsidRPr="004543E0">
              <w:rPr>
                <w:rFonts w:cs="Calibri"/>
                <w:szCs w:val="16"/>
              </w:rPr>
              <w:t>1.8</w:t>
            </w:r>
          </w:p>
        </w:tc>
        <w:tc>
          <w:tcPr>
            <w:tcW w:w="1541" w:type="dxa"/>
            <w:tcBorders>
              <w:top w:val="single" w:sz="4" w:space="0" w:color="44546A"/>
              <w:left w:val="nil"/>
              <w:bottom w:val="single" w:sz="4" w:space="0" w:color="44546A"/>
              <w:right w:val="nil"/>
            </w:tcBorders>
            <w:shd w:val="clear" w:color="auto" w:fill="auto"/>
            <w:vAlign w:val="center"/>
          </w:tcPr>
          <w:p w14:paraId="25A498B3" w14:textId="77777777" w:rsidR="004543E0" w:rsidRPr="004543E0" w:rsidRDefault="004543E0" w:rsidP="007E3239">
            <w:pPr>
              <w:pStyle w:val="TableText"/>
              <w:spacing w:before="40" w:after="40"/>
              <w:jc w:val="center"/>
              <w:rPr>
                <w:rFonts w:cs="Calibri"/>
                <w:szCs w:val="16"/>
              </w:rPr>
            </w:pPr>
            <w:r w:rsidRPr="004543E0">
              <w:rPr>
                <w:rFonts w:cs="Calibri"/>
                <w:szCs w:val="16"/>
              </w:rPr>
              <w:t>0.5</w:t>
            </w:r>
          </w:p>
        </w:tc>
        <w:tc>
          <w:tcPr>
            <w:tcW w:w="1541" w:type="dxa"/>
            <w:tcBorders>
              <w:top w:val="single" w:sz="4" w:space="0" w:color="44546A"/>
              <w:left w:val="nil"/>
              <w:bottom w:val="single" w:sz="4" w:space="0" w:color="44546A"/>
              <w:right w:val="nil"/>
            </w:tcBorders>
            <w:shd w:val="clear" w:color="auto" w:fill="auto"/>
            <w:vAlign w:val="center"/>
          </w:tcPr>
          <w:p w14:paraId="3682D19C" w14:textId="77777777" w:rsidR="004543E0" w:rsidRPr="004543E0" w:rsidRDefault="004543E0" w:rsidP="007E3239">
            <w:pPr>
              <w:pStyle w:val="TableText"/>
              <w:spacing w:before="40" w:after="40"/>
              <w:jc w:val="center"/>
              <w:rPr>
                <w:rFonts w:cs="Calibri"/>
                <w:szCs w:val="16"/>
              </w:rPr>
            </w:pPr>
            <w:r w:rsidRPr="004543E0">
              <w:rPr>
                <w:rFonts w:cs="Calibri"/>
                <w:szCs w:val="16"/>
              </w:rPr>
              <w:t> </w:t>
            </w:r>
          </w:p>
        </w:tc>
      </w:tr>
      <w:tr w:rsidR="004543E0" w:rsidRPr="009660EC" w14:paraId="13A9BBE5" w14:textId="77777777" w:rsidTr="000E52A5">
        <w:tc>
          <w:tcPr>
            <w:tcW w:w="1371" w:type="dxa"/>
            <w:vMerge/>
          </w:tcPr>
          <w:p w14:paraId="2883D748" w14:textId="77777777" w:rsidR="004543E0" w:rsidRPr="009660EC" w:rsidRDefault="004543E0" w:rsidP="007E3239">
            <w:pPr>
              <w:pStyle w:val="TableText"/>
              <w:spacing w:before="40" w:after="40"/>
              <w:rPr>
                <w:rFonts w:cs="Calibri"/>
                <w:szCs w:val="16"/>
              </w:rPr>
            </w:pPr>
          </w:p>
        </w:tc>
        <w:tc>
          <w:tcPr>
            <w:tcW w:w="2454" w:type="dxa"/>
            <w:tcBorders>
              <w:top w:val="single" w:sz="4" w:space="0" w:color="44546A"/>
              <w:left w:val="nil"/>
              <w:bottom w:val="single" w:sz="4" w:space="0" w:color="44546A"/>
              <w:right w:val="nil"/>
            </w:tcBorders>
            <w:shd w:val="clear" w:color="auto" w:fill="auto"/>
            <w:vAlign w:val="center"/>
          </w:tcPr>
          <w:p w14:paraId="64E69FD3" w14:textId="77777777" w:rsidR="004543E0" w:rsidRPr="004543E0" w:rsidRDefault="004543E0" w:rsidP="007E3239">
            <w:pPr>
              <w:pStyle w:val="TableText"/>
              <w:spacing w:before="40" w:after="40"/>
              <w:rPr>
                <w:rFonts w:cs="Calibri"/>
                <w:szCs w:val="16"/>
              </w:rPr>
            </w:pPr>
            <w:r w:rsidRPr="004543E0">
              <w:rPr>
                <w:rFonts w:cs="Calibri"/>
                <w:szCs w:val="16"/>
              </w:rPr>
              <w:t>Percentage difference in emission estimates</w:t>
            </w:r>
          </w:p>
        </w:tc>
        <w:tc>
          <w:tcPr>
            <w:tcW w:w="799" w:type="dxa"/>
            <w:tcBorders>
              <w:top w:val="single" w:sz="4" w:space="0" w:color="44546A"/>
              <w:left w:val="nil"/>
              <w:bottom w:val="single" w:sz="4" w:space="0" w:color="44546A"/>
              <w:right w:val="nil"/>
            </w:tcBorders>
            <w:shd w:val="clear" w:color="auto" w:fill="auto"/>
            <w:vAlign w:val="center"/>
          </w:tcPr>
          <w:p w14:paraId="7E8E441B" w14:textId="77777777" w:rsidR="004543E0" w:rsidRPr="004543E0" w:rsidRDefault="004543E0" w:rsidP="007E3239">
            <w:pPr>
              <w:pStyle w:val="TableText"/>
              <w:spacing w:before="40" w:after="40"/>
              <w:jc w:val="center"/>
              <w:rPr>
                <w:rFonts w:cs="Calibri"/>
                <w:szCs w:val="16"/>
              </w:rPr>
            </w:pPr>
            <w:r w:rsidRPr="004543E0">
              <w:rPr>
                <w:rFonts w:cs="Calibri"/>
                <w:szCs w:val="16"/>
              </w:rPr>
              <w:t>0.025%</w:t>
            </w:r>
          </w:p>
        </w:tc>
        <w:tc>
          <w:tcPr>
            <w:tcW w:w="799" w:type="dxa"/>
            <w:tcBorders>
              <w:top w:val="single" w:sz="4" w:space="0" w:color="44546A"/>
              <w:left w:val="nil"/>
              <w:bottom w:val="single" w:sz="4" w:space="0" w:color="44546A"/>
              <w:right w:val="nil"/>
            </w:tcBorders>
            <w:shd w:val="clear" w:color="auto" w:fill="auto"/>
            <w:vAlign w:val="center"/>
          </w:tcPr>
          <w:p w14:paraId="32D7B393" w14:textId="77777777" w:rsidR="004543E0" w:rsidRPr="004543E0" w:rsidRDefault="004543E0" w:rsidP="007E3239">
            <w:pPr>
              <w:pStyle w:val="TableText"/>
              <w:spacing w:before="40" w:after="40"/>
              <w:jc w:val="center"/>
              <w:rPr>
                <w:rFonts w:cs="Calibri"/>
                <w:szCs w:val="16"/>
              </w:rPr>
            </w:pPr>
            <w:r w:rsidRPr="004543E0">
              <w:rPr>
                <w:rFonts w:cs="Calibri"/>
                <w:szCs w:val="16"/>
              </w:rPr>
              <w:t>0.023%</w:t>
            </w:r>
          </w:p>
        </w:tc>
        <w:tc>
          <w:tcPr>
            <w:tcW w:w="1541" w:type="dxa"/>
            <w:tcBorders>
              <w:top w:val="single" w:sz="4" w:space="0" w:color="44546A"/>
              <w:left w:val="nil"/>
              <w:bottom w:val="single" w:sz="4" w:space="0" w:color="44546A"/>
              <w:right w:val="nil"/>
            </w:tcBorders>
            <w:shd w:val="clear" w:color="auto" w:fill="auto"/>
            <w:vAlign w:val="center"/>
          </w:tcPr>
          <w:p w14:paraId="1810DA4F" w14:textId="77777777" w:rsidR="004543E0" w:rsidRPr="004543E0" w:rsidRDefault="004543E0" w:rsidP="007E3239">
            <w:pPr>
              <w:pStyle w:val="TableText"/>
              <w:spacing w:before="40" w:after="40"/>
              <w:jc w:val="center"/>
              <w:rPr>
                <w:rFonts w:cs="Calibri"/>
                <w:szCs w:val="16"/>
              </w:rPr>
            </w:pPr>
            <w:r w:rsidRPr="004543E0">
              <w:rPr>
                <w:rFonts w:cs="Calibri"/>
                <w:szCs w:val="16"/>
              </w:rPr>
              <w:t xml:space="preserve"> </w:t>
            </w:r>
          </w:p>
        </w:tc>
        <w:tc>
          <w:tcPr>
            <w:tcW w:w="1541" w:type="dxa"/>
            <w:tcBorders>
              <w:top w:val="single" w:sz="4" w:space="0" w:color="44546A"/>
              <w:left w:val="nil"/>
              <w:bottom w:val="single" w:sz="4" w:space="0" w:color="44546A"/>
              <w:right w:val="nil"/>
            </w:tcBorders>
            <w:shd w:val="clear" w:color="auto" w:fill="auto"/>
            <w:vAlign w:val="center"/>
          </w:tcPr>
          <w:p w14:paraId="5993BC40" w14:textId="77777777" w:rsidR="004543E0" w:rsidRPr="004543E0" w:rsidRDefault="004543E0" w:rsidP="007E3239">
            <w:pPr>
              <w:pStyle w:val="TableText"/>
              <w:spacing w:before="40" w:after="40"/>
              <w:jc w:val="center"/>
              <w:rPr>
                <w:rFonts w:cs="Calibri"/>
                <w:szCs w:val="16"/>
              </w:rPr>
            </w:pPr>
            <w:r w:rsidRPr="004543E0">
              <w:rPr>
                <w:rFonts w:cs="Calibri"/>
                <w:szCs w:val="16"/>
              </w:rPr>
              <w:t> </w:t>
            </w:r>
          </w:p>
        </w:tc>
      </w:tr>
    </w:tbl>
    <w:p w14:paraId="7199EF18" w14:textId="77777777" w:rsidR="004543E0" w:rsidRPr="009660EC" w:rsidRDefault="004543E0" w:rsidP="004543E0">
      <w:pPr>
        <w:pStyle w:val="Heading3"/>
        <w:spacing w:before="400"/>
      </w:pPr>
      <w:bookmarkStart w:id="1123" w:name="_Toc32570672"/>
      <w:bookmarkEnd w:id="1119"/>
      <w:r w:rsidRPr="009660EC">
        <w:t>5.5.6</w:t>
      </w:r>
      <w:r w:rsidRPr="009660EC">
        <w:tab/>
        <w:t>Source-specific planned improvements</w:t>
      </w:r>
      <w:bookmarkEnd w:id="1123"/>
      <w:r w:rsidRPr="009660EC">
        <w:t xml:space="preserve"> </w:t>
      </w:r>
    </w:p>
    <w:p w14:paraId="397660AF" w14:textId="77777777" w:rsidR="004543E0" w:rsidRPr="009660EC" w:rsidRDefault="004543E0" w:rsidP="004543E0">
      <w:pPr>
        <w:pStyle w:val="BodyText"/>
        <w:rPr>
          <w:rFonts w:cs="Calibri"/>
        </w:rPr>
      </w:pPr>
      <w:r w:rsidRPr="009660EC">
        <w:rPr>
          <w:rFonts w:cs="Calibri"/>
        </w:rPr>
        <w:t>New Zealand is carrying out ongoing research to improve estimates of N</w:t>
      </w:r>
      <w:r w:rsidRPr="009660EC">
        <w:rPr>
          <w:rFonts w:cs="Calibri"/>
          <w:vertAlign w:val="subscript"/>
        </w:rPr>
        <w:t>2</w:t>
      </w:r>
      <w:r w:rsidRPr="009660EC">
        <w:rPr>
          <w:rFonts w:cs="Calibri"/>
        </w:rPr>
        <w:t>O emissions from the </w:t>
      </w:r>
      <w:r w:rsidRPr="009660EC">
        <w:rPr>
          <w:rFonts w:cs="Calibri"/>
          <w:i/>
          <w:iCs/>
        </w:rPr>
        <w:t>Agricultural soils</w:t>
      </w:r>
      <w:r w:rsidRPr="009660EC">
        <w:rPr>
          <w:rFonts w:cs="Calibri"/>
        </w:rPr>
        <w:t xml:space="preserve"> category. </w:t>
      </w:r>
      <w:bookmarkStart w:id="1124" w:name="_Hlk61527169"/>
      <w:r w:rsidRPr="009660EC">
        <w:rPr>
          <w:rFonts w:cs="Calibri"/>
        </w:rPr>
        <w:t xml:space="preserve">The projects described below outline research focused specifically on the </w:t>
      </w:r>
      <w:r w:rsidRPr="009660EC">
        <w:rPr>
          <w:rFonts w:cs="Calibri"/>
          <w:i/>
          <w:iCs/>
        </w:rPr>
        <w:t>Agricultural soils</w:t>
      </w:r>
      <w:r w:rsidRPr="009660EC">
        <w:rPr>
          <w:rFonts w:cs="Calibri"/>
        </w:rPr>
        <w:t xml:space="preserve"> component of the Agriculture inventory, although </w:t>
      </w:r>
      <w:r w:rsidRPr="009660EC">
        <w:rPr>
          <w:rFonts w:cs="Calibri"/>
        </w:rPr>
        <w:lastRenderedPageBreak/>
        <w:t xml:space="preserve">several cross-cutting, broader projects will improve the accuracy of emissions in multiple categories (including </w:t>
      </w:r>
      <w:r w:rsidRPr="009660EC">
        <w:rPr>
          <w:rFonts w:cs="Calibri"/>
          <w:i/>
        </w:rPr>
        <w:t>Enteric fermentation</w:t>
      </w:r>
      <w:r w:rsidRPr="009660EC">
        <w:rPr>
          <w:rFonts w:cs="Calibri"/>
        </w:rPr>
        <w:t xml:space="preserve">, </w:t>
      </w:r>
      <w:r w:rsidRPr="009660EC">
        <w:rPr>
          <w:rFonts w:cs="Calibri"/>
          <w:i/>
        </w:rPr>
        <w:t>Manure management</w:t>
      </w:r>
      <w:r w:rsidRPr="009660EC">
        <w:rPr>
          <w:rFonts w:cs="Calibri"/>
        </w:rPr>
        <w:t xml:space="preserve"> and </w:t>
      </w:r>
      <w:r w:rsidRPr="009660EC">
        <w:rPr>
          <w:rFonts w:cs="Calibri"/>
          <w:i/>
          <w:iCs/>
        </w:rPr>
        <w:t>Agricultural soils</w:t>
      </w:r>
      <w:r w:rsidRPr="009660EC">
        <w:rPr>
          <w:rFonts w:cs="Calibri"/>
        </w:rPr>
        <w:t>) that are described in section 5.1.7.</w:t>
      </w:r>
      <w:bookmarkEnd w:id="1124"/>
    </w:p>
    <w:p w14:paraId="0D67E1E2" w14:textId="77777777" w:rsidR="004543E0" w:rsidRPr="009660EC" w:rsidRDefault="004543E0" w:rsidP="004543E0">
      <w:pPr>
        <w:pStyle w:val="Heading5"/>
      </w:pPr>
      <w:r w:rsidRPr="009660EC">
        <w:t>Estimation of nitrous oxide emission factors for dairy urine using soil data and soil moisture content</w:t>
      </w:r>
    </w:p>
    <w:p w14:paraId="65515971" w14:textId="77777777" w:rsidR="004543E0" w:rsidRPr="009660EC" w:rsidRDefault="004543E0" w:rsidP="004543E0">
      <w:pPr>
        <w:pStyle w:val="BodyText"/>
      </w:pPr>
      <w:r w:rsidRPr="009660EC">
        <w:t>This is a proof-of-concept study aiming to incorporate an N</w:t>
      </w:r>
      <w:r w:rsidRPr="009660EC">
        <w:rPr>
          <w:vertAlign w:val="subscript"/>
        </w:rPr>
        <w:t>2</w:t>
      </w:r>
      <w:r w:rsidRPr="009660EC">
        <w:t xml:space="preserve">O emission factor regression model for dairy urine into a soil water balance model being developed by </w:t>
      </w:r>
      <w:r w:rsidRPr="009660EC">
        <w:rPr>
          <w:rFonts w:cs="Calibri"/>
        </w:rPr>
        <w:t xml:space="preserve">the </w:t>
      </w:r>
      <w:r w:rsidRPr="009660EC">
        <w:t>National Institute of Water and Atmospheric Research. Using modelled soil volumetric water content, in association with soil bulk density, soil clay content and soil organic carbon content, dairy urine EF</w:t>
      </w:r>
      <w:r w:rsidRPr="009660EC">
        <w:rPr>
          <w:vertAlign w:val="subscript"/>
        </w:rPr>
        <w:t>3</w:t>
      </w:r>
      <w:r w:rsidRPr="009660EC">
        <w:t xml:space="preserve"> values at a 5 km </w:t>
      </w:r>
      <w:r w:rsidRPr="009660EC">
        <w:rPr>
          <w:rFonts w:cs="Calibri"/>
        </w:rPr>
        <w:t>×</w:t>
      </w:r>
      <w:r w:rsidRPr="009660EC">
        <w:t xml:space="preserve"> 5 km resolution will be estimated on a daily time-step. The results of the estimated EF</w:t>
      </w:r>
      <w:r w:rsidRPr="009660EC">
        <w:rPr>
          <w:vertAlign w:val="subscript"/>
        </w:rPr>
        <w:t>3</w:t>
      </w:r>
      <w:r w:rsidRPr="009660EC">
        <w:t xml:space="preserve"> values will then be validated against other N</w:t>
      </w:r>
      <w:r w:rsidRPr="009660EC">
        <w:rPr>
          <w:vertAlign w:val="subscript"/>
        </w:rPr>
        <w:t>2</w:t>
      </w:r>
      <w:r w:rsidRPr="009660EC">
        <w:t>O emission factor research.</w:t>
      </w:r>
    </w:p>
    <w:p w14:paraId="7CE122AF" w14:textId="77777777" w:rsidR="004543E0" w:rsidRPr="009660EC" w:rsidRDefault="004543E0" w:rsidP="004543E0">
      <w:pPr>
        <w:pStyle w:val="BodyText"/>
      </w:pPr>
      <w:r w:rsidRPr="009660EC">
        <w:t>The emission factor estimates will be restricted to areas of dairy pasture where most field measurements underpinning the regression model have been made and gridded S-map physical soil properties of soil bulk density, soil clay content and soil organic carbon content are available to feed the regression model.</w:t>
      </w:r>
    </w:p>
    <w:p w14:paraId="63FC7D39" w14:textId="77777777" w:rsidR="004543E0" w:rsidRPr="009660EC" w:rsidRDefault="004543E0" w:rsidP="004543E0">
      <w:pPr>
        <w:pStyle w:val="Heading5"/>
      </w:pPr>
      <w:r w:rsidRPr="009660EC">
        <w:t>Review and update of the nutrient transfer model</w:t>
      </w:r>
    </w:p>
    <w:p w14:paraId="685CD20A" w14:textId="77777777" w:rsidR="004543E0" w:rsidRPr="009660EC" w:rsidRDefault="004543E0" w:rsidP="004543E0">
      <w:pPr>
        <w:pStyle w:val="BodyText"/>
      </w:pPr>
      <w:r w:rsidRPr="009660EC">
        <w:t>This project, now completed, aimed to review and improve the nutrient transfer model, which is used in the Agriculture inventory to calculate the amount of N</w:t>
      </w:r>
      <w:r w:rsidRPr="009660EC">
        <w:rPr>
          <w:vertAlign w:val="subscript"/>
        </w:rPr>
        <w:t>ex</w:t>
      </w:r>
      <w:r w:rsidRPr="009660EC">
        <w:t xml:space="preserve"> deposited on different slope categories across the landscape for the major ruminant classes in New Zealand (dairy and beef cattle, sheep and deer). The outputs from the nutrient transfer model are needed to calculate N</w:t>
      </w:r>
      <w:r w:rsidRPr="009660EC">
        <w:rPr>
          <w:vertAlign w:val="subscript"/>
        </w:rPr>
        <w:t>2</w:t>
      </w:r>
      <w:r w:rsidRPr="009660EC">
        <w:t xml:space="preserve">O emissions from these livestock categories and slopes. Upon completion of this project, it was determined that the evidence was insufficient to indicate that the nutrient transfer model needed to be changed. </w:t>
      </w:r>
    </w:p>
    <w:p w14:paraId="4BF2BDC5" w14:textId="77777777" w:rsidR="004543E0" w:rsidRPr="009660EC" w:rsidRDefault="004543E0" w:rsidP="004543E0">
      <w:pPr>
        <w:pStyle w:val="Heading5"/>
      </w:pPr>
      <w:r w:rsidRPr="009660EC">
        <w:t>Nitrous oxide</w:t>
      </w:r>
      <w:r w:rsidRPr="009660EC" w:rsidDel="00637A3F">
        <w:t xml:space="preserve"> </w:t>
      </w:r>
      <w:r w:rsidRPr="009660EC">
        <w:t>emissions from nitrogen fertilisers</w:t>
      </w:r>
    </w:p>
    <w:p w14:paraId="3A671D3C" w14:textId="77777777" w:rsidR="004543E0" w:rsidRPr="009660EC" w:rsidRDefault="004543E0" w:rsidP="004543E0">
      <w:pPr>
        <w:pStyle w:val="BodyText"/>
      </w:pPr>
      <w:r w:rsidRPr="009660EC">
        <w:t>This project will investigate whether more disaggregated emission factors for different types of nitrogen fertilisers are needed. The Agriculture inventory estimates direct N</w:t>
      </w:r>
      <w:r w:rsidRPr="009660EC">
        <w:rPr>
          <w:vertAlign w:val="subscript"/>
        </w:rPr>
        <w:t>2</w:t>
      </w:r>
      <w:r w:rsidRPr="009660EC">
        <w:t>O emissions from the application of synthetic nitrogen fertiliser, and currently has separate emission factor (EF</w:t>
      </w:r>
      <w:r w:rsidRPr="009660EC">
        <w:rPr>
          <w:vertAlign w:val="subscript"/>
        </w:rPr>
        <w:t>1</w:t>
      </w:r>
      <w:r w:rsidRPr="009660EC">
        <w:t>) values for urea and non-urea fertiliser. Field trials are under way to determine the difference in EF</w:t>
      </w:r>
      <w:r w:rsidRPr="009660EC">
        <w:rPr>
          <w:vertAlign w:val="subscript"/>
        </w:rPr>
        <w:t>1</w:t>
      </w:r>
      <w:r w:rsidRPr="009660EC">
        <w:t xml:space="preserve"> values for different types of non-urea nitrogen fertilisers.</w:t>
      </w:r>
    </w:p>
    <w:p w14:paraId="20D96B81" w14:textId="77777777" w:rsidR="004543E0" w:rsidRPr="009660EC" w:rsidRDefault="004543E0" w:rsidP="004543E0">
      <w:pPr>
        <w:pStyle w:val="Heading5"/>
      </w:pPr>
      <w:r w:rsidRPr="009660EC">
        <w:t>Temporal and spatial trends in dairying on slopes across New Zealand</w:t>
      </w:r>
    </w:p>
    <w:p w14:paraId="4FFDEC22" w14:textId="77777777" w:rsidR="004543E0" w:rsidRPr="009660EC" w:rsidRDefault="004543E0" w:rsidP="004543E0">
      <w:pPr>
        <w:pStyle w:val="BodyText"/>
        <w:rPr>
          <w:rFonts w:cs="Calibri"/>
        </w:rPr>
      </w:pPr>
      <w:r w:rsidRPr="009660EC">
        <w:rPr>
          <w:rFonts w:cs="Calibri"/>
        </w:rPr>
        <w:t xml:space="preserve">New Zealand’s </w:t>
      </w:r>
      <w:r w:rsidRPr="009660EC">
        <w:t>N</w:t>
      </w:r>
      <w:r w:rsidRPr="009660EC">
        <w:rPr>
          <w:vertAlign w:val="subscript"/>
        </w:rPr>
        <w:t>2</w:t>
      </w:r>
      <w:r w:rsidRPr="009660EC">
        <w:t>O</w:t>
      </w:r>
      <w:r w:rsidRPr="009660EC">
        <w:rPr>
          <w:rFonts w:cs="Calibri"/>
        </w:rPr>
        <w:t xml:space="preserve"> emission factors for urine (EF</w:t>
      </w:r>
      <w:r w:rsidRPr="009660EC">
        <w:rPr>
          <w:rFonts w:cs="Calibri"/>
          <w:vertAlign w:val="subscript"/>
        </w:rPr>
        <w:t>3</w:t>
      </w:r>
      <w:r w:rsidRPr="009660EC">
        <w:rPr>
          <w:rFonts w:cs="Calibri"/>
        </w:rPr>
        <w:t>) are disaggregated by hill slope (as well as livestock type). These hill slope emission factors are combined with activity data on the estimated slope class within each typology to estimate N</w:t>
      </w:r>
      <w:r w:rsidRPr="009660EC">
        <w:rPr>
          <w:rFonts w:cs="Calibri"/>
          <w:vertAlign w:val="subscript"/>
        </w:rPr>
        <w:t>2</w:t>
      </w:r>
      <w:r w:rsidRPr="009660EC">
        <w:rPr>
          <w:rFonts w:cs="Calibri"/>
        </w:rPr>
        <w:t xml:space="preserve">O emissions for sheep, beef cattle and deer. </w:t>
      </w:r>
    </w:p>
    <w:p w14:paraId="5B58BE00" w14:textId="77777777" w:rsidR="004543E0" w:rsidRPr="009660EC" w:rsidRDefault="004543E0" w:rsidP="004543E0">
      <w:pPr>
        <w:pStyle w:val="BodyText"/>
        <w:rPr>
          <w:rFonts w:cs="Calibri"/>
        </w:rPr>
      </w:pPr>
      <w:r w:rsidRPr="009660EC">
        <w:rPr>
          <w:rFonts w:cs="Calibri"/>
        </w:rPr>
        <w:t>Hill slope EF</w:t>
      </w:r>
      <w:r w:rsidRPr="009660EC">
        <w:rPr>
          <w:rFonts w:cs="Calibri"/>
          <w:vertAlign w:val="subscript"/>
        </w:rPr>
        <w:t>3</w:t>
      </w:r>
      <w:r w:rsidRPr="009660EC">
        <w:rPr>
          <w:rFonts w:cs="Calibri"/>
        </w:rPr>
        <w:t xml:space="preserve"> values could also be applied to dairy cattle. However, due to a lack of activity data, all dairy cattle are currently assumed to be on flatland. This project aims to provide maps and regional summaries describing the distribution of dairy cattle across slope classes, which will be used to improve the accuracy of N</w:t>
      </w:r>
      <w:r w:rsidRPr="009660EC">
        <w:rPr>
          <w:rFonts w:cs="Calibri"/>
          <w:vertAlign w:val="subscript"/>
        </w:rPr>
        <w:t>2</w:t>
      </w:r>
      <w:r w:rsidRPr="009660EC">
        <w:rPr>
          <w:rFonts w:cs="Calibri"/>
        </w:rPr>
        <w:t>O emissions from dairy cattle.</w:t>
      </w:r>
    </w:p>
    <w:p w14:paraId="767DE42F" w14:textId="77777777" w:rsidR="004543E0" w:rsidRPr="009660EC" w:rsidRDefault="004543E0" w:rsidP="004543E0">
      <w:pPr>
        <w:pStyle w:val="Heading5"/>
      </w:pPr>
      <w:r w:rsidRPr="009660EC">
        <w:t>Improving organic soil emissions accounting</w:t>
      </w:r>
    </w:p>
    <w:p w14:paraId="56A7C546" w14:textId="77777777" w:rsidR="004543E0" w:rsidRPr="009660EC" w:rsidRDefault="004543E0" w:rsidP="004543E0">
      <w:pPr>
        <w:pStyle w:val="BodyText"/>
      </w:pPr>
      <w:r w:rsidRPr="009660EC">
        <w:t>The current emission factor for N</w:t>
      </w:r>
      <w:r w:rsidRPr="009660EC">
        <w:rPr>
          <w:vertAlign w:val="subscript"/>
        </w:rPr>
        <w:t>2</w:t>
      </w:r>
      <w:r w:rsidRPr="009660EC">
        <w:t>O emissions from cultivated organic soils (EF</w:t>
      </w:r>
      <w:r w:rsidRPr="009660EC">
        <w:rPr>
          <w:vertAlign w:val="subscript"/>
        </w:rPr>
        <w:t>2</w:t>
      </w:r>
      <w:r w:rsidRPr="009660EC">
        <w:t xml:space="preserve">) used in the Agriculture inventory was derived by the IPCC for deeply drained nutrient-rich organic soils. Studies in New Zealand have shown that this value is too high to be representative of cultivated organic soils across the country, which are often nutrient-poor. In addition, several </w:t>
      </w:r>
      <w:r w:rsidRPr="009660EC">
        <w:lastRenderedPageBreak/>
        <w:t xml:space="preserve">information gaps have been identified within data on cultivated organic soils; accurate data on their area across New Zealand and their characteristics are limited, such as nutrient status, land use and drainage depth. </w:t>
      </w:r>
    </w:p>
    <w:p w14:paraId="7D480556" w14:textId="77777777" w:rsidR="004543E0" w:rsidRPr="009660EC" w:rsidRDefault="004543E0" w:rsidP="004543E0">
      <w:pPr>
        <w:pStyle w:val="BodyText"/>
      </w:pPr>
      <w:r w:rsidRPr="009660EC">
        <w:t>The aims of this project are to 1) compile accurate data on the area, land use, nutrient status and potentially drainage depth of cultivated organic soils in New Zealand, and 2) provide a pathway towards the development of country-specific emission factors for CO</w:t>
      </w:r>
      <w:r w:rsidRPr="009660EC">
        <w:rPr>
          <w:vertAlign w:val="subscript"/>
        </w:rPr>
        <w:t>2</w:t>
      </w:r>
      <w:r w:rsidRPr="009660EC">
        <w:t>, CH</w:t>
      </w:r>
      <w:r w:rsidRPr="009660EC">
        <w:rPr>
          <w:vertAlign w:val="subscript"/>
        </w:rPr>
        <w:t>4</w:t>
      </w:r>
      <w:r w:rsidRPr="009660EC">
        <w:t xml:space="preserve"> and N</w:t>
      </w:r>
      <w:r w:rsidRPr="009660EC">
        <w:rPr>
          <w:vertAlign w:val="subscript"/>
        </w:rPr>
        <w:t>2</w:t>
      </w:r>
      <w:r w:rsidRPr="009660EC">
        <w:t>O across different land uses and organic soil characteristics. The results of this work should allow New Zealand to incorporate the guidelines in the 2013 Wetlands Supplement (IPCC, 2014).</w:t>
      </w:r>
    </w:p>
    <w:p w14:paraId="4F01BE8F" w14:textId="77777777" w:rsidR="004543E0" w:rsidRPr="009660EC" w:rsidRDefault="004543E0" w:rsidP="004543E0">
      <w:pPr>
        <w:pStyle w:val="Heading5"/>
      </w:pPr>
      <w:r w:rsidRPr="009660EC">
        <w:t>Quantifying nitrous oxide emissions from eutrophic lakes</w:t>
      </w:r>
    </w:p>
    <w:p w14:paraId="10F859C8" w14:textId="77777777" w:rsidR="004543E0" w:rsidRPr="009660EC" w:rsidRDefault="004543E0" w:rsidP="004543E0">
      <w:pPr>
        <w:pStyle w:val="BodyText"/>
      </w:pPr>
      <w:r w:rsidRPr="009660EC">
        <w:t>Eutrophic lakes are linked to nitrogen and/or phosphorous pollution from agriculture runoffs and wastewater discharge, with recent research showing much higher N</w:t>
      </w:r>
      <w:r w:rsidRPr="009660EC">
        <w:rPr>
          <w:vertAlign w:val="subscript"/>
        </w:rPr>
        <w:t>2</w:t>
      </w:r>
      <w:r w:rsidRPr="009660EC">
        <w:t>O emissions from eutrophic lakes than was previously calculated based on N</w:t>
      </w:r>
      <w:r w:rsidRPr="009660EC">
        <w:rPr>
          <w:vertAlign w:val="subscript"/>
        </w:rPr>
        <w:t>2</w:t>
      </w:r>
      <w:r w:rsidRPr="009660EC">
        <w:t>O production by bacteria. It is predicted that microalgae are responsible for this unexpected result. This project will aim to quantify N</w:t>
      </w:r>
      <w:r w:rsidRPr="009660EC">
        <w:rPr>
          <w:vertAlign w:val="subscript"/>
        </w:rPr>
        <w:t>2</w:t>
      </w:r>
      <w:r w:rsidRPr="009660EC">
        <w:t>O emissions from a eutrophic lake due to microalgal activity to determine whether this is a significant source of emissions on a national scale. If this research demonstrates that there are significant N</w:t>
      </w:r>
      <w:r w:rsidRPr="009660EC">
        <w:rPr>
          <w:vertAlign w:val="subscript"/>
        </w:rPr>
        <w:t>2</w:t>
      </w:r>
      <w:r w:rsidRPr="009660EC">
        <w:t>O emissions from eutrophic lakes, further research will be explored.</w:t>
      </w:r>
    </w:p>
    <w:p w14:paraId="2298FB5D" w14:textId="77777777" w:rsidR="004543E0" w:rsidRPr="009660EC" w:rsidRDefault="004543E0" w:rsidP="004543E0">
      <w:pPr>
        <w:pStyle w:val="Heading2"/>
      </w:pPr>
      <w:bookmarkStart w:id="1125" w:name="_Toc69611743"/>
      <w:bookmarkStart w:id="1126" w:name="_Toc69612699"/>
      <w:bookmarkStart w:id="1127" w:name="_Toc69612898"/>
      <w:bookmarkStart w:id="1128" w:name="_Toc69613158"/>
      <w:bookmarkStart w:id="1129" w:name="_Toc69633322"/>
      <w:bookmarkStart w:id="1130" w:name="_Toc69717487"/>
      <w:bookmarkStart w:id="1131" w:name="_Toc69802969"/>
      <w:bookmarkStart w:id="1132" w:name="_Toc69815106"/>
      <w:bookmarkStart w:id="1133" w:name="_Toc70492399"/>
      <w:bookmarkStart w:id="1134" w:name="_Toc101310606"/>
      <w:bookmarkStart w:id="1135" w:name="_Toc101318466"/>
      <w:bookmarkStart w:id="1136" w:name="_Toc101318571"/>
      <w:bookmarkStart w:id="1137" w:name="_Toc101318755"/>
      <w:bookmarkStart w:id="1138" w:name="_Toc101334031"/>
      <w:bookmarkStart w:id="1139" w:name="_Toc134847209"/>
      <w:bookmarkStart w:id="1140" w:name="_Toc139253939"/>
      <w:bookmarkStart w:id="1141" w:name="_Toc144710417"/>
      <w:bookmarkStart w:id="1142" w:name="_Toc165890371"/>
      <w:bookmarkStart w:id="1143" w:name="_Toc195322665"/>
      <w:bookmarkStart w:id="1144" w:name="_Toc235955531"/>
      <w:bookmarkStart w:id="1145" w:name="_Toc288316644"/>
      <w:bookmarkStart w:id="1146" w:name="_Toc352504864"/>
      <w:bookmarkStart w:id="1147" w:name="_Toc448321527"/>
      <w:bookmarkStart w:id="1148" w:name="_Toc481751389"/>
      <w:bookmarkStart w:id="1149" w:name="_Toc511116604"/>
      <w:bookmarkStart w:id="1150" w:name="_Toc5269366"/>
      <w:bookmarkStart w:id="1151" w:name="_Toc32570673"/>
      <w:bookmarkStart w:id="1152" w:name="_Toc36224406"/>
      <w:bookmarkStart w:id="1153" w:name="_Toc68786326"/>
      <w:bookmarkStart w:id="1154" w:name="_Toc99659133"/>
      <w:r w:rsidRPr="009660EC">
        <w:t>5.6</w:t>
      </w:r>
      <w:r w:rsidRPr="009660EC">
        <w:tab/>
        <w:t>Prescribed burning of savanna (CRF 3.E)</w:t>
      </w:r>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p>
    <w:p w14:paraId="61EFF0FB" w14:textId="77777777" w:rsidR="004543E0" w:rsidRPr="009660EC" w:rsidRDefault="004543E0" w:rsidP="004543E0">
      <w:pPr>
        <w:pStyle w:val="Heading3"/>
        <w:spacing w:before="240"/>
      </w:pPr>
      <w:bookmarkStart w:id="1155" w:name="_Toc32570674"/>
      <w:bookmarkStart w:id="1156" w:name="_Toc139253940"/>
      <w:r w:rsidRPr="009660EC">
        <w:t>5.6.1</w:t>
      </w:r>
      <w:r w:rsidRPr="009660EC">
        <w:tab/>
        <w:t>Description</w:t>
      </w:r>
      <w:bookmarkEnd w:id="1155"/>
    </w:p>
    <w:p w14:paraId="4CFCB0FD" w14:textId="77777777" w:rsidR="004543E0" w:rsidRPr="009660EC" w:rsidRDefault="004543E0" w:rsidP="004543E0">
      <w:pPr>
        <w:pStyle w:val="BodyText"/>
        <w:rPr>
          <w:rFonts w:cs="Calibri"/>
        </w:rPr>
      </w:pPr>
      <w:r w:rsidRPr="009660EC">
        <w:rPr>
          <w:rFonts w:cs="Calibri"/>
        </w:rPr>
        <w:t>Prescribed burning of savanna is reported under the LULUCF sector from the 2016 submission onwards.</w:t>
      </w:r>
    </w:p>
    <w:p w14:paraId="151EB1A7" w14:textId="77777777" w:rsidR="004543E0" w:rsidRPr="009660EC" w:rsidRDefault="004543E0" w:rsidP="004543E0">
      <w:pPr>
        <w:pStyle w:val="Heading2"/>
      </w:pPr>
      <w:bookmarkStart w:id="1157" w:name="_Toc69611744"/>
      <w:bookmarkStart w:id="1158" w:name="_Toc69612700"/>
      <w:bookmarkStart w:id="1159" w:name="_Toc69612899"/>
      <w:bookmarkStart w:id="1160" w:name="_Toc69613159"/>
      <w:bookmarkStart w:id="1161" w:name="_Toc69633323"/>
      <w:bookmarkStart w:id="1162" w:name="_Toc69717488"/>
      <w:bookmarkStart w:id="1163" w:name="_Toc69802970"/>
      <w:bookmarkStart w:id="1164" w:name="_Toc69815107"/>
      <w:bookmarkStart w:id="1165" w:name="_Toc70492400"/>
      <w:bookmarkStart w:id="1166" w:name="_Toc101310607"/>
      <w:bookmarkStart w:id="1167" w:name="_Toc101318467"/>
      <w:bookmarkStart w:id="1168" w:name="_Toc101318572"/>
      <w:bookmarkStart w:id="1169" w:name="_Toc101318756"/>
      <w:bookmarkStart w:id="1170" w:name="_Toc101334032"/>
      <w:bookmarkStart w:id="1171" w:name="_Toc134847210"/>
      <w:bookmarkStart w:id="1172" w:name="_Toc139253945"/>
      <w:bookmarkStart w:id="1173" w:name="_Toc144710418"/>
      <w:bookmarkStart w:id="1174" w:name="_Toc165890372"/>
      <w:bookmarkStart w:id="1175" w:name="_Toc195322666"/>
      <w:bookmarkStart w:id="1176" w:name="_Toc235955532"/>
      <w:bookmarkStart w:id="1177" w:name="_Toc288316645"/>
      <w:bookmarkStart w:id="1178" w:name="_Toc352504865"/>
      <w:bookmarkStart w:id="1179" w:name="_Toc448321528"/>
      <w:bookmarkStart w:id="1180" w:name="_Toc481751390"/>
      <w:bookmarkStart w:id="1181" w:name="_Toc511116605"/>
      <w:bookmarkStart w:id="1182" w:name="_Toc5269367"/>
      <w:bookmarkStart w:id="1183" w:name="_Toc32570675"/>
      <w:bookmarkStart w:id="1184" w:name="_Toc36224407"/>
      <w:bookmarkStart w:id="1185" w:name="_Toc68786327"/>
      <w:bookmarkStart w:id="1186" w:name="_Toc99659134"/>
      <w:bookmarkEnd w:id="1156"/>
      <w:r w:rsidRPr="009660EC">
        <w:t>5.7</w:t>
      </w:r>
      <w:r w:rsidRPr="009660EC">
        <w:tab/>
        <w:t>Field burning of agricultural residues (CRF 3.F)</w:t>
      </w:r>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p>
    <w:p w14:paraId="5592220B" w14:textId="77777777" w:rsidR="004543E0" w:rsidRPr="009660EC" w:rsidRDefault="004543E0" w:rsidP="004543E0">
      <w:pPr>
        <w:pStyle w:val="Heading3"/>
        <w:spacing w:before="240"/>
      </w:pPr>
      <w:bookmarkStart w:id="1187" w:name="_Toc139253946"/>
      <w:bookmarkStart w:id="1188" w:name="_Toc32570676"/>
      <w:r w:rsidRPr="009660EC">
        <w:t>5.7.1</w:t>
      </w:r>
      <w:r w:rsidRPr="009660EC">
        <w:tab/>
        <w:t>Description</w:t>
      </w:r>
      <w:bookmarkEnd w:id="1187"/>
      <w:bookmarkEnd w:id="1188"/>
    </w:p>
    <w:p w14:paraId="6230D9AF" w14:textId="77777777" w:rsidR="004543E0" w:rsidRPr="009660EC" w:rsidRDefault="004543E0" w:rsidP="004543E0">
      <w:pPr>
        <w:pStyle w:val="BodyText"/>
        <w:rPr>
          <w:rFonts w:cs="Calibri"/>
        </w:rPr>
      </w:pPr>
      <w:r w:rsidRPr="009660EC">
        <w:rPr>
          <w:rFonts w:cs="Calibri"/>
          <w:i/>
          <w:iCs/>
        </w:rPr>
        <w:t>Field burning of agricultural residues</w:t>
      </w:r>
      <w:r w:rsidRPr="009660EC">
        <w:rPr>
          <w:rFonts w:cs="Calibri"/>
        </w:rPr>
        <w:t xml:space="preserve"> contributed an estimated 24.1 kt CO</w:t>
      </w:r>
      <w:r w:rsidRPr="009660EC">
        <w:rPr>
          <w:rFonts w:cs="Calibri"/>
          <w:vertAlign w:val="subscript"/>
        </w:rPr>
        <w:t>2</w:t>
      </w:r>
      <w:r w:rsidRPr="009660EC">
        <w:rPr>
          <w:rFonts w:cs="Calibri"/>
        </w:rPr>
        <w:t>-e, this accounts for 0.06 per cent of Agriculture sector</w:t>
      </w:r>
      <w:r w:rsidRPr="009660EC">
        <w:rPr>
          <w:rFonts w:cs="Calibri"/>
          <w:i/>
          <w:iCs/>
        </w:rPr>
        <w:t xml:space="preserve"> </w:t>
      </w:r>
      <w:r w:rsidRPr="009660EC">
        <w:rPr>
          <w:rFonts w:cs="Calibri"/>
        </w:rPr>
        <w:t xml:space="preserve">emissions in 2020. Emissions from </w:t>
      </w:r>
      <w:r w:rsidRPr="009660EC">
        <w:rPr>
          <w:rFonts w:cs="Calibri"/>
          <w:i/>
          <w:iCs/>
        </w:rPr>
        <w:t>Field burning of agricultural residues</w:t>
      </w:r>
      <w:r w:rsidRPr="009660EC">
        <w:rPr>
          <w:rFonts w:cs="Calibri"/>
        </w:rPr>
        <w:t xml:space="preserve"> decreased 12.0 per cent (3.3 kt CO</w:t>
      </w:r>
      <w:r w:rsidRPr="009660EC">
        <w:rPr>
          <w:rFonts w:cs="Calibri"/>
          <w:vertAlign w:val="subscript"/>
        </w:rPr>
        <w:t>2</w:t>
      </w:r>
      <w:r w:rsidRPr="009660EC">
        <w:rPr>
          <w:rFonts w:cs="Calibri"/>
        </w:rPr>
        <w:t xml:space="preserve">-e) between 1990 and 2020. </w:t>
      </w:r>
    </w:p>
    <w:p w14:paraId="071BF8AD" w14:textId="77777777" w:rsidR="004543E0" w:rsidRPr="009660EC" w:rsidRDefault="004543E0" w:rsidP="004543E0">
      <w:pPr>
        <w:pStyle w:val="BodyText"/>
        <w:rPr>
          <w:rFonts w:cs="Calibri"/>
        </w:rPr>
      </w:pPr>
      <w:r w:rsidRPr="009660EC">
        <w:rPr>
          <w:rFonts w:cs="Calibri"/>
        </w:rPr>
        <w:t xml:space="preserve">New Zealand reports emissions from burning barley, wheat and oats residue in this category. Maize, legume and other crop residues are not usually burned in New Zealand. </w:t>
      </w:r>
    </w:p>
    <w:p w14:paraId="571FC01D" w14:textId="77777777" w:rsidR="004543E0" w:rsidRPr="009660EC" w:rsidRDefault="004543E0" w:rsidP="004543E0">
      <w:pPr>
        <w:pStyle w:val="BodyText"/>
        <w:rPr>
          <w:rFonts w:cs="Calibri"/>
        </w:rPr>
      </w:pPr>
      <w:r w:rsidRPr="009660EC">
        <w:rPr>
          <w:rFonts w:cs="Calibri"/>
        </w:rPr>
        <w:t>The area of burning of residues varies between years due to climatic conditions, fire risk restrictions and the amount of residue removed before burning straw (Thomas et al., 2011). Burning of crop residues is not considered to be a net source of CO</w:t>
      </w:r>
      <w:r w:rsidRPr="009660EC">
        <w:rPr>
          <w:rFonts w:cs="Calibri"/>
          <w:vertAlign w:val="subscript"/>
        </w:rPr>
        <w:t>2</w:t>
      </w:r>
      <w:r w:rsidRPr="009660EC">
        <w:rPr>
          <w:rFonts w:cs="Calibri"/>
        </w:rPr>
        <w:t>, because the CO</w:t>
      </w:r>
      <w:r w:rsidRPr="009660EC">
        <w:rPr>
          <w:rFonts w:cs="Calibri"/>
          <w:vertAlign w:val="subscript"/>
        </w:rPr>
        <w:t>2</w:t>
      </w:r>
      <w:r w:rsidRPr="009660EC">
        <w:rPr>
          <w:rFonts w:cs="Calibri"/>
        </w:rPr>
        <w:t xml:space="preserve"> released into the atmosphere was absorbed by those crops earlier in the year. However, burning is a source of emissions of CH</w:t>
      </w:r>
      <w:r w:rsidRPr="009660EC">
        <w:rPr>
          <w:rFonts w:cs="Calibri"/>
          <w:vertAlign w:val="subscript"/>
        </w:rPr>
        <w:t>4</w:t>
      </w:r>
      <w:r w:rsidRPr="009660EC">
        <w:rPr>
          <w:rFonts w:cs="Calibri"/>
        </w:rPr>
        <w:t>, carbon monoxide (CO), N</w:t>
      </w:r>
      <w:r w:rsidRPr="009660EC">
        <w:rPr>
          <w:rFonts w:cs="Calibri"/>
          <w:vertAlign w:val="subscript"/>
        </w:rPr>
        <w:t>2</w:t>
      </w:r>
      <w:r w:rsidRPr="009660EC">
        <w:rPr>
          <w:rFonts w:cs="Calibri"/>
        </w:rPr>
        <w:t>O and NO</w:t>
      </w:r>
      <w:r w:rsidRPr="009660EC">
        <w:rPr>
          <w:rFonts w:cs="Calibri"/>
          <w:vertAlign w:val="subscript"/>
        </w:rPr>
        <w:t>x</w:t>
      </w:r>
      <w:r w:rsidRPr="009660EC">
        <w:rPr>
          <w:rFonts w:cs="Calibri"/>
        </w:rPr>
        <w:t xml:space="preserve"> (IPCC, 2006).</w:t>
      </w:r>
    </w:p>
    <w:p w14:paraId="781A0C5F" w14:textId="77777777" w:rsidR="004543E0" w:rsidRPr="009660EC" w:rsidRDefault="004543E0" w:rsidP="004543E0">
      <w:pPr>
        <w:pStyle w:val="BodyText"/>
        <w:rPr>
          <w:rFonts w:cs="Calibri"/>
        </w:rPr>
      </w:pPr>
      <w:r w:rsidRPr="009660EC">
        <w:rPr>
          <w:rFonts w:cs="Calibri"/>
        </w:rPr>
        <w:t xml:space="preserve">Burning of agricultural residues was not identified as a key category in 2020. </w:t>
      </w:r>
    </w:p>
    <w:p w14:paraId="1A5991AC" w14:textId="77777777" w:rsidR="004543E0" w:rsidRPr="009660EC" w:rsidRDefault="004543E0" w:rsidP="004543E0">
      <w:pPr>
        <w:pStyle w:val="Heading3"/>
      </w:pPr>
      <w:bookmarkStart w:id="1189" w:name="_Toc32570677"/>
      <w:r w:rsidRPr="009660EC">
        <w:t>5.7.2</w:t>
      </w:r>
      <w:r w:rsidRPr="009660EC">
        <w:tab/>
        <w:t>Methodological issues</w:t>
      </w:r>
      <w:bookmarkEnd w:id="1189"/>
      <w:r w:rsidRPr="009660EC">
        <w:t xml:space="preserve"> </w:t>
      </w:r>
    </w:p>
    <w:p w14:paraId="79364261" w14:textId="77777777" w:rsidR="004543E0" w:rsidRPr="009660EC" w:rsidRDefault="004543E0" w:rsidP="004543E0">
      <w:pPr>
        <w:pStyle w:val="BodyText"/>
        <w:rPr>
          <w:rFonts w:cs="Calibri"/>
        </w:rPr>
      </w:pPr>
      <w:r w:rsidRPr="009660EC">
        <w:rPr>
          <w:rFonts w:cs="Calibri"/>
        </w:rPr>
        <w:t xml:space="preserve">The emissions from burning agricultural residues are estimated using country-specific methodology and parameters (Thomas et al., 2008, 2011). A modification of the IPCC (1996) methodology considers differences in the available crop activity data between 1990 and 2004 and 2005 and 2016. </w:t>
      </w:r>
    </w:p>
    <w:p w14:paraId="319D8DB5" w14:textId="77777777" w:rsidR="004543E0" w:rsidRPr="009660EC" w:rsidRDefault="004543E0" w:rsidP="004543E0">
      <w:pPr>
        <w:pStyle w:val="BodyText"/>
      </w:pPr>
      <w:r w:rsidRPr="009660EC">
        <w:lastRenderedPageBreak/>
        <w:t>Following the IPCC (1996) methodology, CH</w:t>
      </w:r>
      <w:r w:rsidRPr="009660EC">
        <w:rPr>
          <w:vertAlign w:val="subscript"/>
        </w:rPr>
        <w:t>4</w:t>
      </w:r>
      <w:r w:rsidRPr="009660EC">
        <w:t>, CO, N</w:t>
      </w:r>
      <w:r w:rsidRPr="009660EC">
        <w:rPr>
          <w:vertAlign w:val="subscript"/>
        </w:rPr>
        <w:t>2</w:t>
      </w:r>
      <w:r w:rsidRPr="009660EC">
        <w:t>O and NO</w:t>
      </w:r>
      <w:r w:rsidRPr="009660EC">
        <w:rPr>
          <w:vertAlign w:val="subscript"/>
        </w:rPr>
        <w:t xml:space="preserve">x </w:t>
      </w:r>
      <w:r w:rsidRPr="009660EC">
        <w:t>emissions are calculated from the carbon and nitrogen released from the burned live and dead biomass residue using the ratios in table 5.7.1; the nitrogen released is derived from the carbon released using a carbon</w:t>
      </w:r>
      <w:r w:rsidRPr="009660EC">
        <w:noBreakHyphen/>
        <w:t>to-nitrogen ratio.</w:t>
      </w:r>
    </w:p>
    <w:p w14:paraId="04522602" w14:textId="77777777" w:rsidR="004543E0" w:rsidRPr="009660EC" w:rsidRDefault="004543E0" w:rsidP="004543E0">
      <w:pPr>
        <w:pStyle w:val="Table"/>
        <w:rPr>
          <w:rFonts w:cs="Calibri"/>
        </w:rPr>
      </w:pPr>
      <w:bookmarkStart w:id="1190" w:name="_Toc352504981"/>
      <w:bookmarkStart w:id="1191" w:name="_Toc441830890"/>
      <w:bookmarkStart w:id="1192" w:name="_Toc451176104"/>
      <w:bookmarkStart w:id="1193" w:name="_Toc481751534"/>
      <w:bookmarkStart w:id="1194" w:name="_Toc507158620"/>
      <w:bookmarkStart w:id="1195" w:name="_Toc511116754"/>
      <w:bookmarkStart w:id="1196" w:name="_Toc5269496"/>
      <w:bookmarkStart w:id="1197" w:name="_Toc32570943"/>
      <w:bookmarkStart w:id="1198" w:name="_Toc36224578"/>
      <w:bookmarkStart w:id="1199" w:name="_Toc68786463"/>
      <w:bookmarkStart w:id="1200" w:name="_Toc95574094"/>
      <w:bookmarkStart w:id="1201" w:name="_Toc99659267"/>
      <w:r w:rsidRPr="009660EC">
        <w:rPr>
          <w:rFonts w:cs="Calibri"/>
        </w:rPr>
        <w:t>Table 5.7.1</w:t>
      </w:r>
      <w:r w:rsidRPr="009660EC">
        <w:rPr>
          <w:rFonts w:cs="Calibri"/>
        </w:rPr>
        <w:tab/>
        <w:t>Emission ratios for agricultural residue burning</w:t>
      </w:r>
      <w:bookmarkEnd w:id="1190"/>
      <w:bookmarkEnd w:id="1191"/>
      <w:bookmarkEnd w:id="1192"/>
      <w:bookmarkEnd w:id="1193"/>
      <w:bookmarkEnd w:id="1194"/>
      <w:bookmarkEnd w:id="1195"/>
      <w:bookmarkEnd w:id="1196"/>
      <w:bookmarkEnd w:id="1197"/>
      <w:bookmarkEnd w:id="1198"/>
      <w:bookmarkEnd w:id="1199"/>
      <w:bookmarkEnd w:id="1200"/>
      <w:bookmarkEnd w:id="1201"/>
    </w:p>
    <w:tbl>
      <w:tblPr>
        <w:tblW w:w="8505" w:type="dxa"/>
        <w:tblInd w:w="113" w:type="dxa"/>
        <w:tblBorders>
          <w:top w:val="single" w:sz="4" w:space="0" w:color="44546A"/>
          <w:bottom w:val="single" w:sz="4" w:space="0" w:color="44546A"/>
          <w:insideH w:val="single" w:sz="4" w:space="0" w:color="44546A"/>
        </w:tblBorders>
        <w:tblLook w:val="01E0" w:firstRow="1" w:lastRow="1" w:firstColumn="1" w:lastColumn="1" w:noHBand="0" w:noVBand="0"/>
      </w:tblPr>
      <w:tblGrid>
        <w:gridCol w:w="988"/>
        <w:gridCol w:w="2551"/>
        <w:gridCol w:w="4966"/>
      </w:tblGrid>
      <w:tr w:rsidR="004D0156" w:rsidRPr="009660EC" w14:paraId="3F3D6ECD" w14:textId="77777777" w:rsidTr="004D0156">
        <w:tc>
          <w:tcPr>
            <w:tcW w:w="988" w:type="dxa"/>
            <w:shd w:val="clear" w:color="auto" w:fill="1B556B"/>
            <w:vAlign w:val="bottom"/>
          </w:tcPr>
          <w:p w14:paraId="5E88D89E" w14:textId="77777777" w:rsidR="004543E0" w:rsidRPr="004543E0" w:rsidRDefault="004543E0" w:rsidP="007E3239">
            <w:pPr>
              <w:pStyle w:val="TableTextBold"/>
              <w:keepNext/>
              <w:spacing w:before="50" w:after="50"/>
              <w:rPr>
                <w:noProof w:val="0"/>
                <w:color w:val="FFFFFF"/>
              </w:rPr>
            </w:pPr>
            <w:r w:rsidRPr="004543E0">
              <w:rPr>
                <w:noProof w:val="0"/>
                <w:color w:val="FFFFFF"/>
              </w:rPr>
              <w:t>Gas</w:t>
            </w:r>
          </w:p>
        </w:tc>
        <w:tc>
          <w:tcPr>
            <w:tcW w:w="2551" w:type="dxa"/>
            <w:shd w:val="clear" w:color="auto" w:fill="1B556B"/>
            <w:vAlign w:val="bottom"/>
          </w:tcPr>
          <w:p w14:paraId="42EB0096" w14:textId="77777777" w:rsidR="004543E0" w:rsidRPr="004543E0" w:rsidRDefault="004543E0" w:rsidP="007E3239">
            <w:pPr>
              <w:pStyle w:val="TableTextBold"/>
              <w:keepNext/>
              <w:spacing w:before="50" w:after="50"/>
              <w:rPr>
                <w:noProof w:val="0"/>
                <w:color w:val="FFFFFF"/>
              </w:rPr>
            </w:pPr>
            <w:r w:rsidRPr="004543E0">
              <w:rPr>
                <w:noProof w:val="0"/>
                <w:color w:val="FFFFFF"/>
              </w:rPr>
              <w:t xml:space="preserve">Emission ratio </w:t>
            </w:r>
            <w:r w:rsidRPr="004543E0">
              <w:rPr>
                <w:b w:val="0"/>
                <w:noProof w:val="0"/>
                <w:color w:val="FFFFFF"/>
              </w:rPr>
              <w:br/>
            </w:r>
            <w:r w:rsidRPr="004543E0">
              <w:rPr>
                <w:bCs/>
                <w:noProof w:val="0"/>
                <w:color w:val="FFFFFF"/>
              </w:rPr>
              <w:t>(Revised</w:t>
            </w:r>
            <w:r w:rsidRPr="004543E0">
              <w:rPr>
                <w:b w:val="0"/>
                <w:noProof w:val="0"/>
                <w:color w:val="FFFFFF"/>
              </w:rPr>
              <w:t xml:space="preserve"> </w:t>
            </w:r>
            <w:r w:rsidRPr="004543E0">
              <w:rPr>
                <w:noProof w:val="0"/>
                <w:color w:val="FFFFFF"/>
              </w:rPr>
              <w:t>IPCC 1996 Guidelines)</w:t>
            </w:r>
          </w:p>
        </w:tc>
        <w:tc>
          <w:tcPr>
            <w:tcW w:w="4966" w:type="dxa"/>
            <w:shd w:val="clear" w:color="auto" w:fill="1B556B"/>
          </w:tcPr>
          <w:p w14:paraId="4C825681" w14:textId="77777777" w:rsidR="004543E0" w:rsidRPr="004543E0" w:rsidRDefault="004543E0" w:rsidP="007E3239">
            <w:pPr>
              <w:pStyle w:val="TableTextBold"/>
              <w:keepNext/>
              <w:spacing w:before="50" w:after="50"/>
              <w:rPr>
                <w:noProof w:val="0"/>
                <w:color w:val="FFFFFF"/>
              </w:rPr>
            </w:pPr>
            <w:r w:rsidRPr="004543E0">
              <w:rPr>
                <w:noProof w:val="0"/>
                <w:color w:val="FFFFFF"/>
              </w:rPr>
              <w:t>Conversion ratio from carbon or nitrogen to specified greenhouse gas</w:t>
            </w:r>
            <w:r w:rsidRPr="004543E0">
              <w:rPr>
                <w:noProof w:val="0"/>
                <w:color w:val="FFFFFF"/>
              </w:rPr>
              <w:br/>
              <w:t>(Revised IPCC 1996 Guidelines)</w:t>
            </w:r>
          </w:p>
        </w:tc>
      </w:tr>
      <w:tr w:rsidR="004543E0" w:rsidRPr="009660EC" w14:paraId="024E07FD" w14:textId="77777777" w:rsidTr="004D0156">
        <w:tc>
          <w:tcPr>
            <w:tcW w:w="988" w:type="dxa"/>
          </w:tcPr>
          <w:p w14:paraId="32D08371" w14:textId="77777777" w:rsidR="004543E0" w:rsidRPr="009660EC" w:rsidRDefault="004543E0" w:rsidP="007E3239">
            <w:pPr>
              <w:pStyle w:val="TableText"/>
              <w:spacing w:before="40" w:after="40"/>
              <w:rPr>
                <w:rFonts w:cs="Calibri"/>
              </w:rPr>
            </w:pPr>
            <w:r w:rsidRPr="009660EC">
              <w:rPr>
                <w:rFonts w:cs="Calibri"/>
              </w:rPr>
              <w:t>CH</w:t>
            </w:r>
            <w:r w:rsidRPr="009660EC">
              <w:rPr>
                <w:rFonts w:cs="Calibri"/>
                <w:vertAlign w:val="subscript"/>
              </w:rPr>
              <w:t>4</w:t>
            </w:r>
          </w:p>
        </w:tc>
        <w:tc>
          <w:tcPr>
            <w:tcW w:w="2551" w:type="dxa"/>
          </w:tcPr>
          <w:p w14:paraId="044F5F25" w14:textId="77777777" w:rsidR="004543E0" w:rsidRPr="009660EC" w:rsidRDefault="004543E0" w:rsidP="007E3239">
            <w:pPr>
              <w:pStyle w:val="TableText"/>
              <w:spacing w:before="40" w:after="40"/>
              <w:rPr>
                <w:rFonts w:cs="Calibri"/>
              </w:rPr>
            </w:pPr>
            <w:r w:rsidRPr="009660EC">
              <w:rPr>
                <w:rFonts w:cs="Calibri"/>
              </w:rPr>
              <w:t>0.005</w:t>
            </w:r>
          </w:p>
        </w:tc>
        <w:tc>
          <w:tcPr>
            <w:tcW w:w="4966" w:type="dxa"/>
          </w:tcPr>
          <w:p w14:paraId="7401C0CA" w14:textId="77777777" w:rsidR="004543E0" w:rsidRPr="009660EC" w:rsidRDefault="004543E0" w:rsidP="007E3239">
            <w:pPr>
              <w:pStyle w:val="TableText"/>
              <w:spacing w:before="40" w:after="40"/>
              <w:rPr>
                <w:rFonts w:cs="Calibri"/>
              </w:rPr>
            </w:pPr>
            <w:r w:rsidRPr="009660EC">
              <w:rPr>
                <w:rFonts w:cs="Calibri"/>
              </w:rPr>
              <w:t>16/12</w:t>
            </w:r>
          </w:p>
        </w:tc>
      </w:tr>
      <w:tr w:rsidR="004543E0" w:rsidRPr="009660EC" w14:paraId="4EDF907E" w14:textId="77777777" w:rsidTr="004D0156">
        <w:tc>
          <w:tcPr>
            <w:tcW w:w="988" w:type="dxa"/>
          </w:tcPr>
          <w:p w14:paraId="0695191B" w14:textId="77777777" w:rsidR="004543E0" w:rsidRPr="009660EC" w:rsidRDefault="004543E0" w:rsidP="007E3239">
            <w:pPr>
              <w:pStyle w:val="TableText"/>
              <w:spacing w:before="40" w:after="40"/>
              <w:rPr>
                <w:rFonts w:cs="Calibri"/>
              </w:rPr>
            </w:pPr>
            <w:r w:rsidRPr="009660EC">
              <w:rPr>
                <w:rFonts w:cs="Calibri"/>
              </w:rPr>
              <w:t>CO</w:t>
            </w:r>
          </w:p>
        </w:tc>
        <w:tc>
          <w:tcPr>
            <w:tcW w:w="2551" w:type="dxa"/>
          </w:tcPr>
          <w:p w14:paraId="20F0CA06" w14:textId="77777777" w:rsidR="004543E0" w:rsidRPr="009660EC" w:rsidRDefault="004543E0" w:rsidP="007E3239">
            <w:pPr>
              <w:pStyle w:val="TableText"/>
              <w:spacing w:before="40" w:after="40"/>
              <w:rPr>
                <w:rFonts w:cs="Calibri"/>
              </w:rPr>
            </w:pPr>
            <w:r w:rsidRPr="009660EC">
              <w:rPr>
                <w:rFonts w:cs="Calibri"/>
              </w:rPr>
              <w:t>0.06</w:t>
            </w:r>
          </w:p>
        </w:tc>
        <w:tc>
          <w:tcPr>
            <w:tcW w:w="4966" w:type="dxa"/>
          </w:tcPr>
          <w:p w14:paraId="50830EE7" w14:textId="77777777" w:rsidR="004543E0" w:rsidRPr="009660EC" w:rsidRDefault="004543E0" w:rsidP="007E3239">
            <w:pPr>
              <w:pStyle w:val="TableText"/>
              <w:spacing w:before="40" w:after="40"/>
              <w:rPr>
                <w:rFonts w:cs="Calibri"/>
              </w:rPr>
            </w:pPr>
            <w:r w:rsidRPr="009660EC">
              <w:rPr>
                <w:rFonts w:cs="Calibri"/>
              </w:rPr>
              <w:t>28/12</w:t>
            </w:r>
          </w:p>
        </w:tc>
      </w:tr>
      <w:tr w:rsidR="004543E0" w:rsidRPr="009660EC" w14:paraId="706B84D1" w14:textId="77777777" w:rsidTr="004D0156">
        <w:tc>
          <w:tcPr>
            <w:tcW w:w="988" w:type="dxa"/>
          </w:tcPr>
          <w:p w14:paraId="71B70863" w14:textId="77777777" w:rsidR="004543E0" w:rsidRPr="009660EC" w:rsidRDefault="004543E0" w:rsidP="007E3239">
            <w:pPr>
              <w:pStyle w:val="TableText"/>
              <w:spacing w:before="40" w:after="40"/>
              <w:rPr>
                <w:rFonts w:cs="Calibri"/>
              </w:rPr>
            </w:pPr>
            <w:r w:rsidRPr="009660EC">
              <w:rPr>
                <w:rFonts w:cs="Calibri"/>
              </w:rPr>
              <w:t>N</w:t>
            </w:r>
            <w:r w:rsidRPr="009660EC">
              <w:rPr>
                <w:rFonts w:cs="Calibri"/>
                <w:vertAlign w:val="subscript"/>
              </w:rPr>
              <w:t>2</w:t>
            </w:r>
            <w:r w:rsidRPr="009660EC">
              <w:rPr>
                <w:rFonts w:cs="Calibri"/>
              </w:rPr>
              <w:t>O</w:t>
            </w:r>
          </w:p>
        </w:tc>
        <w:tc>
          <w:tcPr>
            <w:tcW w:w="2551" w:type="dxa"/>
          </w:tcPr>
          <w:p w14:paraId="15C9BD45" w14:textId="77777777" w:rsidR="004543E0" w:rsidRPr="009660EC" w:rsidRDefault="004543E0" w:rsidP="007E3239">
            <w:pPr>
              <w:pStyle w:val="TableText"/>
              <w:spacing w:before="40" w:after="40"/>
              <w:rPr>
                <w:rFonts w:cs="Calibri"/>
              </w:rPr>
            </w:pPr>
            <w:r w:rsidRPr="009660EC">
              <w:rPr>
                <w:rFonts w:cs="Calibri"/>
              </w:rPr>
              <w:t>0.007</w:t>
            </w:r>
          </w:p>
        </w:tc>
        <w:tc>
          <w:tcPr>
            <w:tcW w:w="4966" w:type="dxa"/>
          </w:tcPr>
          <w:p w14:paraId="776ECAEB" w14:textId="77777777" w:rsidR="004543E0" w:rsidRPr="009660EC" w:rsidRDefault="004543E0" w:rsidP="007E3239">
            <w:pPr>
              <w:pStyle w:val="TableText"/>
              <w:spacing w:before="40" w:after="40"/>
              <w:rPr>
                <w:rFonts w:cs="Calibri"/>
              </w:rPr>
            </w:pPr>
            <w:r w:rsidRPr="009660EC">
              <w:rPr>
                <w:rFonts w:cs="Calibri"/>
              </w:rPr>
              <w:t>44/28</w:t>
            </w:r>
          </w:p>
        </w:tc>
      </w:tr>
      <w:tr w:rsidR="004543E0" w:rsidRPr="009660EC" w14:paraId="3FACD5CB" w14:textId="77777777" w:rsidTr="004D0156">
        <w:tc>
          <w:tcPr>
            <w:tcW w:w="988" w:type="dxa"/>
          </w:tcPr>
          <w:p w14:paraId="67D3320C" w14:textId="77777777" w:rsidR="004543E0" w:rsidRPr="009660EC" w:rsidRDefault="004543E0" w:rsidP="007E3239">
            <w:pPr>
              <w:pStyle w:val="TableText"/>
              <w:spacing w:before="40" w:after="40"/>
              <w:rPr>
                <w:rFonts w:cs="Calibri"/>
              </w:rPr>
            </w:pPr>
            <w:r w:rsidRPr="009660EC">
              <w:rPr>
                <w:rFonts w:cs="Calibri"/>
              </w:rPr>
              <w:t>NO</w:t>
            </w:r>
            <w:r w:rsidRPr="009660EC">
              <w:rPr>
                <w:rFonts w:cs="Calibri"/>
                <w:vertAlign w:val="subscript"/>
              </w:rPr>
              <w:t>x</w:t>
            </w:r>
          </w:p>
        </w:tc>
        <w:tc>
          <w:tcPr>
            <w:tcW w:w="2551" w:type="dxa"/>
          </w:tcPr>
          <w:p w14:paraId="2C33D465" w14:textId="77777777" w:rsidR="004543E0" w:rsidRPr="009660EC" w:rsidRDefault="004543E0" w:rsidP="007E3239">
            <w:pPr>
              <w:pStyle w:val="TableText"/>
              <w:spacing w:before="40" w:after="40"/>
              <w:rPr>
                <w:rFonts w:cs="Calibri"/>
              </w:rPr>
            </w:pPr>
            <w:r w:rsidRPr="009660EC">
              <w:rPr>
                <w:rFonts w:cs="Calibri"/>
              </w:rPr>
              <w:t>0.121</w:t>
            </w:r>
          </w:p>
        </w:tc>
        <w:tc>
          <w:tcPr>
            <w:tcW w:w="4966" w:type="dxa"/>
          </w:tcPr>
          <w:p w14:paraId="5B67FEF5" w14:textId="77777777" w:rsidR="004543E0" w:rsidRPr="009660EC" w:rsidRDefault="004543E0" w:rsidP="007E3239">
            <w:pPr>
              <w:pStyle w:val="TableText"/>
              <w:spacing w:before="40" w:after="40"/>
              <w:rPr>
                <w:rFonts w:cs="Calibri"/>
              </w:rPr>
            </w:pPr>
            <w:r w:rsidRPr="009660EC">
              <w:rPr>
                <w:rFonts w:cs="Calibri"/>
              </w:rPr>
              <w:t>46/14</w:t>
            </w:r>
          </w:p>
        </w:tc>
      </w:tr>
    </w:tbl>
    <w:p w14:paraId="6492AFF3" w14:textId="77777777" w:rsidR="004543E0" w:rsidRPr="009660EC" w:rsidRDefault="004543E0" w:rsidP="004543E0">
      <w:pPr>
        <w:pStyle w:val="BodyText"/>
        <w:keepNext/>
        <w:spacing w:before="360"/>
        <w:rPr>
          <w:rFonts w:cs="Calibri"/>
        </w:rPr>
      </w:pPr>
      <w:r w:rsidRPr="009660EC">
        <w:rPr>
          <w:rFonts w:cs="Calibri"/>
        </w:rPr>
        <w:t>The total emissions (CH</w:t>
      </w:r>
      <w:r w:rsidRPr="009660EC">
        <w:rPr>
          <w:rFonts w:cs="Calibri"/>
          <w:vertAlign w:val="subscript"/>
        </w:rPr>
        <w:t>4</w:t>
      </w:r>
      <w:r w:rsidRPr="009660EC">
        <w:rPr>
          <w:rFonts w:cs="Calibri"/>
        </w:rPr>
        <w:t>, CO, N</w:t>
      </w:r>
      <w:r w:rsidRPr="009660EC">
        <w:rPr>
          <w:rFonts w:cs="Calibri"/>
          <w:vertAlign w:val="subscript"/>
        </w:rPr>
        <w:t>2</w:t>
      </w:r>
      <w:r w:rsidRPr="009660EC">
        <w:rPr>
          <w:rFonts w:cs="Calibri"/>
        </w:rPr>
        <w:t>O and NO</w:t>
      </w:r>
      <w:r w:rsidRPr="009660EC">
        <w:rPr>
          <w:rFonts w:cs="Calibri"/>
          <w:vertAlign w:val="subscript"/>
        </w:rPr>
        <w:t>x</w:t>
      </w:r>
      <w:r w:rsidRPr="009660EC">
        <w:rPr>
          <w:rFonts w:cs="Calibri"/>
        </w:rPr>
        <w:t>) are calculated:</w:t>
      </w:r>
    </w:p>
    <w:bookmarkStart w:id="1202" w:name="_MON_1552216075"/>
    <w:bookmarkEnd w:id="1202"/>
    <w:p w14:paraId="6A74E9FF" w14:textId="77777777" w:rsidR="004543E0" w:rsidRPr="009660EC" w:rsidRDefault="004543E0" w:rsidP="004543E0">
      <w:pPr>
        <w:pStyle w:val="BodyText"/>
        <w:keepNext/>
        <w:spacing w:before="60" w:after="0"/>
      </w:pPr>
      <w:r w:rsidRPr="009660EC">
        <w:object w:dxaOrig="6491" w:dyaOrig="397" w14:anchorId="2AE72E25">
          <v:shape id="_x0000_i1110" type="#_x0000_t75" style="width:323.15pt;height:20.95pt" o:ole="">
            <v:imagedata r:id="rId173" o:title=""/>
            <o:lock v:ext="edit" aspectratio="f"/>
          </v:shape>
          <o:OLEObject Type="Embed" ProgID="Word.Document.12" ShapeID="_x0000_i1110" DrawAspect="Content" ObjectID="_1710830411" r:id="rId174">
            <o:FieldCodes>\s</o:FieldCodes>
          </o:OLEObject>
        </w:object>
      </w:r>
    </w:p>
    <w:p w14:paraId="2241CAFB" w14:textId="77777777" w:rsidR="004543E0" w:rsidRPr="009660EC" w:rsidRDefault="004543E0" w:rsidP="004543E0">
      <w:pPr>
        <w:pStyle w:val="BodyText"/>
        <w:spacing w:after="20"/>
        <w:ind w:left="964" w:hanging="964"/>
      </w:pPr>
      <w:r w:rsidRPr="009660EC">
        <w:t>Where:</w:t>
      </w:r>
      <w:r w:rsidRPr="009660EC">
        <w:tab/>
        <w:t>AG</w:t>
      </w:r>
      <w:r w:rsidRPr="009660EC">
        <w:rPr>
          <w:vertAlign w:val="subscript"/>
        </w:rPr>
        <w:t>BURN</w:t>
      </w:r>
      <w:r w:rsidRPr="009660EC">
        <w:t xml:space="preserve"> is the above-ground biomass burned (kt)</w:t>
      </w:r>
    </w:p>
    <w:p w14:paraId="5114D5E0" w14:textId="77777777" w:rsidR="004543E0" w:rsidRPr="009660EC" w:rsidRDefault="004543E0" w:rsidP="004543E0">
      <w:pPr>
        <w:pStyle w:val="BodyText"/>
        <w:spacing w:before="60" w:after="20"/>
        <w:ind w:left="964"/>
      </w:pPr>
      <w:r w:rsidRPr="009660EC">
        <w:t>Frac</w:t>
      </w:r>
      <w:r w:rsidRPr="009660EC">
        <w:rPr>
          <w:vertAlign w:val="subscript"/>
        </w:rPr>
        <w:t>OX</w:t>
      </w:r>
      <w:r w:rsidRPr="009660EC">
        <w:t xml:space="preserve"> is the fraction oxidised (see table 5.7.2) </w:t>
      </w:r>
    </w:p>
    <w:p w14:paraId="275DD249" w14:textId="77777777" w:rsidR="004543E0" w:rsidRPr="009660EC" w:rsidRDefault="004543E0" w:rsidP="004543E0">
      <w:pPr>
        <w:pStyle w:val="BodyText"/>
        <w:spacing w:before="60" w:after="20"/>
        <w:ind w:left="964"/>
      </w:pPr>
      <w:r w:rsidRPr="009660EC">
        <w:t xml:space="preserve">ER is the gas-specific emission ratio, and </w:t>
      </w:r>
    </w:p>
    <w:p w14:paraId="5559012D" w14:textId="77777777" w:rsidR="004543E0" w:rsidRPr="009660EC" w:rsidRDefault="004543E0" w:rsidP="004543E0">
      <w:pPr>
        <w:pStyle w:val="BodyText"/>
        <w:spacing w:before="60"/>
        <w:ind w:left="964"/>
      </w:pPr>
      <w:r w:rsidRPr="009660EC">
        <w:t xml:space="preserve">GCR is the gas-conversion ratio (see table 5.7.1). </w:t>
      </w:r>
    </w:p>
    <w:p w14:paraId="528F0033" w14:textId="77777777" w:rsidR="004543E0" w:rsidRPr="009660EC" w:rsidRDefault="004543E0" w:rsidP="004543E0">
      <w:pPr>
        <w:pStyle w:val="BodyText"/>
        <w:spacing w:after="60"/>
        <w:rPr>
          <w:rFonts w:cs="Calibri"/>
        </w:rPr>
      </w:pPr>
      <w:r w:rsidRPr="009660EC">
        <w:rPr>
          <w:rFonts w:cs="Calibri"/>
        </w:rPr>
        <w:t>The calculation for AG</w:t>
      </w:r>
      <w:r w:rsidRPr="009660EC">
        <w:rPr>
          <w:rFonts w:cs="Calibri"/>
          <w:vertAlign w:val="subscript"/>
        </w:rPr>
        <w:t xml:space="preserve">BURN </w:t>
      </w:r>
      <w:r w:rsidRPr="009660EC">
        <w:rPr>
          <w:rFonts w:cs="Calibri"/>
        </w:rPr>
        <w:t>is different for 1990 to 2004 and 2005 to 2019, to account for changes in the availability of activity data over these periods. Stats NZ did not collect data on crop residue burning before 2005. Therefore, from 1990 to 2004, calculation of the amount of biomass residue burned (AG</w:t>
      </w:r>
      <w:r w:rsidRPr="009660EC">
        <w:rPr>
          <w:rFonts w:cs="Calibri"/>
          <w:vertAlign w:val="subscript"/>
        </w:rPr>
        <w:t>BURN</w:t>
      </w:r>
      <w:r w:rsidRPr="009660EC">
        <w:rPr>
          <w:rFonts w:cs="Calibri"/>
        </w:rPr>
        <w:t>) was based on the total mass of crop production (from the Stats NZ Agricultural Production census and survey) and assumed fractions burned for each crop, where:</w:t>
      </w:r>
    </w:p>
    <w:p w14:paraId="53079119" w14:textId="77777777" w:rsidR="004543E0" w:rsidRPr="009660EC" w:rsidRDefault="004543E0" w:rsidP="004543E0">
      <w:pPr>
        <w:pStyle w:val="BodyText"/>
        <w:spacing w:before="60" w:after="60"/>
        <w:jc w:val="center"/>
        <w:rPr>
          <w:rFonts w:cs="Calibri"/>
        </w:rPr>
      </w:pPr>
      <w:r w:rsidRPr="009660EC">
        <w:rPr>
          <w:rFonts w:cs="Calibri"/>
        </w:rPr>
        <w:object w:dxaOrig="6971" w:dyaOrig="441" w14:anchorId="01E20D30">
          <v:shape id="_x0000_i1111" type="#_x0000_t75" style="width:346.6pt;height:22.6pt" o:ole="">
            <v:imagedata r:id="rId175" o:title="" cropleft="3144f" cropright="5109f"/>
          </v:shape>
          <o:OLEObject Type="Embed" ProgID="Word.Document.12" ShapeID="_x0000_i1111" DrawAspect="Content" ObjectID="_1710830412" r:id="rId176">
            <o:FieldCodes>\s</o:FieldCodes>
          </o:OLEObject>
        </w:object>
      </w:r>
    </w:p>
    <w:p w14:paraId="64564D7D" w14:textId="77777777" w:rsidR="004543E0" w:rsidRPr="009660EC" w:rsidRDefault="004543E0" w:rsidP="004543E0">
      <w:pPr>
        <w:pStyle w:val="BodyText"/>
        <w:spacing w:after="0"/>
        <w:ind w:left="964" w:hanging="964"/>
        <w:rPr>
          <w:rFonts w:cs="Calibri"/>
        </w:rPr>
      </w:pPr>
      <w:r w:rsidRPr="009660EC">
        <w:rPr>
          <w:rFonts w:cs="Calibri"/>
        </w:rPr>
        <w:t>Where:</w:t>
      </w:r>
      <w:r w:rsidRPr="009660EC">
        <w:rPr>
          <w:rFonts w:cs="Calibri"/>
        </w:rPr>
        <w:tab/>
        <w:t>AG</w:t>
      </w:r>
      <w:r w:rsidRPr="009660EC">
        <w:rPr>
          <w:rFonts w:cs="Calibri"/>
          <w:vertAlign w:val="subscript"/>
        </w:rPr>
        <w:t>DM</w:t>
      </w:r>
      <w:r w:rsidRPr="009660EC">
        <w:rPr>
          <w:rFonts w:cs="Calibri"/>
        </w:rPr>
        <w:t xml:space="preserve"> is the above-ground residue (defined below)</w:t>
      </w:r>
    </w:p>
    <w:p w14:paraId="5DE79358" w14:textId="77777777" w:rsidR="004543E0" w:rsidRPr="009660EC" w:rsidRDefault="004543E0" w:rsidP="004543E0">
      <w:pPr>
        <w:pStyle w:val="BodyText"/>
        <w:spacing w:before="60" w:after="0"/>
        <w:ind w:left="964"/>
      </w:pPr>
      <w:r w:rsidRPr="009660EC">
        <w:rPr>
          <w:rFonts w:cs="Calibri"/>
        </w:rPr>
        <w:t>Frac</w:t>
      </w:r>
      <w:r w:rsidRPr="009660EC">
        <w:rPr>
          <w:rFonts w:cs="Calibri"/>
          <w:vertAlign w:val="subscript"/>
        </w:rPr>
        <w:t xml:space="preserve">AREA–BURN </w:t>
      </w:r>
      <w:r w:rsidRPr="009660EC">
        <w:rPr>
          <w:rFonts w:cs="Calibri"/>
        </w:rPr>
        <w:t>is the proportion of crop area burned of the total production area (discussed further below)</w:t>
      </w:r>
    </w:p>
    <w:p w14:paraId="180C7621" w14:textId="77777777" w:rsidR="004543E0" w:rsidRPr="009660EC" w:rsidRDefault="004543E0" w:rsidP="004543E0">
      <w:pPr>
        <w:pStyle w:val="BodyText"/>
        <w:spacing w:before="60" w:after="0"/>
        <w:ind w:left="964"/>
        <w:rPr>
          <w:rFonts w:cs="Calibri"/>
        </w:rPr>
      </w:pPr>
      <w:r w:rsidRPr="009660EC">
        <w:rPr>
          <w:rFonts w:cs="Calibri"/>
        </w:rPr>
        <w:t>Frac</w:t>
      </w:r>
      <w:r w:rsidRPr="009660EC">
        <w:rPr>
          <w:rFonts w:cs="Calibri"/>
          <w:vertAlign w:val="subscript"/>
        </w:rPr>
        <w:t>RESIDUE</w:t>
      </w:r>
      <w:r w:rsidRPr="009660EC">
        <w:rPr>
          <w:rFonts w:cs="Calibri"/>
        </w:rPr>
        <w:t xml:space="preserve"> is the proportion of residue remaining after harvest (see table 5.7.2), and</w:t>
      </w:r>
    </w:p>
    <w:p w14:paraId="311C9DB1" w14:textId="77777777" w:rsidR="004543E0" w:rsidRPr="009660EC" w:rsidRDefault="004543E0" w:rsidP="004543E0">
      <w:pPr>
        <w:pStyle w:val="BodyText"/>
        <w:spacing w:before="60"/>
        <w:ind w:left="964"/>
        <w:rPr>
          <w:rFonts w:cs="Calibri"/>
        </w:rPr>
      </w:pPr>
      <w:r w:rsidRPr="009660EC">
        <w:rPr>
          <w:rFonts w:cs="Calibri"/>
        </w:rPr>
        <w:t>Frac</w:t>
      </w:r>
      <w:r w:rsidRPr="009660EC">
        <w:rPr>
          <w:rFonts w:cs="Calibri"/>
          <w:vertAlign w:val="subscript"/>
        </w:rPr>
        <w:t>BURN</w:t>
      </w:r>
      <w:r w:rsidRPr="009660EC">
        <w:rPr>
          <w:rFonts w:cs="Calibri"/>
        </w:rPr>
        <w:t xml:space="preserve"> is the proportion of remaining residue burned (see table 5.7.2).</w:t>
      </w:r>
    </w:p>
    <w:p w14:paraId="31DA50A4" w14:textId="77777777" w:rsidR="004543E0" w:rsidRPr="009660EC" w:rsidRDefault="004543E0" w:rsidP="004543E0">
      <w:pPr>
        <w:pStyle w:val="BodyText"/>
        <w:spacing w:after="60"/>
      </w:pPr>
      <w:r w:rsidRPr="009660EC">
        <w:t>The above-ground residue, AG</w:t>
      </w:r>
      <w:r w:rsidRPr="009660EC">
        <w:rPr>
          <w:vertAlign w:val="subscript"/>
        </w:rPr>
        <w:t>DM</w:t>
      </w:r>
      <w:r w:rsidRPr="009660EC">
        <w:t xml:space="preserve"> (tonnes), is:</w:t>
      </w:r>
    </w:p>
    <w:p w14:paraId="1F54660B" w14:textId="77777777" w:rsidR="004543E0" w:rsidRPr="009660EC" w:rsidRDefault="004543E0" w:rsidP="004543E0">
      <w:pPr>
        <w:pStyle w:val="BodyText"/>
        <w:spacing w:before="80" w:after="60"/>
        <w:rPr>
          <w:rFonts w:cs="Calibri"/>
        </w:rPr>
      </w:pPr>
      <w:r w:rsidRPr="009660EC">
        <w:rPr>
          <w:rFonts w:cs="Calibri"/>
        </w:rPr>
        <w:object w:dxaOrig="7916" w:dyaOrig="499" w14:anchorId="5820A72A">
          <v:shape id="_x0000_i1112" type="#_x0000_t75" style="width:399.35pt;height:23.45pt" o:ole="">
            <v:imagedata r:id="rId177" o:title=""/>
          </v:shape>
          <o:OLEObject Type="Embed" ProgID="Word.Document.12" ShapeID="_x0000_i1112" DrawAspect="Content" ObjectID="_1710830413" r:id="rId178">
            <o:FieldCodes>\s</o:FieldCodes>
          </o:OLEObject>
        </w:object>
      </w:r>
    </w:p>
    <w:p w14:paraId="03DB6BE6" w14:textId="77777777" w:rsidR="004543E0" w:rsidRPr="009660EC" w:rsidRDefault="004543E0" w:rsidP="004543E0">
      <w:pPr>
        <w:pStyle w:val="BodyText"/>
        <w:spacing w:after="60"/>
        <w:ind w:left="964" w:hanging="964"/>
        <w:rPr>
          <w:rFonts w:cs="Calibri"/>
        </w:rPr>
      </w:pPr>
      <w:r w:rsidRPr="009660EC">
        <w:rPr>
          <w:rFonts w:cs="Calibri"/>
        </w:rPr>
        <w:t>Where:</w:t>
      </w:r>
      <w:r w:rsidRPr="009660EC">
        <w:rPr>
          <w:rFonts w:cs="Calibri"/>
        </w:rPr>
        <w:tab/>
        <w:t>HI is the harvest index (crop-specific, table 5.7.2), that is, the mass harvested over the total mass of above-ground biomass.</w:t>
      </w:r>
    </w:p>
    <w:p w14:paraId="13C6F700" w14:textId="77777777" w:rsidR="004543E0" w:rsidRPr="009660EC" w:rsidRDefault="004543E0" w:rsidP="004543E0">
      <w:pPr>
        <w:pStyle w:val="BodyText"/>
        <w:keepNext/>
        <w:spacing w:after="60"/>
        <w:rPr>
          <w:rFonts w:cs="Calibri"/>
        </w:rPr>
      </w:pPr>
      <w:r w:rsidRPr="009660EC">
        <w:rPr>
          <w:rFonts w:cs="Calibri"/>
        </w:rPr>
        <w:t>The dry matter, Prod</w:t>
      </w:r>
      <w:r w:rsidRPr="009660EC">
        <w:rPr>
          <w:rFonts w:cs="Calibri"/>
          <w:vertAlign w:val="subscript"/>
        </w:rPr>
        <w:t>DM</w:t>
      </w:r>
      <w:r w:rsidRPr="009660EC">
        <w:rPr>
          <w:rFonts w:cs="Calibri"/>
        </w:rPr>
        <w:t xml:space="preserve"> (tonnes), available to be burned is:</w:t>
      </w:r>
    </w:p>
    <w:p w14:paraId="52FE876D" w14:textId="77777777" w:rsidR="004543E0" w:rsidRPr="009660EC" w:rsidRDefault="004543E0" w:rsidP="004543E0">
      <w:pPr>
        <w:pStyle w:val="BodyText"/>
        <w:spacing w:before="80" w:after="60"/>
        <w:rPr>
          <w:rFonts w:cs="Calibri"/>
        </w:rPr>
      </w:pPr>
      <w:r w:rsidRPr="009660EC">
        <w:rPr>
          <w:rFonts w:cs="Calibri"/>
        </w:rPr>
        <w:object w:dxaOrig="7181" w:dyaOrig="354" w14:anchorId="77B9EBB5">
          <v:shape id="_x0000_i1113" type="#_x0000_t75" style="width:5in;height:13.4pt" o:ole="">
            <v:imagedata r:id="rId179" o:title=""/>
          </v:shape>
          <o:OLEObject Type="Embed" ProgID="Word.Document.12" ShapeID="_x0000_i1113" DrawAspect="Content" ObjectID="_1710830414" r:id="rId180">
            <o:FieldCodes>\s</o:FieldCodes>
          </o:OLEObject>
        </w:object>
      </w:r>
    </w:p>
    <w:p w14:paraId="099E44EE" w14:textId="77777777" w:rsidR="004543E0" w:rsidRPr="009660EC" w:rsidRDefault="004543E0" w:rsidP="004543E0">
      <w:pPr>
        <w:pStyle w:val="BodyText"/>
        <w:spacing w:before="60" w:after="40"/>
        <w:ind w:left="964" w:hanging="964"/>
        <w:rPr>
          <w:rFonts w:cs="Calibri"/>
        </w:rPr>
      </w:pPr>
      <w:r w:rsidRPr="009660EC">
        <w:rPr>
          <w:rFonts w:cs="Calibri"/>
        </w:rPr>
        <w:t>Where:</w:t>
      </w:r>
      <w:r w:rsidRPr="009660EC">
        <w:rPr>
          <w:rFonts w:cs="Calibri"/>
        </w:rPr>
        <w:tab/>
        <w:t>Crop</w:t>
      </w:r>
      <w:r w:rsidRPr="009660EC">
        <w:rPr>
          <w:rFonts w:cs="Calibri"/>
          <w:vertAlign w:val="subscript"/>
        </w:rPr>
        <w:t>PROD</w:t>
      </w:r>
      <w:r w:rsidRPr="009660EC">
        <w:rPr>
          <w:rFonts w:cs="Calibri"/>
        </w:rPr>
        <w:t xml:space="preserve"> is the annual crop production (tonnes) (Stats NZ Agricultural Production census and survey), and</w:t>
      </w:r>
    </w:p>
    <w:p w14:paraId="17C71A42" w14:textId="77777777" w:rsidR="004543E0" w:rsidRPr="009660EC" w:rsidRDefault="004543E0" w:rsidP="004543E0">
      <w:pPr>
        <w:pStyle w:val="BodyText"/>
        <w:spacing w:before="0"/>
        <w:ind w:left="964"/>
        <w:rPr>
          <w:rFonts w:cs="Calibri"/>
        </w:rPr>
      </w:pPr>
      <w:r w:rsidRPr="009660EC">
        <w:rPr>
          <w:rFonts w:cs="Calibri"/>
        </w:rPr>
        <w:t>Frac</w:t>
      </w:r>
      <w:r w:rsidRPr="009660EC">
        <w:rPr>
          <w:rFonts w:cs="Calibri"/>
          <w:vertAlign w:val="subscript"/>
        </w:rPr>
        <w:t>DM</w:t>
      </w:r>
      <w:r w:rsidRPr="009660EC">
        <w:rPr>
          <w:rFonts w:cs="Calibri"/>
        </w:rPr>
        <w:t xml:space="preserve"> is the fraction of crop that is dry matter (crop specific, table 5.7.2).</w:t>
      </w:r>
    </w:p>
    <w:p w14:paraId="4C470781" w14:textId="77777777" w:rsidR="004543E0" w:rsidRPr="009660EC" w:rsidRDefault="004543E0" w:rsidP="004543E0">
      <w:pPr>
        <w:pStyle w:val="Table"/>
        <w:rPr>
          <w:rFonts w:cs="Calibri"/>
        </w:rPr>
      </w:pPr>
      <w:bookmarkStart w:id="1203" w:name="_Toc352504980"/>
      <w:bookmarkStart w:id="1204" w:name="_Toc441830891"/>
      <w:bookmarkStart w:id="1205" w:name="_Toc451176105"/>
      <w:bookmarkStart w:id="1206" w:name="_Toc481751535"/>
      <w:bookmarkStart w:id="1207" w:name="_Toc507158621"/>
      <w:bookmarkStart w:id="1208" w:name="_Toc511116755"/>
      <w:bookmarkStart w:id="1209" w:name="_Toc5269497"/>
      <w:bookmarkStart w:id="1210" w:name="_Toc32570944"/>
      <w:bookmarkStart w:id="1211" w:name="_Toc36224579"/>
      <w:bookmarkStart w:id="1212" w:name="_Toc68786464"/>
      <w:bookmarkStart w:id="1213" w:name="_Toc95574095"/>
      <w:bookmarkStart w:id="1214" w:name="_Toc99659268"/>
      <w:r w:rsidRPr="009660EC">
        <w:rPr>
          <w:rFonts w:cs="Calibri"/>
        </w:rPr>
        <w:lastRenderedPageBreak/>
        <w:t xml:space="preserve">Table 5.7.2 </w:t>
      </w:r>
      <w:r w:rsidRPr="009660EC">
        <w:rPr>
          <w:rFonts w:cs="Calibri"/>
        </w:rPr>
        <w:tab/>
        <w:t>Values used to calculate New Zealand emissions from burning of agricultural residues</w:t>
      </w:r>
      <w:bookmarkEnd w:id="1203"/>
      <w:bookmarkEnd w:id="1204"/>
      <w:bookmarkEnd w:id="1205"/>
      <w:bookmarkEnd w:id="1206"/>
      <w:bookmarkEnd w:id="1207"/>
      <w:bookmarkEnd w:id="1208"/>
      <w:bookmarkEnd w:id="1209"/>
      <w:bookmarkEnd w:id="1210"/>
      <w:bookmarkEnd w:id="1211"/>
      <w:bookmarkEnd w:id="1212"/>
      <w:bookmarkEnd w:id="1213"/>
      <w:bookmarkEnd w:id="1214"/>
    </w:p>
    <w:tbl>
      <w:tblPr>
        <w:tblW w:w="8505" w:type="dxa"/>
        <w:tblInd w:w="113" w:type="dxa"/>
        <w:tblBorders>
          <w:top w:val="single" w:sz="4" w:space="0" w:color="44546A"/>
          <w:bottom w:val="single" w:sz="4" w:space="0" w:color="44546A"/>
          <w:insideH w:val="single" w:sz="4" w:space="0" w:color="44546A"/>
        </w:tblBorders>
        <w:tblLook w:val="0000" w:firstRow="0" w:lastRow="0" w:firstColumn="0" w:lastColumn="0" w:noHBand="0" w:noVBand="0"/>
      </w:tblPr>
      <w:tblGrid>
        <w:gridCol w:w="4695"/>
        <w:gridCol w:w="1270"/>
        <w:gridCol w:w="1270"/>
        <w:gridCol w:w="1270"/>
      </w:tblGrid>
      <w:tr w:rsidR="004543E0" w:rsidRPr="009660EC" w14:paraId="2C8619D4" w14:textId="77777777" w:rsidTr="004D0156">
        <w:trPr>
          <w:tblHeader/>
        </w:trPr>
        <w:tc>
          <w:tcPr>
            <w:tcW w:w="4480" w:type="dxa"/>
            <w:shd w:val="clear" w:color="auto" w:fill="1B556B"/>
            <w:noWrap/>
            <w:vAlign w:val="bottom"/>
          </w:tcPr>
          <w:p w14:paraId="5BF7BC2C" w14:textId="77777777" w:rsidR="004543E0" w:rsidRPr="004543E0" w:rsidRDefault="004543E0" w:rsidP="007E3239">
            <w:pPr>
              <w:pStyle w:val="TableTextBold"/>
              <w:keepNext/>
              <w:spacing w:before="50" w:after="50"/>
              <w:rPr>
                <w:noProof w:val="0"/>
                <w:color w:val="FFFFFF"/>
                <w:szCs w:val="16"/>
              </w:rPr>
            </w:pPr>
          </w:p>
        </w:tc>
        <w:tc>
          <w:tcPr>
            <w:tcW w:w="1211" w:type="dxa"/>
            <w:shd w:val="clear" w:color="auto" w:fill="1B556B"/>
            <w:noWrap/>
            <w:vAlign w:val="bottom"/>
          </w:tcPr>
          <w:p w14:paraId="49FADBCB" w14:textId="77777777" w:rsidR="004543E0" w:rsidRPr="004543E0" w:rsidRDefault="004543E0" w:rsidP="007E3239">
            <w:pPr>
              <w:pStyle w:val="TableTextBold"/>
              <w:keepNext/>
              <w:spacing w:before="50" w:after="50"/>
              <w:rPr>
                <w:noProof w:val="0"/>
                <w:color w:val="FFFFFF"/>
                <w:szCs w:val="16"/>
              </w:rPr>
            </w:pPr>
            <w:r w:rsidRPr="004543E0">
              <w:rPr>
                <w:noProof w:val="0"/>
                <w:color w:val="FFFFFF"/>
                <w:szCs w:val="16"/>
              </w:rPr>
              <w:t>Barley</w:t>
            </w:r>
          </w:p>
        </w:tc>
        <w:tc>
          <w:tcPr>
            <w:tcW w:w="1211" w:type="dxa"/>
            <w:shd w:val="clear" w:color="auto" w:fill="1B556B"/>
            <w:noWrap/>
            <w:vAlign w:val="bottom"/>
          </w:tcPr>
          <w:p w14:paraId="37CEE598" w14:textId="77777777" w:rsidR="004543E0" w:rsidRPr="004543E0" w:rsidRDefault="004543E0" w:rsidP="007E3239">
            <w:pPr>
              <w:pStyle w:val="TableTextBold"/>
              <w:keepNext/>
              <w:spacing w:before="50" w:after="50"/>
              <w:rPr>
                <w:noProof w:val="0"/>
                <w:color w:val="FFFFFF"/>
                <w:szCs w:val="16"/>
              </w:rPr>
            </w:pPr>
            <w:r w:rsidRPr="004543E0">
              <w:rPr>
                <w:noProof w:val="0"/>
                <w:color w:val="FFFFFF"/>
                <w:szCs w:val="16"/>
              </w:rPr>
              <w:t>Wheat</w:t>
            </w:r>
          </w:p>
        </w:tc>
        <w:tc>
          <w:tcPr>
            <w:tcW w:w="1211" w:type="dxa"/>
            <w:shd w:val="clear" w:color="auto" w:fill="1B556B"/>
            <w:noWrap/>
            <w:vAlign w:val="bottom"/>
          </w:tcPr>
          <w:p w14:paraId="174AD2CF" w14:textId="77777777" w:rsidR="004543E0" w:rsidRPr="004543E0" w:rsidRDefault="004543E0" w:rsidP="007E3239">
            <w:pPr>
              <w:pStyle w:val="TableTextBold"/>
              <w:keepNext/>
              <w:spacing w:before="50" w:after="50"/>
              <w:rPr>
                <w:noProof w:val="0"/>
                <w:color w:val="FFFFFF"/>
                <w:szCs w:val="16"/>
              </w:rPr>
            </w:pPr>
            <w:r w:rsidRPr="004543E0">
              <w:rPr>
                <w:noProof w:val="0"/>
                <w:color w:val="FFFFFF"/>
                <w:szCs w:val="16"/>
              </w:rPr>
              <w:t>Oats</w:t>
            </w:r>
          </w:p>
        </w:tc>
      </w:tr>
      <w:tr w:rsidR="004543E0" w:rsidRPr="009660EC" w14:paraId="21683D42" w14:textId="77777777" w:rsidTr="004D0156">
        <w:tc>
          <w:tcPr>
            <w:tcW w:w="4480" w:type="dxa"/>
            <w:noWrap/>
            <w:vAlign w:val="bottom"/>
          </w:tcPr>
          <w:p w14:paraId="2F99B08F" w14:textId="77777777" w:rsidR="004543E0" w:rsidRPr="009660EC" w:rsidRDefault="004543E0" w:rsidP="007E3239">
            <w:pPr>
              <w:pStyle w:val="TableText"/>
              <w:spacing w:before="50" w:after="50"/>
              <w:rPr>
                <w:rFonts w:cs="Calibri"/>
                <w:szCs w:val="16"/>
              </w:rPr>
            </w:pPr>
            <w:r w:rsidRPr="009660EC">
              <w:rPr>
                <w:rFonts w:cs="Calibri"/>
                <w:szCs w:val="16"/>
              </w:rPr>
              <w:t>Fraction oxidised</w:t>
            </w:r>
          </w:p>
        </w:tc>
        <w:tc>
          <w:tcPr>
            <w:tcW w:w="1211" w:type="dxa"/>
            <w:noWrap/>
            <w:vAlign w:val="bottom"/>
          </w:tcPr>
          <w:p w14:paraId="36172FEC" w14:textId="77777777" w:rsidR="004543E0" w:rsidRPr="009660EC" w:rsidRDefault="004543E0" w:rsidP="007E3239">
            <w:pPr>
              <w:pStyle w:val="TableText"/>
              <w:spacing w:before="50" w:after="50"/>
              <w:rPr>
                <w:rFonts w:cs="Calibri"/>
                <w:szCs w:val="16"/>
              </w:rPr>
            </w:pPr>
            <w:r w:rsidRPr="009660EC">
              <w:rPr>
                <w:rFonts w:cs="Calibri"/>
                <w:szCs w:val="16"/>
              </w:rPr>
              <w:t>0.9</w:t>
            </w:r>
          </w:p>
        </w:tc>
        <w:tc>
          <w:tcPr>
            <w:tcW w:w="1211" w:type="dxa"/>
            <w:noWrap/>
            <w:vAlign w:val="bottom"/>
          </w:tcPr>
          <w:p w14:paraId="32963FA3" w14:textId="77777777" w:rsidR="004543E0" w:rsidRPr="009660EC" w:rsidRDefault="004543E0" w:rsidP="007E3239">
            <w:pPr>
              <w:pStyle w:val="TableText"/>
              <w:spacing w:before="50" w:after="50"/>
              <w:rPr>
                <w:rFonts w:cs="Calibri"/>
                <w:szCs w:val="16"/>
              </w:rPr>
            </w:pPr>
            <w:r w:rsidRPr="009660EC">
              <w:rPr>
                <w:rFonts w:cs="Calibri"/>
                <w:szCs w:val="16"/>
              </w:rPr>
              <w:t>0.9</w:t>
            </w:r>
          </w:p>
        </w:tc>
        <w:tc>
          <w:tcPr>
            <w:tcW w:w="1211" w:type="dxa"/>
            <w:noWrap/>
            <w:vAlign w:val="bottom"/>
          </w:tcPr>
          <w:p w14:paraId="49140DF5" w14:textId="77777777" w:rsidR="004543E0" w:rsidRPr="009660EC" w:rsidRDefault="004543E0" w:rsidP="007E3239">
            <w:pPr>
              <w:pStyle w:val="TableText"/>
              <w:spacing w:before="50" w:after="50"/>
              <w:rPr>
                <w:rFonts w:cs="Calibri"/>
                <w:szCs w:val="16"/>
              </w:rPr>
            </w:pPr>
            <w:r w:rsidRPr="009660EC">
              <w:rPr>
                <w:rFonts w:cs="Calibri"/>
                <w:szCs w:val="16"/>
              </w:rPr>
              <w:t>0.9</w:t>
            </w:r>
          </w:p>
        </w:tc>
      </w:tr>
      <w:tr w:rsidR="004543E0" w:rsidRPr="009660EC" w14:paraId="66D71527" w14:textId="77777777" w:rsidTr="004D0156">
        <w:tc>
          <w:tcPr>
            <w:tcW w:w="4480" w:type="dxa"/>
            <w:noWrap/>
            <w:vAlign w:val="bottom"/>
          </w:tcPr>
          <w:p w14:paraId="3702CADE" w14:textId="77777777" w:rsidR="004543E0" w:rsidRPr="009660EC" w:rsidRDefault="004543E0" w:rsidP="007E3239">
            <w:pPr>
              <w:pStyle w:val="TableText"/>
              <w:spacing w:before="50" w:after="50"/>
              <w:rPr>
                <w:rFonts w:cs="Calibri"/>
                <w:szCs w:val="16"/>
              </w:rPr>
            </w:pPr>
            <w:r w:rsidRPr="009660EC">
              <w:rPr>
                <w:rFonts w:cs="Calibri"/>
                <w:szCs w:val="16"/>
              </w:rPr>
              <w:t>Residue remaining in field</w:t>
            </w:r>
          </w:p>
        </w:tc>
        <w:tc>
          <w:tcPr>
            <w:tcW w:w="1211" w:type="dxa"/>
            <w:noWrap/>
            <w:vAlign w:val="bottom"/>
          </w:tcPr>
          <w:p w14:paraId="012D81D7" w14:textId="77777777" w:rsidR="004543E0" w:rsidRPr="009660EC" w:rsidRDefault="004543E0" w:rsidP="007E3239">
            <w:pPr>
              <w:pStyle w:val="TableText"/>
              <w:spacing w:before="50" w:after="50"/>
              <w:rPr>
                <w:rFonts w:cs="Calibri"/>
                <w:szCs w:val="16"/>
              </w:rPr>
            </w:pPr>
            <w:r w:rsidRPr="009660EC">
              <w:rPr>
                <w:rFonts w:cs="Calibri"/>
                <w:szCs w:val="16"/>
              </w:rPr>
              <w:t>1</w:t>
            </w:r>
          </w:p>
        </w:tc>
        <w:tc>
          <w:tcPr>
            <w:tcW w:w="1211" w:type="dxa"/>
            <w:noWrap/>
            <w:vAlign w:val="bottom"/>
          </w:tcPr>
          <w:p w14:paraId="49DACAC1" w14:textId="77777777" w:rsidR="004543E0" w:rsidRPr="009660EC" w:rsidRDefault="004543E0" w:rsidP="007E3239">
            <w:pPr>
              <w:pStyle w:val="TableText"/>
              <w:spacing w:before="50" w:after="50"/>
              <w:rPr>
                <w:rFonts w:cs="Calibri"/>
                <w:szCs w:val="16"/>
              </w:rPr>
            </w:pPr>
            <w:r w:rsidRPr="009660EC">
              <w:rPr>
                <w:rFonts w:cs="Calibri"/>
                <w:szCs w:val="16"/>
              </w:rPr>
              <w:t>1</w:t>
            </w:r>
          </w:p>
        </w:tc>
        <w:tc>
          <w:tcPr>
            <w:tcW w:w="1211" w:type="dxa"/>
            <w:noWrap/>
            <w:vAlign w:val="bottom"/>
          </w:tcPr>
          <w:p w14:paraId="69A12A0D" w14:textId="77777777" w:rsidR="004543E0" w:rsidRPr="009660EC" w:rsidRDefault="004543E0" w:rsidP="007E3239">
            <w:pPr>
              <w:pStyle w:val="TableText"/>
              <w:spacing w:before="50" w:after="50"/>
              <w:rPr>
                <w:rFonts w:cs="Calibri"/>
                <w:szCs w:val="16"/>
              </w:rPr>
            </w:pPr>
            <w:r w:rsidRPr="009660EC">
              <w:rPr>
                <w:rFonts w:cs="Calibri"/>
                <w:szCs w:val="16"/>
              </w:rPr>
              <w:t>1</w:t>
            </w:r>
          </w:p>
        </w:tc>
      </w:tr>
      <w:tr w:rsidR="004543E0" w:rsidRPr="009660EC" w14:paraId="5A2D3015" w14:textId="77777777" w:rsidTr="004D0156">
        <w:tc>
          <w:tcPr>
            <w:tcW w:w="4480" w:type="dxa"/>
            <w:noWrap/>
            <w:vAlign w:val="bottom"/>
          </w:tcPr>
          <w:p w14:paraId="6453709A" w14:textId="77777777" w:rsidR="004543E0" w:rsidRPr="009660EC" w:rsidRDefault="004543E0" w:rsidP="007E3239">
            <w:pPr>
              <w:pStyle w:val="TableText"/>
              <w:spacing w:before="50" w:after="50"/>
              <w:rPr>
                <w:rFonts w:cs="Calibri"/>
                <w:szCs w:val="16"/>
              </w:rPr>
            </w:pPr>
            <w:r w:rsidRPr="009660EC">
              <w:rPr>
                <w:rFonts w:cs="Calibri"/>
                <w:szCs w:val="16"/>
              </w:rPr>
              <w:t>Fraction of residue actually burned</w:t>
            </w:r>
          </w:p>
        </w:tc>
        <w:tc>
          <w:tcPr>
            <w:tcW w:w="1211" w:type="dxa"/>
            <w:noWrap/>
            <w:vAlign w:val="bottom"/>
          </w:tcPr>
          <w:p w14:paraId="7013B250" w14:textId="77777777" w:rsidR="004543E0" w:rsidRPr="009660EC" w:rsidRDefault="004543E0" w:rsidP="007E3239">
            <w:pPr>
              <w:pStyle w:val="TableText"/>
              <w:spacing w:before="50" w:after="50"/>
              <w:rPr>
                <w:rFonts w:cs="Calibri"/>
                <w:szCs w:val="16"/>
              </w:rPr>
            </w:pPr>
            <w:r w:rsidRPr="009660EC">
              <w:rPr>
                <w:rFonts w:cs="Calibri"/>
                <w:szCs w:val="16"/>
              </w:rPr>
              <w:t>0.7</w:t>
            </w:r>
          </w:p>
        </w:tc>
        <w:tc>
          <w:tcPr>
            <w:tcW w:w="1211" w:type="dxa"/>
            <w:noWrap/>
            <w:vAlign w:val="bottom"/>
          </w:tcPr>
          <w:p w14:paraId="3EAC9642" w14:textId="77777777" w:rsidR="004543E0" w:rsidRPr="009660EC" w:rsidRDefault="004543E0" w:rsidP="007E3239">
            <w:pPr>
              <w:pStyle w:val="TableText"/>
              <w:spacing w:before="50" w:after="50"/>
              <w:rPr>
                <w:rFonts w:cs="Calibri"/>
                <w:szCs w:val="16"/>
              </w:rPr>
            </w:pPr>
            <w:r w:rsidRPr="009660EC">
              <w:rPr>
                <w:rFonts w:cs="Calibri"/>
                <w:szCs w:val="16"/>
              </w:rPr>
              <w:t>0.7</w:t>
            </w:r>
          </w:p>
        </w:tc>
        <w:tc>
          <w:tcPr>
            <w:tcW w:w="1211" w:type="dxa"/>
            <w:noWrap/>
            <w:vAlign w:val="bottom"/>
          </w:tcPr>
          <w:p w14:paraId="7E0D2ABA" w14:textId="77777777" w:rsidR="004543E0" w:rsidRPr="009660EC" w:rsidRDefault="004543E0" w:rsidP="007E3239">
            <w:pPr>
              <w:pStyle w:val="TableText"/>
              <w:spacing w:before="50" w:after="50"/>
              <w:rPr>
                <w:rFonts w:cs="Calibri"/>
                <w:szCs w:val="16"/>
              </w:rPr>
            </w:pPr>
            <w:r w:rsidRPr="009660EC">
              <w:rPr>
                <w:rFonts w:cs="Calibri"/>
                <w:szCs w:val="16"/>
              </w:rPr>
              <w:t>0.7</w:t>
            </w:r>
          </w:p>
        </w:tc>
      </w:tr>
      <w:tr w:rsidR="004543E0" w:rsidRPr="009660EC" w14:paraId="4A133B2D" w14:textId="77777777" w:rsidTr="004D0156">
        <w:tc>
          <w:tcPr>
            <w:tcW w:w="4480" w:type="dxa"/>
            <w:noWrap/>
            <w:vAlign w:val="bottom"/>
          </w:tcPr>
          <w:p w14:paraId="129A820E" w14:textId="77777777" w:rsidR="004543E0" w:rsidRPr="009660EC" w:rsidRDefault="004543E0" w:rsidP="007E3239">
            <w:pPr>
              <w:pStyle w:val="TableText"/>
              <w:spacing w:before="50" w:after="50"/>
              <w:rPr>
                <w:rFonts w:cs="Calibri"/>
                <w:szCs w:val="16"/>
              </w:rPr>
            </w:pPr>
            <w:r w:rsidRPr="009660EC">
              <w:rPr>
                <w:rFonts w:cs="Calibri"/>
                <w:szCs w:val="16"/>
              </w:rPr>
              <w:t>Harvest index</w:t>
            </w:r>
          </w:p>
        </w:tc>
        <w:tc>
          <w:tcPr>
            <w:tcW w:w="1211" w:type="dxa"/>
            <w:noWrap/>
            <w:vAlign w:val="bottom"/>
          </w:tcPr>
          <w:p w14:paraId="4C7C0031" w14:textId="77777777" w:rsidR="004543E0" w:rsidRPr="009660EC" w:rsidRDefault="004543E0" w:rsidP="007E3239">
            <w:pPr>
              <w:pStyle w:val="TableText"/>
              <w:spacing w:before="50" w:after="50"/>
              <w:rPr>
                <w:rFonts w:cs="Calibri"/>
                <w:szCs w:val="16"/>
              </w:rPr>
            </w:pPr>
            <w:r w:rsidRPr="009660EC">
              <w:rPr>
                <w:rFonts w:cs="Calibri"/>
                <w:szCs w:val="16"/>
              </w:rPr>
              <w:t>0.46</w:t>
            </w:r>
          </w:p>
        </w:tc>
        <w:tc>
          <w:tcPr>
            <w:tcW w:w="1211" w:type="dxa"/>
            <w:noWrap/>
            <w:vAlign w:val="bottom"/>
          </w:tcPr>
          <w:p w14:paraId="4C203EFA" w14:textId="77777777" w:rsidR="004543E0" w:rsidRPr="009660EC" w:rsidRDefault="004543E0" w:rsidP="007E3239">
            <w:pPr>
              <w:pStyle w:val="TableText"/>
              <w:spacing w:before="50" w:after="50"/>
              <w:rPr>
                <w:rFonts w:cs="Calibri"/>
                <w:szCs w:val="16"/>
              </w:rPr>
            </w:pPr>
            <w:r w:rsidRPr="009660EC">
              <w:rPr>
                <w:rFonts w:cs="Calibri"/>
                <w:szCs w:val="16"/>
              </w:rPr>
              <w:t>0.41</w:t>
            </w:r>
          </w:p>
        </w:tc>
        <w:tc>
          <w:tcPr>
            <w:tcW w:w="1211" w:type="dxa"/>
            <w:noWrap/>
            <w:vAlign w:val="bottom"/>
          </w:tcPr>
          <w:p w14:paraId="0C1CDB3C" w14:textId="77777777" w:rsidR="004543E0" w:rsidRPr="009660EC" w:rsidRDefault="004543E0" w:rsidP="007E3239">
            <w:pPr>
              <w:pStyle w:val="TableText"/>
              <w:spacing w:before="50" w:after="50"/>
              <w:rPr>
                <w:rFonts w:cs="Calibri"/>
                <w:szCs w:val="16"/>
              </w:rPr>
            </w:pPr>
            <w:r w:rsidRPr="009660EC">
              <w:rPr>
                <w:rFonts w:cs="Calibri"/>
                <w:szCs w:val="16"/>
              </w:rPr>
              <w:t>0.30</w:t>
            </w:r>
          </w:p>
        </w:tc>
      </w:tr>
      <w:tr w:rsidR="004543E0" w:rsidRPr="009660EC" w14:paraId="4ECC182C" w14:textId="77777777" w:rsidTr="004D0156">
        <w:trPr>
          <w:trHeight w:val="165"/>
        </w:trPr>
        <w:tc>
          <w:tcPr>
            <w:tcW w:w="4480" w:type="dxa"/>
            <w:noWrap/>
            <w:vAlign w:val="bottom"/>
          </w:tcPr>
          <w:p w14:paraId="5ED217E5" w14:textId="77777777" w:rsidR="004543E0" w:rsidRPr="009660EC" w:rsidRDefault="004543E0" w:rsidP="007E3239">
            <w:pPr>
              <w:pStyle w:val="TableText"/>
              <w:spacing w:before="50" w:after="50"/>
              <w:rPr>
                <w:rFonts w:cs="Calibri"/>
                <w:szCs w:val="16"/>
              </w:rPr>
            </w:pPr>
            <w:r w:rsidRPr="009660EC">
              <w:rPr>
                <w:rFonts w:cs="Calibri"/>
                <w:szCs w:val="16"/>
              </w:rPr>
              <w:t>Dry-matter fraction</w:t>
            </w:r>
          </w:p>
        </w:tc>
        <w:tc>
          <w:tcPr>
            <w:tcW w:w="1211" w:type="dxa"/>
            <w:noWrap/>
            <w:vAlign w:val="bottom"/>
          </w:tcPr>
          <w:p w14:paraId="3CEB9145" w14:textId="77777777" w:rsidR="004543E0" w:rsidRPr="009660EC" w:rsidRDefault="004543E0" w:rsidP="007E3239">
            <w:pPr>
              <w:pStyle w:val="TableText"/>
              <w:spacing w:before="50" w:after="50"/>
              <w:rPr>
                <w:rFonts w:cs="Calibri"/>
                <w:szCs w:val="16"/>
              </w:rPr>
            </w:pPr>
            <w:r w:rsidRPr="009660EC">
              <w:rPr>
                <w:rFonts w:cs="Calibri"/>
                <w:szCs w:val="16"/>
              </w:rPr>
              <w:t>0.86</w:t>
            </w:r>
          </w:p>
        </w:tc>
        <w:tc>
          <w:tcPr>
            <w:tcW w:w="1211" w:type="dxa"/>
            <w:noWrap/>
            <w:vAlign w:val="bottom"/>
          </w:tcPr>
          <w:p w14:paraId="3430DF2E" w14:textId="77777777" w:rsidR="004543E0" w:rsidRPr="009660EC" w:rsidRDefault="004543E0" w:rsidP="007E3239">
            <w:pPr>
              <w:pStyle w:val="TableText"/>
              <w:spacing w:before="50" w:after="50"/>
              <w:rPr>
                <w:rFonts w:cs="Calibri"/>
                <w:szCs w:val="16"/>
              </w:rPr>
            </w:pPr>
            <w:r w:rsidRPr="009660EC">
              <w:rPr>
                <w:rFonts w:cs="Calibri"/>
                <w:szCs w:val="16"/>
              </w:rPr>
              <w:t>0.86</w:t>
            </w:r>
          </w:p>
        </w:tc>
        <w:tc>
          <w:tcPr>
            <w:tcW w:w="1211" w:type="dxa"/>
            <w:noWrap/>
            <w:vAlign w:val="bottom"/>
          </w:tcPr>
          <w:p w14:paraId="51EEBCC1" w14:textId="77777777" w:rsidR="004543E0" w:rsidRPr="009660EC" w:rsidRDefault="004543E0" w:rsidP="007E3239">
            <w:pPr>
              <w:pStyle w:val="TableText"/>
              <w:spacing w:before="50" w:after="50"/>
              <w:rPr>
                <w:rFonts w:cs="Calibri"/>
                <w:szCs w:val="16"/>
              </w:rPr>
            </w:pPr>
            <w:r w:rsidRPr="009660EC">
              <w:rPr>
                <w:rFonts w:cs="Calibri"/>
                <w:szCs w:val="16"/>
              </w:rPr>
              <w:t>0.86</w:t>
            </w:r>
          </w:p>
        </w:tc>
      </w:tr>
      <w:tr w:rsidR="004543E0" w:rsidRPr="009660EC" w14:paraId="4E777521" w14:textId="77777777" w:rsidTr="004D0156">
        <w:tc>
          <w:tcPr>
            <w:tcW w:w="4480" w:type="dxa"/>
            <w:noWrap/>
            <w:vAlign w:val="bottom"/>
          </w:tcPr>
          <w:p w14:paraId="06C82495" w14:textId="77777777" w:rsidR="004543E0" w:rsidRPr="009660EC" w:rsidRDefault="004543E0" w:rsidP="007E3239">
            <w:pPr>
              <w:pStyle w:val="TableText"/>
              <w:spacing w:before="50" w:after="50"/>
              <w:rPr>
                <w:rFonts w:cs="Calibri"/>
                <w:szCs w:val="16"/>
              </w:rPr>
            </w:pPr>
            <w:r w:rsidRPr="009660EC">
              <w:rPr>
                <w:rFonts w:cs="Calibri"/>
                <w:szCs w:val="16"/>
              </w:rPr>
              <w:t>Fraction of nitrogen in biomass</w:t>
            </w:r>
          </w:p>
        </w:tc>
        <w:tc>
          <w:tcPr>
            <w:tcW w:w="1211" w:type="dxa"/>
            <w:noWrap/>
            <w:vAlign w:val="bottom"/>
          </w:tcPr>
          <w:p w14:paraId="47301E60" w14:textId="77777777" w:rsidR="004543E0" w:rsidRPr="009660EC" w:rsidRDefault="004543E0" w:rsidP="007E3239">
            <w:pPr>
              <w:pStyle w:val="TableText"/>
              <w:spacing w:before="50" w:after="50"/>
              <w:rPr>
                <w:rFonts w:cs="Calibri"/>
                <w:szCs w:val="16"/>
              </w:rPr>
            </w:pPr>
            <w:r w:rsidRPr="009660EC">
              <w:rPr>
                <w:rFonts w:cs="Calibri"/>
                <w:szCs w:val="16"/>
              </w:rPr>
              <w:t>0.005</w:t>
            </w:r>
          </w:p>
        </w:tc>
        <w:tc>
          <w:tcPr>
            <w:tcW w:w="1211" w:type="dxa"/>
            <w:noWrap/>
            <w:vAlign w:val="bottom"/>
          </w:tcPr>
          <w:p w14:paraId="1C0A3633" w14:textId="77777777" w:rsidR="004543E0" w:rsidRPr="009660EC" w:rsidRDefault="004543E0" w:rsidP="007E3239">
            <w:pPr>
              <w:pStyle w:val="TableText"/>
              <w:spacing w:before="50" w:after="50"/>
              <w:rPr>
                <w:rFonts w:cs="Calibri"/>
                <w:szCs w:val="16"/>
              </w:rPr>
            </w:pPr>
            <w:r w:rsidRPr="009660EC">
              <w:rPr>
                <w:rFonts w:cs="Calibri"/>
                <w:szCs w:val="16"/>
              </w:rPr>
              <w:t>0.005</w:t>
            </w:r>
          </w:p>
        </w:tc>
        <w:tc>
          <w:tcPr>
            <w:tcW w:w="1211" w:type="dxa"/>
            <w:noWrap/>
            <w:vAlign w:val="bottom"/>
          </w:tcPr>
          <w:p w14:paraId="4ECDF687" w14:textId="77777777" w:rsidR="004543E0" w:rsidRPr="009660EC" w:rsidRDefault="004543E0" w:rsidP="007E3239">
            <w:pPr>
              <w:pStyle w:val="TableText"/>
              <w:spacing w:before="50" w:after="50"/>
              <w:rPr>
                <w:rFonts w:cs="Calibri"/>
                <w:szCs w:val="16"/>
              </w:rPr>
            </w:pPr>
            <w:r w:rsidRPr="009660EC">
              <w:rPr>
                <w:rFonts w:cs="Calibri"/>
                <w:szCs w:val="16"/>
              </w:rPr>
              <w:t>0.005</w:t>
            </w:r>
          </w:p>
        </w:tc>
      </w:tr>
      <w:tr w:rsidR="004543E0" w:rsidRPr="009660EC" w14:paraId="2DE71F6D" w14:textId="77777777" w:rsidTr="004D0156">
        <w:tc>
          <w:tcPr>
            <w:tcW w:w="4480" w:type="dxa"/>
            <w:noWrap/>
            <w:vAlign w:val="bottom"/>
          </w:tcPr>
          <w:p w14:paraId="57D555E4" w14:textId="77777777" w:rsidR="004543E0" w:rsidRPr="009660EC" w:rsidRDefault="004543E0" w:rsidP="007E3239">
            <w:pPr>
              <w:pStyle w:val="TableText"/>
              <w:spacing w:before="50" w:after="50"/>
              <w:rPr>
                <w:rFonts w:cs="Calibri"/>
                <w:szCs w:val="16"/>
              </w:rPr>
            </w:pPr>
            <w:r w:rsidRPr="009660EC">
              <w:rPr>
                <w:rFonts w:cs="Calibri"/>
                <w:szCs w:val="16"/>
              </w:rPr>
              <w:t>Fraction of carbon in biomass</w:t>
            </w:r>
          </w:p>
        </w:tc>
        <w:tc>
          <w:tcPr>
            <w:tcW w:w="1211" w:type="dxa"/>
            <w:noWrap/>
            <w:vAlign w:val="bottom"/>
          </w:tcPr>
          <w:p w14:paraId="2E4D030A" w14:textId="77777777" w:rsidR="004543E0" w:rsidRPr="009660EC" w:rsidRDefault="004543E0" w:rsidP="007E3239">
            <w:pPr>
              <w:pStyle w:val="TableText"/>
              <w:spacing w:before="50" w:after="50"/>
              <w:rPr>
                <w:rFonts w:cs="Calibri"/>
                <w:szCs w:val="16"/>
              </w:rPr>
            </w:pPr>
            <w:r w:rsidRPr="009660EC">
              <w:rPr>
                <w:rFonts w:cs="Calibri"/>
                <w:szCs w:val="16"/>
              </w:rPr>
              <w:t>0.4567</w:t>
            </w:r>
          </w:p>
        </w:tc>
        <w:tc>
          <w:tcPr>
            <w:tcW w:w="1211" w:type="dxa"/>
            <w:noWrap/>
            <w:vAlign w:val="bottom"/>
          </w:tcPr>
          <w:p w14:paraId="5B7A7019" w14:textId="77777777" w:rsidR="004543E0" w:rsidRPr="009660EC" w:rsidRDefault="004543E0" w:rsidP="007E3239">
            <w:pPr>
              <w:pStyle w:val="TableText"/>
              <w:spacing w:before="50" w:after="50"/>
              <w:rPr>
                <w:rFonts w:cs="Calibri"/>
                <w:szCs w:val="16"/>
              </w:rPr>
            </w:pPr>
            <w:r w:rsidRPr="009660EC">
              <w:rPr>
                <w:rFonts w:cs="Calibri"/>
                <w:szCs w:val="16"/>
              </w:rPr>
              <w:t>0.4853</w:t>
            </w:r>
          </w:p>
        </w:tc>
        <w:tc>
          <w:tcPr>
            <w:tcW w:w="1211" w:type="dxa"/>
            <w:noWrap/>
            <w:vAlign w:val="bottom"/>
          </w:tcPr>
          <w:p w14:paraId="032B4448" w14:textId="77777777" w:rsidR="004543E0" w:rsidRPr="009660EC" w:rsidRDefault="004543E0" w:rsidP="007E3239">
            <w:pPr>
              <w:pStyle w:val="TableText"/>
              <w:spacing w:before="50" w:after="50"/>
              <w:rPr>
                <w:rFonts w:cs="Calibri"/>
                <w:szCs w:val="16"/>
              </w:rPr>
            </w:pPr>
            <w:r w:rsidRPr="009660EC">
              <w:rPr>
                <w:rFonts w:cs="Calibri"/>
                <w:szCs w:val="16"/>
              </w:rPr>
              <w:t>0.4567</w:t>
            </w:r>
          </w:p>
        </w:tc>
      </w:tr>
    </w:tbl>
    <w:p w14:paraId="16AD64F4" w14:textId="77777777" w:rsidR="004543E0" w:rsidRPr="009660EC" w:rsidRDefault="004543E0" w:rsidP="004543E0">
      <w:pPr>
        <w:pStyle w:val="Source"/>
        <w:spacing w:after="60"/>
        <w:rPr>
          <w:rFonts w:cs="Calibri"/>
          <w:sz w:val="18"/>
          <w:szCs w:val="24"/>
        </w:rPr>
      </w:pPr>
      <w:r w:rsidRPr="009660EC">
        <w:rPr>
          <w:rFonts w:cs="Calibri"/>
          <w:b/>
          <w:sz w:val="18"/>
          <w:szCs w:val="24"/>
        </w:rPr>
        <w:t>Source:</w:t>
      </w:r>
      <w:r w:rsidRPr="009660EC">
        <w:rPr>
          <w:rFonts w:cs="Calibri"/>
          <w:b/>
          <w:sz w:val="18"/>
          <w:szCs w:val="24"/>
        </w:rPr>
        <w:tab/>
      </w:r>
      <w:r w:rsidRPr="009660EC">
        <w:rPr>
          <w:rFonts w:cs="Calibri"/>
          <w:sz w:val="18"/>
          <w:szCs w:val="24"/>
        </w:rPr>
        <w:t xml:space="preserve"> Thomas et al. (2011)</w:t>
      </w:r>
    </w:p>
    <w:p w14:paraId="1506B2A5" w14:textId="77777777" w:rsidR="004543E0" w:rsidRPr="009660EC" w:rsidRDefault="004543E0" w:rsidP="004543E0">
      <w:pPr>
        <w:pStyle w:val="BodyText"/>
      </w:pPr>
      <w:r w:rsidRPr="009660EC">
        <w:t>From 2005 to 2020, calculation of the amount of biomass residue burned was based on information about the area of crop residue burning from the Stats NZ Agricultural Production census and surveys. These are the first New Zealand-wide data for the area of crop residues burned.</w:t>
      </w:r>
    </w:p>
    <w:p w14:paraId="3D001ACA" w14:textId="77777777" w:rsidR="004543E0" w:rsidRPr="009660EC" w:rsidRDefault="004543E0" w:rsidP="004543E0">
      <w:pPr>
        <w:pStyle w:val="BodyText"/>
      </w:pPr>
      <w:r w:rsidRPr="009660EC">
        <w:t>Biomass burned after 2004, AG</w:t>
      </w:r>
      <w:r w:rsidRPr="009660EC">
        <w:rPr>
          <w:vertAlign w:val="subscript"/>
        </w:rPr>
        <w:t xml:space="preserve">BURN </w:t>
      </w:r>
      <w:r w:rsidRPr="009660EC">
        <w:t>(as previously defined), is:</w:t>
      </w:r>
    </w:p>
    <w:p w14:paraId="48108FB9" w14:textId="77777777" w:rsidR="004543E0" w:rsidRPr="009660EC" w:rsidRDefault="004543E0" w:rsidP="004543E0">
      <w:pPr>
        <w:pStyle w:val="BodyText"/>
        <w:spacing w:before="40" w:after="40"/>
        <w:jc w:val="center"/>
        <w:rPr>
          <w:rFonts w:cs="Calibri"/>
        </w:rPr>
      </w:pPr>
      <w:r w:rsidRPr="009660EC">
        <w:rPr>
          <w:rFonts w:cs="Calibri"/>
        </w:rPr>
        <w:object w:dxaOrig="5651" w:dyaOrig="302" w14:anchorId="32947810">
          <v:shape id="_x0000_i1114" type="#_x0000_t75" style="width:281.3pt;height:13.4pt" o:ole="">
            <v:imagedata r:id="rId181" o:title=""/>
          </v:shape>
          <o:OLEObject Type="Embed" ProgID="Word.Document.12" ShapeID="_x0000_i1114" DrawAspect="Content" ObjectID="_1710830415" r:id="rId182">
            <o:FieldCodes>\s</o:FieldCodes>
          </o:OLEObject>
        </w:object>
      </w:r>
    </w:p>
    <w:p w14:paraId="3E668BF7" w14:textId="77777777" w:rsidR="004543E0" w:rsidRPr="009660EC" w:rsidRDefault="004543E0" w:rsidP="004543E0">
      <w:pPr>
        <w:pStyle w:val="BodyText"/>
        <w:keepNext/>
        <w:spacing w:before="100" w:after="40"/>
        <w:ind w:left="964" w:hanging="964"/>
        <w:rPr>
          <w:rFonts w:cs="Calibri"/>
        </w:rPr>
      </w:pPr>
      <w:r w:rsidRPr="009660EC">
        <w:rPr>
          <w:rFonts w:cs="Calibri"/>
        </w:rPr>
        <w:t>Where:</w:t>
      </w:r>
      <w:r w:rsidRPr="009660EC">
        <w:rPr>
          <w:rFonts w:cs="Calibri"/>
        </w:rPr>
        <w:tab/>
        <w:t>AG</w:t>
      </w:r>
      <w:r w:rsidRPr="009660EC">
        <w:rPr>
          <w:rFonts w:cs="Calibri"/>
          <w:vertAlign w:val="subscript"/>
        </w:rPr>
        <w:t>DM</w:t>
      </w:r>
      <w:r w:rsidRPr="009660EC">
        <w:rPr>
          <w:rFonts w:cs="Calibri"/>
        </w:rPr>
        <w:t xml:space="preserve"> is the amount of above-ground residue (tonnes)</w:t>
      </w:r>
    </w:p>
    <w:p w14:paraId="7F1461D0" w14:textId="77777777" w:rsidR="004543E0" w:rsidRPr="009660EC" w:rsidRDefault="004543E0" w:rsidP="004543E0">
      <w:pPr>
        <w:pStyle w:val="BodyText"/>
        <w:spacing w:before="40" w:after="40"/>
        <w:ind w:left="964"/>
        <w:rPr>
          <w:rFonts w:cs="Calibri"/>
        </w:rPr>
      </w:pPr>
      <w:r w:rsidRPr="009660EC">
        <w:rPr>
          <w:rFonts w:cs="Calibri"/>
        </w:rPr>
        <w:t>Frac</w:t>
      </w:r>
      <w:r w:rsidRPr="009660EC">
        <w:rPr>
          <w:rFonts w:cs="Calibri"/>
          <w:vertAlign w:val="subscript"/>
        </w:rPr>
        <w:t>RESIDUE</w:t>
      </w:r>
      <w:r w:rsidRPr="009660EC">
        <w:rPr>
          <w:rFonts w:cs="Calibri"/>
        </w:rPr>
        <w:t xml:space="preserve"> is the proportion of residue remaining after harvest (see table 5.7.2), and</w:t>
      </w:r>
    </w:p>
    <w:p w14:paraId="4BF955A8" w14:textId="77777777" w:rsidR="004543E0" w:rsidRPr="009660EC" w:rsidRDefault="004543E0" w:rsidP="004543E0">
      <w:pPr>
        <w:pStyle w:val="BodyText"/>
        <w:spacing w:before="40"/>
        <w:ind w:left="964"/>
        <w:rPr>
          <w:rFonts w:cs="Calibri"/>
        </w:rPr>
      </w:pPr>
      <w:r w:rsidRPr="009660EC">
        <w:rPr>
          <w:rFonts w:cs="Calibri"/>
        </w:rPr>
        <w:t>Frac</w:t>
      </w:r>
      <w:r w:rsidRPr="009660EC">
        <w:rPr>
          <w:rFonts w:cs="Calibri"/>
          <w:vertAlign w:val="subscript"/>
        </w:rPr>
        <w:t>BURN</w:t>
      </w:r>
      <w:r w:rsidRPr="009660EC">
        <w:rPr>
          <w:rFonts w:cs="Calibri"/>
        </w:rPr>
        <w:t xml:space="preserve"> is the proportion of remaining residue burned.</w:t>
      </w:r>
    </w:p>
    <w:p w14:paraId="3757F9DB" w14:textId="77777777" w:rsidR="004543E0" w:rsidRPr="009660EC" w:rsidRDefault="004543E0" w:rsidP="004543E0">
      <w:pPr>
        <w:pStyle w:val="BodyText"/>
      </w:pPr>
      <w:r w:rsidRPr="009660EC">
        <w:t>The above-ground residue, AG</w:t>
      </w:r>
      <w:r w:rsidRPr="009660EC">
        <w:rPr>
          <w:vertAlign w:val="subscript"/>
        </w:rPr>
        <w:t xml:space="preserve">DM </w:t>
      </w:r>
      <w:r w:rsidRPr="009660EC">
        <w:t>(tonnes), is:</w:t>
      </w:r>
    </w:p>
    <w:p w14:paraId="451908A5" w14:textId="77777777" w:rsidR="004543E0" w:rsidRPr="009660EC" w:rsidRDefault="004543E0" w:rsidP="004543E0">
      <w:pPr>
        <w:pStyle w:val="BodyText"/>
        <w:spacing w:before="40" w:after="40"/>
      </w:pPr>
      <w:r w:rsidRPr="009660EC">
        <w:object w:dxaOrig="7916" w:dyaOrig="499" w14:anchorId="04CEDAA7">
          <v:shape id="_x0000_i1115" type="#_x0000_t75" style="width:399.35pt;height:23.45pt" o:ole="">
            <v:imagedata r:id="rId177" o:title=""/>
          </v:shape>
          <o:OLEObject Type="Embed" ProgID="Word.Document.12" ShapeID="_x0000_i1115" DrawAspect="Content" ObjectID="_1710830416" r:id="rId183">
            <o:FieldCodes>\s</o:FieldCodes>
          </o:OLEObject>
        </w:object>
      </w:r>
    </w:p>
    <w:p w14:paraId="6C6D83B8" w14:textId="77777777" w:rsidR="004543E0" w:rsidRPr="009660EC" w:rsidRDefault="004543E0" w:rsidP="004543E0">
      <w:pPr>
        <w:pStyle w:val="BodyText"/>
        <w:spacing w:after="0"/>
        <w:ind w:left="964" w:hanging="964"/>
        <w:rPr>
          <w:rFonts w:cs="Calibri"/>
        </w:rPr>
      </w:pPr>
      <w:r w:rsidRPr="009660EC">
        <w:rPr>
          <w:rFonts w:cs="Calibri"/>
        </w:rPr>
        <w:t>Where:</w:t>
      </w:r>
      <w:r w:rsidRPr="009660EC">
        <w:rPr>
          <w:rFonts w:cs="Calibri"/>
        </w:rPr>
        <w:tab/>
        <w:t>HI is the harvest index (crop specific, table 5.7.2); that is, the mass harvested over the total mass of above-ground biomass, and</w:t>
      </w:r>
    </w:p>
    <w:p w14:paraId="40632B9F" w14:textId="77777777" w:rsidR="004543E0" w:rsidRPr="009660EC" w:rsidRDefault="004543E0" w:rsidP="004543E0">
      <w:pPr>
        <w:pStyle w:val="BodyText"/>
        <w:spacing w:before="60"/>
        <w:ind w:left="964"/>
        <w:rPr>
          <w:rFonts w:cs="Calibri"/>
        </w:rPr>
      </w:pPr>
      <w:r w:rsidRPr="009660EC">
        <w:rPr>
          <w:rFonts w:cs="Calibri"/>
        </w:rPr>
        <w:t>Prod</w:t>
      </w:r>
      <w:r w:rsidRPr="009660EC">
        <w:rPr>
          <w:rFonts w:cs="Calibri"/>
          <w:vertAlign w:val="subscript"/>
        </w:rPr>
        <w:t>DM</w:t>
      </w:r>
      <w:r w:rsidRPr="009660EC">
        <w:rPr>
          <w:rFonts w:cs="Calibri"/>
        </w:rPr>
        <w:t xml:space="preserve"> (measured in tonnes) is the dry-matter production of the area burned and is determined as follows:</w:t>
      </w:r>
    </w:p>
    <w:p w14:paraId="378D3D51" w14:textId="568E8DF3" w:rsidR="004543E0" w:rsidRPr="009660EC" w:rsidRDefault="004B48CC" w:rsidP="004543E0">
      <w:pPr>
        <w:pStyle w:val="BodyText"/>
        <w:spacing w:before="40" w:after="40"/>
        <w:rPr>
          <w:rFonts w:cs="Calibri"/>
        </w:rPr>
      </w:pPr>
      <w:bookmarkStart w:id="1215" w:name="_MON_1548661704"/>
      <w:bookmarkEnd w:id="1215"/>
      <w:r>
        <w:rPr>
          <w:rFonts w:cs="Calibri"/>
          <w:noProof/>
        </w:rPr>
        <w:pict w14:anchorId="5A3C4E23">
          <v:shape id="Picture 3" o:spid="_x0000_i1116" type="#_x0000_t75" style="width:391.8pt;height:15.9pt;visibility:visible;mso-wrap-style:square">
            <v:imagedata r:id="rId184" o:title=""/>
          </v:shape>
        </w:pict>
      </w:r>
    </w:p>
    <w:p w14:paraId="40761C00" w14:textId="77777777" w:rsidR="004543E0" w:rsidRPr="009660EC" w:rsidRDefault="004543E0" w:rsidP="004543E0">
      <w:pPr>
        <w:pStyle w:val="BodyText"/>
        <w:spacing w:after="40"/>
        <w:ind w:left="964" w:hanging="964"/>
        <w:rPr>
          <w:rFonts w:cs="Calibri"/>
        </w:rPr>
      </w:pPr>
      <w:r w:rsidRPr="009660EC">
        <w:rPr>
          <w:rFonts w:cs="Calibri"/>
        </w:rPr>
        <w:t>Where:</w:t>
      </w:r>
      <w:r w:rsidRPr="009660EC">
        <w:rPr>
          <w:rFonts w:cs="Calibri"/>
        </w:rPr>
        <w:tab/>
        <w:t>Area</w:t>
      </w:r>
      <w:r w:rsidRPr="009660EC">
        <w:rPr>
          <w:rFonts w:cs="Calibri"/>
          <w:vertAlign w:val="subscript"/>
        </w:rPr>
        <w:t>BURN</w:t>
      </w:r>
      <w:r w:rsidRPr="009660EC">
        <w:rPr>
          <w:rFonts w:cs="Calibri"/>
        </w:rPr>
        <w:t xml:space="preserve"> is the annual area burned (hectare)</w:t>
      </w:r>
    </w:p>
    <w:p w14:paraId="0E1D0219" w14:textId="77777777" w:rsidR="004543E0" w:rsidRPr="009660EC" w:rsidRDefault="004543E0" w:rsidP="004543E0">
      <w:pPr>
        <w:pStyle w:val="BodyText"/>
        <w:spacing w:before="40" w:after="40"/>
        <w:ind w:left="964"/>
        <w:rPr>
          <w:rFonts w:cs="Calibri"/>
        </w:rPr>
      </w:pPr>
      <w:r w:rsidRPr="009660EC">
        <w:rPr>
          <w:rFonts w:cs="Calibri"/>
        </w:rPr>
        <w:t xml:space="preserve">Y is the average crop yield (tonnes per hectare), and </w:t>
      </w:r>
    </w:p>
    <w:p w14:paraId="09E6213F" w14:textId="77777777" w:rsidR="004543E0" w:rsidRPr="009660EC" w:rsidRDefault="004543E0" w:rsidP="004543E0">
      <w:pPr>
        <w:pStyle w:val="BodyText"/>
        <w:spacing w:before="40"/>
        <w:ind w:left="964"/>
        <w:rPr>
          <w:rFonts w:cs="Calibri"/>
        </w:rPr>
      </w:pPr>
      <w:r w:rsidRPr="009660EC">
        <w:rPr>
          <w:rFonts w:cs="Calibri"/>
        </w:rPr>
        <w:t>Frac</w:t>
      </w:r>
      <w:r w:rsidRPr="009660EC">
        <w:rPr>
          <w:rFonts w:cs="Calibri"/>
          <w:vertAlign w:val="subscript"/>
        </w:rPr>
        <w:t>DM</w:t>
      </w:r>
      <w:r w:rsidRPr="009660EC">
        <w:rPr>
          <w:rFonts w:cs="Calibri"/>
        </w:rPr>
        <w:t xml:space="preserve"> is the fraction of crop that is dry matter (crop specific, table 5.7.2).</w:t>
      </w:r>
    </w:p>
    <w:p w14:paraId="5C962F26" w14:textId="77777777" w:rsidR="004543E0" w:rsidRPr="009660EC" w:rsidRDefault="004543E0" w:rsidP="004543E0">
      <w:pPr>
        <w:pStyle w:val="BodyText"/>
      </w:pPr>
      <w:r w:rsidRPr="009660EC">
        <w:t>The country-specific parameters for the proportion of residue actually burned, harvest indices, dry-matter fractions, the fraction oxidised and the carbon and nitrogen fractions of the residue (see table 5.7.2) are derived from the OVERSEER</w:t>
      </w:r>
      <w:r w:rsidRPr="009660EC">
        <w:rPr>
          <w:vertAlign w:val="superscript"/>
        </w:rPr>
        <w:t>®</w:t>
      </w:r>
      <w:r w:rsidRPr="009660EC">
        <w:t xml:space="preserve"> nutrient budget model for New Zealand (Wheeler et al., 2003) and are the same as those used for estimates of emissions from crop residues (see section 5.5.2). Further detail is provided in Thomas et al. (2011).</w:t>
      </w:r>
    </w:p>
    <w:p w14:paraId="089BA6AA" w14:textId="77777777" w:rsidR="004543E0" w:rsidRPr="009660EC" w:rsidRDefault="004543E0" w:rsidP="004543E0">
      <w:pPr>
        <w:pStyle w:val="BodyText"/>
      </w:pPr>
      <w:r w:rsidRPr="009660EC">
        <w:t xml:space="preserve">The recommended proportion of crop area burned for 1990 to 2004 was determined by a farmer survey and assumed to be 70 per cent of wheat, 50 per cent of barley and 50 per cent of oat crops (Thomas et al., 2011). These values are in alignment with Stats NZ data for 2005 to 2007 (2005 being the first year Stats NZ gathered these data) and are, therefore, applied to the years 1990 to 2004. From 2005, data on the total area of crop residues burned in New Zealand were collected but, while the data show total residue burned at a regional and national level, they do not differentiate between cereal crop types. </w:t>
      </w:r>
    </w:p>
    <w:p w14:paraId="565583C6" w14:textId="77777777" w:rsidR="004543E0" w:rsidRPr="009660EC" w:rsidRDefault="004543E0" w:rsidP="004543E0">
      <w:pPr>
        <w:pStyle w:val="BodyText"/>
      </w:pPr>
      <w:r w:rsidRPr="009660EC">
        <w:lastRenderedPageBreak/>
        <w:t xml:space="preserve">For 2005 onwards, the same proportions of crop area burned for wheat (70 per cent), barley (50 per cent) and oats (50 per cent) were used. However, these areas were then multiplied by a constant factor </w:t>
      </w:r>
      <w:r w:rsidRPr="009660EC">
        <w:rPr>
          <w:i/>
        </w:rPr>
        <w:t>K</w:t>
      </w:r>
      <w:r w:rsidRPr="009660EC">
        <w:t xml:space="preserve"> such that the total area burned is consistent with the Agricultural Production survey. This captures year-to-year variability, such as reduced burning during very dry and very wet years.</w:t>
      </w:r>
    </w:p>
    <w:p w14:paraId="29AD2FBA" w14:textId="294BAF73" w:rsidR="004543E0" w:rsidRPr="009660EC" w:rsidRDefault="004B48CC" w:rsidP="00EF65E1">
      <w:pPr>
        <w:pStyle w:val="BodyText"/>
        <w:spacing w:before="40"/>
        <w:jc w:val="center"/>
      </w:pPr>
      <w:r>
        <w:pict w14:anchorId="00070B5D">
          <v:shape id="_x0000_i1117" type="#_x0000_t75" style="width:374.25pt;height:35.1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20&quot;/&gt;&lt;w:doNotEmbedSystemFonts/&gt;&lt;w:activeWritingStyle w:lang=&quot;EN-NZ&quot; w:vendorID=&quot;64&quot; w:dllVersion=&quot;6&quot; w:nlCheck=&quot;on&quot; w:optionSet=&quot;1&quot;/&gt;&lt;w:activeWritingStyle w:lang=&quot;EN-NZ&quot; w:vendorID=&quot;64&quot; w:dllVersion=&quot;0&quot; w:nlCheck=&quot;on&quot; w:optionSet=&quot;0&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BottomSpacing/&gt;&lt;w:suppressTopSpacing/&gt;&lt;w:suppressSpBfAfterPgBrk/&gt;&lt;w:doNotUseHTMLParagraphAutoSpacing/&gt;&lt;w:breakWrappedTables/&gt;&lt;w:snapToGridInCell/&gt;&lt;w:wrapTextWithPunct/&gt;&lt;w:useAsianBreakRules/&gt;&lt;/w:compat&gt;&lt;wsp:rsids&gt;&lt;wsp:rsidRoot wsp:val=&quot;00DC2081&quot;/&gt;&lt;wsp:rsid wsp:val=&quot;00001716&quot;/&gt;&lt;wsp:rsid wsp:val=&quot;00007ABB&quot;/&gt;&lt;wsp:rsid wsp:val=&quot;00021ACF&quot;/&gt;&lt;wsp:rsid wsp:val=&quot;00027E55&quot;/&gt;&lt;wsp:rsid wsp:val=&quot;00032A28&quot;/&gt;&lt;wsp:rsid wsp:val=&quot;00035185&quot;/&gt;&lt;wsp:rsid wsp:val=&quot;0003612E&quot;/&gt;&lt;wsp:rsid wsp:val=&quot;00050008&quot;/&gt;&lt;wsp:rsid wsp:val=&quot;000576EC&quot;/&gt;&lt;wsp:rsid wsp:val=&quot;0008510E&quot;/&gt;&lt;wsp:rsid wsp:val=&quot;000959CB&quot;/&gt;&lt;wsp:rsid wsp:val=&quot;000C20A6&quot;/&gt;&lt;wsp:rsid wsp:val=&quot;000D5C71&quot;/&gt;&lt;wsp:rsid wsp:val=&quot;000F4DEF&quot;/&gt;&lt;wsp:rsid wsp:val=&quot;00116E1B&quot;/&gt;&lt;wsp:rsid wsp:val=&quot;001221C3&quot;/&gt;&lt;wsp:rsid wsp:val=&quot;0013321C&quot;/&gt;&lt;wsp:rsid wsp:val=&quot;00153F5A&quot;/&gt;&lt;wsp:rsid wsp:val=&quot;001970E1&quot;/&gt;&lt;wsp:rsid wsp:val=&quot;001A1997&quot;/&gt;&lt;wsp:rsid wsp:val=&quot;001B6FD2&quot;/&gt;&lt;wsp:rsid wsp:val=&quot;001F48D9&quot;/&gt;&lt;wsp:rsid wsp:val=&quot;00207ABF&quot;/&gt;&lt;wsp:rsid wsp:val=&quot;00240B42&quot;/&gt;&lt;wsp:rsid wsp:val=&quot;00260B48&quot;/&gt;&lt;wsp:rsid wsp:val=&quot;0028581A&quot;/&gt;&lt;wsp:rsid wsp:val=&quot;002868D3&quot;/&gt;&lt;wsp:rsid wsp:val=&quot;00295B2A&quot;/&gt;&lt;wsp:rsid wsp:val=&quot;002A1361&quot;/&gt;&lt;wsp:rsid wsp:val=&quot;002A222C&quot;/&gt;&lt;wsp:rsid wsp:val=&quot;002A49D7&quot;/&gt;&lt;wsp:rsid wsp:val=&quot;002B1C5A&quot;/&gt;&lt;wsp:rsid wsp:val=&quot;002B3284&quot;/&gt;&lt;wsp:rsid wsp:val=&quot;002D60DB&quot;/&gt;&lt;wsp:rsid wsp:val=&quot;002D6A54&quot;/&gt;&lt;wsp:rsid wsp:val=&quot;002F134A&quot;/&gt;&lt;wsp:rsid wsp:val=&quot;002F1EF6&quot;/&gt;&lt;wsp:rsid wsp:val=&quot;002F66D0&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B57BB&quot;/&gt;&lt;wsp:rsid wsp:val=&quot;003C2615&quot;/&gt;&lt;wsp:rsid wsp:val=&quot;003D0318&quot;/&gt;&lt;wsp:rsid wsp:val=&quot;003D1F66&quot;/&gt;&lt;wsp:rsid wsp:val=&quot;003D5417&quot;/&gt;&lt;wsp:rsid wsp:val=&quot;00400F92&quot;/&gt;&lt;wsp:rsid wsp:val=&quot;004044F1&quot;/&gt;&lt;wsp:rsid wsp:val=&quot;0042424B&quot;/&gt;&lt;wsp:rsid wsp:val=&quot;00430D5D&quot;/&gt;&lt;wsp:rsid wsp:val=&quot;00436344&quot;/&gt;&lt;wsp:rsid wsp:val=&quot;004543E0&quot;/&gt;&lt;wsp:rsid wsp:val=&quot;0045652C&quot;/&gt;&lt;wsp:rsid wsp:val=&quot;00462497&quot;/&gt;&lt;wsp:rsid wsp:val=&quot;004805A3&quot;/&gt;&lt;wsp:rsid wsp:val=&quot;00490EB0&quot;/&gt;&lt;wsp:rsid wsp:val=&quot;004A088A&quot;/&gt;&lt;wsp:rsid wsp:val=&quot;004A618E&quot;/&gt;&lt;wsp:rsid wsp:val=&quot;004B119E&quot;/&gt;&lt;wsp:rsid wsp:val=&quot;004E4B2C&quot;/&gt;&lt;wsp:rsid wsp:val=&quot;004F1572&quot;/&gt;&lt;wsp:rsid wsp:val=&quot;00526270&quot;/&gt;&lt;wsp:rsid wsp:val=&quot;00534210&quot;/&gt;&lt;wsp:rsid wsp:val=&quot;00543478&quot;/&gt;&lt;wsp:rsid wsp:val=&quot;00545600&quot;/&gt;&lt;wsp:rsid wsp:val=&quot;00546A6A&quot;/&gt;&lt;wsp:rsid wsp:val=&quot;005545DF&quot;/&gt;&lt;wsp:rsid wsp:val=&quot;005630B0&quot;/&gt;&lt;wsp:rsid wsp:val=&quot;005660CD&quot;/&gt;&lt;wsp:rsid wsp:val=&quot;005720F2&quot;/&gt;&lt;wsp:rsid wsp:val=&quot;00596603&quot;/&gt;&lt;wsp:rsid wsp:val=&quot;005B4380&quot;/&gt;&lt;wsp:rsid wsp:val=&quot;005B76A4&quot;/&gt;&lt;wsp:rsid wsp:val=&quot;005C3384&quot;/&gt;&lt;wsp:rsid wsp:val=&quot;005C38A8&quot;/&gt;&lt;wsp:rsid wsp:val=&quot;005C416E&quot;/&gt;&lt;wsp:rsid wsp:val=&quot;005D1C3A&quot;/&gt;&lt;wsp:rsid wsp:val=&quot;005D2050&quot;/&gt;&lt;wsp:rsid wsp:val=&quot;005E43DD&quot;/&gt;&lt;wsp:rsid wsp:val=&quot;00600179&quot;/&gt;&lt;wsp:rsid wsp:val=&quot;00603FC0&quot;/&gt;&lt;wsp:rsid wsp:val=&quot;006127F2&quot;/&gt;&lt;wsp:rsid wsp:val=&quot;006208F5&quot;/&gt;&lt;wsp:rsid wsp:val=&quot;00636BF0&quot;/&gt;&lt;wsp:rsid wsp:val=&quot;00640C2E&quot;/&gt;&lt;wsp:rsid wsp:val=&quot;00646B6D&quot;/&gt;&lt;wsp:rsid wsp:val=&quot;00650F99&quot;/&gt;&lt;wsp:rsid wsp:val=&quot;00655908&quot;/&gt;&lt;wsp:rsid wsp:val=&quot;00663479&quot;/&gt;&lt;wsp:rsid wsp:val=&quot;006654F8&quot;/&gt;&lt;wsp:rsid wsp:val=&quot;00665768&quot;/&gt;&lt;wsp:rsid wsp:val=&quot;00667291&quot;/&gt;&lt;wsp:rsid wsp:val=&quot;0068545A&quot;/&gt;&lt;wsp:rsid wsp:val=&quot;00686249&quot;/&gt;&lt;wsp:rsid wsp:val=&quot;00687504&quot;/&gt;&lt;wsp:rsid wsp:val=&quot;006A171F&quot;/&gt;&lt;wsp:rsid wsp:val=&quot;006A4E5F&quot;/&gt;&lt;wsp:rsid wsp:val=&quot;006B282E&quot;/&gt;&lt;wsp:rsid wsp:val=&quot;006D3FAE&quot;/&gt;&lt;wsp:rsid wsp:val=&quot;006D4600&quot;/&gt;&lt;wsp:rsid wsp:val=&quot;006E0A2C&quot;/&gt;&lt;wsp:rsid wsp:val=&quot;006E202B&quot;/&gt;&lt;wsp:rsid wsp:val=&quot;006E25DF&quot;/&gt;&lt;wsp:rsid wsp:val=&quot;006E57B5&quot;/&gt;&lt;wsp:rsid wsp:val=&quot;00702FA0&quot;/&gt;&lt;wsp:rsid wsp:val=&quot;00715D39&quot;/&gt;&lt;wsp:rsid wsp:val=&quot;00724218&quot;/&gt;&lt;wsp:rsid wsp:val=&quot;00733378&quot;/&gt;&lt;wsp:rsid wsp:val=&quot;00737E65&quot;/&gt;&lt;wsp:rsid wsp:val=&quot;0074030A&quot;/&gt;&lt;wsp:rsid wsp:val=&quot;007409A3&quot;/&gt;&lt;wsp:rsid wsp:val=&quot;00762043&quot;/&gt;&lt;wsp:rsid wsp:val=&quot;007633C2&quot;/&gt;&lt;wsp:rsid wsp:val=&quot;00765A47&quot;/&gt;&lt;wsp:rsid wsp:val=&quot;00770E82&quot;/&gt;&lt;wsp:rsid wsp:val=&quot;00772E94&quot;/&gt;&lt;wsp:rsid wsp:val=&quot;007730C3&quot;/&gt;&lt;wsp:rsid wsp:val=&quot;0077453D&quot;/&gt;&lt;wsp:rsid wsp:val=&quot;007862A6&quot;/&gt;&lt;wsp:rsid wsp:val=&quot;007A7456&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795&quot;/&gt;&lt;wsp:rsid wsp:val=&quot;0087314B&quot;/&gt;&lt;wsp:rsid wsp:val=&quot;008A2A6D&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16E1B&quot;/&gt;&lt;wsp:rsid wsp:val=&quot;0092751F&quot;/&gt;&lt;wsp:rsid wsp:val=&quot;00932067&quot;/&gt;&lt;wsp:rsid wsp:val=&quot;0093594A&quot;/&gt;&lt;wsp:rsid wsp:val=&quot;00955D73&quot;/&gt;&lt;wsp:rsid wsp:val=&quot;0096512C&quot;/&gt;&lt;wsp:rsid wsp:val=&quot;0096540A&quot;/&gt;&lt;wsp:rsid wsp:val=&quot;0098180A&quot;/&gt;&lt;wsp:rsid wsp:val=&quot;0099547F&quot;/&gt;&lt;wsp:rsid wsp:val=&quot;009C5D2A&quot;/&gt;&lt;wsp:rsid wsp:val=&quot;00A06700&quot;/&gt;&lt;wsp:rsid wsp:val=&quot;00A331E7&quot;/&gt;&lt;wsp:rsid wsp:val=&quot;00A34169&quot;/&gt;&lt;wsp:rsid wsp:val=&quot;00A35FF4&quot;/&gt;&lt;wsp:rsid wsp:val=&quot;00A41C3C&quot;/&gt;&lt;wsp:rsid wsp:val=&quot;00A430C1&quot;/&gt;&lt;wsp:rsid wsp:val=&quot;00AB2710&quot;/&gt;&lt;wsp:rsid wsp:val=&quot;00AC2AB4&quot;/&gt;&lt;wsp:rsid wsp:val=&quot;00AC7268&quot;/&gt;&lt;wsp:rsid wsp:val=&quot;00AD184B&quot;/&gt;&lt;wsp:rsid wsp:val=&quot;00AE488C&quot;/&gt;&lt;wsp:rsid wsp:val=&quot;00B0566D&quot;/&gt;&lt;wsp:rsid wsp:val=&quot;00B10BD6&quot;/&gt;&lt;wsp:rsid wsp:val=&quot;00B153C7&quot;/&gt;&lt;wsp:rsid wsp:val=&quot;00B16055&quot;/&gt;&lt;wsp:rsid wsp:val=&quot;00B35BD9&quot;/&gt;&lt;wsp:rsid wsp:val=&quot;00B37DE8&quot;/&gt;&lt;wsp:rsid wsp:val=&quot;00B44BA5&quot;/&gt;&lt;wsp:rsid wsp:val=&quot;00B928E7&quot;/&gt;&lt;wsp:rsid wsp:val=&quot;00BA5F7E&quot;/&gt;&lt;wsp:rsid wsp:val=&quot;00BB1CB5&quot;/&gt;&lt;wsp:rsid wsp:val=&quot;00BC6694&quot;/&gt;&lt;wsp:rsid wsp:val=&quot;00BC7E76&quot;/&gt;&lt;wsp:rsid wsp:val=&quot;00BE6C4F&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823B1&quot;/&gt;&lt;wsp:rsid wsp:val=&quot;00CA271E&quot;/&gt;&lt;wsp:rsid wsp:val=&quot;00CB1488&quot;/&gt;&lt;wsp:rsid wsp:val=&quot;00CB7414&quot;/&gt;&lt;wsp:rsid wsp:val=&quot;00CD3919&quot;/&gt;&lt;wsp:rsid wsp:val=&quot;00CE19C1&quot;/&gt;&lt;wsp:rsid wsp:val=&quot;00CF3E69&quot;/&gt;&lt;wsp:rsid wsp:val=&quot;00D01CFE&quot;/&gt;&lt;wsp:rsid wsp:val=&quot;00D07C4B&quot;/&gt;&lt;wsp:rsid wsp:val=&quot;00D225D8&quot;/&gt;&lt;wsp:rsid wsp:val=&quot;00D33A2E&quot;/&gt;&lt;wsp:rsid wsp:val=&quot;00D40FA5&quot;/&gt;&lt;wsp:rsid wsp:val=&quot;00D41862&quot;/&gt;&lt;wsp:rsid wsp:val=&quot;00D511A1&quot;/&gt;&lt;wsp:rsid wsp:val=&quot;00D8244C&quot;/&gt;&lt;wsp:rsid wsp:val=&quot;00D872BF&quot;/&gt;&lt;wsp:rsid wsp:val=&quot;00DC2081&quot;/&gt;&lt;wsp:rsid wsp:val=&quot;00DE01F6&quot;/&gt;&lt;wsp:rsid wsp:val=&quot;00DE2998&quot;/&gt;&lt;wsp:rsid wsp:val=&quot;00DE4223&quot;/&gt;&lt;wsp:rsid wsp:val=&quot;00DE6B60&quot;/&gt;&lt;wsp:rsid wsp:val=&quot;00DF1483&quot;/&gt;&lt;wsp:rsid wsp:val=&quot;00E06D10&quot;/&gt;&lt;wsp:rsid wsp:val=&quot;00E20458&quot;/&gt;&lt;wsp:rsid wsp:val=&quot;00E56487&quot;/&gt;&lt;wsp:rsid wsp:val=&quot;00E853F3&quot;/&gt;&lt;wsp:rsid wsp:val=&quot;00E85CE2&quot;/&gt;&lt;wsp:rsid wsp:val=&quot;00EC2491&quot;/&gt;&lt;wsp:rsid wsp:val=&quot;00ED2C42&quot;/&gt;&lt;wsp:rsid wsp:val=&quot;00EF3B2B&quot;/&gt;&lt;wsp:rsid wsp:val=&quot;00F00EE9&quot;/&gt;&lt;wsp:rsid wsp:val=&quot;00F10D80&quot;/&gt;&lt;wsp:rsid wsp:val=&quot;00F379DD&quot;/&gt;&lt;wsp:rsid wsp:val=&quot;00F47244&quot;/&gt;&lt;wsp:rsid wsp:val=&quot;00F511A7&quot;/&gt;&lt;wsp:rsid wsp:val=&quot;00F660F9&quot;/&gt;&lt;wsp:rsid wsp:val=&quot;00F93F5E&quot;/&gt;&lt;wsp:rsid wsp:val=&quot;00FA0F57&quot;/&gt;&lt;wsp:rsid wsp:val=&quot;00FA5F45&quot;/&gt;&lt;wsp:rsid wsp:val=&quot;00FA7522&quot;/&gt;&lt;wsp:rsid wsp:val=&quot;00FC2C59&quot;/&gt;&lt;wsp:rsid wsp:val=&quot;00FD178C&quot;/&gt;&lt;/wsp:rsids&gt;&lt;/w:docPr&gt;&lt;w:body&gt;&lt;wx:sect&gt;&lt;w:p wsp:rsidR=&quot;00000000&quot; wsp:rsidRPr=&quot;00733378&quot; wsp:rsidRDefault=&quot;00733378&quot; wsp:rsidP=&quot;00733378&quot;&gt;&lt;m:oMathPara&gt;&lt;m:oMath&gt;&lt;m:r&gt;&lt;w:rPr&gt;&lt;w:rFonts w:ascii=&quot;Cambria Math&quot; w:h-ansi=&quot;Cambria Math&quot;/&gt;&lt;wx:font wx:val=&quot;Cambria Math&quot;/&gt;&lt;w:i/&gt;&lt;/w:rPr&gt;&lt;m:t&gt;K&lt;/m:t&gt;&lt;/m:r&gt;&lt;m:r&gt;&lt;m:rPr&gt;&lt;m:sty m:val=&quot;p&quot;/&gt;&lt;/m:rPr&gt;&lt;w:rPr&gt;&lt;w:rFonts w:ascii=&quot;Cambria Math&quot; w:h-ansi=&quot;Cambria Math&quot;/&gt;&lt;wx:font wx:val=&quot;Cambria Math&quot;/&gt;&lt;/w:rPr&gt;&lt;m:t&gt;= &lt;/m:t&gt;&lt;/m:r&gt;&lt;m:f&gt;&lt;m:fPr&gt;&lt;m:ctrlPr&gt;&lt;w:rPr&gt;&lt;w:rFonts w:ascii=&quot;Cambria Math&quot; w:h-ansi=&quot;Cambria Math&quot;/&gt;&lt;wx:font wx:val=&quot;Cambria Math&quot;/&gt;&lt;/w:rPr&gt;&lt;/m:ctrlPr&gt;&lt;/m:fPr&gt;&lt;m:num&gt;&lt;m:r&gt;&lt;w:rPr&gt;&lt;w:rFonts w:ascii=&quot;Cambria Math&quot; w:h-ansi=&quot;Cambria Math&quot;/&gt;&lt;wx:font wx:val=&quot;Cambria Math&quot;/&gt;&lt;w:i/&gt;&lt;/w:rPr&gt;&lt;m:t&gt;Total&lt;/m:t&gt;&lt;/m:r&gt;&lt;m:r&gt;&lt;m:rPr&gt;&lt;m:sty m:val=&quot;p&quot;/&gt;&lt;/m:rPr&gt;&lt;w:rPr&gt;&lt;w:rFonts w:ascii=&quot;Cambria Math&quot; w:h-ansi=&quot;Cambria Math&quot;/&gt;&lt;wx:font wx:val=&quot;Cambria Math&quot;/&gt;&lt;/w:rPr&gt;&lt;m:t&gt; &lt;/m:t&gt;&lt;/m:r&gt;&lt;m:r&gt;&lt;w:rPr&gt;&lt;w:rFonts w:ascii=&quot;Cambria Math&quot; w:h-ansi=&quot;Cambria Math&quot;/&gt;&lt;wx:font wx:val=&quot;Cambria Math&quot;/&gt;&lt;w:i/&gt;&lt;/w:rPr&gt;&lt;m:t&gt;Area&lt;/m:t&gt;&lt;/m:r&gt;&lt;m:r&gt;&lt;m:rPr&gt;&lt;m:sty m:val=&quot;p&quot;/&gt;&lt;/m:rPr&gt;&lt;w:rPr&gt;&lt;w:rFonts w:ascii=&quot;Cambria Math&quot; w:h-ansi=&quot;Cambria Math&quot;/&gt;&lt;wx:font wx:val=&quot;Cambria Math&quot;/&gt;&lt;/w:rPr&gt;&lt;m:t&gt; &lt;/m:t&gt;&lt;/m:r&gt;&lt;m:r&gt;&lt;w:rPr&gt;&lt;w:rFonts w:ascii=&quot;Cambria Math&quot; w:h-ansi=&quot;Cambria Math&quot;/&gt;&lt;wx:font wx:val=&quot;Cambria Math&quot;/&gt;&lt;w:i/&gt;&lt;/w:rPr&gt;&lt;m:t&gt;Burnt&lt;/m:t&gt;&lt;/m:r&gt;&lt;/m:num&gt;&lt;m:den&gt;&lt;m:sSub&gt;&lt;m:sSubPr&gt;&lt;m:ctrlPr&gt;&lt;w:rPr&gt;&lt;w:rFonts w:ascii=&quot;Cambria Math&quot; w:h-ansi=&quot;Cambria Math&quot;/&gt;&lt;wx:font wx:val=&quot;Cambria Math&quot;/&gt;&lt;/w:rPr&gt;&lt;/m:ctrlPr&gt;&lt;/m:sSubPr&gt;&lt;m:e&gt;&lt;m:r&gt;&lt;m:rPr&gt;&lt;m:sty m:val=&quot;p&quot;/&gt;&lt;/m:rPr&gt;&lt;w:rPr&gt;&lt;w:rFonts w:ascii=&quot;Cambria Math&quot; w:h-ansi=&quot;Cambria Math&quot;/&gt;&lt;wx:font wx:val=&quot;Cambria Math&quot;/&gt;&lt;/w:rPr&gt;&lt;m:t&gt;0.7Ã—&lt;/m:t&gt;&lt;/m:r&gt;&lt;m:r&gt;&lt;w:rPr&gt;&lt;w:rFonts w:ascii=&quot;Cambria Math&quot; w:h-ansi=&quot;Cambria Math&quot;/&gt;&lt;wx:font wx:val=&quot;Cambria Math&quot;/&gt;&lt;w:i/&gt;&lt;/w:rPr&gt;&lt;m:t&gt;Area&lt;/m:t&gt;&lt;/m:r&gt;&lt;m:r&gt;&lt;m:rPr&gt;&lt;m:sty m:val=&quot;p&quot;/&gt;&lt;/m:rPr&gt;&lt;w:rPr&gt;&lt;w:rFonts w:ascii=&quot;Cambria Math&quot; w:h-ansi=&quot;Cambria Math&quot;/&gt;&lt;wx:font wx:val=&quot;Cambria Math&quot;/&gt;&lt;/w:rPr&gt;&lt;m:t&gt; &lt;/m:t&gt;&lt;/m:r&gt;&lt;m:r&gt;&lt;w:rPr&gt;&lt;w:rFonts w:ascii=&quot;Cambria Math&quot; w:h-ansi=&quot;Cambria Math&quot;/&gt;&lt;wx:font wx:val=&quot;Cambria Math&quot;/&gt;&lt;w:i/&gt;&lt;/w:rPr&gt;&lt;m:t&gt;Burnt&lt;/m:t&gt;&lt;/m:r&gt;&lt;/m:e&gt;&lt;m:sub&gt;&lt;m:r&gt;&lt;w:rPr&gt;&lt;w:rFonts w:ascii=&quot;Cambria Math&quot; w:h-ansi=&quot;Cambria Math&quot;/&gt;&lt;wx:font wx:val=&quot;Cambria Math&quot;/&gt;&lt;w:i/&gt;&lt;/w:rPr&gt;&lt;m:t&gt;Wheat&lt;/m:t&gt;&lt;/m:r&gt;&lt;/m:sub&gt;&lt;/m:sSub&gt;&lt;m:r&gt;&lt;m:rPr&gt;&lt;m:sty m:val=&quot;p&quot;/&gt;&lt;/m:rPr&gt;&lt;w:rPr&gt;&lt;w:rFonts w:ascii=&quot;Cambria Math&quot; w:h-ansi=&quot;Cambria Math&quot;/&gt;&lt;wx:font wx:val=&quot;Cambria Math&quot;/&gt;&lt;/w:rPr&gt;&lt;m:t&gt;+&lt;/m:t&gt;&lt;/m:r&gt;&lt;m:sSub&gt;&lt;m:sSubPr&gt;&lt;m:ctrlPr&gt;&lt;w:rPr&gt;&lt;w:rFonts w:ascii=&quot;Cambria Math&quot; w:h-ansi=&quot;Cambria Math&quot;/&gt;&lt;wx:font wx:val=&quot;Cambria Math&quot;/&gt;&lt;/w:rPr&gt;&lt;/m:ctrlPr&gt;&lt;/m:sSubPr&gt;&lt;m:e&gt;&lt;m:r&gt;&lt;m:rPr&gt;&lt;m:sty m:val=&quot;p&quot;/&gt;&lt;/m:rPr&gt;&lt;w:rPr&gt;&lt;w:rFonts w:ascii=&quot;Cambria Math&quot; w:h-ansi=&quot;Cambria Math&quot;/&gt;&lt;wx:font wx:val=&quot;Cambria Math&quot;/&gt;&lt;/w:rPr&gt;&lt;m:t&gt;0.5Ã—&lt;/m:t&gt;&lt;/m:r&gt;&lt;m:r&gt;&lt;w:rPr&gt;&lt;w:rFonts w:ascii=&quot;Cambria Math&quot; w:h-ansi=&quot;Cambria Math&quot;/&gt;&lt;wx:font wx:val=&quot;Cambria Math&quot;/&gt;&lt;w:i/&gt;&lt;/w:rPr&gt;&lt;m:t&gt;Area&lt;/m:t&gt;&lt;/m:r&gt;&lt;m:r&gt;&lt;m:rPr&gt;&lt;m:sty m:val=&quot;p&quot;/&gt;&lt;/m:rPr&gt;&lt;w:rPr&gt;&lt;w:rFonts w:ascii=&quot;Cambria Math&quot; w:h-ansi=&quot;Cambria Math&quot;/&gt;&lt;wx:font wx:val=&quot;Cambria Math&quot;/&gt;&lt;/w:rPr&gt;&lt;m:t&gt; &lt;/m:t&gt;&lt;/m:r&gt;&lt;m:r&gt;&lt;w:rPr&gt;&lt;w:rFonts w:ascii=&quot;Cambria Math&quot; w:h-ansi=&quot;Cambria Math&quot;/&gt;&lt;wx:font wx:val=&quot;Cambria Math&quot;/&gt;&lt;w:i/&gt;&lt;/w:rPr&gt;&lt;m:t&gt;Burnt&lt;/m:t&gt;&lt;/m:r&gt;&lt;/m:e&gt;&lt;m:sub&gt;&lt;m:r&gt;&lt;w:rPr&gt;&lt;w:rFonts w:ascii=&quot;Cambria Math&quot; w:h-ansi=&quot;Cambria Math&quot;/&gt;&lt;wx:font wx:val=&quot;Cambria Math&quot;/&gt;&lt;w:i/&gt;&lt;/w:rPr&gt;&lt;m:t&gt;Barley&lt;/m:t&gt;&lt;/m:r&gt;&lt;/m:sub&gt;&lt;/m:sSub&gt;&lt;m:r&gt;&lt;m:rPr&gt;&lt;m:sty m:val=&quot;p&quot;/&gt;&lt;/m:rPr&gt;&lt;w:rPr&gt;&lt;w:rFonts w:ascii=&quot;Cambria Math&quot; w:h-ansi=&quot;Cambria Math&quot;/&gt;&lt;wx:font wx:val=&quot;Cambria Math&quot;/&gt;&lt;/w:rPr&gt;&lt;m:t&gt;+&lt;/m:t&gt;&lt;/m:r&gt;&lt;m:sSub&gt;&lt;m:sSubPr&gt;&lt;m:ctrlPr&gt;&lt;w:rPr&gt;&lt;w:rFonts w:ascii=&quot;Cambria Math&quot; w:h-ansi=&quot;Cambria Math&quot;/&gt;&lt;wx:font wx:val=&quot;Cambria Math&quot;/&gt;&lt;/w:rPr&gt;&lt;/m:ctrlPr&gt;&lt;/m:sSubPr&gt;&lt;m:e&gt;&lt;m:r&gt;&lt;m:rPr&gt;&lt;m:sty m:val=&quot;p&quot;/&gt;&lt;/m:rPr&gt;&lt;w:rPr&gt;&lt;w:rFonts w:ascii=&quot;Cambria Math&quot; w:h-ansi=&quot;Cambria Math&quot;/&gt;&lt;wx:font wx:val=&quot;Cambria Math&quot;/&gt;&lt;/w:rPr&gt;&lt;m:t&gt;0.5Ã—&lt;/m:t&gt;&lt;/m:r&gt;&lt;m:r&gt;&lt;w:rPr&gt;&lt;w:rFonts w:ascii=&quot;Cambria Math&quot; w:h-ansi=&quot;Cambria Math&quot;/&gt;&lt;wx:font wx:val=&quot;Cambria Math&quot;/&gt;&lt;w:i/&gt;&lt;/w:rPr&gt;&lt;m:t&gt;Area&lt;/m:t&gt;&lt;/m:r&gt;&lt;m:r&gt;&lt;m:rPr&gt;&lt;m:sty m:val=&quot;p&quot;/&gt;&lt;/m:rPr&gt;&lt;w:rPr&gt;&lt;w:rFonts w:ascii=&quot;Cambria Math&quot; w:h-ansi=&quot;Cambria Math&quot;/&gt;&lt;wx:font wx:val=&quot;Cambria Math&quot;/&gt;&lt;/w:rPr&gt;&lt;m:t&gt; &lt;/m:t&gt;&lt;/m:r&gt;&lt;m:r&gt;&lt;w:rPr&gt;&lt;w:rFonts w:ascii=&quot;Cambria Math&quot; w:h-ansi=&quot;Cambria Math&quot;/&gt;&lt;wx:font wx:val=&quot;Cambria Math&quot;/&gt;&lt;w:i/&gt;&lt;/w:rPr&gt;&lt;m:t&gt;Burnt&lt;/m:t&gt;&lt;/m:r&gt;&lt;/m:e&gt;&lt;m:sub&gt;&lt;m:r&gt;&lt;w:rPr&gt;&lt;w:rFonts w:ascii=&quot;Cambria Math&quot; w:h-ansi=&quot;Cambria Math&quot;/&gt;&lt;wx:font wx:val=&quot;Cambria Math&quot;/&gt;&lt;w:i/&gt;&lt;/w:rPr&gt;&lt;m:t&gt;Oats&lt;/m:t&gt;&lt;/m:r&gt;&lt;/m:sub&gt;&lt;/m:sSub&gt;&lt;/m:den&gt;&lt;/m:f&gt;&lt;/m:oMath&gt;&lt;/m:oMathPara&gt;&lt;/w:p&gt;&lt;w:sectPr wsp:rsidR=&quot;00000000&quot; wsp:rsidRPr=&quot;00733378&quot;&gt;&lt;w:pgSz w:w=&quot;12240&quot; w:h=&quot;15840&quot;/&gt;&lt;w:pgMar w:top=&quot;1440&quot; w:right=&quot;1440&quot; w:bottom=&quot;1440&quot; w:left=&quot;1440&quot; w:header=&quot;720&quot; w:footer=&quot;720&quot; w:gutter=&quot;0&quot;/&gt;&lt;w:cols w:space=&quot;720&quot;/&gt;&lt;/w:sectPr&gt;&lt;/wx:sect&gt;&lt;/w:body&gt;&lt;/w:wordDocument&gt;">
            <v:imagedata r:id="rId185" o:title="" chromakey="white"/>
          </v:shape>
        </w:pict>
      </w:r>
    </w:p>
    <w:p w14:paraId="740CC284" w14:textId="77777777" w:rsidR="004543E0" w:rsidRPr="009660EC" w:rsidRDefault="004543E0" w:rsidP="004543E0">
      <w:pPr>
        <w:pStyle w:val="BodyText"/>
        <w:rPr>
          <w:rFonts w:cs="Calibri"/>
        </w:rPr>
      </w:pPr>
      <w:r w:rsidRPr="009660EC">
        <w:rPr>
          <w:rFonts w:cs="Calibri"/>
        </w:rPr>
        <w:t>Expert opinion suggests that, if crop residue is to be burned, there is generally no prior removal for feed and bedding. Therefore, 100 per cent of residue is left for burning after the harvested proportion has been removed (i.e., Frac</w:t>
      </w:r>
      <w:r w:rsidRPr="009660EC">
        <w:rPr>
          <w:rFonts w:cs="Calibri"/>
          <w:vertAlign w:val="subscript"/>
        </w:rPr>
        <w:t>REMOVE</w:t>
      </w:r>
      <w:r w:rsidRPr="009660EC">
        <w:rPr>
          <w:rFonts w:cs="Calibri"/>
        </w:rPr>
        <w:t xml:space="preserve"> is assumed to be zero; Thomas et al., 2011). This is consistent with section 5.5.2. </w:t>
      </w:r>
    </w:p>
    <w:p w14:paraId="288F3AE4" w14:textId="77777777" w:rsidR="004543E0" w:rsidRPr="009660EC" w:rsidRDefault="004543E0" w:rsidP="004543E0">
      <w:pPr>
        <w:pStyle w:val="Heading3"/>
      </w:pPr>
      <w:bookmarkStart w:id="1216" w:name="_Toc32570678"/>
      <w:r w:rsidRPr="009660EC">
        <w:t>5.7.3</w:t>
      </w:r>
      <w:r w:rsidRPr="009660EC">
        <w:tab/>
        <w:t>Uncertainties and time-series consistency</w:t>
      </w:r>
      <w:bookmarkEnd w:id="1216"/>
    </w:p>
    <w:p w14:paraId="19D2F6E6" w14:textId="77777777" w:rsidR="004543E0" w:rsidRPr="009660EC" w:rsidRDefault="004543E0" w:rsidP="004543E0">
      <w:pPr>
        <w:pStyle w:val="BodyText"/>
      </w:pPr>
      <w:r w:rsidRPr="009660EC">
        <w:t xml:space="preserve">The largest contributor to uncertainty in the estimated emissions is considered to be the fraction of agricultural residue burned in the field. Expert opinion for the fraction of crops burned in fields between 1990 and 2004 was taken from farmer surveys in the Canterbury area, where 80 per cent of cereal production occurs. Between 2005 and 2009, an average of 86 per cent of total residue burning occurred in Canterbury. Estimates of crop burning for 2020 were 40.6 per cent (calculated as a percentage of total crop area) and have ranged from a high in 2006 of 61.5 per cent to a low in 2015 of 29.3 per cent, reflecting variations in annual weather patterns. </w:t>
      </w:r>
    </w:p>
    <w:p w14:paraId="4D56A6A0" w14:textId="77777777" w:rsidR="004543E0" w:rsidRPr="009660EC" w:rsidRDefault="004543E0" w:rsidP="004543E0">
      <w:pPr>
        <w:pStyle w:val="BodyText"/>
      </w:pPr>
      <w:r w:rsidRPr="009660EC">
        <w:t>The country-specific values for these parameters are those from the OVERSEER® nutrient budget model for New Zealand (Wheeler et al., 2003) and are the same as those used for estimates of emissions from crop residues. This provides consistency between the two emissions estimates for crop residue and crop burning.</w:t>
      </w:r>
    </w:p>
    <w:p w14:paraId="1043367F" w14:textId="77777777" w:rsidR="004543E0" w:rsidRPr="009660EC" w:rsidRDefault="004543E0" w:rsidP="004543E0">
      <w:pPr>
        <w:pStyle w:val="BodyText"/>
      </w:pPr>
      <w:r w:rsidRPr="009660EC">
        <w:t>IPCC good practice guidance suggests that an estimate of 10 per cent of residue burned may be appropriate for developed countries but also notes that the IPCC default values: “are very speculative and should be used with caution. The actual percentage burned varies substantially by country and crop type. This is an area where locally developed, country-specific data are highly desirable” (IPCC, 2000). The proportion of residue burned has been estimated as 70 per cent for the years 1990 to 2004 because this takes into account required fire break areas and differences in the methods used. It is also assumed that the farmers will generally be aiming to have as close to complete combustion as possible.</w:t>
      </w:r>
    </w:p>
    <w:p w14:paraId="7D8E6EF7" w14:textId="77777777" w:rsidR="004543E0" w:rsidRPr="009660EC" w:rsidRDefault="004543E0" w:rsidP="004543E0">
      <w:pPr>
        <w:pStyle w:val="BodyText"/>
      </w:pPr>
      <w:r w:rsidRPr="009660EC">
        <w:t>Although country-specific parameters have been developed, a conservative approach to uncertainty is taken, using the IPCC (2000) value of ±20 per cent. Given that emissions from field burning are low, compared with emissions from the rest of Agriculture inventory, the uncertainties from field burning have little impact on total emission uncertainties.</w:t>
      </w:r>
    </w:p>
    <w:p w14:paraId="5C43E8D9" w14:textId="77777777" w:rsidR="004543E0" w:rsidRPr="009660EC" w:rsidRDefault="004543E0" w:rsidP="004543E0">
      <w:pPr>
        <w:pStyle w:val="Heading3"/>
      </w:pPr>
      <w:bookmarkStart w:id="1217" w:name="_Toc32570679"/>
      <w:r w:rsidRPr="009660EC">
        <w:t>5.7.4</w:t>
      </w:r>
      <w:r w:rsidRPr="009660EC">
        <w:tab/>
        <w:t>Source-specific QA/QC and verification</w:t>
      </w:r>
      <w:bookmarkEnd w:id="1217"/>
    </w:p>
    <w:p w14:paraId="3448B50F" w14:textId="77777777" w:rsidR="004543E0" w:rsidRPr="009660EC" w:rsidRDefault="004543E0" w:rsidP="004543E0">
      <w:pPr>
        <w:pStyle w:val="BodyText"/>
        <w:rPr>
          <w:rFonts w:cs="Calibri"/>
        </w:rPr>
      </w:pPr>
      <w:r w:rsidRPr="009660EC">
        <w:rPr>
          <w:rFonts w:cs="Calibri"/>
        </w:rPr>
        <w:t xml:space="preserve">Plant and Food Research reviewed the implementation of the methodology to estimate emissions of </w:t>
      </w:r>
      <w:r w:rsidRPr="009660EC">
        <w:rPr>
          <w:rFonts w:cs="Calibri"/>
          <w:spacing w:val="-2"/>
        </w:rPr>
        <w:t>N</w:t>
      </w:r>
      <w:r w:rsidRPr="009660EC">
        <w:rPr>
          <w:rFonts w:cs="Calibri"/>
          <w:spacing w:val="-2"/>
          <w:vertAlign w:val="subscript"/>
        </w:rPr>
        <w:t>2</w:t>
      </w:r>
      <w:r w:rsidRPr="009660EC">
        <w:rPr>
          <w:rFonts w:cs="Calibri"/>
          <w:spacing w:val="-2"/>
        </w:rPr>
        <w:t>O</w:t>
      </w:r>
      <w:r w:rsidRPr="009660EC">
        <w:rPr>
          <w:rFonts w:cs="Calibri"/>
        </w:rPr>
        <w:t xml:space="preserve"> from crop residues, nitrogen-fixing crops and field burning of agricultural residues. This analysis is detailed in Thomas et al. (2008, 2011). </w:t>
      </w:r>
    </w:p>
    <w:p w14:paraId="6456CD53" w14:textId="77777777" w:rsidR="004543E0" w:rsidRPr="009660EC" w:rsidRDefault="004543E0" w:rsidP="004543E0">
      <w:pPr>
        <w:pStyle w:val="Heading3"/>
      </w:pPr>
      <w:bookmarkStart w:id="1218" w:name="_Toc32570680"/>
      <w:r w:rsidRPr="009660EC">
        <w:t>5.7.5</w:t>
      </w:r>
      <w:r w:rsidRPr="009660EC">
        <w:tab/>
        <w:t>Source-specific recalculations</w:t>
      </w:r>
      <w:bookmarkEnd w:id="1218"/>
    </w:p>
    <w:p w14:paraId="710FD0ED" w14:textId="77777777" w:rsidR="004543E0" w:rsidRPr="009660EC" w:rsidRDefault="004543E0" w:rsidP="004543E0">
      <w:pPr>
        <w:pStyle w:val="BodyText"/>
        <w:rPr>
          <w:rFonts w:cs="Calibri"/>
        </w:rPr>
      </w:pPr>
      <w:r w:rsidRPr="009660EC">
        <w:rPr>
          <w:rFonts w:cs="Calibri"/>
        </w:rPr>
        <w:t>All activity data were updated with the latest available Stats NZ data.</w:t>
      </w:r>
    </w:p>
    <w:p w14:paraId="06CF03E5" w14:textId="77777777" w:rsidR="004543E0" w:rsidRPr="009660EC" w:rsidRDefault="004543E0" w:rsidP="004543E0">
      <w:pPr>
        <w:pStyle w:val="Heading3"/>
      </w:pPr>
      <w:bookmarkStart w:id="1219" w:name="_Toc32570681"/>
      <w:r w:rsidRPr="009660EC">
        <w:lastRenderedPageBreak/>
        <w:t>5.7.6</w:t>
      </w:r>
      <w:r w:rsidRPr="009660EC">
        <w:tab/>
        <w:t>Source-specific planned improvements</w:t>
      </w:r>
      <w:bookmarkEnd w:id="1219"/>
      <w:r w:rsidRPr="009660EC">
        <w:t xml:space="preserve"> </w:t>
      </w:r>
    </w:p>
    <w:p w14:paraId="4ED51BF7" w14:textId="77777777" w:rsidR="004543E0" w:rsidRPr="009660EC" w:rsidRDefault="004543E0" w:rsidP="004543E0">
      <w:pPr>
        <w:pStyle w:val="BodyText"/>
        <w:rPr>
          <w:rFonts w:cs="Calibri"/>
        </w:rPr>
      </w:pPr>
      <w:r w:rsidRPr="009660EC">
        <w:rPr>
          <w:rFonts w:cs="Calibri"/>
        </w:rPr>
        <w:t xml:space="preserve">No improvements are currently planned. </w:t>
      </w:r>
    </w:p>
    <w:p w14:paraId="609EC046" w14:textId="77777777" w:rsidR="004543E0" w:rsidRPr="009660EC" w:rsidRDefault="004543E0" w:rsidP="004543E0">
      <w:pPr>
        <w:pStyle w:val="Heading2"/>
      </w:pPr>
      <w:bookmarkStart w:id="1220" w:name="_Toc448321529"/>
      <w:bookmarkStart w:id="1221" w:name="_Toc481751391"/>
      <w:bookmarkStart w:id="1222" w:name="_Toc511116606"/>
      <w:bookmarkStart w:id="1223" w:name="_Toc5269368"/>
      <w:bookmarkStart w:id="1224" w:name="_Toc32570682"/>
      <w:bookmarkStart w:id="1225" w:name="_Toc36224408"/>
      <w:bookmarkStart w:id="1226" w:name="_Toc68786328"/>
      <w:bookmarkStart w:id="1227" w:name="_Toc99659135"/>
      <w:r w:rsidRPr="009660EC">
        <w:t>5.8</w:t>
      </w:r>
      <w:r w:rsidRPr="009660EC">
        <w:tab/>
        <w:t>Liming (CRF 3.G)</w:t>
      </w:r>
      <w:bookmarkEnd w:id="1220"/>
      <w:bookmarkEnd w:id="1221"/>
      <w:bookmarkEnd w:id="1222"/>
      <w:bookmarkEnd w:id="1223"/>
      <w:bookmarkEnd w:id="1224"/>
      <w:bookmarkEnd w:id="1225"/>
      <w:bookmarkEnd w:id="1226"/>
      <w:bookmarkEnd w:id="1227"/>
      <w:r w:rsidRPr="009660EC">
        <w:t xml:space="preserve"> </w:t>
      </w:r>
    </w:p>
    <w:p w14:paraId="45432CB3" w14:textId="77777777" w:rsidR="004543E0" w:rsidRPr="009660EC" w:rsidRDefault="004543E0" w:rsidP="004543E0">
      <w:pPr>
        <w:pStyle w:val="Heading3"/>
        <w:spacing w:before="240"/>
      </w:pPr>
      <w:bookmarkStart w:id="1228" w:name="_Toc32570683"/>
      <w:r w:rsidRPr="009660EC">
        <w:t>5.8.1</w:t>
      </w:r>
      <w:r w:rsidRPr="009660EC">
        <w:tab/>
        <w:t>Description</w:t>
      </w:r>
      <w:bookmarkEnd w:id="1228"/>
    </w:p>
    <w:p w14:paraId="3D169EC0" w14:textId="77777777" w:rsidR="004543E0" w:rsidRPr="009660EC" w:rsidRDefault="004543E0" w:rsidP="004543E0">
      <w:pPr>
        <w:pStyle w:val="BodyText"/>
        <w:rPr>
          <w:rFonts w:cs="Calibri"/>
        </w:rPr>
      </w:pPr>
      <w:r w:rsidRPr="009660EC">
        <w:rPr>
          <w:rFonts w:cs="Calibri"/>
        </w:rPr>
        <w:t>Emissions from the application of lime contributed an estimated 409.5</w:t>
      </w:r>
      <w:r w:rsidRPr="009660EC" w:rsidDel="00636508">
        <w:rPr>
          <w:rFonts w:cs="Calibri"/>
        </w:rPr>
        <w:t xml:space="preserve"> </w:t>
      </w:r>
      <w:r w:rsidRPr="009660EC">
        <w:rPr>
          <w:rFonts w:cs="Calibri"/>
        </w:rPr>
        <w:t>kt CO</w:t>
      </w:r>
      <w:r w:rsidRPr="009660EC">
        <w:rPr>
          <w:rFonts w:cs="Calibri"/>
          <w:vertAlign w:val="subscript"/>
        </w:rPr>
        <w:t>2</w:t>
      </w:r>
      <w:r w:rsidRPr="009660EC">
        <w:rPr>
          <w:rFonts w:cs="Calibri"/>
        </w:rPr>
        <w:t xml:space="preserve">, representing 0.5 per cent of New Zealand’s gross emissions and 1.0 per cent of </w:t>
      </w:r>
      <w:r w:rsidRPr="009660EC">
        <w:rPr>
          <w:rFonts w:cs="Calibri"/>
          <w:iCs/>
        </w:rPr>
        <w:t>Agriculture</w:t>
      </w:r>
      <w:r w:rsidRPr="009660EC">
        <w:rPr>
          <w:rFonts w:cs="Calibri"/>
          <w:i/>
        </w:rPr>
        <w:t xml:space="preserve"> </w:t>
      </w:r>
      <w:r w:rsidRPr="009660EC">
        <w:rPr>
          <w:rFonts w:cs="Calibri"/>
        </w:rPr>
        <w:t xml:space="preserve">emissions in 2020. </w:t>
      </w:r>
    </w:p>
    <w:p w14:paraId="27D50FC8" w14:textId="77777777" w:rsidR="004543E0" w:rsidRPr="009660EC" w:rsidRDefault="004543E0" w:rsidP="004543E0">
      <w:pPr>
        <w:pStyle w:val="BodyText"/>
        <w:rPr>
          <w:rFonts w:cs="Calibri"/>
        </w:rPr>
      </w:pPr>
      <w:r w:rsidRPr="009660EC">
        <w:rPr>
          <w:rFonts w:cs="Calibri"/>
        </w:rPr>
        <w:t>In New Zealand, lime and dolomite fertilisers are mainly applied to acidic grassland and cropland soils to reduce soil acidity and to maintain or increase production of pasture and crops. Before the 2015 submission, emissions from lime and dolomite fertilisers were reported under chapter 6, LULUCF.</w:t>
      </w:r>
    </w:p>
    <w:p w14:paraId="33CB31F1" w14:textId="77777777" w:rsidR="004543E0" w:rsidRPr="009660EC" w:rsidRDefault="004543E0" w:rsidP="004543E0">
      <w:pPr>
        <w:pStyle w:val="BodyText"/>
        <w:rPr>
          <w:rFonts w:cs="Calibri"/>
        </w:rPr>
      </w:pPr>
      <w:r w:rsidRPr="009660EC">
        <w:rPr>
          <w:rFonts w:cs="Calibri"/>
          <w:i/>
        </w:rPr>
        <w:t>Liming</w:t>
      </w:r>
      <w:r w:rsidRPr="009660EC">
        <w:rPr>
          <w:rFonts w:cs="Calibri"/>
        </w:rPr>
        <w:t xml:space="preserve"> was identified as a key category for the Agriculture sector in 2020 (level assessment).</w:t>
      </w:r>
    </w:p>
    <w:p w14:paraId="1547AC91" w14:textId="77777777" w:rsidR="004543E0" w:rsidRPr="009660EC" w:rsidRDefault="004543E0" w:rsidP="004543E0">
      <w:pPr>
        <w:pStyle w:val="BodyText"/>
        <w:rPr>
          <w:rFonts w:cs="Calibri"/>
        </w:rPr>
      </w:pPr>
      <w:r w:rsidRPr="009660EC">
        <w:rPr>
          <w:rFonts w:cs="Calibri"/>
        </w:rPr>
        <w:t xml:space="preserve">Emissions from </w:t>
      </w:r>
      <w:r w:rsidRPr="009660EC">
        <w:rPr>
          <w:rFonts w:cs="Calibri"/>
          <w:i/>
        </w:rPr>
        <w:t xml:space="preserve">Liming </w:t>
      </w:r>
      <w:r w:rsidRPr="009660EC">
        <w:rPr>
          <w:rFonts w:cs="Calibri"/>
        </w:rPr>
        <w:t>increased 38.1 per cent (113.0 kt CO</w:t>
      </w:r>
      <w:r w:rsidRPr="009660EC">
        <w:rPr>
          <w:rFonts w:cs="Calibri"/>
          <w:vertAlign w:val="subscript"/>
        </w:rPr>
        <w:t>2</w:t>
      </w:r>
      <w:r w:rsidRPr="009660EC">
        <w:rPr>
          <w:rFonts w:cs="Calibri"/>
        </w:rPr>
        <w:t>) between 1990 and 2020.</w:t>
      </w:r>
    </w:p>
    <w:p w14:paraId="79B3EB1F" w14:textId="77777777" w:rsidR="004543E0" w:rsidRPr="009660EC" w:rsidRDefault="004543E0" w:rsidP="004543E0">
      <w:pPr>
        <w:pStyle w:val="Heading3"/>
      </w:pPr>
      <w:bookmarkStart w:id="1229" w:name="_Toc32570684"/>
      <w:r w:rsidRPr="009660EC">
        <w:t>5.8.2</w:t>
      </w:r>
      <w:r w:rsidRPr="009660EC">
        <w:tab/>
        <w:t>Methodological issues</w:t>
      </w:r>
      <w:bookmarkEnd w:id="1229"/>
    </w:p>
    <w:p w14:paraId="06500A2A" w14:textId="77777777" w:rsidR="004543E0" w:rsidRPr="009660EC" w:rsidRDefault="004543E0" w:rsidP="004543E0">
      <w:pPr>
        <w:pStyle w:val="BodyText"/>
        <w:rPr>
          <w:rFonts w:cs="Calibri"/>
        </w:rPr>
      </w:pPr>
      <w:r w:rsidRPr="009660EC">
        <w:rPr>
          <w:rFonts w:cs="Calibri"/>
        </w:rPr>
        <w:t>Data on agricultural lime (limestone and dolomite) application are collected by Stats NZ, as a part of its five-yearly Agricultural Production census and annual surveys in the intervening years. Analysis of the data indicates that, each year, around 90 per cent of agricultural lime used in New Zealand is applied to grassland, with the remaining 10 per cent applied to cropland.</w:t>
      </w:r>
    </w:p>
    <w:p w14:paraId="47A29126" w14:textId="77777777" w:rsidR="004543E0" w:rsidRPr="009660EC" w:rsidRDefault="004543E0" w:rsidP="004543E0">
      <w:pPr>
        <w:pStyle w:val="BodyText"/>
      </w:pPr>
      <w:r w:rsidRPr="009660EC">
        <w:t>New Zealand has not yet developed a country-specific methodology for calculating CO</w:t>
      </w:r>
      <w:r w:rsidRPr="009660EC">
        <w:rPr>
          <w:vertAlign w:val="subscript"/>
        </w:rPr>
        <w:t>2</w:t>
      </w:r>
      <w:r w:rsidRPr="009660EC">
        <w:t xml:space="preserve"> emissions from the application of limestone and dolomite. As such, emissions from </w:t>
      </w:r>
      <w:r w:rsidRPr="009660EC">
        <w:rPr>
          <w:i/>
          <w:iCs/>
        </w:rPr>
        <w:t>Liming</w:t>
      </w:r>
      <w:r w:rsidRPr="009660EC">
        <w:t xml:space="preserve"> are currently estimated by following the Tier 1 methodology (equation 11.12; IPCC, 2006), using default emission factors for carbon conversion of 0.12 and 0.13 for limestone and dolomite respectively. </w:t>
      </w:r>
    </w:p>
    <w:p w14:paraId="42A738DE" w14:textId="77777777" w:rsidR="004543E0" w:rsidRPr="009660EC" w:rsidRDefault="004543E0" w:rsidP="004543E0">
      <w:pPr>
        <w:pStyle w:val="Heading3"/>
      </w:pPr>
      <w:bookmarkStart w:id="1230" w:name="_Toc32570685"/>
      <w:r w:rsidRPr="009660EC">
        <w:t>5.8.3</w:t>
      </w:r>
      <w:r w:rsidRPr="009660EC">
        <w:tab/>
        <w:t>Activity data</w:t>
      </w:r>
      <w:bookmarkEnd w:id="1230"/>
    </w:p>
    <w:p w14:paraId="243D833A" w14:textId="77777777" w:rsidR="004543E0" w:rsidRPr="009660EC" w:rsidRDefault="004543E0" w:rsidP="004543E0">
      <w:pPr>
        <w:pStyle w:val="BodyText"/>
      </w:pPr>
      <w:r w:rsidRPr="009660EC">
        <w:t>Limestone is more commonly applied than dolomite in New Zealand. Limestone occurs and is extracted widely in New Zealand whereas dolomite is only available from a smaller, localised source. Activity data sourced from the Stats NZ Agricultural Production census show that limestone application has declined since 2002, while dolomite use peaked in 2010 and has fallen since then. The quantity of lime applied as limestone and dolomite varies each year and is influenced by a number of factors, including farm profitability (see figures 5.8.1 and 5.8.2). A correction factor is applied to the gross weight (tonnes) of lime by multiplying it by 0.82. This correction factor specified using research from Thomson et al. (2021) and accounts for impurities in the agricultural lime applied, as well the moisture content, so that emissions are based on the dry weight of CaCO</w:t>
      </w:r>
      <w:r w:rsidRPr="009660EC">
        <w:rPr>
          <w:vertAlign w:val="subscript"/>
        </w:rPr>
        <w:t>3</w:t>
      </w:r>
      <w:r w:rsidRPr="009660EC">
        <w:t xml:space="preserve"> actually applied (see section 5.8.6).</w:t>
      </w:r>
    </w:p>
    <w:p w14:paraId="66E01518" w14:textId="77777777" w:rsidR="004543E0" w:rsidRPr="009660EC" w:rsidRDefault="004543E0" w:rsidP="004543E0">
      <w:pPr>
        <w:pStyle w:val="Figure"/>
        <w:spacing w:after="80"/>
      </w:pPr>
      <w:bookmarkStart w:id="1231" w:name="_Toc447275698"/>
      <w:bookmarkStart w:id="1232" w:name="_Toc481752017"/>
      <w:bookmarkStart w:id="1233" w:name="_Toc507158476"/>
      <w:bookmarkStart w:id="1234" w:name="_Toc511116967"/>
      <w:bookmarkStart w:id="1235" w:name="_Toc5269697"/>
      <w:bookmarkStart w:id="1236" w:name="_Toc32570968"/>
      <w:bookmarkStart w:id="1237" w:name="_Toc36292798"/>
      <w:bookmarkStart w:id="1238" w:name="_Toc68786663"/>
      <w:bookmarkStart w:id="1239" w:name="_Toc95574124"/>
      <w:bookmarkStart w:id="1240" w:name="_Toc99696043"/>
      <w:r w:rsidRPr="009660EC">
        <w:lastRenderedPageBreak/>
        <w:t>Figure 5.8.1</w:t>
      </w:r>
      <w:r w:rsidRPr="009660EC">
        <w:tab/>
        <w:t>Limestone usage on agricultural land in New Zealand from 1990 to </w:t>
      </w:r>
      <w:bookmarkEnd w:id="1231"/>
      <w:bookmarkEnd w:id="1232"/>
      <w:bookmarkEnd w:id="1233"/>
      <w:bookmarkEnd w:id="1234"/>
      <w:bookmarkEnd w:id="1235"/>
      <w:bookmarkEnd w:id="1236"/>
      <w:bookmarkEnd w:id="1237"/>
      <w:bookmarkEnd w:id="1238"/>
      <w:r w:rsidRPr="009660EC">
        <w:t>2020</w:t>
      </w:r>
      <w:bookmarkEnd w:id="1239"/>
      <w:bookmarkEnd w:id="1240"/>
    </w:p>
    <w:p w14:paraId="3D962F6E" w14:textId="7F76B814" w:rsidR="004543E0" w:rsidRPr="009660EC" w:rsidRDefault="004B48CC" w:rsidP="004543E0">
      <w:pPr>
        <w:pStyle w:val="BodyText"/>
        <w:spacing w:before="0" w:after="0"/>
        <w:rPr>
          <w:rFonts w:cs="Calibri"/>
        </w:rPr>
      </w:pPr>
      <w:r>
        <w:rPr>
          <w:noProof/>
        </w:rPr>
        <w:pict w14:anchorId="2389FB34">
          <v:shape id="Chart 23" o:spid="_x0000_i1118" type="#_x0000_t75" style="width:424.45pt;height:238.6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">
            <v:imagedata r:id="rId186" o:title=""/>
            <o:lock v:ext="edit" aspectratio="f"/>
          </v:shape>
        </w:pict>
      </w:r>
    </w:p>
    <w:p w14:paraId="45A67683" w14:textId="77777777" w:rsidR="004543E0" w:rsidRPr="009660EC" w:rsidRDefault="004543E0" w:rsidP="004543E0">
      <w:pPr>
        <w:pStyle w:val="Figure"/>
        <w:spacing w:before="240" w:after="80"/>
      </w:pPr>
      <w:bookmarkStart w:id="1241" w:name="_Toc507158477"/>
      <w:bookmarkStart w:id="1242" w:name="_Toc511116968"/>
      <w:bookmarkStart w:id="1243" w:name="_Toc5269698"/>
      <w:bookmarkStart w:id="1244" w:name="_Toc32570969"/>
      <w:bookmarkStart w:id="1245" w:name="_Toc36292799"/>
      <w:bookmarkStart w:id="1246" w:name="_Toc68786664"/>
      <w:bookmarkStart w:id="1247" w:name="_Toc95574125"/>
      <w:bookmarkStart w:id="1248" w:name="_Toc99696044"/>
      <w:r w:rsidRPr="009660EC">
        <w:t>Figure 5.8.2</w:t>
      </w:r>
      <w:r w:rsidRPr="009660EC">
        <w:tab/>
        <w:t>Dolomite usage on agricultural land in New Zealand from 1990 to </w:t>
      </w:r>
      <w:bookmarkEnd w:id="1241"/>
      <w:bookmarkEnd w:id="1242"/>
      <w:bookmarkEnd w:id="1243"/>
      <w:bookmarkEnd w:id="1244"/>
      <w:bookmarkEnd w:id="1245"/>
      <w:bookmarkEnd w:id="1246"/>
      <w:r w:rsidRPr="009660EC">
        <w:t>2020</w:t>
      </w:r>
      <w:bookmarkEnd w:id="1247"/>
      <w:bookmarkEnd w:id="1248"/>
    </w:p>
    <w:p w14:paraId="1E1D5A7B" w14:textId="3DCFFDD1" w:rsidR="004543E0" w:rsidRPr="009660EC" w:rsidRDefault="004B48CC" w:rsidP="004543E0">
      <w:pPr>
        <w:pStyle w:val="BodyText"/>
        <w:spacing w:before="0" w:after="0"/>
        <w:rPr>
          <w:rFonts w:cs="Calibri"/>
        </w:rPr>
      </w:pPr>
      <w:r>
        <w:rPr>
          <w:noProof/>
        </w:rPr>
        <w:pict w14:anchorId="18CE4F96">
          <v:shape id="Chart 1" o:spid="_x0000_i1119" type="#_x0000_t75" style="width:425.3pt;height:247.8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">
            <v:imagedata r:id="rId187" o:title="" cropright="-31f"/>
            <o:lock v:ext="edit" aspectratio="f"/>
          </v:shape>
        </w:pict>
      </w:r>
    </w:p>
    <w:p w14:paraId="6724E0D2" w14:textId="77777777" w:rsidR="004543E0" w:rsidRPr="009660EC" w:rsidRDefault="004543E0" w:rsidP="004543E0">
      <w:pPr>
        <w:pStyle w:val="Heading3"/>
      </w:pPr>
      <w:bookmarkStart w:id="1249" w:name="_Toc32570686"/>
      <w:r w:rsidRPr="009660EC">
        <w:t>5.8.4</w:t>
      </w:r>
      <w:r w:rsidRPr="009660EC">
        <w:tab/>
        <w:t>Uncertainties and time-series consistency</w:t>
      </w:r>
      <w:bookmarkEnd w:id="1249"/>
    </w:p>
    <w:p w14:paraId="0CD1C4B7" w14:textId="77777777" w:rsidR="004543E0" w:rsidRPr="009660EC" w:rsidRDefault="004543E0" w:rsidP="004543E0">
      <w:pPr>
        <w:pStyle w:val="BodyText"/>
        <w:rPr>
          <w:rFonts w:cs="Calibri"/>
        </w:rPr>
      </w:pPr>
      <w:r w:rsidRPr="009660EC">
        <w:rPr>
          <w:rFonts w:cs="Calibri"/>
        </w:rPr>
        <w:t>Using the IPCC (2006) Tier 1 methodology, default emission factors are used, which are based on the chemical formulae of lime and assume all carbon in lime is emitted as CO</w:t>
      </w:r>
      <w:r w:rsidRPr="009660EC">
        <w:rPr>
          <w:rFonts w:cs="Calibri"/>
          <w:vertAlign w:val="subscript"/>
        </w:rPr>
        <w:t>2</w:t>
      </w:r>
      <w:r w:rsidRPr="009660EC">
        <w:rPr>
          <w:rFonts w:cs="Calibri"/>
        </w:rPr>
        <w:t xml:space="preserve"> into the atmosphere. However, the 2006 IPCC Guidelines state that the maximum available carbon is not necessarily lost and that the emissions could be up to 50 per cent lower than estimated.</w:t>
      </w:r>
    </w:p>
    <w:p w14:paraId="66744D96" w14:textId="77777777" w:rsidR="004543E0" w:rsidRPr="009660EC" w:rsidRDefault="004543E0" w:rsidP="004543E0">
      <w:pPr>
        <w:pStyle w:val="BodyText"/>
        <w:rPr>
          <w:rFonts w:cs="Calibri"/>
        </w:rPr>
      </w:pPr>
      <w:r w:rsidRPr="009660EC">
        <w:rPr>
          <w:rFonts w:cs="Calibri"/>
        </w:rPr>
        <w:t>The Agricultural Production census and survey data used in the inventory have gaps in the time series: no data are available for 1991 or between 1997 and 2001. In the absence of other supporting data, linear interpolation has been used to estimate the data for these years.</w:t>
      </w:r>
    </w:p>
    <w:p w14:paraId="16D15AAC" w14:textId="77777777" w:rsidR="004543E0" w:rsidRPr="009660EC" w:rsidRDefault="004543E0" w:rsidP="004543E0">
      <w:pPr>
        <w:pStyle w:val="Heading3"/>
      </w:pPr>
      <w:bookmarkStart w:id="1250" w:name="_Toc32570687"/>
      <w:r w:rsidRPr="009660EC">
        <w:lastRenderedPageBreak/>
        <w:t>5.8.5</w:t>
      </w:r>
      <w:r w:rsidRPr="009660EC">
        <w:tab/>
        <w:t>Source-specific QA/QC and verification</w:t>
      </w:r>
      <w:bookmarkEnd w:id="1250"/>
    </w:p>
    <w:p w14:paraId="78903087" w14:textId="77777777" w:rsidR="004543E0" w:rsidRPr="009660EC" w:rsidRDefault="004543E0" w:rsidP="004543E0">
      <w:pPr>
        <w:pStyle w:val="BodyText"/>
        <w:spacing w:before="100" w:after="100"/>
        <w:rPr>
          <w:rFonts w:cs="Calibri"/>
        </w:rPr>
      </w:pPr>
      <w:r w:rsidRPr="009660EC">
        <w:rPr>
          <w:rFonts w:cs="Calibri"/>
        </w:rPr>
        <w:t xml:space="preserve">In the preparation of this inventory, the data for </w:t>
      </w:r>
      <w:r w:rsidRPr="009660EC">
        <w:rPr>
          <w:rFonts w:cs="Calibri"/>
          <w:i/>
        </w:rPr>
        <w:t>Liming</w:t>
      </w:r>
      <w:r w:rsidRPr="009660EC">
        <w:rPr>
          <w:rFonts w:cs="Calibri"/>
        </w:rPr>
        <w:t xml:space="preserve"> underwent Tier 1 quality checks. Stats NZ, the agency that collects the activity data for </w:t>
      </w:r>
      <w:r w:rsidRPr="009660EC">
        <w:rPr>
          <w:rFonts w:cs="Calibri"/>
          <w:i/>
        </w:rPr>
        <w:t>Liming</w:t>
      </w:r>
      <w:r w:rsidRPr="009660EC">
        <w:rPr>
          <w:rFonts w:cs="Calibri"/>
        </w:rPr>
        <w:t>, also carries out a series of quality-assurance and quality-control procedures as part of the data collection carried out each year.</w:t>
      </w:r>
    </w:p>
    <w:p w14:paraId="4EA2A626" w14:textId="77777777" w:rsidR="004543E0" w:rsidRPr="009660EC" w:rsidRDefault="004543E0" w:rsidP="004543E0">
      <w:pPr>
        <w:pStyle w:val="Heading3"/>
      </w:pPr>
      <w:bookmarkStart w:id="1251" w:name="_Toc32570688"/>
      <w:r w:rsidRPr="009660EC">
        <w:t>5.8.6</w:t>
      </w:r>
      <w:r w:rsidRPr="009660EC">
        <w:tab/>
        <w:t>Source-specific recalculations</w:t>
      </w:r>
      <w:bookmarkEnd w:id="1251"/>
    </w:p>
    <w:p w14:paraId="50CCEA6D" w14:textId="77777777" w:rsidR="004543E0" w:rsidRPr="009660EC" w:rsidRDefault="004543E0" w:rsidP="004543E0">
      <w:pPr>
        <w:pStyle w:val="BodyText"/>
        <w:spacing w:before="100" w:after="100"/>
        <w:rPr>
          <w:rFonts w:cs="Calibri"/>
        </w:rPr>
      </w:pPr>
      <w:bookmarkStart w:id="1252" w:name="_Hlk91060203"/>
      <w:r w:rsidRPr="009660EC">
        <w:rPr>
          <w:rFonts w:cs="Calibri"/>
        </w:rPr>
        <w:t xml:space="preserve">Emissions estimates in the </w:t>
      </w:r>
      <w:r w:rsidRPr="009660EC">
        <w:rPr>
          <w:rFonts w:cs="Calibri"/>
          <w:i/>
          <w:iCs/>
        </w:rPr>
        <w:t>Liming</w:t>
      </w:r>
      <w:r w:rsidRPr="009660EC">
        <w:rPr>
          <w:rFonts w:cs="Calibri"/>
        </w:rPr>
        <w:t xml:space="preserve"> category in 2022 have been affected by a methodological update regarding the assumptions used for the purity of agricultural lime.</w:t>
      </w:r>
    </w:p>
    <w:p w14:paraId="604A43A5" w14:textId="6BBB4B1D" w:rsidR="004543E0" w:rsidRPr="009660EC" w:rsidRDefault="004543E0" w:rsidP="004543E0">
      <w:pPr>
        <w:pStyle w:val="BodyText"/>
        <w:spacing w:before="100" w:after="100"/>
        <w:rPr>
          <w:rFonts w:cs="Calibri"/>
        </w:rPr>
      </w:pPr>
      <w:r w:rsidRPr="009660EC">
        <w:rPr>
          <w:rFonts w:cs="Calibri"/>
        </w:rPr>
        <w:t>For the 2022 inventory submission, a new assumption has been used regarding the purity of</w:t>
      </w:r>
      <w:r w:rsidR="005F4123">
        <w:rPr>
          <w:rFonts w:cs="Calibri"/>
        </w:rPr>
        <w:t> </w:t>
      </w:r>
      <w:r w:rsidRPr="009660EC">
        <w:rPr>
          <w:rFonts w:cs="Calibri"/>
        </w:rPr>
        <w:t>agricultural lime applied to soils that being the actual calcium carbonate (CaCO</w:t>
      </w:r>
      <w:r w:rsidRPr="009660EC">
        <w:rPr>
          <w:rFonts w:cs="Calibri"/>
          <w:vertAlign w:val="subscript"/>
        </w:rPr>
        <w:t>3</w:t>
      </w:r>
      <w:r w:rsidRPr="009660EC">
        <w:rPr>
          <w:rFonts w:cs="Calibri"/>
        </w:rPr>
        <w:t>) content. Previously, the inventory assumed that agricultural lime is 100 per cent pure (i.e. 100 per cent CaCO</w:t>
      </w:r>
      <w:r w:rsidRPr="009660EC">
        <w:rPr>
          <w:rFonts w:cs="Calibri"/>
          <w:vertAlign w:val="subscript"/>
        </w:rPr>
        <w:t>3</w:t>
      </w:r>
      <w:r w:rsidRPr="009660EC">
        <w:rPr>
          <w:rFonts w:cs="Calibri"/>
        </w:rPr>
        <w:t>) due to a lack of national data to the contrary. Recent research carried out by Thomson et al. (2021) used a variety of literature, existing data and new samples to determine a correction factor to apply to the agricultural lime applied to account for its impurities. The authors also accounted for the moisture in the samples, given emission calculations are carried out assuming a dry weight. The results were then weighted to give a single national correction factor of 0.821.</w:t>
      </w:r>
    </w:p>
    <w:p w14:paraId="1C11E7F0" w14:textId="77777777" w:rsidR="004543E0" w:rsidRPr="009660EC" w:rsidRDefault="004543E0" w:rsidP="004543E0">
      <w:pPr>
        <w:pStyle w:val="BodyText"/>
        <w:spacing w:before="100" w:after="100"/>
        <w:rPr>
          <w:rFonts w:cs="Calibri"/>
        </w:rPr>
      </w:pPr>
      <w:r w:rsidRPr="009660EC">
        <w:rPr>
          <w:rFonts w:cs="Calibri"/>
        </w:rPr>
        <w:t xml:space="preserve">This inventory improvement was proposed and discussed at the 2021 Agriculture Inventory Advisory Panel meeting. During this meeting, the Panel agreed that the former assumption used in the inventory was incorrect and was a conservative approach given a lack of information in this space. The Panel agreed that the use of the recommended correction factor was likely to give a better estimate of emissions from </w:t>
      </w:r>
      <w:r w:rsidRPr="009660EC">
        <w:rPr>
          <w:rFonts w:cs="Calibri"/>
          <w:i/>
          <w:iCs/>
        </w:rPr>
        <w:t>Liming</w:t>
      </w:r>
      <w:r w:rsidRPr="009660EC">
        <w:rPr>
          <w:rFonts w:cs="Calibri"/>
        </w:rPr>
        <w:t xml:space="preserve">, although suggested it be rounded to 0.82, given the level of uncertainty. </w:t>
      </w:r>
    </w:p>
    <w:bookmarkEnd w:id="1252"/>
    <w:p w14:paraId="75FB913D" w14:textId="77777777" w:rsidR="004543E0" w:rsidRPr="009660EC" w:rsidRDefault="004543E0" w:rsidP="004543E0">
      <w:pPr>
        <w:pStyle w:val="BodyText"/>
        <w:spacing w:before="100" w:after="100"/>
        <w:rPr>
          <w:rFonts w:cs="Calibri"/>
        </w:rPr>
      </w:pPr>
      <w:r w:rsidRPr="009660EC">
        <w:rPr>
          <w:rFonts w:cs="Calibri"/>
        </w:rPr>
        <w:t xml:space="preserve">The implementation of this improvement caused estimated emissions from </w:t>
      </w:r>
      <w:r w:rsidRPr="009660EC">
        <w:rPr>
          <w:rFonts w:cs="Calibri"/>
          <w:i/>
          <w:iCs/>
        </w:rPr>
        <w:t>Liming</w:t>
      </w:r>
      <w:r w:rsidRPr="009660EC">
        <w:rPr>
          <w:rFonts w:cs="Calibri"/>
        </w:rPr>
        <w:t xml:space="preserve"> to decrease by 17.7 per cent in 1990 and 17.6 per cent in 2020 (see table 5.8.1).</w:t>
      </w:r>
    </w:p>
    <w:p w14:paraId="4EFFD40F" w14:textId="77777777" w:rsidR="004543E0" w:rsidRPr="009660EC" w:rsidRDefault="004543E0" w:rsidP="004543E0">
      <w:pPr>
        <w:pStyle w:val="Table"/>
        <w:rPr>
          <w:rFonts w:cs="Calibri"/>
        </w:rPr>
      </w:pPr>
      <w:bookmarkStart w:id="1253" w:name="_Toc95574096"/>
      <w:bookmarkStart w:id="1254" w:name="_Toc99659269"/>
      <w:r w:rsidRPr="009660EC">
        <w:rPr>
          <w:rFonts w:cs="Calibri"/>
        </w:rPr>
        <w:t>Table 5.8.1</w:t>
      </w:r>
      <w:r w:rsidRPr="009660EC">
        <w:rPr>
          <w:rFonts w:cs="Calibri"/>
        </w:rPr>
        <w:tab/>
        <w:t>Comparison of current and previous emissions estimates before and after the updated assumption of lime purity in the Agriculture inventory</w:t>
      </w:r>
      <w:bookmarkEnd w:id="1253"/>
      <w:bookmarkEnd w:id="1254"/>
    </w:p>
    <w:tbl>
      <w:tblPr>
        <w:tblW w:w="8505" w:type="dxa"/>
        <w:tblInd w:w="113" w:type="dxa"/>
        <w:tblBorders>
          <w:top w:val="single" w:sz="4" w:space="0" w:color="365F91"/>
          <w:bottom w:val="single" w:sz="4" w:space="0" w:color="365F91"/>
          <w:insideH w:val="single" w:sz="4" w:space="0" w:color="365F91"/>
        </w:tblBorders>
        <w:tblLayout w:type="fixed"/>
        <w:tblLook w:val="0000" w:firstRow="0" w:lastRow="0" w:firstColumn="0" w:lastColumn="0" w:noHBand="0" w:noVBand="0"/>
      </w:tblPr>
      <w:tblGrid>
        <w:gridCol w:w="1371"/>
        <w:gridCol w:w="2454"/>
        <w:gridCol w:w="799"/>
        <w:gridCol w:w="799"/>
        <w:gridCol w:w="1541"/>
        <w:gridCol w:w="1541"/>
      </w:tblGrid>
      <w:tr w:rsidR="004543E0" w:rsidRPr="009660EC" w14:paraId="63511E92" w14:textId="77777777" w:rsidTr="002050B5">
        <w:trPr>
          <w:tblHeader/>
        </w:trPr>
        <w:tc>
          <w:tcPr>
            <w:tcW w:w="1371" w:type="dxa"/>
            <w:tcBorders>
              <w:top w:val="single" w:sz="4" w:space="0" w:color="44546A"/>
              <w:bottom w:val="single" w:sz="4" w:space="0" w:color="44546A"/>
            </w:tcBorders>
            <w:shd w:val="clear" w:color="auto" w:fill="1B556B"/>
            <w:vAlign w:val="bottom"/>
          </w:tcPr>
          <w:p w14:paraId="477729E0" w14:textId="77777777" w:rsidR="004543E0" w:rsidRPr="004543E0" w:rsidRDefault="004543E0" w:rsidP="007E3239">
            <w:pPr>
              <w:pStyle w:val="TableTextBold"/>
              <w:spacing w:before="40" w:after="40"/>
              <w:rPr>
                <w:noProof w:val="0"/>
                <w:color w:val="FFFFFF"/>
                <w:szCs w:val="16"/>
              </w:rPr>
            </w:pPr>
            <w:r w:rsidRPr="004543E0">
              <w:rPr>
                <w:noProof w:val="0"/>
                <w:color w:val="FFFFFF"/>
                <w:szCs w:val="16"/>
              </w:rPr>
              <w:t xml:space="preserve">Emissions </w:t>
            </w:r>
            <w:r w:rsidRPr="004543E0">
              <w:rPr>
                <w:noProof w:val="0"/>
                <w:color w:val="FFFFFF"/>
                <w:szCs w:val="16"/>
              </w:rPr>
              <w:br/>
              <w:t>(kt CO</w:t>
            </w:r>
            <w:r w:rsidRPr="004543E0">
              <w:rPr>
                <w:noProof w:val="0"/>
                <w:color w:val="FFFFFF"/>
                <w:szCs w:val="16"/>
                <w:vertAlign w:val="subscript"/>
              </w:rPr>
              <w:t>2</w:t>
            </w:r>
            <w:r w:rsidRPr="004543E0">
              <w:rPr>
                <w:noProof w:val="0"/>
                <w:color w:val="FFFFFF"/>
                <w:szCs w:val="16"/>
              </w:rPr>
              <w:t>-e)</w:t>
            </w:r>
          </w:p>
        </w:tc>
        <w:tc>
          <w:tcPr>
            <w:tcW w:w="2454" w:type="dxa"/>
            <w:tcBorders>
              <w:top w:val="single" w:sz="4" w:space="0" w:color="44546A"/>
              <w:bottom w:val="single" w:sz="4" w:space="0" w:color="44546A"/>
            </w:tcBorders>
            <w:shd w:val="clear" w:color="auto" w:fill="1B556B"/>
            <w:vAlign w:val="bottom"/>
          </w:tcPr>
          <w:p w14:paraId="418E5BD4" w14:textId="77777777" w:rsidR="004543E0" w:rsidRPr="004543E0" w:rsidRDefault="004543E0" w:rsidP="007E3239">
            <w:pPr>
              <w:pStyle w:val="TableTextBold"/>
              <w:spacing w:before="40" w:after="40"/>
              <w:rPr>
                <w:noProof w:val="0"/>
                <w:color w:val="FFFFFF"/>
                <w:szCs w:val="16"/>
              </w:rPr>
            </w:pPr>
          </w:p>
        </w:tc>
        <w:tc>
          <w:tcPr>
            <w:tcW w:w="799" w:type="dxa"/>
            <w:tcBorders>
              <w:top w:val="single" w:sz="4" w:space="0" w:color="44546A"/>
              <w:bottom w:val="single" w:sz="4" w:space="0" w:color="44546A"/>
            </w:tcBorders>
            <w:shd w:val="clear" w:color="auto" w:fill="1B556B"/>
            <w:vAlign w:val="bottom"/>
          </w:tcPr>
          <w:p w14:paraId="0D65AB9C" w14:textId="77777777" w:rsidR="004543E0" w:rsidRPr="004543E0" w:rsidRDefault="004543E0" w:rsidP="007E3239">
            <w:pPr>
              <w:pStyle w:val="TableTextBold"/>
              <w:spacing w:before="40" w:after="40"/>
              <w:jc w:val="center"/>
              <w:rPr>
                <w:noProof w:val="0"/>
                <w:color w:val="FFFFFF"/>
                <w:szCs w:val="16"/>
              </w:rPr>
            </w:pPr>
            <w:r w:rsidRPr="004543E0">
              <w:rPr>
                <w:noProof w:val="0"/>
                <w:color w:val="FFFFFF"/>
                <w:szCs w:val="16"/>
              </w:rPr>
              <w:t>1990</w:t>
            </w:r>
          </w:p>
        </w:tc>
        <w:tc>
          <w:tcPr>
            <w:tcW w:w="799" w:type="dxa"/>
            <w:tcBorders>
              <w:top w:val="single" w:sz="4" w:space="0" w:color="44546A"/>
              <w:bottom w:val="single" w:sz="4" w:space="0" w:color="44546A"/>
            </w:tcBorders>
            <w:shd w:val="clear" w:color="auto" w:fill="1B556B"/>
            <w:vAlign w:val="bottom"/>
          </w:tcPr>
          <w:p w14:paraId="1075401D" w14:textId="77777777" w:rsidR="004543E0" w:rsidRPr="004543E0" w:rsidRDefault="004543E0" w:rsidP="007E3239">
            <w:pPr>
              <w:pStyle w:val="TableTextBold"/>
              <w:spacing w:before="40" w:after="40"/>
              <w:jc w:val="center"/>
              <w:rPr>
                <w:noProof w:val="0"/>
                <w:color w:val="FFFFFF"/>
                <w:szCs w:val="16"/>
              </w:rPr>
            </w:pPr>
            <w:r w:rsidRPr="004543E0">
              <w:rPr>
                <w:noProof w:val="0"/>
                <w:color w:val="FFFFFF"/>
                <w:szCs w:val="16"/>
              </w:rPr>
              <w:t>2020</w:t>
            </w:r>
          </w:p>
        </w:tc>
        <w:tc>
          <w:tcPr>
            <w:tcW w:w="1541" w:type="dxa"/>
            <w:tcBorders>
              <w:top w:val="single" w:sz="4" w:space="0" w:color="44546A"/>
              <w:bottom w:val="single" w:sz="4" w:space="0" w:color="44546A"/>
            </w:tcBorders>
            <w:shd w:val="clear" w:color="auto" w:fill="1B556B"/>
            <w:vAlign w:val="bottom"/>
          </w:tcPr>
          <w:p w14:paraId="7D29541A" w14:textId="77777777" w:rsidR="004543E0" w:rsidRPr="004543E0" w:rsidRDefault="004543E0" w:rsidP="007E3239">
            <w:pPr>
              <w:pStyle w:val="TableTextBold"/>
              <w:spacing w:before="40" w:after="40"/>
              <w:jc w:val="center"/>
              <w:rPr>
                <w:noProof w:val="0"/>
                <w:color w:val="FFFFFF"/>
                <w:szCs w:val="16"/>
              </w:rPr>
            </w:pPr>
            <w:r w:rsidRPr="004543E0">
              <w:rPr>
                <w:noProof w:val="0"/>
                <w:color w:val="FFFFFF"/>
                <w:szCs w:val="16"/>
              </w:rPr>
              <w:t xml:space="preserve">Change in emission outputs between 1990 and 2020 </w:t>
            </w:r>
            <w:r w:rsidRPr="004543E0">
              <w:rPr>
                <w:noProof w:val="0"/>
                <w:color w:val="FFFFFF"/>
                <w:szCs w:val="16"/>
              </w:rPr>
              <w:br/>
              <w:t>(kt CO</w:t>
            </w:r>
            <w:r w:rsidRPr="004543E0">
              <w:rPr>
                <w:noProof w:val="0"/>
                <w:color w:val="FFFFFF"/>
                <w:szCs w:val="16"/>
                <w:vertAlign w:val="subscript"/>
              </w:rPr>
              <w:t>2</w:t>
            </w:r>
            <w:r w:rsidRPr="004543E0">
              <w:rPr>
                <w:noProof w:val="0"/>
                <w:color w:val="FFFFFF"/>
                <w:szCs w:val="16"/>
              </w:rPr>
              <w:t xml:space="preserve">-e) </w:t>
            </w:r>
          </w:p>
        </w:tc>
        <w:tc>
          <w:tcPr>
            <w:tcW w:w="1541" w:type="dxa"/>
            <w:tcBorders>
              <w:top w:val="single" w:sz="4" w:space="0" w:color="44546A"/>
              <w:bottom w:val="single" w:sz="4" w:space="0" w:color="44546A"/>
            </w:tcBorders>
            <w:shd w:val="clear" w:color="auto" w:fill="1B556B"/>
            <w:vAlign w:val="bottom"/>
          </w:tcPr>
          <w:p w14:paraId="358C52CC" w14:textId="77777777" w:rsidR="004543E0" w:rsidRPr="004543E0" w:rsidRDefault="004543E0" w:rsidP="007E3239">
            <w:pPr>
              <w:pStyle w:val="TableTextBold"/>
              <w:spacing w:before="40" w:after="40"/>
              <w:jc w:val="center"/>
              <w:rPr>
                <w:noProof w:val="0"/>
                <w:color w:val="FFFFFF"/>
                <w:szCs w:val="16"/>
              </w:rPr>
            </w:pPr>
            <w:r w:rsidRPr="004543E0">
              <w:rPr>
                <w:noProof w:val="0"/>
                <w:color w:val="FFFFFF"/>
                <w:szCs w:val="16"/>
              </w:rPr>
              <w:t xml:space="preserve">Percentage change in emission outputs between </w:t>
            </w:r>
            <w:r w:rsidRPr="004543E0">
              <w:rPr>
                <w:noProof w:val="0"/>
                <w:color w:val="FFFFFF"/>
                <w:szCs w:val="16"/>
              </w:rPr>
              <w:br/>
              <w:t>1990 and 2020</w:t>
            </w:r>
          </w:p>
        </w:tc>
      </w:tr>
      <w:tr w:rsidR="004543E0" w:rsidRPr="009660EC" w14:paraId="78A4D754" w14:textId="77777777" w:rsidTr="002050B5">
        <w:tc>
          <w:tcPr>
            <w:tcW w:w="1371" w:type="dxa"/>
            <w:vMerge w:val="restart"/>
            <w:tcBorders>
              <w:top w:val="single" w:sz="4" w:space="0" w:color="44546A"/>
            </w:tcBorders>
            <w:vAlign w:val="center"/>
          </w:tcPr>
          <w:p w14:paraId="3A0EA54D" w14:textId="77777777" w:rsidR="004543E0" w:rsidRPr="009660EC" w:rsidRDefault="004543E0" w:rsidP="007E3239">
            <w:pPr>
              <w:pStyle w:val="TableText"/>
              <w:spacing w:before="40" w:after="40"/>
              <w:rPr>
                <w:rFonts w:cs="Calibri"/>
                <w:szCs w:val="16"/>
              </w:rPr>
            </w:pPr>
            <w:r w:rsidRPr="009660EC">
              <w:rPr>
                <w:rFonts w:cs="Calibri"/>
                <w:szCs w:val="16"/>
              </w:rPr>
              <w:t>Total emissions from Agricultural soils (kt CO</w:t>
            </w:r>
            <w:r w:rsidRPr="009660EC">
              <w:rPr>
                <w:rFonts w:cs="Calibri"/>
                <w:szCs w:val="16"/>
                <w:vertAlign w:val="subscript"/>
              </w:rPr>
              <w:t>2</w:t>
            </w:r>
            <w:r w:rsidRPr="009660EC">
              <w:rPr>
                <w:rFonts w:cs="Calibri"/>
                <w:szCs w:val="16"/>
              </w:rPr>
              <w:t>-e)</w:t>
            </w:r>
          </w:p>
        </w:tc>
        <w:tc>
          <w:tcPr>
            <w:tcW w:w="2454" w:type="dxa"/>
            <w:tcBorders>
              <w:top w:val="single" w:sz="4" w:space="0" w:color="44546A"/>
              <w:left w:val="nil"/>
              <w:bottom w:val="single" w:sz="4" w:space="0" w:color="44546A"/>
              <w:right w:val="nil"/>
            </w:tcBorders>
            <w:shd w:val="clear" w:color="auto" w:fill="auto"/>
            <w:vAlign w:val="center"/>
          </w:tcPr>
          <w:p w14:paraId="5EE841C7" w14:textId="77777777" w:rsidR="004543E0" w:rsidRPr="004543E0" w:rsidRDefault="004543E0" w:rsidP="007E3239">
            <w:pPr>
              <w:pStyle w:val="TableText"/>
              <w:spacing w:before="40" w:after="40"/>
              <w:rPr>
                <w:rFonts w:cs="Calibri"/>
                <w:szCs w:val="16"/>
              </w:rPr>
            </w:pPr>
            <w:r w:rsidRPr="004543E0">
              <w:rPr>
                <w:rFonts w:cs="Calibri"/>
                <w:szCs w:val="16"/>
              </w:rPr>
              <w:t>2022 (1990–2020) emissions estimate using previous liming values</w:t>
            </w:r>
          </w:p>
        </w:tc>
        <w:tc>
          <w:tcPr>
            <w:tcW w:w="799" w:type="dxa"/>
            <w:tcBorders>
              <w:top w:val="single" w:sz="4" w:space="0" w:color="44546A"/>
              <w:left w:val="nil"/>
              <w:bottom w:val="single" w:sz="4" w:space="0" w:color="44546A"/>
              <w:right w:val="nil"/>
            </w:tcBorders>
            <w:shd w:val="clear" w:color="auto" w:fill="auto"/>
            <w:vAlign w:val="center"/>
          </w:tcPr>
          <w:p w14:paraId="0F306216" w14:textId="77777777" w:rsidR="004543E0" w:rsidRPr="004543E0" w:rsidRDefault="004543E0" w:rsidP="007E3239">
            <w:pPr>
              <w:pStyle w:val="TableText"/>
              <w:spacing w:before="40" w:after="40"/>
              <w:jc w:val="center"/>
              <w:rPr>
                <w:rFonts w:cs="Calibri"/>
                <w:szCs w:val="16"/>
              </w:rPr>
            </w:pPr>
            <w:r w:rsidRPr="004543E0">
              <w:rPr>
                <w:rFonts w:cs="Calibri"/>
                <w:szCs w:val="16"/>
              </w:rPr>
              <w:t>360.1</w:t>
            </w:r>
          </w:p>
        </w:tc>
        <w:tc>
          <w:tcPr>
            <w:tcW w:w="799" w:type="dxa"/>
            <w:tcBorders>
              <w:top w:val="single" w:sz="4" w:space="0" w:color="44546A"/>
              <w:left w:val="nil"/>
              <w:bottom w:val="single" w:sz="4" w:space="0" w:color="44546A"/>
              <w:right w:val="nil"/>
            </w:tcBorders>
            <w:shd w:val="clear" w:color="auto" w:fill="auto"/>
            <w:vAlign w:val="center"/>
          </w:tcPr>
          <w:p w14:paraId="4E2FA3F5" w14:textId="77777777" w:rsidR="004543E0" w:rsidRPr="004543E0" w:rsidRDefault="004543E0" w:rsidP="007E3239">
            <w:pPr>
              <w:pStyle w:val="TableText"/>
              <w:spacing w:before="40" w:after="40"/>
              <w:jc w:val="center"/>
              <w:rPr>
                <w:rFonts w:cs="Calibri"/>
                <w:szCs w:val="16"/>
              </w:rPr>
            </w:pPr>
            <w:r w:rsidRPr="004543E0">
              <w:rPr>
                <w:rFonts w:cs="Calibri"/>
                <w:szCs w:val="16"/>
              </w:rPr>
              <w:t>496.7</w:t>
            </w:r>
          </w:p>
        </w:tc>
        <w:tc>
          <w:tcPr>
            <w:tcW w:w="1541" w:type="dxa"/>
            <w:tcBorders>
              <w:top w:val="single" w:sz="4" w:space="0" w:color="44546A"/>
              <w:left w:val="nil"/>
              <w:bottom w:val="single" w:sz="4" w:space="0" w:color="44546A"/>
              <w:right w:val="nil"/>
            </w:tcBorders>
            <w:shd w:val="clear" w:color="auto" w:fill="auto"/>
            <w:vAlign w:val="center"/>
          </w:tcPr>
          <w:p w14:paraId="14B1D02A" w14:textId="77777777" w:rsidR="004543E0" w:rsidRPr="004543E0" w:rsidRDefault="004543E0" w:rsidP="007E3239">
            <w:pPr>
              <w:pStyle w:val="TableText"/>
              <w:spacing w:before="40" w:after="40"/>
              <w:jc w:val="center"/>
              <w:rPr>
                <w:rFonts w:cs="Calibri"/>
                <w:szCs w:val="16"/>
              </w:rPr>
            </w:pPr>
            <w:r w:rsidRPr="004543E0">
              <w:rPr>
                <w:rFonts w:cs="Calibri"/>
                <w:szCs w:val="16"/>
              </w:rPr>
              <w:t>136.7</w:t>
            </w:r>
          </w:p>
        </w:tc>
        <w:tc>
          <w:tcPr>
            <w:tcW w:w="1541" w:type="dxa"/>
            <w:tcBorders>
              <w:top w:val="single" w:sz="4" w:space="0" w:color="44546A"/>
              <w:left w:val="nil"/>
              <w:bottom w:val="single" w:sz="4" w:space="0" w:color="44546A"/>
              <w:right w:val="nil"/>
            </w:tcBorders>
            <w:shd w:val="clear" w:color="auto" w:fill="auto"/>
            <w:vAlign w:val="center"/>
          </w:tcPr>
          <w:p w14:paraId="048B8CCA" w14:textId="77777777" w:rsidR="004543E0" w:rsidRPr="004543E0" w:rsidRDefault="004543E0" w:rsidP="007E3239">
            <w:pPr>
              <w:pStyle w:val="TableText"/>
              <w:spacing w:before="40" w:after="40"/>
              <w:jc w:val="center"/>
              <w:rPr>
                <w:rFonts w:cs="Calibri"/>
                <w:szCs w:val="16"/>
              </w:rPr>
            </w:pPr>
            <w:r w:rsidRPr="004543E0">
              <w:rPr>
                <w:rFonts w:cs="Calibri"/>
                <w:szCs w:val="16"/>
              </w:rPr>
              <w:t>38.0</w:t>
            </w:r>
          </w:p>
        </w:tc>
      </w:tr>
      <w:tr w:rsidR="004543E0" w:rsidRPr="009660EC" w14:paraId="3C9114E6" w14:textId="77777777" w:rsidTr="002050B5">
        <w:tc>
          <w:tcPr>
            <w:tcW w:w="1371" w:type="dxa"/>
            <w:vMerge/>
          </w:tcPr>
          <w:p w14:paraId="66E5A953" w14:textId="77777777" w:rsidR="004543E0" w:rsidRPr="009660EC" w:rsidRDefault="004543E0" w:rsidP="007E3239">
            <w:pPr>
              <w:pStyle w:val="TableText"/>
              <w:spacing w:before="40" w:after="40"/>
              <w:rPr>
                <w:rFonts w:cs="Calibri"/>
                <w:szCs w:val="16"/>
              </w:rPr>
            </w:pPr>
          </w:p>
        </w:tc>
        <w:tc>
          <w:tcPr>
            <w:tcW w:w="2454" w:type="dxa"/>
            <w:tcBorders>
              <w:top w:val="single" w:sz="4" w:space="0" w:color="44546A"/>
              <w:left w:val="nil"/>
              <w:bottom w:val="single" w:sz="4" w:space="0" w:color="44546A"/>
              <w:right w:val="nil"/>
            </w:tcBorders>
            <w:shd w:val="clear" w:color="auto" w:fill="auto"/>
            <w:vAlign w:val="center"/>
          </w:tcPr>
          <w:p w14:paraId="139DC014" w14:textId="77777777" w:rsidR="004543E0" w:rsidRPr="004543E0" w:rsidRDefault="004543E0" w:rsidP="007E3239">
            <w:pPr>
              <w:pStyle w:val="TableText"/>
              <w:spacing w:before="40" w:after="40"/>
              <w:rPr>
                <w:rFonts w:cs="Calibri"/>
                <w:szCs w:val="16"/>
              </w:rPr>
            </w:pPr>
            <w:r w:rsidRPr="004543E0">
              <w:rPr>
                <w:rFonts w:cs="Calibri"/>
                <w:szCs w:val="16"/>
              </w:rPr>
              <w:t>2022 (1990–2020) emissions estimate using new liming values</w:t>
            </w:r>
          </w:p>
        </w:tc>
        <w:tc>
          <w:tcPr>
            <w:tcW w:w="799" w:type="dxa"/>
            <w:tcBorders>
              <w:top w:val="single" w:sz="4" w:space="0" w:color="44546A"/>
              <w:left w:val="nil"/>
              <w:bottom w:val="single" w:sz="4" w:space="0" w:color="44546A"/>
              <w:right w:val="nil"/>
            </w:tcBorders>
            <w:shd w:val="clear" w:color="auto" w:fill="auto"/>
            <w:vAlign w:val="center"/>
          </w:tcPr>
          <w:p w14:paraId="25DE7A76" w14:textId="77777777" w:rsidR="004543E0" w:rsidRPr="004543E0" w:rsidRDefault="004543E0" w:rsidP="007E3239">
            <w:pPr>
              <w:pStyle w:val="TableText"/>
              <w:spacing w:before="40" w:after="40"/>
              <w:jc w:val="center"/>
              <w:rPr>
                <w:rFonts w:cs="Calibri"/>
                <w:szCs w:val="16"/>
              </w:rPr>
            </w:pPr>
            <w:r w:rsidRPr="004543E0">
              <w:rPr>
                <w:rFonts w:cs="Calibri"/>
                <w:szCs w:val="16"/>
              </w:rPr>
              <w:t>296.5</w:t>
            </w:r>
          </w:p>
        </w:tc>
        <w:tc>
          <w:tcPr>
            <w:tcW w:w="799" w:type="dxa"/>
            <w:tcBorders>
              <w:top w:val="single" w:sz="4" w:space="0" w:color="44546A"/>
              <w:left w:val="nil"/>
              <w:bottom w:val="single" w:sz="4" w:space="0" w:color="44546A"/>
              <w:right w:val="nil"/>
            </w:tcBorders>
            <w:shd w:val="clear" w:color="auto" w:fill="auto"/>
            <w:vAlign w:val="center"/>
          </w:tcPr>
          <w:p w14:paraId="630CC75F" w14:textId="77777777" w:rsidR="004543E0" w:rsidRPr="004543E0" w:rsidRDefault="004543E0" w:rsidP="007E3239">
            <w:pPr>
              <w:pStyle w:val="TableText"/>
              <w:spacing w:before="40" w:after="40"/>
              <w:jc w:val="center"/>
              <w:rPr>
                <w:rFonts w:cs="Calibri"/>
                <w:szCs w:val="16"/>
              </w:rPr>
            </w:pPr>
            <w:r w:rsidRPr="004543E0">
              <w:rPr>
                <w:rFonts w:cs="Calibri"/>
                <w:szCs w:val="16"/>
              </w:rPr>
              <w:t>409.5</w:t>
            </w:r>
          </w:p>
        </w:tc>
        <w:tc>
          <w:tcPr>
            <w:tcW w:w="1541" w:type="dxa"/>
            <w:tcBorders>
              <w:top w:val="single" w:sz="4" w:space="0" w:color="44546A"/>
              <w:left w:val="nil"/>
              <w:bottom w:val="single" w:sz="4" w:space="0" w:color="44546A"/>
              <w:right w:val="nil"/>
            </w:tcBorders>
            <w:shd w:val="clear" w:color="auto" w:fill="auto"/>
            <w:vAlign w:val="center"/>
          </w:tcPr>
          <w:p w14:paraId="7C4984CA" w14:textId="77777777" w:rsidR="004543E0" w:rsidRPr="004543E0" w:rsidRDefault="004543E0" w:rsidP="007E3239">
            <w:pPr>
              <w:pStyle w:val="TableText"/>
              <w:spacing w:before="40" w:after="40"/>
              <w:jc w:val="center"/>
              <w:rPr>
                <w:rFonts w:cs="Calibri"/>
                <w:szCs w:val="16"/>
              </w:rPr>
            </w:pPr>
            <w:r w:rsidRPr="004543E0">
              <w:rPr>
                <w:rFonts w:cs="Calibri"/>
                <w:szCs w:val="16"/>
              </w:rPr>
              <w:t>113.0</w:t>
            </w:r>
          </w:p>
        </w:tc>
        <w:tc>
          <w:tcPr>
            <w:tcW w:w="1541" w:type="dxa"/>
            <w:tcBorders>
              <w:top w:val="single" w:sz="4" w:space="0" w:color="44546A"/>
              <w:left w:val="nil"/>
              <w:bottom w:val="single" w:sz="4" w:space="0" w:color="44546A"/>
              <w:right w:val="nil"/>
            </w:tcBorders>
            <w:shd w:val="clear" w:color="auto" w:fill="auto"/>
            <w:vAlign w:val="center"/>
          </w:tcPr>
          <w:p w14:paraId="2B782E33" w14:textId="77777777" w:rsidR="004543E0" w:rsidRPr="004543E0" w:rsidRDefault="004543E0" w:rsidP="007E3239">
            <w:pPr>
              <w:pStyle w:val="TableText"/>
              <w:spacing w:before="40" w:after="40"/>
              <w:jc w:val="center"/>
              <w:rPr>
                <w:rFonts w:cs="Calibri"/>
                <w:szCs w:val="16"/>
              </w:rPr>
            </w:pPr>
            <w:r w:rsidRPr="004543E0">
              <w:rPr>
                <w:rFonts w:cs="Calibri"/>
                <w:szCs w:val="16"/>
              </w:rPr>
              <w:t>38.1</w:t>
            </w:r>
          </w:p>
        </w:tc>
      </w:tr>
      <w:tr w:rsidR="004543E0" w:rsidRPr="009660EC" w14:paraId="384AC76A" w14:textId="77777777" w:rsidTr="002050B5">
        <w:tc>
          <w:tcPr>
            <w:tcW w:w="1371" w:type="dxa"/>
            <w:vMerge/>
          </w:tcPr>
          <w:p w14:paraId="24DB8224" w14:textId="77777777" w:rsidR="004543E0" w:rsidRPr="009660EC" w:rsidRDefault="004543E0" w:rsidP="007E3239">
            <w:pPr>
              <w:pStyle w:val="TableText"/>
              <w:spacing w:before="40" w:after="40"/>
              <w:rPr>
                <w:rFonts w:cs="Calibri"/>
                <w:szCs w:val="16"/>
              </w:rPr>
            </w:pPr>
          </w:p>
        </w:tc>
        <w:tc>
          <w:tcPr>
            <w:tcW w:w="2454" w:type="dxa"/>
            <w:tcBorders>
              <w:top w:val="single" w:sz="4" w:space="0" w:color="44546A"/>
              <w:left w:val="nil"/>
              <w:bottom w:val="single" w:sz="4" w:space="0" w:color="44546A"/>
              <w:right w:val="nil"/>
            </w:tcBorders>
            <w:shd w:val="clear" w:color="auto" w:fill="auto"/>
            <w:vAlign w:val="center"/>
          </w:tcPr>
          <w:p w14:paraId="141C569A" w14:textId="77777777" w:rsidR="004543E0" w:rsidRPr="004543E0" w:rsidRDefault="004543E0" w:rsidP="007E3239">
            <w:pPr>
              <w:pStyle w:val="TableText"/>
              <w:spacing w:before="40" w:after="40"/>
              <w:rPr>
                <w:rFonts w:cs="Calibri"/>
                <w:szCs w:val="16"/>
              </w:rPr>
            </w:pPr>
            <w:r w:rsidRPr="004543E0">
              <w:rPr>
                <w:rFonts w:cs="Calibri"/>
                <w:szCs w:val="16"/>
              </w:rPr>
              <w:t>Difference in emission estimates compared with current inventory</w:t>
            </w:r>
          </w:p>
        </w:tc>
        <w:tc>
          <w:tcPr>
            <w:tcW w:w="799" w:type="dxa"/>
            <w:tcBorders>
              <w:top w:val="single" w:sz="4" w:space="0" w:color="44546A"/>
              <w:left w:val="nil"/>
              <w:bottom w:val="single" w:sz="4" w:space="0" w:color="44546A"/>
              <w:right w:val="nil"/>
            </w:tcBorders>
            <w:shd w:val="clear" w:color="auto" w:fill="auto"/>
            <w:vAlign w:val="center"/>
          </w:tcPr>
          <w:p w14:paraId="1E331C47" w14:textId="396288EF" w:rsidR="004543E0" w:rsidRPr="004543E0" w:rsidRDefault="001C4F3F" w:rsidP="007E3239">
            <w:pPr>
              <w:pStyle w:val="TableText"/>
              <w:spacing w:before="40" w:after="40"/>
              <w:jc w:val="center"/>
              <w:rPr>
                <w:rFonts w:cs="Calibri"/>
                <w:szCs w:val="16"/>
              </w:rPr>
            </w:pPr>
            <w:r>
              <w:rPr>
                <w:rFonts w:cs="Calibri"/>
                <w:szCs w:val="16"/>
              </w:rPr>
              <w:t>–</w:t>
            </w:r>
            <w:r w:rsidR="004543E0" w:rsidRPr="004543E0">
              <w:rPr>
                <w:rFonts w:cs="Calibri"/>
                <w:szCs w:val="16"/>
              </w:rPr>
              <w:t>63.6</w:t>
            </w:r>
          </w:p>
        </w:tc>
        <w:tc>
          <w:tcPr>
            <w:tcW w:w="799" w:type="dxa"/>
            <w:tcBorders>
              <w:top w:val="single" w:sz="4" w:space="0" w:color="44546A"/>
              <w:left w:val="nil"/>
              <w:bottom w:val="single" w:sz="4" w:space="0" w:color="44546A"/>
              <w:right w:val="nil"/>
            </w:tcBorders>
            <w:shd w:val="clear" w:color="auto" w:fill="auto"/>
            <w:vAlign w:val="center"/>
          </w:tcPr>
          <w:p w14:paraId="29D08A77" w14:textId="028ED12E" w:rsidR="004543E0" w:rsidRPr="004543E0" w:rsidRDefault="001C4F3F" w:rsidP="007E3239">
            <w:pPr>
              <w:pStyle w:val="TableText"/>
              <w:spacing w:before="40" w:after="40"/>
              <w:jc w:val="center"/>
              <w:rPr>
                <w:rFonts w:cs="Calibri"/>
                <w:szCs w:val="16"/>
              </w:rPr>
            </w:pPr>
            <w:r>
              <w:rPr>
                <w:rFonts w:cs="Calibri"/>
                <w:szCs w:val="16"/>
              </w:rPr>
              <w:t>–</w:t>
            </w:r>
            <w:r w:rsidR="004543E0" w:rsidRPr="004543E0">
              <w:rPr>
                <w:rFonts w:cs="Calibri"/>
                <w:szCs w:val="16"/>
              </w:rPr>
              <w:t>87.3</w:t>
            </w:r>
          </w:p>
        </w:tc>
        <w:tc>
          <w:tcPr>
            <w:tcW w:w="1541" w:type="dxa"/>
            <w:tcBorders>
              <w:top w:val="single" w:sz="4" w:space="0" w:color="44546A"/>
              <w:left w:val="nil"/>
              <w:bottom w:val="single" w:sz="4" w:space="0" w:color="44546A"/>
              <w:right w:val="nil"/>
            </w:tcBorders>
            <w:shd w:val="clear" w:color="auto" w:fill="auto"/>
            <w:vAlign w:val="center"/>
          </w:tcPr>
          <w:p w14:paraId="405CB353" w14:textId="705402B0" w:rsidR="004543E0" w:rsidRPr="004543E0" w:rsidRDefault="001C4F3F" w:rsidP="007E3239">
            <w:pPr>
              <w:pStyle w:val="TableText"/>
              <w:spacing w:before="40" w:after="40"/>
              <w:jc w:val="center"/>
              <w:rPr>
                <w:rFonts w:cs="Calibri"/>
                <w:szCs w:val="16"/>
              </w:rPr>
            </w:pPr>
            <w:r>
              <w:rPr>
                <w:rFonts w:cs="Calibri"/>
                <w:szCs w:val="16"/>
              </w:rPr>
              <w:t>–</w:t>
            </w:r>
            <w:r w:rsidR="004543E0" w:rsidRPr="004543E0">
              <w:rPr>
                <w:rFonts w:cs="Calibri"/>
                <w:szCs w:val="16"/>
              </w:rPr>
              <w:t>23.7</w:t>
            </w:r>
          </w:p>
        </w:tc>
        <w:tc>
          <w:tcPr>
            <w:tcW w:w="1541" w:type="dxa"/>
            <w:tcBorders>
              <w:top w:val="single" w:sz="4" w:space="0" w:color="44546A"/>
              <w:left w:val="nil"/>
              <w:bottom w:val="single" w:sz="4" w:space="0" w:color="44546A"/>
              <w:right w:val="nil"/>
            </w:tcBorders>
            <w:shd w:val="clear" w:color="auto" w:fill="auto"/>
            <w:vAlign w:val="center"/>
          </w:tcPr>
          <w:p w14:paraId="3F58448E" w14:textId="77777777" w:rsidR="004543E0" w:rsidRPr="004543E0" w:rsidRDefault="004543E0" w:rsidP="007E3239">
            <w:pPr>
              <w:pStyle w:val="TableText"/>
              <w:spacing w:before="40" w:after="40"/>
              <w:jc w:val="center"/>
              <w:rPr>
                <w:rFonts w:cs="Calibri"/>
                <w:szCs w:val="16"/>
              </w:rPr>
            </w:pPr>
            <w:r w:rsidRPr="004543E0">
              <w:rPr>
                <w:rFonts w:cs="Calibri"/>
                <w:szCs w:val="16"/>
              </w:rPr>
              <w:t> </w:t>
            </w:r>
          </w:p>
        </w:tc>
      </w:tr>
      <w:tr w:rsidR="004543E0" w:rsidRPr="009660EC" w14:paraId="6A6F7A06" w14:textId="77777777" w:rsidTr="002050B5">
        <w:tc>
          <w:tcPr>
            <w:tcW w:w="1371" w:type="dxa"/>
            <w:vMerge/>
            <w:tcBorders>
              <w:bottom w:val="single" w:sz="4" w:space="0" w:color="1B556B"/>
            </w:tcBorders>
          </w:tcPr>
          <w:p w14:paraId="27D10075" w14:textId="77777777" w:rsidR="004543E0" w:rsidRPr="009660EC" w:rsidRDefault="004543E0" w:rsidP="007E3239">
            <w:pPr>
              <w:pStyle w:val="TableText"/>
              <w:spacing w:before="40" w:after="40"/>
              <w:rPr>
                <w:rFonts w:cs="Calibri"/>
                <w:szCs w:val="16"/>
              </w:rPr>
            </w:pPr>
          </w:p>
        </w:tc>
        <w:tc>
          <w:tcPr>
            <w:tcW w:w="2454" w:type="dxa"/>
            <w:tcBorders>
              <w:top w:val="single" w:sz="4" w:space="0" w:color="44546A"/>
              <w:left w:val="nil"/>
              <w:bottom w:val="single" w:sz="4" w:space="0" w:color="44546A"/>
              <w:right w:val="nil"/>
            </w:tcBorders>
            <w:shd w:val="clear" w:color="auto" w:fill="auto"/>
            <w:vAlign w:val="center"/>
          </w:tcPr>
          <w:p w14:paraId="180B3EE8" w14:textId="77777777" w:rsidR="004543E0" w:rsidRPr="004543E0" w:rsidRDefault="004543E0" w:rsidP="007E3239">
            <w:pPr>
              <w:pStyle w:val="TableText"/>
              <w:spacing w:before="40" w:after="40"/>
              <w:rPr>
                <w:rFonts w:cs="Calibri"/>
                <w:szCs w:val="16"/>
              </w:rPr>
            </w:pPr>
            <w:r w:rsidRPr="004543E0">
              <w:rPr>
                <w:rFonts w:cs="Calibri"/>
                <w:szCs w:val="16"/>
              </w:rPr>
              <w:t>Percentage difference in emission estimates</w:t>
            </w:r>
          </w:p>
        </w:tc>
        <w:tc>
          <w:tcPr>
            <w:tcW w:w="799" w:type="dxa"/>
            <w:tcBorders>
              <w:top w:val="single" w:sz="4" w:space="0" w:color="44546A"/>
              <w:left w:val="nil"/>
              <w:bottom w:val="single" w:sz="4" w:space="0" w:color="44546A"/>
              <w:right w:val="nil"/>
            </w:tcBorders>
            <w:shd w:val="clear" w:color="auto" w:fill="auto"/>
            <w:vAlign w:val="center"/>
          </w:tcPr>
          <w:p w14:paraId="0278F8D1" w14:textId="79285D30" w:rsidR="004543E0" w:rsidRPr="004543E0" w:rsidRDefault="001C4F3F" w:rsidP="007E3239">
            <w:pPr>
              <w:pStyle w:val="TableText"/>
              <w:spacing w:before="40" w:after="40"/>
              <w:jc w:val="center"/>
              <w:rPr>
                <w:rFonts w:cs="Calibri"/>
                <w:szCs w:val="16"/>
              </w:rPr>
            </w:pPr>
            <w:r>
              <w:rPr>
                <w:rFonts w:cs="Calibri"/>
                <w:szCs w:val="16"/>
              </w:rPr>
              <w:t>–</w:t>
            </w:r>
            <w:r w:rsidR="004543E0" w:rsidRPr="004543E0">
              <w:rPr>
                <w:rFonts w:cs="Calibri"/>
                <w:szCs w:val="16"/>
              </w:rPr>
              <w:t>17.7 %</w:t>
            </w:r>
          </w:p>
        </w:tc>
        <w:tc>
          <w:tcPr>
            <w:tcW w:w="799" w:type="dxa"/>
            <w:tcBorders>
              <w:top w:val="single" w:sz="4" w:space="0" w:color="44546A"/>
              <w:left w:val="nil"/>
              <w:bottom w:val="single" w:sz="4" w:space="0" w:color="44546A"/>
              <w:right w:val="nil"/>
            </w:tcBorders>
            <w:shd w:val="clear" w:color="auto" w:fill="auto"/>
            <w:vAlign w:val="center"/>
          </w:tcPr>
          <w:p w14:paraId="75EE15AE" w14:textId="3DD99CD4" w:rsidR="004543E0" w:rsidRPr="004543E0" w:rsidRDefault="001C4F3F" w:rsidP="007E3239">
            <w:pPr>
              <w:pStyle w:val="TableText"/>
              <w:spacing w:before="40" w:after="40"/>
              <w:jc w:val="center"/>
              <w:rPr>
                <w:rFonts w:cs="Calibri"/>
                <w:szCs w:val="16"/>
              </w:rPr>
            </w:pPr>
            <w:r>
              <w:rPr>
                <w:rFonts w:cs="Calibri"/>
                <w:szCs w:val="16"/>
              </w:rPr>
              <w:t>–</w:t>
            </w:r>
            <w:r w:rsidR="004543E0" w:rsidRPr="004543E0">
              <w:rPr>
                <w:rFonts w:cs="Calibri"/>
                <w:szCs w:val="16"/>
              </w:rPr>
              <w:t>17.6 %</w:t>
            </w:r>
          </w:p>
        </w:tc>
        <w:tc>
          <w:tcPr>
            <w:tcW w:w="1541" w:type="dxa"/>
            <w:tcBorders>
              <w:top w:val="single" w:sz="4" w:space="0" w:color="44546A"/>
              <w:left w:val="nil"/>
              <w:bottom w:val="single" w:sz="4" w:space="0" w:color="44546A"/>
              <w:right w:val="nil"/>
            </w:tcBorders>
            <w:shd w:val="clear" w:color="auto" w:fill="auto"/>
            <w:vAlign w:val="center"/>
          </w:tcPr>
          <w:p w14:paraId="49C2B76A" w14:textId="77777777" w:rsidR="004543E0" w:rsidRPr="004543E0" w:rsidRDefault="004543E0" w:rsidP="007E3239">
            <w:pPr>
              <w:pStyle w:val="TableText"/>
              <w:spacing w:before="40" w:after="40"/>
              <w:jc w:val="center"/>
              <w:rPr>
                <w:rFonts w:cs="Calibri"/>
                <w:szCs w:val="16"/>
              </w:rPr>
            </w:pPr>
            <w:r w:rsidRPr="004543E0">
              <w:rPr>
                <w:rFonts w:cs="Calibri"/>
                <w:szCs w:val="16"/>
              </w:rPr>
              <w:t> </w:t>
            </w:r>
          </w:p>
        </w:tc>
        <w:tc>
          <w:tcPr>
            <w:tcW w:w="1541" w:type="dxa"/>
            <w:tcBorders>
              <w:top w:val="single" w:sz="4" w:space="0" w:color="44546A"/>
              <w:left w:val="nil"/>
              <w:bottom w:val="single" w:sz="4" w:space="0" w:color="44546A"/>
              <w:right w:val="nil"/>
            </w:tcBorders>
            <w:shd w:val="clear" w:color="auto" w:fill="auto"/>
            <w:vAlign w:val="center"/>
          </w:tcPr>
          <w:p w14:paraId="4E032A02" w14:textId="77777777" w:rsidR="004543E0" w:rsidRPr="004543E0" w:rsidRDefault="004543E0" w:rsidP="007E3239">
            <w:pPr>
              <w:pStyle w:val="TableText"/>
              <w:spacing w:before="40" w:after="40"/>
              <w:jc w:val="center"/>
              <w:rPr>
                <w:rFonts w:cs="Calibri"/>
                <w:szCs w:val="16"/>
              </w:rPr>
            </w:pPr>
            <w:r w:rsidRPr="004543E0">
              <w:rPr>
                <w:rFonts w:cs="Calibri"/>
                <w:szCs w:val="16"/>
              </w:rPr>
              <w:t> </w:t>
            </w:r>
          </w:p>
        </w:tc>
      </w:tr>
    </w:tbl>
    <w:p w14:paraId="51A91637" w14:textId="77777777" w:rsidR="004543E0" w:rsidRPr="009660EC" w:rsidRDefault="004543E0" w:rsidP="004543E0">
      <w:pPr>
        <w:pStyle w:val="Heading3"/>
        <w:spacing w:before="480"/>
      </w:pPr>
      <w:bookmarkStart w:id="1255" w:name="_Toc32570689"/>
      <w:r w:rsidRPr="009660EC">
        <w:t>5.8.7</w:t>
      </w:r>
      <w:r w:rsidRPr="009660EC">
        <w:tab/>
        <w:t>Source-specific planned improvements</w:t>
      </w:r>
      <w:bookmarkEnd w:id="1255"/>
    </w:p>
    <w:p w14:paraId="5EC6143F" w14:textId="77777777" w:rsidR="004543E0" w:rsidRPr="009660EC" w:rsidRDefault="004543E0" w:rsidP="004543E0">
      <w:pPr>
        <w:pStyle w:val="BodyText"/>
        <w:rPr>
          <w:rFonts w:cs="Calibri"/>
        </w:rPr>
      </w:pPr>
      <w:r w:rsidRPr="009660EC">
        <w:rPr>
          <w:rFonts w:cs="Calibri"/>
        </w:rPr>
        <w:t xml:space="preserve">No improvements are currently planned. </w:t>
      </w:r>
    </w:p>
    <w:p w14:paraId="70038DAD" w14:textId="77777777" w:rsidR="004543E0" w:rsidRPr="009660EC" w:rsidRDefault="004543E0" w:rsidP="004543E0">
      <w:pPr>
        <w:pStyle w:val="Heading2"/>
      </w:pPr>
      <w:bookmarkStart w:id="1256" w:name="_Toc448321530"/>
      <w:bookmarkStart w:id="1257" w:name="_Toc481751392"/>
      <w:bookmarkStart w:id="1258" w:name="_Toc511116607"/>
      <w:bookmarkStart w:id="1259" w:name="_Toc5269369"/>
      <w:bookmarkStart w:id="1260" w:name="_Toc32570690"/>
      <w:bookmarkStart w:id="1261" w:name="_Toc36224409"/>
      <w:bookmarkStart w:id="1262" w:name="_Toc68786329"/>
      <w:bookmarkStart w:id="1263" w:name="_Toc99659136"/>
      <w:r w:rsidRPr="009660EC">
        <w:lastRenderedPageBreak/>
        <w:t>5.9</w:t>
      </w:r>
      <w:r w:rsidRPr="009660EC">
        <w:tab/>
        <w:t>Urea application (CRF 3.H)</w:t>
      </w:r>
      <w:bookmarkEnd w:id="1256"/>
      <w:bookmarkEnd w:id="1257"/>
      <w:bookmarkEnd w:id="1258"/>
      <w:bookmarkEnd w:id="1259"/>
      <w:bookmarkEnd w:id="1260"/>
      <w:bookmarkEnd w:id="1261"/>
      <w:bookmarkEnd w:id="1262"/>
      <w:bookmarkEnd w:id="1263"/>
    </w:p>
    <w:p w14:paraId="535F090D" w14:textId="77777777" w:rsidR="004543E0" w:rsidRPr="009660EC" w:rsidRDefault="004543E0" w:rsidP="004543E0">
      <w:pPr>
        <w:pStyle w:val="Heading3"/>
        <w:spacing w:before="240"/>
      </w:pPr>
      <w:bookmarkStart w:id="1264" w:name="_Toc32570691"/>
      <w:r w:rsidRPr="009660EC">
        <w:t>5.9.1</w:t>
      </w:r>
      <w:r w:rsidRPr="009660EC">
        <w:tab/>
        <w:t>Description</w:t>
      </w:r>
      <w:bookmarkEnd w:id="1264"/>
    </w:p>
    <w:p w14:paraId="7FEB2471" w14:textId="77777777" w:rsidR="004543E0" w:rsidRPr="009660EC" w:rsidRDefault="004543E0" w:rsidP="004543E0">
      <w:pPr>
        <w:pStyle w:val="BodyText"/>
      </w:pPr>
      <w:r w:rsidRPr="009660EC">
        <w:t xml:space="preserve">Urea fertiliser accounts for the majority of synthetic nitrogen fertiliser used in New Zealand. It is mainly applied to dairy pasture land to boost pasture growth during the autumn and spring months. </w:t>
      </w:r>
    </w:p>
    <w:p w14:paraId="7AE1F264" w14:textId="77777777" w:rsidR="004543E0" w:rsidRPr="009660EC" w:rsidRDefault="004543E0" w:rsidP="004543E0">
      <w:pPr>
        <w:pStyle w:val="BodyText"/>
      </w:pPr>
      <w:r w:rsidRPr="009660EC">
        <w:rPr>
          <w:i/>
        </w:rPr>
        <w:t>Urea application</w:t>
      </w:r>
      <w:r w:rsidRPr="009660EC">
        <w:t xml:space="preserve"> was identified as a key category for the Agriculture sector in 2020 (level and trend assessment).</w:t>
      </w:r>
    </w:p>
    <w:p w14:paraId="491CE388" w14:textId="77777777" w:rsidR="004543E0" w:rsidRPr="009660EC" w:rsidRDefault="004543E0" w:rsidP="004543E0">
      <w:pPr>
        <w:pStyle w:val="BodyText"/>
      </w:pPr>
      <w:r w:rsidRPr="009660EC">
        <w:rPr>
          <w:i/>
        </w:rPr>
        <w:t>Urea application</w:t>
      </w:r>
      <w:r w:rsidRPr="009660EC">
        <w:t xml:space="preserve"> contributed an estimated 542.0 kt CO</w:t>
      </w:r>
      <w:r w:rsidRPr="009660EC">
        <w:rPr>
          <w:vertAlign w:val="subscript"/>
        </w:rPr>
        <w:t>2</w:t>
      </w:r>
      <w:r w:rsidRPr="009660EC">
        <w:t>,</w:t>
      </w:r>
      <w:r w:rsidRPr="009660EC">
        <w:rPr>
          <w:vertAlign w:val="subscript"/>
        </w:rPr>
        <w:t xml:space="preserve"> </w:t>
      </w:r>
      <w:r w:rsidRPr="009660EC">
        <w:t xml:space="preserve">representing 0.7 per cent of New Zealand’s gross emissions and 1.4 per cent of </w:t>
      </w:r>
      <w:r w:rsidRPr="009660EC">
        <w:rPr>
          <w:iCs/>
        </w:rPr>
        <w:t xml:space="preserve">Agriculture </w:t>
      </w:r>
      <w:r w:rsidRPr="009660EC">
        <w:t>emissions in 2020.</w:t>
      </w:r>
    </w:p>
    <w:p w14:paraId="7451C653" w14:textId="77777777" w:rsidR="004543E0" w:rsidRPr="009660EC" w:rsidRDefault="004543E0" w:rsidP="004543E0">
      <w:pPr>
        <w:pStyle w:val="BodyText"/>
      </w:pPr>
      <w:r w:rsidRPr="009660EC">
        <w:t xml:space="preserve">Emissions from </w:t>
      </w:r>
      <w:r w:rsidRPr="009660EC">
        <w:rPr>
          <w:i/>
        </w:rPr>
        <w:t>Urea application</w:t>
      </w:r>
      <w:r w:rsidRPr="009660EC">
        <w:t xml:space="preserve"> increased 1,282.9 per cent between 1990 and 2020. Since 1990, the proportion of urea fertiliser applied (relative to total synthetic nitrogen fertiliser use) increased from 41.5 per cent to 72.3 per cent.</w:t>
      </w:r>
    </w:p>
    <w:p w14:paraId="003249E7" w14:textId="77777777" w:rsidR="004543E0" w:rsidRPr="009660EC" w:rsidRDefault="004543E0" w:rsidP="004543E0">
      <w:pPr>
        <w:pStyle w:val="Heading3"/>
      </w:pPr>
      <w:bookmarkStart w:id="1265" w:name="_Toc32570692"/>
      <w:r w:rsidRPr="009660EC">
        <w:t>5.9.2</w:t>
      </w:r>
      <w:r w:rsidRPr="009660EC">
        <w:tab/>
        <w:t>Methodological issues</w:t>
      </w:r>
      <w:bookmarkEnd w:id="1265"/>
    </w:p>
    <w:p w14:paraId="2449DE30" w14:textId="77777777" w:rsidR="004543E0" w:rsidRPr="009660EC" w:rsidRDefault="004543E0" w:rsidP="004543E0">
      <w:pPr>
        <w:pStyle w:val="BodyText"/>
      </w:pPr>
      <w:r w:rsidRPr="009660EC">
        <w:t>There is no country-specific methodology on CO</w:t>
      </w:r>
      <w:r w:rsidRPr="009660EC">
        <w:rPr>
          <w:vertAlign w:val="subscript"/>
        </w:rPr>
        <w:t>2</w:t>
      </w:r>
      <w:r w:rsidRPr="009660EC">
        <w:t xml:space="preserve"> emissions from </w:t>
      </w:r>
      <w:r w:rsidRPr="009660EC">
        <w:rPr>
          <w:i/>
        </w:rPr>
        <w:t>Urea application</w:t>
      </w:r>
      <w:r w:rsidRPr="009660EC">
        <w:t xml:space="preserve"> for New Zealand. Emissions associated with the application of urea are estimated using a Tier 1 methodology (equation 11.13; IPCC, 2006), using the default emission factor for carbon conversion of 0.20. </w:t>
      </w:r>
    </w:p>
    <w:p w14:paraId="40DDA4EA" w14:textId="77777777" w:rsidR="004543E0" w:rsidRPr="009660EC" w:rsidRDefault="004543E0" w:rsidP="004543E0">
      <w:pPr>
        <w:pStyle w:val="BodyText"/>
      </w:pPr>
      <w:r w:rsidRPr="009660EC">
        <w:t>Research into urease inhibitors (see section 5.5.2) has demonstrated they are effective in slowing down the activity of the urease enzyme that hydrolyses urea to ammonium (as reported in section 5.5.2), but they do not reduce the release of CO</w:t>
      </w:r>
      <w:r w:rsidRPr="009660EC">
        <w:rPr>
          <w:vertAlign w:val="subscript"/>
        </w:rPr>
        <w:t>2</w:t>
      </w:r>
      <w:r w:rsidRPr="009660EC">
        <w:t xml:space="preserve"> (S Saggar, pers. comm., 2014).</w:t>
      </w:r>
    </w:p>
    <w:p w14:paraId="120C8631" w14:textId="77777777" w:rsidR="004543E0" w:rsidRPr="009660EC" w:rsidRDefault="004543E0" w:rsidP="004543E0">
      <w:pPr>
        <w:pStyle w:val="Heading3"/>
      </w:pPr>
      <w:bookmarkStart w:id="1266" w:name="_Toc32570693"/>
      <w:r w:rsidRPr="009660EC">
        <w:t>5.9.3</w:t>
      </w:r>
      <w:r w:rsidRPr="009660EC">
        <w:tab/>
        <w:t>Activity data</w:t>
      </w:r>
      <w:bookmarkEnd w:id="1266"/>
    </w:p>
    <w:p w14:paraId="0584CFD5" w14:textId="77777777" w:rsidR="004543E0" w:rsidRPr="009660EC" w:rsidRDefault="004543E0" w:rsidP="004543E0">
      <w:pPr>
        <w:pStyle w:val="BodyText"/>
        <w:rPr>
          <w:rFonts w:cs="Calibri"/>
        </w:rPr>
      </w:pPr>
      <w:r w:rsidRPr="009660EC">
        <w:rPr>
          <w:rFonts w:cs="Calibri"/>
        </w:rPr>
        <w:t xml:space="preserve">Data on the volume of synthetic nitrogen fertiliser used are provided by the Fertiliser Association of New Zealand from fertiliser company sales records from 1990 to 2020. From 1990 to 2013, data on the percentage of synthetic nitrogen fertiliser derived from urea were sourced from the International Fertilizer Industry Association online database and are used to calculate the amount of applied urea fertiliser. Since 2014, data for total nitrogen from synthetic nitrogen fertiliser derived from urea have been provided by the Fertiliser Association of New Zealand. </w:t>
      </w:r>
    </w:p>
    <w:p w14:paraId="5325E389" w14:textId="77777777" w:rsidR="004543E0" w:rsidRPr="009660EC" w:rsidRDefault="004543E0" w:rsidP="004543E0">
      <w:pPr>
        <w:pStyle w:val="BodyText"/>
        <w:rPr>
          <w:rFonts w:cs="Calibri"/>
        </w:rPr>
      </w:pPr>
      <w:r w:rsidRPr="009660EC">
        <w:rPr>
          <w:rFonts w:cs="Calibri"/>
        </w:rPr>
        <w:t xml:space="preserve">A large increase has occurred in nitrogen applied to agricultural land as urea fertiliser, from 24,586 tonnes in 1990 to 340,000 tonnes in 2020. This is consistent with the increase in the total amount of synthetic nitrogen fertiliser applied, which is 693.0 per cent greater than that used in 1990 (see reporting on the </w:t>
      </w:r>
      <w:r w:rsidRPr="009660EC">
        <w:rPr>
          <w:rFonts w:cs="Calibri"/>
          <w:i/>
          <w:iCs/>
        </w:rPr>
        <w:t>Agricultural soils</w:t>
      </w:r>
      <w:r w:rsidRPr="009660EC">
        <w:rPr>
          <w:rFonts w:cs="Calibri"/>
        </w:rPr>
        <w:t xml:space="preserve"> category and figure 5.5.2). </w:t>
      </w:r>
    </w:p>
    <w:p w14:paraId="6F96F1B5" w14:textId="77777777" w:rsidR="004543E0" w:rsidRPr="009660EC" w:rsidRDefault="004543E0" w:rsidP="004543E0">
      <w:pPr>
        <w:pStyle w:val="Heading3"/>
      </w:pPr>
      <w:bookmarkStart w:id="1267" w:name="_Toc32570694"/>
      <w:r w:rsidRPr="009660EC">
        <w:t>5.9.4</w:t>
      </w:r>
      <w:r w:rsidRPr="009660EC">
        <w:tab/>
        <w:t>Uncertainties and time-series consistency</w:t>
      </w:r>
      <w:bookmarkEnd w:id="1267"/>
    </w:p>
    <w:p w14:paraId="0CC39F06" w14:textId="77777777" w:rsidR="004543E0" w:rsidRPr="009660EC" w:rsidRDefault="004543E0" w:rsidP="004543E0">
      <w:pPr>
        <w:pStyle w:val="BodyText"/>
        <w:rPr>
          <w:rFonts w:cs="Calibri"/>
        </w:rPr>
      </w:pPr>
      <w:r w:rsidRPr="009660EC">
        <w:rPr>
          <w:rFonts w:cs="Calibri"/>
        </w:rPr>
        <w:t>Under the IPCC (2006) Tier 1 methodology, default emission factors are used, which are based on the chemical formulae of urea and assume all carbon in urea is emitted as CO</w:t>
      </w:r>
      <w:r w:rsidRPr="009660EC">
        <w:rPr>
          <w:rFonts w:cs="Calibri"/>
          <w:vertAlign w:val="subscript"/>
        </w:rPr>
        <w:t>2</w:t>
      </w:r>
      <w:r w:rsidRPr="009660EC">
        <w:rPr>
          <w:rFonts w:cs="Calibri"/>
        </w:rPr>
        <w:t xml:space="preserve"> into the atmosphere. However, the 2006 IPCC Guidelines state that the maximum available carbon is not necessarily lost and that the emissions could be up to 50 per cent lower. This gives a lower uncertainty estimate of –50 per cent and an upper uncertainty estimate of 0 per cent.</w:t>
      </w:r>
      <w:r w:rsidRPr="009660EC" w:rsidDel="00D42FD1">
        <w:rPr>
          <w:rFonts w:cs="Calibri"/>
        </w:rPr>
        <w:t xml:space="preserve"> </w:t>
      </w:r>
    </w:p>
    <w:p w14:paraId="47B85CCE" w14:textId="77777777" w:rsidR="004543E0" w:rsidRPr="009660EC" w:rsidRDefault="004543E0" w:rsidP="004543E0">
      <w:pPr>
        <w:pStyle w:val="BodyText"/>
        <w:rPr>
          <w:rFonts w:cs="Calibri"/>
        </w:rPr>
      </w:pPr>
      <w:r w:rsidRPr="009660EC">
        <w:rPr>
          <w:rFonts w:cs="Calibri"/>
        </w:rPr>
        <w:lastRenderedPageBreak/>
        <w:t xml:space="preserve">Sales data for synthetic nitrogen fertiliser have been supplied for all years by the Fertiliser Association of New Zealand, but the uncertainties in this data are not known. </w:t>
      </w:r>
    </w:p>
    <w:p w14:paraId="06CD2A73" w14:textId="77777777" w:rsidR="004543E0" w:rsidRPr="009660EC" w:rsidRDefault="004543E0" w:rsidP="004543E0">
      <w:pPr>
        <w:pStyle w:val="Heading3"/>
      </w:pPr>
      <w:bookmarkStart w:id="1268" w:name="_Toc32570695"/>
      <w:r w:rsidRPr="009660EC">
        <w:t>5.9.5</w:t>
      </w:r>
      <w:r w:rsidRPr="009660EC">
        <w:tab/>
        <w:t>Source-specific QA/QC and verification</w:t>
      </w:r>
      <w:bookmarkEnd w:id="1268"/>
    </w:p>
    <w:p w14:paraId="07E22891" w14:textId="77777777" w:rsidR="004543E0" w:rsidRPr="009660EC" w:rsidRDefault="004543E0" w:rsidP="004543E0">
      <w:pPr>
        <w:pStyle w:val="BodyText"/>
        <w:rPr>
          <w:rFonts w:cs="Calibri"/>
        </w:rPr>
      </w:pPr>
      <w:r w:rsidRPr="009660EC">
        <w:rPr>
          <w:rFonts w:cs="Calibri"/>
        </w:rPr>
        <w:t>In the preparation of this inventory, the data for urea fertiliser underwent Tier 1 quality checks. The Fertiliser Association of New Zealand, the organisation that collects the sales activity information for synthetic nitrogen fertiliser, also carries out a series of quality</w:t>
      </w:r>
      <w:r w:rsidRPr="009660EC">
        <w:rPr>
          <w:rFonts w:cs="Calibri"/>
        </w:rPr>
        <w:noBreakHyphen/>
        <w:t>assurance and quality-control procedures as a part of the data collection carried out each year and provides this data to the International Fertilizer Industry Association.</w:t>
      </w:r>
    </w:p>
    <w:p w14:paraId="0A3AEB4A" w14:textId="77777777" w:rsidR="004543E0" w:rsidRPr="009660EC" w:rsidRDefault="004543E0" w:rsidP="004543E0">
      <w:pPr>
        <w:pStyle w:val="Heading3"/>
      </w:pPr>
      <w:bookmarkStart w:id="1269" w:name="_Toc32570696"/>
      <w:r w:rsidRPr="009660EC">
        <w:t>5.9.6</w:t>
      </w:r>
      <w:r w:rsidRPr="009660EC">
        <w:tab/>
        <w:t>Source-specific recalculations</w:t>
      </w:r>
      <w:bookmarkEnd w:id="1269"/>
    </w:p>
    <w:p w14:paraId="11613A98" w14:textId="77777777" w:rsidR="004543E0" w:rsidRPr="009660EC" w:rsidRDefault="004543E0" w:rsidP="004543E0">
      <w:pPr>
        <w:pStyle w:val="BodyText"/>
        <w:rPr>
          <w:rFonts w:cs="Calibri"/>
        </w:rPr>
      </w:pPr>
      <w:r w:rsidRPr="009660EC">
        <w:rPr>
          <w:rFonts w:cs="Calibri"/>
        </w:rPr>
        <w:t>No recalculations have been performed for CO</w:t>
      </w:r>
      <w:r w:rsidRPr="009660EC">
        <w:rPr>
          <w:rFonts w:cs="Calibri"/>
          <w:vertAlign w:val="subscript"/>
        </w:rPr>
        <w:t>2</w:t>
      </w:r>
      <w:r w:rsidRPr="009660EC">
        <w:rPr>
          <w:rFonts w:cs="Calibri"/>
        </w:rPr>
        <w:t xml:space="preserve"> emissions from urea in the 2022 (1990 to 2020) submission.</w:t>
      </w:r>
    </w:p>
    <w:p w14:paraId="5A11A259" w14:textId="77777777" w:rsidR="004543E0" w:rsidRPr="009660EC" w:rsidRDefault="004543E0" w:rsidP="004543E0">
      <w:pPr>
        <w:pStyle w:val="Heading3"/>
      </w:pPr>
      <w:bookmarkStart w:id="1270" w:name="_Toc32570697"/>
      <w:r w:rsidRPr="009660EC">
        <w:t>5.9.7</w:t>
      </w:r>
      <w:r w:rsidRPr="009660EC">
        <w:tab/>
        <w:t>Source-specific planned improvements</w:t>
      </w:r>
      <w:bookmarkEnd w:id="1270"/>
    </w:p>
    <w:p w14:paraId="718E14F5" w14:textId="77777777" w:rsidR="004543E0" w:rsidRPr="009660EC" w:rsidRDefault="004543E0" w:rsidP="004543E0">
      <w:pPr>
        <w:pStyle w:val="BodyText"/>
        <w:rPr>
          <w:rFonts w:cs="Calibri"/>
        </w:rPr>
      </w:pPr>
      <w:r w:rsidRPr="009660EC">
        <w:rPr>
          <w:rFonts w:cs="Calibri"/>
        </w:rPr>
        <w:t>New Zealand will continue to update activity data on urea as the data become available from the Fertiliser Association of New Zealand.</w:t>
      </w:r>
    </w:p>
    <w:p w14:paraId="72C6F908" w14:textId="77777777" w:rsidR="004543E0" w:rsidRPr="009660EC" w:rsidRDefault="004543E0" w:rsidP="004543E0">
      <w:pPr>
        <w:pStyle w:val="Heading2"/>
      </w:pPr>
      <w:bookmarkStart w:id="1271" w:name="_Toc448321531"/>
      <w:bookmarkStart w:id="1272" w:name="_Toc481751393"/>
      <w:bookmarkStart w:id="1273" w:name="_Toc511116608"/>
      <w:bookmarkStart w:id="1274" w:name="_Toc5269370"/>
      <w:bookmarkStart w:id="1275" w:name="_Toc32570698"/>
      <w:bookmarkStart w:id="1276" w:name="_Toc36224410"/>
      <w:bookmarkStart w:id="1277" w:name="_Toc68786330"/>
      <w:bookmarkStart w:id="1278" w:name="_Toc99659137"/>
      <w:r w:rsidRPr="009660EC">
        <w:t xml:space="preserve">5.10 </w:t>
      </w:r>
      <w:r w:rsidRPr="009660EC">
        <w:tab/>
        <w:t>Other carbon-containing fertilisers (CRF 3.I)</w:t>
      </w:r>
      <w:bookmarkEnd w:id="1271"/>
      <w:bookmarkEnd w:id="1272"/>
      <w:bookmarkEnd w:id="1273"/>
      <w:bookmarkEnd w:id="1274"/>
      <w:bookmarkEnd w:id="1275"/>
      <w:bookmarkEnd w:id="1276"/>
      <w:bookmarkEnd w:id="1277"/>
      <w:bookmarkEnd w:id="1278"/>
    </w:p>
    <w:p w14:paraId="564C95D3" w14:textId="77777777" w:rsidR="004543E0" w:rsidRPr="009660EC" w:rsidRDefault="004543E0" w:rsidP="004543E0">
      <w:pPr>
        <w:pStyle w:val="Heading3"/>
        <w:spacing w:before="240"/>
      </w:pPr>
      <w:bookmarkStart w:id="1279" w:name="_Toc32570699"/>
      <w:r w:rsidRPr="009660EC">
        <w:t>5.10.1</w:t>
      </w:r>
      <w:r w:rsidRPr="009660EC">
        <w:tab/>
        <w:t>Description</w:t>
      </w:r>
      <w:bookmarkEnd w:id="1279"/>
    </w:p>
    <w:p w14:paraId="531CAB79" w14:textId="77777777" w:rsidR="004543E0" w:rsidRPr="009660EC" w:rsidRDefault="004543E0" w:rsidP="004543E0">
      <w:pPr>
        <w:pStyle w:val="BodyText"/>
      </w:pPr>
      <w:r w:rsidRPr="009660EC">
        <w:t xml:space="preserve">The IPCC (2006) Guidelines do not provide guidance for reporting on other carbon-containing fertilisers. Other carbon-containing synthetic fertilisers besides limestone, dolomite and urea (see sections 5.8 and 5.9) are not applied to agricultural land in New Zealand (T van der Weerden and C de Klein, pers. comm., 2015). </w:t>
      </w:r>
    </w:p>
    <w:p w14:paraId="0DEB2969" w14:textId="77777777" w:rsidR="004543E0" w:rsidRPr="009660EC" w:rsidRDefault="004543E0" w:rsidP="004543E0">
      <w:pPr>
        <w:pStyle w:val="Heading2"/>
        <w:spacing w:before="240" w:after="240"/>
      </w:pPr>
      <w:bookmarkStart w:id="1280" w:name="_Toc352504866"/>
      <w:bookmarkStart w:id="1281" w:name="_Toc448321532"/>
      <w:bookmarkStart w:id="1282" w:name="_Toc481751394"/>
      <w:bookmarkStart w:id="1283" w:name="_Toc511116609"/>
      <w:bookmarkStart w:id="1284" w:name="_Toc5269371"/>
      <w:bookmarkStart w:id="1285" w:name="_Toc32570700"/>
      <w:r w:rsidRPr="009660EC">
        <w:rPr>
          <w:rStyle w:val="BodyTextChar"/>
        </w:rPr>
        <w:br w:type="page"/>
      </w:r>
      <w:bookmarkStart w:id="1286" w:name="_Toc36224411"/>
      <w:bookmarkStart w:id="1287" w:name="_Toc68786331"/>
      <w:bookmarkStart w:id="1288" w:name="_Toc99659138"/>
      <w:r w:rsidRPr="009660EC">
        <w:lastRenderedPageBreak/>
        <w:t>Chapter 5: References</w:t>
      </w:r>
      <w:bookmarkEnd w:id="1280"/>
      <w:bookmarkEnd w:id="1281"/>
      <w:bookmarkEnd w:id="1282"/>
      <w:bookmarkEnd w:id="1283"/>
      <w:bookmarkEnd w:id="1284"/>
      <w:bookmarkEnd w:id="1285"/>
      <w:bookmarkEnd w:id="1286"/>
      <w:bookmarkEnd w:id="1287"/>
      <w:bookmarkEnd w:id="1288"/>
    </w:p>
    <w:p w14:paraId="11A05C91" w14:textId="77777777" w:rsidR="004543E0" w:rsidRPr="009660EC" w:rsidRDefault="004543E0" w:rsidP="004543E0">
      <w:pPr>
        <w:pStyle w:val="BodyText"/>
        <w:rPr>
          <w:rFonts w:cs="Calibri"/>
        </w:rPr>
      </w:pPr>
      <w:r w:rsidRPr="009660EC">
        <w:rPr>
          <w:rFonts w:cs="Calibri"/>
        </w:rPr>
        <w:t xml:space="preserve">Some references may be downloaded </w:t>
      </w:r>
      <w:r w:rsidRPr="009660EC">
        <w:t xml:space="preserve">directly from: </w:t>
      </w:r>
      <w:hyperlink r:id="rId188" w:history="1">
        <w:r w:rsidRPr="009660EC">
          <w:rPr>
            <w:rStyle w:val="Hyperlink"/>
          </w:rPr>
          <w:t>http://mpi.govt.nz/news-and-resources/statistics-and-forecasting/greenhouse-gas-reporting/agriculture-greenhouse-gas-inventory-reports</w:t>
        </w:r>
      </w:hyperlink>
      <w:r w:rsidRPr="009660EC">
        <w:rPr>
          <w:rFonts w:cs="Calibri"/>
        </w:rPr>
        <w:t>.</w:t>
      </w:r>
    </w:p>
    <w:p w14:paraId="500BDBB9" w14:textId="77777777" w:rsidR="004543E0" w:rsidRPr="009660EC" w:rsidRDefault="004543E0" w:rsidP="004543E0">
      <w:pPr>
        <w:pStyle w:val="BodyText"/>
        <w:spacing w:after="240"/>
        <w:rPr>
          <w:rFonts w:cs="Calibri"/>
        </w:rPr>
      </w:pPr>
      <w:r w:rsidRPr="009660EC">
        <w:rPr>
          <w:rFonts w:cs="Calibri"/>
        </w:rPr>
        <w:t xml:space="preserve">MPI is progressively making reports used for the inventory available on this page, where copyright permits. </w:t>
      </w:r>
    </w:p>
    <w:p w14:paraId="71F9391F" w14:textId="77777777" w:rsidR="004543E0" w:rsidRPr="009660EC" w:rsidRDefault="004543E0" w:rsidP="004543E0">
      <w:pPr>
        <w:pStyle w:val="References"/>
      </w:pPr>
      <w:bookmarkStart w:id="1289" w:name="statsNZref"/>
      <w:bookmarkEnd w:id="1289"/>
      <w:r w:rsidRPr="009660EC">
        <w:t xml:space="preserve">Australian Government. Unpublished. Mutual Review of Components of National Inventory Systems: A Review between Australia and New Zealand. Provided by the Australian Government in 2014. </w:t>
      </w:r>
    </w:p>
    <w:p w14:paraId="01115034" w14:textId="77777777" w:rsidR="004543E0" w:rsidRPr="009660EC" w:rsidRDefault="004543E0" w:rsidP="004543E0">
      <w:pPr>
        <w:pStyle w:val="References"/>
      </w:pPr>
      <w:r w:rsidRPr="009660EC">
        <w:t xml:space="preserve">DataGene Limited. 2018. </w:t>
      </w:r>
      <w:r w:rsidRPr="009660EC">
        <w:rPr>
          <w:i/>
          <w:iCs/>
        </w:rPr>
        <w:t>Australian Dairy Herd Improvement Report</w:t>
      </w:r>
      <w:r w:rsidRPr="009660EC">
        <w:t>. Melbourne: DataGene Limited.</w:t>
      </w:r>
    </w:p>
    <w:p w14:paraId="103E8AC6" w14:textId="77777777" w:rsidR="004543E0" w:rsidRPr="009660EC" w:rsidRDefault="004543E0" w:rsidP="004543E0">
      <w:pPr>
        <w:pStyle w:val="References"/>
      </w:pPr>
      <w:r w:rsidRPr="009660EC">
        <w:t>Beare M, Thomas S, Clemens G, Hernandez-Ramirez G. Unpublished. Contributions of Pasture Renewal and N Mineralisation to N2O Emissions from Pastoral Farming Systems. Report prepared for the Ministry for Primary Industries by Plant and Food Research in 2012.</w:t>
      </w:r>
    </w:p>
    <w:p w14:paraId="4A5E8407" w14:textId="77777777" w:rsidR="004543E0" w:rsidRPr="009660EC" w:rsidRDefault="004543E0" w:rsidP="004543E0">
      <w:pPr>
        <w:pStyle w:val="References"/>
      </w:pPr>
      <w:r w:rsidRPr="009660EC">
        <w:t xml:space="preserve">Beef + Lamb New Zealand Ltd. 2021. </w:t>
      </w:r>
      <w:r w:rsidRPr="009660EC">
        <w:rPr>
          <w:i/>
          <w:iCs/>
        </w:rPr>
        <w:t>Mid-Season Update 2020–21</w:t>
      </w:r>
      <w:r w:rsidRPr="009660EC">
        <w:t>. Wellington: Beef + Lamb New Zealand Ltd.</w:t>
      </w:r>
    </w:p>
    <w:p w14:paraId="26FBEB6E" w14:textId="77777777" w:rsidR="004543E0" w:rsidRPr="009660EC" w:rsidRDefault="004543E0" w:rsidP="004543E0">
      <w:pPr>
        <w:pStyle w:val="References"/>
      </w:pPr>
      <w:r w:rsidRPr="009660EC">
        <w:t xml:space="preserve">Bown MD, Thomson BC, Muir PD. 2013. </w:t>
      </w:r>
      <w:r w:rsidRPr="009660EC">
        <w:rPr>
          <w:i/>
          <w:iCs/>
        </w:rPr>
        <w:t>Evaluation of the Values for Pasture ME and N Content used in the National Greenhouse Gas Inventory</w:t>
      </w:r>
      <w:r w:rsidRPr="009660EC">
        <w:t>. Report prepared for the Ministry for Primary Industries by On-Farm Research. Wellington: Ministry for Primary Industries.</w:t>
      </w:r>
    </w:p>
    <w:p w14:paraId="2983A5E4" w14:textId="77777777" w:rsidR="004543E0" w:rsidRPr="009660EC" w:rsidRDefault="004543E0" w:rsidP="004543E0">
      <w:pPr>
        <w:pStyle w:val="References"/>
      </w:pPr>
      <w:r w:rsidRPr="009660EC">
        <w:t>Burggraaf V, Rollo M, de Klein CAM, Lio, J. Unpublished. A review of greenhouse gas emissions inventory methodology for farmed goats in New Zealand. Report prepared for the Ministry for Primary Industries by AgResearch in 2019.</w:t>
      </w:r>
    </w:p>
    <w:p w14:paraId="3A7FE7E2" w14:textId="77777777" w:rsidR="004543E0" w:rsidRPr="009660EC" w:rsidRDefault="004543E0" w:rsidP="004543E0">
      <w:pPr>
        <w:pStyle w:val="References"/>
      </w:pPr>
      <w:r w:rsidRPr="009660EC">
        <w:t>Carran RA, Dewar D, Theobald PW. Unpublished. Methane and Nitrous Oxide Emissions from Sheep Dung. Report prepared for the Ministry of Agriculture and Forestry by the New Zealand Pastoral Agricultural Research Institute in 2003.</w:t>
      </w:r>
    </w:p>
    <w:p w14:paraId="57EF8A96" w14:textId="77777777" w:rsidR="004543E0" w:rsidRPr="009660EC" w:rsidRDefault="004543E0" w:rsidP="004543E0">
      <w:pPr>
        <w:pStyle w:val="References"/>
      </w:pPr>
      <w:r w:rsidRPr="009660EC">
        <w:t xml:space="preserve">Carran RA, Theobold PW, Evans JP. 1995. Emissions of nitrous oxide from some grazed pasture soils in New Zealand. </w:t>
      </w:r>
      <w:r w:rsidRPr="009660EC">
        <w:rPr>
          <w:i/>
          <w:iCs/>
        </w:rPr>
        <w:t>Australian Journal of Soil Research</w:t>
      </w:r>
      <w:r w:rsidRPr="009660EC">
        <w:t xml:space="preserve"> 33: 341–352.</w:t>
      </w:r>
    </w:p>
    <w:p w14:paraId="1BA49342" w14:textId="77777777" w:rsidR="004543E0" w:rsidRPr="009660EC" w:rsidRDefault="004543E0" w:rsidP="004543E0">
      <w:pPr>
        <w:pStyle w:val="References"/>
      </w:pPr>
      <w:r w:rsidRPr="009660EC">
        <w:t>Chen D, Li Y, Kelly K, Eckard R. 2010. Simulation of N</w:t>
      </w:r>
      <w:r w:rsidRPr="009660EC">
        <w:rPr>
          <w:vertAlign w:val="subscript"/>
        </w:rPr>
        <w:t>2</w:t>
      </w:r>
      <w:r w:rsidRPr="009660EC">
        <w:t xml:space="preserve">O emissions from an irrigated dairy pasture treated with urea and urine in Southeastern Australia. </w:t>
      </w:r>
      <w:r w:rsidRPr="009660EC">
        <w:rPr>
          <w:i/>
          <w:iCs/>
        </w:rPr>
        <w:t>Agriculture, Ecosystems &amp; Environment</w:t>
      </w:r>
      <w:r w:rsidRPr="009660EC">
        <w:t xml:space="preserve"> </w:t>
      </w:r>
      <w:r w:rsidRPr="009660EC">
        <w:br/>
        <w:t>136(3–4): 333–342.</w:t>
      </w:r>
    </w:p>
    <w:p w14:paraId="13B1FAA2" w14:textId="77777777" w:rsidR="004543E0" w:rsidRPr="009660EC" w:rsidRDefault="004543E0" w:rsidP="004543E0">
      <w:pPr>
        <w:pStyle w:val="References"/>
      </w:pPr>
      <w:r w:rsidRPr="009660EC">
        <w:t xml:space="preserve">Cichota R, Brown H, Snow VO, Wheeler DM, Hedderley D, Zyskowski R, Thomas S. 2010. A nitrogen balance model for environmental accountability in cropping systems. </w:t>
      </w:r>
      <w:r w:rsidRPr="009660EC">
        <w:rPr>
          <w:i/>
          <w:iCs/>
        </w:rPr>
        <w:t>New Zealand Journal of Crop and Horticultural Science</w:t>
      </w:r>
      <w:r w:rsidRPr="009660EC">
        <w:t xml:space="preserve"> 38: 189–207. </w:t>
      </w:r>
    </w:p>
    <w:p w14:paraId="2DE8E069" w14:textId="77777777" w:rsidR="004543E0" w:rsidRPr="009660EC" w:rsidRDefault="004543E0" w:rsidP="004543E0">
      <w:pPr>
        <w:pStyle w:val="References"/>
      </w:pPr>
      <w:r w:rsidRPr="009660EC">
        <w:t xml:space="preserve">Clark H, Brookes I, Walcroft A. 2003. </w:t>
      </w:r>
      <w:r w:rsidRPr="009660EC">
        <w:rPr>
          <w:i/>
          <w:iCs/>
        </w:rPr>
        <w:t xml:space="preserve">Enteric Methane Emissions from New Zealand Ruminants </w:t>
      </w:r>
      <w:r w:rsidRPr="009660EC">
        <w:rPr>
          <w:i/>
          <w:iCs/>
        </w:rPr>
        <w:br/>
        <w:t>1990–2001 Calculated Using an IPCC Tier 2 Approach</w:t>
      </w:r>
      <w:r w:rsidRPr="009660EC">
        <w:t>. Report prepared for the Ministry of Agriculture and Forestry by AgResearch and Massey University. Wellington: Ministry of Agriculture and Forestry.</w:t>
      </w:r>
    </w:p>
    <w:p w14:paraId="59F5E187" w14:textId="77777777" w:rsidR="004543E0" w:rsidRPr="009660EC" w:rsidRDefault="004543E0" w:rsidP="004543E0">
      <w:pPr>
        <w:pStyle w:val="References"/>
      </w:pPr>
      <w:r w:rsidRPr="009660EC">
        <w:t xml:space="preserve">Clark H. 2008a. </w:t>
      </w:r>
      <w:r w:rsidRPr="009660EC">
        <w:rPr>
          <w:i/>
          <w:iCs/>
        </w:rPr>
        <w:t>A Comparison of Greenhouse Gas Emissions from the New Zealand Dairy Sector Calculated Using either a National or a Regional Approach</w:t>
      </w:r>
      <w:r w:rsidRPr="009660EC">
        <w:t>. Report prepared for the Ministry of Agriculture and Forestry by AgResearch. Wellington: Ministry of Agriculture and Forestry.</w:t>
      </w:r>
    </w:p>
    <w:p w14:paraId="48D9D986" w14:textId="77777777" w:rsidR="004543E0" w:rsidRPr="009660EC" w:rsidRDefault="004543E0" w:rsidP="004543E0">
      <w:pPr>
        <w:pStyle w:val="References"/>
      </w:pPr>
      <w:r w:rsidRPr="009660EC">
        <w:t xml:space="preserve">Clark H. 2008b. </w:t>
      </w:r>
      <w:r w:rsidRPr="009660EC">
        <w:rPr>
          <w:i/>
          <w:iCs/>
        </w:rPr>
        <w:t>Guidelines to Accompany Computerised Inventory</w:t>
      </w:r>
      <w:r w:rsidRPr="009660EC">
        <w:t>. Report prepared for the Ministry of Agriculture and Forestry by AgResearch. Wellington: Ministry of Agriculture and Forestry.</w:t>
      </w:r>
    </w:p>
    <w:p w14:paraId="687ACF94" w14:textId="77777777" w:rsidR="004543E0" w:rsidRPr="009660EC" w:rsidRDefault="004543E0" w:rsidP="004543E0">
      <w:pPr>
        <w:pStyle w:val="References"/>
      </w:pPr>
      <w:r w:rsidRPr="009660EC">
        <w:t xml:space="preserve">Clough TJ, Kelliher FM, Clark H, van der Weerden TJ. 2008. </w:t>
      </w:r>
      <w:r w:rsidRPr="009660EC">
        <w:rPr>
          <w:i/>
          <w:iCs/>
        </w:rPr>
        <w:t>Incorporation of the Nitrification Inhibitor DCD into New Zealand’s 2009 National Inventory</w:t>
      </w:r>
      <w:r w:rsidRPr="009660EC">
        <w:t>. Report prepared for the Ministry of Agriculture and Forestry by Lincoln University and AgResearch. Wellington: Ministry of Agriculture and Forestry.</w:t>
      </w:r>
    </w:p>
    <w:p w14:paraId="4A7A622B" w14:textId="77777777" w:rsidR="004543E0" w:rsidRPr="009660EC" w:rsidRDefault="004543E0" w:rsidP="004543E0">
      <w:pPr>
        <w:pStyle w:val="References"/>
      </w:pPr>
      <w:r w:rsidRPr="009660EC">
        <w:t>Clough TJ, Kelliher FM. Unpublished. Indirect Nitrous Oxide Emissions EF5. Report prepared for the Ministry for Primary Industries by Lincoln University in 2014.</w:t>
      </w:r>
    </w:p>
    <w:p w14:paraId="5414D9B2" w14:textId="77777777" w:rsidR="004543E0" w:rsidRPr="009660EC" w:rsidRDefault="004543E0" w:rsidP="004543E0">
      <w:pPr>
        <w:pStyle w:val="References"/>
        <w:keepLines/>
      </w:pPr>
      <w:r w:rsidRPr="009660EC">
        <w:lastRenderedPageBreak/>
        <w:t xml:space="preserve">Commonwealth of Australia. 2021. </w:t>
      </w:r>
      <w:r w:rsidRPr="009660EC">
        <w:rPr>
          <w:i/>
          <w:iCs/>
        </w:rPr>
        <w:t>National Inventory Report 2019 Australian Government Submission to the United Nations Framework Convention on Climate Change: Volume 1</w:t>
      </w:r>
      <w:r w:rsidRPr="009660EC">
        <w:t xml:space="preserve">. Canberra: Department of Industry, Science, Energy and Resources. Retrieved from </w:t>
      </w:r>
      <w:hyperlink r:id="rId189" w:history="1">
        <w:r w:rsidRPr="009660EC">
          <w:rPr>
            <w:rStyle w:val="Hyperlink"/>
          </w:rPr>
          <w:t>www.industry.gov.au/sites/default/files/ April%202021/document/national-inventory-report-2019-volume-1.pdf</w:t>
        </w:r>
      </w:hyperlink>
      <w:r w:rsidRPr="009660EC">
        <w:t xml:space="preserve"> (5 January 2022). </w:t>
      </w:r>
    </w:p>
    <w:p w14:paraId="3EF065D8" w14:textId="77777777" w:rsidR="004543E0" w:rsidRPr="009660EC" w:rsidRDefault="004543E0" w:rsidP="004543E0">
      <w:pPr>
        <w:pStyle w:val="References"/>
      </w:pPr>
      <w:r w:rsidRPr="009660EC">
        <w:t xml:space="preserve">CSIRO. 1990. </w:t>
      </w:r>
      <w:r w:rsidRPr="009660EC">
        <w:rPr>
          <w:i/>
          <w:iCs/>
        </w:rPr>
        <w:t>Ruminants: Feeding Standards for Australian Livestock</w:t>
      </w:r>
      <w:r w:rsidRPr="009660EC">
        <w:t>. Victoria, Australia: Commonwealth Scientific and Industrial Research Organisation.</w:t>
      </w:r>
    </w:p>
    <w:p w14:paraId="277FE3B1" w14:textId="77777777" w:rsidR="004543E0" w:rsidRPr="009660EC" w:rsidRDefault="004543E0" w:rsidP="004543E0">
      <w:pPr>
        <w:pStyle w:val="References"/>
      </w:pPr>
      <w:r w:rsidRPr="009660EC">
        <w:t xml:space="preserve">CSIRO. 2007. </w:t>
      </w:r>
      <w:r w:rsidRPr="009660EC">
        <w:rPr>
          <w:i/>
          <w:iCs/>
        </w:rPr>
        <w:t>Nutrient Requirements of Domesticated Ruminants</w:t>
      </w:r>
      <w:r w:rsidRPr="009660EC">
        <w:t>. Victoria, Australia: Australian Agricultural Council, Ruminants Sub Committee</w:t>
      </w:r>
    </w:p>
    <w:p w14:paraId="704EB711" w14:textId="77777777" w:rsidR="004543E0" w:rsidRPr="009660EC" w:rsidRDefault="004543E0" w:rsidP="004543E0">
      <w:pPr>
        <w:pStyle w:val="References"/>
      </w:pPr>
      <w:r w:rsidRPr="009660EC">
        <w:t xml:space="preserve">Dairy Companies Association of New Zealand. 2021. </w:t>
      </w:r>
      <w:r w:rsidRPr="009660EC">
        <w:rPr>
          <w:i/>
          <w:iCs/>
        </w:rPr>
        <w:t>Latest New Zealand Milk Production Data Report</w:t>
      </w:r>
      <w:r w:rsidRPr="009660EC">
        <w:t>. Retrieved from www.dcanz.com (16 December 2021).</w:t>
      </w:r>
    </w:p>
    <w:p w14:paraId="16D2091B" w14:textId="77777777" w:rsidR="004543E0" w:rsidRPr="009660EC" w:rsidRDefault="004543E0" w:rsidP="004543E0">
      <w:pPr>
        <w:pStyle w:val="References"/>
      </w:pPr>
      <w:r w:rsidRPr="009660EC">
        <w:t xml:space="preserve">de Klein CAM, Barton L, Sherlock RR, Li Z, Littlejohn RP. 2003. Estimating a nitrous oxide emission factor for animal urine from some New Zealand pastoral soils. </w:t>
      </w:r>
      <w:r w:rsidRPr="009660EC">
        <w:rPr>
          <w:i/>
          <w:iCs/>
        </w:rPr>
        <w:t>Australian Journal of Soil Research</w:t>
      </w:r>
      <w:r w:rsidRPr="009660EC">
        <w:t xml:space="preserve"> 41: 381–399.</w:t>
      </w:r>
    </w:p>
    <w:p w14:paraId="12B40317" w14:textId="77777777" w:rsidR="004543E0" w:rsidRPr="009660EC" w:rsidRDefault="004543E0" w:rsidP="004543E0">
      <w:pPr>
        <w:pStyle w:val="References"/>
      </w:pPr>
      <w:r w:rsidRPr="009660EC">
        <w:t xml:space="preserve">de Klein CAM, Luo J, Woodward KB, Styles T, Wise B, Lindsey S, Cox N. 2014. The effect of nitrogen concentration in synthetic cattle urine on nitrous oxide emissions. </w:t>
      </w:r>
      <w:r w:rsidRPr="009660EC">
        <w:rPr>
          <w:i/>
          <w:iCs/>
        </w:rPr>
        <w:t>Agriculture Ecosystems &amp; Environment</w:t>
      </w:r>
      <w:r w:rsidRPr="009660EC">
        <w:t xml:space="preserve"> 188: 8–92.</w:t>
      </w:r>
    </w:p>
    <w:p w14:paraId="1EE73843" w14:textId="77777777" w:rsidR="004543E0" w:rsidRPr="009660EC" w:rsidRDefault="004543E0" w:rsidP="004543E0">
      <w:pPr>
        <w:pStyle w:val="References"/>
      </w:pPr>
      <w:r w:rsidRPr="009660EC">
        <w:t xml:space="preserve">Dresser M, Hewitt A, Willoughby J, Bellis S. 2011. </w:t>
      </w:r>
      <w:r w:rsidRPr="009660EC">
        <w:rPr>
          <w:i/>
          <w:iCs/>
        </w:rPr>
        <w:t>Area of Organic Soils</w:t>
      </w:r>
      <w:r w:rsidRPr="009660EC">
        <w:t>. Report prepared for the Ministry of Agriculture and Forestry by Landcare Research. Wellington: Ministry of Agriculture and Forestry.</w:t>
      </w:r>
    </w:p>
    <w:p w14:paraId="276630F1" w14:textId="77777777" w:rsidR="004543E0" w:rsidRPr="009660EC" w:rsidRDefault="004543E0" w:rsidP="004543E0">
      <w:pPr>
        <w:pStyle w:val="References"/>
      </w:pPr>
      <w:r w:rsidRPr="009660EC">
        <w:t xml:space="preserve">Fick J. 2010. </w:t>
      </w:r>
      <w:r w:rsidRPr="009660EC">
        <w:rPr>
          <w:i/>
          <w:iCs/>
        </w:rPr>
        <w:t>Emission Estimations for the Commercial Chicken, Non-chicken and Layer Industries within New Zealand</w:t>
      </w:r>
      <w:r w:rsidRPr="009660EC">
        <w:t>. Report prepared for the Ministry of Agriculture and Forestry by the Poultry Industry Association and Egg Producers Federation of New Zealand. Wellington: Ministry of Agriculture and Forestry.</w:t>
      </w:r>
    </w:p>
    <w:p w14:paraId="167055C9" w14:textId="77777777" w:rsidR="004543E0" w:rsidRPr="009660EC" w:rsidRDefault="004543E0" w:rsidP="004543E0">
      <w:pPr>
        <w:pStyle w:val="References"/>
      </w:pPr>
      <w:r w:rsidRPr="009660EC">
        <w:t xml:space="preserve">Fick J, Saggar S, Hill J, Giltrap D. 2011. </w:t>
      </w:r>
      <w:r w:rsidRPr="009660EC">
        <w:rPr>
          <w:i/>
          <w:iCs/>
        </w:rPr>
        <w:t>Poultry Management in New Zealand: Production, Manure Management and Emissions Estimations for the Commercial Chicken, Turkey, Duck and Layer Industries within New Zealand</w:t>
      </w:r>
      <w:r w:rsidRPr="009660EC">
        <w:t xml:space="preserve">. Report prepared for the Ministry of Agriculture and Forestry by Poultry Industry Association, Egg Producers Association, Landcare Research and Massey University. Wellington: Ministry of Agriculture and Forestry. </w:t>
      </w:r>
    </w:p>
    <w:p w14:paraId="6E97B764" w14:textId="77777777" w:rsidR="004543E0" w:rsidRPr="009660EC" w:rsidRDefault="004543E0" w:rsidP="004543E0">
      <w:pPr>
        <w:pStyle w:val="References"/>
      </w:pPr>
      <w:r w:rsidRPr="009660EC">
        <w:t xml:space="preserve">Galbally I, Meyer C, Bentley S, Weeks I, Leuning R, Kelly K, Phillips F, Barker-Reid F, Gates W, Baigent R, Eckard R, Grace P. 2005. A study of environmental and management drivers of non-CO2 greenhouse gas emissions in Australian agroecosystems. </w:t>
      </w:r>
      <w:r w:rsidRPr="009660EC">
        <w:rPr>
          <w:i/>
          <w:iCs/>
        </w:rPr>
        <w:t>Environmental Sciences</w:t>
      </w:r>
      <w:r w:rsidRPr="009660EC">
        <w:t xml:space="preserve"> 2(2­3): 133–142.</w:t>
      </w:r>
    </w:p>
    <w:p w14:paraId="4D635A15" w14:textId="77777777" w:rsidR="004543E0" w:rsidRPr="009660EC" w:rsidRDefault="004543E0" w:rsidP="004543E0">
      <w:pPr>
        <w:pStyle w:val="References"/>
      </w:pPr>
      <w:r w:rsidRPr="009660EC">
        <w:t xml:space="preserve">Geddes A, Mikaloff-Fletcher S, Schaefer H, Smale D, Brailsford G, Law R, Ausseil A. 2021. </w:t>
      </w:r>
      <w:r w:rsidRPr="009660EC">
        <w:rPr>
          <w:i/>
          <w:iCs/>
        </w:rPr>
        <w:t>Atmospheric methane modelling: Evaluating Regional Methane Emission Using Inverse Modelling</w:t>
      </w:r>
      <w:r w:rsidRPr="009660EC">
        <w:t>. MPI Technical Paper No: 2021/02. Report prepared for the Ministry for Primary Industries by NIWA and Landcare Research in 2020.</w:t>
      </w:r>
    </w:p>
    <w:p w14:paraId="7783C10D" w14:textId="77777777" w:rsidR="004543E0" w:rsidRPr="009660EC" w:rsidRDefault="004543E0" w:rsidP="004543E0">
      <w:pPr>
        <w:pStyle w:val="References"/>
      </w:pPr>
      <w:r w:rsidRPr="009660EC">
        <w:t>Giltrap D, McNeill S, Vickers S. Unpublished. Development of infrastructure to calculate agricultural greenhouse gas inventory emissions uncertainty in-house. Report prepared for the Ministry for Primary Industries by Landcare Research and RSV Consulting Ltd in 2016.</w:t>
      </w:r>
    </w:p>
    <w:p w14:paraId="1491FF5E" w14:textId="77777777" w:rsidR="004543E0" w:rsidRPr="009660EC" w:rsidRDefault="004543E0" w:rsidP="004543E0">
      <w:pPr>
        <w:pStyle w:val="References"/>
      </w:pPr>
      <w:r w:rsidRPr="009660EC">
        <w:t xml:space="preserve">Giltrap D, McNeill S. 2020. </w:t>
      </w:r>
      <w:r w:rsidRPr="009660EC">
        <w:rPr>
          <w:i/>
          <w:iCs/>
        </w:rPr>
        <w:t>Revised pasture quality analysis in the agricultural greenhouse gas inventory</w:t>
      </w:r>
      <w:r w:rsidRPr="009660EC">
        <w:t>. MPI Technical Paper No: 2021/01. Report prepared for the Ministry for Primary Industries by Manaaki Whenua – Landcare Research. Wellington: Ministry for Primary Industries.</w:t>
      </w:r>
    </w:p>
    <w:p w14:paraId="3FFE8580" w14:textId="77777777" w:rsidR="004543E0" w:rsidRPr="009660EC" w:rsidRDefault="004543E0" w:rsidP="004543E0">
      <w:pPr>
        <w:pStyle w:val="References"/>
      </w:pPr>
      <w:r w:rsidRPr="009660EC">
        <w:t xml:space="preserve">Grainger C, Clarke T, McGinn SM, Auldist MJ, Beauchemin KA, Hannah MC, Waghorn GC, Clark H, Eckard RJ. 2007. Methane emissions from dairy cows measured with sulphur hexafluoride (SF6) tracer and chamber techniques. </w:t>
      </w:r>
      <w:r w:rsidRPr="009660EC">
        <w:rPr>
          <w:i/>
          <w:iCs/>
        </w:rPr>
        <w:t>Journal of Dairy Science</w:t>
      </w:r>
      <w:r w:rsidRPr="009660EC">
        <w:t xml:space="preserve"> 90(6): 2755–2766.</w:t>
      </w:r>
    </w:p>
    <w:p w14:paraId="22545CDD" w14:textId="77777777" w:rsidR="004543E0" w:rsidRPr="009660EC" w:rsidRDefault="004543E0" w:rsidP="004543E0">
      <w:pPr>
        <w:pStyle w:val="References"/>
      </w:pPr>
      <w:r w:rsidRPr="009660EC">
        <w:t>Henderson H, Cameron C. Unpublished. Review of the Methodology for Alpaca Population Estimations Used in the National Greenhouse Gas Inventory. Report prepared for the Ministry of Agriculture and Forestry in 2010.</w:t>
      </w:r>
    </w:p>
    <w:p w14:paraId="197B4A34" w14:textId="77777777" w:rsidR="004543E0" w:rsidRPr="009660EC" w:rsidRDefault="004543E0" w:rsidP="004543E0">
      <w:pPr>
        <w:pStyle w:val="References"/>
      </w:pPr>
      <w:r w:rsidRPr="009660EC">
        <w:t xml:space="preserve">Hill, J. 2012. </w:t>
      </w:r>
      <w:r w:rsidRPr="009660EC">
        <w:rPr>
          <w:i/>
          <w:iCs/>
        </w:rPr>
        <w:t>Recalculate Pork Industry Emissions Inventory</w:t>
      </w:r>
      <w:r w:rsidRPr="009660EC">
        <w:t>. Report prepared for the Ministry of Agriculture and Forestry by Massey University and the New Zealand Pork Industry Board. Wellington: Ministry of Agriculture and Forestry.</w:t>
      </w:r>
    </w:p>
    <w:p w14:paraId="3956ABD5" w14:textId="77777777" w:rsidR="004543E0" w:rsidRPr="009660EC" w:rsidRDefault="004543E0" w:rsidP="004543E0">
      <w:pPr>
        <w:pStyle w:val="References"/>
      </w:pPr>
      <w:r w:rsidRPr="009660EC">
        <w:t xml:space="preserve">Hoogendoorn CJ, de Klein CAM, Rutherford AJ, Letica S, Devantier BP. 2008. The effect of increasing rates of nitrogen fertiliser and a nitrification inhibitor on the nitrous oxide emissions from urine patches on sheep grazed hill country pasture. </w:t>
      </w:r>
      <w:r w:rsidRPr="009660EC">
        <w:rPr>
          <w:i/>
          <w:iCs/>
        </w:rPr>
        <w:t>Australian Journal of Experimental Agriculture</w:t>
      </w:r>
      <w:r w:rsidRPr="009660EC">
        <w:t xml:space="preserve"> 48(2): 147–151.</w:t>
      </w:r>
    </w:p>
    <w:p w14:paraId="4D0ACA11" w14:textId="77777777" w:rsidR="004543E0" w:rsidRPr="009660EC" w:rsidRDefault="004543E0" w:rsidP="004543E0">
      <w:pPr>
        <w:pStyle w:val="References"/>
      </w:pPr>
      <w:r w:rsidRPr="009660EC">
        <w:lastRenderedPageBreak/>
        <w:t xml:space="preserve">Hoogendoorn CJ, Luo J, van der Weerden T, Saggar S, Wise B, Lloyd-West C, Judge A. 2013. </w:t>
      </w:r>
      <w:r w:rsidRPr="009660EC">
        <w:rPr>
          <w:i/>
          <w:iCs/>
        </w:rPr>
        <w:t>Evaluation of beef cattle excreta nitrous oxide emission factors</w:t>
      </w:r>
      <w:r w:rsidRPr="009660EC">
        <w:t>. Report prepared for the Ministry for Primary Industries by AgResearch in 2013. Wellington: Ministry for Primary Industries.</w:t>
      </w:r>
    </w:p>
    <w:p w14:paraId="31F6D727" w14:textId="77777777" w:rsidR="004543E0" w:rsidRPr="009660EC" w:rsidRDefault="004543E0" w:rsidP="004543E0">
      <w:pPr>
        <w:pStyle w:val="References"/>
      </w:pPr>
      <w:r w:rsidRPr="009660EC">
        <w:t xml:space="preserve">Inland Revenue Department. 2021. </w:t>
      </w:r>
      <w:r w:rsidRPr="009660EC">
        <w:rPr>
          <w:i/>
          <w:iCs/>
        </w:rPr>
        <w:t>Registering for GST</w:t>
      </w:r>
      <w:r w:rsidRPr="009660EC">
        <w:t>. Retrieved from www.ird.govt.nz/gst/registering-for-gst (5 January 2022).</w:t>
      </w:r>
    </w:p>
    <w:p w14:paraId="65A8B900" w14:textId="77777777" w:rsidR="004543E0" w:rsidRPr="009660EC" w:rsidRDefault="004543E0" w:rsidP="004543E0">
      <w:pPr>
        <w:pStyle w:val="References"/>
      </w:pPr>
      <w:r w:rsidRPr="009660EC">
        <w:t xml:space="preserve">IPCC. 1996. Houghton JT, Meira Filho LG, Lim B, Treanton K, Mamaty I, Bonduki Y, Griggs DJ, Callender BA (eds). </w:t>
      </w:r>
      <w:r w:rsidRPr="009660EC">
        <w:rPr>
          <w:i/>
          <w:iCs/>
        </w:rPr>
        <w:t>IPCC/OECD/IEA. Revised 1996 IPCC Guidelines for National Greenhouse Gas Inventories</w:t>
      </w:r>
      <w:r w:rsidRPr="009660EC">
        <w:t>. Bracknell: United Kingdom Meteorological Office.</w:t>
      </w:r>
    </w:p>
    <w:p w14:paraId="14CE19EE" w14:textId="77777777" w:rsidR="004543E0" w:rsidRPr="009660EC" w:rsidRDefault="004543E0" w:rsidP="004543E0">
      <w:pPr>
        <w:pStyle w:val="References"/>
      </w:pPr>
      <w:r w:rsidRPr="009660EC">
        <w:t xml:space="preserve">IPCC. 2000. Penman J, Kruger D, Galbally I, Hiraishi T, Nyenzi B, Emmanuel S, Buendia L, Hoppaus R, Martinsen T, Meijer J, Miwa K, Tanabe K (eds). </w:t>
      </w:r>
      <w:r w:rsidRPr="009660EC">
        <w:rPr>
          <w:i/>
          <w:iCs/>
        </w:rPr>
        <w:t>Good Practice Guidance and Uncertainty Management in National Greenhouse Gas Inventories</w:t>
      </w:r>
      <w:r w:rsidRPr="009660EC">
        <w:t>. IPCC National Greenhouse Gas Inventories Programme. Published for the IPCC by the Institute for Global Environmental Strategies: Japan.</w:t>
      </w:r>
    </w:p>
    <w:p w14:paraId="41C58CA3" w14:textId="77777777" w:rsidR="004543E0" w:rsidRPr="009660EC" w:rsidRDefault="004543E0" w:rsidP="004543E0">
      <w:pPr>
        <w:pStyle w:val="References"/>
      </w:pPr>
      <w:r w:rsidRPr="009660EC">
        <w:t xml:space="preserve">IPCC. 2006. Eggleston HS, Buendia L, Miwa K, Ngara T, Tanabe K (eds). </w:t>
      </w:r>
      <w:r w:rsidRPr="009660EC">
        <w:rPr>
          <w:i/>
          <w:iCs/>
        </w:rPr>
        <w:t>2006 IPCC Guidelines for National Greenhouse Gas Inventories. Volume 4. Agriculture, Forestry and Other Land Use</w:t>
      </w:r>
      <w:r w:rsidRPr="009660EC">
        <w:t>. IPCC National Greenhouse Gas Inventories Programme. Published for the IPCC by the Institute for Global Environmental Strategies: Japan.</w:t>
      </w:r>
    </w:p>
    <w:p w14:paraId="52B12680" w14:textId="77777777" w:rsidR="004543E0" w:rsidRPr="009660EC" w:rsidRDefault="004543E0" w:rsidP="004543E0">
      <w:pPr>
        <w:pStyle w:val="References"/>
        <w:rPr>
          <w:rFonts w:cs="Calibri"/>
          <w:szCs w:val="20"/>
        </w:rPr>
      </w:pPr>
      <w:r w:rsidRPr="009660EC">
        <w:rPr>
          <w:rFonts w:cs="Calibri"/>
          <w:szCs w:val="20"/>
        </w:rPr>
        <w:t xml:space="preserve">IPCC. 2014. Hiraishi T, Krug T, Tanabe K, Srivastava N, Baasansuren J, Fukuda M, Troxler TG (eds). </w:t>
      </w:r>
      <w:r w:rsidRPr="009660EC">
        <w:rPr>
          <w:rFonts w:cs="Calibri"/>
          <w:i/>
          <w:iCs/>
          <w:szCs w:val="20"/>
        </w:rPr>
        <w:t>2013 Supplement to the 2006 IPCC Guidelines for National Greenhouse Gas Inventories: Wetlands</w:t>
      </w:r>
      <w:r w:rsidRPr="009660EC">
        <w:rPr>
          <w:rFonts w:cs="Calibri"/>
          <w:szCs w:val="20"/>
        </w:rPr>
        <w:t>. Switzerland: IPCC.</w:t>
      </w:r>
    </w:p>
    <w:p w14:paraId="711EDBCE" w14:textId="77777777" w:rsidR="004543E0" w:rsidRPr="009660EC" w:rsidRDefault="004543E0" w:rsidP="004543E0">
      <w:pPr>
        <w:pStyle w:val="References"/>
      </w:pPr>
      <w:r w:rsidRPr="009660EC">
        <w:t xml:space="preserve">IPCC. 2019. Calvo Buendia E, Tanabe K, Kranjc A, Baasansuren J, Fukuda M, Ngarize S, Osako A, Pyrozhenko Y, Shermanau P, Federici S (eds). </w:t>
      </w:r>
      <w:r w:rsidRPr="009660EC">
        <w:rPr>
          <w:i/>
          <w:iCs/>
        </w:rPr>
        <w:t>2019 Refinement to the 2006 IPCC Guidelines for National Greenhouse Gas Inventories</w:t>
      </w:r>
      <w:r w:rsidRPr="009660EC">
        <w:t>. Switzerland: IPCC.</w:t>
      </w:r>
    </w:p>
    <w:p w14:paraId="47E36FD6" w14:textId="77777777" w:rsidR="004543E0" w:rsidRPr="009660EC" w:rsidRDefault="004543E0" w:rsidP="004543E0">
      <w:pPr>
        <w:pStyle w:val="References"/>
      </w:pPr>
      <w:r w:rsidRPr="009660EC">
        <w:t xml:space="preserve">Kelliher FM, Clark H, Smith MH, Lassey KR, Sedcole R. 2009. </w:t>
      </w:r>
      <w:r w:rsidRPr="009660EC">
        <w:rPr>
          <w:i/>
          <w:iCs/>
        </w:rPr>
        <w:t>Reducing Uncertainty of the Enteric Methane Emissions Inventory</w:t>
      </w:r>
      <w:r w:rsidRPr="009660EC">
        <w:t>. Report prepared for the Ministry of Agriculture and Forestry by Lincoln University, National Institute of Water and Atmospheric Research and AgResearch. Wellington: Ministry of Agriculture and Forestry.</w:t>
      </w:r>
    </w:p>
    <w:p w14:paraId="7B464446" w14:textId="77777777" w:rsidR="004543E0" w:rsidRPr="009660EC" w:rsidRDefault="004543E0" w:rsidP="004543E0">
      <w:pPr>
        <w:pStyle w:val="References"/>
      </w:pPr>
      <w:r w:rsidRPr="009660EC">
        <w:t xml:space="preserve">Kelliher FM, Cox N, van der Weerden TJ, de Klein CAM, Luo J, Cameron KC, Di HJ, Giltrap D, Rys G. 2014. Statistical analysis of nitrous oxide emission factors from pastoral agriculture field trials conducted in New Zealand. </w:t>
      </w:r>
      <w:r w:rsidRPr="009660EC">
        <w:rPr>
          <w:i/>
          <w:iCs/>
        </w:rPr>
        <w:t>Environmental Pollution</w:t>
      </w:r>
      <w:r w:rsidRPr="009660EC">
        <w:t xml:space="preserve"> 186: 63–66.</w:t>
      </w:r>
    </w:p>
    <w:p w14:paraId="51B621F9" w14:textId="77777777" w:rsidR="004543E0" w:rsidRPr="009660EC" w:rsidRDefault="004543E0" w:rsidP="004543E0">
      <w:pPr>
        <w:pStyle w:val="References"/>
      </w:pPr>
      <w:r w:rsidRPr="009660EC">
        <w:t>Kelliher FM, de Klein CAM. Unpublished. Review of New Zealand’s Fertiliser Nitrous Oxide Emission Factor (EF</w:t>
      </w:r>
      <w:r w:rsidRPr="009660EC">
        <w:rPr>
          <w:vertAlign w:val="subscript"/>
        </w:rPr>
        <w:t>1</w:t>
      </w:r>
      <w:r w:rsidRPr="009660EC">
        <w:t>) Data. Report prepared for the Ministry for the Environment by Landcare Research and AgResearch in 2006.</w:t>
      </w:r>
    </w:p>
    <w:p w14:paraId="534220B4" w14:textId="77777777" w:rsidR="004543E0" w:rsidRPr="009660EC" w:rsidRDefault="004543E0" w:rsidP="004543E0">
      <w:pPr>
        <w:pStyle w:val="References"/>
      </w:pPr>
      <w:r w:rsidRPr="009660EC">
        <w:t xml:space="preserve">Kelliher FM, Henderson H and Cox N. 2017. The uncertainty of nitrous oxide emissions from grazed grasslands: A New Zealand case study. </w:t>
      </w:r>
      <w:r w:rsidRPr="009660EC">
        <w:rPr>
          <w:i/>
          <w:iCs/>
        </w:rPr>
        <w:t>Atmospheric Environment</w:t>
      </w:r>
      <w:r w:rsidRPr="009660EC">
        <w:t xml:space="preserve"> 148: 329–336.</w:t>
      </w:r>
    </w:p>
    <w:p w14:paraId="2AED6BAA" w14:textId="77777777" w:rsidR="004543E0" w:rsidRPr="009660EC" w:rsidRDefault="004543E0" w:rsidP="004543E0">
      <w:pPr>
        <w:pStyle w:val="References"/>
      </w:pPr>
      <w:r w:rsidRPr="009660EC">
        <w:t>Kelliher FM, Ledgard SF, Clark H, Walcroft AS, Buchan M, Sherlock RR. Unpublished. A Revised Nitrous Oxide Emissions Inventory for New Zealand 1990–2001. Report prepared for the Ministry of Agriculture and Forestry by Lincoln University, Landcare Research and AgResearch in 2003.</w:t>
      </w:r>
    </w:p>
    <w:p w14:paraId="71481D2A" w14:textId="77777777" w:rsidR="004543E0" w:rsidRPr="009660EC" w:rsidRDefault="004543E0" w:rsidP="004543E0">
      <w:pPr>
        <w:pStyle w:val="References"/>
      </w:pPr>
      <w:r w:rsidRPr="009660EC">
        <w:t xml:space="preserve">Kuikman PJ, van der Hoek KW, Smit A, Zwart K. 2006. Update of emission factors for nitrous oxide from agricultural soils on the basis of measurements in the Netherlands. </w:t>
      </w:r>
      <w:r w:rsidRPr="009660EC">
        <w:rPr>
          <w:i/>
          <w:iCs/>
        </w:rPr>
        <w:t>Alterra Report 1217</w:t>
      </w:r>
      <w:r w:rsidRPr="009660EC">
        <w:t>. Wageningen, The Netherlands: Alterra.</w:t>
      </w:r>
    </w:p>
    <w:p w14:paraId="7693CE3D" w14:textId="77777777" w:rsidR="004543E0" w:rsidRPr="009660EC" w:rsidRDefault="004543E0" w:rsidP="004543E0">
      <w:pPr>
        <w:pStyle w:val="References"/>
      </w:pPr>
      <w:r w:rsidRPr="009660EC">
        <w:t xml:space="preserve">Lassey K. 2011. </w:t>
      </w:r>
      <w:r w:rsidRPr="009660EC">
        <w:rPr>
          <w:i/>
          <w:iCs/>
        </w:rPr>
        <w:t>Methane Emissions and Nitrogen Excretion Rates for New Zealand Goats</w:t>
      </w:r>
      <w:r w:rsidRPr="009660EC">
        <w:t xml:space="preserve">. Report for the Ministry of Agriculture and Forestry, National Institute of Water and Atmospheric Research. Wellington: National Institute of Water and Atmospheric Research. </w:t>
      </w:r>
    </w:p>
    <w:p w14:paraId="1F5BEF47" w14:textId="77777777" w:rsidR="004543E0" w:rsidRPr="009660EC" w:rsidRDefault="004543E0" w:rsidP="004543E0">
      <w:pPr>
        <w:pStyle w:val="References"/>
      </w:pPr>
      <w:r w:rsidRPr="009660EC">
        <w:t xml:space="preserve">Lassey KR, Ulyatt MJ, Martin RJ, Walker CF, Shelton ID. 1997. Methane emissions measured directly from grazing livestock in New Zealand. </w:t>
      </w:r>
      <w:r w:rsidRPr="009660EC">
        <w:rPr>
          <w:i/>
          <w:iCs/>
        </w:rPr>
        <w:t>Atmospheric Environment</w:t>
      </w:r>
      <w:r w:rsidRPr="009660EC">
        <w:t xml:space="preserve"> 31: 2905–2914.</w:t>
      </w:r>
    </w:p>
    <w:p w14:paraId="24F726AD" w14:textId="77777777" w:rsidR="004543E0" w:rsidRPr="009660EC" w:rsidRDefault="004543E0" w:rsidP="004543E0">
      <w:pPr>
        <w:pStyle w:val="References"/>
      </w:pPr>
      <w:r w:rsidRPr="009660EC">
        <w:t xml:space="preserve">Laubach J, Grover SPP, Taghizadeh-Toosi A, Sherlock RR, Gibbs J, Kelliher FM. 2012. </w:t>
      </w:r>
      <w:r w:rsidRPr="009660EC">
        <w:rPr>
          <w:i/>
          <w:iCs/>
        </w:rPr>
        <w:t>Ammonium from Animal Excreta</w:t>
      </w:r>
      <w:r w:rsidRPr="009660EC">
        <w:t xml:space="preserve">. MPI Technical Paper No: 2012/41. Wellington: Ministry for Primary Industries. </w:t>
      </w:r>
    </w:p>
    <w:p w14:paraId="0B60D34D" w14:textId="77777777" w:rsidR="004543E0" w:rsidRPr="009660EC" w:rsidRDefault="004543E0" w:rsidP="004543E0">
      <w:pPr>
        <w:pStyle w:val="References"/>
      </w:pPr>
      <w:r w:rsidRPr="009660EC">
        <w:t xml:space="preserve">Laubach J, Kelliher FM. 2004. Measuring methane emission rates of a dairy cow herd by two micrometeorological techniques. </w:t>
      </w:r>
      <w:r w:rsidRPr="009660EC">
        <w:rPr>
          <w:i/>
          <w:iCs/>
        </w:rPr>
        <w:t>Agricultural and Forest Meteorology</w:t>
      </w:r>
      <w:r w:rsidRPr="009660EC">
        <w:t xml:space="preserve"> 125: 279–303.</w:t>
      </w:r>
    </w:p>
    <w:p w14:paraId="1C96ED38" w14:textId="77777777" w:rsidR="004543E0" w:rsidRPr="009660EC" w:rsidRDefault="004543E0" w:rsidP="004543E0">
      <w:pPr>
        <w:pStyle w:val="References"/>
      </w:pPr>
      <w:r w:rsidRPr="009660EC">
        <w:lastRenderedPageBreak/>
        <w:t xml:space="preserve">Ledgard SF, Luo J, Sprosen MS, Wyatt J, Balvert S, Lindsey S. 2014. Effects of the nitrification inhibitor dicyandiamide (DCD) on pasture production, nitrous oxide emissions and nitrate leaching in Waikato, New Zealand. </w:t>
      </w:r>
      <w:r w:rsidRPr="009660EC">
        <w:rPr>
          <w:i/>
          <w:iCs/>
        </w:rPr>
        <w:t>New Zealand Journal of Agricultural Research</w:t>
      </w:r>
      <w:r w:rsidRPr="009660EC">
        <w:t xml:space="preserve"> 57(4): 294–315.</w:t>
      </w:r>
    </w:p>
    <w:p w14:paraId="65173251" w14:textId="77777777" w:rsidR="004543E0" w:rsidRPr="009660EC" w:rsidRDefault="004543E0" w:rsidP="004543E0">
      <w:pPr>
        <w:pStyle w:val="References"/>
      </w:pPr>
      <w:r w:rsidRPr="009660EC">
        <w:t xml:space="preserve">LIC (Livestock Improvement Corporation Limited) and DairyNZ. 2021. </w:t>
      </w:r>
      <w:r w:rsidRPr="009660EC">
        <w:rPr>
          <w:i/>
          <w:iCs/>
        </w:rPr>
        <w:t xml:space="preserve">New Zealand Dairy Statistics </w:t>
      </w:r>
      <w:r w:rsidRPr="009660EC">
        <w:rPr>
          <w:i/>
          <w:iCs/>
        </w:rPr>
        <w:br/>
        <w:t>2020–2021</w:t>
      </w:r>
      <w:r w:rsidRPr="009660EC">
        <w:t>. Hamilton: DairyNZ. Retrieved from https://www.dairynz.co.nz/publications/dairy-industry/new-zealand-dairy-statistics-2020-21/ (9 December 2021).</w:t>
      </w:r>
    </w:p>
    <w:p w14:paraId="45F23760" w14:textId="77777777" w:rsidR="004543E0" w:rsidRPr="009660EC" w:rsidRDefault="004543E0" w:rsidP="004543E0">
      <w:pPr>
        <w:pStyle w:val="References"/>
      </w:pPr>
      <w:r w:rsidRPr="009660EC">
        <w:t xml:space="preserve">LIC. 2009. </w:t>
      </w:r>
      <w:r w:rsidRPr="009660EC">
        <w:rPr>
          <w:i/>
          <w:iCs/>
        </w:rPr>
        <w:t>100 Years of Herd Testing</w:t>
      </w:r>
      <w:r w:rsidRPr="009660EC">
        <w:t>. Hamilton: Livestock Improvement Corporation Limited. Retrieved from www.lic.co.nz/documents/275/100_years_of_Herd_Testing.pdf (5 January 2022).</w:t>
      </w:r>
    </w:p>
    <w:p w14:paraId="78433191" w14:textId="77777777" w:rsidR="004543E0" w:rsidRPr="009660EC" w:rsidRDefault="004543E0" w:rsidP="004543E0">
      <w:pPr>
        <w:pStyle w:val="References"/>
      </w:pPr>
      <w:r w:rsidRPr="009660EC">
        <w:t xml:space="preserve">Luo J, Hoogendoorn C, van der Weerden T, Saggar S, de Klein C, Giltrap D. 2016. </w:t>
      </w:r>
      <w:r w:rsidRPr="009660EC">
        <w:rPr>
          <w:i/>
          <w:iCs/>
        </w:rPr>
        <w:t>Nitrous oxide emission factors for animal excreta deposited on hill country steep slopes</w:t>
      </w:r>
      <w:r w:rsidRPr="009660EC">
        <w:t>. Report prepared for the Ministry for Primary Industries by AgResearch in 2016. Wellington: Ministry for Primary Industries.</w:t>
      </w:r>
    </w:p>
    <w:p w14:paraId="44D183C2" w14:textId="77777777" w:rsidR="004543E0" w:rsidRPr="009660EC" w:rsidRDefault="004543E0" w:rsidP="004543E0">
      <w:pPr>
        <w:pStyle w:val="References"/>
      </w:pPr>
      <w:r w:rsidRPr="009660EC">
        <w:t xml:space="preserve">Luo J, Hoogendoorn C, van der Weerden TJ, Saggar S, de Klein CAM, Giltrap D, Rollo M, Rys G. 2013. Nitrous oxide emissions from grazed hill land in New Zealand. </w:t>
      </w:r>
      <w:r w:rsidRPr="009660EC">
        <w:rPr>
          <w:i/>
          <w:iCs/>
        </w:rPr>
        <w:t>Agriculture Ecosystems &amp; Environment</w:t>
      </w:r>
      <w:r w:rsidRPr="009660EC">
        <w:t xml:space="preserve"> 181: 58–68.</w:t>
      </w:r>
    </w:p>
    <w:p w14:paraId="34B87B86" w14:textId="77777777" w:rsidR="004543E0" w:rsidRPr="009660EC" w:rsidRDefault="004543E0" w:rsidP="004543E0">
      <w:pPr>
        <w:pStyle w:val="References"/>
      </w:pPr>
      <w:r w:rsidRPr="009660EC">
        <w:t xml:space="preserve">Luo J, Saggar S, van der Weerden T, de Klein C. 2019. Quantification of nitrous oxide emissions and emission factors from beef and dairy cattle excreta deposited on grazed pastoral hill lands. </w:t>
      </w:r>
      <w:r w:rsidRPr="009660EC">
        <w:rPr>
          <w:i/>
          <w:iCs/>
        </w:rPr>
        <w:t>Agriculture, Ecosystems &amp; Environment</w:t>
      </w:r>
      <w:r w:rsidRPr="009660EC">
        <w:t xml:space="preserve"> 270–271: 103–113.</w:t>
      </w:r>
    </w:p>
    <w:p w14:paraId="2467998D" w14:textId="77777777" w:rsidR="004543E0" w:rsidRPr="009660EC" w:rsidRDefault="004543E0" w:rsidP="004543E0">
      <w:pPr>
        <w:pStyle w:val="References"/>
      </w:pPr>
      <w:r w:rsidRPr="009660EC">
        <w:t>Marsden KA, Holmberg JA, Jones DL, Chadwick DR. 2018. Sheep urine patch N</w:t>
      </w:r>
      <w:r w:rsidRPr="009660EC">
        <w:rPr>
          <w:vertAlign w:val="subscript"/>
        </w:rPr>
        <w:t>2</w:t>
      </w:r>
      <w:r w:rsidRPr="009660EC">
        <w:t xml:space="preserve">O emissions are lower from extensively-managed than intensively-managed grasslands. </w:t>
      </w:r>
      <w:r w:rsidRPr="009660EC">
        <w:rPr>
          <w:i/>
          <w:iCs/>
        </w:rPr>
        <w:t>Agriculture Ecosystems &amp; Environment</w:t>
      </w:r>
      <w:r w:rsidRPr="009660EC">
        <w:t xml:space="preserve"> 265: 264–274.</w:t>
      </w:r>
    </w:p>
    <w:p w14:paraId="357A6FD8" w14:textId="77777777" w:rsidR="004543E0" w:rsidRPr="009660EC" w:rsidRDefault="004543E0" w:rsidP="004543E0">
      <w:pPr>
        <w:pStyle w:val="References"/>
      </w:pPr>
      <w:r w:rsidRPr="009660EC">
        <w:t xml:space="preserve">Ministry for the Environment. 2017. </w:t>
      </w:r>
      <w:r w:rsidRPr="009660EC">
        <w:rPr>
          <w:i/>
          <w:iCs/>
        </w:rPr>
        <w:t>New Zealand’s Seventh National Communication – Fulfilling reporting requirements under the United Nations Framework Convention on Climate Change and the Kyoto Protocol</w:t>
      </w:r>
      <w:r w:rsidRPr="009660EC">
        <w:t xml:space="preserve">. Wellington: Ministry for the Environment. Retrieved from </w:t>
      </w:r>
      <w:hyperlink r:id="rId190" w:history="1">
        <w:r w:rsidRPr="009660EC">
          <w:rPr>
            <w:rStyle w:val="Hyperlink"/>
          </w:rPr>
          <w:t>www.mfe.govt.nz/sites/default/files/media/Climate%20Change/21-12-17%20Web%20FINAL%20-%20Seventh%20National%20Communication%202017.pdf</w:t>
        </w:r>
      </w:hyperlink>
      <w:r w:rsidRPr="009660EC">
        <w:t xml:space="preserve"> (5 January 2022).</w:t>
      </w:r>
    </w:p>
    <w:p w14:paraId="35217F18" w14:textId="77777777" w:rsidR="004543E0" w:rsidRPr="009660EC" w:rsidRDefault="004543E0" w:rsidP="004543E0">
      <w:pPr>
        <w:pStyle w:val="References"/>
      </w:pPr>
      <w:r w:rsidRPr="009660EC">
        <w:t xml:space="preserve">MPI (Ministry for Primary Industries). 2021. </w:t>
      </w:r>
      <w:r w:rsidRPr="009660EC">
        <w:rPr>
          <w:i/>
          <w:iCs/>
        </w:rPr>
        <w:t>Livestock slaughter statistics for sheep, cattle, goats, horses and pigs</w:t>
      </w:r>
      <w:r w:rsidRPr="009660EC">
        <w:t xml:space="preserve">. Retrieved from </w:t>
      </w:r>
      <w:hyperlink r:id="rId191" w:history="1">
        <w:r w:rsidRPr="009660EC">
          <w:rPr>
            <w:rStyle w:val="Hyperlink"/>
            <w:szCs w:val="20"/>
          </w:rPr>
          <w:t>www.mpi.govt.nz/resources-and-forms/economic-intelligence/data</w:t>
        </w:r>
      </w:hyperlink>
      <w:r w:rsidRPr="009660EC">
        <w:t xml:space="preserve"> (9 December 2021).</w:t>
      </w:r>
    </w:p>
    <w:p w14:paraId="61159C73" w14:textId="77777777" w:rsidR="004543E0" w:rsidRPr="009660EC" w:rsidRDefault="004543E0" w:rsidP="004543E0">
      <w:pPr>
        <w:pStyle w:val="References"/>
      </w:pPr>
      <w:r w:rsidRPr="009660EC">
        <w:t xml:space="preserve">Muetzel S. 2020. </w:t>
      </w:r>
      <w:r w:rsidRPr="009660EC">
        <w:rPr>
          <w:i/>
          <w:iCs/>
        </w:rPr>
        <w:t>Clarification of Cattle Methane Yields</w:t>
      </w:r>
      <w:r w:rsidRPr="009660EC">
        <w:t xml:space="preserve">. Report prepared for the Ministry for Primary Industries by AgResearch. </w:t>
      </w:r>
    </w:p>
    <w:p w14:paraId="151FD4BA" w14:textId="77777777" w:rsidR="004543E0" w:rsidRPr="009660EC" w:rsidRDefault="004543E0" w:rsidP="004543E0">
      <w:pPr>
        <w:pStyle w:val="References"/>
      </w:pPr>
      <w:r w:rsidRPr="009660EC">
        <w:t xml:space="preserve">Muir PD, Thomson BC, Askin DC. 2008. </w:t>
      </w:r>
      <w:r w:rsidRPr="009660EC">
        <w:rPr>
          <w:i/>
          <w:iCs/>
        </w:rPr>
        <w:t>A Review of Dressing Out Percentage in New Zealand Livestock</w:t>
      </w:r>
      <w:r w:rsidRPr="009660EC">
        <w:t>. Report prepared for the Ministry of Agriculture and Forestry by On-Farm Research and Kilu Consulting. Wellington: Ministry of Agriculture and Forestry.</w:t>
      </w:r>
    </w:p>
    <w:p w14:paraId="01309B19" w14:textId="77777777" w:rsidR="004543E0" w:rsidRPr="009660EC" w:rsidRDefault="004543E0" w:rsidP="004543E0">
      <w:pPr>
        <w:pStyle w:val="References"/>
      </w:pPr>
      <w:r w:rsidRPr="009660EC">
        <w:t xml:space="preserve">Muir PD, Thomson BC. 2010. </w:t>
      </w:r>
      <w:r w:rsidRPr="009660EC">
        <w:rPr>
          <w:i/>
          <w:iCs/>
        </w:rPr>
        <w:t>Better Estimation of National Ewe and Beef Cow Liveweights</w:t>
      </w:r>
      <w:r w:rsidRPr="009660EC">
        <w:t>. Report prepared for the Ministry of Agriculture and Forestry by On-Farm Research. Wellington: Ministry of Agriculture and Forestry.</w:t>
      </w:r>
    </w:p>
    <w:p w14:paraId="40BAB20C" w14:textId="77777777" w:rsidR="004543E0" w:rsidRPr="009660EC" w:rsidRDefault="004543E0" w:rsidP="004543E0">
      <w:pPr>
        <w:pStyle w:val="References"/>
      </w:pPr>
      <w:r w:rsidRPr="009660EC">
        <w:t xml:space="preserve">Muller C, Sherlock RR, Williams PH. 1995. Direct field measurements of nitrous oxide emissions from urine-affected and urine-unaffected pasture in Canterbury. In: </w:t>
      </w:r>
      <w:r w:rsidRPr="009660EC">
        <w:rPr>
          <w:i/>
          <w:iCs/>
        </w:rPr>
        <w:t>Proceedings of the Workshop on Fertilizer Requirements of Grazed Pasture and Field Crops: Macro and Micronutrients</w:t>
      </w:r>
      <w:r w:rsidRPr="009660EC">
        <w:t>. Currie LD, Loganathan P (eds). Occasional Report No. 8. Palmerston North: Massey University. pp 243–34.</w:t>
      </w:r>
    </w:p>
    <w:p w14:paraId="554D5764" w14:textId="77777777" w:rsidR="004543E0" w:rsidRPr="009660EC" w:rsidRDefault="004543E0" w:rsidP="004543E0">
      <w:pPr>
        <w:pStyle w:val="References"/>
      </w:pPr>
      <w:r w:rsidRPr="009660EC">
        <w:t xml:space="preserve">Pacheco D, Waghorn G, Rollo M. 2018. </w:t>
      </w:r>
      <w:r w:rsidRPr="009660EC">
        <w:rPr>
          <w:i/>
          <w:iCs/>
        </w:rPr>
        <w:t>Methodology for Splitting Nitrogen between Livestock Dung and Urine</w:t>
      </w:r>
      <w:r w:rsidRPr="009660EC">
        <w:t>. Report prepared for the Ministry for Primary Industries by AgResearch. Wellington: Ministry for Primary Industries.</w:t>
      </w:r>
    </w:p>
    <w:p w14:paraId="131E8540" w14:textId="77777777" w:rsidR="004543E0" w:rsidRPr="009660EC" w:rsidRDefault="004543E0" w:rsidP="004543E0">
      <w:pPr>
        <w:pStyle w:val="References"/>
      </w:pPr>
      <w:r w:rsidRPr="009660EC">
        <w:t xml:space="preserve">Pickering A, Gibbs J, Wear S, Fick J, Tomlin H. 2020. </w:t>
      </w:r>
      <w:r w:rsidRPr="009660EC">
        <w:rPr>
          <w:i/>
          <w:iCs/>
        </w:rPr>
        <w:t>Methodology for Calculation of New Zealand’s Agricultural Greenhouse Gas Emissions</w:t>
      </w:r>
      <w:r w:rsidRPr="009660EC">
        <w:t xml:space="preserve">. Version 7. Wellington: Ministry for Primary Industries. Retrieved from </w:t>
      </w:r>
      <w:hyperlink r:id="rId192" w:history="1">
        <w:r w:rsidRPr="009660EC">
          <w:rPr>
            <w:rStyle w:val="Hyperlink"/>
            <w:szCs w:val="20"/>
          </w:rPr>
          <w:t>www.mpi.govt.nz/dmsdocument/13906-Detailed-methodologies-for-agricultural-greenhouse-gas-emission-calculation</w:t>
        </w:r>
      </w:hyperlink>
      <w:r w:rsidRPr="009660EC">
        <w:t xml:space="preserve"> (5 January 2022). </w:t>
      </w:r>
    </w:p>
    <w:p w14:paraId="14EAADA3" w14:textId="77777777" w:rsidR="004543E0" w:rsidRPr="009660EC" w:rsidRDefault="004543E0" w:rsidP="004543E0">
      <w:pPr>
        <w:pStyle w:val="References"/>
      </w:pPr>
      <w:r w:rsidRPr="009660EC">
        <w:t xml:space="preserve">Pinares-Patino CS, Ulyatt MJ, Waghorn GC, Lassey KR, Barry TN, Holmes CW, Johnson DE. 2003. Methane emission by alpaca and sheep fed on lucerne hay or grazed on pastures of perennial ryegrass/white clover or birdsfoot trefoil. </w:t>
      </w:r>
      <w:r w:rsidRPr="009660EC">
        <w:rPr>
          <w:i/>
          <w:iCs/>
        </w:rPr>
        <w:t>Journal of Agricultural Science</w:t>
      </w:r>
      <w:r w:rsidRPr="009660EC">
        <w:t xml:space="preserve"> 140: 215–226.</w:t>
      </w:r>
    </w:p>
    <w:p w14:paraId="0A140156" w14:textId="77777777" w:rsidR="004543E0" w:rsidRPr="009660EC" w:rsidRDefault="004543E0" w:rsidP="004543E0">
      <w:pPr>
        <w:pStyle w:val="References"/>
      </w:pPr>
      <w:r w:rsidRPr="009660EC">
        <w:lastRenderedPageBreak/>
        <w:t xml:space="preserve">Pratt C, Walcroft A, Shilton A, Guieysse B, Chung M, Craggs R, Heubeck S. 2012. </w:t>
      </w:r>
      <w:r w:rsidRPr="009660EC">
        <w:rPr>
          <w:i/>
          <w:iCs/>
        </w:rPr>
        <w:t>Revised Methane Emission Factors and Parameters for Dairy Effluent Ponds</w:t>
      </w:r>
      <w:r w:rsidRPr="009660EC">
        <w:t>. Report prepared for the Ministry for Primary Industries by Landcare Research, Massey University and the National Institute of Water and Atmospheric Research. Wellington: Ministry for Primary Industries.</w:t>
      </w:r>
    </w:p>
    <w:p w14:paraId="3C83FFC8" w14:textId="77777777" w:rsidR="004543E0" w:rsidRPr="009660EC" w:rsidRDefault="004543E0" w:rsidP="004543E0">
      <w:pPr>
        <w:pStyle w:val="References"/>
      </w:pPr>
      <w:r w:rsidRPr="009660EC">
        <w:t xml:space="preserve">Rollo M, Ledgard S, Longhurst B. 2017. </w:t>
      </w:r>
      <w:r w:rsidRPr="009660EC">
        <w:rPr>
          <w:i/>
          <w:iCs/>
        </w:rPr>
        <w:t>Final Report: Trends in Dairy Effluent Management</w:t>
      </w:r>
      <w:r w:rsidRPr="009660EC">
        <w:t>. Report prepared for the Ministry for Primary Industries by AgResearch. Wellington: Ministry for Primary Industries.</w:t>
      </w:r>
    </w:p>
    <w:p w14:paraId="2EF876B2" w14:textId="77777777" w:rsidR="004543E0" w:rsidRPr="009660EC" w:rsidRDefault="004543E0" w:rsidP="004543E0">
      <w:pPr>
        <w:pStyle w:val="References"/>
      </w:pPr>
      <w:r w:rsidRPr="009660EC">
        <w:t>Saggar S, Clark H, Hedley C, Tate K, Carran A, Cosgrove G. Unpublished. Methane Emissions from Animal Dung and Waste Management Systems, and its Contribution to National Methane Budget. Landcare Research Contract Report: LC0301/02. Prepared for the Ministry of Agriculture and Forestry by Landcare Research in 2003.</w:t>
      </w:r>
    </w:p>
    <w:p w14:paraId="0CEE58BE" w14:textId="77777777" w:rsidR="004543E0" w:rsidRPr="009660EC" w:rsidRDefault="004543E0" w:rsidP="002050B5">
      <w:pPr>
        <w:pStyle w:val="References"/>
      </w:pPr>
      <w:r w:rsidRPr="009660EC">
        <w:t>Saggar S, Giltrap DL, Davison R, Gibson R, de Klein C, Rollo M, Ettema P, Rys G. 2015. Estimating direct N</w:t>
      </w:r>
      <w:r w:rsidRPr="009660EC">
        <w:rPr>
          <w:vertAlign w:val="subscript"/>
        </w:rPr>
        <w:t>2</w:t>
      </w:r>
      <w:r w:rsidRPr="009660EC">
        <w:t>O emissions from sheep, beef, and deer grazed pastures in New Zealand hill country: Accounting for the effect of land slope on the N</w:t>
      </w:r>
      <w:r w:rsidRPr="009660EC">
        <w:rPr>
          <w:vertAlign w:val="subscript"/>
        </w:rPr>
        <w:t>2</w:t>
      </w:r>
      <w:r w:rsidRPr="009660EC">
        <w:t xml:space="preserve">O emission factors from urine and dung. </w:t>
      </w:r>
      <w:r w:rsidRPr="009660EC">
        <w:rPr>
          <w:i/>
          <w:iCs/>
        </w:rPr>
        <w:t>Agriculture Ecosystems &amp; Environment</w:t>
      </w:r>
      <w:r w:rsidRPr="009660EC">
        <w:t xml:space="preserve"> 205: 70–78.</w:t>
      </w:r>
    </w:p>
    <w:p w14:paraId="5D44C253" w14:textId="77777777" w:rsidR="004543E0" w:rsidRPr="009660EC" w:rsidRDefault="004543E0" w:rsidP="004543E0">
      <w:pPr>
        <w:pStyle w:val="References"/>
      </w:pPr>
      <w:r w:rsidRPr="009660EC">
        <w:t xml:space="preserve">Saggar S, Singh J, Giltrap DL, Zaman M, Luo J, Rollo M, Kim D-G, Rys G, van der Weerden TJ. 2013. Quantification of reductions in ammonia emissions from fertiliser urea and animal urine in grazed pastures with urease inhibitors for Agriculture inventory: New Zealand as a case study. </w:t>
      </w:r>
      <w:r w:rsidRPr="009660EC">
        <w:rPr>
          <w:i/>
          <w:iCs/>
        </w:rPr>
        <w:t>Science of the Total Environment</w:t>
      </w:r>
      <w:r w:rsidRPr="009660EC">
        <w:t xml:space="preserve"> 465: 136–146.</w:t>
      </w:r>
    </w:p>
    <w:p w14:paraId="31DFCA49" w14:textId="77777777" w:rsidR="004543E0" w:rsidRPr="009660EC" w:rsidRDefault="004543E0" w:rsidP="004543E0">
      <w:pPr>
        <w:pStyle w:val="References"/>
      </w:pPr>
      <w:r w:rsidRPr="009660EC">
        <w:t>Sherlock RR, de Klein C, Li Z. Unpublished. Determination of N</w:t>
      </w:r>
      <w:r w:rsidRPr="009660EC">
        <w:rPr>
          <w:vertAlign w:val="subscript"/>
        </w:rPr>
        <w:t>2</w:t>
      </w:r>
      <w:r w:rsidRPr="009660EC">
        <w:t>O and CH</w:t>
      </w:r>
      <w:r w:rsidRPr="009660EC">
        <w:rPr>
          <w:vertAlign w:val="subscript"/>
        </w:rPr>
        <w:t>4</w:t>
      </w:r>
      <w:r w:rsidRPr="009660EC">
        <w:t xml:space="preserve"> Emission Factors from Animal Excreta, following a Summer Application in Three Regions of New Zealand. A final report of an NzOnet study prepared for the Ministry of Agriculture and Forestry by Landcare Research, AgResearch and Lincoln University in 2003.</w:t>
      </w:r>
    </w:p>
    <w:p w14:paraId="71602E14" w14:textId="77777777" w:rsidR="004543E0" w:rsidRPr="009660EC" w:rsidRDefault="004543E0" w:rsidP="004543E0">
      <w:pPr>
        <w:pStyle w:val="References"/>
      </w:pPr>
      <w:r w:rsidRPr="009660EC">
        <w:rPr>
          <w:spacing w:val="-2"/>
        </w:rPr>
        <w:t xml:space="preserve">Sherlock RR, Jewell P, Clough T. 2008. </w:t>
      </w:r>
      <w:r w:rsidRPr="009660EC">
        <w:rPr>
          <w:i/>
          <w:iCs/>
          <w:spacing w:val="-2"/>
        </w:rPr>
        <w:t>Review of New Zealand Specific FracGASM and FracGASF Emissions</w:t>
      </w:r>
      <w:r w:rsidRPr="009660EC">
        <w:rPr>
          <w:i/>
          <w:iCs/>
        </w:rPr>
        <w:t xml:space="preserve"> Factors</w:t>
      </w:r>
      <w:r w:rsidRPr="009660EC">
        <w:t>. Report prepared for the Ministry of Agriculture and Forestry by Landcare Research and AgResearch. Wellington: Ministry of Agriculture and Forestry.</w:t>
      </w:r>
    </w:p>
    <w:p w14:paraId="11D4B41F" w14:textId="77777777" w:rsidR="004543E0" w:rsidRPr="009660EC" w:rsidRDefault="004543E0" w:rsidP="004543E0">
      <w:pPr>
        <w:pStyle w:val="References"/>
      </w:pPr>
      <w:r w:rsidRPr="009660EC">
        <w:t xml:space="preserve">Statistics New Zealand (Stats NZ). 2017. </w:t>
      </w:r>
      <w:r w:rsidRPr="009660EC">
        <w:rPr>
          <w:i/>
          <w:iCs/>
        </w:rPr>
        <w:t>Agricultural Production Census: June 2017 (Final)</w:t>
      </w:r>
      <w:r w:rsidRPr="009660EC">
        <w:t>. Retrieved from www.stats.govt.nz/information-releases/agricultural-production-statistics-june-2017-final (5 January 2022).</w:t>
      </w:r>
    </w:p>
    <w:p w14:paraId="280ED0AC" w14:textId="77777777" w:rsidR="004543E0" w:rsidRPr="009660EC" w:rsidRDefault="004543E0" w:rsidP="004543E0">
      <w:pPr>
        <w:pStyle w:val="References"/>
      </w:pPr>
      <w:r w:rsidRPr="009660EC">
        <w:t xml:space="preserve">Stats NZ. 2022. </w:t>
      </w:r>
      <w:r w:rsidRPr="009660EC">
        <w:rPr>
          <w:i/>
          <w:iCs/>
        </w:rPr>
        <w:t>Infoshare database</w:t>
      </w:r>
      <w:r w:rsidRPr="009660EC">
        <w:t>. Retrieved from www.stats.govt.nz/infoshare (5 January 2022).</w:t>
      </w:r>
    </w:p>
    <w:p w14:paraId="5B680DEE" w14:textId="77777777" w:rsidR="004543E0" w:rsidRPr="009660EC" w:rsidRDefault="004543E0" w:rsidP="004543E0">
      <w:pPr>
        <w:pStyle w:val="References"/>
      </w:pPr>
      <w:r w:rsidRPr="009660EC">
        <w:t xml:space="preserve">Suttie J. 2012. </w:t>
      </w:r>
      <w:r w:rsidRPr="009660EC">
        <w:rPr>
          <w:i/>
          <w:iCs/>
        </w:rPr>
        <w:t>Report to the Deer Industry New Zealand: Estimation of Deer Population and Productivity Data 1990 to 2012</w:t>
      </w:r>
      <w:r w:rsidRPr="009660EC">
        <w:t xml:space="preserve">. Dunedin: Suttie Consulting Limited. </w:t>
      </w:r>
    </w:p>
    <w:p w14:paraId="41EB4D2F" w14:textId="77777777" w:rsidR="004543E0" w:rsidRPr="009660EC" w:rsidRDefault="004543E0" w:rsidP="004543E0">
      <w:pPr>
        <w:pStyle w:val="References"/>
      </w:pPr>
      <w:r w:rsidRPr="009660EC">
        <w:t xml:space="preserve">Swainson, N, Muetzel, S, Clark, H. 2016. Updated predictions of enteric methane emissions from sheep suitable for use in the New Zealand national greenhouse gas inventory. </w:t>
      </w:r>
      <w:r w:rsidRPr="009660EC">
        <w:rPr>
          <w:i/>
          <w:iCs/>
        </w:rPr>
        <w:t>Animal Production Science</w:t>
      </w:r>
      <w:r w:rsidRPr="009660EC">
        <w:t xml:space="preserve"> 58: 973–979. Retrieved from </w:t>
      </w:r>
      <w:hyperlink r:id="rId193" w:history="1">
        <w:r w:rsidRPr="009660EC">
          <w:rPr>
            <w:rStyle w:val="Hyperlink"/>
          </w:rPr>
          <w:t>www.publish.csiro.au/AN/AN15766</w:t>
        </w:r>
      </w:hyperlink>
      <w:r w:rsidRPr="009660EC">
        <w:t xml:space="preserve"> (5 January 2022).</w:t>
      </w:r>
    </w:p>
    <w:p w14:paraId="7AFCE939" w14:textId="77777777" w:rsidR="004543E0" w:rsidRPr="009660EC" w:rsidRDefault="004543E0" w:rsidP="004543E0">
      <w:pPr>
        <w:pStyle w:val="References"/>
      </w:pPr>
      <w:r w:rsidRPr="009660EC">
        <w:t xml:space="preserve">Thomas S, Hume E, Fraser T Curtin D. 2011. </w:t>
      </w:r>
      <w:r w:rsidRPr="009660EC">
        <w:rPr>
          <w:i/>
          <w:iCs/>
        </w:rPr>
        <w:t>Factors and Activity Data to Estimate Nitrous Oxide Emissions from Cropping Systems, and Stubble and Tussock Burning</w:t>
      </w:r>
      <w:r w:rsidRPr="009660EC">
        <w:t xml:space="preserve">. Technical paper no. 2012/16. Report prepared for the Ministry of Agriculture and Forestry by Plant and Food Research (formerly Crop and Food Research). Wellington: Ministry of Agriculture and Forestry. </w:t>
      </w:r>
    </w:p>
    <w:p w14:paraId="538C3827" w14:textId="77777777" w:rsidR="004543E0" w:rsidRPr="009660EC" w:rsidRDefault="004543E0" w:rsidP="004543E0">
      <w:pPr>
        <w:pStyle w:val="References"/>
      </w:pPr>
      <w:r w:rsidRPr="009660EC">
        <w:t xml:space="preserve">Thomas S, Wallace D, Beare M. 2014. </w:t>
      </w:r>
      <w:r w:rsidRPr="009660EC">
        <w:rPr>
          <w:i/>
          <w:iCs/>
        </w:rPr>
        <w:t>Pasture Renewal Activity Data and Factors for New Zealand</w:t>
      </w:r>
      <w:r w:rsidRPr="009660EC">
        <w:t>. Report prepared for the Ministry for Primary Industries by Plant and Food Research. Wellington: Ministry for Primary Industries.</w:t>
      </w:r>
    </w:p>
    <w:p w14:paraId="4553012A" w14:textId="77777777" w:rsidR="004543E0" w:rsidRPr="009660EC" w:rsidRDefault="004543E0" w:rsidP="004543E0">
      <w:pPr>
        <w:pStyle w:val="References"/>
      </w:pPr>
      <w:r w:rsidRPr="009660EC">
        <w:t xml:space="preserve">Thomas SM, Fraser T, Curtin D, Brown H, Lawrence E. 2008. </w:t>
      </w:r>
      <w:r w:rsidRPr="009660EC">
        <w:rPr>
          <w:i/>
          <w:iCs/>
        </w:rPr>
        <w:t>Review of Nitrous Oxide Emission Factors and Activity Data for Crops</w:t>
      </w:r>
      <w:r w:rsidRPr="009660EC">
        <w:t>. Report prepared for the Ministry of Agriculture and Forestry by Plant and Food Research. Wellington: Ministry of Agriculture and Forestry.</w:t>
      </w:r>
    </w:p>
    <w:p w14:paraId="1C608FA9" w14:textId="77777777" w:rsidR="004543E0" w:rsidRPr="009660EC" w:rsidRDefault="004543E0" w:rsidP="004543E0">
      <w:pPr>
        <w:pStyle w:val="References"/>
      </w:pPr>
      <w:r w:rsidRPr="009660EC">
        <w:t xml:space="preserve">Thomas SM, Ledgard SF, Francis GS. 2005. Improving estimates of nitrate leaching for quantifying New Zealand’s indirect nitrous oxide emissions. </w:t>
      </w:r>
      <w:r w:rsidRPr="009660EC">
        <w:rPr>
          <w:i/>
          <w:iCs/>
        </w:rPr>
        <w:t>Nutrient Cycling in Agroecosystems</w:t>
      </w:r>
      <w:r w:rsidRPr="009660EC">
        <w:t xml:space="preserve"> 73: 213–226.</w:t>
      </w:r>
    </w:p>
    <w:p w14:paraId="631705B6" w14:textId="77777777" w:rsidR="004543E0" w:rsidRPr="009660EC" w:rsidRDefault="004543E0" w:rsidP="004543E0">
      <w:pPr>
        <w:pStyle w:val="References"/>
      </w:pPr>
      <w:r w:rsidRPr="009660EC">
        <w:t>Thomas SM, Ledgard SF, Francis GS. Unpublished. Appropriateness of IPCC Default Values for Estimating New Zealand’s Indirect Nitrous Oxide Emissions. Report prepared for the Ministry of Agriculture and Forestry in 2003.</w:t>
      </w:r>
    </w:p>
    <w:p w14:paraId="054302CB" w14:textId="77777777" w:rsidR="004543E0" w:rsidRPr="009660EC" w:rsidRDefault="004543E0" w:rsidP="004543E0">
      <w:pPr>
        <w:pStyle w:val="References"/>
      </w:pPr>
      <w:r w:rsidRPr="009660EC">
        <w:lastRenderedPageBreak/>
        <w:t>Thomas T. Unpublished. Assessment of the Methodology of Potato Area and Yield Activity Estimations used in the NZ National GHG Inventory. Report prepared for the Ministry of Agriculture and Forestry by Plant and Food Research in 2010.</w:t>
      </w:r>
    </w:p>
    <w:p w14:paraId="76CED9E5" w14:textId="77777777" w:rsidR="004543E0" w:rsidRPr="009660EC" w:rsidRDefault="004543E0" w:rsidP="004543E0">
      <w:pPr>
        <w:pStyle w:val="References"/>
      </w:pPr>
      <w:r w:rsidRPr="009660EC">
        <w:t xml:space="preserve">Thomson BC, Muir PD, Davison R, Clark H. 2010. </w:t>
      </w:r>
      <w:r w:rsidRPr="009660EC">
        <w:rPr>
          <w:i/>
          <w:iCs/>
        </w:rPr>
        <w:t>Review of Population Models within the National Methane Inventory (2010)</w:t>
      </w:r>
      <w:r w:rsidRPr="009660EC">
        <w:t>. Technical paper prepared for the Ministry of Agriculture and Forestry by On</w:t>
      </w:r>
      <w:r w:rsidRPr="009660EC">
        <w:rPr>
          <w:rFonts w:ascii="Cambria Math" w:hAnsi="Cambria Math" w:cs="Cambria Math"/>
        </w:rPr>
        <w:t>‑</w:t>
      </w:r>
      <w:r w:rsidRPr="009660EC">
        <w:t>Farm Research (with cooperation by Meat and Wool New Zealand and AgResearch Ltd). Wellington: Ministry of Agriculture and Forestry.</w:t>
      </w:r>
    </w:p>
    <w:p w14:paraId="788A1036" w14:textId="77777777" w:rsidR="004543E0" w:rsidRPr="009660EC" w:rsidRDefault="004543E0" w:rsidP="004543E0">
      <w:pPr>
        <w:pStyle w:val="References"/>
      </w:pPr>
      <w:r w:rsidRPr="009660EC">
        <w:t>Thomson BC, Muir PD, Davison R. Unpublished. Review of Beef Population Models within the National Methane Inventory (2010). MPI Technical Report in 2012.</w:t>
      </w:r>
    </w:p>
    <w:p w14:paraId="639CE8B7" w14:textId="77777777" w:rsidR="004543E0" w:rsidRPr="009660EC" w:rsidRDefault="004543E0" w:rsidP="004543E0">
      <w:pPr>
        <w:pStyle w:val="References"/>
      </w:pPr>
      <w:r w:rsidRPr="009660EC">
        <w:t xml:space="preserve">Thomson BC, Ward KR, Muir PD. 2021. </w:t>
      </w:r>
      <w:r w:rsidRPr="009660EC">
        <w:rPr>
          <w:i/>
          <w:iCs/>
        </w:rPr>
        <w:t>Purity of agricultural lime and dolomite used in New Zealand</w:t>
      </w:r>
      <w:r w:rsidRPr="009660EC">
        <w:t>. Final report prepared for the Ministry for Primary Industries.</w:t>
      </w:r>
    </w:p>
    <w:p w14:paraId="1598B37D" w14:textId="77777777" w:rsidR="004543E0" w:rsidRPr="009660EC" w:rsidRDefault="004543E0" w:rsidP="004543E0">
      <w:pPr>
        <w:pStyle w:val="References"/>
      </w:pPr>
      <w:r w:rsidRPr="009660EC">
        <w:t>Ulyatt MJ, Baker SK, McCrabb GJ, Lassey KR. 1999. Accuracy of the SF</w:t>
      </w:r>
      <w:r w:rsidRPr="009660EC">
        <w:rPr>
          <w:vertAlign w:val="subscript"/>
        </w:rPr>
        <w:t>6</w:t>
      </w:r>
      <w:r w:rsidRPr="009660EC">
        <w:t xml:space="preserve"> tracer technology and alternatives for field measurements. </w:t>
      </w:r>
      <w:r w:rsidRPr="009660EC">
        <w:rPr>
          <w:i/>
          <w:iCs/>
        </w:rPr>
        <w:t>Australian Journal of Agricultural Research</w:t>
      </w:r>
      <w:r w:rsidRPr="009660EC">
        <w:t xml:space="preserve"> 50: 1329–1334.</w:t>
      </w:r>
    </w:p>
    <w:p w14:paraId="1E2A7151" w14:textId="77777777" w:rsidR="004543E0" w:rsidRPr="009660EC" w:rsidRDefault="004543E0" w:rsidP="004543E0">
      <w:pPr>
        <w:pStyle w:val="References"/>
      </w:pPr>
      <w:r w:rsidRPr="009660EC">
        <w:t xml:space="preserve">van der Weerden A, de Klein C, Kelliher F, Rollo M. 2014. </w:t>
      </w:r>
      <w:r w:rsidRPr="009660EC">
        <w:rPr>
          <w:i/>
          <w:iCs/>
        </w:rPr>
        <w:t>Reporting to 2006 IPCC Guidelines for N</w:t>
      </w:r>
      <w:r w:rsidRPr="009660EC">
        <w:rPr>
          <w:i/>
          <w:iCs/>
          <w:vertAlign w:val="subscript"/>
        </w:rPr>
        <w:t>2</w:t>
      </w:r>
      <w:r w:rsidRPr="009660EC">
        <w:rPr>
          <w:i/>
          <w:iCs/>
        </w:rPr>
        <w:t>O Emissions from Additional Sources of Organic N: Final Report</w:t>
      </w:r>
      <w:r w:rsidRPr="009660EC">
        <w:t>. MPI Technical Report. Wellington: Ministry for Primary Industries.</w:t>
      </w:r>
    </w:p>
    <w:p w14:paraId="5D49FF06" w14:textId="77777777" w:rsidR="004543E0" w:rsidRPr="009660EC" w:rsidRDefault="004543E0" w:rsidP="004543E0">
      <w:pPr>
        <w:pStyle w:val="References"/>
      </w:pPr>
      <w:r w:rsidRPr="009660EC">
        <w:t xml:space="preserve">van der Weerden T, Cox N, Luo J, Di HJ, Podolyan A, Phillips RL, Saggar S, de Klein CAM, Ettema P, Rys G. 2016a. Refining the New Zealand nitrous oxide emission factor for urea fertiliser and farm dairy effluent. </w:t>
      </w:r>
      <w:r w:rsidRPr="009660EC">
        <w:rPr>
          <w:i/>
          <w:iCs/>
        </w:rPr>
        <w:t>Agriculture Ecosystems &amp; Environment</w:t>
      </w:r>
      <w:r w:rsidRPr="009660EC">
        <w:t xml:space="preserve"> 222: 133–137.</w:t>
      </w:r>
    </w:p>
    <w:p w14:paraId="7AC977C5" w14:textId="77777777" w:rsidR="004543E0" w:rsidRPr="009660EC" w:rsidRDefault="004543E0" w:rsidP="004543E0">
      <w:pPr>
        <w:pStyle w:val="References"/>
      </w:pPr>
      <w:r w:rsidRPr="009660EC">
        <w:t xml:space="preserve">van der Weerden T, Luo J, Cox N, Di HJ, Podolyan A, Phillips RL, Saggar S, de Klein CA, Ettema P, Rys G. 2016b. Nitrous oxide emissions from urea fertiliser and effluent with and without inhibitors applied to pasture. </w:t>
      </w:r>
      <w:r w:rsidRPr="009660EC">
        <w:rPr>
          <w:i/>
          <w:iCs/>
        </w:rPr>
        <w:t>Agriculture Ecosystems &amp; Environment</w:t>
      </w:r>
      <w:r w:rsidRPr="009660EC">
        <w:t xml:space="preserve"> 219: 58–70.</w:t>
      </w:r>
    </w:p>
    <w:p w14:paraId="1E04C4AB" w14:textId="77777777" w:rsidR="004543E0" w:rsidRPr="009660EC" w:rsidRDefault="004543E0" w:rsidP="004543E0">
      <w:pPr>
        <w:pStyle w:val="References"/>
      </w:pPr>
      <w:r w:rsidRPr="009660EC">
        <w:t xml:space="preserve">van der Weerden T, Noble A, Giltrap D, Luo S, Saggar S. 2019. </w:t>
      </w:r>
      <w:r w:rsidRPr="009660EC">
        <w:rPr>
          <w:i/>
          <w:iCs/>
        </w:rPr>
        <w:t>Meta-analysis of nitrous oxide emission factors for excreta deposited onto pasture: Final report</w:t>
      </w:r>
      <w:r w:rsidRPr="009660EC">
        <w:t>. MPI Technical Paper No: 2021/05. Report prepared for the Ministry for Primary Industries by AgResearch in 2019. Wellington: Ministry for Primary Industries.</w:t>
      </w:r>
    </w:p>
    <w:p w14:paraId="37F99097" w14:textId="77777777" w:rsidR="004543E0" w:rsidRPr="009660EC" w:rsidRDefault="004543E0" w:rsidP="004543E0">
      <w:pPr>
        <w:pStyle w:val="References"/>
      </w:pPr>
      <w:r w:rsidRPr="009660EC">
        <w:t xml:space="preserve">van der Weerden TJ, Luo J, de Klein CA, Hoogendoorn CJ, Littlejohn RP, Rys GJ. 2011. Disaggregating nitrous oxide emission factors for ruminant urine and dung deposited onto pastoral soils. </w:t>
      </w:r>
      <w:r w:rsidRPr="009660EC">
        <w:rPr>
          <w:i/>
          <w:iCs/>
        </w:rPr>
        <w:t>Agriculture Ecosystems &amp; Environment</w:t>
      </w:r>
      <w:r w:rsidRPr="009660EC">
        <w:t xml:space="preserve"> 141(3–4): 426–436.</w:t>
      </w:r>
    </w:p>
    <w:p w14:paraId="7C2CBABB" w14:textId="77777777" w:rsidR="004543E0" w:rsidRPr="009660EC" w:rsidRDefault="004543E0" w:rsidP="004543E0">
      <w:pPr>
        <w:pStyle w:val="References"/>
      </w:pPr>
      <w:r w:rsidRPr="009660EC">
        <w:t xml:space="preserve">van der Weerden TJ, Noble AN, Luo J, de Klein CAM, Saggar S, Giltrap D, Gibbs J, Rys G. 2020. Meta-analysis of New Zealand’s nitrous oxide emission factors for ruminant excreta supports disaggregation based on excreta form, livestock type and slope class. </w:t>
      </w:r>
      <w:r w:rsidRPr="009660EC">
        <w:rPr>
          <w:i/>
          <w:iCs/>
        </w:rPr>
        <w:t>Science of The Total Environment</w:t>
      </w:r>
      <w:r w:rsidRPr="009660EC">
        <w:t xml:space="preserve"> 732. </w:t>
      </w:r>
    </w:p>
    <w:p w14:paraId="5B049BE2" w14:textId="77777777" w:rsidR="004543E0" w:rsidRPr="009660EC" w:rsidRDefault="004543E0" w:rsidP="004543E0">
      <w:pPr>
        <w:pStyle w:val="References"/>
      </w:pPr>
      <w:r w:rsidRPr="009660EC">
        <w:t>Waghorn G, Molano G, Cavanagh A. Unpublished(a). An Estimate of Whole Herd Methane Production from Cows at the Lincoln University Dairy Farm in October 2003. Final report prepared for Landcare Research NZ Ltd in 2003.</w:t>
      </w:r>
    </w:p>
    <w:p w14:paraId="5ADD01FE" w14:textId="77777777" w:rsidR="004543E0" w:rsidRPr="009660EC" w:rsidRDefault="004543E0" w:rsidP="004543E0">
      <w:pPr>
        <w:pStyle w:val="References"/>
      </w:pPr>
      <w:r w:rsidRPr="009660EC">
        <w:t>Waghorn G, Molano G, Lassey K. Unpublished(b). Estimates of Whole Herd Methane Production from Cows at the Lincoln University Dairy Farm in January and March 2002. A preliminary report prepared for Landcare Research NZ Ltd in 2002.</w:t>
      </w:r>
    </w:p>
    <w:p w14:paraId="6BA265C1" w14:textId="77777777" w:rsidR="004543E0" w:rsidRPr="009660EC" w:rsidRDefault="004543E0" w:rsidP="004543E0">
      <w:pPr>
        <w:pStyle w:val="References"/>
      </w:pPr>
      <w:r w:rsidRPr="009660EC">
        <w:t xml:space="preserve">Welten B, Mercer G, Smith C, Sprosen M, Ledgard S. 2021. </w:t>
      </w:r>
      <w:r w:rsidRPr="009660EC">
        <w:rPr>
          <w:i/>
          <w:iCs/>
        </w:rPr>
        <w:t>Refining estimates of nitrogen leaching for the New Zealand agricultural greenhouse gas inventory</w:t>
      </w:r>
      <w:r w:rsidRPr="009660EC">
        <w:t xml:space="preserve">. Report prepared for the Ministry for Primary Industries. </w:t>
      </w:r>
    </w:p>
    <w:p w14:paraId="5026A050" w14:textId="77777777" w:rsidR="004543E0" w:rsidRPr="009660EC" w:rsidRDefault="004543E0" w:rsidP="004543E0">
      <w:pPr>
        <w:pStyle w:val="References"/>
      </w:pPr>
      <w:r w:rsidRPr="009660EC">
        <w:t xml:space="preserve">Wheeler DM, Ledgard SF, de Klein CAM, Monaghan PL, Carey PL, McDowell RW, Johns KL. 2003. OVERSEER® Nutrient budgets – moving towards on-farm resource accounting. In: </w:t>
      </w:r>
      <w:r w:rsidRPr="009660EC">
        <w:rPr>
          <w:i/>
          <w:iCs/>
        </w:rPr>
        <w:t>Proceedings of the New Zealand Grassland Association 2003</w:t>
      </w:r>
      <w:r w:rsidRPr="009660EC">
        <w:t>. Palmerston North: New Zealand Grassland Association Inc.</w:t>
      </w:r>
    </w:p>
    <w:p w14:paraId="43A49AE1" w14:textId="4971B112" w:rsidR="0087314B" w:rsidRDefault="0087314B" w:rsidP="0087314B"/>
    <w:p w14:paraId="4161BC9F" w14:textId="77777777" w:rsidR="00A85756" w:rsidRDefault="00A85756" w:rsidP="0087314B">
      <w:pPr>
        <w:sectPr w:rsidR="00A85756" w:rsidSect="000444DA">
          <w:footerReference w:type="even" r:id="rId194"/>
          <w:footerReference w:type="default" r:id="rId195"/>
          <w:pgSz w:w="11906" w:h="16838" w:code="9"/>
          <w:pgMar w:top="1134" w:right="1701" w:bottom="1134" w:left="1701" w:header="567" w:footer="567" w:gutter="0"/>
          <w:cols w:space="708"/>
          <w:docGrid w:linePitch="360"/>
        </w:sectPr>
      </w:pPr>
    </w:p>
    <w:p w14:paraId="0414094B" w14:textId="77777777" w:rsidR="00784FA9" w:rsidRPr="00D604EE" w:rsidRDefault="00784FA9" w:rsidP="00784FA9">
      <w:pPr>
        <w:pStyle w:val="Heading1"/>
      </w:pPr>
      <w:bookmarkStart w:id="1290" w:name="_Toc391024696"/>
      <w:bookmarkStart w:id="1291" w:name="_Toc414531313"/>
      <w:bookmarkStart w:id="1292" w:name="_Toc474335455"/>
      <w:bookmarkStart w:id="1293" w:name="_Toc481751395"/>
      <w:bookmarkStart w:id="1294" w:name="_Toc522013947"/>
      <w:bookmarkStart w:id="1295" w:name="_Toc5269372"/>
      <w:bookmarkStart w:id="1296" w:name="_Toc36224412"/>
      <w:bookmarkStart w:id="1297" w:name="_Toc99659139"/>
      <w:r w:rsidRPr="00D604EE">
        <w:lastRenderedPageBreak/>
        <w:t>Chapter 6: Land Use, Land-Use Change and Forestry (LULUCF)</w:t>
      </w:r>
      <w:bookmarkEnd w:id="1290"/>
      <w:bookmarkEnd w:id="1291"/>
      <w:bookmarkEnd w:id="1292"/>
      <w:bookmarkEnd w:id="1293"/>
      <w:bookmarkEnd w:id="1294"/>
      <w:bookmarkEnd w:id="1295"/>
      <w:bookmarkEnd w:id="1296"/>
      <w:bookmarkEnd w:id="1297"/>
    </w:p>
    <w:p w14:paraId="0FB54649" w14:textId="77777777" w:rsidR="00784FA9" w:rsidRPr="00D604EE" w:rsidRDefault="00784FA9" w:rsidP="00784FA9">
      <w:pPr>
        <w:pStyle w:val="Heading2"/>
        <w:spacing w:before="240"/>
      </w:pPr>
      <w:bookmarkStart w:id="1298" w:name="_Toc391024697"/>
      <w:bookmarkStart w:id="1299" w:name="_Toc414531314"/>
      <w:bookmarkStart w:id="1300" w:name="_Toc474335456"/>
      <w:bookmarkStart w:id="1301" w:name="_Toc481751396"/>
      <w:bookmarkStart w:id="1302" w:name="_Toc522013948"/>
      <w:bookmarkStart w:id="1303" w:name="_Toc5269373"/>
      <w:bookmarkStart w:id="1304" w:name="_Toc36224413"/>
      <w:bookmarkStart w:id="1305" w:name="_Toc99659140"/>
      <w:r w:rsidRPr="00D604EE">
        <w:t>6.1</w:t>
      </w:r>
      <w:r w:rsidRPr="00D604EE">
        <w:tab/>
        <w:t>Sector overview</w:t>
      </w:r>
      <w:bookmarkEnd w:id="1298"/>
      <w:bookmarkEnd w:id="1299"/>
      <w:bookmarkEnd w:id="1300"/>
      <w:bookmarkEnd w:id="1301"/>
      <w:bookmarkEnd w:id="1302"/>
      <w:bookmarkEnd w:id="1303"/>
      <w:bookmarkEnd w:id="1304"/>
      <w:bookmarkEnd w:id="1305"/>
    </w:p>
    <w:p w14:paraId="38560F4C" w14:textId="77777777" w:rsidR="00784FA9" w:rsidRPr="00D604EE" w:rsidRDefault="00784FA9" w:rsidP="00784FA9">
      <w:pPr>
        <w:pStyle w:val="Heading4"/>
        <w:spacing w:before="160"/>
      </w:pPr>
      <w:r w:rsidRPr="00D604EE">
        <w:t>Net emissions summary</w:t>
      </w:r>
    </w:p>
    <w:p w14:paraId="5895B9F7" w14:textId="77777777" w:rsidR="00784FA9" w:rsidRPr="00D604EE" w:rsidRDefault="00784FA9" w:rsidP="00784FA9">
      <w:pPr>
        <w:pStyle w:val="Heading5"/>
        <w:spacing w:before="160"/>
      </w:pPr>
      <w:r w:rsidRPr="00D604EE">
        <w:t>2020</w:t>
      </w:r>
    </w:p>
    <w:p w14:paraId="030C0D07" w14:textId="77777777" w:rsidR="00784FA9" w:rsidRPr="00D604EE" w:rsidRDefault="00784FA9" w:rsidP="00784FA9">
      <w:pPr>
        <w:pStyle w:val="BodyText"/>
      </w:pPr>
      <w:r w:rsidRPr="00D604EE">
        <w:t xml:space="preserve">In 2020, net emissions from the Land Use, Land-Use Change and Forestry (LULUCF) sector were </w:t>
      </w:r>
      <w:r w:rsidRPr="00D604EE">
        <w:br/>
        <w:t>–23,313.3 kilotonnes carbon dioxide equivalent (kt CO</w:t>
      </w:r>
      <w:r w:rsidRPr="00D604EE">
        <w:rPr>
          <w:vertAlign w:val="subscript"/>
        </w:rPr>
        <w:t>2</w:t>
      </w:r>
      <w:r w:rsidRPr="00D604EE">
        <w:t>-e) or –29.6 per cent of New Zealand’s gross greenhouse gas emissions. This comprises net removals of –23,666.2 kt CO</w:t>
      </w:r>
      <w:r w:rsidRPr="00D604EE">
        <w:rPr>
          <w:vertAlign w:val="subscript"/>
        </w:rPr>
        <w:t>2</w:t>
      </w:r>
      <w:r w:rsidRPr="00D604EE">
        <w:t>, emissions of 81.7 kt CO</w:t>
      </w:r>
      <w:r w:rsidRPr="00D604EE">
        <w:rPr>
          <w:vertAlign w:val="subscript"/>
        </w:rPr>
        <w:t>2</w:t>
      </w:r>
      <w:r w:rsidRPr="00D604EE">
        <w:t>-e of methane (CH</w:t>
      </w:r>
      <w:r w:rsidRPr="00D604EE">
        <w:rPr>
          <w:vertAlign w:val="subscript"/>
        </w:rPr>
        <w:t>4</w:t>
      </w:r>
      <w:r w:rsidRPr="00D604EE">
        <w:t>) and 271.3 kt CO</w:t>
      </w:r>
      <w:r w:rsidRPr="00D604EE">
        <w:rPr>
          <w:vertAlign w:val="subscript"/>
        </w:rPr>
        <w:t>2</w:t>
      </w:r>
      <w:r w:rsidRPr="00D604EE">
        <w:t>-e of nitrous oxide (N</w:t>
      </w:r>
      <w:r w:rsidRPr="00D604EE">
        <w:rPr>
          <w:vertAlign w:val="subscript"/>
        </w:rPr>
        <w:t>2</w:t>
      </w:r>
      <w:r w:rsidRPr="00D604EE">
        <w:t xml:space="preserve">O). The category contributing the most to both removals and emissions is </w:t>
      </w:r>
      <w:r w:rsidRPr="00D604EE">
        <w:rPr>
          <w:i/>
        </w:rPr>
        <w:t>Forest land remaining forest land</w:t>
      </w:r>
      <w:r w:rsidRPr="00D604EE">
        <w:t xml:space="preserve">. This is because large removals result from the growth of all forests on this land and there are also large emissions from the sustainable harvest of New Zealand’s plantation forests. </w:t>
      </w:r>
    </w:p>
    <w:p w14:paraId="005C8649" w14:textId="77777777" w:rsidR="00784FA9" w:rsidRPr="00D604EE" w:rsidRDefault="00784FA9" w:rsidP="00784FA9">
      <w:pPr>
        <w:pStyle w:val="Heading5"/>
      </w:pPr>
      <w:r w:rsidRPr="00D604EE">
        <w:t>1990–2020</w:t>
      </w:r>
    </w:p>
    <w:p w14:paraId="78984F99" w14:textId="77777777" w:rsidR="00784FA9" w:rsidRPr="00D604EE" w:rsidRDefault="00784FA9" w:rsidP="00784FA9">
      <w:pPr>
        <w:pStyle w:val="BodyText"/>
        <w:rPr>
          <w:spacing w:val="-2"/>
        </w:rPr>
      </w:pPr>
      <w:r w:rsidRPr="00D604EE">
        <w:rPr>
          <w:spacing w:val="-2"/>
        </w:rPr>
        <w:t>Net emissions in 2020 have decreased by 2,084.0 kt CO</w:t>
      </w:r>
      <w:r w:rsidRPr="00D604EE">
        <w:rPr>
          <w:spacing w:val="-2"/>
          <w:vertAlign w:val="subscript"/>
        </w:rPr>
        <w:t>2</w:t>
      </w:r>
      <w:r w:rsidRPr="00D604EE">
        <w:rPr>
          <w:spacing w:val="-2"/>
        </w:rPr>
        <w:t>-e (</w:t>
      </w:r>
      <w:r w:rsidRPr="00D604EE">
        <w:rPr>
          <w:rFonts w:cs="Arial Bold"/>
          <w:color w:val="000000"/>
          <w:spacing w:val="-2"/>
          <w:szCs w:val="16"/>
        </w:rPr>
        <w:t xml:space="preserve">9.8 </w:t>
      </w:r>
      <w:r w:rsidRPr="00D604EE">
        <w:rPr>
          <w:spacing w:val="-2"/>
        </w:rPr>
        <w:t xml:space="preserve">per cent) from the 1990 level </w:t>
      </w:r>
      <w:r w:rsidRPr="00D604EE">
        <w:rPr>
          <w:spacing w:val="-2"/>
        </w:rPr>
        <w:br/>
        <w:t>of –21,229.2 kt CO</w:t>
      </w:r>
      <w:r w:rsidRPr="00D604EE">
        <w:rPr>
          <w:spacing w:val="-2"/>
          <w:vertAlign w:val="subscript"/>
        </w:rPr>
        <w:t>2</w:t>
      </w:r>
      <w:r w:rsidRPr="00D604EE">
        <w:rPr>
          <w:spacing w:val="-2"/>
        </w:rPr>
        <w:t xml:space="preserve">-e (see table 6.1.1 and figure 6.1.1). This is largely due to an increase in the production of harvested wood products, which have compensated for the emissions from the increase in forest harvesting. </w:t>
      </w:r>
    </w:p>
    <w:p w14:paraId="06329073" w14:textId="77777777" w:rsidR="00784FA9" w:rsidRPr="00D604EE" w:rsidRDefault="00784FA9" w:rsidP="00784FA9">
      <w:pPr>
        <w:pStyle w:val="Table"/>
      </w:pPr>
      <w:bookmarkStart w:id="1306" w:name="_Toc481751536"/>
      <w:bookmarkStart w:id="1307" w:name="_Toc522010593"/>
      <w:bookmarkStart w:id="1308" w:name="_Toc5269498"/>
      <w:bookmarkStart w:id="1309" w:name="_Toc33529374"/>
      <w:bookmarkStart w:id="1310" w:name="_Toc36224580"/>
      <w:bookmarkStart w:id="1311" w:name="_Toc65243575"/>
      <w:bookmarkStart w:id="1312" w:name="_Toc99659270"/>
      <w:r w:rsidRPr="00D604EE">
        <w:t xml:space="preserve">Table 6.1.1 </w:t>
      </w:r>
      <w:r w:rsidRPr="00D604EE">
        <w:tab/>
        <w:t>New Zealand’s greenhouse gas net emissions for the LULUCF sector by land use category</w:t>
      </w:r>
      <w:r w:rsidRPr="00D604EE">
        <w:br/>
        <w:t xml:space="preserve">in 1990 and </w:t>
      </w:r>
      <w:bookmarkEnd w:id="1306"/>
      <w:bookmarkEnd w:id="1307"/>
      <w:bookmarkEnd w:id="1308"/>
      <w:bookmarkEnd w:id="1309"/>
      <w:bookmarkEnd w:id="1310"/>
      <w:bookmarkEnd w:id="1311"/>
      <w:r w:rsidRPr="00D604EE">
        <w:t>2020</w:t>
      </w:r>
      <w:bookmarkEnd w:id="1312"/>
    </w:p>
    <w:tbl>
      <w:tblPr>
        <w:tblW w:w="8505" w:type="dxa"/>
        <w:tblInd w:w="108" w:type="dxa"/>
        <w:tblBorders>
          <w:top w:val="single" w:sz="4" w:space="0" w:color="44546A"/>
          <w:bottom w:val="single" w:sz="4" w:space="0" w:color="44546A"/>
          <w:insideH w:val="single" w:sz="4" w:space="0" w:color="44546A"/>
        </w:tblBorders>
        <w:tblLook w:val="04A0" w:firstRow="1" w:lastRow="0" w:firstColumn="1" w:lastColumn="0" w:noHBand="0" w:noVBand="1"/>
      </w:tblPr>
      <w:tblGrid>
        <w:gridCol w:w="2712"/>
        <w:gridCol w:w="1278"/>
        <w:gridCol w:w="1278"/>
        <w:gridCol w:w="1910"/>
        <w:gridCol w:w="1327"/>
      </w:tblGrid>
      <w:tr w:rsidR="00784FA9" w:rsidRPr="00D604EE" w14:paraId="763F1520" w14:textId="77777777" w:rsidTr="005134BD">
        <w:tc>
          <w:tcPr>
            <w:tcW w:w="2712" w:type="dxa"/>
            <w:tcBorders>
              <w:bottom w:val="single" w:sz="4" w:space="0" w:color="44546A"/>
            </w:tcBorders>
            <w:shd w:val="clear" w:color="auto" w:fill="1B556B"/>
            <w:vAlign w:val="center"/>
          </w:tcPr>
          <w:p w14:paraId="33C728F6" w14:textId="77777777" w:rsidR="00784FA9" w:rsidRPr="00784FA9" w:rsidRDefault="00784FA9" w:rsidP="007E3239">
            <w:pPr>
              <w:pStyle w:val="TableTextBold"/>
              <w:spacing w:before="50" w:after="50"/>
              <w:jc w:val="center"/>
              <w:rPr>
                <w:rFonts w:cs="Calibri"/>
                <w:noProof w:val="0"/>
                <w:color w:val="FFFFFF"/>
                <w:szCs w:val="16"/>
              </w:rPr>
            </w:pPr>
          </w:p>
        </w:tc>
        <w:tc>
          <w:tcPr>
            <w:tcW w:w="2556" w:type="dxa"/>
            <w:gridSpan w:val="2"/>
            <w:tcBorders>
              <w:bottom w:val="single" w:sz="4" w:space="0" w:color="44546A"/>
            </w:tcBorders>
            <w:shd w:val="clear" w:color="auto" w:fill="1B556B"/>
            <w:vAlign w:val="center"/>
          </w:tcPr>
          <w:p w14:paraId="7A7B4725" w14:textId="77777777" w:rsidR="00784FA9" w:rsidRPr="00784FA9" w:rsidRDefault="00784FA9" w:rsidP="007E3239">
            <w:pPr>
              <w:pStyle w:val="TableTextBold"/>
              <w:spacing w:before="50" w:after="50"/>
              <w:jc w:val="center"/>
              <w:rPr>
                <w:rFonts w:cs="Calibri"/>
                <w:noProof w:val="0"/>
                <w:color w:val="FFFFFF"/>
                <w:szCs w:val="16"/>
              </w:rPr>
            </w:pPr>
            <w:r w:rsidRPr="00784FA9">
              <w:rPr>
                <w:rFonts w:cs="Calibri"/>
                <w:noProof w:val="0"/>
                <w:color w:val="FFFFFF"/>
                <w:szCs w:val="16"/>
              </w:rPr>
              <w:t>Net emissions (kt CO</w:t>
            </w:r>
            <w:r w:rsidRPr="00784FA9">
              <w:rPr>
                <w:rFonts w:cs="Calibri"/>
                <w:noProof w:val="0"/>
                <w:color w:val="FFFFFF"/>
                <w:szCs w:val="16"/>
                <w:vertAlign w:val="subscript"/>
              </w:rPr>
              <w:t>2</w:t>
            </w:r>
            <w:r w:rsidRPr="00784FA9">
              <w:rPr>
                <w:rFonts w:cs="Calibri"/>
                <w:noProof w:val="0"/>
                <w:color w:val="FFFFFF"/>
                <w:szCs w:val="16"/>
              </w:rPr>
              <w:t>-e)</w:t>
            </w:r>
          </w:p>
        </w:tc>
        <w:tc>
          <w:tcPr>
            <w:tcW w:w="1910" w:type="dxa"/>
            <w:tcBorders>
              <w:bottom w:val="single" w:sz="4" w:space="0" w:color="44546A"/>
            </w:tcBorders>
            <w:shd w:val="clear" w:color="auto" w:fill="1B556B"/>
            <w:vAlign w:val="center"/>
          </w:tcPr>
          <w:p w14:paraId="66655837" w14:textId="77777777" w:rsidR="00784FA9" w:rsidRPr="00784FA9" w:rsidRDefault="00784FA9" w:rsidP="007E3239">
            <w:pPr>
              <w:pStyle w:val="TableTextBold"/>
              <w:spacing w:before="50" w:after="50"/>
              <w:jc w:val="center"/>
              <w:rPr>
                <w:rFonts w:cs="Calibri"/>
                <w:noProof w:val="0"/>
                <w:color w:val="FFFFFF"/>
                <w:szCs w:val="16"/>
              </w:rPr>
            </w:pPr>
            <w:r w:rsidRPr="00784FA9">
              <w:rPr>
                <w:rFonts w:cs="Calibri"/>
                <w:noProof w:val="0"/>
                <w:color w:val="FFFFFF"/>
                <w:szCs w:val="16"/>
              </w:rPr>
              <w:t>Difference (kt CO</w:t>
            </w:r>
            <w:r w:rsidRPr="00784FA9">
              <w:rPr>
                <w:rFonts w:cs="Calibri"/>
                <w:noProof w:val="0"/>
                <w:color w:val="FFFFFF"/>
                <w:szCs w:val="16"/>
                <w:vertAlign w:val="subscript"/>
              </w:rPr>
              <w:t>2</w:t>
            </w:r>
            <w:r w:rsidRPr="00784FA9">
              <w:rPr>
                <w:rFonts w:cs="Calibri"/>
                <w:noProof w:val="0"/>
                <w:color w:val="FFFFFF"/>
                <w:szCs w:val="16"/>
              </w:rPr>
              <w:t>-e)</w:t>
            </w:r>
          </w:p>
        </w:tc>
        <w:tc>
          <w:tcPr>
            <w:tcW w:w="1327" w:type="dxa"/>
            <w:tcBorders>
              <w:bottom w:val="single" w:sz="4" w:space="0" w:color="44546A"/>
            </w:tcBorders>
            <w:shd w:val="clear" w:color="auto" w:fill="1B556B"/>
            <w:vAlign w:val="center"/>
          </w:tcPr>
          <w:p w14:paraId="58F626E5" w14:textId="77777777" w:rsidR="00784FA9" w:rsidRPr="00784FA9" w:rsidRDefault="00784FA9" w:rsidP="007E3239">
            <w:pPr>
              <w:pStyle w:val="TableTextBold"/>
              <w:spacing w:before="50" w:after="50"/>
              <w:jc w:val="center"/>
              <w:rPr>
                <w:rFonts w:cs="Calibri"/>
                <w:noProof w:val="0"/>
                <w:color w:val="FFFFFF"/>
                <w:szCs w:val="16"/>
              </w:rPr>
            </w:pPr>
            <w:r w:rsidRPr="00784FA9">
              <w:rPr>
                <w:rFonts w:cs="Calibri"/>
                <w:noProof w:val="0"/>
                <w:color w:val="FFFFFF"/>
                <w:szCs w:val="16"/>
              </w:rPr>
              <w:t>Change (%)</w:t>
            </w:r>
          </w:p>
        </w:tc>
      </w:tr>
      <w:tr w:rsidR="00784FA9" w:rsidRPr="00D604EE" w14:paraId="78CA7B84" w14:textId="77777777" w:rsidTr="005134BD">
        <w:tc>
          <w:tcPr>
            <w:tcW w:w="2712" w:type="dxa"/>
            <w:tcBorders>
              <w:top w:val="single" w:sz="4" w:space="0" w:color="44546A"/>
            </w:tcBorders>
            <w:vAlign w:val="center"/>
            <w:hideMark/>
          </w:tcPr>
          <w:p w14:paraId="6D1A6914" w14:textId="77777777" w:rsidR="00784FA9" w:rsidRPr="00D604EE" w:rsidRDefault="00784FA9" w:rsidP="007E3239">
            <w:pPr>
              <w:pStyle w:val="TableTextBold"/>
              <w:spacing w:before="50" w:after="50" w:line="256" w:lineRule="auto"/>
              <w:rPr>
                <w:rFonts w:cs="Calibri"/>
                <w:noProof w:val="0"/>
                <w:szCs w:val="16"/>
              </w:rPr>
            </w:pPr>
            <w:r w:rsidRPr="00D604EE">
              <w:rPr>
                <w:rFonts w:cs="Calibri"/>
                <w:noProof w:val="0"/>
                <w:szCs w:val="16"/>
              </w:rPr>
              <w:t>Land use category</w:t>
            </w:r>
          </w:p>
        </w:tc>
        <w:tc>
          <w:tcPr>
            <w:tcW w:w="1278" w:type="dxa"/>
            <w:tcBorders>
              <w:top w:val="single" w:sz="4" w:space="0" w:color="44546A"/>
            </w:tcBorders>
            <w:vAlign w:val="center"/>
            <w:hideMark/>
          </w:tcPr>
          <w:p w14:paraId="293E193B" w14:textId="77777777" w:rsidR="00784FA9" w:rsidRPr="00D604EE" w:rsidRDefault="00784FA9" w:rsidP="007E3239">
            <w:pPr>
              <w:pStyle w:val="TableTextBold"/>
              <w:spacing w:before="50" w:after="50" w:line="256" w:lineRule="auto"/>
              <w:jc w:val="right"/>
              <w:rPr>
                <w:rFonts w:cs="Calibri"/>
                <w:noProof w:val="0"/>
                <w:szCs w:val="16"/>
              </w:rPr>
            </w:pPr>
            <w:r w:rsidRPr="00D604EE">
              <w:rPr>
                <w:rFonts w:cs="Calibri"/>
                <w:noProof w:val="0"/>
                <w:szCs w:val="16"/>
              </w:rPr>
              <w:t>1990</w:t>
            </w:r>
          </w:p>
        </w:tc>
        <w:tc>
          <w:tcPr>
            <w:tcW w:w="1278" w:type="dxa"/>
            <w:tcBorders>
              <w:top w:val="single" w:sz="4" w:space="0" w:color="44546A"/>
            </w:tcBorders>
            <w:vAlign w:val="center"/>
            <w:hideMark/>
          </w:tcPr>
          <w:p w14:paraId="4E5AB4BD" w14:textId="77777777" w:rsidR="00784FA9" w:rsidRPr="00D604EE" w:rsidRDefault="00784FA9" w:rsidP="007E3239">
            <w:pPr>
              <w:pStyle w:val="TableTextBold"/>
              <w:spacing w:before="50" w:after="50" w:line="256" w:lineRule="auto"/>
              <w:jc w:val="right"/>
              <w:rPr>
                <w:rFonts w:cs="Calibri"/>
                <w:noProof w:val="0"/>
                <w:szCs w:val="16"/>
              </w:rPr>
            </w:pPr>
            <w:r w:rsidRPr="00D604EE">
              <w:rPr>
                <w:rFonts w:cs="Calibri"/>
                <w:noProof w:val="0"/>
                <w:szCs w:val="16"/>
              </w:rPr>
              <w:t>2020</w:t>
            </w:r>
          </w:p>
        </w:tc>
        <w:tc>
          <w:tcPr>
            <w:tcW w:w="1910" w:type="dxa"/>
            <w:tcBorders>
              <w:top w:val="single" w:sz="4" w:space="0" w:color="44546A"/>
            </w:tcBorders>
            <w:vAlign w:val="center"/>
            <w:hideMark/>
          </w:tcPr>
          <w:p w14:paraId="08D49B5E" w14:textId="77777777" w:rsidR="00784FA9" w:rsidRPr="00D604EE" w:rsidRDefault="00784FA9" w:rsidP="007E3239">
            <w:pPr>
              <w:pStyle w:val="TableTextBold"/>
              <w:spacing w:before="50" w:after="50" w:line="256" w:lineRule="auto"/>
              <w:jc w:val="right"/>
              <w:rPr>
                <w:rFonts w:cs="Calibri"/>
                <w:noProof w:val="0"/>
                <w:szCs w:val="16"/>
              </w:rPr>
            </w:pPr>
            <w:r w:rsidRPr="00D604EE">
              <w:rPr>
                <w:rFonts w:cs="Calibri"/>
                <w:noProof w:val="0"/>
                <w:szCs w:val="16"/>
              </w:rPr>
              <w:t>1990–2020</w:t>
            </w:r>
          </w:p>
        </w:tc>
        <w:tc>
          <w:tcPr>
            <w:tcW w:w="1327" w:type="dxa"/>
            <w:tcBorders>
              <w:top w:val="single" w:sz="4" w:space="0" w:color="44546A"/>
            </w:tcBorders>
            <w:vAlign w:val="center"/>
            <w:hideMark/>
          </w:tcPr>
          <w:p w14:paraId="5F591D6B" w14:textId="77777777" w:rsidR="00784FA9" w:rsidRPr="00D604EE" w:rsidRDefault="00784FA9" w:rsidP="007E3239">
            <w:pPr>
              <w:pStyle w:val="TableTextBold"/>
              <w:spacing w:before="50" w:after="50" w:line="256" w:lineRule="auto"/>
              <w:jc w:val="right"/>
              <w:rPr>
                <w:rFonts w:cs="Calibri"/>
                <w:noProof w:val="0"/>
                <w:szCs w:val="16"/>
              </w:rPr>
            </w:pPr>
            <w:r w:rsidRPr="00D604EE">
              <w:rPr>
                <w:rFonts w:cs="Calibri"/>
                <w:noProof w:val="0"/>
                <w:szCs w:val="16"/>
              </w:rPr>
              <w:t>1990–2020</w:t>
            </w:r>
          </w:p>
        </w:tc>
      </w:tr>
      <w:tr w:rsidR="00784FA9" w:rsidRPr="00D604EE" w14:paraId="6564A520" w14:textId="77777777" w:rsidTr="005134BD">
        <w:tc>
          <w:tcPr>
            <w:tcW w:w="2712" w:type="dxa"/>
            <w:vAlign w:val="center"/>
            <w:hideMark/>
          </w:tcPr>
          <w:p w14:paraId="0AF17B81" w14:textId="77777777" w:rsidR="00784FA9" w:rsidRPr="00D604EE" w:rsidRDefault="00784FA9" w:rsidP="007E3239">
            <w:pPr>
              <w:pStyle w:val="TableText"/>
              <w:spacing w:before="50" w:after="50" w:line="256" w:lineRule="auto"/>
              <w:rPr>
                <w:rFonts w:cs="Calibri"/>
                <w:szCs w:val="16"/>
              </w:rPr>
            </w:pPr>
            <w:r w:rsidRPr="00D604EE">
              <w:rPr>
                <w:rFonts w:cs="Calibri"/>
                <w:szCs w:val="16"/>
              </w:rPr>
              <w:t>Forest land</w:t>
            </w:r>
          </w:p>
        </w:tc>
        <w:tc>
          <w:tcPr>
            <w:tcW w:w="1278" w:type="dxa"/>
            <w:hideMark/>
          </w:tcPr>
          <w:p w14:paraId="6D1BC3C6"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–20,068.3</w:t>
            </w:r>
          </w:p>
        </w:tc>
        <w:tc>
          <w:tcPr>
            <w:tcW w:w="1278" w:type="dxa"/>
            <w:hideMark/>
          </w:tcPr>
          <w:p w14:paraId="5D3280CF"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–19,704.7</w:t>
            </w:r>
          </w:p>
        </w:tc>
        <w:tc>
          <w:tcPr>
            <w:tcW w:w="1910" w:type="dxa"/>
            <w:hideMark/>
          </w:tcPr>
          <w:p w14:paraId="75846508"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363.6</w:t>
            </w:r>
          </w:p>
        </w:tc>
        <w:tc>
          <w:tcPr>
            <w:tcW w:w="1327" w:type="dxa"/>
            <w:hideMark/>
          </w:tcPr>
          <w:p w14:paraId="7324C9F5"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 xml:space="preserve"> 1.8 </w:t>
            </w:r>
          </w:p>
        </w:tc>
      </w:tr>
      <w:tr w:rsidR="00784FA9" w:rsidRPr="00D604EE" w14:paraId="228C8CC2" w14:textId="77777777" w:rsidTr="005134BD">
        <w:tc>
          <w:tcPr>
            <w:tcW w:w="2712" w:type="dxa"/>
            <w:vAlign w:val="center"/>
            <w:hideMark/>
          </w:tcPr>
          <w:p w14:paraId="611FB6D5" w14:textId="77777777" w:rsidR="00784FA9" w:rsidRPr="00D604EE" w:rsidRDefault="00784FA9" w:rsidP="007E3239">
            <w:pPr>
              <w:pStyle w:val="TableText"/>
              <w:spacing w:before="50" w:after="50" w:line="256" w:lineRule="auto"/>
              <w:rPr>
                <w:rFonts w:cs="Calibri"/>
                <w:szCs w:val="16"/>
              </w:rPr>
            </w:pPr>
            <w:r w:rsidRPr="00D604EE">
              <w:rPr>
                <w:rFonts w:cs="Calibri"/>
                <w:szCs w:val="16"/>
              </w:rPr>
              <w:t>Cropland</w:t>
            </w:r>
          </w:p>
        </w:tc>
        <w:tc>
          <w:tcPr>
            <w:tcW w:w="1278" w:type="dxa"/>
            <w:hideMark/>
          </w:tcPr>
          <w:p w14:paraId="18B5ED09"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476.2</w:t>
            </w:r>
          </w:p>
        </w:tc>
        <w:tc>
          <w:tcPr>
            <w:tcW w:w="1278" w:type="dxa"/>
            <w:hideMark/>
          </w:tcPr>
          <w:p w14:paraId="16533C14"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382.3</w:t>
            </w:r>
          </w:p>
        </w:tc>
        <w:tc>
          <w:tcPr>
            <w:tcW w:w="1910" w:type="dxa"/>
            <w:hideMark/>
          </w:tcPr>
          <w:p w14:paraId="12347B86"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–93.9</w:t>
            </w:r>
          </w:p>
        </w:tc>
        <w:tc>
          <w:tcPr>
            <w:tcW w:w="1327" w:type="dxa"/>
            <w:hideMark/>
          </w:tcPr>
          <w:p w14:paraId="02737643"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 xml:space="preserve">–19.7 </w:t>
            </w:r>
          </w:p>
        </w:tc>
      </w:tr>
      <w:tr w:rsidR="00784FA9" w:rsidRPr="00D604EE" w14:paraId="19548DF9" w14:textId="77777777" w:rsidTr="005134BD">
        <w:tc>
          <w:tcPr>
            <w:tcW w:w="2712" w:type="dxa"/>
            <w:tcBorders>
              <w:bottom w:val="single" w:sz="4" w:space="0" w:color="44546A"/>
            </w:tcBorders>
            <w:vAlign w:val="center"/>
            <w:hideMark/>
          </w:tcPr>
          <w:p w14:paraId="0500AC99" w14:textId="77777777" w:rsidR="00784FA9" w:rsidRPr="00D604EE" w:rsidRDefault="00784FA9" w:rsidP="007E3239">
            <w:pPr>
              <w:pStyle w:val="TableText"/>
              <w:spacing w:before="50" w:after="50" w:line="256" w:lineRule="auto"/>
              <w:rPr>
                <w:rFonts w:cs="Calibri"/>
                <w:szCs w:val="16"/>
              </w:rPr>
            </w:pPr>
            <w:r w:rsidRPr="00D604EE">
              <w:rPr>
                <w:rFonts w:cs="Calibri"/>
                <w:szCs w:val="16"/>
              </w:rPr>
              <w:t>Grassland</w:t>
            </w:r>
          </w:p>
        </w:tc>
        <w:tc>
          <w:tcPr>
            <w:tcW w:w="1278" w:type="dxa"/>
            <w:tcBorders>
              <w:bottom w:val="single" w:sz="4" w:space="0" w:color="44546A"/>
            </w:tcBorders>
            <w:hideMark/>
          </w:tcPr>
          <w:p w14:paraId="05EA23F4"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724.7</w:t>
            </w:r>
          </w:p>
        </w:tc>
        <w:tc>
          <w:tcPr>
            <w:tcW w:w="1278" w:type="dxa"/>
            <w:tcBorders>
              <w:bottom w:val="single" w:sz="4" w:space="0" w:color="44546A"/>
            </w:tcBorders>
            <w:hideMark/>
          </w:tcPr>
          <w:p w14:paraId="02720E3A"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2,570.2</w:t>
            </w:r>
          </w:p>
        </w:tc>
        <w:tc>
          <w:tcPr>
            <w:tcW w:w="1910" w:type="dxa"/>
            <w:tcBorders>
              <w:bottom w:val="single" w:sz="4" w:space="0" w:color="44546A"/>
            </w:tcBorders>
            <w:hideMark/>
          </w:tcPr>
          <w:p w14:paraId="6C987E97"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1,845.5</w:t>
            </w:r>
          </w:p>
        </w:tc>
        <w:tc>
          <w:tcPr>
            <w:tcW w:w="1327" w:type="dxa"/>
            <w:tcBorders>
              <w:bottom w:val="single" w:sz="4" w:space="0" w:color="44546A"/>
            </w:tcBorders>
            <w:hideMark/>
          </w:tcPr>
          <w:p w14:paraId="313D578D"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 xml:space="preserve"> 254.6 </w:t>
            </w:r>
          </w:p>
        </w:tc>
      </w:tr>
      <w:tr w:rsidR="00784FA9" w:rsidRPr="00D604EE" w14:paraId="28947F00" w14:textId="77777777" w:rsidTr="005134BD">
        <w:tc>
          <w:tcPr>
            <w:tcW w:w="2712" w:type="dxa"/>
            <w:vAlign w:val="center"/>
            <w:hideMark/>
          </w:tcPr>
          <w:p w14:paraId="5BD74373" w14:textId="77777777" w:rsidR="00784FA9" w:rsidRPr="00D604EE" w:rsidRDefault="00784FA9" w:rsidP="007E3239">
            <w:pPr>
              <w:pStyle w:val="TableText"/>
              <w:spacing w:before="50" w:after="50" w:line="256" w:lineRule="auto"/>
              <w:rPr>
                <w:rFonts w:cs="Calibri"/>
                <w:szCs w:val="16"/>
              </w:rPr>
            </w:pPr>
            <w:r w:rsidRPr="00D604EE">
              <w:rPr>
                <w:rFonts w:cs="Calibri"/>
                <w:szCs w:val="16"/>
              </w:rPr>
              <w:t>Wetlands</w:t>
            </w:r>
          </w:p>
        </w:tc>
        <w:tc>
          <w:tcPr>
            <w:tcW w:w="1278" w:type="dxa"/>
            <w:hideMark/>
          </w:tcPr>
          <w:p w14:paraId="6C43833E"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–10.5</w:t>
            </w:r>
          </w:p>
        </w:tc>
        <w:tc>
          <w:tcPr>
            <w:tcW w:w="1278" w:type="dxa"/>
            <w:hideMark/>
          </w:tcPr>
          <w:p w14:paraId="750ED403"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13.4</w:t>
            </w:r>
          </w:p>
        </w:tc>
        <w:tc>
          <w:tcPr>
            <w:tcW w:w="1910" w:type="dxa"/>
            <w:hideMark/>
          </w:tcPr>
          <w:p w14:paraId="54E865E8"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23.8</w:t>
            </w:r>
          </w:p>
        </w:tc>
        <w:tc>
          <w:tcPr>
            <w:tcW w:w="1327" w:type="dxa"/>
            <w:hideMark/>
          </w:tcPr>
          <w:p w14:paraId="729A67FE"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 xml:space="preserve"> 227.8 </w:t>
            </w:r>
          </w:p>
        </w:tc>
      </w:tr>
      <w:tr w:rsidR="00784FA9" w:rsidRPr="00D604EE" w14:paraId="4EA4043B" w14:textId="77777777" w:rsidTr="005134BD">
        <w:tc>
          <w:tcPr>
            <w:tcW w:w="2712" w:type="dxa"/>
            <w:vAlign w:val="center"/>
            <w:hideMark/>
          </w:tcPr>
          <w:p w14:paraId="63D8E310" w14:textId="77777777" w:rsidR="00784FA9" w:rsidRPr="00D604EE" w:rsidRDefault="00784FA9" w:rsidP="007E3239">
            <w:pPr>
              <w:pStyle w:val="TableText"/>
              <w:spacing w:before="50" w:after="50" w:line="256" w:lineRule="auto"/>
              <w:rPr>
                <w:rFonts w:cs="Calibri"/>
                <w:szCs w:val="16"/>
              </w:rPr>
            </w:pPr>
            <w:r w:rsidRPr="00D604EE">
              <w:rPr>
                <w:rFonts w:cs="Calibri"/>
                <w:szCs w:val="16"/>
              </w:rPr>
              <w:t>Settlements</w:t>
            </w:r>
          </w:p>
        </w:tc>
        <w:tc>
          <w:tcPr>
            <w:tcW w:w="1278" w:type="dxa"/>
            <w:hideMark/>
          </w:tcPr>
          <w:p w14:paraId="128BC245"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75.4</w:t>
            </w:r>
          </w:p>
        </w:tc>
        <w:tc>
          <w:tcPr>
            <w:tcW w:w="1278" w:type="dxa"/>
            <w:hideMark/>
          </w:tcPr>
          <w:p w14:paraId="16A8824C"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124.1</w:t>
            </w:r>
          </w:p>
        </w:tc>
        <w:tc>
          <w:tcPr>
            <w:tcW w:w="1910" w:type="dxa"/>
            <w:hideMark/>
          </w:tcPr>
          <w:p w14:paraId="599B5E0C"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48.6</w:t>
            </w:r>
          </w:p>
        </w:tc>
        <w:tc>
          <w:tcPr>
            <w:tcW w:w="1327" w:type="dxa"/>
            <w:hideMark/>
          </w:tcPr>
          <w:p w14:paraId="3873D44B"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 xml:space="preserve"> 64.5 </w:t>
            </w:r>
          </w:p>
        </w:tc>
      </w:tr>
      <w:tr w:rsidR="00784FA9" w:rsidRPr="00D604EE" w14:paraId="14D71F42" w14:textId="77777777" w:rsidTr="005134BD">
        <w:tc>
          <w:tcPr>
            <w:tcW w:w="2712" w:type="dxa"/>
            <w:vAlign w:val="center"/>
            <w:hideMark/>
          </w:tcPr>
          <w:p w14:paraId="0543341D" w14:textId="77777777" w:rsidR="00784FA9" w:rsidRPr="00D604EE" w:rsidRDefault="00784FA9" w:rsidP="007E3239">
            <w:pPr>
              <w:pStyle w:val="TableText"/>
              <w:spacing w:before="50" w:after="50" w:line="256" w:lineRule="auto"/>
              <w:rPr>
                <w:rFonts w:cs="Calibri"/>
                <w:szCs w:val="16"/>
              </w:rPr>
            </w:pPr>
            <w:r w:rsidRPr="00D604EE">
              <w:rPr>
                <w:rFonts w:cs="Calibri"/>
                <w:szCs w:val="16"/>
              </w:rPr>
              <w:t>Other land</w:t>
            </w:r>
          </w:p>
        </w:tc>
        <w:tc>
          <w:tcPr>
            <w:tcW w:w="1278" w:type="dxa"/>
            <w:hideMark/>
          </w:tcPr>
          <w:p w14:paraId="7E32E67E"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13.6</w:t>
            </w:r>
          </w:p>
        </w:tc>
        <w:tc>
          <w:tcPr>
            <w:tcW w:w="1278" w:type="dxa"/>
            <w:hideMark/>
          </w:tcPr>
          <w:p w14:paraId="01C16531"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118.4</w:t>
            </w:r>
          </w:p>
        </w:tc>
        <w:tc>
          <w:tcPr>
            <w:tcW w:w="1910" w:type="dxa"/>
            <w:hideMark/>
          </w:tcPr>
          <w:p w14:paraId="7353AE30"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104.8</w:t>
            </w:r>
          </w:p>
        </w:tc>
        <w:tc>
          <w:tcPr>
            <w:tcW w:w="1327" w:type="dxa"/>
            <w:hideMark/>
          </w:tcPr>
          <w:p w14:paraId="6C4E59C7"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 xml:space="preserve"> 770.3 </w:t>
            </w:r>
          </w:p>
        </w:tc>
      </w:tr>
      <w:tr w:rsidR="00784FA9" w:rsidRPr="00D604EE" w14:paraId="2363C5A4" w14:textId="77777777" w:rsidTr="005134BD">
        <w:tc>
          <w:tcPr>
            <w:tcW w:w="2712" w:type="dxa"/>
            <w:noWrap/>
            <w:vAlign w:val="center"/>
          </w:tcPr>
          <w:p w14:paraId="1BD6D31D" w14:textId="77777777" w:rsidR="00784FA9" w:rsidRPr="00D604EE" w:rsidRDefault="00784FA9" w:rsidP="007E3239">
            <w:pPr>
              <w:pStyle w:val="TableText"/>
              <w:spacing w:before="50" w:after="50" w:line="256" w:lineRule="auto"/>
              <w:rPr>
                <w:rFonts w:cs="Calibri"/>
                <w:szCs w:val="16"/>
              </w:rPr>
            </w:pPr>
            <w:r w:rsidRPr="00D604EE">
              <w:rPr>
                <w:rFonts w:cs="Calibri"/>
                <w:szCs w:val="16"/>
              </w:rPr>
              <w:t>Indirect emissions*</w:t>
            </w:r>
          </w:p>
        </w:tc>
        <w:tc>
          <w:tcPr>
            <w:tcW w:w="1278" w:type="dxa"/>
          </w:tcPr>
          <w:p w14:paraId="1B6DB27D"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40.8</w:t>
            </w:r>
          </w:p>
        </w:tc>
        <w:tc>
          <w:tcPr>
            <w:tcW w:w="1278" w:type="dxa"/>
          </w:tcPr>
          <w:p w14:paraId="5A652CAA"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17.7</w:t>
            </w:r>
          </w:p>
        </w:tc>
        <w:tc>
          <w:tcPr>
            <w:tcW w:w="1910" w:type="dxa"/>
          </w:tcPr>
          <w:p w14:paraId="766F6BFE"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–23.1</w:t>
            </w:r>
          </w:p>
        </w:tc>
        <w:tc>
          <w:tcPr>
            <w:tcW w:w="1327" w:type="dxa"/>
          </w:tcPr>
          <w:p w14:paraId="2B8EE13E"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 xml:space="preserve">–56.6 </w:t>
            </w:r>
          </w:p>
        </w:tc>
      </w:tr>
      <w:tr w:rsidR="00784FA9" w:rsidRPr="00D604EE" w14:paraId="718FB4F5" w14:textId="77777777" w:rsidTr="005134BD">
        <w:tc>
          <w:tcPr>
            <w:tcW w:w="2712" w:type="dxa"/>
            <w:noWrap/>
            <w:vAlign w:val="center"/>
            <w:hideMark/>
          </w:tcPr>
          <w:p w14:paraId="45A1EE4F" w14:textId="77777777" w:rsidR="00784FA9" w:rsidRPr="00D604EE" w:rsidRDefault="00784FA9" w:rsidP="007E3239">
            <w:pPr>
              <w:pStyle w:val="TableText"/>
              <w:spacing w:before="50" w:after="50" w:line="256" w:lineRule="auto"/>
              <w:rPr>
                <w:rFonts w:cs="Calibri"/>
                <w:szCs w:val="16"/>
              </w:rPr>
            </w:pPr>
            <w:r w:rsidRPr="00D604EE">
              <w:rPr>
                <w:rFonts w:cs="Calibri"/>
                <w:szCs w:val="16"/>
              </w:rPr>
              <w:t>Harvested wood products</w:t>
            </w:r>
          </w:p>
        </w:tc>
        <w:tc>
          <w:tcPr>
            <w:tcW w:w="1278" w:type="dxa"/>
            <w:hideMark/>
          </w:tcPr>
          <w:p w14:paraId="70401C58"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–2,481.2</w:t>
            </w:r>
          </w:p>
        </w:tc>
        <w:tc>
          <w:tcPr>
            <w:tcW w:w="1278" w:type="dxa"/>
            <w:hideMark/>
          </w:tcPr>
          <w:p w14:paraId="668C5F64"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–6,834.6</w:t>
            </w:r>
          </w:p>
        </w:tc>
        <w:tc>
          <w:tcPr>
            <w:tcW w:w="1910" w:type="dxa"/>
            <w:hideMark/>
          </w:tcPr>
          <w:p w14:paraId="3234703F"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–4,353.4</w:t>
            </w:r>
          </w:p>
        </w:tc>
        <w:tc>
          <w:tcPr>
            <w:tcW w:w="1327" w:type="dxa"/>
            <w:hideMark/>
          </w:tcPr>
          <w:p w14:paraId="20C2F076" w14:textId="77777777" w:rsidR="00784FA9" w:rsidRPr="00D604EE" w:rsidRDefault="00784FA9" w:rsidP="007E3239">
            <w:pPr>
              <w:pStyle w:val="TableText"/>
              <w:spacing w:before="50" w:after="50" w:line="256" w:lineRule="auto"/>
              <w:jc w:val="right"/>
              <w:rPr>
                <w:rFonts w:cs="Calibri"/>
                <w:szCs w:val="16"/>
              </w:rPr>
            </w:pPr>
            <w:r w:rsidRPr="00D604EE">
              <w:rPr>
                <w:rFonts w:cs="Calibri"/>
                <w:szCs w:val="16"/>
              </w:rPr>
              <w:t xml:space="preserve">–175.5 </w:t>
            </w:r>
          </w:p>
        </w:tc>
      </w:tr>
      <w:tr w:rsidR="00784FA9" w:rsidRPr="00D604EE" w14:paraId="30EA9A33" w14:textId="77777777" w:rsidTr="005134BD">
        <w:tc>
          <w:tcPr>
            <w:tcW w:w="2712" w:type="dxa"/>
            <w:vAlign w:val="center"/>
            <w:hideMark/>
          </w:tcPr>
          <w:p w14:paraId="311E0FE5" w14:textId="77777777" w:rsidR="00784FA9" w:rsidRPr="00D604EE" w:rsidRDefault="00784FA9" w:rsidP="007E3239">
            <w:pPr>
              <w:pStyle w:val="Tableboldblue"/>
              <w:spacing w:before="50" w:after="50" w:line="256" w:lineRule="auto"/>
              <w:jc w:val="right"/>
              <w:rPr>
                <w:rFonts w:cs="Calibri"/>
                <w:szCs w:val="16"/>
              </w:rPr>
            </w:pPr>
            <w:r w:rsidRPr="00D604EE">
              <w:rPr>
                <w:rFonts w:cs="Calibri"/>
                <w:szCs w:val="16"/>
              </w:rPr>
              <w:t>Total LULUCF</w:t>
            </w:r>
          </w:p>
        </w:tc>
        <w:tc>
          <w:tcPr>
            <w:tcW w:w="1278" w:type="dxa"/>
            <w:hideMark/>
          </w:tcPr>
          <w:p w14:paraId="69548574" w14:textId="77777777" w:rsidR="00784FA9" w:rsidRPr="00D604EE" w:rsidRDefault="00784FA9" w:rsidP="007E3239">
            <w:pPr>
              <w:pStyle w:val="Tableboldblue"/>
              <w:spacing w:before="50" w:after="50" w:line="256" w:lineRule="auto"/>
              <w:jc w:val="right"/>
              <w:rPr>
                <w:rFonts w:cs="Calibri"/>
                <w:szCs w:val="16"/>
              </w:rPr>
            </w:pPr>
            <w:r w:rsidRPr="00D604EE">
              <w:rPr>
                <w:rFonts w:cs="Calibri"/>
                <w:szCs w:val="16"/>
              </w:rPr>
              <w:t>–21,229.2</w:t>
            </w:r>
          </w:p>
        </w:tc>
        <w:tc>
          <w:tcPr>
            <w:tcW w:w="1278" w:type="dxa"/>
            <w:hideMark/>
          </w:tcPr>
          <w:p w14:paraId="6A9094FF" w14:textId="77777777" w:rsidR="00784FA9" w:rsidRPr="00D604EE" w:rsidRDefault="00784FA9" w:rsidP="007E3239">
            <w:pPr>
              <w:pStyle w:val="Tableboldblue"/>
              <w:spacing w:before="50" w:after="50" w:line="256" w:lineRule="auto"/>
              <w:jc w:val="right"/>
              <w:rPr>
                <w:rFonts w:cs="Calibri"/>
                <w:szCs w:val="16"/>
              </w:rPr>
            </w:pPr>
            <w:r w:rsidRPr="00D604EE">
              <w:rPr>
                <w:rFonts w:cs="Calibri"/>
                <w:szCs w:val="16"/>
              </w:rPr>
              <w:t>–23,313.3</w:t>
            </w:r>
          </w:p>
        </w:tc>
        <w:tc>
          <w:tcPr>
            <w:tcW w:w="1910" w:type="dxa"/>
            <w:hideMark/>
          </w:tcPr>
          <w:p w14:paraId="47B0DD04" w14:textId="77777777" w:rsidR="00784FA9" w:rsidRPr="00D604EE" w:rsidRDefault="00784FA9" w:rsidP="007E3239">
            <w:pPr>
              <w:pStyle w:val="Tableboldblue"/>
              <w:spacing w:before="50" w:after="50" w:line="256" w:lineRule="auto"/>
              <w:jc w:val="right"/>
              <w:rPr>
                <w:rFonts w:cs="Calibri"/>
                <w:szCs w:val="16"/>
              </w:rPr>
            </w:pPr>
            <w:r w:rsidRPr="00D604EE">
              <w:rPr>
                <w:rFonts w:cs="Calibri"/>
                <w:szCs w:val="16"/>
              </w:rPr>
              <w:t>–2,084.0</w:t>
            </w:r>
          </w:p>
        </w:tc>
        <w:tc>
          <w:tcPr>
            <w:tcW w:w="1327" w:type="dxa"/>
            <w:hideMark/>
          </w:tcPr>
          <w:p w14:paraId="671BCF3F" w14:textId="77777777" w:rsidR="00784FA9" w:rsidRPr="00D604EE" w:rsidRDefault="00784FA9" w:rsidP="007E3239">
            <w:pPr>
              <w:pStyle w:val="Tableboldblue"/>
              <w:spacing w:before="50" w:after="50" w:line="256" w:lineRule="auto"/>
              <w:jc w:val="right"/>
              <w:rPr>
                <w:rFonts w:cs="Calibri"/>
                <w:szCs w:val="16"/>
              </w:rPr>
            </w:pPr>
            <w:r w:rsidRPr="00D604EE">
              <w:rPr>
                <w:rFonts w:cs="Calibri"/>
                <w:szCs w:val="16"/>
              </w:rPr>
              <w:t xml:space="preserve">–9.8 </w:t>
            </w:r>
          </w:p>
        </w:tc>
      </w:tr>
    </w:tbl>
    <w:p w14:paraId="332A6919" w14:textId="77777777" w:rsidR="00784FA9" w:rsidRPr="00D604EE" w:rsidRDefault="00784FA9" w:rsidP="00784FA9">
      <w:pPr>
        <w:pStyle w:val="Noteundertable"/>
        <w:spacing w:after="0"/>
      </w:pPr>
      <w:r w:rsidRPr="00D604EE">
        <w:rPr>
          <w:b/>
          <w:bCs/>
        </w:rPr>
        <w:t>Note:</w:t>
      </w:r>
      <w:r w:rsidRPr="00D604EE">
        <w:tab/>
        <w:t>Net removals are expressed as a negative value in the table to help the reader in clarifying that the value is a removal (of CO</w:t>
      </w:r>
      <w:r w:rsidRPr="00D604EE">
        <w:rPr>
          <w:vertAlign w:val="subscript"/>
        </w:rPr>
        <w:t>2</w:t>
      </w:r>
      <w:r w:rsidRPr="00D604EE">
        <w:t xml:space="preserve">-e from the atmosphere) and not an emission. Columns may not total due to rounding. Percentages presented are calculated from unrounded values. </w:t>
      </w:r>
    </w:p>
    <w:p w14:paraId="7D0EC45D" w14:textId="77777777" w:rsidR="00784FA9" w:rsidRPr="00D604EE" w:rsidRDefault="00784FA9" w:rsidP="00784FA9">
      <w:pPr>
        <w:pStyle w:val="Noteundertable"/>
        <w:ind w:firstLine="0"/>
      </w:pPr>
      <w:r w:rsidRPr="00D604EE">
        <w:t>* Indirect emissions as a result of N</w:t>
      </w:r>
      <w:r w:rsidRPr="00D604EE">
        <w:rPr>
          <w:vertAlign w:val="subscript"/>
        </w:rPr>
        <w:t>2</w:t>
      </w:r>
      <w:r w:rsidRPr="00D604EE">
        <w:t>O emissions from leaching and runoff are not disaggregated by land use category in the common reporting format (CRF) tables and are reported separately under non-CO</w:t>
      </w:r>
      <w:r w:rsidRPr="00D604EE">
        <w:rPr>
          <w:vertAlign w:val="subscript"/>
        </w:rPr>
        <w:t>2</w:t>
      </w:r>
      <w:r w:rsidRPr="00D604EE">
        <w:t xml:space="preserve"> emissions in section 6.10.4.</w:t>
      </w:r>
    </w:p>
    <w:p w14:paraId="3A900D49" w14:textId="77777777" w:rsidR="00784FA9" w:rsidRPr="00D604EE" w:rsidRDefault="00784FA9" w:rsidP="00784FA9">
      <w:pPr>
        <w:pStyle w:val="Figure"/>
      </w:pPr>
      <w:bookmarkStart w:id="1313" w:name="_Toc405448081"/>
      <w:bookmarkStart w:id="1314" w:name="_Toc414531613"/>
      <w:bookmarkStart w:id="1315" w:name="_Toc474914636"/>
      <w:bookmarkStart w:id="1316" w:name="_Toc481752018"/>
      <w:bookmarkStart w:id="1317" w:name="_Toc522010696"/>
      <w:bookmarkStart w:id="1318" w:name="_Toc5269699"/>
      <w:bookmarkStart w:id="1319" w:name="_Toc33529470"/>
      <w:bookmarkStart w:id="1320" w:name="_Toc36292800"/>
      <w:bookmarkStart w:id="1321" w:name="_Toc65244092"/>
      <w:bookmarkStart w:id="1322" w:name="_Toc99696045"/>
      <w:r w:rsidRPr="00D604EE">
        <w:lastRenderedPageBreak/>
        <w:t>Figure 6.1.1</w:t>
      </w:r>
      <w:r w:rsidRPr="00D604EE">
        <w:tab/>
        <w:t>New Zealand’s annual emissions from the LULUCF sector from 1990 to </w:t>
      </w:r>
      <w:bookmarkEnd w:id="1313"/>
      <w:bookmarkEnd w:id="1314"/>
      <w:bookmarkEnd w:id="1315"/>
      <w:bookmarkEnd w:id="1316"/>
      <w:bookmarkEnd w:id="1317"/>
      <w:bookmarkEnd w:id="1318"/>
      <w:bookmarkEnd w:id="1319"/>
      <w:bookmarkEnd w:id="1320"/>
      <w:bookmarkEnd w:id="1321"/>
      <w:r w:rsidRPr="00D604EE">
        <w:t>2020</w:t>
      </w:r>
      <w:bookmarkEnd w:id="1322"/>
    </w:p>
    <w:p w14:paraId="435A79C5" w14:textId="3B4A3A71" w:rsidR="00784FA9" w:rsidRPr="00D604EE" w:rsidRDefault="004B48CC" w:rsidP="00194AAB">
      <w:pPr>
        <w:spacing w:before="120" w:after="120"/>
      </w:pPr>
      <w:bookmarkStart w:id="1323" w:name="_Toc405448082"/>
      <w:bookmarkStart w:id="1324" w:name="_Toc414531614"/>
      <w:r>
        <w:rPr>
          <w:noProof/>
        </w:rPr>
        <w:pict w14:anchorId="7899B1E3">
          <v:shape id="_x0000_i1120" type="#_x0000_t75" style="width:410.25pt;height:242.8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">
            <v:imagedata r:id="rId196" o:title="" cropbottom="-41f"/>
          </v:shape>
        </w:pict>
      </w:r>
      <w:r w:rsidR="00784FA9" w:rsidRPr="00D604EE">
        <w:fldChar w:fldCharType="begin"/>
      </w:r>
      <w:r w:rsidR="00784FA9" w:rsidRPr="00D604EE">
        <w:fldChar w:fldCharType="end"/>
      </w:r>
    </w:p>
    <w:bookmarkEnd w:id="1323"/>
    <w:bookmarkEnd w:id="1324"/>
    <w:p w14:paraId="00FE42A7" w14:textId="77777777" w:rsidR="00784FA9" w:rsidRPr="00D604EE" w:rsidRDefault="00784FA9" w:rsidP="00784FA9">
      <w:pPr>
        <w:pStyle w:val="BodyText"/>
        <w:spacing w:before="240"/>
      </w:pPr>
      <w:r w:rsidRPr="00D604EE">
        <w:t>Emissions in the LULUCF sector are primarily driven by the harvest of production forests, deforestation and the decomposition of organic material following these activities. Removals are primarily from the sequestration of carbon that occurs due to plant growth and increase in the size of the harvested wood products pool. Nitrous oxide can be emitted from the ecosystem as a by-product of nitrification and de</w:t>
      </w:r>
      <w:r w:rsidRPr="00D604EE">
        <w:noBreakHyphen/>
        <w:t>nitrification, and the burning of organic matter. Other gases released during biomass burning include CH</w:t>
      </w:r>
      <w:r w:rsidRPr="00D604EE">
        <w:rPr>
          <w:vertAlign w:val="subscript"/>
        </w:rPr>
        <w:t>4</w:t>
      </w:r>
      <w:r w:rsidRPr="00D604EE">
        <w:t>, carbon monoxide (CO), other oxides of nitrogen (NO</w:t>
      </w:r>
      <w:r w:rsidRPr="00D604EE">
        <w:rPr>
          <w:vertAlign w:val="subscript"/>
        </w:rPr>
        <w:t>x</w:t>
      </w:r>
      <w:r w:rsidRPr="00D604EE">
        <w:t xml:space="preserve">) and non-methane volatile organic compounds (NMVOCs). </w:t>
      </w:r>
    </w:p>
    <w:p w14:paraId="354FAA1B" w14:textId="77777777" w:rsidR="00784FA9" w:rsidRPr="00D604EE" w:rsidRDefault="00784FA9" w:rsidP="00784FA9">
      <w:pPr>
        <w:pStyle w:val="Heading5"/>
      </w:pPr>
      <w:r w:rsidRPr="00D604EE">
        <w:t>2019–2020</w:t>
      </w:r>
    </w:p>
    <w:p w14:paraId="4C3D9272" w14:textId="77777777" w:rsidR="00784FA9" w:rsidRPr="00D604EE" w:rsidRDefault="00784FA9" w:rsidP="00784FA9">
      <w:pPr>
        <w:pStyle w:val="BodyText"/>
      </w:pPr>
      <w:r w:rsidRPr="00D604EE">
        <w:rPr>
          <w:spacing w:val="-2"/>
        </w:rPr>
        <w:t>Net emissions from the LULUCF sector decreased between 2019 and 2020 by 278.3 kt CO</w:t>
      </w:r>
      <w:r w:rsidRPr="00D604EE">
        <w:rPr>
          <w:spacing w:val="-2"/>
          <w:vertAlign w:val="subscript"/>
        </w:rPr>
        <w:t>2</w:t>
      </w:r>
      <w:r w:rsidRPr="00D604EE">
        <w:rPr>
          <w:spacing w:val="-2"/>
        </w:rPr>
        <w:t>-e (</w:t>
      </w:r>
      <w:r w:rsidRPr="00D604EE">
        <w:t xml:space="preserve">1.2 per cent) (see table 6.1.2). </w:t>
      </w:r>
    </w:p>
    <w:p w14:paraId="7127ED13" w14:textId="77777777" w:rsidR="00784FA9" w:rsidRPr="00D604EE" w:rsidRDefault="00784FA9" w:rsidP="00784FA9">
      <w:pPr>
        <w:pStyle w:val="BodyText"/>
      </w:pPr>
      <w:r w:rsidRPr="00D604EE">
        <w:t xml:space="preserve">The largest change occurred in the </w:t>
      </w:r>
      <w:r w:rsidRPr="00D604EE">
        <w:rPr>
          <w:i/>
          <w:iCs/>
        </w:rPr>
        <w:t>Harvested wood products </w:t>
      </w:r>
      <w:r w:rsidRPr="00D604EE">
        <w:t>category, with an increase in emissions of 2,203.3 kt CO</w:t>
      </w:r>
      <w:r w:rsidRPr="00D604EE">
        <w:rPr>
          <w:vertAlign w:val="subscript"/>
        </w:rPr>
        <w:t>2</w:t>
      </w:r>
      <w:r w:rsidRPr="00D604EE">
        <w:t xml:space="preserve">-e. The reason for this change was that the production of harvested wood products fell due to disruptions in processing and logistics related to COVID-19. The </w:t>
      </w:r>
      <w:r w:rsidRPr="00D604EE">
        <w:rPr>
          <w:i/>
          <w:iCs/>
        </w:rPr>
        <w:t>Grassland</w:t>
      </w:r>
      <w:r w:rsidRPr="00D604EE">
        <w:t xml:space="preserve"> category had the second largest change, with a decrease in emissions of 1,802.9 kt CO</w:t>
      </w:r>
      <w:r w:rsidRPr="00D604EE">
        <w:rPr>
          <w:vertAlign w:val="subscript"/>
        </w:rPr>
        <w:t>2</w:t>
      </w:r>
      <w:r w:rsidRPr="00D604EE">
        <w:t xml:space="preserve">-e, driven by reduced deforestation in planted forest, resulting in fewer conversions from </w:t>
      </w:r>
      <w:r w:rsidRPr="00D604EE">
        <w:rPr>
          <w:i/>
          <w:iCs/>
        </w:rPr>
        <w:t>Forest land</w:t>
      </w:r>
      <w:r w:rsidRPr="00D604EE">
        <w:t xml:space="preserve"> to </w:t>
      </w:r>
      <w:r w:rsidRPr="00D604EE">
        <w:rPr>
          <w:i/>
          <w:iCs/>
        </w:rPr>
        <w:t>Grassland</w:t>
      </w:r>
      <w:r w:rsidRPr="00D604EE">
        <w:t xml:space="preserve">. </w:t>
      </w:r>
    </w:p>
    <w:p w14:paraId="23BEE957" w14:textId="77777777" w:rsidR="00784FA9" w:rsidRPr="00D604EE" w:rsidRDefault="00784FA9" w:rsidP="00784FA9">
      <w:pPr>
        <w:pStyle w:val="Table"/>
      </w:pPr>
      <w:bookmarkStart w:id="1325" w:name="_Toc99659271"/>
      <w:r w:rsidRPr="00D604EE">
        <w:t xml:space="preserve">Table 6.1.2 </w:t>
      </w:r>
      <w:r w:rsidRPr="00D604EE">
        <w:tab/>
        <w:t>New Zealand’s greenhouse gas net emissions for the LULUCF sector by land use category</w:t>
      </w:r>
      <w:r w:rsidRPr="00D604EE">
        <w:br/>
        <w:t>in 2019 and 2020</w:t>
      </w:r>
      <w:bookmarkEnd w:id="1325"/>
    </w:p>
    <w:tbl>
      <w:tblPr>
        <w:tblW w:w="8505" w:type="dxa"/>
        <w:tblInd w:w="108"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2554"/>
        <w:gridCol w:w="1506"/>
        <w:gridCol w:w="1299"/>
        <w:gridCol w:w="1481"/>
        <w:gridCol w:w="1665"/>
      </w:tblGrid>
      <w:tr w:rsidR="00784FA9" w:rsidRPr="00D604EE" w14:paraId="6B59DA77" w14:textId="77777777" w:rsidTr="006B6EA8">
        <w:trPr>
          <w:tblHeader/>
        </w:trPr>
        <w:tc>
          <w:tcPr>
            <w:tcW w:w="2554" w:type="dxa"/>
            <w:shd w:val="clear" w:color="auto" w:fill="1B556B"/>
            <w:vAlign w:val="center"/>
            <w:hideMark/>
          </w:tcPr>
          <w:p w14:paraId="6E0A76C2" w14:textId="77777777" w:rsidR="00784FA9" w:rsidRPr="00784FA9" w:rsidRDefault="00784FA9" w:rsidP="007E3239">
            <w:pPr>
              <w:pStyle w:val="TableTextBold"/>
              <w:spacing w:before="40" w:after="40"/>
              <w:rPr>
                <w:noProof w:val="0"/>
                <w:color w:val="FFFFFF"/>
              </w:rPr>
            </w:pPr>
          </w:p>
        </w:tc>
        <w:tc>
          <w:tcPr>
            <w:tcW w:w="2805" w:type="dxa"/>
            <w:gridSpan w:val="2"/>
            <w:shd w:val="clear" w:color="auto" w:fill="1B556B"/>
            <w:vAlign w:val="center"/>
            <w:hideMark/>
          </w:tcPr>
          <w:p w14:paraId="227AED9C" w14:textId="1C7C50F5" w:rsidR="00784FA9" w:rsidRPr="00784FA9" w:rsidRDefault="00784FA9" w:rsidP="007E3239">
            <w:pPr>
              <w:pStyle w:val="TableTextBold"/>
              <w:spacing w:before="40" w:after="40"/>
              <w:jc w:val="center"/>
              <w:rPr>
                <w:noProof w:val="0"/>
                <w:color w:val="FFFFFF"/>
              </w:rPr>
            </w:pPr>
          </w:p>
        </w:tc>
        <w:tc>
          <w:tcPr>
            <w:tcW w:w="1481" w:type="dxa"/>
            <w:shd w:val="clear" w:color="auto" w:fill="1B556B"/>
            <w:vAlign w:val="bottom"/>
            <w:hideMark/>
          </w:tcPr>
          <w:p w14:paraId="60FA3A55" w14:textId="04634723" w:rsidR="00784FA9" w:rsidRPr="00784FA9" w:rsidRDefault="00784FA9" w:rsidP="007E3239">
            <w:pPr>
              <w:pStyle w:val="TableTextBold"/>
              <w:spacing w:before="40" w:after="40"/>
              <w:jc w:val="center"/>
              <w:rPr>
                <w:noProof w:val="0"/>
                <w:color w:val="FFFFFF"/>
              </w:rPr>
            </w:pPr>
          </w:p>
        </w:tc>
        <w:tc>
          <w:tcPr>
            <w:tcW w:w="1665" w:type="dxa"/>
            <w:shd w:val="clear" w:color="auto" w:fill="1B556B"/>
            <w:vAlign w:val="bottom"/>
            <w:hideMark/>
          </w:tcPr>
          <w:p w14:paraId="7A9CC5B6" w14:textId="67A9A8AB" w:rsidR="00784FA9" w:rsidRPr="00784FA9" w:rsidRDefault="00784FA9" w:rsidP="007E3239">
            <w:pPr>
              <w:pStyle w:val="TableTextBold"/>
              <w:spacing w:before="40" w:after="40"/>
              <w:jc w:val="center"/>
              <w:rPr>
                <w:noProof w:val="0"/>
                <w:color w:val="FFFFFF"/>
              </w:rPr>
            </w:pPr>
          </w:p>
        </w:tc>
      </w:tr>
      <w:tr w:rsidR="00D331F2" w:rsidRPr="00D604EE" w14:paraId="1C0D2BF4" w14:textId="77777777" w:rsidTr="006B6EA8">
        <w:trPr>
          <w:tblHeader/>
        </w:trPr>
        <w:tc>
          <w:tcPr>
            <w:tcW w:w="2554" w:type="dxa"/>
            <w:shd w:val="clear" w:color="auto" w:fill="1B556B"/>
            <w:vAlign w:val="center"/>
          </w:tcPr>
          <w:p w14:paraId="5F10A176" w14:textId="77777777" w:rsidR="00D331F2" w:rsidRPr="00784FA9" w:rsidRDefault="00D331F2" w:rsidP="007E3239">
            <w:pPr>
              <w:pStyle w:val="TableTextBold"/>
              <w:spacing w:before="40" w:after="40"/>
              <w:rPr>
                <w:noProof w:val="0"/>
                <w:color w:val="FFFFFF"/>
              </w:rPr>
            </w:pPr>
          </w:p>
        </w:tc>
        <w:tc>
          <w:tcPr>
            <w:tcW w:w="2805" w:type="dxa"/>
            <w:gridSpan w:val="2"/>
            <w:shd w:val="clear" w:color="auto" w:fill="1B556B"/>
            <w:vAlign w:val="center"/>
          </w:tcPr>
          <w:p w14:paraId="1C0F1BD0" w14:textId="683A8558" w:rsidR="00D331F2" w:rsidRPr="00784FA9" w:rsidRDefault="00D331F2" w:rsidP="007E3239">
            <w:pPr>
              <w:pStyle w:val="TableTextBold"/>
              <w:spacing w:before="40" w:after="40"/>
              <w:jc w:val="center"/>
              <w:rPr>
                <w:noProof w:val="0"/>
                <w:color w:val="FFFFFF"/>
              </w:rPr>
            </w:pPr>
            <w:r w:rsidRPr="00784FA9">
              <w:rPr>
                <w:noProof w:val="0"/>
                <w:color w:val="FFFFFF"/>
              </w:rPr>
              <w:t>Emissions (kt CO</w:t>
            </w:r>
            <w:r w:rsidRPr="00784FA9">
              <w:rPr>
                <w:noProof w:val="0"/>
                <w:color w:val="FFFFFF"/>
                <w:vertAlign w:val="subscript"/>
              </w:rPr>
              <w:t>2</w:t>
            </w:r>
            <w:r w:rsidRPr="00784FA9">
              <w:rPr>
                <w:noProof w:val="0"/>
                <w:color w:val="FFFFFF"/>
              </w:rPr>
              <w:t>-e)</w:t>
            </w:r>
          </w:p>
        </w:tc>
        <w:tc>
          <w:tcPr>
            <w:tcW w:w="1481" w:type="dxa"/>
            <w:shd w:val="clear" w:color="auto" w:fill="1B556B"/>
            <w:vAlign w:val="bottom"/>
          </w:tcPr>
          <w:p w14:paraId="0AAABC47" w14:textId="6FACB4A5" w:rsidR="00D331F2" w:rsidRPr="00784FA9" w:rsidRDefault="00D331F2" w:rsidP="007E3239">
            <w:pPr>
              <w:pStyle w:val="TableTextBold"/>
              <w:spacing w:before="40" w:after="40"/>
              <w:jc w:val="center"/>
              <w:rPr>
                <w:noProof w:val="0"/>
                <w:color w:val="FFFFFF"/>
              </w:rPr>
            </w:pPr>
            <w:r w:rsidRPr="00784FA9">
              <w:rPr>
                <w:noProof w:val="0"/>
                <w:color w:val="FFFFFF"/>
              </w:rPr>
              <w:t>Difference</w:t>
            </w:r>
          </w:p>
        </w:tc>
        <w:tc>
          <w:tcPr>
            <w:tcW w:w="1665" w:type="dxa"/>
            <w:shd w:val="clear" w:color="auto" w:fill="1B556B"/>
            <w:vAlign w:val="bottom"/>
          </w:tcPr>
          <w:p w14:paraId="5305AEBB" w14:textId="72B89271" w:rsidR="00D331F2" w:rsidRPr="00784FA9" w:rsidRDefault="00D331F2" w:rsidP="007E3239">
            <w:pPr>
              <w:pStyle w:val="TableTextBold"/>
              <w:spacing w:before="40" w:after="40"/>
              <w:jc w:val="center"/>
              <w:rPr>
                <w:noProof w:val="0"/>
                <w:color w:val="FFFFFF"/>
              </w:rPr>
            </w:pPr>
            <w:r w:rsidRPr="00784FA9">
              <w:rPr>
                <w:noProof w:val="0"/>
                <w:color w:val="FFFFFF"/>
              </w:rPr>
              <w:t>% change</w:t>
            </w:r>
          </w:p>
        </w:tc>
      </w:tr>
      <w:tr w:rsidR="00784FA9" w:rsidRPr="00D604EE" w14:paraId="5FE0A038" w14:textId="77777777" w:rsidTr="00082955">
        <w:tc>
          <w:tcPr>
            <w:tcW w:w="2554" w:type="dxa"/>
            <w:shd w:val="clear" w:color="auto" w:fill="auto"/>
            <w:vAlign w:val="center"/>
            <w:hideMark/>
          </w:tcPr>
          <w:p w14:paraId="711EF11A" w14:textId="77777777" w:rsidR="00784FA9" w:rsidRPr="00D604EE" w:rsidRDefault="00784FA9" w:rsidP="007E3239">
            <w:pPr>
              <w:pStyle w:val="TableTextBold"/>
              <w:spacing w:before="40" w:after="40"/>
              <w:rPr>
                <w:rFonts w:cs="Calibri"/>
                <w:noProof w:val="0"/>
                <w:szCs w:val="16"/>
              </w:rPr>
            </w:pPr>
            <w:r w:rsidRPr="00D604EE">
              <w:rPr>
                <w:rFonts w:cs="Calibri"/>
                <w:noProof w:val="0"/>
                <w:szCs w:val="16"/>
              </w:rPr>
              <w:t>Land use category</w:t>
            </w:r>
          </w:p>
        </w:tc>
        <w:tc>
          <w:tcPr>
            <w:tcW w:w="1506" w:type="dxa"/>
            <w:shd w:val="clear" w:color="auto" w:fill="auto"/>
            <w:vAlign w:val="center"/>
            <w:hideMark/>
          </w:tcPr>
          <w:p w14:paraId="4B14659C" w14:textId="77777777" w:rsidR="00784FA9" w:rsidRPr="00D604EE" w:rsidRDefault="00784FA9" w:rsidP="007E3239">
            <w:pPr>
              <w:pStyle w:val="TableTextBold"/>
              <w:spacing w:before="40" w:after="40"/>
              <w:jc w:val="center"/>
              <w:rPr>
                <w:rFonts w:cs="Calibri"/>
                <w:noProof w:val="0"/>
                <w:szCs w:val="16"/>
              </w:rPr>
            </w:pPr>
            <w:r w:rsidRPr="00D604EE">
              <w:rPr>
                <w:rFonts w:cs="Calibri"/>
                <w:noProof w:val="0"/>
                <w:szCs w:val="16"/>
              </w:rPr>
              <w:t>2019</w:t>
            </w:r>
          </w:p>
        </w:tc>
        <w:tc>
          <w:tcPr>
            <w:tcW w:w="1299" w:type="dxa"/>
            <w:shd w:val="clear" w:color="auto" w:fill="auto"/>
            <w:vAlign w:val="center"/>
            <w:hideMark/>
          </w:tcPr>
          <w:p w14:paraId="688AF28D" w14:textId="77777777" w:rsidR="00784FA9" w:rsidRPr="00D604EE" w:rsidRDefault="00784FA9" w:rsidP="007E3239">
            <w:pPr>
              <w:pStyle w:val="TableTextBold"/>
              <w:spacing w:before="40" w:after="40"/>
              <w:jc w:val="center"/>
              <w:rPr>
                <w:rFonts w:cs="Calibri"/>
                <w:noProof w:val="0"/>
                <w:szCs w:val="16"/>
              </w:rPr>
            </w:pPr>
            <w:r w:rsidRPr="00D604EE">
              <w:rPr>
                <w:rFonts w:cs="Calibri"/>
                <w:noProof w:val="0"/>
                <w:szCs w:val="16"/>
              </w:rPr>
              <w:t>2020</w:t>
            </w:r>
          </w:p>
        </w:tc>
        <w:tc>
          <w:tcPr>
            <w:tcW w:w="1481" w:type="dxa"/>
            <w:shd w:val="clear" w:color="auto" w:fill="auto"/>
            <w:vAlign w:val="center"/>
            <w:hideMark/>
          </w:tcPr>
          <w:p w14:paraId="3588061B" w14:textId="77777777" w:rsidR="00784FA9" w:rsidRPr="00D604EE" w:rsidRDefault="00784FA9" w:rsidP="007E3239">
            <w:pPr>
              <w:pStyle w:val="TableTextBold"/>
              <w:spacing w:before="40" w:after="40"/>
              <w:jc w:val="center"/>
              <w:rPr>
                <w:rFonts w:cs="Calibri"/>
                <w:noProof w:val="0"/>
                <w:szCs w:val="16"/>
              </w:rPr>
            </w:pPr>
            <w:r w:rsidRPr="00D604EE">
              <w:rPr>
                <w:rFonts w:cs="Calibri"/>
                <w:noProof w:val="0"/>
                <w:szCs w:val="16"/>
              </w:rPr>
              <w:t>2019–2020</w:t>
            </w:r>
          </w:p>
        </w:tc>
        <w:tc>
          <w:tcPr>
            <w:tcW w:w="1665" w:type="dxa"/>
            <w:shd w:val="clear" w:color="auto" w:fill="auto"/>
            <w:vAlign w:val="center"/>
            <w:hideMark/>
          </w:tcPr>
          <w:p w14:paraId="3E5F0F74" w14:textId="77777777" w:rsidR="00784FA9" w:rsidRPr="00D604EE" w:rsidRDefault="00784FA9" w:rsidP="007E3239">
            <w:pPr>
              <w:pStyle w:val="TableTextBold"/>
              <w:spacing w:before="40" w:after="40"/>
              <w:jc w:val="center"/>
              <w:rPr>
                <w:rFonts w:cs="Calibri"/>
                <w:noProof w:val="0"/>
                <w:szCs w:val="16"/>
              </w:rPr>
            </w:pPr>
            <w:r w:rsidRPr="00D604EE">
              <w:rPr>
                <w:rFonts w:cs="Calibri"/>
                <w:noProof w:val="0"/>
                <w:szCs w:val="16"/>
              </w:rPr>
              <w:t>2019–2020</w:t>
            </w:r>
          </w:p>
        </w:tc>
      </w:tr>
      <w:tr w:rsidR="00784FA9" w:rsidRPr="00D604EE" w14:paraId="4C5F3054" w14:textId="77777777" w:rsidTr="00082955">
        <w:tc>
          <w:tcPr>
            <w:tcW w:w="2554" w:type="dxa"/>
            <w:shd w:val="clear" w:color="auto" w:fill="auto"/>
            <w:vAlign w:val="center"/>
            <w:hideMark/>
          </w:tcPr>
          <w:p w14:paraId="476F5E55" w14:textId="77777777" w:rsidR="00784FA9" w:rsidRPr="00D604EE" w:rsidRDefault="00784FA9" w:rsidP="007E3239">
            <w:pPr>
              <w:pStyle w:val="TableText"/>
              <w:spacing w:before="40" w:after="40"/>
              <w:rPr>
                <w:rFonts w:cs="Calibri"/>
                <w:szCs w:val="16"/>
              </w:rPr>
            </w:pPr>
            <w:r w:rsidRPr="00D604EE">
              <w:rPr>
                <w:rFonts w:cs="Calibri"/>
                <w:szCs w:val="16"/>
              </w:rPr>
              <w:t>Forest land</w:t>
            </w:r>
          </w:p>
        </w:tc>
        <w:tc>
          <w:tcPr>
            <w:tcW w:w="1506" w:type="dxa"/>
            <w:shd w:val="clear" w:color="auto" w:fill="auto"/>
            <w:hideMark/>
          </w:tcPr>
          <w:p w14:paraId="1682C27E" w14:textId="77777777" w:rsidR="00784FA9" w:rsidRPr="00D604EE" w:rsidRDefault="00784FA9" w:rsidP="007E3239">
            <w:pPr>
              <w:pStyle w:val="TableText"/>
              <w:spacing w:before="40" w:after="40"/>
              <w:jc w:val="center"/>
              <w:rPr>
                <w:rFonts w:cs="Calibri"/>
                <w:szCs w:val="16"/>
              </w:rPr>
            </w:pPr>
            <w:r w:rsidRPr="00D604EE">
              <w:rPr>
                <w:rFonts w:cs="Calibri"/>
                <w:szCs w:val="16"/>
              </w:rPr>
              <w:t>–19,068.4</w:t>
            </w:r>
          </w:p>
        </w:tc>
        <w:tc>
          <w:tcPr>
            <w:tcW w:w="1299" w:type="dxa"/>
            <w:shd w:val="clear" w:color="auto" w:fill="auto"/>
            <w:hideMark/>
          </w:tcPr>
          <w:p w14:paraId="316C068F" w14:textId="77777777" w:rsidR="00784FA9" w:rsidRPr="00D604EE" w:rsidRDefault="00784FA9" w:rsidP="007E3239">
            <w:pPr>
              <w:pStyle w:val="TableText"/>
              <w:spacing w:before="40" w:after="40"/>
              <w:jc w:val="center"/>
              <w:rPr>
                <w:rFonts w:cs="Calibri"/>
                <w:szCs w:val="16"/>
              </w:rPr>
            </w:pPr>
            <w:r w:rsidRPr="00D604EE">
              <w:rPr>
                <w:rFonts w:cs="Calibri"/>
                <w:szCs w:val="16"/>
              </w:rPr>
              <w:t>–19,704.7</w:t>
            </w:r>
          </w:p>
        </w:tc>
        <w:tc>
          <w:tcPr>
            <w:tcW w:w="1481" w:type="dxa"/>
            <w:shd w:val="clear" w:color="auto" w:fill="auto"/>
            <w:hideMark/>
          </w:tcPr>
          <w:p w14:paraId="18446AED" w14:textId="77777777" w:rsidR="00784FA9" w:rsidRPr="00D604EE" w:rsidRDefault="00784FA9" w:rsidP="007E3239">
            <w:pPr>
              <w:pStyle w:val="TableText"/>
              <w:spacing w:before="40" w:after="40"/>
              <w:jc w:val="center"/>
              <w:rPr>
                <w:rFonts w:cs="Calibri"/>
                <w:szCs w:val="16"/>
              </w:rPr>
            </w:pPr>
            <w:r w:rsidRPr="00D604EE">
              <w:rPr>
                <w:rFonts w:cs="Calibri"/>
                <w:szCs w:val="16"/>
              </w:rPr>
              <w:t>–636.4</w:t>
            </w:r>
          </w:p>
        </w:tc>
        <w:tc>
          <w:tcPr>
            <w:tcW w:w="1665" w:type="dxa"/>
            <w:shd w:val="clear" w:color="auto" w:fill="auto"/>
            <w:hideMark/>
          </w:tcPr>
          <w:p w14:paraId="13C6CACF" w14:textId="77777777" w:rsidR="00784FA9" w:rsidRPr="00D604EE" w:rsidRDefault="00784FA9" w:rsidP="007E3239">
            <w:pPr>
              <w:pStyle w:val="TableText"/>
              <w:spacing w:before="40" w:after="40"/>
              <w:jc w:val="center"/>
              <w:rPr>
                <w:rFonts w:cs="Calibri"/>
                <w:szCs w:val="16"/>
              </w:rPr>
            </w:pPr>
            <w:r w:rsidRPr="00D604EE">
              <w:rPr>
                <w:rFonts w:cs="Calibri"/>
                <w:szCs w:val="16"/>
              </w:rPr>
              <w:t>–3.3</w:t>
            </w:r>
          </w:p>
        </w:tc>
      </w:tr>
      <w:tr w:rsidR="00784FA9" w:rsidRPr="00D604EE" w14:paraId="17B57FEE" w14:textId="77777777" w:rsidTr="00082955">
        <w:tc>
          <w:tcPr>
            <w:tcW w:w="2554" w:type="dxa"/>
            <w:shd w:val="clear" w:color="auto" w:fill="auto"/>
            <w:vAlign w:val="center"/>
            <w:hideMark/>
          </w:tcPr>
          <w:p w14:paraId="7ACDEB24" w14:textId="77777777" w:rsidR="00784FA9" w:rsidRPr="00D604EE" w:rsidRDefault="00784FA9" w:rsidP="007E3239">
            <w:pPr>
              <w:pStyle w:val="TableText"/>
              <w:spacing w:before="40" w:after="40"/>
              <w:rPr>
                <w:rFonts w:cs="Calibri"/>
                <w:szCs w:val="16"/>
              </w:rPr>
            </w:pPr>
            <w:r w:rsidRPr="00D604EE">
              <w:rPr>
                <w:rFonts w:cs="Calibri"/>
                <w:szCs w:val="16"/>
              </w:rPr>
              <w:t>Cropland</w:t>
            </w:r>
          </w:p>
        </w:tc>
        <w:tc>
          <w:tcPr>
            <w:tcW w:w="1506" w:type="dxa"/>
            <w:shd w:val="clear" w:color="auto" w:fill="auto"/>
            <w:hideMark/>
          </w:tcPr>
          <w:p w14:paraId="48C2C21B" w14:textId="77777777" w:rsidR="00784FA9" w:rsidRPr="00D604EE" w:rsidRDefault="00784FA9" w:rsidP="007E3239">
            <w:pPr>
              <w:pStyle w:val="TableText"/>
              <w:spacing w:before="40" w:after="40"/>
              <w:jc w:val="center"/>
              <w:rPr>
                <w:rFonts w:cs="Calibri"/>
                <w:szCs w:val="16"/>
              </w:rPr>
            </w:pPr>
            <w:r w:rsidRPr="00D604EE">
              <w:rPr>
                <w:rFonts w:cs="Calibri"/>
                <w:szCs w:val="16"/>
              </w:rPr>
              <w:t>386.8</w:t>
            </w:r>
          </w:p>
        </w:tc>
        <w:tc>
          <w:tcPr>
            <w:tcW w:w="1299" w:type="dxa"/>
            <w:shd w:val="clear" w:color="auto" w:fill="auto"/>
            <w:hideMark/>
          </w:tcPr>
          <w:p w14:paraId="729D73BA" w14:textId="77777777" w:rsidR="00784FA9" w:rsidRPr="00D604EE" w:rsidRDefault="00784FA9" w:rsidP="007E3239">
            <w:pPr>
              <w:pStyle w:val="TableText"/>
              <w:spacing w:before="40" w:after="40"/>
              <w:jc w:val="center"/>
              <w:rPr>
                <w:rFonts w:cs="Calibri"/>
                <w:szCs w:val="16"/>
              </w:rPr>
            </w:pPr>
            <w:r w:rsidRPr="00D604EE">
              <w:rPr>
                <w:rFonts w:cs="Calibri"/>
                <w:szCs w:val="16"/>
              </w:rPr>
              <w:t>382.3</w:t>
            </w:r>
          </w:p>
        </w:tc>
        <w:tc>
          <w:tcPr>
            <w:tcW w:w="1481" w:type="dxa"/>
            <w:shd w:val="clear" w:color="auto" w:fill="auto"/>
            <w:hideMark/>
          </w:tcPr>
          <w:p w14:paraId="1D6D9252" w14:textId="77777777" w:rsidR="00784FA9" w:rsidRPr="00D604EE" w:rsidRDefault="00784FA9" w:rsidP="007E3239">
            <w:pPr>
              <w:pStyle w:val="TableText"/>
              <w:spacing w:before="40" w:after="40"/>
              <w:jc w:val="center"/>
              <w:rPr>
                <w:rFonts w:cs="Calibri"/>
                <w:szCs w:val="16"/>
              </w:rPr>
            </w:pPr>
            <w:r w:rsidRPr="00D604EE">
              <w:rPr>
                <w:rFonts w:cs="Calibri"/>
                <w:szCs w:val="16"/>
              </w:rPr>
              <w:t>–4.4</w:t>
            </w:r>
          </w:p>
        </w:tc>
        <w:tc>
          <w:tcPr>
            <w:tcW w:w="1665" w:type="dxa"/>
            <w:shd w:val="clear" w:color="auto" w:fill="auto"/>
            <w:hideMark/>
          </w:tcPr>
          <w:p w14:paraId="0F930F10" w14:textId="77777777" w:rsidR="00784FA9" w:rsidRPr="00D604EE" w:rsidRDefault="00784FA9" w:rsidP="007E3239">
            <w:pPr>
              <w:pStyle w:val="TableText"/>
              <w:spacing w:before="40" w:after="40"/>
              <w:jc w:val="center"/>
              <w:rPr>
                <w:rFonts w:cs="Calibri"/>
                <w:szCs w:val="16"/>
              </w:rPr>
            </w:pPr>
            <w:r w:rsidRPr="00D604EE">
              <w:rPr>
                <w:rFonts w:cs="Calibri"/>
                <w:szCs w:val="16"/>
              </w:rPr>
              <w:t>–1.1</w:t>
            </w:r>
          </w:p>
        </w:tc>
      </w:tr>
      <w:tr w:rsidR="00784FA9" w:rsidRPr="00D604EE" w14:paraId="049C01FE" w14:textId="77777777" w:rsidTr="00082955">
        <w:tc>
          <w:tcPr>
            <w:tcW w:w="2554" w:type="dxa"/>
            <w:shd w:val="clear" w:color="auto" w:fill="auto"/>
            <w:vAlign w:val="center"/>
            <w:hideMark/>
          </w:tcPr>
          <w:p w14:paraId="28F979E5" w14:textId="77777777" w:rsidR="00784FA9" w:rsidRPr="00D604EE" w:rsidRDefault="00784FA9" w:rsidP="007E3239">
            <w:pPr>
              <w:pStyle w:val="TableText"/>
              <w:spacing w:before="40" w:after="40"/>
              <w:rPr>
                <w:rFonts w:cs="Calibri"/>
                <w:szCs w:val="16"/>
              </w:rPr>
            </w:pPr>
            <w:r w:rsidRPr="00D604EE">
              <w:rPr>
                <w:rFonts w:cs="Calibri"/>
                <w:szCs w:val="16"/>
              </w:rPr>
              <w:t>Grassland</w:t>
            </w:r>
          </w:p>
        </w:tc>
        <w:tc>
          <w:tcPr>
            <w:tcW w:w="1506" w:type="dxa"/>
            <w:shd w:val="clear" w:color="auto" w:fill="auto"/>
            <w:hideMark/>
          </w:tcPr>
          <w:p w14:paraId="05C61505" w14:textId="77777777" w:rsidR="00784FA9" w:rsidRPr="00D604EE" w:rsidRDefault="00784FA9" w:rsidP="007E3239">
            <w:pPr>
              <w:pStyle w:val="TableText"/>
              <w:spacing w:before="40" w:after="40"/>
              <w:jc w:val="center"/>
              <w:rPr>
                <w:rFonts w:cs="Calibri"/>
                <w:szCs w:val="16"/>
              </w:rPr>
            </w:pPr>
            <w:r w:rsidRPr="00D604EE">
              <w:rPr>
                <w:rFonts w:cs="Calibri"/>
                <w:szCs w:val="16"/>
              </w:rPr>
              <w:t>4,373.1</w:t>
            </w:r>
          </w:p>
        </w:tc>
        <w:tc>
          <w:tcPr>
            <w:tcW w:w="1299" w:type="dxa"/>
            <w:shd w:val="clear" w:color="auto" w:fill="auto"/>
            <w:hideMark/>
          </w:tcPr>
          <w:p w14:paraId="1B211797" w14:textId="77777777" w:rsidR="00784FA9" w:rsidRPr="00D604EE" w:rsidRDefault="00784FA9" w:rsidP="007E3239">
            <w:pPr>
              <w:pStyle w:val="TableText"/>
              <w:spacing w:before="40" w:after="40"/>
              <w:jc w:val="center"/>
              <w:rPr>
                <w:rFonts w:cs="Calibri"/>
                <w:szCs w:val="16"/>
              </w:rPr>
            </w:pPr>
            <w:r w:rsidRPr="00D604EE">
              <w:rPr>
                <w:rFonts w:cs="Calibri"/>
                <w:szCs w:val="16"/>
              </w:rPr>
              <w:t>2,570.2</w:t>
            </w:r>
          </w:p>
        </w:tc>
        <w:tc>
          <w:tcPr>
            <w:tcW w:w="1481" w:type="dxa"/>
            <w:shd w:val="clear" w:color="auto" w:fill="auto"/>
            <w:hideMark/>
          </w:tcPr>
          <w:p w14:paraId="5F92CD3A" w14:textId="77777777" w:rsidR="00784FA9" w:rsidRPr="00D604EE" w:rsidRDefault="00784FA9" w:rsidP="007E3239">
            <w:pPr>
              <w:pStyle w:val="TableText"/>
              <w:spacing w:before="40" w:after="40"/>
              <w:jc w:val="center"/>
              <w:rPr>
                <w:rFonts w:cs="Calibri"/>
                <w:szCs w:val="16"/>
              </w:rPr>
            </w:pPr>
            <w:r w:rsidRPr="00D604EE">
              <w:rPr>
                <w:rFonts w:cs="Calibri"/>
                <w:szCs w:val="16"/>
              </w:rPr>
              <w:t>–1,802.9</w:t>
            </w:r>
          </w:p>
        </w:tc>
        <w:tc>
          <w:tcPr>
            <w:tcW w:w="1665" w:type="dxa"/>
            <w:shd w:val="clear" w:color="auto" w:fill="auto"/>
            <w:hideMark/>
          </w:tcPr>
          <w:p w14:paraId="1DD80DF4" w14:textId="77777777" w:rsidR="00784FA9" w:rsidRPr="00D604EE" w:rsidRDefault="00784FA9" w:rsidP="007E3239">
            <w:pPr>
              <w:pStyle w:val="TableText"/>
              <w:spacing w:before="40" w:after="40"/>
              <w:jc w:val="center"/>
              <w:rPr>
                <w:rFonts w:cs="Calibri"/>
                <w:szCs w:val="16"/>
              </w:rPr>
            </w:pPr>
            <w:r w:rsidRPr="00D604EE">
              <w:rPr>
                <w:rFonts w:cs="Calibri"/>
                <w:szCs w:val="16"/>
              </w:rPr>
              <w:t>–41.2</w:t>
            </w:r>
          </w:p>
        </w:tc>
      </w:tr>
      <w:tr w:rsidR="00784FA9" w:rsidRPr="00D604EE" w14:paraId="0C2A8AA0" w14:textId="77777777" w:rsidTr="00082955">
        <w:tc>
          <w:tcPr>
            <w:tcW w:w="2554" w:type="dxa"/>
            <w:shd w:val="clear" w:color="auto" w:fill="auto"/>
            <w:vAlign w:val="center"/>
            <w:hideMark/>
          </w:tcPr>
          <w:p w14:paraId="70051129" w14:textId="77777777" w:rsidR="00784FA9" w:rsidRPr="00D604EE" w:rsidRDefault="00784FA9" w:rsidP="007E3239">
            <w:pPr>
              <w:pStyle w:val="TableText"/>
              <w:spacing w:before="40" w:after="40"/>
              <w:rPr>
                <w:rFonts w:cs="Calibri"/>
                <w:szCs w:val="16"/>
              </w:rPr>
            </w:pPr>
            <w:r w:rsidRPr="00D604EE">
              <w:rPr>
                <w:rFonts w:cs="Calibri"/>
                <w:szCs w:val="16"/>
              </w:rPr>
              <w:t>Wetlands</w:t>
            </w:r>
          </w:p>
        </w:tc>
        <w:tc>
          <w:tcPr>
            <w:tcW w:w="1506" w:type="dxa"/>
            <w:shd w:val="clear" w:color="auto" w:fill="auto"/>
            <w:hideMark/>
          </w:tcPr>
          <w:p w14:paraId="0D705253" w14:textId="77777777" w:rsidR="00784FA9" w:rsidRPr="00D604EE" w:rsidRDefault="00784FA9" w:rsidP="007E3239">
            <w:pPr>
              <w:pStyle w:val="TableText"/>
              <w:spacing w:before="40" w:after="40"/>
              <w:jc w:val="center"/>
              <w:rPr>
                <w:rFonts w:cs="Calibri"/>
                <w:szCs w:val="16"/>
              </w:rPr>
            </w:pPr>
            <w:r w:rsidRPr="00D604EE">
              <w:rPr>
                <w:rFonts w:cs="Calibri"/>
                <w:szCs w:val="16"/>
              </w:rPr>
              <w:t>13.4</w:t>
            </w:r>
          </w:p>
        </w:tc>
        <w:tc>
          <w:tcPr>
            <w:tcW w:w="1299" w:type="dxa"/>
            <w:shd w:val="clear" w:color="auto" w:fill="auto"/>
            <w:hideMark/>
          </w:tcPr>
          <w:p w14:paraId="2912FA84" w14:textId="77777777" w:rsidR="00784FA9" w:rsidRPr="00D604EE" w:rsidRDefault="00784FA9" w:rsidP="007E3239">
            <w:pPr>
              <w:pStyle w:val="TableText"/>
              <w:spacing w:before="40" w:after="40"/>
              <w:jc w:val="center"/>
              <w:rPr>
                <w:rFonts w:cs="Calibri"/>
                <w:szCs w:val="16"/>
              </w:rPr>
            </w:pPr>
            <w:r w:rsidRPr="00D604EE">
              <w:rPr>
                <w:rFonts w:cs="Calibri"/>
                <w:szCs w:val="16"/>
              </w:rPr>
              <w:t>13.4</w:t>
            </w:r>
          </w:p>
        </w:tc>
        <w:tc>
          <w:tcPr>
            <w:tcW w:w="1481" w:type="dxa"/>
            <w:shd w:val="clear" w:color="auto" w:fill="auto"/>
            <w:hideMark/>
          </w:tcPr>
          <w:p w14:paraId="582174EA" w14:textId="77777777" w:rsidR="00784FA9" w:rsidRPr="00D604EE" w:rsidRDefault="00784FA9" w:rsidP="007E3239">
            <w:pPr>
              <w:pStyle w:val="TableText"/>
              <w:spacing w:before="40" w:after="40"/>
              <w:jc w:val="center"/>
              <w:rPr>
                <w:rFonts w:cs="Calibri"/>
                <w:szCs w:val="16"/>
              </w:rPr>
            </w:pPr>
            <w:r w:rsidRPr="00D604EE">
              <w:rPr>
                <w:rFonts w:cs="Calibri"/>
                <w:szCs w:val="16"/>
              </w:rPr>
              <w:t>0.0</w:t>
            </w:r>
          </w:p>
        </w:tc>
        <w:tc>
          <w:tcPr>
            <w:tcW w:w="1665" w:type="dxa"/>
            <w:shd w:val="clear" w:color="auto" w:fill="auto"/>
            <w:hideMark/>
          </w:tcPr>
          <w:p w14:paraId="168F227B" w14:textId="77777777" w:rsidR="00784FA9" w:rsidRPr="00D604EE" w:rsidRDefault="00784FA9" w:rsidP="007E3239">
            <w:pPr>
              <w:pStyle w:val="TableText"/>
              <w:spacing w:before="40" w:after="40"/>
              <w:jc w:val="center"/>
              <w:rPr>
                <w:rFonts w:cs="Calibri"/>
                <w:szCs w:val="16"/>
              </w:rPr>
            </w:pPr>
            <w:r w:rsidRPr="00D604EE">
              <w:rPr>
                <w:rFonts w:cs="Calibri"/>
                <w:szCs w:val="16"/>
              </w:rPr>
              <w:t>0.1</w:t>
            </w:r>
          </w:p>
        </w:tc>
      </w:tr>
      <w:tr w:rsidR="00784FA9" w:rsidRPr="00D604EE" w14:paraId="58CC6D10" w14:textId="77777777" w:rsidTr="00082955">
        <w:tc>
          <w:tcPr>
            <w:tcW w:w="2554" w:type="dxa"/>
            <w:shd w:val="clear" w:color="auto" w:fill="auto"/>
            <w:vAlign w:val="center"/>
            <w:hideMark/>
          </w:tcPr>
          <w:p w14:paraId="5714C99B" w14:textId="77777777" w:rsidR="00784FA9" w:rsidRPr="00D604EE" w:rsidRDefault="00784FA9" w:rsidP="007E3239">
            <w:pPr>
              <w:pStyle w:val="TableText"/>
              <w:spacing w:before="40" w:after="40"/>
              <w:rPr>
                <w:rFonts w:cs="Calibri"/>
                <w:szCs w:val="16"/>
              </w:rPr>
            </w:pPr>
            <w:r w:rsidRPr="00D604EE">
              <w:rPr>
                <w:rFonts w:cs="Calibri"/>
                <w:szCs w:val="16"/>
              </w:rPr>
              <w:t>Settlements</w:t>
            </w:r>
          </w:p>
        </w:tc>
        <w:tc>
          <w:tcPr>
            <w:tcW w:w="1506" w:type="dxa"/>
            <w:shd w:val="clear" w:color="auto" w:fill="auto"/>
            <w:hideMark/>
          </w:tcPr>
          <w:p w14:paraId="538722F6" w14:textId="77777777" w:rsidR="00784FA9" w:rsidRPr="00D604EE" w:rsidRDefault="00784FA9" w:rsidP="007E3239">
            <w:pPr>
              <w:pStyle w:val="TableText"/>
              <w:spacing w:before="40" w:after="40"/>
              <w:jc w:val="center"/>
              <w:rPr>
                <w:rFonts w:cs="Calibri"/>
                <w:szCs w:val="16"/>
              </w:rPr>
            </w:pPr>
            <w:r w:rsidRPr="00D604EE">
              <w:rPr>
                <w:rFonts w:cs="Calibri"/>
                <w:szCs w:val="16"/>
              </w:rPr>
              <w:t>127.8</w:t>
            </w:r>
          </w:p>
        </w:tc>
        <w:tc>
          <w:tcPr>
            <w:tcW w:w="1299" w:type="dxa"/>
            <w:shd w:val="clear" w:color="auto" w:fill="auto"/>
            <w:hideMark/>
          </w:tcPr>
          <w:p w14:paraId="0255278A" w14:textId="77777777" w:rsidR="00784FA9" w:rsidRPr="00D604EE" w:rsidRDefault="00784FA9" w:rsidP="007E3239">
            <w:pPr>
              <w:pStyle w:val="TableText"/>
              <w:spacing w:before="40" w:after="40"/>
              <w:jc w:val="center"/>
              <w:rPr>
                <w:rFonts w:cs="Calibri"/>
                <w:szCs w:val="16"/>
              </w:rPr>
            </w:pPr>
            <w:r w:rsidRPr="00D604EE">
              <w:rPr>
                <w:rFonts w:cs="Calibri"/>
                <w:szCs w:val="16"/>
              </w:rPr>
              <w:t>124.1</w:t>
            </w:r>
          </w:p>
        </w:tc>
        <w:tc>
          <w:tcPr>
            <w:tcW w:w="1481" w:type="dxa"/>
            <w:shd w:val="clear" w:color="auto" w:fill="auto"/>
            <w:hideMark/>
          </w:tcPr>
          <w:p w14:paraId="17DA8964" w14:textId="77777777" w:rsidR="00784FA9" w:rsidRPr="00D604EE" w:rsidRDefault="00784FA9" w:rsidP="007E3239">
            <w:pPr>
              <w:pStyle w:val="TableText"/>
              <w:spacing w:before="40" w:after="40"/>
              <w:jc w:val="center"/>
              <w:rPr>
                <w:rFonts w:cs="Calibri"/>
                <w:szCs w:val="16"/>
              </w:rPr>
            </w:pPr>
            <w:r w:rsidRPr="00D604EE">
              <w:rPr>
                <w:rFonts w:cs="Calibri"/>
                <w:szCs w:val="16"/>
              </w:rPr>
              <w:t>–3.7</w:t>
            </w:r>
          </w:p>
        </w:tc>
        <w:tc>
          <w:tcPr>
            <w:tcW w:w="1665" w:type="dxa"/>
            <w:shd w:val="clear" w:color="auto" w:fill="auto"/>
            <w:hideMark/>
          </w:tcPr>
          <w:p w14:paraId="35D573E8" w14:textId="77777777" w:rsidR="00784FA9" w:rsidRPr="00D604EE" w:rsidRDefault="00784FA9" w:rsidP="007E3239">
            <w:pPr>
              <w:pStyle w:val="TableText"/>
              <w:spacing w:before="40" w:after="40"/>
              <w:jc w:val="center"/>
              <w:rPr>
                <w:rFonts w:cs="Calibri"/>
                <w:szCs w:val="16"/>
              </w:rPr>
            </w:pPr>
            <w:r w:rsidRPr="00D604EE">
              <w:rPr>
                <w:rFonts w:cs="Calibri"/>
                <w:szCs w:val="16"/>
              </w:rPr>
              <w:t>–2.9</w:t>
            </w:r>
          </w:p>
        </w:tc>
      </w:tr>
      <w:tr w:rsidR="00784FA9" w:rsidRPr="00D604EE" w14:paraId="1DA78885" w14:textId="77777777" w:rsidTr="00082955">
        <w:tc>
          <w:tcPr>
            <w:tcW w:w="2554" w:type="dxa"/>
            <w:shd w:val="clear" w:color="auto" w:fill="auto"/>
            <w:vAlign w:val="center"/>
            <w:hideMark/>
          </w:tcPr>
          <w:p w14:paraId="3580DA3A" w14:textId="77777777" w:rsidR="00784FA9" w:rsidRPr="00D604EE" w:rsidRDefault="00784FA9" w:rsidP="007E3239">
            <w:pPr>
              <w:pStyle w:val="TableText"/>
              <w:spacing w:before="40" w:after="40"/>
              <w:rPr>
                <w:rFonts w:cs="Calibri"/>
                <w:szCs w:val="16"/>
              </w:rPr>
            </w:pPr>
            <w:r w:rsidRPr="00D604EE">
              <w:rPr>
                <w:rFonts w:cs="Calibri"/>
                <w:szCs w:val="16"/>
              </w:rPr>
              <w:lastRenderedPageBreak/>
              <w:t>Other land</w:t>
            </w:r>
          </w:p>
        </w:tc>
        <w:tc>
          <w:tcPr>
            <w:tcW w:w="1506" w:type="dxa"/>
            <w:shd w:val="clear" w:color="auto" w:fill="auto"/>
            <w:hideMark/>
          </w:tcPr>
          <w:p w14:paraId="2B40ADA0" w14:textId="77777777" w:rsidR="00784FA9" w:rsidRPr="00D604EE" w:rsidRDefault="00784FA9" w:rsidP="007E3239">
            <w:pPr>
              <w:pStyle w:val="TableText"/>
              <w:spacing w:before="40" w:after="40"/>
              <w:jc w:val="center"/>
              <w:rPr>
                <w:rFonts w:cs="Calibri"/>
                <w:szCs w:val="16"/>
              </w:rPr>
            </w:pPr>
            <w:r w:rsidRPr="00D604EE">
              <w:rPr>
                <w:rFonts w:cs="Calibri"/>
                <w:szCs w:val="16"/>
              </w:rPr>
              <w:t>152.8</w:t>
            </w:r>
          </w:p>
        </w:tc>
        <w:tc>
          <w:tcPr>
            <w:tcW w:w="1299" w:type="dxa"/>
            <w:shd w:val="clear" w:color="auto" w:fill="auto"/>
            <w:hideMark/>
          </w:tcPr>
          <w:p w14:paraId="6B51A2B2" w14:textId="77777777" w:rsidR="00784FA9" w:rsidRPr="00D604EE" w:rsidRDefault="00784FA9" w:rsidP="007E3239">
            <w:pPr>
              <w:pStyle w:val="TableText"/>
              <w:spacing w:before="40" w:after="40"/>
              <w:jc w:val="center"/>
              <w:rPr>
                <w:rFonts w:cs="Calibri"/>
                <w:szCs w:val="16"/>
              </w:rPr>
            </w:pPr>
            <w:r w:rsidRPr="00D604EE">
              <w:rPr>
                <w:rFonts w:cs="Calibri"/>
                <w:szCs w:val="16"/>
              </w:rPr>
              <w:t>118.4</w:t>
            </w:r>
          </w:p>
        </w:tc>
        <w:tc>
          <w:tcPr>
            <w:tcW w:w="1481" w:type="dxa"/>
            <w:shd w:val="clear" w:color="auto" w:fill="auto"/>
            <w:hideMark/>
          </w:tcPr>
          <w:p w14:paraId="35DB831F" w14:textId="77777777" w:rsidR="00784FA9" w:rsidRPr="00D604EE" w:rsidRDefault="00784FA9" w:rsidP="007E3239">
            <w:pPr>
              <w:pStyle w:val="TableText"/>
              <w:spacing w:before="40" w:after="40"/>
              <w:jc w:val="center"/>
              <w:rPr>
                <w:rFonts w:cs="Calibri"/>
                <w:szCs w:val="16"/>
              </w:rPr>
            </w:pPr>
            <w:r w:rsidRPr="00D604EE">
              <w:rPr>
                <w:rFonts w:cs="Calibri"/>
                <w:szCs w:val="16"/>
              </w:rPr>
              <w:t>–34.4</w:t>
            </w:r>
          </w:p>
        </w:tc>
        <w:tc>
          <w:tcPr>
            <w:tcW w:w="1665" w:type="dxa"/>
            <w:shd w:val="clear" w:color="auto" w:fill="auto"/>
            <w:hideMark/>
          </w:tcPr>
          <w:p w14:paraId="41420ADD" w14:textId="77777777" w:rsidR="00784FA9" w:rsidRPr="00D604EE" w:rsidRDefault="00784FA9" w:rsidP="007E3239">
            <w:pPr>
              <w:pStyle w:val="TableText"/>
              <w:spacing w:before="40" w:after="40"/>
              <w:jc w:val="center"/>
              <w:rPr>
                <w:rFonts w:cs="Calibri"/>
                <w:szCs w:val="16"/>
              </w:rPr>
            </w:pPr>
            <w:r w:rsidRPr="00D604EE">
              <w:rPr>
                <w:rFonts w:cs="Calibri"/>
                <w:szCs w:val="16"/>
              </w:rPr>
              <w:t>–22.5</w:t>
            </w:r>
          </w:p>
        </w:tc>
      </w:tr>
      <w:tr w:rsidR="00784FA9" w:rsidRPr="00D604EE" w14:paraId="54FEB112" w14:textId="77777777" w:rsidTr="00082955">
        <w:tc>
          <w:tcPr>
            <w:tcW w:w="2554" w:type="dxa"/>
            <w:shd w:val="clear" w:color="auto" w:fill="auto"/>
            <w:noWrap/>
            <w:vAlign w:val="center"/>
          </w:tcPr>
          <w:p w14:paraId="3F2D0DB0" w14:textId="77777777" w:rsidR="00784FA9" w:rsidRPr="00D604EE" w:rsidRDefault="00784FA9" w:rsidP="007E3239">
            <w:pPr>
              <w:pStyle w:val="TableText"/>
              <w:spacing w:before="40" w:after="40"/>
              <w:rPr>
                <w:rFonts w:cs="Calibri"/>
                <w:szCs w:val="16"/>
              </w:rPr>
            </w:pPr>
            <w:r w:rsidRPr="00D604EE">
              <w:rPr>
                <w:rFonts w:cs="Calibri"/>
                <w:szCs w:val="16"/>
              </w:rPr>
              <w:t>Indirect emissions*</w:t>
            </w:r>
          </w:p>
        </w:tc>
        <w:tc>
          <w:tcPr>
            <w:tcW w:w="1506" w:type="dxa"/>
            <w:shd w:val="clear" w:color="auto" w:fill="auto"/>
          </w:tcPr>
          <w:p w14:paraId="3E72FBB2" w14:textId="77777777" w:rsidR="00784FA9" w:rsidRPr="00D604EE" w:rsidRDefault="00784FA9" w:rsidP="007E3239">
            <w:pPr>
              <w:pStyle w:val="TableText"/>
              <w:spacing w:before="40" w:after="40"/>
              <w:jc w:val="center"/>
              <w:rPr>
                <w:rFonts w:cs="Calibri"/>
                <w:szCs w:val="16"/>
              </w:rPr>
            </w:pPr>
            <w:r w:rsidRPr="00D604EE">
              <w:rPr>
                <w:rFonts w:cs="Calibri"/>
                <w:szCs w:val="16"/>
              </w:rPr>
              <w:t>17.6</w:t>
            </w:r>
          </w:p>
        </w:tc>
        <w:tc>
          <w:tcPr>
            <w:tcW w:w="1299" w:type="dxa"/>
            <w:shd w:val="clear" w:color="auto" w:fill="auto"/>
          </w:tcPr>
          <w:p w14:paraId="5C2E9E93" w14:textId="77777777" w:rsidR="00784FA9" w:rsidRPr="00D604EE" w:rsidRDefault="00784FA9" w:rsidP="007E3239">
            <w:pPr>
              <w:pStyle w:val="TableText"/>
              <w:spacing w:before="40" w:after="40"/>
              <w:jc w:val="center"/>
              <w:rPr>
                <w:rFonts w:cs="Calibri"/>
                <w:szCs w:val="16"/>
              </w:rPr>
            </w:pPr>
            <w:r w:rsidRPr="00D604EE">
              <w:rPr>
                <w:rFonts w:cs="Calibri"/>
                <w:szCs w:val="16"/>
              </w:rPr>
              <w:t>17.7</w:t>
            </w:r>
          </w:p>
        </w:tc>
        <w:tc>
          <w:tcPr>
            <w:tcW w:w="1481" w:type="dxa"/>
            <w:shd w:val="clear" w:color="auto" w:fill="auto"/>
          </w:tcPr>
          <w:p w14:paraId="03864F1D" w14:textId="77777777" w:rsidR="00784FA9" w:rsidRPr="00D604EE" w:rsidRDefault="00784FA9" w:rsidP="007E3239">
            <w:pPr>
              <w:pStyle w:val="TableText"/>
              <w:spacing w:before="40" w:after="40"/>
              <w:jc w:val="center"/>
              <w:rPr>
                <w:rFonts w:cs="Calibri"/>
                <w:szCs w:val="16"/>
              </w:rPr>
            </w:pPr>
            <w:r w:rsidRPr="00D604EE">
              <w:rPr>
                <w:rFonts w:cs="Calibri"/>
                <w:szCs w:val="16"/>
              </w:rPr>
              <w:t>0.2</w:t>
            </w:r>
          </w:p>
        </w:tc>
        <w:tc>
          <w:tcPr>
            <w:tcW w:w="1665" w:type="dxa"/>
            <w:shd w:val="clear" w:color="auto" w:fill="auto"/>
          </w:tcPr>
          <w:p w14:paraId="5295B99E" w14:textId="77777777" w:rsidR="00784FA9" w:rsidRPr="00D604EE" w:rsidRDefault="00784FA9" w:rsidP="007E3239">
            <w:pPr>
              <w:pStyle w:val="TableText"/>
              <w:spacing w:before="40" w:after="40"/>
              <w:jc w:val="center"/>
              <w:rPr>
                <w:rFonts w:cs="Calibri"/>
                <w:szCs w:val="16"/>
              </w:rPr>
            </w:pPr>
            <w:r w:rsidRPr="00D604EE">
              <w:rPr>
                <w:rFonts w:cs="Calibri"/>
                <w:szCs w:val="16"/>
              </w:rPr>
              <w:t>1.0</w:t>
            </w:r>
          </w:p>
        </w:tc>
      </w:tr>
      <w:tr w:rsidR="00784FA9" w:rsidRPr="00D604EE" w14:paraId="36422330" w14:textId="77777777" w:rsidTr="00082955">
        <w:tc>
          <w:tcPr>
            <w:tcW w:w="2554" w:type="dxa"/>
            <w:shd w:val="clear" w:color="auto" w:fill="auto"/>
            <w:noWrap/>
            <w:vAlign w:val="center"/>
            <w:hideMark/>
          </w:tcPr>
          <w:p w14:paraId="49DBF51A" w14:textId="77777777" w:rsidR="00784FA9" w:rsidRPr="00D604EE" w:rsidRDefault="00784FA9" w:rsidP="007E3239">
            <w:pPr>
              <w:pStyle w:val="TableText"/>
              <w:spacing w:before="40" w:after="40"/>
              <w:rPr>
                <w:rFonts w:cs="Calibri"/>
                <w:szCs w:val="16"/>
              </w:rPr>
            </w:pPr>
            <w:r w:rsidRPr="00D604EE">
              <w:rPr>
                <w:rFonts w:cs="Calibri"/>
                <w:szCs w:val="16"/>
              </w:rPr>
              <w:t>Harvested wood products</w:t>
            </w:r>
          </w:p>
        </w:tc>
        <w:tc>
          <w:tcPr>
            <w:tcW w:w="1506" w:type="dxa"/>
            <w:shd w:val="clear" w:color="auto" w:fill="auto"/>
            <w:hideMark/>
          </w:tcPr>
          <w:p w14:paraId="1656C010" w14:textId="77777777" w:rsidR="00784FA9" w:rsidRPr="00D604EE" w:rsidRDefault="00784FA9" w:rsidP="007E3239">
            <w:pPr>
              <w:pStyle w:val="TableText"/>
              <w:spacing w:before="40" w:after="40"/>
              <w:jc w:val="center"/>
              <w:rPr>
                <w:rFonts w:cs="Calibri"/>
                <w:szCs w:val="16"/>
              </w:rPr>
            </w:pPr>
            <w:r w:rsidRPr="00D604EE">
              <w:rPr>
                <w:rFonts w:cs="Calibri"/>
                <w:szCs w:val="16"/>
              </w:rPr>
              <w:t>–9,037.8</w:t>
            </w:r>
          </w:p>
        </w:tc>
        <w:tc>
          <w:tcPr>
            <w:tcW w:w="1299" w:type="dxa"/>
            <w:shd w:val="clear" w:color="auto" w:fill="auto"/>
            <w:hideMark/>
          </w:tcPr>
          <w:p w14:paraId="1912E295" w14:textId="77777777" w:rsidR="00784FA9" w:rsidRPr="00D604EE" w:rsidRDefault="00784FA9" w:rsidP="007E3239">
            <w:pPr>
              <w:pStyle w:val="TableText"/>
              <w:spacing w:before="40" w:after="40"/>
              <w:jc w:val="center"/>
              <w:rPr>
                <w:rFonts w:cs="Calibri"/>
                <w:szCs w:val="16"/>
              </w:rPr>
            </w:pPr>
            <w:r w:rsidRPr="00D604EE">
              <w:rPr>
                <w:rFonts w:cs="Calibri"/>
                <w:szCs w:val="16"/>
              </w:rPr>
              <w:t>–6,834.6</w:t>
            </w:r>
          </w:p>
        </w:tc>
        <w:tc>
          <w:tcPr>
            <w:tcW w:w="1481" w:type="dxa"/>
            <w:shd w:val="clear" w:color="auto" w:fill="auto"/>
            <w:hideMark/>
          </w:tcPr>
          <w:p w14:paraId="048B2D86" w14:textId="77777777" w:rsidR="00784FA9" w:rsidRPr="00D604EE" w:rsidRDefault="00784FA9" w:rsidP="007E3239">
            <w:pPr>
              <w:pStyle w:val="TableText"/>
              <w:spacing w:before="40" w:after="40"/>
              <w:jc w:val="center"/>
              <w:rPr>
                <w:rFonts w:cs="Calibri"/>
                <w:szCs w:val="16"/>
              </w:rPr>
            </w:pPr>
            <w:r w:rsidRPr="00D604EE">
              <w:rPr>
                <w:rFonts w:cs="Calibri"/>
                <w:szCs w:val="16"/>
              </w:rPr>
              <w:t>2,203.3</w:t>
            </w:r>
          </w:p>
        </w:tc>
        <w:tc>
          <w:tcPr>
            <w:tcW w:w="1665" w:type="dxa"/>
            <w:shd w:val="clear" w:color="auto" w:fill="auto"/>
            <w:hideMark/>
          </w:tcPr>
          <w:p w14:paraId="6A5E146A" w14:textId="77777777" w:rsidR="00784FA9" w:rsidRPr="00D604EE" w:rsidRDefault="00784FA9" w:rsidP="007E3239">
            <w:pPr>
              <w:pStyle w:val="TableText"/>
              <w:spacing w:before="40" w:after="40"/>
              <w:jc w:val="center"/>
              <w:rPr>
                <w:rFonts w:cs="Calibri"/>
                <w:szCs w:val="16"/>
              </w:rPr>
            </w:pPr>
            <w:r w:rsidRPr="00D604EE">
              <w:rPr>
                <w:rFonts w:cs="Calibri"/>
                <w:szCs w:val="16"/>
              </w:rPr>
              <w:t>24.4</w:t>
            </w:r>
          </w:p>
        </w:tc>
      </w:tr>
      <w:tr w:rsidR="00784FA9" w:rsidRPr="00D604EE" w14:paraId="31C1D2A7" w14:textId="77777777" w:rsidTr="00082955">
        <w:tc>
          <w:tcPr>
            <w:tcW w:w="2554" w:type="dxa"/>
            <w:shd w:val="clear" w:color="auto" w:fill="auto"/>
            <w:vAlign w:val="center"/>
            <w:hideMark/>
          </w:tcPr>
          <w:p w14:paraId="224CCBDF" w14:textId="77777777" w:rsidR="00784FA9" w:rsidRPr="00D604EE" w:rsidRDefault="00784FA9" w:rsidP="007E3239">
            <w:pPr>
              <w:pStyle w:val="Tableboldblue"/>
              <w:spacing w:before="40" w:after="40"/>
              <w:jc w:val="right"/>
              <w:rPr>
                <w:rFonts w:cs="Calibri"/>
                <w:szCs w:val="16"/>
              </w:rPr>
            </w:pPr>
            <w:r w:rsidRPr="00D604EE">
              <w:rPr>
                <w:rFonts w:cs="Calibri"/>
                <w:szCs w:val="16"/>
              </w:rPr>
              <w:t>Total LULUCF</w:t>
            </w:r>
          </w:p>
        </w:tc>
        <w:tc>
          <w:tcPr>
            <w:tcW w:w="1506" w:type="dxa"/>
            <w:shd w:val="clear" w:color="auto" w:fill="auto"/>
            <w:hideMark/>
          </w:tcPr>
          <w:p w14:paraId="7735DEE8" w14:textId="77777777" w:rsidR="00784FA9" w:rsidRPr="00D604EE" w:rsidRDefault="00784FA9" w:rsidP="007E3239">
            <w:pPr>
              <w:pStyle w:val="Tableboldblue"/>
              <w:spacing w:before="40" w:after="40"/>
              <w:jc w:val="center"/>
              <w:rPr>
                <w:rFonts w:cs="Calibri"/>
                <w:szCs w:val="16"/>
              </w:rPr>
            </w:pPr>
            <w:r w:rsidRPr="00D604EE">
              <w:rPr>
                <w:rFonts w:cs="Calibri"/>
                <w:szCs w:val="16"/>
              </w:rPr>
              <w:t>–23,034.9</w:t>
            </w:r>
          </w:p>
        </w:tc>
        <w:tc>
          <w:tcPr>
            <w:tcW w:w="1299" w:type="dxa"/>
            <w:shd w:val="clear" w:color="auto" w:fill="auto"/>
            <w:hideMark/>
          </w:tcPr>
          <w:p w14:paraId="68B5739F" w14:textId="77777777" w:rsidR="00784FA9" w:rsidRPr="00D604EE" w:rsidRDefault="00784FA9" w:rsidP="007E3239">
            <w:pPr>
              <w:pStyle w:val="Tableboldblue"/>
              <w:spacing w:before="40" w:after="40"/>
              <w:jc w:val="center"/>
              <w:rPr>
                <w:rFonts w:cs="Calibri"/>
                <w:szCs w:val="16"/>
              </w:rPr>
            </w:pPr>
            <w:r w:rsidRPr="00D604EE">
              <w:rPr>
                <w:rFonts w:cs="Calibri"/>
                <w:szCs w:val="16"/>
              </w:rPr>
              <w:t>–23,313.3</w:t>
            </w:r>
          </w:p>
        </w:tc>
        <w:tc>
          <w:tcPr>
            <w:tcW w:w="1481" w:type="dxa"/>
            <w:shd w:val="clear" w:color="auto" w:fill="auto"/>
            <w:vAlign w:val="center"/>
            <w:hideMark/>
          </w:tcPr>
          <w:p w14:paraId="14219905" w14:textId="77777777" w:rsidR="00784FA9" w:rsidRPr="00D604EE" w:rsidRDefault="00784FA9" w:rsidP="007E3239">
            <w:pPr>
              <w:pStyle w:val="Tableboldblue"/>
              <w:spacing w:before="40" w:after="40"/>
              <w:jc w:val="center"/>
              <w:rPr>
                <w:rFonts w:cs="Calibri"/>
                <w:szCs w:val="16"/>
              </w:rPr>
            </w:pPr>
            <w:r w:rsidRPr="00D604EE">
              <w:rPr>
                <w:rFonts w:cs="Calibri"/>
                <w:szCs w:val="16"/>
              </w:rPr>
              <w:t>–278.3</w:t>
            </w:r>
          </w:p>
        </w:tc>
        <w:tc>
          <w:tcPr>
            <w:tcW w:w="1665" w:type="dxa"/>
            <w:shd w:val="clear" w:color="auto" w:fill="auto"/>
            <w:vAlign w:val="center"/>
            <w:hideMark/>
          </w:tcPr>
          <w:p w14:paraId="67F80AC3" w14:textId="77777777" w:rsidR="00784FA9" w:rsidRPr="00D604EE" w:rsidRDefault="00784FA9" w:rsidP="007E3239">
            <w:pPr>
              <w:pStyle w:val="Tableboldblue"/>
              <w:spacing w:before="40" w:after="40"/>
              <w:jc w:val="center"/>
              <w:rPr>
                <w:rFonts w:cs="Calibri"/>
                <w:szCs w:val="16"/>
              </w:rPr>
            </w:pPr>
            <w:r w:rsidRPr="00D604EE">
              <w:rPr>
                <w:rFonts w:cs="Calibri"/>
                <w:szCs w:val="16"/>
              </w:rPr>
              <w:t>–1.2</w:t>
            </w:r>
          </w:p>
        </w:tc>
      </w:tr>
    </w:tbl>
    <w:p w14:paraId="73BB1526" w14:textId="77777777" w:rsidR="00784FA9" w:rsidRPr="00D604EE" w:rsidRDefault="00784FA9" w:rsidP="00784FA9">
      <w:pPr>
        <w:pStyle w:val="Noteundertable"/>
      </w:pPr>
      <w:r w:rsidRPr="00D604EE">
        <w:rPr>
          <w:b/>
        </w:rPr>
        <w:t>Note:</w:t>
      </w:r>
      <w:r w:rsidRPr="00D604EE">
        <w:tab/>
        <w:t>* Indirect emissions as a result of N</w:t>
      </w:r>
      <w:r w:rsidRPr="00D604EE">
        <w:rPr>
          <w:vertAlign w:val="subscript"/>
        </w:rPr>
        <w:t>2</w:t>
      </w:r>
      <w:r w:rsidRPr="00D604EE">
        <w:t>O emissions from leaching and runoff are not disaggregated by land use category in the CRF and are reported separately under non-CO</w:t>
      </w:r>
      <w:r w:rsidRPr="00D604EE">
        <w:rPr>
          <w:vertAlign w:val="subscript"/>
        </w:rPr>
        <w:t>2</w:t>
      </w:r>
      <w:r w:rsidRPr="00D604EE">
        <w:t xml:space="preserve"> emissions in section 6.10.4.</w:t>
      </w:r>
    </w:p>
    <w:p w14:paraId="6B2753C1" w14:textId="77777777" w:rsidR="00784FA9" w:rsidRPr="00D604EE" w:rsidRDefault="00784FA9" w:rsidP="00784FA9">
      <w:pPr>
        <w:pStyle w:val="Heading3"/>
      </w:pPr>
      <w:r w:rsidRPr="00D604EE">
        <w:t>6.1.1</w:t>
      </w:r>
      <w:r w:rsidRPr="00D604EE">
        <w:tab/>
        <w:t>National circumstance</w:t>
      </w:r>
    </w:p>
    <w:p w14:paraId="5EC5042E" w14:textId="77777777" w:rsidR="00784FA9" w:rsidRPr="00D604EE" w:rsidRDefault="00784FA9" w:rsidP="00784FA9">
      <w:pPr>
        <w:pStyle w:val="BodyText"/>
      </w:pPr>
      <w:r w:rsidRPr="00D604EE">
        <w:t>New Zealand has a land area of nearly 270,000 square kilometres with extensive coastlines (approximately 19,800 kilometres). This land mass is made up of two main islands, the North Island and South Island, as well as smaller outlying islands. New Zealand has a temperate climate, highly influenced by the surrounding ocean. Around 60 per cent of the land is hilly or mountainous, with around 425,000 kilometres of rivers and streams, and almost 4,000 lakes that are larger than a hectare (Ministry for the Environment and Stats NZ, 2017).</w:t>
      </w:r>
    </w:p>
    <w:p w14:paraId="473E364C" w14:textId="77777777" w:rsidR="00784FA9" w:rsidRPr="00D604EE" w:rsidRDefault="00784FA9" w:rsidP="00784FA9">
      <w:pPr>
        <w:pStyle w:val="BodyText"/>
        <w:spacing w:before="100" w:after="100"/>
      </w:pPr>
      <w:r w:rsidRPr="00D604EE">
        <w:t>Since 1990, approximately 9.3 per cent of New Zealand’s total land area has undergone land</w:t>
      </w:r>
      <w:r w:rsidRPr="00D604EE">
        <w:noBreakHyphen/>
        <w:t xml:space="preserve">use change. </w:t>
      </w:r>
      <w:r w:rsidRPr="00D604EE">
        <w:rPr>
          <w:spacing w:val="-2"/>
        </w:rPr>
        <w:t xml:space="preserve">Before human settlement, natural forests were New Zealand’s predominant land cover, estimated at 85 per cent to 90 per cent of total land area (McGlone, 2009). </w:t>
      </w:r>
      <w:r w:rsidRPr="00D604EE">
        <w:t>Demand for accessible land has also led to the modification of a large proportion of New Zealand’s vegetated wetland areas to provide pastoral land cover. Just over 10 per cent of wetlands present before European settlement remain across New Zealand (McGlone, 2009). A summary of land use area in 2020 in New Zealand can be found in table 6.1.3.</w:t>
      </w:r>
    </w:p>
    <w:p w14:paraId="38B5D66E" w14:textId="77777777" w:rsidR="00784FA9" w:rsidRPr="00D604EE" w:rsidRDefault="00784FA9" w:rsidP="00784FA9">
      <w:pPr>
        <w:pStyle w:val="BodyText"/>
      </w:pPr>
      <w:r w:rsidRPr="00D604EE">
        <w:t>New Zealand forests are either held on privately owned land or held in the publicly owned conservation estate (an area of approximately 8.5 million hectares; Ministry for the Environment and Stats NZ, 2018). Consequently, all forests in New Zealand meet the 2006 Intergovernmental Panel on Climate Change (IPCC) Guidelines definition of managed land, which is “</w:t>
      </w:r>
      <w:r w:rsidRPr="00D604EE">
        <w:rPr>
          <w:iCs/>
        </w:rPr>
        <w:t>land where human interventions and practices have been applied to perform production, ecological or social functions</w:t>
      </w:r>
      <w:r w:rsidRPr="00D604EE">
        <w:t>” (IPCC, 2006a). Therefore, both forests planted for timber production and natural forests managed for conservation values are considered managed forests.</w:t>
      </w:r>
    </w:p>
    <w:p w14:paraId="32F0051D" w14:textId="77777777" w:rsidR="00784FA9" w:rsidRPr="00D604EE" w:rsidRDefault="00784FA9" w:rsidP="00784FA9">
      <w:pPr>
        <w:pStyle w:val="BodyText"/>
      </w:pPr>
      <w:r w:rsidRPr="00D604EE">
        <w:t>No timber is legally harvested from natural forests in the publicly owned conservation estate other than in exceptional circumstances where legislation allows. Most other harvesting of natural forests is required by law to be undertaken on a sustainable basis (Forests Act 1949).</w:t>
      </w:r>
    </w:p>
    <w:p w14:paraId="3D010A7E" w14:textId="77777777" w:rsidR="00784FA9" w:rsidRPr="00D604EE" w:rsidRDefault="00784FA9" w:rsidP="00784FA9">
      <w:pPr>
        <w:pStyle w:val="BodyText"/>
      </w:pPr>
      <w:r w:rsidRPr="00D604EE">
        <w:t>Plantation forestry and agriculture industries form the core of New Zealand’s economy and are the main determinants of New Zealand’s LULUCF emissions profile. Intensive forest management, combined with a temperate climate, fertile soils and high rainfall, means New Zealand has one of the highest rates of exotic forest growth among Annex I countries.</w:t>
      </w:r>
    </w:p>
    <w:p w14:paraId="6BFC5F42" w14:textId="77777777" w:rsidR="00784FA9" w:rsidRPr="00D604EE" w:rsidRDefault="00784FA9" w:rsidP="00784FA9">
      <w:pPr>
        <w:pStyle w:val="BodyText"/>
      </w:pPr>
      <w:r w:rsidRPr="00D604EE">
        <w:t xml:space="preserve">New Zealand’s exotic forest plantation estate is intensively managed for production forestry, with rapid-growing genotypes selected and enhanced for optimum growth. Rates of afforestation, reforestation, harvesting and deforestation are strongly influenced by market conditions for harvested timber, competition for land use and introduced government policies. One such policy has been the introduction of the New Zealand Emissions Trading Scheme (NZ ETS) in 2008 and the inclusion of forestry within the scheme (Ministry for Primary Industries, 2015). The forestry component of the NZ ETS was included to encourage new forest planting </w:t>
      </w:r>
      <w:r w:rsidRPr="00D604EE">
        <w:lastRenderedPageBreak/>
        <w:t xml:space="preserve">and disincentivise deforestation. An unintended consequence of this policy was that large-scale deforestation occurred in 2007 (27,364 ha) before the policy’s introduction as land owners deforested to avoid potential future liabilities (see figures 6.1.1 and 6.1.2). Changes in afforestation and deforestation rates show they correlate strongly with fluctuations in the NZ ETS carbon price (figure 6.1.2). However, afforestation and deforestation rates are also impacted by other market conditions and other government initiatives, which are summarised in chapter 11, section 11.3.2. </w:t>
      </w:r>
    </w:p>
    <w:p w14:paraId="4BDF5EDD" w14:textId="77777777" w:rsidR="00784FA9" w:rsidRPr="00D604EE" w:rsidRDefault="00784FA9" w:rsidP="00784FA9">
      <w:pPr>
        <w:pStyle w:val="Table"/>
      </w:pPr>
      <w:bookmarkStart w:id="1326" w:name="_Toc443645354"/>
      <w:bookmarkStart w:id="1327" w:name="_Toc474914573"/>
      <w:bookmarkStart w:id="1328" w:name="_Toc481751537"/>
      <w:bookmarkStart w:id="1329" w:name="_Toc522010594"/>
      <w:bookmarkStart w:id="1330" w:name="_Toc5269499"/>
      <w:bookmarkStart w:id="1331" w:name="_Toc33529375"/>
      <w:bookmarkStart w:id="1332" w:name="_Toc36224581"/>
      <w:bookmarkStart w:id="1333" w:name="_Toc65243576"/>
      <w:bookmarkStart w:id="1334" w:name="_Toc99659272"/>
      <w:r w:rsidRPr="00D604EE">
        <w:t xml:space="preserve">Table 6.1.3 </w:t>
      </w:r>
      <w:r w:rsidRPr="00D604EE">
        <w:tab/>
        <w:t xml:space="preserve">Land use in New Zealand in </w:t>
      </w:r>
      <w:bookmarkEnd w:id="1326"/>
      <w:bookmarkEnd w:id="1327"/>
      <w:bookmarkEnd w:id="1328"/>
      <w:bookmarkEnd w:id="1329"/>
      <w:bookmarkEnd w:id="1330"/>
      <w:bookmarkEnd w:id="1331"/>
      <w:bookmarkEnd w:id="1332"/>
      <w:bookmarkEnd w:id="1333"/>
      <w:r w:rsidRPr="00D604EE">
        <w:t>2020</w:t>
      </w:r>
      <w:bookmarkEnd w:id="1334"/>
    </w:p>
    <w:tbl>
      <w:tblPr>
        <w:tblW w:w="8505" w:type="dxa"/>
        <w:tblInd w:w="108"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1847"/>
        <w:gridCol w:w="2243"/>
        <w:gridCol w:w="1978"/>
        <w:gridCol w:w="2437"/>
      </w:tblGrid>
      <w:tr w:rsidR="00784FA9" w:rsidRPr="00D604EE" w14:paraId="15E13FFB" w14:textId="77777777" w:rsidTr="00D331F2">
        <w:trPr>
          <w:tblHeader/>
        </w:trPr>
        <w:tc>
          <w:tcPr>
            <w:tcW w:w="1924" w:type="dxa"/>
            <w:shd w:val="clear" w:color="auto" w:fill="1B556B"/>
            <w:vAlign w:val="center"/>
            <w:hideMark/>
          </w:tcPr>
          <w:p w14:paraId="53470FBD" w14:textId="77777777" w:rsidR="00784FA9" w:rsidRPr="00D604EE" w:rsidRDefault="00784FA9" w:rsidP="007E3239">
            <w:pPr>
              <w:pStyle w:val="TableTextBold"/>
              <w:spacing w:before="40" w:after="40" w:line="256" w:lineRule="auto"/>
              <w:rPr>
                <w:noProof w:val="0"/>
                <w:color w:val="FFFFFF"/>
              </w:rPr>
            </w:pPr>
            <w:r w:rsidRPr="00D604EE">
              <w:rPr>
                <w:noProof w:val="0"/>
                <w:color w:val="FFFFFF"/>
              </w:rPr>
              <w:t xml:space="preserve">Category </w:t>
            </w:r>
          </w:p>
        </w:tc>
        <w:tc>
          <w:tcPr>
            <w:tcW w:w="2368" w:type="dxa"/>
            <w:shd w:val="clear" w:color="auto" w:fill="1B556B"/>
            <w:vAlign w:val="center"/>
            <w:hideMark/>
          </w:tcPr>
          <w:p w14:paraId="68339C20" w14:textId="77777777" w:rsidR="00784FA9" w:rsidRPr="00D604EE" w:rsidRDefault="00784FA9" w:rsidP="007E3239">
            <w:pPr>
              <w:pStyle w:val="TableTextBold"/>
              <w:spacing w:before="40" w:after="40" w:line="256" w:lineRule="auto"/>
              <w:rPr>
                <w:noProof w:val="0"/>
                <w:color w:val="FFFFFF"/>
              </w:rPr>
            </w:pPr>
            <w:r w:rsidRPr="00D604EE">
              <w:rPr>
                <w:noProof w:val="0"/>
                <w:color w:val="FFFFFF"/>
              </w:rPr>
              <w:t>Land use</w:t>
            </w:r>
          </w:p>
        </w:tc>
        <w:tc>
          <w:tcPr>
            <w:tcW w:w="2073" w:type="dxa"/>
            <w:shd w:val="clear" w:color="auto" w:fill="1B556B"/>
            <w:vAlign w:val="center"/>
            <w:hideMark/>
          </w:tcPr>
          <w:p w14:paraId="1EF968FE" w14:textId="77777777" w:rsidR="00784FA9" w:rsidRPr="00D604EE" w:rsidRDefault="00784FA9" w:rsidP="007E3239">
            <w:pPr>
              <w:pStyle w:val="TableTextBold"/>
              <w:spacing w:before="40" w:after="40" w:line="256" w:lineRule="auto"/>
              <w:jc w:val="right"/>
              <w:rPr>
                <w:noProof w:val="0"/>
                <w:color w:val="FFFFFF"/>
              </w:rPr>
            </w:pPr>
            <w:r w:rsidRPr="00D604EE">
              <w:rPr>
                <w:noProof w:val="0"/>
                <w:color w:val="FFFFFF"/>
              </w:rPr>
              <w:t>Area (kha)</w:t>
            </w:r>
          </w:p>
        </w:tc>
        <w:tc>
          <w:tcPr>
            <w:tcW w:w="2575" w:type="dxa"/>
            <w:shd w:val="clear" w:color="auto" w:fill="1B556B"/>
            <w:vAlign w:val="center"/>
            <w:hideMark/>
          </w:tcPr>
          <w:p w14:paraId="613DAB4B" w14:textId="77777777" w:rsidR="00784FA9" w:rsidRPr="00D604EE" w:rsidRDefault="00784FA9" w:rsidP="007E3239">
            <w:pPr>
              <w:pStyle w:val="TableTextBold"/>
              <w:spacing w:before="40" w:after="40" w:line="256" w:lineRule="auto"/>
              <w:jc w:val="right"/>
              <w:rPr>
                <w:noProof w:val="0"/>
                <w:color w:val="FFFFFF"/>
              </w:rPr>
            </w:pPr>
            <w:r w:rsidRPr="00D604EE">
              <w:rPr>
                <w:noProof w:val="0"/>
                <w:color w:val="FFFFFF"/>
              </w:rPr>
              <w:t>Proportion of total area (%)</w:t>
            </w:r>
          </w:p>
        </w:tc>
      </w:tr>
      <w:tr w:rsidR="00784FA9" w:rsidRPr="00D604EE" w14:paraId="1E8AF8C9" w14:textId="77777777" w:rsidTr="00082955">
        <w:tc>
          <w:tcPr>
            <w:tcW w:w="1924" w:type="dxa"/>
            <w:hideMark/>
          </w:tcPr>
          <w:p w14:paraId="7D602A97"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Forest land</w:t>
            </w:r>
          </w:p>
        </w:tc>
        <w:tc>
          <w:tcPr>
            <w:tcW w:w="2368" w:type="dxa"/>
            <w:hideMark/>
          </w:tcPr>
          <w:p w14:paraId="6D4EDBB6"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Pre-1990 natural forest</w:t>
            </w:r>
          </w:p>
        </w:tc>
        <w:tc>
          <w:tcPr>
            <w:tcW w:w="2073" w:type="dxa"/>
            <w:hideMark/>
          </w:tcPr>
          <w:p w14:paraId="054FD4E0" w14:textId="77777777" w:rsidR="00784FA9" w:rsidRPr="00D604EE" w:rsidRDefault="00784FA9" w:rsidP="007E3239">
            <w:pPr>
              <w:pStyle w:val="TableText"/>
              <w:spacing w:before="40" w:after="40" w:line="256" w:lineRule="auto"/>
              <w:jc w:val="right"/>
              <w:rPr>
                <w:rFonts w:cs="Arial Bold"/>
                <w:szCs w:val="16"/>
              </w:rPr>
            </w:pPr>
            <w:r w:rsidRPr="00D604EE">
              <w:t>7,754.169</w:t>
            </w:r>
          </w:p>
        </w:tc>
        <w:tc>
          <w:tcPr>
            <w:tcW w:w="2575" w:type="dxa"/>
            <w:hideMark/>
          </w:tcPr>
          <w:p w14:paraId="62A63D4F" w14:textId="77777777" w:rsidR="00784FA9" w:rsidRPr="00D604EE" w:rsidRDefault="00784FA9" w:rsidP="007E3239">
            <w:pPr>
              <w:pStyle w:val="TableText"/>
              <w:spacing w:before="40" w:after="40" w:line="256" w:lineRule="auto"/>
              <w:jc w:val="right"/>
              <w:rPr>
                <w:rFonts w:cs="Arial Bold"/>
                <w:szCs w:val="16"/>
              </w:rPr>
            </w:pPr>
            <w:r w:rsidRPr="00D604EE">
              <w:t>28.8</w:t>
            </w:r>
          </w:p>
        </w:tc>
      </w:tr>
      <w:tr w:rsidR="00784FA9" w:rsidRPr="00D604EE" w14:paraId="700A8D9E" w14:textId="77777777" w:rsidTr="00082955">
        <w:tc>
          <w:tcPr>
            <w:tcW w:w="1924" w:type="dxa"/>
          </w:tcPr>
          <w:p w14:paraId="5476FEE0" w14:textId="77777777" w:rsidR="00784FA9" w:rsidRPr="00D604EE" w:rsidRDefault="00784FA9" w:rsidP="007E3239">
            <w:pPr>
              <w:pStyle w:val="TableText"/>
              <w:spacing w:before="40" w:after="40" w:line="256" w:lineRule="auto"/>
              <w:rPr>
                <w:rFonts w:cs="Arial Bold"/>
                <w:szCs w:val="16"/>
              </w:rPr>
            </w:pPr>
          </w:p>
        </w:tc>
        <w:tc>
          <w:tcPr>
            <w:tcW w:w="2368" w:type="dxa"/>
            <w:hideMark/>
          </w:tcPr>
          <w:p w14:paraId="741CB8A1"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Pre-1990 planted forest</w:t>
            </w:r>
          </w:p>
        </w:tc>
        <w:tc>
          <w:tcPr>
            <w:tcW w:w="2073" w:type="dxa"/>
            <w:hideMark/>
          </w:tcPr>
          <w:p w14:paraId="0CE3EFDA" w14:textId="77777777" w:rsidR="00784FA9" w:rsidRPr="00D604EE" w:rsidRDefault="00784FA9" w:rsidP="007E3239">
            <w:pPr>
              <w:pStyle w:val="TableText"/>
              <w:spacing w:before="40" w:after="40" w:line="256" w:lineRule="auto"/>
              <w:jc w:val="right"/>
              <w:rPr>
                <w:rFonts w:cs="Arial Bold"/>
                <w:szCs w:val="16"/>
              </w:rPr>
            </w:pPr>
            <w:r w:rsidRPr="00D604EE">
              <w:t>1,437.218</w:t>
            </w:r>
          </w:p>
        </w:tc>
        <w:tc>
          <w:tcPr>
            <w:tcW w:w="2575" w:type="dxa"/>
            <w:hideMark/>
          </w:tcPr>
          <w:p w14:paraId="1F753F4F" w14:textId="77777777" w:rsidR="00784FA9" w:rsidRPr="00D604EE" w:rsidRDefault="00784FA9" w:rsidP="007E3239">
            <w:pPr>
              <w:pStyle w:val="TableText"/>
              <w:spacing w:before="40" w:after="40" w:line="256" w:lineRule="auto"/>
              <w:jc w:val="right"/>
              <w:rPr>
                <w:rFonts w:cs="Arial Bold"/>
                <w:szCs w:val="16"/>
              </w:rPr>
            </w:pPr>
            <w:r w:rsidRPr="00D604EE">
              <w:t>5.3</w:t>
            </w:r>
          </w:p>
        </w:tc>
      </w:tr>
      <w:tr w:rsidR="00784FA9" w:rsidRPr="00D604EE" w14:paraId="59098E5B" w14:textId="77777777" w:rsidTr="00082955">
        <w:tc>
          <w:tcPr>
            <w:tcW w:w="1924" w:type="dxa"/>
          </w:tcPr>
          <w:p w14:paraId="5FE7D105" w14:textId="77777777" w:rsidR="00784FA9" w:rsidRPr="00D604EE" w:rsidRDefault="00784FA9" w:rsidP="007E3239">
            <w:pPr>
              <w:pStyle w:val="TableText"/>
              <w:spacing w:before="40" w:after="40" w:line="256" w:lineRule="auto"/>
              <w:rPr>
                <w:rFonts w:cs="Arial Bold"/>
                <w:szCs w:val="16"/>
              </w:rPr>
            </w:pPr>
          </w:p>
        </w:tc>
        <w:tc>
          <w:tcPr>
            <w:tcW w:w="2368" w:type="dxa"/>
            <w:hideMark/>
          </w:tcPr>
          <w:p w14:paraId="5B4A98F0"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Post-1989 planted forest</w:t>
            </w:r>
          </w:p>
        </w:tc>
        <w:tc>
          <w:tcPr>
            <w:tcW w:w="2073" w:type="dxa"/>
            <w:hideMark/>
          </w:tcPr>
          <w:p w14:paraId="57DA0D25" w14:textId="77777777" w:rsidR="00784FA9" w:rsidRPr="00D604EE" w:rsidRDefault="00784FA9" w:rsidP="007E3239">
            <w:pPr>
              <w:pStyle w:val="TableText"/>
              <w:spacing w:before="40" w:after="40" w:line="256" w:lineRule="auto"/>
              <w:jc w:val="right"/>
            </w:pPr>
            <w:r w:rsidRPr="00D604EE">
              <w:t>689.777</w:t>
            </w:r>
          </w:p>
        </w:tc>
        <w:tc>
          <w:tcPr>
            <w:tcW w:w="2575" w:type="dxa"/>
            <w:hideMark/>
          </w:tcPr>
          <w:p w14:paraId="63373C1A" w14:textId="77777777" w:rsidR="00784FA9" w:rsidRPr="00D604EE" w:rsidRDefault="00784FA9" w:rsidP="007E3239">
            <w:pPr>
              <w:pStyle w:val="TableText"/>
              <w:spacing w:before="40" w:after="40" w:line="256" w:lineRule="auto"/>
              <w:jc w:val="right"/>
            </w:pPr>
            <w:r w:rsidRPr="00D604EE">
              <w:t>2.6</w:t>
            </w:r>
          </w:p>
        </w:tc>
      </w:tr>
      <w:tr w:rsidR="00784FA9" w:rsidRPr="00D604EE" w14:paraId="1A7A3AC1" w14:textId="77777777" w:rsidTr="00082955">
        <w:tc>
          <w:tcPr>
            <w:tcW w:w="1924" w:type="dxa"/>
          </w:tcPr>
          <w:p w14:paraId="5EA71BE3" w14:textId="77777777" w:rsidR="00784FA9" w:rsidRPr="00D604EE" w:rsidRDefault="00784FA9" w:rsidP="007E3239">
            <w:pPr>
              <w:pStyle w:val="TableText"/>
              <w:spacing w:before="40" w:after="40" w:line="256" w:lineRule="auto"/>
              <w:rPr>
                <w:rFonts w:cs="Arial Bold"/>
                <w:szCs w:val="16"/>
              </w:rPr>
            </w:pPr>
          </w:p>
        </w:tc>
        <w:tc>
          <w:tcPr>
            <w:tcW w:w="2368" w:type="dxa"/>
            <w:hideMark/>
          </w:tcPr>
          <w:p w14:paraId="4BE5C3B5"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Post-1989 natural forest</w:t>
            </w:r>
          </w:p>
        </w:tc>
        <w:tc>
          <w:tcPr>
            <w:tcW w:w="2073" w:type="dxa"/>
            <w:hideMark/>
          </w:tcPr>
          <w:p w14:paraId="4891D457" w14:textId="77777777" w:rsidR="00784FA9" w:rsidRPr="00D604EE" w:rsidRDefault="00784FA9" w:rsidP="007E3239">
            <w:pPr>
              <w:pStyle w:val="TableText"/>
              <w:spacing w:before="40" w:after="40" w:line="256" w:lineRule="auto"/>
              <w:jc w:val="right"/>
            </w:pPr>
            <w:r w:rsidRPr="00D604EE">
              <w:t>90.506</w:t>
            </w:r>
          </w:p>
        </w:tc>
        <w:tc>
          <w:tcPr>
            <w:tcW w:w="2575" w:type="dxa"/>
            <w:hideMark/>
          </w:tcPr>
          <w:p w14:paraId="1D8BE26D" w14:textId="77777777" w:rsidR="00784FA9" w:rsidRPr="00D604EE" w:rsidRDefault="00784FA9" w:rsidP="007E3239">
            <w:pPr>
              <w:pStyle w:val="TableText"/>
              <w:spacing w:before="40" w:after="40" w:line="256" w:lineRule="auto"/>
              <w:jc w:val="right"/>
            </w:pPr>
            <w:r w:rsidRPr="00D604EE">
              <w:t>0.3</w:t>
            </w:r>
          </w:p>
        </w:tc>
      </w:tr>
      <w:tr w:rsidR="00784FA9" w:rsidRPr="00D604EE" w14:paraId="1A54F808" w14:textId="77777777" w:rsidTr="00082955">
        <w:tc>
          <w:tcPr>
            <w:tcW w:w="1924" w:type="dxa"/>
          </w:tcPr>
          <w:p w14:paraId="5E2CB8B5" w14:textId="77777777" w:rsidR="00784FA9" w:rsidRPr="00D604EE" w:rsidRDefault="00784FA9" w:rsidP="007E3239">
            <w:pPr>
              <w:pStyle w:val="TableText"/>
              <w:spacing w:before="40" w:after="40" w:line="256" w:lineRule="auto"/>
              <w:rPr>
                <w:rFonts w:cs="Arial Bold"/>
                <w:szCs w:val="16"/>
              </w:rPr>
            </w:pPr>
          </w:p>
        </w:tc>
        <w:tc>
          <w:tcPr>
            <w:tcW w:w="2368" w:type="dxa"/>
            <w:hideMark/>
          </w:tcPr>
          <w:p w14:paraId="74B6D33D" w14:textId="77777777" w:rsidR="00784FA9" w:rsidRPr="00D604EE" w:rsidRDefault="00784FA9" w:rsidP="007E3239">
            <w:pPr>
              <w:pStyle w:val="TableText"/>
              <w:spacing w:before="40" w:after="40" w:line="256" w:lineRule="auto"/>
              <w:rPr>
                <w:rFonts w:cs="Arial Bold"/>
                <w:i/>
                <w:szCs w:val="16"/>
              </w:rPr>
            </w:pPr>
            <w:r w:rsidRPr="00D604EE">
              <w:rPr>
                <w:rFonts w:cs="Arial Bold"/>
                <w:i/>
                <w:szCs w:val="16"/>
              </w:rPr>
              <w:t>Subtotal</w:t>
            </w:r>
          </w:p>
        </w:tc>
        <w:tc>
          <w:tcPr>
            <w:tcW w:w="2073" w:type="dxa"/>
            <w:hideMark/>
          </w:tcPr>
          <w:p w14:paraId="24D2C30C" w14:textId="77777777" w:rsidR="00784FA9" w:rsidRPr="00D604EE" w:rsidRDefault="00784FA9" w:rsidP="007E3239">
            <w:pPr>
              <w:pStyle w:val="TableText"/>
              <w:spacing w:before="40" w:after="40" w:line="256" w:lineRule="auto"/>
              <w:jc w:val="right"/>
              <w:rPr>
                <w:rFonts w:cs="Arial Bold"/>
                <w:i/>
                <w:szCs w:val="16"/>
              </w:rPr>
            </w:pPr>
            <w:r w:rsidRPr="00D604EE">
              <w:t>9,971.670</w:t>
            </w:r>
          </w:p>
        </w:tc>
        <w:tc>
          <w:tcPr>
            <w:tcW w:w="2575" w:type="dxa"/>
            <w:hideMark/>
          </w:tcPr>
          <w:p w14:paraId="44916ED0" w14:textId="77777777" w:rsidR="00784FA9" w:rsidRPr="00D604EE" w:rsidRDefault="00784FA9" w:rsidP="007E3239">
            <w:pPr>
              <w:pStyle w:val="TableText"/>
              <w:spacing w:before="40" w:after="40" w:line="256" w:lineRule="auto"/>
              <w:jc w:val="right"/>
              <w:rPr>
                <w:rFonts w:cs="Arial Bold"/>
                <w:i/>
                <w:szCs w:val="16"/>
              </w:rPr>
            </w:pPr>
            <w:r w:rsidRPr="00D604EE">
              <w:t>37.0</w:t>
            </w:r>
          </w:p>
        </w:tc>
      </w:tr>
      <w:tr w:rsidR="00784FA9" w:rsidRPr="00D604EE" w14:paraId="73B37470" w14:textId="77777777" w:rsidTr="00082955">
        <w:tc>
          <w:tcPr>
            <w:tcW w:w="1924" w:type="dxa"/>
            <w:hideMark/>
          </w:tcPr>
          <w:p w14:paraId="48BC15E9" w14:textId="77777777" w:rsidR="00784FA9" w:rsidRPr="00D604EE" w:rsidRDefault="00784FA9" w:rsidP="007E3239">
            <w:pPr>
              <w:pStyle w:val="TableText"/>
              <w:keepNext/>
              <w:spacing w:before="40" w:after="40" w:line="256" w:lineRule="auto"/>
              <w:rPr>
                <w:rFonts w:cs="Arial Bold"/>
                <w:szCs w:val="16"/>
              </w:rPr>
            </w:pPr>
            <w:r w:rsidRPr="00D604EE">
              <w:rPr>
                <w:rFonts w:cs="Arial Bold"/>
                <w:szCs w:val="16"/>
              </w:rPr>
              <w:t>Cropland</w:t>
            </w:r>
          </w:p>
        </w:tc>
        <w:tc>
          <w:tcPr>
            <w:tcW w:w="2368" w:type="dxa"/>
            <w:hideMark/>
          </w:tcPr>
          <w:p w14:paraId="72A15EAA" w14:textId="77777777" w:rsidR="00784FA9" w:rsidRPr="00D604EE" w:rsidRDefault="00784FA9" w:rsidP="007E3239">
            <w:pPr>
              <w:pStyle w:val="TableText"/>
              <w:keepNext/>
              <w:spacing w:before="40" w:after="40" w:line="256" w:lineRule="auto"/>
              <w:rPr>
                <w:rFonts w:cs="Arial Bold"/>
                <w:szCs w:val="16"/>
              </w:rPr>
            </w:pPr>
            <w:r w:rsidRPr="00D604EE">
              <w:rPr>
                <w:rFonts w:cs="Arial Bold"/>
                <w:szCs w:val="16"/>
              </w:rPr>
              <w:t>Annual</w:t>
            </w:r>
          </w:p>
        </w:tc>
        <w:tc>
          <w:tcPr>
            <w:tcW w:w="2073" w:type="dxa"/>
            <w:hideMark/>
          </w:tcPr>
          <w:p w14:paraId="33B9837D" w14:textId="77777777" w:rsidR="00784FA9" w:rsidRPr="00D604EE" w:rsidRDefault="00784FA9" w:rsidP="007E3239">
            <w:pPr>
              <w:pStyle w:val="TableText"/>
              <w:keepNext/>
              <w:spacing w:before="40" w:after="40" w:line="256" w:lineRule="auto"/>
              <w:jc w:val="right"/>
              <w:rPr>
                <w:rFonts w:cs="Arial Bold"/>
                <w:szCs w:val="16"/>
              </w:rPr>
            </w:pPr>
            <w:r w:rsidRPr="00D604EE">
              <w:t>371.232</w:t>
            </w:r>
          </w:p>
        </w:tc>
        <w:tc>
          <w:tcPr>
            <w:tcW w:w="2575" w:type="dxa"/>
            <w:hideMark/>
          </w:tcPr>
          <w:p w14:paraId="6EF62341" w14:textId="77777777" w:rsidR="00784FA9" w:rsidRPr="00D604EE" w:rsidRDefault="00784FA9" w:rsidP="007E3239">
            <w:pPr>
              <w:pStyle w:val="TableText"/>
              <w:keepNext/>
              <w:spacing w:before="40" w:after="40" w:line="256" w:lineRule="auto"/>
              <w:jc w:val="right"/>
              <w:rPr>
                <w:rFonts w:cs="Arial Bold"/>
                <w:szCs w:val="16"/>
              </w:rPr>
            </w:pPr>
            <w:r w:rsidRPr="00D604EE">
              <w:t>1.4</w:t>
            </w:r>
          </w:p>
        </w:tc>
      </w:tr>
      <w:tr w:rsidR="00784FA9" w:rsidRPr="00D604EE" w14:paraId="61E546E6" w14:textId="77777777" w:rsidTr="00082955">
        <w:tc>
          <w:tcPr>
            <w:tcW w:w="1924" w:type="dxa"/>
          </w:tcPr>
          <w:p w14:paraId="4686E865" w14:textId="77777777" w:rsidR="00784FA9" w:rsidRPr="00D604EE" w:rsidRDefault="00784FA9" w:rsidP="007E3239">
            <w:pPr>
              <w:pStyle w:val="TableText"/>
              <w:keepNext/>
              <w:spacing w:before="40" w:after="40" w:line="256" w:lineRule="auto"/>
              <w:rPr>
                <w:rFonts w:cs="Arial Bold"/>
                <w:szCs w:val="16"/>
              </w:rPr>
            </w:pPr>
          </w:p>
        </w:tc>
        <w:tc>
          <w:tcPr>
            <w:tcW w:w="2368" w:type="dxa"/>
            <w:hideMark/>
          </w:tcPr>
          <w:p w14:paraId="408E4056" w14:textId="77777777" w:rsidR="00784FA9" w:rsidRPr="00D604EE" w:rsidRDefault="00784FA9" w:rsidP="007E3239">
            <w:pPr>
              <w:pStyle w:val="TableText"/>
              <w:keepNext/>
              <w:spacing w:before="40" w:after="40" w:line="256" w:lineRule="auto"/>
              <w:rPr>
                <w:rFonts w:cs="Arial Bold"/>
                <w:szCs w:val="16"/>
              </w:rPr>
            </w:pPr>
            <w:r w:rsidRPr="00D604EE">
              <w:rPr>
                <w:rFonts w:cs="Arial Bold"/>
                <w:szCs w:val="16"/>
              </w:rPr>
              <w:t>Perennial</w:t>
            </w:r>
          </w:p>
        </w:tc>
        <w:tc>
          <w:tcPr>
            <w:tcW w:w="2073" w:type="dxa"/>
            <w:hideMark/>
          </w:tcPr>
          <w:p w14:paraId="2C46EE52" w14:textId="77777777" w:rsidR="00784FA9" w:rsidRPr="00D604EE" w:rsidRDefault="00784FA9" w:rsidP="007E3239">
            <w:pPr>
              <w:pStyle w:val="TableText"/>
              <w:keepNext/>
              <w:spacing w:before="40" w:after="40" w:line="256" w:lineRule="auto"/>
              <w:jc w:val="right"/>
              <w:rPr>
                <w:rFonts w:cs="Arial Bold"/>
                <w:szCs w:val="16"/>
              </w:rPr>
            </w:pPr>
            <w:r w:rsidRPr="00D604EE">
              <w:t>105.190</w:t>
            </w:r>
          </w:p>
        </w:tc>
        <w:tc>
          <w:tcPr>
            <w:tcW w:w="2575" w:type="dxa"/>
            <w:hideMark/>
          </w:tcPr>
          <w:p w14:paraId="383199C7" w14:textId="77777777" w:rsidR="00784FA9" w:rsidRPr="00D604EE" w:rsidRDefault="00784FA9" w:rsidP="007E3239">
            <w:pPr>
              <w:pStyle w:val="TableText"/>
              <w:keepNext/>
              <w:spacing w:before="40" w:after="40" w:line="256" w:lineRule="auto"/>
              <w:jc w:val="right"/>
              <w:rPr>
                <w:rFonts w:cs="Arial Bold"/>
                <w:szCs w:val="16"/>
              </w:rPr>
            </w:pPr>
            <w:r w:rsidRPr="00D604EE">
              <w:t>0.4</w:t>
            </w:r>
          </w:p>
        </w:tc>
      </w:tr>
      <w:tr w:rsidR="00784FA9" w:rsidRPr="00D604EE" w14:paraId="084C5948" w14:textId="77777777" w:rsidTr="00082955">
        <w:tc>
          <w:tcPr>
            <w:tcW w:w="1924" w:type="dxa"/>
          </w:tcPr>
          <w:p w14:paraId="33DDDD11" w14:textId="77777777" w:rsidR="00784FA9" w:rsidRPr="00D604EE" w:rsidRDefault="00784FA9" w:rsidP="007E3239">
            <w:pPr>
              <w:pStyle w:val="TableText"/>
              <w:spacing w:before="40" w:after="40" w:line="256" w:lineRule="auto"/>
              <w:rPr>
                <w:rFonts w:cs="Arial Bold"/>
                <w:szCs w:val="16"/>
              </w:rPr>
            </w:pPr>
          </w:p>
        </w:tc>
        <w:tc>
          <w:tcPr>
            <w:tcW w:w="2368" w:type="dxa"/>
            <w:hideMark/>
          </w:tcPr>
          <w:p w14:paraId="6176A426" w14:textId="77777777" w:rsidR="00784FA9" w:rsidRPr="00D604EE" w:rsidRDefault="00784FA9" w:rsidP="007E3239">
            <w:pPr>
              <w:pStyle w:val="TableText"/>
              <w:spacing w:before="40" w:after="40" w:line="256" w:lineRule="auto"/>
              <w:rPr>
                <w:rFonts w:cs="Arial Bold"/>
                <w:i/>
                <w:szCs w:val="16"/>
              </w:rPr>
            </w:pPr>
            <w:r w:rsidRPr="00D604EE">
              <w:rPr>
                <w:rFonts w:cs="Arial Bold"/>
                <w:i/>
                <w:szCs w:val="16"/>
              </w:rPr>
              <w:t>Subtotal</w:t>
            </w:r>
          </w:p>
        </w:tc>
        <w:tc>
          <w:tcPr>
            <w:tcW w:w="2073" w:type="dxa"/>
            <w:hideMark/>
          </w:tcPr>
          <w:p w14:paraId="1F8430E1" w14:textId="77777777" w:rsidR="00784FA9" w:rsidRPr="00D604EE" w:rsidRDefault="00784FA9" w:rsidP="007E3239">
            <w:pPr>
              <w:pStyle w:val="TableText"/>
              <w:spacing w:before="40" w:after="40" w:line="256" w:lineRule="auto"/>
              <w:jc w:val="right"/>
              <w:rPr>
                <w:rFonts w:cs="Arial Bold"/>
                <w:i/>
                <w:szCs w:val="16"/>
              </w:rPr>
            </w:pPr>
            <w:r w:rsidRPr="00D604EE">
              <w:t>476.422</w:t>
            </w:r>
          </w:p>
        </w:tc>
        <w:tc>
          <w:tcPr>
            <w:tcW w:w="2575" w:type="dxa"/>
            <w:hideMark/>
          </w:tcPr>
          <w:p w14:paraId="2D53F0DF" w14:textId="77777777" w:rsidR="00784FA9" w:rsidRPr="00D604EE" w:rsidRDefault="00784FA9" w:rsidP="007E3239">
            <w:pPr>
              <w:pStyle w:val="TableText"/>
              <w:spacing w:before="40" w:after="40" w:line="256" w:lineRule="auto"/>
              <w:jc w:val="right"/>
              <w:rPr>
                <w:rFonts w:cs="Arial Bold"/>
                <w:i/>
                <w:szCs w:val="16"/>
              </w:rPr>
            </w:pPr>
            <w:r w:rsidRPr="00D604EE">
              <w:t>1.8</w:t>
            </w:r>
          </w:p>
        </w:tc>
      </w:tr>
      <w:tr w:rsidR="00784FA9" w:rsidRPr="00D604EE" w14:paraId="53667725" w14:textId="77777777" w:rsidTr="00082955">
        <w:tc>
          <w:tcPr>
            <w:tcW w:w="1924" w:type="dxa"/>
            <w:hideMark/>
          </w:tcPr>
          <w:p w14:paraId="7409D075"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Grassland</w:t>
            </w:r>
          </w:p>
        </w:tc>
        <w:tc>
          <w:tcPr>
            <w:tcW w:w="2368" w:type="dxa"/>
            <w:hideMark/>
          </w:tcPr>
          <w:p w14:paraId="378F0646"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High producing</w:t>
            </w:r>
          </w:p>
        </w:tc>
        <w:tc>
          <w:tcPr>
            <w:tcW w:w="2073" w:type="dxa"/>
            <w:hideMark/>
          </w:tcPr>
          <w:p w14:paraId="04F08952" w14:textId="77777777" w:rsidR="00784FA9" w:rsidRPr="00D604EE" w:rsidRDefault="00784FA9" w:rsidP="007E3239">
            <w:pPr>
              <w:pStyle w:val="TableText"/>
              <w:spacing w:before="40" w:after="40" w:line="256" w:lineRule="auto"/>
              <w:jc w:val="right"/>
              <w:rPr>
                <w:rFonts w:cs="Arial Bold"/>
                <w:szCs w:val="16"/>
              </w:rPr>
            </w:pPr>
            <w:r w:rsidRPr="00D604EE">
              <w:t>6,892.607</w:t>
            </w:r>
          </w:p>
        </w:tc>
        <w:tc>
          <w:tcPr>
            <w:tcW w:w="2575" w:type="dxa"/>
            <w:hideMark/>
          </w:tcPr>
          <w:p w14:paraId="1AD0B2C2" w14:textId="77777777" w:rsidR="00784FA9" w:rsidRPr="00D604EE" w:rsidRDefault="00784FA9" w:rsidP="007E3239">
            <w:pPr>
              <w:pStyle w:val="TableText"/>
              <w:spacing w:before="40" w:after="40" w:line="256" w:lineRule="auto"/>
              <w:jc w:val="right"/>
              <w:rPr>
                <w:rFonts w:cs="Arial Bold"/>
                <w:szCs w:val="16"/>
              </w:rPr>
            </w:pPr>
            <w:r w:rsidRPr="00D604EE">
              <w:t>25.6</w:t>
            </w:r>
          </w:p>
        </w:tc>
      </w:tr>
      <w:tr w:rsidR="00784FA9" w:rsidRPr="00D604EE" w14:paraId="7F99E0FC" w14:textId="77777777" w:rsidTr="00082955">
        <w:tc>
          <w:tcPr>
            <w:tcW w:w="1924" w:type="dxa"/>
          </w:tcPr>
          <w:p w14:paraId="1CF5A8E6" w14:textId="77777777" w:rsidR="00784FA9" w:rsidRPr="00D604EE" w:rsidRDefault="00784FA9" w:rsidP="007E3239">
            <w:pPr>
              <w:pStyle w:val="TableText"/>
              <w:spacing w:before="40" w:after="40" w:line="256" w:lineRule="auto"/>
              <w:rPr>
                <w:rFonts w:cs="Arial Bold"/>
                <w:szCs w:val="16"/>
              </w:rPr>
            </w:pPr>
          </w:p>
        </w:tc>
        <w:tc>
          <w:tcPr>
            <w:tcW w:w="2368" w:type="dxa"/>
            <w:hideMark/>
          </w:tcPr>
          <w:p w14:paraId="175D4CF5"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Low producing</w:t>
            </w:r>
          </w:p>
        </w:tc>
        <w:tc>
          <w:tcPr>
            <w:tcW w:w="2073" w:type="dxa"/>
            <w:hideMark/>
          </w:tcPr>
          <w:p w14:paraId="715E1ED4" w14:textId="77777777" w:rsidR="00784FA9" w:rsidRPr="00D604EE" w:rsidRDefault="00784FA9" w:rsidP="007E3239">
            <w:pPr>
              <w:pStyle w:val="TableText"/>
              <w:spacing w:before="40" w:after="40" w:line="256" w:lineRule="auto"/>
              <w:jc w:val="right"/>
              <w:rPr>
                <w:rFonts w:cs="Arial Bold"/>
                <w:szCs w:val="16"/>
              </w:rPr>
            </w:pPr>
            <w:r w:rsidRPr="00D604EE">
              <w:t>6,319.589</w:t>
            </w:r>
          </w:p>
        </w:tc>
        <w:tc>
          <w:tcPr>
            <w:tcW w:w="2575" w:type="dxa"/>
            <w:hideMark/>
          </w:tcPr>
          <w:p w14:paraId="42D1A453" w14:textId="77777777" w:rsidR="00784FA9" w:rsidRPr="00D604EE" w:rsidRDefault="00784FA9" w:rsidP="007E3239">
            <w:pPr>
              <w:pStyle w:val="TableText"/>
              <w:spacing w:before="40" w:after="40" w:line="256" w:lineRule="auto"/>
              <w:jc w:val="right"/>
              <w:rPr>
                <w:rFonts w:cs="Arial Bold"/>
                <w:szCs w:val="16"/>
              </w:rPr>
            </w:pPr>
            <w:r w:rsidRPr="00D604EE">
              <w:t>23.5</w:t>
            </w:r>
          </w:p>
        </w:tc>
      </w:tr>
      <w:tr w:rsidR="00784FA9" w:rsidRPr="00D604EE" w14:paraId="3511D5A2" w14:textId="77777777" w:rsidTr="00082955">
        <w:tc>
          <w:tcPr>
            <w:tcW w:w="1924" w:type="dxa"/>
          </w:tcPr>
          <w:p w14:paraId="4D5925C6" w14:textId="77777777" w:rsidR="00784FA9" w:rsidRPr="00D604EE" w:rsidRDefault="00784FA9" w:rsidP="007E3239">
            <w:pPr>
              <w:pStyle w:val="TableText"/>
              <w:spacing w:before="40" w:after="40" w:line="256" w:lineRule="auto"/>
              <w:rPr>
                <w:rFonts w:cs="Arial Bold"/>
                <w:szCs w:val="16"/>
              </w:rPr>
            </w:pPr>
          </w:p>
        </w:tc>
        <w:tc>
          <w:tcPr>
            <w:tcW w:w="2368" w:type="dxa"/>
            <w:hideMark/>
          </w:tcPr>
          <w:p w14:paraId="700AEB14"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With woody biomass</w:t>
            </w:r>
          </w:p>
        </w:tc>
        <w:tc>
          <w:tcPr>
            <w:tcW w:w="2073" w:type="dxa"/>
            <w:hideMark/>
          </w:tcPr>
          <w:p w14:paraId="6DE94969" w14:textId="77777777" w:rsidR="00784FA9" w:rsidRPr="00D604EE" w:rsidRDefault="00784FA9" w:rsidP="007E3239">
            <w:pPr>
              <w:pStyle w:val="TableText"/>
              <w:spacing w:before="40" w:after="40" w:line="256" w:lineRule="auto"/>
              <w:jc w:val="right"/>
              <w:rPr>
                <w:rFonts w:cs="Arial Bold"/>
                <w:szCs w:val="16"/>
              </w:rPr>
            </w:pPr>
            <w:r w:rsidRPr="00D604EE">
              <w:t>1,372.087</w:t>
            </w:r>
          </w:p>
        </w:tc>
        <w:tc>
          <w:tcPr>
            <w:tcW w:w="2575" w:type="dxa"/>
            <w:hideMark/>
          </w:tcPr>
          <w:p w14:paraId="29B237C2" w14:textId="77777777" w:rsidR="00784FA9" w:rsidRPr="00D604EE" w:rsidRDefault="00784FA9" w:rsidP="007E3239">
            <w:pPr>
              <w:pStyle w:val="TableText"/>
              <w:spacing w:before="40" w:after="40" w:line="256" w:lineRule="auto"/>
              <w:jc w:val="right"/>
              <w:rPr>
                <w:rFonts w:cs="Arial Bold"/>
                <w:szCs w:val="16"/>
              </w:rPr>
            </w:pPr>
            <w:r w:rsidRPr="00D604EE">
              <w:t>5.1</w:t>
            </w:r>
          </w:p>
        </w:tc>
      </w:tr>
      <w:tr w:rsidR="00784FA9" w:rsidRPr="00D604EE" w14:paraId="3096E913" w14:textId="77777777" w:rsidTr="00082955">
        <w:tc>
          <w:tcPr>
            <w:tcW w:w="1924" w:type="dxa"/>
          </w:tcPr>
          <w:p w14:paraId="083D7E9F" w14:textId="77777777" w:rsidR="00784FA9" w:rsidRPr="00D604EE" w:rsidRDefault="00784FA9" w:rsidP="007E3239">
            <w:pPr>
              <w:pStyle w:val="TableText"/>
              <w:spacing w:before="40" w:after="40" w:line="256" w:lineRule="auto"/>
              <w:rPr>
                <w:rFonts w:cs="Arial Bold"/>
                <w:szCs w:val="16"/>
              </w:rPr>
            </w:pPr>
          </w:p>
        </w:tc>
        <w:tc>
          <w:tcPr>
            <w:tcW w:w="2368" w:type="dxa"/>
            <w:hideMark/>
          </w:tcPr>
          <w:p w14:paraId="3A2F5A47" w14:textId="77777777" w:rsidR="00784FA9" w:rsidRPr="00D604EE" w:rsidRDefault="00784FA9" w:rsidP="007E3239">
            <w:pPr>
              <w:pStyle w:val="TableText"/>
              <w:spacing w:before="40" w:after="40" w:line="256" w:lineRule="auto"/>
              <w:rPr>
                <w:rFonts w:cs="Arial Bold"/>
                <w:i/>
                <w:szCs w:val="16"/>
              </w:rPr>
            </w:pPr>
            <w:r w:rsidRPr="00D604EE">
              <w:rPr>
                <w:rFonts w:cs="Arial Bold"/>
                <w:i/>
                <w:szCs w:val="16"/>
              </w:rPr>
              <w:t>Subtotal</w:t>
            </w:r>
          </w:p>
        </w:tc>
        <w:tc>
          <w:tcPr>
            <w:tcW w:w="2073" w:type="dxa"/>
            <w:hideMark/>
          </w:tcPr>
          <w:p w14:paraId="45A71854" w14:textId="77777777" w:rsidR="00784FA9" w:rsidRPr="00D604EE" w:rsidRDefault="00784FA9" w:rsidP="007E3239">
            <w:pPr>
              <w:pStyle w:val="TableText"/>
              <w:spacing w:before="40" w:after="40" w:line="256" w:lineRule="auto"/>
              <w:jc w:val="right"/>
              <w:rPr>
                <w:rFonts w:cs="Arial Bold"/>
                <w:i/>
                <w:szCs w:val="16"/>
              </w:rPr>
            </w:pPr>
            <w:r w:rsidRPr="00D604EE">
              <w:t>14,584.282</w:t>
            </w:r>
          </w:p>
        </w:tc>
        <w:tc>
          <w:tcPr>
            <w:tcW w:w="2575" w:type="dxa"/>
            <w:hideMark/>
          </w:tcPr>
          <w:p w14:paraId="365D33BF" w14:textId="77777777" w:rsidR="00784FA9" w:rsidRPr="00D604EE" w:rsidRDefault="00784FA9" w:rsidP="007E3239">
            <w:pPr>
              <w:pStyle w:val="TableText"/>
              <w:spacing w:before="40" w:after="40" w:line="256" w:lineRule="auto"/>
              <w:jc w:val="right"/>
              <w:rPr>
                <w:rFonts w:cs="Arial Bold"/>
                <w:i/>
                <w:szCs w:val="16"/>
              </w:rPr>
            </w:pPr>
            <w:r w:rsidRPr="00D604EE">
              <w:t>54.2</w:t>
            </w:r>
          </w:p>
        </w:tc>
      </w:tr>
      <w:tr w:rsidR="00784FA9" w:rsidRPr="00D604EE" w14:paraId="3B4F009C" w14:textId="77777777" w:rsidTr="00082955">
        <w:tc>
          <w:tcPr>
            <w:tcW w:w="1924" w:type="dxa"/>
            <w:hideMark/>
          </w:tcPr>
          <w:p w14:paraId="28784AB5"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Wetlands</w:t>
            </w:r>
          </w:p>
        </w:tc>
        <w:tc>
          <w:tcPr>
            <w:tcW w:w="2368" w:type="dxa"/>
            <w:hideMark/>
          </w:tcPr>
          <w:p w14:paraId="29D6BC33"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Open water</w:t>
            </w:r>
          </w:p>
        </w:tc>
        <w:tc>
          <w:tcPr>
            <w:tcW w:w="2073" w:type="dxa"/>
            <w:hideMark/>
          </w:tcPr>
          <w:p w14:paraId="2DFEBE14" w14:textId="77777777" w:rsidR="00784FA9" w:rsidRPr="00D604EE" w:rsidRDefault="00784FA9" w:rsidP="007E3239">
            <w:pPr>
              <w:pStyle w:val="TableText"/>
              <w:spacing w:before="40" w:after="40" w:line="256" w:lineRule="auto"/>
              <w:jc w:val="right"/>
              <w:rPr>
                <w:rFonts w:cs="Arial Bold"/>
                <w:szCs w:val="16"/>
              </w:rPr>
            </w:pPr>
            <w:r w:rsidRPr="00D604EE">
              <w:t>534.937</w:t>
            </w:r>
          </w:p>
        </w:tc>
        <w:tc>
          <w:tcPr>
            <w:tcW w:w="2575" w:type="dxa"/>
            <w:hideMark/>
          </w:tcPr>
          <w:p w14:paraId="20CEDF08" w14:textId="77777777" w:rsidR="00784FA9" w:rsidRPr="00D604EE" w:rsidRDefault="00784FA9" w:rsidP="007E3239">
            <w:pPr>
              <w:pStyle w:val="TableText"/>
              <w:spacing w:before="40" w:after="40" w:line="256" w:lineRule="auto"/>
              <w:jc w:val="right"/>
              <w:rPr>
                <w:rFonts w:cs="Arial Bold"/>
                <w:szCs w:val="16"/>
              </w:rPr>
            </w:pPr>
            <w:r w:rsidRPr="00D604EE">
              <w:t>2.0</w:t>
            </w:r>
          </w:p>
        </w:tc>
      </w:tr>
      <w:tr w:rsidR="00784FA9" w:rsidRPr="00D604EE" w14:paraId="673F01BA" w14:textId="77777777" w:rsidTr="00082955">
        <w:tc>
          <w:tcPr>
            <w:tcW w:w="1924" w:type="dxa"/>
          </w:tcPr>
          <w:p w14:paraId="60D73E2E" w14:textId="77777777" w:rsidR="00784FA9" w:rsidRPr="00D604EE" w:rsidRDefault="00784FA9" w:rsidP="007E3239">
            <w:pPr>
              <w:pStyle w:val="TableText"/>
              <w:spacing w:before="40" w:after="40" w:line="256" w:lineRule="auto"/>
              <w:rPr>
                <w:rFonts w:cs="Arial Bold"/>
                <w:szCs w:val="16"/>
              </w:rPr>
            </w:pPr>
          </w:p>
        </w:tc>
        <w:tc>
          <w:tcPr>
            <w:tcW w:w="2368" w:type="dxa"/>
            <w:hideMark/>
          </w:tcPr>
          <w:p w14:paraId="3C795EED"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Vegetated</w:t>
            </w:r>
          </w:p>
        </w:tc>
        <w:tc>
          <w:tcPr>
            <w:tcW w:w="2073" w:type="dxa"/>
            <w:hideMark/>
          </w:tcPr>
          <w:p w14:paraId="173B7960" w14:textId="77777777" w:rsidR="00784FA9" w:rsidRPr="00D604EE" w:rsidRDefault="00784FA9" w:rsidP="007E3239">
            <w:pPr>
              <w:pStyle w:val="TableText"/>
              <w:spacing w:before="40" w:after="40" w:line="256" w:lineRule="auto"/>
              <w:jc w:val="right"/>
              <w:rPr>
                <w:rFonts w:cs="Arial Bold"/>
                <w:color w:val="000000"/>
                <w:szCs w:val="16"/>
              </w:rPr>
            </w:pPr>
            <w:r w:rsidRPr="00D604EE">
              <w:t>223.674</w:t>
            </w:r>
          </w:p>
        </w:tc>
        <w:tc>
          <w:tcPr>
            <w:tcW w:w="2575" w:type="dxa"/>
            <w:hideMark/>
          </w:tcPr>
          <w:p w14:paraId="5FAC1218" w14:textId="77777777" w:rsidR="00784FA9" w:rsidRPr="00D604EE" w:rsidRDefault="00784FA9" w:rsidP="007E3239">
            <w:pPr>
              <w:pStyle w:val="TableText"/>
              <w:spacing w:before="40" w:after="40" w:line="256" w:lineRule="auto"/>
              <w:jc w:val="right"/>
              <w:rPr>
                <w:rFonts w:cs="Arial Bold"/>
                <w:szCs w:val="16"/>
              </w:rPr>
            </w:pPr>
            <w:r w:rsidRPr="00D604EE">
              <w:t>0.8</w:t>
            </w:r>
          </w:p>
        </w:tc>
      </w:tr>
      <w:tr w:rsidR="00784FA9" w:rsidRPr="00D604EE" w14:paraId="0C73A5B8" w14:textId="77777777" w:rsidTr="00082955">
        <w:tc>
          <w:tcPr>
            <w:tcW w:w="1924" w:type="dxa"/>
          </w:tcPr>
          <w:p w14:paraId="773222B2" w14:textId="77777777" w:rsidR="00784FA9" w:rsidRPr="00D604EE" w:rsidRDefault="00784FA9" w:rsidP="007E3239">
            <w:pPr>
              <w:pStyle w:val="TableText"/>
              <w:spacing w:before="40" w:after="40" w:line="256" w:lineRule="auto"/>
              <w:rPr>
                <w:rFonts w:cs="Arial Bold"/>
                <w:szCs w:val="16"/>
              </w:rPr>
            </w:pPr>
          </w:p>
        </w:tc>
        <w:tc>
          <w:tcPr>
            <w:tcW w:w="2368" w:type="dxa"/>
            <w:hideMark/>
          </w:tcPr>
          <w:p w14:paraId="5969F69B" w14:textId="77777777" w:rsidR="00784FA9" w:rsidRPr="00D604EE" w:rsidRDefault="00784FA9" w:rsidP="007E3239">
            <w:pPr>
              <w:pStyle w:val="TableText"/>
              <w:spacing w:before="40" w:after="40" w:line="256" w:lineRule="auto"/>
              <w:rPr>
                <w:rFonts w:cs="Arial Bold"/>
                <w:i/>
                <w:szCs w:val="16"/>
              </w:rPr>
            </w:pPr>
            <w:r w:rsidRPr="00D604EE">
              <w:rPr>
                <w:rFonts w:cs="Arial Bold"/>
                <w:i/>
                <w:szCs w:val="16"/>
              </w:rPr>
              <w:t>Subtotal</w:t>
            </w:r>
          </w:p>
        </w:tc>
        <w:tc>
          <w:tcPr>
            <w:tcW w:w="2073" w:type="dxa"/>
            <w:hideMark/>
          </w:tcPr>
          <w:p w14:paraId="51268088" w14:textId="77777777" w:rsidR="00784FA9" w:rsidRPr="00D604EE" w:rsidRDefault="00784FA9" w:rsidP="007E3239">
            <w:pPr>
              <w:pStyle w:val="TableText"/>
              <w:spacing w:before="40" w:after="40" w:line="256" w:lineRule="auto"/>
              <w:jc w:val="right"/>
              <w:rPr>
                <w:rFonts w:cs="Arial Bold"/>
                <w:i/>
                <w:color w:val="000000"/>
                <w:szCs w:val="16"/>
              </w:rPr>
            </w:pPr>
            <w:r w:rsidRPr="00D604EE">
              <w:t>758.611</w:t>
            </w:r>
          </w:p>
        </w:tc>
        <w:tc>
          <w:tcPr>
            <w:tcW w:w="2575" w:type="dxa"/>
            <w:hideMark/>
          </w:tcPr>
          <w:p w14:paraId="4D1DD4A5" w14:textId="77777777" w:rsidR="00784FA9" w:rsidRPr="00D604EE" w:rsidRDefault="00784FA9" w:rsidP="007E3239">
            <w:pPr>
              <w:pStyle w:val="TableText"/>
              <w:spacing w:before="40" w:after="40" w:line="256" w:lineRule="auto"/>
              <w:jc w:val="right"/>
              <w:rPr>
                <w:rFonts w:cs="Arial Bold"/>
                <w:i/>
                <w:szCs w:val="16"/>
              </w:rPr>
            </w:pPr>
            <w:r w:rsidRPr="00D604EE">
              <w:t>2.8</w:t>
            </w:r>
          </w:p>
        </w:tc>
      </w:tr>
      <w:tr w:rsidR="00784FA9" w:rsidRPr="00D604EE" w14:paraId="5412F5C2" w14:textId="77777777" w:rsidTr="00082955">
        <w:tc>
          <w:tcPr>
            <w:tcW w:w="1924" w:type="dxa"/>
            <w:hideMark/>
          </w:tcPr>
          <w:p w14:paraId="4BA94D46"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Settlements</w:t>
            </w:r>
          </w:p>
        </w:tc>
        <w:tc>
          <w:tcPr>
            <w:tcW w:w="2368" w:type="dxa"/>
          </w:tcPr>
          <w:p w14:paraId="39065092" w14:textId="77777777" w:rsidR="00784FA9" w:rsidRPr="00D604EE" w:rsidRDefault="00784FA9" w:rsidP="007E3239">
            <w:pPr>
              <w:pStyle w:val="TableText"/>
              <w:spacing w:before="40" w:after="40" w:line="256" w:lineRule="auto"/>
              <w:rPr>
                <w:rFonts w:cs="Arial Bold"/>
                <w:szCs w:val="16"/>
              </w:rPr>
            </w:pPr>
          </w:p>
        </w:tc>
        <w:tc>
          <w:tcPr>
            <w:tcW w:w="2073" w:type="dxa"/>
            <w:hideMark/>
          </w:tcPr>
          <w:p w14:paraId="424DB839" w14:textId="77777777" w:rsidR="00784FA9" w:rsidRPr="00D604EE" w:rsidRDefault="00784FA9" w:rsidP="007E3239">
            <w:pPr>
              <w:pStyle w:val="TableText"/>
              <w:spacing w:before="40" w:after="40" w:line="256" w:lineRule="auto"/>
              <w:jc w:val="right"/>
              <w:rPr>
                <w:rFonts w:cs="Arial Bold"/>
                <w:szCs w:val="16"/>
              </w:rPr>
            </w:pPr>
            <w:r w:rsidRPr="00D604EE">
              <w:t>237.512</w:t>
            </w:r>
          </w:p>
        </w:tc>
        <w:tc>
          <w:tcPr>
            <w:tcW w:w="2575" w:type="dxa"/>
            <w:hideMark/>
          </w:tcPr>
          <w:p w14:paraId="3AA12B9D" w14:textId="77777777" w:rsidR="00784FA9" w:rsidRPr="00D604EE" w:rsidRDefault="00784FA9" w:rsidP="007E3239">
            <w:pPr>
              <w:pStyle w:val="TableText"/>
              <w:spacing w:before="40" w:after="40" w:line="256" w:lineRule="auto"/>
              <w:jc w:val="right"/>
              <w:rPr>
                <w:rFonts w:cs="Arial Bold"/>
                <w:szCs w:val="16"/>
              </w:rPr>
            </w:pPr>
            <w:r w:rsidRPr="00D604EE">
              <w:t>0.9</w:t>
            </w:r>
          </w:p>
        </w:tc>
      </w:tr>
      <w:tr w:rsidR="00784FA9" w:rsidRPr="00D604EE" w14:paraId="1FBAEE55" w14:textId="77777777" w:rsidTr="00082955">
        <w:tc>
          <w:tcPr>
            <w:tcW w:w="1924" w:type="dxa"/>
            <w:hideMark/>
          </w:tcPr>
          <w:p w14:paraId="766AF781" w14:textId="77777777" w:rsidR="00784FA9" w:rsidRPr="00D604EE" w:rsidRDefault="00784FA9" w:rsidP="007E3239">
            <w:pPr>
              <w:pStyle w:val="TableText"/>
              <w:spacing w:before="40" w:after="40" w:line="256" w:lineRule="auto"/>
              <w:rPr>
                <w:rFonts w:cs="Arial Bold"/>
                <w:szCs w:val="16"/>
              </w:rPr>
            </w:pPr>
            <w:r w:rsidRPr="00D604EE">
              <w:rPr>
                <w:rFonts w:cs="Arial Bold"/>
                <w:szCs w:val="16"/>
              </w:rPr>
              <w:t>Other land</w:t>
            </w:r>
          </w:p>
        </w:tc>
        <w:tc>
          <w:tcPr>
            <w:tcW w:w="2368" w:type="dxa"/>
          </w:tcPr>
          <w:p w14:paraId="00A5FC83" w14:textId="77777777" w:rsidR="00784FA9" w:rsidRPr="00D604EE" w:rsidRDefault="00784FA9" w:rsidP="007E3239">
            <w:pPr>
              <w:pStyle w:val="TableText"/>
              <w:spacing w:before="40" w:after="40" w:line="256" w:lineRule="auto"/>
              <w:rPr>
                <w:rFonts w:cs="Arial Bold"/>
                <w:szCs w:val="16"/>
              </w:rPr>
            </w:pPr>
          </w:p>
        </w:tc>
        <w:tc>
          <w:tcPr>
            <w:tcW w:w="2073" w:type="dxa"/>
            <w:hideMark/>
          </w:tcPr>
          <w:p w14:paraId="7AD4EFC0" w14:textId="77777777" w:rsidR="00784FA9" w:rsidRPr="00D604EE" w:rsidRDefault="00784FA9" w:rsidP="007E3239">
            <w:pPr>
              <w:pStyle w:val="TableText"/>
              <w:spacing w:before="40" w:after="40" w:line="256" w:lineRule="auto"/>
              <w:jc w:val="right"/>
              <w:rPr>
                <w:rFonts w:cs="Arial Bold"/>
                <w:szCs w:val="16"/>
              </w:rPr>
            </w:pPr>
            <w:r w:rsidRPr="00D604EE">
              <w:t>896.671</w:t>
            </w:r>
          </w:p>
        </w:tc>
        <w:tc>
          <w:tcPr>
            <w:tcW w:w="2575" w:type="dxa"/>
            <w:hideMark/>
          </w:tcPr>
          <w:p w14:paraId="55FE8180" w14:textId="77777777" w:rsidR="00784FA9" w:rsidRPr="00D604EE" w:rsidRDefault="00784FA9" w:rsidP="007E3239">
            <w:pPr>
              <w:pStyle w:val="TableText"/>
              <w:spacing w:before="40" w:after="40" w:line="256" w:lineRule="auto"/>
              <w:jc w:val="right"/>
              <w:rPr>
                <w:rFonts w:cs="Arial Bold"/>
                <w:szCs w:val="16"/>
              </w:rPr>
            </w:pPr>
            <w:r w:rsidRPr="00D604EE">
              <w:t>3.3</w:t>
            </w:r>
          </w:p>
        </w:tc>
      </w:tr>
      <w:tr w:rsidR="00784FA9" w:rsidRPr="00D604EE" w14:paraId="65DF8752" w14:textId="77777777" w:rsidTr="00082955">
        <w:tc>
          <w:tcPr>
            <w:tcW w:w="1924" w:type="dxa"/>
            <w:hideMark/>
          </w:tcPr>
          <w:p w14:paraId="6155FCC2" w14:textId="77777777" w:rsidR="00784FA9" w:rsidRPr="00D604EE" w:rsidRDefault="00784FA9" w:rsidP="007E3239">
            <w:pPr>
              <w:pStyle w:val="Tableboldblue"/>
              <w:spacing w:before="40" w:after="40" w:line="256" w:lineRule="auto"/>
              <w:jc w:val="right"/>
            </w:pPr>
            <w:r w:rsidRPr="00D604EE">
              <w:t>Total</w:t>
            </w:r>
          </w:p>
        </w:tc>
        <w:tc>
          <w:tcPr>
            <w:tcW w:w="2368" w:type="dxa"/>
          </w:tcPr>
          <w:p w14:paraId="3ACE7C10" w14:textId="77777777" w:rsidR="00784FA9" w:rsidRPr="00D604EE" w:rsidRDefault="00784FA9" w:rsidP="007E3239">
            <w:pPr>
              <w:pStyle w:val="Tableboldblue"/>
              <w:spacing w:before="40" w:after="40" w:line="256" w:lineRule="auto"/>
              <w:jc w:val="right"/>
            </w:pPr>
          </w:p>
        </w:tc>
        <w:tc>
          <w:tcPr>
            <w:tcW w:w="2073" w:type="dxa"/>
            <w:hideMark/>
          </w:tcPr>
          <w:p w14:paraId="1E7A46A2" w14:textId="77777777" w:rsidR="00784FA9" w:rsidRPr="00D604EE" w:rsidRDefault="00784FA9" w:rsidP="007E3239">
            <w:pPr>
              <w:pStyle w:val="Tableboldblue"/>
              <w:spacing w:before="40" w:after="40" w:line="256" w:lineRule="auto"/>
              <w:jc w:val="right"/>
              <w:rPr>
                <w:rFonts w:cs="Arial Bold"/>
              </w:rPr>
            </w:pPr>
            <w:r w:rsidRPr="00D604EE">
              <w:t>26,925.168</w:t>
            </w:r>
          </w:p>
        </w:tc>
        <w:tc>
          <w:tcPr>
            <w:tcW w:w="2575" w:type="dxa"/>
            <w:hideMark/>
          </w:tcPr>
          <w:p w14:paraId="53F48001" w14:textId="77777777" w:rsidR="00784FA9" w:rsidRPr="00D604EE" w:rsidRDefault="00784FA9" w:rsidP="007E3239">
            <w:pPr>
              <w:pStyle w:val="Tableboldblue"/>
              <w:spacing w:before="40" w:after="40" w:line="256" w:lineRule="auto"/>
              <w:jc w:val="right"/>
              <w:rPr>
                <w:rFonts w:cs="Arial Bold"/>
              </w:rPr>
            </w:pPr>
            <w:r w:rsidRPr="00D604EE">
              <w:t>100.0</w:t>
            </w:r>
          </w:p>
        </w:tc>
      </w:tr>
    </w:tbl>
    <w:p w14:paraId="4B573047" w14:textId="77777777" w:rsidR="00784FA9" w:rsidRPr="00D604EE" w:rsidRDefault="00784FA9" w:rsidP="00784FA9">
      <w:pPr>
        <w:pStyle w:val="Noteundertable"/>
        <w:spacing w:after="80"/>
      </w:pPr>
      <w:r w:rsidRPr="00D604EE">
        <w:rPr>
          <w:b/>
        </w:rPr>
        <w:t>Note:</w:t>
      </w:r>
      <w:r w:rsidRPr="00D604EE">
        <w:tab/>
        <w:t>Areas as at 31 December 2020. Columns may not total due to rounding. Percentages presented are calculated from unrounded values.</w:t>
      </w:r>
    </w:p>
    <w:p w14:paraId="6AE3E550" w14:textId="77777777" w:rsidR="00784FA9" w:rsidRDefault="00784FA9" w:rsidP="0022696C">
      <w:pPr>
        <w:pStyle w:val="Figure"/>
        <w:spacing w:after="60"/>
      </w:pPr>
      <w:bookmarkStart w:id="1335" w:name="_Toc99696046"/>
      <w:r w:rsidRPr="00D604EE">
        <w:t>Figure 6.1.2</w:t>
      </w:r>
      <w:r w:rsidRPr="00D604EE">
        <w:tab/>
        <w:t>Comparison of afforestation and deforestation rates with the changing NZ ETS unit price from 2004 to 2020</w:t>
      </w:r>
      <w:bookmarkEnd w:id="1335"/>
    </w:p>
    <w:p w14:paraId="12B16252" w14:textId="24D6364E" w:rsidR="0096353A" w:rsidRPr="000123AA" w:rsidRDefault="004B48CC" w:rsidP="00AB21ED">
      <w:pPr>
        <w:pStyle w:val="BodyText"/>
        <w:spacing w:after="60"/>
        <w:jc w:val="center"/>
      </w:pPr>
      <w:r>
        <w:pict w14:anchorId="6AD44C4D">
          <v:shape id="_x0000_i1121" type="#_x0000_t75" style="width:401.85pt;height:219.35pt">
            <v:imagedata r:id="rId197" o:title="Picture1"/>
          </v:shape>
        </w:pict>
      </w:r>
    </w:p>
    <w:p w14:paraId="2E90D148" w14:textId="77777777" w:rsidR="00784FA9" w:rsidRPr="00D604EE" w:rsidRDefault="00784FA9" w:rsidP="00675AD0">
      <w:pPr>
        <w:pStyle w:val="Heading3"/>
        <w:spacing w:line="320" w:lineRule="atLeast"/>
      </w:pPr>
      <w:r w:rsidRPr="00D604EE">
        <w:lastRenderedPageBreak/>
        <w:t>6.1.2</w:t>
      </w:r>
      <w:r w:rsidRPr="00D604EE">
        <w:tab/>
        <w:t xml:space="preserve">Methodological </w:t>
      </w:r>
      <w:r w:rsidRPr="0096353A">
        <w:t>tiers</w:t>
      </w:r>
      <w:r w:rsidRPr="00D604EE">
        <w:t xml:space="preserve"> and coverage of pools applied in the LULUCF sector</w:t>
      </w:r>
    </w:p>
    <w:p w14:paraId="04B98922" w14:textId="77777777" w:rsidR="00784FA9" w:rsidRPr="00D604EE" w:rsidRDefault="00784FA9" w:rsidP="00784FA9">
      <w:pPr>
        <w:pStyle w:val="BodyText"/>
        <w:spacing w:before="100" w:after="100"/>
      </w:pPr>
      <w:r w:rsidRPr="00D604EE">
        <w:t xml:space="preserve">New Zealand uses a combination of Tier 1, Tier 2 and Tier 3 methods, as described in the 2006 IPCC General Guidance and Reporting (IPCC, 2006b), for estimating net emissions for the LULUCF sector. A Tier 1 approach has been used to estimate carbon stock change in the four biomass pools (above-ground and below-ground biomass, dead wood and litter) for all land uses except </w:t>
      </w:r>
      <w:r w:rsidRPr="00D604EE">
        <w:rPr>
          <w:i/>
        </w:rPr>
        <w:t>Forest land</w:t>
      </w:r>
      <w:r w:rsidRPr="00D604EE">
        <w:t xml:space="preserve">, </w:t>
      </w:r>
      <w:r w:rsidRPr="00D604EE">
        <w:rPr>
          <w:i/>
          <w:iCs/>
        </w:rPr>
        <w:t>Perennial cropland</w:t>
      </w:r>
      <w:r w:rsidRPr="00D604EE">
        <w:t xml:space="preserve"> and </w:t>
      </w:r>
      <w:r w:rsidRPr="00D604EE">
        <w:rPr>
          <w:i/>
          <w:iCs/>
        </w:rPr>
        <w:t>Grassland with woody biomass</w:t>
      </w:r>
      <w:r w:rsidRPr="00D604EE">
        <w:t>, which use Tier 2 or Tier 3 approaches.</w:t>
      </w:r>
    </w:p>
    <w:p w14:paraId="5CCE85E3" w14:textId="77777777" w:rsidR="00784FA9" w:rsidRPr="00D604EE" w:rsidRDefault="00784FA9" w:rsidP="00784FA9">
      <w:pPr>
        <w:pStyle w:val="BodyText"/>
        <w:spacing w:before="100" w:after="100"/>
      </w:pPr>
      <w:r w:rsidRPr="00D604EE">
        <w:t>For all land uses, Tier 1 approaches are used to estimate carbon stock changes in organic soils, and a Tier 2 modelling approach is applied to estimate soil organic carbon (SOC) changes from mineral soils. This model is described in more detail in annex A3.2.4 ‘Mineral soils’.</w:t>
      </w:r>
    </w:p>
    <w:p w14:paraId="79F33991" w14:textId="77777777" w:rsidR="00784FA9" w:rsidRPr="00D604EE" w:rsidRDefault="00784FA9" w:rsidP="00784FA9">
      <w:pPr>
        <w:pStyle w:val="BodyText"/>
        <w:spacing w:before="100" w:after="100"/>
      </w:pPr>
      <w:r w:rsidRPr="00D604EE">
        <w:t>New Zealand’s forests are disaggregated into four reporting categories to represent the different growth characteristics of the forest types more accurately: pre-1990 planted forest, pre-1990 natural forest, post-1989 planted forest and post-1989 natural forest. The terms ‘post-1989’ and ‘pre-1990’ distinguish between forests that existed at 31 December 1989 and those that did not. The terms ‘natural’ and ‘planted’ forest are used to identify whether the trees were established from natural regeneration or from managed planting. The term ‘harvesting’ refers to temporary forest loss as part of ongoing forestry land use, whereas ‘deforestation’ refers to permanent destocking of forest as a result of land-use change.</w:t>
      </w:r>
    </w:p>
    <w:p w14:paraId="02F4634B" w14:textId="77777777" w:rsidR="00784FA9" w:rsidRPr="00D604EE" w:rsidRDefault="00784FA9" w:rsidP="00784FA9">
      <w:pPr>
        <w:spacing w:before="100" w:after="100"/>
      </w:pPr>
      <w:r w:rsidRPr="00D604EE">
        <w:t xml:space="preserve">Similarly, the species compositions reported in the </w:t>
      </w:r>
      <w:r w:rsidRPr="00D604EE">
        <w:rPr>
          <w:i/>
          <w:iCs/>
        </w:rPr>
        <w:t>Grassland</w:t>
      </w:r>
      <w:r w:rsidRPr="00D604EE">
        <w:t xml:space="preserve"> category are diverse, ranging from different grass types to woody trees that do not meet New Zealand’s forest definition. To allow for this, the </w:t>
      </w:r>
      <w:r w:rsidRPr="00D604EE">
        <w:rPr>
          <w:i/>
          <w:iCs/>
        </w:rPr>
        <w:t>Grassland</w:t>
      </w:r>
      <w:r w:rsidRPr="00D604EE">
        <w:t xml:space="preserve"> category is divided into four types for modelling the emissions from land-use change.</w:t>
      </w:r>
    </w:p>
    <w:p w14:paraId="7491F235" w14:textId="77777777" w:rsidR="00784FA9" w:rsidRPr="00D604EE" w:rsidRDefault="00784FA9" w:rsidP="00784FA9">
      <w:pPr>
        <w:pStyle w:val="Heading4"/>
      </w:pPr>
      <w:r w:rsidRPr="00D604EE">
        <w:t>Calculation of national emission estimates</w:t>
      </w:r>
    </w:p>
    <w:p w14:paraId="1E05E3C7" w14:textId="77777777" w:rsidR="00784FA9" w:rsidRPr="00D604EE" w:rsidRDefault="00784FA9" w:rsidP="00784FA9">
      <w:pPr>
        <w:pStyle w:val="BodyText"/>
        <w:spacing w:before="100" w:after="100"/>
      </w:pPr>
      <w:r w:rsidRPr="00D604EE">
        <w:t>The methods used to estimate carbon (C) by pool for each land use are summarised in table 6.1.4. Biomass carbon stocks in each land use before conversion, emission factors to estimate carbon stock changes and annual growth in biomass carbon stocks after land use conversion are summarised in the relevant category sections in this chapter. Activity data are estimated using wall-to-wall mapping from satellite imagery and other ancillary data sets and are described in more detail in section 6.2 and annex A3.2.1.</w:t>
      </w:r>
    </w:p>
    <w:p w14:paraId="630011E6" w14:textId="77777777" w:rsidR="00784FA9" w:rsidRPr="00D604EE" w:rsidRDefault="00784FA9" w:rsidP="00784FA9">
      <w:pPr>
        <w:pStyle w:val="Table"/>
      </w:pPr>
      <w:bookmarkStart w:id="1336" w:name="_Toc280630449"/>
      <w:bookmarkStart w:id="1337" w:name="_Toc310423392"/>
      <w:bookmarkStart w:id="1338" w:name="_Toc318362685"/>
      <w:bookmarkStart w:id="1339" w:name="_Toc342470747"/>
      <w:bookmarkStart w:id="1340" w:name="_Toc352504987"/>
      <w:bookmarkStart w:id="1341" w:name="_Toc378853276"/>
      <w:bookmarkStart w:id="1342" w:name="_Toc391024074"/>
      <w:bookmarkStart w:id="1343" w:name="_Toc410028817"/>
      <w:bookmarkStart w:id="1344" w:name="_Toc414531445"/>
      <w:bookmarkStart w:id="1345" w:name="_Toc443645357"/>
      <w:bookmarkStart w:id="1346" w:name="_Toc474914576"/>
      <w:bookmarkStart w:id="1347" w:name="_Toc481751540"/>
      <w:bookmarkStart w:id="1348" w:name="_Toc522010597"/>
      <w:bookmarkStart w:id="1349" w:name="_Toc5269502"/>
      <w:bookmarkStart w:id="1350" w:name="_Toc33529378"/>
      <w:bookmarkStart w:id="1351" w:name="_Toc36224584"/>
      <w:bookmarkStart w:id="1352" w:name="_Toc65243579"/>
      <w:bookmarkStart w:id="1353" w:name="_Toc99659273"/>
      <w:r w:rsidRPr="00D604EE">
        <w:t>Table 6.1.4</w:t>
      </w:r>
      <w:r w:rsidRPr="00D604EE">
        <w:tab/>
        <w:t>Relationships between land use, carbon pool and method of calculation used by New Zealand</w:t>
      </w:r>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p>
    <w:tbl>
      <w:tblPr>
        <w:tblW w:w="8505" w:type="dxa"/>
        <w:tblInd w:w="108" w:type="dxa"/>
        <w:tblBorders>
          <w:top w:val="single" w:sz="4" w:space="0" w:color="auto"/>
          <w:left w:val="single" w:sz="4" w:space="0" w:color="auto"/>
          <w:bottom w:val="single" w:sz="4" w:space="0" w:color="auto"/>
          <w:right w:val="single" w:sz="4" w:space="0" w:color="auto"/>
        </w:tblBorders>
        <w:tblLayout w:type="fixed"/>
        <w:tblCellMar>
          <w:left w:w="57" w:type="dxa"/>
          <w:right w:w="0" w:type="dxa"/>
        </w:tblCellMar>
        <w:tblLook w:val="04A0" w:firstRow="1" w:lastRow="0" w:firstColumn="1" w:lastColumn="0" w:noHBand="0" w:noVBand="1"/>
      </w:tblPr>
      <w:tblGrid>
        <w:gridCol w:w="1111"/>
        <w:gridCol w:w="1276"/>
        <w:gridCol w:w="1276"/>
        <w:gridCol w:w="1248"/>
        <w:gridCol w:w="1303"/>
        <w:gridCol w:w="1134"/>
        <w:gridCol w:w="1157"/>
      </w:tblGrid>
      <w:tr w:rsidR="00784FA9" w:rsidRPr="00623D34" w14:paraId="158B16D2" w14:textId="77777777" w:rsidTr="00643302">
        <w:trPr>
          <w:tblHeader/>
        </w:trPr>
        <w:tc>
          <w:tcPr>
            <w:tcW w:w="1111" w:type="dxa"/>
            <w:tcBorders>
              <w:top w:val="single" w:sz="4" w:space="0" w:color="44546A"/>
              <w:left w:val="nil"/>
              <w:bottom w:val="single" w:sz="4" w:space="0" w:color="1B556B"/>
              <w:right w:val="single" w:sz="4" w:space="0" w:color="1B556B"/>
            </w:tcBorders>
            <w:shd w:val="clear" w:color="auto" w:fill="1B556B"/>
            <w:vAlign w:val="bottom"/>
            <w:hideMark/>
          </w:tcPr>
          <w:p w14:paraId="14BB7EC5" w14:textId="77777777" w:rsidR="00784FA9" w:rsidRPr="00623D34" w:rsidRDefault="00784FA9" w:rsidP="007E3239">
            <w:pPr>
              <w:pStyle w:val="TableTextBold"/>
              <w:keepNext/>
              <w:spacing w:before="40" w:after="40"/>
              <w:rPr>
                <w:rFonts w:cs="Calibri"/>
                <w:noProof w:val="0"/>
                <w:color w:val="FFFFFF"/>
                <w:szCs w:val="16"/>
              </w:rPr>
            </w:pPr>
            <w:r w:rsidRPr="00623D34">
              <w:rPr>
                <w:rFonts w:cs="Calibri"/>
                <w:noProof w:val="0"/>
                <w:color w:val="FFFFFF"/>
                <w:szCs w:val="16"/>
              </w:rPr>
              <w:t>Reporting category</w:t>
            </w:r>
          </w:p>
        </w:tc>
        <w:tc>
          <w:tcPr>
            <w:tcW w:w="2552" w:type="dxa"/>
            <w:gridSpan w:val="2"/>
            <w:tcBorders>
              <w:top w:val="single" w:sz="4" w:space="0" w:color="44546A"/>
              <w:left w:val="single" w:sz="4" w:space="0" w:color="1B556B"/>
              <w:bottom w:val="single" w:sz="4" w:space="0" w:color="1B556B"/>
              <w:right w:val="single" w:sz="4" w:space="0" w:color="44546A"/>
            </w:tcBorders>
            <w:shd w:val="clear" w:color="auto" w:fill="1B556B"/>
            <w:vAlign w:val="bottom"/>
            <w:hideMark/>
          </w:tcPr>
          <w:p w14:paraId="77FB19B7" w14:textId="77777777" w:rsidR="00784FA9" w:rsidRPr="00623D34" w:rsidRDefault="00784FA9" w:rsidP="007E3239">
            <w:pPr>
              <w:pStyle w:val="TableTextBold"/>
              <w:keepNext/>
              <w:spacing w:before="40" w:after="40"/>
              <w:jc w:val="center"/>
              <w:rPr>
                <w:rFonts w:cs="Calibri"/>
                <w:noProof w:val="0"/>
                <w:color w:val="FFFFFF"/>
                <w:szCs w:val="16"/>
              </w:rPr>
            </w:pPr>
            <w:r w:rsidRPr="00623D34">
              <w:rPr>
                <w:rFonts w:cs="Calibri"/>
                <w:noProof w:val="0"/>
                <w:color w:val="FFFFFF"/>
                <w:szCs w:val="16"/>
              </w:rPr>
              <w:t>Living biomass</w:t>
            </w:r>
          </w:p>
        </w:tc>
        <w:tc>
          <w:tcPr>
            <w:tcW w:w="2551" w:type="dxa"/>
            <w:gridSpan w:val="2"/>
            <w:tcBorders>
              <w:top w:val="single" w:sz="4" w:space="0" w:color="44546A"/>
              <w:left w:val="single" w:sz="4" w:space="0" w:color="44546A"/>
              <w:bottom w:val="single" w:sz="4" w:space="0" w:color="1B556B"/>
              <w:right w:val="single" w:sz="4" w:space="0" w:color="1B556B"/>
            </w:tcBorders>
            <w:shd w:val="clear" w:color="auto" w:fill="1B556B"/>
            <w:vAlign w:val="bottom"/>
            <w:hideMark/>
          </w:tcPr>
          <w:p w14:paraId="77166CA0" w14:textId="77777777" w:rsidR="00784FA9" w:rsidRPr="00623D34" w:rsidRDefault="00784FA9" w:rsidP="007E3239">
            <w:pPr>
              <w:pStyle w:val="TableTextBold"/>
              <w:keepNext/>
              <w:spacing w:before="40" w:after="40"/>
              <w:jc w:val="center"/>
              <w:rPr>
                <w:rFonts w:cs="Calibri"/>
                <w:noProof w:val="0"/>
                <w:color w:val="FFFFFF"/>
                <w:szCs w:val="16"/>
              </w:rPr>
            </w:pPr>
            <w:r w:rsidRPr="00623D34">
              <w:rPr>
                <w:rFonts w:cs="Calibri"/>
                <w:noProof w:val="0"/>
                <w:color w:val="FFFFFF"/>
                <w:szCs w:val="16"/>
              </w:rPr>
              <w:t>Dead organic matter</w:t>
            </w:r>
          </w:p>
        </w:tc>
        <w:tc>
          <w:tcPr>
            <w:tcW w:w="2291" w:type="dxa"/>
            <w:gridSpan w:val="2"/>
            <w:tcBorders>
              <w:top w:val="single" w:sz="4" w:space="0" w:color="44546A"/>
              <w:left w:val="single" w:sz="4" w:space="0" w:color="1B556B"/>
              <w:bottom w:val="single" w:sz="4" w:space="0" w:color="1B556B"/>
              <w:right w:val="nil"/>
            </w:tcBorders>
            <w:shd w:val="clear" w:color="auto" w:fill="1B556B"/>
            <w:vAlign w:val="bottom"/>
            <w:hideMark/>
          </w:tcPr>
          <w:p w14:paraId="32522CBD" w14:textId="77777777" w:rsidR="00784FA9" w:rsidRPr="00623D34" w:rsidRDefault="00784FA9" w:rsidP="007E3239">
            <w:pPr>
              <w:pStyle w:val="TableTextBold"/>
              <w:keepNext/>
              <w:spacing w:before="40" w:after="40"/>
              <w:jc w:val="center"/>
              <w:rPr>
                <w:rFonts w:cs="Calibri"/>
                <w:noProof w:val="0"/>
                <w:color w:val="FFFFFF"/>
                <w:szCs w:val="16"/>
              </w:rPr>
            </w:pPr>
            <w:r w:rsidRPr="00623D34">
              <w:rPr>
                <w:rFonts w:cs="Calibri"/>
                <w:noProof w:val="0"/>
                <w:color w:val="FFFFFF"/>
                <w:szCs w:val="16"/>
              </w:rPr>
              <w:t>Soils</w:t>
            </w:r>
          </w:p>
        </w:tc>
      </w:tr>
      <w:tr w:rsidR="00784FA9" w:rsidRPr="00623D34" w14:paraId="1D66960E" w14:textId="77777777" w:rsidTr="00AA3D94">
        <w:trPr>
          <w:tblHeader/>
        </w:trPr>
        <w:tc>
          <w:tcPr>
            <w:tcW w:w="1111" w:type="dxa"/>
            <w:vMerge w:val="restart"/>
            <w:tcBorders>
              <w:top w:val="single" w:sz="4" w:space="0" w:color="1B556B"/>
              <w:left w:val="nil"/>
              <w:bottom w:val="single" w:sz="4" w:space="0" w:color="1B556B"/>
              <w:right w:val="single" w:sz="4" w:space="0" w:color="1B556B"/>
            </w:tcBorders>
            <w:vAlign w:val="bottom"/>
            <w:hideMark/>
          </w:tcPr>
          <w:p w14:paraId="13F726B2" w14:textId="77777777" w:rsidR="00784FA9" w:rsidRPr="00623D34" w:rsidRDefault="00784FA9" w:rsidP="007E3239">
            <w:pPr>
              <w:pStyle w:val="TableTextBold"/>
              <w:spacing w:after="40"/>
              <w:rPr>
                <w:rFonts w:cs="Calibri"/>
                <w:noProof w:val="0"/>
                <w:szCs w:val="16"/>
              </w:rPr>
            </w:pPr>
            <w:r w:rsidRPr="00623D34">
              <w:rPr>
                <w:rFonts w:cs="Calibri"/>
                <w:noProof w:val="0"/>
                <w:szCs w:val="16"/>
              </w:rPr>
              <w:t>Land use</w:t>
            </w:r>
          </w:p>
        </w:tc>
        <w:tc>
          <w:tcPr>
            <w:tcW w:w="1276" w:type="dxa"/>
            <w:vMerge w:val="restart"/>
            <w:tcBorders>
              <w:top w:val="single" w:sz="4" w:space="0" w:color="1B556B"/>
              <w:left w:val="single" w:sz="4" w:space="0" w:color="1B556B"/>
              <w:bottom w:val="single" w:sz="4" w:space="0" w:color="1B556B"/>
              <w:right w:val="nil"/>
            </w:tcBorders>
            <w:vAlign w:val="bottom"/>
            <w:hideMark/>
          </w:tcPr>
          <w:p w14:paraId="0B943B2E" w14:textId="77777777" w:rsidR="00784FA9" w:rsidRPr="00623D34" w:rsidRDefault="00784FA9" w:rsidP="007E3239">
            <w:pPr>
              <w:pStyle w:val="TableTextBold"/>
              <w:keepNext/>
              <w:spacing w:before="40" w:after="40"/>
              <w:jc w:val="center"/>
              <w:rPr>
                <w:rFonts w:cs="Calibri"/>
                <w:noProof w:val="0"/>
                <w:szCs w:val="16"/>
              </w:rPr>
            </w:pPr>
            <w:r w:rsidRPr="00623D34">
              <w:rPr>
                <w:rFonts w:cs="Calibri"/>
                <w:noProof w:val="0"/>
                <w:szCs w:val="16"/>
              </w:rPr>
              <w:t>Above-ground biomass</w:t>
            </w:r>
          </w:p>
        </w:tc>
        <w:tc>
          <w:tcPr>
            <w:tcW w:w="1276" w:type="dxa"/>
            <w:vMerge w:val="restart"/>
            <w:tcBorders>
              <w:top w:val="single" w:sz="4" w:space="0" w:color="1B556B"/>
              <w:left w:val="nil"/>
              <w:bottom w:val="single" w:sz="4" w:space="0" w:color="1B556B"/>
              <w:right w:val="nil"/>
            </w:tcBorders>
            <w:vAlign w:val="bottom"/>
            <w:hideMark/>
          </w:tcPr>
          <w:p w14:paraId="50AF163F" w14:textId="77777777" w:rsidR="00784FA9" w:rsidRPr="00623D34" w:rsidRDefault="00784FA9" w:rsidP="007E3239">
            <w:pPr>
              <w:pStyle w:val="TableTextBold"/>
              <w:keepNext/>
              <w:spacing w:before="40" w:after="40"/>
              <w:jc w:val="center"/>
              <w:rPr>
                <w:rFonts w:cs="Calibri"/>
                <w:noProof w:val="0"/>
                <w:szCs w:val="16"/>
              </w:rPr>
            </w:pPr>
            <w:r w:rsidRPr="00623D34">
              <w:rPr>
                <w:rFonts w:cs="Calibri"/>
                <w:noProof w:val="0"/>
                <w:szCs w:val="16"/>
              </w:rPr>
              <w:t>Below-ground biomass</w:t>
            </w:r>
          </w:p>
        </w:tc>
        <w:tc>
          <w:tcPr>
            <w:tcW w:w="1248" w:type="dxa"/>
            <w:vMerge w:val="restart"/>
            <w:tcBorders>
              <w:top w:val="single" w:sz="4" w:space="0" w:color="1B556B"/>
              <w:left w:val="nil"/>
              <w:bottom w:val="single" w:sz="4" w:space="0" w:color="1B556B"/>
              <w:right w:val="nil"/>
            </w:tcBorders>
            <w:vAlign w:val="bottom"/>
            <w:hideMark/>
          </w:tcPr>
          <w:p w14:paraId="67F5541D" w14:textId="77777777" w:rsidR="00784FA9" w:rsidRPr="00623D34" w:rsidRDefault="00784FA9" w:rsidP="007E3239">
            <w:pPr>
              <w:pStyle w:val="TableTextBold"/>
              <w:keepNext/>
              <w:spacing w:before="40" w:after="40"/>
              <w:jc w:val="center"/>
              <w:rPr>
                <w:rFonts w:cs="Calibri"/>
                <w:noProof w:val="0"/>
                <w:szCs w:val="16"/>
              </w:rPr>
            </w:pPr>
            <w:r w:rsidRPr="00623D34">
              <w:rPr>
                <w:rFonts w:cs="Calibri"/>
                <w:noProof w:val="0"/>
                <w:szCs w:val="16"/>
              </w:rPr>
              <w:t>Dead wood</w:t>
            </w:r>
          </w:p>
        </w:tc>
        <w:tc>
          <w:tcPr>
            <w:tcW w:w="1303" w:type="dxa"/>
            <w:vMerge w:val="restart"/>
            <w:tcBorders>
              <w:top w:val="single" w:sz="4" w:space="0" w:color="1B556B"/>
              <w:left w:val="nil"/>
              <w:bottom w:val="single" w:sz="4" w:space="0" w:color="1B556B"/>
              <w:right w:val="single" w:sz="4" w:space="0" w:color="1B556B"/>
            </w:tcBorders>
            <w:vAlign w:val="bottom"/>
            <w:hideMark/>
          </w:tcPr>
          <w:p w14:paraId="49A8C596" w14:textId="77777777" w:rsidR="00784FA9" w:rsidRPr="00623D34" w:rsidRDefault="00784FA9" w:rsidP="007E3239">
            <w:pPr>
              <w:pStyle w:val="TableTextBold"/>
              <w:keepNext/>
              <w:spacing w:before="40" w:after="40"/>
              <w:jc w:val="center"/>
              <w:rPr>
                <w:rFonts w:cs="Calibri"/>
                <w:noProof w:val="0"/>
                <w:szCs w:val="16"/>
              </w:rPr>
            </w:pPr>
            <w:r w:rsidRPr="00623D34">
              <w:rPr>
                <w:rFonts w:cs="Calibri"/>
                <w:noProof w:val="0"/>
                <w:szCs w:val="16"/>
              </w:rPr>
              <w:t>Litter</w:t>
            </w:r>
          </w:p>
        </w:tc>
        <w:tc>
          <w:tcPr>
            <w:tcW w:w="2291" w:type="dxa"/>
            <w:gridSpan w:val="2"/>
            <w:tcBorders>
              <w:top w:val="single" w:sz="4" w:space="0" w:color="1B556B"/>
              <w:left w:val="single" w:sz="4" w:space="0" w:color="1B556B"/>
              <w:bottom w:val="nil"/>
              <w:right w:val="nil"/>
            </w:tcBorders>
            <w:vAlign w:val="bottom"/>
            <w:hideMark/>
          </w:tcPr>
          <w:p w14:paraId="6AB0D84B" w14:textId="77777777" w:rsidR="00784FA9" w:rsidRPr="00623D34" w:rsidRDefault="00784FA9" w:rsidP="007E3239">
            <w:pPr>
              <w:pStyle w:val="TableTextBold"/>
              <w:keepNext/>
              <w:spacing w:before="40" w:after="40"/>
              <w:jc w:val="center"/>
              <w:rPr>
                <w:rFonts w:cs="Calibri"/>
                <w:noProof w:val="0"/>
                <w:szCs w:val="16"/>
              </w:rPr>
            </w:pPr>
            <w:r w:rsidRPr="00623D34">
              <w:rPr>
                <w:rFonts w:cs="Calibri"/>
                <w:noProof w:val="0"/>
                <w:szCs w:val="16"/>
              </w:rPr>
              <w:t>Soil organic matter</w:t>
            </w:r>
          </w:p>
        </w:tc>
      </w:tr>
      <w:tr w:rsidR="00784FA9" w:rsidRPr="00623D34" w14:paraId="36AACC89" w14:textId="77777777" w:rsidTr="00AA3D94">
        <w:trPr>
          <w:tblHeader/>
        </w:trPr>
        <w:tc>
          <w:tcPr>
            <w:tcW w:w="1111" w:type="dxa"/>
            <w:vMerge/>
            <w:tcBorders>
              <w:top w:val="single" w:sz="4" w:space="0" w:color="1B556B"/>
              <w:left w:val="nil"/>
              <w:bottom w:val="single" w:sz="4" w:space="0" w:color="1B556B"/>
              <w:right w:val="single" w:sz="4" w:space="0" w:color="1B556B"/>
            </w:tcBorders>
            <w:vAlign w:val="center"/>
            <w:hideMark/>
          </w:tcPr>
          <w:p w14:paraId="039764A4" w14:textId="77777777" w:rsidR="00784FA9" w:rsidRPr="00623D34" w:rsidRDefault="00784FA9" w:rsidP="007E3239">
            <w:pPr>
              <w:spacing w:before="40" w:after="40"/>
              <w:rPr>
                <w:rFonts w:cs="Calibri"/>
                <w:b/>
                <w:sz w:val="16"/>
                <w:szCs w:val="16"/>
              </w:rPr>
            </w:pPr>
          </w:p>
        </w:tc>
        <w:tc>
          <w:tcPr>
            <w:tcW w:w="1276" w:type="dxa"/>
            <w:vMerge/>
            <w:tcBorders>
              <w:top w:val="single" w:sz="4" w:space="0" w:color="1B556B"/>
              <w:left w:val="single" w:sz="4" w:space="0" w:color="1B556B"/>
              <w:bottom w:val="single" w:sz="4" w:space="0" w:color="1B556B"/>
            </w:tcBorders>
            <w:vAlign w:val="center"/>
            <w:hideMark/>
          </w:tcPr>
          <w:p w14:paraId="61FC9AFA" w14:textId="77777777" w:rsidR="00784FA9" w:rsidRPr="00623D34" w:rsidRDefault="00784FA9" w:rsidP="007E3239">
            <w:pPr>
              <w:spacing w:before="40" w:after="40"/>
              <w:rPr>
                <w:rFonts w:cs="Calibri"/>
                <w:b/>
                <w:sz w:val="16"/>
                <w:szCs w:val="16"/>
              </w:rPr>
            </w:pPr>
          </w:p>
        </w:tc>
        <w:tc>
          <w:tcPr>
            <w:tcW w:w="1276" w:type="dxa"/>
            <w:vMerge/>
            <w:tcBorders>
              <w:top w:val="single" w:sz="4" w:space="0" w:color="1B556B"/>
              <w:bottom w:val="single" w:sz="4" w:space="0" w:color="1B556B"/>
            </w:tcBorders>
            <w:vAlign w:val="center"/>
            <w:hideMark/>
          </w:tcPr>
          <w:p w14:paraId="32D259E3" w14:textId="77777777" w:rsidR="00784FA9" w:rsidRPr="00623D34" w:rsidRDefault="00784FA9" w:rsidP="007E3239">
            <w:pPr>
              <w:spacing w:before="40" w:after="40"/>
              <w:rPr>
                <w:rFonts w:cs="Calibri"/>
                <w:b/>
                <w:sz w:val="16"/>
                <w:szCs w:val="16"/>
              </w:rPr>
            </w:pPr>
          </w:p>
        </w:tc>
        <w:tc>
          <w:tcPr>
            <w:tcW w:w="1248" w:type="dxa"/>
            <w:vMerge/>
            <w:tcBorders>
              <w:top w:val="single" w:sz="4" w:space="0" w:color="1B556B"/>
              <w:bottom w:val="single" w:sz="4" w:space="0" w:color="1B556B"/>
            </w:tcBorders>
            <w:vAlign w:val="center"/>
            <w:hideMark/>
          </w:tcPr>
          <w:p w14:paraId="4ACF36FA" w14:textId="77777777" w:rsidR="00784FA9" w:rsidRPr="00623D34" w:rsidRDefault="00784FA9" w:rsidP="007E3239">
            <w:pPr>
              <w:spacing w:before="40" w:after="40"/>
              <w:rPr>
                <w:rFonts w:cs="Calibri"/>
                <w:b/>
                <w:sz w:val="16"/>
                <w:szCs w:val="16"/>
              </w:rPr>
            </w:pPr>
          </w:p>
        </w:tc>
        <w:tc>
          <w:tcPr>
            <w:tcW w:w="1303" w:type="dxa"/>
            <w:vMerge/>
            <w:tcBorders>
              <w:top w:val="single" w:sz="4" w:space="0" w:color="1B556B"/>
              <w:bottom w:val="single" w:sz="4" w:space="0" w:color="1B556B"/>
              <w:right w:val="single" w:sz="4" w:space="0" w:color="1B556B"/>
            </w:tcBorders>
            <w:vAlign w:val="center"/>
            <w:hideMark/>
          </w:tcPr>
          <w:p w14:paraId="0A7CE2AD" w14:textId="77777777" w:rsidR="00784FA9" w:rsidRPr="00623D34" w:rsidRDefault="00784FA9" w:rsidP="007E3239">
            <w:pPr>
              <w:spacing w:before="40" w:after="40"/>
              <w:rPr>
                <w:rFonts w:cs="Calibri"/>
                <w:b/>
                <w:sz w:val="16"/>
                <w:szCs w:val="16"/>
              </w:rPr>
            </w:pPr>
          </w:p>
        </w:tc>
        <w:tc>
          <w:tcPr>
            <w:tcW w:w="1134" w:type="dxa"/>
            <w:tcBorders>
              <w:top w:val="nil"/>
              <w:left w:val="single" w:sz="4" w:space="0" w:color="1B556B"/>
              <w:bottom w:val="single" w:sz="4" w:space="0" w:color="1B556B"/>
              <w:right w:val="nil"/>
            </w:tcBorders>
            <w:vAlign w:val="bottom"/>
            <w:hideMark/>
          </w:tcPr>
          <w:p w14:paraId="7410AFC1" w14:textId="77777777" w:rsidR="00784FA9" w:rsidRPr="00623D34" w:rsidRDefault="00784FA9" w:rsidP="007E3239">
            <w:pPr>
              <w:pStyle w:val="TableTextBold"/>
              <w:keepNext/>
              <w:spacing w:before="40" w:after="40" w:line="256" w:lineRule="auto"/>
              <w:jc w:val="center"/>
              <w:rPr>
                <w:rFonts w:cs="Calibri"/>
                <w:noProof w:val="0"/>
                <w:szCs w:val="16"/>
              </w:rPr>
            </w:pPr>
            <w:r w:rsidRPr="00623D34">
              <w:rPr>
                <w:rFonts w:cs="Calibri"/>
                <w:noProof w:val="0"/>
                <w:szCs w:val="16"/>
              </w:rPr>
              <w:t>Mineral soils</w:t>
            </w:r>
          </w:p>
        </w:tc>
        <w:tc>
          <w:tcPr>
            <w:tcW w:w="1157" w:type="dxa"/>
            <w:tcBorders>
              <w:top w:val="nil"/>
              <w:left w:val="nil"/>
              <w:bottom w:val="single" w:sz="4" w:space="0" w:color="1B556B"/>
              <w:right w:val="nil"/>
            </w:tcBorders>
            <w:tcMar>
              <w:top w:w="0" w:type="dxa"/>
              <w:left w:w="108" w:type="dxa"/>
              <w:bottom w:w="0" w:type="dxa"/>
              <w:right w:w="57" w:type="dxa"/>
            </w:tcMar>
            <w:vAlign w:val="bottom"/>
            <w:hideMark/>
          </w:tcPr>
          <w:p w14:paraId="3F33860F" w14:textId="77777777" w:rsidR="00784FA9" w:rsidRPr="00623D34" w:rsidRDefault="00784FA9" w:rsidP="007E3239">
            <w:pPr>
              <w:pStyle w:val="TableTextBold"/>
              <w:keepNext/>
              <w:spacing w:before="40" w:after="40" w:line="256" w:lineRule="auto"/>
              <w:jc w:val="center"/>
              <w:rPr>
                <w:rFonts w:cs="Calibri"/>
                <w:noProof w:val="0"/>
                <w:szCs w:val="16"/>
              </w:rPr>
            </w:pPr>
            <w:r w:rsidRPr="00623D34">
              <w:rPr>
                <w:rFonts w:cs="Calibri"/>
                <w:noProof w:val="0"/>
                <w:szCs w:val="16"/>
              </w:rPr>
              <w:t>Organic soils</w:t>
            </w:r>
          </w:p>
        </w:tc>
      </w:tr>
      <w:tr w:rsidR="00784FA9" w:rsidRPr="00623D34" w14:paraId="5305B017" w14:textId="77777777" w:rsidTr="00AA3D94">
        <w:tc>
          <w:tcPr>
            <w:tcW w:w="1111" w:type="dxa"/>
            <w:tcBorders>
              <w:top w:val="single" w:sz="4" w:space="0" w:color="1B556B"/>
              <w:left w:val="nil"/>
              <w:bottom w:val="single" w:sz="4" w:space="0" w:color="1B556B"/>
              <w:right w:val="single" w:sz="4" w:space="0" w:color="1B556B"/>
            </w:tcBorders>
            <w:hideMark/>
          </w:tcPr>
          <w:p w14:paraId="51756A80" w14:textId="77777777" w:rsidR="00784FA9" w:rsidRPr="00623D34" w:rsidRDefault="00784FA9" w:rsidP="00AA3D94">
            <w:pPr>
              <w:pStyle w:val="TableText"/>
              <w:spacing w:before="20" w:after="20"/>
              <w:rPr>
                <w:rFonts w:cs="Calibri"/>
                <w:szCs w:val="16"/>
              </w:rPr>
            </w:pPr>
            <w:r w:rsidRPr="00623D34">
              <w:rPr>
                <w:rFonts w:cs="Calibri"/>
                <w:szCs w:val="16"/>
              </w:rPr>
              <w:t xml:space="preserve">Pre-1990 natural forest </w:t>
            </w:r>
          </w:p>
        </w:tc>
        <w:tc>
          <w:tcPr>
            <w:tcW w:w="1276" w:type="dxa"/>
            <w:tcBorders>
              <w:top w:val="single" w:sz="4" w:space="0" w:color="1B556B"/>
              <w:left w:val="single" w:sz="4" w:space="0" w:color="1B556B"/>
              <w:bottom w:val="single" w:sz="4" w:space="0" w:color="1B556B"/>
              <w:right w:val="nil"/>
            </w:tcBorders>
            <w:tcMar>
              <w:top w:w="0" w:type="dxa"/>
              <w:left w:w="108" w:type="dxa"/>
              <w:bottom w:w="0" w:type="dxa"/>
              <w:right w:w="28" w:type="dxa"/>
            </w:tcMar>
            <w:hideMark/>
          </w:tcPr>
          <w:p w14:paraId="20839C53" w14:textId="77777777" w:rsidR="00784FA9" w:rsidRPr="00623D34" w:rsidRDefault="00784FA9" w:rsidP="00AA3D94">
            <w:pPr>
              <w:pStyle w:val="TableText"/>
              <w:keepNext/>
              <w:spacing w:before="20" w:after="20"/>
              <w:rPr>
                <w:rFonts w:cs="Calibri"/>
                <w:szCs w:val="16"/>
              </w:rPr>
            </w:pPr>
            <w:r w:rsidRPr="00623D34">
              <w:rPr>
                <w:rFonts w:cs="Calibri"/>
                <w:szCs w:val="16"/>
              </w:rPr>
              <w:t>Plot measurements; allometric equations</w:t>
            </w:r>
          </w:p>
        </w:tc>
        <w:tc>
          <w:tcPr>
            <w:tcW w:w="1276" w:type="dxa"/>
            <w:tcBorders>
              <w:top w:val="single" w:sz="4" w:space="0" w:color="1B556B"/>
              <w:left w:val="nil"/>
              <w:bottom w:val="single" w:sz="4" w:space="0" w:color="1B556B"/>
              <w:right w:val="nil"/>
            </w:tcBorders>
            <w:tcMar>
              <w:top w:w="0" w:type="dxa"/>
              <w:left w:w="108" w:type="dxa"/>
              <w:bottom w:w="0" w:type="dxa"/>
              <w:right w:w="28" w:type="dxa"/>
            </w:tcMar>
            <w:hideMark/>
          </w:tcPr>
          <w:p w14:paraId="7410DE3C" w14:textId="77777777" w:rsidR="00784FA9" w:rsidRPr="00623D34" w:rsidRDefault="00784FA9" w:rsidP="00AA3D94">
            <w:pPr>
              <w:pStyle w:val="TableText"/>
              <w:keepNext/>
              <w:spacing w:before="20" w:after="20"/>
              <w:rPr>
                <w:rFonts w:cs="Calibri"/>
                <w:szCs w:val="16"/>
              </w:rPr>
            </w:pPr>
            <w:r w:rsidRPr="00623D34">
              <w:rPr>
                <w:rFonts w:cs="Calibri"/>
                <w:szCs w:val="16"/>
              </w:rPr>
              <w:t xml:space="preserve">Estimated as the ratio of below-ground biomass to above-ground </w:t>
            </w:r>
            <w:r w:rsidRPr="00623D34" w:rsidDel="00F72565">
              <w:rPr>
                <w:rFonts w:cs="Calibri"/>
                <w:szCs w:val="16"/>
              </w:rPr>
              <w:t>biomass</w:t>
            </w:r>
          </w:p>
        </w:tc>
        <w:tc>
          <w:tcPr>
            <w:tcW w:w="1248" w:type="dxa"/>
            <w:tcBorders>
              <w:top w:val="single" w:sz="4" w:space="0" w:color="1B556B"/>
              <w:left w:val="nil"/>
              <w:bottom w:val="single" w:sz="4" w:space="0" w:color="1B556B"/>
              <w:right w:val="nil"/>
            </w:tcBorders>
            <w:tcMar>
              <w:top w:w="0" w:type="dxa"/>
              <w:left w:w="108" w:type="dxa"/>
              <w:bottom w:w="0" w:type="dxa"/>
              <w:right w:w="28" w:type="dxa"/>
            </w:tcMar>
            <w:hideMark/>
          </w:tcPr>
          <w:p w14:paraId="462AABF1" w14:textId="77777777" w:rsidR="00784FA9" w:rsidRPr="00623D34" w:rsidRDefault="00784FA9" w:rsidP="00AA3D94">
            <w:pPr>
              <w:pStyle w:val="TableText"/>
              <w:keepNext/>
              <w:spacing w:before="20" w:after="20"/>
              <w:rPr>
                <w:rFonts w:cs="Calibri"/>
                <w:szCs w:val="16"/>
              </w:rPr>
            </w:pPr>
            <w:r w:rsidRPr="00623D34">
              <w:rPr>
                <w:rFonts w:cs="Calibri"/>
                <w:szCs w:val="16"/>
              </w:rPr>
              <w:t>Modelled from plot measurements; allometric equations</w:t>
            </w:r>
          </w:p>
        </w:tc>
        <w:tc>
          <w:tcPr>
            <w:tcW w:w="1303" w:type="dxa"/>
            <w:tcBorders>
              <w:top w:val="single" w:sz="4" w:space="0" w:color="1B556B"/>
              <w:left w:val="nil"/>
              <w:bottom w:val="single" w:sz="4" w:space="0" w:color="1B556B"/>
              <w:right w:val="single" w:sz="4" w:space="0" w:color="1B556B"/>
            </w:tcBorders>
            <w:tcMar>
              <w:top w:w="0" w:type="dxa"/>
              <w:left w:w="108" w:type="dxa"/>
              <w:bottom w:w="0" w:type="dxa"/>
              <w:right w:w="28" w:type="dxa"/>
            </w:tcMar>
            <w:hideMark/>
          </w:tcPr>
          <w:p w14:paraId="6E131809" w14:textId="77777777" w:rsidR="00784FA9" w:rsidRPr="00623D34" w:rsidRDefault="00784FA9" w:rsidP="00AA3D94">
            <w:pPr>
              <w:pStyle w:val="TableText"/>
              <w:keepNext/>
              <w:spacing w:before="20" w:after="20"/>
              <w:rPr>
                <w:rFonts w:cs="Calibri"/>
                <w:szCs w:val="16"/>
              </w:rPr>
            </w:pPr>
            <w:r w:rsidRPr="00623D34">
              <w:rPr>
                <w:rFonts w:cs="Calibri"/>
                <w:szCs w:val="16"/>
              </w:rPr>
              <w:t>Plot samples; laboratory analysis of samples collected at plots</w:t>
            </w:r>
          </w:p>
        </w:tc>
        <w:tc>
          <w:tcPr>
            <w:tcW w:w="1134" w:type="dxa"/>
            <w:tcBorders>
              <w:top w:val="single" w:sz="4" w:space="0" w:color="1B556B"/>
              <w:left w:val="single" w:sz="4" w:space="0" w:color="1B556B"/>
              <w:bottom w:val="single" w:sz="4" w:space="0" w:color="1B556B"/>
              <w:right w:val="single" w:sz="4" w:space="0" w:color="1B556B"/>
            </w:tcBorders>
            <w:hideMark/>
          </w:tcPr>
          <w:p w14:paraId="6D8E0927" w14:textId="77777777" w:rsidR="00784FA9" w:rsidRPr="00623D34" w:rsidRDefault="00784FA9" w:rsidP="00AA3D94">
            <w:pPr>
              <w:pStyle w:val="TableText"/>
              <w:keepNext/>
              <w:spacing w:before="20" w:after="20"/>
              <w:rPr>
                <w:rFonts w:cs="Calibri"/>
                <w:szCs w:val="16"/>
              </w:rPr>
            </w:pPr>
            <w:r w:rsidRPr="00623D34">
              <w:rPr>
                <w:rFonts w:cs="Calibri"/>
                <w:szCs w:val="16"/>
              </w:rPr>
              <w:t>Tier 2, country-specific data and model</w:t>
            </w:r>
          </w:p>
        </w:tc>
        <w:tc>
          <w:tcPr>
            <w:tcW w:w="1157" w:type="dxa"/>
            <w:tcBorders>
              <w:top w:val="single" w:sz="4" w:space="0" w:color="1B556B"/>
              <w:left w:val="single" w:sz="4" w:space="0" w:color="1B556B"/>
              <w:bottom w:val="single" w:sz="4" w:space="0" w:color="1B556B"/>
              <w:right w:val="nil"/>
            </w:tcBorders>
            <w:hideMark/>
          </w:tcPr>
          <w:p w14:paraId="7D020EFB" w14:textId="77777777" w:rsidR="00784FA9" w:rsidRPr="00623D34" w:rsidRDefault="00784FA9" w:rsidP="00AA3D94">
            <w:pPr>
              <w:pStyle w:val="TableText"/>
              <w:keepNext/>
              <w:spacing w:before="20" w:after="20"/>
              <w:ind w:right="-107"/>
              <w:rPr>
                <w:rFonts w:cs="Calibri"/>
                <w:szCs w:val="16"/>
              </w:rPr>
            </w:pPr>
            <w:r w:rsidRPr="00623D34">
              <w:rPr>
                <w:rFonts w:cs="Calibri"/>
                <w:szCs w:val="16"/>
              </w:rPr>
              <w:t>Not applicable</w:t>
            </w:r>
          </w:p>
        </w:tc>
      </w:tr>
      <w:tr w:rsidR="00784FA9" w:rsidRPr="00623D34" w14:paraId="57C5B565" w14:textId="77777777" w:rsidTr="00AA3D94">
        <w:tc>
          <w:tcPr>
            <w:tcW w:w="1111" w:type="dxa"/>
            <w:tcBorders>
              <w:top w:val="single" w:sz="4" w:space="0" w:color="1B556B"/>
              <w:left w:val="nil"/>
              <w:bottom w:val="single" w:sz="4" w:space="0" w:color="1B556B"/>
              <w:right w:val="single" w:sz="4" w:space="0" w:color="1B556B"/>
            </w:tcBorders>
          </w:tcPr>
          <w:p w14:paraId="1C413468" w14:textId="77777777" w:rsidR="00784FA9" w:rsidRPr="00623D34" w:rsidRDefault="00784FA9" w:rsidP="00AA3D94">
            <w:pPr>
              <w:pStyle w:val="TableText"/>
              <w:spacing w:before="20" w:after="20"/>
              <w:rPr>
                <w:rFonts w:cs="Calibri"/>
                <w:szCs w:val="16"/>
              </w:rPr>
            </w:pPr>
            <w:r w:rsidRPr="00623D34">
              <w:rPr>
                <w:rFonts w:cs="Calibri"/>
                <w:szCs w:val="16"/>
              </w:rPr>
              <w:t>Pre-1990 planted forest</w:t>
            </w:r>
          </w:p>
        </w:tc>
        <w:tc>
          <w:tcPr>
            <w:tcW w:w="1276" w:type="dxa"/>
            <w:tcBorders>
              <w:top w:val="single" w:sz="4" w:space="0" w:color="1B556B"/>
              <w:left w:val="single" w:sz="4" w:space="0" w:color="1B556B"/>
              <w:bottom w:val="single" w:sz="4" w:space="0" w:color="1B556B"/>
              <w:right w:val="nil"/>
            </w:tcBorders>
            <w:tcMar>
              <w:top w:w="0" w:type="dxa"/>
              <w:left w:w="108" w:type="dxa"/>
              <w:bottom w:w="0" w:type="dxa"/>
              <w:right w:w="28" w:type="dxa"/>
            </w:tcMar>
          </w:tcPr>
          <w:p w14:paraId="0C84294A" w14:textId="77777777" w:rsidR="00784FA9" w:rsidRPr="00623D34" w:rsidRDefault="00784FA9" w:rsidP="00AA3D94">
            <w:pPr>
              <w:pStyle w:val="TableText"/>
              <w:keepNext/>
              <w:spacing w:before="20" w:after="20"/>
              <w:rPr>
                <w:rFonts w:cs="Calibri"/>
                <w:szCs w:val="16"/>
              </w:rPr>
            </w:pPr>
            <w:r w:rsidRPr="00623D34">
              <w:rPr>
                <w:rFonts w:eastAsia="Segoe UI" w:cs="Calibri"/>
                <w:szCs w:val="16"/>
              </w:rPr>
              <w:t>Modelled through allometric equations, then included in national yield tables</w:t>
            </w:r>
          </w:p>
        </w:tc>
        <w:tc>
          <w:tcPr>
            <w:tcW w:w="1276" w:type="dxa"/>
            <w:tcBorders>
              <w:top w:val="single" w:sz="4" w:space="0" w:color="1B556B"/>
              <w:left w:val="nil"/>
              <w:bottom w:val="single" w:sz="4" w:space="0" w:color="1B556B"/>
              <w:right w:val="nil"/>
            </w:tcBorders>
            <w:tcMar>
              <w:top w:w="0" w:type="dxa"/>
              <w:left w:w="108" w:type="dxa"/>
              <w:bottom w:w="0" w:type="dxa"/>
              <w:right w:w="28" w:type="dxa"/>
            </w:tcMar>
          </w:tcPr>
          <w:p w14:paraId="4530B581" w14:textId="77777777" w:rsidR="00784FA9" w:rsidRPr="00623D34" w:rsidRDefault="00784FA9" w:rsidP="00AA3D94">
            <w:pPr>
              <w:pStyle w:val="TableText"/>
              <w:keepNext/>
              <w:spacing w:before="20" w:after="20"/>
              <w:rPr>
                <w:rFonts w:cs="Calibri"/>
                <w:szCs w:val="16"/>
              </w:rPr>
            </w:pPr>
            <w:r w:rsidRPr="00623D34">
              <w:rPr>
                <w:rFonts w:cs="Calibri"/>
                <w:szCs w:val="16"/>
              </w:rPr>
              <w:t>Estimated as the ratio of below-ground biomass to above-ground biomass </w:t>
            </w:r>
          </w:p>
        </w:tc>
        <w:tc>
          <w:tcPr>
            <w:tcW w:w="1248" w:type="dxa"/>
            <w:tcBorders>
              <w:top w:val="single" w:sz="4" w:space="0" w:color="1B556B"/>
              <w:left w:val="nil"/>
              <w:bottom w:val="single" w:sz="4" w:space="0" w:color="1B556B"/>
              <w:right w:val="nil"/>
            </w:tcBorders>
            <w:tcMar>
              <w:top w:w="0" w:type="dxa"/>
              <w:left w:w="108" w:type="dxa"/>
              <w:bottom w:w="0" w:type="dxa"/>
              <w:right w:w="28" w:type="dxa"/>
            </w:tcMar>
          </w:tcPr>
          <w:p w14:paraId="78AFE37C" w14:textId="77777777" w:rsidR="00784FA9" w:rsidRPr="00623D34" w:rsidRDefault="00784FA9" w:rsidP="00AA3D94">
            <w:pPr>
              <w:pStyle w:val="TableText"/>
              <w:keepNext/>
              <w:spacing w:before="20" w:after="20"/>
              <w:rPr>
                <w:rFonts w:cs="Calibri"/>
                <w:szCs w:val="16"/>
              </w:rPr>
            </w:pPr>
            <w:r w:rsidRPr="00623D34">
              <w:rPr>
                <w:rFonts w:cs="Calibri"/>
                <w:szCs w:val="16"/>
              </w:rPr>
              <w:t>Allometric model using plot measurements, included in national yield tables. Harvest residues added to dead wood pool through CRA </w:t>
            </w:r>
          </w:p>
        </w:tc>
        <w:tc>
          <w:tcPr>
            <w:tcW w:w="1303" w:type="dxa"/>
            <w:tcBorders>
              <w:top w:val="single" w:sz="4" w:space="0" w:color="1B556B"/>
              <w:left w:val="nil"/>
              <w:bottom w:val="single" w:sz="4" w:space="0" w:color="1B556B"/>
              <w:right w:val="single" w:sz="4" w:space="0" w:color="1B556B"/>
            </w:tcBorders>
            <w:tcMar>
              <w:top w:w="0" w:type="dxa"/>
              <w:left w:w="108" w:type="dxa"/>
              <w:bottom w:w="0" w:type="dxa"/>
              <w:right w:w="28" w:type="dxa"/>
            </w:tcMar>
          </w:tcPr>
          <w:p w14:paraId="0EB71325" w14:textId="77777777" w:rsidR="00784FA9" w:rsidRPr="00623D34" w:rsidRDefault="00784FA9" w:rsidP="00AA3D94">
            <w:pPr>
              <w:pStyle w:val="TableText"/>
              <w:keepNext/>
              <w:spacing w:before="20" w:after="20"/>
              <w:rPr>
                <w:rFonts w:cs="Calibri"/>
                <w:szCs w:val="16"/>
              </w:rPr>
            </w:pPr>
            <w:r w:rsidRPr="00623D34">
              <w:rPr>
                <w:rFonts w:cs="Calibri"/>
                <w:szCs w:val="16"/>
              </w:rPr>
              <w:t>Allometric model and percentage of above-ground biomass </w:t>
            </w:r>
          </w:p>
        </w:tc>
        <w:tc>
          <w:tcPr>
            <w:tcW w:w="1134" w:type="dxa"/>
            <w:tcBorders>
              <w:top w:val="single" w:sz="4" w:space="0" w:color="1B556B"/>
              <w:left w:val="single" w:sz="4" w:space="0" w:color="1B556B"/>
              <w:bottom w:val="single" w:sz="4" w:space="0" w:color="1B556B"/>
              <w:right w:val="single" w:sz="4" w:space="0" w:color="1B556B"/>
            </w:tcBorders>
          </w:tcPr>
          <w:p w14:paraId="2066391A" w14:textId="77777777" w:rsidR="00784FA9" w:rsidRPr="00623D34" w:rsidRDefault="00784FA9" w:rsidP="00AA3D94">
            <w:pPr>
              <w:pStyle w:val="TableText"/>
              <w:keepNext/>
              <w:spacing w:before="20" w:after="20"/>
              <w:rPr>
                <w:rFonts w:cs="Calibri"/>
                <w:szCs w:val="16"/>
              </w:rPr>
            </w:pPr>
            <w:r w:rsidRPr="00623D34">
              <w:rPr>
                <w:rFonts w:cs="Calibri"/>
                <w:szCs w:val="16"/>
              </w:rPr>
              <w:t>Tier 2, country-specific data and model</w:t>
            </w:r>
          </w:p>
        </w:tc>
        <w:tc>
          <w:tcPr>
            <w:tcW w:w="1157" w:type="dxa"/>
            <w:tcBorders>
              <w:top w:val="single" w:sz="4" w:space="0" w:color="1B556B"/>
              <w:left w:val="single" w:sz="4" w:space="0" w:color="1B556B"/>
              <w:bottom w:val="single" w:sz="4" w:space="0" w:color="1B556B"/>
              <w:right w:val="nil"/>
            </w:tcBorders>
          </w:tcPr>
          <w:p w14:paraId="0CA958F0" w14:textId="77777777" w:rsidR="00784FA9" w:rsidRPr="00623D34" w:rsidRDefault="00784FA9" w:rsidP="00AA3D94">
            <w:pPr>
              <w:pStyle w:val="TableText"/>
              <w:keepNext/>
              <w:spacing w:before="20" w:after="20"/>
              <w:rPr>
                <w:rFonts w:cs="Calibri"/>
                <w:szCs w:val="16"/>
              </w:rPr>
            </w:pPr>
            <w:r w:rsidRPr="00623D34">
              <w:rPr>
                <w:rFonts w:cs="Calibri"/>
                <w:szCs w:val="16"/>
              </w:rPr>
              <w:t>IPCC Tier 1 default parameters</w:t>
            </w:r>
          </w:p>
        </w:tc>
      </w:tr>
      <w:tr w:rsidR="00784FA9" w:rsidRPr="00623D34" w14:paraId="5067EAF2" w14:textId="77777777" w:rsidTr="00AA3D94">
        <w:tc>
          <w:tcPr>
            <w:tcW w:w="1111" w:type="dxa"/>
            <w:tcBorders>
              <w:top w:val="single" w:sz="4" w:space="0" w:color="1B556B"/>
              <w:left w:val="nil"/>
              <w:bottom w:val="single" w:sz="4" w:space="0" w:color="1B556B"/>
              <w:right w:val="single" w:sz="4" w:space="0" w:color="1B556B"/>
            </w:tcBorders>
          </w:tcPr>
          <w:p w14:paraId="56CCC519" w14:textId="77777777" w:rsidR="00784FA9" w:rsidRPr="00623D34" w:rsidRDefault="00784FA9" w:rsidP="007E3239">
            <w:pPr>
              <w:pStyle w:val="TableText"/>
              <w:spacing w:before="40" w:after="40"/>
              <w:rPr>
                <w:rFonts w:cs="Calibri"/>
                <w:szCs w:val="16"/>
              </w:rPr>
            </w:pPr>
            <w:r w:rsidRPr="00623D34">
              <w:rPr>
                <w:rFonts w:cs="Calibri"/>
                <w:szCs w:val="16"/>
              </w:rPr>
              <w:lastRenderedPageBreak/>
              <w:t xml:space="preserve">Post-1989 natural forest </w:t>
            </w:r>
          </w:p>
        </w:tc>
        <w:tc>
          <w:tcPr>
            <w:tcW w:w="1276" w:type="dxa"/>
            <w:tcBorders>
              <w:top w:val="single" w:sz="4" w:space="0" w:color="1B556B"/>
              <w:left w:val="single" w:sz="4" w:space="0" w:color="1B556B"/>
              <w:bottom w:val="single" w:sz="4" w:space="0" w:color="1B556B"/>
              <w:right w:val="nil"/>
            </w:tcBorders>
            <w:tcMar>
              <w:top w:w="0" w:type="dxa"/>
              <w:left w:w="108" w:type="dxa"/>
              <w:bottom w:w="0" w:type="dxa"/>
              <w:right w:w="28" w:type="dxa"/>
            </w:tcMar>
          </w:tcPr>
          <w:p w14:paraId="08B22F05" w14:textId="77777777" w:rsidR="00784FA9" w:rsidRPr="00623D34" w:rsidRDefault="00784FA9" w:rsidP="007E3239">
            <w:pPr>
              <w:pStyle w:val="TableText"/>
              <w:keepNext/>
              <w:spacing w:before="40" w:after="40"/>
              <w:rPr>
                <w:rFonts w:eastAsia="Segoe UI" w:cs="Calibri"/>
                <w:szCs w:val="16"/>
              </w:rPr>
            </w:pPr>
            <w:r w:rsidRPr="00623D34">
              <w:rPr>
                <w:rFonts w:cs="Calibri"/>
                <w:szCs w:val="16"/>
              </w:rPr>
              <w:t>Allometric model</w:t>
            </w:r>
          </w:p>
        </w:tc>
        <w:tc>
          <w:tcPr>
            <w:tcW w:w="1276" w:type="dxa"/>
            <w:tcBorders>
              <w:top w:val="single" w:sz="4" w:space="0" w:color="1B556B"/>
              <w:left w:val="nil"/>
              <w:bottom w:val="single" w:sz="4" w:space="0" w:color="1B556B"/>
              <w:right w:val="nil"/>
            </w:tcBorders>
            <w:tcMar>
              <w:top w:w="0" w:type="dxa"/>
              <w:left w:w="108" w:type="dxa"/>
              <w:bottom w:w="0" w:type="dxa"/>
              <w:right w:w="28" w:type="dxa"/>
            </w:tcMar>
          </w:tcPr>
          <w:p w14:paraId="36C28B9D" w14:textId="77777777" w:rsidR="00784FA9" w:rsidRPr="00623D34" w:rsidRDefault="00784FA9" w:rsidP="007E3239">
            <w:pPr>
              <w:pStyle w:val="TableText"/>
              <w:keepNext/>
              <w:spacing w:before="40" w:after="40"/>
              <w:rPr>
                <w:rFonts w:cs="Calibri"/>
                <w:szCs w:val="16"/>
              </w:rPr>
            </w:pPr>
            <w:r w:rsidRPr="00623D34">
              <w:rPr>
                <w:rFonts w:cs="Calibri"/>
                <w:szCs w:val="16"/>
              </w:rPr>
              <w:t xml:space="preserve">Estimated as the ratio of below-ground biomass to above-ground </w:t>
            </w:r>
            <w:r w:rsidRPr="00623D34" w:rsidDel="004734F1">
              <w:rPr>
                <w:rFonts w:cs="Calibri"/>
                <w:szCs w:val="16"/>
              </w:rPr>
              <w:t>biomass</w:t>
            </w:r>
          </w:p>
        </w:tc>
        <w:tc>
          <w:tcPr>
            <w:tcW w:w="1248" w:type="dxa"/>
            <w:tcBorders>
              <w:top w:val="single" w:sz="4" w:space="0" w:color="1B556B"/>
              <w:left w:val="nil"/>
              <w:bottom w:val="single" w:sz="4" w:space="0" w:color="1B556B"/>
              <w:right w:val="nil"/>
            </w:tcBorders>
            <w:tcMar>
              <w:top w:w="0" w:type="dxa"/>
              <w:left w:w="108" w:type="dxa"/>
              <w:bottom w:w="0" w:type="dxa"/>
              <w:right w:w="28" w:type="dxa"/>
            </w:tcMar>
          </w:tcPr>
          <w:p w14:paraId="6072D3BC" w14:textId="77777777" w:rsidR="00784FA9" w:rsidRPr="00623D34" w:rsidRDefault="00784FA9" w:rsidP="007E3239">
            <w:pPr>
              <w:pStyle w:val="TableText"/>
              <w:keepNext/>
              <w:spacing w:before="40" w:after="40"/>
              <w:rPr>
                <w:rFonts w:cs="Calibri"/>
                <w:szCs w:val="16"/>
              </w:rPr>
            </w:pPr>
            <w:r w:rsidRPr="00623D34">
              <w:rPr>
                <w:rFonts w:cs="Calibri"/>
                <w:szCs w:val="16"/>
              </w:rPr>
              <w:t>Modelled from plot measurements; allometric model</w:t>
            </w:r>
          </w:p>
        </w:tc>
        <w:tc>
          <w:tcPr>
            <w:tcW w:w="1303" w:type="dxa"/>
            <w:tcBorders>
              <w:top w:val="single" w:sz="4" w:space="0" w:color="1B556B"/>
              <w:left w:val="nil"/>
              <w:bottom w:val="single" w:sz="4" w:space="0" w:color="1B556B"/>
              <w:right w:val="single" w:sz="4" w:space="0" w:color="1B556B"/>
            </w:tcBorders>
            <w:tcMar>
              <w:top w:w="0" w:type="dxa"/>
              <w:left w:w="108" w:type="dxa"/>
              <w:bottom w:w="0" w:type="dxa"/>
              <w:right w:w="28" w:type="dxa"/>
            </w:tcMar>
          </w:tcPr>
          <w:p w14:paraId="3031BB00" w14:textId="77777777" w:rsidR="00784FA9" w:rsidRPr="00623D34" w:rsidRDefault="00784FA9" w:rsidP="007E3239">
            <w:pPr>
              <w:pStyle w:val="TableText"/>
              <w:keepNext/>
              <w:spacing w:before="40" w:after="40"/>
              <w:rPr>
                <w:rFonts w:cs="Calibri"/>
                <w:szCs w:val="16"/>
              </w:rPr>
            </w:pPr>
            <w:r w:rsidRPr="00623D34">
              <w:rPr>
                <w:rFonts w:cs="Calibri"/>
                <w:szCs w:val="16"/>
              </w:rPr>
              <w:t>Allometric model and percentage of above-ground biomass</w:t>
            </w:r>
          </w:p>
        </w:tc>
        <w:tc>
          <w:tcPr>
            <w:tcW w:w="1134" w:type="dxa"/>
            <w:tcBorders>
              <w:top w:val="single" w:sz="4" w:space="0" w:color="1B556B"/>
              <w:left w:val="single" w:sz="4" w:space="0" w:color="1B556B"/>
              <w:bottom w:val="single" w:sz="4" w:space="0" w:color="1B556B"/>
              <w:right w:val="single" w:sz="4" w:space="0" w:color="1B556B"/>
            </w:tcBorders>
          </w:tcPr>
          <w:p w14:paraId="7EDFB175" w14:textId="77777777" w:rsidR="00784FA9" w:rsidRPr="00623D34" w:rsidRDefault="00784FA9" w:rsidP="007E3239">
            <w:pPr>
              <w:pStyle w:val="TableText"/>
              <w:keepNext/>
              <w:spacing w:before="40" w:after="40"/>
              <w:rPr>
                <w:rFonts w:cs="Calibri"/>
                <w:szCs w:val="16"/>
              </w:rPr>
            </w:pPr>
            <w:r w:rsidRPr="00623D34">
              <w:rPr>
                <w:rFonts w:cs="Calibri"/>
                <w:szCs w:val="16"/>
              </w:rPr>
              <w:t>Tier 2, country-specific data and model</w:t>
            </w:r>
          </w:p>
        </w:tc>
        <w:tc>
          <w:tcPr>
            <w:tcW w:w="1157" w:type="dxa"/>
            <w:tcBorders>
              <w:top w:val="single" w:sz="4" w:space="0" w:color="1B556B"/>
              <w:left w:val="single" w:sz="4" w:space="0" w:color="1B556B"/>
              <w:bottom w:val="single" w:sz="4" w:space="0" w:color="1B556B"/>
              <w:right w:val="nil"/>
            </w:tcBorders>
          </w:tcPr>
          <w:p w14:paraId="66A7DA20" w14:textId="77777777" w:rsidR="00784FA9" w:rsidRPr="00623D34" w:rsidRDefault="00784FA9" w:rsidP="007E3239">
            <w:pPr>
              <w:pStyle w:val="TableText"/>
              <w:keepNext/>
              <w:spacing w:before="40" w:after="40"/>
              <w:rPr>
                <w:rFonts w:cs="Calibri"/>
                <w:szCs w:val="16"/>
              </w:rPr>
            </w:pPr>
            <w:r w:rsidRPr="00623D34">
              <w:rPr>
                <w:rFonts w:cs="Calibri"/>
                <w:szCs w:val="16"/>
              </w:rPr>
              <w:t>IPCC Tier 1 default parameters</w:t>
            </w:r>
          </w:p>
        </w:tc>
      </w:tr>
      <w:tr w:rsidR="00784FA9" w:rsidRPr="00623D34" w14:paraId="2CDE11B3" w14:textId="77777777" w:rsidTr="00AA3D94">
        <w:tc>
          <w:tcPr>
            <w:tcW w:w="1111" w:type="dxa"/>
            <w:tcBorders>
              <w:top w:val="single" w:sz="4" w:space="0" w:color="1B556B"/>
              <w:left w:val="nil"/>
              <w:bottom w:val="single" w:sz="4" w:space="0" w:color="1B556B"/>
              <w:right w:val="single" w:sz="4" w:space="0" w:color="1B556B"/>
            </w:tcBorders>
          </w:tcPr>
          <w:p w14:paraId="3DAD2047" w14:textId="77777777" w:rsidR="00784FA9" w:rsidRPr="00623D34" w:rsidRDefault="00784FA9" w:rsidP="007E3239">
            <w:pPr>
              <w:pStyle w:val="TableText"/>
              <w:spacing w:before="40" w:after="40"/>
              <w:rPr>
                <w:rFonts w:cs="Calibri"/>
                <w:szCs w:val="16"/>
              </w:rPr>
            </w:pPr>
            <w:r w:rsidRPr="00623D34">
              <w:rPr>
                <w:rFonts w:cs="Calibri"/>
                <w:szCs w:val="16"/>
              </w:rPr>
              <w:t>Post-1989 planted forest</w:t>
            </w:r>
          </w:p>
        </w:tc>
        <w:tc>
          <w:tcPr>
            <w:tcW w:w="1276" w:type="dxa"/>
            <w:tcBorders>
              <w:top w:val="single" w:sz="4" w:space="0" w:color="1B556B"/>
              <w:left w:val="single" w:sz="4" w:space="0" w:color="1B556B"/>
              <w:bottom w:val="single" w:sz="4" w:space="0" w:color="1B556B"/>
              <w:right w:val="nil"/>
            </w:tcBorders>
            <w:tcMar>
              <w:top w:w="0" w:type="dxa"/>
              <w:left w:w="108" w:type="dxa"/>
              <w:bottom w:w="0" w:type="dxa"/>
              <w:right w:w="28" w:type="dxa"/>
            </w:tcMar>
          </w:tcPr>
          <w:p w14:paraId="35BC1FE1" w14:textId="77777777" w:rsidR="00784FA9" w:rsidRPr="00623D34" w:rsidRDefault="00784FA9" w:rsidP="007E3239">
            <w:pPr>
              <w:pStyle w:val="TableText"/>
              <w:keepNext/>
              <w:spacing w:before="40" w:after="40"/>
              <w:rPr>
                <w:rFonts w:cs="Calibri"/>
                <w:szCs w:val="16"/>
              </w:rPr>
            </w:pPr>
            <w:r w:rsidRPr="00623D34">
              <w:rPr>
                <w:rFonts w:cs="Calibri"/>
                <w:szCs w:val="16"/>
              </w:rPr>
              <w:t>Modelled through allometric equations, then included in national yield tables </w:t>
            </w:r>
          </w:p>
        </w:tc>
        <w:tc>
          <w:tcPr>
            <w:tcW w:w="1276" w:type="dxa"/>
            <w:tcBorders>
              <w:top w:val="single" w:sz="4" w:space="0" w:color="1B556B"/>
              <w:left w:val="nil"/>
              <w:bottom w:val="single" w:sz="4" w:space="0" w:color="1B556B"/>
              <w:right w:val="nil"/>
            </w:tcBorders>
            <w:tcMar>
              <w:top w:w="0" w:type="dxa"/>
              <w:left w:w="108" w:type="dxa"/>
              <w:bottom w:w="0" w:type="dxa"/>
              <w:right w:w="28" w:type="dxa"/>
            </w:tcMar>
          </w:tcPr>
          <w:p w14:paraId="0D1FDDA6" w14:textId="77777777" w:rsidR="00784FA9" w:rsidRPr="00623D34" w:rsidRDefault="00784FA9" w:rsidP="007E3239">
            <w:pPr>
              <w:pStyle w:val="TableText"/>
              <w:keepNext/>
              <w:spacing w:before="40" w:after="40"/>
              <w:rPr>
                <w:rFonts w:cs="Calibri"/>
                <w:szCs w:val="16"/>
              </w:rPr>
            </w:pPr>
            <w:r w:rsidRPr="00623D34">
              <w:rPr>
                <w:rFonts w:cs="Calibri"/>
                <w:szCs w:val="16"/>
              </w:rPr>
              <w:t>Estimated as the ratio of below-ground biomass to above-ground biomass </w:t>
            </w:r>
          </w:p>
        </w:tc>
        <w:tc>
          <w:tcPr>
            <w:tcW w:w="1248" w:type="dxa"/>
            <w:tcBorders>
              <w:top w:val="single" w:sz="4" w:space="0" w:color="1B556B"/>
              <w:left w:val="nil"/>
              <w:bottom w:val="single" w:sz="4" w:space="0" w:color="1B556B"/>
              <w:right w:val="nil"/>
            </w:tcBorders>
            <w:tcMar>
              <w:top w:w="0" w:type="dxa"/>
              <w:left w:w="108" w:type="dxa"/>
              <w:bottom w:w="0" w:type="dxa"/>
              <w:right w:w="28" w:type="dxa"/>
            </w:tcMar>
          </w:tcPr>
          <w:p w14:paraId="1A86D3CB" w14:textId="77777777" w:rsidR="00784FA9" w:rsidRPr="00623D34" w:rsidRDefault="00784FA9" w:rsidP="007E3239">
            <w:pPr>
              <w:pStyle w:val="TableText"/>
              <w:keepNext/>
              <w:spacing w:before="40" w:after="40"/>
              <w:rPr>
                <w:rFonts w:cs="Calibri"/>
                <w:szCs w:val="16"/>
              </w:rPr>
            </w:pPr>
            <w:r w:rsidRPr="00623D34">
              <w:rPr>
                <w:rFonts w:cs="Calibri"/>
                <w:szCs w:val="16"/>
              </w:rPr>
              <w:t>Allometric model using plot measurements, included in national yield tables. Harvest residues added to dead wood pool through CRA</w:t>
            </w:r>
          </w:p>
        </w:tc>
        <w:tc>
          <w:tcPr>
            <w:tcW w:w="1303" w:type="dxa"/>
            <w:tcBorders>
              <w:top w:val="single" w:sz="4" w:space="0" w:color="1B556B"/>
              <w:left w:val="nil"/>
              <w:bottom w:val="single" w:sz="4" w:space="0" w:color="1B556B"/>
              <w:right w:val="single" w:sz="4" w:space="0" w:color="1B556B"/>
            </w:tcBorders>
            <w:tcMar>
              <w:top w:w="0" w:type="dxa"/>
              <w:left w:w="108" w:type="dxa"/>
              <w:bottom w:w="0" w:type="dxa"/>
              <w:right w:w="28" w:type="dxa"/>
            </w:tcMar>
          </w:tcPr>
          <w:p w14:paraId="4177C5D9" w14:textId="77777777" w:rsidR="00784FA9" w:rsidRPr="00623D34" w:rsidRDefault="00784FA9" w:rsidP="007E3239">
            <w:pPr>
              <w:pStyle w:val="TableText"/>
              <w:keepNext/>
              <w:spacing w:before="40" w:after="40"/>
              <w:rPr>
                <w:rFonts w:cs="Calibri"/>
                <w:szCs w:val="16"/>
              </w:rPr>
            </w:pPr>
            <w:r w:rsidRPr="00623D34">
              <w:rPr>
                <w:rFonts w:cs="Calibri"/>
                <w:szCs w:val="16"/>
              </w:rPr>
              <w:t>Allometric model and percentage of above-ground biomass </w:t>
            </w:r>
          </w:p>
        </w:tc>
        <w:tc>
          <w:tcPr>
            <w:tcW w:w="1134" w:type="dxa"/>
            <w:tcBorders>
              <w:top w:val="single" w:sz="4" w:space="0" w:color="1B556B"/>
              <w:left w:val="single" w:sz="4" w:space="0" w:color="1B556B"/>
              <w:bottom w:val="single" w:sz="4" w:space="0" w:color="1B556B"/>
              <w:right w:val="single" w:sz="4" w:space="0" w:color="1B556B"/>
            </w:tcBorders>
          </w:tcPr>
          <w:p w14:paraId="2AEDEB07" w14:textId="77777777" w:rsidR="00784FA9" w:rsidRPr="00623D34" w:rsidRDefault="00784FA9" w:rsidP="007E3239">
            <w:pPr>
              <w:pStyle w:val="TableText"/>
              <w:keepNext/>
              <w:spacing w:before="40" w:after="40"/>
              <w:rPr>
                <w:rFonts w:cs="Calibri"/>
                <w:szCs w:val="16"/>
              </w:rPr>
            </w:pPr>
            <w:r w:rsidRPr="00623D34">
              <w:rPr>
                <w:rFonts w:cs="Calibri"/>
                <w:szCs w:val="16"/>
              </w:rPr>
              <w:t>Tier 2, country-specific data and model</w:t>
            </w:r>
          </w:p>
        </w:tc>
        <w:tc>
          <w:tcPr>
            <w:tcW w:w="1157" w:type="dxa"/>
            <w:tcBorders>
              <w:top w:val="single" w:sz="4" w:space="0" w:color="1B556B"/>
              <w:left w:val="single" w:sz="4" w:space="0" w:color="1B556B"/>
              <w:bottom w:val="single" w:sz="4" w:space="0" w:color="1B556B"/>
              <w:right w:val="nil"/>
            </w:tcBorders>
          </w:tcPr>
          <w:p w14:paraId="045E332E" w14:textId="77777777" w:rsidR="00784FA9" w:rsidRPr="00623D34" w:rsidRDefault="00784FA9" w:rsidP="007E3239">
            <w:pPr>
              <w:pStyle w:val="TableText"/>
              <w:keepNext/>
              <w:spacing w:before="40" w:after="40"/>
              <w:rPr>
                <w:rFonts w:cs="Calibri"/>
                <w:szCs w:val="16"/>
              </w:rPr>
            </w:pPr>
            <w:r w:rsidRPr="00623D34">
              <w:rPr>
                <w:rFonts w:cs="Calibri"/>
                <w:szCs w:val="16"/>
              </w:rPr>
              <w:t>IPCC Tier 1 default parameters</w:t>
            </w:r>
          </w:p>
        </w:tc>
      </w:tr>
      <w:tr w:rsidR="00784FA9" w:rsidRPr="00623D34" w14:paraId="72F82D52" w14:textId="77777777" w:rsidTr="00AA3D94">
        <w:tc>
          <w:tcPr>
            <w:tcW w:w="1111" w:type="dxa"/>
            <w:tcBorders>
              <w:top w:val="single" w:sz="4" w:space="0" w:color="1B556B"/>
              <w:left w:val="nil"/>
              <w:bottom w:val="single" w:sz="4" w:space="0" w:color="1B556B"/>
              <w:right w:val="single" w:sz="4" w:space="0" w:color="1B556B"/>
            </w:tcBorders>
          </w:tcPr>
          <w:p w14:paraId="5E59DD63" w14:textId="77777777" w:rsidR="00784FA9" w:rsidRPr="00623D34" w:rsidRDefault="00784FA9" w:rsidP="007E3239">
            <w:pPr>
              <w:pStyle w:val="TableText"/>
              <w:spacing w:before="40" w:after="40"/>
              <w:rPr>
                <w:rFonts w:cs="Calibri"/>
                <w:szCs w:val="16"/>
              </w:rPr>
            </w:pPr>
            <w:r w:rsidRPr="00623D34">
              <w:rPr>
                <w:rFonts w:cs="Calibri"/>
                <w:szCs w:val="16"/>
              </w:rPr>
              <w:t>Cropland –annual</w:t>
            </w:r>
          </w:p>
        </w:tc>
        <w:tc>
          <w:tcPr>
            <w:tcW w:w="1276" w:type="dxa"/>
            <w:tcBorders>
              <w:top w:val="single" w:sz="4" w:space="0" w:color="1B556B"/>
              <w:left w:val="single" w:sz="4" w:space="0" w:color="1B556B"/>
              <w:bottom w:val="single" w:sz="4" w:space="0" w:color="1B556B"/>
              <w:right w:val="nil"/>
            </w:tcBorders>
            <w:tcMar>
              <w:top w:w="0" w:type="dxa"/>
              <w:left w:w="108" w:type="dxa"/>
              <w:bottom w:w="0" w:type="dxa"/>
              <w:right w:w="28" w:type="dxa"/>
            </w:tcMar>
          </w:tcPr>
          <w:p w14:paraId="388F053E"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parameters</w:t>
            </w:r>
          </w:p>
        </w:tc>
        <w:tc>
          <w:tcPr>
            <w:tcW w:w="1276" w:type="dxa"/>
            <w:tcBorders>
              <w:top w:val="single" w:sz="4" w:space="0" w:color="1B556B"/>
              <w:left w:val="nil"/>
              <w:bottom w:val="single" w:sz="4" w:space="0" w:color="1B556B"/>
              <w:right w:val="nil"/>
            </w:tcBorders>
            <w:tcMar>
              <w:top w:w="0" w:type="dxa"/>
              <w:left w:w="108" w:type="dxa"/>
              <w:bottom w:w="0" w:type="dxa"/>
              <w:right w:w="28" w:type="dxa"/>
            </w:tcMar>
          </w:tcPr>
          <w:p w14:paraId="61C8F30A"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parameters (NE)</w:t>
            </w:r>
          </w:p>
        </w:tc>
        <w:tc>
          <w:tcPr>
            <w:tcW w:w="1248" w:type="dxa"/>
            <w:tcBorders>
              <w:top w:val="single" w:sz="4" w:space="0" w:color="1B556B"/>
              <w:left w:val="nil"/>
              <w:bottom w:val="single" w:sz="4" w:space="0" w:color="1B556B"/>
              <w:right w:val="nil"/>
            </w:tcBorders>
            <w:tcMar>
              <w:top w:w="0" w:type="dxa"/>
              <w:left w:w="108" w:type="dxa"/>
              <w:bottom w:w="0" w:type="dxa"/>
              <w:right w:w="28" w:type="dxa"/>
            </w:tcMar>
          </w:tcPr>
          <w:p w14:paraId="7520A677" w14:textId="77777777" w:rsidR="00784FA9" w:rsidRPr="00623D34" w:rsidRDefault="00784FA9" w:rsidP="007E3239">
            <w:pPr>
              <w:pStyle w:val="TableText"/>
              <w:spacing w:before="40" w:after="40"/>
              <w:rPr>
                <w:rFonts w:cs="Calibri"/>
                <w:szCs w:val="16"/>
              </w:rPr>
            </w:pPr>
            <w:r w:rsidRPr="00623D34">
              <w:rPr>
                <w:rFonts w:cs="Calibri"/>
                <w:szCs w:val="16"/>
              </w:rPr>
              <w:t>Tier 2, country-specific data and model</w:t>
            </w:r>
          </w:p>
        </w:tc>
        <w:tc>
          <w:tcPr>
            <w:tcW w:w="1303" w:type="dxa"/>
            <w:tcBorders>
              <w:top w:val="single" w:sz="4" w:space="0" w:color="1B556B"/>
              <w:left w:val="nil"/>
              <w:bottom w:val="single" w:sz="4" w:space="0" w:color="1B556B"/>
              <w:right w:val="single" w:sz="4" w:space="0" w:color="1B556B"/>
            </w:tcBorders>
            <w:tcMar>
              <w:top w:w="0" w:type="dxa"/>
              <w:left w:w="108" w:type="dxa"/>
              <w:bottom w:w="0" w:type="dxa"/>
              <w:right w:w="28" w:type="dxa"/>
            </w:tcMar>
          </w:tcPr>
          <w:p w14:paraId="009F0949"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parameters</w:t>
            </w:r>
          </w:p>
        </w:tc>
        <w:tc>
          <w:tcPr>
            <w:tcW w:w="1134" w:type="dxa"/>
            <w:tcBorders>
              <w:top w:val="single" w:sz="4" w:space="0" w:color="1B556B"/>
              <w:left w:val="single" w:sz="4" w:space="0" w:color="1B556B"/>
              <w:bottom w:val="single" w:sz="4" w:space="0" w:color="1B556B"/>
              <w:right w:val="single" w:sz="4" w:space="0" w:color="1B556B"/>
            </w:tcBorders>
          </w:tcPr>
          <w:p w14:paraId="7033F847" w14:textId="77777777" w:rsidR="00784FA9" w:rsidRPr="00623D34" w:rsidRDefault="00784FA9" w:rsidP="007E3239">
            <w:pPr>
              <w:pStyle w:val="TableText"/>
              <w:spacing w:before="40" w:after="40"/>
              <w:rPr>
                <w:rFonts w:cs="Calibri"/>
                <w:szCs w:val="16"/>
              </w:rPr>
            </w:pPr>
          </w:p>
        </w:tc>
        <w:tc>
          <w:tcPr>
            <w:tcW w:w="1157" w:type="dxa"/>
            <w:tcBorders>
              <w:top w:val="single" w:sz="4" w:space="0" w:color="1B556B"/>
              <w:left w:val="single" w:sz="4" w:space="0" w:color="1B556B"/>
              <w:bottom w:val="single" w:sz="4" w:space="0" w:color="1B556B"/>
              <w:right w:val="nil"/>
            </w:tcBorders>
          </w:tcPr>
          <w:p w14:paraId="14C8B5EE" w14:textId="77777777" w:rsidR="00784FA9" w:rsidRPr="00623D34" w:rsidRDefault="00784FA9" w:rsidP="007E3239">
            <w:pPr>
              <w:pStyle w:val="TableText"/>
              <w:spacing w:before="40" w:after="40"/>
              <w:rPr>
                <w:rFonts w:cs="Calibri"/>
                <w:szCs w:val="16"/>
              </w:rPr>
            </w:pPr>
          </w:p>
        </w:tc>
      </w:tr>
      <w:tr w:rsidR="00784FA9" w:rsidRPr="00623D34" w14:paraId="2EB2DA14" w14:textId="77777777" w:rsidTr="00643302">
        <w:tc>
          <w:tcPr>
            <w:tcW w:w="1111" w:type="dxa"/>
            <w:tcBorders>
              <w:top w:val="single" w:sz="4" w:space="0" w:color="1B556B"/>
              <w:left w:val="nil"/>
              <w:bottom w:val="single" w:sz="4" w:space="0" w:color="1B556B"/>
              <w:right w:val="single" w:sz="4" w:space="0" w:color="1B556B"/>
            </w:tcBorders>
            <w:hideMark/>
          </w:tcPr>
          <w:p w14:paraId="35EF9608" w14:textId="77777777" w:rsidR="00784FA9" w:rsidRPr="00623D34" w:rsidRDefault="00784FA9" w:rsidP="007E3239">
            <w:pPr>
              <w:pStyle w:val="TableText"/>
              <w:spacing w:before="40" w:after="40"/>
              <w:rPr>
                <w:rFonts w:cs="Calibri"/>
                <w:szCs w:val="16"/>
              </w:rPr>
            </w:pPr>
            <w:r w:rsidRPr="00623D34">
              <w:rPr>
                <w:rFonts w:cs="Calibri"/>
                <w:szCs w:val="16"/>
              </w:rPr>
              <w:t>Cropland – perennial</w:t>
            </w:r>
          </w:p>
        </w:tc>
        <w:tc>
          <w:tcPr>
            <w:tcW w:w="2552" w:type="dxa"/>
            <w:gridSpan w:val="2"/>
            <w:tcBorders>
              <w:top w:val="single" w:sz="4" w:space="0" w:color="1B556B"/>
              <w:left w:val="single" w:sz="4" w:space="0" w:color="1B556B"/>
              <w:bottom w:val="single" w:sz="4" w:space="0" w:color="1B556B"/>
              <w:right w:val="nil"/>
            </w:tcBorders>
            <w:hideMark/>
          </w:tcPr>
          <w:p w14:paraId="435B7278" w14:textId="77777777" w:rsidR="00784FA9" w:rsidRPr="00623D34" w:rsidRDefault="00784FA9" w:rsidP="007E3239">
            <w:pPr>
              <w:pStyle w:val="TableText"/>
              <w:spacing w:before="40" w:after="40"/>
              <w:rPr>
                <w:rFonts w:cs="Calibri"/>
                <w:szCs w:val="16"/>
              </w:rPr>
            </w:pPr>
            <w:r w:rsidRPr="00623D34">
              <w:rPr>
                <w:rFonts w:cs="Calibri"/>
                <w:szCs w:val="16"/>
              </w:rPr>
              <w:t>Country-specific emission factor</w:t>
            </w:r>
          </w:p>
        </w:tc>
        <w:tc>
          <w:tcPr>
            <w:tcW w:w="2551" w:type="dxa"/>
            <w:gridSpan w:val="2"/>
            <w:tcBorders>
              <w:top w:val="single" w:sz="4" w:space="0" w:color="1B556B"/>
              <w:left w:val="nil"/>
              <w:bottom w:val="single" w:sz="4" w:space="0" w:color="1B556B"/>
              <w:right w:val="single" w:sz="4" w:space="0" w:color="1B556B"/>
            </w:tcBorders>
            <w:hideMark/>
          </w:tcPr>
          <w:p w14:paraId="26433CF6"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parameters (NE)</w:t>
            </w:r>
          </w:p>
        </w:tc>
        <w:tc>
          <w:tcPr>
            <w:tcW w:w="1134" w:type="dxa"/>
            <w:tcBorders>
              <w:top w:val="single" w:sz="4" w:space="0" w:color="1B556B"/>
              <w:left w:val="single" w:sz="4" w:space="0" w:color="1B556B"/>
              <w:bottom w:val="single" w:sz="4" w:space="0" w:color="1B556B"/>
              <w:right w:val="single" w:sz="4" w:space="0" w:color="1B556B"/>
            </w:tcBorders>
            <w:hideMark/>
          </w:tcPr>
          <w:p w14:paraId="7C867B43" w14:textId="77777777" w:rsidR="00784FA9" w:rsidRPr="00623D34" w:rsidRDefault="00784FA9" w:rsidP="007E3239">
            <w:pPr>
              <w:pStyle w:val="TableText"/>
              <w:spacing w:before="40" w:after="40"/>
              <w:rPr>
                <w:rFonts w:cs="Calibri"/>
                <w:szCs w:val="16"/>
              </w:rPr>
            </w:pPr>
            <w:r w:rsidRPr="00623D34">
              <w:rPr>
                <w:rFonts w:cs="Calibri"/>
                <w:szCs w:val="16"/>
              </w:rPr>
              <w:t>Tier 2, country-specific data and model</w:t>
            </w:r>
          </w:p>
        </w:tc>
        <w:tc>
          <w:tcPr>
            <w:tcW w:w="1157" w:type="dxa"/>
            <w:tcBorders>
              <w:top w:val="single" w:sz="4" w:space="0" w:color="1B556B"/>
              <w:left w:val="single" w:sz="4" w:space="0" w:color="1B556B"/>
              <w:bottom w:val="single" w:sz="4" w:space="0" w:color="1B556B"/>
              <w:right w:val="nil"/>
            </w:tcBorders>
            <w:hideMark/>
          </w:tcPr>
          <w:p w14:paraId="4E33A7A2"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parameters</w:t>
            </w:r>
          </w:p>
        </w:tc>
      </w:tr>
      <w:tr w:rsidR="00784FA9" w:rsidRPr="00623D34" w14:paraId="2F4DDA30" w14:textId="77777777" w:rsidTr="00643302">
        <w:tc>
          <w:tcPr>
            <w:tcW w:w="1111" w:type="dxa"/>
            <w:tcBorders>
              <w:top w:val="single" w:sz="4" w:space="0" w:color="1B556B"/>
              <w:left w:val="nil"/>
              <w:bottom w:val="single" w:sz="4" w:space="0" w:color="1B556B"/>
              <w:right w:val="single" w:sz="4" w:space="0" w:color="1B556B"/>
            </w:tcBorders>
            <w:hideMark/>
          </w:tcPr>
          <w:p w14:paraId="1E64FE25" w14:textId="77777777" w:rsidR="00784FA9" w:rsidRPr="00623D34" w:rsidRDefault="00784FA9" w:rsidP="007E3239">
            <w:pPr>
              <w:pStyle w:val="TableText"/>
              <w:spacing w:before="40" w:after="40"/>
              <w:rPr>
                <w:rFonts w:cs="Calibri"/>
                <w:szCs w:val="16"/>
              </w:rPr>
            </w:pPr>
            <w:r w:rsidRPr="00623D34">
              <w:rPr>
                <w:rFonts w:cs="Calibri"/>
                <w:szCs w:val="16"/>
              </w:rPr>
              <w:t>Grassland (high and low producing)</w:t>
            </w:r>
          </w:p>
        </w:tc>
        <w:tc>
          <w:tcPr>
            <w:tcW w:w="2552" w:type="dxa"/>
            <w:gridSpan w:val="2"/>
            <w:tcBorders>
              <w:top w:val="single" w:sz="4" w:space="0" w:color="1B556B"/>
              <w:left w:val="single" w:sz="4" w:space="0" w:color="1B556B"/>
              <w:bottom w:val="single" w:sz="4" w:space="0" w:color="1B556B"/>
              <w:right w:val="nil"/>
            </w:tcBorders>
            <w:hideMark/>
          </w:tcPr>
          <w:p w14:paraId="237692DB"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parameters</w:t>
            </w:r>
          </w:p>
        </w:tc>
        <w:tc>
          <w:tcPr>
            <w:tcW w:w="2551" w:type="dxa"/>
            <w:gridSpan w:val="2"/>
            <w:tcBorders>
              <w:top w:val="single" w:sz="4" w:space="0" w:color="1B556B"/>
              <w:left w:val="nil"/>
              <w:bottom w:val="single" w:sz="4" w:space="0" w:color="1B556B"/>
              <w:right w:val="single" w:sz="4" w:space="0" w:color="1B556B"/>
            </w:tcBorders>
            <w:hideMark/>
          </w:tcPr>
          <w:p w14:paraId="16ECA4FE"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parameters (NE)</w:t>
            </w:r>
          </w:p>
        </w:tc>
        <w:tc>
          <w:tcPr>
            <w:tcW w:w="1134" w:type="dxa"/>
            <w:tcBorders>
              <w:top w:val="single" w:sz="4" w:space="0" w:color="1B556B"/>
              <w:left w:val="single" w:sz="4" w:space="0" w:color="1B556B"/>
              <w:bottom w:val="single" w:sz="4" w:space="0" w:color="1B556B"/>
              <w:right w:val="single" w:sz="4" w:space="0" w:color="1B556B"/>
            </w:tcBorders>
            <w:hideMark/>
          </w:tcPr>
          <w:p w14:paraId="0F82580D" w14:textId="77777777" w:rsidR="00784FA9" w:rsidRPr="00623D34" w:rsidRDefault="00784FA9" w:rsidP="007E3239">
            <w:pPr>
              <w:pStyle w:val="TableText"/>
              <w:spacing w:before="40" w:after="40"/>
              <w:rPr>
                <w:rFonts w:cs="Calibri"/>
                <w:szCs w:val="16"/>
              </w:rPr>
            </w:pPr>
            <w:r w:rsidRPr="00623D34">
              <w:rPr>
                <w:rFonts w:cs="Calibri"/>
                <w:szCs w:val="16"/>
              </w:rPr>
              <w:t>Tier 2, country-specific data and model</w:t>
            </w:r>
          </w:p>
        </w:tc>
        <w:tc>
          <w:tcPr>
            <w:tcW w:w="1157" w:type="dxa"/>
            <w:tcBorders>
              <w:top w:val="single" w:sz="4" w:space="0" w:color="1B556B"/>
              <w:left w:val="single" w:sz="4" w:space="0" w:color="1B556B"/>
              <w:bottom w:val="single" w:sz="4" w:space="0" w:color="1B556B"/>
              <w:right w:val="nil"/>
            </w:tcBorders>
            <w:hideMark/>
          </w:tcPr>
          <w:p w14:paraId="1678B1E8"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parameters</w:t>
            </w:r>
          </w:p>
        </w:tc>
      </w:tr>
      <w:tr w:rsidR="00784FA9" w:rsidRPr="00623D34" w14:paraId="24F453ED" w14:textId="77777777" w:rsidTr="00643302">
        <w:tc>
          <w:tcPr>
            <w:tcW w:w="1111" w:type="dxa"/>
            <w:tcBorders>
              <w:top w:val="single" w:sz="4" w:space="0" w:color="1B556B"/>
              <w:left w:val="nil"/>
              <w:bottom w:val="single" w:sz="4" w:space="0" w:color="1B556B"/>
              <w:right w:val="single" w:sz="4" w:space="0" w:color="1B556B"/>
            </w:tcBorders>
            <w:hideMark/>
          </w:tcPr>
          <w:p w14:paraId="58B83329" w14:textId="77777777" w:rsidR="00784FA9" w:rsidRPr="00623D34" w:rsidRDefault="00784FA9" w:rsidP="007E3239">
            <w:pPr>
              <w:pStyle w:val="TableText"/>
              <w:spacing w:before="40" w:after="40"/>
              <w:rPr>
                <w:rFonts w:cs="Calibri"/>
                <w:szCs w:val="16"/>
              </w:rPr>
            </w:pPr>
            <w:r w:rsidRPr="00623D34">
              <w:rPr>
                <w:rFonts w:cs="Calibri"/>
                <w:szCs w:val="16"/>
              </w:rPr>
              <w:t xml:space="preserve">Grassland with woody biomass – transitional </w:t>
            </w:r>
          </w:p>
        </w:tc>
        <w:tc>
          <w:tcPr>
            <w:tcW w:w="5103" w:type="dxa"/>
            <w:gridSpan w:val="4"/>
            <w:tcBorders>
              <w:top w:val="single" w:sz="4" w:space="0" w:color="1B556B"/>
              <w:left w:val="single" w:sz="4" w:space="0" w:color="1B556B"/>
              <w:bottom w:val="single" w:sz="4" w:space="0" w:color="1B556B"/>
              <w:right w:val="single" w:sz="4" w:space="0" w:color="1B556B"/>
            </w:tcBorders>
            <w:hideMark/>
          </w:tcPr>
          <w:p w14:paraId="2D8F8FED" w14:textId="77777777" w:rsidR="00784FA9" w:rsidRPr="00623D34" w:rsidRDefault="00784FA9" w:rsidP="007E3239">
            <w:pPr>
              <w:pStyle w:val="TableText"/>
              <w:spacing w:before="40" w:after="40"/>
              <w:rPr>
                <w:rFonts w:cs="Calibri"/>
                <w:szCs w:val="16"/>
              </w:rPr>
            </w:pPr>
            <w:r w:rsidRPr="00623D34">
              <w:rPr>
                <w:rFonts w:cs="Calibri"/>
                <w:szCs w:val="16"/>
              </w:rPr>
              <w:t>Country-specific emission factor</w:t>
            </w:r>
          </w:p>
        </w:tc>
        <w:tc>
          <w:tcPr>
            <w:tcW w:w="1134" w:type="dxa"/>
            <w:tcBorders>
              <w:top w:val="single" w:sz="4" w:space="0" w:color="1B556B"/>
              <w:left w:val="single" w:sz="4" w:space="0" w:color="1B556B"/>
              <w:bottom w:val="single" w:sz="4" w:space="0" w:color="1B556B"/>
              <w:right w:val="single" w:sz="4" w:space="0" w:color="1B556B"/>
            </w:tcBorders>
            <w:hideMark/>
          </w:tcPr>
          <w:p w14:paraId="77913D61" w14:textId="77777777" w:rsidR="00784FA9" w:rsidRPr="00623D34" w:rsidRDefault="00784FA9" w:rsidP="007E3239">
            <w:pPr>
              <w:pStyle w:val="TableText"/>
              <w:spacing w:before="40" w:after="40"/>
              <w:rPr>
                <w:rFonts w:cs="Calibri"/>
                <w:szCs w:val="16"/>
              </w:rPr>
            </w:pPr>
            <w:r w:rsidRPr="00623D34">
              <w:rPr>
                <w:rFonts w:cs="Calibri"/>
                <w:szCs w:val="16"/>
              </w:rPr>
              <w:t>Tier 2, country-specific data and model</w:t>
            </w:r>
          </w:p>
        </w:tc>
        <w:tc>
          <w:tcPr>
            <w:tcW w:w="1157" w:type="dxa"/>
            <w:tcBorders>
              <w:top w:val="single" w:sz="4" w:space="0" w:color="1B556B"/>
              <w:left w:val="single" w:sz="4" w:space="0" w:color="1B556B"/>
              <w:bottom w:val="single" w:sz="4" w:space="0" w:color="1B556B"/>
              <w:right w:val="nil"/>
            </w:tcBorders>
            <w:hideMark/>
          </w:tcPr>
          <w:p w14:paraId="19EC9A9E"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parameters</w:t>
            </w:r>
          </w:p>
        </w:tc>
      </w:tr>
      <w:tr w:rsidR="00784FA9" w:rsidRPr="00623D34" w14:paraId="2A4696E3" w14:textId="77777777" w:rsidTr="00643302">
        <w:tc>
          <w:tcPr>
            <w:tcW w:w="1111" w:type="dxa"/>
            <w:tcBorders>
              <w:top w:val="single" w:sz="4" w:space="0" w:color="1B556B"/>
              <w:left w:val="nil"/>
              <w:bottom w:val="single" w:sz="4" w:space="0" w:color="1B556B"/>
              <w:right w:val="single" w:sz="4" w:space="0" w:color="1B556B"/>
            </w:tcBorders>
          </w:tcPr>
          <w:p w14:paraId="4C446B3C" w14:textId="77777777" w:rsidR="00784FA9" w:rsidRPr="00623D34" w:rsidRDefault="00784FA9" w:rsidP="007E3239">
            <w:pPr>
              <w:pStyle w:val="TableText"/>
              <w:spacing w:before="40" w:after="40"/>
              <w:rPr>
                <w:rFonts w:cs="Calibri"/>
                <w:szCs w:val="16"/>
              </w:rPr>
            </w:pPr>
            <w:r w:rsidRPr="00623D34">
              <w:rPr>
                <w:rFonts w:cs="Calibri"/>
                <w:szCs w:val="16"/>
              </w:rPr>
              <w:t>Grassland with woody biomass –permanent</w:t>
            </w:r>
          </w:p>
        </w:tc>
        <w:tc>
          <w:tcPr>
            <w:tcW w:w="5103" w:type="dxa"/>
            <w:gridSpan w:val="4"/>
            <w:tcBorders>
              <w:top w:val="single" w:sz="4" w:space="0" w:color="1B556B"/>
              <w:left w:val="single" w:sz="4" w:space="0" w:color="1B556B"/>
              <w:bottom w:val="single" w:sz="4" w:space="0" w:color="1B556B"/>
              <w:right w:val="single" w:sz="4" w:space="0" w:color="1B556B"/>
            </w:tcBorders>
          </w:tcPr>
          <w:p w14:paraId="77D2C937" w14:textId="77777777" w:rsidR="00784FA9" w:rsidRPr="00623D34" w:rsidRDefault="00784FA9" w:rsidP="007E3239">
            <w:pPr>
              <w:pStyle w:val="TableText"/>
              <w:spacing w:before="40" w:after="40"/>
              <w:rPr>
                <w:rFonts w:cs="Calibri"/>
                <w:szCs w:val="16"/>
              </w:rPr>
            </w:pPr>
            <w:r w:rsidRPr="00623D34">
              <w:rPr>
                <w:rFonts w:cs="Calibri"/>
                <w:szCs w:val="16"/>
              </w:rPr>
              <w:t>Country-specific emission factor</w:t>
            </w:r>
          </w:p>
        </w:tc>
        <w:tc>
          <w:tcPr>
            <w:tcW w:w="1134" w:type="dxa"/>
            <w:tcBorders>
              <w:top w:val="single" w:sz="4" w:space="0" w:color="1B556B"/>
              <w:left w:val="single" w:sz="4" w:space="0" w:color="1B556B"/>
              <w:bottom w:val="single" w:sz="4" w:space="0" w:color="1B556B"/>
              <w:right w:val="single" w:sz="4" w:space="0" w:color="1B556B"/>
            </w:tcBorders>
          </w:tcPr>
          <w:p w14:paraId="6C7E3CD0" w14:textId="77777777" w:rsidR="00784FA9" w:rsidRPr="00623D34" w:rsidRDefault="00784FA9" w:rsidP="007E3239">
            <w:pPr>
              <w:pStyle w:val="TableText"/>
              <w:spacing w:before="40" w:after="40"/>
              <w:rPr>
                <w:rFonts w:cs="Calibri"/>
                <w:szCs w:val="16"/>
              </w:rPr>
            </w:pPr>
            <w:r w:rsidRPr="00623D34">
              <w:rPr>
                <w:rFonts w:cs="Calibri"/>
                <w:szCs w:val="16"/>
              </w:rPr>
              <w:t>Tier 2, country-specific data and model</w:t>
            </w:r>
          </w:p>
        </w:tc>
        <w:tc>
          <w:tcPr>
            <w:tcW w:w="1157" w:type="dxa"/>
            <w:tcBorders>
              <w:top w:val="single" w:sz="4" w:space="0" w:color="1B556B"/>
              <w:left w:val="single" w:sz="4" w:space="0" w:color="1B556B"/>
              <w:bottom w:val="single" w:sz="4" w:space="0" w:color="1B556B"/>
              <w:right w:val="nil"/>
            </w:tcBorders>
          </w:tcPr>
          <w:p w14:paraId="41EFDEE4"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parameters</w:t>
            </w:r>
          </w:p>
        </w:tc>
      </w:tr>
      <w:tr w:rsidR="00784FA9" w:rsidRPr="00623D34" w14:paraId="1628F3E8" w14:textId="77777777" w:rsidTr="00643302">
        <w:tc>
          <w:tcPr>
            <w:tcW w:w="1111" w:type="dxa"/>
            <w:tcBorders>
              <w:top w:val="single" w:sz="4" w:space="0" w:color="1B556B"/>
              <w:left w:val="nil"/>
              <w:bottom w:val="single" w:sz="4" w:space="0" w:color="1B556B"/>
              <w:right w:val="single" w:sz="4" w:space="0" w:color="1B556B"/>
            </w:tcBorders>
            <w:hideMark/>
          </w:tcPr>
          <w:p w14:paraId="711755EF" w14:textId="77777777" w:rsidR="00784FA9" w:rsidRPr="00623D34" w:rsidRDefault="00784FA9" w:rsidP="007E3239">
            <w:pPr>
              <w:pStyle w:val="TableText"/>
              <w:spacing w:before="40" w:after="40"/>
              <w:rPr>
                <w:rFonts w:cs="Calibri"/>
                <w:szCs w:val="16"/>
              </w:rPr>
            </w:pPr>
            <w:r w:rsidRPr="00623D34">
              <w:rPr>
                <w:rFonts w:cs="Calibri"/>
                <w:szCs w:val="16"/>
              </w:rPr>
              <w:t>Wetlands</w:t>
            </w:r>
          </w:p>
        </w:tc>
        <w:tc>
          <w:tcPr>
            <w:tcW w:w="5103" w:type="dxa"/>
            <w:gridSpan w:val="4"/>
            <w:tcBorders>
              <w:top w:val="single" w:sz="4" w:space="0" w:color="1B556B"/>
              <w:left w:val="single" w:sz="4" w:space="0" w:color="1B556B"/>
              <w:bottom w:val="single" w:sz="4" w:space="0" w:color="1B556B"/>
              <w:right w:val="single" w:sz="4" w:space="0" w:color="1B556B"/>
            </w:tcBorders>
            <w:hideMark/>
          </w:tcPr>
          <w:p w14:paraId="27489901"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parameters (NE)</w:t>
            </w:r>
          </w:p>
        </w:tc>
        <w:tc>
          <w:tcPr>
            <w:tcW w:w="1134" w:type="dxa"/>
            <w:tcBorders>
              <w:top w:val="single" w:sz="4" w:space="0" w:color="1B556B"/>
              <w:left w:val="single" w:sz="4" w:space="0" w:color="1B556B"/>
              <w:bottom w:val="single" w:sz="4" w:space="0" w:color="1B556B"/>
              <w:right w:val="single" w:sz="4" w:space="0" w:color="1B556B"/>
            </w:tcBorders>
            <w:hideMark/>
          </w:tcPr>
          <w:p w14:paraId="2722737D" w14:textId="77777777" w:rsidR="00784FA9" w:rsidRPr="00623D34" w:rsidRDefault="00784FA9" w:rsidP="007E3239">
            <w:pPr>
              <w:pStyle w:val="TableText"/>
              <w:spacing w:before="40" w:after="40"/>
              <w:rPr>
                <w:rFonts w:cs="Calibri"/>
                <w:szCs w:val="16"/>
              </w:rPr>
            </w:pPr>
            <w:r w:rsidRPr="00623D34">
              <w:rPr>
                <w:rFonts w:cs="Calibri"/>
                <w:szCs w:val="16"/>
              </w:rPr>
              <w:t>Tier 2, country-specific data and model</w:t>
            </w:r>
          </w:p>
        </w:tc>
        <w:tc>
          <w:tcPr>
            <w:tcW w:w="1157" w:type="dxa"/>
            <w:tcBorders>
              <w:top w:val="single" w:sz="4" w:space="0" w:color="1B556B"/>
              <w:left w:val="single" w:sz="4" w:space="0" w:color="1B556B"/>
              <w:bottom w:val="single" w:sz="4" w:space="0" w:color="1B556B"/>
              <w:right w:val="nil"/>
            </w:tcBorders>
            <w:hideMark/>
          </w:tcPr>
          <w:p w14:paraId="6FB537C2" w14:textId="77777777" w:rsidR="00784FA9" w:rsidRPr="00623D34" w:rsidRDefault="00784FA9" w:rsidP="007E3239">
            <w:pPr>
              <w:pStyle w:val="TableText"/>
              <w:spacing w:before="40" w:after="40"/>
              <w:rPr>
                <w:rFonts w:cs="Calibri"/>
                <w:szCs w:val="16"/>
              </w:rPr>
            </w:pPr>
            <w:r w:rsidRPr="00623D34">
              <w:rPr>
                <w:rFonts w:cs="Calibri"/>
                <w:szCs w:val="16"/>
              </w:rPr>
              <w:t xml:space="preserve">IPCC Tier 1 default parameters </w:t>
            </w:r>
          </w:p>
        </w:tc>
      </w:tr>
      <w:tr w:rsidR="00784FA9" w:rsidRPr="00623D34" w14:paraId="3EE73684" w14:textId="77777777" w:rsidTr="00643302">
        <w:tc>
          <w:tcPr>
            <w:tcW w:w="1111" w:type="dxa"/>
            <w:tcBorders>
              <w:top w:val="single" w:sz="4" w:space="0" w:color="1B556B"/>
              <w:left w:val="nil"/>
              <w:bottom w:val="single" w:sz="4" w:space="0" w:color="1B556B"/>
              <w:right w:val="single" w:sz="4" w:space="0" w:color="1B556B"/>
            </w:tcBorders>
            <w:hideMark/>
          </w:tcPr>
          <w:p w14:paraId="3C21CA72" w14:textId="77777777" w:rsidR="00784FA9" w:rsidRPr="00623D34" w:rsidRDefault="00784FA9" w:rsidP="007E3239">
            <w:pPr>
              <w:pStyle w:val="TableText"/>
              <w:spacing w:before="40" w:after="40"/>
              <w:rPr>
                <w:rFonts w:cs="Calibri"/>
                <w:szCs w:val="16"/>
              </w:rPr>
            </w:pPr>
            <w:r w:rsidRPr="00623D34">
              <w:rPr>
                <w:rFonts w:cs="Calibri"/>
                <w:szCs w:val="16"/>
              </w:rPr>
              <w:t>Settlements</w:t>
            </w:r>
          </w:p>
        </w:tc>
        <w:tc>
          <w:tcPr>
            <w:tcW w:w="5103" w:type="dxa"/>
            <w:gridSpan w:val="4"/>
            <w:tcBorders>
              <w:top w:val="single" w:sz="4" w:space="0" w:color="1B556B"/>
              <w:left w:val="single" w:sz="4" w:space="0" w:color="1B556B"/>
              <w:bottom w:val="single" w:sz="4" w:space="0" w:color="1B556B"/>
              <w:right w:val="single" w:sz="4" w:space="0" w:color="1B556B"/>
            </w:tcBorders>
            <w:hideMark/>
          </w:tcPr>
          <w:p w14:paraId="776055F8"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 (NE)</w:t>
            </w:r>
          </w:p>
        </w:tc>
        <w:tc>
          <w:tcPr>
            <w:tcW w:w="1134" w:type="dxa"/>
            <w:tcBorders>
              <w:top w:val="single" w:sz="4" w:space="0" w:color="1B556B"/>
              <w:left w:val="single" w:sz="4" w:space="0" w:color="1B556B"/>
              <w:bottom w:val="single" w:sz="4" w:space="0" w:color="1B556B"/>
              <w:right w:val="single" w:sz="4" w:space="0" w:color="1B556B"/>
            </w:tcBorders>
            <w:hideMark/>
          </w:tcPr>
          <w:p w14:paraId="45CF1423" w14:textId="77777777" w:rsidR="00784FA9" w:rsidRPr="00623D34" w:rsidRDefault="00784FA9" w:rsidP="007E3239">
            <w:pPr>
              <w:pStyle w:val="TableText"/>
              <w:spacing w:before="40" w:after="40"/>
              <w:rPr>
                <w:rFonts w:cs="Calibri"/>
                <w:szCs w:val="16"/>
              </w:rPr>
            </w:pPr>
            <w:r w:rsidRPr="00623D34">
              <w:rPr>
                <w:rFonts w:cs="Calibri"/>
                <w:szCs w:val="16"/>
              </w:rPr>
              <w:t>Tier 2, country-specific data and model</w:t>
            </w:r>
          </w:p>
        </w:tc>
        <w:tc>
          <w:tcPr>
            <w:tcW w:w="1157" w:type="dxa"/>
            <w:tcBorders>
              <w:top w:val="single" w:sz="4" w:space="0" w:color="1B556B"/>
              <w:left w:val="single" w:sz="4" w:space="0" w:color="1B556B"/>
              <w:bottom w:val="single" w:sz="4" w:space="0" w:color="1B556B"/>
              <w:right w:val="nil"/>
            </w:tcBorders>
            <w:hideMark/>
          </w:tcPr>
          <w:p w14:paraId="34446519" w14:textId="77777777" w:rsidR="00784FA9" w:rsidRPr="00623D34" w:rsidRDefault="00784FA9" w:rsidP="007E3239">
            <w:pPr>
              <w:pStyle w:val="TableText"/>
              <w:spacing w:before="40" w:after="40"/>
              <w:rPr>
                <w:rFonts w:cs="Calibri"/>
                <w:szCs w:val="16"/>
              </w:rPr>
            </w:pPr>
            <w:r w:rsidRPr="00623D34">
              <w:rPr>
                <w:rFonts w:cs="Calibri"/>
                <w:szCs w:val="16"/>
              </w:rPr>
              <w:t>NE</w:t>
            </w:r>
          </w:p>
        </w:tc>
      </w:tr>
      <w:tr w:rsidR="00784FA9" w:rsidRPr="00623D34" w14:paraId="5EB703B8" w14:textId="77777777" w:rsidTr="00643302">
        <w:tc>
          <w:tcPr>
            <w:tcW w:w="1111" w:type="dxa"/>
            <w:tcBorders>
              <w:top w:val="single" w:sz="4" w:space="0" w:color="1B556B"/>
              <w:left w:val="nil"/>
              <w:bottom w:val="single" w:sz="4" w:space="0" w:color="1B556B"/>
              <w:right w:val="single" w:sz="4" w:space="0" w:color="1B556B"/>
            </w:tcBorders>
            <w:hideMark/>
          </w:tcPr>
          <w:p w14:paraId="472335E7" w14:textId="77777777" w:rsidR="00784FA9" w:rsidRPr="00623D34" w:rsidRDefault="00784FA9" w:rsidP="007E3239">
            <w:pPr>
              <w:pStyle w:val="TableText"/>
              <w:spacing w:before="40" w:after="40"/>
              <w:rPr>
                <w:rFonts w:cs="Calibri"/>
                <w:szCs w:val="16"/>
              </w:rPr>
            </w:pPr>
            <w:r w:rsidRPr="00623D34">
              <w:rPr>
                <w:rFonts w:cs="Calibri"/>
                <w:szCs w:val="16"/>
              </w:rPr>
              <w:t>Other land</w:t>
            </w:r>
          </w:p>
        </w:tc>
        <w:tc>
          <w:tcPr>
            <w:tcW w:w="5103" w:type="dxa"/>
            <w:gridSpan w:val="4"/>
            <w:tcBorders>
              <w:top w:val="single" w:sz="4" w:space="0" w:color="1B556B"/>
              <w:left w:val="single" w:sz="4" w:space="0" w:color="1B556B"/>
              <w:bottom w:val="single" w:sz="4" w:space="0" w:color="1B556B"/>
              <w:right w:val="single" w:sz="4" w:space="0" w:color="1B556B"/>
            </w:tcBorders>
            <w:hideMark/>
          </w:tcPr>
          <w:p w14:paraId="2CD7B17E" w14:textId="77777777" w:rsidR="00784FA9" w:rsidRPr="00623D34" w:rsidRDefault="00784FA9" w:rsidP="007E3239">
            <w:pPr>
              <w:pStyle w:val="TableText"/>
              <w:spacing w:before="40" w:after="40"/>
              <w:rPr>
                <w:rFonts w:cs="Calibri"/>
                <w:szCs w:val="16"/>
              </w:rPr>
            </w:pPr>
            <w:r w:rsidRPr="00623D34">
              <w:rPr>
                <w:rFonts w:cs="Calibri"/>
                <w:szCs w:val="16"/>
              </w:rPr>
              <w:t>IPCC Tier 1 default parameter (NE)</w:t>
            </w:r>
          </w:p>
        </w:tc>
        <w:tc>
          <w:tcPr>
            <w:tcW w:w="1134" w:type="dxa"/>
            <w:tcBorders>
              <w:top w:val="single" w:sz="4" w:space="0" w:color="1B556B"/>
              <w:left w:val="single" w:sz="4" w:space="0" w:color="1B556B"/>
              <w:bottom w:val="single" w:sz="4" w:space="0" w:color="1B556B"/>
              <w:right w:val="single" w:sz="4" w:space="0" w:color="1B556B"/>
            </w:tcBorders>
            <w:hideMark/>
          </w:tcPr>
          <w:p w14:paraId="69C0E8B1" w14:textId="77777777" w:rsidR="00784FA9" w:rsidRPr="00623D34" w:rsidRDefault="00784FA9" w:rsidP="007E3239">
            <w:pPr>
              <w:pStyle w:val="TableText"/>
              <w:spacing w:before="40" w:after="40"/>
              <w:rPr>
                <w:rFonts w:cs="Calibri"/>
                <w:szCs w:val="16"/>
              </w:rPr>
            </w:pPr>
            <w:r w:rsidRPr="00623D34">
              <w:rPr>
                <w:rFonts w:cs="Calibri"/>
                <w:szCs w:val="16"/>
              </w:rPr>
              <w:t>Tier 2, country-specific data and model</w:t>
            </w:r>
          </w:p>
        </w:tc>
        <w:tc>
          <w:tcPr>
            <w:tcW w:w="1157" w:type="dxa"/>
            <w:tcBorders>
              <w:top w:val="single" w:sz="4" w:space="0" w:color="1B556B"/>
              <w:left w:val="single" w:sz="4" w:space="0" w:color="1B556B"/>
              <w:bottom w:val="single" w:sz="4" w:space="0" w:color="1B556B"/>
              <w:right w:val="nil"/>
            </w:tcBorders>
            <w:hideMark/>
          </w:tcPr>
          <w:p w14:paraId="28ABB7CD" w14:textId="77777777" w:rsidR="00784FA9" w:rsidRPr="00623D34" w:rsidRDefault="00784FA9" w:rsidP="007E3239">
            <w:pPr>
              <w:pStyle w:val="TableText"/>
              <w:spacing w:before="40" w:after="40"/>
              <w:rPr>
                <w:rFonts w:cs="Calibri"/>
                <w:szCs w:val="16"/>
              </w:rPr>
            </w:pPr>
            <w:r w:rsidRPr="00623D34">
              <w:rPr>
                <w:rFonts w:cs="Calibri"/>
                <w:szCs w:val="16"/>
              </w:rPr>
              <w:t>NE</w:t>
            </w:r>
          </w:p>
        </w:tc>
      </w:tr>
    </w:tbl>
    <w:p w14:paraId="2E16984A" w14:textId="77777777" w:rsidR="00784FA9" w:rsidRPr="00D604EE" w:rsidRDefault="00784FA9" w:rsidP="00784FA9">
      <w:pPr>
        <w:pStyle w:val="Noteundertable"/>
      </w:pPr>
      <w:r w:rsidRPr="00D604EE">
        <w:rPr>
          <w:b/>
        </w:rPr>
        <w:t>Note:</w:t>
      </w:r>
      <w:r w:rsidRPr="00D604EE">
        <w:tab/>
        <w:t>NE = not estimated; CRA = Calculation and Reporting Application</w:t>
      </w:r>
      <w:r w:rsidRPr="00D604EE" w:rsidDel="00AB2497">
        <w:t>.</w:t>
      </w:r>
      <w:r w:rsidRPr="00D604EE">
        <w:t xml:space="preserve"> See the methodology sections for an explanation of soil carbon calculations (annex A3.2.4) and forest models, C_Change and Forest Carbon Predictor (A3.2.5). </w:t>
      </w:r>
    </w:p>
    <w:p w14:paraId="33DD1EAF" w14:textId="77777777" w:rsidR="00784FA9" w:rsidRPr="00D604EE" w:rsidRDefault="00784FA9" w:rsidP="00784FA9">
      <w:pPr>
        <w:pStyle w:val="BodyText"/>
        <w:spacing w:before="80" w:after="80"/>
      </w:pPr>
      <w:r w:rsidRPr="00D604EE">
        <w:t xml:space="preserve">To calculate emissions for the New Zealand LULUCF sector, the following data are used: </w:t>
      </w:r>
    </w:p>
    <w:p w14:paraId="44EEE435" w14:textId="77777777" w:rsidR="00784FA9" w:rsidRPr="00D604EE" w:rsidRDefault="00784FA9" w:rsidP="00AB2A5C">
      <w:pPr>
        <w:pStyle w:val="Bullet"/>
        <w:numPr>
          <w:ilvl w:val="0"/>
          <w:numId w:val="19"/>
        </w:numPr>
        <w:ind w:left="397" w:hanging="397"/>
      </w:pPr>
      <w:r w:rsidRPr="00D604EE">
        <w:t xml:space="preserve">land use </w:t>
      </w:r>
      <w:r w:rsidRPr="009E6B8A">
        <w:t>and</w:t>
      </w:r>
      <w:r w:rsidRPr="00D604EE">
        <w:t xml:space="preserve"> land-use change area data from 1962 to 1989, which provide land in a transition state as at 1990 for each land use (see annex A3.2.1)</w:t>
      </w:r>
    </w:p>
    <w:p w14:paraId="1BB5ADC8" w14:textId="77777777" w:rsidR="00784FA9" w:rsidRPr="00D604EE" w:rsidRDefault="00784FA9" w:rsidP="00AB2A5C">
      <w:pPr>
        <w:pStyle w:val="Bullet"/>
        <w:numPr>
          <w:ilvl w:val="0"/>
          <w:numId w:val="19"/>
        </w:numPr>
        <w:ind w:left="397" w:hanging="397"/>
      </w:pPr>
      <w:r w:rsidRPr="00D604EE">
        <w:t>annual land use and land-use change area data from 1990 to 2020 (see section 6.2 and annex A3.2.2)</w:t>
      </w:r>
    </w:p>
    <w:p w14:paraId="23D8940B" w14:textId="77777777" w:rsidR="00784FA9" w:rsidRPr="00D604EE" w:rsidRDefault="00784FA9" w:rsidP="00AB2A5C">
      <w:pPr>
        <w:pStyle w:val="Bullet"/>
        <w:numPr>
          <w:ilvl w:val="0"/>
          <w:numId w:val="19"/>
        </w:numPr>
        <w:ind w:left="397" w:hanging="397"/>
      </w:pPr>
      <w:r w:rsidRPr="00D604EE">
        <w:t>biomass carbon stocks per hectare before land use conversion, and annual growth in biomass carbon stocks per hectare following conversion (described in more detail under each land use category)</w:t>
      </w:r>
    </w:p>
    <w:p w14:paraId="46B4414A" w14:textId="77777777" w:rsidR="00784FA9" w:rsidRPr="00D604EE" w:rsidRDefault="00784FA9" w:rsidP="00AB2A5C">
      <w:pPr>
        <w:pStyle w:val="Bullet"/>
        <w:numPr>
          <w:ilvl w:val="0"/>
          <w:numId w:val="19"/>
        </w:numPr>
        <w:ind w:left="397" w:hanging="397"/>
      </w:pPr>
      <w:r w:rsidRPr="00D604EE">
        <w:t xml:space="preserve">estimates of planted forest harvest area and harvest age class distribution (see section 6.3, annex A3.2.5 and annex A3.2.5) </w:t>
      </w:r>
    </w:p>
    <w:p w14:paraId="0C397ED1" w14:textId="77777777" w:rsidR="00784FA9" w:rsidRPr="00D604EE" w:rsidRDefault="00784FA9" w:rsidP="00AB2A5C">
      <w:pPr>
        <w:pStyle w:val="Bullet"/>
        <w:numPr>
          <w:ilvl w:val="0"/>
          <w:numId w:val="19"/>
        </w:numPr>
        <w:spacing w:after="100"/>
        <w:ind w:left="397" w:hanging="397"/>
      </w:pPr>
      <w:r w:rsidRPr="00D604EE">
        <w:lastRenderedPageBreak/>
        <w:t>a forest age profile for pre-1990 planted forests and post-1989 planted forests</w:t>
      </w:r>
    </w:p>
    <w:p w14:paraId="14C2BD9E" w14:textId="77777777" w:rsidR="00784FA9" w:rsidRPr="00D604EE" w:rsidRDefault="00784FA9" w:rsidP="00AB2A5C">
      <w:pPr>
        <w:pStyle w:val="Bullet"/>
        <w:numPr>
          <w:ilvl w:val="0"/>
          <w:numId w:val="19"/>
        </w:numPr>
        <w:spacing w:after="100"/>
        <w:ind w:left="397" w:hanging="397"/>
      </w:pPr>
      <w:r w:rsidRPr="00D604EE">
        <w:t>age-based biomass carbon yield tables for pre-1990 planted forests and post-1989 planted and natural forests (see section 6.3.2)</w:t>
      </w:r>
    </w:p>
    <w:p w14:paraId="0DF117E4" w14:textId="77777777" w:rsidR="00784FA9" w:rsidRPr="00D604EE" w:rsidRDefault="00784FA9" w:rsidP="00AB2A5C">
      <w:pPr>
        <w:pStyle w:val="Bullet"/>
        <w:numPr>
          <w:ilvl w:val="0"/>
          <w:numId w:val="19"/>
        </w:numPr>
        <w:spacing w:after="100"/>
        <w:ind w:left="397" w:hanging="397"/>
      </w:pPr>
      <w:r w:rsidRPr="00D604EE">
        <w:t>growth increment for pre-1990 natural forest (see section 6.3.2)</w:t>
      </w:r>
    </w:p>
    <w:p w14:paraId="752E2FDC" w14:textId="77777777" w:rsidR="00784FA9" w:rsidRPr="00D604EE" w:rsidRDefault="00784FA9" w:rsidP="00AB2A5C">
      <w:pPr>
        <w:pStyle w:val="Bullet"/>
        <w:numPr>
          <w:ilvl w:val="0"/>
          <w:numId w:val="19"/>
        </w:numPr>
        <w:spacing w:after="100"/>
        <w:ind w:left="397" w:hanging="397"/>
      </w:pPr>
      <w:r w:rsidRPr="00D604EE">
        <w:t>emission factors and country-level activity data on biomass burning (see section 6.10.8)</w:t>
      </w:r>
    </w:p>
    <w:p w14:paraId="07EF074E" w14:textId="77777777" w:rsidR="00784FA9" w:rsidRPr="00D604EE" w:rsidRDefault="00784FA9" w:rsidP="00AB2A5C">
      <w:pPr>
        <w:pStyle w:val="Bullet"/>
        <w:numPr>
          <w:ilvl w:val="0"/>
          <w:numId w:val="19"/>
        </w:numPr>
        <w:ind w:left="397" w:hanging="397"/>
      </w:pPr>
      <w:r w:rsidRPr="00D604EE">
        <w:t>IPCC default conversion factors for converting C to CO</w:t>
      </w:r>
      <w:r w:rsidRPr="00D604EE">
        <w:rPr>
          <w:vertAlign w:val="subscript"/>
        </w:rPr>
        <w:t>2</w:t>
      </w:r>
      <w:r w:rsidRPr="00D604EE">
        <w:t xml:space="preserve">. </w:t>
      </w:r>
    </w:p>
    <w:p w14:paraId="77F802E4" w14:textId="77777777" w:rsidR="00784FA9" w:rsidRPr="00D604EE" w:rsidRDefault="00784FA9" w:rsidP="00784FA9">
      <w:pPr>
        <w:pStyle w:val="BodyText"/>
        <w:spacing w:after="0"/>
      </w:pPr>
      <w:r w:rsidRPr="00D604EE">
        <w:t>The formula used to calculate emissions from biomass changes on land use conversion is:</w:t>
      </w:r>
    </w:p>
    <w:tbl>
      <w:tblPr>
        <w:tblW w:w="7700" w:type="dxa"/>
        <w:jc w:val="center"/>
        <w:tblLayout w:type="fixed"/>
        <w:tblCellMar>
          <w:left w:w="28" w:type="dxa"/>
          <w:right w:w="28" w:type="dxa"/>
        </w:tblCellMar>
        <w:tblLook w:val="04A0" w:firstRow="1" w:lastRow="0" w:firstColumn="1" w:lastColumn="0" w:noHBand="0" w:noVBand="1"/>
      </w:tblPr>
      <w:tblGrid>
        <w:gridCol w:w="310"/>
        <w:gridCol w:w="1420"/>
        <w:gridCol w:w="283"/>
        <w:gridCol w:w="1134"/>
        <w:gridCol w:w="284"/>
        <w:gridCol w:w="290"/>
        <w:gridCol w:w="284"/>
        <w:gridCol w:w="1694"/>
        <w:gridCol w:w="290"/>
        <w:gridCol w:w="992"/>
        <w:gridCol w:w="284"/>
        <w:gridCol w:w="435"/>
      </w:tblGrid>
      <w:tr w:rsidR="00784FA9" w:rsidRPr="00D604EE" w14:paraId="6DDC1C60" w14:textId="77777777" w:rsidTr="007E3239">
        <w:trPr>
          <w:trHeight w:val="1130"/>
          <w:jc w:val="center"/>
        </w:trPr>
        <w:tc>
          <w:tcPr>
            <w:tcW w:w="310" w:type="dxa"/>
            <w:vAlign w:val="center"/>
          </w:tcPr>
          <w:p w14:paraId="0093D094" w14:textId="77777777" w:rsidR="00784FA9" w:rsidRPr="00D604EE" w:rsidRDefault="00784FA9" w:rsidP="007E3239">
            <w:pPr>
              <w:rPr>
                <w:rFonts w:cs="Segoe UI"/>
                <w:sz w:val="144"/>
                <w:szCs w:val="144"/>
              </w:rPr>
            </w:pPr>
            <w:r w:rsidRPr="00D604EE">
              <w:rPr>
                <w:rFonts w:cs="Segoe UI"/>
                <w:sz w:val="56"/>
                <w:szCs w:val="144"/>
              </w:rPr>
              <w:t>(</w:t>
            </w:r>
          </w:p>
        </w:tc>
        <w:tc>
          <w:tcPr>
            <w:tcW w:w="1420" w:type="dxa"/>
            <w:vAlign w:val="center"/>
          </w:tcPr>
          <w:p w14:paraId="41B57909" w14:textId="77777777" w:rsidR="00784FA9" w:rsidRPr="00D604EE" w:rsidRDefault="00784FA9" w:rsidP="007E3239">
            <w:pPr>
              <w:jc w:val="center"/>
              <w:rPr>
                <w:rFonts w:cs="Segoe UI"/>
                <w:i/>
                <w:sz w:val="18"/>
              </w:rPr>
            </w:pPr>
            <w:r w:rsidRPr="00D604EE">
              <w:rPr>
                <w:rFonts w:cs="Segoe UI"/>
                <w:i/>
                <w:sz w:val="18"/>
              </w:rPr>
              <w:t>Loss of biomass present in previous crop</w:t>
            </w:r>
          </w:p>
        </w:tc>
        <w:tc>
          <w:tcPr>
            <w:tcW w:w="283" w:type="dxa"/>
            <w:vAlign w:val="center"/>
          </w:tcPr>
          <w:p w14:paraId="69F11BBF" w14:textId="77777777" w:rsidR="00784FA9" w:rsidRPr="00D604EE" w:rsidRDefault="00784FA9" w:rsidP="007E3239">
            <w:pPr>
              <w:rPr>
                <w:rFonts w:cs="Segoe UI"/>
                <w:i/>
                <w:sz w:val="18"/>
              </w:rPr>
            </w:pPr>
            <w:r w:rsidRPr="00D604EE">
              <w:rPr>
                <w:rFonts w:cs="Segoe UI"/>
                <w:i/>
                <w:sz w:val="18"/>
              </w:rPr>
              <w:t xml:space="preserve"> ×</w:t>
            </w:r>
          </w:p>
        </w:tc>
        <w:tc>
          <w:tcPr>
            <w:tcW w:w="1134" w:type="dxa"/>
            <w:vAlign w:val="center"/>
          </w:tcPr>
          <w:p w14:paraId="61C24CA5" w14:textId="77777777" w:rsidR="00784FA9" w:rsidRPr="00D604EE" w:rsidRDefault="00784FA9" w:rsidP="007E3239">
            <w:pPr>
              <w:jc w:val="center"/>
              <w:rPr>
                <w:rFonts w:cs="Segoe UI"/>
                <w:i/>
                <w:sz w:val="18"/>
              </w:rPr>
            </w:pPr>
            <w:r w:rsidRPr="00D604EE">
              <w:rPr>
                <w:rFonts w:cs="Segoe UI"/>
                <w:i/>
                <w:sz w:val="18"/>
              </w:rPr>
              <w:t>Activity data (Area)</w:t>
            </w:r>
          </w:p>
        </w:tc>
        <w:tc>
          <w:tcPr>
            <w:tcW w:w="284" w:type="dxa"/>
            <w:vAlign w:val="center"/>
          </w:tcPr>
          <w:p w14:paraId="7603431C" w14:textId="77777777" w:rsidR="00784FA9" w:rsidRPr="00D604EE" w:rsidRDefault="00784FA9" w:rsidP="007E3239">
            <w:pPr>
              <w:rPr>
                <w:rFonts w:cs="Segoe UI"/>
                <w:i/>
              </w:rPr>
            </w:pPr>
            <w:r w:rsidRPr="00D604EE">
              <w:rPr>
                <w:rFonts w:cs="Segoe UI"/>
                <w:sz w:val="56"/>
                <w:szCs w:val="144"/>
              </w:rPr>
              <w:t>)</w:t>
            </w:r>
          </w:p>
        </w:tc>
        <w:tc>
          <w:tcPr>
            <w:tcW w:w="290" w:type="dxa"/>
            <w:vAlign w:val="center"/>
          </w:tcPr>
          <w:p w14:paraId="76327BF6" w14:textId="77777777" w:rsidR="00784FA9" w:rsidRPr="00D604EE" w:rsidRDefault="00784FA9" w:rsidP="007E3239">
            <w:pPr>
              <w:rPr>
                <w:rFonts w:cs="Segoe UI"/>
                <w:i/>
              </w:rPr>
            </w:pPr>
            <w:r w:rsidRPr="00D604EE">
              <w:rPr>
                <w:rFonts w:cs="Segoe UI"/>
                <w:i/>
              </w:rPr>
              <w:t>+</w:t>
            </w:r>
          </w:p>
        </w:tc>
        <w:tc>
          <w:tcPr>
            <w:tcW w:w="284" w:type="dxa"/>
            <w:vAlign w:val="center"/>
          </w:tcPr>
          <w:p w14:paraId="09CA70B3" w14:textId="77777777" w:rsidR="00784FA9" w:rsidRPr="00D604EE" w:rsidRDefault="00784FA9" w:rsidP="007E3239">
            <w:pPr>
              <w:rPr>
                <w:rFonts w:cs="Segoe UI"/>
                <w:i/>
              </w:rPr>
            </w:pPr>
            <w:r w:rsidRPr="00D604EE">
              <w:rPr>
                <w:rFonts w:cs="Segoe UI"/>
                <w:sz w:val="56"/>
                <w:szCs w:val="144"/>
              </w:rPr>
              <w:t>(</w:t>
            </w:r>
          </w:p>
        </w:tc>
        <w:tc>
          <w:tcPr>
            <w:tcW w:w="1694" w:type="dxa"/>
            <w:vAlign w:val="center"/>
          </w:tcPr>
          <w:p w14:paraId="36523EE5" w14:textId="77777777" w:rsidR="00784FA9" w:rsidRPr="00D604EE" w:rsidRDefault="00784FA9" w:rsidP="007E3239">
            <w:pPr>
              <w:jc w:val="center"/>
              <w:rPr>
                <w:rFonts w:cs="Segoe UI"/>
                <w:i/>
                <w:sz w:val="18"/>
              </w:rPr>
            </w:pPr>
            <w:r w:rsidRPr="00D604EE">
              <w:rPr>
                <w:rFonts w:cs="Segoe UI"/>
                <w:i/>
                <w:sz w:val="18"/>
              </w:rPr>
              <w:t>Annual growth in biomass carbon stocks in new land use</w:t>
            </w:r>
          </w:p>
        </w:tc>
        <w:tc>
          <w:tcPr>
            <w:tcW w:w="290" w:type="dxa"/>
            <w:vAlign w:val="center"/>
          </w:tcPr>
          <w:p w14:paraId="0C43B60E" w14:textId="77777777" w:rsidR="00784FA9" w:rsidRPr="00D604EE" w:rsidRDefault="00784FA9" w:rsidP="007E3239">
            <w:pPr>
              <w:jc w:val="center"/>
              <w:rPr>
                <w:rFonts w:cs="Segoe UI"/>
                <w:i/>
                <w:sz w:val="18"/>
              </w:rPr>
            </w:pPr>
            <w:r w:rsidRPr="00D604EE">
              <w:rPr>
                <w:rFonts w:cs="Segoe UI"/>
                <w:i/>
                <w:sz w:val="18"/>
              </w:rPr>
              <w:t>×</w:t>
            </w:r>
          </w:p>
        </w:tc>
        <w:tc>
          <w:tcPr>
            <w:tcW w:w="992" w:type="dxa"/>
            <w:vAlign w:val="center"/>
          </w:tcPr>
          <w:p w14:paraId="1CABE8EA" w14:textId="77777777" w:rsidR="00784FA9" w:rsidRPr="00D604EE" w:rsidRDefault="00784FA9" w:rsidP="007E3239">
            <w:pPr>
              <w:spacing w:before="120"/>
              <w:jc w:val="center"/>
              <w:rPr>
                <w:rFonts w:cs="Segoe UI"/>
                <w:i/>
                <w:sz w:val="18"/>
              </w:rPr>
            </w:pPr>
            <w:r w:rsidRPr="00D604EE">
              <w:rPr>
                <w:rFonts w:cs="Segoe UI"/>
                <w:i/>
                <w:sz w:val="18"/>
              </w:rPr>
              <w:t>Activity data (Area)</w:t>
            </w:r>
          </w:p>
        </w:tc>
        <w:tc>
          <w:tcPr>
            <w:tcW w:w="284" w:type="dxa"/>
            <w:vAlign w:val="center"/>
          </w:tcPr>
          <w:p w14:paraId="0A132AD5" w14:textId="77777777" w:rsidR="00784FA9" w:rsidRPr="00D604EE" w:rsidRDefault="00784FA9" w:rsidP="007E3239">
            <w:pPr>
              <w:jc w:val="center"/>
              <w:rPr>
                <w:rFonts w:cs="Segoe UI"/>
                <w:i/>
              </w:rPr>
            </w:pPr>
            <w:r w:rsidRPr="00D604EE">
              <w:rPr>
                <w:rFonts w:cs="Segoe UI"/>
                <w:sz w:val="56"/>
                <w:szCs w:val="144"/>
              </w:rPr>
              <w:t>)</w:t>
            </w:r>
          </w:p>
        </w:tc>
        <w:tc>
          <w:tcPr>
            <w:tcW w:w="435" w:type="dxa"/>
          </w:tcPr>
          <w:p w14:paraId="1C5EEE58" w14:textId="77777777" w:rsidR="00784FA9" w:rsidRPr="00D604EE" w:rsidRDefault="00784FA9" w:rsidP="007E3239">
            <w:pPr>
              <w:rPr>
                <w:rFonts w:cs="Segoe UI"/>
                <w:i/>
              </w:rPr>
            </w:pPr>
          </w:p>
          <w:p w14:paraId="00EA6BF5" w14:textId="77777777" w:rsidR="00784FA9" w:rsidRPr="00D604EE" w:rsidRDefault="00784FA9" w:rsidP="007E3239">
            <w:pPr>
              <w:rPr>
                <w:rFonts w:cs="Segoe UI"/>
                <w:i/>
              </w:rPr>
            </w:pPr>
          </w:p>
          <w:p w14:paraId="3C3C3C25" w14:textId="77777777" w:rsidR="00784FA9" w:rsidRPr="00D604EE" w:rsidRDefault="00784FA9" w:rsidP="007E3239">
            <w:pPr>
              <w:rPr>
                <w:rFonts w:cs="Segoe UI"/>
                <w:sz w:val="56"/>
                <w:szCs w:val="144"/>
              </w:rPr>
            </w:pPr>
            <w:r w:rsidRPr="00D604EE">
              <w:rPr>
                <w:rFonts w:cs="Segoe UI"/>
                <w:i/>
              </w:rPr>
              <w:t>(1)</w:t>
            </w:r>
          </w:p>
        </w:tc>
      </w:tr>
    </w:tbl>
    <w:p w14:paraId="30397860" w14:textId="77777777" w:rsidR="00784FA9" w:rsidRPr="00D604EE" w:rsidRDefault="00784FA9" w:rsidP="00784FA9">
      <w:pPr>
        <w:pStyle w:val="BodyText"/>
        <w:spacing w:after="240"/>
      </w:pPr>
      <w:r w:rsidRPr="00D604EE">
        <w:t xml:space="preserve">The formula used to calculate emissions from mineral soil changes on land use conversion is: </w:t>
      </w:r>
    </w:p>
    <w:tbl>
      <w:tblPr>
        <w:tblW w:w="7479" w:type="dxa"/>
        <w:jc w:val="center"/>
        <w:tblLayout w:type="fixed"/>
        <w:tblLook w:val="04A0" w:firstRow="1" w:lastRow="0" w:firstColumn="1" w:lastColumn="0" w:noHBand="0" w:noVBand="1"/>
      </w:tblPr>
      <w:tblGrid>
        <w:gridCol w:w="2093"/>
        <w:gridCol w:w="425"/>
        <w:gridCol w:w="2268"/>
        <w:gridCol w:w="284"/>
        <w:gridCol w:w="425"/>
        <w:gridCol w:w="850"/>
        <w:gridCol w:w="426"/>
        <w:gridCol w:w="708"/>
      </w:tblGrid>
      <w:tr w:rsidR="00784FA9" w:rsidRPr="00D604EE" w14:paraId="5EE20D64" w14:textId="77777777" w:rsidTr="007E3239">
        <w:trPr>
          <w:jc w:val="center"/>
        </w:trPr>
        <w:tc>
          <w:tcPr>
            <w:tcW w:w="2093" w:type="dxa"/>
          </w:tcPr>
          <w:p w14:paraId="27CBCB20" w14:textId="77777777" w:rsidR="00784FA9" w:rsidRPr="00D604EE" w:rsidRDefault="00784FA9" w:rsidP="007E3239">
            <w:pPr>
              <w:jc w:val="center"/>
              <w:rPr>
                <w:rFonts w:cs="Segoe UI"/>
                <w:i/>
                <w:sz w:val="18"/>
              </w:rPr>
            </w:pPr>
            <w:r w:rsidRPr="00D604EE">
              <w:rPr>
                <w:rFonts w:cs="Segoe UI"/>
                <w:i/>
                <w:sz w:val="18"/>
              </w:rPr>
              <w:t>Mineral soil carbon at steady state in the new land use</w:t>
            </w:r>
          </w:p>
        </w:tc>
        <w:tc>
          <w:tcPr>
            <w:tcW w:w="425" w:type="dxa"/>
            <w:vAlign w:val="center"/>
          </w:tcPr>
          <w:p w14:paraId="503C52B5" w14:textId="77777777" w:rsidR="00784FA9" w:rsidRPr="00D604EE" w:rsidRDefault="00784FA9" w:rsidP="007E3239">
            <w:pPr>
              <w:jc w:val="center"/>
              <w:rPr>
                <w:rFonts w:cs="Segoe UI"/>
                <w:i/>
                <w:sz w:val="18"/>
              </w:rPr>
            </w:pPr>
            <w:r w:rsidRPr="00D604EE">
              <w:rPr>
                <w:rFonts w:cs="Segoe UI"/>
                <w:i/>
                <w:sz w:val="18"/>
              </w:rPr>
              <w:t>—</w:t>
            </w:r>
          </w:p>
        </w:tc>
        <w:tc>
          <w:tcPr>
            <w:tcW w:w="2268" w:type="dxa"/>
          </w:tcPr>
          <w:p w14:paraId="353DB98E" w14:textId="77777777" w:rsidR="00784FA9" w:rsidRPr="00D604EE" w:rsidRDefault="00784FA9" w:rsidP="007E3239">
            <w:pPr>
              <w:jc w:val="center"/>
              <w:rPr>
                <w:rFonts w:cs="Segoe UI"/>
                <w:i/>
                <w:sz w:val="18"/>
              </w:rPr>
            </w:pPr>
            <w:r w:rsidRPr="00D604EE">
              <w:rPr>
                <w:rFonts w:cs="Segoe UI"/>
                <w:i/>
                <w:sz w:val="18"/>
              </w:rPr>
              <w:t>Mineral soil carbon at steady state in the previous land use</w:t>
            </w:r>
          </w:p>
        </w:tc>
        <w:tc>
          <w:tcPr>
            <w:tcW w:w="284" w:type="dxa"/>
            <w:vMerge w:val="restart"/>
            <w:vAlign w:val="center"/>
          </w:tcPr>
          <w:p w14:paraId="1C044139" w14:textId="77777777" w:rsidR="00784FA9" w:rsidRPr="00D604EE" w:rsidRDefault="00784FA9" w:rsidP="007E3239">
            <w:pPr>
              <w:jc w:val="center"/>
              <w:rPr>
                <w:rFonts w:cs="Segoe UI"/>
                <w:i/>
                <w:sz w:val="18"/>
              </w:rPr>
            </w:pPr>
            <w:r w:rsidRPr="00D604EE">
              <w:rPr>
                <w:rFonts w:cs="Segoe UI"/>
                <w:i/>
                <w:sz w:val="18"/>
              </w:rPr>
              <w:t>×</w:t>
            </w:r>
          </w:p>
        </w:tc>
        <w:tc>
          <w:tcPr>
            <w:tcW w:w="425" w:type="dxa"/>
            <w:vMerge w:val="restart"/>
            <w:vAlign w:val="center"/>
          </w:tcPr>
          <w:p w14:paraId="6A46E9DE" w14:textId="77777777" w:rsidR="00784FA9" w:rsidRPr="00D604EE" w:rsidRDefault="00784FA9" w:rsidP="007E3239">
            <w:pPr>
              <w:jc w:val="center"/>
              <w:rPr>
                <w:rFonts w:cs="Segoe UI"/>
                <w:i/>
                <w:sz w:val="18"/>
              </w:rPr>
            </w:pPr>
            <w:r w:rsidRPr="00D604EE">
              <w:rPr>
                <w:rFonts w:cs="Segoe UI"/>
                <w:sz w:val="56"/>
                <w:szCs w:val="144"/>
              </w:rPr>
              <w:t>(</w:t>
            </w:r>
          </w:p>
        </w:tc>
        <w:tc>
          <w:tcPr>
            <w:tcW w:w="850" w:type="dxa"/>
            <w:vMerge w:val="restart"/>
            <w:vAlign w:val="center"/>
          </w:tcPr>
          <w:p w14:paraId="3D86D266" w14:textId="77777777" w:rsidR="00784FA9" w:rsidRPr="00D604EE" w:rsidRDefault="00784FA9" w:rsidP="007E3239">
            <w:pPr>
              <w:jc w:val="center"/>
              <w:rPr>
                <w:rFonts w:cs="Segoe UI"/>
                <w:i/>
                <w:sz w:val="18"/>
              </w:rPr>
            </w:pPr>
            <w:r w:rsidRPr="00D604EE">
              <w:rPr>
                <w:rFonts w:cs="Segoe UI"/>
                <w:i/>
                <w:sz w:val="18"/>
              </w:rPr>
              <w:t>Activity data (Area)</w:t>
            </w:r>
          </w:p>
        </w:tc>
        <w:tc>
          <w:tcPr>
            <w:tcW w:w="426" w:type="dxa"/>
            <w:vMerge w:val="restart"/>
            <w:vAlign w:val="center"/>
          </w:tcPr>
          <w:p w14:paraId="78426A58" w14:textId="77777777" w:rsidR="00784FA9" w:rsidRPr="00D604EE" w:rsidRDefault="00784FA9" w:rsidP="007E3239">
            <w:pPr>
              <w:jc w:val="center"/>
              <w:rPr>
                <w:rFonts w:cs="Segoe UI"/>
                <w:i/>
                <w:sz w:val="18"/>
              </w:rPr>
            </w:pPr>
            <w:r w:rsidRPr="00D604EE">
              <w:rPr>
                <w:rFonts w:cs="Segoe UI"/>
                <w:sz w:val="56"/>
                <w:szCs w:val="144"/>
              </w:rPr>
              <w:t>)</w:t>
            </w:r>
          </w:p>
        </w:tc>
        <w:tc>
          <w:tcPr>
            <w:tcW w:w="708" w:type="dxa"/>
            <w:vMerge w:val="restart"/>
            <w:vAlign w:val="center"/>
          </w:tcPr>
          <w:p w14:paraId="26F6A343" w14:textId="77777777" w:rsidR="00784FA9" w:rsidRPr="00D604EE" w:rsidRDefault="00784FA9" w:rsidP="007E3239">
            <w:pPr>
              <w:jc w:val="right"/>
              <w:rPr>
                <w:rFonts w:cs="Segoe UI"/>
                <w:sz w:val="56"/>
                <w:szCs w:val="144"/>
              </w:rPr>
            </w:pPr>
            <w:r w:rsidRPr="00D604EE">
              <w:rPr>
                <w:rFonts w:cs="Segoe UI"/>
                <w:i/>
              </w:rPr>
              <w:t>(2)</w:t>
            </w:r>
          </w:p>
        </w:tc>
      </w:tr>
      <w:tr w:rsidR="00784FA9" w:rsidRPr="00D604EE" w14:paraId="6A9B5053" w14:textId="77777777" w:rsidTr="007E3239">
        <w:trPr>
          <w:trHeight w:val="99"/>
          <w:jc w:val="center"/>
        </w:trPr>
        <w:tc>
          <w:tcPr>
            <w:tcW w:w="4786" w:type="dxa"/>
            <w:gridSpan w:val="3"/>
          </w:tcPr>
          <w:p w14:paraId="21289D2E" w14:textId="77777777" w:rsidR="00784FA9" w:rsidRPr="00D604EE" w:rsidRDefault="00784FA9" w:rsidP="007E3239">
            <w:pPr>
              <w:jc w:val="center"/>
              <w:rPr>
                <w:rFonts w:cs="Segoe UI"/>
                <w:i/>
                <w:sz w:val="18"/>
                <w:szCs w:val="16"/>
              </w:rPr>
            </w:pPr>
            <w:r w:rsidRPr="00D604EE">
              <w:rPr>
                <w:rFonts w:cs="Segoe UI"/>
                <w:i/>
                <w:sz w:val="18"/>
                <w:szCs w:val="16"/>
              </w:rPr>
              <w:t>________________________________________________</w:t>
            </w:r>
          </w:p>
        </w:tc>
        <w:tc>
          <w:tcPr>
            <w:tcW w:w="284" w:type="dxa"/>
            <w:vMerge/>
          </w:tcPr>
          <w:p w14:paraId="2E22BE1C" w14:textId="77777777" w:rsidR="00784FA9" w:rsidRPr="00D604EE" w:rsidRDefault="00784FA9" w:rsidP="007E3239">
            <w:pPr>
              <w:jc w:val="center"/>
              <w:rPr>
                <w:rFonts w:cs="Segoe UI"/>
                <w:i/>
                <w:sz w:val="18"/>
              </w:rPr>
            </w:pPr>
          </w:p>
        </w:tc>
        <w:tc>
          <w:tcPr>
            <w:tcW w:w="425" w:type="dxa"/>
            <w:vMerge/>
          </w:tcPr>
          <w:p w14:paraId="05E40E32" w14:textId="77777777" w:rsidR="00784FA9" w:rsidRPr="00D604EE" w:rsidRDefault="00784FA9" w:rsidP="007E3239">
            <w:pPr>
              <w:jc w:val="center"/>
              <w:rPr>
                <w:rFonts w:cs="Segoe UI"/>
                <w:i/>
                <w:sz w:val="18"/>
              </w:rPr>
            </w:pPr>
          </w:p>
        </w:tc>
        <w:tc>
          <w:tcPr>
            <w:tcW w:w="850" w:type="dxa"/>
            <w:vMerge/>
          </w:tcPr>
          <w:p w14:paraId="1901355C" w14:textId="77777777" w:rsidR="00784FA9" w:rsidRPr="00D604EE" w:rsidRDefault="00784FA9" w:rsidP="007E3239">
            <w:pPr>
              <w:jc w:val="center"/>
              <w:rPr>
                <w:rFonts w:cs="Segoe UI"/>
                <w:i/>
                <w:sz w:val="18"/>
              </w:rPr>
            </w:pPr>
          </w:p>
        </w:tc>
        <w:tc>
          <w:tcPr>
            <w:tcW w:w="426" w:type="dxa"/>
            <w:vMerge/>
          </w:tcPr>
          <w:p w14:paraId="5E68CFCE" w14:textId="77777777" w:rsidR="00784FA9" w:rsidRPr="00D604EE" w:rsidRDefault="00784FA9" w:rsidP="007E3239">
            <w:pPr>
              <w:jc w:val="center"/>
              <w:rPr>
                <w:rFonts w:cs="Segoe UI"/>
                <w:i/>
                <w:sz w:val="18"/>
              </w:rPr>
            </w:pPr>
          </w:p>
        </w:tc>
        <w:tc>
          <w:tcPr>
            <w:tcW w:w="708" w:type="dxa"/>
            <w:vMerge/>
          </w:tcPr>
          <w:p w14:paraId="75F8F351" w14:textId="77777777" w:rsidR="00784FA9" w:rsidRPr="00D604EE" w:rsidRDefault="00784FA9" w:rsidP="007E3239">
            <w:pPr>
              <w:jc w:val="center"/>
              <w:rPr>
                <w:rFonts w:cs="Segoe UI"/>
                <w:i/>
                <w:sz w:val="18"/>
              </w:rPr>
            </w:pPr>
          </w:p>
        </w:tc>
      </w:tr>
      <w:tr w:rsidR="00784FA9" w:rsidRPr="00D604EE" w14:paraId="3D99839B" w14:textId="77777777" w:rsidTr="007E3239">
        <w:trPr>
          <w:jc w:val="center"/>
        </w:trPr>
        <w:tc>
          <w:tcPr>
            <w:tcW w:w="4786" w:type="dxa"/>
            <w:gridSpan w:val="3"/>
            <w:vAlign w:val="bottom"/>
          </w:tcPr>
          <w:p w14:paraId="6365818D" w14:textId="77777777" w:rsidR="00784FA9" w:rsidRPr="00D604EE" w:rsidRDefault="00784FA9" w:rsidP="007E3239">
            <w:pPr>
              <w:spacing w:before="120"/>
              <w:jc w:val="center"/>
              <w:rPr>
                <w:rFonts w:cs="Segoe UI"/>
                <w:i/>
                <w:sz w:val="18"/>
              </w:rPr>
            </w:pPr>
            <w:r w:rsidRPr="00D604EE">
              <w:rPr>
                <w:rFonts w:cs="Segoe UI"/>
                <w:i/>
                <w:sz w:val="18"/>
              </w:rPr>
              <w:t>20 years (transition period)</w:t>
            </w:r>
          </w:p>
        </w:tc>
        <w:tc>
          <w:tcPr>
            <w:tcW w:w="284" w:type="dxa"/>
            <w:vMerge/>
          </w:tcPr>
          <w:p w14:paraId="4827F2A9" w14:textId="77777777" w:rsidR="00784FA9" w:rsidRPr="00D604EE" w:rsidRDefault="00784FA9" w:rsidP="007E3239">
            <w:pPr>
              <w:jc w:val="center"/>
              <w:rPr>
                <w:rFonts w:cs="Segoe UI"/>
                <w:i/>
                <w:sz w:val="18"/>
              </w:rPr>
            </w:pPr>
          </w:p>
        </w:tc>
        <w:tc>
          <w:tcPr>
            <w:tcW w:w="425" w:type="dxa"/>
            <w:vMerge/>
          </w:tcPr>
          <w:p w14:paraId="3F952193" w14:textId="77777777" w:rsidR="00784FA9" w:rsidRPr="00D604EE" w:rsidRDefault="00784FA9" w:rsidP="007E3239">
            <w:pPr>
              <w:jc w:val="center"/>
              <w:rPr>
                <w:rFonts w:cs="Segoe UI"/>
                <w:i/>
                <w:sz w:val="18"/>
              </w:rPr>
            </w:pPr>
          </w:p>
        </w:tc>
        <w:tc>
          <w:tcPr>
            <w:tcW w:w="850" w:type="dxa"/>
            <w:vMerge/>
          </w:tcPr>
          <w:p w14:paraId="5735D89F" w14:textId="77777777" w:rsidR="00784FA9" w:rsidRPr="00D604EE" w:rsidRDefault="00784FA9" w:rsidP="007E3239">
            <w:pPr>
              <w:jc w:val="center"/>
              <w:rPr>
                <w:rFonts w:cs="Segoe UI"/>
                <w:i/>
                <w:sz w:val="18"/>
              </w:rPr>
            </w:pPr>
          </w:p>
        </w:tc>
        <w:tc>
          <w:tcPr>
            <w:tcW w:w="426" w:type="dxa"/>
            <w:vMerge/>
          </w:tcPr>
          <w:p w14:paraId="47C42BE5" w14:textId="77777777" w:rsidR="00784FA9" w:rsidRPr="00D604EE" w:rsidRDefault="00784FA9" w:rsidP="007E3239">
            <w:pPr>
              <w:jc w:val="center"/>
              <w:rPr>
                <w:rFonts w:cs="Segoe UI"/>
                <w:i/>
                <w:sz w:val="18"/>
              </w:rPr>
            </w:pPr>
          </w:p>
        </w:tc>
        <w:tc>
          <w:tcPr>
            <w:tcW w:w="708" w:type="dxa"/>
            <w:vMerge/>
          </w:tcPr>
          <w:p w14:paraId="4BD4CBC1" w14:textId="77777777" w:rsidR="00784FA9" w:rsidRPr="00D604EE" w:rsidRDefault="00784FA9" w:rsidP="007E3239">
            <w:pPr>
              <w:jc w:val="center"/>
              <w:rPr>
                <w:rFonts w:cs="Segoe UI"/>
                <w:i/>
                <w:sz w:val="18"/>
              </w:rPr>
            </w:pPr>
          </w:p>
        </w:tc>
      </w:tr>
    </w:tbl>
    <w:p w14:paraId="455A98A4" w14:textId="77777777" w:rsidR="00784FA9" w:rsidRPr="00D604EE" w:rsidRDefault="00784FA9" w:rsidP="00784FA9">
      <w:pPr>
        <w:pStyle w:val="BodyText"/>
        <w:spacing w:before="240"/>
      </w:pPr>
      <w:r w:rsidRPr="00D604EE">
        <w:t>For example, the annual change in carbon stock in the first year of conversion of 100 hectares of low</w:t>
      </w:r>
      <w:r w:rsidRPr="00D604EE">
        <w:rPr>
          <w:i/>
        </w:rPr>
        <w:t xml:space="preserve"> </w:t>
      </w:r>
      <w:r w:rsidRPr="00D604EE">
        <w:t>producing grassland to perennial cropland would be calculated as follows:</w:t>
      </w:r>
    </w:p>
    <w:p w14:paraId="3F9EA26C" w14:textId="77777777" w:rsidR="00784FA9" w:rsidRPr="00D604EE" w:rsidRDefault="00784FA9" w:rsidP="00784FA9">
      <w:pPr>
        <w:pStyle w:val="BodyText"/>
        <w:tabs>
          <w:tab w:val="right" w:pos="7938"/>
        </w:tabs>
        <w:spacing w:before="60" w:after="0"/>
        <w:ind w:left="851"/>
      </w:pPr>
      <w:r w:rsidRPr="00D604EE">
        <w:t xml:space="preserve">Biomass change = (–2.867 </w:t>
      </w:r>
      <w:r w:rsidRPr="00D604EE">
        <w:rPr>
          <w:sz w:val="18"/>
        </w:rPr>
        <w:t>×</w:t>
      </w:r>
      <w:r w:rsidRPr="00D604EE">
        <w:t xml:space="preserve"> 100) + (0.67 </w:t>
      </w:r>
      <w:r w:rsidRPr="00D604EE">
        <w:rPr>
          <w:sz w:val="18"/>
        </w:rPr>
        <w:t>×</w:t>
      </w:r>
      <w:r w:rsidRPr="00D604EE">
        <w:t xml:space="preserve"> 100) = –219.7 tonnes C</w:t>
      </w:r>
      <w:r w:rsidRPr="00D604EE">
        <w:tab/>
      </w:r>
      <w:r w:rsidRPr="00D604EE">
        <w:rPr>
          <w:i/>
        </w:rPr>
        <w:t>(1)</w:t>
      </w:r>
    </w:p>
    <w:p w14:paraId="43C9D0B7" w14:textId="77777777" w:rsidR="00784FA9" w:rsidRPr="00D604EE" w:rsidRDefault="00784FA9" w:rsidP="00784FA9">
      <w:pPr>
        <w:pStyle w:val="BodyText"/>
        <w:tabs>
          <w:tab w:val="right" w:pos="7938"/>
        </w:tabs>
        <w:spacing w:after="0"/>
        <w:ind w:left="851"/>
      </w:pPr>
      <w:r w:rsidRPr="00D604EE">
        <w:t xml:space="preserve">Mineral soil change = ((88.44 – 105.98) / 20) </w:t>
      </w:r>
      <w:r w:rsidRPr="00D604EE">
        <w:rPr>
          <w:sz w:val="18"/>
        </w:rPr>
        <w:t>×</w:t>
      </w:r>
      <w:r w:rsidRPr="00D604EE">
        <w:t xml:space="preserve"> 100 = –87.7 tonnes C </w:t>
      </w:r>
      <w:r w:rsidRPr="00D604EE">
        <w:tab/>
      </w:r>
      <w:r w:rsidRPr="00D604EE">
        <w:rPr>
          <w:i/>
        </w:rPr>
        <w:t>(2)</w:t>
      </w:r>
    </w:p>
    <w:p w14:paraId="3058E143" w14:textId="77777777" w:rsidR="00784FA9" w:rsidRPr="00D604EE" w:rsidRDefault="00784FA9" w:rsidP="00784FA9">
      <w:pPr>
        <w:pStyle w:val="BodyText"/>
        <w:tabs>
          <w:tab w:val="right" w:pos="7938"/>
        </w:tabs>
        <w:spacing w:after="0"/>
        <w:ind w:left="851"/>
      </w:pPr>
      <w:r w:rsidRPr="00D604EE">
        <w:t>Total carbon stock change = –307.4 tonnes C</w:t>
      </w:r>
    </w:p>
    <w:p w14:paraId="5CC68694" w14:textId="77777777" w:rsidR="00784FA9" w:rsidRPr="00D604EE" w:rsidRDefault="00784FA9" w:rsidP="00784FA9">
      <w:pPr>
        <w:pStyle w:val="BodyText"/>
        <w:tabs>
          <w:tab w:val="right" w:pos="7938"/>
        </w:tabs>
        <w:spacing w:after="0"/>
        <w:ind w:left="851"/>
      </w:pPr>
      <w:r w:rsidRPr="00D604EE">
        <w:t xml:space="preserve">Total emissions = (carbon stock change / 1,000 </w:t>
      </w:r>
      <w:r w:rsidRPr="00D604EE">
        <w:rPr>
          <w:sz w:val="18"/>
        </w:rPr>
        <w:t>×</w:t>
      </w:r>
      <w:r w:rsidRPr="00D604EE">
        <w:t xml:space="preserve"> –1) </w:t>
      </w:r>
      <w:r w:rsidRPr="00D604EE">
        <w:rPr>
          <w:sz w:val="18"/>
        </w:rPr>
        <w:t>×</w:t>
      </w:r>
      <w:r w:rsidRPr="00D604EE">
        <w:t xml:space="preserve"> (44/12)</w:t>
      </w:r>
    </w:p>
    <w:p w14:paraId="4725C14B" w14:textId="77777777" w:rsidR="00784FA9" w:rsidRPr="00D604EE" w:rsidRDefault="00784FA9" w:rsidP="00784FA9">
      <w:pPr>
        <w:pStyle w:val="BodyText"/>
        <w:tabs>
          <w:tab w:val="right" w:pos="7938"/>
        </w:tabs>
        <w:ind w:left="851"/>
      </w:pPr>
      <w:r w:rsidRPr="00D604EE">
        <w:t>Total emissions = 1.127 kt CO</w:t>
      </w:r>
      <w:r w:rsidRPr="00D604EE">
        <w:rPr>
          <w:vertAlign w:val="subscript"/>
        </w:rPr>
        <w:t>2</w:t>
      </w:r>
    </w:p>
    <w:p w14:paraId="0E7538CF" w14:textId="77777777" w:rsidR="00784FA9" w:rsidRPr="00D604EE" w:rsidRDefault="00784FA9" w:rsidP="00784FA9">
      <w:pPr>
        <w:pStyle w:val="BodyText"/>
      </w:pPr>
      <w:r w:rsidRPr="00D604EE">
        <w:t xml:space="preserve">These calculations have been performed to produce estimates of annual carbon stock and carbon stock changes since 1990. </w:t>
      </w:r>
    </w:p>
    <w:p w14:paraId="42111984" w14:textId="77777777" w:rsidR="00784FA9" w:rsidRPr="00D604EE" w:rsidRDefault="00784FA9" w:rsidP="00784FA9">
      <w:pPr>
        <w:pStyle w:val="BodyText"/>
      </w:pPr>
      <w:r w:rsidRPr="00D604EE">
        <w:t>Note: New Zealand applies the 2006 IPCC Guidelines (IPCC, 2006a) default transition period of 20 years. The area of all land use categories is reported in the conversion status for 20 years, after which it is reported in the land remaining land categories.</w:t>
      </w:r>
    </w:p>
    <w:p w14:paraId="250CBF43" w14:textId="77777777" w:rsidR="00784FA9" w:rsidRPr="00D604EE" w:rsidRDefault="00784FA9" w:rsidP="00784FA9">
      <w:pPr>
        <w:pStyle w:val="Heading4"/>
      </w:pPr>
      <w:bookmarkStart w:id="1354" w:name="_Toc280630208"/>
      <w:bookmarkStart w:id="1355" w:name="_Toc255466297"/>
      <w:bookmarkStart w:id="1356" w:name="_Toc261513104"/>
      <w:bookmarkStart w:id="1357" w:name="_Toc261513717"/>
      <w:r w:rsidRPr="00D604EE">
        <w:t>New Zealand Land Use and Carbon Analysis System</w:t>
      </w:r>
      <w:bookmarkEnd w:id="1354"/>
    </w:p>
    <w:p w14:paraId="75122CCD" w14:textId="77777777" w:rsidR="00784FA9" w:rsidRPr="00D604EE" w:rsidRDefault="00784FA9" w:rsidP="00784FA9">
      <w:pPr>
        <w:pStyle w:val="BodyText"/>
      </w:pPr>
      <w:r w:rsidRPr="00D604EE">
        <w:t>New Zealand’s LULUCF estimates are calculated using a program of data collection and modelling called the Land Use and Carbon Analysis System (LUCAS)</w:t>
      </w:r>
      <w:r w:rsidRPr="00784FA9">
        <w:rPr>
          <w:color w:val="000000"/>
        </w:rPr>
        <w:t>.</w:t>
      </w:r>
      <w:r w:rsidRPr="00D604EE">
        <w:t xml:space="preserve"> This data management system stores, manages and retrieves data for international greenhouse gas reporting for the LULUCF sector. Further details on LUCAS, as well as the databases and applications it draws on, are provided in annex 3.2.9. </w:t>
      </w:r>
      <w:bookmarkEnd w:id="1355"/>
      <w:bookmarkEnd w:id="1356"/>
      <w:bookmarkEnd w:id="1357"/>
    </w:p>
    <w:p w14:paraId="554DAEE8" w14:textId="77777777" w:rsidR="00784FA9" w:rsidRPr="00D604EE" w:rsidRDefault="00784FA9" w:rsidP="00784FA9">
      <w:pPr>
        <w:pStyle w:val="Heading3"/>
      </w:pPr>
      <w:bookmarkStart w:id="1358" w:name="_Toc280630220"/>
      <w:r w:rsidRPr="00D604EE">
        <w:t>6.1.3</w:t>
      </w:r>
      <w:r w:rsidRPr="00D604EE">
        <w:tab/>
        <w:t>Uncertainties in LULUCF</w:t>
      </w:r>
      <w:bookmarkEnd w:id="1358"/>
    </w:p>
    <w:p w14:paraId="203BCCA1" w14:textId="77777777" w:rsidR="00784FA9" w:rsidRPr="00D604EE" w:rsidRDefault="00784FA9" w:rsidP="00784FA9">
      <w:pPr>
        <w:pStyle w:val="BodyText"/>
      </w:pPr>
      <w:r w:rsidRPr="00D604EE">
        <w:t xml:space="preserve">Uncertainty for the LULUCF sector has been calculated as 56.7 per cent using the Approach 1 </w:t>
      </w:r>
      <w:r w:rsidRPr="00D604EE">
        <w:br/>
        <w:t xml:space="preserve">– propagation of error method as specified in volume 1, chapter 3 of the 2006 IPCC General Guidance and Reporting (IPCC, 2006b). Given this uncertainty, net emissions from the LULUCF </w:t>
      </w:r>
      <w:r w:rsidRPr="00D604EE">
        <w:lastRenderedPageBreak/>
        <w:t>sector could range from –10,171.1</w:t>
      </w:r>
      <w:r>
        <w:t> </w:t>
      </w:r>
      <w:r w:rsidRPr="00D604EE">
        <w:t>kt CO</w:t>
      </w:r>
      <w:r w:rsidRPr="00D604EE">
        <w:rPr>
          <w:vertAlign w:val="subscript"/>
        </w:rPr>
        <w:t>2</w:t>
      </w:r>
      <w:r w:rsidRPr="00D604EE">
        <w:t>-e to –36,774.1 kt CO</w:t>
      </w:r>
      <w:r w:rsidRPr="00D604EE">
        <w:rPr>
          <w:vertAlign w:val="subscript"/>
        </w:rPr>
        <w:t>2</w:t>
      </w:r>
      <w:r w:rsidRPr="00D604EE">
        <w:t xml:space="preserve">-e. Table 6.1.5 shows the three land use categories within the LULUCF sector that make the greatest contribution to uncertainty in the net carbon emissions for the sector. These are given in descending order. </w:t>
      </w:r>
    </w:p>
    <w:p w14:paraId="312607DE" w14:textId="77777777" w:rsidR="00784FA9" w:rsidRPr="00D604EE" w:rsidRDefault="00784FA9" w:rsidP="00784FA9">
      <w:pPr>
        <w:pStyle w:val="Table"/>
      </w:pPr>
      <w:bookmarkStart w:id="1359" w:name="_Toc310423396"/>
      <w:bookmarkStart w:id="1360" w:name="_Toc318362689"/>
      <w:bookmarkStart w:id="1361" w:name="_Toc342470751"/>
      <w:bookmarkStart w:id="1362" w:name="_Toc352504991"/>
      <w:bookmarkStart w:id="1363" w:name="_Toc378853277"/>
      <w:bookmarkStart w:id="1364" w:name="_Toc391024075"/>
      <w:bookmarkStart w:id="1365" w:name="_Toc410028818"/>
      <w:bookmarkStart w:id="1366" w:name="_Toc414531446"/>
      <w:bookmarkStart w:id="1367" w:name="_Toc443645359"/>
      <w:bookmarkStart w:id="1368" w:name="_Toc474914578"/>
      <w:bookmarkStart w:id="1369" w:name="_Toc481751542"/>
      <w:bookmarkStart w:id="1370" w:name="_Toc522010599"/>
      <w:bookmarkStart w:id="1371" w:name="_Toc5269504"/>
      <w:bookmarkStart w:id="1372" w:name="_Toc33529380"/>
      <w:bookmarkStart w:id="1373" w:name="_Toc36224586"/>
      <w:bookmarkStart w:id="1374" w:name="_Toc65243581"/>
      <w:bookmarkStart w:id="1375" w:name="_Toc99659274"/>
      <w:r w:rsidRPr="00D604EE">
        <w:t>Table 6.1.5</w:t>
      </w:r>
      <w:r w:rsidRPr="00D604EE">
        <w:tab/>
        <w:t>Land use categories making the greatest contribution to uncertainty in the LULUCF sector</w:t>
      </w:r>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4678"/>
        <w:gridCol w:w="3827"/>
      </w:tblGrid>
      <w:tr w:rsidR="00784FA9" w:rsidRPr="00D604EE" w14:paraId="6810D41B" w14:textId="77777777" w:rsidTr="00095931">
        <w:tc>
          <w:tcPr>
            <w:tcW w:w="4678" w:type="dxa"/>
            <w:shd w:val="clear" w:color="auto" w:fill="1B556B"/>
            <w:noWrap/>
            <w:vAlign w:val="bottom"/>
            <w:hideMark/>
          </w:tcPr>
          <w:p w14:paraId="1B089F26" w14:textId="77777777" w:rsidR="00784FA9" w:rsidRPr="00D604EE" w:rsidRDefault="00784FA9" w:rsidP="007E3239">
            <w:pPr>
              <w:pStyle w:val="TableTextBold"/>
              <w:keepNext/>
              <w:spacing w:before="50" w:after="50"/>
              <w:rPr>
                <w:rFonts w:eastAsia="Arial Bold"/>
                <w:noProof w:val="0"/>
                <w:color w:val="FFFFFF"/>
              </w:rPr>
            </w:pPr>
            <w:r w:rsidRPr="00D604EE">
              <w:rPr>
                <w:rFonts w:eastAsia="Arial Bold"/>
                <w:noProof w:val="0"/>
                <w:color w:val="FFFFFF"/>
              </w:rPr>
              <w:t>Land use category</w:t>
            </w:r>
          </w:p>
        </w:tc>
        <w:tc>
          <w:tcPr>
            <w:tcW w:w="3827" w:type="dxa"/>
            <w:shd w:val="clear" w:color="auto" w:fill="1B556B"/>
            <w:noWrap/>
            <w:vAlign w:val="bottom"/>
            <w:hideMark/>
          </w:tcPr>
          <w:p w14:paraId="34CE43EE" w14:textId="77777777" w:rsidR="00784FA9" w:rsidRPr="00D604EE" w:rsidRDefault="00784FA9" w:rsidP="007E3239">
            <w:pPr>
              <w:pStyle w:val="TableTextBold"/>
              <w:keepNext/>
              <w:spacing w:before="50" w:after="50"/>
              <w:jc w:val="center"/>
              <w:rPr>
                <w:rFonts w:eastAsia="Arial Bold"/>
                <w:noProof w:val="0"/>
                <w:color w:val="FFFFFF"/>
              </w:rPr>
            </w:pPr>
            <w:r w:rsidRPr="00D604EE">
              <w:rPr>
                <w:rFonts w:eastAsia="Arial Bold"/>
                <w:noProof w:val="0"/>
                <w:color w:val="FFFFFF"/>
              </w:rPr>
              <w:t>Uncertainty introduced into emissions for LULUCF (%)</w:t>
            </w:r>
          </w:p>
        </w:tc>
      </w:tr>
      <w:tr w:rsidR="00784FA9" w:rsidRPr="00D604EE" w14:paraId="29AE98A4" w14:textId="77777777" w:rsidTr="00095931">
        <w:tc>
          <w:tcPr>
            <w:tcW w:w="4678" w:type="dxa"/>
            <w:shd w:val="clear" w:color="auto" w:fill="auto"/>
            <w:noWrap/>
            <w:hideMark/>
          </w:tcPr>
          <w:p w14:paraId="68A5F70F" w14:textId="77777777" w:rsidR="00784FA9" w:rsidRPr="00D604EE" w:rsidRDefault="00784FA9" w:rsidP="007E3239">
            <w:pPr>
              <w:pStyle w:val="TableText"/>
              <w:keepNext/>
              <w:spacing w:before="50" w:after="50"/>
              <w:rPr>
                <w:rFonts w:eastAsia="Arial Bold"/>
              </w:rPr>
            </w:pPr>
            <w:r w:rsidRPr="00D604EE">
              <w:rPr>
                <w:rFonts w:eastAsia="Arial Bold"/>
              </w:rPr>
              <w:t xml:space="preserve">Pre-1990 planted forest remaining pre-1990 planted forest </w:t>
            </w:r>
          </w:p>
        </w:tc>
        <w:tc>
          <w:tcPr>
            <w:tcW w:w="3827" w:type="dxa"/>
            <w:shd w:val="clear" w:color="auto" w:fill="auto"/>
            <w:noWrap/>
            <w:hideMark/>
          </w:tcPr>
          <w:p w14:paraId="4203DFD4" w14:textId="77777777" w:rsidR="00784FA9" w:rsidRPr="00D604EE" w:rsidRDefault="00784FA9" w:rsidP="007E3239">
            <w:pPr>
              <w:pStyle w:val="TableText"/>
              <w:keepNext/>
              <w:tabs>
                <w:tab w:val="decimal" w:pos="511"/>
              </w:tabs>
              <w:spacing w:before="50" w:after="50"/>
              <w:jc w:val="center"/>
              <w:rPr>
                <w:rFonts w:eastAsia="Arial Bold"/>
              </w:rPr>
            </w:pPr>
            <w:r w:rsidRPr="00D604EE">
              <w:t>48.3</w:t>
            </w:r>
          </w:p>
        </w:tc>
      </w:tr>
      <w:tr w:rsidR="00784FA9" w:rsidRPr="00D604EE" w14:paraId="2ADFF3F0" w14:textId="77777777" w:rsidTr="00095931">
        <w:tc>
          <w:tcPr>
            <w:tcW w:w="4678" w:type="dxa"/>
            <w:shd w:val="clear" w:color="auto" w:fill="auto"/>
            <w:noWrap/>
            <w:hideMark/>
          </w:tcPr>
          <w:p w14:paraId="2A229024" w14:textId="77777777" w:rsidR="00784FA9" w:rsidRPr="00D604EE" w:rsidRDefault="00784FA9" w:rsidP="007E3239">
            <w:pPr>
              <w:pStyle w:val="TableText"/>
              <w:keepNext/>
              <w:spacing w:before="50" w:after="50"/>
              <w:rPr>
                <w:rFonts w:eastAsia="Arial Bold"/>
              </w:rPr>
            </w:pPr>
            <w:r w:rsidRPr="00D604EE">
              <w:rPr>
                <w:rFonts w:eastAsia="Arial Bold"/>
              </w:rPr>
              <w:t>Harvested wood products</w:t>
            </w:r>
          </w:p>
        </w:tc>
        <w:tc>
          <w:tcPr>
            <w:tcW w:w="3827" w:type="dxa"/>
            <w:shd w:val="clear" w:color="auto" w:fill="auto"/>
            <w:noWrap/>
            <w:hideMark/>
          </w:tcPr>
          <w:p w14:paraId="0B007046" w14:textId="77777777" w:rsidR="00784FA9" w:rsidRPr="00D604EE" w:rsidRDefault="00784FA9" w:rsidP="007E3239">
            <w:pPr>
              <w:pStyle w:val="TableText"/>
              <w:keepNext/>
              <w:tabs>
                <w:tab w:val="decimal" w:pos="511"/>
              </w:tabs>
              <w:spacing w:before="50" w:after="50"/>
              <w:jc w:val="center"/>
              <w:rPr>
                <w:rFonts w:eastAsia="Arial Bold"/>
              </w:rPr>
            </w:pPr>
            <w:r w:rsidRPr="00D604EE">
              <w:t>20.0</w:t>
            </w:r>
          </w:p>
        </w:tc>
      </w:tr>
      <w:tr w:rsidR="00784FA9" w:rsidRPr="00D604EE" w14:paraId="193173B6" w14:textId="77777777" w:rsidTr="00095931">
        <w:tc>
          <w:tcPr>
            <w:tcW w:w="4678" w:type="dxa"/>
            <w:shd w:val="clear" w:color="auto" w:fill="auto"/>
            <w:noWrap/>
            <w:hideMark/>
          </w:tcPr>
          <w:p w14:paraId="6C9E151A" w14:textId="77777777" w:rsidR="00784FA9" w:rsidRPr="00D604EE" w:rsidRDefault="00784FA9" w:rsidP="007E3239">
            <w:pPr>
              <w:pStyle w:val="TableText"/>
              <w:spacing w:before="50" w:after="50"/>
              <w:rPr>
                <w:rFonts w:eastAsia="Arial Bold"/>
              </w:rPr>
            </w:pPr>
            <w:r w:rsidRPr="00D604EE">
              <w:rPr>
                <w:rFonts w:eastAsia="Arial Bold"/>
              </w:rPr>
              <w:t>Pre-1990 natural forest remaining pre-1990 natural forest</w:t>
            </w:r>
          </w:p>
        </w:tc>
        <w:tc>
          <w:tcPr>
            <w:tcW w:w="3827" w:type="dxa"/>
            <w:shd w:val="clear" w:color="auto" w:fill="auto"/>
            <w:noWrap/>
            <w:hideMark/>
          </w:tcPr>
          <w:p w14:paraId="079C7B43" w14:textId="77777777" w:rsidR="00784FA9" w:rsidRPr="00D604EE" w:rsidRDefault="00784FA9" w:rsidP="007E3239">
            <w:pPr>
              <w:pStyle w:val="TableText"/>
              <w:tabs>
                <w:tab w:val="decimal" w:pos="511"/>
              </w:tabs>
              <w:spacing w:before="50" w:after="50"/>
              <w:jc w:val="center"/>
              <w:rPr>
                <w:rFonts w:eastAsia="Arial Bold"/>
              </w:rPr>
            </w:pPr>
            <w:r w:rsidRPr="00D604EE">
              <w:t>15.5</w:t>
            </w:r>
          </w:p>
        </w:tc>
      </w:tr>
    </w:tbl>
    <w:p w14:paraId="1930D3B4" w14:textId="403A0A92" w:rsidR="00784FA9" w:rsidRPr="00D604EE" w:rsidRDefault="00784FA9" w:rsidP="00784FA9">
      <w:pPr>
        <w:pStyle w:val="BodyText"/>
        <w:spacing w:before="240"/>
      </w:pPr>
      <w:r w:rsidRPr="00D604EE">
        <w:t>The greatest contribution of uncertainty to the LULUCF sector arises from pre-1990 planted forest remaining pre-1990 planted forest in the</w:t>
      </w:r>
      <w:r w:rsidRPr="00D604EE">
        <w:rPr>
          <w:i/>
        </w:rPr>
        <w:t xml:space="preserve"> Forest land </w:t>
      </w:r>
      <w:r w:rsidRPr="00D604EE">
        <w:t>category</w:t>
      </w:r>
      <w:r w:rsidRPr="00D604EE">
        <w:rPr>
          <w:i/>
        </w:rPr>
        <w:t>.</w:t>
      </w:r>
      <w:r w:rsidRPr="00D604EE">
        <w:t xml:space="preserve"> The age structure of the pre-1990 planted forest estate results in large removals from growth and large emissions from harvesting. The uncertainty is calculated by combining the uncertainty of both the emissions from harvest and those from forest growth. This results in a high uncertainty relative to the net emissions estimate from both the carbon gains and losses. </w:t>
      </w:r>
    </w:p>
    <w:p w14:paraId="013657EB" w14:textId="77777777" w:rsidR="00784FA9" w:rsidRPr="00D604EE" w:rsidRDefault="00784FA9" w:rsidP="00784FA9">
      <w:pPr>
        <w:pStyle w:val="BodyText"/>
      </w:pPr>
      <w:r w:rsidRPr="00D604EE">
        <w:rPr>
          <w:i/>
        </w:rPr>
        <w:t>Harvested wood products</w:t>
      </w:r>
      <w:r w:rsidRPr="00D604EE">
        <w:t xml:space="preserve"> provide the second-greatest contribution to uncertainty in the LULUCF sector. This is driven by large removals in the category and relatively high uncertainty associated with the end-use and discard rates of New Zealand wood (±67.4 per cent).</w:t>
      </w:r>
    </w:p>
    <w:p w14:paraId="1CD77657" w14:textId="77777777" w:rsidR="00784FA9" w:rsidRPr="00D604EE" w:rsidRDefault="00784FA9" w:rsidP="00784FA9">
      <w:pPr>
        <w:pStyle w:val="BodyText"/>
      </w:pPr>
      <w:r w:rsidRPr="00D604EE">
        <w:t>The third-greatest contribution of uncertainty to the LULUCF sector comes from the pre-1990 natural forest remaining pre-1990 natural forest in the</w:t>
      </w:r>
      <w:r w:rsidRPr="00D604EE">
        <w:rPr>
          <w:i/>
        </w:rPr>
        <w:t xml:space="preserve"> Forest land </w:t>
      </w:r>
      <w:r w:rsidRPr="00D604EE">
        <w:t>category. This is due to the large uncertainty relative to the small changes in biomass in this forest type.</w:t>
      </w:r>
    </w:p>
    <w:p w14:paraId="10E3A247" w14:textId="77777777" w:rsidR="00784FA9" w:rsidRPr="00D604EE" w:rsidRDefault="00784FA9" w:rsidP="00784FA9">
      <w:pPr>
        <w:pStyle w:val="BodyText"/>
      </w:pPr>
      <w:r w:rsidRPr="00D604EE">
        <w:t xml:space="preserve">Further information on uncertainties and the reasons for their relative contributions to the LULUCF sector, as well as details on emission factor and activity data uncertainties for specific land uses and non-carbon emissions are given within the relevant category sections of this chapter. </w:t>
      </w:r>
    </w:p>
    <w:p w14:paraId="07D54564" w14:textId="77777777" w:rsidR="00784FA9" w:rsidRPr="00D604EE" w:rsidRDefault="00784FA9" w:rsidP="00784FA9">
      <w:pPr>
        <w:pStyle w:val="Heading3"/>
      </w:pPr>
      <w:bookmarkStart w:id="1376" w:name="_Toc280630221"/>
      <w:r w:rsidRPr="00D604EE">
        <w:t>6.1.4</w:t>
      </w:r>
      <w:r w:rsidRPr="00D604EE">
        <w:tab/>
        <w:t>Recalculations in LULUCF</w:t>
      </w:r>
      <w:bookmarkEnd w:id="1376"/>
    </w:p>
    <w:p w14:paraId="1BD3C304" w14:textId="77777777" w:rsidR="00784FA9" w:rsidRPr="00D604EE" w:rsidRDefault="00784FA9" w:rsidP="00784FA9">
      <w:pPr>
        <w:pStyle w:val="BodyText"/>
      </w:pPr>
      <w:r w:rsidRPr="00D604EE">
        <w:t>For the 2022 submission, New Zealand has recalculated its emission estimates for the LULUCF sector from 1990 to 2019. The recalculations incorporate new activity data from deforestation mapping,</w:t>
      </w:r>
      <w:r w:rsidRPr="00D604EE" w:rsidDel="006E000C">
        <w:t xml:space="preserve"> </w:t>
      </w:r>
      <w:r w:rsidRPr="00D604EE">
        <w:t xml:space="preserve">updated emission factors, updates to the </w:t>
      </w:r>
      <w:r w:rsidRPr="00D604EE">
        <w:rPr>
          <w:i/>
        </w:rPr>
        <w:t>Harvested wood products</w:t>
      </w:r>
      <w:r w:rsidRPr="00D604EE">
        <w:t xml:space="preserve"> model and significant improvements to the planted forest activity data calculations on harvesting, deforestation and the forest age profile. These recalculations have improved the accuracy, consistency and completeness of the LULUCF estimates. </w:t>
      </w:r>
    </w:p>
    <w:p w14:paraId="25ED3CB2" w14:textId="77777777" w:rsidR="00784FA9" w:rsidRPr="00D604EE" w:rsidRDefault="00784FA9" w:rsidP="00784FA9">
      <w:pPr>
        <w:pStyle w:val="BodyText"/>
      </w:pPr>
      <w:r w:rsidRPr="00D604EE">
        <w:t xml:space="preserve">As a result of the recalculations, estimates of net emissions in 1990 have increased by 11.6 per </w:t>
      </w:r>
      <w:r w:rsidRPr="00D604EE">
        <w:rPr>
          <w:spacing w:val="-2"/>
        </w:rPr>
        <w:t>cent, and net emissions in 2019 have increased by 16.0 per cent (see table 6.1.6). The impact of these recalculations on net CO</w:t>
      </w:r>
      <w:r w:rsidRPr="00D604EE">
        <w:rPr>
          <w:spacing w:val="-2"/>
          <w:vertAlign w:val="subscript"/>
        </w:rPr>
        <w:t>2</w:t>
      </w:r>
      <w:r w:rsidRPr="00D604EE">
        <w:rPr>
          <w:spacing w:val="-2"/>
        </w:rPr>
        <w:t>-e emissions in each land use category is provided in table 6.1.7</w:t>
      </w:r>
      <w:r w:rsidRPr="00D604EE">
        <w:t xml:space="preserve">. </w:t>
      </w:r>
    </w:p>
    <w:p w14:paraId="193E3865" w14:textId="77777777" w:rsidR="00784FA9" w:rsidRPr="00D604EE" w:rsidRDefault="00784FA9" w:rsidP="00784FA9">
      <w:pPr>
        <w:pStyle w:val="Table"/>
      </w:pPr>
      <w:bookmarkStart w:id="1377" w:name="_Toc310423397"/>
      <w:bookmarkStart w:id="1378" w:name="_Toc318362690"/>
      <w:bookmarkStart w:id="1379" w:name="_Toc342470752"/>
      <w:bookmarkStart w:id="1380" w:name="_Toc352504992"/>
      <w:bookmarkStart w:id="1381" w:name="_Toc378853278"/>
      <w:bookmarkStart w:id="1382" w:name="_Toc391024076"/>
      <w:bookmarkStart w:id="1383" w:name="_Toc410028819"/>
      <w:bookmarkStart w:id="1384" w:name="_Toc414531447"/>
      <w:bookmarkStart w:id="1385" w:name="_Toc443645360"/>
      <w:bookmarkStart w:id="1386" w:name="_Toc474914579"/>
      <w:bookmarkStart w:id="1387" w:name="_Toc481751543"/>
      <w:bookmarkStart w:id="1388" w:name="_Toc522010600"/>
      <w:bookmarkStart w:id="1389" w:name="_Toc5269505"/>
      <w:bookmarkStart w:id="1390" w:name="_Toc33529381"/>
      <w:bookmarkStart w:id="1391" w:name="_Toc36224587"/>
      <w:bookmarkStart w:id="1392" w:name="_Toc65243582"/>
      <w:bookmarkStart w:id="1393" w:name="_Toc99659275"/>
      <w:r w:rsidRPr="00D604EE">
        <w:t>Table 6.1.6</w:t>
      </w:r>
      <w:r w:rsidRPr="00D604EE">
        <w:tab/>
        <w:t>Recalculations to New Zealand’s total net LULUCF emissions</w:t>
      </w:r>
      <w:bookmarkEnd w:id="1377"/>
      <w:bookmarkEnd w:id="1378"/>
      <w:bookmarkEnd w:id="1379"/>
      <w:bookmarkEnd w:id="1380"/>
      <w:bookmarkEnd w:id="1381"/>
      <w:r w:rsidRPr="00D604EE">
        <w:t xml:space="preserve"> for 1990 and</w:t>
      </w:r>
      <w:bookmarkEnd w:id="1382"/>
      <w:r w:rsidRPr="00D604EE">
        <w:t> </w:t>
      </w:r>
      <w:bookmarkEnd w:id="1383"/>
      <w:bookmarkEnd w:id="1384"/>
      <w:bookmarkEnd w:id="1385"/>
      <w:bookmarkEnd w:id="1386"/>
      <w:bookmarkEnd w:id="1387"/>
      <w:bookmarkEnd w:id="1388"/>
      <w:bookmarkEnd w:id="1389"/>
      <w:bookmarkEnd w:id="1390"/>
      <w:bookmarkEnd w:id="1391"/>
      <w:bookmarkEnd w:id="1392"/>
      <w:r w:rsidRPr="00D604EE">
        <w:t>2019</w:t>
      </w:r>
      <w:bookmarkEnd w:id="1393"/>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851"/>
        <w:gridCol w:w="2410"/>
        <w:gridCol w:w="2188"/>
        <w:gridCol w:w="1533"/>
        <w:gridCol w:w="1523"/>
      </w:tblGrid>
      <w:tr w:rsidR="00784FA9" w:rsidRPr="00D604EE" w14:paraId="721277EB" w14:textId="77777777" w:rsidTr="00095931">
        <w:tc>
          <w:tcPr>
            <w:tcW w:w="851" w:type="dxa"/>
            <w:shd w:val="clear" w:color="auto" w:fill="1B556B"/>
          </w:tcPr>
          <w:p w14:paraId="03062D9C" w14:textId="77777777" w:rsidR="00784FA9" w:rsidRPr="00D604EE" w:rsidRDefault="00784FA9" w:rsidP="007E3239">
            <w:pPr>
              <w:pStyle w:val="TableTextBold"/>
              <w:spacing w:after="0"/>
              <w:rPr>
                <w:noProof w:val="0"/>
                <w:color w:val="FFFFFF"/>
              </w:rPr>
            </w:pPr>
          </w:p>
        </w:tc>
        <w:tc>
          <w:tcPr>
            <w:tcW w:w="4598" w:type="dxa"/>
            <w:gridSpan w:val="2"/>
            <w:shd w:val="clear" w:color="auto" w:fill="1B556B"/>
          </w:tcPr>
          <w:p w14:paraId="1F106A44" w14:textId="77777777" w:rsidR="00784FA9" w:rsidRPr="00D604EE" w:rsidRDefault="00784FA9" w:rsidP="007E3239">
            <w:pPr>
              <w:pStyle w:val="TableTextBold"/>
              <w:spacing w:after="40"/>
              <w:jc w:val="center"/>
              <w:rPr>
                <w:noProof w:val="0"/>
                <w:color w:val="FFFFFF"/>
              </w:rPr>
            </w:pPr>
            <w:r w:rsidRPr="00D604EE">
              <w:rPr>
                <w:noProof w:val="0"/>
                <w:color w:val="FFFFFF"/>
              </w:rPr>
              <w:t>Reported net emissions</w:t>
            </w:r>
          </w:p>
        </w:tc>
        <w:tc>
          <w:tcPr>
            <w:tcW w:w="3056" w:type="dxa"/>
            <w:gridSpan w:val="2"/>
            <w:shd w:val="clear" w:color="auto" w:fill="1B556B"/>
          </w:tcPr>
          <w:p w14:paraId="53C97175" w14:textId="77777777" w:rsidR="00784FA9" w:rsidRPr="00D604EE" w:rsidRDefault="00784FA9" w:rsidP="007E3239">
            <w:pPr>
              <w:pStyle w:val="TableTextBold"/>
              <w:spacing w:after="0"/>
              <w:jc w:val="center"/>
              <w:rPr>
                <w:noProof w:val="0"/>
                <w:color w:val="FFFFFF"/>
              </w:rPr>
            </w:pPr>
            <w:r w:rsidRPr="00D604EE">
              <w:rPr>
                <w:noProof w:val="0"/>
                <w:color w:val="FFFFFF"/>
              </w:rPr>
              <w:t>Change in estimate</w:t>
            </w:r>
          </w:p>
        </w:tc>
      </w:tr>
      <w:tr w:rsidR="00784FA9" w:rsidRPr="00D604EE" w14:paraId="38A5E6CF" w14:textId="77777777" w:rsidTr="00095931">
        <w:tc>
          <w:tcPr>
            <w:tcW w:w="851" w:type="dxa"/>
            <w:shd w:val="clear" w:color="auto" w:fill="1B556B"/>
            <w:vAlign w:val="bottom"/>
          </w:tcPr>
          <w:p w14:paraId="498F75CC" w14:textId="77777777" w:rsidR="00784FA9" w:rsidRPr="00D604EE" w:rsidRDefault="00784FA9" w:rsidP="007E3239">
            <w:pPr>
              <w:pStyle w:val="TableTextBold"/>
              <w:spacing w:before="40" w:after="40"/>
              <w:rPr>
                <w:noProof w:val="0"/>
                <w:color w:val="FFFFFF"/>
              </w:rPr>
            </w:pPr>
            <w:r w:rsidRPr="00D604EE">
              <w:rPr>
                <w:noProof w:val="0"/>
                <w:color w:val="FFFFFF"/>
              </w:rPr>
              <w:t>Year</w:t>
            </w:r>
          </w:p>
        </w:tc>
        <w:tc>
          <w:tcPr>
            <w:tcW w:w="2410" w:type="dxa"/>
            <w:shd w:val="clear" w:color="auto" w:fill="1B556B"/>
            <w:vAlign w:val="bottom"/>
          </w:tcPr>
          <w:p w14:paraId="1FA6DDAA" w14:textId="77777777" w:rsidR="00784FA9" w:rsidRPr="00D604EE" w:rsidRDefault="00784FA9" w:rsidP="007E3239">
            <w:pPr>
              <w:pStyle w:val="TableTextBold"/>
              <w:spacing w:before="40" w:after="40"/>
              <w:jc w:val="center"/>
              <w:rPr>
                <w:noProof w:val="0"/>
                <w:color w:val="FFFFFF"/>
              </w:rPr>
            </w:pPr>
            <w:r w:rsidRPr="00D604EE">
              <w:rPr>
                <w:noProof w:val="0"/>
                <w:color w:val="FFFFFF"/>
              </w:rPr>
              <w:t>2021 submission (kt CO</w:t>
            </w:r>
            <w:r w:rsidRPr="00D604EE">
              <w:rPr>
                <w:noProof w:val="0"/>
                <w:color w:val="FFFFFF"/>
                <w:vertAlign w:val="subscript"/>
              </w:rPr>
              <w:t>2</w:t>
            </w:r>
            <w:r w:rsidRPr="00D604EE">
              <w:rPr>
                <w:noProof w:val="0"/>
                <w:color w:val="FFFFFF"/>
              </w:rPr>
              <w:t>-e)</w:t>
            </w:r>
          </w:p>
        </w:tc>
        <w:tc>
          <w:tcPr>
            <w:tcW w:w="2188" w:type="dxa"/>
            <w:shd w:val="clear" w:color="auto" w:fill="1B556B"/>
            <w:vAlign w:val="bottom"/>
          </w:tcPr>
          <w:p w14:paraId="5F929254" w14:textId="77777777" w:rsidR="00784FA9" w:rsidRPr="00D604EE" w:rsidRDefault="00784FA9" w:rsidP="007E3239">
            <w:pPr>
              <w:pStyle w:val="TableTextBold"/>
              <w:spacing w:before="40" w:after="40"/>
              <w:jc w:val="center"/>
              <w:rPr>
                <w:noProof w:val="0"/>
                <w:color w:val="FFFFFF"/>
              </w:rPr>
            </w:pPr>
            <w:r w:rsidRPr="00D604EE">
              <w:rPr>
                <w:noProof w:val="0"/>
                <w:color w:val="FFFFFF"/>
              </w:rPr>
              <w:t>2022 submission (kt CO</w:t>
            </w:r>
            <w:r w:rsidRPr="00D604EE">
              <w:rPr>
                <w:noProof w:val="0"/>
                <w:color w:val="FFFFFF"/>
                <w:vertAlign w:val="subscript"/>
              </w:rPr>
              <w:t>2</w:t>
            </w:r>
            <w:r w:rsidRPr="00D604EE">
              <w:rPr>
                <w:noProof w:val="0"/>
                <w:color w:val="FFFFFF"/>
              </w:rPr>
              <w:t>-e)</w:t>
            </w:r>
          </w:p>
        </w:tc>
        <w:tc>
          <w:tcPr>
            <w:tcW w:w="1533" w:type="dxa"/>
            <w:shd w:val="clear" w:color="auto" w:fill="1B556B"/>
            <w:vAlign w:val="bottom"/>
          </w:tcPr>
          <w:p w14:paraId="15049CF9" w14:textId="77777777" w:rsidR="00784FA9" w:rsidRPr="00D604EE" w:rsidRDefault="00784FA9" w:rsidP="007E3239">
            <w:pPr>
              <w:pStyle w:val="TableTextBold"/>
              <w:spacing w:before="40" w:after="40"/>
              <w:jc w:val="center"/>
              <w:rPr>
                <w:noProof w:val="0"/>
                <w:color w:val="FFFFFF"/>
              </w:rPr>
            </w:pPr>
            <w:r w:rsidRPr="00D604EE">
              <w:rPr>
                <w:noProof w:val="0"/>
                <w:color w:val="FFFFFF"/>
              </w:rPr>
              <w:t>(kt CO</w:t>
            </w:r>
            <w:r w:rsidRPr="00D604EE">
              <w:rPr>
                <w:noProof w:val="0"/>
                <w:color w:val="FFFFFF"/>
                <w:vertAlign w:val="subscript"/>
              </w:rPr>
              <w:t>2</w:t>
            </w:r>
            <w:r w:rsidRPr="00D604EE">
              <w:rPr>
                <w:noProof w:val="0"/>
                <w:color w:val="FFFFFF"/>
              </w:rPr>
              <w:t>-e)</w:t>
            </w:r>
          </w:p>
        </w:tc>
        <w:tc>
          <w:tcPr>
            <w:tcW w:w="1523" w:type="dxa"/>
            <w:shd w:val="clear" w:color="auto" w:fill="1B556B"/>
            <w:vAlign w:val="bottom"/>
          </w:tcPr>
          <w:p w14:paraId="6D06CAFB" w14:textId="77777777" w:rsidR="00784FA9" w:rsidRPr="00D604EE" w:rsidRDefault="00784FA9" w:rsidP="007E3239">
            <w:pPr>
              <w:pStyle w:val="TableTextBold"/>
              <w:spacing w:before="40" w:after="40"/>
              <w:jc w:val="center"/>
              <w:rPr>
                <w:noProof w:val="0"/>
                <w:color w:val="FFFFFF"/>
              </w:rPr>
            </w:pPr>
            <w:r w:rsidRPr="00D604EE">
              <w:rPr>
                <w:noProof w:val="0"/>
                <w:color w:val="FFFFFF"/>
              </w:rPr>
              <w:t>(%)</w:t>
            </w:r>
          </w:p>
        </w:tc>
      </w:tr>
      <w:tr w:rsidR="00784FA9" w:rsidRPr="00D604EE" w14:paraId="3BC87929" w14:textId="77777777" w:rsidTr="00095931">
        <w:tc>
          <w:tcPr>
            <w:tcW w:w="851" w:type="dxa"/>
          </w:tcPr>
          <w:p w14:paraId="4F947521" w14:textId="77777777" w:rsidR="00784FA9" w:rsidRPr="00D604EE" w:rsidRDefault="00784FA9" w:rsidP="007E3239">
            <w:pPr>
              <w:pStyle w:val="TableText"/>
              <w:spacing w:before="40" w:after="40"/>
            </w:pPr>
            <w:r w:rsidRPr="00D604EE">
              <w:t>1990</w:t>
            </w:r>
          </w:p>
        </w:tc>
        <w:tc>
          <w:tcPr>
            <w:tcW w:w="2410" w:type="dxa"/>
          </w:tcPr>
          <w:p w14:paraId="0D5E5C57" w14:textId="77777777" w:rsidR="00784FA9" w:rsidRPr="00D604EE" w:rsidRDefault="00784FA9" w:rsidP="007E3239">
            <w:pPr>
              <w:pStyle w:val="TableText"/>
              <w:spacing w:before="40" w:after="40"/>
              <w:jc w:val="center"/>
            </w:pPr>
            <w:r w:rsidRPr="00D604EE">
              <w:t>–24,014.5</w:t>
            </w:r>
          </w:p>
        </w:tc>
        <w:tc>
          <w:tcPr>
            <w:tcW w:w="2188" w:type="dxa"/>
          </w:tcPr>
          <w:p w14:paraId="780937EA" w14:textId="77777777" w:rsidR="00784FA9" w:rsidRPr="00D604EE" w:rsidRDefault="00784FA9" w:rsidP="007E3239">
            <w:pPr>
              <w:pStyle w:val="TableText"/>
              <w:spacing w:before="40" w:after="40"/>
              <w:jc w:val="center"/>
            </w:pPr>
            <w:r w:rsidRPr="00D604EE">
              <w:t>–21,229.2</w:t>
            </w:r>
          </w:p>
        </w:tc>
        <w:tc>
          <w:tcPr>
            <w:tcW w:w="1533" w:type="dxa"/>
          </w:tcPr>
          <w:p w14:paraId="14B302B2" w14:textId="77777777" w:rsidR="00784FA9" w:rsidRPr="00D604EE" w:rsidRDefault="00784FA9" w:rsidP="007E3239">
            <w:pPr>
              <w:pStyle w:val="TableText"/>
              <w:spacing w:before="40" w:after="40"/>
              <w:jc w:val="center"/>
            </w:pPr>
            <w:r w:rsidRPr="00D604EE">
              <w:t>2,785.2</w:t>
            </w:r>
          </w:p>
        </w:tc>
        <w:tc>
          <w:tcPr>
            <w:tcW w:w="1523" w:type="dxa"/>
          </w:tcPr>
          <w:p w14:paraId="327B35B7" w14:textId="77777777" w:rsidR="00784FA9" w:rsidRPr="00D604EE" w:rsidRDefault="00784FA9" w:rsidP="007E3239">
            <w:pPr>
              <w:pStyle w:val="TableText"/>
              <w:spacing w:before="40" w:after="40"/>
              <w:jc w:val="center"/>
            </w:pPr>
            <w:r w:rsidRPr="00D604EE">
              <w:t>11.6</w:t>
            </w:r>
          </w:p>
        </w:tc>
      </w:tr>
      <w:tr w:rsidR="00784FA9" w:rsidRPr="00D604EE" w14:paraId="25E96C1A" w14:textId="77777777" w:rsidTr="00095931">
        <w:tc>
          <w:tcPr>
            <w:tcW w:w="851" w:type="dxa"/>
          </w:tcPr>
          <w:p w14:paraId="14DCDEE8" w14:textId="77777777" w:rsidR="00784FA9" w:rsidRPr="00D604EE" w:rsidRDefault="00784FA9" w:rsidP="007E3239">
            <w:pPr>
              <w:pStyle w:val="TableText"/>
              <w:spacing w:before="40" w:after="40"/>
            </w:pPr>
            <w:r w:rsidRPr="00D604EE">
              <w:t>2019</w:t>
            </w:r>
          </w:p>
        </w:tc>
        <w:tc>
          <w:tcPr>
            <w:tcW w:w="2410" w:type="dxa"/>
          </w:tcPr>
          <w:p w14:paraId="786028EB" w14:textId="77777777" w:rsidR="00784FA9" w:rsidRPr="00D604EE" w:rsidRDefault="00784FA9" w:rsidP="007E3239">
            <w:pPr>
              <w:pStyle w:val="TableText"/>
              <w:spacing w:before="40" w:after="40"/>
              <w:jc w:val="center"/>
            </w:pPr>
            <w:r w:rsidRPr="00D604EE">
              <w:t>–27,425.1</w:t>
            </w:r>
          </w:p>
        </w:tc>
        <w:tc>
          <w:tcPr>
            <w:tcW w:w="2188" w:type="dxa"/>
          </w:tcPr>
          <w:p w14:paraId="1C0EB9E2" w14:textId="77777777" w:rsidR="00784FA9" w:rsidRPr="00D604EE" w:rsidRDefault="00784FA9" w:rsidP="007E3239">
            <w:pPr>
              <w:pStyle w:val="TableText"/>
              <w:spacing w:before="40" w:after="40"/>
              <w:jc w:val="center"/>
            </w:pPr>
            <w:r w:rsidRPr="00D604EE">
              <w:t>–23,034.9</w:t>
            </w:r>
          </w:p>
        </w:tc>
        <w:tc>
          <w:tcPr>
            <w:tcW w:w="1533" w:type="dxa"/>
          </w:tcPr>
          <w:p w14:paraId="7BFDC5F9" w14:textId="77777777" w:rsidR="00784FA9" w:rsidRPr="00D604EE" w:rsidRDefault="00784FA9" w:rsidP="007E3239">
            <w:pPr>
              <w:pStyle w:val="TableText"/>
              <w:spacing w:before="40" w:after="40"/>
              <w:jc w:val="center"/>
            </w:pPr>
            <w:r w:rsidRPr="00D604EE">
              <w:t>4,390.2</w:t>
            </w:r>
          </w:p>
        </w:tc>
        <w:tc>
          <w:tcPr>
            <w:tcW w:w="1523" w:type="dxa"/>
          </w:tcPr>
          <w:p w14:paraId="51A0EE79" w14:textId="77777777" w:rsidR="00784FA9" w:rsidRPr="00D604EE" w:rsidRDefault="00784FA9" w:rsidP="007E3239">
            <w:pPr>
              <w:pStyle w:val="TableText"/>
              <w:spacing w:before="40" w:after="40"/>
              <w:jc w:val="center"/>
            </w:pPr>
            <w:r w:rsidRPr="00D604EE">
              <w:t>16.0</w:t>
            </w:r>
          </w:p>
        </w:tc>
      </w:tr>
    </w:tbl>
    <w:p w14:paraId="06E4FA9D" w14:textId="77777777" w:rsidR="00784FA9" w:rsidRPr="00D604EE" w:rsidRDefault="00784FA9" w:rsidP="00784FA9">
      <w:pPr>
        <w:pStyle w:val="Table"/>
      </w:pPr>
      <w:bookmarkStart w:id="1394" w:name="_Toc310423398"/>
      <w:bookmarkStart w:id="1395" w:name="_Toc318362691"/>
      <w:bookmarkStart w:id="1396" w:name="_Toc342470753"/>
      <w:bookmarkStart w:id="1397" w:name="_Toc352504993"/>
      <w:bookmarkStart w:id="1398" w:name="_Toc378853279"/>
      <w:bookmarkStart w:id="1399" w:name="_Toc391024077"/>
      <w:bookmarkStart w:id="1400" w:name="_Toc410028820"/>
      <w:bookmarkStart w:id="1401" w:name="_Toc414531448"/>
      <w:bookmarkStart w:id="1402" w:name="_Toc443645361"/>
      <w:bookmarkStart w:id="1403" w:name="_Toc474914580"/>
      <w:bookmarkStart w:id="1404" w:name="_Toc481751544"/>
      <w:bookmarkStart w:id="1405" w:name="_Toc522010601"/>
      <w:bookmarkStart w:id="1406" w:name="_Toc5269506"/>
      <w:bookmarkStart w:id="1407" w:name="_Toc33529382"/>
      <w:bookmarkStart w:id="1408" w:name="_Toc36224588"/>
      <w:bookmarkStart w:id="1409" w:name="_Toc65243583"/>
      <w:bookmarkStart w:id="1410" w:name="_Toc99659276"/>
      <w:r w:rsidRPr="00D604EE">
        <w:lastRenderedPageBreak/>
        <w:t>Table 6.1.7</w:t>
      </w:r>
      <w:r w:rsidRPr="00D604EE">
        <w:tab/>
        <w:t>Recalculations to New Zealand’s net LULUCF emissions for 1990 and</w:t>
      </w:r>
      <w:bookmarkEnd w:id="1394"/>
      <w:bookmarkEnd w:id="1395"/>
      <w:bookmarkEnd w:id="1396"/>
      <w:bookmarkEnd w:id="1397"/>
      <w:r w:rsidRPr="00D604EE">
        <w:t> </w:t>
      </w:r>
      <w:bookmarkEnd w:id="1398"/>
      <w:bookmarkEnd w:id="1399"/>
      <w:bookmarkEnd w:id="1400"/>
      <w:bookmarkEnd w:id="1401"/>
      <w:r w:rsidRPr="00D604EE">
        <w:t xml:space="preserve">2019 by </w:t>
      </w:r>
      <w:bookmarkEnd w:id="1402"/>
      <w:r w:rsidRPr="00D604EE">
        <w:t>category</w:t>
      </w:r>
      <w:bookmarkEnd w:id="1403"/>
      <w:bookmarkEnd w:id="1404"/>
      <w:bookmarkEnd w:id="1405"/>
      <w:bookmarkEnd w:id="1406"/>
      <w:bookmarkEnd w:id="1407"/>
      <w:bookmarkEnd w:id="1408"/>
      <w:bookmarkEnd w:id="1409"/>
      <w:bookmarkEnd w:id="1410"/>
    </w:p>
    <w:tbl>
      <w:tblPr>
        <w:tblW w:w="8505" w:type="dxa"/>
        <w:tblInd w:w="108" w:type="dxa"/>
        <w:tblBorders>
          <w:top w:val="single" w:sz="4" w:space="0" w:color="1B556B"/>
          <w:bottom w:val="single" w:sz="4" w:space="0" w:color="1B556B"/>
          <w:insideH w:val="single" w:sz="4" w:space="0" w:color="1B556B"/>
        </w:tblBorders>
        <w:tblLayout w:type="fixed"/>
        <w:tblCellMar>
          <w:left w:w="85" w:type="dxa"/>
          <w:right w:w="85" w:type="dxa"/>
        </w:tblCellMar>
        <w:tblLook w:val="04A0" w:firstRow="1" w:lastRow="0" w:firstColumn="1" w:lastColumn="0" w:noHBand="0" w:noVBand="1"/>
      </w:tblPr>
      <w:tblGrid>
        <w:gridCol w:w="1873"/>
        <w:gridCol w:w="1136"/>
        <w:gridCol w:w="1137"/>
        <w:gridCol w:w="1149"/>
        <w:gridCol w:w="1130"/>
        <w:gridCol w:w="1026"/>
        <w:gridCol w:w="1054"/>
      </w:tblGrid>
      <w:tr w:rsidR="00784FA9" w:rsidRPr="00D604EE" w14:paraId="30E7D96E" w14:textId="77777777" w:rsidTr="00095931">
        <w:trPr>
          <w:trHeight w:val="208"/>
        </w:trPr>
        <w:tc>
          <w:tcPr>
            <w:tcW w:w="1970" w:type="dxa"/>
            <w:vMerge w:val="restart"/>
            <w:shd w:val="clear" w:color="auto" w:fill="1B556B"/>
            <w:vAlign w:val="bottom"/>
          </w:tcPr>
          <w:p w14:paraId="196F125C" w14:textId="77777777" w:rsidR="00784FA9" w:rsidRPr="00D604EE" w:rsidRDefault="00784FA9" w:rsidP="007E3239">
            <w:pPr>
              <w:pStyle w:val="TableTextBold"/>
              <w:keepNext/>
              <w:spacing w:before="50" w:after="40"/>
              <w:rPr>
                <w:rFonts w:cs="Segoe UI"/>
                <w:noProof w:val="0"/>
                <w:color w:val="FFFFFF"/>
                <w:szCs w:val="16"/>
              </w:rPr>
            </w:pPr>
            <w:r w:rsidRPr="00D604EE">
              <w:rPr>
                <w:rFonts w:cs="Segoe UI"/>
                <w:noProof w:val="0"/>
                <w:color w:val="FFFFFF"/>
                <w:szCs w:val="16"/>
              </w:rPr>
              <w:t>Land use category</w:t>
            </w:r>
          </w:p>
        </w:tc>
        <w:tc>
          <w:tcPr>
            <w:tcW w:w="4773" w:type="dxa"/>
            <w:gridSpan w:val="4"/>
            <w:shd w:val="clear" w:color="auto" w:fill="1B556B"/>
            <w:noWrap/>
            <w:vAlign w:val="bottom"/>
          </w:tcPr>
          <w:p w14:paraId="5520052C" w14:textId="77777777" w:rsidR="00784FA9" w:rsidRPr="00D604EE" w:rsidRDefault="00784FA9" w:rsidP="007E3239">
            <w:pPr>
              <w:pStyle w:val="TableTextBold"/>
              <w:keepNext/>
              <w:spacing w:before="50" w:after="0"/>
              <w:jc w:val="center"/>
              <w:rPr>
                <w:rFonts w:cs="Segoe UI"/>
                <w:noProof w:val="0"/>
                <w:color w:val="FFFFFF"/>
                <w:szCs w:val="16"/>
              </w:rPr>
            </w:pPr>
            <w:r w:rsidRPr="00D604EE">
              <w:rPr>
                <w:rFonts w:cs="Segoe UI"/>
                <w:noProof w:val="0"/>
                <w:color w:val="FFFFFF"/>
                <w:szCs w:val="16"/>
              </w:rPr>
              <w:t>Net emissions (kt CO</w:t>
            </w:r>
            <w:r w:rsidRPr="00D604EE">
              <w:rPr>
                <w:rFonts w:cs="Segoe UI"/>
                <w:noProof w:val="0"/>
                <w:color w:val="FFFFFF"/>
                <w:szCs w:val="16"/>
                <w:vertAlign w:val="subscript"/>
              </w:rPr>
              <w:t>2</w:t>
            </w:r>
            <w:r w:rsidRPr="00D604EE">
              <w:rPr>
                <w:rFonts w:cs="Segoe UI"/>
                <w:noProof w:val="0"/>
                <w:color w:val="FFFFFF"/>
                <w:szCs w:val="16"/>
              </w:rPr>
              <w:t>-e)</w:t>
            </w:r>
          </w:p>
        </w:tc>
        <w:tc>
          <w:tcPr>
            <w:tcW w:w="1074" w:type="dxa"/>
            <w:vMerge w:val="restart"/>
            <w:shd w:val="clear" w:color="auto" w:fill="1B556B"/>
            <w:vAlign w:val="bottom"/>
          </w:tcPr>
          <w:p w14:paraId="48735A33" w14:textId="77777777" w:rsidR="00784FA9" w:rsidRPr="00D604EE" w:rsidRDefault="00784FA9" w:rsidP="007E3239">
            <w:pPr>
              <w:pStyle w:val="TableTextBold"/>
              <w:keepNext/>
              <w:spacing w:before="50" w:after="40"/>
              <w:jc w:val="right"/>
              <w:rPr>
                <w:rFonts w:cs="Segoe UI"/>
                <w:noProof w:val="0"/>
                <w:color w:val="FFFFFF"/>
                <w:szCs w:val="16"/>
              </w:rPr>
            </w:pPr>
            <w:r w:rsidRPr="00D604EE">
              <w:rPr>
                <w:rFonts w:cs="Segoe UI"/>
                <w:noProof w:val="0"/>
                <w:color w:val="FFFFFF"/>
                <w:szCs w:val="16"/>
              </w:rPr>
              <w:t xml:space="preserve">Change in 1990 </w:t>
            </w:r>
            <w:r w:rsidRPr="00D604EE">
              <w:rPr>
                <w:rFonts w:cs="Segoe UI"/>
                <w:noProof w:val="0"/>
                <w:color w:val="FFFFFF"/>
                <w:szCs w:val="16"/>
              </w:rPr>
              <w:br/>
              <w:t>estimate (%)</w:t>
            </w:r>
          </w:p>
        </w:tc>
        <w:tc>
          <w:tcPr>
            <w:tcW w:w="1104" w:type="dxa"/>
            <w:vMerge w:val="restart"/>
            <w:shd w:val="clear" w:color="auto" w:fill="1B556B"/>
            <w:vAlign w:val="bottom"/>
          </w:tcPr>
          <w:p w14:paraId="0C5841FA" w14:textId="77777777" w:rsidR="00784FA9" w:rsidRPr="00D604EE" w:rsidRDefault="00784FA9" w:rsidP="007E3239">
            <w:pPr>
              <w:pStyle w:val="TableTextBold"/>
              <w:keepNext/>
              <w:spacing w:before="50" w:after="40"/>
              <w:jc w:val="right"/>
              <w:rPr>
                <w:rFonts w:cs="Segoe UI"/>
                <w:noProof w:val="0"/>
                <w:color w:val="FFFFFF"/>
                <w:szCs w:val="16"/>
              </w:rPr>
            </w:pPr>
            <w:r w:rsidRPr="00D604EE">
              <w:rPr>
                <w:rFonts w:cs="Segoe UI"/>
                <w:noProof w:val="0"/>
                <w:color w:val="FFFFFF"/>
                <w:szCs w:val="16"/>
              </w:rPr>
              <w:t>Change in 2019 estimate (%)</w:t>
            </w:r>
          </w:p>
        </w:tc>
      </w:tr>
      <w:tr w:rsidR="00784FA9" w:rsidRPr="00D604EE" w14:paraId="4534764C" w14:textId="77777777" w:rsidTr="00095931">
        <w:trPr>
          <w:trHeight w:val="556"/>
        </w:trPr>
        <w:tc>
          <w:tcPr>
            <w:tcW w:w="1970" w:type="dxa"/>
            <w:vMerge/>
            <w:shd w:val="clear" w:color="auto" w:fill="1B556B"/>
            <w:noWrap/>
            <w:vAlign w:val="bottom"/>
          </w:tcPr>
          <w:p w14:paraId="498D20FC" w14:textId="77777777" w:rsidR="00784FA9" w:rsidRPr="00D604EE" w:rsidRDefault="00784FA9" w:rsidP="007E3239">
            <w:pPr>
              <w:pStyle w:val="TableTextBold"/>
              <w:keepNext/>
              <w:spacing w:before="50" w:after="40"/>
              <w:rPr>
                <w:rFonts w:eastAsia="Arial Bold" w:cs="Segoe UI"/>
                <w:noProof w:val="0"/>
                <w:color w:val="FFFFFF"/>
                <w:szCs w:val="16"/>
              </w:rPr>
            </w:pPr>
          </w:p>
        </w:tc>
        <w:tc>
          <w:tcPr>
            <w:tcW w:w="1191" w:type="dxa"/>
            <w:shd w:val="clear" w:color="auto" w:fill="1B556B"/>
            <w:vAlign w:val="bottom"/>
          </w:tcPr>
          <w:p w14:paraId="46373D16" w14:textId="77777777" w:rsidR="00784FA9" w:rsidRPr="00D604EE" w:rsidRDefault="00784FA9" w:rsidP="007E3239">
            <w:pPr>
              <w:pStyle w:val="TableTextBold"/>
              <w:keepNext/>
              <w:spacing w:before="50" w:after="40"/>
              <w:jc w:val="right"/>
              <w:rPr>
                <w:rFonts w:cs="Segoe UI"/>
                <w:noProof w:val="0"/>
                <w:color w:val="FFFFFF"/>
                <w:szCs w:val="16"/>
              </w:rPr>
            </w:pPr>
            <w:r w:rsidRPr="00D604EE">
              <w:rPr>
                <w:rFonts w:cs="Segoe UI"/>
                <w:noProof w:val="0"/>
                <w:color w:val="FFFFFF"/>
                <w:szCs w:val="16"/>
              </w:rPr>
              <w:t>2021 submission:</w:t>
            </w:r>
            <w:r w:rsidRPr="00D604EE">
              <w:rPr>
                <w:rFonts w:cs="Segoe UI"/>
                <w:noProof w:val="0"/>
                <w:color w:val="FFFFFF"/>
                <w:szCs w:val="16"/>
              </w:rPr>
              <w:br/>
              <w:t>1990 estimate</w:t>
            </w:r>
          </w:p>
        </w:tc>
        <w:tc>
          <w:tcPr>
            <w:tcW w:w="1192" w:type="dxa"/>
            <w:shd w:val="clear" w:color="auto" w:fill="1B556B"/>
            <w:vAlign w:val="bottom"/>
          </w:tcPr>
          <w:p w14:paraId="502F5127" w14:textId="77777777" w:rsidR="00784FA9" w:rsidRPr="00D604EE" w:rsidRDefault="00784FA9" w:rsidP="007E3239">
            <w:pPr>
              <w:pStyle w:val="TableTextBold"/>
              <w:keepNext/>
              <w:spacing w:before="50" w:after="40"/>
              <w:jc w:val="right"/>
              <w:rPr>
                <w:rFonts w:cs="Segoe UI"/>
                <w:noProof w:val="0"/>
                <w:color w:val="FFFFFF"/>
                <w:szCs w:val="16"/>
              </w:rPr>
            </w:pPr>
            <w:r w:rsidRPr="00D604EE">
              <w:rPr>
                <w:rFonts w:cs="Segoe UI"/>
                <w:noProof w:val="0"/>
                <w:color w:val="FFFFFF"/>
                <w:szCs w:val="16"/>
              </w:rPr>
              <w:t xml:space="preserve">2022 submission: </w:t>
            </w:r>
            <w:r w:rsidRPr="00D604EE">
              <w:rPr>
                <w:rFonts w:cs="Segoe UI"/>
                <w:noProof w:val="0"/>
                <w:color w:val="FFFFFF"/>
                <w:szCs w:val="16"/>
              </w:rPr>
              <w:br/>
              <w:t>1990 estimate</w:t>
            </w:r>
          </w:p>
        </w:tc>
        <w:tc>
          <w:tcPr>
            <w:tcW w:w="1205" w:type="dxa"/>
            <w:shd w:val="clear" w:color="auto" w:fill="1B556B"/>
            <w:vAlign w:val="bottom"/>
          </w:tcPr>
          <w:p w14:paraId="42492F0B" w14:textId="77777777" w:rsidR="00784FA9" w:rsidRPr="00D604EE" w:rsidRDefault="00784FA9" w:rsidP="007E3239">
            <w:pPr>
              <w:pStyle w:val="TableTextBold"/>
              <w:keepNext/>
              <w:spacing w:before="50" w:after="40"/>
              <w:jc w:val="right"/>
              <w:rPr>
                <w:rFonts w:cs="Segoe UI"/>
                <w:noProof w:val="0"/>
                <w:color w:val="FFFFFF"/>
                <w:szCs w:val="16"/>
              </w:rPr>
            </w:pPr>
            <w:r w:rsidRPr="00D604EE">
              <w:rPr>
                <w:rFonts w:cs="Segoe UI"/>
                <w:noProof w:val="0"/>
                <w:color w:val="FFFFFF"/>
                <w:szCs w:val="16"/>
              </w:rPr>
              <w:t>2021 submission:</w:t>
            </w:r>
            <w:r w:rsidRPr="00D604EE">
              <w:rPr>
                <w:rFonts w:cs="Segoe UI"/>
                <w:noProof w:val="0"/>
                <w:color w:val="FFFFFF"/>
                <w:szCs w:val="16"/>
              </w:rPr>
              <w:br/>
              <w:t>2019 estimate</w:t>
            </w:r>
          </w:p>
        </w:tc>
        <w:tc>
          <w:tcPr>
            <w:tcW w:w="1184" w:type="dxa"/>
            <w:shd w:val="clear" w:color="auto" w:fill="1B556B"/>
            <w:vAlign w:val="bottom"/>
          </w:tcPr>
          <w:p w14:paraId="0C9E85BA" w14:textId="77777777" w:rsidR="00784FA9" w:rsidRPr="00D604EE" w:rsidRDefault="00784FA9" w:rsidP="007E3239">
            <w:pPr>
              <w:pStyle w:val="TableTextBold"/>
              <w:keepNext/>
              <w:spacing w:before="50" w:after="40"/>
              <w:jc w:val="right"/>
              <w:rPr>
                <w:rFonts w:cs="Segoe UI"/>
                <w:noProof w:val="0"/>
                <w:color w:val="FFFFFF"/>
                <w:szCs w:val="16"/>
              </w:rPr>
            </w:pPr>
            <w:r w:rsidRPr="00D604EE">
              <w:rPr>
                <w:rFonts w:cs="Segoe UI"/>
                <w:noProof w:val="0"/>
                <w:color w:val="FFFFFF"/>
                <w:szCs w:val="16"/>
              </w:rPr>
              <w:t xml:space="preserve">2022 submission: </w:t>
            </w:r>
            <w:r w:rsidRPr="00D604EE">
              <w:rPr>
                <w:rFonts w:cs="Segoe UI"/>
                <w:noProof w:val="0"/>
                <w:color w:val="FFFFFF"/>
                <w:szCs w:val="16"/>
              </w:rPr>
              <w:br/>
              <w:t>2019 estimate</w:t>
            </w:r>
          </w:p>
        </w:tc>
        <w:tc>
          <w:tcPr>
            <w:tcW w:w="1074" w:type="dxa"/>
            <w:vMerge/>
            <w:shd w:val="clear" w:color="auto" w:fill="1B556B"/>
            <w:noWrap/>
            <w:vAlign w:val="bottom"/>
          </w:tcPr>
          <w:p w14:paraId="387CE40C" w14:textId="77777777" w:rsidR="00784FA9" w:rsidRPr="00D604EE" w:rsidRDefault="00784FA9" w:rsidP="007E3239">
            <w:pPr>
              <w:pStyle w:val="TableTextBold"/>
              <w:keepNext/>
              <w:spacing w:before="50" w:after="40"/>
              <w:jc w:val="right"/>
              <w:rPr>
                <w:rFonts w:eastAsia="Arial Bold" w:cs="Segoe UI"/>
                <w:noProof w:val="0"/>
                <w:color w:val="FFFFFF"/>
                <w:szCs w:val="16"/>
              </w:rPr>
            </w:pPr>
          </w:p>
        </w:tc>
        <w:tc>
          <w:tcPr>
            <w:tcW w:w="1104" w:type="dxa"/>
            <w:vMerge/>
            <w:shd w:val="clear" w:color="auto" w:fill="1B556B"/>
            <w:noWrap/>
            <w:vAlign w:val="bottom"/>
          </w:tcPr>
          <w:p w14:paraId="2A457208" w14:textId="77777777" w:rsidR="00784FA9" w:rsidRPr="00D604EE" w:rsidRDefault="00784FA9" w:rsidP="007E3239">
            <w:pPr>
              <w:pStyle w:val="TableTextBold"/>
              <w:keepNext/>
              <w:spacing w:before="50" w:after="40"/>
              <w:jc w:val="right"/>
              <w:rPr>
                <w:rFonts w:eastAsia="Arial Bold" w:cs="Segoe UI"/>
                <w:noProof w:val="0"/>
                <w:color w:val="FFFFFF"/>
                <w:szCs w:val="16"/>
              </w:rPr>
            </w:pPr>
          </w:p>
        </w:tc>
      </w:tr>
      <w:tr w:rsidR="00784FA9" w:rsidRPr="00D604EE" w14:paraId="12C087F7" w14:textId="77777777" w:rsidTr="00095931">
        <w:trPr>
          <w:trHeight w:val="252"/>
        </w:trPr>
        <w:tc>
          <w:tcPr>
            <w:tcW w:w="1970" w:type="dxa"/>
            <w:shd w:val="clear" w:color="auto" w:fill="auto"/>
          </w:tcPr>
          <w:p w14:paraId="08AB0FD7" w14:textId="77777777" w:rsidR="00784FA9" w:rsidRPr="00D604EE" w:rsidRDefault="00784FA9" w:rsidP="007E3239">
            <w:pPr>
              <w:pStyle w:val="TableText"/>
              <w:keepNext/>
              <w:spacing w:before="40" w:after="40"/>
              <w:rPr>
                <w:rFonts w:eastAsia="Arial Bold" w:cs="Segoe UI"/>
                <w:szCs w:val="16"/>
              </w:rPr>
            </w:pPr>
            <w:r w:rsidRPr="00D604EE">
              <w:rPr>
                <w:rFonts w:eastAsia="Arial Bold" w:cs="Segoe UI"/>
                <w:szCs w:val="16"/>
              </w:rPr>
              <w:t>Forest land</w:t>
            </w:r>
          </w:p>
        </w:tc>
        <w:tc>
          <w:tcPr>
            <w:tcW w:w="1191" w:type="dxa"/>
            <w:shd w:val="clear" w:color="auto" w:fill="auto"/>
          </w:tcPr>
          <w:p w14:paraId="258B507F" w14:textId="77777777" w:rsidR="00784FA9" w:rsidRPr="00D604EE" w:rsidRDefault="00784FA9" w:rsidP="007E3239">
            <w:pPr>
              <w:pStyle w:val="TableText"/>
              <w:spacing w:before="40" w:after="40"/>
              <w:jc w:val="right"/>
              <w:rPr>
                <w:rFonts w:cs="Segoe UI"/>
                <w:szCs w:val="16"/>
              </w:rPr>
            </w:pPr>
            <w:r w:rsidRPr="00D604EE">
              <w:t xml:space="preserve">–23,174.2 </w:t>
            </w:r>
          </w:p>
        </w:tc>
        <w:tc>
          <w:tcPr>
            <w:tcW w:w="1192" w:type="dxa"/>
            <w:shd w:val="clear" w:color="auto" w:fill="auto"/>
          </w:tcPr>
          <w:p w14:paraId="6C9BE41D" w14:textId="77777777" w:rsidR="00784FA9" w:rsidRPr="00D604EE" w:rsidRDefault="00784FA9" w:rsidP="007E3239">
            <w:pPr>
              <w:pStyle w:val="TableText"/>
              <w:spacing w:before="40" w:after="40"/>
              <w:jc w:val="right"/>
              <w:rPr>
                <w:rFonts w:cs="Segoe UI"/>
                <w:szCs w:val="16"/>
              </w:rPr>
            </w:pPr>
            <w:r w:rsidRPr="00D604EE">
              <w:t xml:space="preserve">–20,068.3 </w:t>
            </w:r>
          </w:p>
        </w:tc>
        <w:tc>
          <w:tcPr>
            <w:tcW w:w="1205" w:type="dxa"/>
            <w:shd w:val="clear" w:color="auto" w:fill="auto"/>
          </w:tcPr>
          <w:p w14:paraId="338B0D6B" w14:textId="77777777" w:rsidR="00784FA9" w:rsidRPr="00D604EE" w:rsidRDefault="00784FA9" w:rsidP="007E3239">
            <w:pPr>
              <w:pStyle w:val="TableText"/>
              <w:spacing w:before="40" w:after="40"/>
              <w:jc w:val="right"/>
              <w:rPr>
                <w:rFonts w:cs="Segoe UI"/>
                <w:szCs w:val="16"/>
              </w:rPr>
            </w:pPr>
            <w:r w:rsidRPr="00D604EE">
              <w:t xml:space="preserve">–22,176.8 </w:t>
            </w:r>
          </w:p>
        </w:tc>
        <w:tc>
          <w:tcPr>
            <w:tcW w:w="1184" w:type="dxa"/>
            <w:shd w:val="clear" w:color="auto" w:fill="auto"/>
          </w:tcPr>
          <w:p w14:paraId="788E9676" w14:textId="77777777" w:rsidR="00784FA9" w:rsidRPr="00D604EE" w:rsidRDefault="00784FA9" w:rsidP="007E3239">
            <w:pPr>
              <w:pStyle w:val="TableText"/>
              <w:spacing w:before="40" w:after="40"/>
              <w:jc w:val="right"/>
              <w:rPr>
                <w:rFonts w:cs="Segoe UI"/>
                <w:szCs w:val="16"/>
              </w:rPr>
            </w:pPr>
            <w:r w:rsidRPr="00D604EE">
              <w:t xml:space="preserve">–19,068.4 </w:t>
            </w:r>
          </w:p>
        </w:tc>
        <w:tc>
          <w:tcPr>
            <w:tcW w:w="1074" w:type="dxa"/>
            <w:shd w:val="clear" w:color="auto" w:fill="auto"/>
          </w:tcPr>
          <w:p w14:paraId="112F2FD8" w14:textId="77777777" w:rsidR="00784FA9" w:rsidRPr="00D604EE" w:rsidRDefault="00784FA9" w:rsidP="007E3239">
            <w:pPr>
              <w:pStyle w:val="TableText"/>
              <w:spacing w:before="40" w:after="40"/>
              <w:jc w:val="right"/>
              <w:rPr>
                <w:rFonts w:cs="Segoe UI"/>
                <w:szCs w:val="16"/>
              </w:rPr>
            </w:pPr>
            <w:r w:rsidRPr="00D604EE">
              <w:t>13.4</w:t>
            </w:r>
          </w:p>
        </w:tc>
        <w:tc>
          <w:tcPr>
            <w:tcW w:w="1104" w:type="dxa"/>
            <w:shd w:val="clear" w:color="auto" w:fill="auto"/>
          </w:tcPr>
          <w:p w14:paraId="5A4B386D" w14:textId="77777777" w:rsidR="00784FA9" w:rsidRPr="00D604EE" w:rsidRDefault="00784FA9" w:rsidP="007E3239">
            <w:pPr>
              <w:pStyle w:val="TableText"/>
              <w:spacing w:before="40" w:after="40"/>
              <w:jc w:val="right"/>
              <w:rPr>
                <w:rFonts w:cs="Segoe UI"/>
                <w:szCs w:val="16"/>
              </w:rPr>
            </w:pPr>
            <w:r w:rsidRPr="00D604EE">
              <w:t>14.0</w:t>
            </w:r>
          </w:p>
        </w:tc>
      </w:tr>
      <w:tr w:rsidR="00784FA9" w:rsidRPr="00D604EE" w14:paraId="028191D2" w14:textId="77777777" w:rsidTr="00095931">
        <w:trPr>
          <w:trHeight w:val="240"/>
        </w:trPr>
        <w:tc>
          <w:tcPr>
            <w:tcW w:w="1970" w:type="dxa"/>
            <w:shd w:val="clear" w:color="auto" w:fill="auto"/>
          </w:tcPr>
          <w:p w14:paraId="7F2CC473" w14:textId="77777777" w:rsidR="00784FA9" w:rsidRPr="00D604EE" w:rsidRDefault="00784FA9" w:rsidP="007E3239">
            <w:pPr>
              <w:pStyle w:val="TableText"/>
              <w:keepNext/>
              <w:spacing w:before="40" w:after="40"/>
              <w:rPr>
                <w:rFonts w:eastAsia="Arial Bold" w:cs="Segoe UI"/>
                <w:szCs w:val="16"/>
              </w:rPr>
            </w:pPr>
            <w:r w:rsidRPr="00D604EE">
              <w:rPr>
                <w:rFonts w:eastAsia="Arial Bold" w:cs="Segoe UI"/>
                <w:szCs w:val="16"/>
              </w:rPr>
              <w:t>Cropland</w:t>
            </w:r>
          </w:p>
        </w:tc>
        <w:tc>
          <w:tcPr>
            <w:tcW w:w="1191" w:type="dxa"/>
            <w:shd w:val="clear" w:color="auto" w:fill="auto"/>
          </w:tcPr>
          <w:p w14:paraId="7379790B" w14:textId="77777777" w:rsidR="00784FA9" w:rsidRPr="00D604EE" w:rsidRDefault="00784FA9" w:rsidP="007E3239">
            <w:pPr>
              <w:pStyle w:val="TableText"/>
              <w:spacing w:before="40" w:after="40"/>
              <w:jc w:val="right"/>
              <w:rPr>
                <w:rFonts w:cs="Segoe UI"/>
                <w:szCs w:val="16"/>
              </w:rPr>
            </w:pPr>
            <w:r w:rsidRPr="00D604EE">
              <w:t xml:space="preserve">476.0 </w:t>
            </w:r>
          </w:p>
        </w:tc>
        <w:tc>
          <w:tcPr>
            <w:tcW w:w="1192" w:type="dxa"/>
            <w:shd w:val="clear" w:color="auto" w:fill="auto"/>
          </w:tcPr>
          <w:p w14:paraId="16259236" w14:textId="77777777" w:rsidR="00784FA9" w:rsidRPr="00D604EE" w:rsidRDefault="00784FA9" w:rsidP="007E3239">
            <w:pPr>
              <w:pStyle w:val="TableText"/>
              <w:spacing w:before="40" w:after="40"/>
              <w:jc w:val="right"/>
              <w:rPr>
                <w:rFonts w:cs="Segoe UI"/>
                <w:szCs w:val="16"/>
              </w:rPr>
            </w:pPr>
            <w:r w:rsidRPr="00D604EE">
              <w:t xml:space="preserve">476.2 </w:t>
            </w:r>
          </w:p>
        </w:tc>
        <w:tc>
          <w:tcPr>
            <w:tcW w:w="1205" w:type="dxa"/>
            <w:shd w:val="clear" w:color="auto" w:fill="auto"/>
          </w:tcPr>
          <w:p w14:paraId="3A66D4CB" w14:textId="77777777" w:rsidR="00784FA9" w:rsidRPr="00D604EE" w:rsidRDefault="00784FA9" w:rsidP="007E3239">
            <w:pPr>
              <w:pStyle w:val="TableText"/>
              <w:spacing w:before="40" w:after="40"/>
              <w:jc w:val="right"/>
              <w:rPr>
                <w:rFonts w:cs="Segoe UI"/>
                <w:szCs w:val="16"/>
              </w:rPr>
            </w:pPr>
            <w:r w:rsidRPr="00D604EE">
              <w:t xml:space="preserve">386.8 </w:t>
            </w:r>
          </w:p>
        </w:tc>
        <w:tc>
          <w:tcPr>
            <w:tcW w:w="1184" w:type="dxa"/>
            <w:shd w:val="clear" w:color="auto" w:fill="auto"/>
          </w:tcPr>
          <w:p w14:paraId="15FE4BE9" w14:textId="77777777" w:rsidR="00784FA9" w:rsidRPr="00D604EE" w:rsidRDefault="00784FA9" w:rsidP="007E3239">
            <w:pPr>
              <w:pStyle w:val="TableText"/>
              <w:spacing w:before="40" w:after="40"/>
              <w:jc w:val="right"/>
              <w:rPr>
                <w:rFonts w:cs="Segoe UI"/>
                <w:szCs w:val="16"/>
              </w:rPr>
            </w:pPr>
            <w:r w:rsidRPr="00D604EE">
              <w:t xml:space="preserve">386.8 </w:t>
            </w:r>
          </w:p>
        </w:tc>
        <w:tc>
          <w:tcPr>
            <w:tcW w:w="1074" w:type="dxa"/>
            <w:shd w:val="clear" w:color="auto" w:fill="auto"/>
          </w:tcPr>
          <w:p w14:paraId="57B2ED27" w14:textId="77777777" w:rsidR="00784FA9" w:rsidRPr="00D604EE" w:rsidRDefault="00784FA9" w:rsidP="007E3239">
            <w:pPr>
              <w:pStyle w:val="TableText"/>
              <w:spacing w:before="40" w:after="40"/>
              <w:jc w:val="right"/>
              <w:rPr>
                <w:rFonts w:cs="Segoe UI"/>
                <w:szCs w:val="16"/>
              </w:rPr>
            </w:pPr>
            <w:r w:rsidRPr="00D604EE">
              <w:t>0.0</w:t>
            </w:r>
          </w:p>
        </w:tc>
        <w:tc>
          <w:tcPr>
            <w:tcW w:w="1104" w:type="dxa"/>
            <w:shd w:val="clear" w:color="auto" w:fill="auto"/>
          </w:tcPr>
          <w:p w14:paraId="0640E443" w14:textId="77777777" w:rsidR="00784FA9" w:rsidRPr="00D604EE" w:rsidRDefault="00784FA9" w:rsidP="007E3239">
            <w:pPr>
              <w:pStyle w:val="TableText"/>
              <w:spacing w:before="40" w:after="40"/>
              <w:jc w:val="right"/>
              <w:rPr>
                <w:rFonts w:cs="Segoe UI"/>
                <w:szCs w:val="16"/>
              </w:rPr>
            </w:pPr>
            <w:r w:rsidRPr="00D604EE">
              <w:t>–0.0</w:t>
            </w:r>
          </w:p>
        </w:tc>
      </w:tr>
      <w:tr w:rsidR="00784FA9" w:rsidRPr="00D604EE" w14:paraId="27DB0D38" w14:textId="77777777" w:rsidTr="00095931">
        <w:trPr>
          <w:trHeight w:val="240"/>
        </w:trPr>
        <w:tc>
          <w:tcPr>
            <w:tcW w:w="1970" w:type="dxa"/>
            <w:shd w:val="clear" w:color="auto" w:fill="auto"/>
          </w:tcPr>
          <w:p w14:paraId="3FC3D099" w14:textId="77777777" w:rsidR="00784FA9" w:rsidRPr="00D604EE" w:rsidRDefault="00784FA9" w:rsidP="007E3239">
            <w:pPr>
              <w:pStyle w:val="TableText"/>
              <w:spacing w:before="40" w:after="40"/>
              <w:rPr>
                <w:rFonts w:eastAsia="Arial Bold" w:cs="Segoe UI"/>
                <w:szCs w:val="16"/>
              </w:rPr>
            </w:pPr>
            <w:r w:rsidRPr="00D604EE">
              <w:rPr>
                <w:rFonts w:eastAsia="Arial Bold" w:cs="Segoe UI"/>
                <w:szCs w:val="16"/>
              </w:rPr>
              <w:t>Grassland</w:t>
            </w:r>
          </w:p>
        </w:tc>
        <w:tc>
          <w:tcPr>
            <w:tcW w:w="1191" w:type="dxa"/>
            <w:shd w:val="clear" w:color="auto" w:fill="auto"/>
          </w:tcPr>
          <w:p w14:paraId="562656F9" w14:textId="77777777" w:rsidR="00784FA9" w:rsidRPr="00D604EE" w:rsidRDefault="00784FA9" w:rsidP="007E3239">
            <w:pPr>
              <w:pStyle w:val="TableText"/>
              <w:spacing w:before="40" w:after="40"/>
              <w:jc w:val="right"/>
              <w:rPr>
                <w:rFonts w:cs="Segoe UI"/>
                <w:szCs w:val="16"/>
              </w:rPr>
            </w:pPr>
            <w:r w:rsidRPr="00D604EE">
              <w:t xml:space="preserve">680.2 </w:t>
            </w:r>
          </w:p>
        </w:tc>
        <w:tc>
          <w:tcPr>
            <w:tcW w:w="1192" w:type="dxa"/>
            <w:shd w:val="clear" w:color="auto" w:fill="auto"/>
          </w:tcPr>
          <w:p w14:paraId="17E373B0" w14:textId="77777777" w:rsidR="00784FA9" w:rsidRPr="00D604EE" w:rsidRDefault="00784FA9" w:rsidP="007E3239">
            <w:pPr>
              <w:pStyle w:val="TableText"/>
              <w:spacing w:before="40" w:after="40"/>
              <w:jc w:val="right"/>
              <w:rPr>
                <w:rFonts w:cs="Segoe UI"/>
                <w:szCs w:val="16"/>
              </w:rPr>
            </w:pPr>
            <w:r w:rsidRPr="00D604EE">
              <w:t xml:space="preserve">724.7 </w:t>
            </w:r>
          </w:p>
        </w:tc>
        <w:tc>
          <w:tcPr>
            <w:tcW w:w="1205" w:type="dxa"/>
            <w:shd w:val="clear" w:color="auto" w:fill="auto"/>
          </w:tcPr>
          <w:p w14:paraId="0BD9E9A1" w14:textId="77777777" w:rsidR="00784FA9" w:rsidRPr="00D604EE" w:rsidRDefault="00784FA9" w:rsidP="007E3239">
            <w:pPr>
              <w:pStyle w:val="TableText"/>
              <w:spacing w:before="40" w:after="40"/>
              <w:jc w:val="right"/>
              <w:rPr>
                <w:rFonts w:cs="Segoe UI"/>
                <w:szCs w:val="16"/>
              </w:rPr>
            </w:pPr>
            <w:r w:rsidRPr="00D604EE">
              <w:t xml:space="preserve">4,253.6 </w:t>
            </w:r>
          </w:p>
        </w:tc>
        <w:tc>
          <w:tcPr>
            <w:tcW w:w="1184" w:type="dxa"/>
            <w:shd w:val="clear" w:color="auto" w:fill="auto"/>
          </w:tcPr>
          <w:p w14:paraId="41E46BED" w14:textId="77777777" w:rsidR="00784FA9" w:rsidRPr="00D604EE" w:rsidRDefault="00784FA9" w:rsidP="007E3239">
            <w:pPr>
              <w:pStyle w:val="TableText"/>
              <w:spacing w:before="40" w:after="40"/>
              <w:jc w:val="right"/>
              <w:rPr>
                <w:rFonts w:cs="Segoe UI"/>
                <w:szCs w:val="16"/>
              </w:rPr>
            </w:pPr>
            <w:r w:rsidRPr="00D604EE">
              <w:t xml:space="preserve">4,373.1 </w:t>
            </w:r>
          </w:p>
        </w:tc>
        <w:tc>
          <w:tcPr>
            <w:tcW w:w="1074" w:type="dxa"/>
            <w:shd w:val="clear" w:color="auto" w:fill="auto"/>
          </w:tcPr>
          <w:p w14:paraId="730D43E7" w14:textId="77777777" w:rsidR="00784FA9" w:rsidRPr="00D604EE" w:rsidRDefault="00784FA9" w:rsidP="007E3239">
            <w:pPr>
              <w:pStyle w:val="TableText"/>
              <w:spacing w:before="40" w:after="40"/>
              <w:jc w:val="right"/>
              <w:rPr>
                <w:rFonts w:cs="Segoe UI"/>
                <w:szCs w:val="16"/>
              </w:rPr>
            </w:pPr>
            <w:r w:rsidRPr="00D604EE">
              <w:t>6.5</w:t>
            </w:r>
          </w:p>
        </w:tc>
        <w:tc>
          <w:tcPr>
            <w:tcW w:w="1104" w:type="dxa"/>
            <w:shd w:val="clear" w:color="auto" w:fill="auto"/>
          </w:tcPr>
          <w:p w14:paraId="5EF2E8D5" w14:textId="77777777" w:rsidR="00784FA9" w:rsidRPr="00D604EE" w:rsidRDefault="00784FA9" w:rsidP="007E3239">
            <w:pPr>
              <w:pStyle w:val="TableText"/>
              <w:spacing w:before="40" w:after="40"/>
              <w:jc w:val="right"/>
              <w:rPr>
                <w:rFonts w:cs="Segoe UI"/>
                <w:szCs w:val="16"/>
              </w:rPr>
            </w:pPr>
            <w:r w:rsidRPr="00D604EE">
              <w:t>2.8</w:t>
            </w:r>
          </w:p>
        </w:tc>
      </w:tr>
      <w:tr w:rsidR="00784FA9" w:rsidRPr="00D604EE" w14:paraId="326D54A5" w14:textId="77777777" w:rsidTr="00095931">
        <w:trPr>
          <w:trHeight w:val="252"/>
        </w:trPr>
        <w:tc>
          <w:tcPr>
            <w:tcW w:w="1970" w:type="dxa"/>
            <w:shd w:val="clear" w:color="auto" w:fill="auto"/>
          </w:tcPr>
          <w:p w14:paraId="1996EF05" w14:textId="77777777" w:rsidR="00784FA9" w:rsidRPr="00D604EE" w:rsidRDefault="00784FA9" w:rsidP="007E3239">
            <w:pPr>
              <w:pStyle w:val="TableText"/>
              <w:spacing w:before="40" w:after="40"/>
              <w:rPr>
                <w:rFonts w:eastAsia="Arial Bold" w:cs="Segoe UI"/>
                <w:szCs w:val="16"/>
              </w:rPr>
            </w:pPr>
            <w:r w:rsidRPr="00D604EE">
              <w:rPr>
                <w:rFonts w:eastAsia="Arial Bold" w:cs="Segoe UI"/>
                <w:szCs w:val="16"/>
              </w:rPr>
              <w:t>Wetlands</w:t>
            </w:r>
          </w:p>
        </w:tc>
        <w:tc>
          <w:tcPr>
            <w:tcW w:w="1191" w:type="dxa"/>
            <w:shd w:val="clear" w:color="auto" w:fill="auto"/>
          </w:tcPr>
          <w:p w14:paraId="4E5C45D8" w14:textId="77777777" w:rsidR="00784FA9" w:rsidRPr="00D604EE" w:rsidRDefault="00784FA9" w:rsidP="007E3239">
            <w:pPr>
              <w:pStyle w:val="TableText"/>
              <w:spacing w:before="40" w:after="40"/>
              <w:jc w:val="right"/>
              <w:rPr>
                <w:rFonts w:cs="Segoe UI"/>
                <w:szCs w:val="16"/>
              </w:rPr>
            </w:pPr>
            <w:r w:rsidRPr="00D604EE">
              <w:t xml:space="preserve">–10.7 </w:t>
            </w:r>
          </w:p>
        </w:tc>
        <w:tc>
          <w:tcPr>
            <w:tcW w:w="1192" w:type="dxa"/>
            <w:shd w:val="clear" w:color="auto" w:fill="auto"/>
            <w:noWrap/>
          </w:tcPr>
          <w:p w14:paraId="44F03DB2" w14:textId="77777777" w:rsidR="00784FA9" w:rsidRPr="00D604EE" w:rsidRDefault="00784FA9" w:rsidP="007E3239">
            <w:pPr>
              <w:pStyle w:val="TableText"/>
              <w:spacing w:before="40" w:after="40"/>
              <w:jc w:val="right"/>
              <w:rPr>
                <w:rFonts w:cs="Segoe UI"/>
                <w:szCs w:val="16"/>
              </w:rPr>
            </w:pPr>
            <w:r w:rsidRPr="00D604EE">
              <w:t xml:space="preserve">–10.5 </w:t>
            </w:r>
          </w:p>
        </w:tc>
        <w:tc>
          <w:tcPr>
            <w:tcW w:w="1205" w:type="dxa"/>
            <w:shd w:val="clear" w:color="auto" w:fill="auto"/>
            <w:noWrap/>
          </w:tcPr>
          <w:p w14:paraId="4F7BA16A" w14:textId="77777777" w:rsidR="00784FA9" w:rsidRPr="00D604EE" w:rsidRDefault="00784FA9" w:rsidP="007E3239">
            <w:pPr>
              <w:pStyle w:val="TableText"/>
              <w:spacing w:before="40" w:after="40"/>
              <w:jc w:val="right"/>
              <w:rPr>
                <w:rFonts w:cs="Segoe UI"/>
                <w:szCs w:val="16"/>
              </w:rPr>
            </w:pPr>
            <w:r w:rsidRPr="00D604EE">
              <w:t xml:space="preserve">13.4 </w:t>
            </w:r>
          </w:p>
        </w:tc>
        <w:tc>
          <w:tcPr>
            <w:tcW w:w="1184" w:type="dxa"/>
            <w:shd w:val="clear" w:color="auto" w:fill="auto"/>
          </w:tcPr>
          <w:p w14:paraId="54EC51D9" w14:textId="77777777" w:rsidR="00784FA9" w:rsidRPr="00D604EE" w:rsidRDefault="00784FA9" w:rsidP="007E3239">
            <w:pPr>
              <w:pStyle w:val="TableText"/>
              <w:spacing w:before="40" w:after="40"/>
              <w:jc w:val="right"/>
              <w:rPr>
                <w:rFonts w:cs="Segoe UI"/>
                <w:szCs w:val="16"/>
              </w:rPr>
            </w:pPr>
            <w:r w:rsidRPr="00D604EE">
              <w:t xml:space="preserve">13.4 </w:t>
            </w:r>
          </w:p>
        </w:tc>
        <w:tc>
          <w:tcPr>
            <w:tcW w:w="1074" w:type="dxa"/>
            <w:shd w:val="clear" w:color="auto" w:fill="auto"/>
          </w:tcPr>
          <w:p w14:paraId="090CD2B8" w14:textId="77777777" w:rsidR="00784FA9" w:rsidRPr="00D604EE" w:rsidRDefault="00784FA9" w:rsidP="007E3239">
            <w:pPr>
              <w:pStyle w:val="TableText"/>
              <w:spacing w:before="40" w:after="40"/>
              <w:jc w:val="right"/>
              <w:rPr>
                <w:rFonts w:cs="Segoe UI"/>
                <w:szCs w:val="16"/>
              </w:rPr>
            </w:pPr>
            <w:r w:rsidRPr="00D604EE">
              <w:t>2.2</w:t>
            </w:r>
          </w:p>
        </w:tc>
        <w:tc>
          <w:tcPr>
            <w:tcW w:w="1104" w:type="dxa"/>
            <w:shd w:val="clear" w:color="auto" w:fill="auto"/>
          </w:tcPr>
          <w:p w14:paraId="4BFC8B00" w14:textId="77777777" w:rsidR="00784FA9" w:rsidRPr="00D604EE" w:rsidRDefault="00784FA9" w:rsidP="007E3239">
            <w:pPr>
              <w:pStyle w:val="TableText"/>
              <w:spacing w:before="40" w:after="40"/>
              <w:jc w:val="right"/>
              <w:rPr>
                <w:rFonts w:cs="Segoe UI"/>
                <w:szCs w:val="16"/>
              </w:rPr>
            </w:pPr>
            <w:r w:rsidRPr="00D604EE">
              <w:t>–0.3</w:t>
            </w:r>
          </w:p>
        </w:tc>
      </w:tr>
      <w:tr w:rsidR="00784FA9" w:rsidRPr="00D604EE" w14:paraId="7F34A6E7" w14:textId="77777777" w:rsidTr="00095931">
        <w:trPr>
          <w:trHeight w:val="240"/>
        </w:trPr>
        <w:tc>
          <w:tcPr>
            <w:tcW w:w="1970" w:type="dxa"/>
            <w:shd w:val="clear" w:color="auto" w:fill="auto"/>
          </w:tcPr>
          <w:p w14:paraId="27550905" w14:textId="77777777" w:rsidR="00784FA9" w:rsidRPr="00D604EE" w:rsidRDefault="00784FA9" w:rsidP="007E3239">
            <w:pPr>
              <w:pStyle w:val="TableText"/>
              <w:spacing w:before="40" w:after="40"/>
              <w:rPr>
                <w:rFonts w:eastAsia="Arial Bold" w:cs="Segoe UI"/>
                <w:szCs w:val="16"/>
              </w:rPr>
            </w:pPr>
            <w:r w:rsidRPr="00D604EE">
              <w:rPr>
                <w:rFonts w:eastAsia="Arial Bold" w:cs="Segoe UI"/>
                <w:szCs w:val="16"/>
              </w:rPr>
              <w:t>Settlements</w:t>
            </w:r>
          </w:p>
        </w:tc>
        <w:tc>
          <w:tcPr>
            <w:tcW w:w="1191" w:type="dxa"/>
            <w:shd w:val="clear" w:color="auto" w:fill="auto"/>
          </w:tcPr>
          <w:p w14:paraId="0447DECF" w14:textId="77777777" w:rsidR="00784FA9" w:rsidRPr="00D604EE" w:rsidRDefault="00784FA9" w:rsidP="007E3239">
            <w:pPr>
              <w:pStyle w:val="TableText"/>
              <w:spacing w:before="40" w:after="40"/>
              <w:jc w:val="right"/>
              <w:rPr>
                <w:rFonts w:cs="Segoe UI"/>
                <w:szCs w:val="16"/>
              </w:rPr>
            </w:pPr>
            <w:r w:rsidRPr="00D604EE">
              <w:t xml:space="preserve">74.4 </w:t>
            </w:r>
          </w:p>
        </w:tc>
        <w:tc>
          <w:tcPr>
            <w:tcW w:w="1192" w:type="dxa"/>
            <w:shd w:val="clear" w:color="auto" w:fill="auto"/>
          </w:tcPr>
          <w:p w14:paraId="543B6472" w14:textId="77777777" w:rsidR="00784FA9" w:rsidRPr="00D604EE" w:rsidRDefault="00784FA9" w:rsidP="007E3239">
            <w:pPr>
              <w:pStyle w:val="TableText"/>
              <w:spacing w:before="40" w:after="40"/>
              <w:jc w:val="right"/>
              <w:rPr>
                <w:rFonts w:cs="Segoe UI"/>
                <w:szCs w:val="16"/>
              </w:rPr>
            </w:pPr>
            <w:r w:rsidRPr="00D604EE">
              <w:t xml:space="preserve">75.4 </w:t>
            </w:r>
          </w:p>
        </w:tc>
        <w:tc>
          <w:tcPr>
            <w:tcW w:w="1205" w:type="dxa"/>
            <w:shd w:val="clear" w:color="auto" w:fill="auto"/>
          </w:tcPr>
          <w:p w14:paraId="05893A91" w14:textId="77777777" w:rsidR="00784FA9" w:rsidRPr="00D604EE" w:rsidRDefault="00784FA9" w:rsidP="007E3239">
            <w:pPr>
              <w:pStyle w:val="TableText"/>
              <w:spacing w:before="40" w:after="40"/>
              <w:jc w:val="right"/>
              <w:rPr>
                <w:rFonts w:cs="Segoe UI"/>
                <w:szCs w:val="16"/>
              </w:rPr>
            </w:pPr>
            <w:r w:rsidRPr="00D604EE">
              <w:t xml:space="preserve">112.7 </w:t>
            </w:r>
          </w:p>
        </w:tc>
        <w:tc>
          <w:tcPr>
            <w:tcW w:w="1184" w:type="dxa"/>
            <w:shd w:val="clear" w:color="auto" w:fill="auto"/>
          </w:tcPr>
          <w:p w14:paraId="7C987549" w14:textId="77777777" w:rsidR="00784FA9" w:rsidRPr="00D604EE" w:rsidRDefault="00784FA9" w:rsidP="007E3239">
            <w:pPr>
              <w:pStyle w:val="TableText"/>
              <w:spacing w:before="40" w:after="40"/>
              <w:jc w:val="right"/>
              <w:rPr>
                <w:rFonts w:cs="Segoe UI"/>
                <w:szCs w:val="16"/>
              </w:rPr>
            </w:pPr>
            <w:r w:rsidRPr="00D604EE">
              <w:t>127.8</w:t>
            </w:r>
          </w:p>
        </w:tc>
        <w:tc>
          <w:tcPr>
            <w:tcW w:w="1074" w:type="dxa"/>
            <w:shd w:val="clear" w:color="auto" w:fill="auto"/>
          </w:tcPr>
          <w:p w14:paraId="7FD85C97" w14:textId="77777777" w:rsidR="00784FA9" w:rsidRPr="00D604EE" w:rsidRDefault="00784FA9" w:rsidP="007E3239">
            <w:pPr>
              <w:pStyle w:val="TableText"/>
              <w:spacing w:before="40" w:after="40"/>
              <w:jc w:val="right"/>
              <w:rPr>
                <w:rFonts w:cs="Segoe UI"/>
                <w:szCs w:val="16"/>
              </w:rPr>
            </w:pPr>
            <w:r w:rsidRPr="00D604EE">
              <w:t>1.3</w:t>
            </w:r>
          </w:p>
        </w:tc>
        <w:tc>
          <w:tcPr>
            <w:tcW w:w="1104" w:type="dxa"/>
            <w:shd w:val="clear" w:color="auto" w:fill="auto"/>
          </w:tcPr>
          <w:p w14:paraId="2A64FC6D" w14:textId="77777777" w:rsidR="00784FA9" w:rsidRPr="00D604EE" w:rsidRDefault="00784FA9" w:rsidP="007E3239">
            <w:pPr>
              <w:pStyle w:val="TableText"/>
              <w:spacing w:before="40" w:after="40"/>
              <w:jc w:val="right"/>
              <w:rPr>
                <w:rFonts w:cs="Segoe UI"/>
                <w:szCs w:val="16"/>
              </w:rPr>
            </w:pPr>
            <w:r w:rsidRPr="00D604EE">
              <w:t>13.4</w:t>
            </w:r>
          </w:p>
        </w:tc>
      </w:tr>
      <w:tr w:rsidR="00784FA9" w:rsidRPr="00D604EE" w14:paraId="12DD3143" w14:textId="77777777" w:rsidTr="00095931">
        <w:trPr>
          <w:trHeight w:val="240"/>
        </w:trPr>
        <w:tc>
          <w:tcPr>
            <w:tcW w:w="1970" w:type="dxa"/>
            <w:shd w:val="clear" w:color="auto" w:fill="auto"/>
          </w:tcPr>
          <w:p w14:paraId="21F3ECCC" w14:textId="77777777" w:rsidR="00784FA9" w:rsidRPr="00D604EE" w:rsidRDefault="00784FA9" w:rsidP="007E3239">
            <w:pPr>
              <w:pStyle w:val="TableText"/>
              <w:spacing w:before="40" w:after="40"/>
              <w:rPr>
                <w:rFonts w:eastAsia="Arial Bold" w:cs="Segoe UI"/>
                <w:szCs w:val="16"/>
              </w:rPr>
            </w:pPr>
            <w:r w:rsidRPr="00D604EE">
              <w:rPr>
                <w:rFonts w:eastAsia="Arial Bold" w:cs="Segoe UI"/>
                <w:szCs w:val="16"/>
              </w:rPr>
              <w:t>Other land</w:t>
            </w:r>
          </w:p>
        </w:tc>
        <w:tc>
          <w:tcPr>
            <w:tcW w:w="1191" w:type="dxa"/>
            <w:shd w:val="clear" w:color="auto" w:fill="auto"/>
            <w:noWrap/>
          </w:tcPr>
          <w:p w14:paraId="25D011C6" w14:textId="77777777" w:rsidR="00784FA9" w:rsidRPr="00D604EE" w:rsidRDefault="00784FA9" w:rsidP="007E3239">
            <w:pPr>
              <w:pStyle w:val="TableText"/>
              <w:spacing w:before="40" w:after="40"/>
              <w:jc w:val="right"/>
              <w:rPr>
                <w:rFonts w:cs="Segoe UI"/>
                <w:szCs w:val="16"/>
              </w:rPr>
            </w:pPr>
            <w:r w:rsidRPr="00D604EE">
              <w:t xml:space="preserve">12.8 </w:t>
            </w:r>
          </w:p>
        </w:tc>
        <w:tc>
          <w:tcPr>
            <w:tcW w:w="1192" w:type="dxa"/>
            <w:shd w:val="clear" w:color="auto" w:fill="auto"/>
          </w:tcPr>
          <w:p w14:paraId="3A468D3B" w14:textId="77777777" w:rsidR="00784FA9" w:rsidRPr="00D604EE" w:rsidRDefault="00784FA9" w:rsidP="007E3239">
            <w:pPr>
              <w:pStyle w:val="TableText"/>
              <w:spacing w:before="40" w:after="40"/>
              <w:jc w:val="right"/>
              <w:rPr>
                <w:rFonts w:cs="Segoe UI"/>
                <w:szCs w:val="16"/>
              </w:rPr>
            </w:pPr>
            <w:r w:rsidRPr="00D604EE">
              <w:t xml:space="preserve">13.6 </w:t>
            </w:r>
          </w:p>
        </w:tc>
        <w:tc>
          <w:tcPr>
            <w:tcW w:w="1205" w:type="dxa"/>
            <w:shd w:val="clear" w:color="auto" w:fill="auto"/>
          </w:tcPr>
          <w:p w14:paraId="3FA4E208" w14:textId="77777777" w:rsidR="00784FA9" w:rsidRPr="00D604EE" w:rsidRDefault="00784FA9" w:rsidP="007E3239">
            <w:pPr>
              <w:pStyle w:val="TableText"/>
              <w:spacing w:before="40" w:after="40"/>
              <w:jc w:val="right"/>
              <w:rPr>
                <w:rFonts w:cs="Segoe UI"/>
                <w:szCs w:val="16"/>
              </w:rPr>
            </w:pPr>
            <w:r w:rsidRPr="00D604EE">
              <w:t xml:space="preserve">52.5 </w:t>
            </w:r>
          </w:p>
        </w:tc>
        <w:tc>
          <w:tcPr>
            <w:tcW w:w="1184" w:type="dxa"/>
            <w:shd w:val="clear" w:color="auto" w:fill="auto"/>
          </w:tcPr>
          <w:p w14:paraId="33801F54" w14:textId="77777777" w:rsidR="00784FA9" w:rsidRPr="00D604EE" w:rsidRDefault="00784FA9" w:rsidP="007E3239">
            <w:pPr>
              <w:pStyle w:val="TableText"/>
              <w:spacing w:before="40" w:after="40"/>
              <w:jc w:val="right"/>
              <w:rPr>
                <w:rFonts w:cs="Segoe UI"/>
                <w:szCs w:val="16"/>
              </w:rPr>
            </w:pPr>
            <w:r w:rsidRPr="00D604EE">
              <w:t xml:space="preserve">152.8 </w:t>
            </w:r>
          </w:p>
        </w:tc>
        <w:tc>
          <w:tcPr>
            <w:tcW w:w="1074" w:type="dxa"/>
            <w:shd w:val="clear" w:color="auto" w:fill="auto"/>
          </w:tcPr>
          <w:p w14:paraId="553EABDC" w14:textId="77777777" w:rsidR="00784FA9" w:rsidRPr="00D604EE" w:rsidRDefault="00784FA9" w:rsidP="007E3239">
            <w:pPr>
              <w:pStyle w:val="TableText"/>
              <w:spacing w:before="40" w:after="40"/>
              <w:jc w:val="right"/>
              <w:rPr>
                <w:rFonts w:cs="Segoe UI"/>
                <w:szCs w:val="16"/>
              </w:rPr>
            </w:pPr>
            <w:r w:rsidRPr="00D604EE">
              <w:t>6.6</w:t>
            </w:r>
          </w:p>
        </w:tc>
        <w:tc>
          <w:tcPr>
            <w:tcW w:w="1104" w:type="dxa"/>
            <w:shd w:val="clear" w:color="auto" w:fill="auto"/>
          </w:tcPr>
          <w:p w14:paraId="605408A9" w14:textId="77777777" w:rsidR="00784FA9" w:rsidRPr="00D604EE" w:rsidRDefault="00784FA9" w:rsidP="007E3239">
            <w:pPr>
              <w:pStyle w:val="TableText"/>
              <w:spacing w:before="40" w:after="40"/>
              <w:jc w:val="right"/>
              <w:rPr>
                <w:rFonts w:cs="Segoe UI"/>
                <w:szCs w:val="16"/>
              </w:rPr>
            </w:pPr>
            <w:r w:rsidRPr="00D604EE">
              <w:t>191.1</w:t>
            </w:r>
          </w:p>
        </w:tc>
      </w:tr>
      <w:tr w:rsidR="00784FA9" w:rsidRPr="00D604EE" w14:paraId="1FD52649" w14:textId="77777777" w:rsidTr="00095931">
        <w:trPr>
          <w:trHeight w:val="252"/>
        </w:trPr>
        <w:tc>
          <w:tcPr>
            <w:tcW w:w="1970" w:type="dxa"/>
            <w:shd w:val="clear" w:color="auto" w:fill="auto"/>
          </w:tcPr>
          <w:p w14:paraId="4AB7801A" w14:textId="5F70CA09" w:rsidR="00784FA9" w:rsidRPr="00D604EE" w:rsidRDefault="00784FA9" w:rsidP="007E3239">
            <w:pPr>
              <w:pStyle w:val="TableText"/>
              <w:spacing w:before="40" w:after="40"/>
              <w:rPr>
                <w:rFonts w:eastAsia="Arial Bold" w:cs="Segoe UI"/>
                <w:szCs w:val="16"/>
              </w:rPr>
            </w:pPr>
            <w:r w:rsidRPr="00D604EE">
              <w:rPr>
                <w:rFonts w:eastAsia="Arial Bold" w:cs="Segoe UI"/>
                <w:szCs w:val="16"/>
              </w:rPr>
              <w:t>Indirect emissions</w:t>
            </w:r>
          </w:p>
        </w:tc>
        <w:tc>
          <w:tcPr>
            <w:tcW w:w="1191" w:type="dxa"/>
            <w:shd w:val="clear" w:color="auto" w:fill="auto"/>
            <w:noWrap/>
          </w:tcPr>
          <w:p w14:paraId="7CBA3816" w14:textId="77777777" w:rsidR="00784FA9" w:rsidRPr="00D604EE" w:rsidRDefault="00784FA9" w:rsidP="007E3239">
            <w:pPr>
              <w:pStyle w:val="TableText"/>
              <w:spacing w:before="40" w:after="40"/>
              <w:jc w:val="right"/>
            </w:pPr>
            <w:r w:rsidRPr="00D604EE">
              <w:t>NA</w:t>
            </w:r>
          </w:p>
        </w:tc>
        <w:tc>
          <w:tcPr>
            <w:tcW w:w="1192" w:type="dxa"/>
            <w:shd w:val="clear" w:color="auto" w:fill="auto"/>
          </w:tcPr>
          <w:p w14:paraId="0F06B19C" w14:textId="77777777" w:rsidR="00784FA9" w:rsidRPr="00D604EE" w:rsidRDefault="00784FA9" w:rsidP="007E3239">
            <w:pPr>
              <w:pStyle w:val="TableText"/>
              <w:spacing w:before="40" w:after="40"/>
              <w:jc w:val="right"/>
            </w:pPr>
            <w:r w:rsidRPr="00D604EE">
              <w:t>40.8</w:t>
            </w:r>
          </w:p>
        </w:tc>
        <w:tc>
          <w:tcPr>
            <w:tcW w:w="1205" w:type="dxa"/>
            <w:shd w:val="clear" w:color="auto" w:fill="auto"/>
          </w:tcPr>
          <w:p w14:paraId="0ED86CD7" w14:textId="77777777" w:rsidR="00784FA9" w:rsidRPr="00D604EE" w:rsidRDefault="00784FA9" w:rsidP="007E3239">
            <w:pPr>
              <w:pStyle w:val="TableText"/>
              <w:spacing w:before="40" w:after="40"/>
              <w:jc w:val="right"/>
            </w:pPr>
            <w:r w:rsidRPr="00D604EE">
              <w:t>NA</w:t>
            </w:r>
          </w:p>
        </w:tc>
        <w:tc>
          <w:tcPr>
            <w:tcW w:w="1184" w:type="dxa"/>
            <w:shd w:val="clear" w:color="auto" w:fill="auto"/>
          </w:tcPr>
          <w:p w14:paraId="1FD42C4E" w14:textId="77777777" w:rsidR="00784FA9" w:rsidRPr="00D604EE" w:rsidRDefault="00784FA9" w:rsidP="007E3239">
            <w:pPr>
              <w:pStyle w:val="TableText"/>
              <w:spacing w:before="40" w:after="40"/>
              <w:jc w:val="right"/>
            </w:pPr>
            <w:r w:rsidRPr="00D604EE">
              <w:t>17.6</w:t>
            </w:r>
          </w:p>
        </w:tc>
        <w:tc>
          <w:tcPr>
            <w:tcW w:w="1074" w:type="dxa"/>
            <w:shd w:val="clear" w:color="auto" w:fill="auto"/>
          </w:tcPr>
          <w:p w14:paraId="29B468A8" w14:textId="77777777" w:rsidR="00784FA9" w:rsidRPr="00D604EE" w:rsidRDefault="00784FA9" w:rsidP="007E3239">
            <w:pPr>
              <w:pStyle w:val="TableText"/>
              <w:spacing w:before="40" w:after="40"/>
              <w:jc w:val="right"/>
            </w:pPr>
            <w:r w:rsidRPr="00D604EE">
              <w:t>NA</w:t>
            </w:r>
          </w:p>
        </w:tc>
        <w:tc>
          <w:tcPr>
            <w:tcW w:w="1104" w:type="dxa"/>
            <w:shd w:val="clear" w:color="auto" w:fill="auto"/>
          </w:tcPr>
          <w:p w14:paraId="091FB0FA" w14:textId="77777777" w:rsidR="00784FA9" w:rsidRPr="00D604EE" w:rsidRDefault="00784FA9" w:rsidP="007E3239">
            <w:pPr>
              <w:pStyle w:val="TableText"/>
              <w:spacing w:before="40" w:after="40"/>
              <w:jc w:val="right"/>
            </w:pPr>
            <w:r w:rsidRPr="00D604EE">
              <w:t>NA</w:t>
            </w:r>
          </w:p>
        </w:tc>
      </w:tr>
      <w:tr w:rsidR="00784FA9" w:rsidRPr="00D604EE" w14:paraId="53BC0DDF" w14:textId="77777777" w:rsidTr="00095931">
        <w:trPr>
          <w:trHeight w:val="240"/>
        </w:trPr>
        <w:tc>
          <w:tcPr>
            <w:tcW w:w="1970" w:type="dxa"/>
            <w:shd w:val="clear" w:color="auto" w:fill="auto"/>
          </w:tcPr>
          <w:p w14:paraId="4F2A9297" w14:textId="77777777" w:rsidR="00784FA9" w:rsidRPr="00D604EE" w:rsidRDefault="00784FA9" w:rsidP="007E3239">
            <w:pPr>
              <w:pStyle w:val="TableText"/>
              <w:spacing w:before="40" w:after="40"/>
              <w:rPr>
                <w:rFonts w:eastAsia="Arial Bold" w:cs="Segoe UI"/>
                <w:szCs w:val="16"/>
              </w:rPr>
            </w:pPr>
            <w:r w:rsidRPr="00D604EE">
              <w:rPr>
                <w:rFonts w:eastAsia="Arial Bold" w:cs="Segoe UI"/>
                <w:szCs w:val="16"/>
              </w:rPr>
              <w:t>Harvested wood products</w:t>
            </w:r>
          </w:p>
        </w:tc>
        <w:tc>
          <w:tcPr>
            <w:tcW w:w="1191" w:type="dxa"/>
            <w:shd w:val="clear" w:color="auto" w:fill="auto"/>
            <w:noWrap/>
          </w:tcPr>
          <w:p w14:paraId="2F467D0E" w14:textId="77777777" w:rsidR="00784FA9" w:rsidRPr="00D604EE" w:rsidRDefault="00784FA9" w:rsidP="007E3239">
            <w:pPr>
              <w:pStyle w:val="TableText"/>
              <w:spacing w:before="40" w:after="40"/>
              <w:jc w:val="right"/>
              <w:rPr>
                <w:rFonts w:cs="Segoe UI"/>
                <w:szCs w:val="16"/>
              </w:rPr>
            </w:pPr>
            <w:r w:rsidRPr="00D604EE">
              <w:t xml:space="preserve">–2,072.9 </w:t>
            </w:r>
          </w:p>
        </w:tc>
        <w:tc>
          <w:tcPr>
            <w:tcW w:w="1192" w:type="dxa"/>
            <w:shd w:val="clear" w:color="auto" w:fill="auto"/>
            <w:noWrap/>
          </w:tcPr>
          <w:p w14:paraId="3E383F87" w14:textId="77777777" w:rsidR="00784FA9" w:rsidRPr="00D604EE" w:rsidRDefault="00784FA9" w:rsidP="007E3239">
            <w:pPr>
              <w:pStyle w:val="TableText"/>
              <w:spacing w:before="40" w:after="40"/>
              <w:jc w:val="right"/>
              <w:rPr>
                <w:rFonts w:cs="Segoe UI"/>
                <w:szCs w:val="16"/>
              </w:rPr>
            </w:pPr>
            <w:r w:rsidRPr="00D604EE">
              <w:t xml:space="preserve">–2,481.2 </w:t>
            </w:r>
          </w:p>
        </w:tc>
        <w:tc>
          <w:tcPr>
            <w:tcW w:w="1205" w:type="dxa"/>
            <w:shd w:val="clear" w:color="auto" w:fill="auto"/>
            <w:noWrap/>
          </w:tcPr>
          <w:p w14:paraId="0EE9F5CA" w14:textId="77777777" w:rsidR="00784FA9" w:rsidRPr="00D604EE" w:rsidRDefault="00784FA9" w:rsidP="007E3239">
            <w:pPr>
              <w:pStyle w:val="TableText"/>
              <w:spacing w:before="40" w:after="40"/>
              <w:jc w:val="right"/>
              <w:rPr>
                <w:rFonts w:cs="Segoe UI"/>
                <w:szCs w:val="16"/>
              </w:rPr>
            </w:pPr>
            <w:r w:rsidRPr="00D604EE">
              <w:t xml:space="preserve">–10,067.3 </w:t>
            </w:r>
          </w:p>
        </w:tc>
        <w:tc>
          <w:tcPr>
            <w:tcW w:w="1184" w:type="dxa"/>
            <w:shd w:val="clear" w:color="auto" w:fill="auto"/>
            <w:noWrap/>
          </w:tcPr>
          <w:p w14:paraId="4086EE65" w14:textId="77777777" w:rsidR="00784FA9" w:rsidRPr="00D604EE" w:rsidRDefault="00784FA9" w:rsidP="007E3239">
            <w:pPr>
              <w:pStyle w:val="TableText"/>
              <w:spacing w:before="40" w:after="40"/>
              <w:jc w:val="right"/>
              <w:rPr>
                <w:rFonts w:cs="Segoe UI"/>
                <w:szCs w:val="16"/>
              </w:rPr>
            </w:pPr>
            <w:r w:rsidRPr="00D604EE">
              <w:t xml:space="preserve">–9,037.8 </w:t>
            </w:r>
          </w:p>
        </w:tc>
        <w:tc>
          <w:tcPr>
            <w:tcW w:w="1074" w:type="dxa"/>
            <w:shd w:val="clear" w:color="auto" w:fill="auto"/>
          </w:tcPr>
          <w:p w14:paraId="13747262" w14:textId="77777777" w:rsidR="00784FA9" w:rsidRPr="00D604EE" w:rsidRDefault="00784FA9" w:rsidP="007E3239">
            <w:pPr>
              <w:pStyle w:val="TableText"/>
              <w:spacing w:before="40" w:after="40"/>
              <w:jc w:val="right"/>
              <w:rPr>
                <w:rFonts w:cs="Segoe UI"/>
                <w:szCs w:val="16"/>
              </w:rPr>
            </w:pPr>
            <w:r w:rsidRPr="00D604EE">
              <w:t>–19.7</w:t>
            </w:r>
          </w:p>
        </w:tc>
        <w:tc>
          <w:tcPr>
            <w:tcW w:w="1104" w:type="dxa"/>
            <w:shd w:val="clear" w:color="auto" w:fill="auto"/>
          </w:tcPr>
          <w:p w14:paraId="7554DD55" w14:textId="77777777" w:rsidR="00784FA9" w:rsidRPr="00D604EE" w:rsidRDefault="00784FA9" w:rsidP="007E3239">
            <w:pPr>
              <w:pStyle w:val="TableText"/>
              <w:spacing w:before="40" w:after="40"/>
              <w:jc w:val="right"/>
              <w:rPr>
                <w:rFonts w:cs="Segoe UI"/>
                <w:szCs w:val="16"/>
              </w:rPr>
            </w:pPr>
            <w:r w:rsidRPr="00D604EE">
              <w:t>10.2</w:t>
            </w:r>
          </w:p>
        </w:tc>
      </w:tr>
      <w:tr w:rsidR="00784FA9" w:rsidRPr="00D604EE" w14:paraId="2652DD58" w14:textId="77777777" w:rsidTr="00095931">
        <w:trPr>
          <w:trHeight w:val="262"/>
        </w:trPr>
        <w:tc>
          <w:tcPr>
            <w:tcW w:w="1970" w:type="dxa"/>
            <w:shd w:val="clear" w:color="auto" w:fill="auto"/>
          </w:tcPr>
          <w:p w14:paraId="706D17EC" w14:textId="77777777" w:rsidR="00784FA9" w:rsidRPr="00D604EE" w:rsidRDefault="00784FA9" w:rsidP="007E3239">
            <w:pPr>
              <w:pStyle w:val="Tableboldblue"/>
              <w:spacing w:before="40" w:after="40"/>
              <w:jc w:val="right"/>
              <w:rPr>
                <w:rFonts w:eastAsia="Arial Bold" w:cs="Segoe UI"/>
                <w:szCs w:val="16"/>
              </w:rPr>
            </w:pPr>
            <w:r w:rsidRPr="00D604EE">
              <w:rPr>
                <w:rFonts w:eastAsia="Arial Bold" w:cs="Segoe UI"/>
                <w:szCs w:val="16"/>
              </w:rPr>
              <w:t>Total</w:t>
            </w:r>
          </w:p>
        </w:tc>
        <w:tc>
          <w:tcPr>
            <w:tcW w:w="1191" w:type="dxa"/>
            <w:shd w:val="clear" w:color="auto" w:fill="auto"/>
            <w:noWrap/>
          </w:tcPr>
          <w:p w14:paraId="243BB8DD" w14:textId="77777777" w:rsidR="00784FA9" w:rsidRPr="00D604EE" w:rsidRDefault="00784FA9" w:rsidP="007E3239">
            <w:pPr>
              <w:pStyle w:val="Tableboldblue"/>
              <w:spacing w:before="40" w:after="40"/>
              <w:jc w:val="right"/>
              <w:rPr>
                <w:rFonts w:eastAsia="Arial Bold" w:cs="Segoe UI"/>
                <w:szCs w:val="16"/>
              </w:rPr>
            </w:pPr>
            <w:r w:rsidRPr="00D604EE">
              <w:t xml:space="preserve">–24,014.5 </w:t>
            </w:r>
          </w:p>
        </w:tc>
        <w:tc>
          <w:tcPr>
            <w:tcW w:w="1192" w:type="dxa"/>
            <w:shd w:val="clear" w:color="auto" w:fill="auto"/>
            <w:noWrap/>
          </w:tcPr>
          <w:p w14:paraId="222FC124" w14:textId="77777777" w:rsidR="00784FA9" w:rsidRPr="00D604EE" w:rsidRDefault="00784FA9" w:rsidP="007E3239">
            <w:pPr>
              <w:pStyle w:val="Tableboldblue"/>
              <w:spacing w:before="40" w:after="40"/>
              <w:jc w:val="right"/>
              <w:rPr>
                <w:rFonts w:eastAsia="Arial Bold" w:cs="Segoe UI"/>
                <w:szCs w:val="16"/>
              </w:rPr>
            </w:pPr>
            <w:r w:rsidRPr="00D604EE">
              <w:t xml:space="preserve">–21,229.2 </w:t>
            </w:r>
          </w:p>
        </w:tc>
        <w:tc>
          <w:tcPr>
            <w:tcW w:w="1205" w:type="dxa"/>
            <w:shd w:val="clear" w:color="auto" w:fill="auto"/>
            <w:noWrap/>
          </w:tcPr>
          <w:p w14:paraId="1D11472A" w14:textId="77777777" w:rsidR="00784FA9" w:rsidRPr="00D604EE" w:rsidRDefault="00784FA9" w:rsidP="007E3239">
            <w:pPr>
              <w:pStyle w:val="Tableboldblue"/>
              <w:spacing w:before="40" w:after="40"/>
              <w:jc w:val="right"/>
              <w:rPr>
                <w:rFonts w:eastAsia="Arial Bold" w:cs="Segoe UI"/>
                <w:szCs w:val="16"/>
              </w:rPr>
            </w:pPr>
            <w:r w:rsidRPr="00D604EE">
              <w:t xml:space="preserve">–27,425.1 </w:t>
            </w:r>
          </w:p>
        </w:tc>
        <w:tc>
          <w:tcPr>
            <w:tcW w:w="1184" w:type="dxa"/>
            <w:shd w:val="clear" w:color="auto" w:fill="auto"/>
            <w:noWrap/>
          </w:tcPr>
          <w:p w14:paraId="3AE3DBDE" w14:textId="77777777" w:rsidR="00784FA9" w:rsidRPr="00D604EE" w:rsidRDefault="00784FA9" w:rsidP="007E3239">
            <w:pPr>
              <w:pStyle w:val="Tableboldblue"/>
              <w:spacing w:before="40" w:after="40"/>
              <w:jc w:val="right"/>
              <w:rPr>
                <w:rFonts w:eastAsia="Arial Bold" w:cs="Segoe UI"/>
                <w:szCs w:val="16"/>
              </w:rPr>
            </w:pPr>
            <w:r w:rsidRPr="00D604EE">
              <w:t>–23,034.9</w:t>
            </w:r>
          </w:p>
        </w:tc>
        <w:tc>
          <w:tcPr>
            <w:tcW w:w="1074" w:type="dxa"/>
            <w:shd w:val="clear" w:color="auto" w:fill="auto"/>
          </w:tcPr>
          <w:p w14:paraId="5276A3AC" w14:textId="77777777" w:rsidR="00784FA9" w:rsidRPr="00D604EE" w:rsidRDefault="00784FA9" w:rsidP="007E3239">
            <w:pPr>
              <w:pStyle w:val="Tableboldblue"/>
              <w:spacing w:before="40" w:after="40"/>
              <w:jc w:val="right"/>
              <w:rPr>
                <w:rFonts w:eastAsia="Arial Bold" w:cs="Segoe UI"/>
                <w:szCs w:val="16"/>
              </w:rPr>
            </w:pPr>
            <w:r w:rsidRPr="00D604EE">
              <w:t>11.6</w:t>
            </w:r>
          </w:p>
        </w:tc>
        <w:tc>
          <w:tcPr>
            <w:tcW w:w="1104" w:type="dxa"/>
            <w:shd w:val="clear" w:color="auto" w:fill="auto"/>
          </w:tcPr>
          <w:p w14:paraId="2C71D706" w14:textId="77777777" w:rsidR="00784FA9" w:rsidRPr="00D604EE" w:rsidRDefault="00784FA9" w:rsidP="007E3239">
            <w:pPr>
              <w:pStyle w:val="Tableboldblue"/>
              <w:spacing w:before="40" w:after="40"/>
              <w:jc w:val="right"/>
              <w:rPr>
                <w:rFonts w:eastAsia="Arial Bold" w:cs="Segoe UI"/>
                <w:szCs w:val="16"/>
              </w:rPr>
            </w:pPr>
            <w:r w:rsidRPr="00D604EE">
              <w:t>16.0</w:t>
            </w:r>
          </w:p>
        </w:tc>
      </w:tr>
    </w:tbl>
    <w:p w14:paraId="54023C7A" w14:textId="77777777" w:rsidR="00784FA9" w:rsidRPr="00D604EE" w:rsidRDefault="00784FA9" w:rsidP="00784FA9">
      <w:pPr>
        <w:pStyle w:val="Noteundertable"/>
      </w:pPr>
      <w:r w:rsidRPr="00D604EE">
        <w:rPr>
          <w:b/>
        </w:rPr>
        <w:t>Note:</w:t>
      </w:r>
      <w:r w:rsidRPr="00D604EE">
        <w:tab/>
        <w:t>Net removals are expressed as a negative value in the table to help clarify that the value is a removal (of CO</w:t>
      </w:r>
      <w:r w:rsidRPr="00D604EE">
        <w:rPr>
          <w:vertAlign w:val="subscript"/>
        </w:rPr>
        <w:t>2</w:t>
      </w:r>
      <w:r w:rsidRPr="00D604EE">
        <w:t>-e from the atmosphere) and not an emission. Columns may not total due to rounding. Indirect emissions as a result of N</w:t>
      </w:r>
      <w:r w:rsidRPr="00D604EE">
        <w:rPr>
          <w:vertAlign w:val="subscript"/>
        </w:rPr>
        <w:t>2</w:t>
      </w:r>
      <w:r w:rsidRPr="00D604EE">
        <w:t>O emissions from leaching and runoff are not disaggregated by land use category in the CRF and are reported separately under non-CO</w:t>
      </w:r>
      <w:r w:rsidRPr="00D604EE">
        <w:rPr>
          <w:vertAlign w:val="subscript"/>
        </w:rPr>
        <w:t>2</w:t>
      </w:r>
      <w:r w:rsidRPr="00D604EE">
        <w:t xml:space="preserve"> emissions in section 6.10.4. Indirect N</w:t>
      </w:r>
      <w:r w:rsidRPr="00D604EE">
        <w:rPr>
          <w:vertAlign w:val="subscript"/>
        </w:rPr>
        <w:t>2</w:t>
      </w:r>
      <w:r w:rsidRPr="00D604EE">
        <w:t xml:space="preserve">O emissions were not reported in the previous submission and are therefore estimated as NA (not applicable). </w:t>
      </w:r>
    </w:p>
    <w:p w14:paraId="74D70768" w14:textId="77777777" w:rsidR="00784FA9" w:rsidRPr="00D604EE" w:rsidRDefault="00784FA9" w:rsidP="00784FA9">
      <w:pPr>
        <w:pStyle w:val="BodyText"/>
      </w:pPr>
      <w:r w:rsidRPr="00D604EE">
        <w:t>The main differences between this submission and previous estimates of New Zealand’s LULUCF emissions reported in the 2021 submission are the result of the changes made to the </w:t>
      </w:r>
      <w:r w:rsidRPr="00D604EE">
        <w:rPr>
          <w:i/>
        </w:rPr>
        <w:t>Forest land</w:t>
      </w:r>
      <w:r w:rsidRPr="00D604EE">
        <w:t xml:space="preserve"> category. Note that </w:t>
      </w:r>
      <w:r w:rsidRPr="00D604EE">
        <w:rPr>
          <w:i/>
        </w:rPr>
        <w:t>Forest land</w:t>
      </w:r>
      <w:r w:rsidRPr="00D604EE">
        <w:t xml:space="preserve"> contributes the greatest net emissions to the LULUCF sector and contributes the greatest uncertainty; therefore, inventory improvements to </w:t>
      </w:r>
      <w:r w:rsidRPr="00D604EE">
        <w:rPr>
          <w:i/>
          <w:iCs/>
        </w:rPr>
        <w:t>Forest land</w:t>
      </w:r>
      <w:r w:rsidRPr="00D604EE">
        <w:t xml:space="preserve"> are generally prioritised.</w:t>
      </w:r>
    </w:p>
    <w:p w14:paraId="784420FB" w14:textId="77777777" w:rsidR="00784FA9" w:rsidRPr="00D604EE" w:rsidRDefault="00784FA9" w:rsidP="00784FA9">
      <w:pPr>
        <w:pStyle w:val="BodyText"/>
      </w:pPr>
      <w:r w:rsidRPr="00D604EE">
        <w:t>The following three improvements have resulted in the biggest changes in the recalculations.</w:t>
      </w:r>
    </w:p>
    <w:p w14:paraId="68B2354B" w14:textId="77777777" w:rsidR="00784FA9" w:rsidRPr="00D604EE" w:rsidRDefault="00784FA9" w:rsidP="001C16C0">
      <w:pPr>
        <w:pStyle w:val="Numberedparagraph"/>
      </w:pPr>
      <w:r w:rsidRPr="00D604EE">
        <w:t>The method used to estimate the planted forest average harvest age, harvest age profile (harvest area by age) and forest age profile has been updated. These changes have been made to improve the accuracy of the ages at which pre-1990 or post-1989 planted forest is reported as being harvested or deforested. These updates result in an increase in emissions of approximately 1,700 kt CO</w:t>
      </w:r>
      <w:r w:rsidRPr="00D604EE">
        <w:rPr>
          <w:vertAlign w:val="subscript"/>
        </w:rPr>
        <w:t>2</w:t>
      </w:r>
      <w:r w:rsidRPr="00D604EE">
        <w:t>-e in 1990 and 100 kt CO</w:t>
      </w:r>
      <w:r w:rsidRPr="00D604EE">
        <w:rPr>
          <w:vertAlign w:val="subscript"/>
        </w:rPr>
        <w:t>2</w:t>
      </w:r>
      <w:r w:rsidRPr="00D604EE">
        <w:t>-e in 2019.</w:t>
      </w:r>
    </w:p>
    <w:p w14:paraId="17B35EAE" w14:textId="77777777" w:rsidR="00784FA9" w:rsidRPr="00D604EE" w:rsidRDefault="00784FA9" w:rsidP="001C16C0">
      <w:pPr>
        <w:pStyle w:val="Numberedparagraph"/>
      </w:pPr>
      <w:r w:rsidRPr="00D604EE">
        <w:t xml:space="preserve">The yield tables used for pre-1990 and post-1989 planted forest have been updated to provide more accurate and up-to-date estimates of carbon stock change. All planted forest yield tables </w:t>
      </w:r>
      <w:r w:rsidRPr="001C16C0">
        <w:t>have</w:t>
      </w:r>
      <w:r w:rsidRPr="00D604EE">
        <w:t xml:space="preserve"> been updated to include plots measured in the 2020 national forest inventory. The period-specific yield tables used for pre-1990 planted forest have also been updated to reflect different planting periods. In the previous submission, three yield tables were applied to the pre-1990 planted forest estate, representing stands planted before 1990, between 1990 and 2009, and from 2010 onwards. For this submission, two period-specific yield tables are used to represent forest planted before 1990 and forest planted from 1990 onwards. This change was made following draft recommendations from the expert review team (ERT) during the review of the 2021 submission, as the reliability of the yield table used to represent stands planted from 2010 onwards was questioned. Changes to the planted forest yield tables have resulted in a decrease in emissions of approximately 115 kt CO</w:t>
      </w:r>
      <w:r w:rsidRPr="00D604EE">
        <w:rPr>
          <w:vertAlign w:val="subscript"/>
        </w:rPr>
        <w:t>2</w:t>
      </w:r>
      <w:r w:rsidRPr="00D604EE">
        <w:t>-e in 1990 and an increase in emissions of approximately 1,460 kt CO</w:t>
      </w:r>
      <w:r w:rsidRPr="00D604EE">
        <w:rPr>
          <w:vertAlign w:val="subscript"/>
        </w:rPr>
        <w:t>2</w:t>
      </w:r>
      <w:r w:rsidRPr="00D604EE">
        <w:t>-e in 2019.</w:t>
      </w:r>
    </w:p>
    <w:p w14:paraId="57440A48" w14:textId="77777777" w:rsidR="00784FA9" w:rsidRPr="00D604EE" w:rsidRDefault="00784FA9" w:rsidP="001C16C0">
      <w:pPr>
        <w:pStyle w:val="Numberedparagraph"/>
      </w:pPr>
      <w:r w:rsidRPr="00D604EE">
        <w:t xml:space="preserve">Improvements have been made to the net emissions estimate from pre-1990 natural forest. In previous submissions, areas of tall and regenerating pre-1990 natural forest, as defined in section 6.3.2, table 6.3.5, were classified using land cover based on version 3 (v3) of the Land Cover Database (LCDB). However, carbon stock change was calculated using a species composition approach to classify plots (Wiser, 2016), creating a mismatch </w:t>
      </w:r>
      <w:r w:rsidRPr="00D604EE">
        <w:lastRenderedPageBreak/>
        <w:t>in assigning carbon stock change per hectare to forest area. In this submission the LCDB version 5 (LCDBv5) was applied for both classifications to amend this inconsistency. Additionally, the assumption that tall forests were in steady state has been revised so that a carbon stock change per hectare is now also included for the tall forest component (following a recommendation from the ERT, L.18, 2020). Collectively, this has resulted in an increase in annual emissions of approximately 1,300 kt CO</w:t>
      </w:r>
      <w:r w:rsidRPr="00D604EE">
        <w:rPr>
          <w:vertAlign w:val="subscript"/>
        </w:rPr>
        <w:t>2</w:t>
      </w:r>
      <w:r w:rsidRPr="00D604EE">
        <w:t xml:space="preserve">-e across the time series. </w:t>
      </w:r>
    </w:p>
    <w:p w14:paraId="684B5A86" w14:textId="77777777" w:rsidR="00784FA9" w:rsidRPr="00D604EE" w:rsidRDefault="00784FA9" w:rsidP="00784FA9">
      <w:pPr>
        <w:pStyle w:val="BodyText"/>
      </w:pPr>
      <w:r w:rsidRPr="00D604EE">
        <w:t>Detailed information on the recalculations is provided in the relevant source-specific recalculations sections below and in chapter 10.</w:t>
      </w:r>
    </w:p>
    <w:p w14:paraId="2DDCB5E0" w14:textId="77777777" w:rsidR="00784FA9" w:rsidRPr="00D604EE" w:rsidRDefault="00784FA9" w:rsidP="00784FA9">
      <w:pPr>
        <w:pStyle w:val="Heading3"/>
      </w:pPr>
      <w:bookmarkStart w:id="1411" w:name="_Toc280630222"/>
      <w:r w:rsidRPr="00D604EE">
        <w:t>6.1.5</w:t>
      </w:r>
      <w:r w:rsidRPr="00D604EE">
        <w:tab/>
        <w:t>LULUCF planned improvements</w:t>
      </w:r>
      <w:bookmarkEnd w:id="1411"/>
    </w:p>
    <w:p w14:paraId="073A1B22" w14:textId="77777777" w:rsidR="00784FA9" w:rsidRPr="00D604EE" w:rsidRDefault="00784FA9" w:rsidP="00784FA9">
      <w:pPr>
        <w:pStyle w:val="BodyText"/>
      </w:pPr>
      <w:r w:rsidRPr="00D604EE">
        <w:t>The LULUCF</w:t>
      </w:r>
      <w:r w:rsidRPr="00D604EE" w:rsidDel="009430C8">
        <w:t xml:space="preserve"> sector has </w:t>
      </w:r>
      <w:r w:rsidRPr="00D604EE">
        <w:t>a plan of continuous improvement and has introduced several improvements in this submission. Once a year, potential category-specific improvements are ranked in order of priority according to ERT recommendations, key category analysis and contribution to uncertainty in the sector. The improvement priority list is then compared with available resources and capability before a final improvements plan, for the current National Inventory Report and – in the case of the long-term improvements – for future national inventory reports, is agreed on.</w:t>
      </w:r>
    </w:p>
    <w:p w14:paraId="5B2FA923" w14:textId="77777777" w:rsidR="00784FA9" w:rsidRPr="00D604EE" w:rsidRDefault="00784FA9" w:rsidP="00784FA9">
      <w:pPr>
        <w:pStyle w:val="BodyText"/>
      </w:pPr>
      <w:r w:rsidRPr="00D604EE">
        <w:t>Category-specific planned improvements for the 2023 and future submissions are reported separately under each of the relevant category sections of this chapter. The major themes are to:</w:t>
      </w:r>
    </w:p>
    <w:p w14:paraId="4E788FFC" w14:textId="77777777" w:rsidR="00784FA9" w:rsidRPr="00D604EE" w:rsidRDefault="00784FA9" w:rsidP="00AB2A5C">
      <w:pPr>
        <w:pStyle w:val="Bullet"/>
        <w:numPr>
          <w:ilvl w:val="0"/>
          <w:numId w:val="19"/>
        </w:numPr>
        <w:spacing w:after="100"/>
        <w:ind w:left="397" w:hanging="397"/>
      </w:pPr>
      <w:r w:rsidRPr="00CD4262">
        <w:t>continue</w:t>
      </w:r>
      <w:r w:rsidRPr="00D604EE">
        <w:t xml:space="preserve"> with method development to implement the 2006 IPCC Guidelines (IPCC, 2006a) </w:t>
      </w:r>
    </w:p>
    <w:p w14:paraId="0238A273" w14:textId="77777777" w:rsidR="00784FA9" w:rsidRPr="00D604EE" w:rsidRDefault="00784FA9" w:rsidP="00AB2A5C">
      <w:pPr>
        <w:pStyle w:val="Bullet"/>
        <w:numPr>
          <w:ilvl w:val="0"/>
          <w:numId w:val="19"/>
        </w:numPr>
        <w:spacing w:after="100"/>
        <w:ind w:left="397" w:hanging="397"/>
      </w:pPr>
      <w:r w:rsidRPr="00D604EE">
        <w:t>continue to re-measure the pre-1990 natural forest ground plot inventory on a continuous basis (on a 10-year cycle). The data collected to date from the third measurement cycle will be analysed and integrated into future submissions</w:t>
      </w:r>
    </w:p>
    <w:p w14:paraId="51BCB878" w14:textId="77777777" w:rsidR="00784FA9" w:rsidRPr="00D604EE" w:rsidRDefault="00784FA9" w:rsidP="00AB2A5C">
      <w:pPr>
        <w:pStyle w:val="Bullet"/>
        <w:numPr>
          <w:ilvl w:val="0"/>
          <w:numId w:val="19"/>
        </w:numPr>
        <w:spacing w:after="100"/>
        <w:ind w:left="397" w:hanging="397"/>
      </w:pPr>
      <w:r w:rsidRPr="00D604EE">
        <w:t>continue to re-measure the complete planted forest plot network (pre-1990 and post</w:t>
      </w:r>
      <w:r w:rsidRPr="00D604EE">
        <w:noBreakHyphen/>
        <w:t xml:space="preserve">1989) on a continuous basis (on a five-year cycle). The data will be incorporated into the National Inventory Report as they become available </w:t>
      </w:r>
    </w:p>
    <w:p w14:paraId="4FFDB141" w14:textId="77777777" w:rsidR="00784FA9" w:rsidRPr="00D604EE" w:rsidRDefault="00784FA9" w:rsidP="00AB2A5C">
      <w:pPr>
        <w:pStyle w:val="Bullet"/>
        <w:numPr>
          <w:ilvl w:val="0"/>
          <w:numId w:val="19"/>
        </w:numPr>
        <w:spacing w:after="100"/>
        <w:ind w:left="397" w:hanging="397"/>
      </w:pPr>
      <w:r w:rsidRPr="00D604EE">
        <w:t xml:space="preserve">continue to improve land use mapping by using information collected through the NZ ETS. The NZ ETS provides an ongoing source of mapping information on forest extent and age, along with information on deforestation activity and carbon equivalent forest activities. This will be used as part of a continuous improvement programme to update the 1990, 2008, 2012 and 2016 land use maps </w:t>
      </w:r>
    </w:p>
    <w:p w14:paraId="5285FD67" w14:textId="77777777" w:rsidR="00784FA9" w:rsidRPr="00D604EE" w:rsidRDefault="00784FA9" w:rsidP="00AB2A5C">
      <w:pPr>
        <w:pStyle w:val="Bullet"/>
        <w:numPr>
          <w:ilvl w:val="0"/>
          <w:numId w:val="19"/>
        </w:numPr>
        <w:spacing w:after="100"/>
        <w:ind w:left="397" w:hanging="397"/>
      </w:pPr>
      <w:r w:rsidRPr="00D604EE">
        <w:t>complete the 2020 land use map based on Sentinel-2 satellite imagery captured during the summer of 2020/21</w:t>
      </w:r>
    </w:p>
    <w:p w14:paraId="79573CBE" w14:textId="77777777" w:rsidR="00784FA9" w:rsidRPr="00D604EE" w:rsidRDefault="00784FA9" w:rsidP="00AB2A5C">
      <w:pPr>
        <w:pStyle w:val="Bullet"/>
        <w:numPr>
          <w:ilvl w:val="0"/>
          <w:numId w:val="19"/>
        </w:numPr>
        <w:spacing w:after="100"/>
        <w:ind w:left="397" w:hanging="397"/>
      </w:pPr>
      <w:r w:rsidRPr="00D604EE">
        <w:t>undertake research to identify nutrient status, drainage depth and suitable emission factors for drained organic soils to enable the application of the 2013 Wetlands supplement</w:t>
      </w:r>
    </w:p>
    <w:p w14:paraId="22C24D8B" w14:textId="77777777" w:rsidR="00784FA9" w:rsidRPr="00D604EE" w:rsidRDefault="00784FA9" w:rsidP="00AB2A5C">
      <w:pPr>
        <w:pStyle w:val="Bullet"/>
        <w:numPr>
          <w:ilvl w:val="0"/>
          <w:numId w:val="19"/>
        </w:numPr>
        <w:spacing w:after="100"/>
        <w:ind w:left="397" w:hanging="397"/>
      </w:pPr>
      <w:r w:rsidRPr="00D604EE">
        <w:t>undertake a literature review of carbon stocks and estimated stock change through time in inland wetland vegetation. This will enable carbon stock gains and losses from land-use changes to and from vegetated wetlands to be reported</w:t>
      </w:r>
    </w:p>
    <w:p w14:paraId="1325A58A" w14:textId="77777777" w:rsidR="00784FA9" w:rsidRPr="00D604EE" w:rsidRDefault="00784FA9" w:rsidP="00AB2A5C">
      <w:pPr>
        <w:pStyle w:val="Bullet"/>
        <w:numPr>
          <w:ilvl w:val="0"/>
          <w:numId w:val="19"/>
        </w:numPr>
        <w:spacing w:after="100"/>
        <w:ind w:left="397" w:hanging="397"/>
      </w:pPr>
      <w:r w:rsidRPr="00D604EE">
        <w:t xml:space="preserve">improve the SOC reference stock values for </w:t>
      </w:r>
      <w:r w:rsidRPr="00D604EE">
        <w:rPr>
          <w:i/>
          <w:iCs/>
        </w:rPr>
        <w:t>Cropland</w:t>
      </w:r>
      <w:r w:rsidRPr="00D604EE">
        <w:t xml:space="preserve"> and </w:t>
      </w:r>
      <w:r w:rsidRPr="00D604EE">
        <w:rPr>
          <w:i/>
          <w:iCs/>
        </w:rPr>
        <w:t>Grassland</w:t>
      </w:r>
      <w:r w:rsidRPr="00D604EE">
        <w:t xml:space="preserve"> through data being collected as part of a 12-year longitudinal study to measure the impact of management practices on agricultural soils</w:t>
      </w:r>
    </w:p>
    <w:p w14:paraId="264C6305" w14:textId="77777777" w:rsidR="00784FA9" w:rsidRPr="00D604EE" w:rsidRDefault="00784FA9" w:rsidP="00AB2A5C">
      <w:pPr>
        <w:pStyle w:val="Bullet"/>
        <w:numPr>
          <w:ilvl w:val="0"/>
          <w:numId w:val="19"/>
        </w:numPr>
        <w:ind w:left="397" w:hanging="397"/>
      </w:pPr>
      <w:r w:rsidRPr="00D604EE">
        <w:t xml:space="preserve">produce New Zealand-specific half-lives and their associated uncertainty values for exported harvested wood products and those used domestically. </w:t>
      </w:r>
    </w:p>
    <w:p w14:paraId="5B7F8005" w14:textId="77777777" w:rsidR="00784FA9" w:rsidRPr="00D604EE" w:rsidRDefault="00784FA9" w:rsidP="00784FA9">
      <w:pPr>
        <w:pStyle w:val="Heading2"/>
      </w:pPr>
      <w:bookmarkStart w:id="1412" w:name="_Toc361645361"/>
      <w:bookmarkStart w:id="1413" w:name="_Toc391024698"/>
      <w:bookmarkStart w:id="1414" w:name="_Toc414531315"/>
      <w:bookmarkStart w:id="1415" w:name="_Toc474335457"/>
      <w:bookmarkStart w:id="1416" w:name="_Toc481751397"/>
      <w:bookmarkStart w:id="1417" w:name="_Toc522013949"/>
      <w:bookmarkStart w:id="1418" w:name="_Toc5269374"/>
      <w:bookmarkStart w:id="1419" w:name="_Toc36224414"/>
      <w:bookmarkStart w:id="1420" w:name="_Toc99659141"/>
      <w:r w:rsidRPr="00D604EE">
        <w:lastRenderedPageBreak/>
        <w:t>6.2</w:t>
      </w:r>
      <w:r w:rsidRPr="00D604EE">
        <w:tab/>
        <w:t>Representation of land areas</w:t>
      </w:r>
      <w:bookmarkEnd w:id="1412"/>
      <w:bookmarkEnd w:id="1413"/>
      <w:bookmarkEnd w:id="1414"/>
      <w:bookmarkEnd w:id="1415"/>
      <w:bookmarkEnd w:id="1416"/>
      <w:bookmarkEnd w:id="1417"/>
      <w:bookmarkEnd w:id="1418"/>
      <w:bookmarkEnd w:id="1419"/>
      <w:bookmarkEnd w:id="1420"/>
    </w:p>
    <w:p w14:paraId="455F2B6A" w14:textId="77777777" w:rsidR="00784FA9" w:rsidRPr="00D604EE" w:rsidRDefault="00784FA9" w:rsidP="00784FA9">
      <w:pPr>
        <w:pStyle w:val="Heading3"/>
        <w:spacing w:before="240"/>
      </w:pPr>
      <w:r w:rsidRPr="00D604EE">
        <w:t>6.2.1</w:t>
      </w:r>
      <w:r w:rsidRPr="00D604EE">
        <w:tab/>
        <w:t>Description</w:t>
      </w:r>
    </w:p>
    <w:p w14:paraId="6F11550D" w14:textId="77777777" w:rsidR="00784FA9" w:rsidRPr="00D604EE" w:rsidRDefault="00784FA9" w:rsidP="00784FA9">
      <w:pPr>
        <w:pStyle w:val="BodyText"/>
      </w:pPr>
      <w:r w:rsidRPr="00D604EE">
        <w:t xml:space="preserve">New Zealand uses reporting Methods 1 and 2 and Approaches 2 and 3 to determine land-use changes occurring between 1 January 1990 and 31 December 2020 (section 2.2.4, IPCC, 2014). Areas of land use and land-use change between 1990 and 2020 are based on four wall-to-wall land use maps derived from satellite imagery at nominal mapping dates of 31 December 1989, 31 December 2007, 31 December 2012 and 31 December 2016 (see figure 6.2.1). Area information from these maps is interpolated and extrapolated to obtain a complete time series of land-use change occurring between 1990 and 2020 (see annex A3.2.2). Ancillary data – including aerial photography, additional satellite imagery, data from the NZ ETS and other national survey data – are used to support data interpolation and map production. Further information on the mapping methodology and imagery used, as well as the interpolation and extrapolation process to obtain a complete time series of land-use change occurring between 1990 and 2020 can be found in annex A3.2.2. Gross land use transitions before 1990 are estimated using a variety of different sources and following the methodology described in Watts (unpublished) and reviewed in Hunter and McNeill (unpublished), which is further described in annex A3.2.2. Applying this methodology allows for the land use transition matrix for the period 1962 to 1989 to be obtained (see table 6.2.1). </w:t>
      </w:r>
    </w:p>
    <w:p w14:paraId="06F8C1DF" w14:textId="77777777" w:rsidR="00784FA9" w:rsidRPr="00D604EE" w:rsidRDefault="00784FA9" w:rsidP="00784FA9">
      <w:pPr>
        <w:pStyle w:val="Figure"/>
      </w:pPr>
      <w:bookmarkStart w:id="1421" w:name="_Toc378853338"/>
      <w:bookmarkStart w:id="1422" w:name="_Toc405448088"/>
      <w:bookmarkStart w:id="1423" w:name="_Toc414531620"/>
      <w:bookmarkStart w:id="1424" w:name="_Toc474914643"/>
      <w:bookmarkStart w:id="1425" w:name="_Toc481752025"/>
      <w:bookmarkStart w:id="1426" w:name="_Toc522010703"/>
      <w:bookmarkStart w:id="1427" w:name="_Toc5269706"/>
      <w:bookmarkStart w:id="1428" w:name="_Toc33529478"/>
      <w:bookmarkStart w:id="1429" w:name="_Toc36292808"/>
      <w:bookmarkStart w:id="1430" w:name="_Toc99696047"/>
      <w:r w:rsidRPr="00D604EE">
        <w:lastRenderedPageBreak/>
        <w:t>Figure 6.2.1</w:t>
      </w:r>
      <w:r w:rsidRPr="00D604EE">
        <w:tab/>
        <w:t>Land use map of New Zealand as at 31 December 2016</w:t>
      </w:r>
      <w:bookmarkEnd w:id="1421"/>
      <w:bookmarkEnd w:id="1422"/>
      <w:bookmarkEnd w:id="1423"/>
      <w:bookmarkEnd w:id="1424"/>
      <w:bookmarkEnd w:id="1425"/>
      <w:bookmarkEnd w:id="1426"/>
      <w:bookmarkEnd w:id="1427"/>
      <w:bookmarkEnd w:id="1428"/>
      <w:bookmarkEnd w:id="1429"/>
      <w:bookmarkEnd w:id="1430"/>
    </w:p>
    <w:p w14:paraId="10323C17" w14:textId="31698B1D" w:rsidR="00784FA9" w:rsidRPr="00D604EE" w:rsidRDefault="004B48CC" w:rsidP="00784FA9">
      <w:pPr>
        <w:spacing w:after="120"/>
      </w:pPr>
      <w:r>
        <w:rPr>
          <w:noProof/>
        </w:rPr>
        <w:pict w14:anchorId="4ECD34A5">
          <v:shape id="_x0000_i1122" type="#_x0000_t75" alt="Map&#10;&#10;Description automatically generated" style="width:410.25pt;height:545pt;visibility:visible;mso-wrap-style:square">
            <v:imagedata r:id="rId198" o:title="Map&#10;&#10;Description automatically generated" croptop="3524f" cropbottom="3600f"/>
          </v:shape>
        </w:pict>
      </w:r>
    </w:p>
    <w:p w14:paraId="7237FB0B" w14:textId="77777777" w:rsidR="00784FA9" w:rsidRPr="00D604EE" w:rsidRDefault="00784FA9" w:rsidP="00784FA9">
      <w:pPr>
        <w:pStyle w:val="Noteundertable"/>
      </w:pPr>
      <w:r w:rsidRPr="00D604EE">
        <w:rPr>
          <w:b/>
        </w:rPr>
        <w:t>Note:</w:t>
      </w:r>
      <w:r w:rsidRPr="00D604EE">
        <w:tab/>
        <w:t>The inset map is of the Chatham Islands, which lie approximately 660 kilometres south-east of the south-eastern corner of the North Island.</w:t>
      </w:r>
    </w:p>
    <w:p w14:paraId="68A6DA24" w14:textId="77777777" w:rsidR="00784FA9" w:rsidRPr="00D604EE" w:rsidRDefault="00784FA9" w:rsidP="00784FA9">
      <w:pPr>
        <w:pStyle w:val="BodyText"/>
      </w:pPr>
    </w:p>
    <w:p w14:paraId="640B8EBD" w14:textId="77777777" w:rsidR="00784FA9" w:rsidRPr="00D604EE" w:rsidRDefault="00784FA9" w:rsidP="00784FA9">
      <w:pPr>
        <w:pStyle w:val="BodyText"/>
        <w:sectPr w:rsidR="00784FA9" w:rsidRPr="00D604EE" w:rsidSect="008C5B60">
          <w:footerReference w:type="even" r:id="rId199"/>
          <w:footerReference w:type="default" r:id="rId200"/>
          <w:pgSz w:w="11906" w:h="16838" w:code="9"/>
          <w:pgMar w:top="1418" w:right="1701" w:bottom="1418" w:left="1701" w:header="567" w:footer="567" w:gutter="0"/>
          <w:cols w:space="708"/>
          <w:docGrid w:linePitch="360"/>
        </w:sectPr>
      </w:pPr>
    </w:p>
    <w:p w14:paraId="2A6FC593" w14:textId="77777777" w:rsidR="00784FA9" w:rsidRPr="00D604EE" w:rsidRDefault="00784FA9" w:rsidP="00784FA9">
      <w:pPr>
        <w:pStyle w:val="Table"/>
        <w:spacing w:before="0"/>
      </w:pPr>
      <w:bookmarkStart w:id="1431" w:name="_Toc99659277"/>
      <w:r w:rsidRPr="00D604EE">
        <w:lastRenderedPageBreak/>
        <w:t>Table 6.2.1</w:t>
      </w:r>
      <w:r w:rsidRPr="00D604EE">
        <w:tab/>
        <w:t>New Zealand’s land-use change matrix from 1962 to 1989</w:t>
      </w:r>
      <w:bookmarkEnd w:id="1431"/>
    </w:p>
    <w:tbl>
      <w:tblPr>
        <w:tblW w:w="1394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79"/>
        <w:gridCol w:w="1151"/>
        <w:gridCol w:w="806"/>
        <w:gridCol w:w="806"/>
        <w:gridCol w:w="805"/>
        <w:gridCol w:w="805"/>
        <w:gridCol w:w="748"/>
        <w:gridCol w:w="748"/>
        <w:gridCol w:w="920"/>
        <w:gridCol w:w="920"/>
        <w:gridCol w:w="920"/>
        <w:gridCol w:w="805"/>
        <w:gridCol w:w="805"/>
        <w:gridCol w:w="920"/>
        <w:gridCol w:w="868"/>
        <w:gridCol w:w="942"/>
      </w:tblGrid>
      <w:tr w:rsidR="00AD4336" w:rsidRPr="00D604EE" w14:paraId="186792BF" w14:textId="77777777" w:rsidTr="00AD4336">
        <w:tc>
          <w:tcPr>
            <w:tcW w:w="964" w:type="dxa"/>
            <w:vMerge w:val="restart"/>
            <w:tcBorders>
              <w:top w:val="single" w:sz="4" w:space="0" w:color="44546A"/>
              <w:left w:val="nil"/>
              <w:bottom w:val="nil"/>
              <w:right w:val="nil"/>
            </w:tcBorders>
            <w:shd w:val="clear" w:color="auto" w:fill="1B556B"/>
            <w:vAlign w:val="bottom"/>
          </w:tcPr>
          <w:p w14:paraId="1CFB54DF" w14:textId="77777777" w:rsidR="00784FA9" w:rsidRPr="00AD4336" w:rsidRDefault="00784FA9" w:rsidP="00AD4336">
            <w:pPr>
              <w:pStyle w:val="TableTextBold"/>
              <w:jc w:val="both"/>
              <w:rPr>
                <w:rFonts w:cs="Calibri"/>
                <w:noProof w:val="0"/>
                <w:sz w:val="15"/>
                <w:szCs w:val="15"/>
              </w:rPr>
            </w:pPr>
            <w:r w:rsidRPr="00AD4336">
              <w:rPr>
                <w:rFonts w:cs="Calibri"/>
                <w:noProof w:val="0"/>
                <w:color w:val="FFFFFF"/>
                <w:sz w:val="15"/>
                <w:szCs w:val="15"/>
              </w:rPr>
              <w:t>1989</w:t>
            </w:r>
          </w:p>
        </w:tc>
        <w:tc>
          <w:tcPr>
            <w:tcW w:w="1134" w:type="dxa"/>
            <w:vMerge w:val="restart"/>
            <w:tcBorders>
              <w:top w:val="single" w:sz="4" w:space="0" w:color="44546A"/>
              <w:left w:val="nil"/>
              <w:bottom w:val="nil"/>
              <w:right w:val="nil"/>
            </w:tcBorders>
            <w:shd w:val="clear" w:color="auto" w:fill="1B556B"/>
            <w:vAlign w:val="bottom"/>
          </w:tcPr>
          <w:p w14:paraId="70F3B8E3" w14:textId="77777777" w:rsidR="00784FA9" w:rsidRPr="00AD4336" w:rsidRDefault="00784FA9" w:rsidP="00AD4336">
            <w:pPr>
              <w:pStyle w:val="TableTextBold"/>
              <w:jc w:val="both"/>
              <w:rPr>
                <w:rFonts w:cs="Calibri"/>
                <w:noProof w:val="0"/>
                <w:sz w:val="15"/>
                <w:szCs w:val="15"/>
              </w:rPr>
            </w:pPr>
            <w:r w:rsidRPr="00AD4336">
              <w:rPr>
                <w:rFonts w:cs="Calibri"/>
                <w:noProof w:val="0"/>
                <w:color w:val="FFFFFF"/>
                <w:sz w:val="15"/>
                <w:szCs w:val="15"/>
              </w:rPr>
              <w:t>1962</w:t>
            </w:r>
          </w:p>
        </w:tc>
        <w:tc>
          <w:tcPr>
            <w:tcW w:w="794" w:type="dxa"/>
            <w:gridSpan w:val="4"/>
            <w:tcBorders>
              <w:top w:val="single" w:sz="4" w:space="0" w:color="44546A"/>
              <w:left w:val="nil"/>
              <w:bottom w:val="nil"/>
              <w:right w:val="nil"/>
            </w:tcBorders>
            <w:shd w:val="clear" w:color="auto" w:fill="1B556B"/>
            <w:vAlign w:val="bottom"/>
          </w:tcPr>
          <w:p w14:paraId="5108E06A" w14:textId="77777777" w:rsidR="00784FA9" w:rsidRPr="00AD4336" w:rsidRDefault="00784FA9" w:rsidP="00AD4336">
            <w:pPr>
              <w:pStyle w:val="TableTextBold"/>
              <w:spacing w:after="20"/>
              <w:jc w:val="center"/>
              <w:rPr>
                <w:rFonts w:cs="Calibri"/>
                <w:noProof w:val="0"/>
                <w:color w:val="FFFFFF"/>
                <w:sz w:val="15"/>
                <w:szCs w:val="15"/>
              </w:rPr>
            </w:pPr>
            <w:r w:rsidRPr="00AD4336">
              <w:rPr>
                <w:rFonts w:cs="Calibri"/>
                <w:noProof w:val="0"/>
                <w:color w:val="FFFFFF"/>
                <w:sz w:val="15"/>
                <w:szCs w:val="15"/>
              </w:rPr>
              <w:t>Forest land</w:t>
            </w:r>
          </w:p>
        </w:tc>
        <w:tc>
          <w:tcPr>
            <w:tcW w:w="737" w:type="dxa"/>
            <w:gridSpan w:val="2"/>
            <w:tcBorders>
              <w:top w:val="single" w:sz="4" w:space="0" w:color="44546A"/>
              <w:left w:val="nil"/>
              <w:bottom w:val="nil"/>
              <w:right w:val="nil"/>
            </w:tcBorders>
            <w:shd w:val="clear" w:color="auto" w:fill="1B556B"/>
            <w:vAlign w:val="bottom"/>
          </w:tcPr>
          <w:p w14:paraId="5C961766" w14:textId="77777777" w:rsidR="00784FA9" w:rsidRPr="00AD4336" w:rsidRDefault="00784FA9" w:rsidP="00AD4336">
            <w:pPr>
              <w:pStyle w:val="TableTextBold"/>
              <w:spacing w:after="20"/>
              <w:jc w:val="center"/>
              <w:rPr>
                <w:rFonts w:cs="Calibri"/>
                <w:noProof w:val="0"/>
                <w:color w:val="FFFFFF"/>
                <w:sz w:val="15"/>
                <w:szCs w:val="15"/>
              </w:rPr>
            </w:pPr>
            <w:r w:rsidRPr="00AD4336">
              <w:rPr>
                <w:rFonts w:cs="Calibri"/>
                <w:noProof w:val="0"/>
                <w:color w:val="FFFFFF"/>
                <w:sz w:val="15"/>
                <w:szCs w:val="15"/>
              </w:rPr>
              <w:t>Cropland</w:t>
            </w:r>
          </w:p>
        </w:tc>
        <w:tc>
          <w:tcPr>
            <w:tcW w:w="907" w:type="dxa"/>
            <w:gridSpan w:val="3"/>
            <w:tcBorders>
              <w:top w:val="single" w:sz="4" w:space="0" w:color="44546A"/>
              <w:left w:val="nil"/>
              <w:bottom w:val="nil"/>
              <w:right w:val="nil"/>
            </w:tcBorders>
            <w:shd w:val="clear" w:color="auto" w:fill="1B556B"/>
            <w:vAlign w:val="bottom"/>
          </w:tcPr>
          <w:p w14:paraId="050C9C8B" w14:textId="77777777" w:rsidR="00784FA9" w:rsidRPr="00AD4336" w:rsidRDefault="00784FA9" w:rsidP="00AD4336">
            <w:pPr>
              <w:pStyle w:val="TableTextBold"/>
              <w:spacing w:after="20"/>
              <w:jc w:val="center"/>
              <w:rPr>
                <w:rFonts w:cs="Calibri"/>
                <w:noProof w:val="0"/>
                <w:color w:val="FFFFFF"/>
                <w:sz w:val="15"/>
                <w:szCs w:val="15"/>
              </w:rPr>
            </w:pPr>
            <w:r w:rsidRPr="00AD4336">
              <w:rPr>
                <w:rFonts w:cs="Calibri"/>
                <w:noProof w:val="0"/>
                <w:color w:val="FFFFFF"/>
                <w:sz w:val="15"/>
                <w:szCs w:val="15"/>
              </w:rPr>
              <w:t>Grassland</w:t>
            </w:r>
          </w:p>
        </w:tc>
        <w:tc>
          <w:tcPr>
            <w:tcW w:w="794" w:type="dxa"/>
            <w:gridSpan w:val="2"/>
            <w:tcBorders>
              <w:top w:val="single" w:sz="4" w:space="0" w:color="44546A"/>
              <w:left w:val="nil"/>
              <w:bottom w:val="nil"/>
              <w:right w:val="nil"/>
            </w:tcBorders>
            <w:shd w:val="clear" w:color="auto" w:fill="1B556B"/>
            <w:vAlign w:val="bottom"/>
          </w:tcPr>
          <w:p w14:paraId="4FDE36F8" w14:textId="77777777" w:rsidR="00784FA9" w:rsidRPr="00AD4336" w:rsidRDefault="00784FA9" w:rsidP="00AD4336">
            <w:pPr>
              <w:pStyle w:val="TableTextBold"/>
              <w:spacing w:after="20"/>
              <w:jc w:val="center"/>
              <w:rPr>
                <w:rFonts w:cs="Calibri"/>
                <w:noProof w:val="0"/>
                <w:color w:val="FFFFFF"/>
                <w:sz w:val="15"/>
                <w:szCs w:val="15"/>
              </w:rPr>
            </w:pPr>
            <w:r w:rsidRPr="00AD4336">
              <w:rPr>
                <w:rFonts w:cs="Calibri"/>
                <w:noProof w:val="0"/>
                <w:color w:val="FFFFFF"/>
                <w:sz w:val="15"/>
                <w:szCs w:val="15"/>
              </w:rPr>
              <w:t>Wetland</w:t>
            </w:r>
          </w:p>
        </w:tc>
        <w:tc>
          <w:tcPr>
            <w:tcW w:w="907" w:type="dxa"/>
            <w:tcBorders>
              <w:top w:val="single" w:sz="4" w:space="0" w:color="44546A"/>
              <w:left w:val="nil"/>
              <w:bottom w:val="nil"/>
              <w:right w:val="nil"/>
            </w:tcBorders>
            <w:shd w:val="clear" w:color="auto" w:fill="1B556B"/>
            <w:vAlign w:val="bottom"/>
          </w:tcPr>
          <w:p w14:paraId="1AEFA3F5" w14:textId="77777777" w:rsidR="00784FA9" w:rsidRPr="00AD4336" w:rsidRDefault="00784FA9" w:rsidP="00AD4336">
            <w:pPr>
              <w:pStyle w:val="TableTextBold"/>
              <w:spacing w:after="20"/>
              <w:jc w:val="center"/>
              <w:rPr>
                <w:rFonts w:cs="Calibri"/>
                <w:noProof w:val="0"/>
                <w:color w:val="FFFFFF"/>
                <w:sz w:val="15"/>
                <w:szCs w:val="15"/>
              </w:rPr>
            </w:pPr>
            <w:r w:rsidRPr="00AD4336">
              <w:rPr>
                <w:rFonts w:cs="Calibri"/>
                <w:noProof w:val="0"/>
                <w:color w:val="FFFFFF"/>
                <w:sz w:val="15"/>
                <w:szCs w:val="15"/>
              </w:rPr>
              <w:t>Settlements</w:t>
            </w:r>
          </w:p>
        </w:tc>
        <w:tc>
          <w:tcPr>
            <w:tcW w:w="856" w:type="dxa"/>
            <w:tcBorders>
              <w:top w:val="single" w:sz="4" w:space="0" w:color="44546A"/>
              <w:left w:val="nil"/>
              <w:bottom w:val="nil"/>
              <w:right w:val="nil"/>
            </w:tcBorders>
            <w:shd w:val="clear" w:color="auto" w:fill="1B556B"/>
            <w:vAlign w:val="bottom"/>
          </w:tcPr>
          <w:p w14:paraId="7671BC00" w14:textId="77777777" w:rsidR="00784FA9" w:rsidRPr="00AD4336" w:rsidRDefault="00784FA9" w:rsidP="00AD4336">
            <w:pPr>
              <w:pStyle w:val="TableTextBold"/>
              <w:spacing w:after="20"/>
              <w:jc w:val="center"/>
              <w:rPr>
                <w:rFonts w:cs="Calibri"/>
                <w:noProof w:val="0"/>
                <w:color w:val="FFFFFF"/>
                <w:sz w:val="15"/>
                <w:szCs w:val="15"/>
              </w:rPr>
            </w:pPr>
            <w:r w:rsidRPr="00AD4336">
              <w:rPr>
                <w:rFonts w:cs="Calibri"/>
                <w:noProof w:val="0"/>
                <w:color w:val="FFFFFF"/>
                <w:sz w:val="15"/>
                <w:szCs w:val="15"/>
              </w:rPr>
              <w:t>Other land</w:t>
            </w:r>
          </w:p>
        </w:tc>
        <w:tc>
          <w:tcPr>
            <w:tcW w:w="929" w:type="dxa"/>
            <w:vMerge w:val="restart"/>
            <w:tcBorders>
              <w:top w:val="single" w:sz="4" w:space="0" w:color="44546A"/>
              <w:left w:val="nil"/>
              <w:bottom w:val="nil"/>
              <w:right w:val="nil"/>
            </w:tcBorders>
            <w:shd w:val="clear" w:color="auto" w:fill="1B556B"/>
            <w:vAlign w:val="bottom"/>
          </w:tcPr>
          <w:p w14:paraId="04464F94" w14:textId="77777777" w:rsidR="00784FA9" w:rsidRPr="00AD4336" w:rsidRDefault="00784FA9" w:rsidP="00AD4336">
            <w:pPr>
              <w:pStyle w:val="TableTextBold"/>
              <w:spacing w:before="0"/>
              <w:jc w:val="center"/>
              <w:rPr>
                <w:rFonts w:cs="Calibri"/>
                <w:noProof w:val="0"/>
                <w:color w:val="FFFFFF"/>
                <w:sz w:val="15"/>
                <w:szCs w:val="15"/>
              </w:rPr>
            </w:pPr>
            <w:r w:rsidRPr="00AD4336">
              <w:rPr>
                <w:rFonts w:cs="Calibri"/>
                <w:noProof w:val="0"/>
                <w:color w:val="FFFFFF"/>
                <w:sz w:val="15"/>
                <w:szCs w:val="15"/>
              </w:rPr>
              <w:t>Net area 31 Dec 1989 (kha)</w:t>
            </w:r>
          </w:p>
        </w:tc>
      </w:tr>
      <w:tr w:rsidR="00AD4336" w:rsidRPr="00D604EE" w14:paraId="69998718" w14:textId="77777777" w:rsidTr="00A67DE9">
        <w:tc>
          <w:tcPr>
            <w:tcW w:w="964" w:type="dxa"/>
            <w:vMerge/>
            <w:tcBorders>
              <w:top w:val="nil"/>
              <w:left w:val="nil"/>
              <w:bottom w:val="single" w:sz="4" w:space="0" w:color="44546A"/>
              <w:right w:val="nil"/>
            </w:tcBorders>
            <w:shd w:val="clear" w:color="auto" w:fill="1B556B"/>
          </w:tcPr>
          <w:p w14:paraId="587562C8" w14:textId="77777777" w:rsidR="00784FA9" w:rsidRPr="00AD4336" w:rsidRDefault="00784FA9" w:rsidP="00AD4336">
            <w:pPr>
              <w:pStyle w:val="TableText"/>
              <w:jc w:val="both"/>
              <w:rPr>
                <w:rFonts w:cs="Calibri"/>
                <w:sz w:val="15"/>
                <w:szCs w:val="15"/>
              </w:rPr>
            </w:pPr>
          </w:p>
        </w:tc>
        <w:tc>
          <w:tcPr>
            <w:tcW w:w="1134" w:type="dxa"/>
            <w:vMerge/>
            <w:tcBorders>
              <w:top w:val="nil"/>
              <w:left w:val="nil"/>
              <w:bottom w:val="single" w:sz="4" w:space="0" w:color="44546A"/>
              <w:right w:val="nil"/>
            </w:tcBorders>
            <w:shd w:val="clear" w:color="auto" w:fill="1B556B"/>
          </w:tcPr>
          <w:p w14:paraId="2A5B71BE" w14:textId="77777777" w:rsidR="00784FA9" w:rsidRPr="00AD4336" w:rsidRDefault="00784FA9" w:rsidP="00AD4336">
            <w:pPr>
              <w:pStyle w:val="TableText"/>
              <w:jc w:val="both"/>
              <w:rPr>
                <w:rFonts w:cs="Calibri"/>
                <w:sz w:val="15"/>
                <w:szCs w:val="15"/>
              </w:rPr>
            </w:pPr>
          </w:p>
        </w:tc>
        <w:tc>
          <w:tcPr>
            <w:tcW w:w="794" w:type="dxa"/>
            <w:tcBorders>
              <w:top w:val="nil"/>
              <w:left w:val="nil"/>
              <w:bottom w:val="single" w:sz="4" w:space="0" w:color="44546A"/>
              <w:right w:val="nil"/>
            </w:tcBorders>
            <w:shd w:val="clear" w:color="auto" w:fill="1B556B"/>
            <w:vAlign w:val="bottom"/>
          </w:tcPr>
          <w:p w14:paraId="11274CC2" w14:textId="77777777" w:rsidR="00784FA9" w:rsidRPr="00AD4336" w:rsidRDefault="00784FA9" w:rsidP="00AD4336">
            <w:pPr>
              <w:pStyle w:val="TableText"/>
              <w:spacing w:before="0"/>
              <w:jc w:val="center"/>
              <w:rPr>
                <w:rFonts w:cs="Calibri"/>
                <w:b/>
                <w:bCs/>
                <w:color w:val="FFFFFF"/>
                <w:sz w:val="15"/>
                <w:szCs w:val="15"/>
              </w:rPr>
            </w:pPr>
            <w:r w:rsidRPr="00AD4336">
              <w:rPr>
                <w:rFonts w:cs="Calibri"/>
                <w:b/>
                <w:bCs/>
                <w:color w:val="FFFFFF"/>
                <w:sz w:val="15"/>
                <w:szCs w:val="15"/>
              </w:rPr>
              <w:t>Pre-1990 natural</w:t>
            </w:r>
          </w:p>
        </w:tc>
        <w:tc>
          <w:tcPr>
            <w:tcW w:w="794" w:type="dxa"/>
            <w:tcBorders>
              <w:top w:val="nil"/>
              <w:left w:val="nil"/>
              <w:bottom w:val="single" w:sz="4" w:space="0" w:color="44546A"/>
              <w:right w:val="nil"/>
            </w:tcBorders>
            <w:shd w:val="clear" w:color="auto" w:fill="1B556B"/>
            <w:vAlign w:val="bottom"/>
          </w:tcPr>
          <w:p w14:paraId="2BB873F0" w14:textId="77777777" w:rsidR="00784FA9" w:rsidRPr="00AD4336" w:rsidRDefault="00784FA9" w:rsidP="00AD4336">
            <w:pPr>
              <w:pStyle w:val="TableText"/>
              <w:spacing w:before="0"/>
              <w:jc w:val="center"/>
              <w:rPr>
                <w:rFonts w:cs="Calibri"/>
                <w:b/>
                <w:bCs/>
                <w:color w:val="FFFFFF"/>
                <w:sz w:val="15"/>
                <w:szCs w:val="15"/>
              </w:rPr>
            </w:pPr>
            <w:r w:rsidRPr="00AD4336">
              <w:rPr>
                <w:rFonts w:cs="Calibri"/>
                <w:b/>
                <w:bCs/>
                <w:color w:val="FFFFFF"/>
                <w:sz w:val="15"/>
                <w:szCs w:val="15"/>
              </w:rPr>
              <w:t>Pre-1990 planted</w:t>
            </w:r>
          </w:p>
        </w:tc>
        <w:tc>
          <w:tcPr>
            <w:tcW w:w="794" w:type="dxa"/>
            <w:tcBorders>
              <w:top w:val="nil"/>
              <w:left w:val="nil"/>
              <w:bottom w:val="single" w:sz="4" w:space="0" w:color="44546A"/>
              <w:right w:val="nil"/>
            </w:tcBorders>
            <w:shd w:val="clear" w:color="auto" w:fill="1B556B"/>
            <w:vAlign w:val="bottom"/>
          </w:tcPr>
          <w:p w14:paraId="5E448046" w14:textId="77777777" w:rsidR="00784FA9" w:rsidRPr="00AD4336" w:rsidRDefault="00784FA9" w:rsidP="00AD4336">
            <w:pPr>
              <w:pStyle w:val="TableText"/>
              <w:spacing w:before="0"/>
              <w:jc w:val="center"/>
              <w:rPr>
                <w:rFonts w:cs="Calibri"/>
                <w:b/>
                <w:bCs/>
                <w:color w:val="FFFFFF"/>
                <w:sz w:val="15"/>
                <w:szCs w:val="15"/>
              </w:rPr>
            </w:pPr>
            <w:r w:rsidRPr="00AD4336">
              <w:rPr>
                <w:rFonts w:cs="Calibri"/>
                <w:b/>
                <w:bCs/>
                <w:color w:val="FFFFFF"/>
                <w:sz w:val="15"/>
                <w:szCs w:val="15"/>
              </w:rPr>
              <w:t>Post-1989 planted</w:t>
            </w:r>
          </w:p>
        </w:tc>
        <w:tc>
          <w:tcPr>
            <w:tcW w:w="794" w:type="dxa"/>
            <w:tcBorders>
              <w:top w:val="nil"/>
              <w:left w:val="nil"/>
              <w:bottom w:val="single" w:sz="4" w:space="0" w:color="44546A"/>
              <w:right w:val="nil"/>
            </w:tcBorders>
            <w:shd w:val="clear" w:color="auto" w:fill="1B556B"/>
            <w:vAlign w:val="bottom"/>
          </w:tcPr>
          <w:p w14:paraId="04F9DF37" w14:textId="77777777" w:rsidR="00784FA9" w:rsidRPr="00AD4336" w:rsidRDefault="00784FA9" w:rsidP="00AD4336">
            <w:pPr>
              <w:pStyle w:val="TableText"/>
              <w:spacing w:before="0"/>
              <w:jc w:val="center"/>
              <w:rPr>
                <w:rFonts w:cs="Calibri"/>
                <w:b/>
                <w:bCs/>
                <w:color w:val="FFFFFF"/>
                <w:sz w:val="15"/>
                <w:szCs w:val="15"/>
              </w:rPr>
            </w:pPr>
            <w:r w:rsidRPr="00AD4336">
              <w:rPr>
                <w:rFonts w:cs="Calibri"/>
                <w:b/>
                <w:bCs/>
                <w:color w:val="FFFFFF"/>
                <w:sz w:val="15"/>
                <w:szCs w:val="15"/>
              </w:rPr>
              <w:t>Post-1989 natural</w:t>
            </w:r>
          </w:p>
        </w:tc>
        <w:tc>
          <w:tcPr>
            <w:tcW w:w="737" w:type="dxa"/>
            <w:tcBorders>
              <w:top w:val="nil"/>
              <w:left w:val="nil"/>
              <w:bottom w:val="single" w:sz="4" w:space="0" w:color="44546A"/>
              <w:right w:val="nil"/>
            </w:tcBorders>
            <w:shd w:val="clear" w:color="auto" w:fill="1B556B"/>
            <w:vAlign w:val="bottom"/>
          </w:tcPr>
          <w:p w14:paraId="00F4F609" w14:textId="77777777" w:rsidR="00784FA9" w:rsidRPr="00AD4336" w:rsidRDefault="00784FA9" w:rsidP="00AD4336">
            <w:pPr>
              <w:pStyle w:val="TableText"/>
              <w:spacing w:before="0"/>
              <w:jc w:val="center"/>
              <w:rPr>
                <w:rFonts w:cs="Calibri"/>
                <w:b/>
                <w:bCs/>
                <w:color w:val="FFFFFF"/>
                <w:sz w:val="15"/>
                <w:szCs w:val="15"/>
              </w:rPr>
            </w:pPr>
            <w:r w:rsidRPr="00AD4336">
              <w:rPr>
                <w:rFonts w:cs="Calibri"/>
                <w:b/>
                <w:bCs/>
                <w:color w:val="FFFFFF"/>
                <w:sz w:val="15"/>
                <w:szCs w:val="15"/>
              </w:rPr>
              <w:t>Annual</w:t>
            </w:r>
          </w:p>
        </w:tc>
        <w:tc>
          <w:tcPr>
            <w:tcW w:w="737" w:type="dxa"/>
            <w:tcBorders>
              <w:top w:val="nil"/>
              <w:left w:val="nil"/>
              <w:bottom w:val="single" w:sz="4" w:space="0" w:color="44546A"/>
              <w:right w:val="nil"/>
            </w:tcBorders>
            <w:shd w:val="clear" w:color="auto" w:fill="1B556B"/>
            <w:vAlign w:val="bottom"/>
          </w:tcPr>
          <w:p w14:paraId="508F5B76" w14:textId="77777777" w:rsidR="00784FA9" w:rsidRPr="00AD4336" w:rsidRDefault="00784FA9" w:rsidP="00AD4336">
            <w:pPr>
              <w:pStyle w:val="TableText"/>
              <w:spacing w:before="0"/>
              <w:jc w:val="both"/>
              <w:rPr>
                <w:rFonts w:cs="Calibri"/>
                <w:b/>
                <w:bCs/>
                <w:color w:val="FFFFFF"/>
                <w:sz w:val="15"/>
                <w:szCs w:val="15"/>
              </w:rPr>
            </w:pPr>
            <w:r w:rsidRPr="00AD4336">
              <w:rPr>
                <w:rFonts w:cs="Calibri"/>
                <w:b/>
                <w:bCs/>
                <w:color w:val="FFFFFF"/>
                <w:sz w:val="15"/>
                <w:szCs w:val="15"/>
              </w:rPr>
              <w:t>Perennial</w:t>
            </w:r>
          </w:p>
        </w:tc>
        <w:tc>
          <w:tcPr>
            <w:tcW w:w="907" w:type="dxa"/>
            <w:tcBorders>
              <w:top w:val="nil"/>
              <w:left w:val="nil"/>
              <w:bottom w:val="single" w:sz="4" w:space="0" w:color="44546A"/>
              <w:right w:val="nil"/>
            </w:tcBorders>
            <w:shd w:val="clear" w:color="auto" w:fill="1B556B"/>
            <w:vAlign w:val="bottom"/>
          </w:tcPr>
          <w:p w14:paraId="26B48D72" w14:textId="77777777" w:rsidR="00784FA9" w:rsidRPr="00AD4336" w:rsidRDefault="00784FA9" w:rsidP="00AD4336">
            <w:pPr>
              <w:pStyle w:val="TableText"/>
              <w:spacing w:before="0"/>
              <w:jc w:val="center"/>
              <w:rPr>
                <w:rFonts w:cs="Calibri"/>
                <w:b/>
                <w:bCs/>
                <w:color w:val="FFFFFF"/>
                <w:sz w:val="15"/>
                <w:szCs w:val="15"/>
              </w:rPr>
            </w:pPr>
            <w:r w:rsidRPr="00AD4336">
              <w:rPr>
                <w:rFonts w:cs="Calibri"/>
                <w:b/>
                <w:bCs/>
                <w:color w:val="FFFFFF"/>
                <w:sz w:val="15"/>
                <w:szCs w:val="15"/>
              </w:rPr>
              <w:t>High producing</w:t>
            </w:r>
          </w:p>
        </w:tc>
        <w:tc>
          <w:tcPr>
            <w:tcW w:w="907" w:type="dxa"/>
            <w:tcBorders>
              <w:top w:val="nil"/>
              <w:left w:val="nil"/>
              <w:bottom w:val="single" w:sz="4" w:space="0" w:color="44546A"/>
              <w:right w:val="nil"/>
            </w:tcBorders>
            <w:shd w:val="clear" w:color="auto" w:fill="1B556B"/>
            <w:vAlign w:val="bottom"/>
          </w:tcPr>
          <w:p w14:paraId="77A3099B" w14:textId="77777777" w:rsidR="00784FA9" w:rsidRPr="00AD4336" w:rsidRDefault="00784FA9" w:rsidP="00AD4336">
            <w:pPr>
              <w:pStyle w:val="TableText"/>
              <w:spacing w:before="0"/>
              <w:jc w:val="center"/>
              <w:rPr>
                <w:rFonts w:cs="Calibri"/>
                <w:b/>
                <w:bCs/>
                <w:color w:val="FFFFFF"/>
                <w:sz w:val="15"/>
                <w:szCs w:val="15"/>
              </w:rPr>
            </w:pPr>
            <w:r w:rsidRPr="00AD4336">
              <w:rPr>
                <w:rFonts w:cs="Calibri"/>
                <w:b/>
                <w:bCs/>
                <w:color w:val="FFFFFF"/>
                <w:sz w:val="15"/>
                <w:szCs w:val="15"/>
              </w:rPr>
              <w:t>Low producing</w:t>
            </w:r>
          </w:p>
        </w:tc>
        <w:tc>
          <w:tcPr>
            <w:tcW w:w="907" w:type="dxa"/>
            <w:tcBorders>
              <w:top w:val="nil"/>
              <w:left w:val="nil"/>
              <w:bottom w:val="single" w:sz="4" w:space="0" w:color="44546A"/>
              <w:right w:val="nil"/>
            </w:tcBorders>
            <w:shd w:val="clear" w:color="auto" w:fill="1B556B"/>
            <w:vAlign w:val="bottom"/>
          </w:tcPr>
          <w:p w14:paraId="44B46C2E" w14:textId="77777777" w:rsidR="00784FA9" w:rsidRPr="00AD4336" w:rsidRDefault="00784FA9" w:rsidP="00AD4336">
            <w:pPr>
              <w:pStyle w:val="TableText"/>
              <w:spacing w:before="0"/>
              <w:jc w:val="center"/>
              <w:rPr>
                <w:rFonts w:cs="Calibri"/>
                <w:b/>
                <w:bCs/>
                <w:color w:val="FFFFFF"/>
                <w:sz w:val="15"/>
                <w:szCs w:val="15"/>
              </w:rPr>
            </w:pPr>
            <w:r w:rsidRPr="00AD4336">
              <w:rPr>
                <w:rFonts w:cs="Calibri"/>
                <w:b/>
                <w:bCs/>
                <w:color w:val="FFFFFF"/>
                <w:sz w:val="15"/>
                <w:szCs w:val="15"/>
              </w:rPr>
              <w:t>With woody biomass</w:t>
            </w:r>
          </w:p>
        </w:tc>
        <w:tc>
          <w:tcPr>
            <w:tcW w:w="794" w:type="dxa"/>
            <w:tcBorders>
              <w:top w:val="nil"/>
              <w:left w:val="nil"/>
              <w:bottom w:val="single" w:sz="4" w:space="0" w:color="44546A"/>
              <w:right w:val="nil"/>
            </w:tcBorders>
            <w:shd w:val="clear" w:color="auto" w:fill="1B556B"/>
            <w:vAlign w:val="bottom"/>
          </w:tcPr>
          <w:p w14:paraId="58A6F7B4" w14:textId="77777777" w:rsidR="00784FA9" w:rsidRPr="00AD4336" w:rsidRDefault="00784FA9" w:rsidP="00AD4336">
            <w:pPr>
              <w:pStyle w:val="TableText"/>
              <w:spacing w:before="0"/>
              <w:jc w:val="center"/>
              <w:rPr>
                <w:rFonts w:cs="Calibri"/>
                <w:b/>
                <w:bCs/>
                <w:color w:val="FFFFFF"/>
                <w:sz w:val="15"/>
                <w:szCs w:val="15"/>
              </w:rPr>
            </w:pPr>
            <w:r w:rsidRPr="00AD4336">
              <w:rPr>
                <w:rFonts w:cs="Calibri"/>
                <w:b/>
                <w:bCs/>
                <w:color w:val="FFFFFF"/>
                <w:sz w:val="15"/>
                <w:szCs w:val="15"/>
              </w:rPr>
              <w:t>Open water</w:t>
            </w:r>
          </w:p>
        </w:tc>
        <w:tc>
          <w:tcPr>
            <w:tcW w:w="794" w:type="dxa"/>
            <w:tcBorders>
              <w:top w:val="nil"/>
              <w:left w:val="nil"/>
              <w:bottom w:val="single" w:sz="4" w:space="0" w:color="44546A"/>
              <w:right w:val="nil"/>
            </w:tcBorders>
            <w:shd w:val="clear" w:color="auto" w:fill="1B556B"/>
            <w:vAlign w:val="bottom"/>
          </w:tcPr>
          <w:p w14:paraId="187989D0" w14:textId="77777777" w:rsidR="00784FA9" w:rsidRPr="00AD4336" w:rsidRDefault="00784FA9" w:rsidP="00AD4336">
            <w:pPr>
              <w:pStyle w:val="TableText"/>
              <w:spacing w:before="0"/>
              <w:jc w:val="center"/>
              <w:rPr>
                <w:rFonts w:cs="Calibri"/>
                <w:b/>
                <w:bCs/>
                <w:color w:val="FFFFFF"/>
                <w:sz w:val="15"/>
                <w:szCs w:val="15"/>
              </w:rPr>
            </w:pPr>
            <w:r w:rsidRPr="00AD4336">
              <w:rPr>
                <w:rFonts w:cs="Calibri"/>
                <w:b/>
                <w:bCs/>
                <w:color w:val="FFFFFF"/>
                <w:sz w:val="15"/>
                <w:szCs w:val="15"/>
              </w:rPr>
              <w:t>Vegetated</w:t>
            </w:r>
          </w:p>
        </w:tc>
        <w:tc>
          <w:tcPr>
            <w:tcW w:w="907" w:type="dxa"/>
            <w:tcBorders>
              <w:top w:val="nil"/>
              <w:left w:val="nil"/>
              <w:bottom w:val="single" w:sz="4" w:space="0" w:color="44546A"/>
              <w:right w:val="nil"/>
            </w:tcBorders>
            <w:shd w:val="clear" w:color="auto" w:fill="1B556B"/>
            <w:vAlign w:val="bottom"/>
          </w:tcPr>
          <w:p w14:paraId="09A8A6BD" w14:textId="77777777" w:rsidR="00784FA9" w:rsidRPr="00AD4336" w:rsidRDefault="00784FA9" w:rsidP="00AD4336">
            <w:pPr>
              <w:pStyle w:val="TableText"/>
              <w:spacing w:before="0"/>
              <w:jc w:val="center"/>
              <w:rPr>
                <w:rFonts w:cs="Calibri"/>
                <w:b/>
                <w:bCs/>
                <w:color w:val="FFFFFF"/>
                <w:sz w:val="15"/>
                <w:szCs w:val="15"/>
              </w:rPr>
            </w:pPr>
            <w:r w:rsidRPr="00AD4336">
              <w:rPr>
                <w:rFonts w:cs="Calibri"/>
                <w:b/>
                <w:bCs/>
                <w:color w:val="FFFFFF"/>
                <w:sz w:val="15"/>
                <w:szCs w:val="15"/>
              </w:rPr>
              <w:t>Settlements</w:t>
            </w:r>
          </w:p>
        </w:tc>
        <w:tc>
          <w:tcPr>
            <w:tcW w:w="856" w:type="dxa"/>
            <w:tcBorders>
              <w:top w:val="nil"/>
              <w:left w:val="nil"/>
              <w:bottom w:val="single" w:sz="4" w:space="0" w:color="44546A"/>
              <w:right w:val="nil"/>
            </w:tcBorders>
            <w:shd w:val="clear" w:color="auto" w:fill="1B556B"/>
            <w:vAlign w:val="bottom"/>
          </w:tcPr>
          <w:p w14:paraId="261160A7" w14:textId="77777777" w:rsidR="00784FA9" w:rsidRPr="00AD4336" w:rsidRDefault="00784FA9" w:rsidP="00AD4336">
            <w:pPr>
              <w:pStyle w:val="TableText"/>
              <w:spacing w:before="0"/>
              <w:jc w:val="center"/>
              <w:rPr>
                <w:rFonts w:cs="Calibri"/>
                <w:b/>
                <w:bCs/>
                <w:color w:val="FFFFFF"/>
                <w:sz w:val="15"/>
                <w:szCs w:val="15"/>
              </w:rPr>
            </w:pPr>
            <w:r w:rsidRPr="00AD4336">
              <w:rPr>
                <w:rFonts w:cs="Calibri"/>
                <w:b/>
                <w:bCs/>
                <w:color w:val="FFFFFF"/>
                <w:sz w:val="15"/>
                <w:szCs w:val="15"/>
              </w:rPr>
              <w:t>Other land</w:t>
            </w:r>
          </w:p>
        </w:tc>
        <w:tc>
          <w:tcPr>
            <w:tcW w:w="929" w:type="dxa"/>
            <w:vMerge/>
            <w:tcBorders>
              <w:top w:val="nil"/>
              <w:left w:val="nil"/>
              <w:bottom w:val="single" w:sz="4" w:space="0" w:color="44546A"/>
              <w:right w:val="nil"/>
            </w:tcBorders>
            <w:shd w:val="clear" w:color="auto" w:fill="1B556B"/>
          </w:tcPr>
          <w:p w14:paraId="03B59ECB" w14:textId="77777777" w:rsidR="00784FA9" w:rsidRPr="00AD4336" w:rsidRDefault="00784FA9" w:rsidP="00AD4336">
            <w:pPr>
              <w:pStyle w:val="TableTextBold"/>
              <w:jc w:val="center"/>
              <w:rPr>
                <w:rFonts w:cs="Calibri"/>
                <w:noProof w:val="0"/>
                <w:color w:val="FFFFFF"/>
                <w:sz w:val="15"/>
                <w:szCs w:val="15"/>
              </w:rPr>
            </w:pPr>
          </w:p>
        </w:tc>
      </w:tr>
      <w:tr w:rsidR="00AD4336" w:rsidRPr="00D604EE" w14:paraId="045F7764" w14:textId="77777777" w:rsidTr="00A67DE9">
        <w:tc>
          <w:tcPr>
            <w:tcW w:w="964" w:type="dxa"/>
            <w:vMerge w:val="restart"/>
            <w:tcBorders>
              <w:top w:val="single" w:sz="4" w:space="0" w:color="44546A"/>
              <w:left w:val="nil"/>
              <w:bottom w:val="single" w:sz="4" w:space="0" w:color="1B556B"/>
              <w:right w:val="nil"/>
            </w:tcBorders>
            <w:shd w:val="clear" w:color="auto" w:fill="auto"/>
          </w:tcPr>
          <w:p w14:paraId="41E08A25" w14:textId="77777777" w:rsidR="00784FA9" w:rsidRPr="00AD4336" w:rsidRDefault="00784FA9" w:rsidP="00AD4336">
            <w:pPr>
              <w:pStyle w:val="TableTextBold"/>
              <w:spacing w:before="40" w:after="40"/>
              <w:rPr>
                <w:rFonts w:cs="Calibri"/>
                <w:noProof w:val="0"/>
                <w:szCs w:val="16"/>
              </w:rPr>
            </w:pPr>
            <w:r w:rsidRPr="00AD4336">
              <w:rPr>
                <w:rFonts w:cs="Calibri"/>
                <w:noProof w:val="0"/>
                <w:szCs w:val="16"/>
              </w:rPr>
              <w:t>Forest land</w:t>
            </w:r>
          </w:p>
        </w:tc>
        <w:tc>
          <w:tcPr>
            <w:tcW w:w="1134" w:type="dxa"/>
            <w:tcBorders>
              <w:top w:val="single" w:sz="4" w:space="0" w:color="44546A"/>
              <w:left w:val="nil"/>
              <w:bottom w:val="nil"/>
              <w:right w:val="single" w:sz="4" w:space="0" w:color="1B556B"/>
            </w:tcBorders>
            <w:shd w:val="clear" w:color="auto" w:fill="auto"/>
            <w:vAlign w:val="center"/>
          </w:tcPr>
          <w:p w14:paraId="5E2092E5" w14:textId="77777777" w:rsidR="00784FA9" w:rsidRPr="00AD4336" w:rsidRDefault="00784FA9" w:rsidP="00AD4336">
            <w:pPr>
              <w:pStyle w:val="TableText"/>
              <w:spacing w:before="40" w:after="40"/>
              <w:rPr>
                <w:rFonts w:cs="Calibri"/>
                <w:szCs w:val="16"/>
              </w:rPr>
            </w:pPr>
            <w:r w:rsidRPr="00AD4336">
              <w:rPr>
                <w:rFonts w:cs="Calibri"/>
                <w:szCs w:val="16"/>
              </w:rPr>
              <w:t xml:space="preserve">Pre-1990 natural </w:t>
            </w:r>
          </w:p>
        </w:tc>
        <w:tc>
          <w:tcPr>
            <w:tcW w:w="794" w:type="dxa"/>
            <w:tcBorders>
              <w:top w:val="single" w:sz="4" w:space="0" w:color="44546A"/>
              <w:left w:val="single" w:sz="4" w:space="0" w:color="1B556B"/>
              <w:bottom w:val="nil"/>
              <w:right w:val="nil"/>
            </w:tcBorders>
            <w:shd w:val="clear" w:color="auto" w:fill="D2DDE1"/>
          </w:tcPr>
          <w:p w14:paraId="22B032C9" w14:textId="77777777" w:rsidR="00784FA9" w:rsidRPr="00AD4336" w:rsidRDefault="00784FA9" w:rsidP="00AD4336">
            <w:pPr>
              <w:pStyle w:val="TableText"/>
              <w:spacing w:before="40" w:after="40"/>
              <w:jc w:val="right"/>
              <w:rPr>
                <w:rFonts w:cs="Calibri"/>
                <w:szCs w:val="16"/>
              </w:rPr>
            </w:pPr>
            <w:r w:rsidRPr="00AD4336">
              <w:rPr>
                <w:rFonts w:cs="Calibri"/>
                <w:szCs w:val="16"/>
              </w:rPr>
              <w:t>7,780.2</w:t>
            </w:r>
          </w:p>
        </w:tc>
        <w:tc>
          <w:tcPr>
            <w:tcW w:w="794" w:type="dxa"/>
            <w:tcBorders>
              <w:top w:val="single" w:sz="4" w:space="0" w:color="44546A"/>
              <w:left w:val="nil"/>
              <w:bottom w:val="nil"/>
              <w:right w:val="nil"/>
            </w:tcBorders>
            <w:shd w:val="clear" w:color="auto" w:fill="auto"/>
          </w:tcPr>
          <w:p w14:paraId="5C990975"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44546A"/>
              <w:left w:val="nil"/>
              <w:bottom w:val="nil"/>
              <w:right w:val="nil"/>
            </w:tcBorders>
            <w:shd w:val="clear" w:color="auto" w:fill="auto"/>
            <w:vAlign w:val="center"/>
          </w:tcPr>
          <w:p w14:paraId="760CAF6F"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44546A"/>
              <w:left w:val="nil"/>
              <w:bottom w:val="nil"/>
              <w:right w:val="single" w:sz="4" w:space="0" w:color="1B556B"/>
            </w:tcBorders>
            <w:shd w:val="clear" w:color="auto" w:fill="auto"/>
            <w:vAlign w:val="center"/>
          </w:tcPr>
          <w:p w14:paraId="5FB31EAC" w14:textId="77777777" w:rsidR="00784FA9" w:rsidRPr="00AD4336" w:rsidRDefault="00784FA9" w:rsidP="00AD4336">
            <w:pPr>
              <w:pStyle w:val="TableText"/>
              <w:spacing w:before="40" w:after="40"/>
              <w:jc w:val="right"/>
              <w:rPr>
                <w:rFonts w:cs="Calibri"/>
                <w:szCs w:val="16"/>
              </w:rPr>
            </w:pPr>
          </w:p>
        </w:tc>
        <w:tc>
          <w:tcPr>
            <w:tcW w:w="737" w:type="dxa"/>
            <w:tcBorders>
              <w:top w:val="single" w:sz="4" w:space="0" w:color="44546A"/>
              <w:left w:val="single" w:sz="4" w:space="0" w:color="1B556B"/>
              <w:bottom w:val="nil"/>
              <w:right w:val="nil"/>
            </w:tcBorders>
            <w:shd w:val="clear" w:color="auto" w:fill="auto"/>
            <w:vAlign w:val="center"/>
          </w:tcPr>
          <w:p w14:paraId="75AC954E" w14:textId="77777777" w:rsidR="00784FA9" w:rsidRPr="00AD4336" w:rsidRDefault="00784FA9" w:rsidP="00AD4336">
            <w:pPr>
              <w:pStyle w:val="TableText"/>
              <w:spacing w:before="40" w:after="40"/>
              <w:jc w:val="right"/>
              <w:rPr>
                <w:rFonts w:cs="Calibri"/>
                <w:szCs w:val="16"/>
              </w:rPr>
            </w:pPr>
          </w:p>
        </w:tc>
        <w:tc>
          <w:tcPr>
            <w:tcW w:w="737" w:type="dxa"/>
            <w:tcBorders>
              <w:top w:val="single" w:sz="4" w:space="0" w:color="44546A"/>
              <w:left w:val="nil"/>
              <w:bottom w:val="nil"/>
              <w:right w:val="single" w:sz="4" w:space="0" w:color="1B556B"/>
            </w:tcBorders>
            <w:shd w:val="clear" w:color="auto" w:fill="auto"/>
            <w:vAlign w:val="center"/>
          </w:tcPr>
          <w:p w14:paraId="78E8D5F5"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44546A"/>
              <w:left w:val="single" w:sz="4" w:space="0" w:color="1B556B"/>
              <w:bottom w:val="nil"/>
              <w:right w:val="nil"/>
            </w:tcBorders>
            <w:shd w:val="clear" w:color="auto" w:fill="auto"/>
          </w:tcPr>
          <w:p w14:paraId="17650554"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44546A"/>
              <w:left w:val="nil"/>
              <w:bottom w:val="nil"/>
              <w:right w:val="nil"/>
            </w:tcBorders>
            <w:shd w:val="clear" w:color="auto" w:fill="auto"/>
          </w:tcPr>
          <w:p w14:paraId="198A1B98"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44546A"/>
              <w:left w:val="nil"/>
              <w:bottom w:val="nil"/>
              <w:right w:val="single" w:sz="4" w:space="0" w:color="1B556B"/>
            </w:tcBorders>
            <w:shd w:val="clear" w:color="auto" w:fill="auto"/>
          </w:tcPr>
          <w:p w14:paraId="625152E9" w14:textId="77777777" w:rsidR="00784FA9" w:rsidRPr="00AD4336" w:rsidRDefault="00784FA9" w:rsidP="00AD4336">
            <w:pPr>
              <w:pStyle w:val="TableText"/>
              <w:spacing w:before="40" w:after="40"/>
              <w:jc w:val="right"/>
              <w:rPr>
                <w:rFonts w:cs="Calibri"/>
                <w:szCs w:val="16"/>
              </w:rPr>
            </w:pPr>
            <w:r w:rsidRPr="00AD4336">
              <w:rPr>
                <w:rFonts w:cs="Calibri"/>
                <w:szCs w:val="16"/>
              </w:rPr>
              <w:t>42.6</w:t>
            </w:r>
          </w:p>
        </w:tc>
        <w:tc>
          <w:tcPr>
            <w:tcW w:w="794" w:type="dxa"/>
            <w:tcBorders>
              <w:top w:val="single" w:sz="4" w:space="0" w:color="44546A"/>
              <w:left w:val="single" w:sz="4" w:space="0" w:color="1B556B"/>
              <w:bottom w:val="nil"/>
              <w:right w:val="nil"/>
            </w:tcBorders>
            <w:shd w:val="clear" w:color="auto" w:fill="auto"/>
          </w:tcPr>
          <w:p w14:paraId="64E6936D"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44546A"/>
              <w:left w:val="nil"/>
              <w:bottom w:val="nil"/>
              <w:right w:val="single" w:sz="4" w:space="0" w:color="1B556B"/>
            </w:tcBorders>
            <w:shd w:val="clear" w:color="auto" w:fill="auto"/>
          </w:tcPr>
          <w:p w14:paraId="7CB2B42E"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44546A"/>
              <w:left w:val="single" w:sz="4" w:space="0" w:color="1B556B"/>
              <w:bottom w:val="nil"/>
              <w:right w:val="single" w:sz="4" w:space="0" w:color="1B556B"/>
            </w:tcBorders>
            <w:shd w:val="clear" w:color="auto" w:fill="auto"/>
          </w:tcPr>
          <w:p w14:paraId="6EB74504" w14:textId="77777777" w:rsidR="00784FA9" w:rsidRPr="00AD4336" w:rsidRDefault="00784FA9" w:rsidP="00AD4336">
            <w:pPr>
              <w:pStyle w:val="TableText"/>
              <w:spacing w:before="40" w:after="40"/>
              <w:jc w:val="right"/>
              <w:rPr>
                <w:rFonts w:cs="Calibri"/>
                <w:szCs w:val="16"/>
              </w:rPr>
            </w:pPr>
          </w:p>
        </w:tc>
        <w:tc>
          <w:tcPr>
            <w:tcW w:w="856" w:type="dxa"/>
            <w:tcBorders>
              <w:top w:val="single" w:sz="4" w:space="0" w:color="44546A"/>
              <w:left w:val="single" w:sz="4" w:space="0" w:color="1B556B"/>
              <w:bottom w:val="nil"/>
              <w:right w:val="single" w:sz="4" w:space="0" w:color="1B556B"/>
            </w:tcBorders>
            <w:shd w:val="clear" w:color="auto" w:fill="auto"/>
          </w:tcPr>
          <w:p w14:paraId="07DF917C" w14:textId="77777777" w:rsidR="00784FA9" w:rsidRPr="00AD4336" w:rsidRDefault="00784FA9" w:rsidP="00AD4336">
            <w:pPr>
              <w:pStyle w:val="TableText"/>
              <w:spacing w:before="40" w:after="40"/>
              <w:jc w:val="right"/>
              <w:rPr>
                <w:rFonts w:cs="Calibri"/>
                <w:szCs w:val="16"/>
              </w:rPr>
            </w:pPr>
          </w:p>
        </w:tc>
        <w:tc>
          <w:tcPr>
            <w:tcW w:w="929" w:type="dxa"/>
            <w:tcBorders>
              <w:top w:val="single" w:sz="4" w:space="0" w:color="44546A"/>
              <w:left w:val="single" w:sz="4" w:space="0" w:color="1B556B"/>
              <w:bottom w:val="nil"/>
              <w:right w:val="nil"/>
            </w:tcBorders>
            <w:shd w:val="clear" w:color="auto" w:fill="auto"/>
          </w:tcPr>
          <w:p w14:paraId="26DCEC3C"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7,822.8</w:t>
            </w:r>
          </w:p>
        </w:tc>
      </w:tr>
      <w:tr w:rsidR="00AD4336" w:rsidRPr="00D604EE" w14:paraId="6F9D0768" w14:textId="77777777" w:rsidTr="00A67DE9">
        <w:tc>
          <w:tcPr>
            <w:tcW w:w="964" w:type="dxa"/>
            <w:vMerge/>
            <w:tcBorders>
              <w:top w:val="single" w:sz="4" w:space="0" w:color="1B556B"/>
              <w:left w:val="nil"/>
              <w:bottom w:val="single" w:sz="4" w:space="0" w:color="1B556B"/>
              <w:right w:val="nil"/>
            </w:tcBorders>
            <w:shd w:val="clear" w:color="auto" w:fill="auto"/>
          </w:tcPr>
          <w:p w14:paraId="5D73F6A4" w14:textId="77777777" w:rsidR="00784FA9" w:rsidRPr="00AD4336" w:rsidRDefault="00784FA9" w:rsidP="00AD4336">
            <w:pPr>
              <w:pStyle w:val="TableText"/>
              <w:spacing w:before="40" w:after="40"/>
              <w:rPr>
                <w:rFonts w:cs="Calibri"/>
                <w:szCs w:val="16"/>
              </w:rPr>
            </w:pPr>
          </w:p>
        </w:tc>
        <w:tc>
          <w:tcPr>
            <w:tcW w:w="1134" w:type="dxa"/>
            <w:tcBorders>
              <w:top w:val="nil"/>
              <w:left w:val="nil"/>
              <w:bottom w:val="nil"/>
              <w:right w:val="single" w:sz="4" w:space="0" w:color="1B556B"/>
            </w:tcBorders>
            <w:shd w:val="clear" w:color="auto" w:fill="auto"/>
            <w:vAlign w:val="center"/>
          </w:tcPr>
          <w:p w14:paraId="44C9DE13" w14:textId="77777777" w:rsidR="00784FA9" w:rsidRPr="00AD4336" w:rsidRDefault="00784FA9" w:rsidP="00AD4336">
            <w:pPr>
              <w:pStyle w:val="TableText"/>
              <w:spacing w:before="40" w:after="40"/>
              <w:rPr>
                <w:rFonts w:cs="Calibri"/>
                <w:szCs w:val="16"/>
              </w:rPr>
            </w:pPr>
            <w:r w:rsidRPr="00AD4336">
              <w:rPr>
                <w:rFonts w:cs="Calibri"/>
                <w:szCs w:val="16"/>
              </w:rPr>
              <w:t>Pre-1990 planted</w:t>
            </w:r>
          </w:p>
        </w:tc>
        <w:tc>
          <w:tcPr>
            <w:tcW w:w="794" w:type="dxa"/>
            <w:tcBorders>
              <w:top w:val="nil"/>
              <w:left w:val="single" w:sz="4" w:space="0" w:color="1B556B"/>
              <w:bottom w:val="nil"/>
              <w:right w:val="nil"/>
            </w:tcBorders>
            <w:shd w:val="clear" w:color="auto" w:fill="auto"/>
          </w:tcPr>
          <w:p w14:paraId="0F595958" w14:textId="77777777" w:rsidR="00784FA9" w:rsidRPr="00AD4336" w:rsidRDefault="00784FA9" w:rsidP="00AD4336">
            <w:pPr>
              <w:pStyle w:val="TableText"/>
              <w:spacing w:before="40" w:after="40"/>
              <w:jc w:val="right"/>
              <w:rPr>
                <w:rFonts w:cs="Calibri"/>
                <w:szCs w:val="16"/>
              </w:rPr>
            </w:pPr>
            <w:r w:rsidRPr="00AD4336">
              <w:rPr>
                <w:rFonts w:cs="Calibri"/>
                <w:szCs w:val="16"/>
              </w:rPr>
              <w:t>298.1</w:t>
            </w:r>
          </w:p>
        </w:tc>
        <w:tc>
          <w:tcPr>
            <w:tcW w:w="794" w:type="dxa"/>
            <w:tcBorders>
              <w:top w:val="nil"/>
              <w:left w:val="nil"/>
              <w:bottom w:val="nil"/>
              <w:right w:val="nil"/>
            </w:tcBorders>
            <w:shd w:val="clear" w:color="auto" w:fill="D2DDE1"/>
          </w:tcPr>
          <w:p w14:paraId="71C541A8" w14:textId="77777777" w:rsidR="00784FA9" w:rsidRPr="00AD4336" w:rsidRDefault="00784FA9" w:rsidP="00AD4336">
            <w:pPr>
              <w:pStyle w:val="TableText"/>
              <w:spacing w:before="40" w:after="40"/>
              <w:jc w:val="right"/>
              <w:rPr>
                <w:rFonts w:cs="Calibri"/>
                <w:szCs w:val="16"/>
              </w:rPr>
            </w:pPr>
            <w:r w:rsidRPr="00AD4336">
              <w:rPr>
                <w:rFonts w:cs="Calibri"/>
                <w:szCs w:val="16"/>
              </w:rPr>
              <w:t>456.4</w:t>
            </w:r>
          </w:p>
        </w:tc>
        <w:tc>
          <w:tcPr>
            <w:tcW w:w="794" w:type="dxa"/>
            <w:tcBorders>
              <w:top w:val="nil"/>
              <w:left w:val="nil"/>
              <w:bottom w:val="nil"/>
              <w:right w:val="nil"/>
            </w:tcBorders>
            <w:shd w:val="clear" w:color="auto" w:fill="auto"/>
            <w:vAlign w:val="center"/>
          </w:tcPr>
          <w:p w14:paraId="3774CF2E"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nil"/>
              <w:right w:val="single" w:sz="4" w:space="0" w:color="1B556B"/>
            </w:tcBorders>
            <w:shd w:val="clear" w:color="auto" w:fill="auto"/>
            <w:vAlign w:val="center"/>
          </w:tcPr>
          <w:p w14:paraId="173CE903" w14:textId="77777777" w:rsidR="00784FA9" w:rsidRPr="00AD4336" w:rsidRDefault="00784FA9" w:rsidP="00AD4336">
            <w:pPr>
              <w:pStyle w:val="TableText"/>
              <w:spacing w:before="40" w:after="40"/>
              <w:jc w:val="right"/>
              <w:rPr>
                <w:rFonts w:cs="Calibri"/>
                <w:szCs w:val="16"/>
              </w:rPr>
            </w:pPr>
          </w:p>
        </w:tc>
        <w:tc>
          <w:tcPr>
            <w:tcW w:w="737" w:type="dxa"/>
            <w:tcBorders>
              <w:top w:val="nil"/>
              <w:left w:val="single" w:sz="4" w:space="0" w:color="1B556B"/>
              <w:bottom w:val="nil"/>
              <w:right w:val="nil"/>
            </w:tcBorders>
            <w:shd w:val="clear" w:color="auto" w:fill="auto"/>
            <w:vAlign w:val="center"/>
          </w:tcPr>
          <w:p w14:paraId="16C3CEA4" w14:textId="77777777" w:rsidR="00784FA9" w:rsidRPr="00AD4336" w:rsidRDefault="00784FA9" w:rsidP="00AD4336">
            <w:pPr>
              <w:pStyle w:val="TableText"/>
              <w:spacing w:before="40" w:after="40"/>
              <w:jc w:val="right"/>
              <w:rPr>
                <w:rFonts w:cs="Calibri"/>
                <w:szCs w:val="16"/>
              </w:rPr>
            </w:pPr>
          </w:p>
        </w:tc>
        <w:tc>
          <w:tcPr>
            <w:tcW w:w="737" w:type="dxa"/>
            <w:tcBorders>
              <w:top w:val="nil"/>
              <w:left w:val="nil"/>
              <w:bottom w:val="nil"/>
              <w:right w:val="single" w:sz="4" w:space="0" w:color="1B556B"/>
            </w:tcBorders>
            <w:shd w:val="clear" w:color="auto" w:fill="auto"/>
            <w:vAlign w:val="center"/>
          </w:tcPr>
          <w:p w14:paraId="70DB260B" w14:textId="77777777" w:rsidR="00784FA9" w:rsidRPr="00AD4336" w:rsidRDefault="00784FA9" w:rsidP="00AD4336">
            <w:pPr>
              <w:pStyle w:val="TableText"/>
              <w:spacing w:before="40" w:after="40"/>
              <w:jc w:val="right"/>
              <w:rPr>
                <w:rFonts w:cs="Calibri"/>
                <w:szCs w:val="16"/>
              </w:rPr>
            </w:pPr>
          </w:p>
        </w:tc>
        <w:tc>
          <w:tcPr>
            <w:tcW w:w="907" w:type="dxa"/>
            <w:tcBorders>
              <w:top w:val="nil"/>
              <w:left w:val="single" w:sz="4" w:space="0" w:color="1B556B"/>
              <w:bottom w:val="nil"/>
              <w:right w:val="nil"/>
            </w:tcBorders>
            <w:shd w:val="clear" w:color="auto" w:fill="auto"/>
          </w:tcPr>
          <w:p w14:paraId="224F643E" w14:textId="77777777" w:rsidR="00784FA9" w:rsidRPr="00AD4336" w:rsidRDefault="00784FA9" w:rsidP="00AD4336">
            <w:pPr>
              <w:pStyle w:val="TableText"/>
              <w:spacing w:before="40" w:after="40"/>
              <w:jc w:val="right"/>
              <w:rPr>
                <w:rFonts w:cs="Calibri"/>
                <w:szCs w:val="16"/>
              </w:rPr>
            </w:pPr>
          </w:p>
        </w:tc>
        <w:tc>
          <w:tcPr>
            <w:tcW w:w="907" w:type="dxa"/>
            <w:tcBorders>
              <w:top w:val="nil"/>
              <w:left w:val="nil"/>
              <w:bottom w:val="nil"/>
              <w:right w:val="nil"/>
            </w:tcBorders>
            <w:shd w:val="clear" w:color="auto" w:fill="auto"/>
          </w:tcPr>
          <w:p w14:paraId="5AC555E5" w14:textId="77777777" w:rsidR="00784FA9" w:rsidRPr="00AD4336" w:rsidRDefault="00784FA9" w:rsidP="00AD4336">
            <w:pPr>
              <w:pStyle w:val="TableText"/>
              <w:spacing w:before="40" w:after="40"/>
              <w:jc w:val="right"/>
              <w:rPr>
                <w:rFonts w:cs="Calibri"/>
                <w:szCs w:val="16"/>
              </w:rPr>
            </w:pPr>
            <w:r w:rsidRPr="00AD4336">
              <w:rPr>
                <w:rFonts w:cs="Calibri"/>
                <w:szCs w:val="16"/>
              </w:rPr>
              <w:t>389.9</w:t>
            </w:r>
          </w:p>
        </w:tc>
        <w:tc>
          <w:tcPr>
            <w:tcW w:w="907" w:type="dxa"/>
            <w:tcBorders>
              <w:top w:val="nil"/>
              <w:left w:val="nil"/>
              <w:bottom w:val="nil"/>
              <w:right w:val="single" w:sz="4" w:space="0" w:color="1B556B"/>
            </w:tcBorders>
            <w:shd w:val="clear" w:color="auto" w:fill="auto"/>
          </w:tcPr>
          <w:p w14:paraId="5F7D14F2" w14:textId="77777777" w:rsidR="00784FA9" w:rsidRPr="00AD4336" w:rsidRDefault="00784FA9" w:rsidP="00AD4336">
            <w:pPr>
              <w:pStyle w:val="TableText"/>
              <w:spacing w:before="40" w:after="40"/>
              <w:jc w:val="right"/>
              <w:rPr>
                <w:rFonts w:cs="Calibri"/>
                <w:szCs w:val="16"/>
              </w:rPr>
            </w:pPr>
            <w:r w:rsidRPr="00AD4336">
              <w:rPr>
                <w:rFonts w:cs="Calibri"/>
                <w:szCs w:val="16"/>
              </w:rPr>
              <w:t>402.0</w:t>
            </w:r>
          </w:p>
        </w:tc>
        <w:tc>
          <w:tcPr>
            <w:tcW w:w="794" w:type="dxa"/>
            <w:tcBorders>
              <w:top w:val="nil"/>
              <w:left w:val="single" w:sz="4" w:space="0" w:color="1B556B"/>
              <w:bottom w:val="nil"/>
              <w:right w:val="nil"/>
            </w:tcBorders>
            <w:shd w:val="clear" w:color="auto" w:fill="auto"/>
          </w:tcPr>
          <w:p w14:paraId="5C997130"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nil"/>
              <w:right w:val="single" w:sz="4" w:space="0" w:color="1B556B"/>
            </w:tcBorders>
            <w:shd w:val="clear" w:color="auto" w:fill="auto"/>
          </w:tcPr>
          <w:p w14:paraId="05982026" w14:textId="77777777" w:rsidR="00784FA9" w:rsidRPr="00AD4336" w:rsidRDefault="00784FA9" w:rsidP="00AD4336">
            <w:pPr>
              <w:pStyle w:val="TableText"/>
              <w:spacing w:before="40" w:after="40"/>
              <w:jc w:val="right"/>
              <w:rPr>
                <w:rFonts w:cs="Calibri"/>
                <w:szCs w:val="16"/>
              </w:rPr>
            </w:pPr>
          </w:p>
        </w:tc>
        <w:tc>
          <w:tcPr>
            <w:tcW w:w="907" w:type="dxa"/>
            <w:tcBorders>
              <w:top w:val="nil"/>
              <w:left w:val="single" w:sz="4" w:space="0" w:color="1B556B"/>
              <w:bottom w:val="nil"/>
              <w:right w:val="single" w:sz="4" w:space="0" w:color="1B556B"/>
            </w:tcBorders>
            <w:shd w:val="clear" w:color="auto" w:fill="auto"/>
          </w:tcPr>
          <w:p w14:paraId="3815FFE3" w14:textId="77777777" w:rsidR="00784FA9" w:rsidRPr="00AD4336" w:rsidRDefault="00784FA9" w:rsidP="00AD4336">
            <w:pPr>
              <w:pStyle w:val="TableText"/>
              <w:spacing w:before="40" w:after="40"/>
              <w:jc w:val="right"/>
              <w:rPr>
                <w:rFonts w:cs="Calibri"/>
                <w:szCs w:val="16"/>
              </w:rPr>
            </w:pPr>
          </w:p>
        </w:tc>
        <w:tc>
          <w:tcPr>
            <w:tcW w:w="856" w:type="dxa"/>
            <w:tcBorders>
              <w:top w:val="nil"/>
              <w:left w:val="single" w:sz="4" w:space="0" w:color="1B556B"/>
              <w:bottom w:val="nil"/>
              <w:right w:val="single" w:sz="4" w:space="0" w:color="1B556B"/>
            </w:tcBorders>
            <w:shd w:val="clear" w:color="auto" w:fill="auto"/>
          </w:tcPr>
          <w:p w14:paraId="3F067624" w14:textId="77777777" w:rsidR="00784FA9" w:rsidRPr="00AD4336" w:rsidRDefault="00784FA9" w:rsidP="00AD4336">
            <w:pPr>
              <w:pStyle w:val="TableText"/>
              <w:spacing w:before="40" w:after="40"/>
              <w:jc w:val="right"/>
              <w:rPr>
                <w:rFonts w:cs="Calibri"/>
                <w:szCs w:val="16"/>
              </w:rPr>
            </w:pPr>
          </w:p>
        </w:tc>
        <w:tc>
          <w:tcPr>
            <w:tcW w:w="929" w:type="dxa"/>
            <w:tcBorders>
              <w:top w:val="nil"/>
              <w:left w:val="single" w:sz="4" w:space="0" w:color="1B556B"/>
              <w:bottom w:val="nil"/>
              <w:right w:val="nil"/>
            </w:tcBorders>
            <w:shd w:val="clear" w:color="auto" w:fill="auto"/>
          </w:tcPr>
          <w:p w14:paraId="75EF1246"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1,546.4</w:t>
            </w:r>
          </w:p>
        </w:tc>
      </w:tr>
      <w:tr w:rsidR="00AD4336" w:rsidRPr="00D604EE" w14:paraId="00B05632" w14:textId="77777777" w:rsidTr="00AD4336">
        <w:tc>
          <w:tcPr>
            <w:tcW w:w="964" w:type="dxa"/>
            <w:vMerge/>
            <w:tcBorders>
              <w:top w:val="single" w:sz="4" w:space="0" w:color="1B556B"/>
              <w:left w:val="nil"/>
              <w:bottom w:val="single" w:sz="4" w:space="0" w:color="1B556B"/>
              <w:right w:val="nil"/>
            </w:tcBorders>
            <w:shd w:val="clear" w:color="auto" w:fill="auto"/>
          </w:tcPr>
          <w:p w14:paraId="763203E9" w14:textId="77777777" w:rsidR="00784FA9" w:rsidRPr="00AD4336" w:rsidRDefault="00784FA9" w:rsidP="00AD4336">
            <w:pPr>
              <w:pStyle w:val="TableText"/>
              <w:spacing w:before="40" w:after="40"/>
              <w:rPr>
                <w:rFonts w:cs="Calibri"/>
                <w:szCs w:val="16"/>
              </w:rPr>
            </w:pPr>
          </w:p>
        </w:tc>
        <w:tc>
          <w:tcPr>
            <w:tcW w:w="1134" w:type="dxa"/>
            <w:tcBorders>
              <w:top w:val="nil"/>
              <w:left w:val="nil"/>
              <w:bottom w:val="nil"/>
              <w:right w:val="single" w:sz="4" w:space="0" w:color="1B556B"/>
            </w:tcBorders>
            <w:shd w:val="clear" w:color="auto" w:fill="auto"/>
            <w:vAlign w:val="center"/>
          </w:tcPr>
          <w:p w14:paraId="77CCE778" w14:textId="77777777" w:rsidR="00784FA9" w:rsidRPr="00AD4336" w:rsidRDefault="00784FA9" w:rsidP="00AD4336">
            <w:pPr>
              <w:pStyle w:val="TableText"/>
              <w:spacing w:before="40" w:after="40"/>
              <w:rPr>
                <w:rFonts w:cs="Calibri"/>
                <w:szCs w:val="16"/>
              </w:rPr>
            </w:pPr>
            <w:r w:rsidRPr="00AD4336">
              <w:rPr>
                <w:rFonts w:cs="Calibri"/>
                <w:szCs w:val="16"/>
              </w:rPr>
              <w:t>Post-1989 planted</w:t>
            </w:r>
          </w:p>
        </w:tc>
        <w:tc>
          <w:tcPr>
            <w:tcW w:w="794" w:type="dxa"/>
            <w:tcBorders>
              <w:top w:val="nil"/>
              <w:left w:val="single" w:sz="4" w:space="0" w:color="1B556B"/>
              <w:bottom w:val="nil"/>
              <w:right w:val="nil"/>
            </w:tcBorders>
            <w:shd w:val="clear" w:color="auto" w:fill="auto"/>
          </w:tcPr>
          <w:p w14:paraId="0AD8E11B"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nil"/>
              <w:right w:val="nil"/>
            </w:tcBorders>
            <w:shd w:val="clear" w:color="auto" w:fill="auto"/>
          </w:tcPr>
          <w:p w14:paraId="3D407BAF"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nil"/>
              <w:right w:val="nil"/>
            </w:tcBorders>
            <w:shd w:val="clear" w:color="auto" w:fill="D2DDE1"/>
          </w:tcPr>
          <w:p w14:paraId="6DD5CF39"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nil"/>
              <w:right w:val="single" w:sz="4" w:space="0" w:color="1B556B"/>
            </w:tcBorders>
            <w:shd w:val="clear" w:color="auto" w:fill="auto"/>
          </w:tcPr>
          <w:p w14:paraId="3E7BB811" w14:textId="77777777" w:rsidR="00784FA9" w:rsidRPr="00AD4336" w:rsidRDefault="00784FA9" w:rsidP="00AD4336">
            <w:pPr>
              <w:pStyle w:val="TableText"/>
              <w:spacing w:before="40" w:after="40"/>
              <w:jc w:val="right"/>
              <w:rPr>
                <w:rFonts w:cs="Calibri"/>
                <w:szCs w:val="16"/>
              </w:rPr>
            </w:pPr>
          </w:p>
        </w:tc>
        <w:tc>
          <w:tcPr>
            <w:tcW w:w="737" w:type="dxa"/>
            <w:tcBorders>
              <w:top w:val="nil"/>
              <w:left w:val="single" w:sz="4" w:space="0" w:color="1B556B"/>
              <w:bottom w:val="nil"/>
              <w:right w:val="nil"/>
            </w:tcBorders>
            <w:shd w:val="clear" w:color="auto" w:fill="auto"/>
          </w:tcPr>
          <w:p w14:paraId="2B512F7B" w14:textId="77777777" w:rsidR="00784FA9" w:rsidRPr="00AD4336" w:rsidRDefault="00784FA9" w:rsidP="00AD4336">
            <w:pPr>
              <w:pStyle w:val="TableText"/>
              <w:spacing w:before="40" w:after="40"/>
              <w:jc w:val="right"/>
              <w:rPr>
                <w:rFonts w:cs="Calibri"/>
                <w:szCs w:val="16"/>
              </w:rPr>
            </w:pPr>
          </w:p>
        </w:tc>
        <w:tc>
          <w:tcPr>
            <w:tcW w:w="737" w:type="dxa"/>
            <w:tcBorders>
              <w:top w:val="nil"/>
              <w:left w:val="nil"/>
              <w:bottom w:val="nil"/>
              <w:right w:val="single" w:sz="4" w:space="0" w:color="1B556B"/>
            </w:tcBorders>
            <w:shd w:val="clear" w:color="auto" w:fill="auto"/>
          </w:tcPr>
          <w:p w14:paraId="64974A36" w14:textId="77777777" w:rsidR="00784FA9" w:rsidRPr="00AD4336" w:rsidRDefault="00784FA9" w:rsidP="00AD4336">
            <w:pPr>
              <w:pStyle w:val="TableText"/>
              <w:spacing w:before="40" w:after="40"/>
              <w:jc w:val="right"/>
              <w:rPr>
                <w:rFonts w:cs="Calibri"/>
                <w:szCs w:val="16"/>
              </w:rPr>
            </w:pPr>
          </w:p>
        </w:tc>
        <w:tc>
          <w:tcPr>
            <w:tcW w:w="907" w:type="dxa"/>
            <w:tcBorders>
              <w:top w:val="nil"/>
              <w:left w:val="single" w:sz="4" w:space="0" w:color="1B556B"/>
              <w:bottom w:val="nil"/>
              <w:right w:val="nil"/>
            </w:tcBorders>
            <w:shd w:val="clear" w:color="auto" w:fill="auto"/>
          </w:tcPr>
          <w:p w14:paraId="1B06F33A" w14:textId="77777777" w:rsidR="00784FA9" w:rsidRPr="00AD4336" w:rsidRDefault="00784FA9" w:rsidP="00AD4336">
            <w:pPr>
              <w:pStyle w:val="TableText"/>
              <w:spacing w:before="40" w:after="40"/>
              <w:jc w:val="right"/>
              <w:rPr>
                <w:rFonts w:cs="Calibri"/>
                <w:szCs w:val="16"/>
              </w:rPr>
            </w:pPr>
          </w:p>
        </w:tc>
        <w:tc>
          <w:tcPr>
            <w:tcW w:w="907" w:type="dxa"/>
            <w:tcBorders>
              <w:top w:val="nil"/>
              <w:left w:val="nil"/>
              <w:bottom w:val="nil"/>
              <w:right w:val="nil"/>
            </w:tcBorders>
            <w:shd w:val="clear" w:color="auto" w:fill="auto"/>
          </w:tcPr>
          <w:p w14:paraId="74ADCA57" w14:textId="77777777" w:rsidR="00784FA9" w:rsidRPr="00AD4336" w:rsidRDefault="00784FA9" w:rsidP="00AD4336">
            <w:pPr>
              <w:pStyle w:val="TableText"/>
              <w:spacing w:before="40" w:after="40"/>
              <w:jc w:val="right"/>
              <w:rPr>
                <w:rFonts w:cs="Calibri"/>
                <w:szCs w:val="16"/>
              </w:rPr>
            </w:pPr>
          </w:p>
        </w:tc>
        <w:tc>
          <w:tcPr>
            <w:tcW w:w="907" w:type="dxa"/>
            <w:tcBorders>
              <w:top w:val="nil"/>
              <w:left w:val="nil"/>
              <w:bottom w:val="nil"/>
              <w:right w:val="single" w:sz="4" w:space="0" w:color="1B556B"/>
            </w:tcBorders>
            <w:shd w:val="clear" w:color="auto" w:fill="auto"/>
          </w:tcPr>
          <w:p w14:paraId="4A385661" w14:textId="77777777" w:rsidR="00784FA9" w:rsidRPr="00AD4336" w:rsidRDefault="00784FA9" w:rsidP="00AD4336">
            <w:pPr>
              <w:pStyle w:val="TableText"/>
              <w:spacing w:before="40" w:after="40"/>
              <w:jc w:val="right"/>
              <w:rPr>
                <w:rFonts w:cs="Calibri"/>
                <w:szCs w:val="16"/>
              </w:rPr>
            </w:pPr>
          </w:p>
        </w:tc>
        <w:tc>
          <w:tcPr>
            <w:tcW w:w="794" w:type="dxa"/>
            <w:tcBorders>
              <w:top w:val="nil"/>
              <w:left w:val="single" w:sz="4" w:space="0" w:color="1B556B"/>
              <w:bottom w:val="nil"/>
              <w:right w:val="nil"/>
            </w:tcBorders>
            <w:shd w:val="clear" w:color="auto" w:fill="auto"/>
          </w:tcPr>
          <w:p w14:paraId="6E569AEE"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nil"/>
              <w:right w:val="single" w:sz="4" w:space="0" w:color="1B556B"/>
            </w:tcBorders>
            <w:shd w:val="clear" w:color="auto" w:fill="auto"/>
          </w:tcPr>
          <w:p w14:paraId="0B82988C" w14:textId="77777777" w:rsidR="00784FA9" w:rsidRPr="00AD4336" w:rsidRDefault="00784FA9" w:rsidP="00AD4336">
            <w:pPr>
              <w:pStyle w:val="TableText"/>
              <w:spacing w:before="40" w:after="40"/>
              <w:jc w:val="right"/>
              <w:rPr>
                <w:rFonts w:cs="Calibri"/>
                <w:szCs w:val="16"/>
              </w:rPr>
            </w:pPr>
          </w:p>
        </w:tc>
        <w:tc>
          <w:tcPr>
            <w:tcW w:w="907" w:type="dxa"/>
            <w:tcBorders>
              <w:top w:val="nil"/>
              <w:left w:val="single" w:sz="4" w:space="0" w:color="1B556B"/>
              <w:bottom w:val="nil"/>
              <w:right w:val="single" w:sz="4" w:space="0" w:color="1B556B"/>
            </w:tcBorders>
            <w:shd w:val="clear" w:color="auto" w:fill="auto"/>
          </w:tcPr>
          <w:p w14:paraId="2C22DE8B" w14:textId="77777777" w:rsidR="00784FA9" w:rsidRPr="00AD4336" w:rsidRDefault="00784FA9" w:rsidP="00AD4336">
            <w:pPr>
              <w:pStyle w:val="TableText"/>
              <w:spacing w:before="40" w:after="40"/>
              <w:jc w:val="right"/>
              <w:rPr>
                <w:rFonts w:cs="Calibri"/>
                <w:szCs w:val="16"/>
              </w:rPr>
            </w:pPr>
          </w:p>
        </w:tc>
        <w:tc>
          <w:tcPr>
            <w:tcW w:w="856" w:type="dxa"/>
            <w:tcBorders>
              <w:top w:val="nil"/>
              <w:left w:val="single" w:sz="4" w:space="0" w:color="1B556B"/>
              <w:bottom w:val="nil"/>
              <w:right w:val="single" w:sz="4" w:space="0" w:color="1B556B"/>
            </w:tcBorders>
            <w:shd w:val="clear" w:color="auto" w:fill="auto"/>
          </w:tcPr>
          <w:p w14:paraId="50C0505D" w14:textId="77777777" w:rsidR="00784FA9" w:rsidRPr="00AD4336" w:rsidRDefault="00784FA9" w:rsidP="00AD4336">
            <w:pPr>
              <w:pStyle w:val="TableText"/>
              <w:spacing w:before="40" w:after="40"/>
              <w:jc w:val="right"/>
              <w:rPr>
                <w:rFonts w:cs="Calibri"/>
                <w:szCs w:val="16"/>
              </w:rPr>
            </w:pPr>
          </w:p>
        </w:tc>
        <w:tc>
          <w:tcPr>
            <w:tcW w:w="929" w:type="dxa"/>
            <w:tcBorders>
              <w:top w:val="nil"/>
              <w:left w:val="single" w:sz="4" w:space="0" w:color="1B556B"/>
              <w:bottom w:val="nil"/>
              <w:right w:val="nil"/>
            </w:tcBorders>
            <w:shd w:val="clear" w:color="auto" w:fill="auto"/>
          </w:tcPr>
          <w:p w14:paraId="7CD7DFC4"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0.0</w:t>
            </w:r>
          </w:p>
        </w:tc>
      </w:tr>
      <w:tr w:rsidR="00AD4336" w:rsidRPr="00D604EE" w14:paraId="56BE47FE" w14:textId="77777777" w:rsidTr="00AD4336">
        <w:tc>
          <w:tcPr>
            <w:tcW w:w="964" w:type="dxa"/>
            <w:vMerge/>
            <w:tcBorders>
              <w:top w:val="single" w:sz="4" w:space="0" w:color="1B556B"/>
              <w:left w:val="nil"/>
              <w:bottom w:val="single" w:sz="4" w:space="0" w:color="1B556B"/>
              <w:right w:val="nil"/>
            </w:tcBorders>
            <w:shd w:val="clear" w:color="auto" w:fill="auto"/>
          </w:tcPr>
          <w:p w14:paraId="07E77689" w14:textId="77777777" w:rsidR="00784FA9" w:rsidRPr="00AD4336" w:rsidRDefault="00784FA9" w:rsidP="00AD4336">
            <w:pPr>
              <w:pStyle w:val="TableText"/>
              <w:spacing w:before="40" w:after="40"/>
              <w:rPr>
                <w:rFonts w:cs="Calibri"/>
                <w:szCs w:val="16"/>
              </w:rPr>
            </w:pPr>
          </w:p>
        </w:tc>
        <w:tc>
          <w:tcPr>
            <w:tcW w:w="1134" w:type="dxa"/>
            <w:tcBorders>
              <w:top w:val="nil"/>
              <w:left w:val="nil"/>
              <w:bottom w:val="single" w:sz="4" w:space="0" w:color="1B556B"/>
              <w:right w:val="single" w:sz="4" w:space="0" w:color="1B556B"/>
            </w:tcBorders>
            <w:shd w:val="clear" w:color="auto" w:fill="auto"/>
            <w:vAlign w:val="center"/>
          </w:tcPr>
          <w:p w14:paraId="55BB2C5A" w14:textId="77777777" w:rsidR="00784FA9" w:rsidRPr="00AD4336" w:rsidRDefault="00784FA9" w:rsidP="00AD4336">
            <w:pPr>
              <w:pStyle w:val="TableText"/>
              <w:spacing w:before="40" w:after="40"/>
              <w:rPr>
                <w:rFonts w:cs="Calibri"/>
                <w:szCs w:val="16"/>
              </w:rPr>
            </w:pPr>
            <w:r w:rsidRPr="00AD4336">
              <w:rPr>
                <w:rFonts w:cs="Calibri"/>
                <w:szCs w:val="16"/>
              </w:rPr>
              <w:t>Post-1989 natural</w:t>
            </w:r>
          </w:p>
        </w:tc>
        <w:tc>
          <w:tcPr>
            <w:tcW w:w="794" w:type="dxa"/>
            <w:tcBorders>
              <w:top w:val="nil"/>
              <w:left w:val="single" w:sz="4" w:space="0" w:color="1B556B"/>
              <w:bottom w:val="single" w:sz="4" w:space="0" w:color="1B556B"/>
              <w:right w:val="nil"/>
            </w:tcBorders>
            <w:shd w:val="clear" w:color="auto" w:fill="auto"/>
          </w:tcPr>
          <w:p w14:paraId="08A16216"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nil"/>
            </w:tcBorders>
            <w:shd w:val="clear" w:color="auto" w:fill="auto"/>
          </w:tcPr>
          <w:p w14:paraId="323C98A5"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nil"/>
            </w:tcBorders>
            <w:shd w:val="clear" w:color="auto" w:fill="auto"/>
          </w:tcPr>
          <w:p w14:paraId="59B8C3B0"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single" w:sz="4" w:space="0" w:color="1B556B"/>
            </w:tcBorders>
            <w:shd w:val="clear" w:color="auto" w:fill="D2DDE1"/>
          </w:tcPr>
          <w:p w14:paraId="2038174C" w14:textId="77777777" w:rsidR="00784FA9" w:rsidRPr="00AD4336" w:rsidRDefault="00784FA9" w:rsidP="00AD4336">
            <w:pPr>
              <w:pStyle w:val="TableText"/>
              <w:spacing w:before="40" w:after="40"/>
              <w:jc w:val="right"/>
              <w:rPr>
                <w:rFonts w:cs="Calibri"/>
                <w:szCs w:val="16"/>
              </w:rPr>
            </w:pPr>
          </w:p>
        </w:tc>
        <w:tc>
          <w:tcPr>
            <w:tcW w:w="737" w:type="dxa"/>
            <w:tcBorders>
              <w:top w:val="nil"/>
              <w:left w:val="single" w:sz="4" w:space="0" w:color="1B556B"/>
              <w:bottom w:val="single" w:sz="4" w:space="0" w:color="1B556B"/>
              <w:right w:val="nil"/>
            </w:tcBorders>
            <w:shd w:val="clear" w:color="auto" w:fill="auto"/>
          </w:tcPr>
          <w:p w14:paraId="22E288B7" w14:textId="77777777" w:rsidR="00784FA9" w:rsidRPr="00AD4336" w:rsidRDefault="00784FA9" w:rsidP="00AD4336">
            <w:pPr>
              <w:pStyle w:val="TableText"/>
              <w:spacing w:before="40" w:after="40"/>
              <w:jc w:val="right"/>
              <w:rPr>
                <w:rFonts w:cs="Calibri"/>
                <w:szCs w:val="16"/>
              </w:rPr>
            </w:pPr>
          </w:p>
        </w:tc>
        <w:tc>
          <w:tcPr>
            <w:tcW w:w="737" w:type="dxa"/>
            <w:tcBorders>
              <w:top w:val="nil"/>
              <w:left w:val="nil"/>
              <w:bottom w:val="single" w:sz="4" w:space="0" w:color="1B556B"/>
              <w:right w:val="single" w:sz="4" w:space="0" w:color="1B556B"/>
            </w:tcBorders>
            <w:shd w:val="clear" w:color="auto" w:fill="auto"/>
          </w:tcPr>
          <w:p w14:paraId="67A3A09B" w14:textId="77777777" w:rsidR="00784FA9" w:rsidRPr="00AD4336" w:rsidRDefault="00784FA9" w:rsidP="00AD4336">
            <w:pPr>
              <w:pStyle w:val="TableText"/>
              <w:spacing w:before="40" w:after="40"/>
              <w:jc w:val="right"/>
              <w:rPr>
                <w:rFonts w:cs="Calibri"/>
                <w:szCs w:val="16"/>
              </w:rPr>
            </w:pPr>
          </w:p>
        </w:tc>
        <w:tc>
          <w:tcPr>
            <w:tcW w:w="907" w:type="dxa"/>
            <w:tcBorders>
              <w:top w:val="nil"/>
              <w:left w:val="single" w:sz="4" w:space="0" w:color="1B556B"/>
              <w:bottom w:val="single" w:sz="4" w:space="0" w:color="1B556B"/>
              <w:right w:val="nil"/>
            </w:tcBorders>
            <w:shd w:val="clear" w:color="auto" w:fill="auto"/>
          </w:tcPr>
          <w:p w14:paraId="0B554922" w14:textId="77777777" w:rsidR="00784FA9" w:rsidRPr="00AD4336" w:rsidRDefault="00784FA9" w:rsidP="00AD4336">
            <w:pPr>
              <w:pStyle w:val="TableText"/>
              <w:spacing w:before="40" w:after="40"/>
              <w:jc w:val="right"/>
              <w:rPr>
                <w:rFonts w:cs="Calibri"/>
                <w:szCs w:val="16"/>
              </w:rPr>
            </w:pPr>
          </w:p>
        </w:tc>
        <w:tc>
          <w:tcPr>
            <w:tcW w:w="907" w:type="dxa"/>
            <w:tcBorders>
              <w:top w:val="nil"/>
              <w:left w:val="nil"/>
              <w:bottom w:val="single" w:sz="4" w:space="0" w:color="1B556B"/>
              <w:right w:val="nil"/>
            </w:tcBorders>
            <w:shd w:val="clear" w:color="auto" w:fill="auto"/>
          </w:tcPr>
          <w:p w14:paraId="61E34343" w14:textId="77777777" w:rsidR="00784FA9" w:rsidRPr="00AD4336" w:rsidRDefault="00784FA9" w:rsidP="00AD4336">
            <w:pPr>
              <w:pStyle w:val="TableText"/>
              <w:spacing w:before="40" w:after="40"/>
              <w:jc w:val="right"/>
              <w:rPr>
                <w:rFonts w:cs="Calibri"/>
                <w:szCs w:val="16"/>
              </w:rPr>
            </w:pPr>
          </w:p>
        </w:tc>
        <w:tc>
          <w:tcPr>
            <w:tcW w:w="907" w:type="dxa"/>
            <w:tcBorders>
              <w:top w:val="nil"/>
              <w:left w:val="nil"/>
              <w:bottom w:val="single" w:sz="4" w:space="0" w:color="1B556B"/>
              <w:right w:val="single" w:sz="4" w:space="0" w:color="1B556B"/>
            </w:tcBorders>
            <w:shd w:val="clear" w:color="auto" w:fill="auto"/>
          </w:tcPr>
          <w:p w14:paraId="66985E18" w14:textId="77777777" w:rsidR="00784FA9" w:rsidRPr="00AD4336" w:rsidRDefault="00784FA9" w:rsidP="00AD4336">
            <w:pPr>
              <w:pStyle w:val="TableText"/>
              <w:spacing w:before="40" w:after="40"/>
              <w:jc w:val="right"/>
              <w:rPr>
                <w:rFonts w:cs="Calibri"/>
                <w:szCs w:val="16"/>
              </w:rPr>
            </w:pPr>
          </w:p>
        </w:tc>
        <w:tc>
          <w:tcPr>
            <w:tcW w:w="794" w:type="dxa"/>
            <w:tcBorders>
              <w:top w:val="nil"/>
              <w:left w:val="single" w:sz="4" w:space="0" w:color="1B556B"/>
              <w:bottom w:val="single" w:sz="4" w:space="0" w:color="1B556B"/>
              <w:right w:val="nil"/>
            </w:tcBorders>
            <w:shd w:val="clear" w:color="auto" w:fill="auto"/>
          </w:tcPr>
          <w:p w14:paraId="7E5EA91D"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single" w:sz="4" w:space="0" w:color="1B556B"/>
            </w:tcBorders>
            <w:shd w:val="clear" w:color="auto" w:fill="auto"/>
          </w:tcPr>
          <w:p w14:paraId="108ABB0B" w14:textId="77777777" w:rsidR="00784FA9" w:rsidRPr="00AD4336" w:rsidRDefault="00784FA9" w:rsidP="00AD4336">
            <w:pPr>
              <w:pStyle w:val="TableText"/>
              <w:spacing w:before="40" w:after="40"/>
              <w:jc w:val="right"/>
              <w:rPr>
                <w:rFonts w:cs="Calibri"/>
                <w:szCs w:val="16"/>
              </w:rPr>
            </w:pPr>
          </w:p>
        </w:tc>
        <w:tc>
          <w:tcPr>
            <w:tcW w:w="907" w:type="dxa"/>
            <w:tcBorders>
              <w:top w:val="nil"/>
              <w:left w:val="single" w:sz="4" w:space="0" w:color="1B556B"/>
              <w:bottom w:val="single" w:sz="4" w:space="0" w:color="1B556B"/>
              <w:right w:val="single" w:sz="4" w:space="0" w:color="1B556B"/>
            </w:tcBorders>
            <w:shd w:val="clear" w:color="auto" w:fill="auto"/>
          </w:tcPr>
          <w:p w14:paraId="35365210" w14:textId="77777777" w:rsidR="00784FA9" w:rsidRPr="00AD4336" w:rsidRDefault="00784FA9" w:rsidP="00AD4336">
            <w:pPr>
              <w:pStyle w:val="TableText"/>
              <w:spacing w:before="40" w:after="40"/>
              <w:jc w:val="right"/>
              <w:rPr>
                <w:rFonts w:cs="Calibri"/>
                <w:szCs w:val="16"/>
              </w:rPr>
            </w:pPr>
          </w:p>
        </w:tc>
        <w:tc>
          <w:tcPr>
            <w:tcW w:w="856" w:type="dxa"/>
            <w:tcBorders>
              <w:top w:val="nil"/>
              <w:left w:val="single" w:sz="4" w:space="0" w:color="1B556B"/>
              <w:bottom w:val="single" w:sz="4" w:space="0" w:color="1B556B"/>
              <w:right w:val="single" w:sz="4" w:space="0" w:color="1B556B"/>
            </w:tcBorders>
            <w:shd w:val="clear" w:color="auto" w:fill="auto"/>
          </w:tcPr>
          <w:p w14:paraId="7FF70B12" w14:textId="77777777" w:rsidR="00784FA9" w:rsidRPr="00AD4336" w:rsidRDefault="00784FA9" w:rsidP="00AD4336">
            <w:pPr>
              <w:pStyle w:val="TableText"/>
              <w:spacing w:before="40" w:after="40"/>
              <w:jc w:val="right"/>
              <w:rPr>
                <w:rFonts w:cs="Calibri"/>
                <w:szCs w:val="16"/>
              </w:rPr>
            </w:pPr>
          </w:p>
        </w:tc>
        <w:tc>
          <w:tcPr>
            <w:tcW w:w="929" w:type="dxa"/>
            <w:tcBorders>
              <w:top w:val="nil"/>
              <w:left w:val="single" w:sz="4" w:space="0" w:color="1B556B"/>
              <w:bottom w:val="single" w:sz="4" w:space="0" w:color="1B556B"/>
              <w:right w:val="nil"/>
            </w:tcBorders>
            <w:shd w:val="clear" w:color="auto" w:fill="auto"/>
          </w:tcPr>
          <w:p w14:paraId="4370BAE2"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0.0</w:t>
            </w:r>
          </w:p>
        </w:tc>
      </w:tr>
      <w:tr w:rsidR="00AD4336" w:rsidRPr="00D604EE" w14:paraId="7ACE7D27" w14:textId="77777777" w:rsidTr="00A67DE9">
        <w:tc>
          <w:tcPr>
            <w:tcW w:w="964" w:type="dxa"/>
            <w:vMerge w:val="restart"/>
            <w:tcBorders>
              <w:top w:val="single" w:sz="4" w:space="0" w:color="1B556B"/>
              <w:left w:val="nil"/>
              <w:bottom w:val="single" w:sz="4" w:space="0" w:color="1B556B"/>
              <w:right w:val="nil"/>
            </w:tcBorders>
            <w:shd w:val="clear" w:color="auto" w:fill="auto"/>
          </w:tcPr>
          <w:p w14:paraId="5CDCB795" w14:textId="77777777" w:rsidR="00784FA9" w:rsidRPr="00AD4336" w:rsidRDefault="00784FA9" w:rsidP="00AD4336">
            <w:pPr>
              <w:pStyle w:val="TableTextBold"/>
              <w:spacing w:before="40" w:after="40"/>
              <w:rPr>
                <w:rFonts w:cs="Calibri"/>
                <w:noProof w:val="0"/>
                <w:szCs w:val="16"/>
              </w:rPr>
            </w:pPr>
            <w:r w:rsidRPr="00AD4336">
              <w:rPr>
                <w:rFonts w:cs="Calibri"/>
                <w:noProof w:val="0"/>
                <w:szCs w:val="16"/>
              </w:rPr>
              <w:t>Cropland</w:t>
            </w:r>
          </w:p>
        </w:tc>
        <w:tc>
          <w:tcPr>
            <w:tcW w:w="1134" w:type="dxa"/>
            <w:tcBorders>
              <w:top w:val="single" w:sz="4" w:space="0" w:color="1B556B"/>
              <w:left w:val="nil"/>
              <w:bottom w:val="nil"/>
              <w:right w:val="single" w:sz="4" w:space="0" w:color="1B556B"/>
            </w:tcBorders>
            <w:shd w:val="clear" w:color="auto" w:fill="auto"/>
            <w:vAlign w:val="center"/>
          </w:tcPr>
          <w:p w14:paraId="1A7BC6F1" w14:textId="77777777" w:rsidR="00784FA9" w:rsidRPr="00AD4336" w:rsidRDefault="00784FA9" w:rsidP="00AD4336">
            <w:pPr>
              <w:pStyle w:val="TableText"/>
              <w:spacing w:before="40" w:after="40"/>
              <w:rPr>
                <w:rFonts w:cs="Calibri"/>
                <w:szCs w:val="16"/>
              </w:rPr>
            </w:pPr>
            <w:r w:rsidRPr="00AD4336">
              <w:rPr>
                <w:rFonts w:cs="Calibri"/>
                <w:szCs w:val="16"/>
              </w:rPr>
              <w:t>Annual</w:t>
            </w:r>
          </w:p>
        </w:tc>
        <w:tc>
          <w:tcPr>
            <w:tcW w:w="794" w:type="dxa"/>
            <w:tcBorders>
              <w:top w:val="single" w:sz="4" w:space="0" w:color="1B556B"/>
              <w:left w:val="single" w:sz="4" w:space="0" w:color="1B556B"/>
              <w:bottom w:val="nil"/>
              <w:right w:val="nil"/>
            </w:tcBorders>
            <w:shd w:val="clear" w:color="auto" w:fill="auto"/>
            <w:vAlign w:val="center"/>
          </w:tcPr>
          <w:p w14:paraId="198BD00A"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nil"/>
              <w:right w:val="nil"/>
            </w:tcBorders>
            <w:shd w:val="clear" w:color="auto" w:fill="auto"/>
            <w:vAlign w:val="center"/>
          </w:tcPr>
          <w:p w14:paraId="23B8C3DC"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nil"/>
              <w:right w:val="nil"/>
            </w:tcBorders>
            <w:shd w:val="clear" w:color="auto" w:fill="auto"/>
            <w:vAlign w:val="center"/>
          </w:tcPr>
          <w:p w14:paraId="023E998E"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nil"/>
              <w:right w:val="single" w:sz="4" w:space="0" w:color="1B556B"/>
            </w:tcBorders>
            <w:shd w:val="clear" w:color="auto" w:fill="auto"/>
            <w:vAlign w:val="center"/>
          </w:tcPr>
          <w:p w14:paraId="36958CC4" w14:textId="77777777" w:rsidR="00784FA9" w:rsidRPr="00AD4336" w:rsidRDefault="00784FA9" w:rsidP="00AD4336">
            <w:pPr>
              <w:pStyle w:val="TableText"/>
              <w:spacing w:before="40" w:after="40"/>
              <w:jc w:val="right"/>
              <w:rPr>
                <w:rFonts w:cs="Calibri"/>
                <w:szCs w:val="16"/>
              </w:rPr>
            </w:pPr>
          </w:p>
        </w:tc>
        <w:tc>
          <w:tcPr>
            <w:tcW w:w="737" w:type="dxa"/>
            <w:tcBorders>
              <w:top w:val="single" w:sz="4" w:space="0" w:color="1B556B"/>
              <w:left w:val="single" w:sz="4" w:space="0" w:color="1B556B"/>
              <w:bottom w:val="nil"/>
              <w:right w:val="nil"/>
            </w:tcBorders>
            <w:shd w:val="clear" w:color="auto" w:fill="D2DDE1"/>
          </w:tcPr>
          <w:p w14:paraId="22460D2E" w14:textId="77777777" w:rsidR="00784FA9" w:rsidRPr="00AD4336" w:rsidRDefault="00784FA9" w:rsidP="00AD4336">
            <w:pPr>
              <w:pStyle w:val="TableText"/>
              <w:spacing w:before="40" w:after="40"/>
              <w:jc w:val="right"/>
              <w:rPr>
                <w:rFonts w:cs="Calibri"/>
                <w:szCs w:val="16"/>
              </w:rPr>
            </w:pPr>
            <w:r w:rsidRPr="00AD4336">
              <w:rPr>
                <w:rFonts w:cs="Calibri"/>
                <w:szCs w:val="16"/>
              </w:rPr>
              <w:t>325.0</w:t>
            </w:r>
          </w:p>
        </w:tc>
        <w:tc>
          <w:tcPr>
            <w:tcW w:w="737" w:type="dxa"/>
            <w:tcBorders>
              <w:top w:val="single" w:sz="4" w:space="0" w:color="1B556B"/>
              <w:left w:val="nil"/>
              <w:bottom w:val="nil"/>
              <w:right w:val="single" w:sz="4" w:space="0" w:color="1B556B"/>
            </w:tcBorders>
            <w:shd w:val="clear" w:color="auto" w:fill="auto"/>
          </w:tcPr>
          <w:p w14:paraId="74745D3F"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1B556B"/>
              <w:left w:val="single" w:sz="4" w:space="0" w:color="1B556B"/>
              <w:bottom w:val="nil"/>
              <w:right w:val="nil"/>
            </w:tcBorders>
            <w:shd w:val="clear" w:color="auto" w:fill="auto"/>
          </w:tcPr>
          <w:p w14:paraId="2F2A3B4A" w14:textId="77777777" w:rsidR="00784FA9" w:rsidRPr="00AD4336" w:rsidRDefault="00784FA9" w:rsidP="00AD4336">
            <w:pPr>
              <w:pStyle w:val="TableText"/>
              <w:spacing w:before="40" w:after="40"/>
              <w:jc w:val="right"/>
              <w:rPr>
                <w:rFonts w:cs="Calibri"/>
                <w:szCs w:val="16"/>
              </w:rPr>
            </w:pPr>
            <w:r w:rsidRPr="00AD4336">
              <w:rPr>
                <w:rFonts w:cs="Calibri"/>
                <w:szCs w:val="16"/>
              </w:rPr>
              <w:t>21.0</w:t>
            </w:r>
          </w:p>
        </w:tc>
        <w:tc>
          <w:tcPr>
            <w:tcW w:w="907" w:type="dxa"/>
            <w:tcBorders>
              <w:top w:val="single" w:sz="4" w:space="0" w:color="1B556B"/>
              <w:left w:val="nil"/>
              <w:bottom w:val="nil"/>
              <w:right w:val="nil"/>
            </w:tcBorders>
            <w:shd w:val="clear" w:color="auto" w:fill="auto"/>
          </w:tcPr>
          <w:p w14:paraId="0231540A" w14:textId="77777777" w:rsidR="00784FA9" w:rsidRPr="00AD4336" w:rsidRDefault="00784FA9" w:rsidP="00AD4336">
            <w:pPr>
              <w:pStyle w:val="TableText"/>
              <w:spacing w:before="40" w:after="40"/>
              <w:jc w:val="right"/>
              <w:rPr>
                <w:rFonts w:cs="Calibri"/>
                <w:szCs w:val="16"/>
              </w:rPr>
            </w:pPr>
            <w:r w:rsidRPr="00AD4336">
              <w:rPr>
                <w:rFonts w:cs="Calibri"/>
                <w:szCs w:val="16"/>
              </w:rPr>
              <w:t>9.0</w:t>
            </w:r>
          </w:p>
        </w:tc>
        <w:tc>
          <w:tcPr>
            <w:tcW w:w="907" w:type="dxa"/>
            <w:tcBorders>
              <w:top w:val="single" w:sz="4" w:space="0" w:color="1B556B"/>
              <w:left w:val="nil"/>
              <w:bottom w:val="nil"/>
              <w:right w:val="single" w:sz="4" w:space="0" w:color="1B556B"/>
            </w:tcBorders>
            <w:shd w:val="clear" w:color="auto" w:fill="auto"/>
          </w:tcPr>
          <w:p w14:paraId="3971A20E"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single" w:sz="4" w:space="0" w:color="1B556B"/>
              <w:bottom w:val="nil"/>
              <w:right w:val="nil"/>
            </w:tcBorders>
            <w:shd w:val="clear" w:color="auto" w:fill="auto"/>
          </w:tcPr>
          <w:p w14:paraId="5762C32F"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nil"/>
              <w:right w:val="single" w:sz="4" w:space="0" w:color="1B556B"/>
            </w:tcBorders>
            <w:shd w:val="clear" w:color="auto" w:fill="auto"/>
          </w:tcPr>
          <w:p w14:paraId="02E6D997"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1B556B"/>
              <w:left w:val="single" w:sz="4" w:space="0" w:color="1B556B"/>
              <w:bottom w:val="nil"/>
              <w:right w:val="single" w:sz="4" w:space="0" w:color="1B556B"/>
            </w:tcBorders>
            <w:shd w:val="clear" w:color="auto" w:fill="auto"/>
          </w:tcPr>
          <w:p w14:paraId="6D361E77" w14:textId="77777777" w:rsidR="00784FA9" w:rsidRPr="00AD4336" w:rsidRDefault="00784FA9" w:rsidP="00AD4336">
            <w:pPr>
              <w:pStyle w:val="TableText"/>
              <w:spacing w:before="40" w:after="40"/>
              <w:jc w:val="right"/>
              <w:rPr>
                <w:rFonts w:cs="Calibri"/>
                <w:szCs w:val="16"/>
              </w:rPr>
            </w:pPr>
          </w:p>
        </w:tc>
        <w:tc>
          <w:tcPr>
            <w:tcW w:w="856" w:type="dxa"/>
            <w:tcBorders>
              <w:top w:val="single" w:sz="4" w:space="0" w:color="1B556B"/>
              <w:left w:val="single" w:sz="4" w:space="0" w:color="1B556B"/>
              <w:bottom w:val="nil"/>
              <w:right w:val="single" w:sz="4" w:space="0" w:color="1B556B"/>
            </w:tcBorders>
            <w:shd w:val="clear" w:color="auto" w:fill="auto"/>
          </w:tcPr>
          <w:p w14:paraId="503BA64E" w14:textId="77777777" w:rsidR="00784FA9" w:rsidRPr="00AD4336" w:rsidRDefault="00784FA9" w:rsidP="00AD4336">
            <w:pPr>
              <w:pStyle w:val="TableText"/>
              <w:spacing w:before="40" w:after="40"/>
              <w:jc w:val="right"/>
              <w:rPr>
                <w:rFonts w:cs="Calibri"/>
                <w:szCs w:val="16"/>
              </w:rPr>
            </w:pPr>
          </w:p>
        </w:tc>
        <w:tc>
          <w:tcPr>
            <w:tcW w:w="929" w:type="dxa"/>
            <w:tcBorders>
              <w:top w:val="single" w:sz="4" w:space="0" w:color="1B556B"/>
              <w:left w:val="single" w:sz="4" w:space="0" w:color="1B556B"/>
              <w:bottom w:val="nil"/>
              <w:right w:val="nil"/>
            </w:tcBorders>
            <w:shd w:val="clear" w:color="auto" w:fill="auto"/>
          </w:tcPr>
          <w:p w14:paraId="1B67DE79"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354.9</w:t>
            </w:r>
          </w:p>
        </w:tc>
      </w:tr>
      <w:tr w:rsidR="00AD4336" w:rsidRPr="00D604EE" w14:paraId="103E6495" w14:textId="77777777" w:rsidTr="00A67DE9">
        <w:tc>
          <w:tcPr>
            <w:tcW w:w="964" w:type="dxa"/>
            <w:vMerge/>
            <w:tcBorders>
              <w:top w:val="single" w:sz="4" w:space="0" w:color="1B556B"/>
              <w:left w:val="nil"/>
              <w:bottom w:val="single" w:sz="4" w:space="0" w:color="1B556B"/>
              <w:right w:val="nil"/>
            </w:tcBorders>
            <w:shd w:val="clear" w:color="auto" w:fill="auto"/>
          </w:tcPr>
          <w:p w14:paraId="5EA44005" w14:textId="77777777" w:rsidR="00784FA9" w:rsidRPr="00AD4336" w:rsidRDefault="00784FA9" w:rsidP="00AD4336">
            <w:pPr>
              <w:pStyle w:val="TableText"/>
              <w:spacing w:before="40" w:after="40"/>
              <w:rPr>
                <w:rFonts w:cs="Calibri"/>
                <w:szCs w:val="16"/>
              </w:rPr>
            </w:pPr>
          </w:p>
        </w:tc>
        <w:tc>
          <w:tcPr>
            <w:tcW w:w="1134" w:type="dxa"/>
            <w:tcBorders>
              <w:top w:val="nil"/>
              <w:left w:val="nil"/>
              <w:bottom w:val="single" w:sz="4" w:space="0" w:color="1B556B"/>
              <w:right w:val="single" w:sz="4" w:space="0" w:color="1B556B"/>
            </w:tcBorders>
            <w:shd w:val="clear" w:color="auto" w:fill="auto"/>
            <w:vAlign w:val="center"/>
          </w:tcPr>
          <w:p w14:paraId="5E38ED96" w14:textId="77777777" w:rsidR="00784FA9" w:rsidRPr="00AD4336" w:rsidRDefault="00784FA9" w:rsidP="00AD4336">
            <w:pPr>
              <w:pStyle w:val="TableText"/>
              <w:spacing w:before="40" w:after="40"/>
              <w:rPr>
                <w:rFonts w:cs="Calibri"/>
                <w:szCs w:val="16"/>
              </w:rPr>
            </w:pPr>
            <w:r w:rsidRPr="00AD4336">
              <w:rPr>
                <w:rFonts w:cs="Calibri"/>
                <w:szCs w:val="16"/>
              </w:rPr>
              <w:t>Perennial</w:t>
            </w:r>
          </w:p>
        </w:tc>
        <w:tc>
          <w:tcPr>
            <w:tcW w:w="794" w:type="dxa"/>
            <w:tcBorders>
              <w:top w:val="nil"/>
              <w:left w:val="single" w:sz="4" w:space="0" w:color="1B556B"/>
              <w:bottom w:val="single" w:sz="4" w:space="0" w:color="1B556B"/>
              <w:right w:val="nil"/>
            </w:tcBorders>
            <w:shd w:val="clear" w:color="auto" w:fill="auto"/>
            <w:vAlign w:val="center"/>
          </w:tcPr>
          <w:p w14:paraId="48FF714D"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nil"/>
            </w:tcBorders>
            <w:shd w:val="clear" w:color="auto" w:fill="auto"/>
            <w:vAlign w:val="center"/>
          </w:tcPr>
          <w:p w14:paraId="0AAA80B3"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nil"/>
            </w:tcBorders>
            <w:shd w:val="clear" w:color="auto" w:fill="auto"/>
            <w:vAlign w:val="center"/>
          </w:tcPr>
          <w:p w14:paraId="4A1811D1"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single" w:sz="4" w:space="0" w:color="1B556B"/>
            </w:tcBorders>
            <w:shd w:val="clear" w:color="auto" w:fill="auto"/>
            <w:vAlign w:val="center"/>
          </w:tcPr>
          <w:p w14:paraId="18706102" w14:textId="77777777" w:rsidR="00784FA9" w:rsidRPr="00AD4336" w:rsidRDefault="00784FA9" w:rsidP="00AD4336">
            <w:pPr>
              <w:pStyle w:val="TableText"/>
              <w:spacing w:before="40" w:after="40"/>
              <w:jc w:val="right"/>
              <w:rPr>
                <w:rFonts w:cs="Calibri"/>
                <w:szCs w:val="16"/>
              </w:rPr>
            </w:pPr>
          </w:p>
        </w:tc>
        <w:tc>
          <w:tcPr>
            <w:tcW w:w="737" w:type="dxa"/>
            <w:tcBorders>
              <w:top w:val="nil"/>
              <w:left w:val="single" w:sz="4" w:space="0" w:color="1B556B"/>
              <w:bottom w:val="single" w:sz="4" w:space="0" w:color="1B556B"/>
              <w:right w:val="nil"/>
            </w:tcBorders>
            <w:shd w:val="clear" w:color="auto" w:fill="auto"/>
          </w:tcPr>
          <w:p w14:paraId="2A465AA7" w14:textId="77777777" w:rsidR="00784FA9" w:rsidRPr="00AD4336" w:rsidRDefault="00784FA9" w:rsidP="00AD4336">
            <w:pPr>
              <w:pStyle w:val="TableText"/>
              <w:spacing w:before="40" w:after="40"/>
              <w:jc w:val="right"/>
              <w:rPr>
                <w:rFonts w:cs="Calibri"/>
                <w:szCs w:val="16"/>
              </w:rPr>
            </w:pPr>
            <w:r w:rsidRPr="00AD4336">
              <w:rPr>
                <w:rFonts w:cs="Calibri"/>
                <w:szCs w:val="16"/>
              </w:rPr>
              <w:t>0.9</w:t>
            </w:r>
          </w:p>
        </w:tc>
        <w:tc>
          <w:tcPr>
            <w:tcW w:w="737" w:type="dxa"/>
            <w:tcBorders>
              <w:top w:val="nil"/>
              <w:left w:val="nil"/>
              <w:bottom w:val="single" w:sz="4" w:space="0" w:color="1B556B"/>
              <w:right w:val="single" w:sz="4" w:space="0" w:color="1B556B"/>
            </w:tcBorders>
            <w:shd w:val="clear" w:color="auto" w:fill="D2DDE1"/>
          </w:tcPr>
          <w:p w14:paraId="681072BC" w14:textId="77777777" w:rsidR="00784FA9" w:rsidRPr="00AD4336" w:rsidRDefault="00784FA9" w:rsidP="00AD4336">
            <w:pPr>
              <w:pStyle w:val="TableText"/>
              <w:spacing w:before="40" w:after="40"/>
              <w:jc w:val="right"/>
              <w:rPr>
                <w:rFonts w:cs="Calibri"/>
                <w:szCs w:val="16"/>
              </w:rPr>
            </w:pPr>
            <w:r w:rsidRPr="00AD4336">
              <w:rPr>
                <w:rFonts w:cs="Calibri"/>
                <w:szCs w:val="16"/>
              </w:rPr>
              <w:t>58.7</w:t>
            </w:r>
          </w:p>
        </w:tc>
        <w:tc>
          <w:tcPr>
            <w:tcW w:w="907" w:type="dxa"/>
            <w:tcBorders>
              <w:top w:val="nil"/>
              <w:left w:val="single" w:sz="4" w:space="0" w:color="1B556B"/>
              <w:bottom w:val="single" w:sz="4" w:space="0" w:color="1B556B"/>
              <w:right w:val="nil"/>
            </w:tcBorders>
            <w:shd w:val="clear" w:color="auto" w:fill="auto"/>
          </w:tcPr>
          <w:p w14:paraId="5A0E8DBB" w14:textId="77777777" w:rsidR="00784FA9" w:rsidRPr="00AD4336" w:rsidRDefault="00784FA9" w:rsidP="00AD4336">
            <w:pPr>
              <w:pStyle w:val="TableText"/>
              <w:spacing w:before="40" w:after="40"/>
              <w:jc w:val="right"/>
              <w:rPr>
                <w:rFonts w:cs="Calibri"/>
                <w:szCs w:val="16"/>
              </w:rPr>
            </w:pPr>
            <w:r w:rsidRPr="00AD4336">
              <w:rPr>
                <w:rFonts w:cs="Calibri"/>
                <w:szCs w:val="16"/>
              </w:rPr>
              <w:t>5.0</w:t>
            </w:r>
          </w:p>
        </w:tc>
        <w:tc>
          <w:tcPr>
            <w:tcW w:w="907" w:type="dxa"/>
            <w:tcBorders>
              <w:top w:val="nil"/>
              <w:left w:val="nil"/>
              <w:bottom w:val="single" w:sz="4" w:space="0" w:color="1B556B"/>
              <w:right w:val="nil"/>
            </w:tcBorders>
            <w:shd w:val="clear" w:color="auto" w:fill="auto"/>
          </w:tcPr>
          <w:p w14:paraId="7B602D4D" w14:textId="77777777" w:rsidR="00784FA9" w:rsidRPr="00AD4336" w:rsidRDefault="00784FA9" w:rsidP="00AD4336">
            <w:pPr>
              <w:pStyle w:val="TableText"/>
              <w:spacing w:before="40" w:after="40"/>
              <w:jc w:val="right"/>
              <w:rPr>
                <w:rFonts w:cs="Calibri"/>
                <w:szCs w:val="16"/>
              </w:rPr>
            </w:pPr>
            <w:r w:rsidRPr="00AD4336">
              <w:rPr>
                <w:rFonts w:cs="Calibri"/>
                <w:szCs w:val="16"/>
              </w:rPr>
              <w:t>4.5</w:t>
            </w:r>
          </w:p>
        </w:tc>
        <w:tc>
          <w:tcPr>
            <w:tcW w:w="907" w:type="dxa"/>
            <w:tcBorders>
              <w:top w:val="nil"/>
              <w:left w:val="nil"/>
              <w:bottom w:val="single" w:sz="4" w:space="0" w:color="1B556B"/>
              <w:right w:val="single" w:sz="4" w:space="0" w:color="1B556B"/>
            </w:tcBorders>
            <w:shd w:val="clear" w:color="auto" w:fill="auto"/>
          </w:tcPr>
          <w:p w14:paraId="33B6D22B" w14:textId="77777777" w:rsidR="00784FA9" w:rsidRPr="00AD4336" w:rsidRDefault="00784FA9" w:rsidP="00AD4336">
            <w:pPr>
              <w:pStyle w:val="TableText"/>
              <w:spacing w:before="40" w:after="40"/>
              <w:jc w:val="right"/>
              <w:rPr>
                <w:rFonts w:cs="Calibri"/>
                <w:szCs w:val="16"/>
              </w:rPr>
            </w:pPr>
          </w:p>
        </w:tc>
        <w:tc>
          <w:tcPr>
            <w:tcW w:w="794" w:type="dxa"/>
            <w:tcBorders>
              <w:top w:val="nil"/>
              <w:left w:val="single" w:sz="4" w:space="0" w:color="1B556B"/>
              <w:bottom w:val="single" w:sz="4" w:space="0" w:color="1B556B"/>
              <w:right w:val="nil"/>
            </w:tcBorders>
            <w:shd w:val="clear" w:color="auto" w:fill="auto"/>
          </w:tcPr>
          <w:p w14:paraId="07A98461"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single" w:sz="4" w:space="0" w:color="1B556B"/>
            </w:tcBorders>
            <w:shd w:val="clear" w:color="auto" w:fill="auto"/>
          </w:tcPr>
          <w:p w14:paraId="0D483F07" w14:textId="77777777" w:rsidR="00784FA9" w:rsidRPr="00AD4336" w:rsidRDefault="00784FA9" w:rsidP="00AD4336">
            <w:pPr>
              <w:pStyle w:val="TableText"/>
              <w:spacing w:before="40" w:after="40"/>
              <w:jc w:val="right"/>
              <w:rPr>
                <w:rFonts w:cs="Calibri"/>
                <w:szCs w:val="16"/>
              </w:rPr>
            </w:pPr>
          </w:p>
        </w:tc>
        <w:tc>
          <w:tcPr>
            <w:tcW w:w="907" w:type="dxa"/>
            <w:tcBorders>
              <w:top w:val="nil"/>
              <w:left w:val="single" w:sz="4" w:space="0" w:color="1B556B"/>
              <w:bottom w:val="single" w:sz="4" w:space="0" w:color="1B556B"/>
              <w:right w:val="single" w:sz="4" w:space="0" w:color="1B556B"/>
            </w:tcBorders>
            <w:shd w:val="clear" w:color="auto" w:fill="auto"/>
          </w:tcPr>
          <w:p w14:paraId="27A6B574" w14:textId="77777777" w:rsidR="00784FA9" w:rsidRPr="00AD4336" w:rsidRDefault="00784FA9" w:rsidP="00AD4336">
            <w:pPr>
              <w:pStyle w:val="TableText"/>
              <w:spacing w:before="40" w:after="40"/>
              <w:jc w:val="right"/>
              <w:rPr>
                <w:rFonts w:cs="Calibri"/>
                <w:szCs w:val="16"/>
              </w:rPr>
            </w:pPr>
          </w:p>
        </w:tc>
        <w:tc>
          <w:tcPr>
            <w:tcW w:w="856" w:type="dxa"/>
            <w:tcBorders>
              <w:top w:val="nil"/>
              <w:left w:val="single" w:sz="4" w:space="0" w:color="1B556B"/>
              <w:bottom w:val="single" w:sz="4" w:space="0" w:color="1B556B"/>
              <w:right w:val="single" w:sz="4" w:space="0" w:color="1B556B"/>
            </w:tcBorders>
            <w:shd w:val="clear" w:color="auto" w:fill="auto"/>
          </w:tcPr>
          <w:p w14:paraId="418BE8AD" w14:textId="77777777" w:rsidR="00784FA9" w:rsidRPr="00AD4336" w:rsidRDefault="00784FA9" w:rsidP="00AD4336">
            <w:pPr>
              <w:pStyle w:val="TableText"/>
              <w:spacing w:before="40" w:after="40"/>
              <w:jc w:val="right"/>
              <w:rPr>
                <w:rFonts w:cs="Calibri"/>
                <w:szCs w:val="16"/>
              </w:rPr>
            </w:pPr>
          </w:p>
        </w:tc>
        <w:tc>
          <w:tcPr>
            <w:tcW w:w="929" w:type="dxa"/>
            <w:tcBorders>
              <w:top w:val="nil"/>
              <w:left w:val="single" w:sz="4" w:space="0" w:color="1B556B"/>
              <w:bottom w:val="single" w:sz="4" w:space="0" w:color="1B556B"/>
              <w:right w:val="nil"/>
            </w:tcBorders>
            <w:shd w:val="clear" w:color="auto" w:fill="auto"/>
          </w:tcPr>
          <w:p w14:paraId="2F69FDE7"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69.0</w:t>
            </w:r>
          </w:p>
        </w:tc>
      </w:tr>
      <w:tr w:rsidR="00AD4336" w:rsidRPr="00D604EE" w14:paraId="0A2C4F98" w14:textId="77777777" w:rsidTr="00A67DE9">
        <w:tc>
          <w:tcPr>
            <w:tcW w:w="964" w:type="dxa"/>
            <w:vMerge w:val="restart"/>
            <w:tcBorders>
              <w:top w:val="single" w:sz="4" w:space="0" w:color="1B556B"/>
              <w:left w:val="nil"/>
              <w:bottom w:val="single" w:sz="4" w:space="0" w:color="1B556B"/>
              <w:right w:val="nil"/>
            </w:tcBorders>
            <w:shd w:val="clear" w:color="auto" w:fill="auto"/>
          </w:tcPr>
          <w:p w14:paraId="44A55D8E" w14:textId="77777777" w:rsidR="00784FA9" w:rsidRPr="00AD4336" w:rsidRDefault="00784FA9" w:rsidP="00AD4336">
            <w:pPr>
              <w:pStyle w:val="TableTextBold"/>
              <w:spacing w:before="40" w:after="40"/>
              <w:rPr>
                <w:rFonts w:cs="Calibri"/>
                <w:noProof w:val="0"/>
                <w:szCs w:val="16"/>
              </w:rPr>
            </w:pPr>
            <w:r w:rsidRPr="00AD4336">
              <w:rPr>
                <w:rFonts w:cs="Calibri"/>
                <w:noProof w:val="0"/>
                <w:szCs w:val="16"/>
              </w:rPr>
              <w:t>Grassland</w:t>
            </w:r>
          </w:p>
        </w:tc>
        <w:tc>
          <w:tcPr>
            <w:tcW w:w="1134" w:type="dxa"/>
            <w:tcBorders>
              <w:top w:val="single" w:sz="4" w:space="0" w:color="1B556B"/>
              <w:left w:val="nil"/>
              <w:bottom w:val="nil"/>
              <w:right w:val="single" w:sz="4" w:space="0" w:color="1B556B"/>
            </w:tcBorders>
            <w:shd w:val="clear" w:color="auto" w:fill="auto"/>
            <w:vAlign w:val="center"/>
          </w:tcPr>
          <w:p w14:paraId="1702D79F" w14:textId="77777777" w:rsidR="00784FA9" w:rsidRPr="00AD4336" w:rsidRDefault="00784FA9" w:rsidP="00AD4336">
            <w:pPr>
              <w:pStyle w:val="TableText"/>
              <w:spacing w:before="40" w:after="40"/>
              <w:rPr>
                <w:rFonts w:cs="Calibri"/>
                <w:szCs w:val="16"/>
              </w:rPr>
            </w:pPr>
            <w:r w:rsidRPr="00AD4336">
              <w:rPr>
                <w:rFonts w:cs="Calibri"/>
                <w:szCs w:val="16"/>
              </w:rPr>
              <w:t>High producing</w:t>
            </w:r>
          </w:p>
        </w:tc>
        <w:tc>
          <w:tcPr>
            <w:tcW w:w="794" w:type="dxa"/>
            <w:tcBorders>
              <w:top w:val="single" w:sz="4" w:space="0" w:color="1B556B"/>
              <w:left w:val="single" w:sz="4" w:space="0" w:color="1B556B"/>
              <w:bottom w:val="nil"/>
              <w:right w:val="nil"/>
            </w:tcBorders>
            <w:shd w:val="clear" w:color="auto" w:fill="auto"/>
          </w:tcPr>
          <w:p w14:paraId="6316A9BA" w14:textId="77777777" w:rsidR="00784FA9" w:rsidRPr="00AD4336" w:rsidRDefault="00784FA9" w:rsidP="00AD4336">
            <w:pPr>
              <w:pStyle w:val="TableText"/>
              <w:spacing w:before="40" w:after="40"/>
              <w:jc w:val="right"/>
              <w:rPr>
                <w:rFonts w:cs="Calibri"/>
                <w:szCs w:val="16"/>
              </w:rPr>
            </w:pPr>
            <w:r w:rsidRPr="00AD4336">
              <w:rPr>
                <w:rFonts w:cs="Calibri"/>
                <w:szCs w:val="16"/>
              </w:rPr>
              <w:t>82.6</w:t>
            </w:r>
          </w:p>
        </w:tc>
        <w:tc>
          <w:tcPr>
            <w:tcW w:w="794" w:type="dxa"/>
            <w:tcBorders>
              <w:top w:val="single" w:sz="4" w:space="0" w:color="1B556B"/>
              <w:left w:val="nil"/>
              <w:bottom w:val="nil"/>
              <w:right w:val="nil"/>
            </w:tcBorders>
            <w:shd w:val="clear" w:color="auto" w:fill="auto"/>
            <w:vAlign w:val="center"/>
          </w:tcPr>
          <w:p w14:paraId="777A42E5"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nil"/>
              <w:right w:val="nil"/>
            </w:tcBorders>
            <w:shd w:val="clear" w:color="auto" w:fill="auto"/>
            <w:vAlign w:val="center"/>
          </w:tcPr>
          <w:p w14:paraId="286554D6"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nil"/>
              <w:right w:val="single" w:sz="4" w:space="0" w:color="1B556B"/>
            </w:tcBorders>
            <w:shd w:val="clear" w:color="auto" w:fill="auto"/>
            <w:vAlign w:val="center"/>
          </w:tcPr>
          <w:p w14:paraId="52746324" w14:textId="77777777" w:rsidR="00784FA9" w:rsidRPr="00AD4336" w:rsidRDefault="00784FA9" w:rsidP="00AD4336">
            <w:pPr>
              <w:pStyle w:val="TableText"/>
              <w:spacing w:before="40" w:after="40"/>
              <w:jc w:val="right"/>
              <w:rPr>
                <w:rFonts w:cs="Calibri"/>
                <w:szCs w:val="16"/>
              </w:rPr>
            </w:pPr>
          </w:p>
        </w:tc>
        <w:tc>
          <w:tcPr>
            <w:tcW w:w="737" w:type="dxa"/>
            <w:tcBorders>
              <w:top w:val="single" w:sz="4" w:space="0" w:color="1B556B"/>
              <w:left w:val="single" w:sz="4" w:space="0" w:color="1B556B"/>
              <w:bottom w:val="nil"/>
              <w:right w:val="nil"/>
            </w:tcBorders>
            <w:shd w:val="clear" w:color="auto" w:fill="auto"/>
          </w:tcPr>
          <w:p w14:paraId="560C4E45" w14:textId="77777777" w:rsidR="00784FA9" w:rsidRPr="00AD4336" w:rsidRDefault="00784FA9" w:rsidP="00AD4336">
            <w:pPr>
              <w:pStyle w:val="TableText"/>
              <w:spacing w:before="40" w:after="40"/>
              <w:jc w:val="right"/>
              <w:rPr>
                <w:rFonts w:cs="Calibri"/>
                <w:szCs w:val="16"/>
              </w:rPr>
            </w:pPr>
            <w:r w:rsidRPr="00AD4336">
              <w:rPr>
                <w:rFonts w:cs="Calibri"/>
                <w:szCs w:val="16"/>
              </w:rPr>
              <w:t>22.0</w:t>
            </w:r>
          </w:p>
        </w:tc>
        <w:tc>
          <w:tcPr>
            <w:tcW w:w="737" w:type="dxa"/>
            <w:tcBorders>
              <w:top w:val="single" w:sz="4" w:space="0" w:color="1B556B"/>
              <w:left w:val="nil"/>
              <w:bottom w:val="nil"/>
              <w:right w:val="single" w:sz="4" w:space="0" w:color="1B556B"/>
            </w:tcBorders>
            <w:shd w:val="clear" w:color="auto" w:fill="auto"/>
          </w:tcPr>
          <w:p w14:paraId="31238003" w14:textId="77777777" w:rsidR="00784FA9" w:rsidRPr="00AD4336" w:rsidRDefault="00784FA9" w:rsidP="00AD4336">
            <w:pPr>
              <w:pStyle w:val="TableText"/>
              <w:spacing w:before="40" w:after="40"/>
              <w:jc w:val="right"/>
              <w:rPr>
                <w:rFonts w:cs="Calibri"/>
                <w:szCs w:val="16"/>
              </w:rPr>
            </w:pPr>
            <w:r w:rsidRPr="00AD4336">
              <w:rPr>
                <w:rFonts w:cs="Calibri"/>
                <w:szCs w:val="16"/>
              </w:rPr>
              <w:t>19.5</w:t>
            </w:r>
          </w:p>
        </w:tc>
        <w:tc>
          <w:tcPr>
            <w:tcW w:w="907" w:type="dxa"/>
            <w:tcBorders>
              <w:top w:val="single" w:sz="4" w:space="0" w:color="1B556B"/>
              <w:left w:val="single" w:sz="4" w:space="0" w:color="1B556B"/>
              <w:bottom w:val="nil"/>
              <w:right w:val="nil"/>
            </w:tcBorders>
            <w:shd w:val="clear" w:color="auto" w:fill="D2DDE1"/>
          </w:tcPr>
          <w:p w14:paraId="39F2CFDA" w14:textId="77777777" w:rsidR="00784FA9" w:rsidRPr="00AD4336" w:rsidRDefault="00784FA9" w:rsidP="00AD4336">
            <w:pPr>
              <w:pStyle w:val="TableText"/>
              <w:spacing w:before="40" w:after="40"/>
              <w:jc w:val="right"/>
              <w:rPr>
                <w:rFonts w:cs="Calibri"/>
                <w:szCs w:val="16"/>
              </w:rPr>
            </w:pPr>
            <w:r w:rsidRPr="00AD4336">
              <w:rPr>
                <w:rFonts w:cs="Calibri"/>
                <w:szCs w:val="16"/>
              </w:rPr>
              <w:t>4,808.8</w:t>
            </w:r>
          </w:p>
        </w:tc>
        <w:tc>
          <w:tcPr>
            <w:tcW w:w="907" w:type="dxa"/>
            <w:tcBorders>
              <w:top w:val="single" w:sz="4" w:space="0" w:color="1B556B"/>
              <w:left w:val="nil"/>
              <w:bottom w:val="nil"/>
              <w:right w:val="nil"/>
            </w:tcBorders>
            <w:shd w:val="clear" w:color="auto" w:fill="auto"/>
          </w:tcPr>
          <w:p w14:paraId="331CB317" w14:textId="77777777" w:rsidR="00784FA9" w:rsidRPr="00AD4336" w:rsidRDefault="00784FA9" w:rsidP="00AD4336">
            <w:pPr>
              <w:pStyle w:val="TableText"/>
              <w:spacing w:before="40" w:after="40"/>
              <w:jc w:val="right"/>
              <w:rPr>
                <w:rFonts w:cs="Calibri"/>
                <w:szCs w:val="16"/>
              </w:rPr>
            </w:pPr>
            <w:r w:rsidRPr="00AD4336">
              <w:rPr>
                <w:rFonts w:cs="Calibri"/>
                <w:szCs w:val="16"/>
              </w:rPr>
              <w:t>470.1</w:t>
            </w:r>
          </w:p>
        </w:tc>
        <w:tc>
          <w:tcPr>
            <w:tcW w:w="907" w:type="dxa"/>
            <w:tcBorders>
              <w:top w:val="single" w:sz="4" w:space="0" w:color="1B556B"/>
              <w:left w:val="nil"/>
              <w:bottom w:val="nil"/>
              <w:right w:val="single" w:sz="4" w:space="0" w:color="1B556B"/>
            </w:tcBorders>
            <w:shd w:val="clear" w:color="auto" w:fill="auto"/>
          </w:tcPr>
          <w:p w14:paraId="6F0F4B79" w14:textId="77777777" w:rsidR="00784FA9" w:rsidRPr="00AD4336" w:rsidRDefault="00784FA9" w:rsidP="00AD4336">
            <w:pPr>
              <w:pStyle w:val="TableText"/>
              <w:spacing w:before="40" w:after="40"/>
              <w:jc w:val="right"/>
              <w:rPr>
                <w:rFonts w:cs="Calibri"/>
                <w:szCs w:val="16"/>
              </w:rPr>
            </w:pPr>
            <w:r w:rsidRPr="00AD4336">
              <w:rPr>
                <w:rFonts w:cs="Calibri"/>
                <w:szCs w:val="16"/>
              </w:rPr>
              <w:t>348.7</w:t>
            </w:r>
          </w:p>
        </w:tc>
        <w:tc>
          <w:tcPr>
            <w:tcW w:w="794" w:type="dxa"/>
            <w:tcBorders>
              <w:top w:val="single" w:sz="4" w:space="0" w:color="1B556B"/>
              <w:left w:val="single" w:sz="4" w:space="0" w:color="1B556B"/>
              <w:bottom w:val="nil"/>
              <w:right w:val="nil"/>
            </w:tcBorders>
            <w:shd w:val="clear" w:color="auto" w:fill="auto"/>
          </w:tcPr>
          <w:p w14:paraId="38CF6428"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nil"/>
              <w:right w:val="single" w:sz="4" w:space="0" w:color="1B556B"/>
            </w:tcBorders>
            <w:shd w:val="clear" w:color="auto" w:fill="auto"/>
          </w:tcPr>
          <w:p w14:paraId="07422E79" w14:textId="77777777" w:rsidR="00784FA9" w:rsidRPr="00AD4336" w:rsidRDefault="00784FA9" w:rsidP="00AD4336">
            <w:pPr>
              <w:pStyle w:val="TableText"/>
              <w:spacing w:before="40" w:after="40"/>
              <w:jc w:val="right"/>
              <w:rPr>
                <w:rFonts w:cs="Calibri"/>
                <w:szCs w:val="16"/>
              </w:rPr>
            </w:pPr>
            <w:r w:rsidRPr="00AD4336">
              <w:rPr>
                <w:rFonts w:cs="Calibri"/>
                <w:szCs w:val="16"/>
              </w:rPr>
              <w:t>88.8</w:t>
            </w:r>
          </w:p>
        </w:tc>
        <w:tc>
          <w:tcPr>
            <w:tcW w:w="907" w:type="dxa"/>
            <w:tcBorders>
              <w:top w:val="single" w:sz="4" w:space="0" w:color="1B556B"/>
              <w:left w:val="single" w:sz="4" w:space="0" w:color="1B556B"/>
              <w:bottom w:val="nil"/>
              <w:right w:val="single" w:sz="4" w:space="0" w:color="1B556B"/>
            </w:tcBorders>
            <w:shd w:val="clear" w:color="auto" w:fill="auto"/>
          </w:tcPr>
          <w:p w14:paraId="10FD8691" w14:textId="77777777" w:rsidR="00784FA9" w:rsidRPr="00AD4336" w:rsidRDefault="00784FA9" w:rsidP="00AD4336">
            <w:pPr>
              <w:pStyle w:val="TableText"/>
              <w:spacing w:before="40" w:after="40"/>
              <w:jc w:val="right"/>
              <w:rPr>
                <w:rFonts w:cs="Calibri"/>
                <w:szCs w:val="16"/>
              </w:rPr>
            </w:pPr>
          </w:p>
        </w:tc>
        <w:tc>
          <w:tcPr>
            <w:tcW w:w="856" w:type="dxa"/>
            <w:tcBorders>
              <w:top w:val="single" w:sz="4" w:space="0" w:color="1B556B"/>
              <w:left w:val="single" w:sz="4" w:space="0" w:color="1B556B"/>
              <w:bottom w:val="nil"/>
              <w:right w:val="single" w:sz="4" w:space="0" w:color="1B556B"/>
            </w:tcBorders>
            <w:shd w:val="clear" w:color="auto" w:fill="auto"/>
          </w:tcPr>
          <w:p w14:paraId="69201B66" w14:textId="77777777" w:rsidR="00784FA9" w:rsidRPr="00AD4336" w:rsidRDefault="00784FA9" w:rsidP="00AD4336">
            <w:pPr>
              <w:pStyle w:val="TableText"/>
              <w:spacing w:before="40" w:after="40"/>
              <w:jc w:val="right"/>
              <w:rPr>
                <w:rFonts w:cs="Calibri"/>
                <w:szCs w:val="16"/>
              </w:rPr>
            </w:pPr>
          </w:p>
        </w:tc>
        <w:tc>
          <w:tcPr>
            <w:tcW w:w="929" w:type="dxa"/>
            <w:tcBorders>
              <w:top w:val="single" w:sz="4" w:space="0" w:color="1B556B"/>
              <w:left w:val="single" w:sz="4" w:space="0" w:color="1B556B"/>
              <w:bottom w:val="nil"/>
              <w:right w:val="nil"/>
            </w:tcBorders>
            <w:shd w:val="clear" w:color="auto" w:fill="auto"/>
          </w:tcPr>
          <w:p w14:paraId="0FC81723"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5,840.4</w:t>
            </w:r>
          </w:p>
        </w:tc>
      </w:tr>
      <w:tr w:rsidR="00AD4336" w:rsidRPr="00D604EE" w14:paraId="181C0C60" w14:textId="77777777" w:rsidTr="00A67DE9">
        <w:tc>
          <w:tcPr>
            <w:tcW w:w="964" w:type="dxa"/>
            <w:vMerge/>
            <w:tcBorders>
              <w:top w:val="single" w:sz="4" w:space="0" w:color="1B556B"/>
              <w:left w:val="nil"/>
              <w:bottom w:val="single" w:sz="4" w:space="0" w:color="1B556B"/>
              <w:right w:val="nil"/>
            </w:tcBorders>
            <w:shd w:val="clear" w:color="auto" w:fill="auto"/>
          </w:tcPr>
          <w:p w14:paraId="60F61E55" w14:textId="77777777" w:rsidR="00784FA9" w:rsidRPr="00AD4336" w:rsidRDefault="00784FA9" w:rsidP="00AD4336">
            <w:pPr>
              <w:pStyle w:val="TableText"/>
              <w:spacing w:before="40" w:after="40"/>
              <w:rPr>
                <w:rFonts w:cs="Calibri"/>
                <w:szCs w:val="16"/>
              </w:rPr>
            </w:pPr>
          </w:p>
        </w:tc>
        <w:tc>
          <w:tcPr>
            <w:tcW w:w="1134" w:type="dxa"/>
            <w:tcBorders>
              <w:top w:val="nil"/>
              <w:left w:val="nil"/>
              <w:bottom w:val="nil"/>
              <w:right w:val="single" w:sz="4" w:space="0" w:color="1B556B"/>
            </w:tcBorders>
            <w:shd w:val="clear" w:color="auto" w:fill="auto"/>
            <w:vAlign w:val="center"/>
          </w:tcPr>
          <w:p w14:paraId="5CF691D9" w14:textId="77777777" w:rsidR="00784FA9" w:rsidRPr="00AD4336" w:rsidRDefault="00784FA9" w:rsidP="00AD4336">
            <w:pPr>
              <w:pStyle w:val="TableText"/>
              <w:spacing w:before="40" w:after="40"/>
              <w:rPr>
                <w:rFonts w:cs="Calibri"/>
                <w:szCs w:val="16"/>
              </w:rPr>
            </w:pPr>
            <w:r w:rsidRPr="00AD4336">
              <w:rPr>
                <w:rFonts w:cs="Calibri"/>
                <w:szCs w:val="16"/>
              </w:rPr>
              <w:t>Low producing</w:t>
            </w:r>
          </w:p>
        </w:tc>
        <w:tc>
          <w:tcPr>
            <w:tcW w:w="794" w:type="dxa"/>
            <w:tcBorders>
              <w:top w:val="nil"/>
              <w:left w:val="single" w:sz="4" w:space="0" w:color="1B556B"/>
              <w:bottom w:val="nil"/>
              <w:right w:val="nil"/>
            </w:tcBorders>
            <w:shd w:val="clear" w:color="auto" w:fill="auto"/>
          </w:tcPr>
          <w:p w14:paraId="7A460C0B" w14:textId="77777777" w:rsidR="00784FA9" w:rsidRPr="00AD4336" w:rsidRDefault="00784FA9" w:rsidP="00AD4336">
            <w:pPr>
              <w:pStyle w:val="TableText"/>
              <w:spacing w:before="40" w:after="40"/>
              <w:jc w:val="right"/>
              <w:rPr>
                <w:rFonts w:cs="Calibri"/>
                <w:szCs w:val="16"/>
              </w:rPr>
            </w:pPr>
            <w:r w:rsidRPr="00AD4336">
              <w:rPr>
                <w:rFonts w:cs="Calibri"/>
                <w:szCs w:val="16"/>
              </w:rPr>
              <w:t>428.6</w:t>
            </w:r>
          </w:p>
        </w:tc>
        <w:tc>
          <w:tcPr>
            <w:tcW w:w="794" w:type="dxa"/>
            <w:tcBorders>
              <w:top w:val="nil"/>
              <w:left w:val="nil"/>
              <w:bottom w:val="nil"/>
              <w:right w:val="nil"/>
            </w:tcBorders>
            <w:shd w:val="clear" w:color="auto" w:fill="auto"/>
            <w:vAlign w:val="center"/>
          </w:tcPr>
          <w:p w14:paraId="6C48F682"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nil"/>
              <w:right w:val="nil"/>
            </w:tcBorders>
            <w:shd w:val="clear" w:color="auto" w:fill="auto"/>
            <w:vAlign w:val="center"/>
          </w:tcPr>
          <w:p w14:paraId="4625C473"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nil"/>
              <w:right w:val="single" w:sz="4" w:space="0" w:color="1B556B"/>
            </w:tcBorders>
            <w:shd w:val="clear" w:color="auto" w:fill="auto"/>
            <w:vAlign w:val="center"/>
          </w:tcPr>
          <w:p w14:paraId="31EE46EC" w14:textId="77777777" w:rsidR="00784FA9" w:rsidRPr="00AD4336" w:rsidRDefault="00784FA9" w:rsidP="00AD4336">
            <w:pPr>
              <w:pStyle w:val="TableText"/>
              <w:spacing w:before="40" w:after="40"/>
              <w:jc w:val="right"/>
              <w:rPr>
                <w:rFonts w:cs="Calibri"/>
                <w:szCs w:val="16"/>
              </w:rPr>
            </w:pPr>
          </w:p>
        </w:tc>
        <w:tc>
          <w:tcPr>
            <w:tcW w:w="737" w:type="dxa"/>
            <w:tcBorders>
              <w:top w:val="nil"/>
              <w:left w:val="single" w:sz="4" w:space="0" w:color="1B556B"/>
              <w:bottom w:val="nil"/>
              <w:right w:val="nil"/>
            </w:tcBorders>
            <w:shd w:val="clear" w:color="auto" w:fill="auto"/>
            <w:vAlign w:val="center"/>
          </w:tcPr>
          <w:p w14:paraId="1D2388BA" w14:textId="77777777" w:rsidR="00784FA9" w:rsidRPr="00AD4336" w:rsidRDefault="00784FA9" w:rsidP="00AD4336">
            <w:pPr>
              <w:pStyle w:val="TableText"/>
              <w:spacing w:before="40" w:after="40"/>
              <w:jc w:val="right"/>
              <w:rPr>
                <w:rFonts w:cs="Calibri"/>
                <w:szCs w:val="16"/>
              </w:rPr>
            </w:pPr>
          </w:p>
        </w:tc>
        <w:tc>
          <w:tcPr>
            <w:tcW w:w="737" w:type="dxa"/>
            <w:tcBorders>
              <w:top w:val="nil"/>
              <w:left w:val="nil"/>
              <w:bottom w:val="nil"/>
              <w:right w:val="single" w:sz="4" w:space="0" w:color="1B556B"/>
            </w:tcBorders>
            <w:shd w:val="clear" w:color="auto" w:fill="auto"/>
            <w:vAlign w:val="center"/>
          </w:tcPr>
          <w:p w14:paraId="77411BDD" w14:textId="77777777" w:rsidR="00784FA9" w:rsidRPr="00AD4336" w:rsidRDefault="00784FA9" w:rsidP="00AD4336">
            <w:pPr>
              <w:pStyle w:val="TableText"/>
              <w:spacing w:before="40" w:after="40"/>
              <w:jc w:val="right"/>
              <w:rPr>
                <w:rFonts w:cs="Calibri"/>
                <w:szCs w:val="16"/>
              </w:rPr>
            </w:pPr>
          </w:p>
        </w:tc>
        <w:tc>
          <w:tcPr>
            <w:tcW w:w="907" w:type="dxa"/>
            <w:tcBorders>
              <w:top w:val="nil"/>
              <w:left w:val="single" w:sz="4" w:space="0" w:color="1B556B"/>
              <w:bottom w:val="nil"/>
              <w:right w:val="nil"/>
            </w:tcBorders>
            <w:shd w:val="clear" w:color="auto" w:fill="auto"/>
          </w:tcPr>
          <w:p w14:paraId="17D6D464" w14:textId="77777777" w:rsidR="00784FA9" w:rsidRPr="00AD4336" w:rsidRDefault="00784FA9" w:rsidP="00AD4336">
            <w:pPr>
              <w:pStyle w:val="TableText"/>
              <w:spacing w:before="40" w:after="40"/>
              <w:jc w:val="right"/>
              <w:rPr>
                <w:rFonts w:cs="Calibri"/>
                <w:szCs w:val="16"/>
              </w:rPr>
            </w:pPr>
          </w:p>
        </w:tc>
        <w:tc>
          <w:tcPr>
            <w:tcW w:w="907" w:type="dxa"/>
            <w:tcBorders>
              <w:top w:val="nil"/>
              <w:left w:val="nil"/>
              <w:bottom w:val="nil"/>
              <w:right w:val="nil"/>
            </w:tcBorders>
            <w:shd w:val="clear" w:color="auto" w:fill="D2DDE1"/>
          </w:tcPr>
          <w:p w14:paraId="279EB168" w14:textId="77777777" w:rsidR="00784FA9" w:rsidRPr="00AD4336" w:rsidRDefault="00784FA9" w:rsidP="00AD4336">
            <w:pPr>
              <w:pStyle w:val="TableText"/>
              <w:spacing w:before="40" w:after="40"/>
              <w:jc w:val="right"/>
              <w:rPr>
                <w:rFonts w:cs="Calibri"/>
                <w:szCs w:val="16"/>
              </w:rPr>
            </w:pPr>
            <w:r w:rsidRPr="00AD4336">
              <w:rPr>
                <w:rFonts w:cs="Calibri"/>
                <w:szCs w:val="16"/>
              </w:rPr>
              <w:t>7,447.3</w:t>
            </w:r>
          </w:p>
        </w:tc>
        <w:tc>
          <w:tcPr>
            <w:tcW w:w="907" w:type="dxa"/>
            <w:tcBorders>
              <w:top w:val="nil"/>
              <w:left w:val="nil"/>
              <w:bottom w:val="nil"/>
              <w:right w:val="single" w:sz="4" w:space="0" w:color="1B556B"/>
            </w:tcBorders>
            <w:shd w:val="clear" w:color="auto" w:fill="auto"/>
          </w:tcPr>
          <w:p w14:paraId="0E08BBA6" w14:textId="77777777" w:rsidR="00784FA9" w:rsidRPr="00AD4336" w:rsidRDefault="00784FA9" w:rsidP="00AD4336">
            <w:pPr>
              <w:pStyle w:val="TableText"/>
              <w:spacing w:before="40" w:after="40"/>
              <w:jc w:val="right"/>
              <w:rPr>
                <w:rFonts w:cs="Calibri"/>
                <w:szCs w:val="16"/>
              </w:rPr>
            </w:pPr>
            <w:r w:rsidRPr="00AD4336">
              <w:rPr>
                <w:rFonts w:cs="Calibri"/>
                <w:szCs w:val="16"/>
              </w:rPr>
              <w:t>35.9</w:t>
            </w:r>
          </w:p>
        </w:tc>
        <w:tc>
          <w:tcPr>
            <w:tcW w:w="794" w:type="dxa"/>
            <w:tcBorders>
              <w:top w:val="nil"/>
              <w:left w:val="single" w:sz="4" w:space="0" w:color="1B556B"/>
              <w:bottom w:val="nil"/>
              <w:right w:val="nil"/>
            </w:tcBorders>
            <w:shd w:val="clear" w:color="auto" w:fill="auto"/>
          </w:tcPr>
          <w:p w14:paraId="0013931E"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nil"/>
              <w:right w:val="single" w:sz="4" w:space="0" w:color="1B556B"/>
            </w:tcBorders>
            <w:shd w:val="clear" w:color="auto" w:fill="auto"/>
          </w:tcPr>
          <w:p w14:paraId="09FFA824" w14:textId="77777777" w:rsidR="00784FA9" w:rsidRPr="00AD4336" w:rsidRDefault="00784FA9" w:rsidP="00AD4336">
            <w:pPr>
              <w:pStyle w:val="TableText"/>
              <w:spacing w:before="40" w:after="40"/>
              <w:jc w:val="right"/>
              <w:rPr>
                <w:rFonts w:cs="Calibri"/>
                <w:szCs w:val="16"/>
              </w:rPr>
            </w:pPr>
          </w:p>
        </w:tc>
        <w:tc>
          <w:tcPr>
            <w:tcW w:w="907" w:type="dxa"/>
            <w:tcBorders>
              <w:top w:val="nil"/>
              <w:left w:val="single" w:sz="4" w:space="0" w:color="1B556B"/>
              <w:bottom w:val="nil"/>
              <w:right w:val="single" w:sz="4" w:space="0" w:color="1B556B"/>
            </w:tcBorders>
            <w:shd w:val="clear" w:color="auto" w:fill="auto"/>
          </w:tcPr>
          <w:p w14:paraId="2FE21013" w14:textId="77777777" w:rsidR="00784FA9" w:rsidRPr="00AD4336" w:rsidRDefault="00784FA9" w:rsidP="00AD4336">
            <w:pPr>
              <w:pStyle w:val="TableText"/>
              <w:spacing w:before="40" w:after="40"/>
              <w:jc w:val="right"/>
              <w:rPr>
                <w:rFonts w:cs="Calibri"/>
                <w:szCs w:val="16"/>
              </w:rPr>
            </w:pPr>
          </w:p>
        </w:tc>
        <w:tc>
          <w:tcPr>
            <w:tcW w:w="856" w:type="dxa"/>
            <w:tcBorders>
              <w:top w:val="nil"/>
              <w:left w:val="single" w:sz="4" w:space="0" w:color="1B556B"/>
              <w:bottom w:val="nil"/>
              <w:right w:val="single" w:sz="4" w:space="0" w:color="1B556B"/>
            </w:tcBorders>
            <w:shd w:val="clear" w:color="auto" w:fill="auto"/>
          </w:tcPr>
          <w:p w14:paraId="0E8F635E" w14:textId="77777777" w:rsidR="00784FA9" w:rsidRPr="00AD4336" w:rsidRDefault="00784FA9" w:rsidP="00AD4336">
            <w:pPr>
              <w:pStyle w:val="TableText"/>
              <w:spacing w:before="40" w:after="40"/>
              <w:jc w:val="right"/>
              <w:rPr>
                <w:rFonts w:cs="Calibri"/>
                <w:szCs w:val="16"/>
              </w:rPr>
            </w:pPr>
          </w:p>
        </w:tc>
        <w:tc>
          <w:tcPr>
            <w:tcW w:w="929" w:type="dxa"/>
            <w:tcBorders>
              <w:top w:val="nil"/>
              <w:left w:val="single" w:sz="4" w:space="0" w:color="1B556B"/>
              <w:bottom w:val="nil"/>
              <w:right w:val="nil"/>
            </w:tcBorders>
            <w:shd w:val="clear" w:color="auto" w:fill="auto"/>
          </w:tcPr>
          <w:p w14:paraId="2DE3D2D5"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7,911.8</w:t>
            </w:r>
          </w:p>
        </w:tc>
      </w:tr>
      <w:tr w:rsidR="00AD4336" w:rsidRPr="00D604EE" w14:paraId="47623FDC" w14:textId="77777777" w:rsidTr="00A67DE9">
        <w:tc>
          <w:tcPr>
            <w:tcW w:w="964" w:type="dxa"/>
            <w:vMerge/>
            <w:tcBorders>
              <w:top w:val="single" w:sz="4" w:space="0" w:color="1B556B"/>
              <w:left w:val="nil"/>
              <w:bottom w:val="single" w:sz="4" w:space="0" w:color="1B556B"/>
              <w:right w:val="nil"/>
            </w:tcBorders>
            <w:shd w:val="clear" w:color="auto" w:fill="auto"/>
          </w:tcPr>
          <w:p w14:paraId="07136DEF" w14:textId="77777777" w:rsidR="00784FA9" w:rsidRPr="00AD4336" w:rsidRDefault="00784FA9" w:rsidP="00AD4336">
            <w:pPr>
              <w:pStyle w:val="TableText"/>
              <w:spacing w:before="40" w:after="40"/>
              <w:rPr>
                <w:rFonts w:cs="Calibri"/>
                <w:szCs w:val="16"/>
              </w:rPr>
            </w:pPr>
          </w:p>
        </w:tc>
        <w:tc>
          <w:tcPr>
            <w:tcW w:w="1134" w:type="dxa"/>
            <w:tcBorders>
              <w:top w:val="nil"/>
              <w:left w:val="nil"/>
              <w:bottom w:val="single" w:sz="4" w:space="0" w:color="1B556B"/>
              <w:right w:val="single" w:sz="4" w:space="0" w:color="1B556B"/>
            </w:tcBorders>
            <w:shd w:val="clear" w:color="auto" w:fill="auto"/>
            <w:vAlign w:val="center"/>
          </w:tcPr>
          <w:p w14:paraId="0F6D2000" w14:textId="77777777" w:rsidR="00784FA9" w:rsidRPr="00AD4336" w:rsidRDefault="00784FA9" w:rsidP="00AD4336">
            <w:pPr>
              <w:pStyle w:val="TableText"/>
              <w:spacing w:before="40" w:after="40"/>
              <w:rPr>
                <w:rFonts w:cs="Calibri"/>
                <w:szCs w:val="16"/>
              </w:rPr>
            </w:pPr>
            <w:r w:rsidRPr="00AD4336">
              <w:rPr>
                <w:rFonts w:cs="Calibri"/>
                <w:szCs w:val="16"/>
              </w:rPr>
              <w:t>With woody biomass</w:t>
            </w:r>
          </w:p>
        </w:tc>
        <w:tc>
          <w:tcPr>
            <w:tcW w:w="794" w:type="dxa"/>
            <w:tcBorders>
              <w:top w:val="nil"/>
              <w:left w:val="single" w:sz="4" w:space="0" w:color="1B556B"/>
              <w:bottom w:val="single" w:sz="4" w:space="0" w:color="1B556B"/>
              <w:right w:val="nil"/>
            </w:tcBorders>
            <w:shd w:val="clear" w:color="auto" w:fill="auto"/>
          </w:tcPr>
          <w:p w14:paraId="68715FFD" w14:textId="77777777" w:rsidR="00784FA9" w:rsidRPr="00AD4336" w:rsidRDefault="00784FA9" w:rsidP="00AD4336">
            <w:pPr>
              <w:pStyle w:val="TableText"/>
              <w:spacing w:before="40" w:after="40"/>
              <w:jc w:val="right"/>
              <w:rPr>
                <w:rFonts w:cs="Calibri"/>
                <w:szCs w:val="16"/>
              </w:rPr>
            </w:pPr>
            <w:r w:rsidRPr="00AD4336">
              <w:rPr>
                <w:rFonts w:cs="Calibri"/>
                <w:szCs w:val="16"/>
              </w:rPr>
              <w:t>73.4</w:t>
            </w:r>
          </w:p>
        </w:tc>
        <w:tc>
          <w:tcPr>
            <w:tcW w:w="794" w:type="dxa"/>
            <w:tcBorders>
              <w:top w:val="nil"/>
              <w:left w:val="nil"/>
              <w:bottom w:val="single" w:sz="4" w:space="0" w:color="1B556B"/>
              <w:right w:val="nil"/>
            </w:tcBorders>
            <w:shd w:val="clear" w:color="auto" w:fill="auto"/>
            <w:vAlign w:val="center"/>
          </w:tcPr>
          <w:p w14:paraId="607C4B65"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nil"/>
            </w:tcBorders>
            <w:shd w:val="clear" w:color="auto" w:fill="auto"/>
            <w:vAlign w:val="center"/>
          </w:tcPr>
          <w:p w14:paraId="1B653D68"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single" w:sz="4" w:space="0" w:color="1B556B"/>
            </w:tcBorders>
            <w:shd w:val="clear" w:color="auto" w:fill="auto"/>
            <w:vAlign w:val="center"/>
          </w:tcPr>
          <w:p w14:paraId="15F17ED9" w14:textId="77777777" w:rsidR="00784FA9" w:rsidRPr="00AD4336" w:rsidRDefault="00784FA9" w:rsidP="00AD4336">
            <w:pPr>
              <w:pStyle w:val="TableText"/>
              <w:spacing w:before="40" w:after="40"/>
              <w:jc w:val="right"/>
              <w:rPr>
                <w:rFonts w:cs="Calibri"/>
                <w:szCs w:val="16"/>
              </w:rPr>
            </w:pPr>
          </w:p>
        </w:tc>
        <w:tc>
          <w:tcPr>
            <w:tcW w:w="737" w:type="dxa"/>
            <w:tcBorders>
              <w:top w:val="nil"/>
              <w:left w:val="single" w:sz="4" w:space="0" w:color="1B556B"/>
              <w:bottom w:val="single" w:sz="4" w:space="0" w:color="1B556B"/>
              <w:right w:val="nil"/>
            </w:tcBorders>
            <w:shd w:val="clear" w:color="auto" w:fill="auto"/>
            <w:vAlign w:val="center"/>
          </w:tcPr>
          <w:p w14:paraId="6C9C09EB" w14:textId="77777777" w:rsidR="00784FA9" w:rsidRPr="00AD4336" w:rsidRDefault="00784FA9" w:rsidP="00AD4336">
            <w:pPr>
              <w:pStyle w:val="TableText"/>
              <w:spacing w:before="40" w:after="40"/>
              <w:jc w:val="right"/>
              <w:rPr>
                <w:rFonts w:cs="Calibri"/>
                <w:szCs w:val="16"/>
              </w:rPr>
            </w:pPr>
          </w:p>
        </w:tc>
        <w:tc>
          <w:tcPr>
            <w:tcW w:w="737" w:type="dxa"/>
            <w:tcBorders>
              <w:top w:val="nil"/>
              <w:left w:val="nil"/>
              <w:bottom w:val="single" w:sz="4" w:space="0" w:color="1B556B"/>
              <w:right w:val="single" w:sz="4" w:space="0" w:color="1B556B"/>
            </w:tcBorders>
            <w:shd w:val="clear" w:color="auto" w:fill="auto"/>
            <w:vAlign w:val="center"/>
          </w:tcPr>
          <w:p w14:paraId="39357A54" w14:textId="77777777" w:rsidR="00784FA9" w:rsidRPr="00AD4336" w:rsidRDefault="00784FA9" w:rsidP="00AD4336">
            <w:pPr>
              <w:pStyle w:val="TableText"/>
              <w:spacing w:before="40" w:after="40"/>
              <w:jc w:val="right"/>
              <w:rPr>
                <w:rFonts w:cs="Calibri"/>
                <w:szCs w:val="16"/>
              </w:rPr>
            </w:pPr>
          </w:p>
        </w:tc>
        <w:tc>
          <w:tcPr>
            <w:tcW w:w="907" w:type="dxa"/>
            <w:tcBorders>
              <w:top w:val="nil"/>
              <w:left w:val="single" w:sz="4" w:space="0" w:color="1B556B"/>
              <w:bottom w:val="single" w:sz="4" w:space="0" w:color="1B556B"/>
              <w:right w:val="nil"/>
            </w:tcBorders>
            <w:shd w:val="clear" w:color="auto" w:fill="auto"/>
          </w:tcPr>
          <w:p w14:paraId="53A2A907" w14:textId="77777777" w:rsidR="00784FA9" w:rsidRPr="00AD4336" w:rsidRDefault="00784FA9" w:rsidP="00AD4336">
            <w:pPr>
              <w:pStyle w:val="TableText"/>
              <w:spacing w:before="40" w:after="40"/>
              <w:jc w:val="right"/>
              <w:rPr>
                <w:rFonts w:cs="Calibri"/>
                <w:szCs w:val="16"/>
              </w:rPr>
            </w:pPr>
          </w:p>
        </w:tc>
        <w:tc>
          <w:tcPr>
            <w:tcW w:w="907" w:type="dxa"/>
            <w:tcBorders>
              <w:top w:val="nil"/>
              <w:left w:val="nil"/>
              <w:bottom w:val="single" w:sz="4" w:space="0" w:color="1B556B"/>
              <w:right w:val="nil"/>
            </w:tcBorders>
            <w:shd w:val="clear" w:color="auto" w:fill="auto"/>
          </w:tcPr>
          <w:p w14:paraId="223B5A72" w14:textId="77777777" w:rsidR="00784FA9" w:rsidRPr="00AD4336" w:rsidRDefault="00784FA9" w:rsidP="00AD4336">
            <w:pPr>
              <w:pStyle w:val="TableText"/>
              <w:spacing w:before="40" w:after="40"/>
              <w:jc w:val="right"/>
              <w:rPr>
                <w:rFonts w:cs="Calibri"/>
                <w:szCs w:val="16"/>
              </w:rPr>
            </w:pPr>
            <w:r w:rsidRPr="00AD4336">
              <w:rPr>
                <w:rFonts w:cs="Calibri"/>
                <w:szCs w:val="16"/>
              </w:rPr>
              <w:t>482.5</w:t>
            </w:r>
          </w:p>
        </w:tc>
        <w:tc>
          <w:tcPr>
            <w:tcW w:w="907" w:type="dxa"/>
            <w:tcBorders>
              <w:top w:val="nil"/>
              <w:left w:val="nil"/>
              <w:bottom w:val="single" w:sz="4" w:space="0" w:color="1B556B"/>
              <w:right w:val="single" w:sz="4" w:space="0" w:color="1B556B"/>
            </w:tcBorders>
            <w:shd w:val="clear" w:color="auto" w:fill="D2DDE1"/>
          </w:tcPr>
          <w:p w14:paraId="5A098647" w14:textId="77777777" w:rsidR="00784FA9" w:rsidRPr="00AD4336" w:rsidRDefault="00784FA9" w:rsidP="00AD4336">
            <w:pPr>
              <w:pStyle w:val="TableText"/>
              <w:spacing w:before="40" w:after="40"/>
              <w:jc w:val="right"/>
              <w:rPr>
                <w:rFonts w:cs="Calibri"/>
                <w:szCs w:val="16"/>
              </w:rPr>
            </w:pPr>
            <w:r w:rsidRPr="00AD4336">
              <w:rPr>
                <w:rFonts w:cs="Calibri"/>
                <w:szCs w:val="16"/>
              </w:rPr>
              <w:t>958.2</w:t>
            </w:r>
          </w:p>
        </w:tc>
        <w:tc>
          <w:tcPr>
            <w:tcW w:w="794" w:type="dxa"/>
            <w:tcBorders>
              <w:top w:val="nil"/>
              <w:left w:val="single" w:sz="4" w:space="0" w:color="1B556B"/>
              <w:bottom w:val="single" w:sz="4" w:space="0" w:color="1B556B"/>
              <w:right w:val="nil"/>
            </w:tcBorders>
            <w:shd w:val="clear" w:color="auto" w:fill="auto"/>
          </w:tcPr>
          <w:p w14:paraId="3A713AD8"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single" w:sz="4" w:space="0" w:color="1B556B"/>
            </w:tcBorders>
            <w:shd w:val="clear" w:color="auto" w:fill="auto"/>
          </w:tcPr>
          <w:p w14:paraId="24EB3D46" w14:textId="77777777" w:rsidR="00784FA9" w:rsidRPr="00AD4336" w:rsidRDefault="00784FA9" w:rsidP="00AD4336">
            <w:pPr>
              <w:pStyle w:val="TableText"/>
              <w:spacing w:before="40" w:after="40"/>
              <w:jc w:val="right"/>
              <w:rPr>
                <w:rFonts w:cs="Calibri"/>
                <w:szCs w:val="16"/>
              </w:rPr>
            </w:pPr>
          </w:p>
        </w:tc>
        <w:tc>
          <w:tcPr>
            <w:tcW w:w="907" w:type="dxa"/>
            <w:tcBorders>
              <w:top w:val="nil"/>
              <w:left w:val="single" w:sz="4" w:space="0" w:color="1B556B"/>
              <w:bottom w:val="single" w:sz="4" w:space="0" w:color="1B556B"/>
              <w:right w:val="single" w:sz="4" w:space="0" w:color="1B556B"/>
            </w:tcBorders>
            <w:shd w:val="clear" w:color="auto" w:fill="auto"/>
          </w:tcPr>
          <w:p w14:paraId="6F9A60DF" w14:textId="77777777" w:rsidR="00784FA9" w:rsidRPr="00AD4336" w:rsidRDefault="00784FA9" w:rsidP="00AD4336">
            <w:pPr>
              <w:pStyle w:val="TableText"/>
              <w:spacing w:before="40" w:after="40"/>
              <w:jc w:val="right"/>
              <w:rPr>
                <w:rFonts w:cs="Calibri"/>
                <w:szCs w:val="16"/>
              </w:rPr>
            </w:pPr>
          </w:p>
        </w:tc>
        <w:tc>
          <w:tcPr>
            <w:tcW w:w="856" w:type="dxa"/>
            <w:tcBorders>
              <w:top w:val="nil"/>
              <w:left w:val="single" w:sz="4" w:space="0" w:color="1B556B"/>
              <w:bottom w:val="single" w:sz="4" w:space="0" w:color="1B556B"/>
              <w:right w:val="single" w:sz="4" w:space="0" w:color="1B556B"/>
            </w:tcBorders>
            <w:shd w:val="clear" w:color="auto" w:fill="auto"/>
          </w:tcPr>
          <w:p w14:paraId="10833EEE" w14:textId="77777777" w:rsidR="00784FA9" w:rsidRPr="00AD4336" w:rsidRDefault="00784FA9" w:rsidP="00AD4336">
            <w:pPr>
              <w:pStyle w:val="TableText"/>
              <w:spacing w:before="40" w:after="40"/>
              <w:jc w:val="right"/>
              <w:rPr>
                <w:rFonts w:cs="Calibri"/>
                <w:szCs w:val="16"/>
              </w:rPr>
            </w:pPr>
          </w:p>
        </w:tc>
        <w:tc>
          <w:tcPr>
            <w:tcW w:w="929" w:type="dxa"/>
            <w:tcBorders>
              <w:top w:val="nil"/>
              <w:left w:val="single" w:sz="4" w:space="0" w:color="1B556B"/>
              <w:bottom w:val="single" w:sz="4" w:space="0" w:color="1B556B"/>
              <w:right w:val="nil"/>
            </w:tcBorders>
            <w:shd w:val="clear" w:color="auto" w:fill="auto"/>
          </w:tcPr>
          <w:p w14:paraId="1611E3F1"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1,514.1</w:t>
            </w:r>
          </w:p>
        </w:tc>
      </w:tr>
      <w:tr w:rsidR="00AD4336" w:rsidRPr="00D604EE" w14:paraId="1A89FABA" w14:textId="77777777" w:rsidTr="00A67DE9">
        <w:tc>
          <w:tcPr>
            <w:tcW w:w="964" w:type="dxa"/>
            <w:vMerge w:val="restart"/>
            <w:tcBorders>
              <w:top w:val="single" w:sz="4" w:space="0" w:color="1B556B"/>
              <w:left w:val="nil"/>
              <w:bottom w:val="single" w:sz="4" w:space="0" w:color="1B556B"/>
              <w:right w:val="nil"/>
            </w:tcBorders>
            <w:shd w:val="clear" w:color="auto" w:fill="auto"/>
          </w:tcPr>
          <w:p w14:paraId="1F38B450" w14:textId="77777777" w:rsidR="00784FA9" w:rsidRPr="00AD4336" w:rsidRDefault="00784FA9" w:rsidP="00AD4336">
            <w:pPr>
              <w:pStyle w:val="TableTextBold"/>
              <w:spacing w:before="40" w:after="40"/>
              <w:rPr>
                <w:rFonts w:cs="Calibri"/>
                <w:noProof w:val="0"/>
                <w:szCs w:val="16"/>
              </w:rPr>
            </w:pPr>
            <w:r w:rsidRPr="00AD4336">
              <w:rPr>
                <w:rFonts w:cs="Calibri"/>
                <w:noProof w:val="0"/>
                <w:szCs w:val="16"/>
              </w:rPr>
              <w:t>Wetland</w:t>
            </w:r>
          </w:p>
        </w:tc>
        <w:tc>
          <w:tcPr>
            <w:tcW w:w="1134" w:type="dxa"/>
            <w:tcBorders>
              <w:top w:val="single" w:sz="4" w:space="0" w:color="1B556B"/>
              <w:left w:val="nil"/>
              <w:bottom w:val="nil"/>
              <w:right w:val="single" w:sz="4" w:space="0" w:color="1B556B"/>
            </w:tcBorders>
            <w:shd w:val="clear" w:color="auto" w:fill="auto"/>
            <w:vAlign w:val="center"/>
          </w:tcPr>
          <w:p w14:paraId="5D6A2F49" w14:textId="77777777" w:rsidR="00784FA9" w:rsidRPr="00AD4336" w:rsidRDefault="00784FA9" w:rsidP="00AD4336">
            <w:pPr>
              <w:pStyle w:val="TableText"/>
              <w:spacing w:before="40" w:after="40"/>
              <w:rPr>
                <w:rFonts w:cs="Calibri"/>
                <w:szCs w:val="16"/>
              </w:rPr>
            </w:pPr>
            <w:r w:rsidRPr="00AD4336">
              <w:rPr>
                <w:rFonts w:cs="Calibri"/>
                <w:szCs w:val="16"/>
              </w:rPr>
              <w:t>Open water</w:t>
            </w:r>
          </w:p>
        </w:tc>
        <w:tc>
          <w:tcPr>
            <w:tcW w:w="794" w:type="dxa"/>
            <w:tcBorders>
              <w:top w:val="single" w:sz="4" w:space="0" w:color="1B556B"/>
              <w:left w:val="single" w:sz="4" w:space="0" w:color="1B556B"/>
              <w:bottom w:val="nil"/>
              <w:right w:val="nil"/>
            </w:tcBorders>
            <w:shd w:val="clear" w:color="auto" w:fill="auto"/>
            <w:vAlign w:val="center"/>
          </w:tcPr>
          <w:p w14:paraId="4DA4F5A3" w14:textId="77777777" w:rsidR="00784FA9" w:rsidRPr="00AD4336" w:rsidRDefault="00784FA9" w:rsidP="00AD4336">
            <w:pPr>
              <w:pStyle w:val="TableText"/>
              <w:spacing w:before="40" w:after="40"/>
              <w:jc w:val="right"/>
              <w:rPr>
                <w:rFonts w:cs="Calibri"/>
                <w:szCs w:val="16"/>
              </w:rPr>
            </w:pPr>
            <w:r w:rsidRPr="00AD4336">
              <w:rPr>
                <w:rFonts w:cs="Calibri"/>
                <w:szCs w:val="16"/>
              </w:rPr>
              <w:t>14.4</w:t>
            </w:r>
          </w:p>
        </w:tc>
        <w:tc>
          <w:tcPr>
            <w:tcW w:w="794" w:type="dxa"/>
            <w:tcBorders>
              <w:top w:val="single" w:sz="4" w:space="0" w:color="1B556B"/>
              <w:left w:val="nil"/>
              <w:bottom w:val="nil"/>
              <w:right w:val="nil"/>
            </w:tcBorders>
            <w:shd w:val="clear" w:color="auto" w:fill="auto"/>
            <w:vAlign w:val="center"/>
          </w:tcPr>
          <w:p w14:paraId="4C703A31"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nil"/>
              <w:right w:val="nil"/>
            </w:tcBorders>
            <w:shd w:val="clear" w:color="auto" w:fill="auto"/>
            <w:vAlign w:val="center"/>
          </w:tcPr>
          <w:p w14:paraId="08754AB0"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nil"/>
              <w:right w:val="single" w:sz="4" w:space="0" w:color="1B556B"/>
            </w:tcBorders>
            <w:shd w:val="clear" w:color="auto" w:fill="auto"/>
            <w:vAlign w:val="center"/>
          </w:tcPr>
          <w:p w14:paraId="16BEF019" w14:textId="77777777" w:rsidR="00784FA9" w:rsidRPr="00AD4336" w:rsidRDefault="00784FA9" w:rsidP="00AD4336">
            <w:pPr>
              <w:pStyle w:val="TableText"/>
              <w:spacing w:before="40" w:after="40"/>
              <w:jc w:val="right"/>
              <w:rPr>
                <w:rFonts w:cs="Calibri"/>
                <w:szCs w:val="16"/>
              </w:rPr>
            </w:pPr>
          </w:p>
        </w:tc>
        <w:tc>
          <w:tcPr>
            <w:tcW w:w="737" w:type="dxa"/>
            <w:tcBorders>
              <w:top w:val="single" w:sz="4" w:space="0" w:color="1B556B"/>
              <w:left w:val="single" w:sz="4" w:space="0" w:color="1B556B"/>
              <w:bottom w:val="nil"/>
              <w:right w:val="nil"/>
            </w:tcBorders>
            <w:shd w:val="clear" w:color="auto" w:fill="auto"/>
            <w:vAlign w:val="center"/>
          </w:tcPr>
          <w:p w14:paraId="360D9E5D" w14:textId="77777777" w:rsidR="00784FA9" w:rsidRPr="00AD4336" w:rsidRDefault="00784FA9" w:rsidP="00AD4336">
            <w:pPr>
              <w:pStyle w:val="TableText"/>
              <w:spacing w:before="40" w:after="40"/>
              <w:jc w:val="right"/>
              <w:rPr>
                <w:rFonts w:cs="Calibri"/>
                <w:szCs w:val="16"/>
              </w:rPr>
            </w:pPr>
          </w:p>
        </w:tc>
        <w:tc>
          <w:tcPr>
            <w:tcW w:w="737" w:type="dxa"/>
            <w:tcBorders>
              <w:top w:val="single" w:sz="4" w:space="0" w:color="1B556B"/>
              <w:left w:val="nil"/>
              <w:bottom w:val="nil"/>
              <w:right w:val="single" w:sz="4" w:space="0" w:color="1B556B"/>
            </w:tcBorders>
            <w:shd w:val="clear" w:color="auto" w:fill="auto"/>
            <w:vAlign w:val="center"/>
          </w:tcPr>
          <w:p w14:paraId="438120DD"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1B556B"/>
              <w:left w:val="single" w:sz="4" w:space="0" w:color="1B556B"/>
              <w:bottom w:val="nil"/>
              <w:right w:val="nil"/>
            </w:tcBorders>
            <w:shd w:val="clear" w:color="auto" w:fill="auto"/>
          </w:tcPr>
          <w:p w14:paraId="4BD69846"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1B556B"/>
              <w:left w:val="nil"/>
              <w:bottom w:val="nil"/>
              <w:right w:val="nil"/>
            </w:tcBorders>
            <w:shd w:val="clear" w:color="auto" w:fill="auto"/>
          </w:tcPr>
          <w:p w14:paraId="029C950B"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1B556B"/>
              <w:left w:val="nil"/>
              <w:bottom w:val="nil"/>
              <w:right w:val="single" w:sz="4" w:space="0" w:color="1B556B"/>
            </w:tcBorders>
            <w:shd w:val="clear" w:color="auto" w:fill="auto"/>
          </w:tcPr>
          <w:p w14:paraId="4C0E71C8"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single" w:sz="4" w:space="0" w:color="1B556B"/>
              <w:bottom w:val="nil"/>
              <w:right w:val="nil"/>
            </w:tcBorders>
            <w:shd w:val="clear" w:color="auto" w:fill="D2DDE1"/>
          </w:tcPr>
          <w:p w14:paraId="612FD4A2" w14:textId="77777777" w:rsidR="00784FA9" w:rsidRPr="00AD4336" w:rsidRDefault="00784FA9" w:rsidP="00AD4336">
            <w:pPr>
              <w:pStyle w:val="TableText"/>
              <w:spacing w:before="40" w:after="40"/>
              <w:jc w:val="right"/>
              <w:rPr>
                <w:rFonts w:cs="Calibri"/>
                <w:szCs w:val="16"/>
              </w:rPr>
            </w:pPr>
            <w:r w:rsidRPr="00AD4336">
              <w:rPr>
                <w:rFonts w:cs="Calibri"/>
                <w:szCs w:val="16"/>
              </w:rPr>
              <w:t>513.0</w:t>
            </w:r>
          </w:p>
        </w:tc>
        <w:tc>
          <w:tcPr>
            <w:tcW w:w="794" w:type="dxa"/>
            <w:tcBorders>
              <w:top w:val="single" w:sz="4" w:space="0" w:color="1B556B"/>
              <w:left w:val="nil"/>
              <w:bottom w:val="nil"/>
              <w:right w:val="single" w:sz="4" w:space="0" w:color="1B556B"/>
            </w:tcBorders>
            <w:shd w:val="clear" w:color="auto" w:fill="auto"/>
          </w:tcPr>
          <w:p w14:paraId="02FD2691"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1B556B"/>
              <w:left w:val="single" w:sz="4" w:space="0" w:color="1B556B"/>
              <w:bottom w:val="nil"/>
              <w:right w:val="single" w:sz="4" w:space="0" w:color="1B556B"/>
            </w:tcBorders>
            <w:shd w:val="clear" w:color="auto" w:fill="auto"/>
          </w:tcPr>
          <w:p w14:paraId="44BD48BD" w14:textId="77777777" w:rsidR="00784FA9" w:rsidRPr="00AD4336" w:rsidRDefault="00784FA9" w:rsidP="00AD4336">
            <w:pPr>
              <w:pStyle w:val="TableText"/>
              <w:spacing w:before="40" w:after="40"/>
              <w:jc w:val="right"/>
              <w:rPr>
                <w:rFonts w:cs="Calibri"/>
                <w:szCs w:val="16"/>
              </w:rPr>
            </w:pPr>
          </w:p>
        </w:tc>
        <w:tc>
          <w:tcPr>
            <w:tcW w:w="856" w:type="dxa"/>
            <w:tcBorders>
              <w:top w:val="single" w:sz="4" w:space="0" w:color="1B556B"/>
              <w:left w:val="single" w:sz="4" w:space="0" w:color="1B556B"/>
              <w:bottom w:val="nil"/>
              <w:right w:val="single" w:sz="4" w:space="0" w:color="1B556B"/>
            </w:tcBorders>
            <w:shd w:val="clear" w:color="auto" w:fill="auto"/>
          </w:tcPr>
          <w:p w14:paraId="2C9C601E" w14:textId="77777777" w:rsidR="00784FA9" w:rsidRPr="00AD4336" w:rsidRDefault="00784FA9" w:rsidP="00AD4336">
            <w:pPr>
              <w:pStyle w:val="TableText"/>
              <w:spacing w:before="40" w:after="40"/>
              <w:jc w:val="right"/>
              <w:rPr>
                <w:rFonts w:cs="Calibri"/>
                <w:szCs w:val="16"/>
              </w:rPr>
            </w:pPr>
          </w:p>
        </w:tc>
        <w:tc>
          <w:tcPr>
            <w:tcW w:w="929" w:type="dxa"/>
            <w:tcBorders>
              <w:top w:val="single" w:sz="4" w:space="0" w:color="1B556B"/>
              <w:left w:val="single" w:sz="4" w:space="0" w:color="1B556B"/>
              <w:bottom w:val="nil"/>
              <w:right w:val="nil"/>
            </w:tcBorders>
            <w:shd w:val="clear" w:color="auto" w:fill="auto"/>
          </w:tcPr>
          <w:p w14:paraId="06202722"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527.4</w:t>
            </w:r>
          </w:p>
        </w:tc>
      </w:tr>
      <w:tr w:rsidR="00AD4336" w:rsidRPr="00D604EE" w14:paraId="7F126F1F" w14:textId="77777777" w:rsidTr="00A67DE9">
        <w:tc>
          <w:tcPr>
            <w:tcW w:w="964" w:type="dxa"/>
            <w:vMerge/>
            <w:tcBorders>
              <w:top w:val="single" w:sz="4" w:space="0" w:color="1B556B"/>
              <w:left w:val="nil"/>
              <w:bottom w:val="single" w:sz="4" w:space="0" w:color="1B556B"/>
              <w:right w:val="nil"/>
            </w:tcBorders>
            <w:shd w:val="clear" w:color="auto" w:fill="auto"/>
          </w:tcPr>
          <w:p w14:paraId="3A646DF7" w14:textId="77777777" w:rsidR="00784FA9" w:rsidRPr="00AD4336" w:rsidRDefault="00784FA9" w:rsidP="00AD4336">
            <w:pPr>
              <w:pStyle w:val="TableText"/>
              <w:spacing w:before="40" w:after="40"/>
              <w:rPr>
                <w:rFonts w:cs="Calibri"/>
                <w:szCs w:val="16"/>
              </w:rPr>
            </w:pPr>
          </w:p>
        </w:tc>
        <w:tc>
          <w:tcPr>
            <w:tcW w:w="1134" w:type="dxa"/>
            <w:tcBorders>
              <w:top w:val="nil"/>
              <w:left w:val="nil"/>
              <w:bottom w:val="single" w:sz="4" w:space="0" w:color="1B556B"/>
              <w:right w:val="single" w:sz="4" w:space="0" w:color="1B556B"/>
            </w:tcBorders>
            <w:shd w:val="clear" w:color="auto" w:fill="auto"/>
            <w:vAlign w:val="center"/>
          </w:tcPr>
          <w:p w14:paraId="39DB5FA4" w14:textId="77777777" w:rsidR="00784FA9" w:rsidRPr="00AD4336" w:rsidRDefault="00784FA9" w:rsidP="00AD4336">
            <w:pPr>
              <w:pStyle w:val="TableText"/>
              <w:spacing w:before="40" w:after="40"/>
              <w:rPr>
                <w:rFonts w:cs="Calibri"/>
                <w:szCs w:val="16"/>
              </w:rPr>
            </w:pPr>
            <w:r w:rsidRPr="00AD4336">
              <w:rPr>
                <w:rFonts w:cs="Calibri"/>
                <w:szCs w:val="16"/>
              </w:rPr>
              <w:t>Vegetated</w:t>
            </w:r>
          </w:p>
        </w:tc>
        <w:tc>
          <w:tcPr>
            <w:tcW w:w="794" w:type="dxa"/>
            <w:tcBorders>
              <w:top w:val="nil"/>
              <w:left w:val="single" w:sz="4" w:space="0" w:color="1B556B"/>
              <w:bottom w:val="single" w:sz="4" w:space="0" w:color="1B556B"/>
              <w:right w:val="nil"/>
            </w:tcBorders>
            <w:shd w:val="clear" w:color="auto" w:fill="auto"/>
            <w:vAlign w:val="center"/>
          </w:tcPr>
          <w:p w14:paraId="2FF0F849"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nil"/>
            </w:tcBorders>
            <w:shd w:val="clear" w:color="auto" w:fill="auto"/>
            <w:vAlign w:val="center"/>
          </w:tcPr>
          <w:p w14:paraId="4A71DCF7"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nil"/>
            </w:tcBorders>
            <w:shd w:val="clear" w:color="auto" w:fill="auto"/>
            <w:vAlign w:val="center"/>
          </w:tcPr>
          <w:p w14:paraId="0D36BE69"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single" w:sz="4" w:space="0" w:color="1B556B"/>
            </w:tcBorders>
            <w:shd w:val="clear" w:color="auto" w:fill="auto"/>
            <w:vAlign w:val="center"/>
          </w:tcPr>
          <w:p w14:paraId="08336AFC" w14:textId="77777777" w:rsidR="00784FA9" w:rsidRPr="00AD4336" w:rsidRDefault="00784FA9" w:rsidP="00AD4336">
            <w:pPr>
              <w:pStyle w:val="TableText"/>
              <w:spacing w:before="40" w:after="40"/>
              <w:jc w:val="right"/>
              <w:rPr>
                <w:rFonts w:cs="Calibri"/>
                <w:szCs w:val="16"/>
              </w:rPr>
            </w:pPr>
          </w:p>
        </w:tc>
        <w:tc>
          <w:tcPr>
            <w:tcW w:w="737" w:type="dxa"/>
            <w:tcBorders>
              <w:top w:val="nil"/>
              <w:left w:val="single" w:sz="4" w:space="0" w:color="1B556B"/>
              <w:bottom w:val="single" w:sz="4" w:space="0" w:color="1B556B"/>
              <w:right w:val="nil"/>
            </w:tcBorders>
            <w:shd w:val="clear" w:color="auto" w:fill="auto"/>
            <w:vAlign w:val="center"/>
          </w:tcPr>
          <w:p w14:paraId="379BF8CC" w14:textId="77777777" w:rsidR="00784FA9" w:rsidRPr="00AD4336" w:rsidRDefault="00784FA9" w:rsidP="00AD4336">
            <w:pPr>
              <w:pStyle w:val="TableText"/>
              <w:spacing w:before="40" w:after="40"/>
              <w:jc w:val="right"/>
              <w:rPr>
                <w:rFonts w:cs="Calibri"/>
                <w:szCs w:val="16"/>
              </w:rPr>
            </w:pPr>
          </w:p>
        </w:tc>
        <w:tc>
          <w:tcPr>
            <w:tcW w:w="737" w:type="dxa"/>
            <w:tcBorders>
              <w:top w:val="nil"/>
              <w:left w:val="nil"/>
              <w:bottom w:val="single" w:sz="4" w:space="0" w:color="1B556B"/>
              <w:right w:val="single" w:sz="4" w:space="0" w:color="1B556B"/>
            </w:tcBorders>
            <w:shd w:val="clear" w:color="auto" w:fill="auto"/>
            <w:vAlign w:val="center"/>
          </w:tcPr>
          <w:p w14:paraId="75A48D3D" w14:textId="77777777" w:rsidR="00784FA9" w:rsidRPr="00AD4336" w:rsidRDefault="00784FA9" w:rsidP="00AD4336">
            <w:pPr>
              <w:pStyle w:val="TableText"/>
              <w:spacing w:before="40" w:after="40"/>
              <w:jc w:val="right"/>
              <w:rPr>
                <w:rFonts w:cs="Calibri"/>
                <w:szCs w:val="16"/>
              </w:rPr>
            </w:pPr>
          </w:p>
        </w:tc>
        <w:tc>
          <w:tcPr>
            <w:tcW w:w="907" w:type="dxa"/>
            <w:tcBorders>
              <w:top w:val="nil"/>
              <w:left w:val="single" w:sz="4" w:space="0" w:color="1B556B"/>
              <w:bottom w:val="single" w:sz="4" w:space="0" w:color="1B556B"/>
              <w:right w:val="nil"/>
            </w:tcBorders>
            <w:shd w:val="clear" w:color="auto" w:fill="auto"/>
          </w:tcPr>
          <w:p w14:paraId="44CB42EA" w14:textId="77777777" w:rsidR="00784FA9" w:rsidRPr="00AD4336" w:rsidRDefault="00784FA9" w:rsidP="00AD4336">
            <w:pPr>
              <w:pStyle w:val="TableText"/>
              <w:spacing w:before="40" w:after="40"/>
              <w:jc w:val="right"/>
              <w:rPr>
                <w:rFonts w:cs="Calibri"/>
                <w:szCs w:val="16"/>
              </w:rPr>
            </w:pPr>
          </w:p>
        </w:tc>
        <w:tc>
          <w:tcPr>
            <w:tcW w:w="907" w:type="dxa"/>
            <w:tcBorders>
              <w:top w:val="nil"/>
              <w:left w:val="nil"/>
              <w:bottom w:val="single" w:sz="4" w:space="0" w:color="1B556B"/>
              <w:right w:val="nil"/>
            </w:tcBorders>
            <w:shd w:val="clear" w:color="auto" w:fill="auto"/>
          </w:tcPr>
          <w:p w14:paraId="44D2D842" w14:textId="77777777" w:rsidR="00784FA9" w:rsidRPr="00AD4336" w:rsidRDefault="00784FA9" w:rsidP="00AD4336">
            <w:pPr>
              <w:pStyle w:val="TableText"/>
              <w:spacing w:before="40" w:after="40"/>
              <w:jc w:val="right"/>
              <w:rPr>
                <w:rFonts w:cs="Calibri"/>
                <w:szCs w:val="16"/>
              </w:rPr>
            </w:pPr>
          </w:p>
        </w:tc>
        <w:tc>
          <w:tcPr>
            <w:tcW w:w="907" w:type="dxa"/>
            <w:tcBorders>
              <w:top w:val="nil"/>
              <w:left w:val="nil"/>
              <w:bottom w:val="single" w:sz="4" w:space="0" w:color="1B556B"/>
              <w:right w:val="single" w:sz="4" w:space="0" w:color="1B556B"/>
            </w:tcBorders>
            <w:shd w:val="clear" w:color="auto" w:fill="auto"/>
          </w:tcPr>
          <w:p w14:paraId="67BF403B" w14:textId="77777777" w:rsidR="00784FA9" w:rsidRPr="00AD4336" w:rsidRDefault="00784FA9" w:rsidP="00AD4336">
            <w:pPr>
              <w:pStyle w:val="TableText"/>
              <w:spacing w:before="40" w:after="40"/>
              <w:jc w:val="right"/>
              <w:rPr>
                <w:rFonts w:cs="Calibri"/>
                <w:szCs w:val="16"/>
              </w:rPr>
            </w:pPr>
          </w:p>
        </w:tc>
        <w:tc>
          <w:tcPr>
            <w:tcW w:w="794" w:type="dxa"/>
            <w:tcBorders>
              <w:top w:val="nil"/>
              <w:left w:val="single" w:sz="4" w:space="0" w:color="1B556B"/>
              <w:bottom w:val="single" w:sz="4" w:space="0" w:color="1B556B"/>
              <w:right w:val="nil"/>
            </w:tcBorders>
            <w:shd w:val="clear" w:color="auto" w:fill="auto"/>
          </w:tcPr>
          <w:p w14:paraId="2F0FF29F" w14:textId="77777777" w:rsidR="00784FA9" w:rsidRPr="00AD4336" w:rsidRDefault="00784FA9" w:rsidP="00AD4336">
            <w:pPr>
              <w:pStyle w:val="TableText"/>
              <w:spacing w:before="40" w:after="40"/>
              <w:jc w:val="right"/>
              <w:rPr>
                <w:rFonts w:cs="Calibri"/>
                <w:szCs w:val="16"/>
              </w:rPr>
            </w:pPr>
          </w:p>
        </w:tc>
        <w:tc>
          <w:tcPr>
            <w:tcW w:w="794" w:type="dxa"/>
            <w:tcBorders>
              <w:top w:val="nil"/>
              <w:left w:val="nil"/>
              <w:bottom w:val="single" w:sz="4" w:space="0" w:color="1B556B"/>
              <w:right w:val="single" w:sz="4" w:space="0" w:color="1B556B"/>
            </w:tcBorders>
            <w:shd w:val="clear" w:color="auto" w:fill="D2DDE1"/>
          </w:tcPr>
          <w:p w14:paraId="11DB99C7" w14:textId="77777777" w:rsidR="00784FA9" w:rsidRPr="00AD4336" w:rsidRDefault="00784FA9" w:rsidP="00AD4336">
            <w:pPr>
              <w:pStyle w:val="TableText"/>
              <w:spacing w:before="40" w:after="40"/>
              <w:jc w:val="right"/>
              <w:rPr>
                <w:rFonts w:cs="Calibri"/>
                <w:szCs w:val="16"/>
              </w:rPr>
            </w:pPr>
            <w:r w:rsidRPr="00AD4336">
              <w:rPr>
                <w:rFonts w:cs="Calibri"/>
                <w:szCs w:val="16"/>
              </w:rPr>
              <w:t>234.6</w:t>
            </w:r>
          </w:p>
        </w:tc>
        <w:tc>
          <w:tcPr>
            <w:tcW w:w="907" w:type="dxa"/>
            <w:tcBorders>
              <w:top w:val="nil"/>
              <w:left w:val="single" w:sz="4" w:space="0" w:color="1B556B"/>
              <w:bottom w:val="single" w:sz="4" w:space="0" w:color="1B556B"/>
              <w:right w:val="single" w:sz="4" w:space="0" w:color="1B556B"/>
            </w:tcBorders>
            <w:shd w:val="clear" w:color="auto" w:fill="auto"/>
          </w:tcPr>
          <w:p w14:paraId="30A71CDE" w14:textId="77777777" w:rsidR="00784FA9" w:rsidRPr="00AD4336" w:rsidRDefault="00784FA9" w:rsidP="00AD4336">
            <w:pPr>
              <w:pStyle w:val="TableText"/>
              <w:spacing w:before="40" w:after="40"/>
              <w:jc w:val="right"/>
              <w:rPr>
                <w:rFonts w:cs="Calibri"/>
                <w:szCs w:val="16"/>
              </w:rPr>
            </w:pPr>
          </w:p>
        </w:tc>
        <w:tc>
          <w:tcPr>
            <w:tcW w:w="856" w:type="dxa"/>
            <w:tcBorders>
              <w:top w:val="nil"/>
              <w:left w:val="single" w:sz="4" w:space="0" w:color="1B556B"/>
              <w:bottom w:val="single" w:sz="4" w:space="0" w:color="1B556B"/>
              <w:right w:val="single" w:sz="4" w:space="0" w:color="1B556B"/>
            </w:tcBorders>
            <w:shd w:val="clear" w:color="auto" w:fill="auto"/>
          </w:tcPr>
          <w:p w14:paraId="160B459F" w14:textId="77777777" w:rsidR="00784FA9" w:rsidRPr="00AD4336" w:rsidRDefault="00784FA9" w:rsidP="00AD4336">
            <w:pPr>
              <w:pStyle w:val="TableText"/>
              <w:spacing w:before="40" w:after="40"/>
              <w:jc w:val="right"/>
              <w:rPr>
                <w:rFonts w:cs="Calibri"/>
                <w:szCs w:val="16"/>
              </w:rPr>
            </w:pPr>
          </w:p>
        </w:tc>
        <w:tc>
          <w:tcPr>
            <w:tcW w:w="929" w:type="dxa"/>
            <w:tcBorders>
              <w:top w:val="nil"/>
              <w:left w:val="single" w:sz="4" w:space="0" w:color="1B556B"/>
              <w:bottom w:val="single" w:sz="4" w:space="0" w:color="1B556B"/>
              <w:right w:val="nil"/>
            </w:tcBorders>
            <w:shd w:val="clear" w:color="auto" w:fill="auto"/>
          </w:tcPr>
          <w:p w14:paraId="497A977D"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234.6</w:t>
            </w:r>
          </w:p>
        </w:tc>
      </w:tr>
      <w:tr w:rsidR="00AD4336" w:rsidRPr="00D604EE" w14:paraId="4ABA7CE8" w14:textId="77777777" w:rsidTr="00A67DE9">
        <w:tc>
          <w:tcPr>
            <w:tcW w:w="964" w:type="dxa"/>
            <w:tcBorders>
              <w:top w:val="single" w:sz="4" w:space="0" w:color="1B556B"/>
              <w:left w:val="nil"/>
              <w:bottom w:val="single" w:sz="4" w:space="0" w:color="1B556B"/>
              <w:right w:val="nil"/>
            </w:tcBorders>
            <w:shd w:val="clear" w:color="auto" w:fill="auto"/>
            <w:vAlign w:val="center"/>
          </w:tcPr>
          <w:p w14:paraId="013DFADE" w14:textId="77777777" w:rsidR="00784FA9" w:rsidRPr="00AD4336" w:rsidRDefault="00784FA9" w:rsidP="00AD4336">
            <w:pPr>
              <w:pStyle w:val="TableTextBold"/>
              <w:spacing w:before="40" w:after="40"/>
              <w:rPr>
                <w:rFonts w:cs="Calibri"/>
                <w:noProof w:val="0"/>
                <w:szCs w:val="16"/>
              </w:rPr>
            </w:pPr>
            <w:r w:rsidRPr="00AD4336">
              <w:rPr>
                <w:rFonts w:cs="Calibri"/>
                <w:noProof w:val="0"/>
                <w:szCs w:val="16"/>
              </w:rPr>
              <w:t>Settlements</w:t>
            </w:r>
          </w:p>
        </w:tc>
        <w:tc>
          <w:tcPr>
            <w:tcW w:w="1134" w:type="dxa"/>
            <w:tcBorders>
              <w:top w:val="single" w:sz="4" w:space="0" w:color="1B556B"/>
              <w:left w:val="nil"/>
              <w:bottom w:val="single" w:sz="4" w:space="0" w:color="1B556B"/>
              <w:right w:val="single" w:sz="4" w:space="0" w:color="1B556B"/>
            </w:tcBorders>
            <w:shd w:val="clear" w:color="auto" w:fill="auto"/>
            <w:vAlign w:val="center"/>
          </w:tcPr>
          <w:p w14:paraId="41CDBAD7" w14:textId="77777777" w:rsidR="00784FA9" w:rsidRPr="00AD4336" w:rsidRDefault="00784FA9" w:rsidP="00AD4336">
            <w:pPr>
              <w:pStyle w:val="TableText"/>
              <w:spacing w:before="40" w:after="40"/>
              <w:rPr>
                <w:rFonts w:cs="Calibri"/>
                <w:szCs w:val="16"/>
              </w:rPr>
            </w:pPr>
            <w:r w:rsidRPr="00AD4336">
              <w:rPr>
                <w:rFonts w:cs="Calibri"/>
                <w:szCs w:val="16"/>
              </w:rPr>
              <w:t>Settlements</w:t>
            </w:r>
          </w:p>
        </w:tc>
        <w:tc>
          <w:tcPr>
            <w:tcW w:w="794" w:type="dxa"/>
            <w:tcBorders>
              <w:top w:val="single" w:sz="4" w:space="0" w:color="1B556B"/>
              <w:left w:val="single" w:sz="4" w:space="0" w:color="1B556B"/>
              <w:bottom w:val="single" w:sz="4" w:space="0" w:color="1B556B"/>
              <w:right w:val="nil"/>
            </w:tcBorders>
            <w:shd w:val="clear" w:color="auto" w:fill="auto"/>
            <w:vAlign w:val="center"/>
          </w:tcPr>
          <w:p w14:paraId="0C8599AF" w14:textId="77777777" w:rsidR="00784FA9" w:rsidRPr="00AD4336" w:rsidRDefault="00784FA9" w:rsidP="00AD4336">
            <w:pPr>
              <w:pStyle w:val="TableText"/>
              <w:spacing w:before="40" w:after="40"/>
              <w:jc w:val="right"/>
              <w:rPr>
                <w:rFonts w:cs="Calibri"/>
                <w:szCs w:val="16"/>
              </w:rPr>
            </w:pPr>
            <w:r w:rsidRPr="00AD4336">
              <w:rPr>
                <w:rFonts w:cs="Calibri"/>
                <w:szCs w:val="16"/>
              </w:rPr>
              <w:t>5.3</w:t>
            </w:r>
          </w:p>
        </w:tc>
        <w:tc>
          <w:tcPr>
            <w:tcW w:w="794" w:type="dxa"/>
            <w:tcBorders>
              <w:top w:val="single" w:sz="4" w:space="0" w:color="1B556B"/>
              <w:left w:val="nil"/>
              <w:bottom w:val="single" w:sz="4" w:space="0" w:color="1B556B"/>
              <w:right w:val="nil"/>
            </w:tcBorders>
            <w:shd w:val="clear" w:color="auto" w:fill="auto"/>
            <w:vAlign w:val="center"/>
          </w:tcPr>
          <w:p w14:paraId="7C6589C4"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single" w:sz="4" w:space="0" w:color="1B556B"/>
              <w:right w:val="nil"/>
            </w:tcBorders>
            <w:shd w:val="clear" w:color="auto" w:fill="auto"/>
            <w:vAlign w:val="center"/>
          </w:tcPr>
          <w:p w14:paraId="5E631113"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single" w:sz="4" w:space="0" w:color="1B556B"/>
              <w:right w:val="single" w:sz="4" w:space="0" w:color="1B556B"/>
            </w:tcBorders>
            <w:shd w:val="clear" w:color="auto" w:fill="auto"/>
            <w:vAlign w:val="center"/>
          </w:tcPr>
          <w:p w14:paraId="1992DCE6" w14:textId="77777777" w:rsidR="00784FA9" w:rsidRPr="00AD4336" w:rsidRDefault="00784FA9" w:rsidP="00AD4336">
            <w:pPr>
              <w:pStyle w:val="TableText"/>
              <w:spacing w:before="40" w:after="40"/>
              <w:jc w:val="right"/>
              <w:rPr>
                <w:rFonts w:cs="Calibri"/>
                <w:szCs w:val="16"/>
              </w:rPr>
            </w:pPr>
          </w:p>
        </w:tc>
        <w:tc>
          <w:tcPr>
            <w:tcW w:w="737" w:type="dxa"/>
            <w:tcBorders>
              <w:top w:val="single" w:sz="4" w:space="0" w:color="1B556B"/>
              <w:left w:val="single" w:sz="4" w:space="0" w:color="1B556B"/>
              <w:bottom w:val="single" w:sz="4" w:space="0" w:color="1B556B"/>
              <w:right w:val="nil"/>
            </w:tcBorders>
            <w:shd w:val="clear" w:color="auto" w:fill="auto"/>
            <w:vAlign w:val="center"/>
          </w:tcPr>
          <w:p w14:paraId="3231129C" w14:textId="77777777" w:rsidR="00784FA9" w:rsidRPr="00AD4336" w:rsidRDefault="00784FA9" w:rsidP="00AD4336">
            <w:pPr>
              <w:pStyle w:val="TableText"/>
              <w:spacing w:before="40" w:after="40"/>
              <w:jc w:val="right"/>
              <w:rPr>
                <w:rFonts w:cs="Calibri"/>
                <w:szCs w:val="16"/>
              </w:rPr>
            </w:pPr>
            <w:r w:rsidRPr="00AD4336">
              <w:rPr>
                <w:rFonts w:cs="Calibri"/>
                <w:szCs w:val="16"/>
              </w:rPr>
              <w:t>7.1</w:t>
            </w:r>
          </w:p>
        </w:tc>
        <w:tc>
          <w:tcPr>
            <w:tcW w:w="737" w:type="dxa"/>
            <w:tcBorders>
              <w:top w:val="single" w:sz="4" w:space="0" w:color="1B556B"/>
              <w:left w:val="nil"/>
              <w:bottom w:val="single" w:sz="4" w:space="0" w:color="1B556B"/>
              <w:right w:val="single" w:sz="4" w:space="0" w:color="1B556B"/>
            </w:tcBorders>
            <w:shd w:val="clear" w:color="auto" w:fill="auto"/>
            <w:vAlign w:val="center"/>
          </w:tcPr>
          <w:p w14:paraId="1FA3C736" w14:textId="77777777" w:rsidR="00784FA9" w:rsidRPr="00AD4336" w:rsidRDefault="00784FA9" w:rsidP="00AD4336">
            <w:pPr>
              <w:pStyle w:val="TableText"/>
              <w:spacing w:before="40" w:after="40"/>
              <w:jc w:val="right"/>
              <w:rPr>
                <w:rFonts w:cs="Calibri"/>
                <w:szCs w:val="16"/>
              </w:rPr>
            </w:pPr>
            <w:r w:rsidRPr="00AD4336">
              <w:rPr>
                <w:rFonts w:cs="Calibri"/>
                <w:szCs w:val="16"/>
              </w:rPr>
              <w:t>0.1</w:t>
            </w:r>
          </w:p>
        </w:tc>
        <w:tc>
          <w:tcPr>
            <w:tcW w:w="907" w:type="dxa"/>
            <w:tcBorders>
              <w:top w:val="single" w:sz="4" w:space="0" w:color="1B556B"/>
              <w:left w:val="single" w:sz="4" w:space="0" w:color="1B556B"/>
              <w:bottom w:val="single" w:sz="4" w:space="0" w:color="1B556B"/>
              <w:right w:val="nil"/>
            </w:tcBorders>
            <w:shd w:val="clear" w:color="auto" w:fill="auto"/>
          </w:tcPr>
          <w:p w14:paraId="691E229B" w14:textId="77777777" w:rsidR="00784FA9" w:rsidRPr="00AD4336" w:rsidRDefault="00784FA9" w:rsidP="00AD4336">
            <w:pPr>
              <w:pStyle w:val="TableText"/>
              <w:spacing w:before="40" w:after="40"/>
              <w:jc w:val="right"/>
              <w:rPr>
                <w:rFonts w:cs="Calibri"/>
                <w:szCs w:val="16"/>
              </w:rPr>
            </w:pPr>
            <w:r w:rsidRPr="00AD4336">
              <w:rPr>
                <w:rFonts w:cs="Calibri"/>
                <w:szCs w:val="16"/>
              </w:rPr>
              <w:t>6.6</w:t>
            </w:r>
          </w:p>
        </w:tc>
        <w:tc>
          <w:tcPr>
            <w:tcW w:w="907" w:type="dxa"/>
            <w:tcBorders>
              <w:top w:val="single" w:sz="4" w:space="0" w:color="1B556B"/>
              <w:left w:val="nil"/>
              <w:bottom w:val="single" w:sz="4" w:space="0" w:color="1B556B"/>
              <w:right w:val="nil"/>
            </w:tcBorders>
            <w:shd w:val="clear" w:color="auto" w:fill="auto"/>
          </w:tcPr>
          <w:p w14:paraId="442272CB" w14:textId="77777777" w:rsidR="00784FA9" w:rsidRPr="00AD4336" w:rsidRDefault="00784FA9" w:rsidP="00AD4336">
            <w:pPr>
              <w:pStyle w:val="TableText"/>
              <w:spacing w:before="40" w:after="40"/>
              <w:jc w:val="right"/>
              <w:rPr>
                <w:rFonts w:cs="Calibri"/>
                <w:szCs w:val="16"/>
              </w:rPr>
            </w:pPr>
            <w:r w:rsidRPr="00AD4336">
              <w:rPr>
                <w:rFonts w:cs="Calibri"/>
                <w:szCs w:val="16"/>
              </w:rPr>
              <w:t>3.9</w:t>
            </w:r>
          </w:p>
        </w:tc>
        <w:tc>
          <w:tcPr>
            <w:tcW w:w="907" w:type="dxa"/>
            <w:tcBorders>
              <w:top w:val="single" w:sz="4" w:space="0" w:color="1B556B"/>
              <w:left w:val="nil"/>
              <w:bottom w:val="single" w:sz="4" w:space="0" w:color="1B556B"/>
              <w:right w:val="single" w:sz="4" w:space="0" w:color="1B556B"/>
            </w:tcBorders>
            <w:shd w:val="clear" w:color="auto" w:fill="auto"/>
          </w:tcPr>
          <w:p w14:paraId="789AB175" w14:textId="77777777" w:rsidR="00784FA9" w:rsidRPr="00AD4336" w:rsidRDefault="00784FA9" w:rsidP="00AD4336">
            <w:pPr>
              <w:pStyle w:val="TableText"/>
              <w:spacing w:before="40" w:after="40"/>
              <w:jc w:val="right"/>
              <w:rPr>
                <w:rFonts w:cs="Calibri"/>
                <w:szCs w:val="16"/>
              </w:rPr>
            </w:pPr>
            <w:r w:rsidRPr="00AD4336">
              <w:rPr>
                <w:rFonts w:cs="Calibri"/>
                <w:szCs w:val="16"/>
              </w:rPr>
              <w:t>0.3</w:t>
            </w:r>
          </w:p>
        </w:tc>
        <w:tc>
          <w:tcPr>
            <w:tcW w:w="794" w:type="dxa"/>
            <w:tcBorders>
              <w:top w:val="single" w:sz="4" w:space="0" w:color="1B556B"/>
              <w:left w:val="single" w:sz="4" w:space="0" w:color="1B556B"/>
              <w:bottom w:val="single" w:sz="4" w:space="0" w:color="1B556B"/>
              <w:right w:val="nil"/>
            </w:tcBorders>
            <w:shd w:val="clear" w:color="auto" w:fill="auto"/>
          </w:tcPr>
          <w:p w14:paraId="6196BBEE"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single" w:sz="4" w:space="0" w:color="1B556B"/>
              <w:right w:val="single" w:sz="4" w:space="0" w:color="1B556B"/>
            </w:tcBorders>
            <w:shd w:val="clear" w:color="auto" w:fill="auto"/>
          </w:tcPr>
          <w:p w14:paraId="6EB47EFC"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1B556B"/>
              <w:left w:val="single" w:sz="4" w:space="0" w:color="1B556B"/>
              <w:bottom w:val="single" w:sz="4" w:space="0" w:color="1B556B"/>
              <w:right w:val="single" w:sz="4" w:space="0" w:color="1B556B"/>
            </w:tcBorders>
            <w:shd w:val="clear" w:color="auto" w:fill="D2DDE1"/>
          </w:tcPr>
          <w:p w14:paraId="1D788E79" w14:textId="77777777" w:rsidR="00784FA9" w:rsidRPr="00AD4336" w:rsidRDefault="00784FA9" w:rsidP="00AD4336">
            <w:pPr>
              <w:pStyle w:val="TableText"/>
              <w:spacing w:before="40" w:after="40"/>
              <w:jc w:val="right"/>
              <w:rPr>
                <w:rFonts w:cs="Calibri"/>
                <w:szCs w:val="16"/>
              </w:rPr>
            </w:pPr>
            <w:r w:rsidRPr="00AD4336">
              <w:rPr>
                <w:rFonts w:cs="Calibri"/>
                <w:szCs w:val="16"/>
              </w:rPr>
              <w:t>184.6</w:t>
            </w:r>
          </w:p>
        </w:tc>
        <w:tc>
          <w:tcPr>
            <w:tcW w:w="856" w:type="dxa"/>
            <w:tcBorders>
              <w:top w:val="single" w:sz="4" w:space="0" w:color="1B556B"/>
              <w:left w:val="single" w:sz="4" w:space="0" w:color="1B556B"/>
              <w:bottom w:val="single" w:sz="4" w:space="0" w:color="1B556B"/>
              <w:right w:val="single" w:sz="4" w:space="0" w:color="1B556B"/>
            </w:tcBorders>
            <w:shd w:val="clear" w:color="auto" w:fill="auto"/>
          </w:tcPr>
          <w:p w14:paraId="34FE746D" w14:textId="77777777" w:rsidR="00784FA9" w:rsidRPr="00AD4336" w:rsidRDefault="00784FA9" w:rsidP="00AD4336">
            <w:pPr>
              <w:pStyle w:val="TableText"/>
              <w:spacing w:before="40" w:after="40"/>
              <w:jc w:val="right"/>
              <w:rPr>
                <w:rFonts w:cs="Calibri"/>
                <w:szCs w:val="16"/>
              </w:rPr>
            </w:pPr>
          </w:p>
        </w:tc>
        <w:tc>
          <w:tcPr>
            <w:tcW w:w="929" w:type="dxa"/>
            <w:tcBorders>
              <w:top w:val="single" w:sz="4" w:space="0" w:color="1B556B"/>
              <w:left w:val="single" w:sz="4" w:space="0" w:color="1B556B"/>
              <w:bottom w:val="single" w:sz="4" w:space="0" w:color="1B556B"/>
              <w:right w:val="nil"/>
            </w:tcBorders>
            <w:shd w:val="clear" w:color="auto" w:fill="auto"/>
          </w:tcPr>
          <w:p w14:paraId="20C5437B"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207.9</w:t>
            </w:r>
          </w:p>
        </w:tc>
      </w:tr>
      <w:tr w:rsidR="00AD4336" w:rsidRPr="00D604EE" w14:paraId="07030E77" w14:textId="77777777" w:rsidTr="00A67DE9">
        <w:tc>
          <w:tcPr>
            <w:tcW w:w="964" w:type="dxa"/>
            <w:tcBorders>
              <w:top w:val="single" w:sz="4" w:space="0" w:color="1B556B"/>
              <w:left w:val="nil"/>
              <w:bottom w:val="double" w:sz="4" w:space="0" w:color="1B556B"/>
              <w:right w:val="nil"/>
            </w:tcBorders>
            <w:shd w:val="clear" w:color="auto" w:fill="auto"/>
            <w:vAlign w:val="center"/>
          </w:tcPr>
          <w:p w14:paraId="6F56A519" w14:textId="77777777" w:rsidR="00784FA9" w:rsidRPr="00AD4336" w:rsidRDefault="00784FA9" w:rsidP="00AD4336">
            <w:pPr>
              <w:pStyle w:val="TableTextBold"/>
              <w:spacing w:before="40" w:after="40"/>
              <w:rPr>
                <w:rFonts w:cs="Calibri"/>
                <w:noProof w:val="0"/>
                <w:szCs w:val="16"/>
              </w:rPr>
            </w:pPr>
            <w:r w:rsidRPr="00AD4336">
              <w:rPr>
                <w:rFonts w:cs="Calibri"/>
                <w:noProof w:val="0"/>
                <w:szCs w:val="16"/>
              </w:rPr>
              <w:t>Other land</w:t>
            </w:r>
          </w:p>
        </w:tc>
        <w:tc>
          <w:tcPr>
            <w:tcW w:w="1134" w:type="dxa"/>
            <w:tcBorders>
              <w:top w:val="single" w:sz="4" w:space="0" w:color="1B556B"/>
              <w:left w:val="nil"/>
              <w:bottom w:val="double" w:sz="4" w:space="0" w:color="1B556B"/>
              <w:right w:val="single" w:sz="4" w:space="0" w:color="1B556B"/>
            </w:tcBorders>
            <w:shd w:val="clear" w:color="auto" w:fill="auto"/>
            <w:vAlign w:val="center"/>
          </w:tcPr>
          <w:p w14:paraId="6A08A199" w14:textId="77777777" w:rsidR="00784FA9" w:rsidRPr="00AD4336" w:rsidRDefault="00784FA9" w:rsidP="00AD4336">
            <w:pPr>
              <w:pStyle w:val="TableText"/>
              <w:spacing w:before="40" w:after="40"/>
              <w:rPr>
                <w:rFonts w:cs="Calibri"/>
                <w:szCs w:val="16"/>
              </w:rPr>
            </w:pPr>
            <w:r w:rsidRPr="00AD4336">
              <w:rPr>
                <w:rFonts w:cs="Calibri"/>
                <w:szCs w:val="16"/>
              </w:rPr>
              <w:t>Other land</w:t>
            </w:r>
          </w:p>
        </w:tc>
        <w:tc>
          <w:tcPr>
            <w:tcW w:w="794" w:type="dxa"/>
            <w:tcBorders>
              <w:top w:val="single" w:sz="4" w:space="0" w:color="1B556B"/>
              <w:left w:val="single" w:sz="4" w:space="0" w:color="1B556B"/>
              <w:bottom w:val="double" w:sz="4" w:space="0" w:color="1B556B"/>
              <w:right w:val="nil"/>
            </w:tcBorders>
            <w:shd w:val="clear" w:color="auto" w:fill="auto"/>
          </w:tcPr>
          <w:p w14:paraId="682C4B9D"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double" w:sz="4" w:space="0" w:color="1B556B"/>
              <w:right w:val="nil"/>
            </w:tcBorders>
            <w:shd w:val="clear" w:color="auto" w:fill="auto"/>
          </w:tcPr>
          <w:p w14:paraId="065DA87F"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double" w:sz="4" w:space="0" w:color="1B556B"/>
              <w:right w:val="nil"/>
            </w:tcBorders>
            <w:shd w:val="clear" w:color="auto" w:fill="auto"/>
          </w:tcPr>
          <w:p w14:paraId="5215B72C"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double" w:sz="4" w:space="0" w:color="1B556B"/>
              <w:right w:val="single" w:sz="4" w:space="0" w:color="1B556B"/>
            </w:tcBorders>
            <w:shd w:val="clear" w:color="auto" w:fill="auto"/>
          </w:tcPr>
          <w:p w14:paraId="2621052D" w14:textId="77777777" w:rsidR="00784FA9" w:rsidRPr="00AD4336" w:rsidRDefault="00784FA9" w:rsidP="00AD4336">
            <w:pPr>
              <w:pStyle w:val="TableText"/>
              <w:spacing w:before="40" w:after="40"/>
              <w:jc w:val="right"/>
              <w:rPr>
                <w:rFonts w:cs="Calibri"/>
                <w:szCs w:val="16"/>
              </w:rPr>
            </w:pPr>
          </w:p>
        </w:tc>
        <w:tc>
          <w:tcPr>
            <w:tcW w:w="737" w:type="dxa"/>
            <w:tcBorders>
              <w:top w:val="single" w:sz="4" w:space="0" w:color="1B556B"/>
              <w:left w:val="single" w:sz="4" w:space="0" w:color="1B556B"/>
              <w:bottom w:val="double" w:sz="4" w:space="0" w:color="1B556B"/>
              <w:right w:val="nil"/>
            </w:tcBorders>
            <w:shd w:val="clear" w:color="auto" w:fill="auto"/>
          </w:tcPr>
          <w:p w14:paraId="5BD0624B" w14:textId="77777777" w:rsidR="00784FA9" w:rsidRPr="00AD4336" w:rsidRDefault="00784FA9" w:rsidP="00AD4336">
            <w:pPr>
              <w:pStyle w:val="TableText"/>
              <w:spacing w:before="40" w:after="40"/>
              <w:jc w:val="right"/>
              <w:rPr>
                <w:rFonts w:cs="Calibri"/>
                <w:szCs w:val="16"/>
              </w:rPr>
            </w:pPr>
          </w:p>
        </w:tc>
        <w:tc>
          <w:tcPr>
            <w:tcW w:w="737" w:type="dxa"/>
            <w:tcBorders>
              <w:top w:val="single" w:sz="4" w:space="0" w:color="1B556B"/>
              <w:left w:val="nil"/>
              <w:bottom w:val="double" w:sz="4" w:space="0" w:color="1B556B"/>
              <w:right w:val="single" w:sz="4" w:space="0" w:color="1B556B"/>
            </w:tcBorders>
            <w:shd w:val="clear" w:color="auto" w:fill="auto"/>
          </w:tcPr>
          <w:p w14:paraId="6457B401"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1B556B"/>
              <w:left w:val="single" w:sz="4" w:space="0" w:color="1B556B"/>
              <w:bottom w:val="double" w:sz="4" w:space="0" w:color="1B556B"/>
              <w:right w:val="nil"/>
            </w:tcBorders>
            <w:shd w:val="clear" w:color="auto" w:fill="auto"/>
          </w:tcPr>
          <w:p w14:paraId="13A185A0"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1B556B"/>
              <w:left w:val="nil"/>
              <w:bottom w:val="double" w:sz="4" w:space="0" w:color="1B556B"/>
              <w:right w:val="nil"/>
            </w:tcBorders>
            <w:shd w:val="clear" w:color="auto" w:fill="auto"/>
          </w:tcPr>
          <w:p w14:paraId="368FF6E2"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1B556B"/>
              <w:left w:val="nil"/>
              <w:bottom w:val="double" w:sz="4" w:space="0" w:color="1B556B"/>
              <w:right w:val="single" w:sz="4" w:space="0" w:color="1B556B"/>
            </w:tcBorders>
            <w:shd w:val="clear" w:color="auto" w:fill="auto"/>
          </w:tcPr>
          <w:p w14:paraId="4BFF18F0"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single" w:sz="4" w:space="0" w:color="1B556B"/>
              <w:bottom w:val="double" w:sz="4" w:space="0" w:color="1B556B"/>
              <w:right w:val="nil"/>
            </w:tcBorders>
            <w:shd w:val="clear" w:color="auto" w:fill="auto"/>
          </w:tcPr>
          <w:p w14:paraId="146C8B0D" w14:textId="77777777" w:rsidR="00784FA9" w:rsidRPr="00AD4336" w:rsidRDefault="00784FA9" w:rsidP="00AD4336">
            <w:pPr>
              <w:pStyle w:val="TableText"/>
              <w:spacing w:before="40" w:after="40"/>
              <w:jc w:val="right"/>
              <w:rPr>
                <w:rFonts w:cs="Calibri"/>
                <w:szCs w:val="16"/>
              </w:rPr>
            </w:pPr>
          </w:p>
        </w:tc>
        <w:tc>
          <w:tcPr>
            <w:tcW w:w="794" w:type="dxa"/>
            <w:tcBorders>
              <w:top w:val="single" w:sz="4" w:space="0" w:color="1B556B"/>
              <w:left w:val="nil"/>
              <w:bottom w:val="double" w:sz="4" w:space="0" w:color="1B556B"/>
              <w:right w:val="single" w:sz="4" w:space="0" w:color="1B556B"/>
            </w:tcBorders>
            <w:shd w:val="clear" w:color="auto" w:fill="auto"/>
          </w:tcPr>
          <w:p w14:paraId="231F3FBA" w14:textId="77777777" w:rsidR="00784FA9" w:rsidRPr="00AD4336" w:rsidRDefault="00784FA9" w:rsidP="00AD4336">
            <w:pPr>
              <w:pStyle w:val="TableText"/>
              <w:spacing w:before="40" w:after="40"/>
              <w:jc w:val="right"/>
              <w:rPr>
                <w:rFonts w:cs="Calibri"/>
                <w:szCs w:val="16"/>
              </w:rPr>
            </w:pPr>
          </w:p>
        </w:tc>
        <w:tc>
          <w:tcPr>
            <w:tcW w:w="907" w:type="dxa"/>
            <w:tcBorders>
              <w:top w:val="single" w:sz="4" w:space="0" w:color="1B556B"/>
              <w:left w:val="single" w:sz="4" w:space="0" w:color="1B556B"/>
              <w:bottom w:val="double" w:sz="4" w:space="0" w:color="1B556B"/>
              <w:right w:val="single" w:sz="4" w:space="0" w:color="1B556B"/>
            </w:tcBorders>
            <w:shd w:val="clear" w:color="auto" w:fill="auto"/>
          </w:tcPr>
          <w:p w14:paraId="00DC796C" w14:textId="77777777" w:rsidR="00784FA9" w:rsidRPr="00AD4336" w:rsidRDefault="00784FA9" w:rsidP="00AD4336">
            <w:pPr>
              <w:pStyle w:val="TableText"/>
              <w:spacing w:before="40" w:after="40"/>
              <w:jc w:val="right"/>
              <w:rPr>
                <w:rFonts w:cs="Calibri"/>
                <w:szCs w:val="16"/>
              </w:rPr>
            </w:pPr>
          </w:p>
        </w:tc>
        <w:tc>
          <w:tcPr>
            <w:tcW w:w="856" w:type="dxa"/>
            <w:tcBorders>
              <w:top w:val="single" w:sz="4" w:space="0" w:color="1B556B"/>
              <w:left w:val="single" w:sz="4" w:space="0" w:color="1B556B"/>
              <w:bottom w:val="double" w:sz="4" w:space="0" w:color="1B556B"/>
              <w:right w:val="single" w:sz="4" w:space="0" w:color="1B556B"/>
            </w:tcBorders>
            <w:shd w:val="clear" w:color="auto" w:fill="D2DDE1"/>
          </w:tcPr>
          <w:p w14:paraId="252AD637" w14:textId="77777777" w:rsidR="00784FA9" w:rsidRPr="00AD4336" w:rsidRDefault="00784FA9" w:rsidP="00AD4336">
            <w:pPr>
              <w:pStyle w:val="TableText"/>
              <w:spacing w:before="40" w:after="40"/>
              <w:jc w:val="right"/>
              <w:rPr>
                <w:rFonts w:cs="Calibri"/>
                <w:szCs w:val="16"/>
              </w:rPr>
            </w:pPr>
            <w:r w:rsidRPr="00AD4336">
              <w:rPr>
                <w:rFonts w:cs="Calibri"/>
                <w:szCs w:val="16"/>
              </w:rPr>
              <w:t>895.8</w:t>
            </w:r>
          </w:p>
        </w:tc>
        <w:tc>
          <w:tcPr>
            <w:tcW w:w="929" w:type="dxa"/>
            <w:tcBorders>
              <w:top w:val="single" w:sz="4" w:space="0" w:color="1B556B"/>
              <w:left w:val="single" w:sz="4" w:space="0" w:color="1B556B"/>
              <w:bottom w:val="double" w:sz="4" w:space="0" w:color="1B556B"/>
              <w:right w:val="nil"/>
            </w:tcBorders>
            <w:shd w:val="clear" w:color="auto" w:fill="auto"/>
          </w:tcPr>
          <w:p w14:paraId="7768B560" w14:textId="77777777" w:rsidR="00784FA9" w:rsidRPr="00AD4336" w:rsidRDefault="00784FA9" w:rsidP="00AD4336">
            <w:pPr>
              <w:pStyle w:val="TableTextBold"/>
              <w:spacing w:before="40" w:after="40"/>
              <w:jc w:val="right"/>
              <w:rPr>
                <w:rFonts w:cs="Calibri"/>
                <w:noProof w:val="0"/>
                <w:szCs w:val="16"/>
              </w:rPr>
            </w:pPr>
            <w:r w:rsidRPr="00AD4336">
              <w:rPr>
                <w:rFonts w:cs="Calibri"/>
                <w:noProof w:val="0"/>
                <w:szCs w:val="16"/>
              </w:rPr>
              <w:t>895.8</w:t>
            </w:r>
          </w:p>
        </w:tc>
      </w:tr>
      <w:tr w:rsidR="00AD4336" w:rsidRPr="00D604EE" w14:paraId="5F9CD94E" w14:textId="77777777" w:rsidTr="00A67DE9">
        <w:tc>
          <w:tcPr>
            <w:tcW w:w="1134" w:type="dxa"/>
            <w:gridSpan w:val="2"/>
            <w:tcBorders>
              <w:top w:val="double" w:sz="4" w:space="0" w:color="1B556B"/>
              <w:left w:val="nil"/>
              <w:bottom w:val="nil"/>
              <w:right w:val="single" w:sz="4" w:space="0" w:color="1B556B"/>
            </w:tcBorders>
            <w:shd w:val="clear" w:color="auto" w:fill="auto"/>
          </w:tcPr>
          <w:p w14:paraId="1B4E9A5D" w14:textId="77777777" w:rsidR="00784FA9" w:rsidRPr="00AD4336" w:rsidRDefault="00784FA9" w:rsidP="00AD4336">
            <w:pPr>
              <w:pStyle w:val="Tableboldblue"/>
              <w:spacing w:before="40" w:after="40"/>
              <w:rPr>
                <w:rFonts w:cs="Calibri"/>
                <w:szCs w:val="16"/>
              </w:rPr>
            </w:pPr>
            <w:r w:rsidRPr="00AD4336">
              <w:rPr>
                <w:rFonts w:cs="Calibri"/>
                <w:szCs w:val="16"/>
              </w:rPr>
              <w:t>Area as at 1 Jan 1962 (kha)</w:t>
            </w:r>
          </w:p>
        </w:tc>
        <w:tc>
          <w:tcPr>
            <w:tcW w:w="794" w:type="dxa"/>
            <w:tcBorders>
              <w:top w:val="double" w:sz="4" w:space="0" w:color="1B556B"/>
              <w:left w:val="single" w:sz="4" w:space="0" w:color="1B556B"/>
              <w:bottom w:val="nil"/>
              <w:right w:val="nil"/>
            </w:tcBorders>
            <w:shd w:val="clear" w:color="auto" w:fill="auto"/>
            <w:vAlign w:val="center"/>
          </w:tcPr>
          <w:p w14:paraId="31849EEE" w14:textId="77777777" w:rsidR="00784FA9" w:rsidRPr="00AD4336" w:rsidRDefault="00784FA9" w:rsidP="00AD4336">
            <w:pPr>
              <w:pStyle w:val="Tableboldblue"/>
              <w:spacing w:before="40" w:after="40"/>
              <w:jc w:val="right"/>
              <w:rPr>
                <w:rFonts w:cs="Calibri"/>
                <w:szCs w:val="16"/>
              </w:rPr>
            </w:pPr>
            <w:r w:rsidRPr="00AD4336">
              <w:rPr>
                <w:rFonts w:cs="Calibri"/>
                <w:szCs w:val="16"/>
              </w:rPr>
              <w:t>8,682.5</w:t>
            </w:r>
          </w:p>
        </w:tc>
        <w:tc>
          <w:tcPr>
            <w:tcW w:w="794" w:type="dxa"/>
            <w:tcBorders>
              <w:top w:val="double" w:sz="4" w:space="0" w:color="1B556B"/>
              <w:left w:val="nil"/>
              <w:bottom w:val="nil"/>
              <w:right w:val="nil"/>
            </w:tcBorders>
            <w:shd w:val="clear" w:color="auto" w:fill="auto"/>
            <w:vAlign w:val="center"/>
          </w:tcPr>
          <w:p w14:paraId="47D1CC54" w14:textId="77777777" w:rsidR="00784FA9" w:rsidRPr="00AD4336" w:rsidRDefault="00784FA9" w:rsidP="00AD4336">
            <w:pPr>
              <w:pStyle w:val="Tableboldblue"/>
              <w:spacing w:before="40" w:after="40"/>
              <w:jc w:val="right"/>
              <w:rPr>
                <w:rFonts w:cs="Calibri"/>
                <w:szCs w:val="16"/>
              </w:rPr>
            </w:pPr>
            <w:r w:rsidRPr="00AD4336">
              <w:rPr>
                <w:rFonts w:cs="Calibri"/>
                <w:szCs w:val="16"/>
              </w:rPr>
              <w:t>456.4</w:t>
            </w:r>
          </w:p>
        </w:tc>
        <w:tc>
          <w:tcPr>
            <w:tcW w:w="794" w:type="dxa"/>
            <w:tcBorders>
              <w:top w:val="double" w:sz="4" w:space="0" w:color="1B556B"/>
              <w:left w:val="nil"/>
              <w:bottom w:val="nil"/>
              <w:right w:val="nil"/>
            </w:tcBorders>
            <w:shd w:val="clear" w:color="auto" w:fill="auto"/>
            <w:vAlign w:val="center"/>
          </w:tcPr>
          <w:p w14:paraId="56989160" w14:textId="77777777" w:rsidR="00784FA9" w:rsidRPr="00AD4336" w:rsidRDefault="00784FA9" w:rsidP="00AD4336">
            <w:pPr>
              <w:pStyle w:val="Tableboldblue"/>
              <w:spacing w:before="40" w:after="40"/>
              <w:jc w:val="right"/>
              <w:rPr>
                <w:rFonts w:cs="Calibri"/>
                <w:szCs w:val="16"/>
              </w:rPr>
            </w:pPr>
            <w:r w:rsidRPr="00AD4336">
              <w:rPr>
                <w:rFonts w:cs="Calibri"/>
                <w:szCs w:val="16"/>
              </w:rPr>
              <w:t>0.0</w:t>
            </w:r>
          </w:p>
        </w:tc>
        <w:tc>
          <w:tcPr>
            <w:tcW w:w="794" w:type="dxa"/>
            <w:tcBorders>
              <w:top w:val="double" w:sz="4" w:space="0" w:color="1B556B"/>
              <w:left w:val="nil"/>
              <w:bottom w:val="nil"/>
              <w:right w:val="single" w:sz="4" w:space="0" w:color="1B556B"/>
            </w:tcBorders>
            <w:shd w:val="clear" w:color="auto" w:fill="auto"/>
            <w:vAlign w:val="center"/>
          </w:tcPr>
          <w:p w14:paraId="360DE811" w14:textId="77777777" w:rsidR="00784FA9" w:rsidRPr="00AD4336" w:rsidRDefault="00784FA9" w:rsidP="00AD4336">
            <w:pPr>
              <w:pStyle w:val="Tableboldblue"/>
              <w:spacing w:before="40" w:after="40"/>
              <w:jc w:val="right"/>
              <w:rPr>
                <w:rFonts w:cs="Calibri"/>
                <w:szCs w:val="16"/>
              </w:rPr>
            </w:pPr>
            <w:r w:rsidRPr="00AD4336">
              <w:rPr>
                <w:rFonts w:cs="Calibri"/>
                <w:szCs w:val="16"/>
              </w:rPr>
              <w:t>0.0</w:t>
            </w:r>
          </w:p>
        </w:tc>
        <w:tc>
          <w:tcPr>
            <w:tcW w:w="737" w:type="dxa"/>
            <w:tcBorders>
              <w:top w:val="double" w:sz="4" w:space="0" w:color="1B556B"/>
              <w:left w:val="single" w:sz="4" w:space="0" w:color="1B556B"/>
              <w:bottom w:val="nil"/>
              <w:right w:val="nil"/>
            </w:tcBorders>
            <w:shd w:val="clear" w:color="auto" w:fill="auto"/>
          </w:tcPr>
          <w:p w14:paraId="4E8CA5FF" w14:textId="77777777" w:rsidR="00784FA9" w:rsidRPr="00AD4336" w:rsidRDefault="00784FA9" w:rsidP="00AD4336">
            <w:pPr>
              <w:pStyle w:val="Tableboldblue"/>
              <w:spacing w:before="40" w:after="40"/>
              <w:jc w:val="right"/>
              <w:rPr>
                <w:rFonts w:cs="Calibri"/>
                <w:szCs w:val="16"/>
              </w:rPr>
            </w:pPr>
            <w:r w:rsidRPr="00AD4336">
              <w:rPr>
                <w:rFonts w:cs="Calibri"/>
                <w:szCs w:val="16"/>
              </w:rPr>
              <w:t>354.9</w:t>
            </w:r>
          </w:p>
        </w:tc>
        <w:tc>
          <w:tcPr>
            <w:tcW w:w="737" w:type="dxa"/>
            <w:tcBorders>
              <w:top w:val="double" w:sz="4" w:space="0" w:color="1B556B"/>
              <w:left w:val="nil"/>
              <w:bottom w:val="nil"/>
              <w:right w:val="single" w:sz="4" w:space="0" w:color="1B556B"/>
            </w:tcBorders>
            <w:shd w:val="clear" w:color="auto" w:fill="auto"/>
          </w:tcPr>
          <w:p w14:paraId="04C90EF7" w14:textId="77777777" w:rsidR="00784FA9" w:rsidRPr="00AD4336" w:rsidRDefault="00784FA9" w:rsidP="00AD4336">
            <w:pPr>
              <w:pStyle w:val="Tableboldblue"/>
              <w:spacing w:before="40" w:after="40"/>
              <w:jc w:val="right"/>
              <w:rPr>
                <w:rFonts w:cs="Calibri"/>
                <w:szCs w:val="16"/>
              </w:rPr>
            </w:pPr>
            <w:r w:rsidRPr="00AD4336">
              <w:rPr>
                <w:rFonts w:cs="Calibri"/>
                <w:szCs w:val="16"/>
              </w:rPr>
              <w:t>78.2</w:t>
            </w:r>
          </w:p>
        </w:tc>
        <w:tc>
          <w:tcPr>
            <w:tcW w:w="907" w:type="dxa"/>
            <w:tcBorders>
              <w:top w:val="double" w:sz="4" w:space="0" w:color="1B556B"/>
              <w:left w:val="single" w:sz="4" w:space="0" w:color="1B556B"/>
              <w:bottom w:val="nil"/>
              <w:right w:val="nil"/>
            </w:tcBorders>
            <w:shd w:val="clear" w:color="auto" w:fill="auto"/>
            <w:vAlign w:val="center"/>
          </w:tcPr>
          <w:p w14:paraId="304FDFB7" w14:textId="77777777" w:rsidR="00784FA9" w:rsidRPr="00AD4336" w:rsidRDefault="00784FA9" w:rsidP="00AD4336">
            <w:pPr>
              <w:pStyle w:val="Tableboldblue"/>
              <w:spacing w:before="40" w:after="40"/>
              <w:jc w:val="right"/>
              <w:rPr>
                <w:rFonts w:cs="Calibri"/>
                <w:szCs w:val="16"/>
              </w:rPr>
            </w:pPr>
            <w:r w:rsidRPr="00AD4336">
              <w:rPr>
                <w:rFonts w:cs="Calibri"/>
                <w:szCs w:val="16"/>
              </w:rPr>
              <w:t>4,841.4</w:t>
            </w:r>
          </w:p>
        </w:tc>
        <w:tc>
          <w:tcPr>
            <w:tcW w:w="907" w:type="dxa"/>
            <w:tcBorders>
              <w:top w:val="double" w:sz="4" w:space="0" w:color="1B556B"/>
              <w:left w:val="nil"/>
              <w:bottom w:val="nil"/>
              <w:right w:val="nil"/>
            </w:tcBorders>
            <w:shd w:val="clear" w:color="auto" w:fill="auto"/>
          </w:tcPr>
          <w:p w14:paraId="03463BFC" w14:textId="77777777" w:rsidR="00784FA9" w:rsidRPr="00AD4336" w:rsidRDefault="00784FA9" w:rsidP="00AD4336">
            <w:pPr>
              <w:pStyle w:val="Tableboldblue"/>
              <w:spacing w:before="40" w:after="40"/>
              <w:jc w:val="right"/>
              <w:rPr>
                <w:rFonts w:cs="Calibri"/>
                <w:szCs w:val="16"/>
              </w:rPr>
            </w:pPr>
            <w:r w:rsidRPr="00AD4336">
              <w:rPr>
                <w:rFonts w:cs="Calibri"/>
                <w:szCs w:val="16"/>
              </w:rPr>
              <w:t>8,807.2</w:t>
            </w:r>
          </w:p>
        </w:tc>
        <w:tc>
          <w:tcPr>
            <w:tcW w:w="907" w:type="dxa"/>
            <w:tcBorders>
              <w:top w:val="double" w:sz="4" w:space="0" w:color="1B556B"/>
              <w:left w:val="nil"/>
              <w:bottom w:val="nil"/>
              <w:right w:val="single" w:sz="4" w:space="0" w:color="1B556B"/>
            </w:tcBorders>
            <w:shd w:val="clear" w:color="auto" w:fill="auto"/>
          </w:tcPr>
          <w:p w14:paraId="3877F77B" w14:textId="77777777" w:rsidR="00784FA9" w:rsidRPr="00AD4336" w:rsidRDefault="00784FA9" w:rsidP="00AD4336">
            <w:pPr>
              <w:pStyle w:val="Tableboldblue"/>
              <w:spacing w:before="40" w:after="40"/>
              <w:jc w:val="right"/>
              <w:rPr>
                <w:rFonts w:cs="Calibri"/>
                <w:szCs w:val="16"/>
              </w:rPr>
            </w:pPr>
            <w:r w:rsidRPr="00AD4336">
              <w:rPr>
                <w:rFonts w:cs="Calibri"/>
                <w:szCs w:val="16"/>
              </w:rPr>
              <w:t>1,787.7</w:t>
            </w:r>
          </w:p>
        </w:tc>
        <w:tc>
          <w:tcPr>
            <w:tcW w:w="794" w:type="dxa"/>
            <w:tcBorders>
              <w:top w:val="double" w:sz="4" w:space="0" w:color="1B556B"/>
              <w:left w:val="single" w:sz="4" w:space="0" w:color="1B556B"/>
              <w:bottom w:val="nil"/>
              <w:right w:val="nil"/>
            </w:tcBorders>
            <w:shd w:val="clear" w:color="auto" w:fill="auto"/>
          </w:tcPr>
          <w:p w14:paraId="6D5E07B8" w14:textId="77777777" w:rsidR="00784FA9" w:rsidRPr="00AD4336" w:rsidRDefault="00784FA9" w:rsidP="00AD4336">
            <w:pPr>
              <w:pStyle w:val="Tableboldblue"/>
              <w:spacing w:before="40" w:after="40"/>
              <w:jc w:val="right"/>
              <w:rPr>
                <w:rFonts w:cs="Calibri"/>
                <w:szCs w:val="16"/>
              </w:rPr>
            </w:pPr>
            <w:r w:rsidRPr="00AD4336">
              <w:rPr>
                <w:rFonts w:cs="Calibri"/>
                <w:szCs w:val="16"/>
              </w:rPr>
              <w:t>513.0</w:t>
            </w:r>
          </w:p>
        </w:tc>
        <w:tc>
          <w:tcPr>
            <w:tcW w:w="794" w:type="dxa"/>
            <w:tcBorders>
              <w:top w:val="double" w:sz="4" w:space="0" w:color="1B556B"/>
              <w:left w:val="nil"/>
              <w:bottom w:val="nil"/>
              <w:right w:val="single" w:sz="4" w:space="0" w:color="1B556B"/>
            </w:tcBorders>
            <w:shd w:val="clear" w:color="auto" w:fill="auto"/>
          </w:tcPr>
          <w:p w14:paraId="4B5B0D1D" w14:textId="77777777" w:rsidR="00784FA9" w:rsidRPr="00AD4336" w:rsidRDefault="00784FA9" w:rsidP="00AD4336">
            <w:pPr>
              <w:pStyle w:val="Tableboldblue"/>
              <w:spacing w:before="40" w:after="40"/>
              <w:jc w:val="right"/>
              <w:rPr>
                <w:rFonts w:cs="Calibri"/>
                <w:szCs w:val="16"/>
              </w:rPr>
            </w:pPr>
            <w:r w:rsidRPr="00AD4336">
              <w:rPr>
                <w:rFonts w:cs="Calibri"/>
                <w:szCs w:val="16"/>
              </w:rPr>
              <w:t>323.4</w:t>
            </w:r>
          </w:p>
        </w:tc>
        <w:tc>
          <w:tcPr>
            <w:tcW w:w="907" w:type="dxa"/>
            <w:tcBorders>
              <w:top w:val="double" w:sz="4" w:space="0" w:color="1B556B"/>
              <w:left w:val="single" w:sz="4" w:space="0" w:color="1B556B"/>
              <w:bottom w:val="nil"/>
              <w:right w:val="single" w:sz="4" w:space="0" w:color="1B556B"/>
            </w:tcBorders>
            <w:shd w:val="clear" w:color="auto" w:fill="auto"/>
          </w:tcPr>
          <w:p w14:paraId="7F12E155" w14:textId="77777777" w:rsidR="00784FA9" w:rsidRPr="00AD4336" w:rsidRDefault="00784FA9" w:rsidP="00AD4336">
            <w:pPr>
              <w:pStyle w:val="Tableboldblue"/>
              <w:spacing w:before="40" w:after="40"/>
              <w:jc w:val="right"/>
              <w:rPr>
                <w:rFonts w:cs="Calibri"/>
                <w:szCs w:val="16"/>
              </w:rPr>
            </w:pPr>
            <w:r w:rsidRPr="00AD4336">
              <w:rPr>
                <w:rFonts w:cs="Calibri"/>
                <w:szCs w:val="16"/>
              </w:rPr>
              <w:t>184.6</w:t>
            </w:r>
          </w:p>
        </w:tc>
        <w:tc>
          <w:tcPr>
            <w:tcW w:w="856" w:type="dxa"/>
            <w:tcBorders>
              <w:top w:val="double" w:sz="4" w:space="0" w:color="1B556B"/>
              <w:left w:val="single" w:sz="4" w:space="0" w:color="1B556B"/>
              <w:bottom w:val="nil"/>
              <w:right w:val="single" w:sz="4" w:space="0" w:color="1B556B"/>
            </w:tcBorders>
            <w:shd w:val="clear" w:color="auto" w:fill="auto"/>
          </w:tcPr>
          <w:p w14:paraId="125B64E1" w14:textId="77777777" w:rsidR="00784FA9" w:rsidRPr="00AD4336" w:rsidRDefault="00784FA9" w:rsidP="00AD4336">
            <w:pPr>
              <w:pStyle w:val="Tableboldblue"/>
              <w:spacing w:before="40" w:after="40"/>
              <w:jc w:val="right"/>
              <w:rPr>
                <w:rFonts w:cs="Calibri"/>
                <w:szCs w:val="16"/>
              </w:rPr>
            </w:pPr>
            <w:r w:rsidRPr="00AD4336">
              <w:rPr>
                <w:rFonts w:cs="Calibri"/>
                <w:szCs w:val="16"/>
              </w:rPr>
              <w:t>895.8</w:t>
            </w:r>
          </w:p>
        </w:tc>
        <w:tc>
          <w:tcPr>
            <w:tcW w:w="929" w:type="dxa"/>
            <w:tcBorders>
              <w:top w:val="double" w:sz="4" w:space="0" w:color="1B556B"/>
              <w:left w:val="single" w:sz="4" w:space="0" w:color="1B556B"/>
              <w:bottom w:val="nil"/>
              <w:right w:val="nil"/>
            </w:tcBorders>
            <w:shd w:val="clear" w:color="auto" w:fill="D2DDE1"/>
          </w:tcPr>
          <w:p w14:paraId="5739CDE6" w14:textId="77777777" w:rsidR="00784FA9" w:rsidRPr="00AD4336" w:rsidRDefault="00784FA9" w:rsidP="00AD4336">
            <w:pPr>
              <w:pStyle w:val="Tableboldblue"/>
              <w:spacing w:before="40" w:after="40"/>
              <w:jc w:val="right"/>
              <w:rPr>
                <w:rFonts w:cs="Calibri"/>
                <w:szCs w:val="16"/>
              </w:rPr>
            </w:pPr>
            <w:r w:rsidRPr="00AD4336">
              <w:rPr>
                <w:rFonts w:cs="Calibri"/>
                <w:szCs w:val="16"/>
              </w:rPr>
              <w:t>26,925.2</w:t>
            </w:r>
          </w:p>
        </w:tc>
      </w:tr>
      <w:tr w:rsidR="00AD4336" w:rsidRPr="00D604EE" w14:paraId="5679B747" w14:textId="77777777" w:rsidTr="00AD4336">
        <w:tc>
          <w:tcPr>
            <w:tcW w:w="1134" w:type="dxa"/>
            <w:gridSpan w:val="2"/>
            <w:tcBorders>
              <w:top w:val="nil"/>
              <w:left w:val="nil"/>
              <w:bottom w:val="nil"/>
              <w:right w:val="single" w:sz="4" w:space="0" w:color="1B556B"/>
            </w:tcBorders>
            <w:shd w:val="clear" w:color="auto" w:fill="auto"/>
          </w:tcPr>
          <w:p w14:paraId="1F495CA1" w14:textId="77777777" w:rsidR="00784FA9" w:rsidRPr="00AD4336" w:rsidRDefault="00784FA9" w:rsidP="00AD4336">
            <w:pPr>
              <w:pStyle w:val="Tableboldblue"/>
              <w:spacing w:before="40" w:after="40"/>
              <w:rPr>
                <w:rFonts w:cs="Calibri"/>
                <w:szCs w:val="16"/>
              </w:rPr>
            </w:pPr>
            <w:r w:rsidRPr="00AD4336">
              <w:rPr>
                <w:rFonts w:cs="Calibri"/>
                <w:szCs w:val="16"/>
              </w:rPr>
              <w:t xml:space="preserve">Net change </w:t>
            </w:r>
            <w:r w:rsidRPr="00AD4336">
              <w:rPr>
                <w:rFonts w:cs="Calibri"/>
                <w:szCs w:val="16"/>
              </w:rPr>
              <w:br/>
              <w:t>1 Jan 1962–31 Dec 1989</w:t>
            </w:r>
          </w:p>
        </w:tc>
        <w:tc>
          <w:tcPr>
            <w:tcW w:w="794" w:type="dxa"/>
            <w:tcBorders>
              <w:top w:val="nil"/>
              <w:left w:val="single" w:sz="4" w:space="0" w:color="1B556B"/>
              <w:bottom w:val="nil"/>
              <w:right w:val="nil"/>
            </w:tcBorders>
            <w:shd w:val="clear" w:color="auto" w:fill="auto"/>
            <w:vAlign w:val="center"/>
          </w:tcPr>
          <w:p w14:paraId="5C73576A" w14:textId="77777777" w:rsidR="00784FA9" w:rsidRPr="00AD4336" w:rsidRDefault="00784FA9" w:rsidP="00AD4336">
            <w:pPr>
              <w:pStyle w:val="Tableboldblue"/>
              <w:spacing w:before="40" w:after="40"/>
              <w:jc w:val="right"/>
              <w:rPr>
                <w:rFonts w:cs="Calibri"/>
                <w:szCs w:val="16"/>
              </w:rPr>
            </w:pPr>
            <w:r w:rsidRPr="00AD4336">
              <w:rPr>
                <w:rFonts w:cs="Calibri"/>
                <w:szCs w:val="16"/>
              </w:rPr>
              <w:t>–859.7</w:t>
            </w:r>
          </w:p>
        </w:tc>
        <w:tc>
          <w:tcPr>
            <w:tcW w:w="794" w:type="dxa"/>
            <w:tcBorders>
              <w:top w:val="nil"/>
              <w:left w:val="nil"/>
              <w:bottom w:val="nil"/>
              <w:right w:val="nil"/>
            </w:tcBorders>
            <w:shd w:val="clear" w:color="auto" w:fill="auto"/>
            <w:vAlign w:val="center"/>
          </w:tcPr>
          <w:p w14:paraId="4FED6FEC" w14:textId="77777777" w:rsidR="00784FA9" w:rsidRPr="00AD4336" w:rsidRDefault="00784FA9" w:rsidP="00AD4336">
            <w:pPr>
              <w:pStyle w:val="Tableboldblue"/>
              <w:spacing w:before="40" w:after="40"/>
              <w:jc w:val="right"/>
              <w:rPr>
                <w:rFonts w:cs="Calibri"/>
                <w:szCs w:val="16"/>
              </w:rPr>
            </w:pPr>
            <w:r w:rsidRPr="00AD4336">
              <w:rPr>
                <w:rFonts w:cs="Calibri"/>
                <w:szCs w:val="16"/>
              </w:rPr>
              <w:t>1,090.0</w:t>
            </w:r>
          </w:p>
        </w:tc>
        <w:tc>
          <w:tcPr>
            <w:tcW w:w="794" w:type="dxa"/>
            <w:tcBorders>
              <w:top w:val="nil"/>
              <w:left w:val="nil"/>
              <w:bottom w:val="nil"/>
              <w:right w:val="nil"/>
            </w:tcBorders>
            <w:shd w:val="clear" w:color="auto" w:fill="auto"/>
            <w:vAlign w:val="center"/>
          </w:tcPr>
          <w:p w14:paraId="62EB9895" w14:textId="77777777" w:rsidR="00784FA9" w:rsidRPr="00AD4336" w:rsidRDefault="00784FA9" w:rsidP="00AD4336">
            <w:pPr>
              <w:pStyle w:val="Tableboldblue"/>
              <w:spacing w:before="40" w:after="40"/>
              <w:jc w:val="right"/>
              <w:rPr>
                <w:rFonts w:cs="Calibri"/>
                <w:szCs w:val="16"/>
              </w:rPr>
            </w:pPr>
            <w:r w:rsidRPr="00AD4336">
              <w:rPr>
                <w:rFonts w:cs="Calibri"/>
                <w:szCs w:val="16"/>
              </w:rPr>
              <w:t>0.0</w:t>
            </w:r>
          </w:p>
        </w:tc>
        <w:tc>
          <w:tcPr>
            <w:tcW w:w="794" w:type="dxa"/>
            <w:tcBorders>
              <w:top w:val="nil"/>
              <w:left w:val="nil"/>
              <w:bottom w:val="nil"/>
              <w:right w:val="single" w:sz="4" w:space="0" w:color="1B556B"/>
            </w:tcBorders>
            <w:shd w:val="clear" w:color="auto" w:fill="auto"/>
            <w:vAlign w:val="center"/>
          </w:tcPr>
          <w:p w14:paraId="034982E5" w14:textId="77777777" w:rsidR="00784FA9" w:rsidRPr="00AD4336" w:rsidRDefault="00784FA9" w:rsidP="00AD4336">
            <w:pPr>
              <w:pStyle w:val="Tableboldblue"/>
              <w:spacing w:before="40" w:after="40"/>
              <w:jc w:val="right"/>
              <w:rPr>
                <w:rFonts w:cs="Calibri"/>
                <w:szCs w:val="16"/>
              </w:rPr>
            </w:pPr>
            <w:r w:rsidRPr="00AD4336">
              <w:rPr>
                <w:rFonts w:cs="Calibri"/>
                <w:szCs w:val="16"/>
              </w:rPr>
              <w:t>0.0</w:t>
            </w:r>
          </w:p>
        </w:tc>
        <w:tc>
          <w:tcPr>
            <w:tcW w:w="737" w:type="dxa"/>
            <w:tcBorders>
              <w:top w:val="nil"/>
              <w:left w:val="single" w:sz="4" w:space="0" w:color="1B556B"/>
              <w:bottom w:val="nil"/>
              <w:right w:val="nil"/>
            </w:tcBorders>
            <w:shd w:val="clear" w:color="auto" w:fill="auto"/>
          </w:tcPr>
          <w:p w14:paraId="362F3AD9" w14:textId="77777777" w:rsidR="00784FA9" w:rsidRPr="00AD4336" w:rsidRDefault="00784FA9" w:rsidP="00AD4336">
            <w:pPr>
              <w:pStyle w:val="Tableboldblue"/>
              <w:spacing w:before="40" w:after="40"/>
              <w:jc w:val="right"/>
              <w:rPr>
                <w:rFonts w:cs="Calibri"/>
                <w:szCs w:val="16"/>
              </w:rPr>
            </w:pPr>
            <w:r w:rsidRPr="00AD4336">
              <w:rPr>
                <w:rFonts w:cs="Calibri"/>
                <w:szCs w:val="16"/>
              </w:rPr>
              <w:t>0.0</w:t>
            </w:r>
          </w:p>
        </w:tc>
        <w:tc>
          <w:tcPr>
            <w:tcW w:w="737" w:type="dxa"/>
            <w:tcBorders>
              <w:top w:val="nil"/>
              <w:left w:val="nil"/>
              <w:bottom w:val="nil"/>
              <w:right w:val="single" w:sz="4" w:space="0" w:color="1B556B"/>
            </w:tcBorders>
            <w:shd w:val="clear" w:color="auto" w:fill="auto"/>
          </w:tcPr>
          <w:p w14:paraId="4CF15E64" w14:textId="77777777" w:rsidR="00784FA9" w:rsidRPr="00AD4336" w:rsidRDefault="00784FA9" w:rsidP="00AD4336">
            <w:pPr>
              <w:pStyle w:val="Tableboldblue"/>
              <w:spacing w:before="40" w:after="40"/>
              <w:jc w:val="right"/>
              <w:rPr>
                <w:rFonts w:cs="Calibri"/>
                <w:szCs w:val="16"/>
              </w:rPr>
            </w:pPr>
            <w:r w:rsidRPr="00AD4336">
              <w:rPr>
                <w:rFonts w:cs="Calibri"/>
                <w:szCs w:val="16"/>
              </w:rPr>
              <w:t>–9.2</w:t>
            </w:r>
          </w:p>
        </w:tc>
        <w:tc>
          <w:tcPr>
            <w:tcW w:w="907" w:type="dxa"/>
            <w:tcBorders>
              <w:top w:val="nil"/>
              <w:left w:val="single" w:sz="4" w:space="0" w:color="1B556B"/>
              <w:bottom w:val="nil"/>
              <w:right w:val="nil"/>
            </w:tcBorders>
            <w:shd w:val="clear" w:color="auto" w:fill="auto"/>
            <w:vAlign w:val="center"/>
          </w:tcPr>
          <w:p w14:paraId="62BEFEB7" w14:textId="77777777" w:rsidR="00784FA9" w:rsidRPr="00AD4336" w:rsidRDefault="00784FA9" w:rsidP="00AD4336">
            <w:pPr>
              <w:pStyle w:val="Tableboldblue"/>
              <w:spacing w:before="40" w:after="40"/>
              <w:jc w:val="right"/>
              <w:rPr>
                <w:rFonts w:cs="Calibri"/>
                <w:szCs w:val="16"/>
              </w:rPr>
            </w:pPr>
            <w:r w:rsidRPr="00AD4336">
              <w:rPr>
                <w:rFonts w:cs="Calibri"/>
                <w:szCs w:val="16"/>
              </w:rPr>
              <w:t>999.0</w:t>
            </w:r>
          </w:p>
        </w:tc>
        <w:tc>
          <w:tcPr>
            <w:tcW w:w="907" w:type="dxa"/>
            <w:tcBorders>
              <w:top w:val="nil"/>
              <w:left w:val="nil"/>
              <w:bottom w:val="nil"/>
              <w:right w:val="nil"/>
            </w:tcBorders>
            <w:shd w:val="clear" w:color="auto" w:fill="auto"/>
          </w:tcPr>
          <w:p w14:paraId="543E8AE5" w14:textId="77777777" w:rsidR="00784FA9" w:rsidRPr="00AD4336" w:rsidRDefault="00784FA9" w:rsidP="00AD4336">
            <w:pPr>
              <w:pStyle w:val="Tableboldblue"/>
              <w:spacing w:before="40" w:after="40"/>
              <w:jc w:val="right"/>
              <w:rPr>
                <w:rFonts w:cs="Calibri"/>
                <w:szCs w:val="16"/>
              </w:rPr>
            </w:pPr>
            <w:r w:rsidRPr="00AD4336">
              <w:rPr>
                <w:rFonts w:cs="Calibri"/>
                <w:szCs w:val="16"/>
              </w:rPr>
              <w:t>–895.4</w:t>
            </w:r>
          </w:p>
        </w:tc>
        <w:tc>
          <w:tcPr>
            <w:tcW w:w="907" w:type="dxa"/>
            <w:tcBorders>
              <w:top w:val="nil"/>
              <w:left w:val="nil"/>
              <w:bottom w:val="nil"/>
              <w:right w:val="single" w:sz="4" w:space="0" w:color="1B556B"/>
            </w:tcBorders>
            <w:shd w:val="clear" w:color="auto" w:fill="auto"/>
          </w:tcPr>
          <w:p w14:paraId="7E6359EA" w14:textId="77777777" w:rsidR="00784FA9" w:rsidRPr="00AD4336" w:rsidRDefault="00784FA9" w:rsidP="00AD4336">
            <w:pPr>
              <w:pStyle w:val="Tableboldblue"/>
              <w:spacing w:before="40" w:after="40"/>
              <w:jc w:val="right"/>
              <w:rPr>
                <w:rFonts w:cs="Calibri"/>
                <w:szCs w:val="16"/>
              </w:rPr>
            </w:pPr>
            <w:r w:rsidRPr="00AD4336">
              <w:rPr>
                <w:rFonts w:cs="Calibri"/>
                <w:szCs w:val="16"/>
              </w:rPr>
              <w:t>–273.6</w:t>
            </w:r>
          </w:p>
        </w:tc>
        <w:tc>
          <w:tcPr>
            <w:tcW w:w="794" w:type="dxa"/>
            <w:tcBorders>
              <w:top w:val="nil"/>
              <w:left w:val="single" w:sz="4" w:space="0" w:color="1B556B"/>
              <w:bottom w:val="nil"/>
              <w:right w:val="nil"/>
            </w:tcBorders>
            <w:shd w:val="clear" w:color="auto" w:fill="auto"/>
          </w:tcPr>
          <w:p w14:paraId="447D6756" w14:textId="77777777" w:rsidR="00784FA9" w:rsidRPr="00AD4336" w:rsidRDefault="00784FA9" w:rsidP="00AD4336">
            <w:pPr>
              <w:pStyle w:val="Tableboldblue"/>
              <w:spacing w:before="40" w:after="40"/>
              <w:jc w:val="right"/>
              <w:rPr>
                <w:rFonts w:cs="Calibri"/>
                <w:szCs w:val="16"/>
              </w:rPr>
            </w:pPr>
            <w:r w:rsidRPr="00AD4336">
              <w:rPr>
                <w:rFonts w:cs="Calibri"/>
                <w:szCs w:val="16"/>
              </w:rPr>
              <w:t>14.4</w:t>
            </w:r>
          </w:p>
        </w:tc>
        <w:tc>
          <w:tcPr>
            <w:tcW w:w="794" w:type="dxa"/>
            <w:tcBorders>
              <w:top w:val="nil"/>
              <w:left w:val="nil"/>
              <w:bottom w:val="nil"/>
              <w:right w:val="single" w:sz="4" w:space="0" w:color="1B556B"/>
            </w:tcBorders>
            <w:shd w:val="clear" w:color="auto" w:fill="auto"/>
          </w:tcPr>
          <w:p w14:paraId="19F21580" w14:textId="77777777" w:rsidR="00784FA9" w:rsidRPr="00AD4336" w:rsidRDefault="00784FA9" w:rsidP="00AD4336">
            <w:pPr>
              <w:pStyle w:val="Tableboldblue"/>
              <w:spacing w:before="40" w:after="40"/>
              <w:jc w:val="right"/>
              <w:rPr>
                <w:rFonts w:cs="Calibri"/>
                <w:szCs w:val="16"/>
              </w:rPr>
            </w:pPr>
            <w:r w:rsidRPr="00AD4336">
              <w:rPr>
                <w:rFonts w:cs="Calibri"/>
                <w:szCs w:val="16"/>
              </w:rPr>
              <w:t>–88.8</w:t>
            </w:r>
          </w:p>
        </w:tc>
        <w:tc>
          <w:tcPr>
            <w:tcW w:w="907" w:type="dxa"/>
            <w:tcBorders>
              <w:top w:val="nil"/>
              <w:left w:val="single" w:sz="4" w:space="0" w:color="1B556B"/>
              <w:bottom w:val="nil"/>
              <w:right w:val="single" w:sz="4" w:space="0" w:color="1B556B"/>
            </w:tcBorders>
            <w:shd w:val="clear" w:color="auto" w:fill="auto"/>
          </w:tcPr>
          <w:p w14:paraId="772F9F5F" w14:textId="77777777" w:rsidR="00784FA9" w:rsidRPr="00AD4336" w:rsidRDefault="00784FA9" w:rsidP="00AD4336">
            <w:pPr>
              <w:pStyle w:val="Tableboldblue"/>
              <w:spacing w:before="40" w:after="40"/>
              <w:jc w:val="right"/>
              <w:rPr>
                <w:rFonts w:cs="Calibri"/>
                <w:szCs w:val="16"/>
              </w:rPr>
            </w:pPr>
            <w:r w:rsidRPr="00AD4336">
              <w:rPr>
                <w:rFonts w:cs="Calibri"/>
                <w:szCs w:val="16"/>
              </w:rPr>
              <w:t>23.3</w:t>
            </w:r>
          </w:p>
        </w:tc>
        <w:tc>
          <w:tcPr>
            <w:tcW w:w="856" w:type="dxa"/>
            <w:tcBorders>
              <w:top w:val="nil"/>
              <w:left w:val="single" w:sz="4" w:space="0" w:color="1B556B"/>
              <w:bottom w:val="nil"/>
              <w:right w:val="single" w:sz="4" w:space="0" w:color="1B556B"/>
            </w:tcBorders>
            <w:shd w:val="clear" w:color="auto" w:fill="auto"/>
          </w:tcPr>
          <w:p w14:paraId="7901F179" w14:textId="77777777" w:rsidR="00784FA9" w:rsidRPr="00AD4336" w:rsidRDefault="00784FA9" w:rsidP="00AD4336">
            <w:pPr>
              <w:pStyle w:val="Tableboldblue"/>
              <w:spacing w:before="40" w:after="40"/>
              <w:jc w:val="right"/>
              <w:rPr>
                <w:rFonts w:cs="Calibri"/>
                <w:szCs w:val="16"/>
              </w:rPr>
            </w:pPr>
            <w:r w:rsidRPr="00AD4336">
              <w:rPr>
                <w:rFonts w:cs="Calibri"/>
                <w:szCs w:val="16"/>
              </w:rPr>
              <w:t>0.0</w:t>
            </w:r>
          </w:p>
        </w:tc>
        <w:tc>
          <w:tcPr>
            <w:tcW w:w="929" w:type="dxa"/>
            <w:tcBorders>
              <w:top w:val="nil"/>
              <w:left w:val="single" w:sz="4" w:space="0" w:color="1B556B"/>
              <w:bottom w:val="nil"/>
              <w:right w:val="nil"/>
            </w:tcBorders>
            <w:shd w:val="clear" w:color="auto" w:fill="auto"/>
          </w:tcPr>
          <w:p w14:paraId="5A99B9CC" w14:textId="77777777" w:rsidR="00784FA9" w:rsidRPr="00AD4336" w:rsidRDefault="00784FA9" w:rsidP="00AD4336">
            <w:pPr>
              <w:pStyle w:val="Tableboldblue"/>
              <w:spacing w:before="40" w:after="40"/>
              <w:jc w:val="right"/>
              <w:rPr>
                <w:rFonts w:cs="Calibri"/>
                <w:szCs w:val="16"/>
              </w:rPr>
            </w:pPr>
            <w:r w:rsidRPr="00AD4336">
              <w:rPr>
                <w:rFonts w:cs="Calibri"/>
                <w:szCs w:val="16"/>
              </w:rPr>
              <w:t>0.0</w:t>
            </w:r>
          </w:p>
        </w:tc>
      </w:tr>
      <w:tr w:rsidR="00AD4336" w:rsidRPr="00D604EE" w14:paraId="37870B7F" w14:textId="77777777" w:rsidTr="00AD4336">
        <w:tc>
          <w:tcPr>
            <w:tcW w:w="1134" w:type="dxa"/>
            <w:gridSpan w:val="2"/>
            <w:tcBorders>
              <w:top w:val="nil"/>
              <w:left w:val="nil"/>
              <w:bottom w:val="single" w:sz="4" w:space="0" w:color="1B556B"/>
              <w:right w:val="single" w:sz="4" w:space="0" w:color="1B556B"/>
            </w:tcBorders>
            <w:shd w:val="clear" w:color="auto" w:fill="auto"/>
          </w:tcPr>
          <w:p w14:paraId="1678F56A" w14:textId="77777777" w:rsidR="00784FA9" w:rsidRPr="00AD4336" w:rsidRDefault="00784FA9" w:rsidP="00AD4336">
            <w:pPr>
              <w:pStyle w:val="Tableboldblue"/>
              <w:spacing w:before="40" w:after="40"/>
              <w:rPr>
                <w:rFonts w:cs="Calibri"/>
                <w:szCs w:val="16"/>
              </w:rPr>
            </w:pPr>
            <w:r w:rsidRPr="00AD4336">
              <w:rPr>
                <w:rFonts w:cs="Calibri"/>
                <w:szCs w:val="16"/>
              </w:rPr>
              <w:t>Net change 1962–1989 (%)</w:t>
            </w:r>
          </w:p>
        </w:tc>
        <w:tc>
          <w:tcPr>
            <w:tcW w:w="794" w:type="dxa"/>
            <w:tcBorders>
              <w:top w:val="nil"/>
              <w:left w:val="single" w:sz="4" w:space="0" w:color="1B556B"/>
              <w:bottom w:val="single" w:sz="4" w:space="0" w:color="1B556B"/>
              <w:right w:val="nil"/>
            </w:tcBorders>
            <w:shd w:val="clear" w:color="auto" w:fill="auto"/>
            <w:vAlign w:val="center"/>
          </w:tcPr>
          <w:p w14:paraId="396B9616" w14:textId="77777777" w:rsidR="00784FA9" w:rsidRPr="00AD4336" w:rsidRDefault="00784FA9" w:rsidP="00AD4336">
            <w:pPr>
              <w:pStyle w:val="Tableboldblue"/>
              <w:spacing w:before="40" w:after="40"/>
              <w:jc w:val="right"/>
              <w:rPr>
                <w:rFonts w:cs="Calibri"/>
                <w:szCs w:val="16"/>
              </w:rPr>
            </w:pPr>
            <w:r w:rsidRPr="00AD4336">
              <w:rPr>
                <w:rFonts w:cs="Calibri"/>
                <w:szCs w:val="16"/>
              </w:rPr>
              <w:t>–9.9</w:t>
            </w:r>
          </w:p>
        </w:tc>
        <w:tc>
          <w:tcPr>
            <w:tcW w:w="794" w:type="dxa"/>
            <w:tcBorders>
              <w:top w:val="nil"/>
              <w:left w:val="nil"/>
              <w:bottom w:val="single" w:sz="4" w:space="0" w:color="1B556B"/>
              <w:right w:val="nil"/>
            </w:tcBorders>
            <w:shd w:val="clear" w:color="auto" w:fill="auto"/>
            <w:vAlign w:val="center"/>
          </w:tcPr>
          <w:p w14:paraId="6F6994C5" w14:textId="77777777" w:rsidR="00784FA9" w:rsidRPr="00AD4336" w:rsidRDefault="00784FA9" w:rsidP="00AD4336">
            <w:pPr>
              <w:pStyle w:val="Tableboldblue"/>
              <w:spacing w:before="40" w:after="40"/>
              <w:jc w:val="right"/>
              <w:rPr>
                <w:rFonts w:cs="Calibri"/>
                <w:szCs w:val="16"/>
              </w:rPr>
            </w:pPr>
            <w:r w:rsidRPr="00AD4336">
              <w:rPr>
                <w:rFonts w:cs="Calibri"/>
                <w:szCs w:val="16"/>
              </w:rPr>
              <w:t>238.8</w:t>
            </w:r>
          </w:p>
        </w:tc>
        <w:tc>
          <w:tcPr>
            <w:tcW w:w="794" w:type="dxa"/>
            <w:tcBorders>
              <w:top w:val="nil"/>
              <w:left w:val="nil"/>
              <w:bottom w:val="single" w:sz="4" w:space="0" w:color="1B556B"/>
              <w:right w:val="nil"/>
            </w:tcBorders>
            <w:shd w:val="clear" w:color="auto" w:fill="auto"/>
            <w:vAlign w:val="center"/>
          </w:tcPr>
          <w:p w14:paraId="407D2E0C" w14:textId="77777777" w:rsidR="00784FA9" w:rsidRPr="00AD4336" w:rsidRDefault="00784FA9" w:rsidP="00AD4336">
            <w:pPr>
              <w:pStyle w:val="Tableboldblue"/>
              <w:spacing w:before="40" w:after="40"/>
              <w:jc w:val="right"/>
              <w:rPr>
                <w:rFonts w:cs="Calibri"/>
                <w:szCs w:val="16"/>
              </w:rPr>
            </w:pPr>
            <w:r w:rsidRPr="00AD4336">
              <w:rPr>
                <w:rFonts w:cs="Calibri"/>
                <w:szCs w:val="16"/>
              </w:rPr>
              <w:t>NA</w:t>
            </w:r>
          </w:p>
        </w:tc>
        <w:tc>
          <w:tcPr>
            <w:tcW w:w="794" w:type="dxa"/>
            <w:tcBorders>
              <w:top w:val="nil"/>
              <w:left w:val="nil"/>
              <w:bottom w:val="single" w:sz="4" w:space="0" w:color="1B556B"/>
              <w:right w:val="single" w:sz="4" w:space="0" w:color="1B556B"/>
            </w:tcBorders>
            <w:shd w:val="clear" w:color="auto" w:fill="auto"/>
            <w:vAlign w:val="center"/>
          </w:tcPr>
          <w:p w14:paraId="1D5C4C2B" w14:textId="77777777" w:rsidR="00784FA9" w:rsidRPr="00AD4336" w:rsidRDefault="00784FA9" w:rsidP="00AD4336">
            <w:pPr>
              <w:pStyle w:val="Tableboldblue"/>
              <w:spacing w:before="40" w:after="40"/>
              <w:jc w:val="right"/>
              <w:rPr>
                <w:rFonts w:cs="Calibri"/>
                <w:szCs w:val="16"/>
              </w:rPr>
            </w:pPr>
            <w:r w:rsidRPr="00AD4336">
              <w:rPr>
                <w:rFonts w:cs="Calibri"/>
                <w:szCs w:val="16"/>
              </w:rPr>
              <w:t>NA</w:t>
            </w:r>
          </w:p>
        </w:tc>
        <w:tc>
          <w:tcPr>
            <w:tcW w:w="737" w:type="dxa"/>
            <w:tcBorders>
              <w:top w:val="nil"/>
              <w:left w:val="single" w:sz="4" w:space="0" w:color="1B556B"/>
              <w:bottom w:val="single" w:sz="4" w:space="0" w:color="1B556B"/>
              <w:right w:val="nil"/>
            </w:tcBorders>
            <w:shd w:val="clear" w:color="auto" w:fill="auto"/>
          </w:tcPr>
          <w:p w14:paraId="78E2BDDF" w14:textId="77777777" w:rsidR="00784FA9" w:rsidRPr="00AD4336" w:rsidRDefault="00784FA9" w:rsidP="00AD4336">
            <w:pPr>
              <w:pStyle w:val="Tableboldblue"/>
              <w:spacing w:before="40" w:after="40"/>
              <w:jc w:val="right"/>
              <w:rPr>
                <w:rFonts w:cs="Calibri"/>
                <w:szCs w:val="16"/>
              </w:rPr>
            </w:pPr>
            <w:r w:rsidRPr="00AD4336">
              <w:rPr>
                <w:rFonts w:cs="Calibri"/>
                <w:szCs w:val="16"/>
              </w:rPr>
              <w:t>0.0</w:t>
            </w:r>
          </w:p>
        </w:tc>
        <w:tc>
          <w:tcPr>
            <w:tcW w:w="737" w:type="dxa"/>
            <w:tcBorders>
              <w:top w:val="nil"/>
              <w:left w:val="nil"/>
              <w:bottom w:val="single" w:sz="4" w:space="0" w:color="1B556B"/>
              <w:right w:val="single" w:sz="4" w:space="0" w:color="1B556B"/>
            </w:tcBorders>
            <w:shd w:val="clear" w:color="auto" w:fill="auto"/>
          </w:tcPr>
          <w:p w14:paraId="2D9B1351" w14:textId="77777777" w:rsidR="00784FA9" w:rsidRPr="00AD4336" w:rsidRDefault="00784FA9" w:rsidP="00AD4336">
            <w:pPr>
              <w:pStyle w:val="Tableboldblue"/>
              <w:spacing w:before="40" w:after="40"/>
              <w:jc w:val="right"/>
              <w:rPr>
                <w:rFonts w:cs="Calibri"/>
                <w:szCs w:val="16"/>
              </w:rPr>
            </w:pPr>
            <w:r w:rsidRPr="00AD4336">
              <w:rPr>
                <w:rFonts w:cs="Calibri"/>
                <w:szCs w:val="16"/>
              </w:rPr>
              <w:t>–11.7</w:t>
            </w:r>
          </w:p>
        </w:tc>
        <w:tc>
          <w:tcPr>
            <w:tcW w:w="907" w:type="dxa"/>
            <w:tcBorders>
              <w:top w:val="nil"/>
              <w:left w:val="single" w:sz="4" w:space="0" w:color="1B556B"/>
              <w:bottom w:val="single" w:sz="4" w:space="0" w:color="1B556B"/>
              <w:right w:val="nil"/>
            </w:tcBorders>
            <w:shd w:val="clear" w:color="auto" w:fill="auto"/>
            <w:vAlign w:val="center"/>
          </w:tcPr>
          <w:p w14:paraId="3140D548" w14:textId="77777777" w:rsidR="00784FA9" w:rsidRPr="00AD4336" w:rsidRDefault="00784FA9" w:rsidP="00AD4336">
            <w:pPr>
              <w:pStyle w:val="Tableboldblue"/>
              <w:spacing w:before="40" w:after="40"/>
              <w:jc w:val="right"/>
              <w:rPr>
                <w:rFonts w:cs="Calibri"/>
                <w:szCs w:val="16"/>
              </w:rPr>
            </w:pPr>
            <w:r w:rsidRPr="00AD4336">
              <w:rPr>
                <w:rFonts w:cs="Calibri"/>
                <w:szCs w:val="16"/>
              </w:rPr>
              <w:t>20.6</w:t>
            </w:r>
          </w:p>
        </w:tc>
        <w:tc>
          <w:tcPr>
            <w:tcW w:w="907" w:type="dxa"/>
            <w:tcBorders>
              <w:top w:val="nil"/>
              <w:left w:val="nil"/>
              <w:bottom w:val="single" w:sz="4" w:space="0" w:color="1B556B"/>
              <w:right w:val="nil"/>
            </w:tcBorders>
            <w:shd w:val="clear" w:color="auto" w:fill="auto"/>
          </w:tcPr>
          <w:p w14:paraId="1F42F03E" w14:textId="77777777" w:rsidR="00784FA9" w:rsidRPr="00AD4336" w:rsidRDefault="00784FA9" w:rsidP="00AD4336">
            <w:pPr>
              <w:pStyle w:val="Tableboldblue"/>
              <w:spacing w:before="40" w:after="40"/>
              <w:jc w:val="right"/>
              <w:rPr>
                <w:rFonts w:cs="Calibri"/>
                <w:szCs w:val="16"/>
              </w:rPr>
            </w:pPr>
            <w:r w:rsidRPr="00AD4336">
              <w:rPr>
                <w:rFonts w:cs="Calibri"/>
                <w:szCs w:val="16"/>
              </w:rPr>
              <w:t>–10.2</w:t>
            </w:r>
          </w:p>
        </w:tc>
        <w:tc>
          <w:tcPr>
            <w:tcW w:w="907" w:type="dxa"/>
            <w:tcBorders>
              <w:top w:val="nil"/>
              <w:left w:val="nil"/>
              <w:bottom w:val="single" w:sz="4" w:space="0" w:color="1B556B"/>
              <w:right w:val="single" w:sz="4" w:space="0" w:color="1B556B"/>
            </w:tcBorders>
            <w:shd w:val="clear" w:color="auto" w:fill="auto"/>
          </w:tcPr>
          <w:p w14:paraId="66074021" w14:textId="77777777" w:rsidR="00784FA9" w:rsidRPr="00AD4336" w:rsidRDefault="00784FA9" w:rsidP="00AD4336">
            <w:pPr>
              <w:pStyle w:val="Tableboldblue"/>
              <w:spacing w:before="40" w:after="40"/>
              <w:jc w:val="right"/>
              <w:rPr>
                <w:rFonts w:cs="Calibri"/>
                <w:szCs w:val="16"/>
              </w:rPr>
            </w:pPr>
            <w:r w:rsidRPr="00AD4336">
              <w:rPr>
                <w:rFonts w:cs="Calibri"/>
                <w:szCs w:val="16"/>
              </w:rPr>
              <w:t>–15.3</w:t>
            </w:r>
          </w:p>
        </w:tc>
        <w:tc>
          <w:tcPr>
            <w:tcW w:w="794" w:type="dxa"/>
            <w:tcBorders>
              <w:top w:val="nil"/>
              <w:left w:val="single" w:sz="4" w:space="0" w:color="1B556B"/>
              <w:bottom w:val="single" w:sz="4" w:space="0" w:color="1B556B"/>
              <w:right w:val="nil"/>
            </w:tcBorders>
            <w:shd w:val="clear" w:color="auto" w:fill="auto"/>
          </w:tcPr>
          <w:p w14:paraId="3F342860" w14:textId="77777777" w:rsidR="00784FA9" w:rsidRPr="00AD4336" w:rsidRDefault="00784FA9" w:rsidP="00AD4336">
            <w:pPr>
              <w:pStyle w:val="Tableboldblue"/>
              <w:spacing w:before="40" w:after="40"/>
              <w:jc w:val="right"/>
              <w:rPr>
                <w:rFonts w:cs="Calibri"/>
                <w:szCs w:val="16"/>
              </w:rPr>
            </w:pPr>
            <w:r w:rsidRPr="00AD4336">
              <w:rPr>
                <w:rFonts w:cs="Calibri"/>
                <w:szCs w:val="16"/>
              </w:rPr>
              <w:t>2.8</w:t>
            </w:r>
          </w:p>
        </w:tc>
        <w:tc>
          <w:tcPr>
            <w:tcW w:w="794" w:type="dxa"/>
            <w:tcBorders>
              <w:top w:val="nil"/>
              <w:left w:val="nil"/>
              <w:bottom w:val="single" w:sz="4" w:space="0" w:color="1B556B"/>
              <w:right w:val="single" w:sz="4" w:space="0" w:color="1B556B"/>
            </w:tcBorders>
            <w:shd w:val="clear" w:color="auto" w:fill="auto"/>
          </w:tcPr>
          <w:p w14:paraId="4EFDC46A" w14:textId="77777777" w:rsidR="00784FA9" w:rsidRPr="00AD4336" w:rsidRDefault="00784FA9" w:rsidP="00AD4336">
            <w:pPr>
              <w:pStyle w:val="Tableboldblue"/>
              <w:spacing w:before="40" w:after="40"/>
              <w:jc w:val="right"/>
              <w:rPr>
                <w:rFonts w:cs="Calibri"/>
                <w:szCs w:val="16"/>
              </w:rPr>
            </w:pPr>
            <w:r w:rsidRPr="00AD4336">
              <w:rPr>
                <w:rFonts w:cs="Calibri"/>
                <w:szCs w:val="16"/>
              </w:rPr>
              <w:t>–27.4</w:t>
            </w:r>
          </w:p>
        </w:tc>
        <w:tc>
          <w:tcPr>
            <w:tcW w:w="907" w:type="dxa"/>
            <w:tcBorders>
              <w:top w:val="nil"/>
              <w:left w:val="single" w:sz="4" w:space="0" w:color="1B556B"/>
              <w:bottom w:val="single" w:sz="4" w:space="0" w:color="1B556B"/>
              <w:right w:val="single" w:sz="4" w:space="0" w:color="1B556B"/>
            </w:tcBorders>
            <w:shd w:val="clear" w:color="auto" w:fill="auto"/>
          </w:tcPr>
          <w:p w14:paraId="7864F2AB" w14:textId="77777777" w:rsidR="00784FA9" w:rsidRPr="00AD4336" w:rsidRDefault="00784FA9" w:rsidP="00AD4336">
            <w:pPr>
              <w:pStyle w:val="Tableboldblue"/>
              <w:spacing w:before="40" w:after="40"/>
              <w:jc w:val="right"/>
              <w:rPr>
                <w:rFonts w:cs="Calibri"/>
                <w:szCs w:val="16"/>
              </w:rPr>
            </w:pPr>
            <w:r w:rsidRPr="00AD4336">
              <w:rPr>
                <w:rFonts w:cs="Calibri"/>
                <w:szCs w:val="16"/>
              </w:rPr>
              <w:t>12.6</w:t>
            </w:r>
          </w:p>
        </w:tc>
        <w:tc>
          <w:tcPr>
            <w:tcW w:w="856" w:type="dxa"/>
            <w:tcBorders>
              <w:top w:val="nil"/>
              <w:left w:val="single" w:sz="4" w:space="0" w:color="1B556B"/>
              <w:bottom w:val="single" w:sz="4" w:space="0" w:color="1B556B"/>
              <w:right w:val="single" w:sz="4" w:space="0" w:color="1B556B"/>
            </w:tcBorders>
            <w:shd w:val="clear" w:color="auto" w:fill="auto"/>
          </w:tcPr>
          <w:p w14:paraId="53BE73FE" w14:textId="77777777" w:rsidR="00784FA9" w:rsidRPr="00AD4336" w:rsidRDefault="00784FA9" w:rsidP="00AD4336">
            <w:pPr>
              <w:pStyle w:val="Tableboldblue"/>
              <w:spacing w:before="40" w:after="40"/>
              <w:jc w:val="right"/>
              <w:rPr>
                <w:rFonts w:cs="Calibri"/>
                <w:szCs w:val="16"/>
              </w:rPr>
            </w:pPr>
            <w:r w:rsidRPr="00AD4336">
              <w:rPr>
                <w:rFonts w:cs="Calibri"/>
                <w:szCs w:val="16"/>
              </w:rPr>
              <w:t>0.0</w:t>
            </w:r>
          </w:p>
        </w:tc>
        <w:tc>
          <w:tcPr>
            <w:tcW w:w="929" w:type="dxa"/>
            <w:tcBorders>
              <w:top w:val="nil"/>
              <w:left w:val="single" w:sz="4" w:space="0" w:color="1B556B"/>
              <w:bottom w:val="single" w:sz="4" w:space="0" w:color="1B556B"/>
              <w:right w:val="nil"/>
            </w:tcBorders>
            <w:shd w:val="clear" w:color="auto" w:fill="auto"/>
          </w:tcPr>
          <w:p w14:paraId="4C74CA70" w14:textId="77777777" w:rsidR="00784FA9" w:rsidRPr="00AD4336" w:rsidRDefault="00784FA9" w:rsidP="00AD4336">
            <w:pPr>
              <w:pStyle w:val="Tableboldblue"/>
              <w:spacing w:before="40" w:after="40"/>
              <w:jc w:val="right"/>
              <w:rPr>
                <w:rFonts w:cs="Calibri"/>
                <w:szCs w:val="16"/>
              </w:rPr>
            </w:pPr>
            <w:r w:rsidRPr="00AD4336">
              <w:rPr>
                <w:rFonts w:cs="Calibri"/>
                <w:szCs w:val="16"/>
              </w:rPr>
              <w:t>NA</w:t>
            </w:r>
          </w:p>
        </w:tc>
      </w:tr>
    </w:tbl>
    <w:p w14:paraId="52D0D4B0" w14:textId="77777777" w:rsidR="00784FA9" w:rsidRPr="00D604EE" w:rsidRDefault="00784FA9" w:rsidP="00784FA9">
      <w:pPr>
        <w:pStyle w:val="BodyText"/>
      </w:pPr>
    </w:p>
    <w:p w14:paraId="307C3DB4" w14:textId="77777777" w:rsidR="00784FA9" w:rsidRPr="00D604EE" w:rsidRDefault="00784FA9" w:rsidP="00784FA9">
      <w:pPr>
        <w:sectPr w:rsidR="00784FA9" w:rsidRPr="00D604EE" w:rsidSect="00400838">
          <w:footerReference w:type="default" r:id="rId201"/>
          <w:pgSz w:w="16838" w:h="11906" w:orient="landscape"/>
          <w:pgMar w:top="1440" w:right="1440" w:bottom="1440" w:left="1440" w:header="709" w:footer="709" w:gutter="0"/>
          <w:cols w:space="708"/>
          <w:docGrid w:linePitch="360"/>
        </w:sectPr>
      </w:pPr>
      <w:bookmarkStart w:id="1432" w:name="_Toc280630224"/>
      <w:bookmarkStart w:id="1433" w:name="_Toc361645362"/>
    </w:p>
    <w:p w14:paraId="2957ED19" w14:textId="77777777" w:rsidR="00784FA9" w:rsidRPr="00D604EE" w:rsidRDefault="00784FA9" w:rsidP="00784FA9">
      <w:pPr>
        <w:pStyle w:val="Heading3"/>
        <w:spacing w:before="0"/>
      </w:pPr>
      <w:r w:rsidRPr="00D604EE">
        <w:lastRenderedPageBreak/>
        <w:t>6.2.2</w:t>
      </w:r>
      <w:r w:rsidRPr="00D604EE">
        <w:tab/>
        <w:t>Land use category definitions</w:t>
      </w:r>
      <w:bookmarkEnd w:id="1432"/>
      <w:bookmarkEnd w:id="1433"/>
    </w:p>
    <w:p w14:paraId="2D2F8F3B" w14:textId="77777777" w:rsidR="00784FA9" w:rsidRPr="00D604EE" w:rsidRDefault="00784FA9" w:rsidP="00784FA9">
      <w:pPr>
        <w:pStyle w:val="BodyText"/>
      </w:pPr>
      <w:r w:rsidRPr="00D604EE">
        <w:t>The land use categories and matching land uses New Zealand reports for are shown in table 6.2.2.</w:t>
      </w:r>
    </w:p>
    <w:p w14:paraId="14969849" w14:textId="77777777" w:rsidR="00784FA9" w:rsidRPr="00D604EE" w:rsidRDefault="00784FA9" w:rsidP="00784FA9">
      <w:pPr>
        <w:pStyle w:val="Table"/>
      </w:pPr>
      <w:bookmarkStart w:id="1434" w:name="_Toc310423399"/>
      <w:bookmarkStart w:id="1435" w:name="_Toc318362692"/>
      <w:bookmarkStart w:id="1436" w:name="_Toc342470754"/>
      <w:bookmarkStart w:id="1437" w:name="_Toc352504994"/>
      <w:bookmarkStart w:id="1438" w:name="_Toc361645342"/>
      <w:bookmarkStart w:id="1439" w:name="_Toc378853280"/>
      <w:bookmarkStart w:id="1440" w:name="_Toc391024078"/>
      <w:bookmarkStart w:id="1441" w:name="_Toc410028821"/>
      <w:bookmarkStart w:id="1442" w:name="_Toc414531449"/>
      <w:bookmarkStart w:id="1443" w:name="_Toc443645362"/>
      <w:bookmarkStart w:id="1444" w:name="_Toc474914581"/>
      <w:bookmarkStart w:id="1445" w:name="_Toc481751545"/>
      <w:bookmarkStart w:id="1446" w:name="_Toc522010602"/>
      <w:bookmarkStart w:id="1447" w:name="_Toc5269507"/>
      <w:bookmarkStart w:id="1448" w:name="_Toc33529383"/>
      <w:bookmarkStart w:id="1449" w:name="_Toc36224589"/>
      <w:bookmarkStart w:id="1450" w:name="_Toc65243584"/>
      <w:bookmarkStart w:id="1451" w:name="_Toc99659278"/>
      <w:r w:rsidRPr="00D604EE">
        <w:t>Table 6.2.2</w:t>
      </w:r>
      <w:r w:rsidRPr="00D604EE">
        <w:tab/>
        <w:t xml:space="preserve">New Zealand’s land use categories and </w:t>
      </w:r>
      <w:bookmarkEnd w:id="1434"/>
      <w:bookmarkEnd w:id="1435"/>
      <w:bookmarkEnd w:id="1436"/>
      <w:bookmarkEnd w:id="1437"/>
      <w:bookmarkEnd w:id="1438"/>
      <w:bookmarkEnd w:id="1439"/>
      <w:bookmarkEnd w:id="1440"/>
      <w:bookmarkEnd w:id="1441"/>
      <w:bookmarkEnd w:id="1442"/>
      <w:bookmarkEnd w:id="1443"/>
      <w:r w:rsidRPr="00D604EE">
        <w:t>land uses</w:t>
      </w:r>
      <w:bookmarkEnd w:id="1444"/>
      <w:bookmarkEnd w:id="1445"/>
      <w:bookmarkEnd w:id="1446"/>
      <w:bookmarkEnd w:id="1447"/>
      <w:bookmarkEnd w:id="1448"/>
      <w:bookmarkEnd w:id="1449"/>
      <w:bookmarkEnd w:id="1450"/>
      <w:bookmarkEnd w:id="1451"/>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3114"/>
        <w:gridCol w:w="5391"/>
      </w:tblGrid>
      <w:tr w:rsidR="00784FA9" w:rsidRPr="00D604EE" w14:paraId="0B75009A" w14:textId="77777777" w:rsidTr="00605B28">
        <w:trPr>
          <w:tblHeader/>
        </w:trPr>
        <w:tc>
          <w:tcPr>
            <w:tcW w:w="2427" w:type="dxa"/>
            <w:tcBorders>
              <w:bottom w:val="single" w:sz="4" w:space="0" w:color="1B556B"/>
            </w:tcBorders>
            <w:shd w:val="clear" w:color="auto" w:fill="1B556B"/>
          </w:tcPr>
          <w:p w14:paraId="705CF7CB" w14:textId="77777777" w:rsidR="00784FA9" w:rsidRPr="00D604EE" w:rsidRDefault="00784FA9" w:rsidP="007E3239">
            <w:pPr>
              <w:pStyle w:val="TableTextBold"/>
              <w:keepNext/>
              <w:spacing w:before="50" w:after="40"/>
              <w:rPr>
                <w:rFonts w:eastAsia="Arial Bold"/>
                <w:noProof w:val="0"/>
                <w:color w:val="FFFFFF"/>
              </w:rPr>
            </w:pPr>
            <w:r w:rsidRPr="00D604EE">
              <w:rPr>
                <w:rFonts w:eastAsia="Arial Bold"/>
                <w:noProof w:val="0"/>
                <w:color w:val="FFFFFF"/>
              </w:rPr>
              <w:t xml:space="preserve">IPCC category </w:t>
            </w:r>
          </w:p>
        </w:tc>
        <w:tc>
          <w:tcPr>
            <w:tcW w:w="4202" w:type="dxa"/>
            <w:shd w:val="clear" w:color="auto" w:fill="1B556B"/>
          </w:tcPr>
          <w:p w14:paraId="399B0754" w14:textId="77777777" w:rsidR="00784FA9" w:rsidRPr="00D604EE" w:rsidRDefault="00784FA9" w:rsidP="007E3239">
            <w:pPr>
              <w:pStyle w:val="TableTextBold"/>
              <w:spacing w:before="50" w:after="40"/>
              <w:rPr>
                <w:rFonts w:eastAsia="Arial Bold"/>
                <w:noProof w:val="0"/>
                <w:color w:val="FFFFFF"/>
              </w:rPr>
            </w:pPr>
            <w:r w:rsidRPr="00D604EE">
              <w:rPr>
                <w:rFonts w:eastAsia="Arial Bold"/>
                <w:noProof w:val="0"/>
                <w:color w:val="FFFFFF"/>
              </w:rPr>
              <w:t xml:space="preserve">New Zealand land use </w:t>
            </w:r>
          </w:p>
        </w:tc>
      </w:tr>
      <w:tr w:rsidR="00784FA9" w:rsidRPr="00D604EE" w14:paraId="4AB42A92" w14:textId="77777777" w:rsidTr="00605B28">
        <w:tc>
          <w:tcPr>
            <w:tcW w:w="2427" w:type="dxa"/>
            <w:tcBorders>
              <w:bottom w:val="nil"/>
            </w:tcBorders>
            <w:shd w:val="clear" w:color="auto" w:fill="auto"/>
          </w:tcPr>
          <w:p w14:paraId="22A4DAAE" w14:textId="77777777" w:rsidR="00784FA9" w:rsidRPr="00D604EE" w:rsidRDefault="00784FA9" w:rsidP="007E3239">
            <w:pPr>
              <w:pStyle w:val="TableText"/>
              <w:spacing w:before="40" w:after="40"/>
              <w:rPr>
                <w:rFonts w:eastAsia="Arial Bold"/>
              </w:rPr>
            </w:pPr>
            <w:r w:rsidRPr="00D604EE">
              <w:rPr>
                <w:rFonts w:eastAsia="Arial Bold"/>
              </w:rPr>
              <w:t xml:space="preserve">Forest land </w:t>
            </w:r>
          </w:p>
        </w:tc>
        <w:tc>
          <w:tcPr>
            <w:tcW w:w="4202" w:type="dxa"/>
            <w:shd w:val="clear" w:color="auto" w:fill="auto"/>
          </w:tcPr>
          <w:p w14:paraId="29660AAC" w14:textId="77777777" w:rsidR="00784FA9" w:rsidRPr="00D604EE" w:rsidRDefault="00784FA9" w:rsidP="007E3239">
            <w:pPr>
              <w:pStyle w:val="TableText"/>
              <w:spacing w:before="40" w:after="40"/>
              <w:rPr>
                <w:rFonts w:eastAsia="Arial Bold"/>
              </w:rPr>
            </w:pPr>
            <w:r w:rsidRPr="00D604EE">
              <w:rPr>
                <w:rFonts w:eastAsia="Arial Bold"/>
              </w:rPr>
              <w:t xml:space="preserve">Pre-1990 natural forest </w:t>
            </w:r>
          </w:p>
        </w:tc>
      </w:tr>
      <w:tr w:rsidR="00784FA9" w:rsidRPr="00D604EE" w14:paraId="186D0EF2" w14:textId="77777777" w:rsidTr="00605B28">
        <w:tc>
          <w:tcPr>
            <w:tcW w:w="2427" w:type="dxa"/>
            <w:tcBorders>
              <w:top w:val="nil"/>
              <w:bottom w:val="nil"/>
            </w:tcBorders>
            <w:shd w:val="clear" w:color="auto" w:fill="auto"/>
          </w:tcPr>
          <w:p w14:paraId="7CD204D1" w14:textId="77777777" w:rsidR="00784FA9" w:rsidRPr="00D604EE" w:rsidRDefault="00784FA9" w:rsidP="007E3239">
            <w:pPr>
              <w:pStyle w:val="TableText"/>
              <w:spacing w:before="40" w:after="40"/>
              <w:rPr>
                <w:rFonts w:eastAsia="Arial Bold"/>
              </w:rPr>
            </w:pPr>
          </w:p>
        </w:tc>
        <w:tc>
          <w:tcPr>
            <w:tcW w:w="4202" w:type="dxa"/>
            <w:shd w:val="clear" w:color="auto" w:fill="auto"/>
          </w:tcPr>
          <w:p w14:paraId="200FC7B4" w14:textId="77777777" w:rsidR="00784FA9" w:rsidRPr="00D604EE" w:rsidRDefault="00784FA9" w:rsidP="007E3239">
            <w:pPr>
              <w:pStyle w:val="TableText"/>
              <w:spacing w:before="40" w:after="40"/>
              <w:rPr>
                <w:rFonts w:eastAsia="Arial Bold"/>
              </w:rPr>
            </w:pPr>
            <w:r w:rsidRPr="00D604EE">
              <w:rPr>
                <w:rFonts w:eastAsia="Arial Bold"/>
              </w:rPr>
              <w:t>Pre-1990 planted forest</w:t>
            </w:r>
          </w:p>
        </w:tc>
      </w:tr>
      <w:tr w:rsidR="00784FA9" w:rsidRPr="00D604EE" w14:paraId="1DBE0164" w14:textId="77777777" w:rsidTr="00605B28">
        <w:tc>
          <w:tcPr>
            <w:tcW w:w="2427" w:type="dxa"/>
            <w:tcBorders>
              <w:top w:val="nil"/>
              <w:bottom w:val="nil"/>
            </w:tcBorders>
            <w:shd w:val="clear" w:color="auto" w:fill="auto"/>
          </w:tcPr>
          <w:p w14:paraId="2AE3297D" w14:textId="77777777" w:rsidR="00784FA9" w:rsidRPr="00D604EE" w:rsidRDefault="00784FA9" w:rsidP="007E3239">
            <w:pPr>
              <w:pStyle w:val="TableText"/>
              <w:spacing w:before="40" w:after="40"/>
              <w:rPr>
                <w:rFonts w:eastAsia="Arial Bold"/>
              </w:rPr>
            </w:pPr>
          </w:p>
        </w:tc>
        <w:tc>
          <w:tcPr>
            <w:tcW w:w="4202" w:type="dxa"/>
            <w:shd w:val="clear" w:color="auto" w:fill="auto"/>
          </w:tcPr>
          <w:p w14:paraId="67BB7680" w14:textId="77777777" w:rsidR="00784FA9" w:rsidRPr="00D604EE" w:rsidRDefault="00784FA9" w:rsidP="007E3239">
            <w:pPr>
              <w:pStyle w:val="TableText"/>
              <w:spacing w:before="40" w:after="40"/>
              <w:rPr>
                <w:rFonts w:eastAsia="Arial Bold"/>
              </w:rPr>
            </w:pPr>
            <w:r w:rsidRPr="00D604EE">
              <w:rPr>
                <w:rFonts w:eastAsia="Arial Bold"/>
              </w:rPr>
              <w:t>Post-1989 natural forest</w:t>
            </w:r>
            <w:r w:rsidRPr="00D604EE">
              <w:rPr>
                <w:rFonts w:eastAsia="Arial Bold"/>
                <w:vertAlign w:val="superscript"/>
              </w:rPr>
              <w:t>(1)</w:t>
            </w:r>
          </w:p>
        </w:tc>
      </w:tr>
      <w:tr w:rsidR="00784FA9" w:rsidRPr="00D604EE" w14:paraId="5B28CC7F" w14:textId="77777777" w:rsidTr="00605B28">
        <w:tc>
          <w:tcPr>
            <w:tcW w:w="2427" w:type="dxa"/>
            <w:tcBorders>
              <w:top w:val="nil"/>
            </w:tcBorders>
            <w:shd w:val="clear" w:color="auto" w:fill="auto"/>
          </w:tcPr>
          <w:p w14:paraId="1D481A98" w14:textId="77777777" w:rsidR="00784FA9" w:rsidRPr="00D604EE" w:rsidRDefault="00784FA9" w:rsidP="007E3239">
            <w:pPr>
              <w:pStyle w:val="TableText"/>
              <w:spacing w:before="40" w:after="40"/>
              <w:rPr>
                <w:rFonts w:eastAsia="Arial Bold"/>
              </w:rPr>
            </w:pPr>
          </w:p>
        </w:tc>
        <w:tc>
          <w:tcPr>
            <w:tcW w:w="4202" w:type="dxa"/>
            <w:shd w:val="clear" w:color="auto" w:fill="auto"/>
          </w:tcPr>
          <w:p w14:paraId="7230F4B6" w14:textId="77777777" w:rsidR="00784FA9" w:rsidRPr="00D604EE" w:rsidRDefault="00784FA9" w:rsidP="007E3239">
            <w:pPr>
              <w:pStyle w:val="TableText"/>
              <w:spacing w:before="40" w:after="40"/>
              <w:rPr>
                <w:rFonts w:eastAsia="Arial Bold"/>
              </w:rPr>
            </w:pPr>
            <w:r w:rsidRPr="00D604EE">
              <w:rPr>
                <w:rFonts w:eastAsia="Arial Bold"/>
              </w:rPr>
              <w:t>Post-1989 planted forest</w:t>
            </w:r>
            <w:r w:rsidRPr="00D604EE">
              <w:rPr>
                <w:rFonts w:eastAsia="Arial Bold"/>
                <w:vertAlign w:val="superscript"/>
              </w:rPr>
              <w:t>(1)</w:t>
            </w:r>
          </w:p>
        </w:tc>
      </w:tr>
      <w:tr w:rsidR="00784FA9" w:rsidRPr="00D604EE" w14:paraId="5C419864" w14:textId="77777777" w:rsidTr="00BA5EDE">
        <w:tc>
          <w:tcPr>
            <w:tcW w:w="2427" w:type="dxa"/>
            <w:tcBorders>
              <w:bottom w:val="nil"/>
            </w:tcBorders>
            <w:shd w:val="clear" w:color="auto" w:fill="auto"/>
          </w:tcPr>
          <w:p w14:paraId="473A1102" w14:textId="77777777" w:rsidR="00784FA9" w:rsidRPr="00D604EE" w:rsidRDefault="00784FA9" w:rsidP="007E3239">
            <w:pPr>
              <w:pStyle w:val="TableText"/>
              <w:spacing w:before="40" w:after="40"/>
              <w:rPr>
                <w:rFonts w:eastAsia="Arial Bold"/>
              </w:rPr>
            </w:pPr>
            <w:r w:rsidRPr="00D604EE">
              <w:rPr>
                <w:rFonts w:eastAsia="Arial Bold"/>
              </w:rPr>
              <w:t xml:space="preserve">Cropland </w:t>
            </w:r>
          </w:p>
        </w:tc>
        <w:tc>
          <w:tcPr>
            <w:tcW w:w="4202" w:type="dxa"/>
            <w:shd w:val="clear" w:color="auto" w:fill="auto"/>
          </w:tcPr>
          <w:p w14:paraId="19AB50A5" w14:textId="77777777" w:rsidR="00784FA9" w:rsidRPr="00D604EE" w:rsidRDefault="00784FA9" w:rsidP="007E3239">
            <w:pPr>
              <w:pStyle w:val="TableText"/>
              <w:spacing w:before="40" w:after="40"/>
              <w:rPr>
                <w:rFonts w:eastAsia="Arial Bold"/>
              </w:rPr>
            </w:pPr>
            <w:r w:rsidRPr="00D604EE">
              <w:rPr>
                <w:rFonts w:eastAsia="Arial Bold"/>
              </w:rPr>
              <w:t>Annual cropland</w:t>
            </w:r>
          </w:p>
        </w:tc>
      </w:tr>
      <w:tr w:rsidR="00784FA9" w:rsidRPr="00D604EE" w14:paraId="53F20FAF" w14:textId="77777777" w:rsidTr="00BA5EDE">
        <w:tc>
          <w:tcPr>
            <w:tcW w:w="2427" w:type="dxa"/>
            <w:tcBorders>
              <w:top w:val="nil"/>
            </w:tcBorders>
            <w:shd w:val="clear" w:color="auto" w:fill="auto"/>
          </w:tcPr>
          <w:p w14:paraId="5B8014FC" w14:textId="77777777" w:rsidR="00784FA9" w:rsidRPr="00D604EE" w:rsidRDefault="00784FA9" w:rsidP="007E3239">
            <w:pPr>
              <w:pStyle w:val="TableText"/>
              <w:spacing w:before="40" w:after="40"/>
              <w:rPr>
                <w:rFonts w:eastAsia="Arial Bold"/>
              </w:rPr>
            </w:pPr>
          </w:p>
        </w:tc>
        <w:tc>
          <w:tcPr>
            <w:tcW w:w="4202" w:type="dxa"/>
            <w:shd w:val="clear" w:color="auto" w:fill="auto"/>
          </w:tcPr>
          <w:p w14:paraId="5BB1ED86" w14:textId="77777777" w:rsidR="00784FA9" w:rsidRPr="00D604EE" w:rsidRDefault="00784FA9" w:rsidP="007E3239">
            <w:pPr>
              <w:pStyle w:val="TableText"/>
              <w:spacing w:before="40" w:after="40"/>
              <w:rPr>
                <w:rFonts w:eastAsia="Arial Bold"/>
              </w:rPr>
            </w:pPr>
            <w:r w:rsidRPr="00D604EE">
              <w:rPr>
                <w:rFonts w:eastAsia="Arial Bold"/>
              </w:rPr>
              <w:t xml:space="preserve">Perennial cropland </w:t>
            </w:r>
          </w:p>
        </w:tc>
      </w:tr>
      <w:tr w:rsidR="00784FA9" w:rsidRPr="00D604EE" w14:paraId="65E46F4C" w14:textId="77777777" w:rsidTr="00BA5EDE">
        <w:tc>
          <w:tcPr>
            <w:tcW w:w="2427" w:type="dxa"/>
            <w:tcBorders>
              <w:bottom w:val="nil"/>
            </w:tcBorders>
            <w:shd w:val="clear" w:color="auto" w:fill="auto"/>
          </w:tcPr>
          <w:p w14:paraId="08509CE5" w14:textId="77777777" w:rsidR="00784FA9" w:rsidRPr="00D604EE" w:rsidRDefault="00784FA9" w:rsidP="007E3239">
            <w:pPr>
              <w:pStyle w:val="TableText"/>
              <w:spacing w:before="40" w:after="40"/>
              <w:rPr>
                <w:rFonts w:eastAsia="Arial Bold"/>
              </w:rPr>
            </w:pPr>
            <w:r w:rsidRPr="00D604EE">
              <w:rPr>
                <w:rFonts w:eastAsia="Arial Bold"/>
              </w:rPr>
              <w:t xml:space="preserve">Grassland </w:t>
            </w:r>
          </w:p>
        </w:tc>
        <w:tc>
          <w:tcPr>
            <w:tcW w:w="4202" w:type="dxa"/>
            <w:shd w:val="clear" w:color="auto" w:fill="auto"/>
          </w:tcPr>
          <w:p w14:paraId="179FBB62" w14:textId="77777777" w:rsidR="00784FA9" w:rsidRPr="00D604EE" w:rsidRDefault="00784FA9" w:rsidP="007E3239">
            <w:pPr>
              <w:pStyle w:val="TableText"/>
              <w:spacing w:before="40" w:after="40"/>
              <w:rPr>
                <w:rFonts w:eastAsia="Arial Bold"/>
              </w:rPr>
            </w:pPr>
            <w:r w:rsidRPr="00D604EE">
              <w:rPr>
                <w:rFonts w:eastAsia="Arial Bold"/>
              </w:rPr>
              <w:t>High producing grassland</w:t>
            </w:r>
          </w:p>
        </w:tc>
      </w:tr>
      <w:tr w:rsidR="00784FA9" w:rsidRPr="00D604EE" w14:paraId="5080A512" w14:textId="77777777" w:rsidTr="00BA5EDE">
        <w:tc>
          <w:tcPr>
            <w:tcW w:w="2427" w:type="dxa"/>
            <w:tcBorders>
              <w:top w:val="nil"/>
              <w:bottom w:val="nil"/>
            </w:tcBorders>
            <w:shd w:val="clear" w:color="auto" w:fill="auto"/>
          </w:tcPr>
          <w:p w14:paraId="078EA881" w14:textId="77777777" w:rsidR="00784FA9" w:rsidRPr="00D604EE" w:rsidRDefault="00784FA9" w:rsidP="007E3239">
            <w:pPr>
              <w:pStyle w:val="TableText"/>
              <w:spacing w:before="40" w:after="40"/>
              <w:rPr>
                <w:rFonts w:eastAsia="Arial Bold"/>
              </w:rPr>
            </w:pPr>
          </w:p>
        </w:tc>
        <w:tc>
          <w:tcPr>
            <w:tcW w:w="4202" w:type="dxa"/>
            <w:shd w:val="clear" w:color="auto" w:fill="auto"/>
          </w:tcPr>
          <w:p w14:paraId="06E313F0" w14:textId="77777777" w:rsidR="00784FA9" w:rsidRPr="00D604EE" w:rsidRDefault="00784FA9" w:rsidP="007E3239">
            <w:pPr>
              <w:pStyle w:val="TableText"/>
              <w:spacing w:before="40" w:after="40"/>
              <w:rPr>
                <w:rFonts w:eastAsia="Arial Bold"/>
              </w:rPr>
            </w:pPr>
            <w:r w:rsidRPr="00D604EE">
              <w:rPr>
                <w:rFonts w:eastAsia="Arial Bold"/>
              </w:rPr>
              <w:t>Low producing grassland</w:t>
            </w:r>
          </w:p>
        </w:tc>
      </w:tr>
      <w:tr w:rsidR="00784FA9" w:rsidRPr="00D604EE" w14:paraId="37D00870" w14:textId="77777777" w:rsidTr="00BA5EDE">
        <w:tc>
          <w:tcPr>
            <w:tcW w:w="2427" w:type="dxa"/>
            <w:tcBorders>
              <w:top w:val="nil"/>
            </w:tcBorders>
            <w:shd w:val="clear" w:color="auto" w:fill="auto"/>
          </w:tcPr>
          <w:p w14:paraId="724976EE" w14:textId="77777777" w:rsidR="00784FA9" w:rsidRPr="00D604EE" w:rsidRDefault="00784FA9" w:rsidP="007E3239">
            <w:pPr>
              <w:pStyle w:val="TableText"/>
              <w:spacing w:before="40" w:after="40"/>
              <w:rPr>
                <w:rFonts w:eastAsia="Arial Bold"/>
              </w:rPr>
            </w:pPr>
          </w:p>
        </w:tc>
        <w:tc>
          <w:tcPr>
            <w:tcW w:w="4202" w:type="dxa"/>
            <w:shd w:val="clear" w:color="auto" w:fill="auto"/>
          </w:tcPr>
          <w:p w14:paraId="07648F09" w14:textId="77777777" w:rsidR="00784FA9" w:rsidRPr="00D604EE" w:rsidRDefault="00784FA9" w:rsidP="007E3239">
            <w:pPr>
              <w:pStyle w:val="TableText"/>
              <w:spacing w:before="40" w:after="40"/>
              <w:rPr>
                <w:rFonts w:eastAsia="Arial Bold"/>
              </w:rPr>
            </w:pPr>
            <w:r w:rsidRPr="00D604EE">
              <w:rPr>
                <w:rFonts w:eastAsia="Arial Bold"/>
              </w:rPr>
              <w:t>Grassland with woody biomass</w:t>
            </w:r>
          </w:p>
        </w:tc>
      </w:tr>
      <w:tr w:rsidR="00784FA9" w:rsidRPr="00D604EE" w14:paraId="2A0BC9DA" w14:textId="77777777" w:rsidTr="00BA5EDE">
        <w:tc>
          <w:tcPr>
            <w:tcW w:w="2427" w:type="dxa"/>
            <w:tcBorders>
              <w:bottom w:val="nil"/>
            </w:tcBorders>
            <w:shd w:val="clear" w:color="auto" w:fill="auto"/>
          </w:tcPr>
          <w:p w14:paraId="42E0850F" w14:textId="77777777" w:rsidR="00784FA9" w:rsidRPr="00D604EE" w:rsidRDefault="00784FA9" w:rsidP="007E3239">
            <w:pPr>
              <w:pStyle w:val="TableText"/>
              <w:spacing w:before="40" w:after="40"/>
            </w:pPr>
            <w:r w:rsidRPr="00D604EE">
              <w:t>Wetlands</w:t>
            </w:r>
          </w:p>
        </w:tc>
        <w:tc>
          <w:tcPr>
            <w:tcW w:w="4202" w:type="dxa"/>
            <w:shd w:val="clear" w:color="auto" w:fill="auto"/>
          </w:tcPr>
          <w:p w14:paraId="3A5D5828" w14:textId="77777777" w:rsidR="00784FA9" w:rsidRPr="00D604EE" w:rsidRDefault="00784FA9" w:rsidP="007E3239">
            <w:pPr>
              <w:pStyle w:val="TableText"/>
              <w:keepNext/>
              <w:spacing w:before="40" w:after="40"/>
              <w:rPr>
                <w:rFonts w:eastAsia="Arial Bold"/>
              </w:rPr>
            </w:pPr>
            <w:r w:rsidRPr="00D604EE">
              <w:rPr>
                <w:rFonts w:eastAsia="Arial Bold"/>
              </w:rPr>
              <w:t xml:space="preserve">Open water </w:t>
            </w:r>
          </w:p>
        </w:tc>
      </w:tr>
      <w:tr w:rsidR="00784FA9" w:rsidRPr="00D604EE" w14:paraId="769043D0" w14:textId="77777777" w:rsidTr="00BA5EDE">
        <w:tc>
          <w:tcPr>
            <w:tcW w:w="2427" w:type="dxa"/>
            <w:tcBorders>
              <w:top w:val="nil"/>
            </w:tcBorders>
            <w:shd w:val="clear" w:color="auto" w:fill="auto"/>
          </w:tcPr>
          <w:p w14:paraId="214B8970" w14:textId="77777777" w:rsidR="00784FA9" w:rsidRPr="00D604EE" w:rsidRDefault="00784FA9" w:rsidP="007E3239">
            <w:pPr>
              <w:pStyle w:val="TableText"/>
              <w:spacing w:before="40" w:after="40"/>
            </w:pPr>
          </w:p>
        </w:tc>
        <w:tc>
          <w:tcPr>
            <w:tcW w:w="4202" w:type="dxa"/>
            <w:shd w:val="clear" w:color="auto" w:fill="auto"/>
          </w:tcPr>
          <w:p w14:paraId="69E44DF9" w14:textId="77777777" w:rsidR="00784FA9" w:rsidRPr="00D604EE" w:rsidRDefault="00784FA9" w:rsidP="007E3239">
            <w:pPr>
              <w:pStyle w:val="TableText"/>
              <w:keepNext/>
              <w:spacing w:before="40" w:after="40"/>
              <w:rPr>
                <w:rFonts w:eastAsia="Arial Bold"/>
              </w:rPr>
            </w:pPr>
            <w:r w:rsidRPr="00D604EE">
              <w:rPr>
                <w:rFonts w:eastAsia="Arial Bold"/>
              </w:rPr>
              <w:t>Vegetated wetland</w:t>
            </w:r>
          </w:p>
        </w:tc>
      </w:tr>
      <w:tr w:rsidR="00784FA9" w:rsidRPr="00D604EE" w14:paraId="01954417" w14:textId="77777777" w:rsidTr="00CF35E2">
        <w:tc>
          <w:tcPr>
            <w:tcW w:w="2427" w:type="dxa"/>
            <w:shd w:val="clear" w:color="auto" w:fill="auto"/>
          </w:tcPr>
          <w:p w14:paraId="17867428" w14:textId="77777777" w:rsidR="00784FA9" w:rsidRPr="00D604EE" w:rsidRDefault="00784FA9" w:rsidP="007E3239">
            <w:pPr>
              <w:pStyle w:val="TableText"/>
              <w:spacing w:before="40" w:after="40"/>
              <w:rPr>
                <w:rFonts w:eastAsia="Arial Bold"/>
              </w:rPr>
            </w:pPr>
            <w:r w:rsidRPr="00D604EE">
              <w:rPr>
                <w:rFonts w:eastAsia="Arial Bold"/>
              </w:rPr>
              <w:t>Settlements</w:t>
            </w:r>
          </w:p>
        </w:tc>
        <w:tc>
          <w:tcPr>
            <w:tcW w:w="4202" w:type="dxa"/>
            <w:shd w:val="clear" w:color="auto" w:fill="auto"/>
          </w:tcPr>
          <w:p w14:paraId="1C22E419" w14:textId="77777777" w:rsidR="00784FA9" w:rsidRPr="00D604EE" w:rsidRDefault="00784FA9" w:rsidP="007E3239">
            <w:pPr>
              <w:pStyle w:val="TableText"/>
              <w:spacing w:before="40" w:after="40"/>
              <w:rPr>
                <w:rFonts w:eastAsia="Arial Bold"/>
              </w:rPr>
            </w:pPr>
            <w:r w:rsidRPr="00D604EE">
              <w:rPr>
                <w:rFonts w:eastAsia="Arial Bold"/>
              </w:rPr>
              <w:t>Settlements</w:t>
            </w:r>
          </w:p>
        </w:tc>
      </w:tr>
      <w:tr w:rsidR="00784FA9" w:rsidRPr="00D604EE" w14:paraId="6C3E092A" w14:textId="77777777" w:rsidTr="00CF35E2">
        <w:tc>
          <w:tcPr>
            <w:tcW w:w="2427" w:type="dxa"/>
            <w:shd w:val="clear" w:color="auto" w:fill="auto"/>
          </w:tcPr>
          <w:p w14:paraId="5661D1E3" w14:textId="77777777" w:rsidR="00784FA9" w:rsidRPr="00D604EE" w:rsidRDefault="00784FA9" w:rsidP="007E3239">
            <w:pPr>
              <w:pStyle w:val="TableText"/>
              <w:spacing w:before="40" w:after="40"/>
              <w:rPr>
                <w:rFonts w:eastAsia="Arial Bold"/>
              </w:rPr>
            </w:pPr>
            <w:r w:rsidRPr="00D604EE">
              <w:rPr>
                <w:rFonts w:eastAsia="Arial Bold"/>
              </w:rPr>
              <w:t>Other land</w:t>
            </w:r>
          </w:p>
        </w:tc>
        <w:tc>
          <w:tcPr>
            <w:tcW w:w="4202" w:type="dxa"/>
            <w:shd w:val="clear" w:color="auto" w:fill="auto"/>
          </w:tcPr>
          <w:p w14:paraId="01BDDFC4" w14:textId="77777777" w:rsidR="00784FA9" w:rsidRPr="00D604EE" w:rsidRDefault="00784FA9" w:rsidP="007E3239">
            <w:pPr>
              <w:pStyle w:val="TableText"/>
              <w:spacing w:before="40" w:after="40"/>
              <w:rPr>
                <w:rFonts w:eastAsia="Arial Bold"/>
              </w:rPr>
            </w:pPr>
            <w:r w:rsidRPr="00D604EE">
              <w:rPr>
                <w:rFonts w:eastAsia="Arial Bold"/>
              </w:rPr>
              <w:t>Other land</w:t>
            </w:r>
          </w:p>
        </w:tc>
      </w:tr>
    </w:tbl>
    <w:p w14:paraId="22F27B7C" w14:textId="77777777" w:rsidR="00784FA9" w:rsidRPr="00D604EE" w:rsidRDefault="00784FA9" w:rsidP="00784FA9">
      <w:pPr>
        <w:pStyle w:val="Noteundertable"/>
        <w:spacing w:after="0"/>
      </w:pPr>
      <w:r w:rsidRPr="00D604EE">
        <w:rPr>
          <w:b/>
        </w:rPr>
        <w:t>Note:</w:t>
      </w:r>
      <w:r w:rsidRPr="00D604EE">
        <w:tab/>
        <w:t>(1) Mapped as a single land use but stratified into ‘post-1989 natural forest’ and ‘post-1989 planted forest’ for calculating carbon stock and stock change using data from the plot network.</w:t>
      </w:r>
    </w:p>
    <w:p w14:paraId="4B780BC1" w14:textId="77777777" w:rsidR="00784FA9" w:rsidRPr="00D604EE" w:rsidRDefault="00784FA9" w:rsidP="00784FA9">
      <w:pPr>
        <w:pStyle w:val="BodyText"/>
        <w:spacing w:after="100"/>
      </w:pPr>
      <w:r w:rsidRPr="00D604EE">
        <w:t>The land uses were chosen for their conformance with the dominant types in New Zealand, while still enabling reporting under the land use categories specified in the 2006 IPCC Guidelines</w:t>
      </w:r>
      <w:r w:rsidRPr="00D604EE" w:rsidDel="00663F9D">
        <w:t xml:space="preserve"> </w:t>
      </w:r>
      <w:r w:rsidRPr="00D604EE">
        <w:t xml:space="preserve">(IPCC, 2006a). </w:t>
      </w:r>
    </w:p>
    <w:p w14:paraId="5767BE6F" w14:textId="77777777" w:rsidR="00784FA9" w:rsidRPr="00D604EE" w:rsidRDefault="00784FA9" w:rsidP="00784FA9">
      <w:pPr>
        <w:pStyle w:val="BodyText"/>
        <w:spacing w:before="100" w:after="100"/>
      </w:pPr>
      <w:r w:rsidRPr="00D604EE">
        <w:t xml:space="preserve">The national thresholds used by New Zealand to define </w:t>
      </w:r>
      <w:r w:rsidRPr="00D604EE">
        <w:rPr>
          <w:i/>
        </w:rPr>
        <w:t>Forest land</w:t>
      </w:r>
      <w:r w:rsidRPr="00D604EE">
        <w:t xml:space="preserve"> are: </w:t>
      </w:r>
    </w:p>
    <w:p w14:paraId="42018190" w14:textId="77777777" w:rsidR="00784FA9" w:rsidRPr="00D604EE" w:rsidRDefault="00784FA9" w:rsidP="00AB2A5C">
      <w:pPr>
        <w:pStyle w:val="Bullet"/>
        <w:numPr>
          <w:ilvl w:val="0"/>
          <w:numId w:val="19"/>
        </w:numPr>
        <w:spacing w:after="100"/>
        <w:ind w:left="397" w:hanging="397"/>
      </w:pPr>
      <w:r w:rsidRPr="00D604EE">
        <w:t>a minimum area of 1 hectare</w:t>
      </w:r>
    </w:p>
    <w:p w14:paraId="4ED457F7" w14:textId="77777777" w:rsidR="00784FA9" w:rsidRPr="00D604EE" w:rsidRDefault="00784FA9" w:rsidP="00AB2A5C">
      <w:pPr>
        <w:pStyle w:val="Bullet"/>
        <w:numPr>
          <w:ilvl w:val="0"/>
          <w:numId w:val="19"/>
        </w:numPr>
        <w:spacing w:after="100"/>
        <w:ind w:left="397" w:hanging="397"/>
      </w:pPr>
      <w:r w:rsidRPr="00D604EE">
        <w:t>a crown cover of at least 30 per cent</w:t>
      </w:r>
    </w:p>
    <w:p w14:paraId="433F72BA" w14:textId="77777777" w:rsidR="00784FA9" w:rsidRPr="00D604EE" w:rsidRDefault="00784FA9" w:rsidP="00AB2A5C">
      <w:pPr>
        <w:pStyle w:val="Bullet"/>
        <w:numPr>
          <w:ilvl w:val="0"/>
          <w:numId w:val="19"/>
        </w:numPr>
        <w:spacing w:after="100"/>
        <w:ind w:left="397" w:hanging="397"/>
      </w:pPr>
      <w:r w:rsidRPr="00D604EE">
        <w:t xml:space="preserve">a minimum height of 5 metres at maturity </w:t>
      </w:r>
      <w:r w:rsidRPr="00D604EE">
        <w:rPr>
          <w:i/>
          <w:iCs/>
        </w:rPr>
        <w:t>in situ</w:t>
      </w:r>
      <w:r w:rsidRPr="00D604EE">
        <w:t xml:space="preserve"> (Ministry for the Environment, 2006)</w:t>
      </w:r>
    </w:p>
    <w:p w14:paraId="742114CC" w14:textId="77777777" w:rsidR="00784FA9" w:rsidRPr="00D604EE" w:rsidRDefault="00784FA9" w:rsidP="00AB2A5C">
      <w:pPr>
        <w:pStyle w:val="Bullet"/>
        <w:numPr>
          <w:ilvl w:val="0"/>
          <w:numId w:val="19"/>
        </w:numPr>
        <w:ind w:left="397" w:hanging="397"/>
      </w:pPr>
      <w:r w:rsidRPr="00D604EE">
        <w:t xml:space="preserve">a minimum forest width of 30 metres from canopy edge to canopy edge. </w:t>
      </w:r>
    </w:p>
    <w:p w14:paraId="3427BE09" w14:textId="77777777" w:rsidR="00784FA9" w:rsidRPr="00D604EE" w:rsidRDefault="00784FA9" w:rsidP="00784FA9">
      <w:pPr>
        <w:pStyle w:val="BodyText"/>
        <w:spacing w:before="100" w:after="100"/>
      </w:pPr>
      <w:r w:rsidRPr="00D604EE">
        <w:t xml:space="preserve">The definitions of New Zealand’s land uses, as they have been mapped, are provided in table 6.2.3. Further details are included in </w:t>
      </w:r>
      <w:r w:rsidRPr="00D604EE">
        <w:rPr>
          <w:i/>
        </w:rPr>
        <w:t>Land Use and Carbon Analysis System:</w:t>
      </w:r>
      <w:r w:rsidRPr="00D604EE">
        <w:t xml:space="preserve"> </w:t>
      </w:r>
      <w:r w:rsidRPr="00D604EE">
        <w:rPr>
          <w:i/>
        </w:rPr>
        <w:t xml:space="preserve">Satellite imagery interpretation guide for land use classes </w:t>
      </w:r>
      <w:r w:rsidRPr="00D604EE">
        <w:t>(2nd edition) (Ministry for the Environment, 2012).</w:t>
      </w:r>
    </w:p>
    <w:p w14:paraId="73B236B5" w14:textId="77777777" w:rsidR="00784FA9" w:rsidRPr="00D604EE" w:rsidRDefault="00784FA9" w:rsidP="00784FA9">
      <w:pPr>
        <w:pStyle w:val="Table"/>
      </w:pPr>
      <w:bookmarkStart w:id="1452" w:name="_Toc280630452"/>
      <w:bookmarkStart w:id="1453" w:name="_Toc310423400"/>
      <w:bookmarkStart w:id="1454" w:name="_Toc318362693"/>
      <w:bookmarkStart w:id="1455" w:name="_Toc342470755"/>
      <w:bookmarkStart w:id="1456" w:name="_Toc352504995"/>
      <w:bookmarkStart w:id="1457" w:name="_Toc361645343"/>
      <w:bookmarkStart w:id="1458" w:name="_Toc378853281"/>
      <w:bookmarkStart w:id="1459" w:name="_Toc391024079"/>
      <w:bookmarkStart w:id="1460" w:name="_Toc410028822"/>
      <w:bookmarkStart w:id="1461" w:name="_Toc414531450"/>
      <w:bookmarkStart w:id="1462" w:name="_Toc443645363"/>
      <w:bookmarkStart w:id="1463" w:name="_Toc474914582"/>
      <w:bookmarkStart w:id="1464" w:name="_Toc481751546"/>
      <w:bookmarkStart w:id="1465" w:name="_Toc522010603"/>
      <w:bookmarkStart w:id="1466" w:name="_Toc5269508"/>
      <w:bookmarkStart w:id="1467" w:name="_Toc33529384"/>
      <w:bookmarkStart w:id="1468" w:name="_Toc36224590"/>
      <w:bookmarkStart w:id="1469" w:name="_Toc65243585"/>
      <w:bookmarkStart w:id="1470" w:name="_Toc99659279"/>
      <w:r w:rsidRPr="00D604EE">
        <w:t>Table 6.2.3</w:t>
      </w:r>
      <w:r w:rsidRPr="00D604EE">
        <w:tab/>
        <w:t>New Zealand’s mapping definitions for each land use</w:t>
      </w:r>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p>
    <w:tbl>
      <w:tblPr>
        <w:tblW w:w="8505" w:type="dxa"/>
        <w:tblInd w:w="108" w:type="dxa"/>
        <w:tblLook w:val="01E0" w:firstRow="1" w:lastRow="1" w:firstColumn="1" w:lastColumn="1" w:noHBand="0" w:noVBand="0"/>
      </w:tblPr>
      <w:tblGrid>
        <w:gridCol w:w="1276"/>
        <w:gridCol w:w="7229"/>
      </w:tblGrid>
      <w:tr w:rsidR="00784FA9" w:rsidRPr="00D604EE" w14:paraId="4DD5F266" w14:textId="77777777" w:rsidTr="008E2C32">
        <w:trPr>
          <w:tblHeader/>
        </w:trPr>
        <w:tc>
          <w:tcPr>
            <w:tcW w:w="1276" w:type="dxa"/>
            <w:tcBorders>
              <w:top w:val="single" w:sz="4" w:space="0" w:color="1B556B"/>
              <w:bottom w:val="single" w:sz="4" w:space="0" w:color="1B556B"/>
            </w:tcBorders>
            <w:shd w:val="clear" w:color="auto" w:fill="1B556B"/>
          </w:tcPr>
          <w:p w14:paraId="16E9BCFC" w14:textId="77777777" w:rsidR="00784FA9" w:rsidRPr="00D604EE" w:rsidRDefault="00784FA9" w:rsidP="007E3239">
            <w:pPr>
              <w:pStyle w:val="TableTextBold"/>
              <w:rPr>
                <w:noProof w:val="0"/>
                <w:color w:val="FFFFFF"/>
              </w:rPr>
            </w:pPr>
            <w:r w:rsidRPr="00D604EE">
              <w:rPr>
                <w:noProof w:val="0"/>
                <w:color w:val="FFFFFF"/>
              </w:rPr>
              <w:t>Land use</w:t>
            </w:r>
          </w:p>
        </w:tc>
        <w:tc>
          <w:tcPr>
            <w:tcW w:w="7229" w:type="dxa"/>
            <w:tcBorders>
              <w:top w:val="single" w:sz="4" w:space="0" w:color="1B556B"/>
              <w:bottom w:val="single" w:sz="4" w:space="0" w:color="1B556B"/>
            </w:tcBorders>
            <w:shd w:val="clear" w:color="auto" w:fill="1B556B"/>
            <w:vAlign w:val="bottom"/>
          </w:tcPr>
          <w:p w14:paraId="2003D382" w14:textId="77777777" w:rsidR="00784FA9" w:rsidRPr="00D604EE" w:rsidRDefault="00784FA9" w:rsidP="007E3239">
            <w:pPr>
              <w:pStyle w:val="TableTextBold"/>
              <w:rPr>
                <w:noProof w:val="0"/>
                <w:color w:val="FFFFFF"/>
              </w:rPr>
            </w:pPr>
            <w:r w:rsidRPr="00D604EE">
              <w:rPr>
                <w:noProof w:val="0"/>
                <w:color w:val="FFFFFF"/>
              </w:rPr>
              <w:t>Definition</w:t>
            </w:r>
          </w:p>
        </w:tc>
      </w:tr>
      <w:tr w:rsidR="00784FA9" w:rsidRPr="00D604EE" w14:paraId="633F2663" w14:textId="77777777" w:rsidTr="00152965">
        <w:tc>
          <w:tcPr>
            <w:tcW w:w="1276" w:type="dxa"/>
            <w:tcBorders>
              <w:top w:val="single" w:sz="4" w:space="0" w:color="1B556B"/>
              <w:bottom w:val="single" w:sz="4" w:space="0" w:color="1B556B"/>
            </w:tcBorders>
          </w:tcPr>
          <w:p w14:paraId="23C11A88" w14:textId="77777777" w:rsidR="00784FA9" w:rsidRPr="00D604EE" w:rsidRDefault="00784FA9" w:rsidP="007E3239">
            <w:pPr>
              <w:pStyle w:val="TableText"/>
              <w:rPr>
                <w:b/>
              </w:rPr>
            </w:pPr>
            <w:r w:rsidRPr="00D604EE">
              <w:rPr>
                <w:b/>
              </w:rPr>
              <w:t xml:space="preserve">Pre-1990 natural forest </w:t>
            </w:r>
          </w:p>
        </w:tc>
        <w:tc>
          <w:tcPr>
            <w:tcW w:w="7229" w:type="dxa"/>
            <w:tcBorders>
              <w:top w:val="single" w:sz="4" w:space="0" w:color="1B556B"/>
              <w:bottom w:val="single" w:sz="4" w:space="0" w:color="1B556B"/>
            </w:tcBorders>
          </w:tcPr>
          <w:p w14:paraId="4223A753" w14:textId="77777777" w:rsidR="00784FA9" w:rsidRPr="00D604EE" w:rsidRDefault="00784FA9" w:rsidP="007E3239">
            <w:pPr>
              <w:pStyle w:val="TableText"/>
              <w:spacing w:after="40"/>
            </w:pPr>
            <w:r w:rsidRPr="00D604EE">
              <w:t>Areas that, on 1 January 1990, were and presently include:</w:t>
            </w:r>
          </w:p>
          <w:p w14:paraId="6CD705C6" w14:textId="77777777" w:rsidR="00784FA9" w:rsidRPr="00D604EE" w:rsidRDefault="00784FA9" w:rsidP="007F4746">
            <w:pPr>
              <w:pStyle w:val="TableBullet"/>
            </w:pPr>
            <w:r w:rsidRPr="00D604EE">
              <w:t xml:space="preserve">tall indigenous forest </w:t>
            </w:r>
          </w:p>
          <w:p w14:paraId="100568FB" w14:textId="77777777" w:rsidR="00784FA9" w:rsidRPr="00D604EE" w:rsidRDefault="00784FA9" w:rsidP="007F4746">
            <w:pPr>
              <w:pStyle w:val="TableBullet"/>
            </w:pPr>
            <w:r w:rsidRPr="00D604EE">
              <w:t>self-sown exotic trees, such as wilding pines and grey willows (where managed as forest)</w:t>
            </w:r>
          </w:p>
          <w:p w14:paraId="3A9915F6" w14:textId="77777777" w:rsidR="00784FA9" w:rsidRPr="00D604EE" w:rsidRDefault="00784FA9" w:rsidP="007F4746">
            <w:pPr>
              <w:pStyle w:val="TableBullet"/>
            </w:pPr>
            <w:r w:rsidRPr="00D604EE">
              <w:t>broadleaved hardwood shrubland, m</w:t>
            </w:r>
            <w:r w:rsidRPr="00D604EE">
              <w:rPr>
                <w:rFonts w:cs="Arial Bold"/>
              </w:rPr>
              <w:t>ā</w:t>
            </w:r>
            <w:r w:rsidRPr="00D604EE">
              <w:t>nuka–k</w:t>
            </w:r>
            <w:r w:rsidRPr="00D604EE">
              <w:rPr>
                <w:rFonts w:cs="Arial Bold"/>
              </w:rPr>
              <w:t>ā</w:t>
            </w:r>
            <w:r w:rsidRPr="00D604EE">
              <w:t>nuka (</w:t>
            </w:r>
            <w:r w:rsidRPr="00D604EE">
              <w:rPr>
                <w:i/>
              </w:rPr>
              <w:t>Leptospermum</w:t>
            </w:r>
            <w:r w:rsidRPr="00D604EE">
              <w:t xml:space="preserve"> </w:t>
            </w:r>
            <w:r w:rsidRPr="00D604EE">
              <w:rPr>
                <w:i/>
              </w:rPr>
              <w:t>scoparium</w:t>
            </w:r>
            <w:r w:rsidRPr="00D604EE">
              <w:t>–</w:t>
            </w:r>
            <w:r w:rsidRPr="00D604EE">
              <w:rPr>
                <w:i/>
              </w:rPr>
              <w:t>Kunzea</w:t>
            </w:r>
            <w:r w:rsidRPr="00D604EE">
              <w:t xml:space="preserve"> spp.) shrubland and other woody shrubland (≥30 per cent cover, with potential to reach ≥5 metres at maturity </w:t>
            </w:r>
            <w:r w:rsidRPr="00D604EE">
              <w:rPr>
                <w:i/>
              </w:rPr>
              <w:t>in situ</w:t>
            </w:r>
            <w:r w:rsidRPr="00D604EE">
              <w:t xml:space="preserve"> under current land management within 30–40 years)</w:t>
            </w:r>
          </w:p>
          <w:p w14:paraId="1DEC61B9" w14:textId="77777777" w:rsidR="00784FA9" w:rsidRPr="00D604EE" w:rsidRDefault="00784FA9" w:rsidP="007F4746">
            <w:pPr>
              <w:pStyle w:val="TableBullet"/>
            </w:pPr>
            <w:r w:rsidRPr="00D604EE">
              <w:t xml:space="preserve">areas of bare ground of any size that were previously forested but, due to natural disturbances (e.g., erosion, storms, fire), have temporarily lost vegetation cover </w:t>
            </w:r>
          </w:p>
          <w:p w14:paraId="106DCA81" w14:textId="77777777" w:rsidR="00784FA9" w:rsidRPr="00D604EE" w:rsidRDefault="00784FA9" w:rsidP="007F4746">
            <w:pPr>
              <w:pStyle w:val="TableBullet"/>
            </w:pPr>
            <w:r w:rsidRPr="00D604EE">
              <w:t xml:space="preserve">areas that were planted forest at 1990 but are subsequently managed to regenerate with natural species that will meet the forest definition </w:t>
            </w:r>
          </w:p>
          <w:p w14:paraId="5EFE779A" w14:textId="77777777" w:rsidR="00784FA9" w:rsidRPr="00D604EE" w:rsidRDefault="00784FA9" w:rsidP="007F4746">
            <w:pPr>
              <w:pStyle w:val="TableBullet"/>
            </w:pPr>
            <w:r w:rsidRPr="00D604EE">
              <w:t>roads and tracks less than 30 metres in width and other temporarily unstocked areas associated with a forest land use.</w:t>
            </w:r>
          </w:p>
        </w:tc>
      </w:tr>
      <w:tr w:rsidR="00784FA9" w:rsidRPr="00D604EE" w14:paraId="4116079C" w14:textId="77777777" w:rsidTr="00152965">
        <w:tc>
          <w:tcPr>
            <w:tcW w:w="1276" w:type="dxa"/>
            <w:tcBorders>
              <w:top w:val="single" w:sz="4" w:space="0" w:color="1B556B"/>
              <w:bottom w:val="single" w:sz="4" w:space="0" w:color="1B556B"/>
            </w:tcBorders>
          </w:tcPr>
          <w:p w14:paraId="08B07CD5" w14:textId="77777777" w:rsidR="00784FA9" w:rsidRPr="00D604EE" w:rsidRDefault="00784FA9" w:rsidP="007E3239">
            <w:pPr>
              <w:pStyle w:val="TableText"/>
              <w:keepNext/>
              <w:rPr>
                <w:b/>
              </w:rPr>
            </w:pPr>
            <w:r w:rsidRPr="00D604EE">
              <w:rPr>
                <w:b/>
              </w:rPr>
              <w:lastRenderedPageBreak/>
              <w:t>Pre-1990 planted forest</w:t>
            </w:r>
          </w:p>
        </w:tc>
        <w:tc>
          <w:tcPr>
            <w:tcW w:w="7229" w:type="dxa"/>
            <w:tcBorders>
              <w:top w:val="single" w:sz="4" w:space="0" w:color="1B556B"/>
              <w:bottom w:val="single" w:sz="4" w:space="0" w:color="1B556B"/>
            </w:tcBorders>
          </w:tcPr>
          <w:p w14:paraId="75B1BB30" w14:textId="77777777" w:rsidR="00784FA9" w:rsidRPr="00D604EE" w:rsidRDefault="00784FA9" w:rsidP="007E3239">
            <w:pPr>
              <w:pStyle w:val="TableText"/>
              <w:spacing w:after="40"/>
            </w:pPr>
            <w:r w:rsidRPr="00D604EE">
              <w:t>Areas that, on 1 January 1990, were and presently include:</w:t>
            </w:r>
          </w:p>
          <w:p w14:paraId="3E67090A" w14:textId="77777777" w:rsidR="00784FA9" w:rsidRPr="00D604EE" w:rsidRDefault="00784FA9" w:rsidP="007F4746">
            <w:pPr>
              <w:pStyle w:val="TableBullet"/>
            </w:pPr>
            <w:r w:rsidRPr="00D604EE">
              <w:t>radiata pine (</w:t>
            </w:r>
            <w:r w:rsidRPr="00D604EE">
              <w:rPr>
                <w:i/>
              </w:rPr>
              <w:t>Pinus radiata</w:t>
            </w:r>
            <w:r w:rsidRPr="00D604EE">
              <w:t>), Douglas fir (</w:t>
            </w:r>
            <w:r w:rsidRPr="00D604EE">
              <w:rPr>
                <w:i/>
              </w:rPr>
              <w:t>Pseudotsuga menziesii</w:t>
            </w:r>
            <w:r w:rsidRPr="00D604EE">
              <w:t>), eucalypts (</w:t>
            </w:r>
            <w:r w:rsidRPr="00D604EE">
              <w:rPr>
                <w:i/>
              </w:rPr>
              <w:t xml:space="preserve">Eucalyptus </w:t>
            </w:r>
            <w:r w:rsidRPr="00D604EE">
              <w:t xml:space="preserve">spp.) or other planted species (with potential to reach ≥5 metre height at maturity </w:t>
            </w:r>
            <w:r w:rsidRPr="00D604EE">
              <w:rPr>
                <w:i/>
              </w:rPr>
              <w:t>in situ</w:t>
            </w:r>
            <w:r w:rsidRPr="00D604EE">
              <w:t>) established before 1 January 1990 or replanted on land that was forest land as at 31 December 1989</w:t>
            </w:r>
          </w:p>
          <w:p w14:paraId="11D28DFE" w14:textId="77777777" w:rsidR="00784FA9" w:rsidRPr="00D604EE" w:rsidRDefault="00784FA9" w:rsidP="007F4746">
            <w:pPr>
              <w:pStyle w:val="TableBullet"/>
            </w:pPr>
            <w:r w:rsidRPr="00D604EE">
              <w:t>exotic forest species that were planted after 31 December 1989 on land that was natural forest</w:t>
            </w:r>
          </w:p>
          <w:p w14:paraId="559DF614" w14:textId="77777777" w:rsidR="00784FA9" w:rsidRPr="00D604EE" w:rsidRDefault="00784FA9" w:rsidP="007F4746">
            <w:pPr>
              <w:pStyle w:val="TableBullet"/>
            </w:pPr>
            <w:r w:rsidRPr="00D604EE">
              <w:t>riparian or erosion control plantings that meet the forest definition and that were planted before 1 January 1990</w:t>
            </w:r>
          </w:p>
          <w:p w14:paraId="27F64EEF" w14:textId="77777777" w:rsidR="00784FA9" w:rsidRPr="00D604EE" w:rsidRDefault="00784FA9" w:rsidP="007F4746">
            <w:pPr>
              <w:pStyle w:val="TableBullet"/>
            </w:pPr>
            <w:r w:rsidRPr="00D604EE">
              <w:t>harvested areas within pre-1990 planted forest (assuming these will be replanted, unless deforestation is later detected)</w:t>
            </w:r>
          </w:p>
          <w:p w14:paraId="2F3EEF5B" w14:textId="77777777" w:rsidR="00784FA9" w:rsidRPr="00D604EE" w:rsidRDefault="00784FA9" w:rsidP="007F4746">
            <w:pPr>
              <w:pStyle w:val="TableBullet"/>
            </w:pPr>
            <w:r w:rsidRPr="00D604EE">
              <w:t xml:space="preserve">roads, tracks, skid sites and other temporarily unstocked areas less than 30 metres in width associated with a forest land use </w:t>
            </w:r>
          </w:p>
          <w:p w14:paraId="1C71494E" w14:textId="77777777" w:rsidR="00784FA9" w:rsidRPr="00D604EE" w:rsidRDefault="00784FA9" w:rsidP="007F4746">
            <w:pPr>
              <w:pStyle w:val="TableBullet"/>
            </w:pPr>
            <w:r w:rsidRPr="00D604EE">
              <w:t>areas of bare ground of any size that were previously forested at 31 December 1989 but, due to natural disturbances (e.g., erosion, storms, fire), have lost vegetation cover.</w:t>
            </w:r>
          </w:p>
        </w:tc>
      </w:tr>
      <w:tr w:rsidR="00784FA9" w:rsidRPr="00D604EE" w14:paraId="73DEB83F" w14:textId="77777777" w:rsidTr="00152965">
        <w:tc>
          <w:tcPr>
            <w:tcW w:w="1276" w:type="dxa"/>
            <w:tcBorders>
              <w:top w:val="single" w:sz="4" w:space="0" w:color="1B556B"/>
              <w:bottom w:val="single" w:sz="4" w:space="0" w:color="1B556B"/>
            </w:tcBorders>
          </w:tcPr>
          <w:p w14:paraId="052EB016" w14:textId="77777777" w:rsidR="00784FA9" w:rsidRPr="00D604EE" w:rsidRDefault="00784FA9" w:rsidP="007E3239">
            <w:pPr>
              <w:pStyle w:val="TableText"/>
              <w:rPr>
                <w:b/>
              </w:rPr>
            </w:pPr>
            <w:r w:rsidRPr="00D604EE">
              <w:rPr>
                <w:b/>
              </w:rPr>
              <w:t xml:space="preserve">Post-1989 forest </w:t>
            </w:r>
          </w:p>
        </w:tc>
        <w:tc>
          <w:tcPr>
            <w:tcW w:w="7229" w:type="dxa"/>
            <w:tcBorders>
              <w:top w:val="single" w:sz="4" w:space="0" w:color="1B556B"/>
              <w:bottom w:val="single" w:sz="4" w:space="0" w:color="1B556B"/>
            </w:tcBorders>
          </w:tcPr>
          <w:p w14:paraId="6B25E93F" w14:textId="77777777" w:rsidR="00784FA9" w:rsidRPr="00D604EE" w:rsidRDefault="00784FA9" w:rsidP="007E3239">
            <w:pPr>
              <w:pStyle w:val="TableText"/>
              <w:spacing w:after="40"/>
            </w:pPr>
            <w:r w:rsidRPr="00D604EE">
              <w:t>Includes post-1989 planted forest, which consists of:</w:t>
            </w:r>
          </w:p>
          <w:p w14:paraId="28720B00" w14:textId="77777777" w:rsidR="00784FA9" w:rsidRPr="00D604EE" w:rsidRDefault="00784FA9" w:rsidP="007F4746">
            <w:pPr>
              <w:pStyle w:val="TableBullet"/>
            </w:pPr>
            <w:r w:rsidRPr="00D604EE">
              <w:t>exotic forest (with the potential to reach ≥5 metre height at maturity</w:t>
            </w:r>
            <w:r w:rsidRPr="00D604EE">
              <w:rPr>
                <w:i/>
              </w:rPr>
              <w:t xml:space="preserve"> in situ</w:t>
            </w:r>
            <w:r w:rsidRPr="00D604EE">
              <w:t>) planted or established on land that was non-forest land as at 31 December 1989 (e.g., radiata pine, Douglas fir, eucalypts or other planted species)</w:t>
            </w:r>
          </w:p>
          <w:p w14:paraId="3A1CD53E" w14:textId="77777777" w:rsidR="00784FA9" w:rsidRPr="00D604EE" w:rsidRDefault="00784FA9" w:rsidP="007F4746">
            <w:pPr>
              <w:pStyle w:val="TableBullet"/>
            </w:pPr>
            <w:r w:rsidRPr="00D604EE">
              <w:t>riparian or erosion control plantings that meet the forest definition and that were planted after 31 December 1989</w:t>
            </w:r>
          </w:p>
          <w:p w14:paraId="7F2D87FB" w14:textId="77777777" w:rsidR="00784FA9" w:rsidRPr="00D604EE" w:rsidRDefault="00784FA9" w:rsidP="007F4746">
            <w:pPr>
              <w:pStyle w:val="TableBullet"/>
            </w:pPr>
            <w:r w:rsidRPr="00D604EE">
              <w:t>harvested areas within post-1989 forest land (assuming these will be replanted, unless deforestation is later detected).</w:t>
            </w:r>
          </w:p>
          <w:p w14:paraId="10C6ADEF" w14:textId="77777777" w:rsidR="00784FA9" w:rsidRPr="00D604EE" w:rsidRDefault="00784FA9" w:rsidP="00A60AE5">
            <w:pPr>
              <w:pStyle w:val="TableText"/>
              <w:spacing w:before="20" w:after="40"/>
            </w:pPr>
            <w:r w:rsidRPr="00D604EE">
              <w:t>Includes post-1989 natural forest, which consists of:</w:t>
            </w:r>
          </w:p>
          <w:p w14:paraId="310B6625" w14:textId="77777777" w:rsidR="00784FA9" w:rsidRPr="00D604EE" w:rsidRDefault="00784FA9" w:rsidP="007F4746">
            <w:pPr>
              <w:pStyle w:val="TableBullet"/>
            </w:pPr>
            <w:r w:rsidRPr="00D604EE">
              <w:t>forests arising from natural regeneration of indigenous tree species as a result of management change after 31 December 1989</w:t>
            </w:r>
          </w:p>
          <w:p w14:paraId="1D5A5563" w14:textId="77777777" w:rsidR="00784FA9" w:rsidRPr="00D604EE" w:rsidRDefault="00784FA9" w:rsidP="007F4746">
            <w:pPr>
              <w:pStyle w:val="TableBullet"/>
            </w:pPr>
            <w:r w:rsidRPr="00D604EE">
              <w:t>self-sown exotic trees, such as wilding conifers or grey willows, established after 31 December 1989 (where managed as forest).</w:t>
            </w:r>
          </w:p>
          <w:p w14:paraId="2D8A766E" w14:textId="77777777" w:rsidR="00784FA9" w:rsidRPr="00D604EE" w:rsidRDefault="00784FA9" w:rsidP="00A60AE5">
            <w:pPr>
              <w:pStyle w:val="TableText"/>
              <w:spacing w:before="20" w:after="40"/>
            </w:pPr>
            <w:r w:rsidRPr="00D604EE">
              <w:t>Includes areas within post-1989 natural forest or post-1989 planted forest that are:</w:t>
            </w:r>
          </w:p>
          <w:p w14:paraId="33EE2E08" w14:textId="77777777" w:rsidR="00784FA9" w:rsidRPr="00D604EE" w:rsidRDefault="00784FA9" w:rsidP="007F4746">
            <w:pPr>
              <w:pStyle w:val="TableBullet"/>
            </w:pPr>
            <w:r w:rsidRPr="00D604EE">
              <w:t>roads, tracks, skid sites and other temporarily unstocked areas associated with a forest land use</w:t>
            </w:r>
          </w:p>
          <w:p w14:paraId="5368BB1A" w14:textId="77777777" w:rsidR="00784FA9" w:rsidRPr="00D604EE" w:rsidRDefault="00784FA9" w:rsidP="007F4746">
            <w:pPr>
              <w:pStyle w:val="TableBullet"/>
            </w:pPr>
            <w:r w:rsidRPr="00D604EE">
              <w:t>areas of bare ground of any size that were previously forested (established after 31 December 1989) but, due to natural disturbances (e.g., erosion, storms, fire), have lost vegetation cover.</w:t>
            </w:r>
          </w:p>
        </w:tc>
      </w:tr>
      <w:tr w:rsidR="00784FA9" w:rsidRPr="00D604EE" w14:paraId="770FDD37" w14:textId="77777777" w:rsidTr="00152965">
        <w:tc>
          <w:tcPr>
            <w:tcW w:w="1276" w:type="dxa"/>
            <w:tcBorders>
              <w:top w:val="single" w:sz="4" w:space="0" w:color="1B556B"/>
              <w:bottom w:val="single" w:sz="4" w:space="0" w:color="1B556B"/>
            </w:tcBorders>
          </w:tcPr>
          <w:p w14:paraId="424F46FE" w14:textId="77777777" w:rsidR="00784FA9" w:rsidRPr="00D604EE" w:rsidRDefault="00784FA9" w:rsidP="007E3239">
            <w:pPr>
              <w:pStyle w:val="TableText"/>
              <w:rPr>
                <w:b/>
              </w:rPr>
            </w:pPr>
            <w:r w:rsidRPr="00D604EE">
              <w:rPr>
                <w:b/>
              </w:rPr>
              <w:t>Annual cropland</w:t>
            </w:r>
          </w:p>
        </w:tc>
        <w:tc>
          <w:tcPr>
            <w:tcW w:w="7229" w:type="dxa"/>
            <w:tcBorders>
              <w:top w:val="single" w:sz="4" w:space="0" w:color="1B556B"/>
              <w:bottom w:val="single" w:sz="4" w:space="0" w:color="1B556B"/>
            </w:tcBorders>
          </w:tcPr>
          <w:p w14:paraId="76634CB8" w14:textId="77777777" w:rsidR="00784FA9" w:rsidRPr="00D604EE" w:rsidRDefault="00784FA9" w:rsidP="007E3239">
            <w:pPr>
              <w:pStyle w:val="TableText"/>
              <w:spacing w:after="40"/>
            </w:pPr>
            <w:r w:rsidRPr="00D604EE">
              <w:t>Includes:</w:t>
            </w:r>
          </w:p>
          <w:p w14:paraId="5A8335DD" w14:textId="77777777" w:rsidR="00784FA9" w:rsidRPr="00D604EE" w:rsidRDefault="00784FA9" w:rsidP="007F4746">
            <w:pPr>
              <w:pStyle w:val="TableBullet"/>
            </w:pPr>
            <w:r w:rsidRPr="00D604EE">
              <w:t>all annual crops</w:t>
            </w:r>
          </w:p>
          <w:p w14:paraId="76B64569" w14:textId="77777777" w:rsidR="00784FA9" w:rsidRPr="00D604EE" w:rsidRDefault="00784FA9" w:rsidP="007F4746">
            <w:pPr>
              <w:pStyle w:val="TableBullet"/>
            </w:pPr>
            <w:r w:rsidRPr="00D604EE">
              <w:t>all cultivated bare ground</w:t>
            </w:r>
          </w:p>
          <w:p w14:paraId="4991BD16" w14:textId="77777777" w:rsidR="00784FA9" w:rsidRPr="00D604EE" w:rsidRDefault="00784FA9" w:rsidP="007F4746">
            <w:pPr>
              <w:pStyle w:val="TableBullet"/>
            </w:pPr>
            <w:r w:rsidRPr="00D604EE">
              <w:t>linear shelterbelts associated with annual cropland.</w:t>
            </w:r>
          </w:p>
        </w:tc>
      </w:tr>
      <w:tr w:rsidR="00784FA9" w:rsidRPr="00D604EE" w14:paraId="2FF3AAB7" w14:textId="77777777" w:rsidTr="00152965">
        <w:tc>
          <w:tcPr>
            <w:tcW w:w="1276" w:type="dxa"/>
            <w:tcBorders>
              <w:top w:val="single" w:sz="4" w:space="0" w:color="1B556B"/>
              <w:bottom w:val="single" w:sz="4" w:space="0" w:color="1B556B"/>
            </w:tcBorders>
          </w:tcPr>
          <w:p w14:paraId="36A67A39" w14:textId="77777777" w:rsidR="00784FA9" w:rsidRPr="00D604EE" w:rsidRDefault="00784FA9" w:rsidP="007E3239">
            <w:pPr>
              <w:pStyle w:val="TableText"/>
              <w:rPr>
                <w:b/>
              </w:rPr>
            </w:pPr>
            <w:r w:rsidRPr="00D604EE">
              <w:rPr>
                <w:b/>
              </w:rPr>
              <w:t>Perennial cropland</w:t>
            </w:r>
          </w:p>
        </w:tc>
        <w:tc>
          <w:tcPr>
            <w:tcW w:w="7229" w:type="dxa"/>
            <w:tcBorders>
              <w:top w:val="single" w:sz="4" w:space="0" w:color="1B556B"/>
              <w:bottom w:val="single" w:sz="4" w:space="0" w:color="1B556B"/>
            </w:tcBorders>
          </w:tcPr>
          <w:p w14:paraId="2BAB9E45" w14:textId="77777777" w:rsidR="00784FA9" w:rsidRPr="00D604EE" w:rsidRDefault="00784FA9" w:rsidP="007E3239">
            <w:pPr>
              <w:pStyle w:val="TableText"/>
              <w:spacing w:after="40"/>
            </w:pPr>
            <w:r w:rsidRPr="00D604EE">
              <w:t>Includes:</w:t>
            </w:r>
          </w:p>
          <w:p w14:paraId="71E3946E" w14:textId="77777777" w:rsidR="00784FA9" w:rsidRPr="00D604EE" w:rsidRDefault="00784FA9" w:rsidP="007F4746">
            <w:pPr>
              <w:pStyle w:val="TableBullet"/>
            </w:pPr>
            <w:r w:rsidRPr="00D604EE">
              <w:t>all orchards and vineyards</w:t>
            </w:r>
          </w:p>
          <w:p w14:paraId="42C23839" w14:textId="77777777" w:rsidR="00784FA9" w:rsidRPr="00D604EE" w:rsidRDefault="00784FA9" w:rsidP="007F4746">
            <w:pPr>
              <w:pStyle w:val="TableBullet"/>
            </w:pPr>
            <w:r w:rsidRPr="00D604EE">
              <w:t>linear shelterbelts associated with perennial cropland.</w:t>
            </w:r>
          </w:p>
        </w:tc>
      </w:tr>
      <w:tr w:rsidR="00784FA9" w:rsidRPr="00D604EE" w14:paraId="7B438D27" w14:textId="77777777" w:rsidTr="00152965">
        <w:tc>
          <w:tcPr>
            <w:tcW w:w="1276" w:type="dxa"/>
            <w:tcBorders>
              <w:top w:val="single" w:sz="4" w:space="0" w:color="1B556B"/>
              <w:bottom w:val="single" w:sz="4" w:space="0" w:color="1B556B"/>
            </w:tcBorders>
          </w:tcPr>
          <w:p w14:paraId="31E8F750" w14:textId="77777777" w:rsidR="00784FA9" w:rsidRPr="00D604EE" w:rsidRDefault="00784FA9" w:rsidP="007E3239">
            <w:pPr>
              <w:pStyle w:val="TableText"/>
              <w:rPr>
                <w:b/>
              </w:rPr>
            </w:pPr>
            <w:r w:rsidRPr="00D604EE">
              <w:rPr>
                <w:b/>
              </w:rPr>
              <w:t>High producing grassland</w:t>
            </w:r>
          </w:p>
        </w:tc>
        <w:tc>
          <w:tcPr>
            <w:tcW w:w="7229" w:type="dxa"/>
            <w:tcBorders>
              <w:top w:val="single" w:sz="4" w:space="0" w:color="1B556B"/>
              <w:bottom w:val="single" w:sz="4" w:space="0" w:color="1B556B"/>
            </w:tcBorders>
          </w:tcPr>
          <w:p w14:paraId="516480D1" w14:textId="77777777" w:rsidR="00784FA9" w:rsidRPr="00D604EE" w:rsidRDefault="00784FA9" w:rsidP="007E3239">
            <w:pPr>
              <w:pStyle w:val="TableText"/>
              <w:spacing w:after="40"/>
            </w:pPr>
            <w:r w:rsidRPr="00D604EE">
              <w:t>Includes:</w:t>
            </w:r>
          </w:p>
          <w:p w14:paraId="17AEBA14" w14:textId="77777777" w:rsidR="00784FA9" w:rsidRPr="00D604EE" w:rsidRDefault="00784FA9" w:rsidP="007F4746">
            <w:pPr>
              <w:pStyle w:val="TableBullet"/>
            </w:pPr>
            <w:r w:rsidRPr="00D604EE">
              <w:t>grassland with high-quality pasture species</w:t>
            </w:r>
          </w:p>
          <w:p w14:paraId="2525572D" w14:textId="77777777" w:rsidR="00784FA9" w:rsidRPr="00D604EE" w:rsidRDefault="00784FA9" w:rsidP="007F4746">
            <w:pPr>
              <w:pStyle w:val="TableBullet"/>
            </w:pPr>
            <w:r w:rsidRPr="00D604EE">
              <w:t>linear shelterbelts that are &lt;1 hectare in area or &lt;30 metres in mean width (larger shelterbelts are mapped separately as grassland with woody biomass)</w:t>
            </w:r>
          </w:p>
          <w:p w14:paraId="248E1EE2" w14:textId="77777777" w:rsidR="00784FA9" w:rsidRPr="00D604EE" w:rsidRDefault="00784FA9" w:rsidP="007F4746">
            <w:pPr>
              <w:pStyle w:val="TableBullet"/>
            </w:pPr>
            <w:r w:rsidRPr="00D604EE">
              <w:t>areas of bare ground of any size that were previously grassland but, due to natural disturbances (e.g., erosion), have lost vegetation cover.</w:t>
            </w:r>
          </w:p>
        </w:tc>
      </w:tr>
      <w:tr w:rsidR="00784FA9" w:rsidRPr="00D604EE" w14:paraId="3D7DDE96" w14:textId="77777777" w:rsidTr="00152965">
        <w:tc>
          <w:tcPr>
            <w:tcW w:w="1276" w:type="dxa"/>
            <w:tcBorders>
              <w:top w:val="single" w:sz="4" w:space="0" w:color="1B556B"/>
              <w:bottom w:val="single" w:sz="4" w:space="0" w:color="1B556B"/>
            </w:tcBorders>
          </w:tcPr>
          <w:p w14:paraId="698B1530" w14:textId="77777777" w:rsidR="00784FA9" w:rsidRPr="00D604EE" w:rsidRDefault="00784FA9" w:rsidP="007E3239">
            <w:pPr>
              <w:pStyle w:val="TableText"/>
              <w:rPr>
                <w:b/>
              </w:rPr>
            </w:pPr>
            <w:r w:rsidRPr="00D604EE">
              <w:rPr>
                <w:b/>
              </w:rPr>
              <w:t>Low producing grassland</w:t>
            </w:r>
          </w:p>
        </w:tc>
        <w:tc>
          <w:tcPr>
            <w:tcW w:w="7229" w:type="dxa"/>
            <w:tcBorders>
              <w:top w:val="single" w:sz="4" w:space="0" w:color="1B556B"/>
              <w:bottom w:val="single" w:sz="4" w:space="0" w:color="1B556B"/>
            </w:tcBorders>
          </w:tcPr>
          <w:p w14:paraId="17B8D4BE" w14:textId="77777777" w:rsidR="00784FA9" w:rsidRPr="00D604EE" w:rsidRDefault="00784FA9" w:rsidP="007E3239">
            <w:pPr>
              <w:pStyle w:val="TableText"/>
              <w:spacing w:after="40"/>
            </w:pPr>
            <w:r w:rsidRPr="00D604EE">
              <w:t>Includes:</w:t>
            </w:r>
          </w:p>
          <w:p w14:paraId="28C62BA1" w14:textId="77777777" w:rsidR="00784FA9" w:rsidRPr="00D604EE" w:rsidRDefault="00784FA9" w:rsidP="007F4746">
            <w:pPr>
              <w:pStyle w:val="TableBullet"/>
            </w:pPr>
            <w:r w:rsidRPr="00D604EE">
              <w:t xml:space="preserve">low-fertility grassland and tussock grasslands (e.g., </w:t>
            </w:r>
            <w:r w:rsidRPr="00D604EE">
              <w:rPr>
                <w:i/>
              </w:rPr>
              <w:t>Chionochloa</w:t>
            </w:r>
            <w:r w:rsidRPr="00D604EE">
              <w:t xml:space="preserve"> and </w:t>
            </w:r>
            <w:r w:rsidRPr="00D604EE">
              <w:rPr>
                <w:i/>
              </w:rPr>
              <w:t xml:space="preserve">Festuca </w:t>
            </w:r>
            <w:r w:rsidRPr="00D604EE">
              <w:t>spp.)</w:t>
            </w:r>
          </w:p>
          <w:p w14:paraId="55849894" w14:textId="77777777" w:rsidR="00784FA9" w:rsidRPr="00D604EE" w:rsidRDefault="00784FA9" w:rsidP="007F4746">
            <w:pPr>
              <w:pStyle w:val="TableBullet"/>
            </w:pPr>
            <w:r w:rsidRPr="00D604EE">
              <w:t>mostly hill country</w:t>
            </w:r>
          </w:p>
          <w:p w14:paraId="5ADE3E7B" w14:textId="77777777" w:rsidR="00784FA9" w:rsidRPr="00D604EE" w:rsidRDefault="00784FA9" w:rsidP="007F4746">
            <w:pPr>
              <w:pStyle w:val="TableBullet"/>
            </w:pPr>
            <w:r w:rsidRPr="00D604EE">
              <w:t>montane herbfields either at an altitude higher than above-timberline vegetation or where the herbfields are not mixed up with woody vegetation</w:t>
            </w:r>
          </w:p>
          <w:p w14:paraId="1B0FD0EC" w14:textId="77777777" w:rsidR="00784FA9" w:rsidRPr="00D604EE" w:rsidRDefault="00784FA9" w:rsidP="007F4746">
            <w:pPr>
              <w:pStyle w:val="TableBullet"/>
            </w:pPr>
            <w:r w:rsidRPr="00D604EE">
              <w:t>linear shelterbelts that are &lt;1 hectare in area or &lt;30 metres in mean width (larger shelterbelts are mapped separately as grassland with woody biomass)</w:t>
            </w:r>
          </w:p>
          <w:p w14:paraId="48CEB836" w14:textId="77777777" w:rsidR="00784FA9" w:rsidRPr="00D604EE" w:rsidRDefault="00784FA9" w:rsidP="007F4746">
            <w:pPr>
              <w:pStyle w:val="TableBullet"/>
            </w:pPr>
            <w:r w:rsidRPr="00D604EE">
              <w:t>other areas of limited vegetation cover and significant bare soil, including erosion and coastal herbaceous sand-dune vegetation.</w:t>
            </w:r>
          </w:p>
        </w:tc>
      </w:tr>
      <w:tr w:rsidR="00784FA9" w:rsidRPr="00D604EE" w14:paraId="37AE403E" w14:textId="77777777" w:rsidTr="00152965">
        <w:tc>
          <w:tcPr>
            <w:tcW w:w="1276" w:type="dxa"/>
            <w:tcBorders>
              <w:top w:val="single" w:sz="4" w:space="0" w:color="1B556B"/>
              <w:bottom w:val="single" w:sz="4" w:space="0" w:color="1B556B"/>
            </w:tcBorders>
          </w:tcPr>
          <w:p w14:paraId="20D0FAB5" w14:textId="77777777" w:rsidR="00784FA9" w:rsidRPr="00D604EE" w:rsidRDefault="00784FA9" w:rsidP="007E3239">
            <w:pPr>
              <w:pStyle w:val="TableText"/>
              <w:rPr>
                <w:b/>
              </w:rPr>
            </w:pPr>
            <w:r w:rsidRPr="00D604EE">
              <w:rPr>
                <w:b/>
              </w:rPr>
              <w:t>Grassland with woody biomass</w:t>
            </w:r>
          </w:p>
        </w:tc>
        <w:tc>
          <w:tcPr>
            <w:tcW w:w="7229" w:type="dxa"/>
            <w:tcBorders>
              <w:top w:val="single" w:sz="4" w:space="0" w:color="1B556B"/>
              <w:bottom w:val="single" w:sz="4" w:space="0" w:color="1B556B"/>
            </w:tcBorders>
          </w:tcPr>
          <w:p w14:paraId="0C2EBFE8" w14:textId="77777777" w:rsidR="00784FA9" w:rsidRPr="00D604EE" w:rsidRDefault="00784FA9" w:rsidP="007E3239">
            <w:pPr>
              <w:pStyle w:val="TableText"/>
              <w:spacing w:after="40"/>
            </w:pPr>
            <w:r w:rsidRPr="00D604EE">
              <w:t>Includes:</w:t>
            </w:r>
          </w:p>
          <w:p w14:paraId="7884EC10" w14:textId="77777777" w:rsidR="00784FA9" w:rsidRPr="00D604EE" w:rsidRDefault="00784FA9" w:rsidP="007F4746">
            <w:pPr>
              <w:pStyle w:val="TableBullet"/>
            </w:pPr>
            <w:r w:rsidRPr="00D604EE">
              <w:t>grassland with matagouri (</w:t>
            </w:r>
            <w:r w:rsidRPr="00D604EE">
              <w:rPr>
                <w:i/>
              </w:rPr>
              <w:t>Discaria toumatou</w:t>
            </w:r>
            <w:r w:rsidRPr="00D604EE">
              <w:t>) and sweet briar (</w:t>
            </w:r>
            <w:r w:rsidRPr="00D604EE">
              <w:rPr>
                <w:i/>
              </w:rPr>
              <w:t>Rosa rubiginosa</w:t>
            </w:r>
            <w:r w:rsidRPr="00D604EE">
              <w:t xml:space="preserve">), broadleaved hardwood shrubland (e.g., māhoe – </w:t>
            </w:r>
            <w:r w:rsidRPr="00D604EE">
              <w:rPr>
                <w:i/>
              </w:rPr>
              <w:t>Melicytus ramiflorus</w:t>
            </w:r>
            <w:r w:rsidRPr="00D604EE">
              <w:t>), wineberry (</w:t>
            </w:r>
            <w:r w:rsidRPr="00D604EE">
              <w:rPr>
                <w:i/>
              </w:rPr>
              <w:t>Aristotelia serrata</w:t>
            </w:r>
            <w:r w:rsidRPr="00D604EE">
              <w:t xml:space="preserve">), </w:t>
            </w:r>
            <w:r w:rsidRPr="00D604EE">
              <w:rPr>
                <w:i/>
              </w:rPr>
              <w:t>Pseudopanax</w:t>
            </w:r>
            <w:r w:rsidRPr="00D604EE">
              <w:t xml:space="preserve"> spp., </w:t>
            </w:r>
            <w:r w:rsidRPr="00D604EE">
              <w:rPr>
                <w:i/>
              </w:rPr>
              <w:t>Pittosporum</w:t>
            </w:r>
            <w:r w:rsidRPr="00D604EE">
              <w:t xml:space="preserve"> spp.), mānuka–kānuka (</w:t>
            </w:r>
            <w:r w:rsidRPr="00D604EE">
              <w:rPr>
                <w:i/>
              </w:rPr>
              <w:t>Leptospermum</w:t>
            </w:r>
            <w:r w:rsidRPr="00D604EE">
              <w:t xml:space="preserve"> </w:t>
            </w:r>
            <w:r w:rsidRPr="00D604EE">
              <w:rPr>
                <w:i/>
              </w:rPr>
              <w:t>scoparium</w:t>
            </w:r>
            <w:r w:rsidRPr="00D604EE">
              <w:t>–</w:t>
            </w:r>
            <w:r w:rsidRPr="00D604EE">
              <w:rPr>
                <w:i/>
              </w:rPr>
              <w:t>Kunzea</w:t>
            </w:r>
            <w:r w:rsidRPr="00D604EE">
              <w:t xml:space="preserve"> spp.) shrubland, coastal and other woody shrubland (&lt;5 metres tall and any percentage of cover) where, under current management or environmental conditions (climate and/or soil), it is expected that the forest criteria will not be met over a 30- to 40-year period</w:t>
            </w:r>
          </w:p>
          <w:p w14:paraId="1E611847" w14:textId="77777777" w:rsidR="00784FA9" w:rsidRPr="00D604EE" w:rsidRDefault="00784FA9" w:rsidP="007F4746">
            <w:pPr>
              <w:pStyle w:val="TableBullet"/>
            </w:pPr>
            <w:r w:rsidRPr="00D604EE">
              <w:lastRenderedPageBreak/>
              <w:t>above-timberline shrubland vegetation intermixed with montane herbfields (does not have the potential to reach &gt;5 metres in height</w:t>
            </w:r>
            <w:r w:rsidRPr="00D604EE">
              <w:rPr>
                <w:i/>
              </w:rPr>
              <w:t xml:space="preserve"> in situ</w:t>
            </w:r>
            <w:r w:rsidRPr="00D604EE">
              <w:t>)</w:t>
            </w:r>
          </w:p>
          <w:p w14:paraId="0DED1604" w14:textId="77777777" w:rsidR="00784FA9" w:rsidRPr="00D604EE" w:rsidRDefault="00784FA9" w:rsidP="007F4746">
            <w:pPr>
              <w:pStyle w:val="TableBullet"/>
            </w:pPr>
            <w:r w:rsidRPr="00D604EE">
              <w:t>grassland with tall tree species (&lt;30 per cent cover), such as golf courses in rural areas (except where the Land Cover Database has classified these as settlements)</w:t>
            </w:r>
          </w:p>
          <w:p w14:paraId="5B725019" w14:textId="77777777" w:rsidR="00784FA9" w:rsidRPr="00D604EE" w:rsidRDefault="00784FA9" w:rsidP="007F4746">
            <w:pPr>
              <w:pStyle w:val="TableBullet"/>
            </w:pPr>
            <w:r w:rsidRPr="00D604EE">
              <w:t>grassland with riparian or erosion control plantings (&lt;30 per cent cover)</w:t>
            </w:r>
          </w:p>
          <w:p w14:paraId="4B77B535" w14:textId="77777777" w:rsidR="00784FA9" w:rsidRPr="00D604EE" w:rsidRDefault="00784FA9" w:rsidP="007F4746">
            <w:pPr>
              <w:pStyle w:val="TableBullet"/>
            </w:pPr>
            <w:r w:rsidRPr="00D604EE">
              <w:t>linear shelterbelts that are &gt;1 hectare in area and &lt;30 metres in mean width</w:t>
            </w:r>
          </w:p>
          <w:p w14:paraId="4A6FA232" w14:textId="77777777" w:rsidR="00784FA9" w:rsidRPr="00D604EE" w:rsidRDefault="00784FA9" w:rsidP="007F4746">
            <w:pPr>
              <w:pStyle w:val="TableBullet"/>
            </w:pPr>
            <w:r w:rsidRPr="00D604EE">
              <w:t>areas of bare ground of any size that previously contained grassland with woody biomass but, due to natural disturbances (e.g., erosion, fire), have lost vegetation cover.</w:t>
            </w:r>
          </w:p>
        </w:tc>
      </w:tr>
      <w:tr w:rsidR="00784FA9" w:rsidRPr="00D604EE" w14:paraId="4FECA427" w14:textId="77777777" w:rsidTr="00152965">
        <w:tc>
          <w:tcPr>
            <w:tcW w:w="1276" w:type="dxa"/>
            <w:tcBorders>
              <w:top w:val="single" w:sz="4" w:space="0" w:color="1B556B"/>
              <w:bottom w:val="single" w:sz="4" w:space="0" w:color="1B556B"/>
            </w:tcBorders>
          </w:tcPr>
          <w:p w14:paraId="32E34977" w14:textId="77777777" w:rsidR="00784FA9" w:rsidRPr="00D604EE" w:rsidRDefault="00784FA9" w:rsidP="007E3239">
            <w:pPr>
              <w:pStyle w:val="TableText"/>
              <w:rPr>
                <w:b/>
              </w:rPr>
            </w:pPr>
            <w:r w:rsidRPr="00D604EE">
              <w:rPr>
                <w:b/>
              </w:rPr>
              <w:lastRenderedPageBreak/>
              <w:t>Open water</w:t>
            </w:r>
          </w:p>
        </w:tc>
        <w:tc>
          <w:tcPr>
            <w:tcW w:w="7229" w:type="dxa"/>
            <w:tcBorders>
              <w:top w:val="single" w:sz="4" w:space="0" w:color="1B556B"/>
              <w:bottom w:val="single" w:sz="4" w:space="0" w:color="1B556B"/>
            </w:tcBorders>
          </w:tcPr>
          <w:p w14:paraId="548623E2" w14:textId="77777777" w:rsidR="00784FA9" w:rsidRPr="00D604EE" w:rsidRDefault="00784FA9" w:rsidP="007E3239">
            <w:pPr>
              <w:pStyle w:val="TableText"/>
              <w:spacing w:after="40"/>
            </w:pPr>
            <w:r w:rsidRPr="00D604EE">
              <w:t>Includes:</w:t>
            </w:r>
          </w:p>
          <w:p w14:paraId="391B8425" w14:textId="77777777" w:rsidR="00784FA9" w:rsidRPr="00D604EE" w:rsidRDefault="00784FA9" w:rsidP="007F4746">
            <w:pPr>
              <w:pStyle w:val="TableBullet"/>
            </w:pPr>
            <w:r w:rsidRPr="00D604EE">
              <w:t xml:space="preserve">lakes, rivers, dams and reservoirs </w:t>
            </w:r>
          </w:p>
          <w:p w14:paraId="6FA9609F" w14:textId="77777777" w:rsidR="00784FA9" w:rsidRPr="00D604EE" w:rsidRDefault="00784FA9" w:rsidP="007F4746">
            <w:pPr>
              <w:pStyle w:val="TableBullet"/>
            </w:pPr>
            <w:r w:rsidRPr="00D604EE">
              <w:t>estuarine–tidal areas including mangroves.</w:t>
            </w:r>
          </w:p>
        </w:tc>
      </w:tr>
      <w:tr w:rsidR="00784FA9" w:rsidRPr="00D604EE" w14:paraId="2D6201C8" w14:textId="77777777" w:rsidTr="00152965">
        <w:tc>
          <w:tcPr>
            <w:tcW w:w="1276" w:type="dxa"/>
            <w:tcBorders>
              <w:top w:val="single" w:sz="4" w:space="0" w:color="1B556B"/>
              <w:bottom w:val="single" w:sz="4" w:space="0" w:color="1B556B"/>
            </w:tcBorders>
          </w:tcPr>
          <w:p w14:paraId="446257B1" w14:textId="77777777" w:rsidR="00784FA9" w:rsidRPr="00D604EE" w:rsidRDefault="00784FA9" w:rsidP="007E3239">
            <w:pPr>
              <w:pStyle w:val="TableText"/>
              <w:rPr>
                <w:b/>
              </w:rPr>
            </w:pPr>
            <w:r w:rsidRPr="00D604EE">
              <w:rPr>
                <w:b/>
              </w:rPr>
              <w:t>Vegetated wetland</w:t>
            </w:r>
          </w:p>
        </w:tc>
        <w:tc>
          <w:tcPr>
            <w:tcW w:w="7229" w:type="dxa"/>
            <w:tcBorders>
              <w:top w:val="single" w:sz="4" w:space="0" w:color="1B556B"/>
              <w:bottom w:val="single" w:sz="4" w:space="0" w:color="1B556B"/>
            </w:tcBorders>
          </w:tcPr>
          <w:p w14:paraId="0BCAEDE2" w14:textId="77777777" w:rsidR="00784FA9" w:rsidRPr="00D604EE" w:rsidRDefault="00784FA9" w:rsidP="007E3239">
            <w:pPr>
              <w:pStyle w:val="TableText"/>
              <w:spacing w:after="40"/>
            </w:pPr>
            <w:r w:rsidRPr="00D604EE">
              <w:t>Includes:</w:t>
            </w:r>
          </w:p>
          <w:p w14:paraId="03149CA5" w14:textId="77777777" w:rsidR="00784FA9" w:rsidRPr="00D604EE" w:rsidRDefault="00784FA9" w:rsidP="007F4746">
            <w:pPr>
              <w:pStyle w:val="TableBullet"/>
            </w:pPr>
            <w:r w:rsidRPr="00D604EE">
              <w:t xml:space="preserve">herbaceous and/or non-forest woody vegetation, including trees of any stature, in a wetland context (periodically or permanently flooded) </w:t>
            </w:r>
          </w:p>
          <w:p w14:paraId="48CA197E" w14:textId="77777777" w:rsidR="00784FA9" w:rsidRPr="00D604EE" w:rsidRDefault="00784FA9" w:rsidP="007F4746">
            <w:pPr>
              <w:pStyle w:val="TableBullet"/>
            </w:pPr>
            <w:r w:rsidRPr="00D604EE">
              <w:t>areas under peat extraction</w:t>
            </w:r>
          </w:p>
          <w:p w14:paraId="0C40CF6B" w14:textId="77777777" w:rsidR="00784FA9" w:rsidRPr="00D604EE" w:rsidRDefault="00784FA9" w:rsidP="007F4746">
            <w:pPr>
              <w:pStyle w:val="TableBullet"/>
            </w:pPr>
            <w:r w:rsidRPr="00D604EE">
              <w:t>estuarine–tidal areas including mangroves.</w:t>
            </w:r>
          </w:p>
        </w:tc>
      </w:tr>
      <w:tr w:rsidR="00784FA9" w:rsidRPr="00D604EE" w14:paraId="0ED68816" w14:textId="77777777" w:rsidTr="008C3B2E">
        <w:tc>
          <w:tcPr>
            <w:tcW w:w="1276" w:type="dxa"/>
            <w:tcBorders>
              <w:top w:val="single" w:sz="4" w:space="0" w:color="1B556B"/>
              <w:bottom w:val="single" w:sz="4" w:space="0" w:color="1B556B"/>
            </w:tcBorders>
          </w:tcPr>
          <w:p w14:paraId="23EB1B31" w14:textId="77777777" w:rsidR="00784FA9" w:rsidRPr="00D604EE" w:rsidRDefault="00784FA9" w:rsidP="007E3239">
            <w:pPr>
              <w:pStyle w:val="TableTextBold"/>
              <w:rPr>
                <w:noProof w:val="0"/>
              </w:rPr>
            </w:pPr>
            <w:r w:rsidRPr="00D604EE">
              <w:rPr>
                <w:noProof w:val="0"/>
              </w:rPr>
              <w:t>Settlements</w:t>
            </w:r>
          </w:p>
        </w:tc>
        <w:tc>
          <w:tcPr>
            <w:tcW w:w="7229" w:type="dxa"/>
            <w:tcBorders>
              <w:top w:val="single" w:sz="4" w:space="0" w:color="1B556B"/>
              <w:bottom w:val="single" w:sz="4" w:space="0" w:color="1B556B"/>
            </w:tcBorders>
          </w:tcPr>
          <w:p w14:paraId="0D7EEFDC" w14:textId="77777777" w:rsidR="00784FA9" w:rsidRPr="00D604EE" w:rsidRDefault="00784FA9" w:rsidP="007E3239">
            <w:pPr>
              <w:pStyle w:val="TableText"/>
              <w:spacing w:after="40"/>
            </w:pPr>
            <w:r w:rsidRPr="00D604EE">
              <w:t>Includes:</w:t>
            </w:r>
          </w:p>
          <w:p w14:paraId="59C48238" w14:textId="77777777" w:rsidR="00784FA9" w:rsidRPr="00D604EE" w:rsidRDefault="00784FA9" w:rsidP="007F4746">
            <w:pPr>
              <w:pStyle w:val="TableBullet"/>
            </w:pPr>
            <w:r w:rsidRPr="00D604EE">
              <w:t>built-up areas and impervious surfaces</w:t>
            </w:r>
          </w:p>
          <w:p w14:paraId="62C47A21" w14:textId="77777777" w:rsidR="00784FA9" w:rsidRPr="00D604EE" w:rsidRDefault="00784FA9" w:rsidP="007F4746">
            <w:pPr>
              <w:pStyle w:val="TableBullet"/>
            </w:pPr>
            <w:r w:rsidRPr="00D604EE">
              <w:t>grassland within ‘settlements’ including recreational areas, urban parklands and open spaces that do not meet the forest definition</w:t>
            </w:r>
          </w:p>
          <w:p w14:paraId="268E3163" w14:textId="77777777" w:rsidR="00784FA9" w:rsidRPr="00D604EE" w:rsidRDefault="00784FA9" w:rsidP="007F4746">
            <w:pPr>
              <w:pStyle w:val="TableBullet"/>
            </w:pPr>
            <w:r w:rsidRPr="00D604EE">
              <w:t>major roading infrastructure</w:t>
            </w:r>
          </w:p>
          <w:p w14:paraId="38095DEF" w14:textId="77777777" w:rsidR="00784FA9" w:rsidRPr="00D604EE" w:rsidRDefault="00784FA9" w:rsidP="007F4746">
            <w:pPr>
              <w:pStyle w:val="TableBullet"/>
            </w:pPr>
            <w:r w:rsidRPr="00D604EE">
              <w:t>airports and runways</w:t>
            </w:r>
          </w:p>
          <w:p w14:paraId="5A6571CA" w14:textId="77777777" w:rsidR="00784FA9" w:rsidRPr="00D604EE" w:rsidRDefault="00784FA9" w:rsidP="007F4746">
            <w:pPr>
              <w:pStyle w:val="TableBullet"/>
            </w:pPr>
            <w:r w:rsidRPr="00D604EE">
              <w:t xml:space="preserve">dam infrastructure </w:t>
            </w:r>
          </w:p>
          <w:p w14:paraId="00CB35AB" w14:textId="77777777" w:rsidR="00784FA9" w:rsidRPr="00D604EE" w:rsidRDefault="00784FA9" w:rsidP="007F4746">
            <w:pPr>
              <w:pStyle w:val="TableBullet"/>
            </w:pPr>
            <w:r w:rsidRPr="00D604EE">
              <w:t>urban subdivisions under construction.</w:t>
            </w:r>
          </w:p>
        </w:tc>
      </w:tr>
      <w:tr w:rsidR="00784FA9" w:rsidRPr="00D604EE" w14:paraId="05AC7942" w14:textId="77777777" w:rsidTr="00152965">
        <w:tc>
          <w:tcPr>
            <w:tcW w:w="1276" w:type="dxa"/>
            <w:tcBorders>
              <w:top w:val="single" w:sz="4" w:space="0" w:color="1B556B"/>
              <w:bottom w:val="single" w:sz="4" w:space="0" w:color="1B556B"/>
            </w:tcBorders>
          </w:tcPr>
          <w:p w14:paraId="572F78DA" w14:textId="77777777" w:rsidR="00784FA9" w:rsidRPr="00D604EE" w:rsidRDefault="00784FA9" w:rsidP="007E3239">
            <w:pPr>
              <w:pStyle w:val="TableText"/>
              <w:rPr>
                <w:b/>
              </w:rPr>
            </w:pPr>
            <w:r w:rsidRPr="00D604EE">
              <w:rPr>
                <w:b/>
              </w:rPr>
              <w:t>Other land</w:t>
            </w:r>
          </w:p>
        </w:tc>
        <w:tc>
          <w:tcPr>
            <w:tcW w:w="7229" w:type="dxa"/>
            <w:tcBorders>
              <w:top w:val="single" w:sz="4" w:space="0" w:color="1B556B"/>
              <w:bottom w:val="single" w:sz="4" w:space="0" w:color="1B556B"/>
            </w:tcBorders>
          </w:tcPr>
          <w:p w14:paraId="533C25C3" w14:textId="77777777" w:rsidR="00784FA9" w:rsidRPr="00D604EE" w:rsidRDefault="00784FA9" w:rsidP="007E3239">
            <w:pPr>
              <w:pStyle w:val="TableText"/>
              <w:spacing w:after="40"/>
            </w:pPr>
            <w:r w:rsidRPr="00D604EE">
              <w:t>Includes:</w:t>
            </w:r>
          </w:p>
          <w:p w14:paraId="458194D6" w14:textId="77777777" w:rsidR="00784FA9" w:rsidRPr="00D604EE" w:rsidRDefault="00784FA9" w:rsidP="007F4746">
            <w:pPr>
              <w:pStyle w:val="TableBullet"/>
            </w:pPr>
            <w:r w:rsidRPr="00D604EE">
              <w:t>montane rock and/or scree</w:t>
            </w:r>
          </w:p>
          <w:p w14:paraId="1737BE45" w14:textId="77777777" w:rsidR="00784FA9" w:rsidRPr="00D604EE" w:rsidRDefault="00784FA9" w:rsidP="007F4746">
            <w:pPr>
              <w:pStyle w:val="TableBullet"/>
            </w:pPr>
            <w:r w:rsidRPr="00D604EE">
              <w:t>river gravels, rocky outcrops, sand dunes and beaches, coastal cliffs, mines (including spoil), quarries</w:t>
            </w:r>
          </w:p>
          <w:p w14:paraId="508B1F74" w14:textId="77777777" w:rsidR="00784FA9" w:rsidRPr="00D604EE" w:rsidRDefault="00784FA9" w:rsidP="007F4746">
            <w:pPr>
              <w:pStyle w:val="TableBullet"/>
            </w:pPr>
            <w:r w:rsidRPr="00D604EE">
              <w:t>permanent ice and/or snow and glaciers</w:t>
            </w:r>
          </w:p>
          <w:p w14:paraId="04427C70" w14:textId="77777777" w:rsidR="00784FA9" w:rsidRPr="00D604EE" w:rsidRDefault="00784FA9" w:rsidP="007F4746">
            <w:pPr>
              <w:pStyle w:val="TableBullet"/>
            </w:pPr>
            <w:r w:rsidRPr="00D604EE">
              <w:t>any other remaining land that does not fall into any of the other land use categories as described in volume 4, section 3.2 of the 2006 IPCC Guidelines (IPCC, 2006a).</w:t>
            </w:r>
          </w:p>
        </w:tc>
      </w:tr>
    </w:tbl>
    <w:p w14:paraId="44B47EAA" w14:textId="77777777" w:rsidR="00784FA9" w:rsidRPr="00D604EE" w:rsidRDefault="00784FA9" w:rsidP="00784FA9">
      <w:pPr>
        <w:pStyle w:val="Heading3"/>
        <w:spacing w:before="440"/>
      </w:pPr>
      <w:bookmarkStart w:id="1471" w:name="_Toc361645365"/>
      <w:r w:rsidRPr="00D604EE">
        <w:t>6.2.3</w:t>
      </w:r>
      <w:r w:rsidRPr="00D604EE">
        <w:tab/>
        <w:t>Methodological change</w:t>
      </w:r>
      <w:bookmarkEnd w:id="1471"/>
    </w:p>
    <w:p w14:paraId="5B6C279B" w14:textId="77777777" w:rsidR="00784FA9" w:rsidRPr="00D604EE" w:rsidRDefault="00784FA9" w:rsidP="00784FA9">
      <w:pPr>
        <w:pStyle w:val="BodyText"/>
      </w:pPr>
      <w:r w:rsidRPr="00D604EE">
        <w:t>For this submission, improvements have been made to the 1990, 2008, 2012 and 2016 land use maps. This year, improvements have focused on:</w:t>
      </w:r>
    </w:p>
    <w:p w14:paraId="5F385C11" w14:textId="77777777" w:rsidR="00784FA9" w:rsidRPr="00D604EE" w:rsidRDefault="00784FA9" w:rsidP="00AB2A5C">
      <w:pPr>
        <w:pStyle w:val="Bullet"/>
        <w:numPr>
          <w:ilvl w:val="0"/>
          <w:numId w:val="19"/>
        </w:numPr>
        <w:ind w:left="397" w:hanging="397"/>
      </w:pPr>
      <w:r w:rsidRPr="00D604EE">
        <w:t>updates to the extent of forest areas based on information from the NZ ETS and other forestry schemes, the latest version of the Land Cover Database and deforestation mapping.</w:t>
      </w:r>
    </w:p>
    <w:p w14:paraId="1030F48F" w14:textId="77777777" w:rsidR="00784FA9" w:rsidRPr="00D604EE" w:rsidRDefault="00784FA9" w:rsidP="00784FA9">
      <w:pPr>
        <w:pStyle w:val="Heading3"/>
        <w:spacing w:before="320"/>
      </w:pPr>
      <w:bookmarkStart w:id="1472" w:name="_Toc255466308"/>
      <w:bookmarkStart w:id="1473" w:name="_Toc261513115"/>
      <w:bookmarkStart w:id="1474" w:name="_Toc261513728"/>
      <w:bookmarkStart w:id="1475" w:name="_Toc280630238"/>
      <w:bookmarkStart w:id="1476" w:name="_Toc361645367"/>
      <w:r w:rsidRPr="00D604EE">
        <w:t>6.2.4</w:t>
      </w:r>
      <w:r w:rsidRPr="00D604EE">
        <w:tab/>
        <w:t>Quality assurance/quality control (QA/QC) and verification</w:t>
      </w:r>
      <w:bookmarkEnd w:id="1472"/>
      <w:bookmarkEnd w:id="1473"/>
      <w:bookmarkEnd w:id="1474"/>
      <w:bookmarkEnd w:id="1475"/>
      <w:bookmarkEnd w:id="1476"/>
    </w:p>
    <w:p w14:paraId="4122D982" w14:textId="77777777" w:rsidR="00784FA9" w:rsidRPr="00D604EE" w:rsidRDefault="00784FA9" w:rsidP="00784FA9">
      <w:pPr>
        <w:pStyle w:val="BodyText"/>
      </w:pPr>
      <w:r w:rsidRPr="00D604EE">
        <w:t>Quality-control and quality-assurance procedures have been adopted for all data collection and data analyses, consistent with the 2006 IPCC Guidelines</w:t>
      </w:r>
      <w:r w:rsidRPr="00D604EE" w:rsidDel="00663F9D">
        <w:t xml:space="preserve"> </w:t>
      </w:r>
      <w:r w:rsidRPr="00D604EE">
        <w:t xml:space="preserve">(IPCC, 2006a) and New Zealand’s inventory quality-control and quality-assurance plan. Data quality and data assurance plans are established for each type of data used to determine carbon stock and stock changes, as well as for the mapping of the areal extent and spatial location of land-use changes. Further information on QA/QC procedures specific to mapping can be found in annex A3.2.1. </w:t>
      </w:r>
    </w:p>
    <w:p w14:paraId="70FF159C" w14:textId="77777777" w:rsidR="00784FA9" w:rsidRPr="00D604EE" w:rsidRDefault="00784FA9" w:rsidP="00784FA9">
      <w:pPr>
        <w:pStyle w:val="Heading3"/>
        <w:spacing w:before="320"/>
      </w:pPr>
      <w:bookmarkStart w:id="1477" w:name="_Toc255466309"/>
      <w:bookmarkStart w:id="1478" w:name="_Toc261513116"/>
      <w:bookmarkStart w:id="1479" w:name="_Toc261513729"/>
      <w:bookmarkStart w:id="1480" w:name="_Toc280630239"/>
      <w:bookmarkStart w:id="1481" w:name="_Toc361645368"/>
      <w:r w:rsidRPr="00D604EE">
        <w:t>6.2.5</w:t>
      </w:r>
      <w:r w:rsidRPr="00D604EE">
        <w:tab/>
        <w:t>Planned improvements</w:t>
      </w:r>
      <w:bookmarkEnd w:id="1477"/>
      <w:bookmarkEnd w:id="1478"/>
      <w:bookmarkEnd w:id="1479"/>
      <w:bookmarkEnd w:id="1480"/>
      <w:bookmarkEnd w:id="1481"/>
    </w:p>
    <w:p w14:paraId="04ECE328" w14:textId="77777777" w:rsidR="00784FA9" w:rsidRPr="00D604EE" w:rsidRDefault="00784FA9" w:rsidP="00784FA9">
      <w:pPr>
        <w:pStyle w:val="BodyText"/>
      </w:pPr>
      <w:r w:rsidRPr="00D604EE">
        <w:t>The following mapping improvements will be undertaken.</w:t>
      </w:r>
    </w:p>
    <w:p w14:paraId="0ED33526" w14:textId="77777777" w:rsidR="00784FA9" w:rsidRPr="00D604EE" w:rsidRDefault="00784FA9" w:rsidP="00AB2A5C">
      <w:pPr>
        <w:pStyle w:val="Bullet"/>
        <w:numPr>
          <w:ilvl w:val="0"/>
          <w:numId w:val="19"/>
        </w:numPr>
        <w:spacing w:after="100"/>
        <w:ind w:left="397" w:hanging="397"/>
      </w:pPr>
      <w:r w:rsidRPr="00D604EE">
        <w:lastRenderedPageBreak/>
        <w:t>During the first half of 2020, an aerial deforestation survey was undertaken to complete mapping of deforestation for forest loss events occurring in 2017 and 2018. This mapped area will replace the deforestation estimates for those years that are included in this inventory. The results of this survey were not available at the time of the preparation for this submission but will be included in the next Inventory submission.</w:t>
      </w:r>
    </w:p>
    <w:p w14:paraId="57AAAE72" w14:textId="77777777" w:rsidR="00784FA9" w:rsidRPr="00D604EE" w:rsidRDefault="00784FA9" w:rsidP="00AB2A5C">
      <w:pPr>
        <w:pStyle w:val="Bullet"/>
        <w:numPr>
          <w:ilvl w:val="0"/>
          <w:numId w:val="19"/>
        </w:numPr>
        <w:spacing w:after="100"/>
        <w:ind w:left="397" w:hanging="397"/>
      </w:pPr>
      <w:r w:rsidRPr="00D604EE">
        <w:t>The</w:t>
      </w:r>
      <w:r w:rsidRPr="00D604EE" w:rsidDel="00B07DA7">
        <w:t xml:space="preserve"> </w:t>
      </w:r>
      <w:r w:rsidRPr="00D604EE">
        <w:t>land use map schema will be modernised to permit mapping land-use change beyond the last nominal mapping date.</w:t>
      </w:r>
    </w:p>
    <w:p w14:paraId="49F33BBB" w14:textId="77777777" w:rsidR="00784FA9" w:rsidRPr="00D604EE" w:rsidRDefault="00784FA9" w:rsidP="00AB2A5C">
      <w:pPr>
        <w:pStyle w:val="Bullet"/>
        <w:numPr>
          <w:ilvl w:val="0"/>
          <w:numId w:val="19"/>
        </w:numPr>
        <w:spacing w:after="100"/>
        <w:ind w:left="397" w:hanging="397"/>
      </w:pPr>
      <w:r w:rsidRPr="00D604EE">
        <w:t>In late 2021, planning started for the production of the next wall-to-wall map to be added to the time series. This map will be based on Sentinel-2 imagery acquired over the summer of 2020/21. Following the production of this map, the plan is to complete an accuracy assessment of the map series with a focus on the accuracy of land-use change mapping.</w:t>
      </w:r>
    </w:p>
    <w:p w14:paraId="1347597E" w14:textId="77777777" w:rsidR="00784FA9" w:rsidRPr="00D604EE" w:rsidRDefault="00784FA9" w:rsidP="00AB2A5C">
      <w:pPr>
        <w:pStyle w:val="Bullet"/>
        <w:numPr>
          <w:ilvl w:val="0"/>
          <w:numId w:val="19"/>
        </w:numPr>
        <w:spacing w:after="100"/>
        <w:ind w:left="397" w:hanging="397"/>
      </w:pPr>
      <w:r w:rsidRPr="00D604EE">
        <w:t>In early 2022, a deforestation survey will be conducted on all areas where forest was lost during 2019 and 2020. This will provide mapped deforestation areas for 2019 and 2020 to be incorporated into the 2020 land use map.</w:t>
      </w:r>
    </w:p>
    <w:p w14:paraId="3340E11C" w14:textId="77777777" w:rsidR="00784FA9" w:rsidRPr="00D604EE" w:rsidRDefault="00784FA9" w:rsidP="00784FA9">
      <w:pPr>
        <w:pStyle w:val="Heading2"/>
        <w:spacing w:before="300"/>
      </w:pPr>
      <w:bookmarkStart w:id="1482" w:name="_Toc373395710"/>
      <w:bookmarkStart w:id="1483" w:name="_Toc391024700"/>
      <w:bookmarkStart w:id="1484" w:name="_Toc414531317"/>
      <w:bookmarkStart w:id="1485" w:name="_Toc474335459"/>
      <w:bookmarkStart w:id="1486" w:name="_Toc481751399"/>
      <w:bookmarkStart w:id="1487" w:name="_Toc522013951"/>
      <w:bookmarkStart w:id="1488" w:name="_Toc5269376"/>
      <w:bookmarkStart w:id="1489" w:name="_Toc36224416"/>
      <w:bookmarkStart w:id="1490" w:name="_Toc99659142"/>
      <w:r w:rsidRPr="00D604EE">
        <w:t>6.3</w:t>
      </w:r>
      <w:r w:rsidRPr="00D604EE">
        <w:tab/>
        <w:t>Forest land (CRF 4A)</w:t>
      </w:r>
      <w:bookmarkEnd w:id="1482"/>
      <w:bookmarkEnd w:id="1483"/>
      <w:bookmarkEnd w:id="1484"/>
      <w:bookmarkEnd w:id="1485"/>
      <w:bookmarkEnd w:id="1486"/>
      <w:bookmarkEnd w:id="1487"/>
      <w:bookmarkEnd w:id="1488"/>
      <w:bookmarkEnd w:id="1489"/>
      <w:bookmarkEnd w:id="1490"/>
    </w:p>
    <w:p w14:paraId="5B08BAB3" w14:textId="77777777" w:rsidR="00784FA9" w:rsidRPr="00D604EE" w:rsidRDefault="00784FA9" w:rsidP="00784FA9">
      <w:pPr>
        <w:pStyle w:val="Heading3"/>
        <w:spacing w:before="240"/>
      </w:pPr>
      <w:bookmarkStart w:id="1491" w:name="_Toc255466325"/>
      <w:bookmarkStart w:id="1492" w:name="_Toc261513132"/>
      <w:bookmarkStart w:id="1493" w:name="_Toc261513745"/>
      <w:bookmarkStart w:id="1494" w:name="_Toc280630241"/>
      <w:bookmarkStart w:id="1495" w:name="_Toc373395711"/>
      <w:r w:rsidRPr="00D604EE">
        <w:t>6.3.1</w:t>
      </w:r>
      <w:r w:rsidRPr="00D604EE">
        <w:tab/>
        <w:t>Description</w:t>
      </w:r>
      <w:bookmarkEnd w:id="1491"/>
      <w:bookmarkEnd w:id="1492"/>
      <w:bookmarkEnd w:id="1493"/>
      <w:bookmarkEnd w:id="1494"/>
      <w:bookmarkEnd w:id="1495"/>
    </w:p>
    <w:p w14:paraId="78EF4276" w14:textId="77777777" w:rsidR="00784FA9" w:rsidRPr="00D604EE" w:rsidRDefault="00784FA9" w:rsidP="00784FA9">
      <w:pPr>
        <w:pStyle w:val="BodyText"/>
        <w:spacing w:before="100" w:after="100"/>
      </w:pPr>
      <w:r w:rsidRPr="00D604EE">
        <w:t xml:space="preserve">In 2020, </w:t>
      </w:r>
      <w:r w:rsidRPr="00D604EE">
        <w:rPr>
          <w:i/>
        </w:rPr>
        <w:t>Forest land</w:t>
      </w:r>
      <w:r w:rsidRPr="00D604EE">
        <w:t xml:space="preserve"> contributed –19,704.7 kt CO</w:t>
      </w:r>
      <w:r w:rsidRPr="00D604EE">
        <w:rPr>
          <w:vertAlign w:val="subscript"/>
        </w:rPr>
        <w:t>2</w:t>
      </w:r>
      <w:r w:rsidRPr="00D604EE">
        <w:t>-e of net emissions. Net emissions from </w:t>
      </w:r>
      <w:r w:rsidRPr="00D604EE">
        <w:rPr>
          <w:i/>
        </w:rPr>
        <w:t>Forest land</w:t>
      </w:r>
      <w:r w:rsidRPr="00D604EE">
        <w:t xml:space="preserve"> have increased by 363.6 kt CO</w:t>
      </w:r>
      <w:r w:rsidRPr="00D604EE">
        <w:rPr>
          <w:vertAlign w:val="subscript"/>
        </w:rPr>
        <w:t>2</w:t>
      </w:r>
      <w:r w:rsidRPr="00D604EE">
        <w:t xml:space="preserve">-e (1.8 per cent) from the 1990 level of </w:t>
      </w:r>
      <w:r w:rsidRPr="00D604EE">
        <w:br/>
        <w:t>–20,068.3 kt CO</w:t>
      </w:r>
      <w:r w:rsidRPr="00D604EE">
        <w:rPr>
          <w:vertAlign w:val="subscript"/>
        </w:rPr>
        <w:t>2</w:t>
      </w:r>
      <w:r w:rsidRPr="00D604EE">
        <w:t>-e (see table 6.3.1). Between 1990 and 2020,</w:t>
      </w:r>
      <w:r w:rsidRPr="00D604EE">
        <w:rPr>
          <w:i/>
        </w:rPr>
        <w:t xml:space="preserve"> Forest land</w:t>
      </w:r>
      <w:r w:rsidRPr="00D604EE">
        <w:t xml:space="preserve"> is the most significant contributor to carbon stock changes in the LULUCF sector. In 2020, forests covered 37.0 per cent (10.0 million hectares) of New Zealand’s total land area. Note that emissions for the </w:t>
      </w:r>
      <w:r w:rsidRPr="00D604EE">
        <w:rPr>
          <w:i/>
        </w:rPr>
        <w:t>Harvested wood products</w:t>
      </w:r>
      <w:r w:rsidRPr="00D604EE">
        <w:t xml:space="preserve"> category are reported separately within the CRF Reporter and are described further in section 6.9. </w:t>
      </w:r>
    </w:p>
    <w:p w14:paraId="0DD5961E" w14:textId="77777777" w:rsidR="00784FA9" w:rsidRPr="00D604EE" w:rsidRDefault="00784FA9" w:rsidP="00784FA9">
      <w:pPr>
        <w:pStyle w:val="BodyText"/>
      </w:pPr>
      <w:r w:rsidRPr="00D604EE">
        <w:t xml:space="preserve">In 2020, </w:t>
      </w:r>
      <w:r w:rsidRPr="00D604EE">
        <w:rPr>
          <w:i/>
        </w:rPr>
        <w:t>Forest land remaining forest land</w:t>
      </w:r>
      <w:r w:rsidRPr="00D604EE">
        <w:t xml:space="preserve"> and </w:t>
      </w:r>
      <w:r w:rsidRPr="00D604EE">
        <w:rPr>
          <w:i/>
        </w:rPr>
        <w:t>Land converted to forest land</w:t>
      </w:r>
      <w:r w:rsidRPr="00D604EE">
        <w:t xml:space="preserve"> were key categories (based on a trend and level assessment). </w:t>
      </w:r>
    </w:p>
    <w:p w14:paraId="55ECAA14" w14:textId="77777777" w:rsidR="00784FA9" w:rsidRPr="00D604EE" w:rsidRDefault="00784FA9" w:rsidP="00784FA9">
      <w:pPr>
        <w:pStyle w:val="Table"/>
      </w:pPr>
      <w:bookmarkStart w:id="1496" w:name="_Toc280630453"/>
      <w:bookmarkStart w:id="1497" w:name="_Toc310423404"/>
      <w:bookmarkStart w:id="1498" w:name="_Toc318362697"/>
      <w:bookmarkStart w:id="1499" w:name="_Toc342470759"/>
      <w:bookmarkStart w:id="1500" w:name="_Toc352504999"/>
      <w:bookmarkStart w:id="1501" w:name="_Toc373395724"/>
      <w:bookmarkStart w:id="1502" w:name="_Toc378853290"/>
      <w:bookmarkStart w:id="1503" w:name="_Toc391024088"/>
      <w:bookmarkStart w:id="1504" w:name="_Toc410028831"/>
      <w:bookmarkStart w:id="1505" w:name="_Toc414531459"/>
      <w:bookmarkStart w:id="1506" w:name="_Toc443645372"/>
      <w:bookmarkStart w:id="1507" w:name="_Toc474914591"/>
      <w:bookmarkStart w:id="1508" w:name="_Toc481751555"/>
      <w:bookmarkStart w:id="1509" w:name="_Toc522010612"/>
      <w:bookmarkStart w:id="1510" w:name="_Toc5269517"/>
      <w:bookmarkStart w:id="1511" w:name="_Toc33529391"/>
      <w:bookmarkStart w:id="1512" w:name="_Toc36224597"/>
      <w:bookmarkStart w:id="1513" w:name="_Toc99659280"/>
      <w:r w:rsidRPr="00D604EE">
        <w:t>Table 6.3.1</w:t>
      </w:r>
      <w:r w:rsidRPr="00D604EE">
        <w:tab/>
        <w:t xml:space="preserve">New Zealand’s land-use change for the </w:t>
      </w:r>
      <w:r w:rsidRPr="00D604EE">
        <w:rPr>
          <w:i/>
        </w:rPr>
        <w:t>Forest land</w:t>
      </w:r>
      <w:r w:rsidRPr="00D604EE">
        <w:t xml:space="preserve"> category, and associated</w:t>
      </w:r>
      <w:r w:rsidRPr="00D604EE">
        <w:br/>
        <w:t>CO</w:t>
      </w:r>
      <w:r w:rsidRPr="00D604EE">
        <w:rPr>
          <w:vertAlign w:val="subscript"/>
        </w:rPr>
        <w:t>2</w:t>
      </w:r>
      <w:r w:rsidRPr="00D604EE">
        <w:t>-e emissions</w:t>
      </w:r>
      <w:bookmarkEnd w:id="1496"/>
      <w:bookmarkEnd w:id="1497"/>
      <w:bookmarkEnd w:id="1498"/>
      <w:bookmarkEnd w:id="1499"/>
      <w:bookmarkEnd w:id="1500"/>
      <w:bookmarkEnd w:id="1501"/>
      <w:bookmarkEnd w:id="1502"/>
      <w:r w:rsidRPr="00D604EE">
        <w:t xml:space="preserve">, in 1990 and </w:t>
      </w:r>
      <w:bookmarkEnd w:id="1503"/>
      <w:bookmarkEnd w:id="1504"/>
      <w:bookmarkEnd w:id="1505"/>
      <w:bookmarkEnd w:id="1506"/>
      <w:bookmarkEnd w:id="1507"/>
      <w:bookmarkEnd w:id="1508"/>
      <w:bookmarkEnd w:id="1509"/>
      <w:bookmarkEnd w:id="1510"/>
      <w:bookmarkEnd w:id="1511"/>
      <w:bookmarkEnd w:id="1512"/>
      <w:r w:rsidRPr="00D604EE">
        <w:t>2020</w:t>
      </w:r>
      <w:bookmarkEnd w:id="1513"/>
    </w:p>
    <w:tbl>
      <w:tblPr>
        <w:tblW w:w="8505" w:type="dxa"/>
        <w:tblInd w:w="108" w:type="dxa"/>
        <w:tblBorders>
          <w:bottom w:val="single" w:sz="4" w:space="0" w:color="44546A"/>
          <w:insideH w:val="single" w:sz="4" w:space="0" w:color="44546A"/>
        </w:tblBorders>
        <w:tblLayout w:type="fixed"/>
        <w:tblLook w:val="04A0" w:firstRow="1" w:lastRow="0" w:firstColumn="1" w:lastColumn="0" w:noHBand="0" w:noVBand="1"/>
      </w:tblPr>
      <w:tblGrid>
        <w:gridCol w:w="2694"/>
        <w:gridCol w:w="1275"/>
        <w:gridCol w:w="1276"/>
        <w:gridCol w:w="992"/>
        <w:gridCol w:w="993"/>
        <w:gridCol w:w="1275"/>
      </w:tblGrid>
      <w:tr w:rsidR="00784FA9" w:rsidRPr="00D604EE" w14:paraId="219B84DA" w14:textId="77777777" w:rsidTr="00E51C90">
        <w:tc>
          <w:tcPr>
            <w:tcW w:w="2694" w:type="dxa"/>
            <w:vMerge w:val="restart"/>
            <w:tcBorders>
              <w:top w:val="single" w:sz="4" w:space="0" w:color="44546A"/>
            </w:tcBorders>
            <w:shd w:val="clear" w:color="auto" w:fill="1B556B"/>
            <w:noWrap/>
            <w:vAlign w:val="bottom"/>
          </w:tcPr>
          <w:p w14:paraId="7345AF68" w14:textId="77777777" w:rsidR="00784FA9" w:rsidRPr="00D604EE" w:rsidRDefault="00784FA9" w:rsidP="007E3239">
            <w:pPr>
              <w:pStyle w:val="TableTextBold"/>
              <w:keepNext/>
              <w:keepLines/>
              <w:spacing w:before="40" w:after="40"/>
              <w:rPr>
                <w:rFonts w:eastAsia="Arial Bold"/>
                <w:noProof w:val="0"/>
                <w:color w:val="FFFFFF"/>
              </w:rPr>
            </w:pPr>
            <w:r w:rsidRPr="00D604EE">
              <w:rPr>
                <w:rFonts w:eastAsia="Arial Bold"/>
                <w:noProof w:val="0"/>
                <w:color w:val="FFFFFF"/>
              </w:rPr>
              <w:t>Land use category</w:t>
            </w:r>
          </w:p>
        </w:tc>
        <w:tc>
          <w:tcPr>
            <w:tcW w:w="1275" w:type="dxa"/>
            <w:vMerge w:val="restart"/>
            <w:tcBorders>
              <w:top w:val="single" w:sz="4" w:space="0" w:color="44546A"/>
            </w:tcBorders>
            <w:shd w:val="clear" w:color="auto" w:fill="1B556B"/>
            <w:noWrap/>
            <w:vAlign w:val="bottom"/>
          </w:tcPr>
          <w:p w14:paraId="5367296F" w14:textId="77777777" w:rsidR="00784FA9" w:rsidRPr="00D604EE" w:rsidRDefault="00784FA9" w:rsidP="007E3239">
            <w:pPr>
              <w:pStyle w:val="TableTextBold"/>
              <w:keepNext/>
              <w:keepLines/>
              <w:spacing w:before="40" w:after="40"/>
              <w:jc w:val="right"/>
              <w:rPr>
                <w:rFonts w:eastAsia="Arial Bold"/>
                <w:noProof w:val="0"/>
                <w:color w:val="FFFFFF"/>
              </w:rPr>
            </w:pPr>
            <w:r w:rsidRPr="00D604EE">
              <w:rPr>
                <w:rFonts w:eastAsia="Arial Bold"/>
                <w:noProof w:val="0"/>
                <w:color w:val="FFFFFF"/>
              </w:rPr>
              <w:t>Net area as at 1990 (ha)</w:t>
            </w:r>
          </w:p>
        </w:tc>
        <w:tc>
          <w:tcPr>
            <w:tcW w:w="1276" w:type="dxa"/>
            <w:vMerge w:val="restart"/>
            <w:tcBorders>
              <w:top w:val="single" w:sz="4" w:space="0" w:color="44546A"/>
            </w:tcBorders>
            <w:shd w:val="clear" w:color="auto" w:fill="1B556B"/>
            <w:noWrap/>
            <w:vAlign w:val="bottom"/>
          </w:tcPr>
          <w:p w14:paraId="37AD5C85" w14:textId="77777777" w:rsidR="00784FA9" w:rsidRPr="00D604EE" w:rsidRDefault="00784FA9" w:rsidP="007E3239">
            <w:pPr>
              <w:pStyle w:val="TableTextBold"/>
              <w:keepNext/>
              <w:keepLines/>
              <w:spacing w:before="40" w:after="40"/>
              <w:jc w:val="right"/>
              <w:rPr>
                <w:rFonts w:eastAsia="Arial Bold"/>
                <w:noProof w:val="0"/>
                <w:color w:val="FFFFFF"/>
              </w:rPr>
            </w:pPr>
            <w:r w:rsidRPr="00D604EE">
              <w:rPr>
                <w:rFonts w:eastAsia="Arial Bold"/>
                <w:noProof w:val="0"/>
                <w:color w:val="FFFFFF"/>
              </w:rPr>
              <w:t>Net area as at 2020 (ha)</w:t>
            </w:r>
          </w:p>
        </w:tc>
        <w:tc>
          <w:tcPr>
            <w:tcW w:w="1985" w:type="dxa"/>
            <w:gridSpan w:val="2"/>
            <w:tcBorders>
              <w:top w:val="single" w:sz="4" w:space="0" w:color="44546A"/>
              <w:bottom w:val="single" w:sz="4" w:space="0" w:color="44546A"/>
            </w:tcBorders>
            <w:shd w:val="clear" w:color="auto" w:fill="1B556B"/>
            <w:noWrap/>
            <w:vAlign w:val="bottom"/>
          </w:tcPr>
          <w:p w14:paraId="10C321F3" w14:textId="77777777" w:rsidR="00784FA9" w:rsidRPr="00D604EE" w:rsidRDefault="00784FA9" w:rsidP="007E3239">
            <w:pPr>
              <w:pStyle w:val="TableTextBold"/>
              <w:keepNext/>
              <w:keepLines/>
              <w:spacing w:before="40" w:after="40"/>
              <w:jc w:val="center"/>
              <w:rPr>
                <w:rFonts w:eastAsia="Arial Bold"/>
                <w:noProof w:val="0"/>
                <w:color w:val="FFFFFF"/>
              </w:rPr>
            </w:pPr>
            <w:r w:rsidRPr="00D604EE">
              <w:rPr>
                <w:rFonts w:eastAsia="Arial Bold"/>
                <w:noProof w:val="0"/>
                <w:color w:val="FFFFFF"/>
              </w:rPr>
              <w:t xml:space="preserve">Net emissions </w:t>
            </w:r>
            <w:r w:rsidRPr="00D604EE">
              <w:rPr>
                <w:rFonts w:eastAsia="Arial Bold"/>
                <w:noProof w:val="0"/>
                <w:color w:val="FFFFFF"/>
              </w:rPr>
              <w:br/>
              <w:t>(kt CO</w:t>
            </w:r>
            <w:r w:rsidRPr="00D604EE">
              <w:rPr>
                <w:rFonts w:eastAsia="Arial Bold"/>
                <w:noProof w:val="0"/>
                <w:color w:val="FFFFFF"/>
                <w:vertAlign w:val="subscript"/>
              </w:rPr>
              <w:t>2</w:t>
            </w:r>
            <w:r w:rsidRPr="00D604EE">
              <w:rPr>
                <w:rFonts w:eastAsia="Arial Bold"/>
                <w:noProof w:val="0"/>
                <w:color w:val="FFFFFF"/>
              </w:rPr>
              <w:t>-e)</w:t>
            </w:r>
          </w:p>
        </w:tc>
        <w:tc>
          <w:tcPr>
            <w:tcW w:w="1275" w:type="dxa"/>
            <w:vMerge w:val="restart"/>
            <w:tcBorders>
              <w:top w:val="single" w:sz="4" w:space="0" w:color="44546A"/>
            </w:tcBorders>
            <w:shd w:val="clear" w:color="auto" w:fill="1B556B"/>
            <w:noWrap/>
            <w:vAlign w:val="bottom"/>
          </w:tcPr>
          <w:p w14:paraId="28FA33A2" w14:textId="77777777" w:rsidR="00784FA9" w:rsidRPr="00D604EE" w:rsidRDefault="00784FA9" w:rsidP="007E3239">
            <w:pPr>
              <w:pStyle w:val="TableTextBold"/>
              <w:keepNext/>
              <w:keepLines/>
              <w:spacing w:before="40" w:after="40"/>
              <w:jc w:val="right"/>
              <w:rPr>
                <w:rFonts w:eastAsia="Arial Bold"/>
                <w:noProof w:val="0"/>
                <w:color w:val="FFFFFF"/>
              </w:rPr>
            </w:pPr>
            <w:r w:rsidRPr="00D604EE">
              <w:rPr>
                <w:rFonts w:eastAsia="Arial Bold"/>
                <w:noProof w:val="0"/>
                <w:color w:val="FFFFFF"/>
              </w:rPr>
              <w:t>Change from 1990 (%)</w:t>
            </w:r>
          </w:p>
        </w:tc>
      </w:tr>
      <w:tr w:rsidR="00784FA9" w:rsidRPr="00D604EE" w14:paraId="7E7B74AE" w14:textId="77777777" w:rsidTr="00E51C90">
        <w:tc>
          <w:tcPr>
            <w:tcW w:w="2694" w:type="dxa"/>
            <w:vMerge/>
            <w:tcBorders>
              <w:top w:val="single" w:sz="4" w:space="0" w:color="44546A"/>
              <w:bottom w:val="single" w:sz="4" w:space="0" w:color="1B556B"/>
            </w:tcBorders>
            <w:shd w:val="clear" w:color="auto" w:fill="44546A"/>
            <w:noWrap/>
            <w:vAlign w:val="bottom"/>
          </w:tcPr>
          <w:p w14:paraId="66445F1B" w14:textId="77777777" w:rsidR="00784FA9" w:rsidRPr="00D604EE" w:rsidRDefault="00784FA9" w:rsidP="007E3239">
            <w:pPr>
              <w:pStyle w:val="TableTextBold"/>
              <w:keepNext/>
              <w:spacing w:before="40" w:after="40"/>
              <w:jc w:val="center"/>
              <w:rPr>
                <w:rFonts w:eastAsia="Arial Bold"/>
                <w:noProof w:val="0"/>
                <w:color w:val="FFFFFF"/>
              </w:rPr>
            </w:pPr>
          </w:p>
        </w:tc>
        <w:tc>
          <w:tcPr>
            <w:tcW w:w="1275" w:type="dxa"/>
            <w:vMerge/>
            <w:tcBorders>
              <w:top w:val="single" w:sz="4" w:space="0" w:color="44546A"/>
              <w:bottom w:val="single" w:sz="4" w:space="0" w:color="1B556B"/>
            </w:tcBorders>
            <w:shd w:val="clear" w:color="auto" w:fill="44546A"/>
            <w:noWrap/>
            <w:vAlign w:val="bottom"/>
          </w:tcPr>
          <w:p w14:paraId="68018CB0" w14:textId="77777777" w:rsidR="00784FA9" w:rsidRPr="00D604EE" w:rsidRDefault="00784FA9" w:rsidP="007E3239">
            <w:pPr>
              <w:pStyle w:val="TableTextBold"/>
              <w:spacing w:before="40" w:after="40"/>
              <w:jc w:val="right"/>
              <w:rPr>
                <w:rFonts w:eastAsia="Arial Bold"/>
                <w:noProof w:val="0"/>
                <w:color w:val="FFFFFF"/>
              </w:rPr>
            </w:pPr>
          </w:p>
        </w:tc>
        <w:tc>
          <w:tcPr>
            <w:tcW w:w="1276" w:type="dxa"/>
            <w:vMerge/>
            <w:tcBorders>
              <w:top w:val="single" w:sz="4" w:space="0" w:color="44546A"/>
              <w:bottom w:val="single" w:sz="4" w:space="0" w:color="1B556B"/>
            </w:tcBorders>
            <w:shd w:val="clear" w:color="auto" w:fill="44546A"/>
            <w:noWrap/>
            <w:vAlign w:val="bottom"/>
          </w:tcPr>
          <w:p w14:paraId="1E7F1BC6" w14:textId="77777777" w:rsidR="00784FA9" w:rsidRPr="00D604EE" w:rsidRDefault="00784FA9" w:rsidP="007E3239">
            <w:pPr>
              <w:pStyle w:val="TableTextBold"/>
              <w:spacing w:before="40" w:after="40"/>
              <w:jc w:val="right"/>
              <w:rPr>
                <w:rFonts w:eastAsia="Arial Bold"/>
                <w:noProof w:val="0"/>
                <w:color w:val="FFFFFF"/>
              </w:rPr>
            </w:pPr>
          </w:p>
        </w:tc>
        <w:tc>
          <w:tcPr>
            <w:tcW w:w="992" w:type="dxa"/>
            <w:tcBorders>
              <w:top w:val="single" w:sz="4" w:space="0" w:color="44546A"/>
              <w:bottom w:val="single" w:sz="4" w:space="0" w:color="1B556B"/>
            </w:tcBorders>
            <w:shd w:val="clear" w:color="auto" w:fill="1B556B"/>
            <w:noWrap/>
            <w:vAlign w:val="bottom"/>
          </w:tcPr>
          <w:p w14:paraId="0D593A9F" w14:textId="77777777" w:rsidR="00784FA9" w:rsidRPr="00D604EE" w:rsidRDefault="00784FA9" w:rsidP="007E3239">
            <w:pPr>
              <w:pStyle w:val="TableTextBold"/>
              <w:spacing w:before="40" w:after="40"/>
              <w:jc w:val="right"/>
              <w:rPr>
                <w:rFonts w:eastAsia="Arial Bold"/>
                <w:noProof w:val="0"/>
                <w:color w:val="FFFFFF"/>
              </w:rPr>
            </w:pPr>
            <w:r w:rsidRPr="00D604EE">
              <w:rPr>
                <w:rFonts w:eastAsia="Arial Bold"/>
                <w:noProof w:val="0"/>
                <w:color w:val="FFFFFF"/>
              </w:rPr>
              <w:t>1990</w:t>
            </w:r>
          </w:p>
        </w:tc>
        <w:tc>
          <w:tcPr>
            <w:tcW w:w="993" w:type="dxa"/>
            <w:tcBorders>
              <w:top w:val="single" w:sz="4" w:space="0" w:color="44546A"/>
              <w:bottom w:val="single" w:sz="4" w:space="0" w:color="1B556B"/>
            </w:tcBorders>
            <w:shd w:val="clear" w:color="auto" w:fill="1B556B"/>
            <w:noWrap/>
            <w:vAlign w:val="bottom"/>
          </w:tcPr>
          <w:p w14:paraId="332AA860" w14:textId="77777777" w:rsidR="00784FA9" w:rsidRPr="00D604EE" w:rsidRDefault="00784FA9" w:rsidP="007E3239">
            <w:pPr>
              <w:pStyle w:val="TableTextBold"/>
              <w:spacing w:before="40" w:after="40"/>
              <w:jc w:val="right"/>
              <w:rPr>
                <w:rFonts w:eastAsia="Arial Bold"/>
                <w:noProof w:val="0"/>
                <w:color w:val="FFFFFF"/>
              </w:rPr>
            </w:pPr>
            <w:r w:rsidRPr="00D604EE">
              <w:rPr>
                <w:rFonts w:eastAsia="Arial Bold"/>
                <w:noProof w:val="0"/>
                <w:color w:val="FFFFFF"/>
              </w:rPr>
              <w:t>2020</w:t>
            </w:r>
          </w:p>
        </w:tc>
        <w:tc>
          <w:tcPr>
            <w:tcW w:w="1275" w:type="dxa"/>
            <w:vMerge/>
            <w:tcBorders>
              <w:top w:val="single" w:sz="4" w:space="0" w:color="44546A"/>
              <w:bottom w:val="single" w:sz="4" w:space="0" w:color="1B556B"/>
            </w:tcBorders>
            <w:shd w:val="clear" w:color="auto" w:fill="44546A"/>
            <w:noWrap/>
            <w:vAlign w:val="bottom"/>
          </w:tcPr>
          <w:p w14:paraId="068A30B6" w14:textId="77777777" w:rsidR="00784FA9" w:rsidRPr="00D604EE" w:rsidRDefault="00784FA9" w:rsidP="007E3239">
            <w:pPr>
              <w:pStyle w:val="TableTextBold"/>
              <w:spacing w:before="40" w:after="40"/>
              <w:jc w:val="right"/>
              <w:rPr>
                <w:rFonts w:eastAsia="Arial Bold"/>
                <w:noProof w:val="0"/>
                <w:color w:val="FFFFFF"/>
              </w:rPr>
            </w:pPr>
          </w:p>
        </w:tc>
      </w:tr>
      <w:tr w:rsidR="00784FA9" w:rsidRPr="00D604EE" w14:paraId="69823D4E" w14:textId="77777777" w:rsidTr="008C3B2E">
        <w:tc>
          <w:tcPr>
            <w:tcW w:w="2694" w:type="dxa"/>
            <w:tcBorders>
              <w:top w:val="single" w:sz="4" w:space="0" w:color="1B556B"/>
              <w:bottom w:val="single" w:sz="4" w:space="0" w:color="1B556B"/>
            </w:tcBorders>
            <w:shd w:val="clear" w:color="auto" w:fill="auto"/>
            <w:noWrap/>
          </w:tcPr>
          <w:p w14:paraId="61382AC0" w14:textId="77777777" w:rsidR="00784FA9" w:rsidRPr="00D604EE" w:rsidRDefault="00784FA9" w:rsidP="007E3239">
            <w:pPr>
              <w:pStyle w:val="TableText"/>
              <w:keepNext/>
              <w:spacing w:before="40" w:after="40"/>
              <w:rPr>
                <w:rFonts w:eastAsia="Arial Bold"/>
              </w:rPr>
            </w:pPr>
            <w:bookmarkStart w:id="1514" w:name="_Hlk311101605"/>
            <w:r w:rsidRPr="00D604EE">
              <w:rPr>
                <w:rFonts w:eastAsia="Arial Bold"/>
              </w:rPr>
              <w:t>Forest land remaining forest land</w:t>
            </w:r>
          </w:p>
        </w:tc>
        <w:tc>
          <w:tcPr>
            <w:tcW w:w="1275" w:type="dxa"/>
            <w:tcBorders>
              <w:top w:val="single" w:sz="4" w:space="0" w:color="1B556B"/>
              <w:bottom w:val="single" w:sz="4" w:space="0" w:color="1B556B"/>
            </w:tcBorders>
            <w:shd w:val="clear" w:color="auto" w:fill="auto"/>
            <w:noWrap/>
          </w:tcPr>
          <w:p w14:paraId="42CCE530" w14:textId="77777777" w:rsidR="00784FA9" w:rsidRPr="00D604EE" w:rsidRDefault="00784FA9" w:rsidP="007E3239">
            <w:pPr>
              <w:pStyle w:val="TableText"/>
              <w:keepNext/>
              <w:spacing w:before="40" w:after="40"/>
              <w:jc w:val="right"/>
              <w:rPr>
                <w:rFonts w:eastAsia="Arial Bold"/>
              </w:rPr>
            </w:pPr>
            <w:r w:rsidRPr="00D604EE">
              <w:t>8,548,151</w:t>
            </w:r>
          </w:p>
        </w:tc>
        <w:tc>
          <w:tcPr>
            <w:tcW w:w="1276" w:type="dxa"/>
            <w:tcBorders>
              <w:top w:val="single" w:sz="4" w:space="0" w:color="1B556B"/>
              <w:bottom w:val="single" w:sz="4" w:space="0" w:color="1B556B"/>
            </w:tcBorders>
            <w:shd w:val="clear" w:color="auto" w:fill="auto"/>
            <w:noWrap/>
          </w:tcPr>
          <w:p w14:paraId="49812952" w14:textId="77777777" w:rsidR="00784FA9" w:rsidRPr="00D604EE" w:rsidRDefault="00784FA9" w:rsidP="007E3239">
            <w:pPr>
              <w:pStyle w:val="TableText"/>
              <w:keepNext/>
              <w:spacing w:before="40" w:after="40"/>
              <w:jc w:val="right"/>
              <w:rPr>
                <w:rFonts w:eastAsia="Arial Bold"/>
              </w:rPr>
            </w:pPr>
            <w:r w:rsidRPr="00D604EE">
              <w:t>9,675,142</w:t>
            </w:r>
          </w:p>
        </w:tc>
        <w:tc>
          <w:tcPr>
            <w:tcW w:w="992" w:type="dxa"/>
            <w:tcBorders>
              <w:top w:val="single" w:sz="4" w:space="0" w:color="1B556B"/>
              <w:bottom w:val="single" w:sz="4" w:space="0" w:color="1B556B"/>
            </w:tcBorders>
            <w:shd w:val="clear" w:color="auto" w:fill="auto"/>
            <w:noWrap/>
          </w:tcPr>
          <w:p w14:paraId="7B1B022E" w14:textId="77777777" w:rsidR="00784FA9" w:rsidRPr="00D604EE" w:rsidRDefault="00784FA9" w:rsidP="007E3239">
            <w:pPr>
              <w:pStyle w:val="TableText"/>
              <w:keepNext/>
              <w:spacing w:before="40" w:after="40"/>
              <w:jc w:val="right"/>
              <w:rPr>
                <w:rFonts w:eastAsia="Arial Bold"/>
              </w:rPr>
            </w:pPr>
            <w:r w:rsidRPr="00D604EE">
              <w:t xml:space="preserve">–1,858.7 </w:t>
            </w:r>
          </w:p>
        </w:tc>
        <w:tc>
          <w:tcPr>
            <w:tcW w:w="993" w:type="dxa"/>
            <w:tcBorders>
              <w:top w:val="single" w:sz="4" w:space="0" w:color="1B556B"/>
              <w:bottom w:val="single" w:sz="4" w:space="0" w:color="1B556B"/>
            </w:tcBorders>
            <w:shd w:val="clear" w:color="auto" w:fill="auto"/>
            <w:noWrap/>
          </w:tcPr>
          <w:p w14:paraId="562FA548" w14:textId="77777777" w:rsidR="00784FA9" w:rsidRPr="00D604EE" w:rsidRDefault="00784FA9" w:rsidP="007E3239">
            <w:pPr>
              <w:pStyle w:val="TableText"/>
              <w:keepNext/>
              <w:spacing w:before="40" w:after="40"/>
              <w:jc w:val="right"/>
              <w:rPr>
                <w:rFonts w:eastAsia="Arial Bold"/>
              </w:rPr>
            </w:pPr>
            <w:r w:rsidRPr="00D604EE">
              <w:t xml:space="preserve">–15,142.5 </w:t>
            </w:r>
          </w:p>
        </w:tc>
        <w:tc>
          <w:tcPr>
            <w:tcW w:w="1275" w:type="dxa"/>
            <w:tcBorders>
              <w:top w:val="single" w:sz="4" w:space="0" w:color="1B556B"/>
              <w:bottom w:val="single" w:sz="4" w:space="0" w:color="1B556B"/>
            </w:tcBorders>
            <w:shd w:val="clear" w:color="auto" w:fill="auto"/>
            <w:noWrap/>
          </w:tcPr>
          <w:p w14:paraId="7CE49DAF" w14:textId="77777777" w:rsidR="00784FA9" w:rsidRPr="00D604EE" w:rsidRDefault="00784FA9" w:rsidP="007E3239">
            <w:pPr>
              <w:pStyle w:val="TableText"/>
              <w:keepNext/>
              <w:spacing w:before="40" w:after="40"/>
              <w:jc w:val="right"/>
              <w:rPr>
                <w:rFonts w:eastAsia="Arial Bold"/>
              </w:rPr>
            </w:pPr>
            <w:r w:rsidRPr="00D604EE">
              <w:t>–714.7</w:t>
            </w:r>
          </w:p>
        </w:tc>
      </w:tr>
      <w:bookmarkEnd w:id="1514"/>
      <w:tr w:rsidR="00784FA9" w:rsidRPr="00D604EE" w14:paraId="056C41A8" w14:textId="77777777" w:rsidTr="008C3B2E">
        <w:tc>
          <w:tcPr>
            <w:tcW w:w="2694" w:type="dxa"/>
            <w:tcBorders>
              <w:top w:val="single" w:sz="4" w:space="0" w:color="1B556B"/>
              <w:bottom w:val="single" w:sz="4" w:space="0" w:color="1B556B"/>
            </w:tcBorders>
            <w:shd w:val="clear" w:color="auto" w:fill="auto"/>
            <w:noWrap/>
          </w:tcPr>
          <w:p w14:paraId="4476C78E" w14:textId="77777777" w:rsidR="00784FA9" w:rsidRPr="00D604EE" w:rsidRDefault="00784FA9" w:rsidP="007E3239">
            <w:pPr>
              <w:pStyle w:val="TableText"/>
              <w:keepNext/>
              <w:spacing w:before="40" w:after="40"/>
              <w:rPr>
                <w:rFonts w:eastAsia="Arial Bold"/>
              </w:rPr>
            </w:pPr>
            <w:r w:rsidRPr="00D604EE">
              <w:rPr>
                <w:rFonts w:eastAsia="Arial Bold"/>
              </w:rPr>
              <w:t>Land converted to forest land</w:t>
            </w:r>
          </w:p>
        </w:tc>
        <w:tc>
          <w:tcPr>
            <w:tcW w:w="1275" w:type="dxa"/>
            <w:tcBorders>
              <w:top w:val="single" w:sz="4" w:space="0" w:color="1B556B"/>
              <w:bottom w:val="single" w:sz="4" w:space="0" w:color="1B556B"/>
            </w:tcBorders>
            <w:shd w:val="clear" w:color="auto" w:fill="auto"/>
            <w:noWrap/>
          </w:tcPr>
          <w:p w14:paraId="1BD273D8" w14:textId="77777777" w:rsidR="00784FA9" w:rsidRPr="00D604EE" w:rsidRDefault="00784FA9" w:rsidP="007E3239">
            <w:pPr>
              <w:pStyle w:val="TableText"/>
              <w:keepNext/>
              <w:spacing w:before="40" w:after="40"/>
              <w:jc w:val="right"/>
              <w:rPr>
                <w:rFonts w:eastAsia="Arial Bold"/>
              </w:rPr>
            </w:pPr>
            <w:r w:rsidRPr="00D604EE">
              <w:t>821,024</w:t>
            </w:r>
          </w:p>
        </w:tc>
        <w:tc>
          <w:tcPr>
            <w:tcW w:w="1276" w:type="dxa"/>
            <w:tcBorders>
              <w:top w:val="single" w:sz="4" w:space="0" w:color="1B556B"/>
              <w:bottom w:val="single" w:sz="4" w:space="0" w:color="1B556B"/>
            </w:tcBorders>
            <w:shd w:val="clear" w:color="auto" w:fill="auto"/>
            <w:noWrap/>
          </w:tcPr>
          <w:p w14:paraId="73B2F677" w14:textId="77777777" w:rsidR="00784FA9" w:rsidRPr="00D604EE" w:rsidRDefault="00784FA9" w:rsidP="007E3239">
            <w:pPr>
              <w:pStyle w:val="TableText"/>
              <w:keepNext/>
              <w:spacing w:before="40" w:after="40"/>
              <w:jc w:val="right"/>
              <w:rPr>
                <w:rFonts w:eastAsia="Arial Bold"/>
              </w:rPr>
            </w:pPr>
            <w:r w:rsidRPr="00D604EE">
              <w:t>296,528</w:t>
            </w:r>
          </w:p>
        </w:tc>
        <w:tc>
          <w:tcPr>
            <w:tcW w:w="992" w:type="dxa"/>
            <w:tcBorders>
              <w:top w:val="single" w:sz="4" w:space="0" w:color="1B556B"/>
              <w:bottom w:val="single" w:sz="4" w:space="0" w:color="1B556B"/>
            </w:tcBorders>
            <w:shd w:val="clear" w:color="auto" w:fill="auto"/>
            <w:noWrap/>
          </w:tcPr>
          <w:p w14:paraId="33A61AA2" w14:textId="77777777" w:rsidR="00784FA9" w:rsidRPr="00D604EE" w:rsidRDefault="00784FA9" w:rsidP="007E3239">
            <w:pPr>
              <w:pStyle w:val="TableText"/>
              <w:keepNext/>
              <w:spacing w:before="40" w:after="40"/>
              <w:jc w:val="right"/>
              <w:rPr>
                <w:rFonts w:eastAsia="Arial Bold"/>
              </w:rPr>
            </w:pPr>
            <w:r w:rsidRPr="00D604EE">
              <w:t xml:space="preserve">–18,209.6 </w:t>
            </w:r>
          </w:p>
        </w:tc>
        <w:tc>
          <w:tcPr>
            <w:tcW w:w="993" w:type="dxa"/>
            <w:tcBorders>
              <w:top w:val="single" w:sz="4" w:space="0" w:color="1B556B"/>
              <w:bottom w:val="single" w:sz="4" w:space="0" w:color="1B556B"/>
            </w:tcBorders>
            <w:shd w:val="clear" w:color="auto" w:fill="auto"/>
            <w:noWrap/>
          </w:tcPr>
          <w:p w14:paraId="065885CF" w14:textId="77777777" w:rsidR="00784FA9" w:rsidRPr="00D604EE" w:rsidRDefault="00784FA9" w:rsidP="007E3239">
            <w:pPr>
              <w:pStyle w:val="TableText"/>
              <w:keepNext/>
              <w:spacing w:before="40" w:after="40"/>
              <w:jc w:val="right"/>
              <w:rPr>
                <w:rFonts w:eastAsia="Arial Bold"/>
              </w:rPr>
            </w:pPr>
            <w:r w:rsidRPr="00D604EE">
              <w:t xml:space="preserve">–4,562.2 </w:t>
            </w:r>
          </w:p>
        </w:tc>
        <w:tc>
          <w:tcPr>
            <w:tcW w:w="1275" w:type="dxa"/>
            <w:tcBorders>
              <w:top w:val="single" w:sz="4" w:space="0" w:color="1B556B"/>
              <w:bottom w:val="single" w:sz="4" w:space="0" w:color="1B556B"/>
            </w:tcBorders>
            <w:shd w:val="clear" w:color="auto" w:fill="auto"/>
            <w:noWrap/>
          </w:tcPr>
          <w:p w14:paraId="0D11F838" w14:textId="77777777" w:rsidR="00784FA9" w:rsidRPr="00D604EE" w:rsidRDefault="00784FA9" w:rsidP="007E3239">
            <w:pPr>
              <w:pStyle w:val="TableText"/>
              <w:keepNext/>
              <w:spacing w:before="40" w:after="40"/>
              <w:jc w:val="right"/>
              <w:rPr>
                <w:rFonts w:eastAsia="Arial Bold"/>
              </w:rPr>
            </w:pPr>
            <w:r w:rsidRPr="00D604EE">
              <w:t>+74.9</w:t>
            </w:r>
          </w:p>
        </w:tc>
      </w:tr>
      <w:tr w:rsidR="00784FA9" w:rsidRPr="00D604EE" w14:paraId="0224AB69" w14:textId="77777777" w:rsidTr="008C3B2E">
        <w:tc>
          <w:tcPr>
            <w:tcW w:w="2694" w:type="dxa"/>
            <w:tcBorders>
              <w:top w:val="single" w:sz="4" w:space="0" w:color="1B556B"/>
              <w:bottom w:val="single" w:sz="4" w:space="0" w:color="1B556B"/>
            </w:tcBorders>
            <w:shd w:val="clear" w:color="auto" w:fill="auto"/>
            <w:noWrap/>
          </w:tcPr>
          <w:p w14:paraId="251F7E2F" w14:textId="77777777" w:rsidR="00784FA9" w:rsidRPr="00D604EE" w:rsidRDefault="00784FA9" w:rsidP="007E3239">
            <w:pPr>
              <w:pStyle w:val="Tableboldblue"/>
              <w:spacing w:before="40" w:after="40"/>
              <w:jc w:val="right"/>
              <w:rPr>
                <w:rFonts w:eastAsia="Arial Bold"/>
              </w:rPr>
            </w:pPr>
            <w:r w:rsidRPr="00D604EE">
              <w:rPr>
                <w:rFonts w:eastAsia="Arial Bold"/>
              </w:rPr>
              <w:t>Total</w:t>
            </w:r>
          </w:p>
        </w:tc>
        <w:tc>
          <w:tcPr>
            <w:tcW w:w="1275" w:type="dxa"/>
            <w:tcBorders>
              <w:top w:val="single" w:sz="4" w:space="0" w:color="1B556B"/>
              <w:bottom w:val="single" w:sz="4" w:space="0" w:color="1B556B"/>
            </w:tcBorders>
            <w:shd w:val="clear" w:color="auto" w:fill="auto"/>
            <w:noWrap/>
          </w:tcPr>
          <w:p w14:paraId="443894BC" w14:textId="77777777" w:rsidR="00784FA9" w:rsidRPr="00D604EE" w:rsidRDefault="00784FA9" w:rsidP="007E3239">
            <w:pPr>
              <w:pStyle w:val="Tableboldblue"/>
              <w:spacing w:before="40" w:after="40"/>
              <w:jc w:val="right"/>
              <w:rPr>
                <w:rFonts w:eastAsia="Arial Bold"/>
              </w:rPr>
            </w:pPr>
            <w:r w:rsidRPr="00D604EE">
              <w:t>9,369,176</w:t>
            </w:r>
          </w:p>
        </w:tc>
        <w:tc>
          <w:tcPr>
            <w:tcW w:w="1276" w:type="dxa"/>
            <w:tcBorders>
              <w:top w:val="single" w:sz="4" w:space="0" w:color="1B556B"/>
              <w:bottom w:val="single" w:sz="4" w:space="0" w:color="1B556B"/>
            </w:tcBorders>
            <w:shd w:val="clear" w:color="auto" w:fill="auto"/>
            <w:noWrap/>
          </w:tcPr>
          <w:p w14:paraId="49AECAF6" w14:textId="77777777" w:rsidR="00784FA9" w:rsidRPr="00D604EE" w:rsidRDefault="00784FA9" w:rsidP="007E3239">
            <w:pPr>
              <w:pStyle w:val="Tableboldblue"/>
              <w:spacing w:before="40" w:after="40"/>
              <w:jc w:val="right"/>
              <w:rPr>
                <w:rFonts w:eastAsia="Arial Bold"/>
              </w:rPr>
            </w:pPr>
            <w:r w:rsidRPr="00D604EE">
              <w:t>9,971,670</w:t>
            </w:r>
          </w:p>
        </w:tc>
        <w:tc>
          <w:tcPr>
            <w:tcW w:w="992" w:type="dxa"/>
            <w:tcBorders>
              <w:top w:val="single" w:sz="4" w:space="0" w:color="1B556B"/>
              <w:bottom w:val="single" w:sz="4" w:space="0" w:color="1B556B"/>
            </w:tcBorders>
            <w:shd w:val="clear" w:color="auto" w:fill="auto"/>
            <w:noWrap/>
          </w:tcPr>
          <w:p w14:paraId="51AD10F7" w14:textId="77777777" w:rsidR="00784FA9" w:rsidRPr="00D604EE" w:rsidRDefault="00784FA9" w:rsidP="007E3239">
            <w:pPr>
              <w:pStyle w:val="Tableboldblue"/>
              <w:spacing w:before="40" w:after="40"/>
              <w:jc w:val="right"/>
              <w:rPr>
                <w:rFonts w:eastAsia="Arial Bold"/>
              </w:rPr>
            </w:pPr>
            <w:r w:rsidRPr="00D604EE">
              <w:t xml:space="preserve">–20,068.3 </w:t>
            </w:r>
          </w:p>
        </w:tc>
        <w:tc>
          <w:tcPr>
            <w:tcW w:w="993" w:type="dxa"/>
            <w:tcBorders>
              <w:top w:val="single" w:sz="4" w:space="0" w:color="1B556B"/>
              <w:bottom w:val="single" w:sz="4" w:space="0" w:color="1B556B"/>
            </w:tcBorders>
            <w:shd w:val="clear" w:color="auto" w:fill="auto"/>
            <w:noWrap/>
          </w:tcPr>
          <w:p w14:paraId="7770A626" w14:textId="77777777" w:rsidR="00784FA9" w:rsidRPr="00D604EE" w:rsidRDefault="00784FA9" w:rsidP="007E3239">
            <w:pPr>
              <w:pStyle w:val="Tableboldblue"/>
              <w:spacing w:before="40" w:after="40"/>
              <w:jc w:val="right"/>
              <w:rPr>
                <w:rFonts w:eastAsia="Arial Bold"/>
              </w:rPr>
            </w:pPr>
            <w:r w:rsidRPr="00D604EE">
              <w:t xml:space="preserve">–19,704.7 </w:t>
            </w:r>
          </w:p>
        </w:tc>
        <w:tc>
          <w:tcPr>
            <w:tcW w:w="1275" w:type="dxa"/>
            <w:tcBorders>
              <w:top w:val="single" w:sz="4" w:space="0" w:color="1B556B"/>
              <w:bottom w:val="single" w:sz="4" w:space="0" w:color="1B556B"/>
            </w:tcBorders>
            <w:shd w:val="clear" w:color="auto" w:fill="auto"/>
            <w:noWrap/>
          </w:tcPr>
          <w:p w14:paraId="37A2F884" w14:textId="77777777" w:rsidR="00784FA9" w:rsidRPr="00D604EE" w:rsidRDefault="00784FA9" w:rsidP="007E3239">
            <w:pPr>
              <w:pStyle w:val="Tableboldblue"/>
              <w:spacing w:before="40" w:after="40"/>
              <w:jc w:val="right"/>
              <w:rPr>
                <w:rFonts w:eastAsia="Arial Bold"/>
              </w:rPr>
            </w:pPr>
            <w:r w:rsidRPr="00D604EE">
              <w:t>+1.8</w:t>
            </w:r>
          </w:p>
        </w:tc>
      </w:tr>
    </w:tbl>
    <w:p w14:paraId="53D08B3F" w14:textId="77777777" w:rsidR="00784FA9" w:rsidRPr="00D604EE" w:rsidRDefault="00784FA9" w:rsidP="00784FA9">
      <w:pPr>
        <w:pStyle w:val="Noteundertable"/>
        <w:spacing w:after="80"/>
      </w:pPr>
      <w:r w:rsidRPr="00D604EE">
        <w:rPr>
          <w:b/>
        </w:rPr>
        <w:t>Note:</w:t>
      </w:r>
      <w:r w:rsidRPr="00D604EE">
        <w:tab/>
        <w:t xml:space="preserve">Net area in 1990 is as at 1 January 1990; net area in 2020 is as at 31 December. The area of </w:t>
      </w:r>
      <w:r w:rsidRPr="00D604EE">
        <w:rPr>
          <w:i/>
        </w:rPr>
        <w:t>Land converted to forest land</w:t>
      </w:r>
      <w:r w:rsidRPr="00D604EE">
        <w:t xml:space="preserve"> includes land converted up to 20 years earlier, and net area values include land in a state of conversion (due to land-use change before 1990) and afforestation since 1990. Net emission estimates are for the whole year indicated. Columns may not total due to rounding, and percentages presented are calculated from unrounded values.</w:t>
      </w:r>
    </w:p>
    <w:p w14:paraId="027AE142" w14:textId="77777777" w:rsidR="00784FA9" w:rsidRPr="00D604EE" w:rsidRDefault="00784FA9" w:rsidP="00784FA9">
      <w:pPr>
        <w:pStyle w:val="BodyText"/>
        <w:keepNext/>
        <w:spacing w:before="100" w:after="100"/>
      </w:pPr>
      <w:r w:rsidRPr="00D604EE">
        <w:t xml:space="preserve">New Zealand has applied the following parameters for land to be classified as </w:t>
      </w:r>
      <w:r w:rsidRPr="00D604EE">
        <w:rPr>
          <w:i/>
          <w:iCs/>
        </w:rPr>
        <w:t>Forest land</w:t>
      </w:r>
      <w:r w:rsidRPr="00D604EE">
        <w:t xml:space="preserve">: </w:t>
      </w:r>
    </w:p>
    <w:p w14:paraId="3F2064A3" w14:textId="77777777" w:rsidR="00784FA9" w:rsidRPr="00D604EE" w:rsidRDefault="00784FA9" w:rsidP="00AB2A5C">
      <w:pPr>
        <w:pStyle w:val="Bullet"/>
        <w:numPr>
          <w:ilvl w:val="0"/>
          <w:numId w:val="19"/>
        </w:numPr>
        <w:spacing w:after="100"/>
        <w:ind w:left="397" w:hanging="397"/>
      </w:pPr>
      <w:r w:rsidRPr="00D604EE">
        <w:t>minimum area of 1 hectare</w:t>
      </w:r>
    </w:p>
    <w:p w14:paraId="58C19BE1" w14:textId="77777777" w:rsidR="00784FA9" w:rsidRPr="00D604EE" w:rsidRDefault="00784FA9" w:rsidP="00AB2A5C">
      <w:pPr>
        <w:pStyle w:val="Bullet"/>
        <w:numPr>
          <w:ilvl w:val="0"/>
          <w:numId w:val="19"/>
        </w:numPr>
        <w:spacing w:after="100"/>
        <w:ind w:left="397" w:hanging="397"/>
      </w:pPr>
      <w:r w:rsidRPr="00D604EE">
        <w:t xml:space="preserve">potential to reach a minimum height of 5 metres </w:t>
      </w:r>
    </w:p>
    <w:p w14:paraId="1685EF57" w14:textId="77777777" w:rsidR="00784FA9" w:rsidRPr="00D604EE" w:rsidRDefault="00784FA9" w:rsidP="00AB2A5C">
      <w:pPr>
        <w:pStyle w:val="Bullet"/>
        <w:numPr>
          <w:ilvl w:val="0"/>
          <w:numId w:val="19"/>
        </w:numPr>
        <w:spacing w:after="100"/>
        <w:ind w:left="397" w:hanging="397"/>
      </w:pPr>
      <w:r w:rsidRPr="00D604EE">
        <w:t>potential to reach a minimum crown cover of 30 per cent</w:t>
      </w:r>
    </w:p>
    <w:p w14:paraId="2B3BA5F6" w14:textId="77777777" w:rsidR="00784FA9" w:rsidRPr="00D604EE" w:rsidRDefault="00784FA9" w:rsidP="00AB2A5C">
      <w:pPr>
        <w:pStyle w:val="Bullet"/>
        <w:numPr>
          <w:ilvl w:val="0"/>
          <w:numId w:val="19"/>
        </w:numPr>
        <w:ind w:left="397" w:hanging="397"/>
      </w:pPr>
      <w:r w:rsidRPr="00D604EE">
        <w:t xml:space="preserve">a minimum forest width of 30 metres from canopy edge to canopy edge. </w:t>
      </w:r>
    </w:p>
    <w:p w14:paraId="2A5AA18A" w14:textId="77777777" w:rsidR="00784FA9" w:rsidRPr="00D604EE" w:rsidRDefault="00784FA9" w:rsidP="00784FA9">
      <w:pPr>
        <w:pStyle w:val="BodyText"/>
        <w:spacing w:after="100"/>
      </w:pPr>
      <w:r w:rsidRPr="00D604EE">
        <w:lastRenderedPageBreak/>
        <w:t xml:space="preserve">Where the height and canopy cover parameters are not met at the time of mapping, the land has been classified as </w:t>
      </w:r>
      <w:r w:rsidRPr="00D604EE">
        <w:rPr>
          <w:i/>
        </w:rPr>
        <w:t>Forest land</w:t>
      </w:r>
      <w:r w:rsidRPr="00D604EE">
        <w:t xml:space="preserve"> if the land-management practice(s) and local site conditions (including climate) are such that the forest parameters will be met over a 30- to 40-year timeframe. Note that New Zealand does not report linear shelterbelts under the </w:t>
      </w:r>
      <w:r w:rsidRPr="00D604EE">
        <w:rPr>
          <w:i/>
        </w:rPr>
        <w:t>Forest land</w:t>
      </w:r>
      <w:r w:rsidRPr="00D604EE">
        <w:t xml:space="preserve"> category because they are not on land managed as forest. They form part of non-forest land uses, namely </w:t>
      </w:r>
      <w:r w:rsidRPr="00D604EE">
        <w:rPr>
          <w:i/>
        </w:rPr>
        <w:t>Cropland</w:t>
      </w:r>
      <w:r w:rsidRPr="00D604EE">
        <w:t xml:space="preserve"> and </w:t>
      </w:r>
      <w:r w:rsidRPr="00D604EE">
        <w:rPr>
          <w:i/>
        </w:rPr>
        <w:t>Grassland</w:t>
      </w:r>
      <w:r w:rsidRPr="00D604EE">
        <w:t xml:space="preserve"> (as shelter to crops and/or animals). </w:t>
      </w:r>
    </w:p>
    <w:p w14:paraId="71F3F66F" w14:textId="77777777" w:rsidR="00784FA9" w:rsidRPr="00D604EE" w:rsidRDefault="00784FA9" w:rsidP="00784FA9">
      <w:pPr>
        <w:pStyle w:val="BodyText"/>
        <w:spacing w:after="100"/>
      </w:pPr>
      <w:r w:rsidRPr="00D604EE">
        <w:t xml:space="preserve">New Zealand uses four </w:t>
      </w:r>
      <w:r w:rsidRPr="00D604EE">
        <w:rPr>
          <w:i/>
        </w:rPr>
        <w:t>Forest land</w:t>
      </w:r>
      <w:r w:rsidRPr="00D604EE">
        <w:t xml:space="preserve"> types: pre-1990 natural forest (predominantly native forest), pre-1990 planted forest (predominantly </w:t>
      </w:r>
      <w:r w:rsidRPr="00D604EE">
        <w:rPr>
          <w:i/>
        </w:rPr>
        <w:t>Pinus radiata</w:t>
      </w:r>
      <w:r w:rsidRPr="00D604EE">
        <w:t>), post-1989 planted forest and post-1989 natural forest (where post-1989 forests are those established after 31 December 1989). The definitions used for mapping these land uses are given in table 6.2.3.</w:t>
      </w:r>
    </w:p>
    <w:p w14:paraId="3741EF38" w14:textId="77777777" w:rsidR="00784FA9" w:rsidRPr="00D604EE" w:rsidRDefault="00784FA9" w:rsidP="00784FA9">
      <w:pPr>
        <w:pStyle w:val="BodyText"/>
        <w:spacing w:after="100"/>
      </w:pPr>
      <w:r w:rsidRPr="00D604EE">
        <w:t>Table 6.3.2 shows land-use change by forest land type since 1990 and the associated CO</w:t>
      </w:r>
      <w:r w:rsidRPr="00D604EE">
        <w:rPr>
          <w:vertAlign w:val="subscript"/>
        </w:rPr>
        <w:t>2</w:t>
      </w:r>
      <w:r w:rsidRPr="00D604EE">
        <w:t xml:space="preserve"> emissions from carbon stock change (note: non-CO</w:t>
      </w:r>
      <w:r w:rsidRPr="00D604EE">
        <w:rPr>
          <w:vertAlign w:val="subscript"/>
        </w:rPr>
        <w:t>2</w:t>
      </w:r>
      <w:r w:rsidRPr="00D604EE">
        <w:t xml:space="preserve"> emissions are reported elsewhere). </w:t>
      </w:r>
    </w:p>
    <w:p w14:paraId="77830A96" w14:textId="77777777" w:rsidR="00784FA9" w:rsidRPr="00D604EE" w:rsidRDefault="00784FA9" w:rsidP="00784FA9">
      <w:pPr>
        <w:pStyle w:val="Table"/>
      </w:pPr>
      <w:bookmarkStart w:id="1515" w:name="_Toc310423405"/>
      <w:bookmarkStart w:id="1516" w:name="_Toc318362698"/>
      <w:bookmarkStart w:id="1517" w:name="_Toc342470760"/>
      <w:bookmarkStart w:id="1518" w:name="_Toc352505000"/>
      <w:bookmarkStart w:id="1519" w:name="_Toc373395725"/>
      <w:bookmarkStart w:id="1520" w:name="_Toc378853291"/>
      <w:bookmarkStart w:id="1521" w:name="_Toc474914592"/>
      <w:bookmarkStart w:id="1522" w:name="_Toc481751556"/>
      <w:bookmarkStart w:id="1523" w:name="_Toc522010613"/>
      <w:bookmarkStart w:id="1524" w:name="_Toc5269518"/>
      <w:bookmarkStart w:id="1525" w:name="_Toc33529392"/>
      <w:bookmarkStart w:id="1526" w:name="_Toc36224598"/>
      <w:bookmarkStart w:id="1527" w:name="_Toc99659281"/>
      <w:bookmarkStart w:id="1528" w:name="_Toc391024089"/>
      <w:bookmarkStart w:id="1529" w:name="_Toc410028832"/>
      <w:bookmarkStart w:id="1530" w:name="_Toc414531460"/>
      <w:bookmarkStart w:id="1531" w:name="_Toc443645373"/>
      <w:r w:rsidRPr="00D604EE">
        <w:t>Table 6.3.2</w:t>
      </w:r>
      <w:r w:rsidRPr="00D604EE">
        <w:tab/>
        <w:t>Change in land area and associated CO</w:t>
      </w:r>
      <w:r w:rsidRPr="00D604EE">
        <w:rPr>
          <w:vertAlign w:val="subscript"/>
        </w:rPr>
        <w:t>2</w:t>
      </w:r>
      <w:r w:rsidRPr="00D604EE">
        <w:t xml:space="preserve"> emissions from carbon stock change</w:t>
      </w:r>
      <w:bookmarkEnd w:id="1515"/>
      <w:bookmarkEnd w:id="1516"/>
      <w:bookmarkEnd w:id="1517"/>
      <w:bookmarkEnd w:id="1518"/>
      <w:bookmarkEnd w:id="1519"/>
      <w:bookmarkEnd w:id="1520"/>
      <w:r w:rsidRPr="00D604EE">
        <w:br/>
        <w:t>between 1990 and 2020 for New Zealand’s</w:t>
      </w:r>
      <w:r w:rsidRPr="00D604EE">
        <w:rPr>
          <w:i/>
        </w:rPr>
        <w:t xml:space="preserve"> Forest land</w:t>
      </w:r>
      <w:bookmarkEnd w:id="1521"/>
      <w:bookmarkEnd w:id="1522"/>
      <w:bookmarkEnd w:id="1523"/>
      <w:bookmarkEnd w:id="1524"/>
      <w:bookmarkEnd w:id="1525"/>
      <w:bookmarkEnd w:id="1526"/>
      <w:bookmarkEnd w:id="1527"/>
      <w:r w:rsidRPr="00D604EE">
        <w:t xml:space="preserve"> </w:t>
      </w:r>
      <w:bookmarkEnd w:id="1528"/>
      <w:bookmarkEnd w:id="1529"/>
      <w:bookmarkEnd w:id="1530"/>
      <w:bookmarkEnd w:id="1531"/>
    </w:p>
    <w:tbl>
      <w:tblPr>
        <w:tblW w:w="8505" w:type="dxa"/>
        <w:tblInd w:w="108" w:type="dxa"/>
        <w:tblLayout w:type="fixed"/>
        <w:tblLook w:val="04A0" w:firstRow="1" w:lastRow="0" w:firstColumn="1" w:lastColumn="0" w:noHBand="0" w:noVBand="1"/>
      </w:tblPr>
      <w:tblGrid>
        <w:gridCol w:w="1985"/>
        <w:gridCol w:w="1276"/>
        <w:gridCol w:w="1275"/>
        <w:gridCol w:w="993"/>
        <w:gridCol w:w="992"/>
        <w:gridCol w:w="992"/>
        <w:gridCol w:w="992"/>
      </w:tblGrid>
      <w:tr w:rsidR="00784FA9" w:rsidRPr="00D604EE" w14:paraId="02880337" w14:textId="77777777" w:rsidTr="009E4569">
        <w:trPr>
          <w:tblHeader/>
        </w:trPr>
        <w:tc>
          <w:tcPr>
            <w:tcW w:w="1985" w:type="dxa"/>
            <w:vMerge w:val="restart"/>
            <w:tcBorders>
              <w:top w:val="single" w:sz="4" w:space="0" w:color="1B556B"/>
            </w:tcBorders>
            <w:shd w:val="clear" w:color="auto" w:fill="1B556B"/>
            <w:vAlign w:val="bottom"/>
          </w:tcPr>
          <w:p w14:paraId="793A1520" w14:textId="77777777" w:rsidR="00784FA9" w:rsidRPr="00D604EE" w:rsidRDefault="00784FA9" w:rsidP="007E3239">
            <w:pPr>
              <w:pStyle w:val="TableTextBold"/>
              <w:spacing w:before="40" w:after="40"/>
              <w:rPr>
                <w:rFonts w:eastAsia="Arial Bold"/>
                <w:noProof w:val="0"/>
                <w:color w:val="FFFFFF"/>
              </w:rPr>
            </w:pPr>
            <w:r w:rsidRPr="00D604EE">
              <w:rPr>
                <w:rFonts w:eastAsia="Arial Bold"/>
                <w:noProof w:val="0"/>
                <w:color w:val="FFFFFF"/>
              </w:rPr>
              <w:t xml:space="preserve">Land use </w:t>
            </w:r>
          </w:p>
        </w:tc>
        <w:tc>
          <w:tcPr>
            <w:tcW w:w="1276" w:type="dxa"/>
            <w:tcBorders>
              <w:top w:val="single" w:sz="4" w:space="0" w:color="1B556B"/>
            </w:tcBorders>
            <w:shd w:val="clear" w:color="auto" w:fill="1B556B"/>
            <w:vAlign w:val="bottom"/>
          </w:tcPr>
          <w:p w14:paraId="4449578C" w14:textId="77777777" w:rsidR="00784FA9" w:rsidRPr="00D604EE" w:rsidRDefault="00784FA9" w:rsidP="009E4569">
            <w:pPr>
              <w:pStyle w:val="TableTextBold"/>
              <w:spacing w:before="40" w:after="40"/>
              <w:jc w:val="center"/>
              <w:rPr>
                <w:rFonts w:eastAsia="Arial Bold"/>
                <w:noProof w:val="0"/>
                <w:color w:val="FFFFFF"/>
              </w:rPr>
            </w:pPr>
            <w:r w:rsidRPr="00D604EE">
              <w:rPr>
                <w:rFonts w:eastAsia="Arial Bold"/>
                <w:noProof w:val="0"/>
                <w:color w:val="FFFFFF"/>
              </w:rPr>
              <w:t>Net area (ha)</w:t>
            </w:r>
          </w:p>
        </w:tc>
        <w:tc>
          <w:tcPr>
            <w:tcW w:w="1275" w:type="dxa"/>
            <w:tcBorders>
              <w:top w:val="single" w:sz="4" w:space="0" w:color="1B556B"/>
            </w:tcBorders>
            <w:shd w:val="clear" w:color="auto" w:fill="1B556B"/>
            <w:vAlign w:val="bottom"/>
          </w:tcPr>
          <w:p w14:paraId="4CB0777E" w14:textId="77777777" w:rsidR="00784FA9" w:rsidRPr="00D604EE" w:rsidRDefault="00784FA9" w:rsidP="009E4569">
            <w:pPr>
              <w:pStyle w:val="TableTextBold"/>
              <w:spacing w:before="40" w:after="40"/>
              <w:jc w:val="center"/>
              <w:rPr>
                <w:rFonts w:eastAsia="Arial Bold"/>
                <w:noProof w:val="0"/>
                <w:color w:val="FFFFFF"/>
              </w:rPr>
            </w:pPr>
            <w:r w:rsidRPr="00D604EE">
              <w:rPr>
                <w:rFonts w:eastAsia="Arial Bold"/>
                <w:noProof w:val="0"/>
                <w:color w:val="FFFFFF"/>
              </w:rPr>
              <w:t>Net area (ha)</w:t>
            </w:r>
          </w:p>
        </w:tc>
        <w:tc>
          <w:tcPr>
            <w:tcW w:w="993" w:type="dxa"/>
            <w:vMerge w:val="restart"/>
            <w:tcBorders>
              <w:top w:val="single" w:sz="4" w:space="0" w:color="1B556B"/>
            </w:tcBorders>
            <w:shd w:val="clear" w:color="auto" w:fill="1B556B"/>
            <w:vAlign w:val="bottom"/>
          </w:tcPr>
          <w:p w14:paraId="28E4EA40" w14:textId="77777777" w:rsidR="00784FA9" w:rsidRPr="00D604EE" w:rsidRDefault="00784FA9" w:rsidP="009E4569">
            <w:pPr>
              <w:pStyle w:val="TableTextBold"/>
              <w:spacing w:before="40" w:after="40"/>
              <w:jc w:val="center"/>
              <w:rPr>
                <w:rFonts w:eastAsia="Arial Bold"/>
                <w:noProof w:val="0"/>
                <w:color w:val="FFFFFF"/>
              </w:rPr>
            </w:pPr>
            <w:r w:rsidRPr="00D604EE">
              <w:rPr>
                <w:rFonts w:eastAsia="Arial Bold"/>
                <w:noProof w:val="0"/>
                <w:color w:val="FFFFFF"/>
              </w:rPr>
              <w:t>Change from 1990 (%)</w:t>
            </w:r>
          </w:p>
        </w:tc>
        <w:tc>
          <w:tcPr>
            <w:tcW w:w="1984" w:type="dxa"/>
            <w:gridSpan w:val="2"/>
            <w:tcBorders>
              <w:top w:val="single" w:sz="4" w:space="0" w:color="1B556B"/>
            </w:tcBorders>
            <w:shd w:val="clear" w:color="auto" w:fill="1B556B"/>
            <w:vAlign w:val="bottom"/>
          </w:tcPr>
          <w:p w14:paraId="70FB6C0B" w14:textId="77777777" w:rsidR="00784FA9" w:rsidRPr="00D604EE" w:rsidRDefault="00784FA9" w:rsidP="009E4569">
            <w:pPr>
              <w:pStyle w:val="TableTextBold"/>
              <w:spacing w:before="40" w:after="40"/>
              <w:jc w:val="center"/>
              <w:rPr>
                <w:rFonts w:eastAsia="Arial Bold"/>
                <w:noProof w:val="0"/>
                <w:color w:val="FFFFFF"/>
              </w:rPr>
            </w:pPr>
            <w:r w:rsidRPr="00D604EE">
              <w:rPr>
                <w:rFonts w:eastAsia="Arial Bold"/>
                <w:noProof w:val="0"/>
                <w:color w:val="FFFFFF"/>
              </w:rPr>
              <w:t xml:space="preserve">Net emissions </w:t>
            </w:r>
            <w:r w:rsidRPr="00D604EE">
              <w:rPr>
                <w:rFonts w:eastAsia="Arial Bold"/>
                <w:noProof w:val="0"/>
                <w:color w:val="FFFFFF"/>
              </w:rPr>
              <w:br/>
              <w:t>(kt CO</w:t>
            </w:r>
            <w:r w:rsidRPr="00D604EE">
              <w:rPr>
                <w:rFonts w:eastAsia="Arial Bold"/>
                <w:noProof w:val="0"/>
                <w:color w:val="FFFFFF"/>
                <w:vertAlign w:val="subscript"/>
              </w:rPr>
              <w:t xml:space="preserve">2 </w:t>
            </w:r>
            <w:r w:rsidRPr="00D604EE">
              <w:rPr>
                <w:rFonts w:eastAsia="Arial Bold"/>
                <w:noProof w:val="0"/>
                <w:color w:val="FFFFFF"/>
              </w:rPr>
              <w:t>only)</w:t>
            </w:r>
          </w:p>
        </w:tc>
        <w:tc>
          <w:tcPr>
            <w:tcW w:w="992" w:type="dxa"/>
            <w:vMerge w:val="restart"/>
            <w:tcBorders>
              <w:top w:val="single" w:sz="4" w:space="0" w:color="1B556B"/>
            </w:tcBorders>
            <w:shd w:val="clear" w:color="auto" w:fill="1B556B"/>
            <w:vAlign w:val="bottom"/>
          </w:tcPr>
          <w:p w14:paraId="786CD72E" w14:textId="77777777" w:rsidR="00784FA9" w:rsidRPr="00D604EE" w:rsidRDefault="00784FA9" w:rsidP="009E4569">
            <w:pPr>
              <w:pStyle w:val="TableTextBold"/>
              <w:spacing w:before="40" w:after="40"/>
              <w:jc w:val="center"/>
              <w:rPr>
                <w:rFonts w:eastAsia="Arial Bold"/>
                <w:noProof w:val="0"/>
                <w:color w:val="FFFFFF"/>
              </w:rPr>
            </w:pPr>
            <w:r w:rsidRPr="00D604EE">
              <w:rPr>
                <w:rFonts w:eastAsia="Arial Bold"/>
                <w:noProof w:val="0"/>
                <w:color w:val="FFFFFF"/>
              </w:rPr>
              <w:t>Change from 1990 (%)</w:t>
            </w:r>
          </w:p>
        </w:tc>
      </w:tr>
      <w:tr w:rsidR="00784FA9" w:rsidRPr="00D604EE" w14:paraId="3E1062AD" w14:textId="77777777" w:rsidTr="009E4569">
        <w:tc>
          <w:tcPr>
            <w:tcW w:w="1985" w:type="dxa"/>
            <w:vMerge/>
            <w:tcBorders>
              <w:bottom w:val="single" w:sz="4" w:space="0" w:color="1B556B"/>
            </w:tcBorders>
            <w:shd w:val="clear" w:color="auto" w:fill="1B556B"/>
          </w:tcPr>
          <w:p w14:paraId="36F00011" w14:textId="77777777" w:rsidR="00784FA9" w:rsidRPr="00D604EE" w:rsidRDefault="00784FA9" w:rsidP="007E3239">
            <w:pPr>
              <w:pStyle w:val="TableTextBold"/>
              <w:spacing w:before="40" w:after="40"/>
              <w:jc w:val="center"/>
              <w:rPr>
                <w:rFonts w:eastAsia="Arial Bold"/>
                <w:noProof w:val="0"/>
                <w:color w:val="FFFFFF"/>
              </w:rPr>
            </w:pPr>
          </w:p>
        </w:tc>
        <w:tc>
          <w:tcPr>
            <w:tcW w:w="1276" w:type="dxa"/>
            <w:tcBorders>
              <w:bottom w:val="single" w:sz="4" w:space="0" w:color="1B556B"/>
            </w:tcBorders>
            <w:shd w:val="clear" w:color="auto" w:fill="1B556B"/>
          </w:tcPr>
          <w:p w14:paraId="303F50AA" w14:textId="77777777" w:rsidR="00784FA9" w:rsidRPr="00D604EE" w:rsidRDefault="00784FA9" w:rsidP="009E4569">
            <w:pPr>
              <w:pStyle w:val="TableTextBold"/>
              <w:spacing w:before="40" w:after="40"/>
              <w:jc w:val="center"/>
              <w:rPr>
                <w:rFonts w:eastAsia="Arial Bold"/>
                <w:noProof w:val="0"/>
                <w:color w:val="FFFFFF"/>
              </w:rPr>
            </w:pPr>
            <w:r w:rsidRPr="00D604EE">
              <w:rPr>
                <w:rFonts w:eastAsia="Arial Bold"/>
                <w:noProof w:val="0"/>
                <w:color w:val="FFFFFF"/>
              </w:rPr>
              <w:t>1990</w:t>
            </w:r>
          </w:p>
        </w:tc>
        <w:tc>
          <w:tcPr>
            <w:tcW w:w="1275" w:type="dxa"/>
            <w:tcBorders>
              <w:bottom w:val="single" w:sz="4" w:space="0" w:color="1B556B"/>
            </w:tcBorders>
            <w:shd w:val="clear" w:color="auto" w:fill="1B556B"/>
          </w:tcPr>
          <w:p w14:paraId="080654FD" w14:textId="77777777" w:rsidR="00784FA9" w:rsidRPr="00D604EE" w:rsidRDefault="00784FA9" w:rsidP="009E4569">
            <w:pPr>
              <w:pStyle w:val="TableTextBold"/>
              <w:spacing w:before="40" w:after="40"/>
              <w:jc w:val="center"/>
              <w:rPr>
                <w:rFonts w:eastAsia="Arial Bold"/>
                <w:noProof w:val="0"/>
                <w:color w:val="FFFFFF"/>
              </w:rPr>
            </w:pPr>
            <w:r w:rsidRPr="00D604EE">
              <w:rPr>
                <w:rFonts w:eastAsia="Arial Bold"/>
                <w:noProof w:val="0"/>
                <w:color w:val="FFFFFF"/>
              </w:rPr>
              <w:t>2020</w:t>
            </w:r>
          </w:p>
        </w:tc>
        <w:tc>
          <w:tcPr>
            <w:tcW w:w="993" w:type="dxa"/>
            <w:vMerge/>
            <w:tcBorders>
              <w:bottom w:val="single" w:sz="4" w:space="0" w:color="1B556B"/>
            </w:tcBorders>
            <w:shd w:val="clear" w:color="auto" w:fill="1B556B"/>
          </w:tcPr>
          <w:p w14:paraId="75F72F78" w14:textId="77777777" w:rsidR="00784FA9" w:rsidRPr="00D604EE" w:rsidRDefault="00784FA9" w:rsidP="009E4569">
            <w:pPr>
              <w:pStyle w:val="TableTextBold"/>
              <w:spacing w:before="40" w:after="40"/>
              <w:jc w:val="center"/>
              <w:rPr>
                <w:rFonts w:eastAsia="Arial Bold"/>
                <w:noProof w:val="0"/>
                <w:color w:val="FFFFFF"/>
              </w:rPr>
            </w:pPr>
          </w:p>
        </w:tc>
        <w:tc>
          <w:tcPr>
            <w:tcW w:w="992" w:type="dxa"/>
            <w:tcBorders>
              <w:bottom w:val="single" w:sz="4" w:space="0" w:color="1B556B"/>
            </w:tcBorders>
            <w:shd w:val="clear" w:color="auto" w:fill="1B556B"/>
          </w:tcPr>
          <w:p w14:paraId="26E50C53" w14:textId="77777777" w:rsidR="00784FA9" w:rsidRPr="00D604EE" w:rsidRDefault="00784FA9" w:rsidP="009E4569">
            <w:pPr>
              <w:pStyle w:val="TableTextBold"/>
              <w:spacing w:before="40" w:after="40"/>
              <w:jc w:val="center"/>
              <w:rPr>
                <w:rFonts w:eastAsia="Arial Bold"/>
                <w:noProof w:val="0"/>
                <w:color w:val="FFFFFF"/>
              </w:rPr>
            </w:pPr>
            <w:r w:rsidRPr="00D604EE">
              <w:rPr>
                <w:rFonts w:eastAsia="Arial Bold"/>
                <w:noProof w:val="0"/>
                <w:color w:val="FFFFFF"/>
              </w:rPr>
              <w:t>1990</w:t>
            </w:r>
          </w:p>
        </w:tc>
        <w:tc>
          <w:tcPr>
            <w:tcW w:w="992" w:type="dxa"/>
            <w:tcBorders>
              <w:bottom w:val="single" w:sz="4" w:space="0" w:color="1B556B"/>
            </w:tcBorders>
            <w:shd w:val="clear" w:color="auto" w:fill="1B556B"/>
          </w:tcPr>
          <w:p w14:paraId="3C169E33" w14:textId="77777777" w:rsidR="00784FA9" w:rsidRPr="00D604EE" w:rsidRDefault="00784FA9" w:rsidP="009E4569">
            <w:pPr>
              <w:pStyle w:val="TableTextBold"/>
              <w:spacing w:before="40" w:after="40"/>
              <w:jc w:val="center"/>
              <w:rPr>
                <w:rFonts w:eastAsia="Arial Bold"/>
                <w:noProof w:val="0"/>
                <w:color w:val="FFFFFF"/>
              </w:rPr>
            </w:pPr>
            <w:r w:rsidRPr="00D604EE">
              <w:rPr>
                <w:rFonts w:eastAsia="Arial Bold"/>
                <w:noProof w:val="0"/>
                <w:color w:val="FFFFFF"/>
              </w:rPr>
              <w:t>2020</w:t>
            </w:r>
          </w:p>
        </w:tc>
        <w:tc>
          <w:tcPr>
            <w:tcW w:w="992" w:type="dxa"/>
            <w:vMerge/>
            <w:tcBorders>
              <w:bottom w:val="single" w:sz="4" w:space="0" w:color="1B556B"/>
            </w:tcBorders>
            <w:shd w:val="clear" w:color="auto" w:fill="1B556B"/>
          </w:tcPr>
          <w:p w14:paraId="4ABFE065" w14:textId="77777777" w:rsidR="00784FA9" w:rsidRPr="00D604EE" w:rsidRDefault="00784FA9" w:rsidP="009E4569">
            <w:pPr>
              <w:pStyle w:val="TableTextBold"/>
              <w:spacing w:before="40" w:after="40"/>
              <w:jc w:val="center"/>
              <w:rPr>
                <w:rFonts w:eastAsia="Arial Bold"/>
                <w:noProof w:val="0"/>
                <w:color w:val="FFFFFF"/>
              </w:rPr>
            </w:pPr>
          </w:p>
        </w:tc>
      </w:tr>
      <w:tr w:rsidR="00784FA9" w:rsidRPr="00D604EE" w14:paraId="35743140" w14:textId="77777777" w:rsidTr="009E4569">
        <w:tc>
          <w:tcPr>
            <w:tcW w:w="1985" w:type="dxa"/>
            <w:tcBorders>
              <w:top w:val="single" w:sz="4" w:space="0" w:color="1B556B"/>
              <w:bottom w:val="single" w:sz="4" w:space="0" w:color="44546A"/>
            </w:tcBorders>
            <w:shd w:val="clear" w:color="auto" w:fill="auto"/>
          </w:tcPr>
          <w:p w14:paraId="15A6547A" w14:textId="77777777" w:rsidR="00784FA9" w:rsidRPr="00D604EE" w:rsidRDefault="00784FA9" w:rsidP="007E3239">
            <w:pPr>
              <w:pStyle w:val="TableText"/>
              <w:spacing w:before="50" w:after="50"/>
              <w:rPr>
                <w:rFonts w:eastAsia="Arial Bold"/>
              </w:rPr>
            </w:pPr>
            <w:r w:rsidRPr="00D604EE">
              <w:rPr>
                <w:rFonts w:eastAsia="Arial Bold"/>
              </w:rPr>
              <w:t>Pre-1990 natural forest</w:t>
            </w:r>
          </w:p>
        </w:tc>
        <w:tc>
          <w:tcPr>
            <w:tcW w:w="1276" w:type="dxa"/>
            <w:tcBorders>
              <w:top w:val="single" w:sz="4" w:space="0" w:color="1B556B"/>
              <w:bottom w:val="single" w:sz="4" w:space="0" w:color="44546A"/>
            </w:tcBorders>
            <w:shd w:val="clear" w:color="auto" w:fill="auto"/>
          </w:tcPr>
          <w:p w14:paraId="290386B1" w14:textId="77777777" w:rsidR="00784FA9" w:rsidRPr="00D604EE" w:rsidRDefault="00784FA9" w:rsidP="009E4569">
            <w:pPr>
              <w:pStyle w:val="TableText"/>
              <w:spacing w:before="50" w:after="50"/>
              <w:jc w:val="center"/>
              <w:rPr>
                <w:rFonts w:eastAsia="Arial Bold"/>
              </w:rPr>
            </w:pPr>
            <w:r w:rsidRPr="00D604EE">
              <w:t>7,822,761</w:t>
            </w:r>
          </w:p>
        </w:tc>
        <w:tc>
          <w:tcPr>
            <w:tcW w:w="1275" w:type="dxa"/>
            <w:tcBorders>
              <w:top w:val="single" w:sz="4" w:space="0" w:color="1B556B"/>
              <w:bottom w:val="single" w:sz="4" w:space="0" w:color="44546A"/>
            </w:tcBorders>
            <w:shd w:val="clear" w:color="auto" w:fill="auto"/>
          </w:tcPr>
          <w:p w14:paraId="0752FAE3" w14:textId="77777777" w:rsidR="00784FA9" w:rsidRPr="00D604EE" w:rsidRDefault="00784FA9" w:rsidP="009E4569">
            <w:pPr>
              <w:pStyle w:val="TableText"/>
              <w:spacing w:before="50" w:after="50"/>
              <w:jc w:val="center"/>
              <w:rPr>
                <w:rFonts w:eastAsia="Arial Bold"/>
              </w:rPr>
            </w:pPr>
            <w:r w:rsidRPr="00D604EE">
              <w:t>7,754,169</w:t>
            </w:r>
          </w:p>
        </w:tc>
        <w:tc>
          <w:tcPr>
            <w:tcW w:w="993" w:type="dxa"/>
            <w:tcBorders>
              <w:top w:val="single" w:sz="4" w:space="0" w:color="1B556B"/>
              <w:bottom w:val="single" w:sz="4" w:space="0" w:color="44546A"/>
            </w:tcBorders>
            <w:shd w:val="clear" w:color="auto" w:fill="auto"/>
          </w:tcPr>
          <w:p w14:paraId="156F8DFD" w14:textId="77777777" w:rsidR="00784FA9" w:rsidRPr="00D604EE" w:rsidRDefault="00784FA9" w:rsidP="009E4569">
            <w:pPr>
              <w:pStyle w:val="TableText"/>
              <w:spacing w:before="50" w:after="50"/>
              <w:jc w:val="center"/>
              <w:rPr>
                <w:rFonts w:eastAsia="Arial Bold"/>
              </w:rPr>
            </w:pPr>
            <w:r w:rsidRPr="00D604EE">
              <w:t>–0.9</w:t>
            </w:r>
          </w:p>
        </w:tc>
        <w:tc>
          <w:tcPr>
            <w:tcW w:w="992" w:type="dxa"/>
            <w:tcBorders>
              <w:top w:val="single" w:sz="4" w:space="0" w:color="1B556B"/>
              <w:bottom w:val="single" w:sz="4" w:space="0" w:color="44546A"/>
            </w:tcBorders>
            <w:shd w:val="clear" w:color="auto" w:fill="auto"/>
          </w:tcPr>
          <w:p w14:paraId="73A6ED3C" w14:textId="15AFE5C3" w:rsidR="00784FA9" w:rsidRPr="00D604EE" w:rsidRDefault="00784FA9" w:rsidP="009E4569">
            <w:pPr>
              <w:pStyle w:val="TableText"/>
              <w:spacing w:before="50" w:after="50"/>
              <w:jc w:val="center"/>
              <w:rPr>
                <w:rFonts w:eastAsia="Arial Bold"/>
              </w:rPr>
            </w:pPr>
            <w:r w:rsidRPr="00D604EE">
              <w:t>–1,375.1</w:t>
            </w:r>
          </w:p>
        </w:tc>
        <w:tc>
          <w:tcPr>
            <w:tcW w:w="992" w:type="dxa"/>
            <w:tcBorders>
              <w:top w:val="single" w:sz="4" w:space="0" w:color="1B556B"/>
              <w:bottom w:val="single" w:sz="4" w:space="0" w:color="44546A"/>
            </w:tcBorders>
            <w:shd w:val="clear" w:color="auto" w:fill="auto"/>
          </w:tcPr>
          <w:p w14:paraId="65E81E31" w14:textId="77777777" w:rsidR="00784FA9" w:rsidRPr="00D604EE" w:rsidRDefault="00784FA9" w:rsidP="009E4569">
            <w:pPr>
              <w:pStyle w:val="TableText"/>
              <w:spacing w:before="50" w:after="50"/>
              <w:jc w:val="center"/>
              <w:rPr>
                <w:rFonts w:eastAsia="Arial Bold"/>
              </w:rPr>
            </w:pPr>
            <w:r w:rsidRPr="00D604EE">
              <w:t>–1,372.3</w:t>
            </w:r>
          </w:p>
        </w:tc>
        <w:tc>
          <w:tcPr>
            <w:tcW w:w="992" w:type="dxa"/>
            <w:tcBorders>
              <w:top w:val="single" w:sz="4" w:space="0" w:color="1B556B"/>
              <w:bottom w:val="single" w:sz="4" w:space="0" w:color="44546A"/>
            </w:tcBorders>
            <w:shd w:val="clear" w:color="auto" w:fill="auto"/>
          </w:tcPr>
          <w:p w14:paraId="14DB2056" w14:textId="77777777" w:rsidR="00784FA9" w:rsidRPr="00D604EE" w:rsidRDefault="00784FA9" w:rsidP="009E4569">
            <w:pPr>
              <w:pStyle w:val="TableText"/>
              <w:spacing w:before="50" w:after="50"/>
              <w:jc w:val="center"/>
              <w:rPr>
                <w:rFonts w:eastAsia="Arial Bold"/>
              </w:rPr>
            </w:pPr>
            <w:r w:rsidRPr="00D604EE">
              <w:t>0.2</w:t>
            </w:r>
          </w:p>
        </w:tc>
      </w:tr>
      <w:tr w:rsidR="00784FA9" w:rsidRPr="00D604EE" w14:paraId="7C65470C" w14:textId="77777777" w:rsidTr="00784FA9">
        <w:tc>
          <w:tcPr>
            <w:tcW w:w="1985" w:type="dxa"/>
            <w:tcBorders>
              <w:top w:val="single" w:sz="4" w:space="0" w:color="44546A"/>
              <w:bottom w:val="single" w:sz="4" w:space="0" w:color="44546A"/>
            </w:tcBorders>
            <w:shd w:val="clear" w:color="auto" w:fill="auto"/>
          </w:tcPr>
          <w:p w14:paraId="45922BF5" w14:textId="77777777" w:rsidR="00784FA9" w:rsidRPr="00D604EE" w:rsidRDefault="00784FA9" w:rsidP="007E3239">
            <w:pPr>
              <w:pStyle w:val="TableText"/>
              <w:spacing w:before="50" w:after="50"/>
              <w:rPr>
                <w:rFonts w:eastAsia="Arial Bold"/>
              </w:rPr>
            </w:pPr>
            <w:r w:rsidRPr="00D604EE">
              <w:rPr>
                <w:rFonts w:eastAsia="Arial Bold"/>
              </w:rPr>
              <w:t>Pre-1990 planted forest</w:t>
            </w:r>
          </w:p>
        </w:tc>
        <w:tc>
          <w:tcPr>
            <w:tcW w:w="1276" w:type="dxa"/>
            <w:tcBorders>
              <w:top w:val="single" w:sz="4" w:space="0" w:color="44546A"/>
              <w:bottom w:val="single" w:sz="4" w:space="0" w:color="44546A"/>
            </w:tcBorders>
            <w:shd w:val="clear" w:color="auto" w:fill="auto"/>
          </w:tcPr>
          <w:p w14:paraId="13AD2954" w14:textId="77777777" w:rsidR="00784FA9" w:rsidRPr="00D604EE" w:rsidRDefault="00784FA9" w:rsidP="009E4569">
            <w:pPr>
              <w:pStyle w:val="TableText"/>
              <w:spacing w:before="50" w:after="50"/>
              <w:jc w:val="center"/>
            </w:pPr>
            <w:r w:rsidRPr="00D604EE">
              <w:t>1,546,415</w:t>
            </w:r>
          </w:p>
        </w:tc>
        <w:tc>
          <w:tcPr>
            <w:tcW w:w="1275" w:type="dxa"/>
            <w:tcBorders>
              <w:top w:val="single" w:sz="4" w:space="0" w:color="44546A"/>
              <w:bottom w:val="single" w:sz="4" w:space="0" w:color="44546A"/>
            </w:tcBorders>
            <w:shd w:val="clear" w:color="auto" w:fill="auto"/>
          </w:tcPr>
          <w:p w14:paraId="75172E64" w14:textId="77777777" w:rsidR="00784FA9" w:rsidRPr="00D604EE" w:rsidRDefault="00784FA9" w:rsidP="009E4569">
            <w:pPr>
              <w:pStyle w:val="TableText"/>
              <w:spacing w:before="50" w:after="50"/>
              <w:jc w:val="center"/>
            </w:pPr>
            <w:r w:rsidRPr="00D604EE">
              <w:t>1,437,218</w:t>
            </w:r>
          </w:p>
        </w:tc>
        <w:tc>
          <w:tcPr>
            <w:tcW w:w="993" w:type="dxa"/>
            <w:tcBorders>
              <w:top w:val="single" w:sz="4" w:space="0" w:color="44546A"/>
              <w:bottom w:val="single" w:sz="4" w:space="0" w:color="44546A"/>
            </w:tcBorders>
            <w:shd w:val="clear" w:color="auto" w:fill="auto"/>
          </w:tcPr>
          <w:p w14:paraId="155B98FC" w14:textId="77777777" w:rsidR="00784FA9" w:rsidRPr="00D604EE" w:rsidRDefault="00784FA9" w:rsidP="009E4569">
            <w:pPr>
              <w:pStyle w:val="TableText"/>
              <w:spacing w:before="50" w:after="50"/>
              <w:jc w:val="center"/>
            </w:pPr>
            <w:r w:rsidRPr="00D604EE">
              <w:t>–7.1</w:t>
            </w:r>
          </w:p>
        </w:tc>
        <w:tc>
          <w:tcPr>
            <w:tcW w:w="992" w:type="dxa"/>
            <w:tcBorders>
              <w:top w:val="single" w:sz="4" w:space="0" w:color="44546A"/>
              <w:bottom w:val="single" w:sz="4" w:space="0" w:color="44546A"/>
            </w:tcBorders>
            <w:shd w:val="clear" w:color="auto" w:fill="auto"/>
          </w:tcPr>
          <w:p w14:paraId="7608A953" w14:textId="77777777" w:rsidR="00784FA9" w:rsidRPr="00D604EE" w:rsidRDefault="00784FA9" w:rsidP="009E4569">
            <w:pPr>
              <w:pStyle w:val="TableText"/>
              <w:spacing w:before="50" w:after="50"/>
              <w:jc w:val="center"/>
            </w:pPr>
            <w:r w:rsidRPr="00D604EE">
              <w:t>–19,077.0</w:t>
            </w:r>
          </w:p>
        </w:tc>
        <w:tc>
          <w:tcPr>
            <w:tcW w:w="992" w:type="dxa"/>
            <w:tcBorders>
              <w:top w:val="single" w:sz="4" w:space="0" w:color="44546A"/>
              <w:bottom w:val="single" w:sz="4" w:space="0" w:color="44546A"/>
            </w:tcBorders>
            <w:shd w:val="clear" w:color="auto" w:fill="auto"/>
          </w:tcPr>
          <w:p w14:paraId="4554D4AE" w14:textId="77777777" w:rsidR="00784FA9" w:rsidRPr="00D604EE" w:rsidRDefault="00784FA9" w:rsidP="009E4569">
            <w:pPr>
              <w:pStyle w:val="TableText"/>
              <w:spacing w:before="50" w:after="50"/>
              <w:jc w:val="center"/>
            </w:pPr>
            <w:r w:rsidRPr="00D604EE">
              <w:t>–7,713.8</w:t>
            </w:r>
          </w:p>
        </w:tc>
        <w:tc>
          <w:tcPr>
            <w:tcW w:w="992" w:type="dxa"/>
            <w:tcBorders>
              <w:top w:val="single" w:sz="4" w:space="0" w:color="44546A"/>
              <w:bottom w:val="single" w:sz="4" w:space="0" w:color="44546A"/>
            </w:tcBorders>
            <w:shd w:val="clear" w:color="auto" w:fill="auto"/>
          </w:tcPr>
          <w:p w14:paraId="626FF70B" w14:textId="77777777" w:rsidR="00784FA9" w:rsidRPr="00D604EE" w:rsidRDefault="00784FA9" w:rsidP="009E4569">
            <w:pPr>
              <w:pStyle w:val="TableText"/>
              <w:spacing w:before="50" w:after="50"/>
              <w:jc w:val="center"/>
            </w:pPr>
            <w:r w:rsidRPr="00D604EE">
              <w:t>59.6</w:t>
            </w:r>
          </w:p>
        </w:tc>
      </w:tr>
      <w:tr w:rsidR="00784FA9" w:rsidRPr="00D604EE" w14:paraId="7346B669" w14:textId="77777777" w:rsidTr="00784FA9">
        <w:tc>
          <w:tcPr>
            <w:tcW w:w="1985" w:type="dxa"/>
            <w:tcBorders>
              <w:top w:val="single" w:sz="4" w:space="0" w:color="44546A"/>
              <w:bottom w:val="single" w:sz="4" w:space="0" w:color="44546A"/>
            </w:tcBorders>
            <w:shd w:val="clear" w:color="auto" w:fill="auto"/>
          </w:tcPr>
          <w:p w14:paraId="54638055" w14:textId="77777777" w:rsidR="00784FA9" w:rsidRPr="00D604EE" w:rsidRDefault="00784FA9" w:rsidP="007E3239">
            <w:pPr>
              <w:pStyle w:val="TableText"/>
              <w:spacing w:before="50" w:after="50"/>
              <w:rPr>
                <w:rFonts w:eastAsia="Arial Bold"/>
              </w:rPr>
            </w:pPr>
            <w:r w:rsidRPr="00D604EE">
              <w:rPr>
                <w:rFonts w:eastAsia="Arial Bold"/>
              </w:rPr>
              <w:t>Post-1989 planted forest</w:t>
            </w:r>
          </w:p>
        </w:tc>
        <w:tc>
          <w:tcPr>
            <w:tcW w:w="1276" w:type="dxa"/>
            <w:tcBorders>
              <w:top w:val="single" w:sz="4" w:space="0" w:color="44546A"/>
              <w:bottom w:val="single" w:sz="4" w:space="0" w:color="44546A"/>
            </w:tcBorders>
            <w:shd w:val="clear" w:color="auto" w:fill="auto"/>
          </w:tcPr>
          <w:p w14:paraId="083F2927" w14:textId="77777777" w:rsidR="00784FA9" w:rsidRPr="00D604EE" w:rsidRDefault="00784FA9" w:rsidP="009E4569">
            <w:pPr>
              <w:pStyle w:val="TableText"/>
              <w:spacing w:before="50" w:after="50"/>
              <w:jc w:val="center"/>
              <w:rPr>
                <w:rFonts w:eastAsia="Arial Bold"/>
              </w:rPr>
            </w:pPr>
            <w:r w:rsidRPr="00D604EE">
              <w:t>0</w:t>
            </w:r>
          </w:p>
        </w:tc>
        <w:tc>
          <w:tcPr>
            <w:tcW w:w="1275" w:type="dxa"/>
            <w:tcBorders>
              <w:top w:val="single" w:sz="4" w:space="0" w:color="44546A"/>
              <w:bottom w:val="single" w:sz="4" w:space="0" w:color="44546A"/>
            </w:tcBorders>
            <w:shd w:val="clear" w:color="auto" w:fill="auto"/>
          </w:tcPr>
          <w:p w14:paraId="7A1A82B3" w14:textId="77777777" w:rsidR="00784FA9" w:rsidRPr="00D604EE" w:rsidRDefault="00784FA9" w:rsidP="009E4569">
            <w:pPr>
              <w:pStyle w:val="TableText"/>
              <w:spacing w:before="50" w:after="50"/>
              <w:jc w:val="center"/>
              <w:rPr>
                <w:rFonts w:eastAsia="Arial Bold"/>
              </w:rPr>
            </w:pPr>
            <w:r w:rsidRPr="00D604EE">
              <w:t>689,777</w:t>
            </w:r>
          </w:p>
        </w:tc>
        <w:tc>
          <w:tcPr>
            <w:tcW w:w="993" w:type="dxa"/>
            <w:tcBorders>
              <w:top w:val="single" w:sz="4" w:space="0" w:color="44546A"/>
              <w:bottom w:val="single" w:sz="4" w:space="0" w:color="44546A"/>
            </w:tcBorders>
            <w:shd w:val="clear" w:color="auto" w:fill="auto"/>
          </w:tcPr>
          <w:p w14:paraId="6614FC72" w14:textId="77777777" w:rsidR="00784FA9" w:rsidRPr="00D604EE" w:rsidRDefault="00784FA9" w:rsidP="009E4569">
            <w:pPr>
              <w:pStyle w:val="TableText"/>
              <w:spacing w:before="50" w:after="50"/>
              <w:jc w:val="center"/>
              <w:rPr>
                <w:rFonts w:eastAsia="Arial Bold"/>
              </w:rPr>
            </w:pPr>
            <w:r w:rsidRPr="00D604EE">
              <w:t>NA</w:t>
            </w:r>
          </w:p>
        </w:tc>
        <w:tc>
          <w:tcPr>
            <w:tcW w:w="992" w:type="dxa"/>
            <w:tcBorders>
              <w:top w:val="single" w:sz="4" w:space="0" w:color="44546A"/>
              <w:bottom w:val="single" w:sz="4" w:space="0" w:color="44546A"/>
            </w:tcBorders>
            <w:shd w:val="clear" w:color="auto" w:fill="auto"/>
          </w:tcPr>
          <w:p w14:paraId="4E257F26" w14:textId="180E37B1" w:rsidR="00784FA9" w:rsidRPr="00D604EE" w:rsidRDefault="00784FA9" w:rsidP="009E4569">
            <w:pPr>
              <w:pStyle w:val="TableText"/>
              <w:spacing w:before="50" w:after="50"/>
              <w:jc w:val="center"/>
              <w:rPr>
                <w:rFonts w:eastAsia="Arial Bold"/>
              </w:rPr>
            </w:pPr>
            <w:r w:rsidRPr="00D604EE">
              <w:t>148.5</w:t>
            </w:r>
          </w:p>
        </w:tc>
        <w:tc>
          <w:tcPr>
            <w:tcW w:w="992" w:type="dxa"/>
            <w:tcBorders>
              <w:top w:val="single" w:sz="4" w:space="0" w:color="44546A"/>
              <w:bottom w:val="single" w:sz="4" w:space="0" w:color="44546A"/>
            </w:tcBorders>
            <w:shd w:val="clear" w:color="auto" w:fill="auto"/>
          </w:tcPr>
          <w:p w14:paraId="0F8BB790" w14:textId="747B5092" w:rsidR="00784FA9" w:rsidRPr="00D604EE" w:rsidRDefault="00784FA9" w:rsidP="009E4569">
            <w:pPr>
              <w:pStyle w:val="TableText"/>
              <w:spacing w:before="50" w:after="50"/>
              <w:jc w:val="center"/>
              <w:rPr>
                <w:rFonts w:eastAsia="Arial Bold"/>
              </w:rPr>
            </w:pPr>
            <w:r w:rsidRPr="00D604EE">
              <w:t>–10,210.2</w:t>
            </w:r>
          </w:p>
        </w:tc>
        <w:tc>
          <w:tcPr>
            <w:tcW w:w="992" w:type="dxa"/>
            <w:tcBorders>
              <w:top w:val="single" w:sz="4" w:space="0" w:color="44546A"/>
              <w:bottom w:val="single" w:sz="4" w:space="0" w:color="44546A"/>
            </w:tcBorders>
            <w:shd w:val="clear" w:color="auto" w:fill="auto"/>
          </w:tcPr>
          <w:p w14:paraId="7E0DD238" w14:textId="77777777" w:rsidR="00784FA9" w:rsidRPr="00D604EE" w:rsidRDefault="00784FA9" w:rsidP="009E4569">
            <w:pPr>
              <w:pStyle w:val="TableText"/>
              <w:spacing w:before="50" w:after="50"/>
              <w:jc w:val="center"/>
              <w:rPr>
                <w:rFonts w:eastAsia="Arial Bold"/>
              </w:rPr>
            </w:pPr>
            <w:r w:rsidRPr="00D604EE">
              <w:t>–6,974.5</w:t>
            </w:r>
          </w:p>
        </w:tc>
      </w:tr>
      <w:tr w:rsidR="00784FA9" w:rsidRPr="00D604EE" w14:paraId="7505EE4D" w14:textId="77777777" w:rsidTr="00784FA9">
        <w:tc>
          <w:tcPr>
            <w:tcW w:w="1985" w:type="dxa"/>
            <w:tcBorders>
              <w:top w:val="single" w:sz="4" w:space="0" w:color="44546A"/>
              <w:bottom w:val="single" w:sz="4" w:space="0" w:color="44546A"/>
            </w:tcBorders>
            <w:shd w:val="clear" w:color="auto" w:fill="auto"/>
          </w:tcPr>
          <w:p w14:paraId="7AD0D4F3" w14:textId="77777777" w:rsidR="00784FA9" w:rsidRPr="00D604EE" w:rsidRDefault="00784FA9" w:rsidP="007E3239">
            <w:pPr>
              <w:pStyle w:val="TableText"/>
              <w:spacing w:before="50" w:after="50"/>
              <w:rPr>
                <w:rFonts w:eastAsia="Arial Bold"/>
              </w:rPr>
            </w:pPr>
            <w:r w:rsidRPr="00D604EE">
              <w:rPr>
                <w:rFonts w:eastAsia="Arial Bold"/>
              </w:rPr>
              <w:t>Post-1989 natural forest</w:t>
            </w:r>
          </w:p>
        </w:tc>
        <w:tc>
          <w:tcPr>
            <w:tcW w:w="1276" w:type="dxa"/>
            <w:tcBorders>
              <w:top w:val="single" w:sz="4" w:space="0" w:color="44546A"/>
              <w:bottom w:val="single" w:sz="4" w:space="0" w:color="44546A"/>
            </w:tcBorders>
            <w:shd w:val="clear" w:color="auto" w:fill="auto"/>
          </w:tcPr>
          <w:p w14:paraId="38866364" w14:textId="77777777" w:rsidR="00784FA9" w:rsidRPr="00D604EE" w:rsidRDefault="00784FA9" w:rsidP="009E4569">
            <w:pPr>
              <w:pStyle w:val="TableText"/>
              <w:spacing w:before="50" w:after="50"/>
              <w:jc w:val="center"/>
            </w:pPr>
            <w:r w:rsidRPr="00D604EE">
              <w:t>0</w:t>
            </w:r>
          </w:p>
        </w:tc>
        <w:tc>
          <w:tcPr>
            <w:tcW w:w="1275" w:type="dxa"/>
            <w:tcBorders>
              <w:top w:val="single" w:sz="4" w:space="0" w:color="44546A"/>
              <w:bottom w:val="single" w:sz="4" w:space="0" w:color="44546A"/>
            </w:tcBorders>
            <w:shd w:val="clear" w:color="auto" w:fill="auto"/>
          </w:tcPr>
          <w:p w14:paraId="169FC993" w14:textId="77777777" w:rsidR="00784FA9" w:rsidRPr="00D604EE" w:rsidRDefault="00784FA9" w:rsidP="009E4569">
            <w:pPr>
              <w:pStyle w:val="TableText"/>
              <w:spacing w:before="50" w:after="50"/>
              <w:jc w:val="center"/>
            </w:pPr>
            <w:r w:rsidRPr="00D604EE">
              <w:t>90,506</w:t>
            </w:r>
          </w:p>
        </w:tc>
        <w:tc>
          <w:tcPr>
            <w:tcW w:w="993" w:type="dxa"/>
            <w:tcBorders>
              <w:top w:val="single" w:sz="4" w:space="0" w:color="44546A"/>
              <w:bottom w:val="single" w:sz="4" w:space="0" w:color="44546A"/>
            </w:tcBorders>
            <w:shd w:val="clear" w:color="auto" w:fill="auto"/>
          </w:tcPr>
          <w:p w14:paraId="0B04C281" w14:textId="77777777" w:rsidR="00784FA9" w:rsidRPr="00D604EE" w:rsidRDefault="00784FA9" w:rsidP="009E4569">
            <w:pPr>
              <w:pStyle w:val="TableText"/>
              <w:spacing w:before="50" w:after="50"/>
              <w:jc w:val="center"/>
            </w:pPr>
            <w:r w:rsidRPr="00D604EE">
              <w:t>NA</w:t>
            </w:r>
          </w:p>
        </w:tc>
        <w:tc>
          <w:tcPr>
            <w:tcW w:w="992" w:type="dxa"/>
            <w:tcBorders>
              <w:top w:val="single" w:sz="4" w:space="0" w:color="44546A"/>
              <w:bottom w:val="single" w:sz="4" w:space="0" w:color="44546A"/>
            </w:tcBorders>
            <w:shd w:val="clear" w:color="auto" w:fill="auto"/>
          </w:tcPr>
          <w:p w14:paraId="50A687E2" w14:textId="39CEF7FC" w:rsidR="00784FA9" w:rsidRPr="00D604EE" w:rsidRDefault="00784FA9" w:rsidP="009E4569">
            <w:pPr>
              <w:pStyle w:val="TableText"/>
              <w:spacing w:before="50" w:after="50"/>
              <w:jc w:val="center"/>
            </w:pPr>
            <w:r w:rsidRPr="00D604EE">
              <w:t>3.8</w:t>
            </w:r>
          </w:p>
        </w:tc>
        <w:tc>
          <w:tcPr>
            <w:tcW w:w="992" w:type="dxa"/>
            <w:tcBorders>
              <w:top w:val="single" w:sz="4" w:space="0" w:color="44546A"/>
              <w:bottom w:val="single" w:sz="4" w:space="0" w:color="44546A"/>
            </w:tcBorders>
            <w:shd w:val="clear" w:color="auto" w:fill="auto"/>
          </w:tcPr>
          <w:p w14:paraId="1FB7CBB6" w14:textId="77777777" w:rsidR="00784FA9" w:rsidRPr="00D604EE" w:rsidRDefault="00784FA9" w:rsidP="009E4569">
            <w:pPr>
              <w:pStyle w:val="TableText"/>
              <w:spacing w:before="50" w:after="50"/>
              <w:jc w:val="center"/>
            </w:pPr>
            <w:r w:rsidRPr="00D604EE">
              <w:t>–687.0</w:t>
            </w:r>
          </w:p>
        </w:tc>
        <w:tc>
          <w:tcPr>
            <w:tcW w:w="992" w:type="dxa"/>
            <w:tcBorders>
              <w:top w:val="single" w:sz="4" w:space="0" w:color="44546A"/>
              <w:bottom w:val="single" w:sz="4" w:space="0" w:color="44546A"/>
            </w:tcBorders>
            <w:shd w:val="clear" w:color="auto" w:fill="auto"/>
          </w:tcPr>
          <w:p w14:paraId="690EBA17" w14:textId="77777777" w:rsidR="00784FA9" w:rsidRPr="00D604EE" w:rsidRDefault="00784FA9" w:rsidP="009E4569">
            <w:pPr>
              <w:pStyle w:val="TableText"/>
              <w:spacing w:before="50" w:after="50"/>
              <w:jc w:val="center"/>
            </w:pPr>
            <w:r w:rsidRPr="00D604EE">
              <w:t>–18,411.8</w:t>
            </w:r>
          </w:p>
        </w:tc>
      </w:tr>
      <w:tr w:rsidR="00784FA9" w:rsidRPr="00D604EE" w14:paraId="0B04DB1D" w14:textId="77777777" w:rsidTr="00784FA9">
        <w:tc>
          <w:tcPr>
            <w:tcW w:w="1985" w:type="dxa"/>
            <w:tcBorders>
              <w:top w:val="single" w:sz="4" w:space="0" w:color="44546A"/>
              <w:bottom w:val="single" w:sz="4" w:space="0" w:color="44546A"/>
            </w:tcBorders>
            <w:shd w:val="clear" w:color="auto" w:fill="auto"/>
          </w:tcPr>
          <w:p w14:paraId="7F93FA07" w14:textId="77777777" w:rsidR="00784FA9" w:rsidRPr="00D604EE" w:rsidRDefault="00784FA9" w:rsidP="007E3239">
            <w:pPr>
              <w:pStyle w:val="Tableboldblue"/>
              <w:spacing w:before="50" w:after="50"/>
              <w:jc w:val="right"/>
              <w:rPr>
                <w:rFonts w:eastAsia="Arial Bold"/>
              </w:rPr>
            </w:pPr>
            <w:r w:rsidRPr="00D604EE">
              <w:rPr>
                <w:rFonts w:eastAsia="Arial Bold"/>
              </w:rPr>
              <w:t>Total</w:t>
            </w:r>
          </w:p>
        </w:tc>
        <w:tc>
          <w:tcPr>
            <w:tcW w:w="1276" w:type="dxa"/>
            <w:tcBorders>
              <w:top w:val="single" w:sz="4" w:space="0" w:color="44546A"/>
              <w:bottom w:val="single" w:sz="4" w:space="0" w:color="44546A"/>
            </w:tcBorders>
            <w:shd w:val="clear" w:color="auto" w:fill="auto"/>
          </w:tcPr>
          <w:p w14:paraId="6AEBDAB2" w14:textId="77777777" w:rsidR="00784FA9" w:rsidRPr="00D604EE" w:rsidRDefault="00784FA9" w:rsidP="009E4569">
            <w:pPr>
              <w:pStyle w:val="Tableboldblue"/>
              <w:spacing w:before="50" w:after="50"/>
              <w:jc w:val="center"/>
            </w:pPr>
            <w:r w:rsidRPr="00D604EE">
              <w:t>9,369,176</w:t>
            </w:r>
          </w:p>
        </w:tc>
        <w:tc>
          <w:tcPr>
            <w:tcW w:w="1275" w:type="dxa"/>
            <w:tcBorders>
              <w:top w:val="single" w:sz="4" w:space="0" w:color="44546A"/>
              <w:bottom w:val="single" w:sz="4" w:space="0" w:color="44546A"/>
            </w:tcBorders>
            <w:shd w:val="clear" w:color="auto" w:fill="auto"/>
          </w:tcPr>
          <w:p w14:paraId="7531DE1D" w14:textId="77777777" w:rsidR="00784FA9" w:rsidRPr="00D604EE" w:rsidRDefault="00784FA9" w:rsidP="009E4569">
            <w:pPr>
              <w:pStyle w:val="Tableboldblue"/>
              <w:spacing w:before="50" w:after="50"/>
              <w:jc w:val="center"/>
            </w:pPr>
            <w:r w:rsidRPr="00D604EE">
              <w:t>9,971,670</w:t>
            </w:r>
          </w:p>
        </w:tc>
        <w:tc>
          <w:tcPr>
            <w:tcW w:w="993" w:type="dxa"/>
            <w:tcBorders>
              <w:top w:val="single" w:sz="4" w:space="0" w:color="44546A"/>
              <w:bottom w:val="single" w:sz="4" w:space="0" w:color="44546A"/>
            </w:tcBorders>
            <w:shd w:val="clear" w:color="auto" w:fill="auto"/>
          </w:tcPr>
          <w:p w14:paraId="1522FDB1" w14:textId="77777777" w:rsidR="00784FA9" w:rsidRPr="00D604EE" w:rsidRDefault="00784FA9" w:rsidP="009E4569">
            <w:pPr>
              <w:pStyle w:val="Tableboldblue"/>
              <w:spacing w:before="50" w:after="50"/>
              <w:jc w:val="center"/>
            </w:pPr>
            <w:r w:rsidRPr="00D604EE">
              <w:t>6.4</w:t>
            </w:r>
          </w:p>
        </w:tc>
        <w:tc>
          <w:tcPr>
            <w:tcW w:w="992" w:type="dxa"/>
            <w:tcBorders>
              <w:top w:val="single" w:sz="4" w:space="0" w:color="44546A"/>
              <w:bottom w:val="single" w:sz="4" w:space="0" w:color="44546A"/>
            </w:tcBorders>
            <w:shd w:val="clear" w:color="auto" w:fill="auto"/>
          </w:tcPr>
          <w:p w14:paraId="7A6B2C37" w14:textId="540C5DA1" w:rsidR="00784FA9" w:rsidRPr="00D604EE" w:rsidRDefault="00784FA9" w:rsidP="009E4569">
            <w:pPr>
              <w:pStyle w:val="Tableboldblue"/>
              <w:spacing w:before="50" w:after="50"/>
              <w:jc w:val="center"/>
              <w:rPr>
                <w:rFonts w:eastAsia="Arial Bold"/>
              </w:rPr>
            </w:pPr>
            <w:r w:rsidRPr="00D604EE">
              <w:t>–20,299.8</w:t>
            </w:r>
          </w:p>
        </w:tc>
        <w:tc>
          <w:tcPr>
            <w:tcW w:w="992" w:type="dxa"/>
            <w:tcBorders>
              <w:top w:val="single" w:sz="4" w:space="0" w:color="44546A"/>
              <w:bottom w:val="single" w:sz="4" w:space="0" w:color="44546A"/>
            </w:tcBorders>
            <w:shd w:val="clear" w:color="auto" w:fill="auto"/>
          </w:tcPr>
          <w:p w14:paraId="7C8C2DAB" w14:textId="7970D695" w:rsidR="00784FA9" w:rsidRPr="00D604EE" w:rsidRDefault="00784FA9" w:rsidP="009E4569">
            <w:pPr>
              <w:pStyle w:val="Tableboldblue"/>
              <w:spacing w:before="50" w:after="50"/>
              <w:jc w:val="center"/>
              <w:rPr>
                <w:rFonts w:eastAsia="Arial Bold"/>
              </w:rPr>
            </w:pPr>
            <w:r w:rsidRPr="00D604EE">
              <w:t>–19,983.3</w:t>
            </w:r>
          </w:p>
        </w:tc>
        <w:tc>
          <w:tcPr>
            <w:tcW w:w="992" w:type="dxa"/>
            <w:tcBorders>
              <w:top w:val="single" w:sz="4" w:space="0" w:color="44546A"/>
              <w:bottom w:val="single" w:sz="4" w:space="0" w:color="44546A"/>
            </w:tcBorders>
            <w:shd w:val="clear" w:color="auto" w:fill="auto"/>
          </w:tcPr>
          <w:p w14:paraId="28C0E458" w14:textId="77777777" w:rsidR="00784FA9" w:rsidRPr="00D604EE" w:rsidRDefault="00784FA9" w:rsidP="009E4569">
            <w:pPr>
              <w:pStyle w:val="Tableboldblue"/>
              <w:spacing w:before="50" w:after="50"/>
              <w:jc w:val="center"/>
              <w:rPr>
                <w:rFonts w:eastAsia="Arial Bold"/>
              </w:rPr>
            </w:pPr>
            <w:r w:rsidRPr="00D604EE">
              <w:t>1.6</w:t>
            </w:r>
          </w:p>
        </w:tc>
      </w:tr>
    </w:tbl>
    <w:p w14:paraId="5456A487" w14:textId="77777777" w:rsidR="00784FA9" w:rsidRPr="00D604EE" w:rsidRDefault="00784FA9" w:rsidP="00784FA9">
      <w:pPr>
        <w:pStyle w:val="Noteundertable"/>
      </w:pPr>
      <w:r w:rsidRPr="00D604EE">
        <w:rPr>
          <w:b/>
        </w:rPr>
        <w:t>Note:</w:t>
      </w:r>
      <w:r w:rsidRPr="00D604EE">
        <w:tab/>
        <w:t>NA = not applicable. Net area in 1990 is as at 1 January 1990; net area in 2020 is as at 31 December. Net area values include land in a state of conversion to forest (due to land-use change before 1990) and afforestation since 1990. Net emissions estimates are for the whole year indicated. Columns may not total due to rounding. Emissions associated with the conversion of forest to other land uses are reported in the land use category the land is converted to.</w:t>
      </w:r>
    </w:p>
    <w:p w14:paraId="1AF2A357" w14:textId="77777777" w:rsidR="00784FA9" w:rsidRPr="00D604EE" w:rsidRDefault="00784FA9" w:rsidP="00784FA9">
      <w:pPr>
        <w:pStyle w:val="BodyText"/>
      </w:pPr>
      <w:r w:rsidRPr="00D604EE">
        <w:t>Table 6.3.3 shows New Zealand’s carbon stock change by carbon pool within the</w:t>
      </w:r>
      <w:r w:rsidRPr="00D604EE">
        <w:rPr>
          <w:rFonts w:cs="Arial Bold"/>
        </w:rPr>
        <w:t xml:space="preserve"> </w:t>
      </w:r>
      <w:r w:rsidRPr="00D604EE">
        <w:rPr>
          <w:rFonts w:cs="Arial Bold"/>
          <w:i/>
        </w:rPr>
        <w:t>Forest</w:t>
      </w:r>
      <w:r w:rsidRPr="00D604EE">
        <w:rPr>
          <w:i/>
        </w:rPr>
        <w:t xml:space="preserve"> land</w:t>
      </w:r>
      <w:r w:rsidRPr="00D604EE">
        <w:t xml:space="preserve"> category from 1990 to 2020. Over this period, the total carbon stock stored in </w:t>
      </w:r>
      <w:r w:rsidRPr="00D604EE">
        <w:rPr>
          <w:i/>
        </w:rPr>
        <w:t>Forest land</w:t>
      </w:r>
      <w:r w:rsidRPr="00D604EE">
        <w:t xml:space="preserve"> has increased by 214,548.4 kt C, equivalent to emissions of –786,677.5 tonnes CO</w:t>
      </w:r>
      <w:r w:rsidRPr="00D604EE">
        <w:rPr>
          <w:vertAlign w:val="subscript"/>
        </w:rPr>
        <w:t>2</w:t>
      </w:r>
      <w:r w:rsidRPr="00D604EE">
        <w:t xml:space="preserve"> since 1990.</w:t>
      </w:r>
    </w:p>
    <w:p w14:paraId="69710157" w14:textId="77777777" w:rsidR="00784FA9" w:rsidRPr="00D604EE" w:rsidRDefault="00784FA9" w:rsidP="00784FA9">
      <w:pPr>
        <w:pStyle w:val="Table"/>
      </w:pPr>
      <w:bookmarkStart w:id="1532" w:name="_Toc280630454"/>
      <w:bookmarkStart w:id="1533" w:name="_Toc310423406"/>
      <w:bookmarkStart w:id="1534" w:name="_Toc318362699"/>
      <w:bookmarkStart w:id="1535" w:name="_Toc342470761"/>
      <w:bookmarkStart w:id="1536" w:name="_Toc352505001"/>
      <w:bookmarkStart w:id="1537" w:name="_Toc373395726"/>
      <w:bookmarkStart w:id="1538" w:name="_Toc378853292"/>
      <w:bookmarkStart w:id="1539" w:name="_Toc391024090"/>
      <w:bookmarkStart w:id="1540" w:name="_Toc410028833"/>
      <w:bookmarkStart w:id="1541" w:name="_Toc414531461"/>
      <w:bookmarkStart w:id="1542" w:name="_Toc443645374"/>
      <w:bookmarkStart w:id="1543" w:name="_Toc474914593"/>
      <w:bookmarkStart w:id="1544" w:name="_Toc481751557"/>
      <w:bookmarkStart w:id="1545" w:name="_Toc522010614"/>
      <w:bookmarkStart w:id="1546" w:name="_Toc5269519"/>
      <w:bookmarkStart w:id="1547" w:name="_Toc33529393"/>
      <w:bookmarkStart w:id="1548" w:name="_Toc36224599"/>
      <w:bookmarkStart w:id="1549" w:name="_Toc99659282"/>
      <w:r w:rsidRPr="00D604EE">
        <w:t>Table 6.3.3</w:t>
      </w:r>
      <w:r w:rsidRPr="00D604EE">
        <w:tab/>
        <w:t>New Zealand’s net carbon stock change by carbon pool for the</w:t>
      </w:r>
      <w:r w:rsidRPr="00D604EE">
        <w:rPr>
          <w:rFonts w:cs="Arial Bold"/>
        </w:rPr>
        <w:t xml:space="preserve"> </w:t>
      </w:r>
      <w:r w:rsidRPr="00D604EE">
        <w:rPr>
          <w:rFonts w:cs="Arial Bold"/>
          <w:i/>
        </w:rPr>
        <w:t>Forest</w:t>
      </w:r>
      <w:r w:rsidRPr="00D604EE">
        <w:rPr>
          <w:i/>
        </w:rPr>
        <w:t xml:space="preserve"> land </w:t>
      </w:r>
      <w:r w:rsidRPr="00D604EE">
        <w:t>category</w:t>
      </w:r>
      <w:r w:rsidRPr="00D604EE">
        <w:br/>
        <w:t>from 1990 to</w:t>
      </w:r>
      <w:bookmarkEnd w:id="1532"/>
      <w:bookmarkEnd w:id="1533"/>
      <w:bookmarkEnd w:id="1534"/>
      <w:bookmarkEnd w:id="1535"/>
      <w:bookmarkEnd w:id="1536"/>
      <w:bookmarkEnd w:id="1537"/>
      <w:bookmarkEnd w:id="1538"/>
      <w:bookmarkEnd w:id="1539"/>
      <w:r w:rsidRPr="00D604EE">
        <w:t> </w:t>
      </w:r>
      <w:bookmarkEnd w:id="1540"/>
      <w:bookmarkEnd w:id="1541"/>
      <w:bookmarkEnd w:id="1542"/>
      <w:bookmarkEnd w:id="1543"/>
      <w:bookmarkEnd w:id="1544"/>
      <w:bookmarkEnd w:id="1545"/>
      <w:bookmarkEnd w:id="1546"/>
      <w:bookmarkEnd w:id="1547"/>
      <w:bookmarkEnd w:id="1548"/>
      <w:r w:rsidRPr="00D604EE">
        <w:t>2020</w:t>
      </w:r>
      <w:bookmarkEnd w:id="1549"/>
    </w:p>
    <w:tbl>
      <w:tblPr>
        <w:tblW w:w="8505" w:type="dxa"/>
        <w:tblInd w:w="108" w:type="dxa"/>
        <w:tblBorders>
          <w:bottom w:val="single" w:sz="8" w:space="0" w:color="365F91"/>
        </w:tblBorders>
        <w:tblLayout w:type="fixed"/>
        <w:tblLook w:val="04A0" w:firstRow="1" w:lastRow="0" w:firstColumn="1" w:lastColumn="0" w:noHBand="0" w:noVBand="1"/>
      </w:tblPr>
      <w:tblGrid>
        <w:gridCol w:w="2049"/>
        <w:gridCol w:w="1251"/>
        <w:gridCol w:w="1662"/>
        <w:gridCol w:w="1134"/>
        <w:gridCol w:w="1134"/>
        <w:gridCol w:w="1275"/>
      </w:tblGrid>
      <w:tr w:rsidR="00784FA9" w:rsidRPr="00D604EE" w14:paraId="4214EF28" w14:textId="77777777" w:rsidTr="009E4569">
        <w:tc>
          <w:tcPr>
            <w:tcW w:w="2049" w:type="dxa"/>
            <w:vMerge w:val="restart"/>
            <w:tcBorders>
              <w:top w:val="single" w:sz="4" w:space="0" w:color="1B556B"/>
              <w:bottom w:val="single" w:sz="4" w:space="0" w:color="44546A"/>
              <w:right w:val="nil"/>
            </w:tcBorders>
            <w:shd w:val="clear" w:color="auto" w:fill="1B556B"/>
            <w:vAlign w:val="bottom"/>
          </w:tcPr>
          <w:p w14:paraId="2F4D6469" w14:textId="77777777" w:rsidR="00784FA9" w:rsidRPr="00D604EE" w:rsidRDefault="00784FA9" w:rsidP="007E3239">
            <w:pPr>
              <w:pStyle w:val="TableTextBold"/>
              <w:keepNext/>
              <w:spacing w:before="40" w:after="40"/>
              <w:rPr>
                <w:rFonts w:eastAsia="Arial Bold"/>
                <w:noProof w:val="0"/>
                <w:color w:val="FFFFFF"/>
              </w:rPr>
            </w:pPr>
            <w:r w:rsidRPr="00D604EE">
              <w:rPr>
                <w:rFonts w:eastAsia="Arial Bold"/>
                <w:noProof w:val="0"/>
                <w:color w:val="FFFFFF"/>
              </w:rPr>
              <w:t>Land use</w:t>
            </w:r>
          </w:p>
        </w:tc>
        <w:tc>
          <w:tcPr>
            <w:tcW w:w="5181" w:type="dxa"/>
            <w:gridSpan w:val="4"/>
            <w:tcBorders>
              <w:top w:val="single" w:sz="4" w:space="0" w:color="1B556B"/>
              <w:bottom w:val="single" w:sz="4" w:space="0" w:color="44546A"/>
            </w:tcBorders>
            <w:shd w:val="clear" w:color="auto" w:fill="1B556B"/>
            <w:vAlign w:val="bottom"/>
          </w:tcPr>
          <w:p w14:paraId="4711E902" w14:textId="77777777" w:rsidR="00784FA9" w:rsidRPr="00D604EE" w:rsidRDefault="00784FA9" w:rsidP="007E3239">
            <w:pPr>
              <w:pStyle w:val="TableTextBold"/>
              <w:spacing w:before="40" w:after="40"/>
              <w:jc w:val="center"/>
              <w:rPr>
                <w:rFonts w:eastAsia="Arial Bold"/>
                <w:noProof w:val="0"/>
                <w:color w:val="FFFFFF"/>
              </w:rPr>
            </w:pPr>
            <w:r w:rsidRPr="00D604EE">
              <w:rPr>
                <w:rFonts w:eastAsia="Arial Bold"/>
                <w:noProof w:val="0"/>
                <w:color w:val="FFFFFF"/>
              </w:rPr>
              <w:t>Net carbon stock change 1990–2020 (kt C)</w:t>
            </w:r>
          </w:p>
        </w:tc>
        <w:tc>
          <w:tcPr>
            <w:tcW w:w="1275" w:type="dxa"/>
            <w:vMerge w:val="restart"/>
            <w:tcBorders>
              <w:top w:val="single" w:sz="4" w:space="0" w:color="1B556B"/>
              <w:bottom w:val="single" w:sz="4" w:space="0" w:color="44546A"/>
            </w:tcBorders>
            <w:shd w:val="clear" w:color="auto" w:fill="1B556B"/>
            <w:vAlign w:val="bottom"/>
          </w:tcPr>
          <w:p w14:paraId="1524DBE7" w14:textId="77777777" w:rsidR="00784FA9" w:rsidRPr="00D604EE" w:rsidRDefault="00784FA9" w:rsidP="007E3239">
            <w:pPr>
              <w:pStyle w:val="TableTextBold"/>
              <w:spacing w:before="40" w:after="40"/>
              <w:jc w:val="right"/>
              <w:rPr>
                <w:rFonts w:eastAsia="Arial Bold"/>
                <w:noProof w:val="0"/>
                <w:color w:val="FFFFFF"/>
              </w:rPr>
            </w:pPr>
            <w:r w:rsidRPr="00D604EE">
              <w:rPr>
                <w:rFonts w:eastAsia="Arial Bold"/>
                <w:noProof w:val="0"/>
                <w:color w:val="FFFFFF"/>
              </w:rPr>
              <w:t>Emissions 1990–2020</w:t>
            </w:r>
            <w:r w:rsidRPr="00D604EE">
              <w:rPr>
                <w:rFonts w:eastAsia="Arial Bold"/>
                <w:noProof w:val="0"/>
                <w:color w:val="FFFFFF"/>
              </w:rPr>
              <w:br/>
              <w:t>(kt CO</w:t>
            </w:r>
            <w:r w:rsidRPr="00D604EE">
              <w:rPr>
                <w:rFonts w:eastAsia="Arial Bold"/>
                <w:noProof w:val="0"/>
                <w:color w:val="FFFFFF"/>
                <w:vertAlign w:val="subscript"/>
              </w:rPr>
              <w:t>2</w:t>
            </w:r>
            <w:r w:rsidRPr="00D604EE">
              <w:rPr>
                <w:rFonts w:eastAsia="Arial Bold"/>
                <w:noProof w:val="0"/>
                <w:color w:val="FFFFFF"/>
              </w:rPr>
              <w:t>)</w:t>
            </w:r>
          </w:p>
        </w:tc>
      </w:tr>
      <w:tr w:rsidR="00784FA9" w:rsidRPr="00D604EE" w14:paraId="5975D28B" w14:textId="77777777" w:rsidTr="009E4569">
        <w:tc>
          <w:tcPr>
            <w:tcW w:w="2049" w:type="dxa"/>
            <w:vMerge/>
            <w:tcBorders>
              <w:top w:val="single" w:sz="4" w:space="0" w:color="44546A"/>
              <w:bottom w:val="single" w:sz="4" w:space="0" w:color="1B556B"/>
              <w:right w:val="nil"/>
            </w:tcBorders>
            <w:shd w:val="clear" w:color="auto" w:fill="1B556B"/>
            <w:vAlign w:val="bottom"/>
          </w:tcPr>
          <w:p w14:paraId="38279AE3" w14:textId="77777777" w:rsidR="00784FA9" w:rsidRPr="00D604EE" w:rsidRDefault="00784FA9" w:rsidP="007E3239">
            <w:pPr>
              <w:pStyle w:val="TableTextBold"/>
              <w:keepNext/>
              <w:spacing w:before="40" w:after="40"/>
              <w:jc w:val="center"/>
              <w:rPr>
                <w:rFonts w:eastAsia="Arial Bold"/>
                <w:noProof w:val="0"/>
                <w:color w:val="FFFFFF"/>
              </w:rPr>
            </w:pPr>
          </w:p>
        </w:tc>
        <w:tc>
          <w:tcPr>
            <w:tcW w:w="1251" w:type="dxa"/>
            <w:tcBorders>
              <w:top w:val="single" w:sz="4" w:space="0" w:color="44546A"/>
              <w:bottom w:val="single" w:sz="4" w:space="0" w:color="1B556B"/>
            </w:tcBorders>
            <w:shd w:val="clear" w:color="auto" w:fill="1B556B"/>
            <w:vAlign w:val="bottom"/>
          </w:tcPr>
          <w:p w14:paraId="626DC9A2" w14:textId="77777777" w:rsidR="00784FA9" w:rsidRPr="00D604EE" w:rsidRDefault="00784FA9" w:rsidP="007E3239">
            <w:pPr>
              <w:pStyle w:val="TableTextBold"/>
              <w:spacing w:before="40" w:after="40"/>
              <w:jc w:val="center"/>
              <w:rPr>
                <w:rFonts w:eastAsia="Arial Bold"/>
                <w:noProof w:val="0"/>
                <w:color w:val="FFFFFF"/>
              </w:rPr>
            </w:pPr>
            <w:r w:rsidRPr="00D604EE">
              <w:rPr>
                <w:rFonts w:eastAsia="Arial Bold"/>
                <w:noProof w:val="0"/>
                <w:color w:val="FFFFFF"/>
              </w:rPr>
              <w:t>Living biomass</w:t>
            </w:r>
          </w:p>
        </w:tc>
        <w:tc>
          <w:tcPr>
            <w:tcW w:w="1662" w:type="dxa"/>
            <w:tcBorders>
              <w:top w:val="single" w:sz="4" w:space="0" w:color="44546A"/>
              <w:bottom w:val="single" w:sz="4" w:space="0" w:color="1B556B"/>
            </w:tcBorders>
            <w:shd w:val="clear" w:color="auto" w:fill="1B556B"/>
            <w:vAlign w:val="bottom"/>
          </w:tcPr>
          <w:p w14:paraId="28DD3D85" w14:textId="77777777" w:rsidR="00784FA9" w:rsidRPr="00D604EE" w:rsidRDefault="00784FA9" w:rsidP="007E3239">
            <w:pPr>
              <w:pStyle w:val="TableTextBold"/>
              <w:spacing w:before="40" w:after="40"/>
              <w:jc w:val="right"/>
              <w:rPr>
                <w:rFonts w:eastAsia="Arial Bold"/>
                <w:noProof w:val="0"/>
                <w:color w:val="FFFFFF"/>
              </w:rPr>
            </w:pPr>
            <w:r w:rsidRPr="00D604EE">
              <w:rPr>
                <w:rFonts w:eastAsia="Arial Bold"/>
                <w:noProof w:val="0"/>
                <w:color w:val="FFFFFF"/>
              </w:rPr>
              <w:t>Dead organic matter</w:t>
            </w:r>
          </w:p>
        </w:tc>
        <w:tc>
          <w:tcPr>
            <w:tcW w:w="1134" w:type="dxa"/>
            <w:tcBorders>
              <w:top w:val="single" w:sz="4" w:space="0" w:color="44546A"/>
              <w:bottom w:val="single" w:sz="4" w:space="0" w:color="1B556B"/>
            </w:tcBorders>
            <w:shd w:val="clear" w:color="auto" w:fill="1B556B"/>
            <w:vAlign w:val="bottom"/>
          </w:tcPr>
          <w:p w14:paraId="4A8DDFD9" w14:textId="77777777" w:rsidR="00784FA9" w:rsidRPr="00D604EE" w:rsidRDefault="00784FA9" w:rsidP="007E3239">
            <w:pPr>
              <w:pStyle w:val="TableTextBold"/>
              <w:spacing w:before="40" w:after="40"/>
              <w:jc w:val="right"/>
              <w:rPr>
                <w:rFonts w:eastAsia="Arial Bold"/>
                <w:noProof w:val="0"/>
                <w:color w:val="FFFFFF"/>
              </w:rPr>
            </w:pPr>
            <w:r w:rsidRPr="00D604EE">
              <w:rPr>
                <w:rFonts w:eastAsia="Arial Bold"/>
                <w:noProof w:val="0"/>
                <w:color w:val="FFFFFF"/>
              </w:rPr>
              <w:t>Soils</w:t>
            </w:r>
          </w:p>
        </w:tc>
        <w:tc>
          <w:tcPr>
            <w:tcW w:w="1134" w:type="dxa"/>
            <w:tcBorders>
              <w:top w:val="single" w:sz="4" w:space="0" w:color="44546A"/>
              <w:bottom w:val="single" w:sz="4" w:space="0" w:color="1B556B"/>
            </w:tcBorders>
            <w:shd w:val="clear" w:color="auto" w:fill="1B556B"/>
            <w:vAlign w:val="bottom"/>
          </w:tcPr>
          <w:p w14:paraId="3FD15B14" w14:textId="77777777" w:rsidR="00784FA9" w:rsidRPr="00D604EE" w:rsidRDefault="00784FA9" w:rsidP="007E3239">
            <w:pPr>
              <w:pStyle w:val="TableTextBold"/>
              <w:spacing w:before="40" w:after="40"/>
              <w:jc w:val="right"/>
              <w:rPr>
                <w:rFonts w:eastAsia="Arial Bold"/>
                <w:noProof w:val="0"/>
                <w:color w:val="FFFFFF"/>
              </w:rPr>
            </w:pPr>
            <w:r w:rsidRPr="00D604EE">
              <w:rPr>
                <w:rFonts w:eastAsia="Arial Bold"/>
                <w:noProof w:val="0"/>
                <w:color w:val="FFFFFF"/>
              </w:rPr>
              <w:t>Total</w:t>
            </w:r>
          </w:p>
        </w:tc>
        <w:tc>
          <w:tcPr>
            <w:tcW w:w="1275" w:type="dxa"/>
            <w:vMerge/>
            <w:tcBorders>
              <w:top w:val="single" w:sz="4" w:space="0" w:color="44546A"/>
              <w:bottom w:val="single" w:sz="4" w:space="0" w:color="1B556B"/>
            </w:tcBorders>
            <w:shd w:val="clear" w:color="auto" w:fill="1B556B"/>
            <w:vAlign w:val="bottom"/>
          </w:tcPr>
          <w:p w14:paraId="5D9FE089" w14:textId="77777777" w:rsidR="00784FA9" w:rsidRPr="00D604EE" w:rsidRDefault="00784FA9" w:rsidP="007E3239">
            <w:pPr>
              <w:pStyle w:val="TableTextBold"/>
              <w:spacing w:before="40" w:after="40"/>
              <w:jc w:val="center"/>
              <w:rPr>
                <w:rFonts w:eastAsia="Arial Bold"/>
                <w:noProof w:val="0"/>
                <w:color w:val="FFFFFF"/>
              </w:rPr>
            </w:pPr>
          </w:p>
        </w:tc>
      </w:tr>
      <w:tr w:rsidR="009E4569" w:rsidRPr="00D604EE" w14:paraId="152EDBD4" w14:textId="77777777" w:rsidTr="009E4569">
        <w:tc>
          <w:tcPr>
            <w:tcW w:w="2049" w:type="dxa"/>
            <w:tcBorders>
              <w:top w:val="single" w:sz="4" w:space="0" w:color="1B556B"/>
              <w:bottom w:val="single" w:sz="4" w:space="0" w:color="1B556B"/>
              <w:right w:val="nil"/>
            </w:tcBorders>
            <w:shd w:val="clear" w:color="auto" w:fill="auto"/>
          </w:tcPr>
          <w:p w14:paraId="181AF21E" w14:textId="77777777" w:rsidR="00784FA9" w:rsidRPr="00D604EE" w:rsidRDefault="00784FA9" w:rsidP="007E3239">
            <w:pPr>
              <w:pStyle w:val="TableText"/>
              <w:spacing w:before="50" w:after="50"/>
              <w:rPr>
                <w:rFonts w:eastAsia="Arial Bold"/>
              </w:rPr>
            </w:pPr>
            <w:r w:rsidRPr="00D604EE">
              <w:rPr>
                <w:rFonts w:eastAsia="Arial Bold"/>
              </w:rPr>
              <w:t>Pre-1990 natural forest</w:t>
            </w:r>
          </w:p>
        </w:tc>
        <w:tc>
          <w:tcPr>
            <w:tcW w:w="1251" w:type="dxa"/>
            <w:tcBorders>
              <w:top w:val="single" w:sz="4" w:space="0" w:color="1B556B"/>
              <w:bottom w:val="single" w:sz="4" w:space="0" w:color="1B556B"/>
            </w:tcBorders>
            <w:shd w:val="clear" w:color="auto" w:fill="auto"/>
          </w:tcPr>
          <w:p w14:paraId="5CC737A6" w14:textId="77777777" w:rsidR="00784FA9" w:rsidRPr="00D604EE" w:rsidRDefault="00784FA9" w:rsidP="007E3239">
            <w:pPr>
              <w:pStyle w:val="TableText"/>
              <w:spacing w:before="50" w:after="50"/>
              <w:jc w:val="right"/>
              <w:rPr>
                <w:rFonts w:eastAsia="Arial Bold"/>
              </w:rPr>
            </w:pPr>
            <w:r w:rsidRPr="00D604EE">
              <w:t>10,382.5</w:t>
            </w:r>
          </w:p>
        </w:tc>
        <w:tc>
          <w:tcPr>
            <w:tcW w:w="1662" w:type="dxa"/>
            <w:tcBorders>
              <w:top w:val="single" w:sz="4" w:space="0" w:color="1B556B"/>
              <w:bottom w:val="single" w:sz="4" w:space="0" w:color="1B556B"/>
            </w:tcBorders>
            <w:shd w:val="clear" w:color="auto" w:fill="auto"/>
          </w:tcPr>
          <w:p w14:paraId="61AEB178" w14:textId="77777777" w:rsidR="00784FA9" w:rsidRPr="00D604EE" w:rsidRDefault="00784FA9" w:rsidP="007E3239">
            <w:pPr>
              <w:pStyle w:val="TableText"/>
              <w:spacing w:before="50" w:after="50"/>
              <w:jc w:val="right"/>
              <w:rPr>
                <w:rFonts w:eastAsia="Arial Bold"/>
              </w:rPr>
            </w:pPr>
            <w:r w:rsidRPr="00D604EE">
              <w:t>1,014.3</w:t>
            </w:r>
          </w:p>
        </w:tc>
        <w:tc>
          <w:tcPr>
            <w:tcW w:w="1134" w:type="dxa"/>
            <w:tcBorders>
              <w:top w:val="single" w:sz="4" w:space="0" w:color="1B556B"/>
              <w:bottom w:val="single" w:sz="4" w:space="0" w:color="1B556B"/>
            </w:tcBorders>
            <w:shd w:val="clear" w:color="auto" w:fill="auto"/>
          </w:tcPr>
          <w:p w14:paraId="05DB4474" w14:textId="77777777" w:rsidR="00784FA9" w:rsidRPr="00D604EE" w:rsidRDefault="00784FA9" w:rsidP="007E3239">
            <w:pPr>
              <w:pStyle w:val="TableText"/>
              <w:spacing w:before="50" w:after="50"/>
              <w:jc w:val="right"/>
              <w:rPr>
                <w:rFonts w:eastAsia="Arial Bold"/>
              </w:rPr>
            </w:pPr>
            <w:r w:rsidRPr="00D604EE">
              <w:t>–135.1</w:t>
            </w:r>
          </w:p>
        </w:tc>
        <w:tc>
          <w:tcPr>
            <w:tcW w:w="1134" w:type="dxa"/>
            <w:tcBorders>
              <w:top w:val="single" w:sz="4" w:space="0" w:color="1B556B"/>
              <w:bottom w:val="single" w:sz="4" w:space="0" w:color="1B556B"/>
            </w:tcBorders>
            <w:shd w:val="clear" w:color="auto" w:fill="auto"/>
          </w:tcPr>
          <w:p w14:paraId="47DDD348" w14:textId="77777777" w:rsidR="00784FA9" w:rsidRPr="00D604EE" w:rsidRDefault="00784FA9" w:rsidP="007E3239">
            <w:pPr>
              <w:pStyle w:val="TableText"/>
              <w:spacing w:before="50" w:after="50"/>
              <w:jc w:val="right"/>
              <w:rPr>
                <w:rFonts w:eastAsia="Arial Bold"/>
              </w:rPr>
            </w:pPr>
            <w:r w:rsidRPr="00D604EE">
              <w:t>11,261.8</w:t>
            </w:r>
          </w:p>
        </w:tc>
        <w:tc>
          <w:tcPr>
            <w:tcW w:w="1275" w:type="dxa"/>
            <w:tcBorders>
              <w:top w:val="single" w:sz="4" w:space="0" w:color="1B556B"/>
              <w:bottom w:val="single" w:sz="4" w:space="0" w:color="1B556B"/>
            </w:tcBorders>
            <w:shd w:val="clear" w:color="auto" w:fill="auto"/>
          </w:tcPr>
          <w:p w14:paraId="23FF5364" w14:textId="77777777" w:rsidR="00784FA9" w:rsidRPr="00D604EE" w:rsidRDefault="00784FA9" w:rsidP="007E3239">
            <w:pPr>
              <w:pStyle w:val="TableText"/>
              <w:spacing w:before="50" w:after="50"/>
              <w:jc w:val="right"/>
              <w:rPr>
                <w:rFonts w:eastAsia="Arial Bold"/>
              </w:rPr>
            </w:pPr>
            <w:r w:rsidRPr="00D604EE">
              <w:t>–41,293.2</w:t>
            </w:r>
          </w:p>
        </w:tc>
      </w:tr>
      <w:tr w:rsidR="00784FA9" w:rsidRPr="00D604EE" w14:paraId="152BA028" w14:textId="77777777" w:rsidTr="009E4569">
        <w:tc>
          <w:tcPr>
            <w:tcW w:w="2049" w:type="dxa"/>
            <w:tcBorders>
              <w:top w:val="single" w:sz="4" w:space="0" w:color="1B556B"/>
              <w:bottom w:val="single" w:sz="4" w:space="0" w:color="1B556B"/>
              <w:right w:val="nil"/>
            </w:tcBorders>
            <w:shd w:val="clear" w:color="auto" w:fill="auto"/>
          </w:tcPr>
          <w:p w14:paraId="41B405D8" w14:textId="77777777" w:rsidR="00784FA9" w:rsidRPr="00D604EE" w:rsidRDefault="00784FA9" w:rsidP="007E3239">
            <w:pPr>
              <w:pStyle w:val="TableText"/>
              <w:spacing w:before="50" w:after="50"/>
              <w:rPr>
                <w:rFonts w:eastAsia="Arial Bold"/>
              </w:rPr>
            </w:pPr>
            <w:r w:rsidRPr="00D604EE">
              <w:rPr>
                <w:rFonts w:eastAsia="Arial Bold"/>
              </w:rPr>
              <w:t>Pre-1990 planted forest</w:t>
            </w:r>
          </w:p>
        </w:tc>
        <w:tc>
          <w:tcPr>
            <w:tcW w:w="1251" w:type="dxa"/>
            <w:tcBorders>
              <w:top w:val="single" w:sz="4" w:space="0" w:color="1B556B"/>
              <w:bottom w:val="single" w:sz="4" w:space="0" w:color="1B556B"/>
            </w:tcBorders>
            <w:shd w:val="clear" w:color="auto" w:fill="auto"/>
          </w:tcPr>
          <w:p w14:paraId="3251014B" w14:textId="77777777" w:rsidR="00784FA9" w:rsidRPr="00D604EE" w:rsidRDefault="00784FA9" w:rsidP="007E3239">
            <w:pPr>
              <w:pStyle w:val="TableText"/>
              <w:spacing w:before="50" w:after="50"/>
              <w:jc w:val="right"/>
              <w:rPr>
                <w:rFonts w:eastAsia="Arial Bold"/>
              </w:rPr>
            </w:pPr>
            <w:r w:rsidRPr="00D604EE">
              <w:t>101,093.0</w:t>
            </w:r>
          </w:p>
        </w:tc>
        <w:tc>
          <w:tcPr>
            <w:tcW w:w="1662" w:type="dxa"/>
            <w:tcBorders>
              <w:top w:val="single" w:sz="4" w:space="0" w:color="1B556B"/>
              <w:bottom w:val="single" w:sz="4" w:space="0" w:color="1B556B"/>
            </w:tcBorders>
            <w:shd w:val="clear" w:color="auto" w:fill="auto"/>
          </w:tcPr>
          <w:p w14:paraId="68AB5B35" w14:textId="77777777" w:rsidR="00784FA9" w:rsidRPr="00D604EE" w:rsidRDefault="00784FA9" w:rsidP="007E3239">
            <w:pPr>
              <w:pStyle w:val="TableText"/>
              <w:spacing w:before="50" w:after="50"/>
              <w:jc w:val="right"/>
              <w:rPr>
                <w:rFonts w:eastAsia="Arial Bold"/>
              </w:rPr>
            </w:pPr>
            <w:r w:rsidRPr="00D604EE">
              <w:t>15,695.9</w:t>
            </w:r>
          </w:p>
        </w:tc>
        <w:tc>
          <w:tcPr>
            <w:tcW w:w="1134" w:type="dxa"/>
            <w:tcBorders>
              <w:top w:val="single" w:sz="4" w:space="0" w:color="1B556B"/>
              <w:bottom w:val="single" w:sz="4" w:space="0" w:color="1B556B"/>
            </w:tcBorders>
            <w:shd w:val="clear" w:color="auto" w:fill="auto"/>
          </w:tcPr>
          <w:p w14:paraId="10D6EC9A" w14:textId="77777777" w:rsidR="00784FA9" w:rsidRPr="00D604EE" w:rsidRDefault="00784FA9" w:rsidP="007E3239">
            <w:pPr>
              <w:pStyle w:val="TableText"/>
              <w:spacing w:before="50" w:after="50"/>
              <w:jc w:val="right"/>
              <w:rPr>
                <w:rFonts w:eastAsia="Arial Bold"/>
              </w:rPr>
            </w:pPr>
            <w:r w:rsidRPr="00D604EE">
              <w:t>–4,238.7</w:t>
            </w:r>
          </w:p>
        </w:tc>
        <w:tc>
          <w:tcPr>
            <w:tcW w:w="1134" w:type="dxa"/>
            <w:tcBorders>
              <w:top w:val="single" w:sz="4" w:space="0" w:color="1B556B"/>
              <w:bottom w:val="single" w:sz="4" w:space="0" w:color="1B556B"/>
            </w:tcBorders>
            <w:shd w:val="clear" w:color="auto" w:fill="auto"/>
          </w:tcPr>
          <w:p w14:paraId="203F9C73" w14:textId="77777777" w:rsidR="00784FA9" w:rsidRPr="00D604EE" w:rsidRDefault="00784FA9" w:rsidP="007E3239">
            <w:pPr>
              <w:pStyle w:val="TableText"/>
              <w:spacing w:before="50" w:after="50"/>
              <w:jc w:val="right"/>
              <w:rPr>
                <w:rFonts w:eastAsia="Arial Bold"/>
              </w:rPr>
            </w:pPr>
            <w:r w:rsidRPr="00D604EE">
              <w:t>112,550.2</w:t>
            </w:r>
          </w:p>
        </w:tc>
        <w:tc>
          <w:tcPr>
            <w:tcW w:w="1275" w:type="dxa"/>
            <w:tcBorders>
              <w:top w:val="single" w:sz="4" w:space="0" w:color="1B556B"/>
              <w:bottom w:val="single" w:sz="4" w:space="0" w:color="1B556B"/>
            </w:tcBorders>
            <w:shd w:val="clear" w:color="auto" w:fill="auto"/>
          </w:tcPr>
          <w:p w14:paraId="4361ACB6" w14:textId="77777777" w:rsidR="00784FA9" w:rsidRPr="00D604EE" w:rsidRDefault="00784FA9" w:rsidP="007E3239">
            <w:pPr>
              <w:pStyle w:val="TableText"/>
              <w:spacing w:before="50" w:after="50"/>
              <w:jc w:val="right"/>
              <w:rPr>
                <w:rFonts w:eastAsia="Arial Bold"/>
              </w:rPr>
            </w:pPr>
            <w:r w:rsidRPr="00D604EE">
              <w:t>–412,684.1</w:t>
            </w:r>
          </w:p>
        </w:tc>
      </w:tr>
      <w:tr w:rsidR="00784FA9" w:rsidRPr="00D604EE" w14:paraId="2E926733" w14:textId="77777777" w:rsidTr="009E4569">
        <w:tc>
          <w:tcPr>
            <w:tcW w:w="2049" w:type="dxa"/>
            <w:tcBorders>
              <w:top w:val="single" w:sz="4" w:space="0" w:color="1B556B"/>
              <w:bottom w:val="single" w:sz="4" w:space="0" w:color="1B556B"/>
              <w:right w:val="nil"/>
            </w:tcBorders>
            <w:shd w:val="clear" w:color="auto" w:fill="auto"/>
          </w:tcPr>
          <w:p w14:paraId="45ABD06F" w14:textId="77777777" w:rsidR="00784FA9" w:rsidRPr="00D604EE" w:rsidRDefault="00784FA9" w:rsidP="007E3239">
            <w:pPr>
              <w:pStyle w:val="TableText"/>
              <w:spacing w:before="50" w:after="50"/>
              <w:rPr>
                <w:rFonts w:eastAsia="Arial Bold"/>
              </w:rPr>
            </w:pPr>
            <w:r w:rsidRPr="00D604EE">
              <w:rPr>
                <w:rFonts w:eastAsia="Arial Bold"/>
              </w:rPr>
              <w:t xml:space="preserve">Post-1989 planted forest </w:t>
            </w:r>
          </w:p>
        </w:tc>
        <w:tc>
          <w:tcPr>
            <w:tcW w:w="1251" w:type="dxa"/>
            <w:tcBorders>
              <w:top w:val="single" w:sz="4" w:space="0" w:color="1B556B"/>
              <w:bottom w:val="single" w:sz="4" w:space="0" w:color="1B556B"/>
            </w:tcBorders>
            <w:shd w:val="clear" w:color="auto" w:fill="auto"/>
          </w:tcPr>
          <w:p w14:paraId="6B680B1D" w14:textId="77777777" w:rsidR="00784FA9" w:rsidRPr="00D604EE" w:rsidRDefault="00784FA9" w:rsidP="007E3239">
            <w:pPr>
              <w:pStyle w:val="TableText"/>
              <w:spacing w:before="50" w:after="50"/>
              <w:jc w:val="right"/>
              <w:rPr>
                <w:rFonts w:eastAsia="Arial Bold"/>
              </w:rPr>
            </w:pPr>
            <w:r w:rsidRPr="00D604EE">
              <w:t>83,721.7</w:t>
            </w:r>
          </w:p>
        </w:tc>
        <w:tc>
          <w:tcPr>
            <w:tcW w:w="1662" w:type="dxa"/>
            <w:tcBorders>
              <w:top w:val="single" w:sz="4" w:space="0" w:color="1B556B"/>
              <w:bottom w:val="single" w:sz="4" w:space="0" w:color="1B556B"/>
            </w:tcBorders>
            <w:shd w:val="clear" w:color="auto" w:fill="auto"/>
          </w:tcPr>
          <w:p w14:paraId="117F3ABE" w14:textId="77777777" w:rsidR="00784FA9" w:rsidRPr="00D604EE" w:rsidRDefault="00784FA9" w:rsidP="007E3239">
            <w:pPr>
              <w:pStyle w:val="TableText"/>
              <w:spacing w:before="50" w:after="50"/>
              <w:jc w:val="right"/>
              <w:rPr>
                <w:rFonts w:eastAsia="Arial Bold"/>
              </w:rPr>
            </w:pPr>
            <w:r w:rsidRPr="00D604EE">
              <w:t>12,115.5</w:t>
            </w:r>
          </w:p>
        </w:tc>
        <w:tc>
          <w:tcPr>
            <w:tcW w:w="1134" w:type="dxa"/>
            <w:tcBorders>
              <w:top w:val="single" w:sz="4" w:space="0" w:color="1B556B"/>
              <w:bottom w:val="single" w:sz="4" w:space="0" w:color="1B556B"/>
            </w:tcBorders>
            <w:shd w:val="clear" w:color="auto" w:fill="auto"/>
          </w:tcPr>
          <w:p w14:paraId="58FD5161" w14:textId="77777777" w:rsidR="00784FA9" w:rsidRPr="00D604EE" w:rsidRDefault="00784FA9" w:rsidP="007E3239">
            <w:pPr>
              <w:pStyle w:val="TableText"/>
              <w:spacing w:before="50" w:after="50"/>
              <w:jc w:val="right"/>
              <w:rPr>
                <w:rFonts w:eastAsia="Arial Bold"/>
              </w:rPr>
            </w:pPr>
            <w:r w:rsidRPr="00D604EE">
              <w:t>–7,423.4</w:t>
            </w:r>
          </w:p>
        </w:tc>
        <w:tc>
          <w:tcPr>
            <w:tcW w:w="1134" w:type="dxa"/>
            <w:tcBorders>
              <w:top w:val="single" w:sz="4" w:space="0" w:color="1B556B"/>
              <w:bottom w:val="single" w:sz="4" w:space="0" w:color="1B556B"/>
            </w:tcBorders>
            <w:shd w:val="clear" w:color="auto" w:fill="auto"/>
          </w:tcPr>
          <w:p w14:paraId="0927E596" w14:textId="77777777" w:rsidR="00784FA9" w:rsidRPr="00D604EE" w:rsidRDefault="00784FA9" w:rsidP="007E3239">
            <w:pPr>
              <w:pStyle w:val="TableText"/>
              <w:spacing w:before="50" w:after="50"/>
              <w:jc w:val="right"/>
              <w:rPr>
                <w:rFonts w:eastAsia="Arial Bold"/>
              </w:rPr>
            </w:pPr>
            <w:r w:rsidRPr="00D604EE">
              <w:t>88,413.8</w:t>
            </w:r>
          </w:p>
        </w:tc>
        <w:tc>
          <w:tcPr>
            <w:tcW w:w="1275" w:type="dxa"/>
            <w:tcBorders>
              <w:top w:val="single" w:sz="4" w:space="0" w:color="1B556B"/>
              <w:bottom w:val="single" w:sz="4" w:space="0" w:color="1B556B"/>
            </w:tcBorders>
            <w:shd w:val="clear" w:color="auto" w:fill="auto"/>
          </w:tcPr>
          <w:p w14:paraId="5A9F5BD2" w14:textId="77777777" w:rsidR="00784FA9" w:rsidRPr="00D604EE" w:rsidRDefault="00784FA9" w:rsidP="007E3239">
            <w:pPr>
              <w:pStyle w:val="TableText"/>
              <w:spacing w:before="50" w:after="50"/>
              <w:jc w:val="right"/>
              <w:rPr>
                <w:rFonts w:eastAsia="Arial Bold"/>
              </w:rPr>
            </w:pPr>
            <w:r w:rsidRPr="00D604EE">
              <w:t>–324,184.1</w:t>
            </w:r>
          </w:p>
        </w:tc>
      </w:tr>
      <w:tr w:rsidR="00784FA9" w:rsidRPr="00D604EE" w14:paraId="74AD5B16" w14:textId="77777777" w:rsidTr="009E4569">
        <w:tc>
          <w:tcPr>
            <w:tcW w:w="2049" w:type="dxa"/>
            <w:tcBorders>
              <w:top w:val="single" w:sz="4" w:space="0" w:color="1B556B"/>
              <w:bottom w:val="single" w:sz="4" w:space="0" w:color="1B556B"/>
              <w:right w:val="nil"/>
            </w:tcBorders>
            <w:shd w:val="clear" w:color="auto" w:fill="auto"/>
          </w:tcPr>
          <w:p w14:paraId="418DD62F" w14:textId="77777777" w:rsidR="00784FA9" w:rsidRPr="00D604EE" w:rsidRDefault="00784FA9" w:rsidP="007E3239">
            <w:pPr>
              <w:pStyle w:val="TableText"/>
              <w:spacing w:before="50" w:after="50"/>
              <w:rPr>
                <w:rFonts w:eastAsia="Arial Bold"/>
              </w:rPr>
            </w:pPr>
            <w:r w:rsidRPr="00D604EE">
              <w:rPr>
                <w:rFonts w:eastAsia="Arial Bold"/>
              </w:rPr>
              <w:t>Post-1989 natural forest</w:t>
            </w:r>
          </w:p>
        </w:tc>
        <w:tc>
          <w:tcPr>
            <w:tcW w:w="1251" w:type="dxa"/>
            <w:tcBorders>
              <w:top w:val="single" w:sz="4" w:space="0" w:color="1B556B"/>
              <w:bottom w:val="single" w:sz="4" w:space="0" w:color="1B556B"/>
            </w:tcBorders>
            <w:shd w:val="clear" w:color="auto" w:fill="auto"/>
          </w:tcPr>
          <w:p w14:paraId="795EADED" w14:textId="77777777" w:rsidR="00784FA9" w:rsidRPr="00D604EE" w:rsidRDefault="00784FA9" w:rsidP="007E3239">
            <w:pPr>
              <w:pStyle w:val="TableText"/>
              <w:spacing w:before="50" w:after="50"/>
              <w:jc w:val="right"/>
            </w:pPr>
            <w:r w:rsidRPr="00D604EE">
              <w:t>2,917.5</w:t>
            </w:r>
          </w:p>
        </w:tc>
        <w:tc>
          <w:tcPr>
            <w:tcW w:w="1662" w:type="dxa"/>
            <w:tcBorders>
              <w:top w:val="single" w:sz="4" w:space="0" w:color="1B556B"/>
              <w:bottom w:val="single" w:sz="4" w:space="0" w:color="1B556B"/>
            </w:tcBorders>
            <w:shd w:val="clear" w:color="auto" w:fill="auto"/>
          </w:tcPr>
          <w:p w14:paraId="404349AB" w14:textId="77777777" w:rsidR="00784FA9" w:rsidRPr="00D604EE" w:rsidRDefault="00784FA9" w:rsidP="007E3239">
            <w:pPr>
              <w:pStyle w:val="TableText"/>
              <w:spacing w:before="50" w:after="50"/>
              <w:jc w:val="right"/>
            </w:pPr>
            <w:r w:rsidRPr="00D604EE">
              <w:t>32.3</w:t>
            </w:r>
          </w:p>
        </w:tc>
        <w:tc>
          <w:tcPr>
            <w:tcW w:w="1134" w:type="dxa"/>
            <w:tcBorders>
              <w:top w:val="single" w:sz="4" w:space="0" w:color="1B556B"/>
              <w:bottom w:val="single" w:sz="4" w:space="0" w:color="1B556B"/>
            </w:tcBorders>
            <w:shd w:val="clear" w:color="auto" w:fill="auto"/>
          </w:tcPr>
          <w:p w14:paraId="706E069A" w14:textId="77777777" w:rsidR="00784FA9" w:rsidRPr="00D604EE" w:rsidRDefault="00784FA9" w:rsidP="007E3239">
            <w:pPr>
              <w:pStyle w:val="TableText"/>
              <w:spacing w:before="50" w:after="50"/>
              <w:jc w:val="right"/>
            </w:pPr>
            <w:r w:rsidRPr="00D604EE">
              <w:t>–627.2</w:t>
            </w:r>
          </w:p>
        </w:tc>
        <w:tc>
          <w:tcPr>
            <w:tcW w:w="1134" w:type="dxa"/>
            <w:tcBorders>
              <w:top w:val="single" w:sz="4" w:space="0" w:color="1B556B"/>
              <w:bottom w:val="single" w:sz="4" w:space="0" w:color="1B556B"/>
            </w:tcBorders>
            <w:shd w:val="clear" w:color="auto" w:fill="auto"/>
          </w:tcPr>
          <w:p w14:paraId="480027D9" w14:textId="77777777" w:rsidR="00784FA9" w:rsidRPr="00D604EE" w:rsidRDefault="00784FA9" w:rsidP="007E3239">
            <w:pPr>
              <w:pStyle w:val="TableText"/>
              <w:spacing w:before="50" w:after="50"/>
              <w:jc w:val="right"/>
            </w:pPr>
            <w:r w:rsidRPr="00D604EE">
              <w:t>2,322.6</w:t>
            </w:r>
          </w:p>
        </w:tc>
        <w:tc>
          <w:tcPr>
            <w:tcW w:w="1275" w:type="dxa"/>
            <w:tcBorders>
              <w:top w:val="single" w:sz="4" w:space="0" w:color="1B556B"/>
              <w:bottom w:val="single" w:sz="4" w:space="0" w:color="1B556B"/>
            </w:tcBorders>
            <w:shd w:val="clear" w:color="auto" w:fill="auto"/>
          </w:tcPr>
          <w:p w14:paraId="49058ADF" w14:textId="77777777" w:rsidR="00784FA9" w:rsidRPr="00D604EE" w:rsidRDefault="00784FA9" w:rsidP="007E3239">
            <w:pPr>
              <w:pStyle w:val="TableText"/>
              <w:spacing w:before="50" w:after="50"/>
              <w:jc w:val="right"/>
            </w:pPr>
            <w:r w:rsidRPr="00D604EE">
              <w:t>–8,516.0</w:t>
            </w:r>
          </w:p>
        </w:tc>
      </w:tr>
      <w:tr w:rsidR="00784FA9" w:rsidRPr="00D604EE" w14:paraId="05B01946" w14:textId="77777777" w:rsidTr="009E4569">
        <w:tc>
          <w:tcPr>
            <w:tcW w:w="2049" w:type="dxa"/>
            <w:tcBorders>
              <w:top w:val="single" w:sz="4" w:space="0" w:color="1B556B"/>
              <w:bottom w:val="single" w:sz="4" w:space="0" w:color="1B556B"/>
              <w:right w:val="nil"/>
            </w:tcBorders>
            <w:shd w:val="clear" w:color="auto" w:fill="auto"/>
          </w:tcPr>
          <w:p w14:paraId="398C3F2C" w14:textId="77777777" w:rsidR="00784FA9" w:rsidRPr="00D604EE" w:rsidRDefault="00784FA9" w:rsidP="007E3239">
            <w:pPr>
              <w:pStyle w:val="Tableboldblue"/>
              <w:spacing w:before="50" w:after="50"/>
              <w:jc w:val="right"/>
              <w:rPr>
                <w:rFonts w:eastAsia="Arial Bold"/>
              </w:rPr>
            </w:pPr>
            <w:r w:rsidRPr="00D604EE">
              <w:rPr>
                <w:rFonts w:eastAsia="Arial Bold"/>
              </w:rPr>
              <w:t>Total</w:t>
            </w:r>
          </w:p>
        </w:tc>
        <w:tc>
          <w:tcPr>
            <w:tcW w:w="1251" w:type="dxa"/>
            <w:tcBorders>
              <w:top w:val="single" w:sz="4" w:space="0" w:color="1B556B"/>
              <w:bottom w:val="single" w:sz="4" w:space="0" w:color="1B556B"/>
            </w:tcBorders>
            <w:shd w:val="clear" w:color="auto" w:fill="auto"/>
          </w:tcPr>
          <w:p w14:paraId="54604F47" w14:textId="77777777" w:rsidR="00784FA9" w:rsidRPr="00D604EE" w:rsidRDefault="00784FA9" w:rsidP="007E3239">
            <w:pPr>
              <w:pStyle w:val="Tableboldblue"/>
              <w:spacing w:before="50" w:after="50"/>
              <w:jc w:val="right"/>
              <w:rPr>
                <w:rFonts w:eastAsia="Arial Bold"/>
              </w:rPr>
            </w:pPr>
            <w:r w:rsidRPr="00D604EE">
              <w:t>198,114.7</w:t>
            </w:r>
          </w:p>
        </w:tc>
        <w:tc>
          <w:tcPr>
            <w:tcW w:w="1662" w:type="dxa"/>
            <w:tcBorders>
              <w:top w:val="single" w:sz="4" w:space="0" w:color="1B556B"/>
              <w:bottom w:val="single" w:sz="4" w:space="0" w:color="1B556B"/>
            </w:tcBorders>
            <w:shd w:val="clear" w:color="auto" w:fill="auto"/>
          </w:tcPr>
          <w:p w14:paraId="0DCE3DE6" w14:textId="77777777" w:rsidR="00784FA9" w:rsidRPr="00D604EE" w:rsidRDefault="00784FA9" w:rsidP="007E3239">
            <w:pPr>
              <w:pStyle w:val="Tableboldblue"/>
              <w:spacing w:before="50" w:after="50"/>
              <w:jc w:val="right"/>
              <w:rPr>
                <w:rFonts w:eastAsia="Arial Bold"/>
              </w:rPr>
            </w:pPr>
            <w:r w:rsidRPr="00D604EE">
              <w:t>28,858.0</w:t>
            </w:r>
          </w:p>
        </w:tc>
        <w:tc>
          <w:tcPr>
            <w:tcW w:w="1134" w:type="dxa"/>
            <w:tcBorders>
              <w:top w:val="single" w:sz="4" w:space="0" w:color="1B556B"/>
              <w:bottom w:val="single" w:sz="4" w:space="0" w:color="1B556B"/>
            </w:tcBorders>
            <w:shd w:val="clear" w:color="auto" w:fill="auto"/>
          </w:tcPr>
          <w:p w14:paraId="3C2951A2" w14:textId="77777777" w:rsidR="00784FA9" w:rsidRPr="00D604EE" w:rsidRDefault="00784FA9" w:rsidP="007E3239">
            <w:pPr>
              <w:pStyle w:val="Tableboldblue"/>
              <w:spacing w:before="50" w:after="50"/>
              <w:jc w:val="right"/>
              <w:rPr>
                <w:rFonts w:eastAsia="Arial Bold"/>
              </w:rPr>
            </w:pPr>
            <w:r w:rsidRPr="00D604EE">
              <w:t>–12,424.3</w:t>
            </w:r>
          </w:p>
        </w:tc>
        <w:tc>
          <w:tcPr>
            <w:tcW w:w="1134" w:type="dxa"/>
            <w:tcBorders>
              <w:top w:val="single" w:sz="4" w:space="0" w:color="1B556B"/>
              <w:bottom w:val="single" w:sz="4" w:space="0" w:color="1B556B"/>
            </w:tcBorders>
            <w:shd w:val="clear" w:color="auto" w:fill="auto"/>
          </w:tcPr>
          <w:p w14:paraId="182D8CB8" w14:textId="77777777" w:rsidR="00784FA9" w:rsidRPr="00D604EE" w:rsidRDefault="00784FA9" w:rsidP="007E3239">
            <w:pPr>
              <w:pStyle w:val="Tableboldblue"/>
              <w:spacing w:before="50" w:after="50"/>
              <w:jc w:val="right"/>
              <w:rPr>
                <w:rFonts w:eastAsia="Arial Bold"/>
              </w:rPr>
            </w:pPr>
            <w:r w:rsidRPr="00D604EE">
              <w:t>214,548.4</w:t>
            </w:r>
          </w:p>
        </w:tc>
        <w:tc>
          <w:tcPr>
            <w:tcW w:w="1275" w:type="dxa"/>
            <w:tcBorders>
              <w:top w:val="single" w:sz="4" w:space="0" w:color="1B556B"/>
              <w:bottom w:val="single" w:sz="4" w:space="0" w:color="1B556B"/>
            </w:tcBorders>
            <w:shd w:val="clear" w:color="auto" w:fill="auto"/>
          </w:tcPr>
          <w:p w14:paraId="267C32A8" w14:textId="77777777" w:rsidR="00784FA9" w:rsidRPr="00D604EE" w:rsidRDefault="00784FA9" w:rsidP="007E3239">
            <w:pPr>
              <w:pStyle w:val="Tableboldblue"/>
              <w:spacing w:before="50" w:after="50"/>
              <w:jc w:val="right"/>
              <w:rPr>
                <w:rFonts w:eastAsia="Arial Bold"/>
              </w:rPr>
            </w:pPr>
            <w:r w:rsidRPr="00D604EE">
              <w:t>–786,677.5</w:t>
            </w:r>
          </w:p>
        </w:tc>
      </w:tr>
    </w:tbl>
    <w:p w14:paraId="4FC6356C" w14:textId="77777777" w:rsidR="00784FA9" w:rsidRPr="00D604EE" w:rsidRDefault="00784FA9" w:rsidP="00784FA9">
      <w:pPr>
        <w:pStyle w:val="Noteundertable"/>
      </w:pPr>
      <w:r w:rsidRPr="00D604EE">
        <w:rPr>
          <w:b/>
        </w:rPr>
        <w:t>Note:</w:t>
      </w:r>
      <w:r w:rsidRPr="00D604EE">
        <w:tab/>
        <w:t>Emissions associated with the conversion of forest are reported in the land use category the land is converted to. Columns may not total due to rounding.</w:t>
      </w:r>
    </w:p>
    <w:p w14:paraId="01FC4369" w14:textId="77777777" w:rsidR="00784FA9" w:rsidRPr="00D604EE" w:rsidRDefault="00784FA9" w:rsidP="00784FA9">
      <w:pPr>
        <w:pStyle w:val="BodyText"/>
        <w:spacing w:before="100" w:after="100"/>
      </w:pPr>
      <w:r w:rsidRPr="00D604EE">
        <w:t>New Zealand’s emissions profile in the LULUCF sector is predominantly influenced by plantation forestry. The rapid growth rates of plantation forest relative to natural forest, the timing of afforestation and harvesting cycles drive the emissions profile and will continue to do so in the future.</w:t>
      </w:r>
    </w:p>
    <w:p w14:paraId="45B2B816" w14:textId="77777777" w:rsidR="00784FA9" w:rsidRPr="00D604EE" w:rsidRDefault="00784FA9" w:rsidP="00784FA9">
      <w:pPr>
        <w:pStyle w:val="Heading3"/>
      </w:pPr>
      <w:bookmarkStart w:id="1550" w:name="_Toc255466330"/>
      <w:bookmarkStart w:id="1551" w:name="_Toc261513137"/>
      <w:bookmarkStart w:id="1552" w:name="_Toc261513750"/>
      <w:bookmarkStart w:id="1553" w:name="_Toc280630246"/>
      <w:bookmarkStart w:id="1554" w:name="_Toc373395712"/>
      <w:r w:rsidRPr="00D604EE">
        <w:lastRenderedPageBreak/>
        <w:t>6.3.2</w:t>
      </w:r>
      <w:r w:rsidRPr="00D604EE">
        <w:tab/>
        <w:t>Methodological issues</w:t>
      </w:r>
      <w:bookmarkEnd w:id="1550"/>
      <w:bookmarkEnd w:id="1551"/>
      <w:bookmarkEnd w:id="1552"/>
      <w:bookmarkEnd w:id="1553"/>
      <w:bookmarkEnd w:id="1554"/>
    </w:p>
    <w:p w14:paraId="744CEC86" w14:textId="77777777" w:rsidR="00784FA9" w:rsidRPr="00D604EE" w:rsidRDefault="00784FA9" w:rsidP="00784FA9">
      <w:pPr>
        <w:pStyle w:val="Heading5"/>
      </w:pPr>
      <w:bookmarkStart w:id="1555" w:name="_Hlk73696479"/>
      <w:r w:rsidRPr="00D604EE">
        <w:t>Afforestation/reforestation</w:t>
      </w:r>
    </w:p>
    <w:bookmarkEnd w:id="1555"/>
    <w:p w14:paraId="461ABAEE" w14:textId="77777777" w:rsidR="00784FA9" w:rsidRPr="00D604EE" w:rsidRDefault="00784FA9" w:rsidP="00784FA9">
      <w:pPr>
        <w:pStyle w:val="BodyText"/>
      </w:pPr>
      <w:r w:rsidRPr="00D604EE">
        <w:t>The area of afforestation and reforestation of planted and natural forests is derived from a combination of land use mapping, national statistics and forestry scheme data. Annual rates of afforestation/reforestation are shown in figure 6.3.1 and are influenced greatly by market and policy conditions at the time, as described in section 6.1.1 and chapter 11, section 11.3.2. Further details on how the area of afforestation is calculated are provided in annex A3.2.2.</w:t>
      </w:r>
    </w:p>
    <w:p w14:paraId="0A8205D2" w14:textId="77777777" w:rsidR="00784FA9" w:rsidRPr="00D604EE" w:rsidRDefault="00784FA9" w:rsidP="00784FA9">
      <w:pPr>
        <w:pStyle w:val="Figure"/>
        <w:spacing w:after="0"/>
      </w:pPr>
      <w:bookmarkStart w:id="1556" w:name="_Toc474914646"/>
      <w:bookmarkStart w:id="1557" w:name="_Toc481752028"/>
      <w:bookmarkStart w:id="1558" w:name="_Toc522010706"/>
      <w:bookmarkStart w:id="1559" w:name="_Toc5269709"/>
      <w:bookmarkStart w:id="1560" w:name="_Toc33529481"/>
      <w:bookmarkStart w:id="1561" w:name="_Toc36292811"/>
      <w:bookmarkStart w:id="1562" w:name="_Toc99696048"/>
      <w:r w:rsidRPr="00D604EE">
        <w:t>Figure 6.3.1</w:t>
      </w:r>
      <w:r w:rsidRPr="00D604EE">
        <w:tab/>
        <w:t>Annual areas of afforestation/reforestation in New Zealand from 1990 to 20</w:t>
      </w:r>
      <w:bookmarkEnd w:id="1556"/>
      <w:bookmarkEnd w:id="1557"/>
      <w:bookmarkEnd w:id="1558"/>
      <w:bookmarkEnd w:id="1559"/>
      <w:bookmarkEnd w:id="1560"/>
      <w:bookmarkEnd w:id="1561"/>
      <w:r w:rsidRPr="00D604EE">
        <w:t>20</w:t>
      </w:r>
      <w:bookmarkEnd w:id="1562"/>
    </w:p>
    <w:p w14:paraId="3925F619" w14:textId="430E5568" w:rsidR="00784FA9" w:rsidRPr="00D604EE" w:rsidRDefault="004B48CC" w:rsidP="00784FA9">
      <w:pPr>
        <w:pStyle w:val="BodyText"/>
      </w:pPr>
      <w:r>
        <w:rPr>
          <w:noProof/>
        </w:rPr>
        <w:pict w14:anchorId="5B5E1311">
          <v:shape id="_x0000_i1123" type="#_x0000_t75" style="width:425.3pt;height:277.9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">
            <v:imagedata r:id="rId202" o:title=""/>
          </v:shape>
        </w:pict>
      </w:r>
    </w:p>
    <w:p w14:paraId="005EE864" w14:textId="77777777" w:rsidR="00784FA9" w:rsidRPr="00D604EE" w:rsidRDefault="00784FA9" w:rsidP="00784FA9">
      <w:pPr>
        <w:pStyle w:val="Noteundertable"/>
      </w:pPr>
      <w:r w:rsidRPr="00D604EE">
        <w:rPr>
          <w:b/>
        </w:rPr>
        <w:t>Note:</w:t>
      </w:r>
      <w:r w:rsidRPr="00D604EE">
        <w:tab/>
        <w:t>Details on how the area of new forest establishment is calculated are provided in A3.2.2.</w:t>
      </w:r>
    </w:p>
    <w:p w14:paraId="5405E67F" w14:textId="77777777" w:rsidR="00784FA9" w:rsidRPr="00D604EE" w:rsidRDefault="00784FA9" w:rsidP="00784FA9">
      <w:pPr>
        <w:pStyle w:val="BodyText"/>
      </w:pPr>
      <w:r w:rsidRPr="00D604EE">
        <w:t>Post-1989 planted forests did not become a net sink until 1996 (see figure 6.3.2), when net removals from forest growth surpassed net emissions. These emissions were due to the loss of biomass in carbon stocks associated with the previous land use before conversion, in addition to the loss of soil carbon associated with a land-use change to forestry.</w:t>
      </w:r>
    </w:p>
    <w:p w14:paraId="01686963" w14:textId="77777777" w:rsidR="00784FA9" w:rsidRPr="00D604EE" w:rsidRDefault="00784FA9" w:rsidP="00784FA9">
      <w:pPr>
        <w:pStyle w:val="Figure"/>
        <w:spacing w:after="0"/>
      </w:pPr>
      <w:bookmarkStart w:id="1563" w:name="_Toc280630493"/>
      <w:bookmarkStart w:id="1564" w:name="_Toc318362751"/>
      <w:bookmarkStart w:id="1565" w:name="_Toc342470831"/>
      <w:bookmarkStart w:id="1566" w:name="_Toc352505159"/>
      <w:bookmarkStart w:id="1567" w:name="_Toc373395719"/>
      <w:bookmarkStart w:id="1568" w:name="_Toc378853342"/>
      <w:bookmarkStart w:id="1569" w:name="_Toc405448092"/>
      <w:bookmarkStart w:id="1570" w:name="_Toc414531624"/>
      <w:bookmarkStart w:id="1571" w:name="_Toc474914647"/>
      <w:bookmarkStart w:id="1572" w:name="_Toc481752029"/>
      <w:bookmarkStart w:id="1573" w:name="_Toc522010707"/>
      <w:bookmarkStart w:id="1574" w:name="_Toc5269710"/>
      <w:bookmarkStart w:id="1575" w:name="_Toc33529482"/>
      <w:bookmarkStart w:id="1576" w:name="_Toc36292812"/>
      <w:bookmarkStart w:id="1577" w:name="_Toc99696049"/>
      <w:r w:rsidRPr="00D604EE">
        <w:lastRenderedPageBreak/>
        <w:t>Figure 6.3.2</w:t>
      </w:r>
      <w:r w:rsidRPr="00D604EE">
        <w:tab/>
        <w:t>New Zealand’s net carbon dioxide removals by post-1989 planted forests from 1990 to </w:t>
      </w:r>
      <w:bookmarkEnd w:id="1563"/>
      <w:bookmarkEnd w:id="1564"/>
      <w:bookmarkEnd w:id="1565"/>
      <w:bookmarkEnd w:id="1566"/>
      <w:bookmarkEnd w:id="1567"/>
      <w:bookmarkEnd w:id="1568"/>
      <w:r w:rsidRPr="00D604EE">
        <w:t>20</w:t>
      </w:r>
      <w:bookmarkEnd w:id="1569"/>
      <w:bookmarkEnd w:id="1570"/>
      <w:bookmarkEnd w:id="1571"/>
      <w:bookmarkEnd w:id="1572"/>
      <w:bookmarkEnd w:id="1573"/>
      <w:bookmarkEnd w:id="1574"/>
      <w:bookmarkEnd w:id="1575"/>
      <w:bookmarkEnd w:id="1576"/>
      <w:r w:rsidRPr="00D604EE">
        <w:t>20</w:t>
      </w:r>
      <w:bookmarkEnd w:id="1577"/>
    </w:p>
    <w:p w14:paraId="1D9FB543" w14:textId="31A3383E" w:rsidR="00784FA9" w:rsidRPr="00D604EE" w:rsidRDefault="004B48CC" w:rsidP="00784FA9">
      <w:pPr>
        <w:pStyle w:val="BodyText"/>
        <w:spacing w:after="0"/>
        <w:jc w:val="center"/>
      </w:pPr>
      <w:r>
        <w:rPr>
          <w:noProof/>
        </w:rPr>
        <w:pict w14:anchorId="7C610900">
          <v:shape id="Chart 7" o:spid="_x0000_i1124" type="#_x0000_t75" style="width:400.2pt;height:252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">
            <v:imagedata r:id="rId203" o:title="" cropright="-16f"/>
          </v:shape>
        </w:pict>
      </w:r>
    </w:p>
    <w:p w14:paraId="12F98AF5" w14:textId="77777777" w:rsidR="00784FA9" w:rsidRPr="00D604EE" w:rsidRDefault="00784FA9" w:rsidP="00784FA9">
      <w:pPr>
        <w:pStyle w:val="Heading5"/>
        <w:spacing w:before="120"/>
      </w:pPr>
      <w:bookmarkStart w:id="1578" w:name="_Hlk73696492"/>
      <w:r w:rsidRPr="00D604EE">
        <w:t>Harvesting</w:t>
      </w:r>
      <w:bookmarkEnd w:id="1578"/>
    </w:p>
    <w:p w14:paraId="0A54A027" w14:textId="77777777" w:rsidR="00784FA9" w:rsidRPr="00D604EE" w:rsidRDefault="00784FA9" w:rsidP="00784FA9">
      <w:pPr>
        <w:pStyle w:val="BodyText"/>
        <w:spacing w:before="100" w:after="100"/>
      </w:pPr>
      <w:r w:rsidRPr="00D604EE">
        <w:t xml:space="preserve">The annual area harvested in both pre-1990 and post-1989 planted forest from 1990 to 2020 is shown in figure 6.3.3. The method used to calculate the harvest area is outlined in annex A3.2.5 ‘Calculation of harvest area’. Emissions from harvesting are dependent on the age of the forest being harvested. To accurately reflect the actual harvest ages that occur, and therefore the associated emissions, a harvest age profile is applied to the harvest area to determine the harvest area by age. Detailed methodology on how the harvest age profile is calculated for post-1989 planted forest and pre-1990 planted forest can be found in annex A3.2.5 ‘Calculation of harvest area by age and forest age profile’ and addresses ERT recommendation L.17/FCCC/ARR/2019/NZL. </w:t>
      </w:r>
    </w:p>
    <w:p w14:paraId="6B90AA68" w14:textId="77777777" w:rsidR="00784FA9" w:rsidRPr="00D604EE" w:rsidRDefault="00784FA9" w:rsidP="00784FA9">
      <w:pPr>
        <w:pStyle w:val="BodyText"/>
        <w:spacing w:before="100" w:after="100"/>
      </w:pPr>
      <w:r w:rsidRPr="00D604EE">
        <w:t xml:space="preserve">Only a minimal proportion of timber harvested is from the natural forest estate. In 2020, an estimated 0.03 per cent of New Zealand’s total forest timber production was from the harvesting of natural forests (calculated from Ministry for Primary Industries, 2021a). </w:t>
      </w:r>
    </w:p>
    <w:p w14:paraId="27E63CC0" w14:textId="77777777" w:rsidR="00784FA9" w:rsidRPr="00D604EE" w:rsidRDefault="00784FA9" w:rsidP="00784FA9">
      <w:pPr>
        <w:pStyle w:val="Figure"/>
        <w:spacing w:after="80"/>
      </w:pPr>
      <w:bookmarkStart w:id="1579" w:name="_Toc474914649"/>
      <w:bookmarkStart w:id="1580" w:name="_Toc481752031"/>
      <w:bookmarkStart w:id="1581" w:name="_Toc522010709"/>
      <w:bookmarkStart w:id="1582" w:name="_Toc5269711"/>
      <w:bookmarkStart w:id="1583" w:name="_Toc33529484"/>
      <w:bookmarkStart w:id="1584" w:name="_Toc36292814"/>
      <w:bookmarkStart w:id="1585" w:name="_Toc99696050"/>
      <w:r w:rsidRPr="00D604EE">
        <w:t>Figure 6.3.3</w:t>
      </w:r>
      <w:r w:rsidRPr="00D604EE">
        <w:tab/>
        <w:t>New Zealand’s area of planted forest harvest (inclusive of deforestation) from 1990</w:t>
      </w:r>
      <w:bookmarkEnd w:id="1579"/>
      <w:bookmarkEnd w:id="1580"/>
      <w:r w:rsidRPr="00D604EE">
        <w:t> to </w:t>
      </w:r>
      <w:bookmarkEnd w:id="1581"/>
      <w:bookmarkEnd w:id="1582"/>
      <w:bookmarkEnd w:id="1583"/>
      <w:bookmarkEnd w:id="1584"/>
      <w:r w:rsidRPr="00D604EE">
        <w:t>2020</w:t>
      </w:r>
      <w:bookmarkEnd w:id="1585"/>
    </w:p>
    <w:p w14:paraId="46B54F44" w14:textId="1E8A0C84" w:rsidR="00784FA9" w:rsidRPr="00D604EE" w:rsidRDefault="004B48CC" w:rsidP="00784FA9">
      <w:pPr>
        <w:pStyle w:val="BodyText"/>
        <w:spacing w:before="0"/>
        <w:jc w:val="center"/>
      </w:pPr>
      <w:r>
        <w:rPr>
          <w:noProof/>
        </w:rPr>
        <w:pict w14:anchorId="2E9B7FFE">
          <v:shape id="Picture 4" o:spid="_x0000_i1125" type="#_x0000_t75" style="width:385.95pt;height:205.95pt;visibility:visible;mso-wrap-style:square">
            <v:imagedata r:id="rId204" o:title="" croptop="2366f" cropbottom="6231f"/>
          </v:shape>
        </w:pict>
      </w:r>
    </w:p>
    <w:p w14:paraId="34AEC26A" w14:textId="77777777" w:rsidR="00784FA9" w:rsidRPr="00D604EE" w:rsidRDefault="00784FA9" w:rsidP="00784FA9">
      <w:pPr>
        <w:pStyle w:val="Heading5"/>
      </w:pPr>
      <w:bookmarkStart w:id="1586" w:name="_Hlk73696500"/>
      <w:r w:rsidRPr="00D604EE">
        <w:lastRenderedPageBreak/>
        <w:t>Deforestation</w:t>
      </w:r>
    </w:p>
    <w:bookmarkEnd w:id="1586"/>
    <w:p w14:paraId="2F6526C3" w14:textId="77777777" w:rsidR="00784FA9" w:rsidRPr="00D604EE" w:rsidRDefault="00784FA9" w:rsidP="00784FA9">
      <w:pPr>
        <w:pStyle w:val="BodyText"/>
      </w:pPr>
      <w:r w:rsidRPr="00D604EE">
        <w:t xml:space="preserve">In 2020, an estimated 2,506 hectares of </w:t>
      </w:r>
      <w:r w:rsidRPr="00D604EE">
        <w:rPr>
          <w:i/>
        </w:rPr>
        <w:t>Forest land</w:t>
      </w:r>
      <w:r w:rsidRPr="00D604EE">
        <w:t xml:space="preserve"> were converted to other land uses, primarily </w:t>
      </w:r>
      <w:r w:rsidRPr="00D604EE">
        <w:rPr>
          <w:i/>
        </w:rPr>
        <w:t>Grassland</w:t>
      </w:r>
      <w:r w:rsidRPr="00D604EE">
        <w:t xml:space="preserve">. Table 6.3.4 and figure 6.3.4 show the areas of </w:t>
      </w:r>
      <w:r w:rsidRPr="00D604EE">
        <w:rPr>
          <w:i/>
        </w:rPr>
        <w:t>Forest land</w:t>
      </w:r>
      <w:r w:rsidRPr="00D604EE">
        <w:t xml:space="preserve"> subject to deforestation in 2020 and since 1990. Figure 6.3.4 also illustrates how planted forest deforestation increased leading up to 2008 and decreased after the introduction of the NZ ETS in 2008.</w:t>
      </w:r>
    </w:p>
    <w:p w14:paraId="568CE0E7" w14:textId="77777777" w:rsidR="00784FA9" w:rsidRPr="00D604EE" w:rsidRDefault="00784FA9" w:rsidP="00784FA9">
      <w:pPr>
        <w:pStyle w:val="Table"/>
      </w:pPr>
      <w:bookmarkStart w:id="1587" w:name="_Toc280630455"/>
      <w:bookmarkStart w:id="1588" w:name="_Toc310423407"/>
      <w:bookmarkStart w:id="1589" w:name="_Toc318362700"/>
      <w:bookmarkStart w:id="1590" w:name="_Toc342470762"/>
      <w:bookmarkStart w:id="1591" w:name="_Toc352505002"/>
      <w:bookmarkStart w:id="1592" w:name="_Toc373395727"/>
      <w:bookmarkStart w:id="1593" w:name="_Toc378853293"/>
      <w:bookmarkStart w:id="1594" w:name="_Toc391024091"/>
      <w:bookmarkStart w:id="1595" w:name="_Toc410028834"/>
      <w:bookmarkStart w:id="1596" w:name="_Toc414531462"/>
      <w:bookmarkStart w:id="1597" w:name="_Toc443645375"/>
      <w:bookmarkStart w:id="1598" w:name="_Toc474914594"/>
      <w:bookmarkStart w:id="1599" w:name="_Toc481751558"/>
      <w:bookmarkStart w:id="1600" w:name="_Toc522010615"/>
      <w:bookmarkStart w:id="1601" w:name="_Toc5269520"/>
      <w:bookmarkStart w:id="1602" w:name="_Toc33529394"/>
      <w:bookmarkStart w:id="1603" w:name="_Toc36224600"/>
      <w:bookmarkStart w:id="1604" w:name="_Toc99659283"/>
      <w:r w:rsidRPr="00D604EE">
        <w:t>Table 6.3.4</w:t>
      </w:r>
      <w:r w:rsidRPr="00D604EE">
        <w:tab/>
        <w:t xml:space="preserve">New Zealand’s </w:t>
      </w:r>
      <w:r w:rsidRPr="00D604EE">
        <w:rPr>
          <w:i/>
        </w:rPr>
        <w:t xml:space="preserve">Forest land </w:t>
      </w:r>
      <w:r w:rsidRPr="00D604EE">
        <w:t>subject to deforestation</w:t>
      </w:r>
      <w:bookmarkEnd w:id="1587"/>
      <w:bookmarkEnd w:id="1588"/>
      <w:bookmarkEnd w:id="1589"/>
      <w:bookmarkEnd w:id="1590"/>
      <w:bookmarkEnd w:id="1591"/>
      <w:bookmarkEnd w:id="1592"/>
      <w:bookmarkEnd w:id="1593"/>
      <w:bookmarkEnd w:id="1594"/>
      <w:bookmarkEnd w:id="1595"/>
      <w:r w:rsidRPr="00D604EE">
        <w:t xml:space="preserve">, 1990 and </w:t>
      </w:r>
      <w:bookmarkEnd w:id="1596"/>
      <w:bookmarkEnd w:id="1597"/>
      <w:bookmarkEnd w:id="1598"/>
      <w:bookmarkEnd w:id="1599"/>
      <w:bookmarkEnd w:id="1600"/>
      <w:bookmarkEnd w:id="1601"/>
      <w:bookmarkEnd w:id="1602"/>
      <w:bookmarkEnd w:id="1603"/>
      <w:r w:rsidRPr="00D604EE">
        <w:t>2020</w:t>
      </w:r>
      <w:bookmarkEnd w:id="1604"/>
    </w:p>
    <w:tbl>
      <w:tblPr>
        <w:tblW w:w="8505" w:type="dxa"/>
        <w:tblInd w:w="108" w:type="dxa"/>
        <w:tblLook w:val="04A0" w:firstRow="1" w:lastRow="0" w:firstColumn="1" w:lastColumn="0" w:noHBand="0" w:noVBand="1"/>
      </w:tblPr>
      <w:tblGrid>
        <w:gridCol w:w="1843"/>
        <w:gridCol w:w="1326"/>
        <w:gridCol w:w="1272"/>
        <w:gridCol w:w="1494"/>
        <w:gridCol w:w="1011"/>
        <w:gridCol w:w="1559"/>
      </w:tblGrid>
      <w:tr w:rsidR="00784FA9" w:rsidRPr="00D604EE" w14:paraId="303E86F6" w14:textId="77777777" w:rsidTr="007E3239">
        <w:tc>
          <w:tcPr>
            <w:tcW w:w="1843" w:type="dxa"/>
            <w:vMerge w:val="restart"/>
            <w:tcBorders>
              <w:top w:val="single" w:sz="4" w:space="0" w:color="1B556B"/>
            </w:tcBorders>
            <w:shd w:val="clear" w:color="auto" w:fill="1B556B"/>
            <w:vAlign w:val="bottom"/>
          </w:tcPr>
          <w:p w14:paraId="759CE47E" w14:textId="77777777" w:rsidR="00784FA9" w:rsidRPr="00D604EE" w:rsidRDefault="00784FA9" w:rsidP="007E3239">
            <w:pPr>
              <w:pStyle w:val="TableTextBold"/>
              <w:keepNext/>
              <w:spacing w:before="40" w:after="40"/>
              <w:rPr>
                <w:noProof w:val="0"/>
                <w:color w:val="FFFFFF"/>
              </w:rPr>
            </w:pPr>
            <w:r w:rsidRPr="00D604EE">
              <w:rPr>
                <w:noProof w:val="0"/>
                <w:color w:val="FFFFFF"/>
              </w:rPr>
              <w:t>Land use</w:t>
            </w:r>
          </w:p>
        </w:tc>
        <w:tc>
          <w:tcPr>
            <w:tcW w:w="1326" w:type="dxa"/>
            <w:vMerge w:val="restart"/>
            <w:tcBorders>
              <w:top w:val="single" w:sz="4" w:space="0" w:color="1B556B"/>
            </w:tcBorders>
            <w:shd w:val="clear" w:color="auto" w:fill="1B556B"/>
            <w:vAlign w:val="bottom"/>
          </w:tcPr>
          <w:p w14:paraId="1EF6A92A" w14:textId="77777777" w:rsidR="00784FA9" w:rsidRPr="00D604EE" w:rsidRDefault="00784FA9" w:rsidP="007E3239">
            <w:pPr>
              <w:pStyle w:val="TableTextBold"/>
              <w:keepNext/>
              <w:spacing w:before="40" w:after="40"/>
              <w:jc w:val="right"/>
              <w:rPr>
                <w:noProof w:val="0"/>
                <w:color w:val="FFFFFF"/>
              </w:rPr>
            </w:pPr>
            <w:r w:rsidRPr="00D604EE">
              <w:rPr>
                <w:noProof w:val="0"/>
                <w:color w:val="FFFFFF"/>
              </w:rPr>
              <w:t>Area of forest in 1990 (ha)</w:t>
            </w:r>
          </w:p>
        </w:tc>
        <w:tc>
          <w:tcPr>
            <w:tcW w:w="2766" w:type="dxa"/>
            <w:gridSpan w:val="2"/>
            <w:tcBorders>
              <w:top w:val="single" w:sz="4" w:space="0" w:color="1B556B"/>
            </w:tcBorders>
            <w:shd w:val="clear" w:color="auto" w:fill="1B556B"/>
            <w:vAlign w:val="bottom"/>
          </w:tcPr>
          <w:p w14:paraId="77C47F9B" w14:textId="77777777" w:rsidR="00784FA9" w:rsidRPr="00D604EE" w:rsidRDefault="00784FA9" w:rsidP="007E3239">
            <w:pPr>
              <w:pStyle w:val="TableTextBold"/>
              <w:keepNext/>
              <w:spacing w:before="40" w:after="40"/>
              <w:jc w:val="center"/>
              <w:rPr>
                <w:noProof w:val="0"/>
                <w:color w:val="FFFFFF"/>
              </w:rPr>
            </w:pPr>
            <w:r w:rsidRPr="00D604EE">
              <w:rPr>
                <w:noProof w:val="0"/>
                <w:color w:val="FFFFFF"/>
              </w:rPr>
              <w:t>Deforestation since 1990</w:t>
            </w:r>
          </w:p>
        </w:tc>
        <w:tc>
          <w:tcPr>
            <w:tcW w:w="2570" w:type="dxa"/>
            <w:gridSpan w:val="2"/>
            <w:tcBorders>
              <w:top w:val="single" w:sz="4" w:space="0" w:color="1B556B"/>
            </w:tcBorders>
            <w:shd w:val="clear" w:color="auto" w:fill="1B556B"/>
            <w:vAlign w:val="bottom"/>
          </w:tcPr>
          <w:p w14:paraId="486044DC" w14:textId="77777777" w:rsidR="00784FA9" w:rsidRPr="00D604EE" w:rsidRDefault="00784FA9" w:rsidP="007E3239">
            <w:pPr>
              <w:pStyle w:val="TableTextBold"/>
              <w:keepNext/>
              <w:spacing w:before="40" w:after="40"/>
              <w:jc w:val="center"/>
              <w:rPr>
                <w:noProof w:val="0"/>
                <w:color w:val="FFFFFF"/>
              </w:rPr>
            </w:pPr>
            <w:r w:rsidRPr="00D604EE">
              <w:rPr>
                <w:noProof w:val="0"/>
                <w:color w:val="FFFFFF"/>
              </w:rPr>
              <w:t>Deforestation in 2020</w:t>
            </w:r>
          </w:p>
        </w:tc>
      </w:tr>
      <w:tr w:rsidR="00784FA9" w:rsidRPr="00D604EE" w14:paraId="67D8E1E9" w14:textId="77777777" w:rsidTr="007E3239">
        <w:tc>
          <w:tcPr>
            <w:tcW w:w="1843" w:type="dxa"/>
            <w:vMerge/>
            <w:tcBorders>
              <w:bottom w:val="single" w:sz="4" w:space="0" w:color="1B556B"/>
            </w:tcBorders>
            <w:shd w:val="clear" w:color="auto" w:fill="1B556B"/>
            <w:vAlign w:val="bottom"/>
          </w:tcPr>
          <w:p w14:paraId="69CC5971" w14:textId="77777777" w:rsidR="00784FA9" w:rsidRPr="00D604EE" w:rsidRDefault="00784FA9" w:rsidP="007E3239">
            <w:pPr>
              <w:pStyle w:val="TableTextBold"/>
              <w:keepNext/>
              <w:spacing w:before="40" w:after="40"/>
              <w:jc w:val="center"/>
              <w:rPr>
                <w:noProof w:val="0"/>
                <w:color w:val="FFFFFF"/>
              </w:rPr>
            </w:pPr>
          </w:p>
        </w:tc>
        <w:tc>
          <w:tcPr>
            <w:tcW w:w="1326" w:type="dxa"/>
            <w:vMerge/>
            <w:tcBorders>
              <w:bottom w:val="single" w:sz="4" w:space="0" w:color="1B556B"/>
            </w:tcBorders>
            <w:shd w:val="clear" w:color="auto" w:fill="1B556B"/>
            <w:vAlign w:val="bottom"/>
          </w:tcPr>
          <w:p w14:paraId="5F90283A" w14:textId="77777777" w:rsidR="00784FA9" w:rsidRPr="00D604EE" w:rsidRDefault="00784FA9" w:rsidP="007E3239">
            <w:pPr>
              <w:pStyle w:val="TableTextBold"/>
              <w:keepNext/>
              <w:spacing w:before="40" w:after="40"/>
              <w:jc w:val="right"/>
              <w:rPr>
                <w:noProof w:val="0"/>
                <w:color w:val="FFFFFF"/>
              </w:rPr>
            </w:pPr>
          </w:p>
        </w:tc>
        <w:tc>
          <w:tcPr>
            <w:tcW w:w="1272" w:type="dxa"/>
            <w:tcBorders>
              <w:bottom w:val="single" w:sz="4" w:space="0" w:color="1B556B"/>
            </w:tcBorders>
            <w:shd w:val="clear" w:color="auto" w:fill="1B556B"/>
            <w:vAlign w:val="bottom"/>
          </w:tcPr>
          <w:p w14:paraId="386433A7" w14:textId="77777777" w:rsidR="00784FA9" w:rsidRPr="00D604EE" w:rsidRDefault="00784FA9" w:rsidP="007E3239">
            <w:pPr>
              <w:pStyle w:val="TableTextBold"/>
              <w:keepNext/>
              <w:spacing w:before="40" w:after="40"/>
              <w:jc w:val="right"/>
              <w:rPr>
                <w:noProof w:val="0"/>
                <w:color w:val="FFFFFF"/>
              </w:rPr>
            </w:pPr>
            <w:r w:rsidRPr="00D604EE">
              <w:rPr>
                <w:noProof w:val="0"/>
                <w:color w:val="FFFFFF"/>
              </w:rPr>
              <w:t xml:space="preserve">Deforestation since 1990 </w:t>
            </w:r>
            <w:r w:rsidRPr="00D604EE">
              <w:rPr>
                <w:noProof w:val="0"/>
                <w:color w:val="FFFFFF"/>
              </w:rPr>
              <w:br/>
              <w:t>Area (ha)</w:t>
            </w:r>
          </w:p>
        </w:tc>
        <w:tc>
          <w:tcPr>
            <w:tcW w:w="1494" w:type="dxa"/>
            <w:tcBorders>
              <w:bottom w:val="single" w:sz="4" w:space="0" w:color="1B556B"/>
            </w:tcBorders>
            <w:shd w:val="clear" w:color="auto" w:fill="1B556B"/>
            <w:vAlign w:val="bottom"/>
          </w:tcPr>
          <w:p w14:paraId="771E6DCC" w14:textId="77777777" w:rsidR="00784FA9" w:rsidRPr="00D604EE" w:rsidRDefault="00784FA9" w:rsidP="007E3239">
            <w:pPr>
              <w:pStyle w:val="TableTextBold"/>
              <w:keepNext/>
              <w:spacing w:before="40" w:after="40"/>
              <w:jc w:val="right"/>
              <w:rPr>
                <w:noProof w:val="0"/>
                <w:color w:val="FFFFFF"/>
              </w:rPr>
            </w:pPr>
            <w:r w:rsidRPr="00D604EE">
              <w:rPr>
                <w:noProof w:val="0"/>
                <w:color w:val="FFFFFF"/>
              </w:rPr>
              <w:t>Proportion of 1990 area (%)</w:t>
            </w:r>
          </w:p>
        </w:tc>
        <w:tc>
          <w:tcPr>
            <w:tcW w:w="1011" w:type="dxa"/>
            <w:tcBorders>
              <w:bottom w:val="single" w:sz="4" w:space="0" w:color="1B556B"/>
            </w:tcBorders>
            <w:shd w:val="clear" w:color="auto" w:fill="1B556B"/>
            <w:vAlign w:val="bottom"/>
          </w:tcPr>
          <w:p w14:paraId="65672D08" w14:textId="77777777" w:rsidR="00784FA9" w:rsidRPr="00D604EE" w:rsidRDefault="00784FA9" w:rsidP="007E3239">
            <w:pPr>
              <w:pStyle w:val="TableTextBold"/>
              <w:keepNext/>
              <w:spacing w:before="40" w:after="40"/>
              <w:jc w:val="right"/>
              <w:rPr>
                <w:noProof w:val="0"/>
                <w:color w:val="FFFFFF"/>
              </w:rPr>
            </w:pPr>
            <w:r w:rsidRPr="00D604EE">
              <w:rPr>
                <w:noProof w:val="0"/>
                <w:color w:val="FFFFFF"/>
              </w:rPr>
              <w:t>Area (ha)</w:t>
            </w:r>
          </w:p>
        </w:tc>
        <w:tc>
          <w:tcPr>
            <w:tcW w:w="1559" w:type="dxa"/>
            <w:tcBorders>
              <w:bottom w:val="single" w:sz="4" w:space="0" w:color="1B556B"/>
            </w:tcBorders>
            <w:shd w:val="clear" w:color="auto" w:fill="1B556B"/>
            <w:vAlign w:val="bottom"/>
          </w:tcPr>
          <w:p w14:paraId="42378AE9" w14:textId="77777777" w:rsidR="00784FA9" w:rsidRPr="00D604EE" w:rsidRDefault="00784FA9" w:rsidP="007E3239">
            <w:pPr>
              <w:pStyle w:val="TableTextBold"/>
              <w:keepNext/>
              <w:spacing w:before="40" w:after="40"/>
              <w:jc w:val="right"/>
              <w:rPr>
                <w:noProof w:val="0"/>
                <w:color w:val="FFFFFF"/>
              </w:rPr>
            </w:pPr>
            <w:r w:rsidRPr="00D604EE">
              <w:rPr>
                <w:noProof w:val="0"/>
                <w:color w:val="FFFFFF"/>
              </w:rPr>
              <w:t>Proportion of 1990 area (%)</w:t>
            </w:r>
          </w:p>
        </w:tc>
      </w:tr>
      <w:tr w:rsidR="00784FA9" w:rsidRPr="00D604EE" w14:paraId="051F2546" w14:textId="77777777" w:rsidTr="007E3239">
        <w:tc>
          <w:tcPr>
            <w:tcW w:w="1843" w:type="dxa"/>
            <w:tcBorders>
              <w:top w:val="single" w:sz="4" w:space="0" w:color="1B556B"/>
              <w:bottom w:val="single" w:sz="4" w:space="0" w:color="1B556B"/>
            </w:tcBorders>
          </w:tcPr>
          <w:p w14:paraId="065F9C9D" w14:textId="77777777" w:rsidR="00784FA9" w:rsidRPr="00D604EE" w:rsidRDefault="00784FA9" w:rsidP="007E3239">
            <w:pPr>
              <w:pStyle w:val="TableText"/>
              <w:spacing w:before="40" w:after="40"/>
            </w:pPr>
            <w:r w:rsidRPr="00D604EE">
              <w:t>Pre-1990 natural forest</w:t>
            </w:r>
          </w:p>
        </w:tc>
        <w:tc>
          <w:tcPr>
            <w:tcW w:w="1326" w:type="dxa"/>
            <w:tcBorders>
              <w:top w:val="single" w:sz="4" w:space="0" w:color="1B556B"/>
              <w:bottom w:val="single" w:sz="4" w:space="0" w:color="1B556B"/>
            </w:tcBorders>
          </w:tcPr>
          <w:p w14:paraId="1D07D4E8" w14:textId="77777777" w:rsidR="00784FA9" w:rsidRPr="00D604EE" w:rsidRDefault="00784FA9" w:rsidP="007E3239">
            <w:pPr>
              <w:pStyle w:val="TableText"/>
              <w:spacing w:before="40" w:after="40"/>
              <w:jc w:val="right"/>
            </w:pPr>
            <w:r w:rsidRPr="00D604EE">
              <w:t>7,822,761</w:t>
            </w:r>
          </w:p>
        </w:tc>
        <w:tc>
          <w:tcPr>
            <w:tcW w:w="1272" w:type="dxa"/>
            <w:tcBorders>
              <w:top w:val="single" w:sz="4" w:space="0" w:color="1B556B"/>
              <w:bottom w:val="single" w:sz="4" w:space="0" w:color="1B556B"/>
            </w:tcBorders>
          </w:tcPr>
          <w:p w14:paraId="507F7FA7" w14:textId="77777777" w:rsidR="00784FA9" w:rsidRPr="00D604EE" w:rsidRDefault="00784FA9" w:rsidP="007E3239">
            <w:pPr>
              <w:pStyle w:val="TableText"/>
              <w:spacing w:before="40" w:after="40"/>
              <w:jc w:val="right"/>
            </w:pPr>
            <w:r w:rsidRPr="00D604EE">
              <w:t>47,210</w:t>
            </w:r>
          </w:p>
        </w:tc>
        <w:tc>
          <w:tcPr>
            <w:tcW w:w="1494" w:type="dxa"/>
            <w:tcBorders>
              <w:top w:val="single" w:sz="4" w:space="0" w:color="1B556B"/>
              <w:bottom w:val="single" w:sz="4" w:space="0" w:color="1B556B"/>
            </w:tcBorders>
          </w:tcPr>
          <w:p w14:paraId="46510C6C" w14:textId="77777777" w:rsidR="00784FA9" w:rsidRPr="00D604EE" w:rsidRDefault="00784FA9" w:rsidP="007E3239">
            <w:pPr>
              <w:pStyle w:val="TableText"/>
              <w:spacing w:before="40" w:after="40"/>
              <w:jc w:val="right"/>
            </w:pPr>
            <w:r w:rsidRPr="00D604EE">
              <w:t>0.60</w:t>
            </w:r>
          </w:p>
        </w:tc>
        <w:tc>
          <w:tcPr>
            <w:tcW w:w="1011" w:type="dxa"/>
            <w:tcBorders>
              <w:top w:val="single" w:sz="4" w:space="0" w:color="1B556B"/>
              <w:bottom w:val="single" w:sz="4" w:space="0" w:color="1B556B"/>
            </w:tcBorders>
          </w:tcPr>
          <w:p w14:paraId="2E567483" w14:textId="77777777" w:rsidR="00784FA9" w:rsidRPr="00D604EE" w:rsidRDefault="00784FA9" w:rsidP="007E3239">
            <w:pPr>
              <w:pStyle w:val="TableText"/>
              <w:spacing w:before="40" w:after="40"/>
              <w:jc w:val="right"/>
            </w:pPr>
            <w:r w:rsidRPr="00D604EE">
              <w:t>781</w:t>
            </w:r>
          </w:p>
        </w:tc>
        <w:tc>
          <w:tcPr>
            <w:tcW w:w="1559" w:type="dxa"/>
            <w:tcBorders>
              <w:top w:val="single" w:sz="4" w:space="0" w:color="1B556B"/>
              <w:bottom w:val="single" w:sz="4" w:space="0" w:color="1B556B"/>
            </w:tcBorders>
          </w:tcPr>
          <w:p w14:paraId="45C080EF" w14:textId="77777777" w:rsidR="00784FA9" w:rsidRPr="00D604EE" w:rsidRDefault="00784FA9" w:rsidP="007E3239">
            <w:pPr>
              <w:pStyle w:val="TableText"/>
              <w:spacing w:before="40" w:after="40"/>
              <w:jc w:val="right"/>
            </w:pPr>
            <w:r w:rsidRPr="00D604EE">
              <w:t>0.01</w:t>
            </w:r>
          </w:p>
        </w:tc>
      </w:tr>
      <w:tr w:rsidR="00784FA9" w:rsidRPr="00D604EE" w14:paraId="1AE29DF1" w14:textId="77777777" w:rsidTr="007E3239">
        <w:tc>
          <w:tcPr>
            <w:tcW w:w="1843" w:type="dxa"/>
            <w:tcBorders>
              <w:top w:val="single" w:sz="4" w:space="0" w:color="1B556B"/>
              <w:bottom w:val="single" w:sz="4" w:space="0" w:color="1B556B"/>
            </w:tcBorders>
          </w:tcPr>
          <w:p w14:paraId="16E596BE" w14:textId="77777777" w:rsidR="00784FA9" w:rsidRPr="00D604EE" w:rsidRDefault="00784FA9" w:rsidP="007E3239">
            <w:pPr>
              <w:pStyle w:val="TableText"/>
              <w:spacing w:before="40" w:after="40"/>
            </w:pPr>
            <w:r w:rsidRPr="00D604EE">
              <w:t>Pre-1990 planted forest</w:t>
            </w:r>
          </w:p>
        </w:tc>
        <w:tc>
          <w:tcPr>
            <w:tcW w:w="1326" w:type="dxa"/>
            <w:tcBorders>
              <w:top w:val="single" w:sz="4" w:space="0" w:color="1B556B"/>
              <w:bottom w:val="single" w:sz="4" w:space="0" w:color="1B556B"/>
            </w:tcBorders>
          </w:tcPr>
          <w:p w14:paraId="00D4C63A" w14:textId="77777777" w:rsidR="00784FA9" w:rsidRPr="00D604EE" w:rsidRDefault="00784FA9" w:rsidP="007E3239">
            <w:pPr>
              <w:pStyle w:val="TableText"/>
              <w:spacing w:before="40" w:after="40"/>
              <w:jc w:val="right"/>
              <w:rPr>
                <w:i/>
                <w:iCs/>
                <w:szCs w:val="24"/>
              </w:rPr>
            </w:pPr>
            <w:r w:rsidRPr="00D604EE">
              <w:t>1,546,415</w:t>
            </w:r>
          </w:p>
        </w:tc>
        <w:tc>
          <w:tcPr>
            <w:tcW w:w="1272" w:type="dxa"/>
            <w:tcBorders>
              <w:top w:val="single" w:sz="4" w:space="0" w:color="1B556B"/>
              <w:bottom w:val="single" w:sz="4" w:space="0" w:color="1B556B"/>
            </w:tcBorders>
          </w:tcPr>
          <w:p w14:paraId="7DC55251" w14:textId="77777777" w:rsidR="00784FA9" w:rsidRPr="00D604EE" w:rsidRDefault="00784FA9" w:rsidP="007E3239">
            <w:pPr>
              <w:pStyle w:val="TableText"/>
              <w:spacing w:before="40" w:after="40"/>
              <w:jc w:val="right"/>
              <w:rPr>
                <w:bCs/>
                <w:i/>
                <w:iCs/>
                <w:szCs w:val="24"/>
              </w:rPr>
            </w:pPr>
            <w:r w:rsidRPr="00D604EE">
              <w:t>131,859</w:t>
            </w:r>
          </w:p>
        </w:tc>
        <w:tc>
          <w:tcPr>
            <w:tcW w:w="1494" w:type="dxa"/>
            <w:tcBorders>
              <w:top w:val="single" w:sz="4" w:space="0" w:color="1B556B"/>
              <w:bottom w:val="single" w:sz="4" w:space="0" w:color="1B556B"/>
            </w:tcBorders>
          </w:tcPr>
          <w:p w14:paraId="15F3F6EC" w14:textId="77777777" w:rsidR="00784FA9" w:rsidRPr="00D604EE" w:rsidRDefault="00784FA9" w:rsidP="007E3239">
            <w:pPr>
              <w:pStyle w:val="TableText"/>
              <w:spacing w:before="40" w:after="40"/>
              <w:jc w:val="right"/>
              <w:rPr>
                <w:bCs/>
                <w:i/>
                <w:iCs/>
                <w:szCs w:val="24"/>
              </w:rPr>
            </w:pPr>
            <w:r w:rsidRPr="00D604EE">
              <w:t>8.53</w:t>
            </w:r>
          </w:p>
        </w:tc>
        <w:tc>
          <w:tcPr>
            <w:tcW w:w="1011" w:type="dxa"/>
            <w:tcBorders>
              <w:top w:val="single" w:sz="4" w:space="0" w:color="1B556B"/>
              <w:bottom w:val="single" w:sz="4" w:space="0" w:color="1B556B"/>
            </w:tcBorders>
          </w:tcPr>
          <w:p w14:paraId="4B5486BD" w14:textId="77777777" w:rsidR="00784FA9" w:rsidRPr="00D604EE" w:rsidRDefault="00784FA9" w:rsidP="007E3239">
            <w:pPr>
              <w:pStyle w:val="TableText"/>
              <w:spacing w:before="40" w:after="40"/>
              <w:jc w:val="right"/>
              <w:rPr>
                <w:bCs/>
                <w:i/>
                <w:iCs/>
                <w:szCs w:val="24"/>
              </w:rPr>
            </w:pPr>
            <w:r w:rsidRPr="00D604EE">
              <w:t>984</w:t>
            </w:r>
          </w:p>
        </w:tc>
        <w:tc>
          <w:tcPr>
            <w:tcW w:w="1559" w:type="dxa"/>
            <w:tcBorders>
              <w:top w:val="single" w:sz="4" w:space="0" w:color="1B556B"/>
              <w:bottom w:val="single" w:sz="4" w:space="0" w:color="1B556B"/>
            </w:tcBorders>
          </w:tcPr>
          <w:p w14:paraId="04C1D3AF" w14:textId="77777777" w:rsidR="00784FA9" w:rsidRPr="00D604EE" w:rsidRDefault="00784FA9" w:rsidP="007E3239">
            <w:pPr>
              <w:pStyle w:val="TableText"/>
              <w:spacing w:before="40" w:after="40"/>
              <w:jc w:val="right"/>
              <w:rPr>
                <w:bCs/>
                <w:i/>
                <w:iCs/>
                <w:szCs w:val="24"/>
              </w:rPr>
            </w:pPr>
            <w:r w:rsidRPr="00D604EE">
              <w:t>0.06</w:t>
            </w:r>
          </w:p>
        </w:tc>
      </w:tr>
      <w:tr w:rsidR="00784FA9" w:rsidRPr="00D604EE" w14:paraId="3E4FAD92" w14:textId="77777777" w:rsidTr="007E3239">
        <w:tc>
          <w:tcPr>
            <w:tcW w:w="1843" w:type="dxa"/>
            <w:tcBorders>
              <w:top w:val="single" w:sz="4" w:space="0" w:color="1B556B"/>
              <w:bottom w:val="single" w:sz="4" w:space="0" w:color="1B556B"/>
            </w:tcBorders>
          </w:tcPr>
          <w:p w14:paraId="02D1F754" w14:textId="77777777" w:rsidR="00784FA9" w:rsidRPr="00D604EE" w:rsidRDefault="00784FA9" w:rsidP="007E3239">
            <w:pPr>
              <w:pStyle w:val="TableText"/>
              <w:spacing w:before="40" w:after="40"/>
            </w:pPr>
            <w:r w:rsidRPr="00D604EE">
              <w:t>Post-1989 planted forest</w:t>
            </w:r>
          </w:p>
        </w:tc>
        <w:tc>
          <w:tcPr>
            <w:tcW w:w="1326" w:type="dxa"/>
            <w:tcBorders>
              <w:top w:val="single" w:sz="4" w:space="0" w:color="1B556B"/>
              <w:bottom w:val="single" w:sz="4" w:space="0" w:color="1B556B"/>
            </w:tcBorders>
          </w:tcPr>
          <w:p w14:paraId="4C09FDA6" w14:textId="77777777" w:rsidR="00784FA9" w:rsidRPr="00D604EE" w:rsidRDefault="00784FA9" w:rsidP="007E3239">
            <w:pPr>
              <w:pStyle w:val="TableText"/>
              <w:spacing w:before="40" w:after="40"/>
              <w:jc w:val="right"/>
              <w:rPr>
                <w:szCs w:val="24"/>
              </w:rPr>
            </w:pPr>
            <w:r w:rsidRPr="00D604EE">
              <w:t>0</w:t>
            </w:r>
          </w:p>
        </w:tc>
        <w:tc>
          <w:tcPr>
            <w:tcW w:w="1272" w:type="dxa"/>
            <w:tcBorders>
              <w:top w:val="single" w:sz="4" w:space="0" w:color="1B556B"/>
              <w:bottom w:val="single" w:sz="4" w:space="0" w:color="1B556B"/>
            </w:tcBorders>
          </w:tcPr>
          <w:p w14:paraId="3654A29F" w14:textId="77777777" w:rsidR="00784FA9" w:rsidRPr="00D604EE" w:rsidRDefault="00784FA9" w:rsidP="007E3239">
            <w:pPr>
              <w:pStyle w:val="TableText"/>
              <w:spacing w:before="40" w:after="40"/>
              <w:jc w:val="right"/>
              <w:rPr>
                <w:i/>
                <w:iCs/>
                <w:szCs w:val="24"/>
              </w:rPr>
            </w:pPr>
            <w:r w:rsidRPr="00D604EE">
              <w:t>37,739</w:t>
            </w:r>
          </w:p>
        </w:tc>
        <w:tc>
          <w:tcPr>
            <w:tcW w:w="1494" w:type="dxa"/>
            <w:tcBorders>
              <w:top w:val="single" w:sz="4" w:space="0" w:color="1B556B"/>
              <w:bottom w:val="single" w:sz="4" w:space="0" w:color="1B556B"/>
            </w:tcBorders>
          </w:tcPr>
          <w:p w14:paraId="67EF8C05" w14:textId="77777777" w:rsidR="00784FA9" w:rsidRPr="00D604EE" w:rsidRDefault="00784FA9" w:rsidP="007E3239">
            <w:pPr>
              <w:pStyle w:val="TableText"/>
              <w:spacing w:before="40" w:after="40"/>
              <w:jc w:val="right"/>
              <w:rPr>
                <w:i/>
              </w:rPr>
            </w:pPr>
            <w:r w:rsidRPr="00D604EE">
              <w:t>NA</w:t>
            </w:r>
          </w:p>
        </w:tc>
        <w:tc>
          <w:tcPr>
            <w:tcW w:w="1011" w:type="dxa"/>
            <w:tcBorders>
              <w:top w:val="single" w:sz="4" w:space="0" w:color="1B556B"/>
              <w:bottom w:val="single" w:sz="4" w:space="0" w:color="1B556B"/>
            </w:tcBorders>
          </w:tcPr>
          <w:p w14:paraId="6BDB88FC" w14:textId="77777777" w:rsidR="00784FA9" w:rsidRPr="00D604EE" w:rsidRDefault="00784FA9" w:rsidP="007E3239">
            <w:pPr>
              <w:pStyle w:val="TableText"/>
              <w:spacing w:before="40" w:after="40"/>
              <w:jc w:val="right"/>
              <w:rPr>
                <w:i/>
                <w:iCs/>
                <w:szCs w:val="24"/>
              </w:rPr>
            </w:pPr>
            <w:r w:rsidRPr="00D604EE">
              <w:t>617</w:t>
            </w:r>
          </w:p>
        </w:tc>
        <w:tc>
          <w:tcPr>
            <w:tcW w:w="1559" w:type="dxa"/>
            <w:tcBorders>
              <w:top w:val="single" w:sz="4" w:space="0" w:color="1B556B"/>
              <w:bottom w:val="single" w:sz="4" w:space="0" w:color="1B556B"/>
            </w:tcBorders>
          </w:tcPr>
          <w:p w14:paraId="60231E56" w14:textId="77777777" w:rsidR="00784FA9" w:rsidRPr="00D604EE" w:rsidRDefault="00784FA9" w:rsidP="007E3239">
            <w:pPr>
              <w:pStyle w:val="TableText"/>
              <w:spacing w:before="40" w:after="40"/>
              <w:jc w:val="right"/>
              <w:rPr>
                <w:i/>
              </w:rPr>
            </w:pPr>
            <w:r w:rsidRPr="00D604EE">
              <w:t>NA</w:t>
            </w:r>
          </w:p>
        </w:tc>
      </w:tr>
      <w:tr w:rsidR="00784FA9" w:rsidRPr="00D604EE" w14:paraId="6C250440" w14:textId="77777777" w:rsidTr="007E3239">
        <w:tc>
          <w:tcPr>
            <w:tcW w:w="1843" w:type="dxa"/>
            <w:tcBorders>
              <w:top w:val="single" w:sz="4" w:space="0" w:color="1B556B"/>
              <w:bottom w:val="single" w:sz="4" w:space="0" w:color="1B556B"/>
            </w:tcBorders>
          </w:tcPr>
          <w:p w14:paraId="11C29C33" w14:textId="77777777" w:rsidR="00784FA9" w:rsidRPr="00D604EE" w:rsidRDefault="00784FA9" w:rsidP="007E3239">
            <w:pPr>
              <w:pStyle w:val="TableText"/>
              <w:spacing w:before="40" w:after="40"/>
            </w:pPr>
            <w:r w:rsidRPr="00D604EE">
              <w:t>Post-1989 natural forest</w:t>
            </w:r>
          </w:p>
        </w:tc>
        <w:tc>
          <w:tcPr>
            <w:tcW w:w="1326" w:type="dxa"/>
            <w:tcBorders>
              <w:top w:val="single" w:sz="4" w:space="0" w:color="1B556B"/>
              <w:bottom w:val="single" w:sz="4" w:space="0" w:color="1B556B"/>
            </w:tcBorders>
          </w:tcPr>
          <w:p w14:paraId="71EF020D" w14:textId="77777777" w:rsidR="00784FA9" w:rsidRPr="00D604EE" w:rsidRDefault="00784FA9" w:rsidP="007E3239">
            <w:pPr>
              <w:pStyle w:val="TableText"/>
              <w:spacing w:before="40" w:after="40"/>
              <w:jc w:val="right"/>
            </w:pPr>
            <w:r w:rsidRPr="00D604EE">
              <w:t>0</w:t>
            </w:r>
          </w:p>
        </w:tc>
        <w:tc>
          <w:tcPr>
            <w:tcW w:w="1272" w:type="dxa"/>
            <w:tcBorders>
              <w:top w:val="single" w:sz="4" w:space="0" w:color="1B556B"/>
              <w:bottom w:val="single" w:sz="4" w:space="0" w:color="1B556B"/>
            </w:tcBorders>
          </w:tcPr>
          <w:p w14:paraId="792EAF65" w14:textId="77777777" w:rsidR="00784FA9" w:rsidRPr="00D604EE" w:rsidRDefault="00784FA9" w:rsidP="007E3239">
            <w:pPr>
              <w:pStyle w:val="TableText"/>
              <w:spacing w:before="40" w:after="40"/>
              <w:jc w:val="right"/>
            </w:pPr>
            <w:r w:rsidRPr="00D604EE">
              <w:t>1,230</w:t>
            </w:r>
          </w:p>
        </w:tc>
        <w:tc>
          <w:tcPr>
            <w:tcW w:w="1494" w:type="dxa"/>
            <w:tcBorders>
              <w:top w:val="single" w:sz="4" w:space="0" w:color="1B556B"/>
              <w:bottom w:val="single" w:sz="4" w:space="0" w:color="1B556B"/>
            </w:tcBorders>
          </w:tcPr>
          <w:p w14:paraId="0F0BAD81" w14:textId="77777777" w:rsidR="00784FA9" w:rsidRPr="00D604EE" w:rsidRDefault="00784FA9" w:rsidP="007E3239">
            <w:pPr>
              <w:pStyle w:val="TableText"/>
              <w:spacing w:before="40" w:after="40"/>
              <w:jc w:val="right"/>
            </w:pPr>
            <w:r w:rsidRPr="00D604EE">
              <w:t>NA</w:t>
            </w:r>
          </w:p>
        </w:tc>
        <w:tc>
          <w:tcPr>
            <w:tcW w:w="1011" w:type="dxa"/>
            <w:tcBorders>
              <w:top w:val="single" w:sz="4" w:space="0" w:color="1B556B"/>
              <w:bottom w:val="single" w:sz="4" w:space="0" w:color="1B556B"/>
            </w:tcBorders>
          </w:tcPr>
          <w:p w14:paraId="4E0BF26C" w14:textId="77777777" w:rsidR="00784FA9" w:rsidRPr="00D604EE" w:rsidRDefault="00784FA9" w:rsidP="007E3239">
            <w:pPr>
              <w:pStyle w:val="TableText"/>
              <w:spacing w:before="40" w:after="40"/>
              <w:jc w:val="right"/>
            </w:pPr>
            <w:r w:rsidRPr="00D604EE">
              <w:t>124</w:t>
            </w:r>
          </w:p>
        </w:tc>
        <w:tc>
          <w:tcPr>
            <w:tcW w:w="1559" w:type="dxa"/>
            <w:tcBorders>
              <w:top w:val="single" w:sz="4" w:space="0" w:color="1B556B"/>
              <w:bottom w:val="single" w:sz="4" w:space="0" w:color="1B556B"/>
            </w:tcBorders>
          </w:tcPr>
          <w:p w14:paraId="3B5FFACB" w14:textId="77777777" w:rsidR="00784FA9" w:rsidRPr="00D604EE" w:rsidRDefault="00784FA9" w:rsidP="007E3239">
            <w:pPr>
              <w:pStyle w:val="TableText"/>
              <w:spacing w:before="40" w:after="40"/>
              <w:jc w:val="right"/>
            </w:pPr>
            <w:r w:rsidRPr="00D604EE">
              <w:t>NA</w:t>
            </w:r>
          </w:p>
        </w:tc>
      </w:tr>
      <w:tr w:rsidR="00784FA9" w:rsidRPr="00D604EE" w14:paraId="5676208C" w14:textId="77777777" w:rsidTr="007E3239">
        <w:tc>
          <w:tcPr>
            <w:tcW w:w="1843" w:type="dxa"/>
            <w:tcBorders>
              <w:top w:val="single" w:sz="4" w:space="0" w:color="1B556B"/>
              <w:bottom w:val="single" w:sz="4" w:space="0" w:color="1B556B"/>
            </w:tcBorders>
          </w:tcPr>
          <w:p w14:paraId="63210887" w14:textId="77777777" w:rsidR="00784FA9" w:rsidRPr="00D604EE" w:rsidRDefault="00784FA9" w:rsidP="007E3239">
            <w:pPr>
              <w:pStyle w:val="Tableboldblue"/>
              <w:spacing w:before="40" w:after="40"/>
              <w:jc w:val="right"/>
            </w:pPr>
            <w:r w:rsidRPr="00D604EE">
              <w:t>Total</w:t>
            </w:r>
          </w:p>
        </w:tc>
        <w:tc>
          <w:tcPr>
            <w:tcW w:w="1326" w:type="dxa"/>
            <w:tcBorders>
              <w:top w:val="single" w:sz="4" w:space="0" w:color="1B556B"/>
              <w:bottom w:val="single" w:sz="4" w:space="0" w:color="1B556B"/>
            </w:tcBorders>
          </w:tcPr>
          <w:p w14:paraId="055117DC" w14:textId="77777777" w:rsidR="00784FA9" w:rsidRPr="00D604EE" w:rsidRDefault="00784FA9" w:rsidP="007E3239">
            <w:pPr>
              <w:pStyle w:val="Tableboldblue"/>
              <w:spacing w:before="40" w:after="40"/>
              <w:jc w:val="right"/>
            </w:pPr>
            <w:r w:rsidRPr="00D604EE">
              <w:t>9,369,176</w:t>
            </w:r>
          </w:p>
        </w:tc>
        <w:tc>
          <w:tcPr>
            <w:tcW w:w="1272" w:type="dxa"/>
            <w:tcBorders>
              <w:top w:val="single" w:sz="4" w:space="0" w:color="1B556B"/>
              <w:bottom w:val="single" w:sz="4" w:space="0" w:color="1B556B"/>
            </w:tcBorders>
          </w:tcPr>
          <w:p w14:paraId="130D0D38" w14:textId="77777777" w:rsidR="00784FA9" w:rsidRPr="00D604EE" w:rsidRDefault="00784FA9" w:rsidP="007E3239">
            <w:pPr>
              <w:pStyle w:val="Tableboldblue"/>
              <w:spacing w:before="40" w:after="40"/>
              <w:jc w:val="right"/>
            </w:pPr>
            <w:r w:rsidRPr="00D604EE">
              <w:t>218,038</w:t>
            </w:r>
          </w:p>
        </w:tc>
        <w:tc>
          <w:tcPr>
            <w:tcW w:w="1494" w:type="dxa"/>
            <w:tcBorders>
              <w:top w:val="single" w:sz="4" w:space="0" w:color="1B556B"/>
              <w:bottom w:val="single" w:sz="4" w:space="0" w:color="1B556B"/>
            </w:tcBorders>
          </w:tcPr>
          <w:p w14:paraId="76C0DCF4" w14:textId="77777777" w:rsidR="00784FA9" w:rsidRPr="00D604EE" w:rsidRDefault="00784FA9" w:rsidP="007E3239">
            <w:pPr>
              <w:pStyle w:val="Tableboldblue"/>
              <w:spacing w:before="40" w:after="40"/>
              <w:jc w:val="right"/>
            </w:pPr>
            <w:r w:rsidRPr="00D604EE">
              <w:t>2.33</w:t>
            </w:r>
          </w:p>
        </w:tc>
        <w:tc>
          <w:tcPr>
            <w:tcW w:w="1011" w:type="dxa"/>
            <w:tcBorders>
              <w:top w:val="single" w:sz="4" w:space="0" w:color="1B556B"/>
              <w:bottom w:val="single" w:sz="4" w:space="0" w:color="1B556B"/>
            </w:tcBorders>
          </w:tcPr>
          <w:p w14:paraId="5FE98502" w14:textId="77777777" w:rsidR="00784FA9" w:rsidRPr="00D604EE" w:rsidRDefault="00784FA9" w:rsidP="007E3239">
            <w:pPr>
              <w:pStyle w:val="Tableboldblue"/>
              <w:spacing w:before="40" w:after="40"/>
              <w:jc w:val="right"/>
            </w:pPr>
            <w:bookmarkStart w:id="1605" w:name="_Hlk57205596"/>
            <w:r w:rsidRPr="00D604EE">
              <w:t>2,506</w:t>
            </w:r>
            <w:bookmarkEnd w:id="1605"/>
          </w:p>
        </w:tc>
        <w:tc>
          <w:tcPr>
            <w:tcW w:w="1559" w:type="dxa"/>
            <w:tcBorders>
              <w:top w:val="single" w:sz="4" w:space="0" w:color="1B556B"/>
              <w:bottom w:val="single" w:sz="4" w:space="0" w:color="1B556B"/>
            </w:tcBorders>
          </w:tcPr>
          <w:p w14:paraId="1CA08E0C" w14:textId="77777777" w:rsidR="00784FA9" w:rsidRPr="00D604EE" w:rsidRDefault="00784FA9" w:rsidP="007E3239">
            <w:pPr>
              <w:pStyle w:val="Tableboldblue"/>
              <w:spacing w:before="40" w:after="40"/>
              <w:jc w:val="right"/>
            </w:pPr>
            <w:r w:rsidRPr="00D604EE">
              <w:t>0.03</w:t>
            </w:r>
          </w:p>
        </w:tc>
      </w:tr>
    </w:tbl>
    <w:p w14:paraId="0CCB91ED" w14:textId="77777777" w:rsidR="00784FA9" w:rsidRPr="00D604EE" w:rsidRDefault="00784FA9" w:rsidP="00784FA9">
      <w:pPr>
        <w:pStyle w:val="Noteundertable"/>
      </w:pPr>
      <w:r w:rsidRPr="00D604EE">
        <w:rPr>
          <w:b/>
        </w:rPr>
        <w:t>Note:</w:t>
      </w:r>
      <w:r w:rsidRPr="00D604EE">
        <w:tab/>
        <w:t>NA = not applicable. The 2020 areas are as at 31 December 2020; 1990 areas are as at 1 January 1990 and, therefore, differ from 1990 area values in the CRF tables, which are as at 31 December 1990. Columns may not total due to rounding.</w:t>
      </w:r>
    </w:p>
    <w:p w14:paraId="78A9D642" w14:textId="77777777" w:rsidR="00784FA9" w:rsidRPr="00D604EE" w:rsidRDefault="00784FA9" w:rsidP="00784FA9">
      <w:pPr>
        <w:pStyle w:val="Figure"/>
        <w:spacing w:after="0"/>
      </w:pPr>
      <w:bookmarkStart w:id="1606" w:name="_Toc33529483"/>
      <w:bookmarkStart w:id="1607" w:name="_Toc36292813"/>
      <w:bookmarkStart w:id="1608" w:name="_Toc99696051"/>
      <w:r w:rsidRPr="00D604EE">
        <w:t>Figure 6.3.4</w:t>
      </w:r>
      <w:r w:rsidRPr="00D604EE">
        <w:tab/>
        <w:t xml:space="preserve">New Zealand’s area of deforestation since 1990, by </w:t>
      </w:r>
      <w:r w:rsidRPr="00D604EE">
        <w:rPr>
          <w:i/>
        </w:rPr>
        <w:t>Forest land</w:t>
      </w:r>
      <w:r w:rsidRPr="00D604EE">
        <w:t xml:space="preserve"> category</w:t>
      </w:r>
      <w:bookmarkEnd w:id="1606"/>
      <w:bookmarkEnd w:id="1607"/>
      <w:bookmarkEnd w:id="1608"/>
    </w:p>
    <w:p w14:paraId="268DA5C7" w14:textId="7F604690" w:rsidR="00784FA9" w:rsidRPr="00D604EE" w:rsidRDefault="004B48CC" w:rsidP="00784FA9">
      <w:pPr>
        <w:pStyle w:val="BodyText"/>
        <w:spacing w:before="100" w:after="100"/>
      </w:pPr>
      <w:r>
        <w:rPr>
          <w:noProof/>
        </w:rPr>
        <w:pict w14:anchorId="7B0EBC71">
          <v:shape id="_x0000_i1126" type="#_x0000_t75" style="width:452.1pt;height:263.7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">
            <v:imagedata r:id="rId205" o:title="" cropright="-14f"/>
            <o:lock v:ext="edit" aspectratio="f"/>
          </v:shape>
        </w:pict>
      </w:r>
    </w:p>
    <w:p w14:paraId="231D8A41" w14:textId="77777777" w:rsidR="00784FA9" w:rsidRPr="00D604EE" w:rsidRDefault="00784FA9" w:rsidP="00784FA9">
      <w:pPr>
        <w:pStyle w:val="BodyText"/>
        <w:spacing w:before="0"/>
      </w:pPr>
      <w:r w:rsidRPr="00D604EE">
        <w:t>New Zealand assumes instant emissions of all biomass carbon at the time of deforestation, based on the following.</w:t>
      </w:r>
    </w:p>
    <w:p w14:paraId="3F4D939D" w14:textId="77777777" w:rsidR="00784FA9" w:rsidRPr="00D604EE" w:rsidRDefault="00784FA9" w:rsidP="00AB2A5C">
      <w:pPr>
        <w:pStyle w:val="Bullet"/>
        <w:numPr>
          <w:ilvl w:val="0"/>
          <w:numId w:val="20"/>
        </w:numPr>
      </w:pPr>
      <w:r w:rsidRPr="00D604EE">
        <w:t xml:space="preserve">The majority of deforestation since 2000 has resulted from land conversion to </w:t>
      </w:r>
      <w:r w:rsidRPr="00D604EE">
        <w:rPr>
          <w:i/>
        </w:rPr>
        <w:t>Grassland</w:t>
      </w:r>
      <w:r w:rsidRPr="00D604EE">
        <w:t>, leading to the rapid removal of all biomass as the land is prepared for farming.</w:t>
      </w:r>
    </w:p>
    <w:p w14:paraId="1E24CA20" w14:textId="77777777" w:rsidR="00784FA9" w:rsidRPr="00D604EE" w:rsidRDefault="00784FA9" w:rsidP="00AB2A5C">
      <w:pPr>
        <w:pStyle w:val="Bullet"/>
        <w:numPr>
          <w:ilvl w:val="0"/>
          <w:numId w:val="20"/>
        </w:numPr>
      </w:pPr>
      <w:r w:rsidRPr="00D604EE">
        <w:t>It is not practical to estimate emissions from residues following deforestation activity given the rapid conversion from one land use to another and the multiple methods of removing residues. Furthermore, estimating biomass residue and decay rates for multiple disposal methods is difficult and costly.</w:t>
      </w:r>
    </w:p>
    <w:p w14:paraId="046AEA2C" w14:textId="77777777" w:rsidR="00784FA9" w:rsidRPr="00D604EE" w:rsidRDefault="00784FA9" w:rsidP="00784FA9">
      <w:pPr>
        <w:pStyle w:val="BodyText"/>
      </w:pPr>
      <w:r w:rsidRPr="00D604EE">
        <w:lastRenderedPageBreak/>
        <w:t>Estimates of deforestation emissions for pre-1990 natural forest are based on the type of vegetation deforested (tall forest or regenerating). The area of pre-1990 natural forest deforestation is sub-classified as tall forest or regenerating using spatial data on land cover, sourced from LCDBv5 using the 2008 map year, and these subcategories are defined in table 6.3.5. Tall forest deforestation emissions are determined from the average carbon stock per hectare in biomass for tall forests. Regenerating forest deforestation emissions are determined from the average carbon stock per hectare in biomass for regenerating forests. All carbon in biomass, for both tall and regenerating forest, is assumed in the calculations to be an instantaneous emission at the time of deforestation, as no information on the time lag of emissions from dead organic matter or below-ground biomass is currently available. Table 6.3.6 shows the</w:t>
      </w:r>
      <w:r w:rsidRPr="00D604EE" w:rsidDel="00E24861">
        <w:t xml:space="preserve"> </w:t>
      </w:r>
      <w:r w:rsidRPr="00D604EE">
        <w:t>areas of these two forest sub-classifications and table 6.3.7 shows the areas of pre-1990 natural forest deforestation split by these two forest types.</w:t>
      </w:r>
    </w:p>
    <w:p w14:paraId="14A64479" w14:textId="77777777" w:rsidR="00784FA9" w:rsidRPr="00D604EE" w:rsidRDefault="00784FA9" w:rsidP="00784FA9">
      <w:pPr>
        <w:pStyle w:val="Table"/>
      </w:pPr>
      <w:bookmarkStart w:id="1609" w:name="_Toc99659284"/>
      <w:r w:rsidRPr="00D604EE">
        <w:t>Table 6.3.5</w:t>
      </w:r>
      <w:r w:rsidRPr="00D604EE">
        <w:tab/>
        <w:t>Pre-1990 natural forest subcategories and description</w:t>
      </w:r>
      <w:bookmarkEnd w:id="1609"/>
    </w:p>
    <w:tbl>
      <w:tblPr>
        <w:tblW w:w="8505" w:type="dxa"/>
        <w:tblInd w:w="108" w:type="dxa"/>
        <w:tblBorders>
          <w:top w:val="single" w:sz="4" w:space="0" w:color="365F91"/>
          <w:bottom w:val="single" w:sz="4" w:space="0" w:color="365F91"/>
          <w:insideH w:val="single" w:sz="4" w:space="0" w:color="365F91"/>
          <w:insideV w:val="single" w:sz="4" w:space="0" w:color="365F91"/>
        </w:tblBorders>
        <w:tblLook w:val="04A0" w:firstRow="1" w:lastRow="0" w:firstColumn="1" w:lastColumn="0" w:noHBand="0" w:noVBand="1"/>
      </w:tblPr>
      <w:tblGrid>
        <w:gridCol w:w="2410"/>
        <w:gridCol w:w="6095"/>
      </w:tblGrid>
      <w:tr w:rsidR="00784FA9" w:rsidRPr="00D604EE" w14:paraId="7E6D5692" w14:textId="77777777" w:rsidTr="007E3239">
        <w:trPr>
          <w:tblHeader/>
        </w:trPr>
        <w:tc>
          <w:tcPr>
            <w:tcW w:w="2410" w:type="dxa"/>
            <w:tcBorders>
              <w:top w:val="single" w:sz="4" w:space="0" w:color="1B556B"/>
              <w:left w:val="nil"/>
              <w:bottom w:val="single" w:sz="4" w:space="0" w:color="1B556B"/>
              <w:right w:val="single" w:sz="4" w:space="0" w:color="365F91"/>
            </w:tcBorders>
            <w:shd w:val="clear" w:color="auto" w:fill="1B556B"/>
            <w:hideMark/>
          </w:tcPr>
          <w:p w14:paraId="499D890F" w14:textId="77777777" w:rsidR="00784FA9" w:rsidRPr="00D604EE" w:rsidRDefault="00784FA9" w:rsidP="007E3239">
            <w:pPr>
              <w:pStyle w:val="TableTextBold"/>
              <w:spacing w:before="50" w:after="50" w:line="256" w:lineRule="auto"/>
              <w:rPr>
                <w:noProof w:val="0"/>
                <w:color w:val="FFFFFF"/>
              </w:rPr>
            </w:pPr>
            <w:r w:rsidRPr="00D604EE">
              <w:rPr>
                <w:noProof w:val="0"/>
                <w:color w:val="FFFFFF"/>
              </w:rPr>
              <w:t>Pre-1990 forest subcategories</w:t>
            </w:r>
          </w:p>
        </w:tc>
        <w:tc>
          <w:tcPr>
            <w:tcW w:w="6095" w:type="dxa"/>
            <w:tcBorders>
              <w:top w:val="single" w:sz="4" w:space="0" w:color="1B556B"/>
              <w:left w:val="single" w:sz="4" w:space="0" w:color="365F91"/>
              <w:bottom w:val="single" w:sz="4" w:space="0" w:color="1B556B"/>
              <w:right w:val="single" w:sz="4" w:space="0" w:color="365F91"/>
            </w:tcBorders>
            <w:shd w:val="clear" w:color="auto" w:fill="1B556B"/>
            <w:hideMark/>
          </w:tcPr>
          <w:p w14:paraId="3B9FD9A5" w14:textId="77777777" w:rsidR="00784FA9" w:rsidRPr="00D604EE" w:rsidRDefault="00784FA9" w:rsidP="007E3239">
            <w:pPr>
              <w:pStyle w:val="TableTextBold"/>
              <w:spacing w:before="50" w:after="50" w:line="256" w:lineRule="auto"/>
              <w:rPr>
                <w:noProof w:val="0"/>
                <w:color w:val="FFFFFF"/>
              </w:rPr>
            </w:pPr>
            <w:r w:rsidRPr="00D604EE">
              <w:rPr>
                <w:noProof w:val="0"/>
                <w:color w:val="FFFFFF"/>
              </w:rPr>
              <w:t>Description</w:t>
            </w:r>
          </w:p>
        </w:tc>
      </w:tr>
      <w:tr w:rsidR="00784FA9" w:rsidRPr="00D604EE" w14:paraId="6397461A" w14:textId="77777777" w:rsidTr="007E3239">
        <w:tc>
          <w:tcPr>
            <w:tcW w:w="2410" w:type="dxa"/>
            <w:tcBorders>
              <w:top w:val="single" w:sz="4" w:space="0" w:color="1B556B"/>
              <w:left w:val="nil"/>
              <w:bottom w:val="single" w:sz="4" w:space="0" w:color="1B556B"/>
              <w:right w:val="nil"/>
            </w:tcBorders>
            <w:hideMark/>
          </w:tcPr>
          <w:p w14:paraId="439F11C1" w14:textId="77777777" w:rsidR="00784FA9" w:rsidRPr="00D604EE" w:rsidRDefault="00784FA9" w:rsidP="007E3239">
            <w:pPr>
              <w:pStyle w:val="TableText"/>
              <w:spacing w:before="50" w:after="50" w:line="256" w:lineRule="auto"/>
              <w:rPr>
                <w:rFonts w:cs="Arial Bold"/>
                <w:szCs w:val="16"/>
              </w:rPr>
            </w:pPr>
            <w:r w:rsidRPr="00D604EE">
              <w:rPr>
                <w:rFonts w:cs="Arial Bold"/>
                <w:szCs w:val="16"/>
              </w:rPr>
              <w:t>Tall</w:t>
            </w:r>
          </w:p>
        </w:tc>
        <w:tc>
          <w:tcPr>
            <w:tcW w:w="6095" w:type="dxa"/>
            <w:tcBorders>
              <w:top w:val="single" w:sz="4" w:space="0" w:color="1B556B"/>
              <w:left w:val="nil"/>
              <w:bottom w:val="single" w:sz="4" w:space="0" w:color="1B556B"/>
              <w:right w:val="nil"/>
            </w:tcBorders>
          </w:tcPr>
          <w:p w14:paraId="4878F68C" w14:textId="77777777" w:rsidR="00784FA9" w:rsidRPr="00D604EE" w:rsidRDefault="00784FA9" w:rsidP="007E3239">
            <w:pPr>
              <w:pStyle w:val="TableText"/>
              <w:spacing w:before="50" w:after="50" w:line="256" w:lineRule="auto"/>
              <w:rPr>
                <w:rFonts w:cs="Arial Bold"/>
                <w:szCs w:val="16"/>
              </w:rPr>
            </w:pPr>
            <w:r w:rsidRPr="00D604EE">
              <w:rPr>
                <w:rFonts w:cs="Arial Bold"/>
                <w:szCs w:val="16"/>
              </w:rPr>
              <w:t>Made up of two LCDB classes: 1. Indigenous forest; tall forest dominated by indigenous conifer, broadleaved or beech species. 2. Broadleaved indigenous hardwoods; lowland scrub communities dominated by indigenous mixed broadleaved shrubs.</w:t>
            </w:r>
          </w:p>
        </w:tc>
      </w:tr>
      <w:tr w:rsidR="00784FA9" w:rsidRPr="00D604EE" w14:paraId="6B7B359C" w14:textId="77777777" w:rsidTr="007E3239">
        <w:tc>
          <w:tcPr>
            <w:tcW w:w="2410" w:type="dxa"/>
            <w:tcBorders>
              <w:top w:val="single" w:sz="4" w:space="0" w:color="1B556B"/>
              <w:left w:val="nil"/>
              <w:bottom w:val="single" w:sz="4" w:space="0" w:color="1B556B"/>
              <w:right w:val="nil"/>
            </w:tcBorders>
          </w:tcPr>
          <w:p w14:paraId="3D694D34" w14:textId="77777777" w:rsidR="00784FA9" w:rsidRPr="00D604EE" w:rsidRDefault="00784FA9" w:rsidP="007E3239">
            <w:pPr>
              <w:pStyle w:val="TableText"/>
              <w:spacing w:before="50" w:after="50" w:line="256" w:lineRule="auto"/>
              <w:rPr>
                <w:rFonts w:cs="Arial Bold"/>
                <w:szCs w:val="16"/>
              </w:rPr>
            </w:pPr>
            <w:r w:rsidRPr="00D604EE">
              <w:rPr>
                <w:rFonts w:cs="Arial Bold"/>
                <w:szCs w:val="16"/>
              </w:rPr>
              <w:t>Regenerating</w:t>
            </w:r>
          </w:p>
        </w:tc>
        <w:tc>
          <w:tcPr>
            <w:tcW w:w="6095" w:type="dxa"/>
            <w:tcBorders>
              <w:top w:val="single" w:sz="4" w:space="0" w:color="1B556B"/>
              <w:left w:val="nil"/>
              <w:bottom w:val="single" w:sz="4" w:space="0" w:color="1B556B"/>
              <w:right w:val="nil"/>
            </w:tcBorders>
          </w:tcPr>
          <w:p w14:paraId="0BC3A41A" w14:textId="77777777" w:rsidR="00784FA9" w:rsidRPr="00D604EE" w:rsidRDefault="00784FA9" w:rsidP="007E3239">
            <w:pPr>
              <w:pStyle w:val="TableText"/>
              <w:spacing w:before="50" w:after="50" w:line="256" w:lineRule="auto"/>
              <w:rPr>
                <w:rFonts w:cs="Arial Bold"/>
                <w:szCs w:val="16"/>
              </w:rPr>
            </w:pPr>
            <w:r w:rsidRPr="00D604EE">
              <w:rPr>
                <w:rFonts w:cs="Arial Bold"/>
                <w:szCs w:val="16"/>
              </w:rPr>
              <w:t>All other areas mapped as pre-1990 natural forest that fall outside the two LCDB classes above. Represents areas recovering from previous disturbances.</w:t>
            </w:r>
          </w:p>
        </w:tc>
      </w:tr>
    </w:tbl>
    <w:p w14:paraId="70C49C67" w14:textId="77777777" w:rsidR="00784FA9" w:rsidRPr="00D604EE" w:rsidRDefault="00784FA9" w:rsidP="00784FA9">
      <w:pPr>
        <w:pStyle w:val="BodyText"/>
        <w:spacing w:before="0" w:after="0"/>
      </w:pPr>
    </w:p>
    <w:p w14:paraId="41B109A3" w14:textId="77777777" w:rsidR="00784FA9" w:rsidRPr="00D604EE" w:rsidRDefault="00784FA9" w:rsidP="00784FA9">
      <w:pPr>
        <w:pStyle w:val="Table"/>
      </w:pPr>
      <w:bookmarkStart w:id="1610" w:name="_Toc99659285"/>
      <w:r w:rsidRPr="00D604EE">
        <w:t>Table 6.3.6</w:t>
      </w:r>
      <w:r w:rsidRPr="00D604EE">
        <w:tab/>
        <w:t>Areas of tall and regenerating pre-1990 natural forest</w:t>
      </w:r>
      <w:bookmarkEnd w:id="1610"/>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3040"/>
        <w:gridCol w:w="2644"/>
        <w:gridCol w:w="2821"/>
      </w:tblGrid>
      <w:tr w:rsidR="00784FA9" w:rsidRPr="00D604EE" w14:paraId="7BEB3C39" w14:textId="77777777" w:rsidTr="007E3239">
        <w:tc>
          <w:tcPr>
            <w:tcW w:w="3000" w:type="dxa"/>
            <w:shd w:val="clear" w:color="auto" w:fill="1B556B"/>
            <w:vAlign w:val="bottom"/>
          </w:tcPr>
          <w:p w14:paraId="3FCB938C" w14:textId="77777777" w:rsidR="00784FA9" w:rsidRPr="00D604EE" w:rsidRDefault="00784FA9" w:rsidP="007E3239">
            <w:pPr>
              <w:pStyle w:val="TableTextBold"/>
              <w:keepNext/>
              <w:rPr>
                <w:noProof w:val="0"/>
                <w:color w:val="FFFFFF"/>
              </w:rPr>
            </w:pPr>
            <w:r w:rsidRPr="00D604EE">
              <w:rPr>
                <w:noProof w:val="0"/>
                <w:color w:val="FFFFFF"/>
              </w:rPr>
              <w:t>Pre-1990 forest sub-classification</w:t>
            </w:r>
          </w:p>
        </w:tc>
        <w:tc>
          <w:tcPr>
            <w:tcW w:w="2609" w:type="dxa"/>
            <w:shd w:val="clear" w:color="auto" w:fill="1B556B"/>
            <w:vAlign w:val="bottom"/>
          </w:tcPr>
          <w:p w14:paraId="7FE839D2" w14:textId="77777777" w:rsidR="00784FA9" w:rsidRPr="00D604EE" w:rsidRDefault="00784FA9" w:rsidP="007E3239">
            <w:pPr>
              <w:pStyle w:val="TableTextBold"/>
              <w:keepNext/>
              <w:jc w:val="right"/>
              <w:rPr>
                <w:noProof w:val="0"/>
                <w:color w:val="FFFFFF"/>
              </w:rPr>
            </w:pPr>
            <w:r w:rsidRPr="00D604EE">
              <w:rPr>
                <w:noProof w:val="0"/>
                <w:color w:val="FFFFFF"/>
              </w:rPr>
              <w:t>Area of forest in 1990 (ha)</w:t>
            </w:r>
          </w:p>
        </w:tc>
        <w:tc>
          <w:tcPr>
            <w:tcW w:w="2784" w:type="dxa"/>
            <w:shd w:val="clear" w:color="auto" w:fill="1B556B"/>
            <w:vAlign w:val="bottom"/>
          </w:tcPr>
          <w:p w14:paraId="0AFF36F0" w14:textId="77777777" w:rsidR="00784FA9" w:rsidRPr="00D604EE" w:rsidRDefault="00784FA9" w:rsidP="007E3239">
            <w:pPr>
              <w:pStyle w:val="TableTextBold"/>
              <w:keepNext/>
              <w:jc w:val="right"/>
              <w:rPr>
                <w:noProof w:val="0"/>
                <w:color w:val="FFFFFF"/>
              </w:rPr>
            </w:pPr>
            <w:r w:rsidRPr="00D604EE">
              <w:rPr>
                <w:noProof w:val="0"/>
                <w:color w:val="FFFFFF"/>
              </w:rPr>
              <w:t>Area of forest in 2020 (ha)</w:t>
            </w:r>
          </w:p>
        </w:tc>
      </w:tr>
      <w:tr w:rsidR="00784FA9" w:rsidRPr="00D604EE" w14:paraId="039B603D" w14:textId="77777777" w:rsidTr="007E3239">
        <w:tc>
          <w:tcPr>
            <w:tcW w:w="3000" w:type="dxa"/>
          </w:tcPr>
          <w:p w14:paraId="0A7248E7" w14:textId="77777777" w:rsidR="00784FA9" w:rsidRPr="00D604EE" w:rsidRDefault="00784FA9" w:rsidP="007E3239">
            <w:pPr>
              <w:pStyle w:val="TableText"/>
              <w:spacing w:before="50" w:after="50"/>
            </w:pPr>
            <w:r w:rsidRPr="00D604EE">
              <w:t>Tall forest</w:t>
            </w:r>
          </w:p>
        </w:tc>
        <w:tc>
          <w:tcPr>
            <w:tcW w:w="2609" w:type="dxa"/>
          </w:tcPr>
          <w:p w14:paraId="5D637280" w14:textId="77777777" w:rsidR="00784FA9" w:rsidRPr="00D604EE" w:rsidRDefault="00784FA9" w:rsidP="007E3239">
            <w:pPr>
              <w:pStyle w:val="TableText"/>
              <w:spacing w:before="50" w:after="50"/>
              <w:jc w:val="right"/>
            </w:pPr>
            <w:r w:rsidRPr="00D604EE">
              <w:t>6,690,049.1</w:t>
            </w:r>
          </w:p>
        </w:tc>
        <w:tc>
          <w:tcPr>
            <w:tcW w:w="2784" w:type="dxa"/>
          </w:tcPr>
          <w:p w14:paraId="4B2C7543" w14:textId="77777777" w:rsidR="00784FA9" w:rsidRPr="00D604EE" w:rsidRDefault="00784FA9" w:rsidP="007E3239">
            <w:pPr>
              <w:pStyle w:val="TableText"/>
              <w:spacing w:before="50" w:after="50"/>
              <w:jc w:val="right"/>
            </w:pPr>
            <w:r w:rsidRPr="00D604EE">
              <w:t>6,670,151.4</w:t>
            </w:r>
          </w:p>
        </w:tc>
      </w:tr>
      <w:tr w:rsidR="00784FA9" w:rsidRPr="00D604EE" w14:paraId="6F32C4C4" w14:textId="77777777" w:rsidTr="007E3239">
        <w:tc>
          <w:tcPr>
            <w:tcW w:w="3000" w:type="dxa"/>
          </w:tcPr>
          <w:p w14:paraId="7AC7AFEA" w14:textId="77777777" w:rsidR="00784FA9" w:rsidRPr="00D604EE" w:rsidRDefault="00784FA9" w:rsidP="007E3239">
            <w:pPr>
              <w:pStyle w:val="TableText"/>
              <w:spacing w:before="50" w:after="50"/>
            </w:pPr>
            <w:r w:rsidRPr="00D604EE">
              <w:t>Regenerating forest</w:t>
            </w:r>
          </w:p>
        </w:tc>
        <w:tc>
          <w:tcPr>
            <w:tcW w:w="2609" w:type="dxa"/>
          </w:tcPr>
          <w:p w14:paraId="59B4A735" w14:textId="77777777" w:rsidR="00784FA9" w:rsidRPr="00D604EE" w:rsidRDefault="00784FA9" w:rsidP="007E3239">
            <w:pPr>
              <w:pStyle w:val="TableText"/>
              <w:spacing w:before="50" w:after="50"/>
              <w:jc w:val="right"/>
              <w:rPr>
                <w:i/>
                <w:iCs/>
                <w:szCs w:val="24"/>
              </w:rPr>
            </w:pPr>
            <w:r w:rsidRPr="00D604EE">
              <w:t>1,132,711.9</w:t>
            </w:r>
          </w:p>
        </w:tc>
        <w:tc>
          <w:tcPr>
            <w:tcW w:w="2784" w:type="dxa"/>
          </w:tcPr>
          <w:p w14:paraId="027F7832" w14:textId="77777777" w:rsidR="00784FA9" w:rsidRPr="00D604EE" w:rsidRDefault="00784FA9" w:rsidP="007E3239">
            <w:pPr>
              <w:pStyle w:val="TableText"/>
              <w:spacing w:before="50" w:after="50"/>
              <w:jc w:val="right"/>
              <w:rPr>
                <w:bCs/>
                <w:i/>
                <w:iCs/>
                <w:szCs w:val="24"/>
              </w:rPr>
            </w:pPr>
            <w:r w:rsidRPr="00D604EE">
              <w:t>1,084,017.9</w:t>
            </w:r>
          </w:p>
        </w:tc>
      </w:tr>
      <w:tr w:rsidR="00784FA9" w:rsidRPr="00D604EE" w14:paraId="4E063709" w14:textId="77777777" w:rsidTr="007E3239">
        <w:tc>
          <w:tcPr>
            <w:tcW w:w="3000" w:type="dxa"/>
          </w:tcPr>
          <w:p w14:paraId="09B392AA" w14:textId="77777777" w:rsidR="00784FA9" w:rsidRPr="00D604EE" w:rsidRDefault="00784FA9" w:rsidP="007E3239">
            <w:pPr>
              <w:pStyle w:val="Tableboldblue"/>
              <w:jc w:val="right"/>
              <w:rPr>
                <w:bCs/>
              </w:rPr>
            </w:pPr>
            <w:r w:rsidRPr="00D604EE">
              <w:t>Total</w:t>
            </w:r>
          </w:p>
        </w:tc>
        <w:tc>
          <w:tcPr>
            <w:tcW w:w="2609" w:type="dxa"/>
          </w:tcPr>
          <w:p w14:paraId="490E26C0" w14:textId="77777777" w:rsidR="00784FA9" w:rsidRPr="00D604EE" w:rsidRDefault="00784FA9" w:rsidP="007E3239">
            <w:pPr>
              <w:pStyle w:val="Tableboldblue"/>
              <w:jc w:val="right"/>
            </w:pPr>
            <w:r w:rsidRPr="00D604EE">
              <w:t xml:space="preserve">7,822,761.0 </w:t>
            </w:r>
          </w:p>
        </w:tc>
        <w:tc>
          <w:tcPr>
            <w:tcW w:w="2784" w:type="dxa"/>
          </w:tcPr>
          <w:p w14:paraId="3EF166EC" w14:textId="77777777" w:rsidR="00784FA9" w:rsidRPr="00D604EE" w:rsidRDefault="00784FA9" w:rsidP="007E3239">
            <w:pPr>
              <w:pStyle w:val="Tableboldblue"/>
              <w:jc w:val="right"/>
            </w:pPr>
            <w:r w:rsidRPr="00D604EE">
              <w:t xml:space="preserve">7,754,169.3 </w:t>
            </w:r>
          </w:p>
        </w:tc>
      </w:tr>
    </w:tbl>
    <w:p w14:paraId="5F7A4329" w14:textId="77777777" w:rsidR="00784FA9" w:rsidRPr="00D604EE" w:rsidRDefault="00784FA9" w:rsidP="00784FA9">
      <w:pPr>
        <w:pStyle w:val="BodyText"/>
        <w:spacing w:before="0" w:after="0"/>
      </w:pPr>
    </w:p>
    <w:p w14:paraId="706F7580" w14:textId="77777777" w:rsidR="00784FA9" w:rsidRPr="00D604EE" w:rsidRDefault="00784FA9" w:rsidP="00784FA9">
      <w:pPr>
        <w:pStyle w:val="Table"/>
      </w:pPr>
      <w:bookmarkStart w:id="1611" w:name="_Toc99659286"/>
      <w:r w:rsidRPr="00D604EE">
        <w:t>Table 6.3.7</w:t>
      </w:r>
      <w:r w:rsidRPr="00D604EE">
        <w:tab/>
        <w:t>New Zealand’s areas of pre-1990 natural forest deforestation estimated by type from 1990</w:t>
      </w:r>
      <w:r w:rsidRPr="00D604EE">
        <w:rPr>
          <w:rFonts w:ascii="Arial" w:hAnsi="Arial" w:cs="Arial"/>
        </w:rPr>
        <w:t> </w:t>
      </w:r>
      <w:r w:rsidRPr="00D604EE">
        <w:t>to</w:t>
      </w:r>
      <w:r w:rsidRPr="00D604EE">
        <w:rPr>
          <w:rFonts w:ascii="Arial" w:hAnsi="Arial" w:cs="Arial"/>
        </w:rPr>
        <w:t> </w:t>
      </w:r>
      <w:r w:rsidRPr="00D604EE">
        <w:t>2020</w:t>
      </w:r>
      <w:bookmarkEnd w:id="1611"/>
      <w:r w:rsidRPr="00D604EE">
        <w:t> </w:t>
      </w:r>
    </w:p>
    <w:tbl>
      <w:tblPr>
        <w:tblW w:w="8505" w:type="dxa"/>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1506"/>
        <w:gridCol w:w="1046"/>
        <w:gridCol w:w="958"/>
        <w:gridCol w:w="707"/>
        <w:gridCol w:w="707"/>
        <w:gridCol w:w="707"/>
        <w:gridCol w:w="707"/>
        <w:gridCol w:w="707"/>
        <w:gridCol w:w="753"/>
        <w:gridCol w:w="707"/>
      </w:tblGrid>
      <w:tr w:rsidR="00784FA9" w:rsidRPr="00D604EE" w14:paraId="73B35E0F" w14:textId="77777777" w:rsidTr="007E3239">
        <w:tc>
          <w:tcPr>
            <w:tcW w:w="1506" w:type="dxa"/>
            <w:tcBorders>
              <w:top w:val="single" w:sz="6" w:space="0" w:color="1B556B"/>
              <w:left w:val="nil"/>
              <w:bottom w:val="nil"/>
              <w:right w:val="nil"/>
            </w:tcBorders>
            <w:shd w:val="clear" w:color="auto" w:fill="1B556B"/>
            <w:vAlign w:val="bottom"/>
          </w:tcPr>
          <w:p w14:paraId="7EFBA822" w14:textId="77777777" w:rsidR="00784FA9" w:rsidRPr="00784FA9" w:rsidRDefault="00784FA9" w:rsidP="007E3239">
            <w:pPr>
              <w:pStyle w:val="TableTextBold"/>
              <w:spacing w:after="0"/>
              <w:rPr>
                <w:noProof w:val="0"/>
                <w:color w:val="FFFFFF"/>
              </w:rPr>
            </w:pPr>
          </w:p>
        </w:tc>
        <w:tc>
          <w:tcPr>
            <w:tcW w:w="6999" w:type="dxa"/>
            <w:gridSpan w:val="9"/>
            <w:tcBorders>
              <w:top w:val="single" w:sz="6" w:space="0" w:color="1B556B"/>
              <w:left w:val="nil"/>
              <w:bottom w:val="nil"/>
              <w:right w:val="nil"/>
            </w:tcBorders>
            <w:shd w:val="clear" w:color="auto" w:fill="1B556B"/>
            <w:vAlign w:val="bottom"/>
            <w:hideMark/>
          </w:tcPr>
          <w:p w14:paraId="176E0B47" w14:textId="77777777" w:rsidR="00784FA9" w:rsidRPr="00784FA9" w:rsidRDefault="00784FA9" w:rsidP="007E3239">
            <w:pPr>
              <w:pStyle w:val="TableTextBold"/>
              <w:spacing w:after="20"/>
              <w:jc w:val="center"/>
              <w:rPr>
                <w:noProof w:val="0"/>
                <w:color w:val="FFFFFF"/>
              </w:rPr>
            </w:pPr>
            <w:r w:rsidRPr="00784FA9">
              <w:rPr>
                <w:noProof w:val="0"/>
                <w:color w:val="FFFFFF"/>
              </w:rPr>
              <w:t>Area of natural forest deforestation (ha)</w:t>
            </w:r>
          </w:p>
        </w:tc>
      </w:tr>
      <w:tr w:rsidR="00784FA9" w:rsidRPr="00D604EE" w14:paraId="3C642629" w14:textId="77777777" w:rsidTr="00DC76F9">
        <w:tc>
          <w:tcPr>
            <w:tcW w:w="1506" w:type="dxa"/>
            <w:tcBorders>
              <w:top w:val="nil"/>
              <w:left w:val="nil"/>
              <w:bottom w:val="nil"/>
              <w:right w:val="nil"/>
            </w:tcBorders>
            <w:shd w:val="clear" w:color="auto" w:fill="1B556B"/>
            <w:vAlign w:val="bottom"/>
            <w:hideMark/>
          </w:tcPr>
          <w:p w14:paraId="432C594A" w14:textId="77777777" w:rsidR="00784FA9" w:rsidRPr="00784FA9" w:rsidRDefault="00784FA9" w:rsidP="007E3239">
            <w:pPr>
              <w:pStyle w:val="TableTextBold"/>
              <w:rPr>
                <w:noProof w:val="0"/>
                <w:color w:val="FFFFFF"/>
              </w:rPr>
            </w:pPr>
            <w:r w:rsidRPr="00784FA9">
              <w:rPr>
                <w:noProof w:val="0"/>
                <w:color w:val="FFFFFF"/>
              </w:rPr>
              <w:t>Natural forest type</w:t>
            </w:r>
          </w:p>
        </w:tc>
        <w:tc>
          <w:tcPr>
            <w:tcW w:w="1046" w:type="dxa"/>
            <w:tcBorders>
              <w:top w:val="nil"/>
              <w:left w:val="nil"/>
              <w:bottom w:val="nil"/>
              <w:right w:val="nil"/>
            </w:tcBorders>
            <w:shd w:val="clear" w:color="auto" w:fill="1B556B"/>
            <w:vAlign w:val="bottom"/>
            <w:hideMark/>
          </w:tcPr>
          <w:p w14:paraId="176A3ED5" w14:textId="77777777" w:rsidR="00784FA9" w:rsidRPr="00784FA9" w:rsidRDefault="00784FA9" w:rsidP="007E3239">
            <w:pPr>
              <w:pStyle w:val="TableTextBold"/>
              <w:jc w:val="right"/>
              <w:rPr>
                <w:noProof w:val="0"/>
                <w:color w:val="FFFFFF"/>
              </w:rPr>
            </w:pPr>
            <w:r w:rsidRPr="00784FA9">
              <w:rPr>
                <w:noProof w:val="0"/>
                <w:color w:val="FFFFFF"/>
              </w:rPr>
              <w:t>1990–2007</w:t>
            </w:r>
          </w:p>
        </w:tc>
        <w:tc>
          <w:tcPr>
            <w:tcW w:w="958" w:type="dxa"/>
            <w:tcBorders>
              <w:top w:val="nil"/>
              <w:left w:val="nil"/>
              <w:bottom w:val="nil"/>
              <w:right w:val="nil"/>
            </w:tcBorders>
            <w:shd w:val="clear" w:color="auto" w:fill="1B556B"/>
            <w:vAlign w:val="bottom"/>
            <w:hideMark/>
          </w:tcPr>
          <w:p w14:paraId="61F927C6" w14:textId="77777777" w:rsidR="00784FA9" w:rsidRPr="00784FA9" w:rsidRDefault="00784FA9" w:rsidP="007E3239">
            <w:pPr>
              <w:pStyle w:val="TableTextBold"/>
              <w:jc w:val="right"/>
              <w:rPr>
                <w:noProof w:val="0"/>
                <w:color w:val="FFFFFF"/>
              </w:rPr>
            </w:pPr>
            <w:r w:rsidRPr="00784FA9">
              <w:rPr>
                <w:noProof w:val="0"/>
                <w:color w:val="FFFFFF"/>
              </w:rPr>
              <w:t>2008–2013</w:t>
            </w:r>
          </w:p>
        </w:tc>
        <w:tc>
          <w:tcPr>
            <w:tcW w:w="707" w:type="dxa"/>
            <w:tcBorders>
              <w:top w:val="nil"/>
              <w:left w:val="nil"/>
              <w:bottom w:val="nil"/>
              <w:right w:val="nil"/>
            </w:tcBorders>
            <w:shd w:val="clear" w:color="auto" w:fill="1B556B"/>
            <w:vAlign w:val="bottom"/>
            <w:hideMark/>
          </w:tcPr>
          <w:p w14:paraId="2E77D230" w14:textId="77777777" w:rsidR="00784FA9" w:rsidRPr="00784FA9" w:rsidRDefault="00784FA9" w:rsidP="007E3239">
            <w:pPr>
              <w:pStyle w:val="TableTextBold"/>
              <w:jc w:val="right"/>
              <w:rPr>
                <w:noProof w:val="0"/>
                <w:color w:val="FFFFFF"/>
              </w:rPr>
            </w:pPr>
            <w:r w:rsidRPr="00784FA9">
              <w:rPr>
                <w:noProof w:val="0"/>
                <w:color w:val="FFFFFF"/>
              </w:rPr>
              <w:t>2014</w:t>
            </w:r>
          </w:p>
        </w:tc>
        <w:tc>
          <w:tcPr>
            <w:tcW w:w="707" w:type="dxa"/>
            <w:tcBorders>
              <w:top w:val="nil"/>
              <w:left w:val="nil"/>
              <w:bottom w:val="nil"/>
              <w:right w:val="nil"/>
            </w:tcBorders>
            <w:shd w:val="clear" w:color="auto" w:fill="1B556B"/>
            <w:vAlign w:val="bottom"/>
            <w:hideMark/>
          </w:tcPr>
          <w:p w14:paraId="45C74D8F" w14:textId="77777777" w:rsidR="00784FA9" w:rsidRPr="00784FA9" w:rsidRDefault="00784FA9" w:rsidP="007E3239">
            <w:pPr>
              <w:pStyle w:val="TableTextBold"/>
              <w:jc w:val="right"/>
              <w:rPr>
                <w:noProof w:val="0"/>
                <w:color w:val="FFFFFF"/>
              </w:rPr>
            </w:pPr>
            <w:r w:rsidRPr="00784FA9">
              <w:rPr>
                <w:noProof w:val="0"/>
                <w:color w:val="FFFFFF"/>
              </w:rPr>
              <w:t>2015</w:t>
            </w:r>
          </w:p>
        </w:tc>
        <w:tc>
          <w:tcPr>
            <w:tcW w:w="707" w:type="dxa"/>
            <w:tcBorders>
              <w:top w:val="nil"/>
              <w:left w:val="nil"/>
              <w:bottom w:val="nil"/>
              <w:right w:val="nil"/>
            </w:tcBorders>
            <w:shd w:val="clear" w:color="auto" w:fill="1B556B"/>
            <w:vAlign w:val="bottom"/>
            <w:hideMark/>
          </w:tcPr>
          <w:p w14:paraId="09F743CA" w14:textId="77777777" w:rsidR="00784FA9" w:rsidRPr="00784FA9" w:rsidRDefault="00784FA9" w:rsidP="007E3239">
            <w:pPr>
              <w:pStyle w:val="TableTextBold"/>
              <w:jc w:val="right"/>
              <w:rPr>
                <w:noProof w:val="0"/>
                <w:color w:val="FFFFFF"/>
              </w:rPr>
            </w:pPr>
            <w:r w:rsidRPr="00784FA9">
              <w:rPr>
                <w:noProof w:val="0"/>
                <w:color w:val="FFFFFF"/>
              </w:rPr>
              <w:t>2016</w:t>
            </w:r>
          </w:p>
        </w:tc>
        <w:tc>
          <w:tcPr>
            <w:tcW w:w="707" w:type="dxa"/>
            <w:tcBorders>
              <w:top w:val="nil"/>
              <w:left w:val="nil"/>
              <w:bottom w:val="nil"/>
              <w:right w:val="nil"/>
            </w:tcBorders>
            <w:shd w:val="clear" w:color="auto" w:fill="1B556B"/>
            <w:vAlign w:val="bottom"/>
            <w:hideMark/>
          </w:tcPr>
          <w:p w14:paraId="6DF051E1" w14:textId="77777777" w:rsidR="00784FA9" w:rsidRPr="00784FA9" w:rsidRDefault="00784FA9" w:rsidP="007E3239">
            <w:pPr>
              <w:pStyle w:val="TableTextBold"/>
              <w:jc w:val="right"/>
              <w:rPr>
                <w:noProof w:val="0"/>
                <w:color w:val="FFFFFF"/>
              </w:rPr>
            </w:pPr>
            <w:r w:rsidRPr="00784FA9">
              <w:rPr>
                <w:noProof w:val="0"/>
                <w:color w:val="FFFFFF"/>
              </w:rPr>
              <w:t>2017</w:t>
            </w:r>
            <w:r w:rsidRPr="00784FA9">
              <w:rPr>
                <w:noProof w:val="0"/>
                <w:color w:val="FFFFFF"/>
                <w:vertAlign w:val="superscript"/>
              </w:rPr>
              <w:t>P</w:t>
            </w:r>
          </w:p>
        </w:tc>
        <w:tc>
          <w:tcPr>
            <w:tcW w:w="707" w:type="dxa"/>
            <w:tcBorders>
              <w:top w:val="nil"/>
              <w:left w:val="nil"/>
              <w:bottom w:val="nil"/>
              <w:right w:val="nil"/>
            </w:tcBorders>
            <w:shd w:val="clear" w:color="auto" w:fill="1B556B"/>
            <w:vAlign w:val="bottom"/>
            <w:hideMark/>
          </w:tcPr>
          <w:p w14:paraId="3782191A" w14:textId="77777777" w:rsidR="00784FA9" w:rsidRPr="00784FA9" w:rsidRDefault="00784FA9" w:rsidP="007E3239">
            <w:pPr>
              <w:pStyle w:val="TableTextBold"/>
              <w:jc w:val="right"/>
              <w:rPr>
                <w:noProof w:val="0"/>
                <w:color w:val="FFFFFF"/>
              </w:rPr>
            </w:pPr>
            <w:r w:rsidRPr="00784FA9">
              <w:rPr>
                <w:noProof w:val="0"/>
                <w:color w:val="FFFFFF"/>
              </w:rPr>
              <w:t>2018</w:t>
            </w:r>
            <w:r w:rsidRPr="00784FA9">
              <w:rPr>
                <w:noProof w:val="0"/>
                <w:color w:val="FFFFFF"/>
                <w:vertAlign w:val="superscript"/>
              </w:rPr>
              <w:t>P</w:t>
            </w:r>
          </w:p>
        </w:tc>
        <w:tc>
          <w:tcPr>
            <w:tcW w:w="753" w:type="dxa"/>
            <w:tcBorders>
              <w:top w:val="nil"/>
              <w:left w:val="nil"/>
              <w:bottom w:val="nil"/>
              <w:right w:val="nil"/>
            </w:tcBorders>
            <w:shd w:val="clear" w:color="auto" w:fill="1B556B"/>
            <w:vAlign w:val="bottom"/>
            <w:hideMark/>
          </w:tcPr>
          <w:p w14:paraId="1509D7BC" w14:textId="77777777" w:rsidR="00784FA9" w:rsidRPr="00784FA9" w:rsidRDefault="00784FA9" w:rsidP="007E3239">
            <w:pPr>
              <w:pStyle w:val="TableTextBold"/>
              <w:jc w:val="right"/>
              <w:rPr>
                <w:noProof w:val="0"/>
                <w:color w:val="FFFFFF"/>
              </w:rPr>
            </w:pPr>
            <w:r w:rsidRPr="00784FA9">
              <w:rPr>
                <w:noProof w:val="0"/>
                <w:color w:val="FFFFFF"/>
              </w:rPr>
              <w:t>2019</w:t>
            </w:r>
            <w:r w:rsidRPr="00784FA9">
              <w:rPr>
                <w:noProof w:val="0"/>
                <w:color w:val="FFFFFF"/>
                <w:vertAlign w:val="superscript"/>
              </w:rPr>
              <w:t>P</w:t>
            </w:r>
          </w:p>
        </w:tc>
        <w:tc>
          <w:tcPr>
            <w:tcW w:w="707" w:type="dxa"/>
            <w:tcBorders>
              <w:top w:val="nil"/>
              <w:left w:val="nil"/>
              <w:bottom w:val="nil"/>
              <w:right w:val="nil"/>
            </w:tcBorders>
            <w:shd w:val="clear" w:color="auto" w:fill="1B556B"/>
            <w:vAlign w:val="bottom"/>
            <w:hideMark/>
          </w:tcPr>
          <w:p w14:paraId="35A6003E" w14:textId="77777777" w:rsidR="00784FA9" w:rsidRPr="00784FA9" w:rsidRDefault="00784FA9" w:rsidP="007E3239">
            <w:pPr>
              <w:pStyle w:val="TableTextBold"/>
              <w:jc w:val="right"/>
              <w:rPr>
                <w:noProof w:val="0"/>
                <w:color w:val="FFFFFF"/>
              </w:rPr>
            </w:pPr>
            <w:r w:rsidRPr="00784FA9">
              <w:rPr>
                <w:noProof w:val="0"/>
                <w:color w:val="FFFFFF"/>
              </w:rPr>
              <w:t>2020</w:t>
            </w:r>
            <w:r w:rsidRPr="00784FA9">
              <w:rPr>
                <w:noProof w:val="0"/>
                <w:color w:val="FFFFFF"/>
                <w:vertAlign w:val="superscript"/>
              </w:rPr>
              <w:t>P</w:t>
            </w:r>
          </w:p>
        </w:tc>
      </w:tr>
      <w:tr w:rsidR="00784FA9" w:rsidRPr="00D604EE" w14:paraId="7BBDF30D" w14:textId="77777777" w:rsidTr="00DC76F9">
        <w:tc>
          <w:tcPr>
            <w:tcW w:w="1506" w:type="dxa"/>
            <w:tcBorders>
              <w:top w:val="nil"/>
              <w:left w:val="nil"/>
              <w:bottom w:val="single" w:sz="6" w:space="0" w:color="1B556B"/>
              <w:right w:val="nil"/>
            </w:tcBorders>
            <w:shd w:val="clear" w:color="auto" w:fill="auto"/>
            <w:hideMark/>
          </w:tcPr>
          <w:p w14:paraId="6918D25A" w14:textId="77777777" w:rsidR="00784FA9" w:rsidRPr="00D604EE" w:rsidRDefault="00784FA9" w:rsidP="007E3239">
            <w:pPr>
              <w:pStyle w:val="TableText"/>
              <w:rPr>
                <w:rFonts w:ascii="Times New Roman" w:hAnsi="Times New Roman"/>
                <w:sz w:val="24"/>
                <w:szCs w:val="24"/>
              </w:rPr>
            </w:pPr>
            <w:r w:rsidRPr="00D604EE">
              <w:t xml:space="preserve">Tall forest </w:t>
            </w:r>
          </w:p>
        </w:tc>
        <w:tc>
          <w:tcPr>
            <w:tcW w:w="1046" w:type="dxa"/>
            <w:tcBorders>
              <w:top w:val="nil"/>
              <w:left w:val="nil"/>
              <w:bottom w:val="single" w:sz="6" w:space="0" w:color="1B556B"/>
              <w:right w:val="nil"/>
            </w:tcBorders>
            <w:shd w:val="clear" w:color="auto" w:fill="auto"/>
            <w:hideMark/>
          </w:tcPr>
          <w:p w14:paraId="784AB044" w14:textId="77777777" w:rsidR="00784FA9" w:rsidRPr="00D604EE" w:rsidRDefault="00784FA9" w:rsidP="007E3239">
            <w:pPr>
              <w:pStyle w:val="TableText"/>
              <w:jc w:val="right"/>
            </w:pPr>
            <w:r w:rsidRPr="00D604EE">
              <w:t>8,636</w:t>
            </w:r>
          </w:p>
        </w:tc>
        <w:tc>
          <w:tcPr>
            <w:tcW w:w="958" w:type="dxa"/>
            <w:tcBorders>
              <w:top w:val="nil"/>
              <w:left w:val="nil"/>
              <w:bottom w:val="single" w:sz="6" w:space="0" w:color="1B556B"/>
              <w:right w:val="nil"/>
            </w:tcBorders>
            <w:shd w:val="clear" w:color="auto" w:fill="auto"/>
            <w:hideMark/>
          </w:tcPr>
          <w:p w14:paraId="64591E48" w14:textId="77777777" w:rsidR="00784FA9" w:rsidRPr="00D604EE" w:rsidRDefault="00784FA9" w:rsidP="007E3239">
            <w:pPr>
              <w:pStyle w:val="TableText"/>
              <w:jc w:val="right"/>
            </w:pPr>
            <w:r w:rsidRPr="00D604EE">
              <w:t>2,824</w:t>
            </w:r>
          </w:p>
        </w:tc>
        <w:tc>
          <w:tcPr>
            <w:tcW w:w="707" w:type="dxa"/>
            <w:tcBorders>
              <w:top w:val="nil"/>
              <w:left w:val="nil"/>
              <w:bottom w:val="single" w:sz="6" w:space="0" w:color="1B556B"/>
              <w:right w:val="nil"/>
            </w:tcBorders>
            <w:shd w:val="clear" w:color="auto" w:fill="auto"/>
            <w:hideMark/>
          </w:tcPr>
          <w:p w14:paraId="49EB9A7B" w14:textId="77777777" w:rsidR="00784FA9" w:rsidRPr="00D604EE" w:rsidRDefault="00784FA9" w:rsidP="007E3239">
            <w:pPr>
              <w:pStyle w:val="TableText"/>
              <w:jc w:val="right"/>
            </w:pPr>
            <w:r w:rsidRPr="00D604EE">
              <w:t>323</w:t>
            </w:r>
          </w:p>
        </w:tc>
        <w:tc>
          <w:tcPr>
            <w:tcW w:w="707" w:type="dxa"/>
            <w:tcBorders>
              <w:top w:val="nil"/>
              <w:left w:val="nil"/>
              <w:bottom w:val="single" w:sz="6" w:space="0" w:color="1B556B"/>
              <w:right w:val="nil"/>
            </w:tcBorders>
            <w:shd w:val="clear" w:color="auto" w:fill="auto"/>
            <w:hideMark/>
          </w:tcPr>
          <w:p w14:paraId="6E9230DB" w14:textId="77777777" w:rsidR="00784FA9" w:rsidRPr="00D604EE" w:rsidRDefault="00784FA9" w:rsidP="007E3239">
            <w:pPr>
              <w:pStyle w:val="TableText"/>
              <w:jc w:val="right"/>
            </w:pPr>
            <w:r w:rsidRPr="00D604EE">
              <w:t>466</w:t>
            </w:r>
          </w:p>
        </w:tc>
        <w:tc>
          <w:tcPr>
            <w:tcW w:w="707" w:type="dxa"/>
            <w:tcBorders>
              <w:top w:val="nil"/>
              <w:left w:val="nil"/>
              <w:bottom w:val="single" w:sz="6" w:space="0" w:color="1B556B"/>
              <w:right w:val="nil"/>
            </w:tcBorders>
            <w:shd w:val="clear" w:color="auto" w:fill="auto"/>
            <w:hideMark/>
          </w:tcPr>
          <w:p w14:paraId="79692908" w14:textId="77777777" w:rsidR="00784FA9" w:rsidRPr="00D604EE" w:rsidRDefault="00784FA9" w:rsidP="007E3239">
            <w:pPr>
              <w:pStyle w:val="TableText"/>
              <w:jc w:val="right"/>
            </w:pPr>
            <w:r w:rsidRPr="00D604EE">
              <w:t>440</w:t>
            </w:r>
          </w:p>
        </w:tc>
        <w:tc>
          <w:tcPr>
            <w:tcW w:w="707" w:type="dxa"/>
            <w:tcBorders>
              <w:top w:val="nil"/>
              <w:left w:val="nil"/>
              <w:bottom w:val="single" w:sz="6" w:space="0" w:color="1B556B"/>
              <w:right w:val="nil"/>
            </w:tcBorders>
            <w:shd w:val="clear" w:color="auto" w:fill="auto"/>
            <w:hideMark/>
          </w:tcPr>
          <w:p w14:paraId="52581243" w14:textId="77777777" w:rsidR="00784FA9" w:rsidRPr="00D604EE" w:rsidRDefault="00784FA9" w:rsidP="007E3239">
            <w:pPr>
              <w:pStyle w:val="TableText"/>
              <w:jc w:val="right"/>
            </w:pPr>
            <w:r w:rsidRPr="00D604EE">
              <w:t>410</w:t>
            </w:r>
          </w:p>
        </w:tc>
        <w:tc>
          <w:tcPr>
            <w:tcW w:w="707" w:type="dxa"/>
            <w:tcBorders>
              <w:top w:val="nil"/>
              <w:left w:val="nil"/>
              <w:bottom w:val="single" w:sz="6" w:space="0" w:color="1B556B"/>
              <w:right w:val="nil"/>
            </w:tcBorders>
            <w:shd w:val="clear" w:color="auto" w:fill="auto"/>
            <w:hideMark/>
          </w:tcPr>
          <w:p w14:paraId="17C18602" w14:textId="77777777" w:rsidR="00784FA9" w:rsidRPr="00D604EE" w:rsidRDefault="00784FA9" w:rsidP="007E3239">
            <w:pPr>
              <w:pStyle w:val="TableText"/>
              <w:jc w:val="right"/>
            </w:pPr>
            <w:r w:rsidRPr="00D604EE">
              <w:t>410</w:t>
            </w:r>
          </w:p>
        </w:tc>
        <w:tc>
          <w:tcPr>
            <w:tcW w:w="753" w:type="dxa"/>
            <w:tcBorders>
              <w:top w:val="nil"/>
              <w:left w:val="nil"/>
              <w:bottom w:val="single" w:sz="6" w:space="0" w:color="1B556B"/>
              <w:right w:val="nil"/>
            </w:tcBorders>
            <w:shd w:val="clear" w:color="auto" w:fill="auto"/>
            <w:hideMark/>
          </w:tcPr>
          <w:p w14:paraId="763EC341" w14:textId="77777777" w:rsidR="00784FA9" w:rsidRPr="00D604EE" w:rsidRDefault="00784FA9" w:rsidP="007E3239">
            <w:pPr>
              <w:pStyle w:val="TableText"/>
              <w:jc w:val="right"/>
            </w:pPr>
            <w:r w:rsidRPr="00D604EE">
              <w:t>410</w:t>
            </w:r>
          </w:p>
        </w:tc>
        <w:tc>
          <w:tcPr>
            <w:tcW w:w="707" w:type="dxa"/>
            <w:tcBorders>
              <w:top w:val="nil"/>
              <w:left w:val="nil"/>
              <w:bottom w:val="single" w:sz="6" w:space="0" w:color="1B556B"/>
              <w:right w:val="nil"/>
            </w:tcBorders>
            <w:shd w:val="clear" w:color="auto" w:fill="auto"/>
            <w:hideMark/>
          </w:tcPr>
          <w:p w14:paraId="60D58E38" w14:textId="77777777" w:rsidR="00784FA9" w:rsidRPr="00D604EE" w:rsidRDefault="00784FA9" w:rsidP="007E3239">
            <w:pPr>
              <w:pStyle w:val="TableText"/>
              <w:jc w:val="right"/>
            </w:pPr>
            <w:r w:rsidRPr="00D604EE">
              <w:t>410</w:t>
            </w:r>
          </w:p>
        </w:tc>
      </w:tr>
      <w:tr w:rsidR="00784FA9" w:rsidRPr="00D604EE" w14:paraId="720416BE" w14:textId="77777777" w:rsidTr="007E3239">
        <w:tc>
          <w:tcPr>
            <w:tcW w:w="1506" w:type="dxa"/>
            <w:tcBorders>
              <w:top w:val="single" w:sz="6" w:space="0" w:color="1B556B"/>
              <w:left w:val="nil"/>
              <w:bottom w:val="single" w:sz="6" w:space="0" w:color="1B556B"/>
              <w:right w:val="nil"/>
            </w:tcBorders>
            <w:shd w:val="clear" w:color="auto" w:fill="auto"/>
            <w:hideMark/>
          </w:tcPr>
          <w:p w14:paraId="41222B77" w14:textId="77777777" w:rsidR="00784FA9" w:rsidRPr="00D604EE" w:rsidRDefault="00784FA9" w:rsidP="007E3239">
            <w:pPr>
              <w:pStyle w:val="TableText"/>
              <w:rPr>
                <w:rFonts w:ascii="Times New Roman" w:hAnsi="Times New Roman"/>
                <w:sz w:val="24"/>
                <w:szCs w:val="24"/>
              </w:rPr>
            </w:pPr>
            <w:r w:rsidRPr="00D604EE">
              <w:t>Regenerating </w:t>
            </w:r>
          </w:p>
        </w:tc>
        <w:tc>
          <w:tcPr>
            <w:tcW w:w="1046" w:type="dxa"/>
            <w:tcBorders>
              <w:top w:val="single" w:sz="6" w:space="0" w:color="1B556B"/>
              <w:left w:val="nil"/>
              <w:bottom w:val="single" w:sz="6" w:space="0" w:color="1B556B"/>
              <w:right w:val="nil"/>
            </w:tcBorders>
            <w:shd w:val="clear" w:color="auto" w:fill="auto"/>
            <w:hideMark/>
          </w:tcPr>
          <w:p w14:paraId="56EA43E1" w14:textId="77777777" w:rsidR="00784FA9" w:rsidRPr="00D604EE" w:rsidRDefault="00784FA9" w:rsidP="007E3239">
            <w:pPr>
              <w:pStyle w:val="TableText"/>
              <w:jc w:val="right"/>
            </w:pPr>
            <w:r w:rsidRPr="00D604EE">
              <w:t>24,563</w:t>
            </w:r>
          </w:p>
        </w:tc>
        <w:tc>
          <w:tcPr>
            <w:tcW w:w="958" w:type="dxa"/>
            <w:tcBorders>
              <w:top w:val="single" w:sz="6" w:space="0" w:color="1B556B"/>
              <w:left w:val="nil"/>
              <w:bottom w:val="single" w:sz="6" w:space="0" w:color="1B556B"/>
              <w:right w:val="nil"/>
            </w:tcBorders>
            <w:shd w:val="clear" w:color="auto" w:fill="auto"/>
            <w:hideMark/>
          </w:tcPr>
          <w:p w14:paraId="743AEBCC" w14:textId="77777777" w:rsidR="00784FA9" w:rsidRPr="00D604EE" w:rsidRDefault="00784FA9" w:rsidP="007E3239">
            <w:pPr>
              <w:pStyle w:val="TableText"/>
              <w:jc w:val="right"/>
            </w:pPr>
            <w:r w:rsidRPr="00D604EE">
              <w:t>5,721</w:t>
            </w:r>
          </w:p>
        </w:tc>
        <w:tc>
          <w:tcPr>
            <w:tcW w:w="707" w:type="dxa"/>
            <w:tcBorders>
              <w:top w:val="single" w:sz="6" w:space="0" w:color="1B556B"/>
              <w:left w:val="nil"/>
              <w:bottom w:val="single" w:sz="6" w:space="0" w:color="1B556B"/>
              <w:right w:val="nil"/>
            </w:tcBorders>
            <w:shd w:val="clear" w:color="auto" w:fill="auto"/>
            <w:hideMark/>
          </w:tcPr>
          <w:p w14:paraId="1374E1E1" w14:textId="77777777" w:rsidR="00784FA9" w:rsidRPr="00D604EE" w:rsidRDefault="00784FA9" w:rsidP="007E3239">
            <w:pPr>
              <w:pStyle w:val="TableText"/>
              <w:jc w:val="right"/>
            </w:pPr>
            <w:r w:rsidRPr="00D604EE">
              <w:t>278</w:t>
            </w:r>
          </w:p>
        </w:tc>
        <w:tc>
          <w:tcPr>
            <w:tcW w:w="707" w:type="dxa"/>
            <w:tcBorders>
              <w:top w:val="single" w:sz="6" w:space="0" w:color="1B556B"/>
              <w:left w:val="nil"/>
              <w:bottom w:val="single" w:sz="6" w:space="0" w:color="1B556B"/>
              <w:right w:val="nil"/>
            </w:tcBorders>
            <w:shd w:val="clear" w:color="auto" w:fill="auto"/>
            <w:hideMark/>
          </w:tcPr>
          <w:p w14:paraId="060A3674" w14:textId="77777777" w:rsidR="00784FA9" w:rsidRPr="00D604EE" w:rsidRDefault="00784FA9" w:rsidP="007E3239">
            <w:pPr>
              <w:pStyle w:val="TableText"/>
              <w:jc w:val="right"/>
            </w:pPr>
            <w:r w:rsidRPr="00D604EE">
              <w:t>506</w:t>
            </w:r>
          </w:p>
        </w:tc>
        <w:tc>
          <w:tcPr>
            <w:tcW w:w="707" w:type="dxa"/>
            <w:tcBorders>
              <w:top w:val="single" w:sz="6" w:space="0" w:color="1B556B"/>
              <w:left w:val="nil"/>
              <w:bottom w:val="single" w:sz="6" w:space="0" w:color="1B556B"/>
              <w:right w:val="nil"/>
            </w:tcBorders>
            <w:shd w:val="clear" w:color="auto" w:fill="auto"/>
            <w:hideMark/>
          </w:tcPr>
          <w:p w14:paraId="50D7BF14" w14:textId="77777777" w:rsidR="00784FA9" w:rsidRPr="00D604EE" w:rsidRDefault="00784FA9" w:rsidP="007E3239">
            <w:pPr>
              <w:pStyle w:val="TableText"/>
              <w:jc w:val="right"/>
            </w:pPr>
            <w:r w:rsidRPr="00D604EE">
              <w:t>329</w:t>
            </w:r>
          </w:p>
        </w:tc>
        <w:tc>
          <w:tcPr>
            <w:tcW w:w="707" w:type="dxa"/>
            <w:tcBorders>
              <w:top w:val="single" w:sz="6" w:space="0" w:color="1B556B"/>
              <w:left w:val="nil"/>
              <w:bottom w:val="single" w:sz="6" w:space="0" w:color="1B556B"/>
              <w:right w:val="nil"/>
            </w:tcBorders>
            <w:shd w:val="clear" w:color="auto" w:fill="auto"/>
            <w:hideMark/>
          </w:tcPr>
          <w:p w14:paraId="7FCA5248" w14:textId="77777777" w:rsidR="00784FA9" w:rsidRPr="00D604EE" w:rsidRDefault="00784FA9" w:rsidP="007E3239">
            <w:pPr>
              <w:pStyle w:val="TableText"/>
              <w:jc w:val="right"/>
            </w:pPr>
            <w:r w:rsidRPr="00D604EE">
              <w:t>371</w:t>
            </w:r>
          </w:p>
        </w:tc>
        <w:tc>
          <w:tcPr>
            <w:tcW w:w="707" w:type="dxa"/>
            <w:tcBorders>
              <w:top w:val="single" w:sz="6" w:space="0" w:color="1B556B"/>
              <w:left w:val="nil"/>
              <w:bottom w:val="single" w:sz="6" w:space="0" w:color="1B556B"/>
              <w:right w:val="nil"/>
            </w:tcBorders>
            <w:shd w:val="clear" w:color="auto" w:fill="auto"/>
            <w:hideMark/>
          </w:tcPr>
          <w:p w14:paraId="0FC38334" w14:textId="77777777" w:rsidR="00784FA9" w:rsidRPr="00D604EE" w:rsidRDefault="00784FA9" w:rsidP="007E3239">
            <w:pPr>
              <w:pStyle w:val="TableText"/>
              <w:jc w:val="right"/>
            </w:pPr>
            <w:r w:rsidRPr="00D604EE">
              <w:t>371</w:t>
            </w:r>
          </w:p>
        </w:tc>
        <w:tc>
          <w:tcPr>
            <w:tcW w:w="753" w:type="dxa"/>
            <w:tcBorders>
              <w:top w:val="single" w:sz="6" w:space="0" w:color="1B556B"/>
              <w:left w:val="nil"/>
              <w:bottom w:val="single" w:sz="6" w:space="0" w:color="1B556B"/>
              <w:right w:val="nil"/>
            </w:tcBorders>
            <w:shd w:val="clear" w:color="auto" w:fill="auto"/>
            <w:hideMark/>
          </w:tcPr>
          <w:p w14:paraId="5A8D1CDC" w14:textId="77777777" w:rsidR="00784FA9" w:rsidRPr="00D604EE" w:rsidRDefault="00784FA9" w:rsidP="007E3239">
            <w:pPr>
              <w:pStyle w:val="TableText"/>
              <w:jc w:val="right"/>
            </w:pPr>
            <w:r w:rsidRPr="00D604EE">
              <w:t>371</w:t>
            </w:r>
          </w:p>
        </w:tc>
        <w:tc>
          <w:tcPr>
            <w:tcW w:w="707" w:type="dxa"/>
            <w:tcBorders>
              <w:top w:val="single" w:sz="6" w:space="0" w:color="1B556B"/>
              <w:left w:val="nil"/>
              <w:bottom w:val="single" w:sz="6" w:space="0" w:color="1B556B"/>
              <w:right w:val="nil"/>
            </w:tcBorders>
            <w:shd w:val="clear" w:color="auto" w:fill="auto"/>
            <w:hideMark/>
          </w:tcPr>
          <w:p w14:paraId="7298FBE3" w14:textId="77777777" w:rsidR="00784FA9" w:rsidRPr="00D604EE" w:rsidRDefault="00784FA9" w:rsidP="007E3239">
            <w:pPr>
              <w:pStyle w:val="TableText"/>
              <w:jc w:val="right"/>
            </w:pPr>
            <w:r w:rsidRPr="00D604EE">
              <w:t>371</w:t>
            </w:r>
          </w:p>
        </w:tc>
      </w:tr>
      <w:tr w:rsidR="00784FA9" w:rsidRPr="00D604EE" w14:paraId="5A915515" w14:textId="77777777" w:rsidTr="007E3239">
        <w:tc>
          <w:tcPr>
            <w:tcW w:w="1506" w:type="dxa"/>
            <w:tcBorders>
              <w:top w:val="single" w:sz="6" w:space="0" w:color="1B556B"/>
              <w:left w:val="nil"/>
              <w:bottom w:val="single" w:sz="6" w:space="0" w:color="1B556B"/>
              <w:right w:val="nil"/>
            </w:tcBorders>
            <w:shd w:val="clear" w:color="auto" w:fill="FFFFFF"/>
            <w:hideMark/>
          </w:tcPr>
          <w:p w14:paraId="21E96ACA" w14:textId="77777777" w:rsidR="00784FA9" w:rsidRPr="00D604EE" w:rsidRDefault="00784FA9" w:rsidP="007E3239">
            <w:pPr>
              <w:pStyle w:val="Tableboldblue"/>
              <w:jc w:val="right"/>
              <w:rPr>
                <w:rFonts w:ascii="Times New Roman" w:hAnsi="Times New Roman"/>
                <w:bCs/>
                <w:sz w:val="24"/>
                <w:szCs w:val="24"/>
              </w:rPr>
            </w:pPr>
            <w:r w:rsidRPr="00D604EE">
              <w:t>Total </w:t>
            </w:r>
          </w:p>
        </w:tc>
        <w:tc>
          <w:tcPr>
            <w:tcW w:w="1046" w:type="dxa"/>
            <w:tcBorders>
              <w:top w:val="single" w:sz="6" w:space="0" w:color="1B556B"/>
              <w:left w:val="nil"/>
              <w:bottom w:val="single" w:sz="6" w:space="0" w:color="1B556B"/>
              <w:right w:val="nil"/>
            </w:tcBorders>
            <w:shd w:val="clear" w:color="auto" w:fill="auto"/>
            <w:hideMark/>
          </w:tcPr>
          <w:p w14:paraId="12B2934A" w14:textId="77777777" w:rsidR="00784FA9" w:rsidRPr="00D604EE" w:rsidRDefault="00784FA9" w:rsidP="007E3239">
            <w:pPr>
              <w:pStyle w:val="Tableboldblue"/>
              <w:jc w:val="right"/>
            </w:pPr>
            <w:r w:rsidRPr="00D604EE">
              <w:t>33,199</w:t>
            </w:r>
          </w:p>
        </w:tc>
        <w:tc>
          <w:tcPr>
            <w:tcW w:w="958" w:type="dxa"/>
            <w:tcBorders>
              <w:top w:val="single" w:sz="6" w:space="0" w:color="1B556B"/>
              <w:left w:val="nil"/>
              <w:bottom w:val="single" w:sz="6" w:space="0" w:color="1B556B"/>
              <w:right w:val="nil"/>
            </w:tcBorders>
            <w:shd w:val="clear" w:color="auto" w:fill="auto"/>
            <w:hideMark/>
          </w:tcPr>
          <w:p w14:paraId="67C9316E" w14:textId="77777777" w:rsidR="00784FA9" w:rsidRPr="00D604EE" w:rsidRDefault="00784FA9" w:rsidP="007E3239">
            <w:pPr>
              <w:pStyle w:val="Tableboldblue"/>
              <w:jc w:val="right"/>
            </w:pPr>
            <w:r w:rsidRPr="00D604EE">
              <w:t>8,545</w:t>
            </w:r>
          </w:p>
        </w:tc>
        <w:tc>
          <w:tcPr>
            <w:tcW w:w="707" w:type="dxa"/>
            <w:tcBorders>
              <w:top w:val="single" w:sz="6" w:space="0" w:color="1B556B"/>
              <w:left w:val="nil"/>
              <w:bottom w:val="single" w:sz="6" w:space="0" w:color="1B556B"/>
              <w:right w:val="nil"/>
            </w:tcBorders>
            <w:shd w:val="clear" w:color="auto" w:fill="auto"/>
            <w:hideMark/>
          </w:tcPr>
          <w:p w14:paraId="2C7A47F7" w14:textId="77777777" w:rsidR="00784FA9" w:rsidRPr="00D604EE" w:rsidRDefault="00784FA9" w:rsidP="007E3239">
            <w:pPr>
              <w:pStyle w:val="Tableboldblue"/>
              <w:jc w:val="right"/>
            </w:pPr>
            <w:r w:rsidRPr="00D604EE">
              <w:t>601</w:t>
            </w:r>
          </w:p>
        </w:tc>
        <w:tc>
          <w:tcPr>
            <w:tcW w:w="707" w:type="dxa"/>
            <w:tcBorders>
              <w:top w:val="single" w:sz="6" w:space="0" w:color="1B556B"/>
              <w:left w:val="nil"/>
              <w:bottom w:val="single" w:sz="6" w:space="0" w:color="1B556B"/>
              <w:right w:val="nil"/>
            </w:tcBorders>
            <w:shd w:val="clear" w:color="auto" w:fill="auto"/>
            <w:hideMark/>
          </w:tcPr>
          <w:p w14:paraId="6A27A3FF" w14:textId="77777777" w:rsidR="00784FA9" w:rsidRPr="00D604EE" w:rsidRDefault="00784FA9" w:rsidP="007E3239">
            <w:pPr>
              <w:pStyle w:val="Tableboldblue"/>
              <w:jc w:val="right"/>
            </w:pPr>
            <w:r w:rsidRPr="00D604EE">
              <w:t>972</w:t>
            </w:r>
          </w:p>
        </w:tc>
        <w:tc>
          <w:tcPr>
            <w:tcW w:w="707" w:type="dxa"/>
            <w:tcBorders>
              <w:top w:val="single" w:sz="6" w:space="0" w:color="1B556B"/>
              <w:left w:val="nil"/>
              <w:bottom w:val="single" w:sz="6" w:space="0" w:color="1B556B"/>
              <w:right w:val="nil"/>
            </w:tcBorders>
            <w:shd w:val="clear" w:color="auto" w:fill="auto"/>
            <w:hideMark/>
          </w:tcPr>
          <w:p w14:paraId="0DCB629A" w14:textId="77777777" w:rsidR="00784FA9" w:rsidRPr="00D604EE" w:rsidRDefault="00784FA9" w:rsidP="007E3239">
            <w:pPr>
              <w:pStyle w:val="Tableboldblue"/>
              <w:jc w:val="right"/>
            </w:pPr>
            <w:r w:rsidRPr="00D604EE">
              <w:t>769</w:t>
            </w:r>
          </w:p>
        </w:tc>
        <w:tc>
          <w:tcPr>
            <w:tcW w:w="707" w:type="dxa"/>
            <w:tcBorders>
              <w:top w:val="single" w:sz="6" w:space="0" w:color="1B556B"/>
              <w:left w:val="nil"/>
              <w:bottom w:val="single" w:sz="6" w:space="0" w:color="1B556B"/>
              <w:right w:val="nil"/>
            </w:tcBorders>
            <w:shd w:val="clear" w:color="auto" w:fill="auto"/>
            <w:hideMark/>
          </w:tcPr>
          <w:p w14:paraId="4E92762D" w14:textId="77777777" w:rsidR="00784FA9" w:rsidRPr="00D604EE" w:rsidRDefault="00784FA9" w:rsidP="007E3239">
            <w:pPr>
              <w:pStyle w:val="Tableboldblue"/>
              <w:jc w:val="right"/>
            </w:pPr>
            <w:r w:rsidRPr="00D604EE">
              <w:t>781</w:t>
            </w:r>
          </w:p>
        </w:tc>
        <w:tc>
          <w:tcPr>
            <w:tcW w:w="707" w:type="dxa"/>
            <w:tcBorders>
              <w:top w:val="single" w:sz="6" w:space="0" w:color="1B556B"/>
              <w:left w:val="nil"/>
              <w:bottom w:val="single" w:sz="6" w:space="0" w:color="1B556B"/>
              <w:right w:val="nil"/>
            </w:tcBorders>
            <w:shd w:val="clear" w:color="auto" w:fill="auto"/>
            <w:hideMark/>
          </w:tcPr>
          <w:p w14:paraId="63CC7A15" w14:textId="77777777" w:rsidR="00784FA9" w:rsidRPr="00D604EE" w:rsidRDefault="00784FA9" w:rsidP="007E3239">
            <w:pPr>
              <w:pStyle w:val="Tableboldblue"/>
              <w:jc w:val="right"/>
            </w:pPr>
            <w:r w:rsidRPr="00D604EE">
              <w:t>781</w:t>
            </w:r>
          </w:p>
        </w:tc>
        <w:tc>
          <w:tcPr>
            <w:tcW w:w="753" w:type="dxa"/>
            <w:tcBorders>
              <w:top w:val="single" w:sz="6" w:space="0" w:color="1B556B"/>
              <w:left w:val="nil"/>
              <w:bottom w:val="single" w:sz="6" w:space="0" w:color="1B556B"/>
              <w:right w:val="nil"/>
            </w:tcBorders>
            <w:shd w:val="clear" w:color="auto" w:fill="auto"/>
            <w:hideMark/>
          </w:tcPr>
          <w:p w14:paraId="36745A63" w14:textId="77777777" w:rsidR="00784FA9" w:rsidRPr="00D604EE" w:rsidRDefault="00784FA9" w:rsidP="007E3239">
            <w:pPr>
              <w:pStyle w:val="Tableboldblue"/>
              <w:jc w:val="right"/>
            </w:pPr>
            <w:r w:rsidRPr="00D604EE">
              <w:t>781</w:t>
            </w:r>
          </w:p>
        </w:tc>
        <w:tc>
          <w:tcPr>
            <w:tcW w:w="707" w:type="dxa"/>
            <w:tcBorders>
              <w:top w:val="single" w:sz="6" w:space="0" w:color="1B556B"/>
              <w:left w:val="nil"/>
              <w:bottom w:val="single" w:sz="6" w:space="0" w:color="1B556B"/>
              <w:right w:val="nil"/>
            </w:tcBorders>
            <w:shd w:val="clear" w:color="auto" w:fill="auto"/>
            <w:hideMark/>
          </w:tcPr>
          <w:p w14:paraId="28BC4AE1" w14:textId="77777777" w:rsidR="00784FA9" w:rsidRPr="00D604EE" w:rsidRDefault="00784FA9" w:rsidP="007E3239">
            <w:pPr>
              <w:pStyle w:val="Tableboldblue"/>
              <w:jc w:val="right"/>
            </w:pPr>
            <w:r w:rsidRPr="00D604EE">
              <w:t>781</w:t>
            </w:r>
          </w:p>
        </w:tc>
      </w:tr>
    </w:tbl>
    <w:p w14:paraId="1479DB13" w14:textId="77777777" w:rsidR="00784FA9" w:rsidRPr="00D604EE" w:rsidRDefault="00784FA9" w:rsidP="00784FA9">
      <w:pPr>
        <w:pStyle w:val="Noteundertable"/>
        <w:rPr>
          <w:rFonts w:ascii="Yu Gothic Light" w:hAnsi="Yu Gothic Light" w:cs="Yu Gothic Light"/>
        </w:rPr>
      </w:pPr>
      <w:r w:rsidRPr="00D604EE">
        <w:rPr>
          <w:b/>
        </w:rPr>
        <w:t>Note</w:t>
      </w:r>
      <w:r w:rsidRPr="00D604EE">
        <w:t>:</w:t>
      </w:r>
      <w:r w:rsidRPr="00D604EE">
        <w:tab/>
        <w:t>P = provisional figure (figures for 2017–2020 are provisional). Columns may not total due to rounding. </w:t>
      </w:r>
    </w:p>
    <w:p w14:paraId="21D63694" w14:textId="77777777" w:rsidR="00784FA9" w:rsidRPr="00D604EE" w:rsidRDefault="00784FA9" w:rsidP="00784FA9">
      <w:pPr>
        <w:pStyle w:val="BodyText"/>
      </w:pPr>
      <w:r w:rsidRPr="00D604EE">
        <w:t>Estimates of biomass burning emissions associated with deforestation are provided in section</w:t>
      </w:r>
      <w:r>
        <w:t> </w:t>
      </w:r>
      <w:r w:rsidRPr="00D604EE">
        <w:t>6.10.8.</w:t>
      </w:r>
    </w:p>
    <w:p w14:paraId="31F89AF7" w14:textId="77777777" w:rsidR="00784FA9" w:rsidRPr="00D604EE" w:rsidRDefault="00784FA9" w:rsidP="00784FA9">
      <w:pPr>
        <w:pStyle w:val="BodyText"/>
      </w:pPr>
      <w:r w:rsidRPr="00D604EE">
        <w:t xml:space="preserve">Deforestation emissions are reported in the relevant </w:t>
      </w:r>
      <w:r w:rsidRPr="00D604EE">
        <w:rPr>
          <w:i/>
        </w:rPr>
        <w:t>Land converted to</w:t>
      </w:r>
      <w:r w:rsidRPr="00D604EE">
        <w:t xml:space="preserve"> category, as are all emissions from land-use change. </w:t>
      </w:r>
    </w:p>
    <w:p w14:paraId="295DCF59" w14:textId="77777777" w:rsidR="00784FA9" w:rsidRPr="00D604EE" w:rsidRDefault="00784FA9" w:rsidP="00784FA9">
      <w:pPr>
        <w:pStyle w:val="Heading5"/>
      </w:pPr>
      <w:bookmarkStart w:id="1612" w:name="_Hlk73698248"/>
      <w:r w:rsidRPr="00D604EE">
        <w:t>National Forest Inventory</w:t>
      </w:r>
    </w:p>
    <w:bookmarkEnd w:id="1612"/>
    <w:p w14:paraId="0EE8461A" w14:textId="77777777" w:rsidR="00784FA9" w:rsidRPr="00D604EE" w:rsidRDefault="00784FA9" w:rsidP="00784FA9">
      <w:pPr>
        <w:pStyle w:val="BodyText"/>
      </w:pPr>
      <w:r w:rsidRPr="00D604EE">
        <w:t xml:space="preserve">New Zealand has established a sampling framework for forest inventory purposes based on an 8-kilometre national grid system (8 kilometres north–south by 8 kilometres east–west). The grid has a randomly selected origin and provides an unbiased framework for establishing plots for field and/or Light Detection and Ranging (LiDAR) measurements. The network is subdivided into a 4-kilometre grid for measurement of post-1989 forest. Forest monitoring plots are </w:t>
      </w:r>
      <w:r w:rsidRPr="00D604EE">
        <w:lastRenderedPageBreak/>
        <w:t xml:space="preserve">established and measured where a grid point falls in the land use to be sampled. Figures 6.3.5 and 6.3.6 show the distribution of the pre-1990 natural and planted forest, post-1989 natural and planted forest, and the carbon monitoring plots throughout New Zealand. A further description of the plot network can be found in annex A3.2.5 ‘National forest inventory’. </w:t>
      </w:r>
    </w:p>
    <w:p w14:paraId="7FD612D5" w14:textId="77777777" w:rsidR="00784FA9" w:rsidRPr="00D604EE" w:rsidRDefault="00784FA9" w:rsidP="00784FA9">
      <w:pPr>
        <w:pStyle w:val="Figure"/>
      </w:pPr>
      <w:bookmarkStart w:id="1613" w:name="_Toc280630494"/>
      <w:bookmarkStart w:id="1614" w:name="_Toc318362753"/>
      <w:bookmarkStart w:id="1615" w:name="_Toc342470833"/>
      <w:bookmarkStart w:id="1616" w:name="_Toc352505161"/>
      <w:bookmarkStart w:id="1617" w:name="_Toc373395721"/>
      <w:bookmarkStart w:id="1618" w:name="_Toc378853344"/>
      <w:bookmarkStart w:id="1619" w:name="_Toc405448094"/>
      <w:bookmarkStart w:id="1620" w:name="_Toc414531626"/>
      <w:bookmarkStart w:id="1621" w:name="_Toc474914650"/>
      <w:bookmarkStart w:id="1622" w:name="_Toc481752032"/>
      <w:bookmarkStart w:id="1623" w:name="_Toc522010710"/>
      <w:bookmarkStart w:id="1624" w:name="_Toc5269712"/>
      <w:bookmarkStart w:id="1625" w:name="_Toc33529485"/>
      <w:bookmarkStart w:id="1626" w:name="_Toc36292815"/>
      <w:bookmarkStart w:id="1627" w:name="_Toc99696052"/>
      <w:r w:rsidRPr="00D604EE">
        <w:t>Figure 6.3.5</w:t>
      </w:r>
      <w:r w:rsidRPr="00D604EE">
        <w:tab/>
        <w:t>Location of New Zealand’s pre-1990 forest carbon monitoring plots</w:t>
      </w:r>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p>
    <w:p w14:paraId="529D68D8" w14:textId="4BB6047D" w:rsidR="00784FA9" w:rsidRPr="00D604EE" w:rsidRDefault="004B48CC" w:rsidP="00784FA9">
      <w:pPr>
        <w:pStyle w:val="BodyText"/>
      </w:pPr>
      <w:r>
        <w:rPr>
          <w:noProof/>
        </w:rPr>
        <w:pict w14:anchorId="59E1EFB6">
          <v:shape id="Picture 120" o:spid="_x0000_i1127" type="#_x0000_t75" alt="Map&#10;&#10;Description automatically generated" style="width:402.7pt;height:523.25pt;visibility:visible;mso-wrap-style:square">
            <v:imagedata r:id="rId206" o:title="Map&#10;&#10;Description automatically generated"/>
          </v:shape>
        </w:pict>
      </w:r>
    </w:p>
    <w:p w14:paraId="7BCBFCDC" w14:textId="77777777" w:rsidR="00784FA9" w:rsidRPr="00D604EE" w:rsidRDefault="00784FA9" w:rsidP="00784FA9">
      <w:pPr>
        <w:pStyle w:val="Figure"/>
        <w:spacing w:after="0"/>
      </w:pPr>
      <w:bookmarkStart w:id="1628" w:name="_Toc33529486"/>
      <w:bookmarkStart w:id="1629" w:name="_Toc36292816"/>
      <w:bookmarkStart w:id="1630" w:name="_Toc99696053"/>
      <w:bookmarkStart w:id="1631" w:name="_Toc255466332"/>
      <w:bookmarkStart w:id="1632" w:name="_Toc261513139"/>
      <w:bookmarkStart w:id="1633" w:name="_Toc261513752"/>
      <w:bookmarkStart w:id="1634" w:name="_Toc280630248"/>
      <w:r w:rsidRPr="00D604EE">
        <w:lastRenderedPageBreak/>
        <w:t>Figure 6.3.6</w:t>
      </w:r>
      <w:r w:rsidRPr="00D604EE">
        <w:tab/>
        <w:t>Location of New Zealand’s post-1989 forest plots</w:t>
      </w:r>
      <w:bookmarkEnd w:id="1628"/>
      <w:bookmarkEnd w:id="1629"/>
      <w:bookmarkEnd w:id="1630"/>
    </w:p>
    <w:p w14:paraId="5BB06E52" w14:textId="4C451808" w:rsidR="00784FA9" w:rsidRPr="00D604EE" w:rsidRDefault="004B48CC" w:rsidP="00784FA9">
      <w:pPr>
        <w:pStyle w:val="BodyText"/>
        <w:spacing w:after="0"/>
      </w:pPr>
      <w:r>
        <w:rPr>
          <w:noProof/>
        </w:rPr>
        <w:pict w14:anchorId="1DB5387F">
          <v:shape id="Picture 121" o:spid="_x0000_i1128" type="#_x0000_t75" alt="Map&#10;&#10;Description automatically generated" style="width:396.85pt;height:510.7pt;visibility:visible;mso-wrap-style:square">
            <v:imagedata r:id="rId207" o:title="Map&#10;&#10;Description automatically generated"/>
          </v:shape>
        </w:pict>
      </w:r>
    </w:p>
    <w:p w14:paraId="1A8516EF" w14:textId="77777777" w:rsidR="00784FA9" w:rsidRPr="00D604EE" w:rsidRDefault="00784FA9" w:rsidP="00784FA9">
      <w:pPr>
        <w:pStyle w:val="Heading4"/>
        <w:spacing w:before="360"/>
      </w:pPr>
      <w:bookmarkStart w:id="1635" w:name="_Toc255466331"/>
      <w:bookmarkStart w:id="1636" w:name="_Toc261513138"/>
      <w:bookmarkStart w:id="1637" w:name="_Toc261513751"/>
      <w:bookmarkStart w:id="1638" w:name="_Toc280630247"/>
      <w:bookmarkEnd w:id="1631"/>
      <w:bookmarkEnd w:id="1632"/>
      <w:bookmarkEnd w:id="1633"/>
      <w:bookmarkEnd w:id="1634"/>
      <w:r w:rsidRPr="00D604EE">
        <w:t>Forest land remaining forest land</w:t>
      </w:r>
      <w:bookmarkEnd w:id="1635"/>
      <w:bookmarkEnd w:id="1636"/>
      <w:bookmarkEnd w:id="1637"/>
      <w:bookmarkEnd w:id="1638"/>
      <w:r w:rsidRPr="00D604EE">
        <w:t xml:space="preserve"> (CRF 4.A.1)</w:t>
      </w:r>
    </w:p>
    <w:p w14:paraId="7ECD8BD0" w14:textId="77777777" w:rsidR="00784FA9" w:rsidRPr="00D604EE" w:rsidRDefault="00784FA9" w:rsidP="00784FA9">
      <w:pPr>
        <w:pStyle w:val="Heading5"/>
        <w:spacing w:before="120"/>
      </w:pPr>
      <w:r w:rsidRPr="00D604EE">
        <w:t>Living biomass and dead organic matter</w:t>
      </w:r>
    </w:p>
    <w:p w14:paraId="2E79A539" w14:textId="77777777" w:rsidR="00784FA9" w:rsidRPr="00D604EE" w:rsidRDefault="00784FA9" w:rsidP="00784FA9">
      <w:pPr>
        <w:pStyle w:val="BodyText"/>
      </w:pPr>
      <w:r w:rsidRPr="00D604EE">
        <w:t>Emissions and removals for the living biomass and dead organic matter pools have been calculated using Tier 2 and 3 methods. At each forest plot, data are collected to calculate the volumes of trees, shrubs and dead organic matter present. These measurements are then used to estimate the carbon stocks for the biomass pools of:</w:t>
      </w:r>
    </w:p>
    <w:p w14:paraId="0BC43C86" w14:textId="77777777" w:rsidR="00784FA9" w:rsidRPr="00D604EE" w:rsidRDefault="00784FA9" w:rsidP="00AB2A5C">
      <w:pPr>
        <w:pStyle w:val="Bullet"/>
        <w:numPr>
          <w:ilvl w:val="0"/>
          <w:numId w:val="19"/>
        </w:numPr>
        <w:ind w:left="397" w:hanging="397"/>
      </w:pPr>
      <w:r w:rsidRPr="00D604EE">
        <w:t>living biomass (comprising above-ground biomass and below-ground biomass)</w:t>
      </w:r>
    </w:p>
    <w:p w14:paraId="025298BB" w14:textId="77777777" w:rsidR="00784FA9" w:rsidRPr="00D604EE" w:rsidRDefault="00784FA9" w:rsidP="00AB2A5C">
      <w:pPr>
        <w:pStyle w:val="Bullet"/>
        <w:numPr>
          <w:ilvl w:val="0"/>
          <w:numId w:val="19"/>
        </w:numPr>
        <w:ind w:left="397" w:hanging="397"/>
      </w:pPr>
      <w:r w:rsidRPr="00D604EE">
        <w:t>dead organic matter (comprising dead wood and litter).</w:t>
      </w:r>
    </w:p>
    <w:p w14:paraId="35B9EC51" w14:textId="77777777" w:rsidR="00784FA9" w:rsidRPr="00D604EE" w:rsidRDefault="00784FA9" w:rsidP="00784FA9">
      <w:pPr>
        <w:pStyle w:val="BodyText"/>
      </w:pPr>
      <w:r w:rsidRPr="00D604EE">
        <w:lastRenderedPageBreak/>
        <w:t xml:space="preserve">The method used to calculate the carbon stock in each biomass pool from the information collected at each plot, for each forest classification, is summarised in table 6.3.8. </w:t>
      </w:r>
    </w:p>
    <w:p w14:paraId="38ABA39D" w14:textId="77777777" w:rsidR="00784FA9" w:rsidRPr="00D604EE" w:rsidRDefault="00784FA9" w:rsidP="00784FA9">
      <w:pPr>
        <w:pStyle w:val="BodyText"/>
      </w:pPr>
      <w:r w:rsidRPr="00D604EE">
        <w:t>Carbon stocks in natural forest are estimated directly from the inventory plots. Further detail on methods can be found in annex A3.2.5 ‘National forest inventory’.</w:t>
      </w:r>
    </w:p>
    <w:p w14:paraId="2BB093C1" w14:textId="77777777" w:rsidR="00784FA9" w:rsidRPr="00D604EE" w:rsidRDefault="00784FA9" w:rsidP="00784FA9">
      <w:pPr>
        <w:pStyle w:val="BodyText"/>
        <w:rPr>
          <w:rFonts w:eastAsia="Segoe UI" w:hAnsi="Segoe UI" w:cs="Segoe UI"/>
        </w:rPr>
      </w:pPr>
      <w:r w:rsidRPr="00D604EE">
        <w:t xml:space="preserve">The carbon stocks for pre-1990 and post-1989 planted forest are calculated from yield tables derived from the inventory plots, </w:t>
      </w:r>
      <w:r w:rsidRPr="00D604EE">
        <w:rPr>
          <w:rFonts w:eastAsia="Segoe UI" w:hAnsi="Segoe UI" w:cs="Segoe UI"/>
        </w:rPr>
        <w:t>which are then applied to an estimated age class distribution.</w:t>
      </w:r>
      <w:r w:rsidRPr="00D604EE">
        <w:t xml:space="preserve"> </w:t>
      </w:r>
      <w:r w:rsidRPr="00D604EE">
        <w:rPr>
          <w:rFonts w:eastAsia="Segoe UI" w:hAnsi="Segoe UI" w:cs="Segoe UI"/>
        </w:rPr>
        <w:t xml:space="preserve">The yield tables are based on plots measured in 2020 combined with all other plots measured since 2007 which are created using interpolation for multiple measurements. </w:t>
      </w:r>
    </w:p>
    <w:p w14:paraId="30212529" w14:textId="77777777" w:rsidR="00784FA9" w:rsidRPr="00D604EE" w:rsidRDefault="00784FA9" w:rsidP="00784FA9">
      <w:pPr>
        <w:pStyle w:val="BodyText"/>
        <w:rPr>
          <w:rFonts w:eastAsia="Segoe UI" w:hAnsi="Segoe UI" w:cs="Segoe UI"/>
        </w:rPr>
      </w:pPr>
      <w:r w:rsidRPr="00D604EE">
        <w:rPr>
          <w:rFonts w:eastAsia="Segoe UI" w:hAnsi="Segoe UI" w:cs="Segoe UI"/>
        </w:rPr>
        <w:t xml:space="preserve">A single yield table is applied to the post-1989 forest estate and two period-specific yield tables are applied to the pre-1990 forest estate based on plant date: pre-1990 forest planted before 1990 and pre-1990 forest planted from 1990 onwards. </w:t>
      </w:r>
    </w:p>
    <w:p w14:paraId="029B6BC4" w14:textId="77777777" w:rsidR="00784FA9" w:rsidRPr="00D604EE" w:rsidRDefault="00784FA9" w:rsidP="00784FA9">
      <w:pPr>
        <w:pStyle w:val="BodyText"/>
        <w:spacing w:before="100" w:after="100"/>
      </w:pPr>
      <w:r w:rsidRPr="00D604EE">
        <w:t xml:space="preserve">The use of period-specific yield tables allows for a more accurate estimate of carbon stock gains and losses from planted forests through time. As increased yields are detected in more recently established plots due to improved management or genetic improvements, these will be reflected in the more recent yield table. In contrast, when using a single-period yield table for all years, the 1990 base year estimate can keep shifting due to the influence of more recently established plots. </w:t>
      </w:r>
    </w:p>
    <w:p w14:paraId="1F81F7D3" w14:textId="77777777" w:rsidR="00784FA9" w:rsidRPr="00D604EE" w:rsidRDefault="00784FA9" w:rsidP="00784FA9">
      <w:pPr>
        <w:pStyle w:val="BodyText"/>
      </w:pPr>
      <w:r w:rsidRPr="00D604EE">
        <w:t xml:space="preserve">Where there has been a land-use change between natural forest and planted forest, the associated carbon changes are reported under </w:t>
      </w:r>
      <w:r w:rsidRPr="00D604EE">
        <w:rPr>
          <w:i/>
        </w:rPr>
        <w:t>Forest land remaining forest land</w:t>
      </w:r>
      <w:r w:rsidRPr="00D604EE">
        <w:rPr>
          <w:iCs/>
        </w:rPr>
        <w:t>,</w:t>
      </w:r>
      <w:r w:rsidRPr="00D604EE">
        <w:rPr>
          <w:i/>
        </w:rPr>
        <w:t xml:space="preserve"> </w:t>
      </w:r>
      <w:r w:rsidRPr="00D604EE">
        <w:t xml:space="preserve">provided the forest has already been established for 20 years. </w:t>
      </w:r>
    </w:p>
    <w:p w14:paraId="580D2747" w14:textId="77777777" w:rsidR="00784FA9" w:rsidRPr="00D604EE" w:rsidRDefault="00784FA9" w:rsidP="00784FA9">
      <w:pPr>
        <w:pStyle w:val="BodyText"/>
      </w:pPr>
      <w:r w:rsidRPr="00D604EE">
        <w:t xml:space="preserve">Where pre-1990 forest has undergone a deforestation event, changed to a different land use, such as </w:t>
      </w:r>
      <w:r w:rsidRPr="00D604EE">
        <w:rPr>
          <w:i/>
          <w:iCs/>
        </w:rPr>
        <w:t>Grasslands</w:t>
      </w:r>
      <w:r w:rsidRPr="00D604EE">
        <w:t xml:space="preserve">, and then subsequently undergone another land-use change back to </w:t>
      </w:r>
      <w:r w:rsidRPr="00D604EE">
        <w:rPr>
          <w:i/>
          <w:iCs/>
        </w:rPr>
        <w:t>Forest land</w:t>
      </w:r>
      <w:r w:rsidRPr="00D604EE">
        <w:t xml:space="preserve">, the land use will be classified as pre-1990 forest. This is in line with the category definitions outlined in table 6.2.3. </w:t>
      </w:r>
    </w:p>
    <w:p w14:paraId="0BA8C688" w14:textId="77777777" w:rsidR="00784FA9" w:rsidRPr="00D604EE" w:rsidRDefault="00784FA9" w:rsidP="00784FA9">
      <w:pPr>
        <w:pStyle w:val="BodyText"/>
      </w:pPr>
      <w:r w:rsidRPr="00D604EE">
        <w:t xml:space="preserve">Detailed methodology on the plot network, sampling methods and yield table derivation, as well as validation of the yield tables with the measured plot data, can be found in annexes A3.2.5 ‘National forest inventory’ and A3.2.5 ‘Forest land model validations’. </w:t>
      </w:r>
    </w:p>
    <w:p w14:paraId="64D50CEC" w14:textId="77777777" w:rsidR="00784FA9" w:rsidRPr="00D604EE" w:rsidRDefault="00784FA9" w:rsidP="00784FA9">
      <w:pPr>
        <w:pStyle w:val="Table"/>
      </w:pPr>
      <w:bookmarkStart w:id="1639" w:name="_Toc280630456"/>
      <w:bookmarkStart w:id="1640" w:name="_Toc310423408"/>
      <w:bookmarkStart w:id="1641" w:name="_Toc318362701"/>
      <w:bookmarkStart w:id="1642" w:name="_Toc342470763"/>
      <w:bookmarkStart w:id="1643" w:name="_Toc352505003"/>
      <w:bookmarkStart w:id="1644" w:name="_Toc373395728"/>
      <w:bookmarkStart w:id="1645" w:name="_Toc378853294"/>
      <w:bookmarkStart w:id="1646" w:name="_Toc391024092"/>
      <w:bookmarkStart w:id="1647" w:name="_Toc410028835"/>
      <w:bookmarkStart w:id="1648" w:name="_Toc414531463"/>
      <w:bookmarkStart w:id="1649" w:name="_Toc443645376"/>
      <w:bookmarkStart w:id="1650" w:name="_Toc474914595"/>
      <w:bookmarkStart w:id="1651" w:name="_Toc481751559"/>
      <w:bookmarkStart w:id="1652" w:name="_Toc522010616"/>
      <w:bookmarkStart w:id="1653" w:name="_Toc5269521"/>
      <w:bookmarkStart w:id="1654" w:name="_Toc99659287"/>
      <w:r w:rsidRPr="00D604EE">
        <w:t>Table 6.3.8</w:t>
      </w:r>
      <w:r w:rsidRPr="00D604EE">
        <w:tab/>
        <w:t>Summary of methods used to calculate New Zealand’s forest biomass</w:t>
      </w:r>
      <w:r w:rsidRPr="00D604EE">
        <w:br/>
        <w:t>carbon stock from plot data</w:t>
      </w:r>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p>
    <w:tbl>
      <w:tblPr>
        <w:tblW w:w="8505" w:type="dxa"/>
        <w:tblInd w:w="108" w:type="dxa"/>
        <w:tblBorders>
          <w:top w:val="single" w:sz="4" w:space="0" w:color="1B556B"/>
          <w:bottom w:val="single" w:sz="4" w:space="0" w:color="1B556B"/>
          <w:right w:val="single" w:sz="4" w:space="0" w:color="1B556B"/>
          <w:insideH w:val="single" w:sz="4" w:space="0" w:color="1B556B"/>
          <w:insideV w:val="single" w:sz="4" w:space="0" w:color="1B556B"/>
        </w:tblBorders>
        <w:tblLayout w:type="fixed"/>
        <w:tblCellMar>
          <w:left w:w="85" w:type="dxa"/>
          <w:right w:w="85" w:type="dxa"/>
        </w:tblCellMar>
        <w:tblLook w:val="04A0" w:firstRow="1" w:lastRow="0" w:firstColumn="1" w:lastColumn="0" w:noHBand="0" w:noVBand="1"/>
      </w:tblPr>
      <w:tblGrid>
        <w:gridCol w:w="1419"/>
        <w:gridCol w:w="1276"/>
        <w:gridCol w:w="1716"/>
        <w:gridCol w:w="2369"/>
        <w:gridCol w:w="1725"/>
      </w:tblGrid>
      <w:tr w:rsidR="00784FA9" w:rsidRPr="00D604EE" w14:paraId="61D09DC4" w14:textId="77777777" w:rsidTr="007E3239">
        <w:trPr>
          <w:tblHeader/>
        </w:trPr>
        <w:tc>
          <w:tcPr>
            <w:tcW w:w="834" w:type="pct"/>
            <w:tcBorders>
              <w:right w:val="nil"/>
            </w:tcBorders>
            <w:shd w:val="clear" w:color="auto" w:fill="1B556B"/>
          </w:tcPr>
          <w:p w14:paraId="5C5D9871" w14:textId="77777777" w:rsidR="00784FA9" w:rsidRPr="00D604EE" w:rsidRDefault="00784FA9" w:rsidP="007E3239">
            <w:pPr>
              <w:pStyle w:val="TableTextBold"/>
              <w:rPr>
                <w:noProof w:val="0"/>
                <w:color w:val="FFFFFF"/>
              </w:rPr>
            </w:pPr>
          </w:p>
        </w:tc>
        <w:tc>
          <w:tcPr>
            <w:tcW w:w="1759" w:type="pct"/>
            <w:gridSpan w:val="2"/>
            <w:tcBorders>
              <w:left w:val="nil"/>
              <w:bottom w:val="single" w:sz="4" w:space="0" w:color="1B556B"/>
              <w:right w:val="nil"/>
            </w:tcBorders>
            <w:shd w:val="clear" w:color="auto" w:fill="1B556B"/>
          </w:tcPr>
          <w:p w14:paraId="0DAE17AC" w14:textId="77777777" w:rsidR="00784FA9" w:rsidRPr="00D604EE" w:rsidRDefault="00784FA9" w:rsidP="007E3239">
            <w:pPr>
              <w:pStyle w:val="TableTextBold"/>
              <w:rPr>
                <w:noProof w:val="0"/>
                <w:color w:val="FFFFFF"/>
              </w:rPr>
            </w:pPr>
            <w:r w:rsidRPr="00D604EE">
              <w:rPr>
                <w:noProof w:val="0"/>
                <w:color w:val="FFFFFF"/>
              </w:rPr>
              <w:t>Pool</w:t>
            </w:r>
          </w:p>
        </w:tc>
        <w:tc>
          <w:tcPr>
            <w:tcW w:w="1393" w:type="pct"/>
            <w:tcBorders>
              <w:left w:val="nil"/>
              <w:bottom w:val="single" w:sz="4" w:space="0" w:color="1B556B"/>
              <w:right w:val="nil"/>
            </w:tcBorders>
            <w:shd w:val="clear" w:color="auto" w:fill="1B556B"/>
          </w:tcPr>
          <w:p w14:paraId="6ACED52F" w14:textId="77777777" w:rsidR="00784FA9" w:rsidRPr="00D604EE" w:rsidRDefault="00784FA9" w:rsidP="007E3239">
            <w:pPr>
              <w:pStyle w:val="TableTextBold"/>
              <w:rPr>
                <w:noProof w:val="0"/>
                <w:color w:val="FFFFFF"/>
              </w:rPr>
            </w:pPr>
            <w:r w:rsidRPr="00D604EE">
              <w:rPr>
                <w:noProof w:val="0"/>
                <w:color w:val="FFFFFF"/>
              </w:rPr>
              <w:t>Method</w:t>
            </w:r>
          </w:p>
        </w:tc>
        <w:tc>
          <w:tcPr>
            <w:tcW w:w="1014" w:type="pct"/>
            <w:tcBorders>
              <w:left w:val="nil"/>
              <w:bottom w:val="single" w:sz="4" w:space="0" w:color="1B556B"/>
              <w:right w:val="nil"/>
            </w:tcBorders>
            <w:shd w:val="clear" w:color="auto" w:fill="1B556B"/>
          </w:tcPr>
          <w:p w14:paraId="1BD552A7" w14:textId="77777777" w:rsidR="00784FA9" w:rsidRPr="00D604EE" w:rsidRDefault="00784FA9" w:rsidP="007E3239">
            <w:pPr>
              <w:pStyle w:val="TableTextBold"/>
              <w:rPr>
                <w:noProof w:val="0"/>
                <w:color w:val="FFFFFF"/>
              </w:rPr>
            </w:pPr>
            <w:r w:rsidRPr="00D604EE">
              <w:rPr>
                <w:noProof w:val="0"/>
                <w:color w:val="FFFFFF"/>
              </w:rPr>
              <w:t>Source</w:t>
            </w:r>
          </w:p>
        </w:tc>
      </w:tr>
      <w:tr w:rsidR="00784FA9" w:rsidRPr="00D604EE" w14:paraId="357FB4AF" w14:textId="77777777" w:rsidTr="007E3239">
        <w:tc>
          <w:tcPr>
            <w:tcW w:w="834" w:type="pct"/>
            <w:vMerge w:val="restart"/>
            <w:tcBorders>
              <w:right w:val="nil"/>
            </w:tcBorders>
          </w:tcPr>
          <w:p w14:paraId="1B4164E3" w14:textId="77777777" w:rsidR="00784FA9" w:rsidRPr="00D604EE" w:rsidRDefault="00784FA9" w:rsidP="007E3239">
            <w:pPr>
              <w:pStyle w:val="TableText"/>
              <w:rPr>
                <w:b/>
              </w:rPr>
            </w:pPr>
            <w:r w:rsidRPr="00D604EE">
              <w:rPr>
                <w:b/>
              </w:rPr>
              <w:t>Pre-1990 natural forest</w:t>
            </w:r>
          </w:p>
        </w:tc>
        <w:tc>
          <w:tcPr>
            <w:tcW w:w="750" w:type="pct"/>
            <w:vMerge w:val="restart"/>
            <w:tcBorders>
              <w:left w:val="nil"/>
              <w:right w:val="nil"/>
            </w:tcBorders>
          </w:tcPr>
          <w:p w14:paraId="36C81588" w14:textId="77777777" w:rsidR="00784FA9" w:rsidRPr="00D604EE" w:rsidRDefault="00784FA9" w:rsidP="007E3239">
            <w:pPr>
              <w:pStyle w:val="TableText"/>
              <w:rPr>
                <w:b/>
              </w:rPr>
            </w:pPr>
            <w:r w:rsidRPr="00D604EE">
              <w:rPr>
                <w:b/>
              </w:rPr>
              <w:t>Living biomass</w:t>
            </w:r>
          </w:p>
        </w:tc>
        <w:tc>
          <w:tcPr>
            <w:tcW w:w="1009" w:type="pct"/>
            <w:tcBorders>
              <w:left w:val="nil"/>
              <w:bottom w:val="nil"/>
              <w:right w:val="nil"/>
            </w:tcBorders>
          </w:tcPr>
          <w:p w14:paraId="34EEDDAB" w14:textId="77777777" w:rsidR="00784FA9" w:rsidRPr="00D604EE" w:rsidRDefault="00784FA9" w:rsidP="007E3239">
            <w:pPr>
              <w:pStyle w:val="TableText"/>
            </w:pPr>
            <w:r w:rsidRPr="00D604EE">
              <w:t>Above-ground biomass</w:t>
            </w:r>
          </w:p>
        </w:tc>
        <w:tc>
          <w:tcPr>
            <w:tcW w:w="1393" w:type="pct"/>
            <w:tcBorders>
              <w:left w:val="nil"/>
              <w:bottom w:val="nil"/>
              <w:right w:val="nil"/>
            </w:tcBorders>
          </w:tcPr>
          <w:p w14:paraId="4ABACC1A" w14:textId="77777777" w:rsidR="00784FA9" w:rsidRPr="00D604EE" w:rsidRDefault="00784FA9" w:rsidP="007E3239">
            <w:pPr>
              <w:pStyle w:val="TableText"/>
            </w:pPr>
            <w:r w:rsidRPr="00D604EE">
              <w:t>Plot measurements; allometric equations</w:t>
            </w:r>
          </w:p>
        </w:tc>
        <w:tc>
          <w:tcPr>
            <w:tcW w:w="1014" w:type="pct"/>
            <w:tcBorders>
              <w:left w:val="nil"/>
              <w:bottom w:val="nil"/>
              <w:right w:val="nil"/>
            </w:tcBorders>
          </w:tcPr>
          <w:p w14:paraId="7B34D942" w14:textId="77777777" w:rsidR="00784FA9" w:rsidRPr="00D604EE" w:rsidRDefault="00784FA9" w:rsidP="007E3239">
            <w:pPr>
              <w:pStyle w:val="TableText"/>
            </w:pPr>
            <w:r w:rsidRPr="00D604EE">
              <w:t>Paul et al. (2021)</w:t>
            </w:r>
          </w:p>
        </w:tc>
      </w:tr>
      <w:tr w:rsidR="00784FA9" w:rsidRPr="00D604EE" w14:paraId="7EC957C7" w14:textId="77777777" w:rsidTr="007E3239">
        <w:tc>
          <w:tcPr>
            <w:tcW w:w="834" w:type="pct"/>
            <w:vMerge/>
            <w:tcBorders>
              <w:right w:val="nil"/>
            </w:tcBorders>
          </w:tcPr>
          <w:p w14:paraId="7F437337" w14:textId="77777777" w:rsidR="00784FA9" w:rsidRPr="00D604EE" w:rsidRDefault="00784FA9" w:rsidP="007E3239">
            <w:pPr>
              <w:pStyle w:val="TableText"/>
              <w:rPr>
                <w:b/>
              </w:rPr>
            </w:pPr>
          </w:p>
        </w:tc>
        <w:tc>
          <w:tcPr>
            <w:tcW w:w="750" w:type="pct"/>
            <w:vMerge/>
            <w:tcBorders>
              <w:left w:val="nil"/>
              <w:right w:val="nil"/>
            </w:tcBorders>
          </w:tcPr>
          <w:p w14:paraId="59A7F66C" w14:textId="77777777" w:rsidR="00784FA9" w:rsidRPr="00D604EE" w:rsidRDefault="00784FA9" w:rsidP="007E3239">
            <w:pPr>
              <w:pStyle w:val="TableText"/>
              <w:rPr>
                <w:b/>
              </w:rPr>
            </w:pPr>
          </w:p>
        </w:tc>
        <w:tc>
          <w:tcPr>
            <w:tcW w:w="1009" w:type="pct"/>
            <w:tcBorders>
              <w:top w:val="nil"/>
              <w:left w:val="nil"/>
              <w:right w:val="nil"/>
            </w:tcBorders>
          </w:tcPr>
          <w:p w14:paraId="1BA56760" w14:textId="77777777" w:rsidR="00784FA9" w:rsidRPr="00D604EE" w:rsidRDefault="00784FA9" w:rsidP="007E3239">
            <w:pPr>
              <w:pStyle w:val="TableText"/>
            </w:pPr>
            <w:r w:rsidRPr="00D604EE">
              <w:t>Below-ground biomass</w:t>
            </w:r>
          </w:p>
        </w:tc>
        <w:tc>
          <w:tcPr>
            <w:tcW w:w="1393" w:type="pct"/>
            <w:tcBorders>
              <w:top w:val="nil"/>
              <w:left w:val="nil"/>
              <w:right w:val="nil"/>
            </w:tcBorders>
          </w:tcPr>
          <w:p w14:paraId="337B950F" w14:textId="77777777" w:rsidR="00784FA9" w:rsidRPr="00D604EE" w:rsidRDefault="00784FA9" w:rsidP="007E3239">
            <w:pPr>
              <w:pStyle w:val="TableText"/>
            </w:pPr>
            <w:r w:rsidRPr="00D604EE">
              <w:t xml:space="preserve">Estimated as the ratio of below-ground biomass to above-ground biomass </w:t>
            </w:r>
          </w:p>
        </w:tc>
        <w:tc>
          <w:tcPr>
            <w:tcW w:w="1014" w:type="pct"/>
            <w:tcBorders>
              <w:top w:val="nil"/>
              <w:left w:val="nil"/>
              <w:right w:val="nil"/>
            </w:tcBorders>
          </w:tcPr>
          <w:p w14:paraId="2712295B" w14:textId="77777777" w:rsidR="00784FA9" w:rsidRPr="00D604EE" w:rsidRDefault="00784FA9" w:rsidP="007E3239">
            <w:pPr>
              <w:pStyle w:val="TableText"/>
            </w:pPr>
            <w:r w:rsidRPr="00D604EE">
              <w:t>Paul et al. (2021); Easdale et al. (2019)</w:t>
            </w:r>
          </w:p>
        </w:tc>
      </w:tr>
      <w:tr w:rsidR="00784FA9" w:rsidRPr="00D604EE" w14:paraId="4CC2CE01" w14:textId="77777777" w:rsidTr="007E3239">
        <w:tc>
          <w:tcPr>
            <w:tcW w:w="834" w:type="pct"/>
            <w:vMerge/>
            <w:tcBorders>
              <w:right w:val="nil"/>
            </w:tcBorders>
          </w:tcPr>
          <w:p w14:paraId="0D3977B0" w14:textId="77777777" w:rsidR="00784FA9" w:rsidRPr="00D604EE" w:rsidRDefault="00784FA9" w:rsidP="007E3239">
            <w:pPr>
              <w:pStyle w:val="TableText"/>
              <w:rPr>
                <w:b/>
              </w:rPr>
            </w:pPr>
          </w:p>
        </w:tc>
        <w:tc>
          <w:tcPr>
            <w:tcW w:w="750" w:type="pct"/>
            <w:vMerge w:val="restart"/>
            <w:tcBorders>
              <w:left w:val="nil"/>
              <w:right w:val="nil"/>
            </w:tcBorders>
          </w:tcPr>
          <w:p w14:paraId="70B1614B" w14:textId="77777777" w:rsidR="00784FA9" w:rsidRPr="00D604EE" w:rsidRDefault="00784FA9" w:rsidP="007E3239">
            <w:pPr>
              <w:pStyle w:val="TableText"/>
              <w:rPr>
                <w:b/>
              </w:rPr>
            </w:pPr>
            <w:r w:rsidRPr="00D604EE">
              <w:rPr>
                <w:b/>
              </w:rPr>
              <w:t>Dead organic matter</w:t>
            </w:r>
          </w:p>
        </w:tc>
        <w:tc>
          <w:tcPr>
            <w:tcW w:w="1009" w:type="pct"/>
            <w:tcBorders>
              <w:top w:val="nil"/>
              <w:left w:val="nil"/>
              <w:bottom w:val="nil"/>
              <w:right w:val="nil"/>
            </w:tcBorders>
          </w:tcPr>
          <w:p w14:paraId="5FEE6997" w14:textId="77777777" w:rsidR="00784FA9" w:rsidRPr="00D604EE" w:rsidRDefault="00784FA9" w:rsidP="007E3239">
            <w:pPr>
              <w:pStyle w:val="TableText"/>
            </w:pPr>
            <w:r w:rsidRPr="00D604EE">
              <w:t>Dead wood</w:t>
            </w:r>
          </w:p>
        </w:tc>
        <w:tc>
          <w:tcPr>
            <w:tcW w:w="1393" w:type="pct"/>
            <w:tcBorders>
              <w:top w:val="nil"/>
              <w:left w:val="nil"/>
              <w:bottom w:val="nil"/>
              <w:right w:val="nil"/>
            </w:tcBorders>
          </w:tcPr>
          <w:p w14:paraId="58559CB2" w14:textId="77777777" w:rsidR="00784FA9" w:rsidRPr="00D604EE" w:rsidRDefault="00784FA9" w:rsidP="007E3239">
            <w:pPr>
              <w:pStyle w:val="TableText"/>
            </w:pPr>
            <w:r w:rsidRPr="00D604EE">
              <w:t xml:space="preserve">Modelled from plot measurements; allometric equations </w:t>
            </w:r>
          </w:p>
        </w:tc>
        <w:tc>
          <w:tcPr>
            <w:tcW w:w="1014" w:type="pct"/>
            <w:tcBorders>
              <w:top w:val="nil"/>
              <w:left w:val="nil"/>
              <w:bottom w:val="nil"/>
              <w:right w:val="nil"/>
            </w:tcBorders>
          </w:tcPr>
          <w:p w14:paraId="67694682" w14:textId="77777777" w:rsidR="00784FA9" w:rsidRPr="00D604EE" w:rsidRDefault="00784FA9" w:rsidP="007E3239">
            <w:pPr>
              <w:pStyle w:val="TableText"/>
            </w:pPr>
            <w:r w:rsidRPr="00D604EE">
              <w:t xml:space="preserve">Garrett et al. (2019) ; Paul et al. (2021); Kimberley et al. (2019) </w:t>
            </w:r>
          </w:p>
        </w:tc>
      </w:tr>
      <w:tr w:rsidR="00784FA9" w:rsidRPr="00D604EE" w14:paraId="7F035B66" w14:textId="77777777" w:rsidTr="007E3239">
        <w:tc>
          <w:tcPr>
            <w:tcW w:w="834" w:type="pct"/>
            <w:vMerge/>
            <w:tcBorders>
              <w:right w:val="nil"/>
            </w:tcBorders>
          </w:tcPr>
          <w:p w14:paraId="6865E1F7" w14:textId="77777777" w:rsidR="00784FA9" w:rsidRPr="00D604EE" w:rsidRDefault="00784FA9" w:rsidP="007E3239">
            <w:pPr>
              <w:pStyle w:val="TableText"/>
              <w:rPr>
                <w:b/>
              </w:rPr>
            </w:pPr>
          </w:p>
        </w:tc>
        <w:tc>
          <w:tcPr>
            <w:tcW w:w="750" w:type="pct"/>
            <w:vMerge/>
            <w:tcBorders>
              <w:left w:val="nil"/>
              <w:right w:val="nil"/>
            </w:tcBorders>
          </w:tcPr>
          <w:p w14:paraId="279AA643" w14:textId="77777777" w:rsidR="00784FA9" w:rsidRPr="00D604EE" w:rsidRDefault="00784FA9" w:rsidP="007E3239">
            <w:pPr>
              <w:pStyle w:val="TableText"/>
              <w:rPr>
                <w:b/>
              </w:rPr>
            </w:pPr>
          </w:p>
        </w:tc>
        <w:tc>
          <w:tcPr>
            <w:tcW w:w="1009" w:type="pct"/>
            <w:tcBorders>
              <w:top w:val="nil"/>
              <w:left w:val="nil"/>
              <w:right w:val="nil"/>
            </w:tcBorders>
          </w:tcPr>
          <w:p w14:paraId="72E91089" w14:textId="77777777" w:rsidR="00784FA9" w:rsidRPr="00D604EE" w:rsidRDefault="00784FA9" w:rsidP="007E3239">
            <w:pPr>
              <w:pStyle w:val="TableText"/>
            </w:pPr>
            <w:r w:rsidRPr="00D604EE">
              <w:t>Litter</w:t>
            </w:r>
          </w:p>
        </w:tc>
        <w:tc>
          <w:tcPr>
            <w:tcW w:w="1393" w:type="pct"/>
            <w:tcBorders>
              <w:top w:val="nil"/>
              <w:left w:val="nil"/>
              <w:right w:val="nil"/>
            </w:tcBorders>
          </w:tcPr>
          <w:p w14:paraId="722C3A73" w14:textId="77777777" w:rsidR="00784FA9" w:rsidRPr="00D604EE" w:rsidRDefault="00784FA9" w:rsidP="007E3239">
            <w:pPr>
              <w:pStyle w:val="TableText"/>
            </w:pPr>
            <w:r w:rsidRPr="00D604EE">
              <w:t xml:space="preserve">Plot samples; laboratory analysis of samples collected at plots </w:t>
            </w:r>
          </w:p>
        </w:tc>
        <w:tc>
          <w:tcPr>
            <w:tcW w:w="1014" w:type="pct"/>
            <w:tcBorders>
              <w:top w:val="nil"/>
              <w:left w:val="nil"/>
              <w:right w:val="nil"/>
            </w:tcBorders>
          </w:tcPr>
          <w:p w14:paraId="25CB3029" w14:textId="77777777" w:rsidR="00784FA9" w:rsidRPr="00D604EE" w:rsidRDefault="00784FA9" w:rsidP="007E3239">
            <w:pPr>
              <w:pStyle w:val="TableText"/>
            </w:pPr>
            <w:r w:rsidRPr="00D604EE">
              <w:t>Paul et al. (2021); Garrett (unpublished)</w:t>
            </w:r>
          </w:p>
        </w:tc>
      </w:tr>
      <w:tr w:rsidR="00784FA9" w:rsidRPr="00D604EE" w14:paraId="29E3F0C2" w14:textId="77777777" w:rsidTr="007E3239">
        <w:tc>
          <w:tcPr>
            <w:tcW w:w="834" w:type="pct"/>
            <w:tcBorders>
              <w:bottom w:val="nil"/>
              <w:right w:val="nil"/>
            </w:tcBorders>
          </w:tcPr>
          <w:p w14:paraId="3ED65556" w14:textId="77777777" w:rsidR="00784FA9" w:rsidRPr="00D604EE" w:rsidRDefault="00784FA9" w:rsidP="007E3239">
            <w:pPr>
              <w:pStyle w:val="TableText"/>
              <w:rPr>
                <w:b/>
              </w:rPr>
            </w:pPr>
            <w:r w:rsidRPr="00D604EE">
              <w:rPr>
                <w:b/>
              </w:rPr>
              <w:t>Post-1989 natural forest</w:t>
            </w:r>
          </w:p>
        </w:tc>
        <w:tc>
          <w:tcPr>
            <w:tcW w:w="750" w:type="pct"/>
            <w:tcBorders>
              <w:left w:val="nil"/>
              <w:bottom w:val="nil"/>
              <w:right w:val="nil"/>
            </w:tcBorders>
          </w:tcPr>
          <w:p w14:paraId="3F9492B1" w14:textId="77777777" w:rsidR="00784FA9" w:rsidRPr="00D604EE" w:rsidRDefault="00784FA9" w:rsidP="007E3239">
            <w:pPr>
              <w:pStyle w:val="TableText"/>
            </w:pPr>
            <w:r w:rsidRPr="00D604EE">
              <w:rPr>
                <w:b/>
              </w:rPr>
              <w:t>Living biomass</w:t>
            </w:r>
          </w:p>
        </w:tc>
        <w:tc>
          <w:tcPr>
            <w:tcW w:w="1009" w:type="pct"/>
            <w:tcBorders>
              <w:left w:val="nil"/>
              <w:bottom w:val="nil"/>
              <w:right w:val="nil"/>
            </w:tcBorders>
          </w:tcPr>
          <w:p w14:paraId="41CC70F5" w14:textId="77777777" w:rsidR="00784FA9" w:rsidRPr="00D604EE" w:rsidRDefault="00784FA9" w:rsidP="007E3239">
            <w:pPr>
              <w:pStyle w:val="TableText"/>
            </w:pPr>
            <w:r w:rsidRPr="00D604EE">
              <w:t>Above-ground biomass</w:t>
            </w:r>
          </w:p>
        </w:tc>
        <w:tc>
          <w:tcPr>
            <w:tcW w:w="1393" w:type="pct"/>
            <w:tcBorders>
              <w:left w:val="nil"/>
              <w:bottom w:val="nil"/>
              <w:right w:val="nil"/>
            </w:tcBorders>
          </w:tcPr>
          <w:p w14:paraId="5B164CFB" w14:textId="77777777" w:rsidR="00784FA9" w:rsidRPr="00D604EE" w:rsidRDefault="00784FA9" w:rsidP="007E3239">
            <w:pPr>
              <w:pStyle w:val="TableText"/>
            </w:pPr>
            <w:r w:rsidRPr="00D604EE">
              <w:t>Plot measurements; allometric equations</w:t>
            </w:r>
          </w:p>
        </w:tc>
        <w:tc>
          <w:tcPr>
            <w:tcW w:w="1014" w:type="pct"/>
            <w:tcBorders>
              <w:left w:val="nil"/>
              <w:bottom w:val="nil"/>
              <w:right w:val="nil"/>
            </w:tcBorders>
          </w:tcPr>
          <w:p w14:paraId="01941B32" w14:textId="77777777" w:rsidR="00784FA9" w:rsidRPr="00D604EE" w:rsidRDefault="00784FA9" w:rsidP="007E3239">
            <w:pPr>
              <w:pStyle w:val="TableText"/>
            </w:pPr>
            <w:r w:rsidRPr="00D604EE">
              <w:t>Paul et al. (2021)</w:t>
            </w:r>
          </w:p>
        </w:tc>
      </w:tr>
      <w:tr w:rsidR="00784FA9" w:rsidRPr="00D604EE" w14:paraId="5DEF25C9" w14:textId="77777777" w:rsidTr="007E3239">
        <w:tc>
          <w:tcPr>
            <w:tcW w:w="834" w:type="pct"/>
            <w:tcBorders>
              <w:top w:val="nil"/>
              <w:bottom w:val="nil"/>
              <w:right w:val="nil"/>
            </w:tcBorders>
          </w:tcPr>
          <w:p w14:paraId="289800AC" w14:textId="77777777" w:rsidR="00784FA9" w:rsidRPr="00D604EE" w:rsidRDefault="00784FA9" w:rsidP="007E3239">
            <w:pPr>
              <w:pStyle w:val="TableText"/>
              <w:rPr>
                <w:b/>
              </w:rPr>
            </w:pPr>
          </w:p>
        </w:tc>
        <w:tc>
          <w:tcPr>
            <w:tcW w:w="750" w:type="pct"/>
            <w:tcBorders>
              <w:top w:val="nil"/>
              <w:left w:val="nil"/>
              <w:right w:val="nil"/>
            </w:tcBorders>
          </w:tcPr>
          <w:p w14:paraId="6A5E7C51" w14:textId="77777777" w:rsidR="00784FA9" w:rsidRPr="00D604EE" w:rsidRDefault="00784FA9" w:rsidP="007E3239">
            <w:pPr>
              <w:pStyle w:val="TableText"/>
            </w:pPr>
          </w:p>
        </w:tc>
        <w:tc>
          <w:tcPr>
            <w:tcW w:w="1009" w:type="pct"/>
            <w:tcBorders>
              <w:top w:val="nil"/>
              <w:left w:val="nil"/>
              <w:right w:val="nil"/>
            </w:tcBorders>
          </w:tcPr>
          <w:p w14:paraId="45D42FF7" w14:textId="77777777" w:rsidR="00784FA9" w:rsidRPr="00D604EE" w:rsidRDefault="00784FA9" w:rsidP="007E3239">
            <w:pPr>
              <w:pStyle w:val="TableText"/>
            </w:pPr>
            <w:r w:rsidRPr="00D604EE">
              <w:t>Below-ground biomass</w:t>
            </w:r>
          </w:p>
        </w:tc>
        <w:tc>
          <w:tcPr>
            <w:tcW w:w="1393" w:type="pct"/>
            <w:tcBorders>
              <w:top w:val="nil"/>
              <w:left w:val="nil"/>
              <w:right w:val="nil"/>
            </w:tcBorders>
          </w:tcPr>
          <w:p w14:paraId="7840F48A" w14:textId="77777777" w:rsidR="00784FA9" w:rsidRPr="00D604EE" w:rsidRDefault="00784FA9" w:rsidP="007E3239">
            <w:pPr>
              <w:pStyle w:val="TableText"/>
            </w:pPr>
            <w:r w:rsidRPr="00D604EE">
              <w:t>Estimated as the ratio of below-ground biomass to above-ground biomass</w:t>
            </w:r>
          </w:p>
        </w:tc>
        <w:tc>
          <w:tcPr>
            <w:tcW w:w="1014" w:type="pct"/>
            <w:tcBorders>
              <w:top w:val="nil"/>
              <w:left w:val="nil"/>
              <w:right w:val="nil"/>
            </w:tcBorders>
          </w:tcPr>
          <w:p w14:paraId="6EF23BDB" w14:textId="77777777" w:rsidR="00784FA9" w:rsidRPr="00D604EE" w:rsidRDefault="00784FA9" w:rsidP="007E3239">
            <w:pPr>
              <w:pStyle w:val="TableText"/>
            </w:pPr>
            <w:r w:rsidRPr="00D604EE">
              <w:t>Paul et al. (unpublished(a)); Easdale et al. (2019)</w:t>
            </w:r>
          </w:p>
        </w:tc>
      </w:tr>
      <w:tr w:rsidR="00784FA9" w:rsidRPr="00D604EE" w14:paraId="7955D696" w14:textId="77777777" w:rsidTr="007E3239">
        <w:tc>
          <w:tcPr>
            <w:tcW w:w="834" w:type="pct"/>
            <w:tcBorders>
              <w:top w:val="nil"/>
              <w:bottom w:val="nil"/>
              <w:right w:val="nil"/>
            </w:tcBorders>
          </w:tcPr>
          <w:p w14:paraId="3A897925" w14:textId="77777777" w:rsidR="00784FA9" w:rsidRPr="00D604EE" w:rsidRDefault="00784FA9" w:rsidP="007E3239">
            <w:pPr>
              <w:pStyle w:val="TableText"/>
            </w:pPr>
          </w:p>
        </w:tc>
        <w:tc>
          <w:tcPr>
            <w:tcW w:w="750" w:type="pct"/>
            <w:tcBorders>
              <w:left w:val="nil"/>
              <w:bottom w:val="nil"/>
              <w:right w:val="nil"/>
            </w:tcBorders>
          </w:tcPr>
          <w:p w14:paraId="46F95436" w14:textId="77777777" w:rsidR="00784FA9" w:rsidRPr="00D604EE" w:rsidRDefault="00784FA9" w:rsidP="007E3239">
            <w:pPr>
              <w:pStyle w:val="TableTextBold"/>
              <w:rPr>
                <w:noProof w:val="0"/>
              </w:rPr>
            </w:pPr>
            <w:r w:rsidRPr="00D604EE">
              <w:rPr>
                <w:noProof w:val="0"/>
              </w:rPr>
              <w:t>Dead organic matter</w:t>
            </w:r>
          </w:p>
        </w:tc>
        <w:tc>
          <w:tcPr>
            <w:tcW w:w="1009" w:type="pct"/>
            <w:tcBorders>
              <w:left w:val="nil"/>
              <w:bottom w:val="nil"/>
              <w:right w:val="nil"/>
            </w:tcBorders>
          </w:tcPr>
          <w:p w14:paraId="6620784D" w14:textId="77777777" w:rsidR="00784FA9" w:rsidRPr="00D604EE" w:rsidRDefault="00784FA9" w:rsidP="007E3239">
            <w:pPr>
              <w:pStyle w:val="TableText"/>
            </w:pPr>
            <w:r w:rsidRPr="00D604EE">
              <w:t>Dead wood</w:t>
            </w:r>
          </w:p>
        </w:tc>
        <w:tc>
          <w:tcPr>
            <w:tcW w:w="1393" w:type="pct"/>
            <w:tcBorders>
              <w:left w:val="nil"/>
              <w:bottom w:val="nil"/>
              <w:right w:val="nil"/>
            </w:tcBorders>
          </w:tcPr>
          <w:p w14:paraId="06B41644" w14:textId="77777777" w:rsidR="00784FA9" w:rsidRPr="00D604EE" w:rsidRDefault="00784FA9" w:rsidP="007E3239">
            <w:pPr>
              <w:pStyle w:val="TableText"/>
              <w:rPr>
                <w:rFonts w:cs="Segoe UI"/>
                <w:szCs w:val="16"/>
              </w:rPr>
            </w:pPr>
            <w:r w:rsidRPr="00D604EE">
              <w:rPr>
                <w:rFonts w:cs="Segoe UI"/>
                <w:szCs w:val="16"/>
              </w:rPr>
              <w:t>Modelled from plot measurements; allometric model</w:t>
            </w:r>
          </w:p>
        </w:tc>
        <w:tc>
          <w:tcPr>
            <w:tcW w:w="1014" w:type="pct"/>
            <w:tcBorders>
              <w:left w:val="nil"/>
              <w:bottom w:val="nil"/>
              <w:right w:val="nil"/>
            </w:tcBorders>
          </w:tcPr>
          <w:p w14:paraId="45C6DE95" w14:textId="77777777" w:rsidR="00784FA9" w:rsidRPr="00D604EE" w:rsidRDefault="00784FA9" w:rsidP="007E3239">
            <w:pPr>
              <w:pStyle w:val="TableText"/>
            </w:pPr>
            <w:r w:rsidRPr="00D604EE">
              <w:t>Garrett et al. (2019); Paul et al. (unpublished(a)); Kimberley et al. (2019)</w:t>
            </w:r>
          </w:p>
        </w:tc>
      </w:tr>
      <w:tr w:rsidR="00784FA9" w:rsidRPr="00D604EE" w14:paraId="5F09A871" w14:textId="77777777" w:rsidTr="007E3239">
        <w:tc>
          <w:tcPr>
            <w:tcW w:w="834" w:type="pct"/>
            <w:tcBorders>
              <w:top w:val="nil"/>
              <w:right w:val="nil"/>
            </w:tcBorders>
          </w:tcPr>
          <w:p w14:paraId="6D163E3D" w14:textId="77777777" w:rsidR="00784FA9" w:rsidRPr="00D604EE" w:rsidRDefault="00784FA9" w:rsidP="007E3239">
            <w:pPr>
              <w:pStyle w:val="TableText"/>
            </w:pPr>
          </w:p>
        </w:tc>
        <w:tc>
          <w:tcPr>
            <w:tcW w:w="750" w:type="pct"/>
            <w:tcBorders>
              <w:top w:val="nil"/>
              <w:left w:val="nil"/>
              <w:right w:val="nil"/>
            </w:tcBorders>
          </w:tcPr>
          <w:p w14:paraId="095E8CD8" w14:textId="77777777" w:rsidR="00784FA9" w:rsidRPr="00D604EE" w:rsidRDefault="00784FA9" w:rsidP="007E3239">
            <w:pPr>
              <w:pStyle w:val="TableTextBold"/>
              <w:rPr>
                <w:noProof w:val="0"/>
              </w:rPr>
            </w:pPr>
          </w:p>
        </w:tc>
        <w:tc>
          <w:tcPr>
            <w:tcW w:w="1009" w:type="pct"/>
            <w:tcBorders>
              <w:top w:val="nil"/>
              <w:left w:val="nil"/>
              <w:right w:val="nil"/>
            </w:tcBorders>
          </w:tcPr>
          <w:p w14:paraId="0B4DF67D" w14:textId="77777777" w:rsidR="00784FA9" w:rsidRPr="00D604EE" w:rsidRDefault="00784FA9" w:rsidP="007E3239">
            <w:pPr>
              <w:pStyle w:val="TableText"/>
            </w:pPr>
            <w:r w:rsidRPr="00D604EE">
              <w:t>Litter</w:t>
            </w:r>
          </w:p>
        </w:tc>
        <w:tc>
          <w:tcPr>
            <w:tcW w:w="1393" w:type="pct"/>
            <w:tcBorders>
              <w:top w:val="nil"/>
              <w:left w:val="nil"/>
              <w:right w:val="nil"/>
            </w:tcBorders>
          </w:tcPr>
          <w:p w14:paraId="48F5DFD8" w14:textId="77777777" w:rsidR="00784FA9" w:rsidRPr="00D604EE" w:rsidRDefault="00784FA9" w:rsidP="007E3239">
            <w:pPr>
              <w:pStyle w:val="TableText"/>
              <w:rPr>
                <w:rFonts w:cs="Segoe UI"/>
                <w:szCs w:val="16"/>
              </w:rPr>
            </w:pPr>
            <w:r w:rsidRPr="00D604EE">
              <w:rPr>
                <w:rFonts w:cs="Segoe UI"/>
                <w:szCs w:val="16"/>
              </w:rPr>
              <w:t>Allometric model and percentage of above-ground biomass</w:t>
            </w:r>
          </w:p>
        </w:tc>
        <w:tc>
          <w:tcPr>
            <w:tcW w:w="1014" w:type="pct"/>
            <w:tcBorders>
              <w:top w:val="nil"/>
              <w:left w:val="nil"/>
              <w:right w:val="nil"/>
            </w:tcBorders>
          </w:tcPr>
          <w:p w14:paraId="1B99316B" w14:textId="77777777" w:rsidR="00784FA9" w:rsidRPr="00D604EE" w:rsidRDefault="00784FA9" w:rsidP="007E3239">
            <w:pPr>
              <w:pStyle w:val="TableText"/>
            </w:pPr>
            <w:r w:rsidRPr="00D604EE">
              <w:t>Paul et al. (unpublished(a)); Garrett (unpublished)</w:t>
            </w:r>
          </w:p>
        </w:tc>
      </w:tr>
      <w:tr w:rsidR="00784FA9" w:rsidRPr="00D604EE" w14:paraId="6F80AC13" w14:textId="77777777" w:rsidTr="007E3239">
        <w:tc>
          <w:tcPr>
            <w:tcW w:w="834" w:type="pct"/>
            <w:tcBorders>
              <w:bottom w:val="nil"/>
              <w:right w:val="nil"/>
            </w:tcBorders>
          </w:tcPr>
          <w:p w14:paraId="108FD756" w14:textId="77777777" w:rsidR="00784FA9" w:rsidRPr="00D604EE" w:rsidRDefault="00784FA9" w:rsidP="007E3239">
            <w:pPr>
              <w:pStyle w:val="TableText"/>
            </w:pPr>
            <w:r w:rsidRPr="00D604EE">
              <w:rPr>
                <w:b/>
              </w:rPr>
              <w:t>Pre-1990 planted forest</w:t>
            </w:r>
          </w:p>
        </w:tc>
        <w:tc>
          <w:tcPr>
            <w:tcW w:w="750" w:type="pct"/>
            <w:tcBorders>
              <w:left w:val="nil"/>
              <w:bottom w:val="nil"/>
              <w:right w:val="nil"/>
            </w:tcBorders>
          </w:tcPr>
          <w:p w14:paraId="7944C160" w14:textId="77777777" w:rsidR="00784FA9" w:rsidRPr="00D604EE" w:rsidRDefault="00784FA9" w:rsidP="007E3239">
            <w:pPr>
              <w:pStyle w:val="TableText"/>
            </w:pPr>
            <w:r w:rsidRPr="00D604EE">
              <w:rPr>
                <w:b/>
              </w:rPr>
              <w:t>Living biomass</w:t>
            </w:r>
          </w:p>
        </w:tc>
        <w:tc>
          <w:tcPr>
            <w:tcW w:w="1009" w:type="pct"/>
            <w:tcBorders>
              <w:left w:val="nil"/>
              <w:bottom w:val="nil"/>
              <w:right w:val="nil"/>
            </w:tcBorders>
          </w:tcPr>
          <w:p w14:paraId="5DBB767C" w14:textId="77777777" w:rsidR="00784FA9" w:rsidRPr="00D604EE" w:rsidRDefault="00784FA9" w:rsidP="007E3239">
            <w:pPr>
              <w:pStyle w:val="TableText"/>
            </w:pPr>
            <w:r w:rsidRPr="00D604EE">
              <w:t>Above-ground biomass</w:t>
            </w:r>
          </w:p>
        </w:tc>
        <w:tc>
          <w:tcPr>
            <w:tcW w:w="1393" w:type="pct"/>
            <w:tcBorders>
              <w:left w:val="nil"/>
              <w:bottom w:val="nil"/>
              <w:right w:val="nil"/>
            </w:tcBorders>
          </w:tcPr>
          <w:p w14:paraId="7BBD6190" w14:textId="77777777" w:rsidR="00784FA9" w:rsidRPr="00D604EE" w:rsidRDefault="00784FA9" w:rsidP="007E3239">
            <w:pPr>
              <w:pStyle w:val="TableText"/>
            </w:pPr>
            <w:r w:rsidRPr="00D604EE">
              <w:t>Modelled through allometric equations, then included in national yield tables</w:t>
            </w:r>
          </w:p>
        </w:tc>
        <w:tc>
          <w:tcPr>
            <w:tcW w:w="1014" w:type="pct"/>
            <w:tcBorders>
              <w:left w:val="nil"/>
              <w:bottom w:val="nil"/>
              <w:right w:val="nil"/>
            </w:tcBorders>
          </w:tcPr>
          <w:p w14:paraId="2B54CE72" w14:textId="77777777" w:rsidR="00784FA9" w:rsidRPr="00D604EE" w:rsidRDefault="00784FA9" w:rsidP="007E3239">
            <w:pPr>
              <w:pStyle w:val="TableText"/>
            </w:pPr>
            <w:r w:rsidRPr="00D604EE">
              <w:t>Paul et al. (unpublished(b))</w:t>
            </w:r>
          </w:p>
        </w:tc>
      </w:tr>
      <w:tr w:rsidR="00784FA9" w:rsidRPr="00D604EE" w14:paraId="7875966F" w14:textId="77777777" w:rsidTr="007E3239">
        <w:tc>
          <w:tcPr>
            <w:tcW w:w="834" w:type="pct"/>
            <w:tcBorders>
              <w:top w:val="nil"/>
              <w:bottom w:val="nil"/>
              <w:right w:val="nil"/>
            </w:tcBorders>
          </w:tcPr>
          <w:p w14:paraId="36564BBD" w14:textId="77777777" w:rsidR="00784FA9" w:rsidRPr="00D604EE" w:rsidRDefault="00784FA9" w:rsidP="007E3239">
            <w:pPr>
              <w:pStyle w:val="TableText"/>
            </w:pPr>
          </w:p>
        </w:tc>
        <w:tc>
          <w:tcPr>
            <w:tcW w:w="750" w:type="pct"/>
            <w:tcBorders>
              <w:top w:val="nil"/>
              <w:left w:val="nil"/>
              <w:right w:val="nil"/>
            </w:tcBorders>
          </w:tcPr>
          <w:p w14:paraId="27A46ECC" w14:textId="77777777" w:rsidR="00784FA9" w:rsidRPr="00D604EE" w:rsidRDefault="00784FA9" w:rsidP="007E3239">
            <w:pPr>
              <w:pStyle w:val="TableText"/>
            </w:pPr>
          </w:p>
        </w:tc>
        <w:tc>
          <w:tcPr>
            <w:tcW w:w="1009" w:type="pct"/>
            <w:tcBorders>
              <w:top w:val="nil"/>
              <w:left w:val="nil"/>
              <w:right w:val="nil"/>
            </w:tcBorders>
          </w:tcPr>
          <w:p w14:paraId="6A3B597B" w14:textId="77777777" w:rsidR="00784FA9" w:rsidRPr="00D604EE" w:rsidRDefault="00784FA9" w:rsidP="007E3239">
            <w:pPr>
              <w:pStyle w:val="TableText"/>
            </w:pPr>
            <w:r w:rsidRPr="00D604EE">
              <w:t>Below-ground biomass</w:t>
            </w:r>
          </w:p>
        </w:tc>
        <w:tc>
          <w:tcPr>
            <w:tcW w:w="1393" w:type="pct"/>
            <w:tcBorders>
              <w:top w:val="nil"/>
              <w:left w:val="nil"/>
              <w:right w:val="nil"/>
            </w:tcBorders>
          </w:tcPr>
          <w:p w14:paraId="01E4A791" w14:textId="77777777" w:rsidR="00784FA9" w:rsidRPr="00D604EE" w:rsidRDefault="00784FA9" w:rsidP="007E3239">
            <w:pPr>
              <w:pStyle w:val="TableText"/>
            </w:pPr>
            <w:r w:rsidRPr="00D604EE">
              <w:t>Estimated as the ratio of below-ground biomass to above-ground biomass</w:t>
            </w:r>
          </w:p>
        </w:tc>
        <w:tc>
          <w:tcPr>
            <w:tcW w:w="1014" w:type="pct"/>
            <w:tcBorders>
              <w:top w:val="nil"/>
              <w:left w:val="nil"/>
              <w:right w:val="nil"/>
            </w:tcBorders>
          </w:tcPr>
          <w:p w14:paraId="3BFD1E06" w14:textId="77777777" w:rsidR="00784FA9" w:rsidRPr="00D604EE" w:rsidRDefault="00784FA9" w:rsidP="007E3239">
            <w:pPr>
              <w:pStyle w:val="TableText"/>
            </w:pPr>
            <w:r w:rsidRPr="00D604EE">
              <w:t>Paul et al. (unpublished(b))</w:t>
            </w:r>
          </w:p>
        </w:tc>
      </w:tr>
      <w:tr w:rsidR="00784FA9" w:rsidRPr="00D604EE" w14:paraId="1B344241" w14:textId="77777777" w:rsidTr="007E3239">
        <w:tc>
          <w:tcPr>
            <w:tcW w:w="834" w:type="pct"/>
            <w:tcBorders>
              <w:top w:val="nil"/>
              <w:bottom w:val="nil"/>
              <w:right w:val="nil"/>
            </w:tcBorders>
          </w:tcPr>
          <w:p w14:paraId="52191164" w14:textId="77777777" w:rsidR="00784FA9" w:rsidRPr="00D604EE" w:rsidRDefault="00784FA9" w:rsidP="007E3239">
            <w:pPr>
              <w:pStyle w:val="TableText"/>
            </w:pPr>
          </w:p>
        </w:tc>
        <w:tc>
          <w:tcPr>
            <w:tcW w:w="750" w:type="pct"/>
            <w:tcBorders>
              <w:left w:val="nil"/>
              <w:bottom w:val="nil"/>
              <w:right w:val="nil"/>
            </w:tcBorders>
          </w:tcPr>
          <w:p w14:paraId="26BD06EA" w14:textId="77777777" w:rsidR="00784FA9" w:rsidRPr="00D604EE" w:rsidRDefault="00784FA9" w:rsidP="007E3239">
            <w:pPr>
              <w:pStyle w:val="TableText"/>
            </w:pPr>
            <w:r w:rsidRPr="00D604EE">
              <w:rPr>
                <w:b/>
              </w:rPr>
              <w:t>Dead organic matter</w:t>
            </w:r>
          </w:p>
        </w:tc>
        <w:tc>
          <w:tcPr>
            <w:tcW w:w="1009" w:type="pct"/>
            <w:tcBorders>
              <w:left w:val="nil"/>
              <w:bottom w:val="nil"/>
              <w:right w:val="nil"/>
            </w:tcBorders>
          </w:tcPr>
          <w:p w14:paraId="3CBF13D4" w14:textId="77777777" w:rsidR="00784FA9" w:rsidRPr="00D604EE" w:rsidRDefault="00784FA9" w:rsidP="007E3239">
            <w:pPr>
              <w:pStyle w:val="TableText"/>
            </w:pPr>
            <w:r w:rsidRPr="00D604EE">
              <w:t>Dead wood</w:t>
            </w:r>
          </w:p>
        </w:tc>
        <w:tc>
          <w:tcPr>
            <w:tcW w:w="1393" w:type="pct"/>
            <w:tcBorders>
              <w:left w:val="nil"/>
              <w:bottom w:val="nil"/>
              <w:right w:val="nil"/>
            </w:tcBorders>
          </w:tcPr>
          <w:p w14:paraId="0968772C" w14:textId="77777777" w:rsidR="00784FA9" w:rsidRPr="00D604EE" w:rsidRDefault="00784FA9" w:rsidP="007E3239">
            <w:pPr>
              <w:pStyle w:val="TableText"/>
            </w:pPr>
            <w:r w:rsidRPr="00D604EE">
              <w:t>Allometric model using plot measurements, included in national yield tables. Harvest residues added to dead wood pool through CRA</w:t>
            </w:r>
          </w:p>
        </w:tc>
        <w:tc>
          <w:tcPr>
            <w:tcW w:w="1014" w:type="pct"/>
            <w:tcBorders>
              <w:left w:val="nil"/>
              <w:bottom w:val="nil"/>
              <w:right w:val="nil"/>
            </w:tcBorders>
          </w:tcPr>
          <w:p w14:paraId="07B08D95" w14:textId="77777777" w:rsidR="00784FA9" w:rsidRPr="00D604EE" w:rsidRDefault="00784FA9" w:rsidP="007E3239">
            <w:pPr>
              <w:pStyle w:val="TableText"/>
            </w:pPr>
            <w:r w:rsidRPr="00D604EE">
              <w:t>Paul et al. (unpublished(b))</w:t>
            </w:r>
          </w:p>
        </w:tc>
      </w:tr>
      <w:tr w:rsidR="00784FA9" w:rsidRPr="00D604EE" w14:paraId="4D4A7E6F" w14:textId="77777777" w:rsidTr="007E3239">
        <w:tc>
          <w:tcPr>
            <w:tcW w:w="834" w:type="pct"/>
            <w:tcBorders>
              <w:top w:val="nil"/>
              <w:right w:val="nil"/>
            </w:tcBorders>
          </w:tcPr>
          <w:p w14:paraId="3EDE8923" w14:textId="77777777" w:rsidR="00784FA9" w:rsidRPr="00D604EE" w:rsidRDefault="00784FA9" w:rsidP="007E3239">
            <w:pPr>
              <w:pStyle w:val="TableText"/>
            </w:pPr>
          </w:p>
        </w:tc>
        <w:tc>
          <w:tcPr>
            <w:tcW w:w="750" w:type="pct"/>
            <w:tcBorders>
              <w:top w:val="nil"/>
              <w:left w:val="nil"/>
              <w:right w:val="nil"/>
            </w:tcBorders>
          </w:tcPr>
          <w:p w14:paraId="7A3FCF2A" w14:textId="77777777" w:rsidR="00784FA9" w:rsidRPr="00D604EE" w:rsidRDefault="00784FA9" w:rsidP="007E3239">
            <w:pPr>
              <w:pStyle w:val="TableText"/>
            </w:pPr>
          </w:p>
        </w:tc>
        <w:tc>
          <w:tcPr>
            <w:tcW w:w="1009" w:type="pct"/>
            <w:tcBorders>
              <w:top w:val="nil"/>
              <w:left w:val="nil"/>
              <w:right w:val="nil"/>
            </w:tcBorders>
          </w:tcPr>
          <w:p w14:paraId="7CFB7B16" w14:textId="77777777" w:rsidR="00784FA9" w:rsidRPr="00D604EE" w:rsidRDefault="00784FA9" w:rsidP="007E3239">
            <w:pPr>
              <w:pStyle w:val="TableText"/>
            </w:pPr>
            <w:r w:rsidRPr="00D604EE">
              <w:t>Litter</w:t>
            </w:r>
          </w:p>
        </w:tc>
        <w:tc>
          <w:tcPr>
            <w:tcW w:w="1393" w:type="pct"/>
            <w:tcBorders>
              <w:top w:val="nil"/>
              <w:left w:val="nil"/>
              <w:right w:val="nil"/>
            </w:tcBorders>
          </w:tcPr>
          <w:p w14:paraId="56ADEC82" w14:textId="77777777" w:rsidR="00784FA9" w:rsidRPr="00D604EE" w:rsidRDefault="00784FA9" w:rsidP="007E3239">
            <w:pPr>
              <w:pStyle w:val="TableText"/>
            </w:pPr>
            <w:r w:rsidRPr="00D604EE">
              <w:rPr>
                <w:rFonts w:cs="Segoe UI"/>
                <w:szCs w:val="16"/>
              </w:rPr>
              <w:t>Allometric model and percentage of above-ground biomass</w:t>
            </w:r>
          </w:p>
        </w:tc>
        <w:tc>
          <w:tcPr>
            <w:tcW w:w="1014" w:type="pct"/>
            <w:tcBorders>
              <w:top w:val="nil"/>
              <w:left w:val="nil"/>
              <w:right w:val="nil"/>
            </w:tcBorders>
          </w:tcPr>
          <w:p w14:paraId="69571842" w14:textId="77777777" w:rsidR="00784FA9" w:rsidRPr="00D604EE" w:rsidRDefault="00784FA9" w:rsidP="007E3239">
            <w:pPr>
              <w:pStyle w:val="TableText"/>
            </w:pPr>
            <w:r w:rsidRPr="00D604EE">
              <w:t>Paul et al. (unpublished(b))</w:t>
            </w:r>
          </w:p>
        </w:tc>
      </w:tr>
      <w:tr w:rsidR="00784FA9" w:rsidRPr="00D604EE" w14:paraId="43B9AB6B" w14:textId="77777777" w:rsidTr="007E3239">
        <w:tc>
          <w:tcPr>
            <w:tcW w:w="834" w:type="pct"/>
            <w:tcBorders>
              <w:bottom w:val="nil"/>
              <w:right w:val="nil"/>
            </w:tcBorders>
          </w:tcPr>
          <w:p w14:paraId="3DE135BA" w14:textId="77777777" w:rsidR="00784FA9" w:rsidRPr="00D604EE" w:rsidRDefault="00784FA9" w:rsidP="007E3239">
            <w:pPr>
              <w:pStyle w:val="TableText"/>
              <w:rPr>
                <w:b/>
              </w:rPr>
            </w:pPr>
            <w:r w:rsidRPr="00D604EE">
              <w:rPr>
                <w:b/>
              </w:rPr>
              <w:t>Post-1989 planted forest</w:t>
            </w:r>
          </w:p>
        </w:tc>
        <w:tc>
          <w:tcPr>
            <w:tcW w:w="750" w:type="pct"/>
            <w:tcBorders>
              <w:left w:val="nil"/>
              <w:bottom w:val="nil"/>
              <w:right w:val="nil"/>
            </w:tcBorders>
          </w:tcPr>
          <w:p w14:paraId="03D6EC67" w14:textId="77777777" w:rsidR="00784FA9" w:rsidRPr="00D604EE" w:rsidRDefault="00784FA9" w:rsidP="007E3239">
            <w:pPr>
              <w:pStyle w:val="TableText"/>
            </w:pPr>
            <w:r w:rsidRPr="00D604EE">
              <w:rPr>
                <w:b/>
              </w:rPr>
              <w:t>Living biomass</w:t>
            </w:r>
          </w:p>
        </w:tc>
        <w:tc>
          <w:tcPr>
            <w:tcW w:w="1009" w:type="pct"/>
            <w:tcBorders>
              <w:left w:val="nil"/>
              <w:bottom w:val="nil"/>
              <w:right w:val="nil"/>
            </w:tcBorders>
          </w:tcPr>
          <w:p w14:paraId="6737D800" w14:textId="77777777" w:rsidR="00784FA9" w:rsidRPr="00D604EE" w:rsidRDefault="00784FA9" w:rsidP="007E3239">
            <w:pPr>
              <w:pStyle w:val="TableText"/>
            </w:pPr>
            <w:r w:rsidRPr="00D604EE">
              <w:t>Above-ground biomass</w:t>
            </w:r>
          </w:p>
        </w:tc>
        <w:tc>
          <w:tcPr>
            <w:tcW w:w="1393" w:type="pct"/>
            <w:tcBorders>
              <w:left w:val="nil"/>
              <w:bottom w:val="nil"/>
              <w:right w:val="nil"/>
            </w:tcBorders>
          </w:tcPr>
          <w:p w14:paraId="646654C2" w14:textId="77777777" w:rsidR="00784FA9" w:rsidRPr="00D604EE" w:rsidRDefault="00784FA9" w:rsidP="007E3239">
            <w:pPr>
              <w:pStyle w:val="TableText"/>
            </w:pPr>
            <w:r w:rsidRPr="00D604EE">
              <w:t>Modelled through allometric equations, then included in national yield tables</w:t>
            </w:r>
          </w:p>
        </w:tc>
        <w:tc>
          <w:tcPr>
            <w:tcW w:w="1014" w:type="pct"/>
            <w:tcBorders>
              <w:left w:val="nil"/>
              <w:bottom w:val="nil"/>
              <w:right w:val="nil"/>
            </w:tcBorders>
          </w:tcPr>
          <w:p w14:paraId="44CE91BC" w14:textId="77777777" w:rsidR="00784FA9" w:rsidRPr="00D604EE" w:rsidRDefault="00784FA9" w:rsidP="007E3239">
            <w:pPr>
              <w:pStyle w:val="TableText"/>
            </w:pPr>
            <w:r w:rsidRPr="00D604EE">
              <w:t>Paul et al. (unpublished(b))</w:t>
            </w:r>
          </w:p>
        </w:tc>
      </w:tr>
      <w:tr w:rsidR="00784FA9" w:rsidRPr="00D604EE" w14:paraId="1A57A6C2" w14:textId="77777777" w:rsidTr="007E3239">
        <w:tc>
          <w:tcPr>
            <w:tcW w:w="834" w:type="pct"/>
            <w:tcBorders>
              <w:top w:val="nil"/>
              <w:bottom w:val="nil"/>
              <w:right w:val="nil"/>
            </w:tcBorders>
          </w:tcPr>
          <w:p w14:paraId="44F204B5" w14:textId="77777777" w:rsidR="00784FA9" w:rsidRPr="00D604EE" w:rsidRDefault="00784FA9" w:rsidP="007E3239">
            <w:pPr>
              <w:pStyle w:val="TableText"/>
            </w:pPr>
          </w:p>
        </w:tc>
        <w:tc>
          <w:tcPr>
            <w:tcW w:w="750" w:type="pct"/>
            <w:tcBorders>
              <w:top w:val="nil"/>
              <w:left w:val="nil"/>
              <w:right w:val="nil"/>
            </w:tcBorders>
          </w:tcPr>
          <w:p w14:paraId="13AB6F9E" w14:textId="77777777" w:rsidR="00784FA9" w:rsidRPr="00D604EE" w:rsidRDefault="00784FA9" w:rsidP="007E3239">
            <w:pPr>
              <w:pStyle w:val="TableText"/>
            </w:pPr>
          </w:p>
        </w:tc>
        <w:tc>
          <w:tcPr>
            <w:tcW w:w="1009" w:type="pct"/>
            <w:tcBorders>
              <w:top w:val="nil"/>
              <w:left w:val="nil"/>
              <w:right w:val="nil"/>
            </w:tcBorders>
          </w:tcPr>
          <w:p w14:paraId="32E5CE66" w14:textId="77777777" w:rsidR="00784FA9" w:rsidRPr="00D604EE" w:rsidRDefault="00784FA9" w:rsidP="007E3239">
            <w:pPr>
              <w:pStyle w:val="TableText"/>
            </w:pPr>
            <w:r w:rsidRPr="00D604EE">
              <w:t>Below-ground biomass</w:t>
            </w:r>
          </w:p>
        </w:tc>
        <w:tc>
          <w:tcPr>
            <w:tcW w:w="1393" w:type="pct"/>
            <w:tcBorders>
              <w:top w:val="nil"/>
              <w:left w:val="nil"/>
              <w:right w:val="nil"/>
            </w:tcBorders>
          </w:tcPr>
          <w:p w14:paraId="352BFC44" w14:textId="77777777" w:rsidR="00784FA9" w:rsidRPr="00D604EE" w:rsidRDefault="00784FA9" w:rsidP="007E3239">
            <w:pPr>
              <w:pStyle w:val="TableText"/>
            </w:pPr>
            <w:r w:rsidRPr="00D604EE">
              <w:t>Estimated as the ratio of below-ground biomass to above-ground biomass</w:t>
            </w:r>
          </w:p>
        </w:tc>
        <w:tc>
          <w:tcPr>
            <w:tcW w:w="1014" w:type="pct"/>
            <w:tcBorders>
              <w:top w:val="nil"/>
              <w:left w:val="nil"/>
              <w:right w:val="nil"/>
            </w:tcBorders>
          </w:tcPr>
          <w:p w14:paraId="7379950A" w14:textId="77777777" w:rsidR="00784FA9" w:rsidRPr="00D604EE" w:rsidRDefault="00784FA9" w:rsidP="007E3239">
            <w:pPr>
              <w:pStyle w:val="TableText"/>
            </w:pPr>
            <w:r w:rsidRPr="00D604EE">
              <w:t>Paul et al. (unpublished(b))</w:t>
            </w:r>
          </w:p>
        </w:tc>
      </w:tr>
      <w:tr w:rsidR="00784FA9" w:rsidRPr="00D604EE" w14:paraId="02B7D90E" w14:textId="77777777" w:rsidTr="007E3239">
        <w:tc>
          <w:tcPr>
            <w:tcW w:w="834" w:type="pct"/>
            <w:tcBorders>
              <w:top w:val="nil"/>
              <w:bottom w:val="nil"/>
              <w:right w:val="nil"/>
            </w:tcBorders>
          </w:tcPr>
          <w:p w14:paraId="2FA51959" w14:textId="77777777" w:rsidR="00784FA9" w:rsidRPr="00D604EE" w:rsidRDefault="00784FA9" w:rsidP="007E3239">
            <w:pPr>
              <w:pStyle w:val="TableText"/>
            </w:pPr>
          </w:p>
        </w:tc>
        <w:tc>
          <w:tcPr>
            <w:tcW w:w="750" w:type="pct"/>
            <w:tcBorders>
              <w:left w:val="nil"/>
              <w:bottom w:val="nil"/>
              <w:right w:val="nil"/>
            </w:tcBorders>
          </w:tcPr>
          <w:p w14:paraId="6BCA4000" w14:textId="77777777" w:rsidR="00784FA9" w:rsidRPr="00D604EE" w:rsidRDefault="00784FA9" w:rsidP="007E3239">
            <w:pPr>
              <w:pStyle w:val="TableText"/>
            </w:pPr>
            <w:r w:rsidRPr="00D604EE">
              <w:rPr>
                <w:b/>
              </w:rPr>
              <w:t>Dead organic matter</w:t>
            </w:r>
          </w:p>
        </w:tc>
        <w:tc>
          <w:tcPr>
            <w:tcW w:w="1009" w:type="pct"/>
            <w:tcBorders>
              <w:left w:val="nil"/>
              <w:bottom w:val="nil"/>
              <w:right w:val="nil"/>
            </w:tcBorders>
          </w:tcPr>
          <w:p w14:paraId="49062394" w14:textId="77777777" w:rsidR="00784FA9" w:rsidRPr="00D604EE" w:rsidRDefault="00784FA9" w:rsidP="007E3239">
            <w:pPr>
              <w:pStyle w:val="TableText"/>
            </w:pPr>
            <w:r w:rsidRPr="00D604EE">
              <w:t>Dead wood</w:t>
            </w:r>
          </w:p>
        </w:tc>
        <w:tc>
          <w:tcPr>
            <w:tcW w:w="1393" w:type="pct"/>
            <w:tcBorders>
              <w:left w:val="nil"/>
              <w:bottom w:val="nil"/>
              <w:right w:val="nil"/>
            </w:tcBorders>
          </w:tcPr>
          <w:p w14:paraId="0B8FCE0B" w14:textId="77777777" w:rsidR="00784FA9" w:rsidRPr="00D604EE" w:rsidRDefault="00784FA9" w:rsidP="007E3239">
            <w:pPr>
              <w:pStyle w:val="TableText"/>
            </w:pPr>
            <w:r w:rsidRPr="00D604EE">
              <w:t>Allometric model using plot measurements, included in national yield tables. Harvest residues added to dead wood pool through CRA</w:t>
            </w:r>
          </w:p>
        </w:tc>
        <w:tc>
          <w:tcPr>
            <w:tcW w:w="1014" w:type="pct"/>
            <w:tcBorders>
              <w:left w:val="nil"/>
              <w:bottom w:val="nil"/>
              <w:right w:val="nil"/>
            </w:tcBorders>
          </w:tcPr>
          <w:p w14:paraId="26E03757" w14:textId="77777777" w:rsidR="00784FA9" w:rsidRPr="00D604EE" w:rsidRDefault="00784FA9" w:rsidP="007E3239">
            <w:pPr>
              <w:pStyle w:val="TableText"/>
            </w:pPr>
            <w:r w:rsidRPr="00D604EE">
              <w:t>Paul et al. (unpublished(b))</w:t>
            </w:r>
          </w:p>
        </w:tc>
      </w:tr>
      <w:tr w:rsidR="00784FA9" w:rsidRPr="00D604EE" w14:paraId="146C8482" w14:textId="77777777" w:rsidTr="007E3239">
        <w:tc>
          <w:tcPr>
            <w:tcW w:w="834" w:type="pct"/>
            <w:tcBorders>
              <w:top w:val="nil"/>
              <w:right w:val="nil"/>
            </w:tcBorders>
          </w:tcPr>
          <w:p w14:paraId="620E9665" w14:textId="77777777" w:rsidR="00784FA9" w:rsidRPr="00D604EE" w:rsidRDefault="00784FA9" w:rsidP="007E3239">
            <w:pPr>
              <w:pStyle w:val="TableText"/>
            </w:pPr>
          </w:p>
        </w:tc>
        <w:tc>
          <w:tcPr>
            <w:tcW w:w="750" w:type="pct"/>
            <w:tcBorders>
              <w:top w:val="nil"/>
              <w:left w:val="nil"/>
              <w:right w:val="nil"/>
            </w:tcBorders>
          </w:tcPr>
          <w:p w14:paraId="64AC9641" w14:textId="77777777" w:rsidR="00784FA9" w:rsidRPr="00D604EE" w:rsidRDefault="00784FA9" w:rsidP="007E3239">
            <w:pPr>
              <w:pStyle w:val="TableText"/>
            </w:pPr>
          </w:p>
        </w:tc>
        <w:tc>
          <w:tcPr>
            <w:tcW w:w="1009" w:type="pct"/>
            <w:tcBorders>
              <w:top w:val="nil"/>
              <w:left w:val="nil"/>
              <w:right w:val="nil"/>
            </w:tcBorders>
          </w:tcPr>
          <w:p w14:paraId="4C0D2C3B" w14:textId="77777777" w:rsidR="00784FA9" w:rsidRPr="00D604EE" w:rsidRDefault="00784FA9" w:rsidP="007E3239">
            <w:pPr>
              <w:pStyle w:val="TableText"/>
            </w:pPr>
            <w:r w:rsidRPr="00D604EE">
              <w:t>Litter</w:t>
            </w:r>
          </w:p>
        </w:tc>
        <w:tc>
          <w:tcPr>
            <w:tcW w:w="1393" w:type="pct"/>
            <w:tcBorders>
              <w:top w:val="nil"/>
              <w:left w:val="nil"/>
              <w:right w:val="nil"/>
            </w:tcBorders>
          </w:tcPr>
          <w:p w14:paraId="3066AD80" w14:textId="77777777" w:rsidR="00784FA9" w:rsidRPr="00D604EE" w:rsidRDefault="00784FA9" w:rsidP="007E3239">
            <w:pPr>
              <w:pStyle w:val="TableText"/>
            </w:pPr>
            <w:r w:rsidRPr="00D604EE">
              <w:rPr>
                <w:rFonts w:cs="Segoe UI"/>
                <w:szCs w:val="16"/>
              </w:rPr>
              <w:t>Allometric model and percentage of above-ground biomass</w:t>
            </w:r>
          </w:p>
        </w:tc>
        <w:tc>
          <w:tcPr>
            <w:tcW w:w="1014" w:type="pct"/>
            <w:tcBorders>
              <w:top w:val="nil"/>
              <w:left w:val="nil"/>
              <w:right w:val="nil"/>
            </w:tcBorders>
          </w:tcPr>
          <w:p w14:paraId="6E1AC7B6" w14:textId="77777777" w:rsidR="00784FA9" w:rsidRPr="00D604EE" w:rsidRDefault="00784FA9" w:rsidP="007E3239">
            <w:pPr>
              <w:pStyle w:val="TableText"/>
            </w:pPr>
            <w:r w:rsidRPr="00D604EE">
              <w:t>Paul et al. (unpublished(b))</w:t>
            </w:r>
          </w:p>
        </w:tc>
      </w:tr>
    </w:tbl>
    <w:p w14:paraId="22243E94" w14:textId="77777777" w:rsidR="00784FA9" w:rsidRPr="00D604EE" w:rsidRDefault="00784FA9" w:rsidP="00784FA9">
      <w:pPr>
        <w:pStyle w:val="Heading5"/>
        <w:spacing w:before="360"/>
      </w:pPr>
      <w:bookmarkStart w:id="1655" w:name="_Toc255466335"/>
      <w:bookmarkStart w:id="1656" w:name="_Toc261513142"/>
      <w:bookmarkStart w:id="1657" w:name="_Toc261513755"/>
      <w:r w:rsidRPr="00D604EE">
        <w:t>Soil organic carbon</w:t>
      </w:r>
      <w:bookmarkEnd w:id="1655"/>
      <w:bookmarkEnd w:id="1656"/>
      <w:bookmarkEnd w:id="1657"/>
    </w:p>
    <w:p w14:paraId="638174F4" w14:textId="77777777" w:rsidR="00784FA9" w:rsidRPr="00D604EE" w:rsidRDefault="00784FA9" w:rsidP="00784FA9">
      <w:pPr>
        <w:pStyle w:val="BodyText"/>
      </w:pPr>
      <w:r w:rsidRPr="00D604EE">
        <w:t xml:space="preserve">Soil organic carbon stocks in </w:t>
      </w:r>
      <w:r w:rsidRPr="00D604EE">
        <w:rPr>
          <w:i/>
        </w:rPr>
        <w:t>Forest land</w:t>
      </w:r>
      <w:r w:rsidRPr="00D604EE">
        <w:t xml:space="preserve"> </w:t>
      </w:r>
      <w:r w:rsidRPr="00D604EE">
        <w:rPr>
          <w:i/>
        </w:rPr>
        <w:t>remaining forest land</w:t>
      </w:r>
      <w:r w:rsidRPr="00D604EE">
        <w:t xml:space="preserve"> are estimated using a Tier 2 method for mineral soils, as described in annex A3.2.4 ‘Mineral soils’. </w:t>
      </w:r>
    </w:p>
    <w:p w14:paraId="78708F87" w14:textId="77777777" w:rsidR="00784FA9" w:rsidRPr="00D604EE" w:rsidRDefault="00784FA9" w:rsidP="00784FA9">
      <w:pPr>
        <w:pStyle w:val="BodyText"/>
      </w:pPr>
      <w:r w:rsidRPr="00D604EE">
        <w:t>For organic soils, IPCC good practice guidance is limited to the estimation of carbon emissions associated with the drainage of organic soils in managed forests (IPCC, 2006a, section 4.2.3.1). In New Zealand, natural forests are not drained and, therefore, oxidation processes associated with drainage are not occurring. It is therefore assumed that there are no carbon emissions from organic soils in pre-1990 natural forest land remaining pre</w:t>
      </w:r>
      <w:r w:rsidRPr="00D604EE">
        <w:noBreakHyphen/>
        <w:t xml:space="preserve">1990 natural forest land. A Tier 1 approach for pre-1990 planted, post-1989 planted and post-1989 natural </w:t>
      </w:r>
      <w:r w:rsidRPr="00D604EE">
        <w:rPr>
          <w:i/>
          <w:iCs/>
        </w:rPr>
        <w:t>Forest land remaining forest land</w:t>
      </w:r>
      <w:r w:rsidRPr="00D604EE">
        <w:t xml:space="preserve"> is applied and is described further in annex A3.2.4 ‘Organic soils’. </w:t>
      </w:r>
    </w:p>
    <w:p w14:paraId="113F148C" w14:textId="77777777" w:rsidR="00784FA9" w:rsidRPr="00D604EE" w:rsidRDefault="00784FA9" w:rsidP="00784FA9">
      <w:pPr>
        <w:pStyle w:val="Heading5"/>
      </w:pPr>
      <w:r w:rsidRPr="00D604EE">
        <w:t>Non-CO</w:t>
      </w:r>
      <w:r w:rsidRPr="00D604EE">
        <w:rPr>
          <w:vertAlign w:val="subscript"/>
        </w:rPr>
        <w:t>2</w:t>
      </w:r>
      <w:r w:rsidRPr="00D604EE">
        <w:t xml:space="preserve"> emissions for forest land </w:t>
      </w:r>
    </w:p>
    <w:p w14:paraId="3C0404EB" w14:textId="77777777" w:rsidR="00784FA9" w:rsidRPr="00D604EE" w:rsidRDefault="00784FA9" w:rsidP="00784FA9">
      <w:pPr>
        <w:pStyle w:val="BodyText"/>
      </w:pPr>
      <w:r w:rsidRPr="00D604EE">
        <w:t>Direct and indirect nitrous oxide emissions from fertilisation of forest land and disturbance associated with land use management conversion are described in section 6.10. Note that the calculations of indirect N</w:t>
      </w:r>
      <w:r w:rsidRPr="00D604EE">
        <w:rPr>
          <w:vertAlign w:val="subscript"/>
        </w:rPr>
        <w:t>2</w:t>
      </w:r>
      <w:r w:rsidRPr="00D604EE">
        <w:t xml:space="preserve">O are not disaggregated by subcategory and are therefore not included in the emissions subtotals for </w:t>
      </w:r>
      <w:r w:rsidRPr="00D604EE">
        <w:rPr>
          <w:i/>
        </w:rPr>
        <w:t>Forest land</w:t>
      </w:r>
      <w:r w:rsidRPr="00D604EE">
        <w:t>.</w:t>
      </w:r>
    </w:p>
    <w:p w14:paraId="013D7ED8" w14:textId="77777777" w:rsidR="00784FA9" w:rsidRPr="00D604EE" w:rsidRDefault="00784FA9" w:rsidP="00784FA9">
      <w:pPr>
        <w:pStyle w:val="Heading4"/>
      </w:pPr>
      <w:bookmarkStart w:id="1658" w:name="_Toc255466343"/>
      <w:bookmarkStart w:id="1659" w:name="_Toc261513150"/>
      <w:bookmarkStart w:id="1660" w:name="_Toc261513763"/>
      <w:bookmarkStart w:id="1661" w:name="_Toc280630251"/>
      <w:r w:rsidRPr="00D604EE">
        <w:lastRenderedPageBreak/>
        <w:t>Land converted to forest land</w:t>
      </w:r>
      <w:bookmarkEnd w:id="1658"/>
      <w:bookmarkEnd w:id="1659"/>
      <w:bookmarkEnd w:id="1660"/>
      <w:bookmarkEnd w:id="1661"/>
      <w:r w:rsidRPr="00D604EE">
        <w:t xml:space="preserve"> (CRF 4.A.2)</w:t>
      </w:r>
    </w:p>
    <w:p w14:paraId="2F37E548" w14:textId="77777777" w:rsidR="00784FA9" w:rsidRPr="00D604EE" w:rsidRDefault="00784FA9" w:rsidP="00784FA9">
      <w:pPr>
        <w:pStyle w:val="BodyText"/>
        <w:spacing w:before="100" w:after="100"/>
      </w:pPr>
      <w:r w:rsidRPr="00D604EE">
        <w:t xml:space="preserve">All </w:t>
      </w:r>
      <w:r w:rsidRPr="00D604EE">
        <w:rPr>
          <w:i/>
        </w:rPr>
        <w:t>Land converted to forest land</w:t>
      </w:r>
      <w:r w:rsidRPr="00D604EE">
        <w:t xml:space="preserve"> since 1 January 1990, either by planting or as a result of human-induced changes in land-management practice (e.g., removing grazing stock and actively facilitating the regeneration of tree species), is included as post-1989 forest. Post</w:t>
      </w:r>
      <w:r w:rsidRPr="00D604EE">
        <w:noBreakHyphen/>
        <w:t>1989 forest is split into two divisions for calculating emissions and removals: post</w:t>
      </w:r>
      <w:r w:rsidRPr="00D604EE">
        <w:noBreakHyphen/>
        <w:t xml:space="preserve">1989 natural forest and post-1989 planted forest. </w:t>
      </w:r>
    </w:p>
    <w:p w14:paraId="0E63D992" w14:textId="77777777" w:rsidR="00784FA9" w:rsidRPr="00D604EE" w:rsidRDefault="00784FA9" w:rsidP="00784FA9">
      <w:pPr>
        <w:pStyle w:val="BodyText"/>
        <w:spacing w:before="100" w:after="100"/>
        <w:rPr>
          <w:spacing w:val="-2"/>
        </w:rPr>
      </w:pPr>
      <w:r w:rsidRPr="00D604EE">
        <w:t>The area of land converted to natural and planted forests is derived from a combination of land use mapping, national statistics and forestry scheme data. Further details on how the area of new forest establishment is calculated are provided in annex A3.2.2.</w:t>
      </w:r>
    </w:p>
    <w:p w14:paraId="279E6FEC" w14:textId="5627231C" w:rsidR="00784FA9" w:rsidRPr="00D604EE" w:rsidRDefault="00784FA9" w:rsidP="00784FA9">
      <w:pPr>
        <w:pStyle w:val="BodyText"/>
        <w:spacing w:before="100" w:after="100"/>
        <w:rPr>
          <w:spacing w:val="-2"/>
        </w:rPr>
      </w:pPr>
      <w:r w:rsidRPr="00D604EE">
        <w:rPr>
          <w:spacing w:val="-2"/>
        </w:rPr>
        <w:t xml:space="preserve">When non-forest land is converted to forest land, all carbon in living biomass that was present at the time of forest establishment is assumed to be instantly emitted as a result of forest establishment preparation, with the exception of </w:t>
      </w:r>
      <w:r w:rsidRPr="00D604EE">
        <w:rPr>
          <w:i/>
          <w:iCs/>
          <w:spacing w:val="-2"/>
        </w:rPr>
        <w:t>Grassland with woody biomass</w:t>
      </w:r>
      <w:r w:rsidRPr="00D604EE">
        <w:rPr>
          <w:spacing w:val="-2"/>
        </w:rPr>
        <w:t xml:space="preserve">. Conversions from </w:t>
      </w:r>
      <w:r w:rsidRPr="00D604EE">
        <w:rPr>
          <w:i/>
          <w:iCs/>
          <w:spacing w:val="-2"/>
        </w:rPr>
        <w:t>Grassland with woody biomass</w:t>
      </w:r>
      <w:r w:rsidRPr="00D604EE">
        <w:rPr>
          <w:spacing w:val="-2"/>
        </w:rPr>
        <w:t xml:space="preserve"> to post-1989 natural forest represent ecological succession and do not involve the clearance of vegetation. A special case yield table (see </w:t>
      </w:r>
      <w:r w:rsidRPr="00784FA9">
        <w:rPr>
          <w:rFonts w:cs="Calibri"/>
        </w:rPr>
        <w:t xml:space="preserve">annex 3.2.5.5, </w:t>
      </w:r>
      <w:r w:rsidRPr="00D604EE">
        <w:rPr>
          <w:spacing w:val="-2"/>
        </w:rPr>
        <w:t>table A3.2.1</w:t>
      </w:r>
      <w:r w:rsidR="00201ECA">
        <w:rPr>
          <w:spacing w:val="-2"/>
        </w:rPr>
        <w:t>6</w:t>
      </w:r>
      <w:r w:rsidRPr="00D604EE">
        <w:rPr>
          <w:spacing w:val="-2"/>
        </w:rPr>
        <w:t xml:space="preserve">) is used in these instances. This yield table has the same starting carbon stock as </w:t>
      </w:r>
      <w:r w:rsidRPr="00D604EE">
        <w:rPr>
          <w:i/>
          <w:iCs/>
          <w:spacing w:val="-2"/>
        </w:rPr>
        <w:t>Grassland with woody biomass</w:t>
      </w:r>
      <w:r w:rsidRPr="00D604EE">
        <w:rPr>
          <w:spacing w:val="-2"/>
        </w:rPr>
        <w:t xml:space="preserve">, therefore resulting in no net emissions occurring from biomass in the first year after conversion. This does not impact net carbon dioxide removals by the time the forest reaches the age of 30 years, but impacts the year in which reported emissions and removals occur. </w:t>
      </w:r>
    </w:p>
    <w:p w14:paraId="04388392" w14:textId="77777777" w:rsidR="00784FA9" w:rsidRPr="00D604EE" w:rsidRDefault="00784FA9" w:rsidP="00784FA9">
      <w:pPr>
        <w:pStyle w:val="BodyText"/>
        <w:spacing w:before="100" w:after="100"/>
      </w:pPr>
      <w:r w:rsidRPr="00D604EE">
        <w:rPr>
          <w:spacing w:val="-2"/>
        </w:rPr>
        <w:t xml:space="preserve">Between 1990 and 2020, of the non-forest land converted to post-1989 forest, approximately 60 per cent has been converted from low producing grassland, 22 per cent from </w:t>
      </w:r>
      <w:r w:rsidRPr="00D604EE">
        <w:rPr>
          <w:i/>
          <w:iCs/>
          <w:spacing w:val="-2"/>
        </w:rPr>
        <w:t>Grassland with woody biomass</w:t>
      </w:r>
      <w:r w:rsidRPr="00D604EE">
        <w:rPr>
          <w:spacing w:val="-2"/>
        </w:rPr>
        <w:t xml:space="preserve"> and a further 17 per cent from high producing grassland. Note that the grassland type allocated to afforestation in non-mapped years is proportionally based on previously mapped years. </w:t>
      </w:r>
      <w:r w:rsidRPr="00D604EE">
        <w:rPr>
          <w:i/>
          <w:iCs/>
          <w:spacing w:val="-2"/>
        </w:rPr>
        <w:t>Grassland with woody biomass</w:t>
      </w:r>
      <w:r w:rsidRPr="00D604EE">
        <w:rPr>
          <w:spacing w:val="-2"/>
        </w:rPr>
        <w:t xml:space="preserve"> provides the largest source of emissions associated with land-use change to planted forest due to the amount of biomass present before land use conversion. </w:t>
      </w:r>
    </w:p>
    <w:p w14:paraId="071C372C" w14:textId="77777777" w:rsidR="00784FA9" w:rsidRPr="00D604EE" w:rsidRDefault="00784FA9" w:rsidP="00784FA9">
      <w:pPr>
        <w:pStyle w:val="BodyText"/>
        <w:spacing w:before="100" w:after="100"/>
      </w:pPr>
      <w:r w:rsidRPr="00D604EE">
        <w:t>Details on the methods, plot network, sampling framework and biomass pools for both post</w:t>
      </w:r>
      <w:r w:rsidRPr="00D604EE">
        <w:noBreakHyphen/>
        <w:t xml:space="preserve">1989 planted and post-1989 natural forest are provided in annex A3.2.5 ‘National forest inventory’. </w:t>
      </w:r>
    </w:p>
    <w:p w14:paraId="607D3483" w14:textId="77777777" w:rsidR="00784FA9" w:rsidRPr="00D604EE" w:rsidRDefault="00784FA9" w:rsidP="00784FA9">
      <w:pPr>
        <w:pStyle w:val="Heading3"/>
      </w:pPr>
      <w:bookmarkStart w:id="1662" w:name="_Toc255466354"/>
      <w:bookmarkStart w:id="1663" w:name="_Toc261513161"/>
      <w:bookmarkStart w:id="1664" w:name="_Toc261513774"/>
      <w:bookmarkStart w:id="1665" w:name="_Toc280630254"/>
      <w:bookmarkStart w:id="1666" w:name="_Toc373395713"/>
      <w:r w:rsidRPr="00D604EE">
        <w:t>6</w:t>
      </w:r>
      <w:bookmarkStart w:id="1667" w:name="_Hlk73363629"/>
      <w:r w:rsidRPr="00D604EE">
        <w:t>.3.3</w:t>
      </w:r>
      <w:r w:rsidRPr="00D604EE">
        <w:tab/>
        <w:t>Uncertainties and time-series consistency</w:t>
      </w:r>
      <w:bookmarkEnd w:id="1662"/>
      <w:bookmarkEnd w:id="1663"/>
      <w:bookmarkEnd w:id="1664"/>
      <w:bookmarkEnd w:id="1665"/>
      <w:bookmarkEnd w:id="1666"/>
    </w:p>
    <w:p w14:paraId="3E547D83" w14:textId="77777777" w:rsidR="00784FA9" w:rsidRPr="00D604EE" w:rsidRDefault="00784FA9" w:rsidP="00784FA9">
      <w:pPr>
        <w:pStyle w:val="BodyText"/>
      </w:pPr>
      <w:r w:rsidRPr="00D604EE">
        <w:t xml:space="preserve">The uncertainty in net carbon emissions from </w:t>
      </w:r>
      <w:r w:rsidRPr="00D604EE">
        <w:rPr>
          <w:i/>
          <w:iCs/>
        </w:rPr>
        <w:t>Forest land</w:t>
      </w:r>
      <w:r w:rsidRPr="00D604EE">
        <w:t xml:space="preserve"> was 61.6 per cent in 2020. The uncertainty in net carbon emissions from </w:t>
      </w:r>
      <w:r w:rsidRPr="00D604EE">
        <w:rPr>
          <w:i/>
        </w:rPr>
        <w:t>Forest land</w:t>
      </w:r>
      <w:r w:rsidRPr="00D604EE">
        <w:t xml:space="preserve"> accounted for 52.8 per cent of the total uncertainty in emissions from the LULUCF sector. The uncertainty associated with the emissions from each forest class is shown in table 6.3.9. The methods used to calculate the uncertainty are further described in annex A3.2.8. </w:t>
      </w:r>
    </w:p>
    <w:p w14:paraId="4A5FECBF" w14:textId="77777777" w:rsidR="00784FA9" w:rsidRPr="00D604EE" w:rsidRDefault="00784FA9" w:rsidP="00784FA9">
      <w:pPr>
        <w:pStyle w:val="BodyText"/>
      </w:pPr>
      <w:r w:rsidRPr="00D604EE">
        <w:t xml:space="preserve">Time-series consistency is ensured by applying consistent methods and full recalculations in the event of any refinement or improvement to methodology. </w:t>
      </w:r>
    </w:p>
    <w:p w14:paraId="5D0A3347" w14:textId="77777777" w:rsidR="00784FA9" w:rsidRPr="00D604EE" w:rsidRDefault="00784FA9" w:rsidP="00784FA9">
      <w:pPr>
        <w:pStyle w:val="Table"/>
      </w:pPr>
      <w:bookmarkStart w:id="1668" w:name="_Toc99659288"/>
      <w:r w:rsidRPr="00D604EE">
        <w:t>Table 6.3.9</w:t>
      </w:r>
      <w:r w:rsidRPr="00D604EE">
        <w:tab/>
        <w:t xml:space="preserve">Uncertainty in carbon stock change emissions in 2020 from </w:t>
      </w:r>
      <w:r w:rsidRPr="00D604EE">
        <w:rPr>
          <w:i/>
        </w:rPr>
        <w:t>Forest land</w:t>
      </w:r>
      <w:bookmarkEnd w:id="1668"/>
    </w:p>
    <w:tbl>
      <w:tblPr>
        <w:tblW w:w="8505" w:type="dxa"/>
        <w:tblInd w:w="108" w:type="dxa"/>
        <w:tblLayout w:type="fixed"/>
        <w:tblLook w:val="04A0" w:firstRow="1" w:lastRow="0" w:firstColumn="1" w:lastColumn="0" w:noHBand="0" w:noVBand="1"/>
      </w:tblPr>
      <w:tblGrid>
        <w:gridCol w:w="1985"/>
        <w:gridCol w:w="1559"/>
        <w:gridCol w:w="2126"/>
        <w:gridCol w:w="2835"/>
      </w:tblGrid>
      <w:tr w:rsidR="00784FA9" w:rsidRPr="00D604EE" w14:paraId="7A357205" w14:textId="77777777" w:rsidTr="007E3239">
        <w:tc>
          <w:tcPr>
            <w:tcW w:w="1985" w:type="dxa"/>
            <w:tcBorders>
              <w:top w:val="single" w:sz="4" w:space="0" w:color="1B556B"/>
            </w:tcBorders>
            <w:shd w:val="clear" w:color="auto" w:fill="1B556B"/>
            <w:vAlign w:val="bottom"/>
          </w:tcPr>
          <w:p w14:paraId="6B5E071A" w14:textId="77777777" w:rsidR="00784FA9" w:rsidRPr="00D604EE" w:rsidRDefault="00784FA9" w:rsidP="007E3239">
            <w:pPr>
              <w:pStyle w:val="TableTextBold"/>
              <w:spacing w:before="40" w:after="40"/>
              <w:rPr>
                <w:noProof w:val="0"/>
                <w:color w:val="FFFFFF"/>
                <w:szCs w:val="16"/>
              </w:rPr>
            </w:pPr>
          </w:p>
        </w:tc>
        <w:tc>
          <w:tcPr>
            <w:tcW w:w="1559" w:type="dxa"/>
            <w:tcBorders>
              <w:top w:val="single" w:sz="4" w:space="0" w:color="1B556B"/>
            </w:tcBorders>
            <w:shd w:val="clear" w:color="auto" w:fill="1B556B"/>
            <w:vAlign w:val="bottom"/>
          </w:tcPr>
          <w:p w14:paraId="11436842" w14:textId="77777777" w:rsidR="00784FA9" w:rsidRPr="00D604EE" w:rsidRDefault="00784FA9" w:rsidP="007E3239">
            <w:pPr>
              <w:pStyle w:val="TableTextBold"/>
              <w:spacing w:before="40" w:after="40"/>
              <w:jc w:val="right"/>
              <w:rPr>
                <w:noProof w:val="0"/>
                <w:color w:val="FFFFFF"/>
                <w:szCs w:val="16"/>
              </w:rPr>
            </w:pPr>
            <w:r w:rsidRPr="00D604EE">
              <w:rPr>
                <w:noProof w:val="0"/>
                <w:color w:val="FFFFFF"/>
                <w:szCs w:val="16"/>
              </w:rPr>
              <w:t>Emissions (kt CO</w:t>
            </w:r>
            <w:r w:rsidRPr="00D604EE">
              <w:rPr>
                <w:noProof w:val="0"/>
                <w:color w:val="FFFFFF"/>
                <w:szCs w:val="16"/>
                <w:vertAlign w:val="subscript"/>
              </w:rPr>
              <w:t>2</w:t>
            </w:r>
            <w:r w:rsidRPr="00D604EE">
              <w:rPr>
                <w:noProof w:val="0"/>
                <w:color w:val="FFFFFF"/>
                <w:szCs w:val="16"/>
              </w:rPr>
              <w:t>-e)</w:t>
            </w:r>
          </w:p>
        </w:tc>
        <w:tc>
          <w:tcPr>
            <w:tcW w:w="2126" w:type="dxa"/>
            <w:tcBorders>
              <w:top w:val="single" w:sz="4" w:space="0" w:color="1B556B"/>
            </w:tcBorders>
            <w:shd w:val="clear" w:color="auto" w:fill="1B556B"/>
            <w:vAlign w:val="bottom"/>
          </w:tcPr>
          <w:p w14:paraId="62037089" w14:textId="77777777" w:rsidR="00784FA9" w:rsidRPr="00D604EE" w:rsidRDefault="00784FA9" w:rsidP="007E3239">
            <w:pPr>
              <w:pStyle w:val="TableTextBold"/>
              <w:spacing w:before="40" w:after="40"/>
              <w:jc w:val="right"/>
              <w:rPr>
                <w:noProof w:val="0"/>
                <w:color w:val="FFFFFF"/>
                <w:szCs w:val="16"/>
              </w:rPr>
            </w:pPr>
            <w:r w:rsidRPr="00D604EE">
              <w:rPr>
                <w:noProof w:val="0"/>
                <w:color w:val="FFFFFF"/>
                <w:szCs w:val="16"/>
              </w:rPr>
              <w:t>Uncertainty in emissions (%)</w:t>
            </w:r>
          </w:p>
        </w:tc>
        <w:tc>
          <w:tcPr>
            <w:tcW w:w="2835" w:type="dxa"/>
            <w:tcBorders>
              <w:top w:val="single" w:sz="4" w:space="0" w:color="1B556B"/>
            </w:tcBorders>
            <w:shd w:val="clear" w:color="auto" w:fill="1B556B"/>
            <w:vAlign w:val="bottom"/>
          </w:tcPr>
          <w:p w14:paraId="39011954" w14:textId="77777777" w:rsidR="00784FA9" w:rsidRPr="00D604EE" w:rsidRDefault="00784FA9" w:rsidP="007E3239">
            <w:pPr>
              <w:pStyle w:val="TableTextBold"/>
              <w:spacing w:before="40" w:after="40"/>
              <w:jc w:val="right"/>
              <w:rPr>
                <w:noProof w:val="0"/>
                <w:color w:val="FFFFFF"/>
                <w:szCs w:val="16"/>
              </w:rPr>
            </w:pPr>
            <w:r w:rsidRPr="00D604EE">
              <w:rPr>
                <w:noProof w:val="0"/>
                <w:color w:val="FFFFFF"/>
                <w:szCs w:val="16"/>
              </w:rPr>
              <w:t>Contribution to LULUCF uncertainty (%)</w:t>
            </w:r>
          </w:p>
        </w:tc>
      </w:tr>
      <w:tr w:rsidR="00784FA9" w:rsidRPr="00D604EE" w14:paraId="04EB1A27" w14:textId="77777777" w:rsidTr="007E3239">
        <w:tc>
          <w:tcPr>
            <w:tcW w:w="1985" w:type="dxa"/>
            <w:tcBorders>
              <w:top w:val="single" w:sz="4" w:space="0" w:color="1B556B"/>
              <w:bottom w:val="single" w:sz="4" w:space="0" w:color="365F91"/>
            </w:tcBorders>
          </w:tcPr>
          <w:p w14:paraId="6F642718" w14:textId="77777777" w:rsidR="00784FA9" w:rsidRPr="00D604EE" w:rsidRDefault="00784FA9" w:rsidP="007E3239">
            <w:pPr>
              <w:pStyle w:val="TableText"/>
              <w:spacing w:before="40" w:after="40"/>
              <w:rPr>
                <w:szCs w:val="16"/>
              </w:rPr>
            </w:pPr>
            <w:r w:rsidRPr="00D604EE">
              <w:t>Pre-1990 planted forest</w:t>
            </w:r>
          </w:p>
        </w:tc>
        <w:tc>
          <w:tcPr>
            <w:tcW w:w="1559" w:type="dxa"/>
            <w:tcBorders>
              <w:top w:val="single" w:sz="4" w:space="0" w:color="1B556B"/>
              <w:bottom w:val="single" w:sz="4" w:space="0" w:color="365F91"/>
            </w:tcBorders>
          </w:tcPr>
          <w:p w14:paraId="703CB888" w14:textId="77777777" w:rsidR="00784FA9" w:rsidRPr="00D604EE" w:rsidRDefault="00784FA9" w:rsidP="007E3239">
            <w:pPr>
              <w:pStyle w:val="TableText"/>
              <w:spacing w:before="40" w:after="40"/>
              <w:jc w:val="right"/>
            </w:pPr>
            <w:r w:rsidRPr="00D604EE">
              <w:t>–7,713.8</w:t>
            </w:r>
          </w:p>
        </w:tc>
        <w:tc>
          <w:tcPr>
            <w:tcW w:w="2126" w:type="dxa"/>
            <w:tcBorders>
              <w:top w:val="single" w:sz="4" w:space="0" w:color="1B556B"/>
              <w:bottom w:val="single" w:sz="4" w:space="0" w:color="365F91"/>
            </w:tcBorders>
          </w:tcPr>
          <w:p w14:paraId="64801A23" w14:textId="77777777" w:rsidR="00784FA9" w:rsidRPr="00D604EE" w:rsidRDefault="00784FA9" w:rsidP="007E3239">
            <w:pPr>
              <w:pStyle w:val="TableText"/>
              <w:spacing w:before="40" w:after="40"/>
              <w:jc w:val="right"/>
              <w:rPr>
                <w:rFonts w:cs="Segoe UI"/>
              </w:rPr>
            </w:pPr>
            <w:r w:rsidRPr="00D604EE">
              <w:t>146.1</w:t>
            </w:r>
          </w:p>
        </w:tc>
        <w:tc>
          <w:tcPr>
            <w:tcW w:w="2835" w:type="dxa"/>
            <w:tcBorders>
              <w:top w:val="single" w:sz="4" w:space="0" w:color="1B556B"/>
              <w:bottom w:val="single" w:sz="4" w:space="0" w:color="365F91"/>
            </w:tcBorders>
          </w:tcPr>
          <w:p w14:paraId="21779DBD" w14:textId="77777777" w:rsidR="00784FA9" w:rsidRPr="00D604EE" w:rsidRDefault="00784FA9" w:rsidP="007E3239">
            <w:pPr>
              <w:pStyle w:val="TableText"/>
              <w:spacing w:before="40" w:after="40"/>
              <w:jc w:val="right"/>
              <w:rPr>
                <w:rFonts w:cs="Segoe UI"/>
              </w:rPr>
            </w:pPr>
            <w:r w:rsidRPr="00D604EE">
              <w:t>48.3</w:t>
            </w:r>
          </w:p>
        </w:tc>
      </w:tr>
      <w:tr w:rsidR="00784FA9" w:rsidRPr="00D604EE" w14:paraId="499917A7" w14:textId="77777777" w:rsidTr="007E3239">
        <w:tc>
          <w:tcPr>
            <w:tcW w:w="1985" w:type="dxa"/>
            <w:tcBorders>
              <w:top w:val="single" w:sz="4" w:space="0" w:color="365F91"/>
              <w:bottom w:val="single" w:sz="4" w:space="0" w:color="365F91"/>
            </w:tcBorders>
          </w:tcPr>
          <w:p w14:paraId="4A571060" w14:textId="77777777" w:rsidR="00784FA9" w:rsidRPr="00D604EE" w:rsidRDefault="00784FA9" w:rsidP="007E3239">
            <w:pPr>
              <w:pStyle w:val="TableText"/>
              <w:spacing w:before="40" w:after="40"/>
              <w:rPr>
                <w:szCs w:val="16"/>
              </w:rPr>
            </w:pPr>
            <w:r w:rsidRPr="00D604EE">
              <w:t>Post-1989 planted forest</w:t>
            </w:r>
          </w:p>
        </w:tc>
        <w:tc>
          <w:tcPr>
            <w:tcW w:w="1559" w:type="dxa"/>
            <w:tcBorders>
              <w:top w:val="single" w:sz="4" w:space="0" w:color="365F91"/>
              <w:bottom w:val="single" w:sz="4" w:space="0" w:color="365F91"/>
            </w:tcBorders>
          </w:tcPr>
          <w:p w14:paraId="091C1449" w14:textId="77777777" w:rsidR="00784FA9" w:rsidRPr="00D604EE" w:rsidRDefault="00784FA9" w:rsidP="007E3239">
            <w:pPr>
              <w:pStyle w:val="TableText"/>
              <w:spacing w:before="40" w:after="40"/>
              <w:jc w:val="right"/>
            </w:pPr>
            <w:r w:rsidRPr="00D604EE">
              <w:t>–10,210.2</w:t>
            </w:r>
          </w:p>
        </w:tc>
        <w:tc>
          <w:tcPr>
            <w:tcW w:w="2126" w:type="dxa"/>
            <w:tcBorders>
              <w:top w:val="single" w:sz="4" w:space="0" w:color="365F91"/>
              <w:bottom w:val="single" w:sz="4" w:space="0" w:color="365F91"/>
            </w:tcBorders>
          </w:tcPr>
          <w:p w14:paraId="1542ED18" w14:textId="77777777" w:rsidR="00784FA9" w:rsidRPr="00D604EE" w:rsidRDefault="00784FA9" w:rsidP="007E3239">
            <w:pPr>
              <w:pStyle w:val="TableText"/>
              <w:spacing w:before="40" w:after="40"/>
              <w:jc w:val="right"/>
              <w:rPr>
                <w:rFonts w:cs="Segoe UI"/>
              </w:rPr>
            </w:pPr>
            <w:r w:rsidRPr="00D604EE">
              <w:t>33.0</w:t>
            </w:r>
          </w:p>
        </w:tc>
        <w:tc>
          <w:tcPr>
            <w:tcW w:w="2835" w:type="dxa"/>
            <w:tcBorders>
              <w:top w:val="single" w:sz="4" w:space="0" w:color="365F91"/>
              <w:bottom w:val="single" w:sz="4" w:space="0" w:color="365F91"/>
            </w:tcBorders>
          </w:tcPr>
          <w:p w14:paraId="438E6A84" w14:textId="77777777" w:rsidR="00784FA9" w:rsidRPr="00D604EE" w:rsidRDefault="00784FA9" w:rsidP="007E3239">
            <w:pPr>
              <w:pStyle w:val="TableText"/>
              <w:spacing w:before="40" w:after="40"/>
              <w:jc w:val="right"/>
              <w:rPr>
                <w:rFonts w:cs="Segoe UI"/>
              </w:rPr>
            </w:pPr>
            <w:r w:rsidRPr="00D604EE">
              <w:t>14.5</w:t>
            </w:r>
          </w:p>
        </w:tc>
      </w:tr>
      <w:tr w:rsidR="00784FA9" w:rsidRPr="00D604EE" w14:paraId="04AED519" w14:textId="77777777" w:rsidTr="007E3239">
        <w:tc>
          <w:tcPr>
            <w:tcW w:w="1985" w:type="dxa"/>
            <w:tcBorders>
              <w:top w:val="single" w:sz="4" w:space="0" w:color="365F91"/>
              <w:bottom w:val="single" w:sz="4" w:space="0" w:color="365F91"/>
            </w:tcBorders>
          </w:tcPr>
          <w:p w14:paraId="112D495F" w14:textId="77777777" w:rsidR="00784FA9" w:rsidRPr="00D604EE" w:rsidRDefault="00784FA9" w:rsidP="007E3239">
            <w:pPr>
              <w:pStyle w:val="TableText"/>
              <w:spacing w:before="40" w:after="40"/>
              <w:rPr>
                <w:szCs w:val="16"/>
              </w:rPr>
            </w:pPr>
            <w:r w:rsidRPr="00D604EE">
              <w:t>Pre-1990 natural forest</w:t>
            </w:r>
          </w:p>
        </w:tc>
        <w:tc>
          <w:tcPr>
            <w:tcW w:w="1559" w:type="dxa"/>
            <w:tcBorders>
              <w:top w:val="single" w:sz="4" w:space="0" w:color="365F91"/>
              <w:bottom w:val="single" w:sz="4" w:space="0" w:color="365F91"/>
            </w:tcBorders>
          </w:tcPr>
          <w:p w14:paraId="116483FA" w14:textId="77777777" w:rsidR="00784FA9" w:rsidRPr="00D604EE" w:rsidRDefault="00784FA9" w:rsidP="007E3239">
            <w:pPr>
              <w:pStyle w:val="TableText"/>
              <w:spacing w:before="40" w:after="40"/>
              <w:jc w:val="right"/>
              <w:rPr>
                <w:szCs w:val="16"/>
              </w:rPr>
            </w:pPr>
            <w:r w:rsidRPr="00D604EE">
              <w:t>–1,372.3</w:t>
            </w:r>
          </w:p>
        </w:tc>
        <w:tc>
          <w:tcPr>
            <w:tcW w:w="2126" w:type="dxa"/>
            <w:tcBorders>
              <w:top w:val="single" w:sz="4" w:space="0" w:color="365F91"/>
              <w:bottom w:val="single" w:sz="4" w:space="0" w:color="365F91"/>
            </w:tcBorders>
          </w:tcPr>
          <w:p w14:paraId="5827C5B7" w14:textId="77777777" w:rsidR="00784FA9" w:rsidRPr="00D604EE" w:rsidRDefault="00784FA9" w:rsidP="007E3239">
            <w:pPr>
              <w:pStyle w:val="TableText"/>
              <w:spacing w:before="40" w:after="40"/>
              <w:jc w:val="right"/>
              <w:rPr>
                <w:rFonts w:cs="Segoe UI"/>
              </w:rPr>
            </w:pPr>
            <w:r w:rsidRPr="00D604EE">
              <w:t>263.1</w:t>
            </w:r>
          </w:p>
        </w:tc>
        <w:tc>
          <w:tcPr>
            <w:tcW w:w="2835" w:type="dxa"/>
            <w:tcBorders>
              <w:top w:val="single" w:sz="4" w:space="0" w:color="365F91"/>
              <w:bottom w:val="single" w:sz="4" w:space="0" w:color="365F91"/>
            </w:tcBorders>
          </w:tcPr>
          <w:p w14:paraId="08D8EAA8" w14:textId="77777777" w:rsidR="00784FA9" w:rsidRPr="00D604EE" w:rsidRDefault="00784FA9" w:rsidP="007E3239">
            <w:pPr>
              <w:pStyle w:val="TableText"/>
              <w:spacing w:before="40" w:after="40"/>
              <w:jc w:val="right"/>
              <w:rPr>
                <w:rFonts w:cs="Segoe UI"/>
              </w:rPr>
            </w:pPr>
            <w:r w:rsidRPr="00D604EE">
              <w:t>15.5</w:t>
            </w:r>
          </w:p>
        </w:tc>
      </w:tr>
      <w:tr w:rsidR="00784FA9" w:rsidRPr="00D604EE" w14:paraId="7876571A" w14:textId="77777777" w:rsidTr="007E3239">
        <w:tc>
          <w:tcPr>
            <w:tcW w:w="1985" w:type="dxa"/>
            <w:tcBorders>
              <w:top w:val="single" w:sz="4" w:space="0" w:color="365F91"/>
              <w:bottom w:val="single" w:sz="4" w:space="0" w:color="365F91"/>
            </w:tcBorders>
          </w:tcPr>
          <w:p w14:paraId="4231DE0C" w14:textId="77777777" w:rsidR="00784FA9" w:rsidRPr="00D604EE" w:rsidRDefault="00784FA9" w:rsidP="007E3239">
            <w:pPr>
              <w:pStyle w:val="TableText"/>
              <w:spacing w:before="40" w:after="40"/>
              <w:rPr>
                <w:szCs w:val="16"/>
              </w:rPr>
            </w:pPr>
            <w:r w:rsidRPr="00D604EE">
              <w:t>Post-1989 natural forest</w:t>
            </w:r>
          </w:p>
        </w:tc>
        <w:tc>
          <w:tcPr>
            <w:tcW w:w="1559" w:type="dxa"/>
            <w:tcBorders>
              <w:top w:val="single" w:sz="4" w:space="0" w:color="365F91"/>
              <w:bottom w:val="single" w:sz="4" w:space="0" w:color="365F91"/>
            </w:tcBorders>
          </w:tcPr>
          <w:p w14:paraId="0E205485" w14:textId="77777777" w:rsidR="00784FA9" w:rsidRPr="00D604EE" w:rsidRDefault="00784FA9" w:rsidP="007E3239">
            <w:pPr>
              <w:pStyle w:val="TableText"/>
              <w:spacing w:before="40" w:after="40"/>
              <w:jc w:val="right"/>
              <w:rPr>
                <w:szCs w:val="16"/>
              </w:rPr>
            </w:pPr>
            <w:r w:rsidRPr="00D604EE">
              <w:t>–687.0</w:t>
            </w:r>
          </w:p>
        </w:tc>
        <w:tc>
          <w:tcPr>
            <w:tcW w:w="2126" w:type="dxa"/>
            <w:tcBorders>
              <w:top w:val="single" w:sz="4" w:space="0" w:color="365F91"/>
              <w:bottom w:val="single" w:sz="4" w:space="0" w:color="365F91"/>
            </w:tcBorders>
          </w:tcPr>
          <w:p w14:paraId="095723D9" w14:textId="77777777" w:rsidR="00784FA9" w:rsidRPr="00D604EE" w:rsidRDefault="00784FA9" w:rsidP="007E3239">
            <w:pPr>
              <w:pStyle w:val="TableText"/>
              <w:spacing w:before="40" w:after="40"/>
              <w:jc w:val="right"/>
              <w:rPr>
                <w:rFonts w:cs="Segoe UI"/>
              </w:rPr>
            </w:pPr>
            <w:r w:rsidRPr="00D604EE">
              <w:t>35.4</w:t>
            </w:r>
          </w:p>
        </w:tc>
        <w:tc>
          <w:tcPr>
            <w:tcW w:w="2835" w:type="dxa"/>
            <w:tcBorders>
              <w:top w:val="single" w:sz="4" w:space="0" w:color="365F91"/>
              <w:bottom w:val="single" w:sz="4" w:space="0" w:color="365F91"/>
            </w:tcBorders>
          </w:tcPr>
          <w:p w14:paraId="6F06F1C7" w14:textId="77777777" w:rsidR="00784FA9" w:rsidRPr="00D604EE" w:rsidRDefault="00784FA9" w:rsidP="007E3239">
            <w:pPr>
              <w:pStyle w:val="TableText"/>
              <w:spacing w:before="40" w:after="40"/>
              <w:jc w:val="right"/>
              <w:rPr>
                <w:rFonts w:cs="Segoe UI"/>
              </w:rPr>
            </w:pPr>
            <w:r w:rsidRPr="00D604EE">
              <w:t>1.0</w:t>
            </w:r>
          </w:p>
        </w:tc>
      </w:tr>
      <w:tr w:rsidR="00784FA9" w:rsidRPr="00D604EE" w14:paraId="43DBED85" w14:textId="77777777" w:rsidTr="007E3239">
        <w:tc>
          <w:tcPr>
            <w:tcW w:w="1985" w:type="dxa"/>
            <w:tcBorders>
              <w:top w:val="single" w:sz="4" w:space="0" w:color="365F91"/>
              <w:bottom w:val="single" w:sz="4" w:space="0" w:color="365F91"/>
            </w:tcBorders>
          </w:tcPr>
          <w:p w14:paraId="6EF86B5E" w14:textId="77777777" w:rsidR="00784FA9" w:rsidRPr="00D604EE" w:rsidRDefault="00784FA9" w:rsidP="007E3239">
            <w:pPr>
              <w:pStyle w:val="Tableboldblue"/>
              <w:spacing w:before="40" w:after="40"/>
              <w:jc w:val="right"/>
              <w:rPr>
                <w:rFonts w:ascii="Arial Bold" w:hAnsi="Arial Bold" w:cs="Arial Bold"/>
                <w:color w:val="000000"/>
              </w:rPr>
            </w:pPr>
            <w:r w:rsidRPr="00D604EE">
              <w:t>Total</w:t>
            </w:r>
            <w:r w:rsidRPr="00D604EE">
              <w:rPr>
                <w:rFonts w:ascii="Arial Bold" w:hAnsi="Arial Bold" w:cs="Arial Bold"/>
                <w:color w:val="000000"/>
              </w:rPr>
              <w:t xml:space="preserve"> </w:t>
            </w:r>
          </w:p>
        </w:tc>
        <w:tc>
          <w:tcPr>
            <w:tcW w:w="1559" w:type="dxa"/>
            <w:tcBorders>
              <w:top w:val="single" w:sz="4" w:space="0" w:color="365F91"/>
              <w:bottom w:val="single" w:sz="4" w:space="0" w:color="365F91"/>
            </w:tcBorders>
          </w:tcPr>
          <w:p w14:paraId="4B3BD6C8" w14:textId="77777777" w:rsidR="00784FA9" w:rsidRPr="00D604EE" w:rsidRDefault="00784FA9" w:rsidP="007E3239">
            <w:pPr>
              <w:pStyle w:val="Tableboldblue"/>
              <w:spacing w:before="40" w:after="40"/>
              <w:jc w:val="right"/>
            </w:pPr>
            <w:r w:rsidRPr="00D604EE">
              <w:t>–19,983.3</w:t>
            </w:r>
          </w:p>
        </w:tc>
        <w:tc>
          <w:tcPr>
            <w:tcW w:w="2126" w:type="dxa"/>
            <w:tcBorders>
              <w:top w:val="single" w:sz="4" w:space="0" w:color="365F91"/>
              <w:bottom w:val="single" w:sz="4" w:space="0" w:color="365F91"/>
            </w:tcBorders>
          </w:tcPr>
          <w:p w14:paraId="51AB8435" w14:textId="77777777" w:rsidR="00784FA9" w:rsidRPr="00D604EE" w:rsidRDefault="00784FA9" w:rsidP="007E3239">
            <w:pPr>
              <w:pStyle w:val="Tableboldblue"/>
              <w:spacing w:before="40" w:after="40"/>
              <w:jc w:val="right"/>
            </w:pPr>
            <w:r w:rsidRPr="00D604EE">
              <w:t>61.6</w:t>
            </w:r>
          </w:p>
        </w:tc>
        <w:tc>
          <w:tcPr>
            <w:tcW w:w="2835" w:type="dxa"/>
            <w:tcBorders>
              <w:top w:val="single" w:sz="4" w:space="0" w:color="365F91"/>
              <w:bottom w:val="single" w:sz="4" w:space="0" w:color="365F91"/>
            </w:tcBorders>
          </w:tcPr>
          <w:p w14:paraId="3BFBBF05" w14:textId="77777777" w:rsidR="00784FA9" w:rsidRPr="00D604EE" w:rsidRDefault="00784FA9" w:rsidP="007E3239">
            <w:pPr>
              <w:pStyle w:val="Tableboldblue"/>
              <w:spacing w:before="40" w:after="40"/>
              <w:jc w:val="right"/>
            </w:pPr>
            <w:r w:rsidRPr="00D604EE">
              <w:t>52.8</w:t>
            </w:r>
          </w:p>
        </w:tc>
      </w:tr>
    </w:tbl>
    <w:p w14:paraId="6733E4D3" w14:textId="77777777" w:rsidR="00784FA9" w:rsidRPr="00D604EE" w:rsidRDefault="00784FA9" w:rsidP="00784FA9">
      <w:pPr>
        <w:pStyle w:val="Heading3"/>
      </w:pPr>
      <w:bookmarkStart w:id="1669" w:name="_Toc255466360"/>
      <w:bookmarkStart w:id="1670" w:name="_Toc261513167"/>
      <w:bookmarkStart w:id="1671" w:name="_Toc261513780"/>
      <w:bookmarkStart w:id="1672" w:name="_Toc280630258"/>
      <w:bookmarkStart w:id="1673" w:name="_Toc373395714"/>
      <w:bookmarkEnd w:id="1667"/>
      <w:r w:rsidRPr="00D604EE">
        <w:lastRenderedPageBreak/>
        <w:t>6.3.4</w:t>
      </w:r>
      <w:r w:rsidRPr="00D604EE">
        <w:tab/>
        <w:t>Category-specific QA/QC and verification</w:t>
      </w:r>
      <w:bookmarkEnd w:id="1669"/>
      <w:bookmarkEnd w:id="1670"/>
      <w:bookmarkEnd w:id="1671"/>
      <w:bookmarkEnd w:id="1672"/>
      <w:bookmarkEnd w:id="1673"/>
    </w:p>
    <w:p w14:paraId="4CDE66DE" w14:textId="77777777" w:rsidR="00784FA9" w:rsidRPr="00D604EE" w:rsidRDefault="00784FA9" w:rsidP="00784FA9">
      <w:pPr>
        <w:pStyle w:val="BodyText"/>
        <w:spacing w:after="100"/>
      </w:pPr>
      <w:r w:rsidRPr="00D604EE">
        <w:t xml:space="preserve">Carbon dioxide emissions from both </w:t>
      </w:r>
      <w:r w:rsidRPr="00D604EE">
        <w:rPr>
          <w:i/>
        </w:rPr>
        <w:t>Forest land remaining forest land</w:t>
      </w:r>
      <w:r w:rsidRPr="00D604EE">
        <w:t xml:space="preserve"> and </w:t>
      </w:r>
      <w:r w:rsidRPr="00D604EE">
        <w:rPr>
          <w:i/>
        </w:rPr>
        <w:t xml:space="preserve">Land converted to forest land </w:t>
      </w:r>
      <w:r w:rsidRPr="00D604EE">
        <w:t>are key categories for both level and trend assessments. In the preparation of this inventory, the data for these emissions underwent Tier 1 QA and QC checks as well as Tier 2, category-specific QA and QC checks. Details of these checks are provided in annex A3.2.5 ‘National forest inventory’.</w:t>
      </w:r>
    </w:p>
    <w:p w14:paraId="0B1D21ED" w14:textId="77777777" w:rsidR="00784FA9" w:rsidRPr="00D604EE" w:rsidRDefault="00784FA9" w:rsidP="00784FA9">
      <w:pPr>
        <w:pStyle w:val="Heading3"/>
      </w:pPr>
      <w:r w:rsidRPr="00D604EE">
        <w:t>6.3.5</w:t>
      </w:r>
      <w:r w:rsidRPr="00D604EE">
        <w:tab/>
        <w:t>Category-specific recalculations</w:t>
      </w:r>
    </w:p>
    <w:p w14:paraId="77AB3B50" w14:textId="77777777" w:rsidR="00784FA9" w:rsidRPr="00D604EE" w:rsidRDefault="00784FA9" w:rsidP="00784FA9">
      <w:pPr>
        <w:pStyle w:val="BodyText"/>
        <w:spacing w:before="100" w:after="100"/>
      </w:pPr>
      <w:r w:rsidRPr="00D604EE">
        <w:t xml:space="preserve">In this submission, New Zealand has recalculated its emission estimates for the whole LULUCF sector from 1990, including the </w:t>
      </w:r>
      <w:r w:rsidRPr="00D604EE">
        <w:rPr>
          <w:i/>
        </w:rPr>
        <w:t>Forest land</w:t>
      </w:r>
      <w:r w:rsidRPr="00D604EE">
        <w:t xml:space="preserve"> category. These recalculations have involved improved country-specific methods, activity data and emission factors. The impact of the recalculations on net CO</w:t>
      </w:r>
      <w:r w:rsidRPr="00D604EE">
        <w:rPr>
          <w:vertAlign w:val="subscript"/>
        </w:rPr>
        <w:t>2</w:t>
      </w:r>
      <w:r w:rsidRPr="00D604EE">
        <w:t xml:space="preserve">-e emission estimates for the </w:t>
      </w:r>
      <w:r w:rsidRPr="00D604EE">
        <w:rPr>
          <w:i/>
        </w:rPr>
        <w:t>Forest land</w:t>
      </w:r>
      <w:r w:rsidRPr="00D604EE">
        <w:t xml:space="preserve"> category is provided in table 6.3.10. The differences shown are a result of recalculations for all carbon pools used in reporting under the United Nations Framework Convention on Climate Change (UNFCCC) for</w:t>
      </w:r>
      <w:r>
        <w:t> </w:t>
      </w:r>
      <w:r w:rsidRPr="00D604EE">
        <w:t xml:space="preserve">the whole time series for the LULUCF sector. </w:t>
      </w:r>
    </w:p>
    <w:p w14:paraId="7F0F716E" w14:textId="77777777" w:rsidR="00784FA9" w:rsidRPr="00D604EE" w:rsidRDefault="00784FA9" w:rsidP="00784FA9">
      <w:pPr>
        <w:pStyle w:val="Table"/>
      </w:pPr>
      <w:bookmarkStart w:id="1674" w:name="_Toc280630460"/>
      <w:bookmarkStart w:id="1675" w:name="_Toc310423413"/>
      <w:bookmarkStart w:id="1676" w:name="_Toc318362706"/>
      <w:bookmarkStart w:id="1677" w:name="_Toc342470768"/>
      <w:bookmarkStart w:id="1678" w:name="_Toc352505008"/>
      <w:bookmarkStart w:id="1679" w:name="_Toc373395733"/>
      <w:bookmarkStart w:id="1680" w:name="_Toc378853299"/>
      <w:bookmarkStart w:id="1681" w:name="_Toc391024097"/>
      <w:bookmarkStart w:id="1682" w:name="_Toc410028840"/>
      <w:bookmarkStart w:id="1683" w:name="_Toc414531468"/>
      <w:bookmarkStart w:id="1684" w:name="_Toc443645381"/>
      <w:bookmarkStart w:id="1685" w:name="_Toc474914600"/>
      <w:bookmarkStart w:id="1686" w:name="_Toc481751564"/>
      <w:bookmarkStart w:id="1687" w:name="_Toc522010621"/>
      <w:bookmarkStart w:id="1688" w:name="_Toc5269526"/>
      <w:bookmarkStart w:id="1689" w:name="_Toc33529400"/>
      <w:bookmarkStart w:id="1690" w:name="_Toc36224606"/>
      <w:bookmarkStart w:id="1691" w:name="_Toc99659289"/>
      <w:r w:rsidRPr="00D604EE">
        <w:t xml:space="preserve">Table 6.3.10 </w:t>
      </w:r>
      <w:r w:rsidRPr="00D604EE">
        <w:tab/>
        <w:t xml:space="preserve">Recalculations of New Zealand’s estimates for the </w:t>
      </w:r>
      <w:r w:rsidRPr="00D604EE">
        <w:rPr>
          <w:i/>
        </w:rPr>
        <w:t>Forest land</w:t>
      </w:r>
      <w:r w:rsidRPr="00D604EE">
        <w:t xml:space="preserve"> category in 1990 and</w:t>
      </w:r>
      <w:bookmarkEnd w:id="1674"/>
      <w:bookmarkEnd w:id="1675"/>
      <w:bookmarkEnd w:id="1676"/>
      <w:bookmarkEnd w:id="1677"/>
      <w:bookmarkEnd w:id="1678"/>
      <w:bookmarkEnd w:id="1679"/>
      <w:bookmarkEnd w:id="1680"/>
      <w:bookmarkEnd w:id="1681"/>
      <w:r w:rsidRPr="00D604EE">
        <w:t> </w:t>
      </w:r>
      <w:bookmarkEnd w:id="1682"/>
      <w:bookmarkEnd w:id="1683"/>
      <w:bookmarkEnd w:id="1684"/>
      <w:bookmarkEnd w:id="1685"/>
      <w:bookmarkEnd w:id="1686"/>
      <w:bookmarkEnd w:id="1687"/>
      <w:bookmarkEnd w:id="1688"/>
      <w:bookmarkEnd w:id="1689"/>
      <w:bookmarkEnd w:id="1690"/>
      <w:r w:rsidRPr="00D604EE">
        <w:t>2019</w:t>
      </w:r>
      <w:bookmarkEnd w:id="1691"/>
    </w:p>
    <w:tbl>
      <w:tblPr>
        <w:tblW w:w="8505" w:type="dxa"/>
        <w:tblInd w:w="108" w:type="dxa"/>
        <w:tblLayout w:type="fixed"/>
        <w:tblLook w:val="04A0" w:firstRow="1" w:lastRow="0" w:firstColumn="1" w:lastColumn="0" w:noHBand="0" w:noVBand="1"/>
      </w:tblPr>
      <w:tblGrid>
        <w:gridCol w:w="1502"/>
        <w:gridCol w:w="1637"/>
        <w:gridCol w:w="1638"/>
        <w:gridCol w:w="2027"/>
        <w:gridCol w:w="1701"/>
      </w:tblGrid>
      <w:tr w:rsidR="00784FA9" w:rsidRPr="00D604EE" w14:paraId="3ED87CEA" w14:textId="77777777" w:rsidTr="007E3239">
        <w:trPr>
          <w:tblHeader/>
        </w:trPr>
        <w:tc>
          <w:tcPr>
            <w:tcW w:w="1502" w:type="dxa"/>
            <w:tcBorders>
              <w:top w:val="single" w:sz="4" w:space="0" w:color="1B556B"/>
              <w:bottom w:val="single" w:sz="4" w:space="0" w:color="1B556B"/>
            </w:tcBorders>
            <w:shd w:val="clear" w:color="auto" w:fill="1B556B"/>
            <w:vAlign w:val="bottom"/>
          </w:tcPr>
          <w:p w14:paraId="0E7F9574" w14:textId="77777777" w:rsidR="00784FA9" w:rsidRPr="00784FA9" w:rsidRDefault="00784FA9" w:rsidP="007E3239">
            <w:pPr>
              <w:pStyle w:val="TableTextBold"/>
              <w:keepNext/>
              <w:spacing w:before="50" w:after="50"/>
              <w:rPr>
                <w:rFonts w:cs="Segoe UI"/>
                <w:noProof w:val="0"/>
                <w:color w:val="FFFFFF"/>
                <w:szCs w:val="16"/>
              </w:rPr>
            </w:pPr>
          </w:p>
        </w:tc>
        <w:tc>
          <w:tcPr>
            <w:tcW w:w="1637" w:type="dxa"/>
            <w:tcBorders>
              <w:top w:val="single" w:sz="4" w:space="0" w:color="1B556B"/>
              <w:bottom w:val="single" w:sz="4" w:space="0" w:color="1B556B"/>
              <w:right w:val="single" w:sz="4" w:space="0" w:color="1B556B"/>
            </w:tcBorders>
            <w:shd w:val="clear" w:color="auto" w:fill="1B556B"/>
            <w:vAlign w:val="bottom"/>
          </w:tcPr>
          <w:p w14:paraId="4F954CCB" w14:textId="77777777" w:rsidR="00784FA9" w:rsidRPr="00784FA9" w:rsidRDefault="00784FA9" w:rsidP="007E3239">
            <w:pPr>
              <w:pStyle w:val="TableTextBold"/>
              <w:keepNext/>
              <w:spacing w:before="50" w:after="50"/>
              <w:jc w:val="center"/>
              <w:rPr>
                <w:rFonts w:cs="Segoe UI"/>
                <w:noProof w:val="0"/>
                <w:color w:val="FFFFFF"/>
                <w:szCs w:val="16"/>
              </w:rPr>
            </w:pPr>
            <w:r w:rsidRPr="00D604EE">
              <w:rPr>
                <w:rFonts w:cs="Segoe UI"/>
                <w:noProof w:val="0"/>
                <w:color w:val="FFFFFF"/>
                <w:szCs w:val="16"/>
              </w:rPr>
              <w:t>2021 submission</w:t>
            </w:r>
          </w:p>
        </w:tc>
        <w:tc>
          <w:tcPr>
            <w:tcW w:w="1638" w:type="dxa"/>
            <w:tcBorders>
              <w:top w:val="single" w:sz="4" w:space="0" w:color="1B556B"/>
              <w:left w:val="single" w:sz="4" w:space="0" w:color="1B556B"/>
              <w:bottom w:val="single" w:sz="4" w:space="0" w:color="1B556B"/>
            </w:tcBorders>
            <w:shd w:val="clear" w:color="auto" w:fill="1B556B"/>
            <w:vAlign w:val="bottom"/>
          </w:tcPr>
          <w:p w14:paraId="2DAFF6CB" w14:textId="77777777" w:rsidR="00784FA9" w:rsidRPr="00784FA9" w:rsidRDefault="00784FA9" w:rsidP="007E3239">
            <w:pPr>
              <w:pStyle w:val="TableTextBold"/>
              <w:keepNext/>
              <w:spacing w:before="50" w:after="50"/>
              <w:jc w:val="center"/>
              <w:rPr>
                <w:rFonts w:cs="Segoe UI"/>
                <w:noProof w:val="0"/>
                <w:color w:val="FFFFFF"/>
                <w:szCs w:val="16"/>
              </w:rPr>
            </w:pPr>
            <w:r w:rsidRPr="00D604EE">
              <w:rPr>
                <w:rFonts w:cs="Segoe UI"/>
                <w:noProof w:val="0"/>
                <w:color w:val="FFFFFF"/>
                <w:szCs w:val="16"/>
              </w:rPr>
              <w:t>2022 submission</w:t>
            </w:r>
          </w:p>
        </w:tc>
        <w:tc>
          <w:tcPr>
            <w:tcW w:w="2027" w:type="dxa"/>
            <w:tcBorders>
              <w:top w:val="single" w:sz="4" w:space="0" w:color="1B556B"/>
              <w:bottom w:val="single" w:sz="4" w:space="0" w:color="1B556B"/>
            </w:tcBorders>
            <w:shd w:val="clear" w:color="auto" w:fill="1B556B"/>
            <w:vAlign w:val="bottom"/>
          </w:tcPr>
          <w:p w14:paraId="529B8490" w14:textId="77777777" w:rsidR="00784FA9" w:rsidRPr="00784FA9" w:rsidRDefault="00784FA9" w:rsidP="007E3239">
            <w:pPr>
              <w:pStyle w:val="TableTextBold"/>
              <w:keepNext/>
              <w:spacing w:before="50" w:after="50"/>
              <w:jc w:val="center"/>
              <w:rPr>
                <w:rFonts w:cs="Segoe UI"/>
                <w:noProof w:val="0"/>
                <w:color w:val="FFFFFF"/>
                <w:szCs w:val="16"/>
              </w:rPr>
            </w:pPr>
            <w:r w:rsidRPr="00784FA9">
              <w:rPr>
                <w:rFonts w:cs="Segoe UI"/>
                <w:noProof w:val="0"/>
                <w:color w:val="FFFFFF"/>
                <w:szCs w:val="16"/>
              </w:rPr>
              <w:t xml:space="preserve">Change from the 2021 submission </w:t>
            </w:r>
          </w:p>
        </w:tc>
        <w:tc>
          <w:tcPr>
            <w:tcW w:w="1701" w:type="dxa"/>
            <w:tcBorders>
              <w:top w:val="single" w:sz="4" w:space="0" w:color="1B556B"/>
              <w:bottom w:val="single" w:sz="4" w:space="0" w:color="1B556B"/>
            </w:tcBorders>
            <w:shd w:val="clear" w:color="auto" w:fill="1B556B"/>
            <w:vAlign w:val="bottom"/>
          </w:tcPr>
          <w:p w14:paraId="333978B5" w14:textId="77777777" w:rsidR="00784FA9" w:rsidRPr="00784FA9" w:rsidRDefault="00784FA9" w:rsidP="007E3239">
            <w:pPr>
              <w:pStyle w:val="TableTextBold"/>
              <w:keepNext/>
              <w:spacing w:before="50" w:after="50"/>
              <w:jc w:val="center"/>
              <w:rPr>
                <w:rFonts w:cs="Segoe UI"/>
                <w:noProof w:val="0"/>
                <w:color w:val="FFFFFF"/>
                <w:szCs w:val="16"/>
              </w:rPr>
            </w:pPr>
            <w:r w:rsidRPr="00784FA9">
              <w:rPr>
                <w:rFonts w:cs="Segoe UI"/>
                <w:noProof w:val="0"/>
                <w:color w:val="FFFFFF"/>
                <w:szCs w:val="16"/>
              </w:rPr>
              <w:t>% change</w:t>
            </w:r>
          </w:p>
        </w:tc>
      </w:tr>
      <w:tr w:rsidR="00784FA9" w:rsidRPr="00D604EE" w14:paraId="15D63C8C" w14:textId="77777777" w:rsidTr="007E3239">
        <w:tc>
          <w:tcPr>
            <w:tcW w:w="3139" w:type="dxa"/>
            <w:gridSpan w:val="2"/>
            <w:tcBorders>
              <w:top w:val="single" w:sz="4" w:space="0" w:color="1B556B"/>
              <w:bottom w:val="single" w:sz="4" w:space="0" w:color="1B556B"/>
            </w:tcBorders>
          </w:tcPr>
          <w:p w14:paraId="123CE996" w14:textId="77777777" w:rsidR="00784FA9" w:rsidRPr="00D604EE" w:rsidRDefault="00784FA9" w:rsidP="007E3239">
            <w:pPr>
              <w:pStyle w:val="Tableboldblue"/>
              <w:spacing w:before="40" w:after="40"/>
            </w:pPr>
            <w:r w:rsidRPr="00D604EE">
              <w:rPr>
                <w:rFonts w:cs="Segoe UI"/>
              </w:rPr>
              <w:t>Net emissions (kt CO</w:t>
            </w:r>
            <w:r w:rsidRPr="00D604EE">
              <w:rPr>
                <w:rFonts w:cs="Segoe UI"/>
                <w:vertAlign w:val="subscript"/>
              </w:rPr>
              <w:t>2</w:t>
            </w:r>
            <w:r w:rsidRPr="00D604EE">
              <w:rPr>
                <w:rFonts w:cs="Segoe UI"/>
              </w:rPr>
              <w:t>-e)</w:t>
            </w:r>
          </w:p>
        </w:tc>
        <w:tc>
          <w:tcPr>
            <w:tcW w:w="1638" w:type="dxa"/>
            <w:tcBorders>
              <w:top w:val="single" w:sz="4" w:space="0" w:color="1B556B"/>
              <w:bottom w:val="single" w:sz="4" w:space="0" w:color="1B556B"/>
            </w:tcBorders>
          </w:tcPr>
          <w:p w14:paraId="45D9EB65" w14:textId="77777777" w:rsidR="00784FA9" w:rsidRPr="00D604EE" w:rsidRDefault="00784FA9" w:rsidP="007E3239">
            <w:pPr>
              <w:pStyle w:val="TableText"/>
              <w:keepNext/>
              <w:spacing w:before="40" w:after="40"/>
              <w:jc w:val="center"/>
            </w:pPr>
          </w:p>
        </w:tc>
        <w:tc>
          <w:tcPr>
            <w:tcW w:w="2027" w:type="dxa"/>
            <w:tcBorders>
              <w:top w:val="single" w:sz="4" w:space="0" w:color="1B556B"/>
              <w:bottom w:val="single" w:sz="4" w:space="0" w:color="1B556B"/>
            </w:tcBorders>
          </w:tcPr>
          <w:p w14:paraId="54285B9B" w14:textId="77777777" w:rsidR="00784FA9" w:rsidRPr="00D604EE" w:rsidRDefault="00784FA9" w:rsidP="007E3239">
            <w:pPr>
              <w:pStyle w:val="TableText"/>
              <w:keepNext/>
              <w:tabs>
                <w:tab w:val="decimal" w:pos="556"/>
              </w:tabs>
              <w:spacing w:before="40" w:after="40"/>
              <w:jc w:val="center"/>
            </w:pPr>
          </w:p>
        </w:tc>
        <w:tc>
          <w:tcPr>
            <w:tcW w:w="1701" w:type="dxa"/>
            <w:tcBorders>
              <w:top w:val="single" w:sz="4" w:space="0" w:color="1B556B"/>
              <w:bottom w:val="single" w:sz="4" w:space="0" w:color="1B556B"/>
            </w:tcBorders>
          </w:tcPr>
          <w:p w14:paraId="2B4F21F3" w14:textId="77777777" w:rsidR="00784FA9" w:rsidRPr="00D604EE" w:rsidRDefault="00784FA9" w:rsidP="007E3239">
            <w:pPr>
              <w:pStyle w:val="TableText"/>
              <w:keepNext/>
              <w:tabs>
                <w:tab w:val="decimal" w:pos="556"/>
              </w:tabs>
              <w:spacing w:before="40" w:after="40"/>
              <w:jc w:val="center"/>
            </w:pPr>
          </w:p>
        </w:tc>
      </w:tr>
      <w:tr w:rsidR="00784FA9" w:rsidRPr="00D604EE" w14:paraId="4B51BA7F" w14:textId="77777777" w:rsidTr="007E3239">
        <w:tc>
          <w:tcPr>
            <w:tcW w:w="1502" w:type="dxa"/>
            <w:tcBorders>
              <w:top w:val="single" w:sz="4" w:space="0" w:color="1B556B"/>
              <w:bottom w:val="single" w:sz="4" w:space="0" w:color="1B556B"/>
            </w:tcBorders>
          </w:tcPr>
          <w:p w14:paraId="56DD9575" w14:textId="77777777" w:rsidR="00784FA9" w:rsidRPr="00D604EE" w:rsidRDefault="00784FA9" w:rsidP="007E3239">
            <w:pPr>
              <w:pStyle w:val="TableText"/>
              <w:spacing w:before="40" w:after="40"/>
            </w:pPr>
            <w:r w:rsidRPr="00D604EE">
              <w:t xml:space="preserve">1990 </w:t>
            </w:r>
          </w:p>
        </w:tc>
        <w:tc>
          <w:tcPr>
            <w:tcW w:w="1637" w:type="dxa"/>
            <w:tcBorders>
              <w:top w:val="single" w:sz="4" w:space="0" w:color="1B556B"/>
              <w:bottom w:val="single" w:sz="4" w:space="0" w:color="1B556B"/>
            </w:tcBorders>
          </w:tcPr>
          <w:p w14:paraId="0DBB981A" w14:textId="77777777" w:rsidR="00784FA9" w:rsidRPr="00D604EE" w:rsidRDefault="00784FA9" w:rsidP="007E3239">
            <w:pPr>
              <w:pStyle w:val="TableText"/>
              <w:keepNext/>
              <w:spacing w:before="40" w:after="40"/>
              <w:jc w:val="center"/>
              <w:rPr>
                <w:rFonts w:cs="Segoe UI"/>
                <w:szCs w:val="16"/>
              </w:rPr>
            </w:pPr>
            <w:r w:rsidRPr="00D604EE">
              <w:t>–23,174.2</w:t>
            </w:r>
          </w:p>
        </w:tc>
        <w:tc>
          <w:tcPr>
            <w:tcW w:w="1638" w:type="dxa"/>
            <w:tcBorders>
              <w:top w:val="single" w:sz="4" w:space="0" w:color="1B556B"/>
              <w:bottom w:val="single" w:sz="4" w:space="0" w:color="1B556B"/>
            </w:tcBorders>
          </w:tcPr>
          <w:p w14:paraId="70C6D4D1" w14:textId="77777777" w:rsidR="00784FA9" w:rsidRPr="00D604EE" w:rsidRDefault="00784FA9" w:rsidP="007E3239">
            <w:pPr>
              <w:pStyle w:val="TableText"/>
              <w:keepNext/>
              <w:spacing w:before="40" w:after="40"/>
              <w:jc w:val="center"/>
              <w:rPr>
                <w:rFonts w:cs="Segoe UI"/>
                <w:szCs w:val="16"/>
              </w:rPr>
            </w:pPr>
            <w:r w:rsidRPr="00D604EE">
              <w:t>–20,068.3</w:t>
            </w:r>
          </w:p>
        </w:tc>
        <w:tc>
          <w:tcPr>
            <w:tcW w:w="2027" w:type="dxa"/>
            <w:tcBorders>
              <w:top w:val="single" w:sz="4" w:space="0" w:color="1B556B"/>
              <w:bottom w:val="single" w:sz="4" w:space="0" w:color="1B556B"/>
            </w:tcBorders>
          </w:tcPr>
          <w:p w14:paraId="16DF38AF" w14:textId="77777777" w:rsidR="00784FA9" w:rsidRPr="00D604EE" w:rsidRDefault="00784FA9" w:rsidP="007E3239">
            <w:pPr>
              <w:pStyle w:val="TableText"/>
              <w:keepNext/>
              <w:tabs>
                <w:tab w:val="decimal" w:pos="556"/>
              </w:tabs>
              <w:spacing w:before="40" w:after="40"/>
              <w:jc w:val="center"/>
              <w:rPr>
                <w:rFonts w:cs="Segoe UI"/>
                <w:szCs w:val="16"/>
              </w:rPr>
            </w:pPr>
            <w:r w:rsidRPr="00D604EE">
              <w:t xml:space="preserve">3,105.9 </w:t>
            </w:r>
          </w:p>
        </w:tc>
        <w:tc>
          <w:tcPr>
            <w:tcW w:w="1701" w:type="dxa"/>
            <w:tcBorders>
              <w:top w:val="single" w:sz="4" w:space="0" w:color="1B556B"/>
              <w:bottom w:val="single" w:sz="4" w:space="0" w:color="1B556B"/>
            </w:tcBorders>
          </w:tcPr>
          <w:p w14:paraId="0C8E54A3" w14:textId="77777777" w:rsidR="00784FA9" w:rsidRPr="00D604EE" w:rsidRDefault="00784FA9" w:rsidP="007E3239">
            <w:pPr>
              <w:pStyle w:val="TableText"/>
              <w:keepNext/>
              <w:tabs>
                <w:tab w:val="decimal" w:pos="556"/>
              </w:tabs>
              <w:spacing w:before="40" w:after="40"/>
              <w:jc w:val="center"/>
              <w:rPr>
                <w:rFonts w:cs="Segoe UI"/>
                <w:szCs w:val="16"/>
              </w:rPr>
            </w:pPr>
            <w:r w:rsidRPr="00D604EE">
              <w:t>13.4</w:t>
            </w:r>
          </w:p>
        </w:tc>
      </w:tr>
      <w:tr w:rsidR="00784FA9" w:rsidRPr="00D604EE" w14:paraId="4F6DC45E" w14:textId="77777777" w:rsidTr="007E3239">
        <w:tc>
          <w:tcPr>
            <w:tcW w:w="1502" w:type="dxa"/>
            <w:tcBorders>
              <w:top w:val="single" w:sz="4" w:space="0" w:color="1B556B"/>
              <w:bottom w:val="single" w:sz="4" w:space="0" w:color="1B556B"/>
            </w:tcBorders>
          </w:tcPr>
          <w:p w14:paraId="196C6657" w14:textId="77777777" w:rsidR="00784FA9" w:rsidRPr="00D604EE" w:rsidRDefault="00784FA9" w:rsidP="007E3239">
            <w:pPr>
              <w:pStyle w:val="TableText"/>
              <w:spacing w:before="40" w:after="40"/>
            </w:pPr>
            <w:r w:rsidRPr="00D604EE">
              <w:t>2019</w:t>
            </w:r>
          </w:p>
        </w:tc>
        <w:tc>
          <w:tcPr>
            <w:tcW w:w="1637" w:type="dxa"/>
            <w:tcBorders>
              <w:top w:val="single" w:sz="4" w:space="0" w:color="1B556B"/>
              <w:bottom w:val="single" w:sz="4" w:space="0" w:color="1B556B"/>
            </w:tcBorders>
          </w:tcPr>
          <w:p w14:paraId="6E9EE707" w14:textId="77777777" w:rsidR="00784FA9" w:rsidRPr="00D604EE" w:rsidRDefault="00784FA9" w:rsidP="007E3239">
            <w:pPr>
              <w:pStyle w:val="TableText"/>
              <w:keepNext/>
              <w:spacing w:before="40" w:after="40"/>
              <w:jc w:val="center"/>
              <w:rPr>
                <w:rFonts w:cs="Segoe UI"/>
                <w:szCs w:val="16"/>
              </w:rPr>
            </w:pPr>
            <w:r w:rsidRPr="00D604EE">
              <w:t>–22,176.8</w:t>
            </w:r>
          </w:p>
        </w:tc>
        <w:tc>
          <w:tcPr>
            <w:tcW w:w="1638" w:type="dxa"/>
            <w:tcBorders>
              <w:top w:val="single" w:sz="4" w:space="0" w:color="1B556B"/>
              <w:bottom w:val="single" w:sz="4" w:space="0" w:color="1B556B"/>
            </w:tcBorders>
          </w:tcPr>
          <w:p w14:paraId="6111E60F" w14:textId="77777777" w:rsidR="00784FA9" w:rsidRPr="00D604EE" w:rsidRDefault="00784FA9" w:rsidP="007E3239">
            <w:pPr>
              <w:pStyle w:val="TableText"/>
              <w:keepNext/>
              <w:spacing w:before="40" w:after="40"/>
              <w:jc w:val="center"/>
              <w:rPr>
                <w:rFonts w:cs="Segoe UI"/>
                <w:szCs w:val="16"/>
              </w:rPr>
            </w:pPr>
            <w:r w:rsidRPr="00D604EE">
              <w:t>–19,068.4</w:t>
            </w:r>
          </w:p>
        </w:tc>
        <w:tc>
          <w:tcPr>
            <w:tcW w:w="2027" w:type="dxa"/>
            <w:tcBorders>
              <w:top w:val="single" w:sz="4" w:space="0" w:color="1B556B"/>
              <w:bottom w:val="single" w:sz="4" w:space="0" w:color="1B556B"/>
            </w:tcBorders>
          </w:tcPr>
          <w:p w14:paraId="06B3CAA9" w14:textId="77777777" w:rsidR="00784FA9" w:rsidRPr="00D604EE" w:rsidRDefault="00784FA9" w:rsidP="007E3239">
            <w:pPr>
              <w:pStyle w:val="TableText"/>
              <w:keepNext/>
              <w:tabs>
                <w:tab w:val="decimal" w:pos="556"/>
              </w:tabs>
              <w:spacing w:before="40" w:after="40"/>
              <w:jc w:val="center"/>
              <w:rPr>
                <w:rFonts w:cs="Segoe UI"/>
                <w:szCs w:val="16"/>
              </w:rPr>
            </w:pPr>
            <w:r w:rsidRPr="00D604EE">
              <w:t xml:space="preserve">3,108.5 </w:t>
            </w:r>
          </w:p>
        </w:tc>
        <w:tc>
          <w:tcPr>
            <w:tcW w:w="1701" w:type="dxa"/>
            <w:tcBorders>
              <w:top w:val="single" w:sz="4" w:space="0" w:color="1B556B"/>
              <w:bottom w:val="single" w:sz="4" w:space="0" w:color="1B556B"/>
            </w:tcBorders>
          </w:tcPr>
          <w:p w14:paraId="3A725683" w14:textId="77777777" w:rsidR="00784FA9" w:rsidRPr="00D604EE" w:rsidRDefault="00784FA9" w:rsidP="007E3239">
            <w:pPr>
              <w:pStyle w:val="TableText"/>
              <w:keepNext/>
              <w:tabs>
                <w:tab w:val="decimal" w:pos="556"/>
              </w:tabs>
              <w:spacing w:before="40" w:after="40"/>
              <w:jc w:val="center"/>
              <w:rPr>
                <w:rFonts w:cs="Segoe UI"/>
                <w:szCs w:val="16"/>
              </w:rPr>
            </w:pPr>
            <w:r w:rsidRPr="00D604EE">
              <w:t>14.0</w:t>
            </w:r>
          </w:p>
        </w:tc>
      </w:tr>
      <w:tr w:rsidR="00784FA9" w:rsidRPr="00D604EE" w14:paraId="3B339042" w14:textId="77777777" w:rsidTr="007E3239">
        <w:tc>
          <w:tcPr>
            <w:tcW w:w="1502" w:type="dxa"/>
            <w:tcBorders>
              <w:top w:val="single" w:sz="4" w:space="0" w:color="1B556B"/>
              <w:bottom w:val="single" w:sz="4" w:space="0" w:color="1B556B"/>
            </w:tcBorders>
            <w:shd w:val="clear" w:color="auto" w:fill="FFFFFF"/>
            <w:vAlign w:val="bottom"/>
          </w:tcPr>
          <w:p w14:paraId="41132FC0" w14:textId="77777777" w:rsidR="00784FA9" w:rsidRPr="00D604EE" w:rsidRDefault="00784FA9" w:rsidP="007E3239">
            <w:pPr>
              <w:pStyle w:val="Tableboldblue"/>
              <w:spacing w:before="40" w:after="40"/>
              <w:rPr>
                <w:rFonts w:cs="Segoe UI"/>
              </w:rPr>
            </w:pPr>
            <w:r w:rsidRPr="00D604EE">
              <w:rPr>
                <w:rFonts w:cs="Segoe UI"/>
              </w:rPr>
              <w:t>Area (hectares)</w:t>
            </w:r>
          </w:p>
        </w:tc>
        <w:tc>
          <w:tcPr>
            <w:tcW w:w="3275" w:type="dxa"/>
            <w:gridSpan w:val="2"/>
            <w:tcBorders>
              <w:top w:val="single" w:sz="4" w:space="0" w:color="1B556B"/>
              <w:bottom w:val="single" w:sz="4" w:space="0" w:color="1B556B"/>
            </w:tcBorders>
            <w:shd w:val="clear" w:color="auto" w:fill="auto"/>
            <w:vAlign w:val="bottom"/>
          </w:tcPr>
          <w:p w14:paraId="181BBE48" w14:textId="77777777" w:rsidR="00784FA9" w:rsidRPr="00D604EE" w:rsidRDefault="00784FA9" w:rsidP="007E3239">
            <w:pPr>
              <w:pStyle w:val="TableText"/>
              <w:keepNext/>
              <w:spacing w:before="40" w:after="40"/>
              <w:rPr>
                <w:rFonts w:cs="Segoe UI"/>
                <w:b/>
                <w:szCs w:val="16"/>
              </w:rPr>
            </w:pPr>
          </w:p>
        </w:tc>
        <w:tc>
          <w:tcPr>
            <w:tcW w:w="2027" w:type="dxa"/>
            <w:tcBorders>
              <w:top w:val="single" w:sz="4" w:space="0" w:color="1B556B"/>
              <w:bottom w:val="single" w:sz="4" w:space="0" w:color="1B556B"/>
            </w:tcBorders>
            <w:shd w:val="clear" w:color="auto" w:fill="auto"/>
            <w:vAlign w:val="bottom"/>
          </w:tcPr>
          <w:p w14:paraId="7B5F8859" w14:textId="77777777" w:rsidR="00784FA9" w:rsidRPr="00D604EE" w:rsidRDefault="00784FA9" w:rsidP="007E3239">
            <w:pPr>
              <w:pStyle w:val="TableText"/>
              <w:keepNext/>
              <w:tabs>
                <w:tab w:val="decimal" w:pos="556"/>
              </w:tabs>
              <w:spacing w:before="40" w:after="40"/>
              <w:jc w:val="center"/>
              <w:rPr>
                <w:rFonts w:cs="Segoe UI"/>
                <w:szCs w:val="16"/>
              </w:rPr>
            </w:pPr>
          </w:p>
        </w:tc>
        <w:tc>
          <w:tcPr>
            <w:tcW w:w="1701" w:type="dxa"/>
            <w:tcBorders>
              <w:top w:val="single" w:sz="4" w:space="0" w:color="1B556B"/>
              <w:bottom w:val="single" w:sz="4" w:space="0" w:color="1B556B"/>
            </w:tcBorders>
            <w:shd w:val="clear" w:color="auto" w:fill="auto"/>
            <w:vAlign w:val="bottom"/>
          </w:tcPr>
          <w:p w14:paraId="1AFEC761" w14:textId="77777777" w:rsidR="00784FA9" w:rsidRPr="00D604EE" w:rsidRDefault="00784FA9" w:rsidP="007E3239">
            <w:pPr>
              <w:pStyle w:val="TableText"/>
              <w:keepNext/>
              <w:tabs>
                <w:tab w:val="decimal" w:pos="556"/>
              </w:tabs>
              <w:spacing w:before="40" w:after="40"/>
              <w:jc w:val="center"/>
              <w:rPr>
                <w:rFonts w:cs="Segoe UI"/>
                <w:szCs w:val="16"/>
              </w:rPr>
            </w:pPr>
          </w:p>
        </w:tc>
      </w:tr>
      <w:tr w:rsidR="00784FA9" w:rsidRPr="00D604EE" w14:paraId="77708AB9" w14:textId="77777777" w:rsidTr="007E3239">
        <w:tc>
          <w:tcPr>
            <w:tcW w:w="1502" w:type="dxa"/>
            <w:tcBorders>
              <w:top w:val="single" w:sz="4" w:space="0" w:color="1B556B"/>
              <w:bottom w:val="single" w:sz="4" w:space="0" w:color="1B556B"/>
            </w:tcBorders>
          </w:tcPr>
          <w:p w14:paraId="4431FA69" w14:textId="77777777" w:rsidR="00784FA9" w:rsidRPr="00D604EE" w:rsidRDefault="00784FA9" w:rsidP="007E3239">
            <w:pPr>
              <w:pStyle w:val="TableText"/>
              <w:spacing w:before="40" w:after="40"/>
            </w:pPr>
            <w:r w:rsidRPr="00D604EE">
              <w:t xml:space="preserve">1990 </w:t>
            </w:r>
          </w:p>
        </w:tc>
        <w:tc>
          <w:tcPr>
            <w:tcW w:w="1637" w:type="dxa"/>
            <w:tcBorders>
              <w:top w:val="single" w:sz="4" w:space="0" w:color="1B556B"/>
              <w:bottom w:val="single" w:sz="4" w:space="0" w:color="1B556B"/>
            </w:tcBorders>
          </w:tcPr>
          <w:p w14:paraId="4C605E18" w14:textId="77777777" w:rsidR="00784FA9" w:rsidRPr="00D604EE" w:rsidRDefault="00784FA9" w:rsidP="007E3239">
            <w:pPr>
              <w:pStyle w:val="TableText"/>
              <w:keepNext/>
              <w:spacing w:before="40" w:after="40"/>
              <w:jc w:val="center"/>
              <w:rPr>
                <w:rFonts w:cs="Segoe UI"/>
                <w:szCs w:val="16"/>
              </w:rPr>
            </w:pPr>
            <w:r w:rsidRPr="00D604EE">
              <w:t>9,381,848.2</w:t>
            </w:r>
          </w:p>
        </w:tc>
        <w:tc>
          <w:tcPr>
            <w:tcW w:w="1638" w:type="dxa"/>
            <w:tcBorders>
              <w:top w:val="single" w:sz="4" w:space="0" w:color="1B556B"/>
              <w:bottom w:val="single" w:sz="4" w:space="0" w:color="1B556B"/>
            </w:tcBorders>
          </w:tcPr>
          <w:p w14:paraId="2806914B" w14:textId="77777777" w:rsidR="00784FA9" w:rsidRPr="00D604EE" w:rsidRDefault="00784FA9" w:rsidP="007E3239">
            <w:pPr>
              <w:pStyle w:val="TableText"/>
              <w:keepNext/>
              <w:spacing w:before="40" w:after="40"/>
              <w:jc w:val="center"/>
              <w:rPr>
                <w:rFonts w:cs="Segoe UI"/>
                <w:szCs w:val="16"/>
              </w:rPr>
            </w:pPr>
            <w:r w:rsidRPr="00D604EE">
              <w:t>9,381,842.9</w:t>
            </w:r>
          </w:p>
        </w:tc>
        <w:tc>
          <w:tcPr>
            <w:tcW w:w="2027" w:type="dxa"/>
            <w:tcBorders>
              <w:top w:val="single" w:sz="4" w:space="0" w:color="1B556B"/>
              <w:bottom w:val="single" w:sz="4" w:space="0" w:color="1B556B"/>
            </w:tcBorders>
          </w:tcPr>
          <w:p w14:paraId="1F00A42B" w14:textId="77777777" w:rsidR="00784FA9" w:rsidRPr="00D604EE" w:rsidRDefault="00784FA9" w:rsidP="007E3239">
            <w:pPr>
              <w:pStyle w:val="TableText"/>
              <w:keepNext/>
              <w:tabs>
                <w:tab w:val="decimal" w:pos="556"/>
              </w:tabs>
              <w:spacing w:before="40" w:after="40"/>
              <w:jc w:val="center"/>
              <w:rPr>
                <w:rFonts w:cs="Segoe UI"/>
                <w:szCs w:val="16"/>
              </w:rPr>
            </w:pPr>
            <w:r w:rsidRPr="00D604EE">
              <w:t xml:space="preserve">–5.3 </w:t>
            </w:r>
          </w:p>
        </w:tc>
        <w:tc>
          <w:tcPr>
            <w:tcW w:w="1701" w:type="dxa"/>
            <w:tcBorders>
              <w:top w:val="single" w:sz="4" w:space="0" w:color="1B556B"/>
              <w:bottom w:val="single" w:sz="4" w:space="0" w:color="1B556B"/>
            </w:tcBorders>
          </w:tcPr>
          <w:p w14:paraId="76A6C8C1" w14:textId="77777777" w:rsidR="00784FA9" w:rsidRPr="00D604EE" w:rsidRDefault="00784FA9" w:rsidP="007E3239">
            <w:pPr>
              <w:pStyle w:val="TableText"/>
              <w:keepNext/>
              <w:tabs>
                <w:tab w:val="decimal" w:pos="556"/>
              </w:tabs>
              <w:spacing w:before="40" w:after="40"/>
              <w:jc w:val="center"/>
              <w:rPr>
                <w:rFonts w:cs="Segoe UI"/>
                <w:szCs w:val="16"/>
              </w:rPr>
            </w:pPr>
            <w:r w:rsidRPr="00D604EE">
              <w:t>–0.0</w:t>
            </w:r>
          </w:p>
        </w:tc>
      </w:tr>
      <w:tr w:rsidR="00784FA9" w:rsidRPr="00D604EE" w14:paraId="2D123A88" w14:textId="77777777" w:rsidTr="007E3239">
        <w:tc>
          <w:tcPr>
            <w:tcW w:w="1502" w:type="dxa"/>
            <w:tcBorders>
              <w:top w:val="single" w:sz="4" w:space="0" w:color="1B556B"/>
              <w:bottom w:val="single" w:sz="4" w:space="0" w:color="1B556B"/>
            </w:tcBorders>
          </w:tcPr>
          <w:p w14:paraId="3386C9BA" w14:textId="77777777" w:rsidR="00784FA9" w:rsidRPr="00D604EE" w:rsidRDefault="00784FA9" w:rsidP="007E3239">
            <w:pPr>
              <w:pStyle w:val="TableText"/>
              <w:spacing w:before="40" w:after="40"/>
            </w:pPr>
            <w:r w:rsidRPr="00D604EE">
              <w:t>2019</w:t>
            </w:r>
          </w:p>
        </w:tc>
        <w:tc>
          <w:tcPr>
            <w:tcW w:w="1637" w:type="dxa"/>
            <w:tcBorders>
              <w:top w:val="single" w:sz="4" w:space="0" w:color="1B556B"/>
              <w:bottom w:val="single" w:sz="4" w:space="0" w:color="1B556B"/>
            </w:tcBorders>
          </w:tcPr>
          <w:p w14:paraId="54F5BB69" w14:textId="77777777" w:rsidR="00784FA9" w:rsidRPr="00D604EE" w:rsidRDefault="00784FA9" w:rsidP="007E3239">
            <w:pPr>
              <w:pStyle w:val="TableText"/>
              <w:keepNext/>
              <w:spacing w:before="40" w:after="40"/>
              <w:jc w:val="center"/>
              <w:rPr>
                <w:rFonts w:cs="Segoe UI"/>
                <w:szCs w:val="16"/>
              </w:rPr>
            </w:pPr>
            <w:r w:rsidRPr="00D604EE">
              <w:t>9,938,487.1</w:t>
            </w:r>
          </w:p>
        </w:tc>
        <w:tc>
          <w:tcPr>
            <w:tcW w:w="1638" w:type="dxa"/>
            <w:tcBorders>
              <w:top w:val="single" w:sz="4" w:space="0" w:color="1B556B"/>
              <w:bottom w:val="single" w:sz="4" w:space="0" w:color="1B556B"/>
            </w:tcBorders>
          </w:tcPr>
          <w:p w14:paraId="722398FD" w14:textId="77777777" w:rsidR="00784FA9" w:rsidRPr="00D604EE" w:rsidRDefault="00784FA9" w:rsidP="007E3239">
            <w:pPr>
              <w:pStyle w:val="TableText"/>
              <w:keepNext/>
              <w:spacing w:before="40" w:after="40"/>
              <w:jc w:val="center"/>
              <w:rPr>
                <w:rFonts w:cs="Segoe UI"/>
                <w:szCs w:val="16"/>
              </w:rPr>
            </w:pPr>
            <w:r w:rsidRPr="00D604EE">
              <w:t>9,933,064.7</w:t>
            </w:r>
          </w:p>
        </w:tc>
        <w:tc>
          <w:tcPr>
            <w:tcW w:w="2027" w:type="dxa"/>
            <w:tcBorders>
              <w:top w:val="single" w:sz="4" w:space="0" w:color="1B556B"/>
              <w:bottom w:val="single" w:sz="4" w:space="0" w:color="1B556B"/>
            </w:tcBorders>
          </w:tcPr>
          <w:p w14:paraId="5AB106B0" w14:textId="77777777" w:rsidR="00784FA9" w:rsidRPr="00D604EE" w:rsidRDefault="00784FA9" w:rsidP="007E3239">
            <w:pPr>
              <w:pStyle w:val="TableText"/>
              <w:keepNext/>
              <w:tabs>
                <w:tab w:val="decimal" w:pos="556"/>
              </w:tabs>
              <w:spacing w:before="40" w:after="40"/>
              <w:jc w:val="center"/>
              <w:rPr>
                <w:rFonts w:cs="Segoe UI"/>
                <w:szCs w:val="16"/>
              </w:rPr>
            </w:pPr>
            <w:r w:rsidRPr="00D604EE">
              <w:t xml:space="preserve">–5,422.4 </w:t>
            </w:r>
          </w:p>
        </w:tc>
        <w:tc>
          <w:tcPr>
            <w:tcW w:w="1701" w:type="dxa"/>
            <w:tcBorders>
              <w:top w:val="single" w:sz="4" w:space="0" w:color="1B556B"/>
              <w:bottom w:val="single" w:sz="4" w:space="0" w:color="1B556B"/>
            </w:tcBorders>
          </w:tcPr>
          <w:p w14:paraId="545A739D" w14:textId="77777777" w:rsidR="00784FA9" w:rsidRPr="00D604EE" w:rsidRDefault="00784FA9" w:rsidP="007E3239">
            <w:pPr>
              <w:pStyle w:val="TableText"/>
              <w:keepNext/>
              <w:tabs>
                <w:tab w:val="decimal" w:pos="556"/>
              </w:tabs>
              <w:spacing w:before="40" w:after="40"/>
              <w:jc w:val="center"/>
              <w:rPr>
                <w:rFonts w:cs="Segoe UI"/>
                <w:szCs w:val="16"/>
              </w:rPr>
            </w:pPr>
            <w:r w:rsidRPr="00D604EE">
              <w:t>–0.1</w:t>
            </w:r>
          </w:p>
        </w:tc>
      </w:tr>
    </w:tbl>
    <w:p w14:paraId="2F5C4DD9" w14:textId="77777777" w:rsidR="00784FA9" w:rsidRPr="00D604EE" w:rsidRDefault="00784FA9" w:rsidP="00784FA9">
      <w:pPr>
        <w:pStyle w:val="Noteundertable"/>
      </w:pPr>
      <w:r w:rsidRPr="00D604EE">
        <w:rPr>
          <w:b/>
        </w:rPr>
        <w:t>Note:</w:t>
      </w:r>
      <w:r w:rsidRPr="00D604EE">
        <w:tab/>
        <w:t xml:space="preserve">Areas are as at the end of the year indicated. </w:t>
      </w:r>
    </w:p>
    <w:p w14:paraId="03233A87" w14:textId="77777777" w:rsidR="00784FA9" w:rsidRPr="00D604EE" w:rsidRDefault="00784FA9" w:rsidP="00784FA9">
      <w:pPr>
        <w:pStyle w:val="BodyText"/>
      </w:pPr>
      <w:r w:rsidRPr="00D604EE">
        <w:t xml:space="preserve">For </w:t>
      </w:r>
      <w:r w:rsidRPr="00D604EE">
        <w:rPr>
          <w:i/>
        </w:rPr>
        <w:t>Forest land</w:t>
      </w:r>
      <w:r w:rsidRPr="00D604EE">
        <w:t>, a number of improvements made to both the planted and natural forest have led to the recalculations across the time series. These are described in more detail below.</w:t>
      </w:r>
      <w:bookmarkStart w:id="1692" w:name="_Toc255466362"/>
      <w:bookmarkStart w:id="1693" w:name="_Toc261513169"/>
      <w:bookmarkStart w:id="1694" w:name="_Toc261513782"/>
      <w:bookmarkStart w:id="1695" w:name="_Toc280630260"/>
    </w:p>
    <w:p w14:paraId="79890576" w14:textId="77777777" w:rsidR="00784FA9" w:rsidRPr="00D604EE" w:rsidRDefault="00784FA9" w:rsidP="00784FA9">
      <w:pPr>
        <w:pStyle w:val="Heading5"/>
        <w:spacing w:before="160"/>
      </w:pPr>
      <w:r w:rsidRPr="00D604EE">
        <w:t>Activity data</w:t>
      </w:r>
      <w:bookmarkEnd w:id="1692"/>
      <w:bookmarkEnd w:id="1693"/>
      <w:bookmarkEnd w:id="1694"/>
      <w:bookmarkEnd w:id="1695"/>
    </w:p>
    <w:p w14:paraId="18A37775" w14:textId="77777777" w:rsidR="00784FA9" w:rsidRPr="00D604EE" w:rsidRDefault="00784FA9" w:rsidP="00784FA9">
      <w:pPr>
        <w:pStyle w:val="BodyText"/>
        <w:spacing w:before="100" w:after="100"/>
      </w:pPr>
      <w:bookmarkStart w:id="1696" w:name="_Toc255466366"/>
      <w:bookmarkStart w:id="1697" w:name="_Toc261513173"/>
      <w:bookmarkStart w:id="1698" w:name="_Toc261513786"/>
      <w:r w:rsidRPr="00D604EE">
        <w:t xml:space="preserve">The area estimates of afforestation and deforestation have been updated from the previous submission due to updates in forestry scheme data figures (see annex 3.2.2 for further information on scheme data) and method changes described below. </w:t>
      </w:r>
    </w:p>
    <w:p w14:paraId="522A8A29" w14:textId="77777777" w:rsidR="00784FA9" w:rsidRPr="00D604EE" w:rsidRDefault="00784FA9" w:rsidP="00784FA9">
      <w:pPr>
        <w:pStyle w:val="BodyText"/>
        <w:spacing w:before="100" w:after="100"/>
      </w:pPr>
      <w:r w:rsidRPr="00D604EE">
        <w:t xml:space="preserve">The area of deforestation in 2017 for planted forest has been estimated based on provisional deforestation mapping for that year. The method for estimating planted forest deforestation areas for 2018 and 2019 remains unchanged and is still based on the Deforestation Intentions Survey for 2018 (Manley, 2019). </w:t>
      </w:r>
    </w:p>
    <w:p w14:paraId="45032BBF" w14:textId="77777777" w:rsidR="00784FA9" w:rsidRPr="00D604EE" w:rsidRDefault="00784FA9" w:rsidP="00784FA9">
      <w:pPr>
        <w:pStyle w:val="BodyText"/>
        <w:spacing w:before="100" w:after="100"/>
      </w:pPr>
      <w:r w:rsidRPr="00D604EE">
        <w:t xml:space="preserve">The area of deforestation of pre-1990 (tall), pre-1990 (regenerating) and post-1989 natural forest for 2017 to 2020 has been estimated as occurring at the same annual rate as the annual average of the most recently mapped three-year period (2014 to 2016). A five-year period (2013 to 2016) was used in previous submissions; however, due to the declining rate of deforestation from 2010 to 2016, it was decided that a three-year-period was more appropriate to estimate the rate of deforestation over 2017 to 2020. </w:t>
      </w:r>
    </w:p>
    <w:p w14:paraId="25B22AF6" w14:textId="77777777" w:rsidR="00784FA9" w:rsidRPr="00D604EE" w:rsidRDefault="00784FA9" w:rsidP="00784FA9">
      <w:pPr>
        <w:pStyle w:val="BodyText"/>
        <w:spacing w:after="100"/>
      </w:pPr>
      <w:r w:rsidRPr="00D604EE">
        <w:t xml:space="preserve">In previous submissions, all deforestation events that were not based on mapped data (i.e., they were based on extrapolations or deforestation intentions surveys) were assumed to be converted to low producing grassland or high producing grassland. For this submission, the </w:t>
      </w:r>
      <w:r w:rsidRPr="00D604EE">
        <w:lastRenderedPageBreak/>
        <w:t xml:space="preserve">proportion of </w:t>
      </w:r>
      <w:r w:rsidRPr="00D604EE">
        <w:rPr>
          <w:i/>
        </w:rPr>
        <w:t>Land converted to</w:t>
      </w:r>
      <w:r w:rsidRPr="00D604EE">
        <w:t xml:space="preserve"> categories on deforestation events have been updated to include </w:t>
      </w:r>
      <w:r w:rsidRPr="00D604EE">
        <w:rPr>
          <w:i/>
          <w:iCs/>
        </w:rPr>
        <w:t>Settlements</w:t>
      </w:r>
      <w:r w:rsidRPr="00D604EE">
        <w:t xml:space="preserve">, </w:t>
      </w:r>
      <w:r w:rsidRPr="00D604EE">
        <w:rPr>
          <w:i/>
          <w:iCs/>
        </w:rPr>
        <w:t>Other</w:t>
      </w:r>
      <w:r w:rsidRPr="00D604EE">
        <w:rPr>
          <w:i/>
        </w:rPr>
        <w:t xml:space="preserve"> land</w:t>
      </w:r>
      <w:r w:rsidRPr="00D604EE">
        <w:t xml:space="preserve"> and </w:t>
      </w:r>
      <w:r w:rsidRPr="00D604EE">
        <w:rPr>
          <w:i/>
          <w:iCs/>
        </w:rPr>
        <w:t>Grassland with woody biomass</w:t>
      </w:r>
      <w:r w:rsidRPr="00D604EE">
        <w:t>. This is based on the average proportion of land conversions on deforestation that occur from 2013 to 2016. More information about this estimation process can be found in annex A3.2.2.</w:t>
      </w:r>
    </w:p>
    <w:p w14:paraId="3F26DA69" w14:textId="77777777" w:rsidR="00784FA9" w:rsidRPr="00D604EE" w:rsidRDefault="00784FA9" w:rsidP="00784FA9">
      <w:pPr>
        <w:pStyle w:val="BodyText"/>
        <w:spacing w:after="100"/>
      </w:pPr>
      <w:r w:rsidRPr="00D604EE">
        <w:t xml:space="preserve">These areas and the associated emissions are reported in the relevant </w:t>
      </w:r>
      <w:r w:rsidRPr="00D604EE">
        <w:rPr>
          <w:i/>
        </w:rPr>
        <w:t>Land converted to</w:t>
      </w:r>
      <w:r w:rsidRPr="00D604EE">
        <w:t> category.</w:t>
      </w:r>
    </w:p>
    <w:p w14:paraId="5095CD14" w14:textId="77777777" w:rsidR="00784FA9" w:rsidRPr="00D604EE" w:rsidRDefault="00784FA9" w:rsidP="00784FA9">
      <w:pPr>
        <w:pStyle w:val="Heading5"/>
        <w:spacing w:before="200"/>
      </w:pPr>
      <w:r w:rsidRPr="00D604EE">
        <w:t>Planted forest – updates to yield tables</w:t>
      </w:r>
    </w:p>
    <w:p w14:paraId="1DE9576D" w14:textId="77777777" w:rsidR="00784FA9" w:rsidRPr="00D604EE" w:rsidRDefault="00784FA9" w:rsidP="00784FA9">
      <w:pPr>
        <w:pStyle w:val="BodyText"/>
        <w:spacing w:after="100"/>
      </w:pPr>
      <w:r w:rsidRPr="00D604EE">
        <w:t>Yield tables for both pre-1990 planted forest and post-1989 planted forest have been updated for the 2022 submission to include plots measured in the 2020 forest inventory.</w:t>
      </w:r>
    </w:p>
    <w:p w14:paraId="1BCBBE4D" w14:textId="77777777" w:rsidR="00784FA9" w:rsidRPr="00D604EE" w:rsidRDefault="00784FA9" w:rsidP="00784FA9">
      <w:pPr>
        <w:pStyle w:val="BodyText"/>
        <w:spacing w:after="100"/>
      </w:pPr>
      <w:r w:rsidRPr="00D604EE">
        <w:t>The period-specific yield tables used for pre-1990 planted forest have been updated to improve accuracy. In the previous submission, three</w:t>
      </w:r>
      <w:r w:rsidRPr="00D604EE" w:rsidDel="00F41B97">
        <w:t xml:space="preserve"> </w:t>
      </w:r>
      <w:r w:rsidRPr="00D604EE">
        <w:t>yield tables were applied to</w:t>
      </w:r>
      <w:r w:rsidRPr="00D604EE" w:rsidDel="00F41B97">
        <w:t xml:space="preserve"> </w:t>
      </w:r>
      <w:r w:rsidRPr="00D604EE">
        <w:t xml:space="preserve">the pre-1990 planted forest estate, representing stands planted before 1990, between 1990 and 2009, and from 2010 onwards. However, the yield table for stands planted from 2010 onwards was found to have high uncertainty and tended to overestimate carbon stock per hectare relative to the field measurements. During the review of the 2021 submission, it was suggested that submissions revert back to two yield tables until further data are available for the yield table representing stands from 2010 onwards. Therefore, in this submission two yield tables have been applied: one for stands planted before 1990 and one for stands planted from 1990 onwards. </w:t>
      </w:r>
    </w:p>
    <w:p w14:paraId="7250514F" w14:textId="77777777" w:rsidR="00784FA9" w:rsidRPr="00D604EE" w:rsidRDefault="00784FA9" w:rsidP="00784FA9">
      <w:pPr>
        <w:pStyle w:val="BodyText"/>
        <w:spacing w:after="100"/>
      </w:pPr>
      <w:r w:rsidRPr="00D604EE">
        <w:t>The post-1989 planted forest yield table has been revised for the 2022 submission to include plots measured in the 2020 forest inventory. The revised yield table is based on two full measurement inventories of permanent sample plots in post-1989 planted forest carried out in 2008/09 and 2011/12, and a partial re-measure annually between 2016 and 2020 (due to the transition to the continuous five-year inventory cycle). The analysis of the data collected has provided a plot-based estimate of carbon stock and mean carbon density within this forest type and is further described in annex A3.2.5 ‘National forest inventory’.</w:t>
      </w:r>
    </w:p>
    <w:p w14:paraId="0E4C2C87" w14:textId="77777777" w:rsidR="00784FA9" w:rsidRPr="00D604EE" w:rsidRDefault="00784FA9" w:rsidP="00784FA9">
      <w:pPr>
        <w:pStyle w:val="BodyText"/>
        <w:spacing w:after="100"/>
      </w:pPr>
      <w:r w:rsidRPr="00D604EE">
        <w:t>The improvements to the planted forest yield tables results in a decrease of removals of approximately 1,700 kt CO</w:t>
      </w:r>
      <w:r w:rsidRPr="00D604EE">
        <w:rPr>
          <w:vertAlign w:val="subscript"/>
        </w:rPr>
        <w:t>2</w:t>
      </w:r>
      <w:r w:rsidRPr="00D604EE">
        <w:t>-e in 1990 and a decrease of removals of approximately 1,460 kt CO</w:t>
      </w:r>
      <w:r w:rsidRPr="00D604EE">
        <w:rPr>
          <w:vertAlign w:val="subscript"/>
        </w:rPr>
        <w:t>2</w:t>
      </w:r>
      <w:r w:rsidRPr="00D604EE">
        <w:t xml:space="preserve">-e in 2019. </w:t>
      </w:r>
    </w:p>
    <w:p w14:paraId="1B54EF04" w14:textId="77777777" w:rsidR="00784FA9" w:rsidRPr="00D604EE" w:rsidRDefault="00784FA9" w:rsidP="00784FA9">
      <w:pPr>
        <w:pStyle w:val="Heading5"/>
        <w:spacing w:before="200"/>
      </w:pPr>
      <w:r w:rsidRPr="00D604EE">
        <w:t>Planted forest – updates to forest age and harvest age profile modelling</w:t>
      </w:r>
    </w:p>
    <w:p w14:paraId="24623A3B" w14:textId="77777777" w:rsidR="00784FA9" w:rsidRPr="00D604EE" w:rsidRDefault="00784FA9" w:rsidP="00784FA9">
      <w:pPr>
        <w:pStyle w:val="BodyText"/>
        <w:spacing w:before="100" w:after="100"/>
      </w:pPr>
      <w:r w:rsidRPr="00D604EE">
        <w:t>In this submission, several method changes have been made to improve the estimates of the harvest area by age and the forest age profile. These improvements are summarised below.</w:t>
      </w:r>
    </w:p>
    <w:p w14:paraId="6760B1BD" w14:textId="77777777" w:rsidR="00784FA9" w:rsidRPr="00D604EE" w:rsidRDefault="00784FA9" w:rsidP="00AB2A5C">
      <w:pPr>
        <w:pStyle w:val="Numberedparagraph"/>
        <w:numPr>
          <w:ilvl w:val="0"/>
          <w:numId w:val="22"/>
        </w:numPr>
      </w:pPr>
      <w:r w:rsidRPr="00D604EE">
        <w:t xml:space="preserve">In the previous submission, an assumed average harvest age in the planted forest estate of 28 years was applied from 1990 to 2006. For the years 2007 to 2017 an average harvest age sourced from National Exotic Forest Description (NEFD) publications was used. In this submission the data have been updated to include NEFD average harvest age from 1995 to 2019 (Ministry for Primary Industries, 2020). To smooth out any year-to-year fluctuations, a three-year moving average has also been applied to the average harvest age and to project the 2020 estimate. An average assumed harvest age of 28 years is still applied to 1990 to 1995. </w:t>
      </w:r>
    </w:p>
    <w:p w14:paraId="038F845E" w14:textId="77777777" w:rsidR="00784FA9" w:rsidRPr="00D604EE" w:rsidRDefault="00784FA9" w:rsidP="001C16C0">
      <w:pPr>
        <w:pStyle w:val="Numberedparagraph"/>
      </w:pPr>
      <w:r w:rsidRPr="00D604EE">
        <w:t xml:space="preserve">In previous submissions, the harvest age profiles (the proportion of harvest area by age) for the post-1989 and pre-1990 planted forest estates were considered independently of each other. However, this approach led to inconsistencies </w:t>
      </w:r>
      <w:r w:rsidRPr="00D604EE" w:rsidDel="00EC0C8E">
        <w:t xml:space="preserve">in </w:t>
      </w:r>
      <w:r w:rsidRPr="00D604EE">
        <w:t xml:space="preserve">the average harvest age of the whole forest estate. The pre-1990 average harvest age was assumed to be </w:t>
      </w:r>
      <w:r w:rsidRPr="00D604EE">
        <w:lastRenderedPageBreak/>
        <w:t>represented by the NEFD estimate. However, it is likely more appropriate to consider that the NEFD average harvest age should represent the entire planted forest estate (both pre-1990 and post-1989 forest). As</w:t>
      </w:r>
      <w:r w:rsidRPr="00D604EE" w:rsidDel="00127381">
        <w:t xml:space="preserve"> </w:t>
      </w:r>
      <w:r w:rsidRPr="00D604EE">
        <w:t>the rate of harvest increases in the post-1989 estate, with more harvest of younger trees due to the forest age profile, this results in a reduction in the total forest average harvest age. To correct for this, an average harvest age and harvest age profile are applied to all planted forest destocking (harvesting and deforestation). As more harvesting happens in younger post-1989 forest stands, the proportion of harvesting of pre-1990 forest in these ages is reduced. The total forest average harvest age now remains consistent with the input NEFD estimate.</w:t>
      </w:r>
    </w:p>
    <w:p w14:paraId="33D5C26C" w14:textId="77777777" w:rsidR="00784FA9" w:rsidRPr="00D604EE" w:rsidRDefault="00784FA9" w:rsidP="001C16C0">
      <w:pPr>
        <w:pStyle w:val="Numberedparagraph"/>
      </w:pPr>
      <w:r w:rsidRPr="00D604EE">
        <w:t>To create a harvest age profile that represents the whole planted forest estate, the harvest age profile was expanded to range between the ages of 15 and 45 years (previously a harvest age profile of 21 to 40 years was used for pre-1990 planted forest). This better captures the harvest that is expected to occur in younger post-1989 planted forest, and in older Douglas fir stands which have an estimated harvest age of between 40 and 45 years.</w:t>
      </w:r>
    </w:p>
    <w:p w14:paraId="2A906C86" w14:textId="77777777" w:rsidR="00784FA9" w:rsidRPr="00D604EE" w:rsidRDefault="00784FA9" w:rsidP="001C16C0">
      <w:pPr>
        <w:pStyle w:val="Numberedparagraph"/>
      </w:pPr>
      <w:r w:rsidRPr="00D604EE">
        <w:t xml:space="preserve">Updating the harvest age profile to represent the whole planted forest estate improves the estimated proportion of harvest area by age in each forest type. From 2017 onwards, the area of post-1989 and pre-1990 planted forests is based on the proportion of standing forest available in each stratum, fitted to the estimate of total destocking area and the harvest age profile (the proportion of total harvest occurring in each age group). For this submission, a total forest harvest age profile is now used (as described above). This has </w:t>
      </w:r>
      <w:r w:rsidRPr="00D604EE">
        <w:rPr>
          <w:spacing w:val="-2"/>
        </w:rPr>
        <w:t>resulted in an improved and more consistent estimate of the proportion of total destocking</w:t>
      </w:r>
      <w:r w:rsidRPr="00D604EE">
        <w:t xml:space="preserve"> occurring in pre-1990 and post-1989 planted forest from 2017 onwards. A greater proportion of harvesting is now estimated to occur in pre-1990 planted forest, and less harvesting to occur in post-1989 planted forest over this period.</w:t>
      </w:r>
    </w:p>
    <w:p w14:paraId="01A00881" w14:textId="77777777" w:rsidR="00784FA9" w:rsidRPr="00D604EE" w:rsidRDefault="00784FA9" w:rsidP="001C16C0">
      <w:pPr>
        <w:pStyle w:val="Numberedparagraph"/>
      </w:pPr>
      <w:r w:rsidRPr="00D604EE">
        <w:t>The modelling approach to determine the planting required to achieve the desired forest age profile in the final reporting year has been improved. The forest age profile in the final reporting year is now more consistent with the NEFD forest age profile.</w:t>
      </w:r>
    </w:p>
    <w:p w14:paraId="7372FCB3" w14:textId="77777777" w:rsidR="00784FA9" w:rsidRPr="00D604EE" w:rsidRDefault="00784FA9" w:rsidP="00784FA9">
      <w:pPr>
        <w:pStyle w:val="Heading5"/>
      </w:pPr>
      <w:r w:rsidRPr="00D604EE">
        <w:t>Planted forest – update to harvest area calculations</w:t>
      </w:r>
    </w:p>
    <w:p w14:paraId="1D5555F1" w14:textId="77777777" w:rsidR="00784FA9" w:rsidRPr="00D604EE" w:rsidRDefault="00784FA9" w:rsidP="00784FA9">
      <w:pPr>
        <w:pStyle w:val="BodyText"/>
      </w:pPr>
      <w:r w:rsidRPr="00D604EE">
        <w:t>For this submission, several improvements have been made to the methods used to calculate planted forest harvest area.</w:t>
      </w:r>
    </w:p>
    <w:p w14:paraId="6DCEC7C1" w14:textId="77777777" w:rsidR="00784FA9" w:rsidRPr="00D604EE" w:rsidRDefault="00784FA9" w:rsidP="00AB2A5C">
      <w:pPr>
        <w:pStyle w:val="Numberedparagraph"/>
        <w:numPr>
          <w:ilvl w:val="0"/>
          <w:numId w:val="23"/>
        </w:numPr>
      </w:pPr>
      <w:r w:rsidRPr="00D604EE">
        <w:t xml:space="preserve">In the previous submission, the total destocking area of planted forests from 2011 onwards was calculated from the annual roundwood volume produced (Ministry for Primary Industries, 2021a) divided by the average ratio of roundwood volume to NEFD harvest area (over the previous four years). Following revisions to the time series of NEFD harvest area, NEFD harvest volume and MPI roundwood volume in 2021, this approach no longer provided a reliable total destocking estimate over this period. For this submission, the total destocking area from 2013 onwards is now calculated from the planted forest yield tables, harvest age profile and estimated planted forest roundwood volume removed (MPI roundwood volume). This approach estimates the total destocking area required to achieve the MPI roundwood volume estimate, based on the average volume per hectare removed on harvest (harvest age profile combined with LUCAS yield tables). This approach provides greater consistency with roundwood volume estimates and estimates of carbon inputs in the </w:t>
      </w:r>
      <w:r w:rsidRPr="001C16C0">
        <w:rPr>
          <w:i/>
          <w:iCs/>
        </w:rPr>
        <w:t>Harvested wood product</w:t>
      </w:r>
      <w:r w:rsidRPr="00D604EE">
        <w:t xml:space="preserve"> category from 2013 to 2020. The total destocking estimate from 1990 to 2012 is still estimated from NEFD harvest area plus any additional post-1989 planted forest deforestation estimates.</w:t>
      </w:r>
    </w:p>
    <w:p w14:paraId="30D222B6" w14:textId="77777777" w:rsidR="00784FA9" w:rsidRPr="00D604EE" w:rsidRDefault="00784FA9" w:rsidP="001C16C0">
      <w:pPr>
        <w:pStyle w:val="Numberedparagraph"/>
      </w:pPr>
      <w:r w:rsidRPr="00D604EE">
        <w:t xml:space="preserve">The harvest area of post-1989 forest from 2008 to 2016 is based on mapped data (this is calculated as a subset of the total destocking area). In previous submissions there was no </w:t>
      </w:r>
      <w:r w:rsidRPr="00D604EE">
        <w:lastRenderedPageBreak/>
        <w:t>gross stocked to net stocked area adjustment to this post-1989 planted forest harvest estimate. A net stocked adjustment has been applied for this submission, resulting in a lower post-1989 harvest area over 2008 to 2016 (this does not impact the total destocking estimate).</w:t>
      </w:r>
    </w:p>
    <w:p w14:paraId="088A73AA" w14:textId="77777777" w:rsidR="00784FA9" w:rsidRPr="00D604EE" w:rsidRDefault="00784FA9" w:rsidP="000653DC">
      <w:pPr>
        <w:pStyle w:val="Numberedparagraph"/>
      </w:pPr>
      <w:r w:rsidRPr="00D604EE">
        <w:t xml:space="preserve">In the previous submission, the modelling approach resulted in double counting of harvest and deforestation events that were classified as carbon equivalent forests or where multiple land-use change events occurred. These events are modelled separately from regular </w:t>
      </w:r>
      <w:r w:rsidRPr="000653DC">
        <w:t>harvesting</w:t>
      </w:r>
      <w:r w:rsidRPr="00D604EE">
        <w:t xml:space="preserve"> and deforestation. This has been corrected for this submission to remove the double counting. </w:t>
      </w:r>
    </w:p>
    <w:p w14:paraId="4284088A" w14:textId="714AECCA" w:rsidR="00784FA9" w:rsidRPr="00D604EE" w:rsidRDefault="00784FA9" w:rsidP="00784FA9">
      <w:pPr>
        <w:pStyle w:val="Heading5"/>
        <w:spacing w:before="160"/>
      </w:pPr>
      <w:r w:rsidRPr="00D604EE">
        <w:t xml:space="preserve">Natural forest – updates to post-1989 </w:t>
      </w:r>
      <w:r w:rsidR="000E2644">
        <w:t>yield tables</w:t>
      </w:r>
    </w:p>
    <w:p w14:paraId="5E48706B" w14:textId="04D96F40" w:rsidR="00784FA9" w:rsidRPr="00D604EE" w:rsidRDefault="00784FA9" w:rsidP="00784FA9">
      <w:pPr>
        <w:pStyle w:val="BodyText"/>
      </w:pPr>
      <w:r w:rsidRPr="00D604EE">
        <w:t>An additional post-1989 natural forest yield table has been included for the 2022 submission (see annex 3.2.5.5, table A3.2.1</w:t>
      </w:r>
      <w:r w:rsidR="007D2A73">
        <w:t>6</w:t>
      </w:r>
      <w:r w:rsidRPr="00D604EE">
        <w:t xml:space="preserve">). This yield table is used when </w:t>
      </w:r>
      <w:r w:rsidRPr="00D604EE">
        <w:rPr>
          <w:i/>
          <w:iCs/>
        </w:rPr>
        <w:t>Grassland with woody biomass</w:t>
      </w:r>
      <w:r w:rsidRPr="00D604EE">
        <w:t xml:space="preserve"> is converted to post-1989 natural forest. The new yield table starts at the same carbon stock as </w:t>
      </w:r>
      <w:r w:rsidRPr="00D604EE">
        <w:rPr>
          <w:i/>
          <w:iCs/>
        </w:rPr>
        <w:t>Grassland with woody biomass</w:t>
      </w:r>
      <w:r w:rsidRPr="00D604EE">
        <w:t xml:space="preserve"> resulting in no emissions from biomass in the first year of conversion. In previous submissions, all the biomass was reported as being lost in the first year after conversion. This reported emission does not reflect reality given the ecological succession this conversion represents. This change does not impact net carbon dioxide removals by the time the forest reaches the age of 30 years, but impacts the year in which the reported emissions and removals occur. </w:t>
      </w:r>
    </w:p>
    <w:p w14:paraId="1C0DB45B" w14:textId="77777777" w:rsidR="00784FA9" w:rsidRPr="00D604EE" w:rsidRDefault="00784FA9" w:rsidP="00784FA9">
      <w:pPr>
        <w:pStyle w:val="Heading5"/>
        <w:spacing w:before="160"/>
      </w:pPr>
      <w:r w:rsidRPr="00D604EE">
        <w:t>Natural forest – update to pre-1990 sub-classification</w:t>
      </w:r>
    </w:p>
    <w:p w14:paraId="54CCC7B9" w14:textId="77777777" w:rsidR="00784FA9" w:rsidRPr="00D604EE" w:rsidRDefault="00784FA9" w:rsidP="00784FA9">
      <w:pPr>
        <w:pStyle w:val="BodyText"/>
      </w:pPr>
      <w:r w:rsidRPr="00D604EE">
        <w:t xml:space="preserve">Pre-1990 tall and regenerating forest plots were previously classified using species composition (Wiser, 2016) to estimate the annual carbon stock change of each forest type. However, the tall and regenerating forest areas were estimated from mapped land cover (LCDBv3). This created a mismatch where carbon stock change estimates were not consistent with the forest area they were intended to represent. This was corrected for the 2022 submission, by using the land cover approach (LCDBv5) to classify both the plots and the mapped areas of tall and regenerating forest. </w:t>
      </w:r>
    </w:p>
    <w:p w14:paraId="4F16D4AE" w14:textId="77777777" w:rsidR="00784FA9" w:rsidRPr="00D604EE" w:rsidRDefault="00784FA9" w:rsidP="00784FA9">
      <w:pPr>
        <w:pStyle w:val="BodyText"/>
      </w:pPr>
      <w:r w:rsidRPr="00D604EE">
        <w:t>The estimated rate of removals from regenerating forest is lower when using the land cover (LCDB) classification compared with the rate based on the previously used species composition classification (Wiser, 2016). This change results in an increase in emissions in 2019 of approximately 1,000 kt CO</w:t>
      </w:r>
      <w:r w:rsidRPr="00D604EE">
        <w:rPr>
          <w:vertAlign w:val="subscript"/>
        </w:rPr>
        <w:t>2</w:t>
      </w:r>
      <w:r w:rsidRPr="00D604EE">
        <w:t xml:space="preserve">-e in the pre-1990 natural regenerating forest category. </w:t>
      </w:r>
    </w:p>
    <w:p w14:paraId="39E9F433" w14:textId="77777777" w:rsidR="00784FA9" w:rsidRPr="00D604EE" w:rsidRDefault="00784FA9" w:rsidP="00784FA9">
      <w:pPr>
        <w:pStyle w:val="Heading5"/>
      </w:pPr>
      <w:r w:rsidRPr="00D604EE">
        <w:t>Natural forest – update to pre-1990 emissions calculations</w:t>
      </w:r>
    </w:p>
    <w:p w14:paraId="5F4A0BF6" w14:textId="77777777" w:rsidR="00784FA9" w:rsidRPr="00D604EE" w:rsidRDefault="00784FA9" w:rsidP="00784FA9">
      <w:pPr>
        <w:pStyle w:val="BodyText"/>
      </w:pPr>
      <w:r w:rsidRPr="00D604EE">
        <w:rPr>
          <w:rFonts w:cs="Arial Bold"/>
        </w:rPr>
        <w:t xml:space="preserve">Carbon stocks in tall pre-1990 natural forest have previously been reported as being in steady state because the annual net change is not statistically significant (Paul et al., 2021). New Zealand received a recommendation from the ERT (L.18, 2020) to review this position and to report the losses and associated uncertainty occurring in this forest class regardless of the statistical significance. Therefore, the pre-1990 natural forest carbon stock change per hectare estimate has been revised for the 2022 submission to report carbon stock changes occurring in the tall forest category. The rate of change in tall pre-1990 natural forest is </w:t>
      </w:r>
      <w:r w:rsidRPr="00D604EE">
        <w:rPr>
          <w:rFonts w:cs="Arial Bold"/>
        </w:rPr>
        <w:br/>
        <w:t>(</w:t>
      </w:r>
      <w:r w:rsidRPr="00D604EE">
        <w:rPr>
          <w:shd w:val="clear" w:color="auto" w:fill="FFFFFF"/>
        </w:rPr>
        <w:t>–0.01 ± 0.19 tonnes C ha</w:t>
      </w:r>
      <w:r w:rsidRPr="00D604EE">
        <w:rPr>
          <w:sz w:val="17"/>
          <w:szCs w:val="17"/>
          <w:shd w:val="clear" w:color="auto" w:fill="FFFFFF"/>
          <w:vertAlign w:val="superscript"/>
        </w:rPr>
        <w:t>–1</w:t>
      </w:r>
      <w:r w:rsidRPr="00D604EE">
        <w:rPr>
          <w:shd w:val="clear" w:color="auto" w:fill="FFFFFF"/>
        </w:rPr>
        <w:t> yr</w:t>
      </w:r>
      <w:r w:rsidRPr="00D604EE">
        <w:rPr>
          <w:sz w:val="17"/>
          <w:szCs w:val="17"/>
          <w:shd w:val="clear" w:color="auto" w:fill="FFFFFF"/>
          <w:vertAlign w:val="superscript"/>
        </w:rPr>
        <w:t>–1</w:t>
      </w:r>
      <w:r w:rsidRPr="00D604EE">
        <w:rPr>
          <w:rFonts w:cs="Arial Bold"/>
        </w:rPr>
        <w:t>). Because the area of the pre-1990 natural forest estate is large, this results in an increase in annual emissions of approximately 300 kt CO</w:t>
      </w:r>
      <w:r w:rsidRPr="00D604EE">
        <w:rPr>
          <w:rFonts w:cs="Arial Bold"/>
          <w:vertAlign w:val="subscript"/>
        </w:rPr>
        <w:t>2</w:t>
      </w:r>
      <w:r w:rsidRPr="00D604EE">
        <w:rPr>
          <w:rFonts w:cs="Arial Bold"/>
        </w:rPr>
        <w:t xml:space="preserve">-e across the time series. </w:t>
      </w:r>
    </w:p>
    <w:p w14:paraId="36B9C87D" w14:textId="77777777" w:rsidR="00784FA9" w:rsidRPr="00D604EE" w:rsidRDefault="00784FA9" w:rsidP="00784FA9">
      <w:pPr>
        <w:pStyle w:val="Heading3"/>
      </w:pPr>
      <w:bookmarkStart w:id="1699" w:name="_Toc255466368"/>
      <w:bookmarkStart w:id="1700" w:name="_Toc261513175"/>
      <w:bookmarkStart w:id="1701" w:name="_Toc261513788"/>
      <w:bookmarkStart w:id="1702" w:name="_Toc280630262"/>
      <w:bookmarkStart w:id="1703" w:name="_Toc373395716"/>
      <w:bookmarkStart w:id="1704" w:name="_Toc139253961"/>
      <w:bookmarkEnd w:id="1696"/>
      <w:bookmarkEnd w:id="1697"/>
      <w:bookmarkEnd w:id="1698"/>
      <w:r w:rsidRPr="00D604EE">
        <w:lastRenderedPageBreak/>
        <w:t>6.3.6</w:t>
      </w:r>
      <w:r w:rsidRPr="00D604EE">
        <w:tab/>
        <w:t>Category-specific planned improvements</w:t>
      </w:r>
      <w:bookmarkEnd w:id="1699"/>
      <w:bookmarkEnd w:id="1700"/>
      <w:bookmarkEnd w:id="1701"/>
      <w:bookmarkEnd w:id="1702"/>
      <w:bookmarkEnd w:id="1703"/>
      <w:bookmarkEnd w:id="1704"/>
    </w:p>
    <w:p w14:paraId="104D4160" w14:textId="77777777" w:rsidR="00784FA9" w:rsidRPr="00D604EE" w:rsidRDefault="00784FA9" w:rsidP="00784FA9">
      <w:pPr>
        <w:pStyle w:val="BodyText"/>
      </w:pPr>
      <w:r w:rsidRPr="00D604EE">
        <w:t xml:space="preserve">New Zealand will continue to measure the pre-1990 natural forest plot network on a 10-year cycle and analyse the data collected as they become available. An updated analysis is anticipated to be ready for the 2023 submission. The post-1989 natural forest plot network will be re-measured in 2023/24. </w:t>
      </w:r>
    </w:p>
    <w:p w14:paraId="7ED1AACE" w14:textId="77777777" w:rsidR="00784FA9" w:rsidRPr="00D604EE" w:rsidRDefault="00784FA9" w:rsidP="00784FA9">
      <w:pPr>
        <w:pStyle w:val="BodyText"/>
      </w:pPr>
      <w:r w:rsidRPr="00D604EE">
        <w:t>Mapping of forest areas will be improved through changes to the 2016 land use map and the addition of a 2020 land use map. Planned forest-specific mapping improvements include:</w:t>
      </w:r>
    </w:p>
    <w:p w14:paraId="4C92A41C" w14:textId="77777777" w:rsidR="00784FA9" w:rsidRPr="00784FA9" w:rsidRDefault="00784FA9" w:rsidP="00AB2A5C">
      <w:pPr>
        <w:pStyle w:val="Bullet"/>
        <w:numPr>
          <w:ilvl w:val="0"/>
          <w:numId w:val="19"/>
        </w:numPr>
        <w:ind w:left="397" w:hanging="397"/>
      </w:pPr>
      <w:r w:rsidRPr="00784FA9">
        <w:t>mapping of newly planted forests through data supplied from Government-funded forestry scheme mapping, including the NZ ETS, and identified in Sentinel-2 satellite imagery</w:t>
      </w:r>
    </w:p>
    <w:p w14:paraId="30AEA901" w14:textId="77777777" w:rsidR="00784FA9" w:rsidRPr="00784FA9" w:rsidRDefault="00784FA9" w:rsidP="00AB2A5C">
      <w:pPr>
        <w:pStyle w:val="Bullet"/>
        <w:numPr>
          <w:ilvl w:val="0"/>
          <w:numId w:val="19"/>
        </w:numPr>
        <w:ind w:left="397" w:hanging="397"/>
        <w:rPr>
          <w:rFonts w:eastAsia="Calibri"/>
        </w:rPr>
      </w:pPr>
      <w:r w:rsidRPr="00784FA9">
        <w:rPr>
          <w:rFonts w:eastAsia="Calibri"/>
        </w:rPr>
        <w:t xml:space="preserve">review of the consistency of image classification and mapping of all </w:t>
      </w:r>
      <w:r w:rsidRPr="00784FA9">
        <w:rPr>
          <w:rFonts w:eastAsia="Calibri"/>
          <w:i/>
        </w:rPr>
        <w:t>Forest land remaining forest land</w:t>
      </w:r>
      <w:r w:rsidRPr="00784FA9">
        <w:rPr>
          <w:rFonts w:eastAsia="Calibri"/>
        </w:rPr>
        <w:t xml:space="preserve"> that has not been subject to earlier land-use change, using deep learning techniques to identify mapping errors and areas of uncertainty </w:t>
      </w:r>
    </w:p>
    <w:p w14:paraId="3796553E" w14:textId="77777777" w:rsidR="00784FA9" w:rsidRPr="00784FA9" w:rsidRDefault="00784FA9" w:rsidP="00AB2A5C">
      <w:pPr>
        <w:pStyle w:val="Bullet"/>
        <w:numPr>
          <w:ilvl w:val="0"/>
          <w:numId w:val="19"/>
        </w:numPr>
        <w:ind w:left="397" w:hanging="397"/>
        <w:rPr>
          <w:rFonts w:eastAsia="Calibri"/>
        </w:rPr>
      </w:pPr>
      <w:r w:rsidRPr="00784FA9">
        <w:rPr>
          <w:rFonts w:eastAsia="Calibri"/>
        </w:rPr>
        <w:t>tracking of carbon equivalent forests within the land use maps.</w:t>
      </w:r>
    </w:p>
    <w:p w14:paraId="1D51091C" w14:textId="77777777" w:rsidR="00784FA9" w:rsidRPr="00D604EE" w:rsidRDefault="00784FA9" w:rsidP="00784FA9">
      <w:pPr>
        <w:pStyle w:val="BodyText"/>
      </w:pPr>
      <w:r w:rsidRPr="00D604EE">
        <w:t>The complete planted forest plot network (pre-1990 and post-1989) is being re</w:t>
      </w:r>
      <w:r w:rsidRPr="00D604EE">
        <w:noBreakHyphen/>
        <w:t>measured on a continuous basis (at five-year intervals). These data will be incorporated into the National Inventory Report as they become available. New Zealand will update the pre-1990 and post</w:t>
      </w:r>
      <w:r w:rsidRPr="00D604EE">
        <w:noBreakHyphen/>
        <w:t>1989 planted forest yield tables in the 2023 submission.</w:t>
      </w:r>
    </w:p>
    <w:p w14:paraId="48D74BFE" w14:textId="77777777" w:rsidR="00784FA9" w:rsidRPr="00D604EE" w:rsidRDefault="00784FA9" w:rsidP="00784FA9">
      <w:pPr>
        <w:pStyle w:val="BodyText"/>
      </w:pPr>
      <w:r w:rsidRPr="00D604EE">
        <w:t>QA/QC processes for checking and improving consistency between different data sets are planned for a future submission. Currently a number of inconsistencies require further investigation and remediation. These inconsistencies include:</w:t>
      </w:r>
    </w:p>
    <w:p w14:paraId="068B1A6E" w14:textId="77777777" w:rsidR="00784FA9" w:rsidRPr="00D604EE" w:rsidRDefault="00784FA9" w:rsidP="00AB2A5C">
      <w:pPr>
        <w:pStyle w:val="Bullet"/>
        <w:numPr>
          <w:ilvl w:val="0"/>
          <w:numId w:val="19"/>
        </w:numPr>
        <w:ind w:left="397" w:hanging="397"/>
      </w:pPr>
      <w:r w:rsidRPr="00D604EE">
        <w:t>the estimated annual volume removed from planted forests, based on the CRA model, is not entirely consistent with estimated annual roundwood volume statistics produced by MPI (Ministry for Primary Industries, 2021a) for part of the time series (1990 to 2012). Note that a comparison between the two data sources across the time series was carried out and is further described in annex A3.2.5 ‘Forest land model validations’</w:t>
      </w:r>
    </w:p>
    <w:p w14:paraId="2181A88F" w14:textId="77777777" w:rsidR="00784FA9" w:rsidRPr="00D604EE" w:rsidRDefault="00784FA9" w:rsidP="00AB2A5C">
      <w:pPr>
        <w:pStyle w:val="Bullet"/>
        <w:numPr>
          <w:ilvl w:val="0"/>
          <w:numId w:val="19"/>
        </w:numPr>
        <w:ind w:left="397" w:hanging="397"/>
      </w:pPr>
      <w:r w:rsidRPr="00D604EE">
        <w:t>the pre-1990 average carbon stock per hectare estimated from the CRA model is greater than the average carbon stock per hectare estimated from plots in the forest inventory (further described in annex A3.2.5 ‘Forest land model validations’)</w:t>
      </w:r>
    </w:p>
    <w:p w14:paraId="062C2B14" w14:textId="77777777" w:rsidR="00784FA9" w:rsidRPr="00D604EE" w:rsidRDefault="00784FA9" w:rsidP="00AB2A5C">
      <w:pPr>
        <w:pStyle w:val="Bullet"/>
        <w:numPr>
          <w:ilvl w:val="0"/>
          <w:numId w:val="19"/>
        </w:numPr>
        <w:ind w:left="397" w:hanging="397"/>
      </w:pPr>
      <w:r w:rsidRPr="00D604EE">
        <w:t>the pre-1990 planted forest yield tables have</w:t>
      </w:r>
      <w:r w:rsidRPr="00D604EE" w:rsidDel="00D403F0">
        <w:t xml:space="preserve"> </w:t>
      </w:r>
      <w:r w:rsidRPr="00D604EE">
        <w:t>higher carbon stock</w:t>
      </w:r>
      <w:r w:rsidRPr="00D604EE" w:rsidDel="002D37D1">
        <w:t xml:space="preserve"> </w:t>
      </w:r>
      <w:r w:rsidRPr="00D604EE">
        <w:t xml:space="preserve">per hectare estimates on average than plots </w:t>
      </w:r>
      <w:r w:rsidRPr="00D604EE" w:rsidDel="00643C0B">
        <w:t xml:space="preserve">measured </w:t>
      </w:r>
      <w:r w:rsidRPr="00D604EE">
        <w:t>in the planted forest inventory (further described in annex A3.2.5 ‘Forest land model validations’).</w:t>
      </w:r>
    </w:p>
    <w:p w14:paraId="677D496C" w14:textId="77777777" w:rsidR="00784FA9" w:rsidRPr="00D604EE" w:rsidRDefault="00784FA9" w:rsidP="00784FA9">
      <w:pPr>
        <w:pStyle w:val="Heading2"/>
      </w:pPr>
      <w:bookmarkStart w:id="1705" w:name="_Toc255466369"/>
      <w:bookmarkStart w:id="1706" w:name="_Toc261513176"/>
      <w:bookmarkStart w:id="1707" w:name="_Toc261513789"/>
      <w:bookmarkStart w:id="1708" w:name="_Toc280630263"/>
      <w:bookmarkStart w:id="1709" w:name="_Toc310423453"/>
      <w:bookmarkStart w:id="1710" w:name="_Toc342470719"/>
      <w:bookmarkStart w:id="1711" w:name="_Toc352504871"/>
      <w:bookmarkStart w:id="1712" w:name="_Toc391024701"/>
      <w:bookmarkStart w:id="1713" w:name="_Toc414531318"/>
      <w:bookmarkStart w:id="1714" w:name="_Toc474335460"/>
      <w:bookmarkStart w:id="1715" w:name="_Toc481751400"/>
      <w:bookmarkStart w:id="1716" w:name="_Toc522013952"/>
      <w:bookmarkStart w:id="1717" w:name="_Toc5269377"/>
      <w:bookmarkStart w:id="1718" w:name="_Toc36224417"/>
      <w:bookmarkStart w:id="1719" w:name="_Toc99659143"/>
      <w:r w:rsidRPr="00D604EE">
        <w:t>6.4</w:t>
      </w:r>
      <w:r w:rsidRPr="00D604EE">
        <w:tab/>
        <w:t>Cropland (CRF 4B)</w:t>
      </w:r>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p>
    <w:p w14:paraId="4C76A60D" w14:textId="77777777" w:rsidR="00784FA9" w:rsidRPr="00D604EE" w:rsidRDefault="00784FA9" w:rsidP="00784FA9">
      <w:pPr>
        <w:pStyle w:val="Heading3"/>
        <w:spacing w:before="240"/>
      </w:pPr>
      <w:bookmarkStart w:id="1720" w:name="_Toc139253963"/>
      <w:bookmarkStart w:id="1721" w:name="_Toc255466370"/>
      <w:bookmarkStart w:id="1722" w:name="_Toc261513177"/>
      <w:bookmarkStart w:id="1723" w:name="_Toc261513790"/>
      <w:bookmarkStart w:id="1724" w:name="_Toc280630264"/>
      <w:r w:rsidRPr="00D604EE">
        <w:t>6.4.1</w:t>
      </w:r>
      <w:r w:rsidRPr="00D604EE">
        <w:tab/>
        <w:t>Description</w:t>
      </w:r>
      <w:bookmarkEnd w:id="1720"/>
      <w:bookmarkEnd w:id="1721"/>
      <w:bookmarkEnd w:id="1722"/>
      <w:bookmarkEnd w:id="1723"/>
      <w:bookmarkEnd w:id="1724"/>
    </w:p>
    <w:p w14:paraId="7ECD1730" w14:textId="77777777" w:rsidR="00784FA9" w:rsidRPr="00D604EE" w:rsidRDefault="00784FA9" w:rsidP="00784FA9">
      <w:pPr>
        <w:pStyle w:val="BodyText"/>
      </w:pPr>
      <w:r w:rsidRPr="00D604EE">
        <w:rPr>
          <w:spacing w:val="-2"/>
        </w:rPr>
        <w:t xml:space="preserve">In 2020, the net emissions from </w:t>
      </w:r>
      <w:r w:rsidRPr="00D604EE">
        <w:rPr>
          <w:i/>
          <w:spacing w:val="-2"/>
        </w:rPr>
        <w:t>Cropland</w:t>
      </w:r>
      <w:r w:rsidRPr="00D604EE">
        <w:rPr>
          <w:spacing w:val="-2"/>
        </w:rPr>
        <w:t xml:space="preserve"> were </w:t>
      </w:r>
      <w:r w:rsidRPr="00D604EE">
        <w:rPr>
          <w:bCs/>
          <w:spacing w:val="-2"/>
        </w:rPr>
        <w:t xml:space="preserve">382.3 </w:t>
      </w:r>
      <w:r w:rsidRPr="00D604EE">
        <w:rPr>
          <w:spacing w:val="-2"/>
        </w:rPr>
        <w:t>kt CO</w:t>
      </w:r>
      <w:r w:rsidRPr="00D604EE">
        <w:rPr>
          <w:spacing w:val="-2"/>
          <w:vertAlign w:val="subscript"/>
        </w:rPr>
        <w:t>2</w:t>
      </w:r>
      <w:r w:rsidRPr="00D604EE">
        <w:rPr>
          <w:spacing w:val="-2"/>
        </w:rPr>
        <w:t>-e, comprising 375.6 kt </w:t>
      </w:r>
      <w:r w:rsidRPr="00D604EE">
        <w:t>CO</w:t>
      </w:r>
      <w:r w:rsidRPr="00D604EE">
        <w:rPr>
          <w:spacing w:val="-2"/>
          <w:vertAlign w:val="subscript"/>
        </w:rPr>
        <w:t>2</w:t>
      </w:r>
      <w:r w:rsidRPr="00D604EE">
        <w:t xml:space="preserve"> from carbon stock change and 0.02 kt N</w:t>
      </w:r>
      <w:r w:rsidRPr="00D604EE">
        <w:rPr>
          <w:vertAlign w:val="subscript"/>
        </w:rPr>
        <w:t>2</w:t>
      </w:r>
      <w:r w:rsidRPr="00D604EE">
        <w:t>O (6.8 kt CO</w:t>
      </w:r>
      <w:r w:rsidRPr="00D604EE">
        <w:rPr>
          <w:vertAlign w:val="subscript"/>
        </w:rPr>
        <w:t>2</w:t>
      </w:r>
      <w:r w:rsidRPr="00D604EE">
        <w:t xml:space="preserve">-e) from the nitrogen mineralisation on </w:t>
      </w:r>
      <w:r w:rsidRPr="00D604EE">
        <w:rPr>
          <w:i/>
        </w:rPr>
        <w:t>Land converted to cropland</w:t>
      </w:r>
      <w:r w:rsidRPr="00D604EE">
        <w:t xml:space="preserve">. Net emissions from </w:t>
      </w:r>
      <w:r w:rsidRPr="00D604EE">
        <w:rPr>
          <w:i/>
        </w:rPr>
        <w:t>Cropland</w:t>
      </w:r>
      <w:r w:rsidRPr="00D604EE">
        <w:t xml:space="preserve"> have decreased by 93.9 kt CO</w:t>
      </w:r>
      <w:r w:rsidRPr="00D604EE">
        <w:rPr>
          <w:vertAlign w:val="subscript"/>
        </w:rPr>
        <w:t>2</w:t>
      </w:r>
      <w:r w:rsidRPr="00D604EE">
        <w:t xml:space="preserve">-e (19.7 per cent) from the 1990 level when net emissions were </w:t>
      </w:r>
      <w:r w:rsidRPr="00D604EE">
        <w:rPr>
          <w:bCs/>
        </w:rPr>
        <w:t xml:space="preserve">476.2 </w:t>
      </w:r>
      <w:r w:rsidRPr="00D604EE">
        <w:t>kt CO</w:t>
      </w:r>
      <w:r w:rsidRPr="00D604EE">
        <w:rPr>
          <w:vertAlign w:val="subscript"/>
        </w:rPr>
        <w:t>2</w:t>
      </w:r>
      <w:r w:rsidRPr="00D604EE">
        <w:t xml:space="preserve">-e (see table 6.4.1). </w:t>
      </w:r>
    </w:p>
    <w:p w14:paraId="1CFF7DCE" w14:textId="77777777" w:rsidR="00784FA9" w:rsidRPr="00D604EE" w:rsidRDefault="00784FA9" w:rsidP="00784FA9">
      <w:pPr>
        <w:pStyle w:val="Table"/>
      </w:pPr>
      <w:bookmarkStart w:id="1725" w:name="_Toc280630461"/>
      <w:bookmarkStart w:id="1726" w:name="_Toc310423414"/>
      <w:bookmarkStart w:id="1727" w:name="_Toc318362707"/>
      <w:bookmarkStart w:id="1728" w:name="_Toc342470769"/>
      <w:bookmarkStart w:id="1729" w:name="_Toc352505009"/>
      <w:bookmarkStart w:id="1730" w:name="_Toc378853300"/>
      <w:bookmarkStart w:id="1731" w:name="_Toc391024098"/>
      <w:bookmarkStart w:id="1732" w:name="_Toc410028841"/>
      <w:bookmarkStart w:id="1733" w:name="_Toc414531469"/>
      <w:bookmarkStart w:id="1734" w:name="_Toc443645382"/>
      <w:bookmarkStart w:id="1735" w:name="_Toc474914601"/>
      <w:bookmarkStart w:id="1736" w:name="_Toc481751565"/>
      <w:bookmarkStart w:id="1737" w:name="_Toc522010622"/>
      <w:bookmarkStart w:id="1738" w:name="_Toc5269527"/>
      <w:bookmarkStart w:id="1739" w:name="_Toc33529401"/>
      <w:bookmarkStart w:id="1740" w:name="_Toc36224607"/>
      <w:bookmarkStart w:id="1741" w:name="_Toc65243604"/>
      <w:bookmarkStart w:id="1742" w:name="_Toc99659290"/>
      <w:r w:rsidRPr="00D604EE">
        <w:lastRenderedPageBreak/>
        <w:t>Table 6.4.1</w:t>
      </w:r>
      <w:r w:rsidRPr="00D604EE">
        <w:tab/>
        <w:t xml:space="preserve">New Zealand’s land-use change by </w:t>
      </w:r>
      <w:r w:rsidRPr="00D604EE">
        <w:rPr>
          <w:i/>
        </w:rPr>
        <w:t>Cropland</w:t>
      </w:r>
      <w:r w:rsidRPr="00D604EE">
        <w:t xml:space="preserve"> category, and associated </w:t>
      </w:r>
      <w:r w:rsidRPr="00D604EE">
        <w:br/>
        <w:t>CO</w:t>
      </w:r>
      <w:r w:rsidRPr="00D604EE">
        <w:rPr>
          <w:vertAlign w:val="subscript"/>
        </w:rPr>
        <w:t>2</w:t>
      </w:r>
      <w:r w:rsidRPr="00D604EE">
        <w:t>-e emissions</w:t>
      </w:r>
      <w:bookmarkEnd w:id="1725"/>
      <w:bookmarkEnd w:id="1726"/>
      <w:bookmarkEnd w:id="1727"/>
      <w:bookmarkEnd w:id="1728"/>
      <w:bookmarkEnd w:id="1729"/>
      <w:bookmarkEnd w:id="1730"/>
      <w:r w:rsidRPr="00D604EE">
        <w:t xml:space="preserve">, 1990 </w:t>
      </w:r>
      <w:bookmarkEnd w:id="1731"/>
      <w:r w:rsidRPr="00D604EE">
        <w:t xml:space="preserve">and </w:t>
      </w:r>
      <w:bookmarkEnd w:id="1732"/>
      <w:bookmarkEnd w:id="1733"/>
      <w:bookmarkEnd w:id="1734"/>
      <w:bookmarkEnd w:id="1735"/>
      <w:bookmarkEnd w:id="1736"/>
      <w:bookmarkEnd w:id="1737"/>
      <w:bookmarkEnd w:id="1738"/>
      <w:bookmarkEnd w:id="1739"/>
      <w:bookmarkEnd w:id="1740"/>
      <w:bookmarkEnd w:id="1741"/>
      <w:r w:rsidRPr="00D604EE">
        <w:t>2020</w:t>
      </w:r>
      <w:bookmarkEnd w:id="1742"/>
    </w:p>
    <w:tbl>
      <w:tblPr>
        <w:tblW w:w="8505" w:type="dxa"/>
        <w:tblInd w:w="108" w:type="dxa"/>
        <w:tblLayout w:type="fixed"/>
        <w:tblLook w:val="04A0" w:firstRow="1" w:lastRow="0" w:firstColumn="1" w:lastColumn="0" w:noHBand="0" w:noVBand="1"/>
      </w:tblPr>
      <w:tblGrid>
        <w:gridCol w:w="2797"/>
        <w:gridCol w:w="1359"/>
        <w:gridCol w:w="1207"/>
        <w:gridCol w:w="905"/>
        <w:gridCol w:w="904"/>
        <w:gridCol w:w="1333"/>
      </w:tblGrid>
      <w:tr w:rsidR="00784FA9" w:rsidRPr="00D604EE" w14:paraId="7A9AA895" w14:textId="77777777" w:rsidTr="007E3239">
        <w:tc>
          <w:tcPr>
            <w:tcW w:w="2797" w:type="dxa"/>
            <w:vMerge w:val="restart"/>
            <w:tcBorders>
              <w:top w:val="single" w:sz="4" w:space="0" w:color="1B556B"/>
            </w:tcBorders>
            <w:shd w:val="clear" w:color="auto" w:fill="1B556B"/>
            <w:vAlign w:val="bottom"/>
          </w:tcPr>
          <w:p w14:paraId="108A1AEF" w14:textId="77777777" w:rsidR="00784FA9" w:rsidRPr="00D604EE" w:rsidRDefault="00784FA9" w:rsidP="007E3239">
            <w:pPr>
              <w:pStyle w:val="TableTextBold"/>
              <w:keepNext/>
              <w:spacing w:before="40" w:after="40"/>
              <w:rPr>
                <w:noProof w:val="0"/>
                <w:color w:val="FFFFFF"/>
                <w:szCs w:val="16"/>
              </w:rPr>
            </w:pPr>
            <w:r w:rsidRPr="00D604EE">
              <w:rPr>
                <w:noProof w:val="0"/>
                <w:color w:val="FFFFFF"/>
                <w:szCs w:val="16"/>
              </w:rPr>
              <w:t>Cropland land use category</w:t>
            </w:r>
          </w:p>
        </w:tc>
        <w:tc>
          <w:tcPr>
            <w:tcW w:w="1359" w:type="dxa"/>
            <w:vMerge w:val="restart"/>
            <w:tcBorders>
              <w:top w:val="single" w:sz="4" w:space="0" w:color="1B556B"/>
            </w:tcBorders>
            <w:shd w:val="clear" w:color="auto" w:fill="1B556B"/>
            <w:vAlign w:val="bottom"/>
          </w:tcPr>
          <w:p w14:paraId="1D380729" w14:textId="77777777"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Net area as at 1990 (ha)</w:t>
            </w:r>
          </w:p>
        </w:tc>
        <w:tc>
          <w:tcPr>
            <w:tcW w:w="1207" w:type="dxa"/>
            <w:vMerge w:val="restart"/>
            <w:tcBorders>
              <w:top w:val="single" w:sz="4" w:space="0" w:color="1B556B"/>
            </w:tcBorders>
            <w:shd w:val="clear" w:color="auto" w:fill="1B556B"/>
            <w:vAlign w:val="bottom"/>
          </w:tcPr>
          <w:p w14:paraId="09777C8D" w14:textId="77777777"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Net area as at 2020 (ha)</w:t>
            </w:r>
          </w:p>
        </w:tc>
        <w:tc>
          <w:tcPr>
            <w:tcW w:w="1809" w:type="dxa"/>
            <w:gridSpan w:val="2"/>
            <w:tcBorders>
              <w:top w:val="single" w:sz="4" w:space="0" w:color="1B556B"/>
            </w:tcBorders>
            <w:shd w:val="clear" w:color="auto" w:fill="1B556B"/>
            <w:vAlign w:val="bottom"/>
          </w:tcPr>
          <w:p w14:paraId="47F1D9BB" w14:textId="77777777"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 xml:space="preserve">Net emissions </w:t>
            </w:r>
            <w:r w:rsidRPr="00D604EE">
              <w:rPr>
                <w:noProof w:val="0"/>
                <w:color w:val="FFFFFF"/>
                <w:szCs w:val="16"/>
              </w:rPr>
              <w:br/>
              <w:t>(kt CO</w:t>
            </w:r>
            <w:r w:rsidRPr="00D604EE">
              <w:rPr>
                <w:noProof w:val="0"/>
                <w:color w:val="FFFFFF"/>
                <w:szCs w:val="16"/>
                <w:vertAlign w:val="subscript"/>
              </w:rPr>
              <w:t>2</w:t>
            </w:r>
            <w:r w:rsidRPr="00D604EE">
              <w:rPr>
                <w:noProof w:val="0"/>
                <w:color w:val="FFFFFF"/>
                <w:szCs w:val="16"/>
              </w:rPr>
              <w:t>-e)</w:t>
            </w:r>
          </w:p>
        </w:tc>
        <w:tc>
          <w:tcPr>
            <w:tcW w:w="1333" w:type="dxa"/>
            <w:vMerge w:val="restart"/>
            <w:tcBorders>
              <w:top w:val="single" w:sz="4" w:space="0" w:color="1B556B"/>
            </w:tcBorders>
            <w:shd w:val="clear" w:color="auto" w:fill="1B556B"/>
            <w:vAlign w:val="bottom"/>
          </w:tcPr>
          <w:p w14:paraId="243AB0BA" w14:textId="77777777"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Change from 1990 (%)</w:t>
            </w:r>
          </w:p>
        </w:tc>
      </w:tr>
      <w:tr w:rsidR="00784FA9" w:rsidRPr="00D604EE" w14:paraId="2C005912" w14:textId="77777777" w:rsidTr="007E3239">
        <w:tc>
          <w:tcPr>
            <w:tcW w:w="2797" w:type="dxa"/>
            <w:vMerge/>
            <w:tcBorders>
              <w:bottom w:val="single" w:sz="4" w:space="0" w:color="1B556B"/>
            </w:tcBorders>
            <w:shd w:val="clear" w:color="auto" w:fill="1B556B"/>
          </w:tcPr>
          <w:p w14:paraId="1A42543E" w14:textId="77777777" w:rsidR="00784FA9" w:rsidRPr="00D604EE" w:rsidRDefault="00784FA9" w:rsidP="007E3239">
            <w:pPr>
              <w:pStyle w:val="TableTextBold"/>
              <w:keepNext/>
              <w:spacing w:before="40" w:after="40"/>
              <w:rPr>
                <w:noProof w:val="0"/>
                <w:color w:val="FFFFFF"/>
                <w:szCs w:val="16"/>
              </w:rPr>
            </w:pPr>
          </w:p>
        </w:tc>
        <w:tc>
          <w:tcPr>
            <w:tcW w:w="1359" w:type="dxa"/>
            <w:vMerge/>
            <w:tcBorders>
              <w:bottom w:val="single" w:sz="4" w:space="0" w:color="1B556B"/>
            </w:tcBorders>
            <w:shd w:val="clear" w:color="auto" w:fill="1B556B"/>
          </w:tcPr>
          <w:p w14:paraId="7DA68897" w14:textId="77777777" w:rsidR="00784FA9" w:rsidRPr="00D604EE" w:rsidRDefault="00784FA9" w:rsidP="007E3239">
            <w:pPr>
              <w:pStyle w:val="TableTextBold"/>
              <w:spacing w:before="40" w:after="40"/>
              <w:rPr>
                <w:noProof w:val="0"/>
                <w:color w:val="FFFFFF"/>
                <w:szCs w:val="16"/>
              </w:rPr>
            </w:pPr>
          </w:p>
        </w:tc>
        <w:tc>
          <w:tcPr>
            <w:tcW w:w="1207" w:type="dxa"/>
            <w:vMerge/>
            <w:tcBorders>
              <w:bottom w:val="single" w:sz="4" w:space="0" w:color="1B556B"/>
            </w:tcBorders>
            <w:shd w:val="clear" w:color="auto" w:fill="1B556B"/>
          </w:tcPr>
          <w:p w14:paraId="78D3004A" w14:textId="77777777" w:rsidR="00784FA9" w:rsidRPr="00D604EE" w:rsidRDefault="00784FA9" w:rsidP="007E3239">
            <w:pPr>
              <w:pStyle w:val="TableTextBold"/>
              <w:spacing w:before="40" w:after="40"/>
              <w:rPr>
                <w:noProof w:val="0"/>
                <w:color w:val="FFFFFF"/>
                <w:szCs w:val="16"/>
              </w:rPr>
            </w:pPr>
          </w:p>
        </w:tc>
        <w:tc>
          <w:tcPr>
            <w:tcW w:w="905" w:type="dxa"/>
            <w:tcBorders>
              <w:bottom w:val="single" w:sz="4" w:space="0" w:color="1B556B"/>
            </w:tcBorders>
            <w:shd w:val="clear" w:color="auto" w:fill="1B556B"/>
          </w:tcPr>
          <w:p w14:paraId="51BF0567" w14:textId="77777777"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1990</w:t>
            </w:r>
          </w:p>
        </w:tc>
        <w:tc>
          <w:tcPr>
            <w:tcW w:w="904" w:type="dxa"/>
            <w:tcBorders>
              <w:bottom w:val="single" w:sz="4" w:space="0" w:color="1B556B"/>
            </w:tcBorders>
            <w:shd w:val="clear" w:color="auto" w:fill="1B556B"/>
          </w:tcPr>
          <w:p w14:paraId="283F1743" w14:textId="77777777"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2020</w:t>
            </w:r>
          </w:p>
        </w:tc>
        <w:tc>
          <w:tcPr>
            <w:tcW w:w="1333" w:type="dxa"/>
            <w:vMerge/>
            <w:tcBorders>
              <w:bottom w:val="single" w:sz="4" w:space="0" w:color="1B556B"/>
            </w:tcBorders>
            <w:shd w:val="clear" w:color="auto" w:fill="1B556B"/>
          </w:tcPr>
          <w:p w14:paraId="176C2CD3" w14:textId="77777777" w:rsidR="00784FA9" w:rsidRPr="00D604EE" w:rsidRDefault="00784FA9" w:rsidP="007E3239">
            <w:pPr>
              <w:pStyle w:val="TableTextBold"/>
              <w:spacing w:before="40" w:after="40"/>
              <w:rPr>
                <w:noProof w:val="0"/>
                <w:color w:val="FFFFFF"/>
                <w:szCs w:val="16"/>
              </w:rPr>
            </w:pPr>
          </w:p>
        </w:tc>
      </w:tr>
      <w:tr w:rsidR="00784FA9" w:rsidRPr="00D604EE" w14:paraId="3D1C044B" w14:textId="77777777" w:rsidTr="007E3239">
        <w:tc>
          <w:tcPr>
            <w:tcW w:w="2797" w:type="dxa"/>
            <w:tcBorders>
              <w:top w:val="single" w:sz="4" w:space="0" w:color="1B556B"/>
              <w:bottom w:val="single" w:sz="4" w:space="0" w:color="1B556B"/>
            </w:tcBorders>
          </w:tcPr>
          <w:p w14:paraId="2465C6C8" w14:textId="77777777" w:rsidR="00784FA9" w:rsidRPr="00D604EE" w:rsidRDefault="00784FA9" w:rsidP="007E3239">
            <w:pPr>
              <w:pStyle w:val="TableText"/>
              <w:keepNext/>
              <w:spacing w:before="40" w:after="40"/>
              <w:rPr>
                <w:szCs w:val="16"/>
              </w:rPr>
            </w:pPr>
            <w:r w:rsidRPr="00D604EE">
              <w:rPr>
                <w:szCs w:val="16"/>
              </w:rPr>
              <w:t>Cropland remaining cropland</w:t>
            </w:r>
          </w:p>
        </w:tc>
        <w:tc>
          <w:tcPr>
            <w:tcW w:w="1359" w:type="dxa"/>
            <w:tcBorders>
              <w:top w:val="single" w:sz="4" w:space="0" w:color="1B556B"/>
              <w:bottom w:val="single" w:sz="4" w:space="0" w:color="1B556B"/>
            </w:tcBorders>
          </w:tcPr>
          <w:p w14:paraId="6F87A5D1" w14:textId="77777777" w:rsidR="00784FA9" w:rsidRPr="00D604EE" w:rsidRDefault="00784FA9" w:rsidP="007E3239">
            <w:pPr>
              <w:pStyle w:val="TableText"/>
              <w:spacing w:before="40" w:after="40"/>
              <w:jc w:val="center"/>
              <w:rPr>
                <w:szCs w:val="16"/>
              </w:rPr>
            </w:pPr>
            <w:r w:rsidRPr="00D604EE">
              <w:t>395,784</w:t>
            </w:r>
          </w:p>
        </w:tc>
        <w:tc>
          <w:tcPr>
            <w:tcW w:w="1207" w:type="dxa"/>
            <w:tcBorders>
              <w:top w:val="single" w:sz="4" w:space="0" w:color="1B556B"/>
              <w:bottom w:val="single" w:sz="4" w:space="0" w:color="1B556B"/>
            </w:tcBorders>
          </w:tcPr>
          <w:p w14:paraId="41F147D9" w14:textId="77777777" w:rsidR="00784FA9" w:rsidRPr="00D604EE" w:rsidRDefault="00784FA9" w:rsidP="007E3239">
            <w:pPr>
              <w:pStyle w:val="TableText"/>
              <w:spacing w:before="40" w:after="40"/>
              <w:jc w:val="center"/>
              <w:rPr>
                <w:szCs w:val="16"/>
              </w:rPr>
            </w:pPr>
            <w:r w:rsidRPr="00D604EE">
              <w:t>448,612</w:t>
            </w:r>
          </w:p>
        </w:tc>
        <w:tc>
          <w:tcPr>
            <w:tcW w:w="905" w:type="dxa"/>
            <w:tcBorders>
              <w:top w:val="single" w:sz="4" w:space="0" w:color="1B556B"/>
              <w:bottom w:val="single" w:sz="4" w:space="0" w:color="1B556B"/>
            </w:tcBorders>
          </w:tcPr>
          <w:p w14:paraId="605E32A9" w14:textId="77777777" w:rsidR="00784FA9" w:rsidRPr="00D604EE" w:rsidRDefault="00784FA9" w:rsidP="007E3239">
            <w:pPr>
              <w:pStyle w:val="TableText"/>
              <w:spacing w:before="40" w:after="40"/>
              <w:jc w:val="center"/>
              <w:rPr>
                <w:szCs w:val="16"/>
              </w:rPr>
            </w:pPr>
            <w:r w:rsidRPr="00D604EE">
              <w:t xml:space="preserve">351.1 </w:t>
            </w:r>
          </w:p>
        </w:tc>
        <w:tc>
          <w:tcPr>
            <w:tcW w:w="904" w:type="dxa"/>
            <w:tcBorders>
              <w:top w:val="single" w:sz="4" w:space="0" w:color="1B556B"/>
              <w:bottom w:val="single" w:sz="4" w:space="0" w:color="1B556B"/>
            </w:tcBorders>
          </w:tcPr>
          <w:p w14:paraId="18CA6DA4" w14:textId="77777777" w:rsidR="00784FA9" w:rsidRPr="00D604EE" w:rsidRDefault="00784FA9" w:rsidP="007E3239">
            <w:pPr>
              <w:pStyle w:val="TableText"/>
              <w:spacing w:before="40" w:after="40"/>
              <w:jc w:val="center"/>
              <w:rPr>
                <w:szCs w:val="16"/>
              </w:rPr>
            </w:pPr>
            <w:r w:rsidRPr="00D604EE">
              <w:t xml:space="preserve">318.2 </w:t>
            </w:r>
          </w:p>
        </w:tc>
        <w:tc>
          <w:tcPr>
            <w:tcW w:w="1333" w:type="dxa"/>
            <w:tcBorders>
              <w:top w:val="single" w:sz="4" w:space="0" w:color="1B556B"/>
              <w:bottom w:val="single" w:sz="4" w:space="0" w:color="1B556B"/>
            </w:tcBorders>
          </w:tcPr>
          <w:p w14:paraId="28DCE3CD" w14:textId="77777777" w:rsidR="00784FA9" w:rsidRPr="00D604EE" w:rsidRDefault="00784FA9" w:rsidP="007E3239">
            <w:pPr>
              <w:pStyle w:val="TableText"/>
              <w:spacing w:before="40" w:after="40"/>
              <w:jc w:val="center"/>
              <w:rPr>
                <w:szCs w:val="16"/>
              </w:rPr>
            </w:pPr>
            <w:r w:rsidRPr="00D604EE">
              <w:t>–9.4</w:t>
            </w:r>
          </w:p>
        </w:tc>
      </w:tr>
      <w:tr w:rsidR="00784FA9" w:rsidRPr="00D604EE" w14:paraId="40D0E1A4" w14:textId="77777777" w:rsidTr="007E3239">
        <w:tc>
          <w:tcPr>
            <w:tcW w:w="2797" w:type="dxa"/>
            <w:tcBorders>
              <w:top w:val="single" w:sz="4" w:space="0" w:color="1B556B"/>
              <w:bottom w:val="single" w:sz="4" w:space="0" w:color="1B556B"/>
            </w:tcBorders>
          </w:tcPr>
          <w:p w14:paraId="76DD7C65" w14:textId="77777777" w:rsidR="00784FA9" w:rsidRPr="00D604EE" w:rsidRDefault="00784FA9" w:rsidP="007E3239">
            <w:pPr>
              <w:pStyle w:val="TableText"/>
              <w:keepNext/>
              <w:spacing w:before="40" w:after="40"/>
              <w:rPr>
                <w:szCs w:val="16"/>
              </w:rPr>
            </w:pPr>
            <w:r w:rsidRPr="00D604EE">
              <w:rPr>
                <w:szCs w:val="16"/>
              </w:rPr>
              <w:t>Land converted to cropland</w:t>
            </w:r>
          </w:p>
        </w:tc>
        <w:tc>
          <w:tcPr>
            <w:tcW w:w="1359" w:type="dxa"/>
            <w:tcBorders>
              <w:top w:val="single" w:sz="4" w:space="0" w:color="1B556B"/>
              <w:bottom w:val="single" w:sz="4" w:space="0" w:color="1B556B"/>
            </w:tcBorders>
          </w:tcPr>
          <w:p w14:paraId="29FA3603" w14:textId="77777777" w:rsidR="00784FA9" w:rsidRPr="00D604EE" w:rsidRDefault="00784FA9" w:rsidP="007E3239">
            <w:pPr>
              <w:pStyle w:val="TableText"/>
              <w:spacing w:before="40" w:after="40"/>
              <w:jc w:val="center"/>
              <w:rPr>
                <w:szCs w:val="16"/>
              </w:rPr>
            </w:pPr>
            <w:r w:rsidRPr="00D604EE">
              <w:t>28,146</w:t>
            </w:r>
          </w:p>
        </w:tc>
        <w:tc>
          <w:tcPr>
            <w:tcW w:w="1207" w:type="dxa"/>
            <w:tcBorders>
              <w:top w:val="single" w:sz="4" w:space="0" w:color="1B556B"/>
              <w:bottom w:val="single" w:sz="4" w:space="0" w:color="1B556B"/>
            </w:tcBorders>
          </w:tcPr>
          <w:p w14:paraId="7EF6ECB9" w14:textId="77777777" w:rsidR="00784FA9" w:rsidRPr="00D604EE" w:rsidRDefault="00784FA9" w:rsidP="007E3239">
            <w:pPr>
              <w:pStyle w:val="TableText"/>
              <w:spacing w:before="40" w:after="40"/>
              <w:jc w:val="center"/>
              <w:rPr>
                <w:szCs w:val="16"/>
              </w:rPr>
            </w:pPr>
            <w:r w:rsidRPr="00D604EE">
              <w:t>27,811</w:t>
            </w:r>
          </w:p>
        </w:tc>
        <w:tc>
          <w:tcPr>
            <w:tcW w:w="905" w:type="dxa"/>
            <w:tcBorders>
              <w:top w:val="single" w:sz="4" w:space="0" w:color="1B556B"/>
              <w:bottom w:val="single" w:sz="4" w:space="0" w:color="1B556B"/>
            </w:tcBorders>
          </w:tcPr>
          <w:p w14:paraId="61E47B07" w14:textId="77777777" w:rsidR="00784FA9" w:rsidRPr="00D604EE" w:rsidRDefault="00784FA9" w:rsidP="007E3239">
            <w:pPr>
              <w:pStyle w:val="TableText"/>
              <w:spacing w:before="40" w:after="40"/>
              <w:jc w:val="center"/>
              <w:rPr>
                <w:szCs w:val="16"/>
              </w:rPr>
            </w:pPr>
            <w:r w:rsidRPr="00D604EE">
              <w:t xml:space="preserve">125.0 </w:t>
            </w:r>
          </w:p>
        </w:tc>
        <w:tc>
          <w:tcPr>
            <w:tcW w:w="904" w:type="dxa"/>
            <w:tcBorders>
              <w:top w:val="single" w:sz="4" w:space="0" w:color="1B556B"/>
              <w:bottom w:val="single" w:sz="4" w:space="0" w:color="1B556B"/>
            </w:tcBorders>
          </w:tcPr>
          <w:p w14:paraId="1550A545" w14:textId="77777777" w:rsidR="00784FA9" w:rsidRPr="00D604EE" w:rsidRDefault="00784FA9" w:rsidP="007E3239">
            <w:pPr>
              <w:pStyle w:val="TableText"/>
              <w:spacing w:before="40" w:after="40"/>
              <w:jc w:val="center"/>
              <w:rPr>
                <w:szCs w:val="16"/>
              </w:rPr>
            </w:pPr>
            <w:r w:rsidRPr="00D604EE">
              <w:t xml:space="preserve">64.1 </w:t>
            </w:r>
          </w:p>
        </w:tc>
        <w:tc>
          <w:tcPr>
            <w:tcW w:w="1333" w:type="dxa"/>
            <w:tcBorders>
              <w:top w:val="single" w:sz="4" w:space="0" w:color="1B556B"/>
              <w:bottom w:val="single" w:sz="4" w:space="0" w:color="1B556B"/>
            </w:tcBorders>
          </w:tcPr>
          <w:p w14:paraId="51E106DB" w14:textId="77777777" w:rsidR="00784FA9" w:rsidRPr="00D604EE" w:rsidRDefault="00784FA9" w:rsidP="007E3239">
            <w:pPr>
              <w:pStyle w:val="TableText"/>
              <w:spacing w:before="40" w:after="40"/>
              <w:jc w:val="center"/>
              <w:rPr>
                <w:szCs w:val="16"/>
              </w:rPr>
            </w:pPr>
            <w:r w:rsidRPr="00D604EE">
              <w:t>–48.7</w:t>
            </w:r>
          </w:p>
        </w:tc>
      </w:tr>
      <w:tr w:rsidR="00784FA9" w:rsidRPr="00D604EE" w14:paraId="6E7D6AB8" w14:textId="77777777" w:rsidTr="007E3239">
        <w:tc>
          <w:tcPr>
            <w:tcW w:w="2797" w:type="dxa"/>
            <w:tcBorders>
              <w:top w:val="single" w:sz="4" w:space="0" w:color="1B556B"/>
              <w:bottom w:val="single" w:sz="4" w:space="0" w:color="1B556B"/>
            </w:tcBorders>
          </w:tcPr>
          <w:p w14:paraId="286D2181" w14:textId="77777777" w:rsidR="00784FA9" w:rsidRPr="00D604EE" w:rsidRDefault="00784FA9" w:rsidP="007E3239">
            <w:pPr>
              <w:pStyle w:val="Tableboldblue"/>
              <w:spacing w:before="40" w:after="40"/>
              <w:jc w:val="right"/>
            </w:pPr>
            <w:r w:rsidRPr="00D604EE">
              <w:t>Total</w:t>
            </w:r>
          </w:p>
        </w:tc>
        <w:tc>
          <w:tcPr>
            <w:tcW w:w="1359" w:type="dxa"/>
            <w:tcBorders>
              <w:top w:val="single" w:sz="4" w:space="0" w:color="1B556B"/>
              <w:bottom w:val="single" w:sz="4" w:space="0" w:color="1B556B"/>
            </w:tcBorders>
          </w:tcPr>
          <w:p w14:paraId="7DAB0BEE" w14:textId="77777777" w:rsidR="00784FA9" w:rsidRPr="00D604EE" w:rsidRDefault="00784FA9" w:rsidP="007E3239">
            <w:pPr>
              <w:pStyle w:val="Tableboldblue"/>
              <w:spacing w:before="40" w:after="40"/>
              <w:jc w:val="center"/>
            </w:pPr>
            <w:r w:rsidRPr="00D604EE">
              <w:t>423,930</w:t>
            </w:r>
          </w:p>
        </w:tc>
        <w:tc>
          <w:tcPr>
            <w:tcW w:w="1207" w:type="dxa"/>
            <w:tcBorders>
              <w:top w:val="single" w:sz="4" w:space="0" w:color="1B556B"/>
              <w:bottom w:val="single" w:sz="4" w:space="0" w:color="1B556B"/>
            </w:tcBorders>
          </w:tcPr>
          <w:p w14:paraId="25F5A0E6" w14:textId="77777777" w:rsidR="00784FA9" w:rsidRPr="00D604EE" w:rsidRDefault="00784FA9" w:rsidP="007E3239">
            <w:pPr>
              <w:pStyle w:val="Tableboldblue"/>
              <w:spacing w:before="40" w:after="40"/>
              <w:jc w:val="center"/>
            </w:pPr>
            <w:r w:rsidRPr="00D604EE">
              <w:t>476,422</w:t>
            </w:r>
          </w:p>
        </w:tc>
        <w:tc>
          <w:tcPr>
            <w:tcW w:w="905" w:type="dxa"/>
            <w:tcBorders>
              <w:top w:val="single" w:sz="4" w:space="0" w:color="1B556B"/>
              <w:bottom w:val="single" w:sz="4" w:space="0" w:color="1B556B"/>
            </w:tcBorders>
          </w:tcPr>
          <w:p w14:paraId="5B2A5FB6" w14:textId="77777777" w:rsidR="00784FA9" w:rsidRPr="00D604EE" w:rsidRDefault="00784FA9" w:rsidP="007E3239">
            <w:pPr>
              <w:pStyle w:val="Tableboldblue"/>
              <w:spacing w:before="40" w:after="40"/>
              <w:jc w:val="center"/>
            </w:pPr>
            <w:r w:rsidRPr="00D604EE">
              <w:t>476.2</w:t>
            </w:r>
          </w:p>
        </w:tc>
        <w:tc>
          <w:tcPr>
            <w:tcW w:w="904" w:type="dxa"/>
            <w:tcBorders>
              <w:top w:val="single" w:sz="4" w:space="0" w:color="1B556B"/>
              <w:bottom w:val="single" w:sz="4" w:space="0" w:color="1B556B"/>
            </w:tcBorders>
          </w:tcPr>
          <w:p w14:paraId="03A69FE3" w14:textId="77777777" w:rsidR="00784FA9" w:rsidRPr="00D604EE" w:rsidRDefault="00784FA9" w:rsidP="007E3239">
            <w:pPr>
              <w:pStyle w:val="Tableboldblue"/>
              <w:spacing w:before="40" w:after="40"/>
              <w:jc w:val="center"/>
            </w:pPr>
            <w:r w:rsidRPr="00D604EE">
              <w:t>382.3</w:t>
            </w:r>
          </w:p>
        </w:tc>
        <w:tc>
          <w:tcPr>
            <w:tcW w:w="1333" w:type="dxa"/>
            <w:tcBorders>
              <w:top w:val="single" w:sz="4" w:space="0" w:color="1B556B"/>
              <w:bottom w:val="single" w:sz="4" w:space="0" w:color="1B556B"/>
            </w:tcBorders>
          </w:tcPr>
          <w:p w14:paraId="2A5087FB" w14:textId="77777777" w:rsidR="00784FA9" w:rsidRPr="00D604EE" w:rsidRDefault="00784FA9" w:rsidP="007E3239">
            <w:pPr>
              <w:pStyle w:val="Tableboldblue"/>
              <w:spacing w:before="40" w:after="40"/>
              <w:jc w:val="center"/>
            </w:pPr>
            <w:r w:rsidRPr="00D604EE">
              <w:t>–19.7</w:t>
            </w:r>
          </w:p>
        </w:tc>
      </w:tr>
    </w:tbl>
    <w:p w14:paraId="5C73FA12" w14:textId="77777777" w:rsidR="00784FA9" w:rsidRPr="00D604EE" w:rsidRDefault="00784FA9" w:rsidP="00784FA9">
      <w:pPr>
        <w:pStyle w:val="Noteundertable"/>
      </w:pPr>
      <w:r w:rsidRPr="00D604EE">
        <w:rPr>
          <w:b/>
        </w:rPr>
        <w:t>Note:</w:t>
      </w:r>
      <w:r w:rsidRPr="00D604EE">
        <w:tab/>
        <w:t xml:space="preserve">Net area in 1990 is as at 1 January 1990; net area in 2020 is as at 31 December. </w:t>
      </w:r>
      <w:r w:rsidRPr="00D604EE">
        <w:rPr>
          <w:i/>
        </w:rPr>
        <w:t>Land converted to cropland</w:t>
      </w:r>
      <w:r w:rsidRPr="00D604EE">
        <w:t xml:space="preserve"> includes land converted up to 20 years earlier. Net emission values are for the whole year indicated. Values include CO</w:t>
      </w:r>
      <w:r w:rsidRPr="00D604EE">
        <w:rPr>
          <w:vertAlign w:val="subscript"/>
        </w:rPr>
        <w:t>2</w:t>
      </w:r>
      <w:r w:rsidRPr="00D604EE">
        <w:t>-e emissions from N</w:t>
      </w:r>
      <w:r w:rsidRPr="00D604EE">
        <w:rPr>
          <w:vertAlign w:val="subscript"/>
        </w:rPr>
        <w:t>2</w:t>
      </w:r>
      <w:r w:rsidRPr="00D604EE">
        <w:t>O from cultivation of land.</w:t>
      </w:r>
    </w:p>
    <w:p w14:paraId="684D6DA9" w14:textId="77777777" w:rsidR="00784FA9" w:rsidRPr="00D604EE" w:rsidRDefault="00784FA9" w:rsidP="00784FA9">
      <w:pPr>
        <w:pStyle w:val="BodyText"/>
        <w:spacing w:before="100" w:after="100"/>
      </w:pPr>
      <w:r w:rsidRPr="00D604EE">
        <w:t xml:space="preserve">The </w:t>
      </w:r>
      <w:r w:rsidRPr="00D604EE">
        <w:rPr>
          <w:i/>
        </w:rPr>
        <w:t>Cropland remaining cropland</w:t>
      </w:r>
      <w:r w:rsidRPr="00D604EE">
        <w:t xml:space="preserve"> category is responsible for the majority of </w:t>
      </w:r>
      <w:r w:rsidRPr="00D604EE">
        <w:rPr>
          <w:i/>
        </w:rPr>
        <w:t>Cropland</w:t>
      </w:r>
      <w:r w:rsidRPr="00D604EE">
        <w:t xml:space="preserve"> emissions. This category comprised 94.2 per cent of all </w:t>
      </w:r>
      <w:r w:rsidRPr="00D604EE">
        <w:rPr>
          <w:i/>
        </w:rPr>
        <w:t>Cropland</w:t>
      </w:r>
      <w:r w:rsidRPr="00D604EE">
        <w:t xml:space="preserve"> area in 2020. </w:t>
      </w:r>
    </w:p>
    <w:p w14:paraId="7D74E686" w14:textId="77777777" w:rsidR="00784FA9" w:rsidRPr="00D604EE" w:rsidRDefault="00784FA9" w:rsidP="00784FA9">
      <w:pPr>
        <w:pStyle w:val="BodyText"/>
        <w:spacing w:before="100" w:after="100"/>
      </w:pPr>
      <w:r w:rsidRPr="00D604EE">
        <w:t xml:space="preserve">Most emissions due to carbon stock change that have occurred in the </w:t>
      </w:r>
      <w:r w:rsidRPr="00D604EE">
        <w:rPr>
          <w:i/>
        </w:rPr>
        <w:t>Cropland</w:t>
      </w:r>
      <w:r w:rsidRPr="00D604EE">
        <w:t xml:space="preserve"> category since 1990 are in the SOC pool (</w:t>
      </w:r>
      <w:r w:rsidRPr="00D604EE">
        <w:rPr>
          <w:bCs/>
        </w:rPr>
        <w:t>4,251.0</w:t>
      </w:r>
      <w:r w:rsidRPr="00D604EE">
        <w:rPr>
          <w:b/>
          <w:bCs/>
        </w:rPr>
        <w:t xml:space="preserve"> </w:t>
      </w:r>
      <w:r w:rsidRPr="00D604EE">
        <w:t>kt C) (see table 6.4.2). Within the SOC pool, the majority of emissions result from drained organic soils (11,553.2 kt CO</w:t>
      </w:r>
      <w:r w:rsidRPr="00D604EE">
        <w:rPr>
          <w:vertAlign w:val="subscript"/>
        </w:rPr>
        <w:t>2</w:t>
      </w:r>
      <w:r w:rsidRPr="00D604EE">
        <w:t xml:space="preserve">). This is because organic soils continue to lose carbon even after the 20-year transition period (IPCC, 2006a). </w:t>
      </w:r>
    </w:p>
    <w:p w14:paraId="08BCA5BC" w14:textId="77777777" w:rsidR="00784FA9" w:rsidRPr="00D604EE" w:rsidRDefault="00784FA9" w:rsidP="00784FA9">
      <w:pPr>
        <w:pStyle w:val="Table"/>
      </w:pPr>
      <w:bookmarkStart w:id="1743" w:name="_Toc378853301"/>
      <w:bookmarkStart w:id="1744" w:name="_Toc391024099"/>
      <w:bookmarkStart w:id="1745" w:name="_Toc410028842"/>
      <w:bookmarkStart w:id="1746" w:name="_Toc414531470"/>
      <w:bookmarkStart w:id="1747" w:name="_Toc443645383"/>
      <w:bookmarkStart w:id="1748" w:name="_Toc474914602"/>
      <w:bookmarkStart w:id="1749" w:name="_Toc481751566"/>
      <w:bookmarkStart w:id="1750" w:name="_Toc522010623"/>
      <w:bookmarkStart w:id="1751" w:name="_Toc5269528"/>
      <w:bookmarkStart w:id="1752" w:name="_Toc33529402"/>
      <w:bookmarkStart w:id="1753" w:name="_Toc36224608"/>
      <w:bookmarkStart w:id="1754" w:name="_Toc65243605"/>
      <w:bookmarkStart w:id="1755" w:name="_Toc99659291"/>
      <w:r w:rsidRPr="00D604EE">
        <w:t>Table 6.4.2</w:t>
      </w:r>
      <w:r w:rsidRPr="00D604EE">
        <w:tab/>
        <w:t>New Zealand’s carbon stock change by carbon pool for the</w:t>
      </w:r>
      <w:r w:rsidRPr="00D604EE">
        <w:rPr>
          <w:rFonts w:cs="Arial Bold"/>
        </w:rPr>
        <w:t xml:space="preserve"> </w:t>
      </w:r>
      <w:r w:rsidRPr="00D604EE">
        <w:rPr>
          <w:rFonts w:cs="Arial Bold"/>
          <w:i/>
        </w:rPr>
        <w:t>Crop</w:t>
      </w:r>
      <w:r w:rsidRPr="00D604EE">
        <w:rPr>
          <w:i/>
        </w:rPr>
        <w:t>land</w:t>
      </w:r>
      <w:r w:rsidRPr="00D604EE">
        <w:t xml:space="preserve"> category</w:t>
      </w:r>
      <w:r w:rsidRPr="00D604EE">
        <w:br/>
        <w:t>from 1990 to</w:t>
      </w:r>
      <w:bookmarkEnd w:id="1743"/>
      <w:bookmarkEnd w:id="1744"/>
      <w:r w:rsidRPr="00D604EE">
        <w:t> </w:t>
      </w:r>
      <w:bookmarkEnd w:id="1745"/>
      <w:bookmarkEnd w:id="1746"/>
      <w:bookmarkEnd w:id="1747"/>
      <w:bookmarkEnd w:id="1748"/>
      <w:bookmarkEnd w:id="1749"/>
      <w:bookmarkEnd w:id="1750"/>
      <w:bookmarkEnd w:id="1751"/>
      <w:bookmarkEnd w:id="1752"/>
      <w:bookmarkEnd w:id="1753"/>
      <w:bookmarkEnd w:id="1754"/>
      <w:r w:rsidRPr="00D604EE">
        <w:t>2020</w:t>
      </w:r>
      <w:bookmarkEnd w:id="1755"/>
    </w:p>
    <w:tbl>
      <w:tblPr>
        <w:tblW w:w="8505" w:type="dxa"/>
        <w:tblInd w:w="108" w:type="dxa"/>
        <w:tblLook w:val="04A0" w:firstRow="1" w:lastRow="0" w:firstColumn="1" w:lastColumn="0" w:noHBand="0" w:noVBand="1"/>
      </w:tblPr>
      <w:tblGrid>
        <w:gridCol w:w="1700"/>
        <w:gridCol w:w="1277"/>
        <w:gridCol w:w="1701"/>
        <w:gridCol w:w="1134"/>
        <w:gridCol w:w="1134"/>
        <w:gridCol w:w="1559"/>
      </w:tblGrid>
      <w:tr w:rsidR="00784FA9" w:rsidRPr="00D604EE" w14:paraId="244A7F6F" w14:textId="77777777" w:rsidTr="002C4C67">
        <w:tc>
          <w:tcPr>
            <w:tcW w:w="1700" w:type="dxa"/>
            <w:vMerge w:val="restart"/>
            <w:tcBorders>
              <w:top w:val="single" w:sz="4" w:space="0" w:color="1B556B"/>
            </w:tcBorders>
            <w:shd w:val="clear" w:color="auto" w:fill="1B556B"/>
            <w:vAlign w:val="bottom"/>
          </w:tcPr>
          <w:p w14:paraId="482EC4EF" w14:textId="77777777" w:rsidR="00784FA9" w:rsidRPr="00D604EE" w:rsidRDefault="00784FA9" w:rsidP="007E3239">
            <w:pPr>
              <w:pStyle w:val="TableTextBold"/>
              <w:keepNext/>
              <w:spacing w:before="40" w:after="40"/>
              <w:rPr>
                <w:noProof w:val="0"/>
                <w:color w:val="FFFFFF"/>
                <w:szCs w:val="16"/>
              </w:rPr>
            </w:pPr>
            <w:r w:rsidRPr="00D604EE">
              <w:rPr>
                <w:noProof w:val="0"/>
                <w:color w:val="FFFFFF"/>
                <w:szCs w:val="16"/>
              </w:rPr>
              <w:t>Land use</w:t>
            </w:r>
          </w:p>
        </w:tc>
        <w:tc>
          <w:tcPr>
            <w:tcW w:w="5246" w:type="dxa"/>
            <w:gridSpan w:val="4"/>
            <w:tcBorders>
              <w:top w:val="single" w:sz="4" w:space="0" w:color="1B556B"/>
            </w:tcBorders>
            <w:shd w:val="clear" w:color="auto" w:fill="1B556B"/>
            <w:vAlign w:val="bottom"/>
          </w:tcPr>
          <w:p w14:paraId="4545E209" w14:textId="77777777" w:rsidR="00784FA9" w:rsidRPr="00D604EE" w:rsidRDefault="00784FA9" w:rsidP="007E3239">
            <w:pPr>
              <w:pStyle w:val="TableTextBold"/>
              <w:keepNext/>
              <w:spacing w:after="40"/>
              <w:jc w:val="center"/>
              <w:rPr>
                <w:noProof w:val="0"/>
                <w:color w:val="FFFFFF"/>
                <w:szCs w:val="16"/>
              </w:rPr>
            </w:pPr>
            <w:r w:rsidRPr="00D604EE">
              <w:rPr>
                <w:noProof w:val="0"/>
                <w:color w:val="FFFFFF"/>
                <w:szCs w:val="16"/>
              </w:rPr>
              <w:t>Net carbon stock change 1990–2020 (kt C)</w:t>
            </w:r>
          </w:p>
        </w:tc>
        <w:tc>
          <w:tcPr>
            <w:tcW w:w="1559" w:type="dxa"/>
            <w:vMerge w:val="restart"/>
            <w:tcBorders>
              <w:top w:val="single" w:sz="4" w:space="0" w:color="1B556B"/>
            </w:tcBorders>
            <w:shd w:val="clear" w:color="auto" w:fill="1B556B"/>
            <w:vAlign w:val="bottom"/>
          </w:tcPr>
          <w:p w14:paraId="24FD4B9D" w14:textId="12475E5E" w:rsidR="00784FA9" w:rsidRPr="00D604EE" w:rsidRDefault="00784FA9" w:rsidP="007E3239">
            <w:pPr>
              <w:pStyle w:val="TableTextBold"/>
              <w:keepNext/>
              <w:spacing w:before="40" w:after="40"/>
              <w:jc w:val="center"/>
              <w:rPr>
                <w:noProof w:val="0"/>
                <w:color w:val="FFFFFF"/>
                <w:szCs w:val="16"/>
              </w:rPr>
            </w:pPr>
            <w:r w:rsidRPr="00D604EE">
              <w:rPr>
                <w:noProof w:val="0"/>
                <w:color w:val="FFFFFF"/>
                <w:szCs w:val="16"/>
              </w:rPr>
              <w:t xml:space="preserve">Emissions </w:t>
            </w:r>
            <w:r w:rsidRPr="00D604EE">
              <w:rPr>
                <w:noProof w:val="0"/>
                <w:color w:val="FFFFFF"/>
                <w:szCs w:val="16"/>
              </w:rPr>
              <w:br/>
              <w:t>1990–2020</w:t>
            </w:r>
            <w:r w:rsidR="002C4C67">
              <w:rPr>
                <w:noProof w:val="0"/>
                <w:color w:val="FFFFFF"/>
                <w:szCs w:val="16"/>
              </w:rPr>
              <w:t xml:space="preserve"> </w:t>
            </w:r>
            <w:r w:rsidRPr="00D604EE">
              <w:rPr>
                <w:noProof w:val="0"/>
                <w:color w:val="FFFFFF"/>
                <w:szCs w:val="16"/>
              </w:rPr>
              <w:t>(kt CO</w:t>
            </w:r>
            <w:r w:rsidRPr="00D604EE">
              <w:rPr>
                <w:noProof w:val="0"/>
                <w:color w:val="FFFFFF"/>
                <w:szCs w:val="16"/>
                <w:vertAlign w:val="subscript"/>
              </w:rPr>
              <w:t>2</w:t>
            </w:r>
            <w:r w:rsidRPr="00D604EE">
              <w:rPr>
                <w:noProof w:val="0"/>
                <w:color w:val="FFFFFF"/>
                <w:szCs w:val="16"/>
              </w:rPr>
              <w:t>)</w:t>
            </w:r>
          </w:p>
        </w:tc>
      </w:tr>
      <w:tr w:rsidR="00784FA9" w:rsidRPr="00D604EE" w14:paraId="35E4CEF3" w14:textId="77777777" w:rsidTr="002C4C67">
        <w:tc>
          <w:tcPr>
            <w:tcW w:w="1700" w:type="dxa"/>
            <w:vMerge/>
            <w:tcBorders>
              <w:top w:val="single" w:sz="8" w:space="0" w:color="2E74B5"/>
            </w:tcBorders>
            <w:shd w:val="clear" w:color="auto" w:fill="1B556B"/>
            <w:vAlign w:val="bottom"/>
          </w:tcPr>
          <w:p w14:paraId="59077E0B" w14:textId="77777777" w:rsidR="00784FA9" w:rsidRPr="00D604EE" w:rsidRDefault="00784FA9" w:rsidP="007E3239">
            <w:pPr>
              <w:pStyle w:val="TableText"/>
              <w:keepNext/>
              <w:spacing w:before="40" w:after="40"/>
              <w:rPr>
                <w:color w:val="FFFFFF"/>
                <w:szCs w:val="16"/>
              </w:rPr>
            </w:pPr>
          </w:p>
        </w:tc>
        <w:tc>
          <w:tcPr>
            <w:tcW w:w="1277" w:type="dxa"/>
            <w:shd w:val="clear" w:color="auto" w:fill="1B556B"/>
            <w:vAlign w:val="bottom"/>
          </w:tcPr>
          <w:p w14:paraId="0F7B5918" w14:textId="77777777" w:rsidR="00784FA9" w:rsidRPr="00D604EE" w:rsidRDefault="00784FA9" w:rsidP="007E3239">
            <w:pPr>
              <w:pStyle w:val="TableTextBold"/>
              <w:keepNext/>
              <w:spacing w:before="40" w:after="40"/>
              <w:jc w:val="center"/>
              <w:rPr>
                <w:noProof w:val="0"/>
                <w:color w:val="FFFFFF"/>
                <w:szCs w:val="16"/>
              </w:rPr>
            </w:pPr>
            <w:r w:rsidRPr="00D604EE">
              <w:rPr>
                <w:noProof w:val="0"/>
                <w:color w:val="FFFFFF"/>
                <w:szCs w:val="16"/>
              </w:rPr>
              <w:t>Living biomass</w:t>
            </w:r>
          </w:p>
        </w:tc>
        <w:tc>
          <w:tcPr>
            <w:tcW w:w="1701" w:type="dxa"/>
            <w:shd w:val="clear" w:color="auto" w:fill="1B556B"/>
            <w:vAlign w:val="bottom"/>
          </w:tcPr>
          <w:p w14:paraId="0A15B32E" w14:textId="77777777" w:rsidR="00784FA9" w:rsidRPr="00D604EE" w:rsidRDefault="00784FA9" w:rsidP="007E3239">
            <w:pPr>
              <w:pStyle w:val="TableTextBold"/>
              <w:keepNext/>
              <w:spacing w:before="40" w:after="40"/>
              <w:jc w:val="center"/>
              <w:rPr>
                <w:noProof w:val="0"/>
                <w:color w:val="FFFFFF"/>
                <w:szCs w:val="16"/>
              </w:rPr>
            </w:pPr>
            <w:r w:rsidRPr="00D604EE">
              <w:rPr>
                <w:noProof w:val="0"/>
                <w:color w:val="FFFFFF"/>
                <w:szCs w:val="16"/>
              </w:rPr>
              <w:t>Dead organic matter</w:t>
            </w:r>
          </w:p>
        </w:tc>
        <w:tc>
          <w:tcPr>
            <w:tcW w:w="1134" w:type="dxa"/>
            <w:shd w:val="clear" w:color="auto" w:fill="1B556B"/>
            <w:vAlign w:val="bottom"/>
          </w:tcPr>
          <w:p w14:paraId="7D87ADCB" w14:textId="77777777" w:rsidR="00784FA9" w:rsidRPr="00D604EE" w:rsidRDefault="00784FA9" w:rsidP="007E3239">
            <w:pPr>
              <w:pStyle w:val="TableTextBold"/>
              <w:keepNext/>
              <w:spacing w:before="40" w:after="40"/>
              <w:jc w:val="center"/>
              <w:rPr>
                <w:noProof w:val="0"/>
                <w:color w:val="FFFFFF"/>
                <w:szCs w:val="16"/>
              </w:rPr>
            </w:pPr>
            <w:r w:rsidRPr="00D604EE">
              <w:rPr>
                <w:noProof w:val="0"/>
                <w:color w:val="FFFFFF"/>
                <w:szCs w:val="16"/>
              </w:rPr>
              <w:t>Soils</w:t>
            </w:r>
          </w:p>
        </w:tc>
        <w:tc>
          <w:tcPr>
            <w:tcW w:w="1134" w:type="dxa"/>
            <w:shd w:val="clear" w:color="auto" w:fill="1B556B"/>
            <w:vAlign w:val="bottom"/>
          </w:tcPr>
          <w:p w14:paraId="59234CE4" w14:textId="77777777" w:rsidR="00784FA9" w:rsidRPr="00D604EE" w:rsidRDefault="00784FA9" w:rsidP="007E3239">
            <w:pPr>
              <w:pStyle w:val="TableTextBold"/>
              <w:keepNext/>
              <w:spacing w:before="40" w:after="40"/>
              <w:jc w:val="center"/>
              <w:rPr>
                <w:noProof w:val="0"/>
                <w:color w:val="FFFFFF"/>
                <w:szCs w:val="16"/>
              </w:rPr>
            </w:pPr>
            <w:r w:rsidRPr="00D604EE">
              <w:rPr>
                <w:noProof w:val="0"/>
                <w:color w:val="FFFFFF"/>
                <w:szCs w:val="16"/>
              </w:rPr>
              <w:t>Total</w:t>
            </w:r>
          </w:p>
        </w:tc>
        <w:tc>
          <w:tcPr>
            <w:tcW w:w="1559" w:type="dxa"/>
            <w:vMerge/>
            <w:shd w:val="clear" w:color="auto" w:fill="1B556B"/>
            <w:vAlign w:val="bottom"/>
          </w:tcPr>
          <w:p w14:paraId="3A49A251" w14:textId="77777777" w:rsidR="00784FA9" w:rsidRPr="00D604EE" w:rsidRDefault="00784FA9" w:rsidP="007E3239">
            <w:pPr>
              <w:pStyle w:val="TableText"/>
              <w:keepNext/>
              <w:spacing w:before="40" w:after="40"/>
              <w:jc w:val="center"/>
              <w:rPr>
                <w:szCs w:val="16"/>
              </w:rPr>
            </w:pPr>
          </w:p>
        </w:tc>
      </w:tr>
      <w:tr w:rsidR="00784FA9" w:rsidRPr="00D604EE" w14:paraId="5E57D785" w14:textId="77777777" w:rsidTr="002C4C67">
        <w:tc>
          <w:tcPr>
            <w:tcW w:w="1700" w:type="dxa"/>
            <w:tcBorders>
              <w:bottom w:val="single" w:sz="4" w:space="0" w:color="1B556B"/>
            </w:tcBorders>
          </w:tcPr>
          <w:p w14:paraId="25E40BBB" w14:textId="77777777" w:rsidR="00784FA9" w:rsidRPr="00D604EE" w:rsidRDefault="00784FA9" w:rsidP="007E3239">
            <w:pPr>
              <w:pStyle w:val="TableText"/>
              <w:spacing w:before="40" w:after="40"/>
              <w:rPr>
                <w:szCs w:val="16"/>
              </w:rPr>
            </w:pPr>
            <w:r w:rsidRPr="00D604EE">
              <w:rPr>
                <w:szCs w:val="16"/>
              </w:rPr>
              <w:t>Annual cropland</w:t>
            </w:r>
          </w:p>
        </w:tc>
        <w:tc>
          <w:tcPr>
            <w:tcW w:w="1277" w:type="dxa"/>
            <w:tcBorders>
              <w:bottom w:val="single" w:sz="4" w:space="0" w:color="1B556B"/>
            </w:tcBorders>
          </w:tcPr>
          <w:p w14:paraId="38A2DB67" w14:textId="77777777" w:rsidR="00784FA9" w:rsidRPr="00D604EE" w:rsidRDefault="00784FA9" w:rsidP="007E3239">
            <w:pPr>
              <w:pStyle w:val="TableText"/>
              <w:keepNext/>
              <w:spacing w:before="40" w:after="40"/>
              <w:jc w:val="center"/>
              <w:rPr>
                <w:szCs w:val="16"/>
              </w:rPr>
            </w:pPr>
            <w:r w:rsidRPr="00D604EE">
              <w:t>–174.5</w:t>
            </w:r>
          </w:p>
        </w:tc>
        <w:tc>
          <w:tcPr>
            <w:tcW w:w="1701" w:type="dxa"/>
            <w:tcBorders>
              <w:bottom w:val="single" w:sz="4" w:space="0" w:color="1B556B"/>
            </w:tcBorders>
          </w:tcPr>
          <w:p w14:paraId="5AC7C96B" w14:textId="77777777" w:rsidR="00784FA9" w:rsidRPr="00D604EE" w:rsidRDefault="00784FA9" w:rsidP="007E3239">
            <w:pPr>
              <w:pStyle w:val="TableText"/>
              <w:keepNext/>
              <w:spacing w:before="40" w:after="40"/>
              <w:jc w:val="center"/>
              <w:rPr>
                <w:szCs w:val="16"/>
              </w:rPr>
            </w:pPr>
            <w:r w:rsidRPr="00D604EE">
              <w:t>–11.7</w:t>
            </w:r>
          </w:p>
        </w:tc>
        <w:tc>
          <w:tcPr>
            <w:tcW w:w="1134" w:type="dxa"/>
            <w:tcBorders>
              <w:bottom w:val="single" w:sz="4" w:space="0" w:color="1B556B"/>
            </w:tcBorders>
          </w:tcPr>
          <w:p w14:paraId="3D870741" w14:textId="77777777" w:rsidR="00784FA9" w:rsidRPr="00D604EE" w:rsidRDefault="00784FA9" w:rsidP="007E3239">
            <w:pPr>
              <w:pStyle w:val="TableText"/>
              <w:keepNext/>
              <w:spacing w:before="40" w:after="40"/>
              <w:jc w:val="center"/>
              <w:rPr>
                <w:szCs w:val="16"/>
              </w:rPr>
            </w:pPr>
            <w:r w:rsidRPr="00D604EE">
              <w:t>–2,859.1</w:t>
            </w:r>
          </w:p>
        </w:tc>
        <w:tc>
          <w:tcPr>
            <w:tcW w:w="1134" w:type="dxa"/>
            <w:tcBorders>
              <w:bottom w:val="single" w:sz="4" w:space="0" w:color="1B556B"/>
            </w:tcBorders>
          </w:tcPr>
          <w:p w14:paraId="002E2C59" w14:textId="77777777" w:rsidR="00784FA9" w:rsidRPr="00D604EE" w:rsidRDefault="00784FA9" w:rsidP="007E3239">
            <w:pPr>
              <w:pStyle w:val="TableText"/>
              <w:keepNext/>
              <w:spacing w:before="40" w:after="40"/>
              <w:jc w:val="center"/>
              <w:rPr>
                <w:szCs w:val="16"/>
              </w:rPr>
            </w:pPr>
            <w:r w:rsidRPr="00D604EE">
              <w:t>–3,045.3</w:t>
            </w:r>
          </w:p>
        </w:tc>
        <w:tc>
          <w:tcPr>
            <w:tcW w:w="1559" w:type="dxa"/>
            <w:tcBorders>
              <w:bottom w:val="single" w:sz="4" w:space="0" w:color="1B556B"/>
            </w:tcBorders>
          </w:tcPr>
          <w:p w14:paraId="0667FCBF" w14:textId="77777777" w:rsidR="00784FA9" w:rsidRPr="00D604EE" w:rsidRDefault="00784FA9" w:rsidP="007E3239">
            <w:pPr>
              <w:pStyle w:val="TableText"/>
              <w:keepNext/>
              <w:spacing w:before="40" w:after="40"/>
              <w:jc w:val="center"/>
              <w:rPr>
                <w:szCs w:val="16"/>
              </w:rPr>
            </w:pPr>
            <w:r w:rsidRPr="00D604EE">
              <w:t>11,166.1</w:t>
            </w:r>
          </w:p>
        </w:tc>
      </w:tr>
      <w:tr w:rsidR="00784FA9" w:rsidRPr="00D604EE" w14:paraId="01D61BB6" w14:textId="77777777" w:rsidTr="002C4C67">
        <w:tc>
          <w:tcPr>
            <w:tcW w:w="1700" w:type="dxa"/>
            <w:tcBorders>
              <w:top w:val="single" w:sz="4" w:space="0" w:color="1B556B"/>
              <w:bottom w:val="single" w:sz="4" w:space="0" w:color="1B556B"/>
            </w:tcBorders>
          </w:tcPr>
          <w:p w14:paraId="6AF3F100" w14:textId="77777777" w:rsidR="00784FA9" w:rsidRPr="00D604EE" w:rsidRDefault="00784FA9" w:rsidP="007E3239">
            <w:pPr>
              <w:pStyle w:val="TableText"/>
              <w:spacing w:before="40" w:after="40"/>
              <w:rPr>
                <w:szCs w:val="16"/>
              </w:rPr>
            </w:pPr>
            <w:r w:rsidRPr="00D604EE">
              <w:rPr>
                <w:szCs w:val="16"/>
              </w:rPr>
              <w:t xml:space="preserve">Perennial cropland </w:t>
            </w:r>
          </w:p>
        </w:tc>
        <w:tc>
          <w:tcPr>
            <w:tcW w:w="1277" w:type="dxa"/>
            <w:tcBorders>
              <w:top w:val="single" w:sz="4" w:space="0" w:color="1B556B"/>
              <w:bottom w:val="single" w:sz="4" w:space="0" w:color="1B556B"/>
            </w:tcBorders>
          </w:tcPr>
          <w:p w14:paraId="2B718556" w14:textId="77777777" w:rsidR="00784FA9" w:rsidRPr="00D604EE" w:rsidRDefault="00784FA9" w:rsidP="007E3239">
            <w:pPr>
              <w:pStyle w:val="TableText"/>
              <w:keepNext/>
              <w:spacing w:before="40" w:after="40"/>
              <w:jc w:val="center"/>
              <w:rPr>
                <w:szCs w:val="16"/>
              </w:rPr>
            </w:pPr>
            <w:r w:rsidRPr="00D604EE">
              <w:t>367.9</w:t>
            </w:r>
          </w:p>
        </w:tc>
        <w:tc>
          <w:tcPr>
            <w:tcW w:w="1701" w:type="dxa"/>
            <w:tcBorders>
              <w:top w:val="single" w:sz="4" w:space="0" w:color="1B556B"/>
              <w:bottom w:val="single" w:sz="4" w:space="0" w:color="1B556B"/>
            </w:tcBorders>
          </w:tcPr>
          <w:p w14:paraId="3D15034B" w14:textId="77777777" w:rsidR="00784FA9" w:rsidRPr="00D604EE" w:rsidRDefault="00784FA9" w:rsidP="007E3239">
            <w:pPr>
              <w:pStyle w:val="TableText"/>
              <w:keepNext/>
              <w:spacing w:before="40" w:after="40"/>
              <w:jc w:val="center"/>
              <w:rPr>
                <w:szCs w:val="16"/>
              </w:rPr>
            </w:pPr>
            <w:r w:rsidRPr="00D604EE">
              <w:t>–7.8</w:t>
            </w:r>
          </w:p>
        </w:tc>
        <w:tc>
          <w:tcPr>
            <w:tcW w:w="1134" w:type="dxa"/>
            <w:tcBorders>
              <w:top w:val="single" w:sz="4" w:space="0" w:color="1B556B"/>
              <w:bottom w:val="single" w:sz="4" w:space="0" w:color="1B556B"/>
            </w:tcBorders>
          </w:tcPr>
          <w:p w14:paraId="6A2C1FEC" w14:textId="77777777" w:rsidR="00784FA9" w:rsidRPr="00D604EE" w:rsidRDefault="00784FA9" w:rsidP="007E3239">
            <w:pPr>
              <w:pStyle w:val="TableText"/>
              <w:keepNext/>
              <w:spacing w:before="40" w:after="40"/>
              <w:jc w:val="center"/>
              <w:rPr>
                <w:szCs w:val="16"/>
              </w:rPr>
            </w:pPr>
            <w:r w:rsidRPr="00D604EE">
              <w:t>–1,392.0</w:t>
            </w:r>
          </w:p>
        </w:tc>
        <w:tc>
          <w:tcPr>
            <w:tcW w:w="1134" w:type="dxa"/>
            <w:tcBorders>
              <w:top w:val="single" w:sz="4" w:space="0" w:color="1B556B"/>
              <w:bottom w:val="single" w:sz="4" w:space="0" w:color="1B556B"/>
            </w:tcBorders>
          </w:tcPr>
          <w:p w14:paraId="39D18C1B" w14:textId="77777777" w:rsidR="00784FA9" w:rsidRPr="00D604EE" w:rsidRDefault="00784FA9" w:rsidP="007E3239">
            <w:pPr>
              <w:pStyle w:val="TableText"/>
              <w:keepNext/>
              <w:spacing w:before="40" w:after="40"/>
              <w:jc w:val="center"/>
              <w:rPr>
                <w:szCs w:val="16"/>
              </w:rPr>
            </w:pPr>
            <w:r w:rsidRPr="00D604EE">
              <w:t>–1,031.9</w:t>
            </w:r>
          </w:p>
        </w:tc>
        <w:tc>
          <w:tcPr>
            <w:tcW w:w="1559" w:type="dxa"/>
            <w:tcBorders>
              <w:top w:val="single" w:sz="4" w:space="0" w:color="1B556B"/>
              <w:bottom w:val="single" w:sz="4" w:space="0" w:color="1B556B"/>
            </w:tcBorders>
          </w:tcPr>
          <w:p w14:paraId="36F8CCD0" w14:textId="77777777" w:rsidR="00784FA9" w:rsidRPr="00D604EE" w:rsidRDefault="00784FA9" w:rsidP="007E3239">
            <w:pPr>
              <w:pStyle w:val="TableText"/>
              <w:keepNext/>
              <w:spacing w:before="40" w:after="40"/>
              <w:jc w:val="center"/>
              <w:rPr>
                <w:szCs w:val="16"/>
              </w:rPr>
            </w:pPr>
            <w:r w:rsidRPr="00D604EE">
              <w:t>3,783.6</w:t>
            </w:r>
          </w:p>
        </w:tc>
      </w:tr>
      <w:tr w:rsidR="00784FA9" w:rsidRPr="00D604EE" w14:paraId="718AA3FA" w14:textId="77777777" w:rsidTr="002C4C67">
        <w:tc>
          <w:tcPr>
            <w:tcW w:w="1700" w:type="dxa"/>
            <w:tcBorders>
              <w:top w:val="single" w:sz="4" w:space="0" w:color="1B556B"/>
              <w:bottom w:val="single" w:sz="4" w:space="0" w:color="1B556B"/>
            </w:tcBorders>
          </w:tcPr>
          <w:p w14:paraId="0DF1C7EC" w14:textId="77777777" w:rsidR="00784FA9" w:rsidRPr="00D604EE" w:rsidRDefault="00784FA9" w:rsidP="007E3239">
            <w:pPr>
              <w:pStyle w:val="Tableboldblue"/>
              <w:jc w:val="right"/>
            </w:pPr>
            <w:r w:rsidRPr="00D604EE">
              <w:t>Total</w:t>
            </w:r>
          </w:p>
        </w:tc>
        <w:tc>
          <w:tcPr>
            <w:tcW w:w="1277" w:type="dxa"/>
            <w:tcBorders>
              <w:top w:val="single" w:sz="4" w:space="0" w:color="1B556B"/>
              <w:bottom w:val="single" w:sz="4" w:space="0" w:color="1B556B"/>
            </w:tcBorders>
          </w:tcPr>
          <w:p w14:paraId="0F8F620F" w14:textId="77777777" w:rsidR="00784FA9" w:rsidRPr="00D604EE" w:rsidRDefault="00784FA9" w:rsidP="007E3239">
            <w:pPr>
              <w:pStyle w:val="Tableboldblue"/>
              <w:jc w:val="center"/>
            </w:pPr>
            <w:r w:rsidRPr="00D604EE">
              <w:t>193.4</w:t>
            </w:r>
          </w:p>
        </w:tc>
        <w:tc>
          <w:tcPr>
            <w:tcW w:w="1701" w:type="dxa"/>
            <w:tcBorders>
              <w:top w:val="single" w:sz="4" w:space="0" w:color="1B556B"/>
              <w:bottom w:val="single" w:sz="4" w:space="0" w:color="1B556B"/>
            </w:tcBorders>
          </w:tcPr>
          <w:p w14:paraId="0AB1A235" w14:textId="77777777" w:rsidR="00784FA9" w:rsidRPr="00D604EE" w:rsidRDefault="00784FA9" w:rsidP="007E3239">
            <w:pPr>
              <w:pStyle w:val="Tableboldblue"/>
              <w:jc w:val="center"/>
            </w:pPr>
            <w:r w:rsidRPr="00D604EE">
              <w:t>–19.6</w:t>
            </w:r>
          </w:p>
        </w:tc>
        <w:tc>
          <w:tcPr>
            <w:tcW w:w="1134" w:type="dxa"/>
            <w:tcBorders>
              <w:top w:val="single" w:sz="4" w:space="0" w:color="1B556B"/>
              <w:bottom w:val="single" w:sz="4" w:space="0" w:color="1B556B"/>
            </w:tcBorders>
          </w:tcPr>
          <w:p w14:paraId="5BA88D0A" w14:textId="77777777" w:rsidR="00784FA9" w:rsidRPr="00D604EE" w:rsidRDefault="00784FA9" w:rsidP="007E3239">
            <w:pPr>
              <w:pStyle w:val="Tableboldblue"/>
              <w:jc w:val="center"/>
            </w:pPr>
            <w:r w:rsidRPr="00D604EE">
              <w:t>–4,251.0</w:t>
            </w:r>
          </w:p>
        </w:tc>
        <w:tc>
          <w:tcPr>
            <w:tcW w:w="1134" w:type="dxa"/>
            <w:tcBorders>
              <w:top w:val="single" w:sz="4" w:space="0" w:color="1B556B"/>
              <w:bottom w:val="single" w:sz="4" w:space="0" w:color="1B556B"/>
            </w:tcBorders>
          </w:tcPr>
          <w:p w14:paraId="6C37A4E7" w14:textId="77777777" w:rsidR="00784FA9" w:rsidRPr="00D604EE" w:rsidRDefault="00784FA9" w:rsidP="007E3239">
            <w:pPr>
              <w:pStyle w:val="Tableboldblue"/>
              <w:jc w:val="center"/>
            </w:pPr>
            <w:r w:rsidRPr="00D604EE">
              <w:t>–4,077.2</w:t>
            </w:r>
          </w:p>
        </w:tc>
        <w:tc>
          <w:tcPr>
            <w:tcW w:w="1559" w:type="dxa"/>
            <w:tcBorders>
              <w:top w:val="single" w:sz="4" w:space="0" w:color="1B556B"/>
              <w:bottom w:val="single" w:sz="4" w:space="0" w:color="1B556B"/>
            </w:tcBorders>
          </w:tcPr>
          <w:p w14:paraId="2DBE1DD1" w14:textId="77777777" w:rsidR="00784FA9" w:rsidRPr="00D604EE" w:rsidRDefault="00784FA9" w:rsidP="007E3239">
            <w:pPr>
              <w:pStyle w:val="Tableboldblue"/>
              <w:jc w:val="center"/>
            </w:pPr>
            <w:r w:rsidRPr="00D604EE">
              <w:t>14,949.7</w:t>
            </w:r>
          </w:p>
        </w:tc>
      </w:tr>
    </w:tbl>
    <w:p w14:paraId="6EC1B1D7" w14:textId="77777777" w:rsidR="00784FA9" w:rsidRPr="00D604EE" w:rsidRDefault="00784FA9" w:rsidP="00784FA9">
      <w:pPr>
        <w:pStyle w:val="Noteundertable"/>
      </w:pPr>
      <w:r w:rsidRPr="00D604EE">
        <w:rPr>
          <w:b/>
        </w:rPr>
        <w:t>Note:</w:t>
      </w:r>
      <w:r w:rsidRPr="00D604EE">
        <w:tab/>
        <w:t>This table includes CO</w:t>
      </w:r>
      <w:r w:rsidRPr="00D604EE">
        <w:rPr>
          <w:vertAlign w:val="subscript"/>
        </w:rPr>
        <w:t>2</w:t>
      </w:r>
      <w:r w:rsidRPr="00D604EE">
        <w:t xml:space="preserve"> emissions from carbon stock change only (so it does not include emissions from N</w:t>
      </w:r>
      <w:r w:rsidRPr="00D604EE">
        <w:rPr>
          <w:vertAlign w:val="subscript"/>
        </w:rPr>
        <w:t>2</w:t>
      </w:r>
      <w:r w:rsidRPr="00D604EE">
        <w:t xml:space="preserve">O disturbance). The reported dead organic matter losses result from the loss of dead organic matter of woody land use categories on conversion to cropland. Columns may not total due to rounding. </w:t>
      </w:r>
    </w:p>
    <w:p w14:paraId="17D08769" w14:textId="77777777" w:rsidR="00784FA9" w:rsidRPr="00D604EE" w:rsidRDefault="00784FA9" w:rsidP="00784FA9">
      <w:pPr>
        <w:pStyle w:val="BodyText"/>
        <w:spacing w:before="100" w:after="100"/>
      </w:pPr>
      <w:r w:rsidRPr="00D604EE">
        <w:t xml:space="preserve">Table 6.4.3 shows land-use change by </w:t>
      </w:r>
      <w:r w:rsidRPr="00D604EE">
        <w:rPr>
          <w:i/>
        </w:rPr>
        <w:t>Cropland</w:t>
      </w:r>
      <w:r w:rsidRPr="00D604EE">
        <w:t xml:space="preserve"> land use since 1990, and the associated CO</w:t>
      </w:r>
      <w:r w:rsidRPr="00D604EE">
        <w:rPr>
          <w:vertAlign w:val="subscript"/>
        </w:rPr>
        <w:t>2</w:t>
      </w:r>
      <w:r w:rsidRPr="00D604EE">
        <w:t xml:space="preserve"> emissions from carbon stock change. The </w:t>
      </w:r>
      <w:r w:rsidRPr="00D604EE">
        <w:rPr>
          <w:i/>
        </w:rPr>
        <w:t>Cropland</w:t>
      </w:r>
      <w:r w:rsidRPr="00D604EE">
        <w:t xml:space="preserve"> category in New Zealand is separated into two land use types: annual and perennial. In 2020, annual cropland accounted for 1.4 per cent of total land area, and perennial cropland accounted for 0.4 per cent of total land area in New Zealand. </w:t>
      </w:r>
    </w:p>
    <w:p w14:paraId="35E775D3" w14:textId="77777777" w:rsidR="00784FA9" w:rsidRPr="00D604EE" w:rsidRDefault="00784FA9" w:rsidP="00784FA9">
      <w:pPr>
        <w:pStyle w:val="BodyText"/>
        <w:spacing w:before="100" w:after="100"/>
      </w:pPr>
      <w:r w:rsidRPr="00D604EE">
        <w:t xml:space="preserve">Annual crops include cereals, grains, oil seeds, vegetables, root crops and forages. Perennial crops include orchards, vineyards and their associated shelterbelts except where these shelterbelts meet the criteria for the </w:t>
      </w:r>
      <w:r w:rsidRPr="00D604EE">
        <w:rPr>
          <w:i/>
        </w:rPr>
        <w:t>Forest land</w:t>
      </w:r>
      <w:r w:rsidRPr="00D604EE">
        <w:t xml:space="preserve"> category. </w:t>
      </w:r>
    </w:p>
    <w:p w14:paraId="0B9FFFB7" w14:textId="77777777" w:rsidR="00784FA9" w:rsidRPr="00D604EE" w:rsidRDefault="00784FA9" w:rsidP="00784FA9">
      <w:pPr>
        <w:pStyle w:val="BodyText"/>
        <w:spacing w:before="100" w:after="100"/>
      </w:pPr>
      <w:r w:rsidRPr="00D604EE">
        <w:t xml:space="preserve">The amount of carbon stored in, emitted by or removed from </w:t>
      </w:r>
      <w:r w:rsidRPr="00D604EE">
        <w:rPr>
          <w:i/>
        </w:rPr>
        <w:t>Cropland</w:t>
      </w:r>
      <w:r w:rsidRPr="00D604EE">
        <w:t xml:space="preserve"> depends on crop type, management practices, soil properties and climate variables. Annual crops are harvested each year, with little long-term storage of carbon in biomass. Woody vegetation in orchards store more carbon in biomass, with the amount largely determined by the crop species and presence of shelterbelts. </w:t>
      </w:r>
    </w:p>
    <w:p w14:paraId="1421BDB7" w14:textId="77777777" w:rsidR="00784FA9" w:rsidRPr="00D604EE" w:rsidRDefault="00784FA9" w:rsidP="00784FA9">
      <w:pPr>
        <w:pStyle w:val="Table"/>
      </w:pPr>
      <w:bookmarkStart w:id="1756" w:name="_Toc310423415"/>
      <w:bookmarkStart w:id="1757" w:name="_Toc318362708"/>
      <w:bookmarkStart w:id="1758" w:name="_Toc342470770"/>
      <w:bookmarkStart w:id="1759" w:name="_Toc352505010"/>
      <w:bookmarkStart w:id="1760" w:name="_Toc378853302"/>
      <w:bookmarkStart w:id="1761" w:name="_Toc391024100"/>
      <w:bookmarkStart w:id="1762" w:name="_Toc410028843"/>
      <w:bookmarkStart w:id="1763" w:name="_Toc414531471"/>
      <w:bookmarkStart w:id="1764" w:name="_Toc443645384"/>
      <w:bookmarkStart w:id="1765" w:name="_Toc474914603"/>
      <w:bookmarkStart w:id="1766" w:name="_Toc481751567"/>
      <w:bookmarkStart w:id="1767" w:name="_Toc522010624"/>
      <w:bookmarkStart w:id="1768" w:name="_Toc5269529"/>
      <w:bookmarkStart w:id="1769" w:name="_Toc33529403"/>
      <w:bookmarkStart w:id="1770" w:name="_Toc36224609"/>
      <w:bookmarkStart w:id="1771" w:name="_Toc65243606"/>
      <w:bookmarkStart w:id="1772" w:name="_Toc99659292"/>
      <w:r w:rsidRPr="00D604EE">
        <w:lastRenderedPageBreak/>
        <w:t>Table 6.4.3</w:t>
      </w:r>
      <w:r w:rsidRPr="00D604EE">
        <w:tab/>
        <w:t xml:space="preserve">New Zealand’s land-use change by </w:t>
      </w:r>
      <w:r w:rsidRPr="00D604EE">
        <w:rPr>
          <w:i/>
        </w:rPr>
        <w:t>Cropland</w:t>
      </w:r>
      <w:r w:rsidRPr="00D604EE">
        <w:t xml:space="preserve"> land use, and associated CO</w:t>
      </w:r>
      <w:r w:rsidRPr="00D604EE">
        <w:rPr>
          <w:vertAlign w:val="subscript"/>
        </w:rPr>
        <w:t>2</w:t>
      </w:r>
      <w:r w:rsidRPr="00D604EE">
        <w:t xml:space="preserve"> emissions from</w:t>
      </w:r>
      <w:r w:rsidRPr="00D604EE">
        <w:br/>
        <w:t>carbon stock change</w:t>
      </w:r>
      <w:bookmarkEnd w:id="1756"/>
      <w:bookmarkEnd w:id="1757"/>
      <w:bookmarkEnd w:id="1758"/>
      <w:bookmarkEnd w:id="1759"/>
      <w:bookmarkEnd w:id="1760"/>
      <w:r w:rsidRPr="00D604EE">
        <w:t>, from 1990 to</w:t>
      </w:r>
      <w:bookmarkEnd w:id="1761"/>
      <w:r w:rsidRPr="00D604EE">
        <w:t> </w:t>
      </w:r>
      <w:bookmarkEnd w:id="1762"/>
      <w:bookmarkEnd w:id="1763"/>
      <w:bookmarkEnd w:id="1764"/>
      <w:bookmarkEnd w:id="1765"/>
      <w:bookmarkEnd w:id="1766"/>
      <w:bookmarkEnd w:id="1767"/>
      <w:bookmarkEnd w:id="1768"/>
      <w:bookmarkEnd w:id="1769"/>
      <w:bookmarkEnd w:id="1770"/>
      <w:bookmarkEnd w:id="1771"/>
      <w:r w:rsidRPr="00D604EE">
        <w:t>2020</w:t>
      </w:r>
      <w:bookmarkEnd w:id="1772"/>
    </w:p>
    <w:tbl>
      <w:tblPr>
        <w:tblW w:w="8505" w:type="dxa"/>
        <w:tblInd w:w="108" w:type="dxa"/>
        <w:tblLook w:val="04A0" w:firstRow="1" w:lastRow="0" w:firstColumn="1" w:lastColumn="0" w:noHBand="0" w:noVBand="1"/>
      </w:tblPr>
      <w:tblGrid>
        <w:gridCol w:w="1560"/>
        <w:gridCol w:w="1275"/>
        <w:gridCol w:w="1294"/>
        <w:gridCol w:w="1172"/>
        <w:gridCol w:w="1091"/>
        <w:gridCol w:w="979"/>
        <w:gridCol w:w="1134"/>
      </w:tblGrid>
      <w:tr w:rsidR="00784FA9" w:rsidRPr="00D604EE" w14:paraId="23B65542" w14:textId="77777777" w:rsidTr="003F7904">
        <w:tc>
          <w:tcPr>
            <w:tcW w:w="1560" w:type="dxa"/>
            <w:vMerge w:val="restart"/>
            <w:tcBorders>
              <w:top w:val="single" w:sz="4" w:space="0" w:color="1B556B"/>
              <w:bottom w:val="single" w:sz="4" w:space="0" w:color="1B556B"/>
            </w:tcBorders>
            <w:shd w:val="clear" w:color="auto" w:fill="1B556B"/>
            <w:vAlign w:val="bottom"/>
          </w:tcPr>
          <w:p w14:paraId="6D77CBBA" w14:textId="77777777" w:rsidR="00784FA9" w:rsidRPr="00D604EE" w:rsidRDefault="00784FA9" w:rsidP="003F7904">
            <w:pPr>
              <w:pStyle w:val="TableTextBold"/>
              <w:keepNext/>
              <w:spacing w:before="40" w:after="40"/>
              <w:rPr>
                <w:rFonts w:cs="Segoe UI"/>
                <w:noProof w:val="0"/>
                <w:color w:val="FFFFFF"/>
                <w:szCs w:val="16"/>
              </w:rPr>
            </w:pPr>
            <w:r w:rsidRPr="00D604EE">
              <w:rPr>
                <w:rFonts w:cs="Segoe UI"/>
                <w:noProof w:val="0"/>
                <w:color w:val="FFFFFF"/>
                <w:szCs w:val="16"/>
              </w:rPr>
              <w:t>Land use</w:t>
            </w:r>
          </w:p>
        </w:tc>
        <w:tc>
          <w:tcPr>
            <w:tcW w:w="1275" w:type="dxa"/>
            <w:vMerge w:val="restart"/>
            <w:tcBorders>
              <w:top w:val="single" w:sz="4" w:space="0" w:color="1B556B"/>
              <w:bottom w:val="single" w:sz="4" w:space="0" w:color="1B556B"/>
            </w:tcBorders>
            <w:shd w:val="clear" w:color="auto" w:fill="1B556B"/>
            <w:vAlign w:val="bottom"/>
          </w:tcPr>
          <w:p w14:paraId="27CF8BE4" w14:textId="77777777" w:rsidR="00784FA9" w:rsidRPr="00D604EE" w:rsidRDefault="00784FA9" w:rsidP="003F7904">
            <w:pPr>
              <w:pStyle w:val="TableTextBold"/>
              <w:keepNext/>
              <w:spacing w:before="40" w:after="40"/>
              <w:jc w:val="center"/>
              <w:rPr>
                <w:rFonts w:cs="Segoe UI"/>
                <w:noProof w:val="0"/>
                <w:color w:val="FFFFFF"/>
                <w:szCs w:val="16"/>
              </w:rPr>
            </w:pPr>
            <w:r w:rsidRPr="00D604EE">
              <w:rPr>
                <w:rFonts w:cs="Segoe UI"/>
                <w:noProof w:val="0"/>
                <w:color w:val="FFFFFF"/>
                <w:szCs w:val="16"/>
              </w:rPr>
              <w:t>Net area in 1990 (ha)</w:t>
            </w:r>
          </w:p>
        </w:tc>
        <w:tc>
          <w:tcPr>
            <w:tcW w:w="1294" w:type="dxa"/>
            <w:vMerge w:val="restart"/>
            <w:tcBorders>
              <w:top w:val="single" w:sz="4" w:space="0" w:color="1B556B"/>
              <w:bottom w:val="single" w:sz="4" w:space="0" w:color="1B556B"/>
            </w:tcBorders>
            <w:shd w:val="clear" w:color="auto" w:fill="1B556B"/>
            <w:vAlign w:val="bottom"/>
          </w:tcPr>
          <w:p w14:paraId="60368444" w14:textId="77777777" w:rsidR="00784FA9" w:rsidRPr="00D604EE" w:rsidRDefault="00784FA9" w:rsidP="003F7904">
            <w:pPr>
              <w:pStyle w:val="TableTextBold"/>
              <w:keepNext/>
              <w:spacing w:before="40" w:after="40"/>
              <w:jc w:val="center"/>
              <w:rPr>
                <w:rFonts w:cs="Segoe UI"/>
                <w:noProof w:val="0"/>
                <w:color w:val="FFFFFF"/>
                <w:szCs w:val="16"/>
              </w:rPr>
            </w:pPr>
            <w:r w:rsidRPr="00D604EE">
              <w:rPr>
                <w:rFonts w:cs="Segoe UI"/>
                <w:noProof w:val="0"/>
                <w:color w:val="FFFFFF"/>
                <w:szCs w:val="16"/>
              </w:rPr>
              <w:t>Net area in 2020 (ha)</w:t>
            </w:r>
          </w:p>
        </w:tc>
        <w:tc>
          <w:tcPr>
            <w:tcW w:w="1172" w:type="dxa"/>
            <w:vMerge w:val="restart"/>
            <w:tcBorders>
              <w:top w:val="single" w:sz="4" w:space="0" w:color="1B556B"/>
              <w:bottom w:val="single" w:sz="4" w:space="0" w:color="1B556B"/>
            </w:tcBorders>
            <w:shd w:val="clear" w:color="auto" w:fill="1B556B"/>
            <w:vAlign w:val="bottom"/>
          </w:tcPr>
          <w:p w14:paraId="267D07C3" w14:textId="77777777" w:rsidR="00784FA9" w:rsidRPr="00D604EE" w:rsidRDefault="00784FA9" w:rsidP="003F7904">
            <w:pPr>
              <w:pStyle w:val="TableTextBold"/>
              <w:keepNext/>
              <w:spacing w:before="40" w:after="40"/>
              <w:jc w:val="center"/>
              <w:rPr>
                <w:rFonts w:cs="Segoe UI"/>
                <w:noProof w:val="0"/>
                <w:color w:val="FFFFFF"/>
                <w:szCs w:val="16"/>
              </w:rPr>
            </w:pPr>
            <w:r w:rsidRPr="00D604EE">
              <w:rPr>
                <w:rFonts w:cs="Segoe UI"/>
                <w:noProof w:val="0"/>
                <w:color w:val="FFFFFF"/>
                <w:szCs w:val="16"/>
              </w:rPr>
              <w:t>Change from 1990 (%)</w:t>
            </w:r>
          </w:p>
        </w:tc>
        <w:tc>
          <w:tcPr>
            <w:tcW w:w="2070" w:type="dxa"/>
            <w:gridSpan w:val="2"/>
            <w:tcBorders>
              <w:top w:val="single" w:sz="4" w:space="0" w:color="1B556B"/>
              <w:bottom w:val="single" w:sz="4" w:space="0" w:color="1B556B"/>
            </w:tcBorders>
            <w:shd w:val="clear" w:color="auto" w:fill="1B556B"/>
            <w:vAlign w:val="bottom"/>
          </w:tcPr>
          <w:p w14:paraId="259F7C43" w14:textId="77777777" w:rsidR="00784FA9" w:rsidRPr="00D604EE" w:rsidRDefault="00784FA9" w:rsidP="003F7904">
            <w:pPr>
              <w:pStyle w:val="TableTextBold"/>
              <w:keepNext/>
              <w:spacing w:before="40" w:after="40"/>
              <w:jc w:val="center"/>
              <w:rPr>
                <w:rFonts w:cs="Segoe UI"/>
                <w:noProof w:val="0"/>
                <w:color w:val="FFFFFF"/>
                <w:szCs w:val="16"/>
              </w:rPr>
            </w:pPr>
            <w:r w:rsidRPr="00D604EE">
              <w:rPr>
                <w:rFonts w:cs="Segoe UI"/>
                <w:noProof w:val="0"/>
                <w:color w:val="FFFFFF"/>
                <w:szCs w:val="16"/>
              </w:rPr>
              <w:t xml:space="preserve">Net emissions </w:t>
            </w:r>
            <w:r w:rsidRPr="00D604EE">
              <w:rPr>
                <w:rFonts w:cs="Segoe UI"/>
                <w:noProof w:val="0"/>
                <w:color w:val="FFFFFF"/>
                <w:szCs w:val="16"/>
              </w:rPr>
              <w:br/>
              <w:t>(kt CO</w:t>
            </w:r>
            <w:r w:rsidRPr="00D604EE">
              <w:rPr>
                <w:rFonts w:cs="Segoe UI"/>
                <w:noProof w:val="0"/>
                <w:color w:val="FFFFFF"/>
                <w:szCs w:val="16"/>
                <w:vertAlign w:val="subscript"/>
              </w:rPr>
              <w:t>2</w:t>
            </w:r>
            <w:r w:rsidRPr="00D604EE">
              <w:rPr>
                <w:rFonts w:cs="Segoe UI"/>
                <w:noProof w:val="0"/>
                <w:color w:val="FFFFFF"/>
                <w:szCs w:val="16"/>
              </w:rPr>
              <w:t xml:space="preserve"> only)</w:t>
            </w:r>
          </w:p>
        </w:tc>
        <w:tc>
          <w:tcPr>
            <w:tcW w:w="1134" w:type="dxa"/>
            <w:vMerge w:val="restart"/>
            <w:tcBorders>
              <w:top w:val="single" w:sz="4" w:space="0" w:color="1B556B"/>
              <w:bottom w:val="single" w:sz="4" w:space="0" w:color="1B556B"/>
            </w:tcBorders>
            <w:shd w:val="clear" w:color="auto" w:fill="1B556B"/>
            <w:vAlign w:val="bottom"/>
          </w:tcPr>
          <w:p w14:paraId="726EE78F" w14:textId="77777777" w:rsidR="00784FA9" w:rsidRPr="00D604EE" w:rsidRDefault="00784FA9" w:rsidP="003F7904">
            <w:pPr>
              <w:pStyle w:val="TableTextBold"/>
              <w:keepNext/>
              <w:spacing w:before="40" w:after="40"/>
              <w:jc w:val="center"/>
              <w:rPr>
                <w:rFonts w:cs="Segoe UI"/>
                <w:noProof w:val="0"/>
                <w:color w:val="FFFFFF"/>
                <w:szCs w:val="16"/>
              </w:rPr>
            </w:pPr>
            <w:r w:rsidRPr="00D604EE">
              <w:rPr>
                <w:rFonts w:cs="Segoe UI"/>
                <w:noProof w:val="0"/>
                <w:color w:val="FFFFFF"/>
                <w:szCs w:val="16"/>
              </w:rPr>
              <w:t>Change from 1990 (%)</w:t>
            </w:r>
          </w:p>
        </w:tc>
      </w:tr>
      <w:tr w:rsidR="00784FA9" w:rsidRPr="00D604EE" w14:paraId="4EB1BD76" w14:textId="77777777" w:rsidTr="003F7904">
        <w:tc>
          <w:tcPr>
            <w:tcW w:w="1560" w:type="dxa"/>
            <w:vMerge/>
            <w:tcBorders>
              <w:top w:val="single" w:sz="4" w:space="0" w:color="1B556B"/>
              <w:bottom w:val="single" w:sz="4" w:space="0" w:color="1B556B"/>
            </w:tcBorders>
            <w:shd w:val="clear" w:color="auto" w:fill="1B556B"/>
          </w:tcPr>
          <w:p w14:paraId="24F185A4" w14:textId="77777777" w:rsidR="00784FA9" w:rsidRPr="00D604EE" w:rsidRDefault="00784FA9" w:rsidP="003F7904">
            <w:pPr>
              <w:pStyle w:val="TableText"/>
              <w:keepNext/>
              <w:spacing w:before="40" w:after="40"/>
              <w:rPr>
                <w:rFonts w:cs="Segoe UI"/>
                <w:szCs w:val="16"/>
              </w:rPr>
            </w:pPr>
          </w:p>
        </w:tc>
        <w:tc>
          <w:tcPr>
            <w:tcW w:w="1275" w:type="dxa"/>
            <w:vMerge/>
            <w:tcBorders>
              <w:top w:val="single" w:sz="4" w:space="0" w:color="1B556B"/>
              <w:bottom w:val="single" w:sz="4" w:space="0" w:color="1B556B"/>
            </w:tcBorders>
            <w:shd w:val="clear" w:color="auto" w:fill="1B556B"/>
          </w:tcPr>
          <w:p w14:paraId="60A0B50D" w14:textId="77777777" w:rsidR="00784FA9" w:rsidRPr="00D604EE" w:rsidRDefault="00784FA9" w:rsidP="003F7904">
            <w:pPr>
              <w:pStyle w:val="TableText"/>
              <w:keepNext/>
              <w:spacing w:before="40" w:after="40"/>
              <w:rPr>
                <w:rFonts w:cs="Segoe UI"/>
                <w:szCs w:val="16"/>
              </w:rPr>
            </w:pPr>
          </w:p>
        </w:tc>
        <w:tc>
          <w:tcPr>
            <w:tcW w:w="1294" w:type="dxa"/>
            <w:vMerge/>
            <w:tcBorders>
              <w:top w:val="single" w:sz="4" w:space="0" w:color="1B556B"/>
              <w:bottom w:val="single" w:sz="4" w:space="0" w:color="1B556B"/>
            </w:tcBorders>
            <w:shd w:val="clear" w:color="auto" w:fill="1B556B"/>
          </w:tcPr>
          <w:p w14:paraId="104E90B6" w14:textId="77777777" w:rsidR="00784FA9" w:rsidRPr="00D604EE" w:rsidRDefault="00784FA9" w:rsidP="003F7904">
            <w:pPr>
              <w:pStyle w:val="TableText"/>
              <w:keepNext/>
              <w:spacing w:before="40" w:after="40"/>
              <w:rPr>
                <w:rFonts w:cs="Segoe UI"/>
                <w:szCs w:val="16"/>
              </w:rPr>
            </w:pPr>
          </w:p>
        </w:tc>
        <w:tc>
          <w:tcPr>
            <w:tcW w:w="1172" w:type="dxa"/>
            <w:vMerge/>
            <w:tcBorders>
              <w:top w:val="single" w:sz="4" w:space="0" w:color="1B556B"/>
              <w:bottom w:val="single" w:sz="4" w:space="0" w:color="1B556B"/>
            </w:tcBorders>
            <w:shd w:val="clear" w:color="auto" w:fill="1B556B"/>
          </w:tcPr>
          <w:p w14:paraId="3112598E" w14:textId="77777777" w:rsidR="00784FA9" w:rsidRPr="00D604EE" w:rsidRDefault="00784FA9" w:rsidP="003F7904">
            <w:pPr>
              <w:pStyle w:val="TableTextBold"/>
              <w:keepNext/>
              <w:spacing w:before="40" w:after="40"/>
              <w:jc w:val="center"/>
              <w:rPr>
                <w:rFonts w:cs="Segoe UI"/>
                <w:b w:val="0"/>
                <w:noProof w:val="0"/>
                <w:color w:val="FFFFFF"/>
                <w:szCs w:val="16"/>
              </w:rPr>
            </w:pPr>
          </w:p>
        </w:tc>
        <w:tc>
          <w:tcPr>
            <w:tcW w:w="1091" w:type="dxa"/>
            <w:tcBorders>
              <w:top w:val="single" w:sz="4" w:space="0" w:color="1B556B"/>
              <w:bottom w:val="single" w:sz="4" w:space="0" w:color="1B556B"/>
            </w:tcBorders>
            <w:shd w:val="clear" w:color="auto" w:fill="1B556B"/>
          </w:tcPr>
          <w:p w14:paraId="28026259" w14:textId="77777777" w:rsidR="00784FA9" w:rsidRPr="00D604EE" w:rsidRDefault="00784FA9" w:rsidP="003F7904">
            <w:pPr>
              <w:pStyle w:val="TableText"/>
              <w:keepNext/>
              <w:spacing w:before="40" w:after="40"/>
              <w:jc w:val="center"/>
              <w:rPr>
                <w:rFonts w:cs="Segoe UI"/>
                <w:b/>
                <w:color w:val="FFFFFF"/>
                <w:szCs w:val="16"/>
              </w:rPr>
            </w:pPr>
            <w:r w:rsidRPr="00D604EE">
              <w:rPr>
                <w:rFonts w:cs="Segoe UI"/>
                <w:b/>
                <w:color w:val="FFFFFF"/>
                <w:szCs w:val="16"/>
              </w:rPr>
              <w:t>1990</w:t>
            </w:r>
          </w:p>
        </w:tc>
        <w:tc>
          <w:tcPr>
            <w:tcW w:w="979" w:type="dxa"/>
            <w:tcBorders>
              <w:top w:val="single" w:sz="4" w:space="0" w:color="1B556B"/>
              <w:bottom w:val="single" w:sz="4" w:space="0" w:color="1B556B"/>
            </w:tcBorders>
            <w:shd w:val="clear" w:color="auto" w:fill="1B556B"/>
          </w:tcPr>
          <w:p w14:paraId="7E83A7ED" w14:textId="77777777" w:rsidR="00784FA9" w:rsidRPr="00D604EE" w:rsidRDefault="00784FA9" w:rsidP="003F7904">
            <w:pPr>
              <w:pStyle w:val="TableText"/>
              <w:keepNext/>
              <w:spacing w:before="40" w:after="40"/>
              <w:jc w:val="center"/>
              <w:rPr>
                <w:rFonts w:cs="Segoe UI"/>
                <w:b/>
                <w:color w:val="FFFFFF"/>
                <w:szCs w:val="16"/>
              </w:rPr>
            </w:pPr>
            <w:r w:rsidRPr="00D604EE">
              <w:rPr>
                <w:rFonts w:cs="Segoe UI"/>
                <w:b/>
                <w:color w:val="FFFFFF"/>
                <w:szCs w:val="16"/>
              </w:rPr>
              <w:t>2020</w:t>
            </w:r>
          </w:p>
        </w:tc>
        <w:tc>
          <w:tcPr>
            <w:tcW w:w="1134" w:type="dxa"/>
            <w:vMerge/>
            <w:tcBorders>
              <w:top w:val="single" w:sz="4" w:space="0" w:color="1B556B"/>
              <w:bottom w:val="single" w:sz="4" w:space="0" w:color="1B556B"/>
            </w:tcBorders>
            <w:shd w:val="clear" w:color="auto" w:fill="1B556B"/>
          </w:tcPr>
          <w:p w14:paraId="1BCE26C3" w14:textId="77777777" w:rsidR="00784FA9" w:rsidRPr="00D604EE" w:rsidRDefault="00784FA9" w:rsidP="003F7904">
            <w:pPr>
              <w:pStyle w:val="TableText"/>
              <w:keepNext/>
              <w:spacing w:before="40" w:after="40"/>
              <w:rPr>
                <w:rFonts w:cs="Segoe UI"/>
                <w:szCs w:val="16"/>
              </w:rPr>
            </w:pPr>
          </w:p>
        </w:tc>
      </w:tr>
      <w:tr w:rsidR="00784FA9" w:rsidRPr="00D604EE" w14:paraId="78DE752B" w14:textId="77777777" w:rsidTr="003F7904">
        <w:tc>
          <w:tcPr>
            <w:tcW w:w="1560" w:type="dxa"/>
            <w:tcBorders>
              <w:top w:val="single" w:sz="4" w:space="0" w:color="1B556B"/>
              <w:bottom w:val="single" w:sz="4" w:space="0" w:color="1B556B"/>
            </w:tcBorders>
          </w:tcPr>
          <w:p w14:paraId="13BE41AB" w14:textId="77777777" w:rsidR="00784FA9" w:rsidRPr="00D604EE" w:rsidRDefault="00784FA9" w:rsidP="003F7904">
            <w:pPr>
              <w:pStyle w:val="TableText"/>
              <w:keepNext/>
              <w:spacing w:before="40" w:after="40"/>
              <w:rPr>
                <w:rFonts w:cs="Segoe UI"/>
                <w:szCs w:val="16"/>
              </w:rPr>
            </w:pPr>
            <w:r w:rsidRPr="00D604EE">
              <w:rPr>
                <w:rFonts w:cs="Segoe UI"/>
                <w:szCs w:val="16"/>
              </w:rPr>
              <w:t>Annual cropland</w:t>
            </w:r>
          </w:p>
        </w:tc>
        <w:tc>
          <w:tcPr>
            <w:tcW w:w="1275" w:type="dxa"/>
            <w:tcBorders>
              <w:top w:val="single" w:sz="4" w:space="0" w:color="1B556B"/>
              <w:bottom w:val="single" w:sz="4" w:space="0" w:color="1B556B"/>
            </w:tcBorders>
          </w:tcPr>
          <w:p w14:paraId="04EA02E2" w14:textId="77777777" w:rsidR="00784FA9" w:rsidRPr="00D604EE" w:rsidRDefault="00784FA9" w:rsidP="003F7904">
            <w:pPr>
              <w:pStyle w:val="TableText"/>
              <w:keepNext/>
              <w:spacing w:before="40" w:after="40"/>
              <w:jc w:val="center"/>
              <w:rPr>
                <w:rFonts w:cs="Segoe UI"/>
                <w:szCs w:val="16"/>
              </w:rPr>
            </w:pPr>
            <w:r w:rsidRPr="00D604EE">
              <w:t>354,896</w:t>
            </w:r>
          </w:p>
        </w:tc>
        <w:tc>
          <w:tcPr>
            <w:tcW w:w="1294" w:type="dxa"/>
            <w:tcBorders>
              <w:top w:val="single" w:sz="4" w:space="0" w:color="1B556B"/>
              <w:bottom w:val="single" w:sz="4" w:space="0" w:color="1B556B"/>
            </w:tcBorders>
          </w:tcPr>
          <w:p w14:paraId="207D4FB3" w14:textId="77777777" w:rsidR="00784FA9" w:rsidRPr="00D604EE" w:rsidRDefault="00784FA9" w:rsidP="003F7904">
            <w:pPr>
              <w:pStyle w:val="TableText"/>
              <w:keepNext/>
              <w:spacing w:before="40" w:after="40"/>
              <w:jc w:val="center"/>
              <w:rPr>
                <w:rFonts w:cs="Segoe UI"/>
                <w:szCs w:val="16"/>
              </w:rPr>
            </w:pPr>
            <w:r w:rsidRPr="00D604EE">
              <w:t>371,232</w:t>
            </w:r>
          </w:p>
        </w:tc>
        <w:tc>
          <w:tcPr>
            <w:tcW w:w="1172" w:type="dxa"/>
            <w:tcBorders>
              <w:top w:val="single" w:sz="4" w:space="0" w:color="1B556B"/>
              <w:bottom w:val="single" w:sz="4" w:space="0" w:color="1B556B"/>
            </w:tcBorders>
          </w:tcPr>
          <w:p w14:paraId="02675754" w14:textId="77777777" w:rsidR="00784FA9" w:rsidRPr="00D604EE" w:rsidRDefault="00784FA9" w:rsidP="003F7904">
            <w:pPr>
              <w:pStyle w:val="TableText"/>
              <w:keepNext/>
              <w:spacing w:before="40" w:after="40"/>
              <w:jc w:val="center"/>
              <w:rPr>
                <w:rFonts w:cs="Segoe UI"/>
                <w:szCs w:val="16"/>
              </w:rPr>
            </w:pPr>
            <w:r w:rsidRPr="00D604EE">
              <w:t>4.6</w:t>
            </w:r>
          </w:p>
        </w:tc>
        <w:tc>
          <w:tcPr>
            <w:tcW w:w="1091" w:type="dxa"/>
            <w:tcBorders>
              <w:top w:val="single" w:sz="4" w:space="0" w:color="1B556B"/>
              <w:bottom w:val="single" w:sz="4" w:space="0" w:color="1B556B"/>
            </w:tcBorders>
          </w:tcPr>
          <w:p w14:paraId="518DE810" w14:textId="77777777" w:rsidR="00784FA9" w:rsidRPr="00D604EE" w:rsidRDefault="00784FA9" w:rsidP="003F7904">
            <w:pPr>
              <w:pStyle w:val="TableText"/>
              <w:keepNext/>
              <w:spacing w:before="40" w:after="40"/>
              <w:jc w:val="center"/>
              <w:rPr>
                <w:rFonts w:cs="Segoe UI"/>
                <w:szCs w:val="16"/>
              </w:rPr>
            </w:pPr>
            <w:r w:rsidRPr="00D604EE">
              <w:t>342.8</w:t>
            </w:r>
          </w:p>
        </w:tc>
        <w:tc>
          <w:tcPr>
            <w:tcW w:w="979" w:type="dxa"/>
            <w:tcBorders>
              <w:top w:val="single" w:sz="4" w:space="0" w:color="1B556B"/>
              <w:bottom w:val="single" w:sz="4" w:space="0" w:color="1B556B"/>
            </w:tcBorders>
          </w:tcPr>
          <w:p w14:paraId="4C0C90A5" w14:textId="77777777" w:rsidR="00784FA9" w:rsidRPr="00D604EE" w:rsidRDefault="00784FA9" w:rsidP="003F7904">
            <w:pPr>
              <w:pStyle w:val="TableText"/>
              <w:keepNext/>
              <w:spacing w:before="40" w:after="40"/>
              <w:jc w:val="center"/>
              <w:rPr>
                <w:rFonts w:cs="Segoe UI"/>
                <w:szCs w:val="16"/>
              </w:rPr>
            </w:pPr>
            <w:r w:rsidRPr="00D604EE">
              <w:t>310.1</w:t>
            </w:r>
          </w:p>
        </w:tc>
        <w:tc>
          <w:tcPr>
            <w:tcW w:w="1134" w:type="dxa"/>
            <w:tcBorders>
              <w:top w:val="single" w:sz="4" w:space="0" w:color="1B556B"/>
              <w:bottom w:val="single" w:sz="4" w:space="0" w:color="1B556B"/>
            </w:tcBorders>
          </w:tcPr>
          <w:p w14:paraId="1915EAD4" w14:textId="77777777" w:rsidR="00784FA9" w:rsidRPr="00D604EE" w:rsidRDefault="00784FA9" w:rsidP="003F7904">
            <w:pPr>
              <w:pStyle w:val="TableText"/>
              <w:keepNext/>
              <w:spacing w:before="40" w:after="40"/>
              <w:jc w:val="center"/>
              <w:rPr>
                <w:rFonts w:cs="Segoe UI"/>
                <w:szCs w:val="16"/>
              </w:rPr>
            </w:pPr>
            <w:r w:rsidRPr="00D604EE">
              <w:t>–9.5</w:t>
            </w:r>
          </w:p>
        </w:tc>
      </w:tr>
      <w:tr w:rsidR="00784FA9" w:rsidRPr="00D604EE" w14:paraId="3DBB7261" w14:textId="77777777" w:rsidTr="003F7904">
        <w:tc>
          <w:tcPr>
            <w:tcW w:w="1560" w:type="dxa"/>
            <w:tcBorders>
              <w:top w:val="single" w:sz="4" w:space="0" w:color="1B556B"/>
              <w:bottom w:val="single" w:sz="4" w:space="0" w:color="1B556B"/>
            </w:tcBorders>
          </w:tcPr>
          <w:p w14:paraId="0941EEA2" w14:textId="77777777" w:rsidR="00784FA9" w:rsidRPr="00D604EE" w:rsidRDefault="00784FA9" w:rsidP="007E3239">
            <w:pPr>
              <w:pStyle w:val="TableText"/>
              <w:spacing w:before="40" w:after="40"/>
              <w:rPr>
                <w:rFonts w:cs="Segoe UI"/>
                <w:szCs w:val="16"/>
              </w:rPr>
            </w:pPr>
            <w:r w:rsidRPr="00D604EE">
              <w:rPr>
                <w:rFonts w:cs="Segoe UI"/>
                <w:szCs w:val="16"/>
              </w:rPr>
              <w:t>Perennial cropland</w:t>
            </w:r>
          </w:p>
        </w:tc>
        <w:tc>
          <w:tcPr>
            <w:tcW w:w="1275" w:type="dxa"/>
            <w:tcBorders>
              <w:top w:val="single" w:sz="4" w:space="0" w:color="1B556B"/>
              <w:bottom w:val="single" w:sz="4" w:space="0" w:color="1B556B"/>
            </w:tcBorders>
          </w:tcPr>
          <w:p w14:paraId="416C61A4" w14:textId="77777777" w:rsidR="00784FA9" w:rsidRPr="00D604EE" w:rsidRDefault="00784FA9" w:rsidP="007E3239">
            <w:pPr>
              <w:pStyle w:val="TableText"/>
              <w:keepNext/>
              <w:spacing w:before="40" w:after="40"/>
              <w:jc w:val="center"/>
              <w:rPr>
                <w:rFonts w:cs="Segoe UI"/>
                <w:szCs w:val="16"/>
              </w:rPr>
            </w:pPr>
            <w:r w:rsidRPr="00D604EE">
              <w:t>69,034</w:t>
            </w:r>
          </w:p>
        </w:tc>
        <w:tc>
          <w:tcPr>
            <w:tcW w:w="1294" w:type="dxa"/>
            <w:tcBorders>
              <w:top w:val="single" w:sz="4" w:space="0" w:color="1B556B"/>
              <w:bottom w:val="single" w:sz="4" w:space="0" w:color="1B556B"/>
            </w:tcBorders>
          </w:tcPr>
          <w:p w14:paraId="75EAB188" w14:textId="77777777" w:rsidR="00784FA9" w:rsidRPr="00D604EE" w:rsidRDefault="00784FA9" w:rsidP="007E3239">
            <w:pPr>
              <w:pStyle w:val="TableText"/>
              <w:keepNext/>
              <w:spacing w:before="40" w:after="40"/>
              <w:jc w:val="center"/>
              <w:rPr>
                <w:rFonts w:cs="Segoe UI"/>
                <w:szCs w:val="16"/>
              </w:rPr>
            </w:pPr>
            <w:r w:rsidRPr="00D604EE">
              <w:t>105,190</w:t>
            </w:r>
          </w:p>
        </w:tc>
        <w:tc>
          <w:tcPr>
            <w:tcW w:w="1172" w:type="dxa"/>
            <w:tcBorders>
              <w:top w:val="single" w:sz="4" w:space="0" w:color="1B556B"/>
              <w:bottom w:val="single" w:sz="4" w:space="0" w:color="1B556B"/>
            </w:tcBorders>
          </w:tcPr>
          <w:p w14:paraId="47A9B042" w14:textId="77777777" w:rsidR="00784FA9" w:rsidRPr="00D604EE" w:rsidRDefault="00784FA9" w:rsidP="007E3239">
            <w:pPr>
              <w:pStyle w:val="TableText"/>
              <w:keepNext/>
              <w:spacing w:before="40" w:after="40"/>
              <w:jc w:val="center"/>
              <w:rPr>
                <w:rFonts w:cs="Segoe UI"/>
                <w:szCs w:val="16"/>
              </w:rPr>
            </w:pPr>
            <w:r w:rsidRPr="00D604EE">
              <w:t>52.4</w:t>
            </w:r>
          </w:p>
        </w:tc>
        <w:tc>
          <w:tcPr>
            <w:tcW w:w="1091" w:type="dxa"/>
            <w:tcBorders>
              <w:top w:val="single" w:sz="4" w:space="0" w:color="1B556B"/>
              <w:bottom w:val="single" w:sz="4" w:space="0" w:color="1B556B"/>
            </w:tcBorders>
          </w:tcPr>
          <w:p w14:paraId="53DBA593" w14:textId="77777777" w:rsidR="00784FA9" w:rsidRPr="00D604EE" w:rsidRDefault="00784FA9" w:rsidP="007E3239">
            <w:pPr>
              <w:pStyle w:val="TableText"/>
              <w:keepNext/>
              <w:spacing w:before="40" w:after="40"/>
              <w:jc w:val="center"/>
              <w:rPr>
                <w:rFonts w:cs="Segoe UI"/>
                <w:szCs w:val="16"/>
              </w:rPr>
            </w:pPr>
            <w:r w:rsidRPr="00D604EE">
              <w:t>125.9</w:t>
            </w:r>
          </w:p>
        </w:tc>
        <w:tc>
          <w:tcPr>
            <w:tcW w:w="979" w:type="dxa"/>
            <w:tcBorders>
              <w:top w:val="single" w:sz="4" w:space="0" w:color="1B556B"/>
              <w:bottom w:val="single" w:sz="4" w:space="0" w:color="1B556B"/>
            </w:tcBorders>
          </w:tcPr>
          <w:p w14:paraId="2C6BCAD3" w14:textId="77777777" w:rsidR="00784FA9" w:rsidRPr="00D604EE" w:rsidRDefault="00784FA9" w:rsidP="007E3239">
            <w:pPr>
              <w:pStyle w:val="TableText"/>
              <w:keepNext/>
              <w:spacing w:before="40" w:after="40"/>
              <w:jc w:val="center"/>
              <w:rPr>
                <w:rFonts w:cs="Segoe UI"/>
                <w:szCs w:val="16"/>
              </w:rPr>
            </w:pPr>
            <w:r w:rsidRPr="00D604EE">
              <w:t>65.5</w:t>
            </w:r>
          </w:p>
        </w:tc>
        <w:tc>
          <w:tcPr>
            <w:tcW w:w="1134" w:type="dxa"/>
            <w:tcBorders>
              <w:top w:val="single" w:sz="4" w:space="0" w:color="1B556B"/>
              <w:bottom w:val="single" w:sz="4" w:space="0" w:color="1B556B"/>
            </w:tcBorders>
          </w:tcPr>
          <w:p w14:paraId="3E50D300" w14:textId="77777777" w:rsidR="00784FA9" w:rsidRPr="00D604EE" w:rsidRDefault="00784FA9" w:rsidP="007E3239">
            <w:pPr>
              <w:pStyle w:val="TableText"/>
              <w:keepNext/>
              <w:spacing w:before="40" w:after="40"/>
              <w:jc w:val="center"/>
              <w:rPr>
                <w:rFonts w:cs="Segoe UI"/>
                <w:szCs w:val="16"/>
              </w:rPr>
            </w:pPr>
            <w:r w:rsidRPr="00D604EE">
              <w:t>–48.0</w:t>
            </w:r>
          </w:p>
        </w:tc>
      </w:tr>
      <w:tr w:rsidR="00784FA9" w:rsidRPr="00D604EE" w14:paraId="7202CC06" w14:textId="77777777" w:rsidTr="003F7904">
        <w:tc>
          <w:tcPr>
            <w:tcW w:w="1560" w:type="dxa"/>
            <w:tcBorders>
              <w:top w:val="single" w:sz="4" w:space="0" w:color="1B556B"/>
              <w:bottom w:val="single" w:sz="4" w:space="0" w:color="1B556B"/>
            </w:tcBorders>
          </w:tcPr>
          <w:p w14:paraId="5B1FC2BC" w14:textId="77777777" w:rsidR="00784FA9" w:rsidRPr="00D604EE" w:rsidRDefault="00784FA9" w:rsidP="007E3239">
            <w:pPr>
              <w:pStyle w:val="Tableboldblue"/>
              <w:jc w:val="right"/>
              <w:rPr>
                <w:rFonts w:cs="Segoe UI"/>
              </w:rPr>
            </w:pPr>
            <w:r w:rsidRPr="00D604EE">
              <w:rPr>
                <w:rFonts w:cs="Segoe UI"/>
              </w:rPr>
              <w:t>Total</w:t>
            </w:r>
          </w:p>
        </w:tc>
        <w:tc>
          <w:tcPr>
            <w:tcW w:w="1275" w:type="dxa"/>
            <w:tcBorders>
              <w:top w:val="single" w:sz="4" w:space="0" w:color="1B556B"/>
              <w:bottom w:val="single" w:sz="4" w:space="0" w:color="1B556B"/>
            </w:tcBorders>
          </w:tcPr>
          <w:p w14:paraId="6C7E9BC8" w14:textId="77777777" w:rsidR="00784FA9" w:rsidRPr="00D604EE" w:rsidRDefault="00784FA9" w:rsidP="007E3239">
            <w:pPr>
              <w:pStyle w:val="Tableboldblue"/>
              <w:jc w:val="center"/>
              <w:rPr>
                <w:rFonts w:cs="Segoe UI"/>
              </w:rPr>
            </w:pPr>
            <w:r w:rsidRPr="00D604EE">
              <w:t>423,930</w:t>
            </w:r>
          </w:p>
        </w:tc>
        <w:tc>
          <w:tcPr>
            <w:tcW w:w="1294" w:type="dxa"/>
            <w:tcBorders>
              <w:top w:val="single" w:sz="4" w:space="0" w:color="1B556B"/>
              <w:bottom w:val="single" w:sz="4" w:space="0" w:color="1B556B"/>
            </w:tcBorders>
          </w:tcPr>
          <w:p w14:paraId="502B40AA" w14:textId="77777777" w:rsidR="00784FA9" w:rsidRPr="00D604EE" w:rsidRDefault="00784FA9" w:rsidP="007E3239">
            <w:pPr>
              <w:pStyle w:val="Tableboldblue"/>
              <w:jc w:val="center"/>
              <w:rPr>
                <w:rFonts w:cs="Segoe UI"/>
              </w:rPr>
            </w:pPr>
            <w:r w:rsidRPr="00D604EE">
              <w:t>476,422</w:t>
            </w:r>
          </w:p>
        </w:tc>
        <w:tc>
          <w:tcPr>
            <w:tcW w:w="1172" w:type="dxa"/>
            <w:tcBorders>
              <w:top w:val="single" w:sz="4" w:space="0" w:color="1B556B"/>
              <w:bottom w:val="single" w:sz="4" w:space="0" w:color="1B556B"/>
            </w:tcBorders>
          </w:tcPr>
          <w:p w14:paraId="265CA116" w14:textId="77777777" w:rsidR="00784FA9" w:rsidRPr="00D604EE" w:rsidRDefault="00784FA9" w:rsidP="007E3239">
            <w:pPr>
              <w:pStyle w:val="Tableboldblue"/>
              <w:jc w:val="center"/>
              <w:rPr>
                <w:rFonts w:cs="Segoe UI"/>
              </w:rPr>
            </w:pPr>
            <w:r w:rsidRPr="00D604EE">
              <w:t>12.4</w:t>
            </w:r>
          </w:p>
        </w:tc>
        <w:tc>
          <w:tcPr>
            <w:tcW w:w="1091" w:type="dxa"/>
            <w:tcBorders>
              <w:top w:val="single" w:sz="4" w:space="0" w:color="1B556B"/>
              <w:bottom w:val="single" w:sz="4" w:space="0" w:color="1B556B"/>
            </w:tcBorders>
          </w:tcPr>
          <w:p w14:paraId="4A9C8EFA" w14:textId="77777777" w:rsidR="00784FA9" w:rsidRPr="00D604EE" w:rsidRDefault="00784FA9" w:rsidP="007E3239">
            <w:pPr>
              <w:pStyle w:val="Tableboldblue"/>
              <w:jc w:val="center"/>
              <w:rPr>
                <w:rFonts w:cs="Segoe UI"/>
              </w:rPr>
            </w:pPr>
            <w:r w:rsidRPr="00D604EE">
              <w:t>468.7</w:t>
            </w:r>
          </w:p>
        </w:tc>
        <w:tc>
          <w:tcPr>
            <w:tcW w:w="979" w:type="dxa"/>
            <w:tcBorders>
              <w:top w:val="single" w:sz="4" w:space="0" w:color="1B556B"/>
              <w:bottom w:val="single" w:sz="4" w:space="0" w:color="1B556B"/>
            </w:tcBorders>
          </w:tcPr>
          <w:p w14:paraId="7325D952" w14:textId="77777777" w:rsidR="00784FA9" w:rsidRPr="00D604EE" w:rsidRDefault="00784FA9" w:rsidP="007E3239">
            <w:pPr>
              <w:pStyle w:val="Tableboldblue"/>
              <w:jc w:val="center"/>
              <w:rPr>
                <w:rFonts w:cs="Segoe UI"/>
              </w:rPr>
            </w:pPr>
            <w:r w:rsidRPr="00D604EE">
              <w:t>375.6</w:t>
            </w:r>
          </w:p>
        </w:tc>
        <w:tc>
          <w:tcPr>
            <w:tcW w:w="1134" w:type="dxa"/>
            <w:tcBorders>
              <w:top w:val="single" w:sz="4" w:space="0" w:color="1B556B"/>
              <w:bottom w:val="single" w:sz="4" w:space="0" w:color="1B556B"/>
            </w:tcBorders>
          </w:tcPr>
          <w:p w14:paraId="0E0F0A17" w14:textId="77777777" w:rsidR="00784FA9" w:rsidRPr="00D604EE" w:rsidRDefault="00784FA9" w:rsidP="007E3239">
            <w:pPr>
              <w:pStyle w:val="Tableboldblue"/>
              <w:jc w:val="center"/>
              <w:rPr>
                <w:rFonts w:cs="Segoe UI"/>
              </w:rPr>
            </w:pPr>
            <w:r w:rsidRPr="00D604EE">
              <w:t>–19.9</w:t>
            </w:r>
          </w:p>
        </w:tc>
      </w:tr>
    </w:tbl>
    <w:p w14:paraId="705A00CE" w14:textId="77777777" w:rsidR="00784FA9" w:rsidRPr="00D604EE" w:rsidRDefault="00784FA9" w:rsidP="00784FA9">
      <w:pPr>
        <w:pStyle w:val="Noteundertable"/>
      </w:pPr>
      <w:r w:rsidRPr="00D604EE">
        <w:rPr>
          <w:b/>
        </w:rPr>
        <w:t>Note:</w:t>
      </w:r>
      <w:r w:rsidRPr="00D604EE">
        <w:rPr>
          <w:b/>
        </w:rPr>
        <w:tab/>
      </w:r>
      <w:r w:rsidRPr="00D604EE">
        <w:t>Net area in 1990 is as at 1 January 1990; net area in 2020 is as at 31 December. This table includes CO</w:t>
      </w:r>
      <w:r w:rsidRPr="00D604EE">
        <w:rPr>
          <w:vertAlign w:val="subscript"/>
        </w:rPr>
        <w:t>2</w:t>
      </w:r>
      <w:r w:rsidRPr="00D604EE">
        <w:t xml:space="preserve"> emissions from carbon stock change only. Columns may not total due to rounding.</w:t>
      </w:r>
    </w:p>
    <w:p w14:paraId="47DDDE24" w14:textId="77777777" w:rsidR="00784FA9" w:rsidRPr="00D604EE" w:rsidRDefault="00784FA9" w:rsidP="00784FA9">
      <w:pPr>
        <w:pStyle w:val="BodyText"/>
      </w:pPr>
      <w:r w:rsidRPr="00D604EE">
        <w:t xml:space="preserve">A summary of land-use change within the </w:t>
      </w:r>
      <w:r w:rsidRPr="00D604EE">
        <w:rPr>
          <w:i/>
        </w:rPr>
        <w:t>Cropland</w:t>
      </w:r>
      <w:r w:rsidRPr="00D604EE">
        <w:t xml:space="preserve"> category, by land use type and land conversion status, is provided in table 6.4.4. This shows that land-use change within the </w:t>
      </w:r>
      <w:r w:rsidRPr="00D604EE">
        <w:rPr>
          <w:i/>
        </w:rPr>
        <w:t>Cropland</w:t>
      </w:r>
      <w:r w:rsidRPr="00D604EE">
        <w:t xml:space="preserve"> category has been dominated by conversions to perennial cropland, both from within the </w:t>
      </w:r>
      <w:r w:rsidRPr="00D604EE">
        <w:rPr>
          <w:i/>
        </w:rPr>
        <w:t>Cropland</w:t>
      </w:r>
      <w:r w:rsidRPr="00D604EE">
        <w:t xml:space="preserve"> category and from other land use categories. This conversion has predominantly been for the establishment of vineyards (Davis and Wakelin, unpublished).</w:t>
      </w:r>
    </w:p>
    <w:p w14:paraId="259FD5EF" w14:textId="77777777" w:rsidR="00784FA9" w:rsidRPr="00D604EE" w:rsidRDefault="00784FA9" w:rsidP="00784FA9">
      <w:pPr>
        <w:pStyle w:val="Table"/>
      </w:pPr>
      <w:bookmarkStart w:id="1773" w:name="_Toc310423416"/>
      <w:bookmarkStart w:id="1774" w:name="_Toc318362709"/>
      <w:bookmarkStart w:id="1775" w:name="_Toc342470771"/>
      <w:bookmarkStart w:id="1776" w:name="_Toc352505011"/>
      <w:bookmarkStart w:id="1777" w:name="_Toc378853303"/>
      <w:bookmarkStart w:id="1778" w:name="_Toc391024101"/>
      <w:bookmarkStart w:id="1779" w:name="_Toc410028844"/>
      <w:bookmarkStart w:id="1780" w:name="_Toc414531472"/>
      <w:bookmarkStart w:id="1781" w:name="_Toc443645385"/>
      <w:bookmarkStart w:id="1782" w:name="_Toc474914604"/>
      <w:bookmarkStart w:id="1783" w:name="_Toc481751568"/>
      <w:bookmarkStart w:id="1784" w:name="_Toc522010625"/>
      <w:bookmarkStart w:id="1785" w:name="_Toc5269530"/>
      <w:bookmarkStart w:id="1786" w:name="_Toc33529404"/>
      <w:bookmarkStart w:id="1787" w:name="_Toc36224610"/>
      <w:bookmarkStart w:id="1788" w:name="_Toc65243607"/>
      <w:bookmarkStart w:id="1789" w:name="_Toc99659293"/>
      <w:r w:rsidRPr="00D604EE">
        <w:t>Table 6.4.4</w:t>
      </w:r>
      <w:r w:rsidRPr="00D604EE">
        <w:tab/>
        <w:t xml:space="preserve">New Zealand’s land-use change for the </w:t>
      </w:r>
      <w:r w:rsidRPr="00D604EE">
        <w:rPr>
          <w:i/>
        </w:rPr>
        <w:t>Cropland</w:t>
      </w:r>
      <w:r w:rsidRPr="00D604EE">
        <w:t xml:space="preserve"> category from 1990 to</w:t>
      </w:r>
      <w:bookmarkEnd w:id="1773"/>
      <w:bookmarkEnd w:id="1774"/>
      <w:bookmarkEnd w:id="1775"/>
      <w:bookmarkEnd w:id="1776"/>
      <w:bookmarkEnd w:id="1777"/>
      <w:bookmarkEnd w:id="1778"/>
      <w:r w:rsidRPr="00D604EE">
        <w:t> </w:t>
      </w:r>
      <w:bookmarkEnd w:id="1779"/>
      <w:bookmarkEnd w:id="1780"/>
      <w:bookmarkEnd w:id="1781"/>
      <w:bookmarkEnd w:id="1782"/>
      <w:bookmarkEnd w:id="1783"/>
      <w:bookmarkEnd w:id="1784"/>
      <w:bookmarkEnd w:id="1785"/>
      <w:bookmarkEnd w:id="1786"/>
      <w:bookmarkEnd w:id="1787"/>
      <w:bookmarkEnd w:id="1788"/>
      <w:r w:rsidRPr="00D604EE">
        <w:t>2020</w:t>
      </w:r>
      <w:bookmarkEnd w:id="1789"/>
    </w:p>
    <w:tbl>
      <w:tblPr>
        <w:tblW w:w="8505" w:type="dxa"/>
        <w:tblInd w:w="108" w:type="dxa"/>
        <w:tblLook w:val="04A0" w:firstRow="1" w:lastRow="0" w:firstColumn="1" w:lastColumn="0" w:noHBand="0" w:noVBand="1"/>
      </w:tblPr>
      <w:tblGrid>
        <w:gridCol w:w="1726"/>
        <w:gridCol w:w="2487"/>
        <w:gridCol w:w="1461"/>
        <w:gridCol w:w="1508"/>
        <w:gridCol w:w="1323"/>
      </w:tblGrid>
      <w:tr w:rsidR="00784FA9" w:rsidRPr="00D604EE" w14:paraId="4F9C8481" w14:textId="77777777" w:rsidTr="007E3239">
        <w:trPr>
          <w:tblHeader/>
        </w:trPr>
        <w:tc>
          <w:tcPr>
            <w:tcW w:w="1726" w:type="dxa"/>
            <w:tcBorders>
              <w:top w:val="single" w:sz="4" w:space="0" w:color="1B556B"/>
              <w:bottom w:val="single" w:sz="4" w:space="0" w:color="1B556B"/>
            </w:tcBorders>
            <w:shd w:val="clear" w:color="auto" w:fill="1B556B"/>
            <w:vAlign w:val="bottom"/>
          </w:tcPr>
          <w:p w14:paraId="7FDEF6E8" w14:textId="77777777" w:rsidR="00784FA9" w:rsidRPr="00D604EE" w:rsidRDefault="00784FA9" w:rsidP="007E3239">
            <w:pPr>
              <w:pStyle w:val="TableTextBold"/>
              <w:spacing w:before="50" w:after="50"/>
              <w:rPr>
                <w:rFonts w:cs="Segoe UI"/>
                <w:noProof w:val="0"/>
                <w:color w:val="FFFFFF"/>
                <w:szCs w:val="16"/>
              </w:rPr>
            </w:pPr>
            <w:r w:rsidRPr="00D604EE">
              <w:rPr>
                <w:rFonts w:cs="Segoe UI"/>
                <w:noProof w:val="0"/>
                <w:color w:val="FFFFFF"/>
                <w:szCs w:val="16"/>
              </w:rPr>
              <w:t>Cropland category</w:t>
            </w:r>
          </w:p>
        </w:tc>
        <w:tc>
          <w:tcPr>
            <w:tcW w:w="2487" w:type="dxa"/>
            <w:tcBorders>
              <w:top w:val="single" w:sz="4" w:space="0" w:color="1B556B"/>
              <w:bottom w:val="single" w:sz="4" w:space="0" w:color="1B556B"/>
            </w:tcBorders>
            <w:shd w:val="clear" w:color="auto" w:fill="1B556B"/>
            <w:vAlign w:val="bottom"/>
          </w:tcPr>
          <w:p w14:paraId="27B30E41" w14:textId="77777777" w:rsidR="00784FA9" w:rsidRPr="00D604EE" w:rsidRDefault="00784FA9" w:rsidP="007E3239">
            <w:pPr>
              <w:pStyle w:val="TableTextBold"/>
              <w:spacing w:before="50" w:after="50"/>
              <w:rPr>
                <w:rFonts w:cs="Segoe UI"/>
                <w:noProof w:val="0"/>
                <w:color w:val="FFFFFF"/>
                <w:szCs w:val="16"/>
              </w:rPr>
            </w:pPr>
          </w:p>
        </w:tc>
        <w:tc>
          <w:tcPr>
            <w:tcW w:w="1461" w:type="dxa"/>
            <w:tcBorders>
              <w:top w:val="single" w:sz="4" w:space="0" w:color="1B556B"/>
              <w:bottom w:val="single" w:sz="4" w:space="0" w:color="1B556B"/>
            </w:tcBorders>
            <w:shd w:val="clear" w:color="auto" w:fill="1B556B"/>
            <w:vAlign w:val="bottom"/>
          </w:tcPr>
          <w:p w14:paraId="1B36A3B7" w14:textId="77777777" w:rsidR="00784FA9" w:rsidRPr="00D604EE" w:rsidRDefault="00784FA9" w:rsidP="007E3239">
            <w:pPr>
              <w:pStyle w:val="TableTextBold"/>
              <w:spacing w:before="50" w:after="50"/>
              <w:jc w:val="center"/>
              <w:rPr>
                <w:rFonts w:cs="Segoe UI"/>
                <w:noProof w:val="0"/>
                <w:color w:val="FFFFFF"/>
                <w:szCs w:val="16"/>
              </w:rPr>
            </w:pPr>
            <w:r w:rsidRPr="00D604EE">
              <w:rPr>
                <w:rFonts w:cs="Segoe UI"/>
                <w:noProof w:val="0"/>
                <w:color w:val="FFFFFF"/>
                <w:szCs w:val="16"/>
              </w:rPr>
              <w:t>Net area in 1990 (ha)</w:t>
            </w:r>
          </w:p>
        </w:tc>
        <w:tc>
          <w:tcPr>
            <w:tcW w:w="1508" w:type="dxa"/>
            <w:tcBorders>
              <w:top w:val="single" w:sz="4" w:space="0" w:color="1B556B"/>
              <w:bottom w:val="single" w:sz="4" w:space="0" w:color="1B556B"/>
            </w:tcBorders>
            <w:shd w:val="clear" w:color="auto" w:fill="1B556B"/>
            <w:vAlign w:val="bottom"/>
          </w:tcPr>
          <w:p w14:paraId="1A335DA1" w14:textId="77777777" w:rsidR="00784FA9" w:rsidRPr="00D604EE" w:rsidRDefault="00784FA9" w:rsidP="007E3239">
            <w:pPr>
              <w:pStyle w:val="TableTextBold"/>
              <w:spacing w:before="50" w:after="50"/>
              <w:jc w:val="center"/>
              <w:rPr>
                <w:rFonts w:cs="Segoe UI"/>
                <w:noProof w:val="0"/>
                <w:color w:val="FFFFFF"/>
                <w:szCs w:val="16"/>
              </w:rPr>
            </w:pPr>
            <w:r w:rsidRPr="00D604EE">
              <w:rPr>
                <w:rFonts w:cs="Segoe UI"/>
                <w:noProof w:val="0"/>
                <w:color w:val="FFFFFF"/>
                <w:szCs w:val="16"/>
              </w:rPr>
              <w:t>Net area in 2020 (ha)</w:t>
            </w:r>
          </w:p>
        </w:tc>
        <w:tc>
          <w:tcPr>
            <w:tcW w:w="1323" w:type="dxa"/>
            <w:tcBorders>
              <w:top w:val="single" w:sz="4" w:space="0" w:color="1B556B"/>
              <w:bottom w:val="single" w:sz="4" w:space="0" w:color="1B556B"/>
            </w:tcBorders>
            <w:shd w:val="clear" w:color="auto" w:fill="1B556B"/>
            <w:vAlign w:val="bottom"/>
          </w:tcPr>
          <w:p w14:paraId="3F9B9B2B" w14:textId="77777777" w:rsidR="00784FA9" w:rsidRPr="00D604EE" w:rsidRDefault="00784FA9" w:rsidP="007E3239">
            <w:pPr>
              <w:pStyle w:val="TableTextBold"/>
              <w:spacing w:before="50" w:after="50"/>
              <w:jc w:val="center"/>
              <w:rPr>
                <w:rFonts w:cs="Segoe UI"/>
                <w:noProof w:val="0"/>
                <w:color w:val="FFFFFF"/>
                <w:szCs w:val="16"/>
              </w:rPr>
            </w:pPr>
            <w:r w:rsidRPr="00D604EE">
              <w:rPr>
                <w:rFonts w:cs="Segoe UI"/>
                <w:noProof w:val="0"/>
                <w:color w:val="FFFFFF"/>
                <w:szCs w:val="16"/>
              </w:rPr>
              <w:t>Change from 1990 (%)</w:t>
            </w:r>
          </w:p>
        </w:tc>
      </w:tr>
      <w:tr w:rsidR="00784FA9" w:rsidRPr="00D604EE" w14:paraId="182C1084" w14:textId="77777777" w:rsidTr="007E3239">
        <w:tc>
          <w:tcPr>
            <w:tcW w:w="1726" w:type="dxa"/>
            <w:vMerge w:val="restart"/>
            <w:tcBorders>
              <w:top w:val="single" w:sz="4" w:space="0" w:color="1B556B"/>
              <w:bottom w:val="single" w:sz="4" w:space="0" w:color="365F91"/>
            </w:tcBorders>
          </w:tcPr>
          <w:p w14:paraId="4294386F" w14:textId="77777777" w:rsidR="00784FA9" w:rsidRPr="00D604EE" w:rsidRDefault="00784FA9" w:rsidP="007E3239">
            <w:pPr>
              <w:pStyle w:val="TableText"/>
              <w:spacing w:before="40" w:after="40"/>
              <w:rPr>
                <w:rFonts w:cs="Segoe UI"/>
                <w:szCs w:val="16"/>
              </w:rPr>
            </w:pPr>
            <w:r w:rsidRPr="00D604EE">
              <w:rPr>
                <w:rFonts w:cs="Segoe UI"/>
                <w:szCs w:val="16"/>
              </w:rPr>
              <w:t>Cropland remaining cropland</w:t>
            </w:r>
          </w:p>
        </w:tc>
        <w:tc>
          <w:tcPr>
            <w:tcW w:w="2487" w:type="dxa"/>
            <w:tcBorders>
              <w:top w:val="single" w:sz="4" w:space="0" w:color="1B556B"/>
              <w:bottom w:val="single" w:sz="4" w:space="0" w:color="1B556B"/>
            </w:tcBorders>
          </w:tcPr>
          <w:p w14:paraId="4B45BF8F" w14:textId="77777777" w:rsidR="00784FA9" w:rsidRPr="00D604EE" w:rsidRDefault="00784FA9" w:rsidP="007E3239">
            <w:pPr>
              <w:pStyle w:val="TableText"/>
              <w:spacing w:before="40" w:after="40"/>
              <w:rPr>
                <w:rFonts w:cs="Segoe UI"/>
                <w:szCs w:val="16"/>
              </w:rPr>
            </w:pPr>
            <w:r w:rsidRPr="00D604EE">
              <w:rPr>
                <w:rFonts w:cs="Segoe UI"/>
                <w:szCs w:val="16"/>
              </w:rPr>
              <w:t>Annual remaining annual</w:t>
            </w:r>
          </w:p>
        </w:tc>
        <w:tc>
          <w:tcPr>
            <w:tcW w:w="1461" w:type="dxa"/>
            <w:tcBorders>
              <w:top w:val="single" w:sz="4" w:space="0" w:color="1B556B"/>
              <w:bottom w:val="single" w:sz="4" w:space="0" w:color="1B556B"/>
            </w:tcBorders>
          </w:tcPr>
          <w:p w14:paraId="4DD2A47E" w14:textId="77777777" w:rsidR="00784FA9" w:rsidRPr="00D604EE" w:rsidRDefault="00784FA9" w:rsidP="007E3239">
            <w:pPr>
              <w:pStyle w:val="TableText"/>
              <w:spacing w:before="40" w:after="40"/>
              <w:jc w:val="center"/>
              <w:rPr>
                <w:rFonts w:cs="Segoe UI"/>
                <w:szCs w:val="16"/>
              </w:rPr>
            </w:pPr>
            <w:r w:rsidRPr="00D604EE">
              <w:t>333,515</w:t>
            </w:r>
          </w:p>
        </w:tc>
        <w:tc>
          <w:tcPr>
            <w:tcW w:w="1508" w:type="dxa"/>
            <w:tcBorders>
              <w:top w:val="single" w:sz="4" w:space="0" w:color="1B556B"/>
              <w:bottom w:val="single" w:sz="4" w:space="0" w:color="1B556B"/>
            </w:tcBorders>
          </w:tcPr>
          <w:p w14:paraId="24FD63EC" w14:textId="77777777" w:rsidR="00784FA9" w:rsidRPr="00D604EE" w:rsidRDefault="00784FA9" w:rsidP="007E3239">
            <w:pPr>
              <w:pStyle w:val="TableText"/>
              <w:spacing w:before="40" w:after="40"/>
              <w:jc w:val="center"/>
              <w:rPr>
                <w:rFonts w:cs="Segoe UI"/>
                <w:szCs w:val="16"/>
              </w:rPr>
            </w:pPr>
            <w:r w:rsidRPr="00D604EE">
              <w:t>359,684</w:t>
            </w:r>
          </w:p>
        </w:tc>
        <w:tc>
          <w:tcPr>
            <w:tcW w:w="1323" w:type="dxa"/>
            <w:tcBorders>
              <w:top w:val="single" w:sz="4" w:space="0" w:color="1B556B"/>
              <w:bottom w:val="single" w:sz="4" w:space="0" w:color="1B556B"/>
            </w:tcBorders>
          </w:tcPr>
          <w:p w14:paraId="27EF08A9" w14:textId="77777777" w:rsidR="00784FA9" w:rsidRPr="00D604EE" w:rsidRDefault="00784FA9" w:rsidP="007E3239">
            <w:pPr>
              <w:pStyle w:val="TableText"/>
              <w:spacing w:before="40" w:after="40"/>
              <w:jc w:val="center"/>
              <w:rPr>
                <w:rFonts w:cs="Segoe UI"/>
                <w:szCs w:val="16"/>
              </w:rPr>
            </w:pPr>
            <w:r w:rsidRPr="00D604EE">
              <w:t>7.8</w:t>
            </w:r>
          </w:p>
        </w:tc>
      </w:tr>
      <w:tr w:rsidR="00784FA9" w:rsidRPr="00D604EE" w14:paraId="6E0B31C7" w14:textId="77777777" w:rsidTr="007E3239">
        <w:tc>
          <w:tcPr>
            <w:tcW w:w="1726" w:type="dxa"/>
            <w:vMerge/>
            <w:tcBorders>
              <w:top w:val="single" w:sz="4" w:space="0" w:color="365F91"/>
            </w:tcBorders>
          </w:tcPr>
          <w:p w14:paraId="6D82589D" w14:textId="77777777" w:rsidR="00784FA9" w:rsidRPr="00D604EE" w:rsidRDefault="00784FA9" w:rsidP="007E3239">
            <w:pPr>
              <w:pStyle w:val="TableText"/>
              <w:spacing w:before="40" w:after="40"/>
              <w:rPr>
                <w:rFonts w:cs="Segoe UI"/>
                <w:szCs w:val="16"/>
              </w:rPr>
            </w:pPr>
          </w:p>
        </w:tc>
        <w:tc>
          <w:tcPr>
            <w:tcW w:w="2487" w:type="dxa"/>
            <w:tcBorders>
              <w:top w:val="single" w:sz="4" w:space="0" w:color="1B556B"/>
              <w:bottom w:val="single" w:sz="4" w:space="0" w:color="1B556B"/>
            </w:tcBorders>
          </w:tcPr>
          <w:p w14:paraId="3C8E75DF" w14:textId="77777777" w:rsidR="00784FA9" w:rsidRPr="00D604EE" w:rsidRDefault="00784FA9" w:rsidP="007E3239">
            <w:pPr>
              <w:pStyle w:val="TableText"/>
              <w:spacing w:before="40" w:after="40"/>
              <w:rPr>
                <w:rFonts w:cs="Segoe UI"/>
                <w:szCs w:val="16"/>
              </w:rPr>
            </w:pPr>
            <w:r w:rsidRPr="00D604EE">
              <w:rPr>
                <w:rFonts w:cs="Segoe UI"/>
                <w:szCs w:val="16"/>
              </w:rPr>
              <w:t>Perennial remaining perennial</w:t>
            </w:r>
          </w:p>
        </w:tc>
        <w:tc>
          <w:tcPr>
            <w:tcW w:w="1461" w:type="dxa"/>
            <w:tcBorders>
              <w:top w:val="single" w:sz="4" w:space="0" w:color="1B556B"/>
              <w:bottom w:val="single" w:sz="4" w:space="0" w:color="1B556B"/>
            </w:tcBorders>
          </w:tcPr>
          <w:p w14:paraId="404CC926" w14:textId="77777777" w:rsidR="00784FA9" w:rsidRPr="00D604EE" w:rsidRDefault="00784FA9" w:rsidP="007E3239">
            <w:pPr>
              <w:pStyle w:val="TableText"/>
              <w:spacing w:before="40" w:after="40"/>
              <w:jc w:val="center"/>
              <w:rPr>
                <w:rFonts w:cs="Segoe UI"/>
                <w:szCs w:val="16"/>
              </w:rPr>
            </w:pPr>
            <w:r w:rsidRPr="00D604EE">
              <w:t>61,625</w:t>
            </w:r>
          </w:p>
        </w:tc>
        <w:tc>
          <w:tcPr>
            <w:tcW w:w="1508" w:type="dxa"/>
            <w:tcBorders>
              <w:top w:val="single" w:sz="4" w:space="0" w:color="1B556B"/>
              <w:bottom w:val="single" w:sz="4" w:space="0" w:color="1B556B"/>
            </w:tcBorders>
          </w:tcPr>
          <w:p w14:paraId="5CCD882D" w14:textId="77777777" w:rsidR="00784FA9" w:rsidRPr="00D604EE" w:rsidRDefault="00784FA9" w:rsidP="007E3239">
            <w:pPr>
              <w:pStyle w:val="TableText"/>
              <w:spacing w:before="40" w:after="40"/>
              <w:jc w:val="center"/>
              <w:rPr>
                <w:rFonts w:cs="Segoe UI"/>
                <w:szCs w:val="16"/>
              </w:rPr>
            </w:pPr>
            <w:r w:rsidRPr="00D604EE">
              <w:t>84,551</w:t>
            </w:r>
          </w:p>
        </w:tc>
        <w:tc>
          <w:tcPr>
            <w:tcW w:w="1323" w:type="dxa"/>
            <w:tcBorders>
              <w:top w:val="single" w:sz="4" w:space="0" w:color="1B556B"/>
              <w:bottom w:val="single" w:sz="4" w:space="0" w:color="1B556B"/>
            </w:tcBorders>
          </w:tcPr>
          <w:p w14:paraId="53EE0A3A" w14:textId="77777777" w:rsidR="00784FA9" w:rsidRPr="00D604EE" w:rsidRDefault="00784FA9" w:rsidP="007E3239">
            <w:pPr>
              <w:pStyle w:val="TableText"/>
              <w:spacing w:before="40" w:after="40"/>
              <w:jc w:val="center"/>
              <w:rPr>
                <w:rFonts w:cs="Segoe UI"/>
                <w:szCs w:val="16"/>
              </w:rPr>
            </w:pPr>
            <w:r w:rsidRPr="00D604EE">
              <w:t>37.2</w:t>
            </w:r>
          </w:p>
        </w:tc>
      </w:tr>
      <w:tr w:rsidR="00784FA9" w:rsidRPr="00D604EE" w14:paraId="475D3C5B" w14:textId="77777777" w:rsidTr="007E3239">
        <w:tc>
          <w:tcPr>
            <w:tcW w:w="1726" w:type="dxa"/>
            <w:vMerge/>
          </w:tcPr>
          <w:p w14:paraId="3E818FE9" w14:textId="77777777" w:rsidR="00784FA9" w:rsidRPr="00D604EE" w:rsidRDefault="00784FA9" w:rsidP="007E3239">
            <w:pPr>
              <w:pStyle w:val="TableText"/>
              <w:spacing w:before="40" w:after="40"/>
              <w:rPr>
                <w:rFonts w:cs="Segoe UI"/>
                <w:szCs w:val="16"/>
              </w:rPr>
            </w:pPr>
          </w:p>
        </w:tc>
        <w:tc>
          <w:tcPr>
            <w:tcW w:w="2487" w:type="dxa"/>
            <w:tcBorders>
              <w:top w:val="single" w:sz="4" w:space="0" w:color="1B556B"/>
              <w:bottom w:val="single" w:sz="4" w:space="0" w:color="1B556B"/>
            </w:tcBorders>
          </w:tcPr>
          <w:p w14:paraId="0B7AB7C9" w14:textId="77777777" w:rsidR="00784FA9" w:rsidRPr="00D604EE" w:rsidRDefault="00784FA9" w:rsidP="007E3239">
            <w:pPr>
              <w:pStyle w:val="TableText"/>
              <w:spacing w:before="40" w:after="40"/>
              <w:rPr>
                <w:rFonts w:cs="Segoe UI"/>
                <w:szCs w:val="16"/>
              </w:rPr>
            </w:pPr>
            <w:r w:rsidRPr="00D604EE">
              <w:rPr>
                <w:rFonts w:cs="Segoe UI"/>
                <w:szCs w:val="16"/>
              </w:rPr>
              <w:t>Annual to perennial</w:t>
            </w:r>
          </w:p>
        </w:tc>
        <w:tc>
          <w:tcPr>
            <w:tcW w:w="1461" w:type="dxa"/>
            <w:tcBorders>
              <w:top w:val="single" w:sz="4" w:space="0" w:color="1B556B"/>
              <w:bottom w:val="single" w:sz="4" w:space="0" w:color="1B556B"/>
            </w:tcBorders>
          </w:tcPr>
          <w:p w14:paraId="7DE96133" w14:textId="77777777" w:rsidR="00784FA9" w:rsidRPr="00D604EE" w:rsidRDefault="00784FA9" w:rsidP="007E3239">
            <w:pPr>
              <w:pStyle w:val="TableText"/>
              <w:spacing w:before="40" w:after="40"/>
              <w:jc w:val="center"/>
              <w:rPr>
                <w:rFonts w:cs="Segoe UI"/>
                <w:szCs w:val="16"/>
              </w:rPr>
            </w:pPr>
            <w:r w:rsidRPr="00D604EE">
              <w:t>643</w:t>
            </w:r>
          </w:p>
        </w:tc>
        <w:tc>
          <w:tcPr>
            <w:tcW w:w="1508" w:type="dxa"/>
            <w:tcBorders>
              <w:top w:val="single" w:sz="4" w:space="0" w:color="1B556B"/>
              <w:bottom w:val="single" w:sz="4" w:space="0" w:color="1B556B"/>
            </w:tcBorders>
          </w:tcPr>
          <w:p w14:paraId="7D42D0CB" w14:textId="77777777" w:rsidR="00784FA9" w:rsidRPr="00D604EE" w:rsidRDefault="00784FA9" w:rsidP="007E3239">
            <w:pPr>
              <w:pStyle w:val="TableText"/>
              <w:spacing w:before="40" w:after="40"/>
              <w:jc w:val="center"/>
              <w:rPr>
                <w:rFonts w:cs="Segoe UI"/>
                <w:szCs w:val="16"/>
              </w:rPr>
            </w:pPr>
            <w:r w:rsidRPr="00D604EE">
              <w:t>2,907</w:t>
            </w:r>
          </w:p>
        </w:tc>
        <w:tc>
          <w:tcPr>
            <w:tcW w:w="1323" w:type="dxa"/>
            <w:tcBorders>
              <w:top w:val="single" w:sz="4" w:space="0" w:color="1B556B"/>
              <w:bottom w:val="single" w:sz="4" w:space="0" w:color="1B556B"/>
            </w:tcBorders>
          </w:tcPr>
          <w:p w14:paraId="0750F1E9" w14:textId="77777777" w:rsidR="00784FA9" w:rsidRPr="00D604EE" w:rsidRDefault="00784FA9" w:rsidP="007E3239">
            <w:pPr>
              <w:pStyle w:val="TableText"/>
              <w:spacing w:before="40" w:after="40"/>
              <w:jc w:val="center"/>
              <w:rPr>
                <w:rFonts w:cs="Segoe UI"/>
                <w:szCs w:val="16"/>
              </w:rPr>
            </w:pPr>
            <w:r w:rsidRPr="00D604EE">
              <w:t>352.0</w:t>
            </w:r>
          </w:p>
        </w:tc>
      </w:tr>
      <w:tr w:rsidR="00784FA9" w:rsidRPr="00D604EE" w14:paraId="08729DC2" w14:textId="77777777" w:rsidTr="007E3239">
        <w:tc>
          <w:tcPr>
            <w:tcW w:w="1726" w:type="dxa"/>
            <w:vMerge/>
            <w:tcBorders>
              <w:bottom w:val="nil"/>
            </w:tcBorders>
          </w:tcPr>
          <w:p w14:paraId="5EE13830" w14:textId="77777777" w:rsidR="00784FA9" w:rsidRPr="00D604EE" w:rsidRDefault="00784FA9" w:rsidP="007E3239">
            <w:pPr>
              <w:pStyle w:val="TableText"/>
              <w:spacing w:before="40" w:after="40"/>
              <w:rPr>
                <w:rFonts w:cs="Segoe UI"/>
                <w:szCs w:val="16"/>
              </w:rPr>
            </w:pPr>
          </w:p>
        </w:tc>
        <w:tc>
          <w:tcPr>
            <w:tcW w:w="2487" w:type="dxa"/>
            <w:tcBorders>
              <w:top w:val="single" w:sz="4" w:space="0" w:color="1B556B"/>
              <w:bottom w:val="single" w:sz="4" w:space="0" w:color="1B556B"/>
            </w:tcBorders>
          </w:tcPr>
          <w:p w14:paraId="01356E12" w14:textId="77777777" w:rsidR="00784FA9" w:rsidRPr="00D604EE" w:rsidRDefault="00784FA9" w:rsidP="007E3239">
            <w:pPr>
              <w:pStyle w:val="TableText"/>
              <w:spacing w:before="40" w:after="40"/>
              <w:rPr>
                <w:rFonts w:cs="Segoe UI"/>
                <w:szCs w:val="16"/>
              </w:rPr>
            </w:pPr>
            <w:r w:rsidRPr="00D604EE">
              <w:rPr>
                <w:rFonts w:cs="Segoe UI"/>
                <w:szCs w:val="16"/>
              </w:rPr>
              <w:t>Perennial to annual</w:t>
            </w:r>
          </w:p>
        </w:tc>
        <w:tc>
          <w:tcPr>
            <w:tcW w:w="1461" w:type="dxa"/>
            <w:tcBorders>
              <w:top w:val="single" w:sz="4" w:space="0" w:color="1B556B"/>
              <w:bottom w:val="single" w:sz="4" w:space="0" w:color="1B556B"/>
            </w:tcBorders>
          </w:tcPr>
          <w:p w14:paraId="79CC59D7" w14:textId="77777777" w:rsidR="00784FA9" w:rsidRPr="00D604EE" w:rsidRDefault="00784FA9" w:rsidP="007E3239">
            <w:pPr>
              <w:pStyle w:val="TableText"/>
              <w:spacing w:before="40" w:after="40"/>
              <w:jc w:val="center"/>
              <w:rPr>
                <w:rFonts w:cs="Segoe UI"/>
                <w:szCs w:val="16"/>
              </w:rPr>
            </w:pPr>
            <w:r w:rsidRPr="00D604EE">
              <w:t>0</w:t>
            </w:r>
          </w:p>
        </w:tc>
        <w:tc>
          <w:tcPr>
            <w:tcW w:w="1508" w:type="dxa"/>
            <w:tcBorders>
              <w:top w:val="single" w:sz="4" w:space="0" w:color="1B556B"/>
              <w:bottom w:val="single" w:sz="4" w:space="0" w:color="1B556B"/>
            </w:tcBorders>
          </w:tcPr>
          <w:p w14:paraId="2F9F7AE1" w14:textId="77777777" w:rsidR="00784FA9" w:rsidRPr="00D604EE" w:rsidRDefault="00784FA9" w:rsidP="007E3239">
            <w:pPr>
              <w:pStyle w:val="TableText"/>
              <w:spacing w:before="40" w:after="40"/>
              <w:jc w:val="center"/>
              <w:rPr>
                <w:rFonts w:cs="Segoe UI"/>
                <w:szCs w:val="16"/>
              </w:rPr>
            </w:pPr>
            <w:r w:rsidRPr="00D604EE">
              <w:t>1,470</w:t>
            </w:r>
          </w:p>
        </w:tc>
        <w:tc>
          <w:tcPr>
            <w:tcW w:w="1323" w:type="dxa"/>
            <w:tcBorders>
              <w:top w:val="single" w:sz="4" w:space="0" w:color="1B556B"/>
              <w:bottom w:val="single" w:sz="4" w:space="0" w:color="1B556B"/>
            </w:tcBorders>
          </w:tcPr>
          <w:p w14:paraId="1439CCCD" w14:textId="77777777" w:rsidR="00784FA9" w:rsidRPr="00D604EE" w:rsidRDefault="00784FA9" w:rsidP="007E3239">
            <w:pPr>
              <w:pStyle w:val="TableText"/>
              <w:spacing w:before="40" w:after="40"/>
              <w:jc w:val="center"/>
              <w:rPr>
                <w:rFonts w:cs="Segoe UI"/>
                <w:szCs w:val="16"/>
              </w:rPr>
            </w:pPr>
            <w:r w:rsidRPr="00D604EE">
              <w:t>NA</w:t>
            </w:r>
          </w:p>
        </w:tc>
      </w:tr>
      <w:tr w:rsidR="00784FA9" w:rsidRPr="00D604EE" w14:paraId="3B4D2BEC" w14:textId="77777777" w:rsidTr="007E3239">
        <w:tc>
          <w:tcPr>
            <w:tcW w:w="1726" w:type="dxa"/>
            <w:tcBorders>
              <w:top w:val="nil"/>
              <w:bottom w:val="single" w:sz="4" w:space="0" w:color="365F91"/>
            </w:tcBorders>
          </w:tcPr>
          <w:p w14:paraId="301AC151" w14:textId="77777777" w:rsidR="00784FA9" w:rsidRPr="00D604EE" w:rsidRDefault="00784FA9" w:rsidP="007E3239">
            <w:pPr>
              <w:pStyle w:val="TableText"/>
              <w:spacing w:before="40" w:after="40"/>
              <w:rPr>
                <w:rFonts w:cs="Segoe UI"/>
                <w:szCs w:val="16"/>
              </w:rPr>
            </w:pPr>
          </w:p>
        </w:tc>
        <w:tc>
          <w:tcPr>
            <w:tcW w:w="2487" w:type="dxa"/>
            <w:tcBorders>
              <w:top w:val="single" w:sz="4" w:space="0" w:color="1B556B"/>
              <w:bottom w:val="single" w:sz="4" w:space="0" w:color="365F91"/>
            </w:tcBorders>
          </w:tcPr>
          <w:p w14:paraId="0D770FDA" w14:textId="77777777" w:rsidR="00784FA9" w:rsidRPr="00D604EE" w:rsidRDefault="00784FA9" w:rsidP="007E3239">
            <w:pPr>
              <w:pStyle w:val="TableText"/>
              <w:spacing w:before="40" w:after="40"/>
              <w:rPr>
                <w:rFonts w:cs="Segoe UI"/>
                <w:i/>
                <w:szCs w:val="16"/>
              </w:rPr>
            </w:pPr>
            <w:r w:rsidRPr="00D604EE">
              <w:rPr>
                <w:rFonts w:cs="Segoe UI"/>
                <w:i/>
                <w:szCs w:val="16"/>
              </w:rPr>
              <w:t>Subtotal</w:t>
            </w:r>
          </w:p>
        </w:tc>
        <w:tc>
          <w:tcPr>
            <w:tcW w:w="1461" w:type="dxa"/>
            <w:tcBorders>
              <w:top w:val="single" w:sz="4" w:space="0" w:color="1B556B"/>
              <w:bottom w:val="single" w:sz="4" w:space="0" w:color="365F91"/>
            </w:tcBorders>
          </w:tcPr>
          <w:p w14:paraId="2BA7E65A" w14:textId="77777777" w:rsidR="00784FA9" w:rsidRPr="00D604EE" w:rsidRDefault="00784FA9" w:rsidP="007E3239">
            <w:pPr>
              <w:pStyle w:val="TableText"/>
              <w:spacing w:before="40" w:after="40"/>
              <w:jc w:val="center"/>
              <w:rPr>
                <w:rFonts w:cs="Segoe UI"/>
                <w:i/>
                <w:szCs w:val="16"/>
              </w:rPr>
            </w:pPr>
            <w:r w:rsidRPr="00D604EE">
              <w:rPr>
                <w:i/>
                <w:iCs/>
              </w:rPr>
              <w:t>395,784</w:t>
            </w:r>
          </w:p>
        </w:tc>
        <w:tc>
          <w:tcPr>
            <w:tcW w:w="1508" w:type="dxa"/>
            <w:tcBorders>
              <w:top w:val="single" w:sz="4" w:space="0" w:color="1B556B"/>
              <w:bottom w:val="single" w:sz="4" w:space="0" w:color="365F91"/>
            </w:tcBorders>
          </w:tcPr>
          <w:p w14:paraId="633CE176" w14:textId="77777777" w:rsidR="00784FA9" w:rsidRPr="00D604EE" w:rsidRDefault="00784FA9" w:rsidP="007E3239">
            <w:pPr>
              <w:pStyle w:val="TableText"/>
              <w:spacing w:before="40" w:after="40"/>
              <w:jc w:val="center"/>
              <w:rPr>
                <w:rFonts w:cs="Segoe UI"/>
                <w:i/>
                <w:szCs w:val="16"/>
              </w:rPr>
            </w:pPr>
            <w:r w:rsidRPr="00D604EE">
              <w:rPr>
                <w:i/>
                <w:iCs/>
              </w:rPr>
              <w:t>448,612</w:t>
            </w:r>
          </w:p>
        </w:tc>
        <w:tc>
          <w:tcPr>
            <w:tcW w:w="1323" w:type="dxa"/>
            <w:tcBorders>
              <w:top w:val="single" w:sz="4" w:space="0" w:color="1B556B"/>
              <w:bottom w:val="single" w:sz="4" w:space="0" w:color="365F91"/>
            </w:tcBorders>
          </w:tcPr>
          <w:p w14:paraId="31A252BF" w14:textId="77777777" w:rsidR="00784FA9" w:rsidRPr="00D604EE" w:rsidRDefault="00784FA9" w:rsidP="007E3239">
            <w:pPr>
              <w:pStyle w:val="TableText"/>
              <w:spacing w:before="40" w:after="40"/>
              <w:jc w:val="center"/>
              <w:rPr>
                <w:rFonts w:cs="Segoe UI"/>
                <w:i/>
                <w:szCs w:val="16"/>
              </w:rPr>
            </w:pPr>
            <w:r w:rsidRPr="00D604EE">
              <w:rPr>
                <w:i/>
              </w:rPr>
              <w:t>13.</w:t>
            </w:r>
            <w:r w:rsidRPr="00D604EE">
              <w:rPr>
                <w:i/>
                <w:iCs/>
              </w:rPr>
              <w:t>3</w:t>
            </w:r>
          </w:p>
        </w:tc>
      </w:tr>
      <w:tr w:rsidR="00784FA9" w:rsidRPr="00D604EE" w14:paraId="5BEA48DF" w14:textId="77777777" w:rsidTr="007E3239">
        <w:tc>
          <w:tcPr>
            <w:tcW w:w="1726" w:type="dxa"/>
            <w:vMerge w:val="restart"/>
            <w:tcBorders>
              <w:top w:val="single" w:sz="4" w:space="0" w:color="365F91"/>
            </w:tcBorders>
          </w:tcPr>
          <w:p w14:paraId="1A9AE1F7" w14:textId="77777777" w:rsidR="00784FA9" w:rsidRPr="00D604EE" w:rsidRDefault="00784FA9" w:rsidP="007E3239">
            <w:pPr>
              <w:pStyle w:val="TableText"/>
              <w:spacing w:before="40" w:after="40"/>
              <w:rPr>
                <w:rFonts w:cs="Segoe UI"/>
                <w:szCs w:val="16"/>
              </w:rPr>
            </w:pPr>
            <w:r w:rsidRPr="00D604EE">
              <w:rPr>
                <w:rFonts w:cs="Segoe UI"/>
                <w:szCs w:val="16"/>
              </w:rPr>
              <w:t>Land converted to cropland</w:t>
            </w:r>
          </w:p>
        </w:tc>
        <w:tc>
          <w:tcPr>
            <w:tcW w:w="2487" w:type="dxa"/>
            <w:tcBorders>
              <w:top w:val="single" w:sz="4" w:space="0" w:color="365F91"/>
              <w:bottom w:val="single" w:sz="4" w:space="0" w:color="365F91"/>
            </w:tcBorders>
          </w:tcPr>
          <w:p w14:paraId="42DB836B" w14:textId="77777777" w:rsidR="00784FA9" w:rsidRPr="00D604EE" w:rsidRDefault="00784FA9" w:rsidP="007E3239">
            <w:pPr>
              <w:pStyle w:val="TableText"/>
              <w:spacing w:before="40" w:after="40"/>
              <w:rPr>
                <w:rFonts w:cs="Segoe UI"/>
                <w:szCs w:val="16"/>
              </w:rPr>
            </w:pPr>
            <w:r w:rsidRPr="00D604EE">
              <w:rPr>
                <w:rFonts w:cs="Segoe UI"/>
                <w:szCs w:val="16"/>
              </w:rPr>
              <w:t>Annual cropland</w:t>
            </w:r>
          </w:p>
        </w:tc>
        <w:tc>
          <w:tcPr>
            <w:tcW w:w="1461" w:type="dxa"/>
            <w:tcBorders>
              <w:top w:val="single" w:sz="4" w:space="0" w:color="365F91"/>
              <w:bottom w:val="single" w:sz="4" w:space="0" w:color="365F91"/>
            </w:tcBorders>
          </w:tcPr>
          <w:p w14:paraId="7A4D6CAB" w14:textId="77777777" w:rsidR="00784FA9" w:rsidRPr="00D604EE" w:rsidRDefault="00784FA9" w:rsidP="007E3239">
            <w:pPr>
              <w:pStyle w:val="TableText"/>
              <w:spacing w:before="40" w:after="40"/>
              <w:jc w:val="center"/>
              <w:rPr>
                <w:rFonts w:cs="Segoe UI"/>
                <w:szCs w:val="16"/>
              </w:rPr>
            </w:pPr>
            <w:r w:rsidRPr="00D604EE">
              <w:t>21,381</w:t>
            </w:r>
          </w:p>
        </w:tc>
        <w:tc>
          <w:tcPr>
            <w:tcW w:w="1508" w:type="dxa"/>
            <w:tcBorders>
              <w:top w:val="single" w:sz="4" w:space="0" w:color="365F91"/>
              <w:bottom w:val="single" w:sz="4" w:space="0" w:color="365F91"/>
            </w:tcBorders>
          </w:tcPr>
          <w:p w14:paraId="074EE34C" w14:textId="77777777" w:rsidR="00784FA9" w:rsidRPr="00D604EE" w:rsidRDefault="00784FA9" w:rsidP="007E3239">
            <w:pPr>
              <w:pStyle w:val="TableText"/>
              <w:spacing w:before="40" w:after="40"/>
              <w:jc w:val="center"/>
              <w:rPr>
                <w:rFonts w:cs="Segoe UI"/>
                <w:szCs w:val="16"/>
              </w:rPr>
            </w:pPr>
            <w:r w:rsidRPr="00D604EE">
              <w:t>10,078.2</w:t>
            </w:r>
          </w:p>
        </w:tc>
        <w:tc>
          <w:tcPr>
            <w:tcW w:w="1323" w:type="dxa"/>
            <w:tcBorders>
              <w:top w:val="single" w:sz="4" w:space="0" w:color="365F91"/>
              <w:bottom w:val="single" w:sz="4" w:space="0" w:color="365F91"/>
            </w:tcBorders>
          </w:tcPr>
          <w:p w14:paraId="787281CB" w14:textId="77777777" w:rsidR="00784FA9" w:rsidRPr="00D604EE" w:rsidRDefault="00784FA9" w:rsidP="007E3239">
            <w:pPr>
              <w:pStyle w:val="TableText"/>
              <w:spacing w:before="40" w:after="40"/>
              <w:jc w:val="center"/>
              <w:rPr>
                <w:rFonts w:cs="Segoe UI"/>
                <w:szCs w:val="16"/>
              </w:rPr>
            </w:pPr>
            <w:r w:rsidRPr="00D604EE">
              <w:t>–52.9</w:t>
            </w:r>
          </w:p>
        </w:tc>
      </w:tr>
      <w:tr w:rsidR="00784FA9" w:rsidRPr="00D604EE" w14:paraId="20F05DA3" w14:textId="77777777" w:rsidTr="007E3239">
        <w:tc>
          <w:tcPr>
            <w:tcW w:w="1726" w:type="dxa"/>
            <w:vMerge/>
            <w:tcBorders>
              <w:bottom w:val="nil"/>
            </w:tcBorders>
          </w:tcPr>
          <w:p w14:paraId="45FA843A" w14:textId="77777777" w:rsidR="00784FA9" w:rsidRPr="00D604EE" w:rsidRDefault="00784FA9" w:rsidP="007E3239">
            <w:pPr>
              <w:pStyle w:val="TableText"/>
              <w:spacing w:before="40" w:after="40"/>
              <w:rPr>
                <w:rFonts w:cs="Segoe UI"/>
                <w:szCs w:val="16"/>
              </w:rPr>
            </w:pPr>
          </w:p>
        </w:tc>
        <w:tc>
          <w:tcPr>
            <w:tcW w:w="2487" w:type="dxa"/>
            <w:tcBorders>
              <w:top w:val="single" w:sz="4" w:space="0" w:color="365F91"/>
              <w:bottom w:val="single" w:sz="4" w:space="0" w:color="365F91"/>
            </w:tcBorders>
          </w:tcPr>
          <w:p w14:paraId="36AF9085" w14:textId="77777777" w:rsidR="00784FA9" w:rsidRPr="00D604EE" w:rsidRDefault="00784FA9" w:rsidP="007E3239">
            <w:pPr>
              <w:pStyle w:val="TableText"/>
              <w:spacing w:before="40" w:after="40"/>
              <w:rPr>
                <w:rFonts w:cs="Segoe UI"/>
                <w:szCs w:val="16"/>
              </w:rPr>
            </w:pPr>
            <w:r w:rsidRPr="00D604EE">
              <w:rPr>
                <w:rFonts w:cs="Segoe UI"/>
                <w:szCs w:val="16"/>
              </w:rPr>
              <w:t>Perennial cropland</w:t>
            </w:r>
          </w:p>
        </w:tc>
        <w:tc>
          <w:tcPr>
            <w:tcW w:w="1461" w:type="dxa"/>
            <w:tcBorders>
              <w:top w:val="single" w:sz="4" w:space="0" w:color="365F91"/>
              <w:bottom w:val="single" w:sz="4" w:space="0" w:color="365F91"/>
            </w:tcBorders>
          </w:tcPr>
          <w:p w14:paraId="084803EE" w14:textId="77777777" w:rsidR="00784FA9" w:rsidRPr="00D604EE" w:rsidRDefault="00784FA9" w:rsidP="007E3239">
            <w:pPr>
              <w:pStyle w:val="TableText"/>
              <w:spacing w:before="40" w:after="40"/>
              <w:jc w:val="center"/>
              <w:rPr>
                <w:rFonts w:cs="Segoe UI"/>
                <w:szCs w:val="16"/>
              </w:rPr>
            </w:pPr>
            <w:r w:rsidRPr="00D604EE">
              <w:t>6,766</w:t>
            </w:r>
          </w:p>
        </w:tc>
        <w:tc>
          <w:tcPr>
            <w:tcW w:w="1508" w:type="dxa"/>
            <w:tcBorders>
              <w:top w:val="single" w:sz="4" w:space="0" w:color="365F91"/>
              <w:bottom w:val="single" w:sz="4" w:space="0" w:color="365F91"/>
            </w:tcBorders>
          </w:tcPr>
          <w:p w14:paraId="4DCB6B1F" w14:textId="77777777" w:rsidR="00784FA9" w:rsidRPr="00D604EE" w:rsidRDefault="00784FA9" w:rsidP="007E3239">
            <w:pPr>
              <w:pStyle w:val="TableText"/>
              <w:spacing w:before="40" w:after="40"/>
              <w:jc w:val="center"/>
              <w:rPr>
                <w:rFonts w:cs="Segoe UI"/>
                <w:szCs w:val="16"/>
              </w:rPr>
            </w:pPr>
            <w:r w:rsidRPr="00D604EE">
              <w:t>17,733</w:t>
            </w:r>
          </w:p>
        </w:tc>
        <w:tc>
          <w:tcPr>
            <w:tcW w:w="1323" w:type="dxa"/>
            <w:tcBorders>
              <w:top w:val="single" w:sz="4" w:space="0" w:color="365F91"/>
              <w:bottom w:val="single" w:sz="4" w:space="0" w:color="365F91"/>
            </w:tcBorders>
          </w:tcPr>
          <w:p w14:paraId="0FD95DCE" w14:textId="77777777" w:rsidR="00784FA9" w:rsidRPr="00D604EE" w:rsidRDefault="00784FA9" w:rsidP="007E3239">
            <w:pPr>
              <w:pStyle w:val="TableText"/>
              <w:spacing w:before="40" w:after="40"/>
              <w:jc w:val="center"/>
              <w:rPr>
                <w:rFonts w:cs="Segoe UI"/>
                <w:szCs w:val="16"/>
              </w:rPr>
            </w:pPr>
            <w:r w:rsidRPr="00D604EE">
              <w:t>162.1</w:t>
            </w:r>
          </w:p>
        </w:tc>
      </w:tr>
      <w:tr w:rsidR="00784FA9" w:rsidRPr="00D604EE" w14:paraId="459037D9" w14:textId="77777777" w:rsidTr="007E3239">
        <w:tc>
          <w:tcPr>
            <w:tcW w:w="1726" w:type="dxa"/>
            <w:tcBorders>
              <w:top w:val="nil"/>
              <w:bottom w:val="single" w:sz="4" w:space="0" w:color="365F91"/>
            </w:tcBorders>
          </w:tcPr>
          <w:p w14:paraId="4044F9BA" w14:textId="77777777" w:rsidR="00784FA9" w:rsidRPr="00D604EE" w:rsidRDefault="00784FA9" w:rsidP="007E3239">
            <w:pPr>
              <w:pStyle w:val="TableTextBold"/>
              <w:spacing w:before="40" w:after="40"/>
              <w:rPr>
                <w:rFonts w:cs="Segoe UI"/>
                <w:noProof w:val="0"/>
                <w:szCs w:val="16"/>
              </w:rPr>
            </w:pPr>
          </w:p>
        </w:tc>
        <w:tc>
          <w:tcPr>
            <w:tcW w:w="2487" w:type="dxa"/>
            <w:tcBorders>
              <w:top w:val="single" w:sz="4" w:space="0" w:color="365F91"/>
              <w:bottom w:val="single" w:sz="4" w:space="0" w:color="365F91"/>
            </w:tcBorders>
          </w:tcPr>
          <w:p w14:paraId="312D214C" w14:textId="77777777" w:rsidR="00784FA9" w:rsidRPr="00D604EE" w:rsidRDefault="00784FA9" w:rsidP="007E3239">
            <w:pPr>
              <w:pStyle w:val="TableText"/>
              <w:spacing w:before="40" w:after="40"/>
              <w:rPr>
                <w:rFonts w:cs="Segoe UI"/>
                <w:i/>
                <w:szCs w:val="16"/>
              </w:rPr>
            </w:pPr>
            <w:r w:rsidRPr="00D604EE">
              <w:rPr>
                <w:rFonts w:cs="Segoe UI"/>
                <w:i/>
                <w:szCs w:val="16"/>
              </w:rPr>
              <w:t>Subtotal</w:t>
            </w:r>
          </w:p>
        </w:tc>
        <w:tc>
          <w:tcPr>
            <w:tcW w:w="1461" w:type="dxa"/>
            <w:tcBorders>
              <w:top w:val="single" w:sz="4" w:space="0" w:color="365F91"/>
              <w:bottom w:val="single" w:sz="4" w:space="0" w:color="365F91"/>
            </w:tcBorders>
          </w:tcPr>
          <w:p w14:paraId="2B633A73" w14:textId="77777777" w:rsidR="00784FA9" w:rsidRPr="00D604EE" w:rsidRDefault="00784FA9" w:rsidP="007E3239">
            <w:pPr>
              <w:pStyle w:val="TableText"/>
              <w:spacing w:before="40" w:after="40"/>
              <w:jc w:val="center"/>
              <w:rPr>
                <w:rFonts w:cs="Segoe UI"/>
                <w:i/>
                <w:szCs w:val="16"/>
              </w:rPr>
            </w:pPr>
            <w:r w:rsidRPr="00D604EE">
              <w:rPr>
                <w:i/>
                <w:iCs/>
              </w:rPr>
              <w:t>28,146</w:t>
            </w:r>
          </w:p>
        </w:tc>
        <w:tc>
          <w:tcPr>
            <w:tcW w:w="1508" w:type="dxa"/>
            <w:tcBorders>
              <w:top w:val="single" w:sz="4" w:space="0" w:color="365F91"/>
              <w:bottom w:val="single" w:sz="4" w:space="0" w:color="365F91"/>
            </w:tcBorders>
          </w:tcPr>
          <w:p w14:paraId="18C61F74" w14:textId="77777777" w:rsidR="00784FA9" w:rsidRPr="00D604EE" w:rsidRDefault="00784FA9" w:rsidP="007E3239">
            <w:pPr>
              <w:pStyle w:val="TableText"/>
              <w:spacing w:before="40" w:after="40"/>
              <w:jc w:val="center"/>
              <w:rPr>
                <w:rFonts w:cs="Segoe UI"/>
                <w:i/>
                <w:szCs w:val="16"/>
              </w:rPr>
            </w:pPr>
            <w:r w:rsidRPr="00D604EE">
              <w:rPr>
                <w:i/>
                <w:iCs/>
              </w:rPr>
              <w:t>27,811</w:t>
            </w:r>
          </w:p>
        </w:tc>
        <w:tc>
          <w:tcPr>
            <w:tcW w:w="1323" w:type="dxa"/>
            <w:tcBorders>
              <w:top w:val="single" w:sz="4" w:space="0" w:color="365F91"/>
              <w:bottom w:val="single" w:sz="4" w:space="0" w:color="365F91"/>
            </w:tcBorders>
          </w:tcPr>
          <w:p w14:paraId="03B1582C" w14:textId="77777777" w:rsidR="00784FA9" w:rsidRPr="00D604EE" w:rsidRDefault="00784FA9" w:rsidP="007E3239">
            <w:pPr>
              <w:pStyle w:val="TableText"/>
              <w:spacing w:before="40" w:after="40"/>
              <w:jc w:val="center"/>
              <w:rPr>
                <w:rFonts w:cs="Segoe UI"/>
                <w:i/>
                <w:szCs w:val="16"/>
              </w:rPr>
            </w:pPr>
            <w:r w:rsidRPr="00D604EE">
              <w:rPr>
                <w:i/>
              </w:rPr>
              <w:t>–1.2</w:t>
            </w:r>
          </w:p>
        </w:tc>
      </w:tr>
      <w:tr w:rsidR="00784FA9" w:rsidRPr="00D604EE" w14:paraId="3C7726D4" w14:textId="77777777" w:rsidTr="007E3239">
        <w:tc>
          <w:tcPr>
            <w:tcW w:w="1726" w:type="dxa"/>
            <w:tcBorders>
              <w:top w:val="single" w:sz="4" w:space="0" w:color="365F91"/>
              <w:bottom w:val="single" w:sz="4" w:space="0" w:color="365F91"/>
            </w:tcBorders>
          </w:tcPr>
          <w:p w14:paraId="48BB4B96" w14:textId="77777777" w:rsidR="00784FA9" w:rsidRPr="00D604EE" w:rsidRDefault="00784FA9" w:rsidP="007E3239">
            <w:pPr>
              <w:pStyle w:val="Tableboldblue"/>
              <w:spacing w:before="40" w:after="40"/>
              <w:jc w:val="right"/>
              <w:rPr>
                <w:rFonts w:cs="Segoe UI"/>
              </w:rPr>
            </w:pPr>
            <w:r w:rsidRPr="00D604EE">
              <w:rPr>
                <w:rFonts w:cs="Segoe UI"/>
              </w:rPr>
              <w:t>Total</w:t>
            </w:r>
          </w:p>
        </w:tc>
        <w:tc>
          <w:tcPr>
            <w:tcW w:w="2487" w:type="dxa"/>
            <w:tcBorders>
              <w:top w:val="single" w:sz="4" w:space="0" w:color="365F91"/>
              <w:bottom w:val="single" w:sz="4" w:space="0" w:color="365F91"/>
            </w:tcBorders>
          </w:tcPr>
          <w:p w14:paraId="544F8578" w14:textId="77777777" w:rsidR="00784FA9" w:rsidRPr="00D604EE" w:rsidRDefault="00784FA9" w:rsidP="007E3239">
            <w:pPr>
              <w:pStyle w:val="Tableboldblue"/>
              <w:spacing w:before="40" w:after="40"/>
              <w:rPr>
                <w:rFonts w:cs="Segoe UI"/>
              </w:rPr>
            </w:pPr>
          </w:p>
        </w:tc>
        <w:tc>
          <w:tcPr>
            <w:tcW w:w="1461" w:type="dxa"/>
            <w:tcBorders>
              <w:top w:val="single" w:sz="4" w:space="0" w:color="365F91"/>
              <w:bottom w:val="single" w:sz="4" w:space="0" w:color="365F91"/>
            </w:tcBorders>
          </w:tcPr>
          <w:p w14:paraId="09C02D7B" w14:textId="77777777" w:rsidR="00784FA9" w:rsidRPr="00D604EE" w:rsidRDefault="00784FA9" w:rsidP="007E3239">
            <w:pPr>
              <w:pStyle w:val="Tableboldblue"/>
              <w:spacing w:before="40" w:after="40"/>
              <w:jc w:val="center"/>
              <w:rPr>
                <w:rFonts w:cs="Segoe UI"/>
              </w:rPr>
            </w:pPr>
            <w:r w:rsidRPr="00D604EE">
              <w:t>423,930</w:t>
            </w:r>
          </w:p>
        </w:tc>
        <w:tc>
          <w:tcPr>
            <w:tcW w:w="1508" w:type="dxa"/>
            <w:tcBorders>
              <w:top w:val="single" w:sz="4" w:space="0" w:color="365F91"/>
              <w:bottom w:val="single" w:sz="4" w:space="0" w:color="365F91"/>
            </w:tcBorders>
          </w:tcPr>
          <w:p w14:paraId="2C9D75D7" w14:textId="77777777" w:rsidR="00784FA9" w:rsidRPr="00D604EE" w:rsidRDefault="00784FA9" w:rsidP="007E3239">
            <w:pPr>
              <w:pStyle w:val="Tableboldblue"/>
              <w:spacing w:before="40" w:after="40"/>
              <w:jc w:val="center"/>
              <w:rPr>
                <w:rFonts w:cs="Segoe UI"/>
              </w:rPr>
            </w:pPr>
            <w:r w:rsidRPr="00D604EE">
              <w:t>476,422</w:t>
            </w:r>
          </w:p>
        </w:tc>
        <w:tc>
          <w:tcPr>
            <w:tcW w:w="1323" w:type="dxa"/>
            <w:tcBorders>
              <w:top w:val="single" w:sz="4" w:space="0" w:color="365F91"/>
              <w:bottom w:val="single" w:sz="4" w:space="0" w:color="365F91"/>
            </w:tcBorders>
          </w:tcPr>
          <w:p w14:paraId="2FBE8EC0" w14:textId="77777777" w:rsidR="00784FA9" w:rsidRPr="00D604EE" w:rsidRDefault="00784FA9" w:rsidP="007E3239">
            <w:pPr>
              <w:pStyle w:val="Tableboldblue"/>
              <w:spacing w:before="40" w:after="40"/>
              <w:jc w:val="center"/>
              <w:rPr>
                <w:rFonts w:cs="Segoe UI"/>
              </w:rPr>
            </w:pPr>
            <w:r w:rsidRPr="00D604EE">
              <w:t>+12.4</w:t>
            </w:r>
          </w:p>
        </w:tc>
      </w:tr>
    </w:tbl>
    <w:p w14:paraId="42196D01" w14:textId="77777777" w:rsidR="00784FA9" w:rsidRPr="00D604EE" w:rsidRDefault="00784FA9" w:rsidP="00784FA9">
      <w:pPr>
        <w:pStyle w:val="Noteundertable"/>
      </w:pPr>
      <w:r w:rsidRPr="00D604EE">
        <w:rPr>
          <w:b/>
        </w:rPr>
        <w:t>Note:</w:t>
      </w:r>
      <w:r w:rsidRPr="00D604EE">
        <w:tab/>
        <w:t>NA = not applicable. This table shows the change between 1 January 1990 and 31 December 2020. Columns may not total due to rounding.</w:t>
      </w:r>
    </w:p>
    <w:p w14:paraId="64779EF8" w14:textId="77777777" w:rsidR="00784FA9" w:rsidRPr="00D604EE" w:rsidRDefault="00784FA9" w:rsidP="00784FA9">
      <w:pPr>
        <w:pStyle w:val="BodyText"/>
      </w:pPr>
      <w:r w:rsidRPr="00D604EE">
        <w:t xml:space="preserve">In 2020, </w:t>
      </w:r>
      <w:r w:rsidRPr="00D604EE">
        <w:rPr>
          <w:i/>
        </w:rPr>
        <w:t>Cropland remaining cropland</w:t>
      </w:r>
      <w:r w:rsidRPr="00D604EE">
        <w:t xml:space="preserve"> (level and trend assessment) was a key category. </w:t>
      </w:r>
    </w:p>
    <w:p w14:paraId="5C1A879A" w14:textId="77777777" w:rsidR="00784FA9" w:rsidRPr="00D604EE" w:rsidRDefault="00784FA9" w:rsidP="00784FA9">
      <w:pPr>
        <w:pStyle w:val="Heading3"/>
      </w:pPr>
      <w:bookmarkStart w:id="1790" w:name="_Toc139253964"/>
      <w:bookmarkStart w:id="1791" w:name="_Toc255466373"/>
      <w:bookmarkStart w:id="1792" w:name="_Toc261513180"/>
      <w:bookmarkStart w:id="1793" w:name="_Toc261513793"/>
      <w:bookmarkStart w:id="1794" w:name="_Toc280630265"/>
      <w:r w:rsidRPr="00D604EE">
        <w:t>6.4.2</w:t>
      </w:r>
      <w:r w:rsidRPr="00D604EE">
        <w:tab/>
        <w:t>Methodological issues</w:t>
      </w:r>
      <w:bookmarkEnd w:id="1790"/>
      <w:bookmarkEnd w:id="1791"/>
      <w:bookmarkEnd w:id="1792"/>
      <w:bookmarkEnd w:id="1793"/>
      <w:bookmarkEnd w:id="1794"/>
      <w:r w:rsidRPr="00D604EE">
        <w:t xml:space="preserve"> </w:t>
      </w:r>
    </w:p>
    <w:p w14:paraId="00D1144A" w14:textId="77777777" w:rsidR="00784FA9" w:rsidRPr="00D604EE" w:rsidRDefault="00784FA9" w:rsidP="00784FA9">
      <w:pPr>
        <w:pStyle w:val="BodyText"/>
      </w:pPr>
      <w:r w:rsidRPr="00D604EE">
        <w:t xml:space="preserve">Emissions and removals for the living biomass and dead organic matter pools have been calculated using IPCC Tier 1 emission factors for annual cropland, Tier 2 emission factors for perennial cropland (Davis and Wakelin, unpublished) and activity data as described in section 6.2. Emissions and removals by the SOC pool are estimated using a Tier 2 method for mineral soils and IPCC Tier 1 defaults for organic soils as described in annex A3.2.4. </w:t>
      </w:r>
    </w:p>
    <w:p w14:paraId="7003F93A" w14:textId="77777777" w:rsidR="00784FA9" w:rsidRPr="00D604EE" w:rsidRDefault="00784FA9" w:rsidP="00784FA9">
      <w:pPr>
        <w:pStyle w:val="BodyText"/>
      </w:pPr>
      <w:r w:rsidRPr="00D604EE">
        <w:t xml:space="preserve">A summary of the New Zealand emission factors and other parameters used to estimate greenhouse gas emissions for the </w:t>
      </w:r>
      <w:r w:rsidRPr="00D604EE">
        <w:rPr>
          <w:i/>
        </w:rPr>
        <w:t>Cropland</w:t>
      </w:r>
      <w:r w:rsidRPr="00D604EE">
        <w:t xml:space="preserve"> category is provided in table 6.4.5. </w:t>
      </w:r>
      <w:bookmarkStart w:id="1795" w:name="_Toc310423418"/>
      <w:bookmarkStart w:id="1796" w:name="_Toc318362711"/>
      <w:bookmarkStart w:id="1797" w:name="_Toc342470773"/>
      <w:bookmarkStart w:id="1798" w:name="_Toc352505013"/>
      <w:bookmarkStart w:id="1799" w:name="_Toc378853304"/>
    </w:p>
    <w:p w14:paraId="637D1590" w14:textId="77777777" w:rsidR="00784FA9" w:rsidRPr="00D604EE" w:rsidRDefault="00784FA9" w:rsidP="00784FA9">
      <w:pPr>
        <w:pStyle w:val="Table"/>
      </w:pPr>
      <w:bookmarkStart w:id="1800" w:name="_Toc391024102"/>
      <w:bookmarkStart w:id="1801" w:name="_Toc410028845"/>
      <w:bookmarkStart w:id="1802" w:name="_Toc414531473"/>
      <w:bookmarkStart w:id="1803" w:name="_Toc443645386"/>
      <w:bookmarkStart w:id="1804" w:name="_Toc474914605"/>
      <w:bookmarkStart w:id="1805" w:name="_Toc481751569"/>
      <w:bookmarkStart w:id="1806" w:name="_Toc522010626"/>
      <w:bookmarkStart w:id="1807" w:name="_Toc5269531"/>
      <w:bookmarkStart w:id="1808" w:name="_Toc33529405"/>
      <w:bookmarkStart w:id="1809" w:name="_Toc36224611"/>
      <w:bookmarkStart w:id="1810" w:name="_Toc65243608"/>
      <w:bookmarkStart w:id="1811" w:name="_Toc99659294"/>
      <w:r w:rsidRPr="00D604EE">
        <w:lastRenderedPageBreak/>
        <w:t>Table 6.4.5</w:t>
      </w:r>
      <w:r w:rsidRPr="00D604EE">
        <w:tab/>
        <w:t>Summary of New Zealand’s carbon stock change emission factors for the </w:t>
      </w:r>
      <w:r w:rsidRPr="00D604EE">
        <w:rPr>
          <w:i/>
        </w:rPr>
        <w:t>Cropland</w:t>
      </w:r>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r w:rsidRPr="00D604EE">
        <w:t xml:space="preserve"> category</w:t>
      </w:r>
      <w:bookmarkEnd w:id="1811"/>
    </w:p>
    <w:tbl>
      <w:tblPr>
        <w:tblW w:w="8505" w:type="dxa"/>
        <w:tblInd w:w="108" w:type="dxa"/>
        <w:tblLayout w:type="fixed"/>
        <w:tblCellMar>
          <w:left w:w="85" w:type="dxa"/>
          <w:right w:w="57" w:type="dxa"/>
        </w:tblCellMar>
        <w:tblLook w:val="04A0" w:firstRow="1" w:lastRow="0" w:firstColumn="1" w:lastColumn="0" w:noHBand="0" w:noVBand="1"/>
      </w:tblPr>
      <w:tblGrid>
        <w:gridCol w:w="886"/>
        <w:gridCol w:w="1535"/>
        <w:gridCol w:w="1122"/>
        <w:gridCol w:w="1241"/>
        <w:gridCol w:w="1005"/>
        <w:gridCol w:w="2716"/>
      </w:tblGrid>
      <w:tr w:rsidR="00784FA9" w:rsidRPr="00D604EE" w14:paraId="22D7E116" w14:textId="77777777" w:rsidTr="00A744C0">
        <w:trPr>
          <w:tblHeader/>
        </w:trPr>
        <w:tc>
          <w:tcPr>
            <w:tcW w:w="886" w:type="dxa"/>
            <w:tcBorders>
              <w:top w:val="single" w:sz="4" w:space="0" w:color="1B556B"/>
              <w:bottom w:val="single" w:sz="4" w:space="0" w:color="1B556B"/>
            </w:tcBorders>
            <w:shd w:val="clear" w:color="auto" w:fill="1B556B"/>
            <w:vAlign w:val="bottom"/>
          </w:tcPr>
          <w:p w14:paraId="50B1257B" w14:textId="77777777" w:rsidR="00784FA9" w:rsidRPr="00D604EE" w:rsidRDefault="00784FA9" w:rsidP="007E3239">
            <w:pPr>
              <w:pStyle w:val="TableTextBold"/>
              <w:keepNext/>
              <w:rPr>
                <w:rFonts w:cs="Segoe UI"/>
                <w:noProof w:val="0"/>
                <w:color w:val="FFFFFF"/>
                <w:szCs w:val="16"/>
              </w:rPr>
            </w:pPr>
            <w:r w:rsidRPr="00D604EE">
              <w:rPr>
                <w:rFonts w:cs="Segoe UI"/>
                <w:noProof w:val="0"/>
                <w:color w:val="FFFFFF"/>
                <w:szCs w:val="16"/>
              </w:rPr>
              <w:t>Land use</w:t>
            </w:r>
          </w:p>
        </w:tc>
        <w:tc>
          <w:tcPr>
            <w:tcW w:w="1535" w:type="dxa"/>
            <w:tcBorders>
              <w:top w:val="single" w:sz="4" w:space="0" w:color="1B556B"/>
              <w:bottom w:val="single" w:sz="4" w:space="0" w:color="1B556B"/>
            </w:tcBorders>
            <w:shd w:val="clear" w:color="auto" w:fill="1B556B"/>
            <w:vAlign w:val="bottom"/>
          </w:tcPr>
          <w:p w14:paraId="36F7B64D" w14:textId="77777777" w:rsidR="00784FA9" w:rsidRPr="00D604EE" w:rsidRDefault="00784FA9" w:rsidP="007E3239">
            <w:pPr>
              <w:pStyle w:val="TableTextBold"/>
              <w:keepNext/>
              <w:rPr>
                <w:rFonts w:cs="Segoe UI"/>
                <w:noProof w:val="0"/>
                <w:color w:val="FFFFFF"/>
                <w:szCs w:val="16"/>
              </w:rPr>
            </w:pPr>
            <w:r w:rsidRPr="00D604EE">
              <w:rPr>
                <w:rFonts w:cs="Segoe UI"/>
                <w:noProof w:val="0"/>
                <w:color w:val="FFFFFF"/>
                <w:szCs w:val="16"/>
              </w:rPr>
              <w:t>Carbon pool</w:t>
            </w:r>
          </w:p>
        </w:tc>
        <w:tc>
          <w:tcPr>
            <w:tcW w:w="1122" w:type="dxa"/>
            <w:tcBorders>
              <w:top w:val="single" w:sz="4" w:space="0" w:color="1B556B"/>
              <w:bottom w:val="single" w:sz="4" w:space="0" w:color="1B556B"/>
            </w:tcBorders>
            <w:shd w:val="clear" w:color="auto" w:fill="1B556B"/>
            <w:vAlign w:val="bottom"/>
          </w:tcPr>
          <w:p w14:paraId="581980E9" w14:textId="77777777" w:rsidR="00784FA9" w:rsidRPr="00D604EE" w:rsidRDefault="00784FA9" w:rsidP="007F407F">
            <w:pPr>
              <w:pStyle w:val="TableTextBold"/>
              <w:keepNext/>
              <w:jc w:val="center"/>
              <w:rPr>
                <w:rFonts w:cs="Segoe UI"/>
                <w:noProof w:val="0"/>
                <w:color w:val="FFFFFF"/>
                <w:szCs w:val="16"/>
              </w:rPr>
            </w:pPr>
            <w:r w:rsidRPr="00D604EE">
              <w:rPr>
                <w:rFonts w:cs="Segoe UI"/>
                <w:noProof w:val="0"/>
                <w:color w:val="FFFFFF"/>
                <w:szCs w:val="16"/>
              </w:rPr>
              <w:t xml:space="preserve">Steady state carbon stock </w:t>
            </w:r>
            <w:r w:rsidRPr="00D604EE">
              <w:rPr>
                <w:rFonts w:cs="Segoe UI"/>
                <w:noProof w:val="0"/>
                <w:color w:val="FFFFFF"/>
                <w:szCs w:val="16"/>
              </w:rPr>
              <w:br/>
              <w:t>(t C ha</w:t>
            </w:r>
            <w:r w:rsidRPr="00D604EE">
              <w:rPr>
                <w:rFonts w:cs="Segoe UI"/>
                <w:noProof w:val="0"/>
                <w:color w:val="FFFFFF"/>
                <w:szCs w:val="16"/>
                <w:vertAlign w:val="superscript"/>
              </w:rPr>
              <w:t>–1</w:t>
            </w:r>
            <w:r w:rsidRPr="00D604EE">
              <w:rPr>
                <w:rFonts w:cs="Segoe UI"/>
                <w:noProof w:val="0"/>
                <w:color w:val="FFFFFF"/>
                <w:szCs w:val="16"/>
              </w:rPr>
              <w:t>)</w:t>
            </w:r>
          </w:p>
        </w:tc>
        <w:tc>
          <w:tcPr>
            <w:tcW w:w="1241" w:type="dxa"/>
            <w:tcBorders>
              <w:top w:val="single" w:sz="4" w:space="0" w:color="1B556B"/>
              <w:bottom w:val="single" w:sz="4" w:space="0" w:color="1B556B"/>
            </w:tcBorders>
            <w:shd w:val="clear" w:color="auto" w:fill="1B556B"/>
            <w:vAlign w:val="bottom"/>
          </w:tcPr>
          <w:p w14:paraId="65735BC9" w14:textId="77777777" w:rsidR="00784FA9" w:rsidRPr="00D604EE" w:rsidRDefault="00784FA9" w:rsidP="007F407F">
            <w:pPr>
              <w:pStyle w:val="TableTextBold"/>
              <w:keepNext/>
              <w:jc w:val="center"/>
              <w:rPr>
                <w:rFonts w:cs="Segoe UI"/>
                <w:noProof w:val="0"/>
                <w:color w:val="FFFFFF"/>
                <w:szCs w:val="16"/>
              </w:rPr>
            </w:pPr>
            <w:r w:rsidRPr="00D604EE">
              <w:rPr>
                <w:rFonts w:cs="Segoe UI"/>
                <w:noProof w:val="0"/>
                <w:color w:val="FFFFFF"/>
                <w:szCs w:val="16"/>
              </w:rPr>
              <w:t xml:space="preserve">Annual carbon stock change </w:t>
            </w:r>
            <w:r w:rsidRPr="00D604EE">
              <w:rPr>
                <w:rFonts w:cs="Segoe UI"/>
                <w:noProof w:val="0"/>
                <w:color w:val="FFFFFF"/>
                <w:szCs w:val="16"/>
              </w:rPr>
              <w:br/>
              <w:t>(t C ha</w:t>
            </w:r>
            <w:r w:rsidRPr="00D604EE">
              <w:rPr>
                <w:rFonts w:cs="Segoe UI"/>
                <w:noProof w:val="0"/>
                <w:color w:val="FFFFFF"/>
                <w:szCs w:val="16"/>
                <w:vertAlign w:val="superscript"/>
              </w:rPr>
              <w:t>–1</w:t>
            </w:r>
            <w:r w:rsidRPr="00D604EE">
              <w:rPr>
                <w:rFonts w:cs="Segoe UI"/>
                <w:noProof w:val="0"/>
                <w:color w:val="FFFFFF"/>
                <w:szCs w:val="16"/>
              </w:rPr>
              <w:t>)</w:t>
            </w:r>
          </w:p>
        </w:tc>
        <w:tc>
          <w:tcPr>
            <w:tcW w:w="1005" w:type="dxa"/>
            <w:tcBorders>
              <w:top w:val="single" w:sz="4" w:space="0" w:color="1B556B"/>
              <w:bottom w:val="single" w:sz="4" w:space="0" w:color="1B556B"/>
            </w:tcBorders>
            <w:shd w:val="clear" w:color="auto" w:fill="1B556B"/>
            <w:vAlign w:val="bottom"/>
          </w:tcPr>
          <w:p w14:paraId="15951280" w14:textId="77777777" w:rsidR="00784FA9" w:rsidRPr="00D604EE" w:rsidRDefault="00784FA9" w:rsidP="007F407F">
            <w:pPr>
              <w:pStyle w:val="TableTextBold"/>
              <w:keepNext/>
              <w:jc w:val="center"/>
              <w:rPr>
                <w:rFonts w:cs="Segoe UI"/>
                <w:noProof w:val="0"/>
                <w:color w:val="FFFFFF"/>
                <w:szCs w:val="16"/>
              </w:rPr>
            </w:pPr>
            <w:r w:rsidRPr="00D604EE">
              <w:rPr>
                <w:rFonts w:cs="Segoe UI"/>
                <w:noProof w:val="0"/>
                <w:color w:val="FFFFFF"/>
                <w:szCs w:val="16"/>
              </w:rPr>
              <w:t>Years to reach steady state</w:t>
            </w:r>
          </w:p>
        </w:tc>
        <w:tc>
          <w:tcPr>
            <w:tcW w:w="2716" w:type="dxa"/>
            <w:tcBorders>
              <w:top w:val="single" w:sz="4" w:space="0" w:color="1B556B"/>
              <w:bottom w:val="single" w:sz="4" w:space="0" w:color="1B556B"/>
            </w:tcBorders>
            <w:shd w:val="clear" w:color="auto" w:fill="1B556B"/>
            <w:vAlign w:val="bottom"/>
          </w:tcPr>
          <w:p w14:paraId="12F3823C" w14:textId="77777777" w:rsidR="00784FA9" w:rsidRPr="00D604EE" w:rsidRDefault="00784FA9" w:rsidP="007E3239">
            <w:pPr>
              <w:pStyle w:val="TableTextBold"/>
              <w:keepNext/>
              <w:rPr>
                <w:rFonts w:cs="Segoe UI"/>
                <w:noProof w:val="0"/>
                <w:color w:val="FFFFFF"/>
                <w:szCs w:val="16"/>
              </w:rPr>
            </w:pPr>
            <w:r w:rsidRPr="00D604EE">
              <w:rPr>
                <w:rFonts w:cs="Segoe UI"/>
                <w:noProof w:val="0"/>
                <w:color w:val="FFFFFF"/>
                <w:szCs w:val="16"/>
              </w:rPr>
              <w:t>Source</w:t>
            </w:r>
          </w:p>
        </w:tc>
      </w:tr>
      <w:tr w:rsidR="00784FA9" w:rsidRPr="00D604EE" w14:paraId="4FED369B" w14:textId="77777777" w:rsidTr="00A744C0">
        <w:tc>
          <w:tcPr>
            <w:tcW w:w="886" w:type="dxa"/>
            <w:tcBorders>
              <w:top w:val="single" w:sz="4" w:space="0" w:color="1B556B"/>
            </w:tcBorders>
          </w:tcPr>
          <w:p w14:paraId="4EE2BFB0" w14:textId="77777777" w:rsidR="00784FA9" w:rsidRPr="00D604EE" w:rsidRDefault="00784FA9" w:rsidP="007E3239">
            <w:pPr>
              <w:pStyle w:val="TableTextBold"/>
              <w:keepNext/>
              <w:rPr>
                <w:rFonts w:cs="Segoe UI"/>
                <w:noProof w:val="0"/>
                <w:szCs w:val="16"/>
              </w:rPr>
            </w:pPr>
            <w:r w:rsidRPr="00D604EE">
              <w:rPr>
                <w:rFonts w:cs="Segoe UI"/>
                <w:noProof w:val="0"/>
                <w:szCs w:val="16"/>
              </w:rPr>
              <w:t>Annual</w:t>
            </w:r>
          </w:p>
        </w:tc>
        <w:tc>
          <w:tcPr>
            <w:tcW w:w="1535" w:type="dxa"/>
            <w:tcBorders>
              <w:top w:val="single" w:sz="4" w:space="0" w:color="1B556B"/>
              <w:bottom w:val="single" w:sz="4" w:space="0" w:color="1B556B"/>
            </w:tcBorders>
          </w:tcPr>
          <w:p w14:paraId="6BE0B3B4" w14:textId="77777777" w:rsidR="00784FA9" w:rsidRPr="00D604EE" w:rsidRDefault="00784FA9" w:rsidP="007E3239">
            <w:pPr>
              <w:pStyle w:val="TableText"/>
              <w:keepNext/>
              <w:rPr>
                <w:rFonts w:cs="Segoe UI"/>
                <w:szCs w:val="16"/>
              </w:rPr>
            </w:pPr>
            <w:r w:rsidRPr="00D604EE">
              <w:rPr>
                <w:rFonts w:cs="Segoe UI"/>
                <w:szCs w:val="16"/>
              </w:rPr>
              <w:t>Biomass</w:t>
            </w:r>
          </w:p>
        </w:tc>
        <w:tc>
          <w:tcPr>
            <w:tcW w:w="1122" w:type="dxa"/>
            <w:tcBorders>
              <w:top w:val="single" w:sz="4" w:space="0" w:color="1B556B"/>
              <w:bottom w:val="single" w:sz="4" w:space="0" w:color="1B556B"/>
            </w:tcBorders>
          </w:tcPr>
          <w:p w14:paraId="265AE865" w14:textId="77777777" w:rsidR="00784FA9" w:rsidRPr="00D604EE" w:rsidRDefault="00784FA9" w:rsidP="007F407F">
            <w:pPr>
              <w:pStyle w:val="TableText"/>
              <w:keepNext/>
              <w:jc w:val="center"/>
              <w:rPr>
                <w:rFonts w:cs="Segoe UI"/>
                <w:szCs w:val="16"/>
              </w:rPr>
            </w:pPr>
          </w:p>
        </w:tc>
        <w:tc>
          <w:tcPr>
            <w:tcW w:w="1241" w:type="dxa"/>
            <w:tcBorders>
              <w:top w:val="single" w:sz="4" w:space="0" w:color="1B556B"/>
              <w:bottom w:val="single" w:sz="4" w:space="0" w:color="1B556B"/>
            </w:tcBorders>
          </w:tcPr>
          <w:p w14:paraId="089222AB" w14:textId="77777777" w:rsidR="00784FA9" w:rsidRPr="00D604EE" w:rsidRDefault="00784FA9" w:rsidP="007F407F">
            <w:pPr>
              <w:pStyle w:val="TableText"/>
              <w:keepNext/>
              <w:jc w:val="center"/>
              <w:rPr>
                <w:rFonts w:cs="Segoe UI"/>
                <w:szCs w:val="16"/>
              </w:rPr>
            </w:pPr>
          </w:p>
        </w:tc>
        <w:tc>
          <w:tcPr>
            <w:tcW w:w="1005" w:type="dxa"/>
            <w:tcBorders>
              <w:top w:val="single" w:sz="4" w:space="0" w:color="1B556B"/>
              <w:bottom w:val="single" w:sz="4" w:space="0" w:color="1B556B"/>
            </w:tcBorders>
          </w:tcPr>
          <w:p w14:paraId="6948A188" w14:textId="77777777" w:rsidR="00784FA9" w:rsidRPr="00D604EE" w:rsidRDefault="00784FA9" w:rsidP="007F407F">
            <w:pPr>
              <w:pStyle w:val="TableText"/>
              <w:keepNext/>
              <w:jc w:val="center"/>
              <w:rPr>
                <w:rFonts w:cs="Segoe UI"/>
                <w:szCs w:val="16"/>
              </w:rPr>
            </w:pPr>
          </w:p>
        </w:tc>
        <w:tc>
          <w:tcPr>
            <w:tcW w:w="2716" w:type="dxa"/>
            <w:tcBorders>
              <w:top w:val="single" w:sz="4" w:space="0" w:color="1B556B"/>
              <w:bottom w:val="single" w:sz="4" w:space="0" w:color="1B556B"/>
            </w:tcBorders>
          </w:tcPr>
          <w:p w14:paraId="2269CD14" w14:textId="77777777" w:rsidR="00784FA9" w:rsidRPr="00D604EE" w:rsidRDefault="00784FA9" w:rsidP="007E3239">
            <w:pPr>
              <w:pStyle w:val="TableText"/>
              <w:keepNext/>
              <w:rPr>
                <w:rFonts w:cs="Segoe UI"/>
                <w:szCs w:val="16"/>
              </w:rPr>
            </w:pPr>
          </w:p>
        </w:tc>
      </w:tr>
      <w:tr w:rsidR="00784FA9" w:rsidRPr="00D604EE" w14:paraId="6D11A80B" w14:textId="77777777" w:rsidTr="00A744C0">
        <w:tc>
          <w:tcPr>
            <w:tcW w:w="886" w:type="dxa"/>
          </w:tcPr>
          <w:p w14:paraId="5A54B6F1" w14:textId="77777777" w:rsidR="00784FA9" w:rsidRPr="00D604EE" w:rsidRDefault="00784FA9" w:rsidP="007E3239">
            <w:pPr>
              <w:pStyle w:val="TableText"/>
              <w:rPr>
                <w:rFonts w:cs="Segoe UI"/>
                <w:szCs w:val="16"/>
              </w:rPr>
            </w:pPr>
            <w:r w:rsidRPr="00D604EE">
              <w:rPr>
                <w:rFonts w:cs="Segoe UI"/>
                <w:szCs w:val="16"/>
              </w:rPr>
              <w:t> </w:t>
            </w:r>
          </w:p>
        </w:tc>
        <w:tc>
          <w:tcPr>
            <w:tcW w:w="1535" w:type="dxa"/>
            <w:tcBorders>
              <w:top w:val="single" w:sz="4" w:space="0" w:color="1B556B"/>
              <w:bottom w:val="single" w:sz="4" w:space="0" w:color="1B556B"/>
            </w:tcBorders>
          </w:tcPr>
          <w:p w14:paraId="7EFB2532" w14:textId="77777777" w:rsidR="00784FA9" w:rsidRPr="00D604EE" w:rsidRDefault="00784FA9" w:rsidP="007E3239">
            <w:pPr>
              <w:pStyle w:val="TableText"/>
              <w:keepNext/>
              <w:rPr>
                <w:rFonts w:cs="Segoe UI"/>
                <w:szCs w:val="16"/>
              </w:rPr>
            </w:pPr>
            <w:r w:rsidRPr="00D604EE">
              <w:rPr>
                <w:rFonts w:cs="Segoe UI"/>
                <w:szCs w:val="16"/>
              </w:rPr>
              <w:t>Living biomass</w:t>
            </w:r>
          </w:p>
        </w:tc>
        <w:tc>
          <w:tcPr>
            <w:tcW w:w="1122" w:type="dxa"/>
            <w:tcBorders>
              <w:top w:val="single" w:sz="4" w:space="0" w:color="1B556B"/>
              <w:bottom w:val="single" w:sz="4" w:space="0" w:color="1B556B"/>
            </w:tcBorders>
          </w:tcPr>
          <w:p w14:paraId="03CEF3B7" w14:textId="77777777" w:rsidR="00784FA9" w:rsidRPr="00D604EE" w:rsidRDefault="00784FA9" w:rsidP="007F407F">
            <w:pPr>
              <w:pStyle w:val="TableText"/>
              <w:keepNext/>
              <w:jc w:val="center"/>
              <w:rPr>
                <w:rFonts w:cs="Segoe UI"/>
                <w:szCs w:val="16"/>
              </w:rPr>
            </w:pPr>
            <w:r w:rsidRPr="00D604EE">
              <w:rPr>
                <w:rFonts w:cs="Segoe UI"/>
                <w:szCs w:val="16"/>
              </w:rPr>
              <w:t>5.0</w:t>
            </w:r>
          </w:p>
        </w:tc>
        <w:tc>
          <w:tcPr>
            <w:tcW w:w="1241" w:type="dxa"/>
            <w:tcBorders>
              <w:top w:val="single" w:sz="4" w:space="0" w:color="1B556B"/>
              <w:bottom w:val="single" w:sz="4" w:space="0" w:color="1B556B"/>
            </w:tcBorders>
          </w:tcPr>
          <w:p w14:paraId="35687365" w14:textId="77777777" w:rsidR="00784FA9" w:rsidRPr="00D604EE" w:rsidRDefault="00784FA9" w:rsidP="007F407F">
            <w:pPr>
              <w:pStyle w:val="TableText"/>
              <w:keepNext/>
              <w:jc w:val="center"/>
              <w:rPr>
                <w:rFonts w:cs="Segoe UI"/>
                <w:szCs w:val="16"/>
              </w:rPr>
            </w:pPr>
            <w:r w:rsidRPr="00D604EE">
              <w:rPr>
                <w:rFonts w:cs="Segoe UI"/>
                <w:szCs w:val="16"/>
              </w:rPr>
              <w:t>NA</w:t>
            </w:r>
          </w:p>
        </w:tc>
        <w:tc>
          <w:tcPr>
            <w:tcW w:w="1005" w:type="dxa"/>
            <w:tcBorders>
              <w:top w:val="single" w:sz="4" w:space="0" w:color="1B556B"/>
              <w:bottom w:val="single" w:sz="4" w:space="0" w:color="1B556B"/>
            </w:tcBorders>
          </w:tcPr>
          <w:p w14:paraId="031FC136" w14:textId="77777777" w:rsidR="00784FA9" w:rsidRPr="00D604EE" w:rsidRDefault="00784FA9" w:rsidP="007F407F">
            <w:pPr>
              <w:pStyle w:val="TableText"/>
              <w:keepNext/>
              <w:jc w:val="center"/>
              <w:rPr>
                <w:rFonts w:cs="Segoe UI"/>
                <w:szCs w:val="16"/>
              </w:rPr>
            </w:pPr>
            <w:r w:rsidRPr="00D604EE">
              <w:rPr>
                <w:rFonts w:cs="Segoe UI"/>
                <w:szCs w:val="16"/>
              </w:rPr>
              <w:t>1</w:t>
            </w:r>
          </w:p>
        </w:tc>
        <w:tc>
          <w:tcPr>
            <w:tcW w:w="2716" w:type="dxa"/>
            <w:tcBorders>
              <w:top w:val="single" w:sz="4" w:space="0" w:color="1B556B"/>
              <w:bottom w:val="single" w:sz="4" w:space="0" w:color="1B556B"/>
            </w:tcBorders>
          </w:tcPr>
          <w:p w14:paraId="7443EE16" w14:textId="77777777" w:rsidR="00784FA9" w:rsidRPr="00D604EE" w:rsidRDefault="00784FA9" w:rsidP="007E3239">
            <w:pPr>
              <w:pStyle w:val="TableText"/>
              <w:keepNext/>
              <w:rPr>
                <w:rFonts w:cs="Segoe UI"/>
                <w:szCs w:val="16"/>
              </w:rPr>
            </w:pPr>
            <w:r w:rsidRPr="00D604EE">
              <w:rPr>
                <w:rFonts w:cs="Segoe UI"/>
                <w:szCs w:val="16"/>
              </w:rPr>
              <w:t>IPCC default (table 5.9, IPCC, 2006a)</w:t>
            </w:r>
          </w:p>
        </w:tc>
      </w:tr>
      <w:tr w:rsidR="00784FA9" w:rsidRPr="00D604EE" w14:paraId="5997A7B7" w14:textId="77777777" w:rsidTr="00A744C0">
        <w:tc>
          <w:tcPr>
            <w:tcW w:w="886" w:type="dxa"/>
          </w:tcPr>
          <w:p w14:paraId="5968AE0C" w14:textId="77777777" w:rsidR="00784FA9" w:rsidRPr="00D604EE" w:rsidRDefault="00784FA9" w:rsidP="007E3239">
            <w:pPr>
              <w:pStyle w:val="TableText"/>
              <w:rPr>
                <w:rFonts w:cs="Segoe UI"/>
                <w:szCs w:val="16"/>
              </w:rPr>
            </w:pPr>
            <w:r w:rsidRPr="00D604EE">
              <w:rPr>
                <w:rFonts w:cs="Segoe UI"/>
                <w:szCs w:val="16"/>
              </w:rPr>
              <w:t> </w:t>
            </w:r>
          </w:p>
        </w:tc>
        <w:tc>
          <w:tcPr>
            <w:tcW w:w="1535" w:type="dxa"/>
            <w:tcBorders>
              <w:top w:val="single" w:sz="4" w:space="0" w:color="1B556B"/>
              <w:bottom w:val="single" w:sz="4" w:space="0" w:color="1B556B"/>
            </w:tcBorders>
          </w:tcPr>
          <w:p w14:paraId="1FE9EC89" w14:textId="77777777" w:rsidR="00784FA9" w:rsidRPr="00D604EE" w:rsidRDefault="00784FA9" w:rsidP="007E3239">
            <w:pPr>
              <w:pStyle w:val="TableText"/>
              <w:rPr>
                <w:rFonts w:cs="Segoe UI"/>
                <w:szCs w:val="16"/>
              </w:rPr>
            </w:pPr>
            <w:r w:rsidRPr="00D604EE">
              <w:rPr>
                <w:rFonts w:cs="Segoe UI"/>
                <w:szCs w:val="16"/>
              </w:rPr>
              <w:t>Dead organic matter</w:t>
            </w:r>
          </w:p>
        </w:tc>
        <w:tc>
          <w:tcPr>
            <w:tcW w:w="1122" w:type="dxa"/>
            <w:tcBorders>
              <w:top w:val="single" w:sz="4" w:space="0" w:color="1B556B"/>
              <w:bottom w:val="single" w:sz="4" w:space="0" w:color="1B556B"/>
            </w:tcBorders>
          </w:tcPr>
          <w:p w14:paraId="6C240601" w14:textId="77777777" w:rsidR="00784FA9" w:rsidRPr="00D604EE" w:rsidRDefault="00784FA9" w:rsidP="007F407F">
            <w:pPr>
              <w:pStyle w:val="TableText"/>
              <w:jc w:val="center"/>
              <w:rPr>
                <w:rFonts w:cs="Segoe UI"/>
                <w:szCs w:val="16"/>
              </w:rPr>
            </w:pPr>
            <w:r w:rsidRPr="00D604EE">
              <w:rPr>
                <w:rFonts w:cs="Segoe UI"/>
                <w:szCs w:val="16"/>
              </w:rPr>
              <w:t>NE</w:t>
            </w:r>
          </w:p>
        </w:tc>
        <w:tc>
          <w:tcPr>
            <w:tcW w:w="1241" w:type="dxa"/>
            <w:tcBorders>
              <w:top w:val="single" w:sz="4" w:space="0" w:color="1B556B"/>
              <w:bottom w:val="single" w:sz="4" w:space="0" w:color="1B556B"/>
            </w:tcBorders>
          </w:tcPr>
          <w:p w14:paraId="3D074415" w14:textId="77777777" w:rsidR="00784FA9" w:rsidRPr="00D604EE" w:rsidRDefault="00784FA9" w:rsidP="007F407F">
            <w:pPr>
              <w:pStyle w:val="TableText"/>
              <w:jc w:val="center"/>
              <w:rPr>
                <w:rFonts w:cs="Segoe UI"/>
                <w:szCs w:val="16"/>
              </w:rPr>
            </w:pPr>
            <w:r w:rsidRPr="00D604EE">
              <w:rPr>
                <w:rFonts w:cs="Segoe UI"/>
                <w:szCs w:val="16"/>
              </w:rPr>
              <w:t>NE</w:t>
            </w:r>
          </w:p>
        </w:tc>
        <w:tc>
          <w:tcPr>
            <w:tcW w:w="1005" w:type="dxa"/>
            <w:tcBorders>
              <w:top w:val="single" w:sz="4" w:space="0" w:color="1B556B"/>
              <w:bottom w:val="single" w:sz="4" w:space="0" w:color="1B556B"/>
            </w:tcBorders>
          </w:tcPr>
          <w:p w14:paraId="5ACBACDF" w14:textId="77777777" w:rsidR="00784FA9" w:rsidRPr="00D604EE" w:rsidRDefault="00784FA9" w:rsidP="007F407F">
            <w:pPr>
              <w:pStyle w:val="TableText"/>
              <w:jc w:val="center"/>
              <w:rPr>
                <w:rFonts w:cs="Segoe UI"/>
                <w:szCs w:val="16"/>
              </w:rPr>
            </w:pPr>
            <w:r w:rsidRPr="00D604EE">
              <w:rPr>
                <w:rFonts w:cs="Segoe UI"/>
                <w:szCs w:val="16"/>
              </w:rPr>
              <w:t>NA</w:t>
            </w:r>
          </w:p>
        </w:tc>
        <w:tc>
          <w:tcPr>
            <w:tcW w:w="2716" w:type="dxa"/>
            <w:tcBorders>
              <w:top w:val="single" w:sz="4" w:space="0" w:color="1B556B"/>
              <w:bottom w:val="single" w:sz="4" w:space="0" w:color="1B556B"/>
            </w:tcBorders>
          </w:tcPr>
          <w:p w14:paraId="52B3DFA5" w14:textId="77777777" w:rsidR="00784FA9" w:rsidRPr="00D604EE" w:rsidRDefault="00784FA9" w:rsidP="007E3239">
            <w:pPr>
              <w:pStyle w:val="TableText"/>
              <w:rPr>
                <w:rFonts w:cs="Segoe UI"/>
                <w:szCs w:val="16"/>
              </w:rPr>
            </w:pPr>
            <w:r w:rsidRPr="00D604EE">
              <w:rPr>
                <w:rFonts w:cs="Segoe UI"/>
                <w:szCs w:val="16"/>
              </w:rPr>
              <w:t>No IPCC guidelines</w:t>
            </w:r>
          </w:p>
        </w:tc>
      </w:tr>
      <w:tr w:rsidR="00784FA9" w:rsidRPr="00D604EE" w14:paraId="2ABDEC6F" w14:textId="77777777" w:rsidTr="00A744C0">
        <w:tc>
          <w:tcPr>
            <w:tcW w:w="886" w:type="dxa"/>
          </w:tcPr>
          <w:p w14:paraId="2A09EB1A" w14:textId="77777777" w:rsidR="00784FA9" w:rsidRPr="00D604EE" w:rsidRDefault="00784FA9" w:rsidP="007E3239">
            <w:pPr>
              <w:pStyle w:val="TableText"/>
              <w:rPr>
                <w:rFonts w:cs="Segoe UI"/>
                <w:szCs w:val="16"/>
              </w:rPr>
            </w:pPr>
            <w:r w:rsidRPr="00D604EE">
              <w:rPr>
                <w:rFonts w:cs="Segoe UI"/>
                <w:szCs w:val="16"/>
              </w:rPr>
              <w:t> </w:t>
            </w:r>
          </w:p>
        </w:tc>
        <w:tc>
          <w:tcPr>
            <w:tcW w:w="1535" w:type="dxa"/>
            <w:tcBorders>
              <w:top w:val="single" w:sz="4" w:space="0" w:color="1B556B"/>
              <w:bottom w:val="single" w:sz="4" w:space="0" w:color="1B556B"/>
            </w:tcBorders>
          </w:tcPr>
          <w:p w14:paraId="598D1332" w14:textId="77777777" w:rsidR="00784FA9" w:rsidRPr="00D604EE" w:rsidRDefault="00784FA9" w:rsidP="007E3239">
            <w:pPr>
              <w:pStyle w:val="TableText"/>
              <w:rPr>
                <w:rFonts w:cs="Segoe UI"/>
                <w:szCs w:val="16"/>
              </w:rPr>
            </w:pPr>
            <w:r w:rsidRPr="00D604EE">
              <w:rPr>
                <w:rFonts w:cs="Segoe UI"/>
                <w:szCs w:val="16"/>
              </w:rPr>
              <w:t>Soils</w:t>
            </w:r>
          </w:p>
        </w:tc>
        <w:tc>
          <w:tcPr>
            <w:tcW w:w="1122" w:type="dxa"/>
            <w:tcBorders>
              <w:top w:val="single" w:sz="4" w:space="0" w:color="1B556B"/>
              <w:bottom w:val="single" w:sz="4" w:space="0" w:color="1B556B"/>
            </w:tcBorders>
          </w:tcPr>
          <w:p w14:paraId="14263B56" w14:textId="77777777" w:rsidR="00784FA9" w:rsidRPr="00D604EE" w:rsidRDefault="00784FA9" w:rsidP="007F407F">
            <w:pPr>
              <w:pStyle w:val="TableText"/>
              <w:jc w:val="center"/>
              <w:rPr>
                <w:rFonts w:cs="Segoe UI"/>
                <w:szCs w:val="16"/>
              </w:rPr>
            </w:pPr>
          </w:p>
        </w:tc>
        <w:tc>
          <w:tcPr>
            <w:tcW w:w="1241" w:type="dxa"/>
            <w:tcBorders>
              <w:top w:val="single" w:sz="4" w:space="0" w:color="1B556B"/>
              <w:bottom w:val="single" w:sz="4" w:space="0" w:color="1B556B"/>
            </w:tcBorders>
          </w:tcPr>
          <w:p w14:paraId="19BF0160" w14:textId="77777777" w:rsidR="00784FA9" w:rsidRPr="00D604EE" w:rsidRDefault="00784FA9" w:rsidP="007F407F">
            <w:pPr>
              <w:pStyle w:val="TableText"/>
              <w:jc w:val="center"/>
              <w:rPr>
                <w:rFonts w:cs="Segoe UI"/>
                <w:szCs w:val="16"/>
              </w:rPr>
            </w:pPr>
          </w:p>
        </w:tc>
        <w:tc>
          <w:tcPr>
            <w:tcW w:w="1005" w:type="dxa"/>
            <w:tcBorders>
              <w:top w:val="single" w:sz="4" w:space="0" w:color="1B556B"/>
              <w:bottom w:val="single" w:sz="4" w:space="0" w:color="1B556B"/>
            </w:tcBorders>
          </w:tcPr>
          <w:p w14:paraId="4FA47D04" w14:textId="77777777" w:rsidR="00784FA9" w:rsidRPr="00D604EE" w:rsidRDefault="00784FA9" w:rsidP="007F407F">
            <w:pPr>
              <w:pStyle w:val="TableText"/>
              <w:jc w:val="center"/>
              <w:rPr>
                <w:rFonts w:cs="Segoe UI"/>
                <w:szCs w:val="16"/>
              </w:rPr>
            </w:pPr>
          </w:p>
        </w:tc>
        <w:tc>
          <w:tcPr>
            <w:tcW w:w="2716" w:type="dxa"/>
            <w:tcBorders>
              <w:top w:val="single" w:sz="4" w:space="0" w:color="1B556B"/>
              <w:bottom w:val="single" w:sz="4" w:space="0" w:color="1B556B"/>
            </w:tcBorders>
          </w:tcPr>
          <w:p w14:paraId="745CE4AE" w14:textId="77777777" w:rsidR="00784FA9" w:rsidRPr="00D604EE" w:rsidRDefault="00784FA9" w:rsidP="007E3239">
            <w:pPr>
              <w:pStyle w:val="TableText"/>
              <w:rPr>
                <w:rFonts w:cs="Segoe UI"/>
                <w:szCs w:val="16"/>
              </w:rPr>
            </w:pPr>
          </w:p>
        </w:tc>
      </w:tr>
      <w:tr w:rsidR="00784FA9" w:rsidRPr="00D604EE" w14:paraId="4031A142" w14:textId="77777777" w:rsidTr="00A744C0">
        <w:tc>
          <w:tcPr>
            <w:tcW w:w="886" w:type="dxa"/>
          </w:tcPr>
          <w:p w14:paraId="532436AA" w14:textId="77777777" w:rsidR="00784FA9" w:rsidRPr="00D604EE" w:rsidRDefault="00784FA9" w:rsidP="007E3239">
            <w:pPr>
              <w:pStyle w:val="TableText"/>
              <w:rPr>
                <w:rFonts w:cs="Segoe UI"/>
                <w:szCs w:val="16"/>
              </w:rPr>
            </w:pPr>
          </w:p>
        </w:tc>
        <w:tc>
          <w:tcPr>
            <w:tcW w:w="1535" w:type="dxa"/>
            <w:tcBorders>
              <w:top w:val="single" w:sz="4" w:space="0" w:color="1B556B"/>
              <w:bottom w:val="single" w:sz="4" w:space="0" w:color="1B556B"/>
            </w:tcBorders>
          </w:tcPr>
          <w:p w14:paraId="2F51F784" w14:textId="77777777" w:rsidR="00784FA9" w:rsidRPr="00D604EE" w:rsidRDefault="00784FA9" w:rsidP="007E3239">
            <w:pPr>
              <w:pStyle w:val="TableText"/>
              <w:rPr>
                <w:rFonts w:cs="Segoe UI"/>
                <w:szCs w:val="16"/>
              </w:rPr>
            </w:pPr>
            <w:r w:rsidRPr="00D604EE">
              <w:rPr>
                <w:rFonts w:cs="Segoe UI"/>
                <w:szCs w:val="16"/>
              </w:rPr>
              <w:t xml:space="preserve">Mineral </w:t>
            </w:r>
          </w:p>
        </w:tc>
        <w:tc>
          <w:tcPr>
            <w:tcW w:w="1122" w:type="dxa"/>
            <w:tcBorders>
              <w:top w:val="single" w:sz="4" w:space="0" w:color="1B556B"/>
              <w:bottom w:val="single" w:sz="4" w:space="0" w:color="1B556B"/>
            </w:tcBorders>
          </w:tcPr>
          <w:p w14:paraId="76916209" w14:textId="77777777" w:rsidR="00784FA9" w:rsidRPr="00D604EE" w:rsidRDefault="00784FA9" w:rsidP="007F407F">
            <w:pPr>
              <w:pStyle w:val="TableText"/>
              <w:jc w:val="center"/>
              <w:rPr>
                <w:rFonts w:cs="Segoe UI"/>
                <w:szCs w:val="16"/>
              </w:rPr>
            </w:pPr>
            <w:r w:rsidRPr="00D604EE">
              <w:rPr>
                <w:rFonts w:cs="Segoe UI"/>
                <w:szCs w:val="16"/>
              </w:rPr>
              <w:t>89.77</w:t>
            </w:r>
          </w:p>
        </w:tc>
        <w:tc>
          <w:tcPr>
            <w:tcW w:w="1241" w:type="dxa"/>
            <w:tcBorders>
              <w:top w:val="single" w:sz="4" w:space="0" w:color="1B556B"/>
              <w:bottom w:val="single" w:sz="4" w:space="0" w:color="1B556B"/>
            </w:tcBorders>
          </w:tcPr>
          <w:p w14:paraId="426AE05E" w14:textId="77777777" w:rsidR="00784FA9" w:rsidRPr="00D604EE" w:rsidRDefault="00784FA9" w:rsidP="007F407F">
            <w:pPr>
              <w:pStyle w:val="TableText"/>
              <w:jc w:val="center"/>
              <w:rPr>
                <w:rFonts w:cs="Segoe UI"/>
                <w:szCs w:val="16"/>
              </w:rPr>
            </w:pPr>
            <w:r w:rsidRPr="00D604EE">
              <w:rPr>
                <w:rFonts w:cs="Segoe UI"/>
                <w:szCs w:val="16"/>
              </w:rPr>
              <w:t>*</w:t>
            </w:r>
          </w:p>
        </w:tc>
        <w:tc>
          <w:tcPr>
            <w:tcW w:w="1005" w:type="dxa"/>
            <w:tcBorders>
              <w:top w:val="single" w:sz="4" w:space="0" w:color="1B556B"/>
              <w:bottom w:val="single" w:sz="4" w:space="0" w:color="1B556B"/>
            </w:tcBorders>
          </w:tcPr>
          <w:p w14:paraId="192E3B9C" w14:textId="77777777" w:rsidR="00784FA9" w:rsidRPr="00D604EE" w:rsidRDefault="00784FA9" w:rsidP="007F407F">
            <w:pPr>
              <w:pStyle w:val="TableText"/>
              <w:jc w:val="center"/>
              <w:rPr>
                <w:rFonts w:cs="Segoe UI"/>
                <w:szCs w:val="16"/>
              </w:rPr>
            </w:pPr>
            <w:r w:rsidRPr="00D604EE">
              <w:rPr>
                <w:rFonts w:cs="Segoe UI"/>
                <w:szCs w:val="16"/>
              </w:rPr>
              <w:t>20</w:t>
            </w:r>
          </w:p>
        </w:tc>
        <w:tc>
          <w:tcPr>
            <w:tcW w:w="2716" w:type="dxa"/>
            <w:tcBorders>
              <w:top w:val="single" w:sz="4" w:space="0" w:color="1B556B"/>
              <w:bottom w:val="single" w:sz="4" w:space="0" w:color="1B556B"/>
            </w:tcBorders>
          </w:tcPr>
          <w:p w14:paraId="1DB191C3" w14:textId="77777777" w:rsidR="00784FA9" w:rsidRPr="00D604EE" w:rsidRDefault="00784FA9" w:rsidP="007E3239">
            <w:pPr>
              <w:pStyle w:val="TableText"/>
              <w:rPr>
                <w:rFonts w:cs="Segoe UI"/>
                <w:szCs w:val="16"/>
              </w:rPr>
            </w:pPr>
            <w:r w:rsidRPr="00D604EE">
              <w:rPr>
                <w:rFonts w:cs="Segoe UI"/>
                <w:szCs w:val="16"/>
              </w:rPr>
              <w:t>NZ-specific EF (McNeill and Barringer, unpublished)</w:t>
            </w:r>
          </w:p>
        </w:tc>
      </w:tr>
      <w:tr w:rsidR="00784FA9" w:rsidRPr="00D604EE" w14:paraId="28E7FA62" w14:textId="77777777" w:rsidTr="00A744C0">
        <w:tc>
          <w:tcPr>
            <w:tcW w:w="886" w:type="dxa"/>
            <w:tcBorders>
              <w:bottom w:val="single" w:sz="4" w:space="0" w:color="1B556B"/>
            </w:tcBorders>
          </w:tcPr>
          <w:p w14:paraId="4B043C64" w14:textId="77777777" w:rsidR="00784FA9" w:rsidRPr="00D604EE" w:rsidRDefault="00784FA9" w:rsidP="007E3239">
            <w:pPr>
              <w:pStyle w:val="TableText"/>
              <w:rPr>
                <w:rFonts w:cs="Segoe UI"/>
                <w:szCs w:val="16"/>
              </w:rPr>
            </w:pPr>
          </w:p>
        </w:tc>
        <w:tc>
          <w:tcPr>
            <w:tcW w:w="1535" w:type="dxa"/>
            <w:tcBorders>
              <w:top w:val="single" w:sz="4" w:space="0" w:color="1B556B"/>
              <w:bottom w:val="single" w:sz="4" w:space="0" w:color="1B556B"/>
            </w:tcBorders>
          </w:tcPr>
          <w:p w14:paraId="7C8D92E1" w14:textId="77777777" w:rsidR="00784FA9" w:rsidRPr="00D604EE" w:rsidRDefault="00784FA9" w:rsidP="007E3239">
            <w:pPr>
              <w:pStyle w:val="TableText"/>
              <w:rPr>
                <w:rFonts w:cs="Segoe UI"/>
                <w:szCs w:val="16"/>
              </w:rPr>
            </w:pPr>
            <w:r w:rsidRPr="00D604EE">
              <w:rPr>
                <w:rFonts w:cs="Segoe UI"/>
                <w:szCs w:val="16"/>
              </w:rPr>
              <w:t xml:space="preserve">Organic </w:t>
            </w:r>
          </w:p>
        </w:tc>
        <w:tc>
          <w:tcPr>
            <w:tcW w:w="1122" w:type="dxa"/>
            <w:tcBorders>
              <w:top w:val="single" w:sz="4" w:space="0" w:color="1B556B"/>
              <w:bottom w:val="single" w:sz="4" w:space="0" w:color="1B556B"/>
            </w:tcBorders>
          </w:tcPr>
          <w:p w14:paraId="5E48B7AD" w14:textId="77777777" w:rsidR="00784FA9" w:rsidRPr="00D604EE" w:rsidRDefault="00784FA9" w:rsidP="007F407F">
            <w:pPr>
              <w:pStyle w:val="TableText"/>
              <w:jc w:val="center"/>
              <w:rPr>
                <w:rFonts w:cs="Segoe UI"/>
                <w:szCs w:val="16"/>
              </w:rPr>
            </w:pPr>
            <w:r w:rsidRPr="00D604EE">
              <w:rPr>
                <w:rFonts w:cs="Segoe UI"/>
                <w:szCs w:val="16"/>
              </w:rPr>
              <w:t>NE</w:t>
            </w:r>
          </w:p>
        </w:tc>
        <w:tc>
          <w:tcPr>
            <w:tcW w:w="1241" w:type="dxa"/>
            <w:tcBorders>
              <w:top w:val="single" w:sz="4" w:space="0" w:color="1B556B"/>
              <w:bottom w:val="single" w:sz="4" w:space="0" w:color="1B556B"/>
            </w:tcBorders>
          </w:tcPr>
          <w:p w14:paraId="26BB3E18" w14:textId="77777777" w:rsidR="00784FA9" w:rsidRPr="00D604EE" w:rsidRDefault="00784FA9" w:rsidP="007F407F">
            <w:pPr>
              <w:pStyle w:val="TableText"/>
              <w:jc w:val="center"/>
              <w:rPr>
                <w:rFonts w:cs="Segoe UI"/>
                <w:szCs w:val="16"/>
              </w:rPr>
            </w:pPr>
            <w:r w:rsidRPr="00D604EE">
              <w:rPr>
                <w:rFonts w:cs="Segoe UI"/>
                <w:szCs w:val="16"/>
              </w:rPr>
              <w:t>–5.0 or –10.0**</w:t>
            </w:r>
          </w:p>
        </w:tc>
        <w:tc>
          <w:tcPr>
            <w:tcW w:w="1005" w:type="dxa"/>
            <w:tcBorders>
              <w:top w:val="single" w:sz="4" w:space="0" w:color="1B556B"/>
              <w:bottom w:val="single" w:sz="4" w:space="0" w:color="1B556B"/>
            </w:tcBorders>
          </w:tcPr>
          <w:p w14:paraId="7849D4D0" w14:textId="77777777" w:rsidR="00784FA9" w:rsidRPr="00D604EE" w:rsidRDefault="00784FA9" w:rsidP="007F407F">
            <w:pPr>
              <w:pStyle w:val="TableText"/>
              <w:jc w:val="center"/>
              <w:rPr>
                <w:rFonts w:cs="Segoe UI"/>
                <w:szCs w:val="16"/>
              </w:rPr>
            </w:pPr>
          </w:p>
        </w:tc>
        <w:tc>
          <w:tcPr>
            <w:tcW w:w="2716" w:type="dxa"/>
            <w:tcBorders>
              <w:top w:val="single" w:sz="4" w:space="0" w:color="1B556B"/>
              <w:bottom w:val="single" w:sz="4" w:space="0" w:color="1B556B"/>
            </w:tcBorders>
          </w:tcPr>
          <w:p w14:paraId="4376354F" w14:textId="7D0AA675" w:rsidR="00784FA9" w:rsidRPr="00D604EE" w:rsidRDefault="00784FA9" w:rsidP="007E3239">
            <w:pPr>
              <w:pStyle w:val="TableText"/>
              <w:rPr>
                <w:rFonts w:cs="Segoe UI"/>
                <w:szCs w:val="16"/>
              </w:rPr>
            </w:pPr>
            <w:r w:rsidRPr="00D604EE">
              <w:rPr>
                <w:rFonts w:cs="Segoe UI"/>
                <w:szCs w:val="16"/>
              </w:rPr>
              <w:t>IPCC Tier 1 default (table 5.6, IPCC, 2006a)</w:t>
            </w:r>
          </w:p>
        </w:tc>
      </w:tr>
      <w:tr w:rsidR="00784FA9" w:rsidRPr="00D604EE" w14:paraId="4752E90F" w14:textId="77777777" w:rsidTr="00A744C0">
        <w:tc>
          <w:tcPr>
            <w:tcW w:w="886" w:type="dxa"/>
            <w:tcBorders>
              <w:top w:val="single" w:sz="4" w:space="0" w:color="1B556B"/>
            </w:tcBorders>
          </w:tcPr>
          <w:p w14:paraId="667D3D8B" w14:textId="77777777" w:rsidR="00784FA9" w:rsidRPr="00D604EE" w:rsidRDefault="00784FA9" w:rsidP="007E3239">
            <w:pPr>
              <w:pStyle w:val="TableTextBold"/>
              <w:rPr>
                <w:noProof w:val="0"/>
              </w:rPr>
            </w:pPr>
            <w:r w:rsidRPr="00D604EE">
              <w:rPr>
                <w:noProof w:val="0"/>
              </w:rPr>
              <w:t>Perennial</w:t>
            </w:r>
          </w:p>
        </w:tc>
        <w:tc>
          <w:tcPr>
            <w:tcW w:w="1535" w:type="dxa"/>
            <w:tcBorders>
              <w:top w:val="single" w:sz="4" w:space="0" w:color="1B556B"/>
              <w:bottom w:val="single" w:sz="4" w:space="0" w:color="1B556B"/>
            </w:tcBorders>
          </w:tcPr>
          <w:p w14:paraId="6DAEE352" w14:textId="77777777" w:rsidR="00784FA9" w:rsidRPr="00D604EE" w:rsidRDefault="00784FA9" w:rsidP="007E3239">
            <w:pPr>
              <w:pStyle w:val="TableText"/>
              <w:keepNext/>
              <w:rPr>
                <w:rFonts w:cs="Segoe UI"/>
                <w:szCs w:val="16"/>
              </w:rPr>
            </w:pPr>
            <w:r w:rsidRPr="00D604EE">
              <w:rPr>
                <w:rFonts w:cs="Segoe UI"/>
                <w:szCs w:val="16"/>
              </w:rPr>
              <w:t>Biomass</w:t>
            </w:r>
          </w:p>
        </w:tc>
        <w:tc>
          <w:tcPr>
            <w:tcW w:w="1122" w:type="dxa"/>
            <w:tcBorders>
              <w:top w:val="single" w:sz="4" w:space="0" w:color="1B556B"/>
              <w:bottom w:val="single" w:sz="4" w:space="0" w:color="1B556B"/>
            </w:tcBorders>
          </w:tcPr>
          <w:p w14:paraId="6953BB38" w14:textId="77777777" w:rsidR="00784FA9" w:rsidRPr="00D604EE" w:rsidRDefault="00784FA9" w:rsidP="007F407F">
            <w:pPr>
              <w:pStyle w:val="TableText"/>
              <w:keepNext/>
              <w:jc w:val="center"/>
              <w:rPr>
                <w:rFonts w:cs="Segoe UI"/>
                <w:szCs w:val="16"/>
              </w:rPr>
            </w:pPr>
          </w:p>
        </w:tc>
        <w:tc>
          <w:tcPr>
            <w:tcW w:w="1241" w:type="dxa"/>
            <w:tcBorders>
              <w:top w:val="single" w:sz="4" w:space="0" w:color="1B556B"/>
              <w:bottom w:val="single" w:sz="4" w:space="0" w:color="1B556B"/>
            </w:tcBorders>
          </w:tcPr>
          <w:p w14:paraId="4C424C0E" w14:textId="77777777" w:rsidR="00784FA9" w:rsidRPr="00D604EE" w:rsidRDefault="00784FA9" w:rsidP="007F407F">
            <w:pPr>
              <w:pStyle w:val="TableText"/>
              <w:keepNext/>
              <w:jc w:val="center"/>
              <w:rPr>
                <w:rFonts w:cs="Segoe UI"/>
                <w:szCs w:val="16"/>
              </w:rPr>
            </w:pPr>
          </w:p>
        </w:tc>
        <w:tc>
          <w:tcPr>
            <w:tcW w:w="1005" w:type="dxa"/>
            <w:tcBorders>
              <w:top w:val="single" w:sz="4" w:space="0" w:color="1B556B"/>
              <w:bottom w:val="single" w:sz="4" w:space="0" w:color="1B556B"/>
            </w:tcBorders>
          </w:tcPr>
          <w:p w14:paraId="266C8077" w14:textId="77777777" w:rsidR="00784FA9" w:rsidRPr="00D604EE" w:rsidRDefault="00784FA9" w:rsidP="007F407F">
            <w:pPr>
              <w:pStyle w:val="TableText"/>
              <w:keepNext/>
              <w:jc w:val="center"/>
              <w:rPr>
                <w:rFonts w:cs="Segoe UI"/>
                <w:szCs w:val="16"/>
              </w:rPr>
            </w:pPr>
          </w:p>
        </w:tc>
        <w:tc>
          <w:tcPr>
            <w:tcW w:w="2716" w:type="dxa"/>
            <w:tcBorders>
              <w:top w:val="single" w:sz="4" w:space="0" w:color="1B556B"/>
              <w:bottom w:val="single" w:sz="4" w:space="0" w:color="1B556B"/>
            </w:tcBorders>
          </w:tcPr>
          <w:p w14:paraId="2B8924BB" w14:textId="77777777" w:rsidR="00784FA9" w:rsidRPr="00D604EE" w:rsidRDefault="00784FA9" w:rsidP="007E3239">
            <w:pPr>
              <w:pStyle w:val="TableText"/>
              <w:keepNext/>
              <w:rPr>
                <w:rFonts w:cs="Segoe UI"/>
                <w:szCs w:val="16"/>
              </w:rPr>
            </w:pPr>
          </w:p>
        </w:tc>
      </w:tr>
      <w:tr w:rsidR="00784FA9" w:rsidRPr="00D604EE" w14:paraId="78398E83" w14:textId="77777777" w:rsidTr="00A744C0">
        <w:tc>
          <w:tcPr>
            <w:tcW w:w="886" w:type="dxa"/>
          </w:tcPr>
          <w:p w14:paraId="52C3B718" w14:textId="77777777" w:rsidR="00784FA9" w:rsidRPr="00D604EE" w:rsidRDefault="00784FA9" w:rsidP="007E3239">
            <w:pPr>
              <w:pStyle w:val="TableText"/>
            </w:pPr>
            <w:r w:rsidRPr="00D604EE">
              <w:t> </w:t>
            </w:r>
          </w:p>
        </w:tc>
        <w:tc>
          <w:tcPr>
            <w:tcW w:w="1535" w:type="dxa"/>
            <w:tcBorders>
              <w:top w:val="single" w:sz="4" w:space="0" w:color="1B556B"/>
              <w:bottom w:val="single" w:sz="4" w:space="0" w:color="1B556B"/>
            </w:tcBorders>
          </w:tcPr>
          <w:p w14:paraId="3953FAF8" w14:textId="77777777" w:rsidR="00784FA9" w:rsidRPr="00D604EE" w:rsidRDefault="00784FA9" w:rsidP="007E3239">
            <w:pPr>
              <w:pStyle w:val="TableText"/>
              <w:keepNext/>
              <w:rPr>
                <w:rFonts w:cs="Segoe UI"/>
                <w:szCs w:val="16"/>
              </w:rPr>
            </w:pPr>
            <w:r w:rsidRPr="00D604EE">
              <w:rPr>
                <w:rFonts w:cs="Segoe UI"/>
                <w:szCs w:val="16"/>
              </w:rPr>
              <w:t>Living biomass</w:t>
            </w:r>
          </w:p>
        </w:tc>
        <w:tc>
          <w:tcPr>
            <w:tcW w:w="1122" w:type="dxa"/>
            <w:tcBorders>
              <w:top w:val="single" w:sz="4" w:space="0" w:color="1B556B"/>
              <w:bottom w:val="single" w:sz="4" w:space="0" w:color="1B556B"/>
            </w:tcBorders>
          </w:tcPr>
          <w:p w14:paraId="65CFE178" w14:textId="77777777" w:rsidR="00784FA9" w:rsidRPr="00D604EE" w:rsidRDefault="00784FA9" w:rsidP="007F407F">
            <w:pPr>
              <w:pStyle w:val="TableText"/>
              <w:keepNext/>
              <w:jc w:val="center"/>
              <w:rPr>
                <w:rFonts w:cs="Segoe UI"/>
                <w:szCs w:val="16"/>
              </w:rPr>
            </w:pPr>
            <w:r w:rsidRPr="00D604EE">
              <w:rPr>
                <w:rFonts w:cs="Segoe UI"/>
                <w:szCs w:val="16"/>
              </w:rPr>
              <w:t>18.76</w:t>
            </w:r>
          </w:p>
        </w:tc>
        <w:tc>
          <w:tcPr>
            <w:tcW w:w="1241" w:type="dxa"/>
            <w:tcBorders>
              <w:top w:val="single" w:sz="4" w:space="0" w:color="1B556B"/>
              <w:bottom w:val="single" w:sz="4" w:space="0" w:color="1B556B"/>
            </w:tcBorders>
          </w:tcPr>
          <w:p w14:paraId="7309AF94" w14:textId="77777777" w:rsidR="00784FA9" w:rsidRPr="00D604EE" w:rsidRDefault="00784FA9" w:rsidP="007F407F">
            <w:pPr>
              <w:pStyle w:val="TableText"/>
              <w:keepNext/>
              <w:jc w:val="center"/>
              <w:rPr>
                <w:rFonts w:cs="Segoe UI"/>
                <w:szCs w:val="16"/>
              </w:rPr>
            </w:pPr>
            <w:r w:rsidRPr="00D604EE">
              <w:rPr>
                <w:rFonts w:cs="Segoe UI"/>
                <w:szCs w:val="16"/>
              </w:rPr>
              <w:t>0.67</w:t>
            </w:r>
          </w:p>
        </w:tc>
        <w:tc>
          <w:tcPr>
            <w:tcW w:w="1005" w:type="dxa"/>
            <w:tcBorders>
              <w:top w:val="single" w:sz="4" w:space="0" w:color="1B556B"/>
              <w:bottom w:val="single" w:sz="4" w:space="0" w:color="1B556B"/>
            </w:tcBorders>
          </w:tcPr>
          <w:p w14:paraId="55A1ABB0" w14:textId="77777777" w:rsidR="00784FA9" w:rsidRPr="00D604EE" w:rsidRDefault="00784FA9" w:rsidP="007F407F">
            <w:pPr>
              <w:pStyle w:val="TableText"/>
              <w:keepNext/>
              <w:jc w:val="center"/>
              <w:rPr>
                <w:rFonts w:cs="Segoe UI"/>
                <w:szCs w:val="16"/>
              </w:rPr>
            </w:pPr>
            <w:r w:rsidRPr="00D604EE">
              <w:rPr>
                <w:rFonts w:cs="Segoe UI"/>
                <w:szCs w:val="16"/>
              </w:rPr>
              <w:t>28</w:t>
            </w:r>
          </w:p>
        </w:tc>
        <w:tc>
          <w:tcPr>
            <w:tcW w:w="2716" w:type="dxa"/>
            <w:tcBorders>
              <w:top w:val="single" w:sz="4" w:space="0" w:color="1B556B"/>
              <w:bottom w:val="single" w:sz="4" w:space="0" w:color="1B556B"/>
            </w:tcBorders>
          </w:tcPr>
          <w:p w14:paraId="36446092" w14:textId="77777777" w:rsidR="00784FA9" w:rsidRPr="00D604EE" w:rsidRDefault="00784FA9" w:rsidP="007E3239">
            <w:pPr>
              <w:pStyle w:val="TableText"/>
              <w:keepNext/>
              <w:rPr>
                <w:rFonts w:cs="Segoe UI"/>
                <w:szCs w:val="16"/>
              </w:rPr>
            </w:pPr>
            <w:r w:rsidRPr="00D604EE">
              <w:rPr>
                <w:rFonts w:cs="Segoe UI"/>
                <w:szCs w:val="16"/>
              </w:rPr>
              <w:t>NZ-specific EF (Davis and Wakelin, unpublished)</w:t>
            </w:r>
          </w:p>
        </w:tc>
      </w:tr>
      <w:tr w:rsidR="00784FA9" w:rsidRPr="00D604EE" w14:paraId="5E413675" w14:textId="77777777" w:rsidTr="00A744C0">
        <w:tc>
          <w:tcPr>
            <w:tcW w:w="886" w:type="dxa"/>
          </w:tcPr>
          <w:p w14:paraId="531D30C0" w14:textId="77777777" w:rsidR="00784FA9" w:rsidRPr="00D604EE" w:rsidRDefault="00784FA9" w:rsidP="007E3239">
            <w:pPr>
              <w:pStyle w:val="TableText"/>
              <w:rPr>
                <w:rFonts w:cs="Segoe UI"/>
                <w:szCs w:val="16"/>
              </w:rPr>
            </w:pPr>
            <w:r w:rsidRPr="00D604EE">
              <w:rPr>
                <w:rFonts w:cs="Segoe UI"/>
                <w:szCs w:val="16"/>
              </w:rPr>
              <w:t> </w:t>
            </w:r>
          </w:p>
        </w:tc>
        <w:tc>
          <w:tcPr>
            <w:tcW w:w="1535" w:type="dxa"/>
            <w:tcBorders>
              <w:top w:val="single" w:sz="4" w:space="0" w:color="1B556B"/>
              <w:bottom w:val="single" w:sz="4" w:space="0" w:color="1B556B"/>
            </w:tcBorders>
          </w:tcPr>
          <w:p w14:paraId="21E404A7" w14:textId="77777777" w:rsidR="00784FA9" w:rsidRPr="00D604EE" w:rsidRDefault="00784FA9" w:rsidP="007E3239">
            <w:pPr>
              <w:pStyle w:val="TableText"/>
              <w:rPr>
                <w:rFonts w:cs="Segoe UI"/>
                <w:szCs w:val="16"/>
              </w:rPr>
            </w:pPr>
            <w:r w:rsidRPr="00D604EE">
              <w:rPr>
                <w:rFonts w:cs="Segoe UI"/>
                <w:szCs w:val="16"/>
              </w:rPr>
              <w:t>Dead organic matter</w:t>
            </w:r>
          </w:p>
        </w:tc>
        <w:tc>
          <w:tcPr>
            <w:tcW w:w="1122" w:type="dxa"/>
            <w:tcBorders>
              <w:top w:val="single" w:sz="4" w:space="0" w:color="1B556B"/>
              <w:bottom w:val="single" w:sz="4" w:space="0" w:color="1B556B"/>
            </w:tcBorders>
          </w:tcPr>
          <w:p w14:paraId="43933869" w14:textId="77777777" w:rsidR="00784FA9" w:rsidRPr="00D604EE" w:rsidRDefault="00784FA9" w:rsidP="007F407F">
            <w:pPr>
              <w:pStyle w:val="TableText"/>
              <w:jc w:val="center"/>
              <w:rPr>
                <w:rFonts w:cs="Segoe UI"/>
                <w:szCs w:val="16"/>
              </w:rPr>
            </w:pPr>
            <w:r w:rsidRPr="00D604EE">
              <w:rPr>
                <w:rFonts w:cs="Segoe UI"/>
                <w:szCs w:val="16"/>
              </w:rPr>
              <w:t>NE</w:t>
            </w:r>
          </w:p>
        </w:tc>
        <w:tc>
          <w:tcPr>
            <w:tcW w:w="1241" w:type="dxa"/>
            <w:tcBorders>
              <w:top w:val="single" w:sz="4" w:space="0" w:color="1B556B"/>
              <w:bottom w:val="single" w:sz="4" w:space="0" w:color="1B556B"/>
            </w:tcBorders>
          </w:tcPr>
          <w:p w14:paraId="01E7E166" w14:textId="77777777" w:rsidR="00784FA9" w:rsidRPr="00D604EE" w:rsidRDefault="00784FA9" w:rsidP="007F407F">
            <w:pPr>
              <w:pStyle w:val="TableText"/>
              <w:jc w:val="center"/>
              <w:rPr>
                <w:rFonts w:cs="Segoe UI"/>
                <w:szCs w:val="16"/>
              </w:rPr>
            </w:pPr>
            <w:r w:rsidRPr="00D604EE">
              <w:rPr>
                <w:rFonts w:cs="Segoe UI"/>
                <w:szCs w:val="16"/>
              </w:rPr>
              <w:t>NE</w:t>
            </w:r>
          </w:p>
        </w:tc>
        <w:tc>
          <w:tcPr>
            <w:tcW w:w="1005" w:type="dxa"/>
            <w:tcBorders>
              <w:top w:val="single" w:sz="4" w:space="0" w:color="1B556B"/>
              <w:bottom w:val="single" w:sz="4" w:space="0" w:color="1B556B"/>
            </w:tcBorders>
          </w:tcPr>
          <w:p w14:paraId="37BEC3F2" w14:textId="77777777" w:rsidR="00784FA9" w:rsidRPr="00D604EE" w:rsidRDefault="00784FA9" w:rsidP="007F407F">
            <w:pPr>
              <w:pStyle w:val="TableText"/>
              <w:jc w:val="center"/>
              <w:rPr>
                <w:rFonts w:cs="Segoe UI"/>
                <w:szCs w:val="16"/>
              </w:rPr>
            </w:pPr>
            <w:r w:rsidRPr="00D604EE">
              <w:rPr>
                <w:rFonts w:cs="Segoe UI"/>
                <w:szCs w:val="16"/>
              </w:rPr>
              <w:t>NA</w:t>
            </w:r>
          </w:p>
        </w:tc>
        <w:tc>
          <w:tcPr>
            <w:tcW w:w="2716" w:type="dxa"/>
            <w:tcBorders>
              <w:top w:val="single" w:sz="4" w:space="0" w:color="1B556B"/>
              <w:bottom w:val="single" w:sz="4" w:space="0" w:color="1B556B"/>
            </w:tcBorders>
          </w:tcPr>
          <w:p w14:paraId="2C6FF61B" w14:textId="77777777" w:rsidR="00784FA9" w:rsidRPr="00D604EE" w:rsidRDefault="00784FA9" w:rsidP="007E3239">
            <w:pPr>
              <w:pStyle w:val="TableText"/>
              <w:rPr>
                <w:rFonts w:cs="Segoe UI"/>
                <w:szCs w:val="16"/>
              </w:rPr>
            </w:pPr>
            <w:r w:rsidRPr="00D604EE">
              <w:rPr>
                <w:rFonts w:cs="Segoe UI"/>
                <w:szCs w:val="16"/>
              </w:rPr>
              <w:t>No IPCC guidelines</w:t>
            </w:r>
          </w:p>
        </w:tc>
      </w:tr>
      <w:tr w:rsidR="00784FA9" w:rsidRPr="00D604EE" w14:paraId="75AA7B72" w14:textId="77777777" w:rsidTr="00A744C0">
        <w:tc>
          <w:tcPr>
            <w:tcW w:w="886" w:type="dxa"/>
          </w:tcPr>
          <w:p w14:paraId="06D31FBE" w14:textId="77777777" w:rsidR="00784FA9" w:rsidRPr="00D604EE" w:rsidRDefault="00784FA9" w:rsidP="007E3239">
            <w:pPr>
              <w:pStyle w:val="TableText"/>
              <w:rPr>
                <w:rFonts w:cs="Segoe UI"/>
                <w:szCs w:val="16"/>
              </w:rPr>
            </w:pPr>
            <w:r w:rsidRPr="00D604EE">
              <w:rPr>
                <w:rFonts w:cs="Segoe UI"/>
                <w:szCs w:val="16"/>
              </w:rPr>
              <w:t> </w:t>
            </w:r>
          </w:p>
        </w:tc>
        <w:tc>
          <w:tcPr>
            <w:tcW w:w="1535" w:type="dxa"/>
            <w:tcBorders>
              <w:top w:val="single" w:sz="4" w:space="0" w:color="1B556B"/>
              <w:bottom w:val="single" w:sz="4" w:space="0" w:color="1B556B"/>
            </w:tcBorders>
          </w:tcPr>
          <w:p w14:paraId="6C756B73" w14:textId="77777777" w:rsidR="00784FA9" w:rsidRPr="00D604EE" w:rsidRDefault="00784FA9" w:rsidP="007E3239">
            <w:pPr>
              <w:pStyle w:val="TableText"/>
              <w:keepNext/>
              <w:rPr>
                <w:rFonts w:cs="Segoe UI"/>
                <w:szCs w:val="16"/>
              </w:rPr>
            </w:pPr>
            <w:r w:rsidRPr="00D604EE">
              <w:rPr>
                <w:rFonts w:cs="Segoe UI"/>
                <w:szCs w:val="16"/>
              </w:rPr>
              <w:t>Soils</w:t>
            </w:r>
          </w:p>
        </w:tc>
        <w:tc>
          <w:tcPr>
            <w:tcW w:w="1122" w:type="dxa"/>
            <w:tcBorders>
              <w:top w:val="single" w:sz="4" w:space="0" w:color="1B556B"/>
              <w:bottom w:val="single" w:sz="4" w:space="0" w:color="1B556B"/>
            </w:tcBorders>
          </w:tcPr>
          <w:p w14:paraId="6FA81A27" w14:textId="77777777" w:rsidR="00784FA9" w:rsidRPr="00D604EE" w:rsidRDefault="00784FA9" w:rsidP="007F407F">
            <w:pPr>
              <w:pStyle w:val="TableText"/>
              <w:keepNext/>
              <w:jc w:val="center"/>
              <w:rPr>
                <w:rFonts w:cs="Segoe UI"/>
                <w:szCs w:val="16"/>
              </w:rPr>
            </w:pPr>
          </w:p>
        </w:tc>
        <w:tc>
          <w:tcPr>
            <w:tcW w:w="1241" w:type="dxa"/>
            <w:tcBorders>
              <w:top w:val="single" w:sz="4" w:space="0" w:color="1B556B"/>
              <w:bottom w:val="single" w:sz="4" w:space="0" w:color="1B556B"/>
            </w:tcBorders>
          </w:tcPr>
          <w:p w14:paraId="1F004248" w14:textId="77777777" w:rsidR="00784FA9" w:rsidRPr="00D604EE" w:rsidRDefault="00784FA9" w:rsidP="007F407F">
            <w:pPr>
              <w:pStyle w:val="TableText"/>
              <w:keepNext/>
              <w:jc w:val="center"/>
              <w:rPr>
                <w:rFonts w:cs="Segoe UI"/>
                <w:szCs w:val="16"/>
              </w:rPr>
            </w:pPr>
          </w:p>
        </w:tc>
        <w:tc>
          <w:tcPr>
            <w:tcW w:w="1005" w:type="dxa"/>
            <w:tcBorders>
              <w:top w:val="single" w:sz="4" w:space="0" w:color="1B556B"/>
              <w:bottom w:val="single" w:sz="4" w:space="0" w:color="1B556B"/>
            </w:tcBorders>
          </w:tcPr>
          <w:p w14:paraId="67FB7E39" w14:textId="77777777" w:rsidR="00784FA9" w:rsidRPr="00D604EE" w:rsidRDefault="00784FA9" w:rsidP="007F407F">
            <w:pPr>
              <w:pStyle w:val="TableText"/>
              <w:keepNext/>
              <w:jc w:val="center"/>
              <w:rPr>
                <w:rFonts w:cs="Segoe UI"/>
                <w:szCs w:val="16"/>
              </w:rPr>
            </w:pPr>
          </w:p>
        </w:tc>
        <w:tc>
          <w:tcPr>
            <w:tcW w:w="2716" w:type="dxa"/>
            <w:tcBorders>
              <w:top w:val="single" w:sz="4" w:space="0" w:color="1B556B"/>
              <w:bottom w:val="single" w:sz="4" w:space="0" w:color="1B556B"/>
            </w:tcBorders>
          </w:tcPr>
          <w:p w14:paraId="36264825" w14:textId="77777777" w:rsidR="00784FA9" w:rsidRPr="00D604EE" w:rsidRDefault="00784FA9" w:rsidP="007E3239">
            <w:pPr>
              <w:pStyle w:val="TableText"/>
              <w:keepNext/>
              <w:rPr>
                <w:rFonts w:cs="Segoe UI"/>
                <w:szCs w:val="16"/>
              </w:rPr>
            </w:pPr>
          </w:p>
        </w:tc>
      </w:tr>
      <w:tr w:rsidR="00784FA9" w:rsidRPr="00D604EE" w14:paraId="0C8CD906" w14:textId="77777777" w:rsidTr="00A744C0">
        <w:tc>
          <w:tcPr>
            <w:tcW w:w="886" w:type="dxa"/>
          </w:tcPr>
          <w:p w14:paraId="284EB39C" w14:textId="77777777" w:rsidR="00784FA9" w:rsidRPr="00D604EE" w:rsidRDefault="00784FA9" w:rsidP="007E3239">
            <w:pPr>
              <w:pStyle w:val="TableText"/>
            </w:pPr>
          </w:p>
        </w:tc>
        <w:tc>
          <w:tcPr>
            <w:tcW w:w="1535" w:type="dxa"/>
            <w:tcBorders>
              <w:top w:val="single" w:sz="4" w:space="0" w:color="1B556B"/>
              <w:bottom w:val="single" w:sz="4" w:space="0" w:color="1B556B"/>
            </w:tcBorders>
          </w:tcPr>
          <w:p w14:paraId="6E4D306D" w14:textId="77777777" w:rsidR="00784FA9" w:rsidRPr="00D604EE" w:rsidRDefault="00784FA9" w:rsidP="007E3239">
            <w:pPr>
              <w:pStyle w:val="TableText"/>
              <w:keepNext/>
              <w:rPr>
                <w:rFonts w:cs="Segoe UI"/>
                <w:szCs w:val="16"/>
              </w:rPr>
            </w:pPr>
            <w:r w:rsidRPr="00D604EE">
              <w:rPr>
                <w:rFonts w:cs="Segoe UI"/>
                <w:szCs w:val="16"/>
              </w:rPr>
              <w:t xml:space="preserve">Mineral </w:t>
            </w:r>
          </w:p>
        </w:tc>
        <w:tc>
          <w:tcPr>
            <w:tcW w:w="1122" w:type="dxa"/>
            <w:tcBorders>
              <w:top w:val="single" w:sz="4" w:space="0" w:color="1B556B"/>
              <w:bottom w:val="single" w:sz="4" w:space="0" w:color="1B556B"/>
            </w:tcBorders>
          </w:tcPr>
          <w:p w14:paraId="2247ADC0" w14:textId="77777777" w:rsidR="00784FA9" w:rsidRPr="00D604EE" w:rsidRDefault="00784FA9" w:rsidP="007F407F">
            <w:pPr>
              <w:pStyle w:val="TableText"/>
              <w:keepNext/>
              <w:jc w:val="center"/>
              <w:rPr>
                <w:rFonts w:cs="Segoe UI"/>
                <w:szCs w:val="16"/>
              </w:rPr>
            </w:pPr>
            <w:r w:rsidRPr="00D604EE">
              <w:rPr>
                <w:rFonts w:cs="Segoe UI"/>
                <w:szCs w:val="16"/>
              </w:rPr>
              <w:t>88.44</w:t>
            </w:r>
          </w:p>
        </w:tc>
        <w:tc>
          <w:tcPr>
            <w:tcW w:w="1241" w:type="dxa"/>
            <w:tcBorders>
              <w:top w:val="single" w:sz="4" w:space="0" w:color="1B556B"/>
              <w:bottom w:val="single" w:sz="4" w:space="0" w:color="1B556B"/>
            </w:tcBorders>
          </w:tcPr>
          <w:p w14:paraId="32E164CF" w14:textId="77777777" w:rsidR="00784FA9" w:rsidRPr="00D604EE" w:rsidRDefault="00784FA9" w:rsidP="007F407F">
            <w:pPr>
              <w:pStyle w:val="TableText"/>
              <w:keepNext/>
              <w:jc w:val="center"/>
              <w:rPr>
                <w:rFonts w:cs="Segoe UI"/>
                <w:szCs w:val="16"/>
              </w:rPr>
            </w:pPr>
            <w:r w:rsidRPr="00D604EE">
              <w:rPr>
                <w:rFonts w:cs="Segoe UI"/>
                <w:szCs w:val="16"/>
              </w:rPr>
              <w:t>*</w:t>
            </w:r>
          </w:p>
        </w:tc>
        <w:tc>
          <w:tcPr>
            <w:tcW w:w="1005" w:type="dxa"/>
            <w:tcBorders>
              <w:top w:val="single" w:sz="4" w:space="0" w:color="1B556B"/>
              <w:bottom w:val="single" w:sz="4" w:space="0" w:color="1B556B"/>
            </w:tcBorders>
          </w:tcPr>
          <w:p w14:paraId="0BE52CAC" w14:textId="77777777" w:rsidR="00784FA9" w:rsidRPr="00D604EE" w:rsidRDefault="00784FA9" w:rsidP="007F407F">
            <w:pPr>
              <w:pStyle w:val="TableText"/>
              <w:keepNext/>
              <w:jc w:val="center"/>
              <w:rPr>
                <w:rFonts w:cs="Segoe UI"/>
                <w:szCs w:val="16"/>
              </w:rPr>
            </w:pPr>
            <w:r w:rsidRPr="00D604EE">
              <w:rPr>
                <w:rFonts w:cs="Segoe UI"/>
                <w:szCs w:val="16"/>
              </w:rPr>
              <w:t>20</w:t>
            </w:r>
          </w:p>
        </w:tc>
        <w:tc>
          <w:tcPr>
            <w:tcW w:w="2716" w:type="dxa"/>
            <w:tcBorders>
              <w:top w:val="single" w:sz="4" w:space="0" w:color="1B556B"/>
              <w:bottom w:val="single" w:sz="4" w:space="0" w:color="1B556B"/>
            </w:tcBorders>
          </w:tcPr>
          <w:p w14:paraId="71EF834B" w14:textId="77777777" w:rsidR="00784FA9" w:rsidRPr="00D604EE" w:rsidRDefault="00784FA9" w:rsidP="007E3239">
            <w:pPr>
              <w:pStyle w:val="TableText"/>
              <w:keepNext/>
              <w:rPr>
                <w:rFonts w:cs="Segoe UI"/>
                <w:szCs w:val="16"/>
              </w:rPr>
            </w:pPr>
            <w:r w:rsidRPr="00D604EE">
              <w:rPr>
                <w:rFonts w:cs="Segoe UI"/>
                <w:szCs w:val="16"/>
              </w:rPr>
              <w:t>NZ-specific EF (McNeill and Barringer, unpublished)</w:t>
            </w:r>
          </w:p>
        </w:tc>
      </w:tr>
      <w:tr w:rsidR="00784FA9" w:rsidRPr="00D604EE" w14:paraId="5E494C26" w14:textId="77777777" w:rsidTr="00A744C0">
        <w:tc>
          <w:tcPr>
            <w:tcW w:w="886" w:type="dxa"/>
            <w:tcBorders>
              <w:bottom w:val="single" w:sz="4" w:space="0" w:color="1B556B"/>
            </w:tcBorders>
          </w:tcPr>
          <w:p w14:paraId="126E6990" w14:textId="77777777" w:rsidR="00784FA9" w:rsidRPr="00D604EE" w:rsidRDefault="00784FA9" w:rsidP="007E3239">
            <w:pPr>
              <w:pStyle w:val="TableText"/>
              <w:rPr>
                <w:rFonts w:cs="Segoe UI"/>
                <w:szCs w:val="16"/>
              </w:rPr>
            </w:pPr>
          </w:p>
        </w:tc>
        <w:tc>
          <w:tcPr>
            <w:tcW w:w="1535" w:type="dxa"/>
            <w:tcBorders>
              <w:top w:val="single" w:sz="4" w:space="0" w:color="1B556B"/>
              <w:bottom w:val="single" w:sz="4" w:space="0" w:color="1B556B"/>
            </w:tcBorders>
          </w:tcPr>
          <w:p w14:paraId="30D47D80" w14:textId="77777777" w:rsidR="00784FA9" w:rsidRPr="00D604EE" w:rsidRDefault="00784FA9" w:rsidP="007E3239">
            <w:pPr>
              <w:pStyle w:val="TableText"/>
              <w:rPr>
                <w:rFonts w:cs="Segoe UI"/>
                <w:szCs w:val="16"/>
              </w:rPr>
            </w:pPr>
            <w:r w:rsidRPr="00D604EE">
              <w:rPr>
                <w:rFonts w:cs="Segoe UI"/>
                <w:szCs w:val="16"/>
              </w:rPr>
              <w:t>Organic</w:t>
            </w:r>
          </w:p>
        </w:tc>
        <w:tc>
          <w:tcPr>
            <w:tcW w:w="1122" w:type="dxa"/>
            <w:tcBorders>
              <w:top w:val="single" w:sz="4" w:space="0" w:color="1B556B"/>
              <w:bottom w:val="single" w:sz="4" w:space="0" w:color="1B556B"/>
            </w:tcBorders>
          </w:tcPr>
          <w:p w14:paraId="62DF5637" w14:textId="77777777" w:rsidR="00784FA9" w:rsidRPr="00D604EE" w:rsidRDefault="00784FA9" w:rsidP="007F407F">
            <w:pPr>
              <w:pStyle w:val="TableText"/>
              <w:jc w:val="center"/>
              <w:rPr>
                <w:rFonts w:cs="Segoe UI"/>
                <w:szCs w:val="16"/>
              </w:rPr>
            </w:pPr>
            <w:r w:rsidRPr="00D604EE">
              <w:rPr>
                <w:rFonts w:cs="Segoe UI"/>
                <w:szCs w:val="16"/>
              </w:rPr>
              <w:t>NE</w:t>
            </w:r>
          </w:p>
        </w:tc>
        <w:tc>
          <w:tcPr>
            <w:tcW w:w="1241" w:type="dxa"/>
            <w:tcBorders>
              <w:top w:val="single" w:sz="4" w:space="0" w:color="1B556B"/>
              <w:bottom w:val="single" w:sz="4" w:space="0" w:color="1B556B"/>
            </w:tcBorders>
          </w:tcPr>
          <w:p w14:paraId="2CFB5718" w14:textId="77777777" w:rsidR="00784FA9" w:rsidRPr="00D604EE" w:rsidRDefault="00784FA9" w:rsidP="007F407F">
            <w:pPr>
              <w:pStyle w:val="TableText"/>
              <w:jc w:val="center"/>
              <w:rPr>
                <w:rFonts w:cs="Segoe UI"/>
                <w:szCs w:val="16"/>
              </w:rPr>
            </w:pPr>
            <w:r w:rsidRPr="00D604EE">
              <w:rPr>
                <w:rFonts w:cs="Segoe UI"/>
                <w:szCs w:val="16"/>
              </w:rPr>
              <w:t>–5.0 or –10.0**</w:t>
            </w:r>
          </w:p>
        </w:tc>
        <w:tc>
          <w:tcPr>
            <w:tcW w:w="1005" w:type="dxa"/>
            <w:tcBorders>
              <w:top w:val="single" w:sz="4" w:space="0" w:color="1B556B"/>
              <w:bottom w:val="single" w:sz="4" w:space="0" w:color="1B556B"/>
            </w:tcBorders>
          </w:tcPr>
          <w:p w14:paraId="414908C3" w14:textId="77777777" w:rsidR="00784FA9" w:rsidRPr="00D604EE" w:rsidRDefault="00784FA9" w:rsidP="007F407F">
            <w:pPr>
              <w:pStyle w:val="TableText"/>
              <w:jc w:val="center"/>
              <w:rPr>
                <w:rFonts w:cs="Segoe UI"/>
                <w:szCs w:val="16"/>
              </w:rPr>
            </w:pPr>
          </w:p>
        </w:tc>
        <w:tc>
          <w:tcPr>
            <w:tcW w:w="2716" w:type="dxa"/>
            <w:tcBorders>
              <w:top w:val="single" w:sz="4" w:space="0" w:color="1B556B"/>
              <w:bottom w:val="single" w:sz="4" w:space="0" w:color="1B556B"/>
            </w:tcBorders>
          </w:tcPr>
          <w:p w14:paraId="29E200E6" w14:textId="77777777" w:rsidR="00784FA9" w:rsidRPr="00D604EE" w:rsidRDefault="00784FA9" w:rsidP="007E3239">
            <w:pPr>
              <w:pStyle w:val="TableText"/>
              <w:rPr>
                <w:rFonts w:cs="Segoe UI"/>
                <w:szCs w:val="16"/>
              </w:rPr>
            </w:pPr>
            <w:r w:rsidRPr="00D604EE">
              <w:rPr>
                <w:rFonts w:cs="Segoe UI"/>
                <w:szCs w:val="16"/>
              </w:rPr>
              <w:t>IPCC Tier 1 default (table 5.6, IPCC, 2006a)</w:t>
            </w:r>
          </w:p>
        </w:tc>
      </w:tr>
    </w:tbl>
    <w:p w14:paraId="3CFB2A6B" w14:textId="77777777" w:rsidR="00784FA9" w:rsidRPr="00D604EE" w:rsidRDefault="00784FA9" w:rsidP="00784FA9">
      <w:pPr>
        <w:pStyle w:val="Noteundertable"/>
      </w:pPr>
      <w:r w:rsidRPr="00D604EE">
        <w:rPr>
          <w:b/>
        </w:rPr>
        <w:t>Note:</w:t>
      </w:r>
      <w:r w:rsidRPr="00D604EE">
        <w:tab/>
        <w:t>EF = emission factor; NA = not applicable; NE = not estimated. * Annual carbon stock change in mineral soils on land undergoing land-use change will depend on the land use category the land has been converted to or from; see annex A3.2.4 ‘Mineral soils'</w:t>
      </w:r>
      <w:r w:rsidRPr="00D604EE">
        <w:rPr>
          <w:sz w:val="16"/>
          <w:szCs w:val="16"/>
        </w:rPr>
        <w:t>.</w:t>
      </w:r>
      <w:r w:rsidRPr="00D604EE">
        <w:rPr>
          <w:szCs w:val="18"/>
        </w:rPr>
        <w:t xml:space="preserve"> ** The emission factor for organic soils is –5.0 t</w:t>
      </w:r>
      <w:r>
        <w:rPr>
          <w:szCs w:val="18"/>
        </w:rPr>
        <w:t xml:space="preserve"> </w:t>
      </w:r>
      <w:r w:rsidRPr="00D604EE">
        <w:rPr>
          <w:szCs w:val="18"/>
        </w:rPr>
        <w:t>Cha</w:t>
      </w:r>
      <w:r w:rsidRPr="00D604EE">
        <w:rPr>
          <w:szCs w:val="18"/>
          <w:vertAlign w:val="superscript"/>
        </w:rPr>
        <w:t>-1</w:t>
      </w:r>
      <w:r>
        <w:rPr>
          <w:szCs w:val="18"/>
          <w:vertAlign w:val="superscript"/>
        </w:rPr>
        <w:t xml:space="preserve"> </w:t>
      </w:r>
      <w:r w:rsidRPr="00D604EE">
        <w:rPr>
          <w:szCs w:val="18"/>
        </w:rPr>
        <w:t>yr</w:t>
      </w:r>
      <w:r w:rsidRPr="00D604EE">
        <w:rPr>
          <w:szCs w:val="18"/>
          <w:vertAlign w:val="superscript"/>
        </w:rPr>
        <w:t>-1</w:t>
      </w:r>
      <w:r w:rsidRPr="00D604EE">
        <w:rPr>
          <w:szCs w:val="18"/>
        </w:rPr>
        <w:t xml:space="preserve"> for cold temperate regions and –10.0 t</w:t>
      </w:r>
      <w:r>
        <w:rPr>
          <w:szCs w:val="18"/>
        </w:rPr>
        <w:t xml:space="preserve"> </w:t>
      </w:r>
      <w:r w:rsidRPr="00D604EE">
        <w:rPr>
          <w:szCs w:val="18"/>
        </w:rPr>
        <w:t>Cha</w:t>
      </w:r>
      <w:r w:rsidRPr="00D604EE">
        <w:rPr>
          <w:szCs w:val="18"/>
          <w:vertAlign w:val="superscript"/>
        </w:rPr>
        <w:t>-1</w:t>
      </w:r>
      <w:r>
        <w:rPr>
          <w:szCs w:val="18"/>
          <w:vertAlign w:val="superscript"/>
        </w:rPr>
        <w:t xml:space="preserve"> </w:t>
      </w:r>
      <w:r w:rsidRPr="00D604EE">
        <w:rPr>
          <w:szCs w:val="18"/>
        </w:rPr>
        <w:t>yr</w:t>
      </w:r>
      <w:r w:rsidRPr="00D604EE">
        <w:rPr>
          <w:szCs w:val="18"/>
          <w:vertAlign w:val="superscript"/>
        </w:rPr>
        <w:t>-1</w:t>
      </w:r>
      <w:r w:rsidRPr="00D604EE">
        <w:rPr>
          <w:szCs w:val="18"/>
        </w:rPr>
        <w:t xml:space="preserve"> for warm temperate regions.</w:t>
      </w:r>
    </w:p>
    <w:p w14:paraId="0A9711D5" w14:textId="77777777" w:rsidR="00784FA9" w:rsidRPr="00D604EE" w:rsidRDefault="00784FA9" w:rsidP="00784FA9">
      <w:pPr>
        <w:pStyle w:val="Heading4"/>
      </w:pPr>
      <w:bookmarkStart w:id="1812" w:name="_Toc280630266"/>
      <w:r w:rsidRPr="00D604EE">
        <w:t>Cropland remaining cropland</w:t>
      </w:r>
      <w:bookmarkEnd w:id="1812"/>
      <w:r w:rsidRPr="00D604EE">
        <w:t xml:space="preserve"> (CRF 4.B.1)</w:t>
      </w:r>
    </w:p>
    <w:p w14:paraId="6093CC61" w14:textId="77777777" w:rsidR="00784FA9" w:rsidRPr="00D604EE" w:rsidRDefault="00784FA9" w:rsidP="00784FA9">
      <w:pPr>
        <w:pStyle w:val="BodyText"/>
      </w:pPr>
      <w:r w:rsidRPr="00D604EE">
        <w:t xml:space="preserve">For </w:t>
      </w:r>
      <w:r w:rsidRPr="00D604EE">
        <w:rPr>
          <w:i/>
        </w:rPr>
        <w:t>Cropland remaining cropland</w:t>
      </w:r>
      <w:r w:rsidRPr="00D604EE">
        <w:t xml:space="preserve">, the Tier 1 assumption is that for annual cropland there is no change in biomass carbon stocks after the first year (section 5.2.1, IPCC, 2006a). The rationale is that the increase in biomass stocks in a single year is equal to the biomass losses from harvest and mortality in that same year. For perennial cropland, there is a change in carbon stocks associated with a land-use change. Where land-use change has occurred between the </w:t>
      </w:r>
      <w:r w:rsidRPr="00D604EE">
        <w:rPr>
          <w:i/>
        </w:rPr>
        <w:t>Cropland</w:t>
      </w:r>
      <w:r w:rsidRPr="00D604EE">
        <w:t xml:space="preserve"> land use categories, carbon stock changes are reported in </w:t>
      </w:r>
      <w:r w:rsidRPr="00D604EE">
        <w:rPr>
          <w:i/>
        </w:rPr>
        <w:t>Cropland remaining cropland</w:t>
      </w:r>
      <w:r w:rsidRPr="00D604EE">
        <w:t xml:space="preserve">. </w:t>
      </w:r>
    </w:p>
    <w:p w14:paraId="21148154" w14:textId="77777777" w:rsidR="00784FA9" w:rsidRPr="00D604EE" w:rsidRDefault="00784FA9" w:rsidP="00784FA9">
      <w:pPr>
        <w:pStyle w:val="Heading5"/>
      </w:pPr>
      <w:bookmarkStart w:id="1813" w:name="_Toc255466375"/>
      <w:bookmarkStart w:id="1814" w:name="_Toc261513182"/>
      <w:bookmarkStart w:id="1815" w:name="_Toc261513795"/>
      <w:bookmarkStart w:id="1816" w:name="_Toc280630267"/>
      <w:r w:rsidRPr="00D604EE">
        <w:t>Living biomass</w:t>
      </w:r>
      <w:bookmarkEnd w:id="1813"/>
      <w:bookmarkEnd w:id="1814"/>
      <w:bookmarkEnd w:id="1815"/>
      <w:bookmarkEnd w:id="1816"/>
    </w:p>
    <w:p w14:paraId="2AB2300F" w14:textId="77777777" w:rsidR="00784FA9" w:rsidRPr="00D604EE" w:rsidRDefault="00784FA9" w:rsidP="00784FA9">
      <w:pPr>
        <w:pStyle w:val="BodyText"/>
      </w:pPr>
      <w:r w:rsidRPr="00D604EE">
        <w:t>To estimate carbon stock change in living biomass for annual cropland converted to perennial cropland, New Zealand is using Tier 1 defaults for biomass carbon stocks at harvest (table 5.9, IPCC, 2006a). The Tier 1 method for estimating carbon change assumes carbon stocks in biomass immediately after conversion are zero; that is, the land is cleared of all vegetation before planting crops (5.0 tonnes C ha</w:t>
      </w:r>
      <w:r w:rsidRPr="00D604EE">
        <w:rPr>
          <w:vertAlign w:val="superscript"/>
        </w:rPr>
        <w:t>–1</w:t>
      </w:r>
      <w:r w:rsidRPr="00D604EE">
        <w:t xml:space="preserve"> is instantly oxidised in the year of conversion). </w:t>
      </w:r>
    </w:p>
    <w:p w14:paraId="10EA804D" w14:textId="77777777" w:rsidR="00784FA9" w:rsidRPr="00D604EE" w:rsidRDefault="00784FA9" w:rsidP="00784FA9">
      <w:pPr>
        <w:pStyle w:val="BodyText"/>
      </w:pPr>
      <w:r w:rsidRPr="00D604EE">
        <w:t>To estimate growth after conversion of annual cropland to perennial cropland, New Zealand uses the biomass accumulation rate of 0.67 tonnes C ha</w:t>
      </w:r>
      <w:r w:rsidRPr="00D604EE">
        <w:rPr>
          <w:vertAlign w:val="superscript"/>
        </w:rPr>
        <w:t xml:space="preserve">–1 </w:t>
      </w:r>
      <w:r w:rsidRPr="00D604EE">
        <w:t>yr</w:t>
      </w:r>
      <w:r w:rsidRPr="00D604EE">
        <w:rPr>
          <w:vertAlign w:val="superscript"/>
        </w:rPr>
        <w:t>–1</w:t>
      </w:r>
      <w:r w:rsidRPr="00D604EE">
        <w:t>. This value is based on the New Zealand-specific value of 18.76 tonnes C ha</w:t>
      </w:r>
      <w:r w:rsidRPr="00D604EE">
        <w:rPr>
          <w:spacing w:val="-2"/>
          <w:vertAlign w:val="superscript"/>
        </w:rPr>
        <w:t>–1</w:t>
      </w:r>
      <w:r w:rsidRPr="00D604EE">
        <w:t xml:space="preserve"> (</w:t>
      </w:r>
      <w:r w:rsidRPr="00D604EE">
        <w:rPr>
          <w:spacing w:val="-2"/>
        </w:rPr>
        <w:t xml:space="preserve">Davis and Wakelin, </w:t>
      </w:r>
      <w:r w:rsidRPr="00D604EE">
        <w:t>unpublished), sequestered over 28 years. It is assumed any biomass gains after this 28-year period are compensated for by biomass loss from pruning and other management practices, resulting in</w:t>
      </w:r>
      <w:r>
        <w:t> </w:t>
      </w:r>
      <w:r w:rsidRPr="00D604EE">
        <w:t>a</w:t>
      </w:r>
      <w:r>
        <w:t> </w:t>
      </w:r>
      <w:r w:rsidRPr="00D604EE">
        <w:t>net zero change in biomass stock of perennial cropland remaining perennial cropland.</w:t>
      </w:r>
    </w:p>
    <w:p w14:paraId="0F48BD14" w14:textId="77777777" w:rsidR="00784FA9" w:rsidRPr="00D604EE" w:rsidRDefault="00784FA9" w:rsidP="00784FA9">
      <w:pPr>
        <w:pStyle w:val="BodyText"/>
        <w:spacing w:after="100"/>
      </w:pPr>
      <w:r w:rsidRPr="00D604EE">
        <w:lastRenderedPageBreak/>
        <w:t xml:space="preserve">The assumption of net zero change in biomass stock after 28 years may be overly simplistic, as outlined by the ERT recommendation L.21, 2019 (FCCC/ARR/2019/NZL, UNFCCC, 2020). However, activity data for biomass stock changes beyond 28 years, or temporary destocking, are not available annually. It is unlikely funding for further collection of data will be available for this in the short to medium term because research and method development funding will be prioritised for the </w:t>
      </w:r>
      <w:r w:rsidRPr="00D604EE">
        <w:rPr>
          <w:i/>
          <w:iCs/>
        </w:rPr>
        <w:t>Forest land</w:t>
      </w:r>
      <w:r w:rsidRPr="00D604EE">
        <w:t xml:space="preserve"> category. </w:t>
      </w:r>
    </w:p>
    <w:p w14:paraId="748A5718" w14:textId="77777777" w:rsidR="00784FA9" w:rsidRPr="00D604EE" w:rsidRDefault="00784FA9" w:rsidP="00784FA9">
      <w:pPr>
        <w:pStyle w:val="BodyText"/>
        <w:spacing w:after="100"/>
      </w:pPr>
      <w:r w:rsidRPr="00D604EE">
        <w:t xml:space="preserve">The available activity data do not provide information on areas of perennial cropland temporarily destocked; therefore, no losses in carbon stock due to temporary destocking are reported. Consequently, no gains in these areas are reported either when they are restocked. </w:t>
      </w:r>
    </w:p>
    <w:p w14:paraId="7A3C21B6" w14:textId="77777777" w:rsidR="00784FA9" w:rsidRPr="00D604EE" w:rsidRDefault="00784FA9" w:rsidP="00784FA9">
      <w:pPr>
        <w:pStyle w:val="Heading5"/>
        <w:spacing w:before="200"/>
      </w:pPr>
      <w:bookmarkStart w:id="1817" w:name="_Toc255466376"/>
      <w:bookmarkStart w:id="1818" w:name="_Toc261513183"/>
      <w:bookmarkStart w:id="1819" w:name="_Toc261513796"/>
      <w:bookmarkStart w:id="1820" w:name="_Toc280630268"/>
      <w:r w:rsidRPr="00D604EE">
        <w:t>Dead organic matter</w:t>
      </w:r>
      <w:bookmarkEnd w:id="1817"/>
      <w:bookmarkEnd w:id="1818"/>
      <w:bookmarkEnd w:id="1819"/>
      <w:bookmarkEnd w:id="1820"/>
    </w:p>
    <w:p w14:paraId="6FE635D4" w14:textId="77777777" w:rsidR="00784FA9" w:rsidRPr="00D604EE" w:rsidRDefault="00784FA9" w:rsidP="00784FA9">
      <w:pPr>
        <w:pStyle w:val="BodyText"/>
        <w:spacing w:after="100"/>
      </w:pPr>
      <w:r w:rsidRPr="00D604EE">
        <w:t xml:space="preserve">New Zealand does not report estimates of dead organic matter in this category. The notation key NE (not estimated) is used in the CRF tables in accordance with paragraph 37(b) of </w:t>
      </w:r>
      <w:r w:rsidRPr="00D604EE">
        <w:rPr>
          <w:spacing w:val="-2"/>
        </w:rPr>
        <w:t>Decision 24/CP.19 (UNFCCC, 2014). There is insufficient information to provide a basic approach with default parameters to estimate carbon stock change in dead organic matter pools</w:t>
      </w:r>
      <w:r w:rsidRPr="00D604EE">
        <w:t xml:space="preserve"> in </w:t>
      </w:r>
      <w:r w:rsidRPr="00D604EE">
        <w:rPr>
          <w:i/>
        </w:rPr>
        <w:t>Cropland</w:t>
      </w:r>
      <w:r w:rsidRPr="00D604EE">
        <w:t xml:space="preserve"> </w:t>
      </w:r>
      <w:r w:rsidRPr="00D604EE">
        <w:rPr>
          <w:i/>
        </w:rPr>
        <w:t>remaining cropland</w:t>
      </w:r>
      <w:r w:rsidRPr="00D604EE">
        <w:t xml:space="preserve"> and, consequently, no Tier 1 method is provided (IPCC, 2006a).</w:t>
      </w:r>
    </w:p>
    <w:p w14:paraId="6DAC09D0" w14:textId="77777777" w:rsidR="00784FA9" w:rsidRPr="00D604EE" w:rsidRDefault="00784FA9" w:rsidP="00784FA9">
      <w:pPr>
        <w:pStyle w:val="Heading5"/>
        <w:spacing w:before="200"/>
      </w:pPr>
      <w:bookmarkStart w:id="1821" w:name="_Toc255466377"/>
      <w:bookmarkStart w:id="1822" w:name="_Toc261513184"/>
      <w:bookmarkStart w:id="1823" w:name="_Toc261513797"/>
      <w:bookmarkStart w:id="1824" w:name="_Toc280630269"/>
      <w:r w:rsidRPr="00D604EE">
        <w:t>Soil organic carbon</w:t>
      </w:r>
      <w:bookmarkEnd w:id="1821"/>
      <w:bookmarkEnd w:id="1822"/>
      <w:bookmarkEnd w:id="1823"/>
      <w:bookmarkEnd w:id="1824"/>
    </w:p>
    <w:p w14:paraId="7C015DE1" w14:textId="77777777" w:rsidR="00784FA9" w:rsidRPr="00D604EE" w:rsidRDefault="00784FA9" w:rsidP="00784FA9">
      <w:pPr>
        <w:pStyle w:val="BodyText"/>
        <w:spacing w:after="100"/>
      </w:pPr>
      <w:bookmarkStart w:id="1825" w:name="_Toc255466381"/>
      <w:bookmarkStart w:id="1826" w:name="_Toc261513188"/>
      <w:bookmarkStart w:id="1827" w:name="_Toc261513801"/>
      <w:bookmarkStart w:id="1828" w:name="_Toc280630272"/>
      <w:r w:rsidRPr="00D604EE">
        <w:t xml:space="preserve">Soil organic carbon stocks in mineral soil for </w:t>
      </w:r>
      <w:r w:rsidRPr="00D604EE">
        <w:rPr>
          <w:i/>
        </w:rPr>
        <w:t>Cropland remaining cropland</w:t>
      </w:r>
      <w:r w:rsidRPr="00D604EE">
        <w:t xml:space="preserve"> are estimated using a Tier 2 method (see annex A3.2.4 ‘Mineral soils’). For organic soils, loss of soil carbon is estimated using the Tier 1 method as described in annex A3.2.4 ‘Organic soils’. </w:t>
      </w:r>
    </w:p>
    <w:p w14:paraId="5B7B818A" w14:textId="77777777" w:rsidR="00784FA9" w:rsidRPr="00D604EE" w:rsidRDefault="00784FA9" w:rsidP="00784FA9">
      <w:pPr>
        <w:pStyle w:val="BodyText"/>
        <w:spacing w:after="100"/>
      </w:pPr>
      <w:r w:rsidRPr="00D604EE">
        <w:t xml:space="preserve">Mineral soil carbon change for annual cropland converted to perennial cropland and vice versa is estimated using the IPCC default method of applying a linear rate of change over 20 years (equation 2.25, IPCC, 2006a). </w:t>
      </w:r>
    </w:p>
    <w:p w14:paraId="2C256E44" w14:textId="77777777" w:rsidR="00784FA9" w:rsidRPr="00D604EE" w:rsidRDefault="00784FA9" w:rsidP="00784FA9">
      <w:pPr>
        <w:pStyle w:val="Heading5"/>
        <w:spacing w:before="200"/>
      </w:pPr>
      <w:r w:rsidRPr="00D604EE">
        <w:t>Non-CO</w:t>
      </w:r>
      <w:r w:rsidRPr="00D604EE">
        <w:rPr>
          <w:vertAlign w:val="subscript"/>
        </w:rPr>
        <w:t>2</w:t>
      </w:r>
      <w:r w:rsidRPr="00D604EE">
        <w:t xml:space="preserve"> emissions</w:t>
      </w:r>
    </w:p>
    <w:p w14:paraId="3303E618" w14:textId="77777777" w:rsidR="00784FA9" w:rsidRPr="00D604EE" w:rsidRDefault="00784FA9" w:rsidP="00784FA9">
      <w:pPr>
        <w:pStyle w:val="BodyText"/>
        <w:spacing w:before="100"/>
      </w:pPr>
      <w:r w:rsidRPr="00D604EE">
        <w:t>All direct and indirect N</w:t>
      </w:r>
      <w:r w:rsidRPr="00D604EE">
        <w:rPr>
          <w:vertAlign w:val="subscript"/>
        </w:rPr>
        <w:t>2</w:t>
      </w:r>
      <w:r w:rsidRPr="00D604EE">
        <w:t xml:space="preserve">O emissions occurring from management activities in </w:t>
      </w:r>
      <w:r w:rsidRPr="00D604EE">
        <w:rPr>
          <w:i/>
        </w:rPr>
        <w:t>Cropland remaining cropland</w:t>
      </w:r>
      <w:r w:rsidRPr="00D604EE">
        <w:t xml:space="preserve"> are reported under the Agriculture sector. </w:t>
      </w:r>
    </w:p>
    <w:p w14:paraId="379EF3D2" w14:textId="77777777" w:rsidR="00784FA9" w:rsidRPr="00D604EE" w:rsidRDefault="00784FA9" w:rsidP="00784FA9">
      <w:pPr>
        <w:pStyle w:val="Heading4"/>
      </w:pPr>
      <w:r w:rsidRPr="00D604EE">
        <w:t>Land converted to cropland</w:t>
      </w:r>
      <w:bookmarkEnd w:id="1825"/>
      <w:bookmarkEnd w:id="1826"/>
      <w:bookmarkEnd w:id="1827"/>
      <w:bookmarkEnd w:id="1828"/>
      <w:r w:rsidRPr="00D604EE">
        <w:t xml:space="preserve"> (CRF 4.B.2)</w:t>
      </w:r>
    </w:p>
    <w:p w14:paraId="67FC959B" w14:textId="77777777" w:rsidR="00784FA9" w:rsidRPr="00D604EE" w:rsidRDefault="00784FA9" w:rsidP="00784FA9">
      <w:pPr>
        <w:pStyle w:val="Heading5"/>
        <w:spacing w:before="120"/>
      </w:pPr>
      <w:bookmarkStart w:id="1829" w:name="_Toc255466382"/>
      <w:bookmarkStart w:id="1830" w:name="_Toc261513189"/>
      <w:bookmarkStart w:id="1831" w:name="_Toc261513802"/>
      <w:bookmarkStart w:id="1832" w:name="_Toc280630273"/>
      <w:r w:rsidRPr="00D604EE">
        <w:t>Living biomass</w:t>
      </w:r>
      <w:bookmarkEnd w:id="1829"/>
      <w:bookmarkEnd w:id="1830"/>
      <w:bookmarkEnd w:id="1831"/>
      <w:bookmarkEnd w:id="1832"/>
    </w:p>
    <w:p w14:paraId="60043EBD" w14:textId="77777777" w:rsidR="00784FA9" w:rsidRPr="00D604EE" w:rsidRDefault="00784FA9" w:rsidP="00784FA9">
      <w:pPr>
        <w:pStyle w:val="BodyText"/>
        <w:spacing w:before="100" w:after="100"/>
      </w:pPr>
      <w:r w:rsidRPr="00D604EE">
        <w:t xml:space="preserve">New Zealand uses a Tier 1 method, and a combination of IPCC default and New Zealand-specific emission factors, to calculate emissions for </w:t>
      </w:r>
      <w:r w:rsidRPr="00D604EE">
        <w:rPr>
          <w:i/>
        </w:rPr>
        <w:t>Land converted to cropland</w:t>
      </w:r>
      <w:r w:rsidRPr="00D604EE">
        <w:t xml:space="preserve">. The Tier 1 method multiplies the area of </w:t>
      </w:r>
      <w:r w:rsidRPr="00D604EE">
        <w:rPr>
          <w:i/>
        </w:rPr>
        <w:t>Land converted to cropland</w:t>
      </w:r>
      <w:r w:rsidRPr="00D604EE">
        <w:t xml:space="preserve"> annually by the carbon stock change per area for that type of conversion. </w:t>
      </w:r>
    </w:p>
    <w:p w14:paraId="1DE7B3ED" w14:textId="77777777" w:rsidR="00784FA9" w:rsidRPr="00D604EE" w:rsidRDefault="00784FA9" w:rsidP="00784FA9">
      <w:pPr>
        <w:pStyle w:val="BodyText"/>
        <w:spacing w:before="100" w:after="100"/>
        <w:rPr>
          <w:spacing w:val="-2"/>
        </w:rPr>
      </w:pPr>
      <w:r w:rsidRPr="00D604EE">
        <w:rPr>
          <w:spacing w:val="-2"/>
        </w:rPr>
        <w:t>The Tier 1 method assumes carbon in living biomass and dead organic matter immediately after conversion is zero; that is, the land is cleared of all vegetation before planting crops. The amount of biomass cleared when land at steady state is converted is dependent on the land use category undergoing the conversion and is described further under each category-specific section in this chapter.</w:t>
      </w:r>
    </w:p>
    <w:p w14:paraId="5CEE47B7" w14:textId="77777777" w:rsidR="00784FA9" w:rsidRPr="00D604EE" w:rsidRDefault="00784FA9" w:rsidP="00784FA9">
      <w:pPr>
        <w:pStyle w:val="BodyText"/>
        <w:spacing w:before="100" w:after="100"/>
      </w:pPr>
      <w:r w:rsidRPr="00D604EE">
        <w:t>The Tier 1 method also includes changes in carbon stocks from one year of growth in the year conversion takes place, as outlined in equation 2.5 of the 2006 IPCC Guidelines (IPCC, 2006a).</w:t>
      </w:r>
    </w:p>
    <w:p w14:paraId="3C420F4C" w14:textId="77777777" w:rsidR="00784FA9" w:rsidRPr="00D604EE" w:rsidRDefault="00784FA9" w:rsidP="00784FA9">
      <w:pPr>
        <w:pStyle w:val="BodyText"/>
        <w:spacing w:before="100" w:after="100"/>
      </w:pPr>
      <w:r w:rsidRPr="00D604EE">
        <w:t>To estimate growth after conversion to annual cropland, New Zealand uses the IPCC default biomass accumulation rate of 5.0 tonnes C ha</w:t>
      </w:r>
      <w:r w:rsidRPr="00D604EE">
        <w:rPr>
          <w:vertAlign w:val="superscript"/>
        </w:rPr>
        <w:t>–1</w:t>
      </w:r>
      <w:r w:rsidRPr="00D604EE">
        <w:t xml:space="preserve"> for the first year following conversion (table 5.9, IPCC, 2006a). After the first year, any increase in biomass stocks in annual cropland is </w:t>
      </w:r>
      <w:r w:rsidRPr="00D604EE">
        <w:lastRenderedPageBreak/>
        <w:t xml:space="preserve">assumed equal to biomass losses from harvest and mortality in that same year and, therefore, after the first year there is no net accumulation of biomass carbon stocks in </w:t>
      </w:r>
      <w:r w:rsidRPr="00D604EE">
        <w:rPr>
          <w:iCs/>
        </w:rPr>
        <w:t>annual</w:t>
      </w:r>
      <w:r w:rsidRPr="00D604EE">
        <w:rPr>
          <w:i/>
        </w:rPr>
        <w:t xml:space="preserve"> </w:t>
      </w:r>
      <w:r w:rsidRPr="00D604EE">
        <w:rPr>
          <w:iCs/>
        </w:rPr>
        <w:t>cropland remaining annual cropland</w:t>
      </w:r>
      <w:r w:rsidRPr="00D604EE">
        <w:t xml:space="preserve"> (IPCC, 2006a, section 5.2.1).</w:t>
      </w:r>
    </w:p>
    <w:p w14:paraId="4D51ABF4" w14:textId="77777777" w:rsidR="00784FA9" w:rsidRPr="00D604EE" w:rsidRDefault="00784FA9" w:rsidP="00784FA9">
      <w:pPr>
        <w:pStyle w:val="BodyText"/>
      </w:pPr>
      <w:r w:rsidRPr="00D604EE">
        <w:t>To estimate growth after conversion to perennial cropland, New Zealand uses the biomass accumulation rate of 0.67 tonnes C ha</w:t>
      </w:r>
      <w:r w:rsidRPr="00D604EE">
        <w:rPr>
          <w:vertAlign w:val="superscript"/>
        </w:rPr>
        <w:t xml:space="preserve">–1 </w:t>
      </w:r>
      <w:r w:rsidRPr="00D604EE">
        <w:t>yr</w:t>
      </w:r>
      <w:r w:rsidRPr="00D604EE">
        <w:rPr>
          <w:vertAlign w:val="superscript"/>
        </w:rPr>
        <w:t>–1</w:t>
      </w:r>
      <w:r w:rsidRPr="00D604EE">
        <w:t xml:space="preserve"> until 18.76 tonnes C ha</w:t>
      </w:r>
      <w:r w:rsidRPr="00D604EE">
        <w:rPr>
          <w:spacing w:val="-2"/>
          <w:vertAlign w:val="superscript"/>
        </w:rPr>
        <w:t>–1</w:t>
      </w:r>
      <w:r w:rsidRPr="00D604EE">
        <w:t xml:space="preserve"> is reached, as described in the </w:t>
      </w:r>
      <w:r w:rsidRPr="00D604EE">
        <w:rPr>
          <w:i/>
          <w:iCs/>
        </w:rPr>
        <w:t>Cropland remaining cropland</w:t>
      </w:r>
      <w:r w:rsidRPr="00D604EE">
        <w:t xml:space="preserve"> section above. The final eight years of biomass gain are reported in </w:t>
      </w:r>
      <w:r w:rsidRPr="00D604EE">
        <w:rPr>
          <w:i/>
          <w:iCs/>
        </w:rPr>
        <w:t>Cropland remaining cropland</w:t>
      </w:r>
      <w:r w:rsidRPr="00D604EE">
        <w:t xml:space="preserve"> because the 2006 IPCC Guidelines (IPCC, 2006a) default transition period of 20 years has been applied across the entire LULUCF sector. </w:t>
      </w:r>
    </w:p>
    <w:p w14:paraId="513E8535" w14:textId="77777777" w:rsidR="00784FA9" w:rsidRPr="00D604EE" w:rsidRDefault="00784FA9" w:rsidP="00784FA9">
      <w:pPr>
        <w:pStyle w:val="Heading5"/>
      </w:pPr>
      <w:bookmarkStart w:id="1833" w:name="_Toc255466383"/>
      <w:bookmarkStart w:id="1834" w:name="_Toc261513190"/>
      <w:bookmarkStart w:id="1835" w:name="_Toc261513803"/>
      <w:bookmarkStart w:id="1836" w:name="_Toc280630274"/>
      <w:r w:rsidRPr="00D604EE">
        <w:t>Dead organic matter</w:t>
      </w:r>
      <w:bookmarkEnd w:id="1833"/>
      <w:bookmarkEnd w:id="1834"/>
      <w:bookmarkEnd w:id="1835"/>
      <w:bookmarkEnd w:id="1836"/>
    </w:p>
    <w:p w14:paraId="66892CBA" w14:textId="77777777" w:rsidR="00784FA9" w:rsidRPr="00D604EE" w:rsidRDefault="00784FA9" w:rsidP="00784FA9">
      <w:pPr>
        <w:pStyle w:val="BodyText"/>
      </w:pPr>
      <w:r w:rsidRPr="00D604EE">
        <w:t xml:space="preserve">New Zealand reports only losses in dead organic matter associated with the previous land use for this category. The losses are calculated based on the carbon in dead organic matter at the site before conversion to </w:t>
      </w:r>
      <w:r w:rsidRPr="00D604EE">
        <w:rPr>
          <w:i/>
        </w:rPr>
        <w:t>Cropland</w:t>
      </w:r>
      <w:r w:rsidRPr="00D604EE">
        <w:t xml:space="preserve">. It is assumed that, immediately after conversion, dead organic matter is zero (all carbon in dead organic matter before conversion is instantly oxidised in the year of conversion). There is insufficient information to estimate gain in carbon stock in dead organic matter pools after land is converted to </w:t>
      </w:r>
      <w:r w:rsidRPr="00D604EE">
        <w:rPr>
          <w:i/>
        </w:rPr>
        <w:t>Cropland</w:t>
      </w:r>
      <w:r w:rsidRPr="00D604EE">
        <w:t xml:space="preserve"> (IPCC, 2006a). Consequently, where there are no dead organic matter losses associated with the previous land use, the notation key NA (not applicable) is used in the CRF tables in accordance with Decision 24/CP.19 (UNFCCC, 2014) as a given source/sink category does not result in emissions or removals of a specific gas.</w:t>
      </w:r>
    </w:p>
    <w:p w14:paraId="3785B9AE" w14:textId="77777777" w:rsidR="00784FA9" w:rsidRPr="00D604EE" w:rsidRDefault="00784FA9" w:rsidP="00784FA9">
      <w:pPr>
        <w:pStyle w:val="Heading5"/>
      </w:pPr>
      <w:bookmarkStart w:id="1837" w:name="_Toc255466384"/>
      <w:bookmarkStart w:id="1838" w:name="_Toc261513191"/>
      <w:bookmarkStart w:id="1839" w:name="_Toc261513804"/>
      <w:bookmarkStart w:id="1840" w:name="_Toc280630275"/>
      <w:r w:rsidRPr="00D604EE">
        <w:t>Soil organic carbon</w:t>
      </w:r>
      <w:bookmarkEnd w:id="1837"/>
      <w:bookmarkEnd w:id="1838"/>
      <w:bookmarkEnd w:id="1839"/>
      <w:bookmarkEnd w:id="1840"/>
    </w:p>
    <w:p w14:paraId="20312772" w14:textId="77777777" w:rsidR="00784FA9" w:rsidRPr="00D604EE" w:rsidRDefault="00784FA9" w:rsidP="00784FA9">
      <w:pPr>
        <w:pStyle w:val="BodyText"/>
        <w:spacing w:before="80" w:after="100"/>
      </w:pPr>
      <w:bookmarkStart w:id="1841" w:name="_Toc255466385"/>
      <w:bookmarkStart w:id="1842" w:name="_Toc261513192"/>
      <w:bookmarkStart w:id="1843" w:name="_Toc261513805"/>
      <w:bookmarkStart w:id="1844" w:name="_Toc280630276"/>
      <w:r w:rsidRPr="00D604EE">
        <w:rPr>
          <w:spacing w:val="-2"/>
        </w:rPr>
        <w:t xml:space="preserve">Soil organic carbon stocks in </w:t>
      </w:r>
      <w:r w:rsidRPr="00D604EE">
        <w:rPr>
          <w:i/>
          <w:spacing w:val="-2"/>
        </w:rPr>
        <w:t>Land converted to cropland</w:t>
      </w:r>
      <w:r w:rsidRPr="00D604EE">
        <w:rPr>
          <w:spacing w:val="-2"/>
        </w:rPr>
        <w:t xml:space="preserve"> are estimated using a Tier 2 method for mineral soils and a Tier 1 method for organic soils (see annex A3.2.4 for further information)</w:t>
      </w:r>
      <w:r w:rsidRPr="00D604EE">
        <w:t xml:space="preserve">. </w:t>
      </w:r>
    </w:p>
    <w:p w14:paraId="18C31516" w14:textId="77777777" w:rsidR="00784FA9" w:rsidRPr="00D604EE" w:rsidRDefault="00784FA9" w:rsidP="00784FA9">
      <w:pPr>
        <w:pStyle w:val="Heading5"/>
        <w:spacing w:before="160"/>
      </w:pPr>
      <w:r w:rsidRPr="00D604EE">
        <w:t>Non-CO</w:t>
      </w:r>
      <w:r w:rsidRPr="00D604EE">
        <w:rPr>
          <w:vertAlign w:val="subscript"/>
        </w:rPr>
        <w:t>2</w:t>
      </w:r>
      <w:r w:rsidRPr="00D604EE">
        <w:t xml:space="preserve"> emissions</w:t>
      </w:r>
      <w:bookmarkEnd w:id="1841"/>
      <w:bookmarkEnd w:id="1842"/>
      <w:bookmarkEnd w:id="1843"/>
      <w:bookmarkEnd w:id="1844"/>
    </w:p>
    <w:p w14:paraId="0F0CAA36" w14:textId="77777777" w:rsidR="00784FA9" w:rsidRPr="00D604EE" w:rsidRDefault="00784FA9" w:rsidP="00784FA9">
      <w:pPr>
        <w:pStyle w:val="BodyText"/>
      </w:pPr>
      <w:r w:rsidRPr="00D604EE">
        <w:t xml:space="preserve">Nitrous oxide emissions from disturbance associated with land use conversion to </w:t>
      </w:r>
      <w:r w:rsidRPr="00D604EE">
        <w:rPr>
          <w:i/>
        </w:rPr>
        <w:t>Cropland</w:t>
      </w:r>
      <w:r w:rsidRPr="00D604EE">
        <w:t xml:space="preserve"> and land-use management are described in section 6.10. </w:t>
      </w:r>
    </w:p>
    <w:p w14:paraId="73EA9C73" w14:textId="77777777" w:rsidR="00784FA9" w:rsidRPr="00D604EE" w:rsidRDefault="00784FA9" w:rsidP="00784FA9">
      <w:pPr>
        <w:pStyle w:val="Heading3"/>
      </w:pPr>
      <w:bookmarkStart w:id="1845" w:name="_Toc139253965"/>
      <w:bookmarkStart w:id="1846" w:name="_Toc255466388"/>
      <w:bookmarkStart w:id="1847" w:name="_Toc261513195"/>
      <w:bookmarkStart w:id="1848" w:name="_Toc261513808"/>
      <w:bookmarkStart w:id="1849" w:name="_Toc280630277"/>
      <w:r w:rsidRPr="00D604EE">
        <w:t>6.4.3</w:t>
      </w:r>
      <w:r w:rsidRPr="00D604EE">
        <w:tab/>
        <w:t>Uncertainties and time-series consistency</w:t>
      </w:r>
      <w:bookmarkEnd w:id="1845"/>
      <w:bookmarkEnd w:id="1846"/>
      <w:bookmarkEnd w:id="1847"/>
      <w:bookmarkEnd w:id="1848"/>
      <w:bookmarkEnd w:id="1849"/>
    </w:p>
    <w:p w14:paraId="0A80E8E2" w14:textId="77777777" w:rsidR="00784FA9" w:rsidRPr="00D604EE" w:rsidRDefault="00784FA9" w:rsidP="00784FA9">
      <w:pPr>
        <w:pStyle w:val="BodyText"/>
      </w:pPr>
      <w:r w:rsidRPr="00D604EE">
        <w:t xml:space="preserve">The uncertainty in net carbon emissions from </w:t>
      </w:r>
      <w:r w:rsidRPr="00D604EE">
        <w:rPr>
          <w:i/>
          <w:iCs/>
        </w:rPr>
        <w:t>Cropland</w:t>
      </w:r>
      <w:r w:rsidRPr="00D604EE">
        <w:t xml:space="preserve"> was 70.5 per cent in 2020. The uncertainty in net carbon emissions from </w:t>
      </w:r>
      <w:r w:rsidRPr="00D604EE">
        <w:rPr>
          <w:i/>
        </w:rPr>
        <w:t>Cropland</w:t>
      </w:r>
      <w:r w:rsidRPr="00D604EE">
        <w:t xml:space="preserve"> accounted for 1.1 per cent of the total uncertainty in emissions from the LULUCF sector. The uncertainty associated with the emissions from each </w:t>
      </w:r>
      <w:r w:rsidRPr="00D604EE">
        <w:rPr>
          <w:i/>
          <w:iCs/>
        </w:rPr>
        <w:t>Cropland</w:t>
      </w:r>
      <w:r w:rsidRPr="00D604EE">
        <w:t xml:space="preserve"> class is shown in table 6.4.6. The methods used to calculate the uncertainty are further described in annex A3.2.8. </w:t>
      </w:r>
    </w:p>
    <w:p w14:paraId="0E72D862" w14:textId="77777777" w:rsidR="00784FA9" w:rsidRPr="00D604EE" w:rsidRDefault="00784FA9" w:rsidP="00784FA9">
      <w:pPr>
        <w:pStyle w:val="BodyText"/>
      </w:pPr>
      <w:r w:rsidRPr="00D604EE">
        <w:t xml:space="preserve">Time-series consistency is ensured by applying consistent methods and full recalculations in the event of any refinement or improvement to methodology. </w:t>
      </w:r>
    </w:p>
    <w:p w14:paraId="66E3D681" w14:textId="77777777" w:rsidR="00784FA9" w:rsidRPr="00D604EE" w:rsidRDefault="00784FA9" w:rsidP="00784FA9">
      <w:pPr>
        <w:pStyle w:val="Table"/>
      </w:pPr>
      <w:bookmarkStart w:id="1850" w:name="_Toc99659295"/>
      <w:bookmarkStart w:id="1851" w:name="_Toc280630463"/>
      <w:bookmarkStart w:id="1852" w:name="_Toc310423419"/>
      <w:bookmarkStart w:id="1853" w:name="_Toc318362712"/>
      <w:bookmarkStart w:id="1854" w:name="_Toc342470774"/>
      <w:bookmarkStart w:id="1855" w:name="_Toc352505014"/>
      <w:bookmarkStart w:id="1856" w:name="_Toc378853305"/>
      <w:bookmarkStart w:id="1857" w:name="_Toc391024103"/>
      <w:bookmarkStart w:id="1858" w:name="_Toc410028846"/>
      <w:bookmarkStart w:id="1859" w:name="_Toc414531474"/>
      <w:bookmarkStart w:id="1860" w:name="_Toc443645387"/>
      <w:bookmarkStart w:id="1861" w:name="_Toc474914606"/>
      <w:bookmarkStart w:id="1862" w:name="_Toc481751570"/>
      <w:bookmarkStart w:id="1863" w:name="_Toc522010627"/>
      <w:bookmarkStart w:id="1864" w:name="_Toc5269532"/>
      <w:bookmarkStart w:id="1865" w:name="_Toc33529406"/>
      <w:bookmarkStart w:id="1866" w:name="_Toc36224612"/>
      <w:bookmarkStart w:id="1867" w:name="_Toc65243609"/>
      <w:r w:rsidRPr="00D604EE">
        <w:t>Table 6.4.6</w:t>
      </w:r>
      <w:r w:rsidRPr="00D604EE">
        <w:tab/>
        <w:t xml:space="preserve">Uncertainty in net carbon stock change emissions in 2020 for </w:t>
      </w:r>
      <w:r w:rsidRPr="00D604EE">
        <w:rPr>
          <w:bCs/>
        </w:rPr>
        <w:t xml:space="preserve">the </w:t>
      </w:r>
      <w:r w:rsidRPr="00D604EE">
        <w:rPr>
          <w:i/>
        </w:rPr>
        <w:t>Cropland</w:t>
      </w:r>
      <w:r w:rsidRPr="00D604EE">
        <w:t xml:space="preserve"> </w:t>
      </w:r>
      <w:r w:rsidRPr="00D604EE">
        <w:rPr>
          <w:bCs/>
          <w:iCs/>
        </w:rPr>
        <w:t>category</w:t>
      </w:r>
      <w:bookmarkEnd w:id="1850"/>
      <w:r w:rsidRPr="00D604EE">
        <w:t xml:space="preserve"> </w:t>
      </w:r>
    </w:p>
    <w:tbl>
      <w:tblPr>
        <w:tblW w:w="8539" w:type="dxa"/>
        <w:tblInd w:w="108" w:type="dxa"/>
        <w:tblLayout w:type="fixed"/>
        <w:tblLook w:val="04A0" w:firstRow="1" w:lastRow="0" w:firstColumn="1" w:lastColumn="0" w:noHBand="0" w:noVBand="1"/>
      </w:tblPr>
      <w:tblGrid>
        <w:gridCol w:w="1560"/>
        <w:gridCol w:w="1842"/>
        <w:gridCol w:w="2268"/>
        <w:gridCol w:w="2869"/>
      </w:tblGrid>
      <w:tr w:rsidR="00784FA9" w:rsidRPr="00D604EE" w14:paraId="2E6A853B" w14:textId="77777777" w:rsidTr="007E3239">
        <w:tc>
          <w:tcPr>
            <w:tcW w:w="1560" w:type="dxa"/>
            <w:tcBorders>
              <w:top w:val="single" w:sz="4" w:space="0" w:color="1B556B"/>
            </w:tcBorders>
            <w:shd w:val="clear" w:color="auto" w:fill="1B556B"/>
            <w:vAlign w:val="bottom"/>
          </w:tcPr>
          <w:p w14:paraId="4DA907D3" w14:textId="77777777" w:rsidR="00784FA9" w:rsidRPr="00D604EE" w:rsidRDefault="00784FA9" w:rsidP="007E3239">
            <w:pPr>
              <w:pStyle w:val="TableTextBold"/>
              <w:keepNext/>
              <w:spacing w:before="40" w:after="40"/>
              <w:rPr>
                <w:noProof w:val="0"/>
                <w:color w:val="FFFFFF"/>
                <w:szCs w:val="16"/>
              </w:rPr>
            </w:pPr>
            <w:r w:rsidRPr="00784FA9">
              <w:rPr>
                <w:noProof w:val="0"/>
                <w:color w:val="FFFFFF"/>
                <w:szCs w:val="16"/>
              </w:rPr>
              <w:t>Land use</w:t>
            </w:r>
          </w:p>
        </w:tc>
        <w:tc>
          <w:tcPr>
            <w:tcW w:w="1842" w:type="dxa"/>
            <w:tcBorders>
              <w:top w:val="single" w:sz="4" w:space="0" w:color="1B556B"/>
            </w:tcBorders>
            <w:shd w:val="clear" w:color="auto" w:fill="1B556B"/>
            <w:vAlign w:val="bottom"/>
          </w:tcPr>
          <w:p w14:paraId="689E183F" w14:textId="77777777"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Emissions (kt CO</w:t>
            </w:r>
            <w:r w:rsidRPr="00D604EE">
              <w:rPr>
                <w:noProof w:val="0"/>
                <w:color w:val="FFFFFF"/>
                <w:szCs w:val="16"/>
                <w:vertAlign w:val="subscript"/>
              </w:rPr>
              <w:t>2</w:t>
            </w:r>
            <w:r w:rsidRPr="00D604EE">
              <w:rPr>
                <w:noProof w:val="0"/>
                <w:color w:val="FFFFFF"/>
                <w:szCs w:val="16"/>
              </w:rPr>
              <w:t>-e)</w:t>
            </w:r>
          </w:p>
        </w:tc>
        <w:tc>
          <w:tcPr>
            <w:tcW w:w="2268" w:type="dxa"/>
            <w:tcBorders>
              <w:top w:val="single" w:sz="4" w:space="0" w:color="1B556B"/>
            </w:tcBorders>
            <w:shd w:val="clear" w:color="auto" w:fill="1B556B"/>
            <w:vAlign w:val="bottom"/>
          </w:tcPr>
          <w:p w14:paraId="141506A0" w14:textId="77777777" w:rsidR="00784FA9" w:rsidRPr="00D604EE" w:rsidRDefault="00784FA9" w:rsidP="007E3239">
            <w:pPr>
              <w:pStyle w:val="TableTextBold"/>
              <w:spacing w:before="40" w:after="40"/>
              <w:rPr>
                <w:noProof w:val="0"/>
                <w:color w:val="FFFFFF"/>
                <w:szCs w:val="16"/>
              </w:rPr>
            </w:pPr>
            <w:r w:rsidRPr="00D604EE">
              <w:rPr>
                <w:noProof w:val="0"/>
                <w:color w:val="FFFFFF"/>
                <w:szCs w:val="16"/>
              </w:rPr>
              <w:t>Uncertainty in emissions (%)</w:t>
            </w:r>
          </w:p>
        </w:tc>
        <w:tc>
          <w:tcPr>
            <w:tcW w:w="2869" w:type="dxa"/>
            <w:tcBorders>
              <w:top w:val="single" w:sz="4" w:space="0" w:color="1B556B"/>
            </w:tcBorders>
            <w:shd w:val="clear" w:color="auto" w:fill="1B556B"/>
            <w:vAlign w:val="bottom"/>
          </w:tcPr>
          <w:p w14:paraId="05ABE485" w14:textId="77777777" w:rsidR="00784FA9" w:rsidRPr="00D604EE" w:rsidRDefault="00784FA9" w:rsidP="007E3239">
            <w:pPr>
              <w:pStyle w:val="TableTextBold"/>
              <w:spacing w:before="40" w:after="40"/>
              <w:rPr>
                <w:noProof w:val="0"/>
                <w:color w:val="FFFFFF"/>
                <w:szCs w:val="16"/>
              </w:rPr>
            </w:pPr>
            <w:r w:rsidRPr="00D604EE">
              <w:rPr>
                <w:noProof w:val="0"/>
                <w:color w:val="FFFFFF"/>
                <w:szCs w:val="16"/>
              </w:rPr>
              <w:t>Contribution to LULUCF uncertainty (%)</w:t>
            </w:r>
          </w:p>
        </w:tc>
      </w:tr>
      <w:tr w:rsidR="00784FA9" w:rsidRPr="00D604EE" w14:paraId="61B5AC68" w14:textId="77777777" w:rsidTr="007E3239">
        <w:tc>
          <w:tcPr>
            <w:tcW w:w="1560" w:type="dxa"/>
            <w:tcBorders>
              <w:top w:val="single" w:sz="4" w:space="0" w:color="1B556B"/>
              <w:bottom w:val="single" w:sz="4" w:space="0" w:color="365F91"/>
            </w:tcBorders>
          </w:tcPr>
          <w:p w14:paraId="4785E3C7" w14:textId="77777777" w:rsidR="00784FA9" w:rsidRPr="00D604EE" w:rsidRDefault="00784FA9" w:rsidP="007E3239">
            <w:pPr>
              <w:pStyle w:val="TableText"/>
            </w:pPr>
            <w:r w:rsidRPr="00D604EE">
              <w:t>Annual cropland</w:t>
            </w:r>
          </w:p>
        </w:tc>
        <w:tc>
          <w:tcPr>
            <w:tcW w:w="1842" w:type="dxa"/>
            <w:tcBorders>
              <w:top w:val="single" w:sz="4" w:space="0" w:color="1B556B"/>
              <w:bottom w:val="single" w:sz="4" w:space="0" w:color="365F91"/>
            </w:tcBorders>
          </w:tcPr>
          <w:p w14:paraId="76801DBC" w14:textId="77777777" w:rsidR="00784FA9" w:rsidRPr="00D604EE" w:rsidRDefault="00784FA9" w:rsidP="007E3239">
            <w:pPr>
              <w:pStyle w:val="TableText"/>
              <w:jc w:val="center"/>
            </w:pPr>
            <w:r w:rsidRPr="00D604EE">
              <w:t>310.1</w:t>
            </w:r>
          </w:p>
        </w:tc>
        <w:tc>
          <w:tcPr>
            <w:tcW w:w="2268" w:type="dxa"/>
            <w:tcBorders>
              <w:top w:val="single" w:sz="4" w:space="0" w:color="1B556B"/>
              <w:bottom w:val="single" w:sz="4" w:space="0" w:color="365F91"/>
            </w:tcBorders>
          </w:tcPr>
          <w:p w14:paraId="2C01AA56" w14:textId="77777777" w:rsidR="00784FA9" w:rsidRPr="00D604EE" w:rsidRDefault="00784FA9" w:rsidP="007E3239">
            <w:pPr>
              <w:pStyle w:val="TableText"/>
              <w:jc w:val="center"/>
            </w:pPr>
            <w:r w:rsidRPr="00D604EE">
              <w:t>79.9</w:t>
            </w:r>
          </w:p>
        </w:tc>
        <w:tc>
          <w:tcPr>
            <w:tcW w:w="2869" w:type="dxa"/>
            <w:tcBorders>
              <w:top w:val="single" w:sz="4" w:space="0" w:color="1B556B"/>
              <w:bottom w:val="single" w:sz="4" w:space="0" w:color="365F91"/>
            </w:tcBorders>
          </w:tcPr>
          <w:p w14:paraId="56F07497" w14:textId="77777777" w:rsidR="00784FA9" w:rsidRPr="00D604EE" w:rsidRDefault="00784FA9" w:rsidP="007E3239">
            <w:pPr>
              <w:pStyle w:val="TableText"/>
              <w:jc w:val="center"/>
            </w:pPr>
            <w:r w:rsidRPr="00D604EE">
              <w:t>1.1</w:t>
            </w:r>
          </w:p>
        </w:tc>
      </w:tr>
      <w:tr w:rsidR="00784FA9" w:rsidRPr="00D604EE" w14:paraId="03206BAD" w14:textId="77777777" w:rsidTr="007E3239">
        <w:tc>
          <w:tcPr>
            <w:tcW w:w="1560" w:type="dxa"/>
            <w:tcBorders>
              <w:top w:val="single" w:sz="4" w:space="0" w:color="365F91"/>
              <w:bottom w:val="single" w:sz="4" w:space="0" w:color="365F91"/>
            </w:tcBorders>
          </w:tcPr>
          <w:p w14:paraId="11A3ECAC" w14:textId="77777777" w:rsidR="00784FA9" w:rsidRPr="00D604EE" w:rsidRDefault="00784FA9" w:rsidP="007E3239">
            <w:pPr>
              <w:pStyle w:val="TableText"/>
            </w:pPr>
            <w:r w:rsidRPr="00D604EE">
              <w:t>Perennial cropland</w:t>
            </w:r>
          </w:p>
        </w:tc>
        <w:tc>
          <w:tcPr>
            <w:tcW w:w="1842" w:type="dxa"/>
            <w:tcBorders>
              <w:top w:val="single" w:sz="4" w:space="0" w:color="365F91"/>
              <w:bottom w:val="single" w:sz="4" w:space="0" w:color="365F91"/>
            </w:tcBorders>
          </w:tcPr>
          <w:p w14:paraId="58BB429F" w14:textId="77777777" w:rsidR="00784FA9" w:rsidRPr="00D604EE" w:rsidRDefault="00784FA9" w:rsidP="007E3239">
            <w:pPr>
              <w:pStyle w:val="TableText"/>
              <w:jc w:val="center"/>
            </w:pPr>
            <w:r w:rsidRPr="00D604EE">
              <w:t>65.5</w:t>
            </w:r>
          </w:p>
        </w:tc>
        <w:tc>
          <w:tcPr>
            <w:tcW w:w="2268" w:type="dxa"/>
            <w:tcBorders>
              <w:top w:val="single" w:sz="4" w:space="0" w:color="365F91"/>
              <w:bottom w:val="single" w:sz="4" w:space="0" w:color="365F91"/>
            </w:tcBorders>
          </w:tcPr>
          <w:p w14:paraId="22F7BA2F" w14:textId="77777777" w:rsidR="00784FA9" w:rsidRPr="00D604EE" w:rsidRDefault="00784FA9" w:rsidP="007E3239">
            <w:pPr>
              <w:pStyle w:val="TableText"/>
              <w:jc w:val="center"/>
            </w:pPr>
            <w:r w:rsidRPr="00D604EE">
              <w:t>142.4</w:t>
            </w:r>
          </w:p>
        </w:tc>
        <w:tc>
          <w:tcPr>
            <w:tcW w:w="2869" w:type="dxa"/>
            <w:tcBorders>
              <w:top w:val="single" w:sz="4" w:space="0" w:color="365F91"/>
              <w:bottom w:val="single" w:sz="4" w:space="0" w:color="365F91"/>
            </w:tcBorders>
          </w:tcPr>
          <w:p w14:paraId="14AE708C" w14:textId="77777777" w:rsidR="00784FA9" w:rsidRPr="00D604EE" w:rsidRDefault="00784FA9" w:rsidP="007E3239">
            <w:pPr>
              <w:pStyle w:val="TableText"/>
              <w:jc w:val="center"/>
            </w:pPr>
            <w:r w:rsidRPr="00D604EE">
              <w:t>0.4</w:t>
            </w:r>
          </w:p>
        </w:tc>
      </w:tr>
      <w:tr w:rsidR="00784FA9" w:rsidRPr="00D604EE" w14:paraId="119CD447" w14:textId="77777777" w:rsidTr="007E3239">
        <w:tc>
          <w:tcPr>
            <w:tcW w:w="1560" w:type="dxa"/>
            <w:tcBorders>
              <w:top w:val="single" w:sz="4" w:space="0" w:color="365F91"/>
              <w:bottom w:val="single" w:sz="4" w:space="0" w:color="365F91"/>
            </w:tcBorders>
          </w:tcPr>
          <w:p w14:paraId="0DCF83E6" w14:textId="77777777" w:rsidR="00784FA9" w:rsidRPr="00D604EE" w:rsidRDefault="00784FA9" w:rsidP="007E3239">
            <w:pPr>
              <w:pStyle w:val="TableTextBold"/>
              <w:rPr>
                <w:noProof w:val="0"/>
              </w:rPr>
            </w:pPr>
            <w:r w:rsidRPr="00D604EE">
              <w:rPr>
                <w:noProof w:val="0"/>
              </w:rPr>
              <w:t xml:space="preserve">Total </w:t>
            </w:r>
          </w:p>
        </w:tc>
        <w:tc>
          <w:tcPr>
            <w:tcW w:w="1842" w:type="dxa"/>
            <w:tcBorders>
              <w:top w:val="single" w:sz="4" w:space="0" w:color="365F91"/>
              <w:bottom w:val="single" w:sz="4" w:space="0" w:color="365F91"/>
            </w:tcBorders>
          </w:tcPr>
          <w:p w14:paraId="6D03BCEF" w14:textId="77777777" w:rsidR="00784FA9" w:rsidRPr="00D604EE" w:rsidRDefault="00784FA9" w:rsidP="007E3239">
            <w:pPr>
              <w:pStyle w:val="TableTextBold"/>
              <w:jc w:val="center"/>
              <w:rPr>
                <w:noProof w:val="0"/>
              </w:rPr>
            </w:pPr>
            <w:r w:rsidRPr="00D604EE">
              <w:rPr>
                <w:noProof w:val="0"/>
              </w:rPr>
              <w:t>375.6</w:t>
            </w:r>
          </w:p>
        </w:tc>
        <w:tc>
          <w:tcPr>
            <w:tcW w:w="2268" w:type="dxa"/>
            <w:tcBorders>
              <w:top w:val="single" w:sz="4" w:space="0" w:color="365F91"/>
              <w:bottom w:val="single" w:sz="4" w:space="0" w:color="365F91"/>
            </w:tcBorders>
          </w:tcPr>
          <w:p w14:paraId="43741E60" w14:textId="77777777" w:rsidR="00784FA9" w:rsidRPr="00D604EE" w:rsidRDefault="00784FA9" w:rsidP="007E3239">
            <w:pPr>
              <w:pStyle w:val="TableTextBold"/>
              <w:jc w:val="center"/>
              <w:rPr>
                <w:noProof w:val="0"/>
              </w:rPr>
            </w:pPr>
            <w:r w:rsidRPr="00D604EE">
              <w:rPr>
                <w:noProof w:val="0"/>
              </w:rPr>
              <w:t>70.5</w:t>
            </w:r>
          </w:p>
        </w:tc>
        <w:tc>
          <w:tcPr>
            <w:tcW w:w="2869" w:type="dxa"/>
            <w:tcBorders>
              <w:top w:val="single" w:sz="4" w:space="0" w:color="365F91"/>
              <w:bottom w:val="single" w:sz="4" w:space="0" w:color="365F91"/>
            </w:tcBorders>
          </w:tcPr>
          <w:p w14:paraId="58BE24F6" w14:textId="77777777" w:rsidR="00784FA9" w:rsidRPr="00D604EE" w:rsidRDefault="00784FA9" w:rsidP="007E3239">
            <w:pPr>
              <w:pStyle w:val="TableTextBold"/>
              <w:jc w:val="center"/>
              <w:rPr>
                <w:noProof w:val="0"/>
              </w:rPr>
            </w:pPr>
            <w:r w:rsidRPr="00D604EE">
              <w:rPr>
                <w:noProof w:val="0"/>
              </w:rPr>
              <w:t>1.1</w:t>
            </w:r>
          </w:p>
        </w:tc>
      </w:tr>
    </w:tbl>
    <w:p w14:paraId="48885247" w14:textId="77777777" w:rsidR="00784FA9" w:rsidRPr="00D604EE" w:rsidRDefault="00784FA9" w:rsidP="00784FA9">
      <w:pPr>
        <w:pStyle w:val="Heading3"/>
      </w:pPr>
      <w:bookmarkStart w:id="1868" w:name="_Toc139253966"/>
      <w:bookmarkStart w:id="1869" w:name="_Toc255466389"/>
      <w:bookmarkStart w:id="1870" w:name="_Toc261513196"/>
      <w:bookmarkStart w:id="1871" w:name="_Toc261513809"/>
      <w:bookmarkStart w:id="1872" w:name="_Toc280630278"/>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r w:rsidRPr="00D604EE">
        <w:lastRenderedPageBreak/>
        <w:t>6.4.4</w:t>
      </w:r>
      <w:r w:rsidRPr="00D604EE">
        <w:tab/>
        <w:t>Category-specific QA/QC and verification</w:t>
      </w:r>
      <w:bookmarkEnd w:id="1868"/>
      <w:bookmarkEnd w:id="1869"/>
      <w:bookmarkEnd w:id="1870"/>
      <w:bookmarkEnd w:id="1871"/>
      <w:bookmarkEnd w:id="1872"/>
    </w:p>
    <w:p w14:paraId="30C94742" w14:textId="77777777" w:rsidR="00784FA9" w:rsidRPr="00D604EE" w:rsidRDefault="00784FA9" w:rsidP="00784FA9">
      <w:pPr>
        <w:pStyle w:val="BodyText"/>
        <w:spacing w:before="100" w:after="100"/>
      </w:pPr>
      <w:r w:rsidRPr="00D604EE">
        <w:t>In the preparation of this inventory, the data for CO</w:t>
      </w:r>
      <w:r w:rsidRPr="00D604EE">
        <w:rPr>
          <w:vertAlign w:val="subscript"/>
        </w:rPr>
        <w:t>2</w:t>
      </w:r>
      <w:r w:rsidRPr="00D604EE">
        <w:t xml:space="preserve"> emissions from the </w:t>
      </w:r>
      <w:r w:rsidRPr="00D604EE">
        <w:rPr>
          <w:i/>
        </w:rPr>
        <w:t>Land converted to cropland</w:t>
      </w:r>
      <w:r w:rsidRPr="00D604EE">
        <w:t xml:space="preserve"> category underwent Tier 1 quality checks. </w:t>
      </w:r>
      <w:r w:rsidRPr="00D604EE">
        <w:rPr>
          <w:i/>
        </w:rPr>
        <w:t>Cropland remaining cropland</w:t>
      </w:r>
      <w:r w:rsidRPr="00D604EE">
        <w:t xml:space="preserve"> (level and trend assessment) and </w:t>
      </w:r>
      <w:r w:rsidRPr="00D604EE">
        <w:rPr>
          <w:i/>
          <w:iCs/>
        </w:rPr>
        <w:t xml:space="preserve">Land converted to cropland </w:t>
      </w:r>
      <w:r w:rsidRPr="00D604EE">
        <w:t>(trend assessment) were key categories in 2020.</w:t>
      </w:r>
    </w:p>
    <w:p w14:paraId="34BF842C" w14:textId="77777777" w:rsidR="00784FA9" w:rsidRPr="00D604EE" w:rsidRDefault="00784FA9" w:rsidP="00784FA9">
      <w:pPr>
        <w:pStyle w:val="BodyText"/>
        <w:spacing w:before="100" w:after="100"/>
      </w:pPr>
      <w:r w:rsidRPr="00D604EE">
        <w:t>As part of verification of the New Zealand-specific above-ground biomass emission factor for perennial cropland, this factor has been compared with the IPCC default for temperate perennial cropland (table 5.1, IPCC, 2006a). The New Zealand value for above-ground biomass of 18.76 tonnes C ha</w:t>
      </w:r>
      <w:r w:rsidRPr="00D604EE">
        <w:rPr>
          <w:vertAlign w:val="superscript"/>
        </w:rPr>
        <w:t xml:space="preserve">–1 </w:t>
      </w:r>
      <w:r w:rsidRPr="00D604EE">
        <w:t>is much lower than the default value of 63 tonnes C ha</w:t>
      </w:r>
      <w:r w:rsidRPr="00D604EE">
        <w:rPr>
          <w:vertAlign w:val="superscript"/>
        </w:rPr>
        <w:t>–1</w:t>
      </w:r>
      <w:r w:rsidRPr="00D604EE">
        <w:t xml:space="preserve"> provided in the 2006 IPCC Guidelines (IPCC, 2006a). Further research into the differences between the values has shown the IPCC default value is based on just four studies of agroforestry systems where crops are grown in rotation with trees and none of these studies is New Zealand specific. The country-specific emission factor used is based on a New Zealand study, taking into account that New Zealand’s main perennial crops are not grown in rotation with trees (i.e., are not part of an agroforestry system) and that a significant proportion of New Zealand’s main perennial crops are vine fruit, such as</w:t>
      </w:r>
      <w:r w:rsidRPr="00D604EE" w:rsidDel="00563489">
        <w:t xml:space="preserve"> </w:t>
      </w:r>
      <w:r w:rsidRPr="00D604EE">
        <w:t>kiwifruit and grapes (Davis and Wakelin, unpublished). This means</w:t>
      </w:r>
      <w:r w:rsidRPr="00D604EE" w:rsidDel="00563489">
        <w:t xml:space="preserve"> </w:t>
      </w:r>
      <w:r w:rsidRPr="00D604EE">
        <w:t xml:space="preserve">the country-specific value has lower carbon stocks per hectare in living biomass at maturity than the </w:t>
      </w:r>
      <w:r w:rsidRPr="00D604EE">
        <w:rPr>
          <w:i/>
        </w:rPr>
        <w:t>Cropland</w:t>
      </w:r>
      <w:r w:rsidRPr="00D604EE">
        <w:t xml:space="preserve"> types included in the study on which the IPCC default value is based. </w:t>
      </w:r>
    </w:p>
    <w:p w14:paraId="323E539E" w14:textId="77777777" w:rsidR="00784FA9" w:rsidRPr="00D604EE" w:rsidRDefault="00784FA9" w:rsidP="00784FA9">
      <w:pPr>
        <w:pStyle w:val="Heading3"/>
      </w:pPr>
      <w:bookmarkStart w:id="1873" w:name="_Toc139253967"/>
      <w:bookmarkStart w:id="1874" w:name="_Toc255466390"/>
      <w:bookmarkStart w:id="1875" w:name="_Toc261513197"/>
      <w:bookmarkStart w:id="1876" w:name="_Toc261513810"/>
      <w:bookmarkStart w:id="1877" w:name="_Toc280630279"/>
      <w:r w:rsidRPr="00D604EE">
        <w:t>6.4.5</w:t>
      </w:r>
      <w:r w:rsidRPr="00D604EE">
        <w:tab/>
        <w:t>Category-specific recalculations</w:t>
      </w:r>
      <w:bookmarkEnd w:id="1873"/>
      <w:bookmarkEnd w:id="1874"/>
      <w:bookmarkEnd w:id="1875"/>
      <w:bookmarkEnd w:id="1876"/>
      <w:bookmarkEnd w:id="1877"/>
    </w:p>
    <w:p w14:paraId="1C1AA0C1" w14:textId="77777777" w:rsidR="00784FA9" w:rsidRPr="00D604EE" w:rsidRDefault="00784FA9" w:rsidP="00784FA9">
      <w:pPr>
        <w:pStyle w:val="BodyText"/>
        <w:spacing w:before="100" w:after="100"/>
      </w:pPr>
      <w:r w:rsidRPr="00D604EE">
        <w:t xml:space="preserve">Recalculations of the entire time series were carried out for this category as a result of updated activity data. Updates to activity data included improvements made to </w:t>
      </w:r>
      <w:r w:rsidRPr="00D604EE">
        <w:rPr>
          <w:i/>
        </w:rPr>
        <w:t>Forest land</w:t>
      </w:r>
      <w:r w:rsidRPr="00D604EE">
        <w:t xml:space="preserve"> to </w:t>
      </w:r>
      <w:r w:rsidRPr="00D604EE">
        <w:rPr>
          <w:i/>
        </w:rPr>
        <w:t>Cropland</w:t>
      </w:r>
      <w:r w:rsidRPr="00D604EE">
        <w:t xml:space="preserve"> area estimates, for each forest type. Updates to emission factors applied on conversion from</w:t>
      </w:r>
      <w:r w:rsidRPr="00D604EE" w:rsidDel="00164B96">
        <w:t xml:space="preserve"> </w:t>
      </w:r>
      <w:r w:rsidRPr="00D604EE">
        <w:rPr>
          <w:i/>
        </w:rPr>
        <w:t>Forest land</w:t>
      </w:r>
      <w:r w:rsidRPr="00D604EE">
        <w:t xml:space="preserve"> to </w:t>
      </w:r>
      <w:r w:rsidRPr="00D604EE">
        <w:rPr>
          <w:i/>
        </w:rPr>
        <w:t>Cropland</w:t>
      </w:r>
      <w:r w:rsidRPr="00D604EE">
        <w:t xml:space="preserve"> also occur due to changes to the planted forest yield tables and average deforestation age, and changes to the pre-1990 natural forest carbon stock estimates. The impact of recalculations on net CO</w:t>
      </w:r>
      <w:r w:rsidRPr="00D604EE">
        <w:rPr>
          <w:vertAlign w:val="subscript"/>
        </w:rPr>
        <w:t>2</w:t>
      </w:r>
      <w:r w:rsidRPr="00D604EE">
        <w:t xml:space="preserve">-e emission estimates for the </w:t>
      </w:r>
      <w:r w:rsidRPr="00D604EE">
        <w:rPr>
          <w:i/>
        </w:rPr>
        <w:t>Cropland</w:t>
      </w:r>
      <w:r w:rsidRPr="00D604EE">
        <w:t xml:space="preserve"> category is shown in table 6.4.7.</w:t>
      </w:r>
    </w:p>
    <w:p w14:paraId="4495C31C" w14:textId="77777777" w:rsidR="00784FA9" w:rsidRPr="00D604EE" w:rsidRDefault="00784FA9" w:rsidP="00784FA9">
      <w:pPr>
        <w:pStyle w:val="Table"/>
      </w:pPr>
      <w:bookmarkStart w:id="1878" w:name="_Toc280630464"/>
      <w:bookmarkStart w:id="1879" w:name="_Toc310423420"/>
      <w:bookmarkStart w:id="1880" w:name="_Toc318362713"/>
      <w:bookmarkStart w:id="1881" w:name="_Toc342470775"/>
      <w:bookmarkStart w:id="1882" w:name="_Toc352505015"/>
      <w:bookmarkStart w:id="1883" w:name="_Toc378853306"/>
      <w:bookmarkStart w:id="1884" w:name="_Toc391024104"/>
      <w:bookmarkStart w:id="1885" w:name="_Toc410028847"/>
      <w:bookmarkStart w:id="1886" w:name="_Toc414531475"/>
      <w:bookmarkStart w:id="1887" w:name="_Toc443645388"/>
      <w:bookmarkStart w:id="1888" w:name="_Toc474914607"/>
      <w:bookmarkStart w:id="1889" w:name="_Toc481751571"/>
      <w:bookmarkStart w:id="1890" w:name="_Toc522010628"/>
      <w:bookmarkStart w:id="1891" w:name="_Toc5269533"/>
      <w:bookmarkStart w:id="1892" w:name="_Toc33529407"/>
      <w:bookmarkStart w:id="1893" w:name="_Toc36224613"/>
      <w:bookmarkStart w:id="1894" w:name="_Toc65243610"/>
      <w:bookmarkStart w:id="1895" w:name="_Toc99659296"/>
      <w:r w:rsidRPr="00D604EE">
        <w:t>Table 6.4.7</w:t>
      </w:r>
      <w:r w:rsidRPr="00D604EE">
        <w:tab/>
        <w:t xml:space="preserve">Recalculations of New Zealand’s net emissions from the </w:t>
      </w:r>
      <w:r w:rsidRPr="00D604EE">
        <w:rPr>
          <w:i/>
        </w:rPr>
        <w:t>Cropland</w:t>
      </w:r>
      <w:r w:rsidRPr="00D604EE">
        <w:t xml:space="preserve"> category in 1990 and</w:t>
      </w:r>
      <w:bookmarkEnd w:id="1878"/>
      <w:bookmarkEnd w:id="1879"/>
      <w:bookmarkEnd w:id="1880"/>
      <w:bookmarkEnd w:id="1881"/>
      <w:bookmarkEnd w:id="1882"/>
      <w:bookmarkEnd w:id="1883"/>
      <w:bookmarkEnd w:id="1884"/>
      <w:r w:rsidRPr="00D604EE">
        <w:t> </w:t>
      </w:r>
      <w:bookmarkEnd w:id="1885"/>
      <w:bookmarkEnd w:id="1886"/>
      <w:bookmarkEnd w:id="1887"/>
      <w:bookmarkEnd w:id="1888"/>
      <w:bookmarkEnd w:id="1889"/>
      <w:bookmarkEnd w:id="1890"/>
      <w:bookmarkEnd w:id="1891"/>
      <w:bookmarkEnd w:id="1892"/>
      <w:bookmarkEnd w:id="1893"/>
      <w:bookmarkEnd w:id="1894"/>
      <w:r w:rsidRPr="00D604EE">
        <w:t>2019</w:t>
      </w:r>
      <w:bookmarkEnd w:id="1895"/>
    </w:p>
    <w:tbl>
      <w:tblPr>
        <w:tblW w:w="8505" w:type="dxa"/>
        <w:tblInd w:w="108" w:type="dxa"/>
        <w:tblLayout w:type="fixed"/>
        <w:tblLook w:val="04A0" w:firstRow="1" w:lastRow="0" w:firstColumn="1" w:lastColumn="0" w:noHBand="0" w:noVBand="1"/>
      </w:tblPr>
      <w:tblGrid>
        <w:gridCol w:w="1109"/>
        <w:gridCol w:w="1849"/>
        <w:gridCol w:w="1849"/>
        <w:gridCol w:w="1849"/>
        <w:gridCol w:w="1849"/>
      </w:tblGrid>
      <w:tr w:rsidR="00784FA9" w:rsidRPr="00D604EE" w14:paraId="7C930451" w14:textId="77777777" w:rsidTr="007E3239">
        <w:tc>
          <w:tcPr>
            <w:tcW w:w="1109" w:type="dxa"/>
            <w:vMerge w:val="restart"/>
            <w:tcBorders>
              <w:top w:val="single" w:sz="4" w:space="0" w:color="1B556B"/>
            </w:tcBorders>
            <w:shd w:val="clear" w:color="auto" w:fill="1B556B"/>
            <w:vAlign w:val="bottom"/>
          </w:tcPr>
          <w:p w14:paraId="406AEF73" w14:textId="77777777" w:rsidR="00784FA9" w:rsidRPr="00D604EE" w:rsidRDefault="00784FA9" w:rsidP="007E3239">
            <w:pPr>
              <w:pStyle w:val="TableTextBold"/>
              <w:spacing w:before="50" w:after="50"/>
              <w:rPr>
                <w:noProof w:val="0"/>
                <w:color w:val="FFFFFF"/>
              </w:rPr>
            </w:pPr>
            <w:r w:rsidRPr="00D604EE">
              <w:rPr>
                <w:noProof w:val="0"/>
                <w:color w:val="FFFFFF"/>
              </w:rPr>
              <w:t>Year</w:t>
            </w:r>
          </w:p>
        </w:tc>
        <w:tc>
          <w:tcPr>
            <w:tcW w:w="3698" w:type="dxa"/>
            <w:gridSpan w:val="2"/>
            <w:tcBorders>
              <w:top w:val="single" w:sz="4" w:space="0" w:color="1B556B"/>
            </w:tcBorders>
            <w:shd w:val="clear" w:color="auto" w:fill="1B556B"/>
            <w:noWrap/>
            <w:vAlign w:val="bottom"/>
          </w:tcPr>
          <w:p w14:paraId="6170E64B" w14:textId="77777777" w:rsidR="00784FA9" w:rsidRPr="00D604EE" w:rsidRDefault="00784FA9" w:rsidP="007E3239">
            <w:pPr>
              <w:pStyle w:val="TableTextBold"/>
              <w:spacing w:before="50" w:after="0"/>
              <w:jc w:val="center"/>
              <w:rPr>
                <w:noProof w:val="0"/>
                <w:color w:val="FFFFFF"/>
              </w:rPr>
            </w:pPr>
            <w:r w:rsidRPr="00D604EE">
              <w:rPr>
                <w:noProof w:val="0"/>
                <w:color w:val="FFFFFF"/>
              </w:rPr>
              <w:t>Net emissions (kt CO</w:t>
            </w:r>
            <w:r w:rsidRPr="00D604EE">
              <w:rPr>
                <w:noProof w:val="0"/>
                <w:color w:val="FFFFFF"/>
                <w:vertAlign w:val="subscript"/>
              </w:rPr>
              <w:t>2</w:t>
            </w:r>
            <w:r w:rsidRPr="00D604EE">
              <w:rPr>
                <w:noProof w:val="0"/>
                <w:color w:val="FFFFFF"/>
              </w:rPr>
              <w:t>-e)</w:t>
            </w:r>
          </w:p>
        </w:tc>
        <w:tc>
          <w:tcPr>
            <w:tcW w:w="3698" w:type="dxa"/>
            <w:gridSpan w:val="2"/>
            <w:tcBorders>
              <w:top w:val="single" w:sz="4" w:space="0" w:color="1B556B"/>
            </w:tcBorders>
            <w:shd w:val="clear" w:color="auto" w:fill="1B556B"/>
            <w:vAlign w:val="bottom"/>
          </w:tcPr>
          <w:p w14:paraId="433FAB14" w14:textId="77777777" w:rsidR="00784FA9" w:rsidRPr="00D604EE" w:rsidRDefault="00784FA9" w:rsidP="007E3239">
            <w:pPr>
              <w:pStyle w:val="TableTextBold"/>
              <w:spacing w:before="50" w:after="0"/>
              <w:jc w:val="center"/>
              <w:rPr>
                <w:noProof w:val="0"/>
                <w:color w:val="FFFFFF"/>
              </w:rPr>
            </w:pPr>
            <w:r w:rsidRPr="00D604EE">
              <w:rPr>
                <w:noProof w:val="0"/>
                <w:color w:val="FFFFFF"/>
              </w:rPr>
              <w:t>Change from the 2021 submission</w:t>
            </w:r>
          </w:p>
        </w:tc>
      </w:tr>
      <w:tr w:rsidR="00784FA9" w:rsidRPr="00D604EE" w14:paraId="10CC2A79" w14:textId="77777777" w:rsidTr="00345F91">
        <w:tc>
          <w:tcPr>
            <w:tcW w:w="1109" w:type="dxa"/>
            <w:vMerge/>
            <w:shd w:val="clear" w:color="auto" w:fill="1B556B"/>
          </w:tcPr>
          <w:p w14:paraId="2F198067" w14:textId="77777777" w:rsidR="00784FA9" w:rsidRPr="00D604EE" w:rsidRDefault="00784FA9" w:rsidP="007E3239">
            <w:pPr>
              <w:pStyle w:val="TableText"/>
              <w:spacing w:before="50" w:after="50"/>
              <w:rPr>
                <w:color w:val="FFFFFF"/>
              </w:rPr>
            </w:pPr>
          </w:p>
        </w:tc>
        <w:tc>
          <w:tcPr>
            <w:tcW w:w="1849" w:type="dxa"/>
            <w:shd w:val="clear" w:color="auto" w:fill="1B556B"/>
          </w:tcPr>
          <w:p w14:paraId="005FB555" w14:textId="77777777" w:rsidR="00784FA9" w:rsidRPr="00D604EE" w:rsidRDefault="00784FA9" w:rsidP="007E3239">
            <w:pPr>
              <w:pStyle w:val="TableText"/>
              <w:spacing w:before="50" w:after="50"/>
              <w:jc w:val="center"/>
              <w:rPr>
                <w:b/>
                <w:color w:val="FFFFFF"/>
              </w:rPr>
            </w:pPr>
            <w:r w:rsidRPr="00D604EE">
              <w:rPr>
                <w:b/>
                <w:color w:val="FFFFFF"/>
              </w:rPr>
              <w:t>2021 submission</w:t>
            </w:r>
          </w:p>
        </w:tc>
        <w:tc>
          <w:tcPr>
            <w:tcW w:w="1849" w:type="dxa"/>
            <w:shd w:val="clear" w:color="auto" w:fill="1B556B"/>
          </w:tcPr>
          <w:p w14:paraId="72BC1D0C" w14:textId="77777777" w:rsidR="00784FA9" w:rsidRPr="00D604EE" w:rsidRDefault="00784FA9" w:rsidP="007E3239">
            <w:pPr>
              <w:pStyle w:val="TableText"/>
              <w:spacing w:before="50" w:after="50"/>
              <w:jc w:val="center"/>
              <w:rPr>
                <w:b/>
                <w:color w:val="FFFFFF"/>
              </w:rPr>
            </w:pPr>
            <w:r w:rsidRPr="00D604EE">
              <w:rPr>
                <w:b/>
                <w:color w:val="FFFFFF"/>
              </w:rPr>
              <w:t>2022 submission</w:t>
            </w:r>
          </w:p>
        </w:tc>
        <w:tc>
          <w:tcPr>
            <w:tcW w:w="1849" w:type="dxa"/>
            <w:shd w:val="clear" w:color="auto" w:fill="1B556B"/>
          </w:tcPr>
          <w:p w14:paraId="35B344C8" w14:textId="77777777" w:rsidR="00784FA9" w:rsidRPr="00D604EE" w:rsidRDefault="00784FA9" w:rsidP="007E3239">
            <w:pPr>
              <w:pStyle w:val="TableText"/>
              <w:spacing w:before="50" w:after="50"/>
              <w:jc w:val="center"/>
              <w:rPr>
                <w:b/>
                <w:color w:val="FFFFFF"/>
              </w:rPr>
            </w:pPr>
            <w:r w:rsidRPr="00D604EE">
              <w:rPr>
                <w:b/>
                <w:color w:val="FFFFFF"/>
              </w:rPr>
              <w:t>(kt CO</w:t>
            </w:r>
            <w:r w:rsidRPr="00D604EE">
              <w:rPr>
                <w:b/>
                <w:color w:val="FFFFFF"/>
                <w:vertAlign w:val="subscript"/>
              </w:rPr>
              <w:t>2</w:t>
            </w:r>
            <w:r w:rsidRPr="00D604EE">
              <w:rPr>
                <w:b/>
                <w:color w:val="FFFFFF"/>
              </w:rPr>
              <w:t>-e)</w:t>
            </w:r>
          </w:p>
        </w:tc>
        <w:tc>
          <w:tcPr>
            <w:tcW w:w="1849" w:type="dxa"/>
            <w:shd w:val="clear" w:color="auto" w:fill="1B556B"/>
          </w:tcPr>
          <w:p w14:paraId="3962726A" w14:textId="77777777" w:rsidR="00784FA9" w:rsidRPr="00D604EE" w:rsidRDefault="00784FA9" w:rsidP="007E3239">
            <w:pPr>
              <w:pStyle w:val="TableText"/>
              <w:spacing w:before="50" w:after="50"/>
              <w:jc w:val="center"/>
              <w:rPr>
                <w:b/>
                <w:color w:val="FFFFFF"/>
              </w:rPr>
            </w:pPr>
            <w:r w:rsidRPr="00D604EE">
              <w:rPr>
                <w:b/>
                <w:color w:val="FFFFFF"/>
              </w:rPr>
              <w:t>(%)</w:t>
            </w:r>
          </w:p>
        </w:tc>
      </w:tr>
      <w:tr w:rsidR="00784FA9" w:rsidRPr="00D604EE" w14:paraId="789D5F6E" w14:textId="77777777" w:rsidTr="00345F91">
        <w:tc>
          <w:tcPr>
            <w:tcW w:w="1109" w:type="dxa"/>
            <w:tcBorders>
              <w:bottom w:val="single" w:sz="4" w:space="0" w:color="1B556B"/>
            </w:tcBorders>
          </w:tcPr>
          <w:p w14:paraId="03860EE5" w14:textId="77777777" w:rsidR="00784FA9" w:rsidRPr="00D604EE" w:rsidRDefault="00784FA9" w:rsidP="007E3239">
            <w:pPr>
              <w:pStyle w:val="TableText"/>
              <w:spacing w:before="50" w:after="50"/>
            </w:pPr>
            <w:r w:rsidRPr="00D604EE">
              <w:t xml:space="preserve">1990 </w:t>
            </w:r>
          </w:p>
        </w:tc>
        <w:tc>
          <w:tcPr>
            <w:tcW w:w="1849" w:type="dxa"/>
            <w:tcBorders>
              <w:bottom w:val="single" w:sz="4" w:space="0" w:color="1B556B"/>
            </w:tcBorders>
          </w:tcPr>
          <w:p w14:paraId="48F61DBD" w14:textId="77777777" w:rsidR="00784FA9" w:rsidRPr="00D604EE" w:rsidRDefault="00784FA9" w:rsidP="007E3239">
            <w:pPr>
              <w:pStyle w:val="TableText"/>
              <w:spacing w:before="50" w:after="50"/>
              <w:jc w:val="center"/>
            </w:pPr>
            <w:r w:rsidRPr="00D604EE">
              <w:t xml:space="preserve">476.0 </w:t>
            </w:r>
          </w:p>
        </w:tc>
        <w:tc>
          <w:tcPr>
            <w:tcW w:w="1849" w:type="dxa"/>
            <w:tcBorders>
              <w:bottom w:val="single" w:sz="4" w:space="0" w:color="1B556B"/>
            </w:tcBorders>
          </w:tcPr>
          <w:p w14:paraId="24DFBE7E" w14:textId="77777777" w:rsidR="00784FA9" w:rsidRPr="00D604EE" w:rsidRDefault="00784FA9" w:rsidP="007E3239">
            <w:pPr>
              <w:pStyle w:val="TableText"/>
              <w:spacing w:before="50" w:after="50"/>
              <w:jc w:val="center"/>
            </w:pPr>
            <w:r w:rsidRPr="00D604EE">
              <w:t xml:space="preserve">476.2 </w:t>
            </w:r>
          </w:p>
        </w:tc>
        <w:tc>
          <w:tcPr>
            <w:tcW w:w="1849" w:type="dxa"/>
            <w:tcBorders>
              <w:bottom w:val="single" w:sz="4" w:space="0" w:color="1B556B"/>
            </w:tcBorders>
          </w:tcPr>
          <w:p w14:paraId="369BB1A7" w14:textId="77777777" w:rsidR="00784FA9" w:rsidRPr="00D604EE" w:rsidRDefault="00784FA9" w:rsidP="007E3239">
            <w:pPr>
              <w:pStyle w:val="TableText"/>
              <w:spacing w:before="50" w:after="50"/>
              <w:jc w:val="center"/>
            </w:pPr>
            <w:r w:rsidRPr="00D604EE">
              <w:t xml:space="preserve">0.2 </w:t>
            </w:r>
          </w:p>
        </w:tc>
        <w:tc>
          <w:tcPr>
            <w:tcW w:w="1849" w:type="dxa"/>
            <w:tcBorders>
              <w:bottom w:val="single" w:sz="4" w:space="0" w:color="1B556B"/>
            </w:tcBorders>
          </w:tcPr>
          <w:p w14:paraId="0DFB3142" w14:textId="77777777" w:rsidR="00784FA9" w:rsidRPr="00D604EE" w:rsidRDefault="00784FA9" w:rsidP="007E3239">
            <w:pPr>
              <w:pStyle w:val="TableText"/>
              <w:spacing w:before="50" w:after="50"/>
              <w:jc w:val="center"/>
            </w:pPr>
            <w:r w:rsidRPr="00D604EE">
              <w:t>0.0</w:t>
            </w:r>
          </w:p>
        </w:tc>
      </w:tr>
      <w:tr w:rsidR="00784FA9" w:rsidRPr="00D604EE" w14:paraId="4546A498" w14:textId="77777777" w:rsidTr="007E3239">
        <w:tc>
          <w:tcPr>
            <w:tcW w:w="1109" w:type="dxa"/>
            <w:tcBorders>
              <w:top w:val="single" w:sz="4" w:space="0" w:color="1B556B"/>
              <w:bottom w:val="single" w:sz="4" w:space="0" w:color="1B556B"/>
            </w:tcBorders>
          </w:tcPr>
          <w:p w14:paraId="4862F07A" w14:textId="77777777" w:rsidR="00784FA9" w:rsidRPr="00D604EE" w:rsidRDefault="00784FA9" w:rsidP="007E3239">
            <w:pPr>
              <w:pStyle w:val="TableText"/>
              <w:spacing w:before="50" w:after="50"/>
            </w:pPr>
            <w:r w:rsidRPr="00D604EE">
              <w:t>2019</w:t>
            </w:r>
          </w:p>
        </w:tc>
        <w:tc>
          <w:tcPr>
            <w:tcW w:w="1849" w:type="dxa"/>
            <w:tcBorders>
              <w:top w:val="single" w:sz="4" w:space="0" w:color="1B556B"/>
              <w:bottom w:val="single" w:sz="4" w:space="0" w:color="1B556B"/>
            </w:tcBorders>
          </w:tcPr>
          <w:p w14:paraId="16B0595B" w14:textId="77777777" w:rsidR="00784FA9" w:rsidRPr="00D604EE" w:rsidRDefault="00784FA9" w:rsidP="007E3239">
            <w:pPr>
              <w:pStyle w:val="TableText"/>
              <w:spacing w:before="50" w:after="50"/>
              <w:jc w:val="center"/>
            </w:pPr>
            <w:r w:rsidRPr="00D604EE">
              <w:t xml:space="preserve">386.8 </w:t>
            </w:r>
          </w:p>
        </w:tc>
        <w:tc>
          <w:tcPr>
            <w:tcW w:w="1849" w:type="dxa"/>
            <w:tcBorders>
              <w:top w:val="single" w:sz="4" w:space="0" w:color="1B556B"/>
              <w:bottom w:val="single" w:sz="4" w:space="0" w:color="1B556B"/>
            </w:tcBorders>
          </w:tcPr>
          <w:p w14:paraId="0660B428" w14:textId="77777777" w:rsidR="00784FA9" w:rsidRPr="00D604EE" w:rsidRDefault="00784FA9" w:rsidP="007E3239">
            <w:pPr>
              <w:pStyle w:val="TableText"/>
              <w:spacing w:before="50" w:after="50"/>
              <w:jc w:val="center"/>
            </w:pPr>
            <w:r w:rsidRPr="00D604EE">
              <w:t xml:space="preserve">386.8 </w:t>
            </w:r>
          </w:p>
        </w:tc>
        <w:tc>
          <w:tcPr>
            <w:tcW w:w="1849" w:type="dxa"/>
            <w:tcBorders>
              <w:top w:val="single" w:sz="4" w:space="0" w:color="1B556B"/>
              <w:bottom w:val="single" w:sz="4" w:space="0" w:color="1B556B"/>
            </w:tcBorders>
          </w:tcPr>
          <w:p w14:paraId="46EC0992" w14:textId="77777777" w:rsidR="00784FA9" w:rsidRPr="00D604EE" w:rsidRDefault="00784FA9" w:rsidP="007E3239">
            <w:pPr>
              <w:pStyle w:val="TableText"/>
              <w:spacing w:before="50" w:after="50"/>
              <w:jc w:val="center"/>
            </w:pPr>
            <w:r w:rsidRPr="00D604EE">
              <w:t xml:space="preserve">–0.1 </w:t>
            </w:r>
          </w:p>
        </w:tc>
        <w:tc>
          <w:tcPr>
            <w:tcW w:w="1849" w:type="dxa"/>
            <w:tcBorders>
              <w:top w:val="single" w:sz="4" w:space="0" w:color="1B556B"/>
              <w:bottom w:val="single" w:sz="4" w:space="0" w:color="1B556B"/>
            </w:tcBorders>
          </w:tcPr>
          <w:p w14:paraId="6837F1DD" w14:textId="77777777" w:rsidR="00784FA9" w:rsidRPr="00D604EE" w:rsidRDefault="00784FA9" w:rsidP="007E3239">
            <w:pPr>
              <w:pStyle w:val="TableText"/>
              <w:spacing w:before="50" w:after="50"/>
              <w:jc w:val="center"/>
            </w:pPr>
            <w:r w:rsidRPr="00D604EE">
              <w:t>–0.0</w:t>
            </w:r>
          </w:p>
        </w:tc>
      </w:tr>
    </w:tbl>
    <w:p w14:paraId="422537FB" w14:textId="77777777" w:rsidR="00784FA9" w:rsidRPr="00D604EE" w:rsidRDefault="00784FA9" w:rsidP="00784FA9">
      <w:pPr>
        <w:pStyle w:val="Noteundertable"/>
        <w:spacing w:after="80"/>
      </w:pPr>
      <w:bookmarkStart w:id="1896" w:name="_Toc139253968"/>
      <w:bookmarkStart w:id="1897" w:name="_Toc255466391"/>
      <w:bookmarkStart w:id="1898" w:name="_Toc261513198"/>
      <w:bookmarkStart w:id="1899" w:name="_Toc261513811"/>
      <w:bookmarkStart w:id="1900" w:name="_Toc280630283"/>
      <w:r w:rsidRPr="00D604EE">
        <w:rPr>
          <w:b/>
        </w:rPr>
        <w:t>Note:</w:t>
      </w:r>
      <w:r w:rsidRPr="00D604EE">
        <w:tab/>
        <w:t>Columns may not total due to rounding.</w:t>
      </w:r>
    </w:p>
    <w:p w14:paraId="28E16D14" w14:textId="77777777" w:rsidR="00784FA9" w:rsidRPr="00D604EE" w:rsidRDefault="00784FA9" w:rsidP="00784FA9">
      <w:pPr>
        <w:pStyle w:val="Heading3"/>
        <w:spacing w:before="240"/>
      </w:pPr>
      <w:r w:rsidRPr="00D604EE">
        <w:t>6.4.6</w:t>
      </w:r>
      <w:r w:rsidRPr="00D604EE">
        <w:tab/>
        <w:t>Category-specific planned improvements</w:t>
      </w:r>
      <w:bookmarkEnd w:id="1896"/>
      <w:bookmarkEnd w:id="1897"/>
      <w:bookmarkEnd w:id="1898"/>
      <w:bookmarkEnd w:id="1899"/>
      <w:bookmarkEnd w:id="1900"/>
    </w:p>
    <w:p w14:paraId="6B226A62" w14:textId="77777777" w:rsidR="00784FA9" w:rsidRPr="00D604EE" w:rsidRDefault="00784FA9" w:rsidP="00784FA9">
      <w:pPr>
        <w:pStyle w:val="BodyText"/>
      </w:pPr>
      <w:r w:rsidRPr="00D604EE">
        <w:t xml:space="preserve">A longitudinal study on the impact of management practices on </w:t>
      </w:r>
      <w:r w:rsidRPr="00D604EE">
        <w:rPr>
          <w:i/>
          <w:iCs/>
        </w:rPr>
        <w:t>Grasslands</w:t>
      </w:r>
      <w:r w:rsidRPr="00D604EE">
        <w:t xml:space="preserve"> and </w:t>
      </w:r>
      <w:r w:rsidRPr="00D604EE">
        <w:rPr>
          <w:i/>
          <w:iCs/>
        </w:rPr>
        <w:t>Croplands</w:t>
      </w:r>
      <w:r w:rsidRPr="00D604EE">
        <w:t xml:space="preserve"> soils is under way (Manaaki Whenua Landcare Research, 2020). This study will collect time-series data on a network of 500 soil sample plots over 12 years. This is likely to improve the SOC reference values for </w:t>
      </w:r>
      <w:r w:rsidRPr="00D604EE">
        <w:rPr>
          <w:i/>
          <w:iCs/>
        </w:rPr>
        <w:t>Cropland</w:t>
      </w:r>
      <w:r w:rsidRPr="00D604EE">
        <w:t xml:space="preserve">. These data are not expected to be available for several years. </w:t>
      </w:r>
    </w:p>
    <w:p w14:paraId="225834CE" w14:textId="77777777" w:rsidR="00784FA9" w:rsidRPr="00D604EE" w:rsidRDefault="00784FA9" w:rsidP="00784FA9">
      <w:pPr>
        <w:pStyle w:val="BodyText"/>
        <w:spacing w:after="100"/>
      </w:pPr>
      <w:r w:rsidRPr="00D604EE">
        <w:t>While the above-mentioned study may help improve SOC reference values, it will not address review recommendation L.18, 2020 raised in the ERT review report of the 2020 submission (FCCC/ARR/2019/NZL, UNFCCC, 2020). The report</w:t>
      </w:r>
      <w:r w:rsidRPr="00D604EE" w:rsidDel="0002696E">
        <w:t xml:space="preserve"> </w:t>
      </w:r>
      <w:r w:rsidRPr="00D604EE">
        <w:t xml:space="preserve">questioned whether the estimated SOC reference values were systematically overestimated or underestimated given that land-use change is most likely to occur on a subset of each land use category. The current soils model also assumes land use management practices are static and cannot be updated to include activity data on improvements in soil management practices. To create and validate a new </w:t>
      </w:r>
      <w:r w:rsidRPr="00D604EE">
        <w:lastRenderedPageBreak/>
        <w:t xml:space="preserve">model requires significant resourcing. Funding to investigate updating the soils model is currently being sought. However, even if this funding is received, updating or replacing the Soil Carbon Monitoring System (Soil CMS) model itself is likely to take a number of years. </w:t>
      </w:r>
    </w:p>
    <w:p w14:paraId="2CEE7869" w14:textId="77777777" w:rsidR="00784FA9" w:rsidRPr="00D604EE" w:rsidRDefault="00784FA9" w:rsidP="00784FA9">
      <w:pPr>
        <w:pStyle w:val="Heading2"/>
      </w:pPr>
      <w:bookmarkStart w:id="1901" w:name="_Toc69611750"/>
      <w:bookmarkStart w:id="1902" w:name="_Toc69612706"/>
      <w:bookmarkStart w:id="1903" w:name="_Toc69612905"/>
      <w:bookmarkStart w:id="1904" w:name="_Toc69613165"/>
      <w:bookmarkStart w:id="1905" w:name="_Toc69633329"/>
      <w:bookmarkStart w:id="1906" w:name="_Toc69717494"/>
      <w:bookmarkStart w:id="1907" w:name="_Toc69802976"/>
      <w:bookmarkStart w:id="1908" w:name="_Toc69815113"/>
      <w:bookmarkStart w:id="1909" w:name="_Toc70492406"/>
      <w:bookmarkStart w:id="1910" w:name="_Toc101310612"/>
      <w:bookmarkStart w:id="1911" w:name="_Toc101318472"/>
      <w:bookmarkStart w:id="1912" w:name="_Toc101318577"/>
      <w:bookmarkStart w:id="1913" w:name="_Toc101318761"/>
      <w:bookmarkStart w:id="1914" w:name="_Toc101334037"/>
      <w:bookmarkStart w:id="1915" w:name="_Toc134847215"/>
      <w:bookmarkStart w:id="1916" w:name="_Toc139253969"/>
      <w:bookmarkStart w:id="1917" w:name="_Toc144710423"/>
      <w:bookmarkStart w:id="1918" w:name="_Toc165890377"/>
      <w:bookmarkStart w:id="1919" w:name="_Toc195322671"/>
      <w:bookmarkStart w:id="1920" w:name="_Toc255466392"/>
      <w:bookmarkStart w:id="1921" w:name="_Toc261513199"/>
      <w:bookmarkStart w:id="1922" w:name="_Toc261513812"/>
      <w:bookmarkStart w:id="1923" w:name="_Toc280630284"/>
      <w:bookmarkStart w:id="1924" w:name="_Toc310423454"/>
      <w:bookmarkStart w:id="1925" w:name="_Toc342470720"/>
      <w:bookmarkStart w:id="1926" w:name="_Toc352504872"/>
      <w:bookmarkStart w:id="1927" w:name="_Toc391024702"/>
      <w:bookmarkStart w:id="1928" w:name="_Toc414531319"/>
      <w:bookmarkStart w:id="1929" w:name="_Toc474335461"/>
      <w:bookmarkStart w:id="1930" w:name="_Toc481751401"/>
      <w:bookmarkStart w:id="1931" w:name="_Toc522013953"/>
      <w:bookmarkStart w:id="1932" w:name="_Toc5269378"/>
      <w:bookmarkStart w:id="1933" w:name="_Toc36224418"/>
      <w:bookmarkStart w:id="1934" w:name="_Toc99659144"/>
      <w:r w:rsidRPr="00D604EE">
        <w:t>6.5</w:t>
      </w:r>
      <w:r w:rsidRPr="00D604EE">
        <w:tab/>
        <w:t>Grassland (CRF 4C)</w:t>
      </w:r>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p>
    <w:p w14:paraId="538E291D" w14:textId="77777777" w:rsidR="00784FA9" w:rsidRPr="00D604EE" w:rsidRDefault="00784FA9" w:rsidP="00784FA9">
      <w:pPr>
        <w:pStyle w:val="Heading3"/>
        <w:spacing w:before="240"/>
      </w:pPr>
      <w:bookmarkStart w:id="1935" w:name="_Toc139253970"/>
      <w:bookmarkStart w:id="1936" w:name="_Toc255466393"/>
      <w:bookmarkStart w:id="1937" w:name="_Toc261513200"/>
      <w:bookmarkStart w:id="1938" w:name="_Toc261513813"/>
      <w:bookmarkStart w:id="1939" w:name="_Toc280630285"/>
      <w:r w:rsidRPr="00D604EE">
        <w:t>6.5.1</w:t>
      </w:r>
      <w:r w:rsidRPr="00D604EE">
        <w:tab/>
        <w:t>Description</w:t>
      </w:r>
      <w:bookmarkEnd w:id="1935"/>
      <w:bookmarkEnd w:id="1936"/>
      <w:bookmarkEnd w:id="1937"/>
      <w:bookmarkEnd w:id="1938"/>
      <w:bookmarkEnd w:id="1939"/>
    </w:p>
    <w:p w14:paraId="0FCC16A1" w14:textId="77777777" w:rsidR="00784FA9" w:rsidRPr="00D604EE" w:rsidRDefault="00784FA9" w:rsidP="00784FA9">
      <w:pPr>
        <w:pStyle w:val="BodyText"/>
        <w:spacing w:before="100" w:after="100"/>
      </w:pPr>
      <w:r w:rsidRPr="00D604EE">
        <w:t xml:space="preserve">In 2020, the net emissions from </w:t>
      </w:r>
      <w:r w:rsidRPr="00D604EE">
        <w:rPr>
          <w:i/>
        </w:rPr>
        <w:t>Grassland</w:t>
      </w:r>
      <w:r w:rsidRPr="00D604EE">
        <w:t xml:space="preserve"> were 2,570.2 kt CO</w:t>
      </w:r>
      <w:r w:rsidRPr="00D604EE">
        <w:rPr>
          <w:vertAlign w:val="subscript"/>
        </w:rPr>
        <w:t>2</w:t>
      </w:r>
      <w:r w:rsidRPr="00D604EE">
        <w:t>-e (see table 6.5.1). These emissions comprise 2,524.5 kt CO</w:t>
      </w:r>
      <w:r w:rsidRPr="00D604EE">
        <w:rPr>
          <w:vertAlign w:val="subscript"/>
        </w:rPr>
        <w:t>2</w:t>
      </w:r>
      <w:r w:rsidRPr="00D604EE">
        <w:t xml:space="preserve"> emissions from carbon stock change, 0.08 kt N</w:t>
      </w:r>
      <w:r w:rsidRPr="00D604EE">
        <w:rPr>
          <w:vertAlign w:val="subscript"/>
        </w:rPr>
        <w:t>2</w:t>
      </w:r>
      <w:r w:rsidRPr="00D604EE">
        <w:t>O (23.2 kt CO</w:t>
      </w:r>
      <w:r w:rsidRPr="00D604EE">
        <w:rPr>
          <w:vertAlign w:val="subscript"/>
        </w:rPr>
        <w:t>2</w:t>
      </w:r>
      <w:r w:rsidRPr="00D604EE">
        <w:noBreakHyphen/>
        <w:t>e) and 0.9 kt CH</w:t>
      </w:r>
      <w:r w:rsidRPr="00D604EE">
        <w:rPr>
          <w:vertAlign w:val="subscript"/>
        </w:rPr>
        <w:t>4</w:t>
      </w:r>
      <w:r w:rsidRPr="00D604EE">
        <w:t xml:space="preserve"> (22.5 kt CO</w:t>
      </w:r>
      <w:r w:rsidRPr="00D604EE">
        <w:rPr>
          <w:vertAlign w:val="subscript"/>
        </w:rPr>
        <w:t>2</w:t>
      </w:r>
      <w:r w:rsidRPr="00D604EE">
        <w:t xml:space="preserve">-e) emissions from </w:t>
      </w:r>
      <w:r w:rsidRPr="00D604EE">
        <w:rPr>
          <w:i/>
        </w:rPr>
        <w:t>Biomass burning</w:t>
      </w:r>
      <w:r w:rsidRPr="00D604EE">
        <w:t xml:space="preserve"> and nitrogen mineralisation on </w:t>
      </w:r>
      <w:r w:rsidRPr="00D604EE">
        <w:rPr>
          <w:i/>
        </w:rPr>
        <w:t>Land converted to grassland</w:t>
      </w:r>
      <w:r w:rsidRPr="00D604EE">
        <w:t>.</w:t>
      </w:r>
    </w:p>
    <w:p w14:paraId="238CD0D8" w14:textId="77777777" w:rsidR="00784FA9" w:rsidRPr="00D604EE" w:rsidRDefault="00784FA9" w:rsidP="00784FA9">
      <w:pPr>
        <w:pStyle w:val="BodyText"/>
        <w:spacing w:before="100" w:after="100"/>
      </w:pPr>
      <w:r w:rsidRPr="00D604EE">
        <w:t xml:space="preserve">Net emissions from </w:t>
      </w:r>
      <w:r w:rsidRPr="00D604EE">
        <w:rPr>
          <w:i/>
        </w:rPr>
        <w:t xml:space="preserve">Grassland </w:t>
      </w:r>
      <w:r w:rsidRPr="00D604EE">
        <w:t>have increased by 1,845.5 kt CO</w:t>
      </w:r>
      <w:r w:rsidRPr="00D604EE">
        <w:rPr>
          <w:vertAlign w:val="subscript"/>
        </w:rPr>
        <w:t>2</w:t>
      </w:r>
      <w:r w:rsidRPr="00D604EE">
        <w:t xml:space="preserve">-e (254.6 per cent) from the 1990 level of </w:t>
      </w:r>
      <w:r w:rsidRPr="00D604EE">
        <w:rPr>
          <w:bCs/>
        </w:rPr>
        <w:t xml:space="preserve">724.7 </w:t>
      </w:r>
      <w:r w:rsidRPr="00D604EE">
        <w:t>kt CO</w:t>
      </w:r>
      <w:r w:rsidRPr="00D604EE">
        <w:rPr>
          <w:vertAlign w:val="subscript"/>
        </w:rPr>
        <w:t>2</w:t>
      </w:r>
      <w:r w:rsidRPr="00D604EE">
        <w:t>-e (see table 6.5.1). The majority of this change occurred in pre-1990 planted forest converted to high producing grassland and is the effect of deforestation that involves large losses in the living biomass pool.</w:t>
      </w:r>
    </w:p>
    <w:p w14:paraId="6C34A457" w14:textId="77777777" w:rsidR="00784FA9" w:rsidRPr="00D604EE" w:rsidRDefault="00784FA9" w:rsidP="00784FA9">
      <w:pPr>
        <w:pStyle w:val="BodyText"/>
        <w:spacing w:before="100" w:after="100"/>
      </w:pPr>
      <w:r w:rsidRPr="00D604EE">
        <w:t xml:space="preserve">The </w:t>
      </w:r>
      <w:r w:rsidRPr="00D604EE">
        <w:rPr>
          <w:i/>
        </w:rPr>
        <w:t>Grassland remaining grassland</w:t>
      </w:r>
      <w:r w:rsidRPr="00D604EE">
        <w:t xml:space="preserve"> and </w:t>
      </w:r>
      <w:r w:rsidRPr="00D604EE">
        <w:rPr>
          <w:i/>
        </w:rPr>
        <w:t>Land converted to grassland</w:t>
      </w:r>
      <w:r w:rsidRPr="00D604EE">
        <w:t xml:space="preserve"> categories were identified as key categories for the level and trend assessment in 2020.</w:t>
      </w:r>
    </w:p>
    <w:p w14:paraId="3A918E73" w14:textId="77777777" w:rsidR="00784FA9" w:rsidRPr="00D604EE" w:rsidRDefault="00784FA9" w:rsidP="00784FA9">
      <w:pPr>
        <w:pStyle w:val="Table"/>
      </w:pPr>
      <w:bookmarkStart w:id="1940" w:name="_Toc280630465"/>
      <w:bookmarkStart w:id="1941" w:name="_Toc310423421"/>
      <w:bookmarkStart w:id="1942" w:name="_Toc318362714"/>
      <w:bookmarkStart w:id="1943" w:name="_Toc342470776"/>
      <w:bookmarkStart w:id="1944" w:name="_Toc352505016"/>
      <w:bookmarkStart w:id="1945" w:name="_Toc378853307"/>
      <w:bookmarkStart w:id="1946" w:name="_Toc391024105"/>
      <w:bookmarkStart w:id="1947" w:name="_Toc410028848"/>
      <w:bookmarkStart w:id="1948" w:name="_Toc414531476"/>
      <w:bookmarkStart w:id="1949" w:name="_Toc443645389"/>
      <w:bookmarkStart w:id="1950" w:name="_Toc474914608"/>
      <w:bookmarkStart w:id="1951" w:name="_Toc481751572"/>
      <w:bookmarkStart w:id="1952" w:name="_Toc522010629"/>
      <w:bookmarkStart w:id="1953" w:name="_Toc5269534"/>
      <w:bookmarkStart w:id="1954" w:name="_Toc33529408"/>
      <w:bookmarkStart w:id="1955" w:name="_Toc36224614"/>
      <w:bookmarkStart w:id="1956" w:name="_Toc99659297"/>
      <w:r w:rsidRPr="00D604EE">
        <w:t>Table 6.5.1</w:t>
      </w:r>
      <w:r w:rsidRPr="00D604EE">
        <w:tab/>
        <w:t xml:space="preserve">New Zealand’s land-use change for the </w:t>
      </w:r>
      <w:r w:rsidRPr="00D604EE">
        <w:rPr>
          <w:i/>
        </w:rPr>
        <w:t>Grassland</w:t>
      </w:r>
      <w:r w:rsidRPr="00D604EE">
        <w:t xml:space="preserve"> category, and associated</w:t>
      </w:r>
      <w:r w:rsidRPr="00D604EE">
        <w:br/>
        <w:t>CO</w:t>
      </w:r>
      <w:r w:rsidRPr="00D604EE">
        <w:rPr>
          <w:vertAlign w:val="subscript"/>
        </w:rPr>
        <w:t>2</w:t>
      </w:r>
      <w:r w:rsidRPr="00D604EE">
        <w:noBreakHyphen/>
        <w:t>e emissions, from 1990 to</w:t>
      </w:r>
      <w:bookmarkEnd w:id="1940"/>
      <w:bookmarkEnd w:id="1941"/>
      <w:bookmarkEnd w:id="1942"/>
      <w:bookmarkEnd w:id="1943"/>
      <w:bookmarkEnd w:id="1944"/>
      <w:r w:rsidRPr="00D604EE">
        <w:t> </w:t>
      </w:r>
      <w:bookmarkEnd w:id="1945"/>
      <w:bookmarkEnd w:id="1946"/>
      <w:bookmarkEnd w:id="1947"/>
      <w:bookmarkEnd w:id="1948"/>
      <w:bookmarkEnd w:id="1949"/>
      <w:bookmarkEnd w:id="1950"/>
      <w:bookmarkEnd w:id="1951"/>
      <w:bookmarkEnd w:id="1952"/>
      <w:bookmarkEnd w:id="1953"/>
      <w:bookmarkEnd w:id="1954"/>
      <w:bookmarkEnd w:id="1955"/>
      <w:r w:rsidRPr="00D604EE">
        <w:t>2020</w:t>
      </w:r>
      <w:bookmarkEnd w:id="1956"/>
    </w:p>
    <w:tbl>
      <w:tblPr>
        <w:tblW w:w="8505" w:type="dxa"/>
        <w:tblInd w:w="108" w:type="dxa"/>
        <w:tblLayout w:type="fixed"/>
        <w:tblLook w:val="04A0" w:firstRow="1" w:lastRow="0" w:firstColumn="1" w:lastColumn="0" w:noHBand="0" w:noVBand="1"/>
      </w:tblPr>
      <w:tblGrid>
        <w:gridCol w:w="2619"/>
        <w:gridCol w:w="1357"/>
        <w:gridCol w:w="1357"/>
        <w:gridCol w:w="904"/>
        <w:gridCol w:w="1055"/>
        <w:gridCol w:w="1213"/>
      </w:tblGrid>
      <w:tr w:rsidR="00784FA9" w:rsidRPr="00D604EE" w14:paraId="2C95E804" w14:textId="77777777" w:rsidTr="00345F91">
        <w:tc>
          <w:tcPr>
            <w:tcW w:w="2619" w:type="dxa"/>
            <w:vMerge w:val="restart"/>
            <w:tcBorders>
              <w:top w:val="single" w:sz="4" w:space="0" w:color="1B556B"/>
            </w:tcBorders>
            <w:shd w:val="clear" w:color="auto" w:fill="1B556B"/>
            <w:vAlign w:val="bottom"/>
          </w:tcPr>
          <w:p w14:paraId="7D129A88" w14:textId="77777777" w:rsidR="00784FA9" w:rsidRPr="00D604EE" w:rsidRDefault="00784FA9" w:rsidP="007E3239">
            <w:pPr>
              <w:pStyle w:val="TableText"/>
              <w:keepNext/>
              <w:spacing w:before="40" w:after="40"/>
              <w:rPr>
                <w:b/>
                <w:color w:val="FFFFFF"/>
              </w:rPr>
            </w:pPr>
            <w:r w:rsidRPr="00D604EE">
              <w:rPr>
                <w:b/>
                <w:color w:val="FFFFFF"/>
              </w:rPr>
              <w:t>Grassland land use category</w:t>
            </w:r>
          </w:p>
        </w:tc>
        <w:tc>
          <w:tcPr>
            <w:tcW w:w="1357" w:type="dxa"/>
            <w:vMerge w:val="restart"/>
            <w:tcBorders>
              <w:top w:val="single" w:sz="4" w:space="0" w:color="1B556B"/>
            </w:tcBorders>
            <w:shd w:val="clear" w:color="auto" w:fill="1B556B"/>
            <w:vAlign w:val="bottom"/>
          </w:tcPr>
          <w:p w14:paraId="4DBF3B8E" w14:textId="77777777" w:rsidR="00784FA9" w:rsidRPr="00D604EE" w:rsidRDefault="00784FA9" w:rsidP="007F407F">
            <w:pPr>
              <w:pStyle w:val="TableText"/>
              <w:keepNext/>
              <w:spacing w:before="40" w:after="40"/>
              <w:jc w:val="center"/>
              <w:rPr>
                <w:b/>
                <w:color w:val="FFFFFF"/>
              </w:rPr>
            </w:pPr>
            <w:r w:rsidRPr="00D604EE">
              <w:rPr>
                <w:b/>
                <w:color w:val="FFFFFF"/>
              </w:rPr>
              <w:t>Area as at 1990 (ha)</w:t>
            </w:r>
          </w:p>
        </w:tc>
        <w:tc>
          <w:tcPr>
            <w:tcW w:w="1357" w:type="dxa"/>
            <w:vMerge w:val="restart"/>
            <w:tcBorders>
              <w:top w:val="single" w:sz="4" w:space="0" w:color="1B556B"/>
            </w:tcBorders>
            <w:shd w:val="clear" w:color="auto" w:fill="1B556B"/>
            <w:vAlign w:val="bottom"/>
          </w:tcPr>
          <w:p w14:paraId="3C5CA302" w14:textId="77777777" w:rsidR="00784FA9" w:rsidRPr="00D604EE" w:rsidRDefault="00784FA9" w:rsidP="007F407F">
            <w:pPr>
              <w:pStyle w:val="TableText"/>
              <w:keepNext/>
              <w:spacing w:before="40" w:after="40"/>
              <w:jc w:val="center"/>
              <w:rPr>
                <w:b/>
                <w:color w:val="FFFFFF"/>
              </w:rPr>
            </w:pPr>
            <w:r w:rsidRPr="00D604EE">
              <w:rPr>
                <w:b/>
                <w:color w:val="FFFFFF"/>
              </w:rPr>
              <w:t>Area as at 2020 (ha)</w:t>
            </w:r>
          </w:p>
        </w:tc>
        <w:tc>
          <w:tcPr>
            <w:tcW w:w="1959" w:type="dxa"/>
            <w:gridSpan w:val="2"/>
            <w:tcBorders>
              <w:top w:val="single" w:sz="4" w:space="0" w:color="1B556B"/>
            </w:tcBorders>
            <w:shd w:val="clear" w:color="auto" w:fill="1B556B"/>
            <w:vAlign w:val="bottom"/>
          </w:tcPr>
          <w:p w14:paraId="48E65732" w14:textId="77777777" w:rsidR="00784FA9" w:rsidRPr="00D604EE" w:rsidRDefault="00784FA9" w:rsidP="007F407F">
            <w:pPr>
              <w:pStyle w:val="TableText"/>
              <w:keepNext/>
              <w:spacing w:before="40" w:after="40"/>
              <w:jc w:val="center"/>
              <w:rPr>
                <w:b/>
                <w:color w:val="FFFFFF"/>
              </w:rPr>
            </w:pPr>
            <w:r w:rsidRPr="00D604EE">
              <w:rPr>
                <w:b/>
                <w:color w:val="FFFFFF"/>
              </w:rPr>
              <w:t xml:space="preserve">Net emissions </w:t>
            </w:r>
            <w:r w:rsidRPr="00D604EE">
              <w:rPr>
                <w:b/>
                <w:color w:val="FFFFFF"/>
              </w:rPr>
              <w:br/>
              <w:t>(kt CO</w:t>
            </w:r>
            <w:r w:rsidRPr="00D604EE">
              <w:rPr>
                <w:b/>
                <w:color w:val="FFFFFF"/>
                <w:vertAlign w:val="subscript"/>
              </w:rPr>
              <w:t>2</w:t>
            </w:r>
            <w:r w:rsidRPr="00D604EE">
              <w:rPr>
                <w:b/>
                <w:color w:val="FFFFFF"/>
              </w:rPr>
              <w:t>-e)</w:t>
            </w:r>
          </w:p>
        </w:tc>
        <w:tc>
          <w:tcPr>
            <w:tcW w:w="1213" w:type="dxa"/>
            <w:vMerge w:val="restart"/>
            <w:tcBorders>
              <w:top w:val="single" w:sz="4" w:space="0" w:color="1B556B"/>
            </w:tcBorders>
            <w:shd w:val="clear" w:color="auto" w:fill="1B556B"/>
            <w:vAlign w:val="bottom"/>
          </w:tcPr>
          <w:p w14:paraId="47AC0057" w14:textId="77777777" w:rsidR="00784FA9" w:rsidRPr="00D604EE" w:rsidRDefault="00784FA9" w:rsidP="007F407F">
            <w:pPr>
              <w:pStyle w:val="TableText"/>
              <w:keepNext/>
              <w:spacing w:before="40" w:after="40"/>
              <w:jc w:val="center"/>
              <w:rPr>
                <w:b/>
                <w:color w:val="FFFFFF"/>
              </w:rPr>
            </w:pPr>
            <w:r w:rsidRPr="00D604EE">
              <w:rPr>
                <w:b/>
                <w:color w:val="FFFFFF"/>
              </w:rPr>
              <w:t>Change from 1990 (%)</w:t>
            </w:r>
          </w:p>
        </w:tc>
      </w:tr>
      <w:tr w:rsidR="00784FA9" w:rsidRPr="00D604EE" w14:paraId="21283812" w14:textId="77777777" w:rsidTr="00345F91">
        <w:trPr>
          <w:trHeight w:val="300"/>
        </w:trPr>
        <w:tc>
          <w:tcPr>
            <w:tcW w:w="2619" w:type="dxa"/>
            <w:vMerge/>
            <w:tcBorders>
              <w:bottom w:val="single" w:sz="4" w:space="0" w:color="1B556B"/>
            </w:tcBorders>
            <w:shd w:val="clear" w:color="auto" w:fill="1B556B"/>
          </w:tcPr>
          <w:p w14:paraId="0DF2B633" w14:textId="77777777" w:rsidR="00784FA9" w:rsidRPr="00D604EE" w:rsidRDefault="00784FA9" w:rsidP="007E3239">
            <w:pPr>
              <w:pStyle w:val="TableText"/>
              <w:keepNext/>
              <w:spacing w:before="40" w:after="40"/>
              <w:rPr>
                <w:rFonts w:eastAsia="Segoe UI"/>
              </w:rPr>
            </w:pPr>
          </w:p>
        </w:tc>
        <w:tc>
          <w:tcPr>
            <w:tcW w:w="1357" w:type="dxa"/>
            <w:vMerge/>
            <w:tcBorders>
              <w:bottom w:val="single" w:sz="4" w:space="0" w:color="1B556B"/>
            </w:tcBorders>
            <w:shd w:val="clear" w:color="auto" w:fill="1B556B"/>
          </w:tcPr>
          <w:p w14:paraId="334486B7" w14:textId="77777777" w:rsidR="00784FA9" w:rsidRPr="00D604EE" w:rsidRDefault="00784FA9" w:rsidP="007F407F">
            <w:pPr>
              <w:pStyle w:val="TableText"/>
              <w:keepNext/>
              <w:spacing w:before="40" w:after="40"/>
              <w:jc w:val="center"/>
              <w:rPr>
                <w:rFonts w:eastAsia="Segoe UI"/>
              </w:rPr>
            </w:pPr>
          </w:p>
        </w:tc>
        <w:tc>
          <w:tcPr>
            <w:tcW w:w="1357" w:type="dxa"/>
            <w:vMerge/>
            <w:tcBorders>
              <w:bottom w:val="single" w:sz="4" w:space="0" w:color="1B556B"/>
            </w:tcBorders>
            <w:shd w:val="clear" w:color="auto" w:fill="1B556B"/>
          </w:tcPr>
          <w:p w14:paraId="66F0D932" w14:textId="77777777" w:rsidR="00784FA9" w:rsidRPr="00D604EE" w:rsidRDefault="00784FA9" w:rsidP="007F407F">
            <w:pPr>
              <w:pStyle w:val="TableText"/>
              <w:keepNext/>
              <w:spacing w:before="40" w:after="40"/>
              <w:jc w:val="center"/>
              <w:rPr>
                <w:rFonts w:eastAsia="Segoe UI"/>
              </w:rPr>
            </w:pPr>
          </w:p>
        </w:tc>
        <w:tc>
          <w:tcPr>
            <w:tcW w:w="904" w:type="dxa"/>
            <w:tcBorders>
              <w:bottom w:val="single" w:sz="4" w:space="0" w:color="1B556B"/>
            </w:tcBorders>
            <w:shd w:val="clear" w:color="auto" w:fill="1B556B"/>
          </w:tcPr>
          <w:p w14:paraId="40C92E47" w14:textId="77777777" w:rsidR="00784FA9" w:rsidRPr="00D604EE" w:rsidRDefault="00784FA9" w:rsidP="007F407F">
            <w:pPr>
              <w:pStyle w:val="TableText"/>
              <w:keepNext/>
              <w:spacing w:before="40" w:after="40"/>
              <w:jc w:val="center"/>
              <w:rPr>
                <w:b/>
                <w:color w:val="FFFFFF"/>
              </w:rPr>
            </w:pPr>
            <w:r w:rsidRPr="00D604EE">
              <w:rPr>
                <w:b/>
                <w:color w:val="FFFFFF"/>
              </w:rPr>
              <w:t>1990</w:t>
            </w:r>
          </w:p>
        </w:tc>
        <w:tc>
          <w:tcPr>
            <w:tcW w:w="1055" w:type="dxa"/>
            <w:tcBorders>
              <w:bottom w:val="single" w:sz="4" w:space="0" w:color="1B556B"/>
            </w:tcBorders>
            <w:shd w:val="clear" w:color="auto" w:fill="1B556B"/>
          </w:tcPr>
          <w:p w14:paraId="01012ED7" w14:textId="77777777" w:rsidR="00784FA9" w:rsidRPr="00D604EE" w:rsidRDefault="00784FA9" w:rsidP="007F407F">
            <w:pPr>
              <w:pStyle w:val="TableText"/>
              <w:keepNext/>
              <w:spacing w:before="40" w:after="40"/>
              <w:jc w:val="center"/>
              <w:rPr>
                <w:b/>
                <w:color w:val="FFFFFF"/>
              </w:rPr>
            </w:pPr>
            <w:r w:rsidRPr="00D604EE">
              <w:rPr>
                <w:b/>
                <w:color w:val="FFFFFF"/>
              </w:rPr>
              <w:t>2020</w:t>
            </w:r>
          </w:p>
        </w:tc>
        <w:tc>
          <w:tcPr>
            <w:tcW w:w="1213" w:type="dxa"/>
            <w:vMerge/>
            <w:tcBorders>
              <w:bottom w:val="single" w:sz="4" w:space="0" w:color="1B556B"/>
            </w:tcBorders>
            <w:shd w:val="clear" w:color="auto" w:fill="1B556B"/>
          </w:tcPr>
          <w:p w14:paraId="256EA7CD" w14:textId="77777777" w:rsidR="00784FA9" w:rsidRPr="00D604EE" w:rsidRDefault="00784FA9" w:rsidP="007F407F">
            <w:pPr>
              <w:pStyle w:val="TableText"/>
              <w:keepNext/>
              <w:spacing w:before="40" w:after="40"/>
              <w:jc w:val="center"/>
              <w:rPr>
                <w:rFonts w:eastAsia="Segoe UI"/>
              </w:rPr>
            </w:pPr>
          </w:p>
        </w:tc>
      </w:tr>
      <w:tr w:rsidR="00784FA9" w:rsidRPr="00D604EE" w14:paraId="7A2AABF5" w14:textId="77777777" w:rsidTr="007E3239">
        <w:trPr>
          <w:trHeight w:val="20"/>
        </w:trPr>
        <w:tc>
          <w:tcPr>
            <w:tcW w:w="2619" w:type="dxa"/>
            <w:tcBorders>
              <w:top w:val="single" w:sz="4" w:space="0" w:color="1B556B"/>
              <w:bottom w:val="single" w:sz="4" w:space="0" w:color="1B556B"/>
            </w:tcBorders>
          </w:tcPr>
          <w:p w14:paraId="1EFBCC4A" w14:textId="77777777" w:rsidR="00784FA9" w:rsidRPr="00D604EE" w:rsidRDefault="00784FA9" w:rsidP="007E3239">
            <w:pPr>
              <w:pStyle w:val="TableText"/>
              <w:spacing w:before="40" w:after="40"/>
            </w:pPr>
            <w:r w:rsidRPr="00D604EE">
              <w:t>Grassland remaining grassland</w:t>
            </w:r>
          </w:p>
        </w:tc>
        <w:tc>
          <w:tcPr>
            <w:tcW w:w="1357" w:type="dxa"/>
            <w:tcBorders>
              <w:top w:val="single" w:sz="4" w:space="0" w:color="1B556B"/>
              <w:bottom w:val="single" w:sz="4" w:space="0" w:color="1B556B"/>
            </w:tcBorders>
          </w:tcPr>
          <w:p w14:paraId="3CD9087D" w14:textId="77777777" w:rsidR="00784FA9" w:rsidRPr="00D604EE" w:rsidRDefault="00784FA9" w:rsidP="007F407F">
            <w:pPr>
              <w:pStyle w:val="TableText"/>
              <w:spacing w:before="40" w:after="40"/>
              <w:jc w:val="center"/>
            </w:pPr>
            <w:r w:rsidRPr="00D604EE">
              <w:t>14,922,325</w:t>
            </w:r>
          </w:p>
        </w:tc>
        <w:tc>
          <w:tcPr>
            <w:tcW w:w="1357" w:type="dxa"/>
            <w:tcBorders>
              <w:top w:val="single" w:sz="4" w:space="0" w:color="1B556B"/>
              <w:bottom w:val="single" w:sz="4" w:space="0" w:color="1B556B"/>
            </w:tcBorders>
          </w:tcPr>
          <w:p w14:paraId="6D277E2F" w14:textId="77777777" w:rsidR="00784FA9" w:rsidRPr="00D604EE" w:rsidRDefault="00784FA9" w:rsidP="007F407F">
            <w:pPr>
              <w:pStyle w:val="TableText"/>
              <w:spacing w:before="40" w:after="40"/>
              <w:jc w:val="center"/>
            </w:pPr>
            <w:r w:rsidRPr="00D604EE">
              <w:t>14,388,920</w:t>
            </w:r>
          </w:p>
        </w:tc>
        <w:tc>
          <w:tcPr>
            <w:tcW w:w="904" w:type="dxa"/>
            <w:tcBorders>
              <w:top w:val="single" w:sz="4" w:space="0" w:color="1B556B"/>
              <w:bottom w:val="single" w:sz="4" w:space="0" w:color="1B556B"/>
            </w:tcBorders>
            <w:noWrap/>
          </w:tcPr>
          <w:p w14:paraId="1F20C045" w14:textId="68F0E077" w:rsidR="00784FA9" w:rsidRPr="00D604EE" w:rsidRDefault="00784FA9" w:rsidP="007F407F">
            <w:pPr>
              <w:pStyle w:val="TableText"/>
              <w:spacing w:before="40" w:after="40"/>
              <w:jc w:val="center"/>
            </w:pPr>
            <w:r w:rsidRPr="00D604EE">
              <w:t>303.1</w:t>
            </w:r>
          </w:p>
        </w:tc>
        <w:tc>
          <w:tcPr>
            <w:tcW w:w="1055" w:type="dxa"/>
            <w:tcBorders>
              <w:top w:val="single" w:sz="4" w:space="0" w:color="1B556B"/>
              <w:bottom w:val="single" w:sz="4" w:space="0" w:color="1B556B"/>
            </w:tcBorders>
            <w:noWrap/>
          </w:tcPr>
          <w:p w14:paraId="467CDFD2" w14:textId="7BE024CC" w:rsidR="00784FA9" w:rsidRPr="00D604EE" w:rsidRDefault="00784FA9" w:rsidP="007F407F">
            <w:pPr>
              <w:pStyle w:val="TableText"/>
              <w:spacing w:before="40" w:after="40"/>
              <w:jc w:val="center"/>
            </w:pPr>
            <w:r w:rsidRPr="00D604EE">
              <w:t>1,260.7</w:t>
            </w:r>
          </w:p>
        </w:tc>
        <w:tc>
          <w:tcPr>
            <w:tcW w:w="1213" w:type="dxa"/>
            <w:tcBorders>
              <w:top w:val="single" w:sz="4" w:space="0" w:color="1B556B"/>
              <w:bottom w:val="single" w:sz="4" w:space="0" w:color="1B556B"/>
            </w:tcBorders>
          </w:tcPr>
          <w:p w14:paraId="3FA36371" w14:textId="77777777" w:rsidR="00784FA9" w:rsidRPr="00D604EE" w:rsidRDefault="00784FA9" w:rsidP="007F407F">
            <w:pPr>
              <w:pStyle w:val="TableText"/>
              <w:spacing w:before="40" w:after="40"/>
              <w:jc w:val="center"/>
            </w:pPr>
            <w:r w:rsidRPr="00D604EE">
              <w:t>315.9</w:t>
            </w:r>
          </w:p>
        </w:tc>
      </w:tr>
      <w:tr w:rsidR="00784FA9" w:rsidRPr="00D604EE" w14:paraId="085F99A4" w14:textId="77777777" w:rsidTr="007E3239">
        <w:trPr>
          <w:trHeight w:val="20"/>
        </w:trPr>
        <w:tc>
          <w:tcPr>
            <w:tcW w:w="2619" w:type="dxa"/>
            <w:tcBorders>
              <w:top w:val="single" w:sz="4" w:space="0" w:color="1B556B"/>
              <w:bottom w:val="single" w:sz="4" w:space="0" w:color="1B556B"/>
            </w:tcBorders>
          </w:tcPr>
          <w:p w14:paraId="5213C1E6" w14:textId="77777777" w:rsidR="00784FA9" w:rsidRPr="00D604EE" w:rsidRDefault="00784FA9" w:rsidP="007E3239">
            <w:pPr>
              <w:pStyle w:val="TableText"/>
              <w:spacing w:before="40" w:after="40"/>
            </w:pPr>
            <w:r w:rsidRPr="00D604EE">
              <w:t>Land converted to grassland</w:t>
            </w:r>
          </w:p>
        </w:tc>
        <w:tc>
          <w:tcPr>
            <w:tcW w:w="1357" w:type="dxa"/>
            <w:tcBorders>
              <w:top w:val="single" w:sz="4" w:space="0" w:color="1B556B"/>
              <w:bottom w:val="single" w:sz="4" w:space="0" w:color="1B556B"/>
            </w:tcBorders>
          </w:tcPr>
          <w:p w14:paraId="5B0283F9" w14:textId="77777777" w:rsidR="00784FA9" w:rsidRPr="00D604EE" w:rsidRDefault="00784FA9" w:rsidP="007F407F">
            <w:pPr>
              <w:pStyle w:val="TableText"/>
              <w:spacing w:before="40" w:after="40"/>
              <w:jc w:val="center"/>
            </w:pPr>
            <w:r w:rsidRPr="00D604EE">
              <w:t>343,988</w:t>
            </w:r>
          </w:p>
        </w:tc>
        <w:tc>
          <w:tcPr>
            <w:tcW w:w="1357" w:type="dxa"/>
            <w:tcBorders>
              <w:top w:val="single" w:sz="4" w:space="0" w:color="1B556B"/>
              <w:bottom w:val="single" w:sz="4" w:space="0" w:color="1B556B"/>
            </w:tcBorders>
          </w:tcPr>
          <w:p w14:paraId="0A8DC51F" w14:textId="77777777" w:rsidR="00784FA9" w:rsidRPr="00D604EE" w:rsidRDefault="00784FA9" w:rsidP="007F407F">
            <w:pPr>
              <w:pStyle w:val="TableText"/>
              <w:spacing w:before="40" w:after="40"/>
              <w:jc w:val="center"/>
            </w:pPr>
            <w:r w:rsidRPr="00D604EE">
              <w:t>195,362</w:t>
            </w:r>
          </w:p>
        </w:tc>
        <w:tc>
          <w:tcPr>
            <w:tcW w:w="904" w:type="dxa"/>
            <w:tcBorders>
              <w:top w:val="single" w:sz="4" w:space="0" w:color="1B556B"/>
              <w:bottom w:val="single" w:sz="4" w:space="0" w:color="1B556B"/>
            </w:tcBorders>
            <w:noWrap/>
          </w:tcPr>
          <w:p w14:paraId="7BCFEBAF" w14:textId="60F091B4" w:rsidR="00784FA9" w:rsidRPr="00D604EE" w:rsidRDefault="00784FA9" w:rsidP="007F407F">
            <w:pPr>
              <w:pStyle w:val="TableText"/>
              <w:spacing w:before="40" w:after="40"/>
              <w:jc w:val="center"/>
            </w:pPr>
            <w:r w:rsidRPr="00D604EE">
              <w:t>421.6</w:t>
            </w:r>
          </w:p>
        </w:tc>
        <w:tc>
          <w:tcPr>
            <w:tcW w:w="1055" w:type="dxa"/>
            <w:tcBorders>
              <w:top w:val="single" w:sz="4" w:space="0" w:color="1B556B"/>
              <w:bottom w:val="single" w:sz="4" w:space="0" w:color="1B556B"/>
            </w:tcBorders>
            <w:noWrap/>
          </w:tcPr>
          <w:p w14:paraId="729185F7" w14:textId="0812A04D" w:rsidR="00784FA9" w:rsidRPr="00D604EE" w:rsidRDefault="00784FA9" w:rsidP="007F407F">
            <w:pPr>
              <w:pStyle w:val="TableText"/>
              <w:spacing w:before="40" w:after="40"/>
              <w:jc w:val="center"/>
            </w:pPr>
            <w:r w:rsidRPr="00D604EE">
              <w:t>1,309.5</w:t>
            </w:r>
          </w:p>
        </w:tc>
        <w:tc>
          <w:tcPr>
            <w:tcW w:w="1213" w:type="dxa"/>
            <w:tcBorders>
              <w:top w:val="single" w:sz="4" w:space="0" w:color="1B556B"/>
              <w:bottom w:val="single" w:sz="4" w:space="0" w:color="1B556B"/>
            </w:tcBorders>
          </w:tcPr>
          <w:p w14:paraId="53CD5C6D" w14:textId="77777777" w:rsidR="00784FA9" w:rsidRPr="00D604EE" w:rsidRDefault="00784FA9" w:rsidP="007F407F">
            <w:pPr>
              <w:pStyle w:val="TableText"/>
              <w:spacing w:before="40" w:after="40"/>
              <w:jc w:val="center"/>
            </w:pPr>
            <w:r w:rsidRPr="00D604EE">
              <w:t>210.6</w:t>
            </w:r>
          </w:p>
        </w:tc>
      </w:tr>
      <w:tr w:rsidR="00784FA9" w:rsidRPr="00D604EE" w14:paraId="294D072F" w14:textId="77777777" w:rsidTr="007E3239">
        <w:trPr>
          <w:trHeight w:val="20"/>
        </w:trPr>
        <w:tc>
          <w:tcPr>
            <w:tcW w:w="2619" w:type="dxa"/>
            <w:tcBorders>
              <w:top w:val="single" w:sz="4" w:space="0" w:color="1B556B"/>
              <w:bottom w:val="single" w:sz="4" w:space="0" w:color="1B556B"/>
            </w:tcBorders>
          </w:tcPr>
          <w:p w14:paraId="5695EC76" w14:textId="77777777" w:rsidR="00784FA9" w:rsidRPr="00D604EE" w:rsidRDefault="00784FA9" w:rsidP="007F407F">
            <w:pPr>
              <w:pStyle w:val="Tableboldblue"/>
              <w:spacing w:before="40" w:after="40"/>
              <w:jc w:val="right"/>
            </w:pPr>
            <w:r w:rsidRPr="00D604EE">
              <w:t>Total</w:t>
            </w:r>
          </w:p>
        </w:tc>
        <w:tc>
          <w:tcPr>
            <w:tcW w:w="1357" w:type="dxa"/>
            <w:tcBorders>
              <w:top w:val="single" w:sz="4" w:space="0" w:color="1B556B"/>
              <w:bottom w:val="single" w:sz="4" w:space="0" w:color="1B556B"/>
            </w:tcBorders>
          </w:tcPr>
          <w:p w14:paraId="509D5A6F" w14:textId="77777777" w:rsidR="00784FA9" w:rsidRPr="00D604EE" w:rsidRDefault="00784FA9" w:rsidP="007F407F">
            <w:pPr>
              <w:pStyle w:val="Tableboldblue"/>
              <w:spacing w:before="40" w:after="40"/>
              <w:jc w:val="center"/>
            </w:pPr>
            <w:r w:rsidRPr="00D604EE">
              <w:t>15,266,313</w:t>
            </w:r>
          </w:p>
        </w:tc>
        <w:tc>
          <w:tcPr>
            <w:tcW w:w="1357" w:type="dxa"/>
            <w:tcBorders>
              <w:top w:val="single" w:sz="4" w:space="0" w:color="1B556B"/>
              <w:bottom w:val="single" w:sz="4" w:space="0" w:color="1B556B"/>
            </w:tcBorders>
          </w:tcPr>
          <w:p w14:paraId="3FA33FEC" w14:textId="77777777" w:rsidR="00784FA9" w:rsidRPr="00D604EE" w:rsidRDefault="00784FA9" w:rsidP="007F407F">
            <w:pPr>
              <w:pStyle w:val="Tableboldblue"/>
              <w:spacing w:before="40" w:after="40"/>
              <w:jc w:val="center"/>
            </w:pPr>
            <w:r w:rsidRPr="00D604EE">
              <w:t>14,584,282</w:t>
            </w:r>
          </w:p>
        </w:tc>
        <w:tc>
          <w:tcPr>
            <w:tcW w:w="904" w:type="dxa"/>
            <w:tcBorders>
              <w:top w:val="single" w:sz="4" w:space="0" w:color="1B556B"/>
              <w:bottom w:val="single" w:sz="4" w:space="0" w:color="1B556B"/>
            </w:tcBorders>
            <w:noWrap/>
          </w:tcPr>
          <w:p w14:paraId="74D81447" w14:textId="4D9C71C1" w:rsidR="00784FA9" w:rsidRPr="00D604EE" w:rsidRDefault="00784FA9" w:rsidP="007F407F">
            <w:pPr>
              <w:pStyle w:val="Tableboldblue"/>
              <w:spacing w:before="40" w:after="40"/>
              <w:jc w:val="center"/>
            </w:pPr>
            <w:r w:rsidRPr="00D604EE">
              <w:t>724.7</w:t>
            </w:r>
          </w:p>
        </w:tc>
        <w:tc>
          <w:tcPr>
            <w:tcW w:w="1055" w:type="dxa"/>
            <w:tcBorders>
              <w:top w:val="single" w:sz="4" w:space="0" w:color="1B556B"/>
              <w:bottom w:val="single" w:sz="4" w:space="0" w:color="1B556B"/>
            </w:tcBorders>
            <w:noWrap/>
          </w:tcPr>
          <w:p w14:paraId="208ED5F1" w14:textId="05C4D368" w:rsidR="00784FA9" w:rsidRPr="00D604EE" w:rsidRDefault="00784FA9" w:rsidP="007F407F">
            <w:pPr>
              <w:pStyle w:val="Tableboldblue"/>
              <w:spacing w:before="40" w:after="40"/>
              <w:jc w:val="center"/>
            </w:pPr>
            <w:r w:rsidRPr="00D604EE">
              <w:t>2,570.2</w:t>
            </w:r>
          </w:p>
        </w:tc>
        <w:tc>
          <w:tcPr>
            <w:tcW w:w="1213" w:type="dxa"/>
            <w:tcBorders>
              <w:top w:val="single" w:sz="4" w:space="0" w:color="1B556B"/>
              <w:bottom w:val="single" w:sz="4" w:space="0" w:color="1B556B"/>
            </w:tcBorders>
          </w:tcPr>
          <w:p w14:paraId="22B232A1" w14:textId="77777777" w:rsidR="00784FA9" w:rsidRPr="00D604EE" w:rsidRDefault="00784FA9" w:rsidP="007F407F">
            <w:pPr>
              <w:pStyle w:val="Tableboldblue"/>
              <w:spacing w:before="40" w:after="40"/>
              <w:jc w:val="center"/>
            </w:pPr>
            <w:r w:rsidRPr="00D604EE">
              <w:t>254.6</w:t>
            </w:r>
          </w:p>
        </w:tc>
      </w:tr>
    </w:tbl>
    <w:p w14:paraId="0B194E80" w14:textId="77777777" w:rsidR="00784FA9" w:rsidRPr="00D604EE" w:rsidRDefault="00784FA9" w:rsidP="00784FA9">
      <w:pPr>
        <w:pStyle w:val="Noteundertable"/>
        <w:spacing w:after="60"/>
        <w:rPr>
          <w:rFonts w:eastAsia="Segoe UI"/>
        </w:rPr>
      </w:pPr>
      <w:r w:rsidRPr="00D604EE">
        <w:rPr>
          <w:rFonts w:eastAsia="Segoe UI"/>
          <w:b/>
        </w:rPr>
        <w:t>Note:</w:t>
      </w:r>
      <w:r w:rsidRPr="00D604EE">
        <w:rPr>
          <w:rFonts w:eastAsia="Segoe UI"/>
        </w:rPr>
        <w:tab/>
      </w:r>
      <w:r w:rsidRPr="00D604EE">
        <w:t xml:space="preserve">Net area in 1990 is as at 1 January 1990; net area in 2020 is as at 31 December. </w:t>
      </w:r>
      <w:r w:rsidRPr="00D604EE">
        <w:rPr>
          <w:i/>
        </w:rPr>
        <w:t>Land converted to grassland</w:t>
      </w:r>
      <w:r w:rsidRPr="00D604EE">
        <w:t xml:space="preserve"> includes land converted up to 20 years earlier. Net emission estimates are for the whole year indicated. Columns may not total due to rounding.</w:t>
      </w:r>
    </w:p>
    <w:p w14:paraId="64E52F5B" w14:textId="77777777" w:rsidR="00784FA9" w:rsidRPr="00D604EE" w:rsidRDefault="00784FA9" w:rsidP="00784FA9">
      <w:pPr>
        <w:pStyle w:val="BodyText"/>
      </w:pPr>
      <w:r w:rsidRPr="00D604EE">
        <w:t xml:space="preserve">In New Zealand, the </w:t>
      </w:r>
      <w:r w:rsidRPr="00D604EE">
        <w:rPr>
          <w:i/>
        </w:rPr>
        <w:t>Grassland</w:t>
      </w:r>
      <w:r w:rsidRPr="00D604EE">
        <w:t xml:space="preserve"> category is used to describe a range of land cover types. In this submission, three types of </w:t>
      </w:r>
      <w:r w:rsidRPr="00D604EE">
        <w:rPr>
          <w:i/>
        </w:rPr>
        <w:t>Grassland</w:t>
      </w:r>
      <w:r w:rsidRPr="00D604EE">
        <w:t xml:space="preserve"> are used: high producing, low producing and with woody biomass. Detailed descriptions of each </w:t>
      </w:r>
      <w:r w:rsidRPr="00D604EE">
        <w:rPr>
          <w:i/>
        </w:rPr>
        <w:t>Grassland</w:t>
      </w:r>
      <w:r w:rsidRPr="00D604EE">
        <w:t xml:space="preserve"> type can be found in table 6.2.3 and are briefly summarised below:</w:t>
      </w:r>
    </w:p>
    <w:p w14:paraId="4756B25D" w14:textId="77777777" w:rsidR="00784FA9" w:rsidRPr="00D604EE" w:rsidRDefault="00784FA9" w:rsidP="00AB2A5C">
      <w:pPr>
        <w:pStyle w:val="Bullet"/>
        <w:numPr>
          <w:ilvl w:val="0"/>
          <w:numId w:val="19"/>
        </w:numPr>
        <w:ind w:left="397" w:hanging="397"/>
      </w:pPr>
      <w:r w:rsidRPr="00D604EE">
        <w:rPr>
          <w:i/>
          <w:iCs/>
        </w:rPr>
        <w:t xml:space="preserve">High producing grassland </w:t>
      </w:r>
      <w:r w:rsidRPr="00D604EE">
        <w:t>– intensively managed pasture land</w:t>
      </w:r>
    </w:p>
    <w:p w14:paraId="640580BC" w14:textId="77777777" w:rsidR="00784FA9" w:rsidRPr="00D604EE" w:rsidRDefault="00784FA9" w:rsidP="00AB2A5C">
      <w:pPr>
        <w:pStyle w:val="Bullet"/>
        <w:numPr>
          <w:ilvl w:val="0"/>
          <w:numId w:val="19"/>
        </w:numPr>
        <w:ind w:left="397" w:hanging="397"/>
      </w:pPr>
      <w:r w:rsidRPr="00D604EE">
        <w:rPr>
          <w:i/>
          <w:iCs/>
        </w:rPr>
        <w:t>Low producing grassland</w:t>
      </w:r>
      <w:r w:rsidRPr="00D604EE">
        <w:t xml:space="preserve"> – low-fertility grasses on hill country, areas of native tussock and areas composed of low, shrubby vegetation, both above and below the timberline</w:t>
      </w:r>
    </w:p>
    <w:p w14:paraId="42289C2A" w14:textId="77777777" w:rsidR="00784FA9" w:rsidRPr="00D604EE" w:rsidRDefault="00784FA9" w:rsidP="00AB2A5C">
      <w:pPr>
        <w:pStyle w:val="Bullet"/>
        <w:numPr>
          <w:ilvl w:val="0"/>
          <w:numId w:val="19"/>
        </w:numPr>
        <w:ind w:left="397" w:hanging="397"/>
      </w:pPr>
      <w:r w:rsidRPr="00D604EE">
        <w:rPr>
          <w:i/>
          <w:iCs/>
        </w:rPr>
        <w:t>Grassland with woody biomass</w:t>
      </w:r>
      <w:r w:rsidRPr="00D604EE">
        <w:t xml:space="preserve"> – grassland areas where the cover of woody species is less than 30 per cent and/or does not meet, nor has the potential to meet, the New Zealand forest definition due to the current management regime (e.g., periodically cleared for grazing), or due to characteristics of the vegetation or environmental constraints (e.g., alpine shrubland).</w:t>
      </w:r>
    </w:p>
    <w:p w14:paraId="2AFBD85E" w14:textId="77777777" w:rsidR="00784FA9" w:rsidRPr="00D604EE" w:rsidRDefault="00784FA9" w:rsidP="00784FA9">
      <w:pPr>
        <w:pStyle w:val="BodyText"/>
      </w:pPr>
      <w:r w:rsidRPr="00D604EE">
        <w:rPr>
          <w:i/>
          <w:iCs/>
        </w:rPr>
        <w:t>Grassland with woody biomass</w:t>
      </w:r>
      <w:r w:rsidRPr="00D604EE">
        <w:t xml:space="preserve"> is a diverse land use and has therefore been disaggregated into two types: permanent and transitional, described in table 6.5.2. Separate emission factors for each type of </w:t>
      </w:r>
      <w:r w:rsidRPr="00D604EE">
        <w:rPr>
          <w:i/>
          <w:iCs/>
        </w:rPr>
        <w:t>Grassland with woody biomass</w:t>
      </w:r>
      <w:r w:rsidRPr="00D604EE">
        <w:t xml:space="preserve"> are derived from the LUCAS plot network (Wakelin and Beets, unpublished). Within the CRF Reporter, reporting on </w:t>
      </w:r>
      <w:r w:rsidRPr="00D604EE">
        <w:rPr>
          <w:i/>
          <w:iCs/>
        </w:rPr>
        <w:t>Grassland with woody biomass</w:t>
      </w:r>
      <w:r w:rsidRPr="00D604EE">
        <w:t xml:space="preserve"> is at the aggregate level. </w:t>
      </w:r>
    </w:p>
    <w:p w14:paraId="1AA85136" w14:textId="77777777" w:rsidR="00784FA9" w:rsidRPr="00D604EE" w:rsidRDefault="00784FA9" w:rsidP="00784FA9">
      <w:pPr>
        <w:pStyle w:val="Table"/>
      </w:pPr>
      <w:bookmarkStart w:id="1957" w:name="_Toc99659298"/>
      <w:r w:rsidRPr="00D604EE">
        <w:lastRenderedPageBreak/>
        <w:t>Table 6.5.2</w:t>
      </w:r>
      <w:r w:rsidRPr="00D604EE">
        <w:tab/>
        <w:t>Grassland with woody biomass sub-classification and description</w:t>
      </w:r>
      <w:bookmarkEnd w:id="1957"/>
    </w:p>
    <w:tbl>
      <w:tblPr>
        <w:tblW w:w="8505" w:type="dxa"/>
        <w:tblInd w:w="108" w:type="dxa"/>
        <w:tblBorders>
          <w:top w:val="single" w:sz="4" w:space="0" w:color="365F91"/>
          <w:bottom w:val="single" w:sz="4" w:space="0" w:color="365F91"/>
          <w:insideH w:val="single" w:sz="4" w:space="0" w:color="365F91"/>
          <w:insideV w:val="single" w:sz="4" w:space="0" w:color="365F91"/>
        </w:tblBorders>
        <w:tblCellMar>
          <w:right w:w="85" w:type="dxa"/>
        </w:tblCellMar>
        <w:tblLook w:val="04A0" w:firstRow="1" w:lastRow="0" w:firstColumn="1" w:lastColumn="0" w:noHBand="0" w:noVBand="1"/>
      </w:tblPr>
      <w:tblGrid>
        <w:gridCol w:w="1985"/>
        <w:gridCol w:w="3260"/>
        <w:gridCol w:w="3260"/>
      </w:tblGrid>
      <w:tr w:rsidR="00784FA9" w:rsidRPr="00D604EE" w14:paraId="7CC83F12" w14:textId="77777777" w:rsidTr="006D5A76">
        <w:trPr>
          <w:tblHeader/>
        </w:trPr>
        <w:tc>
          <w:tcPr>
            <w:tcW w:w="1985" w:type="dxa"/>
            <w:tcBorders>
              <w:top w:val="single" w:sz="4" w:space="0" w:color="1B556B"/>
              <w:left w:val="nil"/>
              <w:bottom w:val="single" w:sz="4" w:space="0" w:color="1B556B"/>
              <w:right w:val="nil"/>
            </w:tcBorders>
            <w:shd w:val="clear" w:color="auto" w:fill="1B556B"/>
            <w:hideMark/>
          </w:tcPr>
          <w:p w14:paraId="46404DE6" w14:textId="77777777" w:rsidR="00784FA9" w:rsidRPr="00D604EE" w:rsidRDefault="00784FA9" w:rsidP="007E3239">
            <w:pPr>
              <w:pStyle w:val="TableTextBold"/>
              <w:spacing w:before="50" w:after="50" w:line="256" w:lineRule="auto"/>
              <w:rPr>
                <w:noProof w:val="0"/>
                <w:color w:val="FFFFFF"/>
              </w:rPr>
            </w:pPr>
            <w:r w:rsidRPr="00D604EE">
              <w:rPr>
                <w:noProof w:val="0"/>
                <w:color w:val="FFFFFF"/>
              </w:rPr>
              <w:t>Grassland with woody biomass sub-classification</w:t>
            </w:r>
          </w:p>
        </w:tc>
        <w:tc>
          <w:tcPr>
            <w:tcW w:w="3260" w:type="dxa"/>
            <w:tcBorders>
              <w:top w:val="single" w:sz="4" w:space="0" w:color="1B556B"/>
              <w:left w:val="nil"/>
              <w:bottom w:val="single" w:sz="4" w:space="0" w:color="1B556B"/>
              <w:right w:val="nil"/>
            </w:tcBorders>
            <w:shd w:val="clear" w:color="auto" w:fill="1B556B"/>
            <w:vAlign w:val="bottom"/>
            <w:hideMark/>
          </w:tcPr>
          <w:p w14:paraId="2BF93CC2" w14:textId="77777777" w:rsidR="00784FA9" w:rsidRPr="00D604EE" w:rsidRDefault="00784FA9" w:rsidP="007E3239">
            <w:pPr>
              <w:pStyle w:val="TableTextBold"/>
              <w:spacing w:before="50" w:after="50" w:line="256" w:lineRule="auto"/>
              <w:rPr>
                <w:noProof w:val="0"/>
                <w:color w:val="FFFFFF"/>
              </w:rPr>
            </w:pPr>
            <w:r w:rsidRPr="00D604EE">
              <w:rPr>
                <w:noProof w:val="0"/>
                <w:color w:val="FFFFFF"/>
              </w:rPr>
              <w:t>Description</w:t>
            </w:r>
          </w:p>
        </w:tc>
        <w:tc>
          <w:tcPr>
            <w:tcW w:w="3260" w:type="dxa"/>
            <w:tcBorders>
              <w:top w:val="single" w:sz="4" w:space="0" w:color="1B556B"/>
              <w:left w:val="nil"/>
              <w:bottom w:val="single" w:sz="4" w:space="0" w:color="1B556B"/>
              <w:right w:val="single" w:sz="4" w:space="0" w:color="365F91"/>
            </w:tcBorders>
            <w:shd w:val="clear" w:color="auto" w:fill="1B556B"/>
            <w:vAlign w:val="bottom"/>
          </w:tcPr>
          <w:p w14:paraId="139CADE7" w14:textId="77777777" w:rsidR="00784FA9" w:rsidRPr="00D604EE" w:rsidRDefault="00784FA9" w:rsidP="007E3239">
            <w:pPr>
              <w:pStyle w:val="TableTextBold"/>
              <w:spacing w:before="50" w:after="50" w:line="256" w:lineRule="auto"/>
              <w:rPr>
                <w:noProof w:val="0"/>
                <w:color w:val="FFFFFF"/>
              </w:rPr>
            </w:pPr>
            <w:r w:rsidRPr="00D604EE">
              <w:rPr>
                <w:noProof w:val="0"/>
                <w:color w:val="FFFFFF"/>
              </w:rPr>
              <w:t xml:space="preserve">Expected occurrence </w:t>
            </w:r>
          </w:p>
        </w:tc>
      </w:tr>
      <w:tr w:rsidR="00784FA9" w:rsidRPr="00D604EE" w14:paraId="01E293C8" w14:textId="77777777" w:rsidTr="007E3239">
        <w:tc>
          <w:tcPr>
            <w:tcW w:w="1985" w:type="dxa"/>
            <w:tcBorders>
              <w:top w:val="single" w:sz="4" w:space="0" w:color="1B556B"/>
              <w:left w:val="nil"/>
              <w:bottom w:val="single" w:sz="4" w:space="0" w:color="365F91"/>
              <w:right w:val="nil"/>
            </w:tcBorders>
            <w:hideMark/>
          </w:tcPr>
          <w:p w14:paraId="292892AC" w14:textId="77777777" w:rsidR="00784FA9" w:rsidRPr="00D604EE" w:rsidRDefault="00784FA9" w:rsidP="007E3239">
            <w:pPr>
              <w:pStyle w:val="TableText"/>
              <w:spacing w:before="50" w:after="50" w:line="256" w:lineRule="auto"/>
              <w:rPr>
                <w:rFonts w:cs="Arial Bold"/>
                <w:szCs w:val="16"/>
              </w:rPr>
            </w:pPr>
            <w:r w:rsidRPr="00D604EE">
              <w:rPr>
                <w:rFonts w:cs="Arial Bold"/>
                <w:szCs w:val="16"/>
              </w:rPr>
              <w:t xml:space="preserve">Transitional </w:t>
            </w:r>
          </w:p>
        </w:tc>
        <w:tc>
          <w:tcPr>
            <w:tcW w:w="3260" w:type="dxa"/>
            <w:tcBorders>
              <w:top w:val="single" w:sz="4" w:space="0" w:color="1B556B"/>
              <w:left w:val="nil"/>
              <w:bottom w:val="single" w:sz="4" w:space="0" w:color="365F91"/>
              <w:right w:val="nil"/>
            </w:tcBorders>
            <w:hideMark/>
          </w:tcPr>
          <w:p w14:paraId="148F9127" w14:textId="77777777" w:rsidR="00784FA9" w:rsidRPr="00D604EE" w:rsidRDefault="00784FA9" w:rsidP="007E3239">
            <w:pPr>
              <w:pStyle w:val="TableText"/>
              <w:spacing w:before="50" w:after="50" w:line="256" w:lineRule="auto"/>
              <w:rPr>
                <w:rFonts w:cs="Arial Bold"/>
                <w:szCs w:val="16"/>
              </w:rPr>
            </w:pPr>
            <w:r w:rsidRPr="00D604EE">
              <w:rPr>
                <w:rFonts w:cs="Arial Bold"/>
                <w:szCs w:val="16"/>
              </w:rPr>
              <w:t xml:space="preserve">Areas of woody shrublands within farmland that </w:t>
            </w:r>
            <w:r w:rsidRPr="00D604EE">
              <w:t>do not become forest over a 30- to 40-year timeframe (Trotter and MacKay, unpublished)</w:t>
            </w:r>
          </w:p>
        </w:tc>
        <w:tc>
          <w:tcPr>
            <w:tcW w:w="3260" w:type="dxa"/>
            <w:tcBorders>
              <w:top w:val="single" w:sz="4" w:space="0" w:color="1B556B"/>
              <w:left w:val="nil"/>
              <w:bottom w:val="single" w:sz="4" w:space="0" w:color="365F91"/>
              <w:right w:val="nil"/>
            </w:tcBorders>
          </w:tcPr>
          <w:p w14:paraId="62C02F47" w14:textId="77777777" w:rsidR="00784FA9" w:rsidRPr="00D604EE" w:rsidRDefault="00784FA9" w:rsidP="007E3239">
            <w:pPr>
              <w:pStyle w:val="TableText"/>
              <w:spacing w:before="50" w:after="50" w:line="256" w:lineRule="auto"/>
              <w:rPr>
                <w:rFonts w:cs="Arial Bold"/>
                <w:szCs w:val="16"/>
              </w:rPr>
            </w:pPr>
            <w:r w:rsidRPr="00D604EE">
              <w:rPr>
                <w:rFonts w:cs="Arial Bold"/>
                <w:szCs w:val="16"/>
              </w:rPr>
              <w:t xml:space="preserve">Where livestock grazes areas of woody shrubland or where woody shrubland is managed in other ways (e.g., spraying) to prevent it from becoming forest. </w:t>
            </w:r>
          </w:p>
        </w:tc>
      </w:tr>
      <w:tr w:rsidR="00784FA9" w:rsidRPr="00D604EE" w14:paraId="01935EC1" w14:textId="77777777" w:rsidTr="007E3239">
        <w:tc>
          <w:tcPr>
            <w:tcW w:w="1985" w:type="dxa"/>
            <w:tcBorders>
              <w:top w:val="single" w:sz="4" w:space="0" w:color="365F91"/>
              <w:left w:val="nil"/>
              <w:bottom w:val="single" w:sz="4" w:space="0" w:color="365F91"/>
              <w:right w:val="nil"/>
            </w:tcBorders>
          </w:tcPr>
          <w:p w14:paraId="6C4C2317" w14:textId="77777777" w:rsidR="00784FA9" w:rsidRPr="00D604EE" w:rsidRDefault="00784FA9" w:rsidP="007E3239">
            <w:pPr>
              <w:pStyle w:val="TableText"/>
              <w:spacing w:before="50" w:after="50" w:line="256" w:lineRule="auto"/>
              <w:rPr>
                <w:rFonts w:cs="Arial Bold"/>
                <w:szCs w:val="16"/>
              </w:rPr>
            </w:pPr>
            <w:r w:rsidRPr="00D604EE">
              <w:rPr>
                <w:rFonts w:cs="Arial Bold"/>
                <w:szCs w:val="16"/>
              </w:rPr>
              <w:t>Permanent</w:t>
            </w:r>
          </w:p>
        </w:tc>
        <w:tc>
          <w:tcPr>
            <w:tcW w:w="3260" w:type="dxa"/>
            <w:tcBorders>
              <w:top w:val="single" w:sz="4" w:space="0" w:color="365F91"/>
              <w:left w:val="nil"/>
              <w:bottom w:val="single" w:sz="4" w:space="0" w:color="365F91"/>
              <w:right w:val="nil"/>
            </w:tcBorders>
            <w:hideMark/>
          </w:tcPr>
          <w:p w14:paraId="3FEB157B" w14:textId="77777777" w:rsidR="00784FA9" w:rsidRPr="00D604EE" w:rsidRDefault="00784FA9" w:rsidP="007E3239">
            <w:pPr>
              <w:pStyle w:val="TableText"/>
              <w:spacing w:before="50" w:after="50" w:line="256" w:lineRule="auto"/>
              <w:rPr>
                <w:rFonts w:cs="Arial Bold"/>
                <w:szCs w:val="16"/>
              </w:rPr>
            </w:pPr>
            <w:r w:rsidRPr="00D604EE">
              <w:rPr>
                <w:rFonts w:cs="Arial Bold"/>
                <w:szCs w:val="16"/>
              </w:rPr>
              <w:t xml:space="preserve">Land covered by woody vegetation that does not meet the forest definition and is not expected to do so under current ecological, management or environmental conditions. </w:t>
            </w:r>
          </w:p>
        </w:tc>
        <w:tc>
          <w:tcPr>
            <w:tcW w:w="3260" w:type="dxa"/>
            <w:tcBorders>
              <w:top w:val="single" w:sz="4" w:space="0" w:color="365F91"/>
              <w:left w:val="nil"/>
              <w:bottom w:val="single" w:sz="4" w:space="0" w:color="365F91"/>
              <w:right w:val="nil"/>
            </w:tcBorders>
          </w:tcPr>
          <w:p w14:paraId="38A3DE49" w14:textId="77777777" w:rsidR="00784FA9" w:rsidRPr="00D604EE" w:rsidRDefault="00784FA9" w:rsidP="007E3239">
            <w:pPr>
              <w:pStyle w:val="TableText"/>
              <w:spacing w:before="50" w:after="50" w:line="256" w:lineRule="auto"/>
              <w:rPr>
                <w:rFonts w:cs="Arial Bold"/>
                <w:szCs w:val="16"/>
              </w:rPr>
            </w:pPr>
            <w:r w:rsidRPr="00D604EE">
              <w:rPr>
                <w:rFonts w:cs="Arial Bold"/>
                <w:szCs w:val="16"/>
              </w:rPr>
              <w:t>Where abiotic conditions at a site are conducive to low-stature vegetation; for example, vegetation growing at high altitudes, on low-fertility soil or on frost flats.</w:t>
            </w:r>
          </w:p>
        </w:tc>
      </w:tr>
    </w:tbl>
    <w:p w14:paraId="0DA6C97D" w14:textId="77777777" w:rsidR="00784FA9" w:rsidRPr="00D604EE" w:rsidRDefault="00784FA9" w:rsidP="00784FA9">
      <w:pPr>
        <w:pStyle w:val="BodyText"/>
        <w:spacing w:before="240"/>
      </w:pPr>
      <w:r w:rsidRPr="00D604EE">
        <w:t xml:space="preserve">In 2020, there were 6,892,607 hectares of high producing grassland (25.6 per cent of total land area), 6,319,589 hectares of low producing grassland (23.5 per cent of total land area) and 1,372,087 hectares of </w:t>
      </w:r>
      <w:r w:rsidRPr="00D604EE">
        <w:rPr>
          <w:i/>
          <w:iCs/>
        </w:rPr>
        <w:t>Grassland with woody biomass</w:t>
      </w:r>
      <w:r w:rsidRPr="00D604EE">
        <w:t xml:space="preserve"> (5.1 per cent of total land area). The area </w:t>
      </w:r>
      <w:r w:rsidRPr="00D604EE">
        <w:rPr>
          <w:i/>
          <w:iCs/>
        </w:rPr>
        <w:t>of Grassland with woody biomass</w:t>
      </w:r>
      <w:r w:rsidRPr="00D604EE">
        <w:t xml:space="preserve"> is comprised of 487,423 hectares of permanent and 884,664 hectares of transitional </w:t>
      </w:r>
      <w:r w:rsidRPr="00D604EE">
        <w:rPr>
          <w:i/>
          <w:iCs/>
        </w:rPr>
        <w:t>Grassland with woody biomass</w:t>
      </w:r>
      <w:r w:rsidRPr="00D604EE">
        <w:t xml:space="preserve">. </w:t>
      </w:r>
    </w:p>
    <w:p w14:paraId="528C7CCD" w14:textId="77777777" w:rsidR="00784FA9" w:rsidRPr="00D604EE" w:rsidRDefault="00784FA9" w:rsidP="00784FA9">
      <w:pPr>
        <w:pStyle w:val="BodyText"/>
      </w:pPr>
      <w:r w:rsidRPr="00D604EE">
        <w:t xml:space="preserve">From 1990 to 2020, the net carbon stock change attributed to </w:t>
      </w:r>
      <w:r w:rsidRPr="00D604EE">
        <w:rPr>
          <w:i/>
        </w:rPr>
        <w:t>Grassland</w:t>
      </w:r>
      <w:r w:rsidRPr="00D604EE">
        <w:t xml:space="preserve"> was a loss of 40,622.6 kt C, equivalent to 148,949.4 kt CO</w:t>
      </w:r>
      <w:r w:rsidRPr="00D604EE">
        <w:rPr>
          <w:vertAlign w:val="subscript"/>
        </w:rPr>
        <w:t>2</w:t>
      </w:r>
      <w:r w:rsidRPr="00D604EE">
        <w:t xml:space="preserve"> emissions (see table 6.5.3). The majority of these emissions are due to the loss of living biomass carbon stock associated with </w:t>
      </w:r>
      <w:r w:rsidRPr="00D604EE">
        <w:rPr>
          <w:i/>
        </w:rPr>
        <w:t>Forest land</w:t>
      </w:r>
      <w:r w:rsidRPr="00D604EE">
        <w:t xml:space="preserve"> conversion to </w:t>
      </w:r>
      <w:r w:rsidRPr="00D604EE">
        <w:rPr>
          <w:i/>
        </w:rPr>
        <w:t>Grassland</w:t>
      </w:r>
      <w:r w:rsidRPr="00D604EE">
        <w:t xml:space="preserve"> (deforestation). </w:t>
      </w:r>
    </w:p>
    <w:p w14:paraId="729CB93F" w14:textId="77777777" w:rsidR="00784FA9" w:rsidRPr="00D604EE" w:rsidRDefault="00784FA9" w:rsidP="00784FA9">
      <w:pPr>
        <w:pStyle w:val="Table"/>
      </w:pPr>
      <w:bookmarkStart w:id="1958" w:name="_Toc280630467"/>
      <w:bookmarkStart w:id="1959" w:name="_Toc310423423"/>
      <w:bookmarkStart w:id="1960" w:name="_Toc318362716"/>
      <w:bookmarkStart w:id="1961" w:name="_Toc342470778"/>
      <w:bookmarkStart w:id="1962" w:name="_Toc352505018"/>
      <w:bookmarkStart w:id="1963" w:name="_Toc378853308"/>
      <w:bookmarkStart w:id="1964" w:name="_Toc391024106"/>
      <w:bookmarkStart w:id="1965" w:name="_Toc410028849"/>
      <w:bookmarkStart w:id="1966" w:name="_Toc414531477"/>
      <w:bookmarkStart w:id="1967" w:name="_Toc443645390"/>
      <w:bookmarkStart w:id="1968" w:name="_Toc474914609"/>
      <w:bookmarkStart w:id="1969" w:name="_Toc481751573"/>
      <w:bookmarkStart w:id="1970" w:name="_Toc522010630"/>
      <w:bookmarkStart w:id="1971" w:name="_Toc5269535"/>
      <w:bookmarkStart w:id="1972" w:name="_Toc33529409"/>
      <w:bookmarkStart w:id="1973" w:name="_Toc36224615"/>
      <w:bookmarkStart w:id="1974" w:name="_Toc99659299"/>
      <w:r w:rsidRPr="00D604EE">
        <w:t>Table 6.5.3</w:t>
      </w:r>
      <w:r w:rsidRPr="00D604EE">
        <w:tab/>
        <w:t>New Zealand’s carbon stock change by carbon pool for the</w:t>
      </w:r>
      <w:r w:rsidRPr="00D604EE">
        <w:rPr>
          <w:rFonts w:cs="Arial Bold"/>
        </w:rPr>
        <w:t xml:space="preserve"> </w:t>
      </w:r>
      <w:r w:rsidRPr="00D604EE">
        <w:rPr>
          <w:rFonts w:cs="Arial Bold"/>
          <w:i/>
        </w:rPr>
        <w:t>Grassland</w:t>
      </w:r>
      <w:r w:rsidRPr="00D604EE">
        <w:t xml:space="preserve"> category</w:t>
      </w:r>
      <w:r w:rsidRPr="00D604EE">
        <w:br/>
        <w:t>from 1990 to</w:t>
      </w:r>
      <w:bookmarkEnd w:id="1958"/>
      <w:bookmarkEnd w:id="1959"/>
      <w:bookmarkEnd w:id="1960"/>
      <w:bookmarkEnd w:id="1961"/>
      <w:bookmarkEnd w:id="1962"/>
      <w:bookmarkEnd w:id="1963"/>
      <w:bookmarkEnd w:id="1964"/>
      <w:r w:rsidRPr="00D604EE">
        <w:t> </w:t>
      </w:r>
      <w:bookmarkEnd w:id="1965"/>
      <w:bookmarkEnd w:id="1966"/>
      <w:bookmarkEnd w:id="1967"/>
      <w:bookmarkEnd w:id="1968"/>
      <w:bookmarkEnd w:id="1969"/>
      <w:bookmarkEnd w:id="1970"/>
      <w:bookmarkEnd w:id="1971"/>
      <w:bookmarkEnd w:id="1972"/>
      <w:bookmarkEnd w:id="1973"/>
      <w:r w:rsidRPr="00D604EE">
        <w:t>2020</w:t>
      </w:r>
      <w:bookmarkEnd w:id="1974"/>
    </w:p>
    <w:tbl>
      <w:tblPr>
        <w:tblW w:w="8505" w:type="dxa"/>
        <w:tblInd w:w="108" w:type="dxa"/>
        <w:tblBorders>
          <w:top w:val="single" w:sz="4" w:space="0" w:color="365F91"/>
          <w:bottom w:val="single" w:sz="4" w:space="0" w:color="365F91"/>
          <w:insideH w:val="single" w:sz="4" w:space="0" w:color="365F91"/>
        </w:tblBorders>
        <w:tblLayout w:type="fixed"/>
        <w:tblCellMar>
          <w:left w:w="85" w:type="dxa"/>
          <w:right w:w="85" w:type="dxa"/>
        </w:tblCellMar>
        <w:tblLook w:val="04A0" w:firstRow="1" w:lastRow="0" w:firstColumn="1" w:lastColumn="0" w:noHBand="0" w:noVBand="1"/>
      </w:tblPr>
      <w:tblGrid>
        <w:gridCol w:w="2395"/>
        <w:gridCol w:w="1198"/>
        <w:gridCol w:w="1557"/>
        <w:gridCol w:w="923"/>
        <w:gridCol w:w="850"/>
        <w:gridCol w:w="1582"/>
      </w:tblGrid>
      <w:tr w:rsidR="00266C8F" w:rsidRPr="00D604EE" w14:paraId="386862CE" w14:textId="77777777" w:rsidTr="00D56813">
        <w:trPr>
          <w:trHeight w:val="287"/>
        </w:trPr>
        <w:tc>
          <w:tcPr>
            <w:tcW w:w="2395" w:type="dxa"/>
            <w:vMerge w:val="restart"/>
            <w:tcBorders>
              <w:top w:val="single" w:sz="4" w:space="0" w:color="1B556B"/>
              <w:bottom w:val="nil"/>
            </w:tcBorders>
            <w:shd w:val="clear" w:color="auto" w:fill="1B556B"/>
            <w:vAlign w:val="bottom"/>
          </w:tcPr>
          <w:p w14:paraId="017B9649" w14:textId="77777777" w:rsidR="00784FA9" w:rsidRPr="00D604EE" w:rsidRDefault="00784FA9" w:rsidP="007E3239">
            <w:pPr>
              <w:pStyle w:val="TableText"/>
              <w:keepNext/>
              <w:spacing w:before="50" w:after="50"/>
              <w:rPr>
                <w:b/>
                <w:color w:val="FFFFFF"/>
                <w:szCs w:val="16"/>
              </w:rPr>
            </w:pPr>
            <w:r w:rsidRPr="00D604EE">
              <w:rPr>
                <w:b/>
                <w:color w:val="FFFFFF"/>
                <w:szCs w:val="16"/>
              </w:rPr>
              <w:t>Grassland category</w:t>
            </w:r>
          </w:p>
        </w:tc>
        <w:tc>
          <w:tcPr>
            <w:tcW w:w="4528" w:type="dxa"/>
            <w:gridSpan w:val="4"/>
            <w:tcBorders>
              <w:top w:val="single" w:sz="4" w:space="0" w:color="1B556B"/>
              <w:bottom w:val="nil"/>
            </w:tcBorders>
            <w:shd w:val="clear" w:color="auto" w:fill="1B556B"/>
            <w:vAlign w:val="bottom"/>
          </w:tcPr>
          <w:p w14:paraId="7D410D50" w14:textId="77777777" w:rsidR="00784FA9" w:rsidRPr="00D604EE" w:rsidRDefault="00784FA9" w:rsidP="007E3239">
            <w:pPr>
              <w:pStyle w:val="TableText"/>
              <w:keepNext/>
              <w:spacing w:before="50" w:after="0"/>
              <w:jc w:val="center"/>
              <w:rPr>
                <w:b/>
                <w:color w:val="FFFFFF"/>
                <w:szCs w:val="16"/>
              </w:rPr>
            </w:pPr>
            <w:r w:rsidRPr="00D604EE">
              <w:rPr>
                <w:b/>
                <w:color w:val="FFFFFF"/>
                <w:szCs w:val="16"/>
              </w:rPr>
              <w:t>Net carbon stock change 1990–2020 (kt C)</w:t>
            </w:r>
          </w:p>
        </w:tc>
        <w:tc>
          <w:tcPr>
            <w:tcW w:w="1582" w:type="dxa"/>
            <w:vMerge w:val="restart"/>
            <w:tcBorders>
              <w:top w:val="single" w:sz="4" w:space="0" w:color="1B556B"/>
              <w:bottom w:val="nil"/>
            </w:tcBorders>
            <w:shd w:val="clear" w:color="auto" w:fill="1B556B"/>
            <w:vAlign w:val="bottom"/>
          </w:tcPr>
          <w:p w14:paraId="43A8A901" w14:textId="5E3E528F" w:rsidR="00784FA9" w:rsidRPr="00784FA9" w:rsidRDefault="00784FA9" w:rsidP="007E3239">
            <w:pPr>
              <w:pStyle w:val="TableText"/>
              <w:keepNext/>
              <w:spacing w:before="50" w:after="50"/>
              <w:jc w:val="right"/>
              <w:rPr>
                <w:b/>
                <w:color w:val="FFFFFF"/>
                <w:szCs w:val="16"/>
              </w:rPr>
            </w:pPr>
            <w:r w:rsidRPr="00784FA9">
              <w:rPr>
                <w:b/>
                <w:color w:val="FFFFFF"/>
                <w:szCs w:val="16"/>
              </w:rPr>
              <w:t xml:space="preserve">Emissions </w:t>
            </w:r>
            <w:r w:rsidR="00D56813">
              <w:rPr>
                <w:b/>
                <w:color w:val="FFFFFF"/>
                <w:szCs w:val="16"/>
              </w:rPr>
              <w:br/>
            </w:r>
            <w:r w:rsidRPr="00784FA9">
              <w:rPr>
                <w:b/>
                <w:color w:val="FFFFFF"/>
                <w:szCs w:val="16"/>
              </w:rPr>
              <w:t>1990–2020 (kt CO</w:t>
            </w:r>
            <w:r w:rsidRPr="00784FA9">
              <w:rPr>
                <w:b/>
                <w:color w:val="FFFFFF"/>
                <w:szCs w:val="16"/>
                <w:vertAlign w:val="subscript"/>
              </w:rPr>
              <w:t>2</w:t>
            </w:r>
            <w:r w:rsidRPr="00784FA9">
              <w:rPr>
                <w:b/>
                <w:color w:val="FFFFFF"/>
                <w:szCs w:val="16"/>
              </w:rPr>
              <w:t>)</w:t>
            </w:r>
          </w:p>
        </w:tc>
      </w:tr>
      <w:tr w:rsidR="00266C8F" w:rsidRPr="00D604EE" w14:paraId="2C0F32E5" w14:textId="77777777" w:rsidTr="00D56813">
        <w:trPr>
          <w:trHeight w:val="262"/>
        </w:trPr>
        <w:tc>
          <w:tcPr>
            <w:tcW w:w="2395" w:type="dxa"/>
            <w:vMerge/>
            <w:tcBorders>
              <w:top w:val="nil"/>
              <w:bottom w:val="single" w:sz="4" w:space="0" w:color="1B556B"/>
            </w:tcBorders>
            <w:shd w:val="clear" w:color="auto" w:fill="1B556B"/>
            <w:vAlign w:val="bottom"/>
          </w:tcPr>
          <w:p w14:paraId="17A351B4" w14:textId="77777777" w:rsidR="00784FA9" w:rsidRPr="00D604EE" w:rsidRDefault="00784FA9" w:rsidP="007E3239">
            <w:pPr>
              <w:pStyle w:val="TableText"/>
              <w:keepNext/>
              <w:spacing w:before="50" w:after="50"/>
              <w:rPr>
                <w:color w:val="FFFFFF"/>
                <w:szCs w:val="16"/>
              </w:rPr>
            </w:pPr>
          </w:p>
        </w:tc>
        <w:tc>
          <w:tcPr>
            <w:tcW w:w="1198" w:type="dxa"/>
            <w:tcBorders>
              <w:top w:val="nil"/>
              <w:bottom w:val="single" w:sz="4" w:space="0" w:color="1B556B"/>
            </w:tcBorders>
            <w:shd w:val="clear" w:color="auto" w:fill="1B556B"/>
            <w:vAlign w:val="bottom"/>
          </w:tcPr>
          <w:p w14:paraId="6F822A33" w14:textId="77777777" w:rsidR="00784FA9" w:rsidRPr="00D604EE" w:rsidRDefault="00784FA9" w:rsidP="007E3239">
            <w:pPr>
              <w:pStyle w:val="TableText"/>
              <w:keepNext/>
              <w:spacing w:before="50" w:after="50"/>
              <w:jc w:val="right"/>
              <w:rPr>
                <w:b/>
                <w:color w:val="FFFFFF"/>
                <w:szCs w:val="16"/>
              </w:rPr>
            </w:pPr>
            <w:r w:rsidRPr="00D604EE">
              <w:rPr>
                <w:b/>
                <w:color w:val="FFFFFF"/>
                <w:szCs w:val="16"/>
              </w:rPr>
              <w:t>Living biomass</w:t>
            </w:r>
          </w:p>
        </w:tc>
        <w:tc>
          <w:tcPr>
            <w:tcW w:w="1557" w:type="dxa"/>
            <w:tcBorders>
              <w:top w:val="nil"/>
              <w:bottom w:val="single" w:sz="4" w:space="0" w:color="1B556B"/>
            </w:tcBorders>
            <w:shd w:val="clear" w:color="auto" w:fill="1B556B"/>
            <w:vAlign w:val="bottom"/>
          </w:tcPr>
          <w:p w14:paraId="6F99CF20" w14:textId="77777777" w:rsidR="00784FA9" w:rsidRPr="00D604EE" w:rsidRDefault="00784FA9" w:rsidP="007E3239">
            <w:pPr>
              <w:pStyle w:val="TableText"/>
              <w:keepNext/>
              <w:spacing w:before="50" w:after="50"/>
              <w:jc w:val="right"/>
              <w:rPr>
                <w:b/>
                <w:color w:val="FFFFFF"/>
                <w:szCs w:val="16"/>
              </w:rPr>
            </w:pPr>
            <w:r w:rsidRPr="00D604EE">
              <w:rPr>
                <w:b/>
                <w:color w:val="FFFFFF"/>
                <w:szCs w:val="16"/>
              </w:rPr>
              <w:t>Dead organic matter</w:t>
            </w:r>
          </w:p>
        </w:tc>
        <w:tc>
          <w:tcPr>
            <w:tcW w:w="923" w:type="dxa"/>
            <w:tcBorders>
              <w:top w:val="nil"/>
              <w:bottom w:val="single" w:sz="4" w:space="0" w:color="1B556B"/>
            </w:tcBorders>
            <w:shd w:val="clear" w:color="auto" w:fill="1B556B"/>
            <w:vAlign w:val="bottom"/>
          </w:tcPr>
          <w:p w14:paraId="7AABEE57" w14:textId="77777777" w:rsidR="00784FA9" w:rsidRPr="00D604EE" w:rsidRDefault="00784FA9" w:rsidP="007E3239">
            <w:pPr>
              <w:pStyle w:val="TableText"/>
              <w:keepNext/>
              <w:spacing w:before="50" w:after="50"/>
              <w:jc w:val="right"/>
              <w:rPr>
                <w:b/>
                <w:color w:val="FFFFFF"/>
                <w:szCs w:val="16"/>
              </w:rPr>
            </w:pPr>
            <w:r w:rsidRPr="00D604EE">
              <w:rPr>
                <w:b/>
                <w:color w:val="FFFFFF"/>
                <w:szCs w:val="16"/>
              </w:rPr>
              <w:t>Soils</w:t>
            </w:r>
          </w:p>
        </w:tc>
        <w:tc>
          <w:tcPr>
            <w:tcW w:w="850" w:type="dxa"/>
            <w:tcBorders>
              <w:top w:val="nil"/>
              <w:bottom w:val="single" w:sz="4" w:space="0" w:color="1B556B"/>
            </w:tcBorders>
            <w:shd w:val="clear" w:color="auto" w:fill="1B556B"/>
            <w:vAlign w:val="bottom"/>
          </w:tcPr>
          <w:p w14:paraId="30E37937" w14:textId="77777777" w:rsidR="00784FA9" w:rsidRPr="00D604EE" w:rsidRDefault="00784FA9" w:rsidP="007E3239">
            <w:pPr>
              <w:pStyle w:val="TableText"/>
              <w:keepNext/>
              <w:spacing w:before="50" w:after="50"/>
              <w:jc w:val="right"/>
              <w:rPr>
                <w:b/>
                <w:color w:val="FFFFFF"/>
                <w:szCs w:val="16"/>
              </w:rPr>
            </w:pPr>
            <w:r w:rsidRPr="00D604EE">
              <w:rPr>
                <w:b/>
                <w:color w:val="FFFFFF"/>
                <w:szCs w:val="16"/>
              </w:rPr>
              <w:t>Total</w:t>
            </w:r>
          </w:p>
        </w:tc>
        <w:tc>
          <w:tcPr>
            <w:tcW w:w="1582" w:type="dxa"/>
            <w:vMerge/>
            <w:tcBorders>
              <w:top w:val="nil"/>
              <w:bottom w:val="single" w:sz="4" w:space="0" w:color="1B556B"/>
            </w:tcBorders>
            <w:shd w:val="clear" w:color="auto" w:fill="1B556B"/>
            <w:vAlign w:val="bottom"/>
          </w:tcPr>
          <w:p w14:paraId="21AE0554" w14:textId="77777777" w:rsidR="00784FA9" w:rsidRPr="00D604EE" w:rsidRDefault="00784FA9" w:rsidP="007E3239">
            <w:pPr>
              <w:pStyle w:val="TableText"/>
              <w:keepNext/>
              <w:spacing w:before="50" w:after="50"/>
              <w:jc w:val="right"/>
              <w:rPr>
                <w:szCs w:val="16"/>
              </w:rPr>
            </w:pPr>
          </w:p>
        </w:tc>
      </w:tr>
      <w:tr w:rsidR="00D56813" w:rsidRPr="00D604EE" w14:paraId="560A40B6" w14:textId="77777777" w:rsidTr="00D56813">
        <w:tc>
          <w:tcPr>
            <w:tcW w:w="2395" w:type="dxa"/>
            <w:tcBorders>
              <w:top w:val="single" w:sz="4" w:space="0" w:color="1B556B"/>
              <w:bottom w:val="single" w:sz="4" w:space="0" w:color="1B556B"/>
            </w:tcBorders>
          </w:tcPr>
          <w:p w14:paraId="5E204AB0" w14:textId="77777777" w:rsidR="00784FA9" w:rsidRPr="00D604EE" w:rsidRDefault="00784FA9" w:rsidP="007E3239">
            <w:pPr>
              <w:pStyle w:val="TableText"/>
              <w:spacing w:before="50" w:after="50"/>
              <w:rPr>
                <w:szCs w:val="16"/>
              </w:rPr>
            </w:pPr>
            <w:r w:rsidRPr="00D604EE">
              <w:rPr>
                <w:szCs w:val="16"/>
              </w:rPr>
              <w:t>Grassland – high producing</w:t>
            </w:r>
          </w:p>
        </w:tc>
        <w:tc>
          <w:tcPr>
            <w:tcW w:w="1198" w:type="dxa"/>
            <w:tcBorders>
              <w:top w:val="single" w:sz="4" w:space="0" w:color="1B556B"/>
              <w:bottom w:val="single" w:sz="4" w:space="0" w:color="1B556B"/>
            </w:tcBorders>
          </w:tcPr>
          <w:p w14:paraId="17DE376E" w14:textId="77777777" w:rsidR="00784FA9" w:rsidRPr="00D604EE" w:rsidRDefault="00784FA9" w:rsidP="007E3239">
            <w:pPr>
              <w:pStyle w:val="TableText"/>
              <w:spacing w:before="50" w:after="50"/>
              <w:jc w:val="right"/>
              <w:rPr>
                <w:szCs w:val="16"/>
              </w:rPr>
            </w:pPr>
            <w:r w:rsidRPr="00D604EE">
              <w:t>–15,764.2</w:t>
            </w:r>
          </w:p>
        </w:tc>
        <w:tc>
          <w:tcPr>
            <w:tcW w:w="1557" w:type="dxa"/>
            <w:tcBorders>
              <w:top w:val="single" w:sz="4" w:space="0" w:color="1B556B"/>
              <w:bottom w:val="single" w:sz="4" w:space="0" w:color="1B556B"/>
            </w:tcBorders>
          </w:tcPr>
          <w:p w14:paraId="4301233E" w14:textId="77777777" w:rsidR="00784FA9" w:rsidRPr="00D604EE" w:rsidRDefault="00784FA9" w:rsidP="007E3239">
            <w:pPr>
              <w:pStyle w:val="TableText"/>
              <w:spacing w:before="50" w:after="50"/>
              <w:jc w:val="right"/>
              <w:rPr>
                <w:b/>
                <w:szCs w:val="16"/>
              </w:rPr>
            </w:pPr>
            <w:r w:rsidRPr="00D604EE">
              <w:t>–2,093.0</w:t>
            </w:r>
          </w:p>
        </w:tc>
        <w:tc>
          <w:tcPr>
            <w:tcW w:w="923" w:type="dxa"/>
            <w:tcBorders>
              <w:top w:val="single" w:sz="4" w:space="0" w:color="1B556B"/>
              <w:bottom w:val="single" w:sz="4" w:space="0" w:color="1B556B"/>
            </w:tcBorders>
          </w:tcPr>
          <w:p w14:paraId="1DB1E8C7" w14:textId="77777777" w:rsidR="00784FA9" w:rsidRPr="00D604EE" w:rsidRDefault="00784FA9" w:rsidP="007E3239">
            <w:pPr>
              <w:pStyle w:val="TableText"/>
              <w:spacing w:before="50" w:after="50"/>
              <w:jc w:val="right"/>
              <w:rPr>
                <w:b/>
                <w:szCs w:val="16"/>
              </w:rPr>
            </w:pPr>
            <w:r w:rsidRPr="00D604EE">
              <w:t>–9,126.7</w:t>
            </w:r>
          </w:p>
        </w:tc>
        <w:tc>
          <w:tcPr>
            <w:tcW w:w="850" w:type="dxa"/>
            <w:tcBorders>
              <w:top w:val="single" w:sz="4" w:space="0" w:color="1B556B"/>
              <w:bottom w:val="single" w:sz="4" w:space="0" w:color="1B556B"/>
            </w:tcBorders>
          </w:tcPr>
          <w:p w14:paraId="4D3BD94F" w14:textId="77777777" w:rsidR="00784FA9" w:rsidRPr="00D604EE" w:rsidRDefault="00784FA9" w:rsidP="007E3239">
            <w:pPr>
              <w:pStyle w:val="TableText"/>
              <w:spacing w:before="50" w:after="50"/>
              <w:jc w:val="right"/>
              <w:rPr>
                <w:b/>
                <w:szCs w:val="16"/>
              </w:rPr>
            </w:pPr>
            <w:r w:rsidRPr="00D604EE">
              <w:t>–26,983.9</w:t>
            </w:r>
          </w:p>
        </w:tc>
        <w:tc>
          <w:tcPr>
            <w:tcW w:w="1582" w:type="dxa"/>
            <w:tcBorders>
              <w:top w:val="single" w:sz="4" w:space="0" w:color="1B556B"/>
              <w:bottom w:val="single" w:sz="4" w:space="0" w:color="1B556B"/>
            </w:tcBorders>
          </w:tcPr>
          <w:p w14:paraId="0C0C7C53" w14:textId="77777777" w:rsidR="00784FA9" w:rsidRPr="00D604EE" w:rsidRDefault="00784FA9" w:rsidP="007E3239">
            <w:pPr>
              <w:pStyle w:val="TableText"/>
              <w:spacing w:before="50" w:after="50"/>
              <w:jc w:val="right"/>
              <w:rPr>
                <w:b/>
                <w:szCs w:val="16"/>
              </w:rPr>
            </w:pPr>
            <w:r w:rsidRPr="00D604EE">
              <w:t>98,940.8</w:t>
            </w:r>
          </w:p>
        </w:tc>
      </w:tr>
      <w:tr w:rsidR="00D56813" w:rsidRPr="00D604EE" w14:paraId="00EEC716" w14:textId="77777777" w:rsidTr="00D56813">
        <w:tc>
          <w:tcPr>
            <w:tcW w:w="2395" w:type="dxa"/>
            <w:tcBorders>
              <w:top w:val="single" w:sz="4" w:space="0" w:color="1B556B"/>
              <w:bottom w:val="single" w:sz="4" w:space="0" w:color="1B556B"/>
            </w:tcBorders>
          </w:tcPr>
          <w:p w14:paraId="626167AC" w14:textId="77777777" w:rsidR="00784FA9" w:rsidRPr="00D604EE" w:rsidRDefault="00784FA9" w:rsidP="007E3239">
            <w:pPr>
              <w:pStyle w:val="TableText"/>
              <w:spacing w:before="50" w:after="50"/>
              <w:rPr>
                <w:szCs w:val="16"/>
              </w:rPr>
            </w:pPr>
            <w:r w:rsidRPr="00D604EE">
              <w:rPr>
                <w:szCs w:val="16"/>
              </w:rPr>
              <w:t>Grassland – low producing</w:t>
            </w:r>
          </w:p>
        </w:tc>
        <w:tc>
          <w:tcPr>
            <w:tcW w:w="1198" w:type="dxa"/>
            <w:tcBorders>
              <w:top w:val="single" w:sz="4" w:space="0" w:color="1B556B"/>
              <w:bottom w:val="single" w:sz="4" w:space="0" w:color="1B556B"/>
            </w:tcBorders>
          </w:tcPr>
          <w:p w14:paraId="4DD31E5B" w14:textId="77777777" w:rsidR="00784FA9" w:rsidRPr="00D604EE" w:rsidRDefault="00784FA9" w:rsidP="007E3239">
            <w:pPr>
              <w:pStyle w:val="TableText"/>
              <w:spacing w:before="50" w:after="50"/>
              <w:jc w:val="right"/>
              <w:rPr>
                <w:szCs w:val="16"/>
              </w:rPr>
            </w:pPr>
            <w:r w:rsidRPr="00D604EE">
              <w:t>–8,909.2</w:t>
            </w:r>
          </w:p>
        </w:tc>
        <w:tc>
          <w:tcPr>
            <w:tcW w:w="1557" w:type="dxa"/>
            <w:tcBorders>
              <w:top w:val="single" w:sz="4" w:space="0" w:color="1B556B"/>
              <w:bottom w:val="single" w:sz="4" w:space="0" w:color="1B556B"/>
            </w:tcBorders>
          </w:tcPr>
          <w:p w14:paraId="37405FFA" w14:textId="77777777" w:rsidR="00784FA9" w:rsidRPr="00D604EE" w:rsidRDefault="00784FA9" w:rsidP="007E3239">
            <w:pPr>
              <w:pStyle w:val="TableText"/>
              <w:spacing w:before="50" w:after="50"/>
              <w:jc w:val="right"/>
              <w:rPr>
                <w:b/>
                <w:szCs w:val="16"/>
              </w:rPr>
            </w:pPr>
            <w:r w:rsidRPr="00D604EE">
              <w:t>–1,290.9</w:t>
            </w:r>
          </w:p>
        </w:tc>
        <w:tc>
          <w:tcPr>
            <w:tcW w:w="923" w:type="dxa"/>
            <w:tcBorders>
              <w:top w:val="single" w:sz="4" w:space="0" w:color="1B556B"/>
              <w:bottom w:val="single" w:sz="4" w:space="0" w:color="1B556B"/>
            </w:tcBorders>
          </w:tcPr>
          <w:p w14:paraId="3BAEC845" w14:textId="77777777" w:rsidR="00784FA9" w:rsidRPr="00D604EE" w:rsidRDefault="00784FA9" w:rsidP="007E3239">
            <w:pPr>
              <w:pStyle w:val="TableText"/>
              <w:spacing w:before="50" w:after="50"/>
              <w:jc w:val="right"/>
              <w:rPr>
                <w:b/>
                <w:szCs w:val="16"/>
              </w:rPr>
            </w:pPr>
            <w:r w:rsidRPr="00D604EE">
              <w:t>615.1</w:t>
            </w:r>
          </w:p>
        </w:tc>
        <w:tc>
          <w:tcPr>
            <w:tcW w:w="850" w:type="dxa"/>
            <w:tcBorders>
              <w:top w:val="single" w:sz="4" w:space="0" w:color="1B556B"/>
              <w:bottom w:val="single" w:sz="4" w:space="0" w:color="1B556B"/>
            </w:tcBorders>
          </w:tcPr>
          <w:p w14:paraId="3B45DFB9" w14:textId="77777777" w:rsidR="00784FA9" w:rsidRPr="00D604EE" w:rsidRDefault="00784FA9" w:rsidP="007E3239">
            <w:pPr>
              <w:pStyle w:val="TableText"/>
              <w:spacing w:before="50" w:after="50"/>
              <w:jc w:val="right"/>
              <w:rPr>
                <w:b/>
                <w:szCs w:val="16"/>
              </w:rPr>
            </w:pPr>
            <w:r w:rsidRPr="00D604EE">
              <w:t>–9,585.1</w:t>
            </w:r>
          </w:p>
        </w:tc>
        <w:tc>
          <w:tcPr>
            <w:tcW w:w="1582" w:type="dxa"/>
            <w:tcBorders>
              <w:top w:val="single" w:sz="4" w:space="0" w:color="1B556B"/>
              <w:bottom w:val="single" w:sz="4" w:space="0" w:color="1B556B"/>
            </w:tcBorders>
          </w:tcPr>
          <w:p w14:paraId="02A4A230" w14:textId="77777777" w:rsidR="00784FA9" w:rsidRPr="00D604EE" w:rsidRDefault="00784FA9" w:rsidP="007E3239">
            <w:pPr>
              <w:pStyle w:val="TableText"/>
              <w:spacing w:before="50" w:after="50"/>
              <w:jc w:val="right"/>
              <w:rPr>
                <w:b/>
                <w:szCs w:val="16"/>
              </w:rPr>
            </w:pPr>
            <w:r w:rsidRPr="00D604EE">
              <w:t>35,145.2</w:t>
            </w:r>
          </w:p>
        </w:tc>
      </w:tr>
      <w:tr w:rsidR="00D56813" w:rsidRPr="00D604EE" w14:paraId="75D9A579" w14:textId="77777777" w:rsidTr="00D56813">
        <w:tc>
          <w:tcPr>
            <w:tcW w:w="2395" w:type="dxa"/>
            <w:tcBorders>
              <w:top w:val="single" w:sz="4" w:space="0" w:color="1B556B"/>
              <w:bottom w:val="single" w:sz="4" w:space="0" w:color="1B556B"/>
            </w:tcBorders>
          </w:tcPr>
          <w:p w14:paraId="63583A95" w14:textId="77777777" w:rsidR="00784FA9" w:rsidRPr="00D604EE" w:rsidRDefault="00784FA9" w:rsidP="007E3239">
            <w:pPr>
              <w:pStyle w:val="TableText"/>
              <w:spacing w:before="50" w:after="50"/>
              <w:rPr>
                <w:szCs w:val="16"/>
              </w:rPr>
            </w:pPr>
            <w:r w:rsidRPr="00D604EE">
              <w:rPr>
                <w:szCs w:val="16"/>
              </w:rPr>
              <w:t>Grassland – with woody biomass</w:t>
            </w:r>
          </w:p>
        </w:tc>
        <w:tc>
          <w:tcPr>
            <w:tcW w:w="1198" w:type="dxa"/>
            <w:tcBorders>
              <w:top w:val="single" w:sz="4" w:space="0" w:color="1B556B"/>
              <w:bottom w:val="single" w:sz="4" w:space="0" w:color="1B556B"/>
            </w:tcBorders>
          </w:tcPr>
          <w:p w14:paraId="4ACC61AE" w14:textId="77777777" w:rsidR="00784FA9" w:rsidRPr="00D604EE" w:rsidRDefault="00784FA9" w:rsidP="007E3239">
            <w:pPr>
              <w:pStyle w:val="TableText"/>
              <w:spacing w:before="50" w:after="50"/>
              <w:jc w:val="right"/>
              <w:rPr>
                <w:szCs w:val="16"/>
              </w:rPr>
            </w:pPr>
            <w:r w:rsidRPr="00D604EE">
              <w:t>–2,556.0</w:t>
            </w:r>
          </w:p>
        </w:tc>
        <w:tc>
          <w:tcPr>
            <w:tcW w:w="1557" w:type="dxa"/>
            <w:tcBorders>
              <w:top w:val="single" w:sz="4" w:space="0" w:color="1B556B"/>
              <w:bottom w:val="single" w:sz="4" w:space="0" w:color="1B556B"/>
            </w:tcBorders>
          </w:tcPr>
          <w:p w14:paraId="1DCC2B1A" w14:textId="77777777" w:rsidR="00784FA9" w:rsidRPr="00D604EE" w:rsidRDefault="00784FA9" w:rsidP="007E3239">
            <w:pPr>
              <w:pStyle w:val="TableText"/>
              <w:spacing w:before="50" w:after="50"/>
              <w:jc w:val="right"/>
              <w:rPr>
                <w:b/>
                <w:szCs w:val="16"/>
              </w:rPr>
            </w:pPr>
            <w:r w:rsidRPr="00D604EE">
              <w:t>–553.1</w:t>
            </w:r>
          </w:p>
        </w:tc>
        <w:tc>
          <w:tcPr>
            <w:tcW w:w="923" w:type="dxa"/>
            <w:tcBorders>
              <w:top w:val="single" w:sz="4" w:space="0" w:color="1B556B"/>
              <w:bottom w:val="single" w:sz="4" w:space="0" w:color="1B556B"/>
            </w:tcBorders>
          </w:tcPr>
          <w:p w14:paraId="3C9E4496" w14:textId="77777777" w:rsidR="00784FA9" w:rsidRPr="00D604EE" w:rsidRDefault="00784FA9" w:rsidP="007E3239">
            <w:pPr>
              <w:pStyle w:val="TableText"/>
              <w:spacing w:before="50" w:after="50"/>
              <w:jc w:val="right"/>
              <w:rPr>
                <w:b/>
                <w:szCs w:val="16"/>
              </w:rPr>
            </w:pPr>
            <w:r w:rsidRPr="00D604EE">
              <w:t>–944.5</w:t>
            </w:r>
          </w:p>
        </w:tc>
        <w:tc>
          <w:tcPr>
            <w:tcW w:w="850" w:type="dxa"/>
            <w:tcBorders>
              <w:top w:val="single" w:sz="4" w:space="0" w:color="1B556B"/>
              <w:bottom w:val="single" w:sz="4" w:space="0" w:color="1B556B"/>
            </w:tcBorders>
          </w:tcPr>
          <w:p w14:paraId="1EB9F48D" w14:textId="77777777" w:rsidR="00784FA9" w:rsidRPr="00D604EE" w:rsidRDefault="00784FA9" w:rsidP="007E3239">
            <w:pPr>
              <w:pStyle w:val="TableText"/>
              <w:spacing w:before="50" w:after="50"/>
              <w:jc w:val="right"/>
              <w:rPr>
                <w:b/>
                <w:szCs w:val="16"/>
              </w:rPr>
            </w:pPr>
            <w:r w:rsidRPr="00D604EE">
              <w:t>–4,053.6</w:t>
            </w:r>
          </w:p>
        </w:tc>
        <w:tc>
          <w:tcPr>
            <w:tcW w:w="1582" w:type="dxa"/>
            <w:tcBorders>
              <w:top w:val="single" w:sz="4" w:space="0" w:color="1B556B"/>
              <w:bottom w:val="single" w:sz="4" w:space="0" w:color="1B556B"/>
            </w:tcBorders>
          </w:tcPr>
          <w:p w14:paraId="5EE798B1" w14:textId="77777777" w:rsidR="00784FA9" w:rsidRPr="00D604EE" w:rsidRDefault="00784FA9" w:rsidP="007E3239">
            <w:pPr>
              <w:pStyle w:val="TableText"/>
              <w:spacing w:before="50" w:after="50"/>
              <w:jc w:val="right"/>
              <w:rPr>
                <w:b/>
                <w:szCs w:val="16"/>
              </w:rPr>
            </w:pPr>
            <w:r w:rsidRPr="00D604EE">
              <w:t>14,863.4</w:t>
            </w:r>
          </w:p>
        </w:tc>
      </w:tr>
      <w:tr w:rsidR="00D56813" w:rsidRPr="00D604EE" w14:paraId="351858D7" w14:textId="77777777" w:rsidTr="00D56813">
        <w:tc>
          <w:tcPr>
            <w:tcW w:w="2395" w:type="dxa"/>
            <w:tcBorders>
              <w:top w:val="single" w:sz="4" w:space="0" w:color="1B556B"/>
              <w:bottom w:val="single" w:sz="4" w:space="0" w:color="1B556B"/>
            </w:tcBorders>
          </w:tcPr>
          <w:p w14:paraId="39AE17BB" w14:textId="77777777" w:rsidR="00784FA9" w:rsidRPr="00D604EE" w:rsidRDefault="00784FA9" w:rsidP="007E3239">
            <w:pPr>
              <w:pStyle w:val="Tableboldblue"/>
              <w:spacing w:before="50" w:after="50"/>
            </w:pPr>
            <w:r w:rsidRPr="00D604EE">
              <w:t>Total</w:t>
            </w:r>
          </w:p>
        </w:tc>
        <w:tc>
          <w:tcPr>
            <w:tcW w:w="1198" w:type="dxa"/>
            <w:tcBorders>
              <w:top w:val="single" w:sz="4" w:space="0" w:color="1B556B"/>
              <w:bottom w:val="single" w:sz="4" w:space="0" w:color="1B556B"/>
            </w:tcBorders>
          </w:tcPr>
          <w:p w14:paraId="66D135AD" w14:textId="77777777" w:rsidR="00784FA9" w:rsidRPr="00D604EE" w:rsidRDefault="00784FA9" w:rsidP="007E3239">
            <w:pPr>
              <w:pStyle w:val="Tableboldblue"/>
              <w:spacing w:before="50" w:after="50"/>
              <w:jc w:val="right"/>
              <w:rPr>
                <w:rFonts w:cs="Arial Bold"/>
              </w:rPr>
            </w:pPr>
            <w:r w:rsidRPr="00D604EE">
              <w:t>–27,229.4</w:t>
            </w:r>
          </w:p>
        </w:tc>
        <w:tc>
          <w:tcPr>
            <w:tcW w:w="1557" w:type="dxa"/>
            <w:tcBorders>
              <w:top w:val="single" w:sz="4" w:space="0" w:color="1B556B"/>
              <w:bottom w:val="single" w:sz="4" w:space="0" w:color="1B556B"/>
            </w:tcBorders>
          </w:tcPr>
          <w:p w14:paraId="03051866" w14:textId="77777777" w:rsidR="00784FA9" w:rsidRPr="00D604EE" w:rsidRDefault="00784FA9" w:rsidP="007E3239">
            <w:pPr>
              <w:pStyle w:val="Tableboldblue"/>
              <w:spacing w:before="50" w:after="50"/>
              <w:jc w:val="right"/>
            </w:pPr>
            <w:r w:rsidRPr="00D604EE">
              <w:t>–3,937.0</w:t>
            </w:r>
          </w:p>
        </w:tc>
        <w:tc>
          <w:tcPr>
            <w:tcW w:w="923" w:type="dxa"/>
            <w:tcBorders>
              <w:top w:val="single" w:sz="4" w:space="0" w:color="1B556B"/>
              <w:bottom w:val="single" w:sz="4" w:space="0" w:color="1B556B"/>
            </w:tcBorders>
          </w:tcPr>
          <w:p w14:paraId="7585BFC4" w14:textId="77777777" w:rsidR="00784FA9" w:rsidRPr="00D604EE" w:rsidRDefault="00784FA9" w:rsidP="007E3239">
            <w:pPr>
              <w:pStyle w:val="Tableboldblue"/>
              <w:spacing w:before="50" w:after="50"/>
              <w:jc w:val="right"/>
              <w:rPr>
                <w:rFonts w:cs="Arial Bold"/>
              </w:rPr>
            </w:pPr>
            <w:r w:rsidRPr="00D604EE">
              <w:t>–9,456.2</w:t>
            </w:r>
          </w:p>
        </w:tc>
        <w:tc>
          <w:tcPr>
            <w:tcW w:w="850" w:type="dxa"/>
            <w:tcBorders>
              <w:top w:val="single" w:sz="4" w:space="0" w:color="1B556B"/>
              <w:bottom w:val="single" w:sz="4" w:space="0" w:color="1B556B"/>
            </w:tcBorders>
          </w:tcPr>
          <w:p w14:paraId="271AC3AF" w14:textId="77777777" w:rsidR="00784FA9" w:rsidRPr="00D604EE" w:rsidRDefault="00784FA9" w:rsidP="007E3239">
            <w:pPr>
              <w:pStyle w:val="Tableboldblue"/>
              <w:spacing w:before="50" w:after="50"/>
              <w:jc w:val="right"/>
              <w:rPr>
                <w:rFonts w:cs="Arial Bold"/>
              </w:rPr>
            </w:pPr>
            <w:r w:rsidRPr="00D604EE">
              <w:t>–40,622.6</w:t>
            </w:r>
          </w:p>
        </w:tc>
        <w:tc>
          <w:tcPr>
            <w:tcW w:w="1582" w:type="dxa"/>
            <w:tcBorders>
              <w:top w:val="single" w:sz="4" w:space="0" w:color="1B556B"/>
              <w:bottom w:val="single" w:sz="4" w:space="0" w:color="1B556B"/>
            </w:tcBorders>
          </w:tcPr>
          <w:p w14:paraId="48D1D655" w14:textId="77777777" w:rsidR="00784FA9" w:rsidRPr="00D604EE" w:rsidRDefault="00784FA9" w:rsidP="007E3239">
            <w:pPr>
              <w:pStyle w:val="Tableboldblue"/>
              <w:spacing w:before="50" w:after="50"/>
              <w:jc w:val="right"/>
              <w:rPr>
                <w:rFonts w:cs="Arial Bold"/>
              </w:rPr>
            </w:pPr>
            <w:r w:rsidRPr="00D604EE">
              <w:t>148,949.4</w:t>
            </w:r>
          </w:p>
        </w:tc>
      </w:tr>
    </w:tbl>
    <w:p w14:paraId="02150168" w14:textId="77777777" w:rsidR="00784FA9" w:rsidRPr="00D604EE" w:rsidRDefault="00784FA9" w:rsidP="00784FA9">
      <w:pPr>
        <w:pStyle w:val="Noteundertable"/>
      </w:pPr>
      <w:r w:rsidRPr="00D604EE">
        <w:rPr>
          <w:b/>
          <w:bCs/>
        </w:rPr>
        <w:t>Note</w:t>
      </w:r>
      <w:r w:rsidRPr="00D604EE">
        <w:rPr>
          <w:b/>
        </w:rPr>
        <w:t>:</w:t>
      </w:r>
      <w:r w:rsidRPr="00D604EE">
        <w:tab/>
        <w:t>Columns may not total due to rounding.</w:t>
      </w:r>
    </w:p>
    <w:p w14:paraId="7AE3A953" w14:textId="77777777" w:rsidR="00784FA9" w:rsidRPr="00D604EE" w:rsidRDefault="00784FA9" w:rsidP="00784FA9">
      <w:pPr>
        <w:pStyle w:val="Heading5"/>
      </w:pPr>
      <w:bookmarkStart w:id="1975" w:name="_Toc255466394"/>
      <w:bookmarkStart w:id="1976" w:name="_Toc261513201"/>
      <w:bookmarkStart w:id="1977" w:name="_Toc261513814"/>
      <w:bookmarkStart w:id="1978" w:name="_Toc280630286"/>
      <w:r w:rsidRPr="00D604EE">
        <w:t>Grassland remaining grassland</w:t>
      </w:r>
      <w:bookmarkEnd w:id="1975"/>
      <w:bookmarkEnd w:id="1976"/>
      <w:bookmarkEnd w:id="1977"/>
      <w:bookmarkEnd w:id="1978"/>
    </w:p>
    <w:p w14:paraId="0AE3DE5A" w14:textId="77777777" w:rsidR="00784FA9" w:rsidRPr="00D604EE" w:rsidRDefault="00784FA9" w:rsidP="00784FA9">
      <w:pPr>
        <w:pStyle w:val="BodyText"/>
      </w:pPr>
      <w:r w:rsidRPr="00D604EE">
        <w:t xml:space="preserve">There were 14,352,198 hectares of </w:t>
      </w:r>
      <w:r w:rsidRPr="00D604EE">
        <w:rPr>
          <w:i/>
        </w:rPr>
        <w:t>Grassland remaining grassland</w:t>
      </w:r>
      <w:r w:rsidRPr="00D604EE">
        <w:t xml:space="preserve"> as at 2020, equivalent to 53.3 per cent of New Zealand’s total land area. </w:t>
      </w:r>
    </w:p>
    <w:p w14:paraId="62D5DD36" w14:textId="77777777" w:rsidR="00784FA9" w:rsidRPr="00D604EE" w:rsidRDefault="00784FA9" w:rsidP="00784FA9">
      <w:pPr>
        <w:pStyle w:val="Heading5"/>
        <w:spacing w:before="160"/>
      </w:pPr>
      <w:bookmarkStart w:id="1979" w:name="_Toc255466395"/>
      <w:bookmarkStart w:id="1980" w:name="_Toc261513202"/>
      <w:bookmarkStart w:id="1981" w:name="_Toc261513815"/>
      <w:bookmarkStart w:id="1982" w:name="_Toc280630287"/>
      <w:r w:rsidRPr="00D604EE">
        <w:t>Land converted to grassland</w:t>
      </w:r>
      <w:bookmarkEnd w:id="1979"/>
      <w:bookmarkEnd w:id="1980"/>
      <w:bookmarkEnd w:id="1981"/>
      <w:bookmarkEnd w:id="1982"/>
    </w:p>
    <w:p w14:paraId="41945B80" w14:textId="77777777" w:rsidR="00784FA9" w:rsidRPr="00D604EE" w:rsidRDefault="00784FA9" w:rsidP="00784FA9">
      <w:pPr>
        <w:pStyle w:val="BodyText"/>
      </w:pPr>
      <w:r w:rsidRPr="00D604EE">
        <w:t xml:space="preserve">Between 2019 and 2020, an estimated 2,719 hectares of land was converted to </w:t>
      </w:r>
      <w:r w:rsidRPr="00D604EE">
        <w:rPr>
          <w:i/>
        </w:rPr>
        <w:t>Grassland</w:t>
      </w:r>
      <w:r w:rsidRPr="00D604EE">
        <w:t xml:space="preserve">, while 42,411 hectares of </w:t>
      </w:r>
      <w:r w:rsidRPr="00D604EE">
        <w:rPr>
          <w:i/>
        </w:rPr>
        <w:t>Grassland</w:t>
      </w:r>
      <w:r w:rsidRPr="00D604EE">
        <w:t xml:space="preserve"> was converted to other land use categories.</w:t>
      </w:r>
    </w:p>
    <w:p w14:paraId="73871324" w14:textId="3DC9C2F6" w:rsidR="00784FA9" w:rsidRPr="00D604EE" w:rsidRDefault="00784FA9" w:rsidP="00784FA9">
      <w:pPr>
        <w:pStyle w:val="BodyText"/>
      </w:pPr>
      <w:r w:rsidRPr="00D604EE">
        <w:t xml:space="preserve">The majority (91.3 per cent) of </w:t>
      </w:r>
      <w:r w:rsidRPr="00D604EE">
        <w:rPr>
          <w:i/>
        </w:rPr>
        <w:t>Land converted to grassland</w:t>
      </w:r>
      <w:r w:rsidRPr="00D604EE">
        <w:t xml:space="preserve"> since 1 January 1990 is land that</w:t>
      </w:r>
      <w:r w:rsidR="00E95ACB">
        <w:t> </w:t>
      </w:r>
      <w:r w:rsidRPr="00D604EE">
        <w:t xml:space="preserve">was previously </w:t>
      </w:r>
      <w:r w:rsidRPr="00D604EE">
        <w:rPr>
          <w:i/>
        </w:rPr>
        <w:t>Forest land</w:t>
      </w:r>
      <w:r w:rsidRPr="00D604EE">
        <w:t xml:space="preserve">. The 211,835 hectares of </w:t>
      </w:r>
      <w:r w:rsidRPr="00D604EE">
        <w:rPr>
          <w:i/>
        </w:rPr>
        <w:t>Forest land</w:t>
      </w:r>
      <w:r w:rsidRPr="00D604EE">
        <w:t xml:space="preserve"> converted to </w:t>
      </w:r>
      <w:r w:rsidRPr="00D604EE">
        <w:rPr>
          <w:i/>
        </w:rPr>
        <w:t>Grassland</w:t>
      </w:r>
      <w:r w:rsidRPr="00D604EE">
        <w:t xml:space="preserve"> since 1 January 1990 is comprised of an estimated 128,616 hectares of pre-1990 planted forest, 45,117 hectares of pre-1990 natural forest, 36,890 hectares of post-1989 planted forest</w:t>
      </w:r>
      <w:r w:rsidR="00E95ACB">
        <w:t> </w:t>
      </w:r>
      <w:r w:rsidRPr="00D604EE">
        <w:t xml:space="preserve">and 1,211 hectares of post-1989 natural forest. For more information on deforestation, see annex A3.2.2. Land-use change of </w:t>
      </w:r>
      <w:r w:rsidRPr="00D604EE">
        <w:rPr>
          <w:i/>
        </w:rPr>
        <w:t>Forest land</w:t>
      </w:r>
      <w:r w:rsidRPr="00D604EE">
        <w:t xml:space="preserve"> to </w:t>
      </w:r>
      <w:r w:rsidRPr="00D604EE">
        <w:rPr>
          <w:i/>
        </w:rPr>
        <w:t xml:space="preserve">Grassland </w:t>
      </w:r>
      <w:r w:rsidRPr="00D604EE">
        <w:t>resulted in net emissions of 1,290.5</w:t>
      </w:r>
      <w:r w:rsidR="00E95ACB">
        <w:t> </w:t>
      </w:r>
      <w:r w:rsidRPr="00D604EE">
        <w:t>kt CO</w:t>
      </w:r>
      <w:r w:rsidRPr="00D604EE">
        <w:rPr>
          <w:vertAlign w:val="subscript"/>
        </w:rPr>
        <w:t xml:space="preserve">2 </w:t>
      </w:r>
      <w:r w:rsidRPr="00D604EE">
        <w:t>in 2020.</w:t>
      </w:r>
    </w:p>
    <w:p w14:paraId="1FF63D86" w14:textId="77777777" w:rsidR="00784FA9" w:rsidRPr="00D604EE" w:rsidRDefault="00784FA9" w:rsidP="00784FA9">
      <w:pPr>
        <w:pStyle w:val="Heading3"/>
      </w:pPr>
      <w:bookmarkStart w:id="1983" w:name="_Toc139253971"/>
      <w:bookmarkStart w:id="1984" w:name="_Toc255466396"/>
      <w:bookmarkStart w:id="1985" w:name="_Toc261513203"/>
      <w:bookmarkStart w:id="1986" w:name="_Toc261513816"/>
      <w:bookmarkStart w:id="1987" w:name="_Toc280630288"/>
      <w:r w:rsidRPr="00D604EE">
        <w:lastRenderedPageBreak/>
        <w:t>6.5.2</w:t>
      </w:r>
      <w:r w:rsidRPr="00D604EE">
        <w:tab/>
        <w:t>Methodological issues</w:t>
      </w:r>
      <w:bookmarkEnd w:id="1983"/>
      <w:bookmarkEnd w:id="1984"/>
      <w:bookmarkEnd w:id="1985"/>
      <w:bookmarkEnd w:id="1986"/>
      <w:bookmarkEnd w:id="1987"/>
    </w:p>
    <w:p w14:paraId="44A2F175" w14:textId="77777777" w:rsidR="00784FA9" w:rsidRPr="00D604EE" w:rsidRDefault="00784FA9" w:rsidP="00784FA9">
      <w:pPr>
        <w:pStyle w:val="BodyText"/>
        <w:rPr>
          <w:spacing w:val="-2"/>
        </w:rPr>
      </w:pPr>
      <w:r w:rsidRPr="00D604EE">
        <w:t xml:space="preserve">Emissions and removals from living biomass and dead organic matter have been calculated using a combination of IPCC Tier 1 emission factors and country-specific factors (see table 6.5.4). Emissions and removals from mineral soils are estimated using a </w:t>
      </w:r>
      <w:r w:rsidRPr="00D604EE">
        <w:rPr>
          <w:spacing w:val="-2"/>
        </w:rPr>
        <w:t xml:space="preserve">Tier 2 method, whereas organic soils are estimated using a Tier 1 method (see annex A3.2.4). </w:t>
      </w:r>
    </w:p>
    <w:p w14:paraId="3A15DCB0" w14:textId="77777777" w:rsidR="00784FA9" w:rsidRPr="00D604EE" w:rsidRDefault="00784FA9" w:rsidP="00784FA9">
      <w:pPr>
        <w:pStyle w:val="Table"/>
      </w:pPr>
      <w:bookmarkStart w:id="1988" w:name="_Toc310423425"/>
      <w:bookmarkStart w:id="1989" w:name="_Toc318362718"/>
      <w:bookmarkStart w:id="1990" w:name="_Toc342470780"/>
      <w:bookmarkStart w:id="1991" w:name="_Toc352505020"/>
      <w:bookmarkStart w:id="1992" w:name="_Toc378853309"/>
      <w:bookmarkStart w:id="1993" w:name="_Toc391024107"/>
      <w:bookmarkStart w:id="1994" w:name="_Toc410028850"/>
      <w:bookmarkStart w:id="1995" w:name="_Toc414531478"/>
      <w:bookmarkStart w:id="1996" w:name="_Toc443645391"/>
      <w:bookmarkStart w:id="1997" w:name="_Toc474914610"/>
      <w:bookmarkStart w:id="1998" w:name="_Toc481751574"/>
      <w:bookmarkStart w:id="1999" w:name="_Toc522010631"/>
      <w:bookmarkStart w:id="2000" w:name="_Toc5269536"/>
      <w:bookmarkStart w:id="2001" w:name="_Toc33529410"/>
      <w:bookmarkStart w:id="2002" w:name="_Toc36224616"/>
      <w:bookmarkStart w:id="2003" w:name="_Toc99659300"/>
      <w:bookmarkStart w:id="2004" w:name="_Toc255466397"/>
      <w:bookmarkStart w:id="2005" w:name="_Toc261513204"/>
      <w:bookmarkStart w:id="2006" w:name="_Toc261513817"/>
      <w:r w:rsidRPr="00D604EE">
        <w:t>Table 6.5.4</w:t>
      </w:r>
      <w:r w:rsidRPr="00D604EE">
        <w:tab/>
        <w:t xml:space="preserve">Summary of New Zealand’s biomass emission factors for </w:t>
      </w:r>
      <w:r w:rsidRPr="00D604EE">
        <w:rPr>
          <w:i/>
        </w:rPr>
        <w:t>Grassland</w:t>
      </w:r>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p>
    <w:tbl>
      <w:tblPr>
        <w:tblW w:w="8505" w:type="dxa"/>
        <w:tblInd w:w="108" w:type="dxa"/>
        <w:tblLook w:val="04A0" w:firstRow="1" w:lastRow="0" w:firstColumn="1" w:lastColumn="0" w:noHBand="0" w:noVBand="1"/>
      </w:tblPr>
      <w:tblGrid>
        <w:gridCol w:w="1246"/>
        <w:gridCol w:w="1731"/>
        <w:gridCol w:w="1276"/>
        <w:gridCol w:w="1276"/>
        <w:gridCol w:w="1275"/>
        <w:gridCol w:w="1701"/>
      </w:tblGrid>
      <w:tr w:rsidR="00784FA9" w:rsidRPr="00D604EE" w14:paraId="2459C5C6" w14:textId="77777777" w:rsidTr="006D5A76">
        <w:trPr>
          <w:trHeight w:val="20"/>
          <w:tblHeader/>
        </w:trPr>
        <w:tc>
          <w:tcPr>
            <w:tcW w:w="1246" w:type="dxa"/>
            <w:tcBorders>
              <w:top w:val="single" w:sz="4" w:space="0" w:color="1B556B"/>
              <w:bottom w:val="single" w:sz="4" w:space="0" w:color="1B556B"/>
            </w:tcBorders>
            <w:shd w:val="clear" w:color="auto" w:fill="1B556B"/>
            <w:vAlign w:val="bottom"/>
          </w:tcPr>
          <w:p w14:paraId="73C014D7" w14:textId="77777777" w:rsidR="00784FA9" w:rsidRPr="00D604EE" w:rsidRDefault="00784FA9" w:rsidP="007E3239">
            <w:pPr>
              <w:pStyle w:val="TableTextBold"/>
              <w:keepNext/>
              <w:rPr>
                <w:noProof w:val="0"/>
                <w:color w:val="FFFFFF"/>
                <w:szCs w:val="16"/>
              </w:rPr>
            </w:pPr>
            <w:r w:rsidRPr="00D604EE">
              <w:rPr>
                <w:noProof w:val="0"/>
                <w:color w:val="FFFFFF"/>
                <w:szCs w:val="16"/>
              </w:rPr>
              <w:t>Land use</w:t>
            </w:r>
          </w:p>
        </w:tc>
        <w:tc>
          <w:tcPr>
            <w:tcW w:w="1731" w:type="dxa"/>
            <w:tcBorders>
              <w:top w:val="single" w:sz="4" w:space="0" w:color="1B556B"/>
              <w:bottom w:val="single" w:sz="4" w:space="0" w:color="1B556B"/>
            </w:tcBorders>
            <w:shd w:val="clear" w:color="auto" w:fill="1B556B"/>
            <w:vAlign w:val="bottom"/>
          </w:tcPr>
          <w:p w14:paraId="2AEC7232" w14:textId="77777777" w:rsidR="00784FA9" w:rsidRPr="00D604EE" w:rsidRDefault="00784FA9" w:rsidP="007E3239">
            <w:pPr>
              <w:pStyle w:val="TableTextBold"/>
              <w:rPr>
                <w:noProof w:val="0"/>
                <w:color w:val="FFFFFF"/>
                <w:szCs w:val="16"/>
              </w:rPr>
            </w:pPr>
            <w:r w:rsidRPr="00D604EE">
              <w:rPr>
                <w:noProof w:val="0"/>
                <w:color w:val="FFFFFF"/>
                <w:szCs w:val="16"/>
              </w:rPr>
              <w:t>Carbon pool</w:t>
            </w:r>
          </w:p>
        </w:tc>
        <w:tc>
          <w:tcPr>
            <w:tcW w:w="1276" w:type="dxa"/>
            <w:tcBorders>
              <w:top w:val="single" w:sz="4" w:space="0" w:color="1B556B"/>
              <w:bottom w:val="single" w:sz="4" w:space="0" w:color="1B556B"/>
            </w:tcBorders>
            <w:shd w:val="clear" w:color="auto" w:fill="1B556B"/>
            <w:vAlign w:val="bottom"/>
          </w:tcPr>
          <w:p w14:paraId="4BE5A5D4" w14:textId="77777777" w:rsidR="00784FA9" w:rsidRPr="00D604EE" w:rsidRDefault="00784FA9" w:rsidP="007E3239">
            <w:pPr>
              <w:pStyle w:val="TableTextBold"/>
              <w:jc w:val="center"/>
              <w:rPr>
                <w:noProof w:val="0"/>
                <w:color w:val="FFFFFF"/>
                <w:szCs w:val="16"/>
              </w:rPr>
            </w:pPr>
            <w:r w:rsidRPr="00D604EE">
              <w:rPr>
                <w:noProof w:val="0"/>
                <w:color w:val="FFFFFF"/>
                <w:szCs w:val="16"/>
              </w:rPr>
              <w:t>Steady state carbon stock</w:t>
            </w:r>
            <w:r w:rsidRPr="00D604EE">
              <w:rPr>
                <w:noProof w:val="0"/>
                <w:color w:val="FFFFFF"/>
                <w:szCs w:val="16"/>
              </w:rPr>
              <w:br/>
              <w:t>(t C ha</w:t>
            </w:r>
            <w:r w:rsidRPr="00D604EE">
              <w:rPr>
                <w:noProof w:val="0"/>
                <w:color w:val="FFFFFF"/>
                <w:szCs w:val="16"/>
                <w:vertAlign w:val="superscript"/>
              </w:rPr>
              <w:t>–1</w:t>
            </w:r>
            <w:r w:rsidRPr="00D604EE">
              <w:rPr>
                <w:noProof w:val="0"/>
                <w:color w:val="FFFFFF"/>
                <w:szCs w:val="16"/>
              </w:rPr>
              <w:t>)</w:t>
            </w:r>
          </w:p>
        </w:tc>
        <w:tc>
          <w:tcPr>
            <w:tcW w:w="1276" w:type="dxa"/>
            <w:tcBorders>
              <w:top w:val="single" w:sz="4" w:space="0" w:color="1B556B"/>
              <w:bottom w:val="single" w:sz="4" w:space="0" w:color="1B556B"/>
            </w:tcBorders>
            <w:shd w:val="clear" w:color="auto" w:fill="1B556B"/>
            <w:vAlign w:val="bottom"/>
          </w:tcPr>
          <w:p w14:paraId="4417A2A9" w14:textId="77777777" w:rsidR="00784FA9" w:rsidRPr="00D604EE" w:rsidRDefault="00784FA9" w:rsidP="007E3239">
            <w:pPr>
              <w:pStyle w:val="TableTextBold"/>
              <w:jc w:val="center"/>
              <w:rPr>
                <w:noProof w:val="0"/>
                <w:color w:val="FFFFFF"/>
                <w:szCs w:val="16"/>
              </w:rPr>
            </w:pPr>
            <w:r w:rsidRPr="00D604EE">
              <w:rPr>
                <w:noProof w:val="0"/>
                <w:color w:val="FFFFFF"/>
                <w:szCs w:val="16"/>
              </w:rPr>
              <w:t xml:space="preserve">Annual carbon accumulation </w:t>
            </w:r>
            <w:r w:rsidRPr="00D604EE">
              <w:rPr>
                <w:noProof w:val="0"/>
                <w:color w:val="FFFFFF"/>
                <w:szCs w:val="16"/>
              </w:rPr>
              <w:br/>
              <w:t>(t C ha</w:t>
            </w:r>
            <w:r w:rsidRPr="00D604EE">
              <w:rPr>
                <w:noProof w:val="0"/>
                <w:color w:val="FFFFFF"/>
                <w:szCs w:val="16"/>
                <w:vertAlign w:val="superscript"/>
              </w:rPr>
              <w:t>–1</w:t>
            </w:r>
            <w:r w:rsidRPr="00D604EE">
              <w:rPr>
                <w:noProof w:val="0"/>
                <w:color w:val="FFFFFF"/>
                <w:szCs w:val="16"/>
              </w:rPr>
              <w:t>)</w:t>
            </w:r>
          </w:p>
        </w:tc>
        <w:tc>
          <w:tcPr>
            <w:tcW w:w="1275" w:type="dxa"/>
            <w:tcBorders>
              <w:top w:val="single" w:sz="4" w:space="0" w:color="1B556B"/>
              <w:bottom w:val="single" w:sz="4" w:space="0" w:color="1B556B"/>
            </w:tcBorders>
            <w:shd w:val="clear" w:color="auto" w:fill="1B556B"/>
            <w:vAlign w:val="bottom"/>
          </w:tcPr>
          <w:p w14:paraId="59C815C5" w14:textId="77777777" w:rsidR="00784FA9" w:rsidRPr="00D604EE" w:rsidRDefault="00784FA9" w:rsidP="007E3239">
            <w:pPr>
              <w:pStyle w:val="TableTextBold"/>
              <w:jc w:val="center"/>
              <w:rPr>
                <w:noProof w:val="0"/>
                <w:color w:val="FFFFFF"/>
                <w:szCs w:val="16"/>
              </w:rPr>
            </w:pPr>
            <w:r w:rsidRPr="00D604EE">
              <w:rPr>
                <w:noProof w:val="0"/>
                <w:color w:val="FFFFFF"/>
                <w:szCs w:val="16"/>
              </w:rPr>
              <w:t>Years to reach steady state</w:t>
            </w:r>
          </w:p>
        </w:tc>
        <w:tc>
          <w:tcPr>
            <w:tcW w:w="1701" w:type="dxa"/>
            <w:tcBorders>
              <w:top w:val="single" w:sz="4" w:space="0" w:color="1B556B"/>
              <w:bottom w:val="single" w:sz="4" w:space="0" w:color="1B556B"/>
            </w:tcBorders>
            <w:shd w:val="clear" w:color="auto" w:fill="1B556B"/>
            <w:vAlign w:val="bottom"/>
          </w:tcPr>
          <w:p w14:paraId="6BF80161" w14:textId="77777777" w:rsidR="00784FA9" w:rsidRPr="00D604EE" w:rsidRDefault="00784FA9" w:rsidP="007E3239">
            <w:pPr>
              <w:pStyle w:val="TableTextBold"/>
              <w:rPr>
                <w:noProof w:val="0"/>
                <w:color w:val="FFFFFF"/>
                <w:szCs w:val="16"/>
              </w:rPr>
            </w:pPr>
            <w:r w:rsidRPr="00D604EE">
              <w:rPr>
                <w:noProof w:val="0"/>
                <w:color w:val="FFFFFF"/>
                <w:szCs w:val="16"/>
              </w:rPr>
              <w:t>Source</w:t>
            </w:r>
          </w:p>
        </w:tc>
      </w:tr>
      <w:tr w:rsidR="00784FA9" w:rsidRPr="00D604EE" w14:paraId="094F315C" w14:textId="77777777" w:rsidTr="007E3239">
        <w:trPr>
          <w:trHeight w:val="20"/>
        </w:trPr>
        <w:tc>
          <w:tcPr>
            <w:tcW w:w="1246" w:type="dxa"/>
            <w:vMerge w:val="restart"/>
            <w:tcBorders>
              <w:top w:val="single" w:sz="4" w:space="0" w:color="1B556B"/>
            </w:tcBorders>
          </w:tcPr>
          <w:p w14:paraId="23050730" w14:textId="77777777" w:rsidR="00784FA9" w:rsidRPr="00D604EE" w:rsidRDefault="00784FA9" w:rsidP="007E3239">
            <w:pPr>
              <w:pStyle w:val="TableText"/>
              <w:spacing w:before="50" w:after="50"/>
              <w:rPr>
                <w:szCs w:val="16"/>
              </w:rPr>
            </w:pPr>
            <w:r w:rsidRPr="00D604EE">
              <w:rPr>
                <w:szCs w:val="16"/>
              </w:rPr>
              <w:t>High producing</w:t>
            </w:r>
          </w:p>
        </w:tc>
        <w:tc>
          <w:tcPr>
            <w:tcW w:w="1731" w:type="dxa"/>
            <w:tcBorders>
              <w:top w:val="single" w:sz="4" w:space="0" w:color="1B556B"/>
              <w:bottom w:val="single" w:sz="4" w:space="0" w:color="1B556B"/>
            </w:tcBorders>
          </w:tcPr>
          <w:p w14:paraId="12F17024" w14:textId="77777777" w:rsidR="00784FA9" w:rsidRPr="00D604EE" w:rsidRDefault="00784FA9" w:rsidP="007E3239">
            <w:pPr>
              <w:pStyle w:val="TableText"/>
              <w:spacing w:before="50" w:after="50"/>
              <w:rPr>
                <w:b/>
                <w:szCs w:val="16"/>
              </w:rPr>
            </w:pPr>
            <w:r w:rsidRPr="00D604EE">
              <w:rPr>
                <w:b/>
                <w:szCs w:val="16"/>
              </w:rPr>
              <w:t>Total biomass</w:t>
            </w:r>
          </w:p>
        </w:tc>
        <w:tc>
          <w:tcPr>
            <w:tcW w:w="1276" w:type="dxa"/>
            <w:tcBorders>
              <w:top w:val="single" w:sz="4" w:space="0" w:color="1B556B"/>
              <w:bottom w:val="single" w:sz="4" w:space="0" w:color="1B556B"/>
            </w:tcBorders>
          </w:tcPr>
          <w:p w14:paraId="5367D54A" w14:textId="77777777" w:rsidR="00784FA9" w:rsidRPr="00D604EE" w:rsidRDefault="00784FA9" w:rsidP="007E3239">
            <w:pPr>
              <w:pStyle w:val="TableText"/>
              <w:spacing w:before="50" w:after="50"/>
              <w:jc w:val="center"/>
              <w:rPr>
                <w:b/>
                <w:szCs w:val="16"/>
              </w:rPr>
            </w:pPr>
            <w:r w:rsidRPr="00D604EE">
              <w:rPr>
                <w:b/>
                <w:szCs w:val="16"/>
              </w:rPr>
              <w:t>6.345</w:t>
            </w:r>
          </w:p>
        </w:tc>
        <w:tc>
          <w:tcPr>
            <w:tcW w:w="1276" w:type="dxa"/>
            <w:tcBorders>
              <w:top w:val="single" w:sz="4" w:space="0" w:color="1B556B"/>
              <w:bottom w:val="single" w:sz="4" w:space="0" w:color="1B556B"/>
            </w:tcBorders>
          </w:tcPr>
          <w:p w14:paraId="516E6B46" w14:textId="77777777" w:rsidR="00784FA9" w:rsidRPr="00D604EE" w:rsidRDefault="00784FA9" w:rsidP="007E3239">
            <w:pPr>
              <w:pStyle w:val="TableText"/>
              <w:spacing w:before="50" w:after="50"/>
              <w:jc w:val="center"/>
              <w:rPr>
                <w:b/>
                <w:szCs w:val="16"/>
              </w:rPr>
            </w:pPr>
            <w:r w:rsidRPr="00D604EE">
              <w:rPr>
                <w:b/>
                <w:szCs w:val="16"/>
              </w:rPr>
              <w:t>6.345</w:t>
            </w:r>
          </w:p>
        </w:tc>
        <w:tc>
          <w:tcPr>
            <w:tcW w:w="1275" w:type="dxa"/>
            <w:tcBorders>
              <w:top w:val="single" w:sz="4" w:space="0" w:color="1B556B"/>
              <w:bottom w:val="single" w:sz="4" w:space="0" w:color="1B556B"/>
            </w:tcBorders>
          </w:tcPr>
          <w:p w14:paraId="14162BC8" w14:textId="77777777" w:rsidR="00784FA9" w:rsidRPr="00D604EE" w:rsidRDefault="00784FA9" w:rsidP="007E3239">
            <w:pPr>
              <w:pStyle w:val="TableText"/>
              <w:spacing w:before="50" w:after="50"/>
              <w:jc w:val="center"/>
              <w:rPr>
                <w:b/>
                <w:szCs w:val="16"/>
              </w:rPr>
            </w:pPr>
            <w:r w:rsidRPr="00D604EE">
              <w:rPr>
                <w:b/>
                <w:szCs w:val="16"/>
              </w:rPr>
              <w:t>1</w:t>
            </w:r>
          </w:p>
        </w:tc>
        <w:tc>
          <w:tcPr>
            <w:tcW w:w="1701" w:type="dxa"/>
            <w:vMerge w:val="restart"/>
            <w:tcBorders>
              <w:top w:val="single" w:sz="4" w:space="0" w:color="1B556B"/>
              <w:bottom w:val="single" w:sz="4" w:space="0" w:color="365F91"/>
            </w:tcBorders>
          </w:tcPr>
          <w:p w14:paraId="319A58D8" w14:textId="77777777" w:rsidR="00784FA9" w:rsidRPr="00D604EE" w:rsidRDefault="00784FA9" w:rsidP="007E3239">
            <w:pPr>
              <w:pStyle w:val="TableText"/>
              <w:spacing w:before="50" w:after="50"/>
              <w:rPr>
                <w:szCs w:val="16"/>
              </w:rPr>
            </w:pPr>
            <w:r w:rsidRPr="00D604EE">
              <w:rPr>
                <w:szCs w:val="16"/>
              </w:rPr>
              <w:t>IPCC (2006a), table 6.4</w:t>
            </w:r>
          </w:p>
        </w:tc>
      </w:tr>
      <w:tr w:rsidR="00784FA9" w:rsidRPr="00D604EE" w14:paraId="76B2F9E2" w14:textId="77777777" w:rsidTr="007E3239">
        <w:trPr>
          <w:trHeight w:val="20"/>
        </w:trPr>
        <w:tc>
          <w:tcPr>
            <w:tcW w:w="1246" w:type="dxa"/>
            <w:vMerge/>
          </w:tcPr>
          <w:p w14:paraId="3E255690" w14:textId="77777777" w:rsidR="00784FA9" w:rsidRPr="00D604EE" w:rsidRDefault="00784FA9" w:rsidP="007E3239">
            <w:pPr>
              <w:pStyle w:val="TableText"/>
              <w:spacing w:before="50" w:after="50"/>
              <w:rPr>
                <w:szCs w:val="16"/>
              </w:rPr>
            </w:pPr>
          </w:p>
        </w:tc>
        <w:tc>
          <w:tcPr>
            <w:tcW w:w="1731" w:type="dxa"/>
            <w:tcBorders>
              <w:top w:val="single" w:sz="4" w:space="0" w:color="1B556B"/>
              <w:bottom w:val="single" w:sz="4" w:space="0" w:color="1B556B"/>
            </w:tcBorders>
          </w:tcPr>
          <w:p w14:paraId="3976985F" w14:textId="77777777" w:rsidR="00784FA9" w:rsidRPr="00D604EE" w:rsidRDefault="00784FA9" w:rsidP="007E3239">
            <w:pPr>
              <w:pStyle w:val="TableText"/>
              <w:spacing w:before="50" w:after="50"/>
              <w:rPr>
                <w:i/>
                <w:szCs w:val="16"/>
              </w:rPr>
            </w:pPr>
            <w:r w:rsidRPr="00D604EE">
              <w:rPr>
                <w:i/>
                <w:szCs w:val="16"/>
              </w:rPr>
              <w:t>Living biomass</w:t>
            </w:r>
          </w:p>
        </w:tc>
        <w:tc>
          <w:tcPr>
            <w:tcW w:w="1276" w:type="dxa"/>
            <w:tcBorders>
              <w:top w:val="single" w:sz="4" w:space="0" w:color="1B556B"/>
              <w:bottom w:val="single" w:sz="4" w:space="0" w:color="1B556B"/>
            </w:tcBorders>
          </w:tcPr>
          <w:p w14:paraId="15C047FC" w14:textId="77777777" w:rsidR="00784FA9" w:rsidRPr="00D604EE" w:rsidRDefault="00784FA9" w:rsidP="007E3239">
            <w:pPr>
              <w:pStyle w:val="TableText"/>
              <w:spacing w:before="50" w:after="50"/>
              <w:jc w:val="center"/>
              <w:rPr>
                <w:szCs w:val="16"/>
              </w:rPr>
            </w:pPr>
          </w:p>
        </w:tc>
        <w:tc>
          <w:tcPr>
            <w:tcW w:w="1276" w:type="dxa"/>
            <w:tcBorders>
              <w:top w:val="single" w:sz="4" w:space="0" w:color="1B556B"/>
              <w:bottom w:val="single" w:sz="4" w:space="0" w:color="1B556B"/>
            </w:tcBorders>
          </w:tcPr>
          <w:p w14:paraId="0C964F5D" w14:textId="77777777" w:rsidR="00784FA9" w:rsidRPr="00D604EE" w:rsidRDefault="00784FA9" w:rsidP="007E3239">
            <w:pPr>
              <w:pStyle w:val="TableText"/>
              <w:spacing w:before="50" w:after="50"/>
              <w:jc w:val="center"/>
              <w:rPr>
                <w:szCs w:val="16"/>
              </w:rPr>
            </w:pPr>
          </w:p>
        </w:tc>
        <w:tc>
          <w:tcPr>
            <w:tcW w:w="1275" w:type="dxa"/>
            <w:tcBorders>
              <w:top w:val="single" w:sz="4" w:space="0" w:color="1B556B"/>
              <w:bottom w:val="single" w:sz="4" w:space="0" w:color="1B556B"/>
            </w:tcBorders>
          </w:tcPr>
          <w:p w14:paraId="7D6F5AD4" w14:textId="77777777" w:rsidR="00784FA9" w:rsidRPr="00D604EE" w:rsidRDefault="00784FA9" w:rsidP="007E3239">
            <w:pPr>
              <w:pStyle w:val="TableText"/>
              <w:spacing w:before="50" w:after="50"/>
              <w:jc w:val="center"/>
              <w:rPr>
                <w:szCs w:val="16"/>
              </w:rPr>
            </w:pPr>
          </w:p>
        </w:tc>
        <w:tc>
          <w:tcPr>
            <w:tcW w:w="1701" w:type="dxa"/>
            <w:vMerge/>
          </w:tcPr>
          <w:p w14:paraId="33FC7220" w14:textId="77777777" w:rsidR="00784FA9" w:rsidRPr="00D604EE" w:rsidRDefault="00784FA9" w:rsidP="007E3239">
            <w:pPr>
              <w:pStyle w:val="TableText"/>
              <w:spacing w:before="50" w:after="50"/>
              <w:rPr>
                <w:szCs w:val="16"/>
              </w:rPr>
            </w:pPr>
          </w:p>
        </w:tc>
      </w:tr>
      <w:tr w:rsidR="00784FA9" w:rsidRPr="00D604EE" w14:paraId="42102720" w14:textId="77777777" w:rsidTr="007E3239">
        <w:trPr>
          <w:trHeight w:val="20"/>
        </w:trPr>
        <w:tc>
          <w:tcPr>
            <w:tcW w:w="1246" w:type="dxa"/>
            <w:vMerge/>
          </w:tcPr>
          <w:p w14:paraId="4B293F26" w14:textId="77777777" w:rsidR="00784FA9" w:rsidRPr="00D604EE" w:rsidRDefault="00784FA9" w:rsidP="007E3239">
            <w:pPr>
              <w:pStyle w:val="TableText"/>
              <w:spacing w:before="50" w:after="50"/>
              <w:rPr>
                <w:szCs w:val="16"/>
              </w:rPr>
            </w:pPr>
          </w:p>
        </w:tc>
        <w:tc>
          <w:tcPr>
            <w:tcW w:w="1731" w:type="dxa"/>
            <w:tcBorders>
              <w:top w:val="single" w:sz="4" w:space="0" w:color="1B556B"/>
              <w:bottom w:val="single" w:sz="4" w:space="0" w:color="1B556B"/>
            </w:tcBorders>
          </w:tcPr>
          <w:p w14:paraId="08686BF3" w14:textId="77777777" w:rsidR="00784FA9" w:rsidRPr="00D604EE" w:rsidRDefault="00784FA9" w:rsidP="007E3239">
            <w:pPr>
              <w:pStyle w:val="TableText"/>
              <w:spacing w:before="50" w:after="50"/>
              <w:rPr>
                <w:szCs w:val="16"/>
              </w:rPr>
            </w:pPr>
            <w:r w:rsidRPr="00D604EE">
              <w:rPr>
                <w:szCs w:val="16"/>
              </w:rPr>
              <w:tab/>
              <w:t>AGB</w:t>
            </w:r>
          </w:p>
        </w:tc>
        <w:tc>
          <w:tcPr>
            <w:tcW w:w="1276" w:type="dxa"/>
            <w:tcBorders>
              <w:top w:val="single" w:sz="4" w:space="0" w:color="1B556B"/>
              <w:bottom w:val="single" w:sz="4" w:space="0" w:color="1B556B"/>
            </w:tcBorders>
          </w:tcPr>
          <w:p w14:paraId="29020645" w14:textId="77777777" w:rsidR="00784FA9" w:rsidRPr="00D604EE" w:rsidRDefault="00784FA9" w:rsidP="007E3239">
            <w:pPr>
              <w:pStyle w:val="TableText"/>
              <w:spacing w:before="50" w:after="50"/>
              <w:jc w:val="center"/>
              <w:rPr>
                <w:szCs w:val="16"/>
              </w:rPr>
            </w:pPr>
            <w:r w:rsidRPr="00D604EE">
              <w:rPr>
                <w:szCs w:val="16"/>
              </w:rPr>
              <w:t>1.269</w:t>
            </w:r>
          </w:p>
        </w:tc>
        <w:tc>
          <w:tcPr>
            <w:tcW w:w="1276" w:type="dxa"/>
            <w:tcBorders>
              <w:top w:val="single" w:sz="4" w:space="0" w:color="1B556B"/>
              <w:bottom w:val="single" w:sz="4" w:space="0" w:color="1B556B"/>
            </w:tcBorders>
          </w:tcPr>
          <w:p w14:paraId="4DB7595C" w14:textId="77777777" w:rsidR="00784FA9" w:rsidRPr="00D604EE" w:rsidRDefault="00784FA9" w:rsidP="007E3239">
            <w:pPr>
              <w:pStyle w:val="TableText"/>
              <w:spacing w:before="50" w:after="50"/>
              <w:jc w:val="center"/>
              <w:rPr>
                <w:szCs w:val="16"/>
              </w:rPr>
            </w:pPr>
            <w:r w:rsidRPr="00D604EE">
              <w:rPr>
                <w:szCs w:val="16"/>
              </w:rPr>
              <w:t>1.269</w:t>
            </w:r>
          </w:p>
        </w:tc>
        <w:tc>
          <w:tcPr>
            <w:tcW w:w="1275" w:type="dxa"/>
            <w:tcBorders>
              <w:top w:val="single" w:sz="4" w:space="0" w:color="1B556B"/>
              <w:bottom w:val="single" w:sz="4" w:space="0" w:color="1B556B"/>
            </w:tcBorders>
          </w:tcPr>
          <w:p w14:paraId="0DEC0587" w14:textId="77777777" w:rsidR="00784FA9" w:rsidRPr="00D604EE" w:rsidRDefault="00784FA9" w:rsidP="007E3239">
            <w:pPr>
              <w:pStyle w:val="TableText"/>
              <w:spacing w:before="50" w:after="50"/>
              <w:jc w:val="center"/>
              <w:rPr>
                <w:szCs w:val="16"/>
              </w:rPr>
            </w:pPr>
            <w:r w:rsidRPr="00D604EE">
              <w:rPr>
                <w:szCs w:val="16"/>
              </w:rPr>
              <w:t>1</w:t>
            </w:r>
          </w:p>
        </w:tc>
        <w:tc>
          <w:tcPr>
            <w:tcW w:w="1701" w:type="dxa"/>
            <w:vMerge/>
          </w:tcPr>
          <w:p w14:paraId="329CBD1F" w14:textId="77777777" w:rsidR="00784FA9" w:rsidRPr="00D604EE" w:rsidRDefault="00784FA9" w:rsidP="007E3239">
            <w:pPr>
              <w:pStyle w:val="TableText"/>
              <w:spacing w:before="50" w:after="50"/>
              <w:rPr>
                <w:szCs w:val="16"/>
              </w:rPr>
            </w:pPr>
          </w:p>
        </w:tc>
      </w:tr>
      <w:tr w:rsidR="00784FA9" w:rsidRPr="00D604EE" w14:paraId="280C44F8" w14:textId="77777777" w:rsidTr="007E3239">
        <w:trPr>
          <w:trHeight w:val="20"/>
        </w:trPr>
        <w:tc>
          <w:tcPr>
            <w:tcW w:w="1246" w:type="dxa"/>
            <w:vMerge/>
          </w:tcPr>
          <w:p w14:paraId="00B9E0CD" w14:textId="77777777" w:rsidR="00784FA9" w:rsidRPr="00D604EE" w:rsidRDefault="00784FA9" w:rsidP="007E3239">
            <w:pPr>
              <w:pStyle w:val="TableText"/>
              <w:spacing w:before="50" w:after="50"/>
              <w:rPr>
                <w:szCs w:val="16"/>
              </w:rPr>
            </w:pPr>
          </w:p>
        </w:tc>
        <w:tc>
          <w:tcPr>
            <w:tcW w:w="1731" w:type="dxa"/>
            <w:tcBorders>
              <w:top w:val="single" w:sz="4" w:space="0" w:color="1B556B"/>
              <w:bottom w:val="single" w:sz="4" w:space="0" w:color="1B556B"/>
            </w:tcBorders>
          </w:tcPr>
          <w:p w14:paraId="75F1DAB5" w14:textId="77777777" w:rsidR="00784FA9" w:rsidRPr="00D604EE" w:rsidRDefault="00784FA9" w:rsidP="007E3239">
            <w:pPr>
              <w:pStyle w:val="TableText"/>
              <w:spacing w:before="50" w:after="50"/>
              <w:rPr>
                <w:szCs w:val="16"/>
              </w:rPr>
            </w:pPr>
            <w:r w:rsidRPr="00D604EE">
              <w:rPr>
                <w:szCs w:val="16"/>
              </w:rPr>
              <w:tab/>
              <w:t>BGB</w:t>
            </w:r>
          </w:p>
        </w:tc>
        <w:tc>
          <w:tcPr>
            <w:tcW w:w="1276" w:type="dxa"/>
            <w:tcBorders>
              <w:top w:val="single" w:sz="4" w:space="0" w:color="1B556B"/>
              <w:bottom w:val="single" w:sz="4" w:space="0" w:color="1B556B"/>
            </w:tcBorders>
          </w:tcPr>
          <w:p w14:paraId="5A604179" w14:textId="77777777" w:rsidR="00784FA9" w:rsidRPr="00D604EE" w:rsidRDefault="00784FA9" w:rsidP="007E3239">
            <w:pPr>
              <w:pStyle w:val="TableText"/>
              <w:spacing w:before="50" w:after="50"/>
              <w:jc w:val="center"/>
              <w:rPr>
                <w:szCs w:val="16"/>
              </w:rPr>
            </w:pPr>
            <w:r w:rsidRPr="00D604EE">
              <w:rPr>
                <w:szCs w:val="16"/>
              </w:rPr>
              <w:t>5.076</w:t>
            </w:r>
          </w:p>
        </w:tc>
        <w:tc>
          <w:tcPr>
            <w:tcW w:w="1276" w:type="dxa"/>
            <w:tcBorders>
              <w:top w:val="single" w:sz="4" w:space="0" w:color="1B556B"/>
              <w:bottom w:val="single" w:sz="4" w:space="0" w:color="1B556B"/>
            </w:tcBorders>
          </w:tcPr>
          <w:p w14:paraId="39BC9DBE" w14:textId="77777777" w:rsidR="00784FA9" w:rsidRPr="00D604EE" w:rsidRDefault="00784FA9" w:rsidP="007E3239">
            <w:pPr>
              <w:pStyle w:val="TableText"/>
              <w:spacing w:before="50" w:after="50"/>
              <w:jc w:val="center"/>
              <w:rPr>
                <w:szCs w:val="16"/>
              </w:rPr>
            </w:pPr>
            <w:r w:rsidRPr="00D604EE">
              <w:rPr>
                <w:szCs w:val="16"/>
              </w:rPr>
              <w:t>5.076</w:t>
            </w:r>
          </w:p>
        </w:tc>
        <w:tc>
          <w:tcPr>
            <w:tcW w:w="1275" w:type="dxa"/>
            <w:tcBorders>
              <w:top w:val="single" w:sz="4" w:space="0" w:color="1B556B"/>
              <w:bottom w:val="single" w:sz="4" w:space="0" w:color="1B556B"/>
            </w:tcBorders>
          </w:tcPr>
          <w:p w14:paraId="13FC5340" w14:textId="77777777" w:rsidR="00784FA9" w:rsidRPr="00D604EE" w:rsidRDefault="00784FA9" w:rsidP="007E3239">
            <w:pPr>
              <w:pStyle w:val="TableText"/>
              <w:spacing w:before="50" w:after="50"/>
              <w:jc w:val="center"/>
              <w:rPr>
                <w:szCs w:val="16"/>
              </w:rPr>
            </w:pPr>
            <w:r w:rsidRPr="00D604EE">
              <w:rPr>
                <w:szCs w:val="16"/>
              </w:rPr>
              <w:t>1</w:t>
            </w:r>
          </w:p>
        </w:tc>
        <w:tc>
          <w:tcPr>
            <w:tcW w:w="1701" w:type="dxa"/>
            <w:vMerge/>
            <w:tcBorders>
              <w:bottom w:val="single" w:sz="4" w:space="0" w:color="1B556B"/>
            </w:tcBorders>
          </w:tcPr>
          <w:p w14:paraId="52126DD4" w14:textId="77777777" w:rsidR="00784FA9" w:rsidRPr="00D604EE" w:rsidRDefault="00784FA9" w:rsidP="007E3239">
            <w:pPr>
              <w:pStyle w:val="TableText"/>
              <w:spacing w:before="50" w:after="50"/>
              <w:rPr>
                <w:szCs w:val="16"/>
              </w:rPr>
            </w:pPr>
          </w:p>
        </w:tc>
      </w:tr>
      <w:tr w:rsidR="00784FA9" w:rsidRPr="00D604EE" w14:paraId="38648CEA" w14:textId="77777777" w:rsidTr="007E3239">
        <w:trPr>
          <w:trHeight w:val="20"/>
        </w:trPr>
        <w:tc>
          <w:tcPr>
            <w:tcW w:w="1246" w:type="dxa"/>
            <w:vMerge/>
            <w:tcBorders>
              <w:bottom w:val="single" w:sz="4" w:space="0" w:color="1B556B"/>
            </w:tcBorders>
          </w:tcPr>
          <w:p w14:paraId="79BEA798" w14:textId="77777777" w:rsidR="00784FA9" w:rsidRPr="00D604EE" w:rsidRDefault="00784FA9" w:rsidP="007E3239">
            <w:pPr>
              <w:pStyle w:val="TableText"/>
              <w:spacing w:before="50" w:after="50"/>
              <w:rPr>
                <w:szCs w:val="16"/>
              </w:rPr>
            </w:pPr>
          </w:p>
        </w:tc>
        <w:tc>
          <w:tcPr>
            <w:tcW w:w="1731" w:type="dxa"/>
            <w:tcBorders>
              <w:top w:val="single" w:sz="4" w:space="0" w:color="1B556B"/>
              <w:bottom w:val="single" w:sz="4" w:space="0" w:color="1B556B"/>
            </w:tcBorders>
          </w:tcPr>
          <w:p w14:paraId="223079B1" w14:textId="77777777" w:rsidR="00784FA9" w:rsidRPr="00D604EE" w:rsidRDefault="00784FA9" w:rsidP="007E3239">
            <w:pPr>
              <w:pStyle w:val="TableText"/>
              <w:spacing w:before="50" w:after="50"/>
              <w:rPr>
                <w:i/>
                <w:szCs w:val="16"/>
              </w:rPr>
            </w:pPr>
            <w:r w:rsidRPr="00D604EE">
              <w:rPr>
                <w:i/>
                <w:szCs w:val="16"/>
              </w:rPr>
              <w:t>Dead organic matter</w:t>
            </w:r>
          </w:p>
        </w:tc>
        <w:tc>
          <w:tcPr>
            <w:tcW w:w="1276" w:type="dxa"/>
            <w:tcBorders>
              <w:top w:val="single" w:sz="4" w:space="0" w:color="1B556B"/>
              <w:bottom w:val="single" w:sz="4" w:space="0" w:color="1B556B"/>
            </w:tcBorders>
          </w:tcPr>
          <w:p w14:paraId="38B93E5D" w14:textId="77777777" w:rsidR="00784FA9" w:rsidRPr="00D604EE" w:rsidRDefault="00784FA9" w:rsidP="007E3239">
            <w:pPr>
              <w:pStyle w:val="TableText"/>
              <w:spacing w:before="50" w:after="50"/>
              <w:jc w:val="center"/>
            </w:pPr>
            <w:r w:rsidRPr="00D604EE">
              <w:t>NE</w:t>
            </w:r>
          </w:p>
        </w:tc>
        <w:tc>
          <w:tcPr>
            <w:tcW w:w="1276" w:type="dxa"/>
            <w:tcBorders>
              <w:top w:val="single" w:sz="4" w:space="0" w:color="1B556B"/>
              <w:bottom w:val="single" w:sz="4" w:space="0" w:color="1B556B"/>
            </w:tcBorders>
          </w:tcPr>
          <w:p w14:paraId="359A3F11" w14:textId="77777777" w:rsidR="00784FA9" w:rsidRPr="00D604EE" w:rsidRDefault="00784FA9" w:rsidP="007E3239">
            <w:pPr>
              <w:pStyle w:val="TableText"/>
              <w:spacing w:before="50" w:after="50"/>
              <w:jc w:val="center"/>
            </w:pPr>
            <w:r w:rsidRPr="00D604EE">
              <w:t>NA</w:t>
            </w:r>
          </w:p>
        </w:tc>
        <w:tc>
          <w:tcPr>
            <w:tcW w:w="1275" w:type="dxa"/>
            <w:tcBorders>
              <w:top w:val="single" w:sz="4" w:space="0" w:color="1B556B"/>
              <w:bottom w:val="single" w:sz="4" w:space="0" w:color="1B556B"/>
            </w:tcBorders>
          </w:tcPr>
          <w:p w14:paraId="79723B60" w14:textId="77777777" w:rsidR="00784FA9" w:rsidRPr="00D604EE" w:rsidRDefault="00784FA9" w:rsidP="007E3239">
            <w:pPr>
              <w:pStyle w:val="TableText"/>
              <w:spacing w:before="50" w:after="50"/>
              <w:jc w:val="center"/>
            </w:pPr>
            <w:r w:rsidRPr="00D604EE">
              <w:t>NA</w:t>
            </w:r>
          </w:p>
        </w:tc>
        <w:tc>
          <w:tcPr>
            <w:tcW w:w="1701" w:type="dxa"/>
            <w:tcBorders>
              <w:top w:val="single" w:sz="4" w:space="0" w:color="1B556B"/>
              <w:bottom w:val="single" w:sz="4" w:space="0" w:color="1B556B"/>
            </w:tcBorders>
          </w:tcPr>
          <w:p w14:paraId="2E5CC7AA" w14:textId="77777777" w:rsidR="00784FA9" w:rsidRPr="00D604EE" w:rsidRDefault="00784FA9" w:rsidP="007E3239">
            <w:pPr>
              <w:pStyle w:val="TableText"/>
              <w:spacing w:before="50" w:after="50"/>
              <w:rPr>
                <w:szCs w:val="16"/>
              </w:rPr>
            </w:pPr>
            <w:r w:rsidRPr="00D604EE">
              <w:rPr>
                <w:szCs w:val="16"/>
              </w:rPr>
              <w:t>No IPCC guidelines</w:t>
            </w:r>
          </w:p>
        </w:tc>
      </w:tr>
      <w:tr w:rsidR="00784FA9" w:rsidRPr="00D604EE" w14:paraId="222F0892" w14:textId="77777777" w:rsidTr="007E3239">
        <w:trPr>
          <w:trHeight w:val="20"/>
        </w:trPr>
        <w:tc>
          <w:tcPr>
            <w:tcW w:w="1246" w:type="dxa"/>
            <w:vMerge w:val="restart"/>
            <w:tcBorders>
              <w:top w:val="single" w:sz="4" w:space="0" w:color="1B556B"/>
              <w:bottom w:val="single" w:sz="4" w:space="0" w:color="1B556B"/>
            </w:tcBorders>
          </w:tcPr>
          <w:p w14:paraId="047EC3C7" w14:textId="77777777" w:rsidR="00784FA9" w:rsidRPr="00D604EE" w:rsidRDefault="00784FA9" w:rsidP="007E3239">
            <w:pPr>
              <w:pStyle w:val="TableText"/>
              <w:spacing w:before="40" w:after="40"/>
              <w:rPr>
                <w:szCs w:val="16"/>
              </w:rPr>
            </w:pPr>
            <w:r w:rsidRPr="00D604EE">
              <w:rPr>
                <w:szCs w:val="16"/>
              </w:rPr>
              <w:t>Low producing</w:t>
            </w:r>
          </w:p>
        </w:tc>
        <w:tc>
          <w:tcPr>
            <w:tcW w:w="1731" w:type="dxa"/>
            <w:tcBorders>
              <w:top w:val="single" w:sz="4" w:space="0" w:color="1B556B"/>
              <w:bottom w:val="single" w:sz="4" w:space="0" w:color="1B556B"/>
            </w:tcBorders>
          </w:tcPr>
          <w:p w14:paraId="0E2969CF" w14:textId="77777777" w:rsidR="00784FA9" w:rsidRPr="00D604EE" w:rsidRDefault="00784FA9" w:rsidP="007E3239">
            <w:pPr>
              <w:pStyle w:val="TableText"/>
              <w:spacing w:before="40" w:after="40"/>
              <w:rPr>
                <w:b/>
                <w:szCs w:val="16"/>
              </w:rPr>
            </w:pPr>
            <w:r w:rsidRPr="00D604EE">
              <w:rPr>
                <w:b/>
                <w:szCs w:val="16"/>
              </w:rPr>
              <w:t>Total biomass</w:t>
            </w:r>
          </w:p>
        </w:tc>
        <w:tc>
          <w:tcPr>
            <w:tcW w:w="1276" w:type="dxa"/>
            <w:tcBorders>
              <w:top w:val="single" w:sz="4" w:space="0" w:color="1B556B"/>
              <w:bottom w:val="single" w:sz="4" w:space="0" w:color="1B556B"/>
            </w:tcBorders>
          </w:tcPr>
          <w:p w14:paraId="65CCECBC" w14:textId="77777777" w:rsidR="00784FA9" w:rsidRPr="00D604EE" w:rsidRDefault="00784FA9" w:rsidP="007E3239">
            <w:pPr>
              <w:pStyle w:val="TableText"/>
              <w:spacing w:before="40" w:after="40"/>
              <w:jc w:val="center"/>
              <w:rPr>
                <w:b/>
                <w:szCs w:val="16"/>
              </w:rPr>
            </w:pPr>
            <w:r w:rsidRPr="00D604EE">
              <w:rPr>
                <w:b/>
                <w:szCs w:val="16"/>
              </w:rPr>
              <w:t>2.867</w:t>
            </w:r>
          </w:p>
        </w:tc>
        <w:tc>
          <w:tcPr>
            <w:tcW w:w="1276" w:type="dxa"/>
            <w:tcBorders>
              <w:top w:val="single" w:sz="4" w:space="0" w:color="1B556B"/>
              <w:bottom w:val="single" w:sz="4" w:space="0" w:color="1B556B"/>
            </w:tcBorders>
          </w:tcPr>
          <w:p w14:paraId="01A2CD87" w14:textId="77777777" w:rsidR="00784FA9" w:rsidRPr="00D604EE" w:rsidRDefault="00784FA9" w:rsidP="007E3239">
            <w:pPr>
              <w:pStyle w:val="TableText"/>
              <w:spacing w:before="40" w:after="40"/>
              <w:jc w:val="center"/>
              <w:rPr>
                <w:b/>
                <w:szCs w:val="16"/>
              </w:rPr>
            </w:pPr>
            <w:r w:rsidRPr="00D604EE">
              <w:rPr>
                <w:b/>
                <w:szCs w:val="16"/>
              </w:rPr>
              <w:t>2.867</w:t>
            </w:r>
          </w:p>
        </w:tc>
        <w:tc>
          <w:tcPr>
            <w:tcW w:w="1275" w:type="dxa"/>
            <w:tcBorders>
              <w:top w:val="single" w:sz="4" w:space="0" w:color="1B556B"/>
              <w:bottom w:val="single" w:sz="4" w:space="0" w:color="1B556B"/>
            </w:tcBorders>
          </w:tcPr>
          <w:p w14:paraId="5DB376BA" w14:textId="77777777" w:rsidR="00784FA9" w:rsidRPr="00D604EE" w:rsidRDefault="00784FA9" w:rsidP="007E3239">
            <w:pPr>
              <w:pStyle w:val="TableText"/>
              <w:spacing w:before="40" w:after="40"/>
              <w:jc w:val="center"/>
              <w:rPr>
                <w:b/>
                <w:szCs w:val="16"/>
              </w:rPr>
            </w:pPr>
            <w:r w:rsidRPr="00D604EE">
              <w:rPr>
                <w:b/>
                <w:szCs w:val="16"/>
              </w:rPr>
              <w:t>1</w:t>
            </w:r>
          </w:p>
        </w:tc>
        <w:tc>
          <w:tcPr>
            <w:tcW w:w="1701" w:type="dxa"/>
            <w:vMerge w:val="restart"/>
            <w:tcBorders>
              <w:top w:val="single" w:sz="4" w:space="0" w:color="1B556B"/>
              <w:bottom w:val="single" w:sz="4" w:space="0" w:color="365F91"/>
            </w:tcBorders>
          </w:tcPr>
          <w:p w14:paraId="48DEB0BC" w14:textId="77777777" w:rsidR="00784FA9" w:rsidRPr="00D604EE" w:rsidRDefault="00784FA9" w:rsidP="007E3239">
            <w:pPr>
              <w:pStyle w:val="TableText"/>
              <w:spacing w:before="40" w:after="40"/>
              <w:rPr>
                <w:szCs w:val="16"/>
              </w:rPr>
            </w:pPr>
            <w:r w:rsidRPr="00D604EE">
              <w:rPr>
                <w:szCs w:val="16"/>
              </w:rPr>
              <w:t>IPCC (2006a), table 6.4</w:t>
            </w:r>
          </w:p>
        </w:tc>
      </w:tr>
      <w:tr w:rsidR="00784FA9" w:rsidRPr="00D604EE" w14:paraId="64B4A26E" w14:textId="77777777" w:rsidTr="007E3239">
        <w:trPr>
          <w:trHeight w:val="20"/>
        </w:trPr>
        <w:tc>
          <w:tcPr>
            <w:tcW w:w="1246" w:type="dxa"/>
            <w:vMerge/>
            <w:tcBorders>
              <w:bottom w:val="single" w:sz="4" w:space="0" w:color="1B556B"/>
            </w:tcBorders>
          </w:tcPr>
          <w:p w14:paraId="01688E94" w14:textId="77777777" w:rsidR="00784FA9" w:rsidRPr="00D604EE" w:rsidRDefault="00784FA9" w:rsidP="007E3239">
            <w:pPr>
              <w:pStyle w:val="TableText"/>
              <w:spacing w:before="40" w:after="40"/>
              <w:rPr>
                <w:szCs w:val="16"/>
              </w:rPr>
            </w:pPr>
          </w:p>
        </w:tc>
        <w:tc>
          <w:tcPr>
            <w:tcW w:w="1731" w:type="dxa"/>
            <w:tcBorders>
              <w:top w:val="single" w:sz="4" w:space="0" w:color="1B556B"/>
              <w:bottom w:val="single" w:sz="4" w:space="0" w:color="1B556B"/>
            </w:tcBorders>
          </w:tcPr>
          <w:p w14:paraId="23326676" w14:textId="77777777" w:rsidR="00784FA9" w:rsidRPr="00D604EE" w:rsidRDefault="00784FA9" w:rsidP="007E3239">
            <w:pPr>
              <w:pStyle w:val="TableText"/>
              <w:spacing w:before="40" w:after="40"/>
              <w:rPr>
                <w:i/>
                <w:szCs w:val="16"/>
              </w:rPr>
            </w:pPr>
            <w:r w:rsidRPr="00D604EE">
              <w:rPr>
                <w:i/>
                <w:szCs w:val="16"/>
              </w:rPr>
              <w:t>Living biomass</w:t>
            </w:r>
          </w:p>
        </w:tc>
        <w:tc>
          <w:tcPr>
            <w:tcW w:w="1276" w:type="dxa"/>
            <w:tcBorders>
              <w:top w:val="single" w:sz="4" w:space="0" w:color="1B556B"/>
              <w:bottom w:val="single" w:sz="4" w:space="0" w:color="1B556B"/>
            </w:tcBorders>
          </w:tcPr>
          <w:p w14:paraId="5F91742A" w14:textId="77777777" w:rsidR="00784FA9" w:rsidRPr="00D604EE" w:rsidRDefault="00784FA9" w:rsidP="007E3239">
            <w:pPr>
              <w:pStyle w:val="TableText"/>
              <w:spacing w:before="40" w:after="40"/>
              <w:jc w:val="center"/>
              <w:rPr>
                <w:szCs w:val="16"/>
              </w:rPr>
            </w:pPr>
          </w:p>
        </w:tc>
        <w:tc>
          <w:tcPr>
            <w:tcW w:w="1276" w:type="dxa"/>
            <w:tcBorders>
              <w:top w:val="single" w:sz="4" w:space="0" w:color="1B556B"/>
              <w:bottom w:val="single" w:sz="4" w:space="0" w:color="1B556B"/>
            </w:tcBorders>
          </w:tcPr>
          <w:p w14:paraId="6A22568B" w14:textId="77777777" w:rsidR="00784FA9" w:rsidRPr="00D604EE" w:rsidRDefault="00784FA9" w:rsidP="007E3239">
            <w:pPr>
              <w:pStyle w:val="TableText"/>
              <w:spacing w:before="40" w:after="40"/>
              <w:jc w:val="center"/>
              <w:rPr>
                <w:szCs w:val="16"/>
              </w:rPr>
            </w:pPr>
          </w:p>
        </w:tc>
        <w:tc>
          <w:tcPr>
            <w:tcW w:w="1275" w:type="dxa"/>
            <w:tcBorders>
              <w:top w:val="single" w:sz="4" w:space="0" w:color="1B556B"/>
              <w:bottom w:val="single" w:sz="4" w:space="0" w:color="1B556B"/>
            </w:tcBorders>
          </w:tcPr>
          <w:p w14:paraId="425F0E94" w14:textId="77777777" w:rsidR="00784FA9" w:rsidRPr="00D604EE" w:rsidRDefault="00784FA9" w:rsidP="007E3239">
            <w:pPr>
              <w:pStyle w:val="TableText"/>
              <w:spacing w:before="40" w:after="40"/>
              <w:jc w:val="center"/>
              <w:rPr>
                <w:szCs w:val="16"/>
              </w:rPr>
            </w:pPr>
          </w:p>
        </w:tc>
        <w:tc>
          <w:tcPr>
            <w:tcW w:w="1701" w:type="dxa"/>
            <w:vMerge/>
          </w:tcPr>
          <w:p w14:paraId="53BF15D0" w14:textId="77777777" w:rsidR="00784FA9" w:rsidRPr="00D604EE" w:rsidRDefault="00784FA9" w:rsidP="007E3239">
            <w:pPr>
              <w:pStyle w:val="TableText"/>
              <w:spacing w:before="40" w:after="40"/>
              <w:rPr>
                <w:szCs w:val="16"/>
              </w:rPr>
            </w:pPr>
          </w:p>
        </w:tc>
      </w:tr>
      <w:tr w:rsidR="00784FA9" w:rsidRPr="00D604EE" w14:paraId="077BB21D" w14:textId="77777777" w:rsidTr="007E3239">
        <w:trPr>
          <w:trHeight w:val="20"/>
        </w:trPr>
        <w:tc>
          <w:tcPr>
            <w:tcW w:w="1246" w:type="dxa"/>
            <w:vMerge/>
            <w:tcBorders>
              <w:bottom w:val="single" w:sz="4" w:space="0" w:color="1B556B"/>
            </w:tcBorders>
          </w:tcPr>
          <w:p w14:paraId="00C835F3" w14:textId="77777777" w:rsidR="00784FA9" w:rsidRPr="00D604EE" w:rsidRDefault="00784FA9" w:rsidP="007E3239">
            <w:pPr>
              <w:pStyle w:val="TableText"/>
              <w:spacing w:before="40" w:after="40"/>
              <w:rPr>
                <w:szCs w:val="16"/>
              </w:rPr>
            </w:pPr>
          </w:p>
        </w:tc>
        <w:tc>
          <w:tcPr>
            <w:tcW w:w="1731" w:type="dxa"/>
            <w:tcBorders>
              <w:top w:val="single" w:sz="4" w:space="0" w:color="1B556B"/>
              <w:bottom w:val="single" w:sz="4" w:space="0" w:color="1B556B"/>
            </w:tcBorders>
          </w:tcPr>
          <w:p w14:paraId="1BCA528B" w14:textId="77777777" w:rsidR="00784FA9" w:rsidRPr="00D604EE" w:rsidRDefault="00784FA9" w:rsidP="007E3239">
            <w:pPr>
              <w:pStyle w:val="TableText"/>
              <w:spacing w:before="40" w:after="40"/>
              <w:rPr>
                <w:szCs w:val="16"/>
              </w:rPr>
            </w:pPr>
            <w:r w:rsidRPr="00D604EE">
              <w:rPr>
                <w:szCs w:val="16"/>
              </w:rPr>
              <w:tab/>
              <w:t>AGB</w:t>
            </w:r>
          </w:p>
        </w:tc>
        <w:tc>
          <w:tcPr>
            <w:tcW w:w="1276" w:type="dxa"/>
            <w:tcBorders>
              <w:top w:val="single" w:sz="4" w:space="0" w:color="1B556B"/>
              <w:bottom w:val="single" w:sz="4" w:space="0" w:color="1B556B"/>
            </w:tcBorders>
          </w:tcPr>
          <w:p w14:paraId="3BCD58DE" w14:textId="77777777" w:rsidR="00784FA9" w:rsidRPr="00D604EE" w:rsidRDefault="00784FA9" w:rsidP="007E3239">
            <w:pPr>
              <w:pStyle w:val="TableText"/>
              <w:spacing w:before="40" w:after="40"/>
              <w:jc w:val="center"/>
              <w:rPr>
                <w:szCs w:val="16"/>
              </w:rPr>
            </w:pPr>
            <w:r w:rsidRPr="00D604EE">
              <w:rPr>
                <w:szCs w:val="16"/>
              </w:rPr>
              <w:t>0.752</w:t>
            </w:r>
          </w:p>
        </w:tc>
        <w:tc>
          <w:tcPr>
            <w:tcW w:w="1276" w:type="dxa"/>
            <w:tcBorders>
              <w:top w:val="single" w:sz="4" w:space="0" w:color="1B556B"/>
              <w:bottom w:val="single" w:sz="4" w:space="0" w:color="1B556B"/>
            </w:tcBorders>
          </w:tcPr>
          <w:p w14:paraId="4FD70EBB" w14:textId="77777777" w:rsidR="00784FA9" w:rsidRPr="00D604EE" w:rsidRDefault="00784FA9" w:rsidP="007E3239">
            <w:pPr>
              <w:pStyle w:val="TableText"/>
              <w:spacing w:before="40" w:after="40"/>
              <w:jc w:val="center"/>
              <w:rPr>
                <w:szCs w:val="16"/>
              </w:rPr>
            </w:pPr>
            <w:r w:rsidRPr="00D604EE">
              <w:rPr>
                <w:szCs w:val="16"/>
              </w:rPr>
              <w:t>0.752</w:t>
            </w:r>
          </w:p>
        </w:tc>
        <w:tc>
          <w:tcPr>
            <w:tcW w:w="1275" w:type="dxa"/>
            <w:tcBorders>
              <w:top w:val="single" w:sz="4" w:space="0" w:color="1B556B"/>
              <w:bottom w:val="single" w:sz="4" w:space="0" w:color="1B556B"/>
            </w:tcBorders>
          </w:tcPr>
          <w:p w14:paraId="085D086F" w14:textId="77777777" w:rsidR="00784FA9" w:rsidRPr="00D604EE" w:rsidRDefault="00784FA9" w:rsidP="007E3239">
            <w:pPr>
              <w:pStyle w:val="TableText"/>
              <w:spacing w:before="40" w:after="40"/>
              <w:jc w:val="center"/>
              <w:rPr>
                <w:szCs w:val="16"/>
              </w:rPr>
            </w:pPr>
            <w:r w:rsidRPr="00D604EE">
              <w:rPr>
                <w:szCs w:val="16"/>
              </w:rPr>
              <w:t>1</w:t>
            </w:r>
          </w:p>
        </w:tc>
        <w:tc>
          <w:tcPr>
            <w:tcW w:w="1701" w:type="dxa"/>
            <w:vMerge/>
          </w:tcPr>
          <w:p w14:paraId="74193E66" w14:textId="77777777" w:rsidR="00784FA9" w:rsidRPr="00D604EE" w:rsidRDefault="00784FA9" w:rsidP="007E3239">
            <w:pPr>
              <w:pStyle w:val="TableText"/>
              <w:spacing w:before="40" w:after="40"/>
              <w:rPr>
                <w:szCs w:val="16"/>
              </w:rPr>
            </w:pPr>
          </w:p>
        </w:tc>
      </w:tr>
      <w:tr w:rsidR="00784FA9" w:rsidRPr="00D604EE" w14:paraId="37F80323" w14:textId="77777777" w:rsidTr="007E3239">
        <w:trPr>
          <w:trHeight w:val="20"/>
        </w:trPr>
        <w:tc>
          <w:tcPr>
            <w:tcW w:w="1246" w:type="dxa"/>
            <w:vMerge/>
            <w:tcBorders>
              <w:bottom w:val="single" w:sz="4" w:space="0" w:color="1B556B"/>
            </w:tcBorders>
          </w:tcPr>
          <w:p w14:paraId="2F6CBB1B" w14:textId="77777777" w:rsidR="00784FA9" w:rsidRPr="00D604EE" w:rsidRDefault="00784FA9" w:rsidP="007E3239">
            <w:pPr>
              <w:pStyle w:val="TableText"/>
              <w:spacing w:before="40" w:after="40"/>
              <w:rPr>
                <w:szCs w:val="16"/>
              </w:rPr>
            </w:pPr>
          </w:p>
        </w:tc>
        <w:tc>
          <w:tcPr>
            <w:tcW w:w="1731" w:type="dxa"/>
            <w:tcBorders>
              <w:top w:val="single" w:sz="4" w:space="0" w:color="1B556B"/>
              <w:bottom w:val="single" w:sz="4" w:space="0" w:color="1B556B"/>
            </w:tcBorders>
          </w:tcPr>
          <w:p w14:paraId="7952D9F7" w14:textId="77777777" w:rsidR="00784FA9" w:rsidRPr="00D604EE" w:rsidRDefault="00784FA9" w:rsidP="007E3239">
            <w:pPr>
              <w:pStyle w:val="TableText"/>
              <w:spacing w:before="40" w:after="40"/>
              <w:rPr>
                <w:szCs w:val="16"/>
              </w:rPr>
            </w:pPr>
            <w:r w:rsidRPr="00D604EE">
              <w:rPr>
                <w:szCs w:val="16"/>
              </w:rPr>
              <w:tab/>
              <w:t>BGB</w:t>
            </w:r>
          </w:p>
        </w:tc>
        <w:tc>
          <w:tcPr>
            <w:tcW w:w="1276" w:type="dxa"/>
            <w:tcBorders>
              <w:top w:val="single" w:sz="4" w:space="0" w:color="1B556B"/>
              <w:bottom w:val="single" w:sz="4" w:space="0" w:color="1B556B"/>
            </w:tcBorders>
          </w:tcPr>
          <w:p w14:paraId="7A80CCCB" w14:textId="77777777" w:rsidR="00784FA9" w:rsidRPr="00D604EE" w:rsidRDefault="00784FA9" w:rsidP="007E3239">
            <w:pPr>
              <w:pStyle w:val="TableText"/>
              <w:spacing w:before="40" w:after="40"/>
              <w:jc w:val="center"/>
              <w:rPr>
                <w:szCs w:val="16"/>
              </w:rPr>
            </w:pPr>
            <w:r w:rsidRPr="00D604EE">
              <w:rPr>
                <w:szCs w:val="16"/>
              </w:rPr>
              <w:t>2.115</w:t>
            </w:r>
          </w:p>
        </w:tc>
        <w:tc>
          <w:tcPr>
            <w:tcW w:w="1276" w:type="dxa"/>
            <w:tcBorders>
              <w:top w:val="single" w:sz="4" w:space="0" w:color="1B556B"/>
              <w:bottom w:val="single" w:sz="4" w:space="0" w:color="1B556B"/>
            </w:tcBorders>
          </w:tcPr>
          <w:p w14:paraId="3A3D6F86" w14:textId="77777777" w:rsidR="00784FA9" w:rsidRPr="00D604EE" w:rsidRDefault="00784FA9" w:rsidP="007E3239">
            <w:pPr>
              <w:pStyle w:val="TableText"/>
              <w:spacing w:before="40" w:after="40"/>
              <w:jc w:val="center"/>
              <w:rPr>
                <w:szCs w:val="16"/>
              </w:rPr>
            </w:pPr>
            <w:r w:rsidRPr="00D604EE">
              <w:rPr>
                <w:szCs w:val="16"/>
              </w:rPr>
              <w:t>2.115</w:t>
            </w:r>
          </w:p>
        </w:tc>
        <w:tc>
          <w:tcPr>
            <w:tcW w:w="1275" w:type="dxa"/>
            <w:tcBorders>
              <w:top w:val="single" w:sz="4" w:space="0" w:color="1B556B"/>
              <w:bottom w:val="single" w:sz="4" w:space="0" w:color="1B556B"/>
            </w:tcBorders>
          </w:tcPr>
          <w:p w14:paraId="61EC312F" w14:textId="77777777" w:rsidR="00784FA9" w:rsidRPr="00D604EE" w:rsidRDefault="00784FA9" w:rsidP="007E3239">
            <w:pPr>
              <w:pStyle w:val="TableText"/>
              <w:spacing w:before="40" w:after="40"/>
              <w:jc w:val="center"/>
              <w:rPr>
                <w:szCs w:val="16"/>
              </w:rPr>
            </w:pPr>
            <w:r w:rsidRPr="00D604EE">
              <w:rPr>
                <w:szCs w:val="16"/>
              </w:rPr>
              <w:t>1</w:t>
            </w:r>
          </w:p>
        </w:tc>
        <w:tc>
          <w:tcPr>
            <w:tcW w:w="1701" w:type="dxa"/>
            <w:vMerge/>
          </w:tcPr>
          <w:p w14:paraId="3D27B92F" w14:textId="77777777" w:rsidR="00784FA9" w:rsidRPr="00D604EE" w:rsidRDefault="00784FA9" w:rsidP="007E3239">
            <w:pPr>
              <w:pStyle w:val="TableText"/>
              <w:spacing w:before="40" w:after="40"/>
              <w:rPr>
                <w:szCs w:val="16"/>
              </w:rPr>
            </w:pPr>
          </w:p>
        </w:tc>
      </w:tr>
      <w:tr w:rsidR="00784FA9" w:rsidRPr="00D604EE" w14:paraId="4DAC2B0D" w14:textId="77777777" w:rsidTr="007E3239">
        <w:trPr>
          <w:trHeight w:val="20"/>
        </w:trPr>
        <w:tc>
          <w:tcPr>
            <w:tcW w:w="1246" w:type="dxa"/>
            <w:vMerge/>
            <w:tcBorders>
              <w:bottom w:val="single" w:sz="4" w:space="0" w:color="1B556B"/>
            </w:tcBorders>
          </w:tcPr>
          <w:p w14:paraId="409D1EFF" w14:textId="77777777" w:rsidR="00784FA9" w:rsidRPr="00D604EE" w:rsidRDefault="00784FA9" w:rsidP="007E3239">
            <w:pPr>
              <w:pStyle w:val="TableText"/>
              <w:spacing w:before="40" w:after="40"/>
              <w:rPr>
                <w:szCs w:val="16"/>
              </w:rPr>
            </w:pPr>
          </w:p>
        </w:tc>
        <w:tc>
          <w:tcPr>
            <w:tcW w:w="1731" w:type="dxa"/>
            <w:tcBorders>
              <w:top w:val="single" w:sz="4" w:space="0" w:color="1B556B"/>
              <w:bottom w:val="single" w:sz="4" w:space="0" w:color="1B556B"/>
            </w:tcBorders>
          </w:tcPr>
          <w:p w14:paraId="66BAE8D6" w14:textId="77777777" w:rsidR="00784FA9" w:rsidRPr="00D604EE" w:rsidRDefault="00784FA9" w:rsidP="007E3239">
            <w:pPr>
              <w:pStyle w:val="TableText"/>
              <w:spacing w:before="40" w:after="40"/>
              <w:rPr>
                <w:i/>
                <w:szCs w:val="16"/>
              </w:rPr>
            </w:pPr>
            <w:r w:rsidRPr="00D604EE">
              <w:rPr>
                <w:i/>
                <w:szCs w:val="16"/>
              </w:rPr>
              <w:t>Dead organic matter</w:t>
            </w:r>
          </w:p>
        </w:tc>
        <w:tc>
          <w:tcPr>
            <w:tcW w:w="1276" w:type="dxa"/>
            <w:tcBorders>
              <w:top w:val="single" w:sz="4" w:space="0" w:color="1B556B"/>
              <w:bottom w:val="single" w:sz="4" w:space="0" w:color="1B556B"/>
            </w:tcBorders>
          </w:tcPr>
          <w:p w14:paraId="2B834F88" w14:textId="77777777" w:rsidR="00784FA9" w:rsidRPr="00D604EE" w:rsidRDefault="00784FA9" w:rsidP="007E3239">
            <w:pPr>
              <w:pStyle w:val="TableText"/>
              <w:spacing w:before="40" w:after="40"/>
              <w:jc w:val="center"/>
            </w:pPr>
            <w:r w:rsidRPr="00D604EE">
              <w:t>NE</w:t>
            </w:r>
          </w:p>
        </w:tc>
        <w:tc>
          <w:tcPr>
            <w:tcW w:w="1276" w:type="dxa"/>
            <w:tcBorders>
              <w:top w:val="single" w:sz="4" w:space="0" w:color="1B556B"/>
              <w:bottom w:val="single" w:sz="4" w:space="0" w:color="1B556B"/>
            </w:tcBorders>
          </w:tcPr>
          <w:p w14:paraId="678EDC8F" w14:textId="77777777" w:rsidR="00784FA9" w:rsidRPr="00D604EE" w:rsidRDefault="00784FA9" w:rsidP="007E3239">
            <w:pPr>
              <w:pStyle w:val="TableText"/>
              <w:spacing w:before="40" w:after="40"/>
              <w:jc w:val="center"/>
            </w:pPr>
            <w:r w:rsidRPr="00D604EE">
              <w:t>NA</w:t>
            </w:r>
          </w:p>
        </w:tc>
        <w:tc>
          <w:tcPr>
            <w:tcW w:w="1275" w:type="dxa"/>
            <w:tcBorders>
              <w:top w:val="single" w:sz="4" w:space="0" w:color="1B556B"/>
              <w:bottom w:val="single" w:sz="4" w:space="0" w:color="1B556B"/>
            </w:tcBorders>
          </w:tcPr>
          <w:p w14:paraId="6EB05714" w14:textId="77777777" w:rsidR="00784FA9" w:rsidRPr="00D604EE" w:rsidRDefault="00784FA9" w:rsidP="007E3239">
            <w:pPr>
              <w:pStyle w:val="TableText"/>
              <w:spacing w:before="40" w:after="40"/>
              <w:jc w:val="center"/>
            </w:pPr>
            <w:r w:rsidRPr="00D604EE">
              <w:t>NA</w:t>
            </w:r>
          </w:p>
        </w:tc>
        <w:tc>
          <w:tcPr>
            <w:tcW w:w="1701" w:type="dxa"/>
            <w:tcBorders>
              <w:top w:val="single" w:sz="4" w:space="0" w:color="365F91"/>
              <w:bottom w:val="single" w:sz="4" w:space="0" w:color="1B556B"/>
            </w:tcBorders>
          </w:tcPr>
          <w:p w14:paraId="7E098124" w14:textId="77777777" w:rsidR="00784FA9" w:rsidRPr="00D604EE" w:rsidRDefault="00784FA9" w:rsidP="007E3239">
            <w:pPr>
              <w:pStyle w:val="TableText"/>
              <w:spacing w:before="40" w:after="40"/>
              <w:rPr>
                <w:szCs w:val="16"/>
              </w:rPr>
            </w:pPr>
            <w:r w:rsidRPr="00D604EE">
              <w:rPr>
                <w:szCs w:val="16"/>
              </w:rPr>
              <w:t>No IPCC guidelines</w:t>
            </w:r>
          </w:p>
        </w:tc>
      </w:tr>
      <w:tr w:rsidR="00784FA9" w:rsidRPr="00D604EE" w14:paraId="239F4662" w14:textId="77777777" w:rsidTr="007E3239">
        <w:trPr>
          <w:trHeight w:val="20"/>
        </w:trPr>
        <w:tc>
          <w:tcPr>
            <w:tcW w:w="1246" w:type="dxa"/>
            <w:vMerge w:val="restart"/>
            <w:tcBorders>
              <w:top w:val="single" w:sz="4" w:space="0" w:color="1B556B"/>
              <w:bottom w:val="single" w:sz="4" w:space="0" w:color="1B556B"/>
            </w:tcBorders>
          </w:tcPr>
          <w:p w14:paraId="60FC7DFE" w14:textId="77777777" w:rsidR="00784FA9" w:rsidRPr="00D604EE" w:rsidRDefault="00784FA9" w:rsidP="007E3239">
            <w:pPr>
              <w:pStyle w:val="TableText"/>
              <w:spacing w:before="40" w:after="40"/>
              <w:rPr>
                <w:szCs w:val="16"/>
              </w:rPr>
            </w:pPr>
            <w:r w:rsidRPr="00D604EE">
              <w:rPr>
                <w:szCs w:val="16"/>
              </w:rPr>
              <w:t>With woody biomass –transitional</w:t>
            </w:r>
          </w:p>
        </w:tc>
        <w:tc>
          <w:tcPr>
            <w:tcW w:w="1731" w:type="dxa"/>
            <w:tcBorders>
              <w:top w:val="single" w:sz="4" w:space="0" w:color="1B556B"/>
              <w:bottom w:val="single" w:sz="4" w:space="0" w:color="365F91"/>
            </w:tcBorders>
          </w:tcPr>
          <w:p w14:paraId="517A652B" w14:textId="77777777" w:rsidR="00784FA9" w:rsidRPr="00D604EE" w:rsidRDefault="00784FA9" w:rsidP="007E3239">
            <w:pPr>
              <w:pStyle w:val="TableText"/>
              <w:spacing w:before="40" w:after="40"/>
              <w:rPr>
                <w:b/>
                <w:szCs w:val="16"/>
              </w:rPr>
            </w:pPr>
            <w:r w:rsidRPr="00D604EE">
              <w:rPr>
                <w:b/>
                <w:szCs w:val="16"/>
              </w:rPr>
              <w:t>Total biomass</w:t>
            </w:r>
          </w:p>
        </w:tc>
        <w:tc>
          <w:tcPr>
            <w:tcW w:w="1276" w:type="dxa"/>
            <w:tcBorders>
              <w:top w:val="single" w:sz="4" w:space="0" w:color="1B556B"/>
              <w:bottom w:val="single" w:sz="4" w:space="0" w:color="365F91"/>
            </w:tcBorders>
          </w:tcPr>
          <w:p w14:paraId="5F88120A" w14:textId="77777777" w:rsidR="00784FA9" w:rsidRPr="00D604EE" w:rsidRDefault="00784FA9" w:rsidP="007E3239">
            <w:pPr>
              <w:pStyle w:val="TableText"/>
              <w:spacing w:before="40" w:after="40"/>
              <w:jc w:val="center"/>
              <w:rPr>
                <w:b/>
                <w:szCs w:val="16"/>
              </w:rPr>
            </w:pPr>
            <w:r w:rsidRPr="00D604EE">
              <w:rPr>
                <w:b/>
                <w:szCs w:val="16"/>
              </w:rPr>
              <w:t>13.05</w:t>
            </w:r>
          </w:p>
        </w:tc>
        <w:tc>
          <w:tcPr>
            <w:tcW w:w="1276" w:type="dxa"/>
            <w:tcBorders>
              <w:top w:val="single" w:sz="4" w:space="0" w:color="1B556B"/>
              <w:bottom w:val="single" w:sz="4" w:space="0" w:color="365F91"/>
            </w:tcBorders>
          </w:tcPr>
          <w:p w14:paraId="0228E74C" w14:textId="77777777" w:rsidR="00784FA9" w:rsidRPr="00D604EE" w:rsidRDefault="00784FA9" w:rsidP="007E3239">
            <w:pPr>
              <w:pStyle w:val="TableText"/>
              <w:spacing w:before="40" w:after="40"/>
              <w:jc w:val="center"/>
              <w:rPr>
                <w:b/>
                <w:szCs w:val="16"/>
              </w:rPr>
            </w:pPr>
            <w:r w:rsidRPr="00D604EE">
              <w:rPr>
                <w:b/>
                <w:szCs w:val="16"/>
              </w:rPr>
              <w:t>0.48</w:t>
            </w:r>
          </w:p>
        </w:tc>
        <w:tc>
          <w:tcPr>
            <w:tcW w:w="1275" w:type="dxa"/>
            <w:tcBorders>
              <w:top w:val="single" w:sz="4" w:space="0" w:color="1B556B"/>
              <w:bottom w:val="single" w:sz="4" w:space="0" w:color="365F91"/>
            </w:tcBorders>
          </w:tcPr>
          <w:p w14:paraId="763E0408" w14:textId="77777777" w:rsidR="00784FA9" w:rsidRPr="00D604EE" w:rsidRDefault="00784FA9" w:rsidP="007E3239">
            <w:pPr>
              <w:pStyle w:val="TableText"/>
              <w:spacing w:before="40" w:after="40"/>
              <w:jc w:val="center"/>
              <w:rPr>
                <w:b/>
                <w:szCs w:val="16"/>
              </w:rPr>
            </w:pPr>
            <w:r w:rsidRPr="00D604EE">
              <w:rPr>
                <w:b/>
                <w:szCs w:val="16"/>
              </w:rPr>
              <w:t>20</w:t>
            </w:r>
          </w:p>
        </w:tc>
        <w:tc>
          <w:tcPr>
            <w:tcW w:w="1701" w:type="dxa"/>
            <w:vMerge w:val="restart"/>
            <w:tcBorders>
              <w:top w:val="single" w:sz="4" w:space="0" w:color="1B556B"/>
              <w:bottom w:val="single" w:sz="4" w:space="0" w:color="365F91"/>
            </w:tcBorders>
          </w:tcPr>
          <w:p w14:paraId="442D944E" w14:textId="77777777" w:rsidR="00784FA9" w:rsidRPr="00D604EE" w:rsidRDefault="00784FA9" w:rsidP="007E3239">
            <w:pPr>
              <w:pStyle w:val="TableText"/>
              <w:spacing w:before="40" w:after="40"/>
              <w:rPr>
                <w:szCs w:val="16"/>
              </w:rPr>
            </w:pPr>
            <w:r w:rsidRPr="00D604EE">
              <w:rPr>
                <w:szCs w:val="16"/>
              </w:rPr>
              <w:t>Wakelin and Beets (unpublished)</w:t>
            </w:r>
          </w:p>
        </w:tc>
      </w:tr>
      <w:tr w:rsidR="00784FA9" w:rsidRPr="00D604EE" w14:paraId="3C433A2C" w14:textId="77777777" w:rsidTr="007E3239">
        <w:trPr>
          <w:trHeight w:val="20"/>
        </w:trPr>
        <w:tc>
          <w:tcPr>
            <w:tcW w:w="1246" w:type="dxa"/>
            <w:vMerge/>
            <w:tcBorders>
              <w:bottom w:val="single" w:sz="4" w:space="0" w:color="1B556B"/>
            </w:tcBorders>
          </w:tcPr>
          <w:p w14:paraId="305BF378" w14:textId="77777777" w:rsidR="00784FA9" w:rsidRPr="00D604EE" w:rsidRDefault="00784FA9" w:rsidP="007E3239">
            <w:pPr>
              <w:pStyle w:val="TableText"/>
              <w:spacing w:before="40" w:after="40"/>
              <w:rPr>
                <w:szCs w:val="16"/>
              </w:rPr>
            </w:pPr>
          </w:p>
        </w:tc>
        <w:tc>
          <w:tcPr>
            <w:tcW w:w="1731" w:type="dxa"/>
            <w:tcBorders>
              <w:top w:val="single" w:sz="4" w:space="0" w:color="365F91"/>
              <w:bottom w:val="single" w:sz="4" w:space="0" w:color="365F91"/>
            </w:tcBorders>
          </w:tcPr>
          <w:p w14:paraId="52982293" w14:textId="77777777" w:rsidR="00784FA9" w:rsidRPr="00D604EE" w:rsidRDefault="00784FA9" w:rsidP="007E3239">
            <w:pPr>
              <w:pStyle w:val="TableText"/>
              <w:spacing w:before="40" w:after="40"/>
              <w:rPr>
                <w:i/>
                <w:szCs w:val="16"/>
              </w:rPr>
            </w:pPr>
            <w:r w:rsidRPr="00D604EE">
              <w:rPr>
                <w:i/>
                <w:szCs w:val="16"/>
              </w:rPr>
              <w:t>Living biomass</w:t>
            </w:r>
          </w:p>
        </w:tc>
        <w:tc>
          <w:tcPr>
            <w:tcW w:w="1276" w:type="dxa"/>
            <w:tcBorders>
              <w:top w:val="single" w:sz="4" w:space="0" w:color="365F91"/>
              <w:bottom w:val="single" w:sz="4" w:space="0" w:color="365F91"/>
            </w:tcBorders>
          </w:tcPr>
          <w:p w14:paraId="31735564" w14:textId="77777777" w:rsidR="00784FA9" w:rsidRPr="00D604EE" w:rsidRDefault="00784FA9" w:rsidP="007E3239">
            <w:pPr>
              <w:pStyle w:val="TableText"/>
              <w:spacing w:before="40" w:after="40"/>
              <w:jc w:val="center"/>
              <w:rPr>
                <w:szCs w:val="16"/>
              </w:rPr>
            </w:pPr>
          </w:p>
        </w:tc>
        <w:tc>
          <w:tcPr>
            <w:tcW w:w="1276" w:type="dxa"/>
            <w:tcBorders>
              <w:top w:val="single" w:sz="4" w:space="0" w:color="365F91"/>
              <w:bottom w:val="single" w:sz="4" w:space="0" w:color="365F91"/>
            </w:tcBorders>
          </w:tcPr>
          <w:p w14:paraId="309FBE10" w14:textId="77777777" w:rsidR="00784FA9" w:rsidRPr="00D604EE" w:rsidRDefault="00784FA9" w:rsidP="007E3239">
            <w:pPr>
              <w:pStyle w:val="TableText"/>
              <w:spacing w:before="40" w:after="40"/>
              <w:jc w:val="center"/>
              <w:rPr>
                <w:szCs w:val="16"/>
              </w:rPr>
            </w:pPr>
          </w:p>
        </w:tc>
        <w:tc>
          <w:tcPr>
            <w:tcW w:w="1275" w:type="dxa"/>
            <w:tcBorders>
              <w:top w:val="single" w:sz="4" w:space="0" w:color="365F91"/>
              <w:bottom w:val="single" w:sz="4" w:space="0" w:color="365F91"/>
            </w:tcBorders>
          </w:tcPr>
          <w:p w14:paraId="7B4B3264" w14:textId="77777777" w:rsidR="00784FA9" w:rsidRPr="00D604EE" w:rsidRDefault="00784FA9" w:rsidP="007E3239">
            <w:pPr>
              <w:pStyle w:val="TableText"/>
              <w:spacing w:before="40" w:after="40"/>
              <w:jc w:val="center"/>
              <w:rPr>
                <w:szCs w:val="16"/>
              </w:rPr>
            </w:pPr>
          </w:p>
        </w:tc>
        <w:tc>
          <w:tcPr>
            <w:tcW w:w="1701" w:type="dxa"/>
            <w:vMerge/>
          </w:tcPr>
          <w:p w14:paraId="0ED92A94" w14:textId="77777777" w:rsidR="00784FA9" w:rsidRPr="00D604EE" w:rsidRDefault="00784FA9" w:rsidP="007E3239">
            <w:pPr>
              <w:pStyle w:val="TableText"/>
              <w:spacing w:before="40" w:after="40"/>
              <w:rPr>
                <w:szCs w:val="16"/>
              </w:rPr>
            </w:pPr>
          </w:p>
        </w:tc>
      </w:tr>
      <w:tr w:rsidR="00784FA9" w:rsidRPr="00D604EE" w14:paraId="4FAFBD54" w14:textId="77777777" w:rsidTr="007E3239">
        <w:trPr>
          <w:trHeight w:val="20"/>
        </w:trPr>
        <w:tc>
          <w:tcPr>
            <w:tcW w:w="1246" w:type="dxa"/>
            <w:vMerge/>
            <w:tcBorders>
              <w:bottom w:val="single" w:sz="4" w:space="0" w:color="1B556B"/>
            </w:tcBorders>
          </w:tcPr>
          <w:p w14:paraId="7A1B6B9E" w14:textId="77777777" w:rsidR="00784FA9" w:rsidRPr="00D604EE" w:rsidRDefault="00784FA9" w:rsidP="007E3239">
            <w:pPr>
              <w:pStyle w:val="TableText"/>
              <w:spacing w:before="40" w:after="40"/>
              <w:rPr>
                <w:szCs w:val="16"/>
              </w:rPr>
            </w:pPr>
          </w:p>
        </w:tc>
        <w:tc>
          <w:tcPr>
            <w:tcW w:w="1731" w:type="dxa"/>
            <w:tcBorders>
              <w:top w:val="single" w:sz="4" w:space="0" w:color="365F91"/>
              <w:bottom w:val="single" w:sz="4" w:space="0" w:color="365F91"/>
            </w:tcBorders>
          </w:tcPr>
          <w:p w14:paraId="08FC911A" w14:textId="77777777" w:rsidR="00784FA9" w:rsidRPr="00D604EE" w:rsidRDefault="00784FA9" w:rsidP="007E3239">
            <w:pPr>
              <w:pStyle w:val="TableText"/>
              <w:spacing w:before="40" w:after="40"/>
              <w:rPr>
                <w:szCs w:val="16"/>
              </w:rPr>
            </w:pPr>
            <w:r w:rsidRPr="00D604EE">
              <w:rPr>
                <w:szCs w:val="16"/>
              </w:rPr>
              <w:tab/>
              <w:t>AGB</w:t>
            </w:r>
          </w:p>
        </w:tc>
        <w:tc>
          <w:tcPr>
            <w:tcW w:w="1276" w:type="dxa"/>
            <w:tcBorders>
              <w:top w:val="single" w:sz="4" w:space="0" w:color="365F91"/>
              <w:bottom w:val="single" w:sz="4" w:space="0" w:color="365F91"/>
            </w:tcBorders>
          </w:tcPr>
          <w:p w14:paraId="5C5739EE" w14:textId="77777777" w:rsidR="00784FA9" w:rsidRPr="00D604EE" w:rsidRDefault="00784FA9" w:rsidP="007E3239">
            <w:pPr>
              <w:pStyle w:val="TableText"/>
              <w:spacing w:before="40" w:after="40"/>
              <w:jc w:val="center"/>
              <w:rPr>
                <w:szCs w:val="16"/>
              </w:rPr>
            </w:pPr>
            <w:r w:rsidRPr="00D604EE">
              <w:rPr>
                <w:szCs w:val="16"/>
              </w:rPr>
              <w:t>9.35</w:t>
            </w:r>
          </w:p>
        </w:tc>
        <w:tc>
          <w:tcPr>
            <w:tcW w:w="1276" w:type="dxa"/>
            <w:tcBorders>
              <w:top w:val="single" w:sz="4" w:space="0" w:color="365F91"/>
              <w:bottom w:val="single" w:sz="4" w:space="0" w:color="365F91"/>
            </w:tcBorders>
          </w:tcPr>
          <w:p w14:paraId="1956551A" w14:textId="77777777" w:rsidR="00784FA9" w:rsidRPr="00D604EE" w:rsidRDefault="00784FA9" w:rsidP="007E3239">
            <w:pPr>
              <w:pStyle w:val="TableText"/>
              <w:spacing w:before="40" w:after="40"/>
              <w:jc w:val="center"/>
              <w:rPr>
                <w:szCs w:val="16"/>
              </w:rPr>
            </w:pPr>
            <w:r w:rsidRPr="00D604EE">
              <w:rPr>
                <w:szCs w:val="16"/>
              </w:rPr>
              <w:t>0.36</w:t>
            </w:r>
          </w:p>
        </w:tc>
        <w:tc>
          <w:tcPr>
            <w:tcW w:w="1275" w:type="dxa"/>
            <w:tcBorders>
              <w:top w:val="single" w:sz="4" w:space="0" w:color="365F91"/>
              <w:bottom w:val="single" w:sz="4" w:space="0" w:color="365F91"/>
            </w:tcBorders>
          </w:tcPr>
          <w:p w14:paraId="200B80AB" w14:textId="77777777" w:rsidR="00784FA9" w:rsidRPr="00D604EE" w:rsidRDefault="00784FA9" w:rsidP="007E3239">
            <w:pPr>
              <w:pStyle w:val="TableText"/>
              <w:spacing w:before="40" w:after="40"/>
              <w:jc w:val="center"/>
              <w:rPr>
                <w:szCs w:val="16"/>
              </w:rPr>
            </w:pPr>
            <w:r w:rsidRPr="00D604EE">
              <w:rPr>
                <w:szCs w:val="16"/>
              </w:rPr>
              <w:t>20</w:t>
            </w:r>
          </w:p>
        </w:tc>
        <w:tc>
          <w:tcPr>
            <w:tcW w:w="1701" w:type="dxa"/>
            <w:vMerge/>
          </w:tcPr>
          <w:p w14:paraId="7453D8C4" w14:textId="77777777" w:rsidR="00784FA9" w:rsidRPr="00D604EE" w:rsidRDefault="00784FA9" w:rsidP="007E3239">
            <w:pPr>
              <w:pStyle w:val="TableText"/>
              <w:spacing w:before="40" w:after="40"/>
              <w:rPr>
                <w:szCs w:val="16"/>
              </w:rPr>
            </w:pPr>
          </w:p>
        </w:tc>
      </w:tr>
      <w:tr w:rsidR="00784FA9" w:rsidRPr="00D604EE" w14:paraId="749B9FD9" w14:textId="77777777" w:rsidTr="007E3239">
        <w:trPr>
          <w:trHeight w:val="20"/>
        </w:trPr>
        <w:tc>
          <w:tcPr>
            <w:tcW w:w="1246" w:type="dxa"/>
            <w:vMerge/>
            <w:tcBorders>
              <w:bottom w:val="single" w:sz="4" w:space="0" w:color="1B556B"/>
            </w:tcBorders>
          </w:tcPr>
          <w:p w14:paraId="23FF2F89" w14:textId="77777777" w:rsidR="00784FA9" w:rsidRPr="00D604EE" w:rsidRDefault="00784FA9" w:rsidP="007E3239">
            <w:pPr>
              <w:pStyle w:val="TableText"/>
              <w:spacing w:before="40" w:after="40"/>
              <w:rPr>
                <w:szCs w:val="16"/>
              </w:rPr>
            </w:pPr>
          </w:p>
        </w:tc>
        <w:tc>
          <w:tcPr>
            <w:tcW w:w="1731" w:type="dxa"/>
            <w:tcBorders>
              <w:top w:val="single" w:sz="4" w:space="0" w:color="365F91"/>
              <w:bottom w:val="single" w:sz="4" w:space="0" w:color="365F91"/>
            </w:tcBorders>
          </w:tcPr>
          <w:p w14:paraId="0FCF6374" w14:textId="77777777" w:rsidR="00784FA9" w:rsidRPr="00D604EE" w:rsidRDefault="00784FA9" w:rsidP="007E3239">
            <w:pPr>
              <w:pStyle w:val="TableText"/>
              <w:spacing w:before="40" w:after="40"/>
              <w:rPr>
                <w:szCs w:val="16"/>
              </w:rPr>
            </w:pPr>
            <w:r w:rsidRPr="00D604EE">
              <w:rPr>
                <w:szCs w:val="16"/>
              </w:rPr>
              <w:tab/>
              <w:t>BGB</w:t>
            </w:r>
          </w:p>
        </w:tc>
        <w:tc>
          <w:tcPr>
            <w:tcW w:w="1276" w:type="dxa"/>
            <w:tcBorders>
              <w:top w:val="single" w:sz="4" w:space="0" w:color="365F91"/>
              <w:bottom w:val="single" w:sz="4" w:space="0" w:color="365F91"/>
            </w:tcBorders>
          </w:tcPr>
          <w:p w14:paraId="222713F6" w14:textId="77777777" w:rsidR="00784FA9" w:rsidRPr="00D604EE" w:rsidRDefault="00784FA9" w:rsidP="007E3239">
            <w:pPr>
              <w:pStyle w:val="TableText"/>
              <w:spacing w:before="40" w:after="40"/>
              <w:jc w:val="center"/>
              <w:rPr>
                <w:szCs w:val="16"/>
              </w:rPr>
            </w:pPr>
            <w:r w:rsidRPr="00D604EE">
              <w:rPr>
                <w:szCs w:val="16"/>
              </w:rPr>
              <w:t>3.05</w:t>
            </w:r>
          </w:p>
        </w:tc>
        <w:tc>
          <w:tcPr>
            <w:tcW w:w="1276" w:type="dxa"/>
            <w:tcBorders>
              <w:top w:val="single" w:sz="4" w:space="0" w:color="365F91"/>
              <w:bottom w:val="single" w:sz="4" w:space="0" w:color="365F91"/>
            </w:tcBorders>
          </w:tcPr>
          <w:p w14:paraId="50358E65" w14:textId="77777777" w:rsidR="00784FA9" w:rsidRPr="00D604EE" w:rsidRDefault="00784FA9" w:rsidP="007E3239">
            <w:pPr>
              <w:pStyle w:val="TableText"/>
              <w:spacing w:before="40" w:after="40"/>
              <w:jc w:val="center"/>
              <w:rPr>
                <w:szCs w:val="16"/>
              </w:rPr>
            </w:pPr>
            <w:r w:rsidRPr="00D604EE">
              <w:rPr>
                <w:szCs w:val="16"/>
              </w:rPr>
              <w:t>0.08</w:t>
            </w:r>
          </w:p>
        </w:tc>
        <w:tc>
          <w:tcPr>
            <w:tcW w:w="1275" w:type="dxa"/>
            <w:tcBorders>
              <w:top w:val="single" w:sz="4" w:space="0" w:color="365F91"/>
              <w:bottom w:val="single" w:sz="4" w:space="0" w:color="365F91"/>
            </w:tcBorders>
          </w:tcPr>
          <w:p w14:paraId="31A4A437" w14:textId="77777777" w:rsidR="00784FA9" w:rsidRPr="00D604EE" w:rsidRDefault="00784FA9" w:rsidP="007E3239">
            <w:pPr>
              <w:pStyle w:val="TableText"/>
              <w:spacing w:before="40" w:after="40"/>
              <w:jc w:val="center"/>
              <w:rPr>
                <w:szCs w:val="16"/>
              </w:rPr>
            </w:pPr>
            <w:r w:rsidRPr="00D604EE">
              <w:rPr>
                <w:szCs w:val="16"/>
              </w:rPr>
              <w:t>20</w:t>
            </w:r>
          </w:p>
        </w:tc>
        <w:tc>
          <w:tcPr>
            <w:tcW w:w="1701" w:type="dxa"/>
            <w:vMerge/>
          </w:tcPr>
          <w:p w14:paraId="143C9E8F" w14:textId="77777777" w:rsidR="00784FA9" w:rsidRPr="00D604EE" w:rsidRDefault="00784FA9" w:rsidP="007E3239">
            <w:pPr>
              <w:pStyle w:val="TableText"/>
              <w:spacing w:before="40" w:after="40"/>
              <w:rPr>
                <w:szCs w:val="16"/>
              </w:rPr>
            </w:pPr>
          </w:p>
        </w:tc>
      </w:tr>
      <w:tr w:rsidR="00784FA9" w:rsidRPr="00D604EE" w14:paraId="2AF3215B" w14:textId="77777777" w:rsidTr="007E3239">
        <w:trPr>
          <w:trHeight w:val="20"/>
        </w:trPr>
        <w:tc>
          <w:tcPr>
            <w:tcW w:w="1246" w:type="dxa"/>
            <w:vMerge/>
            <w:tcBorders>
              <w:bottom w:val="single" w:sz="4" w:space="0" w:color="1B556B"/>
            </w:tcBorders>
          </w:tcPr>
          <w:p w14:paraId="1150481D" w14:textId="77777777" w:rsidR="00784FA9" w:rsidRPr="00D604EE" w:rsidRDefault="00784FA9" w:rsidP="007E3239">
            <w:pPr>
              <w:pStyle w:val="TableText"/>
              <w:spacing w:before="40" w:after="40"/>
              <w:rPr>
                <w:szCs w:val="16"/>
              </w:rPr>
            </w:pPr>
          </w:p>
        </w:tc>
        <w:tc>
          <w:tcPr>
            <w:tcW w:w="1731" w:type="dxa"/>
            <w:tcBorders>
              <w:top w:val="single" w:sz="4" w:space="0" w:color="365F91"/>
              <w:bottom w:val="single" w:sz="4" w:space="0" w:color="365F91"/>
            </w:tcBorders>
          </w:tcPr>
          <w:p w14:paraId="4FEB32D0" w14:textId="77777777" w:rsidR="00784FA9" w:rsidRPr="00D604EE" w:rsidRDefault="00784FA9" w:rsidP="007E3239">
            <w:pPr>
              <w:pStyle w:val="TableText"/>
              <w:spacing w:before="40" w:after="40"/>
              <w:rPr>
                <w:i/>
                <w:szCs w:val="16"/>
              </w:rPr>
            </w:pPr>
            <w:r w:rsidRPr="00D604EE">
              <w:rPr>
                <w:i/>
                <w:szCs w:val="16"/>
              </w:rPr>
              <w:t>Dead organic matter</w:t>
            </w:r>
          </w:p>
        </w:tc>
        <w:tc>
          <w:tcPr>
            <w:tcW w:w="1276" w:type="dxa"/>
            <w:tcBorders>
              <w:top w:val="single" w:sz="4" w:space="0" w:color="365F91"/>
              <w:bottom w:val="single" w:sz="4" w:space="0" w:color="365F91"/>
            </w:tcBorders>
          </w:tcPr>
          <w:p w14:paraId="0D092AD6" w14:textId="77777777" w:rsidR="00784FA9" w:rsidRPr="00D604EE" w:rsidRDefault="00784FA9" w:rsidP="007E3239">
            <w:pPr>
              <w:pStyle w:val="TableText"/>
              <w:spacing w:before="40" w:after="40"/>
              <w:jc w:val="center"/>
              <w:rPr>
                <w:szCs w:val="16"/>
              </w:rPr>
            </w:pPr>
          </w:p>
        </w:tc>
        <w:tc>
          <w:tcPr>
            <w:tcW w:w="1276" w:type="dxa"/>
            <w:tcBorders>
              <w:top w:val="single" w:sz="4" w:space="0" w:color="365F91"/>
              <w:bottom w:val="single" w:sz="4" w:space="0" w:color="365F91"/>
            </w:tcBorders>
          </w:tcPr>
          <w:p w14:paraId="33BCFBFB" w14:textId="77777777" w:rsidR="00784FA9" w:rsidRPr="00D604EE" w:rsidRDefault="00784FA9" w:rsidP="007E3239">
            <w:pPr>
              <w:pStyle w:val="TableText"/>
              <w:spacing w:before="40" w:after="40"/>
              <w:jc w:val="center"/>
              <w:rPr>
                <w:szCs w:val="16"/>
              </w:rPr>
            </w:pPr>
          </w:p>
        </w:tc>
        <w:tc>
          <w:tcPr>
            <w:tcW w:w="1275" w:type="dxa"/>
            <w:tcBorders>
              <w:top w:val="single" w:sz="4" w:space="0" w:color="365F91"/>
              <w:bottom w:val="single" w:sz="4" w:space="0" w:color="365F91"/>
            </w:tcBorders>
          </w:tcPr>
          <w:p w14:paraId="741B9469" w14:textId="77777777" w:rsidR="00784FA9" w:rsidRPr="00D604EE" w:rsidRDefault="00784FA9" w:rsidP="007E3239">
            <w:pPr>
              <w:pStyle w:val="TableText"/>
              <w:spacing w:before="40" w:after="40"/>
              <w:jc w:val="center"/>
              <w:rPr>
                <w:szCs w:val="16"/>
              </w:rPr>
            </w:pPr>
          </w:p>
        </w:tc>
        <w:tc>
          <w:tcPr>
            <w:tcW w:w="1701" w:type="dxa"/>
            <w:vMerge/>
          </w:tcPr>
          <w:p w14:paraId="6119843E" w14:textId="77777777" w:rsidR="00784FA9" w:rsidRPr="00D604EE" w:rsidRDefault="00784FA9" w:rsidP="007E3239">
            <w:pPr>
              <w:pStyle w:val="TableText"/>
              <w:spacing w:before="40" w:after="40"/>
              <w:rPr>
                <w:szCs w:val="16"/>
              </w:rPr>
            </w:pPr>
          </w:p>
        </w:tc>
      </w:tr>
      <w:tr w:rsidR="00784FA9" w:rsidRPr="00D604EE" w14:paraId="273EEECF" w14:textId="77777777" w:rsidTr="007E3239">
        <w:trPr>
          <w:trHeight w:val="20"/>
        </w:trPr>
        <w:tc>
          <w:tcPr>
            <w:tcW w:w="1246" w:type="dxa"/>
            <w:vMerge/>
            <w:tcBorders>
              <w:bottom w:val="single" w:sz="4" w:space="0" w:color="1B556B"/>
            </w:tcBorders>
          </w:tcPr>
          <w:p w14:paraId="4C5369F0" w14:textId="77777777" w:rsidR="00784FA9" w:rsidRPr="00D604EE" w:rsidRDefault="00784FA9" w:rsidP="007E3239">
            <w:pPr>
              <w:pStyle w:val="TableText"/>
              <w:spacing w:before="40" w:after="40"/>
              <w:rPr>
                <w:szCs w:val="16"/>
              </w:rPr>
            </w:pPr>
          </w:p>
        </w:tc>
        <w:tc>
          <w:tcPr>
            <w:tcW w:w="1731" w:type="dxa"/>
            <w:tcBorders>
              <w:top w:val="single" w:sz="4" w:space="0" w:color="365F91"/>
              <w:bottom w:val="single" w:sz="4" w:space="0" w:color="365F91"/>
            </w:tcBorders>
          </w:tcPr>
          <w:p w14:paraId="3713F9C6" w14:textId="77777777" w:rsidR="00784FA9" w:rsidRPr="00D604EE" w:rsidRDefault="00784FA9" w:rsidP="007E3239">
            <w:pPr>
              <w:pStyle w:val="TableText"/>
              <w:spacing w:before="40" w:after="40"/>
              <w:rPr>
                <w:szCs w:val="16"/>
              </w:rPr>
            </w:pPr>
            <w:r w:rsidRPr="00D604EE">
              <w:rPr>
                <w:szCs w:val="16"/>
              </w:rPr>
              <w:tab/>
              <w:t>Dead wood</w:t>
            </w:r>
          </w:p>
        </w:tc>
        <w:tc>
          <w:tcPr>
            <w:tcW w:w="1276" w:type="dxa"/>
            <w:tcBorders>
              <w:top w:val="single" w:sz="4" w:space="0" w:color="365F91"/>
              <w:bottom w:val="single" w:sz="4" w:space="0" w:color="365F91"/>
            </w:tcBorders>
          </w:tcPr>
          <w:p w14:paraId="1461F5C0" w14:textId="77777777" w:rsidR="00784FA9" w:rsidRPr="00D604EE" w:rsidRDefault="00784FA9" w:rsidP="007E3239">
            <w:pPr>
              <w:pStyle w:val="TableText"/>
              <w:spacing w:before="40" w:after="40"/>
              <w:jc w:val="center"/>
              <w:rPr>
                <w:szCs w:val="16"/>
              </w:rPr>
            </w:pPr>
            <w:r w:rsidRPr="00D604EE">
              <w:rPr>
                <w:szCs w:val="16"/>
              </w:rPr>
              <w:t>0.10</w:t>
            </w:r>
          </w:p>
        </w:tc>
        <w:tc>
          <w:tcPr>
            <w:tcW w:w="1276" w:type="dxa"/>
            <w:tcBorders>
              <w:top w:val="single" w:sz="4" w:space="0" w:color="365F91"/>
              <w:bottom w:val="single" w:sz="4" w:space="0" w:color="365F91"/>
            </w:tcBorders>
          </w:tcPr>
          <w:p w14:paraId="0D1D91E8" w14:textId="77777777" w:rsidR="00784FA9" w:rsidRPr="00D604EE" w:rsidRDefault="00784FA9" w:rsidP="007E3239">
            <w:pPr>
              <w:pStyle w:val="TableText"/>
              <w:spacing w:before="40" w:after="40"/>
              <w:jc w:val="center"/>
              <w:rPr>
                <w:szCs w:val="16"/>
              </w:rPr>
            </w:pPr>
            <w:r w:rsidRPr="00D604EE">
              <w:rPr>
                <w:szCs w:val="16"/>
              </w:rPr>
              <w:t>0.004</w:t>
            </w:r>
          </w:p>
        </w:tc>
        <w:tc>
          <w:tcPr>
            <w:tcW w:w="1275" w:type="dxa"/>
            <w:tcBorders>
              <w:top w:val="single" w:sz="4" w:space="0" w:color="365F91"/>
              <w:bottom w:val="single" w:sz="4" w:space="0" w:color="365F91"/>
            </w:tcBorders>
          </w:tcPr>
          <w:p w14:paraId="42732BE0" w14:textId="77777777" w:rsidR="00784FA9" w:rsidRPr="00D604EE" w:rsidRDefault="00784FA9" w:rsidP="007E3239">
            <w:pPr>
              <w:pStyle w:val="TableText"/>
              <w:spacing w:before="40" w:after="40"/>
              <w:jc w:val="center"/>
              <w:rPr>
                <w:szCs w:val="16"/>
              </w:rPr>
            </w:pPr>
            <w:r w:rsidRPr="00D604EE">
              <w:rPr>
                <w:szCs w:val="16"/>
              </w:rPr>
              <w:t>20</w:t>
            </w:r>
          </w:p>
        </w:tc>
        <w:tc>
          <w:tcPr>
            <w:tcW w:w="1701" w:type="dxa"/>
            <w:vMerge/>
          </w:tcPr>
          <w:p w14:paraId="57670BDD" w14:textId="77777777" w:rsidR="00784FA9" w:rsidRPr="00D604EE" w:rsidRDefault="00784FA9" w:rsidP="007E3239">
            <w:pPr>
              <w:pStyle w:val="TableText"/>
              <w:spacing w:before="40" w:after="40"/>
              <w:rPr>
                <w:szCs w:val="16"/>
              </w:rPr>
            </w:pPr>
          </w:p>
        </w:tc>
      </w:tr>
      <w:tr w:rsidR="00784FA9" w:rsidRPr="00D604EE" w14:paraId="24915892" w14:textId="77777777" w:rsidTr="007E3239">
        <w:trPr>
          <w:trHeight w:val="20"/>
        </w:trPr>
        <w:tc>
          <w:tcPr>
            <w:tcW w:w="1246" w:type="dxa"/>
            <w:vMerge/>
            <w:tcBorders>
              <w:bottom w:val="single" w:sz="4" w:space="0" w:color="1B556B"/>
            </w:tcBorders>
          </w:tcPr>
          <w:p w14:paraId="345C46A7" w14:textId="77777777" w:rsidR="00784FA9" w:rsidRPr="00D604EE" w:rsidRDefault="00784FA9" w:rsidP="007E3239">
            <w:pPr>
              <w:pStyle w:val="TableText"/>
              <w:spacing w:before="40" w:after="40"/>
              <w:rPr>
                <w:szCs w:val="16"/>
              </w:rPr>
            </w:pPr>
          </w:p>
        </w:tc>
        <w:tc>
          <w:tcPr>
            <w:tcW w:w="1731" w:type="dxa"/>
            <w:tcBorders>
              <w:top w:val="single" w:sz="4" w:space="0" w:color="365F91"/>
              <w:bottom w:val="single" w:sz="4" w:space="0" w:color="1B556B"/>
            </w:tcBorders>
          </w:tcPr>
          <w:p w14:paraId="530F4B22" w14:textId="77777777" w:rsidR="00784FA9" w:rsidRPr="00D604EE" w:rsidRDefault="00784FA9" w:rsidP="007E3239">
            <w:pPr>
              <w:pStyle w:val="TableText"/>
              <w:spacing w:before="40" w:after="40"/>
              <w:rPr>
                <w:szCs w:val="16"/>
              </w:rPr>
            </w:pPr>
            <w:r w:rsidRPr="00D604EE">
              <w:rPr>
                <w:szCs w:val="16"/>
              </w:rPr>
              <w:tab/>
              <w:t>Litter</w:t>
            </w:r>
          </w:p>
        </w:tc>
        <w:tc>
          <w:tcPr>
            <w:tcW w:w="1276" w:type="dxa"/>
            <w:tcBorders>
              <w:top w:val="single" w:sz="4" w:space="0" w:color="365F91"/>
              <w:bottom w:val="single" w:sz="4" w:space="0" w:color="1B556B"/>
            </w:tcBorders>
          </w:tcPr>
          <w:p w14:paraId="0CC248B9" w14:textId="77777777" w:rsidR="00784FA9" w:rsidRPr="00D604EE" w:rsidRDefault="00784FA9" w:rsidP="007E3239">
            <w:pPr>
              <w:pStyle w:val="TableText"/>
              <w:spacing w:before="40" w:after="40"/>
              <w:jc w:val="center"/>
              <w:rPr>
                <w:szCs w:val="16"/>
              </w:rPr>
            </w:pPr>
            <w:r w:rsidRPr="00D604EE">
              <w:rPr>
                <w:szCs w:val="16"/>
              </w:rPr>
              <w:t>0.55</w:t>
            </w:r>
          </w:p>
        </w:tc>
        <w:tc>
          <w:tcPr>
            <w:tcW w:w="1276" w:type="dxa"/>
            <w:tcBorders>
              <w:top w:val="single" w:sz="4" w:space="0" w:color="365F91"/>
              <w:bottom w:val="single" w:sz="4" w:space="0" w:color="1B556B"/>
            </w:tcBorders>
          </w:tcPr>
          <w:p w14:paraId="146C8DDE" w14:textId="77777777" w:rsidR="00784FA9" w:rsidRPr="00D604EE" w:rsidRDefault="00784FA9" w:rsidP="007E3239">
            <w:pPr>
              <w:pStyle w:val="TableText"/>
              <w:spacing w:before="40" w:after="40"/>
              <w:jc w:val="center"/>
              <w:rPr>
                <w:szCs w:val="16"/>
              </w:rPr>
            </w:pPr>
            <w:r w:rsidRPr="00D604EE">
              <w:rPr>
                <w:szCs w:val="16"/>
              </w:rPr>
              <w:t>0.02</w:t>
            </w:r>
          </w:p>
        </w:tc>
        <w:tc>
          <w:tcPr>
            <w:tcW w:w="1275" w:type="dxa"/>
            <w:tcBorders>
              <w:top w:val="single" w:sz="4" w:space="0" w:color="365F91"/>
              <w:bottom w:val="single" w:sz="4" w:space="0" w:color="1B556B"/>
            </w:tcBorders>
          </w:tcPr>
          <w:p w14:paraId="238B3B04" w14:textId="77777777" w:rsidR="00784FA9" w:rsidRPr="00D604EE" w:rsidRDefault="00784FA9" w:rsidP="007E3239">
            <w:pPr>
              <w:pStyle w:val="TableText"/>
              <w:spacing w:before="40" w:after="40"/>
              <w:jc w:val="center"/>
              <w:rPr>
                <w:szCs w:val="16"/>
              </w:rPr>
            </w:pPr>
            <w:r w:rsidRPr="00D604EE">
              <w:rPr>
                <w:szCs w:val="16"/>
              </w:rPr>
              <w:t>20</w:t>
            </w:r>
          </w:p>
        </w:tc>
        <w:tc>
          <w:tcPr>
            <w:tcW w:w="1701" w:type="dxa"/>
            <w:vMerge/>
            <w:tcBorders>
              <w:bottom w:val="single" w:sz="4" w:space="0" w:color="1B556B"/>
            </w:tcBorders>
          </w:tcPr>
          <w:p w14:paraId="2F63D93A" w14:textId="77777777" w:rsidR="00784FA9" w:rsidRPr="00D604EE" w:rsidRDefault="00784FA9" w:rsidP="007E3239">
            <w:pPr>
              <w:pStyle w:val="TableText"/>
              <w:spacing w:before="40" w:after="40"/>
              <w:rPr>
                <w:szCs w:val="16"/>
              </w:rPr>
            </w:pPr>
          </w:p>
        </w:tc>
      </w:tr>
      <w:tr w:rsidR="00784FA9" w:rsidRPr="00D604EE" w14:paraId="4696976D" w14:textId="77777777" w:rsidTr="007E3239">
        <w:trPr>
          <w:trHeight w:val="20"/>
        </w:trPr>
        <w:tc>
          <w:tcPr>
            <w:tcW w:w="1246" w:type="dxa"/>
            <w:vMerge w:val="restart"/>
            <w:tcBorders>
              <w:top w:val="single" w:sz="4" w:space="0" w:color="1B556B"/>
              <w:bottom w:val="single" w:sz="4" w:space="0" w:color="1B556B"/>
            </w:tcBorders>
          </w:tcPr>
          <w:p w14:paraId="76FF8BFD" w14:textId="77777777" w:rsidR="00784FA9" w:rsidRPr="00D604EE" w:rsidRDefault="00784FA9" w:rsidP="007E3239">
            <w:pPr>
              <w:pStyle w:val="TableText"/>
              <w:spacing w:before="40" w:after="40"/>
              <w:rPr>
                <w:szCs w:val="16"/>
              </w:rPr>
            </w:pPr>
            <w:r w:rsidRPr="00D604EE">
              <w:rPr>
                <w:szCs w:val="16"/>
              </w:rPr>
              <w:t>With woody biomass – permanent</w:t>
            </w:r>
          </w:p>
        </w:tc>
        <w:tc>
          <w:tcPr>
            <w:tcW w:w="1731" w:type="dxa"/>
            <w:tcBorders>
              <w:top w:val="single" w:sz="4" w:space="0" w:color="1B556B"/>
              <w:bottom w:val="single" w:sz="4" w:space="0" w:color="1B556B"/>
            </w:tcBorders>
          </w:tcPr>
          <w:p w14:paraId="44AA5688" w14:textId="77777777" w:rsidR="00784FA9" w:rsidRPr="00D604EE" w:rsidRDefault="00784FA9" w:rsidP="007E3239">
            <w:pPr>
              <w:pStyle w:val="TableText"/>
              <w:spacing w:before="40" w:after="40"/>
              <w:rPr>
                <w:b/>
                <w:szCs w:val="16"/>
              </w:rPr>
            </w:pPr>
            <w:r w:rsidRPr="00D604EE">
              <w:rPr>
                <w:b/>
                <w:szCs w:val="16"/>
              </w:rPr>
              <w:t>Total biomass</w:t>
            </w:r>
          </w:p>
        </w:tc>
        <w:tc>
          <w:tcPr>
            <w:tcW w:w="1276" w:type="dxa"/>
            <w:tcBorders>
              <w:top w:val="single" w:sz="4" w:space="0" w:color="1B556B"/>
              <w:bottom w:val="single" w:sz="4" w:space="0" w:color="1B556B"/>
            </w:tcBorders>
          </w:tcPr>
          <w:p w14:paraId="55C66F5B" w14:textId="77777777" w:rsidR="00784FA9" w:rsidRPr="00D604EE" w:rsidRDefault="00784FA9" w:rsidP="007E3239">
            <w:pPr>
              <w:pStyle w:val="TableText"/>
              <w:spacing w:before="40" w:after="40"/>
              <w:jc w:val="center"/>
              <w:rPr>
                <w:b/>
                <w:szCs w:val="16"/>
              </w:rPr>
            </w:pPr>
            <w:r w:rsidRPr="00D604EE">
              <w:rPr>
                <w:b/>
                <w:szCs w:val="16"/>
              </w:rPr>
              <w:t>60.57</w:t>
            </w:r>
          </w:p>
        </w:tc>
        <w:tc>
          <w:tcPr>
            <w:tcW w:w="1276" w:type="dxa"/>
            <w:tcBorders>
              <w:top w:val="single" w:sz="4" w:space="0" w:color="1B556B"/>
              <w:bottom w:val="single" w:sz="4" w:space="0" w:color="1B556B"/>
            </w:tcBorders>
          </w:tcPr>
          <w:p w14:paraId="38AAC8A1" w14:textId="77777777" w:rsidR="00784FA9" w:rsidRPr="00D604EE" w:rsidRDefault="00784FA9" w:rsidP="007E3239">
            <w:pPr>
              <w:pStyle w:val="TableText"/>
              <w:spacing w:before="40" w:after="40"/>
              <w:jc w:val="center"/>
              <w:rPr>
                <w:b/>
              </w:rPr>
            </w:pPr>
            <w:r w:rsidRPr="00D604EE">
              <w:rPr>
                <w:b/>
                <w:bCs/>
              </w:rPr>
              <w:t>NO</w:t>
            </w:r>
          </w:p>
        </w:tc>
        <w:tc>
          <w:tcPr>
            <w:tcW w:w="1275" w:type="dxa"/>
            <w:tcBorders>
              <w:top w:val="single" w:sz="4" w:space="0" w:color="1B556B"/>
              <w:bottom w:val="single" w:sz="4" w:space="0" w:color="1B556B"/>
            </w:tcBorders>
          </w:tcPr>
          <w:p w14:paraId="0ADFA8C6" w14:textId="77777777" w:rsidR="00784FA9" w:rsidRPr="00D604EE" w:rsidRDefault="00784FA9" w:rsidP="007E3239">
            <w:pPr>
              <w:pStyle w:val="TableText"/>
              <w:spacing w:before="40" w:after="40"/>
              <w:jc w:val="center"/>
              <w:rPr>
                <w:b/>
              </w:rPr>
            </w:pPr>
            <w:r w:rsidRPr="00D604EE">
              <w:rPr>
                <w:b/>
                <w:bCs/>
              </w:rPr>
              <w:t>NO</w:t>
            </w:r>
          </w:p>
        </w:tc>
        <w:tc>
          <w:tcPr>
            <w:tcW w:w="1701" w:type="dxa"/>
            <w:vMerge w:val="restart"/>
            <w:tcBorders>
              <w:top w:val="single" w:sz="4" w:space="0" w:color="1B556B"/>
              <w:bottom w:val="single" w:sz="4" w:space="0" w:color="1B556B"/>
            </w:tcBorders>
          </w:tcPr>
          <w:p w14:paraId="415A7711" w14:textId="77777777" w:rsidR="00784FA9" w:rsidRPr="00D604EE" w:rsidRDefault="00784FA9" w:rsidP="007E3239">
            <w:pPr>
              <w:pStyle w:val="TableText"/>
              <w:spacing w:before="40" w:after="40"/>
              <w:rPr>
                <w:szCs w:val="16"/>
              </w:rPr>
            </w:pPr>
            <w:r w:rsidRPr="00D604EE">
              <w:rPr>
                <w:szCs w:val="16"/>
              </w:rPr>
              <w:t>Wakelin and Beets (unpublished)</w:t>
            </w:r>
          </w:p>
        </w:tc>
      </w:tr>
      <w:tr w:rsidR="00784FA9" w:rsidRPr="00D604EE" w14:paraId="3E252894" w14:textId="77777777" w:rsidTr="007E3239">
        <w:trPr>
          <w:trHeight w:val="20"/>
        </w:trPr>
        <w:tc>
          <w:tcPr>
            <w:tcW w:w="1246" w:type="dxa"/>
            <w:vMerge/>
            <w:tcBorders>
              <w:top w:val="single" w:sz="4" w:space="0" w:color="1B556B"/>
              <w:bottom w:val="single" w:sz="4" w:space="0" w:color="1B556B"/>
            </w:tcBorders>
          </w:tcPr>
          <w:p w14:paraId="1A3BF8AE" w14:textId="77777777" w:rsidR="00784FA9" w:rsidRPr="00D604EE" w:rsidRDefault="00784FA9" w:rsidP="007E3239">
            <w:pPr>
              <w:pStyle w:val="TableText"/>
              <w:spacing w:before="40" w:after="40"/>
              <w:rPr>
                <w:szCs w:val="16"/>
              </w:rPr>
            </w:pPr>
          </w:p>
        </w:tc>
        <w:tc>
          <w:tcPr>
            <w:tcW w:w="1731" w:type="dxa"/>
            <w:tcBorders>
              <w:top w:val="single" w:sz="4" w:space="0" w:color="1B556B"/>
              <w:bottom w:val="single" w:sz="4" w:space="0" w:color="1B556B"/>
            </w:tcBorders>
          </w:tcPr>
          <w:p w14:paraId="09BFFB03" w14:textId="77777777" w:rsidR="00784FA9" w:rsidRPr="00D604EE" w:rsidRDefault="00784FA9" w:rsidP="007E3239">
            <w:pPr>
              <w:pStyle w:val="TableText"/>
              <w:spacing w:before="40" w:after="40"/>
              <w:rPr>
                <w:i/>
                <w:szCs w:val="16"/>
              </w:rPr>
            </w:pPr>
            <w:r w:rsidRPr="00D604EE">
              <w:rPr>
                <w:i/>
                <w:szCs w:val="16"/>
              </w:rPr>
              <w:t>Living biomass</w:t>
            </w:r>
          </w:p>
        </w:tc>
        <w:tc>
          <w:tcPr>
            <w:tcW w:w="1276" w:type="dxa"/>
            <w:tcBorders>
              <w:top w:val="single" w:sz="4" w:space="0" w:color="1B556B"/>
              <w:bottom w:val="single" w:sz="4" w:space="0" w:color="1B556B"/>
            </w:tcBorders>
          </w:tcPr>
          <w:p w14:paraId="250D66BA" w14:textId="77777777" w:rsidR="00784FA9" w:rsidRPr="00D604EE" w:rsidRDefault="00784FA9" w:rsidP="007E3239">
            <w:pPr>
              <w:pStyle w:val="TableText"/>
              <w:spacing w:before="40" w:after="40"/>
              <w:jc w:val="center"/>
              <w:rPr>
                <w:szCs w:val="16"/>
              </w:rPr>
            </w:pPr>
          </w:p>
        </w:tc>
        <w:tc>
          <w:tcPr>
            <w:tcW w:w="1276" w:type="dxa"/>
            <w:tcBorders>
              <w:top w:val="single" w:sz="4" w:space="0" w:color="1B556B"/>
              <w:bottom w:val="single" w:sz="4" w:space="0" w:color="1B556B"/>
            </w:tcBorders>
          </w:tcPr>
          <w:p w14:paraId="0E2AAFBC" w14:textId="77777777" w:rsidR="00784FA9" w:rsidRPr="00D604EE" w:rsidRDefault="00784FA9" w:rsidP="007E3239">
            <w:pPr>
              <w:pStyle w:val="TableText"/>
              <w:spacing w:before="40" w:after="40"/>
              <w:jc w:val="center"/>
              <w:rPr>
                <w:szCs w:val="16"/>
              </w:rPr>
            </w:pPr>
          </w:p>
        </w:tc>
        <w:tc>
          <w:tcPr>
            <w:tcW w:w="1275" w:type="dxa"/>
            <w:tcBorders>
              <w:top w:val="single" w:sz="4" w:space="0" w:color="1B556B"/>
              <w:bottom w:val="single" w:sz="4" w:space="0" w:color="1B556B"/>
            </w:tcBorders>
          </w:tcPr>
          <w:p w14:paraId="16A481B0" w14:textId="77777777" w:rsidR="00784FA9" w:rsidRPr="00D604EE" w:rsidRDefault="00784FA9" w:rsidP="007E3239">
            <w:pPr>
              <w:pStyle w:val="TableText"/>
              <w:spacing w:before="40" w:after="40"/>
              <w:jc w:val="center"/>
              <w:rPr>
                <w:szCs w:val="16"/>
              </w:rPr>
            </w:pPr>
          </w:p>
        </w:tc>
        <w:tc>
          <w:tcPr>
            <w:tcW w:w="1701" w:type="dxa"/>
            <w:vMerge/>
            <w:tcBorders>
              <w:top w:val="single" w:sz="4" w:space="0" w:color="1B556B"/>
              <w:bottom w:val="single" w:sz="4" w:space="0" w:color="1B556B"/>
            </w:tcBorders>
          </w:tcPr>
          <w:p w14:paraId="400FEDDE" w14:textId="77777777" w:rsidR="00784FA9" w:rsidRPr="00D604EE" w:rsidRDefault="00784FA9" w:rsidP="007E3239">
            <w:pPr>
              <w:pStyle w:val="TableText"/>
              <w:spacing w:before="40" w:after="40"/>
              <w:rPr>
                <w:szCs w:val="16"/>
              </w:rPr>
            </w:pPr>
          </w:p>
        </w:tc>
      </w:tr>
      <w:tr w:rsidR="00784FA9" w:rsidRPr="00D604EE" w14:paraId="596DE1F6" w14:textId="77777777" w:rsidTr="007E3239">
        <w:trPr>
          <w:trHeight w:val="20"/>
        </w:trPr>
        <w:tc>
          <w:tcPr>
            <w:tcW w:w="1246" w:type="dxa"/>
            <w:vMerge/>
            <w:tcBorders>
              <w:bottom w:val="single" w:sz="4" w:space="0" w:color="1B556B"/>
            </w:tcBorders>
          </w:tcPr>
          <w:p w14:paraId="329281D2" w14:textId="77777777" w:rsidR="00784FA9" w:rsidRPr="00D604EE" w:rsidRDefault="00784FA9" w:rsidP="007E3239">
            <w:pPr>
              <w:pStyle w:val="TableText"/>
              <w:spacing w:before="40" w:after="40"/>
              <w:rPr>
                <w:szCs w:val="16"/>
              </w:rPr>
            </w:pPr>
          </w:p>
        </w:tc>
        <w:tc>
          <w:tcPr>
            <w:tcW w:w="1731" w:type="dxa"/>
            <w:tcBorders>
              <w:top w:val="single" w:sz="4" w:space="0" w:color="1B556B"/>
              <w:bottom w:val="single" w:sz="4" w:space="0" w:color="1B556B"/>
            </w:tcBorders>
          </w:tcPr>
          <w:p w14:paraId="398B16C7" w14:textId="77777777" w:rsidR="00784FA9" w:rsidRPr="00D604EE" w:rsidRDefault="00784FA9" w:rsidP="007E3239">
            <w:pPr>
              <w:pStyle w:val="TableText"/>
              <w:spacing w:before="40" w:after="40"/>
              <w:rPr>
                <w:szCs w:val="16"/>
              </w:rPr>
            </w:pPr>
            <w:r w:rsidRPr="00D604EE">
              <w:rPr>
                <w:szCs w:val="16"/>
              </w:rPr>
              <w:tab/>
              <w:t>AGB</w:t>
            </w:r>
          </w:p>
        </w:tc>
        <w:tc>
          <w:tcPr>
            <w:tcW w:w="1276" w:type="dxa"/>
            <w:tcBorders>
              <w:top w:val="single" w:sz="4" w:space="0" w:color="1B556B"/>
              <w:bottom w:val="single" w:sz="4" w:space="0" w:color="1B556B"/>
            </w:tcBorders>
          </w:tcPr>
          <w:p w14:paraId="27F5A0B1" w14:textId="77777777" w:rsidR="00784FA9" w:rsidRPr="00D604EE" w:rsidRDefault="00784FA9" w:rsidP="007E3239">
            <w:pPr>
              <w:pStyle w:val="TableText"/>
              <w:spacing w:before="40" w:after="40"/>
              <w:jc w:val="center"/>
              <w:rPr>
                <w:szCs w:val="16"/>
              </w:rPr>
            </w:pPr>
            <w:r w:rsidRPr="00D604EE">
              <w:rPr>
                <w:szCs w:val="16"/>
              </w:rPr>
              <w:t>45.18</w:t>
            </w:r>
          </w:p>
        </w:tc>
        <w:tc>
          <w:tcPr>
            <w:tcW w:w="1276" w:type="dxa"/>
            <w:tcBorders>
              <w:top w:val="single" w:sz="4" w:space="0" w:color="1B556B"/>
              <w:bottom w:val="single" w:sz="4" w:space="0" w:color="1B556B"/>
            </w:tcBorders>
          </w:tcPr>
          <w:p w14:paraId="15227C52" w14:textId="77777777" w:rsidR="00784FA9" w:rsidRPr="00D604EE" w:rsidRDefault="00784FA9" w:rsidP="007E3239">
            <w:pPr>
              <w:pStyle w:val="TableText"/>
              <w:spacing w:before="40" w:after="40"/>
              <w:jc w:val="center"/>
            </w:pPr>
            <w:r w:rsidRPr="00D604EE">
              <w:t>NO</w:t>
            </w:r>
          </w:p>
        </w:tc>
        <w:tc>
          <w:tcPr>
            <w:tcW w:w="1275" w:type="dxa"/>
            <w:tcBorders>
              <w:top w:val="single" w:sz="4" w:space="0" w:color="1B556B"/>
              <w:bottom w:val="single" w:sz="4" w:space="0" w:color="1B556B"/>
            </w:tcBorders>
          </w:tcPr>
          <w:p w14:paraId="67081D58" w14:textId="77777777" w:rsidR="00784FA9" w:rsidRPr="00D604EE" w:rsidRDefault="00784FA9" w:rsidP="007E3239">
            <w:pPr>
              <w:pStyle w:val="TableText"/>
              <w:spacing w:before="40" w:after="40"/>
              <w:jc w:val="center"/>
            </w:pPr>
            <w:r w:rsidRPr="00D604EE">
              <w:rPr>
                <w:b/>
                <w:bCs/>
              </w:rPr>
              <w:t>NO</w:t>
            </w:r>
          </w:p>
        </w:tc>
        <w:tc>
          <w:tcPr>
            <w:tcW w:w="1701" w:type="dxa"/>
            <w:vMerge/>
            <w:tcBorders>
              <w:bottom w:val="single" w:sz="4" w:space="0" w:color="1B556B"/>
            </w:tcBorders>
          </w:tcPr>
          <w:p w14:paraId="3D5AA4B7" w14:textId="77777777" w:rsidR="00784FA9" w:rsidRPr="00D604EE" w:rsidRDefault="00784FA9" w:rsidP="007E3239">
            <w:pPr>
              <w:pStyle w:val="TableText"/>
              <w:spacing w:before="40" w:after="40"/>
              <w:rPr>
                <w:szCs w:val="16"/>
              </w:rPr>
            </w:pPr>
          </w:p>
        </w:tc>
      </w:tr>
      <w:tr w:rsidR="00784FA9" w:rsidRPr="00D604EE" w14:paraId="4D03C296" w14:textId="77777777" w:rsidTr="007E3239">
        <w:trPr>
          <w:trHeight w:val="20"/>
        </w:trPr>
        <w:tc>
          <w:tcPr>
            <w:tcW w:w="1246" w:type="dxa"/>
            <w:vMerge/>
            <w:tcBorders>
              <w:bottom w:val="single" w:sz="4" w:space="0" w:color="1B556B"/>
            </w:tcBorders>
          </w:tcPr>
          <w:p w14:paraId="67828044" w14:textId="77777777" w:rsidR="00784FA9" w:rsidRPr="00D604EE" w:rsidRDefault="00784FA9" w:rsidP="007E3239">
            <w:pPr>
              <w:pStyle w:val="TableText"/>
              <w:spacing w:before="40" w:after="40"/>
              <w:rPr>
                <w:szCs w:val="16"/>
              </w:rPr>
            </w:pPr>
          </w:p>
        </w:tc>
        <w:tc>
          <w:tcPr>
            <w:tcW w:w="1731" w:type="dxa"/>
            <w:tcBorders>
              <w:top w:val="single" w:sz="4" w:space="0" w:color="1B556B"/>
              <w:bottom w:val="single" w:sz="4" w:space="0" w:color="1B556B"/>
            </w:tcBorders>
          </w:tcPr>
          <w:p w14:paraId="147FB21B" w14:textId="77777777" w:rsidR="00784FA9" w:rsidRPr="00D604EE" w:rsidRDefault="00784FA9" w:rsidP="007E3239">
            <w:pPr>
              <w:pStyle w:val="TableText"/>
              <w:spacing w:before="40" w:after="40"/>
              <w:rPr>
                <w:szCs w:val="16"/>
              </w:rPr>
            </w:pPr>
            <w:r w:rsidRPr="00D604EE">
              <w:rPr>
                <w:szCs w:val="16"/>
              </w:rPr>
              <w:tab/>
              <w:t>BGB</w:t>
            </w:r>
          </w:p>
        </w:tc>
        <w:tc>
          <w:tcPr>
            <w:tcW w:w="1276" w:type="dxa"/>
            <w:tcBorders>
              <w:top w:val="single" w:sz="4" w:space="0" w:color="1B556B"/>
              <w:bottom w:val="single" w:sz="4" w:space="0" w:color="1B556B"/>
            </w:tcBorders>
          </w:tcPr>
          <w:p w14:paraId="01E083E3" w14:textId="77777777" w:rsidR="00784FA9" w:rsidRPr="00D604EE" w:rsidRDefault="00784FA9" w:rsidP="007E3239">
            <w:pPr>
              <w:pStyle w:val="TableText"/>
              <w:spacing w:before="40" w:after="40"/>
              <w:jc w:val="center"/>
              <w:rPr>
                <w:szCs w:val="16"/>
              </w:rPr>
            </w:pPr>
            <w:r w:rsidRPr="00D604EE">
              <w:rPr>
                <w:szCs w:val="16"/>
              </w:rPr>
              <w:t>11.71</w:t>
            </w:r>
          </w:p>
        </w:tc>
        <w:tc>
          <w:tcPr>
            <w:tcW w:w="1276" w:type="dxa"/>
            <w:tcBorders>
              <w:top w:val="single" w:sz="4" w:space="0" w:color="1B556B"/>
              <w:bottom w:val="single" w:sz="4" w:space="0" w:color="1B556B"/>
            </w:tcBorders>
          </w:tcPr>
          <w:p w14:paraId="1D305948" w14:textId="77777777" w:rsidR="00784FA9" w:rsidRPr="00D604EE" w:rsidRDefault="00784FA9" w:rsidP="007E3239">
            <w:pPr>
              <w:pStyle w:val="TableText"/>
              <w:spacing w:before="40" w:after="40"/>
              <w:jc w:val="center"/>
            </w:pPr>
            <w:r w:rsidRPr="00D604EE">
              <w:t>NO</w:t>
            </w:r>
          </w:p>
        </w:tc>
        <w:tc>
          <w:tcPr>
            <w:tcW w:w="1275" w:type="dxa"/>
            <w:tcBorders>
              <w:top w:val="single" w:sz="4" w:space="0" w:color="1B556B"/>
              <w:bottom w:val="single" w:sz="4" w:space="0" w:color="1B556B"/>
            </w:tcBorders>
          </w:tcPr>
          <w:p w14:paraId="62DDF360" w14:textId="77777777" w:rsidR="00784FA9" w:rsidRPr="00D604EE" w:rsidRDefault="00784FA9" w:rsidP="007E3239">
            <w:pPr>
              <w:pStyle w:val="TableText"/>
              <w:spacing w:before="40" w:after="40"/>
              <w:jc w:val="center"/>
            </w:pPr>
            <w:r w:rsidRPr="00D604EE">
              <w:rPr>
                <w:b/>
                <w:bCs/>
              </w:rPr>
              <w:t>NO</w:t>
            </w:r>
          </w:p>
        </w:tc>
        <w:tc>
          <w:tcPr>
            <w:tcW w:w="1701" w:type="dxa"/>
            <w:vMerge/>
            <w:tcBorders>
              <w:bottom w:val="single" w:sz="4" w:space="0" w:color="1B556B"/>
            </w:tcBorders>
          </w:tcPr>
          <w:p w14:paraId="77CEA102" w14:textId="77777777" w:rsidR="00784FA9" w:rsidRPr="00D604EE" w:rsidRDefault="00784FA9" w:rsidP="007E3239">
            <w:pPr>
              <w:pStyle w:val="TableText"/>
              <w:spacing w:before="40" w:after="40"/>
              <w:rPr>
                <w:szCs w:val="16"/>
              </w:rPr>
            </w:pPr>
          </w:p>
        </w:tc>
      </w:tr>
      <w:tr w:rsidR="00784FA9" w:rsidRPr="00D604EE" w14:paraId="2AA4BD9F" w14:textId="77777777" w:rsidTr="007E3239">
        <w:trPr>
          <w:trHeight w:val="20"/>
        </w:trPr>
        <w:tc>
          <w:tcPr>
            <w:tcW w:w="1246" w:type="dxa"/>
            <w:vMerge/>
            <w:tcBorders>
              <w:bottom w:val="single" w:sz="4" w:space="0" w:color="1B556B"/>
            </w:tcBorders>
          </w:tcPr>
          <w:p w14:paraId="244CCDE2" w14:textId="77777777" w:rsidR="00784FA9" w:rsidRPr="00D604EE" w:rsidRDefault="00784FA9" w:rsidP="007E3239">
            <w:pPr>
              <w:pStyle w:val="TableText"/>
              <w:spacing w:before="40" w:after="40"/>
              <w:rPr>
                <w:szCs w:val="16"/>
              </w:rPr>
            </w:pPr>
          </w:p>
        </w:tc>
        <w:tc>
          <w:tcPr>
            <w:tcW w:w="1731" w:type="dxa"/>
            <w:tcBorders>
              <w:top w:val="single" w:sz="4" w:space="0" w:color="1B556B"/>
              <w:bottom w:val="single" w:sz="4" w:space="0" w:color="1B556B"/>
            </w:tcBorders>
          </w:tcPr>
          <w:p w14:paraId="31832554" w14:textId="77777777" w:rsidR="00784FA9" w:rsidRPr="00D604EE" w:rsidRDefault="00784FA9" w:rsidP="007E3239">
            <w:pPr>
              <w:pStyle w:val="TableText"/>
              <w:spacing w:before="40" w:after="40"/>
              <w:rPr>
                <w:i/>
                <w:szCs w:val="16"/>
              </w:rPr>
            </w:pPr>
            <w:r w:rsidRPr="00D604EE">
              <w:rPr>
                <w:i/>
                <w:szCs w:val="16"/>
              </w:rPr>
              <w:t>Dead organic matter</w:t>
            </w:r>
          </w:p>
        </w:tc>
        <w:tc>
          <w:tcPr>
            <w:tcW w:w="1276" w:type="dxa"/>
            <w:tcBorders>
              <w:top w:val="single" w:sz="4" w:space="0" w:color="1B556B"/>
              <w:bottom w:val="single" w:sz="4" w:space="0" w:color="1B556B"/>
            </w:tcBorders>
          </w:tcPr>
          <w:p w14:paraId="0F3BD345" w14:textId="77777777" w:rsidR="00784FA9" w:rsidRPr="00D604EE" w:rsidRDefault="00784FA9" w:rsidP="007E3239">
            <w:pPr>
              <w:pStyle w:val="TableText"/>
              <w:spacing w:before="40" w:after="40"/>
              <w:jc w:val="center"/>
              <w:rPr>
                <w:szCs w:val="16"/>
              </w:rPr>
            </w:pPr>
          </w:p>
        </w:tc>
        <w:tc>
          <w:tcPr>
            <w:tcW w:w="1276" w:type="dxa"/>
            <w:tcBorders>
              <w:top w:val="single" w:sz="4" w:space="0" w:color="1B556B"/>
              <w:bottom w:val="single" w:sz="4" w:space="0" w:color="1B556B"/>
            </w:tcBorders>
          </w:tcPr>
          <w:p w14:paraId="0524CA0C" w14:textId="77777777" w:rsidR="00784FA9" w:rsidRPr="00D604EE" w:rsidRDefault="00784FA9" w:rsidP="007E3239">
            <w:pPr>
              <w:pStyle w:val="TableText"/>
              <w:spacing w:before="40" w:after="40"/>
              <w:jc w:val="center"/>
              <w:rPr>
                <w:szCs w:val="16"/>
              </w:rPr>
            </w:pPr>
          </w:p>
        </w:tc>
        <w:tc>
          <w:tcPr>
            <w:tcW w:w="1275" w:type="dxa"/>
            <w:tcBorders>
              <w:top w:val="single" w:sz="4" w:space="0" w:color="1B556B"/>
              <w:bottom w:val="single" w:sz="4" w:space="0" w:color="1B556B"/>
            </w:tcBorders>
          </w:tcPr>
          <w:p w14:paraId="6F67E8E0" w14:textId="77777777" w:rsidR="00784FA9" w:rsidRPr="00D604EE" w:rsidRDefault="00784FA9" w:rsidP="007E3239">
            <w:pPr>
              <w:pStyle w:val="TableText"/>
              <w:spacing w:before="40" w:after="40"/>
              <w:jc w:val="center"/>
            </w:pPr>
            <w:r w:rsidRPr="00D604EE">
              <w:rPr>
                <w:b/>
                <w:bCs/>
              </w:rPr>
              <w:t>NO</w:t>
            </w:r>
          </w:p>
        </w:tc>
        <w:tc>
          <w:tcPr>
            <w:tcW w:w="1701" w:type="dxa"/>
            <w:vMerge/>
            <w:tcBorders>
              <w:bottom w:val="single" w:sz="4" w:space="0" w:color="1B556B"/>
            </w:tcBorders>
          </w:tcPr>
          <w:p w14:paraId="005DD443" w14:textId="77777777" w:rsidR="00784FA9" w:rsidRPr="00D604EE" w:rsidRDefault="00784FA9" w:rsidP="007E3239">
            <w:pPr>
              <w:pStyle w:val="TableText"/>
              <w:spacing w:before="40" w:after="40"/>
              <w:rPr>
                <w:szCs w:val="16"/>
              </w:rPr>
            </w:pPr>
          </w:p>
        </w:tc>
      </w:tr>
      <w:tr w:rsidR="00784FA9" w:rsidRPr="00D604EE" w14:paraId="7407ECE4" w14:textId="77777777" w:rsidTr="007E3239">
        <w:trPr>
          <w:trHeight w:val="20"/>
        </w:trPr>
        <w:tc>
          <w:tcPr>
            <w:tcW w:w="1246" w:type="dxa"/>
            <w:vMerge/>
            <w:tcBorders>
              <w:bottom w:val="single" w:sz="4" w:space="0" w:color="1B556B"/>
            </w:tcBorders>
          </w:tcPr>
          <w:p w14:paraId="0D0B47D8" w14:textId="77777777" w:rsidR="00784FA9" w:rsidRPr="00D604EE" w:rsidRDefault="00784FA9" w:rsidP="007E3239">
            <w:pPr>
              <w:pStyle w:val="TableText"/>
              <w:spacing w:before="40" w:after="40"/>
              <w:rPr>
                <w:szCs w:val="16"/>
              </w:rPr>
            </w:pPr>
          </w:p>
        </w:tc>
        <w:tc>
          <w:tcPr>
            <w:tcW w:w="1731" w:type="dxa"/>
            <w:tcBorders>
              <w:top w:val="single" w:sz="4" w:space="0" w:color="1B556B"/>
              <w:bottom w:val="single" w:sz="4" w:space="0" w:color="1B556B"/>
            </w:tcBorders>
          </w:tcPr>
          <w:p w14:paraId="04CFEB7C" w14:textId="77777777" w:rsidR="00784FA9" w:rsidRPr="00D604EE" w:rsidRDefault="00784FA9" w:rsidP="007E3239">
            <w:pPr>
              <w:pStyle w:val="TableText"/>
              <w:spacing w:before="40" w:after="40"/>
              <w:rPr>
                <w:szCs w:val="16"/>
              </w:rPr>
            </w:pPr>
            <w:r w:rsidRPr="00D604EE">
              <w:rPr>
                <w:szCs w:val="16"/>
              </w:rPr>
              <w:tab/>
              <w:t>Dead wood</w:t>
            </w:r>
          </w:p>
        </w:tc>
        <w:tc>
          <w:tcPr>
            <w:tcW w:w="1276" w:type="dxa"/>
            <w:tcBorders>
              <w:top w:val="single" w:sz="4" w:space="0" w:color="1B556B"/>
              <w:bottom w:val="single" w:sz="4" w:space="0" w:color="1B556B"/>
            </w:tcBorders>
          </w:tcPr>
          <w:p w14:paraId="3789A87F" w14:textId="77777777" w:rsidR="00784FA9" w:rsidRPr="00D604EE" w:rsidRDefault="00784FA9" w:rsidP="007E3239">
            <w:pPr>
              <w:pStyle w:val="TableText"/>
              <w:spacing w:before="40" w:after="40"/>
              <w:jc w:val="center"/>
              <w:rPr>
                <w:szCs w:val="16"/>
              </w:rPr>
            </w:pPr>
            <w:r w:rsidRPr="00D604EE">
              <w:rPr>
                <w:szCs w:val="16"/>
              </w:rPr>
              <w:t>3.68</w:t>
            </w:r>
          </w:p>
        </w:tc>
        <w:tc>
          <w:tcPr>
            <w:tcW w:w="1276" w:type="dxa"/>
            <w:tcBorders>
              <w:top w:val="single" w:sz="4" w:space="0" w:color="1B556B"/>
              <w:bottom w:val="single" w:sz="4" w:space="0" w:color="1B556B"/>
            </w:tcBorders>
          </w:tcPr>
          <w:p w14:paraId="3711EFAC" w14:textId="77777777" w:rsidR="00784FA9" w:rsidRPr="00D604EE" w:rsidRDefault="00784FA9" w:rsidP="007E3239">
            <w:pPr>
              <w:pStyle w:val="TableText"/>
              <w:spacing w:before="40" w:after="40"/>
              <w:jc w:val="center"/>
            </w:pPr>
            <w:r w:rsidRPr="00D604EE">
              <w:t>NO</w:t>
            </w:r>
          </w:p>
        </w:tc>
        <w:tc>
          <w:tcPr>
            <w:tcW w:w="1275" w:type="dxa"/>
            <w:tcBorders>
              <w:top w:val="single" w:sz="4" w:space="0" w:color="1B556B"/>
              <w:bottom w:val="single" w:sz="4" w:space="0" w:color="1B556B"/>
            </w:tcBorders>
          </w:tcPr>
          <w:p w14:paraId="462463AA" w14:textId="77777777" w:rsidR="00784FA9" w:rsidRPr="00D604EE" w:rsidRDefault="00784FA9" w:rsidP="007E3239">
            <w:pPr>
              <w:pStyle w:val="TableText"/>
              <w:spacing w:before="40" w:after="40"/>
              <w:jc w:val="center"/>
            </w:pPr>
            <w:r w:rsidRPr="00D604EE">
              <w:rPr>
                <w:b/>
                <w:bCs/>
              </w:rPr>
              <w:t>NO</w:t>
            </w:r>
          </w:p>
        </w:tc>
        <w:tc>
          <w:tcPr>
            <w:tcW w:w="1701" w:type="dxa"/>
            <w:vMerge/>
            <w:tcBorders>
              <w:bottom w:val="single" w:sz="4" w:space="0" w:color="1B556B"/>
            </w:tcBorders>
          </w:tcPr>
          <w:p w14:paraId="7D1043DA" w14:textId="77777777" w:rsidR="00784FA9" w:rsidRPr="00D604EE" w:rsidRDefault="00784FA9" w:rsidP="007E3239">
            <w:pPr>
              <w:pStyle w:val="TableText"/>
              <w:spacing w:before="40" w:after="40"/>
              <w:rPr>
                <w:szCs w:val="16"/>
              </w:rPr>
            </w:pPr>
          </w:p>
        </w:tc>
      </w:tr>
      <w:tr w:rsidR="00784FA9" w:rsidRPr="00D604EE" w14:paraId="5F25CA6E" w14:textId="77777777" w:rsidTr="007E3239">
        <w:trPr>
          <w:trHeight w:val="20"/>
        </w:trPr>
        <w:tc>
          <w:tcPr>
            <w:tcW w:w="1246" w:type="dxa"/>
            <w:vMerge/>
            <w:tcBorders>
              <w:bottom w:val="single" w:sz="4" w:space="0" w:color="1B556B"/>
            </w:tcBorders>
          </w:tcPr>
          <w:p w14:paraId="6F17D9D7" w14:textId="77777777" w:rsidR="00784FA9" w:rsidRPr="00D604EE" w:rsidRDefault="00784FA9" w:rsidP="007E3239">
            <w:pPr>
              <w:pStyle w:val="TableText"/>
              <w:spacing w:before="40" w:after="40"/>
              <w:rPr>
                <w:szCs w:val="16"/>
              </w:rPr>
            </w:pPr>
          </w:p>
        </w:tc>
        <w:tc>
          <w:tcPr>
            <w:tcW w:w="1731" w:type="dxa"/>
            <w:tcBorders>
              <w:top w:val="single" w:sz="4" w:space="0" w:color="1B556B"/>
              <w:bottom w:val="single" w:sz="4" w:space="0" w:color="1B556B"/>
            </w:tcBorders>
          </w:tcPr>
          <w:p w14:paraId="010D066B" w14:textId="77777777" w:rsidR="00784FA9" w:rsidRPr="00D604EE" w:rsidRDefault="00784FA9" w:rsidP="007E3239">
            <w:pPr>
              <w:pStyle w:val="TableText"/>
              <w:spacing w:before="40" w:after="40"/>
              <w:rPr>
                <w:szCs w:val="16"/>
              </w:rPr>
            </w:pPr>
            <w:r w:rsidRPr="00D604EE">
              <w:rPr>
                <w:szCs w:val="16"/>
              </w:rPr>
              <w:tab/>
              <w:t>Litter</w:t>
            </w:r>
          </w:p>
        </w:tc>
        <w:tc>
          <w:tcPr>
            <w:tcW w:w="1276" w:type="dxa"/>
            <w:tcBorders>
              <w:top w:val="single" w:sz="4" w:space="0" w:color="1B556B"/>
              <w:bottom w:val="single" w:sz="4" w:space="0" w:color="1B556B"/>
            </w:tcBorders>
          </w:tcPr>
          <w:p w14:paraId="6BBBED57" w14:textId="77777777" w:rsidR="00784FA9" w:rsidRPr="00D604EE" w:rsidRDefault="00784FA9" w:rsidP="007E3239">
            <w:pPr>
              <w:pStyle w:val="TableText"/>
              <w:spacing w:before="40" w:after="40"/>
              <w:jc w:val="center"/>
              <w:rPr>
                <w:szCs w:val="16"/>
              </w:rPr>
            </w:pPr>
            <w:r w:rsidRPr="00D604EE">
              <w:rPr>
                <w:szCs w:val="16"/>
              </w:rPr>
              <w:t>0.00</w:t>
            </w:r>
          </w:p>
        </w:tc>
        <w:tc>
          <w:tcPr>
            <w:tcW w:w="1276" w:type="dxa"/>
            <w:tcBorders>
              <w:top w:val="single" w:sz="4" w:space="0" w:color="1B556B"/>
              <w:bottom w:val="single" w:sz="4" w:space="0" w:color="1B556B"/>
            </w:tcBorders>
          </w:tcPr>
          <w:p w14:paraId="238D24D6" w14:textId="77777777" w:rsidR="00784FA9" w:rsidRPr="00D604EE" w:rsidRDefault="00784FA9" w:rsidP="007E3239">
            <w:pPr>
              <w:pStyle w:val="TableText"/>
              <w:spacing w:before="40" w:after="40"/>
              <w:jc w:val="center"/>
            </w:pPr>
            <w:r w:rsidRPr="00D604EE">
              <w:t>NO</w:t>
            </w:r>
          </w:p>
        </w:tc>
        <w:tc>
          <w:tcPr>
            <w:tcW w:w="1275" w:type="dxa"/>
            <w:tcBorders>
              <w:top w:val="single" w:sz="4" w:space="0" w:color="1B556B"/>
              <w:bottom w:val="single" w:sz="4" w:space="0" w:color="1B556B"/>
            </w:tcBorders>
          </w:tcPr>
          <w:p w14:paraId="78CAD8EA" w14:textId="77777777" w:rsidR="00784FA9" w:rsidRPr="00D604EE" w:rsidRDefault="00784FA9" w:rsidP="007E3239">
            <w:pPr>
              <w:pStyle w:val="TableText"/>
              <w:spacing w:before="40" w:after="40"/>
              <w:jc w:val="center"/>
            </w:pPr>
            <w:r w:rsidRPr="00D604EE">
              <w:rPr>
                <w:b/>
                <w:bCs/>
              </w:rPr>
              <w:t>NO</w:t>
            </w:r>
          </w:p>
        </w:tc>
        <w:tc>
          <w:tcPr>
            <w:tcW w:w="1701" w:type="dxa"/>
            <w:vMerge/>
            <w:tcBorders>
              <w:bottom w:val="single" w:sz="4" w:space="0" w:color="1B556B"/>
            </w:tcBorders>
          </w:tcPr>
          <w:p w14:paraId="18F08B89" w14:textId="77777777" w:rsidR="00784FA9" w:rsidRPr="00D604EE" w:rsidRDefault="00784FA9" w:rsidP="007E3239">
            <w:pPr>
              <w:pStyle w:val="TableText"/>
              <w:spacing w:before="40" w:after="40"/>
              <w:rPr>
                <w:szCs w:val="16"/>
              </w:rPr>
            </w:pPr>
          </w:p>
        </w:tc>
      </w:tr>
    </w:tbl>
    <w:p w14:paraId="47D3B8A0" w14:textId="77777777" w:rsidR="00784FA9" w:rsidRPr="00D604EE" w:rsidRDefault="00784FA9" w:rsidP="00784FA9">
      <w:pPr>
        <w:pStyle w:val="Noteundertable"/>
      </w:pPr>
      <w:r w:rsidRPr="00D604EE">
        <w:rPr>
          <w:b/>
        </w:rPr>
        <w:t>Note:</w:t>
      </w:r>
      <w:r w:rsidRPr="00D604EE">
        <w:tab/>
        <w:t xml:space="preserve">AGB = above-ground biomass; BGB = below-ground biomass; NA = not applicable; NE = not estimated; NO = not occurring. Columns may not total due to rounding. The high producing grassland figure is based on the Warm temperate – wet figure from table 6.4 of the 2006 IPCC Guidelines, and the low producing grassland figure is based on the Warm temperate – dry figure from the same table (IPCC, 2006a), with a carbon fraction of 0.47 applied to both. Note that the annual accumulation rates for </w:t>
      </w:r>
      <w:r w:rsidRPr="00D604EE">
        <w:rPr>
          <w:i/>
          <w:iCs/>
        </w:rPr>
        <w:t>Grassland with woody biomass</w:t>
      </w:r>
      <w:r w:rsidRPr="00D604EE">
        <w:t xml:space="preserve"> – transitional do not equal the total biomass steady state carbon stock value over 20 years because the starting stock value at year 1 is 3.54 t C ha</w:t>
      </w:r>
      <w:r w:rsidRPr="00D604EE">
        <w:rPr>
          <w:vertAlign w:val="superscript"/>
        </w:rPr>
        <w:t>–1</w:t>
      </w:r>
      <w:r w:rsidRPr="00D604EE">
        <w:t xml:space="preserve">. </w:t>
      </w:r>
    </w:p>
    <w:p w14:paraId="205EA3B9" w14:textId="77777777" w:rsidR="00784FA9" w:rsidRPr="00D604EE" w:rsidRDefault="00784FA9" w:rsidP="00784FA9">
      <w:pPr>
        <w:pStyle w:val="Heading4"/>
      </w:pPr>
      <w:bookmarkStart w:id="2007" w:name="_Toc280630289"/>
      <w:r w:rsidRPr="00D604EE">
        <w:t>Grassland remaining grassland</w:t>
      </w:r>
      <w:bookmarkEnd w:id="2004"/>
      <w:bookmarkEnd w:id="2005"/>
      <w:bookmarkEnd w:id="2006"/>
      <w:bookmarkEnd w:id="2007"/>
      <w:r w:rsidRPr="00D604EE">
        <w:t xml:space="preserve"> (CRF 4.C.1)</w:t>
      </w:r>
    </w:p>
    <w:p w14:paraId="69BBC2A0" w14:textId="77777777" w:rsidR="00784FA9" w:rsidRPr="00D604EE" w:rsidRDefault="00784FA9" w:rsidP="00784FA9">
      <w:pPr>
        <w:pStyle w:val="BodyText"/>
      </w:pPr>
      <w:r w:rsidRPr="00D604EE">
        <w:t xml:space="preserve">For </w:t>
      </w:r>
      <w:r w:rsidRPr="00D604EE">
        <w:rPr>
          <w:i/>
        </w:rPr>
        <w:t>Grassland remaining grassland</w:t>
      </w:r>
      <w:r w:rsidRPr="00D604EE">
        <w:t xml:space="preserve">, the Tier 1 assumption is there is no change in carbon stocks for </w:t>
      </w:r>
      <w:r w:rsidRPr="00D604EE">
        <w:rPr>
          <w:i/>
          <w:iCs/>
        </w:rPr>
        <w:t>Grassland</w:t>
      </w:r>
      <w:r w:rsidRPr="00D604EE">
        <w:t xml:space="preserve"> remaining in the same subcategory (section 6.2.1.1, IPCC, 2006a). The rationale is that, where management practices are static, carbon stocks will be in an approximately steady state; that is, carbon gain through plant growth is roughly balanced by losses. New Zealand has reported NA in the CRF tables where there is no land-use change at the category level because no emissions or removals are assumed to have occurred. However, </w:t>
      </w:r>
      <w:r w:rsidRPr="00D604EE">
        <w:lastRenderedPageBreak/>
        <w:t xml:space="preserve">a significant area (1,310,800 hectares) is currently in a state of conversion from one </w:t>
      </w:r>
      <w:r w:rsidRPr="00D604EE">
        <w:rPr>
          <w:i/>
          <w:iCs/>
        </w:rPr>
        <w:t>Grassland</w:t>
      </w:r>
      <w:r w:rsidRPr="00D604EE">
        <w:t xml:space="preserve"> type to another. The carbon stock changes for these land-use changes are reported under </w:t>
      </w:r>
      <w:r w:rsidRPr="00D604EE">
        <w:rPr>
          <w:i/>
        </w:rPr>
        <w:t>Grassland remaining grassland</w:t>
      </w:r>
      <w:r w:rsidRPr="00D604EE">
        <w:t>.</w:t>
      </w:r>
    </w:p>
    <w:p w14:paraId="63266CD5" w14:textId="77777777" w:rsidR="00784FA9" w:rsidRPr="00D604EE" w:rsidRDefault="00784FA9" w:rsidP="00784FA9">
      <w:pPr>
        <w:pStyle w:val="Heading5"/>
      </w:pPr>
      <w:bookmarkStart w:id="2008" w:name="_Toc255466398"/>
      <w:bookmarkStart w:id="2009" w:name="_Toc261513205"/>
      <w:bookmarkStart w:id="2010" w:name="_Toc261513818"/>
      <w:bookmarkStart w:id="2011" w:name="_Toc280630290"/>
      <w:r w:rsidRPr="00D604EE">
        <w:t>Living biomass</w:t>
      </w:r>
      <w:bookmarkEnd w:id="2008"/>
      <w:bookmarkEnd w:id="2009"/>
      <w:bookmarkEnd w:id="2010"/>
      <w:bookmarkEnd w:id="2011"/>
    </w:p>
    <w:p w14:paraId="542A191F" w14:textId="77777777" w:rsidR="00784FA9" w:rsidRPr="00D604EE" w:rsidRDefault="00784FA9" w:rsidP="00784FA9">
      <w:pPr>
        <w:pStyle w:val="BodyText"/>
      </w:pPr>
      <w:r w:rsidRPr="00D604EE">
        <w:t xml:space="preserve">To calculate carbon stock change in living biomass on land converted from one category to another (e.g., low producing grassland converted to high producing grassland), it is assumed the carbon in living biomass immediately after conversion is zero; that is, the land is cleared of all vegetation. In the same year, carbon stocks in living biomass increase by the amount given in table 6.5.4, representing the annual growth in biomass for land converted to another land use. </w:t>
      </w:r>
    </w:p>
    <w:p w14:paraId="6E1289C2" w14:textId="77777777" w:rsidR="00784FA9" w:rsidRPr="00D604EE" w:rsidRDefault="00784FA9" w:rsidP="00784FA9">
      <w:pPr>
        <w:pStyle w:val="Heading5"/>
      </w:pPr>
      <w:bookmarkStart w:id="2012" w:name="_Toc255466399"/>
      <w:bookmarkStart w:id="2013" w:name="_Toc261513206"/>
      <w:bookmarkStart w:id="2014" w:name="_Toc261513819"/>
      <w:bookmarkStart w:id="2015" w:name="_Toc280630291"/>
      <w:r w:rsidRPr="00D604EE">
        <w:t>Dead organic matter</w:t>
      </w:r>
      <w:bookmarkEnd w:id="2012"/>
      <w:bookmarkEnd w:id="2013"/>
      <w:bookmarkEnd w:id="2014"/>
      <w:bookmarkEnd w:id="2015"/>
    </w:p>
    <w:p w14:paraId="583BCCF7" w14:textId="77777777" w:rsidR="00784FA9" w:rsidRPr="00D604EE" w:rsidRDefault="00784FA9" w:rsidP="00784FA9">
      <w:pPr>
        <w:pStyle w:val="BodyText"/>
      </w:pPr>
      <w:r w:rsidRPr="00D604EE">
        <w:t xml:space="preserve">New Zealand does not report estimates of dead organic matter for high producing grassland or low producing grassland because there are no Tier 1 defaults provided in the 2006 IPCC Guidelines (IPCC, 2006a). There is insufficient information to develop default coefficients for estimating the dead organic matter pool for these two categories (IPCC, 2006a). The notation key NE is used in the CRF tables in accordance with paragraph 37(b) of Decision 24/CP.19 (UNFCCC, 2014). </w:t>
      </w:r>
    </w:p>
    <w:p w14:paraId="0932F261" w14:textId="77777777" w:rsidR="00784FA9" w:rsidRPr="00D604EE" w:rsidRDefault="00784FA9" w:rsidP="00784FA9">
      <w:pPr>
        <w:pStyle w:val="BodyText"/>
      </w:pPr>
      <w:r w:rsidRPr="00D604EE">
        <w:t xml:space="preserve">For </w:t>
      </w:r>
      <w:r w:rsidRPr="00D604EE">
        <w:rPr>
          <w:i/>
          <w:iCs/>
        </w:rPr>
        <w:t>Grassland with woody biomass</w:t>
      </w:r>
      <w:r w:rsidRPr="00D604EE">
        <w:t>, an estimate of dead organic matter is derived from the LUCAS national forest plot network (Wakelin and Beets, unpublished), and estimates of changes in dead organic matter stocks with conversion to and from this land use are reported.</w:t>
      </w:r>
    </w:p>
    <w:p w14:paraId="02893421" w14:textId="77777777" w:rsidR="00784FA9" w:rsidRPr="00D604EE" w:rsidRDefault="00784FA9" w:rsidP="00784FA9">
      <w:pPr>
        <w:pStyle w:val="Heading5"/>
      </w:pPr>
      <w:bookmarkStart w:id="2016" w:name="_Toc255466400"/>
      <w:bookmarkStart w:id="2017" w:name="_Toc261513207"/>
      <w:bookmarkStart w:id="2018" w:name="_Toc261513820"/>
      <w:bookmarkStart w:id="2019" w:name="_Toc280630292"/>
      <w:r w:rsidRPr="00D604EE">
        <w:t>Soil organic carbon</w:t>
      </w:r>
      <w:bookmarkEnd w:id="2016"/>
      <w:bookmarkEnd w:id="2017"/>
      <w:bookmarkEnd w:id="2018"/>
      <w:bookmarkEnd w:id="2019"/>
    </w:p>
    <w:p w14:paraId="64A19500" w14:textId="77777777" w:rsidR="00784FA9" w:rsidRPr="00D604EE" w:rsidRDefault="00784FA9" w:rsidP="00784FA9">
      <w:pPr>
        <w:pStyle w:val="BodyText"/>
      </w:pPr>
      <w:bookmarkStart w:id="2020" w:name="_Toc255466401"/>
      <w:bookmarkStart w:id="2021" w:name="_Toc261513208"/>
      <w:bookmarkStart w:id="2022" w:name="_Toc261513821"/>
      <w:r w:rsidRPr="00D604EE">
        <w:t xml:space="preserve">Soil organic carbon stocks in </w:t>
      </w:r>
      <w:r w:rsidRPr="00D604EE">
        <w:rPr>
          <w:i/>
        </w:rPr>
        <w:t>Grassland remaining grassland</w:t>
      </w:r>
      <w:r w:rsidRPr="00D604EE">
        <w:t xml:space="preserve"> are estimated using a Tier 2 method for mineral soils and a Tier 1 method for organic soils (see annex A3.2.4). </w:t>
      </w:r>
      <w:bookmarkStart w:id="2023" w:name="_Toc255466404"/>
      <w:bookmarkStart w:id="2024" w:name="_Toc261513211"/>
      <w:bookmarkStart w:id="2025" w:name="_Toc261513824"/>
      <w:bookmarkStart w:id="2026" w:name="_Toc280630295"/>
      <w:bookmarkEnd w:id="2020"/>
      <w:bookmarkEnd w:id="2021"/>
      <w:bookmarkEnd w:id="2022"/>
    </w:p>
    <w:p w14:paraId="25DE17FE" w14:textId="77777777" w:rsidR="00784FA9" w:rsidRPr="00D604EE" w:rsidRDefault="00784FA9" w:rsidP="00784FA9">
      <w:pPr>
        <w:pStyle w:val="Heading5"/>
      </w:pPr>
      <w:r w:rsidRPr="00D604EE">
        <w:t>Non-CO</w:t>
      </w:r>
      <w:r w:rsidRPr="00D604EE">
        <w:rPr>
          <w:vertAlign w:val="subscript"/>
        </w:rPr>
        <w:t>2</w:t>
      </w:r>
      <w:r w:rsidRPr="00D604EE">
        <w:t xml:space="preserve"> emissions</w:t>
      </w:r>
    </w:p>
    <w:p w14:paraId="544B2079" w14:textId="77777777" w:rsidR="00784FA9" w:rsidRPr="00D604EE" w:rsidRDefault="00784FA9" w:rsidP="00784FA9">
      <w:pPr>
        <w:pStyle w:val="BodyText"/>
      </w:pPr>
      <w:r w:rsidRPr="00D604EE">
        <w:t>Direct and indirect N</w:t>
      </w:r>
      <w:r w:rsidRPr="00D604EE">
        <w:rPr>
          <w:vertAlign w:val="subscript"/>
        </w:rPr>
        <w:t>2</w:t>
      </w:r>
      <w:r w:rsidRPr="00D604EE">
        <w:t xml:space="preserve">O emissions occurring as a result of nitrogen inputs, as well as drainage of managed soils, in </w:t>
      </w:r>
      <w:r w:rsidRPr="00D604EE">
        <w:rPr>
          <w:i/>
        </w:rPr>
        <w:t>Grassland remaining grassland</w:t>
      </w:r>
      <w:r w:rsidRPr="00D604EE">
        <w:t xml:space="preserve"> are reported under the Agriculture sector. </w:t>
      </w:r>
    </w:p>
    <w:p w14:paraId="61299A72" w14:textId="77777777" w:rsidR="00784FA9" w:rsidRPr="00D604EE" w:rsidRDefault="00784FA9" w:rsidP="00784FA9">
      <w:pPr>
        <w:pStyle w:val="Heading4"/>
      </w:pPr>
      <w:r w:rsidRPr="00D604EE">
        <w:t>Land converted to grassland</w:t>
      </w:r>
      <w:bookmarkEnd w:id="2023"/>
      <w:bookmarkEnd w:id="2024"/>
      <w:bookmarkEnd w:id="2025"/>
      <w:bookmarkEnd w:id="2026"/>
      <w:r w:rsidRPr="00D604EE">
        <w:t xml:space="preserve"> (CRF 4.C.2)</w:t>
      </w:r>
    </w:p>
    <w:p w14:paraId="1416F51D" w14:textId="77777777" w:rsidR="00784FA9" w:rsidRPr="00D604EE" w:rsidRDefault="00784FA9" w:rsidP="00784FA9">
      <w:pPr>
        <w:pStyle w:val="Heading5"/>
        <w:spacing w:before="160"/>
      </w:pPr>
      <w:bookmarkStart w:id="2027" w:name="_Toc255466405"/>
      <w:bookmarkStart w:id="2028" w:name="_Toc261513212"/>
      <w:bookmarkStart w:id="2029" w:name="_Toc261513825"/>
      <w:bookmarkStart w:id="2030" w:name="_Toc280630296"/>
      <w:r w:rsidRPr="00D604EE">
        <w:t>Living biomass</w:t>
      </w:r>
      <w:bookmarkEnd w:id="2027"/>
      <w:bookmarkEnd w:id="2028"/>
      <w:bookmarkEnd w:id="2029"/>
      <w:bookmarkEnd w:id="2030"/>
    </w:p>
    <w:p w14:paraId="4FC60A03" w14:textId="77777777" w:rsidR="00784FA9" w:rsidRPr="00D604EE" w:rsidRDefault="00784FA9" w:rsidP="00784FA9">
      <w:pPr>
        <w:pStyle w:val="BodyText"/>
      </w:pPr>
      <w:r w:rsidRPr="00D604EE">
        <w:t xml:space="preserve">New Zealand applies a Tier 1 method to calculate emissions for </w:t>
      </w:r>
      <w:r w:rsidRPr="00D604EE">
        <w:rPr>
          <w:i/>
        </w:rPr>
        <w:t>Land converted to grassland</w:t>
      </w:r>
      <w:r w:rsidRPr="00D604EE">
        <w:t xml:space="preserve">. The Tier 1 method multiplies the area of </w:t>
      </w:r>
      <w:r w:rsidRPr="00D604EE">
        <w:rPr>
          <w:i/>
        </w:rPr>
        <w:t>Land converted to grassland</w:t>
      </w:r>
      <w:r w:rsidRPr="00D604EE">
        <w:t xml:space="preserve"> annually by the carbon stock change per area for that type of conversion. </w:t>
      </w:r>
    </w:p>
    <w:p w14:paraId="7B7B02EE" w14:textId="77777777" w:rsidR="00784FA9" w:rsidRPr="00D604EE" w:rsidRDefault="00784FA9" w:rsidP="00784FA9">
      <w:pPr>
        <w:pStyle w:val="BodyText"/>
      </w:pPr>
      <w:r w:rsidRPr="00D604EE">
        <w:t xml:space="preserve">The Tier 1 method assumes carbon in living biomass immediately after conversion is zero; that is, the land is cleared of all vegetation at conversion and is instantly oxidised. The Tier 1 method also includes changes in carbon stocks from one year of growth from the </w:t>
      </w:r>
      <w:r w:rsidRPr="00D604EE">
        <w:rPr>
          <w:i/>
          <w:iCs/>
        </w:rPr>
        <w:t>Grassland</w:t>
      </w:r>
      <w:r w:rsidRPr="00D604EE">
        <w:t xml:space="preserve"> category that land was converted to in the year conversion takes place, as outlined in equation 2.9 of the 2006 IPCC Guidelines (IPCC, 2006a).</w:t>
      </w:r>
    </w:p>
    <w:p w14:paraId="392C6F9B" w14:textId="77777777" w:rsidR="00784FA9" w:rsidRPr="00D604EE" w:rsidRDefault="00784FA9" w:rsidP="00784FA9">
      <w:pPr>
        <w:pStyle w:val="Heading5"/>
      </w:pPr>
      <w:bookmarkStart w:id="2031" w:name="_Toc255466406"/>
      <w:bookmarkStart w:id="2032" w:name="_Toc261513213"/>
      <w:bookmarkStart w:id="2033" w:name="_Toc261513826"/>
      <w:bookmarkStart w:id="2034" w:name="_Toc280630297"/>
      <w:r w:rsidRPr="00D604EE">
        <w:t>Dead organic matter</w:t>
      </w:r>
      <w:bookmarkEnd w:id="2031"/>
      <w:bookmarkEnd w:id="2032"/>
      <w:bookmarkEnd w:id="2033"/>
      <w:bookmarkEnd w:id="2034"/>
    </w:p>
    <w:p w14:paraId="78C24C9F" w14:textId="77777777" w:rsidR="00784FA9" w:rsidRPr="00D604EE" w:rsidRDefault="00784FA9" w:rsidP="00784FA9">
      <w:pPr>
        <w:pStyle w:val="BodyText"/>
      </w:pPr>
      <w:r w:rsidRPr="00D604EE">
        <w:rPr>
          <w:spacing w:val="-2"/>
        </w:rPr>
        <w:t xml:space="preserve">For land conversion to high and low producing grassland, New Zealand reports only losses in dead organic matter. The losses are calculated based on the carbon in dead organic matter </w:t>
      </w:r>
      <w:r w:rsidRPr="00D604EE">
        <w:rPr>
          <w:spacing w:val="-2"/>
        </w:rPr>
        <w:lastRenderedPageBreak/>
        <w:t xml:space="preserve">at the site before conversion to </w:t>
      </w:r>
      <w:r w:rsidRPr="00D604EE">
        <w:rPr>
          <w:i/>
          <w:spacing w:val="-2"/>
        </w:rPr>
        <w:t>Grassland</w:t>
      </w:r>
      <w:r w:rsidRPr="00D604EE">
        <w:rPr>
          <w:spacing w:val="-2"/>
        </w:rPr>
        <w:t xml:space="preserve">. It is assumed that, immediately after conversion, the carbon in the dead organic matter pool is zero (all carbon in dead organic matter before conversion is instantly oxidised in the year of conversion). New Zealand applies the Tier 1 default method to high and low producing grassland land uses, which assumes there is no dead wood or litter accumulating in </w:t>
      </w:r>
      <w:r w:rsidRPr="00D604EE">
        <w:rPr>
          <w:i/>
          <w:spacing w:val="-2"/>
        </w:rPr>
        <w:t>Land converted to grassland</w:t>
      </w:r>
      <w:r w:rsidRPr="00D604EE">
        <w:rPr>
          <w:spacing w:val="-2"/>
        </w:rPr>
        <w:t xml:space="preserve"> (IPCC, 2006a). Therefore, where there are no dead organic matter losses associated with the previous land use, the notation key NE is used in the CRF tables in accordance with Decision 24/CP.19 (UNFCCC, 2014</w:t>
      </w:r>
      <w:r w:rsidRPr="00D604EE">
        <w:t>).</w:t>
      </w:r>
    </w:p>
    <w:p w14:paraId="51025C42" w14:textId="77777777" w:rsidR="00784FA9" w:rsidRPr="00D604EE" w:rsidRDefault="00784FA9" w:rsidP="00784FA9">
      <w:pPr>
        <w:pStyle w:val="BodyText"/>
      </w:pPr>
      <w:r w:rsidRPr="00D604EE">
        <w:t xml:space="preserve">Where land is converted to </w:t>
      </w:r>
      <w:r w:rsidRPr="00D604EE">
        <w:rPr>
          <w:i/>
          <w:iCs/>
        </w:rPr>
        <w:t>Grassland with woody biomass</w:t>
      </w:r>
      <w:r w:rsidRPr="00D604EE">
        <w:t>, dead organic matter accumulates to 0.65 tonnes C ha</w:t>
      </w:r>
      <w:r w:rsidRPr="00D604EE">
        <w:rPr>
          <w:vertAlign w:val="superscript"/>
        </w:rPr>
        <w:t>–1</w:t>
      </w:r>
      <w:r w:rsidRPr="00D604EE">
        <w:t xml:space="preserve"> (see table 6.5.4) over 20 years (the IPCC default period for land to reach steady state (IPCC, 2006a).</w:t>
      </w:r>
    </w:p>
    <w:p w14:paraId="629A2A6A" w14:textId="77777777" w:rsidR="00784FA9" w:rsidRPr="00D604EE" w:rsidRDefault="00784FA9" w:rsidP="00784FA9">
      <w:pPr>
        <w:pStyle w:val="Heading5"/>
      </w:pPr>
      <w:bookmarkStart w:id="2035" w:name="_Toc255466407"/>
      <w:bookmarkStart w:id="2036" w:name="_Toc261513214"/>
      <w:bookmarkStart w:id="2037" w:name="_Toc261513827"/>
      <w:bookmarkStart w:id="2038" w:name="_Toc280630298"/>
      <w:bookmarkStart w:id="2039" w:name="_Toc139253972"/>
      <w:r w:rsidRPr="00D604EE">
        <w:t>Soil organic carbon</w:t>
      </w:r>
      <w:bookmarkEnd w:id="2035"/>
      <w:bookmarkEnd w:id="2036"/>
      <w:bookmarkEnd w:id="2037"/>
      <w:bookmarkEnd w:id="2038"/>
    </w:p>
    <w:p w14:paraId="4F5A0790" w14:textId="77777777" w:rsidR="00784FA9" w:rsidRPr="00D604EE" w:rsidRDefault="00784FA9" w:rsidP="00784FA9">
      <w:pPr>
        <w:pStyle w:val="BodyText"/>
      </w:pPr>
      <w:r w:rsidRPr="00D604EE">
        <w:t xml:space="preserve">Soil organic carbon stocks in </w:t>
      </w:r>
      <w:r w:rsidRPr="00D604EE">
        <w:rPr>
          <w:i/>
        </w:rPr>
        <w:t>Land converted to grassland</w:t>
      </w:r>
      <w:r w:rsidRPr="00D604EE">
        <w:t xml:space="preserve"> are estimated using a Tier 2 method for mineral soils and a Tier 1 method for organic soils (see annex A3.2.4). </w:t>
      </w:r>
    </w:p>
    <w:p w14:paraId="4BE0FE19" w14:textId="77777777" w:rsidR="00784FA9" w:rsidRPr="00D604EE" w:rsidRDefault="00784FA9" w:rsidP="00784FA9">
      <w:pPr>
        <w:pStyle w:val="Heading5"/>
      </w:pPr>
      <w:r w:rsidRPr="00D604EE">
        <w:t>Non-CO</w:t>
      </w:r>
      <w:r w:rsidRPr="00D604EE">
        <w:rPr>
          <w:vertAlign w:val="subscript"/>
        </w:rPr>
        <w:t>2</w:t>
      </w:r>
      <w:r w:rsidRPr="00D604EE">
        <w:t xml:space="preserve"> emissions</w:t>
      </w:r>
    </w:p>
    <w:p w14:paraId="1180D64F" w14:textId="77777777" w:rsidR="00784FA9" w:rsidRPr="00D604EE" w:rsidRDefault="00784FA9" w:rsidP="00784FA9">
      <w:pPr>
        <w:pStyle w:val="BodyText"/>
      </w:pPr>
      <w:r w:rsidRPr="00D604EE">
        <w:t>Nitrous oxide emissions from disturbance associated with land use conversion to </w:t>
      </w:r>
      <w:r w:rsidRPr="00D604EE">
        <w:rPr>
          <w:i/>
          <w:iCs/>
        </w:rPr>
        <w:t xml:space="preserve">Grassland </w:t>
      </w:r>
      <w:r w:rsidRPr="00D604EE">
        <w:t xml:space="preserve">and land use management are described in section 6.10. </w:t>
      </w:r>
    </w:p>
    <w:p w14:paraId="16AA4448" w14:textId="77777777" w:rsidR="00784FA9" w:rsidRPr="00D604EE" w:rsidRDefault="00784FA9" w:rsidP="00784FA9">
      <w:pPr>
        <w:pStyle w:val="Heading3"/>
      </w:pPr>
      <w:bookmarkStart w:id="2040" w:name="_Toc255466410"/>
      <w:bookmarkStart w:id="2041" w:name="_Toc261513217"/>
      <w:bookmarkStart w:id="2042" w:name="_Toc261513830"/>
      <w:bookmarkStart w:id="2043" w:name="_Toc280630300"/>
      <w:r w:rsidRPr="00D604EE">
        <w:t>6.5.3</w:t>
      </w:r>
      <w:r w:rsidRPr="00D604EE">
        <w:tab/>
        <w:t>Uncertainties and time-series consistency</w:t>
      </w:r>
      <w:bookmarkEnd w:id="2039"/>
      <w:bookmarkEnd w:id="2040"/>
      <w:bookmarkEnd w:id="2041"/>
      <w:bookmarkEnd w:id="2042"/>
      <w:bookmarkEnd w:id="2043"/>
    </w:p>
    <w:p w14:paraId="1D0A3EBF" w14:textId="77777777" w:rsidR="00784FA9" w:rsidRPr="00D604EE" w:rsidRDefault="00784FA9" w:rsidP="00784FA9">
      <w:pPr>
        <w:pStyle w:val="BodyText"/>
      </w:pPr>
      <w:bookmarkStart w:id="2044" w:name="_Hlk73364961"/>
      <w:r w:rsidRPr="00D604EE">
        <w:t xml:space="preserve">The uncertainty in net carbon emissions from </w:t>
      </w:r>
      <w:r w:rsidRPr="00D604EE">
        <w:rPr>
          <w:i/>
        </w:rPr>
        <w:t>Grassland</w:t>
      </w:r>
      <w:r w:rsidRPr="00D604EE">
        <w:t xml:space="preserve"> was 44.9 per cent in 2020. The uncertainty in net carbon emissions from </w:t>
      </w:r>
      <w:r w:rsidRPr="00D604EE">
        <w:rPr>
          <w:i/>
        </w:rPr>
        <w:t>Grassland</w:t>
      </w:r>
      <w:r w:rsidRPr="00D604EE">
        <w:t xml:space="preserve"> accounted for 4.9 per cent of the total uncertainty in emissions from the LULUCF sector. The uncertainty associated with the emissions from each </w:t>
      </w:r>
      <w:r w:rsidRPr="00D604EE">
        <w:rPr>
          <w:i/>
        </w:rPr>
        <w:t>Grassland</w:t>
      </w:r>
      <w:r w:rsidRPr="00D604EE">
        <w:t xml:space="preserve"> class is shown in table 6.5.5. The methods used to calculate the uncertainty are further described in annex A3.2.8. </w:t>
      </w:r>
    </w:p>
    <w:p w14:paraId="2D15EEE5" w14:textId="77777777" w:rsidR="00784FA9" w:rsidRPr="00D604EE" w:rsidRDefault="00784FA9" w:rsidP="00784FA9">
      <w:pPr>
        <w:pStyle w:val="BodyText"/>
      </w:pPr>
      <w:r w:rsidRPr="00D604EE">
        <w:t xml:space="preserve">Time-series consistency is ensured by applying consistent methods and full recalculations in the event of any refinement or improvement to methodology. </w:t>
      </w:r>
    </w:p>
    <w:p w14:paraId="3D7A81F0" w14:textId="77777777" w:rsidR="00784FA9" w:rsidRPr="00D604EE" w:rsidRDefault="00784FA9" w:rsidP="00784FA9">
      <w:pPr>
        <w:pStyle w:val="Table"/>
      </w:pPr>
      <w:bookmarkStart w:id="2045" w:name="_Toc99659301"/>
      <w:r w:rsidRPr="00D604EE">
        <w:t>Table 6.5.5</w:t>
      </w:r>
      <w:r w:rsidRPr="00D604EE">
        <w:tab/>
        <w:t xml:space="preserve">Uncertainty in carbon stock change emissions in 2020 for </w:t>
      </w:r>
      <w:r w:rsidRPr="00D604EE">
        <w:rPr>
          <w:i/>
        </w:rPr>
        <w:t>Grassland</w:t>
      </w:r>
      <w:bookmarkEnd w:id="2045"/>
      <w:r w:rsidRPr="00D604EE">
        <w:t xml:space="preserve"> </w:t>
      </w:r>
    </w:p>
    <w:tbl>
      <w:tblPr>
        <w:tblW w:w="8505" w:type="dxa"/>
        <w:tblInd w:w="108" w:type="dxa"/>
        <w:tblLayout w:type="fixed"/>
        <w:tblLook w:val="04A0" w:firstRow="1" w:lastRow="0" w:firstColumn="1" w:lastColumn="0" w:noHBand="0" w:noVBand="1"/>
      </w:tblPr>
      <w:tblGrid>
        <w:gridCol w:w="2410"/>
        <w:gridCol w:w="1701"/>
        <w:gridCol w:w="2126"/>
        <w:gridCol w:w="2268"/>
      </w:tblGrid>
      <w:tr w:rsidR="00C80962" w:rsidRPr="00D604EE" w14:paraId="73CE733C" w14:textId="77777777" w:rsidTr="00E446AF">
        <w:tc>
          <w:tcPr>
            <w:tcW w:w="2410" w:type="dxa"/>
            <w:tcBorders>
              <w:top w:val="single" w:sz="4" w:space="0" w:color="1B556B"/>
              <w:bottom w:val="single" w:sz="4" w:space="0" w:color="1B556B"/>
            </w:tcBorders>
            <w:shd w:val="clear" w:color="auto" w:fill="1B556B"/>
            <w:vAlign w:val="bottom"/>
          </w:tcPr>
          <w:p w14:paraId="1FD79740" w14:textId="77777777" w:rsidR="00784FA9" w:rsidRPr="00D604EE" w:rsidRDefault="00784FA9" w:rsidP="007E3239">
            <w:pPr>
              <w:pStyle w:val="TableTextBold"/>
              <w:keepNext/>
              <w:spacing w:before="50" w:after="50"/>
              <w:rPr>
                <w:noProof w:val="0"/>
                <w:color w:val="FFFFFF"/>
                <w:szCs w:val="16"/>
              </w:rPr>
            </w:pPr>
          </w:p>
        </w:tc>
        <w:tc>
          <w:tcPr>
            <w:tcW w:w="1701" w:type="dxa"/>
            <w:tcBorders>
              <w:top w:val="single" w:sz="4" w:space="0" w:color="1B556B"/>
              <w:bottom w:val="single" w:sz="4" w:space="0" w:color="1B556B"/>
            </w:tcBorders>
            <w:shd w:val="clear" w:color="auto" w:fill="1B556B"/>
            <w:vAlign w:val="bottom"/>
          </w:tcPr>
          <w:p w14:paraId="2CD23B88" w14:textId="68A5B241" w:rsidR="00784FA9" w:rsidRPr="00D604EE" w:rsidRDefault="00784FA9" w:rsidP="007E3239">
            <w:pPr>
              <w:pStyle w:val="TableTextBold"/>
              <w:spacing w:before="50" w:after="50"/>
              <w:jc w:val="center"/>
              <w:rPr>
                <w:noProof w:val="0"/>
                <w:color w:val="FFFFFF"/>
                <w:szCs w:val="16"/>
              </w:rPr>
            </w:pPr>
            <w:r w:rsidRPr="00D604EE">
              <w:rPr>
                <w:noProof w:val="0"/>
                <w:color w:val="FFFFFF"/>
                <w:szCs w:val="16"/>
              </w:rPr>
              <w:t>Emissions (kt CO</w:t>
            </w:r>
            <w:r w:rsidRPr="00D604EE">
              <w:rPr>
                <w:noProof w:val="0"/>
                <w:color w:val="FFFFFF"/>
                <w:szCs w:val="16"/>
                <w:vertAlign w:val="subscript"/>
              </w:rPr>
              <w:t>2</w:t>
            </w:r>
            <w:r w:rsidRPr="00D604EE">
              <w:rPr>
                <w:noProof w:val="0"/>
                <w:color w:val="FFFFFF"/>
                <w:szCs w:val="16"/>
              </w:rPr>
              <w:t>-e)</w:t>
            </w:r>
          </w:p>
        </w:tc>
        <w:tc>
          <w:tcPr>
            <w:tcW w:w="2126" w:type="dxa"/>
            <w:tcBorders>
              <w:top w:val="single" w:sz="4" w:space="0" w:color="1B556B"/>
              <w:bottom w:val="single" w:sz="4" w:space="0" w:color="1B556B"/>
            </w:tcBorders>
            <w:shd w:val="clear" w:color="auto" w:fill="1B556B"/>
            <w:vAlign w:val="bottom"/>
          </w:tcPr>
          <w:p w14:paraId="18429C9C" w14:textId="77777777" w:rsidR="00784FA9" w:rsidRPr="00D604EE" w:rsidRDefault="00784FA9" w:rsidP="007E3239">
            <w:pPr>
              <w:pStyle w:val="TableTextBold"/>
              <w:spacing w:before="50" w:after="50"/>
              <w:jc w:val="center"/>
              <w:rPr>
                <w:noProof w:val="0"/>
                <w:color w:val="FFFFFF"/>
                <w:szCs w:val="16"/>
              </w:rPr>
            </w:pPr>
            <w:r w:rsidRPr="00D604EE">
              <w:rPr>
                <w:noProof w:val="0"/>
                <w:color w:val="FFFFFF"/>
                <w:szCs w:val="16"/>
              </w:rPr>
              <w:t>Uncertainty in emissions (%)</w:t>
            </w:r>
          </w:p>
        </w:tc>
        <w:tc>
          <w:tcPr>
            <w:tcW w:w="2268" w:type="dxa"/>
            <w:tcBorders>
              <w:top w:val="single" w:sz="4" w:space="0" w:color="1B556B"/>
              <w:bottom w:val="single" w:sz="4" w:space="0" w:color="1B556B"/>
            </w:tcBorders>
            <w:shd w:val="clear" w:color="auto" w:fill="1B556B"/>
            <w:vAlign w:val="bottom"/>
          </w:tcPr>
          <w:p w14:paraId="4E7EDC18" w14:textId="77777777" w:rsidR="00784FA9" w:rsidRPr="00D604EE" w:rsidRDefault="00784FA9" w:rsidP="007E3239">
            <w:pPr>
              <w:pStyle w:val="TableTextBold"/>
              <w:spacing w:before="50" w:after="50"/>
              <w:jc w:val="center"/>
              <w:rPr>
                <w:noProof w:val="0"/>
                <w:color w:val="FFFFFF"/>
                <w:szCs w:val="16"/>
              </w:rPr>
            </w:pPr>
            <w:r w:rsidRPr="00D604EE">
              <w:rPr>
                <w:noProof w:val="0"/>
                <w:color w:val="FFFFFF"/>
                <w:szCs w:val="16"/>
              </w:rPr>
              <w:t>Contribution to LULUCF uncertainty (%)</w:t>
            </w:r>
          </w:p>
        </w:tc>
      </w:tr>
      <w:tr w:rsidR="00784FA9" w:rsidRPr="00D604EE" w14:paraId="49E545F9" w14:textId="77777777" w:rsidTr="00C80962">
        <w:tc>
          <w:tcPr>
            <w:tcW w:w="2410" w:type="dxa"/>
            <w:tcBorders>
              <w:top w:val="single" w:sz="4" w:space="0" w:color="1B556B"/>
              <w:bottom w:val="single" w:sz="4" w:space="0" w:color="1B556B"/>
            </w:tcBorders>
          </w:tcPr>
          <w:p w14:paraId="5227C1ED" w14:textId="77777777" w:rsidR="00784FA9" w:rsidRPr="00D604EE" w:rsidRDefault="00784FA9" w:rsidP="007E3239">
            <w:pPr>
              <w:pStyle w:val="TableText"/>
              <w:spacing w:before="50" w:after="50"/>
            </w:pPr>
            <w:r w:rsidRPr="00D604EE">
              <w:t>Grassland – low producing</w:t>
            </w:r>
          </w:p>
        </w:tc>
        <w:tc>
          <w:tcPr>
            <w:tcW w:w="1701" w:type="dxa"/>
            <w:tcBorders>
              <w:top w:val="single" w:sz="4" w:space="0" w:color="1B556B"/>
              <w:bottom w:val="single" w:sz="4" w:space="0" w:color="1B556B"/>
            </w:tcBorders>
          </w:tcPr>
          <w:p w14:paraId="5A47881F" w14:textId="77777777" w:rsidR="00784FA9" w:rsidRPr="00D604EE" w:rsidRDefault="00784FA9" w:rsidP="007E3239">
            <w:pPr>
              <w:pStyle w:val="TableText"/>
              <w:spacing w:before="50" w:after="50"/>
              <w:jc w:val="center"/>
            </w:pPr>
            <w:r w:rsidRPr="00D604EE">
              <w:t>1,720.2</w:t>
            </w:r>
          </w:p>
        </w:tc>
        <w:tc>
          <w:tcPr>
            <w:tcW w:w="2126" w:type="dxa"/>
            <w:tcBorders>
              <w:top w:val="single" w:sz="4" w:space="0" w:color="1B556B"/>
              <w:bottom w:val="single" w:sz="4" w:space="0" w:color="1B556B"/>
            </w:tcBorders>
          </w:tcPr>
          <w:p w14:paraId="053E041A" w14:textId="77777777" w:rsidR="00784FA9" w:rsidRPr="00D604EE" w:rsidRDefault="00784FA9" w:rsidP="007E3239">
            <w:pPr>
              <w:pStyle w:val="TableText"/>
              <w:spacing w:before="50" w:after="50"/>
              <w:jc w:val="center"/>
              <w:rPr>
                <w:rFonts w:cs="Segoe UI"/>
              </w:rPr>
            </w:pPr>
            <w:r w:rsidRPr="00D604EE">
              <w:t>65.0</w:t>
            </w:r>
          </w:p>
        </w:tc>
        <w:tc>
          <w:tcPr>
            <w:tcW w:w="2268" w:type="dxa"/>
            <w:tcBorders>
              <w:top w:val="single" w:sz="4" w:space="0" w:color="1B556B"/>
              <w:bottom w:val="single" w:sz="4" w:space="0" w:color="1B556B"/>
            </w:tcBorders>
          </w:tcPr>
          <w:p w14:paraId="37301012" w14:textId="77777777" w:rsidR="00784FA9" w:rsidRPr="00D604EE" w:rsidRDefault="00784FA9" w:rsidP="007E3239">
            <w:pPr>
              <w:pStyle w:val="TableText"/>
              <w:spacing w:before="50" w:after="50"/>
              <w:jc w:val="center"/>
              <w:rPr>
                <w:rFonts w:cs="Segoe UI"/>
              </w:rPr>
            </w:pPr>
            <w:r w:rsidRPr="00D604EE">
              <w:t>4.8</w:t>
            </w:r>
          </w:p>
        </w:tc>
      </w:tr>
      <w:tr w:rsidR="00784FA9" w:rsidRPr="00D604EE" w14:paraId="6E94658F" w14:textId="77777777" w:rsidTr="00C80962">
        <w:tc>
          <w:tcPr>
            <w:tcW w:w="2410" w:type="dxa"/>
            <w:tcBorders>
              <w:top w:val="single" w:sz="4" w:space="0" w:color="1B556B"/>
              <w:bottom w:val="single" w:sz="4" w:space="0" w:color="1B556B"/>
            </w:tcBorders>
          </w:tcPr>
          <w:p w14:paraId="7BBA4D93" w14:textId="77777777" w:rsidR="00784FA9" w:rsidRPr="00D604EE" w:rsidRDefault="00784FA9" w:rsidP="007E3239">
            <w:pPr>
              <w:pStyle w:val="TableText"/>
              <w:spacing w:before="50" w:after="50"/>
            </w:pPr>
            <w:r w:rsidRPr="00D604EE">
              <w:t>Grassland – high producing</w:t>
            </w:r>
          </w:p>
        </w:tc>
        <w:tc>
          <w:tcPr>
            <w:tcW w:w="1701" w:type="dxa"/>
            <w:tcBorders>
              <w:top w:val="single" w:sz="4" w:space="0" w:color="1B556B"/>
              <w:bottom w:val="single" w:sz="4" w:space="0" w:color="1B556B"/>
            </w:tcBorders>
          </w:tcPr>
          <w:p w14:paraId="353F04BA" w14:textId="77777777" w:rsidR="00784FA9" w:rsidRPr="00D604EE" w:rsidRDefault="00784FA9" w:rsidP="007E3239">
            <w:pPr>
              <w:pStyle w:val="TableText"/>
              <w:spacing w:before="50" w:after="50"/>
              <w:jc w:val="center"/>
            </w:pPr>
            <w:r w:rsidRPr="00D604EE">
              <w:t>517.4</w:t>
            </w:r>
          </w:p>
        </w:tc>
        <w:tc>
          <w:tcPr>
            <w:tcW w:w="2126" w:type="dxa"/>
            <w:tcBorders>
              <w:top w:val="single" w:sz="4" w:space="0" w:color="1B556B"/>
              <w:bottom w:val="single" w:sz="4" w:space="0" w:color="1B556B"/>
            </w:tcBorders>
          </w:tcPr>
          <w:p w14:paraId="4DA52504" w14:textId="77777777" w:rsidR="00784FA9" w:rsidRPr="00D604EE" w:rsidRDefault="00784FA9" w:rsidP="007E3239">
            <w:pPr>
              <w:pStyle w:val="TableText"/>
              <w:spacing w:before="50" w:after="50"/>
              <w:jc w:val="center"/>
              <w:rPr>
                <w:rFonts w:cs="Segoe UI"/>
              </w:rPr>
            </w:pPr>
            <w:r w:rsidRPr="00D604EE">
              <w:t>22.0</w:t>
            </w:r>
          </w:p>
        </w:tc>
        <w:tc>
          <w:tcPr>
            <w:tcW w:w="2268" w:type="dxa"/>
            <w:tcBorders>
              <w:top w:val="single" w:sz="4" w:space="0" w:color="1B556B"/>
              <w:bottom w:val="single" w:sz="4" w:space="0" w:color="1B556B"/>
            </w:tcBorders>
          </w:tcPr>
          <w:p w14:paraId="5389F54D" w14:textId="77777777" w:rsidR="00784FA9" w:rsidRPr="00D604EE" w:rsidRDefault="00784FA9" w:rsidP="007E3239">
            <w:pPr>
              <w:pStyle w:val="TableText"/>
              <w:spacing w:before="50" w:after="50"/>
              <w:jc w:val="center"/>
              <w:rPr>
                <w:rFonts w:cs="Segoe UI"/>
              </w:rPr>
            </w:pPr>
            <w:r w:rsidRPr="00D604EE">
              <w:t>0.5</w:t>
            </w:r>
          </w:p>
        </w:tc>
      </w:tr>
      <w:tr w:rsidR="00784FA9" w:rsidRPr="00D604EE" w14:paraId="6024A6A1" w14:textId="77777777" w:rsidTr="00C80962">
        <w:tc>
          <w:tcPr>
            <w:tcW w:w="2410" w:type="dxa"/>
            <w:tcBorders>
              <w:top w:val="single" w:sz="4" w:space="0" w:color="1B556B"/>
              <w:bottom w:val="single" w:sz="4" w:space="0" w:color="1B556B"/>
            </w:tcBorders>
          </w:tcPr>
          <w:p w14:paraId="4E090FF1" w14:textId="77777777" w:rsidR="00784FA9" w:rsidRPr="00D604EE" w:rsidRDefault="00784FA9" w:rsidP="007E3239">
            <w:pPr>
              <w:pStyle w:val="TableText"/>
              <w:spacing w:before="50" w:after="50"/>
            </w:pPr>
            <w:r w:rsidRPr="00D604EE">
              <w:t>Grassland – with woody biomass</w:t>
            </w:r>
          </w:p>
        </w:tc>
        <w:tc>
          <w:tcPr>
            <w:tcW w:w="1701" w:type="dxa"/>
            <w:tcBorders>
              <w:top w:val="single" w:sz="4" w:space="0" w:color="1B556B"/>
              <w:bottom w:val="single" w:sz="4" w:space="0" w:color="1B556B"/>
            </w:tcBorders>
          </w:tcPr>
          <w:p w14:paraId="4CB56718" w14:textId="77777777" w:rsidR="00784FA9" w:rsidRPr="00D604EE" w:rsidRDefault="00784FA9" w:rsidP="007E3239">
            <w:pPr>
              <w:pStyle w:val="TableText"/>
              <w:spacing w:before="50" w:after="50"/>
              <w:jc w:val="center"/>
            </w:pPr>
            <w:r w:rsidRPr="00D604EE">
              <w:t>286.9</w:t>
            </w:r>
          </w:p>
        </w:tc>
        <w:tc>
          <w:tcPr>
            <w:tcW w:w="2126" w:type="dxa"/>
            <w:tcBorders>
              <w:top w:val="single" w:sz="4" w:space="0" w:color="1B556B"/>
              <w:bottom w:val="single" w:sz="4" w:space="0" w:color="1B556B"/>
            </w:tcBorders>
          </w:tcPr>
          <w:p w14:paraId="6640D5B0" w14:textId="77777777" w:rsidR="00784FA9" w:rsidRPr="00D604EE" w:rsidRDefault="00784FA9" w:rsidP="007E3239">
            <w:pPr>
              <w:pStyle w:val="TableText"/>
              <w:spacing w:before="50" w:after="50"/>
              <w:jc w:val="center"/>
            </w:pPr>
            <w:r w:rsidRPr="00D604EE">
              <w:t>54.4</w:t>
            </w:r>
          </w:p>
        </w:tc>
        <w:tc>
          <w:tcPr>
            <w:tcW w:w="2268" w:type="dxa"/>
            <w:tcBorders>
              <w:top w:val="single" w:sz="4" w:space="0" w:color="1B556B"/>
              <w:bottom w:val="single" w:sz="4" w:space="0" w:color="1B556B"/>
            </w:tcBorders>
          </w:tcPr>
          <w:p w14:paraId="6052B633" w14:textId="77777777" w:rsidR="00784FA9" w:rsidRPr="00D604EE" w:rsidRDefault="00784FA9" w:rsidP="007E3239">
            <w:pPr>
              <w:pStyle w:val="TableText"/>
              <w:spacing w:before="50" w:after="50"/>
              <w:jc w:val="center"/>
            </w:pPr>
            <w:r w:rsidRPr="00D604EE">
              <w:t>0.7</w:t>
            </w:r>
          </w:p>
        </w:tc>
      </w:tr>
      <w:tr w:rsidR="00784FA9" w:rsidRPr="00D604EE" w14:paraId="034061FF" w14:textId="77777777" w:rsidTr="00C80962">
        <w:tc>
          <w:tcPr>
            <w:tcW w:w="2410" w:type="dxa"/>
            <w:tcBorders>
              <w:top w:val="single" w:sz="4" w:space="0" w:color="1B556B"/>
              <w:bottom w:val="single" w:sz="4" w:space="0" w:color="1B556B"/>
            </w:tcBorders>
          </w:tcPr>
          <w:p w14:paraId="79196219" w14:textId="77777777" w:rsidR="00784FA9" w:rsidRPr="00D604EE" w:rsidRDefault="00784FA9" w:rsidP="007E3239">
            <w:pPr>
              <w:pStyle w:val="TableTextBold"/>
              <w:spacing w:before="50" w:after="50"/>
              <w:rPr>
                <w:noProof w:val="0"/>
              </w:rPr>
            </w:pPr>
            <w:r w:rsidRPr="00D604EE">
              <w:rPr>
                <w:noProof w:val="0"/>
              </w:rPr>
              <w:t xml:space="preserve">Total </w:t>
            </w:r>
          </w:p>
        </w:tc>
        <w:tc>
          <w:tcPr>
            <w:tcW w:w="1701" w:type="dxa"/>
            <w:tcBorders>
              <w:top w:val="single" w:sz="4" w:space="0" w:color="1B556B"/>
              <w:bottom w:val="single" w:sz="4" w:space="0" w:color="1B556B"/>
            </w:tcBorders>
          </w:tcPr>
          <w:p w14:paraId="5DD563B3" w14:textId="77777777" w:rsidR="00784FA9" w:rsidRPr="00D604EE" w:rsidRDefault="00784FA9" w:rsidP="007E3239">
            <w:pPr>
              <w:pStyle w:val="TableTextBold"/>
              <w:spacing w:before="50" w:after="50"/>
              <w:jc w:val="center"/>
              <w:rPr>
                <w:bCs/>
                <w:noProof w:val="0"/>
              </w:rPr>
            </w:pPr>
            <w:r w:rsidRPr="00D604EE">
              <w:rPr>
                <w:noProof w:val="0"/>
              </w:rPr>
              <w:t>2</w:t>
            </w:r>
            <w:r w:rsidRPr="00D604EE">
              <w:rPr>
                <w:bCs/>
                <w:noProof w:val="0"/>
              </w:rPr>
              <w:t>,</w:t>
            </w:r>
            <w:r w:rsidRPr="00D604EE">
              <w:rPr>
                <w:noProof w:val="0"/>
              </w:rPr>
              <w:t>524.5</w:t>
            </w:r>
          </w:p>
        </w:tc>
        <w:tc>
          <w:tcPr>
            <w:tcW w:w="2126" w:type="dxa"/>
            <w:tcBorders>
              <w:top w:val="single" w:sz="4" w:space="0" w:color="1B556B"/>
              <w:bottom w:val="single" w:sz="4" w:space="0" w:color="1B556B"/>
            </w:tcBorders>
          </w:tcPr>
          <w:p w14:paraId="5E5EA55D" w14:textId="77777777" w:rsidR="00784FA9" w:rsidRPr="00D604EE" w:rsidRDefault="00784FA9" w:rsidP="007E3239">
            <w:pPr>
              <w:pStyle w:val="TableTextBold"/>
              <w:spacing w:before="50" w:after="50"/>
              <w:jc w:val="center"/>
              <w:rPr>
                <w:rFonts w:cs="Segoe UI"/>
                <w:noProof w:val="0"/>
              </w:rPr>
            </w:pPr>
            <w:r w:rsidRPr="00D604EE">
              <w:rPr>
                <w:noProof w:val="0"/>
              </w:rPr>
              <w:t>44.9</w:t>
            </w:r>
          </w:p>
        </w:tc>
        <w:tc>
          <w:tcPr>
            <w:tcW w:w="2268" w:type="dxa"/>
            <w:tcBorders>
              <w:top w:val="single" w:sz="4" w:space="0" w:color="1B556B"/>
              <w:bottom w:val="single" w:sz="4" w:space="0" w:color="1B556B"/>
            </w:tcBorders>
          </w:tcPr>
          <w:p w14:paraId="6FFACABB" w14:textId="77777777" w:rsidR="00784FA9" w:rsidRPr="00D604EE" w:rsidRDefault="00784FA9" w:rsidP="007E3239">
            <w:pPr>
              <w:pStyle w:val="TableTextBold"/>
              <w:spacing w:before="50" w:after="50"/>
              <w:jc w:val="center"/>
              <w:rPr>
                <w:rFonts w:cs="Segoe UI"/>
                <w:noProof w:val="0"/>
              </w:rPr>
            </w:pPr>
            <w:r w:rsidRPr="00D604EE">
              <w:rPr>
                <w:noProof w:val="0"/>
              </w:rPr>
              <w:t>4.9</w:t>
            </w:r>
          </w:p>
        </w:tc>
      </w:tr>
    </w:tbl>
    <w:p w14:paraId="57FC2311" w14:textId="77777777" w:rsidR="00784FA9" w:rsidRPr="00D604EE" w:rsidRDefault="00784FA9" w:rsidP="00784FA9">
      <w:pPr>
        <w:pStyle w:val="Heading3"/>
      </w:pPr>
      <w:bookmarkStart w:id="2046" w:name="_Toc139253973"/>
      <w:bookmarkStart w:id="2047" w:name="_Toc255466411"/>
      <w:bookmarkStart w:id="2048" w:name="_Toc261513218"/>
      <w:bookmarkStart w:id="2049" w:name="_Toc261513831"/>
      <w:bookmarkStart w:id="2050" w:name="_Toc280630301"/>
      <w:bookmarkEnd w:id="2044"/>
      <w:r w:rsidRPr="00D604EE">
        <w:t>6.5.4</w:t>
      </w:r>
      <w:r w:rsidRPr="00D604EE">
        <w:tab/>
        <w:t>Category-specific QA/QC and verification</w:t>
      </w:r>
      <w:bookmarkEnd w:id="2046"/>
      <w:bookmarkEnd w:id="2047"/>
      <w:bookmarkEnd w:id="2048"/>
      <w:bookmarkEnd w:id="2049"/>
      <w:bookmarkEnd w:id="2050"/>
    </w:p>
    <w:p w14:paraId="7EDA1C30" w14:textId="77777777" w:rsidR="00784FA9" w:rsidRPr="00D604EE" w:rsidRDefault="00784FA9" w:rsidP="00784FA9">
      <w:pPr>
        <w:pStyle w:val="BodyText"/>
      </w:pPr>
      <w:bookmarkStart w:id="2051" w:name="_Toc139253974"/>
      <w:r w:rsidRPr="00D604EE">
        <w:t xml:space="preserve">Emissions from the </w:t>
      </w:r>
      <w:r w:rsidRPr="00D604EE">
        <w:rPr>
          <w:i/>
        </w:rPr>
        <w:t>Grassland remaining grassland</w:t>
      </w:r>
      <w:r w:rsidRPr="00D604EE">
        <w:t xml:space="preserve"> and </w:t>
      </w:r>
      <w:r w:rsidRPr="00D604EE">
        <w:rPr>
          <w:i/>
        </w:rPr>
        <w:t>Land converted to grassland</w:t>
      </w:r>
      <w:r w:rsidRPr="00D604EE">
        <w:t xml:space="preserve"> categories are key categories (level and trend). In the preparation of this inventory, the data for these emissions underwent Tier 1 quality checks.</w:t>
      </w:r>
    </w:p>
    <w:p w14:paraId="10786C8E" w14:textId="77777777" w:rsidR="00784FA9" w:rsidRPr="00D604EE" w:rsidRDefault="00784FA9" w:rsidP="00784FA9">
      <w:pPr>
        <w:pStyle w:val="Heading3"/>
      </w:pPr>
      <w:bookmarkStart w:id="2052" w:name="_Toc255466412"/>
      <w:bookmarkStart w:id="2053" w:name="_Toc261513219"/>
      <w:bookmarkStart w:id="2054" w:name="_Toc261513832"/>
      <w:bookmarkStart w:id="2055" w:name="_Toc280630302"/>
      <w:r w:rsidRPr="00D604EE">
        <w:t>6.5.5</w:t>
      </w:r>
      <w:r w:rsidRPr="00D604EE">
        <w:tab/>
        <w:t>Category-specific recalculations</w:t>
      </w:r>
      <w:bookmarkEnd w:id="2051"/>
      <w:bookmarkEnd w:id="2052"/>
      <w:bookmarkEnd w:id="2053"/>
      <w:bookmarkEnd w:id="2054"/>
      <w:bookmarkEnd w:id="2055"/>
    </w:p>
    <w:p w14:paraId="76E934A9" w14:textId="77777777" w:rsidR="00784FA9" w:rsidRPr="00D604EE" w:rsidRDefault="00784FA9" w:rsidP="00784FA9">
      <w:pPr>
        <w:pStyle w:val="BodyText"/>
      </w:pPr>
      <w:bookmarkStart w:id="2056" w:name="_Toc139253975"/>
      <w:r w:rsidRPr="00D604EE">
        <w:t>The impact of recalculations on net CO</w:t>
      </w:r>
      <w:r w:rsidRPr="00D604EE">
        <w:rPr>
          <w:vertAlign w:val="subscript"/>
        </w:rPr>
        <w:t>2</w:t>
      </w:r>
      <w:r w:rsidRPr="00D604EE">
        <w:t xml:space="preserve">-e emission estimates for the </w:t>
      </w:r>
      <w:r w:rsidRPr="00D604EE">
        <w:rPr>
          <w:i/>
        </w:rPr>
        <w:t>Grassland</w:t>
      </w:r>
      <w:r w:rsidRPr="00D604EE">
        <w:t xml:space="preserve"> category is shown in table 6.5.6. </w:t>
      </w:r>
    </w:p>
    <w:p w14:paraId="6B96369F" w14:textId="77777777" w:rsidR="00784FA9" w:rsidRPr="00D604EE" w:rsidRDefault="00784FA9" w:rsidP="00784FA9">
      <w:pPr>
        <w:pStyle w:val="Table"/>
      </w:pPr>
      <w:bookmarkStart w:id="2057" w:name="_Toc310423428"/>
      <w:bookmarkStart w:id="2058" w:name="_Toc318362721"/>
      <w:bookmarkStart w:id="2059" w:name="_Toc342470783"/>
      <w:bookmarkStart w:id="2060" w:name="_Toc352505023"/>
      <w:bookmarkStart w:id="2061" w:name="_Toc378853312"/>
      <w:bookmarkStart w:id="2062" w:name="_Toc391024110"/>
      <w:bookmarkStart w:id="2063" w:name="_Toc410028853"/>
      <w:bookmarkStart w:id="2064" w:name="_Toc414531481"/>
      <w:bookmarkStart w:id="2065" w:name="_Toc443645394"/>
      <w:bookmarkStart w:id="2066" w:name="_Toc474914613"/>
      <w:bookmarkStart w:id="2067" w:name="_Toc481751577"/>
      <w:bookmarkStart w:id="2068" w:name="_Toc522010634"/>
      <w:bookmarkStart w:id="2069" w:name="_Toc5269539"/>
      <w:bookmarkStart w:id="2070" w:name="_Toc33529413"/>
      <w:bookmarkStart w:id="2071" w:name="_Toc36224619"/>
      <w:bookmarkStart w:id="2072" w:name="_Toc99659302"/>
      <w:r w:rsidRPr="00D604EE">
        <w:lastRenderedPageBreak/>
        <w:t>Table 6.5.6</w:t>
      </w:r>
      <w:r w:rsidRPr="00D604EE">
        <w:tab/>
        <w:t xml:space="preserve">Recalculations of New Zealand’s net emissions from the </w:t>
      </w:r>
      <w:r w:rsidRPr="00D604EE">
        <w:rPr>
          <w:i/>
        </w:rPr>
        <w:t>Grassland</w:t>
      </w:r>
      <w:r w:rsidRPr="00D604EE">
        <w:t xml:space="preserve"> category in 1990 and</w:t>
      </w:r>
      <w:bookmarkEnd w:id="2057"/>
      <w:bookmarkEnd w:id="2058"/>
      <w:bookmarkEnd w:id="2059"/>
      <w:bookmarkEnd w:id="2060"/>
      <w:bookmarkEnd w:id="2061"/>
      <w:bookmarkEnd w:id="2062"/>
      <w:r w:rsidRPr="00D604EE">
        <w:t> </w:t>
      </w:r>
      <w:bookmarkEnd w:id="2063"/>
      <w:bookmarkEnd w:id="2064"/>
      <w:bookmarkEnd w:id="2065"/>
      <w:bookmarkEnd w:id="2066"/>
      <w:bookmarkEnd w:id="2067"/>
      <w:bookmarkEnd w:id="2068"/>
      <w:bookmarkEnd w:id="2069"/>
      <w:bookmarkEnd w:id="2070"/>
      <w:bookmarkEnd w:id="2071"/>
      <w:r w:rsidRPr="00D604EE">
        <w:t>2019</w:t>
      </w:r>
      <w:bookmarkEnd w:id="2072"/>
    </w:p>
    <w:tbl>
      <w:tblPr>
        <w:tblW w:w="8505" w:type="dxa"/>
        <w:tblInd w:w="108" w:type="dxa"/>
        <w:tblLayout w:type="fixed"/>
        <w:tblLook w:val="04A0" w:firstRow="1" w:lastRow="0" w:firstColumn="1" w:lastColumn="0" w:noHBand="0" w:noVBand="1"/>
      </w:tblPr>
      <w:tblGrid>
        <w:gridCol w:w="1203"/>
        <w:gridCol w:w="1825"/>
        <w:gridCol w:w="1825"/>
        <w:gridCol w:w="1825"/>
        <w:gridCol w:w="1827"/>
      </w:tblGrid>
      <w:tr w:rsidR="00C92205" w:rsidRPr="00AD4336" w14:paraId="1CAD3BFB" w14:textId="77777777" w:rsidTr="00C92205">
        <w:tc>
          <w:tcPr>
            <w:tcW w:w="1203" w:type="dxa"/>
            <w:tcBorders>
              <w:top w:val="single" w:sz="4" w:space="0" w:color="1B556B"/>
            </w:tcBorders>
            <w:shd w:val="clear" w:color="auto" w:fill="1B556B"/>
            <w:vAlign w:val="bottom"/>
          </w:tcPr>
          <w:p w14:paraId="7CBA5C15" w14:textId="5F95EF8A" w:rsidR="00784FA9" w:rsidRPr="00AD4336" w:rsidRDefault="00784FA9" w:rsidP="00C92205">
            <w:pPr>
              <w:pStyle w:val="TableTextBold"/>
              <w:spacing w:before="50" w:after="0"/>
              <w:rPr>
                <w:color w:val="FFFFFF"/>
              </w:rPr>
            </w:pPr>
          </w:p>
        </w:tc>
        <w:tc>
          <w:tcPr>
            <w:tcW w:w="3650" w:type="dxa"/>
            <w:gridSpan w:val="2"/>
            <w:tcBorders>
              <w:top w:val="single" w:sz="4" w:space="0" w:color="1B556B"/>
            </w:tcBorders>
            <w:shd w:val="clear" w:color="auto" w:fill="1B556B"/>
            <w:noWrap/>
            <w:vAlign w:val="bottom"/>
          </w:tcPr>
          <w:p w14:paraId="146B883E" w14:textId="77777777" w:rsidR="00784FA9" w:rsidRPr="00AD4336" w:rsidRDefault="00784FA9" w:rsidP="00312128">
            <w:pPr>
              <w:pStyle w:val="TableTextBold"/>
              <w:keepNext/>
              <w:spacing w:before="50" w:after="0"/>
              <w:jc w:val="center"/>
              <w:rPr>
                <w:noProof w:val="0"/>
                <w:color w:val="FFFFFF"/>
              </w:rPr>
            </w:pPr>
            <w:r w:rsidRPr="00AD4336">
              <w:rPr>
                <w:noProof w:val="0"/>
                <w:color w:val="FFFFFF"/>
              </w:rPr>
              <w:t>Net emissions (kt CO</w:t>
            </w:r>
            <w:r w:rsidRPr="00AD4336">
              <w:rPr>
                <w:noProof w:val="0"/>
                <w:color w:val="FFFFFF"/>
                <w:vertAlign w:val="subscript"/>
              </w:rPr>
              <w:t>2</w:t>
            </w:r>
            <w:r w:rsidRPr="00AD4336">
              <w:rPr>
                <w:noProof w:val="0"/>
                <w:color w:val="FFFFFF"/>
              </w:rPr>
              <w:t>-e)</w:t>
            </w:r>
          </w:p>
        </w:tc>
        <w:tc>
          <w:tcPr>
            <w:tcW w:w="3652" w:type="dxa"/>
            <w:gridSpan w:val="2"/>
            <w:tcBorders>
              <w:top w:val="single" w:sz="4" w:space="0" w:color="1B556B"/>
            </w:tcBorders>
            <w:shd w:val="clear" w:color="auto" w:fill="1B556B"/>
            <w:vAlign w:val="bottom"/>
          </w:tcPr>
          <w:p w14:paraId="7C567AAD" w14:textId="77777777" w:rsidR="00784FA9" w:rsidRPr="00AD4336" w:rsidRDefault="00784FA9" w:rsidP="00312128">
            <w:pPr>
              <w:pStyle w:val="TableTextBold"/>
              <w:keepNext/>
              <w:spacing w:before="50" w:after="0"/>
              <w:jc w:val="center"/>
              <w:rPr>
                <w:noProof w:val="0"/>
                <w:color w:val="FFFFFF"/>
              </w:rPr>
            </w:pPr>
            <w:r w:rsidRPr="00AD4336">
              <w:rPr>
                <w:noProof w:val="0"/>
                <w:color w:val="FFFFFF"/>
              </w:rPr>
              <w:t>Change from the 2021 submission</w:t>
            </w:r>
          </w:p>
        </w:tc>
      </w:tr>
      <w:tr w:rsidR="00784FA9" w:rsidRPr="00D604EE" w14:paraId="34337FFF" w14:textId="77777777" w:rsidTr="00C92205">
        <w:tc>
          <w:tcPr>
            <w:tcW w:w="1203" w:type="dxa"/>
            <w:tcBorders>
              <w:bottom w:val="single" w:sz="4" w:space="0" w:color="1B556B"/>
            </w:tcBorders>
            <w:shd w:val="clear" w:color="auto" w:fill="1B556B"/>
            <w:vAlign w:val="bottom"/>
          </w:tcPr>
          <w:p w14:paraId="3CE2CCD9" w14:textId="16135A9A" w:rsidR="00784FA9" w:rsidRPr="00D604EE" w:rsidRDefault="00C92205" w:rsidP="007E3239">
            <w:pPr>
              <w:pStyle w:val="TableTextBold"/>
              <w:keepNext/>
              <w:spacing w:before="50" w:after="50"/>
              <w:rPr>
                <w:noProof w:val="0"/>
                <w:color w:val="FFFFFF"/>
              </w:rPr>
            </w:pPr>
            <w:r w:rsidRPr="00D604EE">
              <w:rPr>
                <w:noProof w:val="0"/>
                <w:color w:val="FFFFFF"/>
              </w:rPr>
              <w:t>Year</w:t>
            </w:r>
          </w:p>
        </w:tc>
        <w:tc>
          <w:tcPr>
            <w:tcW w:w="1825" w:type="dxa"/>
            <w:tcBorders>
              <w:bottom w:val="single" w:sz="4" w:space="0" w:color="1B556B"/>
            </w:tcBorders>
            <w:shd w:val="clear" w:color="auto" w:fill="1B556B"/>
            <w:vAlign w:val="bottom"/>
          </w:tcPr>
          <w:p w14:paraId="63D9714E" w14:textId="77777777" w:rsidR="00784FA9" w:rsidRPr="00D604EE" w:rsidRDefault="00784FA9" w:rsidP="007E3239">
            <w:pPr>
              <w:pStyle w:val="TableTextBold"/>
              <w:keepNext/>
              <w:spacing w:before="50" w:after="50"/>
              <w:jc w:val="center"/>
              <w:rPr>
                <w:noProof w:val="0"/>
                <w:color w:val="FFFFFF"/>
              </w:rPr>
            </w:pPr>
            <w:r w:rsidRPr="00D604EE">
              <w:rPr>
                <w:noProof w:val="0"/>
                <w:color w:val="FFFFFF"/>
              </w:rPr>
              <w:t>2021 submission</w:t>
            </w:r>
          </w:p>
        </w:tc>
        <w:tc>
          <w:tcPr>
            <w:tcW w:w="1825" w:type="dxa"/>
            <w:tcBorders>
              <w:bottom w:val="single" w:sz="4" w:space="0" w:color="1B556B"/>
            </w:tcBorders>
            <w:shd w:val="clear" w:color="auto" w:fill="1B556B"/>
            <w:vAlign w:val="bottom"/>
          </w:tcPr>
          <w:p w14:paraId="27DC9A53" w14:textId="77777777" w:rsidR="00784FA9" w:rsidRPr="00D604EE" w:rsidRDefault="00784FA9" w:rsidP="007E3239">
            <w:pPr>
              <w:pStyle w:val="TableTextBold"/>
              <w:keepNext/>
              <w:spacing w:before="50" w:after="50"/>
              <w:jc w:val="center"/>
              <w:rPr>
                <w:noProof w:val="0"/>
                <w:color w:val="FFFFFF"/>
              </w:rPr>
            </w:pPr>
            <w:r w:rsidRPr="00D604EE">
              <w:rPr>
                <w:noProof w:val="0"/>
                <w:color w:val="FFFFFF"/>
              </w:rPr>
              <w:t>2022 submission</w:t>
            </w:r>
          </w:p>
        </w:tc>
        <w:tc>
          <w:tcPr>
            <w:tcW w:w="1825" w:type="dxa"/>
            <w:tcBorders>
              <w:bottom w:val="single" w:sz="4" w:space="0" w:color="1B556B"/>
            </w:tcBorders>
            <w:shd w:val="clear" w:color="auto" w:fill="1B556B"/>
            <w:vAlign w:val="bottom"/>
          </w:tcPr>
          <w:p w14:paraId="55192596" w14:textId="77777777" w:rsidR="00784FA9" w:rsidRPr="00D604EE" w:rsidRDefault="00784FA9" w:rsidP="007E3239">
            <w:pPr>
              <w:pStyle w:val="TableTextBold"/>
              <w:keepNext/>
              <w:spacing w:before="50" w:after="50"/>
              <w:jc w:val="center"/>
              <w:rPr>
                <w:noProof w:val="0"/>
                <w:color w:val="FFFFFF"/>
              </w:rPr>
            </w:pPr>
            <w:r w:rsidRPr="00D604EE">
              <w:rPr>
                <w:noProof w:val="0"/>
                <w:color w:val="FFFFFF"/>
              </w:rPr>
              <w:t>(kt CO</w:t>
            </w:r>
            <w:r w:rsidRPr="00D604EE">
              <w:rPr>
                <w:noProof w:val="0"/>
                <w:color w:val="FFFFFF"/>
                <w:vertAlign w:val="subscript"/>
              </w:rPr>
              <w:t>2</w:t>
            </w:r>
            <w:r w:rsidRPr="00D604EE">
              <w:rPr>
                <w:noProof w:val="0"/>
                <w:color w:val="FFFFFF"/>
              </w:rPr>
              <w:t>-e)</w:t>
            </w:r>
          </w:p>
        </w:tc>
        <w:tc>
          <w:tcPr>
            <w:tcW w:w="1827" w:type="dxa"/>
            <w:tcBorders>
              <w:bottom w:val="single" w:sz="4" w:space="0" w:color="1B556B"/>
            </w:tcBorders>
            <w:shd w:val="clear" w:color="auto" w:fill="1B556B"/>
            <w:vAlign w:val="bottom"/>
          </w:tcPr>
          <w:p w14:paraId="40C3D79D" w14:textId="77777777" w:rsidR="00784FA9" w:rsidRPr="00D604EE" w:rsidRDefault="00784FA9" w:rsidP="007E3239">
            <w:pPr>
              <w:pStyle w:val="TableTextBold"/>
              <w:keepNext/>
              <w:spacing w:before="50" w:after="50"/>
              <w:jc w:val="center"/>
              <w:rPr>
                <w:noProof w:val="0"/>
                <w:color w:val="FFFFFF"/>
              </w:rPr>
            </w:pPr>
            <w:r w:rsidRPr="00D604EE">
              <w:rPr>
                <w:noProof w:val="0"/>
                <w:color w:val="FFFFFF"/>
              </w:rPr>
              <w:t>(%)</w:t>
            </w:r>
          </w:p>
        </w:tc>
      </w:tr>
      <w:tr w:rsidR="00784FA9" w:rsidRPr="00D604EE" w14:paraId="6655699D" w14:textId="77777777" w:rsidTr="00C92205">
        <w:tc>
          <w:tcPr>
            <w:tcW w:w="1203" w:type="dxa"/>
            <w:tcBorders>
              <w:top w:val="single" w:sz="4" w:space="0" w:color="1B556B"/>
              <w:bottom w:val="single" w:sz="4" w:space="0" w:color="1B556B"/>
            </w:tcBorders>
          </w:tcPr>
          <w:p w14:paraId="36C22AEF" w14:textId="77777777" w:rsidR="00784FA9" w:rsidRPr="00D604EE" w:rsidRDefault="00784FA9" w:rsidP="007E3239">
            <w:pPr>
              <w:pStyle w:val="TableText"/>
              <w:spacing w:before="50" w:after="50"/>
            </w:pPr>
            <w:r w:rsidRPr="00D604EE">
              <w:t xml:space="preserve">1990 </w:t>
            </w:r>
          </w:p>
        </w:tc>
        <w:tc>
          <w:tcPr>
            <w:tcW w:w="1825" w:type="dxa"/>
            <w:tcBorders>
              <w:top w:val="single" w:sz="4" w:space="0" w:color="1B556B"/>
              <w:bottom w:val="single" w:sz="4" w:space="0" w:color="1B556B"/>
            </w:tcBorders>
          </w:tcPr>
          <w:p w14:paraId="51F5EFBC" w14:textId="77777777" w:rsidR="00784FA9" w:rsidRPr="00D604EE" w:rsidRDefault="00784FA9" w:rsidP="007E3239">
            <w:pPr>
              <w:pStyle w:val="TableText"/>
              <w:spacing w:before="50" w:after="50"/>
              <w:jc w:val="center"/>
              <w:rPr>
                <w:color w:val="000000"/>
              </w:rPr>
            </w:pPr>
            <w:r w:rsidRPr="00D604EE">
              <w:t>680.2</w:t>
            </w:r>
          </w:p>
        </w:tc>
        <w:tc>
          <w:tcPr>
            <w:tcW w:w="1825" w:type="dxa"/>
            <w:tcBorders>
              <w:top w:val="single" w:sz="4" w:space="0" w:color="1B556B"/>
              <w:bottom w:val="single" w:sz="4" w:space="0" w:color="1B556B"/>
            </w:tcBorders>
          </w:tcPr>
          <w:p w14:paraId="62FAE220" w14:textId="77777777" w:rsidR="00784FA9" w:rsidRPr="00D604EE" w:rsidRDefault="00784FA9" w:rsidP="007E3239">
            <w:pPr>
              <w:pStyle w:val="TableText"/>
              <w:spacing w:before="50" w:after="50"/>
              <w:jc w:val="center"/>
              <w:rPr>
                <w:color w:val="000000"/>
              </w:rPr>
            </w:pPr>
            <w:r w:rsidRPr="00D604EE">
              <w:t>724.7</w:t>
            </w:r>
          </w:p>
        </w:tc>
        <w:tc>
          <w:tcPr>
            <w:tcW w:w="1825" w:type="dxa"/>
            <w:tcBorders>
              <w:top w:val="single" w:sz="4" w:space="0" w:color="1B556B"/>
              <w:bottom w:val="single" w:sz="4" w:space="0" w:color="1B556B"/>
            </w:tcBorders>
          </w:tcPr>
          <w:p w14:paraId="4DC1D5DE" w14:textId="77777777" w:rsidR="00784FA9" w:rsidRPr="00D604EE" w:rsidRDefault="00784FA9" w:rsidP="007E3239">
            <w:pPr>
              <w:pStyle w:val="TableText"/>
              <w:spacing w:before="50" w:after="50"/>
              <w:jc w:val="center"/>
              <w:rPr>
                <w:color w:val="000000"/>
              </w:rPr>
            </w:pPr>
            <w:r w:rsidRPr="00D604EE">
              <w:t xml:space="preserve">44.5 </w:t>
            </w:r>
          </w:p>
        </w:tc>
        <w:tc>
          <w:tcPr>
            <w:tcW w:w="1827" w:type="dxa"/>
            <w:tcBorders>
              <w:top w:val="single" w:sz="4" w:space="0" w:color="1B556B"/>
              <w:bottom w:val="single" w:sz="4" w:space="0" w:color="1B556B"/>
            </w:tcBorders>
          </w:tcPr>
          <w:p w14:paraId="2036833C" w14:textId="77777777" w:rsidR="00784FA9" w:rsidRPr="00D604EE" w:rsidRDefault="00784FA9" w:rsidP="007E3239">
            <w:pPr>
              <w:pStyle w:val="TableText"/>
              <w:spacing w:before="50" w:after="50"/>
              <w:jc w:val="center"/>
              <w:rPr>
                <w:color w:val="000000"/>
              </w:rPr>
            </w:pPr>
            <w:r w:rsidRPr="00D604EE">
              <w:t>6.5</w:t>
            </w:r>
          </w:p>
        </w:tc>
      </w:tr>
      <w:tr w:rsidR="00784FA9" w:rsidRPr="00D604EE" w14:paraId="42E89C38" w14:textId="77777777" w:rsidTr="007E3239">
        <w:tc>
          <w:tcPr>
            <w:tcW w:w="1203" w:type="dxa"/>
            <w:tcBorders>
              <w:top w:val="single" w:sz="4" w:space="0" w:color="1B556B"/>
              <w:bottom w:val="single" w:sz="4" w:space="0" w:color="1B556B"/>
            </w:tcBorders>
          </w:tcPr>
          <w:p w14:paraId="75C19D8C" w14:textId="77777777" w:rsidR="00784FA9" w:rsidRPr="00D604EE" w:rsidRDefault="00784FA9" w:rsidP="007E3239">
            <w:pPr>
              <w:pStyle w:val="TableText"/>
              <w:spacing w:before="50" w:after="50"/>
            </w:pPr>
            <w:r w:rsidRPr="00D604EE">
              <w:t>2019</w:t>
            </w:r>
          </w:p>
        </w:tc>
        <w:tc>
          <w:tcPr>
            <w:tcW w:w="1825" w:type="dxa"/>
            <w:tcBorders>
              <w:top w:val="single" w:sz="4" w:space="0" w:color="1B556B"/>
              <w:bottom w:val="single" w:sz="4" w:space="0" w:color="1B556B"/>
            </w:tcBorders>
          </w:tcPr>
          <w:p w14:paraId="1FC60B2F" w14:textId="77777777" w:rsidR="00784FA9" w:rsidRPr="00D604EE" w:rsidRDefault="00784FA9" w:rsidP="007E3239">
            <w:pPr>
              <w:pStyle w:val="TableText"/>
              <w:spacing w:before="50" w:after="50"/>
              <w:jc w:val="center"/>
              <w:rPr>
                <w:color w:val="000000"/>
              </w:rPr>
            </w:pPr>
            <w:r w:rsidRPr="00D604EE">
              <w:t>4,253.6</w:t>
            </w:r>
          </w:p>
        </w:tc>
        <w:tc>
          <w:tcPr>
            <w:tcW w:w="1825" w:type="dxa"/>
            <w:tcBorders>
              <w:top w:val="single" w:sz="4" w:space="0" w:color="1B556B"/>
              <w:bottom w:val="single" w:sz="4" w:space="0" w:color="1B556B"/>
            </w:tcBorders>
          </w:tcPr>
          <w:p w14:paraId="0BA7BF5A" w14:textId="77777777" w:rsidR="00784FA9" w:rsidRPr="00D604EE" w:rsidRDefault="00784FA9" w:rsidP="007E3239">
            <w:pPr>
              <w:pStyle w:val="TableText"/>
              <w:spacing w:before="50" w:after="50"/>
              <w:jc w:val="center"/>
              <w:rPr>
                <w:color w:val="000000"/>
              </w:rPr>
            </w:pPr>
            <w:r w:rsidRPr="00D604EE">
              <w:t>4,373.1</w:t>
            </w:r>
          </w:p>
        </w:tc>
        <w:tc>
          <w:tcPr>
            <w:tcW w:w="1825" w:type="dxa"/>
            <w:tcBorders>
              <w:top w:val="single" w:sz="4" w:space="0" w:color="1B556B"/>
              <w:bottom w:val="single" w:sz="4" w:space="0" w:color="1B556B"/>
            </w:tcBorders>
          </w:tcPr>
          <w:p w14:paraId="3D6498CB" w14:textId="77777777" w:rsidR="00784FA9" w:rsidRPr="00D604EE" w:rsidRDefault="00784FA9" w:rsidP="007E3239">
            <w:pPr>
              <w:pStyle w:val="TableText"/>
              <w:spacing w:before="50" w:after="50"/>
              <w:jc w:val="center"/>
              <w:rPr>
                <w:color w:val="000000"/>
              </w:rPr>
            </w:pPr>
            <w:r w:rsidRPr="00D604EE">
              <w:t xml:space="preserve">119.4 </w:t>
            </w:r>
          </w:p>
        </w:tc>
        <w:tc>
          <w:tcPr>
            <w:tcW w:w="1827" w:type="dxa"/>
            <w:tcBorders>
              <w:top w:val="single" w:sz="4" w:space="0" w:color="1B556B"/>
              <w:bottom w:val="single" w:sz="4" w:space="0" w:color="1B556B"/>
            </w:tcBorders>
          </w:tcPr>
          <w:p w14:paraId="574666F5" w14:textId="77777777" w:rsidR="00784FA9" w:rsidRPr="00D604EE" w:rsidRDefault="00784FA9" w:rsidP="007E3239">
            <w:pPr>
              <w:pStyle w:val="TableText"/>
              <w:spacing w:before="50" w:after="50"/>
              <w:jc w:val="center"/>
              <w:rPr>
                <w:color w:val="000000"/>
              </w:rPr>
            </w:pPr>
            <w:r w:rsidRPr="00D604EE">
              <w:t>2.8</w:t>
            </w:r>
          </w:p>
        </w:tc>
      </w:tr>
    </w:tbl>
    <w:p w14:paraId="70BDFAAA" w14:textId="77777777" w:rsidR="00784FA9" w:rsidRPr="00D604EE" w:rsidRDefault="00784FA9" w:rsidP="00784FA9">
      <w:pPr>
        <w:pStyle w:val="BodyText"/>
        <w:spacing w:before="240"/>
      </w:pPr>
      <w:bookmarkStart w:id="2073" w:name="_Toc255466413"/>
      <w:bookmarkStart w:id="2074" w:name="_Toc261513220"/>
      <w:bookmarkStart w:id="2075" w:name="_Toc261513833"/>
      <w:r w:rsidRPr="00D604EE">
        <w:t>Recalculations of the entire time series were carried out for this category as a result of the following updates.</w:t>
      </w:r>
    </w:p>
    <w:p w14:paraId="4346424B" w14:textId="77777777" w:rsidR="00784FA9" w:rsidRPr="00D604EE" w:rsidRDefault="00784FA9" w:rsidP="00AB2A5C">
      <w:pPr>
        <w:pStyle w:val="Bullet"/>
        <w:numPr>
          <w:ilvl w:val="0"/>
          <w:numId w:val="19"/>
        </w:numPr>
        <w:ind w:left="397" w:hanging="397"/>
      </w:pPr>
      <w:r w:rsidRPr="00D604EE">
        <w:t xml:space="preserve">An update to the pre-1990 natural forest carbon stock per hectare estimates for tall and regenerating forest has resulted in changes to the amount of biomass loss when land is deforested and converted to </w:t>
      </w:r>
      <w:r w:rsidRPr="00D604EE">
        <w:rPr>
          <w:i/>
          <w:iCs/>
        </w:rPr>
        <w:t xml:space="preserve">Grassland. </w:t>
      </w:r>
      <w:r w:rsidRPr="00D604EE">
        <w:t xml:space="preserve">This has resulted in a small increase in emissions to the </w:t>
      </w:r>
      <w:r w:rsidRPr="00D604EE">
        <w:rPr>
          <w:i/>
          <w:iCs/>
        </w:rPr>
        <w:t>Grassland</w:t>
      </w:r>
      <w:r w:rsidRPr="00D604EE">
        <w:t xml:space="preserve"> category in 1990.</w:t>
      </w:r>
    </w:p>
    <w:p w14:paraId="796A1EDE" w14:textId="77777777" w:rsidR="00784FA9" w:rsidRPr="00D604EE" w:rsidRDefault="00784FA9" w:rsidP="00AB2A5C">
      <w:pPr>
        <w:pStyle w:val="Bullet"/>
        <w:numPr>
          <w:ilvl w:val="0"/>
          <w:numId w:val="19"/>
        </w:numPr>
        <w:ind w:left="397" w:hanging="397"/>
      </w:pPr>
      <w:r w:rsidRPr="00D604EE">
        <w:t xml:space="preserve">Updates to both the pre-1990 and post-1989 planted forest yield tables have resulted in changes to the amount of biomass loss when land is deforested and converted to </w:t>
      </w:r>
      <w:r w:rsidRPr="00D604EE">
        <w:rPr>
          <w:i/>
          <w:iCs/>
        </w:rPr>
        <w:t>Grassland</w:t>
      </w:r>
      <w:r w:rsidRPr="00D604EE">
        <w:t xml:space="preserve">. This has resulted in an increase in emissions to the </w:t>
      </w:r>
      <w:r w:rsidRPr="00D604EE">
        <w:rPr>
          <w:i/>
          <w:iCs/>
        </w:rPr>
        <w:t>Grassland</w:t>
      </w:r>
      <w:r w:rsidRPr="00D604EE">
        <w:t xml:space="preserve"> category through the time series. Changes to the average deforestation age for both post-1989 and pre-1990 planted age has resulted in a small increase in emissions in 2019. However, this is largely cancelled out by the reduction in emissions caused by a change in the proportion of deforestation area occurring from each forest type on conversion to </w:t>
      </w:r>
      <w:r w:rsidRPr="00D604EE">
        <w:rPr>
          <w:i/>
          <w:iCs/>
        </w:rPr>
        <w:t>Grasslands</w:t>
      </w:r>
      <w:r w:rsidRPr="00D604EE">
        <w:t>. More deforestation area is now allocated to post-1989 planted forest, while less deforestation area is allocated to pre-1990 planted forest.</w:t>
      </w:r>
    </w:p>
    <w:p w14:paraId="772F32DD" w14:textId="77777777" w:rsidR="00784FA9" w:rsidRPr="00D604EE" w:rsidRDefault="00784FA9" w:rsidP="00784FA9">
      <w:pPr>
        <w:pStyle w:val="Heading3"/>
      </w:pPr>
      <w:bookmarkStart w:id="2076" w:name="_Toc280630305"/>
      <w:r w:rsidRPr="00D604EE">
        <w:t>6.5.6</w:t>
      </w:r>
      <w:r w:rsidRPr="00D604EE">
        <w:tab/>
        <w:t>Category-specific planned improvements</w:t>
      </w:r>
      <w:bookmarkEnd w:id="2056"/>
      <w:bookmarkEnd w:id="2073"/>
      <w:bookmarkEnd w:id="2074"/>
      <w:bookmarkEnd w:id="2075"/>
      <w:bookmarkEnd w:id="2076"/>
    </w:p>
    <w:p w14:paraId="68BF512D" w14:textId="77777777" w:rsidR="00784FA9" w:rsidRPr="00D604EE" w:rsidRDefault="00784FA9" w:rsidP="00784FA9">
      <w:pPr>
        <w:pStyle w:val="BodyText"/>
      </w:pPr>
      <w:r w:rsidRPr="00D604EE">
        <w:t xml:space="preserve">A longitudinal study on the impact of management practices on carbon stocks in </w:t>
      </w:r>
      <w:r w:rsidRPr="00D604EE">
        <w:rPr>
          <w:i/>
          <w:iCs/>
        </w:rPr>
        <w:t>Grassland</w:t>
      </w:r>
      <w:r w:rsidRPr="00D604EE">
        <w:t xml:space="preserve"> and </w:t>
      </w:r>
      <w:r w:rsidRPr="00D604EE">
        <w:rPr>
          <w:i/>
          <w:iCs/>
        </w:rPr>
        <w:t>Cropland</w:t>
      </w:r>
      <w:r w:rsidRPr="00D604EE">
        <w:t xml:space="preserve"> soils is under way. This is further described in section 6.4.6.</w:t>
      </w:r>
    </w:p>
    <w:p w14:paraId="0E9A2629" w14:textId="77777777" w:rsidR="00784FA9" w:rsidRPr="00D604EE" w:rsidRDefault="00784FA9" w:rsidP="00784FA9">
      <w:pPr>
        <w:pStyle w:val="Heading2"/>
      </w:pPr>
      <w:bookmarkStart w:id="2077" w:name="_Toc310423455"/>
      <w:bookmarkStart w:id="2078" w:name="_Toc342470721"/>
      <w:bookmarkStart w:id="2079" w:name="_Toc352504873"/>
      <w:bookmarkStart w:id="2080" w:name="_Toc391024703"/>
      <w:bookmarkStart w:id="2081" w:name="_Toc414531320"/>
      <w:bookmarkStart w:id="2082" w:name="_Toc474335462"/>
      <w:bookmarkStart w:id="2083" w:name="_Toc481751402"/>
      <w:bookmarkStart w:id="2084" w:name="_Toc522013954"/>
      <w:bookmarkStart w:id="2085" w:name="_Toc5269379"/>
      <w:bookmarkStart w:id="2086" w:name="_Toc36224419"/>
      <w:bookmarkStart w:id="2087" w:name="_Toc99659145"/>
      <w:r w:rsidRPr="00D604EE">
        <w:t>6.6</w:t>
      </w:r>
      <w:r w:rsidRPr="00D604EE">
        <w:tab/>
        <w:t>Wetlands (CRF 4D)</w:t>
      </w:r>
      <w:bookmarkEnd w:id="2077"/>
      <w:bookmarkEnd w:id="2078"/>
      <w:bookmarkEnd w:id="2079"/>
      <w:bookmarkEnd w:id="2080"/>
      <w:bookmarkEnd w:id="2081"/>
      <w:bookmarkEnd w:id="2082"/>
      <w:bookmarkEnd w:id="2083"/>
      <w:bookmarkEnd w:id="2084"/>
      <w:bookmarkEnd w:id="2085"/>
      <w:bookmarkEnd w:id="2086"/>
      <w:bookmarkEnd w:id="2087"/>
    </w:p>
    <w:p w14:paraId="4AB69B35" w14:textId="77777777" w:rsidR="00784FA9" w:rsidRPr="00D604EE" w:rsidRDefault="00784FA9" w:rsidP="00784FA9">
      <w:pPr>
        <w:pStyle w:val="Heading3"/>
        <w:spacing w:before="240"/>
      </w:pPr>
      <w:r w:rsidRPr="00D604EE">
        <w:t>6.6.1</w:t>
      </w:r>
      <w:r w:rsidRPr="00D604EE">
        <w:tab/>
        <w:t>Description</w:t>
      </w:r>
    </w:p>
    <w:p w14:paraId="5A6D0F74" w14:textId="77777777" w:rsidR="00784FA9" w:rsidRPr="00D604EE" w:rsidRDefault="00784FA9" w:rsidP="00784FA9">
      <w:pPr>
        <w:pStyle w:val="BodyText"/>
      </w:pPr>
      <w:r w:rsidRPr="00D604EE">
        <w:t>In 2020, there were 13.4 kt CO</w:t>
      </w:r>
      <w:r w:rsidRPr="00D604EE">
        <w:rPr>
          <w:vertAlign w:val="subscript"/>
        </w:rPr>
        <w:t>2</w:t>
      </w:r>
      <w:r w:rsidRPr="00D604EE">
        <w:t xml:space="preserve">-e emissions from </w:t>
      </w:r>
      <w:r w:rsidRPr="00D604EE">
        <w:rPr>
          <w:i/>
        </w:rPr>
        <w:t>Wetlands</w:t>
      </w:r>
      <w:r w:rsidRPr="00D604EE">
        <w:t xml:space="preserve">, compared with emissions of </w:t>
      </w:r>
      <w:r w:rsidRPr="00D604EE">
        <w:br/>
        <w:t>–10.5 kt CO</w:t>
      </w:r>
      <w:r w:rsidRPr="00D604EE">
        <w:rPr>
          <w:vertAlign w:val="subscript"/>
        </w:rPr>
        <w:t>2</w:t>
      </w:r>
      <w:r w:rsidRPr="00D604EE">
        <w:t xml:space="preserve">-e from </w:t>
      </w:r>
      <w:r w:rsidRPr="00D604EE">
        <w:rPr>
          <w:i/>
        </w:rPr>
        <w:t>Wetlands</w:t>
      </w:r>
      <w:r w:rsidRPr="00D604EE">
        <w:t xml:space="preserve"> in 1990 (see table 6.6.1). This changing trend, from net remover in 1990 to net emitter in 2020, is due to the shift in land-use change patterns that have been observed since 1990, when compared with the changes that had occurred before 1990.</w:t>
      </w:r>
    </w:p>
    <w:p w14:paraId="24F6AEC2" w14:textId="77777777" w:rsidR="00784FA9" w:rsidRPr="00D604EE" w:rsidRDefault="00784FA9" w:rsidP="00784FA9">
      <w:pPr>
        <w:pStyle w:val="BodyText"/>
      </w:pPr>
      <w:r w:rsidRPr="00D604EE">
        <w:t>As of 2020, there were 5,688</w:t>
      </w:r>
      <w:r w:rsidRPr="00D604EE" w:rsidDel="008C0565">
        <w:t xml:space="preserve"> </w:t>
      </w:r>
      <w:r w:rsidRPr="00D604EE">
        <w:t xml:space="preserve">hectares in a state of conversion to </w:t>
      </w:r>
      <w:r w:rsidRPr="00D604EE">
        <w:rPr>
          <w:i/>
        </w:rPr>
        <w:t>Wetlands</w:t>
      </w:r>
      <w:r w:rsidRPr="00D604EE">
        <w:t xml:space="preserve"> (see table 6.6.1). These lands have been converted to </w:t>
      </w:r>
      <w:r w:rsidRPr="00D604EE">
        <w:rPr>
          <w:i/>
        </w:rPr>
        <w:t>Wetlands</w:t>
      </w:r>
      <w:r w:rsidRPr="00D604EE">
        <w:t xml:space="preserve"> during the previous 20 years but have not yet reached steady state.</w:t>
      </w:r>
    </w:p>
    <w:p w14:paraId="269B053F" w14:textId="77777777" w:rsidR="00784FA9" w:rsidRPr="00D604EE" w:rsidRDefault="00784FA9" w:rsidP="00784FA9">
      <w:pPr>
        <w:pStyle w:val="BodyText"/>
      </w:pPr>
      <w:r w:rsidRPr="00D604EE">
        <w:t>Removals from wetlands are driven by increases to mineral soil carbon stocks following conversion to wetland (9.0 kt CO</w:t>
      </w:r>
      <w:r w:rsidRPr="00D604EE">
        <w:rPr>
          <w:vertAlign w:val="subscript"/>
        </w:rPr>
        <w:t>2</w:t>
      </w:r>
      <w:r w:rsidRPr="00D604EE">
        <w:t>-e of removals in 2020 from mineral soils), while emissions are driven by the extraction of peat each year.</w:t>
      </w:r>
    </w:p>
    <w:p w14:paraId="24250147" w14:textId="77777777" w:rsidR="00784FA9" w:rsidRPr="00D604EE" w:rsidRDefault="00784FA9" w:rsidP="00784FA9">
      <w:pPr>
        <w:pStyle w:val="Table"/>
      </w:pPr>
      <w:bookmarkStart w:id="2088" w:name="_Toc342470784"/>
      <w:bookmarkStart w:id="2089" w:name="_Toc352505024"/>
      <w:bookmarkStart w:id="2090" w:name="_Toc378853313"/>
      <w:bookmarkStart w:id="2091" w:name="_Toc391024111"/>
      <w:bookmarkStart w:id="2092" w:name="_Toc410028854"/>
      <w:bookmarkStart w:id="2093" w:name="_Toc414531482"/>
      <w:bookmarkStart w:id="2094" w:name="_Toc443645395"/>
      <w:bookmarkStart w:id="2095" w:name="_Toc474914614"/>
      <w:bookmarkStart w:id="2096" w:name="_Toc481751578"/>
      <w:bookmarkStart w:id="2097" w:name="_Toc522010635"/>
      <w:bookmarkStart w:id="2098" w:name="_Toc5269540"/>
      <w:bookmarkStart w:id="2099" w:name="_Toc33529414"/>
      <w:bookmarkStart w:id="2100" w:name="_Toc36224620"/>
      <w:bookmarkStart w:id="2101" w:name="_Toc99659303"/>
      <w:r w:rsidRPr="00D604EE">
        <w:lastRenderedPageBreak/>
        <w:t>Table 6.6.1</w:t>
      </w:r>
      <w:r w:rsidRPr="00D604EE">
        <w:tab/>
        <w:t xml:space="preserve">New Zealand’s land-use change for the </w:t>
      </w:r>
      <w:r w:rsidRPr="00D604EE">
        <w:rPr>
          <w:i/>
        </w:rPr>
        <w:t>Wetlands</w:t>
      </w:r>
      <w:r w:rsidRPr="00D604EE">
        <w:t xml:space="preserve"> category, and associated</w:t>
      </w:r>
      <w:r w:rsidRPr="00D604EE">
        <w:br/>
        <w:t>CO</w:t>
      </w:r>
      <w:r w:rsidRPr="00D604EE">
        <w:rPr>
          <w:vertAlign w:val="subscript"/>
        </w:rPr>
        <w:t>2</w:t>
      </w:r>
      <w:r w:rsidRPr="00D604EE">
        <w:noBreakHyphen/>
        <w:t>e emissions</w:t>
      </w:r>
      <w:bookmarkEnd w:id="2088"/>
      <w:bookmarkEnd w:id="2089"/>
      <w:bookmarkEnd w:id="2090"/>
      <w:r w:rsidRPr="00D604EE">
        <w:t xml:space="preserve">, in 1990 and </w:t>
      </w:r>
      <w:bookmarkEnd w:id="2091"/>
      <w:bookmarkEnd w:id="2092"/>
      <w:bookmarkEnd w:id="2093"/>
      <w:bookmarkEnd w:id="2094"/>
      <w:bookmarkEnd w:id="2095"/>
      <w:bookmarkEnd w:id="2096"/>
      <w:bookmarkEnd w:id="2097"/>
      <w:bookmarkEnd w:id="2098"/>
      <w:bookmarkEnd w:id="2099"/>
      <w:bookmarkEnd w:id="2100"/>
      <w:r w:rsidRPr="00D604EE">
        <w:t>2020</w:t>
      </w:r>
      <w:bookmarkEnd w:id="2101"/>
    </w:p>
    <w:tbl>
      <w:tblPr>
        <w:tblW w:w="8505" w:type="dxa"/>
        <w:tblInd w:w="108" w:type="dxa"/>
        <w:tblLayout w:type="fixed"/>
        <w:tblLook w:val="04A0" w:firstRow="1" w:lastRow="0" w:firstColumn="1" w:lastColumn="0" w:noHBand="0" w:noVBand="1"/>
      </w:tblPr>
      <w:tblGrid>
        <w:gridCol w:w="2410"/>
        <w:gridCol w:w="992"/>
        <w:gridCol w:w="1134"/>
        <w:gridCol w:w="1134"/>
        <w:gridCol w:w="1134"/>
        <w:gridCol w:w="1701"/>
      </w:tblGrid>
      <w:tr w:rsidR="00784FA9" w:rsidRPr="00D604EE" w14:paraId="517CF63A" w14:textId="77777777" w:rsidTr="00BA2894">
        <w:tc>
          <w:tcPr>
            <w:tcW w:w="2410" w:type="dxa"/>
            <w:vMerge w:val="restart"/>
            <w:tcBorders>
              <w:top w:val="single" w:sz="4" w:space="0" w:color="1B556B"/>
              <w:bottom w:val="single" w:sz="4" w:space="0" w:color="1B556B"/>
            </w:tcBorders>
            <w:shd w:val="clear" w:color="auto" w:fill="1B556B"/>
            <w:vAlign w:val="bottom"/>
          </w:tcPr>
          <w:p w14:paraId="3AAECDE5" w14:textId="77777777" w:rsidR="00784FA9" w:rsidRPr="00D604EE" w:rsidRDefault="00784FA9" w:rsidP="007E3239">
            <w:pPr>
              <w:pStyle w:val="TableTextBold"/>
              <w:keepNext/>
              <w:spacing w:before="40" w:after="40"/>
              <w:rPr>
                <w:noProof w:val="0"/>
                <w:color w:val="FFFFFF"/>
              </w:rPr>
            </w:pPr>
            <w:r w:rsidRPr="00D604EE">
              <w:rPr>
                <w:noProof w:val="0"/>
                <w:color w:val="FFFFFF"/>
              </w:rPr>
              <w:t>Wetlands land use category</w:t>
            </w:r>
          </w:p>
        </w:tc>
        <w:tc>
          <w:tcPr>
            <w:tcW w:w="2126" w:type="dxa"/>
            <w:gridSpan w:val="2"/>
            <w:tcBorders>
              <w:top w:val="single" w:sz="4" w:space="0" w:color="1B556B"/>
              <w:bottom w:val="single" w:sz="4" w:space="0" w:color="1B556B"/>
            </w:tcBorders>
            <w:shd w:val="clear" w:color="auto" w:fill="1B556B"/>
            <w:vAlign w:val="bottom"/>
          </w:tcPr>
          <w:p w14:paraId="5F1DA082" w14:textId="77777777" w:rsidR="00784FA9" w:rsidRPr="00D604EE" w:rsidRDefault="00784FA9" w:rsidP="00852928">
            <w:pPr>
              <w:pStyle w:val="TableTextBold"/>
              <w:keepNext/>
              <w:spacing w:before="40" w:after="0"/>
              <w:jc w:val="center"/>
              <w:rPr>
                <w:noProof w:val="0"/>
                <w:color w:val="FFFFFF"/>
              </w:rPr>
            </w:pPr>
            <w:r w:rsidRPr="00D604EE">
              <w:rPr>
                <w:noProof w:val="0"/>
                <w:color w:val="FFFFFF"/>
              </w:rPr>
              <w:t>Net area (ha) as at</w:t>
            </w:r>
          </w:p>
        </w:tc>
        <w:tc>
          <w:tcPr>
            <w:tcW w:w="2268" w:type="dxa"/>
            <w:gridSpan w:val="2"/>
            <w:tcBorders>
              <w:top w:val="single" w:sz="4" w:space="0" w:color="1B556B"/>
              <w:bottom w:val="single" w:sz="4" w:space="0" w:color="1B556B"/>
            </w:tcBorders>
            <w:shd w:val="clear" w:color="auto" w:fill="1B556B"/>
            <w:vAlign w:val="bottom"/>
          </w:tcPr>
          <w:p w14:paraId="0EA37EA9" w14:textId="77777777" w:rsidR="00784FA9" w:rsidRPr="00D604EE" w:rsidRDefault="00784FA9" w:rsidP="00852928">
            <w:pPr>
              <w:pStyle w:val="TableTextBold"/>
              <w:keepNext/>
              <w:spacing w:before="40" w:after="0"/>
              <w:jc w:val="center"/>
              <w:rPr>
                <w:noProof w:val="0"/>
                <w:color w:val="FFFFFF"/>
              </w:rPr>
            </w:pPr>
            <w:r w:rsidRPr="00D604EE">
              <w:rPr>
                <w:noProof w:val="0"/>
                <w:color w:val="FFFFFF"/>
              </w:rPr>
              <w:t>Net emissions (kt CO</w:t>
            </w:r>
            <w:r w:rsidRPr="00D604EE">
              <w:rPr>
                <w:noProof w:val="0"/>
                <w:color w:val="FFFFFF"/>
                <w:vertAlign w:val="subscript"/>
              </w:rPr>
              <w:t>2</w:t>
            </w:r>
            <w:r w:rsidRPr="00D604EE">
              <w:rPr>
                <w:noProof w:val="0"/>
                <w:color w:val="FFFFFF"/>
              </w:rPr>
              <w:t>-e)</w:t>
            </w:r>
          </w:p>
        </w:tc>
        <w:tc>
          <w:tcPr>
            <w:tcW w:w="1701" w:type="dxa"/>
            <w:vMerge w:val="restart"/>
            <w:tcBorders>
              <w:top w:val="single" w:sz="4" w:space="0" w:color="1B556B"/>
              <w:bottom w:val="single" w:sz="4" w:space="0" w:color="1B556B"/>
            </w:tcBorders>
            <w:shd w:val="clear" w:color="auto" w:fill="1B556B"/>
            <w:vAlign w:val="bottom"/>
          </w:tcPr>
          <w:p w14:paraId="313ECE4C" w14:textId="77777777" w:rsidR="00784FA9" w:rsidRPr="00D604EE" w:rsidRDefault="00784FA9" w:rsidP="007E3239">
            <w:pPr>
              <w:pStyle w:val="TableTextBold"/>
              <w:keepNext/>
              <w:spacing w:before="40" w:after="40"/>
              <w:jc w:val="right"/>
              <w:rPr>
                <w:noProof w:val="0"/>
                <w:color w:val="FFFFFF"/>
              </w:rPr>
            </w:pPr>
            <w:r w:rsidRPr="00D604EE">
              <w:rPr>
                <w:noProof w:val="0"/>
                <w:color w:val="FFFFFF"/>
              </w:rPr>
              <w:t>Change from 1990 (%)</w:t>
            </w:r>
          </w:p>
        </w:tc>
      </w:tr>
      <w:tr w:rsidR="00784FA9" w:rsidRPr="00D604EE" w14:paraId="736A733B" w14:textId="77777777" w:rsidTr="00BA2894">
        <w:tc>
          <w:tcPr>
            <w:tcW w:w="2410" w:type="dxa"/>
            <w:vMerge/>
            <w:tcBorders>
              <w:top w:val="single" w:sz="4" w:space="0" w:color="1B556B"/>
              <w:bottom w:val="single" w:sz="4" w:space="0" w:color="1B556B"/>
            </w:tcBorders>
            <w:shd w:val="clear" w:color="auto" w:fill="1B556B"/>
            <w:vAlign w:val="bottom"/>
          </w:tcPr>
          <w:p w14:paraId="41FEE6E3" w14:textId="77777777" w:rsidR="00784FA9" w:rsidRPr="00D604EE" w:rsidRDefault="00784FA9" w:rsidP="007E3239">
            <w:pPr>
              <w:pStyle w:val="TableTextBold"/>
              <w:keepNext/>
              <w:spacing w:before="40" w:after="40"/>
              <w:rPr>
                <w:noProof w:val="0"/>
                <w:color w:val="FFFFFF"/>
              </w:rPr>
            </w:pPr>
          </w:p>
        </w:tc>
        <w:tc>
          <w:tcPr>
            <w:tcW w:w="992" w:type="dxa"/>
            <w:tcBorders>
              <w:top w:val="single" w:sz="4" w:space="0" w:color="1B556B"/>
              <w:bottom w:val="single" w:sz="4" w:space="0" w:color="1B556B"/>
            </w:tcBorders>
            <w:shd w:val="clear" w:color="auto" w:fill="1B556B"/>
            <w:vAlign w:val="bottom"/>
          </w:tcPr>
          <w:p w14:paraId="6AEC67CE" w14:textId="77777777" w:rsidR="00784FA9" w:rsidRPr="00D604EE" w:rsidRDefault="00784FA9" w:rsidP="007E3239">
            <w:pPr>
              <w:pStyle w:val="TableTextBold"/>
              <w:keepNext/>
              <w:spacing w:before="40" w:after="40"/>
              <w:jc w:val="right"/>
              <w:rPr>
                <w:noProof w:val="0"/>
                <w:color w:val="FFFFFF"/>
              </w:rPr>
            </w:pPr>
            <w:r w:rsidRPr="00D604EE">
              <w:rPr>
                <w:noProof w:val="0"/>
                <w:color w:val="FFFFFF"/>
              </w:rPr>
              <w:t>1990</w:t>
            </w:r>
          </w:p>
        </w:tc>
        <w:tc>
          <w:tcPr>
            <w:tcW w:w="1134" w:type="dxa"/>
            <w:tcBorders>
              <w:top w:val="single" w:sz="4" w:space="0" w:color="1B556B"/>
              <w:bottom w:val="single" w:sz="4" w:space="0" w:color="1B556B"/>
            </w:tcBorders>
            <w:shd w:val="clear" w:color="auto" w:fill="1B556B"/>
            <w:vAlign w:val="bottom"/>
          </w:tcPr>
          <w:p w14:paraId="0A5745C5" w14:textId="77777777" w:rsidR="00784FA9" w:rsidRPr="00D604EE" w:rsidRDefault="00784FA9" w:rsidP="007E3239">
            <w:pPr>
              <w:pStyle w:val="TableTextBold"/>
              <w:keepNext/>
              <w:spacing w:before="40" w:after="40"/>
              <w:jc w:val="right"/>
              <w:rPr>
                <w:noProof w:val="0"/>
                <w:color w:val="FFFFFF"/>
              </w:rPr>
            </w:pPr>
            <w:r w:rsidRPr="00D604EE">
              <w:rPr>
                <w:noProof w:val="0"/>
                <w:color w:val="FFFFFF"/>
              </w:rPr>
              <w:t>2020</w:t>
            </w:r>
          </w:p>
        </w:tc>
        <w:tc>
          <w:tcPr>
            <w:tcW w:w="1134" w:type="dxa"/>
            <w:tcBorders>
              <w:top w:val="single" w:sz="4" w:space="0" w:color="1B556B"/>
              <w:bottom w:val="single" w:sz="4" w:space="0" w:color="1B556B"/>
            </w:tcBorders>
            <w:shd w:val="clear" w:color="auto" w:fill="1B556B"/>
            <w:vAlign w:val="bottom"/>
          </w:tcPr>
          <w:p w14:paraId="511C5AD3" w14:textId="77777777" w:rsidR="00784FA9" w:rsidRPr="00D604EE" w:rsidRDefault="00784FA9" w:rsidP="007E3239">
            <w:pPr>
              <w:pStyle w:val="TableTextBold"/>
              <w:keepNext/>
              <w:spacing w:before="40" w:after="40"/>
              <w:jc w:val="right"/>
              <w:rPr>
                <w:noProof w:val="0"/>
                <w:color w:val="FFFFFF"/>
              </w:rPr>
            </w:pPr>
            <w:r w:rsidRPr="00D604EE">
              <w:rPr>
                <w:noProof w:val="0"/>
                <w:color w:val="FFFFFF"/>
              </w:rPr>
              <w:t>1990</w:t>
            </w:r>
          </w:p>
        </w:tc>
        <w:tc>
          <w:tcPr>
            <w:tcW w:w="1134" w:type="dxa"/>
            <w:tcBorders>
              <w:top w:val="single" w:sz="4" w:space="0" w:color="1B556B"/>
              <w:bottom w:val="single" w:sz="4" w:space="0" w:color="1B556B"/>
            </w:tcBorders>
            <w:shd w:val="clear" w:color="auto" w:fill="1B556B"/>
            <w:vAlign w:val="bottom"/>
          </w:tcPr>
          <w:p w14:paraId="47D53CB3" w14:textId="77777777" w:rsidR="00784FA9" w:rsidRPr="00D604EE" w:rsidRDefault="00784FA9" w:rsidP="007E3239">
            <w:pPr>
              <w:pStyle w:val="TableTextBold"/>
              <w:keepNext/>
              <w:spacing w:before="40" w:after="40"/>
              <w:jc w:val="right"/>
              <w:rPr>
                <w:noProof w:val="0"/>
                <w:color w:val="FFFFFF"/>
              </w:rPr>
            </w:pPr>
            <w:r w:rsidRPr="00D604EE">
              <w:rPr>
                <w:noProof w:val="0"/>
                <w:color w:val="FFFFFF"/>
              </w:rPr>
              <w:t>2020</w:t>
            </w:r>
          </w:p>
        </w:tc>
        <w:tc>
          <w:tcPr>
            <w:tcW w:w="1701" w:type="dxa"/>
            <w:vMerge/>
            <w:tcBorders>
              <w:top w:val="single" w:sz="4" w:space="0" w:color="1B556B"/>
              <w:bottom w:val="single" w:sz="4" w:space="0" w:color="1B556B"/>
            </w:tcBorders>
            <w:shd w:val="clear" w:color="auto" w:fill="1B556B"/>
            <w:vAlign w:val="bottom"/>
          </w:tcPr>
          <w:p w14:paraId="5A867605" w14:textId="77777777" w:rsidR="00784FA9" w:rsidRPr="00D604EE" w:rsidRDefault="00784FA9" w:rsidP="007E3239">
            <w:pPr>
              <w:pStyle w:val="TableTextBold"/>
              <w:keepNext/>
              <w:spacing w:before="40" w:after="40"/>
              <w:rPr>
                <w:noProof w:val="0"/>
                <w:color w:val="FFFFFF"/>
              </w:rPr>
            </w:pPr>
          </w:p>
        </w:tc>
      </w:tr>
      <w:tr w:rsidR="00784FA9" w:rsidRPr="00D604EE" w14:paraId="661B7AD0" w14:textId="77777777" w:rsidTr="00BA2894">
        <w:tc>
          <w:tcPr>
            <w:tcW w:w="2410" w:type="dxa"/>
            <w:tcBorders>
              <w:top w:val="single" w:sz="4" w:space="0" w:color="1B556B"/>
              <w:bottom w:val="single" w:sz="4" w:space="0" w:color="365F91"/>
            </w:tcBorders>
          </w:tcPr>
          <w:p w14:paraId="55D3A155" w14:textId="77777777" w:rsidR="00784FA9" w:rsidRPr="00D604EE" w:rsidRDefault="00784FA9" w:rsidP="00BA2894">
            <w:pPr>
              <w:pStyle w:val="TableText"/>
              <w:keepNext/>
              <w:spacing w:before="50" w:after="50"/>
            </w:pPr>
            <w:r w:rsidRPr="00D604EE">
              <w:t>Wetlands remaining wetlands</w:t>
            </w:r>
          </w:p>
        </w:tc>
        <w:tc>
          <w:tcPr>
            <w:tcW w:w="992" w:type="dxa"/>
            <w:tcBorders>
              <w:top w:val="single" w:sz="4" w:space="0" w:color="1B556B"/>
              <w:bottom w:val="single" w:sz="4" w:space="0" w:color="365F91"/>
            </w:tcBorders>
          </w:tcPr>
          <w:p w14:paraId="32E1204F" w14:textId="77777777" w:rsidR="00784FA9" w:rsidRPr="00D604EE" w:rsidRDefault="00784FA9" w:rsidP="00BA2894">
            <w:pPr>
              <w:pStyle w:val="TableText"/>
              <w:keepNext/>
              <w:spacing w:before="50" w:after="50"/>
              <w:jc w:val="right"/>
            </w:pPr>
            <w:r w:rsidRPr="00D604EE">
              <w:t>751,766</w:t>
            </w:r>
          </w:p>
        </w:tc>
        <w:tc>
          <w:tcPr>
            <w:tcW w:w="1134" w:type="dxa"/>
            <w:tcBorders>
              <w:top w:val="single" w:sz="4" w:space="0" w:color="1B556B"/>
              <w:bottom w:val="single" w:sz="4" w:space="0" w:color="365F91"/>
            </w:tcBorders>
          </w:tcPr>
          <w:p w14:paraId="01A135CB" w14:textId="77777777" w:rsidR="00784FA9" w:rsidRPr="00D604EE" w:rsidRDefault="00784FA9" w:rsidP="00BA2894">
            <w:pPr>
              <w:pStyle w:val="TableText"/>
              <w:keepNext/>
              <w:spacing w:before="50" w:after="50"/>
              <w:jc w:val="right"/>
            </w:pPr>
            <w:r w:rsidRPr="00D604EE">
              <w:t>752,923</w:t>
            </w:r>
          </w:p>
        </w:tc>
        <w:tc>
          <w:tcPr>
            <w:tcW w:w="1134" w:type="dxa"/>
            <w:tcBorders>
              <w:top w:val="single" w:sz="4" w:space="0" w:color="1B556B"/>
              <w:bottom w:val="single" w:sz="4" w:space="0" w:color="365F91"/>
            </w:tcBorders>
          </w:tcPr>
          <w:p w14:paraId="20995DFA" w14:textId="77777777" w:rsidR="00784FA9" w:rsidRPr="00D604EE" w:rsidRDefault="00784FA9" w:rsidP="00BA2894">
            <w:pPr>
              <w:pStyle w:val="TableText"/>
              <w:keepNext/>
              <w:spacing w:before="50" w:after="50"/>
              <w:jc w:val="right"/>
            </w:pPr>
            <w:r w:rsidRPr="00D604EE">
              <w:t xml:space="preserve">9.5 </w:t>
            </w:r>
          </w:p>
        </w:tc>
        <w:tc>
          <w:tcPr>
            <w:tcW w:w="1134" w:type="dxa"/>
            <w:tcBorders>
              <w:top w:val="single" w:sz="4" w:space="0" w:color="1B556B"/>
              <w:bottom w:val="single" w:sz="4" w:space="0" w:color="365F91"/>
            </w:tcBorders>
          </w:tcPr>
          <w:p w14:paraId="36B70043" w14:textId="77777777" w:rsidR="00784FA9" w:rsidRPr="00D604EE" w:rsidRDefault="00784FA9" w:rsidP="00BA2894">
            <w:pPr>
              <w:pStyle w:val="TableText"/>
              <w:keepNext/>
              <w:spacing w:before="50" w:after="50"/>
              <w:jc w:val="right"/>
            </w:pPr>
            <w:r w:rsidRPr="00D604EE">
              <w:t xml:space="preserve">18.7 </w:t>
            </w:r>
          </w:p>
        </w:tc>
        <w:tc>
          <w:tcPr>
            <w:tcW w:w="1701" w:type="dxa"/>
            <w:tcBorders>
              <w:top w:val="single" w:sz="4" w:space="0" w:color="1B556B"/>
              <w:bottom w:val="single" w:sz="4" w:space="0" w:color="365F91"/>
            </w:tcBorders>
          </w:tcPr>
          <w:p w14:paraId="2591D169" w14:textId="77777777" w:rsidR="00784FA9" w:rsidRPr="00D604EE" w:rsidRDefault="00784FA9" w:rsidP="00BA2894">
            <w:pPr>
              <w:pStyle w:val="TableText"/>
              <w:keepNext/>
              <w:spacing w:before="50" w:after="50"/>
              <w:jc w:val="right"/>
            </w:pPr>
            <w:r w:rsidRPr="00D604EE">
              <w:t>97.5</w:t>
            </w:r>
          </w:p>
        </w:tc>
      </w:tr>
      <w:tr w:rsidR="00784FA9" w:rsidRPr="00D604EE" w14:paraId="5A620BE4" w14:textId="77777777" w:rsidTr="00BA2894">
        <w:tc>
          <w:tcPr>
            <w:tcW w:w="2410" w:type="dxa"/>
            <w:tcBorders>
              <w:top w:val="single" w:sz="4" w:space="0" w:color="365F91"/>
              <w:bottom w:val="single" w:sz="4" w:space="0" w:color="365F91"/>
            </w:tcBorders>
          </w:tcPr>
          <w:p w14:paraId="47437D51" w14:textId="77777777" w:rsidR="00784FA9" w:rsidRPr="00D604EE" w:rsidRDefault="00784FA9" w:rsidP="007E3239">
            <w:pPr>
              <w:pStyle w:val="TableText"/>
              <w:spacing w:before="50" w:after="50"/>
            </w:pPr>
            <w:r w:rsidRPr="00D604EE">
              <w:t>Land converted to wetlands</w:t>
            </w:r>
          </w:p>
        </w:tc>
        <w:tc>
          <w:tcPr>
            <w:tcW w:w="992" w:type="dxa"/>
            <w:tcBorders>
              <w:top w:val="single" w:sz="4" w:space="0" w:color="365F91"/>
              <w:bottom w:val="single" w:sz="4" w:space="0" w:color="365F91"/>
            </w:tcBorders>
          </w:tcPr>
          <w:p w14:paraId="032B5AA8" w14:textId="77777777" w:rsidR="00784FA9" w:rsidRPr="00D604EE" w:rsidRDefault="00784FA9" w:rsidP="007E3239">
            <w:pPr>
              <w:pStyle w:val="TableText"/>
              <w:spacing w:before="50" w:after="50"/>
              <w:jc w:val="right"/>
            </w:pPr>
            <w:r w:rsidRPr="00D604EE">
              <w:t>10,276</w:t>
            </w:r>
          </w:p>
        </w:tc>
        <w:tc>
          <w:tcPr>
            <w:tcW w:w="1134" w:type="dxa"/>
            <w:tcBorders>
              <w:top w:val="single" w:sz="4" w:space="0" w:color="365F91"/>
              <w:bottom w:val="single" w:sz="4" w:space="0" w:color="365F91"/>
            </w:tcBorders>
          </w:tcPr>
          <w:p w14:paraId="3141846C" w14:textId="77777777" w:rsidR="00784FA9" w:rsidRPr="00D604EE" w:rsidRDefault="00784FA9" w:rsidP="007E3239">
            <w:pPr>
              <w:pStyle w:val="TableText"/>
              <w:spacing w:before="50" w:after="50"/>
              <w:jc w:val="right"/>
            </w:pPr>
            <w:r w:rsidRPr="00D604EE">
              <w:t>5,688</w:t>
            </w:r>
          </w:p>
        </w:tc>
        <w:tc>
          <w:tcPr>
            <w:tcW w:w="1134" w:type="dxa"/>
            <w:tcBorders>
              <w:top w:val="single" w:sz="4" w:space="0" w:color="365F91"/>
              <w:bottom w:val="single" w:sz="4" w:space="0" w:color="365F91"/>
            </w:tcBorders>
          </w:tcPr>
          <w:p w14:paraId="3981EF37" w14:textId="77777777" w:rsidR="00784FA9" w:rsidRPr="00D604EE" w:rsidRDefault="00784FA9" w:rsidP="007E3239">
            <w:pPr>
              <w:pStyle w:val="TableText"/>
              <w:spacing w:before="50" w:after="50"/>
              <w:jc w:val="right"/>
            </w:pPr>
            <w:r w:rsidRPr="00D604EE">
              <w:t xml:space="preserve">–19.9 </w:t>
            </w:r>
          </w:p>
        </w:tc>
        <w:tc>
          <w:tcPr>
            <w:tcW w:w="1134" w:type="dxa"/>
            <w:tcBorders>
              <w:top w:val="single" w:sz="4" w:space="0" w:color="365F91"/>
              <w:bottom w:val="single" w:sz="4" w:space="0" w:color="365F91"/>
            </w:tcBorders>
          </w:tcPr>
          <w:p w14:paraId="48C2E281" w14:textId="77777777" w:rsidR="00784FA9" w:rsidRPr="00D604EE" w:rsidRDefault="00784FA9" w:rsidP="007E3239">
            <w:pPr>
              <w:pStyle w:val="TableText"/>
              <w:spacing w:before="50" w:after="50"/>
              <w:jc w:val="right"/>
            </w:pPr>
            <w:r w:rsidRPr="00D604EE">
              <w:t xml:space="preserve">–5.3 </w:t>
            </w:r>
          </w:p>
        </w:tc>
        <w:tc>
          <w:tcPr>
            <w:tcW w:w="1701" w:type="dxa"/>
            <w:tcBorders>
              <w:top w:val="single" w:sz="4" w:space="0" w:color="365F91"/>
              <w:bottom w:val="single" w:sz="4" w:space="0" w:color="365F91"/>
            </w:tcBorders>
          </w:tcPr>
          <w:p w14:paraId="77783A50" w14:textId="77777777" w:rsidR="00784FA9" w:rsidRPr="00D604EE" w:rsidRDefault="00784FA9" w:rsidP="007E3239">
            <w:pPr>
              <w:pStyle w:val="TableText"/>
              <w:spacing w:before="50" w:after="50"/>
              <w:jc w:val="right"/>
            </w:pPr>
            <w:r w:rsidRPr="00D604EE">
              <w:t>73.4</w:t>
            </w:r>
          </w:p>
        </w:tc>
      </w:tr>
      <w:tr w:rsidR="00784FA9" w:rsidRPr="00D604EE" w14:paraId="5E5B337D" w14:textId="77777777" w:rsidTr="00BA2894">
        <w:tc>
          <w:tcPr>
            <w:tcW w:w="2410" w:type="dxa"/>
            <w:tcBorders>
              <w:top w:val="single" w:sz="4" w:space="0" w:color="365F91"/>
              <w:bottom w:val="single" w:sz="4" w:space="0" w:color="365F91"/>
            </w:tcBorders>
          </w:tcPr>
          <w:p w14:paraId="7E6F1B57" w14:textId="77777777" w:rsidR="00784FA9" w:rsidRPr="00D604EE" w:rsidRDefault="00784FA9" w:rsidP="007E3239">
            <w:pPr>
              <w:pStyle w:val="Tableboldblue"/>
              <w:spacing w:before="50" w:after="50"/>
              <w:jc w:val="right"/>
            </w:pPr>
            <w:r w:rsidRPr="00D604EE">
              <w:t>Total</w:t>
            </w:r>
          </w:p>
        </w:tc>
        <w:tc>
          <w:tcPr>
            <w:tcW w:w="992" w:type="dxa"/>
            <w:tcBorders>
              <w:top w:val="single" w:sz="4" w:space="0" w:color="365F91"/>
              <w:bottom w:val="single" w:sz="4" w:space="0" w:color="365F91"/>
            </w:tcBorders>
          </w:tcPr>
          <w:p w14:paraId="0778DFEE" w14:textId="77777777" w:rsidR="00784FA9" w:rsidRPr="00D604EE" w:rsidRDefault="00784FA9" w:rsidP="007E3239">
            <w:pPr>
              <w:pStyle w:val="Tableboldblue"/>
              <w:spacing w:before="50" w:after="50"/>
              <w:jc w:val="right"/>
            </w:pPr>
            <w:r w:rsidRPr="00D604EE">
              <w:t>762,042</w:t>
            </w:r>
          </w:p>
        </w:tc>
        <w:tc>
          <w:tcPr>
            <w:tcW w:w="1134" w:type="dxa"/>
            <w:tcBorders>
              <w:top w:val="single" w:sz="4" w:space="0" w:color="365F91"/>
              <w:bottom w:val="single" w:sz="4" w:space="0" w:color="365F91"/>
            </w:tcBorders>
          </w:tcPr>
          <w:p w14:paraId="433362BC" w14:textId="77777777" w:rsidR="00784FA9" w:rsidRPr="00D604EE" w:rsidRDefault="00784FA9" w:rsidP="007E3239">
            <w:pPr>
              <w:pStyle w:val="Tableboldblue"/>
              <w:spacing w:before="50" w:after="50"/>
              <w:jc w:val="right"/>
            </w:pPr>
            <w:r w:rsidRPr="00D604EE">
              <w:t>758,611</w:t>
            </w:r>
          </w:p>
        </w:tc>
        <w:tc>
          <w:tcPr>
            <w:tcW w:w="1134" w:type="dxa"/>
            <w:tcBorders>
              <w:top w:val="single" w:sz="4" w:space="0" w:color="365F91"/>
              <w:bottom w:val="single" w:sz="4" w:space="0" w:color="365F91"/>
            </w:tcBorders>
          </w:tcPr>
          <w:p w14:paraId="255FA5C2" w14:textId="77777777" w:rsidR="00784FA9" w:rsidRPr="00D604EE" w:rsidRDefault="00784FA9" w:rsidP="007E3239">
            <w:pPr>
              <w:pStyle w:val="Tableboldblue"/>
              <w:spacing w:before="50" w:after="50"/>
              <w:jc w:val="right"/>
            </w:pPr>
            <w:r w:rsidRPr="00D604EE">
              <w:t xml:space="preserve">–10.5 </w:t>
            </w:r>
          </w:p>
        </w:tc>
        <w:tc>
          <w:tcPr>
            <w:tcW w:w="1134" w:type="dxa"/>
            <w:tcBorders>
              <w:top w:val="single" w:sz="4" w:space="0" w:color="365F91"/>
              <w:bottom w:val="single" w:sz="4" w:space="0" w:color="365F91"/>
            </w:tcBorders>
          </w:tcPr>
          <w:p w14:paraId="6166C6AF" w14:textId="77777777" w:rsidR="00784FA9" w:rsidRPr="00D604EE" w:rsidRDefault="00784FA9" w:rsidP="007E3239">
            <w:pPr>
              <w:pStyle w:val="Tableboldblue"/>
              <w:spacing w:before="50" w:after="50"/>
              <w:jc w:val="right"/>
            </w:pPr>
            <w:r w:rsidRPr="00D604EE">
              <w:t>13.4</w:t>
            </w:r>
          </w:p>
        </w:tc>
        <w:tc>
          <w:tcPr>
            <w:tcW w:w="1701" w:type="dxa"/>
            <w:tcBorders>
              <w:top w:val="single" w:sz="4" w:space="0" w:color="365F91"/>
              <w:bottom w:val="single" w:sz="4" w:space="0" w:color="365F91"/>
            </w:tcBorders>
          </w:tcPr>
          <w:p w14:paraId="3EE12528" w14:textId="77777777" w:rsidR="00784FA9" w:rsidRPr="00D604EE" w:rsidRDefault="00784FA9" w:rsidP="007E3239">
            <w:pPr>
              <w:pStyle w:val="Tableboldblue"/>
              <w:spacing w:before="50" w:after="50"/>
              <w:jc w:val="right"/>
            </w:pPr>
            <w:r w:rsidRPr="00D604EE">
              <w:t>227.8</w:t>
            </w:r>
          </w:p>
        </w:tc>
      </w:tr>
    </w:tbl>
    <w:p w14:paraId="6BD338F2" w14:textId="77777777" w:rsidR="00784FA9" w:rsidRPr="00D604EE" w:rsidRDefault="00784FA9" w:rsidP="00784FA9">
      <w:pPr>
        <w:pStyle w:val="Noteundertable"/>
        <w:spacing w:after="80"/>
      </w:pPr>
      <w:r w:rsidRPr="00D604EE">
        <w:rPr>
          <w:b/>
        </w:rPr>
        <w:t xml:space="preserve">Note: </w:t>
      </w:r>
      <w:r w:rsidRPr="00D604EE">
        <w:rPr>
          <w:b/>
        </w:rPr>
        <w:tab/>
      </w:r>
      <w:r w:rsidRPr="00D604EE">
        <w:t>Net area in 1990 is as at 1 January 1990; net area in 2020 is as at 31 December.</w:t>
      </w:r>
      <w:r w:rsidRPr="00D604EE">
        <w:rPr>
          <w:i/>
        </w:rPr>
        <w:t xml:space="preserve"> Land converted to wetlands</w:t>
      </w:r>
      <w:r w:rsidRPr="00D604EE">
        <w:t xml:space="preserve"> includes land converted up to 20 years earlier. </w:t>
      </w:r>
      <w:r w:rsidRPr="00D604EE">
        <w:rPr>
          <w:i/>
        </w:rPr>
        <w:t>Land converted to wetlands</w:t>
      </w:r>
      <w:r w:rsidRPr="00D604EE">
        <w:t xml:space="preserve"> consists of land converted to hydro lakes before 1990. Net emission values are for the whole year indicated. Columns may not total due to rounding. </w:t>
      </w:r>
    </w:p>
    <w:p w14:paraId="213C8364" w14:textId="77777777" w:rsidR="00784FA9" w:rsidRPr="00D604EE" w:rsidRDefault="00784FA9" w:rsidP="00784FA9">
      <w:pPr>
        <w:pStyle w:val="BodyText"/>
      </w:pPr>
      <w:r w:rsidRPr="00D604EE">
        <w:t xml:space="preserve">New Zealand’s </w:t>
      </w:r>
      <w:r w:rsidRPr="00D604EE">
        <w:rPr>
          <w:i/>
        </w:rPr>
        <w:t>Wetlands</w:t>
      </w:r>
      <w:r w:rsidRPr="00D604EE">
        <w:t xml:space="preserve"> are currently mapped into two types: open water, which includes artificially flooded lands, lakes and rivers; and vegetated wetland, which includes herbaceous vegetation that is periodically flooded, and estuarine and tidal areas. Flooded lands, a subcategory of </w:t>
      </w:r>
      <w:r w:rsidRPr="00D604EE">
        <w:rPr>
          <w:i/>
        </w:rPr>
        <w:t>Wetlands</w:t>
      </w:r>
      <w:r w:rsidRPr="00D604EE">
        <w:t>, are defined in the 2006 IPCC Guidelines</w:t>
      </w:r>
      <w:r w:rsidRPr="00D604EE" w:rsidDel="0015189E">
        <w:t xml:space="preserve"> </w:t>
      </w:r>
      <w:r w:rsidRPr="00D604EE">
        <w:t>(IPCC, 2006a, p 7.19) as:</w:t>
      </w:r>
    </w:p>
    <w:p w14:paraId="29896753" w14:textId="77777777" w:rsidR="00784FA9" w:rsidRPr="00D604EE" w:rsidRDefault="00784FA9" w:rsidP="00784FA9">
      <w:pPr>
        <w:pStyle w:val="Quote"/>
        <w:spacing w:before="60"/>
      </w:pPr>
      <w:r w:rsidRPr="00D604EE">
        <w:t>… water bodies where human activities have caused changes in the amount of surface area covered by water, typically through water level regulation. … Regulated lakes and rivers that do not have substantial changes in water area in comparison with the pre-flooded ecosystem are not considered as Flooded Lands.</w:t>
      </w:r>
    </w:p>
    <w:p w14:paraId="174DA662" w14:textId="77777777" w:rsidR="00784FA9" w:rsidRPr="00D604EE" w:rsidRDefault="00784FA9" w:rsidP="00784FA9">
      <w:pPr>
        <w:pStyle w:val="BodyText"/>
        <w:rPr>
          <w:rFonts w:cs="Calibri"/>
        </w:rPr>
      </w:pPr>
      <w:r w:rsidRPr="00D604EE">
        <w:t xml:space="preserve">The majority of New Zealand’s hydroelectric schemes are based on rivers and lakes where the main pre-flooded ecosystem was a natural lake or river; therefore, they are not defined </w:t>
      </w:r>
      <w:r w:rsidRPr="00D604EE">
        <w:rPr>
          <w:rFonts w:cs="Calibri"/>
        </w:rPr>
        <w:t>as flooded lands.</w:t>
      </w:r>
      <w:r w:rsidRPr="00D604EE">
        <w:rPr>
          <w:rStyle w:val="FootnoteReference"/>
        </w:rPr>
        <w:footnoteReference w:id="63"/>
      </w:r>
      <w:r w:rsidRPr="00D604EE">
        <w:rPr>
          <w:rFonts w:cs="Calibri"/>
        </w:rPr>
        <w:t xml:space="preserve"> </w:t>
      </w:r>
    </w:p>
    <w:p w14:paraId="18F4BF2B" w14:textId="77777777" w:rsidR="00784FA9" w:rsidRPr="00D604EE" w:rsidRDefault="00784FA9" w:rsidP="00784FA9">
      <w:pPr>
        <w:pStyle w:val="BodyText"/>
      </w:pPr>
      <w:r w:rsidRPr="00D604EE">
        <w:t>In 2020, there were 534,937 hectares of open water and 223,674 hectares of vegetated wetlands. Together these two land use types make up 2.8 per cent of the total New Zealand land area.</w:t>
      </w:r>
    </w:p>
    <w:p w14:paraId="005685A1" w14:textId="77777777" w:rsidR="00784FA9" w:rsidRPr="00D604EE" w:rsidRDefault="00784FA9" w:rsidP="00784FA9">
      <w:pPr>
        <w:pStyle w:val="BodyText"/>
      </w:pPr>
      <w:r w:rsidRPr="00D604EE">
        <w:t>In 2016, a study was commissioned to identify and map current and historical (from 1990) horticultural peat mining areas, peat type and quantity, and post-mining activities (Clarkson, unpublished). The results of this study have been incorporated into New Zealand’s 2016 land use map. In 2020, there were 273 hectares under peat extraction.</w:t>
      </w:r>
    </w:p>
    <w:p w14:paraId="12511D06" w14:textId="77777777" w:rsidR="00784FA9" w:rsidRPr="00D604EE" w:rsidRDefault="00784FA9" w:rsidP="00784FA9">
      <w:pPr>
        <w:pStyle w:val="BodyText"/>
      </w:pPr>
      <w:r w:rsidRPr="00D604EE">
        <w:t xml:space="preserve">From 1990 to 2020, the net carbon stocks in </w:t>
      </w:r>
      <w:r w:rsidRPr="00D604EE">
        <w:rPr>
          <w:i/>
        </w:rPr>
        <w:t>Wetlands</w:t>
      </w:r>
      <w:r w:rsidRPr="00D604EE">
        <w:t xml:space="preserve"> decreased by 3.1 kt C, equivalent to emissions of 11.4 kt CO</w:t>
      </w:r>
      <w:r w:rsidRPr="00D604EE">
        <w:rPr>
          <w:vertAlign w:val="subscript"/>
        </w:rPr>
        <w:t>2</w:t>
      </w:r>
      <w:r w:rsidRPr="00D604EE">
        <w:t xml:space="preserve"> in total since 1990 (see table 6.6.2).</w:t>
      </w:r>
    </w:p>
    <w:p w14:paraId="4CD3371D" w14:textId="77777777" w:rsidR="00784FA9" w:rsidRPr="00D604EE" w:rsidRDefault="00784FA9" w:rsidP="00784FA9">
      <w:pPr>
        <w:pStyle w:val="Table"/>
      </w:pPr>
      <w:bookmarkStart w:id="2102" w:name="_Toc342470785"/>
      <w:bookmarkStart w:id="2103" w:name="_Toc352505025"/>
      <w:bookmarkStart w:id="2104" w:name="_Toc378853314"/>
      <w:bookmarkStart w:id="2105" w:name="_Toc391024112"/>
      <w:bookmarkStart w:id="2106" w:name="_Toc410028855"/>
      <w:bookmarkStart w:id="2107" w:name="_Toc414531483"/>
      <w:bookmarkStart w:id="2108" w:name="_Toc443645396"/>
      <w:bookmarkStart w:id="2109" w:name="_Toc474914615"/>
      <w:bookmarkStart w:id="2110" w:name="_Toc481751579"/>
      <w:bookmarkStart w:id="2111" w:name="_Toc522010636"/>
      <w:bookmarkStart w:id="2112" w:name="_Toc5269541"/>
      <w:bookmarkStart w:id="2113" w:name="_Toc33529415"/>
      <w:bookmarkStart w:id="2114" w:name="_Toc36224621"/>
      <w:bookmarkStart w:id="2115" w:name="_Toc99659304"/>
      <w:r w:rsidRPr="00D604EE">
        <w:t>Table 6.6.2</w:t>
      </w:r>
      <w:r w:rsidRPr="00D604EE">
        <w:tab/>
        <w:t xml:space="preserve">New Zealand’s carbon stock change by carbon pool for the </w:t>
      </w:r>
      <w:r w:rsidRPr="00D604EE">
        <w:rPr>
          <w:i/>
        </w:rPr>
        <w:t>Wetlands</w:t>
      </w:r>
      <w:r w:rsidRPr="00D604EE">
        <w:t xml:space="preserve"> category from 1990 to</w:t>
      </w:r>
      <w:bookmarkEnd w:id="2102"/>
      <w:bookmarkEnd w:id="2103"/>
      <w:bookmarkEnd w:id="2104"/>
      <w:bookmarkEnd w:id="2105"/>
      <w:r w:rsidRPr="00D604EE">
        <w:t> </w:t>
      </w:r>
      <w:bookmarkEnd w:id="2106"/>
      <w:bookmarkEnd w:id="2107"/>
      <w:bookmarkEnd w:id="2108"/>
      <w:bookmarkEnd w:id="2109"/>
      <w:bookmarkEnd w:id="2110"/>
      <w:bookmarkEnd w:id="2111"/>
      <w:bookmarkEnd w:id="2112"/>
      <w:bookmarkEnd w:id="2113"/>
      <w:bookmarkEnd w:id="2114"/>
      <w:r w:rsidRPr="00D604EE">
        <w:t>2020</w:t>
      </w:r>
      <w:bookmarkEnd w:id="2115"/>
    </w:p>
    <w:tbl>
      <w:tblPr>
        <w:tblW w:w="8505" w:type="dxa"/>
        <w:tblInd w:w="108" w:type="dxa"/>
        <w:tblLayout w:type="fixed"/>
        <w:tblLook w:val="04A0" w:firstRow="1" w:lastRow="0" w:firstColumn="1" w:lastColumn="0" w:noHBand="0" w:noVBand="1"/>
      </w:tblPr>
      <w:tblGrid>
        <w:gridCol w:w="1892"/>
        <w:gridCol w:w="1221"/>
        <w:gridCol w:w="1623"/>
        <w:gridCol w:w="1086"/>
        <w:gridCol w:w="982"/>
        <w:gridCol w:w="1701"/>
      </w:tblGrid>
      <w:tr w:rsidR="00784FA9" w:rsidRPr="00D604EE" w14:paraId="3A258AF2" w14:textId="77777777" w:rsidTr="007E3239">
        <w:tc>
          <w:tcPr>
            <w:tcW w:w="1892" w:type="dxa"/>
            <w:vMerge w:val="restart"/>
            <w:tcBorders>
              <w:top w:val="single" w:sz="4" w:space="0" w:color="1B556B"/>
            </w:tcBorders>
            <w:shd w:val="clear" w:color="auto" w:fill="1B556B"/>
            <w:vAlign w:val="bottom"/>
          </w:tcPr>
          <w:p w14:paraId="5DF623C3" w14:textId="77777777" w:rsidR="00784FA9" w:rsidRPr="00D604EE" w:rsidRDefault="00784FA9" w:rsidP="007E3239">
            <w:pPr>
              <w:pStyle w:val="TableTextBold"/>
              <w:spacing w:before="40" w:after="40"/>
              <w:rPr>
                <w:noProof w:val="0"/>
                <w:color w:val="FFFFFF"/>
              </w:rPr>
            </w:pPr>
            <w:r w:rsidRPr="00D604EE">
              <w:rPr>
                <w:noProof w:val="0"/>
                <w:color w:val="FFFFFF"/>
              </w:rPr>
              <w:t>Land use</w:t>
            </w:r>
          </w:p>
        </w:tc>
        <w:tc>
          <w:tcPr>
            <w:tcW w:w="4912" w:type="dxa"/>
            <w:gridSpan w:val="4"/>
            <w:tcBorders>
              <w:top w:val="single" w:sz="4" w:space="0" w:color="1B556B"/>
            </w:tcBorders>
            <w:shd w:val="clear" w:color="auto" w:fill="1B556B"/>
            <w:vAlign w:val="bottom"/>
          </w:tcPr>
          <w:p w14:paraId="46C6E627" w14:textId="77777777" w:rsidR="00784FA9" w:rsidRPr="00D604EE" w:rsidRDefault="00784FA9" w:rsidP="00040981">
            <w:pPr>
              <w:pStyle w:val="TableTextBold"/>
              <w:spacing w:before="40" w:after="0"/>
              <w:jc w:val="center"/>
              <w:rPr>
                <w:noProof w:val="0"/>
                <w:color w:val="FFFFFF"/>
              </w:rPr>
            </w:pPr>
            <w:r w:rsidRPr="00D604EE">
              <w:rPr>
                <w:noProof w:val="0"/>
                <w:color w:val="FFFFFF"/>
              </w:rPr>
              <w:t>Net carbon stock change 1990–2020 (kt C)</w:t>
            </w:r>
          </w:p>
        </w:tc>
        <w:tc>
          <w:tcPr>
            <w:tcW w:w="1701" w:type="dxa"/>
            <w:vMerge w:val="restart"/>
            <w:tcBorders>
              <w:top w:val="single" w:sz="4" w:space="0" w:color="1B556B"/>
            </w:tcBorders>
            <w:shd w:val="clear" w:color="auto" w:fill="1B556B"/>
            <w:vAlign w:val="bottom"/>
          </w:tcPr>
          <w:p w14:paraId="577838BD" w14:textId="77777777" w:rsidR="00784FA9" w:rsidRPr="00D604EE" w:rsidRDefault="00784FA9" w:rsidP="007E3239">
            <w:pPr>
              <w:pStyle w:val="TableTextBold"/>
              <w:spacing w:before="40" w:after="40"/>
              <w:jc w:val="right"/>
              <w:rPr>
                <w:noProof w:val="0"/>
                <w:color w:val="FFFFFF"/>
              </w:rPr>
            </w:pPr>
            <w:r w:rsidRPr="00D604EE">
              <w:rPr>
                <w:noProof w:val="0"/>
                <w:color w:val="FFFFFF"/>
              </w:rPr>
              <w:t>Emissions 1990–2020</w:t>
            </w:r>
            <w:r w:rsidRPr="00D604EE">
              <w:rPr>
                <w:noProof w:val="0"/>
                <w:color w:val="FFFFFF"/>
              </w:rPr>
              <w:br/>
              <w:t>(kt CO</w:t>
            </w:r>
            <w:r w:rsidRPr="00D604EE">
              <w:rPr>
                <w:noProof w:val="0"/>
                <w:color w:val="FFFFFF"/>
                <w:vertAlign w:val="subscript"/>
              </w:rPr>
              <w:t>2</w:t>
            </w:r>
            <w:r w:rsidRPr="00D604EE">
              <w:rPr>
                <w:noProof w:val="0"/>
                <w:color w:val="FFFFFF"/>
              </w:rPr>
              <w:t>)</w:t>
            </w:r>
          </w:p>
        </w:tc>
      </w:tr>
      <w:tr w:rsidR="00784FA9" w:rsidRPr="00D604EE" w14:paraId="2A2BA34B" w14:textId="77777777" w:rsidTr="007E3239">
        <w:tc>
          <w:tcPr>
            <w:tcW w:w="1892" w:type="dxa"/>
            <w:vMerge/>
            <w:tcBorders>
              <w:bottom w:val="single" w:sz="4" w:space="0" w:color="1B556B"/>
            </w:tcBorders>
            <w:shd w:val="clear" w:color="auto" w:fill="1B556B"/>
          </w:tcPr>
          <w:p w14:paraId="4D50290D" w14:textId="77777777" w:rsidR="00784FA9" w:rsidRPr="00D604EE" w:rsidRDefault="00784FA9" w:rsidP="007E3239">
            <w:pPr>
              <w:pStyle w:val="TableTextBold"/>
              <w:spacing w:before="40" w:after="40"/>
              <w:rPr>
                <w:noProof w:val="0"/>
                <w:color w:val="FFFFFF"/>
              </w:rPr>
            </w:pPr>
          </w:p>
        </w:tc>
        <w:tc>
          <w:tcPr>
            <w:tcW w:w="1221" w:type="dxa"/>
            <w:tcBorders>
              <w:bottom w:val="single" w:sz="4" w:space="0" w:color="1B556B"/>
            </w:tcBorders>
            <w:shd w:val="clear" w:color="auto" w:fill="1B556B"/>
            <w:vAlign w:val="bottom"/>
          </w:tcPr>
          <w:p w14:paraId="1743A7F9" w14:textId="77777777" w:rsidR="00784FA9" w:rsidRPr="00D604EE" w:rsidRDefault="00784FA9" w:rsidP="007E3239">
            <w:pPr>
              <w:pStyle w:val="TableTextBold"/>
              <w:spacing w:before="40" w:after="40"/>
              <w:jc w:val="right"/>
              <w:rPr>
                <w:noProof w:val="0"/>
                <w:color w:val="FFFFFF"/>
              </w:rPr>
            </w:pPr>
            <w:r w:rsidRPr="00D604EE">
              <w:rPr>
                <w:noProof w:val="0"/>
                <w:color w:val="FFFFFF"/>
              </w:rPr>
              <w:t>Living biomass</w:t>
            </w:r>
          </w:p>
        </w:tc>
        <w:tc>
          <w:tcPr>
            <w:tcW w:w="1623" w:type="dxa"/>
            <w:tcBorders>
              <w:bottom w:val="single" w:sz="4" w:space="0" w:color="1B556B"/>
            </w:tcBorders>
            <w:shd w:val="clear" w:color="auto" w:fill="1B556B"/>
            <w:vAlign w:val="bottom"/>
          </w:tcPr>
          <w:p w14:paraId="198FC38A" w14:textId="77777777" w:rsidR="00784FA9" w:rsidRPr="00D604EE" w:rsidRDefault="00784FA9" w:rsidP="007E3239">
            <w:pPr>
              <w:pStyle w:val="TableTextBold"/>
              <w:spacing w:before="40" w:after="40"/>
              <w:jc w:val="right"/>
              <w:rPr>
                <w:noProof w:val="0"/>
                <w:color w:val="FFFFFF"/>
              </w:rPr>
            </w:pPr>
            <w:r w:rsidRPr="00D604EE">
              <w:rPr>
                <w:noProof w:val="0"/>
                <w:color w:val="FFFFFF"/>
              </w:rPr>
              <w:t>Dead organic matter</w:t>
            </w:r>
          </w:p>
        </w:tc>
        <w:tc>
          <w:tcPr>
            <w:tcW w:w="1086" w:type="dxa"/>
            <w:tcBorders>
              <w:bottom w:val="single" w:sz="4" w:space="0" w:color="1B556B"/>
            </w:tcBorders>
            <w:shd w:val="clear" w:color="auto" w:fill="1B556B"/>
            <w:vAlign w:val="bottom"/>
          </w:tcPr>
          <w:p w14:paraId="3B4D54EF" w14:textId="77777777" w:rsidR="00784FA9" w:rsidRPr="00D604EE" w:rsidRDefault="00784FA9" w:rsidP="007E3239">
            <w:pPr>
              <w:pStyle w:val="TableTextBold"/>
              <w:spacing w:before="40" w:after="40"/>
              <w:jc w:val="right"/>
              <w:rPr>
                <w:noProof w:val="0"/>
                <w:color w:val="FFFFFF"/>
              </w:rPr>
            </w:pPr>
            <w:r w:rsidRPr="00D604EE">
              <w:rPr>
                <w:noProof w:val="0"/>
                <w:color w:val="FFFFFF"/>
              </w:rPr>
              <w:t>Soils</w:t>
            </w:r>
          </w:p>
        </w:tc>
        <w:tc>
          <w:tcPr>
            <w:tcW w:w="982" w:type="dxa"/>
            <w:tcBorders>
              <w:bottom w:val="single" w:sz="4" w:space="0" w:color="1B556B"/>
            </w:tcBorders>
            <w:shd w:val="clear" w:color="auto" w:fill="1B556B"/>
            <w:vAlign w:val="bottom"/>
          </w:tcPr>
          <w:p w14:paraId="20C01976" w14:textId="77777777" w:rsidR="00784FA9" w:rsidRPr="00D604EE" w:rsidRDefault="00784FA9" w:rsidP="007E3239">
            <w:pPr>
              <w:pStyle w:val="TableTextBold"/>
              <w:spacing w:before="40" w:after="40"/>
              <w:jc w:val="right"/>
              <w:rPr>
                <w:noProof w:val="0"/>
                <w:color w:val="FFFFFF"/>
              </w:rPr>
            </w:pPr>
            <w:r w:rsidRPr="00D604EE">
              <w:rPr>
                <w:noProof w:val="0"/>
                <w:color w:val="FFFFFF"/>
              </w:rPr>
              <w:t>Total</w:t>
            </w:r>
          </w:p>
        </w:tc>
        <w:tc>
          <w:tcPr>
            <w:tcW w:w="1701" w:type="dxa"/>
            <w:vMerge/>
            <w:tcBorders>
              <w:bottom w:val="single" w:sz="4" w:space="0" w:color="1B556B"/>
            </w:tcBorders>
            <w:shd w:val="clear" w:color="auto" w:fill="1B556B"/>
          </w:tcPr>
          <w:p w14:paraId="049D8608" w14:textId="77777777" w:rsidR="00784FA9" w:rsidRPr="00D604EE" w:rsidRDefault="00784FA9" w:rsidP="007E3239">
            <w:pPr>
              <w:pStyle w:val="TableTextBold"/>
              <w:spacing w:before="40" w:after="40"/>
              <w:jc w:val="center"/>
              <w:rPr>
                <w:noProof w:val="0"/>
                <w:color w:val="FFFFFF"/>
              </w:rPr>
            </w:pPr>
          </w:p>
        </w:tc>
      </w:tr>
      <w:tr w:rsidR="00784FA9" w:rsidRPr="00D604EE" w14:paraId="01C9536D" w14:textId="77777777" w:rsidTr="007E3239">
        <w:tc>
          <w:tcPr>
            <w:tcW w:w="1892" w:type="dxa"/>
            <w:tcBorders>
              <w:top w:val="single" w:sz="4" w:space="0" w:color="1B556B"/>
              <w:bottom w:val="single" w:sz="4" w:space="0" w:color="1B556B"/>
            </w:tcBorders>
          </w:tcPr>
          <w:p w14:paraId="67244B89" w14:textId="77777777" w:rsidR="00784FA9" w:rsidRPr="00D604EE" w:rsidRDefault="00784FA9" w:rsidP="007E3239">
            <w:pPr>
              <w:pStyle w:val="TableText"/>
              <w:spacing w:before="40" w:after="40"/>
            </w:pPr>
            <w:r w:rsidRPr="00D604EE">
              <w:t>Wetlands – vegetated</w:t>
            </w:r>
          </w:p>
        </w:tc>
        <w:tc>
          <w:tcPr>
            <w:tcW w:w="1221" w:type="dxa"/>
            <w:tcBorders>
              <w:top w:val="single" w:sz="4" w:space="0" w:color="1B556B"/>
              <w:bottom w:val="single" w:sz="4" w:space="0" w:color="1B556B"/>
            </w:tcBorders>
          </w:tcPr>
          <w:p w14:paraId="7672B80F" w14:textId="77777777" w:rsidR="00784FA9" w:rsidRPr="00D604EE" w:rsidRDefault="00784FA9" w:rsidP="007E3239">
            <w:pPr>
              <w:pStyle w:val="TableText"/>
              <w:spacing w:before="40" w:after="40"/>
              <w:jc w:val="right"/>
            </w:pPr>
            <w:r w:rsidRPr="00D604EE">
              <w:t>–27.9</w:t>
            </w:r>
          </w:p>
        </w:tc>
        <w:tc>
          <w:tcPr>
            <w:tcW w:w="1623" w:type="dxa"/>
            <w:tcBorders>
              <w:top w:val="single" w:sz="4" w:space="0" w:color="1B556B"/>
              <w:bottom w:val="single" w:sz="4" w:space="0" w:color="1B556B"/>
            </w:tcBorders>
          </w:tcPr>
          <w:p w14:paraId="2A0C09DE" w14:textId="77777777" w:rsidR="00784FA9" w:rsidRPr="00D604EE" w:rsidRDefault="00784FA9" w:rsidP="007E3239">
            <w:pPr>
              <w:pStyle w:val="TableText"/>
              <w:spacing w:before="40" w:after="40"/>
              <w:jc w:val="right"/>
            </w:pPr>
            <w:r w:rsidRPr="00D604EE">
              <w:t>–2.3</w:t>
            </w:r>
          </w:p>
        </w:tc>
        <w:tc>
          <w:tcPr>
            <w:tcW w:w="1086" w:type="dxa"/>
            <w:tcBorders>
              <w:top w:val="single" w:sz="4" w:space="0" w:color="1B556B"/>
              <w:bottom w:val="single" w:sz="4" w:space="0" w:color="1B556B"/>
            </w:tcBorders>
          </w:tcPr>
          <w:p w14:paraId="2AE34B36" w14:textId="77777777" w:rsidR="00784FA9" w:rsidRPr="00D604EE" w:rsidRDefault="00784FA9" w:rsidP="007E3239">
            <w:pPr>
              <w:pStyle w:val="TableText"/>
              <w:spacing w:before="40" w:after="40"/>
              <w:jc w:val="right"/>
            </w:pPr>
            <w:r w:rsidRPr="00D604EE">
              <w:t>11.5</w:t>
            </w:r>
          </w:p>
        </w:tc>
        <w:tc>
          <w:tcPr>
            <w:tcW w:w="982" w:type="dxa"/>
            <w:tcBorders>
              <w:top w:val="single" w:sz="4" w:space="0" w:color="1B556B"/>
              <w:bottom w:val="single" w:sz="4" w:space="0" w:color="1B556B"/>
            </w:tcBorders>
          </w:tcPr>
          <w:p w14:paraId="6CC92DFB" w14:textId="77777777" w:rsidR="00784FA9" w:rsidRPr="00D604EE" w:rsidRDefault="00784FA9" w:rsidP="007E3239">
            <w:pPr>
              <w:pStyle w:val="TableText"/>
              <w:spacing w:before="40" w:after="40"/>
              <w:jc w:val="right"/>
            </w:pPr>
            <w:r w:rsidRPr="00D604EE">
              <w:t>–18.7</w:t>
            </w:r>
          </w:p>
        </w:tc>
        <w:tc>
          <w:tcPr>
            <w:tcW w:w="1701" w:type="dxa"/>
            <w:tcBorders>
              <w:top w:val="single" w:sz="4" w:space="0" w:color="1B556B"/>
              <w:bottom w:val="single" w:sz="4" w:space="0" w:color="1B556B"/>
            </w:tcBorders>
          </w:tcPr>
          <w:p w14:paraId="7CF5EE71" w14:textId="77777777" w:rsidR="00784FA9" w:rsidRPr="00D604EE" w:rsidRDefault="00784FA9" w:rsidP="007E3239">
            <w:pPr>
              <w:pStyle w:val="TableText"/>
              <w:spacing w:before="40" w:after="40"/>
              <w:jc w:val="right"/>
            </w:pPr>
            <w:r w:rsidRPr="00D604EE">
              <w:t>68.6</w:t>
            </w:r>
          </w:p>
        </w:tc>
      </w:tr>
      <w:tr w:rsidR="00784FA9" w:rsidRPr="00D604EE" w14:paraId="5498CD79" w14:textId="77777777" w:rsidTr="007E3239">
        <w:tc>
          <w:tcPr>
            <w:tcW w:w="1892" w:type="dxa"/>
            <w:tcBorders>
              <w:top w:val="single" w:sz="4" w:space="0" w:color="1B556B"/>
              <w:bottom w:val="single" w:sz="4" w:space="0" w:color="1B556B"/>
            </w:tcBorders>
          </w:tcPr>
          <w:p w14:paraId="23921F24" w14:textId="77777777" w:rsidR="00784FA9" w:rsidRPr="00D604EE" w:rsidRDefault="00784FA9" w:rsidP="007E3239">
            <w:pPr>
              <w:pStyle w:val="TableText"/>
              <w:spacing w:before="40" w:after="40"/>
            </w:pPr>
            <w:r w:rsidRPr="00D604EE">
              <w:t>Wetlands – open water</w:t>
            </w:r>
          </w:p>
        </w:tc>
        <w:tc>
          <w:tcPr>
            <w:tcW w:w="1221" w:type="dxa"/>
            <w:tcBorders>
              <w:top w:val="single" w:sz="4" w:space="0" w:color="1B556B"/>
              <w:bottom w:val="single" w:sz="4" w:space="0" w:color="1B556B"/>
            </w:tcBorders>
          </w:tcPr>
          <w:p w14:paraId="37C177CE" w14:textId="77777777" w:rsidR="00784FA9" w:rsidRPr="00D604EE" w:rsidRDefault="00784FA9" w:rsidP="007E3239">
            <w:pPr>
              <w:pStyle w:val="TableText"/>
              <w:spacing w:before="40" w:after="40"/>
              <w:jc w:val="right"/>
            </w:pPr>
            <w:r w:rsidRPr="00D604EE">
              <w:t>–77.1</w:t>
            </w:r>
          </w:p>
        </w:tc>
        <w:tc>
          <w:tcPr>
            <w:tcW w:w="1623" w:type="dxa"/>
            <w:tcBorders>
              <w:top w:val="single" w:sz="4" w:space="0" w:color="1B556B"/>
              <w:bottom w:val="single" w:sz="4" w:space="0" w:color="1B556B"/>
            </w:tcBorders>
          </w:tcPr>
          <w:p w14:paraId="141DEE82" w14:textId="77777777" w:rsidR="00784FA9" w:rsidRPr="00D604EE" w:rsidRDefault="00784FA9" w:rsidP="007E3239">
            <w:pPr>
              <w:pStyle w:val="TableText"/>
              <w:spacing w:before="40" w:after="40"/>
              <w:jc w:val="right"/>
            </w:pPr>
            <w:r w:rsidRPr="00D604EE">
              <w:t>–6.2</w:t>
            </w:r>
          </w:p>
        </w:tc>
        <w:tc>
          <w:tcPr>
            <w:tcW w:w="1086" w:type="dxa"/>
            <w:tcBorders>
              <w:top w:val="single" w:sz="4" w:space="0" w:color="1B556B"/>
              <w:bottom w:val="single" w:sz="4" w:space="0" w:color="1B556B"/>
            </w:tcBorders>
          </w:tcPr>
          <w:p w14:paraId="5B53AE71" w14:textId="77777777" w:rsidR="00784FA9" w:rsidRPr="00D604EE" w:rsidRDefault="00784FA9" w:rsidP="007E3239">
            <w:pPr>
              <w:pStyle w:val="TableText"/>
              <w:spacing w:before="40" w:after="40"/>
              <w:jc w:val="right"/>
            </w:pPr>
            <w:r w:rsidRPr="00D604EE">
              <w:t>98.9</w:t>
            </w:r>
          </w:p>
        </w:tc>
        <w:tc>
          <w:tcPr>
            <w:tcW w:w="982" w:type="dxa"/>
            <w:tcBorders>
              <w:top w:val="single" w:sz="4" w:space="0" w:color="1B556B"/>
              <w:bottom w:val="single" w:sz="4" w:space="0" w:color="1B556B"/>
            </w:tcBorders>
          </w:tcPr>
          <w:p w14:paraId="34580E40" w14:textId="77777777" w:rsidR="00784FA9" w:rsidRPr="00D604EE" w:rsidRDefault="00784FA9" w:rsidP="007E3239">
            <w:pPr>
              <w:pStyle w:val="TableText"/>
              <w:spacing w:before="40" w:after="40"/>
              <w:jc w:val="right"/>
            </w:pPr>
            <w:r w:rsidRPr="00D604EE">
              <w:t>15.6</w:t>
            </w:r>
          </w:p>
        </w:tc>
        <w:tc>
          <w:tcPr>
            <w:tcW w:w="1701" w:type="dxa"/>
            <w:tcBorders>
              <w:top w:val="single" w:sz="4" w:space="0" w:color="1B556B"/>
              <w:bottom w:val="single" w:sz="4" w:space="0" w:color="1B556B"/>
            </w:tcBorders>
          </w:tcPr>
          <w:p w14:paraId="312787FD" w14:textId="77777777" w:rsidR="00784FA9" w:rsidRPr="00D604EE" w:rsidRDefault="00784FA9" w:rsidP="007E3239">
            <w:pPr>
              <w:pStyle w:val="TableText"/>
              <w:spacing w:before="40" w:after="40"/>
              <w:jc w:val="right"/>
            </w:pPr>
            <w:r w:rsidRPr="00D604EE">
              <w:t>–57.2</w:t>
            </w:r>
          </w:p>
        </w:tc>
      </w:tr>
      <w:tr w:rsidR="00784FA9" w:rsidRPr="00D604EE" w14:paraId="163EC756" w14:textId="77777777" w:rsidTr="007E3239">
        <w:tc>
          <w:tcPr>
            <w:tcW w:w="1892" w:type="dxa"/>
            <w:tcBorders>
              <w:top w:val="single" w:sz="4" w:space="0" w:color="1B556B"/>
              <w:bottom w:val="single" w:sz="4" w:space="0" w:color="1B556B"/>
            </w:tcBorders>
          </w:tcPr>
          <w:p w14:paraId="050F8FA0" w14:textId="77777777" w:rsidR="00784FA9" w:rsidRPr="00D604EE" w:rsidRDefault="00784FA9" w:rsidP="007E3239">
            <w:pPr>
              <w:pStyle w:val="Tableboldblue"/>
              <w:spacing w:before="40" w:after="40"/>
              <w:jc w:val="right"/>
            </w:pPr>
            <w:r w:rsidRPr="00D604EE">
              <w:t>Total</w:t>
            </w:r>
          </w:p>
        </w:tc>
        <w:tc>
          <w:tcPr>
            <w:tcW w:w="1221" w:type="dxa"/>
            <w:tcBorders>
              <w:top w:val="single" w:sz="4" w:space="0" w:color="1B556B"/>
              <w:bottom w:val="single" w:sz="4" w:space="0" w:color="1B556B"/>
            </w:tcBorders>
          </w:tcPr>
          <w:p w14:paraId="4105997C" w14:textId="77777777" w:rsidR="00784FA9" w:rsidRPr="00D604EE" w:rsidRDefault="00784FA9" w:rsidP="007E3239">
            <w:pPr>
              <w:pStyle w:val="Tableboldblue"/>
              <w:spacing w:before="40" w:after="40"/>
              <w:jc w:val="right"/>
              <w:rPr>
                <w:color w:val="44546A"/>
              </w:rPr>
            </w:pPr>
            <w:r w:rsidRPr="00D604EE">
              <w:t>–105.0</w:t>
            </w:r>
          </w:p>
        </w:tc>
        <w:tc>
          <w:tcPr>
            <w:tcW w:w="1623" w:type="dxa"/>
            <w:tcBorders>
              <w:top w:val="single" w:sz="4" w:space="0" w:color="1B556B"/>
              <w:bottom w:val="single" w:sz="4" w:space="0" w:color="1B556B"/>
            </w:tcBorders>
          </w:tcPr>
          <w:p w14:paraId="0EDDF1E8" w14:textId="77777777" w:rsidR="00784FA9" w:rsidRPr="00D604EE" w:rsidRDefault="00784FA9" w:rsidP="007E3239">
            <w:pPr>
              <w:pStyle w:val="Tableboldblue"/>
              <w:spacing w:before="40" w:after="40"/>
              <w:jc w:val="right"/>
              <w:rPr>
                <w:color w:val="44546A"/>
              </w:rPr>
            </w:pPr>
            <w:r w:rsidRPr="00D604EE">
              <w:t>–8.5</w:t>
            </w:r>
          </w:p>
        </w:tc>
        <w:tc>
          <w:tcPr>
            <w:tcW w:w="1086" w:type="dxa"/>
            <w:tcBorders>
              <w:top w:val="single" w:sz="4" w:space="0" w:color="1B556B"/>
              <w:bottom w:val="single" w:sz="4" w:space="0" w:color="1B556B"/>
            </w:tcBorders>
          </w:tcPr>
          <w:p w14:paraId="73960C2C" w14:textId="77777777" w:rsidR="00784FA9" w:rsidRPr="00D604EE" w:rsidRDefault="00784FA9" w:rsidP="007E3239">
            <w:pPr>
              <w:pStyle w:val="Tableboldblue"/>
              <w:spacing w:before="40" w:after="40"/>
              <w:jc w:val="right"/>
              <w:rPr>
                <w:color w:val="44546A"/>
              </w:rPr>
            </w:pPr>
            <w:r w:rsidRPr="00D604EE">
              <w:t>110.4</w:t>
            </w:r>
          </w:p>
        </w:tc>
        <w:tc>
          <w:tcPr>
            <w:tcW w:w="982" w:type="dxa"/>
            <w:tcBorders>
              <w:top w:val="single" w:sz="4" w:space="0" w:color="1B556B"/>
              <w:bottom w:val="single" w:sz="4" w:space="0" w:color="1B556B"/>
            </w:tcBorders>
          </w:tcPr>
          <w:p w14:paraId="5E5DEB58" w14:textId="77777777" w:rsidR="00784FA9" w:rsidRPr="00D604EE" w:rsidRDefault="00784FA9" w:rsidP="007E3239">
            <w:pPr>
              <w:pStyle w:val="Tableboldblue"/>
              <w:spacing w:before="40" w:after="40"/>
              <w:jc w:val="right"/>
              <w:rPr>
                <w:color w:val="44546A"/>
              </w:rPr>
            </w:pPr>
            <w:r w:rsidRPr="00D604EE">
              <w:t>–3.1</w:t>
            </w:r>
          </w:p>
        </w:tc>
        <w:tc>
          <w:tcPr>
            <w:tcW w:w="1701" w:type="dxa"/>
            <w:tcBorders>
              <w:top w:val="single" w:sz="4" w:space="0" w:color="1B556B"/>
              <w:bottom w:val="single" w:sz="4" w:space="0" w:color="1B556B"/>
            </w:tcBorders>
          </w:tcPr>
          <w:p w14:paraId="541A7672" w14:textId="77777777" w:rsidR="00784FA9" w:rsidRPr="00D604EE" w:rsidRDefault="00784FA9" w:rsidP="007E3239">
            <w:pPr>
              <w:pStyle w:val="Tableboldblue"/>
              <w:spacing w:before="40" w:after="40"/>
              <w:jc w:val="right"/>
              <w:rPr>
                <w:color w:val="44546A"/>
              </w:rPr>
            </w:pPr>
            <w:r w:rsidRPr="00D604EE">
              <w:t>11.4</w:t>
            </w:r>
          </w:p>
        </w:tc>
      </w:tr>
    </w:tbl>
    <w:p w14:paraId="0171F282" w14:textId="77777777" w:rsidR="00784FA9" w:rsidRPr="00D604EE" w:rsidRDefault="00784FA9" w:rsidP="00784FA9">
      <w:pPr>
        <w:pStyle w:val="Noteundertable"/>
      </w:pPr>
      <w:r w:rsidRPr="00D604EE">
        <w:rPr>
          <w:b/>
        </w:rPr>
        <w:t xml:space="preserve">Note: </w:t>
      </w:r>
      <w:r w:rsidRPr="00D604EE">
        <w:rPr>
          <w:b/>
        </w:rPr>
        <w:tab/>
      </w:r>
      <w:r w:rsidRPr="00D604EE">
        <w:t>Columns may not total due to rounding.</w:t>
      </w:r>
    </w:p>
    <w:p w14:paraId="0B71048D" w14:textId="77777777" w:rsidR="00784FA9" w:rsidRPr="00D604EE" w:rsidRDefault="00784FA9" w:rsidP="00784FA9">
      <w:pPr>
        <w:pStyle w:val="Heading3"/>
      </w:pPr>
      <w:r w:rsidRPr="00D604EE">
        <w:lastRenderedPageBreak/>
        <w:t>6.6.2</w:t>
      </w:r>
      <w:r w:rsidRPr="00D604EE">
        <w:tab/>
        <w:t>Methodological issues</w:t>
      </w:r>
    </w:p>
    <w:p w14:paraId="09C845DB" w14:textId="77777777" w:rsidR="00784FA9" w:rsidRPr="00D604EE" w:rsidRDefault="00784FA9" w:rsidP="00784FA9">
      <w:pPr>
        <w:pStyle w:val="Heading4"/>
        <w:spacing w:before="160"/>
      </w:pPr>
      <w:r w:rsidRPr="00D604EE">
        <w:t>Wetlands remaining wetlands (CRF 4.D.1)</w:t>
      </w:r>
    </w:p>
    <w:p w14:paraId="632C9D1D" w14:textId="77777777" w:rsidR="00784FA9" w:rsidRPr="00D604EE" w:rsidRDefault="00784FA9" w:rsidP="00784FA9">
      <w:pPr>
        <w:pStyle w:val="Heading5"/>
        <w:spacing w:before="160"/>
      </w:pPr>
      <w:r w:rsidRPr="00D604EE">
        <w:t xml:space="preserve">Living biomass and dead organic matter </w:t>
      </w:r>
    </w:p>
    <w:p w14:paraId="41944CB8" w14:textId="77777777" w:rsidR="00784FA9" w:rsidRPr="00D604EE" w:rsidRDefault="00784FA9" w:rsidP="00784FA9">
      <w:pPr>
        <w:pStyle w:val="BodyText"/>
      </w:pPr>
      <w:r w:rsidRPr="00D604EE">
        <w:t>New Zealand applies Tier 1 methods for estimating CO</w:t>
      </w:r>
      <w:r w:rsidRPr="00D604EE">
        <w:rPr>
          <w:vertAlign w:val="subscript"/>
        </w:rPr>
        <w:t>2</w:t>
      </w:r>
      <w:r w:rsidRPr="00D604EE">
        <w:t xml:space="preserve"> emissions in </w:t>
      </w:r>
      <w:r w:rsidRPr="00D604EE">
        <w:rPr>
          <w:i/>
        </w:rPr>
        <w:t>Wetlands remaining wetlands</w:t>
      </w:r>
      <w:r w:rsidRPr="00D604EE">
        <w:t xml:space="preserve"> (following the guidance provided in section 7.1 of the 2006 IPCC Guidelines</w:t>
      </w:r>
      <w:r w:rsidRPr="00D604EE" w:rsidDel="0015189E">
        <w:t xml:space="preserve"> </w:t>
      </w:r>
      <w:r w:rsidRPr="00D604EE">
        <w:t>(IPCC, 2006a)).</w:t>
      </w:r>
      <w:r w:rsidRPr="00D604EE">
        <w:rPr>
          <w:rStyle w:val="FootnoteReference"/>
          <w:spacing w:val="-2"/>
        </w:rPr>
        <w:footnoteReference w:id="64"/>
      </w:r>
      <w:r w:rsidRPr="00D604EE">
        <w:t xml:space="preserve"> Chapter 7 (IPCC, 2006a) provides guidance for estimating emissions from flooded land and extraction from peat land. Recultivation of peat land is included under the Agriculture sector. </w:t>
      </w:r>
    </w:p>
    <w:p w14:paraId="715015A5" w14:textId="77777777" w:rsidR="00784FA9" w:rsidRPr="00D604EE" w:rsidRDefault="00784FA9" w:rsidP="00784FA9">
      <w:pPr>
        <w:pStyle w:val="BodyText"/>
      </w:pPr>
      <w:r w:rsidRPr="00D604EE">
        <w:t xml:space="preserve">Due to the current lack of data on biomass carbon stock changes in </w:t>
      </w:r>
      <w:r w:rsidRPr="00D604EE">
        <w:rPr>
          <w:i/>
        </w:rPr>
        <w:t>Wetlands remaining wetlands</w:t>
      </w:r>
      <w:r w:rsidRPr="00D604EE">
        <w:t>, New Zealand has not prepared estimates for change in living biomass or dead organic matter for this category. New Zealand reports the notation key NE in the CRF table for this category.</w:t>
      </w:r>
    </w:p>
    <w:p w14:paraId="285B3CE0" w14:textId="77777777" w:rsidR="00784FA9" w:rsidRPr="00D604EE" w:rsidRDefault="00784FA9" w:rsidP="00784FA9">
      <w:pPr>
        <w:pStyle w:val="Heading5"/>
        <w:spacing w:before="160"/>
      </w:pPr>
      <w:r w:rsidRPr="00D604EE">
        <w:t>Soil organic carbon</w:t>
      </w:r>
    </w:p>
    <w:p w14:paraId="4F3B206F" w14:textId="77777777" w:rsidR="00784FA9" w:rsidRPr="00D604EE" w:rsidRDefault="00784FA9" w:rsidP="00784FA9">
      <w:pPr>
        <w:pStyle w:val="BodyText"/>
      </w:pPr>
      <w:r w:rsidRPr="00D604EE">
        <w:rPr>
          <w:spacing w:val="-2"/>
        </w:rPr>
        <w:t xml:space="preserve">Soil organic carbon stocks in </w:t>
      </w:r>
      <w:r w:rsidRPr="00D604EE">
        <w:rPr>
          <w:i/>
          <w:spacing w:val="-2"/>
        </w:rPr>
        <w:t>Wetlands remaining wetlands</w:t>
      </w:r>
      <w:r w:rsidRPr="00D604EE">
        <w:rPr>
          <w:spacing w:val="-2"/>
        </w:rPr>
        <w:t xml:space="preserve"> are estimated using a Tier 2 method for mineral soils and Tier 1 methods for organic soils (see annex A3.2.4). For open water,</w:t>
      </w:r>
      <w:r w:rsidRPr="00D604EE">
        <w:t xml:space="preserve"> the SOC stock at equilibrium is assumed to be the same value as that of low producing grassland</w:t>
      </w:r>
      <w:r w:rsidRPr="00D604EE" w:rsidDel="008B41C2">
        <w:t>.</w:t>
      </w:r>
      <w:r w:rsidRPr="00D604EE">
        <w:t xml:space="preserve"> </w:t>
      </w:r>
    </w:p>
    <w:p w14:paraId="2A5831F8" w14:textId="77777777" w:rsidR="00784FA9" w:rsidRPr="00D604EE" w:rsidRDefault="00784FA9" w:rsidP="00784FA9">
      <w:pPr>
        <w:pStyle w:val="BodyText"/>
      </w:pPr>
      <w:r w:rsidRPr="00D604EE">
        <w:t>For mineral soils, as with living biomass and dead organic matter, there are no emissions for Wetlands in steady state so the notation key NE is used in accordance with Decision 24/CP.19 (UNFCCC, 2014).</w:t>
      </w:r>
    </w:p>
    <w:p w14:paraId="1481C34C" w14:textId="77777777" w:rsidR="00784FA9" w:rsidRPr="00D604EE" w:rsidRDefault="00784FA9" w:rsidP="00784FA9">
      <w:pPr>
        <w:pStyle w:val="BodyText"/>
      </w:pPr>
      <w:r w:rsidRPr="00D604EE">
        <w:t>For organic soils, IPCC good practice guidance is limited to the estimation of carbon emissions associated with peat extraction. In New Zealand, oligotrophic Sphagnum peat is mined for horticultural use (Clarkson, unpublished). Carbon dioxide emissions from the extraction of horticultural peat are estimated from two sources: on-site emissions from peat production and off-site emissions from its subsequent use. Tier 1 default emission factors are applied. Non-CO</w:t>
      </w:r>
      <w:r w:rsidRPr="00D604EE">
        <w:rPr>
          <w:vertAlign w:val="subscript"/>
        </w:rPr>
        <w:t>2</w:t>
      </w:r>
      <w:r w:rsidRPr="00D604EE">
        <w:t xml:space="preserve"> emissions are not estimated because there is no method for estimating N</w:t>
      </w:r>
      <w:r w:rsidRPr="00D604EE">
        <w:rPr>
          <w:vertAlign w:val="subscript"/>
        </w:rPr>
        <w:t>2</w:t>
      </w:r>
      <w:r w:rsidRPr="00D604EE">
        <w:t>O emissions from the extraction of nutrient-poor peat, and no CH4 emissions occur from this activity. As such, the ERT recommendation L.7, 2017 (FCCC/ARR/2017/NZL) cannot be addressed. During the review of the 2021 submission, the ERT considered that this issue had been resolved given there is no method for estimating these emissions in the 2006 IPCC Guidelines (IPCC, 2006a). New Zealand is following the methodology for reporting N2O emissions from Wetlands remaining w</w:t>
      </w:r>
      <w:r w:rsidRPr="00D604EE">
        <w:rPr>
          <w:i/>
          <w:spacing w:val="-2"/>
        </w:rPr>
        <w:t>etlands</w:t>
      </w:r>
      <w:r w:rsidRPr="00D604EE">
        <w:rPr>
          <w:iCs/>
          <w:spacing w:val="-2"/>
        </w:rPr>
        <w:t>,</w:t>
      </w:r>
      <w:r w:rsidRPr="00D604EE">
        <w:rPr>
          <w:spacing w:val="-2"/>
        </w:rPr>
        <w:t xml:space="preserve"> in line with volume 4, section 7.2.1.2 of the 2006 IPCC Guidelines (IPCC, 2006a). </w:t>
      </w:r>
    </w:p>
    <w:p w14:paraId="512E0A08" w14:textId="77777777" w:rsidR="00784FA9" w:rsidRPr="00D604EE" w:rsidRDefault="00784FA9" w:rsidP="00784FA9">
      <w:pPr>
        <w:pStyle w:val="Heading5"/>
        <w:spacing w:before="160"/>
      </w:pPr>
      <w:r w:rsidRPr="00D604EE">
        <w:t>Activity data</w:t>
      </w:r>
    </w:p>
    <w:p w14:paraId="6E43C36C" w14:textId="77777777" w:rsidR="00784FA9" w:rsidRPr="00D604EE" w:rsidRDefault="00784FA9" w:rsidP="00784FA9">
      <w:pPr>
        <w:pStyle w:val="BodyText"/>
      </w:pPr>
      <w:r w:rsidRPr="00D604EE">
        <w:t>The vegetated wetland subcategory includes areas of forest that are part of the wetland ecosystem. Where the forest area has been judged to be part of the wetland ecosystem, it has been classed as vegetated wetland.</w:t>
      </w:r>
    </w:p>
    <w:p w14:paraId="38AD035E" w14:textId="77777777" w:rsidR="00784FA9" w:rsidRPr="00D604EE" w:rsidRDefault="00784FA9" w:rsidP="00784FA9">
      <w:pPr>
        <w:pStyle w:val="Heading4"/>
      </w:pPr>
      <w:r w:rsidRPr="00D604EE">
        <w:lastRenderedPageBreak/>
        <w:t>Land converted to wetlands (CRF 4.D.2)</w:t>
      </w:r>
    </w:p>
    <w:p w14:paraId="6066EDCF" w14:textId="77777777" w:rsidR="00784FA9" w:rsidRPr="00D604EE" w:rsidRDefault="00784FA9" w:rsidP="00BA2894">
      <w:pPr>
        <w:pStyle w:val="BodyText"/>
        <w:keepLines/>
      </w:pPr>
      <w:r w:rsidRPr="00D604EE">
        <w:t>Between 1990 and 2020, 8,395 hectares of land were converted to</w:t>
      </w:r>
      <w:r w:rsidRPr="00D604EE">
        <w:rPr>
          <w:i/>
        </w:rPr>
        <w:t xml:space="preserve"> Wetlands</w:t>
      </w:r>
      <w:r w:rsidRPr="00D604EE">
        <w:t xml:space="preserve">, while 11,827 hectares of </w:t>
      </w:r>
      <w:r w:rsidRPr="00D604EE">
        <w:rPr>
          <w:i/>
        </w:rPr>
        <w:t>Wetlands</w:t>
      </w:r>
      <w:r w:rsidRPr="00D604EE">
        <w:t xml:space="preserve"> were converted to other land uses (mainly </w:t>
      </w:r>
      <w:r w:rsidRPr="00D604EE">
        <w:rPr>
          <w:i/>
        </w:rPr>
        <w:t>Grassland</w:t>
      </w:r>
      <w:r w:rsidRPr="00D604EE">
        <w:rPr>
          <w:iCs/>
        </w:rPr>
        <w:t>,</w:t>
      </w:r>
      <w:r w:rsidRPr="00D604EE">
        <w:t xml:space="preserve"> at 9,921 hectares). This resulted in a net decrease in total area reported under </w:t>
      </w:r>
      <w:r w:rsidRPr="00D604EE">
        <w:rPr>
          <w:i/>
        </w:rPr>
        <w:t>Wetlands</w:t>
      </w:r>
      <w:r w:rsidRPr="00D604EE">
        <w:t xml:space="preserve"> of 3,431 hectares. The wetland losses were mainly related to the conversion of vegetated </w:t>
      </w:r>
      <w:r w:rsidRPr="00D604EE">
        <w:rPr>
          <w:spacing w:val="-2"/>
        </w:rPr>
        <w:t>wetland to grassland (9,397 hectares). Increases in area of wetland open water (8,223 hectares)</w:t>
      </w:r>
      <w:r w:rsidRPr="00D604EE">
        <w:t xml:space="preserve"> are mainly due to the development of irrigation ponds in the Canterbury and Otago regions. However, approximately 760 hectares of new open water has resulted from new lakes forming within the Southern Alps, often at the foot of glaciers. </w:t>
      </w:r>
    </w:p>
    <w:p w14:paraId="67BE1509" w14:textId="77777777" w:rsidR="00784FA9" w:rsidRPr="00D604EE" w:rsidRDefault="00784FA9" w:rsidP="00784FA9">
      <w:pPr>
        <w:pStyle w:val="BodyText"/>
        <w:spacing w:before="100" w:after="100"/>
      </w:pPr>
      <w:r w:rsidRPr="00D604EE">
        <w:rPr>
          <w:i/>
        </w:rPr>
        <w:t>Land converted to peat extraction</w:t>
      </w:r>
      <w:r w:rsidRPr="00D604EE">
        <w:t xml:space="preserve"> emissions are reported in the CRF tables as NE because the areas under peat extraction have remained static since 1990. For </w:t>
      </w:r>
      <w:r w:rsidRPr="00D604EE">
        <w:rPr>
          <w:i/>
        </w:rPr>
        <w:t>Land converted to flooded land</w:t>
      </w:r>
      <w:r w:rsidRPr="00D604EE">
        <w:t xml:space="preserve">, the area is included in the area mapped as </w:t>
      </w:r>
      <w:r w:rsidRPr="00D604EE">
        <w:rPr>
          <w:i/>
        </w:rPr>
        <w:t>Land converted to open water</w:t>
      </w:r>
      <w:r w:rsidRPr="00D604EE">
        <w:t xml:space="preserve"> (this category includes naturally occurring open water (natural lakes) as well as intentionally flooded land). This means emissions for </w:t>
      </w:r>
      <w:r w:rsidRPr="00D604EE">
        <w:rPr>
          <w:i/>
        </w:rPr>
        <w:t>Land converted to flooded land</w:t>
      </w:r>
      <w:r w:rsidRPr="00D604EE">
        <w:t xml:space="preserve"> are reported as IE (included elsewhere), and these emissions are captured under </w:t>
      </w:r>
      <w:r w:rsidRPr="00D604EE">
        <w:rPr>
          <w:i/>
        </w:rPr>
        <w:t>Land converted to open water</w:t>
      </w:r>
      <w:r w:rsidRPr="00D604EE">
        <w:t xml:space="preserve"> instead.</w:t>
      </w:r>
    </w:p>
    <w:p w14:paraId="0239D742" w14:textId="77777777" w:rsidR="00784FA9" w:rsidRPr="00D604EE" w:rsidRDefault="00784FA9" w:rsidP="00784FA9">
      <w:pPr>
        <w:pStyle w:val="Heading5"/>
      </w:pPr>
      <w:r w:rsidRPr="00D604EE">
        <w:t xml:space="preserve">Living biomass and dead organic matter </w:t>
      </w:r>
    </w:p>
    <w:p w14:paraId="0003C26B" w14:textId="77777777" w:rsidR="00784FA9" w:rsidRPr="00D604EE" w:rsidRDefault="00784FA9" w:rsidP="00784FA9">
      <w:pPr>
        <w:pStyle w:val="BodyText"/>
        <w:spacing w:before="100"/>
        <w:rPr>
          <w:spacing w:val="-2"/>
        </w:rPr>
      </w:pPr>
      <w:r w:rsidRPr="00D604EE">
        <w:rPr>
          <w:spacing w:val="-2"/>
        </w:rPr>
        <w:t xml:space="preserve">New Zealand uses a Tier 1 method to calculate emissions from </w:t>
      </w:r>
      <w:r w:rsidRPr="00D604EE">
        <w:rPr>
          <w:i/>
          <w:spacing w:val="-2"/>
        </w:rPr>
        <w:t>Land converted to wetlands</w:t>
      </w:r>
      <w:r w:rsidRPr="00D604EE">
        <w:rPr>
          <w:spacing w:val="-2"/>
        </w:rPr>
        <w:t xml:space="preserve"> (equation 7.10, IPCC, 2006a). The Tier 1 method assumes the carbon in living biomass and dead organic matter present before conversion is lost in the same year as the conversion takes place. </w:t>
      </w:r>
      <w:r w:rsidRPr="00D604EE">
        <w:t xml:space="preserve">All emissions from land-use change to </w:t>
      </w:r>
      <w:r w:rsidRPr="00D604EE">
        <w:rPr>
          <w:i/>
        </w:rPr>
        <w:t>Wetlands</w:t>
      </w:r>
      <w:r w:rsidRPr="00D604EE">
        <w:t xml:space="preserve"> from the removal of the previous vegetation are instantly emitted.</w:t>
      </w:r>
    </w:p>
    <w:p w14:paraId="2B462245" w14:textId="77777777" w:rsidR="00784FA9" w:rsidRPr="00D604EE" w:rsidRDefault="00784FA9" w:rsidP="00784FA9">
      <w:pPr>
        <w:pStyle w:val="BodyText"/>
      </w:pPr>
      <w:r w:rsidRPr="00D604EE">
        <w:t>For open water wetlands, the carbon stocks in living biomass and dead organic matter following conversions are equal to zero. For vegetated wetlands, the carbon stocks in living biomass and dead organic matter are not estimated because there is no guidance in the 2006 IPCC Guidelines (IPCC, 2006a) for estimating carbon stock following land-use change to </w:t>
      </w:r>
      <w:r w:rsidRPr="00D604EE">
        <w:rPr>
          <w:i/>
        </w:rPr>
        <w:t>Wetlands</w:t>
      </w:r>
      <w:r w:rsidRPr="00D604EE">
        <w:t xml:space="preserve">. </w:t>
      </w:r>
    </w:p>
    <w:p w14:paraId="3C9D7FA9" w14:textId="77777777" w:rsidR="00784FA9" w:rsidRPr="00D604EE" w:rsidRDefault="00784FA9" w:rsidP="00784FA9">
      <w:pPr>
        <w:pStyle w:val="Heading5"/>
      </w:pPr>
      <w:r w:rsidRPr="00D604EE">
        <w:t>Soil organic carbon</w:t>
      </w:r>
    </w:p>
    <w:p w14:paraId="01375435" w14:textId="77777777" w:rsidR="00784FA9" w:rsidRPr="00D604EE" w:rsidRDefault="00784FA9" w:rsidP="00784FA9">
      <w:pPr>
        <w:pStyle w:val="BodyText"/>
      </w:pPr>
      <w:r w:rsidRPr="00D604EE">
        <w:t xml:space="preserve">Soil organic carbon stocks in </w:t>
      </w:r>
      <w:r w:rsidRPr="00D604EE">
        <w:rPr>
          <w:i/>
        </w:rPr>
        <w:t>Land converted to wetlands</w:t>
      </w:r>
      <w:r w:rsidRPr="00D604EE">
        <w:t xml:space="preserve"> are estimated using a Tier 2 method, as described in annex A3.2.4. </w:t>
      </w:r>
    </w:p>
    <w:p w14:paraId="42A6389D" w14:textId="77777777" w:rsidR="00784FA9" w:rsidRPr="00D604EE" w:rsidRDefault="00784FA9" w:rsidP="00784FA9">
      <w:pPr>
        <w:pStyle w:val="Heading5"/>
      </w:pPr>
      <w:r w:rsidRPr="00D604EE">
        <w:t>Non-CO</w:t>
      </w:r>
      <w:r w:rsidRPr="00D604EE">
        <w:rPr>
          <w:vertAlign w:val="subscript"/>
        </w:rPr>
        <w:t>2</w:t>
      </w:r>
      <w:r w:rsidRPr="00D604EE">
        <w:t xml:space="preserve"> emissions</w:t>
      </w:r>
    </w:p>
    <w:p w14:paraId="7DD6C430" w14:textId="77777777" w:rsidR="00784FA9" w:rsidRPr="00D604EE" w:rsidRDefault="00784FA9" w:rsidP="00784FA9">
      <w:pPr>
        <w:pStyle w:val="Heading6"/>
        <w:spacing w:before="120"/>
      </w:pPr>
      <w:r w:rsidRPr="00D604EE">
        <w:t>Non-CO</w:t>
      </w:r>
      <w:r w:rsidRPr="00D604EE">
        <w:rPr>
          <w:vertAlign w:val="subscript"/>
        </w:rPr>
        <w:t>2</w:t>
      </w:r>
      <w:r w:rsidRPr="00D604EE">
        <w:t xml:space="preserve"> emissions from drainage of soils and wetlands</w:t>
      </w:r>
    </w:p>
    <w:p w14:paraId="333152FC" w14:textId="77777777" w:rsidR="00784FA9" w:rsidRPr="00D604EE" w:rsidRDefault="00784FA9" w:rsidP="00784FA9">
      <w:pPr>
        <w:pStyle w:val="BodyText"/>
      </w:pPr>
      <w:r w:rsidRPr="00D604EE">
        <w:t xml:space="preserve">New Zealand has not prepared estimates for this category. The notation key NE is used in the CRF tables where either no activity data are available to report on this activity or no Tier 1 methodology exists within the accepted guidelines for providing estimates. Use of this notation key is in accordance with Decision 24/CP.19 (UNFCCC, 2014). </w:t>
      </w:r>
    </w:p>
    <w:p w14:paraId="0649569B" w14:textId="77777777" w:rsidR="00784FA9" w:rsidRPr="00D604EE" w:rsidRDefault="00784FA9" w:rsidP="00784FA9">
      <w:pPr>
        <w:pStyle w:val="Heading3"/>
      </w:pPr>
      <w:r w:rsidRPr="00D604EE">
        <w:t>6.6.3</w:t>
      </w:r>
      <w:r w:rsidRPr="00D604EE">
        <w:tab/>
        <w:t>Uncertainties and time-series consistency</w:t>
      </w:r>
    </w:p>
    <w:p w14:paraId="468C2F9B" w14:textId="77777777" w:rsidR="00784FA9" w:rsidRPr="00D604EE" w:rsidRDefault="00784FA9" w:rsidP="00784FA9">
      <w:pPr>
        <w:pStyle w:val="BodyText"/>
      </w:pPr>
      <w:r w:rsidRPr="00D604EE">
        <w:t xml:space="preserve">The uncertainty in net carbon emissions from </w:t>
      </w:r>
      <w:r w:rsidRPr="00D604EE">
        <w:rPr>
          <w:i/>
          <w:iCs/>
        </w:rPr>
        <w:t>Wetlands</w:t>
      </w:r>
      <w:r w:rsidRPr="00D604EE">
        <w:t xml:space="preserve"> was 108.9 per cent in 2020. The uncertainty in net carbon emissions from </w:t>
      </w:r>
      <w:r w:rsidRPr="00D604EE">
        <w:rPr>
          <w:i/>
        </w:rPr>
        <w:t>Wetlands</w:t>
      </w:r>
      <w:r w:rsidRPr="00D604EE">
        <w:t xml:space="preserve"> accounted for 0.1 per cent of the total uncertainty in emissions from the LULUCF sector. The uncertainty associated with the emissions from each </w:t>
      </w:r>
      <w:r w:rsidRPr="00D604EE">
        <w:rPr>
          <w:i/>
        </w:rPr>
        <w:t>Wetland</w:t>
      </w:r>
      <w:r w:rsidRPr="00D604EE">
        <w:t xml:space="preserve"> class is shown in table 6.6.3. The methods used to calculate the uncertainty are further described in annex A3.2.8. </w:t>
      </w:r>
    </w:p>
    <w:p w14:paraId="0B0B2919" w14:textId="77777777" w:rsidR="00784FA9" w:rsidRPr="00D604EE" w:rsidRDefault="00784FA9" w:rsidP="00784FA9">
      <w:pPr>
        <w:pStyle w:val="BodyText"/>
      </w:pPr>
      <w:r w:rsidRPr="00D604EE">
        <w:lastRenderedPageBreak/>
        <w:t xml:space="preserve">Time-series consistency is ensured by applying consistent methods and full recalculations in the event of any refinement or improvement to methodology. </w:t>
      </w:r>
    </w:p>
    <w:p w14:paraId="46346B1D" w14:textId="77777777" w:rsidR="00784FA9" w:rsidRPr="00D604EE" w:rsidRDefault="00784FA9" w:rsidP="00784FA9">
      <w:pPr>
        <w:pStyle w:val="Table"/>
      </w:pPr>
      <w:bookmarkStart w:id="2116" w:name="_Toc99659305"/>
      <w:r w:rsidRPr="00D604EE">
        <w:t>Table 6.6.3</w:t>
      </w:r>
      <w:r w:rsidRPr="00D604EE">
        <w:tab/>
        <w:t xml:space="preserve">Uncertainty in carbon stock change emissions in 2020 for </w:t>
      </w:r>
      <w:r w:rsidRPr="00D604EE">
        <w:rPr>
          <w:i/>
        </w:rPr>
        <w:t>Wetlands</w:t>
      </w:r>
      <w:bookmarkEnd w:id="2116"/>
      <w:r w:rsidRPr="00D604EE">
        <w:t xml:space="preserve"> </w:t>
      </w:r>
    </w:p>
    <w:tbl>
      <w:tblPr>
        <w:tblW w:w="8505" w:type="dxa"/>
        <w:tblInd w:w="108" w:type="dxa"/>
        <w:tblLayout w:type="fixed"/>
        <w:tblLook w:val="04A0" w:firstRow="1" w:lastRow="0" w:firstColumn="1" w:lastColumn="0" w:noHBand="0" w:noVBand="1"/>
      </w:tblPr>
      <w:tblGrid>
        <w:gridCol w:w="1977"/>
        <w:gridCol w:w="2118"/>
        <w:gridCol w:w="2434"/>
        <w:gridCol w:w="1976"/>
      </w:tblGrid>
      <w:tr w:rsidR="004801D5" w:rsidRPr="00D604EE" w14:paraId="6E923EF8" w14:textId="77777777" w:rsidTr="004801D5">
        <w:tc>
          <w:tcPr>
            <w:tcW w:w="1985" w:type="dxa"/>
            <w:tcBorders>
              <w:top w:val="single" w:sz="4" w:space="0" w:color="1B556B"/>
              <w:bottom w:val="single" w:sz="4" w:space="0" w:color="1B556B"/>
            </w:tcBorders>
            <w:shd w:val="clear" w:color="auto" w:fill="1B556B"/>
            <w:vAlign w:val="bottom"/>
          </w:tcPr>
          <w:p w14:paraId="63FE18DD" w14:textId="77777777" w:rsidR="00784FA9" w:rsidRPr="00D604EE" w:rsidRDefault="00784FA9" w:rsidP="007E3239">
            <w:pPr>
              <w:pStyle w:val="TableTextBold"/>
              <w:keepNext/>
              <w:spacing w:before="40" w:after="40"/>
              <w:rPr>
                <w:noProof w:val="0"/>
                <w:color w:val="FFFFFF"/>
                <w:szCs w:val="16"/>
              </w:rPr>
            </w:pPr>
          </w:p>
        </w:tc>
        <w:tc>
          <w:tcPr>
            <w:tcW w:w="2126" w:type="dxa"/>
            <w:tcBorders>
              <w:top w:val="single" w:sz="4" w:space="0" w:color="1B556B"/>
              <w:bottom w:val="single" w:sz="4" w:space="0" w:color="1B556B"/>
            </w:tcBorders>
            <w:shd w:val="clear" w:color="auto" w:fill="1B556B"/>
            <w:vAlign w:val="bottom"/>
          </w:tcPr>
          <w:p w14:paraId="260CD49E" w14:textId="02CBC9E6"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Emissions (kt CO</w:t>
            </w:r>
            <w:r w:rsidRPr="00D604EE">
              <w:rPr>
                <w:noProof w:val="0"/>
                <w:color w:val="FFFFFF"/>
                <w:szCs w:val="16"/>
                <w:vertAlign w:val="subscript"/>
              </w:rPr>
              <w:t>2</w:t>
            </w:r>
            <w:r w:rsidRPr="00D604EE">
              <w:rPr>
                <w:noProof w:val="0"/>
                <w:color w:val="FFFFFF"/>
                <w:szCs w:val="16"/>
              </w:rPr>
              <w:t>-e)</w:t>
            </w:r>
          </w:p>
        </w:tc>
        <w:tc>
          <w:tcPr>
            <w:tcW w:w="2444" w:type="dxa"/>
            <w:tcBorders>
              <w:top w:val="single" w:sz="4" w:space="0" w:color="1B556B"/>
              <w:bottom w:val="single" w:sz="4" w:space="0" w:color="1B556B"/>
            </w:tcBorders>
            <w:shd w:val="clear" w:color="auto" w:fill="1B556B"/>
            <w:vAlign w:val="bottom"/>
          </w:tcPr>
          <w:p w14:paraId="55456E50" w14:textId="77777777"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Uncertainty in emissions (%)</w:t>
            </w:r>
          </w:p>
        </w:tc>
        <w:tc>
          <w:tcPr>
            <w:tcW w:w="1984" w:type="dxa"/>
            <w:tcBorders>
              <w:top w:val="single" w:sz="4" w:space="0" w:color="1B556B"/>
              <w:bottom w:val="single" w:sz="4" w:space="0" w:color="1B556B"/>
            </w:tcBorders>
            <w:shd w:val="clear" w:color="auto" w:fill="1B556B"/>
            <w:vAlign w:val="bottom"/>
          </w:tcPr>
          <w:p w14:paraId="63A5E6C0" w14:textId="77777777"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Contribution to LULUCF uncertainty (%)</w:t>
            </w:r>
          </w:p>
        </w:tc>
      </w:tr>
      <w:tr w:rsidR="00784FA9" w:rsidRPr="00D604EE" w14:paraId="795B9A41" w14:textId="77777777" w:rsidTr="007E3239">
        <w:tc>
          <w:tcPr>
            <w:tcW w:w="1985" w:type="dxa"/>
            <w:tcBorders>
              <w:top w:val="single" w:sz="4" w:space="0" w:color="1B556B"/>
              <w:bottom w:val="single" w:sz="4" w:space="0" w:color="1B556B"/>
            </w:tcBorders>
          </w:tcPr>
          <w:p w14:paraId="7B86AD85" w14:textId="77777777" w:rsidR="00784FA9" w:rsidRPr="00D604EE" w:rsidRDefault="00784FA9" w:rsidP="007E3239">
            <w:pPr>
              <w:pStyle w:val="TableText"/>
              <w:spacing w:before="40" w:after="40"/>
              <w:rPr>
                <w:szCs w:val="16"/>
              </w:rPr>
            </w:pPr>
            <w:r w:rsidRPr="00D604EE">
              <w:t>Wetlands – open water</w:t>
            </w:r>
          </w:p>
        </w:tc>
        <w:tc>
          <w:tcPr>
            <w:tcW w:w="2126" w:type="dxa"/>
            <w:tcBorders>
              <w:top w:val="single" w:sz="4" w:space="0" w:color="1B556B"/>
              <w:bottom w:val="single" w:sz="4" w:space="0" w:color="1B556B"/>
            </w:tcBorders>
          </w:tcPr>
          <w:p w14:paraId="78BBCA37" w14:textId="77777777" w:rsidR="00784FA9" w:rsidRPr="00D604EE" w:rsidRDefault="00784FA9" w:rsidP="007E3239">
            <w:pPr>
              <w:pStyle w:val="TableText"/>
              <w:spacing w:before="40" w:after="40"/>
              <w:jc w:val="center"/>
            </w:pPr>
            <w:r w:rsidRPr="00D604EE">
              <w:t>–2.8</w:t>
            </w:r>
          </w:p>
        </w:tc>
        <w:tc>
          <w:tcPr>
            <w:tcW w:w="2444" w:type="dxa"/>
            <w:tcBorders>
              <w:top w:val="single" w:sz="4" w:space="0" w:color="1B556B"/>
              <w:bottom w:val="single" w:sz="4" w:space="0" w:color="1B556B"/>
            </w:tcBorders>
          </w:tcPr>
          <w:p w14:paraId="57498668" w14:textId="77777777" w:rsidR="00784FA9" w:rsidRPr="00D604EE" w:rsidRDefault="00784FA9" w:rsidP="007E3239">
            <w:pPr>
              <w:pStyle w:val="TableText"/>
              <w:spacing w:before="40" w:after="40"/>
              <w:jc w:val="center"/>
              <w:rPr>
                <w:rFonts w:cs="Segoe UI"/>
              </w:rPr>
            </w:pPr>
            <w:r w:rsidRPr="00D604EE">
              <w:t>169.4</w:t>
            </w:r>
          </w:p>
        </w:tc>
        <w:tc>
          <w:tcPr>
            <w:tcW w:w="1984" w:type="dxa"/>
            <w:tcBorders>
              <w:top w:val="single" w:sz="4" w:space="0" w:color="1B556B"/>
              <w:bottom w:val="single" w:sz="4" w:space="0" w:color="1B556B"/>
            </w:tcBorders>
          </w:tcPr>
          <w:p w14:paraId="3AB6294F" w14:textId="77777777" w:rsidR="00784FA9" w:rsidRPr="00D604EE" w:rsidRDefault="00784FA9" w:rsidP="007E3239">
            <w:pPr>
              <w:pStyle w:val="TableText"/>
              <w:spacing w:before="40" w:after="40"/>
              <w:jc w:val="center"/>
              <w:rPr>
                <w:rFonts w:cs="Segoe UI"/>
              </w:rPr>
            </w:pPr>
            <w:r w:rsidRPr="00D604EE">
              <w:t>0.0</w:t>
            </w:r>
          </w:p>
        </w:tc>
      </w:tr>
      <w:tr w:rsidR="00784FA9" w:rsidRPr="00D604EE" w14:paraId="7B398511" w14:textId="77777777" w:rsidTr="007E3239">
        <w:tc>
          <w:tcPr>
            <w:tcW w:w="1985" w:type="dxa"/>
            <w:tcBorders>
              <w:top w:val="single" w:sz="4" w:space="0" w:color="1B556B"/>
              <w:bottom w:val="single" w:sz="4" w:space="0" w:color="1B556B"/>
            </w:tcBorders>
          </w:tcPr>
          <w:p w14:paraId="4A39B8A8" w14:textId="77777777" w:rsidR="00784FA9" w:rsidRPr="00D604EE" w:rsidRDefault="00784FA9" w:rsidP="007E3239">
            <w:pPr>
              <w:pStyle w:val="TableText"/>
              <w:spacing w:before="40" w:after="40"/>
              <w:rPr>
                <w:szCs w:val="16"/>
              </w:rPr>
            </w:pPr>
            <w:r w:rsidRPr="00D604EE">
              <w:t>Wetlands – vegetative</w:t>
            </w:r>
          </w:p>
        </w:tc>
        <w:tc>
          <w:tcPr>
            <w:tcW w:w="2126" w:type="dxa"/>
            <w:tcBorders>
              <w:top w:val="single" w:sz="4" w:space="0" w:color="1B556B"/>
              <w:bottom w:val="single" w:sz="4" w:space="0" w:color="1B556B"/>
            </w:tcBorders>
          </w:tcPr>
          <w:p w14:paraId="236DE76A" w14:textId="77777777" w:rsidR="00784FA9" w:rsidRPr="00D604EE" w:rsidRDefault="00784FA9" w:rsidP="007E3239">
            <w:pPr>
              <w:pStyle w:val="TableText"/>
              <w:spacing w:before="40" w:after="40"/>
              <w:jc w:val="center"/>
            </w:pPr>
            <w:r w:rsidRPr="00D604EE">
              <w:t>–1.7</w:t>
            </w:r>
          </w:p>
        </w:tc>
        <w:tc>
          <w:tcPr>
            <w:tcW w:w="2444" w:type="dxa"/>
            <w:tcBorders>
              <w:top w:val="single" w:sz="4" w:space="0" w:color="1B556B"/>
              <w:bottom w:val="single" w:sz="4" w:space="0" w:color="1B556B"/>
            </w:tcBorders>
          </w:tcPr>
          <w:p w14:paraId="4A5393F1" w14:textId="77777777" w:rsidR="00784FA9" w:rsidRPr="00D604EE" w:rsidRDefault="00784FA9" w:rsidP="007E3239">
            <w:pPr>
              <w:pStyle w:val="TableText"/>
              <w:spacing w:before="40" w:after="40"/>
              <w:jc w:val="center"/>
              <w:rPr>
                <w:rFonts w:cs="Segoe UI"/>
              </w:rPr>
            </w:pPr>
            <w:r w:rsidRPr="00D604EE">
              <w:t>74.4</w:t>
            </w:r>
          </w:p>
        </w:tc>
        <w:tc>
          <w:tcPr>
            <w:tcW w:w="1984" w:type="dxa"/>
            <w:tcBorders>
              <w:top w:val="single" w:sz="4" w:space="0" w:color="1B556B"/>
              <w:bottom w:val="single" w:sz="4" w:space="0" w:color="1B556B"/>
            </w:tcBorders>
          </w:tcPr>
          <w:p w14:paraId="035F5481" w14:textId="77777777" w:rsidR="00784FA9" w:rsidRPr="00D604EE" w:rsidRDefault="00784FA9" w:rsidP="007E3239">
            <w:pPr>
              <w:pStyle w:val="TableText"/>
              <w:spacing w:before="40" w:after="40"/>
              <w:jc w:val="center"/>
              <w:rPr>
                <w:rFonts w:cs="Segoe UI"/>
              </w:rPr>
            </w:pPr>
            <w:r w:rsidRPr="00D604EE">
              <w:t>0.0</w:t>
            </w:r>
          </w:p>
        </w:tc>
      </w:tr>
      <w:tr w:rsidR="00784FA9" w:rsidRPr="00D604EE" w14:paraId="4361BBD3" w14:textId="77777777" w:rsidTr="007E3239">
        <w:tc>
          <w:tcPr>
            <w:tcW w:w="1985" w:type="dxa"/>
            <w:tcBorders>
              <w:top w:val="single" w:sz="4" w:space="0" w:color="1B556B"/>
              <w:bottom w:val="single" w:sz="4" w:space="0" w:color="1B556B"/>
            </w:tcBorders>
          </w:tcPr>
          <w:p w14:paraId="68B2E3D2" w14:textId="77777777" w:rsidR="00784FA9" w:rsidRPr="00D604EE" w:rsidRDefault="00784FA9" w:rsidP="007E3239">
            <w:pPr>
              <w:pStyle w:val="TableText"/>
              <w:spacing w:before="40" w:after="40"/>
            </w:pPr>
            <w:r w:rsidRPr="00D604EE">
              <w:t>Peat extraction</w:t>
            </w:r>
          </w:p>
        </w:tc>
        <w:tc>
          <w:tcPr>
            <w:tcW w:w="2126" w:type="dxa"/>
            <w:tcBorders>
              <w:top w:val="single" w:sz="4" w:space="0" w:color="1B556B"/>
              <w:bottom w:val="single" w:sz="4" w:space="0" w:color="1B556B"/>
            </w:tcBorders>
          </w:tcPr>
          <w:p w14:paraId="31DAD8DD" w14:textId="77777777" w:rsidR="00784FA9" w:rsidRPr="00D604EE" w:rsidRDefault="00784FA9" w:rsidP="007E3239">
            <w:pPr>
              <w:pStyle w:val="TableText"/>
              <w:spacing w:before="40" w:after="40"/>
              <w:jc w:val="center"/>
            </w:pPr>
            <w:r w:rsidRPr="00D604EE">
              <w:t>17.9</w:t>
            </w:r>
          </w:p>
        </w:tc>
        <w:tc>
          <w:tcPr>
            <w:tcW w:w="2444" w:type="dxa"/>
            <w:tcBorders>
              <w:top w:val="single" w:sz="4" w:space="0" w:color="1B556B"/>
              <w:bottom w:val="single" w:sz="4" w:space="0" w:color="1B556B"/>
            </w:tcBorders>
          </w:tcPr>
          <w:p w14:paraId="33BE6D81" w14:textId="77777777" w:rsidR="00784FA9" w:rsidRPr="00D604EE" w:rsidRDefault="00784FA9" w:rsidP="007E3239">
            <w:pPr>
              <w:pStyle w:val="TableText"/>
              <w:spacing w:before="40" w:after="40"/>
              <w:jc w:val="center"/>
            </w:pPr>
            <w:r w:rsidRPr="00D604EE">
              <w:t>18.9</w:t>
            </w:r>
          </w:p>
        </w:tc>
        <w:tc>
          <w:tcPr>
            <w:tcW w:w="1984" w:type="dxa"/>
            <w:tcBorders>
              <w:top w:val="single" w:sz="4" w:space="0" w:color="1B556B"/>
              <w:bottom w:val="single" w:sz="4" w:space="0" w:color="1B556B"/>
            </w:tcBorders>
          </w:tcPr>
          <w:p w14:paraId="2B7BB1D3" w14:textId="77777777" w:rsidR="00784FA9" w:rsidRPr="00D604EE" w:rsidRDefault="00784FA9" w:rsidP="007E3239">
            <w:pPr>
              <w:pStyle w:val="TableText"/>
              <w:spacing w:before="40" w:after="40"/>
              <w:jc w:val="center"/>
            </w:pPr>
            <w:r w:rsidRPr="00D604EE">
              <w:t>0.0</w:t>
            </w:r>
          </w:p>
        </w:tc>
      </w:tr>
      <w:tr w:rsidR="00784FA9" w:rsidRPr="00D604EE" w14:paraId="4A049BB9" w14:textId="77777777" w:rsidTr="007E3239">
        <w:tc>
          <w:tcPr>
            <w:tcW w:w="1985" w:type="dxa"/>
            <w:tcBorders>
              <w:top w:val="single" w:sz="4" w:space="0" w:color="1B556B"/>
              <w:bottom w:val="single" w:sz="4" w:space="0" w:color="1B556B"/>
            </w:tcBorders>
          </w:tcPr>
          <w:p w14:paraId="176F7522" w14:textId="77777777" w:rsidR="00784FA9" w:rsidRPr="00D604EE" w:rsidRDefault="00784FA9" w:rsidP="007E3239">
            <w:pPr>
              <w:pStyle w:val="TableTextBold"/>
              <w:spacing w:before="40" w:after="40"/>
              <w:rPr>
                <w:noProof w:val="0"/>
              </w:rPr>
            </w:pPr>
            <w:r w:rsidRPr="00D604EE">
              <w:rPr>
                <w:noProof w:val="0"/>
              </w:rPr>
              <w:t>Total</w:t>
            </w:r>
          </w:p>
        </w:tc>
        <w:tc>
          <w:tcPr>
            <w:tcW w:w="2126" w:type="dxa"/>
            <w:tcBorders>
              <w:top w:val="single" w:sz="4" w:space="0" w:color="1B556B"/>
              <w:bottom w:val="single" w:sz="4" w:space="0" w:color="1B556B"/>
            </w:tcBorders>
          </w:tcPr>
          <w:p w14:paraId="29ED46E9" w14:textId="77777777" w:rsidR="00784FA9" w:rsidRPr="00D604EE" w:rsidRDefault="00784FA9" w:rsidP="007E3239">
            <w:pPr>
              <w:pStyle w:val="TableTextBold"/>
              <w:spacing w:before="40" w:after="40"/>
              <w:jc w:val="center"/>
              <w:rPr>
                <w:noProof w:val="0"/>
              </w:rPr>
            </w:pPr>
            <w:r w:rsidRPr="00D604EE">
              <w:rPr>
                <w:noProof w:val="0"/>
              </w:rPr>
              <w:t>13.3</w:t>
            </w:r>
          </w:p>
        </w:tc>
        <w:tc>
          <w:tcPr>
            <w:tcW w:w="2444" w:type="dxa"/>
            <w:tcBorders>
              <w:top w:val="single" w:sz="4" w:space="0" w:color="1B556B"/>
              <w:bottom w:val="single" w:sz="4" w:space="0" w:color="1B556B"/>
            </w:tcBorders>
          </w:tcPr>
          <w:p w14:paraId="0EC61CE8" w14:textId="77777777" w:rsidR="00784FA9" w:rsidRPr="00D604EE" w:rsidRDefault="00784FA9" w:rsidP="007E3239">
            <w:pPr>
              <w:pStyle w:val="TableTextBold"/>
              <w:spacing w:before="40" w:after="40"/>
              <w:jc w:val="center"/>
              <w:rPr>
                <w:noProof w:val="0"/>
              </w:rPr>
            </w:pPr>
            <w:r w:rsidRPr="00D604EE">
              <w:rPr>
                <w:noProof w:val="0"/>
              </w:rPr>
              <w:t>108.9</w:t>
            </w:r>
          </w:p>
        </w:tc>
        <w:tc>
          <w:tcPr>
            <w:tcW w:w="1984" w:type="dxa"/>
            <w:tcBorders>
              <w:top w:val="single" w:sz="4" w:space="0" w:color="1B556B"/>
              <w:bottom w:val="single" w:sz="4" w:space="0" w:color="1B556B"/>
            </w:tcBorders>
          </w:tcPr>
          <w:p w14:paraId="614FB5F6" w14:textId="77777777" w:rsidR="00784FA9" w:rsidRPr="00D604EE" w:rsidRDefault="00784FA9" w:rsidP="007E3239">
            <w:pPr>
              <w:pStyle w:val="TableTextBold"/>
              <w:spacing w:before="40" w:after="40"/>
              <w:jc w:val="center"/>
              <w:rPr>
                <w:noProof w:val="0"/>
              </w:rPr>
            </w:pPr>
            <w:r w:rsidRPr="00D604EE">
              <w:rPr>
                <w:noProof w:val="0"/>
              </w:rPr>
              <w:t>0.1</w:t>
            </w:r>
          </w:p>
        </w:tc>
      </w:tr>
    </w:tbl>
    <w:p w14:paraId="2DD6DDA0" w14:textId="77777777" w:rsidR="00784FA9" w:rsidRPr="00D604EE" w:rsidRDefault="00784FA9" w:rsidP="00B43150">
      <w:pPr>
        <w:pStyle w:val="Heading3"/>
        <w:spacing w:before="440"/>
      </w:pPr>
      <w:r w:rsidRPr="00D604EE">
        <w:t>6.6.4</w:t>
      </w:r>
      <w:r w:rsidRPr="00D604EE">
        <w:tab/>
        <w:t>Category-specific QA/QC and verification</w:t>
      </w:r>
    </w:p>
    <w:p w14:paraId="27011FAA" w14:textId="77777777" w:rsidR="00784FA9" w:rsidRPr="00D604EE" w:rsidRDefault="00784FA9" w:rsidP="00784FA9">
      <w:pPr>
        <w:pStyle w:val="BodyText"/>
      </w:pPr>
      <w:r w:rsidRPr="00D604EE">
        <w:t>In the preparation of this inventory, the activity data and emission factor for carbon change underwent Tier 1 quality checks.</w:t>
      </w:r>
    </w:p>
    <w:p w14:paraId="71287CBE" w14:textId="77777777" w:rsidR="00784FA9" w:rsidRPr="00D604EE" w:rsidRDefault="00784FA9" w:rsidP="00784FA9">
      <w:pPr>
        <w:pStyle w:val="Heading3"/>
        <w:spacing w:before="320"/>
      </w:pPr>
      <w:r w:rsidRPr="00D604EE">
        <w:t>6.6.5</w:t>
      </w:r>
      <w:r w:rsidRPr="00D604EE">
        <w:tab/>
        <w:t>Category-specific recalculations</w:t>
      </w:r>
    </w:p>
    <w:p w14:paraId="394689DF" w14:textId="77777777" w:rsidR="00784FA9" w:rsidRPr="00D604EE" w:rsidRDefault="00784FA9" w:rsidP="00784FA9">
      <w:pPr>
        <w:pStyle w:val="BodyText"/>
      </w:pPr>
      <w:r w:rsidRPr="00D604EE">
        <w:t>The impact of recalculations on net CO</w:t>
      </w:r>
      <w:r w:rsidRPr="00D604EE">
        <w:rPr>
          <w:vertAlign w:val="subscript"/>
        </w:rPr>
        <w:t>2</w:t>
      </w:r>
      <w:r w:rsidRPr="00D604EE">
        <w:t xml:space="preserve">-e emission estimates for </w:t>
      </w:r>
      <w:r w:rsidRPr="00D604EE">
        <w:rPr>
          <w:i/>
        </w:rPr>
        <w:t>Wetlands</w:t>
      </w:r>
      <w:r w:rsidRPr="00D604EE">
        <w:t xml:space="preserve"> is shown in table 6.6.4. Recalculations were carried out for this category as a result of updating activity data because of mapping improvements, as described in section 6.2.</w:t>
      </w:r>
    </w:p>
    <w:p w14:paraId="62240BCC" w14:textId="77777777" w:rsidR="00784FA9" w:rsidRPr="00D604EE" w:rsidRDefault="00784FA9" w:rsidP="00784FA9">
      <w:pPr>
        <w:pStyle w:val="Table"/>
      </w:pPr>
      <w:bookmarkStart w:id="2117" w:name="_Toc342470787"/>
      <w:bookmarkStart w:id="2118" w:name="_Toc352505027"/>
      <w:bookmarkStart w:id="2119" w:name="_Toc378853316"/>
      <w:bookmarkStart w:id="2120" w:name="_Toc391024114"/>
      <w:bookmarkStart w:id="2121" w:name="_Toc410028857"/>
      <w:bookmarkStart w:id="2122" w:name="_Toc414531485"/>
      <w:bookmarkStart w:id="2123" w:name="_Toc443645398"/>
      <w:bookmarkStart w:id="2124" w:name="_Toc474914617"/>
      <w:bookmarkStart w:id="2125" w:name="_Toc481751581"/>
      <w:bookmarkStart w:id="2126" w:name="_Toc522010638"/>
      <w:bookmarkStart w:id="2127" w:name="_Toc5269543"/>
      <w:bookmarkStart w:id="2128" w:name="_Toc33529417"/>
      <w:bookmarkStart w:id="2129" w:name="_Toc36224623"/>
      <w:bookmarkStart w:id="2130" w:name="_Toc99659306"/>
      <w:r w:rsidRPr="00D604EE">
        <w:t>Table 6.6.4</w:t>
      </w:r>
      <w:r w:rsidRPr="00D604EE">
        <w:tab/>
        <w:t xml:space="preserve">Recalculations for New Zealand’s net emissions from the </w:t>
      </w:r>
      <w:r w:rsidRPr="00D604EE">
        <w:rPr>
          <w:i/>
        </w:rPr>
        <w:t>Wetlands</w:t>
      </w:r>
      <w:r w:rsidRPr="00D604EE">
        <w:t xml:space="preserve"> category in 1990 and</w:t>
      </w:r>
      <w:bookmarkEnd w:id="2117"/>
      <w:bookmarkEnd w:id="2118"/>
      <w:bookmarkEnd w:id="2119"/>
      <w:bookmarkEnd w:id="2120"/>
      <w:r w:rsidRPr="00D604EE">
        <w:t> </w:t>
      </w:r>
      <w:bookmarkEnd w:id="2121"/>
      <w:bookmarkEnd w:id="2122"/>
      <w:bookmarkEnd w:id="2123"/>
      <w:bookmarkEnd w:id="2124"/>
      <w:bookmarkEnd w:id="2125"/>
      <w:bookmarkEnd w:id="2126"/>
      <w:bookmarkEnd w:id="2127"/>
      <w:bookmarkEnd w:id="2128"/>
      <w:bookmarkEnd w:id="2129"/>
      <w:r w:rsidRPr="00D604EE">
        <w:t>2019</w:t>
      </w:r>
      <w:bookmarkEnd w:id="2130"/>
    </w:p>
    <w:tbl>
      <w:tblPr>
        <w:tblW w:w="8505" w:type="dxa"/>
        <w:tblInd w:w="108" w:type="dxa"/>
        <w:tblLayout w:type="fixed"/>
        <w:tblLook w:val="04A0" w:firstRow="1" w:lastRow="0" w:firstColumn="1" w:lastColumn="0" w:noHBand="0" w:noVBand="1"/>
      </w:tblPr>
      <w:tblGrid>
        <w:gridCol w:w="1050"/>
        <w:gridCol w:w="1863"/>
        <w:gridCol w:w="1864"/>
        <w:gridCol w:w="1864"/>
        <w:gridCol w:w="1864"/>
      </w:tblGrid>
      <w:tr w:rsidR="004801D5" w:rsidRPr="00D604EE" w14:paraId="044CEF46" w14:textId="77777777" w:rsidTr="004801D5">
        <w:tc>
          <w:tcPr>
            <w:tcW w:w="1050" w:type="dxa"/>
            <w:vMerge w:val="restart"/>
            <w:tcBorders>
              <w:top w:val="single" w:sz="4" w:space="0" w:color="1B556B"/>
            </w:tcBorders>
            <w:shd w:val="clear" w:color="auto" w:fill="1B556B"/>
            <w:vAlign w:val="bottom"/>
          </w:tcPr>
          <w:p w14:paraId="1BE57E82" w14:textId="77777777" w:rsidR="00784FA9" w:rsidRPr="00D604EE" w:rsidRDefault="00784FA9" w:rsidP="007E3239">
            <w:pPr>
              <w:pStyle w:val="TableTextBold"/>
              <w:keepNext/>
              <w:spacing w:before="40" w:after="40"/>
              <w:rPr>
                <w:noProof w:val="0"/>
                <w:color w:val="FFFFFF"/>
              </w:rPr>
            </w:pPr>
            <w:r w:rsidRPr="00D604EE">
              <w:rPr>
                <w:noProof w:val="0"/>
                <w:color w:val="FFFFFF"/>
              </w:rPr>
              <w:t>Year</w:t>
            </w:r>
          </w:p>
        </w:tc>
        <w:tc>
          <w:tcPr>
            <w:tcW w:w="3727" w:type="dxa"/>
            <w:gridSpan w:val="2"/>
            <w:tcBorders>
              <w:top w:val="single" w:sz="4" w:space="0" w:color="1B556B"/>
            </w:tcBorders>
            <w:shd w:val="clear" w:color="auto" w:fill="1B556B"/>
            <w:noWrap/>
          </w:tcPr>
          <w:p w14:paraId="4E32FC32" w14:textId="77777777" w:rsidR="00784FA9" w:rsidRPr="00D604EE" w:rsidRDefault="00784FA9" w:rsidP="00A34813">
            <w:pPr>
              <w:pStyle w:val="TableTextBold"/>
              <w:keepNext/>
              <w:spacing w:before="40" w:after="0"/>
              <w:jc w:val="center"/>
              <w:rPr>
                <w:noProof w:val="0"/>
                <w:color w:val="FFFFFF"/>
              </w:rPr>
            </w:pPr>
            <w:r w:rsidRPr="00D604EE">
              <w:rPr>
                <w:noProof w:val="0"/>
                <w:color w:val="FFFFFF"/>
              </w:rPr>
              <w:t>Net emissions (kt CO</w:t>
            </w:r>
            <w:r w:rsidRPr="00D604EE">
              <w:rPr>
                <w:rFonts w:ascii="Calibri Light" w:hAnsi="Calibri Light"/>
                <w:noProof w:val="0"/>
                <w:color w:val="FFFFFF"/>
                <w:vertAlign w:val="subscript"/>
              </w:rPr>
              <w:t>2</w:t>
            </w:r>
            <w:r w:rsidRPr="00D604EE">
              <w:rPr>
                <w:noProof w:val="0"/>
                <w:color w:val="FFFFFF"/>
              </w:rPr>
              <w:t>-e)</w:t>
            </w:r>
          </w:p>
        </w:tc>
        <w:tc>
          <w:tcPr>
            <w:tcW w:w="3728" w:type="dxa"/>
            <w:gridSpan w:val="2"/>
            <w:tcBorders>
              <w:top w:val="single" w:sz="4" w:space="0" w:color="1B556B"/>
            </w:tcBorders>
            <w:shd w:val="clear" w:color="auto" w:fill="1B556B"/>
          </w:tcPr>
          <w:p w14:paraId="1501E222" w14:textId="77777777" w:rsidR="00784FA9" w:rsidRPr="00D604EE" w:rsidRDefault="00784FA9" w:rsidP="00A34813">
            <w:pPr>
              <w:pStyle w:val="TableTextBold"/>
              <w:keepNext/>
              <w:spacing w:before="40" w:after="0"/>
              <w:jc w:val="center"/>
              <w:rPr>
                <w:noProof w:val="0"/>
                <w:color w:val="FFFFFF"/>
              </w:rPr>
            </w:pPr>
            <w:r w:rsidRPr="00D604EE">
              <w:rPr>
                <w:noProof w:val="0"/>
                <w:color w:val="FFFFFF"/>
              </w:rPr>
              <w:t>Change from the 2021 submission</w:t>
            </w:r>
          </w:p>
        </w:tc>
      </w:tr>
      <w:tr w:rsidR="00784FA9" w:rsidRPr="00D604EE" w14:paraId="7D6F2D47" w14:textId="77777777" w:rsidTr="004801D5">
        <w:tc>
          <w:tcPr>
            <w:tcW w:w="1050" w:type="dxa"/>
            <w:vMerge/>
            <w:tcBorders>
              <w:bottom w:val="single" w:sz="4" w:space="0" w:color="1B556B"/>
            </w:tcBorders>
            <w:shd w:val="clear" w:color="auto" w:fill="1B556B"/>
          </w:tcPr>
          <w:p w14:paraId="1683F765" w14:textId="77777777" w:rsidR="00784FA9" w:rsidRPr="00D604EE" w:rsidRDefault="00784FA9" w:rsidP="007E3239">
            <w:pPr>
              <w:keepNext/>
              <w:spacing w:before="40" w:after="40"/>
              <w:rPr>
                <w:rFonts w:ascii="Arial Bold" w:hAnsi="Arial Bold"/>
                <w:color w:val="FFFFFF"/>
              </w:rPr>
            </w:pPr>
          </w:p>
        </w:tc>
        <w:tc>
          <w:tcPr>
            <w:tcW w:w="1863" w:type="dxa"/>
            <w:tcBorders>
              <w:bottom w:val="single" w:sz="4" w:space="0" w:color="1B556B"/>
            </w:tcBorders>
            <w:shd w:val="clear" w:color="auto" w:fill="1B556B"/>
          </w:tcPr>
          <w:p w14:paraId="5FB6A28D" w14:textId="77777777" w:rsidR="00784FA9" w:rsidRPr="00D604EE" w:rsidRDefault="00784FA9" w:rsidP="007E3239">
            <w:pPr>
              <w:pStyle w:val="TableText"/>
              <w:keepNext/>
              <w:spacing w:before="40" w:after="40"/>
              <w:jc w:val="center"/>
              <w:rPr>
                <w:b/>
                <w:color w:val="FFFFFF"/>
              </w:rPr>
            </w:pPr>
            <w:r w:rsidRPr="00D604EE">
              <w:rPr>
                <w:b/>
                <w:color w:val="FFFFFF"/>
              </w:rPr>
              <w:t>2021 submission</w:t>
            </w:r>
          </w:p>
        </w:tc>
        <w:tc>
          <w:tcPr>
            <w:tcW w:w="1864" w:type="dxa"/>
            <w:tcBorders>
              <w:bottom w:val="single" w:sz="4" w:space="0" w:color="1B556B"/>
            </w:tcBorders>
            <w:shd w:val="clear" w:color="auto" w:fill="1B556B"/>
          </w:tcPr>
          <w:p w14:paraId="7C86D249" w14:textId="77777777" w:rsidR="00784FA9" w:rsidRPr="00D604EE" w:rsidRDefault="00784FA9" w:rsidP="007E3239">
            <w:pPr>
              <w:pStyle w:val="TableText"/>
              <w:keepNext/>
              <w:spacing w:before="40" w:after="40"/>
              <w:jc w:val="center"/>
              <w:rPr>
                <w:b/>
                <w:color w:val="FFFFFF"/>
              </w:rPr>
            </w:pPr>
            <w:r w:rsidRPr="00D604EE">
              <w:rPr>
                <w:b/>
                <w:color w:val="FFFFFF"/>
              </w:rPr>
              <w:t>2022 submission</w:t>
            </w:r>
          </w:p>
        </w:tc>
        <w:tc>
          <w:tcPr>
            <w:tcW w:w="1864" w:type="dxa"/>
            <w:tcBorders>
              <w:bottom w:val="single" w:sz="4" w:space="0" w:color="1B556B"/>
            </w:tcBorders>
            <w:shd w:val="clear" w:color="auto" w:fill="1B556B"/>
          </w:tcPr>
          <w:p w14:paraId="5B3E3D45" w14:textId="77777777" w:rsidR="00784FA9" w:rsidRPr="00D604EE" w:rsidRDefault="00784FA9" w:rsidP="007E3239">
            <w:pPr>
              <w:pStyle w:val="TableText"/>
              <w:keepNext/>
              <w:spacing w:before="40" w:after="40"/>
              <w:jc w:val="center"/>
              <w:rPr>
                <w:b/>
                <w:color w:val="FFFFFF"/>
              </w:rPr>
            </w:pPr>
            <w:r w:rsidRPr="00D604EE">
              <w:rPr>
                <w:b/>
                <w:color w:val="FFFFFF"/>
              </w:rPr>
              <w:t>(kt CO</w:t>
            </w:r>
            <w:r w:rsidRPr="00D604EE">
              <w:rPr>
                <w:b/>
                <w:color w:val="FFFFFF"/>
                <w:vertAlign w:val="subscript"/>
              </w:rPr>
              <w:t>2</w:t>
            </w:r>
            <w:r w:rsidRPr="00D604EE">
              <w:rPr>
                <w:b/>
                <w:color w:val="FFFFFF"/>
              </w:rPr>
              <w:t>-e)</w:t>
            </w:r>
          </w:p>
        </w:tc>
        <w:tc>
          <w:tcPr>
            <w:tcW w:w="1864" w:type="dxa"/>
            <w:tcBorders>
              <w:bottom w:val="single" w:sz="4" w:space="0" w:color="1B556B"/>
            </w:tcBorders>
            <w:shd w:val="clear" w:color="auto" w:fill="1B556B"/>
          </w:tcPr>
          <w:p w14:paraId="7DC1588E" w14:textId="77777777" w:rsidR="00784FA9" w:rsidRPr="00D604EE" w:rsidRDefault="00784FA9" w:rsidP="007E3239">
            <w:pPr>
              <w:pStyle w:val="TableText"/>
              <w:keepNext/>
              <w:spacing w:before="40" w:after="40"/>
              <w:jc w:val="center"/>
              <w:rPr>
                <w:b/>
                <w:color w:val="FFFFFF"/>
              </w:rPr>
            </w:pPr>
            <w:r w:rsidRPr="00D604EE">
              <w:rPr>
                <w:b/>
                <w:color w:val="FFFFFF"/>
              </w:rPr>
              <w:t>(%)</w:t>
            </w:r>
          </w:p>
        </w:tc>
      </w:tr>
      <w:tr w:rsidR="00784FA9" w:rsidRPr="00D604EE" w14:paraId="3111D431" w14:textId="77777777" w:rsidTr="007E3239">
        <w:tc>
          <w:tcPr>
            <w:tcW w:w="1050" w:type="dxa"/>
            <w:tcBorders>
              <w:top w:val="single" w:sz="4" w:space="0" w:color="1B556B"/>
              <w:bottom w:val="single" w:sz="4" w:space="0" w:color="1B556B"/>
            </w:tcBorders>
          </w:tcPr>
          <w:p w14:paraId="2D28FA00" w14:textId="77777777" w:rsidR="00784FA9" w:rsidRPr="00D604EE" w:rsidRDefault="00784FA9" w:rsidP="007E3239">
            <w:pPr>
              <w:pStyle w:val="TableText"/>
              <w:spacing w:before="40" w:after="40"/>
            </w:pPr>
            <w:r w:rsidRPr="00D604EE">
              <w:t xml:space="preserve">1990 </w:t>
            </w:r>
          </w:p>
        </w:tc>
        <w:tc>
          <w:tcPr>
            <w:tcW w:w="1863" w:type="dxa"/>
            <w:tcBorders>
              <w:top w:val="single" w:sz="4" w:space="0" w:color="1B556B"/>
              <w:bottom w:val="single" w:sz="4" w:space="0" w:color="1B556B"/>
            </w:tcBorders>
          </w:tcPr>
          <w:p w14:paraId="180B998F" w14:textId="77777777" w:rsidR="00784FA9" w:rsidRPr="00D604EE" w:rsidRDefault="00784FA9" w:rsidP="007E3239">
            <w:pPr>
              <w:pStyle w:val="TableText"/>
              <w:keepNext/>
              <w:tabs>
                <w:tab w:val="decimal" w:pos="369"/>
              </w:tabs>
              <w:spacing w:before="40" w:after="40"/>
              <w:jc w:val="center"/>
            </w:pPr>
            <w:r w:rsidRPr="00D604EE">
              <w:t xml:space="preserve">–10.7 </w:t>
            </w:r>
          </w:p>
        </w:tc>
        <w:tc>
          <w:tcPr>
            <w:tcW w:w="1864" w:type="dxa"/>
            <w:tcBorders>
              <w:top w:val="single" w:sz="4" w:space="0" w:color="1B556B"/>
              <w:bottom w:val="single" w:sz="4" w:space="0" w:color="1B556B"/>
            </w:tcBorders>
          </w:tcPr>
          <w:p w14:paraId="100EC856" w14:textId="77777777" w:rsidR="00784FA9" w:rsidRPr="00D604EE" w:rsidRDefault="00784FA9" w:rsidP="007E3239">
            <w:pPr>
              <w:pStyle w:val="TableText"/>
              <w:keepNext/>
              <w:tabs>
                <w:tab w:val="decimal" w:pos="369"/>
              </w:tabs>
              <w:spacing w:before="40" w:after="40"/>
              <w:jc w:val="center"/>
            </w:pPr>
            <w:r w:rsidRPr="00D604EE">
              <w:t xml:space="preserve">–10.5 </w:t>
            </w:r>
          </w:p>
        </w:tc>
        <w:tc>
          <w:tcPr>
            <w:tcW w:w="1864" w:type="dxa"/>
            <w:tcBorders>
              <w:top w:val="single" w:sz="4" w:space="0" w:color="1B556B"/>
              <w:bottom w:val="single" w:sz="4" w:space="0" w:color="1B556B"/>
            </w:tcBorders>
          </w:tcPr>
          <w:p w14:paraId="2228465D" w14:textId="77777777" w:rsidR="00784FA9" w:rsidRPr="00D604EE" w:rsidRDefault="00784FA9" w:rsidP="007E3239">
            <w:pPr>
              <w:pStyle w:val="TableText"/>
              <w:keepNext/>
              <w:tabs>
                <w:tab w:val="decimal" w:pos="369"/>
              </w:tabs>
              <w:spacing w:before="40" w:after="40"/>
              <w:jc w:val="center"/>
            </w:pPr>
            <w:r w:rsidRPr="00D604EE">
              <w:t xml:space="preserve">0.2 </w:t>
            </w:r>
          </w:p>
        </w:tc>
        <w:tc>
          <w:tcPr>
            <w:tcW w:w="1864" w:type="dxa"/>
            <w:tcBorders>
              <w:top w:val="single" w:sz="4" w:space="0" w:color="1B556B"/>
              <w:bottom w:val="single" w:sz="4" w:space="0" w:color="1B556B"/>
            </w:tcBorders>
          </w:tcPr>
          <w:p w14:paraId="7E201D52" w14:textId="77777777" w:rsidR="00784FA9" w:rsidRPr="00D604EE" w:rsidRDefault="00784FA9" w:rsidP="007E3239">
            <w:pPr>
              <w:pStyle w:val="TableText"/>
              <w:keepNext/>
              <w:tabs>
                <w:tab w:val="decimal" w:pos="369"/>
              </w:tabs>
              <w:spacing w:before="40" w:after="40"/>
              <w:jc w:val="center"/>
            </w:pPr>
            <w:r w:rsidRPr="00D604EE">
              <w:t>2.2</w:t>
            </w:r>
          </w:p>
        </w:tc>
      </w:tr>
      <w:tr w:rsidR="00784FA9" w:rsidRPr="00D604EE" w14:paraId="71A74880" w14:textId="77777777" w:rsidTr="007E3239">
        <w:tc>
          <w:tcPr>
            <w:tcW w:w="1050" w:type="dxa"/>
            <w:tcBorders>
              <w:top w:val="single" w:sz="4" w:space="0" w:color="1B556B"/>
              <w:bottom w:val="single" w:sz="4" w:space="0" w:color="1B556B"/>
            </w:tcBorders>
          </w:tcPr>
          <w:p w14:paraId="140629F4" w14:textId="77777777" w:rsidR="00784FA9" w:rsidRPr="00D604EE" w:rsidRDefault="00784FA9" w:rsidP="007E3239">
            <w:pPr>
              <w:pStyle w:val="TableText"/>
              <w:spacing w:before="40" w:after="40"/>
            </w:pPr>
            <w:r w:rsidRPr="00D604EE">
              <w:t>2019</w:t>
            </w:r>
          </w:p>
        </w:tc>
        <w:tc>
          <w:tcPr>
            <w:tcW w:w="1863" w:type="dxa"/>
            <w:tcBorders>
              <w:top w:val="single" w:sz="4" w:space="0" w:color="1B556B"/>
              <w:bottom w:val="single" w:sz="4" w:space="0" w:color="1B556B"/>
            </w:tcBorders>
          </w:tcPr>
          <w:p w14:paraId="4B843A6D" w14:textId="77777777" w:rsidR="00784FA9" w:rsidRPr="00D604EE" w:rsidRDefault="00784FA9" w:rsidP="007E3239">
            <w:pPr>
              <w:pStyle w:val="TableText"/>
              <w:tabs>
                <w:tab w:val="decimal" w:pos="369"/>
              </w:tabs>
              <w:spacing w:before="40" w:after="40"/>
              <w:jc w:val="center"/>
            </w:pPr>
            <w:r w:rsidRPr="00D604EE">
              <w:t xml:space="preserve">13.4 </w:t>
            </w:r>
          </w:p>
        </w:tc>
        <w:tc>
          <w:tcPr>
            <w:tcW w:w="1864" w:type="dxa"/>
            <w:tcBorders>
              <w:top w:val="single" w:sz="4" w:space="0" w:color="1B556B"/>
              <w:bottom w:val="single" w:sz="4" w:space="0" w:color="1B556B"/>
            </w:tcBorders>
          </w:tcPr>
          <w:p w14:paraId="2AC237B3" w14:textId="77777777" w:rsidR="00784FA9" w:rsidRPr="00D604EE" w:rsidRDefault="00784FA9" w:rsidP="007E3239">
            <w:pPr>
              <w:pStyle w:val="TableText"/>
              <w:tabs>
                <w:tab w:val="decimal" w:pos="369"/>
              </w:tabs>
              <w:spacing w:before="40" w:after="40"/>
              <w:jc w:val="center"/>
            </w:pPr>
            <w:r w:rsidRPr="00D604EE">
              <w:t xml:space="preserve">13.4 </w:t>
            </w:r>
          </w:p>
        </w:tc>
        <w:tc>
          <w:tcPr>
            <w:tcW w:w="1864" w:type="dxa"/>
            <w:tcBorders>
              <w:top w:val="single" w:sz="4" w:space="0" w:color="1B556B"/>
              <w:bottom w:val="single" w:sz="4" w:space="0" w:color="1B556B"/>
            </w:tcBorders>
          </w:tcPr>
          <w:p w14:paraId="77DF882B" w14:textId="77777777" w:rsidR="00784FA9" w:rsidRPr="00D604EE" w:rsidRDefault="00784FA9" w:rsidP="007E3239">
            <w:pPr>
              <w:pStyle w:val="TableText"/>
              <w:tabs>
                <w:tab w:val="decimal" w:pos="369"/>
              </w:tabs>
              <w:spacing w:before="40" w:after="40"/>
              <w:jc w:val="center"/>
            </w:pPr>
            <w:r w:rsidRPr="00D604EE">
              <w:t xml:space="preserve">–0.0 </w:t>
            </w:r>
          </w:p>
        </w:tc>
        <w:tc>
          <w:tcPr>
            <w:tcW w:w="1864" w:type="dxa"/>
            <w:tcBorders>
              <w:top w:val="single" w:sz="4" w:space="0" w:color="1B556B"/>
              <w:bottom w:val="single" w:sz="4" w:space="0" w:color="1B556B"/>
            </w:tcBorders>
          </w:tcPr>
          <w:p w14:paraId="5577D806" w14:textId="77777777" w:rsidR="00784FA9" w:rsidRPr="00D604EE" w:rsidRDefault="00784FA9" w:rsidP="007E3239">
            <w:pPr>
              <w:pStyle w:val="TableText"/>
              <w:tabs>
                <w:tab w:val="decimal" w:pos="369"/>
              </w:tabs>
              <w:spacing w:before="40" w:after="40"/>
              <w:jc w:val="center"/>
            </w:pPr>
            <w:r w:rsidRPr="00D604EE">
              <w:t>–0.3</w:t>
            </w:r>
          </w:p>
        </w:tc>
      </w:tr>
    </w:tbl>
    <w:p w14:paraId="39954D0A" w14:textId="77777777" w:rsidR="00784FA9" w:rsidRPr="00D604EE" w:rsidRDefault="00784FA9" w:rsidP="00784FA9">
      <w:pPr>
        <w:pStyle w:val="Heading3"/>
        <w:spacing w:before="400"/>
      </w:pPr>
      <w:r w:rsidRPr="00D604EE">
        <w:t>6.6.6</w:t>
      </w:r>
      <w:r w:rsidRPr="00D604EE">
        <w:tab/>
        <w:t>Category-specific planned improvements</w:t>
      </w:r>
    </w:p>
    <w:p w14:paraId="2FB939E6" w14:textId="77777777" w:rsidR="00784FA9" w:rsidRPr="00D604EE" w:rsidRDefault="00784FA9" w:rsidP="00784FA9">
      <w:pPr>
        <w:pStyle w:val="BodyText"/>
      </w:pPr>
      <w:r w:rsidRPr="00D604EE">
        <w:t xml:space="preserve">The following improvements are planned for the </w:t>
      </w:r>
      <w:r w:rsidRPr="00D604EE">
        <w:rPr>
          <w:i/>
        </w:rPr>
        <w:t xml:space="preserve">Wetlands </w:t>
      </w:r>
      <w:r w:rsidRPr="00D604EE">
        <w:t>category.</w:t>
      </w:r>
    </w:p>
    <w:p w14:paraId="6FEEE80C" w14:textId="77777777" w:rsidR="00784FA9" w:rsidRPr="00D604EE" w:rsidRDefault="00784FA9" w:rsidP="00AB2A5C">
      <w:pPr>
        <w:pStyle w:val="Bullet"/>
        <w:numPr>
          <w:ilvl w:val="0"/>
          <w:numId w:val="19"/>
        </w:numPr>
        <w:ind w:left="397" w:hanging="397"/>
      </w:pPr>
      <w:r w:rsidRPr="00D604EE">
        <w:t xml:space="preserve">Research is under way to identify nutrient status, drainage depth and suitable emission factors for drained organic soils to enable the application of the 2013 </w:t>
      </w:r>
      <w:r w:rsidRPr="00D604EE">
        <w:rPr>
          <w:i/>
        </w:rPr>
        <w:t>Wetlands</w:t>
      </w:r>
      <w:r w:rsidRPr="00D604EE">
        <w:t xml:space="preserve"> supplement in future submissions. It is unlikely this work will be complete before the 2023 submission. </w:t>
      </w:r>
    </w:p>
    <w:p w14:paraId="3B48F6BE" w14:textId="77777777" w:rsidR="00784FA9" w:rsidRPr="00D604EE" w:rsidRDefault="00784FA9" w:rsidP="00AB2A5C">
      <w:pPr>
        <w:pStyle w:val="Bullet"/>
        <w:numPr>
          <w:ilvl w:val="0"/>
          <w:numId w:val="19"/>
        </w:numPr>
        <w:ind w:left="397" w:hanging="397"/>
      </w:pPr>
      <w:r w:rsidRPr="00D604EE">
        <w:t>A literature review of carbon stocks and estimated stock change through time in inland wetland vegetation is under way. This will enable carbon stock gains and losses from land</w:t>
      </w:r>
      <w:r w:rsidRPr="00D604EE">
        <w:noBreakHyphen/>
        <w:t>use changes to and from vegetated wetlands to be reported. It is likely that this will be implemented in the 2023 submission.</w:t>
      </w:r>
    </w:p>
    <w:p w14:paraId="792E9D87" w14:textId="77777777" w:rsidR="00784FA9" w:rsidRPr="00D604EE" w:rsidRDefault="00784FA9" w:rsidP="00784FA9">
      <w:pPr>
        <w:pStyle w:val="Heading2"/>
      </w:pPr>
      <w:bookmarkStart w:id="2131" w:name="_Toc310423456"/>
      <w:bookmarkStart w:id="2132" w:name="_Toc342470722"/>
      <w:bookmarkStart w:id="2133" w:name="_Toc352504874"/>
      <w:bookmarkStart w:id="2134" w:name="_Toc391024704"/>
      <w:bookmarkStart w:id="2135" w:name="_Toc414531321"/>
      <w:bookmarkStart w:id="2136" w:name="_Toc474335463"/>
      <w:bookmarkStart w:id="2137" w:name="_Toc481751403"/>
      <w:bookmarkStart w:id="2138" w:name="_Toc522013955"/>
      <w:bookmarkStart w:id="2139" w:name="_Toc5269380"/>
      <w:bookmarkStart w:id="2140" w:name="_Toc36224420"/>
      <w:bookmarkStart w:id="2141" w:name="_Toc99659146"/>
      <w:r w:rsidRPr="00D604EE">
        <w:t>6.7</w:t>
      </w:r>
      <w:r w:rsidRPr="00D604EE">
        <w:tab/>
        <w:t>Settlements (CRF 4E)</w:t>
      </w:r>
      <w:bookmarkEnd w:id="2131"/>
      <w:bookmarkEnd w:id="2132"/>
      <w:bookmarkEnd w:id="2133"/>
      <w:bookmarkEnd w:id="2134"/>
      <w:bookmarkEnd w:id="2135"/>
      <w:bookmarkEnd w:id="2136"/>
      <w:bookmarkEnd w:id="2137"/>
      <w:bookmarkEnd w:id="2138"/>
      <w:bookmarkEnd w:id="2139"/>
      <w:bookmarkEnd w:id="2140"/>
      <w:bookmarkEnd w:id="2141"/>
    </w:p>
    <w:p w14:paraId="0C5E4154" w14:textId="77777777" w:rsidR="00784FA9" w:rsidRPr="00D604EE" w:rsidRDefault="00784FA9" w:rsidP="00784FA9">
      <w:pPr>
        <w:pStyle w:val="Heading3"/>
        <w:spacing w:before="240"/>
      </w:pPr>
      <w:r w:rsidRPr="00D604EE">
        <w:t>6.7.1</w:t>
      </w:r>
      <w:r w:rsidRPr="00D604EE">
        <w:tab/>
        <w:t>Description</w:t>
      </w:r>
    </w:p>
    <w:p w14:paraId="16FCDB9B" w14:textId="77777777" w:rsidR="00784FA9" w:rsidRPr="00D604EE" w:rsidRDefault="00784FA9" w:rsidP="00784FA9">
      <w:pPr>
        <w:pStyle w:val="BodyText"/>
      </w:pPr>
      <w:r w:rsidRPr="00D604EE">
        <w:t xml:space="preserve">In 2020, the net emissions from </w:t>
      </w:r>
      <w:r w:rsidRPr="00D604EE">
        <w:rPr>
          <w:i/>
          <w:iCs/>
        </w:rPr>
        <w:t>Settlements</w:t>
      </w:r>
      <w:r w:rsidRPr="00D604EE">
        <w:t xml:space="preserve"> were 124.1 kt CO</w:t>
      </w:r>
      <w:r w:rsidRPr="00D604EE">
        <w:rPr>
          <w:vertAlign w:val="subscript"/>
        </w:rPr>
        <w:t>2</w:t>
      </w:r>
      <w:r w:rsidRPr="00D604EE">
        <w:t xml:space="preserve">-e, an increase of 64.5 per cent from net emissions in 1990 (see table 6.7.1). This change in emissions is mainly from the category of </w:t>
      </w:r>
      <w:r w:rsidRPr="00D604EE">
        <w:rPr>
          <w:i/>
          <w:iCs/>
        </w:rPr>
        <w:t xml:space="preserve">Land converted to settlements </w:t>
      </w:r>
      <w:r w:rsidRPr="00D604EE">
        <w:t xml:space="preserve">and results from the drainage of organic soils. </w:t>
      </w:r>
      <w:r w:rsidRPr="00D604EE">
        <w:rPr>
          <w:i/>
          <w:iCs/>
        </w:rPr>
        <w:t>Settlements</w:t>
      </w:r>
      <w:r w:rsidRPr="00D604EE">
        <w:t xml:space="preserve"> was </w:t>
      </w:r>
      <w:r w:rsidRPr="00D604EE" w:rsidDel="00094862">
        <w:t xml:space="preserve">not </w:t>
      </w:r>
      <w:r w:rsidRPr="00D604EE">
        <w:t>a key category in 2020.</w:t>
      </w:r>
    </w:p>
    <w:p w14:paraId="7D818399" w14:textId="77777777" w:rsidR="00784FA9" w:rsidRPr="00D604EE" w:rsidRDefault="00784FA9" w:rsidP="00784FA9">
      <w:pPr>
        <w:pStyle w:val="Table"/>
      </w:pPr>
      <w:bookmarkStart w:id="2142" w:name="_Toc342470788"/>
      <w:bookmarkStart w:id="2143" w:name="_Toc352505028"/>
      <w:bookmarkStart w:id="2144" w:name="_Toc378853317"/>
      <w:bookmarkStart w:id="2145" w:name="_Toc391024115"/>
      <w:bookmarkStart w:id="2146" w:name="_Toc410028858"/>
      <w:bookmarkStart w:id="2147" w:name="_Toc414531486"/>
      <w:bookmarkStart w:id="2148" w:name="_Toc443645399"/>
      <w:bookmarkStart w:id="2149" w:name="_Toc474914618"/>
      <w:bookmarkStart w:id="2150" w:name="_Toc481751582"/>
      <w:bookmarkStart w:id="2151" w:name="_Toc522010639"/>
      <w:bookmarkStart w:id="2152" w:name="_Toc5269544"/>
      <w:bookmarkStart w:id="2153" w:name="_Toc33529418"/>
      <w:bookmarkStart w:id="2154" w:name="_Toc36224624"/>
      <w:bookmarkStart w:id="2155" w:name="_Toc99659307"/>
      <w:r w:rsidRPr="00D604EE">
        <w:lastRenderedPageBreak/>
        <w:t>Table 6</w:t>
      </w:r>
      <w:r w:rsidRPr="00D604EE" w:rsidDel="006F084B">
        <w:t>.</w:t>
      </w:r>
      <w:r w:rsidRPr="00D604EE">
        <w:t>7.1</w:t>
      </w:r>
      <w:r w:rsidRPr="00D604EE">
        <w:tab/>
        <w:t xml:space="preserve">New Zealand’s land-use change for the </w:t>
      </w:r>
      <w:r w:rsidRPr="00D604EE">
        <w:rPr>
          <w:i/>
        </w:rPr>
        <w:t>Settlements</w:t>
      </w:r>
      <w:r w:rsidRPr="00D604EE">
        <w:t xml:space="preserve"> category, and associated CO</w:t>
      </w:r>
      <w:r w:rsidRPr="00D604EE">
        <w:rPr>
          <w:vertAlign w:val="subscript"/>
        </w:rPr>
        <w:t>2</w:t>
      </w:r>
      <w:r w:rsidRPr="00D604EE">
        <w:noBreakHyphen/>
        <w:t>e emissions</w:t>
      </w:r>
      <w:bookmarkEnd w:id="2142"/>
      <w:bookmarkEnd w:id="2143"/>
      <w:bookmarkEnd w:id="2144"/>
      <w:r w:rsidRPr="00D604EE">
        <w:t>, from 1990 to</w:t>
      </w:r>
      <w:bookmarkEnd w:id="2145"/>
      <w:r w:rsidRPr="00D604EE">
        <w:t> </w:t>
      </w:r>
      <w:bookmarkEnd w:id="2146"/>
      <w:bookmarkEnd w:id="2147"/>
      <w:bookmarkEnd w:id="2148"/>
      <w:bookmarkEnd w:id="2149"/>
      <w:bookmarkEnd w:id="2150"/>
      <w:bookmarkEnd w:id="2151"/>
      <w:bookmarkEnd w:id="2152"/>
      <w:bookmarkEnd w:id="2153"/>
      <w:bookmarkEnd w:id="2154"/>
      <w:r w:rsidRPr="00D604EE">
        <w:t>2020</w:t>
      </w:r>
      <w:bookmarkEnd w:id="2155"/>
    </w:p>
    <w:tbl>
      <w:tblPr>
        <w:tblW w:w="8505" w:type="dxa"/>
        <w:tblInd w:w="108" w:type="dxa"/>
        <w:tblLayout w:type="fixed"/>
        <w:tblLook w:val="04A0" w:firstRow="1" w:lastRow="0" w:firstColumn="1" w:lastColumn="0" w:noHBand="0" w:noVBand="1"/>
      </w:tblPr>
      <w:tblGrid>
        <w:gridCol w:w="2964"/>
        <w:gridCol w:w="1136"/>
        <w:gridCol w:w="1136"/>
        <w:gridCol w:w="855"/>
        <w:gridCol w:w="1084"/>
        <w:gridCol w:w="1330"/>
      </w:tblGrid>
      <w:tr w:rsidR="00784FA9" w:rsidRPr="00D604EE" w14:paraId="2D6A99AB" w14:textId="77777777" w:rsidTr="00894CC2">
        <w:trPr>
          <w:tblHeader/>
        </w:trPr>
        <w:tc>
          <w:tcPr>
            <w:tcW w:w="3095" w:type="dxa"/>
            <w:vMerge w:val="restart"/>
            <w:tcBorders>
              <w:top w:val="single" w:sz="4" w:space="0" w:color="1B556B"/>
            </w:tcBorders>
            <w:shd w:val="clear" w:color="auto" w:fill="1B556B"/>
            <w:vAlign w:val="bottom"/>
          </w:tcPr>
          <w:p w14:paraId="6CA290EC" w14:textId="77777777" w:rsidR="00784FA9" w:rsidRPr="00D604EE" w:rsidRDefault="00784FA9" w:rsidP="007E3239">
            <w:pPr>
              <w:pStyle w:val="TableTextBold"/>
              <w:keepNext/>
              <w:rPr>
                <w:noProof w:val="0"/>
                <w:color w:val="FFFFFF"/>
              </w:rPr>
            </w:pPr>
            <w:r w:rsidRPr="00D604EE">
              <w:rPr>
                <w:noProof w:val="0"/>
                <w:color w:val="FFFFFF"/>
              </w:rPr>
              <w:t>Settlements land use category</w:t>
            </w:r>
          </w:p>
        </w:tc>
        <w:tc>
          <w:tcPr>
            <w:tcW w:w="2358" w:type="dxa"/>
            <w:gridSpan w:val="2"/>
            <w:tcBorders>
              <w:top w:val="single" w:sz="4" w:space="0" w:color="1B556B"/>
            </w:tcBorders>
            <w:shd w:val="clear" w:color="auto" w:fill="1B556B"/>
            <w:vAlign w:val="bottom"/>
          </w:tcPr>
          <w:p w14:paraId="339E8FD1" w14:textId="77777777" w:rsidR="00784FA9" w:rsidRPr="00D604EE" w:rsidRDefault="00784FA9" w:rsidP="00B43150">
            <w:pPr>
              <w:pStyle w:val="TableTextBold"/>
              <w:keepNext/>
              <w:spacing w:after="0"/>
              <w:jc w:val="center"/>
              <w:rPr>
                <w:noProof w:val="0"/>
                <w:color w:val="FFFFFF"/>
              </w:rPr>
            </w:pPr>
            <w:r w:rsidRPr="00D604EE">
              <w:rPr>
                <w:noProof w:val="0"/>
                <w:color w:val="FFFFFF"/>
              </w:rPr>
              <w:t>Net area (ha) as at</w:t>
            </w:r>
          </w:p>
        </w:tc>
        <w:tc>
          <w:tcPr>
            <w:tcW w:w="2008" w:type="dxa"/>
            <w:gridSpan w:val="2"/>
            <w:tcBorders>
              <w:top w:val="single" w:sz="4" w:space="0" w:color="1B556B"/>
            </w:tcBorders>
            <w:shd w:val="clear" w:color="auto" w:fill="1B556B"/>
            <w:vAlign w:val="bottom"/>
          </w:tcPr>
          <w:p w14:paraId="650015EC" w14:textId="77777777" w:rsidR="00784FA9" w:rsidRPr="00D604EE" w:rsidRDefault="00784FA9" w:rsidP="00B43150">
            <w:pPr>
              <w:pStyle w:val="TableTextBold"/>
              <w:keepNext/>
              <w:spacing w:after="0"/>
              <w:jc w:val="center"/>
              <w:rPr>
                <w:noProof w:val="0"/>
                <w:color w:val="FFFFFF"/>
              </w:rPr>
            </w:pPr>
            <w:r w:rsidRPr="00D604EE">
              <w:rPr>
                <w:noProof w:val="0"/>
                <w:color w:val="FFFFFF"/>
              </w:rPr>
              <w:t>Net emissions (kt CO</w:t>
            </w:r>
            <w:r w:rsidRPr="00D604EE">
              <w:rPr>
                <w:noProof w:val="0"/>
                <w:color w:val="FFFFFF"/>
                <w:vertAlign w:val="subscript"/>
              </w:rPr>
              <w:t>2</w:t>
            </w:r>
            <w:r w:rsidRPr="00D604EE">
              <w:rPr>
                <w:noProof w:val="0"/>
                <w:color w:val="FFFFFF"/>
              </w:rPr>
              <w:t>-e)</w:t>
            </w:r>
          </w:p>
        </w:tc>
        <w:tc>
          <w:tcPr>
            <w:tcW w:w="1382" w:type="dxa"/>
            <w:vMerge w:val="restart"/>
            <w:tcBorders>
              <w:top w:val="single" w:sz="4" w:space="0" w:color="1B556B"/>
            </w:tcBorders>
            <w:shd w:val="clear" w:color="auto" w:fill="1B556B"/>
            <w:vAlign w:val="bottom"/>
          </w:tcPr>
          <w:p w14:paraId="4F55E623" w14:textId="77777777" w:rsidR="00784FA9" w:rsidRPr="00D604EE" w:rsidRDefault="00784FA9" w:rsidP="007E3239">
            <w:pPr>
              <w:pStyle w:val="TableTextBold"/>
              <w:keepNext/>
              <w:jc w:val="center"/>
              <w:rPr>
                <w:noProof w:val="0"/>
                <w:color w:val="FFFFFF"/>
              </w:rPr>
            </w:pPr>
            <w:r w:rsidRPr="00D604EE">
              <w:rPr>
                <w:noProof w:val="0"/>
                <w:color w:val="FFFFFF"/>
              </w:rPr>
              <w:t>Change from 1990 (%)</w:t>
            </w:r>
          </w:p>
        </w:tc>
      </w:tr>
      <w:tr w:rsidR="00784FA9" w:rsidRPr="00D604EE" w14:paraId="1A2E51A7" w14:textId="77777777" w:rsidTr="00894CC2">
        <w:trPr>
          <w:tblHeader/>
        </w:trPr>
        <w:tc>
          <w:tcPr>
            <w:tcW w:w="3095" w:type="dxa"/>
            <w:vMerge/>
            <w:tcBorders>
              <w:bottom w:val="single" w:sz="4" w:space="0" w:color="1B556B"/>
            </w:tcBorders>
            <w:shd w:val="clear" w:color="auto" w:fill="1B556B"/>
          </w:tcPr>
          <w:p w14:paraId="6D95FD80" w14:textId="77777777" w:rsidR="00784FA9" w:rsidRPr="00D604EE" w:rsidRDefault="00784FA9" w:rsidP="007E3239">
            <w:pPr>
              <w:keepNext/>
              <w:keepLines/>
              <w:spacing w:before="60" w:after="60"/>
            </w:pPr>
          </w:p>
        </w:tc>
        <w:tc>
          <w:tcPr>
            <w:tcW w:w="1179" w:type="dxa"/>
            <w:tcBorders>
              <w:bottom w:val="single" w:sz="4" w:space="0" w:color="1B556B"/>
            </w:tcBorders>
            <w:shd w:val="clear" w:color="auto" w:fill="1B556B"/>
          </w:tcPr>
          <w:p w14:paraId="2E2B032C" w14:textId="77777777" w:rsidR="00784FA9" w:rsidRPr="00D604EE" w:rsidRDefault="00784FA9" w:rsidP="007E3239">
            <w:pPr>
              <w:pStyle w:val="TableTextBold"/>
              <w:keepNext/>
              <w:jc w:val="center"/>
              <w:rPr>
                <w:noProof w:val="0"/>
                <w:color w:val="FFFFFF"/>
              </w:rPr>
            </w:pPr>
            <w:r w:rsidRPr="00D604EE">
              <w:rPr>
                <w:noProof w:val="0"/>
                <w:color w:val="FFFFFF"/>
              </w:rPr>
              <w:t>1990</w:t>
            </w:r>
          </w:p>
        </w:tc>
        <w:tc>
          <w:tcPr>
            <w:tcW w:w="1179" w:type="dxa"/>
            <w:tcBorders>
              <w:bottom w:val="single" w:sz="4" w:space="0" w:color="1B556B"/>
            </w:tcBorders>
            <w:shd w:val="clear" w:color="auto" w:fill="1B556B"/>
          </w:tcPr>
          <w:p w14:paraId="43258993" w14:textId="77777777" w:rsidR="00784FA9" w:rsidRPr="00D604EE" w:rsidRDefault="00784FA9" w:rsidP="007E3239">
            <w:pPr>
              <w:pStyle w:val="TableTextBold"/>
              <w:keepNext/>
              <w:jc w:val="center"/>
              <w:rPr>
                <w:noProof w:val="0"/>
                <w:color w:val="FFFFFF"/>
              </w:rPr>
            </w:pPr>
            <w:r w:rsidRPr="00D604EE">
              <w:rPr>
                <w:noProof w:val="0"/>
                <w:color w:val="FFFFFF"/>
              </w:rPr>
              <w:t>2020</w:t>
            </w:r>
          </w:p>
        </w:tc>
        <w:tc>
          <w:tcPr>
            <w:tcW w:w="884" w:type="dxa"/>
            <w:tcBorders>
              <w:bottom w:val="single" w:sz="4" w:space="0" w:color="1B556B"/>
            </w:tcBorders>
            <w:shd w:val="clear" w:color="auto" w:fill="1B556B"/>
          </w:tcPr>
          <w:p w14:paraId="121B9709" w14:textId="77777777" w:rsidR="00784FA9" w:rsidRPr="00D604EE" w:rsidRDefault="00784FA9" w:rsidP="007E3239">
            <w:pPr>
              <w:pStyle w:val="TableTextBold"/>
              <w:keepNext/>
              <w:jc w:val="center"/>
              <w:rPr>
                <w:noProof w:val="0"/>
                <w:color w:val="FFFFFF"/>
              </w:rPr>
            </w:pPr>
            <w:r w:rsidRPr="00D604EE">
              <w:rPr>
                <w:noProof w:val="0"/>
                <w:color w:val="FFFFFF"/>
              </w:rPr>
              <w:t>1990</w:t>
            </w:r>
          </w:p>
        </w:tc>
        <w:tc>
          <w:tcPr>
            <w:tcW w:w="1123" w:type="dxa"/>
            <w:tcBorders>
              <w:bottom w:val="single" w:sz="4" w:space="0" w:color="1B556B"/>
            </w:tcBorders>
            <w:shd w:val="clear" w:color="auto" w:fill="1B556B"/>
          </w:tcPr>
          <w:p w14:paraId="477DE473" w14:textId="77777777" w:rsidR="00784FA9" w:rsidRPr="00D604EE" w:rsidRDefault="00784FA9" w:rsidP="007E3239">
            <w:pPr>
              <w:pStyle w:val="TableTextBold"/>
              <w:keepNext/>
              <w:jc w:val="center"/>
              <w:rPr>
                <w:noProof w:val="0"/>
                <w:color w:val="FFFFFF"/>
              </w:rPr>
            </w:pPr>
            <w:r w:rsidRPr="00D604EE">
              <w:rPr>
                <w:noProof w:val="0"/>
                <w:color w:val="FFFFFF"/>
              </w:rPr>
              <w:t>2020</w:t>
            </w:r>
          </w:p>
        </w:tc>
        <w:tc>
          <w:tcPr>
            <w:tcW w:w="1382" w:type="dxa"/>
            <w:vMerge/>
            <w:tcBorders>
              <w:bottom w:val="single" w:sz="4" w:space="0" w:color="1B556B"/>
            </w:tcBorders>
            <w:shd w:val="clear" w:color="auto" w:fill="1B556B"/>
          </w:tcPr>
          <w:p w14:paraId="43B1E1C0" w14:textId="77777777" w:rsidR="00784FA9" w:rsidRPr="00D604EE" w:rsidRDefault="00784FA9" w:rsidP="007E3239">
            <w:pPr>
              <w:keepNext/>
              <w:keepLines/>
              <w:spacing w:before="60" w:after="60"/>
              <w:jc w:val="center"/>
              <w:rPr>
                <w:rFonts w:ascii="Arial Bold" w:hAnsi="Arial Bold"/>
              </w:rPr>
            </w:pPr>
          </w:p>
        </w:tc>
      </w:tr>
      <w:tr w:rsidR="00784FA9" w:rsidRPr="00D604EE" w14:paraId="00809765" w14:textId="77777777" w:rsidTr="007E3239">
        <w:trPr>
          <w:trHeight w:val="293"/>
        </w:trPr>
        <w:tc>
          <w:tcPr>
            <w:tcW w:w="3095" w:type="dxa"/>
            <w:tcBorders>
              <w:top w:val="single" w:sz="4" w:space="0" w:color="1B556B"/>
              <w:bottom w:val="single" w:sz="4" w:space="0" w:color="1B556B"/>
            </w:tcBorders>
          </w:tcPr>
          <w:p w14:paraId="7DFF3168" w14:textId="77777777" w:rsidR="00784FA9" w:rsidRPr="00D604EE" w:rsidRDefault="00784FA9" w:rsidP="007E3239">
            <w:pPr>
              <w:pStyle w:val="TableText"/>
              <w:keepNext/>
            </w:pPr>
            <w:r w:rsidRPr="00D604EE">
              <w:t>Settlements remaining settlements</w:t>
            </w:r>
          </w:p>
        </w:tc>
        <w:tc>
          <w:tcPr>
            <w:tcW w:w="1179" w:type="dxa"/>
            <w:tcBorders>
              <w:top w:val="single" w:sz="4" w:space="0" w:color="1B556B"/>
              <w:bottom w:val="single" w:sz="4" w:space="0" w:color="1B556B"/>
            </w:tcBorders>
          </w:tcPr>
          <w:p w14:paraId="42175665" w14:textId="77777777" w:rsidR="00784FA9" w:rsidRPr="00D604EE" w:rsidRDefault="00784FA9" w:rsidP="007E3239">
            <w:pPr>
              <w:pStyle w:val="TableText"/>
              <w:keepNext/>
              <w:jc w:val="center"/>
            </w:pPr>
            <w:r w:rsidRPr="00D604EE">
              <w:t>191,278</w:t>
            </w:r>
          </w:p>
        </w:tc>
        <w:tc>
          <w:tcPr>
            <w:tcW w:w="1179" w:type="dxa"/>
            <w:tcBorders>
              <w:top w:val="single" w:sz="4" w:space="0" w:color="1B556B"/>
              <w:bottom w:val="single" w:sz="4" w:space="0" w:color="1B556B"/>
            </w:tcBorders>
          </w:tcPr>
          <w:p w14:paraId="145A4506" w14:textId="77777777" w:rsidR="00784FA9" w:rsidRPr="00D604EE" w:rsidRDefault="00784FA9" w:rsidP="007E3239">
            <w:pPr>
              <w:pStyle w:val="TableText"/>
              <w:keepNext/>
              <w:jc w:val="center"/>
            </w:pPr>
            <w:r w:rsidRPr="00D604EE">
              <w:t>218,219</w:t>
            </w:r>
          </w:p>
        </w:tc>
        <w:tc>
          <w:tcPr>
            <w:tcW w:w="884" w:type="dxa"/>
            <w:tcBorders>
              <w:top w:val="single" w:sz="4" w:space="0" w:color="1B556B"/>
              <w:bottom w:val="single" w:sz="4" w:space="0" w:color="1B556B"/>
            </w:tcBorders>
          </w:tcPr>
          <w:p w14:paraId="6616B2F8" w14:textId="77777777" w:rsidR="00784FA9" w:rsidRPr="00D604EE" w:rsidRDefault="00784FA9" w:rsidP="007E3239">
            <w:pPr>
              <w:pStyle w:val="TableText"/>
              <w:keepNext/>
              <w:jc w:val="center"/>
            </w:pPr>
            <w:r w:rsidRPr="00D604EE">
              <w:t>67.2</w:t>
            </w:r>
          </w:p>
        </w:tc>
        <w:tc>
          <w:tcPr>
            <w:tcW w:w="1123" w:type="dxa"/>
            <w:tcBorders>
              <w:top w:val="single" w:sz="4" w:space="0" w:color="1B556B"/>
              <w:bottom w:val="single" w:sz="4" w:space="0" w:color="1B556B"/>
            </w:tcBorders>
          </w:tcPr>
          <w:p w14:paraId="0FDCD25A" w14:textId="77777777" w:rsidR="00784FA9" w:rsidRPr="00D604EE" w:rsidRDefault="00784FA9" w:rsidP="007E3239">
            <w:pPr>
              <w:pStyle w:val="TableText"/>
              <w:keepNext/>
              <w:jc w:val="center"/>
            </w:pPr>
            <w:r w:rsidRPr="00D604EE">
              <w:t>76.5</w:t>
            </w:r>
          </w:p>
        </w:tc>
        <w:tc>
          <w:tcPr>
            <w:tcW w:w="1382" w:type="dxa"/>
            <w:tcBorders>
              <w:top w:val="single" w:sz="4" w:space="0" w:color="1B556B"/>
              <w:bottom w:val="single" w:sz="4" w:space="0" w:color="1B556B"/>
            </w:tcBorders>
          </w:tcPr>
          <w:p w14:paraId="257E7CA5" w14:textId="77777777" w:rsidR="00784FA9" w:rsidRPr="00D604EE" w:rsidRDefault="00784FA9" w:rsidP="007E3239">
            <w:pPr>
              <w:pStyle w:val="TableText"/>
              <w:keepNext/>
              <w:jc w:val="center"/>
            </w:pPr>
            <w:r w:rsidRPr="00D604EE">
              <w:t>13.9</w:t>
            </w:r>
          </w:p>
        </w:tc>
      </w:tr>
      <w:tr w:rsidR="00784FA9" w:rsidRPr="00D604EE" w14:paraId="211127E3" w14:textId="77777777" w:rsidTr="007E3239">
        <w:trPr>
          <w:trHeight w:val="293"/>
        </w:trPr>
        <w:tc>
          <w:tcPr>
            <w:tcW w:w="3095" w:type="dxa"/>
            <w:tcBorders>
              <w:top w:val="single" w:sz="4" w:space="0" w:color="1B556B"/>
              <w:bottom w:val="single" w:sz="4" w:space="0" w:color="1B556B"/>
            </w:tcBorders>
          </w:tcPr>
          <w:p w14:paraId="603C9BD0" w14:textId="77777777" w:rsidR="00784FA9" w:rsidRPr="00D604EE" w:rsidRDefault="00784FA9" w:rsidP="007E3239">
            <w:pPr>
              <w:pStyle w:val="TableText"/>
            </w:pPr>
            <w:r w:rsidRPr="00D604EE">
              <w:t>Land converted to settlements</w:t>
            </w:r>
          </w:p>
        </w:tc>
        <w:tc>
          <w:tcPr>
            <w:tcW w:w="1179" w:type="dxa"/>
            <w:tcBorders>
              <w:top w:val="single" w:sz="4" w:space="0" w:color="1B556B"/>
              <w:bottom w:val="single" w:sz="4" w:space="0" w:color="1B556B"/>
            </w:tcBorders>
          </w:tcPr>
          <w:p w14:paraId="10325528" w14:textId="77777777" w:rsidR="00784FA9" w:rsidRPr="00D604EE" w:rsidRDefault="00784FA9" w:rsidP="007E3239">
            <w:pPr>
              <w:pStyle w:val="TableText"/>
              <w:jc w:val="center"/>
            </w:pPr>
            <w:r w:rsidRPr="00D604EE">
              <w:t>16,624</w:t>
            </w:r>
          </w:p>
        </w:tc>
        <w:tc>
          <w:tcPr>
            <w:tcW w:w="1179" w:type="dxa"/>
            <w:tcBorders>
              <w:top w:val="single" w:sz="4" w:space="0" w:color="1B556B"/>
              <w:bottom w:val="single" w:sz="4" w:space="0" w:color="1B556B"/>
            </w:tcBorders>
          </w:tcPr>
          <w:p w14:paraId="75F98F42" w14:textId="77777777" w:rsidR="00784FA9" w:rsidRPr="00D604EE" w:rsidRDefault="00784FA9" w:rsidP="007E3239">
            <w:pPr>
              <w:pStyle w:val="TableText"/>
              <w:jc w:val="center"/>
            </w:pPr>
            <w:r w:rsidRPr="00D604EE">
              <w:t>19,293</w:t>
            </w:r>
          </w:p>
        </w:tc>
        <w:tc>
          <w:tcPr>
            <w:tcW w:w="884" w:type="dxa"/>
            <w:tcBorders>
              <w:top w:val="single" w:sz="4" w:space="0" w:color="1B556B"/>
              <w:bottom w:val="single" w:sz="4" w:space="0" w:color="1B556B"/>
            </w:tcBorders>
          </w:tcPr>
          <w:p w14:paraId="01F9CBDE" w14:textId="77777777" w:rsidR="00784FA9" w:rsidRPr="00D604EE" w:rsidRDefault="00784FA9" w:rsidP="007E3239">
            <w:pPr>
              <w:pStyle w:val="TableText"/>
              <w:jc w:val="center"/>
            </w:pPr>
            <w:r w:rsidRPr="00D604EE">
              <w:t xml:space="preserve">8.3 </w:t>
            </w:r>
          </w:p>
        </w:tc>
        <w:tc>
          <w:tcPr>
            <w:tcW w:w="1123" w:type="dxa"/>
            <w:tcBorders>
              <w:top w:val="single" w:sz="4" w:space="0" w:color="1B556B"/>
              <w:bottom w:val="single" w:sz="4" w:space="0" w:color="1B556B"/>
            </w:tcBorders>
          </w:tcPr>
          <w:p w14:paraId="670EC4E9" w14:textId="77777777" w:rsidR="00784FA9" w:rsidRPr="00D604EE" w:rsidRDefault="00784FA9" w:rsidP="007E3239">
            <w:pPr>
              <w:pStyle w:val="TableText"/>
              <w:jc w:val="center"/>
            </w:pPr>
            <w:r w:rsidRPr="00D604EE">
              <w:t xml:space="preserve">47.5 </w:t>
            </w:r>
          </w:p>
        </w:tc>
        <w:tc>
          <w:tcPr>
            <w:tcW w:w="1382" w:type="dxa"/>
            <w:tcBorders>
              <w:top w:val="single" w:sz="4" w:space="0" w:color="1B556B"/>
              <w:bottom w:val="single" w:sz="4" w:space="0" w:color="1B556B"/>
            </w:tcBorders>
          </w:tcPr>
          <w:p w14:paraId="3CA50081" w14:textId="77777777" w:rsidR="00784FA9" w:rsidRPr="00D604EE" w:rsidRDefault="00784FA9" w:rsidP="007E3239">
            <w:pPr>
              <w:pStyle w:val="TableText"/>
              <w:jc w:val="center"/>
            </w:pPr>
            <w:r w:rsidRPr="00D604EE">
              <w:t>475.1</w:t>
            </w:r>
          </w:p>
        </w:tc>
      </w:tr>
      <w:tr w:rsidR="00784FA9" w:rsidRPr="00D604EE" w14:paraId="5D30162B" w14:textId="77777777" w:rsidTr="007E3239">
        <w:trPr>
          <w:trHeight w:val="293"/>
        </w:trPr>
        <w:tc>
          <w:tcPr>
            <w:tcW w:w="3095" w:type="dxa"/>
            <w:tcBorders>
              <w:top w:val="single" w:sz="4" w:space="0" w:color="1B556B"/>
              <w:bottom w:val="single" w:sz="4" w:space="0" w:color="1B556B"/>
            </w:tcBorders>
          </w:tcPr>
          <w:p w14:paraId="2A33ECD5" w14:textId="77777777" w:rsidR="00784FA9" w:rsidRPr="00D604EE" w:rsidRDefault="00784FA9" w:rsidP="007E3239">
            <w:pPr>
              <w:pStyle w:val="Tableboldblue"/>
              <w:jc w:val="right"/>
            </w:pPr>
            <w:r w:rsidRPr="00D604EE">
              <w:t>Total</w:t>
            </w:r>
          </w:p>
        </w:tc>
        <w:tc>
          <w:tcPr>
            <w:tcW w:w="1179" w:type="dxa"/>
            <w:tcBorders>
              <w:top w:val="single" w:sz="4" w:space="0" w:color="1B556B"/>
              <w:bottom w:val="single" w:sz="4" w:space="0" w:color="1B556B"/>
            </w:tcBorders>
          </w:tcPr>
          <w:p w14:paraId="25117827" w14:textId="77777777" w:rsidR="00784FA9" w:rsidRPr="00D604EE" w:rsidRDefault="00784FA9" w:rsidP="007E3239">
            <w:pPr>
              <w:pStyle w:val="Tableboldblue"/>
              <w:jc w:val="center"/>
              <w:rPr>
                <w:color w:val="44546A"/>
              </w:rPr>
            </w:pPr>
            <w:r w:rsidRPr="00D604EE">
              <w:t>207,902</w:t>
            </w:r>
          </w:p>
        </w:tc>
        <w:tc>
          <w:tcPr>
            <w:tcW w:w="1179" w:type="dxa"/>
            <w:tcBorders>
              <w:top w:val="single" w:sz="4" w:space="0" w:color="1B556B"/>
              <w:bottom w:val="single" w:sz="4" w:space="0" w:color="1B556B"/>
            </w:tcBorders>
          </w:tcPr>
          <w:p w14:paraId="2A3B42AA" w14:textId="77777777" w:rsidR="00784FA9" w:rsidRPr="00D604EE" w:rsidRDefault="00784FA9" w:rsidP="007E3239">
            <w:pPr>
              <w:pStyle w:val="Tableboldblue"/>
              <w:jc w:val="center"/>
              <w:rPr>
                <w:color w:val="44546A"/>
              </w:rPr>
            </w:pPr>
            <w:r w:rsidRPr="00D604EE">
              <w:t>237,512</w:t>
            </w:r>
          </w:p>
        </w:tc>
        <w:tc>
          <w:tcPr>
            <w:tcW w:w="884" w:type="dxa"/>
            <w:tcBorders>
              <w:top w:val="single" w:sz="4" w:space="0" w:color="1B556B"/>
              <w:bottom w:val="single" w:sz="4" w:space="0" w:color="1B556B"/>
            </w:tcBorders>
          </w:tcPr>
          <w:p w14:paraId="3E794D13" w14:textId="77777777" w:rsidR="00784FA9" w:rsidRPr="00D604EE" w:rsidRDefault="00784FA9" w:rsidP="007E3239">
            <w:pPr>
              <w:pStyle w:val="Tableboldblue"/>
              <w:jc w:val="center"/>
              <w:rPr>
                <w:color w:val="44546A"/>
              </w:rPr>
            </w:pPr>
            <w:r w:rsidRPr="00D604EE">
              <w:t xml:space="preserve">75.4 </w:t>
            </w:r>
          </w:p>
        </w:tc>
        <w:tc>
          <w:tcPr>
            <w:tcW w:w="1123" w:type="dxa"/>
            <w:tcBorders>
              <w:top w:val="single" w:sz="4" w:space="0" w:color="1B556B"/>
              <w:bottom w:val="single" w:sz="4" w:space="0" w:color="1B556B"/>
            </w:tcBorders>
          </w:tcPr>
          <w:p w14:paraId="4E8E9929" w14:textId="77777777" w:rsidR="00784FA9" w:rsidRPr="00D604EE" w:rsidRDefault="00784FA9" w:rsidP="007E3239">
            <w:pPr>
              <w:pStyle w:val="Tableboldblue"/>
              <w:jc w:val="center"/>
              <w:rPr>
                <w:color w:val="44546A"/>
              </w:rPr>
            </w:pPr>
            <w:r w:rsidRPr="00D604EE">
              <w:t>124.1</w:t>
            </w:r>
          </w:p>
        </w:tc>
        <w:tc>
          <w:tcPr>
            <w:tcW w:w="1382" w:type="dxa"/>
            <w:tcBorders>
              <w:top w:val="single" w:sz="4" w:space="0" w:color="1B556B"/>
              <w:bottom w:val="single" w:sz="4" w:space="0" w:color="1B556B"/>
            </w:tcBorders>
          </w:tcPr>
          <w:p w14:paraId="4F9689C4" w14:textId="77777777" w:rsidR="00784FA9" w:rsidRPr="00D604EE" w:rsidRDefault="00784FA9" w:rsidP="007E3239">
            <w:pPr>
              <w:pStyle w:val="Tableboldblue"/>
              <w:jc w:val="center"/>
              <w:rPr>
                <w:color w:val="44546A"/>
              </w:rPr>
            </w:pPr>
            <w:r w:rsidRPr="00D604EE">
              <w:t>64.5</w:t>
            </w:r>
          </w:p>
        </w:tc>
      </w:tr>
    </w:tbl>
    <w:p w14:paraId="18CF5407" w14:textId="77777777" w:rsidR="00784FA9" w:rsidRPr="00D604EE" w:rsidRDefault="00784FA9" w:rsidP="00784FA9">
      <w:pPr>
        <w:pStyle w:val="Noteundertable"/>
      </w:pPr>
      <w:r w:rsidRPr="00D604EE">
        <w:rPr>
          <w:b/>
        </w:rPr>
        <w:t>Note:</w:t>
      </w:r>
      <w:r w:rsidRPr="00D604EE">
        <w:tab/>
        <w:t xml:space="preserve">Net area at 1990 is as of 1 January 1990; net area at 2020 is as of 31 December 2020. </w:t>
      </w:r>
      <w:r w:rsidRPr="00D604EE">
        <w:rPr>
          <w:i/>
        </w:rPr>
        <w:t>Land converted to settlements</w:t>
      </w:r>
      <w:r w:rsidRPr="00D604EE">
        <w:t xml:space="preserve"> includes land converted up to 20 years earlier. Net emission values are for the whole year indicated. Columns may not total due to rounding. </w:t>
      </w:r>
    </w:p>
    <w:p w14:paraId="64D7534D" w14:textId="77777777" w:rsidR="00784FA9" w:rsidRPr="00D604EE" w:rsidRDefault="00784FA9" w:rsidP="00784FA9">
      <w:pPr>
        <w:pStyle w:val="BodyText"/>
      </w:pPr>
      <w:r w:rsidRPr="00D604EE">
        <w:t xml:space="preserve">From 1990 to 2020, the net carbon stock change for </w:t>
      </w:r>
      <w:r w:rsidRPr="00D604EE">
        <w:rPr>
          <w:i/>
        </w:rPr>
        <w:t>Settlements</w:t>
      </w:r>
      <w:r w:rsidRPr="00D604EE">
        <w:t xml:space="preserve"> decreased by 1,015.7 kt C, equivalent to emissions of 3,724.1 kt CO</w:t>
      </w:r>
      <w:r w:rsidRPr="00D604EE">
        <w:rPr>
          <w:vertAlign w:val="subscript"/>
        </w:rPr>
        <w:t>2</w:t>
      </w:r>
      <w:r w:rsidRPr="00D604EE">
        <w:t xml:space="preserve"> in total since 1990 (see table 6.7.2). These carbon stock losses are predominantly due to the loss of carbon from organic soils associated with drainage when land is converted to </w:t>
      </w:r>
      <w:r w:rsidRPr="00D604EE">
        <w:rPr>
          <w:i/>
        </w:rPr>
        <w:t>Settlements</w:t>
      </w:r>
      <w:r w:rsidRPr="00D604EE">
        <w:t xml:space="preserve">. </w:t>
      </w:r>
    </w:p>
    <w:p w14:paraId="33A3AB1B" w14:textId="77777777" w:rsidR="00784FA9" w:rsidRPr="00D604EE" w:rsidRDefault="00784FA9" w:rsidP="00784FA9">
      <w:pPr>
        <w:pStyle w:val="Table"/>
      </w:pPr>
      <w:bookmarkStart w:id="2156" w:name="_Toc352505029"/>
      <w:bookmarkStart w:id="2157" w:name="_Toc342470789"/>
      <w:bookmarkStart w:id="2158" w:name="_Toc378853318"/>
      <w:bookmarkStart w:id="2159" w:name="_Toc391024116"/>
      <w:bookmarkStart w:id="2160" w:name="_Toc410028859"/>
      <w:bookmarkStart w:id="2161" w:name="_Toc414531487"/>
      <w:bookmarkStart w:id="2162" w:name="_Toc443645400"/>
      <w:bookmarkStart w:id="2163" w:name="_Toc474914619"/>
      <w:bookmarkStart w:id="2164" w:name="_Toc481751583"/>
      <w:bookmarkStart w:id="2165" w:name="_Toc522010640"/>
      <w:bookmarkStart w:id="2166" w:name="_Toc5269545"/>
      <w:bookmarkStart w:id="2167" w:name="_Toc33529419"/>
      <w:bookmarkStart w:id="2168" w:name="_Toc36224625"/>
      <w:bookmarkStart w:id="2169" w:name="_Toc99659308"/>
      <w:r w:rsidRPr="00D604EE">
        <w:t>Table 6.7.2</w:t>
      </w:r>
      <w:r w:rsidRPr="00D604EE">
        <w:tab/>
        <w:t xml:space="preserve">New Zealand’s carbon stock change by carbon pool for the </w:t>
      </w:r>
      <w:r w:rsidRPr="00D604EE">
        <w:rPr>
          <w:i/>
        </w:rPr>
        <w:t>Settlements</w:t>
      </w:r>
      <w:r w:rsidRPr="00D604EE">
        <w:t xml:space="preserve"> category</w:t>
      </w:r>
      <w:r w:rsidRPr="00D604EE">
        <w:br/>
        <w:t>from 1990 to</w:t>
      </w:r>
      <w:bookmarkEnd w:id="2156"/>
      <w:bookmarkEnd w:id="2157"/>
      <w:bookmarkEnd w:id="2158"/>
      <w:bookmarkEnd w:id="2159"/>
      <w:r w:rsidRPr="00D604EE">
        <w:t> </w:t>
      </w:r>
      <w:bookmarkEnd w:id="2160"/>
      <w:bookmarkEnd w:id="2161"/>
      <w:bookmarkEnd w:id="2162"/>
      <w:bookmarkEnd w:id="2163"/>
      <w:bookmarkEnd w:id="2164"/>
      <w:bookmarkEnd w:id="2165"/>
      <w:bookmarkEnd w:id="2166"/>
      <w:bookmarkEnd w:id="2167"/>
      <w:bookmarkEnd w:id="2168"/>
      <w:r w:rsidRPr="00D604EE">
        <w:t>2020</w:t>
      </w:r>
      <w:bookmarkEnd w:id="2169"/>
    </w:p>
    <w:tbl>
      <w:tblPr>
        <w:tblW w:w="8505" w:type="dxa"/>
        <w:tblInd w:w="108" w:type="dxa"/>
        <w:tblLook w:val="04A0" w:firstRow="1" w:lastRow="0" w:firstColumn="1" w:lastColumn="0" w:noHBand="0" w:noVBand="1"/>
      </w:tblPr>
      <w:tblGrid>
        <w:gridCol w:w="1574"/>
        <w:gridCol w:w="1416"/>
        <w:gridCol w:w="1595"/>
        <w:gridCol w:w="937"/>
        <w:gridCol w:w="1135"/>
        <w:gridCol w:w="1848"/>
      </w:tblGrid>
      <w:tr w:rsidR="004801D5" w:rsidRPr="00D604EE" w14:paraId="007CEA8D" w14:textId="77777777" w:rsidTr="004801D5">
        <w:trPr>
          <w:trHeight w:val="259"/>
        </w:trPr>
        <w:tc>
          <w:tcPr>
            <w:tcW w:w="1632" w:type="dxa"/>
            <w:vMerge w:val="restart"/>
            <w:tcBorders>
              <w:top w:val="single" w:sz="4" w:space="0" w:color="1B556B"/>
            </w:tcBorders>
            <w:shd w:val="clear" w:color="auto" w:fill="1B556B"/>
            <w:vAlign w:val="bottom"/>
          </w:tcPr>
          <w:p w14:paraId="28E8077F" w14:textId="77777777" w:rsidR="00784FA9" w:rsidRPr="00D604EE" w:rsidRDefault="00784FA9" w:rsidP="007E3239">
            <w:pPr>
              <w:pStyle w:val="TableTextBold"/>
              <w:keepNext/>
              <w:rPr>
                <w:noProof w:val="0"/>
                <w:color w:val="FFFFFF"/>
              </w:rPr>
            </w:pPr>
            <w:r w:rsidRPr="00D604EE">
              <w:rPr>
                <w:noProof w:val="0"/>
                <w:color w:val="FFFFFF"/>
              </w:rPr>
              <w:t>Land use category</w:t>
            </w:r>
          </w:p>
        </w:tc>
        <w:tc>
          <w:tcPr>
            <w:tcW w:w="5322" w:type="dxa"/>
            <w:gridSpan w:val="4"/>
            <w:tcBorders>
              <w:top w:val="single" w:sz="4" w:space="0" w:color="1B556B"/>
            </w:tcBorders>
            <w:shd w:val="clear" w:color="auto" w:fill="1B556B"/>
            <w:vAlign w:val="bottom"/>
          </w:tcPr>
          <w:p w14:paraId="6874610F" w14:textId="77777777" w:rsidR="00784FA9" w:rsidRPr="00D604EE" w:rsidRDefault="00784FA9" w:rsidP="00B43150">
            <w:pPr>
              <w:pStyle w:val="TableTextBold"/>
              <w:keepNext/>
              <w:spacing w:after="0"/>
              <w:jc w:val="center"/>
              <w:rPr>
                <w:noProof w:val="0"/>
                <w:color w:val="FFFFFF"/>
              </w:rPr>
            </w:pPr>
            <w:r w:rsidRPr="00D604EE">
              <w:rPr>
                <w:noProof w:val="0"/>
                <w:color w:val="FFFFFF"/>
              </w:rPr>
              <w:t>Net carbon stock change 1990–2020 (kt C)</w:t>
            </w:r>
          </w:p>
        </w:tc>
        <w:tc>
          <w:tcPr>
            <w:tcW w:w="1949" w:type="dxa"/>
            <w:vMerge w:val="restart"/>
            <w:tcBorders>
              <w:top w:val="single" w:sz="4" w:space="0" w:color="1B556B"/>
            </w:tcBorders>
            <w:shd w:val="clear" w:color="auto" w:fill="1B556B"/>
            <w:vAlign w:val="bottom"/>
          </w:tcPr>
          <w:p w14:paraId="53BC790E" w14:textId="77777777" w:rsidR="00784FA9" w:rsidRPr="00D604EE" w:rsidRDefault="00784FA9" w:rsidP="007E3239">
            <w:pPr>
              <w:pStyle w:val="TableTextBold"/>
              <w:keepNext/>
              <w:jc w:val="center"/>
              <w:rPr>
                <w:noProof w:val="0"/>
                <w:color w:val="FFFFFF"/>
              </w:rPr>
            </w:pPr>
            <w:r w:rsidRPr="00D604EE">
              <w:rPr>
                <w:noProof w:val="0"/>
                <w:color w:val="FFFFFF"/>
              </w:rPr>
              <w:t>Emissions 1990–2020</w:t>
            </w:r>
            <w:r w:rsidRPr="00D604EE">
              <w:rPr>
                <w:noProof w:val="0"/>
                <w:color w:val="FFFFFF"/>
              </w:rPr>
              <w:br/>
              <w:t>(kt CO</w:t>
            </w:r>
            <w:r w:rsidRPr="00D604EE">
              <w:rPr>
                <w:noProof w:val="0"/>
                <w:color w:val="FFFFFF"/>
                <w:vertAlign w:val="subscript"/>
              </w:rPr>
              <w:t>2</w:t>
            </w:r>
            <w:r w:rsidRPr="00D604EE">
              <w:rPr>
                <w:noProof w:val="0"/>
                <w:color w:val="FFFFFF"/>
              </w:rPr>
              <w:t>)</w:t>
            </w:r>
          </w:p>
        </w:tc>
      </w:tr>
      <w:tr w:rsidR="00784FA9" w:rsidRPr="00D604EE" w14:paraId="1486B29D" w14:textId="77777777" w:rsidTr="004801D5">
        <w:trPr>
          <w:trHeight w:val="259"/>
        </w:trPr>
        <w:tc>
          <w:tcPr>
            <w:tcW w:w="1632" w:type="dxa"/>
            <w:vMerge/>
            <w:tcBorders>
              <w:bottom w:val="single" w:sz="4" w:space="0" w:color="1B556B"/>
            </w:tcBorders>
            <w:shd w:val="clear" w:color="auto" w:fill="1B556B"/>
          </w:tcPr>
          <w:p w14:paraId="533EDC3E" w14:textId="77777777" w:rsidR="00784FA9" w:rsidRPr="00D604EE" w:rsidRDefault="00784FA9" w:rsidP="007E3239">
            <w:pPr>
              <w:keepNext/>
              <w:spacing w:before="60" w:after="60"/>
              <w:rPr>
                <w:rFonts w:ascii="Arial Bold" w:hAnsi="Arial Bold"/>
                <w:b/>
              </w:rPr>
            </w:pPr>
          </w:p>
        </w:tc>
        <w:tc>
          <w:tcPr>
            <w:tcW w:w="1483" w:type="dxa"/>
            <w:tcBorders>
              <w:bottom w:val="single" w:sz="4" w:space="0" w:color="1B556B"/>
            </w:tcBorders>
            <w:shd w:val="clear" w:color="auto" w:fill="1B556B"/>
            <w:vAlign w:val="bottom"/>
          </w:tcPr>
          <w:p w14:paraId="2D941922" w14:textId="77777777" w:rsidR="00784FA9" w:rsidRPr="00D604EE" w:rsidRDefault="00784FA9" w:rsidP="007E3239">
            <w:pPr>
              <w:pStyle w:val="TableTextBold"/>
              <w:jc w:val="center"/>
              <w:rPr>
                <w:noProof w:val="0"/>
                <w:color w:val="FFFFFF"/>
              </w:rPr>
            </w:pPr>
            <w:r w:rsidRPr="00D604EE">
              <w:rPr>
                <w:noProof w:val="0"/>
                <w:color w:val="FFFFFF"/>
              </w:rPr>
              <w:t>Living biomass</w:t>
            </w:r>
          </w:p>
        </w:tc>
        <w:tc>
          <w:tcPr>
            <w:tcW w:w="1686" w:type="dxa"/>
            <w:tcBorders>
              <w:bottom w:val="single" w:sz="4" w:space="0" w:color="1B556B"/>
            </w:tcBorders>
            <w:shd w:val="clear" w:color="auto" w:fill="1B556B"/>
            <w:vAlign w:val="bottom"/>
          </w:tcPr>
          <w:p w14:paraId="2594EDCB" w14:textId="77777777" w:rsidR="00784FA9" w:rsidRPr="00D604EE" w:rsidRDefault="00784FA9" w:rsidP="007E3239">
            <w:pPr>
              <w:pStyle w:val="TableTextBold"/>
              <w:jc w:val="center"/>
              <w:rPr>
                <w:noProof w:val="0"/>
                <w:color w:val="FFFFFF"/>
              </w:rPr>
            </w:pPr>
            <w:r w:rsidRPr="00D604EE">
              <w:rPr>
                <w:noProof w:val="0"/>
                <w:color w:val="FFFFFF"/>
              </w:rPr>
              <w:t>Dead organic matter</w:t>
            </w:r>
          </w:p>
        </w:tc>
        <w:tc>
          <w:tcPr>
            <w:tcW w:w="974" w:type="dxa"/>
            <w:tcBorders>
              <w:bottom w:val="single" w:sz="4" w:space="0" w:color="1B556B"/>
            </w:tcBorders>
            <w:shd w:val="clear" w:color="auto" w:fill="1B556B"/>
            <w:vAlign w:val="bottom"/>
          </w:tcPr>
          <w:p w14:paraId="5D734050" w14:textId="77777777" w:rsidR="00784FA9" w:rsidRPr="00D604EE" w:rsidRDefault="00784FA9" w:rsidP="007E3239">
            <w:pPr>
              <w:pStyle w:val="TableTextBold"/>
              <w:jc w:val="center"/>
              <w:rPr>
                <w:noProof w:val="0"/>
                <w:color w:val="FFFFFF"/>
              </w:rPr>
            </w:pPr>
            <w:r w:rsidRPr="00D604EE">
              <w:rPr>
                <w:noProof w:val="0"/>
                <w:color w:val="FFFFFF"/>
              </w:rPr>
              <w:t>Soils</w:t>
            </w:r>
          </w:p>
        </w:tc>
        <w:tc>
          <w:tcPr>
            <w:tcW w:w="1178" w:type="dxa"/>
            <w:tcBorders>
              <w:bottom w:val="single" w:sz="4" w:space="0" w:color="1B556B"/>
            </w:tcBorders>
            <w:shd w:val="clear" w:color="auto" w:fill="1B556B"/>
            <w:vAlign w:val="bottom"/>
          </w:tcPr>
          <w:p w14:paraId="2977266A" w14:textId="77777777" w:rsidR="00784FA9" w:rsidRPr="00D604EE" w:rsidRDefault="00784FA9" w:rsidP="007E3239">
            <w:pPr>
              <w:pStyle w:val="TableTextBold"/>
              <w:jc w:val="center"/>
              <w:rPr>
                <w:noProof w:val="0"/>
                <w:color w:val="FFFFFF"/>
              </w:rPr>
            </w:pPr>
            <w:r w:rsidRPr="00D604EE">
              <w:rPr>
                <w:noProof w:val="0"/>
                <w:color w:val="FFFFFF"/>
              </w:rPr>
              <w:t>Total</w:t>
            </w:r>
          </w:p>
        </w:tc>
        <w:tc>
          <w:tcPr>
            <w:tcW w:w="1949" w:type="dxa"/>
            <w:vMerge/>
            <w:tcBorders>
              <w:bottom w:val="single" w:sz="4" w:space="0" w:color="1B556B"/>
            </w:tcBorders>
            <w:shd w:val="clear" w:color="auto" w:fill="1B556B"/>
          </w:tcPr>
          <w:p w14:paraId="5B0972D1" w14:textId="77777777" w:rsidR="00784FA9" w:rsidRPr="00D604EE" w:rsidRDefault="00784FA9" w:rsidP="007E3239">
            <w:pPr>
              <w:keepNext/>
              <w:spacing w:before="60" w:after="60"/>
              <w:jc w:val="center"/>
              <w:rPr>
                <w:rFonts w:ascii="Arial Bold" w:hAnsi="Arial Bold"/>
                <w:b/>
              </w:rPr>
            </w:pPr>
          </w:p>
        </w:tc>
      </w:tr>
      <w:tr w:rsidR="00784FA9" w:rsidRPr="00D604EE" w14:paraId="39C7E1C0" w14:textId="77777777" w:rsidTr="007E3239">
        <w:trPr>
          <w:trHeight w:val="259"/>
        </w:trPr>
        <w:tc>
          <w:tcPr>
            <w:tcW w:w="1632" w:type="dxa"/>
            <w:tcBorders>
              <w:top w:val="single" w:sz="4" w:space="0" w:color="1B556B"/>
              <w:bottom w:val="single" w:sz="4" w:space="0" w:color="1B556B"/>
            </w:tcBorders>
          </w:tcPr>
          <w:p w14:paraId="0E7F0016" w14:textId="77777777" w:rsidR="00784FA9" w:rsidRPr="00D604EE" w:rsidRDefault="00784FA9" w:rsidP="007E3239">
            <w:pPr>
              <w:pStyle w:val="TableText"/>
            </w:pPr>
            <w:r w:rsidRPr="00D604EE">
              <w:t>Settlements</w:t>
            </w:r>
          </w:p>
        </w:tc>
        <w:tc>
          <w:tcPr>
            <w:tcW w:w="1483" w:type="dxa"/>
            <w:tcBorders>
              <w:top w:val="single" w:sz="4" w:space="0" w:color="1B556B"/>
              <w:bottom w:val="single" w:sz="4" w:space="0" w:color="1B556B"/>
            </w:tcBorders>
          </w:tcPr>
          <w:p w14:paraId="393317AC" w14:textId="77777777" w:rsidR="00784FA9" w:rsidRPr="00D604EE" w:rsidRDefault="00784FA9" w:rsidP="007E3239">
            <w:pPr>
              <w:pStyle w:val="TableText"/>
              <w:jc w:val="center"/>
            </w:pPr>
            <w:r w:rsidRPr="00D604EE">
              <w:t>–413.1</w:t>
            </w:r>
          </w:p>
        </w:tc>
        <w:tc>
          <w:tcPr>
            <w:tcW w:w="1686" w:type="dxa"/>
            <w:tcBorders>
              <w:top w:val="single" w:sz="4" w:space="0" w:color="1B556B"/>
              <w:bottom w:val="single" w:sz="4" w:space="0" w:color="1B556B"/>
            </w:tcBorders>
          </w:tcPr>
          <w:p w14:paraId="781FE67E" w14:textId="77777777" w:rsidR="00784FA9" w:rsidRPr="00D604EE" w:rsidRDefault="00784FA9" w:rsidP="007E3239">
            <w:pPr>
              <w:pStyle w:val="TableText"/>
              <w:jc w:val="center"/>
            </w:pPr>
            <w:r w:rsidRPr="00D604EE">
              <w:t>–31.9</w:t>
            </w:r>
          </w:p>
        </w:tc>
        <w:tc>
          <w:tcPr>
            <w:tcW w:w="974" w:type="dxa"/>
            <w:tcBorders>
              <w:top w:val="single" w:sz="4" w:space="0" w:color="1B556B"/>
              <w:bottom w:val="single" w:sz="4" w:space="0" w:color="1B556B"/>
            </w:tcBorders>
          </w:tcPr>
          <w:p w14:paraId="7ADA54C6" w14:textId="77777777" w:rsidR="00784FA9" w:rsidRPr="00D604EE" w:rsidRDefault="00784FA9" w:rsidP="007E3239">
            <w:pPr>
              <w:pStyle w:val="TableText"/>
              <w:jc w:val="center"/>
            </w:pPr>
            <w:r w:rsidRPr="00D604EE">
              <w:t>–570.7</w:t>
            </w:r>
          </w:p>
        </w:tc>
        <w:tc>
          <w:tcPr>
            <w:tcW w:w="1178" w:type="dxa"/>
            <w:tcBorders>
              <w:top w:val="single" w:sz="4" w:space="0" w:color="1B556B"/>
              <w:bottom w:val="single" w:sz="4" w:space="0" w:color="1B556B"/>
            </w:tcBorders>
          </w:tcPr>
          <w:p w14:paraId="24F32A70" w14:textId="77777777" w:rsidR="00784FA9" w:rsidRPr="00D604EE" w:rsidRDefault="00784FA9" w:rsidP="007E3239">
            <w:pPr>
              <w:pStyle w:val="TableText"/>
              <w:jc w:val="center"/>
            </w:pPr>
            <w:r w:rsidRPr="00D604EE">
              <w:t>–1,015.7</w:t>
            </w:r>
          </w:p>
        </w:tc>
        <w:tc>
          <w:tcPr>
            <w:tcW w:w="1949" w:type="dxa"/>
            <w:tcBorders>
              <w:top w:val="single" w:sz="4" w:space="0" w:color="1B556B"/>
              <w:bottom w:val="single" w:sz="4" w:space="0" w:color="1B556B"/>
            </w:tcBorders>
          </w:tcPr>
          <w:p w14:paraId="1FAFE3EE" w14:textId="77777777" w:rsidR="00784FA9" w:rsidRPr="00D604EE" w:rsidRDefault="00784FA9" w:rsidP="007E3239">
            <w:pPr>
              <w:pStyle w:val="TableText"/>
              <w:jc w:val="center"/>
            </w:pPr>
            <w:r w:rsidRPr="00D604EE">
              <w:t>3,724.1</w:t>
            </w:r>
          </w:p>
        </w:tc>
      </w:tr>
    </w:tbl>
    <w:p w14:paraId="442C56BF" w14:textId="77777777" w:rsidR="00784FA9" w:rsidRPr="00D604EE" w:rsidRDefault="00784FA9" w:rsidP="00784FA9">
      <w:pPr>
        <w:pStyle w:val="BodyText"/>
        <w:spacing w:before="240"/>
      </w:pPr>
      <w:r w:rsidRPr="00D604EE">
        <w:t xml:space="preserve">The </w:t>
      </w:r>
      <w:r w:rsidRPr="00D604EE">
        <w:rPr>
          <w:i/>
        </w:rPr>
        <w:t>Settlements</w:t>
      </w:r>
      <w:r w:rsidRPr="00D604EE">
        <w:t xml:space="preserve"> land use category, as described in chapter 3.2 of 2006 IPCC Guidelines, includes “all developed land, including transportation infrastructure and human settlements of any size, unless they are already included under other categories” (IPCC, 2006a, p 3.7). </w:t>
      </w:r>
      <w:r w:rsidRPr="00D604EE">
        <w:rPr>
          <w:i/>
        </w:rPr>
        <w:t>Settlements</w:t>
      </w:r>
      <w:r w:rsidRPr="00D604EE">
        <w:t xml:space="preserve"> include trees grown along streets, in public and private gardens, and in parks associated with urban areas. </w:t>
      </w:r>
    </w:p>
    <w:p w14:paraId="7408A89D" w14:textId="77777777" w:rsidR="00784FA9" w:rsidRPr="00D604EE" w:rsidRDefault="00784FA9" w:rsidP="00784FA9">
      <w:pPr>
        <w:pStyle w:val="BodyText"/>
      </w:pPr>
      <w:r w:rsidRPr="00D604EE">
        <w:t xml:space="preserve">In 2020, there were 237,512 hectares of </w:t>
      </w:r>
      <w:r w:rsidRPr="00D604EE">
        <w:rPr>
          <w:i/>
        </w:rPr>
        <w:t>Settlements</w:t>
      </w:r>
      <w:r w:rsidRPr="00D604EE">
        <w:t xml:space="preserve"> in New Zealand, an increase of 29,610 hectares since 1990. This category comprised 0.9 per cent of New Zealand’s total land area in 2020. The largest area of change to </w:t>
      </w:r>
      <w:r w:rsidRPr="00D604EE">
        <w:rPr>
          <w:i/>
        </w:rPr>
        <w:t>Settlements</w:t>
      </w:r>
      <w:r w:rsidRPr="00D604EE">
        <w:t xml:space="preserve"> between 1990 and 2020 came from high producing grassland, with 23,261 hectares between 1990 and 2020.</w:t>
      </w:r>
    </w:p>
    <w:p w14:paraId="0B3976F7" w14:textId="77777777" w:rsidR="00784FA9" w:rsidRPr="00D604EE" w:rsidRDefault="00784FA9" w:rsidP="00784FA9">
      <w:pPr>
        <w:pStyle w:val="BodyText"/>
      </w:pPr>
      <w:r w:rsidRPr="00D604EE">
        <w:t xml:space="preserve">The emissions in the </w:t>
      </w:r>
      <w:r w:rsidRPr="00D604EE">
        <w:rPr>
          <w:i/>
        </w:rPr>
        <w:t>Settlements remaining settlements</w:t>
      </w:r>
      <w:r w:rsidRPr="00D604EE">
        <w:t xml:space="preserve"> category are all from anthropogenic drainage of organic soils for establishment of settlements. Carbon in living biomass and dead organic matter for this land use category is estimated as zero but, because zero is not a valid entry for biomass gains in the CRF Reporter, the notation key NA is reported for biomass gains instead. The carbon stock in mineral soil for this land use is assumed to be in steady state, so this is also reported as zero. </w:t>
      </w:r>
    </w:p>
    <w:p w14:paraId="369592CF" w14:textId="77777777" w:rsidR="00784FA9" w:rsidRPr="00D604EE" w:rsidRDefault="00784FA9" w:rsidP="00784FA9">
      <w:pPr>
        <w:pStyle w:val="Heading3"/>
      </w:pPr>
      <w:r w:rsidRPr="00D604EE">
        <w:t>6.7.2</w:t>
      </w:r>
      <w:r w:rsidRPr="00D604EE">
        <w:tab/>
        <w:t>Methodological issues</w:t>
      </w:r>
    </w:p>
    <w:p w14:paraId="232DE811" w14:textId="77777777" w:rsidR="00784FA9" w:rsidRPr="00D604EE" w:rsidRDefault="00784FA9" w:rsidP="00784FA9">
      <w:pPr>
        <w:pStyle w:val="Heading4"/>
      </w:pPr>
      <w:r w:rsidRPr="00D604EE">
        <w:t>Settlements remaining settlements (CRF 4.E.1)</w:t>
      </w:r>
    </w:p>
    <w:p w14:paraId="332C97FD" w14:textId="77777777" w:rsidR="00784FA9" w:rsidRPr="00D604EE" w:rsidRDefault="00784FA9" w:rsidP="00784FA9">
      <w:pPr>
        <w:pStyle w:val="BodyText"/>
      </w:pPr>
      <w:r w:rsidRPr="00D604EE">
        <w:t xml:space="preserve">New Zealand applies Tier 1 methods for estimating emissions from the </w:t>
      </w:r>
      <w:r w:rsidRPr="00D604EE">
        <w:rPr>
          <w:i/>
        </w:rPr>
        <w:t xml:space="preserve">Settlements remaining settlements </w:t>
      </w:r>
      <w:r w:rsidRPr="00D604EE">
        <w:t>category</w:t>
      </w:r>
      <w:r w:rsidRPr="00D604EE">
        <w:rPr>
          <w:i/>
        </w:rPr>
        <w:t xml:space="preserve">. </w:t>
      </w:r>
      <w:r w:rsidRPr="00D604EE">
        <w:t>The assumptions are that there is no change in carbon stocks for living biomass, dead organic matter or mineral soils.</w:t>
      </w:r>
      <w:r w:rsidRPr="00D604EE" w:rsidDel="00394041">
        <w:t xml:space="preserve"> </w:t>
      </w:r>
      <w:r w:rsidRPr="00D604EE">
        <w:t xml:space="preserve">The Tier 1 method for organic soils conversely assumes emissions are constant if they are drained. Where organic soils occur in this category, they are assumed to be drained. See annex A3.2.4 ‘Organic soils’ for further information on the methods applied to organic soils. </w:t>
      </w:r>
    </w:p>
    <w:p w14:paraId="50CF8725" w14:textId="77777777" w:rsidR="00784FA9" w:rsidRPr="00D604EE" w:rsidRDefault="00784FA9" w:rsidP="00784FA9">
      <w:pPr>
        <w:pStyle w:val="BodyText"/>
      </w:pPr>
      <w:r w:rsidRPr="00D604EE">
        <w:lastRenderedPageBreak/>
        <w:t>Because this is not a key category, New Zealand is not investigating methods to move to a higher tier of reporting for this category.</w:t>
      </w:r>
    </w:p>
    <w:p w14:paraId="44808629" w14:textId="77777777" w:rsidR="00784FA9" w:rsidRPr="00D604EE" w:rsidRDefault="00784FA9" w:rsidP="00784FA9">
      <w:pPr>
        <w:pStyle w:val="Heading4"/>
      </w:pPr>
      <w:r w:rsidRPr="00D604EE">
        <w:t>Land converted to settlements (CRF 4.E.2)</w:t>
      </w:r>
    </w:p>
    <w:p w14:paraId="11A7A611" w14:textId="77777777" w:rsidR="00784FA9" w:rsidRPr="00D604EE" w:rsidRDefault="00784FA9" w:rsidP="00784FA9">
      <w:pPr>
        <w:pStyle w:val="Heading5"/>
        <w:spacing w:before="160"/>
      </w:pPr>
      <w:r w:rsidRPr="00D604EE">
        <w:t>Living biomass and dead organic matter</w:t>
      </w:r>
    </w:p>
    <w:p w14:paraId="679AA57A" w14:textId="77777777" w:rsidR="00784FA9" w:rsidRPr="00D604EE" w:rsidRDefault="00784FA9" w:rsidP="00784FA9">
      <w:pPr>
        <w:pStyle w:val="BodyText"/>
      </w:pPr>
      <w:r w:rsidRPr="00D604EE">
        <w:t xml:space="preserve">New Zealand has applied a Tier 1 method for estimating carbon stock change with land conversion to </w:t>
      </w:r>
      <w:r w:rsidRPr="00D604EE">
        <w:rPr>
          <w:i/>
        </w:rPr>
        <w:t>Settlements</w:t>
      </w:r>
      <w:r w:rsidRPr="00D604EE">
        <w:t xml:space="preserve"> (equation 2.16, IPCC, 2006a). This is the same as that used for other areas of land use conversion (e.g., </w:t>
      </w:r>
      <w:r w:rsidRPr="00D604EE">
        <w:rPr>
          <w:i/>
        </w:rPr>
        <w:t>Land converted to cropland</w:t>
      </w:r>
      <w:r w:rsidRPr="00D604EE">
        <w:t>). The default assumptions for a Tier 1 estimate are that all living biomass and dead organic matter present before conversion are lost in the same year as the conversion took place. Furthermore, carbon stocks in living biomass and dead organic matter following conversion are equal to zero (sections 8.3.1 and 8.3.2, IPCC, 2006a).</w:t>
      </w:r>
    </w:p>
    <w:p w14:paraId="32CB2837" w14:textId="77777777" w:rsidR="00784FA9" w:rsidRPr="00D604EE" w:rsidRDefault="00784FA9" w:rsidP="00784FA9">
      <w:pPr>
        <w:pStyle w:val="Heading5"/>
        <w:spacing w:before="200"/>
      </w:pPr>
      <w:r w:rsidRPr="00D604EE">
        <w:t>Soil organic carbon</w:t>
      </w:r>
    </w:p>
    <w:p w14:paraId="36D2993A" w14:textId="77777777" w:rsidR="00784FA9" w:rsidRPr="00D604EE" w:rsidRDefault="00784FA9" w:rsidP="00784FA9">
      <w:pPr>
        <w:pStyle w:val="BodyText"/>
      </w:pPr>
      <w:r w:rsidRPr="00D604EE">
        <w:t xml:space="preserve">Soil organic carbon stocks in mineral soil for </w:t>
      </w:r>
      <w:r w:rsidRPr="00D604EE">
        <w:rPr>
          <w:i/>
        </w:rPr>
        <w:t>Land converted to settlements</w:t>
      </w:r>
      <w:r w:rsidRPr="00D604EE">
        <w:t xml:space="preserve"> are estimated using a Tier 2 method (see annex A3.2.4 ‘Mineral soils’). For organic soils, loss of soil carbon is estimated using the Tier 1 method applied to </w:t>
      </w:r>
      <w:r w:rsidRPr="00D604EE">
        <w:rPr>
          <w:i/>
        </w:rPr>
        <w:t>Settlements remaining settlements</w:t>
      </w:r>
      <w:r w:rsidRPr="00D604EE">
        <w:t xml:space="preserve">. </w:t>
      </w:r>
    </w:p>
    <w:p w14:paraId="484D1857" w14:textId="77777777" w:rsidR="00784FA9" w:rsidRPr="00D604EE" w:rsidRDefault="00784FA9" w:rsidP="00784FA9">
      <w:pPr>
        <w:pStyle w:val="Heading3"/>
      </w:pPr>
      <w:r w:rsidRPr="00D604EE">
        <w:t>6.7.3</w:t>
      </w:r>
      <w:r w:rsidRPr="00D604EE">
        <w:tab/>
        <w:t>Uncertainties and time-series consistency</w:t>
      </w:r>
    </w:p>
    <w:p w14:paraId="50ABAC61" w14:textId="77777777" w:rsidR="00784FA9" w:rsidRPr="00D604EE" w:rsidRDefault="00784FA9" w:rsidP="00784FA9">
      <w:pPr>
        <w:pStyle w:val="BodyText"/>
        <w:rPr>
          <w:rFonts w:ascii="Segoe UI" w:hAnsi="Segoe UI" w:cs="Segoe UI"/>
        </w:rPr>
      </w:pPr>
      <w:r w:rsidRPr="00D604EE">
        <w:t xml:space="preserve">The uncertainty in net carbon emissions from </w:t>
      </w:r>
      <w:r w:rsidRPr="00D604EE">
        <w:rPr>
          <w:i/>
          <w:iCs/>
        </w:rPr>
        <w:t>Settlements</w:t>
      </w:r>
      <w:r w:rsidRPr="00D604EE">
        <w:t xml:space="preserve"> was 61.6 per cent in 2020. The uncertainty in net carbon emissions from </w:t>
      </w:r>
      <w:r w:rsidRPr="00D604EE">
        <w:rPr>
          <w:i/>
        </w:rPr>
        <w:t>Settlements</w:t>
      </w:r>
      <w:r w:rsidRPr="00D604EE">
        <w:t xml:space="preserve"> accounted for 0.3 per cent of the total uncertainty in emissions from the LULUCF sector. The methods used to calculate the uncertainty are further described in annex A3.2.8. </w:t>
      </w:r>
    </w:p>
    <w:p w14:paraId="6500D8DB" w14:textId="77777777" w:rsidR="00784FA9" w:rsidRPr="00D604EE" w:rsidRDefault="00784FA9" w:rsidP="00784FA9">
      <w:pPr>
        <w:pStyle w:val="BodyText"/>
      </w:pPr>
      <w:r w:rsidRPr="00D604EE">
        <w:t>Time-series consistency is ensured by applying consistent methods and full recalculations in the event of any refinement or improvement to methodology.</w:t>
      </w:r>
    </w:p>
    <w:p w14:paraId="6C8C3EAB" w14:textId="77777777" w:rsidR="00784FA9" w:rsidRPr="00D604EE" w:rsidRDefault="00784FA9" w:rsidP="00784FA9">
      <w:pPr>
        <w:pStyle w:val="Heading3"/>
      </w:pPr>
      <w:r w:rsidRPr="00D604EE" w:rsidDel="00CB15DE">
        <w:t>6.</w:t>
      </w:r>
      <w:r w:rsidRPr="00D604EE">
        <w:t>7.4</w:t>
      </w:r>
      <w:r w:rsidRPr="00D604EE">
        <w:tab/>
        <w:t>Category-specific QA/QC and verification</w:t>
      </w:r>
    </w:p>
    <w:p w14:paraId="5B4D22A7" w14:textId="77777777" w:rsidR="00784FA9" w:rsidRPr="00D604EE" w:rsidRDefault="00784FA9" w:rsidP="00784FA9">
      <w:pPr>
        <w:pStyle w:val="BodyText"/>
      </w:pPr>
      <w:r w:rsidRPr="00D604EE">
        <w:t>In the preparation of this inventory, the activity data for these emissions underwent Tier 1 quality checks.</w:t>
      </w:r>
    </w:p>
    <w:p w14:paraId="39373650" w14:textId="77777777" w:rsidR="00784FA9" w:rsidRPr="00D604EE" w:rsidRDefault="00784FA9" w:rsidP="00784FA9">
      <w:pPr>
        <w:pStyle w:val="Heading3"/>
      </w:pPr>
      <w:r w:rsidRPr="00D604EE">
        <w:t>6.7.5</w:t>
      </w:r>
      <w:r w:rsidRPr="00D604EE">
        <w:tab/>
        <w:t>Category-specific recalculations</w:t>
      </w:r>
    </w:p>
    <w:p w14:paraId="162B6625" w14:textId="77777777" w:rsidR="00784FA9" w:rsidRPr="00D604EE" w:rsidRDefault="00784FA9" w:rsidP="00784FA9">
      <w:pPr>
        <w:pStyle w:val="BodyText"/>
      </w:pPr>
      <w:r w:rsidRPr="00D604EE">
        <w:t xml:space="preserve">Recalculations were carried out for this category (see table 6.7.3). Recalculations in the </w:t>
      </w:r>
      <w:r w:rsidRPr="00D604EE">
        <w:rPr>
          <w:i/>
        </w:rPr>
        <w:t>Settlements</w:t>
      </w:r>
      <w:r w:rsidRPr="00D604EE">
        <w:t xml:space="preserve"> category are largely due to emissions associated with deforestation. For years where mapped deforestation data are not available (2018 to 2020), deforestation area is based on a projected estimate. Previously, projected deforestation area was assumed to only occur from </w:t>
      </w:r>
      <w:r w:rsidRPr="00D604EE">
        <w:rPr>
          <w:i/>
        </w:rPr>
        <w:t>Forest land</w:t>
      </w:r>
      <w:r w:rsidRPr="00D604EE">
        <w:t xml:space="preserve"> to high producing grassland or low producing grassland. As a result, no </w:t>
      </w:r>
      <w:r w:rsidRPr="00D604EE">
        <w:rPr>
          <w:i/>
          <w:iCs/>
        </w:rPr>
        <w:t>Forest</w:t>
      </w:r>
      <w:r w:rsidRPr="00D604EE">
        <w:rPr>
          <w:i/>
        </w:rPr>
        <w:t xml:space="preserve"> land</w:t>
      </w:r>
      <w:r w:rsidRPr="00D604EE">
        <w:t xml:space="preserve"> to </w:t>
      </w:r>
      <w:r w:rsidRPr="00D604EE">
        <w:rPr>
          <w:i/>
          <w:iCs/>
        </w:rPr>
        <w:t>Settlements</w:t>
      </w:r>
      <w:r w:rsidRPr="00D604EE">
        <w:t xml:space="preserve"> land use conversions were estimated for 2019 in the 2021 submission.</w:t>
      </w:r>
    </w:p>
    <w:p w14:paraId="19FA4D12" w14:textId="77777777" w:rsidR="00784FA9" w:rsidRPr="00D604EE" w:rsidRDefault="00784FA9" w:rsidP="00784FA9">
      <w:pPr>
        <w:pStyle w:val="BodyText"/>
      </w:pPr>
      <w:r w:rsidRPr="00D604EE">
        <w:t xml:space="preserve">In this submission, this assumption was changed so that projected deforestation estimates also included land use conversions to </w:t>
      </w:r>
      <w:r w:rsidRPr="00D604EE">
        <w:rPr>
          <w:i/>
          <w:iCs/>
        </w:rPr>
        <w:t>Grassland with woody biomass</w:t>
      </w:r>
      <w:r w:rsidRPr="00D604EE">
        <w:t xml:space="preserve">, </w:t>
      </w:r>
      <w:r w:rsidRPr="00D604EE">
        <w:rPr>
          <w:i/>
          <w:iCs/>
        </w:rPr>
        <w:t>Settlements</w:t>
      </w:r>
      <w:r w:rsidRPr="00D604EE">
        <w:t xml:space="preserve"> and </w:t>
      </w:r>
      <w:r w:rsidRPr="00D604EE">
        <w:rPr>
          <w:i/>
          <w:iCs/>
        </w:rPr>
        <w:t>Other</w:t>
      </w:r>
      <w:r w:rsidRPr="00D604EE">
        <w:rPr>
          <w:i/>
        </w:rPr>
        <w:t xml:space="preserve"> land</w:t>
      </w:r>
      <w:r w:rsidRPr="00D604EE">
        <w:t xml:space="preserve"> (based on the proportion of mapped land use conversions from </w:t>
      </w:r>
      <w:r w:rsidRPr="00D604EE">
        <w:rPr>
          <w:i/>
        </w:rPr>
        <w:t>Forest land</w:t>
      </w:r>
      <w:r w:rsidRPr="00D604EE">
        <w:t xml:space="preserve"> from 2013 to 2016). Emissions from settlements have increased in 2019 as result.</w:t>
      </w:r>
    </w:p>
    <w:p w14:paraId="326B64C9" w14:textId="77777777" w:rsidR="00784FA9" w:rsidRPr="00D604EE" w:rsidRDefault="00784FA9" w:rsidP="00784FA9">
      <w:pPr>
        <w:pStyle w:val="Table"/>
      </w:pPr>
      <w:bookmarkStart w:id="2170" w:name="_Toc342470792"/>
      <w:bookmarkStart w:id="2171" w:name="_Toc352505032"/>
      <w:bookmarkStart w:id="2172" w:name="_Toc378853321"/>
      <w:bookmarkStart w:id="2173" w:name="_Toc391024119"/>
      <w:bookmarkStart w:id="2174" w:name="_Toc410028861"/>
      <w:bookmarkStart w:id="2175" w:name="_Toc414531489"/>
      <w:bookmarkStart w:id="2176" w:name="_Toc443645402"/>
      <w:bookmarkStart w:id="2177" w:name="_Toc474914621"/>
      <w:bookmarkStart w:id="2178" w:name="_Toc481751585"/>
      <w:bookmarkStart w:id="2179" w:name="_Toc522010642"/>
      <w:bookmarkStart w:id="2180" w:name="_Toc5269547"/>
      <w:bookmarkStart w:id="2181" w:name="_Toc33529421"/>
      <w:bookmarkStart w:id="2182" w:name="_Toc36224627"/>
      <w:bookmarkStart w:id="2183" w:name="_Toc99659309"/>
      <w:r w:rsidRPr="00D604EE">
        <w:lastRenderedPageBreak/>
        <w:t>Table 6.7.3</w:t>
      </w:r>
      <w:r w:rsidRPr="00D604EE">
        <w:tab/>
        <w:t>Recalculations for New Zealand’s net emissions from the Settlements category in 1990 and</w:t>
      </w:r>
      <w:bookmarkEnd w:id="2170"/>
      <w:bookmarkEnd w:id="2171"/>
      <w:bookmarkEnd w:id="2172"/>
      <w:bookmarkEnd w:id="2173"/>
      <w:r w:rsidRPr="00D604EE">
        <w:t> </w:t>
      </w:r>
      <w:bookmarkEnd w:id="2174"/>
      <w:bookmarkEnd w:id="2175"/>
      <w:bookmarkEnd w:id="2176"/>
      <w:bookmarkEnd w:id="2177"/>
      <w:bookmarkEnd w:id="2178"/>
      <w:bookmarkEnd w:id="2179"/>
      <w:bookmarkEnd w:id="2180"/>
      <w:bookmarkEnd w:id="2181"/>
      <w:bookmarkEnd w:id="2182"/>
      <w:r w:rsidRPr="00D604EE">
        <w:t>2019</w:t>
      </w:r>
      <w:bookmarkEnd w:id="2183"/>
    </w:p>
    <w:tbl>
      <w:tblPr>
        <w:tblW w:w="8505" w:type="dxa"/>
        <w:tblInd w:w="108" w:type="dxa"/>
        <w:tblLayout w:type="fixed"/>
        <w:tblLook w:val="04A0" w:firstRow="1" w:lastRow="0" w:firstColumn="1" w:lastColumn="0" w:noHBand="0" w:noVBand="1"/>
      </w:tblPr>
      <w:tblGrid>
        <w:gridCol w:w="1111"/>
        <w:gridCol w:w="1848"/>
        <w:gridCol w:w="1849"/>
        <w:gridCol w:w="1848"/>
        <w:gridCol w:w="1849"/>
      </w:tblGrid>
      <w:tr w:rsidR="004801D5" w:rsidRPr="00D604EE" w14:paraId="3E184460" w14:textId="77777777" w:rsidTr="00894CC2">
        <w:tc>
          <w:tcPr>
            <w:tcW w:w="1146" w:type="dxa"/>
            <w:vMerge w:val="restart"/>
            <w:tcBorders>
              <w:top w:val="single" w:sz="4" w:space="0" w:color="1B556B"/>
            </w:tcBorders>
            <w:shd w:val="clear" w:color="auto" w:fill="1B556B"/>
            <w:vAlign w:val="bottom"/>
          </w:tcPr>
          <w:p w14:paraId="5D06442A" w14:textId="77777777" w:rsidR="00784FA9" w:rsidRPr="00D604EE" w:rsidRDefault="00784FA9" w:rsidP="007E3239">
            <w:pPr>
              <w:pStyle w:val="TableTextBold"/>
              <w:keepNext/>
              <w:spacing w:before="40" w:after="40"/>
              <w:rPr>
                <w:noProof w:val="0"/>
                <w:color w:val="FFFFFF"/>
              </w:rPr>
            </w:pPr>
            <w:r w:rsidRPr="00D604EE">
              <w:rPr>
                <w:noProof w:val="0"/>
                <w:color w:val="FFFFFF"/>
              </w:rPr>
              <w:t>Year</w:t>
            </w:r>
          </w:p>
        </w:tc>
        <w:tc>
          <w:tcPr>
            <w:tcW w:w="3823" w:type="dxa"/>
            <w:gridSpan w:val="2"/>
            <w:tcBorders>
              <w:top w:val="single" w:sz="4" w:space="0" w:color="1B556B"/>
            </w:tcBorders>
            <w:shd w:val="clear" w:color="auto" w:fill="1B556B"/>
            <w:noWrap/>
          </w:tcPr>
          <w:p w14:paraId="5471F498" w14:textId="77777777" w:rsidR="00784FA9" w:rsidRPr="00D604EE" w:rsidRDefault="00784FA9" w:rsidP="00894CC2">
            <w:pPr>
              <w:pStyle w:val="TableTextBold"/>
              <w:keepNext/>
              <w:spacing w:before="40" w:after="0"/>
              <w:jc w:val="center"/>
              <w:rPr>
                <w:noProof w:val="0"/>
                <w:color w:val="FFFFFF"/>
              </w:rPr>
            </w:pPr>
            <w:r w:rsidRPr="00D604EE">
              <w:rPr>
                <w:noProof w:val="0"/>
                <w:color w:val="FFFFFF"/>
              </w:rPr>
              <w:t>Net emissions (kt CO</w:t>
            </w:r>
            <w:r w:rsidRPr="00D604EE">
              <w:rPr>
                <w:noProof w:val="0"/>
                <w:color w:val="FFFFFF"/>
                <w:vertAlign w:val="subscript"/>
              </w:rPr>
              <w:t>2</w:t>
            </w:r>
            <w:r w:rsidRPr="00D604EE">
              <w:rPr>
                <w:noProof w:val="0"/>
                <w:color w:val="FFFFFF"/>
              </w:rPr>
              <w:t>-e)</w:t>
            </w:r>
          </w:p>
        </w:tc>
        <w:tc>
          <w:tcPr>
            <w:tcW w:w="3823" w:type="dxa"/>
            <w:gridSpan w:val="2"/>
            <w:tcBorders>
              <w:top w:val="single" w:sz="4" w:space="0" w:color="1B556B"/>
            </w:tcBorders>
            <w:shd w:val="clear" w:color="auto" w:fill="1B556B"/>
          </w:tcPr>
          <w:p w14:paraId="32C1564B" w14:textId="77777777" w:rsidR="00784FA9" w:rsidRPr="00D604EE" w:rsidRDefault="00784FA9" w:rsidP="00894CC2">
            <w:pPr>
              <w:pStyle w:val="TableTextBold"/>
              <w:keepNext/>
              <w:spacing w:before="40" w:after="0"/>
              <w:jc w:val="center"/>
              <w:rPr>
                <w:noProof w:val="0"/>
                <w:color w:val="FFFFFF"/>
              </w:rPr>
            </w:pPr>
            <w:r w:rsidRPr="00D604EE">
              <w:rPr>
                <w:noProof w:val="0"/>
                <w:color w:val="FFFFFF"/>
              </w:rPr>
              <w:t>Change from the 2021</w:t>
            </w:r>
            <w:r>
              <w:rPr>
                <w:noProof w:val="0"/>
                <w:color w:val="FFFFFF"/>
              </w:rPr>
              <w:t xml:space="preserve"> </w:t>
            </w:r>
            <w:r w:rsidRPr="00D604EE">
              <w:rPr>
                <w:noProof w:val="0"/>
                <w:color w:val="FFFFFF"/>
              </w:rPr>
              <w:t>submission</w:t>
            </w:r>
          </w:p>
        </w:tc>
      </w:tr>
      <w:tr w:rsidR="00784FA9" w:rsidRPr="00D604EE" w14:paraId="06AFD4F4" w14:textId="77777777" w:rsidTr="00894CC2">
        <w:tc>
          <w:tcPr>
            <w:tcW w:w="1146" w:type="dxa"/>
            <w:vMerge/>
            <w:tcBorders>
              <w:bottom w:val="single" w:sz="4" w:space="0" w:color="1B556B"/>
            </w:tcBorders>
            <w:shd w:val="clear" w:color="auto" w:fill="1B556B"/>
          </w:tcPr>
          <w:p w14:paraId="4403FB81" w14:textId="77777777" w:rsidR="00784FA9" w:rsidRPr="00D604EE" w:rsidRDefault="00784FA9" w:rsidP="007E3239">
            <w:pPr>
              <w:pStyle w:val="TableText"/>
              <w:keepNext/>
              <w:spacing w:before="40" w:after="40"/>
            </w:pPr>
          </w:p>
        </w:tc>
        <w:tc>
          <w:tcPr>
            <w:tcW w:w="1911" w:type="dxa"/>
            <w:tcBorders>
              <w:bottom w:val="single" w:sz="4" w:space="0" w:color="1B556B"/>
            </w:tcBorders>
            <w:shd w:val="clear" w:color="auto" w:fill="1B556B"/>
          </w:tcPr>
          <w:p w14:paraId="67D45B87" w14:textId="77777777" w:rsidR="00784FA9" w:rsidRPr="00D604EE" w:rsidRDefault="00784FA9" w:rsidP="007E3239">
            <w:pPr>
              <w:pStyle w:val="TableText"/>
              <w:keepNext/>
              <w:spacing w:before="40" w:after="40"/>
              <w:jc w:val="center"/>
              <w:rPr>
                <w:b/>
                <w:color w:val="FFFFFF"/>
              </w:rPr>
            </w:pPr>
            <w:r w:rsidRPr="00D604EE">
              <w:rPr>
                <w:b/>
                <w:color w:val="FFFFFF"/>
              </w:rPr>
              <w:t>2021 submission</w:t>
            </w:r>
          </w:p>
        </w:tc>
        <w:tc>
          <w:tcPr>
            <w:tcW w:w="1911" w:type="dxa"/>
            <w:tcBorders>
              <w:bottom w:val="single" w:sz="4" w:space="0" w:color="1B556B"/>
            </w:tcBorders>
            <w:shd w:val="clear" w:color="auto" w:fill="1B556B"/>
          </w:tcPr>
          <w:p w14:paraId="58C837D0" w14:textId="77777777" w:rsidR="00784FA9" w:rsidRPr="00D604EE" w:rsidRDefault="00784FA9" w:rsidP="007E3239">
            <w:pPr>
              <w:pStyle w:val="TableText"/>
              <w:keepNext/>
              <w:spacing w:before="40" w:after="40"/>
              <w:jc w:val="center"/>
              <w:rPr>
                <w:b/>
                <w:color w:val="FFFFFF"/>
              </w:rPr>
            </w:pPr>
            <w:r w:rsidRPr="00D604EE">
              <w:rPr>
                <w:b/>
                <w:color w:val="FFFFFF"/>
              </w:rPr>
              <w:t>2022 submission</w:t>
            </w:r>
          </w:p>
        </w:tc>
        <w:tc>
          <w:tcPr>
            <w:tcW w:w="1911" w:type="dxa"/>
            <w:tcBorders>
              <w:bottom w:val="single" w:sz="4" w:space="0" w:color="1B556B"/>
            </w:tcBorders>
            <w:shd w:val="clear" w:color="auto" w:fill="1B556B"/>
          </w:tcPr>
          <w:p w14:paraId="14120460" w14:textId="77777777" w:rsidR="00784FA9" w:rsidRPr="00D604EE" w:rsidRDefault="00784FA9" w:rsidP="007E3239">
            <w:pPr>
              <w:pStyle w:val="TableText"/>
              <w:keepNext/>
              <w:spacing w:before="40" w:after="40"/>
              <w:jc w:val="center"/>
              <w:rPr>
                <w:b/>
                <w:color w:val="FFFFFF"/>
              </w:rPr>
            </w:pPr>
            <w:r w:rsidRPr="00D604EE">
              <w:rPr>
                <w:b/>
                <w:color w:val="FFFFFF"/>
              </w:rPr>
              <w:t>(kt CO</w:t>
            </w:r>
            <w:r w:rsidRPr="00D604EE">
              <w:rPr>
                <w:b/>
                <w:color w:val="FFFFFF"/>
                <w:vertAlign w:val="subscript"/>
              </w:rPr>
              <w:t>2</w:t>
            </w:r>
            <w:r w:rsidRPr="00D604EE">
              <w:rPr>
                <w:b/>
                <w:color w:val="FFFFFF"/>
              </w:rPr>
              <w:t>-e)</w:t>
            </w:r>
          </w:p>
        </w:tc>
        <w:tc>
          <w:tcPr>
            <w:tcW w:w="1911" w:type="dxa"/>
            <w:tcBorders>
              <w:bottom w:val="single" w:sz="4" w:space="0" w:color="1B556B"/>
            </w:tcBorders>
            <w:shd w:val="clear" w:color="auto" w:fill="1B556B"/>
          </w:tcPr>
          <w:p w14:paraId="123E9A3D" w14:textId="77777777" w:rsidR="00784FA9" w:rsidRPr="00D604EE" w:rsidRDefault="00784FA9" w:rsidP="007E3239">
            <w:pPr>
              <w:pStyle w:val="TableText"/>
              <w:keepNext/>
              <w:spacing w:before="40" w:after="40"/>
              <w:jc w:val="center"/>
              <w:rPr>
                <w:b/>
                <w:color w:val="FFFFFF"/>
              </w:rPr>
            </w:pPr>
            <w:r w:rsidRPr="00D604EE">
              <w:rPr>
                <w:b/>
                <w:color w:val="FFFFFF"/>
              </w:rPr>
              <w:t>(%)</w:t>
            </w:r>
          </w:p>
        </w:tc>
      </w:tr>
      <w:tr w:rsidR="00784FA9" w:rsidRPr="00D604EE" w14:paraId="65BE807C" w14:textId="77777777" w:rsidTr="007E3239">
        <w:trPr>
          <w:trHeight w:val="258"/>
        </w:trPr>
        <w:tc>
          <w:tcPr>
            <w:tcW w:w="1146" w:type="dxa"/>
            <w:tcBorders>
              <w:top w:val="single" w:sz="4" w:space="0" w:color="1B556B"/>
              <w:bottom w:val="single" w:sz="4" w:space="0" w:color="1B556B"/>
            </w:tcBorders>
          </w:tcPr>
          <w:p w14:paraId="2289505C" w14:textId="77777777" w:rsidR="00784FA9" w:rsidRPr="00D604EE" w:rsidRDefault="00784FA9" w:rsidP="007E3239">
            <w:pPr>
              <w:pStyle w:val="TableText"/>
              <w:spacing w:before="40" w:after="40"/>
            </w:pPr>
            <w:r w:rsidRPr="00D604EE">
              <w:t xml:space="preserve">1990 </w:t>
            </w:r>
          </w:p>
        </w:tc>
        <w:tc>
          <w:tcPr>
            <w:tcW w:w="1911" w:type="dxa"/>
            <w:tcBorders>
              <w:top w:val="single" w:sz="4" w:space="0" w:color="1B556B"/>
              <w:bottom w:val="single" w:sz="4" w:space="0" w:color="1B556B"/>
            </w:tcBorders>
          </w:tcPr>
          <w:p w14:paraId="08DCAA59" w14:textId="77777777" w:rsidR="00784FA9" w:rsidRPr="00D604EE" w:rsidRDefault="00784FA9" w:rsidP="007E3239">
            <w:pPr>
              <w:pStyle w:val="TableText"/>
              <w:tabs>
                <w:tab w:val="decimal" w:pos="458"/>
              </w:tabs>
              <w:spacing w:before="40" w:after="40"/>
              <w:jc w:val="center"/>
              <w:rPr>
                <w:color w:val="000000"/>
              </w:rPr>
            </w:pPr>
            <w:r w:rsidRPr="00D604EE">
              <w:t xml:space="preserve">74.4 </w:t>
            </w:r>
          </w:p>
        </w:tc>
        <w:tc>
          <w:tcPr>
            <w:tcW w:w="1911" w:type="dxa"/>
            <w:tcBorders>
              <w:top w:val="single" w:sz="4" w:space="0" w:color="1B556B"/>
              <w:bottom w:val="single" w:sz="4" w:space="0" w:color="1B556B"/>
            </w:tcBorders>
          </w:tcPr>
          <w:p w14:paraId="147FD268" w14:textId="77777777" w:rsidR="00784FA9" w:rsidRPr="00D604EE" w:rsidRDefault="00784FA9" w:rsidP="007E3239">
            <w:pPr>
              <w:pStyle w:val="TableText"/>
              <w:tabs>
                <w:tab w:val="decimal" w:pos="458"/>
              </w:tabs>
              <w:spacing w:before="40" w:after="40"/>
              <w:jc w:val="center"/>
              <w:rPr>
                <w:color w:val="000000"/>
              </w:rPr>
            </w:pPr>
            <w:r w:rsidRPr="00D604EE">
              <w:t xml:space="preserve">75.4 </w:t>
            </w:r>
          </w:p>
        </w:tc>
        <w:tc>
          <w:tcPr>
            <w:tcW w:w="1911" w:type="dxa"/>
            <w:tcBorders>
              <w:top w:val="single" w:sz="4" w:space="0" w:color="1B556B"/>
              <w:bottom w:val="single" w:sz="4" w:space="0" w:color="1B556B"/>
            </w:tcBorders>
          </w:tcPr>
          <w:p w14:paraId="06B78A7F" w14:textId="77777777" w:rsidR="00784FA9" w:rsidRPr="00D604EE" w:rsidRDefault="00784FA9" w:rsidP="007E3239">
            <w:pPr>
              <w:pStyle w:val="TableText"/>
              <w:tabs>
                <w:tab w:val="decimal" w:pos="458"/>
              </w:tabs>
              <w:spacing w:before="40" w:after="40"/>
              <w:jc w:val="center"/>
              <w:rPr>
                <w:color w:val="000000"/>
              </w:rPr>
            </w:pPr>
            <w:r w:rsidRPr="00D604EE">
              <w:t xml:space="preserve">1.0 </w:t>
            </w:r>
          </w:p>
        </w:tc>
        <w:tc>
          <w:tcPr>
            <w:tcW w:w="1911" w:type="dxa"/>
            <w:tcBorders>
              <w:top w:val="single" w:sz="4" w:space="0" w:color="1B556B"/>
              <w:bottom w:val="single" w:sz="4" w:space="0" w:color="1B556B"/>
            </w:tcBorders>
          </w:tcPr>
          <w:p w14:paraId="4A48CBC7" w14:textId="77777777" w:rsidR="00784FA9" w:rsidRPr="00D604EE" w:rsidRDefault="00784FA9" w:rsidP="007E3239">
            <w:pPr>
              <w:pStyle w:val="TableText"/>
              <w:tabs>
                <w:tab w:val="decimal" w:pos="458"/>
              </w:tabs>
              <w:spacing w:before="40" w:after="40"/>
              <w:jc w:val="center"/>
              <w:rPr>
                <w:color w:val="000000"/>
              </w:rPr>
            </w:pPr>
            <w:r w:rsidRPr="00D604EE">
              <w:t>1.3</w:t>
            </w:r>
          </w:p>
        </w:tc>
      </w:tr>
      <w:tr w:rsidR="00784FA9" w:rsidRPr="00D604EE" w14:paraId="193B0A97" w14:textId="77777777" w:rsidTr="007E3239">
        <w:trPr>
          <w:trHeight w:val="247"/>
        </w:trPr>
        <w:tc>
          <w:tcPr>
            <w:tcW w:w="1146" w:type="dxa"/>
            <w:tcBorders>
              <w:top w:val="single" w:sz="4" w:space="0" w:color="1B556B"/>
              <w:bottom w:val="single" w:sz="4" w:space="0" w:color="1B556B"/>
            </w:tcBorders>
          </w:tcPr>
          <w:p w14:paraId="5854042A" w14:textId="77777777" w:rsidR="00784FA9" w:rsidRPr="00D604EE" w:rsidRDefault="00784FA9" w:rsidP="007E3239">
            <w:pPr>
              <w:pStyle w:val="TableText"/>
              <w:spacing w:before="40" w:after="40"/>
            </w:pPr>
            <w:r w:rsidRPr="00D604EE">
              <w:t>2019</w:t>
            </w:r>
          </w:p>
        </w:tc>
        <w:tc>
          <w:tcPr>
            <w:tcW w:w="1911" w:type="dxa"/>
            <w:tcBorders>
              <w:top w:val="single" w:sz="4" w:space="0" w:color="1B556B"/>
              <w:bottom w:val="single" w:sz="4" w:space="0" w:color="1B556B"/>
            </w:tcBorders>
          </w:tcPr>
          <w:p w14:paraId="2A30A769" w14:textId="77777777" w:rsidR="00784FA9" w:rsidRPr="00D604EE" w:rsidRDefault="00784FA9" w:rsidP="007E3239">
            <w:pPr>
              <w:pStyle w:val="TableText"/>
              <w:tabs>
                <w:tab w:val="decimal" w:pos="458"/>
              </w:tabs>
              <w:spacing w:before="40" w:after="40"/>
              <w:jc w:val="center"/>
              <w:rPr>
                <w:color w:val="000000"/>
              </w:rPr>
            </w:pPr>
            <w:r w:rsidRPr="00D604EE">
              <w:t xml:space="preserve">112.7 </w:t>
            </w:r>
          </w:p>
        </w:tc>
        <w:tc>
          <w:tcPr>
            <w:tcW w:w="1911" w:type="dxa"/>
            <w:tcBorders>
              <w:top w:val="single" w:sz="4" w:space="0" w:color="1B556B"/>
              <w:bottom w:val="single" w:sz="4" w:space="0" w:color="1B556B"/>
            </w:tcBorders>
          </w:tcPr>
          <w:p w14:paraId="27932D0E" w14:textId="77777777" w:rsidR="00784FA9" w:rsidRPr="00D604EE" w:rsidRDefault="00784FA9" w:rsidP="007E3239">
            <w:pPr>
              <w:pStyle w:val="TableText"/>
              <w:tabs>
                <w:tab w:val="decimal" w:pos="458"/>
              </w:tabs>
              <w:spacing w:before="40" w:after="40"/>
              <w:jc w:val="center"/>
              <w:rPr>
                <w:color w:val="000000"/>
              </w:rPr>
            </w:pPr>
            <w:r w:rsidRPr="00D604EE">
              <w:t>127.8</w:t>
            </w:r>
          </w:p>
        </w:tc>
        <w:tc>
          <w:tcPr>
            <w:tcW w:w="1911" w:type="dxa"/>
            <w:tcBorders>
              <w:top w:val="single" w:sz="4" w:space="0" w:color="1B556B"/>
              <w:bottom w:val="single" w:sz="4" w:space="0" w:color="1B556B"/>
            </w:tcBorders>
          </w:tcPr>
          <w:p w14:paraId="5434379E" w14:textId="77777777" w:rsidR="00784FA9" w:rsidRPr="00D604EE" w:rsidRDefault="00784FA9" w:rsidP="007E3239">
            <w:pPr>
              <w:pStyle w:val="TableText"/>
              <w:tabs>
                <w:tab w:val="decimal" w:pos="458"/>
              </w:tabs>
              <w:spacing w:before="40" w:after="40"/>
              <w:jc w:val="center"/>
              <w:rPr>
                <w:color w:val="000000"/>
              </w:rPr>
            </w:pPr>
            <w:r w:rsidRPr="00D604EE">
              <w:t>15.1</w:t>
            </w:r>
          </w:p>
        </w:tc>
        <w:tc>
          <w:tcPr>
            <w:tcW w:w="1911" w:type="dxa"/>
            <w:tcBorders>
              <w:top w:val="single" w:sz="4" w:space="0" w:color="1B556B"/>
              <w:bottom w:val="single" w:sz="4" w:space="0" w:color="1B556B"/>
            </w:tcBorders>
          </w:tcPr>
          <w:p w14:paraId="724697D0" w14:textId="77777777" w:rsidR="00784FA9" w:rsidRPr="00D604EE" w:rsidRDefault="00784FA9" w:rsidP="007E3239">
            <w:pPr>
              <w:pStyle w:val="TableText"/>
              <w:tabs>
                <w:tab w:val="decimal" w:pos="458"/>
              </w:tabs>
              <w:spacing w:before="40" w:after="40"/>
              <w:jc w:val="center"/>
              <w:rPr>
                <w:color w:val="000000"/>
              </w:rPr>
            </w:pPr>
            <w:r w:rsidRPr="00D604EE">
              <w:t>13.4</w:t>
            </w:r>
          </w:p>
        </w:tc>
      </w:tr>
    </w:tbl>
    <w:p w14:paraId="0911F86F" w14:textId="77777777" w:rsidR="00784FA9" w:rsidRPr="00D604EE" w:rsidRDefault="00784FA9" w:rsidP="00784FA9">
      <w:pPr>
        <w:pStyle w:val="Heading3"/>
      </w:pPr>
      <w:r w:rsidRPr="00D604EE">
        <w:t>6.7.6</w:t>
      </w:r>
      <w:r w:rsidRPr="00D604EE">
        <w:tab/>
        <w:t>Category-specific planned improvements</w:t>
      </w:r>
    </w:p>
    <w:p w14:paraId="117468EF" w14:textId="77777777" w:rsidR="00784FA9" w:rsidRPr="00D604EE" w:rsidRDefault="00784FA9" w:rsidP="00784FA9">
      <w:pPr>
        <w:pStyle w:val="BodyText"/>
        <w:spacing w:before="100" w:after="100"/>
      </w:pPr>
      <w:r w:rsidRPr="00D604EE">
        <w:t>During the review of the 2021 submission, the ERT recommended that New Zealand calculate N</w:t>
      </w:r>
      <w:r w:rsidRPr="00D604EE">
        <w:rPr>
          <w:vertAlign w:val="subscript"/>
        </w:rPr>
        <w:t>2</w:t>
      </w:r>
      <w:r w:rsidRPr="00D604EE">
        <w:t>O emissions associated with the drainage of organic soils in settlements. Although there is no default method in the IPCC 2006 Guidelines (IPCC, 2006a) for N</w:t>
      </w:r>
      <w:r w:rsidRPr="00D604EE">
        <w:rPr>
          <w:vertAlign w:val="subscript"/>
        </w:rPr>
        <w:t>2</w:t>
      </w:r>
      <w:r w:rsidRPr="00D604EE">
        <w:t xml:space="preserve">O emissions associated with drainage for this land use category, New Zealand considers that most of its </w:t>
      </w:r>
      <w:r w:rsidRPr="00D604EE">
        <w:rPr>
          <w:i/>
        </w:rPr>
        <w:t>Settlements</w:t>
      </w:r>
      <w:r w:rsidRPr="00D604EE">
        <w:t xml:space="preserve"> area can be assimilated to </w:t>
      </w:r>
      <w:r w:rsidRPr="00D604EE">
        <w:rPr>
          <w:i/>
          <w:iCs/>
        </w:rPr>
        <w:t>Grassland</w:t>
      </w:r>
      <w:r w:rsidRPr="00D604EE">
        <w:t xml:space="preserve"> when it comes to soil carbon. Therefore, the default methods applied to </w:t>
      </w:r>
      <w:r w:rsidRPr="00D604EE">
        <w:rPr>
          <w:i/>
        </w:rPr>
        <w:t>Grassland</w:t>
      </w:r>
      <w:r w:rsidRPr="00D604EE">
        <w:t xml:space="preserve"> should also be applied to </w:t>
      </w:r>
      <w:r w:rsidRPr="00D604EE">
        <w:rPr>
          <w:i/>
          <w:iCs/>
        </w:rPr>
        <w:t>Settlements</w:t>
      </w:r>
      <w:r w:rsidRPr="00D604EE">
        <w:t>. Given there is no reporting category for these emissions in the CRF, assistance was sought on how these emissions could be reported. Unfortunately, the response to this request was not received in time to incorporate into this submission. Therefore, the 23.2 kt CO</w:t>
      </w:r>
      <w:r w:rsidRPr="00D604EE">
        <w:rPr>
          <w:vertAlign w:val="subscript"/>
        </w:rPr>
        <w:t>2</w:t>
      </w:r>
      <w:r w:rsidRPr="00D604EE">
        <w:noBreakHyphen/>
        <w:t xml:space="preserve">e of emissions resulting from drained organic soils in </w:t>
      </w:r>
      <w:r w:rsidRPr="00D604EE">
        <w:rPr>
          <w:i/>
          <w:iCs/>
        </w:rPr>
        <w:t>Settlements</w:t>
      </w:r>
      <w:r w:rsidRPr="00D604EE">
        <w:t xml:space="preserve"> has not been included in the total emissions for LULUCF. It is planned that this will be included in the 2023 submission. </w:t>
      </w:r>
    </w:p>
    <w:p w14:paraId="39EA4B8D" w14:textId="77777777" w:rsidR="00784FA9" w:rsidRPr="00D604EE" w:rsidRDefault="00784FA9" w:rsidP="00784FA9">
      <w:pPr>
        <w:pStyle w:val="Heading2"/>
      </w:pPr>
      <w:bookmarkStart w:id="2184" w:name="_Toc310423457"/>
      <w:bookmarkStart w:id="2185" w:name="_Toc342470723"/>
      <w:bookmarkStart w:id="2186" w:name="_Toc352504875"/>
      <w:bookmarkStart w:id="2187" w:name="_Toc391024705"/>
      <w:bookmarkStart w:id="2188" w:name="_Toc414531322"/>
      <w:bookmarkStart w:id="2189" w:name="_Toc474335464"/>
      <w:bookmarkStart w:id="2190" w:name="_Toc481751404"/>
      <w:bookmarkStart w:id="2191" w:name="_Toc522013956"/>
      <w:bookmarkStart w:id="2192" w:name="_Toc5269381"/>
      <w:bookmarkStart w:id="2193" w:name="_Toc36224421"/>
      <w:bookmarkStart w:id="2194" w:name="_Toc99659147"/>
      <w:r w:rsidRPr="00D604EE">
        <w:t>6.8</w:t>
      </w:r>
      <w:r w:rsidRPr="00D604EE">
        <w:tab/>
        <w:t>Other land (CRF 4F)</w:t>
      </w:r>
      <w:bookmarkEnd w:id="2184"/>
      <w:bookmarkEnd w:id="2185"/>
      <w:bookmarkEnd w:id="2186"/>
      <w:bookmarkEnd w:id="2187"/>
      <w:bookmarkEnd w:id="2188"/>
      <w:bookmarkEnd w:id="2189"/>
      <w:bookmarkEnd w:id="2190"/>
      <w:bookmarkEnd w:id="2191"/>
      <w:bookmarkEnd w:id="2192"/>
      <w:bookmarkEnd w:id="2193"/>
      <w:bookmarkEnd w:id="2194"/>
    </w:p>
    <w:p w14:paraId="6C6138EF" w14:textId="77777777" w:rsidR="00784FA9" w:rsidRPr="00D604EE" w:rsidRDefault="00784FA9" w:rsidP="00784FA9">
      <w:pPr>
        <w:pStyle w:val="Heading3"/>
        <w:spacing w:before="240"/>
      </w:pPr>
      <w:r w:rsidRPr="00D604EE">
        <w:t>6.8.1</w:t>
      </w:r>
      <w:r w:rsidRPr="00D604EE">
        <w:tab/>
        <w:t>Description</w:t>
      </w:r>
    </w:p>
    <w:p w14:paraId="68D22B6C" w14:textId="77777777" w:rsidR="00784FA9" w:rsidRPr="00D604EE" w:rsidRDefault="00784FA9" w:rsidP="00784FA9">
      <w:pPr>
        <w:pStyle w:val="BodyText"/>
        <w:spacing w:before="100" w:after="100"/>
      </w:pPr>
      <w:r w:rsidRPr="00D604EE">
        <w:t xml:space="preserve">In 2020, the net emissions from </w:t>
      </w:r>
      <w:r w:rsidRPr="00D604EE">
        <w:rPr>
          <w:i/>
        </w:rPr>
        <w:t>Other land</w:t>
      </w:r>
      <w:r w:rsidRPr="00D604EE">
        <w:t xml:space="preserve"> were 118.4 kt CO</w:t>
      </w:r>
      <w:r w:rsidRPr="00D604EE">
        <w:rPr>
          <w:vertAlign w:val="subscript"/>
        </w:rPr>
        <w:t>2</w:t>
      </w:r>
      <w:r w:rsidRPr="00D604EE">
        <w:t>-e (see table 6.8.1). This is 104.8 kt CO</w:t>
      </w:r>
      <w:r w:rsidRPr="00D604EE">
        <w:rPr>
          <w:vertAlign w:val="subscript"/>
        </w:rPr>
        <w:t>2</w:t>
      </w:r>
      <w:r w:rsidRPr="00D604EE">
        <w:t>-e (770.3 per cent) higher than the 1990 level of 13.6 kt CO</w:t>
      </w:r>
      <w:r w:rsidRPr="00D604EE">
        <w:rPr>
          <w:vertAlign w:val="subscript"/>
        </w:rPr>
        <w:t>2</w:t>
      </w:r>
      <w:r w:rsidRPr="00D604EE">
        <w:noBreakHyphen/>
        <w:t xml:space="preserve">e. The majority of these emissions occur in the </w:t>
      </w:r>
      <w:r w:rsidRPr="00D604EE">
        <w:rPr>
          <w:i/>
        </w:rPr>
        <w:t>Land converted to other land</w:t>
      </w:r>
      <w:r w:rsidRPr="00D604EE">
        <w:t xml:space="preserve"> category. This is primarily because the area of land estimated as having been converted to </w:t>
      </w:r>
      <w:r w:rsidRPr="00D604EE">
        <w:rPr>
          <w:i/>
        </w:rPr>
        <w:t>Other land</w:t>
      </w:r>
      <w:r w:rsidRPr="00D604EE">
        <w:t xml:space="preserve"> has been steadily increasing since 1990.</w:t>
      </w:r>
    </w:p>
    <w:p w14:paraId="61D8BF26" w14:textId="77777777" w:rsidR="00784FA9" w:rsidRPr="00D604EE" w:rsidRDefault="00784FA9" w:rsidP="00784FA9">
      <w:pPr>
        <w:pStyle w:val="BodyText"/>
        <w:spacing w:before="100" w:after="100"/>
      </w:pPr>
      <w:r w:rsidRPr="00D604EE">
        <w:rPr>
          <w:i/>
        </w:rPr>
        <w:t>Other land</w:t>
      </w:r>
      <w:r w:rsidRPr="00D604EE">
        <w:t xml:space="preserve"> is defined in section 3.2 of the 2006 IPCC Guidelines (IPCC, 2006a) as including bare soil, rock, ice and all land areas that do not fall into any of the other five land use categories. This means that this category includes any land which has not been actively classified into one of the other categories. It consists mostly of steep, rocky terrain at high elevation, often covered in snow or ice. This category is 3.3 per cent of New Zealand’s total land area.</w:t>
      </w:r>
    </w:p>
    <w:p w14:paraId="532A0ABE" w14:textId="77777777" w:rsidR="00784FA9" w:rsidRPr="00D604EE" w:rsidRDefault="00784FA9" w:rsidP="00784FA9">
      <w:pPr>
        <w:pStyle w:val="BodyText"/>
        <w:spacing w:before="100" w:after="100"/>
      </w:pPr>
      <w:r w:rsidRPr="00D604EE">
        <w:t xml:space="preserve">An analysis of change in area between 1990 and 2020 shows that, of the 7,646 hectares converted from </w:t>
      </w:r>
      <w:r w:rsidRPr="00D604EE">
        <w:rPr>
          <w:i/>
        </w:rPr>
        <w:t>Other land</w:t>
      </w:r>
      <w:r w:rsidRPr="00D604EE">
        <w:t xml:space="preserve"> to different land use categories, 3,101 hectares were converted to post-1989 planted forest, 710 hectares of post-1989 natural forest and 1,493 hectares were converted to </w:t>
      </w:r>
      <w:r w:rsidRPr="00D604EE">
        <w:rPr>
          <w:i/>
          <w:iCs/>
        </w:rPr>
        <w:t>Grassland with woody biomass</w:t>
      </w:r>
      <w:r w:rsidRPr="00D604EE">
        <w:t xml:space="preserve">. </w:t>
      </w:r>
      <w:r w:rsidRPr="00D604EE">
        <w:rPr>
          <w:i/>
        </w:rPr>
        <w:t>Land converted to other land</w:t>
      </w:r>
      <w:r w:rsidRPr="00D604EE">
        <w:t xml:space="preserve"> is dominated by quarries, with the largest individual site in the region of Otago measuring approximately 1,400 hectares. Also included in this change are coastal areas where sand dunes have advanced into previously vegetated areas, some areas of new rural roading not associated with settlements, and areas that have been cleared of vegetation but where the future land use is uncertain. In some cases these uncertain areas undergo a subsequent land-use change to </w:t>
      </w:r>
      <w:r w:rsidRPr="00D604EE">
        <w:rPr>
          <w:i/>
          <w:iCs/>
        </w:rPr>
        <w:t>Settlements</w:t>
      </w:r>
      <w:r w:rsidRPr="00D604EE">
        <w:t>.</w:t>
      </w:r>
    </w:p>
    <w:p w14:paraId="0EEAF11F" w14:textId="77777777" w:rsidR="00784FA9" w:rsidRPr="00D604EE" w:rsidRDefault="00784FA9" w:rsidP="00784FA9">
      <w:pPr>
        <w:pStyle w:val="BodyText"/>
        <w:spacing w:before="100" w:after="100"/>
      </w:pPr>
      <w:r w:rsidRPr="00D604EE">
        <w:t xml:space="preserve">Between 1 January 1990 and 31 December 2020, there were 8,512 hectares of </w:t>
      </w:r>
      <w:r w:rsidRPr="00D604EE">
        <w:rPr>
          <w:i/>
        </w:rPr>
        <w:t>Land converted to other land</w:t>
      </w:r>
      <w:r w:rsidRPr="00D604EE">
        <w:t xml:space="preserve">; most (5,099 hectares) of this was from the </w:t>
      </w:r>
      <w:r w:rsidRPr="00D604EE">
        <w:rPr>
          <w:i/>
        </w:rPr>
        <w:t>Grassland</w:t>
      </w:r>
      <w:r w:rsidRPr="00D604EE">
        <w:t xml:space="preserve"> categories. This is likely to be mainly due to conversion of </w:t>
      </w:r>
      <w:r w:rsidRPr="00D604EE">
        <w:rPr>
          <w:i/>
        </w:rPr>
        <w:t>Grassland</w:t>
      </w:r>
      <w:r w:rsidRPr="00D604EE">
        <w:t xml:space="preserve"> to roads, mines and quarries.</w:t>
      </w:r>
    </w:p>
    <w:p w14:paraId="6630DA6C" w14:textId="77777777" w:rsidR="00784FA9" w:rsidRPr="00D604EE" w:rsidRDefault="00784FA9" w:rsidP="00784FA9">
      <w:pPr>
        <w:pStyle w:val="BodyText"/>
        <w:spacing w:after="100"/>
      </w:pPr>
      <w:r w:rsidRPr="00D604EE">
        <w:t xml:space="preserve">In 2020, </w:t>
      </w:r>
      <w:r w:rsidRPr="00D604EE">
        <w:rPr>
          <w:i/>
        </w:rPr>
        <w:t>Land converted to Other land</w:t>
      </w:r>
      <w:r w:rsidRPr="00D604EE">
        <w:t xml:space="preserve"> was </w:t>
      </w:r>
      <w:r w:rsidRPr="00D604EE" w:rsidDel="00AB3A81">
        <w:t xml:space="preserve">not </w:t>
      </w:r>
      <w:r w:rsidRPr="00D604EE">
        <w:t>a key category.</w:t>
      </w:r>
    </w:p>
    <w:p w14:paraId="7B3848DB" w14:textId="77777777" w:rsidR="00784FA9" w:rsidRPr="00D604EE" w:rsidRDefault="00784FA9" w:rsidP="00784FA9">
      <w:pPr>
        <w:pStyle w:val="Table"/>
      </w:pPr>
      <w:bookmarkStart w:id="2195" w:name="_Toc342470793"/>
      <w:bookmarkStart w:id="2196" w:name="_Toc352505033"/>
      <w:bookmarkStart w:id="2197" w:name="_Toc378853322"/>
      <w:bookmarkStart w:id="2198" w:name="_Toc391024120"/>
      <w:bookmarkStart w:id="2199" w:name="_Toc410028862"/>
      <w:bookmarkStart w:id="2200" w:name="_Toc414531490"/>
      <w:bookmarkStart w:id="2201" w:name="_Toc443645403"/>
      <w:bookmarkStart w:id="2202" w:name="_Toc474914622"/>
      <w:bookmarkStart w:id="2203" w:name="_Toc481751586"/>
      <w:bookmarkStart w:id="2204" w:name="_Toc522010643"/>
      <w:bookmarkStart w:id="2205" w:name="_Toc5269548"/>
      <w:bookmarkStart w:id="2206" w:name="_Toc33529422"/>
      <w:bookmarkStart w:id="2207" w:name="_Toc36224628"/>
      <w:bookmarkStart w:id="2208" w:name="_Toc99659310"/>
      <w:r w:rsidRPr="00D604EE">
        <w:lastRenderedPageBreak/>
        <w:t>Table 6.8.1</w:t>
      </w:r>
      <w:r w:rsidRPr="00D604EE">
        <w:tab/>
        <w:t xml:space="preserve">New Zealand’s land-use change for the land use category </w:t>
      </w:r>
      <w:r w:rsidRPr="00D604EE">
        <w:rPr>
          <w:i/>
        </w:rPr>
        <w:t>Other land</w:t>
      </w:r>
      <w:r w:rsidRPr="00D604EE">
        <w:t xml:space="preserve"> from 1990 to</w:t>
      </w:r>
      <w:bookmarkEnd w:id="2195"/>
      <w:bookmarkEnd w:id="2196"/>
      <w:bookmarkEnd w:id="2197"/>
      <w:bookmarkEnd w:id="2198"/>
      <w:r w:rsidRPr="00D604EE">
        <w:t> </w:t>
      </w:r>
      <w:bookmarkEnd w:id="2199"/>
      <w:bookmarkEnd w:id="2200"/>
      <w:bookmarkEnd w:id="2201"/>
      <w:bookmarkEnd w:id="2202"/>
      <w:bookmarkEnd w:id="2203"/>
      <w:bookmarkEnd w:id="2204"/>
      <w:bookmarkEnd w:id="2205"/>
      <w:bookmarkEnd w:id="2206"/>
      <w:bookmarkEnd w:id="2207"/>
      <w:r w:rsidRPr="00D604EE">
        <w:t>2020</w:t>
      </w:r>
      <w:bookmarkEnd w:id="2208"/>
    </w:p>
    <w:tbl>
      <w:tblPr>
        <w:tblW w:w="8505" w:type="dxa"/>
        <w:tblInd w:w="108" w:type="dxa"/>
        <w:tblLayout w:type="fixed"/>
        <w:tblLook w:val="04A0" w:firstRow="1" w:lastRow="0" w:firstColumn="1" w:lastColumn="0" w:noHBand="0" w:noVBand="1"/>
      </w:tblPr>
      <w:tblGrid>
        <w:gridCol w:w="2933"/>
        <w:gridCol w:w="1036"/>
        <w:gridCol w:w="1134"/>
        <w:gridCol w:w="993"/>
        <w:gridCol w:w="992"/>
        <w:gridCol w:w="1417"/>
      </w:tblGrid>
      <w:tr w:rsidR="00784FA9" w:rsidRPr="00D604EE" w14:paraId="3D5B0842" w14:textId="77777777" w:rsidTr="00C97604">
        <w:tc>
          <w:tcPr>
            <w:tcW w:w="2933" w:type="dxa"/>
            <w:vMerge w:val="restart"/>
            <w:tcBorders>
              <w:top w:val="single" w:sz="4" w:space="0" w:color="1B556B"/>
            </w:tcBorders>
            <w:shd w:val="clear" w:color="auto" w:fill="1B556B"/>
            <w:vAlign w:val="bottom"/>
          </w:tcPr>
          <w:p w14:paraId="395001C7" w14:textId="77777777" w:rsidR="00784FA9" w:rsidRPr="00D604EE" w:rsidRDefault="00784FA9" w:rsidP="007E3239">
            <w:pPr>
              <w:pStyle w:val="TableTextBold"/>
              <w:keepNext/>
              <w:spacing w:before="40" w:after="40"/>
              <w:rPr>
                <w:noProof w:val="0"/>
                <w:color w:val="FFFFFF"/>
              </w:rPr>
            </w:pPr>
            <w:r w:rsidRPr="00D604EE">
              <w:rPr>
                <w:noProof w:val="0"/>
                <w:color w:val="FFFFFF"/>
              </w:rPr>
              <w:t>Land use category – Other land</w:t>
            </w:r>
          </w:p>
        </w:tc>
        <w:tc>
          <w:tcPr>
            <w:tcW w:w="1036" w:type="dxa"/>
            <w:vMerge w:val="restart"/>
            <w:tcBorders>
              <w:top w:val="single" w:sz="4" w:space="0" w:color="1B556B"/>
            </w:tcBorders>
            <w:shd w:val="clear" w:color="auto" w:fill="1B556B"/>
            <w:vAlign w:val="bottom"/>
          </w:tcPr>
          <w:p w14:paraId="4D6111D3" w14:textId="77777777" w:rsidR="00784FA9" w:rsidRPr="00D604EE" w:rsidRDefault="00784FA9" w:rsidP="007E3239">
            <w:pPr>
              <w:pStyle w:val="TableTextBold"/>
              <w:spacing w:before="40" w:after="40"/>
              <w:jc w:val="right"/>
              <w:rPr>
                <w:noProof w:val="0"/>
                <w:color w:val="FFFFFF"/>
              </w:rPr>
            </w:pPr>
            <w:r w:rsidRPr="00D604EE">
              <w:rPr>
                <w:noProof w:val="0"/>
                <w:color w:val="FFFFFF"/>
              </w:rPr>
              <w:t>Net area as at 1990 (ha)</w:t>
            </w:r>
          </w:p>
        </w:tc>
        <w:tc>
          <w:tcPr>
            <w:tcW w:w="1134" w:type="dxa"/>
            <w:vMerge w:val="restart"/>
            <w:tcBorders>
              <w:top w:val="single" w:sz="4" w:space="0" w:color="1B556B"/>
            </w:tcBorders>
            <w:shd w:val="clear" w:color="auto" w:fill="1B556B"/>
            <w:vAlign w:val="bottom"/>
          </w:tcPr>
          <w:p w14:paraId="1FF5A006" w14:textId="77777777" w:rsidR="00784FA9" w:rsidRPr="00D604EE" w:rsidRDefault="00784FA9" w:rsidP="007E3239">
            <w:pPr>
              <w:pStyle w:val="TableTextBold"/>
              <w:spacing w:before="40" w:after="40"/>
              <w:jc w:val="right"/>
              <w:rPr>
                <w:noProof w:val="0"/>
                <w:color w:val="FFFFFF"/>
              </w:rPr>
            </w:pPr>
            <w:r w:rsidRPr="00D604EE">
              <w:rPr>
                <w:noProof w:val="0"/>
                <w:color w:val="FFFFFF"/>
              </w:rPr>
              <w:t>Net area as at 2020 (ha)</w:t>
            </w:r>
          </w:p>
        </w:tc>
        <w:tc>
          <w:tcPr>
            <w:tcW w:w="1985" w:type="dxa"/>
            <w:gridSpan w:val="2"/>
            <w:tcBorders>
              <w:top w:val="single" w:sz="4" w:space="0" w:color="1B556B"/>
            </w:tcBorders>
            <w:shd w:val="clear" w:color="auto" w:fill="1B556B"/>
            <w:vAlign w:val="bottom"/>
          </w:tcPr>
          <w:p w14:paraId="2D08CDE3" w14:textId="77777777" w:rsidR="00784FA9" w:rsidRPr="00D604EE" w:rsidRDefault="00784FA9" w:rsidP="00C97604">
            <w:pPr>
              <w:pStyle w:val="TableTextBold"/>
              <w:spacing w:before="40" w:after="40"/>
              <w:jc w:val="center"/>
              <w:rPr>
                <w:noProof w:val="0"/>
                <w:color w:val="FFFFFF"/>
              </w:rPr>
            </w:pPr>
            <w:r w:rsidRPr="00D604EE">
              <w:rPr>
                <w:noProof w:val="0"/>
                <w:color w:val="FFFFFF"/>
              </w:rPr>
              <w:t>Net emissions (kt CO</w:t>
            </w:r>
            <w:r w:rsidRPr="00D604EE">
              <w:rPr>
                <w:noProof w:val="0"/>
                <w:color w:val="FFFFFF"/>
                <w:vertAlign w:val="subscript"/>
              </w:rPr>
              <w:t>2</w:t>
            </w:r>
            <w:r w:rsidRPr="00D604EE">
              <w:rPr>
                <w:noProof w:val="0"/>
                <w:color w:val="FFFFFF"/>
              </w:rPr>
              <w:t>-e)</w:t>
            </w:r>
          </w:p>
        </w:tc>
        <w:tc>
          <w:tcPr>
            <w:tcW w:w="1417" w:type="dxa"/>
            <w:vMerge w:val="restart"/>
            <w:tcBorders>
              <w:top w:val="single" w:sz="4" w:space="0" w:color="1B556B"/>
            </w:tcBorders>
            <w:shd w:val="clear" w:color="auto" w:fill="1B556B"/>
            <w:vAlign w:val="bottom"/>
          </w:tcPr>
          <w:p w14:paraId="45CF50C9" w14:textId="77777777" w:rsidR="00784FA9" w:rsidRPr="00D604EE" w:rsidRDefault="00784FA9" w:rsidP="007E3239">
            <w:pPr>
              <w:pStyle w:val="TableTextBold"/>
              <w:spacing w:before="40" w:after="40"/>
              <w:jc w:val="right"/>
              <w:rPr>
                <w:noProof w:val="0"/>
                <w:color w:val="FFFFFF"/>
              </w:rPr>
            </w:pPr>
            <w:r w:rsidRPr="00D604EE">
              <w:rPr>
                <w:noProof w:val="0"/>
                <w:color w:val="FFFFFF"/>
              </w:rPr>
              <w:t>Change from 1990 (%)</w:t>
            </w:r>
          </w:p>
        </w:tc>
      </w:tr>
      <w:tr w:rsidR="00784FA9" w:rsidRPr="00D604EE" w14:paraId="4BA66411" w14:textId="77777777" w:rsidTr="00C97604">
        <w:tc>
          <w:tcPr>
            <w:tcW w:w="2933" w:type="dxa"/>
            <w:vMerge/>
            <w:tcBorders>
              <w:bottom w:val="single" w:sz="4" w:space="0" w:color="1B556B"/>
            </w:tcBorders>
            <w:shd w:val="clear" w:color="auto" w:fill="1B556B"/>
          </w:tcPr>
          <w:p w14:paraId="6858B2A0" w14:textId="77777777" w:rsidR="00784FA9" w:rsidRPr="00D604EE" w:rsidRDefault="00784FA9" w:rsidP="007E3239">
            <w:pPr>
              <w:keepNext/>
              <w:spacing w:before="40" w:after="40"/>
              <w:rPr>
                <w:rFonts w:ascii="Arial Bold" w:hAnsi="Arial Bold"/>
              </w:rPr>
            </w:pPr>
          </w:p>
        </w:tc>
        <w:tc>
          <w:tcPr>
            <w:tcW w:w="1036" w:type="dxa"/>
            <w:vMerge/>
            <w:tcBorders>
              <w:bottom w:val="single" w:sz="4" w:space="0" w:color="1B556B"/>
            </w:tcBorders>
            <w:shd w:val="clear" w:color="auto" w:fill="1B556B"/>
          </w:tcPr>
          <w:p w14:paraId="2DC99E7C" w14:textId="77777777" w:rsidR="00784FA9" w:rsidRPr="00D604EE" w:rsidRDefault="00784FA9" w:rsidP="007E3239">
            <w:pPr>
              <w:spacing w:before="40" w:after="40"/>
              <w:jc w:val="center"/>
              <w:rPr>
                <w:rFonts w:ascii="Arial Bold" w:hAnsi="Arial Bold"/>
                <w:b/>
              </w:rPr>
            </w:pPr>
          </w:p>
        </w:tc>
        <w:tc>
          <w:tcPr>
            <w:tcW w:w="1134" w:type="dxa"/>
            <w:vMerge/>
            <w:tcBorders>
              <w:bottom w:val="single" w:sz="4" w:space="0" w:color="1B556B"/>
            </w:tcBorders>
            <w:shd w:val="clear" w:color="auto" w:fill="1B556B"/>
          </w:tcPr>
          <w:p w14:paraId="2AD1C647" w14:textId="77777777" w:rsidR="00784FA9" w:rsidRPr="00D604EE" w:rsidRDefault="00784FA9" w:rsidP="007E3239">
            <w:pPr>
              <w:spacing w:before="40" w:after="40"/>
              <w:jc w:val="center"/>
              <w:rPr>
                <w:rFonts w:ascii="Arial Bold" w:hAnsi="Arial Bold"/>
                <w:b/>
              </w:rPr>
            </w:pPr>
          </w:p>
        </w:tc>
        <w:tc>
          <w:tcPr>
            <w:tcW w:w="993" w:type="dxa"/>
            <w:tcBorders>
              <w:bottom w:val="single" w:sz="4" w:space="0" w:color="1B556B"/>
            </w:tcBorders>
            <w:shd w:val="clear" w:color="auto" w:fill="1B556B"/>
          </w:tcPr>
          <w:p w14:paraId="4CB0535B" w14:textId="77777777" w:rsidR="00784FA9" w:rsidRPr="00D604EE" w:rsidRDefault="00784FA9" w:rsidP="005A227F">
            <w:pPr>
              <w:pStyle w:val="TableTextBold"/>
              <w:spacing w:before="40" w:after="40"/>
              <w:jc w:val="center"/>
              <w:rPr>
                <w:noProof w:val="0"/>
                <w:color w:val="FFFFFF"/>
              </w:rPr>
            </w:pPr>
            <w:r w:rsidRPr="00D604EE">
              <w:rPr>
                <w:noProof w:val="0"/>
                <w:color w:val="FFFFFF"/>
              </w:rPr>
              <w:t>1990</w:t>
            </w:r>
          </w:p>
        </w:tc>
        <w:tc>
          <w:tcPr>
            <w:tcW w:w="992" w:type="dxa"/>
            <w:tcBorders>
              <w:bottom w:val="single" w:sz="4" w:space="0" w:color="1B556B"/>
            </w:tcBorders>
            <w:shd w:val="clear" w:color="auto" w:fill="1B556B"/>
          </w:tcPr>
          <w:p w14:paraId="237AA16D" w14:textId="77777777" w:rsidR="00784FA9" w:rsidRPr="00D604EE" w:rsidRDefault="00784FA9" w:rsidP="005A227F">
            <w:pPr>
              <w:pStyle w:val="TableTextBold"/>
              <w:spacing w:before="40" w:after="40"/>
              <w:jc w:val="center"/>
              <w:rPr>
                <w:noProof w:val="0"/>
                <w:color w:val="FFFFFF"/>
              </w:rPr>
            </w:pPr>
            <w:r w:rsidRPr="00D604EE">
              <w:rPr>
                <w:noProof w:val="0"/>
                <w:color w:val="FFFFFF"/>
              </w:rPr>
              <w:t>2020</w:t>
            </w:r>
          </w:p>
        </w:tc>
        <w:tc>
          <w:tcPr>
            <w:tcW w:w="1417" w:type="dxa"/>
            <w:vMerge/>
            <w:tcBorders>
              <w:bottom w:val="single" w:sz="4" w:space="0" w:color="1B556B"/>
            </w:tcBorders>
            <w:shd w:val="clear" w:color="auto" w:fill="1B556B"/>
          </w:tcPr>
          <w:p w14:paraId="328FA47F" w14:textId="77777777" w:rsidR="00784FA9" w:rsidRPr="00D604EE" w:rsidRDefault="00784FA9" w:rsidP="007E3239">
            <w:pPr>
              <w:spacing w:before="40" w:after="40"/>
              <w:jc w:val="center"/>
              <w:rPr>
                <w:rFonts w:ascii="Arial Bold" w:hAnsi="Arial Bold"/>
                <w:b/>
              </w:rPr>
            </w:pPr>
          </w:p>
        </w:tc>
      </w:tr>
      <w:tr w:rsidR="00784FA9" w:rsidRPr="00D604EE" w14:paraId="605D904A" w14:textId="77777777" w:rsidTr="00C97604">
        <w:tc>
          <w:tcPr>
            <w:tcW w:w="2933" w:type="dxa"/>
            <w:tcBorders>
              <w:top w:val="single" w:sz="4" w:space="0" w:color="1B556B"/>
              <w:bottom w:val="single" w:sz="4" w:space="0" w:color="1B556B"/>
            </w:tcBorders>
          </w:tcPr>
          <w:p w14:paraId="4959C867" w14:textId="77777777" w:rsidR="00784FA9" w:rsidRPr="00D604EE" w:rsidRDefault="00784FA9" w:rsidP="007E3239">
            <w:pPr>
              <w:pStyle w:val="TableText"/>
              <w:spacing w:before="40" w:after="40"/>
            </w:pPr>
            <w:r w:rsidRPr="00D604EE">
              <w:t>Other land remaining other land</w:t>
            </w:r>
          </w:p>
        </w:tc>
        <w:tc>
          <w:tcPr>
            <w:tcW w:w="1036" w:type="dxa"/>
            <w:tcBorders>
              <w:top w:val="single" w:sz="4" w:space="0" w:color="1B556B"/>
              <w:bottom w:val="single" w:sz="4" w:space="0" w:color="1B556B"/>
            </w:tcBorders>
          </w:tcPr>
          <w:p w14:paraId="1469E44C" w14:textId="77777777" w:rsidR="00784FA9" w:rsidRPr="00D604EE" w:rsidRDefault="00784FA9" w:rsidP="007E3239">
            <w:pPr>
              <w:pStyle w:val="TableText"/>
              <w:spacing w:before="40" w:after="40"/>
              <w:jc w:val="right"/>
            </w:pPr>
            <w:r w:rsidRPr="00D604EE">
              <w:t>895,805</w:t>
            </w:r>
          </w:p>
        </w:tc>
        <w:tc>
          <w:tcPr>
            <w:tcW w:w="1134" w:type="dxa"/>
            <w:tcBorders>
              <w:top w:val="single" w:sz="4" w:space="0" w:color="1B556B"/>
              <w:bottom w:val="single" w:sz="4" w:space="0" w:color="1B556B"/>
            </w:tcBorders>
          </w:tcPr>
          <w:p w14:paraId="3D67F906" w14:textId="77777777" w:rsidR="00784FA9" w:rsidRPr="00D604EE" w:rsidRDefault="00784FA9" w:rsidP="007E3239">
            <w:pPr>
              <w:pStyle w:val="TableText"/>
              <w:spacing w:before="40" w:after="40"/>
              <w:jc w:val="right"/>
            </w:pPr>
            <w:r w:rsidRPr="00D604EE">
              <w:t>890,303</w:t>
            </w:r>
          </w:p>
        </w:tc>
        <w:tc>
          <w:tcPr>
            <w:tcW w:w="993" w:type="dxa"/>
            <w:tcBorders>
              <w:top w:val="single" w:sz="4" w:space="0" w:color="1B556B"/>
              <w:bottom w:val="single" w:sz="4" w:space="0" w:color="1B556B"/>
            </w:tcBorders>
          </w:tcPr>
          <w:p w14:paraId="58C9249C" w14:textId="19531BFA" w:rsidR="00784FA9" w:rsidRPr="00D604EE" w:rsidRDefault="00784FA9" w:rsidP="005A227F">
            <w:pPr>
              <w:pStyle w:val="TableText"/>
              <w:spacing w:before="40" w:after="40"/>
              <w:jc w:val="center"/>
            </w:pPr>
            <w:r w:rsidRPr="00D604EE">
              <w:t>0.1</w:t>
            </w:r>
          </w:p>
        </w:tc>
        <w:tc>
          <w:tcPr>
            <w:tcW w:w="992" w:type="dxa"/>
            <w:tcBorders>
              <w:top w:val="single" w:sz="4" w:space="0" w:color="1B556B"/>
              <w:bottom w:val="single" w:sz="4" w:space="0" w:color="1B556B"/>
            </w:tcBorders>
          </w:tcPr>
          <w:p w14:paraId="378E4ED0" w14:textId="53E18612" w:rsidR="00784FA9" w:rsidRPr="00D604EE" w:rsidRDefault="00784FA9" w:rsidP="005A227F">
            <w:pPr>
              <w:pStyle w:val="TableText"/>
              <w:spacing w:before="40" w:after="40"/>
              <w:jc w:val="center"/>
              <w:rPr>
                <w:rFonts w:cs="Arial Bold"/>
                <w:szCs w:val="16"/>
              </w:rPr>
            </w:pPr>
            <w:r w:rsidRPr="00D604EE">
              <w:t>4.1</w:t>
            </w:r>
          </w:p>
        </w:tc>
        <w:tc>
          <w:tcPr>
            <w:tcW w:w="1417" w:type="dxa"/>
            <w:tcBorders>
              <w:top w:val="single" w:sz="4" w:space="0" w:color="1B556B"/>
              <w:bottom w:val="single" w:sz="4" w:space="0" w:color="1B556B"/>
            </w:tcBorders>
          </w:tcPr>
          <w:p w14:paraId="697248BE" w14:textId="77777777" w:rsidR="00784FA9" w:rsidRPr="00D604EE" w:rsidRDefault="00784FA9" w:rsidP="007E3239">
            <w:pPr>
              <w:pStyle w:val="TableText"/>
              <w:spacing w:before="40" w:after="40"/>
              <w:jc w:val="right"/>
            </w:pPr>
            <w:r w:rsidRPr="00D604EE">
              <w:t>3,821.8</w:t>
            </w:r>
          </w:p>
        </w:tc>
      </w:tr>
      <w:tr w:rsidR="00784FA9" w:rsidRPr="00D604EE" w14:paraId="03C94BBC" w14:textId="77777777" w:rsidTr="00C97604">
        <w:tc>
          <w:tcPr>
            <w:tcW w:w="2933" w:type="dxa"/>
            <w:tcBorders>
              <w:top w:val="single" w:sz="4" w:space="0" w:color="1B556B"/>
              <w:bottom w:val="single" w:sz="4" w:space="0" w:color="1B556B"/>
            </w:tcBorders>
          </w:tcPr>
          <w:p w14:paraId="00755CF9" w14:textId="77777777" w:rsidR="00784FA9" w:rsidRPr="00D604EE" w:rsidRDefault="00784FA9" w:rsidP="007E3239">
            <w:pPr>
              <w:pStyle w:val="TableText"/>
              <w:spacing w:before="40" w:after="40"/>
            </w:pPr>
            <w:r w:rsidRPr="00D604EE">
              <w:t>Land converted to other land</w:t>
            </w:r>
          </w:p>
        </w:tc>
        <w:tc>
          <w:tcPr>
            <w:tcW w:w="1036" w:type="dxa"/>
            <w:tcBorders>
              <w:top w:val="single" w:sz="4" w:space="0" w:color="1B556B"/>
              <w:bottom w:val="single" w:sz="4" w:space="0" w:color="1B556B"/>
            </w:tcBorders>
          </w:tcPr>
          <w:p w14:paraId="317C7A20" w14:textId="77777777" w:rsidR="00784FA9" w:rsidRPr="00D604EE" w:rsidRDefault="00784FA9" w:rsidP="007E3239">
            <w:pPr>
              <w:pStyle w:val="TableText"/>
              <w:spacing w:before="40" w:after="40"/>
              <w:jc w:val="right"/>
            </w:pPr>
            <w:r w:rsidRPr="00D604EE">
              <w:t>0</w:t>
            </w:r>
          </w:p>
        </w:tc>
        <w:tc>
          <w:tcPr>
            <w:tcW w:w="1134" w:type="dxa"/>
            <w:tcBorders>
              <w:top w:val="single" w:sz="4" w:space="0" w:color="1B556B"/>
              <w:bottom w:val="single" w:sz="4" w:space="0" w:color="1B556B"/>
            </w:tcBorders>
          </w:tcPr>
          <w:p w14:paraId="0F65E3EA" w14:textId="77777777" w:rsidR="00784FA9" w:rsidRPr="00D604EE" w:rsidRDefault="00784FA9" w:rsidP="007E3239">
            <w:pPr>
              <w:pStyle w:val="TableText"/>
              <w:spacing w:before="40" w:after="40"/>
              <w:jc w:val="right"/>
            </w:pPr>
            <w:r w:rsidRPr="00D604EE">
              <w:t>6,368</w:t>
            </w:r>
          </w:p>
        </w:tc>
        <w:tc>
          <w:tcPr>
            <w:tcW w:w="993" w:type="dxa"/>
            <w:tcBorders>
              <w:top w:val="single" w:sz="4" w:space="0" w:color="1B556B"/>
              <w:bottom w:val="single" w:sz="4" w:space="0" w:color="1B556B"/>
            </w:tcBorders>
          </w:tcPr>
          <w:p w14:paraId="52E52F28" w14:textId="0DE136EF" w:rsidR="00784FA9" w:rsidRPr="00D604EE" w:rsidRDefault="00784FA9" w:rsidP="005A227F">
            <w:pPr>
              <w:pStyle w:val="TableText"/>
              <w:spacing w:before="40" w:after="40"/>
              <w:jc w:val="center"/>
            </w:pPr>
            <w:r w:rsidRPr="00D604EE">
              <w:t>13.5</w:t>
            </w:r>
          </w:p>
        </w:tc>
        <w:tc>
          <w:tcPr>
            <w:tcW w:w="992" w:type="dxa"/>
            <w:tcBorders>
              <w:top w:val="single" w:sz="4" w:space="0" w:color="1B556B"/>
              <w:bottom w:val="single" w:sz="4" w:space="0" w:color="1B556B"/>
            </w:tcBorders>
          </w:tcPr>
          <w:p w14:paraId="3D4EFAFE" w14:textId="140532DD" w:rsidR="00784FA9" w:rsidRPr="00D604EE" w:rsidRDefault="00784FA9" w:rsidP="005A227F">
            <w:pPr>
              <w:pStyle w:val="TableText"/>
              <w:spacing w:before="40" w:after="40"/>
              <w:jc w:val="center"/>
            </w:pPr>
            <w:r w:rsidRPr="00D604EE">
              <w:t>114.3</w:t>
            </w:r>
          </w:p>
        </w:tc>
        <w:tc>
          <w:tcPr>
            <w:tcW w:w="1417" w:type="dxa"/>
            <w:tcBorders>
              <w:top w:val="single" w:sz="4" w:space="0" w:color="1B556B"/>
              <w:bottom w:val="single" w:sz="4" w:space="0" w:color="1B556B"/>
            </w:tcBorders>
          </w:tcPr>
          <w:p w14:paraId="19FFC22F" w14:textId="77777777" w:rsidR="00784FA9" w:rsidRPr="00D604EE" w:rsidRDefault="00784FA9" w:rsidP="007E3239">
            <w:pPr>
              <w:pStyle w:val="TableText"/>
              <w:spacing w:before="40" w:after="40"/>
              <w:jc w:val="right"/>
            </w:pPr>
            <w:r w:rsidRPr="00D604EE">
              <w:t>746.7</w:t>
            </w:r>
          </w:p>
        </w:tc>
      </w:tr>
      <w:tr w:rsidR="00784FA9" w:rsidRPr="00D604EE" w14:paraId="2D12404A" w14:textId="77777777" w:rsidTr="00C97604">
        <w:tc>
          <w:tcPr>
            <w:tcW w:w="2933" w:type="dxa"/>
            <w:tcBorders>
              <w:top w:val="single" w:sz="4" w:space="0" w:color="1B556B"/>
              <w:bottom w:val="single" w:sz="4" w:space="0" w:color="1B556B"/>
            </w:tcBorders>
          </w:tcPr>
          <w:p w14:paraId="5C6B29C9" w14:textId="77777777" w:rsidR="00784FA9" w:rsidRPr="00D604EE" w:rsidRDefault="00784FA9" w:rsidP="007E3239">
            <w:pPr>
              <w:pStyle w:val="Tableboldblue"/>
              <w:spacing w:before="40" w:after="40"/>
              <w:jc w:val="right"/>
            </w:pPr>
            <w:r w:rsidRPr="00D604EE">
              <w:t>Total</w:t>
            </w:r>
          </w:p>
        </w:tc>
        <w:tc>
          <w:tcPr>
            <w:tcW w:w="1036" w:type="dxa"/>
            <w:tcBorders>
              <w:top w:val="single" w:sz="4" w:space="0" w:color="1B556B"/>
              <w:bottom w:val="single" w:sz="4" w:space="0" w:color="1B556B"/>
            </w:tcBorders>
          </w:tcPr>
          <w:p w14:paraId="162EF098" w14:textId="77777777" w:rsidR="00784FA9" w:rsidRPr="00D604EE" w:rsidRDefault="00784FA9" w:rsidP="007E3239">
            <w:pPr>
              <w:pStyle w:val="Tableboldblue"/>
              <w:spacing w:before="40" w:after="40"/>
              <w:jc w:val="right"/>
            </w:pPr>
            <w:r w:rsidRPr="00D604EE">
              <w:t>895,805</w:t>
            </w:r>
          </w:p>
        </w:tc>
        <w:tc>
          <w:tcPr>
            <w:tcW w:w="1134" w:type="dxa"/>
            <w:tcBorders>
              <w:top w:val="single" w:sz="4" w:space="0" w:color="1B556B"/>
              <w:bottom w:val="single" w:sz="4" w:space="0" w:color="1B556B"/>
            </w:tcBorders>
          </w:tcPr>
          <w:p w14:paraId="21D0B244" w14:textId="77777777" w:rsidR="00784FA9" w:rsidRPr="00D604EE" w:rsidRDefault="00784FA9" w:rsidP="007E3239">
            <w:pPr>
              <w:pStyle w:val="Tableboldblue"/>
              <w:spacing w:before="40" w:after="40"/>
              <w:jc w:val="right"/>
            </w:pPr>
            <w:r w:rsidRPr="00D604EE">
              <w:t>896,671</w:t>
            </w:r>
          </w:p>
        </w:tc>
        <w:tc>
          <w:tcPr>
            <w:tcW w:w="993" w:type="dxa"/>
            <w:tcBorders>
              <w:top w:val="single" w:sz="4" w:space="0" w:color="1B556B"/>
              <w:bottom w:val="single" w:sz="4" w:space="0" w:color="1B556B"/>
            </w:tcBorders>
          </w:tcPr>
          <w:p w14:paraId="5E539346" w14:textId="267CF911" w:rsidR="00784FA9" w:rsidRPr="00D604EE" w:rsidRDefault="00784FA9" w:rsidP="005A227F">
            <w:pPr>
              <w:pStyle w:val="Tableboldblue"/>
              <w:spacing w:before="40" w:after="40"/>
              <w:jc w:val="center"/>
            </w:pPr>
            <w:r w:rsidRPr="00D604EE">
              <w:t>13.6</w:t>
            </w:r>
          </w:p>
        </w:tc>
        <w:tc>
          <w:tcPr>
            <w:tcW w:w="992" w:type="dxa"/>
            <w:tcBorders>
              <w:top w:val="single" w:sz="4" w:space="0" w:color="1B556B"/>
              <w:bottom w:val="single" w:sz="4" w:space="0" w:color="1B556B"/>
            </w:tcBorders>
          </w:tcPr>
          <w:p w14:paraId="4745C397" w14:textId="236BBE2B" w:rsidR="00784FA9" w:rsidRPr="00D604EE" w:rsidRDefault="00784FA9" w:rsidP="005A227F">
            <w:pPr>
              <w:pStyle w:val="Tableboldblue"/>
              <w:spacing w:before="40" w:after="40"/>
              <w:jc w:val="center"/>
            </w:pPr>
            <w:r w:rsidRPr="00D604EE">
              <w:t>118.4</w:t>
            </w:r>
          </w:p>
        </w:tc>
        <w:tc>
          <w:tcPr>
            <w:tcW w:w="1417" w:type="dxa"/>
            <w:tcBorders>
              <w:top w:val="single" w:sz="4" w:space="0" w:color="1B556B"/>
              <w:bottom w:val="single" w:sz="4" w:space="0" w:color="1B556B"/>
            </w:tcBorders>
          </w:tcPr>
          <w:p w14:paraId="5A6D458E" w14:textId="77777777" w:rsidR="00784FA9" w:rsidRPr="00D604EE" w:rsidRDefault="00784FA9" w:rsidP="007E3239">
            <w:pPr>
              <w:pStyle w:val="Tableboldblue"/>
              <w:spacing w:before="40" w:after="40"/>
              <w:jc w:val="right"/>
            </w:pPr>
            <w:r w:rsidRPr="00D604EE">
              <w:t>770.3</w:t>
            </w:r>
          </w:p>
        </w:tc>
      </w:tr>
    </w:tbl>
    <w:p w14:paraId="30391958" w14:textId="77777777" w:rsidR="00784FA9" w:rsidRPr="00D604EE" w:rsidRDefault="00784FA9" w:rsidP="00784FA9">
      <w:pPr>
        <w:pStyle w:val="Noteundertable"/>
        <w:spacing w:before="80" w:after="80"/>
      </w:pPr>
      <w:r w:rsidRPr="00D604EE">
        <w:rPr>
          <w:b/>
        </w:rPr>
        <w:t>Note:</w:t>
      </w:r>
      <w:r w:rsidRPr="00D604EE">
        <w:tab/>
        <w:t xml:space="preserve">Net area at 1990 is as of 1 January 1990; net area at 2020 is as of 31 December. </w:t>
      </w:r>
      <w:r w:rsidRPr="00D604EE">
        <w:rPr>
          <w:i/>
        </w:rPr>
        <w:t>Land converted to other land</w:t>
      </w:r>
      <w:r w:rsidRPr="00D604EE">
        <w:t xml:space="preserve"> includes land converted up to 20 years earlier. The net emission values for </w:t>
      </w:r>
      <w:r w:rsidRPr="00D604EE">
        <w:rPr>
          <w:i/>
        </w:rPr>
        <w:t>Other land remaining other land</w:t>
      </w:r>
      <w:r w:rsidRPr="00D604EE">
        <w:t xml:space="preserve"> are due to N</w:t>
      </w:r>
      <w:r w:rsidRPr="00D604EE">
        <w:rPr>
          <w:vertAlign w:val="subscript"/>
        </w:rPr>
        <w:t>2</w:t>
      </w:r>
      <w:r w:rsidRPr="00D604EE">
        <w:t>O emissions from N mineralisation as a result of land-use change. Columns may not total due to rounding.</w:t>
      </w:r>
    </w:p>
    <w:p w14:paraId="198E233B" w14:textId="77777777" w:rsidR="00784FA9" w:rsidRPr="00D604EE" w:rsidRDefault="00784FA9" w:rsidP="00784FA9">
      <w:pPr>
        <w:pStyle w:val="Heading3"/>
      </w:pPr>
      <w:r w:rsidRPr="00D604EE">
        <w:t>6.8.2</w:t>
      </w:r>
      <w:r w:rsidRPr="00D604EE">
        <w:tab/>
        <w:t>Methodological issues</w:t>
      </w:r>
    </w:p>
    <w:p w14:paraId="7CEA553D" w14:textId="77777777" w:rsidR="00784FA9" w:rsidRPr="00D604EE" w:rsidRDefault="00784FA9" w:rsidP="00784FA9">
      <w:pPr>
        <w:pStyle w:val="Heading4"/>
      </w:pPr>
      <w:r w:rsidRPr="00D604EE">
        <w:t>Other land remaining other land (CRF 4.F.1)</w:t>
      </w:r>
    </w:p>
    <w:p w14:paraId="44D4F7F3" w14:textId="77777777" w:rsidR="00784FA9" w:rsidRPr="00D604EE" w:rsidRDefault="00784FA9" w:rsidP="00784FA9">
      <w:pPr>
        <w:pStyle w:val="BodyText"/>
      </w:pPr>
      <w:r w:rsidRPr="00D604EE">
        <w:t xml:space="preserve">A summary of the New Zealand emission factors and other parameters used to estimate greenhouse gas emissions for </w:t>
      </w:r>
      <w:r w:rsidRPr="00D604EE">
        <w:rPr>
          <w:i/>
        </w:rPr>
        <w:t>Other land</w:t>
      </w:r>
      <w:r w:rsidRPr="00D604EE">
        <w:t xml:space="preserve"> is provided in table 6.8.2.</w:t>
      </w:r>
    </w:p>
    <w:p w14:paraId="3939099B" w14:textId="77777777" w:rsidR="00784FA9" w:rsidRPr="00D604EE" w:rsidRDefault="00784FA9" w:rsidP="00784FA9">
      <w:pPr>
        <w:pStyle w:val="Table"/>
      </w:pPr>
      <w:bookmarkStart w:id="2209" w:name="_Toc342470794"/>
      <w:bookmarkStart w:id="2210" w:name="_Toc352505034"/>
      <w:bookmarkStart w:id="2211" w:name="_Toc378853323"/>
      <w:bookmarkStart w:id="2212" w:name="_Toc391024121"/>
      <w:bookmarkStart w:id="2213" w:name="_Toc410028863"/>
      <w:bookmarkStart w:id="2214" w:name="_Toc414531491"/>
      <w:bookmarkStart w:id="2215" w:name="_Toc443645404"/>
      <w:bookmarkStart w:id="2216" w:name="_Toc474914623"/>
      <w:bookmarkStart w:id="2217" w:name="_Toc481751587"/>
      <w:bookmarkStart w:id="2218" w:name="_Toc522010644"/>
      <w:bookmarkStart w:id="2219" w:name="_Toc5269549"/>
      <w:bookmarkStart w:id="2220" w:name="_Toc33529423"/>
      <w:bookmarkStart w:id="2221" w:name="_Toc36224629"/>
      <w:bookmarkStart w:id="2222" w:name="_Toc99659311"/>
      <w:r w:rsidRPr="00D604EE">
        <w:t>Table 6.8.2</w:t>
      </w:r>
      <w:r w:rsidRPr="00D604EE">
        <w:tab/>
        <w:t>Summary of New Zealand emission factors for the land use category</w:t>
      </w:r>
      <w:bookmarkEnd w:id="2209"/>
      <w:bookmarkEnd w:id="2210"/>
      <w:bookmarkEnd w:id="2211"/>
      <w:r w:rsidRPr="00D604EE">
        <w:t xml:space="preserve"> </w:t>
      </w:r>
      <w:r w:rsidRPr="00D604EE">
        <w:rPr>
          <w:i/>
        </w:rPr>
        <w:t>Other land</w:t>
      </w:r>
      <w:bookmarkEnd w:id="2212"/>
      <w:bookmarkEnd w:id="2213"/>
      <w:bookmarkEnd w:id="2214"/>
      <w:bookmarkEnd w:id="2215"/>
      <w:bookmarkEnd w:id="2216"/>
      <w:bookmarkEnd w:id="2217"/>
      <w:bookmarkEnd w:id="2218"/>
      <w:bookmarkEnd w:id="2219"/>
      <w:bookmarkEnd w:id="2220"/>
      <w:bookmarkEnd w:id="2221"/>
      <w:bookmarkEnd w:id="2222"/>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1445"/>
        <w:gridCol w:w="1143"/>
        <w:gridCol w:w="1141"/>
        <w:gridCol w:w="2531"/>
        <w:gridCol w:w="2245"/>
      </w:tblGrid>
      <w:tr w:rsidR="00784FA9" w:rsidRPr="00D604EE" w14:paraId="539E47AB" w14:textId="77777777" w:rsidTr="00330D83">
        <w:tc>
          <w:tcPr>
            <w:tcW w:w="1501" w:type="dxa"/>
            <w:shd w:val="clear" w:color="auto" w:fill="1B556B"/>
          </w:tcPr>
          <w:p w14:paraId="5C326177" w14:textId="77777777" w:rsidR="00784FA9" w:rsidRPr="00D604EE" w:rsidRDefault="00784FA9" w:rsidP="00330D83">
            <w:pPr>
              <w:pStyle w:val="TableTextBold"/>
              <w:keepNext/>
              <w:rPr>
                <w:noProof w:val="0"/>
                <w:color w:val="FFFFFF"/>
              </w:rPr>
            </w:pPr>
            <w:r w:rsidRPr="00D604EE">
              <w:rPr>
                <w:noProof w:val="0"/>
                <w:color w:val="FFFFFF"/>
              </w:rPr>
              <w:t xml:space="preserve">Other land </w:t>
            </w:r>
            <w:r w:rsidRPr="00D604EE">
              <w:rPr>
                <w:noProof w:val="0"/>
                <w:color w:val="FFFFFF"/>
              </w:rPr>
              <w:br/>
              <w:t>greenhouse gas source category</w:t>
            </w:r>
          </w:p>
        </w:tc>
        <w:tc>
          <w:tcPr>
            <w:tcW w:w="1200" w:type="dxa"/>
            <w:shd w:val="clear" w:color="auto" w:fill="1B556B"/>
            <w:vAlign w:val="bottom"/>
          </w:tcPr>
          <w:p w14:paraId="13D1EA20" w14:textId="77777777" w:rsidR="00784FA9" w:rsidRPr="00D604EE" w:rsidRDefault="00784FA9" w:rsidP="007E3239">
            <w:pPr>
              <w:pStyle w:val="TableTextBold"/>
              <w:keepNext/>
              <w:rPr>
                <w:noProof w:val="0"/>
                <w:color w:val="FFFFFF"/>
              </w:rPr>
            </w:pPr>
            <w:r w:rsidRPr="00D604EE">
              <w:rPr>
                <w:noProof w:val="0"/>
                <w:color w:val="FFFFFF"/>
              </w:rPr>
              <w:t xml:space="preserve">Steady state carbon stock </w:t>
            </w:r>
            <w:r w:rsidRPr="00D604EE">
              <w:rPr>
                <w:noProof w:val="0"/>
                <w:color w:val="FFFFFF"/>
              </w:rPr>
              <w:br/>
              <w:t>(t C ha</w:t>
            </w:r>
            <w:r w:rsidRPr="00D604EE">
              <w:rPr>
                <w:noProof w:val="0"/>
                <w:color w:val="FFFFFF"/>
                <w:vertAlign w:val="superscript"/>
              </w:rPr>
              <w:t>–1</w:t>
            </w:r>
            <w:r w:rsidRPr="00D604EE">
              <w:rPr>
                <w:noProof w:val="0"/>
                <w:color w:val="FFFFFF"/>
              </w:rPr>
              <w:t>)</w:t>
            </w:r>
          </w:p>
        </w:tc>
        <w:tc>
          <w:tcPr>
            <w:tcW w:w="1200" w:type="dxa"/>
            <w:shd w:val="clear" w:color="auto" w:fill="1B556B"/>
            <w:vAlign w:val="bottom"/>
          </w:tcPr>
          <w:p w14:paraId="770F8392" w14:textId="77777777" w:rsidR="00784FA9" w:rsidRPr="00D604EE" w:rsidRDefault="00784FA9" w:rsidP="007E3239">
            <w:pPr>
              <w:pStyle w:val="TableTextBold"/>
              <w:keepNext/>
              <w:rPr>
                <w:noProof w:val="0"/>
                <w:color w:val="FFFFFF"/>
              </w:rPr>
            </w:pPr>
            <w:r w:rsidRPr="00D604EE">
              <w:rPr>
                <w:noProof w:val="0"/>
                <w:color w:val="FFFFFF"/>
              </w:rPr>
              <w:t>Years to reach steady state</w:t>
            </w:r>
          </w:p>
        </w:tc>
        <w:tc>
          <w:tcPr>
            <w:tcW w:w="2701" w:type="dxa"/>
            <w:shd w:val="clear" w:color="auto" w:fill="1B556B"/>
            <w:vAlign w:val="bottom"/>
          </w:tcPr>
          <w:p w14:paraId="29376FDA" w14:textId="77777777" w:rsidR="00784FA9" w:rsidRPr="00D604EE" w:rsidRDefault="00784FA9" w:rsidP="007E3239">
            <w:pPr>
              <w:pStyle w:val="TableTextBold"/>
              <w:keepNext/>
              <w:rPr>
                <w:noProof w:val="0"/>
                <w:color w:val="FFFFFF"/>
              </w:rPr>
            </w:pPr>
            <w:r w:rsidRPr="00D604EE">
              <w:rPr>
                <w:noProof w:val="0"/>
                <w:color w:val="FFFFFF"/>
              </w:rPr>
              <w:t xml:space="preserve">Carbon stock change on conversion to Other land </w:t>
            </w:r>
            <w:r w:rsidRPr="00D604EE">
              <w:rPr>
                <w:noProof w:val="0"/>
                <w:color w:val="FFFFFF"/>
              </w:rPr>
              <w:br/>
              <w:t>(t C ha</w:t>
            </w:r>
            <w:r w:rsidRPr="00D604EE">
              <w:rPr>
                <w:noProof w:val="0"/>
                <w:color w:val="FFFFFF"/>
                <w:vertAlign w:val="superscript"/>
              </w:rPr>
              <w:t>–1</w:t>
            </w:r>
            <w:r w:rsidRPr="00D604EE">
              <w:rPr>
                <w:noProof w:val="0"/>
                <w:color w:val="FFFFFF"/>
              </w:rPr>
              <w:t>)</w:t>
            </w:r>
          </w:p>
        </w:tc>
        <w:tc>
          <w:tcPr>
            <w:tcW w:w="2401" w:type="dxa"/>
            <w:shd w:val="clear" w:color="auto" w:fill="1B556B"/>
            <w:vAlign w:val="bottom"/>
          </w:tcPr>
          <w:p w14:paraId="4ECAC2C1" w14:textId="77777777" w:rsidR="00784FA9" w:rsidRPr="00D604EE" w:rsidRDefault="00784FA9" w:rsidP="007E3239">
            <w:pPr>
              <w:pStyle w:val="TableTextBold"/>
              <w:keepNext/>
              <w:rPr>
                <w:noProof w:val="0"/>
                <w:color w:val="FFFFFF"/>
              </w:rPr>
            </w:pPr>
            <w:r w:rsidRPr="00D604EE">
              <w:rPr>
                <w:noProof w:val="0"/>
                <w:color w:val="FFFFFF"/>
              </w:rPr>
              <w:t>Reference</w:t>
            </w:r>
          </w:p>
        </w:tc>
      </w:tr>
      <w:tr w:rsidR="00784FA9" w:rsidRPr="00D604EE" w14:paraId="195AD6FC" w14:textId="77777777" w:rsidTr="00330D83">
        <w:tc>
          <w:tcPr>
            <w:tcW w:w="1501" w:type="dxa"/>
          </w:tcPr>
          <w:p w14:paraId="7A3057FD" w14:textId="77777777" w:rsidR="00784FA9" w:rsidRPr="00D604EE" w:rsidRDefault="00784FA9" w:rsidP="007E3239">
            <w:pPr>
              <w:pStyle w:val="TableText"/>
              <w:spacing w:before="50" w:after="50"/>
            </w:pPr>
            <w:r w:rsidRPr="00D604EE">
              <w:t>Biomass</w:t>
            </w:r>
          </w:p>
        </w:tc>
        <w:tc>
          <w:tcPr>
            <w:tcW w:w="1200" w:type="dxa"/>
          </w:tcPr>
          <w:p w14:paraId="2BAC8231" w14:textId="77777777" w:rsidR="00784FA9" w:rsidRPr="00D604EE" w:rsidRDefault="00784FA9" w:rsidP="007E3239">
            <w:pPr>
              <w:pStyle w:val="TableText"/>
              <w:spacing w:before="50" w:after="50"/>
            </w:pPr>
            <w:r w:rsidRPr="00D604EE">
              <w:t>NE</w:t>
            </w:r>
          </w:p>
        </w:tc>
        <w:tc>
          <w:tcPr>
            <w:tcW w:w="1200" w:type="dxa"/>
          </w:tcPr>
          <w:p w14:paraId="140B6041" w14:textId="77777777" w:rsidR="00784FA9" w:rsidRPr="00D604EE" w:rsidRDefault="00784FA9" w:rsidP="007E3239">
            <w:pPr>
              <w:pStyle w:val="TableText"/>
              <w:spacing w:before="50" w:after="50"/>
            </w:pPr>
            <w:r w:rsidRPr="00D604EE">
              <w:t>NA</w:t>
            </w:r>
          </w:p>
        </w:tc>
        <w:tc>
          <w:tcPr>
            <w:tcW w:w="2701" w:type="dxa"/>
          </w:tcPr>
          <w:p w14:paraId="137857E9" w14:textId="77777777" w:rsidR="00784FA9" w:rsidRPr="00D604EE" w:rsidRDefault="00784FA9" w:rsidP="007E3239">
            <w:pPr>
              <w:pStyle w:val="TableText"/>
              <w:spacing w:before="50" w:after="50"/>
            </w:pPr>
            <w:r w:rsidRPr="00D604EE">
              <w:t>Instantaneous loss of previous land use carbon stock</w:t>
            </w:r>
          </w:p>
        </w:tc>
        <w:tc>
          <w:tcPr>
            <w:tcW w:w="2401" w:type="dxa"/>
          </w:tcPr>
          <w:p w14:paraId="0AD14543" w14:textId="77777777" w:rsidR="00784FA9" w:rsidRPr="00D604EE" w:rsidRDefault="00784FA9" w:rsidP="007E3239">
            <w:pPr>
              <w:pStyle w:val="TableText"/>
              <w:spacing w:before="50" w:after="50"/>
            </w:pPr>
            <w:r w:rsidRPr="00D604EE">
              <w:t>IPCC Tier 1 default assumption (section 9.3.1, IPCC, 2006a)</w:t>
            </w:r>
          </w:p>
        </w:tc>
      </w:tr>
      <w:tr w:rsidR="00784FA9" w:rsidRPr="00D604EE" w14:paraId="5425DB7E" w14:textId="77777777" w:rsidTr="00330D83">
        <w:tc>
          <w:tcPr>
            <w:tcW w:w="1501" w:type="dxa"/>
          </w:tcPr>
          <w:p w14:paraId="4CF64B80" w14:textId="77777777" w:rsidR="00784FA9" w:rsidRPr="00D604EE" w:rsidRDefault="00784FA9" w:rsidP="007E3239">
            <w:pPr>
              <w:pStyle w:val="TableText"/>
              <w:spacing w:before="50" w:after="50"/>
            </w:pPr>
            <w:r w:rsidRPr="00D604EE">
              <w:t>Soils (mineral)</w:t>
            </w:r>
          </w:p>
        </w:tc>
        <w:tc>
          <w:tcPr>
            <w:tcW w:w="1200" w:type="dxa"/>
          </w:tcPr>
          <w:p w14:paraId="1FBB520E" w14:textId="77777777" w:rsidR="00784FA9" w:rsidRPr="00D604EE" w:rsidRDefault="00784FA9" w:rsidP="007E3239">
            <w:pPr>
              <w:pStyle w:val="TableText"/>
              <w:spacing w:before="50" w:after="50"/>
            </w:pPr>
            <w:r w:rsidRPr="00D604EE">
              <w:t>58.37</w:t>
            </w:r>
          </w:p>
        </w:tc>
        <w:tc>
          <w:tcPr>
            <w:tcW w:w="1200" w:type="dxa"/>
          </w:tcPr>
          <w:p w14:paraId="7047B3C8" w14:textId="77777777" w:rsidR="00784FA9" w:rsidRPr="00D604EE" w:rsidRDefault="00784FA9" w:rsidP="007E3239">
            <w:pPr>
              <w:pStyle w:val="TableText"/>
              <w:spacing w:before="50" w:after="50"/>
            </w:pPr>
            <w:r w:rsidRPr="00D604EE">
              <w:t>20</w:t>
            </w:r>
          </w:p>
        </w:tc>
        <w:tc>
          <w:tcPr>
            <w:tcW w:w="2701" w:type="dxa"/>
          </w:tcPr>
          <w:p w14:paraId="09C8F18D" w14:textId="77777777" w:rsidR="00784FA9" w:rsidRPr="00D604EE" w:rsidRDefault="00784FA9" w:rsidP="007E3239">
            <w:pPr>
              <w:pStyle w:val="TableText"/>
              <w:spacing w:before="50" w:after="50"/>
            </w:pPr>
            <w:r w:rsidRPr="00D604EE">
              <w:t>Linear change over the conversion period between new and previous stock values</w:t>
            </w:r>
          </w:p>
        </w:tc>
        <w:tc>
          <w:tcPr>
            <w:tcW w:w="2401" w:type="dxa"/>
          </w:tcPr>
          <w:p w14:paraId="7CE7654B" w14:textId="77777777" w:rsidR="00784FA9" w:rsidRPr="00D604EE" w:rsidRDefault="00784FA9" w:rsidP="007E3239">
            <w:pPr>
              <w:pStyle w:val="TableText"/>
              <w:spacing w:before="50" w:after="50"/>
            </w:pPr>
            <w:r w:rsidRPr="00D604EE">
              <w:t>Section 6.3 of this submission</w:t>
            </w:r>
          </w:p>
        </w:tc>
      </w:tr>
    </w:tbl>
    <w:p w14:paraId="4B624451" w14:textId="77777777" w:rsidR="00784FA9" w:rsidRPr="00D604EE" w:rsidRDefault="00784FA9" w:rsidP="00784FA9">
      <w:pPr>
        <w:pStyle w:val="Noteundertable"/>
        <w:spacing w:before="80"/>
      </w:pPr>
      <w:r w:rsidRPr="00D604EE">
        <w:rPr>
          <w:b/>
        </w:rPr>
        <w:t>Note:</w:t>
      </w:r>
      <w:r w:rsidRPr="00D604EE">
        <w:tab/>
        <w:t>NA = not applicable; NE = not estimated.</w:t>
      </w:r>
    </w:p>
    <w:p w14:paraId="13E3C593" w14:textId="77777777" w:rsidR="00784FA9" w:rsidRPr="00D604EE" w:rsidRDefault="00784FA9" w:rsidP="00784FA9">
      <w:pPr>
        <w:pStyle w:val="Heading5"/>
      </w:pPr>
      <w:r w:rsidRPr="00D604EE">
        <w:t>Living biomass and dead organic matter</w:t>
      </w:r>
    </w:p>
    <w:p w14:paraId="241F4C54" w14:textId="77777777" w:rsidR="00784FA9" w:rsidRPr="00D604EE" w:rsidRDefault="00784FA9" w:rsidP="00784FA9">
      <w:pPr>
        <w:pStyle w:val="BodyText"/>
      </w:pPr>
      <w:r w:rsidRPr="00D604EE">
        <w:rPr>
          <w:spacing w:val="-2"/>
        </w:rPr>
        <w:t xml:space="preserve">All of New Zealand’s land area in the </w:t>
      </w:r>
      <w:r w:rsidRPr="00D604EE">
        <w:rPr>
          <w:i/>
          <w:spacing w:val="-2"/>
        </w:rPr>
        <w:t>Other land</w:t>
      </w:r>
      <w:r w:rsidRPr="00D604EE">
        <w:rPr>
          <w:spacing w:val="-2"/>
        </w:rPr>
        <w:t xml:space="preserve"> category is classified as ‘managed’. New Zealand</w:t>
      </w:r>
      <w:r w:rsidRPr="00D604EE">
        <w:t xml:space="preserve"> considers all land to be managed, because all land is under some form of management plan, regardless of the intensity and/or type of land-management practices. Reporting for the category </w:t>
      </w:r>
      <w:r w:rsidRPr="00D604EE">
        <w:rPr>
          <w:i/>
        </w:rPr>
        <w:t>Other land remaining other land</w:t>
      </w:r>
      <w:r w:rsidRPr="00D604EE">
        <w:t xml:space="preserve"> is not mandatory. New Zealand applies the Tier 1 approach to this category, which assumes carbon accumulation and loss for the biomass pool is zero in all years subsequent to the year of conversion (section 9.3.1, IPCC, 2006a).</w:t>
      </w:r>
    </w:p>
    <w:p w14:paraId="5FC007A2" w14:textId="77777777" w:rsidR="00784FA9" w:rsidRPr="00D604EE" w:rsidRDefault="00784FA9" w:rsidP="00784FA9">
      <w:pPr>
        <w:pStyle w:val="Heading5"/>
        <w:spacing w:before="160"/>
      </w:pPr>
      <w:r w:rsidRPr="00D604EE">
        <w:t>Soil organic carbon</w:t>
      </w:r>
    </w:p>
    <w:p w14:paraId="64F1B8E0" w14:textId="77777777" w:rsidR="00784FA9" w:rsidRPr="00D604EE" w:rsidRDefault="00784FA9" w:rsidP="00784FA9">
      <w:pPr>
        <w:pStyle w:val="BodyText"/>
      </w:pPr>
      <w:r w:rsidRPr="00D604EE">
        <w:t xml:space="preserve">Soil organic carbon stocks in </w:t>
      </w:r>
      <w:r w:rsidRPr="00D604EE">
        <w:rPr>
          <w:i/>
        </w:rPr>
        <w:t>Other land remaining other land</w:t>
      </w:r>
      <w:r w:rsidRPr="00D604EE">
        <w:t xml:space="preserve"> are estimated using a Tier 2 method for mineral soils (see annex A3.2.4 ‘Mineral soils’). The steady state mineral SOC stock in </w:t>
      </w:r>
      <w:r w:rsidRPr="00D604EE">
        <w:rPr>
          <w:i/>
        </w:rPr>
        <w:t>Other land</w:t>
      </w:r>
      <w:r w:rsidRPr="00D604EE">
        <w:t xml:space="preserve"> is estimated to be </w:t>
      </w:r>
      <w:r w:rsidRPr="00D604EE">
        <w:rPr>
          <w:color w:val="000000"/>
        </w:rPr>
        <w:t>58.37 </w:t>
      </w:r>
      <w:r w:rsidRPr="00D604EE">
        <w:t>tonnes C ha</w:t>
      </w:r>
      <w:r w:rsidRPr="00D604EE">
        <w:rPr>
          <w:vertAlign w:val="superscript"/>
        </w:rPr>
        <w:t>–1</w:t>
      </w:r>
      <w:r w:rsidRPr="00D604EE">
        <w:t xml:space="preserve">. This is based on only three samples so has </w:t>
      </w:r>
      <w:r w:rsidRPr="00D604EE">
        <w:rPr>
          <w:spacing w:val="-2"/>
        </w:rPr>
        <w:t>an associated uncertainty of ±70.7 per cent (McNeill and Barringer, unpublished). The 2006 IPCC</w:t>
      </w:r>
      <w:r w:rsidRPr="00D604EE">
        <w:t xml:space="preserve"> Guidelines provides a default value for soil carbon in </w:t>
      </w:r>
      <w:r w:rsidRPr="00D604EE">
        <w:rPr>
          <w:i/>
        </w:rPr>
        <w:t xml:space="preserve">Other land </w:t>
      </w:r>
      <w:r w:rsidRPr="00D604EE">
        <w:t>of 0 tonnes C ha</w:t>
      </w:r>
      <w:r w:rsidRPr="00D604EE">
        <w:rPr>
          <w:vertAlign w:val="superscript"/>
        </w:rPr>
        <w:t>-1</w:t>
      </w:r>
      <w:r w:rsidRPr="00D604EE">
        <w:t xml:space="preserve"> (section 9.3.3.2, IPCC, 2006a). However, due to the hierarchical structure of defining land use classes, </w:t>
      </w:r>
      <w:r w:rsidRPr="00D604EE">
        <w:rPr>
          <w:i/>
        </w:rPr>
        <w:t>Other land</w:t>
      </w:r>
      <w:r w:rsidRPr="00D604EE">
        <w:t xml:space="preserve"> is defined as “any other remaining land that does not fall into any of the other land use categories”, which can result in the SOC measured potentially being greater than zero.</w:t>
      </w:r>
    </w:p>
    <w:p w14:paraId="284E6037" w14:textId="77777777" w:rsidR="00784FA9" w:rsidRPr="00D604EE" w:rsidRDefault="00784FA9" w:rsidP="00784FA9">
      <w:pPr>
        <w:pStyle w:val="Heading4"/>
      </w:pPr>
      <w:r w:rsidRPr="00D604EE">
        <w:lastRenderedPageBreak/>
        <w:t>Land converted to other land (CRF 4.F.2)</w:t>
      </w:r>
    </w:p>
    <w:p w14:paraId="61CDD49A" w14:textId="77777777" w:rsidR="00784FA9" w:rsidRPr="00D604EE" w:rsidRDefault="00784FA9" w:rsidP="00784FA9">
      <w:pPr>
        <w:pStyle w:val="Heading5"/>
        <w:spacing w:before="160"/>
      </w:pPr>
      <w:r w:rsidRPr="00D604EE">
        <w:t>Living biomass and dead organic matter</w:t>
      </w:r>
    </w:p>
    <w:p w14:paraId="306201BF" w14:textId="77777777" w:rsidR="00784FA9" w:rsidRPr="00D604EE" w:rsidRDefault="00784FA9" w:rsidP="00784FA9">
      <w:pPr>
        <w:pStyle w:val="BodyText"/>
      </w:pPr>
      <w:r w:rsidRPr="00D604EE">
        <w:t xml:space="preserve">New Zealand uses a Tier 1 method to calculate emissions for </w:t>
      </w:r>
      <w:r w:rsidRPr="00D604EE">
        <w:rPr>
          <w:i/>
        </w:rPr>
        <w:t>Land converted to other land</w:t>
      </w:r>
      <w:r w:rsidRPr="00D604EE">
        <w:t xml:space="preserve"> (equation 2.16, IPCC, 2006a). This is the same as the method used for other areas of land use conversion (e.g., </w:t>
      </w:r>
      <w:r w:rsidRPr="00D604EE">
        <w:rPr>
          <w:i/>
        </w:rPr>
        <w:t>Land converted to cropland</w:t>
      </w:r>
      <w:r w:rsidRPr="00D604EE">
        <w:t xml:space="preserve">). The Tier 1 method assumes the carbon in living biomass and dead organic matter present before conversion is lost and instantly oxidised in the same year as the conversion takes place and that carbon stocks in living biomass and dead organic matter following conversion are equal to zero. There is no Tier 1 method for calculating carbon accumulation in living biomass or dead organic matter for </w:t>
      </w:r>
      <w:r w:rsidRPr="00D604EE">
        <w:rPr>
          <w:i/>
        </w:rPr>
        <w:t>Land converted to other land</w:t>
      </w:r>
      <w:r w:rsidRPr="00D604EE">
        <w:t>.</w:t>
      </w:r>
    </w:p>
    <w:p w14:paraId="3AE9C225" w14:textId="77777777" w:rsidR="00784FA9" w:rsidRPr="00D604EE" w:rsidRDefault="00784FA9" w:rsidP="00330D83">
      <w:pPr>
        <w:pStyle w:val="Heading5"/>
      </w:pPr>
      <w:r w:rsidRPr="00D604EE">
        <w:t>Soil organic carbon</w:t>
      </w:r>
    </w:p>
    <w:p w14:paraId="34C9E367" w14:textId="77777777" w:rsidR="00784FA9" w:rsidRPr="00D604EE" w:rsidRDefault="00784FA9" w:rsidP="00784FA9">
      <w:pPr>
        <w:pStyle w:val="BodyText"/>
      </w:pPr>
      <w:r w:rsidRPr="00D604EE">
        <w:t xml:space="preserve">Soil organic carbon stocks in </w:t>
      </w:r>
      <w:r w:rsidRPr="00D604EE">
        <w:rPr>
          <w:i/>
        </w:rPr>
        <w:t>Land converted to other land</w:t>
      </w:r>
      <w:r w:rsidRPr="00D604EE">
        <w:t xml:space="preserve"> before conversion are estimated using a Tier 2 method (see annex A3.2.4 ‘Mineral soils’). The IPCC default method of a linear change over a 20</w:t>
      </w:r>
      <w:r w:rsidRPr="00D604EE">
        <w:noBreakHyphen/>
        <w:t>year period is used to estimate the change in SOC stocks between the original land use and other land for any given period.</w:t>
      </w:r>
    </w:p>
    <w:p w14:paraId="4025B7B7" w14:textId="77777777" w:rsidR="00784FA9" w:rsidRPr="00D604EE" w:rsidRDefault="00784FA9" w:rsidP="00784FA9">
      <w:pPr>
        <w:pStyle w:val="Heading3"/>
      </w:pPr>
      <w:r w:rsidRPr="00D604EE">
        <w:t>6.8.3</w:t>
      </w:r>
      <w:r w:rsidRPr="00D604EE">
        <w:tab/>
        <w:t>Uncertainties and time-series consistency</w:t>
      </w:r>
    </w:p>
    <w:p w14:paraId="0205C465" w14:textId="77777777" w:rsidR="00784FA9" w:rsidRPr="00D604EE" w:rsidRDefault="00784FA9" w:rsidP="00784FA9">
      <w:pPr>
        <w:pStyle w:val="BodyText"/>
      </w:pPr>
      <w:r w:rsidRPr="00D604EE">
        <w:t xml:space="preserve">The uncertainty in net carbon emissions from </w:t>
      </w:r>
      <w:r w:rsidRPr="00D604EE">
        <w:rPr>
          <w:i/>
          <w:iCs/>
        </w:rPr>
        <w:t>Other</w:t>
      </w:r>
      <w:r w:rsidRPr="00D604EE">
        <w:rPr>
          <w:i/>
        </w:rPr>
        <w:t xml:space="preserve"> land</w:t>
      </w:r>
      <w:r w:rsidRPr="00D604EE">
        <w:t xml:space="preserve"> was 86.4 per cent in 2020. Emissions from </w:t>
      </w:r>
      <w:r w:rsidRPr="00D604EE">
        <w:rPr>
          <w:i/>
        </w:rPr>
        <w:t>Other land</w:t>
      </w:r>
      <w:r w:rsidRPr="00D604EE">
        <w:t xml:space="preserve"> accounted for 0.4 per cent of the net emissions from the LULUCF sector. The methods used to calculate the uncertainty are further described in annex A3.2.8.</w:t>
      </w:r>
    </w:p>
    <w:p w14:paraId="324C1329" w14:textId="77777777" w:rsidR="00784FA9" w:rsidRPr="00D604EE" w:rsidRDefault="00784FA9" w:rsidP="00784FA9">
      <w:pPr>
        <w:pStyle w:val="BodyText"/>
      </w:pPr>
      <w:r w:rsidRPr="00D604EE">
        <w:t xml:space="preserve">Time-series consistency is ensured by applying consistent methods and full recalculations in the event of any refinement or improvement to methodology. </w:t>
      </w:r>
    </w:p>
    <w:p w14:paraId="2B87D5C7" w14:textId="77777777" w:rsidR="00784FA9" w:rsidRPr="00D604EE" w:rsidRDefault="00784FA9" w:rsidP="00784FA9">
      <w:pPr>
        <w:pStyle w:val="Heading3"/>
      </w:pPr>
      <w:r w:rsidRPr="00D604EE">
        <w:t>6.8.4</w:t>
      </w:r>
      <w:r w:rsidRPr="00D604EE">
        <w:tab/>
        <w:t>Category-specific QA/QC and verification</w:t>
      </w:r>
    </w:p>
    <w:p w14:paraId="15210185" w14:textId="77777777" w:rsidR="00784FA9" w:rsidRPr="00D604EE" w:rsidRDefault="00784FA9" w:rsidP="00784FA9">
      <w:pPr>
        <w:pStyle w:val="BodyText"/>
      </w:pPr>
      <w:r w:rsidRPr="00D604EE">
        <w:t>In the preparation of this inventory, the data for these emissions underwent Tier 1 quality checks.</w:t>
      </w:r>
    </w:p>
    <w:p w14:paraId="2E441712" w14:textId="77777777" w:rsidR="00784FA9" w:rsidRPr="00D604EE" w:rsidRDefault="00784FA9" w:rsidP="00784FA9">
      <w:pPr>
        <w:pStyle w:val="Heading3"/>
      </w:pPr>
      <w:r w:rsidRPr="00D604EE">
        <w:t>6.8.5</w:t>
      </w:r>
      <w:r w:rsidRPr="00D604EE">
        <w:tab/>
        <w:t>Category-specific recalculations</w:t>
      </w:r>
    </w:p>
    <w:p w14:paraId="0535D985" w14:textId="77777777" w:rsidR="00784FA9" w:rsidRPr="00D604EE" w:rsidRDefault="00784FA9" w:rsidP="00784FA9">
      <w:pPr>
        <w:pStyle w:val="BodyText"/>
        <w:rPr>
          <w:spacing w:val="-2"/>
        </w:rPr>
      </w:pPr>
      <w:r w:rsidRPr="00D604EE">
        <w:rPr>
          <w:spacing w:val="-2"/>
        </w:rPr>
        <w:t>The impact of recalculations on net CO</w:t>
      </w:r>
      <w:r w:rsidRPr="00D604EE">
        <w:rPr>
          <w:spacing w:val="-2"/>
          <w:vertAlign w:val="subscript"/>
        </w:rPr>
        <w:t>2</w:t>
      </w:r>
      <w:r w:rsidRPr="00D604EE">
        <w:rPr>
          <w:spacing w:val="-2"/>
        </w:rPr>
        <w:t xml:space="preserve">-e emission estimates for the </w:t>
      </w:r>
      <w:r w:rsidRPr="00D604EE">
        <w:rPr>
          <w:i/>
          <w:spacing w:val="-2"/>
        </w:rPr>
        <w:t>Other land</w:t>
      </w:r>
      <w:r w:rsidRPr="00D604EE">
        <w:rPr>
          <w:spacing w:val="-2"/>
        </w:rPr>
        <w:t xml:space="preserve"> category is shown in table 6.8.3</w:t>
      </w:r>
      <w:r w:rsidRPr="00D604EE" w:rsidDel="00B01A6B">
        <w:rPr>
          <w:spacing w:val="-2"/>
        </w:rPr>
        <w:t>.</w:t>
      </w:r>
      <w:r w:rsidRPr="00D604EE">
        <w:rPr>
          <w:spacing w:val="-2"/>
        </w:rPr>
        <w:t xml:space="preserve"> Recalculations were carried out for this category as a result of mapping data as described section 6.2 and annex A3.2.2. The change in emissions largely result from changes in deforestation mapping, as described in section 6.7.5, where the assumption for projected deforestation estimates also now includes conversions to </w:t>
      </w:r>
      <w:r w:rsidRPr="00D604EE">
        <w:rPr>
          <w:i/>
          <w:spacing w:val="-2"/>
        </w:rPr>
        <w:t>Other land</w:t>
      </w:r>
      <w:r w:rsidRPr="00D604EE">
        <w:rPr>
          <w:spacing w:val="-2"/>
        </w:rPr>
        <w:t xml:space="preserve">. </w:t>
      </w:r>
    </w:p>
    <w:p w14:paraId="7DE67DD5" w14:textId="77777777" w:rsidR="00784FA9" w:rsidRPr="00D604EE" w:rsidRDefault="00784FA9" w:rsidP="00784FA9">
      <w:pPr>
        <w:pStyle w:val="Table"/>
      </w:pPr>
      <w:bookmarkStart w:id="2223" w:name="_Toc342470796"/>
      <w:bookmarkStart w:id="2224" w:name="_Toc352505036"/>
      <w:bookmarkStart w:id="2225" w:name="_Toc378853325"/>
      <w:bookmarkStart w:id="2226" w:name="_Toc391024123"/>
      <w:bookmarkStart w:id="2227" w:name="_Toc410028865"/>
      <w:bookmarkStart w:id="2228" w:name="_Toc414531493"/>
      <w:bookmarkStart w:id="2229" w:name="_Toc443645406"/>
      <w:bookmarkStart w:id="2230" w:name="_Toc474914625"/>
      <w:bookmarkStart w:id="2231" w:name="_Toc481751589"/>
      <w:bookmarkStart w:id="2232" w:name="_Toc522010646"/>
      <w:bookmarkStart w:id="2233" w:name="_Toc5269551"/>
      <w:bookmarkStart w:id="2234" w:name="_Toc33529425"/>
      <w:bookmarkStart w:id="2235" w:name="_Toc36224631"/>
      <w:bookmarkStart w:id="2236" w:name="_Toc99659312"/>
      <w:r w:rsidRPr="00D604EE">
        <w:t>Table 6.8.3</w:t>
      </w:r>
      <w:r w:rsidRPr="00D604EE">
        <w:tab/>
        <w:t>Recalculations for New Zealand’s net emissions from the Other land category in 1990 and </w:t>
      </w:r>
      <w:bookmarkEnd w:id="2223"/>
      <w:bookmarkEnd w:id="2224"/>
      <w:bookmarkEnd w:id="2225"/>
      <w:bookmarkEnd w:id="2226"/>
      <w:bookmarkEnd w:id="2227"/>
      <w:bookmarkEnd w:id="2228"/>
      <w:bookmarkEnd w:id="2229"/>
      <w:bookmarkEnd w:id="2230"/>
      <w:bookmarkEnd w:id="2231"/>
      <w:bookmarkEnd w:id="2232"/>
      <w:bookmarkEnd w:id="2233"/>
      <w:bookmarkEnd w:id="2234"/>
      <w:bookmarkEnd w:id="2235"/>
      <w:r w:rsidRPr="00D604EE">
        <w:t>2019</w:t>
      </w:r>
      <w:bookmarkEnd w:id="2236"/>
    </w:p>
    <w:tbl>
      <w:tblPr>
        <w:tblW w:w="8505" w:type="dxa"/>
        <w:tblInd w:w="108" w:type="dxa"/>
        <w:tblLook w:val="04A0" w:firstRow="1" w:lastRow="0" w:firstColumn="1" w:lastColumn="0" w:noHBand="0" w:noVBand="1"/>
      </w:tblPr>
      <w:tblGrid>
        <w:gridCol w:w="1109"/>
        <w:gridCol w:w="1849"/>
        <w:gridCol w:w="1849"/>
        <w:gridCol w:w="1849"/>
        <w:gridCol w:w="1849"/>
      </w:tblGrid>
      <w:tr w:rsidR="00784FA9" w:rsidRPr="00330D83" w14:paraId="59360C43" w14:textId="77777777" w:rsidTr="00330D83">
        <w:tc>
          <w:tcPr>
            <w:tcW w:w="652" w:type="pct"/>
            <w:vMerge w:val="restart"/>
            <w:tcBorders>
              <w:top w:val="single" w:sz="4" w:space="0" w:color="1B556B"/>
            </w:tcBorders>
            <w:shd w:val="clear" w:color="auto" w:fill="1B556B"/>
            <w:vAlign w:val="bottom"/>
          </w:tcPr>
          <w:p w14:paraId="0E764F44" w14:textId="77777777" w:rsidR="00784FA9" w:rsidRPr="00330D83" w:rsidRDefault="00784FA9" w:rsidP="00330D83">
            <w:pPr>
              <w:pStyle w:val="TableTextBold"/>
              <w:rPr>
                <w:noProof w:val="0"/>
                <w:color w:val="FFFFFF"/>
                <w:szCs w:val="16"/>
              </w:rPr>
            </w:pPr>
            <w:r w:rsidRPr="00330D83">
              <w:rPr>
                <w:noProof w:val="0"/>
                <w:color w:val="FFFFFF"/>
                <w:szCs w:val="16"/>
              </w:rPr>
              <w:t>Year</w:t>
            </w:r>
          </w:p>
        </w:tc>
        <w:tc>
          <w:tcPr>
            <w:tcW w:w="2174" w:type="pct"/>
            <w:gridSpan w:val="2"/>
            <w:tcBorders>
              <w:top w:val="single" w:sz="4" w:space="0" w:color="1B556B"/>
            </w:tcBorders>
            <w:shd w:val="clear" w:color="auto" w:fill="1B556B"/>
            <w:noWrap/>
          </w:tcPr>
          <w:p w14:paraId="6BCB92FB" w14:textId="77777777" w:rsidR="00784FA9" w:rsidRPr="00330D83" w:rsidRDefault="00784FA9" w:rsidP="00330D83">
            <w:pPr>
              <w:pStyle w:val="TableTextBold"/>
              <w:spacing w:after="0"/>
              <w:jc w:val="center"/>
              <w:rPr>
                <w:noProof w:val="0"/>
                <w:color w:val="FFFFFF"/>
                <w:szCs w:val="16"/>
              </w:rPr>
            </w:pPr>
            <w:r w:rsidRPr="00330D83">
              <w:rPr>
                <w:noProof w:val="0"/>
                <w:color w:val="FFFFFF"/>
                <w:szCs w:val="16"/>
              </w:rPr>
              <w:t>Net emissions (kt CO</w:t>
            </w:r>
            <w:r w:rsidRPr="00330D83">
              <w:rPr>
                <w:noProof w:val="0"/>
                <w:color w:val="FFFFFF"/>
                <w:szCs w:val="16"/>
                <w:vertAlign w:val="subscript"/>
              </w:rPr>
              <w:t>2</w:t>
            </w:r>
            <w:r w:rsidRPr="00330D83">
              <w:rPr>
                <w:noProof w:val="0"/>
                <w:color w:val="FFFFFF"/>
                <w:szCs w:val="16"/>
              </w:rPr>
              <w:t>-e)</w:t>
            </w:r>
          </w:p>
        </w:tc>
        <w:tc>
          <w:tcPr>
            <w:tcW w:w="2174" w:type="pct"/>
            <w:gridSpan w:val="2"/>
            <w:tcBorders>
              <w:top w:val="single" w:sz="4" w:space="0" w:color="1B556B"/>
            </w:tcBorders>
            <w:shd w:val="clear" w:color="auto" w:fill="1B556B"/>
          </w:tcPr>
          <w:p w14:paraId="7BD2989F" w14:textId="77777777" w:rsidR="00784FA9" w:rsidRPr="00330D83" w:rsidRDefault="00784FA9" w:rsidP="00330D83">
            <w:pPr>
              <w:pStyle w:val="TableTextBold"/>
              <w:spacing w:after="0"/>
              <w:jc w:val="center"/>
              <w:rPr>
                <w:noProof w:val="0"/>
                <w:color w:val="FFFFFF"/>
                <w:szCs w:val="16"/>
              </w:rPr>
            </w:pPr>
            <w:r w:rsidRPr="00330D83">
              <w:rPr>
                <w:noProof w:val="0"/>
                <w:color w:val="FFFFFF"/>
                <w:szCs w:val="16"/>
              </w:rPr>
              <w:t>Change from the 2021 submission</w:t>
            </w:r>
          </w:p>
        </w:tc>
      </w:tr>
      <w:tr w:rsidR="00784FA9" w:rsidRPr="00330D83" w14:paraId="0BDF26F8" w14:textId="77777777" w:rsidTr="00330D83">
        <w:tc>
          <w:tcPr>
            <w:tcW w:w="652" w:type="pct"/>
            <w:vMerge/>
            <w:tcBorders>
              <w:bottom w:val="single" w:sz="4" w:space="0" w:color="1B556B"/>
            </w:tcBorders>
            <w:shd w:val="clear" w:color="auto" w:fill="1B556B"/>
          </w:tcPr>
          <w:p w14:paraId="098153F7" w14:textId="77777777" w:rsidR="00784FA9" w:rsidRPr="00330D83" w:rsidRDefault="00784FA9" w:rsidP="00330D83">
            <w:pPr>
              <w:pStyle w:val="TableText"/>
              <w:rPr>
                <w:color w:val="FFFFFF"/>
                <w:szCs w:val="16"/>
              </w:rPr>
            </w:pPr>
          </w:p>
        </w:tc>
        <w:tc>
          <w:tcPr>
            <w:tcW w:w="1087" w:type="pct"/>
            <w:tcBorders>
              <w:bottom w:val="single" w:sz="4" w:space="0" w:color="1B556B"/>
            </w:tcBorders>
            <w:shd w:val="clear" w:color="auto" w:fill="1B556B"/>
          </w:tcPr>
          <w:p w14:paraId="417ED43E" w14:textId="77777777" w:rsidR="00784FA9" w:rsidRPr="00330D83" w:rsidRDefault="00784FA9" w:rsidP="00330D83">
            <w:pPr>
              <w:pStyle w:val="TableTextBold"/>
              <w:spacing w:before="0"/>
              <w:jc w:val="center"/>
              <w:rPr>
                <w:noProof w:val="0"/>
                <w:color w:val="FFFFFF"/>
                <w:szCs w:val="16"/>
              </w:rPr>
            </w:pPr>
            <w:r w:rsidRPr="00330D83">
              <w:rPr>
                <w:noProof w:val="0"/>
                <w:color w:val="FFFFFF"/>
                <w:szCs w:val="16"/>
              </w:rPr>
              <w:t>2021 submission</w:t>
            </w:r>
          </w:p>
        </w:tc>
        <w:tc>
          <w:tcPr>
            <w:tcW w:w="1087" w:type="pct"/>
            <w:tcBorders>
              <w:bottom w:val="single" w:sz="4" w:space="0" w:color="1B556B"/>
            </w:tcBorders>
            <w:shd w:val="clear" w:color="auto" w:fill="1B556B"/>
          </w:tcPr>
          <w:p w14:paraId="39A11A20" w14:textId="77777777" w:rsidR="00784FA9" w:rsidRPr="00330D83" w:rsidRDefault="00784FA9" w:rsidP="00330D83">
            <w:pPr>
              <w:pStyle w:val="TableTextBold"/>
              <w:spacing w:before="0"/>
              <w:jc w:val="center"/>
              <w:rPr>
                <w:noProof w:val="0"/>
                <w:color w:val="FFFFFF"/>
                <w:szCs w:val="16"/>
              </w:rPr>
            </w:pPr>
            <w:r w:rsidRPr="00330D83">
              <w:rPr>
                <w:noProof w:val="0"/>
                <w:color w:val="FFFFFF"/>
                <w:szCs w:val="16"/>
              </w:rPr>
              <w:t>2022 submission</w:t>
            </w:r>
          </w:p>
        </w:tc>
        <w:tc>
          <w:tcPr>
            <w:tcW w:w="1087" w:type="pct"/>
            <w:tcBorders>
              <w:bottom w:val="single" w:sz="4" w:space="0" w:color="1B556B"/>
            </w:tcBorders>
            <w:shd w:val="clear" w:color="auto" w:fill="1B556B"/>
          </w:tcPr>
          <w:p w14:paraId="74742207" w14:textId="77777777" w:rsidR="00784FA9" w:rsidRPr="00330D83" w:rsidRDefault="00784FA9" w:rsidP="00330D83">
            <w:pPr>
              <w:pStyle w:val="TableTextBold"/>
              <w:spacing w:before="0"/>
              <w:jc w:val="center"/>
              <w:rPr>
                <w:noProof w:val="0"/>
                <w:color w:val="FFFFFF"/>
                <w:szCs w:val="16"/>
              </w:rPr>
            </w:pPr>
            <w:r w:rsidRPr="00330D83">
              <w:rPr>
                <w:noProof w:val="0"/>
                <w:color w:val="FFFFFF"/>
                <w:szCs w:val="16"/>
              </w:rPr>
              <w:t>(kt CO</w:t>
            </w:r>
            <w:r w:rsidRPr="00330D83">
              <w:rPr>
                <w:noProof w:val="0"/>
                <w:color w:val="FFFFFF"/>
                <w:szCs w:val="16"/>
                <w:vertAlign w:val="subscript"/>
              </w:rPr>
              <w:t>2</w:t>
            </w:r>
            <w:r w:rsidRPr="00330D83">
              <w:rPr>
                <w:noProof w:val="0"/>
                <w:color w:val="FFFFFF"/>
                <w:szCs w:val="16"/>
              </w:rPr>
              <w:t>-e)</w:t>
            </w:r>
          </w:p>
        </w:tc>
        <w:tc>
          <w:tcPr>
            <w:tcW w:w="1087" w:type="pct"/>
            <w:tcBorders>
              <w:bottom w:val="single" w:sz="4" w:space="0" w:color="1B556B"/>
            </w:tcBorders>
            <w:shd w:val="clear" w:color="auto" w:fill="1B556B"/>
          </w:tcPr>
          <w:p w14:paraId="264A4FAB" w14:textId="77777777" w:rsidR="00784FA9" w:rsidRPr="00330D83" w:rsidRDefault="00784FA9" w:rsidP="00330D83">
            <w:pPr>
              <w:pStyle w:val="TableTextBold"/>
              <w:spacing w:before="0"/>
              <w:jc w:val="center"/>
              <w:rPr>
                <w:noProof w:val="0"/>
                <w:color w:val="FFFFFF"/>
                <w:szCs w:val="16"/>
              </w:rPr>
            </w:pPr>
            <w:r w:rsidRPr="00330D83">
              <w:rPr>
                <w:noProof w:val="0"/>
                <w:color w:val="FFFFFF"/>
                <w:szCs w:val="16"/>
              </w:rPr>
              <w:t>(%)</w:t>
            </w:r>
          </w:p>
        </w:tc>
      </w:tr>
      <w:tr w:rsidR="00784FA9" w:rsidRPr="00330D83" w14:paraId="167B1FC9" w14:textId="77777777" w:rsidTr="00330D83">
        <w:tc>
          <w:tcPr>
            <w:tcW w:w="652" w:type="pct"/>
            <w:tcBorders>
              <w:top w:val="single" w:sz="4" w:space="0" w:color="1B556B"/>
              <w:bottom w:val="single" w:sz="4" w:space="0" w:color="1B556B"/>
            </w:tcBorders>
          </w:tcPr>
          <w:p w14:paraId="0AE6B563" w14:textId="77777777" w:rsidR="00784FA9" w:rsidRPr="00330D83" w:rsidRDefault="00784FA9" w:rsidP="00330D83">
            <w:pPr>
              <w:pStyle w:val="TableText"/>
              <w:spacing w:before="50" w:after="50"/>
              <w:rPr>
                <w:szCs w:val="16"/>
              </w:rPr>
            </w:pPr>
            <w:r w:rsidRPr="00330D83">
              <w:rPr>
                <w:szCs w:val="16"/>
              </w:rPr>
              <w:t xml:space="preserve">1990 </w:t>
            </w:r>
          </w:p>
        </w:tc>
        <w:tc>
          <w:tcPr>
            <w:tcW w:w="1087" w:type="pct"/>
            <w:tcBorders>
              <w:top w:val="single" w:sz="4" w:space="0" w:color="1B556B"/>
              <w:bottom w:val="single" w:sz="4" w:space="0" w:color="1B556B"/>
            </w:tcBorders>
          </w:tcPr>
          <w:p w14:paraId="4FC960C5" w14:textId="77777777" w:rsidR="00784FA9" w:rsidRPr="00330D83" w:rsidRDefault="00784FA9" w:rsidP="00330D83">
            <w:pPr>
              <w:pStyle w:val="TableText"/>
              <w:tabs>
                <w:tab w:val="decimal" w:pos="458"/>
              </w:tabs>
              <w:spacing w:before="50" w:after="50"/>
              <w:jc w:val="center"/>
              <w:rPr>
                <w:szCs w:val="16"/>
              </w:rPr>
            </w:pPr>
            <w:r w:rsidRPr="00330D83">
              <w:rPr>
                <w:szCs w:val="16"/>
              </w:rPr>
              <w:t xml:space="preserve">12.8 </w:t>
            </w:r>
          </w:p>
        </w:tc>
        <w:tc>
          <w:tcPr>
            <w:tcW w:w="1087" w:type="pct"/>
            <w:tcBorders>
              <w:top w:val="single" w:sz="4" w:space="0" w:color="1B556B"/>
              <w:bottom w:val="single" w:sz="4" w:space="0" w:color="1B556B"/>
            </w:tcBorders>
          </w:tcPr>
          <w:p w14:paraId="7B923C2E" w14:textId="77777777" w:rsidR="00784FA9" w:rsidRPr="00330D83" w:rsidRDefault="00784FA9" w:rsidP="00330D83">
            <w:pPr>
              <w:pStyle w:val="TableText"/>
              <w:tabs>
                <w:tab w:val="decimal" w:pos="458"/>
              </w:tabs>
              <w:spacing w:before="50" w:after="50"/>
              <w:jc w:val="center"/>
              <w:rPr>
                <w:szCs w:val="16"/>
              </w:rPr>
            </w:pPr>
            <w:r w:rsidRPr="00330D83">
              <w:rPr>
                <w:szCs w:val="16"/>
              </w:rPr>
              <w:t xml:space="preserve">13.6 </w:t>
            </w:r>
          </w:p>
        </w:tc>
        <w:tc>
          <w:tcPr>
            <w:tcW w:w="1087" w:type="pct"/>
            <w:tcBorders>
              <w:top w:val="single" w:sz="4" w:space="0" w:color="1B556B"/>
              <w:bottom w:val="single" w:sz="4" w:space="0" w:color="1B556B"/>
            </w:tcBorders>
          </w:tcPr>
          <w:p w14:paraId="341BB004" w14:textId="77777777" w:rsidR="00784FA9" w:rsidRPr="00330D83" w:rsidRDefault="00784FA9" w:rsidP="00330D83">
            <w:pPr>
              <w:pStyle w:val="TableText"/>
              <w:tabs>
                <w:tab w:val="decimal" w:pos="458"/>
              </w:tabs>
              <w:spacing w:before="50" w:after="50"/>
              <w:jc w:val="center"/>
              <w:rPr>
                <w:szCs w:val="16"/>
              </w:rPr>
            </w:pPr>
            <w:r w:rsidRPr="00330D83">
              <w:rPr>
                <w:szCs w:val="16"/>
              </w:rPr>
              <w:t xml:space="preserve">0.8 </w:t>
            </w:r>
          </w:p>
        </w:tc>
        <w:tc>
          <w:tcPr>
            <w:tcW w:w="1087" w:type="pct"/>
            <w:tcBorders>
              <w:top w:val="single" w:sz="4" w:space="0" w:color="1B556B"/>
              <w:bottom w:val="single" w:sz="4" w:space="0" w:color="1B556B"/>
            </w:tcBorders>
          </w:tcPr>
          <w:p w14:paraId="253C544F" w14:textId="77777777" w:rsidR="00784FA9" w:rsidRPr="00330D83" w:rsidRDefault="00784FA9" w:rsidP="00330D83">
            <w:pPr>
              <w:pStyle w:val="TableText"/>
              <w:tabs>
                <w:tab w:val="decimal" w:pos="458"/>
              </w:tabs>
              <w:spacing w:before="50" w:after="50"/>
              <w:jc w:val="center"/>
              <w:rPr>
                <w:szCs w:val="16"/>
              </w:rPr>
            </w:pPr>
            <w:r w:rsidRPr="00330D83">
              <w:rPr>
                <w:szCs w:val="16"/>
              </w:rPr>
              <w:t>6.7</w:t>
            </w:r>
          </w:p>
        </w:tc>
      </w:tr>
      <w:tr w:rsidR="00784FA9" w:rsidRPr="00330D83" w14:paraId="0EC95EF1" w14:textId="77777777" w:rsidTr="00330D83">
        <w:tc>
          <w:tcPr>
            <w:tcW w:w="652" w:type="pct"/>
            <w:tcBorders>
              <w:top w:val="single" w:sz="4" w:space="0" w:color="1B556B"/>
              <w:bottom w:val="single" w:sz="4" w:space="0" w:color="1B556B"/>
            </w:tcBorders>
          </w:tcPr>
          <w:p w14:paraId="0C7F27A2" w14:textId="77777777" w:rsidR="00784FA9" w:rsidRPr="00330D83" w:rsidRDefault="00784FA9" w:rsidP="00330D83">
            <w:pPr>
              <w:pStyle w:val="TableText"/>
              <w:spacing w:before="50" w:after="50"/>
              <w:rPr>
                <w:szCs w:val="16"/>
              </w:rPr>
            </w:pPr>
            <w:r w:rsidRPr="00330D83">
              <w:rPr>
                <w:szCs w:val="16"/>
              </w:rPr>
              <w:t>2019</w:t>
            </w:r>
          </w:p>
        </w:tc>
        <w:tc>
          <w:tcPr>
            <w:tcW w:w="1087" w:type="pct"/>
            <w:tcBorders>
              <w:top w:val="single" w:sz="4" w:space="0" w:color="1B556B"/>
              <w:bottom w:val="single" w:sz="4" w:space="0" w:color="1B556B"/>
            </w:tcBorders>
          </w:tcPr>
          <w:p w14:paraId="05201B84" w14:textId="77777777" w:rsidR="00784FA9" w:rsidRPr="00330D83" w:rsidRDefault="00784FA9" w:rsidP="00330D83">
            <w:pPr>
              <w:pStyle w:val="TableText"/>
              <w:tabs>
                <w:tab w:val="decimal" w:pos="458"/>
              </w:tabs>
              <w:spacing w:before="50" w:after="50"/>
              <w:jc w:val="center"/>
              <w:rPr>
                <w:szCs w:val="16"/>
              </w:rPr>
            </w:pPr>
            <w:r w:rsidRPr="00330D83">
              <w:rPr>
                <w:szCs w:val="16"/>
              </w:rPr>
              <w:t xml:space="preserve">52.5 </w:t>
            </w:r>
          </w:p>
        </w:tc>
        <w:tc>
          <w:tcPr>
            <w:tcW w:w="1087" w:type="pct"/>
            <w:tcBorders>
              <w:top w:val="single" w:sz="4" w:space="0" w:color="1B556B"/>
              <w:bottom w:val="single" w:sz="4" w:space="0" w:color="1B556B"/>
            </w:tcBorders>
          </w:tcPr>
          <w:p w14:paraId="3BCC4A21" w14:textId="77777777" w:rsidR="00784FA9" w:rsidRPr="00330D83" w:rsidRDefault="00784FA9" w:rsidP="00330D83">
            <w:pPr>
              <w:pStyle w:val="TableText"/>
              <w:tabs>
                <w:tab w:val="decimal" w:pos="458"/>
              </w:tabs>
              <w:spacing w:before="50" w:after="50"/>
              <w:jc w:val="center"/>
              <w:rPr>
                <w:szCs w:val="16"/>
              </w:rPr>
            </w:pPr>
            <w:r w:rsidRPr="00330D83">
              <w:rPr>
                <w:szCs w:val="16"/>
              </w:rPr>
              <w:t xml:space="preserve">152.8 </w:t>
            </w:r>
          </w:p>
        </w:tc>
        <w:tc>
          <w:tcPr>
            <w:tcW w:w="1087" w:type="pct"/>
            <w:tcBorders>
              <w:top w:val="single" w:sz="4" w:space="0" w:color="1B556B"/>
              <w:bottom w:val="single" w:sz="4" w:space="0" w:color="1B556B"/>
            </w:tcBorders>
          </w:tcPr>
          <w:p w14:paraId="2744B027" w14:textId="77777777" w:rsidR="00784FA9" w:rsidRPr="00330D83" w:rsidRDefault="00784FA9" w:rsidP="00330D83">
            <w:pPr>
              <w:pStyle w:val="TableText"/>
              <w:tabs>
                <w:tab w:val="decimal" w:pos="458"/>
              </w:tabs>
              <w:spacing w:before="50" w:after="50"/>
              <w:jc w:val="center"/>
              <w:rPr>
                <w:szCs w:val="16"/>
              </w:rPr>
            </w:pPr>
            <w:r w:rsidRPr="00330D83">
              <w:rPr>
                <w:szCs w:val="16"/>
              </w:rPr>
              <w:t xml:space="preserve">100.3 </w:t>
            </w:r>
          </w:p>
        </w:tc>
        <w:tc>
          <w:tcPr>
            <w:tcW w:w="1087" w:type="pct"/>
            <w:tcBorders>
              <w:top w:val="single" w:sz="4" w:space="0" w:color="1B556B"/>
              <w:bottom w:val="single" w:sz="4" w:space="0" w:color="1B556B"/>
            </w:tcBorders>
          </w:tcPr>
          <w:p w14:paraId="11268BAE" w14:textId="77777777" w:rsidR="00784FA9" w:rsidRPr="00330D83" w:rsidRDefault="00784FA9" w:rsidP="00330D83">
            <w:pPr>
              <w:pStyle w:val="TableText"/>
              <w:tabs>
                <w:tab w:val="decimal" w:pos="458"/>
              </w:tabs>
              <w:spacing w:before="50" w:after="50"/>
              <w:jc w:val="center"/>
              <w:rPr>
                <w:szCs w:val="16"/>
              </w:rPr>
            </w:pPr>
            <w:r w:rsidRPr="00330D83">
              <w:rPr>
                <w:szCs w:val="16"/>
              </w:rPr>
              <w:t>191.1</w:t>
            </w:r>
          </w:p>
        </w:tc>
      </w:tr>
    </w:tbl>
    <w:p w14:paraId="5E4BF706" w14:textId="77777777" w:rsidR="00784FA9" w:rsidRPr="00D604EE" w:rsidRDefault="00784FA9" w:rsidP="00784FA9">
      <w:pPr>
        <w:pStyle w:val="Heading3"/>
      </w:pPr>
      <w:r w:rsidRPr="00D604EE">
        <w:lastRenderedPageBreak/>
        <w:t>6.8.6</w:t>
      </w:r>
      <w:r w:rsidRPr="00D604EE">
        <w:tab/>
        <w:t>Category-specific planned improvements</w:t>
      </w:r>
    </w:p>
    <w:p w14:paraId="23509938" w14:textId="77777777" w:rsidR="00784FA9" w:rsidRPr="00D604EE" w:rsidRDefault="00784FA9" w:rsidP="00330D83">
      <w:pPr>
        <w:pStyle w:val="BodyText"/>
        <w:keepLines/>
        <w:spacing w:before="100" w:after="100"/>
      </w:pPr>
      <w:r w:rsidRPr="00D604EE">
        <w:t xml:space="preserve">The mapping of </w:t>
      </w:r>
      <w:r w:rsidRPr="00D604EE">
        <w:rPr>
          <w:i/>
        </w:rPr>
        <w:t>Other land</w:t>
      </w:r>
      <w:r w:rsidRPr="00D604EE">
        <w:t xml:space="preserve"> at 1990 was based on lower 30-metre resolution Landsat satellite imagery meant that some areas of lower productive grassland and bare ground, which did not have a typical grassland spectral signature, could have been incorrectly classed as </w:t>
      </w:r>
      <w:r w:rsidRPr="00D604EE">
        <w:rPr>
          <w:i/>
          <w:iCs/>
        </w:rPr>
        <w:t>Other</w:t>
      </w:r>
      <w:r w:rsidRPr="00D604EE">
        <w:rPr>
          <w:i/>
        </w:rPr>
        <w:t xml:space="preserve"> land</w:t>
      </w:r>
      <w:r w:rsidRPr="00D604EE">
        <w:t xml:space="preserve">. Subsequent land-use change has highlighted that the 1990 classification should be reviewed and updated. This is a scheduled improvement activity. </w:t>
      </w:r>
    </w:p>
    <w:p w14:paraId="6612AC5E" w14:textId="77777777" w:rsidR="00784FA9" w:rsidRPr="00D604EE" w:rsidRDefault="00784FA9" w:rsidP="00784FA9">
      <w:pPr>
        <w:pStyle w:val="BodyText"/>
        <w:spacing w:before="100" w:after="100"/>
      </w:pPr>
      <w:r w:rsidRPr="00D604EE">
        <w:t xml:space="preserve">The reference SOC value is based on only three estimates, is high compared with the 2006 IPCC Guidelines (IPCC, 2006a) default value and has a relatively high uncertainty. Further soil sampling in land classified as </w:t>
      </w:r>
      <w:r w:rsidRPr="00D604EE">
        <w:rPr>
          <w:i/>
        </w:rPr>
        <w:t>Other land</w:t>
      </w:r>
      <w:r w:rsidRPr="00D604EE">
        <w:t xml:space="preserve"> is required to improve soil carbon estimates in this land use category. However, while this action is listed as a planned improvement, it has not yet received funding and is unlikely to be implemented in the next inventory submission. </w:t>
      </w:r>
    </w:p>
    <w:p w14:paraId="756B86BC" w14:textId="77777777" w:rsidR="00784FA9" w:rsidRPr="00D604EE" w:rsidRDefault="00784FA9" w:rsidP="00784FA9">
      <w:pPr>
        <w:pStyle w:val="Heading2"/>
      </w:pPr>
      <w:bookmarkStart w:id="2237" w:name="_Toc99659148"/>
      <w:r w:rsidRPr="00D604EE">
        <w:t>6.9</w:t>
      </w:r>
      <w:r w:rsidRPr="00D604EE">
        <w:tab/>
        <w:t>Harvested wood products (CRF 4G)</w:t>
      </w:r>
      <w:bookmarkEnd w:id="2237"/>
    </w:p>
    <w:p w14:paraId="391CCC6A" w14:textId="77777777" w:rsidR="00784FA9" w:rsidRPr="00D604EE" w:rsidRDefault="00784FA9" w:rsidP="00784FA9">
      <w:pPr>
        <w:pStyle w:val="Heading3"/>
        <w:spacing w:before="240"/>
      </w:pPr>
      <w:r w:rsidRPr="00D604EE">
        <w:t>6.9.1</w:t>
      </w:r>
      <w:r w:rsidRPr="00D604EE">
        <w:tab/>
        <w:t>Description</w:t>
      </w:r>
    </w:p>
    <w:p w14:paraId="20DACA90" w14:textId="77777777" w:rsidR="00784FA9" w:rsidRPr="00D604EE" w:rsidRDefault="00784FA9" w:rsidP="00784FA9">
      <w:pPr>
        <w:pStyle w:val="BodyText"/>
        <w:spacing w:before="100" w:after="100"/>
      </w:pPr>
      <w:r w:rsidRPr="00D604EE">
        <w:t xml:space="preserve">In 2020, the net emissions from </w:t>
      </w:r>
      <w:r w:rsidRPr="00D604EE">
        <w:rPr>
          <w:i/>
        </w:rPr>
        <w:t xml:space="preserve">Harvested wood products </w:t>
      </w:r>
      <w:r w:rsidRPr="00D604EE">
        <w:t>were –6,834.6 kt CO</w:t>
      </w:r>
      <w:r w:rsidRPr="00D604EE">
        <w:rPr>
          <w:vertAlign w:val="subscript"/>
        </w:rPr>
        <w:t>2</w:t>
      </w:r>
      <w:r w:rsidRPr="00D604EE">
        <w:t xml:space="preserve">-e. This is </w:t>
      </w:r>
      <w:r w:rsidRPr="00D604EE">
        <w:br/>
      </w:r>
      <w:r w:rsidRPr="00D604EE">
        <w:rPr>
          <w:spacing w:val="-2"/>
        </w:rPr>
        <w:t>–4,353.4 kt CO</w:t>
      </w:r>
      <w:r w:rsidRPr="00D604EE">
        <w:rPr>
          <w:spacing w:val="-2"/>
          <w:vertAlign w:val="subscript"/>
        </w:rPr>
        <w:t>2</w:t>
      </w:r>
      <w:r w:rsidRPr="00D604EE">
        <w:rPr>
          <w:spacing w:val="-2"/>
        </w:rPr>
        <w:noBreakHyphen/>
        <w:t>e (175.5 per cent) lower than the 1990 level of –2,481.2 kt CO</w:t>
      </w:r>
      <w:r w:rsidRPr="00D604EE">
        <w:rPr>
          <w:spacing w:val="-2"/>
          <w:vertAlign w:val="subscript"/>
        </w:rPr>
        <w:t>2</w:t>
      </w:r>
      <w:r w:rsidRPr="00D604EE">
        <w:rPr>
          <w:spacing w:val="-2"/>
        </w:rPr>
        <w:noBreakHyphen/>
        <w:t>e. The decrease</w:t>
      </w:r>
      <w:r w:rsidRPr="00D604EE">
        <w:t xml:space="preserve"> in emissions in the </w:t>
      </w:r>
      <w:r w:rsidRPr="00D604EE">
        <w:rPr>
          <w:i/>
        </w:rPr>
        <w:t xml:space="preserve">Harvested wood products </w:t>
      </w:r>
      <w:r w:rsidRPr="00D604EE">
        <w:t>category</w:t>
      </w:r>
      <w:r w:rsidRPr="00D604EE">
        <w:rPr>
          <w:i/>
        </w:rPr>
        <w:t xml:space="preserve"> </w:t>
      </w:r>
      <w:r w:rsidRPr="00D604EE">
        <w:t>is driven by the increase in harvesting and production of roundwood that has occurred since 1990, as shown in figure 6.9.1.</w:t>
      </w:r>
    </w:p>
    <w:p w14:paraId="0499B7CE" w14:textId="77777777" w:rsidR="00784FA9" w:rsidRPr="00D604EE" w:rsidRDefault="00784FA9" w:rsidP="00784FA9">
      <w:pPr>
        <w:pStyle w:val="BodyText"/>
        <w:spacing w:before="100" w:after="100"/>
      </w:pPr>
      <w:r w:rsidRPr="00D604EE">
        <w:t xml:space="preserve">Net emissions in the </w:t>
      </w:r>
      <w:r w:rsidRPr="00D604EE">
        <w:rPr>
          <w:i/>
        </w:rPr>
        <w:t xml:space="preserve">Harvested wood products </w:t>
      </w:r>
      <w:r w:rsidRPr="00D604EE">
        <w:t xml:space="preserve">category are driven by the harvesting of planted forests to produce roundwood, resulting in changes to the carbon stock of this pool. The </w:t>
      </w:r>
      <w:r w:rsidRPr="00D604EE">
        <w:rPr>
          <w:i/>
        </w:rPr>
        <w:t xml:space="preserve">Harvested wood products </w:t>
      </w:r>
      <w:r w:rsidRPr="00D604EE">
        <w:t xml:space="preserve">pool gains carbon as new </w:t>
      </w:r>
      <w:r w:rsidRPr="00D604EE">
        <w:rPr>
          <w:i/>
        </w:rPr>
        <w:t>Harvested wood products</w:t>
      </w:r>
      <w:r w:rsidRPr="00D604EE">
        <w:t xml:space="preserve"> are created. Losses from the </w:t>
      </w:r>
      <w:r w:rsidRPr="00D604EE">
        <w:rPr>
          <w:i/>
        </w:rPr>
        <w:t>Harvested wood products</w:t>
      </w:r>
      <w:r w:rsidRPr="00D604EE">
        <w:t xml:space="preserve"> pool occur due to products being discarded. To account for these losses through time, a decay profile, or half-life, is applied for each product type. </w:t>
      </w:r>
    </w:p>
    <w:p w14:paraId="182D03E0" w14:textId="77777777" w:rsidR="00784FA9" w:rsidRPr="00D604EE" w:rsidRDefault="00784FA9" w:rsidP="00784FA9">
      <w:pPr>
        <w:pStyle w:val="BodyText"/>
        <w:spacing w:before="100" w:after="100"/>
      </w:pPr>
      <w:r w:rsidRPr="00D604EE">
        <w:t xml:space="preserve">Between 2019 and 2020 removals in the </w:t>
      </w:r>
      <w:r w:rsidRPr="00D604EE">
        <w:rPr>
          <w:i/>
        </w:rPr>
        <w:t>Harvested wood products </w:t>
      </w:r>
      <w:r w:rsidRPr="00D604EE">
        <w:t>category have reduced by 2,203.3 kt CO</w:t>
      </w:r>
      <w:r w:rsidRPr="00D604EE">
        <w:rPr>
          <w:vertAlign w:val="subscript"/>
        </w:rPr>
        <w:t>2</w:t>
      </w:r>
      <w:r w:rsidRPr="00D604EE">
        <w:t>-e. The reason for this change was that the production of harvested wood products fell due to disruptions in processing and logistics related to COVID-19.</w:t>
      </w:r>
    </w:p>
    <w:p w14:paraId="11FA5808" w14:textId="77777777" w:rsidR="00784FA9" w:rsidRPr="00D604EE" w:rsidRDefault="00784FA9" w:rsidP="00784FA9">
      <w:pPr>
        <w:pStyle w:val="Figure"/>
        <w:spacing w:before="100" w:after="100"/>
      </w:pPr>
      <w:bookmarkStart w:id="2238" w:name="_Toc405448097"/>
      <w:bookmarkStart w:id="2239" w:name="_Toc414531629"/>
      <w:bookmarkStart w:id="2240" w:name="_Toc474914653"/>
      <w:bookmarkStart w:id="2241" w:name="_Toc481752035"/>
      <w:bookmarkStart w:id="2242" w:name="_Toc522010713"/>
      <w:bookmarkStart w:id="2243" w:name="_Toc33529488"/>
      <w:bookmarkStart w:id="2244" w:name="_Toc36292818"/>
      <w:bookmarkStart w:id="2245" w:name="_Toc99696054"/>
      <w:bookmarkStart w:id="2246" w:name="_Toc5269715"/>
      <w:r w:rsidRPr="00D604EE">
        <w:t>Figure 6.9.1</w:t>
      </w:r>
      <w:r w:rsidRPr="00D604EE">
        <w:tab/>
        <w:t>Volume of roundwood produced and exported between 1990 to 2020</w:t>
      </w:r>
      <w:bookmarkEnd w:id="2238"/>
      <w:bookmarkEnd w:id="2239"/>
      <w:bookmarkEnd w:id="2240"/>
      <w:bookmarkEnd w:id="2241"/>
      <w:bookmarkEnd w:id="2242"/>
      <w:bookmarkEnd w:id="2243"/>
      <w:bookmarkEnd w:id="2244"/>
      <w:bookmarkEnd w:id="2245"/>
    </w:p>
    <w:bookmarkEnd w:id="2246"/>
    <w:p w14:paraId="4C0FF276" w14:textId="45F1C981" w:rsidR="00784FA9" w:rsidRPr="00D604EE" w:rsidRDefault="004B48CC" w:rsidP="00330D83">
      <w:pPr>
        <w:pStyle w:val="BodyText"/>
        <w:spacing w:before="80"/>
      </w:pPr>
      <w:r>
        <w:rPr>
          <w:noProof/>
        </w:rPr>
        <w:pict w14:anchorId="08BC96CC">
          <v:shape id="_x0000_i1129" type="#_x0000_t75" style="width:410.25pt;height:235.25pt;visibility:visible;mso-wrap-style:square">
            <v:imagedata r:id="rId208" o:title="" croptop="1653f" cropbottom="1992f" cropleft="910f" cropright="1373f"/>
          </v:shape>
        </w:pict>
      </w:r>
    </w:p>
    <w:p w14:paraId="1AD5849E" w14:textId="77777777" w:rsidR="00784FA9" w:rsidRPr="00D604EE" w:rsidRDefault="00784FA9" w:rsidP="00784FA9">
      <w:pPr>
        <w:pStyle w:val="BodyText"/>
        <w:spacing w:before="100" w:after="100"/>
      </w:pPr>
      <w:r w:rsidRPr="00D604EE">
        <w:lastRenderedPageBreak/>
        <w:t>New Zealand has a large planted forest estate that provides the majority of wood products consumed domestically and exported in either product or raw material form. New Zealand currently processes around 40 per cent of its annual harvest (Ministry for Primary Industries, 2021a, 2021b). The remaining harvest is exported in raw material form. New Zealand is currently the largest exporter of industrial roundwood followed by the Russian Federation and Czechia (Food and Agriculture Organization, 2019). New Zealand’s planted forests are dominated by radiata pine, which is used in a wide range of applications including timber-frame construction, packaging, plywood, medium density fibreboard (MDF), posts and poles and mechanical and chemical pulping.</w:t>
      </w:r>
    </w:p>
    <w:p w14:paraId="0C4D5C85" w14:textId="77777777" w:rsidR="00784FA9" w:rsidRPr="00D604EE" w:rsidRDefault="00784FA9" w:rsidP="00784FA9">
      <w:pPr>
        <w:pStyle w:val="BodyText"/>
        <w:spacing w:before="100" w:after="100"/>
      </w:pPr>
      <w:r w:rsidRPr="00D604EE">
        <w:t xml:space="preserve">In 2020, </w:t>
      </w:r>
      <w:r w:rsidRPr="00D604EE">
        <w:rPr>
          <w:i/>
        </w:rPr>
        <w:t>Harvested wood products</w:t>
      </w:r>
      <w:r w:rsidRPr="00D604EE">
        <w:t xml:space="preserve"> was a key category (trend and level assessment).</w:t>
      </w:r>
    </w:p>
    <w:p w14:paraId="0EE319DC" w14:textId="77777777" w:rsidR="00784FA9" w:rsidRPr="00D604EE" w:rsidRDefault="00784FA9" w:rsidP="00784FA9">
      <w:pPr>
        <w:pStyle w:val="Heading3"/>
      </w:pPr>
      <w:r w:rsidRPr="00D604EE">
        <w:t>6.9.2</w:t>
      </w:r>
      <w:r w:rsidRPr="00D604EE">
        <w:tab/>
        <w:t>Methodological issues</w:t>
      </w:r>
    </w:p>
    <w:p w14:paraId="3963C199" w14:textId="77777777" w:rsidR="00784FA9" w:rsidRPr="00D604EE" w:rsidRDefault="00784FA9" w:rsidP="00784FA9">
      <w:pPr>
        <w:pStyle w:val="BodyText"/>
        <w:spacing w:before="100" w:after="100"/>
      </w:pPr>
      <w:r w:rsidRPr="00D604EE">
        <w:t xml:space="preserve">New Zealand has selected the production approach to report </w:t>
      </w:r>
      <w:r w:rsidRPr="00D604EE">
        <w:rPr>
          <w:i/>
        </w:rPr>
        <w:t>Harvested wood products</w:t>
      </w:r>
      <w:r w:rsidRPr="00D604EE">
        <w:t xml:space="preserve"> in the National Inventory Report. To do this, New Zealand has adapted the default </w:t>
      </w:r>
      <w:r w:rsidRPr="00D604EE">
        <w:rPr>
          <w:i/>
        </w:rPr>
        <w:t>Harvested wood products</w:t>
      </w:r>
      <w:r w:rsidRPr="00D604EE">
        <w:t xml:space="preserve"> model and uses a Tier 2 method (section 12.2.1.2, IPCC, 2006a), which involves using country-specific activity data and parameters (Wakelin et al., 2020). </w:t>
      </w:r>
    </w:p>
    <w:p w14:paraId="4306D8A8" w14:textId="77777777" w:rsidR="00784FA9" w:rsidRPr="00D604EE" w:rsidRDefault="00784FA9" w:rsidP="00784FA9">
      <w:pPr>
        <w:pStyle w:val="Heading5"/>
        <w:spacing w:before="160"/>
      </w:pPr>
      <w:r w:rsidRPr="00D604EE">
        <w:t>Activity data</w:t>
      </w:r>
    </w:p>
    <w:p w14:paraId="78B28935" w14:textId="77777777" w:rsidR="00784FA9" w:rsidRPr="00D604EE" w:rsidRDefault="00784FA9" w:rsidP="00784FA9">
      <w:pPr>
        <w:pStyle w:val="BodyText"/>
      </w:pPr>
      <w:r w:rsidRPr="00D604EE">
        <w:rPr>
          <w:spacing w:val="-2"/>
        </w:rPr>
        <w:t>Activity data on roundwood production volume, roundwood export volume and the production</w:t>
      </w:r>
      <w:r w:rsidRPr="00D604EE">
        <w:t xml:space="preserve"> of New Zealand processed wood products are sourced from the Ministry for Primary Industries (MPI) (Ministry for Primary Industries, 2021a, 2021b</w:t>
      </w:r>
      <w:r w:rsidRPr="00D604EE" w:rsidDel="008369AD">
        <w:t>)</w:t>
      </w:r>
      <w:r w:rsidRPr="00D604EE">
        <w:t>. Additional data on New Zealand wood product production and export, which are not available from the published MPI statistics,</w:t>
      </w:r>
      <w:r w:rsidRPr="00D604EE" w:rsidDel="006D3A2A">
        <w:t xml:space="preserve"> </w:t>
      </w:r>
      <w:r w:rsidRPr="00D604EE">
        <w:t xml:space="preserve">are sourced from the Food and Agriculture Organization statistical database (the FAOSTAT database) which contains data that MPI provides to the Food and Agriculture Organization. The FAOSTAT database provides more granular breakdowns of semi-finished wood products produced in New Zealand, which specific carbon fractions can then be applied to. </w:t>
      </w:r>
    </w:p>
    <w:p w14:paraId="7446B0D5" w14:textId="77777777" w:rsidR="00784FA9" w:rsidRPr="00D604EE" w:rsidRDefault="00784FA9" w:rsidP="00784FA9">
      <w:pPr>
        <w:pStyle w:val="BodyText"/>
      </w:pPr>
      <w:r w:rsidRPr="00D604EE">
        <w:t xml:space="preserve">Activity data for the period 1900 to 1960 are populated using the IPCC model method, which assumes that consumption is correlated with population growth. New Zealand used the default value for Oceania for the annual rate of increase for the period 1900 to 1960. This information is used to initialise </w:t>
      </w:r>
      <w:r w:rsidRPr="00D604EE">
        <w:rPr>
          <w:i/>
        </w:rPr>
        <w:t>Harvested wood products</w:t>
      </w:r>
      <w:r w:rsidRPr="00D604EE">
        <w:t xml:space="preserve"> stocks as at 1 January 1990. </w:t>
      </w:r>
    </w:p>
    <w:p w14:paraId="56FAE1E0" w14:textId="77777777" w:rsidR="00784FA9" w:rsidRPr="00D604EE" w:rsidRDefault="00784FA9" w:rsidP="00784FA9">
      <w:pPr>
        <w:pStyle w:val="BodyText"/>
      </w:pPr>
      <w:r w:rsidRPr="00D604EE">
        <w:t>A large proportion (over 60 per cent) of New Zealand’s harvest was exported as raw materials in the form of logs or wood chips in 2020, as shown in figure 6.9.1 (Ministry for Primary Industries, 2021a, 2021b</w:t>
      </w:r>
      <w:r w:rsidRPr="00D604EE" w:rsidDel="002045E8">
        <w:t>)</w:t>
      </w:r>
      <w:r w:rsidRPr="00D604EE">
        <w:t xml:space="preserve">. Note that the exported volume of </w:t>
      </w:r>
      <w:r w:rsidRPr="00D604EE">
        <w:rPr>
          <w:i/>
        </w:rPr>
        <w:t>Harvested wood products</w:t>
      </w:r>
      <w:r w:rsidRPr="00D604EE">
        <w:t xml:space="preserve"> described in CRF table 4.Gs2 does not sum to 60 per cent of all exported products. This is because this table includes only products produced in New Zealand and does not include the volume of raw logs exported that are then processed offshore. </w:t>
      </w:r>
    </w:p>
    <w:p w14:paraId="71B82A02" w14:textId="77777777" w:rsidR="00784FA9" w:rsidRPr="00D604EE" w:rsidRDefault="00784FA9" w:rsidP="00784FA9">
      <w:pPr>
        <w:pStyle w:val="BodyText"/>
      </w:pPr>
      <w:r w:rsidRPr="00D604EE">
        <w:t>MPI provides data on the export quantity of raw materials but provides no information on the conversion of these materials to products or their expected half-lives. Research was completed in 2016 to provide information on</w:t>
      </w:r>
      <w:r w:rsidRPr="00D604EE">
        <w:rPr>
          <w:i/>
        </w:rPr>
        <w:t xml:space="preserve"> Harvested wood products</w:t>
      </w:r>
      <w:r w:rsidRPr="00D604EE">
        <w:t xml:space="preserve"> from exported logs in New Zealand’s three main export markets (China, South Korea and India). This research provides activity data for the conversion of New Zealand-produced raw materials to harvested wood products in export markets (Ministry for Primary Industries, 2016). </w:t>
      </w:r>
    </w:p>
    <w:p w14:paraId="4130948C" w14:textId="77777777" w:rsidR="00784FA9" w:rsidRPr="00D604EE" w:rsidRDefault="00784FA9" w:rsidP="00784FA9">
      <w:pPr>
        <w:pStyle w:val="BodyText"/>
        <w:spacing w:before="100" w:after="100"/>
      </w:pPr>
      <w:r w:rsidRPr="00D604EE">
        <w:t xml:space="preserve">Further research was commissioned in 2017 to update the model assumptions that are used for calculating harvested wood product volume and associated emissions to include the activity data and half-lives of the 2016 report (Wakelin and Kimberley, unpublished). Note that the model also includes export variables to Japan, which was historically a large export market </w:t>
      </w:r>
      <w:r w:rsidRPr="00D604EE">
        <w:lastRenderedPageBreak/>
        <w:t>but has reduced and is projected to continue to reduce over time. It also includes</w:t>
      </w:r>
      <w:r w:rsidRPr="00D604EE" w:rsidDel="001122AF">
        <w:t xml:space="preserve"> </w:t>
      </w:r>
      <w:r w:rsidRPr="00D604EE">
        <w:t xml:space="preserve">“Other countries”, which account for a small volume of exports that are sold to other markets. Details of product volume and half-lives for these export markets can be found in annex A3.2.6. </w:t>
      </w:r>
    </w:p>
    <w:p w14:paraId="7FBFA894" w14:textId="77777777" w:rsidR="00784FA9" w:rsidRPr="00D604EE" w:rsidRDefault="00784FA9" w:rsidP="00784FA9">
      <w:pPr>
        <w:pStyle w:val="BodyText"/>
        <w:spacing w:before="100" w:after="100"/>
      </w:pPr>
      <w:r w:rsidRPr="00D604EE">
        <w:t xml:space="preserve">Activity data for exported log volumes and </w:t>
      </w:r>
      <w:r w:rsidRPr="00D604EE">
        <w:rPr>
          <w:i/>
          <w:iCs/>
        </w:rPr>
        <w:t>Harvested wood products</w:t>
      </w:r>
      <w:r w:rsidRPr="00D604EE">
        <w:t xml:space="preserve"> to individual countries are periodically published by MPI </w:t>
      </w:r>
      <w:bookmarkStart w:id="2247" w:name="_Hlk89344724"/>
      <w:r w:rsidRPr="00D604EE">
        <w:t>(Ministry for Primary Industries, 2021b</w:t>
      </w:r>
      <w:bookmarkEnd w:id="2247"/>
      <w:r w:rsidRPr="00D604EE">
        <w:t xml:space="preserve">). The proportion of exported roundwood to product type in these export markets is obtained by applying the ratios of product type produced (sawnwood, wood panels or paper) as identified in the 2016 report (Ministry for Primary Industries, 2016) to the volume of timber exported to each of the export markets. </w:t>
      </w:r>
    </w:p>
    <w:p w14:paraId="76B34147" w14:textId="77777777" w:rsidR="00784FA9" w:rsidRPr="00D604EE" w:rsidRDefault="00784FA9" w:rsidP="00784FA9">
      <w:pPr>
        <w:pStyle w:val="Heading5"/>
        <w:spacing w:before="200"/>
      </w:pPr>
      <w:r w:rsidRPr="00D604EE">
        <w:t>Emission factors</w:t>
      </w:r>
    </w:p>
    <w:p w14:paraId="55DC4963" w14:textId="77777777" w:rsidR="00784FA9" w:rsidRPr="00D604EE" w:rsidRDefault="00784FA9" w:rsidP="00784FA9">
      <w:pPr>
        <w:pStyle w:val="BodyText"/>
      </w:pPr>
      <w:r w:rsidRPr="00D604EE">
        <w:t xml:space="preserve">The default wood carbon content value of 50 per cent, from table 12.4 of the 2006 IPCC Guidelines (IPCC, 2006a), is used in the </w:t>
      </w:r>
      <w:r w:rsidRPr="00D604EE">
        <w:rPr>
          <w:i/>
        </w:rPr>
        <w:t>Harvested wood products</w:t>
      </w:r>
      <w:r w:rsidRPr="00D604EE">
        <w:t xml:space="preserve"> model (IPCC, 2006a). This value is consistent with the planted forest model that uses a country-specific value of 50 per cent. A country-specific wood density value of 420 kilograms per square metre is used for sawnwood produced from coniferous species (Jones, 2005). This value is used to reflect coniferous species’ contribution to New Zealand roundwood, which makes up around 98 per cent of annual harvest. A country-specific wood density value of 500 kilograms per square metre is used for sawnwood produced from non-coniferous species (Jones, 2005). Non</w:t>
      </w:r>
      <w:r w:rsidRPr="00D604EE">
        <w:noBreakHyphen/>
        <w:t xml:space="preserve">coniferous species (mainly </w:t>
      </w:r>
      <w:r w:rsidRPr="00D604EE">
        <w:rPr>
          <w:i/>
        </w:rPr>
        <w:t>Eucalyptus</w:t>
      </w:r>
      <w:r w:rsidRPr="00D604EE">
        <w:t xml:space="preserve"> species) make up around 2 per cent of annual harvest. The default IPCC bark factor (11 per cent; annex 4A.1, IPCC, 2006a) is used for conifers and is considered appropriate for New Zealand. Wood-based panels and paper products all use IPCC defaults because no country-specific value is available (see table 6.9.1).</w:t>
      </w:r>
    </w:p>
    <w:p w14:paraId="7EF839E5" w14:textId="77777777" w:rsidR="00784FA9" w:rsidRPr="00D604EE" w:rsidRDefault="00784FA9" w:rsidP="00784FA9">
      <w:pPr>
        <w:pStyle w:val="BodyText"/>
      </w:pPr>
      <w:r w:rsidRPr="00D604EE">
        <w:t xml:space="preserve">Exported raw logs are first converted to tonnes of carbon, based on the carbon fractions for coniferous species and for non-coniferous species as outlined above. This carbon is then apportioned into each export market and wood product combination (sawnwood, panels, and paper). </w:t>
      </w:r>
    </w:p>
    <w:p w14:paraId="13D20BB7" w14:textId="77777777" w:rsidR="00784FA9" w:rsidRPr="00D604EE" w:rsidRDefault="00784FA9" w:rsidP="00784FA9">
      <w:pPr>
        <w:pStyle w:val="Table"/>
      </w:pPr>
      <w:bookmarkStart w:id="2248" w:name="_Toc410028866"/>
      <w:bookmarkStart w:id="2249" w:name="_Toc414531494"/>
      <w:bookmarkStart w:id="2250" w:name="_Toc443645407"/>
      <w:bookmarkStart w:id="2251" w:name="_Toc474914626"/>
      <w:bookmarkStart w:id="2252" w:name="_Toc481751590"/>
      <w:bookmarkStart w:id="2253" w:name="_Toc522010647"/>
      <w:bookmarkStart w:id="2254" w:name="_Toc5269552"/>
      <w:bookmarkStart w:id="2255" w:name="_Toc33529426"/>
      <w:bookmarkStart w:id="2256" w:name="_Toc36224632"/>
      <w:bookmarkStart w:id="2257" w:name="_Toc99659313"/>
      <w:r w:rsidRPr="00D604EE">
        <w:t>Table 6.9.1</w:t>
      </w:r>
      <w:r w:rsidRPr="00D604EE">
        <w:tab/>
        <w:t xml:space="preserve">Conversion factors for </w:t>
      </w:r>
      <w:r w:rsidRPr="00D604EE">
        <w:rPr>
          <w:i/>
        </w:rPr>
        <w:t>Harvested wood products</w:t>
      </w:r>
      <w:r w:rsidRPr="00D604EE">
        <w:t xml:space="preserve"> produced from New Zealand</w:t>
      </w:r>
      <w:bookmarkEnd w:id="2248"/>
      <w:bookmarkEnd w:id="2249"/>
      <w:bookmarkEnd w:id="2250"/>
      <w:bookmarkEnd w:id="2251"/>
      <w:bookmarkEnd w:id="2252"/>
      <w:r w:rsidRPr="00D604EE">
        <w:t xml:space="preserve"> wood</w:t>
      </w:r>
      <w:bookmarkEnd w:id="2253"/>
      <w:bookmarkEnd w:id="2254"/>
      <w:bookmarkEnd w:id="2255"/>
      <w:bookmarkEnd w:id="2256"/>
      <w:r w:rsidRPr="00D604EE">
        <w:t xml:space="preserve"> in New Zealand</w:t>
      </w:r>
      <w:bookmarkEnd w:id="2257"/>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3965"/>
        <w:gridCol w:w="1991"/>
        <w:gridCol w:w="2549"/>
      </w:tblGrid>
      <w:tr w:rsidR="00330D83" w:rsidRPr="00D604EE" w14:paraId="23B84581" w14:textId="77777777" w:rsidTr="00330D83">
        <w:trPr>
          <w:trHeight w:val="286"/>
          <w:tblHeader/>
        </w:trPr>
        <w:tc>
          <w:tcPr>
            <w:tcW w:w="4144" w:type="dxa"/>
            <w:shd w:val="clear" w:color="auto" w:fill="1B556B"/>
            <w:vAlign w:val="bottom"/>
          </w:tcPr>
          <w:p w14:paraId="7C183954" w14:textId="77777777" w:rsidR="00784FA9" w:rsidRPr="00D604EE" w:rsidRDefault="00784FA9" w:rsidP="007E3239">
            <w:pPr>
              <w:pStyle w:val="TableTextBold"/>
              <w:keepNext/>
              <w:keepLines/>
              <w:spacing w:before="40" w:after="40"/>
              <w:rPr>
                <w:noProof w:val="0"/>
                <w:color w:val="FFFFFF"/>
              </w:rPr>
            </w:pPr>
            <w:r w:rsidRPr="00D604EE">
              <w:rPr>
                <w:noProof w:val="0"/>
                <w:color w:val="FFFFFF"/>
              </w:rPr>
              <w:t>Category</w:t>
            </w:r>
          </w:p>
        </w:tc>
        <w:tc>
          <w:tcPr>
            <w:tcW w:w="2072" w:type="dxa"/>
            <w:shd w:val="clear" w:color="auto" w:fill="1B556B"/>
            <w:vAlign w:val="bottom"/>
          </w:tcPr>
          <w:p w14:paraId="485C4127" w14:textId="77777777" w:rsidR="00784FA9" w:rsidRPr="00D604EE" w:rsidRDefault="00784FA9" w:rsidP="007E3239">
            <w:pPr>
              <w:pStyle w:val="TableTextBold"/>
              <w:keepNext/>
              <w:keepLines/>
              <w:spacing w:before="40" w:after="40"/>
              <w:jc w:val="center"/>
              <w:rPr>
                <w:noProof w:val="0"/>
                <w:color w:val="FFFFFF"/>
              </w:rPr>
            </w:pPr>
            <w:r w:rsidRPr="00D604EE">
              <w:rPr>
                <w:noProof w:val="0"/>
                <w:color w:val="FFFFFF"/>
              </w:rPr>
              <w:t>Factor (t C/m</w:t>
            </w:r>
            <w:r w:rsidRPr="00D604EE">
              <w:rPr>
                <w:rFonts w:ascii="Calibri Light" w:hAnsi="Calibri Light"/>
                <w:noProof w:val="0"/>
                <w:color w:val="FFFFFF"/>
                <w:vertAlign w:val="superscript"/>
              </w:rPr>
              <w:t>3</w:t>
            </w:r>
            <w:r w:rsidRPr="00D604EE">
              <w:rPr>
                <w:noProof w:val="0"/>
                <w:color w:val="FFFFFF"/>
              </w:rPr>
              <w:t xml:space="preserve"> or t C/t*)</w:t>
            </w:r>
          </w:p>
        </w:tc>
        <w:tc>
          <w:tcPr>
            <w:tcW w:w="2663" w:type="dxa"/>
            <w:shd w:val="clear" w:color="auto" w:fill="1B556B"/>
            <w:vAlign w:val="bottom"/>
          </w:tcPr>
          <w:p w14:paraId="163C55E7" w14:textId="77777777" w:rsidR="00784FA9" w:rsidRPr="00D604EE" w:rsidRDefault="00784FA9" w:rsidP="007E3239">
            <w:pPr>
              <w:pStyle w:val="TableTextBold"/>
              <w:keepNext/>
              <w:keepLines/>
              <w:spacing w:before="40" w:after="40"/>
              <w:rPr>
                <w:noProof w:val="0"/>
                <w:color w:val="FFFFFF"/>
              </w:rPr>
            </w:pPr>
            <w:r w:rsidRPr="00D604EE">
              <w:rPr>
                <w:noProof w:val="0"/>
                <w:color w:val="FFFFFF"/>
              </w:rPr>
              <w:t>Source</w:t>
            </w:r>
          </w:p>
        </w:tc>
      </w:tr>
      <w:tr w:rsidR="00784FA9" w:rsidRPr="00D604EE" w14:paraId="77529D3F" w14:textId="77777777" w:rsidTr="00330D83">
        <w:trPr>
          <w:trHeight w:val="286"/>
        </w:trPr>
        <w:tc>
          <w:tcPr>
            <w:tcW w:w="4144" w:type="dxa"/>
            <w:shd w:val="clear" w:color="auto" w:fill="auto"/>
          </w:tcPr>
          <w:p w14:paraId="6F4F1D62" w14:textId="77777777" w:rsidR="00784FA9" w:rsidRPr="00D604EE" w:rsidRDefault="00784FA9" w:rsidP="007E3239">
            <w:pPr>
              <w:pStyle w:val="TableText"/>
              <w:spacing w:before="40" w:after="40"/>
            </w:pPr>
            <w:r w:rsidRPr="00D604EE">
              <w:t>Sawnwood, other industrial roundwood (coniferous)</w:t>
            </w:r>
          </w:p>
        </w:tc>
        <w:tc>
          <w:tcPr>
            <w:tcW w:w="2072" w:type="dxa"/>
            <w:shd w:val="clear" w:color="auto" w:fill="auto"/>
          </w:tcPr>
          <w:p w14:paraId="4927294B" w14:textId="77777777" w:rsidR="00784FA9" w:rsidRPr="00D604EE" w:rsidRDefault="00784FA9" w:rsidP="007E3239">
            <w:pPr>
              <w:pStyle w:val="TableText"/>
              <w:tabs>
                <w:tab w:val="decimal" w:pos="181"/>
              </w:tabs>
              <w:spacing w:before="40" w:after="40"/>
              <w:jc w:val="center"/>
            </w:pPr>
            <w:r w:rsidRPr="00D604EE">
              <w:t>0.210</w:t>
            </w:r>
          </w:p>
        </w:tc>
        <w:tc>
          <w:tcPr>
            <w:tcW w:w="2663" w:type="dxa"/>
            <w:shd w:val="clear" w:color="auto" w:fill="auto"/>
          </w:tcPr>
          <w:p w14:paraId="7E680346" w14:textId="77777777" w:rsidR="00784FA9" w:rsidRPr="00D604EE" w:rsidRDefault="00784FA9" w:rsidP="007E3239">
            <w:pPr>
              <w:pStyle w:val="TableText"/>
              <w:spacing w:before="40" w:after="40"/>
            </w:pPr>
            <w:r w:rsidRPr="00D604EE">
              <w:t>Country specific (Jones, 2005)</w:t>
            </w:r>
          </w:p>
        </w:tc>
      </w:tr>
      <w:tr w:rsidR="00784FA9" w:rsidRPr="00D604EE" w14:paraId="48EC9EB0" w14:textId="77777777" w:rsidTr="00330D83">
        <w:trPr>
          <w:trHeight w:val="286"/>
        </w:trPr>
        <w:tc>
          <w:tcPr>
            <w:tcW w:w="4144" w:type="dxa"/>
            <w:shd w:val="clear" w:color="auto" w:fill="auto"/>
          </w:tcPr>
          <w:p w14:paraId="37676DCD" w14:textId="77777777" w:rsidR="00784FA9" w:rsidRPr="00D604EE" w:rsidRDefault="00784FA9" w:rsidP="007E3239">
            <w:pPr>
              <w:pStyle w:val="TableText"/>
              <w:spacing w:before="40" w:after="40"/>
            </w:pPr>
            <w:r w:rsidRPr="00D604EE">
              <w:t>Sawnwood, other industrial roundwood (non-coniferous)</w:t>
            </w:r>
          </w:p>
        </w:tc>
        <w:tc>
          <w:tcPr>
            <w:tcW w:w="2072" w:type="dxa"/>
            <w:shd w:val="clear" w:color="auto" w:fill="auto"/>
          </w:tcPr>
          <w:p w14:paraId="15EC2B51" w14:textId="77777777" w:rsidR="00784FA9" w:rsidRPr="00D604EE" w:rsidRDefault="00784FA9" w:rsidP="007E3239">
            <w:pPr>
              <w:pStyle w:val="TableText"/>
              <w:tabs>
                <w:tab w:val="decimal" w:pos="181"/>
              </w:tabs>
              <w:spacing w:before="40" w:after="40"/>
              <w:jc w:val="center"/>
            </w:pPr>
            <w:r w:rsidRPr="00D604EE">
              <w:t>0.250</w:t>
            </w:r>
          </w:p>
        </w:tc>
        <w:tc>
          <w:tcPr>
            <w:tcW w:w="2663" w:type="dxa"/>
            <w:shd w:val="clear" w:color="auto" w:fill="auto"/>
          </w:tcPr>
          <w:p w14:paraId="20466DBD" w14:textId="77777777" w:rsidR="00784FA9" w:rsidRPr="00D604EE" w:rsidRDefault="00784FA9" w:rsidP="007E3239">
            <w:pPr>
              <w:pStyle w:val="TableText"/>
              <w:spacing w:before="40" w:after="40"/>
            </w:pPr>
            <w:r w:rsidRPr="00D604EE">
              <w:t>Country specific (Jones, 2005)</w:t>
            </w:r>
          </w:p>
        </w:tc>
      </w:tr>
      <w:tr w:rsidR="00784FA9" w:rsidRPr="00D604EE" w14:paraId="73A4430E" w14:textId="77777777" w:rsidTr="00330D83">
        <w:trPr>
          <w:trHeight w:val="286"/>
        </w:trPr>
        <w:tc>
          <w:tcPr>
            <w:tcW w:w="4144" w:type="dxa"/>
            <w:shd w:val="clear" w:color="auto" w:fill="auto"/>
          </w:tcPr>
          <w:p w14:paraId="3890942A" w14:textId="77777777" w:rsidR="00784FA9" w:rsidRPr="00D604EE" w:rsidRDefault="00784FA9" w:rsidP="007E3239">
            <w:pPr>
              <w:pStyle w:val="TableText"/>
              <w:spacing w:before="40" w:after="40"/>
            </w:pPr>
            <w:r w:rsidRPr="00D604EE">
              <w:t>Veneer sheets</w:t>
            </w:r>
          </w:p>
        </w:tc>
        <w:tc>
          <w:tcPr>
            <w:tcW w:w="2072" w:type="dxa"/>
            <w:shd w:val="clear" w:color="auto" w:fill="auto"/>
          </w:tcPr>
          <w:p w14:paraId="1D90DB03" w14:textId="77777777" w:rsidR="00784FA9" w:rsidRPr="00D604EE" w:rsidRDefault="00784FA9" w:rsidP="007E3239">
            <w:pPr>
              <w:pStyle w:val="TableText"/>
              <w:tabs>
                <w:tab w:val="decimal" w:pos="181"/>
              </w:tabs>
              <w:spacing w:before="40" w:after="40"/>
              <w:jc w:val="center"/>
            </w:pPr>
            <w:r w:rsidRPr="00D604EE">
              <w:t>0.210</w:t>
            </w:r>
          </w:p>
        </w:tc>
        <w:tc>
          <w:tcPr>
            <w:tcW w:w="2663" w:type="dxa"/>
            <w:shd w:val="clear" w:color="auto" w:fill="auto"/>
          </w:tcPr>
          <w:p w14:paraId="592ECE11" w14:textId="77777777" w:rsidR="00784FA9" w:rsidRPr="00D604EE" w:rsidRDefault="00784FA9" w:rsidP="007E3239">
            <w:pPr>
              <w:pStyle w:val="TableText"/>
              <w:spacing w:before="40" w:after="40"/>
            </w:pPr>
            <w:r w:rsidRPr="00D604EE">
              <w:t>Country specific (Jones, 2005)</w:t>
            </w:r>
          </w:p>
        </w:tc>
      </w:tr>
      <w:tr w:rsidR="00784FA9" w:rsidRPr="00D604EE" w14:paraId="6F20DE84" w14:textId="77777777" w:rsidTr="00330D83">
        <w:trPr>
          <w:trHeight w:val="286"/>
        </w:trPr>
        <w:tc>
          <w:tcPr>
            <w:tcW w:w="4144" w:type="dxa"/>
            <w:shd w:val="clear" w:color="auto" w:fill="auto"/>
          </w:tcPr>
          <w:p w14:paraId="7FAD6AF7" w14:textId="77777777" w:rsidR="00784FA9" w:rsidRPr="00D604EE" w:rsidRDefault="00784FA9" w:rsidP="007E3239">
            <w:pPr>
              <w:pStyle w:val="TableText"/>
              <w:spacing w:before="40" w:after="40"/>
            </w:pPr>
            <w:r w:rsidRPr="00D604EE">
              <w:t>Plywood</w:t>
            </w:r>
          </w:p>
        </w:tc>
        <w:tc>
          <w:tcPr>
            <w:tcW w:w="2072" w:type="dxa"/>
            <w:shd w:val="clear" w:color="auto" w:fill="auto"/>
          </w:tcPr>
          <w:p w14:paraId="3AED81BD" w14:textId="77777777" w:rsidR="00784FA9" w:rsidRPr="00D604EE" w:rsidRDefault="00784FA9" w:rsidP="007E3239">
            <w:pPr>
              <w:pStyle w:val="TableText"/>
              <w:tabs>
                <w:tab w:val="decimal" w:pos="181"/>
              </w:tabs>
              <w:spacing w:before="40" w:after="40"/>
              <w:jc w:val="center"/>
            </w:pPr>
            <w:r w:rsidRPr="00D604EE">
              <w:t>0.267</w:t>
            </w:r>
          </w:p>
        </w:tc>
        <w:tc>
          <w:tcPr>
            <w:tcW w:w="2663" w:type="dxa"/>
            <w:shd w:val="clear" w:color="auto" w:fill="auto"/>
          </w:tcPr>
          <w:p w14:paraId="4496FAD0" w14:textId="77777777" w:rsidR="00784FA9" w:rsidRPr="00D604EE" w:rsidRDefault="00784FA9" w:rsidP="007E3239">
            <w:pPr>
              <w:pStyle w:val="TableText"/>
              <w:spacing w:before="40" w:after="40"/>
            </w:pPr>
            <w:r w:rsidRPr="00D604EE">
              <w:t>IPCC default (IPCC, 2014)</w:t>
            </w:r>
          </w:p>
        </w:tc>
      </w:tr>
      <w:tr w:rsidR="00784FA9" w:rsidRPr="00D604EE" w14:paraId="3D24F0BC" w14:textId="77777777" w:rsidTr="00330D83">
        <w:trPr>
          <w:trHeight w:val="286"/>
        </w:trPr>
        <w:tc>
          <w:tcPr>
            <w:tcW w:w="4144" w:type="dxa"/>
            <w:shd w:val="clear" w:color="auto" w:fill="auto"/>
          </w:tcPr>
          <w:p w14:paraId="5B056FCD" w14:textId="77777777" w:rsidR="00784FA9" w:rsidRPr="00D604EE" w:rsidRDefault="00784FA9" w:rsidP="007E3239">
            <w:pPr>
              <w:pStyle w:val="TableText"/>
              <w:spacing w:before="40" w:after="40"/>
            </w:pPr>
            <w:r w:rsidRPr="00D604EE">
              <w:t>Particle board</w:t>
            </w:r>
          </w:p>
        </w:tc>
        <w:tc>
          <w:tcPr>
            <w:tcW w:w="2072" w:type="dxa"/>
            <w:shd w:val="clear" w:color="auto" w:fill="auto"/>
          </w:tcPr>
          <w:p w14:paraId="7A9F036E" w14:textId="77777777" w:rsidR="00784FA9" w:rsidRPr="00D604EE" w:rsidRDefault="00784FA9" w:rsidP="007E3239">
            <w:pPr>
              <w:pStyle w:val="TableText"/>
              <w:tabs>
                <w:tab w:val="decimal" w:pos="181"/>
              </w:tabs>
              <w:spacing w:before="40" w:after="40"/>
              <w:jc w:val="center"/>
            </w:pPr>
            <w:r w:rsidRPr="00D604EE">
              <w:t>0.269</w:t>
            </w:r>
          </w:p>
        </w:tc>
        <w:tc>
          <w:tcPr>
            <w:tcW w:w="2663" w:type="dxa"/>
            <w:shd w:val="clear" w:color="auto" w:fill="auto"/>
          </w:tcPr>
          <w:p w14:paraId="41538BBF" w14:textId="77777777" w:rsidR="00784FA9" w:rsidRPr="00D604EE" w:rsidRDefault="00784FA9" w:rsidP="007E3239">
            <w:pPr>
              <w:pStyle w:val="TableText"/>
              <w:spacing w:before="40" w:after="40"/>
            </w:pPr>
            <w:r w:rsidRPr="00D604EE">
              <w:t>IPCC default (IPCC, 2014)</w:t>
            </w:r>
          </w:p>
        </w:tc>
      </w:tr>
      <w:tr w:rsidR="00784FA9" w:rsidRPr="00D604EE" w14:paraId="68CE2B26" w14:textId="77777777" w:rsidTr="00330D83">
        <w:trPr>
          <w:trHeight w:val="286"/>
        </w:trPr>
        <w:tc>
          <w:tcPr>
            <w:tcW w:w="4144" w:type="dxa"/>
            <w:shd w:val="clear" w:color="auto" w:fill="auto"/>
          </w:tcPr>
          <w:p w14:paraId="4D3427AD" w14:textId="77777777" w:rsidR="00784FA9" w:rsidRPr="00D604EE" w:rsidRDefault="00784FA9" w:rsidP="007E3239">
            <w:pPr>
              <w:pStyle w:val="TableText"/>
              <w:spacing w:before="40" w:after="40"/>
            </w:pPr>
            <w:r w:rsidRPr="00D604EE">
              <w:t>Fibreboard (compressed)</w:t>
            </w:r>
          </w:p>
        </w:tc>
        <w:tc>
          <w:tcPr>
            <w:tcW w:w="2072" w:type="dxa"/>
            <w:shd w:val="clear" w:color="auto" w:fill="auto"/>
          </w:tcPr>
          <w:p w14:paraId="64E2E758" w14:textId="77777777" w:rsidR="00784FA9" w:rsidRPr="00D604EE" w:rsidRDefault="00784FA9" w:rsidP="007E3239">
            <w:pPr>
              <w:pStyle w:val="TableText"/>
              <w:tabs>
                <w:tab w:val="decimal" w:pos="181"/>
              </w:tabs>
              <w:spacing w:before="40" w:after="40"/>
              <w:jc w:val="center"/>
            </w:pPr>
            <w:r w:rsidRPr="00D604EE">
              <w:t>0.315</w:t>
            </w:r>
          </w:p>
        </w:tc>
        <w:tc>
          <w:tcPr>
            <w:tcW w:w="2663" w:type="dxa"/>
            <w:shd w:val="clear" w:color="auto" w:fill="auto"/>
          </w:tcPr>
          <w:p w14:paraId="6FD21074" w14:textId="77777777" w:rsidR="00784FA9" w:rsidRPr="00D604EE" w:rsidRDefault="00784FA9" w:rsidP="007E3239">
            <w:pPr>
              <w:pStyle w:val="TableText"/>
              <w:spacing w:before="40" w:after="40"/>
            </w:pPr>
            <w:r w:rsidRPr="00D604EE">
              <w:t>IPCC default (IPCC, 2014)</w:t>
            </w:r>
          </w:p>
        </w:tc>
      </w:tr>
      <w:tr w:rsidR="00784FA9" w:rsidRPr="00D604EE" w14:paraId="64E85D52" w14:textId="77777777" w:rsidTr="00330D83">
        <w:trPr>
          <w:trHeight w:val="286"/>
        </w:trPr>
        <w:tc>
          <w:tcPr>
            <w:tcW w:w="4144" w:type="dxa"/>
            <w:shd w:val="clear" w:color="auto" w:fill="auto"/>
          </w:tcPr>
          <w:p w14:paraId="485A3821" w14:textId="77777777" w:rsidR="00784FA9" w:rsidRPr="00D604EE" w:rsidRDefault="00784FA9" w:rsidP="007E3239">
            <w:pPr>
              <w:pStyle w:val="TableText"/>
              <w:spacing w:before="40" w:after="40"/>
            </w:pPr>
            <w:r w:rsidRPr="00D604EE">
              <w:t>Insulating board/other fibreboard</w:t>
            </w:r>
          </w:p>
        </w:tc>
        <w:tc>
          <w:tcPr>
            <w:tcW w:w="2072" w:type="dxa"/>
            <w:shd w:val="clear" w:color="auto" w:fill="auto"/>
          </w:tcPr>
          <w:p w14:paraId="48283656" w14:textId="77777777" w:rsidR="00784FA9" w:rsidRPr="00D604EE" w:rsidRDefault="00784FA9" w:rsidP="007E3239">
            <w:pPr>
              <w:pStyle w:val="TableText"/>
              <w:tabs>
                <w:tab w:val="decimal" w:pos="181"/>
              </w:tabs>
              <w:spacing w:before="40" w:after="40"/>
              <w:jc w:val="center"/>
            </w:pPr>
            <w:r w:rsidRPr="00D604EE">
              <w:t>0.075</w:t>
            </w:r>
          </w:p>
        </w:tc>
        <w:tc>
          <w:tcPr>
            <w:tcW w:w="2663" w:type="dxa"/>
            <w:shd w:val="clear" w:color="auto" w:fill="auto"/>
          </w:tcPr>
          <w:p w14:paraId="49B94DBE" w14:textId="77777777" w:rsidR="00784FA9" w:rsidRPr="00D604EE" w:rsidRDefault="00784FA9" w:rsidP="007E3239">
            <w:pPr>
              <w:pStyle w:val="TableText"/>
              <w:spacing w:before="40" w:after="40"/>
            </w:pPr>
            <w:r w:rsidRPr="00D604EE">
              <w:t>IPCC default (IPCC, 2014)</w:t>
            </w:r>
          </w:p>
        </w:tc>
      </w:tr>
      <w:tr w:rsidR="00784FA9" w:rsidRPr="00D604EE" w14:paraId="23042E1A" w14:textId="77777777" w:rsidTr="00330D83">
        <w:trPr>
          <w:trHeight w:val="286"/>
        </w:trPr>
        <w:tc>
          <w:tcPr>
            <w:tcW w:w="4144" w:type="dxa"/>
            <w:shd w:val="clear" w:color="auto" w:fill="auto"/>
          </w:tcPr>
          <w:p w14:paraId="4150F0D3" w14:textId="77777777" w:rsidR="00784FA9" w:rsidRPr="00D604EE" w:rsidRDefault="00784FA9" w:rsidP="007E3239">
            <w:pPr>
              <w:pStyle w:val="TableText"/>
              <w:spacing w:before="40" w:after="40"/>
            </w:pPr>
            <w:r w:rsidRPr="00D604EE">
              <w:t>Paper products</w:t>
            </w:r>
          </w:p>
        </w:tc>
        <w:tc>
          <w:tcPr>
            <w:tcW w:w="2072" w:type="dxa"/>
            <w:shd w:val="clear" w:color="auto" w:fill="auto"/>
          </w:tcPr>
          <w:p w14:paraId="5933A6EB" w14:textId="77777777" w:rsidR="00784FA9" w:rsidRPr="00D604EE" w:rsidRDefault="00784FA9" w:rsidP="007E3239">
            <w:pPr>
              <w:pStyle w:val="TableText"/>
              <w:tabs>
                <w:tab w:val="decimal" w:pos="181"/>
              </w:tabs>
              <w:spacing w:before="40" w:after="40"/>
              <w:ind w:right="-57"/>
              <w:jc w:val="center"/>
            </w:pPr>
            <w:r w:rsidRPr="00D604EE">
              <w:t>0.450*</w:t>
            </w:r>
          </w:p>
        </w:tc>
        <w:tc>
          <w:tcPr>
            <w:tcW w:w="2663" w:type="dxa"/>
            <w:shd w:val="clear" w:color="auto" w:fill="auto"/>
          </w:tcPr>
          <w:p w14:paraId="2D975E2A" w14:textId="77777777" w:rsidR="00784FA9" w:rsidRPr="00D604EE" w:rsidRDefault="00784FA9" w:rsidP="007E3239">
            <w:pPr>
              <w:pStyle w:val="TableText"/>
              <w:spacing w:before="40" w:after="40"/>
            </w:pPr>
            <w:r w:rsidRPr="00D604EE">
              <w:t>IPCC default (IPCC, 2014)</w:t>
            </w:r>
          </w:p>
        </w:tc>
      </w:tr>
    </w:tbl>
    <w:p w14:paraId="726961CD" w14:textId="77777777" w:rsidR="00784FA9" w:rsidRPr="00D604EE" w:rsidRDefault="00784FA9" w:rsidP="00784FA9">
      <w:pPr>
        <w:pStyle w:val="Noteundertable"/>
      </w:pPr>
      <w:r w:rsidRPr="00D604EE">
        <w:rPr>
          <w:b/>
        </w:rPr>
        <w:t>Note:</w:t>
      </w:r>
      <w:r w:rsidRPr="00D604EE">
        <w:tab/>
        <w:t>* Indicates where factors are given in tonnes of carbon per tonne of product.</w:t>
      </w:r>
    </w:p>
    <w:p w14:paraId="4FD9E4D1" w14:textId="77777777" w:rsidR="00784FA9" w:rsidRPr="00D604EE" w:rsidRDefault="00784FA9" w:rsidP="00784FA9">
      <w:pPr>
        <w:pStyle w:val="Heading5"/>
        <w:spacing w:before="120"/>
      </w:pPr>
      <w:r w:rsidRPr="00D604EE">
        <w:t xml:space="preserve">Half-lives </w:t>
      </w:r>
    </w:p>
    <w:p w14:paraId="752BFCC4" w14:textId="77777777" w:rsidR="00784FA9" w:rsidRPr="00D604EE" w:rsidRDefault="00784FA9" w:rsidP="00784FA9">
      <w:pPr>
        <w:pStyle w:val="BodyText"/>
      </w:pPr>
      <w:r w:rsidRPr="00D604EE">
        <w:t xml:space="preserve">Half-lives determine the discard rate of products from service in the </w:t>
      </w:r>
      <w:r w:rsidRPr="00D604EE">
        <w:rPr>
          <w:i/>
        </w:rPr>
        <w:t xml:space="preserve">Harvested wood products </w:t>
      </w:r>
      <w:r w:rsidRPr="00D604EE">
        <w:t>category. New Zealand uses a half-life of 35 years for </w:t>
      </w:r>
      <w:r w:rsidRPr="00D604EE">
        <w:rPr>
          <w:i/>
        </w:rPr>
        <w:t>Sawnwood</w:t>
      </w:r>
      <w:r w:rsidRPr="00D604EE">
        <w:t>,</w:t>
      </w:r>
      <w:r w:rsidRPr="00D604EE">
        <w:rPr>
          <w:i/>
        </w:rPr>
        <w:t xml:space="preserve"> </w:t>
      </w:r>
      <w:r w:rsidRPr="00D604EE">
        <w:t>25 years for</w:t>
      </w:r>
      <w:r w:rsidRPr="00D604EE">
        <w:rPr>
          <w:i/>
        </w:rPr>
        <w:t xml:space="preserve"> Panels</w:t>
      </w:r>
      <w:r w:rsidRPr="00D604EE" w:rsidDel="00C32CA0">
        <w:rPr>
          <w:i/>
        </w:rPr>
        <w:t xml:space="preserve"> </w:t>
      </w:r>
      <w:r w:rsidRPr="00D604EE">
        <w:t xml:space="preserve">and two years for </w:t>
      </w:r>
      <w:r w:rsidRPr="00D604EE">
        <w:rPr>
          <w:i/>
        </w:rPr>
        <w:t>Paper and paperboard</w:t>
      </w:r>
      <w:r w:rsidRPr="00D604EE">
        <w:t xml:space="preserve"> from the Kyoto Protocol Supplement (IPCC, 2014) for domestic production. These half-lives are used to increase the accuracy of the estimates over the default categories (</w:t>
      </w:r>
      <w:r w:rsidRPr="00D604EE">
        <w:rPr>
          <w:i/>
        </w:rPr>
        <w:t xml:space="preserve">Solid wood </w:t>
      </w:r>
      <w:r w:rsidRPr="00D604EE">
        <w:t>and</w:t>
      </w:r>
      <w:r w:rsidRPr="00D604EE">
        <w:rPr>
          <w:i/>
        </w:rPr>
        <w:t xml:space="preserve"> Paper and paperboard</w:t>
      </w:r>
      <w:r w:rsidRPr="00D604EE">
        <w:t>)</w:t>
      </w:r>
      <w:r w:rsidRPr="00D604EE">
        <w:rPr>
          <w:i/>
        </w:rPr>
        <w:t xml:space="preserve"> </w:t>
      </w:r>
      <w:r w:rsidRPr="00D604EE">
        <w:t>(table 12.2, IPCC, 2006a).</w:t>
      </w:r>
    </w:p>
    <w:p w14:paraId="338CD90D" w14:textId="77777777" w:rsidR="00784FA9" w:rsidRPr="00D604EE" w:rsidRDefault="00784FA9" w:rsidP="00784FA9">
      <w:pPr>
        <w:pStyle w:val="BodyText"/>
        <w:spacing w:before="100" w:after="100"/>
      </w:pPr>
      <w:r w:rsidRPr="00D604EE">
        <w:rPr>
          <w:spacing w:val="-2"/>
        </w:rPr>
        <w:lastRenderedPageBreak/>
        <w:t>Most of New Zealand’s exported logs are converted into construction and packaging material (</w:t>
      </w:r>
      <w:r w:rsidRPr="00D604EE">
        <w:t xml:space="preserve">Ministry for Primary Industries, 2016). </w:t>
      </w:r>
      <w:r w:rsidRPr="00D604EE">
        <w:rPr>
          <w:spacing w:val="-2"/>
        </w:rPr>
        <w:t xml:space="preserve">The weighted half-lives for China and India are significantly lower than the IPCC default half-lives for </w:t>
      </w:r>
      <w:r w:rsidRPr="00D604EE">
        <w:rPr>
          <w:i/>
          <w:spacing w:val="-2"/>
        </w:rPr>
        <w:t>Sawnwood</w:t>
      </w:r>
      <w:r w:rsidRPr="00D604EE">
        <w:rPr>
          <w:spacing w:val="-2"/>
        </w:rPr>
        <w:t xml:space="preserve"> and </w:t>
      </w:r>
      <w:r w:rsidRPr="00D604EE">
        <w:rPr>
          <w:i/>
          <w:spacing w:val="-2"/>
        </w:rPr>
        <w:t>Panels</w:t>
      </w:r>
      <w:r w:rsidRPr="00D604EE">
        <w:rPr>
          <w:spacing w:val="-2"/>
        </w:rPr>
        <w:t xml:space="preserve"> at 35 and 25 years respectively (IPCC, 2014), as demonstrated in table 6.9.2 below. These findings are included in New Zealand’s </w:t>
      </w:r>
      <w:r w:rsidRPr="00D604EE">
        <w:rPr>
          <w:i/>
          <w:spacing w:val="-2"/>
        </w:rPr>
        <w:t>Harvested wood products</w:t>
      </w:r>
      <w:r w:rsidRPr="00D604EE">
        <w:rPr>
          <w:spacing w:val="-2"/>
        </w:rPr>
        <w:t xml:space="preserve"> estimates and provide an improvement on the default assumption where exported raw materials were discarded at the same rate as domestic production. Further information on the half-lives for conversions of exported logs is provided in annex </w:t>
      </w:r>
      <w:r w:rsidRPr="00D604EE">
        <w:t>A3.2.6</w:t>
      </w:r>
      <w:r w:rsidRPr="00D604EE">
        <w:rPr>
          <w:spacing w:val="-2"/>
        </w:rPr>
        <w:t>.</w:t>
      </w:r>
    </w:p>
    <w:p w14:paraId="3D6F864A" w14:textId="77777777" w:rsidR="00784FA9" w:rsidRPr="00D604EE" w:rsidRDefault="00784FA9" w:rsidP="00784FA9">
      <w:pPr>
        <w:pStyle w:val="Table"/>
      </w:pPr>
      <w:bookmarkStart w:id="2258" w:name="_Toc99659314"/>
      <w:r w:rsidRPr="00D604EE">
        <w:t>Table 6.9.2</w:t>
      </w:r>
      <w:r w:rsidRPr="00D604EE">
        <w:tab/>
        <w:t>Comparison of weighted half-lives for harvested wood products produced in export markets and the defaults applied in the IPCC, 2014 guidance</w:t>
      </w:r>
      <w:bookmarkEnd w:id="2258"/>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062"/>
        <w:gridCol w:w="2609"/>
        <w:gridCol w:w="1981"/>
        <w:gridCol w:w="1853"/>
      </w:tblGrid>
      <w:tr w:rsidR="00AF4C1A" w:rsidRPr="00D604EE" w14:paraId="78C1D9AD" w14:textId="77777777" w:rsidTr="00AF4C1A">
        <w:trPr>
          <w:tblHeader/>
        </w:trPr>
        <w:tc>
          <w:tcPr>
            <w:tcW w:w="2062" w:type="dxa"/>
            <w:vMerge w:val="restart"/>
            <w:tcBorders>
              <w:bottom w:val="nil"/>
            </w:tcBorders>
            <w:shd w:val="clear" w:color="auto" w:fill="1B556B"/>
            <w:vAlign w:val="bottom"/>
          </w:tcPr>
          <w:p w14:paraId="7A7F920E" w14:textId="77777777" w:rsidR="00784FA9" w:rsidRPr="00D604EE" w:rsidRDefault="00784FA9" w:rsidP="007E3239">
            <w:pPr>
              <w:pStyle w:val="TableTextBold"/>
              <w:spacing w:before="40" w:after="40"/>
              <w:rPr>
                <w:noProof w:val="0"/>
                <w:color w:val="FFFFFF"/>
              </w:rPr>
            </w:pPr>
            <w:r w:rsidRPr="00D604EE">
              <w:rPr>
                <w:noProof w:val="0"/>
                <w:color w:val="FFFFFF"/>
              </w:rPr>
              <w:t>Country</w:t>
            </w:r>
          </w:p>
        </w:tc>
        <w:tc>
          <w:tcPr>
            <w:tcW w:w="6443" w:type="dxa"/>
            <w:gridSpan w:val="3"/>
            <w:tcBorders>
              <w:bottom w:val="nil"/>
            </w:tcBorders>
            <w:shd w:val="clear" w:color="auto" w:fill="1B556B"/>
            <w:vAlign w:val="bottom"/>
          </w:tcPr>
          <w:p w14:paraId="0B1326BD" w14:textId="77777777" w:rsidR="00784FA9" w:rsidRPr="00D604EE" w:rsidRDefault="00784FA9" w:rsidP="00AF4C1A">
            <w:pPr>
              <w:pStyle w:val="TableTextBold"/>
              <w:spacing w:before="40" w:after="0"/>
              <w:jc w:val="center"/>
              <w:rPr>
                <w:noProof w:val="0"/>
                <w:color w:val="FFFFFF"/>
              </w:rPr>
            </w:pPr>
            <w:r w:rsidRPr="00D604EE">
              <w:rPr>
                <w:noProof w:val="0"/>
                <w:color w:val="FFFFFF"/>
              </w:rPr>
              <w:t>Weighted half-lives</w:t>
            </w:r>
          </w:p>
        </w:tc>
      </w:tr>
      <w:tr w:rsidR="00784FA9" w:rsidRPr="00D604EE" w14:paraId="00F0647D" w14:textId="77777777" w:rsidTr="000B0836">
        <w:tc>
          <w:tcPr>
            <w:tcW w:w="2062" w:type="dxa"/>
            <w:vMerge/>
            <w:tcBorders>
              <w:top w:val="nil"/>
              <w:bottom w:val="single" w:sz="4" w:space="0" w:color="1B556B"/>
            </w:tcBorders>
            <w:shd w:val="clear" w:color="auto" w:fill="1B556B"/>
          </w:tcPr>
          <w:p w14:paraId="3FC8CAD1" w14:textId="77777777" w:rsidR="00784FA9" w:rsidRPr="00D604EE" w:rsidRDefault="00784FA9" w:rsidP="007E3239">
            <w:pPr>
              <w:pStyle w:val="TableTextBold"/>
              <w:spacing w:before="40" w:after="40"/>
              <w:rPr>
                <w:noProof w:val="0"/>
                <w:color w:val="FFFFFF"/>
              </w:rPr>
            </w:pPr>
          </w:p>
        </w:tc>
        <w:tc>
          <w:tcPr>
            <w:tcW w:w="2609" w:type="dxa"/>
            <w:tcBorders>
              <w:top w:val="nil"/>
              <w:bottom w:val="single" w:sz="4" w:space="0" w:color="1B556B"/>
            </w:tcBorders>
            <w:shd w:val="clear" w:color="auto" w:fill="1B556B"/>
          </w:tcPr>
          <w:p w14:paraId="15198F44" w14:textId="77777777" w:rsidR="00784FA9" w:rsidRPr="00D604EE" w:rsidRDefault="00784FA9" w:rsidP="007E3239">
            <w:pPr>
              <w:pStyle w:val="TableTextBold"/>
              <w:spacing w:before="40" w:after="40"/>
              <w:jc w:val="center"/>
              <w:rPr>
                <w:noProof w:val="0"/>
                <w:color w:val="FFFFFF"/>
              </w:rPr>
            </w:pPr>
            <w:r w:rsidRPr="00D604EE">
              <w:rPr>
                <w:noProof w:val="0"/>
                <w:color w:val="FFFFFF"/>
              </w:rPr>
              <w:t>Sawnwood</w:t>
            </w:r>
          </w:p>
        </w:tc>
        <w:tc>
          <w:tcPr>
            <w:tcW w:w="1981" w:type="dxa"/>
            <w:tcBorders>
              <w:top w:val="nil"/>
              <w:bottom w:val="single" w:sz="4" w:space="0" w:color="1B556B"/>
            </w:tcBorders>
            <w:shd w:val="clear" w:color="auto" w:fill="1B556B"/>
          </w:tcPr>
          <w:p w14:paraId="1099E74B" w14:textId="77777777" w:rsidR="00784FA9" w:rsidRPr="00D604EE" w:rsidRDefault="00784FA9" w:rsidP="007E3239">
            <w:pPr>
              <w:pStyle w:val="TableTextBold"/>
              <w:spacing w:before="40" w:after="40"/>
              <w:jc w:val="center"/>
              <w:rPr>
                <w:noProof w:val="0"/>
                <w:color w:val="FFFFFF"/>
              </w:rPr>
            </w:pPr>
            <w:r w:rsidRPr="00D604EE">
              <w:rPr>
                <w:noProof w:val="0"/>
                <w:color w:val="FFFFFF"/>
              </w:rPr>
              <w:t>Wood panels</w:t>
            </w:r>
          </w:p>
        </w:tc>
        <w:tc>
          <w:tcPr>
            <w:tcW w:w="1853" w:type="dxa"/>
            <w:tcBorders>
              <w:top w:val="nil"/>
              <w:bottom w:val="single" w:sz="4" w:space="0" w:color="1B556B"/>
            </w:tcBorders>
            <w:shd w:val="clear" w:color="auto" w:fill="1B556B"/>
          </w:tcPr>
          <w:p w14:paraId="7B4AD593" w14:textId="77777777" w:rsidR="00784FA9" w:rsidRPr="00D604EE" w:rsidRDefault="00784FA9" w:rsidP="007E3239">
            <w:pPr>
              <w:pStyle w:val="TableTextBold"/>
              <w:spacing w:before="40" w:after="40"/>
              <w:jc w:val="center"/>
              <w:rPr>
                <w:noProof w:val="0"/>
                <w:color w:val="FFFFFF"/>
              </w:rPr>
            </w:pPr>
            <w:r w:rsidRPr="00D604EE">
              <w:rPr>
                <w:noProof w:val="0"/>
                <w:color w:val="FFFFFF"/>
              </w:rPr>
              <w:t>Paper</w:t>
            </w:r>
          </w:p>
        </w:tc>
      </w:tr>
      <w:tr w:rsidR="00784FA9" w:rsidRPr="00D604EE" w14:paraId="4E5D0EBE" w14:textId="77777777" w:rsidTr="000B0836">
        <w:tc>
          <w:tcPr>
            <w:tcW w:w="2062" w:type="dxa"/>
            <w:tcBorders>
              <w:top w:val="single" w:sz="4" w:space="0" w:color="1B556B"/>
              <w:bottom w:val="single" w:sz="4" w:space="0" w:color="1B556B"/>
            </w:tcBorders>
            <w:shd w:val="clear" w:color="auto" w:fill="auto"/>
          </w:tcPr>
          <w:p w14:paraId="214BBB18" w14:textId="77777777" w:rsidR="00784FA9" w:rsidRPr="00D604EE" w:rsidRDefault="00784FA9" w:rsidP="007E3239">
            <w:pPr>
              <w:pStyle w:val="TableText"/>
              <w:spacing w:before="40" w:after="40"/>
            </w:pPr>
            <w:r w:rsidRPr="00D604EE">
              <w:t>China</w:t>
            </w:r>
          </w:p>
        </w:tc>
        <w:tc>
          <w:tcPr>
            <w:tcW w:w="2609" w:type="dxa"/>
            <w:tcBorders>
              <w:top w:val="single" w:sz="4" w:space="0" w:color="1B556B"/>
              <w:bottom w:val="single" w:sz="4" w:space="0" w:color="1B556B"/>
            </w:tcBorders>
            <w:shd w:val="clear" w:color="auto" w:fill="auto"/>
          </w:tcPr>
          <w:p w14:paraId="71555D96" w14:textId="77777777" w:rsidR="00784FA9" w:rsidRPr="00D604EE" w:rsidRDefault="00784FA9" w:rsidP="007E3239">
            <w:pPr>
              <w:pStyle w:val="TableText"/>
              <w:tabs>
                <w:tab w:val="decimal" w:pos="181"/>
              </w:tabs>
              <w:spacing w:before="40" w:after="40"/>
              <w:jc w:val="center"/>
            </w:pPr>
            <w:r w:rsidRPr="00D604EE">
              <w:t>8.3</w:t>
            </w:r>
          </w:p>
        </w:tc>
        <w:tc>
          <w:tcPr>
            <w:tcW w:w="1981" w:type="dxa"/>
            <w:tcBorders>
              <w:top w:val="single" w:sz="4" w:space="0" w:color="1B556B"/>
              <w:bottom w:val="single" w:sz="4" w:space="0" w:color="1B556B"/>
            </w:tcBorders>
            <w:shd w:val="clear" w:color="auto" w:fill="auto"/>
          </w:tcPr>
          <w:p w14:paraId="72F42EF9" w14:textId="77777777" w:rsidR="00784FA9" w:rsidRPr="00D604EE" w:rsidRDefault="00784FA9" w:rsidP="007E3239">
            <w:pPr>
              <w:pStyle w:val="TableText"/>
              <w:spacing w:before="40" w:after="40"/>
              <w:jc w:val="center"/>
            </w:pPr>
            <w:r w:rsidRPr="00D604EE">
              <w:t>8.3</w:t>
            </w:r>
          </w:p>
        </w:tc>
        <w:tc>
          <w:tcPr>
            <w:tcW w:w="1853" w:type="dxa"/>
            <w:tcBorders>
              <w:top w:val="single" w:sz="4" w:space="0" w:color="1B556B"/>
              <w:bottom w:val="single" w:sz="4" w:space="0" w:color="1B556B"/>
            </w:tcBorders>
          </w:tcPr>
          <w:p w14:paraId="1CBB0936" w14:textId="77777777" w:rsidR="00784FA9" w:rsidRPr="00D604EE" w:rsidRDefault="00784FA9" w:rsidP="007E3239">
            <w:pPr>
              <w:pStyle w:val="TableText"/>
              <w:spacing w:before="40" w:after="40"/>
              <w:jc w:val="center"/>
            </w:pPr>
            <w:r w:rsidRPr="00D604EE">
              <w:t>2</w:t>
            </w:r>
          </w:p>
        </w:tc>
      </w:tr>
      <w:tr w:rsidR="00784FA9" w:rsidRPr="00D604EE" w14:paraId="3274C6E9" w14:textId="77777777" w:rsidTr="007E3239">
        <w:tc>
          <w:tcPr>
            <w:tcW w:w="2062" w:type="dxa"/>
            <w:shd w:val="clear" w:color="auto" w:fill="auto"/>
          </w:tcPr>
          <w:p w14:paraId="630B7CB7" w14:textId="77777777" w:rsidR="00784FA9" w:rsidRPr="00D604EE" w:rsidRDefault="00784FA9" w:rsidP="007E3239">
            <w:pPr>
              <w:pStyle w:val="TableText"/>
              <w:spacing w:before="40" w:after="40"/>
            </w:pPr>
            <w:r w:rsidRPr="00D604EE">
              <w:t>India</w:t>
            </w:r>
          </w:p>
        </w:tc>
        <w:tc>
          <w:tcPr>
            <w:tcW w:w="2609" w:type="dxa"/>
            <w:shd w:val="clear" w:color="auto" w:fill="auto"/>
          </w:tcPr>
          <w:p w14:paraId="4ABC75AF" w14:textId="77777777" w:rsidR="00784FA9" w:rsidRPr="00D604EE" w:rsidRDefault="00784FA9" w:rsidP="007E3239">
            <w:pPr>
              <w:pStyle w:val="TableText"/>
              <w:tabs>
                <w:tab w:val="decimal" w:pos="181"/>
              </w:tabs>
              <w:spacing w:before="40" w:after="40"/>
              <w:jc w:val="center"/>
            </w:pPr>
            <w:r w:rsidRPr="00D604EE">
              <w:t>1.4</w:t>
            </w:r>
          </w:p>
        </w:tc>
        <w:tc>
          <w:tcPr>
            <w:tcW w:w="1981" w:type="dxa"/>
            <w:shd w:val="clear" w:color="auto" w:fill="auto"/>
          </w:tcPr>
          <w:p w14:paraId="3AFBA86B" w14:textId="77777777" w:rsidR="00784FA9" w:rsidRPr="00D604EE" w:rsidRDefault="00784FA9" w:rsidP="007E3239">
            <w:pPr>
              <w:pStyle w:val="TableText"/>
              <w:spacing w:before="40" w:after="40"/>
              <w:jc w:val="center"/>
            </w:pPr>
            <w:r w:rsidRPr="00D604EE">
              <w:t>10.4</w:t>
            </w:r>
          </w:p>
        </w:tc>
        <w:tc>
          <w:tcPr>
            <w:tcW w:w="1853" w:type="dxa"/>
          </w:tcPr>
          <w:p w14:paraId="6378F5A6" w14:textId="77777777" w:rsidR="00784FA9" w:rsidRPr="00D604EE" w:rsidRDefault="00784FA9" w:rsidP="007E3239">
            <w:pPr>
              <w:pStyle w:val="TableText"/>
              <w:spacing w:before="40" w:after="40"/>
              <w:jc w:val="center"/>
            </w:pPr>
            <w:r w:rsidRPr="00D604EE">
              <w:t>2</w:t>
            </w:r>
          </w:p>
        </w:tc>
      </w:tr>
      <w:tr w:rsidR="00784FA9" w:rsidRPr="00D604EE" w14:paraId="4BB96A92" w14:textId="77777777" w:rsidTr="007E3239">
        <w:tc>
          <w:tcPr>
            <w:tcW w:w="2062" w:type="dxa"/>
            <w:shd w:val="clear" w:color="auto" w:fill="auto"/>
          </w:tcPr>
          <w:p w14:paraId="44FF97CF" w14:textId="77777777" w:rsidR="00784FA9" w:rsidRPr="00D604EE" w:rsidRDefault="00784FA9" w:rsidP="007E3239">
            <w:pPr>
              <w:pStyle w:val="TableText"/>
              <w:spacing w:before="40" w:after="40"/>
            </w:pPr>
            <w:r w:rsidRPr="00D604EE">
              <w:t>South Korea</w:t>
            </w:r>
          </w:p>
        </w:tc>
        <w:tc>
          <w:tcPr>
            <w:tcW w:w="2609" w:type="dxa"/>
            <w:shd w:val="clear" w:color="auto" w:fill="auto"/>
          </w:tcPr>
          <w:p w14:paraId="1C6FBEC3" w14:textId="77777777" w:rsidR="00784FA9" w:rsidRPr="00D604EE" w:rsidRDefault="00784FA9" w:rsidP="007E3239">
            <w:pPr>
              <w:pStyle w:val="TableText"/>
              <w:tabs>
                <w:tab w:val="decimal" w:pos="181"/>
              </w:tabs>
              <w:spacing w:before="40" w:after="40"/>
              <w:jc w:val="center"/>
            </w:pPr>
            <w:r w:rsidRPr="00D604EE">
              <w:t>15.5</w:t>
            </w:r>
          </w:p>
        </w:tc>
        <w:tc>
          <w:tcPr>
            <w:tcW w:w="1981" w:type="dxa"/>
            <w:shd w:val="clear" w:color="auto" w:fill="auto"/>
          </w:tcPr>
          <w:p w14:paraId="05F5FB29" w14:textId="77777777" w:rsidR="00784FA9" w:rsidRPr="00D604EE" w:rsidRDefault="00784FA9" w:rsidP="007E3239">
            <w:pPr>
              <w:pStyle w:val="TableText"/>
              <w:spacing w:before="40" w:after="40"/>
              <w:jc w:val="center"/>
            </w:pPr>
            <w:r w:rsidRPr="00D604EE">
              <w:t>23.9</w:t>
            </w:r>
          </w:p>
        </w:tc>
        <w:tc>
          <w:tcPr>
            <w:tcW w:w="1853" w:type="dxa"/>
          </w:tcPr>
          <w:p w14:paraId="48B10FD6" w14:textId="77777777" w:rsidR="00784FA9" w:rsidRPr="00D604EE" w:rsidRDefault="00784FA9" w:rsidP="007E3239">
            <w:pPr>
              <w:pStyle w:val="TableText"/>
              <w:spacing w:before="40" w:after="40"/>
              <w:jc w:val="center"/>
            </w:pPr>
            <w:r w:rsidRPr="00D604EE">
              <w:t>2</w:t>
            </w:r>
          </w:p>
        </w:tc>
      </w:tr>
      <w:tr w:rsidR="00784FA9" w:rsidRPr="00D604EE" w14:paraId="779DC1F9" w14:textId="77777777" w:rsidTr="007E3239">
        <w:tc>
          <w:tcPr>
            <w:tcW w:w="2062" w:type="dxa"/>
            <w:shd w:val="clear" w:color="auto" w:fill="auto"/>
          </w:tcPr>
          <w:p w14:paraId="233A371C" w14:textId="77777777" w:rsidR="00784FA9" w:rsidRPr="00D604EE" w:rsidRDefault="00784FA9" w:rsidP="007E3239">
            <w:pPr>
              <w:pStyle w:val="TableText"/>
              <w:spacing w:before="40" w:after="40"/>
            </w:pPr>
            <w:r w:rsidRPr="00D604EE">
              <w:t>Japan</w:t>
            </w:r>
          </w:p>
        </w:tc>
        <w:tc>
          <w:tcPr>
            <w:tcW w:w="2609" w:type="dxa"/>
            <w:shd w:val="clear" w:color="auto" w:fill="auto"/>
          </w:tcPr>
          <w:p w14:paraId="0B60FF5F" w14:textId="77777777" w:rsidR="00784FA9" w:rsidRPr="00D604EE" w:rsidRDefault="00784FA9" w:rsidP="007E3239">
            <w:pPr>
              <w:pStyle w:val="TableText"/>
              <w:tabs>
                <w:tab w:val="decimal" w:pos="181"/>
              </w:tabs>
              <w:spacing w:before="40" w:after="40"/>
              <w:jc w:val="center"/>
            </w:pPr>
            <w:r w:rsidRPr="00D604EE">
              <w:t>3.1</w:t>
            </w:r>
          </w:p>
        </w:tc>
        <w:tc>
          <w:tcPr>
            <w:tcW w:w="1981" w:type="dxa"/>
            <w:shd w:val="clear" w:color="auto" w:fill="auto"/>
          </w:tcPr>
          <w:p w14:paraId="23319CF4" w14:textId="77777777" w:rsidR="00784FA9" w:rsidRPr="00D604EE" w:rsidRDefault="00784FA9" w:rsidP="007E3239">
            <w:pPr>
              <w:pStyle w:val="TableText"/>
              <w:spacing w:before="40" w:after="40"/>
              <w:jc w:val="center"/>
            </w:pPr>
            <w:r w:rsidRPr="00D604EE">
              <w:t>2.8</w:t>
            </w:r>
          </w:p>
        </w:tc>
        <w:tc>
          <w:tcPr>
            <w:tcW w:w="1853" w:type="dxa"/>
          </w:tcPr>
          <w:p w14:paraId="415F1462" w14:textId="77777777" w:rsidR="00784FA9" w:rsidRPr="00D604EE" w:rsidRDefault="00784FA9" w:rsidP="007E3239">
            <w:pPr>
              <w:pStyle w:val="TableText"/>
              <w:spacing w:before="40" w:after="40"/>
              <w:jc w:val="center"/>
            </w:pPr>
            <w:r w:rsidRPr="00D604EE">
              <w:t>2</w:t>
            </w:r>
          </w:p>
        </w:tc>
      </w:tr>
      <w:tr w:rsidR="00784FA9" w:rsidRPr="00D604EE" w14:paraId="7D94E006" w14:textId="77777777" w:rsidTr="007E3239">
        <w:tc>
          <w:tcPr>
            <w:tcW w:w="2062" w:type="dxa"/>
            <w:shd w:val="clear" w:color="auto" w:fill="auto"/>
          </w:tcPr>
          <w:p w14:paraId="7A276D82" w14:textId="77777777" w:rsidR="00784FA9" w:rsidRPr="00D604EE" w:rsidRDefault="00784FA9" w:rsidP="007E3239">
            <w:pPr>
              <w:pStyle w:val="TableText"/>
              <w:spacing w:before="40" w:after="40"/>
            </w:pPr>
            <w:r w:rsidRPr="00D604EE">
              <w:t>Other</w:t>
            </w:r>
          </w:p>
        </w:tc>
        <w:tc>
          <w:tcPr>
            <w:tcW w:w="2609" w:type="dxa"/>
            <w:shd w:val="clear" w:color="auto" w:fill="auto"/>
          </w:tcPr>
          <w:p w14:paraId="55A0FE66" w14:textId="77777777" w:rsidR="00784FA9" w:rsidRPr="00D604EE" w:rsidRDefault="00784FA9" w:rsidP="007E3239">
            <w:pPr>
              <w:pStyle w:val="TableText"/>
              <w:tabs>
                <w:tab w:val="decimal" w:pos="181"/>
              </w:tabs>
              <w:spacing w:before="40" w:after="40"/>
              <w:jc w:val="center"/>
            </w:pPr>
            <w:r w:rsidRPr="00D604EE">
              <w:t>8.3</w:t>
            </w:r>
          </w:p>
        </w:tc>
        <w:tc>
          <w:tcPr>
            <w:tcW w:w="1981" w:type="dxa"/>
            <w:shd w:val="clear" w:color="auto" w:fill="auto"/>
          </w:tcPr>
          <w:p w14:paraId="1C4C77BB" w14:textId="77777777" w:rsidR="00784FA9" w:rsidRPr="00D604EE" w:rsidRDefault="00784FA9" w:rsidP="007E3239">
            <w:pPr>
              <w:pStyle w:val="TableText"/>
              <w:spacing w:before="40" w:after="40"/>
              <w:jc w:val="center"/>
            </w:pPr>
            <w:r w:rsidRPr="00D604EE">
              <w:t>8.3</w:t>
            </w:r>
          </w:p>
        </w:tc>
        <w:tc>
          <w:tcPr>
            <w:tcW w:w="1853" w:type="dxa"/>
          </w:tcPr>
          <w:p w14:paraId="3C9A1142" w14:textId="77777777" w:rsidR="00784FA9" w:rsidRPr="00D604EE" w:rsidRDefault="00784FA9" w:rsidP="007E3239">
            <w:pPr>
              <w:pStyle w:val="TableText"/>
              <w:spacing w:before="40" w:after="40"/>
              <w:jc w:val="center"/>
            </w:pPr>
            <w:r w:rsidRPr="00D604EE">
              <w:t>2</w:t>
            </w:r>
          </w:p>
        </w:tc>
      </w:tr>
      <w:tr w:rsidR="00784FA9" w:rsidRPr="00D604EE" w14:paraId="74CBD25E" w14:textId="77777777" w:rsidTr="007E3239">
        <w:tc>
          <w:tcPr>
            <w:tcW w:w="2062" w:type="dxa"/>
            <w:shd w:val="clear" w:color="auto" w:fill="auto"/>
          </w:tcPr>
          <w:p w14:paraId="53633838" w14:textId="77777777" w:rsidR="00784FA9" w:rsidRPr="00D604EE" w:rsidRDefault="00784FA9" w:rsidP="007E3239">
            <w:pPr>
              <w:pStyle w:val="TableText"/>
              <w:spacing w:before="40" w:after="40"/>
            </w:pPr>
            <w:r w:rsidRPr="00D604EE">
              <w:t>IPCC default</w:t>
            </w:r>
          </w:p>
        </w:tc>
        <w:tc>
          <w:tcPr>
            <w:tcW w:w="2609" w:type="dxa"/>
            <w:shd w:val="clear" w:color="auto" w:fill="auto"/>
          </w:tcPr>
          <w:p w14:paraId="2070A7DE" w14:textId="77777777" w:rsidR="00784FA9" w:rsidRPr="00D604EE" w:rsidRDefault="00784FA9" w:rsidP="007E3239">
            <w:pPr>
              <w:pStyle w:val="TableText"/>
              <w:tabs>
                <w:tab w:val="decimal" w:pos="181"/>
              </w:tabs>
              <w:spacing w:before="40" w:after="40"/>
              <w:jc w:val="center"/>
            </w:pPr>
            <w:r w:rsidRPr="00D604EE">
              <w:t>35</w:t>
            </w:r>
          </w:p>
        </w:tc>
        <w:tc>
          <w:tcPr>
            <w:tcW w:w="1981" w:type="dxa"/>
            <w:shd w:val="clear" w:color="auto" w:fill="auto"/>
          </w:tcPr>
          <w:p w14:paraId="1CE4BC3A" w14:textId="77777777" w:rsidR="00784FA9" w:rsidRPr="00D604EE" w:rsidRDefault="00784FA9" w:rsidP="007E3239">
            <w:pPr>
              <w:pStyle w:val="TableText"/>
              <w:spacing w:before="40" w:after="40"/>
              <w:jc w:val="center"/>
            </w:pPr>
            <w:r w:rsidRPr="00D604EE">
              <w:t>25</w:t>
            </w:r>
          </w:p>
        </w:tc>
        <w:tc>
          <w:tcPr>
            <w:tcW w:w="1853" w:type="dxa"/>
          </w:tcPr>
          <w:p w14:paraId="0E15C8FA" w14:textId="77777777" w:rsidR="00784FA9" w:rsidRPr="00D604EE" w:rsidRDefault="00784FA9" w:rsidP="007E3239">
            <w:pPr>
              <w:pStyle w:val="TableText"/>
              <w:spacing w:before="40" w:after="40"/>
              <w:jc w:val="center"/>
            </w:pPr>
            <w:r w:rsidRPr="00D604EE">
              <w:t>2</w:t>
            </w:r>
          </w:p>
        </w:tc>
      </w:tr>
    </w:tbl>
    <w:p w14:paraId="4A525F27" w14:textId="77777777" w:rsidR="00784FA9" w:rsidRPr="00D604EE" w:rsidRDefault="00784FA9" w:rsidP="00784FA9">
      <w:pPr>
        <w:pStyle w:val="Heading3"/>
      </w:pPr>
      <w:r w:rsidRPr="00D604EE">
        <w:t>6.9.3</w:t>
      </w:r>
      <w:r w:rsidRPr="00D604EE">
        <w:tab/>
        <w:t>Uncertainties and time-series consistency</w:t>
      </w:r>
    </w:p>
    <w:p w14:paraId="55193083" w14:textId="77777777" w:rsidR="00784FA9" w:rsidRPr="00D604EE" w:rsidRDefault="00784FA9" w:rsidP="00784FA9">
      <w:pPr>
        <w:pStyle w:val="BodyText"/>
        <w:spacing w:before="100" w:after="100"/>
      </w:pPr>
      <w:r w:rsidRPr="00D604EE">
        <w:t xml:space="preserve">The uncertainty in net carbon emissions from </w:t>
      </w:r>
      <w:r w:rsidRPr="00D604EE">
        <w:rPr>
          <w:i/>
          <w:iCs/>
        </w:rPr>
        <w:t>Harvested</w:t>
      </w:r>
      <w:r w:rsidRPr="00D604EE">
        <w:rPr>
          <w:i/>
        </w:rPr>
        <w:t xml:space="preserve"> wood products</w:t>
      </w:r>
      <w:r w:rsidRPr="00D604EE">
        <w:t xml:space="preserve"> was 68.2 per cent in 2020. The uncertainty in net emissions</w:t>
      </w:r>
      <w:r w:rsidRPr="00D604EE">
        <w:rPr>
          <w:rFonts w:ascii="Yu Gothic" w:eastAsia="Symbol" w:hAnsi="Yu Gothic" w:cs="Yu Gothic"/>
        </w:rPr>
        <w:t xml:space="preserve"> </w:t>
      </w:r>
      <w:r w:rsidRPr="00784FA9">
        <w:rPr>
          <w:rFonts w:eastAsia="Symbol" w:cs="Calibri"/>
        </w:rPr>
        <w:t xml:space="preserve">from </w:t>
      </w:r>
      <w:r w:rsidRPr="00784FA9">
        <w:rPr>
          <w:rFonts w:eastAsia="Symbol" w:cs="Calibri"/>
          <w:i/>
        </w:rPr>
        <w:t>Harvested wood products</w:t>
      </w:r>
      <w:r w:rsidRPr="00784FA9">
        <w:rPr>
          <w:rFonts w:eastAsia="Symbol" w:cs="Calibri"/>
        </w:rPr>
        <w:t xml:space="preserve"> accounted for 20.0 per cent of the </w:t>
      </w:r>
      <w:r w:rsidRPr="00784FA9">
        <w:rPr>
          <w:rFonts w:cs="Calibri"/>
        </w:rPr>
        <w:t>t</w:t>
      </w:r>
      <w:r w:rsidRPr="00D604EE">
        <w:t>otal uncertainty in emissions from the LULUCF sector. Uncertainty in the </w:t>
      </w:r>
      <w:r w:rsidRPr="00D604EE">
        <w:rPr>
          <w:i/>
        </w:rPr>
        <w:t>Harvested wood products</w:t>
      </w:r>
      <w:r w:rsidRPr="00D604EE">
        <w:t xml:space="preserve"> estimates is introduced by activity data, conversion factors and decay parameters and is driven by large removals in this pool and high uncertainty associated with the end-use and discard rates of New Zealand wood. The methods used to calculate the uncertainty are further described in annex A3.2.8.</w:t>
      </w:r>
    </w:p>
    <w:p w14:paraId="4266E728" w14:textId="77777777" w:rsidR="00784FA9" w:rsidRPr="00D604EE" w:rsidRDefault="00784FA9" w:rsidP="00784FA9">
      <w:pPr>
        <w:pStyle w:val="BodyText"/>
        <w:spacing w:before="100" w:after="100"/>
      </w:pPr>
      <w:r w:rsidRPr="00D604EE">
        <w:t xml:space="preserve">Time-series consistency is ensured by applying consistent methods and full recalculations in the event of any refinement or improvement to methodology. </w:t>
      </w:r>
    </w:p>
    <w:p w14:paraId="00BED402" w14:textId="77777777" w:rsidR="00784FA9" w:rsidRPr="00D604EE" w:rsidRDefault="00784FA9" w:rsidP="00784FA9">
      <w:pPr>
        <w:pStyle w:val="Heading3"/>
        <w:spacing w:before="240"/>
      </w:pPr>
      <w:r w:rsidRPr="00D604EE">
        <w:t>6.9.4</w:t>
      </w:r>
      <w:r w:rsidRPr="00D604EE">
        <w:tab/>
        <w:t>Category-specific QA/QC and verification</w:t>
      </w:r>
    </w:p>
    <w:p w14:paraId="33D80879" w14:textId="77777777" w:rsidR="00784FA9" w:rsidRPr="00D604EE" w:rsidRDefault="00784FA9" w:rsidP="00784FA9">
      <w:pPr>
        <w:pStyle w:val="BodyText"/>
        <w:spacing w:before="100" w:after="100"/>
      </w:pPr>
      <w:r w:rsidRPr="00D604EE">
        <w:t xml:space="preserve">Activity data for roundwood are sourced from annual statistics produced by MPI. However, as section 6.3 describes, the methodology for estimating above-ground biomass losses on harvest uses the LUCAS model, which combines harvest area by age with yield table carbon values. To ensure consistency between MPI roundwood volume statistics and LUCAS harvest estimates, a comparison between the two data sources across the time series was carried out and is further described in annex A3.2.5 ‘Forest land model validations’. </w:t>
      </w:r>
    </w:p>
    <w:p w14:paraId="01C9E932" w14:textId="77777777" w:rsidR="00784FA9" w:rsidRPr="00D604EE" w:rsidRDefault="00784FA9" w:rsidP="00784FA9">
      <w:pPr>
        <w:pStyle w:val="BodyText"/>
        <w:spacing w:before="100" w:after="100"/>
      </w:pPr>
      <w:r w:rsidRPr="00D604EE">
        <w:t>The results show</w:t>
      </w:r>
      <w:r w:rsidRPr="00D604EE" w:rsidDel="004D5E77">
        <w:t xml:space="preserve"> </w:t>
      </w:r>
      <w:r w:rsidRPr="00D604EE">
        <w:t xml:space="preserve">a relatively good match between the two data sources between 2013 and 2020. This is because roundwood volume is now used to determine the total destocking area over this period. However, the two data sources deviate in earlier years. LUCAS above-ground biomass losses from harvest are greater than those estimated from roundwood volume statistics from 1996 to 2012 and are slightly lower from 1990 to 1994. </w:t>
      </w:r>
    </w:p>
    <w:p w14:paraId="3A03DCF9" w14:textId="77777777" w:rsidR="00784FA9" w:rsidRPr="00D604EE" w:rsidRDefault="00784FA9" w:rsidP="00784FA9">
      <w:pPr>
        <w:pStyle w:val="BodyText"/>
        <w:spacing w:before="100" w:after="100"/>
      </w:pPr>
      <w:r w:rsidRPr="00D604EE">
        <w:t xml:space="preserve">The implications of these earlier differences are that New Zealand may be reporting more carbon losses from harvesting and deforestation than carbon gains from roundwood creation and inputs into the </w:t>
      </w:r>
      <w:r w:rsidRPr="00D604EE">
        <w:rPr>
          <w:i/>
        </w:rPr>
        <w:t>Harvested wood products</w:t>
      </w:r>
      <w:r w:rsidRPr="00D604EE">
        <w:t xml:space="preserve"> pool across most of the time series. </w:t>
      </w:r>
    </w:p>
    <w:p w14:paraId="41410853" w14:textId="77777777" w:rsidR="00784FA9" w:rsidRPr="00D604EE" w:rsidRDefault="00784FA9" w:rsidP="00784FA9">
      <w:pPr>
        <w:pStyle w:val="BodyText"/>
        <w:spacing w:before="100"/>
      </w:pPr>
      <w:r w:rsidRPr="00D604EE">
        <w:t xml:space="preserve">Work is under way to establish how best to fix this inconsistency through the time series. </w:t>
      </w:r>
    </w:p>
    <w:p w14:paraId="76E9325D" w14:textId="77777777" w:rsidR="00784FA9" w:rsidRPr="00D604EE" w:rsidRDefault="00784FA9" w:rsidP="00784FA9">
      <w:pPr>
        <w:pStyle w:val="Heading3"/>
      </w:pPr>
      <w:r w:rsidRPr="00D604EE" w:rsidDel="007F0462">
        <w:lastRenderedPageBreak/>
        <w:t>6.</w:t>
      </w:r>
      <w:r w:rsidRPr="00D604EE">
        <w:t>9.5</w:t>
      </w:r>
      <w:r w:rsidRPr="00D604EE">
        <w:tab/>
        <w:t>Category-specific recalculations</w:t>
      </w:r>
    </w:p>
    <w:p w14:paraId="6B3E0E4C" w14:textId="77777777" w:rsidR="00784FA9" w:rsidRPr="00D604EE" w:rsidRDefault="00784FA9" w:rsidP="00784FA9">
      <w:pPr>
        <w:pStyle w:val="BodyText"/>
        <w:spacing w:before="100" w:after="100"/>
      </w:pPr>
      <w:r w:rsidRPr="00D604EE">
        <w:t>All data on total roundwood production, roundwood exports and the production of New Zealand processed wood products were previously sourced from the FAOSTAT database. During the review of the 2021 submission, and in line with review recommendation L.11/FCCC/ARR/2019/NZL, concerns were raised around the reliability and timeliness of this data set. These data are now sourced directly from MPI published statistics (Ministry for Primary Industries, 2021a, 2021b). This means that up-to-date data on roundwood production and trade, and wood production are now available for the current reporting year.</w:t>
      </w:r>
    </w:p>
    <w:p w14:paraId="46B764D5" w14:textId="77777777" w:rsidR="00784FA9" w:rsidRPr="00D604EE" w:rsidRDefault="00784FA9" w:rsidP="00784FA9">
      <w:pPr>
        <w:pStyle w:val="BodyText"/>
        <w:spacing w:before="100" w:after="100"/>
      </w:pPr>
      <w:r w:rsidRPr="00D604EE">
        <w:t>The FAOSTAT database is still used to supplement some data that are not published by MPI. MPI does not provide the same level of disaggregation on semi-finished wood products classified as wood panels as the FAOSTAT database. Therefore, the data on wood panels as sourced from MPI are distributed into further subcategories, using</w:t>
      </w:r>
      <w:r w:rsidRPr="00D604EE" w:rsidDel="00386244">
        <w:t xml:space="preserve"> </w:t>
      </w:r>
      <w:r w:rsidRPr="00D604EE">
        <w:t xml:space="preserve">the FAOSTAT database production data. </w:t>
      </w:r>
    </w:p>
    <w:p w14:paraId="04A41686" w14:textId="77777777" w:rsidR="00784FA9" w:rsidRPr="00D604EE" w:rsidRDefault="00784FA9" w:rsidP="00784FA9">
      <w:pPr>
        <w:pStyle w:val="BodyText"/>
        <w:spacing w:before="100" w:after="100"/>
      </w:pPr>
      <w:r w:rsidRPr="00D604EE">
        <w:t xml:space="preserve">In the previous submission, an actual value for 2019 roundwood produced was not available from the FAOSTAT database and a projected value was used instead. In the 2022 submission, this projected value has been replaced with an actual value as reported by MPI </w:t>
      </w:r>
      <w:r w:rsidRPr="00D604EE" w:rsidDel="004D5E77">
        <w:t>(</w:t>
      </w:r>
      <w:r w:rsidRPr="00D604EE">
        <w:t>Ministry for Primary Industries, 2021a). These updates have resulted in an increase in net emissions by 1,029 kt CO</w:t>
      </w:r>
      <w:r w:rsidRPr="00D604EE">
        <w:rPr>
          <w:vertAlign w:val="subscript"/>
        </w:rPr>
        <w:t>2</w:t>
      </w:r>
      <w:r w:rsidRPr="00D604EE">
        <w:t>-e in 2019, compared with the previous submission (see table 6.9.3).</w:t>
      </w:r>
    </w:p>
    <w:p w14:paraId="2600CFAC" w14:textId="77777777" w:rsidR="00784FA9" w:rsidRPr="00D604EE" w:rsidRDefault="00784FA9" w:rsidP="00784FA9">
      <w:pPr>
        <w:pStyle w:val="Table"/>
      </w:pPr>
      <w:bookmarkStart w:id="2259" w:name="_Toc443645410"/>
      <w:bookmarkStart w:id="2260" w:name="_Toc474914629"/>
      <w:bookmarkStart w:id="2261" w:name="_Toc481751593"/>
      <w:bookmarkStart w:id="2262" w:name="_Toc522010650"/>
      <w:bookmarkStart w:id="2263" w:name="_Toc5269555"/>
      <w:bookmarkStart w:id="2264" w:name="_Toc33529429"/>
      <w:bookmarkStart w:id="2265" w:name="_Toc36224635"/>
      <w:bookmarkStart w:id="2266" w:name="_Toc99659315"/>
      <w:r w:rsidRPr="00D604EE">
        <w:t>Table 6.9.3</w:t>
      </w:r>
      <w:r w:rsidRPr="00D604EE">
        <w:tab/>
        <w:t xml:space="preserve">Recalculations for New Zealand’s net emissions from the </w:t>
      </w:r>
      <w:r w:rsidRPr="00D604EE">
        <w:rPr>
          <w:i/>
        </w:rPr>
        <w:t>Harvested wood products</w:t>
      </w:r>
      <w:r w:rsidRPr="00D604EE">
        <w:br/>
        <w:t xml:space="preserve">category in 1990 and </w:t>
      </w:r>
      <w:bookmarkEnd w:id="2259"/>
      <w:bookmarkEnd w:id="2260"/>
      <w:bookmarkEnd w:id="2261"/>
      <w:bookmarkEnd w:id="2262"/>
      <w:bookmarkEnd w:id="2263"/>
      <w:bookmarkEnd w:id="2264"/>
      <w:bookmarkEnd w:id="2265"/>
      <w:r w:rsidRPr="00D604EE">
        <w:t>2019</w:t>
      </w:r>
      <w:bookmarkEnd w:id="2266"/>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1109"/>
        <w:gridCol w:w="1849"/>
        <w:gridCol w:w="1849"/>
        <w:gridCol w:w="1849"/>
        <w:gridCol w:w="1849"/>
      </w:tblGrid>
      <w:tr w:rsidR="00784FA9" w:rsidRPr="00D604EE" w14:paraId="597B0537" w14:textId="77777777" w:rsidTr="007E3239">
        <w:tc>
          <w:tcPr>
            <w:tcW w:w="652" w:type="pct"/>
            <w:vMerge w:val="restart"/>
            <w:shd w:val="clear" w:color="auto" w:fill="1B556B"/>
            <w:vAlign w:val="bottom"/>
          </w:tcPr>
          <w:p w14:paraId="082BCDC8" w14:textId="77777777" w:rsidR="00784FA9" w:rsidRPr="00D604EE" w:rsidRDefault="00784FA9" w:rsidP="007E3239">
            <w:pPr>
              <w:pStyle w:val="TableTextBold"/>
              <w:spacing w:before="40" w:after="40"/>
              <w:rPr>
                <w:noProof w:val="0"/>
                <w:color w:val="FFFFFF"/>
              </w:rPr>
            </w:pPr>
            <w:r w:rsidRPr="00D604EE">
              <w:rPr>
                <w:noProof w:val="0"/>
                <w:color w:val="FFFFFF"/>
              </w:rPr>
              <w:t>Year</w:t>
            </w:r>
          </w:p>
        </w:tc>
        <w:tc>
          <w:tcPr>
            <w:tcW w:w="2174" w:type="pct"/>
            <w:gridSpan w:val="2"/>
            <w:tcBorders>
              <w:bottom w:val="nil"/>
            </w:tcBorders>
            <w:shd w:val="clear" w:color="auto" w:fill="1B556B"/>
            <w:noWrap/>
          </w:tcPr>
          <w:p w14:paraId="13823266" w14:textId="77777777" w:rsidR="00784FA9" w:rsidRPr="00D604EE" w:rsidRDefault="00784FA9" w:rsidP="00AF4C1A">
            <w:pPr>
              <w:pStyle w:val="TableTextBold"/>
              <w:spacing w:before="40" w:after="0"/>
              <w:jc w:val="center"/>
              <w:rPr>
                <w:noProof w:val="0"/>
                <w:color w:val="FFFFFF"/>
              </w:rPr>
            </w:pPr>
            <w:r w:rsidRPr="00D604EE">
              <w:rPr>
                <w:noProof w:val="0"/>
                <w:color w:val="FFFFFF"/>
              </w:rPr>
              <w:t>Net emissions (kt CO</w:t>
            </w:r>
            <w:r w:rsidRPr="00D604EE">
              <w:rPr>
                <w:noProof w:val="0"/>
                <w:color w:val="FFFFFF"/>
                <w:vertAlign w:val="subscript"/>
              </w:rPr>
              <w:t>2</w:t>
            </w:r>
            <w:r w:rsidRPr="00D604EE">
              <w:rPr>
                <w:noProof w:val="0"/>
                <w:color w:val="FFFFFF"/>
              </w:rPr>
              <w:t>-e)</w:t>
            </w:r>
          </w:p>
        </w:tc>
        <w:tc>
          <w:tcPr>
            <w:tcW w:w="2174" w:type="pct"/>
            <w:gridSpan w:val="2"/>
            <w:tcBorders>
              <w:bottom w:val="nil"/>
            </w:tcBorders>
            <w:shd w:val="clear" w:color="auto" w:fill="1B556B"/>
          </w:tcPr>
          <w:p w14:paraId="04D42423" w14:textId="77777777" w:rsidR="00784FA9" w:rsidRPr="00D604EE" w:rsidRDefault="00784FA9" w:rsidP="00AF4C1A">
            <w:pPr>
              <w:pStyle w:val="TableTextBold"/>
              <w:spacing w:before="40" w:after="0"/>
              <w:jc w:val="center"/>
              <w:rPr>
                <w:noProof w:val="0"/>
                <w:color w:val="FFFFFF"/>
              </w:rPr>
            </w:pPr>
            <w:r w:rsidRPr="00D604EE">
              <w:rPr>
                <w:noProof w:val="0"/>
                <w:color w:val="FFFFFF"/>
              </w:rPr>
              <w:t>Change from the 2021 submission</w:t>
            </w:r>
          </w:p>
        </w:tc>
      </w:tr>
      <w:tr w:rsidR="00784FA9" w:rsidRPr="00D604EE" w14:paraId="614B70C3" w14:textId="77777777" w:rsidTr="007E3239">
        <w:tc>
          <w:tcPr>
            <w:tcW w:w="652" w:type="pct"/>
            <w:vMerge/>
            <w:tcBorders>
              <w:bottom w:val="single" w:sz="4" w:space="0" w:color="1B556B"/>
            </w:tcBorders>
            <w:shd w:val="clear" w:color="auto" w:fill="1B556B"/>
          </w:tcPr>
          <w:p w14:paraId="5F83F927" w14:textId="77777777" w:rsidR="00784FA9" w:rsidRPr="00D604EE" w:rsidRDefault="00784FA9" w:rsidP="007E3239">
            <w:pPr>
              <w:pStyle w:val="TableText"/>
              <w:spacing w:before="40" w:after="40"/>
              <w:rPr>
                <w:color w:val="FFFFFF"/>
              </w:rPr>
            </w:pPr>
          </w:p>
        </w:tc>
        <w:tc>
          <w:tcPr>
            <w:tcW w:w="1087" w:type="pct"/>
            <w:tcBorders>
              <w:top w:val="nil"/>
              <w:bottom w:val="single" w:sz="4" w:space="0" w:color="1B556B"/>
            </w:tcBorders>
            <w:shd w:val="clear" w:color="auto" w:fill="1B556B"/>
          </w:tcPr>
          <w:p w14:paraId="64FA35C4" w14:textId="77777777" w:rsidR="00784FA9" w:rsidRPr="00D604EE" w:rsidRDefault="00784FA9" w:rsidP="007E3239">
            <w:pPr>
              <w:pStyle w:val="TableTextBold"/>
              <w:spacing w:before="40" w:after="40"/>
              <w:jc w:val="center"/>
              <w:rPr>
                <w:noProof w:val="0"/>
                <w:color w:val="FFFFFF"/>
              </w:rPr>
            </w:pPr>
            <w:r w:rsidRPr="00D604EE">
              <w:rPr>
                <w:noProof w:val="0"/>
                <w:color w:val="FFFFFF"/>
              </w:rPr>
              <w:t>2021 submission</w:t>
            </w:r>
          </w:p>
        </w:tc>
        <w:tc>
          <w:tcPr>
            <w:tcW w:w="1087" w:type="pct"/>
            <w:tcBorders>
              <w:top w:val="nil"/>
              <w:bottom w:val="single" w:sz="4" w:space="0" w:color="1B556B"/>
            </w:tcBorders>
            <w:shd w:val="clear" w:color="auto" w:fill="1B556B"/>
          </w:tcPr>
          <w:p w14:paraId="6DED8FEB" w14:textId="77777777" w:rsidR="00784FA9" w:rsidRPr="00D604EE" w:rsidRDefault="00784FA9" w:rsidP="007E3239">
            <w:pPr>
              <w:pStyle w:val="TableTextBold"/>
              <w:spacing w:before="40" w:after="40"/>
              <w:jc w:val="center"/>
              <w:rPr>
                <w:noProof w:val="0"/>
                <w:color w:val="FFFFFF"/>
              </w:rPr>
            </w:pPr>
            <w:r w:rsidRPr="00D604EE">
              <w:rPr>
                <w:noProof w:val="0"/>
                <w:color w:val="FFFFFF"/>
              </w:rPr>
              <w:t>2022 submission</w:t>
            </w:r>
          </w:p>
        </w:tc>
        <w:tc>
          <w:tcPr>
            <w:tcW w:w="1087" w:type="pct"/>
            <w:tcBorders>
              <w:top w:val="nil"/>
              <w:bottom w:val="single" w:sz="4" w:space="0" w:color="1B556B"/>
            </w:tcBorders>
            <w:shd w:val="clear" w:color="auto" w:fill="1B556B"/>
          </w:tcPr>
          <w:p w14:paraId="4DB723E7" w14:textId="77777777" w:rsidR="00784FA9" w:rsidRPr="00D604EE" w:rsidRDefault="00784FA9" w:rsidP="007E3239">
            <w:pPr>
              <w:pStyle w:val="TableTextBold"/>
              <w:spacing w:before="40" w:after="40"/>
              <w:jc w:val="center"/>
              <w:rPr>
                <w:noProof w:val="0"/>
                <w:color w:val="FFFFFF"/>
              </w:rPr>
            </w:pPr>
            <w:r w:rsidRPr="00D604EE">
              <w:rPr>
                <w:noProof w:val="0"/>
                <w:color w:val="FFFFFF"/>
              </w:rPr>
              <w:t>(kt CO</w:t>
            </w:r>
            <w:r w:rsidRPr="00D604EE">
              <w:rPr>
                <w:noProof w:val="0"/>
                <w:color w:val="FFFFFF"/>
                <w:vertAlign w:val="subscript"/>
              </w:rPr>
              <w:t>2</w:t>
            </w:r>
            <w:r w:rsidRPr="00D604EE">
              <w:rPr>
                <w:noProof w:val="0"/>
                <w:color w:val="FFFFFF"/>
              </w:rPr>
              <w:t>-e)</w:t>
            </w:r>
          </w:p>
        </w:tc>
        <w:tc>
          <w:tcPr>
            <w:tcW w:w="1087" w:type="pct"/>
            <w:tcBorders>
              <w:top w:val="nil"/>
              <w:bottom w:val="single" w:sz="4" w:space="0" w:color="1B556B"/>
            </w:tcBorders>
            <w:shd w:val="clear" w:color="auto" w:fill="1B556B"/>
          </w:tcPr>
          <w:p w14:paraId="05E946BD" w14:textId="77777777" w:rsidR="00784FA9" w:rsidRPr="00D604EE" w:rsidRDefault="00784FA9" w:rsidP="007E3239">
            <w:pPr>
              <w:pStyle w:val="TableTextBold"/>
              <w:spacing w:before="40" w:after="40"/>
              <w:jc w:val="center"/>
              <w:rPr>
                <w:noProof w:val="0"/>
                <w:color w:val="FFFFFF"/>
              </w:rPr>
            </w:pPr>
            <w:r w:rsidRPr="00D604EE">
              <w:rPr>
                <w:noProof w:val="0"/>
                <w:color w:val="FFFFFF"/>
              </w:rPr>
              <w:t>(%)</w:t>
            </w:r>
          </w:p>
        </w:tc>
      </w:tr>
      <w:tr w:rsidR="00784FA9" w:rsidRPr="00D604EE" w14:paraId="121CC875" w14:textId="77777777" w:rsidTr="007E3239">
        <w:tc>
          <w:tcPr>
            <w:tcW w:w="652" w:type="pct"/>
          </w:tcPr>
          <w:p w14:paraId="2631DA35" w14:textId="77777777" w:rsidR="00784FA9" w:rsidRPr="00D604EE" w:rsidRDefault="00784FA9" w:rsidP="007E3239">
            <w:pPr>
              <w:pStyle w:val="TableText"/>
              <w:spacing w:before="40" w:after="40"/>
            </w:pPr>
            <w:r w:rsidRPr="00D604EE">
              <w:t xml:space="preserve">1990 </w:t>
            </w:r>
          </w:p>
        </w:tc>
        <w:tc>
          <w:tcPr>
            <w:tcW w:w="1087" w:type="pct"/>
          </w:tcPr>
          <w:p w14:paraId="618CF646" w14:textId="77777777" w:rsidR="00784FA9" w:rsidRPr="00D604EE" w:rsidRDefault="00784FA9" w:rsidP="007E3239">
            <w:pPr>
              <w:pStyle w:val="TableText"/>
              <w:tabs>
                <w:tab w:val="decimal" w:pos="599"/>
              </w:tabs>
              <w:spacing w:before="40" w:after="40"/>
              <w:jc w:val="center"/>
            </w:pPr>
            <w:r w:rsidRPr="00D604EE">
              <w:t>–2,072.9</w:t>
            </w:r>
          </w:p>
        </w:tc>
        <w:tc>
          <w:tcPr>
            <w:tcW w:w="1087" w:type="pct"/>
          </w:tcPr>
          <w:p w14:paraId="77D0BF28" w14:textId="77777777" w:rsidR="00784FA9" w:rsidRPr="00D604EE" w:rsidRDefault="00784FA9" w:rsidP="007E3239">
            <w:pPr>
              <w:pStyle w:val="TableText"/>
              <w:tabs>
                <w:tab w:val="decimal" w:pos="599"/>
              </w:tabs>
              <w:spacing w:before="40" w:after="40"/>
              <w:jc w:val="center"/>
            </w:pPr>
            <w:r w:rsidRPr="00D604EE">
              <w:t>–2,481.2</w:t>
            </w:r>
          </w:p>
        </w:tc>
        <w:tc>
          <w:tcPr>
            <w:tcW w:w="1087" w:type="pct"/>
          </w:tcPr>
          <w:p w14:paraId="1E4258AB" w14:textId="77777777" w:rsidR="00784FA9" w:rsidRPr="00D604EE" w:rsidRDefault="00784FA9" w:rsidP="007E3239">
            <w:pPr>
              <w:pStyle w:val="TableText"/>
              <w:tabs>
                <w:tab w:val="decimal" w:pos="599"/>
              </w:tabs>
              <w:spacing w:before="40" w:after="40"/>
              <w:jc w:val="center"/>
            </w:pPr>
            <w:r w:rsidRPr="00D604EE">
              <w:t xml:space="preserve">–408.3 </w:t>
            </w:r>
          </w:p>
        </w:tc>
        <w:tc>
          <w:tcPr>
            <w:tcW w:w="1087" w:type="pct"/>
          </w:tcPr>
          <w:p w14:paraId="72506AC4" w14:textId="77777777" w:rsidR="00784FA9" w:rsidRPr="00D604EE" w:rsidRDefault="00784FA9" w:rsidP="007E3239">
            <w:pPr>
              <w:pStyle w:val="TableText"/>
              <w:tabs>
                <w:tab w:val="decimal" w:pos="599"/>
              </w:tabs>
              <w:spacing w:before="40" w:after="40"/>
              <w:jc w:val="center"/>
            </w:pPr>
            <w:r w:rsidRPr="00D604EE">
              <w:t>19.7</w:t>
            </w:r>
          </w:p>
        </w:tc>
      </w:tr>
      <w:tr w:rsidR="00784FA9" w:rsidRPr="00D604EE" w14:paraId="603E7DED" w14:textId="77777777" w:rsidTr="007E3239">
        <w:tc>
          <w:tcPr>
            <w:tcW w:w="652" w:type="pct"/>
          </w:tcPr>
          <w:p w14:paraId="7542EFAA" w14:textId="77777777" w:rsidR="00784FA9" w:rsidRPr="00D604EE" w:rsidRDefault="00784FA9" w:rsidP="007E3239">
            <w:pPr>
              <w:pStyle w:val="TableText"/>
              <w:spacing w:before="40" w:after="40"/>
            </w:pPr>
            <w:r w:rsidRPr="00D604EE">
              <w:t>2019</w:t>
            </w:r>
          </w:p>
        </w:tc>
        <w:tc>
          <w:tcPr>
            <w:tcW w:w="1087" w:type="pct"/>
          </w:tcPr>
          <w:p w14:paraId="23F151AF" w14:textId="77777777" w:rsidR="00784FA9" w:rsidRPr="00D604EE" w:rsidRDefault="00784FA9" w:rsidP="007E3239">
            <w:pPr>
              <w:pStyle w:val="TableText"/>
              <w:tabs>
                <w:tab w:val="decimal" w:pos="599"/>
              </w:tabs>
              <w:spacing w:before="40" w:after="40"/>
              <w:jc w:val="center"/>
            </w:pPr>
            <w:r w:rsidRPr="00D604EE">
              <w:t>–10,067.3</w:t>
            </w:r>
          </w:p>
        </w:tc>
        <w:tc>
          <w:tcPr>
            <w:tcW w:w="1087" w:type="pct"/>
          </w:tcPr>
          <w:p w14:paraId="7BD7630A" w14:textId="77777777" w:rsidR="00784FA9" w:rsidRPr="00D604EE" w:rsidRDefault="00784FA9" w:rsidP="007E3239">
            <w:pPr>
              <w:pStyle w:val="TableText"/>
              <w:tabs>
                <w:tab w:val="decimal" w:pos="599"/>
              </w:tabs>
              <w:spacing w:before="40" w:after="40"/>
              <w:jc w:val="center"/>
            </w:pPr>
            <w:r w:rsidRPr="00D604EE">
              <w:t>–9,037.8</w:t>
            </w:r>
          </w:p>
        </w:tc>
        <w:tc>
          <w:tcPr>
            <w:tcW w:w="1087" w:type="pct"/>
          </w:tcPr>
          <w:p w14:paraId="10FF66E1" w14:textId="77777777" w:rsidR="00784FA9" w:rsidRPr="00D604EE" w:rsidRDefault="00784FA9" w:rsidP="007E3239">
            <w:pPr>
              <w:pStyle w:val="TableText"/>
              <w:tabs>
                <w:tab w:val="decimal" w:pos="599"/>
              </w:tabs>
              <w:spacing w:before="40" w:after="40"/>
              <w:jc w:val="center"/>
            </w:pPr>
            <w:r w:rsidRPr="00D604EE">
              <w:t xml:space="preserve">1,029.4 </w:t>
            </w:r>
          </w:p>
        </w:tc>
        <w:tc>
          <w:tcPr>
            <w:tcW w:w="1087" w:type="pct"/>
          </w:tcPr>
          <w:p w14:paraId="311A7D1D" w14:textId="77777777" w:rsidR="00784FA9" w:rsidRPr="00D604EE" w:rsidRDefault="00784FA9" w:rsidP="007E3239">
            <w:pPr>
              <w:pStyle w:val="TableText"/>
              <w:tabs>
                <w:tab w:val="decimal" w:pos="599"/>
              </w:tabs>
              <w:spacing w:before="40" w:after="40"/>
              <w:jc w:val="center"/>
            </w:pPr>
            <w:r w:rsidRPr="00D604EE">
              <w:t>10.2</w:t>
            </w:r>
          </w:p>
        </w:tc>
      </w:tr>
    </w:tbl>
    <w:p w14:paraId="5871D65F" w14:textId="77777777" w:rsidR="00784FA9" w:rsidRPr="00D604EE" w:rsidRDefault="00784FA9" w:rsidP="00784FA9">
      <w:pPr>
        <w:pStyle w:val="Heading3"/>
      </w:pPr>
      <w:r w:rsidRPr="00D604EE">
        <w:t>6.9.6</w:t>
      </w:r>
      <w:r w:rsidRPr="00D604EE">
        <w:tab/>
        <w:t>Category-specific planned improvements</w:t>
      </w:r>
    </w:p>
    <w:p w14:paraId="2239DC38" w14:textId="77777777" w:rsidR="00784FA9" w:rsidRPr="00D604EE" w:rsidRDefault="00784FA9" w:rsidP="00784FA9">
      <w:pPr>
        <w:pStyle w:val="BodyText"/>
      </w:pPr>
      <w:r w:rsidRPr="00D604EE">
        <w:t>Research is under way to determine country-specific half-lives and their associated uncertainty for wood products processed in New Zealand. The research report is due in June 2022 and the results should be included in the 2023 inventory submission.</w:t>
      </w:r>
    </w:p>
    <w:p w14:paraId="20C224CA" w14:textId="77777777" w:rsidR="00784FA9" w:rsidRPr="00D604EE" w:rsidRDefault="00784FA9" w:rsidP="00784FA9">
      <w:pPr>
        <w:pStyle w:val="Heading2"/>
        <w:spacing w:before="320"/>
      </w:pPr>
      <w:bookmarkStart w:id="2267" w:name="_Toc522013958"/>
      <w:bookmarkStart w:id="2268" w:name="_Toc5269383"/>
      <w:bookmarkStart w:id="2269" w:name="_Toc36224423"/>
      <w:bookmarkStart w:id="2270" w:name="_Toc99659149"/>
      <w:r w:rsidRPr="00D604EE">
        <w:t>6.10</w:t>
      </w:r>
      <w:r w:rsidRPr="00D604EE">
        <w:tab/>
        <w:t>Non-CO</w:t>
      </w:r>
      <w:r w:rsidRPr="00D604EE">
        <w:rPr>
          <w:vertAlign w:val="subscript"/>
        </w:rPr>
        <w:t>2</w:t>
      </w:r>
      <w:r w:rsidRPr="00D604EE">
        <w:t xml:space="preserve"> emissions (CRF 4(I–V))</w:t>
      </w:r>
      <w:bookmarkEnd w:id="2267"/>
      <w:bookmarkEnd w:id="2268"/>
      <w:bookmarkEnd w:id="2269"/>
      <w:bookmarkEnd w:id="2270"/>
    </w:p>
    <w:p w14:paraId="530A280F" w14:textId="77777777" w:rsidR="00784FA9" w:rsidRPr="00D604EE" w:rsidRDefault="00784FA9" w:rsidP="00784FA9">
      <w:pPr>
        <w:pStyle w:val="BodyText"/>
      </w:pPr>
      <w:bookmarkStart w:id="2271" w:name="_Toc280630350"/>
      <w:r w:rsidRPr="00D604EE">
        <w:t>In 2020, net N</w:t>
      </w:r>
      <w:r w:rsidRPr="00D604EE">
        <w:rPr>
          <w:vertAlign w:val="subscript"/>
        </w:rPr>
        <w:t>2</w:t>
      </w:r>
      <w:r w:rsidRPr="00D604EE">
        <w:t>O emissions from soils associated with land-use change reported in the LULUCF sector were 220.3 kt CO</w:t>
      </w:r>
      <w:r w:rsidRPr="00D604EE">
        <w:rPr>
          <w:vertAlign w:val="subscript"/>
        </w:rPr>
        <w:t>2</w:t>
      </w:r>
      <w:r w:rsidRPr="00D604EE">
        <w:t>-e (see table 6.10.1). This is 79.9 kt CO</w:t>
      </w:r>
      <w:r w:rsidRPr="00D604EE">
        <w:rPr>
          <w:vertAlign w:val="subscript"/>
        </w:rPr>
        <w:t>2</w:t>
      </w:r>
      <w:r w:rsidRPr="00D604EE">
        <w:t>-e (26.6 per cent) lower than the 1990 level of 300.3 kt CO</w:t>
      </w:r>
      <w:r w:rsidRPr="00D604EE">
        <w:rPr>
          <w:vertAlign w:val="subscript"/>
        </w:rPr>
        <w:t>2</w:t>
      </w:r>
      <w:r w:rsidRPr="00D604EE">
        <w:t xml:space="preserve">-e. </w:t>
      </w:r>
    </w:p>
    <w:p w14:paraId="47AF96A6" w14:textId="77777777" w:rsidR="00784FA9" w:rsidRPr="00D604EE" w:rsidRDefault="00784FA9" w:rsidP="00784FA9">
      <w:pPr>
        <w:pStyle w:val="Table"/>
      </w:pPr>
      <w:bookmarkStart w:id="2272" w:name="_Toc99659316"/>
      <w:r w:rsidRPr="00D604EE">
        <w:t>Table 6.10.1</w:t>
      </w:r>
      <w:r w:rsidRPr="00D604EE">
        <w:tab/>
        <w:t>N</w:t>
      </w:r>
      <w:r w:rsidRPr="00D604EE">
        <w:rPr>
          <w:vertAlign w:val="subscript"/>
        </w:rPr>
        <w:t>2</w:t>
      </w:r>
      <w:r w:rsidRPr="00D604EE">
        <w:t>O emissions from soils associated with land-use change reported in the LULUCF sector from 1990 to 2020</w:t>
      </w:r>
      <w:bookmarkEnd w:id="2272"/>
    </w:p>
    <w:tbl>
      <w:tblPr>
        <w:tblW w:w="8505" w:type="dxa"/>
        <w:tblInd w:w="108"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3544"/>
        <w:gridCol w:w="992"/>
        <w:gridCol w:w="851"/>
        <w:gridCol w:w="992"/>
        <w:gridCol w:w="992"/>
        <w:gridCol w:w="1134"/>
      </w:tblGrid>
      <w:tr w:rsidR="00AF4C1A" w:rsidRPr="00AD4336" w14:paraId="76F981CB" w14:textId="77777777" w:rsidTr="00AF4C1A">
        <w:trPr>
          <w:trHeight w:val="221"/>
        </w:trPr>
        <w:tc>
          <w:tcPr>
            <w:tcW w:w="3544" w:type="dxa"/>
            <w:vMerge w:val="restart"/>
            <w:shd w:val="clear" w:color="auto" w:fill="1B556B"/>
            <w:vAlign w:val="bottom"/>
          </w:tcPr>
          <w:p w14:paraId="363337EB" w14:textId="77777777" w:rsidR="00784FA9" w:rsidRPr="00AD4336" w:rsidRDefault="00784FA9" w:rsidP="007E3239">
            <w:pPr>
              <w:pStyle w:val="TableTextBold"/>
              <w:keepNext/>
              <w:spacing w:before="40" w:after="40"/>
              <w:rPr>
                <w:noProof w:val="0"/>
                <w:color w:val="FFFFFF"/>
              </w:rPr>
            </w:pPr>
            <w:r w:rsidRPr="00AD4336">
              <w:rPr>
                <w:noProof w:val="0"/>
                <w:color w:val="FFFFFF"/>
              </w:rPr>
              <w:t>Emissions source</w:t>
            </w:r>
          </w:p>
        </w:tc>
        <w:tc>
          <w:tcPr>
            <w:tcW w:w="1843" w:type="dxa"/>
            <w:gridSpan w:val="2"/>
            <w:tcBorders>
              <w:bottom w:val="nil"/>
            </w:tcBorders>
            <w:shd w:val="clear" w:color="auto" w:fill="1B556B"/>
            <w:vAlign w:val="bottom"/>
          </w:tcPr>
          <w:p w14:paraId="65F51580" w14:textId="77777777" w:rsidR="00784FA9" w:rsidRPr="00AD4336" w:rsidRDefault="00784FA9" w:rsidP="00AF4C1A">
            <w:pPr>
              <w:pStyle w:val="TableTextBold"/>
              <w:spacing w:before="40" w:after="0"/>
              <w:jc w:val="right"/>
              <w:rPr>
                <w:noProof w:val="0"/>
                <w:color w:val="FFFFFF"/>
              </w:rPr>
            </w:pPr>
            <w:r w:rsidRPr="00AD4336">
              <w:rPr>
                <w:noProof w:val="0"/>
                <w:color w:val="FFFFFF"/>
              </w:rPr>
              <w:t>Net emissions (kt N</w:t>
            </w:r>
            <w:r w:rsidRPr="00AD4336">
              <w:rPr>
                <w:b w:val="0"/>
                <w:noProof w:val="0"/>
                <w:color w:val="FFFFFF"/>
                <w:vertAlign w:val="subscript"/>
              </w:rPr>
              <w:t>2</w:t>
            </w:r>
            <w:r w:rsidRPr="00AD4336">
              <w:rPr>
                <w:noProof w:val="0"/>
                <w:color w:val="FFFFFF"/>
              </w:rPr>
              <w:t>O)</w:t>
            </w:r>
          </w:p>
        </w:tc>
        <w:tc>
          <w:tcPr>
            <w:tcW w:w="1984" w:type="dxa"/>
            <w:gridSpan w:val="2"/>
            <w:tcBorders>
              <w:bottom w:val="nil"/>
            </w:tcBorders>
            <w:shd w:val="clear" w:color="auto" w:fill="1B556B"/>
            <w:vAlign w:val="bottom"/>
          </w:tcPr>
          <w:p w14:paraId="0646B542" w14:textId="77777777" w:rsidR="00784FA9" w:rsidRPr="00AD4336" w:rsidRDefault="00784FA9" w:rsidP="00AF4C1A">
            <w:pPr>
              <w:pStyle w:val="TableTextBold"/>
              <w:spacing w:before="40" w:after="0"/>
              <w:jc w:val="center"/>
              <w:rPr>
                <w:noProof w:val="0"/>
                <w:color w:val="FFFFFF"/>
              </w:rPr>
            </w:pPr>
            <w:r w:rsidRPr="00AD4336">
              <w:rPr>
                <w:noProof w:val="0"/>
                <w:color w:val="FFFFFF"/>
              </w:rPr>
              <w:t>Net emissions (kt CO</w:t>
            </w:r>
            <w:r w:rsidRPr="00AD4336">
              <w:rPr>
                <w:noProof w:val="0"/>
                <w:color w:val="FFFFFF"/>
                <w:vertAlign w:val="subscript"/>
              </w:rPr>
              <w:t>2</w:t>
            </w:r>
            <w:r w:rsidRPr="00AD4336">
              <w:rPr>
                <w:noProof w:val="0"/>
                <w:color w:val="FFFFFF"/>
              </w:rPr>
              <w:t>-e)</w:t>
            </w:r>
          </w:p>
        </w:tc>
        <w:tc>
          <w:tcPr>
            <w:tcW w:w="1134" w:type="dxa"/>
            <w:vMerge w:val="restart"/>
            <w:shd w:val="clear" w:color="auto" w:fill="1B556B"/>
            <w:vAlign w:val="bottom"/>
          </w:tcPr>
          <w:p w14:paraId="61A44BB6" w14:textId="77777777" w:rsidR="00784FA9" w:rsidRPr="00AD4336" w:rsidRDefault="00784FA9" w:rsidP="007E3239">
            <w:pPr>
              <w:pStyle w:val="TableTextBold"/>
              <w:spacing w:before="40" w:after="40"/>
              <w:jc w:val="right"/>
              <w:rPr>
                <w:noProof w:val="0"/>
                <w:color w:val="FFFFFF"/>
              </w:rPr>
            </w:pPr>
            <w:r w:rsidRPr="00AD4336">
              <w:rPr>
                <w:noProof w:val="0"/>
                <w:color w:val="FFFFFF"/>
              </w:rPr>
              <w:t>Change from 1990 (%)</w:t>
            </w:r>
          </w:p>
        </w:tc>
      </w:tr>
      <w:tr w:rsidR="00AF4C1A" w:rsidRPr="00AD4336" w14:paraId="6811EEA7" w14:textId="77777777" w:rsidTr="00AF4C1A">
        <w:trPr>
          <w:trHeight w:val="229"/>
        </w:trPr>
        <w:tc>
          <w:tcPr>
            <w:tcW w:w="3544" w:type="dxa"/>
            <w:vMerge/>
            <w:shd w:val="clear" w:color="auto" w:fill="1B556B"/>
          </w:tcPr>
          <w:p w14:paraId="5CF5528A" w14:textId="77777777" w:rsidR="00784FA9" w:rsidRPr="00AD4336" w:rsidRDefault="00784FA9" w:rsidP="007E3239">
            <w:pPr>
              <w:keepNext/>
              <w:spacing w:before="40" w:after="40"/>
              <w:rPr>
                <w:rFonts w:ascii="Courier New" w:hAnsi="Courier New"/>
                <w:color w:val="FFFFFF"/>
              </w:rPr>
            </w:pPr>
          </w:p>
        </w:tc>
        <w:tc>
          <w:tcPr>
            <w:tcW w:w="992" w:type="dxa"/>
            <w:tcBorders>
              <w:top w:val="nil"/>
            </w:tcBorders>
            <w:shd w:val="clear" w:color="auto" w:fill="1B556B"/>
          </w:tcPr>
          <w:p w14:paraId="4A6C5378" w14:textId="77777777" w:rsidR="00784FA9" w:rsidRPr="00AD4336" w:rsidRDefault="00784FA9" w:rsidP="007E3239">
            <w:pPr>
              <w:pStyle w:val="TableTextBold"/>
              <w:spacing w:before="40" w:after="40"/>
              <w:jc w:val="center"/>
              <w:rPr>
                <w:rFonts w:ascii="Courier New" w:hAnsi="Courier New"/>
                <w:noProof w:val="0"/>
                <w:color w:val="FFFFFF"/>
              </w:rPr>
            </w:pPr>
            <w:r w:rsidRPr="00AD4336">
              <w:rPr>
                <w:noProof w:val="0"/>
                <w:color w:val="FFFFFF"/>
              </w:rPr>
              <w:t>1990</w:t>
            </w:r>
          </w:p>
        </w:tc>
        <w:tc>
          <w:tcPr>
            <w:tcW w:w="851" w:type="dxa"/>
            <w:tcBorders>
              <w:top w:val="nil"/>
            </w:tcBorders>
            <w:shd w:val="clear" w:color="auto" w:fill="1B556B"/>
          </w:tcPr>
          <w:p w14:paraId="38CB0C8B" w14:textId="77777777" w:rsidR="00784FA9" w:rsidRPr="00AD4336" w:rsidRDefault="00784FA9" w:rsidP="007E3239">
            <w:pPr>
              <w:pStyle w:val="TableTextBold"/>
              <w:spacing w:before="40" w:after="40"/>
              <w:jc w:val="center"/>
              <w:rPr>
                <w:rFonts w:ascii="Courier New" w:hAnsi="Courier New"/>
                <w:noProof w:val="0"/>
                <w:color w:val="FFFFFF"/>
              </w:rPr>
            </w:pPr>
            <w:r w:rsidRPr="00AD4336">
              <w:rPr>
                <w:noProof w:val="0"/>
                <w:color w:val="FFFFFF"/>
              </w:rPr>
              <w:t>2020</w:t>
            </w:r>
          </w:p>
        </w:tc>
        <w:tc>
          <w:tcPr>
            <w:tcW w:w="992" w:type="dxa"/>
            <w:tcBorders>
              <w:top w:val="nil"/>
            </w:tcBorders>
            <w:shd w:val="clear" w:color="auto" w:fill="1B556B"/>
          </w:tcPr>
          <w:p w14:paraId="60AD0430" w14:textId="77777777" w:rsidR="00784FA9" w:rsidRPr="00AD4336" w:rsidRDefault="00784FA9" w:rsidP="007E3239">
            <w:pPr>
              <w:pStyle w:val="TableTextBold"/>
              <w:spacing w:before="40" w:after="40"/>
              <w:jc w:val="center"/>
              <w:rPr>
                <w:noProof w:val="0"/>
                <w:color w:val="FFFFFF"/>
              </w:rPr>
            </w:pPr>
            <w:r w:rsidRPr="00AD4336">
              <w:rPr>
                <w:noProof w:val="0"/>
                <w:color w:val="FFFFFF"/>
              </w:rPr>
              <w:t>1990</w:t>
            </w:r>
          </w:p>
        </w:tc>
        <w:tc>
          <w:tcPr>
            <w:tcW w:w="992" w:type="dxa"/>
            <w:tcBorders>
              <w:top w:val="nil"/>
            </w:tcBorders>
            <w:shd w:val="clear" w:color="auto" w:fill="1B556B"/>
          </w:tcPr>
          <w:p w14:paraId="6886A184" w14:textId="77777777" w:rsidR="00784FA9" w:rsidRPr="00AD4336" w:rsidRDefault="00784FA9" w:rsidP="007E3239">
            <w:pPr>
              <w:pStyle w:val="TableTextBold"/>
              <w:spacing w:before="40" w:after="40"/>
              <w:jc w:val="center"/>
              <w:rPr>
                <w:noProof w:val="0"/>
                <w:color w:val="FFFFFF"/>
              </w:rPr>
            </w:pPr>
            <w:r w:rsidRPr="00AD4336">
              <w:rPr>
                <w:noProof w:val="0"/>
                <w:color w:val="FFFFFF"/>
              </w:rPr>
              <w:t>2020</w:t>
            </w:r>
          </w:p>
        </w:tc>
        <w:tc>
          <w:tcPr>
            <w:tcW w:w="1134" w:type="dxa"/>
            <w:vMerge/>
            <w:shd w:val="clear" w:color="auto" w:fill="1B556B"/>
          </w:tcPr>
          <w:p w14:paraId="0FEF3D5E" w14:textId="77777777" w:rsidR="00784FA9" w:rsidRPr="00AD4336" w:rsidRDefault="00784FA9" w:rsidP="007E3239">
            <w:pPr>
              <w:spacing w:before="40" w:after="40"/>
              <w:jc w:val="center"/>
              <w:rPr>
                <w:rFonts w:ascii="Courier New" w:hAnsi="Courier New"/>
                <w:b/>
                <w:color w:val="FFFFFF"/>
              </w:rPr>
            </w:pPr>
          </w:p>
        </w:tc>
      </w:tr>
      <w:tr w:rsidR="00784FA9" w:rsidRPr="00D604EE" w14:paraId="5309A79B" w14:textId="77777777" w:rsidTr="007E3239">
        <w:trPr>
          <w:trHeight w:val="453"/>
        </w:trPr>
        <w:tc>
          <w:tcPr>
            <w:tcW w:w="3544" w:type="dxa"/>
          </w:tcPr>
          <w:p w14:paraId="12FD5CA7" w14:textId="77777777" w:rsidR="00784FA9" w:rsidRPr="00D604EE" w:rsidRDefault="00784FA9" w:rsidP="007E3239">
            <w:pPr>
              <w:pStyle w:val="TableText"/>
              <w:spacing w:before="40" w:after="40"/>
            </w:pPr>
            <w:r w:rsidRPr="00D604EE">
              <w:t>Direct emissions from nitrogen mineralisation/ immobilisation</w:t>
            </w:r>
          </w:p>
        </w:tc>
        <w:tc>
          <w:tcPr>
            <w:tcW w:w="992" w:type="dxa"/>
          </w:tcPr>
          <w:p w14:paraId="1CD8404C" w14:textId="77777777" w:rsidR="00784FA9" w:rsidRPr="00D604EE" w:rsidRDefault="00784FA9" w:rsidP="007E3239">
            <w:pPr>
              <w:pStyle w:val="TableText"/>
              <w:spacing w:before="40" w:after="40"/>
              <w:jc w:val="center"/>
            </w:pPr>
            <w:r w:rsidRPr="00D604EE">
              <w:t>0.6</w:t>
            </w:r>
          </w:p>
        </w:tc>
        <w:tc>
          <w:tcPr>
            <w:tcW w:w="851" w:type="dxa"/>
          </w:tcPr>
          <w:p w14:paraId="2F275DFB" w14:textId="77777777" w:rsidR="00784FA9" w:rsidRPr="00D604EE" w:rsidRDefault="00784FA9" w:rsidP="007E3239">
            <w:pPr>
              <w:pStyle w:val="TableText"/>
              <w:spacing w:before="40" w:after="40"/>
              <w:jc w:val="center"/>
            </w:pPr>
            <w:r w:rsidRPr="00D604EE">
              <w:t>0.3</w:t>
            </w:r>
          </w:p>
        </w:tc>
        <w:tc>
          <w:tcPr>
            <w:tcW w:w="992" w:type="dxa"/>
          </w:tcPr>
          <w:p w14:paraId="144D2CC5" w14:textId="77777777" w:rsidR="00784FA9" w:rsidRPr="00D604EE" w:rsidRDefault="00784FA9" w:rsidP="007E3239">
            <w:pPr>
              <w:pStyle w:val="TableText"/>
              <w:spacing w:before="40" w:after="40"/>
              <w:jc w:val="center"/>
            </w:pPr>
            <w:r w:rsidRPr="00D604EE">
              <w:t>181.5</w:t>
            </w:r>
          </w:p>
        </w:tc>
        <w:tc>
          <w:tcPr>
            <w:tcW w:w="992" w:type="dxa"/>
          </w:tcPr>
          <w:p w14:paraId="6FBB3916" w14:textId="77777777" w:rsidR="00784FA9" w:rsidRPr="00D604EE" w:rsidRDefault="00784FA9" w:rsidP="007E3239">
            <w:pPr>
              <w:pStyle w:val="TableText"/>
              <w:spacing w:before="40" w:after="40"/>
              <w:jc w:val="center"/>
            </w:pPr>
            <w:r w:rsidRPr="00D604EE">
              <w:t>78.8</w:t>
            </w:r>
          </w:p>
        </w:tc>
        <w:tc>
          <w:tcPr>
            <w:tcW w:w="1134" w:type="dxa"/>
          </w:tcPr>
          <w:p w14:paraId="7C89F1AE" w14:textId="77777777" w:rsidR="00784FA9" w:rsidRPr="00D604EE" w:rsidRDefault="00784FA9" w:rsidP="007E3239">
            <w:pPr>
              <w:pStyle w:val="TableText"/>
              <w:spacing w:before="40" w:after="40"/>
              <w:jc w:val="center"/>
            </w:pPr>
            <w:r w:rsidRPr="00D604EE">
              <w:t>–56.6</w:t>
            </w:r>
          </w:p>
        </w:tc>
      </w:tr>
      <w:tr w:rsidR="00784FA9" w:rsidRPr="00D604EE" w14:paraId="723384D1" w14:textId="77777777" w:rsidTr="007E3239">
        <w:trPr>
          <w:trHeight w:val="56"/>
        </w:trPr>
        <w:tc>
          <w:tcPr>
            <w:tcW w:w="3544" w:type="dxa"/>
          </w:tcPr>
          <w:p w14:paraId="346FC7D7" w14:textId="77777777" w:rsidR="00784FA9" w:rsidRPr="00D604EE" w:rsidRDefault="00784FA9" w:rsidP="007E3239">
            <w:pPr>
              <w:pStyle w:val="TableText"/>
              <w:spacing w:before="40" w:after="40"/>
            </w:pPr>
            <w:r w:rsidRPr="00D604EE">
              <w:t>Direct emissions from drainage of organic and mineral soils</w:t>
            </w:r>
          </w:p>
        </w:tc>
        <w:tc>
          <w:tcPr>
            <w:tcW w:w="992" w:type="dxa"/>
          </w:tcPr>
          <w:p w14:paraId="3F52577A" w14:textId="77777777" w:rsidR="00784FA9" w:rsidRPr="00D604EE" w:rsidRDefault="00784FA9" w:rsidP="007E3239">
            <w:pPr>
              <w:pStyle w:val="TableText"/>
              <w:spacing w:before="40" w:after="40"/>
              <w:jc w:val="center"/>
            </w:pPr>
            <w:r w:rsidRPr="00D604EE">
              <w:t>0.3</w:t>
            </w:r>
          </w:p>
        </w:tc>
        <w:tc>
          <w:tcPr>
            <w:tcW w:w="851" w:type="dxa"/>
          </w:tcPr>
          <w:p w14:paraId="54F2AB07" w14:textId="77777777" w:rsidR="00784FA9" w:rsidRPr="00D604EE" w:rsidRDefault="00784FA9" w:rsidP="007E3239">
            <w:pPr>
              <w:pStyle w:val="TableText"/>
              <w:spacing w:before="40" w:after="40"/>
              <w:jc w:val="center"/>
            </w:pPr>
            <w:r w:rsidRPr="00D604EE">
              <w:t>0.4</w:t>
            </w:r>
          </w:p>
        </w:tc>
        <w:tc>
          <w:tcPr>
            <w:tcW w:w="992" w:type="dxa"/>
          </w:tcPr>
          <w:p w14:paraId="7C97FEDC" w14:textId="77777777" w:rsidR="00784FA9" w:rsidRPr="00D604EE" w:rsidRDefault="00784FA9" w:rsidP="007E3239">
            <w:pPr>
              <w:pStyle w:val="TableText"/>
              <w:spacing w:before="40" w:after="40"/>
              <w:jc w:val="center"/>
            </w:pPr>
            <w:r w:rsidRPr="00D604EE">
              <w:t>78.0</w:t>
            </w:r>
          </w:p>
        </w:tc>
        <w:tc>
          <w:tcPr>
            <w:tcW w:w="992" w:type="dxa"/>
          </w:tcPr>
          <w:p w14:paraId="6E193D86" w14:textId="77777777" w:rsidR="00784FA9" w:rsidRPr="00D604EE" w:rsidRDefault="00784FA9" w:rsidP="007E3239">
            <w:pPr>
              <w:pStyle w:val="TableText"/>
              <w:spacing w:before="40" w:after="40"/>
              <w:jc w:val="center"/>
            </w:pPr>
            <w:r w:rsidRPr="00D604EE">
              <w:t>123.8</w:t>
            </w:r>
          </w:p>
        </w:tc>
        <w:tc>
          <w:tcPr>
            <w:tcW w:w="1134" w:type="dxa"/>
          </w:tcPr>
          <w:p w14:paraId="595A2468" w14:textId="77777777" w:rsidR="00784FA9" w:rsidRPr="00D604EE" w:rsidRDefault="00784FA9" w:rsidP="007E3239">
            <w:pPr>
              <w:pStyle w:val="TableText"/>
              <w:spacing w:before="40" w:after="40"/>
              <w:jc w:val="center"/>
            </w:pPr>
            <w:r w:rsidRPr="00D604EE">
              <w:t>58.8</w:t>
            </w:r>
          </w:p>
        </w:tc>
      </w:tr>
      <w:tr w:rsidR="00784FA9" w:rsidRPr="00D604EE" w14:paraId="1455C8ED" w14:textId="77777777" w:rsidTr="007E3239">
        <w:trPr>
          <w:trHeight w:val="168"/>
        </w:trPr>
        <w:tc>
          <w:tcPr>
            <w:tcW w:w="3544" w:type="dxa"/>
          </w:tcPr>
          <w:p w14:paraId="3D7B3A5D" w14:textId="77777777" w:rsidR="00784FA9" w:rsidRPr="00D604EE" w:rsidRDefault="00784FA9" w:rsidP="007E3239">
            <w:pPr>
              <w:pStyle w:val="TableText"/>
              <w:spacing w:before="40" w:after="40"/>
            </w:pPr>
            <w:r w:rsidRPr="00D604EE">
              <w:t>Indirect emissions from leaching and runoff</w:t>
            </w:r>
          </w:p>
        </w:tc>
        <w:tc>
          <w:tcPr>
            <w:tcW w:w="992" w:type="dxa"/>
          </w:tcPr>
          <w:p w14:paraId="3B7AE61D" w14:textId="77777777" w:rsidR="00784FA9" w:rsidRPr="00D604EE" w:rsidRDefault="00784FA9" w:rsidP="007E3239">
            <w:pPr>
              <w:pStyle w:val="TableText"/>
              <w:spacing w:before="40" w:after="40"/>
              <w:jc w:val="center"/>
            </w:pPr>
            <w:r w:rsidRPr="00D604EE">
              <w:t>0.1</w:t>
            </w:r>
          </w:p>
        </w:tc>
        <w:tc>
          <w:tcPr>
            <w:tcW w:w="851" w:type="dxa"/>
          </w:tcPr>
          <w:p w14:paraId="74DAC8B0" w14:textId="77777777" w:rsidR="00784FA9" w:rsidRPr="00D604EE" w:rsidRDefault="00784FA9" w:rsidP="007E3239">
            <w:pPr>
              <w:pStyle w:val="TableText"/>
              <w:spacing w:before="40" w:after="40"/>
              <w:jc w:val="center"/>
            </w:pPr>
            <w:r w:rsidRPr="00D604EE">
              <w:t>0.1</w:t>
            </w:r>
          </w:p>
        </w:tc>
        <w:tc>
          <w:tcPr>
            <w:tcW w:w="992" w:type="dxa"/>
          </w:tcPr>
          <w:p w14:paraId="08520632" w14:textId="77777777" w:rsidR="00784FA9" w:rsidRPr="00D604EE" w:rsidRDefault="00784FA9" w:rsidP="007E3239">
            <w:pPr>
              <w:pStyle w:val="TableText"/>
              <w:spacing w:before="40" w:after="40"/>
              <w:jc w:val="center"/>
            </w:pPr>
            <w:r w:rsidRPr="00D604EE">
              <w:t>40.8</w:t>
            </w:r>
          </w:p>
        </w:tc>
        <w:tc>
          <w:tcPr>
            <w:tcW w:w="992" w:type="dxa"/>
          </w:tcPr>
          <w:p w14:paraId="4DC46230" w14:textId="77777777" w:rsidR="00784FA9" w:rsidRPr="00D604EE" w:rsidRDefault="00784FA9" w:rsidP="007E3239">
            <w:pPr>
              <w:pStyle w:val="TableText"/>
              <w:spacing w:before="40" w:after="40"/>
              <w:jc w:val="center"/>
            </w:pPr>
            <w:r w:rsidRPr="00D604EE">
              <w:t>17.7</w:t>
            </w:r>
          </w:p>
        </w:tc>
        <w:tc>
          <w:tcPr>
            <w:tcW w:w="1134" w:type="dxa"/>
          </w:tcPr>
          <w:p w14:paraId="01F7A3DB" w14:textId="77777777" w:rsidR="00784FA9" w:rsidRPr="00D604EE" w:rsidRDefault="00784FA9" w:rsidP="007E3239">
            <w:pPr>
              <w:pStyle w:val="TableText"/>
              <w:spacing w:before="40" w:after="40"/>
              <w:jc w:val="center"/>
            </w:pPr>
            <w:r w:rsidRPr="00D604EE">
              <w:t>–56.6</w:t>
            </w:r>
          </w:p>
        </w:tc>
      </w:tr>
      <w:tr w:rsidR="00784FA9" w:rsidRPr="00D604EE" w14:paraId="30A9CC32" w14:textId="77777777" w:rsidTr="007E3239">
        <w:trPr>
          <w:trHeight w:val="168"/>
        </w:trPr>
        <w:tc>
          <w:tcPr>
            <w:tcW w:w="3544" w:type="dxa"/>
          </w:tcPr>
          <w:p w14:paraId="3A09E0B3" w14:textId="77777777" w:rsidR="00784FA9" w:rsidRPr="00D604EE" w:rsidRDefault="00784FA9" w:rsidP="007E3239">
            <w:pPr>
              <w:pStyle w:val="Tableboldblue"/>
              <w:spacing w:before="40" w:after="40"/>
              <w:jc w:val="right"/>
            </w:pPr>
            <w:r w:rsidRPr="00D604EE">
              <w:t>Total</w:t>
            </w:r>
          </w:p>
        </w:tc>
        <w:tc>
          <w:tcPr>
            <w:tcW w:w="992" w:type="dxa"/>
          </w:tcPr>
          <w:p w14:paraId="27FE1124" w14:textId="77777777" w:rsidR="00784FA9" w:rsidRPr="00D604EE" w:rsidRDefault="00784FA9" w:rsidP="007E3239">
            <w:pPr>
              <w:pStyle w:val="Tableboldblue"/>
              <w:spacing w:before="40" w:after="40"/>
              <w:jc w:val="center"/>
            </w:pPr>
            <w:r w:rsidRPr="00D604EE">
              <w:t>1.0</w:t>
            </w:r>
          </w:p>
        </w:tc>
        <w:tc>
          <w:tcPr>
            <w:tcW w:w="851" w:type="dxa"/>
          </w:tcPr>
          <w:p w14:paraId="58E44AF3" w14:textId="77777777" w:rsidR="00784FA9" w:rsidRPr="00D604EE" w:rsidRDefault="00784FA9" w:rsidP="007E3239">
            <w:pPr>
              <w:pStyle w:val="Tableboldblue"/>
              <w:spacing w:before="40" w:after="40"/>
              <w:jc w:val="center"/>
            </w:pPr>
            <w:r w:rsidRPr="00D604EE">
              <w:t>0.7</w:t>
            </w:r>
          </w:p>
        </w:tc>
        <w:tc>
          <w:tcPr>
            <w:tcW w:w="992" w:type="dxa"/>
          </w:tcPr>
          <w:p w14:paraId="491C20F2" w14:textId="77777777" w:rsidR="00784FA9" w:rsidRPr="00D604EE" w:rsidRDefault="00784FA9" w:rsidP="007E3239">
            <w:pPr>
              <w:pStyle w:val="Tableboldblue"/>
              <w:spacing w:before="40" w:after="40"/>
              <w:jc w:val="center"/>
            </w:pPr>
            <w:r w:rsidRPr="00D604EE">
              <w:t>300.3</w:t>
            </w:r>
          </w:p>
        </w:tc>
        <w:tc>
          <w:tcPr>
            <w:tcW w:w="992" w:type="dxa"/>
          </w:tcPr>
          <w:p w14:paraId="5728C77E" w14:textId="77777777" w:rsidR="00784FA9" w:rsidRPr="00D604EE" w:rsidRDefault="00784FA9" w:rsidP="007E3239">
            <w:pPr>
              <w:pStyle w:val="Tableboldblue"/>
              <w:spacing w:before="40" w:after="40"/>
              <w:jc w:val="center"/>
            </w:pPr>
            <w:r w:rsidRPr="00D604EE">
              <w:t>220.3</w:t>
            </w:r>
          </w:p>
        </w:tc>
        <w:tc>
          <w:tcPr>
            <w:tcW w:w="1134" w:type="dxa"/>
          </w:tcPr>
          <w:p w14:paraId="527A15F9" w14:textId="77777777" w:rsidR="00784FA9" w:rsidRPr="00D604EE" w:rsidRDefault="00784FA9" w:rsidP="007E3239">
            <w:pPr>
              <w:pStyle w:val="Tableboldblue"/>
              <w:spacing w:before="40" w:after="40"/>
              <w:jc w:val="center"/>
            </w:pPr>
            <w:r w:rsidRPr="00D604EE">
              <w:t>–26.6</w:t>
            </w:r>
          </w:p>
        </w:tc>
      </w:tr>
    </w:tbl>
    <w:p w14:paraId="7D0B72BA" w14:textId="77777777" w:rsidR="00784FA9" w:rsidRPr="00D604EE" w:rsidRDefault="00784FA9" w:rsidP="00784FA9">
      <w:pPr>
        <w:pStyle w:val="Noteundertable"/>
      </w:pPr>
      <w:r w:rsidRPr="00D604EE">
        <w:rPr>
          <w:b/>
        </w:rPr>
        <w:t>Note:</w:t>
      </w:r>
      <w:r w:rsidRPr="00D604EE">
        <w:rPr>
          <w:bCs/>
        </w:rPr>
        <w:tab/>
      </w:r>
      <w:r w:rsidRPr="00D604EE">
        <w:t xml:space="preserve">Columns may not total due to </w:t>
      </w:r>
      <w:r w:rsidRPr="00D604EE" w:rsidDel="00963486">
        <w:t>rounding</w:t>
      </w:r>
      <w:r w:rsidRPr="00D604EE">
        <w:rPr>
          <w:b/>
        </w:rPr>
        <w:t>.</w:t>
      </w:r>
    </w:p>
    <w:p w14:paraId="3B3D3E3C" w14:textId="77777777" w:rsidR="00784FA9" w:rsidRPr="00D604EE" w:rsidRDefault="00784FA9" w:rsidP="00784FA9">
      <w:pPr>
        <w:pStyle w:val="Heading3"/>
      </w:pPr>
      <w:r w:rsidRPr="00D604EE">
        <w:lastRenderedPageBreak/>
        <w:t xml:space="preserve">6.10.1 </w:t>
      </w:r>
      <w:r w:rsidRPr="00D604EE">
        <w:tab/>
        <w:t>Direct N</w:t>
      </w:r>
      <w:r w:rsidRPr="00D604EE">
        <w:rPr>
          <w:vertAlign w:val="subscript"/>
        </w:rPr>
        <w:t>2</w:t>
      </w:r>
      <w:r w:rsidRPr="00D604EE">
        <w:t>O emissions from nitrogen fertilisation of forest land and other land (CRF 4(I)</w:t>
      </w:r>
      <w:bookmarkEnd w:id="2271"/>
      <w:r w:rsidRPr="00D604EE">
        <w:t>)</w:t>
      </w:r>
    </w:p>
    <w:p w14:paraId="37895698" w14:textId="77777777" w:rsidR="00784FA9" w:rsidRPr="00D604EE" w:rsidRDefault="00784FA9" w:rsidP="00D012C8">
      <w:pPr>
        <w:pStyle w:val="BodyText"/>
      </w:pPr>
      <w:r w:rsidRPr="00D604EE">
        <w:rPr>
          <w:spacing w:val="-2"/>
        </w:rPr>
        <w:t>New Zealand’s activity data on nitrogen fertilisation are not currently disaggregated by land use</w:t>
      </w:r>
      <w:r w:rsidRPr="00D604EE">
        <w:t xml:space="preserve"> </w:t>
      </w:r>
      <w:r w:rsidRPr="00D604EE">
        <w:rPr>
          <w:spacing w:val="-2"/>
        </w:rPr>
        <w:t>and, therefore, all direct N</w:t>
      </w:r>
      <w:r w:rsidRPr="00D604EE">
        <w:rPr>
          <w:spacing w:val="-2"/>
          <w:vertAlign w:val="subscript"/>
        </w:rPr>
        <w:t>2</w:t>
      </w:r>
      <w:r w:rsidRPr="00D604EE">
        <w:rPr>
          <w:spacing w:val="-2"/>
        </w:rPr>
        <w:t>O emissions from nitrogen fertilisation of</w:t>
      </w:r>
      <w:r w:rsidRPr="00D604EE">
        <w:rPr>
          <w:i/>
          <w:spacing w:val="-2"/>
        </w:rPr>
        <w:t xml:space="preserve"> Forest land </w:t>
      </w:r>
      <w:r w:rsidRPr="00D604EE">
        <w:rPr>
          <w:spacing w:val="-2"/>
        </w:rPr>
        <w:t>and</w:t>
      </w:r>
      <w:r w:rsidRPr="00D604EE">
        <w:rPr>
          <w:i/>
          <w:spacing w:val="-2"/>
        </w:rPr>
        <w:t xml:space="preserve"> Other land</w:t>
      </w:r>
      <w:r w:rsidRPr="00D604EE">
        <w:t xml:space="preserve"> are reported in the Agriculture sector under the category </w:t>
      </w:r>
      <w:r w:rsidRPr="00D604EE">
        <w:rPr>
          <w:i/>
        </w:rPr>
        <w:t>Direct N</w:t>
      </w:r>
      <w:r w:rsidRPr="00D604EE">
        <w:rPr>
          <w:i/>
          <w:vertAlign w:val="subscript"/>
        </w:rPr>
        <w:t>2</w:t>
      </w:r>
      <w:r w:rsidRPr="00D604EE">
        <w:rPr>
          <w:i/>
        </w:rPr>
        <w:t>O emissions from managed soils</w:t>
      </w:r>
      <w:r w:rsidRPr="00D604EE">
        <w:t xml:space="preserve"> (CRF 3.D.a). The notation key IE is reported in the CRF tables for the LULUCF sector.</w:t>
      </w:r>
    </w:p>
    <w:p w14:paraId="2ACBD40C" w14:textId="77777777" w:rsidR="00784FA9" w:rsidRPr="00D604EE" w:rsidRDefault="00784FA9" w:rsidP="00D012C8">
      <w:pPr>
        <w:pStyle w:val="Heading3"/>
      </w:pPr>
      <w:bookmarkStart w:id="2273" w:name="_Toc280630351"/>
      <w:r w:rsidRPr="00D604EE">
        <w:t xml:space="preserve">6.10.2 </w:t>
      </w:r>
      <w:r w:rsidRPr="00D604EE">
        <w:tab/>
        <w:t>Emissions from drainage and rewetting of organic and mineral soils (CRF 4(II)</w:t>
      </w:r>
      <w:bookmarkEnd w:id="2273"/>
      <w:r w:rsidRPr="00D604EE">
        <w:t xml:space="preserve">) </w:t>
      </w:r>
    </w:p>
    <w:p w14:paraId="68928721" w14:textId="77777777" w:rsidR="00784FA9" w:rsidRPr="00D604EE" w:rsidRDefault="00784FA9" w:rsidP="00D012C8">
      <w:pPr>
        <w:pStyle w:val="Heading4"/>
      </w:pPr>
      <w:r w:rsidRPr="00D604EE">
        <w:t xml:space="preserve">Description </w:t>
      </w:r>
    </w:p>
    <w:p w14:paraId="5856F4B9" w14:textId="77777777" w:rsidR="00784FA9" w:rsidRPr="00D604EE" w:rsidRDefault="00784FA9" w:rsidP="00D012C8">
      <w:pPr>
        <w:pStyle w:val="BodyText"/>
      </w:pPr>
      <w:r w:rsidRPr="00D604EE">
        <w:t>New Zealand reports on N</w:t>
      </w:r>
      <w:r w:rsidRPr="00D604EE">
        <w:rPr>
          <w:vertAlign w:val="subscript"/>
        </w:rPr>
        <w:t>2</w:t>
      </w:r>
      <w:r w:rsidRPr="00D604EE">
        <w:t>O emissions, as a result of oxidation of organic matter, from the drainage of organic soils. N</w:t>
      </w:r>
      <w:r w:rsidRPr="00D604EE">
        <w:rPr>
          <w:vertAlign w:val="subscript"/>
        </w:rPr>
        <w:t>2</w:t>
      </w:r>
      <w:r w:rsidRPr="00D604EE">
        <w:t xml:space="preserve">O </w:t>
      </w:r>
      <w:r w:rsidRPr="00D012C8">
        <w:t>emissions</w:t>
      </w:r>
      <w:r w:rsidRPr="00D604EE">
        <w:t xml:space="preserve"> on </w:t>
      </w:r>
      <w:r w:rsidRPr="00D604EE">
        <w:rPr>
          <w:i/>
          <w:iCs/>
        </w:rPr>
        <w:t>Croplands</w:t>
      </w:r>
      <w:r w:rsidRPr="00D604EE">
        <w:t xml:space="preserve"> and </w:t>
      </w:r>
      <w:r w:rsidRPr="00D604EE">
        <w:rPr>
          <w:i/>
          <w:iCs/>
        </w:rPr>
        <w:t>Grasslands</w:t>
      </w:r>
      <w:r w:rsidRPr="00D604EE">
        <w:t xml:space="preserve"> are reported under the Agriculture sector. Direct N</w:t>
      </w:r>
      <w:r w:rsidRPr="00D604EE">
        <w:rPr>
          <w:vertAlign w:val="subscript"/>
        </w:rPr>
        <w:t>2</w:t>
      </w:r>
      <w:r w:rsidRPr="00D604EE">
        <w:t xml:space="preserve">O emissions from drained organic soils in </w:t>
      </w:r>
      <w:r w:rsidRPr="00D604EE">
        <w:rPr>
          <w:i/>
        </w:rPr>
        <w:t>Forest land</w:t>
      </w:r>
      <w:r w:rsidRPr="00D604EE">
        <w:t xml:space="preserve"> are estimated to be 0.4 kt N</w:t>
      </w:r>
      <w:r w:rsidRPr="00D604EE">
        <w:rPr>
          <w:spacing w:val="-2"/>
          <w:vertAlign w:val="subscript"/>
        </w:rPr>
        <w:t>2</w:t>
      </w:r>
      <w:r w:rsidRPr="00D604EE">
        <w:t>O in 2020 compared with 0.3 kt N</w:t>
      </w:r>
      <w:r w:rsidRPr="00D604EE">
        <w:rPr>
          <w:spacing w:val="-2"/>
          <w:vertAlign w:val="subscript"/>
        </w:rPr>
        <w:t>2</w:t>
      </w:r>
      <w:r w:rsidRPr="00D604EE">
        <w:t>O in 1990.</w:t>
      </w:r>
    </w:p>
    <w:p w14:paraId="1AF74117" w14:textId="77777777" w:rsidR="00784FA9" w:rsidRPr="00D604EE" w:rsidRDefault="00784FA9" w:rsidP="00784FA9">
      <w:pPr>
        <w:pStyle w:val="Heading4"/>
        <w:spacing w:before="160"/>
      </w:pPr>
      <w:r w:rsidRPr="00D604EE">
        <w:t>Methodological issues</w:t>
      </w:r>
    </w:p>
    <w:p w14:paraId="1A88C7B4" w14:textId="77777777" w:rsidR="00784FA9" w:rsidRPr="00D604EE" w:rsidRDefault="00784FA9" w:rsidP="009E2817">
      <w:pPr>
        <w:pStyle w:val="BodyText"/>
        <w:spacing w:before="100" w:after="100"/>
      </w:pPr>
      <w:r w:rsidRPr="00D604EE">
        <w:t>To estimate N</w:t>
      </w:r>
      <w:r w:rsidRPr="00D604EE">
        <w:rPr>
          <w:vertAlign w:val="subscript"/>
        </w:rPr>
        <w:t>2</w:t>
      </w:r>
      <w:r w:rsidRPr="00D604EE">
        <w:t>O emissions associated with the drainage of organic soils on forest land, New Zealand uses the Tier 1 method outlined in the 2006 IPCC Guidelines (equation 11.1, IPCC, 2006a). The Tier 1 default value for temperate, nutrient-poor forest soils of 0.1 kg N</w:t>
      </w:r>
      <w:r w:rsidRPr="00D604EE">
        <w:rPr>
          <w:vertAlign w:val="subscript"/>
        </w:rPr>
        <w:t>2</w:t>
      </w:r>
      <w:r w:rsidRPr="00D604EE">
        <w:t>O-N ha</w:t>
      </w:r>
      <w:r w:rsidRPr="00D604EE">
        <w:rPr>
          <w:vertAlign w:val="superscript"/>
        </w:rPr>
        <w:t>-1</w:t>
      </w:r>
      <w:r w:rsidRPr="00D604EE">
        <w:t xml:space="preserve"> is applied. Note that the area of pre-1990 natural forest remaining pre-1990 natural forest on organic soils is assumed to be in its natural, undisturbed state, and therefore is presumed not to be drained. </w:t>
      </w:r>
    </w:p>
    <w:p w14:paraId="0C620EA6" w14:textId="77777777" w:rsidR="00784FA9" w:rsidRPr="00D604EE" w:rsidRDefault="00784FA9" w:rsidP="00AF4C1A">
      <w:pPr>
        <w:pStyle w:val="Heading3"/>
        <w:spacing w:before="320"/>
      </w:pPr>
      <w:bookmarkStart w:id="2274" w:name="_Toc280630352"/>
      <w:r w:rsidRPr="00D604EE">
        <w:t xml:space="preserve">6.10.3 </w:t>
      </w:r>
      <w:r w:rsidRPr="00D604EE">
        <w:tab/>
        <w:t>Direct N</w:t>
      </w:r>
      <w:r w:rsidRPr="00D604EE">
        <w:rPr>
          <w:vertAlign w:val="subscript"/>
        </w:rPr>
        <w:t>2</w:t>
      </w:r>
      <w:r w:rsidRPr="00D604EE">
        <w:t>O emissions from nitrogen mineralisation/immobilisation (CRF 4(III)</w:t>
      </w:r>
      <w:bookmarkEnd w:id="2274"/>
      <w:r w:rsidRPr="00D604EE">
        <w:t>)</w:t>
      </w:r>
    </w:p>
    <w:p w14:paraId="28D8AA02" w14:textId="77777777" w:rsidR="00784FA9" w:rsidRPr="00D604EE" w:rsidRDefault="00784FA9" w:rsidP="009A4831">
      <w:pPr>
        <w:pStyle w:val="Heading4"/>
        <w:spacing w:before="160"/>
      </w:pPr>
      <w:bookmarkStart w:id="2275" w:name="_Toc280630353"/>
      <w:r w:rsidRPr="00D604EE">
        <w:t>Description</w:t>
      </w:r>
      <w:bookmarkEnd w:id="2275"/>
      <w:r w:rsidRPr="00D604EE">
        <w:t xml:space="preserve"> </w:t>
      </w:r>
    </w:p>
    <w:p w14:paraId="1AFECEF1" w14:textId="77777777" w:rsidR="00784FA9" w:rsidRPr="00D604EE" w:rsidRDefault="00784FA9" w:rsidP="00D012C8">
      <w:pPr>
        <w:pStyle w:val="BodyText"/>
      </w:pPr>
      <w:r w:rsidRPr="00D604EE">
        <w:t>Direct N</w:t>
      </w:r>
      <w:r w:rsidRPr="00D604EE">
        <w:rPr>
          <w:spacing w:val="-2"/>
          <w:vertAlign w:val="subscript"/>
        </w:rPr>
        <w:t>2</w:t>
      </w:r>
      <w:r w:rsidRPr="00D604EE">
        <w:t>O emissions from nitrogen mineralisation/immobilisation are minor in New Zealand, estimated at 0.3 kt N</w:t>
      </w:r>
      <w:r w:rsidRPr="00D604EE">
        <w:rPr>
          <w:spacing w:val="-2"/>
          <w:vertAlign w:val="subscript"/>
        </w:rPr>
        <w:t>2</w:t>
      </w:r>
      <w:r w:rsidRPr="00D604EE">
        <w:t>O in 2020 compared with 0.6 kt N</w:t>
      </w:r>
      <w:r w:rsidRPr="00D604EE">
        <w:rPr>
          <w:spacing w:val="-2"/>
          <w:vertAlign w:val="subscript"/>
        </w:rPr>
        <w:t>2</w:t>
      </w:r>
      <w:r w:rsidRPr="00D604EE">
        <w:t>O in 1990. Note that N</w:t>
      </w:r>
      <w:r w:rsidRPr="00D604EE">
        <w:rPr>
          <w:vertAlign w:val="subscript"/>
        </w:rPr>
        <w:t>2</w:t>
      </w:r>
      <w:r w:rsidRPr="00D604EE">
        <w:t xml:space="preserve">O emissions on </w:t>
      </w:r>
      <w:r w:rsidRPr="00D604EE">
        <w:rPr>
          <w:i/>
          <w:iCs/>
        </w:rPr>
        <w:t>Cropland</w:t>
      </w:r>
      <w:r w:rsidRPr="00D604EE">
        <w:rPr>
          <w:i/>
        </w:rPr>
        <w:t xml:space="preserve"> remaining </w:t>
      </w:r>
      <w:r w:rsidRPr="00D604EE">
        <w:rPr>
          <w:i/>
          <w:iCs/>
        </w:rPr>
        <w:t>cropland</w:t>
      </w:r>
      <w:r w:rsidRPr="00D604EE">
        <w:t xml:space="preserve"> from nitrogen mineralisation/immobilisation are reported under the Agriculture sector. Direct N</w:t>
      </w:r>
      <w:r w:rsidRPr="00D604EE">
        <w:rPr>
          <w:vertAlign w:val="subscript"/>
        </w:rPr>
        <w:t>2</w:t>
      </w:r>
      <w:r w:rsidRPr="00D604EE">
        <w:t xml:space="preserve">O emissions from nitrogen mineralisation/immobilisation associated with land-use change for all other </w:t>
      </w:r>
      <w:r w:rsidRPr="00D012C8">
        <w:t>land</w:t>
      </w:r>
      <w:r w:rsidRPr="00D604EE">
        <w:t xml:space="preserve"> use categories are reported under the LULUCF sector.</w:t>
      </w:r>
    </w:p>
    <w:p w14:paraId="3C55C094" w14:textId="77777777" w:rsidR="00784FA9" w:rsidRPr="00D604EE" w:rsidRDefault="00784FA9" w:rsidP="00D012C8">
      <w:pPr>
        <w:pStyle w:val="BodyText"/>
      </w:pPr>
      <w:r w:rsidRPr="00D604EE">
        <w:t>Nitrous oxide emissions result from the mineralisation of soil organic matter with land-</w:t>
      </w:r>
      <w:r w:rsidRPr="00D012C8">
        <w:t>use</w:t>
      </w:r>
      <w:r w:rsidRPr="00D604EE">
        <w:t xml:space="preserve"> change. This mineralisation results in an associated conversion of nitrogen previously in the soil organic matter to ammonium and nitrate. Microbial activity in the soil converts some of the ammonium and nitrate present to N</w:t>
      </w:r>
      <w:r w:rsidRPr="00D604EE">
        <w:rPr>
          <w:vertAlign w:val="subscript"/>
        </w:rPr>
        <w:t>2</w:t>
      </w:r>
      <w:r w:rsidRPr="00D604EE">
        <w:t>O. An increase in this microbial substrate caused by a net decrease in soil organic matter can therefore be expected to give an increase in net N</w:t>
      </w:r>
      <w:r w:rsidRPr="00D604EE">
        <w:rPr>
          <w:vertAlign w:val="subscript"/>
        </w:rPr>
        <w:t>2</w:t>
      </w:r>
      <w:r w:rsidRPr="00D604EE">
        <w:t>O emissions (section 11, IPCC, 2006a).</w:t>
      </w:r>
    </w:p>
    <w:p w14:paraId="40C9BD1D" w14:textId="77777777" w:rsidR="00784FA9" w:rsidRPr="00D012C8" w:rsidRDefault="00784FA9" w:rsidP="00D012C8">
      <w:pPr>
        <w:pStyle w:val="Heading4"/>
      </w:pPr>
      <w:bookmarkStart w:id="2276" w:name="_Toc280630354"/>
      <w:r w:rsidRPr="00D604EE">
        <w:t>Methodological issues</w:t>
      </w:r>
      <w:bookmarkEnd w:id="2276"/>
    </w:p>
    <w:p w14:paraId="1668E917" w14:textId="77777777" w:rsidR="00784FA9" w:rsidRPr="00D012C8" w:rsidRDefault="00784FA9" w:rsidP="00D012C8">
      <w:pPr>
        <w:pStyle w:val="BodyText"/>
      </w:pPr>
      <w:r w:rsidRPr="00D604EE">
        <w:t>To estimate N</w:t>
      </w:r>
      <w:r w:rsidRPr="00D604EE">
        <w:rPr>
          <w:vertAlign w:val="subscript"/>
        </w:rPr>
        <w:t>2</w:t>
      </w:r>
      <w:r w:rsidRPr="00D604EE">
        <w:t>O emissions from disturbance associated with land-use change, New Zealand uses the method outlined in the 2006 IPCC Guidelines (equations 11.2 and 11.8, IPCC, 2006a). The inputs to these equations are:</w:t>
      </w:r>
    </w:p>
    <w:p w14:paraId="51C2CBE1" w14:textId="77777777" w:rsidR="00784FA9" w:rsidRPr="00D604EE" w:rsidRDefault="00784FA9" w:rsidP="00D012C8">
      <w:pPr>
        <w:pStyle w:val="Bullet"/>
        <w:keepNext/>
        <w:spacing w:after="100"/>
      </w:pPr>
      <w:r w:rsidRPr="00D604EE">
        <w:lastRenderedPageBreak/>
        <w:t xml:space="preserve">loss of carbon in </w:t>
      </w:r>
      <w:r w:rsidRPr="009E2817">
        <w:t>mineral</w:t>
      </w:r>
      <w:r w:rsidRPr="00D604EE">
        <w:t xml:space="preserve"> soils</w:t>
      </w:r>
    </w:p>
    <w:p w14:paraId="39145D3E" w14:textId="77777777" w:rsidR="00784FA9" w:rsidRPr="00D604EE" w:rsidRDefault="00784FA9" w:rsidP="00D012C8">
      <w:pPr>
        <w:pStyle w:val="Bullet"/>
      </w:pPr>
      <w:r w:rsidRPr="00D604EE">
        <w:t>EF1 – the emission factor for calculating emissions of N</w:t>
      </w:r>
      <w:r w:rsidRPr="00D604EE">
        <w:rPr>
          <w:vertAlign w:val="subscript"/>
        </w:rPr>
        <w:t>2</w:t>
      </w:r>
      <w:r w:rsidRPr="00D604EE">
        <w:t>O from nitrogen in the soil. New Zealand uses a country-specific value of 0.01 kg N</w:t>
      </w:r>
      <w:r w:rsidRPr="00D604EE">
        <w:rPr>
          <w:vertAlign w:val="subscript"/>
        </w:rPr>
        <w:t>2</w:t>
      </w:r>
      <w:r w:rsidRPr="00D604EE">
        <w:t>O – N/kg N (Kelliher and de Klein, unpublished)</w:t>
      </w:r>
    </w:p>
    <w:p w14:paraId="5D49D994" w14:textId="77777777" w:rsidR="00784FA9" w:rsidRPr="00D604EE" w:rsidRDefault="00784FA9" w:rsidP="00D012C8">
      <w:pPr>
        <w:pStyle w:val="Bullet"/>
      </w:pPr>
      <w:r w:rsidRPr="00D604EE">
        <w:t xml:space="preserve">C:N ratio – the IPCC default ratio of carbon to nitrogen in soil organic matter (15:1) is used (IPCC, 2006a, p 11.16). </w:t>
      </w:r>
    </w:p>
    <w:p w14:paraId="752CFC99" w14:textId="77777777" w:rsidR="00784FA9" w:rsidRPr="00D604EE" w:rsidRDefault="00784FA9" w:rsidP="00D012C8">
      <w:pPr>
        <w:pStyle w:val="BodyText"/>
      </w:pPr>
      <w:r w:rsidRPr="00D604EE">
        <w:t>Where an area of land is converted to a land use with a higher original mineral SOC stock than the category it is converted from, no N</w:t>
      </w:r>
      <w:r w:rsidRPr="00D604EE">
        <w:rPr>
          <w:vertAlign w:val="subscript"/>
        </w:rPr>
        <w:t>2</w:t>
      </w:r>
      <w:r w:rsidRPr="00D604EE">
        <w:t xml:space="preserve">O emissions have been estimated as occurring because there is no associated loss of SOC. </w:t>
      </w:r>
      <w:r w:rsidRPr="00D012C8">
        <w:t>For</w:t>
      </w:r>
      <w:r w:rsidRPr="00D604EE">
        <w:t xml:space="preserve"> instance, </w:t>
      </w:r>
      <w:r w:rsidRPr="00D604EE">
        <w:rPr>
          <w:i/>
          <w:iCs/>
        </w:rPr>
        <w:t>Cropland</w:t>
      </w:r>
      <w:r w:rsidRPr="00D604EE">
        <w:t xml:space="preserve"> converted to </w:t>
      </w:r>
      <w:r w:rsidRPr="00D604EE">
        <w:rPr>
          <w:i/>
          <w:iCs/>
        </w:rPr>
        <w:t>Forest</w:t>
      </w:r>
      <w:r w:rsidRPr="00D604EE">
        <w:rPr>
          <w:i/>
        </w:rPr>
        <w:t xml:space="preserve"> land</w:t>
      </w:r>
      <w:r w:rsidRPr="00D604EE">
        <w:t xml:space="preserve"> is estimated not to result in net N</w:t>
      </w:r>
      <w:r w:rsidRPr="00D604EE">
        <w:rPr>
          <w:vertAlign w:val="subscript"/>
        </w:rPr>
        <w:t>2</w:t>
      </w:r>
      <w:r w:rsidRPr="00D604EE">
        <w:t>O emissions because this land use conversion is associated with a net gain in SOC in New Zealand (see annex A3.2.4, table A3.2.6). In these situations, the notation key NO (not occurring) is reported in the CRF tables.</w:t>
      </w:r>
    </w:p>
    <w:p w14:paraId="59E360C2" w14:textId="77777777" w:rsidR="00784FA9" w:rsidRPr="00D604EE" w:rsidRDefault="00784FA9" w:rsidP="00D012C8">
      <w:pPr>
        <w:pStyle w:val="Heading3"/>
      </w:pPr>
      <w:r w:rsidRPr="00D604EE">
        <w:t xml:space="preserve">6.10.4 </w:t>
      </w:r>
      <w:r w:rsidRPr="00D604EE">
        <w:tab/>
        <w:t>Indirect N</w:t>
      </w:r>
      <w:r w:rsidRPr="00D604EE">
        <w:rPr>
          <w:vertAlign w:val="subscript"/>
        </w:rPr>
        <w:t>2</w:t>
      </w:r>
      <w:r w:rsidRPr="00D604EE">
        <w:t>O emissions from leaching and runoff (CRF 4(IV))</w:t>
      </w:r>
    </w:p>
    <w:p w14:paraId="0303D0F7" w14:textId="77777777" w:rsidR="00784FA9" w:rsidRPr="00D604EE" w:rsidRDefault="00784FA9" w:rsidP="00D012C8">
      <w:pPr>
        <w:pStyle w:val="BodyText"/>
      </w:pPr>
      <w:r w:rsidRPr="00D604EE">
        <w:t>Indirect N</w:t>
      </w:r>
      <w:r w:rsidRPr="00D604EE">
        <w:rPr>
          <w:spacing w:val="-2"/>
          <w:vertAlign w:val="subscript"/>
        </w:rPr>
        <w:t>2</w:t>
      </w:r>
      <w:r w:rsidRPr="00D604EE">
        <w:t xml:space="preserve">O emissions from leaching and runoff is associated with mineralisation of N from loss of soil carbon in mineral and drained/managed organic soils through land-use change or management practices. Emissions on </w:t>
      </w:r>
      <w:r w:rsidRPr="00D604EE">
        <w:rPr>
          <w:i/>
          <w:iCs/>
        </w:rPr>
        <w:t>Cropland remaining cropland</w:t>
      </w:r>
      <w:r w:rsidRPr="00D604EE">
        <w:t xml:space="preserve"> from leaching and runoff are reported under the Agriculture sector. Indirect N</w:t>
      </w:r>
      <w:r w:rsidRPr="00D604EE">
        <w:rPr>
          <w:vertAlign w:val="subscript"/>
        </w:rPr>
        <w:t>2</w:t>
      </w:r>
      <w:r w:rsidRPr="00D604EE">
        <w:t>O emissions from leaching and runoff for all other land use categories are reported under the LULUCF sector.</w:t>
      </w:r>
    </w:p>
    <w:p w14:paraId="44744914" w14:textId="77777777" w:rsidR="00784FA9" w:rsidRPr="00D604EE" w:rsidRDefault="00784FA9" w:rsidP="00D012C8">
      <w:pPr>
        <w:pStyle w:val="BodyText"/>
      </w:pPr>
      <w:r w:rsidRPr="00D604EE">
        <w:t xml:space="preserve">Indirect emissions from leaching and runoff in all land use </w:t>
      </w:r>
      <w:r w:rsidRPr="00D012C8">
        <w:t>categories</w:t>
      </w:r>
      <w:r w:rsidRPr="00D604EE">
        <w:t xml:space="preserve"> excluding </w:t>
      </w:r>
      <w:r w:rsidRPr="00D604EE">
        <w:rPr>
          <w:i/>
          <w:iCs/>
        </w:rPr>
        <w:t>Cropland remaining cropland</w:t>
      </w:r>
      <w:r w:rsidRPr="00D604EE">
        <w:t xml:space="preserve"> were estimated as 0.1 kt N</w:t>
      </w:r>
      <w:r w:rsidRPr="00D604EE">
        <w:rPr>
          <w:spacing w:val="-2"/>
          <w:vertAlign w:val="subscript"/>
        </w:rPr>
        <w:t>2</w:t>
      </w:r>
      <w:r w:rsidRPr="00D604EE">
        <w:t>O in 2020, which is the same as the value reported in 1990.</w:t>
      </w:r>
    </w:p>
    <w:p w14:paraId="3C246AB2" w14:textId="77777777" w:rsidR="00784FA9" w:rsidRPr="00D012C8" w:rsidRDefault="00784FA9" w:rsidP="00D012C8">
      <w:pPr>
        <w:pStyle w:val="Heading4"/>
      </w:pPr>
      <w:r w:rsidRPr="00D604EE">
        <w:t>Methodological issues</w:t>
      </w:r>
    </w:p>
    <w:p w14:paraId="5C1E04C1" w14:textId="77777777" w:rsidR="00784FA9" w:rsidRPr="00D604EE" w:rsidRDefault="00784FA9" w:rsidP="00D012C8">
      <w:pPr>
        <w:pStyle w:val="BodyText"/>
      </w:pPr>
      <w:r w:rsidRPr="00D604EE">
        <w:t xml:space="preserve">New Zealand applies the Tier 1 method outlined in </w:t>
      </w:r>
      <w:r w:rsidRPr="00D012C8">
        <w:t>the</w:t>
      </w:r>
      <w:r w:rsidRPr="00D604EE">
        <w:t xml:space="preserve"> 2006 IPCC Guidelines (equation 11.10, IPCC, 2006a) for estimating N</w:t>
      </w:r>
      <w:r w:rsidRPr="00D604EE">
        <w:rPr>
          <w:vertAlign w:val="subscript"/>
        </w:rPr>
        <w:t>2</w:t>
      </w:r>
      <w:r w:rsidRPr="00D604EE">
        <w:t>O emissions from leaching and runoff. The following are the inputs to this equation.</w:t>
      </w:r>
    </w:p>
    <w:p w14:paraId="06A95501" w14:textId="77777777" w:rsidR="00784FA9" w:rsidRPr="00D604EE" w:rsidRDefault="00784FA9" w:rsidP="00D012C8">
      <w:pPr>
        <w:pStyle w:val="Bullet"/>
      </w:pPr>
      <w:r w:rsidRPr="00D604EE">
        <w:t>F</w:t>
      </w:r>
      <w:r w:rsidRPr="00D604EE">
        <w:rPr>
          <w:vertAlign w:val="subscript"/>
        </w:rPr>
        <w:t>SOM</w:t>
      </w:r>
      <w:r w:rsidRPr="00D604EE">
        <w:t xml:space="preserve"> – annual amount of N mineralised in </w:t>
      </w:r>
      <w:r w:rsidRPr="00D012C8">
        <w:t>mineral</w:t>
      </w:r>
      <w:r w:rsidRPr="00D604EE">
        <w:t xml:space="preserve"> soils associated with loss of soil C from soil organic matter as a result of changes to land use or management in regions where leaching/runoff occurs, kg N yr</w:t>
      </w:r>
      <w:r w:rsidRPr="00D604EE">
        <w:rPr>
          <w:vertAlign w:val="superscript"/>
        </w:rPr>
        <w:t>-1</w:t>
      </w:r>
      <w:r w:rsidRPr="00D604EE">
        <w:t>, is calculated using the method described in section 6.10.3 above.</w:t>
      </w:r>
    </w:p>
    <w:p w14:paraId="292EC8A1" w14:textId="77777777" w:rsidR="00784FA9" w:rsidRPr="00D604EE" w:rsidRDefault="00784FA9" w:rsidP="00D012C8">
      <w:pPr>
        <w:pStyle w:val="Bullet"/>
      </w:pPr>
      <w:r w:rsidRPr="00D604EE">
        <w:t>EF</w:t>
      </w:r>
      <w:r w:rsidRPr="00D604EE">
        <w:rPr>
          <w:vertAlign w:val="subscript"/>
        </w:rPr>
        <w:t>5</w:t>
      </w:r>
      <w:r w:rsidRPr="00D604EE">
        <w:t xml:space="preserve"> – emission factor for N</w:t>
      </w:r>
      <w:r w:rsidRPr="00D604EE">
        <w:rPr>
          <w:vertAlign w:val="subscript"/>
        </w:rPr>
        <w:t>2</w:t>
      </w:r>
      <w:r w:rsidRPr="00D604EE">
        <w:t xml:space="preserve">O emissions from N </w:t>
      </w:r>
      <w:r w:rsidRPr="00D012C8">
        <w:t>leaching</w:t>
      </w:r>
      <w:r w:rsidRPr="00D604EE">
        <w:t xml:space="preserve"> and runoff, kg N2O–N (kg N leached and runoff)</w:t>
      </w:r>
      <w:r w:rsidRPr="00D604EE">
        <w:rPr>
          <w:vertAlign w:val="superscript"/>
        </w:rPr>
        <w:t>-1</w:t>
      </w:r>
      <w:r w:rsidRPr="00D604EE">
        <w:t xml:space="preserve"> uses the default emission factor of 0.0075 provided in table 11.3 (IPCC, 2006a).</w:t>
      </w:r>
    </w:p>
    <w:p w14:paraId="02D383FC" w14:textId="77777777" w:rsidR="00784FA9" w:rsidRPr="00D604EE" w:rsidRDefault="00784FA9" w:rsidP="00D012C8">
      <w:pPr>
        <w:pStyle w:val="Bullet"/>
      </w:pPr>
      <w:r w:rsidRPr="00D604EE">
        <w:t>Frac</w:t>
      </w:r>
      <w:r w:rsidRPr="00D604EE">
        <w:rPr>
          <w:vertAlign w:val="subscript"/>
        </w:rPr>
        <w:t>LEACH-(H)</w:t>
      </w:r>
      <w:r w:rsidRPr="00D604EE">
        <w:t xml:space="preserve"> – fraction of all N added </w:t>
      </w:r>
      <w:r w:rsidRPr="00D012C8">
        <w:t>to</w:t>
      </w:r>
      <w:r w:rsidRPr="00D604EE">
        <w:t>/mineralised in managed soils in regions where leaching/runoff occurs that is lost through leaching and runoff, kg N (kg of N additions)</w:t>
      </w:r>
      <w:r w:rsidRPr="00D604EE">
        <w:rPr>
          <w:vertAlign w:val="superscript"/>
        </w:rPr>
        <w:t>-1</w:t>
      </w:r>
      <w:r w:rsidRPr="00D604EE">
        <w:t xml:space="preserve"> uses the default value of 0.030 provided in table 11.3 (IPCC, 2006a).</w:t>
      </w:r>
    </w:p>
    <w:p w14:paraId="077B1691" w14:textId="77777777" w:rsidR="00784FA9" w:rsidRPr="00D604EE" w:rsidRDefault="00784FA9" w:rsidP="00784FA9">
      <w:pPr>
        <w:pStyle w:val="Heading3"/>
        <w:spacing w:before="240"/>
      </w:pPr>
      <w:r w:rsidRPr="00D604EE">
        <w:lastRenderedPageBreak/>
        <w:t xml:space="preserve">6.10.5 </w:t>
      </w:r>
      <w:r w:rsidRPr="00D604EE">
        <w:tab/>
        <w:t>Indirect N</w:t>
      </w:r>
      <w:r w:rsidRPr="00D604EE">
        <w:rPr>
          <w:vertAlign w:val="subscript"/>
        </w:rPr>
        <w:t>2</w:t>
      </w:r>
      <w:r w:rsidRPr="00D604EE">
        <w:t>O emissions from atmospheric deposition of N volatilised from managed soil (CRF 4(IV))</w:t>
      </w:r>
    </w:p>
    <w:p w14:paraId="181D7F1D" w14:textId="77777777" w:rsidR="00784FA9" w:rsidRPr="00D604EE" w:rsidRDefault="00784FA9" w:rsidP="00784FA9">
      <w:pPr>
        <w:pStyle w:val="Heading4"/>
        <w:spacing w:before="120"/>
      </w:pPr>
      <w:r w:rsidRPr="00D604EE">
        <w:t>Description</w:t>
      </w:r>
    </w:p>
    <w:p w14:paraId="3EA23C1D" w14:textId="77777777" w:rsidR="00784FA9" w:rsidRPr="00D604EE" w:rsidRDefault="00784FA9" w:rsidP="00D012C8">
      <w:pPr>
        <w:pStyle w:val="BodyText"/>
        <w:keepLines/>
        <w:spacing w:before="100"/>
      </w:pPr>
      <w:r w:rsidRPr="00D604EE">
        <w:t xml:space="preserve">New Zealand cannot separate the sources of nitrogen between </w:t>
      </w:r>
      <w:r w:rsidRPr="00D604EE">
        <w:rPr>
          <w:i/>
        </w:rPr>
        <w:t>Cropland</w:t>
      </w:r>
      <w:r w:rsidRPr="00D604EE">
        <w:t xml:space="preserve">, </w:t>
      </w:r>
      <w:r w:rsidRPr="00D604EE">
        <w:rPr>
          <w:i/>
        </w:rPr>
        <w:t>Grassland</w:t>
      </w:r>
      <w:r w:rsidRPr="00D604EE">
        <w:t xml:space="preserve"> and </w:t>
      </w:r>
      <w:r w:rsidRPr="00D604EE">
        <w:rPr>
          <w:i/>
        </w:rPr>
        <w:t>Other land</w:t>
      </w:r>
      <w:r w:rsidRPr="00D604EE">
        <w:t xml:space="preserve"> uses. For this reason, it reports all </w:t>
      </w:r>
      <w:r w:rsidRPr="00D604EE">
        <w:rPr>
          <w:i/>
        </w:rPr>
        <w:t>Indirect N</w:t>
      </w:r>
      <w:r w:rsidRPr="00D604EE">
        <w:rPr>
          <w:i/>
          <w:vertAlign w:val="subscript"/>
        </w:rPr>
        <w:t>2</w:t>
      </w:r>
      <w:r w:rsidRPr="00D604EE">
        <w:rPr>
          <w:i/>
        </w:rPr>
        <w:t>O emissions from</w:t>
      </w:r>
      <w:r w:rsidRPr="00D604EE">
        <w:t xml:space="preserve"> </w:t>
      </w:r>
      <w:r w:rsidRPr="00D604EE">
        <w:rPr>
          <w:i/>
        </w:rPr>
        <w:t xml:space="preserve">atmospheric deposition of N volatilised from managed soil </w:t>
      </w:r>
      <w:r w:rsidRPr="00D604EE">
        <w:t>within CRF table 3.D.b in the Agriculture</w:t>
      </w:r>
      <w:r w:rsidRPr="00D604EE">
        <w:rPr>
          <w:i/>
        </w:rPr>
        <w:t xml:space="preserve"> </w:t>
      </w:r>
      <w:r w:rsidRPr="00D604EE">
        <w:t>sector and uses the notation key IE within CRF table 4(IV) of the</w:t>
      </w:r>
      <w:r w:rsidRPr="00D604EE">
        <w:rPr>
          <w:i/>
        </w:rPr>
        <w:t xml:space="preserve"> </w:t>
      </w:r>
      <w:r w:rsidRPr="00D604EE">
        <w:t xml:space="preserve">LULUCF sector. </w:t>
      </w:r>
    </w:p>
    <w:p w14:paraId="70E90527" w14:textId="77777777" w:rsidR="00784FA9" w:rsidRPr="00D604EE" w:rsidRDefault="00784FA9" w:rsidP="00784FA9">
      <w:pPr>
        <w:pStyle w:val="Heading3"/>
      </w:pPr>
      <w:bookmarkStart w:id="2277" w:name="_Toc280630357"/>
      <w:r w:rsidRPr="00D604EE">
        <w:t xml:space="preserve">6.10.6 </w:t>
      </w:r>
      <w:bookmarkStart w:id="2278" w:name="_Toc255466320"/>
      <w:bookmarkStart w:id="2279" w:name="_Toc261513127"/>
      <w:bookmarkStart w:id="2280" w:name="_Toc261513740"/>
      <w:bookmarkStart w:id="2281" w:name="_Toc280630364"/>
      <w:bookmarkEnd w:id="2277"/>
      <w:r w:rsidRPr="00D604EE">
        <w:tab/>
        <w:t>Uncertainties and time-series consistency for N</w:t>
      </w:r>
      <w:r w:rsidRPr="00D604EE">
        <w:rPr>
          <w:vertAlign w:val="subscript"/>
        </w:rPr>
        <w:t>2</w:t>
      </w:r>
      <w:r w:rsidRPr="00D604EE">
        <w:t>O emissions in soils associated with land-use change</w:t>
      </w:r>
    </w:p>
    <w:p w14:paraId="36779ECE" w14:textId="77777777" w:rsidR="00784FA9" w:rsidRPr="00D604EE" w:rsidRDefault="00784FA9" w:rsidP="00784FA9">
      <w:pPr>
        <w:pStyle w:val="BodyText"/>
      </w:pPr>
      <w:r w:rsidRPr="00D604EE">
        <w:t>The uncertainty in net N</w:t>
      </w:r>
      <w:r w:rsidRPr="00D604EE">
        <w:rPr>
          <w:vertAlign w:val="subscript"/>
        </w:rPr>
        <w:t>2</w:t>
      </w:r>
      <w:r w:rsidRPr="00D604EE">
        <w:t xml:space="preserve">O emissions from nitrogen in soils associated with land-use change in 2020 is outlined in table 6.10.2. The methods used to calculate the uncertainty are further described in annex A3.2.8. </w:t>
      </w:r>
    </w:p>
    <w:p w14:paraId="26142592" w14:textId="77777777" w:rsidR="00784FA9" w:rsidRPr="00D604EE" w:rsidRDefault="00784FA9" w:rsidP="00784FA9">
      <w:pPr>
        <w:pStyle w:val="Table"/>
      </w:pPr>
      <w:bookmarkStart w:id="2282" w:name="_Toc99659317"/>
      <w:r w:rsidRPr="00D604EE">
        <w:t>Table 6.10.2</w:t>
      </w:r>
      <w:r w:rsidRPr="00D604EE">
        <w:tab/>
        <w:t>Net N</w:t>
      </w:r>
      <w:r w:rsidRPr="00D604EE">
        <w:rPr>
          <w:vertAlign w:val="subscript"/>
        </w:rPr>
        <w:t>2</w:t>
      </w:r>
      <w:r w:rsidRPr="00D604EE">
        <w:t>O emissions from nitrogen in soils associated with land-use change in 2020</w:t>
      </w:r>
      <w:bookmarkEnd w:id="2282"/>
    </w:p>
    <w:tbl>
      <w:tblPr>
        <w:tblW w:w="8505" w:type="dxa"/>
        <w:tblInd w:w="108" w:type="dxa"/>
        <w:tblLayout w:type="fixed"/>
        <w:tblLook w:val="04A0" w:firstRow="1" w:lastRow="0" w:firstColumn="1" w:lastColumn="0" w:noHBand="0" w:noVBand="1"/>
      </w:tblPr>
      <w:tblGrid>
        <w:gridCol w:w="3544"/>
        <w:gridCol w:w="1134"/>
        <w:gridCol w:w="1985"/>
        <w:gridCol w:w="1842"/>
      </w:tblGrid>
      <w:tr w:rsidR="00D012C8" w:rsidRPr="00D604EE" w14:paraId="1E22BC52" w14:textId="77777777" w:rsidTr="00D633F6">
        <w:tc>
          <w:tcPr>
            <w:tcW w:w="3544" w:type="dxa"/>
            <w:tcBorders>
              <w:top w:val="single" w:sz="4" w:space="0" w:color="1B556B"/>
              <w:bottom w:val="single" w:sz="4" w:space="0" w:color="1B556B"/>
            </w:tcBorders>
            <w:shd w:val="clear" w:color="auto" w:fill="1B556B"/>
            <w:vAlign w:val="bottom"/>
          </w:tcPr>
          <w:p w14:paraId="6DF2189E" w14:textId="77777777" w:rsidR="00784FA9" w:rsidRPr="00D604EE" w:rsidRDefault="00784FA9" w:rsidP="007E3239">
            <w:pPr>
              <w:pStyle w:val="TableTextBold"/>
              <w:keepNext/>
              <w:spacing w:before="40" w:after="40"/>
              <w:rPr>
                <w:noProof w:val="0"/>
                <w:color w:val="FFFFFF"/>
                <w:szCs w:val="16"/>
              </w:rPr>
            </w:pPr>
          </w:p>
        </w:tc>
        <w:tc>
          <w:tcPr>
            <w:tcW w:w="1134" w:type="dxa"/>
            <w:tcBorders>
              <w:top w:val="single" w:sz="4" w:space="0" w:color="1B556B"/>
              <w:bottom w:val="single" w:sz="4" w:space="0" w:color="1B556B"/>
            </w:tcBorders>
            <w:shd w:val="clear" w:color="auto" w:fill="1B556B"/>
            <w:vAlign w:val="bottom"/>
          </w:tcPr>
          <w:p w14:paraId="7BA769A5" w14:textId="77777777"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 xml:space="preserve">Emissions </w:t>
            </w:r>
            <w:r w:rsidRPr="00D604EE">
              <w:rPr>
                <w:noProof w:val="0"/>
                <w:color w:val="FFFFFF"/>
                <w:szCs w:val="16"/>
              </w:rPr>
              <w:br/>
              <w:t>(kt CO</w:t>
            </w:r>
            <w:r w:rsidRPr="00D604EE">
              <w:rPr>
                <w:noProof w:val="0"/>
                <w:color w:val="FFFFFF"/>
                <w:szCs w:val="16"/>
                <w:vertAlign w:val="subscript"/>
              </w:rPr>
              <w:t>2</w:t>
            </w:r>
            <w:r w:rsidRPr="00D604EE">
              <w:rPr>
                <w:noProof w:val="0"/>
                <w:color w:val="FFFFFF"/>
                <w:szCs w:val="16"/>
              </w:rPr>
              <w:t>-e)</w:t>
            </w:r>
          </w:p>
        </w:tc>
        <w:tc>
          <w:tcPr>
            <w:tcW w:w="1985" w:type="dxa"/>
            <w:tcBorders>
              <w:top w:val="single" w:sz="4" w:space="0" w:color="1B556B"/>
              <w:bottom w:val="single" w:sz="4" w:space="0" w:color="1B556B"/>
            </w:tcBorders>
            <w:shd w:val="clear" w:color="auto" w:fill="1B556B"/>
          </w:tcPr>
          <w:p w14:paraId="608CCFB5" w14:textId="77777777"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Uncertainty in emissions (%)</w:t>
            </w:r>
          </w:p>
        </w:tc>
        <w:tc>
          <w:tcPr>
            <w:tcW w:w="1842" w:type="dxa"/>
            <w:tcBorders>
              <w:top w:val="single" w:sz="4" w:space="0" w:color="1B556B"/>
              <w:bottom w:val="single" w:sz="4" w:space="0" w:color="1B556B"/>
            </w:tcBorders>
            <w:shd w:val="clear" w:color="auto" w:fill="1B556B"/>
          </w:tcPr>
          <w:p w14:paraId="15093AD5" w14:textId="77777777" w:rsidR="00784FA9" w:rsidRPr="00D604EE" w:rsidRDefault="00784FA9" w:rsidP="007E3239">
            <w:pPr>
              <w:pStyle w:val="TableTextBold"/>
              <w:spacing w:before="40" w:after="40"/>
              <w:jc w:val="center"/>
              <w:rPr>
                <w:noProof w:val="0"/>
                <w:color w:val="FFFFFF"/>
                <w:szCs w:val="16"/>
              </w:rPr>
            </w:pPr>
            <w:r w:rsidRPr="00D604EE">
              <w:rPr>
                <w:noProof w:val="0"/>
                <w:color w:val="FFFFFF"/>
                <w:szCs w:val="16"/>
              </w:rPr>
              <w:t>Contribution to LULUCF uncertainty (%)</w:t>
            </w:r>
          </w:p>
        </w:tc>
      </w:tr>
      <w:tr w:rsidR="00784FA9" w:rsidRPr="00D604EE" w14:paraId="5252806F" w14:textId="77777777" w:rsidTr="00D633F6">
        <w:trPr>
          <w:trHeight w:val="287"/>
        </w:trPr>
        <w:tc>
          <w:tcPr>
            <w:tcW w:w="3544" w:type="dxa"/>
            <w:tcBorders>
              <w:top w:val="single" w:sz="4" w:space="0" w:color="1B556B"/>
              <w:bottom w:val="single" w:sz="4" w:space="0" w:color="1B556B"/>
            </w:tcBorders>
          </w:tcPr>
          <w:p w14:paraId="359F5F72" w14:textId="1B3604F1" w:rsidR="00784FA9" w:rsidRPr="00D012C8" w:rsidRDefault="00784FA9" w:rsidP="00D012C8">
            <w:pPr>
              <w:pStyle w:val="TableText"/>
              <w:spacing w:before="50" w:after="50"/>
            </w:pPr>
            <w:r w:rsidRPr="00D012C8">
              <w:t>Direct N</w:t>
            </w:r>
            <w:r w:rsidRPr="00D012C8">
              <w:rPr>
                <w:vertAlign w:val="subscript"/>
              </w:rPr>
              <w:t>2</w:t>
            </w:r>
            <w:r w:rsidRPr="00D012C8">
              <w:t>O emissions from N mineralisation/</w:t>
            </w:r>
            <w:r w:rsidR="00D633F6">
              <w:t xml:space="preserve"> </w:t>
            </w:r>
            <w:r w:rsidRPr="00D012C8">
              <w:t>immobilisation</w:t>
            </w:r>
          </w:p>
        </w:tc>
        <w:tc>
          <w:tcPr>
            <w:tcW w:w="1134" w:type="dxa"/>
            <w:tcBorders>
              <w:top w:val="single" w:sz="4" w:space="0" w:color="1B556B"/>
              <w:bottom w:val="single" w:sz="4" w:space="0" w:color="1B556B"/>
            </w:tcBorders>
          </w:tcPr>
          <w:p w14:paraId="3E1D6118" w14:textId="77777777" w:rsidR="00784FA9" w:rsidRPr="00D604EE" w:rsidRDefault="00784FA9" w:rsidP="007E3239">
            <w:pPr>
              <w:pStyle w:val="TableText"/>
              <w:spacing w:before="40" w:after="40"/>
              <w:jc w:val="center"/>
            </w:pPr>
            <w:r w:rsidRPr="00D604EE">
              <w:t>78.8</w:t>
            </w:r>
          </w:p>
        </w:tc>
        <w:tc>
          <w:tcPr>
            <w:tcW w:w="1985" w:type="dxa"/>
            <w:tcBorders>
              <w:top w:val="single" w:sz="4" w:space="0" w:color="1B556B"/>
              <w:bottom w:val="single" w:sz="4" w:space="0" w:color="1B556B"/>
            </w:tcBorders>
          </w:tcPr>
          <w:p w14:paraId="0822B6E8" w14:textId="77777777" w:rsidR="00784FA9" w:rsidRPr="00D604EE" w:rsidRDefault="00784FA9" w:rsidP="007E3239">
            <w:pPr>
              <w:pStyle w:val="TableText"/>
              <w:spacing w:before="40" w:after="40"/>
              <w:jc w:val="center"/>
              <w:rPr>
                <w:rFonts w:cs="Yu Gothic"/>
              </w:rPr>
            </w:pPr>
            <w:r w:rsidRPr="00D604EE">
              <w:t>86.4</w:t>
            </w:r>
          </w:p>
        </w:tc>
        <w:tc>
          <w:tcPr>
            <w:tcW w:w="1842" w:type="dxa"/>
            <w:tcBorders>
              <w:top w:val="single" w:sz="4" w:space="0" w:color="1B556B"/>
              <w:bottom w:val="single" w:sz="4" w:space="0" w:color="1B556B"/>
            </w:tcBorders>
          </w:tcPr>
          <w:p w14:paraId="36CF85F3" w14:textId="77777777" w:rsidR="00784FA9" w:rsidRPr="00D604EE" w:rsidRDefault="00784FA9" w:rsidP="007E3239">
            <w:pPr>
              <w:pStyle w:val="TableText"/>
              <w:spacing w:before="40" w:after="40"/>
              <w:jc w:val="center"/>
              <w:rPr>
                <w:rFonts w:cs="Yu Gothic"/>
              </w:rPr>
            </w:pPr>
            <w:r w:rsidRPr="00D604EE">
              <w:t>0.3</w:t>
            </w:r>
          </w:p>
        </w:tc>
      </w:tr>
      <w:tr w:rsidR="00784FA9" w:rsidRPr="00D604EE" w14:paraId="2375E79A" w14:textId="77777777" w:rsidTr="00D633F6">
        <w:trPr>
          <w:trHeight w:val="279"/>
        </w:trPr>
        <w:tc>
          <w:tcPr>
            <w:tcW w:w="3544" w:type="dxa"/>
            <w:tcBorders>
              <w:top w:val="single" w:sz="4" w:space="0" w:color="1B556B"/>
              <w:bottom w:val="single" w:sz="4" w:space="0" w:color="1B556B"/>
            </w:tcBorders>
          </w:tcPr>
          <w:p w14:paraId="42161544" w14:textId="77777777" w:rsidR="00784FA9" w:rsidRPr="00D012C8" w:rsidRDefault="00784FA9" w:rsidP="00D012C8">
            <w:pPr>
              <w:pStyle w:val="TableText"/>
              <w:spacing w:before="50" w:after="50"/>
            </w:pPr>
            <w:r w:rsidRPr="00D012C8">
              <w:t>Direct N</w:t>
            </w:r>
            <w:r w:rsidRPr="00D012C8">
              <w:rPr>
                <w:vertAlign w:val="subscript"/>
              </w:rPr>
              <w:t>2</w:t>
            </w:r>
            <w:r w:rsidRPr="00D012C8">
              <w:t>O emissions from drainage and rewetting</w:t>
            </w:r>
          </w:p>
        </w:tc>
        <w:tc>
          <w:tcPr>
            <w:tcW w:w="1134" w:type="dxa"/>
            <w:tcBorders>
              <w:top w:val="single" w:sz="4" w:space="0" w:color="1B556B"/>
              <w:bottom w:val="single" w:sz="4" w:space="0" w:color="1B556B"/>
            </w:tcBorders>
          </w:tcPr>
          <w:p w14:paraId="643A9D9B" w14:textId="77777777" w:rsidR="00784FA9" w:rsidRPr="00D604EE" w:rsidRDefault="00784FA9" w:rsidP="007E3239">
            <w:pPr>
              <w:pStyle w:val="TableText"/>
              <w:spacing w:before="40" w:after="40"/>
              <w:jc w:val="center"/>
            </w:pPr>
            <w:r w:rsidRPr="00D604EE">
              <w:t>123.8</w:t>
            </w:r>
          </w:p>
        </w:tc>
        <w:tc>
          <w:tcPr>
            <w:tcW w:w="1985" w:type="dxa"/>
            <w:tcBorders>
              <w:top w:val="single" w:sz="4" w:space="0" w:color="1B556B"/>
              <w:bottom w:val="single" w:sz="4" w:space="0" w:color="1B556B"/>
            </w:tcBorders>
          </w:tcPr>
          <w:p w14:paraId="37BD1D39" w14:textId="77777777" w:rsidR="00784FA9" w:rsidRPr="00D604EE" w:rsidRDefault="00784FA9" w:rsidP="007E3239">
            <w:pPr>
              <w:pStyle w:val="TableText"/>
              <w:spacing w:before="40" w:after="40"/>
              <w:jc w:val="center"/>
              <w:rPr>
                <w:rFonts w:cs="Yu Gothic"/>
              </w:rPr>
            </w:pPr>
            <w:r w:rsidRPr="00D604EE">
              <w:t>86.5</w:t>
            </w:r>
          </w:p>
        </w:tc>
        <w:tc>
          <w:tcPr>
            <w:tcW w:w="1842" w:type="dxa"/>
            <w:tcBorders>
              <w:top w:val="single" w:sz="4" w:space="0" w:color="1B556B"/>
              <w:bottom w:val="single" w:sz="4" w:space="0" w:color="1B556B"/>
            </w:tcBorders>
          </w:tcPr>
          <w:p w14:paraId="6D16EC58" w14:textId="77777777" w:rsidR="00784FA9" w:rsidRPr="00D604EE" w:rsidRDefault="00784FA9" w:rsidP="007E3239">
            <w:pPr>
              <w:pStyle w:val="TableText"/>
              <w:spacing w:before="40" w:after="40"/>
              <w:jc w:val="center"/>
              <w:rPr>
                <w:rFonts w:cs="Yu Gothic"/>
              </w:rPr>
            </w:pPr>
            <w:r w:rsidRPr="00D604EE">
              <w:t>0.5</w:t>
            </w:r>
          </w:p>
        </w:tc>
      </w:tr>
      <w:tr w:rsidR="00784FA9" w:rsidRPr="00D604EE" w14:paraId="26507B1E" w14:textId="77777777" w:rsidTr="00D633F6">
        <w:trPr>
          <w:trHeight w:val="279"/>
        </w:trPr>
        <w:tc>
          <w:tcPr>
            <w:tcW w:w="3544" w:type="dxa"/>
            <w:tcBorders>
              <w:top w:val="single" w:sz="4" w:space="0" w:color="1B556B"/>
              <w:bottom w:val="single" w:sz="4" w:space="0" w:color="1B556B"/>
            </w:tcBorders>
          </w:tcPr>
          <w:p w14:paraId="7D42CDB1" w14:textId="77777777" w:rsidR="00784FA9" w:rsidRPr="00D012C8" w:rsidRDefault="00784FA9" w:rsidP="00D012C8">
            <w:pPr>
              <w:pStyle w:val="TableText"/>
              <w:spacing w:before="50" w:after="50"/>
            </w:pPr>
            <w:r w:rsidRPr="00D012C8">
              <w:t>Indirect emissions from leaching and runoff</w:t>
            </w:r>
          </w:p>
        </w:tc>
        <w:tc>
          <w:tcPr>
            <w:tcW w:w="1134" w:type="dxa"/>
            <w:tcBorders>
              <w:top w:val="single" w:sz="4" w:space="0" w:color="1B556B"/>
              <w:bottom w:val="single" w:sz="4" w:space="0" w:color="1B556B"/>
            </w:tcBorders>
          </w:tcPr>
          <w:p w14:paraId="06D9FBD6" w14:textId="77777777" w:rsidR="00784FA9" w:rsidRPr="00D604EE" w:rsidRDefault="00784FA9" w:rsidP="007E3239">
            <w:pPr>
              <w:pStyle w:val="TableText"/>
              <w:spacing w:before="40" w:after="40"/>
              <w:jc w:val="center"/>
            </w:pPr>
            <w:r w:rsidRPr="00D604EE">
              <w:t>17.7</w:t>
            </w:r>
          </w:p>
        </w:tc>
        <w:tc>
          <w:tcPr>
            <w:tcW w:w="1985" w:type="dxa"/>
            <w:tcBorders>
              <w:top w:val="single" w:sz="4" w:space="0" w:color="1B556B"/>
              <w:bottom w:val="single" w:sz="4" w:space="0" w:color="1B556B"/>
            </w:tcBorders>
          </w:tcPr>
          <w:p w14:paraId="739EF005" w14:textId="77777777" w:rsidR="00784FA9" w:rsidRPr="00D604EE" w:rsidRDefault="00784FA9" w:rsidP="007E3239">
            <w:pPr>
              <w:pStyle w:val="TableText"/>
              <w:spacing w:before="40" w:after="40"/>
              <w:jc w:val="center"/>
            </w:pPr>
            <w:r w:rsidRPr="00D604EE">
              <w:t>127.5</w:t>
            </w:r>
          </w:p>
        </w:tc>
        <w:tc>
          <w:tcPr>
            <w:tcW w:w="1842" w:type="dxa"/>
            <w:tcBorders>
              <w:top w:val="single" w:sz="4" w:space="0" w:color="1B556B"/>
              <w:bottom w:val="single" w:sz="4" w:space="0" w:color="1B556B"/>
            </w:tcBorders>
          </w:tcPr>
          <w:p w14:paraId="336AE142" w14:textId="77777777" w:rsidR="00784FA9" w:rsidRPr="00D604EE" w:rsidRDefault="00784FA9" w:rsidP="007E3239">
            <w:pPr>
              <w:pStyle w:val="TableText"/>
              <w:spacing w:before="40" w:after="40"/>
              <w:jc w:val="center"/>
            </w:pPr>
            <w:r w:rsidRPr="00D604EE">
              <w:t>0.1</w:t>
            </w:r>
          </w:p>
        </w:tc>
      </w:tr>
    </w:tbl>
    <w:p w14:paraId="788FF514" w14:textId="77777777" w:rsidR="00784FA9" w:rsidRPr="00D604EE" w:rsidRDefault="00784FA9" w:rsidP="00784FA9">
      <w:pPr>
        <w:pStyle w:val="BodyText"/>
        <w:spacing w:before="240"/>
      </w:pPr>
      <w:r w:rsidRPr="00D604EE">
        <w:t xml:space="preserve">Time-series consistency is ensured by applying consistent methods and full recalculations in the event of any refinement or improvement to methodology. </w:t>
      </w:r>
    </w:p>
    <w:p w14:paraId="45B9EF89" w14:textId="77777777" w:rsidR="00784FA9" w:rsidRPr="00D604EE" w:rsidRDefault="00784FA9" w:rsidP="00784FA9">
      <w:pPr>
        <w:pStyle w:val="Heading3"/>
      </w:pPr>
      <w:r w:rsidRPr="00D604EE">
        <w:t>6.10.7</w:t>
      </w:r>
      <w:r w:rsidRPr="00D604EE">
        <w:tab/>
        <w:t>Source-specific planned improvements for N</w:t>
      </w:r>
      <w:r w:rsidRPr="00D604EE">
        <w:rPr>
          <w:vertAlign w:val="subscript"/>
        </w:rPr>
        <w:t>2</w:t>
      </w:r>
      <w:r w:rsidRPr="00D604EE">
        <w:t>O emissions in soils associated with land-use change</w:t>
      </w:r>
    </w:p>
    <w:p w14:paraId="09272A92" w14:textId="77777777" w:rsidR="00784FA9" w:rsidRPr="00D604EE" w:rsidRDefault="00784FA9" w:rsidP="00784FA9">
      <w:pPr>
        <w:pStyle w:val="BodyText"/>
      </w:pPr>
      <w:r w:rsidRPr="00D604EE">
        <w:t xml:space="preserve">Nitrous oxide emissions associated with the drainage of organic soils in </w:t>
      </w:r>
      <w:r w:rsidRPr="00D604EE">
        <w:rPr>
          <w:i/>
          <w:iCs/>
        </w:rPr>
        <w:t>Settlements</w:t>
      </w:r>
      <w:r w:rsidRPr="00D604EE">
        <w:t xml:space="preserve"> will be included in the 2023 submission as New Zealand considers that most of its </w:t>
      </w:r>
      <w:r w:rsidRPr="00D604EE">
        <w:rPr>
          <w:i/>
          <w:iCs/>
        </w:rPr>
        <w:t>Settlements</w:t>
      </w:r>
      <w:r w:rsidRPr="00D604EE">
        <w:t xml:space="preserve"> area can be assimilated to </w:t>
      </w:r>
      <w:r w:rsidRPr="00D604EE">
        <w:rPr>
          <w:i/>
          <w:iCs/>
        </w:rPr>
        <w:t>Grassland</w:t>
      </w:r>
      <w:r w:rsidRPr="00D604EE">
        <w:t xml:space="preserve"> when it comes to soil carbon. </w:t>
      </w:r>
    </w:p>
    <w:p w14:paraId="3E98E7AC" w14:textId="77777777" w:rsidR="00784FA9" w:rsidRPr="00D604EE" w:rsidRDefault="00784FA9" w:rsidP="00784FA9">
      <w:pPr>
        <w:pStyle w:val="Heading3"/>
      </w:pPr>
      <w:r w:rsidRPr="00D604EE">
        <w:t xml:space="preserve">6.10.8 </w:t>
      </w:r>
      <w:r w:rsidRPr="00D604EE">
        <w:tab/>
        <w:t>Biomass burning</w:t>
      </w:r>
      <w:bookmarkEnd w:id="2278"/>
      <w:bookmarkEnd w:id="2279"/>
      <w:bookmarkEnd w:id="2280"/>
      <w:r w:rsidRPr="00D604EE">
        <w:t xml:space="preserve"> (CRF 4(V)</w:t>
      </w:r>
      <w:bookmarkEnd w:id="2281"/>
      <w:r w:rsidRPr="00D604EE">
        <w:t>)</w:t>
      </w:r>
    </w:p>
    <w:p w14:paraId="0AFC9A03" w14:textId="77777777" w:rsidR="00784FA9" w:rsidRPr="00D604EE" w:rsidRDefault="00784FA9" w:rsidP="00784FA9">
      <w:pPr>
        <w:pStyle w:val="Heading4"/>
        <w:spacing w:before="160"/>
      </w:pPr>
      <w:bookmarkStart w:id="2283" w:name="_Toc280630365"/>
      <w:r w:rsidRPr="00D604EE">
        <w:t>Description</w:t>
      </w:r>
      <w:bookmarkEnd w:id="2283"/>
    </w:p>
    <w:p w14:paraId="17AD277B" w14:textId="77777777" w:rsidR="00784FA9" w:rsidRPr="00D604EE" w:rsidRDefault="00784FA9" w:rsidP="00784FA9">
      <w:pPr>
        <w:pStyle w:val="BodyText"/>
      </w:pPr>
      <w:r w:rsidRPr="00D604EE">
        <w:t>Non-CO</w:t>
      </w:r>
      <w:r w:rsidRPr="00D604EE">
        <w:rPr>
          <w:vertAlign w:val="subscript"/>
        </w:rPr>
        <w:t xml:space="preserve">2 </w:t>
      </w:r>
      <w:r w:rsidRPr="00D604EE">
        <w:t xml:space="preserve">emissions from </w:t>
      </w:r>
      <w:r w:rsidRPr="00D604EE">
        <w:rPr>
          <w:i/>
        </w:rPr>
        <w:t>Biomass burning</w:t>
      </w:r>
      <w:r w:rsidRPr="00D604EE">
        <w:t xml:space="preserve"> in 2020 were 3.3 kt CH</w:t>
      </w:r>
      <w:r w:rsidRPr="00D604EE">
        <w:rPr>
          <w:vertAlign w:val="subscript"/>
        </w:rPr>
        <w:t>4</w:t>
      </w:r>
      <w:r w:rsidRPr="00D604EE">
        <w:t xml:space="preserve"> (81.7 kt CO</w:t>
      </w:r>
      <w:r w:rsidRPr="00D604EE">
        <w:rPr>
          <w:vertAlign w:val="subscript"/>
        </w:rPr>
        <w:t>2</w:t>
      </w:r>
      <w:r w:rsidRPr="00D604EE">
        <w:t>-e) and 0.2 kt N</w:t>
      </w:r>
      <w:r w:rsidRPr="00D604EE">
        <w:rPr>
          <w:vertAlign w:val="subscript"/>
        </w:rPr>
        <w:t>2</w:t>
      </w:r>
      <w:r w:rsidRPr="00D604EE">
        <w:t>O (51.0 kt CO</w:t>
      </w:r>
      <w:r w:rsidRPr="00D604EE">
        <w:rPr>
          <w:vertAlign w:val="subscript"/>
        </w:rPr>
        <w:t>2</w:t>
      </w:r>
      <w:r w:rsidRPr="00D604EE">
        <w:t>-e) (see table 6.10.3).</w:t>
      </w:r>
    </w:p>
    <w:p w14:paraId="68D04A9C" w14:textId="77777777" w:rsidR="00784FA9" w:rsidRPr="00D604EE" w:rsidRDefault="00784FA9" w:rsidP="00784FA9">
      <w:pPr>
        <w:pStyle w:val="Table"/>
      </w:pPr>
      <w:bookmarkStart w:id="2284" w:name="_Toc310423431"/>
      <w:bookmarkStart w:id="2285" w:name="_Toc318362724"/>
      <w:bookmarkStart w:id="2286" w:name="_Toc342470799"/>
      <w:bookmarkStart w:id="2287" w:name="_Toc352505039"/>
      <w:bookmarkStart w:id="2288" w:name="_Toc378853328"/>
      <w:bookmarkStart w:id="2289" w:name="_Toc391024126"/>
      <w:bookmarkStart w:id="2290" w:name="_Toc410028870"/>
      <w:bookmarkStart w:id="2291" w:name="_Toc414531498"/>
      <w:bookmarkStart w:id="2292" w:name="_Toc443645412"/>
      <w:bookmarkStart w:id="2293" w:name="_Toc474914631"/>
      <w:bookmarkStart w:id="2294" w:name="_Toc481751595"/>
      <w:bookmarkStart w:id="2295" w:name="_Toc522010652"/>
      <w:bookmarkStart w:id="2296" w:name="_Toc5269557"/>
      <w:bookmarkStart w:id="2297" w:name="_Toc33529431"/>
      <w:bookmarkStart w:id="2298" w:name="_Toc36224637"/>
      <w:bookmarkStart w:id="2299" w:name="_Toc99659318"/>
      <w:r w:rsidRPr="00D604EE">
        <w:t>Table 6.10.3</w:t>
      </w:r>
      <w:r w:rsidRPr="00D604EE">
        <w:tab/>
        <w:t>Non-CO</w:t>
      </w:r>
      <w:r w:rsidRPr="00D604EE">
        <w:rPr>
          <w:vertAlign w:val="subscript"/>
        </w:rPr>
        <w:t>2</w:t>
      </w:r>
      <w:r w:rsidRPr="00D604EE">
        <w:t xml:space="preserve"> emissions from </w:t>
      </w:r>
      <w:r w:rsidRPr="00D604EE">
        <w:rPr>
          <w:i/>
        </w:rPr>
        <w:t>Biomass burning</w:t>
      </w:r>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4092"/>
        <w:gridCol w:w="1055"/>
        <w:gridCol w:w="1056"/>
        <w:gridCol w:w="2302"/>
      </w:tblGrid>
      <w:tr w:rsidR="00784FA9" w:rsidRPr="00D604EE" w14:paraId="1C269D25" w14:textId="77777777" w:rsidTr="00D012C8">
        <w:tc>
          <w:tcPr>
            <w:tcW w:w="4092" w:type="dxa"/>
            <w:shd w:val="clear" w:color="auto" w:fill="1B556B"/>
          </w:tcPr>
          <w:p w14:paraId="19CB33F7" w14:textId="77777777" w:rsidR="00784FA9" w:rsidRPr="00D604EE" w:rsidRDefault="00784FA9" w:rsidP="007E3239">
            <w:pPr>
              <w:pStyle w:val="TableTextBold"/>
              <w:spacing w:before="40" w:after="40"/>
              <w:rPr>
                <w:noProof w:val="0"/>
                <w:color w:val="FFFFFF"/>
              </w:rPr>
            </w:pPr>
            <w:r w:rsidRPr="00D604EE">
              <w:rPr>
                <w:noProof w:val="0"/>
                <w:color w:val="FFFFFF"/>
              </w:rPr>
              <w:t>Emissions</w:t>
            </w:r>
          </w:p>
        </w:tc>
        <w:tc>
          <w:tcPr>
            <w:tcW w:w="1055" w:type="dxa"/>
            <w:shd w:val="clear" w:color="auto" w:fill="1B556B"/>
          </w:tcPr>
          <w:p w14:paraId="239556C9" w14:textId="77777777" w:rsidR="00784FA9" w:rsidRPr="00D604EE" w:rsidRDefault="00784FA9" w:rsidP="007E3239">
            <w:pPr>
              <w:pStyle w:val="TableTextBold"/>
              <w:spacing w:before="40" w:after="40"/>
              <w:jc w:val="center"/>
              <w:rPr>
                <w:noProof w:val="0"/>
                <w:color w:val="FFFFFF"/>
              </w:rPr>
            </w:pPr>
            <w:r w:rsidRPr="00D604EE">
              <w:rPr>
                <w:noProof w:val="0"/>
                <w:color w:val="FFFFFF"/>
              </w:rPr>
              <w:t>1990</w:t>
            </w:r>
          </w:p>
        </w:tc>
        <w:tc>
          <w:tcPr>
            <w:tcW w:w="1056" w:type="dxa"/>
            <w:shd w:val="clear" w:color="auto" w:fill="1B556B"/>
          </w:tcPr>
          <w:p w14:paraId="332F1E82" w14:textId="77777777" w:rsidR="00784FA9" w:rsidRPr="00D604EE" w:rsidRDefault="00784FA9" w:rsidP="007E3239">
            <w:pPr>
              <w:pStyle w:val="TableTextBold"/>
              <w:spacing w:before="40" w:after="40"/>
              <w:jc w:val="center"/>
              <w:rPr>
                <w:noProof w:val="0"/>
                <w:color w:val="FFFFFF"/>
              </w:rPr>
            </w:pPr>
            <w:r w:rsidRPr="00D604EE">
              <w:rPr>
                <w:noProof w:val="0"/>
                <w:color w:val="FFFFFF"/>
              </w:rPr>
              <w:t>2020</w:t>
            </w:r>
          </w:p>
        </w:tc>
        <w:tc>
          <w:tcPr>
            <w:tcW w:w="2302" w:type="dxa"/>
            <w:shd w:val="clear" w:color="auto" w:fill="1B556B"/>
          </w:tcPr>
          <w:p w14:paraId="31B231A0" w14:textId="77777777" w:rsidR="00784FA9" w:rsidRPr="00D604EE" w:rsidRDefault="00784FA9" w:rsidP="007E3239">
            <w:pPr>
              <w:pStyle w:val="TableTextBold"/>
              <w:spacing w:before="40" w:after="40"/>
              <w:jc w:val="center"/>
              <w:rPr>
                <w:noProof w:val="0"/>
                <w:color w:val="FFFFFF"/>
              </w:rPr>
            </w:pPr>
            <w:r w:rsidRPr="00D604EE">
              <w:rPr>
                <w:noProof w:val="0"/>
                <w:color w:val="FFFFFF"/>
              </w:rPr>
              <w:t>Change since 1990 (%)</w:t>
            </w:r>
          </w:p>
        </w:tc>
      </w:tr>
      <w:tr w:rsidR="00784FA9" w:rsidRPr="00D604EE" w14:paraId="7DD70971" w14:textId="77777777" w:rsidTr="007E3239">
        <w:tc>
          <w:tcPr>
            <w:tcW w:w="4092" w:type="dxa"/>
          </w:tcPr>
          <w:p w14:paraId="10675C00" w14:textId="77777777" w:rsidR="00784FA9" w:rsidRPr="00D604EE" w:rsidRDefault="00784FA9" w:rsidP="007E3239">
            <w:pPr>
              <w:pStyle w:val="TableText"/>
            </w:pPr>
            <w:r w:rsidRPr="00D604EE">
              <w:t>CH</w:t>
            </w:r>
            <w:r w:rsidRPr="00D604EE">
              <w:rPr>
                <w:vertAlign w:val="subscript"/>
              </w:rPr>
              <w:t>4</w:t>
            </w:r>
            <w:r w:rsidRPr="00D604EE">
              <w:t xml:space="preserve"> emissions (kt CH</w:t>
            </w:r>
            <w:r w:rsidRPr="00D604EE">
              <w:rPr>
                <w:vertAlign w:val="subscript"/>
              </w:rPr>
              <w:t>4</w:t>
            </w:r>
            <w:r w:rsidRPr="00D604EE">
              <w:t>)</w:t>
            </w:r>
          </w:p>
        </w:tc>
        <w:tc>
          <w:tcPr>
            <w:tcW w:w="1055" w:type="dxa"/>
          </w:tcPr>
          <w:p w14:paraId="68413162" w14:textId="77777777" w:rsidR="00784FA9" w:rsidRPr="00D604EE" w:rsidRDefault="00784FA9" w:rsidP="007E3239">
            <w:pPr>
              <w:pStyle w:val="TableText"/>
              <w:tabs>
                <w:tab w:val="decimal" w:pos="204"/>
              </w:tabs>
              <w:jc w:val="center"/>
            </w:pPr>
            <w:r w:rsidRPr="00D604EE">
              <w:t>2.7</w:t>
            </w:r>
          </w:p>
        </w:tc>
        <w:tc>
          <w:tcPr>
            <w:tcW w:w="1056" w:type="dxa"/>
          </w:tcPr>
          <w:p w14:paraId="28105E16" w14:textId="77777777" w:rsidR="00784FA9" w:rsidRPr="00D604EE" w:rsidRDefault="00784FA9" w:rsidP="007E3239">
            <w:pPr>
              <w:pStyle w:val="TableText"/>
              <w:tabs>
                <w:tab w:val="decimal" w:pos="204"/>
              </w:tabs>
              <w:jc w:val="center"/>
            </w:pPr>
            <w:r w:rsidRPr="00D604EE">
              <w:t>3.3</w:t>
            </w:r>
          </w:p>
        </w:tc>
        <w:tc>
          <w:tcPr>
            <w:tcW w:w="2302" w:type="dxa"/>
          </w:tcPr>
          <w:p w14:paraId="16F63189" w14:textId="77777777" w:rsidR="00784FA9" w:rsidRPr="00D604EE" w:rsidRDefault="00784FA9" w:rsidP="007E3239">
            <w:pPr>
              <w:pStyle w:val="TableText"/>
              <w:tabs>
                <w:tab w:val="decimal" w:pos="204"/>
              </w:tabs>
              <w:jc w:val="center"/>
            </w:pPr>
            <w:r w:rsidRPr="00D604EE">
              <w:t>18.8</w:t>
            </w:r>
          </w:p>
        </w:tc>
      </w:tr>
      <w:tr w:rsidR="00784FA9" w:rsidRPr="00D604EE" w14:paraId="6E4BAA3C" w14:textId="77777777" w:rsidTr="007E3239">
        <w:tc>
          <w:tcPr>
            <w:tcW w:w="4092" w:type="dxa"/>
          </w:tcPr>
          <w:p w14:paraId="3D92287D" w14:textId="77777777" w:rsidR="00784FA9" w:rsidRPr="00D604EE" w:rsidRDefault="00784FA9" w:rsidP="007E3239">
            <w:pPr>
              <w:pStyle w:val="TableText"/>
            </w:pPr>
            <w:r w:rsidRPr="00D604EE">
              <w:t>N</w:t>
            </w:r>
            <w:r w:rsidRPr="00D604EE">
              <w:rPr>
                <w:vertAlign w:val="subscript"/>
              </w:rPr>
              <w:t>2</w:t>
            </w:r>
            <w:r w:rsidRPr="00D604EE">
              <w:t>O emissions (kt N</w:t>
            </w:r>
            <w:r w:rsidRPr="00D604EE">
              <w:rPr>
                <w:vertAlign w:val="subscript"/>
              </w:rPr>
              <w:t>2</w:t>
            </w:r>
            <w:r w:rsidRPr="00D604EE">
              <w:t>O)</w:t>
            </w:r>
          </w:p>
        </w:tc>
        <w:tc>
          <w:tcPr>
            <w:tcW w:w="1055" w:type="dxa"/>
          </w:tcPr>
          <w:p w14:paraId="2B2827BE" w14:textId="77777777" w:rsidR="00784FA9" w:rsidRPr="00D604EE" w:rsidRDefault="00784FA9" w:rsidP="007E3239">
            <w:pPr>
              <w:pStyle w:val="TableText"/>
              <w:tabs>
                <w:tab w:val="decimal" w:pos="204"/>
              </w:tabs>
              <w:jc w:val="center"/>
            </w:pPr>
            <w:r w:rsidRPr="00D604EE">
              <w:t>0.1</w:t>
            </w:r>
          </w:p>
        </w:tc>
        <w:tc>
          <w:tcPr>
            <w:tcW w:w="1056" w:type="dxa"/>
          </w:tcPr>
          <w:p w14:paraId="3E895FD1" w14:textId="77777777" w:rsidR="00784FA9" w:rsidRPr="00D604EE" w:rsidRDefault="00784FA9" w:rsidP="007E3239">
            <w:pPr>
              <w:pStyle w:val="TableText"/>
              <w:tabs>
                <w:tab w:val="decimal" w:pos="204"/>
              </w:tabs>
              <w:jc w:val="center"/>
            </w:pPr>
            <w:r w:rsidRPr="00D604EE">
              <w:t>0.2</w:t>
            </w:r>
          </w:p>
        </w:tc>
        <w:tc>
          <w:tcPr>
            <w:tcW w:w="2302" w:type="dxa"/>
          </w:tcPr>
          <w:p w14:paraId="372DACD1" w14:textId="77777777" w:rsidR="00784FA9" w:rsidRPr="00D604EE" w:rsidRDefault="00784FA9" w:rsidP="007E3239">
            <w:pPr>
              <w:pStyle w:val="TableText"/>
              <w:tabs>
                <w:tab w:val="decimal" w:pos="204"/>
              </w:tabs>
              <w:jc w:val="center"/>
            </w:pPr>
            <w:r w:rsidRPr="00D604EE">
              <w:t>97.3</w:t>
            </w:r>
          </w:p>
        </w:tc>
      </w:tr>
    </w:tbl>
    <w:p w14:paraId="67CEB79B" w14:textId="77777777" w:rsidR="00784FA9" w:rsidRPr="00D604EE" w:rsidRDefault="00784FA9" w:rsidP="00D012C8">
      <w:pPr>
        <w:pStyle w:val="BodyText"/>
        <w:keepLines/>
        <w:spacing w:before="240"/>
      </w:pPr>
      <w:r w:rsidRPr="00D604EE">
        <w:rPr>
          <w:i/>
          <w:spacing w:val="-2"/>
        </w:rPr>
        <w:t>Biomass burning</w:t>
      </w:r>
      <w:r w:rsidRPr="00D604EE">
        <w:rPr>
          <w:spacing w:val="-2"/>
        </w:rPr>
        <w:t xml:space="preserve"> can occur as a result of wildfires or controlled burning, and results in emissions</w:t>
      </w:r>
      <w:r w:rsidRPr="00D604EE">
        <w:t xml:space="preserve"> of CO</w:t>
      </w:r>
      <w:r w:rsidRPr="00D604EE">
        <w:rPr>
          <w:vertAlign w:val="subscript"/>
        </w:rPr>
        <w:t>2</w:t>
      </w:r>
      <w:r w:rsidRPr="00D604EE">
        <w:t>, CH</w:t>
      </w:r>
      <w:r w:rsidRPr="00D604EE">
        <w:rPr>
          <w:vertAlign w:val="subscript"/>
        </w:rPr>
        <w:t>4</w:t>
      </w:r>
      <w:r w:rsidRPr="00D604EE">
        <w:t>, N</w:t>
      </w:r>
      <w:r w:rsidRPr="00D604EE">
        <w:rPr>
          <w:vertAlign w:val="subscript"/>
        </w:rPr>
        <w:t>2</w:t>
      </w:r>
      <w:r w:rsidRPr="00D604EE">
        <w:t>O, CO and NO</w:t>
      </w:r>
      <w:r w:rsidRPr="00D604EE">
        <w:rPr>
          <w:vertAlign w:val="subscript"/>
        </w:rPr>
        <w:t>x</w:t>
      </w:r>
      <w:r w:rsidRPr="00D604EE">
        <w:t xml:space="preserve">. </w:t>
      </w:r>
      <w:r w:rsidRPr="00D604EE">
        <w:rPr>
          <w:i/>
        </w:rPr>
        <w:t>Biomass burning</w:t>
      </w:r>
      <w:r w:rsidRPr="00D604EE" w:rsidDel="008B158D">
        <w:t xml:space="preserve"> </w:t>
      </w:r>
      <w:r w:rsidRPr="00D604EE">
        <w:t>is not a significant source of emissions for New Zealand because the practice of controlled burning is limited, and wildfires are not common due to New Zealand’s temperate climate and vegetation.</w:t>
      </w:r>
    </w:p>
    <w:p w14:paraId="0066A03C" w14:textId="77777777" w:rsidR="00784FA9" w:rsidRPr="00D604EE" w:rsidRDefault="00784FA9" w:rsidP="00784FA9">
      <w:pPr>
        <w:pStyle w:val="BodyText"/>
      </w:pPr>
      <w:r w:rsidRPr="00D604EE">
        <w:lastRenderedPageBreak/>
        <w:t xml:space="preserve">The two types of biomass burning (wildfire and controlled burning) that occur in New Zealand are reported in two main land use categories: </w:t>
      </w:r>
      <w:r w:rsidRPr="00D604EE">
        <w:rPr>
          <w:i/>
        </w:rPr>
        <w:t>Forest land</w:t>
      </w:r>
      <w:r w:rsidRPr="00D604EE">
        <w:t xml:space="preserve"> and </w:t>
      </w:r>
      <w:r w:rsidRPr="00D604EE">
        <w:rPr>
          <w:i/>
        </w:rPr>
        <w:t>Grassland</w:t>
      </w:r>
      <w:r w:rsidRPr="00D604EE">
        <w:t xml:space="preserve">. Emissions reported in </w:t>
      </w:r>
      <w:r w:rsidRPr="00D604EE">
        <w:rPr>
          <w:i/>
          <w:iCs/>
        </w:rPr>
        <w:t>Forest land</w:t>
      </w:r>
      <w:r w:rsidRPr="00D604EE">
        <w:t xml:space="preserve"> are further separated by forest type, and emissions from </w:t>
      </w:r>
      <w:r w:rsidRPr="00D604EE">
        <w:rPr>
          <w:i/>
          <w:iCs/>
        </w:rPr>
        <w:t xml:space="preserve">Grassland </w:t>
      </w:r>
      <w:r w:rsidRPr="00D604EE">
        <w:t xml:space="preserve">are reported from the controlled burning of tussock land (in ecosystems dominated by </w:t>
      </w:r>
      <w:r w:rsidRPr="00D604EE">
        <w:rPr>
          <w:i/>
        </w:rPr>
        <w:t xml:space="preserve">Chionochloa </w:t>
      </w:r>
      <w:r w:rsidRPr="00D604EE">
        <w:t>spp.) and from wildfires in exotic pasture grassland.</w:t>
      </w:r>
    </w:p>
    <w:p w14:paraId="7C1DD8FD" w14:textId="77777777" w:rsidR="00784FA9" w:rsidRPr="00D604EE" w:rsidRDefault="00784FA9" w:rsidP="00784FA9">
      <w:pPr>
        <w:pStyle w:val="Heading4"/>
      </w:pPr>
      <w:bookmarkStart w:id="2300" w:name="_Toc280630366"/>
      <w:r w:rsidRPr="00D604EE">
        <w:t>Methodological issues</w:t>
      </w:r>
      <w:bookmarkEnd w:id="2300"/>
    </w:p>
    <w:p w14:paraId="201A4EC9" w14:textId="77777777" w:rsidR="00784FA9" w:rsidRPr="00D604EE" w:rsidRDefault="00784FA9" w:rsidP="00784FA9">
      <w:pPr>
        <w:pStyle w:val="BodyText"/>
      </w:pPr>
      <w:r w:rsidRPr="00D604EE">
        <w:t xml:space="preserve">New Zealand employs Tier 2 methodologies to estimate emissions from </w:t>
      </w:r>
      <w:r w:rsidRPr="00D604EE">
        <w:rPr>
          <w:i/>
        </w:rPr>
        <w:t>Biomass burning</w:t>
      </w:r>
      <w:r w:rsidRPr="00D604EE">
        <w:t>. A combination of country-specific carbon fractions (Beets, unpublished), emission factors (Thomas et al., 2011) and combustion factors (Wakelin, unpublished(a), (e); Payton and Pearce, 2009) is employed along with the 2006 IPCC Guidelines default carbon fractions, emission factors, combustion factors and equations to derive emissions (sections 2.4, 4.2.4 and 6.2.4, IPCC, 2006a). These variables are summarised in tables 6.10.4 and 6.10.5 and further information on their application is provided in annex A3.2.7.</w:t>
      </w:r>
    </w:p>
    <w:p w14:paraId="2C4D3409" w14:textId="77777777" w:rsidR="00784FA9" w:rsidRPr="00D604EE" w:rsidRDefault="00784FA9" w:rsidP="00784FA9">
      <w:pPr>
        <w:pStyle w:val="BodyText"/>
      </w:pPr>
    </w:p>
    <w:p w14:paraId="28D20DE5" w14:textId="77777777" w:rsidR="00784FA9" w:rsidRPr="00D604EE" w:rsidRDefault="00784FA9" w:rsidP="00784FA9">
      <w:pPr>
        <w:sectPr w:rsidR="00784FA9" w:rsidRPr="00D604EE" w:rsidSect="00131AD5">
          <w:footerReference w:type="default" r:id="rId209"/>
          <w:pgSz w:w="11906" w:h="16838" w:code="9"/>
          <w:pgMar w:top="1418" w:right="1701" w:bottom="1418" w:left="1701" w:header="567" w:footer="567" w:gutter="0"/>
          <w:cols w:space="708"/>
          <w:docGrid w:linePitch="360"/>
        </w:sectPr>
      </w:pPr>
    </w:p>
    <w:p w14:paraId="1D6BCEC1" w14:textId="77777777" w:rsidR="00784FA9" w:rsidRPr="00D604EE" w:rsidRDefault="00784FA9" w:rsidP="00784FA9">
      <w:pPr>
        <w:pStyle w:val="Table"/>
        <w:spacing w:before="0"/>
      </w:pPr>
      <w:bookmarkStart w:id="2301" w:name="_Toc99659319"/>
      <w:r w:rsidRPr="00D604EE">
        <w:lastRenderedPageBreak/>
        <w:t>Table 6.10.4</w:t>
      </w:r>
      <w:r w:rsidRPr="00D604EE">
        <w:tab/>
        <w:t xml:space="preserve">Summary of </w:t>
      </w:r>
      <w:r w:rsidRPr="00D604EE">
        <w:rPr>
          <w:i/>
        </w:rPr>
        <w:t>Biomass burning</w:t>
      </w:r>
      <w:r w:rsidRPr="00D604EE">
        <w:t xml:space="preserve"> carbon fractions and emission factors</w:t>
      </w:r>
      <w:bookmarkEnd w:id="2301"/>
    </w:p>
    <w:tbl>
      <w:tblPr>
        <w:tblW w:w="13948" w:type="dxa"/>
        <w:tblInd w:w="91" w:type="dxa"/>
        <w:tblLook w:val="04A0" w:firstRow="1" w:lastRow="0" w:firstColumn="1" w:lastColumn="0" w:noHBand="0" w:noVBand="1"/>
      </w:tblPr>
      <w:tblGrid>
        <w:gridCol w:w="2376"/>
        <w:gridCol w:w="1560"/>
        <w:gridCol w:w="1275"/>
        <w:gridCol w:w="1560"/>
        <w:gridCol w:w="1417"/>
        <w:gridCol w:w="1418"/>
        <w:gridCol w:w="1417"/>
        <w:gridCol w:w="1559"/>
        <w:gridCol w:w="1366"/>
      </w:tblGrid>
      <w:tr w:rsidR="00784FA9" w:rsidRPr="00D604EE" w14:paraId="5D5DF62B" w14:textId="77777777" w:rsidTr="00D633F6">
        <w:trPr>
          <w:trHeight w:val="325"/>
        </w:trPr>
        <w:tc>
          <w:tcPr>
            <w:tcW w:w="2376" w:type="dxa"/>
            <w:tcBorders>
              <w:top w:val="single" w:sz="4" w:space="0" w:color="44546A"/>
              <w:left w:val="nil"/>
              <w:bottom w:val="single" w:sz="4" w:space="0" w:color="44546A"/>
            </w:tcBorders>
            <w:shd w:val="clear" w:color="auto" w:fill="1B556B"/>
            <w:noWrap/>
            <w:vAlign w:val="bottom"/>
            <w:hideMark/>
          </w:tcPr>
          <w:p w14:paraId="4BE77D4E" w14:textId="77777777" w:rsidR="00784FA9" w:rsidRPr="00D604EE" w:rsidRDefault="00784FA9" w:rsidP="007E3239">
            <w:pPr>
              <w:pStyle w:val="TableTextBold"/>
              <w:rPr>
                <w:noProof w:val="0"/>
              </w:rPr>
            </w:pPr>
          </w:p>
        </w:tc>
        <w:tc>
          <w:tcPr>
            <w:tcW w:w="11572" w:type="dxa"/>
            <w:gridSpan w:val="8"/>
            <w:tcBorders>
              <w:top w:val="single" w:sz="4" w:space="0" w:color="44546A"/>
              <w:bottom w:val="single" w:sz="4" w:space="0" w:color="1B556B"/>
            </w:tcBorders>
            <w:shd w:val="clear" w:color="auto" w:fill="1B556B"/>
            <w:noWrap/>
            <w:vAlign w:val="bottom"/>
            <w:hideMark/>
          </w:tcPr>
          <w:p w14:paraId="0ABF0636" w14:textId="77777777" w:rsidR="00784FA9" w:rsidRPr="00D604EE" w:rsidRDefault="00784FA9" w:rsidP="007E3239">
            <w:pPr>
              <w:pStyle w:val="TableTextBold"/>
              <w:jc w:val="center"/>
              <w:rPr>
                <w:rFonts w:eastAsia="Courier New"/>
                <w:noProof w:val="0"/>
                <w:color w:val="FFFFFF"/>
              </w:rPr>
            </w:pPr>
            <w:r w:rsidRPr="00D604EE">
              <w:rPr>
                <w:rFonts w:eastAsia="Courier New"/>
                <w:noProof w:val="0"/>
                <w:color w:val="FFFFFF"/>
              </w:rPr>
              <w:t>Biomass burning implied emission factors derived from 2006 IPCC Guidelines (IPCC, 2006a) and New Zealand-specific carbon fractions</w:t>
            </w:r>
          </w:p>
        </w:tc>
      </w:tr>
      <w:tr w:rsidR="00784FA9" w:rsidRPr="00D604EE" w14:paraId="0B91D2A9" w14:textId="77777777" w:rsidTr="00D633F6">
        <w:trPr>
          <w:trHeight w:val="325"/>
        </w:trPr>
        <w:tc>
          <w:tcPr>
            <w:tcW w:w="2376" w:type="dxa"/>
            <w:tcBorders>
              <w:top w:val="single" w:sz="4" w:space="0" w:color="44546A"/>
              <w:left w:val="nil"/>
            </w:tcBorders>
            <w:shd w:val="clear" w:color="auto" w:fill="auto"/>
            <w:noWrap/>
            <w:vAlign w:val="bottom"/>
            <w:hideMark/>
          </w:tcPr>
          <w:p w14:paraId="78B9C46E" w14:textId="77777777" w:rsidR="00784FA9" w:rsidRPr="00D604EE" w:rsidRDefault="00784FA9" w:rsidP="000E4EE6">
            <w:pPr>
              <w:pStyle w:val="TableText"/>
              <w:rPr>
                <w:rFonts w:eastAsia="Symbol"/>
              </w:rPr>
            </w:pPr>
          </w:p>
        </w:tc>
        <w:tc>
          <w:tcPr>
            <w:tcW w:w="2835" w:type="dxa"/>
            <w:gridSpan w:val="2"/>
            <w:tcBorders>
              <w:top w:val="single" w:sz="4" w:space="0" w:color="1B556B"/>
              <w:bottom w:val="single" w:sz="4" w:space="0" w:color="1B556B"/>
            </w:tcBorders>
            <w:shd w:val="clear" w:color="auto" w:fill="auto"/>
            <w:noWrap/>
            <w:vAlign w:val="bottom"/>
            <w:hideMark/>
          </w:tcPr>
          <w:p w14:paraId="09B1B6FC" w14:textId="77777777" w:rsidR="00784FA9" w:rsidRPr="00D604EE" w:rsidRDefault="00784FA9" w:rsidP="007E3239">
            <w:pPr>
              <w:pStyle w:val="TableTextBold"/>
              <w:jc w:val="center"/>
              <w:rPr>
                <w:noProof w:val="0"/>
              </w:rPr>
            </w:pPr>
            <w:r w:rsidRPr="00D604EE">
              <w:rPr>
                <w:noProof w:val="0"/>
              </w:rPr>
              <w:t>Grassland/savannah</w:t>
            </w:r>
          </w:p>
        </w:tc>
        <w:tc>
          <w:tcPr>
            <w:tcW w:w="2977" w:type="dxa"/>
            <w:gridSpan w:val="2"/>
            <w:tcBorders>
              <w:top w:val="single" w:sz="4" w:space="0" w:color="1B556B"/>
              <w:bottom w:val="single" w:sz="4" w:space="0" w:color="1B556B"/>
            </w:tcBorders>
            <w:shd w:val="clear" w:color="auto" w:fill="auto"/>
            <w:noWrap/>
            <w:vAlign w:val="bottom"/>
            <w:hideMark/>
          </w:tcPr>
          <w:p w14:paraId="01C5A151" w14:textId="77777777" w:rsidR="00784FA9" w:rsidRPr="00D604EE" w:rsidRDefault="00784FA9" w:rsidP="007E3239">
            <w:pPr>
              <w:pStyle w:val="TableTextBold"/>
              <w:jc w:val="center"/>
              <w:rPr>
                <w:noProof w:val="0"/>
              </w:rPr>
            </w:pPr>
            <w:r w:rsidRPr="00D604EE">
              <w:rPr>
                <w:noProof w:val="0"/>
              </w:rPr>
              <w:t>GWB/shrubland</w:t>
            </w:r>
          </w:p>
        </w:tc>
        <w:tc>
          <w:tcPr>
            <w:tcW w:w="5760" w:type="dxa"/>
            <w:gridSpan w:val="4"/>
            <w:tcBorders>
              <w:top w:val="single" w:sz="4" w:space="0" w:color="1B556B"/>
              <w:bottom w:val="single" w:sz="4" w:space="0" w:color="1B556B"/>
            </w:tcBorders>
            <w:shd w:val="clear" w:color="auto" w:fill="auto"/>
            <w:noWrap/>
            <w:vAlign w:val="bottom"/>
            <w:hideMark/>
          </w:tcPr>
          <w:p w14:paraId="15CA43A5" w14:textId="77777777" w:rsidR="00784FA9" w:rsidRPr="00D604EE" w:rsidRDefault="00784FA9" w:rsidP="007E3239">
            <w:pPr>
              <w:pStyle w:val="TableTextBold"/>
              <w:jc w:val="center"/>
              <w:rPr>
                <w:noProof w:val="0"/>
              </w:rPr>
            </w:pPr>
            <w:r w:rsidRPr="00D604EE">
              <w:rPr>
                <w:noProof w:val="0"/>
              </w:rPr>
              <w:t>Forest land</w:t>
            </w:r>
          </w:p>
        </w:tc>
      </w:tr>
      <w:tr w:rsidR="00784FA9" w:rsidRPr="00D604EE" w14:paraId="1A300683" w14:textId="77777777" w:rsidTr="000E4EE6">
        <w:trPr>
          <w:trHeight w:val="325"/>
        </w:trPr>
        <w:tc>
          <w:tcPr>
            <w:tcW w:w="2376" w:type="dxa"/>
            <w:tcBorders>
              <w:left w:val="nil"/>
              <w:bottom w:val="single" w:sz="4" w:space="0" w:color="44546A"/>
            </w:tcBorders>
            <w:shd w:val="clear" w:color="auto" w:fill="auto"/>
            <w:noWrap/>
            <w:vAlign w:val="bottom"/>
            <w:hideMark/>
          </w:tcPr>
          <w:p w14:paraId="744B4CF9" w14:textId="77777777" w:rsidR="00784FA9" w:rsidRPr="00D604EE" w:rsidRDefault="00784FA9" w:rsidP="000E4EE6">
            <w:pPr>
              <w:pStyle w:val="TableText"/>
              <w:rPr>
                <w:rFonts w:eastAsia="Symbol"/>
              </w:rPr>
            </w:pPr>
          </w:p>
        </w:tc>
        <w:tc>
          <w:tcPr>
            <w:tcW w:w="1560" w:type="dxa"/>
            <w:tcBorders>
              <w:top w:val="single" w:sz="4" w:space="0" w:color="1B556B"/>
              <w:bottom w:val="single" w:sz="4" w:space="0" w:color="44546A"/>
            </w:tcBorders>
            <w:shd w:val="clear" w:color="auto" w:fill="auto"/>
            <w:noWrap/>
            <w:vAlign w:val="bottom"/>
            <w:hideMark/>
          </w:tcPr>
          <w:p w14:paraId="07D4D36A" w14:textId="77777777" w:rsidR="00784FA9" w:rsidRPr="00D604EE" w:rsidRDefault="00784FA9" w:rsidP="007E3239">
            <w:pPr>
              <w:pStyle w:val="TableText"/>
              <w:jc w:val="center"/>
            </w:pPr>
            <w:r w:rsidRPr="00D604EE">
              <w:t>Controlled burning</w:t>
            </w:r>
          </w:p>
        </w:tc>
        <w:tc>
          <w:tcPr>
            <w:tcW w:w="1275" w:type="dxa"/>
            <w:tcBorders>
              <w:top w:val="single" w:sz="4" w:space="0" w:color="1B556B"/>
              <w:bottom w:val="single" w:sz="4" w:space="0" w:color="44546A"/>
            </w:tcBorders>
            <w:shd w:val="clear" w:color="auto" w:fill="auto"/>
            <w:noWrap/>
            <w:vAlign w:val="bottom"/>
            <w:hideMark/>
          </w:tcPr>
          <w:p w14:paraId="0ABF2CCD" w14:textId="77777777" w:rsidR="00784FA9" w:rsidRPr="00D604EE" w:rsidRDefault="00784FA9" w:rsidP="007E3239">
            <w:pPr>
              <w:pStyle w:val="TableText"/>
              <w:jc w:val="center"/>
            </w:pPr>
            <w:r w:rsidRPr="00D604EE">
              <w:t>Wildfire</w:t>
            </w:r>
          </w:p>
        </w:tc>
        <w:tc>
          <w:tcPr>
            <w:tcW w:w="1560" w:type="dxa"/>
            <w:tcBorders>
              <w:top w:val="single" w:sz="4" w:space="0" w:color="1B556B"/>
              <w:bottom w:val="single" w:sz="4" w:space="0" w:color="44546A"/>
            </w:tcBorders>
            <w:shd w:val="clear" w:color="auto" w:fill="auto"/>
            <w:noWrap/>
            <w:vAlign w:val="bottom"/>
            <w:hideMark/>
          </w:tcPr>
          <w:p w14:paraId="63267D27" w14:textId="77777777" w:rsidR="00784FA9" w:rsidRPr="00D604EE" w:rsidRDefault="00784FA9" w:rsidP="007E3239">
            <w:pPr>
              <w:pStyle w:val="TableText"/>
              <w:jc w:val="center"/>
            </w:pPr>
            <w:r w:rsidRPr="00D604EE">
              <w:t>Controlled burning</w:t>
            </w:r>
          </w:p>
        </w:tc>
        <w:tc>
          <w:tcPr>
            <w:tcW w:w="1417" w:type="dxa"/>
            <w:tcBorders>
              <w:top w:val="single" w:sz="4" w:space="0" w:color="1B556B"/>
              <w:bottom w:val="single" w:sz="4" w:space="0" w:color="44546A"/>
            </w:tcBorders>
            <w:shd w:val="clear" w:color="auto" w:fill="auto"/>
            <w:noWrap/>
            <w:vAlign w:val="bottom"/>
            <w:hideMark/>
          </w:tcPr>
          <w:p w14:paraId="569C2259" w14:textId="77777777" w:rsidR="00784FA9" w:rsidRPr="00D604EE" w:rsidRDefault="00784FA9" w:rsidP="007E3239">
            <w:pPr>
              <w:pStyle w:val="TableText"/>
              <w:jc w:val="center"/>
            </w:pPr>
            <w:r w:rsidRPr="00D604EE">
              <w:t>Wildfire</w:t>
            </w:r>
          </w:p>
        </w:tc>
        <w:tc>
          <w:tcPr>
            <w:tcW w:w="2835" w:type="dxa"/>
            <w:gridSpan w:val="2"/>
            <w:tcBorders>
              <w:top w:val="single" w:sz="4" w:space="0" w:color="1B556B"/>
              <w:bottom w:val="single" w:sz="4" w:space="0" w:color="1B556B"/>
            </w:tcBorders>
            <w:shd w:val="clear" w:color="auto" w:fill="auto"/>
            <w:noWrap/>
            <w:vAlign w:val="bottom"/>
            <w:hideMark/>
          </w:tcPr>
          <w:p w14:paraId="3EDEA0BA" w14:textId="77777777" w:rsidR="00784FA9" w:rsidRPr="00D604EE" w:rsidRDefault="00784FA9" w:rsidP="007E3239">
            <w:pPr>
              <w:pStyle w:val="TableText"/>
              <w:jc w:val="center"/>
            </w:pPr>
            <w:r w:rsidRPr="00D604EE">
              <w:t>Controlled burning</w:t>
            </w:r>
          </w:p>
        </w:tc>
        <w:tc>
          <w:tcPr>
            <w:tcW w:w="2925" w:type="dxa"/>
            <w:gridSpan w:val="2"/>
            <w:tcBorders>
              <w:top w:val="single" w:sz="4" w:space="0" w:color="1B556B"/>
              <w:bottom w:val="single" w:sz="4" w:space="0" w:color="1B556B"/>
            </w:tcBorders>
            <w:shd w:val="clear" w:color="auto" w:fill="auto"/>
            <w:noWrap/>
            <w:vAlign w:val="bottom"/>
            <w:hideMark/>
          </w:tcPr>
          <w:p w14:paraId="7DC8C4BA" w14:textId="77777777" w:rsidR="00784FA9" w:rsidRPr="00D604EE" w:rsidRDefault="00784FA9" w:rsidP="007E3239">
            <w:pPr>
              <w:pStyle w:val="TableText"/>
              <w:jc w:val="center"/>
            </w:pPr>
            <w:r w:rsidRPr="00D604EE">
              <w:t>Wildfire</w:t>
            </w:r>
          </w:p>
        </w:tc>
      </w:tr>
      <w:tr w:rsidR="00784FA9" w:rsidRPr="00D604EE" w14:paraId="31E767EA" w14:textId="77777777" w:rsidTr="000E4EE6">
        <w:trPr>
          <w:trHeight w:val="325"/>
        </w:trPr>
        <w:tc>
          <w:tcPr>
            <w:tcW w:w="2376" w:type="dxa"/>
            <w:tcBorders>
              <w:top w:val="single" w:sz="4" w:space="0" w:color="44546A"/>
              <w:bottom w:val="single" w:sz="4" w:space="0" w:color="44546A"/>
            </w:tcBorders>
            <w:shd w:val="clear" w:color="auto" w:fill="D2DDE1"/>
            <w:noWrap/>
            <w:vAlign w:val="bottom"/>
            <w:hideMark/>
          </w:tcPr>
          <w:p w14:paraId="3F769BA4" w14:textId="77777777" w:rsidR="00784FA9" w:rsidRPr="00D604EE" w:rsidRDefault="00784FA9" w:rsidP="000E4EE6">
            <w:pPr>
              <w:pStyle w:val="TableText"/>
              <w:rPr>
                <w:rFonts w:eastAsia="Symbol"/>
              </w:rPr>
            </w:pPr>
          </w:p>
        </w:tc>
        <w:tc>
          <w:tcPr>
            <w:tcW w:w="1560" w:type="dxa"/>
            <w:tcBorders>
              <w:top w:val="single" w:sz="4" w:space="0" w:color="44546A"/>
              <w:bottom w:val="single" w:sz="4" w:space="0" w:color="44546A"/>
            </w:tcBorders>
            <w:shd w:val="clear" w:color="auto" w:fill="D2DDE1"/>
            <w:noWrap/>
            <w:vAlign w:val="bottom"/>
            <w:hideMark/>
          </w:tcPr>
          <w:p w14:paraId="443DCA6E" w14:textId="77777777" w:rsidR="00784FA9" w:rsidRPr="00D604EE" w:rsidRDefault="00784FA9" w:rsidP="007E3239">
            <w:pPr>
              <w:pStyle w:val="TableText"/>
              <w:jc w:val="center"/>
            </w:pPr>
          </w:p>
        </w:tc>
        <w:tc>
          <w:tcPr>
            <w:tcW w:w="1275" w:type="dxa"/>
            <w:tcBorders>
              <w:top w:val="single" w:sz="4" w:space="0" w:color="44546A"/>
              <w:bottom w:val="single" w:sz="4" w:space="0" w:color="44546A"/>
            </w:tcBorders>
            <w:shd w:val="clear" w:color="auto" w:fill="D2DDE1"/>
            <w:noWrap/>
            <w:vAlign w:val="bottom"/>
            <w:hideMark/>
          </w:tcPr>
          <w:p w14:paraId="118BAE5D" w14:textId="77777777" w:rsidR="00784FA9" w:rsidRPr="00D604EE" w:rsidRDefault="00784FA9" w:rsidP="007E3239">
            <w:pPr>
              <w:pStyle w:val="TableText"/>
              <w:jc w:val="center"/>
            </w:pPr>
          </w:p>
        </w:tc>
        <w:tc>
          <w:tcPr>
            <w:tcW w:w="1560" w:type="dxa"/>
            <w:tcBorders>
              <w:top w:val="single" w:sz="4" w:space="0" w:color="44546A"/>
              <w:bottom w:val="single" w:sz="4" w:space="0" w:color="44546A"/>
            </w:tcBorders>
            <w:shd w:val="clear" w:color="auto" w:fill="D2DDE1"/>
            <w:noWrap/>
            <w:vAlign w:val="bottom"/>
            <w:hideMark/>
          </w:tcPr>
          <w:p w14:paraId="36ACD571" w14:textId="77777777" w:rsidR="00784FA9" w:rsidRPr="00D604EE" w:rsidRDefault="00784FA9" w:rsidP="007E3239">
            <w:pPr>
              <w:pStyle w:val="TableText"/>
              <w:jc w:val="center"/>
            </w:pPr>
          </w:p>
        </w:tc>
        <w:tc>
          <w:tcPr>
            <w:tcW w:w="1417" w:type="dxa"/>
            <w:tcBorders>
              <w:top w:val="single" w:sz="4" w:space="0" w:color="44546A"/>
              <w:bottom w:val="single" w:sz="4" w:space="0" w:color="44546A"/>
            </w:tcBorders>
            <w:shd w:val="clear" w:color="auto" w:fill="D2DDE1"/>
            <w:noWrap/>
            <w:vAlign w:val="bottom"/>
            <w:hideMark/>
          </w:tcPr>
          <w:p w14:paraId="1F85179C" w14:textId="77777777" w:rsidR="00784FA9" w:rsidRPr="00D604EE" w:rsidRDefault="00784FA9" w:rsidP="007E3239">
            <w:pPr>
              <w:pStyle w:val="TableText"/>
              <w:jc w:val="center"/>
            </w:pPr>
          </w:p>
        </w:tc>
        <w:tc>
          <w:tcPr>
            <w:tcW w:w="1418" w:type="dxa"/>
            <w:tcBorders>
              <w:top w:val="single" w:sz="4" w:space="0" w:color="1B556B"/>
              <w:bottom w:val="single" w:sz="4" w:space="0" w:color="1B556B"/>
            </w:tcBorders>
            <w:shd w:val="clear" w:color="auto" w:fill="auto"/>
            <w:noWrap/>
            <w:vAlign w:val="bottom"/>
            <w:hideMark/>
          </w:tcPr>
          <w:p w14:paraId="4FE7810E" w14:textId="77777777" w:rsidR="00784FA9" w:rsidRPr="00D604EE" w:rsidRDefault="00784FA9" w:rsidP="007E3239">
            <w:pPr>
              <w:pStyle w:val="TableText"/>
              <w:jc w:val="center"/>
            </w:pPr>
            <w:r w:rsidRPr="00D604EE">
              <w:t>Planted forest</w:t>
            </w:r>
          </w:p>
        </w:tc>
        <w:tc>
          <w:tcPr>
            <w:tcW w:w="1417" w:type="dxa"/>
            <w:tcBorders>
              <w:top w:val="single" w:sz="4" w:space="0" w:color="1B556B"/>
              <w:bottom w:val="single" w:sz="4" w:space="0" w:color="1B556B"/>
            </w:tcBorders>
            <w:shd w:val="clear" w:color="auto" w:fill="auto"/>
            <w:noWrap/>
            <w:vAlign w:val="bottom"/>
            <w:hideMark/>
          </w:tcPr>
          <w:p w14:paraId="7F4ED790" w14:textId="77777777" w:rsidR="00784FA9" w:rsidRPr="00D604EE" w:rsidRDefault="00784FA9" w:rsidP="007E3239">
            <w:pPr>
              <w:pStyle w:val="TableText"/>
              <w:jc w:val="center"/>
            </w:pPr>
            <w:r w:rsidRPr="00D604EE">
              <w:t>Natural forest</w:t>
            </w:r>
          </w:p>
        </w:tc>
        <w:tc>
          <w:tcPr>
            <w:tcW w:w="1559" w:type="dxa"/>
            <w:tcBorders>
              <w:top w:val="single" w:sz="4" w:space="0" w:color="1B556B"/>
              <w:bottom w:val="single" w:sz="4" w:space="0" w:color="1B556B"/>
            </w:tcBorders>
            <w:shd w:val="clear" w:color="auto" w:fill="auto"/>
            <w:noWrap/>
            <w:vAlign w:val="bottom"/>
            <w:hideMark/>
          </w:tcPr>
          <w:p w14:paraId="0EB0BB95" w14:textId="77777777" w:rsidR="00784FA9" w:rsidRPr="00D604EE" w:rsidRDefault="00784FA9" w:rsidP="007E3239">
            <w:pPr>
              <w:pStyle w:val="TableText"/>
              <w:jc w:val="center"/>
            </w:pPr>
            <w:r w:rsidRPr="00D604EE">
              <w:t>Planted forest</w:t>
            </w:r>
          </w:p>
        </w:tc>
        <w:tc>
          <w:tcPr>
            <w:tcW w:w="1366" w:type="dxa"/>
            <w:tcBorders>
              <w:top w:val="single" w:sz="4" w:space="0" w:color="1B556B"/>
              <w:bottom w:val="single" w:sz="4" w:space="0" w:color="1B556B"/>
            </w:tcBorders>
            <w:shd w:val="clear" w:color="auto" w:fill="auto"/>
            <w:noWrap/>
            <w:vAlign w:val="bottom"/>
            <w:hideMark/>
          </w:tcPr>
          <w:p w14:paraId="2D18F7CE" w14:textId="77777777" w:rsidR="00784FA9" w:rsidRPr="00D604EE" w:rsidRDefault="00784FA9" w:rsidP="007E3239">
            <w:pPr>
              <w:pStyle w:val="TableText"/>
              <w:jc w:val="center"/>
            </w:pPr>
            <w:r w:rsidRPr="00D604EE">
              <w:t>Natural forest</w:t>
            </w:r>
          </w:p>
        </w:tc>
      </w:tr>
      <w:tr w:rsidR="00784FA9" w:rsidRPr="00D604EE" w14:paraId="60A798EF" w14:textId="77777777" w:rsidTr="00784FA9">
        <w:trPr>
          <w:trHeight w:val="325"/>
        </w:trPr>
        <w:tc>
          <w:tcPr>
            <w:tcW w:w="2376" w:type="dxa"/>
            <w:tcBorders>
              <w:top w:val="single" w:sz="4" w:space="0" w:color="44546A"/>
              <w:bottom w:val="single" w:sz="4" w:space="0" w:color="1B556B"/>
            </w:tcBorders>
            <w:shd w:val="clear" w:color="auto" w:fill="auto"/>
            <w:noWrap/>
            <w:vAlign w:val="bottom"/>
            <w:hideMark/>
          </w:tcPr>
          <w:p w14:paraId="158A39D4" w14:textId="77777777" w:rsidR="00784FA9" w:rsidRPr="00D604EE" w:rsidRDefault="00784FA9" w:rsidP="007E3239">
            <w:pPr>
              <w:pStyle w:val="TableText"/>
            </w:pPr>
            <w:r w:rsidRPr="00D604EE">
              <w:t>Carbon fraction</w:t>
            </w:r>
          </w:p>
        </w:tc>
        <w:tc>
          <w:tcPr>
            <w:tcW w:w="1560" w:type="dxa"/>
            <w:tcBorders>
              <w:top w:val="single" w:sz="4" w:space="0" w:color="44546A"/>
              <w:bottom w:val="single" w:sz="4" w:space="0" w:color="1B556B"/>
            </w:tcBorders>
            <w:shd w:val="clear" w:color="auto" w:fill="auto"/>
            <w:noWrap/>
            <w:hideMark/>
          </w:tcPr>
          <w:p w14:paraId="72D927DE" w14:textId="77777777" w:rsidR="00784FA9" w:rsidRPr="00D604EE" w:rsidRDefault="00784FA9" w:rsidP="007E3239">
            <w:pPr>
              <w:pStyle w:val="TableText"/>
              <w:jc w:val="center"/>
            </w:pPr>
            <w:r w:rsidRPr="00D604EE">
              <w:t>0.44</w:t>
            </w:r>
          </w:p>
        </w:tc>
        <w:tc>
          <w:tcPr>
            <w:tcW w:w="1275" w:type="dxa"/>
            <w:tcBorders>
              <w:top w:val="single" w:sz="4" w:space="0" w:color="44546A"/>
              <w:bottom w:val="single" w:sz="4" w:space="0" w:color="1B556B"/>
            </w:tcBorders>
            <w:shd w:val="clear" w:color="auto" w:fill="auto"/>
            <w:noWrap/>
            <w:hideMark/>
          </w:tcPr>
          <w:p w14:paraId="0FDB7626" w14:textId="77777777" w:rsidR="00784FA9" w:rsidRPr="00D604EE" w:rsidRDefault="00784FA9" w:rsidP="007E3239">
            <w:pPr>
              <w:pStyle w:val="TableText"/>
              <w:jc w:val="center"/>
            </w:pPr>
            <w:r w:rsidRPr="00D604EE">
              <w:t>0.44</w:t>
            </w:r>
          </w:p>
        </w:tc>
        <w:tc>
          <w:tcPr>
            <w:tcW w:w="1560" w:type="dxa"/>
            <w:tcBorders>
              <w:top w:val="single" w:sz="4" w:space="0" w:color="44546A"/>
              <w:bottom w:val="single" w:sz="4" w:space="0" w:color="1B556B"/>
            </w:tcBorders>
            <w:shd w:val="clear" w:color="auto" w:fill="auto"/>
            <w:noWrap/>
            <w:hideMark/>
          </w:tcPr>
          <w:p w14:paraId="71504513" w14:textId="77777777" w:rsidR="00784FA9" w:rsidRPr="00D604EE" w:rsidRDefault="00784FA9" w:rsidP="007E3239">
            <w:pPr>
              <w:pStyle w:val="TableText"/>
              <w:jc w:val="center"/>
            </w:pPr>
            <w:r w:rsidRPr="00D604EE">
              <w:t>0.44</w:t>
            </w:r>
          </w:p>
        </w:tc>
        <w:tc>
          <w:tcPr>
            <w:tcW w:w="1417" w:type="dxa"/>
            <w:tcBorders>
              <w:top w:val="single" w:sz="4" w:space="0" w:color="44546A"/>
              <w:bottom w:val="single" w:sz="4" w:space="0" w:color="1B556B"/>
            </w:tcBorders>
            <w:shd w:val="clear" w:color="auto" w:fill="auto"/>
            <w:noWrap/>
            <w:hideMark/>
          </w:tcPr>
          <w:p w14:paraId="2F76EFBA" w14:textId="77777777" w:rsidR="00784FA9" w:rsidRPr="00D604EE" w:rsidRDefault="00784FA9" w:rsidP="007E3239">
            <w:pPr>
              <w:pStyle w:val="TableText"/>
              <w:jc w:val="center"/>
            </w:pPr>
            <w:r w:rsidRPr="00D604EE">
              <w:t>0.44</w:t>
            </w:r>
          </w:p>
        </w:tc>
        <w:tc>
          <w:tcPr>
            <w:tcW w:w="1418" w:type="dxa"/>
            <w:tcBorders>
              <w:top w:val="single" w:sz="4" w:space="0" w:color="1B556B"/>
              <w:bottom w:val="single" w:sz="4" w:space="0" w:color="1B556B"/>
            </w:tcBorders>
            <w:shd w:val="clear" w:color="auto" w:fill="auto"/>
            <w:noWrap/>
            <w:vAlign w:val="bottom"/>
            <w:hideMark/>
          </w:tcPr>
          <w:p w14:paraId="00D775EF" w14:textId="77777777" w:rsidR="00784FA9" w:rsidRPr="00D604EE" w:rsidRDefault="00784FA9" w:rsidP="007E3239">
            <w:pPr>
              <w:pStyle w:val="TableText"/>
              <w:jc w:val="center"/>
            </w:pPr>
            <w:r w:rsidRPr="00D604EE">
              <w:t>0.51*</w:t>
            </w:r>
          </w:p>
        </w:tc>
        <w:tc>
          <w:tcPr>
            <w:tcW w:w="1417" w:type="dxa"/>
            <w:tcBorders>
              <w:top w:val="single" w:sz="4" w:space="0" w:color="1B556B"/>
              <w:bottom w:val="single" w:sz="4" w:space="0" w:color="1B556B"/>
            </w:tcBorders>
            <w:shd w:val="clear" w:color="auto" w:fill="auto"/>
            <w:noWrap/>
            <w:vAlign w:val="bottom"/>
            <w:hideMark/>
          </w:tcPr>
          <w:p w14:paraId="64D4109D" w14:textId="77777777" w:rsidR="00784FA9" w:rsidRPr="00D604EE" w:rsidRDefault="00784FA9" w:rsidP="007E3239">
            <w:pPr>
              <w:pStyle w:val="TableText"/>
              <w:jc w:val="center"/>
            </w:pPr>
            <w:r w:rsidRPr="00D604EE">
              <w:t>0.47</w:t>
            </w:r>
          </w:p>
        </w:tc>
        <w:tc>
          <w:tcPr>
            <w:tcW w:w="1559" w:type="dxa"/>
            <w:tcBorders>
              <w:top w:val="single" w:sz="4" w:space="0" w:color="1B556B"/>
              <w:bottom w:val="single" w:sz="4" w:space="0" w:color="1B556B"/>
            </w:tcBorders>
            <w:shd w:val="clear" w:color="auto" w:fill="auto"/>
            <w:noWrap/>
            <w:vAlign w:val="bottom"/>
            <w:hideMark/>
          </w:tcPr>
          <w:p w14:paraId="368E391E" w14:textId="77777777" w:rsidR="00784FA9" w:rsidRPr="00D604EE" w:rsidRDefault="00784FA9" w:rsidP="007E3239">
            <w:pPr>
              <w:pStyle w:val="TableText"/>
              <w:jc w:val="center"/>
            </w:pPr>
            <w:r w:rsidRPr="00D604EE">
              <w:t>0.51*</w:t>
            </w:r>
          </w:p>
        </w:tc>
        <w:tc>
          <w:tcPr>
            <w:tcW w:w="1366" w:type="dxa"/>
            <w:tcBorders>
              <w:top w:val="single" w:sz="4" w:space="0" w:color="1B556B"/>
              <w:bottom w:val="single" w:sz="4" w:space="0" w:color="1B556B"/>
            </w:tcBorders>
            <w:shd w:val="clear" w:color="auto" w:fill="auto"/>
            <w:noWrap/>
            <w:vAlign w:val="bottom"/>
            <w:hideMark/>
          </w:tcPr>
          <w:p w14:paraId="0932104A" w14:textId="77777777" w:rsidR="00784FA9" w:rsidRPr="00D604EE" w:rsidRDefault="00784FA9" w:rsidP="007E3239">
            <w:pPr>
              <w:pStyle w:val="TableText"/>
              <w:jc w:val="center"/>
            </w:pPr>
            <w:r w:rsidRPr="00D604EE">
              <w:t>0.47</w:t>
            </w:r>
          </w:p>
        </w:tc>
      </w:tr>
      <w:tr w:rsidR="00784FA9" w:rsidRPr="00D604EE" w14:paraId="1AB75375" w14:textId="77777777" w:rsidTr="007E3239">
        <w:trPr>
          <w:trHeight w:val="325"/>
        </w:trPr>
        <w:tc>
          <w:tcPr>
            <w:tcW w:w="2376" w:type="dxa"/>
            <w:tcBorders>
              <w:top w:val="single" w:sz="4" w:space="0" w:color="1B556B"/>
              <w:bottom w:val="single" w:sz="4" w:space="0" w:color="1B556B"/>
            </w:tcBorders>
            <w:shd w:val="clear" w:color="auto" w:fill="auto"/>
            <w:noWrap/>
            <w:vAlign w:val="bottom"/>
            <w:hideMark/>
          </w:tcPr>
          <w:p w14:paraId="18A2EF8E" w14:textId="77777777" w:rsidR="00784FA9" w:rsidRPr="00D604EE" w:rsidRDefault="00784FA9" w:rsidP="007E3239">
            <w:pPr>
              <w:pStyle w:val="TableText"/>
            </w:pPr>
            <w:r w:rsidRPr="00D604EE">
              <w:t>C:N ratio</w:t>
            </w:r>
          </w:p>
        </w:tc>
        <w:tc>
          <w:tcPr>
            <w:tcW w:w="1560" w:type="dxa"/>
            <w:tcBorders>
              <w:top w:val="single" w:sz="4" w:space="0" w:color="1B556B"/>
              <w:bottom w:val="single" w:sz="4" w:space="0" w:color="1B556B"/>
            </w:tcBorders>
            <w:shd w:val="clear" w:color="auto" w:fill="auto"/>
            <w:noWrap/>
            <w:hideMark/>
          </w:tcPr>
          <w:p w14:paraId="3DCCCF30" w14:textId="77777777" w:rsidR="00784FA9" w:rsidRPr="00D604EE" w:rsidRDefault="00784FA9" w:rsidP="007E3239">
            <w:pPr>
              <w:pStyle w:val="TableText"/>
              <w:jc w:val="center"/>
            </w:pPr>
            <w:r w:rsidRPr="00D604EE">
              <w:t>0.01</w:t>
            </w:r>
          </w:p>
        </w:tc>
        <w:tc>
          <w:tcPr>
            <w:tcW w:w="1275" w:type="dxa"/>
            <w:tcBorders>
              <w:top w:val="single" w:sz="4" w:space="0" w:color="1B556B"/>
              <w:bottom w:val="single" w:sz="4" w:space="0" w:color="1B556B"/>
            </w:tcBorders>
            <w:shd w:val="clear" w:color="auto" w:fill="auto"/>
            <w:noWrap/>
            <w:hideMark/>
          </w:tcPr>
          <w:p w14:paraId="75352B8B" w14:textId="77777777" w:rsidR="00784FA9" w:rsidRPr="00D604EE" w:rsidRDefault="00784FA9" w:rsidP="007E3239">
            <w:pPr>
              <w:pStyle w:val="TableText"/>
              <w:jc w:val="center"/>
            </w:pPr>
            <w:r w:rsidRPr="00D604EE">
              <w:t>0.01</w:t>
            </w:r>
          </w:p>
        </w:tc>
        <w:tc>
          <w:tcPr>
            <w:tcW w:w="1560" w:type="dxa"/>
            <w:tcBorders>
              <w:top w:val="single" w:sz="4" w:space="0" w:color="1B556B"/>
              <w:bottom w:val="single" w:sz="4" w:space="0" w:color="1B556B"/>
            </w:tcBorders>
            <w:shd w:val="clear" w:color="auto" w:fill="auto"/>
            <w:noWrap/>
            <w:hideMark/>
          </w:tcPr>
          <w:p w14:paraId="13D45BCD" w14:textId="77777777" w:rsidR="00784FA9" w:rsidRPr="00D604EE" w:rsidRDefault="00784FA9" w:rsidP="007E3239">
            <w:pPr>
              <w:pStyle w:val="TableText"/>
              <w:jc w:val="center"/>
            </w:pPr>
            <w:r w:rsidRPr="00D604EE">
              <w:t>0.01</w:t>
            </w:r>
          </w:p>
        </w:tc>
        <w:tc>
          <w:tcPr>
            <w:tcW w:w="1417" w:type="dxa"/>
            <w:tcBorders>
              <w:top w:val="single" w:sz="4" w:space="0" w:color="1B556B"/>
              <w:bottom w:val="single" w:sz="4" w:space="0" w:color="1B556B"/>
            </w:tcBorders>
            <w:shd w:val="clear" w:color="auto" w:fill="auto"/>
            <w:noWrap/>
            <w:hideMark/>
          </w:tcPr>
          <w:p w14:paraId="54D274F4" w14:textId="77777777" w:rsidR="00784FA9" w:rsidRPr="00D604EE" w:rsidRDefault="00784FA9" w:rsidP="007E3239">
            <w:pPr>
              <w:pStyle w:val="TableText"/>
              <w:jc w:val="center"/>
            </w:pPr>
            <w:r w:rsidRPr="00D604EE">
              <w:t>0.01</w:t>
            </w:r>
          </w:p>
        </w:tc>
        <w:tc>
          <w:tcPr>
            <w:tcW w:w="1418" w:type="dxa"/>
            <w:tcBorders>
              <w:top w:val="single" w:sz="4" w:space="0" w:color="1B556B"/>
              <w:bottom w:val="single" w:sz="4" w:space="0" w:color="1B556B"/>
            </w:tcBorders>
            <w:shd w:val="clear" w:color="auto" w:fill="auto"/>
            <w:noWrap/>
            <w:vAlign w:val="bottom"/>
            <w:hideMark/>
          </w:tcPr>
          <w:p w14:paraId="28DD984C" w14:textId="77777777" w:rsidR="00784FA9" w:rsidRPr="00D604EE" w:rsidRDefault="00784FA9" w:rsidP="007E3239">
            <w:pPr>
              <w:pStyle w:val="TableText"/>
              <w:jc w:val="center"/>
            </w:pPr>
            <w:r w:rsidRPr="00D604EE">
              <w:t>0.01</w:t>
            </w:r>
          </w:p>
        </w:tc>
        <w:tc>
          <w:tcPr>
            <w:tcW w:w="1417" w:type="dxa"/>
            <w:tcBorders>
              <w:top w:val="single" w:sz="4" w:space="0" w:color="1B556B"/>
              <w:bottom w:val="single" w:sz="4" w:space="0" w:color="1B556B"/>
            </w:tcBorders>
            <w:shd w:val="clear" w:color="auto" w:fill="auto"/>
            <w:noWrap/>
            <w:vAlign w:val="bottom"/>
            <w:hideMark/>
          </w:tcPr>
          <w:p w14:paraId="5828656A" w14:textId="77777777" w:rsidR="00784FA9" w:rsidRPr="00D604EE" w:rsidRDefault="00784FA9" w:rsidP="007E3239">
            <w:pPr>
              <w:pStyle w:val="TableText"/>
              <w:jc w:val="center"/>
            </w:pPr>
            <w:r w:rsidRPr="00D604EE">
              <w:t>0.01</w:t>
            </w:r>
          </w:p>
        </w:tc>
        <w:tc>
          <w:tcPr>
            <w:tcW w:w="1559" w:type="dxa"/>
            <w:tcBorders>
              <w:top w:val="single" w:sz="4" w:space="0" w:color="1B556B"/>
              <w:bottom w:val="single" w:sz="4" w:space="0" w:color="1B556B"/>
            </w:tcBorders>
            <w:shd w:val="clear" w:color="auto" w:fill="auto"/>
            <w:noWrap/>
            <w:vAlign w:val="bottom"/>
            <w:hideMark/>
          </w:tcPr>
          <w:p w14:paraId="20C76A21" w14:textId="77777777" w:rsidR="00784FA9" w:rsidRPr="00D604EE" w:rsidRDefault="00784FA9" w:rsidP="007E3239">
            <w:pPr>
              <w:pStyle w:val="TableText"/>
              <w:jc w:val="center"/>
            </w:pPr>
            <w:r w:rsidRPr="00D604EE">
              <w:t>0.01</w:t>
            </w:r>
          </w:p>
        </w:tc>
        <w:tc>
          <w:tcPr>
            <w:tcW w:w="1366" w:type="dxa"/>
            <w:tcBorders>
              <w:top w:val="single" w:sz="4" w:space="0" w:color="1B556B"/>
              <w:bottom w:val="single" w:sz="4" w:space="0" w:color="1B556B"/>
            </w:tcBorders>
            <w:shd w:val="clear" w:color="auto" w:fill="auto"/>
            <w:noWrap/>
            <w:vAlign w:val="bottom"/>
            <w:hideMark/>
          </w:tcPr>
          <w:p w14:paraId="1D3F2691" w14:textId="77777777" w:rsidR="00784FA9" w:rsidRPr="00D604EE" w:rsidRDefault="00784FA9" w:rsidP="007E3239">
            <w:pPr>
              <w:pStyle w:val="TableText"/>
              <w:jc w:val="center"/>
            </w:pPr>
            <w:r w:rsidRPr="00D604EE">
              <w:t>0.01</w:t>
            </w:r>
          </w:p>
        </w:tc>
      </w:tr>
      <w:tr w:rsidR="00784FA9" w:rsidRPr="00D604EE" w14:paraId="124CF23A" w14:textId="77777777" w:rsidTr="007E3239">
        <w:trPr>
          <w:trHeight w:val="325"/>
        </w:trPr>
        <w:tc>
          <w:tcPr>
            <w:tcW w:w="2376" w:type="dxa"/>
            <w:tcBorders>
              <w:top w:val="single" w:sz="4" w:space="0" w:color="1B556B"/>
              <w:bottom w:val="single" w:sz="4" w:space="0" w:color="1B556B"/>
            </w:tcBorders>
            <w:shd w:val="clear" w:color="auto" w:fill="auto"/>
            <w:noWrap/>
            <w:vAlign w:val="bottom"/>
            <w:hideMark/>
          </w:tcPr>
          <w:p w14:paraId="06096DA0" w14:textId="77777777" w:rsidR="00784FA9" w:rsidRPr="00D604EE" w:rsidRDefault="00784FA9" w:rsidP="007E3239">
            <w:pPr>
              <w:pStyle w:val="TableText"/>
            </w:pPr>
            <w:r w:rsidRPr="00D604EE">
              <w:t>CO emission factor</w:t>
            </w:r>
          </w:p>
        </w:tc>
        <w:tc>
          <w:tcPr>
            <w:tcW w:w="1560" w:type="dxa"/>
            <w:tcBorders>
              <w:top w:val="single" w:sz="4" w:space="0" w:color="1B556B"/>
              <w:bottom w:val="single" w:sz="4" w:space="0" w:color="1B556B"/>
            </w:tcBorders>
            <w:shd w:val="clear" w:color="auto" w:fill="auto"/>
            <w:noWrap/>
            <w:hideMark/>
          </w:tcPr>
          <w:p w14:paraId="32BF367E" w14:textId="77777777" w:rsidR="00784FA9" w:rsidRPr="00D604EE" w:rsidRDefault="00784FA9" w:rsidP="007E3239">
            <w:pPr>
              <w:pStyle w:val="TableText"/>
              <w:jc w:val="center"/>
            </w:pPr>
            <w:r w:rsidRPr="00D604EE">
              <w:t>0.06</w:t>
            </w:r>
          </w:p>
        </w:tc>
        <w:tc>
          <w:tcPr>
            <w:tcW w:w="1275" w:type="dxa"/>
            <w:tcBorders>
              <w:top w:val="single" w:sz="4" w:space="0" w:color="1B556B"/>
              <w:bottom w:val="single" w:sz="4" w:space="0" w:color="1B556B"/>
            </w:tcBorders>
            <w:shd w:val="clear" w:color="auto" w:fill="auto"/>
            <w:noWrap/>
            <w:hideMark/>
          </w:tcPr>
          <w:p w14:paraId="6C9A4F6B" w14:textId="77777777" w:rsidR="00784FA9" w:rsidRPr="00D604EE" w:rsidRDefault="00784FA9" w:rsidP="007E3239">
            <w:pPr>
              <w:pStyle w:val="TableText"/>
              <w:jc w:val="center"/>
            </w:pPr>
            <w:r w:rsidRPr="00D604EE">
              <w:t>0.06</w:t>
            </w:r>
          </w:p>
        </w:tc>
        <w:tc>
          <w:tcPr>
            <w:tcW w:w="1560" w:type="dxa"/>
            <w:tcBorders>
              <w:top w:val="single" w:sz="4" w:space="0" w:color="1B556B"/>
              <w:bottom w:val="single" w:sz="4" w:space="0" w:color="1B556B"/>
            </w:tcBorders>
            <w:shd w:val="clear" w:color="auto" w:fill="auto"/>
            <w:noWrap/>
            <w:hideMark/>
          </w:tcPr>
          <w:p w14:paraId="76E5BF4B" w14:textId="77777777" w:rsidR="00784FA9" w:rsidRPr="00D604EE" w:rsidRDefault="00784FA9" w:rsidP="007E3239">
            <w:pPr>
              <w:pStyle w:val="TableText"/>
              <w:jc w:val="center"/>
            </w:pPr>
            <w:r w:rsidRPr="00D604EE">
              <w:t>0.06</w:t>
            </w:r>
          </w:p>
        </w:tc>
        <w:tc>
          <w:tcPr>
            <w:tcW w:w="1417" w:type="dxa"/>
            <w:tcBorders>
              <w:top w:val="single" w:sz="4" w:space="0" w:color="1B556B"/>
              <w:bottom w:val="single" w:sz="4" w:space="0" w:color="1B556B"/>
            </w:tcBorders>
            <w:shd w:val="clear" w:color="auto" w:fill="auto"/>
            <w:noWrap/>
            <w:hideMark/>
          </w:tcPr>
          <w:p w14:paraId="66E89129" w14:textId="77777777" w:rsidR="00784FA9" w:rsidRPr="00D604EE" w:rsidRDefault="00784FA9" w:rsidP="007E3239">
            <w:pPr>
              <w:pStyle w:val="TableText"/>
              <w:jc w:val="center"/>
            </w:pPr>
            <w:r w:rsidRPr="00D604EE">
              <w:t>0.06</w:t>
            </w:r>
          </w:p>
        </w:tc>
        <w:tc>
          <w:tcPr>
            <w:tcW w:w="1418" w:type="dxa"/>
            <w:tcBorders>
              <w:top w:val="single" w:sz="4" w:space="0" w:color="1B556B"/>
              <w:bottom w:val="single" w:sz="4" w:space="0" w:color="1B556B"/>
            </w:tcBorders>
            <w:shd w:val="clear" w:color="auto" w:fill="auto"/>
            <w:noWrap/>
            <w:hideMark/>
          </w:tcPr>
          <w:p w14:paraId="0315C7E9" w14:textId="77777777" w:rsidR="00784FA9" w:rsidRPr="00D604EE" w:rsidRDefault="00784FA9" w:rsidP="007E3239">
            <w:pPr>
              <w:pStyle w:val="TableText"/>
              <w:jc w:val="center"/>
            </w:pPr>
            <w:r w:rsidRPr="00D604EE">
              <w:t>0.09</w:t>
            </w:r>
          </w:p>
        </w:tc>
        <w:tc>
          <w:tcPr>
            <w:tcW w:w="1417" w:type="dxa"/>
            <w:tcBorders>
              <w:top w:val="single" w:sz="4" w:space="0" w:color="1B556B"/>
              <w:bottom w:val="single" w:sz="4" w:space="0" w:color="1B556B"/>
            </w:tcBorders>
            <w:shd w:val="clear" w:color="auto" w:fill="auto"/>
            <w:noWrap/>
            <w:hideMark/>
          </w:tcPr>
          <w:p w14:paraId="75A2EC57" w14:textId="77777777" w:rsidR="00784FA9" w:rsidRPr="00D604EE" w:rsidRDefault="00784FA9" w:rsidP="007E3239">
            <w:pPr>
              <w:pStyle w:val="TableText"/>
              <w:jc w:val="center"/>
            </w:pPr>
            <w:r w:rsidRPr="00D604EE">
              <w:t>0.10</w:t>
            </w:r>
          </w:p>
        </w:tc>
        <w:tc>
          <w:tcPr>
            <w:tcW w:w="1559" w:type="dxa"/>
            <w:tcBorders>
              <w:top w:val="single" w:sz="4" w:space="0" w:color="1B556B"/>
              <w:bottom w:val="single" w:sz="4" w:space="0" w:color="1B556B"/>
            </w:tcBorders>
            <w:shd w:val="clear" w:color="auto" w:fill="auto"/>
            <w:noWrap/>
            <w:hideMark/>
          </w:tcPr>
          <w:p w14:paraId="0651B661" w14:textId="77777777" w:rsidR="00784FA9" w:rsidRPr="00D604EE" w:rsidRDefault="00784FA9" w:rsidP="007E3239">
            <w:pPr>
              <w:pStyle w:val="TableText"/>
              <w:jc w:val="center"/>
            </w:pPr>
            <w:r w:rsidRPr="00D604EE">
              <w:t>0.09</w:t>
            </w:r>
          </w:p>
        </w:tc>
        <w:tc>
          <w:tcPr>
            <w:tcW w:w="1366" w:type="dxa"/>
            <w:tcBorders>
              <w:top w:val="single" w:sz="4" w:space="0" w:color="1B556B"/>
              <w:bottom w:val="single" w:sz="4" w:space="0" w:color="1B556B"/>
            </w:tcBorders>
            <w:shd w:val="clear" w:color="auto" w:fill="auto"/>
            <w:noWrap/>
            <w:hideMark/>
          </w:tcPr>
          <w:p w14:paraId="07CE5985" w14:textId="77777777" w:rsidR="00784FA9" w:rsidRPr="00D604EE" w:rsidRDefault="00784FA9" w:rsidP="007E3239">
            <w:pPr>
              <w:pStyle w:val="TableText"/>
              <w:jc w:val="center"/>
            </w:pPr>
            <w:r w:rsidRPr="00D604EE">
              <w:t>0.10</w:t>
            </w:r>
          </w:p>
        </w:tc>
      </w:tr>
      <w:tr w:rsidR="00784FA9" w:rsidRPr="00D604EE" w14:paraId="4B8F859C" w14:textId="77777777" w:rsidTr="007E3239">
        <w:trPr>
          <w:trHeight w:val="325"/>
        </w:trPr>
        <w:tc>
          <w:tcPr>
            <w:tcW w:w="2376" w:type="dxa"/>
            <w:tcBorders>
              <w:top w:val="single" w:sz="4" w:space="0" w:color="1B556B"/>
              <w:bottom w:val="single" w:sz="4" w:space="0" w:color="1B556B"/>
            </w:tcBorders>
            <w:shd w:val="clear" w:color="auto" w:fill="auto"/>
            <w:noWrap/>
            <w:vAlign w:val="bottom"/>
            <w:hideMark/>
          </w:tcPr>
          <w:p w14:paraId="2CF5434F" w14:textId="77777777" w:rsidR="00784FA9" w:rsidRPr="00D604EE" w:rsidRDefault="00784FA9" w:rsidP="007E3239">
            <w:pPr>
              <w:pStyle w:val="TableText"/>
            </w:pPr>
            <w:r w:rsidRPr="00D604EE">
              <w:t>CH</w:t>
            </w:r>
            <w:r w:rsidRPr="00D604EE">
              <w:rPr>
                <w:vertAlign w:val="subscript"/>
              </w:rPr>
              <w:t>4</w:t>
            </w:r>
            <w:r w:rsidRPr="00D604EE">
              <w:t xml:space="preserve"> emission factor</w:t>
            </w:r>
          </w:p>
        </w:tc>
        <w:tc>
          <w:tcPr>
            <w:tcW w:w="1560" w:type="dxa"/>
            <w:tcBorders>
              <w:top w:val="single" w:sz="4" w:space="0" w:color="1B556B"/>
              <w:bottom w:val="single" w:sz="4" w:space="0" w:color="1B556B"/>
            </w:tcBorders>
            <w:shd w:val="clear" w:color="auto" w:fill="auto"/>
            <w:noWrap/>
            <w:hideMark/>
          </w:tcPr>
          <w:p w14:paraId="5823F5EE" w14:textId="77777777" w:rsidR="00784FA9" w:rsidRPr="00D604EE" w:rsidRDefault="00784FA9" w:rsidP="007E3239">
            <w:pPr>
              <w:pStyle w:val="TableText"/>
              <w:jc w:val="center"/>
            </w:pPr>
            <w:r w:rsidRPr="00D604EE">
              <w:t>0.00</w:t>
            </w:r>
          </w:p>
        </w:tc>
        <w:tc>
          <w:tcPr>
            <w:tcW w:w="1275" w:type="dxa"/>
            <w:tcBorders>
              <w:top w:val="single" w:sz="4" w:space="0" w:color="1B556B"/>
              <w:bottom w:val="single" w:sz="4" w:space="0" w:color="1B556B"/>
            </w:tcBorders>
            <w:shd w:val="clear" w:color="auto" w:fill="auto"/>
            <w:noWrap/>
            <w:hideMark/>
          </w:tcPr>
          <w:p w14:paraId="769E8931" w14:textId="77777777" w:rsidR="00784FA9" w:rsidRPr="00D604EE" w:rsidRDefault="00784FA9" w:rsidP="007E3239">
            <w:pPr>
              <w:pStyle w:val="TableText"/>
              <w:jc w:val="center"/>
            </w:pPr>
            <w:r w:rsidRPr="00D604EE">
              <w:t>0.00</w:t>
            </w:r>
          </w:p>
        </w:tc>
        <w:tc>
          <w:tcPr>
            <w:tcW w:w="1560" w:type="dxa"/>
            <w:tcBorders>
              <w:top w:val="single" w:sz="4" w:space="0" w:color="1B556B"/>
              <w:bottom w:val="single" w:sz="4" w:space="0" w:color="1B556B"/>
            </w:tcBorders>
            <w:shd w:val="clear" w:color="auto" w:fill="auto"/>
            <w:noWrap/>
            <w:hideMark/>
          </w:tcPr>
          <w:p w14:paraId="3B0225EC" w14:textId="77777777" w:rsidR="00784FA9" w:rsidRPr="00D604EE" w:rsidRDefault="00784FA9" w:rsidP="007E3239">
            <w:pPr>
              <w:pStyle w:val="TableText"/>
              <w:jc w:val="center"/>
            </w:pPr>
            <w:r w:rsidRPr="00D604EE">
              <w:t>0.00</w:t>
            </w:r>
          </w:p>
        </w:tc>
        <w:tc>
          <w:tcPr>
            <w:tcW w:w="1417" w:type="dxa"/>
            <w:tcBorders>
              <w:top w:val="single" w:sz="4" w:space="0" w:color="1B556B"/>
              <w:bottom w:val="single" w:sz="4" w:space="0" w:color="1B556B"/>
            </w:tcBorders>
            <w:shd w:val="clear" w:color="auto" w:fill="auto"/>
            <w:noWrap/>
            <w:hideMark/>
          </w:tcPr>
          <w:p w14:paraId="5C7591CB" w14:textId="77777777" w:rsidR="00784FA9" w:rsidRPr="00D604EE" w:rsidRDefault="00784FA9" w:rsidP="007E3239">
            <w:pPr>
              <w:pStyle w:val="TableText"/>
              <w:jc w:val="center"/>
            </w:pPr>
            <w:r w:rsidRPr="00D604EE">
              <w:t>0.00</w:t>
            </w:r>
          </w:p>
        </w:tc>
        <w:tc>
          <w:tcPr>
            <w:tcW w:w="1418" w:type="dxa"/>
            <w:tcBorders>
              <w:top w:val="single" w:sz="4" w:space="0" w:color="1B556B"/>
              <w:bottom w:val="single" w:sz="4" w:space="0" w:color="1B556B"/>
            </w:tcBorders>
            <w:shd w:val="clear" w:color="auto" w:fill="auto"/>
            <w:noWrap/>
            <w:hideMark/>
          </w:tcPr>
          <w:p w14:paraId="25670864" w14:textId="77777777" w:rsidR="00784FA9" w:rsidRPr="00D604EE" w:rsidRDefault="00784FA9" w:rsidP="007E3239">
            <w:pPr>
              <w:pStyle w:val="TableText"/>
              <w:jc w:val="center"/>
            </w:pPr>
            <w:r w:rsidRPr="00D604EE">
              <w:t>0.01</w:t>
            </w:r>
          </w:p>
        </w:tc>
        <w:tc>
          <w:tcPr>
            <w:tcW w:w="1417" w:type="dxa"/>
            <w:tcBorders>
              <w:top w:val="single" w:sz="4" w:space="0" w:color="1B556B"/>
              <w:bottom w:val="single" w:sz="4" w:space="0" w:color="1B556B"/>
            </w:tcBorders>
            <w:shd w:val="clear" w:color="auto" w:fill="auto"/>
            <w:noWrap/>
            <w:hideMark/>
          </w:tcPr>
          <w:p w14:paraId="7CB9B087" w14:textId="77777777" w:rsidR="00784FA9" w:rsidRPr="00D604EE" w:rsidRDefault="00784FA9" w:rsidP="007E3239">
            <w:pPr>
              <w:pStyle w:val="TableText"/>
              <w:jc w:val="center"/>
            </w:pPr>
            <w:r w:rsidRPr="00D604EE">
              <w:t>0.01</w:t>
            </w:r>
          </w:p>
        </w:tc>
        <w:tc>
          <w:tcPr>
            <w:tcW w:w="1559" w:type="dxa"/>
            <w:tcBorders>
              <w:top w:val="single" w:sz="4" w:space="0" w:color="1B556B"/>
              <w:bottom w:val="single" w:sz="4" w:space="0" w:color="1B556B"/>
            </w:tcBorders>
            <w:shd w:val="clear" w:color="auto" w:fill="auto"/>
            <w:noWrap/>
            <w:hideMark/>
          </w:tcPr>
          <w:p w14:paraId="7AB620D4" w14:textId="77777777" w:rsidR="00784FA9" w:rsidRPr="00D604EE" w:rsidRDefault="00784FA9" w:rsidP="007E3239">
            <w:pPr>
              <w:pStyle w:val="TableText"/>
              <w:jc w:val="center"/>
            </w:pPr>
            <w:r w:rsidRPr="00D604EE">
              <w:t>0.01</w:t>
            </w:r>
          </w:p>
        </w:tc>
        <w:tc>
          <w:tcPr>
            <w:tcW w:w="1366" w:type="dxa"/>
            <w:tcBorders>
              <w:top w:val="single" w:sz="4" w:space="0" w:color="1B556B"/>
              <w:bottom w:val="single" w:sz="4" w:space="0" w:color="1B556B"/>
            </w:tcBorders>
            <w:shd w:val="clear" w:color="auto" w:fill="auto"/>
            <w:noWrap/>
            <w:hideMark/>
          </w:tcPr>
          <w:p w14:paraId="38165389" w14:textId="77777777" w:rsidR="00784FA9" w:rsidRPr="00D604EE" w:rsidRDefault="00784FA9" w:rsidP="007E3239">
            <w:pPr>
              <w:pStyle w:val="TableText"/>
              <w:jc w:val="center"/>
            </w:pPr>
            <w:r w:rsidRPr="00D604EE">
              <w:t>0.01</w:t>
            </w:r>
          </w:p>
        </w:tc>
      </w:tr>
      <w:tr w:rsidR="00784FA9" w:rsidRPr="00D604EE" w14:paraId="19C87E94" w14:textId="77777777" w:rsidTr="007E3239">
        <w:trPr>
          <w:trHeight w:val="325"/>
        </w:trPr>
        <w:tc>
          <w:tcPr>
            <w:tcW w:w="2376" w:type="dxa"/>
            <w:tcBorders>
              <w:top w:val="single" w:sz="4" w:space="0" w:color="1B556B"/>
              <w:bottom w:val="single" w:sz="4" w:space="0" w:color="1B556B"/>
            </w:tcBorders>
            <w:shd w:val="clear" w:color="auto" w:fill="auto"/>
            <w:noWrap/>
            <w:vAlign w:val="bottom"/>
            <w:hideMark/>
          </w:tcPr>
          <w:p w14:paraId="5C059F84" w14:textId="77777777" w:rsidR="00784FA9" w:rsidRPr="00D604EE" w:rsidRDefault="00784FA9" w:rsidP="007E3239">
            <w:pPr>
              <w:pStyle w:val="TableText"/>
            </w:pPr>
            <w:r w:rsidRPr="00D604EE">
              <w:t>N</w:t>
            </w:r>
            <w:r w:rsidRPr="00D604EE">
              <w:rPr>
                <w:vertAlign w:val="subscript"/>
              </w:rPr>
              <w:t>2</w:t>
            </w:r>
            <w:r w:rsidRPr="00D604EE">
              <w:t>O emission factor</w:t>
            </w:r>
          </w:p>
        </w:tc>
        <w:tc>
          <w:tcPr>
            <w:tcW w:w="1560" w:type="dxa"/>
            <w:tcBorders>
              <w:top w:val="single" w:sz="4" w:space="0" w:color="1B556B"/>
              <w:bottom w:val="single" w:sz="4" w:space="0" w:color="1B556B"/>
            </w:tcBorders>
            <w:shd w:val="clear" w:color="auto" w:fill="auto"/>
            <w:noWrap/>
            <w:hideMark/>
          </w:tcPr>
          <w:p w14:paraId="5EC56FBB" w14:textId="77777777" w:rsidR="00784FA9" w:rsidRPr="00D604EE" w:rsidRDefault="00784FA9" w:rsidP="007E3239">
            <w:pPr>
              <w:pStyle w:val="TableText"/>
              <w:jc w:val="center"/>
            </w:pPr>
            <w:r w:rsidRPr="00D604EE">
              <w:t>0.03</w:t>
            </w:r>
          </w:p>
        </w:tc>
        <w:tc>
          <w:tcPr>
            <w:tcW w:w="1275" w:type="dxa"/>
            <w:tcBorders>
              <w:top w:val="single" w:sz="4" w:space="0" w:color="1B556B"/>
              <w:bottom w:val="single" w:sz="4" w:space="0" w:color="1B556B"/>
            </w:tcBorders>
            <w:shd w:val="clear" w:color="auto" w:fill="auto"/>
            <w:noWrap/>
            <w:hideMark/>
          </w:tcPr>
          <w:p w14:paraId="575C3E89" w14:textId="77777777" w:rsidR="00784FA9" w:rsidRPr="00D604EE" w:rsidRDefault="00784FA9" w:rsidP="007E3239">
            <w:pPr>
              <w:pStyle w:val="TableText"/>
              <w:jc w:val="center"/>
            </w:pPr>
            <w:r w:rsidRPr="00D604EE">
              <w:t>0.03</w:t>
            </w:r>
          </w:p>
        </w:tc>
        <w:tc>
          <w:tcPr>
            <w:tcW w:w="1560" w:type="dxa"/>
            <w:tcBorders>
              <w:top w:val="single" w:sz="4" w:space="0" w:color="1B556B"/>
              <w:bottom w:val="single" w:sz="4" w:space="0" w:color="1B556B"/>
            </w:tcBorders>
            <w:shd w:val="clear" w:color="auto" w:fill="auto"/>
            <w:noWrap/>
            <w:hideMark/>
          </w:tcPr>
          <w:p w14:paraId="08D7F34D" w14:textId="77777777" w:rsidR="00784FA9" w:rsidRPr="00D604EE" w:rsidRDefault="00784FA9" w:rsidP="007E3239">
            <w:pPr>
              <w:pStyle w:val="TableText"/>
              <w:jc w:val="center"/>
            </w:pPr>
            <w:r w:rsidRPr="00D604EE">
              <w:t>0.03</w:t>
            </w:r>
          </w:p>
        </w:tc>
        <w:tc>
          <w:tcPr>
            <w:tcW w:w="1417" w:type="dxa"/>
            <w:tcBorders>
              <w:top w:val="single" w:sz="4" w:space="0" w:color="1B556B"/>
              <w:bottom w:val="single" w:sz="4" w:space="0" w:color="1B556B"/>
            </w:tcBorders>
            <w:shd w:val="clear" w:color="auto" w:fill="auto"/>
            <w:noWrap/>
            <w:hideMark/>
          </w:tcPr>
          <w:p w14:paraId="5F9D892B" w14:textId="77777777" w:rsidR="00784FA9" w:rsidRPr="00D604EE" w:rsidRDefault="00784FA9" w:rsidP="007E3239">
            <w:pPr>
              <w:pStyle w:val="TableText"/>
              <w:jc w:val="center"/>
            </w:pPr>
            <w:r w:rsidRPr="00D604EE">
              <w:t>0.03</w:t>
            </w:r>
          </w:p>
        </w:tc>
        <w:tc>
          <w:tcPr>
            <w:tcW w:w="1418" w:type="dxa"/>
            <w:tcBorders>
              <w:top w:val="single" w:sz="4" w:space="0" w:color="1B556B"/>
              <w:bottom w:val="single" w:sz="4" w:space="0" w:color="1B556B"/>
            </w:tcBorders>
            <w:shd w:val="clear" w:color="auto" w:fill="auto"/>
            <w:noWrap/>
            <w:hideMark/>
          </w:tcPr>
          <w:p w14:paraId="39A4194D" w14:textId="77777777" w:rsidR="00784FA9" w:rsidRPr="00D604EE" w:rsidRDefault="00784FA9" w:rsidP="007E3239">
            <w:pPr>
              <w:pStyle w:val="TableText"/>
              <w:jc w:val="center"/>
            </w:pPr>
            <w:r w:rsidRPr="00D604EE">
              <w:t>0.03</w:t>
            </w:r>
          </w:p>
        </w:tc>
        <w:tc>
          <w:tcPr>
            <w:tcW w:w="1417" w:type="dxa"/>
            <w:tcBorders>
              <w:top w:val="single" w:sz="4" w:space="0" w:color="1B556B"/>
              <w:bottom w:val="single" w:sz="4" w:space="0" w:color="1B556B"/>
            </w:tcBorders>
            <w:shd w:val="clear" w:color="auto" w:fill="auto"/>
            <w:noWrap/>
            <w:hideMark/>
          </w:tcPr>
          <w:p w14:paraId="676B8147" w14:textId="77777777" w:rsidR="00784FA9" w:rsidRPr="00D604EE" w:rsidRDefault="00784FA9" w:rsidP="007E3239">
            <w:pPr>
              <w:pStyle w:val="TableText"/>
              <w:jc w:val="center"/>
            </w:pPr>
            <w:r w:rsidRPr="00D604EE">
              <w:t>0.04</w:t>
            </w:r>
          </w:p>
        </w:tc>
        <w:tc>
          <w:tcPr>
            <w:tcW w:w="1559" w:type="dxa"/>
            <w:tcBorders>
              <w:top w:val="single" w:sz="4" w:space="0" w:color="1B556B"/>
              <w:bottom w:val="single" w:sz="4" w:space="0" w:color="1B556B"/>
            </w:tcBorders>
            <w:shd w:val="clear" w:color="auto" w:fill="auto"/>
            <w:noWrap/>
            <w:hideMark/>
          </w:tcPr>
          <w:p w14:paraId="224B669F" w14:textId="77777777" w:rsidR="00784FA9" w:rsidRPr="00D604EE" w:rsidRDefault="00784FA9" w:rsidP="007E3239">
            <w:pPr>
              <w:pStyle w:val="TableText"/>
              <w:jc w:val="center"/>
            </w:pPr>
            <w:r w:rsidRPr="00D604EE">
              <w:t>0.03</w:t>
            </w:r>
          </w:p>
        </w:tc>
        <w:tc>
          <w:tcPr>
            <w:tcW w:w="1366" w:type="dxa"/>
            <w:tcBorders>
              <w:top w:val="single" w:sz="4" w:space="0" w:color="1B556B"/>
              <w:bottom w:val="single" w:sz="4" w:space="0" w:color="1B556B"/>
            </w:tcBorders>
            <w:shd w:val="clear" w:color="auto" w:fill="auto"/>
            <w:noWrap/>
            <w:hideMark/>
          </w:tcPr>
          <w:p w14:paraId="41ACB5D5" w14:textId="77777777" w:rsidR="00784FA9" w:rsidRPr="00D604EE" w:rsidRDefault="00784FA9" w:rsidP="007E3239">
            <w:pPr>
              <w:pStyle w:val="TableText"/>
              <w:jc w:val="center"/>
            </w:pPr>
            <w:r w:rsidRPr="00D604EE">
              <w:t>0.04</w:t>
            </w:r>
          </w:p>
        </w:tc>
      </w:tr>
      <w:tr w:rsidR="00784FA9" w:rsidRPr="00D604EE" w14:paraId="20A3CC65" w14:textId="77777777" w:rsidTr="007E3239">
        <w:trPr>
          <w:trHeight w:val="325"/>
        </w:trPr>
        <w:tc>
          <w:tcPr>
            <w:tcW w:w="2376" w:type="dxa"/>
            <w:tcBorders>
              <w:top w:val="single" w:sz="4" w:space="0" w:color="1B556B"/>
              <w:bottom w:val="single" w:sz="4" w:space="0" w:color="1B556B"/>
            </w:tcBorders>
            <w:shd w:val="clear" w:color="auto" w:fill="auto"/>
            <w:noWrap/>
            <w:vAlign w:val="bottom"/>
            <w:hideMark/>
          </w:tcPr>
          <w:p w14:paraId="3BACB135" w14:textId="77777777" w:rsidR="00784FA9" w:rsidRPr="00D604EE" w:rsidRDefault="00784FA9" w:rsidP="007E3239">
            <w:pPr>
              <w:pStyle w:val="TableText"/>
            </w:pPr>
            <w:r w:rsidRPr="00D604EE">
              <w:t>NO</w:t>
            </w:r>
            <w:r w:rsidRPr="00D604EE">
              <w:rPr>
                <w:vertAlign w:val="subscript"/>
              </w:rPr>
              <w:t xml:space="preserve">x </w:t>
            </w:r>
            <w:r w:rsidRPr="00D604EE">
              <w:t>emission factor</w:t>
            </w:r>
          </w:p>
        </w:tc>
        <w:tc>
          <w:tcPr>
            <w:tcW w:w="1560" w:type="dxa"/>
            <w:tcBorders>
              <w:top w:val="single" w:sz="4" w:space="0" w:color="1B556B"/>
              <w:bottom w:val="single" w:sz="4" w:space="0" w:color="1B556B"/>
            </w:tcBorders>
            <w:shd w:val="clear" w:color="auto" w:fill="auto"/>
            <w:noWrap/>
            <w:hideMark/>
          </w:tcPr>
          <w:p w14:paraId="6B1715FE" w14:textId="77777777" w:rsidR="00784FA9" w:rsidRPr="00D604EE" w:rsidRDefault="00784FA9" w:rsidP="007E3239">
            <w:pPr>
              <w:pStyle w:val="TableText"/>
              <w:jc w:val="center"/>
            </w:pPr>
            <w:r w:rsidRPr="00D604EE">
              <w:t>0.27</w:t>
            </w:r>
          </w:p>
        </w:tc>
        <w:tc>
          <w:tcPr>
            <w:tcW w:w="1275" w:type="dxa"/>
            <w:tcBorders>
              <w:top w:val="single" w:sz="4" w:space="0" w:color="1B556B"/>
              <w:bottom w:val="single" w:sz="4" w:space="0" w:color="1B556B"/>
            </w:tcBorders>
            <w:shd w:val="clear" w:color="auto" w:fill="auto"/>
            <w:noWrap/>
            <w:hideMark/>
          </w:tcPr>
          <w:p w14:paraId="6FB3A602" w14:textId="77777777" w:rsidR="00784FA9" w:rsidRPr="00D604EE" w:rsidRDefault="00784FA9" w:rsidP="007E3239">
            <w:pPr>
              <w:pStyle w:val="TableText"/>
              <w:jc w:val="center"/>
            </w:pPr>
            <w:r w:rsidRPr="00D604EE">
              <w:t>0.27</w:t>
            </w:r>
          </w:p>
        </w:tc>
        <w:tc>
          <w:tcPr>
            <w:tcW w:w="1560" w:type="dxa"/>
            <w:tcBorders>
              <w:top w:val="single" w:sz="4" w:space="0" w:color="1B556B"/>
              <w:bottom w:val="single" w:sz="4" w:space="0" w:color="1B556B"/>
            </w:tcBorders>
            <w:shd w:val="clear" w:color="auto" w:fill="auto"/>
            <w:noWrap/>
            <w:hideMark/>
          </w:tcPr>
          <w:p w14:paraId="59F49AED" w14:textId="77777777" w:rsidR="00784FA9" w:rsidRPr="00D604EE" w:rsidRDefault="00784FA9" w:rsidP="007E3239">
            <w:pPr>
              <w:pStyle w:val="TableText"/>
              <w:jc w:val="center"/>
            </w:pPr>
            <w:r w:rsidRPr="00D604EE">
              <w:t>0.27</w:t>
            </w:r>
          </w:p>
        </w:tc>
        <w:tc>
          <w:tcPr>
            <w:tcW w:w="1417" w:type="dxa"/>
            <w:tcBorders>
              <w:top w:val="single" w:sz="4" w:space="0" w:color="1B556B"/>
              <w:bottom w:val="single" w:sz="4" w:space="0" w:color="1B556B"/>
            </w:tcBorders>
            <w:shd w:val="clear" w:color="auto" w:fill="auto"/>
            <w:noWrap/>
            <w:hideMark/>
          </w:tcPr>
          <w:p w14:paraId="17E86E36" w14:textId="77777777" w:rsidR="00784FA9" w:rsidRPr="00D604EE" w:rsidRDefault="00784FA9" w:rsidP="007E3239">
            <w:pPr>
              <w:pStyle w:val="TableText"/>
              <w:jc w:val="center"/>
            </w:pPr>
            <w:r w:rsidRPr="00D604EE">
              <w:t>0.27</w:t>
            </w:r>
          </w:p>
        </w:tc>
        <w:tc>
          <w:tcPr>
            <w:tcW w:w="1418" w:type="dxa"/>
            <w:tcBorders>
              <w:top w:val="single" w:sz="4" w:space="0" w:color="1B556B"/>
              <w:bottom w:val="single" w:sz="4" w:space="0" w:color="1B556B"/>
            </w:tcBorders>
            <w:shd w:val="clear" w:color="auto" w:fill="auto"/>
            <w:noWrap/>
            <w:hideMark/>
          </w:tcPr>
          <w:p w14:paraId="4AD8C79D" w14:textId="77777777" w:rsidR="00784FA9" w:rsidRPr="00D604EE" w:rsidRDefault="00784FA9" w:rsidP="007E3239">
            <w:pPr>
              <w:pStyle w:val="TableText"/>
              <w:jc w:val="center"/>
            </w:pPr>
            <w:r w:rsidRPr="00D604EE">
              <w:t>0.18</w:t>
            </w:r>
          </w:p>
        </w:tc>
        <w:tc>
          <w:tcPr>
            <w:tcW w:w="1417" w:type="dxa"/>
            <w:tcBorders>
              <w:top w:val="single" w:sz="4" w:space="0" w:color="1B556B"/>
              <w:bottom w:val="single" w:sz="4" w:space="0" w:color="1B556B"/>
            </w:tcBorders>
            <w:shd w:val="clear" w:color="auto" w:fill="auto"/>
            <w:noWrap/>
            <w:hideMark/>
          </w:tcPr>
          <w:p w14:paraId="796E9C23" w14:textId="77777777" w:rsidR="00784FA9" w:rsidRPr="00D604EE" w:rsidRDefault="00784FA9" w:rsidP="007E3239">
            <w:pPr>
              <w:pStyle w:val="TableText"/>
              <w:jc w:val="center"/>
            </w:pPr>
            <w:r w:rsidRPr="00D604EE">
              <w:t>0.19</w:t>
            </w:r>
          </w:p>
        </w:tc>
        <w:tc>
          <w:tcPr>
            <w:tcW w:w="1559" w:type="dxa"/>
            <w:tcBorders>
              <w:top w:val="single" w:sz="4" w:space="0" w:color="1B556B"/>
              <w:bottom w:val="single" w:sz="4" w:space="0" w:color="1B556B"/>
            </w:tcBorders>
            <w:shd w:val="clear" w:color="auto" w:fill="auto"/>
            <w:noWrap/>
            <w:hideMark/>
          </w:tcPr>
          <w:p w14:paraId="2368DD35" w14:textId="77777777" w:rsidR="00784FA9" w:rsidRPr="00D604EE" w:rsidRDefault="00784FA9" w:rsidP="007E3239">
            <w:pPr>
              <w:pStyle w:val="TableText"/>
              <w:jc w:val="center"/>
            </w:pPr>
            <w:r w:rsidRPr="00D604EE">
              <w:t>0.18</w:t>
            </w:r>
          </w:p>
        </w:tc>
        <w:tc>
          <w:tcPr>
            <w:tcW w:w="1366" w:type="dxa"/>
            <w:tcBorders>
              <w:top w:val="single" w:sz="4" w:space="0" w:color="1B556B"/>
              <w:bottom w:val="single" w:sz="4" w:space="0" w:color="1B556B"/>
            </w:tcBorders>
            <w:shd w:val="clear" w:color="auto" w:fill="auto"/>
            <w:noWrap/>
            <w:hideMark/>
          </w:tcPr>
          <w:p w14:paraId="08FB02B7" w14:textId="77777777" w:rsidR="00784FA9" w:rsidRPr="00D604EE" w:rsidRDefault="00784FA9" w:rsidP="007E3239">
            <w:pPr>
              <w:pStyle w:val="TableText"/>
              <w:jc w:val="center"/>
            </w:pPr>
            <w:r w:rsidRPr="00D604EE">
              <w:t>0.19</w:t>
            </w:r>
          </w:p>
        </w:tc>
      </w:tr>
    </w:tbl>
    <w:p w14:paraId="46E51515" w14:textId="77777777" w:rsidR="00784FA9" w:rsidRPr="00D604EE" w:rsidRDefault="00784FA9" w:rsidP="00784FA9">
      <w:pPr>
        <w:pStyle w:val="Noteundertable"/>
      </w:pPr>
      <w:r w:rsidRPr="00D604EE">
        <w:rPr>
          <w:b/>
          <w:bCs/>
        </w:rPr>
        <w:t>Note:</w:t>
      </w:r>
      <w:r w:rsidRPr="00D604EE">
        <w:rPr>
          <w:b/>
          <w:bCs/>
        </w:rPr>
        <w:tab/>
      </w:r>
      <w:r w:rsidRPr="00D604EE">
        <w:t>Values are rounded to two decimal places. *0.51 New Zealand-specific carbon fraction for planted forests (Beets, unpublished).</w:t>
      </w:r>
    </w:p>
    <w:p w14:paraId="5D66B107" w14:textId="77777777" w:rsidR="00784FA9" w:rsidRPr="00D604EE" w:rsidRDefault="00784FA9" w:rsidP="00784FA9">
      <w:pPr>
        <w:pStyle w:val="BodyText"/>
      </w:pPr>
    </w:p>
    <w:p w14:paraId="47A230AF" w14:textId="77777777" w:rsidR="00784FA9" w:rsidRPr="00D604EE" w:rsidRDefault="00784FA9" w:rsidP="00784FA9">
      <w:pPr>
        <w:pStyle w:val="BodyText"/>
      </w:pPr>
    </w:p>
    <w:p w14:paraId="34328CEE" w14:textId="77777777" w:rsidR="00784FA9" w:rsidRPr="00D604EE" w:rsidRDefault="00784FA9" w:rsidP="00784FA9">
      <w:pPr>
        <w:sectPr w:rsidR="00784FA9" w:rsidRPr="00D604EE" w:rsidSect="008E6161">
          <w:footerReference w:type="default" r:id="rId210"/>
          <w:pgSz w:w="16838" w:h="11906" w:orient="landscape"/>
          <w:pgMar w:top="1701" w:right="1418" w:bottom="1701" w:left="1418" w:header="709" w:footer="709" w:gutter="0"/>
          <w:cols w:space="708"/>
          <w:docGrid w:linePitch="360"/>
        </w:sectPr>
      </w:pPr>
    </w:p>
    <w:p w14:paraId="12555AC2" w14:textId="77777777" w:rsidR="00784FA9" w:rsidRPr="00D604EE" w:rsidRDefault="00784FA9" w:rsidP="00784FA9">
      <w:pPr>
        <w:pStyle w:val="Table"/>
      </w:pPr>
      <w:bookmarkStart w:id="2302" w:name="_Toc99659320"/>
      <w:r w:rsidRPr="00D604EE">
        <w:lastRenderedPageBreak/>
        <w:t>Table 6.10.5</w:t>
      </w:r>
      <w:r w:rsidRPr="00D604EE">
        <w:tab/>
        <w:t xml:space="preserve">Summary of </w:t>
      </w:r>
      <w:r w:rsidRPr="00D604EE">
        <w:rPr>
          <w:i/>
        </w:rPr>
        <w:t>Biomass burning</w:t>
      </w:r>
      <w:r w:rsidRPr="00D604EE">
        <w:t xml:space="preserve"> combustion factor values</w:t>
      </w:r>
      <w:bookmarkEnd w:id="2302"/>
    </w:p>
    <w:tbl>
      <w:tblPr>
        <w:tblW w:w="8505" w:type="dxa"/>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134"/>
        <w:gridCol w:w="1577"/>
        <w:gridCol w:w="3334"/>
        <w:gridCol w:w="2460"/>
      </w:tblGrid>
      <w:tr w:rsidR="00AD4336" w:rsidRPr="00D604EE" w14:paraId="3D0E666C" w14:textId="77777777" w:rsidTr="00AD4336">
        <w:tc>
          <w:tcPr>
            <w:tcW w:w="8505" w:type="dxa"/>
            <w:gridSpan w:val="4"/>
            <w:tcBorders>
              <w:top w:val="single" w:sz="4" w:space="0" w:color="1B556B"/>
              <w:left w:val="nil"/>
              <w:bottom w:val="single" w:sz="4" w:space="0" w:color="1B556B"/>
              <w:right w:val="nil"/>
            </w:tcBorders>
            <w:shd w:val="clear" w:color="auto" w:fill="1B556B"/>
          </w:tcPr>
          <w:p w14:paraId="6F878536" w14:textId="77777777" w:rsidR="00784FA9" w:rsidRPr="00D604EE" w:rsidRDefault="00784FA9" w:rsidP="00AD4336">
            <w:pPr>
              <w:pStyle w:val="TableTextBold"/>
              <w:spacing w:before="40" w:after="40"/>
              <w:jc w:val="center"/>
              <w:rPr>
                <w:noProof w:val="0"/>
              </w:rPr>
            </w:pPr>
            <w:r w:rsidRPr="00AD4336">
              <w:rPr>
                <w:noProof w:val="0"/>
                <w:color w:val="FFFFFF"/>
              </w:rPr>
              <w:t>Combustion factor values (proportion of pre-fire biomass consumed) for fires (table 2.6, IPCC, 2006a)</w:t>
            </w:r>
          </w:p>
        </w:tc>
      </w:tr>
      <w:tr w:rsidR="00AD4336" w:rsidRPr="00D604EE" w14:paraId="0B2BBB42" w14:textId="77777777" w:rsidTr="00AD4336">
        <w:tc>
          <w:tcPr>
            <w:tcW w:w="6045" w:type="dxa"/>
            <w:gridSpan w:val="3"/>
            <w:tcBorders>
              <w:top w:val="single" w:sz="4" w:space="0" w:color="1B556B"/>
              <w:left w:val="nil"/>
              <w:bottom w:val="single" w:sz="4" w:space="0" w:color="1B556B"/>
              <w:right w:val="nil"/>
            </w:tcBorders>
            <w:shd w:val="clear" w:color="auto" w:fill="auto"/>
          </w:tcPr>
          <w:p w14:paraId="6C7C162C" w14:textId="77777777" w:rsidR="00784FA9" w:rsidRPr="00D604EE" w:rsidRDefault="00784FA9" w:rsidP="00AD4336">
            <w:pPr>
              <w:pStyle w:val="TableTextBold"/>
              <w:spacing w:before="40" w:after="40"/>
              <w:jc w:val="center"/>
              <w:rPr>
                <w:noProof w:val="0"/>
              </w:rPr>
            </w:pPr>
            <w:r w:rsidRPr="00D604EE">
              <w:rPr>
                <w:noProof w:val="0"/>
              </w:rPr>
              <w:t>Vegetation Type</w:t>
            </w:r>
          </w:p>
        </w:tc>
        <w:tc>
          <w:tcPr>
            <w:tcW w:w="2460" w:type="dxa"/>
            <w:tcBorders>
              <w:top w:val="single" w:sz="4" w:space="0" w:color="1B556B"/>
              <w:left w:val="nil"/>
              <w:bottom w:val="single" w:sz="4" w:space="0" w:color="1B556B"/>
              <w:right w:val="nil"/>
            </w:tcBorders>
            <w:shd w:val="clear" w:color="auto" w:fill="auto"/>
          </w:tcPr>
          <w:p w14:paraId="6F6B8720" w14:textId="77777777" w:rsidR="00784FA9" w:rsidRPr="00D604EE" w:rsidRDefault="00784FA9" w:rsidP="00AD4336">
            <w:pPr>
              <w:pStyle w:val="TableTextBold"/>
              <w:spacing w:before="40" w:after="40"/>
              <w:jc w:val="center"/>
              <w:rPr>
                <w:noProof w:val="0"/>
              </w:rPr>
            </w:pPr>
            <w:r w:rsidRPr="00D604EE">
              <w:rPr>
                <w:noProof w:val="0"/>
              </w:rPr>
              <w:t>Value</w:t>
            </w:r>
          </w:p>
        </w:tc>
      </w:tr>
      <w:tr w:rsidR="00AD4336" w:rsidRPr="00D604EE" w14:paraId="326E3112" w14:textId="77777777" w:rsidTr="00AD4336">
        <w:tc>
          <w:tcPr>
            <w:tcW w:w="1134" w:type="dxa"/>
            <w:vMerge w:val="restart"/>
            <w:tcBorders>
              <w:top w:val="single" w:sz="4" w:space="0" w:color="1B556B"/>
              <w:left w:val="nil"/>
              <w:bottom w:val="nil"/>
              <w:right w:val="nil"/>
            </w:tcBorders>
            <w:shd w:val="clear" w:color="auto" w:fill="auto"/>
            <w:vAlign w:val="center"/>
          </w:tcPr>
          <w:p w14:paraId="27BB845B" w14:textId="77777777" w:rsidR="00784FA9" w:rsidRPr="00D604EE" w:rsidRDefault="00784FA9" w:rsidP="00AD4336">
            <w:pPr>
              <w:pStyle w:val="TableTextBold"/>
              <w:spacing w:before="40" w:after="40"/>
              <w:jc w:val="center"/>
              <w:rPr>
                <w:noProof w:val="0"/>
              </w:rPr>
            </w:pPr>
            <w:r w:rsidRPr="00D604EE">
              <w:rPr>
                <w:noProof w:val="0"/>
              </w:rPr>
              <w:t>Forest</w:t>
            </w:r>
          </w:p>
        </w:tc>
        <w:tc>
          <w:tcPr>
            <w:tcW w:w="1577" w:type="dxa"/>
            <w:vMerge w:val="restart"/>
            <w:tcBorders>
              <w:top w:val="single" w:sz="4" w:space="0" w:color="1B556B"/>
              <w:left w:val="nil"/>
              <w:bottom w:val="nil"/>
              <w:right w:val="nil"/>
            </w:tcBorders>
            <w:shd w:val="clear" w:color="auto" w:fill="auto"/>
            <w:vAlign w:val="center"/>
          </w:tcPr>
          <w:p w14:paraId="5FD1656F" w14:textId="77777777" w:rsidR="00784FA9" w:rsidRPr="00D604EE" w:rsidRDefault="00784FA9" w:rsidP="00AD4336">
            <w:pPr>
              <w:pStyle w:val="TableText"/>
              <w:spacing w:before="40" w:after="40"/>
            </w:pPr>
            <w:r w:rsidRPr="00D604EE">
              <w:t>Other temperate forests</w:t>
            </w:r>
          </w:p>
        </w:tc>
        <w:tc>
          <w:tcPr>
            <w:tcW w:w="3334" w:type="dxa"/>
            <w:tcBorders>
              <w:top w:val="single" w:sz="4" w:space="0" w:color="1B556B"/>
              <w:left w:val="nil"/>
              <w:bottom w:val="nil"/>
              <w:right w:val="nil"/>
            </w:tcBorders>
            <w:shd w:val="clear" w:color="auto" w:fill="auto"/>
          </w:tcPr>
          <w:p w14:paraId="7F2D2D03" w14:textId="77777777" w:rsidR="00784FA9" w:rsidRPr="00D604EE" w:rsidRDefault="00784FA9" w:rsidP="00AD4336">
            <w:pPr>
              <w:pStyle w:val="TableText"/>
              <w:spacing w:before="40" w:after="40"/>
            </w:pPr>
            <w:r w:rsidRPr="00D604EE">
              <w:t>Post logging slash burn</w:t>
            </w:r>
          </w:p>
        </w:tc>
        <w:tc>
          <w:tcPr>
            <w:tcW w:w="2460" w:type="dxa"/>
            <w:tcBorders>
              <w:top w:val="single" w:sz="4" w:space="0" w:color="1B556B"/>
              <w:left w:val="nil"/>
              <w:bottom w:val="nil"/>
              <w:right w:val="nil"/>
            </w:tcBorders>
            <w:shd w:val="clear" w:color="auto" w:fill="auto"/>
          </w:tcPr>
          <w:p w14:paraId="0324B631" w14:textId="77777777" w:rsidR="00784FA9" w:rsidRPr="00D604EE" w:rsidRDefault="00784FA9" w:rsidP="00AD4336">
            <w:pPr>
              <w:pStyle w:val="TableText"/>
              <w:spacing w:before="40" w:after="40"/>
              <w:jc w:val="center"/>
            </w:pPr>
            <w:r w:rsidRPr="00D604EE">
              <w:t>0.62</w:t>
            </w:r>
          </w:p>
        </w:tc>
      </w:tr>
      <w:tr w:rsidR="00AD4336" w:rsidRPr="00D604EE" w14:paraId="66F9AC41" w14:textId="77777777" w:rsidTr="00AD4336">
        <w:tc>
          <w:tcPr>
            <w:tcW w:w="1134" w:type="dxa"/>
            <w:vMerge/>
            <w:tcBorders>
              <w:top w:val="nil"/>
              <w:left w:val="nil"/>
              <w:bottom w:val="nil"/>
              <w:right w:val="nil"/>
            </w:tcBorders>
            <w:shd w:val="clear" w:color="auto" w:fill="auto"/>
            <w:vAlign w:val="center"/>
          </w:tcPr>
          <w:p w14:paraId="485D4D04" w14:textId="77777777" w:rsidR="00784FA9" w:rsidRPr="00D604EE" w:rsidRDefault="00784FA9" w:rsidP="00AD4336">
            <w:pPr>
              <w:pStyle w:val="TableTextBold"/>
              <w:spacing w:before="40" w:after="40"/>
              <w:jc w:val="center"/>
              <w:rPr>
                <w:noProof w:val="0"/>
              </w:rPr>
            </w:pPr>
          </w:p>
        </w:tc>
        <w:tc>
          <w:tcPr>
            <w:tcW w:w="1577" w:type="dxa"/>
            <w:vMerge/>
            <w:tcBorders>
              <w:top w:val="nil"/>
              <w:left w:val="nil"/>
              <w:bottom w:val="nil"/>
              <w:right w:val="nil"/>
            </w:tcBorders>
            <w:shd w:val="clear" w:color="auto" w:fill="auto"/>
          </w:tcPr>
          <w:p w14:paraId="3E607C41" w14:textId="77777777" w:rsidR="00784FA9" w:rsidRPr="00D604EE" w:rsidRDefault="00784FA9" w:rsidP="00AD4336">
            <w:pPr>
              <w:pStyle w:val="TableText"/>
              <w:spacing w:before="40" w:after="40"/>
            </w:pPr>
          </w:p>
        </w:tc>
        <w:tc>
          <w:tcPr>
            <w:tcW w:w="3334" w:type="dxa"/>
            <w:tcBorders>
              <w:top w:val="nil"/>
              <w:left w:val="nil"/>
              <w:bottom w:val="nil"/>
              <w:right w:val="nil"/>
            </w:tcBorders>
            <w:shd w:val="clear" w:color="auto" w:fill="auto"/>
          </w:tcPr>
          <w:p w14:paraId="168B8F60" w14:textId="77777777" w:rsidR="00784FA9" w:rsidRPr="00D604EE" w:rsidRDefault="00784FA9" w:rsidP="00AD4336">
            <w:pPr>
              <w:pStyle w:val="TableText"/>
              <w:spacing w:before="40" w:after="40"/>
            </w:pPr>
            <w:r w:rsidRPr="00D604EE">
              <w:t>Felled and burned (land clearing fire)</w:t>
            </w:r>
          </w:p>
        </w:tc>
        <w:tc>
          <w:tcPr>
            <w:tcW w:w="2460" w:type="dxa"/>
            <w:tcBorders>
              <w:top w:val="nil"/>
              <w:left w:val="nil"/>
              <w:bottom w:val="nil"/>
              <w:right w:val="nil"/>
            </w:tcBorders>
            <w:shd w:val="clear" w:color="auto" w:fill="auto"/>
          </w:tcPr>
          <w:p w14:paraId="03080D7A" w14:textId="77777777" w:rsidR="00784FA9" w:rsidRPr="00D604EE" w:rsidRDefault="00784FA9" w:rsidP="00AD4336">
            <w:pPr>
              <w:pStyle w:val="TableText"/>
              <w:spacing w:before="40" w:after="40"/>
              <w:jc w:val="center"/>
            </w:pPr>
            <w:r w:rsidRPr="00D604EE">
              <w:t>0.51</w:t>
            </w:r>
          </w:p>
        </w:tc>
      </w:tr>
      <w:tr w:rsidR="00AD4336" w:rsidRPr="00D604EE" w14:paraId="1440119E" w14:textId="77777777" w:rsidTr="00AD4336">
        <w:tc>
          <w:tcPr>
            <w:tcW w:w="1134" w:type="dxa"/>
            <w:vMerge/>
            <w:tcBorders>
              <w:top w:val="nil"/>
              <w:left w:val="nil"/>
              <w:bottom w:val="single" w:sz="4" w:space="0" w:color="1B556B"/>
              <w:right w:val="nil"/>
            </w:tcBorders>
            <w:shd w:val="clear" w:color="auto" w:fill="auto"/>
            <w:vAlign w:val="center"/>
          </w:tcPr>
          <w:p w14:paraId="13521688" w14:textId="77777777" w:rsidR="00784FA9" w:rsidRPr="00D604EE" w:rsidRDefault="00784FA9" w:rsidP="00AD4336">
            <w:pPr>
              <w:pStyle w:val="TableTextBold"/>
              <w:spacing w:before="40" w:after="40"/>
              <w:jc w:val="center"/>
              <w:rPr>
                <w:noProof w:val="0"/>
              </w:rPr>
            </w:pPr>
          </w:p>
        </w:tc>
        <w:tc>
          <w:tcPr>
            <w:tcW w:w="4911" w:type="dxa"/>
            <w:gridSpan w:val="2"/>
            <w:tcBorders>
              <w:top w:val="nil"/>
              <w:left w:val="nil"/>
              <w:bottom w:val="single" w:sz="4" w:space="0" w:color="1B556B"/>
              <w:right w:val="nil"/>
            </w:tcBorders>
            <w:shd w:val="clear" w:color="auto" w:fill="auto"/>
          </w:tcPr>
          <w:p w14:paraId="4F370C83" w14:textId="77777777" w:rsidR="00784FA9" w:rsidRPr="00D604EE" w:rsidRDefault="00784FA9" w:rsidP="00AD4336">
            <w:pPr>
              <w:pStyle w:val="TableText"/>
              <w:spacing w:before="40" w:after="40"/>
            </w:pPr>
            <w:r w:rsidRPr="00D604EE">
              <w:t>All “other” temperate forests</w:t>
            </w:r>
          </w:p>
        </w:tc>
        <w:tc>
          <w:tcPr>
            <w:tcW w:w="2460" w:type="dxa"/>
            <w:tcBorders>
              <w:top w:val="nil"/>
              <w:left w:val="nil"/>
              <w:bottom w:val="single" w:sz="4" w:space="0" w:color="1B556B"/>
              <w:right w:val="nil"/>
            </w:tcBorders>
            <w:shd w:val="clear" w:color="auto" w:fill="auto"/>
          </w:tcPr>
          <w:p w14:paraId="0DE7E4C5" w14:textId="77777777" w:rsidR="00784FA9" w:rsidRPr="00D604EE" w:rsidRDefault="00784FA9" w:rsidP="00AD4336">
            <w:pPr>
              <w:pStyle w:val="TableText"/>
              <w:spacing w:before="40" w:after="40"/>
              <w:jc w:val="center"/>
            </w:pPr>
            <w:r w:rsidRPr="00D604EE">
              <w:t>0.45</w:t>
            </w:r>
          </w:p>
        </w:tc>
      </w:tr>
      <w:tr w:rsidR="00AD4336" w:rsidRPr="00D604EE" w14:paraId="311772EE" w14:textId="77777777" w:rsidTr="00AD4336">
        <w:tc>
          <w:tcPr>
            <w:tcW w:w="1134" w:type="dxa"/>
            <w:vMerge w:val="restart"/>
            <w:tcBorders>
              <w:top w:val="single" w:sz="4" w:space="0" w:color="1B556B"/>
              <w:left w:val="nil"/>
              <w:bottom w:val="nil"/>
              <w:right w:val="nil"/>
            </w:tcBorders>
            <w:shd w:val="clear" w:color="auto" w:fill="auto"/>
            <w:vAlign w:val="center"/>
          </w:tcPr>
          <w:p w14:paraId="78F088C7" w14:textId="77777777" w:rsidR="00784FA9" w:rsidRPr="00D604EE" w:rsidRDefault="00784FA9" w:rsidP="00AD4336">
            <w:pPr>
              <w:pStyle w:val="TableTextBold"/>
              <w:spacing w:before="40" w:after="40"/>
              <w:jc w:val="center"/>
              <w:rPr>
                <w:noProof w:val="0"/>
              </w:rPr>
            </w:pPr>
            <w:r w:rsidRPr="00D604EE">
              <w:rPr>
                <w:noProof w:val="0"/>
              </w:rPr>
              <w:t>GWB &amp; Shrubland</w:t>
            </w:r>
          </w:p>
        </w:tc>
        <w:tc>
          <w:tcPr>
            <w:tcW w:w="4911" w:type="dxa"/>
            <w:gridSpan w:val="2"/>
            <w:tcBorders>
              <w:top w:val="single" w:sz="4" w:space="0" w:color="1B556B"/>
              <w:left w:val="nil"/>
              <w:bottom w:val="nil"/>
              <w:right w:val="nil"/>
            </w:tcBorders>
            <w:shd w:val="clear" w:color="auto" w:fill="auto"/>
          </w:tcPr>
          <w:p w14:paraId="3EBC24D7" w14:textId="77777777" w:rsidR="00784FA9" w:rsidRPr="00D604EE" w:rsidRDefault="00784FA9" w:rsidP="00AD4336">
            <w:pPr>
              <w:pStyle w:val="TableText"/>
              <w:spacing w:before="40" w:after="40"/>
            </w:pPr>
            <w:r w:rsidRPr="00D604EE">
              <w:t>Shrubland (general)</w:t>
            </w:r>
          </w:p>
        </w:tc>
        <w:tc>
          <w:tcPr>
            <w:tcW w:w="2460" w:type="dxa"/>
            <w:tcBorders>
              <w:top w:val="single" w:sz="4" w:space="0" w:color="1B556B"/>
              <w:left w:val="nil"/>
              <w:bottom w:val="nil"/>
              <w:right w:val="nil"/>
            </w:tcBorders>
            <w:shd w:val="clear" w:color="auto" w:fill="auto"/>
          </w:tcPr>
          <w:p w14:paraId="52DE3155" w14:textId="77777777" w:rsidR="00784FA9" w:rsidRPr="00D604EE" w:rsidRDefault="00784FA9" w:rsidP="00AD4336">
            <w:pPr>
              <w:pStyle w:val="TableText"/>
              <w:spacing w:before="40" w:after="40"/>
              <w:jc w:val="center"/>
            </w:pPr>
            <w:r w:rsidRPr="00D604EE">
              <w:t>0.95</w:t>
            </w:r>
          </w:p>
        </w:tc>
      </w:tr>
      <w:tr w:rsidR="00AD4336" w:rsidRPr="00D604EE" w14:paraId="721687D2" w14:textId="77777777" w:rsidTr="00AD4336">
        <w:tc>
          <w:tcPr>
            <w:tcW w:w="1134" w:type="dxa"/>
            <w:vMerge/>
            <w:tcBorders>
              <w:top w:val="nil"/>
              <w:left w:val="nil"/>
              <w:bottom w:val="nil"/>
              <w:right w:val="nil"/>
            </w:tcBorders>
            <w:shd w:val="clear" w:color="auto" w:fill="auto"/>
            <w:vAlign w:val="center"/>
          </w:tcPr>
          <w:p w14:paraId="6BA0E143" w14:textId="77777777" w:rsidR="00784FA9" w:rsidRPr="00D604EE" w:rsidRDefault="00784FA9" w:rsidP="00AD4336">
            <w:pPr>
              <w:pStyle w:val="TableTextBold"/>
              <w:spacing w:before="40" w:after="40"/>
              <w:jc w:val="center"/>
              <w:rPr>
                <w:noProof w:val="0"/>
              </w:rPr>
            </w:pPr>
          </w:p>
        </w:tc>
        <w:tc>
          <w:tcPr>
            <w:tcW w:w="4911" w:type="dxa"/>
            <w:gridSpan w:val="2"/>
            <w:tcBorders>
              <w:top w:val="nil"/>
              <w:left w:val="nil"/>
              <w:bottom w:val="nil"/>
              <w:right w:val="nil"/>
            </w:tcBorders>
            <w:shd w:val="clear" w:color="auto" w:fill="auto"/>
          </w:tcPr>
          <w:p w14:paraId="15EEA826" w14:textId="77777777" w:rsidR="00784FA9" w:rsidRPr="00D604EE" w:rsidRDefault="00784FA9" w:rsidP="00AD4336">
            <w:pPr>
              <w:pStyle w:val="TableText"/>
              <w:spacing w:before="40" w:after="40"/>
            </w:pPr>
            <w:r w:rsidRPr="00D604EE">
              <w:t>All Shrubland</w:t>
            </w:r>
          </w:p>
        </w:tc>
        <w:tc>
          <w:tcPr>
            <w:tcW w:w="2460" w:type="dxa"/>
            <w:tcBorders>
              <w:top w:val="nil"/>
              <w:left w:val="nil"/>
              <w:bottom w:val="nil"/>
              <w:right w:val="nil"/>
            </w:tcBorders>
            <w:shd w:val="clear" w:color="auto" w:fill="auto"/>
          </w:tcPr>
          <w:p w14:paraId="7FB5875A" w14:textId="77777777" w:rsidR="00784FA9" w:rsidRPr="00D604EE" w:rsidRDefault="00784FA9" w:rsidP="00AD4336">
            <w:pPr>
              <w:pStyle w:val="TableText"/>
              <w:spacing w:before="40" w:after="40"/>
              <w:jc w:val="center"/>
            </w:pPr>
            <w:r w:rsidRPr="00D604EE">
              <w:t>0.72</w:t>
            </w:r>
          </w:p>
        </w:tc>
      </w:tr>
      <w:tr w:rsidR="00AD4336" w:rsidRPr="00D604EE" w14:paraId="4364FE66" w14:textId="77777777" w:rsidTr="00AD4336">
        <w:tc>
          <w:tcPr>
            <w:tcW w:w="1134" w:type="dxa"/>
            <w:vMerge/>
            <w:tcBorders>
              <w:top w:val="nil"/>
              <w:left w:val="nil"/>
              <w:bottom w:val="single" w:sz="4" w:space="0" w:color="1B556B"/>
              <w:right w:val="nil"/>
            </w:tcBorders>
            <w:shd w:val="clear" w:color="auto" w:fill="auto"/>
            <w:vAlign w:val="center"/>
          </w:tcPr>
          <w:p w14:paraId="65657481" w14:textId="77777777" w:rsidR="00784FA9" w:rsidRPr="00D604EE" w:rsidRDefault="00784FA9" w:rsidP="00AD4336">
            <w:pPr>
              <w:pStyle w:val="TableTextBold"/>
              <w:spacing w:before="40" w:after="40"/>
              <w:jc w:val="center"/>
              <w:rPr>
                <w:noProof w:val="0"/>
              </w:rPr>
            </w:pPr>
          </w:p>
        </w:tc>
        <w:tc>
          <w:tcPr>
            <w:tcW w:w="4911" w:type="dxa"/>
            <w:gridSpan w:val="2"/>
            <w:tcBorders>
              <w:top w:val="nil"/>
              <w:left w:val="nil"/>
              <w:bottom w:val="single" w:sz="4" w:space="0" w:color="1B556B"/>
              <w:right w:val="nil"/>
            </w:tcBorders>
            <w:shd w:val="clear" w:color="auto" w:fill="auto"/>
          </w:tcPr>
          <w:p w14:paraId="00336464" w14:textId="77777777" w:rsidR="00784FA9" w:rsidRPr="00D604EE" w:rsidRDefault="00784FA9" w:rsidP="00AD4336">
            <w:pPr>
              <w:pStyle w:val="TableText"/>
              <w:spacing w:before="40" w:after="40"/>
            </w:pPr>
            <w:r w:rsidRPr="00D604EE">
              <w:t>GWB NZ specific</w:t>
            </w:r>
          </w:p>
        </w:tc>
        <w:tc>
          <w:tcPr>
            <w:tcW w:w="2460" w:type="dxa"/>
            <w:tcBorders>
              <w:top w:val="nil"/>
              <w:left w:val="nil"/>
              <w:bottom w:val="single" w:sz="4" w:space="0" w:color="1B556B"/>
              <w:right w:val="nil"/>
            </w:tcBorders>
            <w:shd w:val="clear" w:color="auto" w:fill="auto"/>
          </w:tcPr>
          <w:p w14:paraId="4E9EF68A" w14:textId="77777777" w:rsidR="00784FA9" w:rsidRPr="00D604EE" w:rsidRDefault="00784FA9" w:rsidP="00AD4336">
            <w:pPr>
              <w:pStyle w:val="TableText"/>
              <w:spacing w:before="40" w:after="40"/>
              <w:jc w:val="center"/>
            </w:pPr>
            <w:r w:rsidRPr="00D604EE">
              <w:t>0.7*</w:t>
            </w:r>
          </w:p>
        </w:tc>
      </w:tr>
      <w:tr w:rsidR="00AD4336" w:rsidRPr="00D604EE" w14:paraId="3BE9A735" w14:textId="77777777" w:rsidTr="00AD4336">
        <w:tc>
          <w:tcPr>
            <w:tcW w:w="1134" w:type="dxa"/>
            <w:vMerge w:val="restart"/>
            <w:tcBorders>
              <w:top w:val="single" w:sz="4" w:space="0" w:color="1B556B"/>
              <w:left w:val="nil"/>
              <w:bottom w:val="nil"/>
              <w:right w:val="nil"/>
            </w:tcBorders>
            <w:shd w:val="clear" w:color="auto" w:fill="auto"/>
            <w:vAlign w:val="center"/>
          </w:tcPr>
          <w:p w14:paraId="1480775C" w14:textId="77777777" w:rsidR="00784FA9" w:rsidRPr="00D604EE" w:rsidRDefault="00784FA9" w:rsidP="00AD4336">
            <w:pPr>
              <w:pStyle w:val="TableTextBold"/>
              <w:spacing w:before="40" w:after="40"/>
              <w:jc w:val="center"/>
              <w:rPr>
                <w:noProof w:val="0"/>
              </w:rPr>
            </w:pPr>
            <w:r w:rsidRPr="00D604EE">
              <w:rPr>
                <w:noProof w:val="0"/>
              </w:rPr>
              <w:t>Grassland</w:t>
            </w:r>
          </w:p>
        </w:tc>
        <w:tc>
          <w:tcPr>
            <w:tcW w:w="4911" w:type="dxa"/>
            <w:gridSpan w:val="2"/>
            <w:tcBorders>
              <w:top w:val="single" w:sz="4" w:space="0" w:color="1B556B"/>
              <w:left w:val="nil"/>
              <w:bottom w:val="nil"/>
              <w:right w:val="nil"/>
            </w:tcBorders>
            <w:shd w:val="clear" w:color="auto" w:fill="auto"/>
          </w:tcPr>
          <w:p w14:paraId="1F6FB1E8" w14:textId="77777777" w:rsidR="00784FA9" w:rsidRPr="00D604EE" w:rsidRDefault="00784FA9" w:rsidP="00AD4336">
            <w:pPr>
              <w:pStyle w:val="TableText"/>
              <w:spacing w:before="40" w:after="40"/>
            </w:pPr>
            <w:r w:rsidRPr="00D604EE">
              <w:t>All savannah/grasslands (early dry season burns)</w:t>
            </w:r>
          </w:p>
        </w:tc>
        <w:tc>
          <w:tcPr>
            <w:tcW w:w="2460" w:type="dxa"/>
            <w:tcBorders>
              <w:top w:val="single" w:sz="4" w:space="0" w:color="1B556B"/>
              <w:left w:val="nil"/>
              <w:bottom w:val="nil"/>
              <w:right w:val="nil"/>
            </w:tcBorders>
            <w:shd w:val="clear" w:color="auto" w:fill="auto"/>
          </w:tcPr>
          <w:p w14:paraId="1B08CE93" w14:textId="77777777" w:rsidR="00784FA9" w:rsidRPr="00D604EE" w:rsidRDefault="00784FA9" w:rsidP="00AD4336">
            <w:pPr>
              <w:pStyle w:val="TableText"/>
              <w:spacing w:before="40" w:after="40"/>
              <w:jc w:val="center"/>
            </w:pPr>
            <w:r w:rsidRPr="00D604EE">
              <w:t>0.74</w:t>
            </w:r>
          </w:p>
        </w:tc>
      </w:tr>
      <w:tr w:rsidR="00AD4336" w:rsidRPr="00D604EE" w14:paraId="5F28D159" w14:textId="77777777" w:rsidTr="00AD4336">
        <w:tc>
          <w:tcPr>
            <w:tcW w:w="1134" w:type="dxa"/>
            <w:vMerge/>
            <w:tcBorders>
              <w:top w:val="nil"/>
              <w:left w:val="nil"/>
              <w:bottom w:val="nil"/>
              <w:right w:val="nil"/>
            </w:tcBorders>
            <w:shd w:val="clear" w:color="auto" w:fill="auto"/>
          </w:tcPr>
          <w:p w14:paraId="0DC072E0" w14:textId="77777777" w:rsidR="00784FA9" w:rsidRPr="00AD4336" w:rsidRDefault="00784FA9" w:rsidP="00AD4336">
            <w:pPr>
              <w:spacing w:before="40" w:after="40"/>
              <w:jc w:val="center"/>
              <w:rPr>
                <w:rFonts w:cs="Calibri"/>
                <w:sz w:val="16"/>
                <w:szCs w:val="16"/>
              </w:rPr>
            </w:pPr>
          </w:p>
        </w:tc>
        <w:tc>
          <w:tcPr>
            <w:tcW w:w="4911" w:type="dxa"/>
            <w:gridSpan w:val="2"/>
            <w:tcBorders>
              <w:top w:val="nil"/>
              <w:left w:val="nil"/>
              <w:bottom w:val="nil"/>
              <w:right w:val="nil"/>
            </w:tcBorders>
            <w:shd w:val="clear" w:color="auto" w:fill="auto"/>
          </w:tcPr>
          <w:p w14:paraId="2B03ADF4" w14:textId="77777777" w:rsidR="00784FA9" w:rsidRPr="00D604EE" w:rsidRDefault="00784FA9" w:rsidP="00AD4336">
            <w:pPr>
              <w:pStyle w:val="TableText"/>
              <w:spacing w:before="40" w:after="40"/>
            </w:pPr>
            <w:r w:rsidRPr="00D604EE">
              <w:t>All savannah/grasslands (mid/late dry season burns)</w:t>
            </w:r>
          </w:p>
        </w:tc>
        <w:tc>
          <w:tcPr>
            <w:tcW w:w="2460" w:type="dxa"/>
            <w:tcBorders>
              <w:top w:val="nil"/>
              <w:left w:val="nil"/>
              <w:bottom w:val="nil"/>
              <w:right w:val="nil"/>
            </w:tcBorders>
            <w:shd w:val="clear" w:color="auto" w:fill="auto"/>
          </w:tcPr>
          <w:p w14:paraId="4735346B" w14:textId="77777777" w:rsidR="00784FA9" w:rsidRPr="00D604EE" w:rsidRDefault="00784FA9" w:rsidP="00AD4336">
            <w:pPr>
              <w:pStyle w:val="TableText"/>
              <w:spacing w:before="40" w:after="40"/>
              <w:jc w:val="center"/>
            </w:pPr>
            <w:r w:rsidRPr="00D604EE">
              <w:t>0.77</w:t>
            </w:r>
          </w:p>
        </w:tc>
      </w:tr>
      <w:tr w:rsidR="00AD4336" w:rsidRPr="00D604EE" w14:paraId="278939AF" w14:textId="77777777" w:rsidTr="00AD4336">
        <w:tc>
          <w:tcPr>
            <w:tcW w:w="1134" w:type="dxa"/>
            <w:vMerge/>
            <w:tcBorders>
              <w:top w:val="nil"/>
              <w:left w:val="nil"/>
              <w:bottom w:val="nil"/>
              <w:right w:val="nil"/>
            </w:tcBorders>
            <w:shd w:val="clear" w:color="auto" w:fill="auto"/>
          </w:tcPr>
          <w:p w14:paraId="3BF4336D" w14:textId="77777777" w:rsidR="00784FA9" w:rsidRPr="00AD4336" w:rsidRDefault="00784FA9" w:rsidP="00AD4336">
            <w:pPr>
              <w:spacing w:before="40" w:after="40"/>
              <w:jc w:val="center"/>
              <w:rPr>
                <w:rFonts w:cs="Calibri"/>
                <w:sz w:val="16"/>
                <w:szCs w:val="16"/>
              </w:rPr>
            </w:pPr>
          </w:p>
        </w:tc>
        <w:tc>
          <w:tcPr>
            <w:tcW w:w="4911" w:type="dxa"/>
            <w:gridSpan w:val="2"/>
            <w:tcBorders>
              <w:top w:val="nil"/>
              <w:left w:val="nil"/>
              <w:bottom w:val="nil"/>
              <w:right w:val="nil"/>
            </w:tcBorders>
            <w:shd w:val="clear" w:color="auto" w:fill="auto"/>
          </w:tcPr>
          <w:p w14:paraId="2265AC40" w14:textId="77777777" w:rsidR="00784FA9" w:rsidRPr="00D604EE" w:rsidRDefault="00784FA9" w:rsidP="00AD4336">
            <w:pPr>
              <w:pStyle w:val="TableText"/>
              <w:spacing w:before="40" w:after="40"/>
            </w:pPr>
            <w:r w:rsidRPr="00D604EE">
              <w:t>Average of IPCC savannah/grasslands</w:t>
            </w:r>
          </w:p>
        </w:tc>
        <w:tc>
          <w:tcPr>
            <w:tcW w:w="2460" w:type="dxa"/>
            <w:tcBorders>
              <w:top w:val="nil"/>
              <w:left w:val="nil"/>
              <w:bottom w:val="nil"/>
              <w:right w:val="nil"/>
            </w:tcBorders>
            <w:shd w:val="clear" w:color="auto" w:fill="auto"/>
          </w:tcPr>
          <w:p w14:paraId="318DC9F3" w14:textId="77777777" w:rsidR="00784FA9" w:rsidRPr="00D604EE" w:rsidRDefault="00784FA9" w:rsidP="00AD4336">
            <w:pPr>
              <w:pStyle w:val="TableText"/>
              <w:spacing w:before="40" w:after="40"/>
              <w:jc w:val="center"/>
            </w:pPr>
            <w:r w:rsidRPr="00D604EE">
              <w:t>0.755</w:t>
            </w:r>
          </w:p>
        </w:tc>
      </w:tr>
      <w:tr w:rsidR="00AD4336" w:rsidRPr="00D604EE" w14:paraId="5126C42D" w14:textId="77777777" w:rsidTr="00AD4336">
        <w:tc>
          <w:tcPr>
            <w:tcW w:w="1134" w:type="dxa"/>
            <w:vMerge/>
            <w:tcBorders>
              <w:top w:val="nil"/>
              <w:left w:val="nil"/>
              <w:bottom w:val="single" w:sz="4" w:space="0" w:color="auto"/>
              <w:right w:val="nil"/>
            </w:tcBorders>
            <w:shd w:val="clear" w:color="auto" w:fill="auto"/>
          </w:tcPr>
          <w:p w14:paraId="5676B036" w14:textId="77777777" w:rsidR="00784FA9" w:rsidRPr="00AD4336" w:rsidRDefault="00784FA9" w:rsidP="00AD4336">
            <w:pPr>
              <w:spacing w:before="40" w:after="40"/>
              <w:jc w:val="center"/>
              <w:rPr>
                <w:rFonts w:cs="Calibri"/>
                <w:sz w:val="16"/>
                <w:szCs w:val="16"/>
              </w:rPr>
            </w:pPr>
          </w:p>
        </w:tc>
        <w:tc>
          <w:tcPr>
            <w:tcW w:w="4911" w:type="dxa"/>
            <w:gridSpan w:val="2"/>
            <w:tcBorders>
              <w:top w:val="nil"/>
              <w:left w:val="nil"/>
              <w:bottom w:val="single" w:sz="4" w:space="0" w:color="auto"/>
              <w:right w:val="nil"/>
            </w:tcBorders>
            <w:shd w:val="clear" w:color="auto" w:fill="auto"/>
          </w:tcPr>
          <w:p w14:paraId="2252E5F4" w14:textId="77777777" w:rsidR="00784FA9" w:rsidRPr="00D604EE" w:rsidRDefault="00784FA9" w:rsidP="00AD4336">
            <w:pPr>
              <w:pStyle w:val="TableText"/>
              <w:spacing w:before="40" w:after="40"/>
            </w:pPr>
            <w:r w:rsidRPr="00D604EE">
              <w:t>Controlled grassland burn NZ specific</w:t>
            </w:r>
          </w:p>
        </w:tc>
        <w:tc>
          <w:tcPr>
            <w:tcW w:w="2460" w:type="dxa"/>
            <w:tcBorders>
              <w:top w:val="nil"/>
              <w:left w:val="nil"/>
              <w:bottom w:val="single" w:sz="4" w:space="0" w:color="auto"/>
              <w:right w:val="nil"/>
            </w:tcBorders>
            <w:shd w:val="clear" w:color="auto" w:fill="auto"/>
          </w:tcPr>
          <w:p w14:paraId="614C8F6A" w14:textId="77777777" w:rsidR="00784FA9" w:rsidRPr="00D604EE" w:rsidRDefault="00784FA9" w:rsidP="00AD4336">
            <w:pPr>
              <w:pStyle w:val="TableText"/>
              <w:spacing w:before="40" w:after="40"/>
              <w:jc w:val="center"/>
            </w:pPr>
            <w:r w:rsidRPr="00D604EE">
              <w:t>0.555**</w:t>
            </w:r>
          </w:p>
        </w:tc>
      </w:tr>
    </w:tbl>
    <w:p w14:paraId="5740D70D" w14:textId="77777777" w:rsidR="00784FA9" w:rsidRPr="00D604EE" w:rsidRDefault="00784FA9" w:rsidP="00784FA9">
      <w:pPr>
        <w:pStyle w:val="Noteundertable"/>
      </w:pPr>
      <w:r w:rsidRPr="00D604EE">
        <w:rPr>
          <w:b/>
        </w:rPr>
        <w:t>Note:</w:t>
      </w:r>
      <w:r w:rsidRPr="00D604EE">
        <w:tab/>
        <w:t>*Wakelin (unpublished(a),</w:t>
      </w:r>
      <w:r w:rsidRPr="00D604EE" w:rsidDel="00E73E03">
        <w:t xml:space="preserve"> </w:t>
      </w:r>
      <w:r w:rsidRPr="00D604EE">
        <w:t>(e)) **Payton and Pearce (2009).</w:t>
      </w:r>
    </w:p>
    <w:p w14:paraId="6D86EC5B" w14:textId="77777777" w:rsidR="00784FA9" w:rsidRPr="00D604EE" w:rsidRDefault="00784FA9" w:rsidP="00784FA9">
      <w:pPr>
        <w:pStyle w:val="BodyText"/>
        <w:spacing w:after="100"/>
      </w:pPr>
      <w:r w:rsidRPr="00D604EE">
        <w:t>For all land uses, CO</w:t>
      </w:r>
      <w:r w:rsidRPr="00D604EE">
        <w:rPr>
          <w:vertAlign w:val="subscript"/>
        </w:rPr>
        <w:t>2</w:t>
      </w:r>
      <w:r w:rsidRPr="00D604EE">
        <w:t xml:space="preserve"> emissions are captured in the general stock change calculation following the 2006 IPCC Guidelines (IPCC, 2006a). Carbon dioxide</w:t>
      </w:r>
      <w:r w:rsidRPr="00D604EE" w:rsidDel="00097907">
        <w:t xml:space="preserve"> </w:t>
      </w:r>
      <w:r w:rsidRPr="00D604EE">
        <w:t xml:space="preserve">emissions resulting from </w:t>
      </w:r>
      <w:r w:rsidRPr="00D604EE">
        <w:rPr>
          <w:i/>
        </w:rPr>
        <w:t>Biomass burning</w:t>
      </w:r>
      <w:r w:rsidRPr="00D604EE">
        <w:t xml:space="preserve"> are reported as IE, where emissions are captured in the stock change calculation within the land use category.</w:t>
      </w:r>
    </w:p>
    <w:p w14:paraId="6C2648B5" w14:textId="77777777" w:rsidR="00784FA9" w:rsidRPr="00D604EE" w:rsidRDefault="00784FA9" w:rsidP="00784FA9">
      <w:pPr>
        <w:pStyle w:val="BodyText"/>
        <w:spacing w:before="100" w:after="100"/>
        <w:rPr>
          <w:spacing w:val="-2"/>
        </w:rPr>
      </w:pPr>
      <w:r w:rsidRPr="00D604EE">
        <w:t xml:space="preserve">In </w:t>
      </w:r>
      <w:r w:rsidRPr="00D604EE">
        <w:rPr>
          <w:i/>
          <w:iCs/>
        </w:rPr>
        <w:t>Grassland</w:t>
      </w:r>
      <w:r w:rsidRPr="00D604EE">
        <w:t>, CO</w:t>
      </w:r>
      <w:r w:rsidRPr="00D604EE">
        <w:rPr>
          <w:vertAlign w:val="subscript"/>
        </w:rPr>
        <w:t xml:space="preserve">2 </w:t>
      </w:r>
      <w:r w:rsidRPr="00D604EE">
        <w:t>emissions from biomass burning are assumed to be equal to subsequent regrowth. The assumption of equivalence is accepted as reasonable in this scenario as per the 2006 IPCC Guidelines, sections 2.4 and 6.2.4 (IPCC, 2006a).</w:t>
      </w:r>
    </w:p>
    <w:p w14:paraId="13C02617" w14:textId="77777777" w:rsidR="00784FA9" w:rsidRPr="00D604EE" w:rsidRDefault="00784FA9" w:rsidP="00784FA9">
      <w:pPr>
        <w:pStyle w:val="BodyText"/>
        <w:spacing w:before="100" w:after="100"/>
      </w:pPr>
      <w:r w:rsidRPr="00D604EE">
        <w:rPr>
          <w:spacing w:val="-2"/>
        </w:rPr>
        <w:t xml:space="preserve">In </w:t>
      </w:r>
      <w:r w:rsidRPr="00D604EE">
        <w:rPr>
          <w:i/>
          <w:iCs/>
          <w:spacing w:val="-2"/>
        </w:rPr>
        <w:t>Cropland</w:t>
      </w:r>
      <w:r w:rsidRPr="00D604EE">
        <w:rPr>
          <w:spacing w:val="-2"/>
        </w:rPr>
        <w:t xml:space="preserve">, </w:t>
      </w:r>
      <w:r w:rsidRPr="00D604EE">
        <w:t>CH</w:t>
      </w:r>
      <w:r w:rsidRPr="00D604EE">
        <w:rPr>
          <w:vertAlign w:val="subscript"/>
        </w:rPr>
        <w:t>4</w:t>
      </w:r>
      <w:r w:rsidRPr="00D604EE">
        <w:t xml:space="preserve"> and N</w:t>
      </w:r>
      <w:r w:rsidRPr="00D604EE">
        <w:rPr>
          <w:vertAlign w:val="subscript"/>
        </w:rPr>
        <w:t>2</w:t>
      </w:r>
      <w:r w:rsidRPr="00D604EE">
        <w:t xml:space="preserve">O emissions from controlled burning are reported as IE. This is because emissions from the burning of crop stubble associated with controlled burning in </w:t>
      </w:r>
      <w:r w:rsidRPr="00D604EE">
        <w:rPr>
          <w:i/>
          <w:iCs/>
        </w:rPr>
        <w:t>Cropland</w:t>
      </w:r>
      <w:r w:rsidRPr="00D604EE">
        <w:t xml:space="preserve"> are reported under the Agriculture sector and reported within CRF table 3.F.</w:t>
      </w:r>
    </w:p>
    <w:p w14:paraId="4D820E35" w14:textId="77777777" w:rsidR="00784FA9" w:rsidRPr="00D604EE" w:rsidRDefault="00784FA9" w:rsidP="00784FA9">
      <w:pPr>
        <w:pStyle w:val="BodyText"/>
        <w:spacing w:before="100" w:after="100"/>
      </w:pPr>
      <w:r w:rsidRPr="00D604EE">
        <w:t>Both CO and NO</w:t>
      </w:r>
      <w:r w:rsidRPr="00D604EE">
        <w:rPr>
          <w:vertAlign w:val="subscript"/>
        </w:rPr>
        <w:t>x</w:t>
      </w:r>
      <w:r w:rsidRPr="00D604EE">
        <w:t xml:space="preserve"> are also released from biomass burning and are reported in relevant aggregate land use categories. Carbon monoxide and NO</w:t>
      </w:r>
      <w:r w:rsidRPr="00D604EE">
        <w:rPr>
          <w:vertAlign w:val="subscript"/>
        </w:rPr>
        <w:t>x</w:t>
      </w:r>
      <w:r w:rsidRPr="00D604EE">
        <w:t xml:space="preserve"> emissions from biomass burning are captured as part of the biomass burning model and reported in the CRF.</w:t>
      </w:r>
    </w:p>
    <w:p w14:paraId="1167D688" w14:textId="77777777" w:rsidR="00784FA9" w:rsidRPr="00D604EE" w:rsidRDefault="00784FA9" w:rsidP="00784FA9">
      <w:pPr>
        <w:pStyle w:val="BodyText"/>
        <w:spacing w:before="100" w:after="100"/>
      </w:pPr>
      <w:r w:rsidRPr="00D604EE">
        <w:t>Controlled burning emissions are reported within:</w:t>
      </w:r>
    </w:p>
    <w:p w14:paraId="579DD9A0" w14:textId="77777777" w:rsidR="00784FA9" w:rsidRPr="00D604EE" w:rsidRDefault="00784FA9" w:rsidP="00AB2A5C">
      <w:pPr>
        <w:pStyle w:val="Bullet"/>
        <w:numPr>
          <w:ilvl w:val="0"/>
          <w:numId w:val="19"/>
        </w:numPr>
        <w:ind w:left="397" w:hanging="397"/>
      </w:pPr>
      <w:r w:rsidRPr="00D604EE">
        <w:rPr>
          <w:i/>
        </w:rPr>
        <w:t>Grassland</w:t>
      </w:r>
      <w:r w:rsidRPr="00D604EE">
        <w:t xml:space="preserve"> converted to</w:t>
      </w:r>
      <w:r w:rsidRPr="00D604EE">
        <w:rPr>
          <w:i/>
        </w:rPr>
        <w:t xml:space="preserve"> Forest land </w:t>
      </w:r>
      <w:r w:rsidRPr="00D604EE">
        <w:t>(due to site preparation for conversion)</w:t>
      </w:r>
    </w:p>
    <w:p w14:paraId="5DB2AE22" w14:textId="77777777" w:rsidR="00784FA9" w:rsidRPr="00D604EE" w:rsidRDefault="00784FA9" w:rsidP="00AB2A5C">
      <w:pPr>
        <w:pStyle w:val="Bullet"/>
        <w:numPr>
          <w:ilvl w:val="0"/>
          <w:numId w:val="19"/>
        </w:numPr>
        <w:ind w:left="397" w:hanging="397"/>
      </w:pPr>
      <w:r w:rsidRPr="00D604EE">
        <w:rPr>
          <w:i/>
        </w:rPr>
        <w:t>Forest land remaining forest land</w:t>
      </w:r>
      <w:r w:rsidRPr="00D604EE">
        <w:t xml:space="preserve"> (from the clearing of vegetation (natural forest) before the establishment of exotic planted forest and the burning of post-harvest slash before restocking)</w:t>
      </w:r>
    </w:p>
    <w:p w14:paraId="2ACF347B" w14:textId="77777777" w:rsidR="00784FA9" w:rsidRPr="00D604EE" w:rsidRDefault="00784FA9" w:rsidP="00AB2A5C">
      <w:pPr>
        <w:pStyle w:val="Bullet"/>
        <w:numPr>
          <w:ilvl w:val="0"/>
          <w:numId w:val="19"/>
        </w:numPr>
        <w:ind w:left="397" w:hanging="397"/>
      </w:pPr>
      <w:r w:rsidRPr="00D604EE">
        <w:rPr>
          <w:i/>
        </w:rPr>
        <w:t xml:space="preserve">Forest land </w:t>
      </w:r>
      <w:r w:rsidRPr="00D604EE">
        <w:t xml:space="preserve">converted to </w:t>
      </w:r>
      <w:r w:rsidRPr="00D604EE">
        <w:rPr>
          <w:i/>
        </w:rPr>
        <w:t>Grassland</w:t>
      </w:r>
      <w:r w:rsidRPr="00D604EE">
        <w:t xml:space="preserve"> (from controlled burning associated with deforestation) </w:t>
      </w:r>
    </w:p>
    <w:p w14:paraId="6A1D1C43" w14:textId="77777777" w:rsidR="00784FA9" w:rsidRPr="00D604EE" w:rsidRDefault="00784FA9" w:rsidP="00AB2A5C">
      <w:pPr>
        <w:pStyle w:val="Bullet"/>
        <w:numPr>
          <w:ilvl w:val="0"/>
          <w:numId w:val="19"/>
        </w:numPr>
        <w:ind w:left="397" w:hanging="397"/>
      </w:pPr>
      <w:r w:rsidRPr="00D604EE">
        <w:rPr>
          <w:i/>
        </w:rPr>
        <w:t>Grassland remaining grassland</w:t>
      </w:r>
      <w:r w:rsidRPr="00D604EE">
        <w:t xml:space="preserve"> (due to savanna (tussock) and pastureland management practices).</w:t>
      </w:r>
    </w:p>
    <w:p w14:paraId="79D21E69" w14:textId="77777777" w:rsidR="00784FA9" w:rsidRPr="00D604EE" w:rsidRDefault="00784FA9" w:rsidP="00784FA9">
      <w:pPr>
        <w:pStyle w:val="BodyText"/>
        <w:spacing w:after="100"/>
      </w:pPr>
      <w:r w:rsidRPr="00D604EE">
        <w:t>Emissions of CO</w:t>
      </w:r>
      <w:r w:rsidRPr="00D604EE">
        <w:rPr>
          <w:vertAlign w:val="subscript"/>
        </w:rPr>
        <w:t>2</w:t>
      </w:r>
      <w:r w:rsidRPr="00D604EE">
        <w:t xml:space="preserve"> from wildfires in </w:t>
      </w:r>
      <w:r w:rsidRPr="00D604EE">
        <w:rPr>
          <w:i/>
        </w:rPr>
        <w:t>Forest land remaining forest land</w:t>
      </w:r>
      <w:r w:rsidRPr="00D604EE">
        <w:t xml:space="preserve"> are included in the general stock change calculation. In </w:t>
      </w:r>
      <w:r w:rsidRPr="00D604EE">
        <w:rPr>
          <w:i/>
        </w:rPr>
        <w:t>Forest land remaining forest land</w:t>
      </w:r>
      <w:r w:rsidRPr="00D604EE">
        <w:t>, burned stands are either harvested (so emissions are included with the harvesting emissions) or left to grow on at reduced stocking. Carbon dioxide emissions are reported when the stand is harvested or deforested (with no reduction in stock when compared with an unburned stand). For both natural and planted forests, emissions from areas burned are captured within the forest plot networks that New Zealand uses to estimate carbon stock change. In these cases, to avoid double counting of CO</w:t>
      </w:r>
      <w:r w:rsidRPr="00D604EE">
        <w:rPr>
          <w:vertAlign w:val="subscript"/>
        </w:rPr>
        <w:t>2</w:t>
      </w:r>
      <w:r w:rsidRPr="00D604EE">
        <w:t xml:space="preserve"> emissions, the notation key IE is used.</w:t>
      </w:r>
    </w:p>
    <w:p w14:paraId="0CE5ADD0" w14:textId="77777777" w:rsidR="00784FA9" w:rsidRPr="00D604EE" w:rsidRDefault="00784FA9" w:rsidP="00784FA9">
      <w:pPr>
        <w:pStyle w:val="BodyText"/>
        <w:spacing w:after="100"/>
      </w:pPr>
      <w:r w:rsidRPr="00D604EE">
        <w:lastRenderedPageBreak/>
        <w:t>Wildfire activity data are sourced from Fire and Emergency New Zealand (FENZ). Historically, burned areas were estimated and allocated by field staff to vegetation types: grass, tussock, gorse, scrub, wetland, plantation forest and indigenous forest. The process (since 2017) now involves mapping the burn area and overlaying LCDB categories, and all fires are entered into the FENZ database.</w:t>
      </w:r>
    </w:p>
    <w:p w14:paraId="6249CE37" w14:textId="77777777" w:rsidR="00784FA9" w:rsidRPr="00D604EE" w:rsidRDefault="00784FA9" w:rsidP="00784FA9">
      <w:pPr>
        <w:pStyle w:val="BodyText"/>
        <w:spacing w:after="100"/>
        <w:rPr>
          <w:rFonts w:cs="Courier New"/>
        </w:rPr>
      </w:pPr>
      <w:r w:rsidRPr="00D604EE">
        <w:t xml:space="preserve">Activity data for controlled burning for </w:t>
      </w:r>
      <w:r w:rsidRPr="00D604EE">
        <w:rPr>
          <w:i/>
        </w:rPr>
        <w:t>Forest land</w:t>
      </w:r>
      <w:r w:rsidRPr="00D604EE">
        <w:t xml:space="preserve"> are estimated based on a 2011 survey of forest owners (Wakelin, unpublished(d)). Activity data (area of land-use change) for </w:t>
      </w:r>
      <w:r w:rsidRPr="00D604EE">
        <w:rPr>
          <w:i/>
          <w:iCs/>
        </w:rPr>
        <w:t>Grassland with woody biomass</w:t>
      </w:r>
      <w:r w:rsidRPr="00D604EE">
        <w:t xml:space="preserve"> converted to forest are based on annual land-use changes, as estimated in section 6.2, and an estimate of area burned from a survey of forest owners. Earlier estimates of controlled burning in planted forest (Forest Industry Training and Education Council, 2005; Robertson, 1998) were used in addition to the 2011 survey to provide activity data throughout the time series. Further details of the survey findings and extrapolation can be found in annex A3.2.7.</w:t>
      </w:r>
    </w:p>
    <w:p w14:paraId="44790306" w14:textId="77777777" w:rsidR="00784FA9" w:rsidRPr="00D604EE" w:rsidRDefault="00784FA9" w:rsidP="00784FA9">
      <w:pPr>
        <w:pStyle w:val="BodyText"/>
        <w:spacing w:after="100"/>
      </w:pPr>
      <w:r w:rsidRPr="00D604EE">
        <w:t>Activity data are combined with emission factors derived from the national forest plot network (see table 6.3.8) to estimate non-CO</w:t>
      </w:r>
      <w:r w:rsidRPr="00D604EE">
        <w:rPr>
          <w:vertAlign w:val="subscript"/>
        </w:rPr>
        <w:t>2</w:t>
      </w:r>
      <w:r w:rsidRPr="00D604EE">
        <w:t xml:space="preserve"> emissions from burning associated with the clearing of vegetation before the establishment of exotic planted forest. Below-ground biomass is assumed not to burn. Further detailed information on the methodology applied can be found in annex A3.2.7.</w:t>
      </w:r>
    </w:p>
    <w:p w14:paraId="7175DE5C" w14:textId="77777777" w:rsidR="00784FA9" w:rsidRPr="00D604EE" w:rsidRDefault="00784FA9" w:rsidP="00784FA9">
      <w:pPr>
        <w:pStyle w:val="BodyText"/>
        <w:spacing w:before="100" w:after="100"/>
      </w:pPr>
      <w:r w:rsidRPr="00D604EE">
        <w:rPr>
          <w:i/>
        </w:rPr>
        <w:t>Biomass burning</w:t>
      </w:r>
      <w:r w:rsidRPr="00D604EE">
        <w:t xml:space="preserve"> is not a key category for New Zealand.</w:t>
      </w:r>
    </w:p>
    <w:p w14:paraId="51E05FD0" w14:textId="77777777" w:rsidR="00784FA9" w:rsidRPr="00D604EE" w:rsidRDefault="00784FA9" w:rsidP="00784FA9">
      <w:pPr>
        <w:pStyle w:val="Heading4"/>
      </w:pPr>
      <w:bookmarkStart w:id="2303" w:name="_Toc232906997"/>
      <w:bookmarkStart w:id="2304" w:name="_Toc255466321"/>
      <w:bookmarkStart w:id="2305" w:name="_Toc261513128"/>
      <w:bookmarkStart w:id="2306" w:name="_Toc261513741"/>
      <w:bookmarkStart w:id="2307" w:name="_Toc280630367"/>
      <w:r w:rsidRPr="00D604EE">
        <w:t>Uncertainties and time-series consistency</w:t>
      </w:r>
      <w:bookmarkEnd w:id="2303"/>
      <w:bookmarkEnd w:id="2304"/>
      <w:bookmarkEnd w:id="2305"/>
      <w:bookmarkEnd w:id="2306"/>
      <w:bookmarkEnd w:id="2307"/>
    </w:p>
    <w:p w14:paraId="27C89A16" w14:textId="77777777" w:rsidR="00784FA9" w:rsidRPr="00D604EE" w:rsidRDefault="00784FA9" w:rsidP="00784FA9">
      <w:pPr>
        <w:pStyle w:val="BodyText"/>
        <w:spacing w:before="100" w:after="100"/>
      </w:pPr>
      <w:r w:rsidRPr="00D604EE">
        <w:t>The uncertainty in net emissions from CH</w:t>
      </w:r>
      <w:r w:rsidRPr="00D604EE">
        <w:rPr>
          <w:vertAlign w:val="subscript"/>
        </w:rPr>
        <w:t>4</w:t>
      </w:r>
      <w:r w:rsidRPr="00D604EE">
        <w:t xml:space="preserve"> and N</w:t>
      </w:r>
      <w:r w:rsidRPr="00D604EE">
        <w:rPr>
          <w:vertAlign w:val="subscript"/>
        </w:rPr>
        <w:t>2</w:t>
      </w:r>
      <w:r w:rsidRPr="00D604EE">
        <w:t xml:space="preserve">O emissions from </w:t>
      </w:r>
      <w:r w:rsidRPr="00D604EE">
        <w:rPr>
          <w:i/>
        </w:rPr>
        <w:t>Biomass burning</w:t>
      </w:r>
      <w:r w:rsidRPr="00D604EE">
        <w:t xml:space="preserve"> was 37.2 per cent in 2020. Emissions from </w:t>
      </w:r>
      <w:r w:rsidRPr="00D604EE">
        <w:rPr>
          <w:i/>
        </w:rPr>
        <w:t>Biomass burning</w:t>
      </w:r>
      <w:r w:rsidRPr="00D604EE">
        <w:t xml:space="preserve"> accounted for 0.2 per cent of the net emissions from the LULUCF sector. </w:t>
      </w:r>
    </w:p>
    <w:p w14:paraId="55CC0A91" w14:textId="77777777" w:rsidR="00784FA9" w:rsidRPr="00D604EE" w:rsidRDefault="00784FA9" w:rsidP="00784FA9">
      <w:pPr>
        <w:pStyle w:val="BodyText"/>
        <w:spacing w:before="100" w:after="100"/>
      </w:pPr>
      <w:r w:rsidRPr="00D604EE">
        <w:t xml:space="preserve">Time-series consistency is ensured by applying consistent methods and full recalculations in the event of any refinement or improvement to methodology. </w:t>
      </w:r>
    </w:p>
    <w:p w14:paraId="0FBE4EF2" w14:textId="77777777" w:rsidR="00784FA9" w:rsidRPr="00D604EE" w:rsidRDefault="00784FA9" w:rsidP="00784FA9">
      <w:pPr>
        <w:pStyle w:val="Heading4"/>
      </w:pPr>
      <w:bookmarkStart w:id="2308" w:name="_Toc255466322"/>
      <w:bookmarkStart w:id="2309" w:name="_Toc261513129"/>
      <w:bookmarkStart w:id="2310" w:name="_Toc261513742"/>
      <w:bookmarkStart w:id="2311" w:name="_Toc280630368"/>
      <w:r w:rsidRPr="00D604EE">
        <w:t>Source-specific QA/QC and verification</w:t>
      </w:r>
      <w:bookmarkEnd w:id="2308"/>
      <w:bookmarkEnd w:id="2309"/>
      <w:bookmarkEnd w:id="2310"/>
      <w:bookmarkEnd w:id="2311"/>
    </w:p>
    <w:p w14:paraId="12E74D78" w14:textId="77777777" w:rsidR="00784FA9" w:rsidRPr="00D604EE" w:rsidRDefault="00784FA9" w:rsidP="00784FA9">
      <w:pPr>
        <w:pStyle w:val="BodyText"/>
        <w:keepLines/>
        <w:spacing w:before="100"/>
      </w:pPr>
      <w:r w:rsidRPr="00D604EE">
        <w:t xml:space="preserve">Quality-control and quality-assurance measures are applied to the </w:t>
      </w:r>
      <w:r w:rsidRPr="00D604EE">
        <w:rPr>
          <w:i/>
        </w:rPr>
        <w:t>Biomass burning</w:t>
      </w:r>
      <w:r w:rsidRPr="00D604EE">
        <w:t xml:space="preserve"> activity data and emission factors. The biomass burning data set is verified whenever new data are supplied. The </w:t>
      </w:r>
      <w:r w:rsidRPr="00D604EE">
        <w:rPr>
          <w:i/>
        </w:rPr>
        <w:t>Biomass burning</w:t>
      </w:r>
      <w:r w:rsidRPr="00D604EE">
        <w:t xml:space="preserve"> parameters (burning and emission factors), assumptions and data set have been reviewed (Payton and Pearce, 2009; Thomas et al., 2011; Wakelin, unpublished(b), (c), (d), (e); Wakelin et al., unpublished).</w:t>
      </w:r>
    </w:p>
    <w:p w14:paraId="4E93A6DF" w14:textId="77777777" w:rsidR="00784FA9" w:rsidRPr="00D604EE" w:rsidRDefault="00784FA9" w:rsidP="00784FA9">
      <w:pPr>
        <w:pStyle w:val="Heading4"/>
      </w:pPr>
      <w:bookmarkStart w:id="2312" w:name="_Toc280630369"/>
      <w:bookmarkStart w:id="2313" w:name="_Toc232906999"/>
      <w:bookmarkStart w:id="2314" w:name="_Toc255466323"/>
      <w:bookmarkStart w:id="2315" w:name="_Toc261513130"/>
      <w:bookmarkStart w:id="2316" w:name="_Toc261513743"/>
      <w:r w:rsidRPr="00D604EE">
        <w:t>Source-specific recalculations</w:t>
      </w:r>
      <w:bookmarkEnd w:id="2312"/>
    </w:p>
    <w:p w14:paraId="11758E49" w14:textId="77777777" w:rsidR="00784FA9" w:rsidRPr="00D604EE" w:rsidRDefault="00784FA9" w:rsidP="00784FA9">
      <w:pPr>
        <w:pStyle w:val="BodyText"/>
        <w:spacing w:before="100"/>
      </w:pPr>
      <w:bookmarkStart w:id="2317" w:name="_Hlk60906729"/>
      <w:r w:rsidRPr="00D604EE">
        <w:t xml:space="preserve">The post-1989 planted forest yield table used in the controlled burning calculations following harvest and deforestation has been updated in this submission (see section 6.3.5 for further details). Activity data have also been updated between the 2018 and 2019 submissions. New estimates for controlled burning in </w:t>
      </w:r>
      <w:r w:rsidRPr="00D604EE">
        <w:rPr>
          <w:i/>
        </w:rPr>
        <w:t>Grassland remaining grassland</w:t>
      </w:r>
      <w:r w:rsidRPr="00D604EE">
        <w:t xml:space="preserve"> have required recalculations across the time series. </w:t>
      </w:r>
    </w:p>
    <w:p w14:paraId="65E02EC1" w14:textId="77777777" w:rsidR="00784FA9" w:rsidRPr="00D604EE" w:rsidRDefault="00784FA9" w:rsidP="00784FA9">
      <w:pPr>
        <w:pStyle w:val="Heading4"/>
      </w:pPr>
      <w:bookmarkStart w:id="2318" w:name="_Toc280630370"/>
      <w:bookmarkEnd w:id="2317"/>
      <w:r w:rsidRPr="00D604EE">
        <w:t>Source-specific planned improvements</w:t>
      </w:r>
      <w:bookmarkEnd w:id="2313"/>
      <w:bookmarkEnd w:id="2314"/>
      <w:bookmarkEnd w:id="2315"/>
      <w:bookmarkEnd w:id="2316"/>
      <w:bookmarkEnd w:id="2318"/>
    </w:p>
    <w:p w14:paraId="646E90B5" w14:textId="77777777" w:rsidR="00784FA9" w:rsidRPr="00D604EE" w:rsidRDefault="00784FA9" w:rsidP="00784FA9">
      <w:pPr>
        <w:pStyle w:val="BodyText"/>
        <w:spacing w:before="100"/>
      </w:pPr>
      <w:r w:rsidRPr="00D604EE">
        <w:t>The assumption that controlled burning of post-harvest residues on afforested land does not occur will be revisited in a future submission, due to the increasing harvest rate in these forests as they reach maturity.</w:t>
      </w:r>
    </w:p>
    <w:p w14:paraId="00B24D7E" w14:textId="77777777" w:rsidR="00784FA9" w:rsidRPr="00D604EE" w:rsidRDefault="00784FA9" w:rsidP="00784FA9">
      <w:pPr>
        <w:pStyle w:val="Heading2"/>
        <w:pageBreakBefore/>
        <w:spacing w:before="0" w:after="360"/>
      </w:pPr>
      <w:bookmarkStart w:id="2319" w:name="_Toc414531325"/>
      <w:bookmarkStart w:id="2320" w:name="_Toc474335467"/>
      <w:bookmarkStart w:id="2321" w:name="_Toc481751407"/>
      <w:bookmarkStart w:id="2322" w:name="_Toc522013959"/>
      <w:bookmarkStart w:id="2323" w:name="_Toc5269384"/>
      <w:bookmarkStart w:id="2324" w:name="_Toc36224424"/>
      <w:bookmarkStart w:id="2325" w:name="_Toc99659150"/>
      <w:r w:rsidRPr="00D604EE">
        <w:lastRenderedPageBreak/>
        <w:t>Chapter 6: References</w:t>
      </w:r>
      <w:bookmarkEnd w:id="2319"/>
      <w:bookmarkEnd w:id="2320"/>
      <w:bookmarkEnd w:id="2321"/>
      <w:bookmarkEnd w:id="2322"/>
      <w:bookmarkEnd w:id="2323"/>
      <w:bookmarkEnd w:id="2324"/>
      <w:bookmarkEnd w:id="2325"/>
    </w:p>
    <w:p w14:paraId="5353972A" w14:textId="77777777" w:rsidR="00784FA9" w:rsidRPr="00D604EE" w:rsidRDefault="00784FA9" w:rsidP="00784FA9">
      <w:pPr>
        <w:pStyle w:val="References"/>
      </w:pPr>
      <w:r w:rsidRPr="00D604EE">
        <w:t>Beets PN. Unpublished. Carbon Fraction of Radiata Pine Biomass Components. Contract report prepared for the Ministry for the Environment by New Zealand Forest Research Institute Ltd (trading as Scion) in 2017.</w:t>
      </w:r>
    </w:p>
    <w:p w14:paraId="48DB0F88" w14:textId="77777777" w:rsidR="00784FA9" w:rsidRPr="00D604EE" w:rsidRDefault="00784FA9" w:rsidP="00784FA9">
      <w:pPr>
        <w:pStyle w:val="References"/>
      </w:pPr>
      <w:r w:rsidRPr="00D604EE">
        <w:t>Clarkson, B. Unpublished. Peat Extraction in New Zealand Wetlands. Contract report prepared for the Ministry for the Environment by Landcare Research New Zealand Ltd Contract Report: LC2710 in 2016.</w:t>
      </w:r>
    </w:p>
    <w:p w14:paraId="16EFC194" w14:textId="77777777" w:rsidR="00784FA9" w:rsidRPr="00D604EE" w:rsidRDefault="00784FA9" w:rsidP="00784FA9">
      <w:pPr>
        <w:pStyle w:val="References"/>
      </w:pPr>
      <w:r w:rsidRPr="00D604EE">
        <w:t xml:space="preserve">Davis MR, Wakelin SJ. Unpublished. </w:t>
      </w:r>
      <w:r w:rsidRPr="00D604EE">
        <w:rPr>
          <w:iCs/>
        </w:rPr>
        <w:t>Perennial Cropland Biomass: Sampling Requirements</w:t>
      </w:r>
      <w:r w:rsidRPr="00D604EE">
        <w:t>. Contract report prepared for the Ministry for the Environment by New Zealand Forest Research Institute Limited (trading as Scion).</w:t>
      </w:r>
    </w:p>
    <w:p w14:paraId="06E21732" w14:textId="77777777" w:rsidR="00784FA9" w:rsidRPr="00D604EE" w:rsidRDefault="00784FA9" w:rsidP="00784FA9">
      <w:pPr>
        <w:pStyle w:val="References"/>
      </w:pPr>
      <w:r w:rsidRPr="00D604EE">
        <w:t xml:space="preserve">Easdale TA, Richardson SJ, Marden M, England JR, Gayoso-Aguilar J, Guerra-Carcamo JE, Brandon AM. 2019. Root biomass allocation in southern temperate forests. </w:t>
      </w:r>
      <w:r w:rsidRPr="00D604EE">
        <w:rPr>
          <w:i/>
          <w:iCs/>
        </w:rPr>
        <w:t>Forest Ecology and Management</w:t>
      </w:r>
      <w:r w:rsidRPr="00D604EE">
        <w:t xml:space="preserve"> 453: 117542. </w:t>
      </w:r>
    </w:p>
    <w:p w14:paraId="2AA09722" w14:textId="77777777" w:rsidR="00784FA9" w:rsidRPr="00D604EE" w:rsidRDefault="00784FA9" w:rsidP="00784FA9">
      <w:pPr>
        <w:pStyle w:val="References"/>
      </w:pPr>
      <w:r w:rsidRPr="00D604EE">
        <w:t xml:space="preserve">Food and Agriculture Organization of the United Nations. 2019. </w:t>
      </w:r>
      <w:r w:rsidRPr="00D604EE">
        <w:rPr>
          <w:i/>
          <w:iCs/>
        </w:rPr>
        <w:t>FAO Yearbook of Forest Products 2019</w:t>
      </w:r>
      <w:r w:rsidRPr="00D604EE">
        <w:t xml:space="preserve">. Rome: Food and Agriculture Organization of the United Nations. Retrieved from </w:t>
      </w:r>
      <w:hyperlink r:id="rId211" w:history="1">
        <w:r w:rsidRPr="00D604EE">
          <w:rPr>
            <w:rStyle w:val="Hyperlink"/>
          </w:rPr>
          <w:t>www.fao.org/3/cb3795m/cb3795m.pdf</w:t>
        </w:r>
      </w:hyperlink>
      <w:r w:rsidRPr="00D604EE">
        <w:t xml:space="preserve"> (16 November 2021). </w:t>
      </w:r>
    </w:p>
    <w:p w14:paraId="6DD2AF24" w14:textId="77777777" w:rsidR="00784FA9" w:rsidRPr="00D604EE" w:rsidRDefault="00784FA9" w:rsidP="00784FA9">
      <w:pPr>
        <w:pStyle w:val="References"/>
      </w:pPr>
      <w:r w:rsidRPr="00D604EE">
        <w:t xml:space="preserve">Forest Industry Training and Education Council. 2005. </w:t>
      </w:r>
      <w:r w:rsidRPr="00D604EE">
        <w:rPr>
          <w:i/>
          <w:iCs/>
        </w:rPr>
        <w:t>Best Practice Guidelines for Land Preparation</w:t>
      </w:r>
      <w:r w:rsidRPr="00D604EE">
        <w:t>. Revised edn. Rotorua: Forest Industry Training and Education Council.</w:t>
      </w:r>
    </w:p>
    <w:p w14:paraId="4695F655" w14:textId="77777777" w:rsidR="00784FA9" w:rsidRPr="00D604EE" w:rsidRDefault="00784FA9" w:rsidP="00784FA9">
      <w:pPr>
        <w:pStyle w:val="References"/>
      </w:pPr>
      <w:r w:rsidRPr="00D604EE">
        <w:t xml:space="preserve">Garrett LG. Unpublished. </w:t>
      </w:r>
      <w:r w:rsidRPr="00D604EE">
        <w:rPr>
          <w:iCs/>
        </w:rPr>
        <w:t>Natural Forests Soils: Data Checking and Carbon Content of the Mineral Soil</w:t>
      </w:r>
      <w:r w:rsidRPr="00D604EE">
        <w:t>. Contract report prepared for the Ministry for the Environment by New Zealand Forest Research Institute Ltd (trading as Scion).</w:t>
      </w:r>
    </w:p>
    <w:p w14:paraId="0217F745" w14:textId="77777777" w:rsidR="00784FA9" w:rsidRPr="00D604EE" w:rsidRDefault="00784FA9" w:rsidP="00784FA9">
      <w:pPr>
        <w:pStyle w:val="References"/>
        <w:rPr>
          <w:iCs/>
        </w:rPr>
      </w:pPr>
      <w:r w:rsidRPr="00D604EE">
        <w:t xml:space="preserve">Garrett LG, Kimberley MO, Oliver GR, Parks M, Pearce SH, Beets PN, Paul TSH. 2019. Decay rates of above- and below-ground coarse woody debris of common tree species in New Zealand’s natural forest. </w:t>
      </w:r>
      <w:r w:rsidRPr="00D604EE">
        <w:rPr>
          <w:i/>
        </w:rPr>
        <w:t xml:space="preserve">Forest Ecology and Management </w:t>
      </w:r>
      <w:r w:rsidRPr="00D604EE">
        <w:t>438: 96–102.</w:t>
      </w:r>
      <w:r w:rsidRPr="00D604EE">
        <w:rPr>
          <w:i/>
        </w:rPr>
        <w:t xml:space="preserve"> </w:t>
      </w:r>
    </w:p>
    <w:p w14:paraId="6C75C41E" w14:textId="77777777" w:rsidR="00784FA9" w:rsidRPr="00D604EE" w:rsidRDefault="00784FA9" w:rsidP="00784FA9">
      <w:pPr>
        <w:pStyle w:val="References"/>
      </w:pPr>
      <w:r w:rsidRPr="00D604EE">
        <w:t xml:space="preserve">Hunter G, McNeill S. Unpublished. </w:t>
      </w:r>
      <w:r w:rsidRPr="00D604EE">
        <w:rPr>
          <w:iCs/>
        </w:rPr>
        <w:t>Review of LUCAS Land Use Backcasting 1962–1989.</w:t>
      </w:r>
      <w:r w:rsidRPr="00D604EE">
        <w:t xml:space="preserve"> Contract report prepared for the Ministry for the Environment by Landcare Research New Zealand Ltd.</w:t>
      </w:r>
    </w:p>
    <w:p w14:paraId="7CF199A0" w14:textId="77777777" w:rsidR="00784FA9" w:rsidRPr="00D604EE" w:rsidRDefault="00784FA9" w:rsidP="00784FA9">
      <w:pPr>
        <w:pStyle w:val="References"/>
      </w:pPr>
      <w:r w:rsidRPr="00D604EE">
        <w:t xml:space="preserve">IPCC. 2006a. Eggleston HS, Buendia L, Miwa K, Ngara T, Tanabe K (eds). </w:t>
      </w:r>
      <w:r w:rsidRPr="00D604EE">
        <w:rPr>
          <w:i/>
        </w:rPr>
        <w:t xml:space="preserve">2006 IPCC Guidelines for National Greenhouse Gas Inventories. Volume 4. Agriculture, Forestry and Other Land Use. </w:t>
      </w:r>
      <w:r w:rsidRPr="00D604EE">
        <w:t>IPCC National Greenhouse Gas Inventories Programme. Japan: Institute for Global Environmental Strategies for IPCC.</w:t>
      </w:r>
    </w:p>
    <w:p w14:paraId="5B9F8117" w14:textId="77777777" w:rsidR="00784FA9" w:rsidRPr="00D604EE" w:rsidRDefault="00784FA9" w:rsidP="00784FA9">
      <w:pPr>
        <w:pStyle w:val="References"/>
      </w:pPr>
      <w:r w:rsidRPr="00D604EE">
        <w:t xml:space="preserve">IPCC. 2006b. Eggleston HS, Buendia L, Miwa K, Ngara T, Tanabe K (eds). </w:t>
      </w:r>
      <w:r w:rsidRPr="00D604EE">
        <w:rPr>
          <w:i/>
          <w:iCs/>
        </w:rPr>
        <w:t>General Guidance and Reporting</w:t>
      </w:r>
      <w:r w:rsidRPr="00D604EE">
        <w:t xml:space="preserve">. </w:t>
      </w:r>
      <w:r w:rsidRPr="00D604EE">
        <w:rPr>
          <w:i/>
        </w:rPr>
        <w:t xml:space="preserve">Volume 1. </w:t>
      </w:r>
      <w:r w:rsidRPr="00D604EE">
        <w:t>Japan: Institute for Global Environmental Strategies for IPCC.</w:t>
      </w:r>
    </w:p>
    <w:p w14:paraId="112833D6" w14:textId="77777777" w:rsidR="00784FA9" w:rsidRPr="00D604EE" w:rsidRDefault="00784FA9" w:rsidP="00784FA9">
      <w:pPr>
        <w:pStyle w:val="References"/>
      </w:pPr>
      <w:r w:rsidRPr="00D604EE">
        <w:t xml:space="preserve">IPCC. 2014. Hiraishi T, Krug T, Tanabe K, Srivastava N, Baasansuren J, Fukuda M, Troxler TG (eds). </w:t>
      </w:r>
      <w:r w:rsidRPr="00D604EE">
        <w:rPr>
          <w:i/>
          <w:iCs/>
        </w:rPr>
        <w:t>2013 Revised Supplementary Methods and Good Practice Guidance Arising from the Kyoto Protocol</w:t>
      </w:r>
      <w:r w:rsidRPr="00D604EE">
        <w:t>. Switzerland: IPCC.</w:t>
      </w:r>
    </w:p>
    <w:p w14:paraId="4E596279" w14:textId="77777777" w:rsidR="00784FA9" w:rsidRPr="00D604EE" w:rsidRDefault="00784FA9" w:rsidP="00784FA9">
      <w:pPr>
        <w:pStyle w:val="References"/>
      </w:pPr>
      <w:r w:rsidRPr="00D604EE">
        <w:t xml:space="preserve">Jones T. 2005. Wood properties of commercial tree species. In: M Colley (ed.) </w:t>
      </w:r>
      <w:r w:rsidRPr="00D604EE">
        <w:rPr>
          <w:i/>
          <w:iCs/>
        </w:rPr>
        <w:t>NZIF 2005 Forestry Handbook</w:t>
      </w:r>
      <w:r w:rsidRPr="00D604EE">
        <w:t>. Wellington: New Zealand Institute of Forestry. pp 204–207.</w:t>
      </w:r>
    </w:p>
    <w:p w14:paraId="56238B9B" w14:textId="77777777" w:rsidR="00784FA9" w:rsidRPr="00D604EE" w:rsidRDefault="00784FA9" w:rsidP="00784FA9">
      <w:pPr>
        <w:pStyle w:val="References"/>
      </w:pPr>
      <w:r w:rsidRPr="00D604EE">
        <w:t xml:space="preserve">Kelliher FM, de Klein CA. Unpublished. </w:t>
      </w:r>
      <w:r w:rsidRPr="00D604EE">
        <w:rPr>
          <w:iCs/>
        </w:rPr>
        <w:t>Review of New Zealand’s Fertiliser Nitrous Oxide Emission Factor (EF1) Data</w:t>
      </w:r>
      <w:r w:rsidRPr="00D604EE">
        <w:t>. Contract report prepared for the Ministry for the Environment in 2006.</w:t>
      </w:r>
    </w:p>
    <w:p w14:paraId="2CAF965F" w14:textId="77777777" w:rsidR="00784FA9" w:rsidRPr="00D604EE" w:rsidRDefault="00784FA9" w:rsidP="00784FA9">
      <w:pPr>
        <w:pStyle w:val="References"/>
      </w:pPr>
      <w:r w:rsidRPr="00D604EE">
        <w:t xml:space="preserve">Kimberley MO, Beets PN, Paul TSH. 2019. Comparison of measured and modelled change in coarse woody debris carbon stocks in New Zealand’s natural forest. </w:t>
      </w:r>
      <w:r w:rsidRPr="00D604EE">
        <w:rPr>
          <w:i/>
        </w:rPr>
        <w:t>Forest Ecology and Management</w:t>
      </w:r>
      <w:r w:rsidRPr="00D604EE">
        <w:t>. 434 (2019): 18–28.</w:t>
      </w:r>
    </w:p>
    <w:p w14:paraId="672884EA" w14:textId="77777777" w:rsidR="00784FA9" w:rsidRPr="00D604EE" w:rsidRDefault="00784FA9" w:rsidP="00784FA9">
      <w:pPr>
        <w:pStyle w:val="References"/>
      </w:pPr>
      <w:r w:rsidRPr="00D604EE">
        <w:t xml:space="preserve">Land Cover Database v5.0 _ Land Cover Database version 5.0, Mainland New Zealand. Retrieved from </w:t>
      </w:r>
      <w:hyperlink r:id="rId212" w:history="1">
        <w:r w:rsidRPr="00D604EE">
          <w:rPr>
            <w:rStyle w:val="Hyperlink"/>
          </w:rPr>
          <w:t>https://lris.scinfo.org.nz/layer/104400-lcdb-v50-land-cover-database-version-50-mainland-new-zealand</w:t>
        </w:r>
      </w:hyperlink>
      <w:r w:rsidRPr="00D604EE">
        <w:t xml:space="preserve"> (11 November 2021).</w:t>
      </w:r>
    </w:p>
    <w:p w14:paraId="187FED03" w14:textId="77777777" w:rsidR="00784FA9" w:rsidRPr="00D604EE" w:rsidRDefault="00784FA9" w:rsidP="00784FA9">
      <w:pPr>
        <w:pStyle w:val="References"/>
      </w:pPr>
      <w:r w:rsidRPr="00D604EE">
        <w:t xml:space="preserve">Manaaki Whenua Landcare Research. 2020. </w:t>
      </w:r>
      <w:r w:rsidRPr="00D604EE">
        <w:rPr>
          <w:i/>
        </w:rPr>
        <w:t>A new national soil carbon monitoring system for agricultural land</w:t>
      </w:r>
      <w:r w:rsidRPr="00D604EE">
        <w:t xml:space="preserve">. Retrieved from </w:t>
      </w:r>
      <w:hyperlink r:id="rId213" w:history="1">
        <w:r w:rsidRPr="00D604EE">
          <w:rPr>
            <w:rStyle w:val="Hyperlink"/>
          </w:rPr>
          <w:t>www.landcareresearch.co.nz/news/a-new-national-soil-carbon-monitoring-system-for-agricultural-land</w:t>
        </w:r>
      </w:hyperlink>
      <w:r w:rsidRPr="00D604EE">
        <w:t xml:space="preserve"> (4 December 2020). </w:t>
      </w:r>
    </w:p>
    <w:p w14:paraId="7EB4440F" w14:textId="77777777" w:rsidR="00784FA9" w:rsidRPr="00D604EE" w:rsidRDefault="00784FA9" w:rsidP="00784FA9">
      <w:pPr>
        <w:pStyle w:val="References"/>
      </w:pPr>
      <w:r w:rsidRPr="00D604EE">
        <w:t xml:space="preserve">Manley B. 2019. </w:t>
      </w:r>
      <w:r w:rsidRPr="00D604EE">
        <w:rPr>
          <w:i/>
        </w:rPr>
        <w:t>Deforestation Intentions Survey</w:t>
      </w:r>
      <w:r w:rsidRPr="00D604EE">
        <w:t xml:space="preserve"> </w:t>
      </w:r>
      <w:r w:rsidRPr="00D604EE">
        <w:rPr>
          <w:i/>
        </w:rPr>
        <w:t>2018</w:t>
      </w:r>
      <w:r w:rsidRPr="00D604EE">
        <w:t>. Wellington: Ministry for Primary Industries.</w:t>
      </w:r>
    </w:p>
    <w:p w14:paraId="64A3E796" w14:textId="77777777" w:rsidR="00784FA9" w:rsidRPr="00D604EE" w:rsidRDefault="00784FA9" w:rsidP="00784FA9">
      <w:pPr>
        <w:pStyle w:val="References"/>
      </w:pPr>
      <w:r w:rsidRPr="00D604EE">
        <w:lastRenderedPageBreak/>
        <w:t xml:space="preserve">McGlone MS. 2009. Postglacial history of New Zealand wetlands and implications for their conservation. </w:t>
      </w:r>
      <w:r w:rsidRPr="00D604EE">
        <w:rPr>
          <w:i/>
          <w:iCs/>
        </w:rPr>
        <w:t>New Zealand Journal of Ecology</w:t>
      </w:r>
      <w:r w:rsidRPr="00D604EE">
        <w:t xml:space="preserve"> 33: 1–23.</w:t>
      </w:r>
    </w:p>
    <w:p w14:paraId="7EF8544F" w14:textId="77777777" w:rsidR="00784FA9" w:rsidRPr="00D604EE" w:rsidRDefault="00784FA9" w:rsidP="00784FA9">
      <w:pPr>
        <w:pStyle w:val="References"/>
      </w:pPr>
      <w:r w:rsidRPr="00D604EE">
        <w:t xml:space="preserve">McNeill SJ, Barringer JRF. Unpublished. </w:t>
      </w:r>
      <w:r w:rsidRPr="00D604EE">
        <w:rPr>
          <w:iCs/>
        </w:rPr>
        <w:t>Respecification and Reclassification of the 2013 MfE Soil CMS Model</w:t>
      </w:r>
      <w:r w:rsidRPr="00D604EE">
        <w:t>. Prepared for the Ministry for the Environment by Landcare Research New Zealand Ltd.</w:t>
      </w:r>
    </w:p>
    <w:p w14:paraId="17C74D58" w14:textId="77777777" w:rsidR="00784FA9" w:rsidRPr="00D604EE" w:rsidRDefault="00784FA9" w:rsidP="00784FA9">
      <w:pPr>
        <w:pStyle w:val="References"/>
      </w:pPr>
      <w:r w:rsidRPr="00D604EE">
        <w:t xml:space="preserve">Ministry for Primary Industries. 2015. </w:t>
      </w:r>
      <w:r w:rsidRPr="00D604EE">
        <w:rPr>
          <w:iCs/>
        </w:rPr>
        <w:t>An overview of forestry in the emissions trading scheme</w:t>
      </w:r>
      <w:r w:rsidRPr="00D604EE">
        <w:t xml:space="preserve">. Retrieved from </w:t>
      </w:r>
      <w:hyperlink r:id="rId214" w:history="1">
        <w:r w:rsidRPr="00D604EE">
          <w:rPr>
            <w:rStyle w:val="Hyperlink"/>
          </w:rPr>
          <w:t>www.mpi.govt.nz/dmsdocument/6991-An-Overview-of-Forestry-in-the-ETS</w:t>
        </w:r>
      </w:hyperlink>
      <w:r w:rsidRPr="00D604EE">
        <w:t xml:space="preserve"> </w:t>
      </w:r>
      <w:r w:rsidRPr="00D604EE">
        <w:br/>
        <w:t>(12 February 2022).</w:t>
      </w:r>
    </w:p>
    <w:p w14:paraId="53EED926" w14:textId="77777777" w:rsidR="00784FA9" w:rsidRPr="00D604EE" w:rsidRDefault="00784FA9" w:rsidP="00784FA9">
      <w:pPr>
        <w:pStyle w:val="References"/>
      </w:pPr>
      <w:r w:rsidRPr="00D604EE">
        <w:t xml:space="preserve">Ministry for Primary Industries. 2016. </w:t>
      </w:r>
      <w:r w:rsidRPr="00D604EE">
        <w:rPr>
          <w:i/>
          <w:iCs/>
        </w:rPr>
        <w:t>Material Flow and End-use of Harvested Wood Products Produced from New Zealand Log Exports</w:t>
      </w:r>
      <w:r w:rsidRPr="00D604EE">
        <w:t>. Wellington: Ministry for Primary Industries.</w:t>
      </w:r>
    </w:p>
    <w:p w14:paraId="0D0D58C8" w14:textId="77777777" w:rsidR="00784FA9" w:rsidRPr="00D604EE" w:rsidRDefault="00784FA9" w:rsidP="00784FA9">
      <w:pPr>
        <w:pStyle w:val="References"/>
      </w:pPr>
      <w:r w:rsidRPr="00D604EE">
        <w:t xml:space="preserve">Ministry for Primary Industries. 2020. </w:t>
      </w:r>
      <w:r w:rsidRPr="00D604EE">
        <w:rPr>
          <w:i/>
          <w:iCs/>
        </w:rPr>
        <w:t>National Exotic Forest Description as at 1 April 2020</w:t>
      </w:r>
      <w:r w:rsidRPr="00D604EE">
        <w:t>. Wellington: Ministry for Primary Industries.</w:t>
      </w:r>
    </w:p>
    <w:p w14:paraId="54139931" w14:textId="77777777" w:rsidR="00784FA9" w:rsidRPr="00D604EE" w:rsidRDefault="00784FA9" w:rsidP="00784FA9">
      <w:pPr>
        <w:pStyle w:val="References"/>
      </w:pPr>
      <w:r w:rsidRPr="00D604EE">
        <w:t>Ministry for Primary Industries. 2021a</w:t>
      </w:r>
      <w:r w:rsidRPr="00D604EE">
        <w:rPr>
          <w:i/>
        </w:rPr>
        <w:t xml:space="preserve">. </w:t>
      </w:r>
      <w:r w:rsidRPr="00D604EE">
        <w:rPr>
          <w:i/>
          <w:iCs/>
        </w:rPr>
        <w:t>Wood</w:t>
      </w:r>
      <w:r w:rsidRPr="00D604EE">
        <w:rPr>
          <w:i/>
        </w:rPr>
        <w:t xml:space="preserve"> processing: Quarterly production, stock and roundwood removals, June 2021 quarter production</w:t>
      </w:r>
      <w:r w:rsidRPr="00D604EE">
        <w:t xml:space="preserve">. Wellington: Ministry for Primary Industries. Retrieved from </w:t>
      </w:r>
      <w:hyperlink r:id="rId215" w:history="1">
        <w:r w:rsidRPr="00D604EE">
          <w:rPr>
            <w:rStyle w:val="Hyperlink"/>
          </w:rPr>
          <w:t>www.mpi.govt.nz/forestry/new-zealand-forests-forest-industry/forestry/wood-processing</w:t>
        </w:r>
      </w:hyperlink>
      <w:r w:rsidRPr="00D604EE">
        <w:t xml:space="preserve"> (27 September 2021).</w:t>
      </w:r>
    </w:p>
    <w:p w14:paraId="0EE8D0E9" w14:textId="77777777" w:rsidR="00784FA9" w:rsidRPr="00D604EE" w:rsidRDefault="00784FA9" w:rsidP="00784FA9">
      <w:pPr>
        <w:pStyle w:val="References"/>
        <w:rPr>
          <w:i/>
          <w:iCs/>
        </w:rPr>
      </w:pPr>
      <w:r w:rsidRPr="00D604EE">
        <w:t xml:space="preserve">Ministry for Primary Industries. 2021b. </w:t>
      </w:r>
      <w:r w:rsidRPr="00D604EE">
        <w:rPr>
          <w:iCs/>
        </w:rPr>
        <w:t>Wood product markets: Quarterly trade, June 2021 quarterly exports</w:t>
      </w:r>
      <w:r w:rsidRPr="00D604EE">
        <w:rPr>
          <w:i/>
          <w:iCs/>
        </w:rPr>
        <w:t xml:space="preserve"> </w:t>
      </w:r>
      <w:r w:rsidRPr="00D604EE">
        <w:t xml:space="preserve">Retrieved from </w:t>
      </w:r>
      <w:hyperlink r:id="rId216" w:history="1">
        <w:r w:rsidRPr="00D604EE">
          <w:rPr>
            <w:rStyle w:val="Hyperlink"/>
          </w:rPr>
          <w:t>www.mpi.govt.nz/forestry/new-zealand-forests-forest-industry/forestry/wood-product-markets</w:t>
        </w:r>
      </w:hyperlink>
      <w:r w:rsidRPr="00D604EE">
        <w:t xml:space="preserve"> (13 October 2021).</w:t>
      </w:r>
    </w:p>
    <w:p w14:paraId="14A32189" w14:textId="77777777" w:rsidR="00784FA9" w:rsidRPr="00D604EE" w:rsidRDefault="00784FA9" w:rsidP="00784FA9">
      <w:pPr>
        <w:pStyle w:val="References"/>
      </w:pPr>
      <w:r w:rsidRPr="00D604EE">
        <w:t xml:space="preserve">Ministry for the Environment. 2006. </w:t>
      </w:r>
      <w:r w:rsidRPr="00D604EE">
        <w:rPr>
          <w:i/>
          <w:iCs/>
        </w:rPr>
        <w:t>New Zealand’s Initial Report under the Kyoto Protocol</w:t>
      </w:r>
      <w:r w:rsidRPr="00D604EE">
        <w:t xml:space="preserve">. Wellington: Ministry for the Environment. Retrieved from </w:t>
      </w:r>
      <w:hyperlink r:id="rId217" w:history="1">
        <w:r w:rsidRPr="00D604EE">
          <w:rPr>
            <w:rStyle w:val="Hyperlink"/>
          </w:rPr>
          <w:t>www.mfe.govt.nz/publications/climate/new-zealands-initial-report-under-the-kyoto-protocol/index.html</w:t>
        </w:r>
      </w:hyperlink>
      <w:r w:rsidRPr="00D604EE">
        <w:t xml:space="preserve"> (14 July 2011).</w:t>
      </w:r>
    </w:p>
    <w:p w14:paraId="514A42A9" w14:textId="77777777" w:rsidR="00784FA9" w:rsidRPr="00D604EE" w:rsidRDefault="00784FA9" w:rsidP="00784FA9">
      <w:pPr>
        <w:pStyle w:val="References"/>
      </w:pPr>
      <w:r w:rsidRPr="00D604EE">
        <w:t xml:space="preserve">Ministry for the Environment. 2012. </w:t>
      </w:r>
      <w:r w:rsidRPr="00D604EE">
        <w:rPr>
          <w:i/>
        </w:rPr>
        <w:t>Land Use and Carbon Analysis System: Satellite imagery interpretation guide for land use classes</w:t>
      </w:r>
      <w:r w:rsidRPr="00D604EE">
        <w:t>. 2nd edn. Wellington: Ministry for the Environment.</w:t>
      </w:r>
    </w:p>
    <w:p w14:paraId="28EC2896" w14:textId="77777777" w:rsidR="00784FA9" w:rsidRPr="00D604EE" w:rsidRDefault="00784FA9" w:rsidP="00784FA9">
      <w:pPr>
        <w:pStyle w:val="References"/>
      </w:pPr>
      <w:r w:rsidRPr="00D604EE">
        <w:t xml:space="preserve">Ministry for the Environment and Stats NZ. 2017. </w:t>
      </w:r>
      <w:r w:rsidRPr="00D604EE">
        <w:rPr>
          <w:i/>
        </w:rPr>
        <w:t>New Zealand’s Environmental Reporting Series: Our fresh water 2017</w:t>
      </w:r>
      <w:r w:rsidRPr="00D604EE">
        <w:t xml:space="preserve">. Retrieved from </w:t>
      </w:r>
      <w:hyperlink r:id="rId218" w:history="1">
        <w:r w:rsidRPr="00D604EE">
          <w:rPr>
            <w:rStyle w:val="Hyperlink"/>
          </w:rPr>
          <w:t>www.mfe.govt.nz</w:t>
        </w:r>
      </w:hyperlink>
      <w:r w:rsidRPr="00D604EE">
        <w:t xml:space="preserve"> and </w:t>
      </w:r>
      <w:hyperlink r:id="rId219" w:history="1">
        <w:r w:rsidRPr="00D604EE">
          <w:rPr>
            <w:rStyle w:val="Hyperlink"/>
          </w:rPr>
          <w:t>www.stats.govt.nz</w:t>
        </w:r>
      </w:hyperlink>
      <w:r w:rsidRPr="00D604EE">
        <w:t>.</w:t>
      </w:r>
    </w:p>
    <w:p w14:paraId="06DDB825" w14:textId="77777777" w:rsidR="00784FA9" w:rsidRPr="00D604EE" w:rsidRDefault="00784FA9" w:rsidP="00784FA9">
      <w:pPr>
        <w:pStyle w:val="References"/>
      </w:pPr>
      <w:r w:rsidRPr="00D604EE">
        <w:t xml:space="preserve">Ministry for the Environment and Stats NZ. 2018. </w:t>
      </w:r>
      <w:r w:rsidRPr="00D604EE">
        <w:rPr>
          <w:i/>
        </w:rPr>
        <w:t>New Zealand’s Environmental Reporting Series: Our land 2018</w:t>
      </w:r>
      <w:r w:rsidRPr="00D604EE">
        <w:t xml:space="preserve">. Retrieved from </w:t>
      </w:r>
      <w:hyperlink r:id="rId220" w:history="1">
        <w:r w:rsidRPr="00D604EE">
          <w:rPr>
            <w:rStyle w:val="Hyperlink"/>
          </w:rPr>
          <w:t>https://environment.govt.nz/assets/Publications/Files/Our-land-201-final.pdf</w:t>
        </w:r>
      </w:hyperlink>
      <w:r w:rsidRPr="00D604EE">
        <w:t>.</w:t>
      </w:r>
    </w:p>
    <w:p w14:paraId="02EE1905" w14:textId="77777777" w:rsidR="00784FA9" w:rsidRPr="00D604EE" w:rsidRDefault="00784FA9" w:rsidP="00784FA9">
      <w:pPr>
        <w:pStyle w:val="References"/>
      </w:pPr>
      <w:r w:rsidRPr="00D604EE">
        <w:t>Paul TSH, Beets PN, Kimberley MO. Unpublished(a). Carbon Stocks in New Zealand’s Post-1989 Natural Forest: Analysis of the 2018/2019 forest inventory data. Contract report prepared for the Ministry for the Environment by the New Zealand Forest Research Institute Ltd (trading as Scion) in 2020.</w:t>
      </w:r>
    </w:p>
    <w:p w14:paraId="0342836D" w14:textId="77777777" w:rsidR="00784FA9" w:rsidRPr="00D604EE" w:rsidRDefault="00784FA9" w:rsidP="00784FA9">
      <w:pPr>
        <w:pStyle w:val="References"/>
      </w:pPr>
      <w:r w:rsidRPr="00D604EE">
        <w:t xml:space="preserve">Paul TSH, Kimberley MO, Beets PN. 2021. Natural forests in New Zealand: A large terrestrial carbon pool in a national state of equilibrium. </w:t>
      </w:r>
      <w:r w:rsidRPr="00D604EE">
        <w:rPr>
          <w:i/>
          <w:iCs/>
        </w:rPr>
        <w:t xml:space="preserve">Forest Ecosystems </w:t>
      </w:r>
      <w:r w:rsidRPr="00D604EE">
        <w:t>8(1): 1–21.</w:t>
      </w:r>
    </w:p>
    <w:p w14:paraId="29B89F54" w14:textId="77777777" w:rsidR="00784FA9" w:rsidRPr="00D604EE" w:rsidRDefault="00784FA9" w:rsidP="00784FA9">
      <w:pPr>
        <w:pStyle w:val="References"/>
      </w:pPr>
      <w:r w:rsidRPr="00D604EE">
        <w:t>Paul THS, Wakelin SJ, Dodunski, C. Unpublished(b). The NFI 2016-2020 analysis: Yield tables and carbon stocks in planted forests in New Zealand based on a five-year inventory cycle. Contract report prepared for the Ministry for the Environment by New Zealand Forest Research Institute Ltd (trading as Scion) in 2021.</w:t>
      </w:r>
    </w:p>
    <w:p w14:paraId="2AC522DE" w14:textId="77777777" w:rsidR="00784FA9" w:rsidRPr="00D604EE" w:rsidDel="00EA06F5" w:rsidRDefault="00784FA9" w:rsidP="00784FA9">
      <w:pPr>
        <w:pStyle w:val="References"/>
      </w:pPr>
      <w:r w:rsidRPr="00D604EE">
        <w:t xml:space="preserve">Payton IJ, Pearce HG. 2009. </w:t>
      </w:r>
      <w:r w:rsidRPr="00D604EE">
        <w:rPr>
          <w:i/>
        </w:rPr>
        <w:t>Fire-induced Changes to the Vegetation of Tall-tussock (Chionochloa rigida) Grassland Ecosystems.</w:t>
      </w:r>
      <w:r w:rsidRPr="00D604EE">
        <w:t xml:space="preserve"> Science for Conservation 290. Wellington: Department of Conservation.</w:t>
      </w:r>
    </w:p>
    <w:p w14:paraId="67D76A2D" w14:textId="77777777" w:rsidR="00784FA9" w:rsidRPr="00D604EE" w:rsidRDefault="00784FA9" w:rsidP="00784FA9">
      <w:pPr>
        <w:pStyle w:val="References"/>
      </w:pPr>
      <w:r w:rsidRPr="00D604EE">
        <w:t xml:space="preserve">Robertson KA. 1998. Loss of organic matter and carbon during slash burns in New Zealand exotic forests. </w:t>
      </w:r>
      <w:r w:rsidRPr="00D604EE">
        <w:rPr>
          <w:i/>
        </w:rPr>
        <w:t>New Zealand Journal of Forestry Science</w:t>
      </w:r>
      <w:r w:rsidRPr="00D604EE">
        <w:t xml:space="preserve"> 28(2): 221–241.</w:t>
      </w:r>
    </w:p>
    <w:p w14:paraId="4E111DC8" w14:textId="77777777" w:rsidR="00784FA9" w:rsidRPr="00D604EE" w:rsidRDefault="00784FA9" w:rsidP="00784FA9">
      <w:pPr>
        <w:pStyle w:val="References"/>
      </w:pPr>
      <w:r w:rsidRPr="00D604EE">
        <w:t xml:space="preserve">Thomas S, Hume E, Fraser T, Curtin D. 2011. </w:t>
      </w:r>
      <w:r w:rsidRPr="00D604EE">
        <w:rPr>
          <w:i/>
        </w:rPr>
        <w:t>Factors and Activity Data to Estimate Nitrous Oxide Emissions from Cropping Systems, and Stubble and Tussock Burning</w:t>
      </w:r>
      <w:r w:rsidRPr="00D604EE">
        <w:t>. Report prepared for the Ministry of Agriculture and Forestry by Plant and Food Research (formerly Crop and Food Research) technical paper no. 2012/16. Wellington: Ministry of Agriculture and Forestry.</w:t>
      </w:r>
    </w:p>
    <w:p w14:paraId="01B06EE8" w14:textId="77777777" w:rsidR="00784FA9" w:rsidRPr="00D604EE" w:rsidRDefault="00784FA9" w:rsidP="00784FA9">
      <w:pPr>
        <w:pStyle w:val="References"/>
      </w:pPr>
      <w:r w:rsidRPr="00D604EE">
        <w:t xml:space="preserve">Trotter C, MacKay A. Unpublished. </w:t>
      </w:r>
      <w:r w:rsidRPr="00D604EE">
        <w:rPr>
          <w:iCs/>
        </w:rPr>
        <w:t>Potential Forest Land</w:t>
      </w:r>
      <w:r w:rsidRPr="00D604EE">
        <w:t>. Landcare Research New Zealand Ltd Contract Report: 04/05-0410-L.</w:t>
      </w:r>
    </w:p>
    <w:p w14:paraId="689B6750" w14:textId="77777777" w:rsidR="00784FA9" w:rsidRPr="00D604EE" w:rsidRDefault="00784FA9" w:rsidP="00784FA9">
      <w:pPr>
        <w:pStyle w:val="References"/>
      </w:pPr>
      <w:r w:rsidRPr="00D604EE">
        <w:lastRenderedPageBreak/>
        <w:t>UNFCCC. 2014</w:t>
      </w:r>
      <w:r w:rsidRPr="00D604EE">
        <w:rPr>
          <w:i/>
        </w:rPr>
        <w:t>. Report of the Conference of the Parties on its nineteenth session, held in Warsaw from 11 to 23 November 2013: Addendum – Part 2: Action taken by the Conference of the Parties at its nineteenth session</w:t>
      </w:r>
      <w:r w:rsidRPr="00D604EE">
        <w:t>. FCCC/CP/2013/10/Add.3.</w:t>
      </w:r>
    </w:p>
    <w:p w14:paraId="2CD74846" w14:textId="729546AA" w:rsidR="00784FA9" w:rsidRPr="00D604EE" w:rsidRDefault="00784FA9" w:rsidP="00784FA9">
      <w:pPr>
        <w:pStyle w:val="References"/>
      </w:pPr>
      <w:bookmarkStart w:id="2326" w:name="_Hlk61859390"/>
      <w:r w:rsidRPr="00D604EE">
        <w:t>UNFCCC. 2020. FCCC/ARR/2019/NZL. Report of the individual review of the annual submission of New</w:t>
      </w:r>
      <w:r w:rsidR="00DA35FC">
        <w:t> </w:t>
      </w:r>
      <w:r w:rsidRPr="00D604EE">
        <w:t>Zealand submitted in 2019. In-country Review.</w:t>
      </w:r>
    </w:p>
    <w:bookmarkEnd w:id="2326"/>
    <w:p w14:paraId="59FC7899" w14:textId="77777777" w:rsidR="00784FA9" w:rsidRPr="00D604EE" w:rsidRDefault="00784FA9" w:rsidP="00DA35FC">
      <w:pPr>
        <w:pStyle w:val="References"/>
      </w:pPr>
      <w:r w:rsidRPr="00D604EE">
        <w:t xml:space="preserve">Wakelin SJ. Unpublished(a). Scientific Research Underpinning New Zealand’s Carbon Inventory in Planted Forests. Objective 9 – UNFCCC planted forest carbon inventory methodology. Milestone 2 </w:t>
      </w:r>
      <w:r w:rsidRPr="00D604EE">
        <w:br/>
        <w:t xml:space="preserve">– Review of shrubland clearance assumptions in the national carbon inventory. Contract report prepared for the Ministry for the </w:t>
      </w:r>
      <w:r w:rsidRPr="00DA35FC">
        <w:t>Environment</w:t>
      </w:r>
      <w:r w:rsidRPr="00D604EE">
        <w:t xml:space="preserve"> by New Zealand Forest Research Institute Ltd (trading as Scion) in 2004.</w:t>
      </w:r>
    </w:p>
    <w:p w14:paraId="45AB7740" w14:textId="77777777" w:rsidR="00784FA9" w:rsidRPr="00D604EE" w:rsidRDefault="00784FA9" w:rsidP="00784FA9">
      <w:pPr>
        <w:pStyle w:val="References"/>
      </w:pPr>
      <w:r w:rsidRPr="00D604EE">
        <w:t xml:space="preserve">Wakelin SJ. Unpublished(b). </w:t>
      </w:r>
      <w:r w:rsidRPr="00D604EE">
        <w:rPr>
          <w:iCs/>
        </w:rPr>
        <w:t>Review of LULUCF Biomass Burning Assumptions in New Zealand’s Greenhouse Gas Inventory</w:t>
      </w:r>
      <w:r w:rsidRPr="00D604EE">
        <w:t>. Contract report prepared for the Ministry for the Environment by Ensis in 2006.</w:t>
      </w:r>
    </w:p>
    <w:p w14:paraId="5E0A9AC7" w14:textId="77777777" w:rsidR="00784FA9" w:rsidRPr="00D604EE" w:rsidRDefault="00784FA9" w:rsidP="00784FA9">
      <w:pPr>
        <w:pStyle w:val="References"/>
      </w:pPr>
      <w:r w:rsidRPr="00D604EE">
        <w:t xml:space="preserve">Wakelin SJ. Unpublished(c). </w:t>
      </w:r>
      <w:r w:rsidRPr="00D604EE">
        <w:rPr>
          <w:iCs/>
        </w:rPr>
        <w:t>Apportioning Wildfire Emissions to Forest Sub-categories in the National Greenhouse Gas Inventory</w:t>
      </w:r>
      <w:r w:rsidRPr="00D604EE">
        <w:t>. Contract report prepared for the Ministry for the Environment by New Zealand Forest Research Institute Ltd (trading as Scion) in 2011.</w:t>
      </w:r>
    </w:p>
    <w:p w14:paraId="57E0BDE7" w14:textId="77777777" w:rsidR="00784FA9" w:rsidRPr="00D604EE" w:rsidRDefault="00784FA9" w:rsidP="00784FA9">
      <w:pPr>
        <w:pStyle w:val="References"/>
      </w:pPr>
      <w:r w:rsidRPr="00D604EE">
        <w:t xml:space="preserve">Wakelin SJ. Unpublished(d). </w:t>
      </w:r>
      <w:r w:rsidRPr="00D604EE">
        <w:rPr>
          <w:iCs/>
        </w:rPr>
        <w:t>Controlled Biomass Burning Emissions for the 2011 Greenhouse Gas Inventory</w:t>
      </w:r>
      <w:r w:rsidRPr="00D604EE">
        <w:t>. Contract report prepared for the Ministry for the Environment by New Zealand Forest Research Institute Ltd (trading as Scion) in 2012.</w:t>
      </w:r>
    </w:p>
    <w:p w14:paraId="63E21930" w14:textId="77777777" w:rsidR="00784FA9" w:rsidRPr="00D604EE" w:rsidRDefault="00784FA9" w:rsidP="00784FA9">
      <w:pPr>
        <w:pStyle w:val="References"/>
      </w:pPr>
      <w:r w:rsidRPr="00D604EE">
        <w:t>Wakelin SJ. Unpublished(e). Review of Emissions from Prescribed Burning of Standing Vegetation in New Zealand. Contract report prepared for the Ministry for the Environment by New Zealand Forest Research Institute Ltd (trading as Scion) in 2018.</w:t>
      </w:r>
    </w:p>
    <w:p w14:paraId="73ED3135" w14:textId="77777777" w:rsidR="00784FA9" w:rsidRPr="00D604EE" w:rsidRDefault="00784FA9" w:rsidP="00784FA9">
      <w:pPr>
        <w:pStyle w:val="References"/>
      </w:pPr>
      <w:r w:rsidRPr="00D604EE">
        <w:t xml:space="preserve">Wakelin SJ, Beets PN. Unpublished. </w:t>
      </w:r>
      <w:r w:rsidRPr="00D604EE">
        <w:rPr>
          <w:iCs/>
        </w:rPr>
        <w:t>Emission Factors for Managed and Unmanaged Grassland with Woody Biomass</w:t>
      </w:r>
      <w:r w:rsidRPr="00D604EE">
        <w:t>. Contract report prepared for the Ministry for the Environment by New Zealand Forest Research Institute Ltd (trading as Scion) in 2013.</w:t>
      </w:r>
    </w:p>
    <w:p w14:paraId="6D85B83C" w14:textId="77777777" w:rsidR="00784FA9" w:rsidRPr="00D604EE" w:rsidRDefault="00784FA9" w:rsidP="00784FA9">
      <w:pPr>
        <w:pStyle w:val="References"/>
      </w:pPr>
      <w:r w:rsidRPr="00D604EE">
        <w:t xml:space="preserve">Wakelin SJ, Clifford VR, Anderson SAJ, Pearce HG. Unpublished. </w:t>
      </w:r>
      <w:r w:rsidRPr="00D604EE">
        <w:rPr>
          <w:iCs/>
        </w:rPr>
        <w:t>Review of LULUCF Non-carbon Emissions in New Zealand’s Greenhouse Gas Inventory</w:t>
      </w:r>
      <w:r w:rsidRPr="00D604EE">
        <w:t>. Contract report 17342 prepared for Ministry for the Environment by New Zealand Forest Research Institute Ltd (trading as Scion) in 2009.</w:t>
      </w:r>
    </w:p>
    <w:p w14:paraId="3DF9CAE9" w14:textId="77777777" w:rsidR="00784FA9" w:rsidRPr="00D604EE" w:rsidRDefault="00784FA9" w:rsidP="00784FA9">
      <w:pPr>
        <w:pStyle w:val="References"/>
      </w:pPr>
      <w:r w:rsidRPr="00D604EE">
        <w:t>Wakelin SJ, Kimberley M. Unpublished. Harvested Wood Products Model for UNFCCC and Kyoto Protocol Reporting. Contract report prepared for the Ministry for the Environment by New Zealand Forest Research Institute Ltd (trading as Scion) in 2017.</w:t>
      </w:r>
    </w:p>
    <w:p w14:paraId="32EA22E3" w14:textId="77777777" w:rsidR="00784FA9" w:rsidRPr="00D604EE" w:rsidRDefault="00784FA9" w:rsidP="00784FA9">
      <w:pPr>
        <w:pStyle w:val="References"/>
      </w:pPr>
      <w:r w:rsidRPr="00D604EE">
        <w:t xml:space="preserve">Wakelin SJ, Searles N, Lawrence D, Paul TSH. 2020. Estimating New Zealand’s harvested wood products carbon stocks and stock changes. </w:t>
      </w:r>
      <w:r w:rsidRPr="00D604EE">
        <w:rPr>
          <w:i/>
          <w:iCs/>
        </w:rPr>
        <w:t>Carbon Balance and Management</w:t>
      </w:r>
      <w:r w:rsidRPr="00D604EE">
        <w:t xml:space="preserve"> 15(10). </w:t>
      </w:r>
    </w:p>
    <w:p w14:paraId="5B493AED" w14:textId="77777777" w:rsidR="00784FA9" w:rsidRPr="00D604EE" w:rsidRDefault="00784FA9" w:rsidP="00784FA9">
      <w:pPr>
        <w:pStyle w:val="References"/>
      </w:pPr>
      <w:r w:rsidRPr="00D604EE">
        <w:t>Watts D. Unpublished. Land Use Backcasting: Data and methodology. Wellington: Ministry for the Environment.</w:t>
      </w:r>
    </w:p>
    <w:p w14:paraId="2366757C" w14:textId="77777777" w:rsidR="00784FA9" w:rsidRPr="00D604EE" w:rsidRDefault="00784FA9" w:rsidP="00784FA9">
      <w:pPr>
        <w:pStyle w:val="References"/>
      </w:pPr>
      <w:r w:rsidRPr="00D604EE">
        <w:t>Wiser S. 2016. Vegetation Classification of All Measurements of the LUCAS Natural Forest Plots. Contract report prepared for the Ministry for the Environment by Manaaki Whenua Landcare Research.</w:t>
      </w:r>
    </w:p>
    <w:p w14:paraId="2CB5D24A" w14:textId="77777777" w:rsidR="00784FA9" w:rsidRDefault="00784FA9" w:rsidP="00784FA9"/>
    <w:p w14:paraId="1C3BEAF4" w14:textId="77777777" w:rsidR="00712D32" w:rsidRDefault="00712D32" w:rsidP="0087314B">
      <w:pPr>
        <w:sectPr w:rsidR="00712D32" w:rsidSect="00131AD5">
          <w:headerReference w:type="even" r:id="rId221"/>
          <w:headerReference w:type="default" r:id="rId222"/>
          <w:footerReference w:type="even" r:id="rId223"/>
          <w:footerReference w:type="default" r:id="rId224"/>
          <w:headerReference w:type="first" r:id="rId225"/>
          <w:footerReference w:type="first" r:id="rId226"/>
          <w:pgSz w:w="11906" w:h="16838" w:code="9"/>
          <w:pgMar w:top="1418" w:right="1701" w:bottom="1418" w:left="1701" w:header="567" w:footer="567" w:gutter="0"/>
          <w:cols w:space="708"/>
          <w:docGrid w:linePitch="360"/>
        </w:sectPr>
      </w:pPr>
    </w:p>
    <w:p w14:paraId="31F917AB" w14:textId="77777777" w:rsidR="00A76ADB" w:rsidRPr="003C6067" w:rsidRDefault="00A76ADB" w:rsidP="00A76ADB">
      <w:pPr>
        <w:pStyle w:val="Heading1"/>
      </w:pPr>
      <w:bookmarkStart w:id="2327" w:name="_Toc99659151"/>
      <w:r w:rsidRPr="003C6067">
        <w:lastRenderedPageBreak/>
        <w:t>Chapter 7: Waste</w:t>
      </w:r>
      <w:bookmarkEnd w:id="2327"/>
    </w:p>
    <w:p w14:paraId="3C0DCBBF" w14:textId="77777777" w:rsidR="00A76ADB" w:rsidRDefault="00A76ADB" w:rsidP="00A76ADB">
      <w:pPr>
        <w:pStyle w:val="Heading2"/>
        <w:spacing w:before="240"/>
      </w:pPr>
      <w:bookmarkStart w:id="2328" w:name="_Toc99659152"/>
      <w:r>
        <w:t xml:space="preserve">7.1 </w:t>
      </w:r>
      <w:r>
        <w:tab/>
        <w:t xml:space="preserve">Sector </w:t>
      </w:r>
      <w:r w:rsidRPr="003C6067">
        <w:t>overview</w:t>
      </w:r>
      <w:bookmarkEnd w:id="2328"/>
    </w:p>
    <w:p w14:paraId="784E22F1" w14:textId="77777777" w:rsidR="00A76ADB" w:rsidRDefault="00A76ADB" w:rsidP="00A76ADB">
      <w:pPr>
        <w:pStyle w:val="Heading3"/>
        <w:spacing w:before="240"/>
      </w:pPr>
      <w:r>
        <w:t xml:space="preserve">7.1.1 </w:t>
      </w:r>
      <w:r>
        <w:tab/>
        <w:t>The waste sector in New Zealand</w:t>
      </w:r>
    </w:p>
    <w:p w14:paraId="689F7F78" w14:textId="77777777" w:rsidR="00A76ADB" w:rsidRDefault="00A76ADB" w:rsidP="00A76ADB">
      <w:pPr>
        <w:pStyle w:val="BodyText"/>
      </w:pPr>
      <w:r>
        <w:t>In New Zealand, most solid waste is disposed to land. The majority of the country’s household and commercial waste is placed in managed municipal landfills. Before 2010, some municipal waste was also disposed to unmanaged or uncategorised sites. Unmanaged</w:t>
      </w:r>
      <w:r>
        <w:rPr>
          <w:rStyle w:val="FootnoteReference"/>
        </w:rPr>
        <w:footnoteReference w:id="65"/>
      </w:r>
      <w:r>
        <w:t xml:space="preserve"> sites consist of many small landfills, such as those on farms and in industry, which are still in operation. One major exception to disposal to land is that about half of all farm waste is disposed by open burning. Figure 7.1.1 shows the sources of and disposal practices for solid waste in New Zealand.</w:t>
      </w:r>
    </w:p>
    <w:p w14:paraId="49EA0B9D" w14:textId="77777777" w:rsidR="00A76ADB" w:rsidRDefault="00A76ADB" w:rsidP="00A76ADB">
      <w:pPr>
        <w:pStyle w:val="BodyText"/>
      </w:pPr>
      <w:r>
        <w:t>Most wastewater treatment in New Zealand is aerobic, including domestic, commercial and industrial wastewater, that releases methane (CH</w:t>
      </w:r>
      <w:r>
        <w:rPr>
          <w:vertAlign w:val="subscript"/>
        </w:rPr>
        <w:t>4</w:t>
      </w:r>
      <w:r>
        <w:t>) emissions. Methane emissions from domestic wastewater are mainly from rural septic tank usage. Wastewater emissions also occur from some municipal treatment plants, which use semi-aerobic processes, and from industries in New Zealand, in particular, the meat and the pulp and paper industries.</w:t>
      </w:r>
    </w:p>
    <w:p w14:paraId="32CC6AE4" w14:textId="77777777" w:rsidR="00A76ADB" w:rsidRDefault="00A76ADB" w:rsidP="00A76ADB">
      <w:pPr>
        <w:pStyle w:val="BodyText"/>
      </w:pPr>
      <w:r>
        <w:t>Municipal waste is generally not incinerated in New Zealand. Incineration is used only on a very small scale, mainly for hazardous waste, clinical waste and sewage sludge, and has declined over time due to environmental regulation and the availability of other disposal options.</w:t>
      </w:r>
    </w:p>
    <w:p w14:paraId="672D7309" w14:textId="77777777" w:rsidR="00A76ADB" w:rsidRDefault="00A76ADB" w:rsidP="00A76ADB">
      <w:pPr>
        <w:pStyle w:val="BodyText"/>
      </w:pPr>
      <w:r>
        <w:t>Emissions from composting activities are included. No other emission sources for direct greenhouse gases are applicable to New Zealand and no other activity data are available.</w:t>
      </w:r>
    </w:p>
    <w:p w14:paraId="55A301AD" w14:textId="77777777" w:rsidR="00A76ADB" w:rsidRDefault="00A76ADB" w:rsidP="00A76ADB">
      <w:pPr>
        <w:pStyle w:val="BodyText"/>
      </w:pPr>
      <w:r>
        <w:t xml:space="preserve">The impact of COVID-19 on </w:t>
      </w:r>
      <w:r w:rsidRPr="00074286">
        <w:t>emissions</w:t>
      </w:r>
      <w:r>
        <w:t xml:space="preserve"> from the waste sector is negligible, as annual variations are within usual ranges. In addition, variations to solid waste disposal activity have a reduced effect on annual emissions. This is due to the dampening effect of the first-order decay models used to estimate emissions from landfills.</w:t>
      </w:r>
    </w:p>
    <w:p w14:paraId="698428C8" w14:textId="77777777" w:rsidR="00A76ADB" w:rsidRDefault="00A76ADB" w:rsidP="00A76ADB">
      <w:pPr>
        <w:pStyle w:val="Figure"/>
      </w:pPr>
      <w:bookmarkStart w:id="2329" w:name="_Toc99696055"/>
      <w:bookmarkStart w:id="2330" w:name="the-waste-sector-in-new-zealand"/>
      <w:r>
        <w:lastRenderedPageBreak/>
        <w:t>Figure 7.1.1</w:t>
      </w:r>
      <w:r>
        <w:tab/>
        <w:t>Flows of solid waste generation and disposal in New Zealand</w:t>
      </w:r>
      <w:bookmarkEnd w:id="2329"/>
    </w:p>
    <w:p w14:paraId="0E1D5FD2" w14:textId="77777777" w:rsidR="00A76ADB" w:rsidRPr="006D116E" w:rsidRDefault="004B48CC" w:rsidP="00A76ADB">
      <w:pPr>
        <w:pStyle w:val="BodyText"/>
      </w:pPr>
      <w:r>
        <w:rPr>
          <w:noProof/>
        </w:rPr>
        <w:pict w14:anchorId="72567CCB">
          <v:shape id="Picture" o:spid="_x0000_i1130" type="#_x0000_t75" style="width:425.3pt;height:219.35pt;visibility:visible;mso-wrap-style:square">
            <v:imagedata r:id="rId227" o:title=""/>
          </v:shape>
        </w:pict>
      </w:r>
    </w:p>
    <w:p w14:paraId="17F1A2A1" w14:textId="77777777" w:rsidR="00A76ADB" w:rsidRDefault="00A76ADB" w:rsidP="00A76ADB">
      <w:pPr>
        <w:pStyle w:val="BodyText"/>
      </w:pPr>
      <w:r>
        <w:t>New Zealand reports emissions from Tokelau, which is a dependent territory of New Zealand. Emissions from Tokelau for all activities are reported in annex 7 of the National Inventory Report and within the ‘Other’ sector in the common reporting format (CRF) tables. This is due to the significantly different methods applied and the prohibitive complexity of integrating emissions within the main sectors. Therefore, all emissions reported in this sector are from New Zealand excluding Tokelau. Please refer to chapter 8 and annex 7 for details of methods applied and the emissions for Tokelau.</w:t>
      </w:r>
    </w:p>
    <w:bookmarkEnd w:id="2330"/>
    <w:p w14:paraId="2BF8BBD4" w14:textId="77777777" w:rsidR="00A76ADB" w:rsidRDefault="00A76ADB" w:rsidP="00A76ADB">
      <w:pPr>
        <w:pStyle w:val="Heading3"/>
      </w:pPr>
      <w:r>
        <w:t xml:space="preserve">7.1.2 </w:t>
      </w:r>
      <w:r>
        <w:tab/>
        <w:t>Emissions summary</w:t>
      </w:r>
    </w:p>
    <w:p w14:paraId="004A767B" w14:textId="77777777" w:rsidR="00A76ADB" w:rsidRPr="00246F01" w:rsidRDefault="00A76ADB" w:rsidP="00A76ADB">
      <w:pPr>
        <w:pStyle w:val="BodyText"/>
      </w:pPr>
      <w:r w:rsidRPr="00246F01">
        <w:t>The Waste sector in New Zealand produces mainly CH</w:t>
      </w:r>
      <w:r w:rsidRPr="00246F01">
        <w:rPr>
          <w:vertAlign w:val="subscript"/>
        </w:rPr>
        <w:t>4</w:t>
      </w:r>
      <w:r w:rsidRPr="00246F01">
        <w:t xml:space="preserve"> emissions (92.1 per cent) followed by nitrous oxide (N</w:t>
      </w:r>
      <w:r w:rsidRPr="00246F01">
        <w:rPr>
          <w:vertAlign w:val="subscript"/>
        </w:rPr>
        <w:t>2</w:t>
      </w:r>
      <w:r w:rsidRPr="00246F01">
        <w:t>O) (5.1 per cent) and carbon dioxide (CO</w:t>
      </w:r>
      <w:r w:rsidRPr="00246F01">
        <w:rPr>
          <w:vertAlign w:val="subscript"/>
        </w:rPr>
        <w:t>2</w:t>
      </w:r>
      <w:r w:rsidRPr="00246F01">
        <w:t>) emissions (2.7 per cent). The Waste sector produces 8.8 per cent of gross CH</w:t>
      </w:r>
      <w:r w:rsidRPr="00246F01">
        <w:rPr>
          <w:vertAlign w:val="subscript"/>
        </w:rPr>
        <w:t>4</w:t>
      </w:r>
      <w:r w:rsidRPr="00246F01">
        <w:t xml:space="preserve"> emissions in New Zealand. There are also emissions of CO</w:t>
      </w:r>
      <w:r w:rsidRPr="00246F01">
        <w:rPr>
          <w:vertAlign w:val="subscript"/>
        </w:rPr>
        <w:t>2</w:t>
      </w:r>
      <w:r w:rsidRPr="00246F01">
        <w:t xml:space="preserve"> from the disposal of solid waste, but these are of biogenic origin and are not reported. </w:t>
      </w:r>
    </w:p>
    <w:p w14:paraId="43B00495" w14:textId="77777777" w:rsidR="00A76ADB" w:rsidRDefault="00A76ADB" w:rsidP="00A76ADB">
      <w:pPr>
        <w:pStyle w:val="Heading5"/>
      </w:pPr>
      <w:bookmarkStart w:id="2331" w:name="section"/>
      <w:r>
        <w:t>2020</w:t>
      </w:r>
    </w:p>
    <w:p w14:paraId="52AC8EF0" w14:textId="77777777" w:rsidR="00A76ADB" w:rsidRPr="00246F01" w:rsidRDefault="00A76ADB" w:rsidP="00A76ADB">
      <w:pPr>
        <w:pStyle w:val="BodyText"/>
      </w:pPr>
      <w:r w:rsidRPr="00246F01">
        <w:t>In 2020, emissions from the Waste sector contributed 3,268.9 kt CO</w:t>
      </w:r>
      <w:r w:rsidRPr="00246F01">
        <w:rPr>
          <w:vertAlign w:val="subscript"/>
        </w:rPr>
        <w:t>2</w:t>
      </w:r>
      <w:r w:rsidRPr="00246F01">
        <w:t xml:space="preserve">-e or 4.1 per cent of New Zealand’s gross greenhouse gas emissions. The largest source category is </w:t>
      </w:r>
      <w:r w:rsidRPr="00246F01">
        <w:rPr>
          <w:i/>
          <w:iCs/>
        </w:rPr>
        <w:t>Solid waste disposal</w:t>
      </w:r>
      <w:r w:rsidRPr="00246F01">
        <w:t xml:space="preserve">, as shown in table 7.1.1. </w:t>
      </w:r>
    </w:p>
    <w:p w14:paraId="40F46800" w14:textId="77777777" w:rsidR="00A76ADB" w:rsidRDefault="00A76ADB" w:rsidP="00A76ADB">
      <w:pPr>
        <w:pStyle w:val="Heading5"/>
      </w:pPr>
      <w:bookmarkStart w:id="2332" w:name="section-1"/>
      <w:bookmarkEnd w:id="2331"/>
      <w:r>
        <w:t>1990–2020</w:t>
      </w:r>
    </w:p>
    <w:p w14:paraId="7B46A788" w14:textId="77777777" w:rsidR="00A76ADB" w:rsidRPr="00246F01" w:rsidRDefault="00A76ADB" w:rsidP="00A76ADB">
      <w:pPr>
        <w:pStyle w:val="BodyText"/>
      </w:pPr>
      <w:r w:rsidRPr="00246F01">
        <w:t>In 2020, emissions from the Waste sector decreased by 17.1 per cent (674.2 kt CO</w:t>
      </w:r>
      <w:r w:rsidRPr="00246F01">
        <w:rPr>
          <w:vertAlign w:val="subscript"/>
        </w:rPr>
        <w:t>2</w:t>
      </w:r>
      <w:r w:rsidRPr="00246F01">
        <w:t>-e), from 3,943.1 kt CO</w:t>
      </w:r>
      <w:r w:rsidRPr="00246F01">
        <w:rPr>
          <w:vertAlign w:val="subscript"/>
        </w:rPr>
        <w:t>2</w:t>
      </w:r>
      <w:r w:rsidRPr="00246F01">
        <w:t>-e in 1990.</w:t>
      </w:r>
    </w:p>
    <w:p w14:paraId="6095FCF2" w14:textId="77777777" w:rsidR="00A76ADB" w:rsidRDefault="00A76ADB" w:rsidP="00A76ADB">
      <w:pPr>
        <w:pStyle w:val="BodyText"/>
      </w:pPr>
      <w:r w:rsidRPr="00246F01">
        <w:t>Annual emissions increased between 1990 and 2002, peaking at 4,468.9 kt CO</w:t>
      </w:r>
      <w:r w:rsidRPr="00246F01">
        <w:rPr>
          <w:vertAlign w:val="subscript"/>
        </w:rPr>
        <w:t>2</w:t>
      </w:r>
      <w:r w:rsidRPr="00246F01">
        <w:t>-e in 2002, and have generally decreased since that time. Growth in population and economic activity since 1990 has resulted in increasing volumes of solid waste and wastewater for the whole of the</w:t>
      </w:r>
      <w:r>
        <w:t xml:space="preserve"> time series. Ongoing improvements in the management of solid waste disposal at municipal landfills have meant total Waste sector emissions have been trending down since 2005, in spite of increasing volumes of solid waste and wastewater. The reduction in emissions is primarily the result of increased CH</w:t>
      </w:r>
      <w:r>
        <w:rPr>
          <w:vertAlign w:val="subscript"/>
        </w:rPr>
        <w:t>4</w:t>
      </w:r>
      <w:r>
        <w:t xml:space="preserve"> recovery driven by the National Environmental Standards </w:t>
      </w:r>
      <w:r>
        <w:lastRenderedPageBreak/>
        <w:t xml:space="preserve">for Air Quality introduced in 2004 and also by the New Zealand Emissions Trading Scheme (NZ ETS) since 2013. The trends are shown in chapter 2, figure 2.2.11 and in figures 7.1.2 and 7.1.3. </w:t>
      </w:r>
    </w:p>
    <w:bookmarkEnd w:id="2332"/>
    <w:p w14:paraId="7515C985" w14:textId="77777777" w:rsidR="00A76ADB" w:rsidRDefault="00A76ADB" w:rsidP="00A76ADB">
      <w:pPr>
        <w:pStyle w:val="Heading5"/>
      </w:pPr>
      <w:r>
        <w:t>2019–2020</w:t>
      </w:r>
    </w:p>
    <w:p w14:paraId="5FE0EBF3" w14:textId="77777777" w:rsidR="00A76ADB" w:rsidRDefault="00A76ADB" w:rsidP="00A76ADB">
      <w:pPr>
        <w:pStyle w:val="BodyText"/>
      </w:pPr>
      <w:r w:rsidRPr="00246F01">
        <w:t>Between 2019 and 2020, emissions from the Waste sector decreased by 43.8 kt CO</w:t>
      </w:r>
      <w:r w:rsidRPr="00246F01">
        <w:rPr>
          <w:vertAlign w:val="subscript"/>
        </w:rPr>
        <w:t>2</w:t>
      </w:r>
      <w:r w:rsidRPr="00246F01">
        <w:t>-e (1.3 per cent). This decrease is largely the result of decreases in CH</w:t>
      </w:r>
      <w:r w:rsidRPr="00246F01">
        <w:rPr>
          <w:vertAlign w:val="subscript"/>
        </w:rPr>
        <w:t>4</w:t>
      </w:r>
      <w:r w:rsidRPr="00246F01">
        <w:t xml:space="preserve"> emissions in the </w:t>
      </w:r>
      <w:r w:rsidRPr="00246F01">
        <w:rPr>
          <w:i/>
          <w:iCs/>
        </w:rPr>
        <w:t>Solid</w:t>
      </w:r>
      <w:r>
        <w:rPr>
          <w:i/>
          <w:iCs/>
        </w:rPr>
        <w:t> waste disposal</w:t>
      </w:r>
      <w:r>
        <w:t xml:space="preserve"> category, due to changes in the composition of waste disposed to municipal landfills.</w:t>
      </w:r>
    </w:p>
    <w:p w14:paraId="52C8B433" w14:textId="77777777" w:rsidR="00A76ADB" w:rsidRDefault="00A76ADB" w:rsidP="00A76ADB">
      <w:pPr>
        <w:pStyle w:val="Table"/>
      </w:pPr>
      <w:bookmarkStart w:id="2333" w:name="_Toc99659321"/>
      <w:r>
        <w:t>Table 7.1.1</w:t>
      </w:r>
      <w:r>
        <w:tab/>
        <w:t xml:space="preserve">New Zealand’s greenhouse gas emissions for the Waste sector by source category in </w:t>
      </w:r>
      <w:r>
        <w:rPr>
          <w:bCs/>
        </w:rPr>
        <w:t>1990</w:t>
      </w:r>
      <w:r>
        <w:t> and </w:t>
      </w:r>
      <w:r>
        <w:rPr>
          <w:bCs/>
        </w:rPr>
        <w:t>2020</w:t>
      </w:r>
      <w:bookmarkEnd w:id="2333"/>
    </w:p>
    <w:tbl>
      <w:tblPr>
        <w:tblW w:w="8505"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422"/>
        <w:gridCol w:w="782"/>
        <w:gridCol w:w="782"/>
        <w:gridCol w:w="1113"/>
        <w:gridCol w:w="1132"/>
        <w:gridCol w:w="637"/>
        <w:gridCol w:w="637"/>
      </w:tblGrid>
      <w:tr w:rsidR="00A76ADB" w:rsidRPr="000631C1" w14:paraId="7C9A135A" w14:textId="77777777" w:rsidTr="00AC5DC5">
        <w:trPr>
          <w:cantSplit/>
          <w:tblHeader/>
        </w:trPr>
        <w:tc>
          <w:tcPr>
            <w:tcW w:w="0" w:type="auto"/>
            <w:shd w:val="clear" w:color="auto" w:fill="1B556B"/>
            <w:tcMar>
              <w:top w:w="0" w:type="dxa"/>
              <w:left w:w="0" w:type="dxa"/>
              <w:bottom w:w="0" w:type="dxa"/>
              <w:right w:w="0" w:type="dxa"/>
            </w:tcMar>
            <w:vAlign w:val="bottom"/>
          </w:tcPr>
          <w:p w14:paraId="78B5EA15" w14:textId="77777777" w:rsidR="00A76ADB" w:rsidRPr="006C0D1B" w:rsidRDefault="00A76ADB" w:rsidP="007E3239">
            <w:pPr>
              <w:pStyle w:val="TableTextBold"/>
              <w:jc w:val="center"/>
              <w:rPr>
                <w:rFonts w:eastAsia="Calibri"/>
                <w:color w:val="FFFFFF"/>
              </w:rPr>
            </w:pPr>
          </w:p>
        </w:tc>
        <w:tc>
          <w:tcPr>
            <w:tcW w:w="0" w:type="auto"/>
            <w:gridSpan w:val="2"/>
            <w:shd w:val="clear" w:color="auto" w:fill="1B556B"/>
            <w:tcMar>
              <w:top w:w="0" w:type="dxa"/>
              <w:left w:w="0" w:type="dxa"/>
              <w:bottom w:w="0" w:type="dxa"/>
              <w:right w:w="0" w:type="dxa"/>
            </w:tcMar>
            <w:vAlign w:val="bottom"/>
          </w:tcPr>
          <w:p w14:paraId="75E2147F" w14:textId="77777777" w:rsidR="00A76ADB" w:rsidRPr="006C0D1B" w:rsidRDefault="00A76ADB" w:rsidP="007E3239">
            <w:pPr>
              <w:pStyle w:val="TableTextBold"/>
              <w:jc w:val="center"/>
              <w:rPr>
                <w:rFonts w:eastAsia="Calibri"/>
                <w:color w:val="FFFFFF"/>
              </w:rPr>
            </w:pPr>
            <w:r w:rsidRPr="006C0D1B">
              <w:rPr>
                <w:rFonts w:eastAsia="Calibri"/>
                <w:color w:val="FFFFFF"/>
              </w:rPr>
              <w:t>Emissions (kt CO</w:t>
            </w:r>
            <w:r w:rsidRPr="006C0D1B">
              <w:rPr>
                <w:rFonts w:eastAsia="Calibri"/>
                <w:color w:val="FFFFFF"/>
                <w:vertAlign w:val="subscript"/>
              </w:rPr>
              <w:t>2</w:t>
            </w:r>
            <w:r w:rsidRPr="006C0D1B">
              <w:rPr>
                <w:rFonts w:eastAsia="Calibri"/>
                <w:color w:val="FFFFFF"/>
              </w:rPr>
              <w:t>-e)</w:t>
            </w:r>
          </w:p>
        </w:tc>
        <w:tc>
          <w:tcPr>
            <w:tcW w:w="0" w:type="auto"/>
            <w:shd w:val="clear" w:color="auto" w:fill="1B556B"/>
            <w:vAlign w:val="bottom"/>
          </w:tcPr>
          <w:p w14:paraId="7D39497D" w14:textId="77777777" w:rsidR="00A76ADB" w:rsidRPr="006C0D1B" w:rsidRDefault="00A76ADB" w:rsidP="007E3239">
            <w:pPr>
              <w:pStyle w:val="TableTextBold"/>
              <w:jc w:val="center"/>
              <w:rPr>
                <w:rFonts w:eastAsia="Calibri"/>
                <w:color w:val="FFFFFF"/>
              </w:rPr>
            </w:pPr>
            <w:r w:rsidRPr="006C0D1B">
              <w:rPr>
                <w:rFonts w:eastAsia="Calibri"/>
                <w:color w:val="FFFFFF"/>
              </w:rPr>
              <w:t xml:space="preserve">Difference </w:t>
            </w:r>
            <w:r w:rsidRPr="006C0D1B">
              <w:rPr>
                <w:rFonts w:eastAsia="Calibri"/>
                <w:color w:val="FFFFFF"/>
              </w:rPr>
              <w:br/>
              <w:t>(kt CO</w:t>
            </w:r>
            <w:r w:rsidRPr="006C0D1B">
              <w:rPr>
                <w:rFonts w:eastAsia="Calibri"/>
                <w:color w:val="FFFFFF"/>
                <w:vertAlign w:val="subscript"/>
              </w:rPr>
              <w:t>2</w:t>
            </w:r>
            <w:r w:rsidRPr="006C0D1B">
              <w:rPr>
                <w:rFonts w:eastAsia="Calibri"/>
                <w:color w:val="FFFFFF"/>
              </w:rPr>
              <w:t>-e)</w:t>
            </w:r>
          </w:p>
        </w:tc>
        <w:tc>
          <w:tcPr>
            <w:tcW w:w="0" w:type="auto"/>
            <w:shd w:val="clear" w:color="auto" w:fill="1B556B"/>
            <w:vAlign w:val="bottom"/>
          </w:tcPr>
          <w:p w14:paraId="19C53C45" w14:textId="77777777" w:rsidR="00A76ADB" w:rsidRPr="006C0D1B" w:rsidRDefault="00A76ADB" w:rsidP="007E3239">
            <w:pPr>
              <w:pStyle w:val="TableTextBold"/>
              <w:jc w:val="center"/>
              <w:rPr>
                <w:rFonts w:eastAsia="Calibri"/>
                <w:color w:val="FFFFFF"/>
              </w:rPr>
            </w:pPr>
            <w:r w:rsidRPr="006C0D1B">
              <w:rPr>
                <w:rFonts w:eastAsia="Calibri"/>
                <w:color w:val="FFFFFF"/>
              </w:rPr>
              <w:t>Change (%)</w:t>
            </w:r>
          </w:p>
        </w:tc>
        <w:tc>
          <w:tcPr>
            <w:tcW w:w="0" w:type="auto"/>
            <w:gridSpan w:val="2"/>
            <w:shd w:val="clear" w:color="auto" w:fill="1B556B"/>
            <w:vAlign w:val="bottom"/>
          </w:tcPr>
          <w:p w14:paraId="3EA5E049" w14:textId="77777777" w:rsidR="00A76ADB" w:rsidRPr="006C0D1B" w:rsidRDefault="00A76ADB" w:rsidP="007E3239">
            <w:pPr>
              <w:pStyle w:val="TableTextBold"/>
              <w:jc w:val="center"/>
              <w:rPr>
                <w:rFonts w:eastAsia="Calibri"/>
                <w:color w:val="FFFFFF"/>
              </w:rPr>
            </w:pPr>
            <w:r w:rsidRPr="006C0D1B">
              <w:rPr>
                <w:rFonts w:eastAsia="Calibri"/>
                <w:color w:val="FFFFFF"/>
              </w:rPr>
              <w:t>Share (%)</w:t>
            </w:r>
          </w:p>
        </w:tc>
      </w:tr>
      <w:tr w:rsidR="00A76ADB" w:rsidRPr="001412D7" w14:paraId="71F8EE98" w14:textId="77777777" w:rsidTr="00AC5DC5">
        <w:trPr>
          <w:cantSplit/>
          <w:trHeight w:val="283"/>
        </w:trPr>
        <w:tc>
          <w:tcPr>
            <w:tcW w:w="0" w:type="auto"/>
            <w:shd w:val="clear" w:color="auto" w:fill="FFFFFF"/>
            <w:tcMar>
              <w:top w:w="0" w:type="dxa"/>
              <w:left w:w="0" w:type="dxa"/>
              <w:bottom w:w="0" w:type="dxa"/>
              <w:right w:w="0" w:type="dxa"/>
            </w:tcMar>
          </w:tcPr>
          <w:p w14:paraId="3DE564CC" w14:textId="77777777" w:rsidR="00A76ADB" w:rsidRPr="001412D7" w:rsidRDefault="00A76ADB" w:rsidP="007E3239">
            <w:pPr>
              <w:pStyle w:val="Tableboldblue"/>
              <w:rPr>
                <w:rFonts w:eastAsia="Calibri"/>
              </w:rPr>
            </w:pPr>
            <w:r w:rsidRPr="001412D7">
              <w:rPr>
                <w:rFonts w:eastAsia="Calibri"/>
              </w:rPr>
              <w:t>Source category</w:t>
            </w:r>
          </w:p>
        </w:tc>
        <w:tc>
          <w:tcPr>
            <w:tcW w:w="0" w:type="auto"/>
            <w:shd w:val="clear" w:color="auto" w:fill="FFFFFF"/>
            <w:tcMar>
              <w:top w:w="0" w:type="dxa"/>
              <w:left w:w="0" w:type="dxa"/>
              <w:bottom w:w="0" w:type="dxa"/>
              <w:right w:w="0" w:type="dxa"/>
            </w:tcMar>
          </w:tcPr>
          <w:p w14:paraId="2458BEC0" w14:textId="77777777" w:rsidR="00A76ADB" w:rsidRPr="001412D7" w:rsidRDefault="00A76ADB" w:rsidP="007E3239">
            <w:pPr>
              <w:pStyle w:val="Tableboldblue"/>
              <w:jc w:val="center"/>
              <w:rPr>
                <w:rFonts w:eastAsia="Calibri"/>
              </w:rPr>
            </w:pPr>
            <w:r w:rsidRPr="001412D7">
              <w:rPr>
                <w:rFonts w:eastAsia="Calibri"/>
              </w:rPr>
              <w:t>1990</w:t>
            </w:r>
          </w:p>
        </w:tc>
        <w:tc>
          <w:tcPr>
            <w:tcW w:w="0" w:type="auto"/>
            <w:shd w:val="clear" w:color="auto" w:fill="FFFFFF"/>
            <w:tcMar>
              <w:top w:w="0" w:type="dxa"/>
              <w:left w:w="0" w:type="dxa"/>
              <w:bottom w:w="0" w:type="dxa"/>
              <w:right w:w="0" w:type="dxa"/>
            </w:tcMar>
          </w:tcPr>
          <w:p w14:paraId="7B9AA104" w14:textId="77777777" w:rsidR="00A76ADB" w:rsidRPr="001412D7" w:rsidRDefault="00A76ADB" w:rsidP="007E3239">
            <w:pPr>
              <w:pStyle w:val="Tableboldblue"/>
              <w:jc w:val="center"/>
              <w:rPr>
                <w:rFonts w:eastAsia="Calibri"/>
              </w:rPr>
            </w:pPr>
            <w:r w:rsidRPr="001412D7">
              <w:rPr>
                <w:rFonts w:eastAsia="Calibri"/>
              </w:rPr>
              <w:t>2020</w:t>
            </w:r>
          </w:p>
        </w:tc>
        <w:tc>
          <w:tcPr>
            <w:tcW w:w="0" w:type="auto"/>
            <w:shd w:val="clear" w:color="auto" w:fill="FFFFFF"/>
          </w:tcPr>
          <w:p w14:paraId="76200B6A" w14:textId="77777777" w:rsidR="00A76ADB" w:rsidRPr="001412D7" w:rsidRDefault="00A76ADB" w:rsidP="007E3239">
            <w:pPr>
              <w:pStyle w:val="Tableboldblue"/>
              <w:jc w:val="center"/>
              <w:rPr>
                <w:rFonts w:eastAsia="Calibri"/>
              </w:rPr>
            </w:pPr>
            <w:r w:rsidRPr="001412D7">
              <w:rPr>
                <w:rFonts w:eastAsia="Calibri"/>
              </w:rPr>
              <w:t>1990–2020</w:t>
            </w:r>
          </w:p>
        </w:tc>
        <w:tc>
          <w:tcPr>
            <w:tcW w:w="0" w:type="auto"/>
            <w:shd w:val="clear" w:color="auto" w:fill="FFFFFF"/>
          </w:tcPr>
          <w:p w14:paraId="4662D02D" w14:textId="77777777" w:rsidR="00A76ADB" w:rsidRPr="001412D7" w:rsidRDefault="00A76ADB" w:rsidP="007E3239">
            <w:pPr>
              <w:pStyle w:val="Tableboldblue"/>
              <w:jc w:val="center"/>
              <w:rPr>
                <w:rFonts w:eastAsia="Calibri"/>
              </w:rPr>
            </w:pPr>
            <w:r w:rsidRPr="001412D7">
              <w:rPr>
                <w:rFonts w:eastAsia="Calibri"/>
              </w:rPr>
              <w:t>1990–2020</w:t>
            </w:r>
          </w:p>
        </w:tc>
        <w:tc>
          <w:tcPr>
            <w:tcW w:w="0" w:type="auto"/>
            <w:shd w:val="clear" w:color="auto" w:fill="FFFFFF"/>
          </w:tcPr>
          <w:p w14:paraId="57D93320" w14:textId="77777777" w:rsidR="00A76ADB" w:rsidRPr="001412D7" w:rsidRDefault="00A76ADB" w:rsidP="007E3239">
            <w:pPr>
              <w:pStyle w:val="Tableboldblue"/>
              <w:jc w:val="center"/>
              <w:rPr>
                <w:rFonts w:eastAsia="Calibri"/>
              </w:rPr>
            </w:pPr>
            <w:r w:rsidRPr="001412D7">
              <w:rPr>
                <w:rFonts w:eastAsia="Calibri"/>
              </w:rPr>
              <w:t>1990</w:t>
            </w:r>
          </w:p>
        </w:tc>
        <w:tc>
          <w:tcPr>
            <w:tcW w:w="0" w:type="auto"/>
            <w:shd w:val="clear" w:color="auto" w:fill="FFFFFF"/>
          </w:tcPr>
          <w:p w14:paraId="428B383A" w14:textId="77777777" w:rsidR="00A76ADB" w:rsidRPr="001412D7" w:rsidRDefault="00A76ADB" w:rsidP="007E3239">
            <w:pPr>
              <w:pStyle w:val="Tableboldblue"/>
              <w:jc w:val="center"/>
              <w:rPr>
                <w:rFonts w:eastAsia="Calibri"/>
              </w:rPr>
            </w:pPr>
            <w:r w:rsidRPr="001412D7">
              <w:rPr>
                <w:rFonts w:eastAsia="Calibri"/>
              </w:rPr>
              <w:t>2020</w:t>
            </w:r>
          </w:p>
        </w:tc>
      </w:tr>
      <w:tr w:rsidR="00A76ADB" w14:paraId="52CB7D0A" w14:textId="77777777" w:rsidTr="00AC5DC5">
        <w:trPr>
          <w:cantSplit/>
          <w:trHeight w:val="283"/>
        </w:trPr>
        <w:tc>
          <w:tcPr>
            <w:tcW w:w="0" w:type="auto"/>
            <w:shd w:val="clear" w:color="auto" w:fill="FFFFFF"/>
            <w:tcMar>
              <w:top w:w="0" w:type="dxa"/>
              <w:left w:w="0" w:type="dxa"/>
              <w:bottom w:w="0" w:type="dxa"/>
              <w:right w:w="0" w:type="dxa"/>
            </w:tcMar>
          </w:tcPr>
          <w:p w14:paraId="75E64223" w14:textId="77777777" w:rsidR="00A76ADB" w:rsidRPr="00847046" w:rsidRDefault="00A76ADB" w:rsidP="007E3239">
            <w:pPr>
              <w:pStyle w:val="TableText"/>
              <w:rPr>
                <w:rFonts w:eastAsia="Calibri"/>
              </w:rPr>
            </w:pPr>
            <w:r w:rsidRPr="00847046">
              <w:rPr>
                <w:rFonts w:eastAsia="Calibri"/>
              </w:rPr>
              <w:t>Solid waste disposal (5.A)</w:t>
            </w:r>
          </w:p>
        </w:tc>
        <w:tc>
          <w:tcPr>
            <w:tcW w:w="0" w:type="auto"/>
            <w:shd w:val="clear" w:color="auto" w:fill="FFFFFF"/>
            <w:tcMar>
              <w:top w:w="0" w:type="dxa"/>
              <w:left w:w="0" w:type="dxa"/>
              <w:bottom w:w="0" w:type="dxa"/>
              <w:right w:w="0" w:type="dxa"/>
            </w:tcMar>
          </w:tcPr>
          <w:p w14:paraId="1D8441E9" w14:textId="77777777" w:rsidR="00A76ADB" w:rsidRPr="00847046" w:rsidRDefault="00A76ADB" w:rsidP="007E3239">
            <w:pPr>
              <w:pStyle w:val="TableText"/>
              <w:jc w:val="center"/>
              <w:rPr>
                <w:rFonts w:eastAsia="Calibri"/>
              </w:rPr>
            </w:pPr>
            <w:r w:rsidRPr="00847046">
              <w:rPr>
                <w:rFonts w:eastAsia="Calibri"/>
              </w:rPr>
              <w:t>3</w:t>
            </w:r>
            <w:r>
              <w:rPr>
                <w:rFonts w:eastAsia="Calibri"/>
              </w:rPr>
              <w:t>,</w:t>
            </w:r>
            <w:r w:rsidRPr="00847046">
              <w:rPr>
                <w:rFonts w:eastAsia="Calibri"/>
              </w:rPr>
              <w:t>318.2</w:t>
            </w:r>
          </w:p>
        </w:tc>
        <w:tc>
          <w:tcPr>
            <w:tcW w:w="0" w:type="auto"/>
            <w:shd w:val="clear" w:color="auto" w:fill="FFFFFF"/>
            <w:tcMar>
              <w:top w:w="0" w:type="dxa"/>
              <w:left w:w="0" w:type="dxa"/>
              <w:bottom w:w="0" w:type="dxa"/>
              <w:right w:w="0" w:type="dxa"/>
            </w:tcMar>
          </w:tcPr>
          <w:p w14:paraId="75E15199" w14:textId="77777777" w:rsidR="00A76ADB" w:rsidRPr="00847046" w:rsidRDefault="00A76ADB" w:rsidP="007E3239">
            <w:pPr>
              <w:pStyle w:val="TableText"/>
              <w:jc w:val="center"/>
              <w:rPr>
                <w:rFonts w:eastAsia="Calibri"/>
              </w:rPr>
            </w:pPr>
            <w:r w:rsidRPr="00847046">
              <w:rPr>
                <w:rFonts w:eastAsia="Calibri"/>
              </w:rPr>
              <w:t>2</w:t>
            </w:r>
            <w:r>
              <w:rPr>
                <w:rFonts w:eastAsia="Calibri"/>
              </w:rPr>
              <w:t>,</w:t>
            </w:r>
            <w:r w:rsidRPr="00847046">
              <w:rPr>
                <w:rFonts w:eastAsia="Calibri"/>
              </w:rPr>
              <w:t>637.7</w:t>
            </w:r>
          </w:p>
        </w:tc>
        <w:tc>
          <w:tcPr>
            <w:tcW w:w="0" w:type="auto"/>
            <w:shd w:val="clear" w:color="auto" w:fill="FFFFFF"/>
          </w:tcPr>
          <w:p w14:paraId="60043F22" w14:textId="77777777" w:rsidR="00A76ADB" w:rsidRPr="00847046" w:rsidRDefault="00A76ADB" w:rsidP="007E3239">
            <w:pPr>
              <w:pStyle w:val="TableText"/>
              <w:jc w:val="center"/>
              <w:rPr>
                <w:rFonts w:eastAsia="Calibri"/>
              </w:rPr>
            </w:pPr>
            <w:r w:rsidRPr="00847046">
              <w:rPr>
                <w:rFonts w:eastAsia="Calibri"/>
              </w:rPr>
              <w:t>–680.5</w:t>
            </w:r>
          </w:p>
        </w:tc>
        <w:tc>
          <w:tcPr>
            <w:tcW w:w="0" w:type="auto"/>
            <w:shd w:val="clear" w:color="auto" w:fill="FFFFFF"/>
          </w:tcPr>
          <w:p w14:paraId="1DF6F291" w14:textId="77777777" w:rsidR="00A76ADB" w:rsidRPr="00847046" w:rsidRDefault="00A76ADB" w:rsidP="007E3239">
            <w:pPr>
              <w:pStyle w:val="TableText"/>
              <w:jc w:val="center"/>
              <w:rPr>
                <w:rFonts w:eastAsia="Calibri"/>
              </w:rPr>
            </w:pPr>
            <w:r>
              <w:rPr>
                <w:rFonts w:eastAsia="Calibri"/>
              </w:rPr>
              <w:t>–</w:t>
            </w:r>
            <w:r w:rsidRPr="00847046">
              <w:rPr>
                <w:rFonts w:eastAsia="Calibri"/>
              </w:rPr>
              <w:t>20.5</w:t>
            </w:r>
          </w:p>
        </w:tc>
        <w:tc>
          <w:tcPr>
            <w:tcW w:w="0" w:type="auto"/>
            <w:shd w:val="clear" w:color="auto" w:fill="FFFFFF"/>
          </w:tcPr>
          <w:p w14:paraId="25C457C7" w14:textId="77777777" w:rsidR="00A76ADB" w:rsidRPr="00847046" w:rsidRDefault="00A76ADB" w:rsidP="007E3239">
            <w:pPr>
              <w:pStyle w:val="TableText"/>
              <w:jc w:val="center"/>
              <w:rPr>
                <w:rFonts w:eastAsia="Calibri"/>
              </w:rPr>
            </w:pPr>
            <w:r w:rsidRPr="00847046">
              <w:rPr>
                <w:rFonts w:eastAsia="Calibri"/>
              </w:rPr>
              <w:t>84.2</w:t>
            </w:r>
          </w:p>
        </w:tc>
        <w:tc>
          <w:tcPr>
            <w:tcW w:w="0" w:type="auto"/>
            <w:shd w:val="clear" w:color="auto" w:fill="FFFFFF"/>
          </w:tcPr>
          <w:p w14:paraId="7868427C" w14:textId="77777777" w:rsidR="00A76ADB" w:rsidRPr="00847046" w:rsidRDefault="00A76ADB" w:rsidP="007E3239">
            <w:pPr>
              <w:pStyle w:val="TableText"/>
              <w:jc w:val="center"/>
              <w:rPr>
                <w:rFonts w:eastAsia="Calibri"/>
              </w:rPr>
            </w:pPr>
            <w:r w:rsidRPr="00847046">
              <w:rPr>
                <w:rFonts w:eastAsia="Calibri"/>
              </w:rPr>
              <w:t>80.</w:t>
            </w:r>
            <w:r>
              <w:rPr>
                <w:rFonts w:eastAsia="Calibri"/>
              </w:rPr>
              <w:t>7</w:t>
            </w:r>
          </w:p>
        </w:tc>
      </w:tr>
      <w:tr w:rsidR="00A76ADB" w14:paraId="2DFFBACE" w14:textId="77777777" w:rsidTr="00AC5DC5">
        <w:trPr>
          <w:cantSplit/>
          <w:trHeight w:val="283"/>
        </w:trPr>
        <w:tc>
          <w:tcPr>
            <w:tcW w:w="0" w:type="auto"/>
            <w:shd w:val="clear" w:color="auto" w:fill="FFFFFF"/>
            <w:tcMar>
              <w:top w:w="0" w:type="dxa"/>
              <w:left w:w="0" w:type="dxa"/>
              <w:bottom w:w="0" w:type="dxa"/>
              <w:right w:w="0" w:type="dxa"/>
            </w:tcMar>
          </w:tcPr>
          <w:p w14:paraId="6388DB59" w14:textId="77777777" w:rsidR="00A76ADB" w:rsidRPr="00847046" w:rsidRDefault="00A76ADB" w:rsidP="007E3239">
            <w:pPr>
              <w:pStyle w:val="TableText"/>
              <w:rPr>
                <w:rFonts w:eastAsia="Calibri"/>
              </w:rPr>
            </w:pPr>
            <w:r w:rsidRPr="00847046">
              <w:rPr>
                <w:rFonts w:eastAsia="Calibri"/>
              </w:rPr>
              <w:t>Biological treatment of solid waste (5.B)</w:t>
            </w:r>
          </w:p>
        </w:tc>
        <w:tc>
          <w:tcPr>
            <w:tcW w:w="0" w:type="auto"/>
            <w:shd w:val="clear" w:color="auto" w:fill="FFFFFF"/>
            <w:tcMar>
              <w:top w:w="0" w:type="dxa"/>
              <w:left w:w="0" w:type="dxa"/>
              <w:bottom w:w="0" w:type="dxa"/>
              <w:right w:w="0" w:type="dxa"/>
            </w:tcMar>
          </w:tcPr>
          <w:p w14:paraId="1453C2B2" w14:textId="77777777" w:rsidR="00A76ADB" w:rsidRPr="00847046" w:rsidRDefault="00A76ADB" w:rsidP="007E3239">
            <w:pPr>
              <w:pStyle w:val="TableText"/>
              <w:jc w:val="center"/>
              <w:rPr>
                <w:rFonts w:eastAsia="Calibri"/>
              </w:rPr>
            </w:pPr>
            <w:r w:rsidRPr="00847046">
              <w:rPr>
                <w:rFonts w:eastAsia="Calibri"/>
              </w:rPr>
              <w:t>4.7</w:t>
            </w:r>
          </w:p>
        </w:tc>
        <w:tc>
          <w:tcPr>
            <w:tcW w:w="0" w:type="auto"/>
            <w:shd w:val="clear" w:color="auto" w:fill="FFFFFF"/>
            <w:tcMar>
              <w:top w:w="0" w:type="dxa"/>
              <w:left w:w="0" w:type="dxa"/>
              <w:bottom w:w="0" w:type="dxa"/>
              <w:right w:w="0" w:type="dxa"/>
            </w:tcMar>
          </w:tcPr>
          <w:p w14:paraId="6C60E693" w14:textId="77777777" w:rsidR="00A76ADB" w:rsidRPr="00847046" w:rsidRDefault="00A76ADB" w:rsidP="007E3239">
            <w:pPr>
              <w:pStyle w:val="TableText"/>
              <w:jc w:val="center"/>
              <w:rPr>
                <w:rFonts w:eastAsia="Calibri"/>
              </w:rPr>
            </w:pPr>
            <w:r w:rsidRPr="00847046">
              <w:rPr>
                <w:rFonts w:eastAsia="Calibri"/>
              </w:rPr>
              <w:t>68.5</w:t>
            </w:r>
          </w:p>
        </w:tc>
        <w:tc>
          <w:tcPr>
            <w:tcW w:w="0" w:type="auto"/>
            <w:shd w:val="clear" w:color="auto" w:fill="FFFFFF"/>
          </w:tcPr>
          <w:p w14:paraId="5C7A9348" w14:textId="77777777" w:rsidR="00A76ADB" w:rsidRDefault="00A76ADB" w:rsidP="007E3239">
            <w:pPr>
              <w:pStyle w:val="TableText"/>
              <w:jc w:val="center"/>
              <w:rPr>
                <w:rFonts w:eastAsia="Calibri"/>
              </w:rPr>
            </w:pPr>
            <w:r w:rsidRPr="00847046">
              <w:rPr>
                <w:rFonts w:eastAsia="Calibri"/>
              </w:rPr>
              <w:t>63.8</w:t>
            </w:r>
          </w:p>
        </w:tc>
        <w:tc>
          <w:tcPr>
            <w:tcW w:w="0" w:type="auto"/>
            <w:shd w:val="clear" w:color="auto" w:fill="FFFFFF"/>
          </w:tcPr>
          <w:p w14:paraId="657110FD" w14:textId="77777777" w:rsidR="00A76ADB" w:rsidRDefault="00A76ADB" w:rsidP="007E3239">
            <w:pPr>
              <w:pStyle w:val="TableText"/>
              <w:jc w:val="center"/>
              <w:rPr>
                <w:rFonts w:eastAsia="Calibri"/>
              </w:rPr>
            </w:pPr>
            <w:r w:rsidRPr="00847046">
              <w:rPr>
                <w:rFonts w:eastAsia="Calibri"/>
              </w:rPr>
              <w:t>1</w:t>
            </w:r>
            <w:r>
              <w:rPr>
                <w:rFonts w:eastAsia="Calibri"/>
              </w:rPr>
              <w:t>,</w:t>
            </w:r>
            <w:r w:rsidRPr="00847046">
              <w:rPr>
                <w:rFonts w:eastAsia="Calibri"/>
              </w:rPr>
              <w:t>358.0</w:t>
            </w:r>
          </w:p>
        </w:tc>
        <w:tc>
          <w:tcPr>
            <w:tcW w:w="0" w:type="auto"/>
            <w:shd w:val="clear" w:color="auto" w:fill="FFFFFF"/>
          </w:tcPr>
          <w:p w14:paraId="3DA59FF7" w14:textId="77777777" w:rsidR="00A76ADB" w:rsidRDefault="00A76ADB" w:rsidP="007E3239">
            <w:pPr>
              <w:pStyle w:val="TableText"/>
              <w:jc w:val="center"/>
              <w:rPr>
                <w:rFonts w:eastAsia="Calibri"/>
              </w:rPr>
            </w:pPr>
            <w:r w:rsidRPr="00847046">
              <w:rPr>
                <w:rFonts w:eastAsia="Calibri"/>
              </w:rPr>
              <w:t>0.1</w:t>
            </w:r>
          </w:p>
        </w:tc>
        <w:tc>
          <w:tcPr>
            <w:tcW w:w="0" w:type="auto"/>
            <w:shd w:val="clear" w:color="auto" w:fill="FFFFFF"/>
          </w:tcPr>
          <w:p w14:paraId="15F68958" w14:textId="77777777" w:rsidR="00A76ADB" w:rsidRDefault="00A76ADB" w:rsidP="007E3239">
            <w:pPr>
              <w:pStyle w:val="TableText"/>
              <w:jc w:val="center"/>
              <w:rPr>
                <w:rFonts w:eastAsia="Calibri"/>
              </w:rPr>
            </w:pPr>
            <w:r w:rsidRPr="00847046">
              <w:rPr>
                <w:rFonts w:eastAsia="Calibri"/>
              </w:rPr>
              <w:t>2.1</w:t>
            </w:r>
          </w:p>
        </w:tc>
      </w:tr>
      <w:tr w:rsidR="00A76ADB" w14:paraId="40839054" w14:textId="77777777" w:rsidTr="00AC5DC5">
        <w:trPr>
          <w:cantSplit/>
          <w:trHeight w:val="283"/>
        </w:trPr>
        <w:tc>
          <w:tcPr>
            <w:tcW w:w="0" w:type="auto"/>
            <w:shd w:val="clear" w:color="auto" w:fill="FFFFFF"/>
            <w:tcMar>
              <w:top w:w="0" w:type="dxa"/>
              <w:left w:w="0" w:type="dxa"/>
              <w:bottom w:w="0" w:type="dxa"/>
              <w:right w:w="0" w:type="dxa"/>
            </w:tcMar>
          </w:tcPr>
          <w:p w14:paraId="46AE2F67" w14:textId="77777777" w:rsidR="00A76ADB" w:rsidRPr="00847046" w:rsidRDefault="00A76ADB" w:rsidP="007E3239">
            <w:pPr>
              <w:pStyle w:val="TableText"/>
              <w:rPr>
                <w:rFonts w:eastAsia="Calibri"/>
              </w:rPr>
            </w:pPr>
            <w:r w:rsidRPr="00847046">
              <w:rPr>
                <w:rFonts w:eastAsia="Calibri"/>
              </w:rPr>
              <w:t>Incineration and open burning of waste (5.C)</w:t>
            </w:r>
          </w:p>
        </w:tc>
        <w:tc>
          <w:tcPr>
            <w:tcW w:w="0" w:type="auto"/>
            <w:shd w:val="clear" w:color="auto" w:fill="FFFFFF"/>
            <w:tcMar>
              <w:top w:w="0" w:type="dxa"/>
              <w:left w:w="0" w:type="dxa"/>
              <w:bottom w:w="0" w:type="dxa"/>
              <w:right w:w="0" w:type="dxa"/>
            </w:tcMar>
          </w:tcPr>
          <w:p w14:paraId="235D4F99" w14:textId="77777777" w:rsidR="00A76ADB" w:rsidRPr="00847046" w:rsidRDefault="00A76ADB" w:rsidP="007E3239">
            <w:pPr>
              <w:pStyle w:val="TableText"/>
              <w:jc w:val="center"/>
              <w:rPr>
                <w:rFonts w:eastAsia="Calibri"/>
              </w:rPr>
            </w:pPr>
            <w:r w:rsidRPr="00847046">
              <w:rPr>
                <w:rFonts w:eastAsia="Calibri"/>
              </w:rPr>
              <w:t>315.7</w:t>
            </w:r>
          </w:p>
        </w:tc>
        <w:tc>
          <w:tcPr>
            <w:tcW w:w="0" w:type="auto"/>
            <w:shd w:val="clear" w:color="auto" w:fill="FFFFFF"/>
            <w:tcMar>
              <w:top w:w="0" w:type="dxa"/>
              <w:left w:w="0" w:type="dxa"/>
              <w:bottom w:w="0" w:type="dxa"/>
              <w:right w:w="0" w:type="dxa"/>
            </w:tcMar>
          </w:tcPr>
          <w:p w14:paraId="4DC35781" w14:textId="77777777" w:rsidR="00A76ADB" w:rsidRPr="00847046" w:rsidRDefault="00A76ADB" w:rsidP="007E3239">
            <w:pPr>
              <w:pStyle w:val="TableText"/>
              <w:jc w:val="center"/>
              <w:rPr>
                <w:rFonts w:eastAsia="Calibri"/>
              </w:rPr>
            </w:pPr>
            <w:r w:rsidRPr="00847046">
              <w:rPr>
                <w:rFonts w:eastAsia="Calibri"/>
              </w:rPr>
              <w:t>185.4</w:t>
            </w:r>
          </w:p>
        </w:tc>
        <w:tc>
          <w:tcPr>
            <w:tcW w:w="0" w:type="auto"/>
            <w:shd w:val="clear" w:color="auto" w:fill="FFFFFF"/>
          </w:tcPr>
          <w:p w14:paraId="5A00CF2C" w14:textId="77777777" w:rsidR="00A76ADB" w:rsidRDefault="00A76ADB" w:rsidP="007E3239">
            <w:pPr>
              <w:pStyle w:val="TableText"/>
              <w:jc w:val="center"/>
              <w:rPr>
                <w:rFonts w:eastAsia="Calibri"/>
              </w:rPr>
            </w:pPr>
            <w:r w:rsidRPr="00847046">
              <w:rPr>
                <w:rFonts w:eastAsia="Calibri"/>
              </w:rPr>
              <w:t>–130.3</w:t>
            </w:r>
          </w:p>
        </w:tc>
        <w:tc>
          <w:tcPr>
            <w:tcW w:w="0" w:type="auto"/>
            <w:shd w:val="clear" w:color="auto" w:fill="FFFFFF"/>
          </w:tcPr>
          <w:p w14:paraId="6C18A69F" w14:textId="77777777" w:rsidR="00A76ADB" w:rsidRDefault="00A76ADB" w:rsidP="007E3239">
            <w:pPr>
              <w:pStyle w:val="TableText"/>
              <w:jc w:val="center"/>
              <w:rPr>
                <w:rFonts w:eastAsia="Calibri"/>
              </w:rPr>
            </w:pPr>
            <w:r>
              <w:rPr>
                <w:rFonts w:eastAsia="Calibri"/>
              </w:rPr>
              <w:t>–</w:t>
            </w:r>
            <w:r w:rsidRPr="00847046">
              <w:rPr>
                <w:rFonts w:eastAsia="Calibri"/>
              </w:rPr>
              <w:t>41.3</w:t>
            </w:r>
          </w:p>
        </w:tc>
        <w:tc>
          <w:tcPr>
            <w:tcW w:w="0" w:type="auto"/>
            <w:shd w:val="clear" w:color="auto" w:fill="FFFFFF"/>
          </w:tcPr>
          <w:p w14:paraId="08BD0139" w14:textId="77777777" w:rsidR="00A76ADB" w:rsidRDefault="00A76ADB" w:rsidP="007E3239">
            <w:pPr>
              <w:pStyle w:val="TableText"/>
              <w:jc w:val="center"/>
              <w:rPr>
                <w:rFonts w:eastAsia="Calibri"/>
              </w:rPr>
            </w:pPr>
            <w:r w:rsidRPr="00847046">
              <w:rPr>
                <w:rFonts w:eastAsia="Calibri"/>
              </w:rPr>
              <w:t>8.0</w:t>
            </w:r>
          </w:p>
        </w:tc>
        <w:tc>
          <w:tcPr>
            <w:tcW w:w="0" w:type="auto"/>
            <w:shd w:val="clear" w:color="auto" w:fill="FFFFFF"/>
          </w:tcPr>
          <w:p w14:paraId="55E4AB11" w14:textId="77777777" w:rsidR="00A76ADB" w:rsidRDefault="00A76ADB" w:rsidP="007E3239">
            <w:pPr>
              <w:pStyle w:val="TableText"/>
              <w:jc w:val="center"/>
              <w:rPr>
                <w:rFonts w:eastAsia="Calibri"/>
              </w:rPr>
            </w:pPr>
            <w:r w:rsidRPr="00847046">
              <w:rPr>
                <w:rFonts w:eastAsia="Calibri"/>
              </w:rPr>
              <w:t>5.7</w:t>
            </w:r>
          </w:p>
        </w:tc>
      </w:tr>
      <w:tr w:rsidR="00A76ADB" w14:paraId="18CD2EC9" w14:textId="77777777" w:rsidTr="00AC5DC5">
        <w:trPr>
          <w:cantSplit/>
          <w:trHeight w:val="283"/>
        </w:trPr>
        <w:tc>
          <w:tcPr>
            <w:tcW w:w="0" w:type="auto"/>
            <w:shd w:val="clear" w:color="auto" w:fill="FFFFFF"/>
            <w:tcMar>
              <w:top w:w="0" w:type="dxa"/>
              <w:left w:w="0" w:type="dxa"/>
              <w:bottom w:w="0" w:type="dxa"/>
              <w:right w:w="0" w:type="dxa"/>
            </w:tcMar>
          </w:tcPr>
          <w:p w14:paraId="1244C89A" w14:textId="77777777" w:rsidR="00A76ADB" w:rsidRPr="00847046" w:rsidRDefault="00A76ADB" w:rsidP="007E3239">
            <w:pPr>
              <w:pStyle w:val="TableText"/>
              <w:rPr>
                <w:rFonts w:eastAsia="Calibri"/>
              </w:rPr>
            </w:pPr>
            <w:r w:rsidRPr="00847046">
              <w:rPr>
                <w:rFonts w:eastAsia="Calibri"/>
              </w:rPr>
              <w:t>Wastewater treatment and discharge (5.D)</w:t>
            </w:r>
          </w:p>
        </w:tc>
        <w:tc>
          <w:tcPr>
            <w:tcW w:w="0" w:type="auto"/>
            <w:shd w:val="clear" w:color="auto" w:fill="FFFFFF"/>
            <w:tcMar>
              <w:top w:w="0" w:type="dxa"/>
              <w:left w:w="0" w:type="dxa"/>
              <w:bottom w:w="0" w:type="dxa"/>
              <w:right w:w="0" w:type="dxa"/>
            </w:tcMar>
          </w:tcPr>
          <w:p w14:paraId="73D06680" w14:textId="77777777" w:rsidR="00A76ADB" w:rsidRPr="00847046" w:rsidRDefault="00A76ADB" w:rsidP="007E3239">
            <w:pPr>
              <w:pStyle w:val="TableText"/>
              <w:jc w:val="center"/>
              <w:rPr>
                <w:rFonts w:eastAsia="Calibri"/>
              </w:rPr>
            </w:pPr>
            <w:r w:rsidRPr="00847046">
              <w:rPr>
                <w:rFonts w:eastAsia="Calibri"/>
              </w:rPr>
              <w:t>304.5</w:t>
            </w:r>
          </w:p>
        </w:tc>
        <w:tc>
          <w:tcPr>
            <w:tcW w:w="0" w:type="auto"/>
            <w:shd w:val="clear" w:color="auto" w:fill="FFFFFF"/>
            <w:tcMar>
              <w:top w:w="0" w:type="dxa"/>
              <w:left w:w="0" w:type="dxa"/>
              <w:bottom w:w="0" w:type="dxa"/>
              <w:right w:w="0" w:type="dxa"/>
            </w:tcMar>
          </w:tcPr>
          <w:p w14:paraId="1CF9434C" w14:textId="77777777" w:rsidR="00A76ADB" w:rsidRPr="00847046" w:rsidRDefault="00A76ADB" w:rsidP="007E3239">
            <w:pPr>
              <w:pStyle w:val="TableText"/>
              <w:jc w:val="center"/>
              <w:rPr>
                <w:rFonts w:eastAsia="Calibri"/>
              </w:rPr>
            </w:pPr>
            <w:r w:rsidRPr="00847046">
              <w:rPr>
                <w:rFonts w:eastAsia="Calibri"/>
              </w:rPr>
              <w:t>377.4</w:t>
            </w:r>
          </w:p>
        </w:tc>
        <w:tc>
          <w:tcPr>
            <w:tcW w:w="0" w:type="auto"/>
            <w:shd w:val="clear" w:color="auto" w:fill="FFFFFF"/>
          </w:tcPr>
          <w:p w14:paraId="21978BC2" w14:textId="77777777" w:rsidR="00A76ADB" w:rsidRDefault="00A76ADB" w:rsidP="007E3239">
            <w:pPr>
              <w:pStyle w:val="TableText"/>
              <w:jc w:val="center"/>
              <w:rPr>
                <w:rFonts w:eastAsia="Calibri"/>
              </w:rPr>
            </w:pPr>
            <w:r w:rsidRPr="00847046">
              <w:rPr>
                <w:rFonts w:eastAsia="Calibri"/>
              </w:rPr>
              <w:t>72.9</w:t>
            </w:r>
          </w:p>
        </w:tc>
        <w:tc>
          <w:tcPr>
            <w:tcW w:w="0" w:type="auto"/>
            <w:shd w:val="clear" w:color="auto" w:fill="FFFFFF"/>
          </w:tcPr>
          <w:p w14:paraId="4DD96073" w14:textId="77777777" w:rsidR="00A76ADB" w:rsidRDefault="00A76ADB" w:rsidP="007E3239">
            <w:pPr>
              <w:pStyle w:val="TableText"/>
              <w:jc w:val="center"/>
              <w:rPr>
                <w:rFonts w:eastAsia="Calibri"/>
              </w:rPr>
            </w:pPr>
            <w:r w:rsidRPr="00847046">
              <w:rPr>
                <w:rFonts w:eastAsia="Calibri"/>
              </w:rPr>
              <w:t>23.9</w:t>
            </w:r>
          </w:p>
        </w:tc>
        <w:tc>
          <w:tcPr>
            <w:tcW w:w="0" w:type="auto"/>
            <w:shd w:val="clear" w:color="auto" w:fill="FFFFFF"/>
          </w:tcPr>
          <w:p w14:paraId="275606DA" w14:textId="77777777" w:rsidR="00A76ADB" w:rsidRDefault="00A76ADB" w:rsidP="007E3239">
            <w:pPr>
              <w:pStyle w:val="TableText"/>
              <w:jc w:val="center"/>
              <w:rPr>
                <w:rFonts w:eastAsia="Calibri"/>
              </w:rPr>
            </w:pPr>
            <w:r w:rsidRPr="00847046">
              <w:rPr>
                <w:rFonts w:eastAsia="Calibri"/>
              </w:rPr>
              <w:t>7.7</w:t>
            </w:r>
          </w:p>
        </w:tc>
        <w:tc>
          <w:tcPr>
            <w:tcW w:w="0" w:type="auto"/>
            <w:shd w:val="clear" w:color="auto" w:fill="FFFFFF"/>
          </w:tcPr>
          <w:p w14:paraId="2A51A254" w14:textId="77777777" w:rsidR="00A76ADB" w:rsidRDefault="00A76ADB" w:rsidP="007E3239">
            <w:pPr>
              <w:pStyle w:val="TableText"/>
              <w:jc w:val="center"/>
              <w:rPr>
                <w:rFonts w:eastAsia="Calibri"/>
              </w:rPr>
            </w:pPr>
            <w:r w:rsidRPr="00847046">
              <w:rPr>
                <w:rFonts w:eastAsia="Calibri"/>
              </w:rPr>
              <w:t>11.5</w:t>
            </w:r>
          </w:p>
        </w:tc>
      </w:tr>
      <w:tr w:rsidR="00A76ADB" w:rsidRPr="001412D7" w14:paraId="7388CDD5" w14:textId="77777777" w:rsidTr="00AC5DC5">
        <w:trPr>
          <w:cantSplit/>
          <w:trHeight w:val="283"/>
        </w:trPr>
        <w:tc>
          <w:tcPr>
            <w:tcW w:w="0" w:type="auto"/>
            <w:shd w:val="clear" w:color="auto" w:fill="FFFFFF"/>
            <w:tcMar>
              <w:top w:w="0" w:type="dxa"/>
              <w:left w:w="0" w:type="dxa"/>
              <w:bottom w:w="0" w:type="dxa"/>
              <w:right w:w="0" w:type="dxa"/>
            </w:tcMar>
          </w:tcPr>
          <w:p w14:paraId="12888653" w14:textId="77777777" w:rsidR="00A76ADB" w:rsidRPr="001412D7" w:rsidRDefault="00A76ADB" w:rsidP="007E3239">
            <w:pPr>
              <w:pStyle w:val="Tableboldblue"/>
              <w:rPr>
                <w:rFonts w:eastAsia="Calibri"/>
              </w:rPr>
            </w:pPr>
            <w:r w:rsidRPr="001412D7">
              <w:rPr>
                <w:rFonts w:eastAsia="Calibri"/>
              </w:rPr>
              <w:t>Waste sector total</w:t>
            </w:r>
          </w:p>
        </w:tc>
        <w:tc>
          <w:tcPr>
            <w:tcW w:w="0" w:type="auto"/>
            <w:shd w:val="clear" w:color="auto" w:fill="FFFFFF"/>
            <w:tcMar>
              <w:top w:w="0" w:type="dxa"/>
              <w:left w:w="0" w:type="dxa"/>
              <w:bottom w:w="0" w:type="dxa"/>
              <w:right w:w="0" w:type="dxa"/>
            </w:tcMar>
          </w:tcPr>
          <w:p w14:paraId="1A95E590" w14:textId="77777777" w:rsidR="00A76ADB" w:rsidRPr="001412D7" w:rsidRDefault="00A76ADB" w:rsidP="007E3239">
            <w:pPr>
              <w:pStyle w:val="Tableboldblue"/>
              <w:jc w:val="center"/>
              <w:rPr>
                <w:rFonts w:eastAsia="Calibri"/>
              </w:rPr>
            </w:pPr>
            <w:r w:rsidRPr="001412D7">
              <w:rPr>
                <w:rFonts w:eastAsia="Calibri"/>
              </w:rPr>
              <w:t>3,943.1</w:t>
            </w:r>
          </w:p>
        </w:tc>
        <w:tc>
          <w:tcPr>
            <w:tcW w:w="0" w:type="auto"/>
            <w:shd w:val="clear" w:color="auto" w:fill="FFFFFF"/>
            <w:tcMar>
              <w:top w:w="0" w:type="dxa"/>
              <w:left w:w="0" w:type="dxa"/>
              <w:bottom w:w="0" w:type="dxa"/>
              <w:right w:w="0" w:type="dxa"/>
            </w:tcMar>
          </w:tcPr>
          <w:p w14:paraId="03947CC3" w14:textId="77777777" w:rsidR="00A76ADB" w:rsidRPr="001412D7" w:rsidRDefault="00A76ADB" w:rsidP="007E3239">
            <w:pPr>
              <w:pStyle w:val="Tableboldblue"/>
              <w:jc w:val="center"/>
              <w:rPr>
                <w:rFonts w:eastAsia="Calibri"/>
              </w:rPr>
            </w:pPr>
            <w:r w:rsidRPr="001412D7">
              <w:rPr>
                <w:rFonts w:eastAsia="Calibri"/>
              </w:rPr>
              <w:t>3,268.9</w:t>
            </w:r>
          </w:p>
        </w:tc>
        <w:tc>
          <w:tcPr>
            <w:tcW w:w="0" w:type="auto"/>
            <w:shd w:val="clear" w:color="auto" w:fill="FFFFFF"/>
          </w:tcPr>
          <w:p w14:paraId="72830833" w14:textId="77777777" w:rsidR="00A76ADB" w:rsidRPr="001412D7" w:rsidRDefault="00A76ADB" w:rsidP="007E3239">
            <w:pPr>
              <w:pStyle w:val="Tableboldblue"/>
              <w:jc w:val="center"/>
              <w:rPr>
                <w:rFonts w:eastAsia="Calibri"/>
              </w:rPr>
            </w:pPr>
            <w:r w:rsidRPr="001412D7">
              <w:rPr>
                <w:rFonts w:eastAsia="Calibri"/>
              </w:rPr>
              <w:t>–674.2</w:t>
            </w:r>
          </w:p>
        </w:tc>
        <w:tc>
          <w:tcPr>
            <w:tcW w:w="0" w:type="auto"/>
            <w:shd w:val="clear" w:color="auto" w:fill="FFFFFF"/>
          </w:tcPr>
          <w:p w14:paraId="27DE71AF" w14:textId="77777777" w:rsidR="00A76ADB" w:rsidRPr="001412D7" w:rsidRDefault="00A76ADB" w:rsidP="007E3239">
            <w:pPr>
              <w:pStyle w:val="Tableboldblue"/>
              <w:jc w:val="center"/>
              <w:rPr>
                <w:rFonts w:eastAsia="Calibri"/>
              </w:rPr>
            </w:pPr>
            <w:r w:rsidRPr="001412D7">
              <w:rPr>
                <w:rFonts w:eastAsia="Calibri"/>
              </w:rPr>
              <w:t>–17.1</w:t>
            </w:r>
          </w:p>
        </w:tc>
        <w:tc>
          <w:tcPr>
            <w:tcW w:w="0" w:type="auto"/>
            <w:shd w:val="clear" w:color="auto" w:fill="FFFFFF"/>
          </w:tcPr>
          <w:p w14:paraId="1BBC0272" w14:textId="77777777" w:rsidR="00A76ADB" w:rsidRPr="001412D7" w:rsidRDefault="00A76ADB" w:rsidP="007E3239">
            <w:pPr>
              <w:pStyle w:val="Tableboldblue"/>
              <w:jc w:val="center"/>
              <w:rPr>
                <w:rFonts w:eastAsia="Calibri"/>
              </w:rPr>
            </w:pPr>
            <w:r w:rsidRPr="001412D7">
              <w:rPr>
                <w:rFonts w:eastAsia="Calibri"/>
              </w:rPr>
              <w:t>–</w:t>
            </w:r>
          </w:p>
        </w:tc>
        <w:tc>
          <w:tcPr>
            <w:tcW w:w="0" w:type="auto"/>
            <w:shd w:val="clear" w:color="auto" w:fill="FFFFFF"/>
          </w:tcPr>
          <w:p w14:paraId="16B687EA" w14:textId="77777777" w:rsidR="00A76ADB" w:rsidRPr="001412D7" w:rsidRDefault="00A76ADB" w:rsidP="007E3239">
            <w:pPr>
              <w:pStyle w:val="Tableboldblue"/>
              <w:jc w:val="center"/>
              <w:rPr>
                <w:rFonts w:eastAsia="Calibri"/>
              </w:rPr>
            </w:pPr>
            <w:r w:rsidRPr="001412D7">
              <w:rPr>
                <w:rFonts w:eastAsia="Calibri"/>
              </w:rPr>
              <w:t>–</w:t>
            </w:r>
          </w:p>
        </w:tc>
      </w:tr>
    </w:tbl>
    <w:p w14:paraId="624D5C90" w14:textId="77777777" w:rsidR="00A76ADB" w:rsidRDefault="00A76ADB" w:rsidP="00A76ADB">
      <w:pPr>
        <w:pStyle w:val="Noteundertable"/>
        <w:spacing w:after="240"/>
      </w:pPr>
      <w:r>
        <w:rPr>
          <w:b/>
          <w:bCs/>
        </w:rPr>
        <w:t>Note:</w:t>
      </w:r>
      <w:r w:rsidRPr="00604BCD">
        <w:t xml:space="preserve"> </w:t>
      </w:r>
      <w:r>
        <w:tab/>
        <w:t xml:space="preserve">Percentages presented are calculated from </w:t>
      </w:r>
      <w:r w:rsidRPr="008724A7">
        <w:t>unrounded</w:t>
      </w:r>
      <w:r>
        <w:t xml:space="preserve"> values. Columns may not total due to rounding.</w:t>
      </w:r>
    </w:p>
    <w:p w14:paraId="4CE4E7A3" w14:textId="77777777" w:rsidR="00A76ADB" w:rsidRDefault="00A76ADB" w:rsidP="00A76ADB">
      <w:pPr>
        <w:pStyle w:val="Figure"/>
      </w:pPr>
      <w:bookmarkStart w:id="2334" w:name="_Toc99696056"/>
      <w:r>
        <w:t>Figure 7.1.2</w:t>
      </w:r>
      <w:r>
        <w:tab/>
        <w:t xml:space="preserve">Profile of emissions from New Zealand’s Waste sector by source category from </w:t>
      </w:r>
      <w:r>
        <w:rPr>
          <w:bCs/>
        </w:rPr>
        <w:t>1990</w:t>
      </w:r>
      <w:r>
        <w:t> to </w:t>
      </w:r>
      <w:r>
        <w:rPr>
          <w:bCs/>
        </w:rPr>
        <w:t>2020</w:t>
      </w:r>
      <w:bookmarkEnd w:id="2334"/>
    </w:p>
    <w:p w14:paraId="04974491" w14:textId="77777777" w:rsidR="00A76ADB" w:rsidRDefault="004B48CC" w:rsidP="00A76ADB">
      <w:pPr>
        <w:pStyle w:val="BodyText"/>
        <w:rPr>
          <w:noProof/>
        </w:rPr>
      </w:pPr>
      <w:r>
        <w:rPr>
          <w:noProof/>
        </w:rPr>
        <w:pict w14:anchorId="7AFE655D">
          <v:shape id="_x0000_i1131" type="#_x0000_t75" style="width:426.15pt;height:3in;visibility:visible;mso-wrap-style:square">
            <v:imagedata r:id="rId228" o:title=""/>
          </v:shape>
        </w:pict>
      </w:r>
    </w:p>
    <w:p w14:paraId="3A2E14D1" w14:textId="77777777" w:rsidR="00A76ADB" w:rsidRDefault="00A76ADB" w:rsidP="00A76ADB">
      <w:pPr>
        <w:pStyle w:val="Figure"/>
      </w:pPr>
      <w:bookmarkStart w:id="2335" w:name="_Toc99696057"/>
      <w:bookmarkStart w:id="2336" w:name="emissions-summary"/>
      <w:bookmarkStart w:id="2337" w:name="section-2"/>
      <w:r>
        <w:lastRenderedPageBreak/>
        <w:t>Figure 7.1.3</w:t>
      </w:r>
      <w:r>
        <w:tab/>
        <w:t xml:space="preserve">Change in New Zealand’s emissions from the Waste sector by source category from </w:t>
      </w:r>
      <w:r>
        <w:rPr>
          <w:bCs/>
        </w:rPr>
        <w:t>1990</w:t>
      </w:r>
      <w:r>
        <w:t> to </w:t>
      </w:r>
      <w:r>
        <w:rPr>
          <w:bCs/>
        </w:rPr>
        <w:t>2020</w:t>
      </w:r>
      <w:bookmarkEnd w:id="2335"/>
    </w:p>
    <w:p w14:paraId="14E15ADD" w14:textId="77777777" w:rsidR="00A76ADB" w:rsidRDefault="004B48CC" w:rsidP="00A76ADB">
      <w:pPr>
        <w:pStyle w:val="BodyText"/>
      </w:pPr>
      <w:r>
        <w:rPr>
          <w:noProof/>
        </w:rPr>
        <w:pict w14:anchorId="0C83971A">
          <v:shape id="_x0000_i1132" type="#_x0000_t75" style="width:426.15pt;height:240.3pt;visibility:visible;mso-wrap-style:square">
            <v:imagedata r:id="rId229" o:title="" cropbottom="2307f"/>
          </v:shape>
        </w:pict>
      </w:r>
    </w:p>
    <w:p w14:paraId="246787F5" w14:textId="77777777" w:rsidR="00A76ADB" w:rsidRDefault="00A76ADB" w:rsidP="00A76ADB">
      <w:pPr>
        <w:pStyle w:val="Heading3"/>
      </w:pPr>
      <w:bookmarkStart w:id="2338" w:name="Xfa42449e806fcf6a112d3c25ee820409e286d8a"/>
      <w:bookmarkEnd w:id="2336"/>
      <w:bookmarkEnd w:id="2337"/>
      <w:r>
        <w:t xml:space="preserve">7.1.3 </w:t>
      </w:r>
      <w:r>
        <w:tab/>
        <w:t>Key categories for Waste sector emissions</w:t>
      </w:r>
    </w:p>
    <w:p w14:paraId="32D79A45" w14:textId="77777777" w:rsidR="00A76ADB" w:rsidRDefault="00A76ADB" w:rsidP="00A76ADB">
      <w:pPr>
        <w:pStyle w:val="BodyText"/>
      </w:pPr>
      <w:r>
        <w:t>Details of New Zealand’s key category analysis are in chapter 1, section 1.5. The key categories in the Waste sector are listed in table 7.1.2.</w:t>
      </w:r>
    </w:p>
    <w:p w14:paraId="144621DC" w14:textId="77777777" w:rsidR="00A76ADB" w:rsidRDefault="00A76ADB" w:rsidP="00A76ADB">
      <w:pPr>
        <w:pStyle w:val="Table"/>
      </w:pPr>
      <w:bookmarkStart w:id="2339" w:name="_Toc99659322"/>
      <w:r>
        <w:t>Table 7.1.2</w:t>
      </w:r>
      <w:r>
        <w:tab/>
        <w:t>Key categories in the Waste sector</w:t>
      </w:r>
      <w:bookmarkEnd w:id="2339"/>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864"/>
        <w:gridCol w:w="3618"/>
        <w:gridCol w:w="600"/>
        <w:gridCol w:w="2423"/>
      </w:tblGrid>
      <w:tr w:rsidR="00A76ADB" w:rsidRPr="00927EC8" w14:paraId="5004FD2C" w14:textId="77777777" w:rsidTr="00F16598">
        <w:trPr>
          <w:cantSplit/>
          <w:tblHeader/>
        </w:trPr>
        <w:tc>
          <w:tcPr>
            <w:tcW w:w="0" w:type="auto"/>
            <w:shd w:val="clear" w:color="auto" w:fill="1B556B"/>
            <w:vAlign w:val="center"/>
          </w:tcPr>
          <w:p w14:paraId="618DB1C3" w14:textId="77777777" w:rsidR="00A76ADB" w:rsidRPr="006C0D1B" w:rsidRDefault="00A76ADB" w:rsidP="007E3239">
            <w:pPr>
              <w:pStyle w:val="TableTextBold"/>
              <w:rPr>
                <w:color w:val="FFFFFF"/>
              </w:rPr>
            </w:pPr>
            <w:r w:rsidRPr="006C0D1B">
              <w:rPr>
                <w:rFonts w:eastAsia="Calibri"/>
                <w:color w:val="FFFFFF"/>
              </w:rPr>
              <w:t>CRF category code</w:t>
            </w:r>
          </w:p>
        </w:tc>
        <w:tc>
          <w:tcPr>
            <w:tcW w:w="0" w:type="auto"/>
            <w:shd w:val="clear" w:color="auto" w:fill="1B556B"/>
            <w:vAlign w:val="center"/>
          </w:tcPr>
          <w:p w14:paraId="13E97290" w14:textId="77777777" w:rsidR="00A76ADB" w:rsidRPr="006C0D1B" w:rsidRDefault="00A76ADB" w:rsidP="007E3239">
            <w:pPr>
              <w:pStyle w:val="TableTextBold"/>
              <w:rPr>
                <w:color w:val="FFFFFF"/>
              </w:rPr>
            </w:pPr>
            <w:r w:rsidRPr="006C0D1B">
              <w:rPr>
                <w:rFonts w:eastAsia="Calibri"/>
                <w:color w:val="FFFFFF"/>
              </w:rPr>
              <w:t>IPCC category</w:t>
            </w:r>
          </w:p>
        </w:tc>
        <w:tc>
          <w:tcPr>
            <w:tcW w:w="0" w:type="auto"/>
            <w:shd w:val="clear" w:color="auto" w:fill="1B556B"/>
            <w:vAlign w:val="center"/>
          </w:tcPr>
          <w:p w14:paraId="7DDCC74A" w14:textId="77777777" w:rsidR="00A76ADB" w:rsidRPr="006C0D1B" w:rsidRDefault="00A76ADB" w:rsidP="007E3239">
            <w:pPr>
              <w:pStyle w:val="TableTextBold"/>
              <w:rPr>
                <w:color w:val="FFFFFF"/>
              </w:rPr>
            </w:pPr>
            <w:r w:rsidRPr="006C0D1B">
              <w:rPr>
                <w:rFonts w:eastAsia="Calibri"/>
                <w:color w:val="FFFFFF"/>
              </w:rPr>
              <w:t>Gas</w:t>
            </w:r>
          </w:p>
        </w:tc>
        <w:tc>
          <w:tcPr>
            <w:tcW w:w="0" w:type="auto"/>
            <w:shd w:val="clear" w:color="auto" w:fill="1B556B"/>
            <w:vAlign w:val="center"/>
          </w:tcPr>
          <w:p w14:paraId="19D65EF1" w14:textId="77777777" w:rsidR="00A76ADB" w:rsidRPr="006C0D1B" w:rsidRDefault="00A76ADB" w:rsidP="007E3239">
            <w:pPr>
              <w:pStyle w:val="TableTextBold"/>
              <w:rPr>
                <w:color w:val="FFFFFF"/>
              </w:rPr>
            </w:pPr>
            <w:r w:rsidRPr="006C0D1B">
              <w:rPr>
                <w:rFonts w:eastAsia="Calibri"/>
                <w:color w:val="FFFFFF"/>
              </w:rPr>
              <w:t>Criteria for identification</w:t>
            </w:r>
          </w:p>
        </w:tc>
      </w:tr>
      <w:tr w:rsidR="00A76ADB" w:rsidRPr="00927EC8" w14:paraId="75E138CF" w14:textId="77777777" w:rsidTr="00F16598">
        <w:trPr>
          <w:cantSplit/>
        </w:trPr>
        <w:tc>
          <w:tcPr>
            <w:tcW w:w="0" w:type="auto"/>
            <w:shd w:val="clear" w:color="auto" w:fill="FFFFFF"/>
            <w:vAlign w:val="center"/>
          </w:tcPr>
          <w:p w14:paraId="6A714E9C" w14:textId="77777777" w:rsidR="00A76ADB" w:rsidRPr="00927EC8" w:rsidRDefault="00A76ADB" w:rsidP="007E3239">
            <w:pPr>
              <w:pStyle w:val="TableText"/>
            </w:pPr>
            <w:r w:rsidRPr="00927EC8">
              <w:rPr>
                <w:rFonts w:eastAsia="Calibri"/>
              </w:rPr>
              <w:t>5.A</w:t>
            </w:r>
          </w:p>
        </w:tc>
        <w:tc>
          <w:tcPr>
            <w:tcW w:w="0" w:type="auto"/>
            <w:shd w:val="clear" w:color="auto" w:fill="FFFFFF"/>
            <w:vAlign w:val="center"/>
          </w:tcPr>
          <w:p w14:paraId="17E19768" w14:textId="77777777" w:rsidR="00A76ADB" w:rsidRPr="00927EC8" w:rsidRDefault="00A76ADB" w:rsidP="007E3239">
            <w:pPr>
              <w:pStyle w:val="TableText"/>
            </w:pPr>
            <w:r w:rsidRPr="00927EC8">
              <w:rPr>
                <w:rFonts w:eastAsia="Calibri"/>
              </w:rPr>
              <w:t>Solid waste disposal</w:t>
            </w:r>
          </w:p>
        </w:tc>
        <w:tc>
          <w:tcPr>
            <w:tcW w:w="0" w:type="auto"/>
            <w:shd w:val="clear" w:color="auto" w:fill="FFFFFF"/>
            <w:vAlign w:val="center"/>
          </w:tcPr>
          <w:p w14:paraId="447A375D" w14:textId="77777777" w:rsidR="00A76ADB" w:rsidRPr="00927EC8" w:rsidRDefault="00A76ADB" w:rsidP="007E3239">
            <w:pPr>
              <w:pStyle w:val="TableText"/>
            </w:pPr>
            <w:r w:rsidRPr="00927EC8">
              <w:rPr>
                <w:rFonts w:eastAsia="Calibri"/>
              </w:rPr>
              <w:t>CH</w:t>
            </w:r>
            <w:r w:rsidRPr="00927EC8">
              <w:rPr>
                <w:rFonts w:eastAsia="Calibri"/>
                <w:vertAlign w:val="subscript"/>
              </w:rPr>
              <w:t>4</w:t>
            </w:r>
          </w:p>
        </w:tc>
        <w:tc>
          <w:tcPr>
            <w:tcW w:w="0" w:type="auto"/>
            <w:shd w:val="clear" w:color="auto" w:fill="FFFFFF"/>
            <w:vAlign w:val="center"/>
          </w:tcPr>
          <w:p w14:paraId="1FAAC8AC" w14:textId="77777777" w:rsidR="00A76ADB" w:rsidRPr="00927EC8" w:rsidRDefault="00A76ADB" w:rsidP="007E3239">
            <w:pPr>
              <w:pStyle w:val="TableText"/>
            </w:pPr>
            <w:r w:rsidRPr="00927EC8">
              <w:rPr>
                <w:rFonts w:eastAsia="Calibri"/>
              </w:rPr>
              <w:t>L1, T1</w:t>
            </w:r>
          </w:p>
        </w:tc>
      </w:tr>
      <w:tr w:rsidR="00A76ADB" w:rsidRPr="00927EC8" w14:paraId="240F147E" w14:textId="77777777" w:rsidTr="00F16598">
        <w:trPr>
          <w:cantSplit/>
        </w:trPr>
        <w:tc>
          <w:tcPr>
            <w:tcW w:w="0" w:type="auto"/>
            <w:shd w:val="clear" w:color="auto" w:fill="FFFFFF"/>
            <w:vAlign w:val="center"/>
          </w:tcPr>
          <w:p w14:paraId="5C4D6498" w14:textId="77777777" w:rsidR="00A76ADB" w:rsidRPr="00927EC8" w:rsidRDefault="00A76ADB" w:rsidP="007E3239">
            <w:pPr>
              <w:pStyle w:val="TableText"/>
            </w:pPr>
            <w:r w:rsidRPr="00927EC8">
              <w:rPr>
                <w:rFonts w:eastAsia="Calibri"/>
              </w:rPr>
              <w:t>5.C</w:t>
            </w:r>
          </w:p>
        </w:tc>
        <w:tc>
          <w:tcPr>
            <w:tcW w:w="0" w:type="auto"/>
            <w:shd w:val="clear" w:color="auto" w:fill="FFFFFF"/>
            <w:vAlign w:val="center"/>
          </w:tcPr>
          <w:p w14:paraId="2018FDC0" w14:textId="77777777" w:rsidR="00A76ADB" w:rsidRPr="00927EC8" w:rsidRDefault="00A76ADB" w:rsidP="007E3239">
            <w:pPr>
              <w:pStyle w:val="TableText"/>
            </w:pPr>
            <w:r w:rsidRPr="00927EC8">
              <w:rPr>
                <w:rFonts w:eastAsia="Calibri"/>
              </w:rPr>
              <w:t>Incineration and open burning of waste</w:t>
            </w:r>
          </w:p>
        </w:tc>
        <w:tc>
          <w:tcPr>
            <w:tcW w:w="0" w:type="auto"/>
            <w:shd w:val="clear" w:color="auto" w:fill="FFFFFF"/>
            <w:vAlign w:val="center"/>
          </w:tcPr>
          <w:p w14:paraId="79CB831E" w14:textId="77777777" w:rsidR="00A76ADB" w:rsidRPr="00927EC8" w:rsidRDefault="00A76ADB" w:rsidP="007E3239">
            <w:pPr>
              <w:pStyle w:val="TableText"/>
            </w:pPr>
            <w:r w:rsidRPr="00927EC8">
              <w:rPr>
                <w:rFonts w:eastAsia="Calibri"/>
              </w:rPr>
              <w:t>CO</w:t>
            </w:r>
            <w:r w:rsidRPr="00927EC8">
              <w:rPr>
                <w:rFonts w:eastAsia="Calibri"/>
                <w:vertAlign w:val="subscript"/>
              </w:rPr>
              <w:t>2</w:t>
            </w:r>
          </w:p>
        </w:tc>
        <w:tc>
          <w:tcPr>
            <w:tcW w:w="0" w:type="auto"/>
            <w:shd w:val="clear" w:color="auto" w:fill="FFFFFF"/>
            <w:vAlign w:val="center"/>
          </w:tcPr>
          <w:p w14:paraId="0F7203F9" w14:textId="77777777" w:rsidR="00A76ADB" w:rsidRPr="00927EC8" w:rsidRDefault="00A76ADB" w:rsidP="007E3239">
            <w:pPr>
              <w:pStyle w:val="TableText"/>
            </w:pPr>
            <w:r w:rsidRPr="00927EC8">
              <w:rPr>
                <w:rFonts w:eastAsia="Calibri"/>
              </w:rPr>
              <w:t>T1</w:t>
            </w:r>
          </w:p>
        </w:tc>
      </w:tr>
      <w:tr w:rsidR="00A76ADB" w:rsidRPr="00927EC8" w14:paraId="707D5833" w14:textId="77777777" w:rsidTr="00F16598">
        <w:trPr>
          <w:cantSplit/>
        </w:trPr>
        <w:tc>
          <w:tcPr>
            <w:tcW w:w="0" w:type="auto"/>
            <w:shd w:val="clear" w:color="auto" w:fill="FFFFFF"/>
            <w:vAlign w:val="center"/>
          </w:tcPr>
          <w:p w14:paraId="7191DF9E" w14:textId="77777777" w:rsidR="00A76ADB" w:rsidRPr="00927EC8" w:rsidRDefault="00A76ADB" w:rsidP="007E3239">
            <w:pPr>
              <w:pStyle w:val="TableText"/>
            </w:pPr>
            <w:r w:rsidRPr="00927EC8">
              <w:rPr>
                <w:rFonts w:eastAsia="Calibri"/>
              </w:rPr>
              <w:t>5.D</w:t>
            </w:r>
          </w:p>
        </w:tc>
        <w:tc>
          <w:tcPr>
            <w:tcW w:w="0" w:type="auto"/>
            <w:shd w:val="clear" w:color="auto" w:fill="FFFFFF"/>
            <w:vAlign w:val="center"/>
          </w:tcPr>
          <w:p w14:paraId="043C92EF" w14:textId="77777777" w:rsidR="00A76ADB" w:rsidRPr="00927EC8" w:rsidRDefault="00A76ADB" w:rsidP="007E3239">
            <w:pPr>
              <w:pStyle w:val="TableText"/>
            </w:pPr>
            <w:r w:rsidRPr="00927EC8">
              <w:rPr>
                <w:rFonts w:eastAsia="Calibri"/>
              </w:rPr>
              <w:t>Wastewater treatment and discharge</w:t>
            </w:r>
          </w:p>
        </w:tc>
        <w:tc>
          <w:tcPr>
            <w:tcW w:w="0" w:type="auto"/>
            <w:shd w:val="clear" w:color="auto" w:fill="FFFFFF"/>
            <w:vAlign w:val="center"/>
          </w:tcPr>
          <w:p w14:paraId="22DD88E8" w14:textId="77777777" w:rsidR="00A76ADB" w:rsidRPr="00927EC8" w:rsidRDefault="00A76ADB" w:rsidP="007E3239">
            <w:pPr>
              <w:pStyle w:val="TableText"/>
            </w:pPr>
            <w:r w:rsidRPr="00927EC8">
              <w:rPr>
                <w:rFonts w:eastAsia="Calibri"/>
              </w:rPr>
              <w:t>CH</w:t>
            </w:r>
            <w:r w:rsidRPr="00927EC8">
              <w:rPr>
                <w:rFonts w:eastAsia="Calibri"/>
                <w:vertAlign w:val="subscript"/>
              </w:rPr>
              <w:t>4</w:t>
            </w:r>
          </w:p>
        </w:tc>
        <w:tc>
          <w:tcPr>
            <w:tcW w:w="0" w:type="auto"/>
            <w:shd w:val="clear" w:color="auto" w:fill="FFFFFF"/>
            <w:vAlign w:val="center"/>
          </w:tcPr>
          <w:p w14:paraId="27D9FAF5" w14:textId="77777777" w:rsidR="00A76ADB" w:rsidRPr="00927EC8" w:rsidRDefault="00A76ADB" w:rsidP="007E3239">
            <w:pPr>
              <w:pStyle w:val="TableText"/>
            </w:pPr>
            <w:r w:rsidRPr="00927EC8">
              <w:rPr>
                <w:rFonts w:eastAsia="Calibri"/>
              </w:rPr>
              <w:t>L1</w:t>
            </w:r>
          </w:p>
        </w:tc>
      </w:tr>
    </w:tbl>
    <w:p w14:paraId="13AD9C82" w14:textId="77777777" w:rsidR="00A76ADB" w:rsidRDefault="00A76ADB" w:rsidP="00A76ADB">
      <w:pPr>
        <w:pStyle w:val="Noteundertable"/>
      </w:pPr>
      <w:r>
        <w:rPr>
          <w:b/>
          <w:bCs/>
        </w:rPr>
        <w:t>Note:</w:t>
      </w:r>
      <w:r w:rsidRPr="00604BCD">
        <w:t xml:space="preserve"> </w:t>
      </w:r>
      <w:r>
        <w:tab/>
        <w:t>L1 means a key category is identified under the level analysis – approach 1, and T1 is trend analysis </w:t>
      </w:r>
      <w:r>
        <w:br/>
        <w:t>– approach 1. See chapter 1 for more information.</w:t>
      </w:r>
    </w:p>
    <w:p w14:paraId="0659E3FF" w14:textId="77777777" w:rsidR="00A76ADB" w:rsidRDefault="00A76ADB" w:rsidP="00A76ADB">
      <w:pPr>
        <w:pStyle w:val="Heading3"/>
      </w:pPr>
      <w:bookmarkStart w:id="2340" w:name="X3d7ebec223af44d93c735d31f59b1b4f613c843"/>
      <w:bookmarkEnd w:id="2338"/>
      <w:r>
        <w:t xml:space="preserve">7.1.4 </w:t>
      </w:r>
      <w:r>
        <w:tab/>
        <w:t>Methodological issues for the Waste sector</w:t>
      </w:r>
    </w:p>
    <w:p w14:paraId="418C6D07" w14:textId="77777777" w:rsidR="00A76ADB" w:rsidRDefault="00A76ADB" w:rsidP="00A76ADB">
      <w:pPr>
        <w:pStyle w:val="BodyText"/>
      </w:pPr>
      <w:r>
        <w:t>Activity data have come from a variety of sources. Municipal solid waste disposal data, from mandatory reporting under the Waste Minimisation Act 2008 and from the NZ ETS, were used for the years for which they are available (2010 onwards). Activity data for all other sources were based on specific surveys. Interpolation based on gross domestic product (GDP) or population is used for other years.</w:t>
      </w:r>
    </w:p>
    <w:p w14:paraId="433F72A5" w14:textId="77777777" w:rsidR="00A76ADB" w:rsidRDefault="00A76ADB" w:rsidP="00A76ADB">
      <w:pPr>
        <w:pStyle w:val="BodyText"/>
      </w:pPr>
      <w:r>
        <w:t xml:space="preserve">New Zealand uses Tier 2 methodologies for estimating emissions from the </w:t>
      </w:r>
      <w:r>
        <w:rPr>
          <w:i/>
          <w:iCs/>
        </w:rPr>
        <w:t>Solid waste disposal</w:t>
      </w:r>
      <w:r>
        <w:t xml:space="preserve"> source category, which is a key category, and for some wastewater emissions. Tier 1 methods are used to estimate other emissions from the Waste sector.</w:t>
      </w:r>
    </w:p>
    <w:p w14:paraId="741DFA42" w14:textId="63F513E7" w:rsidR="00A76ADB" w:rsidRDefault="00A76ADB" w:rsidP="00A76ADB">
      <w:pPr>
        <w:pStyle w:val="BodyText"/>
      </w:pPr>
      <w:r>
        <w:t xml:space="preserve">Country-specific emission factors have been used where available, including parameters for municipal waste (Eunomia, unpublished(a)) and for treatment of some types of industrial wastewater (Cardno, </w:t>
      </w:r>
      <w:r w:rsidR="00235915">
        <w:t>2015</w:t>
      </w:r>
      <w:r>
        <w:t>).</w:t>
      </w:r>
    </w:p>
    <w:p w14:paraId="3D169968" w14:textId="77777777" w:rsidR="00A76ADB" w:rsidRDefault="00A76ADB" w:rsidP="00A76ADB">
      <w:pPr>
        <w:pStyle w:val="BodyText"/>
      </w:pPr>
      <w:r>
        <w:t xml:space="preserve">Methodological issues are discussed under each source category in this chapter. </w:t>
      </w:r>
    </w:p>
    <w:p w14:paraId="2708061F" w14:textId="77777777" w:rsidR="00A76ADB" w:rsidRDefault="00A76ADB" w:rsidP="00A76ADB">
      <w:pPr>
        <w:pStyle w:val="Heading3"/>
      </w:pPr>
      <w:bookmarkStart w:id="2341" w:name="uncertainties"/>
      <w:bookmarkEnd w:id="2340"/>
      <w:r>
        <w:lastRenderedPageBreak/>
        <w:t xml:space="preserve">7.1.5 </w:t>
      </w:r>
      <w:r>
        <w:tab/>
        <w:t>Uncertainties</w:t>
      </w:r>
    </w:p>
    <w:p w14:paraId="79DF96D8" w14:textId="77777777" w:rsidR="00A76ADB" w:rsidRDefault="00A76ADB" w:rsidP="00A76ADB">
      <w:pPr>
        <w:pStyle w:val="BodyText"/>
        <w:spacing w:before="100" w:after="100"/>
      </w:pPr>
      <w:r>
        <w:t>The uncertainties for emission estimates are discussed under each category in this chapter. For most sources, they conform to default uncertainties in the 2006 Intergovernmental Panel on Climate Change (IPCC) Guidelines (IPCC, 2006a). Much higher uncertainties are reported for unmanaged waste due to uncertainty in the activity data, and for indirect N</w:t>
      </w:r>
      <w:r>
        <w:rPr>
          <w:vertAlign w:val="subscript"/>
        </w:rPr>
        <w:t>2</w:t>
      </w:r>
      <w:r>
        <w:t>O emissions from wastewater going into rivers and seawater due to uncertainty in the emission factors.</w:t>
      </w:r>
    </w:p>
    <w:p w14:paraId="11AAD688" w14:textId="77777777" w:rsidR="00A76ADB" w:rsidRDefault="00A76ADB" w:rsidP="00A76ADB">
      <w:pPr>
        <w:pStyle w:val="Heading3"/>
        <w:spacing w:before="320"/>
      </w:pPr>
      <w:bookmarkStart w:id="2342" w:name="verification"/>
      <w:bookmarkEnd w:id="2341"/>
      <w:r>
        <w:t xml:space="preserve">7.1.6 </w:t>
      </w:r>
      <w:r>
        <w:tab/>
        <w:t>Verification</w:t>
      </w:r>
    </w:p>
    <w:p w14:paraId="61F4CED6" w14:textId="77777777" w:rsidR="00A76ADB" w:rsidRDefault="00A76ADB" w:rsidP="00A76ADB">
      <w:pPr>
        <w:pStyle w:val="BodyText"/>
        <w:spacing w:before="100" w:after="100"/>
      </w:pPr>
      <w:r>
        <w:t xml:space="preserve">Where available, data </w:t>
      </w:r>
      <w:r w:rsidRPr="00217298">
        <w:t>from</w:t>
      </w:r>
      <w:r>
        <w:t xml:space="preserve"> different sources were used for verification. All of the municipal landfills report their activity data either monthly or annually under the requirements of the Waste Minimisation Act 2008. In addition, most of these landfills also report activity data and estimated emissions (by mass balance) as part of the NZ ETS. These data sources are used as primary sources or for verification, as appropriate.</w:t>
      </w:r>
    </w:p>
    <w:p w14:paraId="07AFC0C3" w14:textId="77777777" w:rsidR="00A76ADB" w:rsidRDefault="00A76ADB" w:rsidP="00A76ADB">
      <w:pPr>
        <w:pStyle w:val="BodyText"/>
        <w:spacing w:before="100" w:after="100"/>
      </w:pPr>
      <w:r>
        <w:t>Data on wastewater treatment have been obtained from surveys.</w:t>
      </w:r>
    </w:p>
    <w:p w14:paraId="7C82A438" w14:textId="77777777" w:rsidR="00A76ADB" w:rsidRDefault="00A76ADB" w:rsidP="00A76ADB">
      <w:pPr>
        <w:pStyle w:val="Heading3"/>
        <w:spacing w:before="320"/>
      </w:pPr>
      <w:bookmarkStart w:id="2343" w:name="recalculations-and-improvements"/>
      <w:bookmarkEnd w:id="2342"/>
      <w:r>
        <w:t xml:space="preserve">7.1.7 </w:t>
      </w:r>
      <w:r>
        <w:tab/>
        <w:t>Recalculations and improvements</w:t>
      </w:r>
    </w:p>
    <w:p w14:paraId="3AE2FF11" w14:textId="77777777" w:rsidR="00A76ADB" w:rsidRPr="00246F01" w:rsidRDefault="00A76ADB" w:rsidP="00A76ADB">
      <w:pPr>
        <w:pStyle w:val="BodyText"/>
        <w:spacing w:after="100"/>
      </w:pPr>
      <w:r w:rsidRPr="00246F01">
        <w:t>Improvements and recalculations made to estimates in the Waste sector have resulted in a 0.5 per cent (18.2 kt CO</w:t>
      </w:r>
      <w:r w:rsidRPr="00246F01">
        <w:rPr>
          <w:vertAlign w:val="subscript"/>
        </w:rPr>
        <w:t>2</w:t>
      </w:r>
      <w:r w:rsidRPr="00246F01">
        <w:t>-e) decrease in emissions in 1990 and a 0.1 per cent (4.2 kt CO</w:t>
      </w:r>
      <w:r w:rsidRPr="00246F01">
        <w:rPr>
          <w:vertAlign w:val="subscript"/>
        </w:rPr>
        <w:t>2</w:t>
      </w:r>
      <w:r w:rsidRPr="00246F01">
        <w:t>-e) decrease in emissions in 2019.</w:t>
      </w:r>
    </w:p>
    <w:p w14:paraId="315FF96E" w14:textId="77777777" w:rsidR="00A76ADB" w:rsidRDefault="00A76ADB" w:rsidP="00A76ADB">
      <w:pPr>
        <w:pStyle w:val="BodyText"/>
        <w:spacing w:after="100"/>
      </w:pPr>
      <w:r>
        <w:t xml:space="preserve">Minor changes have been made for three categories in the 2022 submission. First, there are minor updates to activity data for </w:t>
      </w:r>
      <w:r>
        <w:rPr>
          <w:i/>
          <w:iCs/>
        </w:rPr>
        <w:t>Managed waste disposal sites</w:t>
      </w:r>
      <w:r>
        <w:t xml:space="preserve">. Since revisions have been made to historical waste disposal levy data, these are now included in the inventory. Overall, the data has changed by less than 1%, and these changes are because of amendments submitted by the landfill operators due to operational circumstances. The levy data will continue to be fully updated in each future submission. Second, there are two issues addressed in the activity data for non-municipal landfills, part of the </w:t>
      </w:r>
      <w:r>
        <w:rPr>
          <w:i/>
          <w:iCs/>
        </w:rPr>
        <w:t>Unmanaged waste disposal sites</w:t>
      </w:r>
      <w:r>
        <w:t xml:space="preserve"> category.</w:t>
      </w:r>
    </w:p>
    <w:p w14:paraId="49F0CB06" w14:textId="77777777" w:rsidR="00A76ADB" w:rsidRDefault="00A76ADB" w:rsidP="00CF251C">
      <w:pPr>
        <w:pStyle w:val="Bullet"/>
      </w:pPr>
      <w:r>
        <w:t>Activity data for 1950 to 2015 had previously been calculated using data based on Tonkin and Taylor Ltd (unpublished(b)); however, the link between the source data and the calculated activity data used in the inventory was not clear. With further analysis, the calculated activity data was re-created using scripts and this method is fully repeatable. There is about 5 per cent discrepancy between the original and the new method, which is acceptable due to the increase in transparency.</w:t>
      </w:r>
    </w:p>
    <w:p w14:paraId="35A98BC2" w14:textId="77777777" w:rsidR="00A76ADB" w:rsidRDefault="00A76ADB" w:rsidP="00A76ADB">
      <w:pPr>
        <w:pStyle w:val="Bullet"/>
      </w:pPr>
      <w:r>
        <w:t>Methods to generate activity data for 2016 onward are revised to keep activity data constant at 2015 levels. Before the 2022 submission, there was a significant step-change in activity data that did not appear to be justified, and it did not reflect an accurate assumed composition of waste data. Keeping activity data constant at 2015 levels is considered to be a suitable alternative, before activity data based on actual rather than assumed waste data are made available.</w:t>
      </w:r>
    </w:p>
    <w:p w14:paraId="44635E81" w14:textId="77777777" w:rsidR="00A76ADB" w:rsidRDefault="00A76ADB" w:rsidP="00A76ADB">
      <w:pPr>
        <w:pStyle w:val="BodyText"/>
        <w:spacing w:before="100"/>
      </w:pPr>
      <w:r>
        <w:t xml:space="preserve">Third, a correction is made to total carbon content in paper/card in the </w:t>
      </w:r>
      <w:r>
        <w:rPr>
          <w:i/>
          <w:iCs/>
        </w:rPr>
        <w:t>Open burning of waste</w:t>
      </w:r>
      <w:r>
        <w:t xml:space="preserve"> category. The percentage of total carbon content for paper/card was previously reported as 43 per cent and this has been adjusted to 46 per cent in accordance with table 2.4 of the 2006 IPCC Guidelines (IPCC, 2006a) and is also reflected in table 7.4.3.</w:t>
      </w:r>
    </w:p>
    <w:p w14:paraId="332D4A37" w14:textId="77777777" w:rsidR="00A76ADB" w:rsidRDefault="00A76ADB" w:rsidP="00A76ADB">
      <w:pPr>
        <w:pStyle w:val="BodyText"/>
        <w:spacing w:before="100"/>
      </w:pPr>
      <w:r>
        <w:t>Further details can be found under methodological issues for each source category and also in chapter 10.</w:t>
      </w:r>
    </w:p>
    <w:bookmarkEnd w:id="2343"/>
    <w:p w14:paraId="6B84E12A" w14:textId="77777777" w:rsidR="00A76ADB" w:rsidRDefault="00A76ADB" w:rsidP="00A76ADB">
      <w:pPr>
        <w:pStyle w:val="Heading3"/>
      </w:pPr>
      <w:r>
        <w:lastRenderedPageBreak/>
        <w:t xml:space="preserve">7.1.8 </w:t>
      </w:r>
      <w:r>
        <w:tab/>
        <w:t>Quality-assurance/quality-control (QA/QC) processes</w:t>
      </w:r>
    </w:p>
    <w:p w14:paraId="63BF0982" w14:textId="77777777" w:rsidR="00A76ADB" w:rsidRDefault="00A76ADB" w:rsidP="00A76ADB">
      <w:pPr>
        <w:pStyle w:val="BodyText"/>
      </w:pPr>
      <w:r>
        <w:t>Figure 7.1.4 shows a flow diagram for data in the Waste sector, including quality-assurance and quality-control processes. Tier 1 quality checks were carried out on all data for key categories in this sector.</w:t>
      </w:r>
    </w:p>
    <w:p w14:paraId="32DCA6CE" w14:textId="77777777" w:rsidR="00A76ADB" w:rsidRDefault="00A76ADB" w:rsidP="00A76ADB">
      <w:pPr>
        <w:pStyle w:val="Figure"/>
      </w:pPr>
      <w:bookmarkStart w:id="2344" w:name="_Toc99696058"/>
      <w:r>
        <w:t>Figure 7.1.4</w:t>
      </w:r>
      <w:r>
        <w:tab/>
        <w:t>Tier 1 quality checks for the Waste sector</w:t>
      </w:r>
      <w:bookmarkEnd w:id="2344"/>
    </w:p>
    <w:p w14:paraId="55F7F9DC" w14:textId="1943FF67" w:rsidR="00A76ADB" w:rsidRDefault="004B48CC" w:rsidP="00A76ADB">
      <w:pPr>
        <w:pStyle w:val="BodyText"/>
      </w:pPr>
      <w:bookmarkStart w:id="2345" w:name="sector-overview"/>
      <w:bookmarkStart w:id="2346" w:name="X1f698cc084c84463889f5fff1260c8c66d2e4cc"/>
      <w:r>
        <w:rPr>
          <w:noProof/>
        </w:rPr>
        <w:pict w14:anchorId="2F486CBB">
          <v:shape id="_x0000_i1133" type="#_x0000_t75" style="width:416.95pt;height:345.75pt;visibility:visible;mso-wrap-style:square">
            <v:imagedata r:id="rId230" o:title="" cropright="1234f"/>
          </v:shape>
        </w:pict>
      </w:r>
    </w:p>
    <w:p w14:paraId="253962A3" w14:textId="77777777" w:rsidR="00A76ADB" w:rsidRDefault="00A76ADB" w:rsidP="00A76ADB">
      <w:pPr>
        <w:pStyle w:val="Heading2"/>
      </w:pPr>
      <w:bookmarkStart w:id="2347" w:name="_Toc99659153"/>
      <w:bookmarkEnd w:id="2345"/>
      <w:bookmarkEnd w:id="2346"/>
      <w:r>
        <w:t xml:space="preserve">7.2 </w:t>
      </w:r>
      <w:r>
        <w:tab/>
        <w:t>Solid waste disposal (5.A)</w:t>
      </w:r>
      <w:bookmarkEnd w:id="2347"/>
    </w:p>
    <w:p w14:paraId="2589C868" w14:textId="77777777" w:rsidR="00A76ADB" w:rsidRDefault="00A76ADB" w:rsidP="00A76ADB">
      <w:pPr>
        <w:pStyle w:val="Heading3"/>
        <w:spacing w:before="240"/>
      </w:pPr>
      <w:r>
        <w:t xml:space="preserve">7.2.1 </w:t>
      </w:r>
      <w:r>
        <w:tab/>
        <w:t>Description</w:t>
      </w:r>
    </w:p>
    <w:p w14:paraId="31D9F24F" w14:textId="77777777" w:rsidR="00A76ADB" w:rsidRDefault="00A76ADB" w:rsidP="00A76ADB">
      <w:pPr>
        <w:pStyle w:val="BodyText"/>
      </w:pPr>
      <w:r>
        <w:t xml:space="preserve">Household </w:t>
      </w:r>
      <w:r w:rsidRPr="00756E6C">
        <w:t>and</w:t>
      </w:r>
      <w:r>
        <w:t xml:space="preserve"> industrial solid waste in New Zealand is disposed of almost exclusively to landfills, except about half of all farm waste that is disposed by open burning. The three broad types of landfill sites in New Zealand are:</w:t>
      </w:r>
    </w:p>
    <w:p w14:paraId="113180D7" w14:textId="77777777" w:rsidR="00A76ADB" w:rsidRDefault="00A76ADB" w:rsidP="00F87754">
      <w:pPr>
        <w:pStyle w:val="Numberedparagraph"/>
        <w:numPr>
          <w:ilvl w:val="0"/>
          <w:numId w:val="25"/>
        </w:numPr>
      </w:pPr>
      <w:r>
        <w:t>municipal landfills, which are used for disposal of household waste but also accept industrial waste or other types of solid waste</w:t>
      </w:r>
    </w:p>
    <w:p w14:paraId="33287E2A" w14:textId="77777777" w:rsidR="00A76ADB" w:rsidRDefault="00A76ADB" w:rsidP="00A76ADB">
      <w:pPr>
        <w:pStyle w:val="Numberedparagraph"/>
      </w:pPr>
      <w:r>
        <w:t>non-municipal landfills, including cleanfills (sites disposing of largely inert waste), industrial fills and sites that dispose of construction and demolition waste</w:t>
      </w:r>
    </w:p>
    <w:p w14:paraId="337CE4BB" w14:textId="77777777" w:rsidR="00A76ADB" w:rsidRDefault="00A76ADB" w:rsidP="00A76ADB">
      <w:pPr>
        <w:pStyle w:val="Numberedparagraph"/>
      </w:pPr>
      <w:r>
        <w:t>farm fills, which are used for disposal of household and other on-farm waste to land. Disposal of waste to land (in addition to open burning) is prevalent on farms in New Zealand.</w:t>
      </w:r>
    </w:p>
    <w:p w14:paraId="595F9ABF" w14:textId="77777777" w:rsidR="00A76ADB" w:rsidRDefault="00A76ADB" w:rsidP="00A76ADB">
      <w:pPr>
        <w:pStyle w:val="BodyText"/>
      </w:pPr>
      <w:r>
        <w:lastRenderedPageBreak/>
        <w:t>These types of landfill sites map on to the CRF tables, as shown in table 7.2.1. All currently operational municipal landfill sites are managed sites (IPCC, 2006a) but due to first-order decay, some emissions continue to come from uncategorised municipal landfill sites, which were in operation before 2010.</w:t>
      </w:r>
    </w:p>
    <w:p w14:paraId="43C06FCC" w14:textId="77777777" w:rsidR="00A76ADB" w:rsidRDefault="00A76ADB" w:rsidP="00A76ADB">
      <w:pPr>
        <w:pStyle w:val="Table"/>
      </w:pPr>
      <w:bookmarkStart w:id="2348" w:name="_Toc99659323"/>
      <w:bookmarkStart w:id="2349" w:name="description"/>
      <w:r>
        <w:t>Table 7.2.1</w:t>
      </w:r>
      <w:r>
        <w:tab/>
        <w:t>Landfill emissions in the common reporting format table</w:t>
      </w:r>
      <w:bookmarkEnd w:id="2348"/>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847"/>
        <w:gridCol w:w="2690"/>
        <w:gridCol w:w="3968"/>
      </w:tblGrid>
      <w:tr w:rsidR="00A76ADB" w:rsidRPr="00DA24A4" w14:paraId="6423808F" w14:textId="77777777" w:rsidTr="00F16598">
        <w:trPr>
          <w:cantSplit/>
          <w:tblHeader/>
        </w:trPr>
        <w:tc>
          <w:tcPr>
            <w:tcW w:w="1848" w:type="dxa"/>
            <w:shd w:val="clear" w:color="auto" w:fill="1B556B"/>
            <w:vAlign w:val="bottom"/>
          </w:tcPr>
          <w:p w14:paraId="488DB9DA" w14:textId="77777777" w:rsidR="00A76ADB" w:rsidRPr="006C0D1B" w:rsidRDefault="00A76ADB" w:rsidP="007E3239">
            <w:pPr>
              <w:pStyle w:val="TableTextBold"/>
              <w:rPr>
                <w:color w:val="FFFFFF"/>
              </w:rPr>
            </w:pPr>
            <w:r w:rsidRPr="006C0D1B">
              <w:rPr>
                <w:rFonts w:eastAsia="Calibri"/>
                <w:color w:val="FFFFFF"/>
              </w:rPr>
              <w:t>CRF category code</w:t>
            </w:r>
          </w:p>
        </w:tc>
        <w:tc>
          <w:tcPr>
            <w:tcW w:w="2693" w:type="dxa"/>
            <w:shd w:val="clear" w:color="auto" w:fill="1B556B"/>
            <w:vAlign w:val="bottom"/>
          </w:tcPr>
          <w:p w14:paraId="001FCABF" w14:textId="77777777" w:rsidR="00A76ADB" w:rsidRPr="006C0D1B" w:rsidRDefault="00A76ADB" w:rsidP="007E3239">
            <w:pPr>
              <w:pStyle w:val="TableTextBold"/>
              <w:rPr>
                <w:color w:val="FFFFFF"/>
              </w:rPr>
            </w:pPr>
            <w:r w:rsidRPr="006C0D1B">
              <w:rPr>
                <w:rFonts w:eastAsia="Calibri"/>
                <w:color w:val="FFFFFF"/>
              </w:rPr>
              <w:t>Landfill type using New Zealand terminology</w:t>
            </w:r>
          </w:p>
        </w:tc>
        <w:tc>
          <w:tcPr>
            <w:tcW w:w="3974" w:type="dxa"/>
            <w:shd w:val="clear" w:color="auto" w:fill="1B556B"/>
            <w:vAlign w:val="bottom"/>
          </w:tcPr>
          <w:p w14:paraId="5EB1C01A" w14:textId="77777777" w:rsidR="00A76ADB" w:rsidRPr="006C0D1B" w:rsidRDefault="00A76ADB" w:rsidP="007E3239">
            <w:pPr>
              <w:pStyle w:val="TableTextBold"/>
              <w:rPr>
                <w:color w:val="FFFFFF"/>
              </w:rPr>
            </w:pPr>
            <w:r w:rsidRPr="006C0D1B">
              <w:rPr>
                <w:rFonts w:eastAsia="Calibri"/>
                <w:color w:val="FFFFFF"/>
              </w:rPr>
              <w:t>Comment</w:t>
            </w:r>
          </w:p>
        </w:tc>
      </w:tr>
      <w:tr w:rsidR="00A76ADB" w:rsidRPr="00DA24A4" w14:paraId="79100C7F" w14:textId="77777777" w:rsidTr="00F16598">
        <w:trPr>
          <w:cantSplit/>
          <w:trHeight w:val="283"/>
        </w:trPr>
        <w:tc>
          <w:tcPr>
            <w:tcW w:w="1848" w:type="dxa"/>
            <w:shd w:val="clear" w:color="auto" w:fill="FFFFFF"/>
          </w:tcPr>
          <w:p w14:paraId="4107D161" w14:textId="77777777" w:rsidR="00A76ADB" w:rsidRPr="00DA24A4" w:rsidRDefault="00A76ADB" w:rsidP="007E3239">
            <w:pPr>
              <w:pStyle w:val="TableText"/>
            </w:pPr>
            <w:r w:rsidRPr="00DA24A4">
              <w:rPr>
                <w:rFonts w:eastAsia="Calibri"/>
              </w:rPr>
              <w:t>5.A.1.a (Anaerobic)</w:t>
            </w:r>
          </w:p>
        </w:tc>
        <w:tc>
          <w:tcPr>
            <w:tcW w:w="2693" w:type="dxa"/>
            <w:shd w:val="clear" w:color="auto" w:fill="FFFFFF"/>
          </w:tcPr>
          <w:p w14:paraId="63F85180" w14:textId="77777777" w:rsidR="00A76ADB" w:rsidRPr="00DA24A4" w:rsidRDefault="00A76ADB" w:rsidP="007E3239">
            <w:pPr>
              <w:pStyle w:val="TableText"/>
            </w:pPr>
            <w:r w:rsidRPr="00DA24A4">
              <w:rPr>
                <w:rFonts w:eastAsia="Calibri"/>
              </w:rPr>
              <w:t>Managed municipal landfills (Class 1)</w:t>
            </w:r>
          </w:p>
        </w:tc>
        <w:tc>
          <w:tcPr>
            <w:tcW w:w="3974" w:type="dxa"/>
            <w:shd w:val="clear" w:color="auto" w:fill="FFFFFF"/>
          </w:tcPr>
          <w:p w14:paraId="485B7E7B" w14:textId="77777777" w:rsidR="00A76ADB" w:rsidRPr="00DA24A4" w:rsidRDefault="00A76ADB" w:rsidP="007E3239">
            <w:pPr>
              <w:pStyle w:val="TableText"/>
            </w:pPr>
            <w:r w:rsidRPr="00DA24A4">
              <w:rPr>
                <w:rFonts w:eastAsia="Calibri"/>
              </w:rPr>
              <w:t>Includes all currently operational municipal landfill sites and all sites with gas recovery</w:t>
            </w:r>
          </w:p>
        </w:tc>
      </w:tr>
      <w:tr w:rsidR="00A76ADB" w:rsidRPr="00DA24A4" w14:paraId="4B5AA6E5" w14:textId="77777777" w:rsidTr="00F16598">
        <w:trPr>
          <w:cantSplit/>
          <w:trHeight w:val="283"/>
        </w:trPr>
        <w:tc>
          <w:tcPr>
            <w:tcW w:w="1848" w:type="dxa"/>
            <w:shd w:val="clear" w:color="auto" w:fill="FFFFFF"/>
          </w:tcPr>
          <w:p w14:paraId="77BC5FD7" w14:textId="77777777" w:rsidR="00A76ADB" w:rsidRPr="00DA24A4" w:rsidRDefault="00A76ADB" w:rsidP="007E3239">
            <w:pPr>
              <w:pStyle w:val="TableText"/>
            </w:pPr>
            <w:r w:rsidRPr="00DA24A4">
              <w:rPr>
                <w:rFonts w:eastAsia="Calibri"/>
              </w:rPr>
              <w:t>5.A.1.b (Semi-aerobic)</w:t>
            </w:r>
          </w:p>
        </w:tc>
        <w:tc>
          <w:tcPr>
            <w:tcW w:w="2693" w:type="dxa"/>
            <w:shd w:val="clear" w:color="auto" w:fill="FFFFFF"/>
          </w:tcPr>
          <w:p w14:paraId="10B5B71D" w14:textId="77777777" w:rsidR="00A76ADB" w:rsidRPr="00DA24A4" w:rsidRDefault="00A76ADB" w:rsidP="007E3239">
            <w:pPr>
              <w:pStyle w:val="TableText"/>
            </w:pPr>
            <w:r w:rsidRPr="00DA24A4">
              <w:rPr>
                <w:rFonts w:eastAsia="Calibri"/>
              </w:rPr>
              <w:t>–</w:t>
            </w:r>
          </w:p>
        </w:tc>
        <w:tc>
          <w:tcPr>
            <w:tcW w:w="3974" w:type="dxa"/>
            <w:shd w:val="clear" w:color="auto" w:fill="FFFFFF"/>
          </w:tcPr>
          <w:p w14:paraId="263E9EB1" w14:textId="77777777" w:rsidR="00A76ADB" w:rsidRPr="00DA24A4" w:rsidRDefault="00A76ADB" w:rsidP="007E3239">
            <w:pPr>
              <w:pStyle w:val="TableText"/>
            </w:pPr>
            <w:r w:rsidRPr="00DA24A4">
              <w:rPr>
                <w:rFonts w:eastAsia="Calibri"/>
              </w:rPr>
              <w:t>No semi-aerobic landfill sites identified in New Zealand</w:t>
            </w:r>
          </w:p>
        </w:tc>
      </w:tr>
      <w:tr w:rsidR="00A76ADB" w:rsidRPr="00DA24A4" w14:paraId="15A9BD4C" w14:textId="77777777" w:rsidTr="00F16598">
        <w:trPr>
          <w:cantSplit/>
          <w:trHeight w:val="283"/>
        </w:trPr>
        <w:tc>
          <w:tcPr>
            <w:tcW w:w="1848" w:type="dxa"/>
            <w:shd w:val="clear" w:color="auto" w:fill="FFFFFF"/>
          </w:tcPr>
          <w:p w14:paraId="6FC17AAD" w14:textId="77777777" w:rsidR="00A76ADB" w:rsidRPr="00DA24A4" w:rsidRDefault="00A76ADB" w:rsidP="007E3239">
            <w:pPr>
              <w:pStyle w:val="TableText"/>
            </w:pPr>
            <w:r w:rsidRPr="00DA24A4">
              <w:rPr>
                <w:rFonts w:eastAsia="Calibri"/>
              </w:rPr>
              <w:t>5.A.2 (Unmanaged)</w:t>
            </w:r>
          </w:p>
        </w:tc>
        <w:tc>
          <w:tcPr>
            <w:tcW w:w="2693" w:type="dxa"/>
            <w:shd w:val="clear" w:color="auto" w:fill="FFFFFF"/>
          </w:tcPr>
          <w:p w14:paraId="6C8C36BB" w14:textId="77777777" w:rsidR="00A76ADB" w:rsidRPr="00DA24A4" w:rsidRDefault="00A76ADB" w:rsidP="007E3239">
            <w:pPr>
              <w:pStyle w:val="TableText"/>
            </w:pPr>
            <w:r w:rsidRPr="00DA24A4">
              <w:rPr>
                <w:rFonts w:eastAsia="Calibri"/>
              </w:rPr>
              <w:t>Non-municipal landfills (Classes 2–5)</w:t>
            </w:r>
          </w:p>
        </w:tc>
        <w:tc>
          <w:tcPr>
            <w:tcW w:w="3974" w:type="dxa"/>
            <w:shd w:val="clear" w:color="auto" w:fill="FFFFFF"/>
          </w:tcPr>
          <w:p w14:paraId="5A1C95C0" w14:textId="77777777" w:rsidR="00A76ADB" w:rsidRPr="00DA24A4" w:rsidRDefault="00A76ADB" w:rsidP="007E3239">
            <w:pPr>
              <w:pStyle w:val="TableText"/>
            </w:pPr>
            <w:r w:rsidRPr="00DA24A4">
              <w:rPr>
                <w:rFonts w:eastAsia="Calibri"/>
              </w:rPr>
              <w:t>Includes industrial landfills</w:t>
            </w:r>
          </w:p>
        </w:tc>
      </w:tr>
      <w:tr w:rsidR="00A76ADB" w:rsidRPr="00DA24A4" w14:paraId="7F2246BC" w14:textId="77777777" w:rsidTr="00F16598">
        <w:trPr>
          <w:cantSplit/>
          <w:trHeight w:val="283"/>
        </w:trPr>
        <w:tc>
          <w:tcPr>
            <w:tcW w:w="1848" w:type="dxa"/>
            <w:shd w:val="clear" w:color="auto" w:fill="FFFFFF"/>
          </w:tcPr>
          <w:p w14:paraId="2BCFB838" w14:textId="77777777" w:rsidR="00A76ADB" w:rsidRPr="00DA24A4" w:rsidRDefault="00A76ADB" w:rsidP="007E3239">
            <w:pPr>
              <w:pStyle w:val="TableText"/>
            </w:pPr>
            <w:r w:rsidRPr="00DA24A4">
              <w:rPr>
                <w:rFonts w:eastAsia="Calibri"/>
              </w:rPr>
              <w:t>5.A.2 (Unmanaged)</w:t>
            </w:r>
          </w:p>
        </w:tc>
        <w:tc>
          <w:tcPr>
            <w:tcW w:w="2693" w:type="dxa"/>
            <w:shd w:val="clear" w:color="auto" w:fill="FFFFFF"/>
          </w:tcPr>
          <w:p w14:paraId="5ADB0B3E" w14:textId="77777777" w:rsidR="00A76ADB" w:rsidRPr="00DA24A4" w:rsidRDefault="00A76ADB" w:rsidP="007E3239">
            <w:pPr>
              <w:pStyle w:val="TableText"/>
            </w:pPr>
            <w:r w:rsidRPr="00DA24A4">
              <w:rPr>
                <w:rFonts w:eastAsia="Calibri"/>
              </w:rPr>
              <w:t>Farm fills</w:t>
            </w:r>
          </w:p>
        </w:tc>
        <w:tc>
          <w:tcPr>
            <w:tcW w:w="3974" w:type="dxa"/>
            <w:shd w:val="clear" w:color="auto" w:fill="FFFFFF"/>
          </w:tcPr>
          <w:p w14:paraId="204B2DA1" w14:textId="77777777" w:rsidR="00A76ADB" w:rsidRPr="00DA24A4" w:rsidRDefault="00A76ADB" w:rsidP="007E3239">
            <w:pPr>
              <w:pStyle w:val="TableText"/>
            </w:pPr>
            <w:r w:rsidRPr="00DA24A4">
              <w:rPr>
                <w:rFonts w:eastAsia="Calibri"/>
              </w:rPr>
              <w:t>Disposal of about half of farm waste</w:t>
            </w:r>
          </w:p>
        </w:tc>
      </w:tr>
      <w:tr w:rsidR="00A76ADB" w:rsidRPr="00DA24A4" w14:paraId="3260A038" w14:textId="77777777" w:rsidTr="00F16598">
        <w:trPr>
          <w:cantSplit/>
          <w:trHeight w:val="283"/>
        </w:trPr>
        <w:tc>
          <w:tcPr>
            <w:tcW w:w="1848" w:type="dxa"/>
            <w:shd w:val="clear" w:color="auto" w:fill="FFFFFF"/>
          </w:tcPr>
          <w:p w14:paraId="6100A4EA" w14:textId="77777777" w:rsidR="00A76ADB" w:rsidRPr="00DA24A4" w:rsidRDefault="00A76ADB" w:rsidP="007E3239">
            <w:pPr>
              <w:pStyle w:val="TableText"/>
            </w:pPr>
            <w:r w:rsidRPr="00DA24A4">
              <w:rPr>
                <w:rFonts w:eastAsia="Calibri"/>
              </w:rPr>
              <w:t>5.A.3 (Uncategorised)</w:t>
            </w:r>
          </w:p>
        </w:tc>
        <w:tc>
          <w:tcPr>
            <w:tcW w:w="2693" w:type="dxa"/>
            <w:shd w:val="clear" w:color="auto" w:fill="FFFFFF"/>
          </w:tcPr>
          <w:p w14:paraId="70C38058" w14:textId="77777777" w:rsidR="00A76ADB" w:rsidRPr="00DA24A4" w:rsidRDefault="00A76ADB" w:rsidP="007E3239">
            <w:pPr>
              <w:pStyle w:val="TableText"/>
            </w:pPr>
            <w:r w:rsidRPr="00DA24A4">
              <w:rPr>
                <w:rFonts w:eastAsia="Calibri"/>
              </w:rPr>
              <w:t>Other municipal landfills (now closed)</w:t>
            </w:r>
          </w:p>
        </w:tc>
        <w:tc>
          <w:tcPr>
            <w:tcW w:w="3974" w:type="dxa"/>
            <w:shd w:val="clear" w:color="auto" w:fill="FFFFFF"/>
          </w:tcPr>
          <w:p w14:paraId="171F99EC" w14:textId="77777777" w:rsidR="00A76ADB" w:rsidRPr="00DA24A4" w:rsidRDefault="00A76ADB" w:rsidP="007E3239">
            <w:pPr>
              <w:pStyle w:val="TableText"/>
            </w:pPr>
            <w:r w:rsidRPr="00DA24A4">
              <w:rPr>
                <w:rFonts w:eastAsia="Calibri"/>
              </w:rPr>
              <w:t>While disposal is prior to 2010 only, emissions continue to be reported due to decay over time</w:t>
            </w:r>
          </w:p>
        </w:tc>
      </w:tr>
    </w:tbl>
    <w:p w14:paraId="3FEF41A3" w14:textId="77777777" w:rsidR="00A76ADB" w:rsidRDefault="00A76ADB" w:rsidP="00A76ADB">
      <w:pPr>
        <w:pStyle w:val="BodyText"/>
        <w:spacing w:before="240"/>
      </w:pPr>
      <w:r>
        <w:t xml:space="preserve">Since </w:t>
      </w:r>
      <w:r w:rsidRPr="00246F01">
        <w:t>1990</w:t>
      </w:r>
      <w:r>
        <w:t>, there have been a number of initiatives to improve solid waste management practices in New Zealand. These include:</w:t>
      </w:r>
    </w:p>
    <w:p w14:paraId="58B5D405" w14:textId="77777777" w:rsidR="00A76ADB" w:rsidRDefault="00A76ADB" w:rsidP="00A76ADB">
      <w:pPr>
        <w:pStyle w:val="Bullet"/>
      </w:pPr>
      <w:r>
        <w:t>requirements for all municipal landfills to meet resource consent conditions set under the Resource Management Act 1991</w:t>
      </w:r>
    </w:p>
    <w:p w14:paraId="52939A6F" w14:textId="77777777" w:rsidR="00A76ADB" w:rsidRDefault="00A76ADB" w:rsidP="00A76ADB">
      <w:pPr>
        <w:pStyle w:val="Bullet"/>
      </w:pPr>
      <w:r>
        <w:t>the National Environmental Standards for Air Quality (2004) set under the Resource Management Act 1991, which require large landfills to capture landfill gas (LFG). This has significantly increased the use of LFG collection technology</w:t>
      </w:r>
    </w:p>
    <w:p w14:paraId="03986D45" w14:textId="77777777" w:rsidR="00A76ADB" w:rsidRDefault="00A76ADB" w:rsidP="00A76ADB">
      <w:pPr>
        <w:pStyle w:val="Bullet"/>
      </w:pPr>
      <w:r>
        <w:t xml:space="preserve">guidance and direction to local government and the Waste sector through </w:t>
      </w:r>
      <w:r>
        <w:rPr>
          <w:i/>
          <w:iCs/>
        </w:rPr>
        <w:t>The New Zealand Waste Strategy</w:t>
      </w:r>
      <w:r>
        <w:t xml:space="preserve"> (Ministry for the Environment, 2002a) and its revision in 2010 (Ministry for the Environment, 2010)</w:t>
      </w:r>
    </w:p>
    <w:p w14:paraId="09A4947C" w14:textId="77777777" w:rsidR="00A76ADB" w:rsidRDefault="00A76ADB" w:rsidP="00A76ADB">
      <w:pPr>
        <w:pStyle w:val="Bullet"/>
      </w:pPr>
      <w:r>
        <w:t xml:space="preserve">development of the </w:t>
      </w:r>
      <w:r>
        <w:rPr>
          <w:i/>
          <w:iCs/>
        </w:rPr>
        <w:t>Solid Waste Analysis Protocol</w:t>
      </w:r>
      <w:r>
        <w:t>, which provides a consistent classification system, sampling regimes and survey procedures to estimate the composition of solid waste (Ministry for the Environment, 2002b)</w:t>
      </w:r>
    </w:p>
    <w:p w14:paraId="09E1172B" w14:textId="77777777" w:rsidR="00A76ADB" w:rsidRDefault="00A76ADB" w:rsidP="00A76ADB">
      <w:pPr>
        <w:pStyle w:val="Bullet"/>
      </w:pPr>
      <w:r>
        <w:t>the Waste Minimisation Act 2008, which imposes a levy of NZ$10 per tonne of municipal solid waste and enables regulations to establish product stewardship requirements and for information reporting. While not affecting this submission, the levy has been revised to NZ$20 per tonne from 1 July 2021 onwards and will expand to some non-municipal landfills (construction and demolition fills) as of 1 July 2022.</w:t>
      </w:r>
    </w:p>
    <w:p w14:paraId="1B426FFD" w14:textId="77777777" w:rsidR="00A76ADB" w:rsidRDefault="00A76ADB" w:rsidP="00A76ADB">
      <w:pPr>
        <w:pStyle w:val="BodyText"/>
      </w:pPr>
      <w:r>
        <w:t>In addition, most municipal landfills are now mandatory participants in the NZ ETS with obligations to report and surrender emission units for their CH</w:t>
      </w:r>
      <w:r>
        <w:rPr>
          <w:vertAlign w:val="subscript"/>
        </w:rPr>
        <w:t>4</w:t>
      </w:r>
      <w:r>
        <w:t xml:space="preserve"> emissions estimated by mass balance.</w:t>
      </w:r>
    </w:p>
    <w:p w14:paraId="5ECF0C8F" w14:textId="77777777" w:rsidR="00A76ADB" w:rsidRDefault="00A76ADB" w:rsidP="00A76ADB">
      <w:pPr>
        <w:pStyle w:val="BodyText"/>
      </w:pPr>
      <w:r>
        <w:t xml:space="preserve">These initiatives have contributed to substantial improvements in waste management since </w:t>
      </w:r>
      <w:r w:rsidRPr="00246F01">
        <w:t>1990</w:t>
      </w:r>
      <w:r>
        <w:t>. A large number of small, often poorly located and substandard municipal landfills have been closed, and most communities are now using larger, more modern regional facilities for disposal of their waste. In 2020, 39 significant municipal landfill sites were active, in comparison with 327 in 1995 and 563 in 1971. These changes have occurred because the policy initiatives outlined above lead to a consolidation of solid waste into fewer, better-managed landfills. The overall volume of waste disposal to these landfills has increased over time, especially to non-municipal fills (see tables 7.2.3 and 7.2.4). The increased disposal activity and reduction in the number of landfills means the operating facilities are larger.</w:t>
      </w:r>
    </w:p>
    <w:p w14:paraId="4821A703" w14:textId="77777777" w:rsidR="00A76ADB" w:rsidRDefault="00A76ADB" w:rsidP="00A76ADB">
      <w:pPr>
        <w:pStyle w:val="BodyText"/>
      </w:pPr>
      <w:r>
        <w:lastRenderedPageBreak/>
        <w:t>Non-municipal landfills and farm fills are required to comply with regional policies and plans made under the Resource Management Act 1991. However, these facilities are not currently required to monitor and report the waste they accept, to pay the waste levy or to participate in the NZ ETS.</w:t>
      </w:r>
    </w:p>
    <w:p w14:paraId="4E10E87E" w14:textId="77777777" w:rsidR="00A76ADB" w:rsidRDefault="00A76ADB" w:rsidP="00A76ADB">
      <w:pPr>
        <w:pStyle w:val="BodyText"/>
      </w:pPr>
      <w:r w:rsidRPr="00246F01">
        <w:t xml:space="preserve">In 2020, the </w:t>
      </w:r>
      <w:r w:rsidRPr="00246F01">
        <w:rPr>
          <w:i/>
          <w:iCs/>
        </w:rPr>
        <w:t>Solid waste disposal</w:t>
      </w:r>
      <w:r w:rsidRPr="00246F01">
        <w:t xml:space="preserve"> source category contributed 2,637.7 kt CO</w:t>
      </w:r>
      <w:r w:rsidRPr="00246F01">
        <w:rPr>
          <w:vertAlign w:val="subscript"/>
        </w:rPr>
        <w:t>2</w:t>
      </w:r>
      <w:r w:rsidRPr="00246F01">
        <w:t xml:space="preserve">-e (80.7 per cent) of total emissions from the Waste sector. Emissions from </w:t>
      </w:r>
      <w:r w:rsidRPr="00246F01">
        <w:rPr>
          <w:i/>
          <w:iCs/>
        </w:rPr>
        <w:t>Solid waste disposal</w:t>
      </w:r>
      <w:r w:rsidRPr="00246F01">
        <w:t xml:space="preserve"> in 2020 were 680.5 kt CO</w:t>
      </w:r>
      <w:r w:rsidRPr="00246F01">
        <w:rPr>
          <w:vertAlign w:val="subscript"/>
        </w:rPr>
        <w:t>2</w:t>
      </w:r>
      <w:r w:rsidRPr="00246F01">
        <w:t>-e (20.5 per cent) below the 1990 level of 3,318.2 kt CO</w:t>
      </w:r>
      <w:r w:rsidRPr="00246F01">
        <w:rPr>
          <w:vertAlign w:val="subscript"/>
        </w:rPr>
        <w:t>2</w:t>
      </w:r>
      <w:r w:rsidRPr="00246F01">
        <w:t>-e. While there is year-to-</w:t>
      </w:r>
      <w:r>
        <w:t>year variation, this net decrease is the result of two contrary trends. First, population and economic growth have driven ongoing increases in the total and per capita amount of municipal waste generated but, secondly, changing composition over time and improved landfill management practices, particularly LFG recovery, have offset this increase, resulting in emissions peaking in 2002.</w:t>
      </w:r>
    </w:p>
    <w:p w14:paraId="79B411C5" w14:textId="77777777" w:rsidR="00A76ADB" w:rsidRPr="00246F01" w:rsidRDefault="00A76ADB" w:rsidP="00A76ADB">
      <w:pPr>
        <w:pStyle w:val="BodyText"/>
      </w:pPr>
      <w:r w:rsidRPr="00246F01">
        <w:t xml:space="preserve">Methane emissions from </w:t>
      </w:r>
      <w:r w:rsidRPr="00246F01">
        <w:rPr>
          <w:i/>
          <w:iCs/>
        </w:rPr>
        <w:t>Solid waste disposal</w:t>
      </w:r>
      <w:r w:rsidRPr="00246F01">
        <w:t xml:space="preserve"> were identified as a key category in the 2020 level assessment and trend assessment.</w:t>
      </w:r>
    </w:p>
    <w:bookmarkEnd w:id="2349"/>
    <w:p w14:paraId="0C1AB745" w14:textId="77777777" w:rsidR="00A76ADB" w:rsidRDefault="00A76ADB" w:rsidP="00A76ADB">
      <w:pPr>
        <w:pStyle w:val="Heading3"/>
      </w:pPr>
      <w:r>
        <w:t xml:space="preserve">7.2.2 </w:t>
      </w:r>
      <w:r>
        <w:tab/>
        <w:t>Methodological issues</w:t>
      </w:r>
    </w:p>
    <w:p w14:paraId="77F5798D" w14:textId="77777777" w:rsidR="00A76ADB" w:rsidRDefault="00A76ADB" w:rsidP="00A76ADB">
      <w:pPr>
        <w:pStyle w:val="Heading4"/>
      </w:pPr>
      <w:r>
        <w:t>Choice of activity data</w:t>
      </w:r>
    </w:p>
    <w:p w14:paraId="1F450BDD" w14:textId="77777777" w:rsidR="00A76ADB" w:rsidRDefault="00A76ADB" w:rsidP="00A76ADB">
      <w:pPr>
        <w:pStyle w:val="BodyText"/>
      </w:pPr>
      <w:r>
        <w:t xml:space="preserve">Activity data for </w:t>
      </w:r>
      <w:r>
        <w:rPr>
          <w:i/>
          <w:iCs/>
        </w:rPr>
        <w:t>Solid waste disposal</w:t>
      </w:r>
      <w:r>
        <w:t xml:space="preserve"> varies significantly in quality and quantity. Most data are based on estimates and infrequent surveys rather than annual data, except for municipal sites since 2010.</w:t>
      </w:r>
    </w:p>
    <w:p w14:paraId="36E4D7A8" w14:textId="77777777" w:rsidR="00A76ADB" w:rsidRDefault="00A76ADB" w:rsidP="00A76ADB">
      <w:pPr>
        <w:pStyle w:val="Heading5"/>
      </w:pPr>
      <w:bookmarkStart w:id="2350" w:name="municipal-landfills-5.a.1.a-and-5.a.3"/>
      <w:r>
        <w:t>Municipal landfills (5.A.1.a and 5.A.3)</w:t>
      </w:r>
    </w:p>
    <w:p w14:paraId="04320E9E" w14:textId="77777777" w:rsidR="00A76ADB" w:rsidRDefault="00A76ADB" w:rsidP="00A76ADB">
      <w:pPr>
        <w:pStyle w:val="BodyText"/>
      </w:pPr>
      <w:r>
        <w:t>Annual total waste placement to all municipal landfills has been estimated based on:</w:t>
      </w:r>
    </w:p>
    <w:p w14:paraId="0F677AEC" w14:textId="77777777" w:rsidR="00A76ADB" w:rsidRDefault="00A76ADB" w:rsidP="00A76ADB">
      <w:pPr>
        <w:pStyle w:val="Bullet"/>
      </w:pPr>
      <w:r>
        <w:t>back-casting from a 1982 national survey, using real (inflation-adjusted) GDP, for the years before 1982</w:t>
      </w:r>
    </w:p>
    <w:p w14:paraId="0FE37A11" w14:textId="77777777" w:rsidR="00A76ADB" w:rsidRDefault="00A76ADB" w:rsidP="00A76ADB">
      <w:pPr>
        <w:pStyle w:val="Bullet"/>
      </w:pPr>
      <w:r>
        <w:t>national surveys carried out for the years 1982, 1995, 1998, 2002 and 2006</w:t>
      </w:r>
    </w:p>
    <w:p w14:paraId="24CE98D9" w14:textId="77777777" w:rsidR="00A76ADB" w:rsidRDefault="00A76ADB" w:rsidP="00A76ADB">
      <w:pPr>
        <w:pStyle w:val="Bullet"/>
      </w:pPr>
      <w:r>
        <w:t>linear interpolation for the years between these surveys</w:t>
      </w:r>
    </w:p>
    <w:p w14:paraId="24CA78ED" w14:textId="77777777" w:rsidR="00A76ADB" w:rsidRDefault="00A76ADB" w:rsidP="00A76ADB">
      <w:pPr>
        <w:pStyle w:val="Bullet"/>
      </w:pPr>
      <w:r>
        <w:t>linear interpolation for the years 2007 to 2009</w:t>
      </w:r>
    </w:p>
    <w:p w14:paraId="068DE981" w14:textId="77777777" w:rsidR="00A76ADB" w:rsidRDefault="00A76ADB" w:rsidP="00A76ADB">
      <w:pPr>
        <w:pStyle w:val="Bullet"/>
      </w:pPr>
      <w:r>
        <w:t>data collected annually under the requirements of the Waste Minimisation Act 2008 for the years since 2010.</w:t>
      </w:r>
    </w:p>
    <w:p w14:paraId="0D439F55" w14:textId="77777777" w:rsidR="00A76ADB" w:rsidRDefault="00A76ADB" w:rsidP="00A76ADB">
      <w:pPr>
        <w:pStyle w:val="BodyText"/>
      </w:pPr>
      <w:r>
        <w:t>A regression analysis established that there was a correlation between real GDP and the amount of waste landfilled up to 2002. The transition from national surveys to using Waste Minimisation Act 2008 information involves a linear interpolation. Other methods were explored, but this approach gave the most robust estimates (Eunomia and Waste Not Consulting, unpublished).</w:t>
      </w:r>
    </w:p>
    <w:p w14:paraId="76442C75" w14:textId="77777777" w:rsidR="00A76ADB" w:rsidRDefault="00A76ADB" w:rsidP="00A76ADB">
      <w:pPr>
        <w:pStyle w:val="BodyText"/>
      </w:pPr>
      <w:r>
        <w:t>Activity data are also available from individual landfill sites. This information was collected from landfill operators by a survey in 2009 (SKM, unpublished(b)). The 25 landfills that were operating at that time and that either had LFG recovery systems or were planning to install LFG recovery systems by 2012 all provided data.</w:t>
      </w:r>
    </w:p>
    <w:p w14:paraId="306A87A1" w14:textId="77777777" w:rsidR="00A76ADB" w:rsidRDefault="00A76ADB" w:rsidP="00A76ADB">
      <w:pPr>
        <w:pStyle w:val="BodyText"/>
      </w:pPr>
      <w:r>
        <w:t>The data included annual waste placement history and intentions. Some of these sites have since closed and are no longer accepting waste, but they all still generate CH</w:t>
      </w:r>
      <w:r>
        <w:rPr>
          <w:vertAlign w:val="subscript"/>
        </w:rPr>
        <w:t>4</w:t>
      </w:r>
      <w:r>
        <w:t xml:space="preserve"> emissions. One new, large landfill site has opened in New Zealand since 2009, and an existing landfill installed </w:t>
      </w:r>
      <w:r>
        <w:lastRenderedPageBreak/>
        <w:t>an LFG system in 2018. Both have been included. From 2010 onwards, all municipal landfills report volumes of waste placement under the Waste Minimisation Act 2008. Table 7.2.2 shows the number of managed landfills.</w:t>
      </w:r>
    </w:p>
    <w:p w14:paraId="01E20089" w14:textId="77777777" w:rsidR="00A76ADB" w:rsidRDefault="00A76ADB" w:rsidP="00A76ADB">
      <w:pPr>
        <w:pStyle w:val="Table"/>
      </w:pPr>
      <w:bookmarkStart w:id="2351" w:name="_Toc99659324"/>
      <w:r>
        <w:t>Table 7.2.2</w:t>
      </w:r>
      <w:r>
        <w:tab/>
        <w:t xml:space="preserve">Landfill categories in </w:t>
      </w:r>
      <w:r>
        <w:rPr>
          <w:bCs/>
        </w:rPr>
        <w:t>2020</w:t>
      </w:r>
      <w:bookmarkEnd w:id="2351"/>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01"/>
        <w:gridCol w:w="1938"/>
        <w:gridCol w:w="2188"/>
        <w:gridCol w:w="1178"/>
      </w:tblGrid>
      <w:tr w:rsidR="00A76ADB" w:rsidRPr="004B7AE5" w14:paraId="2F7CD658" w14:textId="77777777" w:rsidTr="00F16598">
        <w:trPr>
          <w:cantSplit/>
          <w:tblHeader/>
        </w:trPr>
        <w:tc>
          <w:tcPr>
            <w:tcW w:w="0" w:type="auto"/>
            <w:shd w:val="clear" w:color="auto" w:fill="1B556B"/>
            <w:vAlign w:val="center"/>
          </w:tcPr>
          <w:p w14:paraId="563B4177" w14:textId="77777777" w:rsidR="00A76ADB" w:rsidRPr="006C0D1B" w:rsidRDefault="00A76ADB" w:rsidP="007E3239">
            <w:pPr>
              <w:pStyle w:val="TableTextBold"/>
              <w:rPr>
                <w:color w:val="FFFFFF"/>
              </w:rPr>
            </w:pPr>
            <w:r w:rsidRPr="006C0D1B">
              <w:rPr>
                <w:rFonts w:eastAsia="Calibri"/>
                <w:color w:val="FFFFFF"/>
              </w:rPr>
              <w:t>Landfill type</w:t>
            </w:r>
          </w:p>
        </w:tc>
        <w:tc>
          <w:tcPr>
            <w:tcW w:w="0" w:type="auto"/>
            <w:shd w:val="clear" w:color="auto" w:fill="1B556B"/>
            <w:vAlign w:val="center"/>
          </w:tcPr>
          <w:p w14:paraId="3A4B46D4" w14:textId="77777777" w:rsidR="00A76ADB" w:rsidRPr="006C0D1B" w:rsidRDefault="00A76ADB" w:rsidP="007E3239">
            <w:pPr>
              <w:pStyle w:val="TableTextBold"/>
              <w:rPr>
                <w:color w:val="FFFFFF"/>
              </w:rPr>
            </w:pPr>
            <w:r w:rsidRPr="006C0D1B">
              <w:rPr>
                <w:rFonts w:eastAsia="Calibri"/>
                <w:color w:val="FFFFFF"/>
              </w:rPr>
              <w:t>Sites with LFG recovery</w:t>
            </w:r>
          </w:p>
        </w:tc>
        <w:tc>
          <w:tcPr>
            <w:tcW w:w="0" w:type="auto"/>
            <w:shd w:val="clear" w:color="auto" w:fill="1B556B"/>
            <w:vAlign w:val="center"/>
          </w:tcPr>
          <w:p w14:paraId="74E90044" w14:textId="77777777" w:rsidR="00A76ADB" w:rsidRPr="006C0D1B" w:rsidRDefault="00A76ADB" w:rsidP="007E3239">
            <w:pPr>
              <w:pStyle w:val="TableTextBold"/>
              <w:rPr>
                <w:color w:val="FFFFFF"/>
              </w:rPr>
            </w:pPr>
            <w:r w:rsidRPr="006C0D1B">
              <w:rPr>
                <w:rFonts w:eastAsia="Calibri"/>
                <w:color w:val="FFFFFF"/>
              </w:rPr>
              <w:t>Sites without LFG recovery</w:t>
            </w:r>
          </w:p>
        </w:tc>
        <w:tc>
          <w:tcPr>
            <w:tcW w:w="0" w:type="auto"/>
            <w:shd w:val="clear" w:color="auto" w:fill="1B556B"/>
            <w:vAlign w:val="center"/>
          </w:tcPr>
          <w:p w14:paraId="29BC14F5" w14:textId="77777777" w:rsidR="00A76ADB" w:rsidRPr="006C0D1B" w:rsidRDefault="00A76ADB" w:rsidP="007E3239">
            <w:pPr>
              <w:pStyle w:val="TableTextBold"/>
              <w:rPr>
                <w:color w:val="FFFFFF"/>
              </w:rPr>
            </w:pPr>
            <w:r w:rsidRPr="006C0D1B">
              <w:rPr>
                <w:rFonts w:eastAsia="Calibri"/>
                <w:color w:val="FFFFFF"/>
              </w:rPr>
              <w:t>Total</w:t>
            </w:r>
          </w:p>
        </w:tc>
      </w:tr>
      <w:tr w:rsidR="00A76ADB" w:rsidRPr="004B7AE5" w14:paraId="2B08DB1B" w14:textId="77777777" w:rsidTr="00F16598">
        <w:trPr>
          <w:cantSplit/>
          <w:trHeight w:val="283"/>
        </w:trPr>
        <w:tc>
          <w:tcPr>
            <w:tcW w:w="0" w:type="auto"/>
            <w:shd w:val="clear" w:color="auto" w:fill="FFFFFF"/>
            <w:vAlign w:val="center"/>
          </w:tcPr>
          <w:p w14:paraId="6337B18D" w14:textId="77777777" w:rsidR="00A76ADB" w:rsidRPr="004B7AE5" w:rsidRDefault="00A76ADB" w:rsidP="007E3239">
            <w:pPr>
              <w:pStyle w:val="TableText"/>
            </w:pPr>
            <w:r w:rsidRPr="004B7AE5">
              <w:rPr>
                <w:rFonts w:eastAsia="Calibri"/>
              </w:rPr>
              <w:t>Landfills under the NZ ETS and waste levy</w:t>
            </w:r>
          </w:p>
        </w:tc>
        <w:tc>
          <w:tcPr>
            <w:tcW w:w="0" w:type="auto"/>
            <w:shd w:val="clear" w:color="auto" w:fill="FFFFFF"/>
            <w:vAlign w:val="center"/>
          </w:tcPr>
          <w:p w14:paraId="6AA36847" w14:textId="77777777" w:rsidR="00A76ADB" w:rsidRPr="004B7AE5" w:rsidRDefault="00A76ADB" w:rsidP="007E3239">
            <w:pPr>
              <w:pStyle w:val="TableText"/>
            </w:pPr>
            <w:r w:rsidRPr="004B7AE5">
              <w:rPr>
                <w:rFonts w:eastAsia="Calibri"/>
              </w:rPr>
              <w:t>18</w:t>
            </w:r>
          </w:p>
        </w:tc>
        <w:tc>
          <w:tcPr>
            <w:tcW w:w="0" w:type="auto"/>
            <w:shd w:val="clear" w:color="auto" w:fill="FFFFFF"/>
            <w:vAlign w:val="center"/>
          </w:tcPr>
          <w:p w14:paraId="19E467E0" w14:textId="77777777" w:rsidR="00A76ADB" w:rsidRPr="004B7AE5" w:rsidRDefault="00A76ADB" w:rsidP="007E3239">
            <w:pPr>
              <w:pStyle w:val="TableText"/>
            </w:pPr>
            <w:r w:rsidRPr="004B7AE5">
              <w:rPr>
                <w:rFonts w:eastAsia="Calibri"/>
              </w:rPr>
              <w:t>21</w:t>
            </w:r>
          </w:p>
        </w:tc>
        <w:tc>
          <w:tcPr>
            <w:tcW w:w="0" w:type="auto"/>
            <w:shd w:val="clear" w:color="auto" w:fill="FFFFFF"/>
            <w:vAlign w:val="center"/>
          </w:tcPr>
          <w:p w14:paraId="6A71CE6B" w14:textId="77777777" w:rsidR="00A76ADB" w:rsidRPr="004B7AE5" w:rsidRDefault="00A76ADB" w:rsidP="007E3239">
            <w:pPr>
              <w:pStyle w:val="TableText"/>
            </w:pPr>
            <w:r w:rsidRPr="004B7AE5">
              <w:rPr>
                <w:rFonts w:eastAsia="Calibri"/>
              </w:rPr>
              <w:t>39</w:t>
            </w:r>
          </w:p>
        </w:tc>
      </w:tr>
      <w:tr w:rsidR="00A76ADB" w:rsidRPr="004B7AE5" w14:paraId="2D22938E" w14:textId="77777777" w:rsidTr="00F16598">
        <w:trPr>
          <w:cantSplit/>
          <w:trHeight w:val="283"/>
        </w:trPr>
        <w:tc>
          <w:tcPr>
            <w:tcW w:w="0" w:type="auto"/>
            <w:shd w:val="clear" w:color="auto" w:fill="FFFFFF"/>
            <w:vAlign w:val="center"/>
          </w:tcPr>
          <w:p w14:paraId="0DCA546F" w14:textId="77777777" w:rsidR="00A76ADB" w:rsidRPr="004B7AE5" w:rsidRDefault="00A76ADB" w:rsidP="007E3239">
            <w:pPr>
              <w:pStyle w:val="TableText"/>
            </w:pPr>
            <w:r w:rsidRPr="004B7AE5">
              <w:rPr>
                <w:rFonts w:eastAsia="Calibri"/>
              </w:rPr>
              <w:t>Closed landfills (still emitting)</w:t>
            </w:r>
          </w:p>
        </w:tc>
        <w:tc>
          <w:tcPr>
            <w:tcW w:w="0" w:type="auto"/>
            <w:shd w:val="clear" w:color="auto" w:fill="FFFFFF"/>
            <w:vAlign w:val="center"/>
          </w:tcPr>
          <w:p w14:paraId="2615CD97" w14:textId="77777777" w:rsidR="00A76ADB" w:rsidRPr="004B7AE5" w:rsidRDefault="00A76ADB" w:rsidP="007E3239">
            <w:pPr>
              <w:pStyle w:val="TableText"/>
            </w:pPr>
            <w:r w:rsidRPr="004B7AE5">
              <w:rPr>
                <w:rFonts w:eastAsia="Calibri"/>
              </w:rPr>
              <w:t>8</w:t>
            </w:r>
          </w:p>
        </w:tc>
        <w:tc>
          <w:tcPr>
            <w:tcW w:w="0" w:type="auto"/>
            <w:shd w:val="clear" w:color="auto" w:fill="FFFFFF"/>
            <w:vAlign w:val="center"/>
          </w:tcPr>
          <w:p w14:paraId="2D7CD43A" w14:textId="77777777" w:rsidR="00A76ADB" w:rsidRPr="004B7AE5" w:rsidRDefault="00A76ADB" w:rsidP="007E3239">
            <w:pPr>
              <w:pStyle w:val="TableText"/>
            </w:pPr>
            <w:r w:rsidRPr="004B7AE5">
              <w:rPr>
                <w:rFonts w:eastAsia="Calibri"/>
              </w:rPr>
              <w:t>Not reported</w:t>
            </w:r>
          </w:p>
        </w:tc>
        <w:tc>
          <w:tcPr>
            <w:tcW w:w="0" w:type="auto"/>
            <w:shd w:val="clear" w:color="auto" w:fill="FFFFFF"/>
            <w:vAlign w:val="center"/>
          </w:tcPr>
          <w:p w14:paraId="28E67BA8" w14:textId="77777777" w:rsidR="00A76ADB" w:rsidRPr="004B7AE5" w:rsidRDefault="00A76ADB" w:rsidP="007E3239">
            <w:pPr>
              <w:pStyle w:val="TableText"/>
            </w:pPr>
            <w:r w:rsidRPr="004B7AE5">
              <w:rPr>
                <w:rFonts w:eastAsia="Calibri"/>
              </w:rPr>
              <w:t>Not reported</w:t>
            </w:r>
          </w:p>
        </w:tc>
      </w:tr>
      <w:tr w:rsidR="00A76ADB" w:rsidRPr="004B7AE5" w14:paraId="59AC654E" w14:textId="77777777" w:rsidTr="00F16598">
        <w:trPr>
          <w:cantSplit/>
          <w:trHeight w:val="283"/>
        </w:trPr>
        <w:tc>
          <w:tcPr>
            <w:tcW w:w="0" w:type="auto"/>
            <w:shd w:val="clear" w:color="auto" w:fill="FFFFFF"/>
            <w:vAlign w:val="center"/>
          </w:tcPr>
          <w:p w14:paraId="228378EB" w14:textId="77777777" w:rsidR="00A76ADB" w:rsidRPr="004B7AE5" w:rsidRDefault="00A76ADB" w:rsidP="007E3239">
            <w:pPr>
              <w:pStyle w:val="TableText"/>
            </w:pPr>
            <w:r w:rsidRPr="004B7AE5">
              <w:rPr>
                <w:rFonts w:eastAsia="Calibri"/>
              </w:rPr>
              <w:t>Total</w:t>
            </w:r>
          </w:p>
        </w:tc>
        <w:tc>
          <w:tcPr>
            <w:tcW w:w="0" w:type="auto"/>
            <w:shd w:val="clear" w:color="auto" w:fill="FFFFFF"/>
            <w:vAlign w:val="center"/>
          </w:tcPr>
          <w:p w14:paraId="28C28A0B" w14:textId="77777777" w:rsidR="00A76ADB" w:rsidRPr="004B7AE5" w:rsidRDefault="00A76ADB" w:rsidP="007E3239">
            <w:pPr>
              <w:pStyle w:val="TableText"/>
            </w:pPr>
            <w:r w:rsidRPr="004B7AE5">
              <w:rPr>
                <w:rFonts w:eastAsia="Calibri"/>
              </w:rPr>
              <w:t>26</w:t>
            </w:r>
          </w:p>
        </w:tc>
        <w:tc>
          <w:tcPr>
            <w:tcW w:w="0" w:type="auto"/>
            <w:shd w:val="clear" w:color="auto" w:fill="FFFFFF"/>
            <w:vAlign w:val="center"/>
          </w:tcPr>
          <w:p w14:paraId="4A368417" w14:textId="77777777" w:rsidR="00A76ADB" w:rsidRPr="004B7AE5" w:rsidRDefault="00A76ADB" w:rsidP="007E3239">
            <w:pPr>
              <w:pStyle w:val="TableText"/>
            </w:pPr>
            <w:r w:rsidRPr="004B7AE5">
              <w:rPr>
                <w:rFonts w:eastAsia="Calibri"/>
              </w:rPr>
              <w:t>Not reported</w:t>
            </w:r>
          </w:p>
        </w:tc>
        <w:tc>
          <w:tcPr>
            <w:tcW w:w="0" w:type="auto"/>
            <w:shd w:val="clear" w:color="auto" w:fill="FFFFFF"/>
            <w:vAlign w:val="center"/>
          </w:tcPr>
          <w:p w14:paraId="287633C2" w14:textId="77777777" w:rsidR="00A76ADB" w:rsidRPr="004B7AE5" w:rsidRDefault="00A76ADB" w:rsidP="007E3239">
            <w:pPr>
              <w:pStyle w:val="TableText"/>
            </w:pPr>
            <w:r w:rsidRPr="004B7AE5">
              <w:rPr>
                <w:rFonts w:eastAsia="Calibri"/>
              </w:rPr>
              <w:t>Not reported</w:t>
            </w:r>
          </w:p>
        </w:tc>
      </w:tr>
    </w:tbl>
    <w:p w14:paraId="45B73448" w14:textId="77777777" w:rsidR="00A76ADB" w:rsidRDefault="00A76ADB" w:rsidP="00A76ADB">
      <w:pPr>
        <w:pStyle w:val="Noteundertable"/>
      </w:pPr>
      <w:r>
        <w:rPr>
          <w:b/>
          <w:bCs/>
        </w:rPr>
        <w:t>Note:</w:t>
      </w:r>
      <w:r>
        <w:tab/>
        <w:t>LFG = landfill gas; NZ ETS = New Zealand Emissions Trading Scheme.</w:t>
      </w:r>
    </w:p>
    <w:p w14:paraId="205D8AEB" w14:textId="77777777" w:rsidR="00A76ADB" w:rsidRDefault="00A76ADB" w:rsidP="00A76ADB">
      <w:pPr>
        <w:pStyle w:val="BodyText"/>
      </w:pPr>
      <w:r>
        <w:t>For 1950 to 1995, the waste placement for the uncategorised category (5.A.3) is estimated as a fixed fraction (10 per cent) of the difference between the national total and sites with LFG recovery as shown in the equation:</w:t>
      </w:r>
    </w:p>
    <w:p w14:paraId="3FA72E44" w14:textId="77777777" w:rsidR="00A76ADB" w:rsidRPr="00604BCD" w:rsidRDefault="004B48CC" w:rsidP="00A76ADB">
      <w:pPr>
        <w:pStyle w:val="BodyText"/>
        <w:spacing w:line="276" w:lineRule="auto"/>
        <w:jc w:val="center"/>
        <w:rPr>
          <w:rFonts w:ascii="Cambria Math" w:hAnsi="Cambria Math"/>
          <w:i/>
          <w:iCs/>
        </w:rPr>
      </w:pPr>
      <w:r>
        <w:pict w14:anchorId="088002D3">
          <v:shape id="_x0000_i1134" type="#_x0000_t75" style="width:324pt;height:19.2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cr=&quot;http://schemas.microsoft.com/office/comments/2020/reactions&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10&quot;/&gt;&lt;w:doNotEmbedSystemFonts/&gt;&lt;w:activeWritingStyle w:lang=&quot;EN-NZ&quot; w:vendorID=&quot;64&quot; w:dllVersion=&quot;6&quot; w:nlCheck=&quot;on&quot; w:optionSet=&quot;1&quot;/&gt;&lt;w:activeWritingStyle w:lang=&quot;EN-NZ&quot; w:vendorID=&quot;64&quot; w:dllVersion=&quot;0&quot; w:nlCheck=&quot;on&quot; w:optionSet=&quot;0&quot;/&gt;&lt;w:activeWritingStyle w:lang=&quot;EN-US&quot; w:vendorID=&quot;64&quot; w:dllVersion=&quot;0&quot; w:nlCheck=&quot;on&quot; w:optionSet=&quot;0&quot;/&gt;&lt;w:stylePaneFormatFilter w:val=&quot;5804&quot;/&gt;&lt;w:defaultTabStop w:val=&quot;397&quot;/&gt;&lt;w:evenAndOddHeaders/&gt;&lt;w:drawingGridHorizontalSpacing w:val=&quot;187&quot;/&gt;&lt;w:displayVerticalDrawingGridEvery w:val=&quot;2&quot;/&gt;&lt;w:characterSpacingControl w:val=&quot;DontCompress&quot;/&gt;&lt;w:optimizeForBrowser/&gt;&lt;w:validateAgainstSchema/&gt;&lt;w:saveInvalidXML w:val=&quot;off&quot;/&gt;&lt;w:ignoreMixedContent w:val=&quot;off&quot;/&gt;&lt;w:alwaysShowPlaceholderText w:val=&quot;off&quot;/&gt;&lt;w:compat&gt;&lt;w:suppressSpBfAfterPgBrk/&gt;&lt;w:doNotUseHTMLParagraphAutoSpacing/&gt;&lt;w:breakWrappedTables/&gt;&lt;w:snapToGridInCell/&gt;&lt;w:wrapTextWithPunct/&gt;&lt;w:useAsianBreakRules/&gt;&lt;w:useWord2002TableStyleRules/&gt;&lt;/w:compat&gt;&lt;wsp:rsids&gt;&lt;wsp:rsidRoot wsp:val=&quot;00CC68CB&quot;/&gt;&lt;wsp:rsid wsp:val=&quot;00001716&quot;/&gt;&lt;wsp:rsid wsp:val=&quot;0000214F&quot;/&gt;&lt;wsp:rsid wsp:val=&quot;00007ABB&quot;/&gt;&lt;wsp:rsid wsp:val=&quot;00021ACF&quot;/&gt;&lt;wsp:rsid wsp:val=&quot;00027E55&quot;/&gt;&lt;wsp:rsid wsp:val=&quot;00032A28&quot;/&gt;&lt;wsp:rsid wsp:val=&quot;00035185&quot;/&gt;&lt;wsp:rsid wsp:val=&quot;0003612E&quot;/&gt;&lt;wsp:rsid wsp:val=&quot;00050008&quot;/&gt;&lt;wsp:rsid wsp:val=&quot;000576EC&quot;/&gt;&lt;wsp:rsid wsp:val=&quot;0006076E&quot;/&gt;&lt;wsp:rsid wsp:val=&quot;000631C1&quot;/&gt;&lt;wsp:rsid wsp:val=&quot;00074286&quot;/&gt;&lt;wsp:rsid wsp:val=&quot;000959CB&quot;/&gt;&lt;wsp:rsid wsp:val=&quot;000A54B1&quot;/&gt;&lt;wsp:rsid wsp:val=&quot;000C20A6&quot;/&gt;&lt;wsp:rsid wsp:val=&quot;000F4DEF&quot;/&gt;&lt;wsp:rsid wsp:val=&quot;00116E1B&quot;/&gt;&lt;wsp:rsid wsp:val=&quot;001221C3&quot;/&gt;&lt;wsp:rsid wsp:val=&quot;0013321C&quot;/&gt;&lt;wsp:rsid wsp:val=&quot;00153F5A&quot;/&gt;&lt;wsp:rsid wsp:val=&quot;001970E1&quot;/&gt;&lt;wsp:rsid wsp:val=&quot;001A1997&quot;/&gt;&lt;wsp:rsid wsp:val=&quot;001B6FD2&quot;/&gt;&lt;wsp:rsid wsp:val=&quot;001F48D9&quot;/&gt;&lt;wsp:rsid wsp:val=&quot;00207ABF&quot;/&gt;&lt;wsp:rsid wsp:val=&quot;00217298&quot;/&gt;&lt;wsp:rsid wsp:val=&quot;00240B42&quot;/&gt;&lt;wsp:rsid wsp:val=&quot;00257985&quot;/&gt;&lt;wsp:rsid wsp:val=&quot;00260B48&quot;/&gt;&lt;wsp:rsid wsp:val=&quot;0028581A&quot;/&gt;&lt;wsp:rsid wsp:val=&quot;002868D3&quot;/&gt;&lt;wsp:rsid wsp:val=&quot;00295B2A&quot;/&gt;&lt;wsp:rsid wsp:val=&quot;002A1361&quot;/&gt;&lt;wsp:rsid wsp:val=&quot;002A222C&quot;/&gt;&lt;wsp:rsid wsp:val=&quot;002A49D7&quot;/&gt;&lt;wsp:rsid wsp:val=&quot;002B1C5A&quot;/&gt;&lt;wsp:rsid wsp:val=&quot;002B3284&quot;/&gt;&lt;wsp:rsid wsp:val=&quot;002D60DB&quot;/&gt;&lt;wsp:rsid wsp:val=&quot;002D6A54&quot;/&gt;&lt;wsp:rsid wsp:val=&quot;002F134A&quot;/&gt;&lt;wsp:rsid wsp:val=&quot;002F66D0&quot;/&gt;&lt;wsp:rsid wsp:val=&quot;00302D84&quot;/&gt;&lt;wsp:rsid wsp:val=&quot;00315760&quot;/&gt;&lt;wsp:rsid wsp:val=&quot;0032349D&quot;/&gt;&lt;wsp:rsid wsp:val=&quot;0037590E&quot;/&gt;&lt;wsp:rsid wsp:val=&quot;00377186&quot;/&gt;&lt;wsp:rsid wsp:val=&quot;00383207&quot;/&gt;&lt;wsp:rsid wsp:val=&quot;003972EF&quot;/&gt;&lt;wsp:rsid wsp:val=&quot;00397D2B&quot;/&gt;&lt;wsp:rsid wsp:val=&quot;003A5006&quot;/&gt;&lt;wsp:rsid wsp:val=&quot;003C2615&quot;/&gt;&lt;wsp:rsid wsp:val=&quot;003C6067&quot;/&gt;&lt;wsp:rsid wsp:val=&quot;003D0318&quot;/&gt;&lt;wsp:rsid wsp:val=&quot;003D5417&quot;/&gt;&lt;wsp:rsid wsp:val=&quot;00400F92&quot;/&gt;&lt;wsp:rsid wsp:val=&quot;004044F1&quot;/&gt;&lt;wsp:rsid wsp:val=&quot;0042424B&quot;/&gt;&lt;wsp:rsid wsp:val=&quot;00430D5D&quot;/&gt;&lt;wsp:rsid wsp:val=&quot;0045652C&quot;/&gt;&lt;wsp:rsid wsp:val=&quot;00462497&quot;/&gt;&lt;wsp:rsid wsp:val=&quot;004805A3&quot;/&gt;&lt;wsp:rsid wsp:val=&quot;0048608E&quot;/&gt;&lt;wsp:rsid wsp:val=&quot;00490EB0&quot;/&gt;&lt;wsp:rsid wsp:val=&quot;004A618E&quot;/&gt;&lt;wsp:rsid wsp:val=&quot;004E4B2C&quot;/&gt;&lt;wsp:rsid wsp:val=&quot;004F1572&quot;/&gt;&lt;wsp:rsid wsp:val=&quot;00526270&quot;/&gt;&lt;wsp:rsid wsp:val=&quot;00534210&quot;/&gt;&lt;wsp:rsid wsp:val=&quot;00543478&quot;/&gt;&lt;wsp:rsid wsp:val=&quot;00545600&quot;/&gt;&lt;wsp:rsid wsp:val=&quot;00546A6A&quot;/&gt;&lt;wsp:rsid wsp:val=&quot;005630B0&quot;/&gt;&lt;wsp:rsid wsp:val=&quot;005660CD&quot;/&gt;&lt;wsp:rsid wsp:val=&quot;005720F2&quot;/&gt;&lt;wsp:rsid wsp:val=&quot;00596603&quot;/&gt;&lt;wsp:rsid wsp:val=&quot;005B4380&quot;/&gt;&lt;wsp:rsid wsp:val=&quot;005B76A4&quot;/&gt;&lt;wsp:rsid wsp:val=&quot;005C3384&quot;/&gt;&lt;wsp:rsid wsp:val=&quot;005C416E&quot;/&gt;&lt;wsp:rsid wsp:val=&quot;005D1C3A&quot;/&gt;&lt;wsp:rsid wsp:val=&quot;005E43DD&quot;/&gt;&lt;wsp:rsid wsp:val=&quot;00600179&quot;/&gt;&lt;wsp:rsid wsp:val=&quot;00603FC0&quot;/&gt;&lt;wsp:rsid wsp:val=&quot;00636BF0&quot;/&gt;&lt;wsp:rsid wsp:val=&quot;00646B6D&quot;/&gt;&lt;wsp:rsid wsp:val=&quot;00650F99&quot;/&gt;&lt;wsp:rsid wsp:val=&quot;00655908&quot;/&gt;&lt;wsp:rsid wsp:val=&quot;006654F8&quot;/&gt;&lt;wsp:rsid wsp:val=&quot;00665768&quot;/&gt;&lt;wsp:rsid wsp:val=&quot;00667291&quot;/&gt;&lt;wsp:rsid wsp:val=&quot;0068545A&quot;/&gt;&lt;wsp:rsid wsp:val=&quot;00686249&quot;/&gt;&lt;wsp:rsid wsp:val=&quot;00687504&quot;/&gt;&lt;wsp:rsid wsp:val=&quot;006A171F&quot;/&gt;&lt;wsp:rsid wsp:val=&quot;006A4E5F&quot;/&gt;&lt;wsp:rsid wsp:val=&quot;006B282E&quot;/&gt;&lt;wsp:rsid wsp:val=&quot;006C560B&quot;/&gt;&lt;wsp:rsid wsp:val=&quot;006D116E&quot;/&gt;&lt;wsp:rsid wsp:val=&quot;006D3FAE&quot;/&gt;&lt;wsp:rsid wsp:val=&quot;006D4600&quot;/&gt;&lt;wsp:rsid wsp:val=&quot;006E0A2C&quot;/&gt;&lt;wsp:rsid wsp:val=&quot;006E202B&quot;/&gt;&lt;wsp:rsid wsp:val=&quot;006E25DF&quot;/&gt;&lt;wsp:rsid wsp:val=&quot;006E57B5&quot;/&gt;&lt;wsp:rsid wsp:val=&quot;00702FA0&quot;/&gt;&lt;wsp:rsid wsp:val=&quot;00715D39&quot;/&gt;&lt;wsp:rsid wsp:val=&quot;00724218&quot;/&gt;&lt;wsp:rsid wsp:val=&quot;00737E65&quot;/&gt;&lt;wsp:rsid wsp:val=&quot;0074030A&quot;/&gt;&lt;wsp:rsid wsp:val=&quot;007409A3&quot;/&gt;&lt;wsp:rsid wsp:val=&quot;00756E6C&quot;/&gt;&lt;wsp:rsid wsp:val=&quot;00762043&quot;/&gt;&lt;wsp:rsid wsp:val=&quot;007633C2&quot;/&gt;&lt;wsp:rsid wsp:val=&quot;007655EA&quot;/&gt;&lt;wsp:rsid wsp:val=&quot;00765A47&quot;/&gt;&lt;wsp:rsid wsp:val=&quot;00770E82&quot;/&gt;&lt;wsp:rsid wsp:val=&quot;00772E94&quot;/&gt;&lt;wsp:rsid wsp:val=&quot;007730C3&quot;/&gt;&lt;wsp:rsid wsp:val=&quot;007862A6&quot;/&gt;&lt;wsp:rsid wsp:val=&quot;007A7456&quot;/&gt;&lt;wsp:rsid wsp:val=&quot;007B028B&quot;/&gt;&lt;wsp:rsid wsp:val=&quot;007B1D71&quot;/&gt;&lt;wsp:rsid wsp:val=&quot;007C00D0&quot;/&gt;&lt;wsp:rsid wsp:val=&quot;007C2186&quot;/&gt;&lt;wsp:rsid wsp:val=&quot;007F2233&quot;/&gt;&lt;wsp:rsid wsp:val=&quot;0080694B&quot;/&gt;&lt;wsp:rsid wsp:val=&quot;0081779C&quot;/&gt;&lt;wsp:rsid wsp:val=&quot;00831D0D&quot;/&gt;&lt;wsp:rsid wsp:val=&quot;00832DEE&quot;/&gt;&lt;wsp:rsid wsp:val=&quot;00854B9D&quot;/&gt;&lt;wsp:rsid wsp:val=&quot;00855A8A&quot;/&gt;&lt;wsp:rsid wsp:val=&quot;008724A7&quot;/&gt;&lt;wsp:rsid wsp:val=&quot;00872795&quot;/&gt;&lt;wsp:rsid wsp:val=&quot;008A2EC5&quot;/&gt;&lt;wsp:rsid wsp:val=&quot;008B77F5&quot;/&gt;&lt;wsp:rsid wsp:val=&quot;008C0279&quot;/&gt;&lt;wsp:rsid wsp:val=&quot;008C7F68&quot;/&gt;&lt;wsp:rsid wsp:val=&quot;008E380C&quot;/&gt;&lt;wsp:rsid wsp:val=&quot;008F25D2&quot;/&gt;&lt;wsp:rsid wsp:val=&quot;008F50EC&quot;/&gt;&lt;wsp:rsid wsp:val=&quot;00914CC6&quot;/&gt;&lt;wsp:rsid wsp:val=&quot;0092751F&quot;/&gt;&lt;wsp:rsid wsp:val=&quot;00927EC8&quot;/&gt;&lt;wsp:rsid wsp:val=&quot;00932067&quot;/&gt;&lt;wsp:rsid wsp:val=&quot;0093594A&quot;/&gt;&lt;wsp:rsid wsp:val=&quot;00955D73&quot;/&gt;&lt;wsp:rsid wsp:val=&quot;0096512C&quot;/&gt;&lt;wsp:rsid wsp:val=&quot;0096540A&quot;/&gt;&lt;wsp:rsid wsp:val=&quot;0098180A&quot;/&gt;&lt;wsp:rsid wsp:val=&quot;009C5D2A&quot;/&gt;&lt;wsp:rsid wsp:val=&quot;00A06700&quot;/&gt;&lt;wsp:rsid wsp:val=&quot;00A331E7&quot;/&gt;&lt;wsp:rsid wsp:val=&quot;00A338BC&quot;/&gt;&lt;wsp:rsid wsp:val=&quot;00A34169&quot;/&gt;&lt;wsp:rsid wsp:val=&quot;00A35FF4&quot;/&gt;&lt;wsp:rsid wsp:val=&quot;00A41C3C&quot;/&gt;&lt;wsp:rsid wsp:val=&quot;00A430C1&quot;/&gt;&lt;wsp:rsid wsp:val=&quot;00AB2710&quot;/&gt;&lt;wsp:rsid wsp:val=&quot;00AB4080&quot;/&gt;&lt;wsp:rsid wsp:val=&quot;00AB541B&quot;/&gt;&lt;wsp:rsid wsp:val=&quot;00AB7426&quot;/&gt;&lt;wsp:rsid wsp:val=&quot;00AC2AB4&quot;/&gt;&lt;wsp:rsid wsp:val=&quot;00AD184B&quot;/&gt;&lt;wsp:rsid wsp:val=&quot;00B0566D&quot;/&gt;&lt;wsp:rsid wsp:val=&quot;00B10BD6&quot;/&gt;&lt;wsp:rsid wsp:val=&quot;00B16055&quot;/&gt;&lt;wsp:rsid wsp:val=&quot;00B35BD9&quot;/&gt;&lt;wsp:rsid wsp:val=&quot;00B37DE8&quot;/&gt;&lt;wsp:rsid wsp:val=&quot;00B44BA5&quot;/&gt;&lt;wsp:rsid wsp:val=&quot;00B928E7&quot;/&gt;&lt;wsp:rsid wsp:val=&quot;00BA5F7E&quot;/&gt;&lt;wsp:rsid wsp:val=&quot;00BC7E76&quot;/&gt;&lt;wsp:rsid wsp:val=&quot;00BF12F6&quot;/&gt;&lt;wsp:rsid wsp:val=&quot;00C00765&quot;/&gt;&lt;wsp:rsid wsp:val=&quot;00C10464&quot;/&gt;&lt;wsp:rsid wsp:val=&quot;00C119C2&quot;/&gt;&lt;wsp:rsid wsp:val=&quot;00C21B54&quot;/&gt;&lt;wsp:rsid wsp:val=&quot;00C40967&quot;/&gt;&lt;wsp:rsid wsp:val=&quot;00C42C64&quot;/&gt;&lt;wsp:rsid wsp:val=&quot;00C600E2&quot;/&gt;&lt;wsp:rsid wsp:val=&quot;00C63D43&quot;/&gt;&lt;wsp:rsid wsp:val=&quot;00C74134&quot;/&gt;&lt;wsp:rsid wsp:val=&quot;00C77879&quot;/&gt;&lt;wsp:rsid wsp:val=&quot;00C823B1&quot;/&gt;&lt;wsp:rsid wsp:val=&quot;00CA271E&quot;/&gt;&lt;wsp:rsid wsp:val=&quot;00CB1488&quot;/&gt;&lt;wsp:rsid wsp:val=&quot;00CB7414&quot;/&gt;&lt;wsp:rsid wsp:val=&quot;00CC68CB&quot;/&gt;&lt;wsp:rsid wsp:val=&quot;00CE19C1&quot;/&gt;&lt;wsp:rsid wsp:val=&quot;00D01CFE&quot;/&gt;&lt;wsp:rsid wsp:val=&quot;00D07C4B&quot;/&gt;&lt;wsp:rsid wsp:val=&quot;00D17705&quot;/&gt;&lt;wsp:rsid wsp:val=&quot;00D225D8&quot;/&gt;&lt;wsp:rsid wsp:val=&quot;00D233EC&quot;/&gt;&lt;wsp:rsid wsp:val=&quot;00D33A2E&quot;/&gt;&lt;wsp:rsid wsp:val=&quot;00D40FA5&quot;/&gt;&lt;wsp:rsid wsp:val=&quot;00D41862&quot;/&gt;&lt;wsp:rsid wsp:val=&quot;00D45781&quot;/&gt;&lt;wsp:rsid wsp:val=&quot;00D511A1&quot;/&gt;&lt;wsp:rsid wsp:val=&quot;00D872BF&quot;/&gt;&lt;wsp:rsid wsp:val=&quot;00DA24A4&quot;/&gt;&lt;wsp:rsid wsp:val=&quot;00DE01F6&quot;/&gt;&lt;wsp:rsid wsp:val=&quot;00DE2998&quot;/&gt;&lt;wsp:rsid wsp:val=&quot;00DE4223&quot;/&gt;&lt;wsp:rsid wsp:val=&quot;00DE6B60&quot;/&gt;&lt;wsp:rsid wsp:val=&quot;00E05CAB&quot;/&gt;&lt;wsp:rsid wsp:val=&quot;00E06D10&quot;/&gt;&lt;wsp:rsid wsp:val=&quot;00E1609F&quot;/&gt;&lt;wsp:rsid wsp:val=&quot;00E20458&quot;/&gt;&lt;wsp:rsid wsp:val=&quot;00E56487&quot;/&gt;&lt;wsp:rsid wsp:val=&quot;00E81AFB&quot;/&gt;&lt;wsp:rsid wsp:val=&quot;00E853F3&quot;/&gt;&lt;wsp:rsid wsp:val=&quot;00EC2491&quot;/&gt;&lt;wsp:rsid wsp:val=&quot;00ED2C42&quot;/&gt;&lt;wsp:rsid wsp:val=&quot;00EF3B2B&quot;/&gt;&lt;wsp:rsid wsp:val=&quot;00F00EE9&quot;/&gt;&lt;wsp:rsid wsp:val=&quot;00F379DD&quot;/&gt;&lt;wsp:rsid wsp:val=&quot;00F46031&quot;/&gt;&lt;wsp:rsid wsp:val=&quot;00F47244&quot;/&gt;&lt;wsp:rsid wsp:val=&quot;00F511A7&quot;/&gt;&lt;wsp:rsid wsp:val=&quot;00F660F9&quot;/&gt;&lt;wsp:rsid wsp:val=&quot;00FA5F45&quot;/&gt;&lt;wsp:rsid wsp:val=&quot;00FA7522&quot;/&gt;&lt;wsp:rsid wsp:val=&quot;00FC2C59&quot;/&gt;&lt;wsp:rsid wsp:val=&quot;00FD178C&quot;/&gt;&lt;wsp:rsid wsp:val=&quot;00FF4B6E&quot;/&gt;&lt;/wsp:rsids&gt;&lt;/w:docPr&gt;&lt;w:body&gt;&lt;wx:sect&gt;&lt;w:p wsp:rsidR=&quot;00000000&quot; wsp:rsidRPr=&quot;00AB541B&quot; wsp:rsidRDefault=&quot;00AB541B&quot; wsp:rsidP=&quot;00AB541B&quot;&gt;&lt;m:oMathPara&gt;&lt;m:oMathParaPr&gt;&lt;m:jc m:val=&quot;center&quot;/&gt;&lt;/m:oMathParaPr&gt;&lt;m:oMath&gt;&lt;m:r&gt;&lt;m:rPr&gt;&lt;m:nor/&gt;&lt;/m:rPr&gt;&lt;w:rPr&gt;&lt;w:rFonts w:ascii=&quot;Cambria Math&quot; w:h-ansi=&quot;Cambria Math&quot;/&gt;&lt;wx:font wx:val=&quot;Cambria Math&quot;/&gt;&lt;w:i/&gt;&lt;w:i-cs/&gt;&lt;/w:rPr&gt;&lt;m:t&gt;disposal&lt;/m:t&gt;&lt;/m:r&gt;&lt;m:r&gt;&lt;w:rPr&gt;&lt;w:rFonts w:ascii=&quot;Cambria Math&quot; w:h-ansi=&quot;Cambria Math&quot;/&gt;&lt;wx:font wx:val=&quot;Cambria Math&quot;/&gt;&lt;w:i/&gt;&lt;/w:rPr&gt;&lt;m:t&gt;â€…&lt;/m:t&gt;&lt;/m:r&gt;&lt;m:r&gt;&lt;m:rPr&gt;&lt;m:nor/&gt;&lt;/m:rPr&gt;&lt;w:rPr&gt;&lt;w:rFonts w:ascii=&quot;Cambria Math&quot; w:h-ansi=&quot;Cambria Math&quot;/&gt;&lt;wx:font wx:val=&quot;Cambria Math&quot;/&gt;&lt;w:i/&gt;&lt;w:i-cs/&gt;&lt;/w:rPr&gt;&lt;m:t&gt;for&lt;/m:t&gt;&lt;/m:r&gt;&lt;m:r&gt;&lt;w:rPr&gt;&lt;w:rFonts w:ascii=&quot;Cambria Math&quot; w:h-ansi=&quot;Cambria Math&quot;/&gt;&lt;wx:font wx:val=&quot;Cambria Math&quot;/&gt;&lt;w:i/&gt;&lt;/w:rPr&gt;&lt;m:t&gt;â€…5.A.3=â€…10%Ã—&lt;/m:t&gt;&lt;/m:r&gt;&lt;m:d&gt;&lt;m:dPr&gt;&lt;m:ctrlPr&gt;&lt;w:rPr&gt;&lt;w:rFonts w:ascii=&quot;Cambria Math&quot; w:h-ansi=&quot;Cambria Math&quot;/&gt;&lt;wx:font wx:val=&quot;Cambria Math&quot;/&gt;&lt;w:i/&gt;&lt;w:i-cs/&gt;&lt;/w:rPr&gt;&lt;/m:ctrlPr&gt;&lt;/m:dPr&gt;&lt;m:e&gt;&lt;m:r&gt;&lt;m:rPr&gt;&lt;m:nor/&gt;&lt;/m:rPr&gt;&lt;w:rPr&gt;&lt;w:rFonts w:ascii=&quot;Cambria Math&quot; w:h-ansi=&quot;Cambria Math&quot;/&gt;&lt;wx:font wx:val=&quot;Cambria Math&quot;/&gt;&lt;w:i/&gt;&lt;w:i-cs/&gt;&lt;/w:rPr&gt;&lt;m:t&gt;national&lt;/m:t&gt;&lt;/m:r&gt;&lt;m:r&gt;&lt;w:rPr&gt;&lt;w:rFonts w:ascii=&quot;Cambria Math&quot; w:h-ansi=&quot;Cambria Math&quot;/&gt;&lt;wx:font wx:val=&quot;Cambria Math&quot;/&gt;&lt;w:i/&gt;&lt;/w:rPr&gt;&lt;m:t&gt;â€…&lt;/m:t&gt;&lt;/m:r&gt;&lt;m:r&gt;&lt;m:rPr&gt;&lt;m:nor/&gt;&lt;/m:rPr&gt;&lt;w:rPr&gt;&lt;w:rFonts w:ascii=&quot;Cambria Math&quot; w:h-ansi=&quot;Cambria Math&quot;/&gt;&lt;wx:font wx:val=&quot;Cambria Math&quot;/&gt;&lt;w:i/&gt;&lt;w:i-cs/&gt;&lt;/w:rPr&gt;&lt;m:t&gt;total&lt;/m:t&gt;&lt;/m:r&gt;&lt;m:r&gt;&lt;w:rPr&gt;&lt;w:rFonts w:ascii=&quot;Cambria Math&quot; w:h-ansi=&quot;Cambria Math&quot;/&gt;&lt;wx:font wx:val=&quot;Cambria Math&quot;/&gt;&lt;w:i/&gt;&lt;/w:rPr&gt;&lt;m:t&gt;-&lt;/m:t&gt;&lt;/m:r&gt;&lt;m:r&gt;&lt;m:rPr&gt;&lt;m:nor/&gt;&lt;/m:rPr&gt;&lt;w:rPr&gt;&lt;w:rFonts w:ascii=&quot;Cambria Math&quot; w:h-ansi=&quot;Cambria Math&quot;/&gt;&lt;wx:font wx:val=&quot;Cambria Math&quot;/&gt;&lt;w:i/&gt;&lt;w:i-cs/&gt;&lt;/w:rPr&gt;&lt;m:t&gt;disposal&lt;/m:t&gt;&lt;/m:r&gt;&lt;m:r&gt;&lt;w:rPr&gt;&lt;w:rFonts w:ascii=&quot;Cambria Math&quot; w:h-ansi=&quot;Cambria Math&quot;/&gt;&lt;wx:font wx:val=&quot;Cambria Math&quot;/&gt;&lt;w:i/&gt;&lt;/w:rPr&gt;&lt;m:t&gt;â€…&lt;/m:t&gt;&lt;/m:r&gt;&lt;m:r&gt;&lt;m:rPr&gt;&lt;m:nor/&gt;&lt;/m:rPr&gt;&lt;w:rPr&gt;&lt;w:rFonts w:ascii=&quot;Cambria Math&quot; w:h-ansi=&quot;Cambria Math&quot;/&gt;&lt;wx:font wx:val=&quot;Cambria Math&quot;/&gt;&lt;w:i/&gt;&lt;w:i-cs/&gt;&lt;/w:rPr&gt;&lt;m:t&gt;for&lt;/m:t&gt;&lt;/m:r&gt;&lt;m:r&gt;&lt;w:rPr&gt;&lt;w:rFonts w:ascii=&quot;Cambria Math&quot; w:h-ansi=&quot;Cambria Math&quot;/&gt;&lt;wx:font wx:val=&quot;Cambria Math&quot;/&gt;&lt;w:i/&gt;&lt;/w:rPr&gt;&lt;m:t&gt;â€…&lt;/m:t&gt;&lt;/m:r&gt;&lt;m:r&gt;&lt;m:rPr&gt;&lt;m:nor/&gt;&lt;/m:rPr&gt;&lt;w:rPr&gt;&lt;w:rFonts w:ascii=&quot;Cambria Math&quot; w:h-ansi=&quot;Cambria Math&quot;/&gt;&lt;wx:font wx:val=&quot;Cambria Math&quot;/&gt;&lt;w:i/&gt;&lt;w:i-cs/&gt;&lt;/w:rPr&gt;&lt;m:t&gt;LFG&lt;/m:t&gt;&lt;/m:r&gt;&lt;m:r&gt;&lt;w:rPr&gt;&lt;w:rFonts w:ascii=&quot;Cambria Math&quot; w:h-ansi=&quot;Cambria Math&quot;/&gt;&lt;wx:font wx:val=&quot;Cambria Math&quot;/&gt;&lt;w:i/&gt;&lt;/w:rPr&gt;&lt;m:t&gt;â€…&lt;/m:t&gt;&lt;/m:r&gt;&lt;m:r&gt;&lt;m:rPr&gt;&lt;m:nor/&gt;&lt;/m:rPr&gt;&lt;w:rPr&gt;&lt;w:rFonts w:ascii=&quot;Cambria Math&quot; w:h-ansi=&quot;Cambria Math&quot;/&gt;&lt;wx:font wx:val=&quot;Cambria Math&quot;/&gt;&lt;w:i/&gt;&lt;w:i-cs/&gt;&lt;/w:rPr&gt;&lt;m:t&gt;sites&lt;/m:t&gt;&lt;/m:r&gt;&lt;/m:e&gt;&lt;/m:d&gt;&lt;/m:oMath&gt;&lt;/m:oMathPara&gt;&lt;/w:p&gt;&lt;w:sectPr wsp:rsidR=&quot;00000000&quot; wsp:rsidRPr=&quot;00AB541B&quot;&gt;&lt;w:pgSz w:w=&quot;12240&quot; w:h=&quot;15840&quot;/&gt;&lt;w:pgMar w:top=&quot;1440&quot; w:right=&quot;1440&quot; w:bottom=&quot;1440&quot; w:left=&quot;1440&quot; w:header=&quot;720&quot; w:footer=&quot;720&quot; w:gutter=&quot;0&quot;/&gt;&lt;w:cols w:space=&quot;720&quot;/&gt;&lt;/w:sectPr&gt;&lt;/wx:sect&gt;&lt;/w:body&gt;&lt;/w:wordDocument&gt;">
            <v:imagedata r:id="rId231" o:title="" chromakey="white"/>
          </v:shape>
        </w:pict>
      </w:r>
    </w:p>
    <w:p w14:paraId="0BA6B8D4" w14:textId="77777777" w:rsidR="00A76ADB" w:rsidRDefault="00A76ADB" w:rsidP="00A76ADB">
      <w:pPr>
        <w:pStyle w:val="BodyText"/>
      </w:pPr>
      <w:r>
        <w:t>Between 1995 and 2010, the 10 per cent fraction declines to zero, and activity data for uncategorised sites is reported as not occurring (NO) from 2010 onwards.</w:t>
      </w:r>
    </w:p>
    <w:p w14:paraId="160D537E" w14:textId="77777777" w:rsidR="00A76ADB" w:rsidRDefault="00A76ADB" w:rsidP="00A76ADB">
      <w:pPr>
        <w:pStyle w:val="BodyText"/>
      </w:pPr>
      <w:r>
        <w:t xml:space="preserve">Table 7.2.3 shows waste placement from the beginning of the model in 1950 to </w:t>
      </w:r>
      <w:r w:rsidRPr="00246F01">
        <w:t>2020</w:t>
      </w:r>
      <w:r>
        <w:t>. Landfill sites that had LFG recovery at any time since 1950 are included in the ‘sites with LFG recovery’ category even though no sites had LFG recovery before 1985.</w:t>
      </w:r>
    </w:p>
    <w:p w14:paraId="1848BE46" w14:textId="77777777" w:rsidR="00A76ADB" w:rsidRDefault="00A76ADB" w:rsidP="00A76ADB">
      <w:pPr>
        <w:pStyle w:val="Table"/>
      </w:pPr>
      <w:bookmarkStart w:id="2352" w:name="_Toc99659325"/>
      <w:r>
        <w:t>Table 7.2.3</w:t>
      </w:r>
      <w:r>
        <w:tab/>
        <w:t>Solid waste deposited to municipal and uncategorised landfills from 1950 to </w:t>
      </w:r>
      <w:r>
        <w:rPr>
          <w:bCs/>
        </w:rPr>
        <w:t>2020</w:t>
      </w:r>
      <w:bookmarkEnd w:id="2352"/>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620"/>
        <w:gridCol w:w="2322"/>
        <w:gridCol w:w="2581"/>
        <w:gridCol w:w="2040"/>
        <w:gridCol w:w="942"/>
      </w:tblGrid>
      <w:tr w:rsidR="00A76ADB" w:rsidRPr="00577F94" w14:paraId="5A98188E" w14:textId="77777777" w:rsidTr="00F16598">
        <w:trPr>
          <w:tblHeader/>
        </w:trPr>
        <w:tc>
          <w:tcPr>
            <w:tcW w:w="0" w:type="auto"/>
            <w:shd w:val="clear" w:color="auto" w:fill="1B556B"/>
            <w:tcMar>
              <w:top w:w="0" w:type="dxa"/>
              <w:left w:w="108" w:type="dxa"/>
              <w:bottom w:w="0" w:type="dxa"/>
              <w:right w:w="108" w:type="dxa"/>
            </w:tcMar>
            <w:vAlign w:val="center"/>
          </w:tcPr>
          <w:p w14:paraId="39B8516E" w14:textId="77777777" w:rsidR="00A76ADB" w:rsidRPr="006C0D1B" w:rsidRDefault="00A76ADB" w:rsidP="007E3239">
            <w:pPr>
              <w:pStyle w:val="TableTextBold"/>
              <w:spacing w:before="50" w:after="50"/>
              <w:rPr>
                <w:color w:val="FFFFFF"/>
              </w:rPr>
            </w:pPr>
            <w:bookmarkStart w:id="2353" w:name="_Hlk98248511"/>
            <w:r w:rsidRPr="006C0D1B">
              <w:rPr>
                <w:rFonts w:eastAsia="Calibri"/>
                <w:color w:val="FFFFFF"/>
              </w:rPr>
              <w:t>Year</w:t>
            </w:r>
          </w:p>
        </w:tc>
        <w:tc>
          <w:tcPr>
            <w:tcW w:w="0" w:type="auto"/>
            <w:shd w:val="clear" w:color="auto" w:fill="1B556B"/>
            <w:tcMar>
              <w:top w:w="0" w:type="dxa"/>
              <w:left w:w="108" w:type="dxa"/>
              <w:bottom w:w="0" w:type="dxa"/>
              <w:right w:w="108" w:type="dxa"/>
            </w:tcMar>
            <w:vAlign w:val="center"/>
          </w:tcPr>
          <w:p w14:paraId="6F18C62B" w14:textId="77777777" w:rsidR="00A76ADB" w:rsidRPr="006C0D1B" w:rsidRDefault="00A76ADB" w:rsidP="007E3239">
            <w:pPr>
              <w:pStyle w:val="TableTextBold"/>
              <w:spacing w:before="50" w:after="50"/>
              <w:rPr>
                <w:color w:val="FFFFFF"/>
              </w:rPr>
            </w:pPr>
            <w:r w:rsidRPr="006C0D1B">
              <w:rPr>
                <w:rFonts w:eastAsia="Calibri"/>
                <w:color w:val="FFFFFF"/>
              </w:rPr>
              <w:t>Sites with LFG recovery (kt)</w:t>
            </w:r>
          </w:p>
        </w:tc>
        <w:tc>
          <w:tcPr>
            <w:tcW w:w="0" w:type="auto"/>
            <w:shd w:val="clear" w:color="auto" w:fill="1B556B"/>
            <w:tcMar>
              <w:top w:w="0" w:type="dxa"/>
              <w:left w:w="108" w:type="dxa"/>
              <w:bottom w:w="0" w:type="dxa"/>
              <w:right w:w="108" w:type="dxa"/>
            </w:tcMar>
            <w:vAlign w:val="center"/>
          </w:tcPr>
          <w:p w14:paraId="24775E54" w14:textId="77777777" w:rsidR="00A76ADB" w:rsidRPr="006C0D1B" w:rsidRDefault="00A76ADB" w:rsidP="007E3239">
            <w:pPr>
              <w:pStyle w:val="TableTextBold"/>
              <w:spacing w:before="50" w:after="50"/>
              <w:rPr>
                <w:color w:val="FFFFFF"/>
              </w:rPr>
            </w:pPr>
            <w:r w:rsidRPr="006C0D1B">
              <w:rPr>
                <w:rFonts w:eastAsia="Calibri"/>
                <w:color w:val="FFFFFF"/>
              </w:rPr>
              <w:t>Sites without LFG recovery (kt)</w:t>
            </w:r>
          </w:p>
        </w:tc>
        <w:tc>
          <w:tcPr>
            <w:tcW w:w="0" w:type="auto"/>
            <w:shd w:val="clear" w:color="auto" w:fill="1B556B"/>
            <w:tcMar>
              <w:top w:w="0" w:type="dxa"/>
              <w:left w:w="108" w:type="dxa"/>
              <w:bottom w:w="0" w:type="dxa"/>
              <w:right w:w="108" w:type="dxa"/>
            </w:tcMar>
            <w:vAlign w:val="center"/>
          </w:tcPr>
          <w:p w14:paraId="126A75FD" w14:textId="77777777" w:rsidR="00A76ADB" w:rsidRPr="006C0D1B" w:rsidRDefault="00A76ADB" w:rsidP="007E3239">
            <w:pPr>
              <w:pStyle w:val="TableTextBold"/>
              <w:spacing w:before="50" w:after="50"/>
              <w:rPr>
                <w:color w:val="FFFFFF"/>
              </w:rPr>
            </w:pPr>
            <w:r w:rsidRPr="006C0D1B">
              <w:rPr>
                <w:rFonts w:eastAsia="Calibri"/>
                <w:color w:val="FFFFFF"/>
              </w:rPr>
              <w:t>Uncategorised sites (kt)</w:t>
            </w:r>
          </w:p>
        </w:tc>
        <w:tc>
          <w:tcPr>
            <w:tcW w:w="0" w:type="auto"/>
            <w:shd w:val="clear" w:color="auto" w:fill="1B556B"/>
            <w:tcMar>
              <w:top w:w="0" w:type="dxa"/>
              <w:left w:w="108" w:type="dxa"/>
              <w:bottom w:w="0" w:type="dxa"/>
              <w:right w:w="108" w:type="dxa"/>
            </w:tcMar>
            <w:vAlign w:val="center"/>
          </w:tcPr>
          <w:p w14:paraId="193D2A9A" w14:textId="77777777" w:rsidR="00A76ADB" w:rsidRPr="006C0D1B" w:rsidRDefault="00A76ADB" w:rsidP="007E3239">
            <w:pPr>
              <w:pStyle w:val="TableTextBold"/>
              <w:spacing w:before="50" w:after="50"/>
              <w:rPr>
                <w:color w:val="FFFFFF"/>
              </w:rPr>
            </w:pPr>
            <w:r w:rsidRPr="006C0D1B">
              <w:rPr>
                <w:rFonts w:eastAsia="Calibri"/>
                <w:color w:val="FFFFFF"/>
              </w:rPr>
              <w:t>Total (kt)</w:t>
            </w:r>
          </w:p>
        </w:tc>
      </w:tr>
      <w:tr w:rsidR="00A76ADB" w14:paraId="1FCF52FF" w14:textId="77777777" w:rsidTr="00F16598">
        <w:trPr>
          <w:cantSplit/>
          <w:trHeight w:val="283"/>
        </w:trPr>
        <w:tc>
          <w:tcPr>
            <w:tcW w:w="0" w:type="auto"/>
            <w:shd w:val="clear" w:color="auto" w:fill="FFFFFF"/>
            <w:tcMar>
              <w:top w:w="0" w:type="dxa"/>
              <w:left w:w="108" w:type="dxa"/>
              <w:bottom w:w="0" w:type="dxa"/>
              <w:right w:w="108" w:type="dxa"/>
            </w:tcMar>
            <w:vAlign w:val="center"/>
          </w:tcPr>
          <w:p w14:paraId="17F2EBC9" w14:textId="77777777" w:rsidR="00A76ADB" w:rsidRDefault="00A76ADB" w:rsidP="007E3239">
            <w:pPr>
              <w:pStyle w:val="TableText"/>
              <w:spacing w:before="50" w:after="50"/>
            </w:pPr>
            <w:r>
              <w:rPr>
                <w:rFonts w:eastAsia="Calibri"/>
              </w:rPr>
              <w:t>1950</w:t>
            </w:r>
          </w:p>
        </w:tc>
        <w:tc>
          <w:tcPr>
            <w:tcW w:w="0" w:type="auto"/>
            <w:shd w:val="clear" w:color="auto" w:fill="FFFFFF"/>
            <w:tcMar>
              <w:top w:w="0" w:type="dxa"/>
              <w:left w:w="108" w:type="dxa"/>
              <w:bottom w:w="0" w:type="dxa"/>
              <w:right w:w="108" w:type="dxa"/>
            </w:tcMar>
            <w:vAlign w:val="bottom"/>
          </w:tcPr>
          <w:p w14:paraId="5D4C3C95" w14:textId="77777777" w:rsidR="00A76ADB" w:rsidRPr="00246F01" w:rsidRDefault="00A76ADB" w:rsidP="007E3239">
            <w:pPr>
              <w:pStyle w:val="TableText"/>
              <w:spacing w:before="50" w:after="50"/>
              <w:jc w:val="center"/>
            </w:pPr>
            <w:r w:rsidRPr="00246F01">
              <w:t>33.7</w:t>
            </w:r>
          </w:p>
        </w:tc>
        <w:tc>
          <w:tcPr>
            <w:tcW w:w="0" w:type="auto"/>
            <w:shd w:val="clear" w:color="auto" w:fill="FFFFFF"/>
            <w:tcMar>
              <w:top w:w="0" w:type="dxa"/>
              <w:left w:w="108" w:type="dxa"/>
              <w:bottom w:w="0" w:type="dxa"/>
              <w:right w:w="108" w:type="dxa"/>
            </w:tcMar>
            <w:vAlign w:val="bottom"/>
          </w:tcPr>
          <w:p w14:paraId="50BD13AB" w14:textId="77777777" w:rsidR="00A76ADB" w:rsidRPr="00246F01" w:rsidRDefault="00A76ADB" w:rsidP="007E3239">
            <w:pPr>
              <w:pStyle w:val="TableText"/>
              <w:spacing w:before="50" w:after="50"/>
              <w:jc w:val="center"/>
            </w:pPr>
            <w:r w:rsidRPr="00246F01">
              <w:t>74.7</w:t>
            </w:r>
          </w:p>
        </w:tc>
        <w:tc>
          <w:tcPr>
            <w:tcW w:w="0" w:type="auto"/>
            <w:shd w:val="clear" w:color="auto" w:fill="FFFFFF"/>
            <w:tcMar>
              <w:top w:w="0" w:type="dxa"/>
              <w:left w:w="108" w:type="dxa"/>
              <w:bottom w:w="0" w:type="dxa"/>
              <w:right w:w="108" w:type="dxa"/>
            </w:tcMar>
            <w:vAlign w:val="bottom"/>
          </w:tcPr>
          <w:p w14:paraId="00A86469" w14:textId="77777777" w:rsidR="00A76ADB" w:rsidRPr="00246F01" w:rsidRDefault="00A76ADB" w:rsidP="007E3239">
            <w:pPr>
              <w:pStyle w:val="TableText"/>
              <w:spacing w:before="50" w:after="50"/>
              <w:jc w:val="center"/>
            </w:pPr>
            <w:r w:rsidRPr="00246F01">
              <w:t>8.3</w:t>
            </w:r>
          </w:p>
        </w:tc>
        <w:tc>
          <w:tcPr>
            <w:tcW w:w="0" w:type="auto"/>
            <w:shd w:val="clear" w:color="auto" w:fill="FFFFFF"/>
            <w:tcMar>
              <w:top w:w="0" w:type="dxa"/>
              <w:left w:w="108" w:type="dxa"/>
              <w:bottom w:w="0" w:type="dxa"/>
              <w:right w:w="108" w:type="dxa"/>
            </w:tcMar>
            <w:vAlign w:val="bottom"/>
          </w:tcPr>
          <w:p w14:paraId="5720C917" w14:textId="77777777" w:rsidR="00A76ADB" w:rsidRPr="00246F01" w:rsidRDefault="00A76ADB" w:rsidP="007E3239">
            <w:pPr>
              <w:pStyle w:val="TableText"/>
              <w:spacing w:before="50" w:after="50"/>
              <w:jc w:val="center"/>
            </w:pPr>
            <w:r w:rsidRPr="00246F01">
              <w:t>116.6</w:t>
            </w:r>
          </w:p>
        </w:tc>
      </w:tr>
      <w:tr w:rsidR="00A76ADB" w14:paraId="15AD36EE" w14:textId="77777777" w:rsidTr="00F16598">
        <w:trPr>
          <w:cantSplit/>
          <w:trHeight w:val="283"/>
        </w:trPr>
        <w:tc>
          <w:tcPr>
            <w:tcW w:w="0" w:type="auto"/>
            <w:shd w:val="clear" w:color="auto" w:fill="FFFFFF"/>
            <w:tcMar>
              <w:top w:w="0" w:type="dxa"/>
              <w:left w:w="108" w:type="dxa"/>
              <w:bottom w:w="0" w:type="dxa"/>
              <w:right w:w="108" w:type="dxa"/>
            </w:tcMar>
            <w:vAlign w:val="center"/>
          </w:tcPr>
          <w:p w14:paraId="6FAFC532" w14:textId="77777777" w:rsidR="00A76ADB" w:rsidRDefault="00A76ADB" w:rsidP="007E3239">
            <w:pPr>
              <w:pStyle w:val="TableText"/>
              <w:spacing w:before="50" w:after="50"/>
            </w:pPr>
            <w:r>
              <w:rPr>
                <w:rFonts w:eastAsia="Calibri"/>
              </w:rPr>
              <w:t>1951</w:t>
            </w:r>
          </w:p>
        </w:tc>
        <w:tc>
          <w:tcPr>
            <w:tcW w:w="0" w:type="auto"/>
            <w:shd w:val="clear" w:color="auto" w:fill="FFFFFF"/>
            <w:tcMar>
              <w:top w:w="0" w:type="dxa"/>
              <w:left w:w="108" w:type="dxa"/>
              <w:bottom w:w="0" w:type="dxa"/>
              <w:right w:w="108" w:type="dxa"/>
            </w:tcMar>
            <w:vAlign w:val="bottom"/>
          </w:tcPr>
          <w:p w14:paraId="452CF0B9" w14:textId="77777777" w:rsidR="00A76ADB" w:rsidRPr="00246F01" w:rsidRDefault="00A76ADB" w:rsidP="007E3239">
            <w:pPr>
              <w:pStyle w:val="TableText"/>
              <w:spacing w:before="50" w:after="50"/>
              <w:jc w:val="center"/>
            </w:pPr>
            <w:r w:rsidRPr="00246F01">
              <w:t>77.5</w:t>
            </w:r>
          </w:p>
        </w:tc>
        <w:tc>
          <w:tcPr>
            <w:tcW w:w="0" w:type="auto"/>
            <w:shd w:val="clear" w:color="auto" w:fill="FFFFFF"/>
            <w:tcMar>
              <w:top w:w="0" w:type="dxa"/>
              <w:left w:w="108" w:type="dxa"/>
              <w:bottom w:w="0" w:type="dxa"/>
              <w:right w:w="108" w:type="dxa"/>
            </w:tcMar>
            <w:vAlign w:val="bottom"/>
          </w:tcPr>
          <w:p w14:paraId="681BAFDD" w14:textId="77777777" w:rsidR="00A76ADB" w:rsidRPr="00246F01" w:rsidRDefault="00A76ADB" w:rsidP="007E3239">
            <w:pPr>
              <w:pStyle w:val="TableText"/>
              <w:spacing w:before="50" w:after="50"/>
              <w:jc w:val="center"/>
            </w:pPr>
            <w:r w:rsidRPr="00246F01">
              <w:t>164.7</w:t>
            </w:r>
          </w:p>
        </w:tc>
        <w:tc>
          <w:tcPr>
            <w:tcW w:w="0" w:type="auto"/>
            <w:shd w:val="clear" w:color="auto" w:fill="FFFFFF"/>
            <w:tcMar>
              <w:top w:w="0" w:type="dxa"/>
              <w:left w:w="108" w:type="dxa"/>
              <w:bottom w:w="0" w:type="dxa"/>
              <w:right w:w="108" w:type="dxa"/>
            </w:tcMar>
            <w:vAlign w:val="bottom"/>
          </w:tcPr>
          <w:p w14:paraId="09369624" w14:textId="77777777" w:rsidR="00A76ADB" w:rsidRPr="00246F01" w:rsidRDefault="00A76ADB" w:rsidP="007E3239">
            <w:pPr>
              <w:pStyle w:val="TableText"/>
              <w:spacing w:before="50" w:after="50"/>
              <w:jc w:val="center"/>
            </w:pPr>
            <w:r w:rsidRPr="00246F01">
              <w:t>18.3</w:t>
            </w:r>
          </w:p>
        </w:tc>
        <w:tc>
          <w:tcPr>
            <w:tcW w:w="0" w:type="auto"/>
            <w:shd w:val="clear" w:color="auto" w:fill="FFFFFF"/>
            <w:tcMar>
              <w:top w:w="0" w:type="dxa"/>
              <w:left w:w="108" w:type="dxa"/>
              <w:bottom w:w="0" w:type="dxa"/>
              <w:right w:w="108" w:type="dxa"/>
            </w:tcMar>
            <w:vAlign w:val="bottom"/>
          </w:tcPr>
          <w:p w14:paraId="0E2AA94A" w14:textId="77777777" w:rsidR="00A76ADB" w:rsidRPr="00246F01" w:rsidRDefault="00A76ADB" w:rsidP="007E3239">
            <w:pPr>
              <w:pStyle w:val="TableText"/>
              <w:spacing w:before="50" w:after="50"/>
              <w:jc w:val="center"/>
            </w:pPr>
            <w:r w:rsidRPr="00246F01">
              <w:t>260.6</w:t>
            </w:r>
          </w:p>
        </w:tc>
      </w:tr>
      <w:tr w:rsidR="00A76ADB" w14:paraId="7A3337D4" w14:textId="77777777" w:rsidTr="00F16598">
        <w:trPr>
          <w:cantSplit/>
          <w:trHeight w:val="283"/>
        </w:trPr>
        <w:tc>
          <w:tcPr>
            <w:tcW w:w="0" w:type="auto"/>
            <w:shd w:val="clear" w:color="auto" w:fill="FFFFFF"/>
            <w:tcMar>
              <w:top w:w="0" w:type="dxa"/>
              <w:left w:w="108" w:type="dxa"/>
              <w:bottom w:w="0" w:type="dxa"/>
              <w:right w:w="108" w:type="dxa"/>
            </w:tcMar>
            <w:vAlign w:val="center"/>
          </w:tcPr>
          <w:p w14:paraId="31210108" w14:textId="77777777" w:rsidR="00A76ADB" w:rsidRDefault="00A76ADB" w:rsidP="007E3239">
            <w:pPr>
              <w:pStyle w:val="TableText"/>
              <w:spacing w:before="50" w:after="50"/>
            </w:pPr>
            <w:r>
              <w:rPr>
                <w:rFonts w:eastAsia="Calibri"/>
              </w:rPr>
              <w:t>1952</w:t>
            </w:r>
          </w:p>
        </w:tc>
        <w:tc>
          <w:tcPr>
            <w:tcW w:w="0" w:type="auto"/>
            <w:shd w:val="clear" w:color="auto" w:fill="FFFFFF"/>
            <w:tcMar>
              <w:top w:w="0" w:type="dxa"/>
              <w:left w:w="108" w:type="dxa"/>
              <w:bottom w:w="0" w:type="dxa"/>
              <w:right w:w="108" w:type="dxa"/>
            </w:tcMar>
            <w:vAlign w:val="bottom"/>
          </w:tcPr>
          <w:p w14:paraId="5A316F10" w14:textId="77777777" w:rsidR="00A76ADB" w:rsidRPr="00246F01" w:rsidRDefault="00A76ADB" w:rsidP="007E3239">
            <w:pPr>
              <w:pStyle w:val="TableText"/>
              <w:spacing w:before="50" w:after="50"/>
              <w:jc w:val="center"/>
            </w:pPr>
            <w:r w:rsidRPr="00246F01">
              <w:t>77.5</w:t>
            </w:r>
          </w:p>
        </w:tc>
        <w:tc>
          <w:tcPr>
            <w:tcW w:w="0" w:type="auto"/>
            <w:shd w:val="clear" w:color="auto" w:fill="FFFFFF"/>
            <w:tcMar>
              <w:top w:w="0" w:type="dxa"/>
              <w:left w:w="108" w:type="dxa"/>
              <w:bottom w:w="0" w:type="dxa"/>
              <w:right w:w="108" w:type="dxa"/>
            </w:tcMar>
            <w:vAlign w:val="bottom"/>
          </w:tcPr>
          <w:p w14:paraId="357EACE1" w14:textId="77777777" w:rsidR="00A76ADB" w:rsidRPr="00246F01" w:rsidRDefault="00A76ADB" w:rsidP="007E3239">
            <w:pPr>
              <w:pStyle w:val="TableText"/>
              <w:spacing w:before="50" w:after="50"/>
              <w:jc w:val="center"/>
            </w:pPr>
            <w:r w:rsidRPr="00246F01">
              <w:t>118.7</w:t>
            </w:r>
          </w:p>
        </w:tc>
        <w:tc>
          <w:tcPr>
            <w:tcW w:w="0" w:type="auto"/>
            <w:shd w:val="clear" w:color="auto" w:fill="FFFFFF"/>
            <w:tcMar>
              <w:top w:w="0" w:type="dxa"/>
              <w:left w:w="108" w:type="dxa"/>
              <w:bottom w:w="0" w:type="dxa"/>
              <w:right w:w="108" w:type="dxa"/>
            </w:tcMar>
            <w:vAlign w:val="bottom"/>
          </w:tcPr>
          <w:p w14:paraId="57BAF513" w14:textId="77777777" w:rsidR="00A76ADB" w:rsidRPr="00246F01" w:rsidRDefault="00A76ADB" w:rsidP="007E3239">
            <w:pPr>
              <w:pStyle w:val="TableText"/>
              <w:spacing w:before="50" w:after="50"/>
              <w:jc w:val="center"/>
            </w:pPr>
            <w:r w:rsidRPr="00246F01">
              <w:t>13.2</w:t>
            </w:r>
          </w:p>
        </w:tc>
        <w:tc>
          <w:tcPr>
            <w:tcW w:w="0" w:type="auto"/>
            <w:shd w:val="clear" w:color="auto" w:fill="FFFFFF"/>
            <w:tcMar>
              <w:top w:w="0" w:type="dxa"/>
              <w:left w:w="108" w:type="dxa"/>
              <w:bottom w:w="0" w:type="dxa"/>
              <w:right w:w="108" w:type="dxa"/>
            </w:tcMar>
            <w:vAlign w:val="bottom"/>
          </w:tcPr>
          <w:p w14:paraId="3A58C2BA" w14:textId="77777777" w:rsidR="00A76ADB" w:rsidRPr="00246F01" w:rsidRDefault="00A76ADB" w:rsidP="007E3239">
            <w:pPr>
              <w:pStyle w:val="TableText"/>
              <w:spacing w:before="50" w:after="50"/>
              <w:jc w:val="center"/>
            </w:pPr>
            <w:r w:rsidRPr="00246F01">
              <w:t>209.4</w:t>
            </w:r>
          </w:p>
        </w:tc>
      </w:tr>
      <w:tr w:rsidR="00A76ADB" w14:paraId="7A8E7E21" w14:textId="77777777" w:rsidTr="00F16598">
        <w:trPr>
          <w:cantSplit/>
          <w:trHeight w:val="283"/>
        </w:trPr>
        <w:tc>
          <w:tcPr>
            <w:tcW w:w="0" w:type="auto"/>
            <w:shd w:val="clear" w:color="auto" w:fill="FFFFFF"/>
            <w:tcMar>
              <w:top w:w="0" w:type="dxa"/>
              <w:left w:w="108" w:type="dxa"/>
              <w:bottom w:w="0" w:type="dxa"/>
              <w:right w:w="108" w:type="dxa"/>
            </w:tcMar>
            <w:vAlign w:val="center"/>
          </w:tcPr>
          <w:p w14:paraId="19F1AD30" w14:textId="77777777" w:rsidR="00A76ADB" w:rsidRDefault="00A76ADB" w:rsidP="007E3239">
            <w:pPr>
              <w:pStyle w:val="TableText"/>
              <w:spacing w:before="50" w:after="50"/>
            </w:pPr>
            <w:r>
              <w:rPr>
                <w:rFonts w:eastAsia="Calibri"/>
              </w:rPr>
              <w:t>1953</w:t>
            </w:r>
          </w:p>
        </w:tc>
        <w:tc>
          <w:tcPr>
            <w:tcW w:w="0" w:type="auto"/>
            <w:shd w:val="clear" w:color="auto" w:fill="FFFFFF"/>
            <w:tcMar>
              <w:top w:w="0" w:type="dxa"/>
              <w:left w:w="108" w:type="dxa"/>
              <w:bottom w:w="0" w:type="dxa"/>
              <w:right w:w="108" w:type="dxa"/>
            </w:tcMar>
            <w:vAlign w:val="bottom"/>
          </w:tcPr>
          <w:p w14:paraId="678DD6F0" w14:textId="77777777" w:rsidR="00A76ADB" w:rsidRPr="00246F01" w:rsidRDefault="00A76ADB" w:rsidP="007E3239">
            <w:pPr>
              <w:pStyle w:val="TableText"/>
              <w:spacing w:before="50" w:after="50"/>
              <w:jc w:val="center"/>
            </w:pPr>
            <w:r w:rsidRPr="00246F01">
              <w:t>77.5</w:t>
            </w:r>
          </w:p>
        </w:tc>
        <w:tc>
          <w:tcPr>
            <w:tcW w:w="0" w:type="auto"/>
            <w:shd w:val="clear" w:color="auto" w:fill="FFFFFF"/>
            <w:tcMar>
              <w:top w:w="0" w:type="dxa"/>
              <w:left w:w="108" w:type="dxa"/>
              <w:bottom w:w="0" w:type="dxa"/>
              <w:right w:w="108" w:type="dxa"/>
            </w:tcMar>
            <w:vAlign w:val="bottom"/>
          </w:tcPr>
          <w:p w14:paraId="477BA07C" w14:textId="77777777" w:rsidR="00A76ADB" w:rsidRPr="00246F01" w:rsidRDefault="00A76ADB" w:rsidP="007E3239">
            <w:pPr>
              <w:pStyle w:val="TableText"/>
              <w:spacing w:before="50" w:after="50"/>
              <w:jc w:val="center"/>
            </w:pPr>
            <w:r w:rsidRPr="00246F01">
              <w:t>127.3</w:t>
            </w:r>
          </w:p>
        </w:tc>
        <w:tc>
          <w:tcPr>
            <w:tcW w:w="0" w:type="auto"/>
            <w:shd w:val="clear" w:color="auto" w:fill="FFFFFF"/>
            <w:tcMar>
              <w:top w:w="0" w:type="dxa"/>
              <w:left w:w="108" w:type="dxa"/>
              <w:bottom w:w="0" w:type="dxa"/>
              <w:right w:w="108" w:type="dxa"/>
            </w:tcMar>
            <w:vAlign w:val="bottom"/>
          </w:tcPr>
          <w:p w14:paraId="6CC89314" w14:textId="77777777" w:rsidR="00A76ADB" w:rsidRPr="00246F01" w:rsidRDefault="00A76ADB" w:rsidP="007E3239">
            <w:pPr>
              <w:pStyle w:val="TableText"/>
              <w:spacing w:before="50" w:after="50"/>
              <w:jc w:val="center"/>
            </w:pPr>
            <w:r w:rsidRPr="00246F01">
              <w:t>14.1</w:t>
            </w:r>
          </w:p>
        </w:tc>
        <w:tc>
          <w:tcPr>
            <w:tcW w:w="0" w:type="auto"/>
            <w:shd w:val="clear" w:color="auto" w:fill="FFFFFF"/>
            <w:tcMar>
              <w:top w:w="0" w:type="dxa"/>
              <w:left w:w="108" w:type="dxa"/>
              <w:bottom w:w="0" w:type="dxa"/>
              <w:right w:w="108" w:type="dxa"/>
            </w:tcMar>
            <w:vAlign w:val="bottom"/>
          </w:tcPr>
          <w:p w14:paraId="65BF64E4" w14:textId="77777777" w:rsidR="00A76ADB" w:rsidRPr="00246F01" w:rsidRDefault="00A76ADB" w:rsidP="007E3239">
            <w:pPr>
              <w:pStyle w:val="TableText"/>
              <w:spacing w:before="50" w:after="50"/>
              <w:jc w:val="center"/>
            </w:pPr>
            <w:r w:rsidRPr="00246F01">
              <w:t>219.0</w:t>
            </w:r>
          </w:p>
        </w:tc>
      </w:tr>
      <w:tr w:rsidR="00A76ADB" w14:paraId="12677CC9" w14:textId="77777777" w:rsidTr="00F16598">
        <w:trPr>
          <w:cantSplit/>
          <w:trHeight w:val="283"/>
        </w:trPr>
        <w:tc>
          <w:tcPr>
            <w:tcW w:w="0" w:type="auto"/>
            <w:shd w:val="clear" w:color="auto" w:fill="FFFFFF"/>
            <w:tcMar>
              <w:top w:w="0" w:type="dxa"/>
              <w:left w:w="108" w:type="dxa"/>
              <w:bottom w:w="0" w:type="dxa"/>
              <w:right w:w="108" w:type="dxa"/>
            </w:tcMar>
            <w:vAlign w:val="center"/>
          </w:tcPr>
          <w:p w14:paraId="4789A921" w14:textId="77777777" w:rsidR="00A76ADB" w:rsidRDefault="00A76ADB" w:rsidP="007E3239">
            <w:pPr>
              <w:pStyle w:val="TableText"/>
              <w:spacing w:before="50" w:after="50"/>
            </w:pPr>
            <w:r>
              <w:rPr>
                <w:rFonts w:eastAsia="Calibri"/>
              </w:rPr>
              <w:t>1954</w:t>
            </w:r>
          </w:p>
        </w:tc>
        <w:tc>
          <w:tcPr>
            <w:tcW w:w="0" w:type="auto"/>
            <w:shd w:val="clear" w:color="auto" w:fill="FFFFFF"/>
            <w:tcMar>
              <w:top w:w="0" w:type="dxa"/>
              <w:left w:w="108" w:type="dxa"/>
              <w:bottom w:w="0" w:type="dxa"/>
              <w:right w:w="108" w:type="dxa"/>
            </w:tcMar>
            <w:vAlign w:val="bottom"/>
          </w:tcPr>
          <w:p w14:paraId="072A3B9F" w14:textId="77777777" w:rsidR="00A76ADB" w:rsidRPr="00246F01" w:rsidRDefault="00A76ADB" w:rsidP="007E3239">
            <w:pPr>
              <w:pStyle w:val="TableText"/>
              <w:spacing w:before="50" w:after="50"/>
              <w:jc w:val="center"/>
            </w:pPr>
            <w:r w:rsidRPr="00246F01">
              <w:t>77.5</w:t>
            </w:r>
          </w:p>
        </w:tc>
        <w:tc>
          <w:tcPr>
            <w:tcW w:w="0" w:type="auto"/>
            <w:shd w:val="clear" w:color="auto" w:fill="FFFFFF"/>
            <w:tcMar>
              <w:top w:w="0" w:type="dxa"/>
              <w:left w:w="108" w:type="dxa"/>
              <w:bottom w:w="0" w:type="dxa"/>
              <w:right w:w="108" w:type="dxa"/>
            </w:tcMar>
            <w:vAlign w:val="bottom"/>
          </w:tcPr>
          <w:p w14:paraId="7A3DF410" w14:textId="77777777" w:rsidR="00A76ADB" w:rsidRPr="00246F01" w:rsidRDefault="00A76ADB" w:rsidP="007E3239">
            <w:pPr>
              <w:pStyle w:val="TableText"/>
              <w:spacing w:before="50" w:after="50"/>
              <w:jc w:val="center"/>
            </w:pPr>
            <w:r w:rsidRPr="00246F01">
              <w:t>195.3</w:t>
            </w:r>
          </w:p>
        </w:tc>
        <w:tc>
          <w:tcPr>
            <w:tcW w:w="0" w:type="auto"/>
            <w:shd w:val="clear" w:color="auto" w:fill="FFFFFF"/>
            <w:tcMar>
              <w:top w:w="0" w:type="dxa"/>
              <w:left w:w="108" w:type="dxa"/>
              <w:bottom w:w="0" w:type="dxa"/>
              <w:right w:w="108" w:type="dxa"/>
            </w:tcMar>
            <w:vAlign w:val="bottom"/>
          </w:tcPr>
          <w:p w14:paraId="35C8F795" w14:textId="77777777" w:rsidR="00A76ADB" w:rsidRPr="00246F01" w:rsidRDefault="00A76ADB" w:rsidP="007E3239">
            <w:pPr>
              <w:pStyle w:val="TableText"/>
              <w:spacing w:before="50" w:after="50"/>
              <w:jc w:val="center"/>
            </w:pPr>
            <w:r w:rsidRPr="00246F01">
              <w:t>21.7</w:t>
            </w:r>
          </w:p>
        </w:tc>
        <w:tc>
          <w:tcPr>
            <w:tcW w:w="0" w:type="auto"/>
            <w:shd w:val="clear" w:color="auto" w:fill="FFFFFF"/>
            <w:tcMar>
              <w:top w:w="0" w:type="dxa"/>
              <w:left w:w="108" w:type="dxa"/>
              <w:bottom w:w="0" w:type="dxa"/>
              <w:right w:w="108" w:type="dxa"/>
            </w:tcMar>
            <w:vAlign w:val="bottom"/>
          </w:tcPr>
          <w:p w14:paraId="79CEED03" w14:textId="77777777" w:rsidR="00A76ADB" w:rsidRPr="00246F01" w:rsidRDefault="00A76ADB" w:rsidP="007E3239">
            <w:pPr>
              <w:pStyle w:val="TableText"/>
              <w:spacing w:before="50" w:after="50"/>
              <w:jc w:val="center"/>
            </w:pPr>
            <w:r w:rsidRPr="00246F01">
              <w:t>294.5</w:t>
            </w:r>
          </w:p>
        </w:tc>
      </w:tr>
      <w:tr w:rsidR="00A76ADB" w14:paraId="3B1C4B99" w14:textId="77777777" w:rsidTr="00F16598">
        <w:trPr>
          <w:cantSplit/>
          <w:trHeight w:val="283"/>
        </w:trPr>
        <w:tc>
          <w:tcPr>
            <w:tcW w:w="0" w:type="auto"/>
            <w:shd w:val="clear" w:color="auto" w:fill="FFFFFF"/>
            <w:tcMar>
              <w:top w:w="0" w:type="dxa"/>
              <w:left w:w="108" w:type="dxa"/>
              <w:bottom w:w="0" w:type="dxa"/>
              <w:right w:w="108" w:type="dxa"/>
            </w:tcMar>
            <w:vAlign w:val="center"/>
          </w:tcPr>
          <w:p w14:paraId="272AE5B1" w14:textId="77777777" w:rsidR="00A76ADB" w:rsidRDefault="00A76ADB" w:rsidP="007E3239">
            <w:pPr>
              <w:pStyle w:val="TableText"/>
              <w:spacing w:before="50" w:after="50"/>
            </w:pPr>
            <w:r>
              <w:rPr>
                <w:rFonts w:eastAsia="Calibri"/>
              </w:rPr>
              <w:t>1955</w:t>
            </w:r>
          </w:p>
        </w:tc>
        <w:tc>
          <w:tcPr>
            <w:tcW w:w="0" w:type="auto"/>
            <w:shd w:val="clear" w:color="auto" w:fill="FFFFFF"/>
            <w:tcMar>
              <w:top w:w="0" w:type="dxa"/>
              <w:left w:w="108" w:type="dxa"/>
              <w:bottom w:w="0" w:type="dxa"/>
              <w:right w:w="108" w:type="dxa"/>
            </w:tcMar>
            <w:vAlign w:val="bottom"/>
          </w:tcPr>
          <w:p w14:paraId="33BA7365" w14:textId="77777777" w:rsidR="00A76ADB" w:rsidRPr="00246F01" w:rsidRDefault="00A76ADB" w:rsidP="007E3239">
            <w:pPr>
              <w:pStyle w:val="TableText"/>
              <w:spacing w:before="50" w:after="50"/>
              <w:jc w:val="center"/>
            </w:pPr>
            <w:r w:rsidRPr="00246F01">
              <w:t>181.7</w:t>
            </w:r>
          </w:p>
        </w:tc>
        <w:tc>
          <w:tcPr>
            <w:tcW w:w="0" w:type="auto"/>
            <w:shd w:val="clear" w:color="auto" w:fill="FFFFFF"/>
            <w:tcMar>
              <w:top w:w="0" w:type="dxa"/>
              <w:left w:w="108" w:type="dxa"/>
              <w:bottom w:w="0" w:type="dxa"/>
              <w:right w:w="108" w:type="dxa"/>
            </w:tcMar>
            <w:vAlign w:val="bottom"/>
          </w:tcPr>
          <w:p w14:paraId="12E9B718" w14:textId="77777777" w:rsidR="00A76ADB" w:rsidRPr="00246F01" w:rsidRDefault="00A76ADB" w:rsidP="007E3239">
            <w:pPr>
              <w:pStyle w:val="TableText"/>
              <w:spacing w:before="50" w:after="50"/>
              <w:jc w:val="center"/>
            </w:pPr>
            <w:r w:rsidRPr="00246F01">
              <w:t>180.3</w:t>
            </w:r>
          </w:p>
        </w:tc>
        <w:tc>
          <w:tcPr>
            <w:tcW w:w="0" w:type="auto"/>
            <w:shd w:val="clear" w:color="auto" w:fill="FFFFFF"/>
            <w:tcMar>
              <w:top w:w="0" w:type="dxa"/>
              <w:left w:w="108" w:type="dxa"/>
              <w:bottom w:w="0" w:type="dxa"/>
              <w:right w:w="108" w:type="dxa"/>
            </w:tcMar>
            <w:vAlign w:val="bottom"/>
          </w:tcPr>
          <w:p w14:paraId="2B21DF8C" w14:textId="77777777" w:rsidR="00A76ADB" w:rsidRPr="00246F01" w:rsidRDefault="00A76ADB" w:rsidP="007E3239">
            <w:pPr>
              <w:pStyle w:val="TableText"/>
              <w:spacing w:before="50" w:after="50"/>
              <w:jc w:val="center"/>
            </w:pPr>
            <w:r w:rsidRPr="00246F01">
              <w:t>20.0</w:t>
            </w:r>
          </w:p>
        </w:tc>
        <w:tc>
          <w:tcPr>
            <w:tcW w:w="0" w:type="auto"/>
            <w:shd w:val="clear" w:color="auto" w:fill="FFFFFF"/>
            <w:tcMar>
              <w:top w:w="0" w:type="dxa"/>
              <w:left w:w="108" w:type="dxa"/>
              <w:bottom w:w="0" w:type="dxa"/>
              <w:right w:w="108" w:type="dxa"/>
            </w:tcMar>
            <w:vAlign w:val="bottom"/>
          </w:tcPr>
          <w:p w14:paraId="4D89D0CE" w14:textId="77777777" w:rsidR="00A76ADB" w:rsidRPr="00246F01" w:rsidRDefault="00A76ADB" w:rsidP="007E3239">
            <w:pPr>
              <w:pStyle w:val="TableText"/>
              <w:spacing w:before="50" w:after="50"/>
              <w:jc w:val="center"/>
            </w:pPr>
            <w:r w:rsidRPr="00246F01">
              <w:t>382.1</w:t>
            </w:r>
          </w:p>
        </w:tc>
      </w:tr>
      <w:tr w:rsidR="00A76ADB" w14:paraId="4AACF72A" w14:textId="77777777" w:rsidTr="00F16598">
        <w:trPr>
          <w:cantSplit/>
          <w:trHeight w:val="283"/>
        </w:trPr>
        <w:tc>
          <w:tcPr>
            <w:tcW w:w="0" w:type="auto"/>
            <w:shd w:val="clear" w:color="auto" w:fill="FFFFFF"/>
            <w:tcMar>
              <w:top w:w="0" w:type="dxa"/>
              <w:left w:w="108" w:type="dxa"/>
              <w:bottom w:w="0" w:type="dxa"/>
              <w:right w:w="108" w:type="dxa"/>
            </w:tcMar>
            <w:vAlign w:val="center"/>
          </w:tcPr>
          <w:p w14:paraId="478D017A" w14:textId="77777777" w:rsidR="00A76ADB" w:rsidRDefault="00A76ADB" w:rsidP="007E3239">
            <w:pPr>
              <w:pStyle w:val="TableText"/>
              <w:spacing w:before="50" w:after="50"/>
            </w:pPr>
            <w:r>
              <w:rPr>
                <w:rFonts w:eastAsia="Calibri"/>
              </w:rPr>
              <w:t>1956</w:t>
            </w:r>
          </w:p>
        </w:tc>
        <w:tc>
          <w:tcPr>
            <w:tcW w:w="0" w:type="auto"/>
            <w:shd w:val="clear" w:color="auto" w:fill="FFFFFF"/>
            <w:tcMar>
              <w:top w:w="0" w:type="dxa"/>
              <w:left w:w="108" w:type="dxa"/>
              <w:bottom w:w="0" w:type="dxa"/>
              <w:right w:w="108" w:type="dxa"/>
            </w:tcMar>
            <w:vAlign w:val="bottom"/>
          </w:tcPr>
          <w:p w14:paraId="077E7772" w14:textId="77777777" w:rsidR="00A76ADB" w:rsidRPr="00246F01" w:rsidRDefault="00A76ADB" w:rsidP="007E3239">
            <w:pPr>
              <w:pStyle w:val="TableText"/>
              <w:spacing w:before="50" w:after="50"/>
              <w:jc w:val="center"/>
            </w:pPr>
            <w:r w:rsidRPr="00246F01">
              <w:t>181.7</w:t>
            </w:r>
          </w:p>
        </w:tc>
        <w:tc>
          <w:tcPr>
            <w:tcW w:w="0" w:type="auto"/>
            <w:shd w:val="clear" w:color="auto" w:fill="FFFFFF"/>
            <w:tcMar>
              <w:top w:w="0" w:type="dxa"/>
              <w:left w:w="108" w:type="dxa"/>
              <w:bottom w:w="0" w:type="dxa"/>
              <w:right w:w="108" w:type="dxa"/>
            </w:tcMar>
            <w:vAlign w:val="bottom"/>
          </w:tcPr>
          <w:p w14:paraId="19B906E4" w14:textId="77777777" w:rsidR="00A76ADB" w:rsidRPr="00246F01" w:rsidRDefault="00A76ADB" w:rsidP="007E3239">
            <w:pPr>
              <w:pStyle w:val="TableText"/>
              <w:spacing w:before="50" w:after="50"/>
              <w:jc w:val="center"/>
            </w:pPr>
            <w:r w:rsidRPr="00246F01">
              <w:t>202.7</w:t>
            </w:r>
          </w:p>
        </w:tc>
        <w:tc>
          <w:tcPr>
            <w:tcW w:w="0" w:type="auto"/>
            <w:shd w:val="clear" w:color="auto" w:fill="FFFFFF"/>
            <w:tcMar>
              <w:top w:w="0" w:type="dxa"/>
              <w:left w:w="108" w:type="dxa"/>
              <w:bottom w:w="0" w:type="dxa"/>
              <w:right w:w="108" w:type="dxa"/>
            </w:tcMar>
            <w:vAlign w:val="bottom"/>
          </w:tcPr>
          <w:p w14:paraId="6A4A0E53" w14:textId="77777777" w:rsidR="00A76ADB" w:rsidRPr="00246F01" w:rsidRDefault="00A76ADB" w:rsidP="007E3239">
            <w:pPr>
              <w:pStyle w:val="TableText"/>
              <w:spacing w:before="50" w:after="50"/>
              <w:jc w:val="center"/>
            </w:pPr>
            <w:r w:rsidRPr="00246F01">
              <w:t>22.5</w:t>
            </w:r>
          </w:p>
        </w:tc>
        <w:tc>
          <w:tcPr>
            <w:tcW w:w="0" w:type="auto"/>
            <w:shd w:val="clear" w:color="auto" w:fill="FFFFFF"/>
            <w:tcMar>
              <w:top w:w="0" w:type="dxa"/>
              <w:left w:w="108" w:type="dxa"/>
              <w:bottom w:w="0" w:type="dxa"/>
              <w:right w:w="108" w:type="dxa"/>
            </w:tcMar>
            <w:vAlign w:val="bottom"/>
          </w:tcPr>
          <w:p w14:paraId="36147A84" w14:textId="77777777" w:rsidR="00A76ADB" w:rsidRPr="00246F01" w:rsidRDefault="00A76ADB" w:rsidP="007E3239">
            <w:pPr>
              <w:pStyle w:val="TableText"/>
              <w:spacing w:before="50" w:after="50"/>
              <w:jc w:val="center"/>
            </w:pPr>
            <w:r w:rsidRPr="00246F01">
              <w:t>407.0</w:t>
            </w:r>
          </w:p>
        </w:tc>
      </w:tr>
      <w:tr w:rsidR="00A76ADB" w14:paraId="0BE88E06" w14:textId="77777777" w:rsidTr="00F16598">
        <w:trPr>
          <w:cantSplit/>
          <w:trHeight w:val="283"/>
        </w:trPr>
        <w:tc>
          <w:tcPr>
            <w:tcW w:w="0" w:type="auto"/>
            <w:shd w:val="clear" w:color="auto" w:fill="FFFFFF"/>
            <w:tcMar>
              <w:top w:w="0" w:type="dxa"/>
              <w:left w:w="108" w:type="dxa"/>
              <w:bottom w:w="0" w:type="dxa"/>
              <w:right w:w="108" w:type="dxa"/>
            </w:tcMar>
            <w:vAlign w:val="center"/>
          </w:tcPr>
          <w:p w14:paraId="6892DE99" w14:textId="77777777" w:rsidR="00A76ADB" w:rsidRDefault="00A76ADB" w:rsidP="007E3239">
            <w:pPr>
              <w:pStyle w:val="TableText"/>
              <w:spacing w:before="50" w:after="50"/>
            </w:pPr>
            <w:r>
              <w:rPr>
                <w:rFonts w:eastAsia="Calibri"/>
              </w:rPr>
              <w:t>1957</w:t>
            </w:r>
          </w:p>
        </w:tc>
        <w:tc>
          <w:tcPr>
            <w:tcW w:w="0" w:type="auto"/>
            <w:shd w:val="clear" w:color="auto" w:fill="FFFFFF"/>
            <w:tcMar>
              <w:top w:w="0" w:type="dxa"/>
              <w:left w:w="108" w:type="dxa"/>
              <w:bottom w:w="0" w:type="dxa"/>
              <w:right w:w="108" w:type="dxa"/>
            </w:tcMar>
            <w:vAlign w:val="bottom"/>
          </w:tcPr>
          <w:p w14:paraId="65727357" w14:textId="77777777" w:rsidR="00A76ADB" w:rsidRPr="00246F01" w:rsidRDefault="00A76ADB" w:rsidP="007E3239">
            <w:pPr>
              <w:pStyle w:val="TableText"/>
              <w:spacing w:before="50" w:after="50"/>
              <w:jc w:val="center"/>
            </w:pPr>
            <w:r w:rsidRPr="00246F01">
              <w:t>181.7</w:t>
            </w:r>
          </w:p>
        </w:tc>
        <w:tc>
          <w:tcPr>
            <w:tcW w:w="0" w:type="auto"/>
            <w:shd w:val="clear" w:color="auto" w:fill="FFFFFF"/>
            <w:tcMar>
              <w:top w:w="0" w:type="dxa"/>
              <w:left w:w="108" w:type="dxa"/>
              <w:bottom w:w="0" w:type="dxa"/>
              <w:right w:w="108" w:type="dxa"/>
            </w:tcMar>
            <w:vAlign w:val="bottom"/>
          </w:tcPr>
          <w:p w14:paraId="72BFAFB0" w14:textId="77777777" w:rsidR="00A76ADB" w:rsidRPr="00246F01" w:rsidRDefault="00A76ADB" w:rsidP="007E3239">
            <w:pPr>
              <w:pStyle w:val="TableText"/>
              <w:spacing w:before="50" w:after="50"/>
              <w:jc w:val="center"/>
            </w:pPr>
            <w:r w:rsidRPr="00246F01">
              <w:t>241.8</w:t>
            </w:r>
          </w:p>
        </w:tc>
        <w:tc>
          <w:tcPr>
            <w:tcW w:w="0" w:type="auto"/>
            <w:shd w:val="clear" w:color="auto" w:fill="FFFFFF"/>
            <w:tcMar>
              <w:top w:w="0" w:type="dxa"/>
              <w:left w:w="108" w:type="dxa"/>
              <w:bottom w:w="0" w:type="dxa"/>
              <w:right w:w="108" w:type="dxa"/>
            </w:tcMar>
            <w:vAlign w:val="bottom"/>
          </w:tcPr>
          <w:p w14:paraId="3EC3E009" w14:textId="77777777" w:rsidR="00A76ADB" w:rsidRPr="00246F01" w:rsidRDefault="00A76ADB" w:rsidP="007E3239">
            <w:pPr>
              <w:pStyle w:val="TableText"/>
              <w:spacing w:before="50" w:after="50"/>
              <w:jc w:val="center"/>
            </w:pPr>
            <w:r w:rsidRPr="00246F01">
              <w:t>26.9</w:t>
            </w:r>
          </w:p>
        </w:tc>
        <w:tc>
          <w:tcPr>
            <w:tcW w:w="0" w:type="auto"/>
            <w:shd w:val="clear" w:color="auto" w:fill="FFFFFF"/>
            <w:tcMar>
              <w:top w:w="0" w:type="dxa"/>
              <w:left w:w="108" w:type="dxa"/>
              <w:bottom w:w="0" w:type="dxa"/>
              <w:right w:w="108" w:type="dxa"/>
            </w:tcMar>
            <w:vAlign w:val="bottom"/>
          </w:tcPr>
          <w:p w14:paraId="7B767EBA" w14:textId="77777777" w:rsidR="00A76ADB" w:rsidRPr="00246F01" w:rsidRDefault="00A76ADB" w:rsidP="007E3239">
            <w:pPr>
              <w:pStyle w:val="TableText"/>
              <w:spacing w:before="50" w:after="50"/>
              <w:jc w:val="center"/>
            </w:pPr>
            <w:r w:rsidRPr="00246F01">
              <w:t>450.4</w:t>
            </w:r>
          </w:p>
        </w:tc>
      </w:tr>
      <w:tr w:rsidR="00A76ADB" w14:paraId="6113B7E0" w14:textId="77777777" w:rsidTr="00F16598">
        <w:trPr>
          <w:cantSplit/>
          <w:trHeight w:val="283"/>
        </w:trPr>
        <w:tc>
          <w:tcPr>
            <w:tcW w:w="0" w:type="auto"/>
            <w:shd w:val="clear" w:color="auto" w:fill="FFFFFF"/>
            <w:tcMar>
              <w:top w:w="0" w:type="dxa"/>
              <w:left w:w="108" w:type="dxa"/>
              <w:bottom w:w="0" w:type="dxa"/>
              <w:right w:w="108" w:type="dxa"/>
            </w:tcMar>
            <w:vAlign w:val="center"/>
          </w:tcPr>
          <w:p w14:paraId="739D37BF" w14:textId="77777777" w:rsidR="00A76ADB" w:rsidRDefault="00A76ADB" w:rsidP="007E3239">
            <w:pPr>
              <w:pStyle w:val="TableText"/>
              <w:spacing w:before="50" w:after="50"/>
            </w:pPr>
            <w:r>
              <w:rPr>
                <w:rFonts w:eastAsia="Calibri"/>
              </w:rPr>
              <w:t>1958</w:t>
            </w:r>
          </w:p>
        </w:tc>
        <w:tc>
          <w:tcPr>
            <w:tcW w:w="0" w:type="auto"/>
            <w:shd w:val="clear" w:color="auto" w:fill="FFFFFF"/>
            <w:tcMar>
              <w:top w:w="0" w:type="dxa"/>
              <w:left w:w="108" w:type="dxa"/>
              <w:bottom w:w="0" w:type="dxa"/>
              <w:right w:w="108" w:type="dxa"/>
            </w:tcMar>
            <w:vAlign w:val="bottom"/>
          </w:tcPr>
          <w:p w14:paraId="717083BC" w14:textId="77777777" w:rsidR="00A76ADB" w:rsidRPr="00246F01" w:rsidRDefault="00A76ADB" w:rsidP="007E3239">
            <w:pPr>
              <w:pStyle w:val="TableText"/>
              <w:spacing w:before="50" w:after="50"/>
              <w:jc w:val="center"/>
            </w:pPr>
            <w:r w:rsidRPr="00246F01">
              <w:t>181.7</w:t>
            </w:r>
          </w:p>
        </w:tc>
        <w:tc>
          <w:tcPr>
            <w:tcW w:w="0" w:type="auto"/>
            <w:shd w:val="clear" w:color="auto" w:fill="FFFFFF"/>
            <w:tcMar>
              <w:top w:w="0" w:type="dxa"/>
              <w:left w:w="108" w:type="dxa"/>
              <w:bottom w:w="0" w:type="dxa"/>
              <w:right w:w="108" w:type="dxa"/>
            </w:tcMar>
            <w:vAlign w:val="bottom"/>
          </w:tcPr>
          <w:p w14:paraId="047AAC20" w14:textId="77777777" w:rsidR="00A76ADB" w:rsidRPr="00246F01" w:rsidRDefault="00A76ADB" w:rsidP="007E3239">
            <w:pPr>
              <w:pStyle w:val="TableText"/>
              <w:spacing w:before="50" w:after="50"/>
              <w:jc w:val="center"/>
            </w:pPr>
            <w:r w:rsidRPr="00246F01">
              <w:t>267.1</w:t>
            </w:r>
          </w:p>
        </w:tc>
        <w:tc>
          <w:tcPr>
            <w:tcW w:w="0" w:type="auto"/>
            <w:shd w:val="clear" w:color="auto" w:fill="FFFFFF"/>
            <w:tcMar>
              <w:top w:w="0" w:type="dxa"/>
              <w:left w:w="108" w:type="dxa"/>
              <w:bottom w:w="0" w:type="dxa"/>
              <w:right w:w="108" w:type="dxa"/>
            </w:tcMar>
            <w:vAlign w:val="bottom"/>
          </w:tcPr>
          <w:p w14:paraId="7129FF98" w14:textId="77777777" w:rsidR="00A76ADB" w:rsidRPr="00246F01" w:rsidRDefault="00A76ADB" w:rsidP="007E3239">
            <w:pPr>
              <w:pStyle w:val="TableText"/>
              <w:spacing w:before="50" w:after="50"/>
              <w:jc w:val="center"/>
            </w:pPr>
            <w:r w:rsidRPr="00246F01">
              <w:t>29.7</w:t>
            </w:r>
          </w:p>
        </w:tc>
        <w:tc>
          <w:tcPr>
            <w:tcW w:w="0" w:type="auto"/>
            <w:shd w:val="clear" w:color="auto" w:fill="FFFFFF"/>
            <w:tcMar>
              <w:top w:w="0" w:type="dxa"/>
              <w:left w:w="108" w:type="dxa"/>
              <w:bottom w:w="0" w:type="dxa"/>
              <w:right w:w="108" w:type="dxa"/>
            </w:tcMar>
            <w:vAlign w:val="bottom"/>
          </w:tcPr>
          <w:p w14:paraId="733F5E5B" w14:textId="77777777" w:rsidR="00A76ADB" w:rsidRPr="00246F01" w:rsidRDefault="00A76ADB" w:rsidP="007E3239">
            <w:pPr>
              <w:pStyle w:val="TableText"/>
              <w:spacing w:before="50" w:after="50"/>
              <w:jc w:val="center"/>
            </w:pPr>
            <w:r w:rsidRPr="00246F01">
              <w:t>478.5</w:t>
            </w:r>
          </w:p>
        </w:tc>
      </w:tr>
      <w:tr w:rsidR="00A76ADB" w14:paraId="6BAF3EEF" w14:textId="77777777" w:rsidTr="00F16598">
        <w:trPr>
          <w:cantSplit/>
          <w:trHeight w:val="283"/>
        </w:trPr>
        <w:tc>
          <w:tcPr>
            <w:tcW w:w="0" w:type="auto"/>
            <w:shd w:val="clear" w:color="auto" w:fill="FFFFFF"/>
            <w:tcMar>
              <w:top w:w="0" w:type="dxa"/>
              <w:left w:w="108" w:type="dxa"/>
              <w:bottom w:w="0" w:type="dxa"/>
              <w:right w:w="108" w:type="dxa"/>
            </w:tcMar>
            <w:vAlign w:val="center"/>
          </w:tcPr>
          <w:p w14:paraId="4C81FF17" w14:textId="77777777" w:rsidR="00A76ADB" w:rsidRDefault="00A76ADB" w:rsidP="007E3239">
            <w:pPr>
              <w:pStyle w:val="TableText"/>
              <w:spacing w:before="50" w:after="50"/>
            </w:pPr>
            <w:r>
              <w:rPr>
                <w:rFonts w:eastAsia="Calibri"/>
              </w:rPr>
              <w:t>1959</w:t>
            </w:r>
          </w:p>
        </w:tc>
        <w:tc>
          <w:tcPr>
            <w:tcW w:w="0" w:type="auto"/>
            <w:shd w:val="clear" w:color="auto" w:fill="FFFFFF"/>
            <w:tcMar>
              <w:top w:w="0" w:type="dxa"/>
              <w:left w:w="108" w:type="dxa"/>
              <w:bottom w:w="0" w:type="dxa"/>
              <w:right w:w="108" w:type="dxa"/>
            </w:tcMar>
            <w:vAlign w:val="bottom"/>
          </w:tcPr>
          <w:p w14:paraId="3223F2B8" w14:textId="77777777" w:rsidR="00A76ADB" w:rsidRPr="00246F01" w:rsidRDefault="00A76ADB" w:rsidP="007E3239">
            <w:pPr>
              <w:pStyle w:val="TableText"/>
              <w:spacing w:before="50" w:after="50"/>
              <w:jc w:val="center"/>
            </w:pPr>
            <w:r w:rsidRPr="00246F01">
              <w:t>181.7</w:t>
            </w:r>
          </w:p>
        </w:tc>
        <w:tc>
          <w:tcPr>
            <w:tcW w:w="0" w:type="auto"/>
            <w:shd w:val="clear" w:color="auto" w:fill="FFFFFF"/>
            <w:tcMar>
              <w:top w:w="0" w:type="dxa"/>
              <w:left w:w="108" w:type="dxa"/>
              <w:bottom w:w="0" w:type="dxa"/>
              <w:right w:w="108" w:type="dxa"/>
            </w:tcMar>
            <w:vAlign w:val="bottom"/>
          </w:tcPr>
          <w:p w14:paraId="28233CC2" w14:textId="77777777" w:rsidR="00A76ADB" w:rsidRPr="00246F01" w:rsidRDefault="00A76ADB" w:rsidP="007E3239">
            <w:pPr>
              <w:pStyle w:val="TableText"/>
              <w:spacing w:before="50" w:after="50"/>
              <w:jc w:val="center"/>
            </w:pPr>
            <w:r w:rsidRPr="00246F01">
              <w:t>281.5</w:t>
            </w:r>
          </w:p>
        </w:tc>
        <w:tc>
          <w:tcPr>
            <w:tcW w:w="0" w:type="auto"/>
            <w:shd w:val="clear" w:color="auto" w:fill="FFFFFF"/>
            <w:tcMar>
              <w:top w:w="0" w:type="dxa"/>
              <w:left w:w="108" w:type="dxa"/>
              <w:bottom w:w="0" w:type="dxa"/>
              <w:right w:w="108" w:type="dxa"/>
            </w:tcMar>
            <w:vAlign w:val="bottom"/>
          </w:tcPr>
          <w:p w14:paraId="6ADEB5FE" w14:textId="77777777" w:rsidR="00A76ADB" w:rsidRPr="00246F01" w:rsidRDefault="00A76ADB" w:rsidP="007E3239">
            <w:pPr>
              <w:pStyle w:val="TableText"/>
              <w:spacing w:before="50" w:after="50"/>
              <w:jc w:val="center"/>
            </w:pPr>
            <w:r w:rsidRPr="00246F01">
              <w:t>31.3</w:t>
            </w:r>
          </w:p>
        </w:tc>
        <w:tc>
          <w:tcPr>
            <w:tcW w:w="0" w:type="auto"/>
            <w:shd w:val="clear" w:color="auto" w:fill="FFFFFF"/>
            <w:tcMar>
              <w:top w:w="0" w:type="dxa"/>
              <w:left w:w="108" w:type="dxa"/>
              <w:bottom w:w="0" w:type="dxa"/>
              <w:right w:w="108" w:type="dxa"/>
            </w:tcMar>
            <w:vAlign w:val="bottom"/>
          </w:tcPr>
          <w:p w14:paraId="7CF8B11A" w14:textId="77777777" w:rsidR="00A76ADB" w:rsidRPr="00246F01" w:rsidRDefault="00A76ADB" w:rsidP="007E3239">
            <w:pPr>
              <w:pStyle w:val="TableText"/>
              <w:spacing w:before="50" w:after="50"/>
              <w:jc w:val="center"/>
            </w:pPr>
            <w:r w:rsidRPr="00246F01">
              <w:t>494.5</w:t>
            </w:r>
          </w:p>
        </w:tc>
      </w:tr>
      <w:tr w:rsidR="00A76ADB" w14:paraId="49A60E10" w14:textId="77777777" w:rsidTr="00F16598">
        <w:trPr>
          <w:cantSplit/>
          <w:trHeight w:val="283"/>
        </w:trPr>
        <w:tc>
          <w:tcPr>
            <w:tcW w:w="0" w:type="auto"/>
            <w:shd w:val="clear" w:color="auto" w:fill="FFFFFF"/>
            <w:tcMar>
              <w:top w:w="0" w:type="dxa"/>
              <w:left w:w="108" w:type="dxa"/>
              <w:bottom w:w="0" w:type="dxa"/>
              <w:right w:w="108" w:type="dxa"/>
            </w:tcMar>
            <w:vAlign w:val="center"/>
          </w:tcPr>
          <w:p w14:paraId="3D0E46D8" w14:textId="77777777" w:rsidR="00A76ADB" w:rsidRDefault="00A76ADB" w:rsidP="007E3239">
            <w:pPr>
              <w:pStyle w:val="TableText"/>
              <w:spacing w:before="50" w:after="50"/>
            </w:pPr>
            <w:r>
              <w:rPr>
                <w:rFonts w:eastAsia="Calibri"/>
              </w:rPr>
              <w:t>1960</w:t>
            </w:r>
          </w:p>
        </w:tc>
        <w:tc>
          <w:tcPr>
            <w:tcW w:w="0" w:type="auto"/>
            <w:shd w:val="clear" w:color="auto" w:fill="FFFFFF"/>
            <w:tcMar>
              <w:top w:w="0" w:type="dxa"/>
              <w:left w:w="108" w:type="dxa"/>
              <w:bottom w:w="0" w:type="dxa"/>
              <w:right w:w="108" w:type="dxa"/>
            </w:tcMar>
            <w:vAlign w:val="bottom"/>
          </w:tcPr>
          <w:p w14:paraId="67C09539" w14:textId="77777777" w:rsidR="00A76ADB" w:rsidRPr="00246F01" w:rsidRDefault="00A76ADB" w:rsidP="007E3239">
            <w:pPr>
              <w:pStyle w:val="TableText"/>
              <w:spacing w:before="50" w:after="50"/>
              <w:jc w:val="center"/>
            </w:pPr>
            <w:r w:rsidRPr="00246F01">
              <w:t>181.7</w:t>
            </w:r>
          </w:p>
        </w:tc>
        <w:tc>
          <w:tcPr>
            <w:tcW w:w="0" w:type="auto"/>
            <w:shd w:val="clear" w:color="auto" w:fill="FFFFFF"/>
            <w:tcMar>
              <w:top w:w="0" w:type="dxa"/>
              <w:left w:w="108" w:type="dxa"/>
              <w:bottom w:w="0" w:type="dxa"/>
              <w:right w:w="108" w:type="dxa"/>
            </w:tcMar>
            <w:vAlign w:val="bottom"/>
          </w:tcPr>
          <w:p w14:paraId="622993DB" w14:textId="77777777" w:rsidR="00A76ADB" w:rsidRPr="00246F01" w:rsidRDefault="00A76ADB" w:rsidP="007E3239">
            <w:pPr>
              <w:pStyle w:val="TableText"/>
              <w:spacing w:before="50" w:after="50"/>
              <w:jc w:val="center"/>
            </w:pPr>
            <w:r w:rsidRPr="00246F01">
              <w:t>349.3</w:t>
            </w:r>
          </w:p>
        </w:tc>
        <w:tc>
          <w:tcPr>
            <w:tcW w:w="0" w:type="auto"/>
            <w:shd w:val="clear" w:color="auto" w:fill="FFFFFF"/>
            <w:tcMar>
              <w:top w:w="0" w:type="dxa"/>
              <w:left w:w="108" w:type="dxa"/>
              <w:bottom w:w="0" w:type="dxa"/>
              <w:right w:w="108" w:type="dxa"/>
            </w:tcMar>
            <w:vAlign w:val="bottom"/>
          </w:tcPr>
          <w:p w14:paraId="701A24D4" w14:textId="77777777" w:rsidR="00A76ADB" w:rsidRPr="00246F01" w:rsidRDefault="00A76ADB" w:rsidP="007E3239">
            <w:pPr>
              <w:pStyle w:val="TableText"/>
              <w:spacing w:before="50" w:after="50"/>
              <w:jc w:val="center"/>
            </w:pPr>
            <w:r w:rsidRPr="00246F01">
              <w:t>38.8</w:t>
            </w:r>
          </w:p>
        </w:tc>
        <w:tc>
          <w:tcPr>
            <w:tcW w:w="0" w:type="auto"/>
            <w:shd w:val="clear" w:color="auto" w:fill="FFFFFF"/>
            <w:tcMar>
              <w:top w:w="0" w:type="dxa"/>
              <w:left w:w="108" w:type="dxa"/>
              <w:bottom w:w="0" w:type="dxa"/>
              <w:right w:w="108" w:type="dxa"/>
            </w:tcMar>
            <w:vAlign w:val="bottom"/>
          </w:tcPr>
          <w:p w14:paraId="3603C4EA" w14:textId="77777777" w:rsidR="00A76ADB" w:rsidRPr="00246F01" w:rsidRDefault="00A76ADB" w:rsidP="007E3239">
            <w:pPr>
              <w:pStyle w:val="TableText"/>
              <w:spacing w:before="50" w:after="50"/>
              <w:jc w:val="center"/>
            </w:pPr>
            <w:r w:rsidRPr="00246F01">
              <w:t>569.9</w:t>
            </w:r>
          </w:p>
        </w:tc>
      </w:tr>
      <w:tr w:rsidR="00A76ADB" w14:paraId="55223545" w14:textId="77777777" w:rsidTr="00F16598">
        <w:trPr>
          <w:cantSplit/>
          <w:trHeight w:val="283"/>
        </w:trPr>
        <w:tc>
          <w:tcPr>
            <w:tcW w:w="0" w:type="auto"/>
            <w:shd w:val="clear" w:color="auto" w:fill="FFFFFF"/>
            <w:tcMar>
              <w:top w:w="0" w:type="dxa"/>
              <w:left w:w="108" w:type="dxa"/>
              <w:bottom w:w="0" w:type="dxa"/>
              <w:right w:w="108" w:type="dxa"/>
            </w:tcMar>
            <w:vAlign w:val="center"/>
          </w:tcPr>
          <w:p w14:paraId="0276597A" w14:textId="77777777" w:rsidR="00A76ADB" w:rsidRDefault="00A76ADB" w:rsidP="007E3239">
            <w:pPr>
              <w:pStyle w:val="TableText"/>
              <w:spacing w:before="50" w:after="50"/>
            </w:pPr>
            <w:r>
              <w:rPr>
                <w:rFonts w:eastAsia="Calibri"/>
              </w:rPr>
              <w:t>1961</w:t>
            </w:r>
          </w:p>
        </w:tc>
        <w:tc>
          <w:tcPr>
            <w:tcW w:w="0" w:type="auto"/>
            <w:shd w:val="clear" w:color="auto" w:fill="FFFFFF"/>
            <w:tcMar>
              <w:top w:w="0" w:type="dxa"/>
              <w:left w:w="108" w:type="dxa"/>
              <w:bottom w:w="0" w:type="dxa"/>
              <w:right w:w="108" w:type="dxa"/>
            </w:tcMar>
            <w:vAlign w:val="bottom"/>
          </w:tcPr>
          <w:p w14:paraId="115352BF" w14:textId="77777777" w:rsidR="00A76ADB" w:rsidRPr="00246F01" w:rsidRDefault="00A76ADB" w:rsidP="007E3239">
            <w:pPr>
              <w:pStyle w:val="TableText"/>
              <w:spacing w:before="50" w:after="50"/>
              <w:jc w:val="center"/>
            </w:pPr>
            <w:r w:rsidRPr="00246F01">
              <w:t>181.7</w:t>
            </w:r>
          </w:p>
        </w:tc>
        <w:tc>
          <w:tcPr>
            <w:tcW w:w="0" w:type="auto"/>
            <w:shd w:val="clear" w:color="auto" w:fill="FFFFFF"/>
            <w:tcMar>
              <w:top w:w="0" w:type="dxa"/>
              <w:left w:w="108" w:type="dxa"/>
              <w:bottom w:w="0" w:type="dxa"/>
              <w:right w:w="108" w:type="dxa"/>
            </w:tcMar>
            <w:vAlign w:val="bottom"/>
          </w:tcPr>
          <w:p w14:paraId="449A306C" w14:textId="77777777" w:rsidR="00A76ADB" w:rsidRPr="00246F01" w:rsidRDefault="00A76ADB" w:rsidP="007E3239">
            <w:pPr>
              <w:pStyle w:val="TableText"/>
              <w:spacing w:before="50" w:after="50"/>
              <w:jc w:val="center"/>
            </w:pPr>
            <w:r w:rsidRPr="00246F01">
              <w:t>438.5</w:t>
            </w:r>
          </w:p>
        </w:tc>
        <w:tc>
          <w:tcPr>
            <w:tcW w:w="0" w:type="auto"/>
            <w:shd w:val="clear" w:color="auto" w:fill="FFFFFF"/>
            <w:tcMar>
              <w:top w:w="0" w:type="dxa"/>
              <w:left w:w="108" w:type="dxa"/>
              <w:bottom w:w="0" w:type="dxa"/>
              <w:right w:w="108" w:type="dxa"/>
            </w:tcMar>
            <w:vAlign w:val="bottom"/>
          </w:tcPr>
          <w:p w14:paraId="6A407134" w14:textId="77777777" w:rsidR="00A76ADB" w:rsidRPr="00246F01" w:rsidRDefault="00A76ADB" w:rsidP="007E3239">
            <w:pPr>
              <w:pStyle w:val="TableText"/>
              <w:spacing w:before="50" w:after="50"/>
              <w:jc w:val="center"/>
            </w:pPr>
            <w:r w:rsidRPr="00246F01">
              <w:t>48.7</w:t>
            </w:r>
          </w:p>
        </w:tc>
        <w:tc>
          <w:tcPr>
            <w:tcW w:w="0" w:type="auto"/>
            <w:shd w:val="clear" w:color="auto" w:fill="FFFFFF"/>
            <w:tcMar>
              <w:top w:w="0" w:type="dxa"/>
              <w:left w:w="108" w:type="dxa"/>
              <w:bottom w:w="0" w:type="dxa"/>
              <w:right w:w="108" w:type="dxa"/>
            </w:tcMar>
            <w:vAlign w:val="bottom"/>
          </w:tcPr>
          <w:p w14:paraId="4543CD27" w14:textId="77777777" w:rsidR="00A76ADB" w:rsidRPr="00246F01" w:rsidRDefault="00A76ADB" w:rsidP="007E3239">
            <w:pPr>
              <w:pStyle w:val="TableText"/>
              <w:spacing w:before="50" w:after="50"/>
              <w:jc w:val="center"/>
            </w:pPr>
            <w:r w:rsidRPr="00246F01">
              <w:t>668.9</w:t>
            </w:r>
          </w:p>
        </w:tc>
      </w:tr>
      <w:tr w:rsidR="00A76ADB" w14:paraId="0D3FB0AE" w14:textId="77777777" w:rsidTr="00F16598">
        <w:trPr>
          <w:cantSplit/>
          <w:trHeight w:val="283"/>
        </w:trPr>
        <w:tc>
          <w:tcPr>
            <w:tcW w:w="0" w:type="auto"/>
            <w:shd w:val="clear" w:color="auto" w:fill="FFFFFF"/>
            <w:tcMar>
              <w:top w:w="0" w:type="dxa"/>
              <w:left w:w="108" w:type="dxa"/>
              <w:bottom w:w="0" w:type="dxa"/>
              <w:right w:w="108" w:type="dxa"/>
            </w:tcMar>
            <w:vAlign w:val="center"/>
          </w:tcPr>
          <w:p w14:paraId="1C628BAF" w14:textId="77777777" w:rsidR="00A76ADB" w:rsidRDefault="00A76ADB" w:rsidP="007E3239">
            <w:pPr>
              <w:pStyle w:val="TableText"/>
              <w:spacing w:before="50" w:after="50"/>
            </w:pPr>
            <w:r>
              <w:rPr>
                <w:rFonts w:eastAsia="Calibri"/>
              </w:rPr>
              <w:t>1962</w:t>
            </w:r>
          </w:p>
        </w:tc>
        <w:tc>
          <w:tcPr>
            <w:tcW w:w="0" w:type="auto"/>
            <w:shd w:val="clear" w:color="auto" w:fill="FFFFFF"/>
            <w:tcMar>
              <w:top w:w="0" w:type="dxa"/>
              <w:left w:w="108" w:type="dxa"/>
              <w:bottom w:w="0" w:type="dxa"/>
              <w:right w:w="108" w:type="dxa"/>
            </w:tcMar>
            <w:vAlign w:val="bottom"/>
          </w:tcPr>
          <w:p w14:paraId="0B957678" w14:textId="77777777" w:rsidR="00A76ADB" w:rsidRPr="00246F01" w:rsidRDefault="00A76ADB" w:rsidP="007E3239">
            <w:pPr>
              <w:pStyle w:val="TableText"/>
              <w:spacing w:before="50" w:after="50"/>
              <w:jc w:val="center"/>
            </w:pPr>
            <w:r w:rsidRPr="00246F01">
              <w:t>181.7</w:t>
            </w:r>
          </w:p>
        </w:tc>
        <w:tc>
          <w:tcPr>
            <w:tcW w:w="0" w:type="auto"/>
            <w:shd w:val="clear" w:color="auto" w:fill="FFFFFF"/>
            <w:tcMar>
              <w:top w:w="0" w:type="dxa"/>
              <w:left w:w="108" w:type="dxa"/>
              <w:bottom w:w="0" w:type="dxa"/>
              <w:right w:w="108" w:type="dxa"/>
            </w:tcMar>
            <w:vAlign w:val="bottom"/>
          </w:tcPr>
          <w:p w14:paraId="7FEE8E6A" w14:textId="77777777" w:rsidR="00A76ADB" w:rsidRPr="00246F01" w:rsidRDefault="00A76ADB" w:rsidP="007E3239">
            <w:pPr>
              <w:pStyle w:val="TableText"/>
              <w:spacing w:before="50" w:after="50"/>
              <w:jc w:val="center"/>
            </w:pPr>
            <w:r w:rsidRPr="00246F01">
              <w:t>447.2</w:t>
            </w:r>
          </w:p>
        </w:tc>
        <w:tc>
          <w:tcPr>
            <w:tcW w:w="0" w:type="auto"/>
            <w:shd w:val="clear" w:color="auto" w:fill="FFFFFF"/>
            <w:tcMar>
              <w:top w:w="0" w:type="dxa"/>
              <w:left w:w="108" w:type="dxa"/>
              <w:bottom w:w="0" w:type="dxa"/>
              <w:right w:w="108" w:type="dxa"/>
            </w:tcMar>
            <w:vAlign w:val="bottom"/>
          </w:tcPr>
          <w:p w14:paraId="7DDA7AE1" w14:textId="77777777" w:rsidR="00A76ADB" w:rsidRPr="00246F01" w:rsidRDefault="00A76ADB" w:rsidP="007E3239">
            <w:pPr>
              <w:pStyle w:val="TableText"/>
              <w:spacing w:before="50" w:after="50"/>
              <w:jc w:val="center"/>
            </w:pPr>
            <w:r w:rsidRPr="00246F01">
              <w:t>49.7</w:t>
            </w:r>
          </w:p>
        </w:tc>
        <w:tc>
          <w:tcPr>
            <w:tcW w:w="0" w:type="auto"/>
            <w:shd w:val="clear" w:color="auto" w:fill="FFFFFF"/>
            <w:tcMar>
              <w:top w:w="0" w:type="dxa"/>
              <w:left w:w="108" w:type="dxa"/>
              <w:bottom w:w="0" w:type="dxa"/>
              <w:right w:w="108" w:type="dxa"/>
            </w:tcMar>
            <w:vAlign w:val="bottom"/>
          </w:tcPr>
          <w:p w14:paraId="41A90C0A" w14:textId="77777777" w:rsidR="00A76ADB" w:rsidRPr="00246F01" w:rsidRDefault="00A76ADB" w:rsidP="007E3239">
            <w:pPr>
              <w:pStyle w:val="TableText"/>
              <w:spacing w:before="50" w:after="50"/>
              <w:jc w:val="center"/>
            </w:pPr>
            <w:r w:rsidRPr="00246F01">
              <w:t>678.6</w:t>
            </w:r>
          </w:p>
        </w:tc>
      </w:tr>
      <w:tr w:rsidR="00A76ADB" w14:paraId="292B072E" w14:textId="77777777" w:rsidTr="00F16598">
        <w:trPr>
          <w:cantSplit/>
          <w:trHeight w:val="283"/>
        </w:trPr>
        <w:tc>
          <w:tcPr>
            <w:tcW w:w="0" w:type="auto"/>
            <w:shd w:val="clear" w:color="auto" w:fill="FFFFFF"/>
            <w:tcMar>
              <w:top w:w="0" w:type="dxa"/>
              <w:left w:w="108" w:type="dxa"/>
              <w:bottom w:w="0" w:type="dxa"/>
              <w:right w:w="108" w:type="dxa"/>
            </w:tcMar>
            <w:vAlign w:val="center"/>
          </w:tcPr>
          <w:p w14:paraId="5F69BCE7" w14:textId="77777777" w:rsidR="00A76ADB" w:rsidRDefault="00A76ADB" w:rsidP="007E3239">
            <w:pPr>
              <w:pStyle w:val="TableText"/>
              <w:spacing w:before="50" w:after="50"/>
            </w:pPr>
            <w:r>
              <w:rPr>
                <w:rFonts w:eastAsia="Calibri"/>
              </w:rPr>
              <w:t>1963</w:t>
            </w:r>
          </w:p>
        </w:tc>
        <w:tc>
          <w:tcPr>
            <w:tcW w:w="0" w:type="auto"/>
            <w:shd w:val="clear" w:color="auto" w:fill="FFFFFF"/>
            <w:tcMar>
              <w:top w:w="0" w:type="dxa"/>
              <w:left w:w="108" w:type="dxa"/>
              <w:bottom w:w="0" w:type="dxa"/>
              <w:right w:w="108" w:type="dxa"/>
            </w:tcMar>
            <w:vAlign w:val="bottom"/>
          </w:tcPr>
          <w:p w14:paraId="7680E4DF" w14:textId="77777777" w:rsidR="00A76ADB" w:rsidRPr="00246F01" w:rsidRDefault="00A76ADB" w:rsidP="007E3239">
            <w:pPr>
              <w:pStyle w:val="TableText"/>
              <w:spacing w:before="50" w:after="50"/>
              <w:jc w:val="center"/>
            </w:pPr>
            <w:r w:rsidRPr="00246F01">
              <w:t>447.9</w:t>
            </w:r>
          </w:p>
        </w:tc>
        <w:tc>
          <w:tcPr>
            <w:tcW w:w="0" w:type="auto"/>
            <w:shd w:val="clear" w:color="auto" w:fill="FFFFFF"/>
            <w:tcMar>
              <w:top w:w="0" w:type="dxa"/>
              <w:left w:w="108" w:type="dxa"/>
              <w:bottom w:w="0" w:type="dxa"/>
              <w:right w:w="108" w:type="dxa"/>
            </w:tcMar>
            <w:vAlign w:val="bottom"/>
          </w:tcPr>
          <w:p w14:paraId="49D941FC" w14:textId="77777777" w:rsidR="00A76ADB" w:rsidRPr="00246F01" w:rsidRDefault="00A76ADB" w:rsidP="007E3239">
            <w:pPr>
              <w:pStyle w:val="TableText"/>
              <w:spacing w:before="50" w:after="50"/>
              <w:jc w:val="center"/>
            </w:pPr>
            <w:r w:rsidRPr="00246F01">
              <w:t>297.3</w:t>
            </w:r>
          </w:p>
        </w:tc>
        <w:tc>
          <w:tcPr>
            <w:tcW w:w="0" w:type="auto"/>
            <w:shd w:val="clear" w:color="auto" w:fill="FFFFFF"/>
            <w:tcMar>
              <w:top w:w="0" w:type="dxa"/>
              <w:left w:w="108" w:type="dxa"/>
              <w:bottom w:w="0" w:type="dxa"/>
              <w:right w:w="108" w:type="dxa"/>
            </w:tcMar>
            <w:vAlign w:val="bottom"/>
          </w:tcPr>
          <w:p w14:paraId="2EC54DDE" w14:textId="77777777" w:rsidR="00A76ADB" w:rsidRPr="00246F01" w:rsidRDefault="00A76ADB" w:rsidP="007E3239">
            <w:pPr>
              <w:pStyle w:val="TableText"/>
              <w:spacing w:before="50" w:after="50"/>
              <w:jc w:val="center"/>
            </w:pPr>
            <w:r w:rsidRPr="00246F01">
              <w:t>33.0</w:t>
            </w:r>
          </w:p>
        </w:tc>
        <w:tc>
          <w:tcPr>
            <w:tcW w:w="0" w:type="auto"/>
            <w:shd w:val="clear" w:color="auto" w:fill="FFFFFF"/>
            <w:tcMar>
              <w:top w:w="0" w:type="dxa"/>
              <w:left w:w="108" w:type="dxa"/>
              <w:bottom w:w="0" w:type="dxa"/>
              <w:right w:w="108" w:type="dxa"/>
            </w:tcMar>
            <w:vAlign w:val="bottom"/>
          </w:tcPr>
          <w:p w14:paraId="62491803" w14:textId="77777777" w:rsidR="00A76ADB" w:rsidRPr="00246F01" w:rsidRDefault="00A76ADB" w:rsidP="007E3239">
            <w:pPr>
              <w:pStyle w:val="TableText"/>
              <w:spacing w:before="50" w:after="50"/>
              <w:jc w:val="center"/>
            </w:pPr>
            <w:r w:rsidRPr="00246F01">
              <w:t>778.2</w:t>
            </w:r>
          </w:p>
        </w:tc>
      </w:tr>
      <w:tr w:rsidR="00A76ADB" w14:paraId="4C68B853" w14:textId="77777777" w:rsidTr="00F16598">
        <w:trPr>
          <w:cantSplit/>
          <w:trHeight w:val="283"/>
        </w:trPr>
        <w:tc>
          <w:tcPr>
            <w:tcW w:w="0" w:type="auto"/>
            <w:shd w:val="clear" w:color="auto" w:fill="FFFFFF"/>
            <w:tcMar>
              <w:top w:w="0" w:type="dxa"/>
              <w:left w:w="108" w:type="dxa"/>
              <w:bottom w:w="0" w:type="dxa"/>
              <w:right w:w="108" w:type="dxa"/>
            </w:tcMar>
            <w:vAlign w:val="center"/>
          </w:tcPr>
          <w:p w14:paraId="72BF2C40" w14:textId="77777777" w:rsidR="00A76ADB" w:rsidRDefault="00A76ADB" w:rsidP="007E3239">
            <w:pPr>
              <w:pStyle w:val="TableText"/>
              <w:spacing w:before="50" w:after="50"/>
            </w:pPr>
            <w:r>
              <w:rPr>
                <w:rFonts w:eastAsia="Calibri"/>
              </w:rPr>
              <w:t>1964</w:t>
            </w:r>
          </w:p>
        </w:tc>
        <w:tc>
          <w:tcPr>
            <w:tcW w:w="0" w:type="auto"/>
            <w:shd w:val="clear" w:color="auto" w:fill="FFFFFF"/>
            <w:tcMar>
              <w:top w:w="0" w:type="dxa"/>
              <w:left w:w="108" w:type="dxa"/>
              <w:bottom w:w="0" w:type="dxa"/>
              <w:right w:w="108" w:type="dxa"/>
            </w:tcMar>
            <w:vAlign w:val="bottom"/>
          </w:tcPr>
          <w:p w14:paraId="2B118A76" w14:textId="77777777" w:rsidR="00A76ADB" w:rsidRPr="00246F01" w:rsidRDefault="00A76ADB" w:rsidP="007E3239">
            <w:pPr>
              <w:pStyle w:val="TableText"/>
              <w:spacing w:before="50" w:after="50"/>
              <w:jc w:val="center"/>
            </w:pPr>
            <w:r w:rsidRPr="00246F01">
              <w:t>447.9</w:t>
            </w:r>
          </w:p>
        </w:tc>
        <w:tc>
          <w:tcPr>
            <w:tcW w:w="0" w:type="auto"/>
            <w:shd w:val="clear" w:color="auto" w:fill="FFFFFF"/>
            <w:tcMar>
              <w:top w:w="0" w:type="dxa"/>
              <w:left w:w="108" w:type="dxa"/>
              <w:bottom w:w="0" w:type="dxa"/>
              <w:right w:w="108" w:type="dxa"/>
            </w:tcMar>
            <w:vAlign w:val="bottom"/>
          </w:tcPr>
          <w:p w14:paraId="5AF9AA68" w14:textId="77777777" w:rsidR="00A76ADB" w:rsidRPr="00246F01" w:rsidRDefault="00A76ADB" w:rsidP="007E3239">
            <w:pPr>
              <w:pStyle w:val="TableText"/>
              <w:spacing w:before="50" w:after="50"/>
              <w:jc w:val="center"/>
            </w:pPr>
            <w:r w:rsidRPr="00246F01">
              <w:t>369.1</w:t>
            </w:r>
          </w:p>
        </w:tc>
        <w:tc>
          <w:tcPr>
            <w:tcW w:w="0" w:type="auto"/>
            <w:shd w:val="clear" w:color="auto" w:fill="FFFFFF"/>
            <w:tcMar>
              <w:top w:w="0" w:type="dxa"/>
              <w:left w:w="108" w:type="dxa"/>
              <w:bottom w:w="0" w:type="dxa"/>
              <w:right w:w="108" w:type="dxa"/>
            </w:tcMar>
            <w:vAlign w:val="bottom"/>
          </w:tcPr>
          <w:p w14:paraId="370B33F2" w14:textId="77777777" w:rsidR="00A76ADB" w:rsidRPr="00246F01" w:rsidRDefault="00A76ADB" w:rsidP="007E3239">
            <w:pPr>
              <w:pStyle w:val="TableText"/>
              <w:spacing w:before="50" w:after="50"/>
              <w:jc w:val="center"/>
            </w:pPr>
            <w:r w:rsidRPr="00246F01">
              <w:t>41.0</w:t>
            </w:r>
          </w:p>
        </w:tc>
        <w:tc>
          <w:tcPr>
            <w:tcW w:w="0" w:type="auto"/>
            <w:shd w:val="clear" w:color="auto" w:fill="FFFFFF"/>
            <w:tcMar>
              <w:top w:w="0" w:type="dxa"/>
              <w:left w:w="108" w:type="dxa"/>
              <w:bottom w:w="0" w:type="dxa"/>
              <w:right w:w="108" w:type="dxa"/>
            </w:tcMar>
            <w:vAlign w:val="bottom"/>
          </w:tcPr>
          <w:p w14:paraId="43D48E6D" w14:textId="77777777" w:rsidR="00A76ADB" w:rsidRPr="00246F01" w:rsidRDefault="00A76ADB" w:rsidP="007E3239">
            <w:pPr>
              <w:pStyle w:val="TableText"/>
              <w:spacing w:before="50" w:after="50"/>
              <w:jc w:val="center"/>
            </w:pPr>
            <w:r w:rsidRPr="00246F01">
              <w:t>858.0</w:t>
            </w:r>
          </w:p>
        </w:tc>
      </w:tr>
      <w:tr w:rsidR="00A76ADB" w14:paraId="7279F526" w14:textId="77777777" w:rsidTr="00F16598">
        <w:trPr>
          <w:cantSplit/>
          <w:trHeight w:val="283"/>
        </w:trPr>
        <w:tc>
          <w:tcPr>
            <w:tcW w:w="0" w:type="auto"/>
            <w:shd w:val="clear" w:color="auto" w:fill="FFFFFF"/>
            <w:tcMar>
              <w:top w:w="0" w:type="dxa"/>
              <w:left w:w="108" w:type="dxa"/>
              <w:bottom w:w="0" w:type="dxa"/>
              <w:right w:w="108" w:type="dxa"/>
            </w:tcMar>
            <w:vAlign w:val="center"/>
          </w:tcPr>
          <w:p w14:paraId="687421FD" w14:textId="77777777" w:rsidR="00A76ADB" w:rsidRDefault="00A76ADB" w:rsidP="007E3239">
            <w:pPr>
              <w:pStyle w:val="TableText"/>
              <w:spacing w:before="50" w:after="50"/>
            </w:pPr>
            <w:r>
              <w:rPr>
                <w:rFonts w:eastAsia="Calibri"/>
              </w:rPr>
              <w:t>1965</w:t>
            </w:r>
          </w:p>
        </w:tc>
        <w:tc>
          <w:tcPr>
            <w:tcW w:w="0" w:type="auto"/>
            <w:shd w:val="clear" w:color="auto" w:fill="FFFFFF"/>
            <w:tcMar>
              <w:top w:w="0" w:type="dxa"/>
              <w:left w:w="108" w:type="dxa"/>
              <w:bottom w:w="0" w:type="dxa"/>
              <w:right w:w="108" w:type="dxa"/>
            </w:tcMar>
            <w:vAlign w:val="bottom"/>
          </w:tcPr>
          <w:p w14:paraId="4A48DEF2" w14:textId="77777777" w:rsidR="00A76ADB" w:rsidRPr="00246F01" w:rsidRDefault="00A76ADB" w:rsidP="007E3239">
            <w:pPr>
              <w:pStyle w:val="TableText"/>
              <w:spacing w:before="50" w:after="50"/>
              <w:jc w:val="center"/>
            </w:pPr>
            <w:r w:rsidRPr="00246F01">
              <w:t>447.9</w:t>
            </w:r>
          </w:p>
        </w:tc>
        <w:tc>
          <w:tcPr>
            <w:tcW w:w="0" w:type="auto"/>
            <w:shd w:val="clear" w:color="auto" w:fill="FFFFFF"/>
            <w:tcMar>
              <w:top w:w="0" w:type="dxa"/>
              <w:left w:w="108" w:type="dxa"/>
              <w:bottom w:w="0" w:type="dxa"/>
              <w:right w:w="108" w:type="dxa"/>
            </w:tcMar>
            <w:vAlign w:val="bottom"/>
          </w:tcPr>
          <w:p w14:paraId="689DC34D" w14:textId="77777777" w:rsidR="00A76ADB" w:rsidRPr="00246F01" w:rsidRDefault="00A76ADB" w:rsidP="007E3239">
            <w:pPr>
              <w:pStyle w:val="TableText"/>
              <w:spacing w:before="50" w:after="50"/>
              <w:jc w:val="center"/>
            </w:pPr>
            <w:r w:rsidRPr="00246F01">
              <w:t>477.2</w:t>
            </w:r>
          </w:p>
        </w:tc>
        <w:tc>
          <w:tcPr>
            <w:tcW w:w="0" w:type="auto"/>
            <w:shd w:val="clear" w:color="auto" w:fill="FFFFFF"/>
            <w:tcMar>
              <w:top w:w="0" w:type="dxa"/>
              <w:left w:w="108" w:type="dxa"/>
              <w:bottom w:w="0" w:type="dxa"/>
              <w:right w:w="108" w:type="dxa"/>
            </w:tcMar>
            <w:vAlign w:val="bottom"/>
          </w:tcPr>
          <w:p w14:paraId="075A5591" w14:textId="77777777" w:rsidR="00A76ADB" w:rsidRPr="00246F01" w:rsidRDefault="00A76ADB" w:rsidP="007E3239">
            <w:pPr>
              <w:pStyle w:val="TableText"/>
              <w:spacing w:before="50" w:after="50"/>
              <w:jc w:val="center"/>
            </w:pPr>
            <w:r w:rsidRPr="00246F01">
              <w:t>53.0</w:t>
            </w:r>
          </w:p>
        </w:tc>
        <w:tc>
          <w:tcPr>
            <w:tcW w:w="0" w:type="auto"/>
            <w:shd w:val="clear" w:color="auto" w:fill="FFFFFF"/>
            <w:tcMar>
              <w:top w:w="0" w:type="dxa"/>
              <w:left w:w="108" w:type="dxa"/>
              <w:bottom w:w="0" w:type="dxa"/>
              <w:right w:w="108" w:type="dxa"/>
            </w:tcMar>
            <w:vAlign w:val="bottom"/>
          </w:tcPr>
          <w:p w14:paraId="2F914111" w14:textId="77777777" w:rsidR="00A76ADB" w:rsidRPr="00246F01" w:rsidRDefault="00A76ADB" w:rsidP="007E3239">
            <w:pPr>
              <w:pStyle w:val="TableText"/>
              <w:spacing w:before="50" w:after="50"/>
              <w:jc w:val="center"/>
            </w:pPr>
            <w:r w:rsidRPr="00246F01">
              <w:t>978.1</w:t>
            </w:r>
          </w:p>
        </w:tc>
      </w:tr>
      <w:tr w:rsidR="00A76ADB" w14:paraId="51E68E6E" w14:textId="77777777" w:rsidTr="00F16598">
        <w:trPr>
          <w:cantSplit/>
          <w:trHeight w:val="283"/>
        </w:trPr>
        <w:tc>
          <w:tcPr>
            <w:tcW w:w="0" w:type="auto"/>
            <w:shd w:val="clear" w:color="auto" w:fill="FFFFFF"/>
            <w:tcMar>
              <w:top w:w="0" w:type="dxa"/>
              <w:left w:w="108" w:type="dxa"/>
              <w:bottom w:w="0" w:type="dxa"/>
              <w:right w:w="108" w:type="dxa"/>
            </w:tcMar>
            <w:vAlign w:val="center"/>
          </w:tcPr>
          <w:p w14:paraId="4BBEBA0D" w14:textId="77777777" w:rsidR="00A76ADB" w:rsidRDefault="00A76ADB" w:rsidP="007E3239">
            <w:pPr>
              <w:pStyle w:val="TableText"/>
              <w:spacing w:before="50" w:after="50"/>
            </w:pPr>
            <w:r>
              <w:rPr>
                <w:rFonts w:eastAsia="Calibri"/>
              </w:rPr>
              <w:t>1966</w:t>
            </w:r>
          </w:p>
        </w:tc>
        <w:tc>
          <w:tcPr>
            <w:tcW w:w="0" w:type="auto"/>
            <w:shd w:val="clear" w:color="auto" w:fill="FFFFFF"/>
            <w:tcMar>
              <w:top w:w="0" w:type="dxa"/>
              <w:left w:w="108" w:type="dxa"/>
              <w:bottom w:w="0" w:type="dxa"/>
              <w:right w:w="108" w:type="dxa"/>
            </w:tcMar>
            <w:vAlign w:val="bottom"/>
          </w:tcPr>
          <w:p w14:paraId="6EF45950" w14:textId="77777777" w:rsidR="00A76ADB" w:rsidRPr="00246F01" w:rsidRDefault="00A76ADB" w:rsidP="007E3239">
            <w:pPr>
              <w:pStyle w:val="TableText"/>
              <w:spacing w:before="50" w:after="50"/>
              <w:jc w:val="center"/>
            </w:pPr>
            <w:r w:rsidRPr="00246F01">
              <w:t>447.9</w:t>
            </w:r>
          </w:p>
        </w:tc>
        <w:tc>
          <w:tcPr>
            <w:tcW w:w="0" w:type="auto"/>
            <w:shd w:val="clear" w:color="auto" w:fill="FFFFFF"/>
            <w:tcMar>
              <w:top w:w="0" w:type="dxa"/>
              <w:left w:w="108" w:type="dxa"/>
              <w:bottom w:w="0" w:type="dxa"/>
              <w:right w:w="108" w:type="dxa"/>
            </w:tcMar>
            <w:vAlign w:val="bottom"/>
          </w:tcPr>
          <w:p w14:paraId="2F13550A" w14:textId="77777777" w:rsidR="00A76ADB" w:rsidRPr="00246F01" w:rsidRDefault="00A76ADB" w:rsidP="007E3239">
            <w:pPr>
              <w:pStyle w:val="TableText"/>
              <w:spacing w:before="50" w:after="50"/>
              <w:jc w:val="center"/>
            </w:pPr>
            <w:r w:rsidRPr="00246F01">
              <w:t>566.8</w:t>
            </w:r>
          </w:p>
        </w:tc>
        <w:tc>
          <w:tcPr>
            <w:tcW w:w="0" w:type="auto"/>
            <w:shd w:val="clear" w:color="auto" w:fill="FFFFFF"/>
            <w:tcMar>
              <w:top w:w="0" w:type="dxa"/>
              <w:left w:w="108" w:type="dxa"/>
              <w:bottom w:w="0" w:type="dxa"/>
              <w:right w:w="108" w:type="dxa"/>
            </w:tcMar>
            <w:vAlign w:val="bottom"/>
          </w:tcPr>
          <w:p w14:paraId="13B22798" w14:textId="77777777" w:rsidR="00A76ADB" w:rsidRPr="00246F01" w:rsidRDefault="00A76ADB" w:rsidP="007E3239">
            <w:pPr>
              <w:pStyle w:val="TableText"/>
              <w:spacing w:before="50" w:after="50"/>
              <w:jc w:val="center"/>
            </w:pPr>
            <w:r w:rsidRPr="00246F01">
              <w:t>63.0</w:t>
            </w:r>
          </w:p>
        </w:tc>
        <w:tc>
          <w:tcPr>
            <w:tcW w:w="0" w:type="auto"/>
            <w:shd w:val="clear" w:color="auto" w:fill="FFFFFF"/>
            <w:tcMar>
              <w:top w:w="0" w:type="dxa"/>
              <w:left w:w="108" w:type="dxa"/>
              <w:bottom w:w="0" w:type="dxa"/>
              <w:right w:w="108" w:type="dxa"/>
            </w:tcMar>
            <w:vAlign w:val="bottom"/>
          </w:tcPr>
          <w:p w14:paraId="34A5A638" w14:textId="77777777" w:rsidR="00A76ADB" w:rsidRPr="00246F01" w:rsidRDefault="00A76ADB" w:rsidP="007E3239">
            <w:pPr>
              <w:pStyle w:val="TableText"/>
              <w:spacing w:before="50" w:after="50"/>
              <w:jc w:val="center"/>
            </w:pPr>
            <w:r w:rsidRPr="00246F01">
              <w:t>1,077.6</w:t>
            </w:r>
          </w:p>
        </w:tc>
      </w:tr>
      <w:tr w:rsidR="00A76ADB" w14:paraId="32166D78" w14:textId="77777777" w:rsidTr="00F16598">
        <w:trPr>
          <w:cantSplit/>
          <w:trHeight w:val="283"/>
        </w:trPr>
        <w:tc>
          <w:tcPr>
            <w:tcW w:w="0" w:type="auto"/>
            <w:shd w:val="clear" w:color="auto" w:fill="FFFFFF"/>
            <w:tcMar>
              <w:top w:w="0" w:type="dxa"/>
              <w:left w:w="108" w:type="dxa"/>
              <w:bottom w:w="0" w:type="dxa"/>
              <w:right w:w="108" w:type="dxa"/>
            </w:tcMar>
            <w:vAlign w:val="center"/>
          </w:tcPr>
          <w:p w14:paraId="14F2F4DF" w14:textId="77777777" w:rsidR="00A76ADB" w:rsidRDefault="00A76ADB" w:rsidP="007E3239">
            <w:pPr>
              <w:pStyle w:val="TableText"/>
              <w:spacing w:before="50" w:after="50"/>
            </w:pPr>
            <w:r>
              <w:rPr>
                <w:rFonts w:eastAsia="Calibri"/>
              </w:rPr>
              <w:t>1967</w:t>
            </w:r>
          </w:p>
        </w:tc>
        <w:tc>
          <w:tcPr>
            <w:tcW w:w="0" w:type="auto"/>
            <w:shd w:val="clear" w:color="auto" w:fill="FFFFFF"/>
            <w:tcMar>
              <w:top w:w="0" w:type="dxa"/>
              <w:left w:w="108" w:type="dxa"/>
              <w:bottom w:w="0" w:type="dxa"/>
              <w:right w:w="108" w:type="dxa"/>
            </w:tcMar>
            <w:vAlign w:val="bottom"/>
          </w:tcPr>
          <w:p w14:paraId="47A8B97F" w14:textId="77777777" w:rsidR="00A76ADB" w:rsidRPr="00246F01" w:rsidRDefault="00A76ADB" w:rsidP="007E3239">
            <w:pPr>
              <w:pStyle w:val="TableText"/>
              <w:spacing w:before="50" w:after="50"/>
              <w:jc w:val="center"/>
            </w:pPr>
            <w:r w:rsidRPr="00246F01">
              <w:t>495.8</w:t>
            </w:r>
          </w:p>
        </w:tc>
        <w:tc>
          <w:tcPr>
            <w:tcW w:w="0" w:type="auto"/>
            <w:shd w:val="clear" w:color="auto" w:fill="FFFFFF"/>
            <w:tcMar>
              <w:top w:w="0" w:type="dxa"/>
              <w:left w:w="108" w:type="dxa"/>
              <w:bottom w:w="0" w:type="dxa"/>
              <w:right w:w="108" w:type="dxa"/>
            </w:tcMar>
            <w:vAlign w:val="bottom"/>
          </w:tcPr>
          <w:p w14:paraId="2EE1169A" w14:textId="77777777" w:rsidR="00A76ADB" w:rsidRPr="00246F01" w:rsidRDefault="00A76ADB" w:rsidP="007E3239">
            <w:pPr>
              <w:pStyle w:val="TableText"/>
              <w:spacing w:before="50" w:after="50"/>
              <w:jc w:val="center"/>
            </w:pPr>
            <w:r w:rsidRPr="00246F01">
              <w:t>486.0</w:t>
            </w:r>
          </w:p>
        </w:tc>
        <w:tc>
          <w:tcPr>
            <w:tcW w:w="0" w:type="auto"/>
            <w:shd w:val="clear" w:color="auto" w:fill="FFFFFF"/>
            <w:tcMar>
              <w:top w:w="0" w:type="dxa"/>
              <w:left w:w="108" w:type="dxa"/>
              <w:bottom w:w="0" w:type="dxa"/>
              <w:right w:w="108" w:type="dxa"/>
            </w:tcMar>
            <w:vAlign w:val="bottom"/>
          </w:tcPr>
          <w:p w14:paraId="0C2CE724" w14:textId="77777777" w:rsidR="00A76ADB" w:rsidRPr="00246F01" w:rsidRDefault="00A76ADB" w:rsidP="007E3239">
            <w:pPr>
              <w:pStyle w:val="TableText"/>
              <w:spacing w:before="50" w:after="50"/>
              <w:jc w:val="center"/>
            </w:pPr>
            <w:r w:rsidRPr="00246F01">
              <w:t>54.0</w:t>
            </w:r>
          </w:p>
        </w:tc>
        <w:tc>
          <w:tcPr>
            <w:tcW w:w="0" w:type="auto"/>
            <w:shd w:val="clear" w:color="auto" w:fill="FFFFFF"/>
            <w:tcMar>
              <w:top w:w="0" w:type="dxa"/>
              <w:left w:w="108" w:type="dxa"/>
              <w:bottom w:w="0" w:type="dxa"/>
              <w:right w:w="108" w:type="dxa"/>
            </w:tcMar>
            <w:vAlign w:val="bottom"/>
          </w:tcPr>
          <w:p w14:paraId="31AC17B6" w14:textId="77777777" w:rsidR="00A76ADB" w:rsidRPr="00246F01" w:rsidRDefault="00A76ADB" w:rsidP="007E3239">
            <w:pPr>
              <w:pStyle w:val="TableText"/>
              <w:spacing w:before="50" w:after="50"/>
              <w:jc w:val="center"/>
            </w:pPr>
            <w:r w:rsidRPr="00246F01">
              <w:t>1,035.8</w:t>
            </w:r>
          </w:p>
        </w:tc>
      </w:tr>
      <w:tr w:rsidR="00A76ADB" w14:paraId="669DFE5E" w14:textId="77777777" w:rsidTr="00F16598">
        <w:trPr>
          <w:cantSplit/>
          <w:trHeight w:val="283"/>
        </w:trPr>
        <w:tc>
          <w:tcPr>
            <w:tcW w:w="0" w:type="auto"/>
            <w:shd w:val="clear" w:color="auto" w:fill="FFFFFF"/>
            <w:tcMar>
              <w:top w:w="0" w:type="dxa"/>
              <w:left w:w="108" w:type="dxa"/>
              <w:bottom w:w="0" w:type="dxa"/>
              <w:right w:w="108" w:type="dxa"/>
            </w:tcMar>
            <w:vAlign w:val="center"/>
          </w:tcPr>
          <w:p w14:paraId="217271F5" w14:textId="77777777" w:rsidR="00A76ADB" w:rsidRDefault="00A76ADB" w:rsidP="007E3239">
            <w:pPr>
              <w:pStyle w:val="TableText"/>
              <w:spacing w:before="50" w:after="50"/>
            </w:pPr>
            <w:r>
              <w:rPr>
                <w:rFonts w:eastAsia="Calibri"/>
              </w:rPr>
              <w:t>1968</w:t>
            </w:r>
          </w:p>
        </w:tc>
        <w:tc>
          <w:tcPr>
            <w:tcW w:w="0" w:type="auto"/>
            <w:shd w:val="clear" w:color="auto" w:fill="FFFFFF"/>
            <w:tcMar>
              <w:top w:w="0" w:type="dxa"/>
              <w:left w:w="108" w:type="dxa"/>
              <w:bottom w:w="0" w:type="dxa"/>
              <w:right w:w="108" w:type="dxa"/>
            </w:tcMar>
            <w:vAlign w:val="bottom"/>
          </w:tcPr>
          <w:p w14:paraId="3E8A83EB" w14:textId="77777777" w:rsidR="00A76ADB" w:rsidRPr="00246F01" w:rsidRDefault="00A76ADB" w:rsidP="007E3239">
            <w:pPr>
              <w:pStyle w:val="TableText"/>
              <w:spacing w:before="50" w:after="50"/>
              <w:jc w:val="center"/>
            </w:pPr>
            <w:r w:rsidRPr="00246F01">
              <w:t>495.8</w:t>
            </w:r>
          </w:p>
        </w:tc>
        <w:tc>
          <w:tcPr>
            <w:tcW w:w="0" w:type="auto"/>
            <w:shd w:val="clear" w:color="auto" w:fill="FFFFFF"/>
            <w:tcMar>
              <w:top w:w="0" w:type="dxa"/>
              <w:left w:w="108" w:type="dxa"/>
              <w:bottom w:w="0" w:type="dxa"/>
              <w:right w:w="108" w:type="dxa"/>
            </w:tcMar>
            <w:vAlign w:val="bottom"/>
          </w:tcPr>
          <w:p w14:paraId="62F3A5E3" w14:textId="77777777" w:rsidR="00A76ADB" w:rsidRPr="00246F01" w:rsidRDefault="00A76ADB" w:rsidP="007E3239">
            <w:pPr>
              <w:pStyle w:val="TableText"/>
              <w:spacing w:before="50" w:after="50"/>
              <w:jc w:val="center"/>
            </w:pPr>
            <w:r w:rsidRPr="00246F01">
              <w:t>485.2</w:t>
            </w:r>
          </w:p>
        </w:tc>
        <w:tc>
          <w:tcPr>
            <w:tcW w:w="0" w:type="auto"/>
            <w:shd w:val="clear" w:color="auto" w:fill="FFFFFF"/>
            <w:tcMar>
              <w:top w:w="0" w:type="dxa"/>
              <w:left w:w="108" w:type="dxa"/>
              <w:bottom w:w="0" w:type="dxa"/>
              <w:right w:w="108" w:type="dxa"/>
            </w:tcMar>
            <w:vAlign w:val="bottom"/>
          </w:tcPr>
          <w:p w14:paraId="382FD54D" w14:textId="77777777" w:rsidR="00A76ADB" w:rsidRPr="00246F01" w:rsidRDefault="00A76ADB" w:rsidP="007E3239">
            <w:pPr>
              <w:pStyle w:val="TableText"/>
              <w:spacing w:before="50" w:after="50"/>
              <w:jc w:val="center"/>
            </w:pPr>
            <w:r w:rsidRPr="00246F01">
              <w:t>53.9</w:t>
            </w:r>
          </w:p>
        </w:tc>
        <w:tc>
          <w:tcPr>
            <w:tcW w:w="0" w:type="auto"/>
            <w:shd w:val="clear" w:color="auto" w:fill="FFFFFF"/>
            <w:tcMar>
              <w:top w:w="0" w:type="dxa"/>
              <w:left w:w="108" w:type="dxa"/>
              <w:bottom w:w="0" w:type="dxa"/>
              <w:right w:w="108" w:type="dxa"/>
            </w:tcMar>
            <w:vAlign w:val="bottom"/>
          </w:tcPr>
          <w:p w14:paraId="1E16AAAA" w14:textId="77777777" w:rsidR="00A76ADB" w:rsidRPr="00246F01" w:rsidRDefault="00A76ADB" w:rsidP="007E3239">
            <w:pPr>
              <w:pStyle w:val="TableText"/>
              <w:spacing w:before="50" w:after="50"/>
              <w:jc w:val="center"/>
            </w:pPr>
            <w:r w:rsidRPr="00246F01">
              <w:t>1,034.9</w:t>
            </w:r>
          </w:p>
        </w:tc>
      </w:tr>
      <w:tr w:rsidR="00A76ADB" w14:paraId="3C2BC44E" w14:textId="77777777" w:rsidTr="00F16598">
        <w:trPr>
          <w:cantSplit/>
          <w:trHeight w:val="283"/>
        </w:trPr>
        <w:tc>
          <w:tcPr>
            <w:tcW w:w="0" w:type="auto"/>
            <w:shd w:val="clear" w:color="auto" w:fill="FFFFFF"/>
            <w:tcMar>
              <w:top w:w="0" w:type="dxa"/>
              <w:left w:w="108" w:type="dxa"/>
              <w:bottom w:w="0" w:type="dxa"/>
              <w:right w:w="108" w:type="dxa"/>
            </w:tcMar>
            <w:vAlign w:val="center"/>
          </w:tcPr>
          <w:p w14:paraId="56344858" w14:textId="77777777" w:rsidR="00A76ADB" w:rsidRDefault="00A76ADB" w:rsidP="007E3239">
            <w:pPr>
              <w:pStyle w:val="TableText"/>
              <w:spacing w:before="50" w:after="50"/>
            </w:pPr>
            <w:r>
              <w:rPr>
                <w:rFonts w:eastAsia="Calibri"/>
              </w:rPr>
              <w:t>1969</w:t>
            </w:r>
          </w:p>
        </w:tc>
        <w:tc>
          <w:tcPr>
            <w:tcW w:w="0" w:type="auto"/>
            <w:shd w:val="clear" w:color="auto" w:fill="FFFFFF"/>
            <w:tcMar>
              <w:top w:w="0" w:type="dxa"/>
              <w:left w:w="108" w:type="dxa"/>
              <w:bottom w:w="0" w:type="dxa"/>
              <w:right w:w="108" w:type="dxa"/>
            </w:tcMar>
            <w:vAlign w:val="bottom"/>
          </w:tcPr>
          <w:p w14:paraId="2EC83CE6" w14:textId="77777777" w:rsidR="00A76ADB" w:rsidRPr="00246F01" w:rsidRDefault="00A76ADB" w:rsidP="007E3239">
            <w:pPr>
              <w:pStyle w:val="TableText"/>
              <w:spacing w:before="50" w:after="50"/>
              <w:jc w:val="center"/>
            </w:pPr>
            <w:r w:rsidRPr="00246F01">
              <w:t>495.8</w:t>
            </w:r>
          </w:p>
        </w:tc>
        <w:tc>
          <w:tcPr>
            <w:tcW w:w="0" w:type="auto"/>
            <w:shd w:val="clear" w:color="auto" w:fill="FFFFFF"/>
            <w:tcMar>
              <w:top w:w="0" w:type="dxa"/>
              <w:left w:w="108" w:type="dxa"/>
              <w:bottom w:w="0" w:type="dxa"/>
              <w:right w:w="108" w:type="dxa"/>
            </w:tcMar>
            <w:vAlign w:val="bottom"/>
          </w:tcPr>
          <w:p w14:paraId="52D510BB" w14:textId="77777777" w:rsidR="00A76ADB" w:rsidRPr="00246F01" w:rsidRDefault="00A76ADB" w:rsidP="007E3239">
            <w:pPr>
              <w:pStyle w:val="TableText"/>
              <w:spacing w:before="50" w:after="50"/>
              <w:jc w:val="center"/>
            </w:pPr>
            <w:r w:rsidRPr="00246F01">
              <w:t>489.1</w:t>
            </w:r>
          </w:p>
        </w:tc>
        <w:tc>
          <w:tcPr>
            <w:tcW w:w="0" w:type="auto"/>
            <w:shd w:val="clear" w:color="auto" w:fill="FFFFFF"/>
            <w:tcMar>
              <w:top w:w="0" w:type="dxa"/>
              <w:left w:w="108" w:type="dxa"/>
              <w:bottom w:w="0" w:type="dxa"/>
              <w:right w:w="108" w:type="dxa"/>
            </w:tcMar>
            <w:vAlign w:val="bottom"/>
          </w:tcPr>
          <w:p w14:paraId="52EFB338" w14:textId="77777777" w:rsidR="00A76ADB" w:rsidRPr="00246F01" w:rsidRDefault="00A76ADB" w:rsidP="007E3239">
            <w:pPr>
              <w:pStyle w:val="TableText"/>
              <w:spacing w:before="50" w:after="50"/>
              <w:jc w:val="center"/>
            </w:pPr>
            <w:r w:rsidRPr="00246F01">
              <w:t>54.3</w:t>
            </w:r>
          </w:p>
        </w:tc>
        <w:tc>
          <w:tcPr>
            <w:tcW w:w="0" w:type="auto"/>
            <w:shd w:val="clear" w:color="auto" w:fill="FFFFFF"/>
            <w:tcMar>
              <w:top w:w="0" w:type="dxa"/>
              <w:left w:w="108" w:type="dxa"/>
              <w:bottom w:w="0" w:type="dxa"/>
              <w:right w:w="108" w:type="dxa"/>
            </w:tcMar>
            <w:vAlign w:val="bottom"/>
          </w:tcPr>
          <w:p w14:paraId="50BB4AA7" w14:textId="77777777" w:rsidR="00A76ADB" w:rsidRPr="00246F01" w:rsidRDefault="00A76ADB" w:rsidP="007E3239">
            <w:pPr>
              <w:pStyle w:val="TableText"/>
              <w:spacing w:before="50" w:after="50"/>
              <w:jc w:val="center"/>
            </w:pPr>
            <w:r w:rsidRPr="00246F01">
              <w:t>1,039.2</w:t>
            </w:r>
          </w:p>
        </w:tc>
      </w:tr>
      <w:tr w:rsidR="00A76ADB" w14:paraId="4CEAFADA" w14:textId="77777777" w:rsidTr="00F16598">
        <w:trPr>
          <w:cantSplit/>
          <w:trHeight w:val="283"/>
        </w:trPr>
        <w:tc>
          <w:tcPr>
            <w:tcW w:w="0" w:type="auto"/>
            <w:shd w:val="clear" w:color="auto" w:fill="FFFFFF"/>
            <w:tcMar>
              <w:top w:w="0" w:type="dxa"/>
              <w:left w:w="108" w:type="dxa"/>
              <w:bottom w:w="0" w:type="dxa"/>
              <w:right w:w="108" w:type="dxa"/>
            </w:tcMar>
            <w:vAlign w:val="center"/>
          </w:tcPr>
          <w:p w14:paraId="7616C3CB" w14:textId="77777777" w:rsidR="00A76ADB" w:rsidRDefault="00A76ADB" w:rsidP="007E3239">
            <w:pPr>
              <w:pStyle w:val="TableText"/>
              <w:spacing w:before="50" w:after="50"/>
            </w:pPr>
            <w:r>
              <w:rPr>
                <w:rFonts w:eastAsia="Calibri"/>
              </w:rPr>
              <w:t>1970</w:t>
            </w:r>
          </w:p>
        </w:tc>
        <w:tc>
          <w:tcPr>
            <w:tcW w:w="0" w:type="auto"/>
            <w:shd w:val="clear" w:color="auto" w:fill="FFFFFF"/>
            <w:tcMar>
              <w:top w:w="0" w:type="dxa"/>
              <w:left w:w="108" w:type="dxa"/>
              <w:bottom w:w="0" w:type="dxa"/>
              <w:right w:w="108" w:type="dxa"/>
            </w:tcMar>
            <w:vAlign w:val="bottom"/>
          </w:tcPr>
          <w:p w14:paraId="62622C51" w14:textId="77777777" w:rsidR="00A76ADB" w:rsidRPr="00246F01" w:rsidRDefault="00A76ADB" w:rsidP="007E3239">
            <w:pPr>
              <w:pStyle w:val="TableText"/>
              <w:spacing w:before="50" w:after="50"/>
              <w:jc w:val="center"/>
            </w:pPr>
            <w:r w:rsidRPr="00246F01">
              <w:t>654.1</w:t>
            </w:r>
          </w:p>
        </w:tc>
        <w:tc>
          <w:tcPr>
            <w:tcW w:w="0" w:type="auto"/>
            <w:shd w:val="clear" w:color="auto" w:fill="FFFFFF"/>
            <w:tcMar>
              <w:top w:w="0" w:type="dxa"/>
              <w:left w:w="108" w:type="dxa"/>
              <w:bottom w:w="0" w:type="dxa"/>
              <w:right w:w="108" w:type="dxa"/>
            </w:tcMar>
            <w:vAlign w:val="bottom"/>
          </w:tcPr>
          <w:p w14:paraId="6B4B1D14" w14:textId="77777777" w:rsidR="00A76ADB" w:rsidRPr="00246F01" w:rsidRDefault="00A76ADB" w:rsidP="007E3239">
            <w:pPr>
              <w:pStyle w:val="TableText"/>
              <w:spacing w:before="50" w:after="50"/>
              <w:jc w:val="center"/>
            </w:pPr>
            <w:r w:rsidRPr="00246F01">
              <w:t>497.4</w:t>
            </w:r>
          </w:p>
        </w:tc>
        <w:tc>
          <w:tcPr>
            <w:tcW w:w="0" w:type="auto"/>
            <w:shd w:val="clear" w:color="auto" w:fill="FFFFFF"/>
            <w:tcMar>
              <w:top w:w="0" w:type="dxa"/>
              <w:left w:w="108" w:type="dxa"/>
              <w:bottom w:w="0" w:type="dxa"/>
              <w:right w:w="108" w:type="dxa"/>
            </w:tcMar>
            <w:vAlign w:val="bottom"/>
          </w:tcPr>
          <w:p w14:paraId="3BA7798F" w14:textId="77777777" w:rsidR="00A76ADB" w:rsidRPr="00246F01" w:rsidRDefault="00A76ADB" w:rsidP="007E3239">
            <w:pPr>
              <w:pStyle w:val="TableText"/>
              <w:spacing w:before="50" w:after="50"/>
              <w:jc w:val="center"/>
            </w:pPr>
            <w:r w:rsidRPr="00246F01">
              <w:t>55.3</w:t>
            </w:r>
          </w:p>
        </w:tc>
        <w:tc>
          <w:tcPr>
            <w:tcW w:w="0" w:type="auto"/>
            <w:shd w:val="clear" w:color="auto" w:fill="FFFFFF"/>
            <w:tcMar>
              <w:top w:w="0" w:type="dxa"/>
              <w:left w:w="108" w:type="dxa"/>
              <w:bottom w:w="0" w:type="dxa"/>
              <w:right w:w="108" w:type="dxa"/>
            </w:tcMar>
            <w:vAlign w:val="bottom"/>
          </w:tcPr>
          <w:p w14:paraId="22EF2F01" w14:textId="77777777" w:rsidR="00A76ADB" w:rsidRPr="00246F01" w:rsidRDefault="00A76ADB" w:rsidP="007E3239">
            <w:pPr>
              <w:pStyle w:val="TableText"/>
              <w:spacing w:before="50" w:after="50"/>
              <w:jc w:val="center"/>
            </w:pPr>
            <w:r w:rsidRPr="00246F01">
              <w:t>1,206.9</w:t>
            </w:r>
          </w:p>
        </w:tc>
      </w:tr>
      <w:tr w:rsidR="00A76ADB" w14:paraId="570E3633" w14:textId="77777777" w:rsidTr="00F16598">
        <w:trPr>
          <w:cantSplit/>
          <w:trHeight w:val="283"/>
        </w:trPr>
        <w:tc>
          <w:tcPr>
            <w:tcW w:w="0" w:type="auto"/>
            <w:shd w:val="clear" w:color="auto" w:fill="FFFFFF"/>
            <w:tcMar>
              <w:top w:w="0" w:type="dxa"/>
              <w:left w:w="108" w:type="dxa"/>
              <w:bottom w:w="0" w:type="dxa"/>
              <w:right w:w="108" w:type="dxa"/>
            </w:tcMar>
            <w:vAlign w:val="center"/>
          </w:tcPr>
          <w:p w14:paraId="6DA64D97" w14:textId="77777777" w:rsidR="00A76ADB" w:rsidRDefault="00A76ADB" w:rsidP="007E3239">
            <w:pPr>
              <w:pStyle w:val="TableText"/>
              <w:spacing w:before="50" w:after="50"/>
            </w:pPr>
            <w:r>
              <w:rPr>
                <w:rFonts w:eastAsia="Calibri"/>
              </w:rPr>
              <w:lastRenderedPageBreak/>
              <w:t>1971</w:t>
            </w:r>
          </w:p>
        </w:tc>
        <w:tc>
          <w:tcPr>
            <w:tcW w:w="0" w:type="auto"/>
            <w:shd w:val="clear" w:color="auto" w:fill="FFFFFF"/>
            <w:tcMar>
              <w:top w:w="0" w:type="dxa"/>
              <w:left w:w="108" w:type="dxa"/>
              <w:bottom w:w="0" w:type="dxa"/>
              <w:right w:w="108" w:type="dxa"/>
            </w:tcMar>
            <w:vAlign w:val="bottom"/>
          </w:tcPr>
          <w:p w14:paraId="1FFB963D" w14:textId="77777777" w:rsidR="00A76ADB" w:rsidRPr="00246F01" w:rsidRDefault="00A76ADB" w:rsidP="007E3239">
            <w:pPr>
              <w:pStyle w:val="TableText"/>
              <w:spacing w:before="50" w:after="50"/>
              <w:jc w:val="center"/>
            </w:pPr>
            <w:r w:rsidRPr="00246F01">
              <w:t>654.1</w:t>
            </w:r>
          </w:p>
        </w:tc>
        <w:tc>
          <w:tcPr>
            <w:tcW w:w="0" w:type="auto"/>
            <w:shd w:val="clear" w:color="auto" w:fill="FFFFFF"/>
            <w:tcMar>
              <w:top w:w="0" w:type="dxa"/>
              <w:left w:w="108" w:type="dxa"/>
              <w:bottom w:w="0" w:type="dxa"/>
              <w:right w:w="108" w:type="dxa"/>
            </w:tcMar>
            <w:vAlign w:val="bottom"/>
          </w:tcPr>
          <w:p w14:paraId="11BF69B8" w14:textId="77777777" w:rsidR="00A76ADB" w:rsidRPr="00246F01" w:rsidRDefault="00A76ADB" w:rsidP="007E3239">
            <w:pPr>
              <w:pStyle w:val="TableText"/>
              <w:spacing w:before="50" w:after="50"/>
              <w:jc w:val="center"/>
            </w:pPr>
            <w:r w:rsidRPr="00246F01">
              <w:t>554.4</w:t>
            </w:r>
          </w:p>
        </w:tc>
        <w:tc>
          <w:tcPr>
            <w:tcW w:w="0" w:type="auto"/>
            <w:shd w:val="clear" w:color="auto" w:fill="FFFFFF"/>
            <w:tcMar>
              <w:top w:w="0" w:type="dxa"/>
              <w:left w:w="108" w:type="dxa"/>
              <w:bottom w:w="0" w:type="dxa"/>
              <w:right w:w="108" w:type="dxa"/>
            </w:tcMar>
            <w:vAlign w:val="bottom"/>
          </w:tcPr>
          <w:p w14:paraId="77477D39" w14:textId="77777777" w:rsidR="00A76ADB" w:rsidRPr="00246F01" w:rsidRDefault="00A76ADB" w:rsidP="007E3239">
            <w:pPr>
              <w:pStyle w:val="TableText"/>
              <w:spacing w:before="50" w:after="50"/>
              <w:jc w:val="center"/>
            </w:pPr>
            <w:r w:rsidRPr="00246F01">
              <w:t>61.6</w:t>
            </w:r>
          </w:p>
        </w:tc>
        <w:tc>
          <w:tcPr>
            <w:tcW w:w="0" w:type="auto"/>
            <w:shd w:val="clear" w:color="auto" w:fill="FFFFFF"/>
            <w:tcMar>
              <w:top w:w="0" w:type="dxa"/>
              <w:left w:w="108" w:type="dxa"/>
              <w:bottom w:w="0" w:type="dxa"/>
              <w:right w:w="108" w:type="dxa"/>
            </w:tcMar>
            <w:vAlign w:val="bottom"/>
          </w:tcPr>
          <w:p w14:paraId="0C9BFB8E" w14:textId="77777777" w:rsidR="00A76ADB" w:rsidRPr="00246F01" w:rsidRDefault="00A76ADB" w:rsidP="007E3239">
            <w:pPr>
              <w:pStyle w:val="TableText"/>
              <w:spacing w:before="50" w:after="50"/>
              <w:jc w:val="center"/>
            </w:pPr>
            <w:r w:rsidRPr="00246F01">
              <w:t>1,270.1</w:t>
            </w:r>
          </w:p>
        </w:tc>
      </w:tr>
      <w:tr w:rsidR="00A76ADB" w14:paraId="2BD3BCD5" w14:textId="77777777" w:rsidTr="00F16598">
        <w:trPr>
          <w:cantSplit/>
          <w:trHeight w:val="283"/>
        </w:trPr>
        <w:tc>
          <w:tcPr>
            <w:tcW w:w="0" w:type="auto"/>
            <w:shd w:val="clear" w:color="auto" w:fill="FFFFFF"/>
            <w:tcMar>
              <w:top w:w="0" w:type="dxa"/>
              <w:left w:w="108" w:type="dxa"/>
              <w:bottom w:w="0" w:type="dxa"/>
              <w:right w:w="108" w:type="dxa"/>
            </w:tcMar>
            <w:vAlign w:val="center"/>
          </w:tcPr>
          <w:p w14:paraId="57422488" w14:textId="77777777" w:rsidR="00A76ADB" w:rsidRDefault="00A76ADB" w:rsidP="007E3239">
            <w:pPr>
              <w:pStyle w:val="TableText"/>
              <w:spacing w:before="50" w:after="50"/>
            </w:pPr>
            <w:r>
              <w:rPr>
                <w:rFonts w:eastAsia="Calibri"/>
              </w:rPr>
              <w:t>1972</w:t>
            </w:r>
          </w:p>
        </w:tc>
        <w:tc>
          <w:tcPr>
            <w:tcW w:w="0" w:type="auto"/>
            <w:shd w:val="clear" w:color="auto" w:fill="FFFFFF"/>
            <w:tcMar>
              <w:top w:w="0" w:type="dxa"/>
              <w:left w:w="108" w:type="dxa"/>
              <w:bottom w:w="0" w:type="dxa"/>
              <w:right w:w="108" w:type="dxa"/>
            </w:tcMar>
            <w:vAlign w:val="bottom"/>
          </w:tcPr>
          <w:p w14:paraId="1F8065BA" w14:textId="77777777" w:rsidR="00A76ADB" w:rsidRPr="00246F01" w:rsidRDefault="00A76ADB" w:rsidP="007E3239">
            <w:pPr>
              <w:pStyle w:val="TableText"/>
              <w:spacing w:before="50" w:after="50"/>
              <w:jc w:val="center"/>
            </w:pPr>
            <w:r w:rsidRPr="00246F01">
              <w:t>672.5</w:t>
            </w:r>
          </w:p>
        </w:tc>
        <w:tc>
          <w:tcPr>
            <w:tcW w:w="0" w:type="auto"/>
            <w:shd w:val="clear" w:color="auto" w:fill="FFFFFF"/>
            <w:tcMar>
              <w:top w:w="0" w:type="dxa"/>
              <w:left w:w="108" w:type="dxa"/>
              <w:bottom w:w="0" w:type="dxa"/>
              <w:right w:w="108" w:type="dxa"/>
            </w:tcMar>
            <w:vAlign w:val="bottom"/>
          </w:tcPr>
          <w:p w14:paraId="1BCB4EC3" w14:textId="77777777" w:rsidR="00A76ADB" w:rsidRPr="00246F01" w:rsidRDefault="00A76ADB" w:rsidP="007E3239">
            <w:pPr>
              <w:pStyle w:val="TableText"/>
              <w:spacing w:before="50" w:after="50"/>
              <w:jc w:val="center"/>
            </w:pPr>
            <w:r w:rsidRPr="00246F01">
              <w:t>746.9</w:t>
            </w:r>
          </w:p>
        </w:tc>
        <w:tc>
          <w:tcPr>
            <w:tcW w:w="0" w:type="auto"/>
            <w:shd w:val="clear" w:color="auto" w:fill="FFFFFF"/>
            <w:tcMar>
              <w:top w:w="0" w:type="dxa"/>
              <w:left w:w="108" w:type="dxa"/>
              <w:bottom w:w="0" w:type="dxa"/>
              <w:right w:w="108" w:type="dxa"/>
            </w:tcMar>
            <w:vAlign w:val="bottom"/>
          </w:tcPr>
          <w:p w14:paraId="61995F89" w14:textId="77777777" w:rsidR="00A76ADB" w:rsidRPr="00246F01" w:rsidRDefault="00A76ADB" w:rsidP="007E3239">
            <w:pPr>
              <w:pStyle w:val="TableText"/>
              <w:spacing w:before="50" w:after="50"/>
              <w:jc w:val="center"/>
            </w:pPr>
            <w:r w:rsidRPr="00246F01">
              <w:t>83.0</w:t>
            </w:r>
          </w:p>
        </w:tc>
        <w:tc>
          <w:tcPr>
            <w:tcW w:w="0" w:type="auto"/>
            <w:shd w:val="clear" w:color="auto" w:fill="FFFFFF"/>
            <w:tcMar>
              <w:top w:w="0" w:type="dxa"/>
              <w:left w:w="108" w:type="dxa"/>
              <w:bottom w:w="0" w:type="dxa"/>
              <w:right w:w="108" w:type="dxa"/>
            </w:tcMar>
            <w:vAlign w:val="bottom"/>
          </w:tcPr>
          <w:p w14:paraId="53F2FCA9" w14:textId="77777777" w:rsidR="00A76ADB" w:rsidRPr="00246F01" w:rsidRDefault="00A76ADB" w:rsidP="007E3239">
            <w:pPr>
              <w:pStyle w:val="TableText"/>
              <w:spacing w:before="50" w:after="50"/>
              <w:jc w:val="center"/>
            </w:pPr>
            <w:r w:rsidRPr="00246F01">
              <w:t>1,502.5</w:t>
            </w:r>
          </w:p>
        </w:tc>
      </w:tr>
      <w:tr w:rsidR="00A76ADB" w14:paraId="1D5D36B9" w14:textId="77777777" w:rsidTr="00F16598">
        <w:trPr>
          <w:cantSplit/>
          <w:trHeight w:val="283"/>
        </w:trPr>
        <w:tc>
          <w:tcPr>
            <w:tcW w:w="0" w:type="auto"/>
            <w:shd w:val="clear" w:color="auto" w:fill="FFFFFF"/>
            <w:tcMar>
              <w:top w:w="0" w:type="dxa"/>
              <w:left w:w="108" w:type="dxa"/>
              <w:bottom w:w="0" w:type="dxa"/>
              <w:right w:w="108" w:type="dxa"/>
            </w:tcMar>
            <w:vAlign w:val="center"/>
          </w:tcPr>
          <w:p w14:paraId="74FFFE42" w14:textId="77777777" w:rsidR="00A76ADB" w:rsidRDefault="00A76ADB" w:rsidP="007E3239">
            <w:pPr>
              <w:pStyle w:val="TableText"/>
              <w:spacing w:before="50" w:after="50"/>
            </w:pPr>
            <w:r>
              <w:rPr>
                <w:rFonts w:eastAsia="Calibri"/>
              </w:rPr>
              <w:t>1973</w:t>
            </w:r>
          </w:p>
        </w:tc>
        <w:tc>
          <w:tcPr>
            <w:tcW w:w="0" w:type="auto"/>
            <w:shd w:val="clear" w:color="auto" w:fill="FFFFFF"/>
            <w:tcMar>
              <w:top w:w="0" w:type="dxa"/>
              <w:left w:w="108" w:type="dxa"/>
              <w:bottom w:w="0" w:type="dxa"/>
              <w:right w:w="108" w:type="dxa"/>
            </w:tcMar>
            <w:vAlign w:val="bottom"/>
          </w:tcPr>
          <w:p w14:paraId="1BCA23BD" w14:textId="77777777" w:rsidR="00A76ADB" w:rsidRPr="00246F01" w:rsidRDefault="00A76ADB" w:rsidP="007E3239">
            <w:pPr>
              <w:pStyle w:val="TableText"/>
              <w:spacing w:before="50" w:after="50"/>
              <w:jc w:val="center"/>
            </w:pPr>
            <w:r w:rsidRPr="00246F01">
              <w:t>672.5</w:t>
            </w:r>
          </w:p>
        </w:tc>
        <w:tc>
          <w:tcPr>
            <w:tcW w:w="0" w:type="auto"/>
            <w:shd w:val="clear" w:color="auto" w:fill="FFFFFF"/>
            <w:tcMar>
              <w:top w:w="0" w:type="dxa"/>
              <w:left w:w="108" w:type="dxa"/>
              <w:bottom w:w="0" w:type="dxa"/>
              <w:right w:w="108" w:type="dxa"/>
            </w:tcMar>
            <w:vAlign w:val="bottom"/>
          </w:tcPr>
          <w:p w14:paraId="34C9C395" w14:textId="77777777" w:rsidR="00A76ADB" w:rsidRPr="00246F01" w:rsidRDefault="00A76ADB" w:rsidP="007E3239">
            <w:pPr>
              <w:pStyle w:val="TableText"/>
              <w:spacing w:before="50" w:after="50"/>
              <w:jc w:val="center"/>
            </w:pPr>
            <w:r w:rsidRPr="00246F01">
              <w:t>889.1</w:t>
            </w:r>
          </w:p>
        </w:tc>
        <w:tc>
          <w:tcPr>
            <w:tcW w:w="0" w:type="auto"/>
            <w:shd w:val="clear" w:color="auto" w:fill="FFFFFF"/>
            <w:tcMar>
              <w:top w:w="0" w:type="dxa"/>
              <w:left w:w="108" w:type="dxa"/>
              <w:bottom w:w="0" w:type="dxa"/>
              <w:right w:w="108" w:type="dxa"/>
            </w:tcMar>
            <w:vAlign w:val="bottom"/>
          </w:tcPr>
          <w:p w14:paraId="3B60EE44" w14:textId="77777777" w:rsidR="00A76ADB" w:rsidRPr="00246F01" w:rsidRDefault="00A76ADB" w:rsidP="007E3239">
            <w:pPr>
              <w:pStyle w:val="TableText"/>
              <w:spacing w:before="50" w:after="50"/>
              <w:jc w:val="center"/>
            </w:pPr>
            <w:r w:rsidRPr="00246F01">
              <w:t>98.8</w:t>
            </w:r>
          </w:p>
        </w:tc>
        <w:tc>
          <w:tcPr>
            <w:tcW w:w="0" w:type="auto"/>
            <w:shd w:val="clear" w:color="auto" w:fill="FFFFFF"/>
            <w:tcMar>
              <w:top w:w="0" w:type="dxa"/>
              <w:left w:w="108" w:type="dxa"/>
              <w:bottom w:w="0" w:type="dxa"/>
              <w:right w:w="108" w:type="dxa"/>
            </w:tcMar>
            <w:vAlign w:val="bottom"/>
          </w:tcPr>
          <w:p w14:paraId="10A176F4" w14:textId="77777777" w:rsidR="00A76ADB" w:rsidRPr="00246F01" w:rsidRDefault="00A76ADB" w:rsidP="007E3239">
            <w:pPr>
              <w:pStyle w:val="TableText"/>
              <w:spacing w:before="50" w:after="50"/>
              <w:jc w:val="center"/>
            </w:pPr>
            <w:r w:rsidRPr="00246F01">
              <w:t>1,660.4</w:t>
            </w:r>
          </w:p>
        </w:tc>
      </w:tr>
      <w:tr w:rsidR="00A76ADB" w14:paraId="0E8427A7" w14:textId="77777777" w:rsidTr="00F16598">
        <w:trPr>
          <w:cantSplit/>
          <w:trHeight w:val="283"/>
        </w:trPr>
        <w:tc>
          <w:tcPr>
            <w:tcW w:w="0" w:type="auto"/>
            <w:shd w:val="clear" w:color="auto" w:fill="FFFFFF"/>
            <w:tcMar>
              <w:top w:w="0" w:type="dxa"/>
              <w:left w:w="108" w:type="dxa"/>
              <w:bottom w:w="0" w:type="dxa"/>
              <w:right w:w="108" w:type="dxa"/>
            </w:tcMar>
            <w:vAlign w:val="center"/>
          </w:tcPr>
          <w:p w14:paraId="1C092702" w14:textId="77777777" w:rsidR="00A76ADB" w:rsidRDefault="00A76ADB" w:rsidP="007E3239">
            <w:pPr>
              <w:pStyle w:val="TableText"/>
              <w:spacing w:before="50" w:after="50"/>
            </w:pPr>
            <w:r>
              <w:rPr>
                <w:rFonts w:eastAsia="Calibri"/>
              </w:rPr>
              <w:t>1974</w:t>
            </w:r>
          </w:p>
        </w:tc>
        <w:tc>
          <w:tcPr>
            <w:tcW w:w="0" w:type="auto"/>
            <w:shd w:val="clear" w:color="auto" w:fill="FFFFFF"/>
            <w:tcMar>
              <w:top w:w="0" w:type="dxa"/>
              <w:left w:w="108" w:type="dxa"/>
              <w:bottom w:w="0" w:type="dxa"/>
              <w:right w:w="108" w:type="dxa"/>
            </w:tcMar>
            <w:vAlign w:val="bottom"/>
          </w:tcPr>
          <w:p w14:paraId="262A3C5D" w14:textId="77777777" w:rsidR="00A76ADB" w:rsidRPr="00246F01" w:rsidRDefault="00A76ADB" w:rsidP="007E3239">
            <w:pPr>
              <w:pStyle w:val="TableText"/>
              <w:spacing w:before="50" w:after="50"/>
              <w:jc w:val="center"/>
            </w:pPr>
            <w:r w:rsidRPr="00246F01">
              <w:t>844.5</w:t>
            </w:r>
          </w:p>
        </w:tc>
        <w:tc>
          <w:tcPr>
            <w:tcW w:w="0" w:type="auto"/>
            <w:shd w:val="clear" w:color="auto" w:fill="FFFFFF"/>
            <w:tcMar>
              <w:top w:w="0" w:type="dxa"/>
              <w:left w:w="108" w:type="dxa"/>
              <w:bottom w:w="0" w:type="dxa"/>
              <w:right w:w="108" w:type="dxa"/>
            </w:tcMar>
            <w:vAlign w:val="bottom"/>
          </w:tcPr>
          <w:p w14:paraId="3D5A7DF3" w14:textId="77777777" w:rsidR="00A76ADB" w:rsidRPr="00246F01" w:rsidRDefault="00A76ADB" w:rsidP="007E3239">
            <w:pPr>
              <w:pStyle w:val="TableText"/>
              <w:spacing w:before="50" w:after="50"/>
              <w:jc w:val="center"/>
            </w:pPr>
            <w:r w:rsidRPr="00246F01">
              <w:t>839.4</w:t>
            </w:r>
          </w:p>
        </w:tc>
        <w:tc>
          <w:tcPr>
            <w:tcW w:w="0" w:type="auto"/>
            <w:shd w:val="clear" w:color="auto" w:fill="FFFFFF"/>
            <w:tcMar>
              <w:top w:w="0" w:type="dxa"/>
              <w:left w:w="108" w:type="dxa"/>
              <w:bottom w:w="0" w:type="dxa"/>
              <w:right w:w="108" w:type="dxa"/>
            </w:tcMar>
            <w:vAlign w:val="bottom"/>
          </w:tcPr>
          <w:p w14:paraId="539E95AA" w14:textId="77777777" w:rsidR="00A76ADB" w:rsidRPr="00246F01" w:rsidRDefault="00A76ADB" w:rsidP="007E3239">
            <w:pPr>
              <w:pStyle w:val="TableText"/>
              <w:spacing w:before="50" w:after="50"/>
              <w:jc w:val="center"/>
            </w:pPr>
            <w:r w:rsidRPr="00246F01">
              <w:t>93.3</w:t>
            </w:r>
          </w:p>
        </w:tc>
        <w:tc>
          <w:tcPr>
            <w:tcW w:w="0" w:type="auto"/>
            <w:shd w:val="clear" w:color="auto" w:fill="FFFFFF"/>
            <w:tcMar>
              <w:top w:w="0" w:type="dxa"/>
              <w:left w:w="108" w:type="dxa"/>
              <w:bottom w:w="0" w:type="dxa"/>
              <w:right w:w="108" w:type="dxa"/>
            </w:tcMar>
            <w:vAlign w:val="bottom"/>
          </w:tcPr>
          <w:p w14:paraId="05E0720E" w14:textId="77777777" w:rsidR="00A76ADB" w:rsidRPr="00246F01" w:rsidRDefault="00A76ADB" w:rsidP="007E3239">
            <w:pPr>
              <w:pStyle w:val="TableText"/>
              <w:spacing w:before="50" w:after="50"/>
              <w:jc w:val="center"/>
            </w:pPr>
            <w:r w:rsidRPr="00246F01">
              <w:t>1,777.1</w:t>
            </w:r>
          </w:p>
        </w:tc>
      </w:tr>
      <w:tr w:rsidR="00A76ADB" w14:paraId="75589DF9" w14:textId="77777777" w:rsidTr="00F16598">
        <w:trPr>
          <w:cantSplit/>
          <w:trHeight w:val="283"/>
        </w:trPr>
        <w:tc>
          <w:tcPr>
            <w:tcW w:w="0" w:type="auto"/>
            <w:shd w:val="clear" w:color="auto" w:fill="FFFFFF"/>
            <w:tcMar>
              <w:top w:w="0" w:type="dxa"/>
              <w:left w:w="108" w:type="dxa"/>
              <w:bottom w:w="0" w:type="dxa"/>
              <w:right w:w="108" w:type="dxa"/>
            </w:tcMar>
            <w:vAlign w:val="center"/>
          </w:tcPr>
          <w:p w14:paraId="7EF1FDB7" w14:textId="77777777" w:rsidR="00A76ADB" w:rsidRDefault="00A76ADB" w:rsidP="007E3239">
            <w:pPr>
              <w:pStyle w:val="TableText"/>
              <w:spacing w:before="50" w:after="50"/>
            </w:pPr>
            <w:r>
              <w:rPr>
                <w:rFonts w:eastAsia="Calibri"/>
              </w:rPr>
              <w:t>1975</w:t>
            </w:r>
          </w:p>
        </w:tc>
        <w:tc>
          <w:tcPr>
            <w:tcW w:w="0" w:type="auto"/>
            <w:shd w:val="clear" w:color="auto" w:fill="FFFFFF"/>
            <w:tcMar>
              <w:top w:w="0" w:type="dxa"/>
              <w:left w:w="108" w:type="dxa"/>
              <w:bottom w:w="0" w:type="dxa"/>
              <w:right w:w="108" w:type="dxa"/>
            </w:tcMar>
            <w:vAlign w:val="bottom"/>
          </w:tcPr>
          <w:p w14:paraId="249F63B2" w14:textId="77777777" w:rsidR="00A76ADB" w:rsidRPr="00246F01" w:rsidRDefault="00A76ADB" w:rsidP="007E3239">
            <w:pPr>
              <w:pStyle w:val="TableText"/>
              <w:spacing w:before="50" w:after="50"/>
              <w:jc w:val="center"/>
            </w:pPr>
            <w:r w:rsidRPr="00246F01">
              <w:t>844.5</w:t>
            </w:r>
          </w:p>
        </w:tc>
        <w:tc>
          <w:tcPr>
            <w:tcW w:w="0" w:type="auto"/>
            <w:shd w:val="clear" w:color="auto" w:fill="FFFFFF"/>
            <w:tcMar>
              <w:top w:w="0" w:type="dxa"/>
              <w:left w:w="108" w:type="dxa"/>
              <w:bottom w:w="0" w:type="dxa"/>
              <w:right w:w="108" w:type="dxa"/>
            </w:tcMar>
            <w:vAlign w:val="bottom"/>
          </w:tcPr>
          <w:p w14:paraId="11C07437" w14:textId="77777777" w:rsidR="00A76ADB" w:rsidRPr="00246F01" w:rsidRDefault="00A76ADB" w:rsidP="007E3239">
            <w:pPr>
              <w:pStyle w:val="TableText"/>
              <w:spacing w:before="50" w:after="50"/>
              <w:jc w:val="center"/>
            </w:pPr>
            <w:r w:rsidRPr="00246F01">
              <w:t>736.6</w:t>
            </w:r>
          </w:p>
        </w:tc>
        <w:tc>
          <w:tcPr>
            <w:tcW w:w="0" w:type="auto"/>
            <w:shd w:val="clear" w:color="auto" w:fill="FFFFFF"/>
            <w:tcMar>
              <w:top w:w="0" w:type="dxa"/>
              <w:left w:w="108" w:type="dxa"/>
              <w:bottom w:w="0" w:type="dxa"/>
              <w:right w:w="108" w:type="dxa"/>
            </w:tcMar>
            <w:vAlign w:val="bottom"/>
          </w:tcPr>
          <w:p w14:paraId="1F371F93" w14:textId="77777777" w:rsidR="00A76ADB" w:rsidRPr="00246F01" w:rsidRDefault="00A76ADB" w:rsidP="007E3239">
            <w:pPr>
              <w:pStyle w:val="TableText"/>
              <w:spacing w:before="50" w:after="50"/>
              <w:jc w:val="center"/>
            </w:pPr>
            <w:r w:rsidRPr="00246F01">
              <w:t>81.8</w:t>
            </w:r>
          </w:p>
        </w:tc>
        <w:tc>
          <w:tcPr>
            <w:tcW w:w="0" w:type="auto"/>
            <w:shd w:val="clear" w:color="auto" w:fill="FFFFFF"/>
            <w:tcMar>
              <w:top w:w="0" w:type="dxa"/>
              <w:left w:w="108" w:type="dxa"/>
              <w:bottom w:w="0" w:type="dxa"/>
              <w:right w:w="108" w:type="dxa"/>
            </w:tcMar>
            <w:vAlign w:val="bottom"/>
          </w:tcPr>
          <w:p w14:paraId="20C309B8" w14:textId="77777777" w:rsidR="00A76ADB" w:rsidRPr="00246F01" w:rsidRDefault="00A76ADB" w:rsidP="007E3239">
            <w:pPr>
              <w:pStyle w:val="TableText"/>
              <w:spacing w:before="50" w:after="50"/>
              <w:jc w:val="center"/>
            </w:pPr>
            <w:r w:rsidRPr="00246F01">
              <w:t>1,662.9</w:t>
            </w:r>
          </w:p>
        </w:tc>
      </w:tr>
      <w:tr w:rsidR="00A76ADB" w14:paraId="0A150116" w14:textId="77777777" w:rsidTr="00F16598">
        <w:trPr>
          <w:cantSplit/>
          <w:trHeight w:val="283"/>
        </w:trPr>
        <w:tc>
          <w:tcPr>
            <w:tcW w:w="0" w:type="auto"/>
            <w:shd w:val="clear" w:color="auto" w:fill="FFFFFF"/>
            <w:tcMar>
              <w:top w:w="0" w:type="dxa"/>
              <w:left w:w="108" w:type="dxa"/>
              <w:bottom w:w="0" w:type="dxa"/>
              <w:right w:w="108" w:type="dxa"/>
            </w:tcMar>
            <w:vAlign w:val="center"/>
          </w:tcPr>
          <w:p w14:paraId="63B15A42" w14:textId="77777777" w:rsidR="00A76ADB" w:rsidRDefault="00A76ADB" w:rsidP="007E3239">
            <w:pPr>
              <w:pStyle w:val="TableText"/>
              <w:spacing w:before="50" w:after="50"/>
            </w:pPr>
            <w:r>
              <w:rPr>
                <w:rFonts w:eastAsia="Calibri"/>
              </w:rPr>
              <w:t>1976</w:t>
            </w:r>
          </w:p>
        </w:tc>
        <w:tc>
          <w:tcPr>
            <w:tcW w:w="0" w:type="auto"/>
            <w:shd w:val="clear" w:color="auto" w:fill="FFFFFF"/>
            <w:tcMar>
              <w:top w:w="0" w:type="dxa"/>
              <w:left w:w="108" w:type="dxa"/>
              <w:bottom w:w="0" w:type="dxa"/>
              <w:right w:w="108" w:type="dxa"/>
            </w:tcMar>
            <w:vAlign w:val="bottom"/>
          </w:tcPr>
          <w:p w14:paraId="25E0791C" w14:textId="77777777" w:rsidR="00A76ADB" w:rsidRPr="00246F01" w:rsidRDefault="00A76ADB" w:rsidP="007E3239">
            <w:pPr>
              <w:pStyle w:val="TableText"/>
              <w:spacing w:before="50" w:after="50"/>
              <w:jc w:val="center"/>
            </w:pPr>
            <w:r w:rsidRPr="00246F01">
              <w:t>984.9</w:t>
            </w:r>
          </w:p>
        </w:tc>
        <w:tc>
          <w:tcPr>
            <w:tcW w:w="0" w:type="auto"/>
            <w:shd w:val="clear" w:color="auto" w:fill="FFFFFF"/>
            <w:tcMar>
              <w:top w:w="0" w:type="dxa"/>
              <w:left w:w="108" w:type="dxa"/>
              <w:bottom w:w="0" w:type="dxa"/>
              <w:right w:w="108" w:type="dxa"/>
            </w:tcMar>
            <w:vAlign w:val="bottom"/>
          </w:tcPr>
          <w:p w14:paraId="2F92E690" w14:textId="77777777" w:rsidR="00A76ADB" w:rsidRPr="00246F01" w:rsidRDefault="00A76ADB" w:rsidP="007E3239">
            <w:pPr>
              <w:pStyle w:val="TableText"/>
              <w:spacing w:before="50" w:after="50"/>
              <w:jc w:val="center"/>
            </w:pPr>
            <w:r w:rsidRPr="00246F01">
              <w:t>578.2</w:t>
            </w:r>
          </w:p>
        </w:tc>
        <w:tc>
          <w:tcPr>
            <w:tcW w:w="0" w:type="auto"/>
            <w:shd w:val="clear" w:color="auto" w:fill="FFFFFF"/>
            <w:tcMar>
              <w:top w:w="0" w:type="dxa"/>
              <w:left w:w="108" w:type="dxa"/>
              <w:bottom w:w="0" w:type="dxa"/>
              <w:right w:w="108" w:type="dxa"/>
            </w:tcMar>
            <w:vAlign w:val="bottom"/>
          </w:tcPr>
          <w:p w14:paraId="31A3EF6A" w14:textId="77777777" w:rsidR="00A76ADB" w:rsidRPr="00246F01" w:rsidRDefault="00A76ADB" w:rsidP="007E3239">
            <w:pPr>
              <w:pStyle w:val="TableText"/>
              <w:spacing w:before="50" w:after="50"/>
              <w:jc w:val="center"/>
            </w:pPr>
            <w:r w:rsidRPr="00246F01">
              <w:t>64.2</w:t>
            </w:r>
          </w:p>
        </w:tc>
        <w:tc>
          <w:tcPr>
            <w:tcW w:w="0" w:type="auto"/>
            <w:shd w:val="clear" w:color="auto" w:fill="FFFFFF"/>
            <w:tcMar>
              <w:top w:w="0" w:type="dxa"/>
              <w:left w:w="108" w:type="dxa"/>
              <w:bottom w:w="0" w:type="dxa"/>
              <w:right w:w="108" w:type="dxa"/>
            </w:tcMar>
            <w:vAlign w:val="bottom"/>
          </w:tcPr>
          <w:p w14:paraId="79248BD2" w14:textId="77777777" w:rsidR="00A76ADB" w:rsidRPr="00246F01" w:rsidRDefault="00A76ADB" w:rsidP="007E3239">
            <w:pPr>
              <w:pStyle w:val="TableText"/>
              <w:spacing w:before="50" w:after="50"/>
              <w:jc w:val="center"/>
            </w:pPr>
            <w:r w:rsidRPr="00246F01">
              <w:t>1,627.4</w:t>
            </w:r>
          </w:p>
        </w:tc>
      </w:tr>
      <w:tr w:rsidR="00A76ADB" w14:paraId="6E78541E" w14:textId="77777777" w:rsidTr="00F16598">
        <w:trPr>
          <w:cantSplit/>
          <w:trHeight w:val="283"/>
        </w:trPr>
        <w:tc>
          <w:tcPr>
            <w:tcW w:w="0" w:type="auto"/>
            <w:shd w:val="clear" w:color="auto" w:fill="FFFFFF"/>
            <w:tcMar>
              <w:top w:w="0" w:type="dxa"/>
              <w:left w:w="108" w:type="dxa"/>
              <w:bottom w:w="0" w:type="dxa"/>
              <w:right w:w="108" w:type="dxa"/>
            </w:tcMar>
            <w:vAlign w:val="center"/>
          </w:tcPr>
          <w:p w14:paraId="62D75DF7" w14:textId="77777777" w:rsidR="00A76ADB" w:rsidRDefault="00A76ADB" w:rsidP="007E3239">
            <w:pPr>
              <w:pStyle w:val="TableText"/>
              <w:spacing w:before="50" w:after="50"/>
            </w:pPr>
            <w:r>
              <w:rPr>
                <w:rFonts w:eastAsia="Calibri"/>
              </w:rPr>
              <w:t>1977</w:t>
            </w:r>
          </w:p>
        </w:tc>
        <w:tc>
          <w:tcPr>
            <w:tcW w:w="0" w:type="auto"/>
            <w:shd w:val="clear" w:color="auto" w:fill="FFFFFF"/>
            <w:tcMar>
              <w:top w:w="0" w:type="dxa"/>
              <w:left w:w="108" w:type="dxa"/>
              <w:bottom w:w="0" w:type="dxa"/>
              <w:right w:w="108" w:type="dxa"/>
            </w:tcMar>
            <w:vAlign w:val="bottom"/>
          </w:tcPr>
          <w:p w14:paraId="7B3CB6AD" w14:textId="77777777" w:rsidR="00A76ADB" w:rsidRPr="00246F01" w:rsidRDefault="00A76ADB" w:rsidP="007E3239">
            <w:pPr>
              <w:pStyle w:val="TableText"/>
              <w:spacing w:before="50" w:after="50"/>
              <w:jc w:val="center"/>
            </w:pPr>
            <w:r w:rsidRPr="00246F01">
              <w:t>984.9</w:t>
            </w:r>
          </w:p>
        </w:tc>
        <w:tc>
          <w:tcPr>
            <w:tcW w:w="0" w:type="auto"/>
            <w:shd w:val="clear" w:color="auto" w:fill="FFFFFF"/>
            <w:tcMar>
              <w:top w:w="0" w:type="dxa"/>
              <w:left w:w="108" w:type="dxa"/>
              <w:bottom w:w="0" w:type="dxa"/>
              <w:right w:w="108" w:type="dxa"/>
            </w:tcMar>
            <w:vAlign w:val="bottom"/>
          </w:tcPr>
          <w:p w14:paraId="633904E7" w14:textId="77777777" w:rsidR="00A76ADB" w:rsidRPr="00246F01" w:rsidRDefault="00A76ADB" w:rsidP="007E3239">
            <w:pPr>
              <w:pStyle w:val="TableText"/>
              <w:spacing w:before="50" w:after="50"/>
              <w:jc w:val="center"/>
            </w:pPr>
            <w:r w:rsidRPr="00246F01">
              <w:t>713.0</w:t>
            </w:r>
          </w:p>
        </w:tc>
        <w:tc>
          <w:tcPr>
            <w:tcW w:w="0" w:type="auto"/>
            <w:shd w:val="clear" w:color="auto" w:fill="FFFFFF"/>
            <w:tcMar>
              <w:top w:w="0" w:type="dxa"/>
              <w:left w:w="108" w:type="dxa"/>
              <w:bottom w:w="0" w:type="dxa"/>
              <w:right w:w="108" w:type="dxa"/>
            </w:tcMar>
            <w:vAlign w:val="bottom"/>
          </w:tcPr>
          <w:p w14:paraId="1D7E0E14" w14:textId="77777777" w:rsidR="00A76ADB" w:rsidRPr="00246F01" w:rsidRDefault="00A76ADB" w:rsidP="007E3239">
            <w:pPr>
              <w:pStyle w:val="TableText"/>
              <w:spacing w:before="50" w:after="50"/>
              <w:jc w:val="center"/>
            </w:pPr>
            <w:r w:rsidRPr="00246F01">
              <w:t>79.2</w:t>
            </w:r>
          </w:p>
        </w:tc>
        <w:tc>
          <w:tcPr>
            <w:tcW w:w="0" w:type="auto"/>
            <w:shd w:val="clear" w:color="auto" w:fill="FFFFFF"/>
            <w:tcMar>
              <w:top w:w="0" w:type="dxa"/>
              <w:left w:w="108" w:type="dxa"/>
              <w:bottom w:w="0" w:type="dxa"/>
              <w:right w:w="108" w:type="dxa"/>
            </w:tcMar>
            <w:vAlign w:val="bottom"/>
          </w:tcPr>
          <w:p w14:paraId="07EEC7EC" w14:textId="77777777" w:rsidR="00A76ADB" w:rsidRPr="00246F01" w:rsidRDefault="00A76ADB" w:rsidP="007E3239">
            <w:pPr>
              <w:pStyle w:val="TableText"/>
              <w:spacing w:before="50" w:after="50"/>
              <w:jc w:val="center"/>
            </w:pPr>
            <w:r w:rsidRPr="00246F01">
              <w:t>1,777.2</w:t>
            </w:r>
          </w:p>
        </w:tc>
      </w:tr>
      <w:tr w:rsidR="00A76ADB" w14:paraId="510E8794" w14:textId="77777777" w:rsidTr="00F16598">
        <w:trPr>
          <w:cantSplit/>
          <w:trHeight w:val="283"/>
        </w:trPr>
        <w:tc>
          <w:tcPr>
            <w:tcW w:w="0" w:type="auto"/>
            <w:shd w:val="clear" w:color="auto" w:fill="FFFFFF"/>
            <w:tcMar>
              <w:top w:w="0" w:type="dxa"/>
              <w:left w:w="108" w:type="dxa"/>
              <w:bottom w:w="0" w:type="dxa"/>
              <w:right w:w="108" w:type="dxa"/>
            </w:tcMar>
            <w:vAlign w:val="center"/>
          </w:tcPr>
          <w:p w14:paraId="193FE342" w14:textId="77777777" w:rsidR="00A76ADB" w:rsidRDefault="00A76ADB" w:rsidP="007E3239">
            <w:pPr>
              <w:pStyle w:val="TableText"/>
              <w:spacing w:before="50" w:after="50"/>
            </w:pPr>
            <w:r>
              <w:rPr>
                <w:rFonts w:eastAsia="Calibri"/>
              </w:rPr>
              <w:t>1978</w:t>
            </w:r>
          </w:p>
        </w:tc>
        <w:tc>
          <w:tcPr>
            <w:tcW w:w="0" w:type="auto"/>
            <w:shd w:val="clear" w:color="auto" w:fill="FFFFFF"/>
            <w:tcMar>
              <w:top w:w="0" w:type="dxa"/>
              <w:left w:w="108" w:type="dxa"/>
              <w:bottom w:w="0" w:type="dxa"/>
              <w:right w:w="108" w:type="dxa"/>
            </w:tcMar>
            <w:vAlign w:val="bottom"/>
          </w:tcPr>
          <w:p w14:paraId="42FE253B" w14:textId="77777777" w:rsidR="00A76ADB" w:rsidRPr="00246F01" w:rsidRDefault="00A76ADB" w:rsidP="007E3239">
            <w:pPr>
              <w:pStyle w:val="TableText"/>
              <w:spacing w:before="50" w:after="50"/>
              <w:jc w:val="center"/>
            </w:pPr>
            <w:r w:rsidRPr="00246F01">
              <w:t>984.9</w:t>
            </w:r>
          </w:p>
        </w:tc>
        <w:tc>
          <w:tcPr>
            <w:tcW w:w="0" w:type="auto"/>
            <w:shd w:val="clear" w:color="auto" w:fill="FFFFFF"/>
            <w:tcMar>
              <w:top w:w="0" w:type="dxa"/>
              <w:left w:w="108" w:type="dxa"/>
              <w:bottom w:w="0" w:type="dxa"/>
              <w:right w:w="108" w:type="dxa"/>
            </w:tcMar>
            <w:vAlign w:val="bottom"/>
          </w:tcPr>
          <w:p w14:paraId="2AE72280" w14:textId="77777777" w:rsidR="00A76ADB" w:rsidRPr="00246F01" w:rsidRDefault="00A76ADB" w:rsidP="007E3239">
            <w:pPr>
              <w:pStyle w:val="TableText"/>
              <w:spacing w:before="50" w:after="50"/>
              <w:jc w:val="center"/>
            </w:pPr>
            <w:r w:rsidRPr="00246F01">
              <w:t>588.6</w:t>
            </w:r>
          </w:p>
        </w:tc>
        <w:tc>
          <w:tcPr>
            <w:tcW w:w="0" w:type="auto"/>
            <w:shd w:val="clear" w:color="auto" w:fill="FFFFFF"/>
            <w:tcMar>
              <w:top w:w="0" w:type="dxa"/>
              <w:left w:w="108" w:type="dxa"/>
              <w:bottom w:w="0" w:type="dxa"/>
              <w:right w:w="108" w:type="dxa"/>
            </w:tcMar>
            <w:vAlign w:val="bottom"/>
          </w:tcPr>
          <w:p w14:paraId="002348B8" w14:textId="77777777" w:rsidR="00A76ADB" w:rsidRPr="00246F01" w:rsidRDefault="00A76ADB" w:rsidP="007E3239">
            <w:pPr>
              <w:pStyle w:val="TableText"/>
              <w:spacing w:before="50" w:after="50"/>
              <w:jc w:val="center"/>
            </w:pPr>
            <w:r w:rsidRPr="00246F01">
              <w:t>65.4</w:t>
            </w:r>
          </w:p>
        </w:tc>
        <w:tc>
          <w:tcPr>
            <w:tcW w:w="0" w:type="auto"/>
            <w:shd w:val="clear" w:color="auto" w:fill="FFFFFF"/>
            <w:tcMar>
              <w:top w:w="0" w:type="dxa"/>
              <w:left w:w="108" w:type="dxa"/>
              <w:bottom w:w="0" w:type="dxa"/>
              <w:right w:w="108" w:type="dxa"/>
            </w:tcMar>
            <w:vAlign w:val="bottom"/>
          </w:tcPr>
          <w:p w14:paraId="64A96181" w14:textId="77777777" w:rsidR="00A76ADB" w:rsidRPr="00246F01" w:rsidRDefault="00A76ADB" w:rsidP="007E3239">
            <w:pPr>
              <w:pStyle w:val="TableText"/>
              <w:spacing w:before="50" w:after="50"/>
              <w:jc w:val="center"/>
            </w:pPr>
            <w:r w:rsidRPr="00246F01">
              <w:t>1,639.0</w:t>
            </w:r>
          </w:p>
        </w:tc>
      </w:tr>
      <w:tr w:rsidR="00A76ADB" w14:paraId="591B3451" w14:textId="77777777" w:rsidTr="00F16598">
        <w:trPr>
          <w:cantSplit/>
          <w:trHeight w:val="283"/>
        </w:trPr>
        <w:tc>
          <w:tcPr>
            <w:tcW w:w="0" w:type="auto"/>
            <w:shd w:val="clear" w:color="auto" w:fill="FFFFFF"/>
            <w:tcMar>
              <w:top w:w="0" w:type="dxa"/>
              <w:left w:w="108" w:type="dxa"/>
              <w:bottom w:w="0" w:type="dxa"/>
              <w:right w:w="108" w:type="dxa"/>
            </w:tcMar>
            <w:vAlign w:val="center"/>
          </w:tcPr>
          <w:p w14:paraId="35740857" w14:textId="77777777" w:rsidR="00A76ADB" w:rsidRDefault="00A76ADB" w:rsidP="007E3239">
            <w:pPr>
              <w:pStyle w:val="TableText"/>
              <w:spacing w:before="50" w:after="50"/>
            </w:pPr>
            <w:r>
              <w:rPr>
                <w:rFonts w:eastAsia="Calibri"/>
              </w:rPr>
              <w:t>1979</w:t>
            </w:r>
          </w:p>
        </w:tc>
        <w:tc>
          <w:tcPr>
            <w:tcW w:w="0" w:type="auto"/>
            <w:shd w:val="clear" w:color="auto" w:fill="FFFFFF"/>
            <w:tcMar>
              <w:top w:w="0" w:type="dxa"/>
              <w:left w:w="108" w:type="dxa"/>
              <w:bottom w:w="0" w:type="dxa"/>
              <w:right w:w="108" w:type="dxa"/>
            </w:tcMar>
            <w:vAlign w:val="bottom"/>
          </w:tcPr>
          <w:p w14:paraId="3F70C7B3" w14:textId="77777777" w:rsidR="00A76ADB" w:rsidRPr="00246F01" w:rsidRDefault="00A76ADB" w:rsidP="007E3239">
            <w:pPr>
              <w:pStyle w:val="TableText"/>
              <w:spacing w:before="50" w:after="50"/>
              <w:jc w:val="center"/>
            </w:pPr>
            <w:r w:rsidRPr="00246F01">
              <w:t>984.9</w:t>
            </w:r>
          </w:p>
        </w:tc>
        <w:tc>
          <w:tcPr>
            <w:tcW w:w="0" w:type="auto"/>
            <w:shd w:val="clear" w:color="auto" w:fill="FFFFFF"/>
            <w:tcMar>
              <w:top w:w="0" w:type="dxa"/>
              <w:left w:w="108" w:type="dxa"/>
              <w:bottom w:w="0" w:type="dxa"/>
              <w:right w:w="108" w:type="dxa"/>
            </w:tcMar>
            <w:vAlign w:val="bottom"/>
          </w:tcPr>
          <w:p w14:paraId="64A9EC8D" w14:textId="77777777" w:rsidR="00A76ADB" w:rsidRPr="00246F01" w:rsidRDefault="00A76ADB" w:rsidP="007E3239">
            <w:pPr>
              <w:pStyle w:val="TableText"/>
              <w:spacing w:before="50" w:after="50"/>
              <w:jc w:val="center"/>
            </w:pPr>
            <w:r w:rsidRPr="00246F01">
              <w:t>581.8</w:t>
            </w:r>
          </w:p>
        </w:tc>
        <w:tc>
          <w:tcPr>
            <w:tcW w:w="0" w:type="auto"/>
            <w:shd w:val="clear" w:color="auto" w:fill="FFFFFF"/>
            <w:tcMar>
              <w:top w:w="0" w:type="dxa"/>
              <w:left w:w="108" w:type="dxa"/>
              <w:bottom w:w="0" w:type="dxa"/>
              <w:right w:w="108" w:type="dxa"/>
            </w:tcMar>
            <w:vAlign w:val="bottom"/>
          </w:tcPr>
          <w:p w14:paraId="65E4C4D9" w14:textId="77777777" w:rsidR="00A76ADB" w:rsidRPr="00246F01" w:rsidRDefault="00A76ADB" w:rsidP="007E3239">
            <w:pPr>
              <w:pStyle w:val="TableText"/>
              <w:spacing w:before="50" w:after="50"/>
              <w:jc w:val="center"/>
            </w:pPr>
            <w:r w:rsidRPr="00246F01">
              <w:t>64.6</w:t>
            </w:r>
          </w:p>
        </w:tc>
        <w:tc>
          <w:tcPr>
            <w:tcW w:w="0" w:type="auto"/>
            <w:shd w:val="clear" w:color="auto" w:fill="FFFFFF"/>
            <w:tcMar>
              <w:top w:w="0" w:type="dxa"/>
              <w:left w:w="108" w:type="dxa"/>
              <w:bottom w:w="0" w:type="dxa"/>
              <w:right w:w="108" w:type="dxa"/>
            </w:tcMar>
            <w:vAlign w:val="bottom"/>
          </w:tcPr>
          <w:p w14:paraId="14609AB1" w14:textId="77777777" w:rsidR="00A76ADB" w:rsidRPr="00246F01" w:rsidRDefault="00A76ADB" w:rsidP="007E3239">
            <w:pPr>
              <w:pStyle w:val="TableText"/>
              <w:spacing w:before="50" w:after="50"/>
              <w:jc w:val="center"/>
            </w:pPr>
            <w:r w:rsidRPr="00246F01">
              <w:t>1,631.4</w:t>
            </w:r>
          </w:p>
        </w:tc>
      </w:tr>
      <w:tr w:rsidR="00A76ADB" w14:paraId="181F0896" w14:textId="77777777" w:rsidTr="00F16598">
        <w:trPr>
          <w:cantSplit/>
          <w:trHeight w:val="283"/>
        </w:trPr>
        <w:tc>
          <w:tcPr>
            <w:tcW w:w="0" w:type="auto"/>
            <w:shd w:val="clear" w:color="auto" w:fill="FFFFFF"/>
            <w:tcMar>
              <w:top w:w="0" w:type="dxa"/>
              <w:left w:w="108" w:type="dxa"/>
              <w:bottom w:w="0" w:type="dxa"/>
              <w:right w:w="108" w:type="dxa"/>
            </w:tcMar>
            <w:vAlign w:val="center"/>
          </w:tcPr>
          <w:p w14:paraId="03B2F43A" w14:textId="77777777" w:rsidR="00A76ADB" w:rsidRDefault="00A76ADB" w:rsidP="007E3239">
            <w:pPr>
              <w:pStyle w:val="TableText"/>
              <w:spacing w:before="50" w:after="50"/>
            </w:pPr>
            <w:r>
              <w:rPr>
                <w:rFonts w:eastAsia="Calibri"/>
              </w:rPr>
              <w:t>1980</w:t>
            </w:r>
          </w:p>
        </w:tc>
        <w:tc>
          <w:tcPr>
            <w:tcW w:w="0" w:type="auto"/>
            <w:shd w:val="clear" w:color="auto" w:fill="FFFFFF"/>
            <w:tcMar>
              <w:top w:w="0" w:type="dxa"/>
              <w:left w:w="108" w:type="dxa"/>
              <w:bottom w:w="0" w:type="dxa"/>
              <w:right w:w="108" w:type="dxa"/>
            </w:tcMar>
            <w:vAlign w:val="bottom"/>
          </w:tcPr>
          <w:p w14:paraId="034FFEA9" w14:textId="77777777" w:rsidR="00A76ADB" w:rsidRPr="00246F01" w:rsidRDefault="00A76ADB" w:rsidP="007E3239">
            <w:pPr>
              <w:pStyle w:val="TableText"/>
              <w:spacing w:before="50" w:after="50"/>
              <w:jc w:val="center"/>
            </w:pPr>
            <w:r w:rsidRPr="00246F01">
              <w:t>984.9</w:t>
            </w:r>
          </w:p>
        </w:tc>
        <w:tc>
          <w:tcPr>
            <w:tcW w:w="0" w:type="auto"/>
            <w:shd w:val="clear" w:color="auto" w:fill="FFFFFF"/>
            <w:tcMar>
              <w:top w:w="0" w:type="dxa"/>
              <w:left w:w="108" w:type="dxa"/>
              <w:bottom w:w="0" w:type="dxa"/>
              <w:right w:w="108" w:type="dxa"/>
            </w:tcMar>
            <w:vAlign w:val="bottom"/>
          </w:tcPr>
          <w:p w14:paraId="2EE9459B" w14:textId="77777777" w:rsidR="00A76ADB" w:rsidRPr="00246F01" w:rsidRDefault="00A76ADB" w:rsidP="007E3239">
            <w:pPr>
              <w:pStyle w:val="TableText"/>
              <w:spacing w:before="50" w:after="50"/>
              <w:jc w:val="center"/>
            </w:pPr>
            <w:r w:rsidRPr="00246F01">
              <w:t>572.1</w:t>
            </w:r>
          </w:p>
        </w:tc>
        <w:tc>
          <w:tcPr>
            <w:tcW w:w="0" w:type="auto"/>
            <w:shd w:val="clear" w:color="auto" w:fill="FFFFFF"/>
            <w:tcMar>
              <w:top w:w="0" w:type="dxa"/>
              <w:left w:w="108" w:type="dxa"/>
              <w:bottom w:w="0" w:type="dxa"/>
              <w:right w:w="108" w:type="dxa"/>
            </w:tcMar>
            <w:vAlign w:val="bottom"/>
          </w:tcPr>
          <w:p w14:paraId="4620053B" w14:textId="77777777" w:rsidR="00A76ADB" w:rsidRPr="00246F01" w:rsidRDefault="00A76ADB" w:rsidP="007E3239">
            <w:pPr>
              <w:pStyle w:val="TableText"/>
              <w:spacing w:before="50" w:after="50"/>
              <w:jc w:val="center"/>
            </w:pPr>
            <w:r w:rsidRPr="00246F01">
              <w:t>63.6</w:t>
            </w:r>
          </w:p>
        </w:tc>
        <w:tc>
          <w:tcPr>
            <w:tcW w:w="0" w:type="auto"/>
            <w:shd w:val="clear" w:color="auto" w:fill="FFFFFF"/>
            <w:tcMar>
              <w:top w:w="0" w:type="dxa"/>
              <w:left w:w="108" w:type="dxa"/>
              <w:bottom w:w="0" w:type="dxa"/>
              <w:right w:w="108" w:type="dxa"/>
            </w:tcMar>
            <w:vAlign w:val="bottom"/>
          </w:tcPr>
          <w:p w14:paraId="55758292" w14:textId="77777777" w:rsidR="00A76ADB" w:rsidRPr="00246F01" w:rsidRDefault="00A76ADB" w:rsidP="007E3239">
            <w:pPr>
              <w:pStyle w:val="TableText"/>
              <w:spacing w:before="50" w:after="50"/>
              <w:jc w:val="center"/>
            </w:pPr>
            <w:r w:rsidRPr="00246F01">
              <w:t>1,620.6</w:t>
            </w:r>
          </w:p>
        </w:tc>
      </w:tr>
      <w:tr w:rsidR="00A76ADB" w14:paraId="25062AD8" w14:textId="77777777" w:rsidTr="00F16598">
        <w:trPr>
          <w:cantSplit/>
          <w:trHeight w:val="283"/>
        </w:trPr>
        <w:tc>
          <w:tcPr>
            <w:tcW w:w="0" w:type="auto"/>
            <w:shd w:val="clear" w:color="auto" w:fill="FFFFFF"/>
            <w:tcMar>
              <w:top w:w="0" w:type="dxa"/>
              <w:left w:w="108" w:type="dxa"/>
              <w:bottom w:w="0" w:type="dxa"/>
              <w:right w:w="108" w:type="dxa"/>
            </w:tcMar>
            <w:vAlign w:val="center"/>
          </w:tcPr>
          <w:p w14:paraId="79992B65" w14:textId="77777777" w:rsidR="00A76ADB" w:rsidRDefault="00A76ADB" w:rsidP="007E3239">
            <w:pPr>
              <w:pStyle w:val="TableText"/>
              <w:spacing w:before="50" w:after="50"/>
            </w:pPr>
            <w:r>
              <w:rPr>
                <w:rFonts w:eastAsia="Calibri"/>
              </w:rPr>
              <w:t>1981</w:t>
            </w:r>
          </w:p>
        </w:tc>
        <w:tc>
          <w:tcPr>
            <w:tcW w:w="0" w:type="auto"/>
            <w:shd w:val="clear" w:color="auto" w:fill="FFFFFF"/>
            <w:tcMar>
              <w:top w:w="0" w:type="dxa"/>
              <w:left w:w="108" w:type="dxa"/>
              <w:bottom w:w="0" w:type="dxa"/>
              <w:right w:w="108" w:type="dxa"/>
            </w:tcMar>
            <w:vAlign w:val="bottom"/>
          </w:tcPr>
          <w:p w14:paraId="0422B7C8" w14:textId="77777777" w:rsidR="00A76ADB" w:rsidRPr="00246F01" w:rsidRDefault="00A76ADB" w:rsidP="007E3239">
            <w:pPr>
              <w:pStyle w:val="TableText"/>
              <w:spacing w:before="50" w:after="50"/>
              <w:jc w:val="center"/>
            </w:pPr>
            <w:r w:rsidRPr="00246F01">
              <w:t>984.9</w:t>
            </w:r>
          </w:p>
        </w:tc>
        <w:tc>
          <w:tcPr>
            <w:tcW w:w="0" w:type="auto"/>
            <w:shd w:val="clear" w:color="auto" w:fill="FFFFFF"/>
            <w:tcMar>
              <w:top w:w="0" w:type="dxa"/>
              <w:left w:w="108" w:type="dxa"/>
              <w:bottom w:w="0" w:type="dxa"/>
              <w:right w:w="108" w:type="dxa"/>
            </w:tcMar>
            <w:vAlign w:val="bottom"/>
          </w:tcPr>
          <w:p w14:paraId="42F13153" w14:textId="77777777" w:rsidR="00A76ADB" w:rsidRPr="00246F01" w:rsidRDefault="00A76ADB" w:rsidP="007E3239">
            <w:pPr>
              <w:pStyle w:val="TableText"/>
              <w:spacing w:before="50" w:after="50"/>
              <w:jc w:val="center"/>
            </w:pPr>
            <w:r w:rsidRPr="00246F01">
              <w:t>581.8</w:t>
            </w:r>
          </w:p>
        </w:tc>
        <w:tc>
          <w:tcPr>
            <w:tcW w:w="0" w:type="auto"/>
            <w:shd w:val="clear" w:color="auto" w:fill="FFFFFF"/>
            <w:tcMar>
              <w:top w:w="0" w:type="dxa"/>
              <w:left w:w="108" w:type="dxa"/>
              <w:bottom w:w="0" w:type="dxa"/>
              <w:right w:w="108" w:type="dxa"/>
            </w:tcMar>
            <w:vAlign w:val="bottom"/>
          </w:tcPr>
          <w:p w14:paraId="39FE0370" w14:textId="77777777" w:rsidR="00A76ADB" w:rsidRPr="00246F01" w:rsidRDefault="00A76ADB" w:rsidP="007E3239">
            <w:pPr>
              <w:pStyle w:val="TableText"/>
              <w:spacing w:before="50" w:after="50"/>
              <w:jc w:val="center"/>
            </w:pPr>
            <w:r w:rsidRPr="00246F01">
              <w:t>64.6</w:t>
            </w:r>
          </w:p>
        </w:tc>
        <w:tc>
          <w:tcPr>
            <w:tcW w:w="0" w:type="auto"/>
            <w:shd w:val="clear" w:color="auto" w:fill="FFFFFF"/>
            <w:tcMar>
              <w:top w:w="0" w:type="dxa"/>
              <w:left w:w="108" w:type="dxa"/>
              <w:bottom w:w="0" w:type="dxa"/>
              <w:right w:w="108" w:type="dxa"/>
            </w:tcMar>
            <w:vAlign w:val="bottom"/>
          </w:tcPr>
          <w:p w14:paraId="60D6A1B3" w14:textId="77777777" w:rsidR="00A76ADB" w:rsidRPr="00246F01" w:rsidRDefault="00A76ADB" w:rsidP="007E3239">
            <w:pPr>
              <w:pStyle w:val="TableText"/>
              <w:spacing w:before="50" w:after="50"/>
              <w:jc w:val="center"/>
            </w:pPr>
            <w:r w:rsidRPr="00246F01">
              <w:t>1,631.4</w:t>
            </w:r>
          </w:p>
        </w:tc>
      </w:tr>
      <w:tr w:rsidR="00A76ADB" w14:paraId="3A73A115" w14:textId="77777777" w:rsidTr="00F16598">
        <w:trPr>
          <w:cantSplit/>
          <w:trHeight w:val="283"/>
        </w:trPr>
        <w:tc>
          <w:tcPr>
            <w:tcW w:w="0" w:type="auto"/>
            <w:shd w:val="clear" w:color="auto" w:fill="FFFFFF"/>
            <w:tcMar>
              <w:top w:w="0" w:type="dxa"/>
              <w:left w:w="108" w:type="dxa"/>
              <w:bottom w:w="0" w:type="dxa"/>
              <w:right w:w="108" w:type="dxa"/>
            </w:tcMar>
            <w:vAlign w:val="center"/>
          </w:tcPr>
          <w:p w14:paraId="78A659A3" w14:textId="77777777" w:rsidR="00A76ADB" w:rsidRDefault="00A76ADB" w:rsidP="007E3239">
            <w:pPr>
              <w:pStyle w:val="TableText"/>
              <w:spacing w:before="50" w:after="50"/>
            </w:pPr>
            <w:r>
              <w:rPr>
                <w:rFonts w:eastAsia="Calibri"/>
              </w:rPr>
              <w:t>1982</w:t>
            </w:r>
          </w:p>
        </w:tc>
        <w:tc>
          <w:tcPr>
            <w:tcW w:w="0" w:type="auto"/>
            <w:shd w:val="clear" w:color="auto" w:fill="FFFFFF"/>
            <w:tcMar>
              <w:top w:w="0" w:type="dxa"/>
              <w:left w:w="108" w:type="dxa"/>
              <w:bottom w:w="0" w:type="dxa"/>
              <w:right w:w="108" w:type="dxa"/>
            </w:tcMar>
            <w:vAlign w:val="bottom"/>
          </w:tcPr>
          <w:p w14:paraId="20C9B2C2" w14:textId="77777777" w:rsidR="00A76ADB" w:rsidRPr="00246F01" w:rsidRDefault="00A76ADB" w:rsidP="007E3239">
            <w:pPr>
              <w:pStyle w:val="TableText"/>
              <w:spacing w:before="50" w:after="50"/>
              <w:jc w:val="center"/>
            </w:pPr>
            <w:r w:rsidRPr="00246F01">
              <w:t>984.9</w:t>
            </w:r>
          </w:p>
        </w:tc>
        <w:tc>
          <w:tcPr>
            <w:tcW w:w="0" w:type="auto"/>
            <w:shd w:val="clear" w:color="auto" w:fill="FFFFFF"/>
            <w:tcMar>
              <w:top w:w="0" w:type="dxa"/>
              <w:left w:w="108" w:type="dxa"/>
              <w:bottom w:w="0" w:type="dxa"/>
              <w:right w:w="108" w:type="dxa"/>
            </w:tcMar>
            <w:vAlign w:val="bottom"/>
          </w:tcPr>
          <w:p w14:paraId="74DB8FB8" w14:textId="77777777" w:rsidR="00A76ADB" w:rsidRPr="00246F01" w:rsidRDefault="00A76ADB" w:rsidP="007E3239">
            <w:pPr>
              <w:pStyle w:val="TableText"/>
              <w:spacing w:before="50" w:after="50"/>
              <w:jc w:val="center"/>
            </w:pPr>
            <w:r w:rsidRPr="00246F01">
              <w:t>937.7</w:t>
            </w:r>
          </w:p>
        </w:tc>
        <w:tc>
          <w:tcPr>
            <w:tcW w:w="0" w:type="auto"/>
            <w:shd w:val="clear" w:color="auto" w:fill="FFFFFF"/>
            <w:tcMar>
              <w:top w:w="0" w:type="dxa"/>
              <w:left w:w="108" w:type="dxa"/>
              <w:bottom w:w="0" w:type="dxa"/>
              <w:right w:w="108" w:type="dxa"/>
            </w:tcMar>
            <w:vAlign w:val="bottom"/>
          </w:tcPr>
          <w:p w14:paraId="26257E7B" w14:textId="77777777" w:rsidR="00A76ADB" w:rsidRPr="00246F01" w:rsidRDefault="00A76ADB" w:rsidP="007E3239">
            <w:pPr>
              <w:pStyle w:val="TableText"/>
              <w:spacing w:before="50" w:after="50"/>
              <w:jc w:val="center"/>
            </w:pPr>
            <w:r w:rsidRPr="00246F01">
              <w:t>104.2</w:t>
            </w:r>
          </w:p>
        </w:tc>
        <w:tc>
          <w:tcPr>
            <w:tcW w:w="0" w:type="auto"/>
            <w:shd w:val="clear" w:color="auto" w:fill="FFFFFF"/>
            <w:tcMar>
              <w:top w:w="0" w:type="dxa"/>
              <w:left w:w="108" w:type="dxa"/>
              <w:bottom w:w="0" w:type="dxa"/>
              <w:right w:w="108" w:type="dxa"/>
            </w:tcMar>
            <w:vAlign w:val="bottom"/>
          </w:tcPr>
          <w:p w14:paraId="0771F93F" w14:textId="77777777" w:rsidR="00A76ADB" w:rsidRPr="00246F01" w:rsidRDefault="00A76ADB" w:rsidP="007E3239">
            <w:pPr>
              <w:pStyle w:val="TableText"/>
              <w:spacing w:before="50" w:after="50"/>
              <w:jc w:val="center"/>
            </w:pPr>
            <w:r w:rsidRPr="00246F01">
              <w:t>2,026.8</w:t>
            </w:r>
          </w:p>
        </w:tc>
      </w:tr>
      <w:tr w:rsidR="00A76ADB" w14:paraId="3B99F085" w14:textId="77777777" w:rsidTr="00F16598">
        <w:trPr>
          <w:cantSplit/>
          <w:trHeight w:val="283"/>
        </w:trPr>
        <w:tc>
          <w:tcPr>
            <w:tcW w:w="0" w:type="auto"/>
            <w:shd w:val="clear" w:color="auto" w:fill="FFFFFF"/>
            <w:tcMar>
              <w:top w:w="0" w:type="dxa"/>
              <w:left w:w="108" w:type="dxa"/>
              <w:bottom w:w="0" w:type="dxa"/>
              <w:right w:w="108" w:type="dxa"/>
            </w:tcMar>
            <w:vAlign w:val="center"/>
          </w:tcPr>
          <w:p w14:paraId="00F76924" w14:textId="77777777" w:rsidR="00A76ADB" w:rsidRDefault="00A76ADB" w:rsidP="007E3239">
            <w:pPr>
              <w:pStyle w:val="TableText"/>
              <w:spacing w:before="50" w:after="50"/>
            </w:pPr>
            <w:r>
              <w:rPr>
                <w:rFonts w:eastAsia="Calibri"/>
              </w:rPr>
              <w:t>1983</w:t>
            </w:r>
          </w:p>
        </w:tc>
        <w:tc>
          <w:tcPr>
            <w:tcW w:w="0" w:type="auto"/>
            <w:shd w:val="clear" w:color="auto" w:fill="FFFFFF"/>
            <w:tcMar>
              <w:top w:w="0" w:type="dxa"/>
              <w:left w:w="108" w:type="dxa"/>
              <w:bottom w:w="0" w:type="dxa"/>
              <w:right w:w="108" w:type="dxa"/>
            </w:tcMar>
            <w:vAlign w:val="bottom"/>
          </w:tcPr>
          <w:p w14:paraId="2E893AA2" w14:textId="77777777" w:rsidR="00A76ADB" w:rsidRPr="00246F01" w:rsidRDefault="00A76ADB" w:rsidP="007E3239">
            <w:pPr>
              <w:pStyle w:val="TableText"/>
              <w:spacing w:before="50" w:after="50"/>
              <w:jc w:val="center"/>
            </w:pPr>
            <w:r w:rsidRPr="00246F01">
              <w:t>984.9</w:t>
            </w:r>
          </w:p>
        </w:tc>
        <w:tc>
          <w:tcPr>
            <w:tcW w:w="0" w:type="auto"/>
            <w:shd w:val="clear" w:color="auto" w:fill="FFFFFF"/>
            <w:tcMar>
              <w:top w:w="0" w:type="dxa"/>
              <w:left w:w="108" w:type="dxa"/>
              <w:bottom w:w="0" w:type="dxa"/>
              <w:right w:w="108" w:type="dxa"/>
            </w:tcMar>
            <w:vAlign w:val="bottom"/>
          </w:tcPr>
          <w:p w14:paraId="619B274D" w14:textId="77777777" w:rsidR="00A76ADB" w:rsidRPr="00246F01" w:rsidRDefault="00A76ADB" w:rsidP="007E3239">
            <w:pPr>
              <w:pStyle w:val="TableText"/>
              <w:spacing w:before="50" w:after="50"/>
              <w:jc w:val="center"/>
            </w:pPr>
            <w:r w:rsidRPr="00246F01">
              <w:t>1,017.6</w:t>
            </w:r>
          </w:p>
        </w:tc>
        <w:tc>
          <w:tcPr>
            <w:tcW w:w="0" w:type="auto"/>
            <w:shd w:val="clear" w:color="auto" w:fill="FFFFFF"/>
            <w:tcMar>
              <w:top w:w="0" w:type="dxa"/>
              <w:left w:w="108" w:type="dxa"/>
              <w:bottom w:w="0" w:type="dxa"/>
              <w:right w:w="108" w:type="dxa"/>
            </w:tcMar>
            <w:vAlign w:val="bottom"/>
          </w:tcPr>
          <w:p w14:paraId="183FA122" w14:textId="77777777" w:rsidR="00A76ADB" w:rsidRPr="00246F01" w:rsidRDefault="00A76ADB" w:rsidP="007E3239">
            <w:pPr>
              <w:pStyle w:val="TableText"/>
              <w:spacing w:before="50" w:after="50"/>
              <w:jc w:val="center"/>
            </w:pPr>
            <w:r w:rsidRPr="00246F01">
              <w:t>113.1</w:t>
            </w:r>
          </w:p>
        </w:tc>
        <w:tc>
          <w:tcPr>
            <w:tcW w:w="0" w:type="auto"/>
            <w:shd w:val="clear" w:color="auto" w:fill="FFFFFF"/>
            <w:tcMar>
              <w:top w:w="0" w:type="dxa"/>
              <w:left w:w="108" w:type="dxa"/>
              <w:bottom w:w="0" w:type="dxa"/>
              <w:right w:w="108" w:type="dxa"/>
            </w:tcMar>
            <w:vAlign w:val="bottom"/>
          </w:tcPr>
          <w:p w14:paraId="5C156393" w14:textId="77777777" w:rsidR="00A76ADB" w:rsidRPr="00246F01" w:rsidRDefault="00A76ADB" w:rsidP="007E3239">
            <w:pPr>
              <w:pStyle w:val="TableText"/>
              <w:spacing w:before="50" w:after="50"/>
              <w:jc w:val="center"/>
            </w:pPr>
            <w:r w:rsidRPr="00246F01">
              <w:t>2,115.7</w:t>
            </w:r>
          </w:p>
        </w:tc>
      </w:tr>
      <w:tr w:rsidR="00A76ADB" w14:paraId="0404C3DA" w14:textId="77777777" w:rsidTr="00F16598">
        <w:trPr>
          <w:cantSplit/>
          <w:trHeight w:val="283"/>
        </w:trPr>
        <w:tc>
          <w:tcPr>
            <w:tcW w:w="0" w:type="auto"/>
            <w:shd w:val="clear" w:color="auto" w:fill="FFFFFF"/>
            <w:tcMar>
              <w:top w:w="0" w:type="dxa"/>
              <w:left w:w="108" w:type="dxa"/>
              <w:bottom w:w="0" w:type="dxa"/>
              <w:right w:w="108" w:type="dxa"/>
            </w:tcMar>
            <w:vAlign w:val="center"/>
          </w:tcPr>
          <w:p w14:paraId="1BACEA4C" w14:textId="77777777" w:rsidR="00A76ADB" w:rsidRDefault="00A76ADB" w:rsidP="007E3239">
            <w:pPr>
              <w:pStyle w:val="TableText"/>
              <w:spacing w:before="50" w:after="50"/>
            </w:pPr>
            <w:r>
              <w:rPr>
                <w:rFonts w:eastAsia="Calibri"/>
              </w:rPr>
              <w:t>1984</w:t>
            </w:r>
          </w:p>
        </w:tc>
        <w:tc>
          <w:tcPr>
            <w:tcW w:w="0" w:type="auto"/>
            <w:shd w:val="clear" w:color="auto" w:fill="FFFFFF"/>
            <w:tcMar>
              <w:top w:w="0" w:type="dxa"/>
              <w:left w:w="108" w:type="dxa"/>
              <w:bottom w:w="0" w:type="dxa"/>
              <w:right w:w="108" w:type="dxa"/>
            </w:tcMar>
            <w:vAlign w:val="bottom"/>
          </w:tcPr>
          <w:p w14:paraId="53A52021" w14:textId="77777777" w:rsidR="00A76ADB" w:rsidRPr="00246F01" w:rsidRDefault="00A76ADB" w:rsidP="007E3239">
            <w:pPr>
              <w:pStyle w:val="TableText"/>
              <w:spacing w:before="50" w:after="50"/>
              <w:jc w:val="center"/>
            </w:pPr>
            <w:r w:rsidRPr="00246F01">
              <w:t>1,156.5</w:t>
            </w:r>
          </w:p>
        </w:tc>
        <w:tc>
          <w:tcPr>
            <w:tcW w:w="0" w:type="auto"/>
            <w:shd w:val="clear" w:color="auto" w:fill="FFFFFF"/>
            <w:tcMar>
              <w:top w:w="0" w:type="dxa"/>
              <w:left w:w="108" w:type="dxa"/>
              <w:bottom w:w="0" w:type="dxa"/>
              <w:right w:w="108" w:type="dxa"/>
            </w:tcMar>
            <w:vAlign w:val="bottom"/>
          </w:tcPr>
          <w:p w14:paraId="00CE6683" w14:textId="77777777" w:rsidR="00A76ADB" w:rsidRPr="00246F01" w:rsidRDefault="00A76ADB" w:rsidP="007E3239">
            <w:pPr>
              <w:pStyle w:val="TableText"/>
              <w:spacing w:before="50" w:after="50"/>
              <w:jc w:val="center"/>
            </w:pPr>
            <w:r w:rsidRPr="00246F01">
              <w:t>943.2</w:t>
            </w:r>
          </w:p>
        </w:tc>
        <w:tc>
          <w:tcPr>
            <w:tcW w:w="0" w:type="auto"/>
            <w:shd w:val="clear" w:color="auto" w:fill="FFFFFF"/>
            <w:tcMar>
              <w:top w:w="0" w:type="dxa"/>
              <w:left w:w="108" w:type="dxa"/>
              <w:bottom w:w="0" w:type="dxa"/>
              <w:right w:w="108" w:type="dxa"/>
            </w:tcMar>
            <w:vAlign w:val="bottom"/>
          </w:tcPr>
          <w:p w14:paraId="093F5EE0" w14:textId="77777777" w:rsidR="00A76ADB" w:rsidRPr="00246F01" w:rsidRDefault="00A76ADB" w:rsidP="007E3239">
            <w:pPr>
              <w:pStyle w:val="TableText"/>
              <w:spacing w:before="50" w:after="50"/>
              <w:jc w:val="center"/>
            </w:pPr>
            <w:r w:rsidRPr="00246F01">
              <w:t>104.8</w:t>
            </w:r>
          </w:p>
        </w:tc>
        <w:tc>
          <w:tcPr>
            <w:tcW w:w="0" w:type="auto"/>
            <w:shd w:val="clear" w:color="auto" w:fill="FFFFFF"/>
            <w:tcMar>
              <w:top w:w="0" w:type="dxa"/>
              <w:left w:w="108" w:type="dxa"/>
              <w:bottom w:w="0" w:type="dxa"/>
              <w:right w:w="108" w:type="dxa"/>
            </w:tcMar>
            <w:vAlign w:val="bottom"/>
          </w:tcPr>
          <w:p w14:paraId="5F275C17" w14:textId="77777777" w:rsidR="00A76ADB" w:rsidRPr="00246F01" w:rsidRDefault="00A76ADB" w:rsidP="007E3239">
            <w:pPr>
              <w:pStyle w:val="TableText"/>
              <w:spacing w:before="50" w:after="50"/>
              <w:jc w:val="center"/>
            </w:pPr>
            <w:r w:rsidRPr="00246F01">
              <w:t>2,204.5</w:t>
            </w:r>
          </w:p>
        </w:tc>
      </w:tr>
      <w:tr w:rsidR="00A76ADB" w14:paraId="57397E99" w14:textId="77777777" w:rsidTr="00F16598">
        <w:trPr>
          <w:cantSplit/>
          <w:trHeight w:val="283"/>
        </w:trPr>
        <w:tc>
          <w:tcPr>
            <w:tcW w:w="0" w:type="auto"/>
            <w:shd w:val="clear" w:color="auto" w:fill="FFFFFF"/>
            <w:tcMar>
              <w:top w:w="0" w:type="dxa"/>
              <w:left w:w="108" w:type="dxa"/>
              <w:bottom w:w="0" w:type="dxa"/>
              <w:right w:w="108" w:type="dxa"/>
            </w:tcMar>
            <w:vAlign w:val="center"/>
          </w:tcPr>
          <w:p w14:paraId="45DA23C3" w14:textId="77777777" w:rsidR="00A76ADB" w:rsidRDefault="00A76ADB" w:rsidP="007E3239">
            <w:pPr>
              <w:pStyle w:val="TableText"/>
              <w:spacing w:before="50" w:after="50"/>
            </w:pPr>
            <w:r>
              <w:rPr>
                <w:rFonts w:eastAsia="Calibri"/>
              </w:rPr>
              <w:t>1985</w:t>
            </w:r>
          </w:p>
        </w:tc>
        <w:tc>
          <w:tcPr>
            <w:tcW w:w="0" w:type="auto"/>
            <w:shd w:val="clear" w:color="auto" w:fill="FFFFFF"/>
            <w:tcMar>
              <w:top w:w="0" w:type="dxa"/>
              <w:left w:w="108" w:type="dxa"/>
              <w:bottom w:w="0" w:type="dxa"/>
              <w:right w:w="108" w:type="dxa"/>
            </w:tcMar>
            <w:vAlign w:val="bottom"/>
          </w:tcPr>
          <w:p w14:paraId="5C9AD810" w14:textId="77777777" w:rsidR="00A76ADB" w:rsidRPr="00246F01" w:rsidRDefault="00A76ADB" w:rsidP="007E3239">
            <w:pPr>
              <w:pStyle w:val="TableText"/>
              <w:spacing w:before="50" w:after="50"/>
              <w:jc w:val="center"/>
            </w:pPr>
            <w:r w:rsidRPr="00246F01">
              <w:t>1,259.1</w:t>
            </w:r>
          </w:p>
        </w:tc>
        <w:tc>
          <w:tcPr>
            <w:tcW w:w="0" w:type="auto"/>
            <w:shd w:val="clear" w:color="auto" w:fill="FFFFFF"/>
            <w:tcMar>
              <w:top w:w="0" w:type="dxa"/>
              <w:left w:w="108" w:type="dxa"/>
              <w:bottom w:w="0" w:type="dxa"/>
              <w:right w:w="108" w:type="dxa"/>
            </w:tcMar>
            <w:vAlign w:val="bottom"/>
          </w:tcPr>
          <w:p w14:paraId="3B5FD10E" w14:textId="77777777" w:rsidR="00A76ADB" w:rsidRPr="00246F01" w:rsidRDefault="00A76ADB" w:rsidP="007E3239">
            <w:pPr>
              <w:pStyle w:val="TableText"/>
              <w:spacing w:before="50" w:after="50"/>
              <w:jc w:val="center"/>
            </w:pPr>
            <w:r w:rsidRPr="00246F01">
              <w:t>930.9</w:t>
            </w:r>
          </w:p>
        </w:tc>
        <w:tc>
          <w:tcPr>
            <w:tcW w:w="0" w:type="auto"/>
            <w:shd w:val="clear" w:color="auto" w:fill="FFFFFF"/>
            <w:tcMar>
              <w:top w:w="0" w:type="dxa"/>
              <w:left w:w="108" w:type="dxa"/>
              <w:bottom w:w="0" w:type="dxa"/>
              <w:right w:w="108" w:type="dxa"/>
            </w:tcMar>
            <w:vAlign w:val="bottom"/>
          </w:tcPr>
          <w:p w14:paraId="65E3C77F" w14:textId="77777777" w:rsidR="00A76ADB" w:rsidRPr="00246F01" w:rsidRDefault="00A76ADB" w:rsidP="007E3239">
            <w:pPr>
              <w:pStyle w:val="TableText"/>
              <w:spacing w:before="50" w:after="50"/>
              <w:jc w:val="center"/>
            </w:pPr>
            <w:r w:rsidRPr="00246F01">
              <w:t>103.4</w:t>
            </w:r>
          </w:p>
        </w:tc>
        <w:tc>
          <w:tcPr>
            <w:tcW w:w="0" w:type="auto"/>
            <w:shd w:val="clear" w:color="auto" w:fill="FFFFFF"/>
            <w:tcMar>
              <w:top w:w="0" w:type="dxa"/>
              <w:left w:w="108" w:type="dxa"/>
              <w:bottom w:w="0" w:type="dxa"/>
              <w:right w:w="108" w:type="dxa"/>
            </w:tcMar>
            <w:vAlign w:val="bottom"/>
          </w:tcPr>
          <w:p w14:paraId="6E6942ED" w14:textId="77777777" w:rsidR="00A76ADB" w:rsidRPr="00246F01" w:rsidRDefault="00A76ADB" w:rsidP="007E3239">
            <w:pPr>
              <w:pStyle w:val="TableText"/>
              <w:spacing w:before="50" w:after="50"/>
              <w:jc w:val="center"/>
            </w:pPr>
            <w:r w:rsidRPr="00246F01">
              <w:t>2,293.4</w:t>
            </w:r>
          </w:p>
        </w:tc>
      </w:tr>
      <w:tr w:rsidR="00A76ADB" w14:paraId="15C9314B" w14:textId="77777777" w:rsidTr="00F16598">
        <w:trPr>
          <w:cantSplit/>
          <w:trHeight w:val="283"/>
        </w:trPr>
        <w:tc>
          <w:tcPr>
            <w:tcW w:w="0" w:type="auto"/>
            <w:shd w:val="clear" w:color="auto" w:fill="FFFFFF"/>
            <w:tcMar>
              <w:top w:w="0" w:type="dxa"/>
              <w:left w:w="108" w:type="dxa"/>
              <w:bottom w:w="0" w:type="dxa"/>
              <w:right w:w="108" w:type="dxa"/>
            </w:tcMar>
            <w:vAlign w:val="center"/>
          </w:tcPr>
          <w:p w14:paraId="53BAA134" w14:textId="77777777" w:rsidR="00A76ADB" w:rsidRDefault="00A76ADB" w:rsidP="007E3239">
            <w:pPr>
              <w:pStyle w:val="TableText"/>
              <w:spacing w:before="50" w:after="50"/>
            </w:pPr>
            <w:r>
              <w:rPr>
                <w:rFonts w:eastAsia="Calibri"/>
              </w:rPr>
              <w:t>1986</w:t>
            </w:r>
          </w:p>
        </w:tc>
        <w:tc>
          <w:tcPr>
            <w:tcW w:w="0" w:type="auto"/>
            <w:shd w:val="clear" w:color="auto" w:fill="FFFFFF"/>
            <w:tcMar>
              <w:top w:w="0" w:type="dxa"/>
              <w:left w:w="108" w:type="dxa"/>
              <w:bottom w:w="0" w:type="dxa"/>
              <w:right w:w="108" w:type="dxa"/>
            </w:tcMar>
            <w:vAlign w:val="bottom"/>
          </w:tcPr>
          <w:p w14:paraId="39C717C4" w14:textId="77777777" w:rsidR="00A76ADB" w:rsidRPr="00246F01" w:rsidRDefault="00A76ADB" w:rsidP="007E3239">
            <w:pPr>
              <w:pStyle w:val="TableText"/>
              <w:spacing w:before="50" w:after="50"/>
              <w:jc w:val="center"/>
            </w:pPr>
            <w:r w:rsidRPr="00246F01">
              <w:t>1,259.1</w:t>
            </w:r>
          </w:p>
        </w:tc>
        <w:tc>
          <w:tcPr>
            <w:tcW w:w="0" w:type="auto"/>
            <w:shd w:val="clear" w:color="auto" w:fill="FFFFFF"/>
            <w:tcMar>
              <w:top w:w="0" w:type="dxa"/>
              <w:left w:w="108" w:type="dxa"/>
              <w:bottom w:w="0" w:type="dxa"/>
              <w:right w:w="108" w:type="dxa"/>
            </w:tcMar>
            <w:vAlign w:val="bottom"/>
          </w:tcPr>
          <w:p w14:paraId="25E785CF" w14:textId="77777777" w:rsidR="00A76ADB" w:rsidRPr="00246F01" w:rsidRDefault="00A76ADB" w:rsidP="007E3239">
            <w:pPr>
              <w:pStyle w:val="TableText"/>
              <w:spacing w:before="50" w:after="50"/>
              <w:jc w:val="center"/>
            </w:pPr>
            <w:r w:rsidRPr="00246F01">
              <w:t>1,010.9</w:t>
            </w:r>
          </w:p>
        </w:tc>
        <w:tc>
          <w:tcPr>
            <w:tcW w:w="0" w:type="auto"/>
            <w:shd w:val="clear" w:color="auto" w:fill="FFFFFF"/>
            <w:tcMar>
              <w:top w:w="0" w:type="dxa"/>
              <w:left w:w="108" w:type="dxa"/>
              <w:bottom w:w="0" w:type="dxa"/>
              <w:right w:w="108" w:type="dxa"/>
            </w:tcMar>
            <w:vAlign w:val="bottom"/>
          </w:tcPr>
          <w:p w14:paraId="3E05143E" w14:textId="77777777" w:rsidR="00A76ADB" w:rsidRPr="00246F01" w:rsidRDefault="00A76ADB" w:rsidP="007E3239">
            <w:pPr>
              <w:pStyle w:val="TableText"/>
              <w:spacing w:before="50" w:after="50"/>
              <w:jc w:val="center"/>
            </w:pPr>
            <w:r w:rsidRPr="00246F01">
              <w:t>112.3</w:t>
            </w:r>
          </w:p>
        </w:tc>
        <w:tc>
          <w:tcPr>
            <w:tcW w:w="0" w:type="auto"/>
            <w:shd w:val="clear" w:color="auto" w:fill="FFFFFF"/>
            <w:tcMar>
              <w:top w:w="0" w:type="dxa"/>
              <w:left w:w="108" w:type="dxa"/>
              <w:bottom w:w="0" w:type="dxa"/>
              <w:right w:w="108" w:type="dxa"/>
            </w:tcMar>
            <w:vAlign w:val="bottom"/>
          </w:tcPr>
          <w:p w14:paraId="63E65148" w14:textId="77777777" w:rsidR="00A76ADB" w:rsidRPr="00246F01" w:rsidRDefault="00A76ADB" w:rsidP="007E3239">
            <w:pPr>
              <w:pStyle w:val="TableText"/>
              <w:spacing w:before="50" w:after="50"/>
              <w:jc w:val="center"/>
            </w:pPr>
            <w:r w:rsidRPr="00246F01">
              <w:t>2,382.3</w:t>
            </w:r>
          </w:p>
        </w:tc>
      </w:tr>
      <w:tr w:rsidR="00A76ADB" w14:paraId="6AAF63CB" w14:textId="77777777" w:rsidTr="00F16598">
        <w:trPr>
          <w:cantSplit/>
          <w:trHeight w:val="283"/>
        </w:trPr>
        <w:tc>
          <w:tcPr>
            <w:tcW w:w="0" w:type="auto"/>
            <w:shd w:val="clear" w:color="auto" w:fill="FFFFFF"/>
            <w:tcMar>
              <w:top w:w="0" w:type="dxa"/>
              <w:left w:w="108" w:type="dxa"/>
              <w:bottom w:w="0" w:type="dxa"/>
              <w:right w:w="108" w:type="dxa"/>
            </w:tcMar>
            <w:vAlign w:val="center"/>
          </w:tcPr>
          <w:p w14:paraId="6274C091" w14:textId="77777777" w:rsidR="00A76ADB" w:rsidRDefault="00A76ADB" w:rsidP="007E3239">
            <w:pPr>
              <w:pStyle w:val="TableText"/>
              <w:spacing w:before="50" w:after="50"/>
            </w:pPr>
            <w:r>
              <w:rPr>
                <w:rFonts w:eastAsia="Calibri"/>
              </w:rPr>
              <w:t>1987</w:t>
            </w:r>
          </w:p>
        </w:tc>
        <w:tc>
          <w:tcPr>
            <w:tcW w:w="0" w:type="auto"/>
            <w:shd w:val="clear" w:color="auto" w:fill="FFFFFF"/>
            <w:tcMar>
              <w:top w:w="0" w:type="dxa"/>
              <w:left w:w="108" w:type="dxa"/>
              <w:bottom w:w="0" w:type="dxa"/>
              <w:right w:w="108" w:type="dxa"/>
            </w:tcMar>
            <w:vAlign w:val="bottom"/>
          </w:tcPr>
          <w:p w14:paraId="340C6EF7" w14:textId="77777777" w:rsidR="00A76ADB" w:rsidRPr="00246F01" w:rsidRDefault="00A76ADB" w:rsidP="007E3239">
            <w:pPr>
              <w:pStyle w:val="TableText"/>
              <w:spacing w:before="50" w:after="50"/>
              <w:jc w:val="center"/>
            </w:pPr>
            <w:r w:rsidRPr="00246F01">
              <w:t>1,342.7</w:t>
            </w:r>
          </w:p>
        </w:tc>
        <w:tc>
          <w:tcPr>
            <w:tcW w:w="0" w:type="auto"/>
            <w:shd w:val="clear" w:color="auto" w:fill="FFFFFF"/>
            <w:tcMar>
              <w:top w:w="0" w:type="dxa"/>
              <w:left w:w="108" w:type="dxa"/>
              <w:bottom w:w="0" w:type="dxa"/>
              <w:right w:w="108" w:type="dxa"/>
            </w:tcMar>
            <w:vAlign w:val="bottom"/>
          </w:tcPr>
          <w:p w14:paraId="5C09CFF9" w14:textId="77777777" w:rsidR="00A76ADB" w:rsidRPr="00246F01" w:rsidRDefault="00A76ADB" w:rsidP="007E3239">
            <w:pPr>
              <w:pStyle w:val="TableText"/>
              <w:spacing w:before="50" w:after="50"/>
              <w:jc w:val="center"/>
            </w:pPr>
            <w:r w:rsidRPr="00246F01">
              <w:t>1,015.6</w:t>
            </w:r>
          </w:p>
        </w:tc>
        <w:tc>
          <w:tcPr>
            <w:tcW w:w="0" w:type="auto"/>
            <w:shd w:val="clear" w:color="auto" w:fill="FFFFFF"/>
            <w:tcMar>
              <w:top w:w="0" w:type="dxa"/>
              <w:left w:w="108" w:type="dxa"/>
              <w:bottom w:w="0" w:type="dxa"/>
              <w:right w:w="108" w:type="dxa"/>
            </w:tcMar>
            <w:vAlign w:val="bottom"/>
          </w:tcPr>
          <w:p w14:paraId="7F7C5FEA" w14:textId="77777777" w:rsidR="00A76ADB" w:rsidRPr="00246F01" w:rsidRDefault="00A76ADB" w:rsidP="007E3239">
            <w:pPr>
              <w:pStyle w:val="TableText"/>
              <w:spacing w:before="50" w:after="50"/>
              <w:jc w:val="center"/>
            </w:pPr>
            <w:r w:rsidRPr="00246F01">
              <w:t>112.8</w:t>
            </w:r>
          </w:p>
        </w:tc>
        <w:tc>
          <w:tcPr>
            <w:tcW w:w="0" w:type="auto"/>
            <w:shd w:val="clear" w:color="auto" w:fill="FFFFFF"/>
            <w:tcMar>
              <w:top w:w="0" w:type="dxa"/>
              <w:left w:w="108" w:type="dxa"/>
              <w:bottom w:w="0" w:type="dxa"/>
              <w:right w:w="108" w:type="dxa"/>
            </w:tcMar>
            <w:vAlign w:val="bottom"/>
          </w:tcPr>
          <w:p w14:paraId="617899C1" w14:textId="77777777" w:rsidR="00A76ADB" w:rsidRPr="00246F01" w:rsidRDefault="00A76ADB" w:rsidP="007E3239">
            <w:pPr>
              <w:pStyle w:val="TableText"/>
              <w:spacing w:before="50" w:after="50"/>
              <w:jc w:val="center"/>
            </w:pPr>
            <w:r w:rsidRPr="00246F01">
              <w:t>2,471.1</w:t>
            </w:r>
          </w:p>
        </w:tc>
      </w:tr>
      <w:tr w:rsidR="00A76ADB" w14:paraId="7D2DBC4C" w14:textId="77777777" w:rsidTr="00F16598">
        <w:trPr>
          <w:cantSplit/>
          <w:trHeight w:val="283"/>
        </w:trPr>
        <w:tc>
          <w:tcPr>
            <w:tcW w:w="0" w:type="auto"/>
            <w:shd w:val="clear" w:color="auto" w:fill="FFFFFF"/>
            <w:tcMar>
              <w:top w:w="0" w:type="dxa"/>
              <w:left w:w="108" w:type="dxa"/>
              <w:bottom w:w="0" w:type="dxa"/>
              <w:right w:w="108" w:type="dxa"/>
            </w:tcMar>
            <w:vAlign w:val="center"/>
          </w:tcPr>
          <w:p w14:paraId="6594450D" w14:textId="77777777" w:rsidR="00A76ADB" w:rsidRDefault="00A76ADB" w:rsidP="007E3239">
            <w:pPr>
              <w:pStyle w:val="TableText"/>
              <w:spacing w:before="50" w:after="50"/>
            </w:pPr>
            <w:r>
              <w:rPr>
                <w:rFonts w:eastAsia="Calibri"/>
              </w:rPr>
              <w:t>1988</w:t>
            </w:r>
          </w:p>
        </w:tc>
        <w:tc>
          <w:tcPr>
            <w:tcW w:w="0" w:type="auto"/>
            <w:shd w:val="clear" w:color="auto" w:fill="FFFFFF"/>
            <w:tcMar>
              <w:top w:w="0" w:type="dxa"/>
              <w:left w:w="108" w:type="dxa"/>
              <w:bottom w:w="0" w:type="dxa"/>
              <w:right w:w="108" w:type="dxa"/>
            </w:tcMar>
            <w:vAlign w:val="bottom"/>
          </w:tcPr>
          <w:p w14:paraId="0429E98E" w14:textId="77777777" w:rsidR="00A76ADB" w:rsidRPr="00246F01" w:rsidRDefault="00A76ADB" w:rsidP="007E3239">
            <w:pPr>
              <w:pStyle w:val="TableText"/>
              <w:spacing w:before="50" w:after="50"/>
              <w:jc w:val="center"/>
            </w:pPr>
            <w:r w:rsidRPr="00246F01">
              <w:t>1,432.6</w:t>
            </w:r>
          </w:p>
        </w:tc>
        <w:tc>
          <w:tcPr>
            <w:tcW w:w="0" w:type="auto"/>
            <w:shd w:val="clear" w:color="auto" w:fill="FFFFFF"/>
            <w:tcMar>
              <w:top w:w="0" w:type="dxa"/>
              <w:left w:w="108" w:type="dxa"/>
              <w:bottom w:w="0" w:type="dxa"/>
              <w:right w:w="108" w:type="dxa"/>
            </w:tcMar>
            <w:vAlign w:val="bottom"/>
          </w:tcPr>
          <w:p w14:paraId="56F19A4B" w14:textId="77777777" w:rsidR="00A76ADB" w:rsidRPr="00246F01" w:rsidRDefault="00A76ADB" w:rsidP="007E3239">
            <w:pPr>
              <w:pStyle w:val="TableText"/>
              <w:spacing w:before="50" w:after="50"/>
              <w:jc w:val="center"/>
            </w:pPr>
            <w:r w:rsidRPr="00246F01">
              <w:t>1,014.7</w:t>
            </w:r>
          </w:p>
        </w:tc>
        <w:tc>
          <w:tcPr>
            <w:tcW w:w="0" w:type="auto"/>
            <w:shd w:val="clear" w:color="auto" w:fill="FFFFFF"/>
            <w:tcMar>
              <w:top w:w="0" w:type="dxa"/>
              <w:left w:w="108" w:type="dxa"/>
              <w:bottom w:w="0" w:type="dxa"/>
              <w:right w:w="108" w:type="dxa"/>
            </w:tcMar>
            <w:vAlign w:val="bottom"/>
          </w:tcPr>
          <w:p w14:paraId="0DB90172" w14:textId="77777777" w:rsidR="00A76ADB" w:rsidRPr="00246F01" w:rsidRDefault="00A76ADB" w:rsidP="007E3239">
            <w:pPr>
              <w:pStyle w:val="TableText"/>
              <w:spacing w:before="50" w:after="50"/>
              <w:jc w:val="center"/>
            </w:pPr>
            <w:r w:rsidRPr="00246F01">
              <w:t>112.7</w:t>
            </w:r>
          </w:p>
        </w:tc>
        <w:tc>
          <w:tcPr>
            <w:tcW w:w="0" w:type="auto"/>
            <w:shd w:val="clear" w:color="auto" w:fill="FFFFFF"/>
            <w:tcMar>
              <w:top w:w="0" w:type="dxa"/>
              <w:left w:w="108" w:type="dxa"/>
              <w:bottom w:w="0" w:type="dxa"/>
              <w:right w:w="108" w:type="dxa"/>
            </w:tcMar>
            <w:vAlign w:val="bottom"/>
          </w:tcPr>
          <w:p w14:paraId="0D792FDC" w14:textId="77777777" w:rsidR="00A76ADB" w:rsidRPr="00246F01" w:rsidRDefault="00A76ADB" w:rsidP="007E3239">
            <w:pPr>
              <w:pStyle w:val="TableText"/>
              <w:spacing w:before="50" w:after="50"/>
              <w:jc w:val="center"/>
            </w:pPr>
            <w:r w:rsidRPr="00246F01">
              <w:t>2,560.0</w:t>
            </w:r>
          </w:p>
        </w:tc>
      </w:tr>
      <w:tr w:rsidR="00A76ADB" w14:paraId="59F82A9E" w14:textId="77777777" w:rsidTr="00F16598">
        <w:trPr>
          <w:cantSplit/>
          <w:trHeight w:val="283"/>
        </w:trPr>
        <w:tc>
          <w:tcPr>
            <w:tcW w:w="0" w:type="auto"/>
            <w:shd w:val="clear" w:color="auto" w:fill="FFFFFF"/>
            <w:tcMar>
              <w:top w:w="0" w:type="dxa"/>
              <w:left w:w="108" w:type="dxa"/>
              <w:bottom w:w="0" w:type="dxa"/>
              <w:right w:w="108" w:type="dxa"/>
            </w:tcMar>
            <w:vAlign w:val="center"/>
          </w:tcPr>
          <w:p w14:paraId="5E9DA459" w14:textId="77777777" w:rsidR="00A76ADB" w:rsidRDefault="00A76ADB" w:rsidP="007E3239">
            <w:pPr>
              <w:pStyle w:val="TableText"/>
              <w:spacing w:before="50" w:after="50"/>
            </w:pPr>
            <w:r>
              <w:rPr>
                <w:rFonts w:eastAsia="Calibri"/>
              </w:rPr>
              <w:t>1989</w:t>
            </w:r>
          </w:p>
        </w:tc>
        <w:tc>
          <w:tcPr>
            <w:tcW w:w="0" w:type="auto"/>
            <w:shd w:val="clear" w:color="auto" w:fill="FFFFFF"/>
            <w:tcMar>
              <w:top w:w="0" w:type="dxa"/>
              <w:left w:w="108" w:type="dxa"/>
              <w:bottom w:w="0" w:type="dxa"/>
              <w:right w:w="108" w:type="dxa"/>
            </w:tcMar>
            <w:vAlign w:val="bottom"/>
          </w:tcPr>
          <w:p w14:paraId="60B6C42B" w14:textId="77777777" w:rsidR="00A76ADB" w:rsidRPr="00246F01" w:rsidRDefault="00A76ADB" w:rsidP="007E3239">
            <w:pPr>
              <w:pStyle w:val="TableText"/>
              <w:spacing w:before="50" w:after="50"/>
              <w:jc w:val="center"/>
            </w:pPr>
            <w:r w:rsidRPr="00246F01">
              <w:t>1,432.6</w:t>
            </w:r>
          </w:p>
        </w:tc>
        <w:tc>
          <w:tcPr>
            <w:tcW w:w="0" w:type="auto"/>
            <w:shd w:val="clear" w:color="auto" w:fill="FFFFFF"/>
            <w:tcMar>
              <w:top w:w="0" w:type="dxa"/>
              <w:left w:w="108" w:type="dxa"/>
              <w:bottom w:w="0" w:type="dxa"/>
              <w:right w:w="108" w:type="dxa"/>
            </w:tcMar>
            <w:vAlign w:val="bottom"/>
          </w:tcPr>
          <w:p w14:paraId="5E909DA8" w14:textId="77777777" w:rsidR="00A76ADB" w:rsidRPr="00246F01" w:rsidRDefault="00A76ADB" w:rsidP="007E3239">
            <w:pPr>
              <w:pStyle w:val="TableText"/>
              <w:spacing w:before="50" w:after="50"/>
              <w:jc w:val="center"/>
            </w:pPr>
            <w:r w:rsidRPr="00246F01">
              <w:t>1,094.7</w:t>
            </w:r>
          </w:p>
        </w:tc>
        <w:tc>
          <w:tcPr>
            <w:tcW w:w="0" w:type="auto"/>
            <w:shd w:val="clear" w:color="auto" w:fill="FFFFFF"/>
            <w:tcMar>
              <w:top w:w="0" w:type="dxa"/>
              <w:left w:w="108" w:type="dxa"/>
              <w:bottom w:w="0" w:type="dxa"/>
              <w:right w:w="108" w:type="dxa"/>
            </w:tcMar>
            <w:vAlign w:val="bottom"/>
          </w:tcPr>
          <w:p w14:paraId="6CFD0F6B" w14:textId="77777777" w:rsidR="00A76ADB" w:rsidRPr="00246F01" w:rsidRDefault="00A76ADB" w:rsidP="007E3239">
            <w:pPr>
              <w:pStyle w:val="TableText"/>
              <w:spacing w:before="50" w:after="50"/>
              <w:jc w:val="center"/>
            </w:pPr>
            <w:r w:rsidRPr="00246F01">
              <w:t>121.6</w:t>
            </w:r>
          </w:p>
        </w:tc>
        <w:tc>
          <w:tcPr>
            <w:tcW w:w="0" w:type="auto"/>
            <w:shd w:val="clear" w:color="auto" w:fill="FFFFFF"/>
            <w:tcMar>
              <w:top w:w="0" w:type="dxa"/>
              <w:left w:w="108" w:type="dxa"/>
              <w:bottom w:w="0" w:type="dxa"/>
              <w:right w:w="108" w:type="dxa"/>
            </w:tcMar>
            <w:vAlign w:val="bottom"/>
          </w:tcPr>
          <w:p w14:paraId="43457076" w14:textId="77777777" w:rsidR="00A76ADB" w:rsidRPr="00246F01" w:rsidRDefault="00A76ADB" w:rsidP="007E3239">
            <w:pPr>
              <w:pStyle w:val="TableText"/>
              <w:spacing w:before="50" w:after="50"/>
              <w:jc w:val="center"/>
            </w:pPr>
            <w:r w:rsidRPr="00246F01">
              <w:t>2,648.9</w:t>
            </w:r>
          </w:p>
        </w:tc>
      </w:tr>
      <w:tr w:rsidR="00A76ADB" w14:paraId="71EF8508" w14:textId="77777777" w:rsidTr="00F16598">
        <w:trPr>
          <w:cantSplit/>
          <w:trHeight w:val="283"/>
        </w:trPr>
        <w:tc>
          <w:tcPr>
            <w:tcW w:w="0" w:type="auto"/>
            <w:shd w:val="clear" w:color="auto" w:fill="FFFFFF"/>
            <w:tcMar>
              <w:top w:w="0" w:type="dxa"/>
              <w:left w:w="108" w:type="dxa"/>
              <w:bottom w:w="0" w:type="dxa"/>
              <w:right w:w="108" w:type="dxa"/>
            </w:tcMar>
            <w:vAlign w:val="center"/>
          </w:tcPr>
          <w:p w14:paraId="2087E1BE" w14:textId="77777777" w:rsidR="00A76ADB" w:rsidRDefault="00A76ADB" w:rsidP="007E3239">
            <w:pPr>
              <w:pStyle w:val="TableText"/>
              <w:spacing w:before="50" w:after="50"/>
            </w:pPr>
            <w:r>
              <w:rPr>
                <w:rFonts w:eastAsia="Calibri"/>
              </w:rPr>
              <w:t>1990</w:t>
            </w:r>
          </w:p>
        </w:tc>
        <w:tc>
          <w:tcPr>
            <w:tcW w:w="0" w:type="auto"/>
            <w:shd w:val="clear" w:color="auto" w:fill="FFFFFF"/>
            <w:tcMar>
              <w:top w:w="0" w:type="dxa"/>
              <w:left w:w="108" w:type="dxa"/>
              <w:bottom w:w="0" w:type="dxa"/>
              <w:right w:w="108" w:type="dxa"/>
            </w:tcMar>
            <w:vAlign w:val="bottom"/>
          </w:tcPr>
          <w:p w14:paraId="17EBF08C" w14:textId="77777777" w:rsidR="00A76ADB" w:rsidRPr="00246F01" w:rsidRDefault="00A76ADB" w:rsidP="007E3239">
            <w:pPr>
              <w:pStyle w:val="TableText"/>
              <w:spacing w:before="50" w:after="50"/>
              <w:jc w:val="center"/>
            </w:pPr>
            <w:r w:rsidRPr="00246F01">
              <w:t>1,432.6</w:t>
            </w:r>
          </w:p>
        </w:tc>
        <w:tc>
          <w:tcPr>
            <w:tcW w:w="0" w:type="auto"/>
            <w:shd w:val="clear" w:color="auto" w:fill="FFFFFF"/>
            <w:tcMar>
              <w:top w:w="0" w:type="dxa"/>
              <w:left w:w="108" w:type="dxa"/>
              <w:bottom w:w="0" w:type="dxa"/>
              <w:right w:w="108" w:type="dxa"/>
            </w:tcMar>
            <w:vAlign w:val="bottom"/>
          </w:tcPr>
          <w:p w14:paraId="5177D904" w14:textId="77777777" w:rsidR="00A76ADB" w:rsidRPr="00246F01" w:rsidRDefault="00A76ADB" w:rsidP="007E3239">
            <w:pPr>
              <w:pStyle w:val="TableText"/>
              <w:spacing w:before="50" w:after="50"/>
              <w:jc w:val="center"/>
            </w:pPr>
            <w:r w:rsidRPr="00246F01">
              <w:t>1,174.7</w:t>
            </w:r>
          </w:p>
        </w:tc>
        <w:tc>
          <w:tcPr>
            <w:tcW w:w="0" w:type="auto"/>
            <w:shd w:val="clear" w:color="auto" w:fill="FFFFFF"/>
            <w:tcMar>
              <w:top w:w="0" w:type="dxa"/>
              <w:left w:w="108" w:type="dxa"/>
              <w:bottom w:w="0" w:type="dxa"/>
              <w:right w:w="108" w:type="dxa"/>
            </w:tcMar>
            <w:vAlign w:val="bottom"/>
          </w:tcPr>
          <w:p w14:paraId="7DCD4418" w14:textId="77777777" w:rsidR="00A76ADB" w:rsidRPr="00246F01" w:rsidRDefault="00A76ADB" w:rsidP="007E3239">
            <w:pPr>
              <w:pStyle w:val="TableText"/>
              <w:spacing w:before="50" w:after="50"/>
              <w:jc w:val="center"/>
            </w:pPr>
            <w:r w:rsidRPr="00246F01">
              <w:t>130.5</w:t>
            </w:r>
          </w:p>
        </w:tc>
        <w:tc>
          <w:tcPr>
            <w:tcW w:w="0" w:type="auto"/>
            <w:shd w:val="clear" w:color="auto" w:fill="FFFFFF"/>
            <w:tcMar>
              <w:top w:w="0" w:type="dxa"/>
              <w:left w:w="108" w:type="dxa"/>
              <w:bottom w:w="0" w:type="dxa"/>
              <w:right w:w="108" w:type="dxa"/>
            </w:tcMar>
            <w:vAlign w:val="bottom"/>
          </w:tcPr>
          <w:p w14:paraId="46BA3E29" w14:textId="77777777" w:rsidR="00A76ADB" w:rsidRPr="00246F01" w:rsidRDefault="00A76ADB" w:rsidP="007E3239">
            <w:pPr>
              <w:pStyle w:val="TableText"/>
              <w:spacing w:before="50" w:after="50"/>
              <w:jc w:val="center"/>
            </w:pPr>
            <w:r w:rsidRPr="00246F01">
              <w:t>2,737.8</w:t>
            </w:r>
          </w:p>
        </w:tc>
      </w:tr>
      <w:tr w:rsidR="00A76ADB" w14:paraId="27534DD5" w14:textId="77777777" w:rsidTr="00F16598">
        <w:trPr>
          <w:cantSplit/>
          <w:trHeight w:val="283"/>
        </w:trPr>
        <w:tc>
          <w:tcPr>
            <w:tcW w:w="0" w:type="auto"/>
            <w:shd w:val="clear" w:color="auto" w:fill="FFFFFF"/>
            <w:tcMar>
              <w:top w:w="0" w:type="dxa"/>
              <w:left w:w="108" w:type="dxa"/>
              <w:bottom w:w="0" w:type="dxa"/>
              <w:right w:w="108" w:type="dxa"/>
            </w:tcMar>
            <w:vAlign w:val="center"/>
          </w:tcPr>
          <w:p w14:paraId="0CCF7174" w14:textId="77777777" w:rsidR="00A76ADB" w:rsidRDefault="00A76ADB" w:rsidP="007E3239">
            <w:pPr>
              <w:pStyle w:val="TableText"/>
              <w:spacing w:before="50" w:after="50"/>
            </w:pPr>
            <w:r>
              <w:rPr>
                <w:rFonts w:eastAsia="Calibri"/>
              </w:rPr>
              <w:t>1991</w:t>
            </w:r>
          </w:p>
        </w:tc>
        <w:tc>
          <w:tcPr>
            <w:tcW w:w="0" w:type="auto"/>
            <w:shd w:val="clear" w:color="auto" w:fill="FFFFFF"/>
            <w:tcMar>
              <w:top w:w="0" w:type="dxa"/>
              <w:left w:w="108" w:type="dxa"/>
              <w:bottom w:w="0" w:type="dxa"/>
              <w:right w:w="108" w:type="dxa"/>
            </w:tcMar>
            <w:vAlign w:val="bottom"/>
          </w:tcPr>
          <w:p w14:paraId="0D403833" w14:textId="77777777" w:rsidR="00A76ADB" w:rsidRPr="00246F01" w:rsidRDefault="00A76ADB" w:rsidP="007E3239">
            <w:pPr>
              <w:pStyle w:val="TableText"/>
              <w:spacing w:before="50" w:after="50"/>
              <w:jc w:val="center"/>
            </w:pPr>
            <w:r w:rsidRPr="00246F01">
              <w:t>1,432.6</w:t>
            </w:r>
          </w:p>
        </w:tc>
        <w:tc>
          <w:tcPr>
            <w:tcW w:w="0" w:type="auto"/>
            <w:shd w:val="clear" w:color="auto" w:fill="FFFFFF"/>
            <w:tcMar>
              <w:top w:w="0" w:type="dxa"/>
              <w:left w:w="108" w:type="dxa"/>
              <w:bottom w:w="0" w:type="dxa"/>
              <w:right w:w="108" w:type="dxa"/>
            </w:tcMar>
            <w:vAlign w:val="bottom"/>
          </w:tcPr>
          <w:p w14:paraId="73B8B3D2" w14:textId="77777777" w:rsidR="00A76ADB" w:rsidRPr="00246F01" w:rsidRDefault="00A76ADB" w:rsidP="007E3239">
            <w:pPr>
              <w:pStyle w:val="TableText"/>
              <w:spacing w:before="50" w:after="50"/>
              <w:jc w:val="center"/>
            </w:pPr>
            <w:r w:rsidRPr="00246F01">
              <w:t>1,254.7</w:t>
            </w:r>
          </w:p>
        </w:tc>
        <w:tc>
          <w:tcPr>
            <w:tcW w:w="0" w:type="auto"/>
            <w:shd w:val="clear" w:color="auto" w:fill="FFFFFF"/>
            <w:tcMar>
              <w:top w:w="0" w:type="dxa"/>
              <w:left w:w="108" w:type="dxa"/>
              <w:bottom w:w="0" w:type="dxa"/>
              <w:right w:w="108" w:type="dxa"/>
            </w:tcMar>
            <w:vAlign w:val="bottom"/>
          </w:tcPr>
          <w:p w14:paraId="0FD78171" w14:textId="77777777" w:rsidR="00A76ADB" w:rsidRPr="00246F01" w:rsidRDefault="00A76ADB" w:rsidP="007E3239">
            <w:pPr>
              <w:pStyle w:val="TableText"/>
              <w:spacing w:before="50" w:after="50"/>
              <w:jc w:val="center"/>
            </w:pPr>
            <w:r w:rsidRPr="00246F01">
              <w:t>139.4</w:t>
            </w:r>
          </w:p>
        </w:tc>
        <w:tc>
          <w:tcPr>
            <w:tcW w:w="0" w:type="auto"/>
            <w:shd w:val="clear" w:color="auto" w:fill="FFFFFF"/>
            <w:tcMar>
              <w:top w:w="0" w:type="dxa"/>
              <w:left w:w="108" w:type="dxa"/>
              <w:bottom w:w="0" w:type="dxa"/>
              <w:right w:w="108" w:type="dxa"/>
            </w:tcMar>
            <w:vAlign w:val="bottom"/>
          </w:tcPr>
          <w:p w14:paraId="598D9328" w14:textId="77777777" w:rsidR="00A76ADB" w:rsidRPr="00246F01" w:rsidRDefault="00A76ADB" w:rsidP="007E3239">
            <w:pPr>
              <w:pStyle w:val="TableText"/>
              <w:spacing w:before="50" w:after="50"/>
              <w:jc w:val="center"/>
            </w:pPr>
            <w:r w:rsidRPr="00246F01">
              <w:t>2,826.6</w:t>
            </w:r>
          </w:p>
        </w:tc>
      </w:tr>
      <w:tr w:rsidR="00A76ADB" w14:paraId="7FB7B038" w14:textId="77777777" w:rsidTr="00F16598">
        <w:trPr>
          <w:cantSplit/>
          <w:trHeight w:val="283"/>
        </w:trPr>
        <w:tc>
          <w:tcPr>
            <w:tcW w:w="0" w:type="auto"/>
            <w:shd w:val="clear" w:color="auto" w:fill="FFFFFF"/>
            <w:tcMar>
              <w:top w:w="0" w:type="dxa"/>
              <w:left w:w="108" w:type="dxa"/>
              <w:bottom w:w="0" w:type="dxa"/>
              <w:right w:w="108" w:type="dxa"/>
            </w:tcMar>
            <w:vAlign w:val="center"/>
          </w:tcPr>
          <w:p w14:paraId="41DDB839" w14:textId="77777777" w:rsidR="00A76ADB" w:rsidRDefault="00A76ADB" w:rsidP="007E3239">
            <w:pPr>
              <w:pStyle w:val="TableText"/>
              <w:spacing w:before="50" w:after="50"/>
            </w:pPr>
            <w:r>
              <w:rPr>
                <w:rFonts w:eastAsia="Calibri"/>
              </w:rPr>
              <w:t>1992</w:t>
            </w:r>
          </w:p>
        </w:tc>
        <w:tc>
          <w:tcPr>
            <w:tcW w:w="0" w:type="auto"/>
            <w:shd w:val="clear" w:color="auto" w:fill="FFFFFF"/>
            <w:tcMar>
              <w:top w:w="0" w:type="dxa"/>
              <w:left w:w="108" w:type="dxa"/>
              <w:bottom w:w="0" w:type="dxa"/>
              <w:right w:w="108" w:type="dxa"/>
            </w:tcMar>
            <w:vAlign w:val="bottom"/>
          </w:tcPr>
          <w:p w14:paraId="71F1465C" w14:textId="77777777" w:rsidR="00A76ADB" w:rsidRPr="00246F01" w:rsidRDefault="00A76ADB" w:rsidP="007E3239">
            <w:pPr>
              <w:pStyle w:val="TableText"/>
              <w:spacing w:before="50" w:after="50"/>
              <w:jc w:val="center"/>
            </w:pPr>
            <w:r w:rsidRPr="00246F01">
              <w:t>1,432.6</w:t>
            </w:r>
          </w:p>
        </w:tc>
        <w:tc>
          <w:tcPr>
            <w:tcW w:w="0" w:type="auto"/>
            <w:shd w:val="clear" w:color="auto" w:fill="FFFFFF"/>
            <w:tcMar>
              <w:top w:w="0" w:type="dxa"/>
              <w:left w:w="108" w:type="dxa"/>
              <w:bottom w:w="0" w:type="dxa"/>
              <w:right w:w="108" w:type="dxa"/>
            </w:tcMar>
            <w:vAlign w:val="bottom"/>
          </w:tcPr>
          <w:p w14:paraId="50252797" w14:textId="77777777" w:rsidR="00A76ADB" w:rsidRPr="00246F01" w:rsidRDefault="00A76ADB" w:rsidP="007E3239">
            <w:pPr>
              <w:pStyle w:val="TableText"/>
              <w:spacing w:before="50" w:after="50"/>
              <w:jc w:val="center"/>
            </w:pPr>
            <w:r w:rsidRPr="00246F01">
              <w:t>1,334.7</w:t>
            </w:r>
          </w:p>
        </w:tc>
        <w:tc>
          <w:tcPr>
            <w:tcW w:w="0" w:type="auto"/>
            <w:shd w:val="clear" w:color="auto" w:fill="FFFFFF"/>
            <w:tcMar>
              <w:top w:w="0" w:type="dxa"/>
              <w:left w:w="108" w:type="dxa"/>
              <w:bottom w:w="0" w:type="dxa"/>
              <w:right w:w="108" w:type="dxa"/>
            </w:tcMar>
            <w:vAlign w:val="bottom"/>
          </w:tcPr>
          <w:p w14:paraId="3C6CA28C" w14:textId="77777777" w:rsidR="00A76ADB" w:rsidRPr="00246F01" w:rsidRDefault="00A76ADB" w:rsidP="007E3239">
            <w:pPr>
              <w:pStyle w:val="TableText"/>
              <w:spacing w:before="50" w:after="50"/>
              <w:jc w:val="center"/>
            </w:pPr>
            <w:r w:rsidRPr="00246F01">
              <w:t>148.3</w:t>
            </w:r>
          </w:p>
        </w:tc>
        <w:tc>
          <w:tcPr>
            <w:tcW w:w="0" w:type="auto"/>
            <w:shd w:val="clear" w:color="auto" w:fill="FFFFFF"/>
            <w:tcMar>
              <w:top w:w="0" w:type="dxa"/>
              <w:left w:w="108" w:type="dxa"/>
              <w:bottom w:w="0" w:type="dxa"/>
              <w:right w:w="108" w:type="dxa"/>
            </w:tcMar>
            <w:vAlign w:val="bottom"/>
          </w:tcPr>
          <w:p w14:paraId="2EA4B4C5" w14:textId="77777777" w:rsidR="00A76ADB" w:rsidRPr="00246F01" w:rsidRDefault="00A76ADB" w:rsidP="007E3239">
            <w:pPr>
              <w:pStyle w:val="TableText"/>
              <w:spacing w:before="50" w:after="50"/>
              <w:jc w:val="center"/>
            </w:pPr>
            <w:r w:rsidRPr="00246F01">
              <w:t>2,915.5</w:t>
            </w:r>
          </w:p>
        </w:tc>
      </w:tr>
      <w:tr w:rsidR="00A76ADB" w14:paraId="51132499" w14:textId="77777777" w:rsidTr="00F16598">
        <w:trPr>
          <w:cantSplit/>
          <w:trHeight w:val="283"/>
        </w:trPr>
        <w:tc>
          <w:tcPr>
            <w:tcW w:w="0" w:type="auto"/>
            <w:shd w:val="clear" w:color="auto" w:fill="FFFFFF"/>
            <w:tcMar>
              <w:top w:w="0" w:type="dxa"/>
              <w:left w:w="108" w:type="dxa"/>
              <w:bottom w:w="0" w:type="dxa"/>
              <w:right w:w="108" w:type="dxa"/>
            </w:tcMar>
            <w:vAlign w:val="center"/>
          </w:tcPr>
          <w:p w14:paraId="44F05F90" w14:textId="77777777" w:rsidR="00A76ADB" w:rsidRDefault="00A76ADB" w:rsidP="007E3239">
            <w:pPr>
              <w:pStyle w:val="TableText"/>
              <w:spacing w:before="50" w:after="50"/>
            </w:pPr>
            <w:r>
              <w:rPr>
                <w:rFonts w:eastAsia="Calibri"/>
              </w:rPr>
              <w:t>1993</w:t>
            </w:r>
          </w:p>
        </w:tc>
        <w:tc>
          <w:tcPr>
            <w:tcW w:w="0" w:type="auto"/>
            <w:shd w:val="clear" w:color="auto" w:fill="FFFFFF"/>
            <w:tcMar>
              <w:top w:w="0" w:type="dxa"/>
              <w:left w:w="108" w:type="dxa"/>
              <w:bottom w:w="0" w:type="dxa"/>
              <w:right w:w="108" w:type="dxa"/>
            </w:tcMar>
            <w:vAlign w:val="bottom"/>
          </w:tcPr>
          <w:p w14:paraId="548EDDAB" w14:textId="77777777" w:rsidR="00A76ADB" w:rsidRPr="00246F01" w:rsidRDefault="00A76ADB" w:rsidP="007E3239">
            <w:pPr>
              <w:pStyle w:val="TableText"/>
              <w:spacing w:before="50" w:after="50"/>
              <w:jc w:val="center"/>
            </w:pPr>
            <w:r w:rsidRPr="00246F01">
              <w:t>1,650.5</w:t>
            </w:r>
          </w:p>
        </w:tc>
        <w:tc>
          <w:tcPr>
            <w:tcW w:w="0" w:type="auto"/>
            <w:shd w:val="clear" w:color="auto" w:fill="FFFFFF"/>
            <w:tcMar>
              <w:top w:w="0" w:type="dxa"/>
              <w:left w:w="108" w:type="dxa"/>
              <w:bottom w:w="0" w:type="dxa"/>
              <w:right w:w="108" w:type="dxa"/>
            </w:tcMar>
            <w:vAlign w:val="bottom"/>
          </w:tcPr>
          <w:p w14:paraId="07DAD878" w14:textId="77777777" w:rsidR="00A76ADB" w:rsidRPr="00246F01" w:rsidRDefault="00A76ADB" w:rsidP="007E3239">
            <w:pPr>
              <w:pStyle w:val="TableText"/>
              <w:spacing w:before="50" w:after="50"/>
              <w:jc w:val="center"/>
            </w:pPr>
            <w:r w:rsidRPr="00246F01">
              <w:t>1,218.5</w:t>
            </w:r>
          </w:p>
        </w:tc>
        <w:tc>
          <w:tcPr>
            <w:tcW w:w="0" w:type="auto"/>
            <w:shd w:val="clear" w:color="auto" w:fill="FFFFFF"/>
            <w:tcMar>
              <w:top w:w="0" w:type="dxa"/>
              <w:left w:w="108" w:type="dxa"/>
              <w:bottom w:w="0" w:type="dxa"/>
              <w:right w:w="108" w:type="dxa"/>
            </w:tcMar>
            <w:vAlign w:val="bottom"/>
          </w:tcPr>
          <w:p w14:paraId="71AF23EB" w14:textId="77777777" w:rsidR="00A76ADB" w:rsidRPr="00246F01" w:rsidRDefault="00A76ADB" w:rsidP="007E3239">
            <w:pPr>
              <w:pStyle w:val="TableText"/>
              <w:spacing w:before="50" w:after="50"/>
              <w:jc w:val="center"/>
            </w:pPr>
            <w:r w:rsidRPr="00246F01">
              <w:t>135.4</w:t>
            </w:r>
          </w:p>
        </w:tc>
        <w:tc>
          <w:tcPr>
            <w:tcW w:w="0" w:type="auto"/>
            <w:shd w:val="clear" w:color="auto" w:fill="FFFFFF"/>
            <w:tcMar>
              <w:top w:w="0" w:type="dxa"/>
              <w:left w:w="108" w:type="dxa"/>
              <w:bottom w:w="0" w:type="dxa"/>
              <w:right w:w="108" w:type="dxa"/>
            </w:tcMar>
            <w:vAlign w:val="bottom"/>
          </w:tcPr>
          <w:p w14:paraId="6701F4A4" w14:textId="77777777" w:rsidR="00A76ADB" w:rsidRPr="00246F01" w:rsidRDefault="00A76ADB" w:rsidP="007E3239">
            <w:pPr>
              <w:pStyle w:val="TableText"/>
              <w:spacing w:before="50" w:after="50"/>
              <w:jc w:val="center"/>
            </w:pPr>
            <w:r w:rsidRPr="00246F01">
              <w:t>3,004.4</w:t>
            </w:r>
          </w:p>
        </w:tc>
      </w:tr>
      <w:tr w:rsidR="00A76ADB" w14:paraId="7A30B31A" w14:textId="77777777" w:rsidTr="00F16598">
        <w:trPr>
          <w:cantSplit/>
          <w:trHeight w:val="283"/>
        </w:trPr>
        <w:tc>
          <w:tcPr>
            <w:tcW w:w="0" w:type="auto"/>
            <w:shd w:val="clear" w:color="auto" w:fill="FFFFFF"/>
            <w:tcMar>
              <w:top w:w="0" w:type="dxa"/>
              <w:left w:w="108" w:type="dxa"/>
              <w:bottom w:w="0" w:type="dxa"/>
              <w:right w:w="108" w:type="dxa"/>
            </w:tcMar>
            <w:vAlign w:val="center"/>
          </w:tcPr>
          <w:p w14:paraId="666FE66F" w14:textId="77777777" w:rsidR="00A76ADB" w:rsidRDefault="00A76ADB" w:rsidP="007E3239">
            <w:pPr>
              <w:pStyle w:val="TableText"/>
              <w:spacing w:before="50" w:after="50"/>
            </w:pPr>
            <w:r>
              <w:rPr>
                <w:rFonts w:eastAsia="Calibri"/>
              </w:rPr>
              <w:t>1994</w:t>
            </w:r>
          </w:p>
        </w:tc>
        <w:tc>
          <w:tcPr>
            <w:tcW w:w="0" w:type="auto"/>
            <w:shd w:val="clear" w:color="auto" w:fill="FFFFFF"/>
            <w:tcMar>
              <w:top w:w="0" w:type="dxa"/>
              <w:left w:w="108" w:type="dxa"/>
              <w:bottom w:w="0" w:type="dxa"/>
              <w:right w:w="108" w:type="dxa"/>
            </w:tcMar>
            <w:vAlign w:val="bottom"/>
          </w:tcPr>
          <w:p w14:paraId="6DE81CE5" w14:textId="77777777" w:rsidR="00A76ADB" w:rsidRPr="00246F01" w:rsidRDefault="00A76ADB" w:rsidP="007E3239">
            <w:pPr>
              <w:pStyle w:val="TableText"/>
              <w:spacing w:before="50" w:after="50"/>
              <w:jc w:val="center"/>
            </w:pPr>
            <w:r w:rsidRPr="00246F01">
              <w:t>1,687.5</w:t>
            </w:r>
          </w:p>
        </w:tc>
        <w:tc>
          <w:tcPr>
            <w:tcW w:w="0" w:type="auto"/>
            <w:shd w:val="clear" w:color="auto" w:fill="FFFFFF"/>
            <w:tcMar>
              <w:top w:w="0" w:type="dxa"/>
              <w:left w:w="108" w:type="dxa"/>
              <w:bottom w:w="0" w:type="dxa"/>
              <w:right w:w="108" w:type="dxa"/>
            </w:tcMar>
            <w:vAlign w:val="bottom"/>
          </w:tcPr>
          <w:p w14:paraId="7CA95E98" w14:textId="77777777" w:rsidR="00A76ADB" w:rsidRPr="00246F01" w:rsidRDefault="00A76ADB" w:rsidP="007E3239">
            <w:pPr>
              <w:pStyle w:val="TableText"/>
              <w:spacing w:before="50" w:after="50"/>
              <w:jc w:val="center"/>
            </w:pPr>
            <w:r w:rsidRPr="00246F01">
              <w:t>1,265.2</w:t>
            </w:r>
          </w:p>
        </w:tc>
        <w:tc>
          <w:tcPr>
            <w:tcW w:w="0" w:type="auto"/>
            <w:shd w:val="clear" w:color="auto" w:fill="FFFFFF"/>
            <w:tcMar>
              <w:top w:w="0" w:type="dxa"/>
              <w:left w:w="108" w:type="dxa"/>
              <w:bottom w:w="0" w:type="dxa"/>
              <w:right w:w="108" w:type="dxa"/>
            </w:tcMar>
            <w:vAlign w:val="bottom"/>
          </w:tcPr>
          <w:p w14:paraId="089EF285" w14:textId="77777777" w:rsidR="00A76ADB" w:rsidRPr="00246F01" w:rsidRDefault="00A76ADB" w:rsidP="007E3239">
            <w:pPr>
              <w:pStyle w:val="TableText"/>
              <w:spacing w:before="50" w:after="50"/>
              <w:jc w:val="center"/>
            </w:pPr>
            <w:r w:rsidRPr="00246F01">
              <w:t>140.6</w:t>
            </w:r>
          </w:p>
        </w:tc>
        <w:tc>
          <w:tcPr>
            <w:tcW w:w="0" w:type="auto"/>
            <w:shd w:val="clear" w:color="auto" w:fill="FFFFFF"/>
            <w:tcMar>
              <w:top w:w="0" w:type="dxa"/>
              <w:left w:w="108" w:type="dxa"/>
              <w:bottom w:w="0" w:type="dxa"/>
              <w:right w:w="108" w:type="dxa"/>
            </w:tcMar>
            <w:vAlign w:val="bottom"/>
          </w:tcPr>
          <w:p w14:paraId="54CA9130" w14:textId="77777777" w:rsidR="00A76ADB" w:rsidRPr="00246F01" w:rsidRDefault="00A76ADB" w:rsidP="007E3239">
            <w:pPr>
              <w:pStyle w:val="TableText"/>
              <w:spacing w:before="50" w:after="50"/>
              <w:jc w:val="center"/>
            </w:pPr>
            <w:r w:rsidRPr="00246F01">
              <w:t>3,093.2</w:t>
            </w:r>
          </w:p>
        </w:tc>
      </w:tr>
      <w:tr w:rsidR="00A76ADB" w14:paraId="5B3AC40A" w14:textId="77777777" w:rsidTr="00F16598">
        <w:trPr>
          <w:cantSplit/>
          <w:trHeight w:val="283"/>
        </w:trPr>
        <w:tc>
          <w:tcPr>
            <w:tcW w:w="0" w:type="auto"/>
            <w:shd w:val="clear" w:color="auto" w:fill="FFFFFF"/>
            <w:tcMar>
              <w:top w:w="0" w:type="dxa"/>
              <w:left w:w="108" w:type="dxa"/>
              <w:bottom w:w="0" w:type="dxa"/>
              <w:right w:w="108" w:type="dxa"/>
            </w:tcMar>
            <w:vAlign w:val="center"/>
          </w:tcPr>
          <w:p w14:paraId="3953F664" w14:textId="77777777" w:rsidR="00A76ADB" w:rsidRDefault="00A76ADB" w:rsidP="007E3239">
            <w:pPr>
              <w:pStyle w:val="TableText"/>
              <w:spacing w:before="50" w:after="50"/>
            </w:pPr>
            <w:r>
              <w:rPr>
                <w:rFonts w:eastAsia="Calibri"/>
              </w:rPr>
              <w:t>1995</w:t>
            </w:r>
          </w:p>
        </w:tc>
        <w:tc>
          <w:tcPr>
            <w:tcW w:w="0" w:type="auto"/>
            <w:shd w:val="clear" w:color="auto" w:fill="FFFFFF"/>
            <w:tcMar>
              <w:top w:w="0" w:type="dxa"/>
              <w:left w:w="108" w:type="dxa"/>
              <w:bottom w:w="0" w:type="dxa"/>
              <w:right w:w="108" w:type="dxa"/>
            </w:tcMar>
            <w:vAlign w:val="bottom"/>
          </w:tcPr>
          <w:p w14:paraId="65201D3D" w14:textId="77777777" w:rsidR="00A76ADB" w:rsidRPr="00246F01" w:rsidRDefault="00A76ADB" w:rsidP="007E3239">
            <w:pPr>
              <w:pStyle w:val="TableText"/>
              <w:spacing w:before="50" w:after="50"/>
              <w:jc w:val="center"/>
            </w:pPr>
            <w:r w:rsidRPr="00246F01">
              <w:t>1,687.5</w:t>
            </w:r>
          </w:p>
        </w:tc>
        <w:tc>
          <w:tcPr>
            <w:tcW w:w="0" w:type="auto"/>
            <w:shd w:val="clear" w:color="auto" w:fill="FFFFFF"/>
            <w:tcMar>
              <w:top w:w="0" w:type="dxa"/>
              <w:left w:w="108" w:type="dxa"/>
              <w:bottom w:w="0" w:type="dxa"/>
              <w:right w:w="108" w:type="dxa"/>
            </w:tcMar>
            <w:vAlign w:val="bottom"/>
          </w:tcPr>
          <w:p w14:paraId="1C0E8EDF" w14:textId="77777777" w:rsidR="00A76ADB" w:rsidRPr="00246F01" w:rsidRDefault="00A76ADB" w:rsidP="007E3239">
            <w:pPr>
              <w:pStyle w:val="TableText"/>
              <w:spacing w:before="50" w:after="50"/>
              <w:jc w:val="center"/>
            </w:pPr>
            <w:r w:rsidRPr="00246F01">
              <w:t>1,345.2</w:t>
            </w:r>
          </w:p>
        </w:tc>
        <w:tc>
          <w:tcPr>
            <w:tcW w:w="0" w:type="auto"/>
            <w:shd w:val="clear" w:color="auto" w:fill="FFFFFF"/>
            <w:tcMar>
              <w:top w:w="0" w:type="dxa"/>
              <w:left w:w="108" w:type="dxa"/>
              <w:bottom w:w="0" w:type="dxa"/>
              <w:right w:w="108" w:type="dxa"/>
            </w:tcMar>
            <w:vAlign w:val="bottom"/>
          </w:tcPr>
          <w:p w14:paraId="758BAF17" w14:textId="77777777" w:rsidR="00A76ADB" w:rsidRPr="00246F01" w:rsidRDefault="00A76ADB" w:rsidP="007E3239">
            <w:pPr>
              <w:pStyle w:val="TableText"/>
              <w:spacing w:before="50" w:after="50"/>
              <w:jc w:val="center"/>
            </w:pPr>
            <w:r w:rsidRPr="00246F01">
              <w:t>149.5</w:t>
            </w:r>
          </w:p>
        </w:tc>
        <w:tc>
          <w:tcPr>
            <w:tcW w:w="0" w:type="auto"/>
            <w:shd w:val="clear" w:color="auto" w:fill="FFFFFF"/>
            <w:tcMar>
              <w:top w:w="0" w:type="dxa"/>
              <w:left w:w="108" w:type="dxa"/>
              <w:bottom w:w="0" w:type="dxa"/>
              <w:right w:w="108" w:type="dxa"/>
            </w:tcMar>
            <w:vAlign w:val="bottom"/>
          </w:tcPr>
          <w:p w14:paraId="0AC8FA66" w14:textId="77777777" w:rsidR="00A76ADB" w:rsidRPr="00246F01" w:rsidRDefault="00A76ADB" w:rsidP="007E3239">
            <w:pPr>
              <w:pStyle w:val="TableText"/>
              <w:spacing w:before="50" w:after="50"/>
              <w:jc w:val="center"/>
            </w:pPr>
            <w:r w:rsidRPr="00246F01">
              <w:t>3,182.1</w:t>
            </w:r>
          </w:p>
        </w:tc>
      </w:tr>
      <w:tr w:rsidR="00A76ADB" w14:paraId="3CFAEE2E" w14:textId="77777777" w:rsidTr="00F16598">
        <w:trPr>
          <w:cantSplit/>
          <w:trHeight w:val="283"/>
        </w:trPr>
        <w:tc>
          <w:tcPr>
            <w:tcW w:w="0" w:type="auto"/>
            <w:shd w:val="clear" w:color="auto" w:fill="FFFFFF"/>
            <w:tcMar>
              <w:top w:w="0" w:type="dxa"/>
              <w:left w:w="108" w:type="dxa"/>
              <w:bottom w:w="0" w:type="dxa"/>
              <w:right w:w="108" w:type="dxa"/>
            </w:tcMar>
            <w:vAlign w:val="center"/>
          </w:tcPr>
          <w:p w14:paraId="787F9B2E" w14:textId="77777777" w:rsidR="00A76ADB" w:rsidRDefault="00A76ADB" w:rsidP="007E3239">
            <w:pPr>
              <w:pStyle w:val="TableText"/>
              <w:spacing w:before="50" w:after="50"/>
            </w:pPr>
            <w:r>
              <w:rPr>
                <w:rFonts w:eastAsia="Calibri"/>
              </w:rPr>
              <w:t>1996</w:t>
            </w:r>
          </w:p>
        </w:tc>
        <w:tc>
          <w:tcPr>
            <w:tcW w:w="0" w:type="auto"/>
            <w:shd w:val="clear" w:color="auto" w:fill="FFFFFF"/>
            <w:tcMar>
              <w:top w:w="0" w:type="dxa"/>
              <w:left w:w="108" w:type="dxa"/>
              <w:bottom w:w="0" w:type="dxa"/>
              <w:right w:w="108" w:type="dxa"/>
            </w:tcMar>
            <w:vAlign w:val="bottom"/>
          </w:tcPr>
          <w:p w14:paraId="527134F6" w14:textId="77777777" w:rsidR="00A76ADB" w:rsidRPr="00246F01" w:rsidRDefault="00A76ADB" w:rsidP="007E3239">
            <w:pPr>
              <w:pStyle w:val="TableText"/>
              <w:spacing w:before="50" w:after="50"/>
              <w:jc w:val="center"/>
            </w:pPr>
            <w:r w:rsidRPr="00246F01">
              <w:t>1,735.0</w:t>
            </w:r>
          </w:p>
        </w:tc>
        <w:tc>
          <w:tcPr>
            <w:tcW w:w="0" w:type="auto"/>
            <w:shd w:val="clear" w:color="auto" w:fill="FFFFFF"/>
            <w:tcMar>
              <w:top w:w="0" w:type="dxa"/>
              <w:left w:w="108" w:type="dxa"/>
              <w:bottom w:w="0" w:type="dxa"/>
              <w:right w:w="108" w:type="dxa"/>
            </w:tcMar>
            <w:vAlign w:val="bottom"/>
          </w:tcPr>
          <w:p w14:paraId="5C09A7F1" w14:textId="77777777" w:rsidR="00A76ADB" w:rsidRPr="00246F01" w:rsidRDefault="00A76ADB" w:rsidP="007E3239">
            <w:pPr>
              <w:pStyle w:val="TableText"/>
              <w:spacing w:before="50" w:after="50"/>
              <w:jc w:val="center"/>
            </w:pPr>
            <w:r w:rsidRPr="00246F01">
              <w:t>1,186.0</w:t>
            </w:r>
          </w:p>
        </w:tc>
        <w:tc>
          <w:tcPr>
            <w:tcW w:w="0" w:type="auto"/>
            <w:shd w:val="clear" w:color="auto" w:fill="FFFFFF"/>
            <w:tcMar>
              <w:top w:w="0" w:type="dxa"/>
              <w:left w:w="108" w:type="dxa"/>
              <w:bottom w:w="0" w:type="dxa"/>
              <w:right w:w="108" w:type="dxa"/>
            </w:tcMar>
            <w:vAlign w:val="bottom"/>
          </w:tcPr>
          <w:p w14:paraId="797CBBF0" w14:textId="77777777" w:rsidR="00A76ADB" w:rsidRPr="00246F01" w:rsidRDefault="00A76ADB" w:rsidP="007E3239">
            <w:pPr>
              <w:pStyle w:val="TableText"/>
              <w:spacing w:before="50" w:after="50"/>
              <w:jc w:val="center"/>
            </w:pPr>
            <w:r w:rsidRPr="00246F01">
              <w:t>122.1</w:t>
            </w:r>
          </w:p>
        </w:tc>
        <w:tc>
          <w:tcPr>
            <w:tcW w:w="0" w:type="auto"/>
            <w:shd w:val="clear" w:color="auto" w:fill="FFFFFF"/>
            <w:tcMar>
              <w:top w:w="0" w:type="dxa"/>
              <w:left w:w="108" w:type="dxa"/>
              <w:bottom w:w="0" w:type="dxa"/>
              <w:right w:w="108" w:type="dxa"/>
            </w:tcMar>
            <w:vAlign w:val="bottom"/>
          </w:tcPr>
          <w:p w14:paraId="4142DBE6" w14:textId="77777777" w:rsidR="00A76ADB" w:rsidRPr="00246F01" w:rsidRDefault="00A76ADB" w:rsidP="007E3239">
            <w:pPr>
              <w:pStyle w:val="TableText"/>
              <w:spacing w:before="50" w:after="50"/>
              <w:jc w:val="center"/>
            </w:pPr>
            <w:r w:rsidRPr="00246F01">
              <w:t>3,043.1</w:t>
            </w:r>
          </w:p>
        </w:tc>
      </w:tr>
      <w:tr w:rsidR="00A76ADB" w14:paraId="1D409CB6" w14:textId="77777777" w:rsidTr="00F16598">
        <w:trPr>
          <w:cantSplit/>
          <w:trHeight w:val="283"/>
        </w:trPr>
        <w:tc>
          <w:tcPr>
            <w:tcW w:w="0" w:type="auto"/>
            <w:shd w:val="clear" w:color="auto" w:fill="FFFFFF"/>
            <w:tcMar>
              <w:top w:w="0" w:type="dxa"/>
              <w:left w:w="108" w:type="dxa"/>
              <w:bottom w:w="0" w:type="dxa"/>
              <w:right w:w="108" w:type="dxa"/>
            </w:tcMar>
            <w:vAlign w:val="center"/>
          </w:tcPr>
          <w:p w14:paraId="01903C92" w14:textId="77777777" w:rsidR="00A76ADB" w:rsidRDefault="00A76ADB" w:rsidP="007E3239">
            <w:pPr>
              <w:pStyle w:val="TableText"/>
              <w:spacing w:before="50" w:after="50"/>
            </w:pPr>
            <w:r>
              <w:rPr>
                <w:rFonts w:eastAsia="Calibri"/>
              </w:rPr>
              <w:t>1997</w:t>
            </w:r>
          </w:p>
        </w:tc>
        <w:tc>
          <w:tcPr>
            <w:tcW w:w="0" w:type="auto"/>
            <w:shd w:val="clear" w:color="auto" w:fill="FFFFFF"/>
            <w:tcMar>
              <w:top w:w="0" w:type="dxa"/>
              <w:left w:w="108" w:type="dxa"/>
              <w:bottom w:w="0" w:type="dxa"/>
              <w:right w:w="108" w:type="dxa"/>
            </w:tcMar>
            <w:vAlign w:val="bottom"/>
          </w:tcPr>
          <w:p w14:paraId="1570690F" w14:textId="77777777" w:rsidR="00A76ADB" w:rsidRPr="00246F01" w:rsidRDefault="00A76ADB" w:rsidP="007E3239">
            <w:pPr>
              <w:pStyle w:val="TableText"/>
              <w:spacing w:before="50" w:after="50"/>
              <w:jc w:val="center"/>
            </w:pPr>
            <w:r w:rsidRPr="00246F01">
              <w:t>1,671.2</w:t>
            </w:r>
          </w:p>
        </w:tc>
        <w:tc>
          <w:tcPr>
            <w:tcW w:w="0" w:type="auto"/>
            <w:shd w:val="clear" w:color="auto" w:fill="FFFFFF"/>
            <w:tcMar>
              <w:top w:w="0" w:type="dxa"/>
              <w:left w:w="108" w:type="dxa"/>
              <w:bottom w:w="0" w:type="dxa"/>
              <w:right w:w="108" w:type="dxa"/>
            </w:tcMar>
            <w:vAlign w:val="bottom"/>
          </w:tcPr>
          <w:p w14:paraId="147B2AE3" w14:textId="77777777" w:rsidR="00A76ADB" w:rsidRPr="00246F01" w:rsidRDefault="00A76ADB" w:rsidP="007E3239">
            <w:pPr>
              <w:pStyle w:val="TableText"/>
              <w:spacing w:before="50" w:after="50"/>
              <w:jc w:val="center"/>
            </w:pPr>
            <w:r w:rsidRPr="00246F01">
              <w:t>1,126.0</w:t>
            </w:r>
          </w:p>
        </w:tc>
        <w:tc>
          <w:tcPr>
            <w:tcW w:w="0" w:type="auto"/>
            <w:shd w:val="clear" w:color="auto" w:fill="FFFFFF"/>
            <w:tcMar>
              <w:top w:w="0" w:type="dxa"/>
              <w:left w:w="108" w:type="dxa"/>
              <w:bottom w:w="0" w:type="dxa"/>
              <w:right w:w="108" w:type="dxa"/>
            </w:tcMar>
            <w:vAlign w:val="bottom"/>
          </w:tcPr>
          <w:p w14:paraId="5428FB8D" w14:textId="77777777" w:rsidR="00A76ADB" w:rsidRPr="00246F01" w:rsidRDefault="00A76ADB" w:rsidP="007E3239">
            <w:pPr>
              <w:pStyle w:val="TableText"/>
              <w:spacing w:before="50" w:after="50"/>
              <w:jc w:val="center"/>
            </w:pPr>
            <w:r w:rsidRPr="00246F01">
              <w:t>106.8</w:t>
            </w:r>
          </w:p>
        </w:tc>
        <w:tc>
          <w:tcPr>
            <w:tcW w:w="0" w:type="auto"/>
            <w:shd w:val="clear" w:color="auto" w:fill="FFFFFF"/>
            <w:tcMar>
              <w:top w:w="0" w:type="dxa"/>
              <w:left w:w="108" w:type="dxa"/>
              <w:bottom w:w="0" w:type="dxa"/>
              <w:right w:w="108" w:type="dxa"/>
            </w:tcMar>
            <w:vAlign w:val="bottom"/>
          </w:tcPr>
          <w:p w14:paraId="43473171" w14:textId="77777777" w:rsidR="00A76ADB" w:rsidRPr="00246F01" w:rsidRDefault="00A76ADB" w:rsidP="007E3239">
            <w:pPr>
              <w:pStyle w:val="TableText"/>
              <w:spacing w:before="50" w:after="50"/>
              <w:jc w:val="center"/>
            </w:pPr>
            <w:r w:rsidRPr="00246F01">
              <w:t>2,904.1</w:t>
            </w:r>
          </w:p>
        </w:tc>
      </w:tr>
      <w:tr w:rsidR="00A76ADB" w14:paraId="3F05A375" w14:textId="77777777" w:rsidTr="00F16598">
        <w:trPr>
          <w:cantSplit/>
          <w:trHeight w:val="283"/>
        </w:trPr>
        <w:tc>
          <w:tcPr>
            <w:tcW w:w="0" w:type="auto"/>
            <w:shd w:val="clear" w:color="auto" w:fill="FFFFFF"/>
            <w:tcMar>
              <w:top w:w="0" w:type="dxa"/>
              <w:left w:w="108" w:type="dxa"/>
              <w:bottom w:w="0" w:type="dxa"/>
              <w:right w:w="108" w:type="dxa"/>
            </w:tcMar>
            <w:vAlign w:val="center"/>
          </w:tcPr>
          <w:p w14:paraId="52C8B1BB" w14:textId="77777777" w:rsidR="00A76ADB" w:rsidRDefault="00A76ADB" w:rsidP="007E3239">
            <w:pPr>
              <w:pStyle w:val="TableText"/>
              <w:spacing w:before="50" w:after="50"/>
            </w:pPr>
            <w:r>
              <w:rPr>
                <w:rFonts w:eastAsia="Calibri"/>
              </w:rPr>
              <w:t>1998</w:t>
            </w:r>
          </w:p>
        </w:tc>
        <w:tc>
          <w:tcPr>
            <w:tcW w:w="0" w:type="auto"/>
            <w:shd w:val="clear" w:color="auto" w:fill="FFFFFF"/>
            <w:tcMar>
              <w:top w:w="0" w:type="dxa"/>
              <w:left w:w="108" w:type="dxa"/>
              <w:bottom w:w="0" w:type="dxa"/>
              <w:right w:w="108" w:type="dxa"/>
            </w:tcMar>
            <w:vAlign w:val="bottom"/>
          </w:tcPr>
          <w:p w14:paraId="785734F0" w14:textId="77777777" w:rsidR="00A76ADB" w:rsidRPr="00246F01" w:rsidRDefault="00A76ADB" w:rsidP="007E3239">
            <w:pPr>
              <w:pStyle w:val="TableText"/>
              <w:spacing w:before="50" w:after="50"/>
              <w:jc w:val="center"/>
            </w:pPr>
            <w:r w:rsidRPr="00246F01">
              <w:t>1,575.0</w:t>
            </w:r>
          </w:p>
        </w:tc>
        <w:tc>
          <w:tcPr>
            <w:tcW w:w="0" w:type="auto"/>
            <w:shd w:val="clear" w:color="auto" w:fill="FFFFFF"/>
            <w:tcMar>
              <w:top w:w="0" w:type="dxa"/>
              <w:left w:w="108" w:type="dxa"/>
              <w:bottom w:w="0" w:type="dxa"/>
              <w:right w:w="108" w:type="dxa"/>
            </w:tcMar>
            <w:vAlign w:val="bottom"/>
          </w:tcPr>
          <w:p w14:paraId="4496CB81" w14:textId="77777777" w:rsidR="00A76ADB" w:rsidRPr="00246F01" w:rsidRDefault="00A76ADB" w:rsidP="007E3239">
            <w:pPr>
              <w:pStyle w:val="TableText"/>
              <w:spacing w:before="50" w:after="50"/>
              <w:jc w:val="center"/>
            </w:pPr>
            <w:r w:rsidRPr="00246F01">
              <w:t>1,094.8</w:t>
            </w:r>
          </w:p>
        </w:tc>
        <w:tc>
          <w:tcPr>
            <w:tcW w:w="0" w:type="auto"/>
            <w:shd w:val="clear" w:color="auto" w:fill="FFFFFF"/>
            <w:tcMar>
              <w:top w:w="0" w:type="dxa"/>
              <w:left w:w="108" w:type="dxa"/>
              <w:bottom w:w="0" w:type="dxa"/>
              <w:right w:w="108" w:type="dxa"/>
            </w:tcMar>
            <w:vAlign w:val="bottom"/>
          </w:tcPr>
          <w:p w14:paraId="6809F87D" w14:textId="77777777" w:rsidR="00A76ADB" w:rsidRPr="00246F01" w:rsidRDefault="00A76ADB" w:rsidP="007E3239">
            <w:pPr>
              <w:pStyle w:val="TableText"/>
              <w:spacing w:before="50" w:after="50"/>
              <w:jc w:val="center"/>
            </w:pPr>
            <w:r w:rsidRPr="00246F01">
              <w:t>95.2</w:t>
            </w:r>
          </w:p>
        </w:tc>
        <w:tc>
          <w:tcPr>
            <w:tcW w:w="0" w:type="auto"/>
            <w:shd w:val="clear" w:color="auto" w:fill="FFFFFF"/>
            <w:tcMar>
              <w:top w:w="0" w:type="dxa"/>
              <w:left w:w="108" w:type="dxa"/>
              <w:bottom w:w="0" w:type="dxa"/>
              <w:right w:w="108" w:type="dxa"/>
            </w:tcMar>
            <w:vAlign w:val="bottom"/>
          </w:tcPr>
          <w:p w14:paraId="618ED170" w14:textId="77777777" w:rsidR="00A76ADB" w:rsidRPr="00246F01" w:rsidRDefault="00A76ADB" w:rsidP="007E3239">
            <w:pPr>
              <w:pStyle w:val="TableText"/>
              <w:spacing w:before="50" w:after="50"/>
              <w:jc w:val="center"/>
            </w:pPr>
            <w:r w:rsidRPr="00246F01">
              <w:t>2,765.0</w:t>
            </w:r>
          </w:p>
        </w:tc>
      </w:tr>
      <w:tr w:rsidR="00A76ADB" w14:paraId="60B14562" w14:textId="77777777" w:rsidTr="00F16598">
        <w:trPr>
          <w:cantSplit/>
          <w:trHeight w:val="283"/>
        </w:trPr>
        <w:tc>
          <w:tcPr>
            <w:tcW w:w="0" w:type="auto"/>
            <w:shd w:val="clear" w:color="auto" w:fill="FFFFFF"/>
            <w:tcMar>
              <w:top w:w="0" w:type="dxa"/>
              <w:left w:w="108" w:type="dxa"/>
              <w:bottom w:w="0" w:type="dxa"/>
              <w:right w:w="108" w:type="dxa"/>
            </w:tcMar>
            <w:vAlign w:val="center"/>
          </w:tcPr>
          <w:p w14:paraId="565C9D50" w14:textId="77777777" w:rsidR="00A76ADB" w:rsidRDefault="00A76ADB" w:rsidP="007E3239">
            <w:pPr>
              <w:pStyle w:val="TableText"/>
              <w:spacing w:before="50" w:after="50"/>
            </w:pPr>
            <w:r>
              <w:rPr>
                <w:rFonts w:eastAsia="Calibri"/>
              </w:rPr>
              <w:t>1999</w:t>
            </w:r>
          </w:p>
        </w:tc>
        <w:tc>
          <w:tcPr>
            <w:tcW w:w="0" w:type="auto"/>
            <w:shd w:val="clear" w:color="auto" w:fill="FFFFFF"/>
            <w:tcMar>
              <w:top w:w="0" w:type="dxa"/>
              <w:left w:w="108" w:type="dxa"/>
              <w:bottom w:w="0" w:type="dxa"/>
              <w:right w:w="108" w:type="dxa"/>
            </w:tcMar>
            <w:vAlign w:val="bottom"/>
          </w:tcPr>
          <w:p w14:paraId="3A0BEFC9" w14:textId="77777777" w:rsidR="00A76ADB" w:rsidRPr="00246F01" w:rsidRDefault="00A76ADB" w:rsidP="007E3239">
            <w:pPr>
              <w:pStyle w:val="TableText"/>
              <w:spacing w:before="50" w:after="50"/>
              <w:jc w:val="center"/>
            </w:pPr>
            <w:r w:rsidRPr="00246F01">
              <w:t>1,575.0</w:t>
            </w:r>
          </w:p>
        </w:tc>
        <w:tc>
          <w:tcPr>
            <w:tcW w:w="0" w:type="auto"/>
            <w:shd w:val="clear" w:color="auto" w:fill="FFFFFF"/>
            <w:tcMar>
              <w:top w:w="0" w:type="dxa"/>
              <w:left w:w="108" w:type="dxa"/>
              <w:bottom w:w="0" w:type="dxa"/>
              <w:right w:w="108" w:type="dxa"/>
            </w:tcMar>
            <w:vAlign w:val="bottom"/>
          </w:tcPr>
          <w:p w14:paraId="76FAD72B" w14:textId="77777777" w:rsidR="00A76ADB" w:rsidRPr="00246F01" w:rsidRDefault="00A76ADB" w:rsidP="007E3239">
            <w:pPr>
              <w:pStyle w:val="TableText"/>
              <w:spacing w:before="50" w:after="50"/>
              <w:jc w:val="center"/>
            </w:pPr>
            <w:r w:rsidRPr="00246F01">
              <w:t>1,162.3</w:t>
            </w:r>
          </w:p>
        </w:tc>
        <w:tc>
          <w:tcPr>
            <w:tcW w:w="0" w:type="auto"/>
            <w:shd w:val="clear" w:color="auto" w:fill="FFFFFF"/>
            <w:tcMar>
              <w:top w:w="0" w:type="dxa"/>
              <w:left w:w="108" w:type="dxa"/>
              <w:bottom w:w="0" w:type="dxa"/>
              <w:right w:w="108" w:type="dxa"/>
            </w:tcMar>
            <w:vAlign w:val="bottom"/>
          </w:tcPr>
          <w:p w14:paraId="101D9512" w14:textId="77777777" w:rsidR="00A76ADB" w:rsidRPr="00246F01" w:rsidRDefault="00A76ADB" w:rsidP="007E3239">
            <w:pPr>
              <w:pStyle w:val="TableText"/>
              <w:spacing w:before="50" w:after="50"/>
              <w:jc w:val="center"/>
            </w:pPr>
            <w:r w:rsidRPr="00246F01">
              <w:t>92.0</w:t>
            </w:r>
          </w:p>
        </w:tc>
        <w:tc>
          <w:tcPr>
            <w:tcW w:w="0" w:type="auto"/>
            <w:shd w:val="clear" w:color="auto" w:fill="FFFFFF"/>
            <w:tcMar>
              <w:top w:w="0" w:type="dxa"/>
              <w:left w:w="108" w:type="dxa"/>
              <w:bottom w:w="0" w:type="dxa"/>
              <w:right w:w="108" w:type="dxa"/>
            </w:tcMar>
            <w:vAlign w:val="bottom"/>
          </w:tcPr>
          <w:p w14:paraId="59EC7E2C" w14:textId="77777777" w:rsidR="00A76ADB" w:rsidRPr="00246F01" w:rsidRDefault="00A76ADB" w:rsidP="007E3239">
            <w:pPr>
              <w:pStyle w:val="TableText"/>
              <w:spacing w:before="50" w:after="50"/>
              <w:jc w:val="center"/>
            </w:pPr>
            <w:r w:rsidRPr="00246F01">
              <w:t>2,829.3</w:t>
            </w:r>
          </w:p>
        </w:tc>
      </w:tr>
      <w:tr w:rsidR="00A76ADB" w14:paraId="44C7C7CF" w14:textId="77777777" w:rsidTr="00F16598">
        <w:trPr>
          <w:cantSplit/>
          <w:trHeight w:val="283"/>
        </w:trPr>
        <w:tc>
          <w:tcPr>
            <w:tcW w:w="0" w:type="auto"/>
            <w:shd w:val="clear" w:color="auto" w:fill="FFFFFF"/>
            <w:tcMar>
              <w:top w:w="0" w:type="dxa"/>
              <w:left w:w="108" w:type="dxa"/>
              <w:bottom w:w="0" w:type="dxa"/>
              <w:right w:w="108" w:type="dxa"/>
            </w:tcMar>
            <w:vAlign w:val="center"/>
          </w:tcPr>
          <w:p w14:paraId="0BBFB3EB" w14:textId="77777777" w:rsidR="00A76ADB" w:rsidRDefault="00A76ADB" w:rsidP="007E3239">
            <w:pPr>
              <w:pStyle w:val="TableText"/>
              <w:spacing w:before="50" w:after="50"/>
            </w:pPr>
            <w:r>
              <w:rPr>
                <w:rFonts w:eastAsia="Calibri"/>
              </w:rPr>
              <w:t>2000</w:t>
            </w:r>
          </w:p>
        </w:tc>
        <w:tc>
          <w:tcPr>
            <w:tcW w:w="0" w:type="auto"/>
            <w:shd w:val="clear" w:color="auto" w:fill="FFFFFF"/>
            <w:tcMar>
              <w:top w:w="0" w:type="dxa"/>
              <w:left w:w="108" w:type="dxa"/>
              <w:bottom w:w="0" w:type="dxa"/>
              <w:right w:w="108" w:type="dxa"/>
            </w:tcMar>
            <w:vAlign w:val="bottom"/>
          </w:tcPr>
          <w:p w14:paraId="546606C0" w14:textId="77777777" w:rsidR="00A76ADB" w:rsidRPr="00246F01" w:rsidRDefault="00A76ADB" w:rsidP="007E3239">
            <w:pPr>
              <w:pStyle w:val="TableText"/>
              <w:spacing w:before="50" w:after="50"/>
              <w:jc w:val="center"/>
            </w:pPr>
            <w:r w:rsidRPr="00246F01">
              <w:t>1,575.0</w:t>
            </w:r>
          </w:p>
        </w:tc>
        <w:tc>
          <w:tcPr>
            <w:tcW w:w="0" w:type="auto"/>
            <w:shd w:val="clear" w:color="auto" w:fill="FFFFFF"/>
            <w:tcMar>
              <w:top w:w="0" w:type="dxa"/>
              <w:left w:w="108" w:type="dxa"/>
              <w:bottom w:w="0" w:type="dxa"/>
              <w:right w:w="108" w:type="dxa"/>
            </w:tcMar>
            <w:vAlign w:val="bottom"/>
          </w:tcPr>
          <w:p w14:paraId="691DDF6B" w14:textId="77777777" w:rsidR="00A76ADB" w:rsidRPr="00246F01" w:rsidRDefault="00A76ADB" w:rsidP="007E3239">
            <w:pPr>
              <w:pStyle w:val="TableText"/>
              <w:spacing w:before="50" w:after="50"/>
              <w:jc w:val="center"/>
            </w:pPr>
            <w:r w:rsidRPr="00246F01">
              <w:t>1,230.6</w:t>
            </w:r>
          </w:p>
        </w:tc>
        <w:tc>
          <w:tcPr>
            <w:tcW w:w="0" w:type="auto"/>
            <w:shd w:val="clear" w:color="auto" w:fill="FFFFFF"/>
            <w:tcMar>
              <w:top w:w="0" w:type="dxa"/>
              <w:left w:w="108" w:type="dxa"/>
              <w:bottom w:w="0" w:type="dxa"/>
              <w:right w:w="108" w:type="dxa"/>
            </w:tcMar>
            <w:vAlign w:val="bottom"/>
          </w:tcPr>
          <w:p w14:paraId="3A110CC0" w14:textId="77777777" w:rsidR="00A76ADB" w:rsidRPr="00246F01" w:rsidRDefault="00A76ADB" w:rsidP="007E3239">
            <w:pPr>
              <w:pStyle w:val="TableText"/>
              <w:spacing w:before="50" w:after="50"/>
              <w:jc w:val="center"/>
            </w:pPr>
            <w:r w:rsidRPr="00246F01">
              <w:t>87.9</w:t>
            </w:r>
          </w:p>
        </w:tc>
        <w:tc>
          <w:tcPr>
            <w:tcW w:w="0" w:type="auto"/>
            <w:shd w:val="clear" w:color="auto" w:fill="FFFFFF"/>
            <w:tcMar>
              <w:top w:w="0" w:type="dxa"/>
              <w:left w:w="108" w:type="dxa"/>
              <w:bottom w:w="0" w:type="dxa"/>
              <w:right w:w="108" w:type="dxa"/>
            </w:tcMar>
            <w:vAlign w:val="bottom"/>
          </w:tcPr>
          <w:p w14:paraId="3B22E569" w14:textId="77777777" w:rsidR="00A76ADB" w:rsidRPr="00246F01" w:rsidRDefault="00A76ADB" w:rsidP="007E3239">
            <w:pPr>
              <w:pStyle w:val="TableText"/>
              <w:spacing w:before="50" w:after="50"/>
              <w:jc w:val="center"/>
            </w:pPr>
            <w:r w:rsidRPr="00246F01">
              <w:t>2,893.5</w:t>
            </w:r>
          </w:p>
        </w:tc>
      </w:tr>
      <w:tr w:rsidR="00A76ADB" w14:paraId="1E18E299" w14:textId="77777777" w:rsidTr="00F16598">
        <w:trPr>
          <w:cantSplit/>
          <w:trHeight w:val="283"/>
        </w:trPr>
        <w:tc>
          <w:tcPr>
            <w:tcW w:w="0" w:type="auto"/>
            <w:shd w:val="clear" w:color="auto" w:fill="FFFFFF"/>
            <w:tcMar>
              <w:top w:w="0" w:type="dxa"/>
              <w:left w:w="108" w:type="dxa"/>
              <w:bottom w:w="0" w:type="dxa"/>
              <w:right w:w="108" w:type="dxa"/>
            </w:tcMar>
            <w:vAlign w:val="center"/>
          </w:tcPr>
          <w:p w14:paraId="3F4921CC" w14:textId="77777777" w:rsidR="00A76ADB" w:rsidRDefault="00A76ADB" w:rsidP="007E3239">
            <w:pPr>
              <w:pStyle w:val="TableText"/>
              <w:spacing w:before="50" w:after="50"/>
            </w:pPr>
            <w:r>
              <w:rPr>
                <w:rFonts w:eastAsia="Calibri"/>
              </w:rPr>
              <w:t>2001</w:t>
            </w:r>
          </w:p>
        </w:tc>
        <w:tc>
          <w:tcPr>
            <w:tcW w:w="0" w:type="auto"/>
            <w:shd w:val="clear" w:color="auto" w:fill="FFFFFF"/>
            <w:tcMar>
              <w:top w:w="0" w:type="dxa"/>
              <w:left w:w="108" w:type="dxa"/>
              <w:bottom w:w="0" w:type="dxa"/>
              <w:right w:w="108" w:type="dxa"/>
            </w:tcMar>
            <w:vAlign w:val="bottom"/>
          </w:tcPr>
          <w:p w14:paraId="73A26187" w14:textId="77777777" w:rsidR="00A76ADB" w:rsidRPr="00246F01" w:rsidRDefault="00A76ADB" w:rsidP="007E3239">
            <w:pPr>
              <w:pStyle w:val="TableText"/>
              <w:spacing w:before="50" w:after="50"/>
              <w:jc w:val="center"/>
            </w:pPr>
            <w:r w:rsidRPr="00246F01">
              <w:t>1,718.3</w:t>
            </w:r>
          </w:p>
        </w:tc>
        <w:tc>
          <w:tcPr>
            <w:tcW w:w="0" w:type="auto"/>
            <w:shd w:val="clear" w:color="auto" w:fill="FFFFFF"/>
            <w:tcMar>
              <w:top w:w="0" w:type="dxa"/>
              <w:left w:w="108" w:type="dxa"/>
              <w:bottom w:w="0" w:type="dxa"/>
              <w:right w:w="108" w:type="dxa"/>
            </w:tcMar>
            <w:vAlign w:val="bottom"/>
          </w:tcPr>
          <w:p w14:paraId="378470C1" w14:textId="77777777" w:rsidR="00A76ADB" w:rsidRPr="00246F01" w:rsidRDefault="00A76ADB" w:rsidP="007E3239">
            <w:pPr>
              <w:pStyle w:val="TableText"/>
              <w:spacing w:before="50" w:after="50"/>
              <w:jc w:val="center"/>
            </w:pPr>
            <w:r w:rsidRPr="00246F01">
              <w:t>1,165.1</w:t>
            </w:r>
          </w:p>
        </w:tc>
        <w:tc>
          <w:tcPr>
            <w:tcW w:w="0" w:type="auto"/>
            <w:shd w:val="clear" w:color="auto" w:fill="FFFFFF"/>
            <w:tcMar>
              <w:top w:w="0" w:type="dxa"/>
              <w:left w:w="108" w:type="dxa"/>
              <w:bottom w:w="0" w:type="dxa"/>
              <w:right w:w="108" w:type="dxa"/>
            </w:tcMar>
            <w:vAlign w:val="bottom"/>
          </w:tcPr>
          <w:p w14:paraId="6EE66790" w14:textId="77777777" w:rsidR="00A76ADB" w:rsidRPr="00246F01" w:rsidRDefault="00A76ADB" w:rsidP="007E3239">
            <w:pPr>
              <w:pStyle w:val="TableText"/>
              <w:spacing w:before="50" w:after="50"/>
              <w:jc w:val="center"/>
            </w:pPr>
            <w:r w:rsidRPr="00246F01">
              <w:t>74.4</w:t>
            </w:r>
          </w:p>
        </w:tc>
        <w:tc>
          <w:tcPr>
            <w:tcW w:w="0" w:type="auto"/>
            <w:shd w:val="clear" w:color="auto" w:fill="FFFFFF"/>
            <w:tcMar>
              <w:top w:w="0" w:type="dxa"/>
              <w:left w:w="108" w:type="dxa"/>
              <w:bottom w:w="0" w:type="dxa"/>
              <w:right w:w="108" w:type="dxa"/>
            </w:tcMar>
            <w:vAlign w:val="bottom"/>
          </w:tcPr>
          <w:p w14:paraId="181FFC25" w14:textId="77777777" w:rsidR="00A76ADB" w:rsidRPr="00246F01" w:rsidRDefault="00A76ADB" w:rsidP="007E3239">
            <w:pPr>
              <w:pStyle w:val="TableText"/>
              <w:spacing w:before="50" w:after="50"/>
              <w:jc w:val="center"/>
            </w:pPr>
            <w:r w:rsidRPr="00246F01">
              <w:t>2,957.8</w:t>
            </w:r>
          </w:p>
        </w:tc>
      </w:tr>
      <w:tr w:rsidR="00A76ADB" w14:paraId="5ED1FA00" w14:textId="77777777" w:rsidTr="00F16598">
        <w:trPr>
          <w:cantSplit/>
          <w:trHeight w:val="283"/>
        </w:trPr>
        <w:tc>
          <w:tcPr>
            <w:tcW w:w="0" w:type="auto"/>
            <w:shd w:val="clear" w:color="auto" w:fill="FFFFFF"/>
            <w:tcMar>
              <w:top w:w="0" w:type="dxa"/>
              <w:left w:w="108" w:type="dxa"/>
              <w:bottom w:w="0" w:type="dxa"/>
              <w:right w:w="108" w:type="dxa"/>
            </w:tcMar>
            <w:vAlign w:val="center"/>
          </w:tcPr>
          <w:p w14:paraId="3BB9C22D" w14:textId="77777777" w:rsidR="00A76ADB" w:rsidRDefault="00A76ADB" w:rsidP="007E3239">
            <w:pPr>
              <w:pStyle w:val="TableText"/>
              <w:spacing w:before="50" w:after="50"/>
            </w:pPr>
            <w:r>
              <w:rPr>
                <w:rFonts w:eastAsia="Calibri"/>
              </w:rPr>
              <w:t>2002</w:t>
            </w:r>
          </w:p>
        </w:tc>
        <w:tc>
          <w:tcPr>
            <w:tcW w:w="0" w:type="auto"/>
            <w:shd w:val="clear" w:color="auto" w:fill="FFFFFF"/>
            <w:tcMar>
              <w:top w:w="0" w:type="dxa"/>
              <w:left w:w="108" w:type="dxa"/>
              <w:bottom w:w="0" w:type="dxa"/>
              <w:right w:w="108" w:type="dxa"/>
            </w:tcMar>
            <w:vAlign w:val="bottom"/>
          </w:tcPr>
          <w:p w14:paraId="605B13D5" w14:textId="77777777" w:rsidR="00A76ADB" w:rsidRPr="00246F01" w:rsidRDefault="00A76ADB" w:rsidP="007E3239">
            <w:pPr>
              <w:pStyle w:val="TableText"/>
              <w:spacing w:before="50" w:after="50"/>
              <w:jc w:val="center"/>
            </w:pPr>
            <w:r w:rsidRPr="00246F01">
              <w:t>1,714.2</w:t>
            </w:r>
          </w:p>
        </w:tc>
        <w:tc>
          <w:tcPr>
            <w:tcW w:w="0" w:type="auto"/>
            <w:shd w:val="clear" w:color="auto" w:fill="FFFFFF"/>
            <w:tcMar>
              <w:top w:w="0" w:type="dxa"/>
              <w:left w:w="108" w:type="dxa"/>
              <w:bottom w:w="0" w:type="dxa"/>
              <w:right w:w="108" w:type="dxa"/>
            </w:tcMar>
            <w:vAlign w:val="bottom"/>
          </w:tcPr>
          <w:p w14:paraId="2114CA44" w14:textId="77777777" w:rsidR="00A76ADB" w:rsidRPr="00246F01" w:rsidRDefault="00A76ADB" w:rsidP="007E3239">
            <w:pPr>
              <w:pStyle w:val="TableText"/>
              <w:spacing w:before="50" w:after="50"/>
              <w:jc w:val="center"/>
            </w:pPr>
            <w:r w:rsidRPr="00246F01">
              <w:t>1,238.0</w:t>
            </w:r>
          </w:p>
        </w:tc>
        <w:tc>
          <w:tcPr>
            <w:tcW w:w="0" w:type="auto"/>
            <w:shd w:val="clear" w:color="auto" w:fill="FFFFFF"/>
            <w:tcMar>
              <w:top w:w="0" w:type="dxa"/>
              <w:left w:w="108" w:type="dxa"/>
              <w:bottom w:w="0" w:type="dxa"/>
              <w:right w:w="108" w:type="dxa"/>
            </w:tcMar>
            <w:vAlign w:val="bottom"/>
          </w:tcPr>
          <w:p w14:paraId="35A05E28" w14:textId="77777777" w:rsidR="00A76ADB" w:rsidRPr="00246F01" w:rsidRDefault="00A76ADB" w:rsidP="007E3239">
            <w:pPr>
              <w:pStyle w:val="TableText"/>
              <w:spacing w:before="50" w:after="50"/>
              <w:jc w:val="center"/>
            </w:pPr>
            <w:r w:rsidRPr="00246F01">
              <w:t>69.7</w:t>
            </w:r>
          </w:p>
        </w:tc>
        <w:tc>
          <w:tcPr>
            <w:tcW w:w="0" w:type="auto"/>
            <w:shd w:val="clear" w:color="auto" w:fill="FFFFFF"/>
            <w:tcMar>
              <w:top w:w="0" w:type="dxa"/>
              <w:left w:w="108" w:type="dxa"/>
              <w:bottom w:w="0" w:type="dxa"/>
              <w:right w:w="108" w:type="dxa"/>
            </w:tcMar>
            <w:vAlign w:val="bottom"/>
          </w:tcPr>
          <w:p w14:paraId="6448FAFF" w14:textId="77777777" w:rsidR="00A76ADB" w:rsidRPr="00246F01" w:rsidRDefault="00A76ADB" w:rsidP="007E3239">
            <w:pPr>
              <w:pStyle w:val="TableText"/>
              <w:spacing w:before="50" w:after="50"/>
              <w:jc w:val="center"/>
            </w:pPr>
            <w:r w:rsidRPr="00246F01">
              <w:t>3,022.0</w:t>
            </w:r>
          </w:p>
        </w:tc>
      </w:tr>
      <w:tr w:rsidR="00A76ADB" w14:paraId="4F2AF6A9" w14:textId="77777777" w:rsidTr="00F16598">
        <w:trPr>
          <w:cantSplit/>
          <w:trHeight w:val="283"/>
        </w:trPr>
        <w:tc>
          <w:tcPr>
            <w:tcW w:w="0" w:type="auto"/>
            <w:shd w:val="clear" w:color="auto" w:fill="FFFFFF"/>
            <w:tcMar>
              <w:top w:w="0" w:type="dxa"/>
              <w:left w:w="108" w:type="dxa"/>
              <w:bottom w:w="0" w:type="dxa"/>
              <w:right w:w="108" w:type="dxa"/>
            </w:tcMar>
            <w:vAlign w:val="center"/>
          </w:tcPr>
          <w:p w14:paraId="3870CB62" w14:textId="77777777" w:rsidR="00A76ADB" w:rsidRDefault="00A76ADB" w:rsidP="007E3239">
            <w:pPr>
              <w:pStyle w:val="TableText"/>
              <w:spacing w:before="50" w:after="50"/>
            </w:pPr>
            <w:r>
              <w:rPr>
                <w:rFonts w:eastAsia="Calibri"/>
              </w:rPr>
              <w:t>2003</w:t>
            </w:r>
          </w:p>
        </w:tc>
        <w:tc>
          <w:tcPr>
            <w:tcW w:w="0" w:type="auto"/>
            <w:shd w:val="clear" w:color="auto" w:fill="FFFFFF"/>
            <w:tcMar>
              <w:top w:w="0" w:type="dxa"/>
              <w:left w:w="108" w:type="dxa"/>
              <w:bottom w:w="0" w:type="dxa"/>
              <w:right w:w="108" w:type="dxa"/>
            </w:tcMar>
            <w:vAlign w:val="bottom"/>
          </w:tcPr>
          <w:p w14:paraId="5A375254" w14:textId="77777777" w:rsidR="00A76ADB" w:rsidRPr="00246F01" w:rsidRDefault="00A76ADB" w:rsidP="007E3239">
            <w:pPr>
              <w:pStyle w:val="TableText"/>
              <w:spacing w:before="50" w:after="50"/>
              <w:jc w:val="center"/>
            </w:pPr>
            <w:r w:rsidRPr="00246F01">
              <w:t>1,626.8</w:t>
            </w:r>
          </w:p>
        </w:tc>
        <w:tc>
          <w:tcPr>
            <w:tcW w:w="0" w:type="auto"/>
            <w:shd w:val="clear" w:color="auto" w:fill="FFFFFF"/>
            <w:tcMar>
              <w:top w:w="0" w:type="dxa"/>
              <w:left w:w="108" w:type="dxa"/>
              <w:bottom w:w="0" w:type="dxa"/>
              <w:right w:w="108" w:type="dxa"/>
            </w:tcMar>
            <w:vAlign w:val="bottom"/>
          </w:tcPr>
          <w:p w14:paraId="175E57A8" w14:textId="77777777" w:rsidR="00A76ADB" w:rsidRPr="00246F01" w:rsidRDefault="00A76ADB" w:rsidP="007E3239">
            <w:pPr>
              <w:pStyle w:val="TableText"/>
              <w:spacing w:before="50" w:after="50"/>
              <w:jc w:val="center"/>
            </w:pPr>
            <w:r w:rsidRPr="00246F01">
              <w:t>1,362.0</w:t>
            </w:r>
          </w:p>
        </w:tc>
        <w:tc>
          <w:tcPr>
            <w:tcW w:w="0" w:type="auto"/>
            <w:shd w:val="clear" w:color="auto" w:fill="FFFFFF"/>
            <w:tcMar>
              <w:top w:w="0" w:type="dxa"/>
              <w:left w:w="108" w:type="dxa"/>
              <w:bottom w:w="0" w:type="dxa"/>
              <w:right w:w="108" w:type="dxa"/>
            </w:tcMar>
            <w:vAlign w:val="bottom"/>
          </w:tcPr>
          <w:p w14:paraId="1955742B" w14:textId="77777777" w:rsidR="00A76ADB" w:rsidRPr="00246F01" w:rsidRDefault="00A76ADB" w:rsidP="007E3239">
            <w:pPr>
              <w:pStyle w:val="TableText"/>
              <w:spacing w:before="50" w:after="50"/>
              <w:jc w:val="center"/>
            </w:pPr>
            <w:r w:rsidRPr="00246F01">
              <w:t>66.7</w:t>
            </w:r>
          </w:p>
        </w:tc>
        <w:tc>
          <w:tcPr>
            <w:tcW w:w="0" w:type="auto"/>
            <w:shd w:val="clear" w:color="auto" w:fill="FFFFFF"/>
            <w:tcMar>
              <w:top w:w="0" w:type="dxa"/>
              <w:left w:w="108" w:type="dxa"/>
              <w:bottom w:w="0" w:type="dxa"/>
              <w:right w:w="108" w:type="dxa"/>
            </w:tcMar>
            <w:vAlign w:val="bottom"/>
          </w:tcPr>
          <w:p w14:paraId="7E564892" w14:textId="77777777" w:rsidR="00A76ADB" w:rsidRPr="00246F01" w:rsidRDefault="00A76ADB" w:rsidP="007E3239">
            <w:pPr>
              <w:pStyle w:val="TableText"/>
              <w:spacing w:before="50" w:after="50"/>
              <w:jc w:val="center"/>
            </w:pPr>
            <w:r w:rsidRPr="00246F01">
              <w:t>3,055.5</w:t>
            </w:r>
          </w:p>
        </w:tc>
      </w:tr>
      <w:tr w:rsidR="00A76ADB" w14:paraId="200B6BE7" w14:textId="77777777" w:rsidTr="00F16598">
        <w:trPr>
          <w:cantSplit/>
          <w:trHeight w:val="283"/>
        </w:trPr>
        <w:tc>
          <w:tcPr>
            <w:tcW w:w="0" w:type="auto"/>
            <w:shd w:val="clear" w:color="auto" w:fill="FFFFFF"/>
            <w:tcMar>
              <w:top w:w="0" w:type="dxa"/>
              <w:left w:w="108" w:type="dxa"/>
              <w:bottom w:w="0" w:type="dxa"/>
              <w:right w:w="108" w:type="dxa"/>
            </w:tcMar>
            <w:vAlign w:val="center"/>
          </w:tcPr>
          <w:p w14:paraId="3E458158" w14:textId="77777777" w:rsidR="00A76ADB" w:rsidRDefault="00A76ADB" w:rsidP="007E3239">
            <w:pPr>
              <w:pStyle w:val="TableText"/>
              <w:spacing w:before="50" w:after="50"/>
            </w:pPr>
            <w:r>
              <w:rPr>
                <w:rFonts w:eastAsia="Calibri"/>
              </w:rPr>
              <w:t>2004</w:t>
            </w:r>
          </w:p>
        </w:tc>
        <w:tc>
          <w:tcPr>
            <w:tcW w:w="0" w:type="auto"/>
            <w:shd w:val="clear" w:color="auto" w:fill="FFFFFF"/>
            <w:tcMar>
              <w:top w:w="0" w:type="dxa"/>
              <w:left w:w="108" w:type="dxa"/>
              <w:bottom w:w="0" w:type="dxa"/>
              <w:right w:w="108" w:type="dxa"/>
            </w:tcMar>
            <w:vAlign w:val="bottom"/>
          </w:tcPr>
          <w:p w14:paraId="0B7FDF8B" w14:textId="77777777" w:rsidR="00A76ADB" w:rsidRPr="00246F01" w:rsidRDefault="00A76ADB" w:rsidP="007E3239">
            <w:pPr>
              <w:pStyle w:val="TableText"/>
              <w:spacing w:before="50" w:after="50"/>
              <w:jc w:val="center"/>
            </w:pPr>
            <w:r w:rsidRPr="00246F01">
              <w:t>1,676.5</w:t>
            </w:r>
          </w:p>
        </w:tc>
        <w:tc>
          <w:tcPr>
            <w:tcW w:w="0" w:type="auto"/>
            <w:shd w:val="clear" w:color="auto" w:fill="FFFFFF"/>
            <w:tcMar>
              <w:top w:w="0" w:type="dxa"/>
              <w:left w:w="108" w:type="dxa"/>
              <w:bottom w:w="0" w:type="dxa"/>
              <w:right w:w="108" w:type="dxa"/>
            </w:tcMar>
            <w:vAlign w:val="bottom"/>
          </w:tcPr>
          <w:p w14:paraId="43AF916A" w14:textId="77777777" w:rsidR="00A76ADB" w:rsidRPr="00246F01" w:rsidRDefault="00A76ADB" w:rsidP="007E3239">
            <w:pPr>
              <w:pStyle w:val="TableText"/>
              <w:spacing w:before="50" w:after="50"/>
              <w:jc w:val="center"/>
            </w:pPr>
            <w:r w:rsidRPr="00246F01">
              <w:t>1,356.0</w:t>
            </w:r>
          </w:p>
        </w:tc>
        <w:tc>
          <w:tcPr>
            <w:tcW w:w="0" w:type="auto"/>
            <w:shd w:val="clear" w:color="auto" w:fill="FFFFFF"/>
            <w:tcMar>
              <w:top w:w="0" w:type="dxa"/>
              <w:left w:w="108" w:type="dxa"/>
              <w:bottom w:w="0" w:type="dxa"/>
              <w:right w:w="108" w:type="dxa"/>
            </w:tcMar>
            <w:vAlign w:val="bottom"/>
          </w:tcPr>
          <w:p w14:paraId="416A7902" w14:textId="77777777" w:rsidR="00A76ADB" w:rsidRPr="00246F01" w:rsidRDefault="00A76ADB" w:rsidP="007E3239">
            <w:pPr>
              <w:pStyle w:val="TableText"/>
              <w:spacing w:before="50" w:after="50"/>
              <w:jc w:val="center"/>
            </w:pPr>
            <w:r w:rsidRPr="00246F01">
              <w:t>56.5</w:t>
            </w:r>
          </w:p>
        </w:tc>
        <w:tc>
          <w:tcPr>
            <w:tcW w:w="0" w:type="auto"/>
            <w:shd w:val="clear" w:color="auto" w:fill="FFFFFF"/>
            <w:tcMar>
              <w:top w:w="0" w:type="dxa"/>
              <w:left w:w="108" w:type="dxa"/>
              <w:bottom w:w="0" w:type="dxa"/>
              <w:right w:w="108" w:type="dxa"/>
            </w:tcMar>
            <w:vAlign w:val="bottom"/>
          </w:tcPr>
          <w:p w14:paraId="2CB111FA" w14:textId="77777777" w:rsidR="00A76ADB" w:rsidRPr="00246F01" w:rsidRDefault="00A76ADB" w:rsidP="007E3239">
            <w:pPr>
              <w:pStyle w:val="TableText"/>
              <w:spacing w:before="50" w:after="50"/>
              <w:jc w:val="center"/>
            </w:pPr>
            <w:r w:rsidRPr="00246F01">
              <w:t>3,089.0</w:t>
            </w:r>
          </w:p>
        </w:tc>
      </w:tr>
      <w:tr w:rsidR="00A76ADB" w14:paraId="13E92309" w14:textId="77777777" w:rsidTr="00F16598">
        <w:trPr>
          <w:cantSplit/>
          <w:trHeight w:val="283"/>
        </w:trPr>
        <w:tc>
          <w:tcPr>
            <w:tcW w:w="0" w:type="auto"/>
            <w:shd w:val="clear" w:color="auto" w:fill="FFFFFF"/>
            <w:tcMar>
              <w:top w:w="0" w:type="dxa"/>
              <w:left w:w="108" w:type="dxa"/>
              <w:bottom w:w="0" w:type="dxa"/>
              <w:right w:w="108" w:type="dxa"/>
            </w:tcMar>
            <w:vAlign w:val="center"/>
          </w:tcPr>
          <w:p w14:paraId="71374CB7" w14:textId="77777777" w:rsidR="00A76ADB" w:rsidRDefault="00A76ADB" w:rsidP="007E3239">
            <w:pPr>
              <w:pStyle w:val="TableText"/>
              <w:spacing w:before="50" w:after="50"/>
            </w:pPr>
            <w:r>
              <w:rPr>
                <w:rFonts w:eastAsia="Calibri"/>
              </w:rPr>
              <w:t>2005</w:t>
            </w:r>
          </w:p>
        </w:tc>
        <w:tc>
          <w:tcPr>
            <w:tcW w:w="0" w:type="auto"/>
            <w:shd w:val="clear" w:color="auto" w:fill="FFFFFF"/>
            <w:tcMar>
              <w:top w:w="0" w:type="dxa"/>
              <w:left w:w="108" w:type="dxa"/>
              <w:bottom w:w="0" w:type="dxa"/>
              <w:right w:w="108" w:type="dxa"/>
            </w:tcMar>
            <w:vAlign w:val="bottom"/>
          </w:tcPr>
          <w:p w14:paraId="7186F37A" w14:textId="77777777" w:rsidR="00A76ADB" w:rsidRPr="00246F01" w:rsidRDefault="00A76ADB" w:rsidP="007E3239">
            <w:pPr>
              <w:pStyle w:val="TableText"/>
              <w:spacing w:before="50" w:after="50"/>
              <w:jc w:val="center"/>
            </w:pPr>
            <w:r w:rsidRPr="00246F01">
              <w:t>1,881.2</w:t>
            </w:r>
          </w:p>
        </w:tc>
        <w:tc>
          <w:tcPr>
            <w:tcW w:w="0" w:type="auto"/>
            <w:shd w:val="clear" w:color="auto" w:fill="FFFFFF"/>
            <w:tcMar>
              <w:top w:w="0" w:type="dxa"/>
              <w:left w:w="108" w:type="dxa"/>
              <w:bottom w:w="0" w:type="dxa"/>
              <w:right w:w="108" w:type="dxa"/>
            </w:tcMar>
            <w:vAlign w:val="bottom"/>
          </w:tcPr>
          <w:p w14:paraId="613777D8" w14:textId="77777777" w:rsidR="00A76ADB" w:rsidRPr="00246F01" w:rsidRDefault="00A76ADB" w:rsidP="007E3239">
            <w:pPr>
              <w:pStyle w:val="TableText"/>
              <w:spacing w:before="50" w:after="50"/>
              <w:jc w:val="center"/>
            </w:pPr>
            <w:r w:rsidRPr="00246F01">
              <w:t>1,199.9</w:t>
            </w:r>
          </w:p>
        </w:tc>
        <w:tc>
          <w:tcPr>
            <w:tcW w:w="0" w:type="auto"/>
            <w:shd w:val="clear" w:color="auto" w:fill="FFFFFF"/>
            <w:tcMar>
              <w:top w:w="0" w:type="dxa"/>
              <w:left w:w="108" w:type="dxa"/>
              <w:bottom w:w="0" w:type="dxa"/>
              <w:right w:w="108" w:type="dxa"/>
            </w:tcMar>
            <w:vAlign w:val="bottom"/>
          </w:tcPr>
          <w:p w14:paraId="27FD824C" w14:textId="77777777" w:rsidR="00A76ADB" w:rsidRPr="00246F01" w:rsidRDefault="00A76ADB" w:rsidP="007E3239">
            <w:pPr>
              <w:pStyle w:val="TableText"/>
              <w:spacing w:before="50" w:after="50"/>
              <w:jc w:val="center"/>
            </w:pPr>
            <w:r w:rsidRPr="00246F01">
              <w:t>41.4</w:t>
            </w:r>
          </w:p>
        </w:tc>
        <w:tc>
          <w:tcPr>
            <w:tcW w:w="0" w:type="auto"/>
            <w:shd w:val="clear" w:color="auto" w:fill="FFFFFF"/>
            <w:tcMar>
              <w:top w:w="0" w:type="dxa"/>
              <w:left w:w="108" w:type="dxa"/>
              <w:bottom w:w="0" w:type="dxa"/>
              <w:right w:w="108" w:type="dxa"/>
            </w:tcMar>
            <w:vAlign w:val="bottom"/>
          </w:tcPr>
          <w:p w14:paraId="437C5582" w14:textId="77777777" w:rsidR="00A76ADB" w:rsidRPr="00246F01" w:rsidRDefault="00A76ADB" w:rsidP="007E3239">
            <w:pPr>
              <w:pStyle w:val="TableText"/>
              <w:spacing w:before="50" w:after="50"/>
              <w:jc w:val="center"/>
            </w:pPr>
            <w:r w:rsidRPr="00246F01">
              <w:t>3,122.5</w:t>
            </w:r>
          </w:p>
        </w:tc>
      </w:tr>
      <w:tr w:rsidR="00A76ADB" w14:paraId="2111DFDF" w14:textId="77777777" w:rsidTr="00F16598">
        <w:trPr>
          <w:cantSplit/>
          <w:trHeight w:val="283"/>
        </w:trPr>
        <w:tc>
          <w:tcPr>
            <w:tcW w:w="0" w:type="auto"/>
            <w:shd w:val="clear" w:color="auto" w:fill="FFFFFF"/>
            <w:tcMar>
              <w:top w:w="0" w:type="dxa"/>
              <w:left w:w="108" w:type="dxa"/>
              <w:bottom w:w="0" w:type="dxa"/>
              <w:right w:w="108" w:type="dxa"/>
            </w:tcMar>
            <w:vAlign w:val="center"/>
          </w:tcPr>
          <w:p w14:paraId="71F1DCB2" w14:textId="77777777" w:rsidR="00A76ADB" w:rsidRDefault="00A76ADB" w:rsidP="007E3239">
            <w:pPr>
              <w:pStyle w:val="TableText"/>
              <w:spacing w:before="50" w:after="50"/>
            </w:pPr>
            <w:r>
              <w:rPr>
                <w:rFonts w:eastAsia="Calibri"/>
              </w:rPr>
              <w:t>2006</w:t>
            </w:r>
          </w:p>
        </w:tc>
        <w:tc>
          <w:tcPr>
            <w:tcW w:w="0" w:type="auto"/>
            <w:shd w:val="clear" w:color="auto" w:fill="FFFFFF"/>
            <w:tcMar>
              <w:top w:w="0" w:type="dxa"/>
              <w:left w:w="108" w:type="dxa"/>
              <w:bottom w:w="0" w:type="dxa"/>
              <w:right w:w="108" w:type="dxa"/>
            </w:tcMar>
            <w:vAlign w:val="bottom"/>
          </w:tcPr>
          <w:p w14:paraId="66AC7CFE" w14:textId="77777777" w:rsidR="00A76ADB" w:rsidRPr="00246F01" w:rsidRDefault="00A76ADB" w:rsidP="007E3239">
            <w:pPr>
              <w:pStyle w:val="TableText"/>
              <w:spacing w:before="50" w:after="50"/>
              <w:jc w:val="center"/>
            </w:pPr>
            <w:r w:rsidRPr="00246F01">
              <w:t>2,305.4</w:t>
            </w:r>
          </w:p>
        </w:tc>
        <w:tc>
          <w:tcPr>
            <w:tcW w:w="0" w:type="auto"/>
            <w:shd w:val="clear" w:color="auto" w:fill="FFFFFF"/>
            <w:tcMar>
              <w:top w:w="0" w:type="dxa"/>
              <w:left w:w="108" w:type="dxa"/>
              <w:bottom w:w="0" w:type="dxa"/>
              <w:right w:w="108" w:type="dxa"/>
            </w:tcMar>
            <w:vAlign w:val="bottom"/>
          </w:tcPr>
          <w:p w14:paraId="0243FE82" w14:textId="77777777" w:rsidR="00A76ADB" w:rsidRPr="00246F01" w:rsidRDefault="00A76ADB" w:rsidP="007E3239">
            <w:pPr>
              <w:pStyle w:val="TableText"/>
              <w:spacing w:before="50" w:after="50"/>
              <w:jc w:val="center"/>
            </w:pPr>
            <w:r w:rsidRPr="00246F01">
              <w:t>827.9</w:t>
            </w:r>
          </w:p>
        </w:tc>
        <w:tc>
          <w:tcPr>
            <w:tcW w:w="0" w:type="auto"/>
            <w:shd w:val="clear" w:color="auto" w:fill="FFFFFF"/>
            <w:tcMar>
              <w:top w:w="0" w:type="dxa"/>
              <w:left w:w="108" w:type="dxa"/>
              <w:bottom w:w="0" w:type="dxa"/>
              <w:right w:w="108" w:type="dxa"/>
            </w:tcMar>
            <w:vAlign w:val="bottom"/>
          </w:tcPr>
          <w:p w14:paraId="058779BA" w14:textId="77777777" w:rsidR="00A76ADB" w:rsidRPr="00246F01" w:rsidRDefault="00A76ADB" w:rsidP="007E3239">
            <w:pPr>
              <w:pStyle w:val="TableText"/>
              <w:spacing w:before="50" w:after="50"/>
              <w:jc w:val="center"/>
            </w:pPr>
            <w:r w:rsidRPr="00246F01">
              <w:t>22.7</w:t>
            </w:r>
          </w:p>
        </w:tc>
        <w:tc>
          <w:tcPr>
            <w:tcW w:w="0" w:type="auto"/>
            <w:shd w:val="clear" w:color="auto" w:fill="FFFFFF"/>
            <w:tcMar>
              <w:top w:w="0" w:type="dxa"/>
              <w:left w:w="108" w:type="dxa"/>
              <w:bottom w:w="0" w:type="dxa"/>
              <w:right w:w="108" w:type="dxa"/>
            </w:tcMar>
            <w:vAlign w:val="bottom"/>
          </w:tcPr>
          <w:p w14:paraId="39558667" w14:textId="77777777" w:rsidR="00A76ADB" w:rsidRPr="00246F01" w:rsidRDefault="00A76ADB" w:rsidP="007E3239">
            <w:pPr>
              <w:pStyle w:val="TableText"/>
              <w:spacing w:before="50" w:after="50"/>
              <w:jc w:val="center"/>
            </w:pPr>
            <w:r w:rsidRPr="00246F01">
              <w:t>3,156.0</w:t>
            </w:r>
          </w:p>
        </w:tc>
      </w:tr>
      <w:tr w:rsidR="00A76ADB" w14:paraId="40F0AC64" w14:textId="77777777" w:rsidTr="00F16598">
        <w:trPr>
          <w:cantSplit/>
          <w:trHeight w:val="283"/>
        </w:trPr>
        <w:tc>
          <w:tcPr>
            <w:tcW w:w="0" w:type="auto"/>
            <w:shd w:val="clear" w:color="auto" w:fill="FFFFFF"/>
            <w:tcMar>
              <w:top w:w="0" w:type="dxa"/>
              <w:left w:w="108" w:type="dxa"/>
              <w:bottom w:w="0" w:type="dxa"/>
              <w:right w:w="108" w:type="dxa"/>
            </w:tcMar>
            <w:vAlign w:val="center"/>
          </w:tcPr>
          <w:p w14:paraId="45C63CFC" w14:textId="77777777" w:rsidR="00A76ADB" w:rsidRDefault="00A76ADB" w:rsidP="007E3239">
            <w:pPr>
              <w:pStyle w:val="TableText"/>
              <w:spacing w:before="50" w:after="50"/>
            </w:pPr>
            <w:r>
              <w:rPr>
                <w:rFonts w:eastAsia="Calibri"/>
              </w:rPr>
              <w:t>2007</w:t>
            </w:r>
          </w:p>
        </w:tc>
        <w:tc>
          <w:tcPr>
            <w:tcW w:w="0" w:type="auto"/>
            <w:shd w:val="clear" w:color="auto" w:fill="FFFFFF"/>
            <w:tcMar>
              <w:top w:w="0" w:type="dxa"/>
              <w:left w:w="108" w:type="dxa"/>
              <w:bottom w:w="0" w:type="dxa"/>
              <w:right w:w="108" w:type="dxa"/>
            </w:tcMar>
            <w:vAlign w:val="bottom"/>
          </w:tcPr>
          <w:p w14:paraId="611E7A9E" w14:textId="77777777" w:rsidR="00A76ADB" w:rsidRPr="00246F01" w:rsidRDefault="00A76ADB" w:rsidP="007E3239">
            <w:pPr>
              <w:pStyle w:val="TableText"/>
              <w:spacing w:before="50" w:after="50"/>
              <w:jc w:val="center"/>
            </w:pPr>
            <w:r w:rsidRPr="00246F01">
              <w:t>2,158.8</w:t>
            </w:r>
          </w:p>
        </w:tc>
        <w:tc>
          <w:tcPr>
            <w:tcW w:w="0" w:type="auto"/>
            <w:shd w:val="clear" w:color="auto" w:fill="FFFFFF"/>
            <w:tcMar>
              <w:top w:w="0" w:type="dxa"/>
              <w:left w:w="108" w:type="dxa"/>
              <w:bottom w:w="0" w:type="dxa"/>
              <w:right w:w="108" w:type="dxa"/>
            </w:tcMar>
            <w:vAlign w:val="bottom"/>
          </w:tcPr>
          <w:p w14:paraId="6952EEE4" w14:textId="77777777" w:rsidR="00A76ADB" w:rsidRPr="00246F01" w:rsidRDefault="00A76ADB" w:rsidP="007E3239">
            <w:pPr>
              <w:pStyle w:val="TableText"/>
              <w:spacing w:before="50" w:after="50"/>
              <w:jc w:val="center"/>
            </w:pPr>
            <w:r w:rsidRPr="00246F01">
              <w:t>824.2</w:t>
            </w:r>
          </w:p>
        </w:tc>
        <w:tc>
          <w:tcPr>
            <w:tcW w:w="0" w:type="auto"/>
            <w:shd w:val="clear" w:color="auto" w:fill="FFFFFF"/>
            <w:tcMar>
              <w:top w:w="0" w:type="dxa"/>
              <w:left w:w="108" w:type="dxa"/>
              <w:bottom w:w="0" w:type="dxa"/>
              <w:right w:w="108" w:type="dxa"/>
            </w:tcMar>
            <w:vAlign w:val="bottom"/>
          </w:tcPr>
          <w:p w14:paraId="2DA38575" w14:textId="77777777" w:rsidR="00A76ADB" w:rsidRPr="00246F01" w:rsidRDefault="00A76ADB" w:rsidP="007E3239">
            <w:pPr>
              <w:pStyle w:val="TableText"/>
              <w:spacing w:before="50" w:after="50"/>
              <w:jc w:val="center"/>
            </w:pPr>
            <w:r w:rsidRPr="00246F01">
              <w:t>16.8</w:t>
            </w:r>
          </w:p>
        </w:tc>
        <w:tc>
          <w:tcPr>
            <w:tcW w:w="0" w:type="auto"/>
            <w:shd w:val="clear" w:color="auto" w:fill="FFFFFF"/>
            <w:tcMar>
              <w:top w:w="0" w:type="dxa"/>
              <w:left w:w="108" w:type="dxa"/>
              <w:bottom w:w="0" w:type="dxa"/>
              <w:right w:w="108" w:type="dxa"/>
            </w:tcMar>
            <w:vAlign w:val="bottom"/>
          </w:tcPr>
          <w:p w14:paraId="7543B12B" w14:textId="77777777" w:rsidR="00A76ADB" w:rsidRPr="00246F01" w:rsidRDefault="00A76ADB" w:rsidP="007E3239">
            <w:pPr>
              <w:pStyle w:val="TableText"/>
              <w:spacing w:before="50" w:after="50"/>
              <w:jc w:val="center"/>
            </w:pPr>
            <w:r w:rsidRPr="00246F01">
              <w:t>2,999.8</w:t>
            </w:r>
          </w:p>
        </w:tc>
      </w:tr>
      <w:tr w:rsidR="00A76ADB" w14:paraId="6875B7C2" w14:textId="77777777" w:rsidTr="00F16598">
        <w:trPr>
          <w:cantSplit/>
          <w:trHeight w:val="283"/>
        </w:trPr>
        <w:tc>
          <w:tcPr>
            <w:tcW w:w="0" w:type="auto"/>
            <w:shd w:val="clear" w:color="auto" w:fill="FFFFFF"/>
            <w:tcMar>
              <w:top w:w="0" w:type="dxa"/>
              <w:left w:w="108" w:type="dxa"/>
              <w:bottom w:w="0" w:type="dxa"/>
              <w:right w:w="108" w:type="dxa"/>
            </w:tcMar>
            <w:vAlign w:val="center"/>
          </w:tcPr>
          <w:p w14:paraId="6C125636" w14:textId="77777777" w:rsidR="00A76ADB" w:rsidRDefault="00A76ADB" w:rsidP="007E3239">
            <w:pPr>
              <w:pStyle w:val="TableText"/>
              <w:spacing w:before="50" w:after="50"/>
            </w:pPr>
            <w:r>
              <w:rPr>
                <w:rFonts w:eastAsia="Calibri"/>
              </w:rPr>
              <w:t>2008</w:t>
            </w:r>
          </w:p>
        </w:tc>
        <w:tc>
          <w:tcPr>
            <w:tcW w:w="0" w:type="auto"/>
            <w:shd w:val="clear" w:color="auto" w:fill="FFFFFF"/>
            <w:tcMar>
              <w:top w:w="0" w:type="dxa"/>
              <w:left w:w="108" w:type="dxa"/>
              <w:bottom w:w="0" w:type="dxa"/>
              <w:right w:w="108" w:type="dxa"/>
            </w:tcMar>
            <w:vAlign w:val="bottom"/>
          </w:tcPr>
          <w:p w14:paraId="16824650" w14:textId="77777777" w:rsidR="00A76ADB" w:rsidRPr="00246F01" w:rsidRDefault="00A76ADB" w:rsidP="007E3239">
            <w:pPr>
              <w:pStyle w:val="TableText"/>
              <w:spacing w:before="50" w:after="50"/>
              <w:jc w:val="center"/>
            </w:pPr>
            <w:r w:rsidRPr="00246F01">
              <w:t>2,097.4</w:t>
            </w:r>
          </w:p>
        </w:tc>
        <w:tc>
          <w:tcPr>
            <w:tcW w:w="0" w:type="auto"/>
            <w:shd w:val="clear" w:color="auto" w:fill="FFFFFF"/>
            <w:tcMar>
              <w:top w:w="0" w:type="dxa"/>
              <w:left w:w="108" w:type="dxa"/>
              <w:bottom w:w="0" w:type="dxa"/>
              <w:right w:w="108" w:type="dxa"/>
            </w:tcMar>
            <w:vAlign w:val="bottom"/>
          </w:tcPr>
          <w:p w14:paraId="1ED025BC" w14:textId="77777777" w:rsidR="00A76ADB" w:rsidRPr="00246F01" w:rsidRDefault="00A76ADB" w:rsidP="007E3239">
            <w:pPr>
              <w:pStyle w:val="TableText"/>
              <w:spacing w:before="50" w:after="50"/>
              <w:jc w:val="center"/>
            </w:pPr>
            <w:r w:rsidRPr="00246F01">
              <w:t>736.2</w:t>
            </w:r>
          </w:p>
        </w:tc>
        <w:tc>
          <w:tcPr>
            <w:tcW w:w="0" w:type="auto"/>
            <w:shd w:val="clear" w:color="auto" w:fill="FFFFFF"/>
            <w:tcMar>
              <w:top w:w="0" w:type="dxa"/>
              <w:left w:w="108" w:type="dxa"/>
              <w:bottom w:w="0" w:type="dxa"/>
              <w:right w:w="108" w:type="dxa"/>
            </w:tcMar>
            <w:vAlign w:val="bottom"/>
          </w:tcPr>
          <w:p w14:paraId="32445964" w14:textId="77777777" w:rsidR="00A76ADB" w:rsidRPr="00246F01" w:rsidRDefault="00A76ADB" w:rsidP="007E3239">
            <w:pPr>
              <w:pStyle w:val="TableText"/>
              <w:spacing w:before="50" w:after="50"/>
              <w:jc w:val="center"/>
            </w:pPr>
            <w:r w:rsidRPr="00246F01">
              <w:t>9.9</w:t>
            </w:r>
          </w:p>
        </w:tc>
        <w:tc>
          <w:tcPr>
            <w:tcW w:w="0" w:type="auto"/>
            <w:shd w:val="clear" w:color="auto" w:fill="FFFFFF"/>
            <w:tcMar>
              <w:top w:w="0" w:type="dxa"/>
              <w:left w:w="108" w:type="dxa"/>
              <w:bottom w:w="0" w:type="dxa"/>
              <w:right w:w="108" w:type="dxa"/>
            </w:tcMar>
            <w:vAlign w:val="bottom"/>
          </w:tcPr>
          <w:p w14:paraId="03261EBC" w14:textId="77777777" w:rsidR="00A76ADB" w:rsidRPr="00246F01" w:rsidRDefault="00A76ADB" w:rsidP="007E3239">
            <w:pPr>
              <w:pStyle w:val="TableText"/>
              <w:spacing w:before="50" w:after="50"/>
              <w:jc w:val="center"/>
            </w:pPr>
            <w:r w:rsidRPr="00246F01">
              <w:t>2,843.5</w:t>
            </w:r>
          </w:p>
        </w:tc>
      </w:tr>
      <w:tr w:rsidR="00A76ADB" w14:paraId="229C21FB" w14:textId="77777777" w:rsidTr="00F16598">
        <w:trPr>
          <w:cantSplit/>
          <w:trHeight w:val="283"/>
        </w:trPr>
        <w:tc>
          <w:tcPr>
            <w:tcW w:w="0" w:type="auto"/>
            <w:shd w:val="clear" w:color="auto" w:fill="FFFFFF"/>
            <w:tcMar>
              <w:top w:w="0" w:type="dxa"/>
              <w:left w:w="108" w:type="dxa"/>
              <w:bottom w:w="0" w:type="dxa"/>
              <w:right w:w="108" w:type="dxa"/>
            </w:tcMar>
            <w:vAlign w:val="center"/>
          </w:tcPr>
          <w:p w14:paraId="071786CB" w14:textId="77777777" w:rsidR="00A76ADB" w:rsidRDefault="00A76ADB" w:rsidP="007E3239">
            <w:pPr>
              <w:pStyle w:val="TableText"/>
              <w:spacing w:before="50" w:after="50"/>
            </w:pPr>
            <w:r>
              <w:rPr>
                <w:rFonts w:eastAsia="Calibri"/>
              </w:rPr>
              <w:t>2009</w:t>
            </w:r>
          </w:p>
        </w:tc>
        <w:tc>
          <w:tcPr>
            <w:tcW w:w="0" w:type="auto"/>
            <w:shd w:val="clear" w:color="auto" w:fill="FFFFFF"/>
            <w:tcMar>
              <w:top w:w="0" w:type="dxa"/>
              <w:left w:w="108" w:type="dxa"/>
              <w:bottom w:w="0" w:type="dxa"/>
              <w:right w:w="108" w:type="dxa"/>
            </w:tcMar>
            <w:vAlign w:val="bottom"/>
          </w:tcPr>
          <w:p w14:paraId="2C9AC0C9" w14:textId="77777777" w:rsidR="00A76ADB" w:rsidRPr="00246F01" w:rsidRDefault="00A76ADB" w:rsidP="007E3239">
            <w:pPr>
              <w:pStyle w:val="TableText"/>
              <w:spacing w:before="50" w:after="50"/>
              <w:jc w:val="center"/>
            </w:pPr>
            <w:r w:rsidRPr="00246F01">
              <w:t>2,051.7</w:t>
            </w:r>
          </w:p>
        </w:tc>
        <w:tc>
          <w:tcPr>
            <w:tcW w:w="0" w:type="auto"/>
            <w:shd w:val="clear" w:color="auto" w:fill="FFFFFF"/>
            <w:tcMar>
              <w:top w:w="0" w:type="dxa"/>
              <w:left w:w="108" w:type="dxa"/>
              <w:bottom w:w="0" w:type="dxa"/>
              <w:right w:w="108" w:type="dxa"/>
            </w:tcMar>
            <w:vAlign w:val="bottom"/>
          </w:tcPr>
          <w:p w14:paraId="47E2AAD9" w14:textId="77777777" w:rsidR="00A76ADB" w:rsidRPr="00246F01" w:rsidRDefault="00A76ADB" w:rsidP="007E3239">
            <w:pPr>
              <w:pStyle w:val="TableText"/>
              <w:spacing w:before="50" w:after="50"/>
              <w:jc w:val="center"/>
            </w:pPr>
            <w:r w:rsidRPr="00246F01">
              <w:t>631.4</w:t>
            </w:r>
          </w:p>
        </w:tc>
        <w:tc>
          <w:tcPr>
            <w:tcW w:w="0" w:type="auto"/>
            <w:shd w:val="clear" w:color="auto" w:fill="FFFFFF"/>
            <w:tcMar>
              <w:top w:w="0" w:type="dxa"/>
              <w:left w:w="108" w:type="dxa"/>
              <w:bottom w:w="0" w:type="dxa"/>
              <w:right w:w="108" w:type="dxa"/>
            </w:tcMar>
            <w:vAlign w:val="bottom"/>
          </w:tcPr>
          <w:p w14:paraId="5DC119C7" w14:textId="77777777" w:rsidR="00A76ADB" w:rsidRPr="00246F01" w:rsidRDefault="00A76ADB" w:rsidP="007E3239">
            <w:pPr>
              <w:pStyle w:val="TableText"/>
              <w:spacing w:before="50" w:after="50"/>
              <w:jc w:val="center"/>
            </w:pPr>
            <w:r w:rsidRPr="00246F01">
              <w:t>4.2</w:t>
            </w:r>
          </w:p>
        </w:tc>
        <w:tc>
          <w:tcPr>
            <w:tcW w:w="0" w:type="auto"/>
            <w:shd w:val="clear" w:color="auto" w:fill="FFFFFF"/>
            <w:tcMar>
              <w:top w:w="0" w:type="dxa"/>
              <w:left w:w="108" w:type="dxa"/>
              <w:bottom w:w="0" w:type="dxa"/>
              <w:right w:w="108" w:type="dxa"/>
            </w:tcMar>
            <w:vAlign w:val="bottom"/>
          </w:tcPr>
          <w:p w14:paraId="5406C40E" w14:textId="77777777" w:rsidR="00A76ADB" w:rsidRPr="00246F01" w:rsidRDefault="00A76ADB" w:rsidP="007E3239">
            <w:pPr>
              <w:pStyle w:val="TableText"/>
              <w:spacing w:before="50" w:after="50"/>
              <w:jc w:val="center"/>
            </w:pPr>
            <w:r w:rsidRPr="00246F01">
              <w:t>2,687.3</w:t>
            </w:r>
          </w:p>
        </w:tc>
      </w:tr>
      <w:tr w:rsidR="00A76ADB" w14:paraId="467ADB32" w14:textId="77777777" w:rsidTr="00F16598">
        <w:trPr>
          <w:cantSplit/>
          <w:trHeight w:val="283"/>
        </w:trPr>
        <w:tc>
          <w:tcPr>
            <w:tcW w:w="0" w:type="auto"/>
            <w:shd w:val="clear" w:color="auto" w:fill="FFFFFF"/>
            <w:tcMar>
              <w:top w:w="0" w:type="dxa"/>
              <w:left w:w="108" w:type="dxa"/>
              <w:bottom w:w="0" w:type="dxa"/>
              <w:right w:w="108" w:type="dxa"/>
            </w:tcMar>
            <w:vAlign w:val="center"/>
          </w:tcPr>
          <w:p w14:paraId="5AD06C4E" w14:textId="77777777" w:rsidR="00A76ADB" w:rsidRDefault="00A76ADB" w:rsidP="007E3239">
            <w:pPr>
              <w:pStyle w:val="TableText"/>
              <w:spacing w:before="50" w:after="50"/>
            </w:pPr>
            <w:r>
              <w:rPr>
                <w:rFonts w:eastAsia="Calibri"/>
              </w:rPr>
              <w:t>2010</w:t>
            </w:r>
          </w:p>
        </w:tc>
        <w:tc>
          <w:tcPr>
            <w:tcW w:w="0" w:type="auto"/>
            <w:shd w:val="clear" w:color="auto" w:fill="FFFFFF"/>
            <w:tcMar>
              <w:top w:w="0" w:type="dxa"/>
              <w:left w:w="108" w:type="dxa"/>
              <w:bottom w:w="0" w:type="dxa"/>
              <w:right w:w="108" w:type="dxa"/>
            </w:tcMar>
            <w:vAlign w:val="bottom"/>
          </w:tcPr>
          <w:p w14:paraId="08D7C92D" w14:textId="77777777" w:rsidR="00A76ADB" w:rsidRPr="00246F01" w:rsidRDefault="00A76ADB" w:rsidP="007E3239">
            <w:pPr>
              <w:pStyle w:val="TableText"/>
              <w:spacing w:before="50" w:after="50"/>
              <w:jc w:val="center"/>
            </w:pPr>
            <w:r w:rsidRPr="00246F01">
              <w:t>2,303.1</w:t>
            </w:r>
          </w:p>
        </w:tc>
        <w:tc>
          <w:tcPr>
            <w:tcW w:w="0" w:type="auto"/>
            <w:shd w:val="clear" w:color="auto" w:fill="FFFFFF"/>
            <w:tcMar>
              <w:top w:w="0" w:type="dxa"/>
              <w:left w:w="108" w:type="dxa"/>
              <w:bottom w:w="0" w:type="dxa"/>
              <w:right w:w="108" w:type="dxa"/>
            </w:tcMar>
            <w:vAlign w:val="bottom"/>
          </w:tcPr>
          <w:p w14:paraId="594D78D8" w14:textId="77777777" w:rsidR="00A76ADB" w:rsidRPr="00246F01" w:rsidRDefault="00A76ADB" w:rsidP="007E3239">
            <w:pPr>
              <w:pStyle w:val="TableText"/>
              <w:spacing w:before="50" w:after="50"/>
              <w:jc w:val="center"/>
            </w:pPr>
            <w:r w:rsidRPr="00246F01">
              <w:t>229.4</w:t>
            </w:r>
          </w:p>
        </w:tc>
        <w:tc>
          <w:tcPr>
            <w:tcW w:w="0" w:type="auto"/>
            <w:shd w:val="clear" w:color="auto" w:fill="FFFFFF"/>
            <w:tcMar>
              <w:top w:w="0" w:type="dxa"/>
              <w:left w:w="108" w:type="dxa"/>
              <w:bottom w:w="0" w:type="dxa"/>
              <w:right w:w="108" w:type="dxa"/>
            </w:tcMar>
            <w:vAlign w:val="bottom"/>
          </w:tcPr>
          <w:p w14:paraId="0C21EAD6" w14:textId="77777777" w:rsidR="00A76ADB" w:rsidRPr="00246F01" w:rsidRDefault="00A76ADB" w:rsidP="007E3239">
            <w:pPr>
              <w:pStyle w:val="TableText"/>
              <w:spacing w:before="50" w:after="50"/>
              <w:jc w:val="center"/>
            </w:pPr>
            <w:r w:rsidRPr="00246F01">
              <w:t>NO</w:t>
            </w:r>
          </w:p>
        </w:tc>
        <w:tc>
          <w:tcPr>
            <w:tcW w:w="0" w:type="auto"/>
            <w:shd w:val="clear" w:color="auto" w:fill="FFFFFF"/>
            <w:tcMar>
              <w:top w:w="0" w:type="dxa"/>
              <w:left w:w="108" w:type="dxa"/>
              <w:bottom w:w="0" w:type="dxa"/>
              <w:right w:w="108" w:type="dxa"/>
            </w:tcMar>
            <w:vAlign w:val="bottom"/>
          </w:tcPr>
          <w:p w14:paraId="0C3ACA98" w14:textId="77777777" w:rsidR="00A76ADB" w:rsidRPr="00246F01" w:rsidRDefault="00A76ADB" w:rsidP="007E3239">
            <w:pPr>
              <w:pStyle w:val="TableText"/>
              <w:spacing w:before="50" w:after="50"/>
              <w:jc w:val="center"/>
            </w:pPr>
            <w:r w:rsidRPr="00246F01">
              <w:t>2,532.5</w:t>
            </w:r>
          </w:p>
        </w:tc>
      </w:tr>
      <w:tr w:rsidR="00A76ADB" w14:paraId="474A82BE" w14:textId="77777777" w:rsidTr="00F16598">
        <w:trPr>
          <w:cantSplit/>
          <w:trHeight w:val="283"/>
        </w:trPr>
        <w:tc>
          <w:tcPr>
            <w:tcW w:w="0" w:type="auto"/>
            <w:shd w:val="clear" w:color="auto" w:fill="FFFFFF"/>
            <w:tcMar>
              <w:top w:w="0" w:type="dxa"/>
              <w:left w:w="108" w:type="dxa"/>
              <w:bottom w:w="0" w:type="dxa"/>
              <w:right w:w="108" w:type="dxa"/>
            </w:tcMar>
            <w:vAlign w:val="center"/>
          </w:tcPr>
          <w:p w14:paraId="7237ECEB" w14:textId="77777777" w:rsidR="00A76ADB" w:rsidRDefault="00A76ADB" w:rsidP="007E3239">
            <w:pPr>
              <w:pStyle w:val="TableText"/>
              <w:spacing w:before="50" w:after="50"/>
            </w:pPr>
            <w:r>
              <w:rPr>
                <w:rFonts w:eastAsia="Calibri"/>
              </w:rPr>
              <w:t>2011</w:t>
            </w:r>
          </w:p>
        </w:tc>
        <w:tc>
          <w:tcPr>
            <w:tcW w:w="0" w:type="auto"/>
            <w:shd w:val="clear" w:color="auto" w:fill="FFFFFF"/>
            <w:tcMar>
              <w:top w:w="0" w:type="dxa"/>
              <w:left w:w="108" w:type="dxa"/>
              <w:bottom w:w="0" w:type="dxa"/>
              <w:right w:w="108" w:type="dxa"/>
            </w:tcMar>
            <w:vAlign w:val="bottom"/>
          </w:tcPr>
          <w:p w14:paraId="6688F8D1" w14:textId="77777777" w:rsidR="00A76ADB" w:rsidRPr="00246F01" w:rsidRDefault="00A76ADB" w:rsidP="007E3239">
            <w:pPr>
              <w:pStyle w:val="TableText"/>
              <w:spacing w:before="50" w:after="50"/>
              <w:jc w:val="center"/>
            </w:pPr>
            <w:r w:rsidRPr="00246F01">
              <w:t>2,299.5</w:t>
            </w:r>
          </w:p>
        </w:tc>
        <w:tc>
          <w:tcPr>
            <w:tcW w:w="0" w:type="auto"/>
            <w:shd w:val="clear" w:color="auto" w:fill="FFFFFF"/>
            <w:tcMar>
              <w:top w:w="0" w:type="dxa"/>
              <w:left w:w="108" w:type="dxa"/>
              <w:bottom w:w="0" w:type="dxa"/>
              <w:right w:w="108" w:type="dxa"/>
            </w:tcMar>
            <w:vAlign w:val="bottom"/>
          </w:tcPr>
          <w:p w14:paraId="2FBE5719" w14:textId="77777777" w:rsidR="00A76ADB" w:rsidRPr="00246F01" w:rsidRDefault="00A76ADB" w:rsidP="007E3239">
            <w:pPr>
              <w:pStyle w:val="TableText"/>
              <w:spacing w:before="50" w:after="50"/>
              <w:jc w:val="center"/>
            </w:pPr>
            <w:r w:rsidRPr="00246F01">
              <w:t>213.0</w:t>
            </w:r>
          </w:p>
        </w:tc>
        <w:tc>
          <w:tcPr>
            <w:tcW w:w="0" w:type="auto"/>
            <w:shd w:val="clear" w:color="auto" w:fill="FFFFFF"/>
            <w:tcMar>
              <w:top w:w="0" w:type="dxa"/>
              <w:left w:w="108" w:type="dxa"/>
              <w:bottom w:w="0" w:type="dxa"/>
              <w:right w:w="108" w:type="dxa"/>
            </w:tcMar>
            <w:vAlign w:val="bottom"/>
          </w:tcPr>
          <w:p w14:paraId="34202683" w14:textId="77777777" w:rsidR="00A76ADB" w:rsidRPr="00246F01" w:rsidRDefault="00A76ADB" w:rsidP="007E3239">
            <w:pPr>
              <w:pStyle w:val="TableText"/>
              <w:spacing w:before="50" w:after="50"/>
              <w:jc w:val="center"/>
            </w:pPr>
            <w:r w:rsidRPr="00246F01">
              <w:t>NO</w:t>
            </w:r>
          </w:p>
        </w:tc>
        <w:tc>
          <w:tcPr>
            <w:tcW w:w="0" w:type="auto"/>
            <w:shd w:val="clear" w:color="auto" w:fill="FFFFFF"/>
            <w:tcMar>
              <w:top w:w="0" w:type="dxa"/>
              <w:left w:w="108" w:type="dxa"/>
              <w:bottom w:w="0" w:type="dxa"/>
              <w:right w:w="108" w:type="dxa"/>
            </w:tcMar>
            <w:vAlign w:val="bottom"/>
          </w:tcPr>
          <w:p w14:paraId="50722D8E" w14:textId="77777777" w:rsidR="00A76ADB" w:rsidRPr="00246F01" w:rsidRDefault="00A76ADB" w:rsidP="007E3239">
            <w:pPr>
              <w:pStyle w:val="TableText"/>
              <w:spacing w:before="50" w:after="50"/>
              <w:jc w:val="center"/>
            </w:pPr>
            <w:r w:rsidRPr="00246F01">
              <w:t>2,512.5</w:t>
            </w:r>
          </w:p>
        </w:tc>
      </w:tr>
      <w:tr w:rsidR="00A76ADB" w14:paraId="7A31DE08" w14:textId="77777777" w:rsidTr="00F16598">
        <w:trPr>
          <w:cantSplit/>
          <w:trHeight w:val="283"/>
        </w:trPr>
        <w:tc>
          <w:tcPr>
            <w:tcW w:w="0" w:type="auto"/>
            <w:shd w:val="clear" w:color="auto" w:fill="FFFFFF"/>
            <w:tcMar>
              <w:top w:w="0" w:type="dxa"/>
              <w:left w:w="108" w:type="dxa"/>
              <w:bottom w:w="0" w:type="dxa"/>
              <w:right w:w="108" w:type="dxa"/>
            </w:tcMar>
            <w:vAlign w:val="center"/>
          </w:tcPr>
          <w:p w14:paraId="10868AEB" w14:textId="77777777" w:rsidR="00A76ADB" w:rsidRDefault="00A76ADB" w:rsidP="007E3239">
            <w:pPr>
              <w:pStyle w:val="TableText"/>
              <w:spacing w:before="50" w:after="50"/>
            </w:pPr>
            <w:r>
              <w:rPr>
                <w:rFonts w:eastAsia="Calibri"/>
              </w:rPr>
              <w:t>2012</w:t>
            </w:r>
          </w:p>
        </w:tc>
        <w:tc>
          <w:tcPr>
            <w:tcW w:w="0" w:type="auto"/>
            <w:shd w:val="clear" w:color="auto" w:fill="FFFFFF"/>
            <w:tcMar>
              <w:top w:w="0" w:type="dxa"/>
              <w:left w:w="108" w:type="dxa"/>
              <w:bottom w:w="0" w:type="dxa"/>
              <w:right w:w="108" w:type="dxa"/>
            </w:tcMar>
            <w:vAlign w:val="bottom"/>
          </w:tcPr>
          <w:p w14:paraId="148C0F53" w14:textId="77777777" w:rsidR="00A76ADB" w:rsidRPr="00246F01" w:rsidRDefault="00A76ADB" w:rsidP="007E3239">
            <w:pPr>
              <w:pStyle w:val="TableText"/>
              <w:spacing w:before="50" w:after="50"/>
              <w:jc w:val="center"/>
            </w:pPr>
            <w:r w:rsidRPr="00246F01">
              <w:t>2,306.0</w:t>
            </w:r>
          </w:p>
        </w:tc>
        <w:tc>
          <w:tcPr>
            <w:tcW w:w="0" w:type="auto"/>
            <w:shd w:val="clear" w:color="auto" w:fill="FFFFFF"/>
            <w:tcMar>
              <w:top w:w="0" w:type="dxa"/>
              <w:left w:w="108" w:type="dxa"/>
              <w:bottom w:w="0" w:type="dxa"/>
              <w:right w:w="108" w:type="dxa"/>
            </w:tcMar>
            <w:vAlign w:val="bottom"/>
          </w:tcPr>
          <w:p w14:paraId="5C348E3C" w14:textId="77777777" w:rsidR="00A76ADB" w:rsidRPr="00246F01" w:rsidRDefault="00A76ADB" w:rsidP="007E3239">
            <w:pPr>
              <w:pStyle w:val="TableText"/>
              <w:spacing w:before="50" w:after="50"/>
              <w:jc w:val="center"/>
            </w:pPr>
            <w:r w:rsidRPr="00246F01">
              <w:t>209.0</w:t>
            </w:r>
          </w:p>
        </w:tc>
        <w:tc>
          <w:tcPr>
            <w:tcW w:w="0" w:type="auto"/>
            <w:shd w:val="clear" w:color="auto" w:fill="FFFFFF"/>
            <w:tcMar>
              <w:top w:w="0" w:type="dxa"/>
              <w:left w:w="108" w:type="dxa"/>
              <w:bottom w:w="0" w:type="dxa"/>
              <w:right w:w="108" w:type="dxa"/>
            </w:tcMar>
            <w:vAlign w:val="bottom"/>
          </w:tcPr>
          <w:p w14:paraId="67417EA4" w14:textId="77777777" w:rsidR="00A76ADB" w:rsidRPr="00246F01" w:rsidRDefault="00A76ADB" w:rsidP="007E3239">
            <w:pPr>
              <w:pStyle w:val="TableText"/>
              <w:spacing w:before="50" w:after="50"/>
              <w:jc w:val="center"/>
            </w:pPr>
            <w:r w:rsidRPr="00246F01">
              <w:t>NO</w:t>
            </w:r>
          </w:p>
        </w:tc>
        <w:tc>
          <w:tcPr>
            <w:tcW w:w="0" w:type="auto"/>
            <w:shd w:val="clear" w:color="auto" w:fill="FFFFFF"/>
            <w:tcMar>
              <w:top w:w="0" w:type="dxa"/>
              <w:left w:w="108" w:type="dxa"/>
              <w:bottom w:w="0" w:type="dxa"/>
              <w:right w:w="108" w:type="dxa"/>
            </w:tcMar>
            <w:vAlign w:val="bottom"/>
          </w:tcPr>
          <w:p w14:paraId="56A45A87" w14:textId="77777777" w:rsidR="00A76ADB" w:rsidRPr="00246F01" w:rsidRDefault="00A76ADB" w:rsidP="007E3239">
            <w:pPr>
              <w:pStyle w:val="TableText"/>
              <w:spacing w:before="50" w:after="50"/>
              <w:jc w:val="center"/>
            </w:pPr>
            <w:r w:rsidRPr="00246F01">
              <w:t>2,515.0</w:t>
            </w:r>
          </w:p>
        </w:tc>
      </w:tr>
      <w:tr w:rsidR="00A76ADB" w14:paraId="6AEAAF31" w14:textId="77777777" w:rsidTr="00F16598">
        <w:trPr>
          <w:cantSplit/>
          <w:trHeight w:val="283"/>
        </w:trPr>
        <w:tc>
          <w:tcPr>
            <w:tcW w:w="0" w:type="auto"/>
            <w:shd w:val="clear" w:color="auto" w:fill="FFFFFF"/>
            <w:tcMar>
              <w:top w:w="0" w:type="dxa"/>
              <w:left w:w="108" w:type="dxa"/>
              <w:bottom w:w="0" w:type="dxa"/>
              <w:right w:w="108" w:type="dxa"/>
            </w:tcMar>
            <w:vAlign w:val="center"/>
          </w:tcPr>
          <w:p w14:paraId="661FD5CF" w14:textId="77777777" w:rsidR="00A76ADB" w:rsidRDefault="00A76ADB" w:rsidP="007E3239">
            <w:pPr>
              <w:pStyle w:val="TableText"/>
              <w:spacing w:before="50" w:after="50"/>
            </w:pPr>
            <w:r>
              <w:rPr>
                <w:rFonts w:eastAsia="Calibri"/>
              </w:rPr>
              <w:t>2013</w:t>
            </w:r>
          </w:p>
        </w:tc>
        <w:tc>
          <w:tcPr>
            <w:tcW w:w="0" w:type="auto"/>
            <w:shd w:val="clear" w:color="auto" w:fill="FFFFFF"/>
            <w:tcMar>
              <w:top w:w="0" w:type="dxa"/>
              <w:left w:w="108" w:type="dxa"/>
              <w:bottom w:w="0" w:type="dxa"/>
              <w:right w:w="108" w:type="dxa"/>
            </w:tcMar>
            <w:vAlign w:val="bottom"/>
          </w:tcPr>
          <w:p w14:paraId="6E5A5E9B" w14:textId="77777777" w:rsidR="00A76ADB" w:rsidRPr="00246F01" w:rsidRDefault="00A76ADB" w:rsidP="007E3239">
            <w:pPr>
              <w:pStyle w:val="TableText"/>
              <w:spacing w:before="50" w:after="50"/>
              <w:jc w:val="center"/>
            </w:pPr>
            <w:r w:rsidRPr="00246F01">
              <w:t>2,493.6</w:t>
            </w:r>
          </w:p>
        </w:tc>
        <w:tc>
          <w:tcPr>
            <w:tcW w:w="0" w:type="auto"/>
            <w:shd w:val="clear" w:color="auto" w:fill="FFFFFF"/>
            <w:tcMar>
              <w:top w:w="0" w:type="dxa"/>
              <w:left w:w="108" w:type="dxa"/>
              <w:bottom w:w="0" w:type="dxa"/>
              <w:right w:w="108" w:type="dxa"/>
            </w:tcMar>
            <w:vAlign w:val="bottom"/>
          </w:tcPr>
          <w:p w14:paraId="1BEC5C8B" w14:textId="77777777" w:rsidR="00A76ADB" w:rsidRPr="00246F01" w:rsidRDefault="00A76ADB" w:rsidP="007E3239">
            <w:pPr>
              <w:pStyle w:val="TableText"/>
              <w:spacing w:before="50" w:after="50"/>
              <w:jc w:val="center"/>
            </w:pPr>
            <w:r w:rsidRPr="00246F01">
              <w:t>191.8</w:t>
            </w:r>
          </w:p>
        </w:tc>
        <w:tc>
          <w:tcPr>
            <w:tcW w:w="0" w:type="auto"/>
            <w:shd w:val="clear" w:color="auto" w:fill="FFFFFF"/>
            <w:tcMar>
              <w:top w:w="0" w:type="dxa"/>
              <w:left w:w="108" w:type="dxa"/>
              <w:bottom w:w="0" w:type="dxa"/>
              <w:right w:w="108" w:type="dxa"/>
            </w:tcMar>
            <w:vAlign w:val="bottom"/>
          </w:tcPr>
          <w:p w14:paraId="55A6FA44" w14:textId="77777777" w:rsidR="00A76ADB" w:rsidRPr="00246F01" w:rsidRDefault="00A76ADB" w:rsidP="007E3239">
            <w:pPr>
              <w:pStyle w:val="TableText"/>
              <w:spacing w:before="50" w:after="50"/>
              <w:jc w:val="center"/>
            </w:pPr>
            <w:r w:rsidRPr="00246F01">
              <w:t>NO</w:t>
            </w:r>
          </w:p>
        </w:tc>
        <w:tc>
          <w:tcPr>
            <w:tcW w:w="0" w:type="auto"/>
            <w:shd w:val="clear" w:color="auto" w:fill="FFFFFF"/>
            <w:tcMar>
              <w:top w:w="0" w:type="dxa"/>
              <w:left w:w="108" w:type="dxa"/>
              <w:bottom w:w="0" w:type="dxa"/>
              <w:right w:w="108" w:type="dxa"/>
            </w:tcMar>
            <w:vAlign w:val="bottom"/>
          </w:tcPr>
          <w:p w14:paraId="01DBDE45" w14:textId="77777777" w:rsidR="00A76ADB" w:rsidRPr="00246F01" w:rsidRDefault="00A76ADB" w:rsidP="007E3239">
            <w:pPr>
              <w:pStyle w:val="TableText"/>
              <w:spacing w:before="50" w:after="50"/>
              <w:jc w:val="center"/>
            </w:pPr>
            <w:r w:rsidRPr="00246F01">
              <w:t>2,685.4</w:t>
            </w:r>
          </w:p>
        </w:tc>
      </w:tr>
      <w:tr w:rsidR="00A76ADB" w14:paraId="1A73D0B1" w14:textId="77777777" w:rsidTr="00F16598">
        <w:trPr>
          <w:cantSplit/>
          <w:trHeight w:val="283"/>
        </w:trPr>
        <w:tc>
          <w:tcPr>
            <w:tcW w:w="0" w:type="auto"/>
            <w:shd w:val="clear" w:color="auto" w:fill="FFFFFF"/>
            <w:tcMar>
              <w:top w:w="0" w:type="dxa"/>
              <w:left w:w="108" w:type="dxa"/>
              <w:bottom w:w="0" w:type="dxa"/>
              <w:right w:w="108" w:type="dxa"/>
            </w:tcMar>
            <w:vAlign w:val="center"/>
          </w:tcPr>
          <w:p w14:paraId="484FD87F" w14:textId="77777777" w:rsidR="00A76ADB" w:rsidRDefault="00A76ADB" w:rsidP="007E3239">
            <w:pPr>
              <w:pStyle w:val="TableText"/>
              <w:spacing w:before="50" w:after="50"/>
            </w:pPr>
            <w:r>
              <w:rPr>
                <w:rFonts w:eastAsia="Calibri"/>
              </w:rPr>
              <w:t>2014</w:t>
            </w:r>
          </w:p>
        </w:tc>
        <w:tc>
          <w:tcPr>
            <w:tcW w:w="0" w:type="auto"/>
            <w:shd w:val="clear" w:color="auto" w:fill="FFFFFF"/>
            <w:tcMar>
              <w:top w:w="0" w:type="dxa"/>
              <w:left w:w="108" w:type="dxa"/>
              <w:bottom w:w="0" w:type="dxa"/>
              <w:right w:w="108" w:type="dxa"/>
            </w:tcMar>
            <w:vAlign w:val="bottom"/>
          </w:tcPr>
          <w:p w14:paraId="3A316E0F" w14:textId="77777777" w:rsidR="00A76ADB" w:rsidRPr="00246F01" w:rsidRDefault="00A76ADB" w:rsidP="007E3239">
            <w:pPr>
              <w:pStyle w:val="TableText"/>
              <w:spacing w:before="50" w:after="50"/>
              <w:jc w:val="center"/>
            </w:pPr>
            <w:r w:rsidRPr="00246F01">
              <w:t>2,744.5</w:t>
            </w:r>
          </w:p>
        </w:tc>
        <w:tc>
          <w:tcPr>
            <w:tcW w:w="0" w:type="auto"/>
            <w:shd w:val="clear" w:color="auto" w:fill="FFFFFF"/>
            <w:tcMar>
              <w:top w:w="0" w:type="dxa"/>
              <w:left w:w="108" w:type="dxa"/>
              <w:bottom w:w="0" w:type="dxa"/>
              <w:right w:w="108" w:type="dxa"/>
            </w:tcMar>
            <w:vAlign w:val="bottom"/>
          </w:tcPr>
          <w:p w14:paraId="1557FAD6" w14:textId="77777777" w:rsidR="00A76ADB" w:rsidRPr="00246F01" w:rsidRDefault="00A76ADB" w:rsidP="007E3239">
            <w:pPr>
              <w:pStyle w:val="TableText"/>
              <w:spacing w:before="50" w:after="50"/>
              <w:jc w:val="center"/>
            </w:pPr>
            <w:r w:rsidRPr="00246F01">
              <w:t>188.6</w:t>
            </w:r>
          </w:p>
        </w:tc>
        <w:tc>
          <w:tcPr>
            <w:tcW w:w="0" w:type="auto"/>
            <w:shd w:val="clear" w:color="auto" w:fill="FFFFFF"/>
            <w:tcMar>
              <w:top w:w="0" w:type="dxa"/>
              <w:left w:w="108" w:type="dxa"/>
              <w:bottom w:w="0" w:type="dxa"/>
              <w:right w:w="108" w:type="dxa"/>
            </w:tcMar>
            <w:vAlign w:val="bottom"/>
          </w:tcPr>
          <w:p w14:paraId="6B3E9EDC" w14:textId="77777777" w:rsidR="00A76ADB" w:rsidRPr="00246F01" w:rsidRDefault="00A76ADB" w:rsidP="007E3239">
            <w:pPr>
              <w:pStyle w:val="TableText"/>
              <w:spacing w:before="50" w:after="50"/>
              <w:jc w:val="center"/>
            </w:pPr>
            <w:r w:rsidRPr="00246F01">
              <w:t>NO</w:t>
            </w:r>
          </w:p>
        </w:tc>
        <w:tc>
          <w:tcPr>
            <w:tcW w:w="0" w:type="auto"/>
            <w:shd w:val="clear" w:color="auto" w:fill="FFFFFF"/>
            <w:tcMar>
              <w:top w:w="0" w:type="dxa"/>
              <w:left w:w="108" w:type="dxa"/>
              <w:bottom w:w="0" w:type="dxa"/>
              <w:right w:w="108" w:type="dxa"/>
            </w:tcMar>
            <w:vAlign w:val="bottom"/>
          </w:tcPr>
          <w:p w14:paraId="5C6143D3" w14:textId="77777777" w:rsidR="00A76ADB" w:rsidRPr="00246F01" w:rsidRDefault="00A76ADB" w:rsidP="007E3239">
            <w:pPr>
              <w:pStyle w:val="TableText"/>
              <w:spacing w:before="50" w:after="50"/>
              <w:jc w:val="center"/>
            </w:pPr>
            <w:r w:rsidRPr="00246F01">
              <w:t>2,933.1</w:t>
            </w:r>
          </w:p>
        </w:tc>
      </w:tr>
      <w:tr w:rsidR="00A76ADB" w14:paraId="3F7D8DE5" w14:textId="77777777" w:rsidTr="00F16598">
        <w:trPr>
          <w:cantSplit/>
          <w:trHeight w:val="283"/>
        </w:trPr>
        <w:tc>
          <w:tcPr>
            <w:tcW w:w="0" w:type="auto"/>
            <w:shd w:val="clear" w:color="auto" w:fill="FFFFFF"/>
            <w:tcMar>
              <w:top w:w="0" w:type="dxa"/>
              <w:left w:w="108" w:type="dxa"/>
              <w:bottom w:w="0" w:type="dxa"/>
              <w:right w:w="108" w:type="dxa"/>
            </w:tcMar>
            <w:vAlign w:val="center"/>
          </w:tcPr>
          <w:p w14:paraId="6819E460" w14:textId="77777777" w:rsidR="00A76ADB" w:rsidRDefault="00A76ADB" w:rsidP="007E3239">
            <w:pPr>
              <w:pStyle w:val="TableText"/>
              <w:spacing w:before="50" w:after="50"/>
            </w:pPr>
            <w:r>
              <w:rPr>
                <w:rFonts w:eastAsia="Calibri"/>
              </w:rPr>
              <w:lastRenderedPageBreak/>
              <w:t>2015</w:t>
            </w:r>
          </w:p>
        </w:tc>
        <w:tc>
          <w:tcPr>
            <w:tcW w:w="0" w:type="auto"/>
            <w:shd w:val="clear" w:color="auto" w:fill="FFFFFF"/>
            <w:tcMar>
              <w:top w:w="0" w:type="dxa"/>
              <w:left w:w="108" w:type="dxa"/>
              <w:bottom w:w="0" w:type="dxa"/>
              <w:right w:w="108" w:type="dxa"/>
            </w:tcMar>
            <w:vAlign w:val="bottom"/>
          </w:tcPr>
          <w:p w14:paraId="445B1B0E" w14:textId="77777777" w:rsidR="00A76ADB" w:rsidRPr="00246F01" w:rsidRDefault="00A76ADB" w:rsidP="007E3239">
            <w:pPr>
              <w:pStyle w:val="TableText"/>
              <w:spacing w:before="50" w:after="50"/>
              <w:jc w:val="center"/>
            </w:pPr>
            <w:r w:rsidRPr="00246F01">
              <w:t>3,017.8</w:t>
            </w:r>
          </w:p>
        </w:tc>
        <w:tc>
          <w:tcPr>
            <w:tcW w:w="0" w:type="auto"/>
            <w:shd w:val="clear" w:color="auto" w:fill="FFFFFF"/>
            <w:tcMar>
              <w:top w:w="0" w:type="dxa"/>
              <w:left w:w="108" w:type="dxa"/>
              <w:bottom w:w="0" w:type="dxa"/>
              <w:right w:w="108" w:type="dxa"/>
            </w:tcMar>
            <w:vAlign w:val="bottom"/>
          </w:tcPr>
          <w:p w14:paraId="7629BC4D" w14:textId="77777777" w:rsidR="00A76ADB" w:rsidRPr="00246F01" w:rsidRDefault="00A76ADB" w:rsidP="007E3239">
            <w:pPr>
              <w:pStyle w:val="TableText"/>
              <w:spacing w:before="50" w:after="50"/>
              <w:jc w:val="center"/>
            </w:pPr>
            <w:r w:rsidRPr="00246F01">
              <w:t>204.6</w:t>
            </w:r>
          </w:p>
        </w:tc>
        <w:tc>
          <w:tcPr>
            <w:tcW w:w="0" w:type="auto"/>
            <w:shd w:val="clear" w:color="auto" w:fill="FFFFFF"/>
            <w:tcMar>
              <w:top w:w="0" w:type="dxa"/>
              <w:left w:w="108" w:type="dxa"/>
              <w:bottom w:w="0" w:type="dxa"/>
              <w:right w:w="108" w:type="dxa"/>
            </w:tcMar>
            <w:vAlign w:val="bottom"/>
          </w:tcPr>
          <w:p w14:paraId="3A29DC78" w14:textId="77777777" w:rsidR="00A76ADB" w:rsidRPr="00246F01" w:rsidRDefault="00A76ADB" w:rsidP="007E3239">
            <w:pPr>
              <w:pStyle w:val="TableText"/>
              <w:spacing w:before="50" w:after="50"/>
              <w:jc w:val="center"/>
            </w:pPr>
            <w:r w:rsidRPr="00246F01">
              <w:t>NO</w:t>
            </w:r>
          </w:p>
        </w:tc>
        <w:tc>
          <w:tcPr>
            <w:tcW w:w="0" w:type="auto"/>
            <w:shd w:val="clear" w:color="auto" w:fill="FFFFFF"/>
            <w:tcMar>
              <w:top w:w="0" w:type="dxa"/>
              <w:left w:w="108" w:type="dxa"/>
              <w:bottom w:w="0" w:type="dxa"/>
              <w:right w:w="108" w:type="dxa"/>
            </w:tcMar>
            <w:vAlign w:val="bottom"/>
          </w:tcPr>
          <w:p w14:paraId="72FBC33A" w14:textId="77777777" w:rsidR="00A76ADB" w:rsidRPr="00246F01" w:rsidRDefault="00A76ADB" w:rsidP="007E3239">
            <w:pPr>
              <w:pStyle w:val="TableText"/>
              <w:spacing w:before="50" w:after="50"/>
              <w:jc w:val="center"/>
            </w:pPr>
            <w:r w:rsidRPr="00246F01">
              <w:t>3,222.4</w:t>
            </w:r>
          </w:p>
        </w:tc>
      </w:tr>
      <w:tr w:rsidR="00A76ADB" w14:paraId="120D087B" w14:textId="77777777" w:rsidTr="00F16598">
        <w:trPr>
          <w:cantSplit/>
          <w:trHeight w:val="283"/>
        </w:trPr>
        <w:tc>
          <w:tcPr>
            <w:tcW w:w="0" w:type="auto"/>
            <w:shd w:val="clear" w:color="auto" w:fill="FFFFFF"/>
            <w:tcMar>
              <w:top w:w="0" w:type="dxa"/>
              <w:left w:w="108" w:type="dxa"/>
              <w:bottom w:w="0" w:type="dxa"/>
              <w:right w:w="108" w:type="dxa"/>
            </w:tcMar>
            <w:vAlign w:val="center"/>
          </w:tcPr>
          <w:p w14:paraId="4EB94D8D" w14:textId="77777777" w:rsidR="00A76ADB" w:rsidRDefault="00A76ADB" w:rsidP="007E3239">
            <w:pPr>
              <w:pStyle w:val="TableText"/>
              <w:spacing w:before="50" w:after="50"/>
            </w:pPr>
            <w:r>
              <w:rPr>
                <w:rFonts w:eastAsia="Calibri"/>
              </w:rPr>
              <w:t>2016</w:t>
            </w:r>
          </w:p>
        </w:tc>
        <w:tc>
          <w:tcPr>
            <w:tcW w:w="0" w:type="auto"/>
            <w:shd w:val="clear" w:color="auto" w:fill="FFFFFF"/>
            <w:tcMar>
              <w:top w:w="0" w:type="dxa"/>
              <w:left w:w="108" w:type="dxa"/>
              <w:bottom w:w="0" w:type="dxa"/>
              <w:right w:w="108" w:type="dxa"/>
            </w:tcMar>
            <w:vAlign w:val="bottom"/>
          </w:tcPr>
          <w:p w14:paraId="35E0FF60" w14:textId="77777777" w:rsidR="00A76ADB" w:rsidRPr="00246F01" w:rsidRDefault="00A76ADB" w:rsidP="007E3239">
            <w:pPr>
              <w:pStyle w:val="TableText"/>
              <w:spacing w:before="50" w:after="50"/>
              <w:jc w:val="center"/>
            </w:pPr>
            <w:r w:rsidRPr="00246F01">
              <w:t>3,189.0</w:t>
            </w:r>
          </w:p>
        </w:tc>
        <w:tc>
          <w:tcPr>
            <w:tcW w:w="0" w:type="auto"/>
            <w:shd w:val="clear" w:color="auto" w:fill="FFFFFF"/>
            <w:tcMar>
              <w:top w:w="0" w:type="dxa"/>
              <w:left w:w="108" w:type="dxa"/>
              <w:bottom w:w="0" w:type="dxa"/>
              <w:right w:w="108" w:type="dxa"/>
            </w:tcMar>
            <w:vAlign w:val="bottom"/>
          </w:tcPr>
          <w:p w14:paraId="13B1E7F6" w14:textId="77777777" w:rsidR="00A76ADB" w:rsidRPr="00246F01" w:rsidRDefault="00A76ADB" w:rsidP="007E3239">
            <w:pPr>
              <w:pStyle w:val="TableText"/>
              <w:spacing w:before="50" w:after="50"/>
              <w:jc w:val="center"/>
            </w:pPr>
            <w:r w:rsidRPr="00246F01">
              <w:t>216.0</w:t>
            </w:r>
          </w:p>
        </w:tc>
        <w:tc>
          <w:tcPr>
            <w:tcW w:w="0" w:type="auto"/>
            <w:shd w:val="clear" w:color="auto" w:fill="FFFFFF"/>
            <w:tcMar>
              <w:top w:w="0" w:type="dxa"/>
              <w:left w:w="108" w:type="dxa"/>
              <w:bottom w:w="0" w:type="dxa"/>
              <w:right w:w="108" w:type="dxa"/>
            </w:tcMar>
            <w:vAlign w:val="bottom"/>
          </w:tcPr>
          <w:p w14:paraId="2B1C72EE" w14:textId="77777777" w:rsidR="00A76ADB" w:rsidRPr="00246F01" w:rsidRDefault="00A76ADB" w:rsidP="007E3239">
            <w:pPr>
              <w:pStyle w:val="TableText"/>
              <w:spacing w:before="50" w:after="50"/>
              <w:jc w:val="center"/>
            </w:pPr>
            <w:r w:rsidRPr="00246F01">
              <w:t>NO</w:t>
            </w:r>
          </w:p>
        </w:tc>
        <w:tc>
          <w:tcPr>
            <w:tcW w:w="0" w:type="auto"/>
            <w:shd w:val="clear" w:color="auto" w:fill="FFFFFF"/>
            <w:tcMar>
              <w:top w:w="0" w:type="dxa"/>
              <w:left w:w="108" w:type="dxa"/>
              <w:bottom w:w="0" w:type="dxa"/>
              <w:right w:w="108" w:type="dxa"/>
            </w:tcMar>
            <w:vAlign w:val="bottom"/>
          </w:tcPr>
          <w:p w14:paraId="7D71CE87" w14:textId="77777777" w:rsidR="00A76ADB" w:rsidRPr="00246F01" w:rsidRDefault="00A76ADB" w:rsidP="007E3239">
            <w:pPr>
              <w:pStyle w:val="TableText"/>
              <w:spacing w:before="50" w:after="50"/>
              <w:jc w:val="center"/>
            </w:pPr>
            <w:r w:rsidRPr="00246F01">
              <w:t>3,404.9</w:t>
            </w:r>
          </w:p>
        </w:tc>
      </w:tr>
      <w:tr w:rsidR="00A76ADB" w14:paraId="07289B25" w14:textId="77777777" w:rsidTr="00F16598">
        <w:trPr>
          <w:cantSplit/>
          <w:trHeight w:val="283"/>
        </w:trPr>
        <w:tc>
          <w:tcPr>
            <w:tcW w:w="0" w:type="auto"/>
            <w:shd w:val="clear" w:color="auto" w:fill="FFFFFF"/>
            <w:tcMar>
              <w:top w:w="0" w:type="dxa"/>
              <w:left w:w="108" w:type="dxa"/>
              <w:bottom w:w="0" w:type="dxa"/>
              <w:right w:w="108" w:type="dxa"/>
            </w:tcMar>
            <w:vAlign w:val="center"/>
          </w:tcPr>
          <w:p w14:paraId="190B1ED8" w14:textId="77777777" w:rsidR="00A76ADB" w:rsidRDefault="00A76ADB" w:rsidP="007E3239">
            <w:pPr>
              <w:pStyle w:val="TableText"/>
              <w:spacing w:before="50" w:after="50"/>
            </w:pPr>
            <w:r>
              <w:rPr>
                <w:rFonts w:eastAsia="Calibri"/>
              </w:rPr>
              <w:t>2017</w:t>
            </w:r>
          </w:p>
        </w:tc>
        <w:tc>
          <w:tcPr>
            <w:tcW w:w="0" w:type="auto"/>
            <w:shd w:val="clear" w:color="auto" w:fill="FFFFFF"/>
            <w:tcMar>
              <w:top w:w="0" w:type="dxa"/>
              <w:left w:w="108" w:type="dxa"/>
              <w:bottom w:w="0" w:type="dxa"/>
              <w:right w:w="108" w:type="dxa"/>
            </w:tcMar>
            <w:vAlign w:val="bottom"/>
          </w:tcPr>
          <w:p w14:paraId="5AAAF4DF" w14:textId="77777777" w:rsidR="00A76ADB" w:rsidRPr="00246F01" w:rsidRDefault="00A76ADB" w:rsidP="007E3239">
            <w:pPr>
              <w:pStyle w:val="TableText"/>
              <w:spacing w:before="50" w:after="50"/>
              <w:jc w:val="center"/>
            </w:pPr>
            <w:r w:rsidRPr="00246F01">
              <w:t>3,281.3</w:t>
            </w:r>
          </w:p>
        </w:tc>
        <w:tc>
          <w:tcPr>
            <w:tcW w:w="0" w:type="auto"/>
            <w:shd w:val="clear" w:color="auto" w:fill="FFFFFF"/>
            <w:tcMar>
              <w:top w:w="0" w:type="dxa"/>
              <w:left w:w="108" w:type="dxa"/>
              <w:bottom w:w="0" w:type="dxa"/>
              <w:right w:w="108" w:type="dxa"/>
            </w:tcMar>
            <w:vAlign w:val="bottom"/>
          </w:tcPr>
          <w:p w14:paraId="6B80F5E3" w14:textId="77777777" w:rsidR="00A76ADB" w:rsidRPr="00246F01" w:rsidRDefault="00A76ADB" w:rsidP="007E3239">
            <w:pPr>
              <w:pStyle w:val="TableText"/>
              <w:spacing w:before="50" w:after="50"/>
              <w:jc w:val="center"/>
            </w:pPr>
            <w:r w:rsidRPr="00246F01">
              <w:t>213.0</w:t>
            </w:r>
          </w:p>
        </w:tc>
        <w:tc>
          <w:tcPr>
            <w:tcW w:w="0" w:type="auto"/>
            <w:shd w:val="clear" w:color="auto" w:fill="FFFFFF"/>
            <w:tcMar>
              <w:top w:w="0" w:type="dxa"/>
              <w:left w:w="108" w:type="dxa"/>
              <w:bottom w:w="0" w:type="dxa"/>
              <w:right w:w="108" w:type="dxa"/>
            </w:tcMar>
            <w:vAlign w:val="bottom"/>
          </w:tcPr>
          <w:p w14:paraId="4D65EE5D" w14:textId="77777777" w:rsidR="00A76ADB" w:rsidRPr="00246F01" w:rsidRDefault="00A76ADB" w:rsidP="007E3239">
            <w:pPr>
              <w:pStyle w:val="TableText"/>
              <w:spacing w:before="50" w:after="50"/>
              <w:jc w:val="center"/>
            </w:pPr>
            <w:r w:rsidRPr="00246F01">
              <w:t>NO</w:t>
            </w:r>
          </w:p>
        </w:tc>
        <w:tc>
          <w:tcPr>
            <w:tcW w:w="0" w:type="auto"/>
            <w:shd w:val="clear" w:color="auto" w:fill="FFFFFF"/>
            <w:tcMar>
              <w:top w:w="0" w:type="dxa"/>
              <w:left w:w="108" w:type="dxa"/>
              <w:bottom w:w="0" w:type="dxa"/>
              <w:right w:w="108" w:type="dxa"/>
            </w:tcMar>
            <w:vAlign w:val="bottom"/>
          </w:tcPr>
          <w:p w14:paraId="5A764B03" w14:textId="77777777" w:rsidR="00A76ADB" w:rsidRPr="00246F01" w:rsidRDefault="00A76ADB" w:rsidP="007E3239">
            <w:pPr>
              <w:pStyle w:val="TableText"/>
              <w:spacing w:before="50" w:after="50"/>
              <w:jc w:val="center"/>
            </w:pPr>
            <w:r w:rsidRPr="00246F01">
              <w:t>3,494.3</w:t>
            </w:r>
          </w:p>
        </w:tc>
      </w:tr>
      <w:tr w:rsidR="00A76ADB" w14:paraId="449471D8" w14:textId="77777777" w:rsidTr="00F16598">
        <w:trPr>
          <w:cantSplit/>
          <w:trHeight w:val="283"/>
        </w:trPr>
        <w:tc>
          <w:tcPr>
            <w:tcW w:w="0" w:type="auto"/>
            <w:shd w:val="clear" w:color="auto" w:fill="FFFFFF"/>
            <w:tcMar>
              <w:top w:w="0" w:type="dxa"/>
              <w:left w:w="108" w:type="dxa"/>
              <w:bottom w:w="0" w:type="dxa"/>
              <w:right w:w="108" w:type="dxa"/>
            </w:tcMar>
            <w:vAlign w:val="center"/>
          </w:tcPr>
          <w:p w14:paraId="3BD480E1" w14:textId="77777777" w:rsidR="00A76ADB" w:rsidRDefault="00A76ADB" w:rsidP="007E3239">
            <w:pPr>
              <w:pStyle w:val="TableText"/>
              <w:spacing w:before="50" w:after="50"/>
            </w:pPr>
            <w:r>
              <w:rPr>
                <w:rFonts w:eastAsia="Calibri"/>
              </w:rPr>
              <w:t>2018</w:t>
            </w:r>
          </w:p>
        </w:tc>
        <w:tc>
          <w:tcPr>
            <w:tcW w:w="0" w:type="auto"/>
            <w:shd w:val="clear" w:color="auto" w:fill="FFFFFF"/>
            <w:tcMar>
              <w:top w:w="0" w:type="dxa"/>
              <w:left w:w="108" w:type="dxa"/>
              <w:bottom w:w="0" w:type="dxa"/>
              <w:right w:w="108" w:type="dxa"/>
            </w:tcMar>
            <w:vAlign w:val="bottom"/>
          </w:tcPr>
          <w:p w14:paraId="6261188B" w14:textId="77777777" w:rsidR="00A76ADB" w:rsidRPr="00246F01" w:rsidRDefault="00A76ADB" w:rsidP="007E3239">
            <w:pPr>
              <w:pStyle w:val="TableText"/>
              <w:spacing w:before="50" w:after="50"/>
              <w:jc w:val="center"/>
            </w:pPr>
            <w:r w:rsidRPr="00246F01">
              <w:t>3,550.1</w:t>
            </w:r>
          </w:p>
        </w:tc>
        <w:tc>
          <w:tcPr>
            <w:tcW w:w="0" w:type="auto"/>
            <w:shd w:val="clear" w:color="auto" w:fill="FFFFFF"/>
            <w:tcMar>
              <w:top w:w="0" w:type="dxa"/>
              <w:left w:w="108" w:type="dxa"/>
              <w:bottom w:w="0" w:type="dxa"/>
              <w:right w:w="108" w:type="dxa"/>
            </w:tcMar>
            <w:vAlign w:val="bottom"/>
          </w:tcPr>
          <w:p w14:paraId="41F78069" w14:textId="77777777" w:rsidR="00A76ADB" w:rsidRPr="00246F01" w:rsidRDefault="00A76ADB" w:rsidP="007E3239">
            <w:pPr>
              <w:pStyle w:val="TableText"/>
              <w:spacing w:before="50" w:after="50"/>
              <w:jc w:val="center"/>
            </w:pPr>
            <w:r w:rsidRPr="00246F01">
              <w:t>155.6</w:t>
            </w:r>
          </w:p>
        </w:tc>
        <w:tc>
          <w:tcPr>
            <w:tcW w:w="0" w:type="auto"/>
            <w:shd w:val="clear" w:color="auto" w:fill="FFFFFF"/>
            <w:tcMar>
              <w:top w:w="0" w:type="dxa"/>
              <w:left w:w="108" w:type="dxa"/>
              <w:bottom w:w="0" w:type="dxa"/>
              <w:right w:w="108" w:type="dxa"/>
            </w:tcMar>
            <w:vAlign w:val="bottom"/>
          </w:tcPr>
          <w:p w14:paraId="4F0615E8" w14:textId="77777777" w:rsidR="00A76ADB" w:rsidRPr="00246F01" w:rsidRDefault="00A76ADB" w:rsidP="007E3239">
            <w:pPr>
              <w:pStyle w:val="TableText"/>
              <w:spacing w:before="50" w:after="50"/>
              <w:jc w:val="center"/>
            </w:pPr>
            <w:r w:rsidRPr="00246F01">
              <w:t>NO</w:t>
            </w:r>
          </w:p>
        </w:tc>
        <w:tc>
          <w:tcPr>
            <w:tcW w:w="0" w:type="auto"/>
            <w:shd w:val="clear" w:color="auto" w:fill="FFFFFF"/>
            <w:tcMar>
              <w:top w:w="0" w:type="dxa"/>
              <w:left w:w="108" w:type="dxa"/>
              <w:bottom w:w="0" w:type="dxa"/>
              <w:right w:w="108" w:type="dxa"/>
            </w:tcMar>
            <w:vAlign w:val="bottom"/>
          </w:tcPr>
          <w:p w14:paraId="37835659" w14:textId="77777777" w:rsidR="00A76ADB" w:rsidRPr="00246F01" w:rsidRDefault="00A76ADB" w:rsidP="007E3239">
            <w:pPr>
              <w:pStyle w:val="TableText"/>
              <w:spacing w:before="50" w:after="50"/>
              <w:jc w:val="center"/>
            </w:pPr>
            <w:r w:rsidRPr="00246F01">
              <w:t>3,705.7</w:t>
            </w:r>
          </w:p>
        </w:tc>
      </w:tr>
      <w:tr w:rsidR="00A76ADB" w14:paraId="41F0BC00" w14:textId="77777777" w:rsidTr="00F16598">
        <w:trPr>
          <w:cantSplit/>
          <w:trHeight w:val="283"/>
        </w:trPr>
        <w:tc>
          <w:tcPr>
            <w:tcW w:w="0" w:type="auto"/>
            <w:shd w:val="clear" w:color="auto" w:fill="FFFFFF"/>
            <w:tcMar>
              <w:top w:w="0" w:type="dxa"/>
              <w:left w:w="108" w:type="dxa"/>
              <w:bottom w:w="0" w:type="dxa"/>
              <w:right w:w="108" w:type="dxa"/>
            </w:tcMar>
            <w:vAlign w:val="center"/>
          </w:tcPr>
          <w:p w14:paraId="0DE03953" w14:textId="77777777" w:rsidR="00A76ADB" w:rsidRDefault="00A76ADB" w:rsidP="007E3239">
            <w:pPr>
              <w:pStyle w:val="TableText"/>
              <w:spacing w:before="50" w:after="50"/>
            </w:pPr>
            <w:r>
              <w:rPr>
                <w:rFonts w:eastAsia="Calibri"/>
              </w:rPr>
              <w:t>2019</w:t>
            </w:r>
          </w:p>
        </w:tc>
        <w:tc>
          <w:tcPr>
            <w:tcW w:w="0" w:type="auto"/>
            <w:shd w:val="clear" w:color="auto" w:fill="FFFFFF"/>
            <w:tcMar>
              <w:top w:w="0" w:type="dxa"/>
              <w:left w:w="108" w:type="dxa"/>
              <w:bottom w:w="0" w:type="dxa"/>
              <w:right w:w="108" w:type="dxa"/>
            </w:tcMar>
            <w:vAlign w:val="bottom"/>
          </w:tcPr>
          <w:p w14:paraId="6E03CE10" w14:textId="77777777" w:rsidR="00A76ADB" w:rsidRPr="00246F01" w:rsidRDefault="00A76ADB" w:rsidP="007E3239">
            <w:pPr>
              <w:pStyle w:val="TableText"/>
              <w:spacing w:before="50" w:after="50"/>
              <w:jc w:val="center"/>
            </w:pPr>
            <w:r w:rsidRPr="00246F01">
              <w:t>3,348.4</w:t>
            </w:r>
          </w:p>
        </w:tc>
        <w:tc>
          <w:tcPr>
            <w:tcW w:w="0" w:type="auto"/>
            <w:shd w:val="clear" w:color="auto" w:fill="FFFFFF"/>
            <w:tcMar>
              <w:top w:w="0" w:type="dxa"/>
              <w:left w:w="108" w:type="dxa"/>
              <w:bottom w:w="0" w:type="dxa"/>
              <w:right w:w="108" w:type="dxa"/>
            </w:tcMar>
            <w:vAlign w:val="bottom"/>
          </w:tcPr>
          <w:p w14:paraId="23051C66" w14:textId="77777777" w:rsidR="00A76ADB" w:rsidRPr="00246F01" w:rsidRDefault="00A76ADB" w:rsidP="007E3239">
            <w:pPr>
              <w:pStyle w:val="TableText"/>
              <w:spacing w:before="50" w:after="50"/>
              <w:jc w:val="center"/>
            </w:pPr>
            <w:r w:rsidRPr="00246F01">
              <w:t>151.4</w:t>
            </w:r>
          </w:p>
        </w:tc>
        <w:tc>
          <w:tcPr>
            <w:tcW w:w="0" w:type="auto"/>
            <w:shd w:val="clear" w:color="auto" w:fill="FFFFFF"/>
            <w:tcMar>
              <w:top w:w="0" w:type="dxa"/>
              <w:left w:w="108" w:type="dxa"/>
              <w:bottom w:w="0" w:type="dxa"/>
              <w:right w:w="108" w:type="dxa"/>
            </w:tcMar>
            <w:vAlign w:val="bottom"/>
          </w:tcPr>
          <w:p w14:paraId="161F2DC7" w14:textId="77777777" w:rsidR="00A76ADB" w:rsidRPr="00246F01" w:rsidRDefault="00A76ADB" w:rsidP="007E3239">
            <w:pPr>
              <w:pStyle w:val="TableText"/>
              <w:spacing w:before="50" w:after="50"/>
              <w:jc w:val="center"/>
            </w:pPr>
            <w:r w:rsidRPr="00246F01">
              <w:t>NO</w:t>
            </w:r>
          </w:p>
        </w:tc>
        <w:tc>
          <w:tcPr>
            <w:tcW w:w="0" w:type="auto"/>
            <w:shd w:val="clear" w:color="auto" w:fill="FFFFFF"/>
            <w:tcMar>
              <w:top w:w="0" w:type="dxa"/>
              <w:left w:w="108" w:type="dxa"/>
              <w:bottom w:w="0" w:type="dxa"/>
              <w:right w:w="108" w:type="dxa"/>
            </w:tcMar>
            <w:vAlign w:val="bottom"/>
          </w:tcPr>
          <w:p w14:paraId="452BF206" w14:textId="77777777" w:rsidR="00A76ADB" w:rsidRPr="00246F01" w:rsidRDefault="00A76ADB" w:rsidP="007E3239">
            <w:pPr>
              <w:pStyle w:val="TableText"/>
              <w:spacing w:before="50" w:after="50"/>
              <w:jc w:val="center"/>
            </w:pPr>
            <w:r w:rsidRPr="00246F01">
              <w:t>3,499.8</w:t>
            </w:r>
          </w:p>
        </w:tc>
      </w:tr>
      <w:tr w:rsidR="00A76ADB" w14:paraId="5A84D7CD" w14:textId="77777777" w:rsidTr="00F16598">
        <w:trPr>
          <w:cantSplit/>
          <w:trHeight w:val="283"/>
        </w:trPr>
        <w:tc>
          <w:tcPr>
            <w:tcW w:w="0" w:type="auto"/>
            <w:shd w:val="clear" w:color="auto" w:fill="FFFFFF"/>
            <w:tcMar>
              <w:top w:w="0" w:type="dxa"/>
              <w:left w:w="108" w:type="dxa"/>
              <w:bottom w:w="0" w:type="dxa"/>
              <w:right w:w="108" w:type="dxa"/>
            </w:tcMar>
            <w:vAlign w:val="center"/>
          </w:tcPr>
          <w:p w14:paraId="4B693473" w14:textId="77777777" w:rsidR="00A76ADB" w:rsidRDefault="00A76ADB" w:rsidP="007E3239">
            <w:pPr>
              <w:pStyle w:val="TableText"/>
              <w:spacing w:before="50" w:after="50"/>
            </w:pPr>
            <w:r>
              <w:rPr>
                <w:rFonts w:eastAsia="Calibri"/>
              </w:rPr>
              <w:t>2020</w:t>
            </w:r>
          </w:p>
        </w:tc>
        <w:tc>
          <w:tcPr>
            <w:tcW w:w="0" w:type="auto"/>
            <w:shd w:val="clear" w:color="auto" w:fill="FFFFFF"/>
            <w:tcMar>
              <w:top w:w="0" w:type="dxa"/>
              <w:left w:w="108" w:type="dxa"/>
              <w:bottom w:w="0" w:type="dxa"/>
              <w:right w:w="108" w:type="dxa"/>
            </w:tcMar>
            <w:vAlign w:val="bottom"/>
          </w:tcPr>
          <w:p w14:paraId="1E0E0190" w14:textId="77777777" w:rsidR="00A76ADB" w:rsidRPr="00246F01" w:rsidRDefault="00A76ADB" w:rsidP="007E3239">
            <w:pPr>
              <w:pStyle w:val="TableText"/>
              <w:spacing w:before="50" w:after="50"/>
              <w:jc w:val="center"/>
            </w:pPr>
            <w:r w:rsidRPr="00246F01">
              <w:t>3,279.8</w:t>
            </w:r>
          </w:p>
        </w:tc>
        <w:tc>
          <w:tcPr>
            <w:tcW w:w="0" w:type="auto"/>
            <w:shd w:val="clear" w:color="auto" w:fill="FFFFFF"/>
            <w:tcMar>
              <w:top w:w="0" w:type="dxa"/>
              <w:left w:w="108" w:type="dxa"/>
              <w:bottom w:w="0" w:type="dxa"/>
              <w:right w:w="108" w:type="dxa"/>
            </w:tcMar>
            <w:vAlign w:val="bottom"/>
          </w:tcPr>
          <w:p w14:paraId="1A5EA65D" w14:textId="77777777" w:rsidR="00A76ADB" w:rsidRPr="00246F01" w:rsidRDefault="00A76ADB" w:rsidP="007E3239">
            <w:pPr>
              <w:pStyle w:val="TableText"/>
              <w:spacing w:before="50" w:after="50"/>
              <w:jc w:val="center"/>
            </w:pPr>
            <w:r w:rsidRPr="00246F01">
              <w:t>103.1</w:t>
            </w:r>
          </w:p>
        </w:tc>
        <w:tc>
          <w:tcPr>
            <w:tcW w:w="0" w:type="auto"/>
            <w:shd w:val="clear" w:color="auto" w:fill="FFFFFF"/>
            <w:tcMar>
              <w:top w:w="0" w:type="dxa"/>
              <w:left w:w="108" w:type="dxa"/>
              <w:bottom w:w="0" w:type="dxa"/>
              <w:right w:w="108" w:type="dxa"/>
            </w:tcMar>
            <w:vAlign w:val="bottom"/>
          </w:tcPr>
          <w:p w14:paraId="3C210857" w14:textId="77777777" w:rsidR="00A76ADB" w:rsidRPr="00246F01" w:rsidRDefault="00A76ADB" w:rsidP="007E3239">
            <w:pPr>
              <w:pStyle w:val="TableText"/>
              <w:spacing w:before="50" w:after="50"/>
              <w:jc w:val="center"/>
            </w:pPr>
            <w:r w:rsidRPr="00246F01">
              <w:t>NO</w:t>
            </w:r>
          </w:p>
        </w:tc>
        <w:tc>
          <w:tcPr>
            <w:tcW w:w="0" w:type="auto"/>
            <w:shd w:val="clear" w:color="auto" w:fill="FFFFFF"/>
            <w:tcMar>
              <w:top w:w="0" w:type="dxa"/>
              <w:left w:w="108" w:type="dxa"/>
              <w:bottom w:w="0" w:type="dxa"/>
              <w:right w:w="108" w:type="dxa"/>
            </w:tcMar>
            <w:vAlign w:val="bottom"/>
          </w:tcPr>
          <w:p w14:paraId="5A49C12E" w14:textId="77777777" w:rsidR="00A76ADB" w:rsidRPr="00246F01" w:rsidRDefault="00A76ADB" w:rsidP="007E3239">
            <w:pPr>
              <w:pStyle w:val="TableText"/>
              <w:spacing w:before="50" w:after="50"/>
              <w:jc w:val="center"/>
            </w:pPr>
            <w:r w:rsidRPr="00246F01">
              <w:t>3,382.9</w:t>
            </w:r>
          </w:p>
        </w:tc>
      </w:tr>
    </w:tbl>
    <w:bookmarkEnd w:id="2353"/>
    <w:p w14:paraId="3557C85D" w14:textId="77777777" w:rsidR="00A76ADB" w:rsidRDefault="00A76ADB" w:rsidP="00A76ADB">
      <w:pPr>
        <w:pStyle w:val="Noteundertable"/>
      </w:pPr>
      <w:r>
        <w:rPr>
          <w:b/>
          <w:bCs/>
        </w:rPr>
        <w:t>Note:</w:t>
      </w:r>
      <w:r w:rsidRPr="004C0776">
        <w:t xml:space="preserve"> </w:t>
      </w:r>
      <w:r>
        <w:tab/>
        <w:t>LFG = landfill gas; NO = not occurring. Columns may not total due to rounding.</w:t>
      </w:r>
    </w:p>
    <w:p w14:paraId="03AE590D" w14:textId="77777777" w:rsidR="00A76ADB" w:rsidRDefault="00A76ADB" w:rsidP="00A76ADB">
      <w:pPr>
        <w:pStyle w:val="Heading5"/>
      </w:pPr>
      <w:bookmarkStart w:id="2354" w:name="choice-of-activity-data"/>
      <w:bookmarkStart w:id="2355" w:name="X9a4fc03142a4dae83e3a755d1b7c253538508f5"/>
      <w:bookmarkEnd w:id="2350"/>
      <w:r>
        <w:t>Non-municipal landfills and farm fills (5.A.2)</w:t>
      </w:r>
    </w:p>
    <w:p w14:paraId="529B0337" w14:textId="77777777" w:rsidR="00A76ADB" w:rsidRPr="002C290C" w:rsidRDefault="00A76ADB" w:rsidP="00A76ADB">
      <w:pPr>
        <w:pStyle w:val="BodyText"/>
      </w:pPr>
      <w:r>
        <w:t xml:space="preserve">Non-municipal landfills are significant landfill sites that predominantly </w:t>
      </w:r>
      <w:r w:rsidRPr="002C290C">
        <w:t>accept</w:t>
      </w:r>
      <w:r>
        <w:t xml:space="preserve"> commercial and industrial waste. They are not intended to accept household waste; however, they do account for a small amount of municipal waste. Non-municipal landfills include cleanfills (sites disposing of largely inert waste), industrial fills and sites that dispose of construction and demolition waste. The available information on historical and current disposal rates to non-municipal landfills is derived from direct contact with landfill operators and from regional councils, which regulate these activities under the Resource Management Act 1991. There are substantial gaps, which were filled by correlating waste quantities with regional GDP (Tonkin and Taylor Ltd, unpublished(b)). Waste quantities are determined for each region and then combined to provide a national total (</w:t>
      </w:r>
      <w:r w:rsidRPr="002C290C">
        <w:t>Tonkin and Taylor Ltd, unpublished(b)).</w:t>
      </w:r>
    </w:p>
    <w:p w14:paraId="1FD7375D" w14:textId="77777777" w:rsidR="00A76ADB" w:rsidRPr="002C290C" w:rsidRDefault="00A76ADB" w:rsidP="00A76ADB">
      <w:pPr>
        <w:pStyle w:val="BodyText"/>
      </w:pPr>
      <w:r w:rsidRPr="002C290C">
        <w:t>Farm fills are used to dispose of various types of farming waste, such as scrap metal, timber used for fencing, plastic wraps and ties, batteries and demolition waste. Farmers also use them to dispose of organic and general household waste.</w:t>
      </w:r>
    </w:p>
    <w:p w14:paraId="1E73B138" w14:textId="77777777" w:rsidR="00A76ADB" w:rsidRPr="002C290C" w:rsidRDefault="00A76ADB" w:rsidP="00A76ADB">
      <w:pPr>
        <w:pStyle w:val="BodyText"/>
      </w:pPr>
      <w:r w:rsidRPr="002C290C">
        <w:t>The information used to estimate activity data and emissions from farm fills has come from surveys carried out in the Canterbury region in 2012 and 2013, and the Waikato and Bay of Plenty regions in 2014 (GHD, 2013, 2014; Tonkin and Taylor Ltd, unpublished(b)). The results from these surveys are extrapolated to the rest of the country based on the number of farms of each type in each region for each year. Farming practices regarding farm fill sites are similar around the country, so the extrapolation is unlikely to introduce a systematic bias. However, the sample size is small and limited in relation to the number and type of farms in New Zealand. Further, the overall volume of farm waste is based strictly on the number of farms and does not account for changing farm sizes over time, noting that the number of farms has decreased since the 1990s.</w:t>
      </w:r>
    </w:p>
    <w:p w14:paraId="5762814B" w14:textId="77777777" w:rsidR="00A76ADB" w:rsidRDefault="00A76ADB" w:rsidP="00A76ADB">
      <w:pPr>
        <w:pStyle w:val="BodyText"/>
      </w:pPr>
      <w:r w:rsidRPr="002C290C">
        <w:t>Waste quantities were averaged for the farm</w:t>
      </w:r>
      <w:r>
        <w:t xml:space="preserve"> types surveyed: dairy, livestock, arable, viticulture and other horticulture. These survey results have been applied regionally and then combined to provide a national total, with adjustments to account for the differences in the prevalence of these five farm types across all regions and across time (Tonkin and Taylor Ltd, unpublished(b)).</w:t>
      </w:r>
    </w:p>
    <w:p w14:paraId="7906ECD0" w14:textId="77777777" w:rsidR="00A76ADB" w:rsidRDefault="00A76ADB" w:rsidP="00A76ADB">
      <w:pPr>
        <w:pStyle w:val="BodyText"/>
      </w:pPr>
      <w:r>
        <w:t>Data obtained from the Agriculture Production Survey has been used to estimate the number and type of farms throughout the time series. The Agriculture Production Survey also provides the livestock numbers used in the Agriculture sector, which ensures consistency between the sectors.</w:t>
      </w:r>
    </w:p>
    <w:p w14:paraId="19B7EE36" w14:textId="77777777" w:rsidR="00A76ADB" w:rsidRDefault="00A76ADB" w:rsidP="00A76ADB">
      <w:pPr>
        <w:pStyle w:val="BodyText"/>
      </w:pPr>
      <w:r>
        <w:t xml:space="preserve">A change introduced in the 2021 submission is that the methods of disposal of farm waste are evenly split between disposal to land in farm fills and disposal by open burning, at 47 per cent each (noting that 6 per cent is disposed in other ways). Previous submissions assumed that </w:t>
      </w:r>
      <w:r>
        <w:lastRenderedPageBreak/>
        <w:t>open burning was only about 2 per cent of the farm waste, because Tonkin and Taylor Ltd (unpublished(b)) reported that “the majority of wastes were buried”. However, open burning is a common practice in New Zealand, in part evidenced by the dozens of complaints received by regional councils each year about potential issues with open burning. Further, GHD (2014) states “the surveys team felt that burning was the most prevalent practice, with virtually every farm having a burn pile, or some form of brazier” and GHD (2013) states “other wood waste was invariably burnt”. Wood wastes make up a large proportion of methane emissions from farm fills, so it is appropriate to account for farm waste, including wood that is burned instead of buried. Taking a balanced approach, this submission has assumed an even split in the absence of better information. Further research will be required to improve the understanding of the disposal methods for farm waste.</w:t>
      </w:r>
    </w:p>
    <w:p w14:paraId="403A50D4" w14:textId="77777777" w:rsidR="00A76ADB" w:rsidRDefault="00A76ADB" w:rsidP="00A76ADB">
      <w:pPr>
        <w:pStyle w:val="BodyText"/>
      </w:pPr>
      <w:r>
        <w:t>Table 7.2.4 shows waste placement for farm fills only (not including open burning or other disposal methods) and non-municipal landfills from the beginning of the model in 1950 to </w:t>
      </w:r>
      <w:r w:rsidRPr="002F556A">
        <w:t>2020</w:t>
      </w:r>
      <w:r>
        <w:t>.</w:t>
      </w:r>
    </w:p>
    <w:p w14:paraId="183BAC3C" w14:textId="77777777" w:rsidR="00A76ADB" w:rsidRDefault="00A76ADB" w:rsidP="00A76ADB">
      <w:pPr>
        <w:pStyle w:val="Table"/>
      </w:pPr>
      <w:bookmarkStart w:id="2356" w:name="_Toc99659326"/>
      <w:r>
        <w:t>Table 7.2.4</w:t>
      </w:r>
      <w:r>
        <w:tab/>
        <w:t>Solid waste deposited to unmanaged landfills from 1950 to </w:t>
      </w:r>
      <w:r>
        <w:rPr>
          <w:bCs/>
        </w:rPr>
        <w:t>2020</w:t>
      </w:r>
      <w:bookmarkEnd w:id="2356"/>
    </w:p>
    <w:tbl>
      <w:tblPr>
        <w:tblW w:w="8505" w:type="dxa"/>
        <w:tblInd w:w="108" w:type="dxa"/>
        <w:tblBorders>
          <w:top w:val="single" w:sz="4" w:space="0" w:color="1B556B"/>
          <w:bottom w:val="single" w:sz="4" w:space="0" w:color="1B556B"/>
          <w:insideH w:val="single" w:sz="4" w:space="0" w:color="1B556B"/>
        </w:tblBorders>
        <w:tblLayout w:type="fixed"/>
        <w:tblLook w:val="0420" w:firstRow="1" w:lastRow="0" w:firstColumn="0" w:lastColumn="0" w:noHBand="0" w:noVBand="1"/>
      </w:tblPr>
      <w:tblGrid>
        <w:gridCol w:w="1097"/>
        <w:gridCol w:w="1620"/>
        <w:gridCol w:w="2995"/>
        <w:gridCol w:w="2793"/>
      </w:tblGrid>
      <w:tr w:rsidR="00A76ADB" w:rsidRPr="002C290C" w14:paraId="2EE48407" w14:textId="77777777" w:rsidTr="00F16598">
        <w:trPr>
          <w:cantSplit/>
          <w:tblHeader/>
        </w:trPr>
        <w:tc>
          <w:tcPr>
            <w:tcW w:w="741" w:type="dxa"/>
            <w:shd w:val="clear" w:color="auto" w:fill="1B556B"/>
            <w:tcMar>
              <w:top w:w="0" w:type="dxa"/>
              <w:left w:w="108" w:type="dxa"/>
              <w:bottom w:w="0" w:type="dxa"/>
              <w:right w:w="108" w:type="dxa"/>
            </w:tcMar>
            <w:vAlign w:val="center"/>
          </w:tcPr>
          <w:p w14:paraId="444B3DC2" w14:textId="77777777" w:rsidR="00A76ADB" w:rsidRPr="006C0D1B" w:rsidRDefault="00A76ADB" w:rsidP="007E3239">
            <w:pPr>
              <w:pStyle w:val="TableTextBold"/>
              <w:spacing w:before="40" w:after="40"/>
              <w:rPr>
                <w:color w:val="FFFFFF"/>
              </w:rPr>
            </w:pPr>
            <w:r w:rsidRPr="006C0D1B">
              <w:rPr>
                <w:rFonts w:eastAsia="Calibri"/>
                <w:color w:val="FFFFFF"/>
              </w:rPr>
              <w:t>Year</w:t>
            </w:r>
          </w:p>
        </w:tc>
        <w:tc>
          <w:tcPr>
            <w:tcW w:w="1093" w:type="dxa"/>
            <w:shd w:val="clear" w:color="auto" w:fill="1B556B"/>
            <w:tcMar>
              <w:top w:w="0" w:type="dxa"/>
              <w:left w:w="108" w:type="dxa"/>
              <w:bottom w:w="0" w:type="dxa"/>
              <w:right w:w="108" w:type="dxa"/>
            </w:tcMar>
            <w:vAlign w:val="center"/>
          </w:tcPr>
          <w:p w14:paraId="158D0BA7" w14:textId="77777777" w:rsidR="00A76ADB" w:rsidRPr="006C0D1B" w:rsidRDefault="00A76ADB" w:rsidP="007E3239">
            <w:pPr>
              <w:pStyle w:val="TableTextBold"/>
              <w:spacing w:before="40" w:after="40"/>
              <w:rPr>
                <w:color w:val="FFFFFF"/>
              </w:rPr>
            </w:pPr>
            <w:r w:rsidRPr="006C0D1B">
              <w:rPr>
                <w:rFonts w:eastAsia="Calibri"/>
                <w:color w:val="FFFFFF"/>
              </w:rPr>
              <w:t>Farm fills (kt)</w:t>
            </w:r>
          </w:p>
        </w:tc>
        <w:tc>
          <w:tcPr>
            <w:tcW w:w="2021" w:type="dxa"/>
            <w:shd w:val="clear" w:color="auto" w:fill="1B556B"/>
            <w:tcMar>
              <w:top w:w="0" w:type="dxa"/>
              <w:left w:w="108" w:type="dxa"/>
              <w:bottom w:w="0" w:type="dxa"/>
              <w:right w:w="108" w:type="dxa"/>
            </w:tcMar>
            <w:vAlign w:val="center"/>
          </w:tcPr>
          <w:p w14:paraId="5F04C6C7" w14:textId="77777777" w:rsidR="00A76ADB" w:rsidRPr="006C0D1B" w:rsidRDefault="00A76ADB" w:rsidP="007E3239">
            <w:pPr>
              <w:pStyle w:val="TableTextBold"/>
              <w:spacing w:before="40" w:after="40"/>
              <w:rPr>
                <w:color w:val="FFFFFF"/>
              </w:rPr>
            </w:pPr>
            <w:r w:rsidRPr="006C0D1B">
              <w:rPr>
                <w:rFonts w:eastAsia="Calibri"/>
                <w:color w:val="FFFFFF"/>
              </w:rPr>
              <w:t>Non-municipal landfills (kt)</w:t>
            </w:r>
          </w:p>
        </w:tc>
        <w:tc>
          <w:tcPr>
            <w:tcW w:w="1885" w:type="dxa"/>
            <w:shd w:val="clear" w:color="auto" w:fill="1B556B"/>
            <w:tcMar>
              <w:top w:w="0" w:type="dxa"/>
              <w:left w:w="108" w:type="dxa"/>
              <w:bottom w:w="0" w:type="dxa"/>
              <w:right w:w="108" w:type="dxa"/>
            </w:tcMar>
            <w:vAlign w:val="center"/>
          </w:tcPr>
          <w:p w14:paraId="554ABA93" w14:textId="77777777" w:rsidR="00A76ADB" w:rsidRPr="006C0D1B" w:rsidRDefault="00A76ADB" w:rsidP="007E3239">
            <w:pPr>
              <w:pStyle w:val="TableTextBold"/>
              <w:spacing w:before="40" w:after="40"/>
              <w:rPr>
                <w:color w:val="FFFFFF"/>
              </w:rPr>
            </w:pPr>
            <w:r w:rsidRPr="006C0D1B">
              <w:rPr>
                <w:rFonts w:eastAsia="Calibri"/>
                <w:color w:val="FFFFFF"/>
              </w:rPr>
              <w:t>Total waste disposed (kt)</w:t>
            </w:r>
          </w:p>
        </w:tc>
      </w:tr>
      <w:tr w:rsidR="00A76ADB" w14:paraId="771AB872" w14:textId="77777777" w:rsidTr="00F16598">
        <w:trPr>
          <w:cantSplit/>
        </w:trPr>
        <w:tc>
          <w:tcPr>
            <w:tcW w:w="741" w:type="dxa"/>
            <w:shd w:val="clear" w:color="auto" w:fill="FFFFFF"/>
            <w:tcMar>
              <w:top w:w="0" w:type="dxa"/>
              <w:left w:w="108" w:type="dxa"/>
              <w:bottom w:w="0" w:type="dxa"/>
              <w:right w:w="108" w:type="dxa"/>
            </w:tcMar>
            <w:vAlign w:val="center"/>
          </w:tcPr>
          <w:p w14:paraId="0FA9C63B" w14:textId="77777777" w:rsidR="00A76ADB" w:rsidRDefault="00A76ADB" w:rsidP="007E3239">
            <w:pPr>
              <w:pStyle w:val="TableText"/>
              <w:spacing w:before="40" w:after="40"/>
            </w:pPr>
            <w:r>
              <w:rPr>
                <w:rFonts w:eastAsia="Calibri"/>
              </w:rPr>
              <w:t>1950</w:t>
            </w:r>
          </w:p>
        </w:tc>
        <w:tc>
          <w:tcPr>
            <w:tcW w:w="1093" w:type="dxa"/>
            <w:shd w:val="clear" w:color="auto" w:fill="FFFFFF"/>
            <w:tcMar>
              <w:top w:w="0" w:type="dxa"/>
              <w:left w:w="108" w:type="dxa"/>
              <w:bottom w:w="0" w:type="dxa"/>
              <w:right w:w="108" w:type="dxa"/>
            </w:tcMar>
            <w:vAlign w:val="bottom"/>
          </w:tcPr>
          <w:p w14:paraId="7F26760F" w14:textId="77777777" w:rsidR="00A76ADB" w:rsidRDefault="00A76ADB" w:rsidP="007E3239">
            <w:pPr>
              <w:pStyle w:val="TableText"/>
              <w:spacing w:before="40" w:after="40"/>
              <w:jc w:val="center"/>
            </w:pPr>
            <w:r w:rsidRPr="002C290C">
              <w:t>866.3</w:t>
            </w:r>
          </w:p>
        </w:tc>
        <w:tc>
          <w:tcPr>
            <w:tcW w:w="2021" w:type="dxa"/>
            <w:shd w:val="clear" w:color="auto" w:fill="FFFFFF"/>
            <w:tcMar>
              <w:top w:w="0" w:type="dxa"/>
              <w:left w:w="108" w:type="dxa"/>
              <w:bottom w:w="0" w:type="dxa"/>
              <w:right w:w="108" w:type="dxa"/>
            </w:tcMar>
            <w:vAlign w:val="bottom"/>
          </w:tcPr>
          <w:p w14:paraId="018C193C" w14:textId="77777777" w:rsidR="00A76ADB" w:rsidRDefault="00A76ADB" w:rsidP="007E3239">
            <w:pPr>
              <w:pStyle w:val="TableText"/>
              <w:spacing w:before="40" w:after="40"/>
              <w:jc w:val="center"/>
            </w:pPr>
            <w:r w:rsidRPr="002C290C">
              <w:t>763.8</w:t>
            </w:r>
          </w:p>
        </w:tc>
        <w:tc>
          <w:tcPr>
            <w:tcW w:w="1885" w:type="dxa"/>
            <w:shd w:val="clear" w:color="auto" w:fill="FFFFFF"/>
            <w:tcMar>
              <w:top w:w="0" w:type="dxa"/>
              <w:left w:w="108" w:type="dxa"/>
              <w:bottom w:w="0" w:type="dxa"/>
              <w:right w:w="108" w:type="dxa"/>
            </w:tcMar>
            <w:vAlign w:val="bottom"/>
          </w:tcPr>
          <w:p w14:paraId="76B0C8F8" w14:textId="77777777" w:rsidR="00A76ADB" w:rsidRDefault="00A76ADB" w:rsidP="007E3239">
            <w:pPr>
              <w:pStyle w:val="TableText"/>
              <w:spacing w:before="40" w:after="40"/>
              <w:jc w:val="center"/>
            </w:pPr>
            <w:r w:rsidRPr="002C290C">
              <w:t>1,630.1</w:t>
            </w:r>
          </w:p>
        </w:tc>
      </w:tr>
      <w:tr w:rsidR="00A76ADB" w14:paraId="7D8BE968" w14:textId="77777777" w:rsidTr="00F16598">
        <w:trPr>
          <w:cantSplit/>
        </w:trPr>
        <w:tc>
          <w:tcPr>
            <w:tcW w:w="741" w:type="dxa"/>
            <w:shd w:val="clear" w:color="auto" w:fill="FFFFFF"/>
            <w:tcMar>
              <w:top w:w="0" w:type="dxa"/>
              <w:left w:w="108" w:type="dxa"/>
              <w:bottom w:w="0" w:type="dxa"/>
              <w:right w:w="108" w:type="dxa"/>
            </w:tcMar>
            <w:vAlign w:val="center"/>
          </w:tcPr>
          <w:p w14:paraId="5722D770" w14:textId="77777777" w:rsidR="00A76ADB" w:rsidRDefault="00A76ADB" w:rsidP="007E3239">
            <w:pPr>
              <w:pStyle w:val="TableText"/>
              <w:spacing w:before="40" w:after="40"/>
            </w:pPr>
            <w:r>
              <w:rPr>
                <w:rFonts w:eastAsia="Calibri"/>
              </w:rPr>
              <w:t>1951</w:t>
            </w:r>
          </w:p>
        </w:tc>
        <w:tc>
          <w:tcPr>
            <w:tcW w:w="1093" w:type="dxa"/>
            <w:shd w:val="clear" w:color="auto" w:fill="FFFFFF"/>
            <w:tcMar>
              <w:top w:w="0" w:type="dxa"/>
              <w:left w:w="108" w:type="dxa"/>
              <w:bottom w:w="0" w:type="dxa"/>
              <w:right w:w="108" w:type="dxa"/>
            </w:tcMar>
            <w:vAlign w:val="bottom"/>
          </w:tcPr>
          <w:p w14:paraId="6EAFBE6C" w14:textId="77777777" w:rsidR="00A76ADB" w:rsidRDefault="00A76ADB" w:rsidP="007E3239">
            <w:pPr>
              <w:pStyle w:val="TableText"/>
              <w:spacing w:before="40" w:after="40"/>
              <w:jc w:val="center"/>
            </w:pPr>
            <w:r w:rsidRPr="002C290C">
              <w:t>865.7</w:t>
            </w:r>
          </w:p>
        </w:tc>
        <w:tc>
          <w:tcPr>
            <w:tcW w:w="2021" w:type="dxa"/>
            <w:shd w:val="clear" w:color="auto" w:fill="FFFFFF"/>
            <w:tcMar>
              <w:top w:w="0" w:type="dxa"/>
              <w:left w:w="108" w:type="dxa"/>
              <w:bottom w:w="0" w:type="dxa"/>
              <w:right w:w="108" w:type="dxa"/>
            </w:tcMar>
            <w:vAlign w:val="bottom"/>
          </w:tcPr>
          <w:p w14:paraId="67293429" w14:textId="77777777" w:rsidR="00A76ADB" w:rsidRDefault="00A76ADB" w:rsidP="007E3239">
            <w:pPr>
              <w:pStyle w:val="TableText"/>
              <w:spacing w:before="40" w:after="40"/>
              <w:jc w:val="center"/>
            </w:pPr>
            <w:r w:rsidRPr="002C290C">
              <w:t>791.9</w:t>
            </w:r>
          </w:p>
        </w:tc>
        <w:tc>
          <w:tcPr>
            <w:tcW w:w="1885" w:type="dxa"/>
            <w:shd w:val="clear" w:color="auto" w:fill="FFFFFF"/>
            <w:tcMar>
              <w:top w:w="0" w:type="dxa"/>
              <w:left w:w="108" w:type="dxa"/>
              <w:bottom w:w="0" w:type="dxa"/>
              <w:right w:w="108" w:type="dxa"/>
            </w:tcMar>
            <w:vAlign w:val="bottom"/>
          </w:tcPr>
          <w:p w14:paraId="32C2FDB5" w14:textId="77777777" w:rsidR="00A76ADB" w:rsidRDefault="00A76ADB" w:rsidP="007E3239">
            <w:pPr>
              <w:pStyle w:val="TableText"/>
              <w:spacing w:before="40" w:after="40"/>
              <w:jc w:val="center"/>
            </w:pPr>
            <w:r w:rsidRPr="002C290C">
              <w:t>1,657.6</w:t>
            </w:r>
          </w:p>
        </w:tc>
      </w:tr>
      <w:tr w:rsidR="00A76ADB" w14:paraId="1B80DE4E" w14:textId="77777777" w:rsidTr="00F16598">
        <w:trPr>
          <w:cantSplit/>
        </w:trPr>
        <w:tc>
          <w:tcPr>
            <w:tcW w:w="741" w:type="dxa"/>
            <w:shd w:val="clear" w:color="auto" w:fill="FFFFFF"/>
            <w:tcMar>
              <w:top w:w="0" w:type="dxa"/>
              <w:left w:w="108" w:type="dxa"/>
              <w:bottom w:w="0" w:type="dxa"/>
              <w:right w:w="108" w:type="dxa"/>
            </w:tcMar>
            <w:vAlign w:val="center"/>
          </w:tcPr>
          <w:p w14:paraId="7B86471E" w14:textId="77777777" w:rsidR="00A76ADB" w:rsidRDefault="00A76ADB" w:rsidP="007E3239">
            <w:pPr>
              <w:pStyle w:val="TableText"/>
              <w:spacing w:before="40" w:after="40"/>
            </w:pPr>
            <w:r>
              <w:rPr>
                <w:rFonts w:eastAsia="Calibri"/>
              </w:rPr>
              <w:t>1952</w:t>
            </w:r>
          </w:p>
        </w:tc>
        <w:tc>
          <w:tcPr>
            <w:tcW w:w="1093" w:type="dxa"/>
            <w:shd w:val="clear" w:color="auto" w:fill="FFFFFF"/>
            <w:tcMar>
              <w:top w:w="0" w:type="dxa"/>
              <w:left w:w="108" w:type="dxa"/>
              <w:bottom w:w="0" w:type="dxa"/>
              <w:right w:w="108" w:type="dxa"/>
            </w:tcMar>
            <w:vAlign w:val="bottom"/>
          </w:tcPr>
          <w:p w14:paraId="69635257" w14:textId="77777777" w:rsidR="00A76ADB" w:rsidRDefault="00A76ADB" w:rsidP="007E3239">
            <w:pPr>
              <w:pStyle w:val="TableText"/>
              <w:spacing w:before="40" w:after="40"/>
              <w:jc w:val="center"/>
            </w:pPr>
            <w:r w:rsidRPr="002C290C">
              <w:t>866.2</w:t>
            </w:r>
          </w:p>
        </w:tc>
        <w:tc>
          <w:tcPr>
            <w:tcW w:w="2021" w:type="dxa"/>
            <w:shd w:val="clear" w:color="auto" w:fill="FFFFFF"/>
            <w:tcMar>
              <w:top w:w="0" w:type="dxa"/>
              <w:left w:w="108" w:type="dxa"/>
              <w:bottom w:w="0" w:type="dxa"/>
              <w:right w:w="108" w:type="dxa"/>
            </w:tcMar>
            <w:vAlign w:val="bottom"/>
          </w:tcPr>
          <w:p w14:paraId="225ACAF8" w14:textId="77777777" w:rsidR="00A76ADB" w:rsidRDefault="00A76ADB" w:rsidP="007E3239">
            <w:pPr>
              <w:pStyle w:val="TableText"/>
              <w:spacing w:before="40" w:after="40"/>
              <w:jc w:val="center"/>
            </w:pPr>
            <w:r w:rsidRPr="002C290C">
              <w:t>820.9</w:t>
            </w:r>
          </w:p>
        </w:tc>
        <w:tc>
          <w:tcPr>
            <w:tcW w:w="1885" w:type="dxa"/>
            <w:shd w:val="clear" w:color="auto" w:fill="FFFFFF"/>
            <w:tcMar>
              <w:top w:w="0" w:type="dxa"/>
              <w:left w:w="108" w:type="dxa"/>
              <w:bottom w:w="0" w:type="dxa"/>
              <w:right w:w="108" w:type="dxa"/>
            </w:tcMar>
            <w:vAlign w:val="bottom"/>
          </w:tcPr>
          <w:p w14:paraId="10294D22" w14:textId="77777777" w:rsidR="00A76ADB" w:rsidRDefault="00A76ADB" w:rsidP="007E3239">
            <w:pPr>
              <w:pStyle w:val="TableText"/>
              <w:spacing w:before="40" w:after="40"/>
              <w:jc w:val="center"/>
            </w:pPr>
            <w:r w:rsidRPr="002C290C">
              <w:t>1,687.2</w:t>
            </w:r>
          </w:p>
        </w:tc>
      </w:tr>
      <w:tr w:rsidR="00A76ADB" w14:paraId="2806B976" w14:textId="77777777" w:rsidTr="00F16598">
        <w:trPr>
          <w:cantSplit/>
        </w:trPr>
        <w:tc>
          <w:tcPr>
            <w:tcW w:w="741" w:type="dxa"/>
            <w:shd w:val="clear" w:color="auto" w:fill="FFFFFF"/>
            <w:tcMar>
              <w:top w:w="0" w:type="dxa"/>
              <w:left w:w="108" w:type="dxa"/>
              <w:bottom w:w="0" w:type="dxa"/>
              <w:right w:w="108" w:type="dxa"/>
            </w:tcMar>
            <w:vAlign w:val="center"/>
          </w:tcPr>
          <w:p w14:paraId="39DD1EB8" w14:textId="77777777" w:rsidR="00A76ADB" w:rsidRDefault="00A76ADB" w:rsidP="007E3239">
            <w:pPr>
              <w:pStyle w:val="TableText"/>
              <w:spacing w:before="40" w:after="40"/>
            </w:pPr>
            <w:r>
              <w:rPr>
                <w:rFonts w:eastAsia="Calibri"/>
              </w:rPr>
              <w:t>1953</w:t>
            </w:r>
          </w:p>
        </w:tc>
        <w:tc>
          <w:tcPr>
            <w:tcW w:w="1093" w:type="dxa"/>
            <w:shd w:val="clear" w:color="auto" w:fill="FFFFFF"/>
            <w:tcMar>
              <w:top w:w="0" w:type="dxa"/>
              <w:left w:w="108" w:type="dxa"/>
              <w:bottom w:w="0" w:type="dxa"/>
              <w:right w:w="108" w:type="dxa"/>
            </w:tcMar>
            <w:vAlign w:val="bottom"/>
          </w:tcPr>
          <w:p w14:paraId="72F03E26" w14:textId="77777777" w:rsidR="00A76ADB" w:rsidRDefault="00A76ADB" w:rsidP="007E3239">
            <w:pPr>
              <w:pStyle w:val="TableText"/>
              <w:spacing w:before="40" w:after="40"/>
              <w:jc w:val="center"/>
            </w:pPr>
            <w:r w:rsidRPr="002C290C">
              <w:t>868.6</w:t>
            </w:r>
          </w:p>
        </w:tc>
        <w:tc>
          <w:tcPr>
            <w:tcW w:w="2021" w:type="dxa"/>
            <w:shd w:val="clear" w:color="auto" w:fill="FFFFFF"/>
            <w:tcMar>
              <w:top w:w="0" w:type="dxa"/>
              <w:left w:w="108" w:type="dxa"/>
              <w:bottom w:w="0" w:type="dxa"/>
              <w:right w:w="108" w:type="dxa"/>
            </w:tcMar>
            <w:vAlign w:val="bottom"/>
          </w:tcPr>
          <w:p w14:paraId="058D38AF" w14:textId="77777777" w:rsidR="00A76ADB" w:rsidRDefault="00A76ADB" w:rsidP="007E3239">
            <w:pPr>
              <w:pStyle w:val="TableText"/>
              <w:spacing w:before="40" w:after="40"/>
              <w:jc w:val="center"/>
            </w:pPr>
            <w:r w:rsidRPr="002C290C">
              <w:t>851.0</w:t>
            </w:r>
          </w:p>
        </w:tc>
        <w:tc>
          <w:tcPr>
            <w:tcW w:w="1885" w:type="dxa"/>
            <w:shd w:val="clear" w:color="auto" w:fill="FFFFFF"/>
            <w:tcMar>
              <w:top w:w="0" w:type="dxa"/>
              <w:left w:w="108" w:type="dxa"/>
              <w:bottom w:w="0" w:type="dxa"/>
              <w:right w:w="108" w:type="dxa"/>
            </w:tcMar>
            <w:vAlign w:val="bottom"/>
          </w:tcPr>
          <w:p w14:paraId="15C4553D" w14:textId="77777777" w:rsidR="00A76ADB" w:rsidRDefault="00A76ADB" w:rsidP="007E3239">
            <w:pPr>
              <w:pStyle w:val="TableText"/>
              <w:spacing w:before="40" w:after="40"/>
              <w:jc w:val="center"/>
            </w:pPr>
            <w:r w:rsidRPr="002C290C">
              <w:t>1,719.6</w:t>
            </w:r>
          </w:p>
        </w:tc>
      </w:tr>
      <w:tr w:rsidR="00A76ADB" w14:paraId="595B77E0" w14:textId="77777777" w:rsidTr="00F16598">
        <w:trPr>
          <w:cantSplit/>
        </w:trPr>
        <w:tc>
          <w:tcPr>
            <w:tcW w:w="741" w:type="dxa"/>
            <w:shd w:val="clear" w:color="auto" w:fill="FFFFFF"/>
            <w:tcMar>
              <w:top w:w="0" w:type="dxa"/>
              <w:left w:w="108" w:type="dxa"/>
              <w:bottom w:w="0" w:type="dxa"/>
              <w:right w:w="108" w:type="dxa"/>
            </w:tcMar>
            <w:vAlign w:val="center"/>
          </w:tcPr>
          <w:p w14:paraId="2505B577" w14:textId="77777777" w:rsidR="00A76ADB" w:rsidRDefault="00A76ADB" w:rsidP="007E3239">
            <w:pPr>
              <w:pStyle w:val="TableText"/>
              <w:spacing w:before="40" w:after="40"/>
            </w:pPr>
            <w:r>
              <w:rPr>
                <w:rFonts w:eastAsia="Calibri"/>
              </w:rPr>
              <w:t>1954</w:t>
            </w:r>
          </w:p>
        </w:tc>
        <w:tc>
          <w:tcPr>
            <w:tcW w:w="1093" w:type="dxa"/>
            <w:shd w:val="clear" w:color="auto" w:fill="FFFFFF"/>
            <w:tcMar>
              <w:top w:w="0" w:type="dxa"/>
              <w:left w:w="108" w:type="dxa"/>
              <w:bottom w:w="0" w:type="dxa"/>
              <w:right w:w="108" w:type="dxa"/>
            </w:tcMar>
            <w:vAlign w:val="bottom"/>
          </w:tcPr>
          <w:p w14:paraId="670F68A6" w14:textId="77777777" w:rsidR="00A76ADB" w:rsidRDefault="00A76ADB" w:rsidP="007E3239">
            <w:pPr>
              <w:pStyle w:val="TableText"/>
              <w:spacing w:before="40" w:after="40"/>
              <w:jc w:val="center"/>
            </w:pPr>
            <w:r w:rsidRPr="002C290C">
              <w:t>879.7</w:t>
            </w:r>
          </w:p>
        </w:tc>
        <w:tc>
          <w:tcPr>
            <w:tcW w:w="2021" w:type="dxa"/>
            <w:shd w:val="clear" w:color="auto" w:fill="FFFFFF"/>
            <w:tcMar>
              <w:top w:w="0" w:type="dxa"/>
              <w:left w:w="108" w:type="dxa"/>
              <w:bottom w:w="0" w:type="dxa"/>
              <w:right w:w="108" w:type="dxa"/>
            </w:tcMar>
            <w:vAlign w:val="bottom"/>
          </w:tcPr>
          <w:p w14:paraId="552EA103" w14:textId="77777777" w:rsidR="00A76ADB" w:rsidRDefault="00A76ADB" w:rsidP="007E3239">
            <w:pPr>
              <w:pStyle w:val="TableText"/>
              <w:spacing w:before="40" w:after="40"/>
              <w:jc w:val="center"/>
            </w:pPr>
            <w:r w:rsidRPr="002C290C">
              <w:t>882.2</w:t>
            </w:r>
          </w:p>
        </w:tc>
        <w:tc>
          <w:tcPr>
            <w:tcW w:w="1885" w:type="dxa"/>
            <w:shd w:val="clear" w:color="auto" w:fill="FFFFFF"/>
            <w:tcMar>
              <w:top w:w="0" w:type="dxa"/>
              <w:left w:w="108" w:type="dxa"/>
              <w:bottom w:w="0" w:type="dxa"/>
              <w:right w:w="108" w:type="dxa"/>
            </w:tcMar>
            <w:vAlign w:val="bottom"/>
          </w:tcPr>
          <w:p w14:paraId="78E3E1D4" w14:textId="77777777" w:rsidR="00A76ADB" w:rsidRDefault="00A76ADB" w:rsidP="007E3239">
            <w:pPr>
              <w:pStyle w:val="TableText"/>
              <w:spacing w:before="40" w:after="40"/>
              <w:jc w:val="center"/>
            </w:pPr>
            <w:r w:rsidRPr="002C290C">
              <w:t>1,761.9</w:t>
            </w:r>
          </w:p>
        </w:tc>
      </w:tr>
      <w:tr w:rsidR="00A76ADB" w14:paraId="04456922" w14:textId="77777777" w:rsidTr="00F16598">
        <w:trPr>
          <w:cantSplit/>
        </w:trPr>
        <w:tc>
          <w:tcPr>
            <w:tcW w:w="741" w:type="dxa"/>
            <w:shd w:val="clear" w:color="auto" w:fill="FFFFFF"/>
            <w:tcMar>
              <w:top w:w="0" w:type="dxa"/>
              <w:left w:w="108" w:type="dxa"/>
              <w:bottom w:w="0" w:type="dxa"/>
              <w:right w:w="108" w:type="dxa"/>
            </w:tcMar>
            <w:vAlign w:val="center"/>
          </w:tcPr>
          <w:p w14:paraId="2512C1F1" w14:textId="77777777" w:rsidR="00A76ADB" w:rsidRDefault="00A76ADB" w:rsidP="007E3239">
            <w:pPr>
              <w:pStyle w:val="TableText"/>
              <w:spacing w:before="40" w:after="40"/>
            </w:pPr>
            <w:r>
              <w:rPr>
                <w:rFonts w:eastAsia="Calibri"/>
              </w:rPr>
              <w:t>1955</w:t>
            </w:r>
          </w:p>
        </w:tc>
        <w:tc>
          <w:tcPr>
            <w:tcW w:w="1093" w:type="dxa"/>
            <w:shd w:val="clear" w:color="auto" w:fill="FFFFFF"/>
            <w:tcMar>
              <w:top w:w="0" w:type="dxa"/>
              <w:left w:w="108" w:type="dxa"/>
              <w:bottom w:w="0" w:type="dxa"/>
              <w:right w:w="108" w:type="dxa"/>
            </w:tcMar>
            <w:vAlign w:val="bottom"/>
          </w:tcPr>
          <w:p w14:paraId="5BA6EDCD" w14:textId="77777777" w:rsidR="00A76ADB" w:rsidRDefault="00A76ADB" w:rsidP="007E3239">
            <w:pPr>
              <w:pStyle w:val="TableText"/>
              <w:spacing w:before="40" w:after="40"/>
              <w:jc w:val="center"/>
            </w:pPr>
            <w:r w:rsidRPr="002C290C">
              <w:t>886.5</w:t>
            </w:r>
          </w:p>
        </w:tc>
        <w:tc>
          <w:tcPr>
            <w:tcW w:w="2021" w:type="dxa"/>
            <w:shd w:val="clear" w:color="auto" w:fill="FFFFFF"/>
            <w:tcMar>
              <w:top w:w="0" w:type="dxa"/>
              <w:left w:w="108" w:type="dxa"/>
              <w:bottom w:w="0" w:type="dxa"/>
              <w:right w:w="108" w:type="dxa"/>
            </w:tcMar>
            <w:vAlign w:val="bottom"/>
          </w:tcPr>
          <w:p w14:paraId="2DFDB49B" w14:textId="77777777" w:rsidR="00A76ADB" w:rsidRDefault="00A76ADB" w:rsidP="007E3239">
            <w:pPr>
              <w:pStyle w:val="TableText"/>
              <w:spacing w:before="40" w:after="40"/>
              <w:jc w:val="center"/>
            </w:pPr>
            <w:r w:rsidRPr="002C290C">
              <w:t>914.5</w:t>
            </w:r>
          </w:p>
        </w:tc>
        <w:tc>
          <w:tcPr>
            <w:tcW w:w="1885" w:type="dxa"/>
            <w:shd w:val="clear" w:color="auto" w:fill="FFFFFF"/>
            <w:tcMar>
              <w:top w:w="0" w:type="dxa"/>
              <w:left w:w="108" w:type="dxa"/>
              <w:bottom w:w="0" w:type="dxa"/>
              <w:right w:w="108" w:type="dxa"/>
            </w:tcMar>
            <w:vAlign w:val="bottom"/>
          </w:tcPr>
          <w:p w14:paraId="79065DB2" w14:textId="77777777" w:rsidR="00A76ADB" w:rsidRDefault="00A76ADB" w:rsidP="007E3239">
            <w:pPr>
              <w:pStyle w:val="TableText"/>
              <w:spacing w:before="40" w:after="40"/>
              <w:jc w:val="center"/>
            </w:pPr>
            <w:r w:rsidRPr="002C290C">
              <w:t>1,801.0</w:t>
            </w:r>
          </w:p>
        </w:tc>
      </w:tr>
      <w:tr w:rsidR="00A76ADB" w14:paraId="41D584F4" w14:textId="77777777" w:rsidTr="00F16598">
        <w:trPr>
          <w:cantSplit/>
        </w:trPr>
        <w:tc>
          <w:tcPr>
            <w:tcW w:w="741" w:type="dxa"/>
            <w:shd w:val="clear" w:color="auto" w:fill="FFFFFF"/>
            <w:tcMar>
              <w:top w:w="0" w:type="dxa"/>
              <w:left w:w="108" w:type="dxa"/>
              <w:bottom w:w="0" w:type="dxa"/>
              <w:right w:w="108" w:type="dxa"/>
            </w:tcMar>
            <w:vAlign w:val="center"/>
          </w:tcPr>
          <w:p w14:paraId="75DEED61" w14:textId="77777777" w:rsidR="00A76ADB" w:rsidRDefault="00A76ADB" w:rsidP="007E3239">
            <w:pPr>
              <w:pStyle w:val="TableText"/>
              <w:spacing w:before="40" w:after="40"/>
            </w:pPr>
            <w:r>
              <w:rPr>
                <w:rFonts w:eastAsia="Calibri"/>
              </w:rPr>
              <w:t>1956</w:t>
            </w:r>
          </w:p>
        </w:tc>
        <w:tc>
          <w:tcPr>
            <w:tcW w:w="1093" w:type="dxa"/>
            <w:shd w:val="clear" w:color="auto" w:fill="FFFFFF"/>
            <w:tcMar>
              <w:top w:w="0" w:type="dxa"/>
              <w:left w:w="108" w:type="dxa"/>
              <w:bottom w:w="0" w:type="dxa"/>
              <w:right w:w="108" w:type="dxa"/>
            </w:tcMar>
            <w:vAlign w:val="bottom"/>
          </w:tcPr>
          <w:p w14:paraId="04458CA4" w14:textId="77777777" w:rsidR="00A76ADB" w:rsidRDefault="00A76ADB" w:rsidP="007E3239">
            <w:pPr>
              <w:pStyle w:val="TableText"/>
              <w:spacing w:before="40" w:after="40"/>
              <w:jc w:val="center"/>
            </w:pPr>
            <w:r w:rsidRPr="002C290C">
              <w:t>812.7</w:t>
            </w:r>
          </w:p>
        </w:tc>
        <w:tc>
          <w:tcPr>
            <w:tcW w:w="2021" w:type="dxa"/>
            <w:shd w:val="clear" w:color="auto" w:fill="FFFFFF"/>
            <w:tcMar>
              <w:top w:w="0" w:type="dxa"/>
              <w:left w:w="108" w:type="dxa"/>
              <w:bottom w:w="0" w:type="dxa"/>
              <w:right w:w="108" w:type="dxa"/>
            </w:tcMar>
            <w:vAlign w:val="bottom"/>
          </w:tcPr>
          <w:p w14:paraId="7B31205A" w14:textId="77777777" w:rsidR="00A76ADB" w:rsidRDefault="00A76ADB" w:rsidP="007E3239">
            <w:pPr>
              <w:pStyle w:val="TableText"/>
              <w:spacing w:before="40" w:after="40"/>
              <w:jc w:val="center"/>
            </w:pPr>
            <w:r w:rsidRPr="002C290C">
              <w:t>948.0</w:t>
            </w:r>
          </w:p>
        </w:tc>
        <w:tc>
          <w:tcPr>
            <w:tcW w:w="1885" w:type="dxa"/>
            <w:shd w:val="clear" w:color="auto" w:fill="FFFFFF"/>
            <w:tcMar>
              <w:top w:w="0" w:type="dxa"/>
              <w:left w:w="108" w:type="dxa"/>
              <w:bottom w:w="0" w:type="dxa"/>
              <w:right w:w="108" w:type="dxa"/>
            </w:tcMar>
            <w:vAlign w:val="bottom"/>
          </w:tcPr>
          <w:p w14:paraId="26B3266A" w14:textId="77777777" w:rsidR="00A76ADB" w:rsidRDefault="00A76ADB" w:rsidP="007E3239">
            <w:pPr>
              <w:pStyle w:val="TableText"/>
              <w:spacing w:before="40" w:after="40"/>
              <w:jc w:val="center"/>
            </w:pPr>
            <w:r w:rsidRPr="002C290C">
              <w:t>1,760.7</w:t>
            </w:r>
          </w:p>
        </w:tc>
      </w:tr>
      <w:tr w:rsidR="00A76ADB" w14:paraId="66619422" w14:textId="77777777" w:rsidTr="00F16598">
        <w:trPr>
          <w:cantSplit/>
        </w:trPr>
        <w:tc>
          <w:tcPr>
            <w:tcW w:w="741" w:type="dxa"/>
            <w:shd w:val="clear" w:color="auto" w:fill="FFFFFF"/>
            <w:tcMar>
              <w:top w:w="0" w:type="dxa"/>
              <w:left w:w="108" w:type="dxa"/>
              <w:bottom w:w="0" w:type="dxa"/>
              <w:right w:w="108" w:type="dxa"/>
            </w:tcMar>
            <w:vAlign w:val="center"/>
          </w:tcPr>
          <w:p w14:paraId="375A5351" w14:textId="77777777" w:rsidR="00A76ADB" w:rsidRDefault="00A76ADB" w:rsidP="007E3239">
            <w:pPr>
              <w:pStyle w:val="TableText"/>
              <w:spacing w:before="40" w:after="40"/>
            </w:pPr>
            <w:r>
              <w:rPr>
                <w:rFonts w:eastAsia="Calibri"/>
              </w:rPr>
              <w:t>1957</w:t>
            </w:r>
          </w:p>
        </w:tc>
        <w:tc>
          <w:tcPr>
            <w:tcW w:w="1093" w:type="dxa"/>
            <w:shd w:val="clear" w:color="auto" w:fill="FFFFFF"/>
            <w:tcMar>
              <w:top w:w="0" w:type="dxa"/>
              <w:left w:w="108" w:type="dxa"/>
              <w:bottom w:w="0" w:type="dxa"/>
              <w:right w:w="108" w:type="dxa"/>
            </w:tcMar>
            <w:vAlign w:val="bottom"/>
          </w:tcPr>
          <w:p w14:paraId="1F3B19A1" w14:textId="77777777" w:rsidR="00A76ADB" w:rsidRDefault="00A76ADB" w:rsidP="007E3239">
            <w:pPr>
              <w:pStyle w:val="TableText"/>
              <w:spacing w:before="40" w:after="40"/>
              <w:jc w:val="center"/>
            </w:pPr>
            <w:r w:rsidRPr="002C290C">
              <w:t>811.7</w:t>
            </w:r>
          </w:p>
        </w:tc>
        <w:tc>
          <w:tcPr>
            <w:tcW w:w="2021" w:type="dxa"/>
            <w:shd w:val="clear" w:color="auto" w:fill="FFFFFF"/>
            <w:tcMar>
              <w:top w:w="0" w:type="dxa"/>
              <w:left w:w="108" w:type="dxa"/>
              <w:bottom w:w="0" w:type="dxa"/>
              <w:right w:w="108" w:type="dxa"/>
            </w:tcMar>
            <w:vAlign w:val="bottom"/>
          </w:tcPr>
          <w:p w14:paraId="3952E8BD" w14:textId="77777777" w:rsidR="00A76ADB" w:rsidRDefault="00A76ADB" w:rsidP="007E3239">
            <w:pPr>
              <w:pStyle w:val="TableText"/>
              <w:spacing w:before="40" w:after="40"/>
              <w:jc w:val="center"/>
            </w:pPr>
            <w:r w:rsidRPr="002C290C">
              <w:t>982.7</w:t>
            </w:r>
          </w:p>
        </w:tc>
        <w:tc>
          <w:tcPr>
            <w:tcW w:w="1885" w:type="dxa"/>
            <w:shd w:val="clear" w:color="auto" w:fill="FFFFFF"/>
            <w:tcMar>
              <w:top w:w="0" w:type="dxa"/>
              <w:left w:w="108" w:type="dxa"/>
              <w:bottom w:w="0" w:type="dxa"/>
              <w:right w:w="108" w:type="dxa"/>
            </w:tcMar>
            <w:vAlign w:val="bottom"/>
          </w:tcPr>
          <w:p w14:paraId="3CB77DCA" w14:textId="77777777" w:rsidR="00A76ADB" w:rsidRDefault="00A76ADB" w:rsidP="007E3239">
            <w:pPr>
              <w:pStyle w:val="TableText"/>
              <w:spacing w:before="40" w:after="40"/>
              <w:jc w:val="center"/>
            </w:pPr>
            <w:r w:rsidRPr="002C290C">
              <w:t>1,794.4</w:t>
            </w:r>
          </w:p>
        </w:tc>
      </w:tr>
      <w:tr w:rsidR="00A76ADB" w14:paraId="4CF55BC5" w14:textId="77777777" w:rsidTr="00F16598">
        <w:trPr>
          <w:cantSplit/>
        </w:trPr>
        <w:tc>
          <w:tcPr>
            <w:tcW w:w="741" w:type="dxa"/>
            <w:shd w:val="clear" w:color="auto" w:fill="FFFFFF"/>
            <w:tcMar>
              <w:top w:w="0" w:type="dxa"/>
              <w:left w:w="108" w:type="dxa"/>
              <w:bottom w:w="0" w:type="dxa"/>
              <w:right w:w="108" w:type="dxa"/>
            </w:tcMar>
            <w:vAlign w:val="center"/>
          </w:tcPr>
          <w:p w14:paraId="487CCFD1" w14:textId="77777777" w:rsidR="00A76ADB" w:rsidRDefault="00A76ADB" w:rsidP="007E3239">
            <w:pPr>
              <w:pStyle w:val="TableText"/>
              <w:spacing w:before="40" w:after="40"/>
            </w:pPr>
            <w:r>
              <w:rPr>
                <w:rFonts w:eastAsia="Calibri"/>
              </w:rPr>
              <w:t>1958</w:t>
            </w:r>
          </w:p>
        </w:tc>
        <w:tc>
          <w:tcPr>
            <w:tcW w:w="1093" w:type="dxa"/>
            <w:shd w:val="clear" w:color="auto" w:fill="FFFFFF"/>
            <w:tcMar>
              <w:top w:w="0" w:type="dxa"/>
              <w:left w:w="108" w:type="dxa"/>
              <w:bottom w:w="0" w:type="dxa"/>
              <w:right w:w="108" w:type="dxa"/>
            </w:tcMar>
            <w:vAlign w:val="bottom"/>
          </w:tcPr>
          <w:p w14:paraId="773D5B3D" w14:textId="77777777" w:rsidR="00A76ADB" w:rsidRDefault="00A76ADB" w:rsidP="007E3239">
            <w:pPr>
              <w:pStyle w:val="TableText"/>
              <w:spacing w:before="40" w:after="40"/>
              <w:jc w:val="center"/>
            </w:pPr>
            <w:r w:rsidRPr="002C290C">
              <w:t>796.6</w:t>
            </w:r>
          </w:p>
        </w:tc>
        <w:tc>
          <w:tcPr>
            <w:tcW w:w="2021" w:type="dxa"/>
            <w:shd w:val="clear" w:color="auto" w:fill="FFFFFF"/>
            <w:tcMar>
              <w:top w:w="0" w:type="dxa"/>
              <w:left w:w="108" w:type="dxa"/>
              <w:bottom w:w="0" w:type="dxa"/>
              <w:right w:w="108" w:type="dxa"/>
            </w:tcMar>
            <w:vAlign w:val="bottom"/>
          </w:tcPr>
          <w:p w14:paraId="07E23CF5" w14:textId="77777777" w:rsidR="00A76ADB" w:rsidRDefault="00A76ADB" w:rsidP="007E3239">
            <w:pPr>
              <w:pStyle w:val="TableText"/>
              <w:spacing w:before="40" w:after="40"/>
              <w:jc w:val="center"/>
            </w:pPr>
            <w:r w:rsidRPr="002C290C">
              <w:t>1,018.6</w:t>
            </w:r>
          </w:p>
        </w:tc>
        <w:tc>
          <w:tcPr>
            <w:tcW w:w="1885" w:type="dxa"/>
            <w:shd w:val="clear" w:color="auto" w:fill="FFFFFF"/>
            <w:tcMar>
              <w:top w:w="0" w:type="dxa"/>
              <w:left w:w="108" w:type="dxa"/>
              <w:bottom w:w="0" w:type="dxa"/>
              <w:right w:w="108" w:type="dxa"/>
            </w:tcMar>
            <w:vAlign w:val="bottom"/>
          </w:tcPr>
          <w:p w14:paraId="0D4937FB" w14:textId="77777777" w:rsidR="00A76ADB" w:rsidRDefault="00A76ADB" w:rsidP="007E3239">
            <w:pPr>
              <w:pStyle w:val="TableText"/>
              <w:spacing w:before="40" w:after="40"/>
              <w:jc w:val="center"/>
            </w:pPr>
            <w:r w:rsidRPr="002C290C">
              <w:t>1,815.2</w:t>
            </w:r>
          </w:p>
        </w:tc>
      </w:tr>
      <w:tr w:rsidR="00A76ADB" w14:paraId="63C34D58" w14:textId="77777777" w:rsidTr="00F16598">
        <w:trPr>
          <w:cantSplit/>
        </w:trPr>
        <w:tc>
          <w:tcPr>
            <w:tcW w:w="741" w:type="dxa"/>
            <w:shd w:val="clear" w:color="auto" w:fill="FFFFFF"/>
            <w:tcMar>
              <w:top w:w="0" w:type="dxa"/>
              <w:left w:w="108" w:type="dxa"/>
              <w:bottom w:w="0" w:type="dxa"/>
              <w:right w:w="108" w:type="dxa"/>
            </w:tcMar>
            <w:vAlign w:val="center"/>
          </w:tcPr>
          <w:p w14:paraId="7BCE6842" w14:textId="77777777" w:rsidR="00A76ADB" w:rsidRDefault="00A76ADB" w:rsidP="007E3239">
            <w:pPr>
              <w:pStyle w:val="TableText"/>
              <w:spacing w:before="40" w:after="40"/>
            </w:pPr>
            <w:r>
              <w:rPr>
                <w:rFonts w:eastAsia="Calibri"/>
              </w:rPr>
              <w:t>1959</w:t>
            </w:r>
          </w:p>
        </w:tc>
        <w:tc>
          <w:tcPr>
            <w:tcW w:w="1093" w:type="dxa"/>
            <w:shd w:val="clear" w:color="auto" w:fill="FFFFFF"/>
            <w:tcMar>
              <w:top w:w="0" w:type="dxa"/>
              <w:left w:w="108" w:type="dxa"/>
              <w:bottom w:w="0" w:type="dxa"/>
              <w:right w:w="108" w:type="dxa"/>
            </w:tcMar>
            <w:vAlign w:val="bottom"/>
          </w:tcPr>
          <w:p w14:paraId="3882A80F" w14:textId="77777777" w:rsidR="00A76ADB" w:rsidRDefault="00A76ADB" w:rsidP="007E3239">
            <w:pPr>
              <w:pStyle w:val="TableText"/>
              <w:spacing w:before="40" w:after="40"/>
              <w:jc w:val="center"/>
            </w:pPr>
            <w:r w:rsidRPr="002C290C">
              <w:t>799.7</w:t>
            </w:r>
          </w:p>
        </w:tc>
        <w:tc>
          <w:tcPr>
            <w:tcW w:w="2021" w:type="dxa"/>
            <w:shd w:val="clear" w:color="auto" w:fill="FFFFFF"/>
            <w:tcMar>
              <w:top w:w="0" w:type="dxa"/>
              <w:left w:w="108" w:type="dxa"/>
              <w:bottom w:w="0" w:type="dxa"/>
              <w:right w:w="108" w:type="dxa"/>
            </w:tcMar>
            <w:vAlign w:val="bottom"/>
          </w:tcPr>
          <w:p w14:paraId="07761980" w14:textId="77777777" w:rsidR="00A76ADB" w:rsidRDefault="00A76ADB" w:rsidP="007E3239">
            <w:pPr>
              <w:pStyle w:val="TableText"/>
              <w:spacing w:before="40" w:after="40"/>
              <w:jc w:val="center"/>
            </w:pPr>
            <w:r w:rsidRPr="002C290C">
              <w:t>1,055.8</w:t>
            </w:r>
          </w:p>
        </w:tc>
        <w:tc>
          <w:tcPr>
            <w:tcW w:w="1885" w:type="dxa"/>
            <w:shd w:val="clear" w:color="auto" w:fill="FFFFFF"/>
            <w:tcMar>
              <w:top w:w="0" w:type="dxa"/>
              <w:left w:w="108" w:type="dxa"/>
              <w:bottom w:w="0" w:type="dxa"/>
              <w:right w:w="108" w:type="dxa"/>
            </w:tcMar>
            <w:vAlign w:val="bottom"/>
          </w:tcPr>
          <w:p w14:paraId="58BCF301" w14:textId="77777777" w:rsidR="00A76ADB" w:rsidRDefault="00A76ADB" w:rsidP="007E3239">
            <w:pPr>
              <w:pStyle w:val="TableText"/>
              <w:spacing w:before="40" w:after="40"/>
              <w:jc w:val="center"/>
            </w:pPr>
            <w:r w:rsidRPr="002C290C">
              <w:t>1,855.5</w:t>
            </w:r>
          </w:p>
        </w:tc>
      </w:tr>
      <w:tr w:rsidR="00A76ADB" w14:paraId="6B887E79" w14:textId="77777777" w:rsidTr="00F16598">
        <w:trPr>
          <w:cantSplit/>
        </w:trPr>
        <w:tc>
          <w:tcPr>
            <w:tcW w:w="741" w:type="dxa"/>
            <w:shd w:val="clear" w:color="auto" w:fill="FFFFFF"/>
            <w:tcMar>
              <w:top w:w="0" w:type="dxa"/>
              <w:left w:w="108" w:type="dxa"/>
              <w:bottom w:w="0" w:type="dxa"/>
              <w:right w:w="108" w:type="dxa"/>
            </w:tcMar>
            <w:vAlign w:val="center"/>
          </w:tcPr>
          <w:p w14:paraId="567B1CF5" w14:textId="77777777" w:rsidR="00A76ADB" w:rsidRDefault="00A76ADB" w:rsidP="007E3239">
            <w:pPr>
              <w:pStyle w:val="TableText"/>
              <w:spacing w:before="40" w:after="40"/>
            </w:pPr>
            <w:r>
              <w:rPr>
                <w:rFonts w:eastAsia="Calibri"/>
              </w:rPr>
              <w:t>1960</w:t>
            </w:r>
          </w:p>
        </w:tc>
        <w:tc>
          <w:tcPr>
            <w:tcW w:w="1093" w:type="dxa"/>
            <w:shd w:val="clear" w:color="auto" w:fill="FFFFFF"/>
            <w:tcMar>
              <w:top w:w="0" w:type="dxa"/>
              <w:left w:w="108" w:type="dxa"/>
              <w:bottom w:w="0" w:type="dxa"/>
              <w:right w:w="108" w:type="dxa"/>
            </w:tcMar>
            <w:vAlign w:val="bottom"/>
          </w:tcPr>
          <w:p w14:paraId="4C12C3BC" w14:textId="77777777" w:rsidR="00A76ADB" w:rsidRDefault="00A76ADB" w:rsidP="007E3239">
            <w:pPr>
              <w:pStyle w:val="TableText"/>
              <w:spacing w:before="40" w:after="40"/>
              <w:jc w:val="center"/>
            </w:pPr>
            <w:r w:rsidRPr="002C290C">
              <w:t>738.1</w:t>
            </w:r>
          </w:p>
        </w:tc>
        <w:tc>
          <w:tcPr>
            <w:tcW w:w="2021" w:type="dxa"/>
            <w:shd w:val="clear" w:color="auto" w:fill="FFFFFF"/>
            <w:tcMar>
              <w:top w:w="0" w:type="dxa"/>
              <w:left w:w="108" w:type="dxa"/>
              <w:bottom w:w="0" w:type="dxa"/>
              <w:right w:w="108" w:type="dxa"/>
            </w:tcMar>
            <w:vAlign w:val="bottom"/>
          </w:tcPr>
          <w:p w14:paraId="06EBF03F" w14:textId="77777777" w:rsidR="00A76ADB" w:rsidRDefault="00A76ADB" w:rsidP="007E3239">
            <w:pPr>
              <w:pStyle w:val="TableText"/>
              <w:spacing w:before="40" w:after="40"/>
              <w:jc w:val="center"/>
            </w:pPr>
            <w:r w:rsidRPr="002C290C">
              <w:t>1,094.4</w:t>
            </w:r>
          </w:p>
        </w:tc>
        <w:tc>
          <w:tcPr>
            <w:tcW w:w="1885" w:type="dxa"/>
            <w:shd w:val="clear" w:color="auto" w:fill="FFFFFF"/>
            <w:tcMar>
              <w:top w:w="0" w:type="dxa"/>
              <w:left w:w="108" w:type="dxa"/>
              <w:bottom w:w="0" w:type="dxa"/>
              <w:right w:w="108" w:type="dxa"/>
            </w:tcMar>
            <w:vAlign w:val="bottom"/>
          </w:tcPr>
          <w:p w14:paraId="246C5869" w14:textId="77777777" w:rsidR="00A76ADB" w:rsidRDefault="00A76ADB" w:rsidP="007E3239">
            <w:pPr>
              <w:pStyle w:val="TableText"/>
              <w:spacing w:before="40" w:after="40"/>
              <w:jc w:val="center"/>
            </w:pPr>
            <w:r w:rsidRPr="002C290C">
              <w:t>1,832.5</w:t>
            </w:r>
          </w:p>
        </w:tc>
      </w:tr>
      <w:tr w:rsidR="00A76ADB" w14:paraId="173717C4" w14:textId="77777777" w:rsidTr="00F16598">
        <w:trPr>
          <w:cantSplit/>
        </w:trPr>
        <w:tc>
          <w:tcPr>
            <w:tcW w:w="741" w:type="dxa"/>
            <w:shd w:val="clear" w:color="auto" w:fill="FFFFFF"/>
            <w:tcMar>
              <w:top w:w="0" w:type="dxa"/>
              <w:left w:w="108" w:type="dxa"/>
              <w:bottom w:w="0" w:type="dxa"/>
              <w:right w:w="108" w:type="dxa"/>
            </w:tcMar>
            <w:vAlign w:val="center"/>
          </w:tcPr>
          <w:p w14:paraId="6E68C8FD" w14:textId="77777777" w:rsidR="00A76ADB" w:rsidRDefault="00A76ADB" w:rsidP="007E3239">
            <w:pPr>
              <w:pStyle w:val="TableText"/>
              <w:spacing w:before="40" w:after="40"/>
            </w:pPr>
            <w:r>
              <w:rPr>
                <w:rFonts w:eastAsia="Calibri"/>
              </w:rPr>
              <w:t>1961</w:t>
            </w:r>
          </w:p>
        </w:tc>
        <w:tc>
          <w:tcPr>
            <w:tcW w:w="1093" w:type="dxa"/>
            <w:shd w:val="clear" w:color="auto" w:fill="FFFFFF"/>
            <w:tcMar>
              <w:top w:w="0" w:type="dxa"/>
              <w:left w:w="108" w:type="dxa"/>
              <w:bottom w:w="0" w:type="dxa"/>
              <w:right w:w="108" w:type="dxa"/>
            </w:tcMar>
            <w:vAlign w:val="bottom"/>
          </w:tcPr>
          <w:p w14:paraId="44F37471" w14:textId="77777777" w:rsidR="00A76ADB" w:rsidRDefault="00A76ADB" w:rsidP="007E3239">
            <w:pPr>
              <w:pStyle w:val="TableText"/>
              <w:spacing w:before="40" w:after="40"/>
              <w:jc w:val="center"/>
            </w:pPr>
            <w:r w:rsidRPr="002C290C">
              <w:t>702.0</w:t>
            </w:r>
          </w:p>
        </w:tc>
        <w:tc>
          <w:tcPr>
            <w:tcW w:w="2021" w:type="dxa"/>
            <w:shd w:val="clear" w:color="auto" w:fill="FFFFFF"/>
            <w:tcMar>
              <w:top w:w="0" w:type="dxa"/>
              <w:left w:w="108" w:type="dxa"/>
              <w:bottom w:w="0" w:type="dxa"/>
              <w:right w:w="108" w:type="dxa"/>
            </w:tcMar>
            <w:vAlign w:val="bottom"/>
          </w:tcPr>
          <w:p w14:paraId="4AC6E77F" w14:textId="77777777" w:rsidR="00A76ADB" w:rsidRDefault="00A76ADB" w:rsidP="007E3239">
            <w:pPr>
              <w:pStyle w:val="TableText"/>
              <w:spacing w:before="40" w:after="40"/>
              <w:jc w:val="center"/>
            </w:pPr>
            <w:r w:rsidRPr="002C290C">
              <w:t>1,134.3</w:t>
            </w:r>
          </w:p>
        </w:tc>
        <w:tc>
          <w:tcPr>
            <w:tcW w:w="1885" w:type="dxa"/>
            <w:shd w:val="clear" w:color="auto" w:fill="FFFFFF"/>
            <w:tcMar>
              <w:top w:w="0" w:type="dxa"/>
              <w:left w:w="108" w:type="dxa"/>
              <w:bottom w:w="0" w:type="dxa"/>
              <w:right w:w="108" w:type="dxa"/>
            </w:tcMar>
            <w:vAlign w:val="bottom"/>
          </w:tcPr>
          <w:p w14:paraId="4BABC1D0" w14:textId="77777777" w:rsidR="00A76ADB" w:rsidRDefault="00A76ADB" w:rsidP="007E3239">
            <w:pPr>
              <w:pStyle w:val="TableText"/>
              <w:spacing w:before="40" w:after="40"/>
              <w:jc w:val="center"/>
            </w:pPr>
            <w:r w:rsidRPr="002C290C">
              <w:t>1,836.3</w:t>
            </w:r>
          </w:p>
        </w:tc>
      </w:tr>
      <w:tr w:rsidR="00A76ADB" w14:paraId="38F355A5" w14:textId="77777777" w:rsidTr="00F16598">
        <w:trPr>
          <w:cantSplit/>
        </w:trPr>
        <w:tc>
          <w:tcPr>
            <w:tcW w:w="741" w:type="dxa"/>
            <w:shd w:val="clear" w:color="auto" w:fill="FFFFFF"/>
            <w:tcMar>
              <w:top w:w="0" w:type="dxa"/>
              <w:left w:w="108" w:type="dxa"/>
              <w:bottom w:w="0" w:type="dxa"/>
              <w:right w:w="108" w:type="dxa"/>
            </w:tcMar>
            <w:vAlign w:val="center"/>
          </w:tcPr>
          <w:p w14:paraId="37976D74" w14:textId="77777777" w:rsidR="00A76ADB" w:rsidRDefault="00A76ADB" w:rsidP="007E3239">
            <w:pPr>
              <w:pStyle w:val="TableText"/>
              <w:spacing w:before="40" w:after="40"/>
            </w:pPr>
            <w:r>
              <w:rPr>
                <w:rFonts w:eastAsia="Calibri"/>
              </w:rPr>
              <w:t>1962</w:t>
            </w:r>
          </w:p>
        </w:tc>
        <w:tc>
          <w:tcPr>
            <w:tcW w:w="1093" w:type="dxa"/>
            <w:shd w:val="clear" w:color="auto" w:fill="FFFFFF"/>
            <w:tcMar>
              <w:top w:w="0" w:type="dxa"/>
              <w:left w:w="108" w:type="dxa"/>
              <w:bottom w:w="0" w:type="dxa"/>
              <w:right w:w="108" w:type="dxa"/>
            </w:tcMar>
            <w:vAlign w:val="bottom"/>
          </w:tcPr>
          <w:p w14:paraId="474EDE45" w14:textId="77777777" w:rsidR="00A76ADB" w:rsidRDefault="00A76ADB" w:rsidP="007E3239">
            <w:pPr>
              <w:pStyle w:val="TableText"/>
              <w:spacing w:before="40" w:after="40"/>
              <w:jc w:val="center"/>
            </w:pPr>
            <w:r w:rsidRPr="002C290C">
              <w:t>698.0</w:t>
            </w:r>
          </w:p>
        </w:tc>
        <w:tc>
          <w:tcPr>
            <w:tcW w:w="2021" w:type="dxa"/>
            <w:shd w:val="clear" w:color="auto" w:fill="FFFFFF"/>
            <w:tcMar>
              <w:top w:w="0" w:type="dxa"/>
              <w:left w:w="108" w:type="dxa"/>
              <w:bottom w:w="0" w:type="dxa"/>
              <w:right w:w="108" w:type="dxa"/>
            </w:tcMar>
            <w:vAlign w:val="bottom"/>
          </w:tcPr>
          <w:p w14:paraId="37B1E2D2" w14:textId="77777777" w:rsidR="00A76ADB" w:rsidRDefault="00A76ADB" w:rsidP="007E3239">
            <w:pPr>
              <w:pStyle w:val="TableText"/>
              <w:spacing w:before="40" w:after="40"/>
              <w:jc w:val="center"/>
            </w:pPr>
            <w:r w:rsidRPr="002C290C">
              <w:t>1,175.7</w:t>
            </w:r>
          </w:p>
        </w:tc>
        <w:tc>
          <w:tcPr>
            <w:tcW w:w="1885" w:type="dxa"/>
            <w:shd w:val="clear" w:color="auto" w:fill="FFFFFF"/>
            <w:tcMar>
              <w:top w:w="0" w:type="dxa"/>
              <w:left w:w="108" w:type="dxa"/>
              <w:bottom w:w="0" w:type="dxa"/>
              <w:right w:w="108" w:type="dxa"/>
            </w:tcMar>
            <w:vAlign w:val="bottom"/>
          </w:tcPr>
          <w:p w14:paraId="3E575F64" w14:textId="77777777" w:rsidR="00A76ADB" w:rsidRDefault="00A76ADB" w:rsidP="007E3239">
            <w:pPr>
              <w:pStyle w:val="TableText"/>
              <w:spacing w:before="40" w:after="40"/>
              <w:jc w:val="center"/>
            </w:pPr>
            <w:r w:rsidRPr="002C290C">
              <w:t>1,873.8</w:t>
            </w:r>
          </w:p>
        </w:tc>
      </w:tr>
      <w:tr w:rsidR="00A76ADB" w14:paraId="0794CD37" w14:textId="77777777" w:rsidTr="00F16598">
        <w:trPr>
          <w:cantSplit/>
        </w:trPr>
        <w:tc>
          <w:tcPr>
            <w:tcW w:w="741" w:type="dxa"/>
            <w:shd w:val="clear" w:color="auto" w:fill="FFFFFF"/>
            <w:tcMar>
              <w:top w:w="0" w:type="dxa"/>
              <w:left w:w="108" w:type="dxa"/>
              <w:bottom w:w="0" w:type="dxa"/>
              <w:right w:w="108" w:type="dxa"/>
            </w:tcMar>
            <w:vAlign w:val="center"/>
          </w:tcPr>
          <w:p w14:paraId="6A297E5E" w14:textId="77777777" w:rsidR="00A76ADB" w:rsidRDefault="00A76ADB" w:rsidP="007E3239">
            <w:pPr>
              <w:pStyle w:val="TableText"/>
              <w:spacing w:before="40" w:after="40"/>
            </w:pPr>
            <w:r>
              <w:rPr>
                <w:rFonts w:eastAsia="Calibri"/>
              </w:rPr>
              <w:t>1963</w:t>
            </w:r>
          </w:p>
        </w:tc>
        <w:tc>
          <w:tcPr>
            <w:tcW w:w="1093" w:type="dxa"/>
            <w:shd w:val="clear" w:color="auto" w:fill="FFFFFF"/>
            <w:tcMar>
              <w:top w:w="0" w:type="dxa"/>
              <w:left w:w="108" w:type="dxa"/>
              <w:bottom w:w="0" w:type="dxa"/>
              <w:right w:w="108" w:type="dxa"/>
            </w:tcMar>
            <w:vAlign w:val="bottom"/>
          </w:tcPr>
          <w:p w14:paraId="54E1DDC6" w14:textId="77777777" w:rsidR="00A76ADB" w:rsidRDefault="00A76ADB" w:rsidP="007E3239">
            <w:pPr>
              <w:pStyle w:val="TableText"/>
              <w:spacing w:before="40" w:after="40"/>
              <w:jc w:val="center"/>
            </w:pPr>
            <w:r w:rsidRPr="002C290C">
              <w:t>693.6</w:t>
            </w:r>
          </w:p>
        </w:tc>
        <w:tc>
          <w:tcPr>
            <w:tcW w:w="2021" w:type="dxa"/>
            <w:shd w:val="clear" w:color="auto" w:fill="FFFFFF"/>
            <w:tcMar>
              <w:top w:w="0" w:type="dxa"/>
              <w:left w:w="108" w:type="dxa"/>
              <w:bottom w:w="0" w:type="dxa"/>
              <w:right w:w="108" w:type="dxa"/>
            </w:tcMar>
            <w:vAlign w:val="bottom"/>
          </w:tcPr>
          <w:p w14:paraId="7805D7E8" w14:textId="77777777" w:rsidR="00A76ADB" w:rsidRDefault="00A76ADB" w:rsidP="007E3239">
            <w:pPr>
              <w:pStyle w:val="TableText"/>
              <w:spacing w:before="40" w:after="40"/>
              <w:jc w:val="center"/>
            </w:pPr>
            <w:r w:rsidRPr="002C290C">
              <w:t>1,218.6</w:t>
            </w:r>
          </w:p>
        </w:tc>
        <w:tc>
          <w:tcPr>
            <w:tcW w:w="1885" w:type="dxa"/>
            <w:shd w:val="clear" w:color="auto" w:fill="FFFFFF"/>
            <w:tcMar>
              <w:top w:w="0" w:type="dxa"/>
              <w:left w:w="108" w:type="dxa"/>
              <w:bottom w:w="0" w:type="dxa"/>
              <w:right w:w="108" w:type="dxa"/>
            </w:tcMar>
            <w:vAlign w:val="bottom"/>
          </w:tcPr>
          <w:p w14:paraId="1338DD77" w14:textId="77777777" w:rsidR="00A76ADB" w:rsidRDefault="00A76ADB" w:rsidP="007E3239">
            <w:pPr>
              <w:pStyle w:val="TableText"/>
              <w:spacing w:before="40" w:after="40"/>
              <w:jc w:val="center"/>
            </w:pPr>
            <w:r w:rsidRPr="002C290C">
              <w:t>1,912.2</w:t>
            </w:r>
          </w:p>
        </w:tc>
      </w:tr>
      <w:tr w:rsidR="00A76ADB" w14:paraId="2077C114" w14:textId="77777777" w:rsidTr="00F16598">
        <w:trPr>
          <w:cantSplit/>
        </w:trPr>
        <w:tc>
          <w:tcPr>
            <w:tcW w:w="741" w:type="dxa"/>
            <w:shd w:val="clear" w:color="auto" w:fill="FFFFFF"/>
            <w:tcMar>
              <w:top w:w="0" w:type="dxa"/>
              <w:left w:w="108" w:type="dxa"/>
              <w:bottom w:w="0" w:type="dxa"/>
              <w:right w:w="108" w:type="dxa"/>
            </w:tcMar>
            <w:vAlign w:val="center"/>
          </w:tcPr>
          <w:p w14:paraId="7291662F" w14:textId="77777777" w:rsidR="00A76ADB" w:rsidRDefault="00A76ADB" w:rsidP="007E3239">
            <w:pPr>
              <w:pStyle w:val="TableText"/>
              <w:spacing w:before="40" w:after="40"/>
            </w:pPr>
            <w:r>
              <w:rPr>
                <w:rFonts w:eastAsia="Calibri"/>
              </w:rPr>
              <w:t>1964</w:t>
            </w:r>
          </w:p>
        </w:tc>
        <w:tc>
          <w:tcPr>
            <w:tcW w:w="1093" w:type="dxa"/>
            <w:shd w:val="clear" w:color="auto" w:fill="FFFFFF"/>
            <w:tcMar>
              <w:top w:w="0" w:type="dxa"/>
              <w:left w:w="108" w:type="dxa"/>
              <w:bottom w:w="0" w:type="dxa"/>
              <w:right w:w="108" w:type="dxa"/>
            </w:tcMar>
            <w:vAlign w:val="bottom"/>
          </w:tcPr>
          <w:p w14:paraId="4F0A038C" w14:textId="77777777" w:rsidR="00A76ADB" w:rsidRDefault="00A76ADB" w:rsidP="007E3239">
            <w:pPr>
              <w:pStyle w:val="TableText"/>
              <w:spacing w:before="40" w:after="40"/>
              <w:jc w:val="center"/>
            </w:pPr>
            <w:r w:rsidRPr="002C290C">
              <w:t>687.9</w:t>
            </w:r>
          </w:p>
        </w:tc>
        <w:tc>
          <w:tcPr>
            <w:tcW w:w="2021" w:type="dxa"/>
            <w:shd w:val="clear" w:color="auto" w:fill="FFFFFF"/>
            <w:tcMar>
              <w:top w:w="0" w:type="dxa"/>
              <w:left w:w="108" w:type="dxa"/>
              <w:bottom w:w="0" w:type="dxa"/>
              <w:right w:w="108" w:type="dxa"/>
            </w:tcMar>
            <w:vAlign w:val="bottom"/>
          </w:tcPr>
          <w:p w14:paraId="4E36F00B" w14:textId="77777777" w:rsidR="00A76ADB" w:rsidRDefault="00A76ADB" w:rsidP="007E3239">
            <w:pPr>
              <w:pStyle w:val="TableText"/>
              <w:spacing w:before="40" w:after="40"/>
              <w:jc w:val="center"/>
            </w:pPr>
            <w:r w:rsidRPr="002C290C">
              <w:t>1,263.0</w:t>
            </w:r>
          </w:p>
        </w:tc>
        <w:tc>
          <w:tcPr>
            <w:tcW w:w="1885" w:type="dxa"/>
            <w:shd w:val="clear" w:color="auto" w:fill="FFFFFF"/>
            <w:tcMar>
              <w:top w:w="0" w:type="dxa"/>
              <w:left w:w="108" w:type="dxa"/>
              <w:bottom w:w="0" w:type="dxa"/>
              <w:right w:w="108" w:type="dxa"/>
            </w:tcMar>
            <w:vAlign w:val="bottom"/>
          </w:tcPr>
          <w:p w14:paraId="2CA3BC33" w14:textId="77777777" w:rsidR="00A76ADB" w:rsidRDefault="00A76ADB" w:rsidP="007E3239">
            <w:pPr>
              <w:pStyle w:val="TableText"/>
              <w:spacing w:before="40" w:after="40"/>
              <w:jc w:val="center"/>
            </w:pPr>
            <w:r w:rsidRPr="002C290C">
              <w:t>1,950.9</w:t>
            </w:r>
          </w:p>
        </w:tc>
      </w:tr>
      <w:tr w:rsidR="00A76ADB" w14:paraId="3D3AEDA1" w14:textId="77777777" w:rsidTr="00F16598">
        <w:trPr>
          <w:cantSplit/>
        </w:trPr>
        <w:tc>
          <w:tcPr>
            <w:tcW w:w="741" w:type="dxa"/>
            <w:shd w:val="clear" w:color="auto" w:fill="FFFFFF"/>
            <w:tcMar>
              <w:top w:w="0" w:type="dxa"/>
              <w:left w:w="108" w:type="dxa"/>
              <w:bottom w:w="0" w:type="dxa"/>
              <w:right w:w="108" w:type="dxa"/>
            </w:tcMar>
            <w:vAlign w:val="center"/>
          </w:tcPr>
          <w:p w14:paraId="2D36D9DC" w14:textId="77777777" w:rsidR="00A76ADB" w:rsidRDefault="00A76ADB" w:rsidP="007E3239">
            <w:pPr>
              <w:pStyle w:val="TableText"/>
              <w:spacing w:before="40" w:after="40"/>
            </w:pPr>
            <w:r>
              <w:rPr>
                <w:rFonts w:eastAsia="Calibri"/>
              </w:rPr>
              <w:t>1965</w:t>
            </w:r>
          </w:p>
        </w:tc>
        <w:tc>
          <w:tcPr>
            <w:tcW w:w="1093" w:type="dxa"/>
            <w:shd w:val="clear" w:color="auto" w:fill="FFFFFF"/>
            <w:tcMar>
              <w:top w:w="0" w:type="dxa"/>
              <w:left w:w="108" w:type="dxa"/>
              <w:bottom w:w="0" w:type="dxa"/>
              <w:right w:w="108" w:type="dxa"/>
            </w:tcMar>
            <w:vAlign w:val="bottom"/>
          </w:tcPr>
          <w:p w14:paraId="2C508C3D" w14:textId="77777777" w:rsidR="00A76ADB" w:rsidRDefault="00A76ADB" w:rsidP="007E3239">
            <w:pPr>
              <w:pStyle w:val="TableText"/>
              <w:spacing w:before="40" w:after="40"/>
              <w:jc w:val="center"/>
            </w:pPr>
            <w:r w:rsidRPr="002C290C">
              <w:t>676.1</w:t>
            </w:r>
          </w:p>
        </w:tc>
        <w:tc>
          <w:tcPr>
            <w:tcW w:w="2021" w:type="dxa"/>
            <w:shd w:val="clear" w:color="auto" w:fill="FFFFFF"/>
            <w:tcMar>
              <w:top w:w="0" w:type="dxa"/>
              <w:left w:w="108" w:type="dxa"/>
              <w:bottom w:w="0" w:type="dxa"/>
              <w:right w:w="108" w:type="dxa"/>
            </w:tcMar>
            <w:vAlign w:val="bottom"/>
          </w:tcPr>
          <w:p w14:paraId="2920C64B" w14:textId="77777777" w:rsidR="00A76ADB" w:rsidRDefault="00A76ADB" w:rsidP="007E3239">
            <w:pPr>
              <w:pStyle w:val="TableText"/>
              <w:spacing w:before="40" w:after="40"/>
              <w:jc w:val="center"/>
            </w:pPr>
            <w:r w:rsidRPr="002C290C">
              <w:t>1,309.1</w:t>
            </w:r>
          </w:p>
        </w:tc>
        <w:tc>
          <w:tcPr>
            <w:tcW w:w="1885" w:type="dxa"/>
            <w:shd w:val="clear" w:color="auto" w:fill="FFFFFF"/>
            <w:tcMar>
              <w:top w:w="0" w:type="dxa"/>
              <w:left w:w="108" w:type="dxa"/>
              <w:bottom w:w="0" w:type="dxa"/>
              <w:right w:w="108" w:type="dxa"/>
            </w:tcMar>
            <w:vAlign w:val="bottom"/>
          </w:tcPr>
          <w:p w14:paraId="696405AF" w14:textId="77777777" w:rsidR="00A76ADB" w:rsidRDefault="00A76ADB" w:rsidP="007E3239">
            <w:pPr>
              <w:pStyle w:val="TableText"/>
              <w:spacing w:before="40" w:after="40"/>
              <w:jc w:val="center"/>
            </w:pPr>
            <w:r w:rsidRPr="002C290C">
              <w:t>1,985.2</w:t>
            </w:r>
          </w:p>
        </w:tc>
      </w:tr>
      <w:tr w:rsidR="00A76ADB" w14:paraId="3FCD68A1" w14:textId="77777777" w:rsidTr="00F16598">
        <w:trPr>
          <w:cantSplit/>
        </w:trPr>
        <w:tc>
          <w:tcPr>
            <w:tcW w:w="741" w:type="dxa"/>
            <w:shd w:val="clear" w:color="auto" w:fill="FFFFFF"/>
            <w:tcMar>
              <w:top w:w="0" w:type="dxa"/>
              <w:left w:w="108" w:type="dxa"/>
              <w:bottom w:w="0" w:type="dxa"/>
              <w:right w:w="108" w:type="dxa"/>
            </w:tcMar>
            <w:vAlign w:val="center"/>
          </w:tcPr>
          <w:p w14:paraId="18BB1846" w14:textId="77777777" w:rsidR="00A76ADB" w:rsidRDefault="00A76ADB" w:rsidP="007E3239">
            <w:pPr>
              <w:pStyle w:val="TableText"/>
              <w:spacing w:before="40" w:after="40"/>
            </w:pPr>
            <w:r>
              <w:rPr>
                <w:rFonts w:eastAsia="Calibri"/>
              </w:rPr>
              <w:t>1966</w:t>
            </w:r>
          </w:p>
        </w:tc>
        <w:tc>
          <w:tcPr>
            <w:tcW w:w="1093" w:type="dxa"/>
            <w:shd w:val="clear" w:color="auto" w:fill="FFFFFF"/>
            <w:tcMar>
              <w:top w:w="0" w:type="dxa"/>
              <w:left w:w="108" w:type="dxa"/>
              <w:bottom w:w="0" w:type="dxa"/>
              <w:right w:w="108" w:type="dxa"/>
            </w:tcMar>
            <w:vAlign w:val="bottom"/>
          </w:tcPr>
          <w:p w14:paraId="5C9F06A7" w14:textId="77777777" w:rsidR="00A76ADB" w:rsidRDefault="00A76ADB" w:rsidP="007E3239">
            <w:pPr>
              <w:pStyle w:val="TableText"/>
              <w:spacing w:before="40" w:after="40"/>
              <w:jc w:val="center"/>
            </w:pPr>
            <w:r w:rsidRPr="002C290C">
              <w:t>670.6</w:t>
            </w:r>
          </w:p>
        </w:tc>
        <w:tc>
          <w:tcPr>
            <w:tcW w:w="2021" w:type="dxa"/>
            <w:shd w:val="clear" w:color="auto" w:fill="FFFFFF"/>
            <w:tcMar>
              <w:top w:w="0" w:type="dxa"/>
              <w:left w:w="108" w:type="dxa"/>
              <w:bottom w:w="0" w:type="dxa"/>
              <w:right w:w="108" w:type="dxa"/>
            </w:tcMar>
            <w:vAlign w:val="bottom"/>
          </w:tcPr>
          <w:p w14:paraId="5BCF0A9C" w14:textId="77777777" w:rsidR="00A76ADB" w:rsidRDefault="00A76ADB" w:rsidP="007E3239">
            <w:pPr>
              <w:pStyle w:val="TableText"/>
              <w:spacing w:before="40" w:after="40"/>
              <w:jc w:val="center"/>
            </w:pPr>
            <w:r w:rsidRPr="002C290C">
              <w:t>1,356.7</w:t>
            </w:r>
          </w:p>
        </w:tc>
        <w:tc>
          <w:tcPr>
            <w:tcW w:w="1885" w:type="dxa"/>
            <w:shd w:val="clear" w:color="auto" w:fill="FFFFFF"/>
            <w:tcMar>
              <w:top w:w="0" w:type="dxa"/>
              <w:left w:w="108" w:type="dxa"/>
              <w:bottom w:w="0" w:type="dxa"/>
              <w:right w:w="108" w:type="dxa"/>
            </w:tcMar>
            <w:vAlign w:val="bottom"/>
          </w:tcPr>
          <w:p w14:paraId="30D6E9A0" w14:textId="77777777" w:rsidR="00A76ADB" w:rsidRDefault="00A76ADB" w:rsidP="007E3239">
            <w:pPr>
              <w:pStyle w:val="TableText"/>
              <w:spacing w:before="40" w:after="40"/>
              <w:jc w:val="center"/>
            </w:pPr>
            <w:r w:rsidRPr="002C290C">
              <w:t>2,027.3</w:t>
            </w:r>
          </w:p>
        </w:tc>
      </w:tr>
      <w:tr w:rsidR="00A76ADB" w14:paraId="1B375C12" w14:textId="77777777" w:rsidTr="00F16598">
        <w:trPr>
          <w:cantSplit/>
        </w:trPr>
        <w:tc>
          <w:tcPr>
            <w:tcW w:w="741" w:type="dxa"/>
            <w:shd w:val="clear" w:color="auto" w:fill="FFFFFF"/>
            <w:tcMar>
              <w:top w:w="0" w:type="dxa"/>
              <w:left w:w="108" w:type="dxa"/>
              <w:bottom w:w="0" w:type="dxa"/>
              <w:right w:w="108" w:type="dxa"/>
            </w:tcMar>
            <w:vAlign w:val="center"/>
          </w:tcPr>
          <w:p w14:paraId="4633C998" w14:textId="77777777" w:rsidR="00A76ADB" w:rsidRDefault="00A76ADB" w:rsidP="007E3239">
            <w:pPr>
              <w:pStyle w:val="TableText"/>
              <w:spacing w:before="40" w:after="40"/>
            </w:pPr>
            <w:r>
              <w:rPr>
                <w:rFonts w:eastAsia="Calibri"/>
              </w:rPr>
              <w:t>1967</w:t>
            </w:r>
          </w:p>
        </w:tc>
        <w:tc>
          <w:tcPr>
            <w:tcW w:w="1093" w:type="dxa"/>
            <w:shd w:val="clear" w:color="auto" w:fill="FFFFFF"/>
            <w:tcMar>
              <w:top w:w="0" w:type="dxa"/>
              <w:left w:w="108" w:type="dxa"/>
              <w:bottom w:w="0" w:type="dxa"/>
              <w:right w:w="108" w:type="dxa"/>
            </w:tcMar>
            <w:vAlign w:val="bottom"/>
          </w:tcPr>
          <w:p w14:paraId="4BC9B5A4" w14:textId="77777777" w:rsidR="00A76ADB" w:rsidRDefault="00A76ADB" w:rsidP="007E3239">
            <w:pPr>
              <w:pStyle w:val="TableText"/>
              <w:spacing w:before="40" w:after="40"/>
              <w:jc w:val="center"/>
            </w:pPr>
            <w:r w:rsidRPr="002C290C">
              <w:t>654.1</w:t>
            </w:r>
          </w:p>
        </w:tc>
        <w:tc>
          <w:tcPr>
            <w:tcW w:w="2021" w:type="dxa"/>
            <w:shd w:val="clear" w:color="auto" w:fill="FFFFFF"/>
            <w:tcMar>
              <w:top w:w="0" w:type="dxa"/>
              <w:left w:w="108" w:type="dxa"/>
              <w:bottom w:w="0" w:type="dxa"/>
              <w:right w:w="108" w:type="dxa"/>
            </w:tcMar>
            <w:vAlign w:val="bottom"/>
          </w:tcPr>
          <w:p w14:paraId="144A4439" w14:textId="77777777" w:rsidR="00A76ADB" w:rsidRDefault="00A76ADB" w:rsidP="007E3239">
            <w:pPr>
              <w:pStyle w:val="TableText"/>
              <w:spacing w:before="40" w:after="40"/>
              <w:jc w:val="center"/>
            </w:pPr>
            <w:r w:rsidRPr="002C290C">
              <w:t>1,406.1</w:t>
            </w:r>
          </w:p>
        </w:tc>
        <w:tc>
          <w:tcPr>
            <w:tcW w:w="1885" w:type="dxa"/>
            <w:shd w:val="clear" w:color="auto" w:fill="FFFFFF"/>
            <w:tcMar>
              <w:top w:w="0" w:type="dxa"/>
              <w:left w:w="108" w:type="dxa"/>
              <w:bottom w:w="0" w:type="dxa"/>
              <w:right w:w="108" w:type="dxa"/>
            </w:tcMar>
            <w:vAlign w:val="bottom"/>
          </w:tcPr>
          <w:p w14:paraId="00280AEA" w14:textId="77777777" w:rsidR="00A76ADB" w:rsidRDefault="00A76ADB" w:rsidP="007E3239">
            <w:pPr>
              <w:pStyle w:val="TableText"/>
              <w:spacing w:before="40" w:after="40"/>
              <w:jc w:val="center"/>
            </w:pPr>
            <w:r w:rsidRPr="002C290C">
              <w:t>2,060.2</w:t>
            </w:r>
          </w:p>
        </w:tc>
      </w:tr>
      <w:tr w:rsidR="00A76ADB" w14:paraId="0CE6B8BE" w14:textId="77777777" w:rsidTr="00F16598">
        <w:trPr>
          <w:cantSplit/>
        </w:trPr>
        <w:tc>
          <w:tcPr>
            <w:tcW w:w="741" w:type="dxa"/>
            <w:shd w:val="clear" w:color="auto" w:fill="FFFFFF"/>
            <w:tcMar>
              <w:top w:w="0" w:type="dxa"/>
              <w:left w:w="108" w:type="dxa"/>
              <w:bottom w:w="0" w:type="dxa"/>
              <w:right w:w="108" w:type="dxa"/>
            </w:tcMar>
            <w:vAlign w:val="center"/>
          </w:tcPr>
          <w:p w14:paraId="35D3E6B3" w14:textId="77777777" w:rsidR="00A76ADB" w:rsidRDefault="00A76ADB" w:rsidP="007E3239">
            <w:pPr>
              <w:pStyle w:val="TableText"/>
              <w:spacing w:before="40" w:after="40"/>
            </w:pPr>
            <w:r>
              <w:rPr>
                <w:rFonts w:eastAsia="Calibri"/>
              </w:rPr>
              <w:t>1968</w:t>
            </w:r>
          </w:p>
        </w:tc>
        <w:tc>
          <w:tcPr>
            <w:tcW w:w="1093" w:type="dxa"/>
            <w:shd w:val="clear" w:color="auto" w:fill="FFFFFF"/>
            <w:tcMar>
              <w:top w:w="0" w:type="dxa"/>
              <w:left w:w="108" w:type="dxa"/>
              <w:bottom w:w="0" w:type="dxa"/>
              <w:right w:w="108" w:type="dxa"/>
            </w:tcMar>
            <w:vAlign w:val="bottom"/>
          </w:tcPr>
          <w:p w14:paraId="1D461FD2" w14:textId="77777777" w:rsidR="00A76ADB" w:rsidRDefault="00A76ADB" w:rsidP="007E3239">
            <w:pPr>
              <w:pStyle w:val="TableText"/>
              <w:spacing w:before="40" w:after="40"/>
              <w:jc w:val="center"/>
            </w:pPr>
            <w:r w:rsidRPr="002C290C">
              <w:t>641.5</w:t>
            </w:r>
          </w:p>
        </w:tc>
        <w:tc>
          <w:tcPr>
            <w:tcW w:w="2021" w:type="dxa"/>
            <w:shd w:val="clear" w:color="auto" w:fill="FFFFFF"/>
            <w:tcMar>
              <w:top w:w="0" w:type="dxa"/>
              <w:left w:w="108" w:type="dxa"/>
              <w:bottom w:w="0" w:type="dxa"/>
              <w:right w:w="108" w:type="dxa"/>
            </w:tcMar>
            <w:vAlign w:val="bottom"/>
          </w:tcPr>
          <w:p w14:paraId="263F7702" w14:textId="77777777" w:rsidR="00A76ADB" w:rsidRDefault="00A76ADB" w:rsidP="007E3239">
            <w:pPr>
              <w:pStyle w:val="TableText"/>
              <w:spacing w:before="40" w:after="40"/>
              <w:jc w:val="center"/>
            </w:pPr>
            <w:r w:rsidRPr="002C290C">
              <w:t>1,457.3</w:t>
            </w:r>
          </w:p>
        </w:tc>
        <w:tc>
          <w:tcPr>
            <w:tcW w:w="1885" w:type="dxa"/>
            <w:shd w:val="clear" w:color="auto" w:fill="FFFFFF"/>
            <w:tcMar>
              <w:top w:w="0" w:type="dxa"/>
              <w:left w:w="108" w:type="dxa"/>
              <w:bottom w:w="0" w:type="dxa"/>
              <w:right w:w="108" w:type="dxa"/>
            </w:tcMar>
            <w:vAlign w:val="bottom"/>
          </w:tcPr>
          <w:p w14:paraId="6BC558A6" w14:textId="77777777" w:rsidR="00A76ADB" w:rsidRDefault="00A76ADB" w:rsidP="007E3239">
            <w:pPr>
              <w:pStyle w:val="TableText"/>
              <w:spacing w:before="40" w:after="40"/>
              <w:jc w:val="center"/>
            </w:pPr>
            <w:r w:rsidRPr="002C290C">
              <w:t>2,098.8</w:t>
            </w:r>
          </w:p>
        </w:tc>
      </w:tr>
      <w:tr w:rsidR="00A76ADB" w14:paraId="1DAFE466" w14:textId="77777777" w:rsidTr="00F16598">
        <w:trPr>
          <w:cantSplit/>
        </w:trPr>
        <w:tc>
          <w:tcPr>
            <w:tcW w:w="741" w:type="dxa"/>
            <w:shd w:val="clear" w:color="auto" w:fill="FFFFFF"/>
            <w:tcMar>
              <w:top w:w="0" w:type="dxa"/>
              <w:left w:w="108" w:type="dxa"/>
              <w:bottom w:w="0" w:type="dxa"/>
              <w:right w:w="108" w:type="dxa"/>
            </w:tcMar>
            <w:vAlign w:val="center"/>
          </w:tcPr>
          <w:p w14:paraId="0A49FBD0" w14:textId="77777777" w:rsidR="00A76ADB" w:rsidRDefault="00A76ADB" w:rsidP="007E3239">
            <w:pPr>
              <w:pStyle w:val="TableText"/>
              <w:spacing w:before="40" w:after="40"/>
            </w:pPr>
            <w:r>
              <w:rPr>
                <w:rFonts w:eastAsia="Calibri"/>
              </w:rPr>
              <w:t>1969</w:t>
            </w:r>
          </w:p>
        </w:tc>
        <w:tc>
          <w:tcPr>
            <w:tcW w:w="1093" w:type="dxa"/>
            <w:shd w:val="clear" w:color="auto" w:fill="FFFFFF"/>
            <w:tcMar>
              <w:top w:w="0" w:type="dxa"/>
              <w:left w:w="108" w:type="dxa"/>
              <w:bottom w:w="0" w:type="dxa"/>
              <w:right w:w="108" w:type="dxa"/>
            </w:tcMar>
            <w:vAlign w:val="bottom"/>
          </w:tcPr>
          <w:p w14:paraId="534E032C" w14:textId="77777777" w:rsidR="00A76ADB" w:rsidRDefault="00A76ADB" w:rsidP="007E3239">
            <w:pPr>
              <w:pStyle w:val="TableText"/>
              <w:spacing w:before="40" w:after="40"/>
              <w:jc w:val="center"/>
            </w:pPr>
            <w:r w:rsidRPr="002C290C">
              <w:t>636.9</w:t>
            </w:r>
          </w:p>
        </w:tc>
        <w:tc>
          <w:tcPr>
            <w:tcW w:w="2021" w:type="dxa"/>
            <w:shd w:val="clear" w:color="auto" w:fill="FFFFFF"/>
            <w:tcMar>
              <w:top w:w="0" w:type="dxa"/>
              <w:left w:w="108" w:type="dxa"/>
              <w:bottom w:w="0" w:type="dxa"/>
              <w:right w:w="108" w:type="dxa"/>
            </w:tcMar>
            <w:vAlign w:val="bottom"/>
          </w:tcPr>
          <w:p w14:paraId="72DC9A0E" w14:textId="77777777" w:rsidR="00A76ADB" w:rsidRDefault="00A76ADB" w:rsidP="007E3239">
            <w:pPr>
              <w:pStyle w:val="TableText"/>
              <w:spacing w:before="40" w:after="40"/>
              <w:jc w:val="center"/>
            </w:pPr>
            <w:r w:rsidRPr="002C290C">
              <w:t>1,510.2</w:t>
            </w:r>
          </w:p>
        </w:tc>
        <w:tc>
          <w:tcPr>
            <w:tcW w:w="1885" w:type="dxa"/>
            <w:shd w:val="clear" w:color="auto" w:fill="FFFFFF"/>
            <w:tcMar>
              <w:top w:w="0" w:type="dxa"/>
              <w:left w:w="108" w:type="dxa"/>
              <w:bottom w:w="0" w:type="dxa"/>
              <w:right w:w="108" w:type="dxa"/>
            </w:tcMar>
            <w:vAlign w:val="bottom"/>
          </w:tcPr>
          <w:p w14:paraId="140EFA95" w14:textId="77777777" w:rsidR="00A76ADB" w:rsidRDefault="00A76ADB" w:rsidP="007E3239">
            <w:pPr>
              <w:pStyle w:val="TableText"/>
              <w:spacing w:before="40" w:after="40"/>
              <w:jc w:val="center"/>
            </w:pPr>
            <w:r w:rsidRPr="002C290C">
              <w:t>2,147.1</w:t>
            </w:r>
          </w:p>
        </w:tc>
      </w:tr>
      <w:tr w:rsidR="00A76ADB" w14:paraId="671C49EB" w14:textId="77777777" w:rsidTr="00F16598">
        <w:trPr>
          <w:cantSplit/>
        </w:trPr>
        <w:tc>
          <w:tcPr>
            <w:tcW w:w="741" w:type="dxa"/>
            <w:shd w:val="clear" w:color="auto" w:fill="FFFFFF"/>
            <w:tcMar>
              <w:top w:w="0" w:type="dxa"/>
              <w:left w:w="108" w:type="dxa"/>
              <w:bottom w:w="0" w:type="dxa"/>
              <w:right w:w="108" w:type="dxa"/>
            </w:tcMar>
            <w:vAlign w:val="center"/>
          </w:tcPr>
          <w:p w14:paraId="7FD9CE5B" w14:textId="77777777" w:rsidR="00A76ADB" w:rsidRDefault="00A76ADB" w:rsidP="007E3239">
            <w:pPr>
              <w:pStyle w:val="TableText"/>
              <w:spacing w:before="40" w:after="40"/>
            </w:pPr>
            <w:r>
              <w:rPr>
                <w:rFonts w:eastAsia="Calibri"/>
              </w:rPr>
              <w:t>1970</w:t>
            </w:r>
          </w:p>
        </w:tc>
        <w:tc>
          <w:tcPr>
            <w:tcW w:w="1093" w:type="dxa"/>
            <w:shd w:val="clear" w:color="auto" w:fill="FFFFFF"/>
            <w:tcMar>
              <w:top w:w="0" w:type="dxa"/>
              <w:left w:w="108" w:type="dxa"/>
              <w:bottom w:w="0" w:type="dxa"/>
              <w:right w:w="108" w:type="dxa"/>
            </w:tcMar>
            <w:vAlign w:val="bottom"/>
          </w:tcPr>
          <w:p w14:paraId="61CE66D4" w14:textId="77777777" w:rsidR="00A76ADB" w:rsidRDefault="00A76ADB" w:rsidP="007E3239">
            <w:pPr>
              <w:pStyle w:val="TableText"/>
              <w:spacing w:before="40" w:after="40"/>
              <w:jc w:val="center"/>
            </w:pPr>
            <w:r w:rsidRPr="002C290C">
              <w:t>626.8</w:t>
            </w:r>
          </w:p>
        </w:tc>
        <w:tc>
          <w:tcPr>
            <w:tcW w:w="2021" w:type="dxa"/>
            <w:shd w:val="clear" w:color="auto" w:fill="FFFFFF"/>
            <w:tcMar>
              <w:top w:w="0" w:type="dxa"/>
              <w:left w:w="108" w:type="dxa"/>
              <w:bottom w:w="0" w:type="dxa"/>
              <w:right w:w="108" w:type="dxa"/>
            </w:tcMar>
            <w:vAlign w:val="bottom"/>
          </w:tcPr>
          <w:p w14:paraId="464BB0E7" w14:textId="77777777" w:rsidR="00A76ADB" w:rsidRDefault="00A76ADB" w:rsidP="007E3239">
            <w:pPr>
              <w:pStyle w:val="TableText"/>
              <w:spacing w:before="40" w:after="40"/>
              <w:jc w:val="center"/>
            </w:pPr>
            <w:r w:rsidRPr="002C290C">
              <w:t>1,565.1</w:t>
            </w:r>
          </w:p>
        </w:tc>
        <w:tc>
          <w:tcPr>
            <w:tcW w:w="1885" w:type="dxa"/>
            <w:shd w:val="clear" w:color="auto" w:fill="FFFFFF"/>
            <w:tcMar>
              <w:top w:w="0" w:type="dxa"/>
              <w:left w:w="108" w:type="dxa"/>
              <w:bottom w:w="0" w:type="dxa"/>
              <w:right w:w="108" w:type="dxa"/>
            </w:tcMar>
            <w:vAlign w:val="bottom"/>
          </w:tcPr>
          <w:p w14:paraId="60CE583F" w14:textId="77777777" w:rsidR="00A76ADB" w:rsidRDefault="00A76ADB" w:rsidP="007E3239">
            <w:pPr>
              <w:pStyle w:val="TableText"/>
              <w:spacing w:before="40" w:after="40"/>
              <w:jc w:val="center"/>
            </w:pPr>
            <w:r w:rsidRPr="002C290C">
              <w:t>2,191.9</w:t>
            </w:r>
          </w:p>
        </w:tc>
      </w:tr>
      <w:tr w:rsidR="00A76ADB" w14:paraId="4E4B6A38" w14:textId="77777777" w:rsidTr="00F16598">
        <w:trPr>
          <w:cantSplit/>
        </w:trPr>
        <w:tc>
          <w:tcPr>
            <w:tcW w:w="741" w:type="dxa"/>
            <w:shd w:val="clear" w:color="auto" w:fill="FFFFFF"/>
            <w:tcMar>
              <w:top w:w="0" w:type="dxa"/>
              <w:left w:w="108" w:type="dxa"/>
              <w:bottom w:w="0" w:type="dxa"/>
              <w:right w:w="108" w:type="dxa"/>
            </w:tcMar>
            <w:vAlign w:val="center"/>
          </w:tcPr>
          <w:p w14:paraId="434C9ED4" w14:textId="77777777" w:rsidR="00A76ADB" w:rsidRDefault="00A76ADB" w:rsidP="007E3239">
            <w:pPr>
              <w:pStyle w:val="TableText"/>
              <w:spacing w:before="40" w:after="40"/>
            </w:pPr>
            <w:r>
              <w:rPr>
                <w:rFonts w:eastAsia="Calibri"/>
              </w:rPr>
              <w:t>1971</w:t>
            </w:r>
          </w:p>
        </w:tc>
        <w:tc>
          <w:tcPr>
            <w:tcW w:w="1093" w:type="dxa"/>
            <w:shd w:val="clear" w:color="auto" w:fill="FFFFFF"/>
            <w:tcMar>
              <w:top w:w="0" w:type="dxa"/>
              <w:left w:w="108" w:type="dxa"/>
              <w:bottom w:w="0" w:type="dxa"/>
              <w:right w:w="108" w:type="dxa"/>
            </w:tcMar>
            <w:vAlign w:val="bottom"/>
          </w:tcPr>
          <w:p w14:paraId="6D75F86A" w14:textId="77777777" w:rsidR="00A76ADB" w:rsidRDefault="00A76ADB" w:rsidP="007E3239">
            <w:pPr>
              <w:pStyle w:val="TableText"/>
              <w:spacing w:before="40" w:after="40"/>
              <w:jc w:val="center"/>
            </w:pPr>
            <w:r w:rsidRPr="002C290C">
              <w:t>622.5</w:t>
            </w:r>
          </w:p>
        </w:tc>
        <w:tc>
          <w:tcPr>
            <w:tcW w:w="2021" w:type="dxa"/>
            <w:shd w:val="clear" w:color="auto" w:fill="FFFFFF"/>
            <w:tcMar>
              <w:top w:w="0" w:type="dxa"/>
              <w:left w:w="108" w:type="dxa"/>
              <w:bottom w:w="0" w:type="dxa"/>
              <w:right w:w="108" w:type="dxa"/>
            </w:tcMar>
            <w:vAlign w:val="bottom"/>
          </w:tcPr>
          <w:p w14:paraId="61C7ECB2" w14:textId="77777777" w:rsidR="00A76ADB" w:rsidRDefault="00A76ADB" w:rsidP="007E3239">
            <w:pPr>
              <w:pStyle w:val="TableText"/>
              <w:spacing w:before="40" w:after="40"/>
              <w:jc w:val="center"/>
            </w:pPr>
            <w:r w:rsidRPr="002C290C">
              <w:t>1,622.0</w:t>
            </w:r>
          </w:p>
        </w:tc>
        <w:tc>
          <w:tcPr>
            <w:tcW w:w="1885" w:type="dxa"/>
            <w:shd w:val="clear" w:color="auto" w:fill="FFFFFF"/>
            <w:tcMar>
              <w:top w:w="0" w:type="dxa"/>
              <w:left w:w="108" w:type="dxa"/>
              <w:bottom w:w="0" w:type="dxa"/>
              <w:right w:w="108" w:type="dxa"/>
            </w:tcMar>
            <w:vAlign w:val="bottom"/>
          </w:tcPr>
          <w:p w14:paraId="4DD061F9" w14:textId="77777777" w:rsidR="00A76ADB" w:rsidRDefault="00A76ADB" w:rsidP="007E3239">
            <w:pPr>
              <w:pStyle w:val="TableText"/>
              <w:spacing w:before="40" w:after="40"/>
              <w:jc w:val="center"/>
            </w:pPr>
            <w:r w:rsidRPr="002C290C">
              <w:t>2,244.5</w:t>
            </w:r>
          </w:p>
        </w:tc>
      </w:tr>
      <w:tr w:rsidR="00A76ADB" w14:paraId="424297DE" w14:textId="77777777" w:rsidTr="00F16598">
        <w:trPr>
          <w:cantSplit/>
        </w:trPr>
        <w:tc>
          <w:tcPr>
            <w:tcW w:w="741" w:type="dxa"/>
            <w:shd w:val="clear" w:color="auto" w:fill="FFFFFF"/>
            <w:tcMar>
              <w:top w:w="0" w:type="dxa"/>
              <w:left w:w="108" w:type="dxa"/>
              <w:bottom w:w="0" w:type="dxa"/>
              <w:right w:w="108" w:type="dxa"/>
            </w:tcMar>
            <w:vAlign w:val="center"/>
          </w:tcPr>
          <w:p w14:paraId="3E36BB3D" w14:textId="77777777" w:rsidR="00A76ADB" w:rsidRDefault="00A76ADB" w:rsidP="007E3239">
            <w:pPr>
              <w:pStyle w:val="TableText"/>
              <w:spacing w:before="40" w:after="40"/>
            </w:pPr>
            <w:r>
              <w:rPr>
                <w:rFonts w:eastAsia="Calibri"/>
              </w:rPr>
              <w:t>1972</w:t>
            </w:r>
          </w:p>
        </w:tc>
        <w:tc>
          <w:tcPr>
            <w:tcW w:w="1093" w:type="dxa"/>
            <w:shd w:val="clear" w:color="auto" w:fill="FFFFFF"/>
            <w:tcMar>
              <w:top w:w="0" w:type="dxa"/>
              <w:left w:w="108" w:type="dxa"/>
              <w:bottom w:w="0" w:type="dxa"/>
              <w:right w:w="108" w:type="dxa"/>
            </w:tcMar>
            <w:vAlign w:val="bottom"/>
          </w:tcPr>
          <w:p w14:paraId="54B9E548" w14:textId="77777777" w:rsidR="00A76ADB" w:rsidRDefault="00A76ADB" w:rsidP="007E3239">
            <w:pPr>
              <w:pStyle w:val="TableText"/>
              <w:spacing w:before="40" w:after="40"/>
              <w:jc w:val="center"/>
            </w:pPr>
            <w:r w:rsidRPr="002C290C">
              <w:t>602.4</w:t>
            </w:r>
          </w:p>
        </w:tc>
        <w:tc>
          <w:tcPr>
            <w:tcW w:w="2021" w:type="dxa"/>
            <w:shd w:val="clear" w:color="auto" w:fill="FFFFFF"/>
            <w:tcMar>
              <w:top w:w="0" w:type="dxa"/>
              <w:left w:w="108" w:type="dxa"/>
              <w:bottom w:w="0" w:type="dxa"/>
              <w:right w:w="108" w:type="dxa"/>
            </w:tcMar>
            <w:vAlign w:val="bottom"/>
          </w:tcPr>
          <w:p w14:paraId="7A9DD7FD" w14:textId="77777777" w:rsidR="00A76ADB" w:rsidRDefault="00A76ADB" w:rsidP="007E3239">
            <w:pPr>
              <w:pStyle w:val="TableText"/>
              <w:spacing w:before="40" w:after="40"/>
              <w:jc w:val="center"/>
            </w:pPr>
            <w:r w:rsidRPr="002C290C">
              <w:t>1,680.9</w:t>
            </w:r>
          </w:p>
        </w:tc>
        <w:tc>
          <w:tcPr>
            <w:tcW w:w="1885" w:type="dxa"/>
            <w:shd w:val="clear" w:color="auto" w:fill="FFFFFF"/>
            <w:tcMar>
              <w:top w:w="0" w:type="dxa"/>
              <w:left w:w="108" w:type="dxa"/>
              <w:bottom w:w="0" w:type="dxa"/>
              <w:right w:w="108" w:type="dxa"/>
            </w:tcMar>
            <w:vAlign w:val="bottom"/>
          </w:tcPr>
          <w:p w14:paraId="14740723" w14:textId="77777777" w:rsidR="00A76ADB" w:rsidRDefault="00A76ADB" w:rsidP="007E3239">
            <w:pPr>
              <w:pStyle w:val="TableText"/>
              <w:spacing w:before="40" w:after="40"/>
              <w:jc w:val="center"/>
            </w:pPr>
            <w:r w:rsidRPr="002C290C">
              <w:t>2,283.3</w:t>
            </w:r>
          </w:p>
        </w:tc>
      </w:tr>
      <w:tr w:rsidR="00A76ADB" w14:paraId="3F5CE210" w14:textId="77777777" w:rsidTr="00F16598">
        <w:trPr>
          <w:cantSplit/>
        </w:trPr>
        <w:tc>
          <w:tcPr>
            <w:tcW w:w="741" w:type="dxa"/>
            <w:shd w:val="clear" w:color="auto" w:fill="FFFFFF"/>
            <w:tcMar>
              <w:top w:w="0" w:type="dxa"/>
              <w:left w:w="108" w:type="dxa"/>
              <w:bottom w:w="0" w:type="dxa"/>
              <w:right w:w="108" w:type="dxa"/>
            </w:tcMar>
            <w:vAlign w:val="center"/>
          </w:tcPr>
          <w:p w14:paraId="0FC8E470" w14:textId="77777777" w:rsidR="00A76ADB" w:rsidRDefault="00A76ADB" w:rsidP="007E3239">
            <w:pPr>
              <w:pStyle w:val="TableText"/>
              <w:spacing w:before="40" w:after="40"/>
            </w:pPr>
            <w:r>
              <w:rPr>
                <w:rFonts w:eastAsia="Calibri"/>
              </w:rPr>
              <w:t>1973</w:t>
            </w:r>
          </w:p>
        </w:tc>
        <w:tc>
          <w:tcPr>
            <w:tcW w:w="1093" w:type="dxa"/>
            <w:shd w:val="clear" w:color="auto" w:fill="FFFFFF"/>
            <w:tcMar>
              <w:top w:w="0" w:type="dxa"/>
              <w:left w:w="108" w:type="dxa"/>
              <w:bottom w:w="0" w:type="dxa"/>
              <w:right w:w="108" w:type="dxa"/>
            </w:tcMar>
            <w:vAlign w:val="bottom"/>
          </w:tcPr>
          <w:p w14:paraId="28F0466D" w14:textId="77777777" w:rsidR="00A76ADB" w:rsidRDefault="00A76ADB" w:rsidP="007E3239">
            <w:pPr>
              <w:pStyle w:val="TableText"/>
              <w:spacing w:before="40" w:after="40"/>
              <w:jc w:val="center"/>
            </w:pPr>
            <w:r w:rsidRPr="002C290C">
              <w:t>606.3</w:t>
            </w:r>
          </w:p>
        </w:tc>
        <w:tc>
          <w:tcPr>
            <w:tcW w:w="2021" w:type="dxa"/>
            <w:shd w:val="clear" w:color="auto" w:fill="FFFFFF"/>
            <w:tcMar>
              <w:top w:w="0" w:type="dxa"/>
              <w:left w:w="108" w:type="dxa"/>
              <w:bottom w:w="0" w:type="dxa"/>
              <w:right w:w="108" w:type="dxa"/>
            </w:tcMar>
            <w:vAlign w:val="bottom"/>
          </w:tcPr>
          <w:p w14:paraId="24CA7DBE" w14:textId="77777777" w:rsidR="00A76ADB" w:rsidRDefault="00A76ADB" w:rsidP="007E3239">
            <w:pPr>
              <w:pStyle w:val="TableText"/>
              <w:spacing w:before="40" w:after="40"/>
              <w:jc w:val="center"/>
            </w:pPr>
            <w:r w:rsidRPr="002C290C">
              <w:t>1,741.8</w:t>
            </w:r>
          </w:p>
        </w:tc>
        <w:tc>
          <w:tcPr>
            <w:tcW w:w="1885" w:type="dxa"/>
            <w:shd w:val="clear" w:color="auto" w:fill="FFFFFF"/>
            <w:tcMar>
              <w:top w:w="0" w:type="dxa"/>
              <w:left w:w="108" w:type="dxa"/>
              <w:bottom w:w="0" w:type="dxa"/>
              <w:right w:w="108" w:type="dxa"/>
            </w:tcMar>
            <w:vAlign w:val="bottom"/>
          </w:tcPr>
          <w:p w14:paraId="0746BA11" w14:textId="77777777" w:rsidR="00A76ADB" w:rsidRDefault="00A76ADB" w:rsidP="007E3239">
            <w:pPr>
              <w:pStyle w:val="TableText"/>
              <w:spacing w:before="40" w:after="40"/>
              <w:jc w:val="center"/>
            </w:pPr>
            <w:r w:rsidRPr="002C290C">
              <w:t>2,348.2</w:t>
            </w:r>
          </w:p>
        </w:tc>
      </w:tr>
      <w:tr w:rsidR="00A76ADB" w14:paraId="063DED20" w14:textId="77777777" w:rsidTr="00F16598">
        <w:trPr>
          <w:cantSplit/>
        </w:trPr>
        <w:tc>
          <w:tcPr>
            <w:tcW w:w="741" w:type="dxa"/>
            <w:shd w:val="clear" w:color="auto" w:fill="FFFFFF"/>
            <w:tcMar>
              <w:top w:w="0" w:type="dxa"/>
              <w:left w:w="108" w:type="dxa"/>
              <w:bottom w:w="0" w:type="dxa"/>
              <w:right w:w="108" w:type="dxa"/>
            </w:tcMar>
            <w:vAlign w:val="center"/>
          </w:tcPr>
          <w:p w14:paraId="69594904" w14:textId="77777777" w:rsidR="00A76ADB" w:rsidRDefault="00A76ADB" w:rsidP="007E3239">
            <w:pPr>
              <w:pStyle w:val="TableText"/>
              <w:spacing w:before="40" w:after="40"/>
            </w:pPr>
            <w:r>
              <w:rPr>
                <w:rFonts w:eastAsia="Calibri"/>
              </w:rPr>
              <w:t>1974</w:t>
            </w:r>
          </w:p>
        </w:tc>
        <w:tc>
          <w:tcPr>
            <w:tcW w:w="1093" w:type="dxa"/>
            <w:shd w:val="clear" w:color="auto" w:fill="FFFFFF"/>
            <w:tcMar>
              <w:top w:w="0" w:type="dxa"/>
              <w:left w:w="108" w:type="dxa"/>
              <w:bottom w:w="0" w:type="dxa"/>
              <w:right w:w="108" w:type="dxa"/>
            </w:tcMar>
            <w:vAlign w:val="bottom"/>
          </w:tcPr>
          <w:p w14:paraId="21530A0D" w14:textId="77777777" w:rsidR="00A76ADB" w:rsidRDefault="00A76ADB" w:rsidP="007E3239">
            <w:pPr>
              <w:pStyle w:val="TableText"/>
              <w:spacing w:before="40" w:after="40"/>
              <w:jc w:val="center"/>
            </w:pPr>
            <w:r w:rsidRPr="002C290C">
              <w:t>608.8</w:t>
            </w:r>
          </w:p>
        </w:tc>
        <w:tc>
          <w:tcPr>
            <w:tcW w:w="2021" w:type="dxa"/>
            <w:shd w:val="clear" w:color="auto" w:fill="FFFFFF"/>
            <w:tcMar>
              <w:top w:w="0" w:type="dxa"/>
              <w:left w:w="108" w:type="dxa"/>
              <w:bottom w:w="0" w:type="dxa"/>
              <w:right w:w="108" w:type="dxa"/>
            </w:tcMar>
            <w:vAlign w:val="bottom"/>
          </w:tcPr>
          <w:p w14:paraId="09B56845" w14:textId="77777777" w:rsidR="00A76ADB" w:rsidRDefault="00A76ADB" w:rsidP="007E3239">
            <w:pPr>
              <w:pStyle w:val="TableText"/>
              <w:spacing w:before="40" w:after="40"/>
              <w:jc w:val="center"/>
            </w:pPr>
            <w:r w:rsidRPr="002C290C">
              <w:t>1,805.0</w:t>
            </w:r>
          </w:p>
        </w:tc>
        <w:tc>
          <w:tcPr>
            <w:tcW w:w="1885" w:type="dxa"/>
            <w:shd w:val="clear" w:color="auto" w:fill="FFFFFF"/>
            <w:tcMar>
              <w:top w:w="0" w:type="dxa"/>
              <w:left w:w="108" w:type="dxa"/>
              <w:bottom w:w="0" w:type="dxa"/>
              <w:right w:w="108" w:type="dxa"/>
            </w:tcMar>
            <w:vAlign w:val="bottom"/>
          </w:tcPr>
          <w:p w14:paraId="0F6DE6DA" w14:textId="77777777" w:rsidR="00A76ADB" w:rsidRDefault="00A76ADB" w:rsidP="007E3239">
            <w:pPr>
              <w:pStyle w:val="TableText"/>
              <w:spacing w:before="40" w:after="40"/>
              <w:jc w:val="center"/>
            </w:pPr>
            <w:r w:rsidRPr="002C290C">
              <w:t>2,413.8</w:t>
            </w:r>
          </w:p>
        </w:tc>
      </w:tr>
      <w:tr w:rsidR="00A76ADB" w14:paraId="59D1B16B" w14:textId="77777777" w:rsidTr="00F16598">
        <w:trPr>
          <w:cantSplit/>
        </w:trPr>
        <w:tc>
          <w:tcPr>
            <w:tcW w:w="741" w:type="dxa"/>
            <w:shd w:val="clear" w:color="auto" w:fill="FFFFFF"/>
            <w:tcMar>
              <w:top w:w="0" w:type="dxa"/>
              <w:left w:w="108" w:type="dxa"/>
              <w:bottom w:w="0" w:type="dxa"/>
              <w:right w:w="108" w:type="dxa"/>
            </w:tcMar>
            <w:vAlign w:val="center"/>
          </w:tcPr>
          <w:p w14:paraId="10BE9362" w14:textId="77777777" w:rsidR="00A76ADB" w:rsidRDefault="00A76ADB" w:rsidP="007E3239">
            <w:pPr>
              <w:pStyle w:val="TableText"/>
              <w:spacing w:before="40" w:after="40"/>
            </w:pPr>
            <w:r>
              <w:rPr>
                <w:rFonts w:eastAsia="Calibri"/>
              </w:rPr>
              <w:t>1975</w:t>
            </w:r>
          </w:p>
        </w:tc>
        <w:tc>
          <w:tcPr>
            <w:tcW w:w="1093" w:type="dxa"/>
            <w:shd w:val="clear" w:color="auto" w:fill="FFFFFF"/>
            <w:tcMar>
              <w:top w:w="0" w:type="dxa"/>
              <w:left w:w="108" w:type="dxa"/>
              <w:bottom w:w="0" w:type="dxa"/>
              <w:right w:w="108" w:type="dxa"/>
            </w:tcMar>
            <w:vAlign w:val="bottom"/>
          </w:tcPr>
          <w:p w14:paraId="7A28D743" w14:textId="77777777" w:rsidR="00A76ADB" w:rsidRDefault="00A76ADB" w:rsidP="007E3239">
            <w:pPr>
              <w:pStyle w:val="TableText"/>
              <w:spacing w:before="40" w:after="40"/>
              <w:jc w:val="center"/>
            </w:pPr>
            <w:r w:rsidRPr="002C290C">
              <w:t>643.4</w:t>
            </w:r>
          </w:p>
        </w:tc>
        <w:tc>
          <w:tcPr>
            <w:tcW w:w="2021" w:type="dxa"/>
            <w:shd w:val="clear" w:color="auto" w:fill="FFFFFF"/>
            <w:tcMar>
              <w:top w:w="0" w:type="dxa"/>
              <w:left w:w="108" w:type="dxa"/>
              <w:bottom w:w="0" w:type="dxa"/>
              <w:right w:w="108" w:type="dxa"/>
            </w:tcMar>
            <w:vAlign w:val="bottom"/>
          </w:tcPr>
          <w:p w14:paraId="0BD71C2E" w14:textId="77777777" w:rsidR="00A76ADB" w:rsidRDefault="00A76ADB" w:rsidP="007E3239">
            <w:pPr>
              <w:pStyle w:val="TableText"/>
              <w:spacing w:before="40" w:after="40"/>
              <w:jc w:val="center"/>
            </w:pPr>
            <w:r w:rsidRPr="002C290C">
              <w:t>1,870.4</w:t>
            </w:r>
          </w:p>
        </w:tc>
        <w:tc>
          <w:tcPr>
            <w:tcW w:w="1885" w:type="dxa"/>
            <w:shd w:val="clear" w:color="auto" w:fill="FFFFFF"/>
            <w:tcMar>
              <w:top w:w="0" w:type="dxa"/>
              <w:left w:w="108" w:type="dxa"/>
              <w:bottom w:w="0" w:type="dxa"/>
              <w:right w:w="108" w:type="dxa"/>
            </w:tcMar>
            <w:vAlign w:val="bottom"/>
          </w:tcPr>
          <w:p w14:paraId="5660C77C" w14:textId="77777777" w:rsidR="00A76ADB" w:rsidRDefault="00A76ADB" w:rsidP="007E3239">
            <w:pPr>
              <w:pStyle w:val="TableText"/>
              <w:spacing w:before="40" w:after="40"/>
              <w:jc w:val="center"/>
            </w:pPr>
            <w:r w:rsidRPr="002C290C">
              <w:t>2,513.9</w:t>
            </w:r>
          </w:p>
        </w:tc>
      </w:tr>
      <w:tr w:rsidR="00A76ADB" w14:paraId="0F2E37BC" w14:textId="77777777" w:rsidTr="00F16598">
        <w:trPr>
          <w:cantSplit/>
        </w:trPr>
        <w:tc>
          <w:tcPr>
            <w:tcW w:w="741" w:type="dxa"/>
            <w:shd w:val="clear" w:color="auto" w:fill="FFFFFF"/>
            <w:tcMar>
              <w:top w:w="0" w:type="dxa"/>
              <w:left w:w="108" w:type="dxa"/>
              <w:bottom w:w="0" w:type="dxa"/>
              <w:right w:w="108" w:type="dxa"/>
            </w:tcMar>
            <w:vAlign w:val="center"/>
          </w:tcPr>
          <w:p w14:paraId="5C9039C0" w14:textId="77777777" w:rsidR="00A76ADB" w:rsidRDefault="00A76ADB" w:rsidP="007E3239">
            <w:pPr>
              <w:pStyle w:val="TableText"/>
              <w:spacing w:before="40" w:after="40"/>
            </w:pPr>
            <w:r>
              <w:rPr>
                <w:rFonts w:eastAsia="Calibri"/>
              </w:rPr>
              <w:t>1976</w:t>
            </w:r>
          </w:p>
        </w:tc>
        <w:tc>
          <w:tcPr>
            <w:tcW w:w="1093" w:type="dxa"/>
            <w:shd w:val="clear" w:color="auto" w:fill="FFFFFF"/>
            <w:tcMar>
              <w:top w:w="0" w:type="dxa"/>
              <w:left w:w="108" w:type="dxa"/>
              <w:bottom w:w="0" w:type="dxa"/>
              <w:right w:w="108" w:type="dxa"/>
            </w:tcMar>
            <w:vAlign w:val="bottom"/>
          </w:tcPr>
          <w:p w14:paraId="24045976" w14:textId="77777777" w:rsidR="00A76ADB" w:rsidRDefault="00A76ADB" w:rsidP="007E3239">
            <w:pPr>
              <w:pStyle w:val="TableText"/>
              <w:spacing w:before="40" w:after="40"/>
              <w:jc w:val="center"/>
            </w:pPr>
            <w:r w:rsidRPr="002C290C">
              <w:t>650.2</w:t>
            </w:r>
          </w:p>
        </w:tc>
        <w:tc>
          <w:tcPr>
            <w:tcW w:w="2021" w:type="dxa"/>
            <w:shd w:val="clear" w:color="auto" w:fill="FFFFFF"/>
            <w:tcMar>
              <w:top w:w="0" w:type="dxa"/>
              <w:left w:w="108" w:type="dxa"/>
              <w:bottom w:w="0" w:type="dxa"/>
              <w:right w:w="108" w:type="dxa"/>
            </w:tcMar>
            <w:vAlign w:val="bottom"/>
          </w:tcPr>
          <w:p w14:paraId="55E8CE1F" w14:textId="77777777" w:rsidR="00A76ADB" w:rsidRDefault="00A76ADB" w:rsidP="007E3239">
            <w:pPr>
              <w:pStyle w:val="TableText"/>
              <w:spacing w:before="40" w:after="40"/>
              <w:jc w:val="center"/>
            </w:pPr>
            <w:r w:rsidRPr="002C290C">
              <w:t>1,938.2</w:t>
            </w:r>
          </w:p>
        </w:tc>
        <w:tc>
          <w:tcPr>
            <w:tcW w:w="1885" w:type="dxa"/>
            <w:shd w:val="clear" w:color="auto" w:fill="FFFFFF"/>
            <w:tcMar>
              <w:top w:w="0" w:type="dxa"/>
              <w:left w:w="108" w:type="dxa"/>
              <w:bottom w:w="0" w:type="dxa"/>
              <w:right w:w="108" w:type="dxa"/>
            </w:tcMar>
            <w:vAlign w:val="bottom"/>
          </w:tcPr>
          <w:p w14:paraId="5F385553" w14:textId="77777777" w:rsidR="00A76ADB" w:rsidRDefault="00A76ADB" w:rsidP="007E3239">
            <w:pPr>
              <w:pStyle w:val="TableText"/>
              <w:spacing w:before="40" w:after="40"/>
              <w:jc w:val="center"/>
            </w:pPr>
            <w:r w:rsidRPr="002C290C">
              <w:t>2,588.4</w:t>
            </w:r>
          </w:p>
        </w:tc>
      </w:tr>
      <w:tr w:rsidR="00A76ADB" w14:paraId="0B7F2224" w14:textId="77777777" w:rsidTr="00F16598">
        <w:trPr>
          <w:cantSplit/>
        </w:trPr>
        <w:tc>
          <w:tcPr>
            <w:tcW w:w="741" w:type="dxa"/>
            <w:shd w:val="clear" w:color="auto" w:fill="FFFFFF"/>
            <w:tcMar>
              <w:top w:w="0" w:type="dxa"/>
              <w:left w:w="108" w:type="dxa"/>
              <w:bottom w:w="0" w:type="dxa"/>
              <w:right w:w="108" w:type="dxa"/>
            </w:tcMar>
            <w:vAlign w:val="center"/>
          </w:tcPr>
          <w:p w14:paraId="7B1CCDF5" w14:textId="77777777" w:rsidR="00A76ADB" w:rsidRDefault="00A76ADB" w:rsidP="007E3239">
            <w:pPr>
              <w:pStyle w:val="TableText"/>
              <w:spacing w:before="40" w:after="40"/>
            </w:pPr>
            <w:r>
              <w:rPr>
                <w:rFonts w:eastAsia="Calibri"/>
              </w:rPr>
              <w:t>1977</w:t>
            </w:r>
          </w:p>
        </w:tc>
        <w:tc>
          <w:tcPr>
            <w:tcW w:w="1093" w:type="dxa"/>
            <w:shd w:val="clear" w:color="auto" w:fill="FFFFFF"/>
            <w:tcMar>
              <w:top w:w="0" w:type="dxa"/>
              <w:left w:w="108" w:type="dxa"/>
              <w:bottom w:w="0" w:type="dxa"/>
              <w:right w:w="108" w:type="dxa"/>
            </w:tcMar>
            <w:vAlign w:val="bottom"/>
          </w:tcPr>
          <w:p w14:paraId="1B1625B8" w14:textId="77777777" w:rsidR="00A76ADB" w:rsidRDefault="00A76ADB" w:rsidP="007E3239">
            <w:pPr>
              <w:pStyle w:val="TableText"/>
              <w:spacing w:before="40" w:after="40"/>
              <w:jc w:val="center"/>
            </w:pPr>
            <w:r w:rsidRPr="002C290C">
              <w:t>657.9</w:t>
            </w:r>
          </w:p>
        </w:tc>
        <w:tc>
          <w:tcPr>
            <w:tcW w:w="2021" w:type="dxa"/>
            <w:shd w:val="clear" w:color="auto" w:fill="FFFFFF"/>
            <w:tcMar>
              <w:top w:w="0" w:type="dxa"/>
              <w:left w:w="108" w:type="dxa"/>
              <w:bottom w:w="0" w:type="dxa"/>
              <w:right w:w="108" w:type="dxa"/>
            </w:tcMar>
            <w:vAlign w:val="bottom"/>
          </w:tcPr>
          <w:p w14:paraId="3BB1C51B" w14:textId="77777777" w:rsidR="00A76ADB" w:rsidRDefault="00A76ADB" w:rsidP="007E3239">
            <w:pPr>
              <w:pStyle w:val="TableText"/>
              <w:spacing w:before="40" w:after="40"/>
              <w:jc w:val="center"/>
            </w:pPr>
            <w:r w:rsidRPr="002C290C">
              <w:t>2,008.4</w:t>
            </w:r>
          </w:p>
        </w:tc>
        <w:tc>
          <w:tcPr>
            <w:tcW w:w="1885" w:type="dxa"/>
            <w:shd w:val="clear" w:color="auto" w:fill="FFFFFF"/>
            <w:tcMar>
              <w:top w:w="0" w:type="dxa"/>
              <w:left w:w="108" w:type="dxa"/>
              <w:bottom w:w="0" w:type="dxa"/>
              <w:right w:w="108" w:type="dxa"/>
            </w:tcMar>
            <w:vAlign w:val="bottom"/>
          </w:tcPr>
          <w:p w14:paraId="2DE37EAB" w14:textId="77777777" w:rsidR="00A76ADB" w:rsidRDefault="00A76ADB" w:rsidP="007E3239">
            <w:pPr>
              <w:pStyle w:val="TableText"/>
              <w:spacing w:before="40" w:after="40"/>
              <w:jc w:val="center"/>
            </w:pPr>
            <w:r w:rsidRPr="002C290C">
              <w:t>2,666.3</w:t>
            </w:r>
          </w:p>
        </w:tc>
      </w:tr>
      <w:tr w:rsidR="00A76ADB" w14:paraId="555ACEFC" w14:textId="77777777" w:rsidTr="00F16598">
        <w:trPr>
          <w:cantSplit/>
        </w:trPr>
        <w:tc>
          <w:tcPr>
            <w:tcW w:w="741" w:type="dxa"/>
            <w:shd w:val="clear" w:color="auto" w:fill="FFFFFF"/>
            <w:tcMar>
              <w:top w:w="0" w:type="dxa"/>
              <w:left w:w="108" w:type="dxa"/>
              <w:bottom w:w="0" w:type="dxa"/>
              <w:right w:w="108" w:type="dxa"/>
            </w:tcMar>
            <w:vAlign w:val="center"/>
          </w:tcPr>
          <w:p w14:paraId="274D8583" w14:textId="77777777" w:rsidR="00A76ADB" w:rsidRDefault="00A76ADB" w:rsidP="007E3239">
            <w:pPr>
              <w:pStyle w:val="TableText"/>
              <w:spacing w:before="40" w:after="40"/>
            </w:pPr>
            <w:r>
              <w:rPr>
                <w:rFonts w:eastAsia="Calibri"/>
              </w:rPr>
              <w:t>1978</w:t>
            </w:r>
          </w:p>
        </w:tc>
        <w:tc>
          <w:tcPr>
            <w:tcW w:w="1093" w:type="dxa"/>
            <w:shd w:val="clear" w:color="auto" w:fill="FFFFFF"/>
            <w:tcMar>
              <w:top w:w="0" w:type="dxa"/>
              <w:left w:w="108" w:type="dxa"/>
              <w:bottom w:w="0" w:type="dxa"/>
              <w:right w:w="108" w:type="dxa"/>
            </w:tcMar>
            <w:vAlign w:val="bottom"/>
          </w:tcPr>
          <w:p w14:paraId="6407C289" w14:textId="77777777" w:rsidR="00A76ADB" w:rsidRDefault="00A76ADB" w:rsidP="007E3239">
            <w:pPr>
              <w:pStyle w:val="TableText"/>
              <w:spacing w:before="40" w:after="40"/>
              <w:jc w:val="center"/>
            </w:pPr>
            <w:r w:rsidRPr="002C290C">
              <w:t>665.8</w:t>
            </w:r>
          </w:p>
        </w:tc>
        <w:tc>
          <w:tcPr>
            <w:tcW w:w="2021" w:type="dxa"/>
            <w:shd w:val="clear" w:color="auto" w:fill="FFFFFF"/>
            <w:tcMar>
              <w:top w:w="0" w:type="dxa"/>
              <w:left w:w="108" w:type="dxa"/>
              <w:bottom w:w="0" w:type="dxa"/>
              <w:right w:w="108" w:type="dxa"/>
            </w:tcMar>
            <w:vAlign w:val="bottom"/>
          </w:tcPr>
          <w:p w14:paraId="18BEFAB5" w14:textId="77777777" w:rsidR="00A76ADB" w:rsidRDefault="00A76ADB" w:rsidP="007E3239">
            <w:pPr>
              <w:pStyle w:val="TableText"/>
              <w:spacing w:before="40" w:after="40"/>
              <w:jc w:val="center"/>
            </w:pPr>
            <w:r w:rsidRPr="002C290C">
              <w:t>2,081.7</w:t>
            </w:r>
          </w:p>
        </w:tc>
        <w:tc>
          <w:tcPr>
            <w:tcW w:w="1885" w:type="dxa"/>
            <w:shd w:val="clear" w:color="auto" w:fill="FFFFFF"/>
            <w:tcMar>
              <w:top w:w="0" w:type="dxa"/>
              <w:left w:w="108" w:type="dxa"/>
              <w:bottom w:w="0" w:type="dxa"/>
              <w:right w:w="108" w:type="dxa"/>
            </w:tcMar>
            <w:vAlign w:val="bottom"/>
          </w:tcPr>
          <w:p w14:paraId="71A4ABAC" w14:textId="77777777" w:rsidR="00A76ADB" w:rsidRDefault="00A76ADB" w:rsidP="007E3239">
            <w:pPr>
              <w:pStyle w:val="TableText"/>
              <w:spacing w:before="40" w:after="40"/>
              <w:jc w:val="center"/>
            </w:pPr>
            <w:r w:rsidRPr="002C290C">
              <w:t>2,747.6</w:t>
            </w:r>
          </w:p>
        </w:tc>
      </w:tr>
      <w:tr w:rsidR="00A76ADB" w14:paraId="3FC6A84A" w14:textId="77777777" w:rsidTr="00F16598">
        <w:trPr>
          <w:cantSplit/>
        </w:trPr>
        <w:tc>
          <w:tcPr>
            <w:tcW w:w="741" w:type="dxa"/>
            <w:shd w:val="clear" w:color="auto" w:fill="FFFFFF"/>
            <w:tcMar>
              <w:top w:w="0" w:type="dxa"/>
              <w:left w:w="108" w:type="dxa"/>
              <w:bottom w:w="0" w:type="dxa"/>
              <w:right w:w="108" w:type="dxa"/>
            </w:tcMar>
            <w:vAlign w:val="center"/>
          </w:tcPr>
          <w:p w14:paraId="17C369CC" w14:textId="77777777" w:rsidR="00A76ADB" w:rsidRDefault="00A76ADB" w:rsidP="007E3239">
            <w:pPr>
              <w:pStyle w:val="TableText"/>
              <w:spacing w:before="40" w:after="40"/>
            </w:pPr>
            <w:r>
              <w:rPr>
                <w:rFonts w:eastAsia="Calibri"/>
              </w:rPr>
              <w:t>1979</w:t>
            </w:r>
          </w:p>
        </w:tc>
        <w:tc>
          <w:tcPr>
            <w:tcW w:w="1093" w:type="dxa"/>
            <w:shd w:val="clear" w:color="auto" w:fill="FFFFFF"/>
            <w:tcMar>
              <w:top w:w="0" w:type="dxa"/>
              <w:left w:w="108" w:type="dxa"/>
              <w:bottom w:w="0" w:type="dxa"/>
              <w:right w:w="108" w:type="dxa"/>
            </w:tcMar>
            <w:vAlign w:val="bottom"/>
          </w:tcPr>
          <w:p w14:paraId="3EBE7F31" w14:textId="77777777" w:rsidR="00A76ADB" w:rsidRDefault="00A76ADB" w:rsidP="007E3239">
            <w:pPr>
              <w:pStyle w:val="TableText"/>
              <w:spacing w:before="40" w:after="40"/>
              <w:jc w:val="center"/>
            </w:pPr>
            <w:r w:rsidRPr="002C290C">
              <w:t>675.9</w:t>
            </w:r>
          </w:p>
        </w:tc>
        <w:tc>
          <w:tcPr>
            <w:tcW w:w="2021" w:type="dxa"/>
            <w:shd w:val="clear" w:color="auto" w:fill="FFFFFF"/>
            <w:tcMar>
              <w:top w:w="0" w:type="dxa"/>
              <w:left w:w="108" w:type="dxa"/>
              <w:bottom w:w="0" w:type="dxa"/>
              <w:right w:w="108" w:type="dxa"/>
            </w:tcMar>
            <w:vAlign w:val="bottom"/>
          </w:tcPr>
          <w:p w14:paraId="2D224A9A" w14:textId="77777777" w:rsidR="00A76ADB" w:rsidRDefault="00A76ADB" w:rsidP="007E3239">
            <w:pPr>
              <w:pStyle w:val="TableText"/>
              <w:spacing w:before="40" w:after="40"/>
              <w:jc w:val="center"/>
            </w:pPr>
            <w:r w:rsidRPr="002C290C">
              <w:t>2,088.3</w:t>
            </w:r>
          </w:p>
        </w:tc>
        <w:tc>
          <w:tcPr>
            <w:tcW w:w="1885" w:type="dxa"/>
            <w:shd w:val="clear" w:color="auto" w:fill="FFFFFF"/>
            <w:tcMar>
              <w:top w:w="0" w:type="dxa"/>
              <w:left w:w="108" w:type="dxa"/>
              <w:bottom w:w="0" w:type="dxa"/>
              <w:right w:w="108" w:type="dxa"/>
            </w:tcMar>
            <w:vAlign w:val="bottom"/>
          </w:tcPr>
          <w:p w14:paraId="1794BA95" w14:textId="77777777" w:rsidR="00A76ADB" w:rsidRDefault="00A76ADB" w:rsidP="007E3239">
            <w:pPr>
              <w:pStyle w:val="TableText"/>
              <w:spacing w:before="40" w:after="40"/>
              <w:jc w:val="center"/>
            </w:pPr>
            <w:r w:rsidRPr="002C290C">
              <w:t>2,764.3</w:t>
            </w:r>
          </w:p>
        </w:tc>
      </w:tr>
      <w:tr w:rsidR="00A76ADB" w14:paraId="71AB3729" w14:textId="77777777" w:rsidTr="00F16598">
        <w:trPr>
          <w:cantSplit/>
        </w:trPr>
        <w:tc>
          <w:tcPr>
            <w:tcW w:w="741" w:type="dxa"/>
            <w:shd w:val="clear" w:color="auto" w:fill="FFFFFF"/>
            <w:tcMar>
              <w:top w:w="0" w:type="dxa"/>
              <w:left w:w="108" w:type="dxa"/>
              <w:bottom w:w="0" w:type="dxa"/>
              <w:right w:w="108" w:type="dxa"/>
            </w:tcMar>
            <w:vAlign w:val="center"/>
          </w:tcPr>
          <w:p w14:paraId="433307A2" w14:textId="77777777" w:rsidR="00A76ADB" w:rsidRDefault="00A76ADB" w:rsidP="007E3239">
            <w:pPr>
              <w:pStyle w:val="TableText"/>
              <w:spacing w:before="40" w:after="40"/>
            </w:pPr>
            <w:r>
              <w:rPr>
                <w:rFonts w:eastAsia="Calibri"/>
              </w:rPr>
              <w:t>1980</w:t>
            </w:r>
          </w:p>
        </w:tc>
        <w:tc>
          <w:tcPr>
            <w:tcW w:w="1093" w:type="dxa"/>
            <w:shd w:val="clear" w:color="auto" w:fill="FFFFFF"/>
            <w:tcMar>
              <w:top w:w="0" w:type="dxa"/>
              <w:left w:w="108" w:type="dxa"/>
              <w:bottom w:w="0" w:type="dxa"/>
              <w:right w:w="108" w:type="dxa"/>
            </w:tcMar>
            <w:vAlign w:val="bottom"/>
          </w:tcPr>
          <w:p w14:paraId="17B8A925" w14:textId="77777777" w:rsidR="00A76ADB" w:rsidRDefault="00A76ADB" w:rsidP="007E3239">
            <w:pPr>
              <w:pStyle w:val="TableText"/>
              <w:spacing w:before="40" w:after="40"/>
              <w:jc w:val="center"/>
            </w:pPr>
            <w:r w:rsidRPr="002C290C">
              <w:t>686.0</w:t>
            </w:r>
          </w:p>
        </w:tc>
        <w:tc>
          <w:tcPr>
            <w:tcW w:w="2021" w:type="dxa"/>
            <w:shd w:val="clear" w:color="auto" w:fill="FFFFFF"/>
            <w:tcMar>
              <w:top w:w="0" w:type="dxa"/>
              <w:left w:w="108" w:type="dxa"/>
              <w:bottom w:w="0" w:type="dxa"/>
              <w:right w:w="108" w:type="dxa"/>
            </w:tcMar>
            <w:vAlign w:val="bottom"/>
          </w:tcPr>
          <w:p w14:paraId="223DBB5F" w14:textId="77777777" w:rsidR="00A76ADB" w:rsidRDefault="00A76ADB" w:rsidP="007E3239">
            <w:pPr>
              <w:pStyle w:val="TableText"/>
              <w:spacing w:before="40" w:after="40"/>
              <w:jc w:val="center"/>
            </w:pPr>
            <w:r w:rsidRPr="002C290C">
              <w:t>2,134.1</w:t>
            </w:r>
          </w:p>
        </w:tc>
        <w:tc>
          <w:tcPr>
            <w:tcW w:w="1885" w:type="dxa"/>
            <w:shd w:val="clear" w:color="auto" w:fill="FFFFFF"/>
            <w:tcMar>
              <w:top w:w="0" w:type="dxa"/>
              <w:left w:w="108" w:type="dxa"/>
              <w:bottom w:w="0" w:type="dxa"/>
              <w:right w:w="108" w:type="dxa"/>
            </w:tcMar>
            <w:vAlign w:val="bottom"/>
          </w:tcPr>
          <w:p w14:paraId="3549F791" w14:textId="77777777" w:rsidR="00A76ADB" w:rsidRDefault="00A76ADB" w:rsidP="007E3239">
            <w:pPr>
              <w:pStyle w:val="TableText"/>
              <w:spacing w:before="40" w:after="40"/>
              <w:jc w:val="center"/>
            </w:pPr>
            <w:r w:rsidRPr="002C290C">
              <w:t>2,820.2</w:t>
            </w:r>
          </w:p>
        </w:tc>
      </w:tr>
      <w:tr w:rsidR="00A76ADB" w14:paraId="108AE1E5" w14:textId="77777777" w:rsidTr="00F16598">
        <w:trPr>
          <w:cantSplit/>
        </w:trPr>
        <w:tc>
          <w:tcPr>
            <w:tcW w:w="741" w:type="dxa"/>
            <w:shd w:val="clear" w:color="auto" w:fill="FFFFFF"/>
            <w:tcMar>
              <w:top w:w="0" w:type="dxa"/>
              <w:left w:w="108" w:type="dxa"/>
              <w:bottom w:w="0" w:type="dxa"/>
              <w:right w:w="108" w:type="dxa"/>
            </w:tcMar>
            <w:vAlign w:val="center"/>
          </w:tcPr>
          <w:p w14:paraId="507016A8" w14:textId="77777777" w:rsidR="00A76ADB" w:rsidRDefault="00A76ADB" w:rsidP="007E3239">
            <w:pPr>
              <w:pStyle w:val="TableText"/>
              <w:spacing w:before="40" w:after="40"/>
            </w:pPr>
            <w:r>
              <w:rPr>
                <w:rFonts w:eastAsia="Calibri"/>
              </w:rPr>
              <w:lastRenderedPageBreak/>
              <w:t>1981</w:t>
            </w:r>
          </w:p>
        </w:tc>
        <w:tc>
          <w:tcPr>
            <w:tcW w:w="1093" w:type="dxa"/>
            <w:shd w:val="clear" w:color="auto" w:fill="FFFFFF"/>
            <w:tcMar>
              <w:top w:w="0" w:type="dxa"/>
              <w:left w:w="108" w:type="dxa"/>
              <w:bottom w:w="0" w:type="dxa"/>
              <w:right w:w="108" w:type="dxa"/>
            </w:tcMar>
            <w:vAlign w:val="bottom"/>
          </w:tcPr>
          <w:p w14:paraId="7722011F" w14:textId="77777777" w:rsidR="00A76ADB" w:rsidRDefault="00A76ADB" w:rsidP="007E3239">
            <w:pPr>
              <w:pStyle w:val="TableText"/>
              <w:spacing w:before="40" w:after="40"/>
              <w:jc w:val="center"/>
            </w:pPr>
            <w:r w:rsidRPr="002C290C">
              <w:t>695.7</w:t>
            </w:r>
          </w:p>
        </w:tc>
        <w:tc>
          <w:tcPr>
            <w:tcW w:w="2021" w:type="dxa"/>
            <w:shd w:val="clear" w:color="auto" w:fill="FFFFFF"/>
            <w:tcMar>
              <w:top w:w="0" w:type="dxa"/>
              <w:left w:w="108" w:type="dxa"/>
              <w:bottom w:w="0" w:type="dxa"/>
              <w:right w:w="108" w:type="dxa"/>
            </w:tcMar>
            <w:vAlign w:val="bottom"/>
          </w:tcPr>
          <w:p w14:paraId="6E91F726" w14:textId="77777777" w:rsidR="00A76ADB" w:rsidRDefault="00A76ADB" w:rsidP="007E3239">
            <w:pPr>
              <w:pStyle w:val="TableText"/>
              <w:spacing w:before="40" w:after="40"/>
              <w:jc w:val="center"/>
            </w:pPr>
            <w:r w:rsidRPr="002C290C">
              <w:t>2,161.5</w:t>
            </w:r>
          </w:p>
        </w:tc>
        <w:tc>
          <w:tcPr>
            <w:tcW w:w="1885" w:type="dxa"/>
            <w:shd w:val="clear" w:color="auto" w:fill="FFFFFF"/>
            <w:tcMar>
              <w:top w:w="0" w:type="dxa"/>
              <w:left w:w="108" w:type="dxa"/>
              <w:bottom w:w="0" w:type="dxa"/>
              <w:right w:w="108" w:type="dxa"/>
            </w:tcMar>
            <w:vAlign w:val="bottom"/>
          </w:tcPr>
          <w:p w14:paraId="70C3546E" w14:textId="77777777" w:rsidR="00A76ADB" w:rsidRDefault="00A76ADB" w:rsidP="007E3239">
            <w:pPr>
              <w:pStyle w:val="TableText"/>
              <w:spacing w:before="40" w:after="40"/>
              <w:jc w:val="center"/>
            </w:pPr>
            <w:r w:rsidRPr="002C290C">
              <w:t>2,857.3</w:t>
            </w:r>
          </w:p>
        </w:tc>
      </w:tr>
      <w:tr w:rsidR="00A76ADB" w14:paraId="4DF5350E" w14:textId="77777777" w:rsidTr="00F16598">
        <w:trPr>
          <w:cantSplit/>
        </w:trPr>
        <w:tc>
          <w:tcPr>
            <w:tcW w:w="741" w:type="dxa"/>
            <w:shd w:val="clear" w:color="auto" w:fill="FFFFFF"/>
            <w:tcMar>
              <w:top w:w="0" w:type="dxa"/>
              <w:left w:w="108" w:type="dxa"/>
              <w:bottom w:w="0" w:type="dxa"/>
              <w:right w:w="108" w:type="dxa"/>
            </w:tcMar>
            <w:vAlign w:val="center"/>
          </w:tcPr>
          <w:p w14:paraId="3B08D141" w14:textId="77777777" w:rsidR="00A76ADB" w:rsidRDefault="00A76ADB" w:rsidP="007E3239">
            <w:pPr>
              <w:pStyle w:val="TableText"/>
              <w:spacing w:before="40" w:after="40"/>
            </w:pPr>
            <w:r>
              <w:rPr>
                <w:rFonts w:eastAsia="Calibri"/>
              </w:rPr>
              <w:t>1982</w:t>
            </w:r>
          </w:p>
        </w:tc>
        <w:tc>
          <w:tcPr>
            <w:tcW w:w="1093" w:type="dxa"/>
            <w:shd w:val="clear" w:color="auto" w:fill="FFFFFF"/>
            <w:tcMar>
              <w:top w:w="0" w:type="dxa"/>
              <w:left w:w="108" w:type="dxa"/>
              <w:bottom w:w="0" w:type="dxa"/>
              <w:right w:w="108" w:type="dxa"/>
            </w:tcMar>
            <w:vAlign w:val="bottom"/>
          </w:tcPr>
          <w:p w14:paraId="5C5073E4" w14:textId="77777777" w:rsidR="00A76ADB" w:rsidRDefault="00A76ADB" w:rsidP="007E3239">
            <w:pPr>
              <w:pStyle w:val="TableText"/>
              <w:spacing w:before="40" w:after="40"/>
              <w:jc w:val="center"/>
            </w:pPr>
            <w:r w:rsidRPr="002C290C">
              <w:t>709.3</w:t>
            </w:r>
          </w:p>
        </w:tc>
        <w:tc>
          <w:tcPr>
            <w:tcW w:w="2021" w:type="dxa"/>
            <w:shd w:val="clear" w:color="auto" w:fill="FFFFFF"/>
            <w:tcMar>
              <w:top w:w="0" w:type="dxa"/>
              <w:left w:w="108" w:type="dxa"/>
              <w:bottom w:w="0" w:type="dxa"/>
              <w:right w:w="108" w:type="dxa"/>
            </w:tcMar>
            <w:vAlign w:val="bottom"/>
          </w:tcPr>
          <w:p w14:paraId="157AE465" w14:textId="77777777" w:rsidR="00A76ADB" w:rsidRDefault="00A76ADB" w:rsidP="007E3239">
            <w:pPr>
              <w:pStyle w:val="TableText"/>
              <w:spacing w:before="40" w:after="40"/>
              <w:jc w:val="center"/>
            </w:pPr>
            <w:r w:rsidRPr="002C290C">
              <w:t>2,262.1</w:t>
            </w:r>
          </w:p>
        </w:tc>
        <w:tc>
          <w:tcPr>
            <w:tcW w:w="1885" w:type="dxa"/>
            <w:shd w:val="clear" w:color="auto" w:fill="FFFFFF"/>
            <w:tcMar>
              <w:top w:w="0" w:type="dxa"/>
              <w:left w:w="108" w:type="dxa"/>
              <w:bottom w:w="0" w:type="dxa"/>
              <w:right w:w="108" w:type="dxa"/>
            </w:tcMar>
            <w:vAlign w:val="bottom"/>
          </w:tcPr>
          <w:p w14:paraId="2698C61E" w14:textId="77777777" w:rsidR="00A76ADB" w:rsidRDefault="00A76ADB" w:rsidP="007E3239">
            <w:pPr>
              <w:pStyle w:val="TableText"/>
              <w:spacing w:before="40" w:after="40"/>
              <w:jc w:val="center"/>
            </w:pPr>
            <w:r w:rsidRPr="002C290C">
              <w:t>2,971.4</w:t>
            </w:r>
          </w:p>
        </w:tc>
      </w:tr>
      <w:tr w:rsidR="00A76ADB" w14:paraId="7C91900E" w14:textId="77777777" w:rsidTr="00F16598">
        <w:trPr>
          <w:cantSplit/>
        </w:trPr>
        <w:tc>
          <w:tcPr>
            <w:tcW w:w="741" w:type="dxa"/>
            <w:shd w:val="clear" w:color="auto" w:fill="FFFFFF"/>
            <w:tcMar>
              <w:top w:w="0" w:type="dxa"/>
              <w:left w:w="108" w:type="dxa"/>
              <w:bottom w:w="0" w:type="dxa"/>
              <w:right w:w="108" w:type="dxa"/>
            </w:tcMar>
            <w:vAlign w:val="center"/>
          </w:tcPr>
          <w:p w14:paraId="530130DA" w14:textId="77777777" w:rsidR="00A76ADB" w:rsidRDefault="00A76ADB" w:rsidP="007E3239">
            <w:pPr>
              <w:pStyle w:val="TableText"/>
              <w:spacing w:before="40" w:after="40"/>
            </w:pPr>
            <w:r>
              <w:rPr>
                <w:rFonts w:eastAsia="Calibri"/>
              </w:rPr>
              <w:t>1983</w:t>
            </w:r>
          </w:p>
        </w:tc>
        <w:tc>
          <w:tcPr>
            <w:tcW w:w="1093" w:type="dxa"/>
            <w:shd w:val="clear" w:color="auto" w:fill="FFFFFF"/>
            <w:tcMar>
              <w:top w:w="0" w:type="dxa"/>
              <w:left w:w="108" w:type="dxa"/>
              <w:bottom w:w="0" w:type="dxa"/>
              <w:right w:w="108" w:type="dxa"/>
            </w:tcMar>
            <w:vAlign w:val="bottom"/>
          </w:tcPr>
          <w:p w14:paraId="6FBC0212" w14:textId="77777777" w:rsidR="00A76ADB" w:rsidRDefault="00A76ADB" w:rsidP="007E3239">
            <w:pPr>
              <w:pStyle w:val="TableText"/>
              <w:spacing w:before="40" w:after="40"/>
              <w:jc w:val="center"/>
            </w:pPr>
            <w:r w:rsidRPr="002C290C">
              <w:t>726.7</w:t>
            </w:r>
          </w:p>
        </w:tc>
        <w:tc>
          <w:tcPr>
            <w:tcW w:w="2021" w:type="dxa"/>
            <w:shd w:val="clear" w:color="auto" w:fill="FFFFFF"/>
            <w:tcMar>
              <w:top w:w="0" w:type="dxa"/>
              <w:left w:w="108" w:type="dxa"/>
              <w:bottom w:w="0" w:type="dxa"/>
              <w:right w:w="108" w:type="dxa"/>
            </w:tcMar>
            <w:vAlign w:val="bottom"/>
          </w:tcPr>
          <w:p w14:paraId="1AA85571" w14:textId="77777777" w:rsidR="00A76ADB" w:rsidRDefault="00A76ADB" w:rsidP="007E3239">
            <w:pPr>
              <w:pStyle w:val="TableText"/>
              <w:spacing w:before="40" w:after="40"/>
              <w:jc w:val="center"/>
            </w:pPr>
            <w:r w:rsidRPr="002C290C">
              <w:t>2,283.2</w:t>
            </w:r>
          </w:p>
        </w:tc>
        <w:tc>
          <w:tcPr>
            <w:tcW w:w="1885" w:type="dxa"/>
            <w:shd w:val="clear" w:color="auto" w:fill="FFFFFF"/>
            <w:tcMar>
              <w:top w:w="0" w:type="dxa"/>
              <w:left w:w="108" w:type="dxa"/>
              <w:bottom w:w="0" w:type="dxa"/>
              <w:right w:w="108" w:type="dxa"/>
            </w:tcMar>
            <w:vAlign w:val="bottom"/>
          </w:tcPr>
          <w:p w14:paraId="46E28EEA" w14:textId="77777777" w:rsidR="00A76ADB" w:rsidRDefault="00A76ADB" w:rsidP="007E3239">
            <w:pPr>
              <w:pStyle w:val="TableText"/>
              <w:spacing w:before="40" w:after="40"/>
              <w:jc w:val="center"/>
            </w:pPr>
            <w:r w:rsidRPr="002C290C">
              <w:t>3,009.9</w:t>
            </w:r>
          </w:p>
        </w:tc>
      </w:tr>
      <w:tr w:rsidR="00A76ADB" w14:paraId="11D76201" w14:textId="77777777" w:rsidTr="00F16598">
        <w:trPr>
          <w:cantSplit/>
        </w:trPr>
        <w:tc>
          <w:tcPr>
            <w:tcW w:w="741" w:type="dxa"/>
            <w:shd w:val="clear" w:color="auto" w:fill="FFFFFF"/>
            <w:tcMar>
              <w:top w:w="0" w:type="dxa"/>
              <w:left w:w="108" w:type="dxa"/>
              <w:bottom w:w="0" w:type="dxa"/>
              <w:right w:w="108" w:type="dxa"/>
            </w:tcMar>
            <w:vAlign w:val="center"/>
          </w:tcPr>
          <w:p w14:paraId="77505C3F" w14:textId="77777777" w:rsidR="00A76ADB" w:rsidRDefault="00A76ADB" w:rsidP="007E3239">
            <w:pPr>
              <w:pStyle w:val="TableText"/>
              <w:spacing w:before="40" w:after="40"/>
            </w:pPr>
            <w:r>
              <w:rPr>
                <w:rFonts w:eastAsia="Calibri"/>
              </w:rPr>
              <w:t>1984</w:t>
            </w:r>
          </w:p>
        </w:tc>
        <w:tc>
          <w:tcPr>
            <w:tcW w:w="1093" w:type="dxa"/>
            <w:shd w:val="clear" w:color="auto" w:fill="FFFFFF"/>
            <w:tcMar>
              <w:top w:w="0" w:type="dxa"/>
              <w:left w:w="108" w:type="dxa"/>
              <w:bottom w:w="0" w:type="dxa"/>
              <w:right w:w="108" w:type="dxa"/>
            </w:tcMar>
            <w:vAlign w:val="bottom"/>
          </w:tcPr>
          <w:p w14:paraId="60EFE421" w14:textId="77777777" w:rsidR="00A76ADB" w:rsidRDefault="00A76ADB" w:rsidP="007E3239">
            <w:pPr>
              <w:pStyle w:val="TableText"/>
              <w:spacing w:before="40" w:after="40"/>
              <w:jc w:val="center"/>
            </w:pPr>
            <w:r w:rsidRPr="002C290C">
              <w:t>735.2</w:t>
            </w:r>
          </w:p>
        </w:tc>
        <w:tc>
          <w:tcPr>
            <w:tcW w:w="2021" w:type="dxa"/>
            <w:shd w:val="clear" w:color="auto" w:fill="FFFFFF"/>
            <w:tcMar>
              <w:top w:w="0" w:type="dxa"/>
              <w:left w:w="108" w:type="dxa"/>
              <w:bottom w:w="0" w:type="dxa"/>
              <w:right w:w="108" w:type="dxa"/>
            </w:tcMar>
            <w:vAlign w:val="bottom"/>
          </w:tcPr>
          <w:p w14:paraId="6E0FC0F1" w14:textId="77777777" w:rsidR="00A76ADB" w:rsidRDefault="00A76ADB" w:rsidP="007E3239">
            <w:pPr>
              <w:pStyle w:val="TableText"/>
              <w:spacing w:before="40" w:after="40"/>
              <w:jc w:val="center"/>
            </w:pPr>
            <w:r w:rsidRPr="002C290C">
              <w:t>2,362.9</w:t>
            </w:r>
          </w:p>
        </w:tc>
        <w:tc>
          <w:tcPr>
            <w:tcW w:w="1885" w:type="dxa"/>
            <w:shd w:val="clear" w:color="auto" w:fill="FFFFFF"/>
            <w:tcMar>
              <w:top w:w="0" w:type="dxa"/>
              <w:left w:w="108" w:type="dxa"/>
              <w:bottom w:w="0" w:type="dxa"/>
              <w:right w:w="108" w:type="dxa"/>
            </w:tcMar>
            <w:vAlign w:val="bottom"/>
          </w:tcPr>
          <w:p w14:paraId="6D69E086" w14:textId="77777777" w:rsidR="00A76ADB" w:rsidRDefault="00A76ADB" w:rsidP="007E3239">
            <w:pPr>
              <w:pStyle w:val="TableText"/>
              <w:spacing w:before="40" w:after="40"/>
              <w:jc w:val="center"/>
            </w:pPr>
            <w:r w:rsidRPr="002C290C">
              <w:t>3,098.1</w:t>
            </w:r>
          </w:p>
        </w:tc>
      </w:tr>
      <w:tr w:rsidR="00A76ADB" w14:paraId="313EFD0D" w14:textId="77777777" w:rsidTr="00F16598">
        <w:trPr>
          <w:cantSplit/>
        </w:trPr>
        <w:tc>
          <w:tcPr>
            <w:tcW w:w="741" w:type="dxa"/>
            <w:shd w:val="clear" w:color="auto" w:fill="FFFFFF"/>
            <w:tcMar>
              <w:top w:w="0" w:type="dxa"/>
              <w:left w:w="108" w:type="dxa"/>
              <w:bottom w:w="0" w:type="dxa"/>
              <w:right w:w="108" w:type="dxa"/>
            </w:tcMar>
            <w:vAlign w:val="center"/>
          </w:tcPr>
          <w:p w14:paraId="0ED77471" w14:textId="77777777" w:rsidR="00A76ADB" w:rsidRDefault="00A76ADB" w:rsidP="007E3239">
            <w:pPr>
              <w:pStyle w:val="TableText"/>
              <w:spacing w:before="40" w:after="40"/>
            </w:pPr>
            <w:r>
              <w:rPr>
                <w:rFonts w:eastAsia="Calibri"/>
              </w:rPr>
              <w:t>1985</w:t>
            </w:r>
          </w:p>
        </w:tc>
        <w:tc>
          <w:tcPr>
            <w:tcW w:w="1093" w:type="dxa"/>
            <w:shd w:val="clear" w:color="auto" w:fill="FFFFFF"/>
            <w:tcMar>
              <w:top w:w="0" w:type="dxa"/>
              <w:left w:w="108" w:type="dxa"/>
              <w:bottom w:w="0" w:type="dxa"/>
              <w:right w:w="108" w:type="dxa"/>
            </w:tcMar>
            <w:vAlign w:val="bottom"/>
          </w:tcPr>
          <w:p w14:paraId="7A9ACFBD" w14:textId="77777777" w:rsidR="00A76ADB" w:rsidRDefault="00A76ADB" w:rsidP="007E3239">
            <w:pPr>
              <w:pStyle w:val="TableText"/>
              <w:spacing w:before="40" w:after="40"/>
              <w:jc w:val="center"/>
            </w:pPr>
            <w:r w:rsidRPr="002C290C">
              <w:t>756.1</w:t>
            </w:r>
          </w:p>
        </w:tc>
        <w:tc>
          <w:tcPr>
            <w:tcW w:w="2021" w:type="dxa"/>
            <w:shd w:val="clear" w:color="auto" w:fill="FFFFFF"/>
            <w:tcMar>
              <w:top w:w="0" w:type="dxa"/>
              <w:left w:w="108" w:type="dxa"/>
              <w:bottom w:w="0" w:type="dxa"/>
              <w:right w:w="108" w:type="dxa"/>
            </w:tcMar>
            <w:vAlign w:val="bottom"/>
          </w:tcPr>
          <w:p w14:paraId="20208ACF" w14:textId="77777777" w:rsidR="00A76ADB" w:rsidRDefault="00A76ADB" w:rsidP="007E3239">
            <w:pPr>
              <w:pStyle w:val="TableText"/>
              <w:spacing w:before="40" w:after="40"/>
              <w:jc w:val="center"/>
            </w:pPr>
            <w:r w:rsidRPr="002C290C">
              <w:t>2,476.2</w:t>
            </w:r>
          </w:p>
        </w:tc>
        <w:tc>
          <w:tcPr>
            <w:tcW w:w="1885" w:type="dxa"/>
            <w:shd w:val="clear" w:color="auto" w:fill="FFFFFF"/>
            <w:tcMar>
              <w:top w:w="0" w:type="dxa"/>
              <w:left w:w="108" w:type="dxa"/>
              <w:bottom w:w="0" w:type="dxa"/>
              <w:right w:w="108" w:type="dxa"/>
            </w:tcMar>
            <w:vAlign w:val="bottom"/>
          </w:tcPr>
          <w:p w14:paraId="1B79F880" w14:textId="77777777" w:rsidR="00A76ADB" w:rsidRDefault="00A76ADB" w:rsidP="007E3239">
            <w:pPr>
              <w:pStyle w:val="TableText"/>
              <w:spacing w:before="40" w:after="40"/>
              <w:jc w:val="center"/>
            </w:pPr>
            <w:r w:rsidRPr="002C290C">
              <w:t>3,232.3</w:t>
            </w:r>
          </w:p>
        </w:tc>
      </w:tr>
      <w:tr w:rsidR="00A76ADB" w14:paraId="2E89B09E" w14:textId="77777777" w:rsidTr="00F16598">
        <w:trPr>
          <w:cantSplit/>
        </w:trPr>
        <w:tc>
          <w:tcPr>
            <w:tcW w:w="741" w:type="dxa"/>
            <w:shd w:val="clear" w:color="auto" w:fill="FFFFFF"/>
            <w:tcMar>
              <w:top w:w="0" w:type="dxa"/>
              <w:left w:w="108" w:type="dxa"/>
              <w:bottom w:w="0" w:type="dxa"/>
              <w:right w:w="108" w:type="dxa"/>
            </w:tcMar>
            <w:vAlign w:val="center"/>
          </w:tcPr>
          <w:p w14:paraId="587E9830" w14:textId="77777777" w:rsidR="00A76ADB" w:rsidRDefault="00A76ADB" w:rsidP="007E3239">
            <w:pPr>
              <w:pStyle w:val="TableText"/>
              <w:spacing w:before="40" w:after="40"/>
            </w:pPr>
            <w:r>
              <w:rPr>
                <w:rFonts w:eastAsia="Calibri"/>
              </w:rPr>
              <w:t>1986</w:t>
            </w:r>
          </w:p>
        </w:tc>
        <w:tc>
          <w:tcPr>
            <w:tcW w:w="1093" w:type="dxa"/>
            <w:shd w:val="clear" w:color="auto" w:fill="FFFFFF"/>
            <w:tcMar>
              <w:top w:w="0" w:type="dxa"/>
              <w:left w:w="108" w:type="dxa"/>
              <w:bottom w:w="0" w:type="dxa"/>
              <w:right w:w="108" w:type="dxa"/>
            </w:tcMar>
            <w:vAlign w:val="bottom"/>
          </w:tcPr>
          <w:p w14:paraId="0BA159AF" w14:textId="77777777" w:rsidR="00A76ADB" w:rsidRDefault="00A76ADB" w:rsidP="007E3239">
            <w:pPr>
              <w:pStyle w:val="TableText"/>
              <w:spacing w:before="40" w:after="40"/>
              <w:jc w:val="center"/>
            </w:pPr>
            <w:r w:rsidRPr="002C290C">
              <w:t>765.8</w:t>
            </w:r>
          </w:p>
        </w:tc>
        <w:tc>
          <w:tcPr>
            <w:tcW w:w="2021" w:type="dxa"/>
            <w:shd w:val="clear" w:color="auto" w:fill="FFFFFF"/>
            <w:tcMar>
              <w:top w:w="0" w:type="dxa"/>
              <w:left w:w="108" w:type="dxa"/>
              <w:bottom w:w="0" w:type="dxa"/>
              <w:right w:w="108" w:type="dxa"/>
            </w:tcMar>
            <w:vAlign w:val="bottom"/>
          </w:tcPr>
          <w:p w14:paraId="47FA45CC" w14:textId="77777777" w:rsidR="00A76ADB" w:rsidRDefault="00A76ADB" w:rsidP="007E3239">
            <w:pPr>
              <w:pStyle w:val="TableText"/>
              <w:spacing w:before="40" w:after="40"/>
              <w:jc w:val="center"/>
            </w:pPr>
            <w:r w:rsidRPr="002C290C">
              <w:t>2,516.2</w:t>
            </w:r>
          </w:p>
        </w:tc>
        <w:tc>
          <w:tcPr>
            <w:tcW w:w="1885" w:type="dxa"/>
            <w:shd w:val="clear" w:color="auto" w:fill="FFFFFF"/>
            <w:tcMar>
              <w:top w:w="0" w:type="dxa"/>
              <w:left w:w="108" w:type="dxa"/>
              <w:bottom w:w="0" w:type="dxa"/>
              <w:right w:w="108" w:type="dxa"/>
            </w:tcMar>
            <w:vAlign w:val="bottom"/>
          </w:tcPr>
          <w:p w14:paraId="675477ED" w14:textId="77777777" w:rsidR="00A76ADB" w:rsidRDefault="00A76ADB" w:rsidP="007E3239">
            <w:pPr>
              <w:pStyle w:val="TableText"/>
              <w:spacing w:before="40" w:after="40"/>
              <w:jc w:val="center"/>
            </w:pPr>
            <w:r w:rsidRPr="002C290C">
              <w:t>3,282.0</w:t>
            </w:r>
          </w:p>
        </w:tc>
      </w:tr>
      <w:tr w:rsidR="00A76ADB" w14:paraId="2EAFCB85" w14:textId="77777777" w:rsidTr="00F16598">
        <w:trPr>
          <w:cantSplit/>
        </w:trPr>
        <w:tc>
          <w:tcPr>
            <w:tcW w:w="741" w:type="dxa"/>
            <w:shd w:val="clear" w:color="auto" w:fill="FFFFFF"/>
            <w:tcMar>
              <w:top w:w="0" w:type="dxa"/>
              <w:left w:w="108" w:type="dxa"/>
              <w:bottom w:w="0" w:type="dxa"/>
              <w:right w:w="108" w:type="dxa"/>
            </w:tcMar>
            <w:vAlign w:val="center"/>
          </w:tcPr>
          <w:p w14:paraId="734957FD" w14:textId="77777777" w:rsidR="00A76ADB" w:rsidRDefault="00A76ADB" w:rsidP="007E3239">
            <w:pPr>
              <w:pStyle w:val="TableText"/>
              <w:spacing w:before="40" w:after="40"/>
            </w:pPr>
            <w:r>
              <w:rPr>
                <w:rFonts w:eastAsia="Calibri"/>
              </w:rPr>
              <w:t>1987</w:t>
            </w:r>
          </w:p>
        </w:tc>
        <w:tc>
          <w:tcPr>
            <w:tcW w:w="1093" w:type="dxa"/>
            <w:shd w:val="clear" w:color="auto" w:fill="FFFFFF"/>
            <w:tcMar>
              <w:top w:w="0" w:type="dxa"/>
              <w:left w:w="108" w:type="dxa"/>
              <w:bottom w:w="0" w:type="dxa"/>
              <w:right w:w="108" w:type="dxa"/>
            </w:tcMar>
            <w:vAlign w:val="bottom"/>
          </w:tcPr>
          <w:p w14:paraId="5FC186C2" w14:textId="77777777" w:rsidR="00A76ADB" w:rsidRDefault="00A76ADB" w:rsidP="007E3239">
            <w:pPr>
              <w:pStyle w:val="TableText"/>
              <w:spacing w:before="40" w:after="40"/>
              <w:jc w:val="center"/>
            </w:pPr>
            <w:r w:rsidRPr="002C290C">
              <w:t>775.2</w:t>
            </w:r>
          </w:p>
        </w:tc>
        <w:tc>
          <w:tcPr>
            <w:tcW w:w="2021" w:type="dxa"/>
            <w:shd w:val="clear" w:color="auto" w:fill="FFFFFF"/>
            <w:tcMar>
              <w:top w:w="0" w:type="dxa"/>
              <w:left w:w="108" w:type="dxa"/>
              <w:bottom w:w="0" w:type="dxa"/>
              <w:right w:w="108" w:type="dxa"/>
            </w:tcMar>
            <w:vAlign w:val="bottom"/>
          </w:tcPr>
          <w:p w14:paraId="1E5BB870" w14:textId="77777777" w:rsidR="00A76ADB" w:rsidRDefault="00A76ADB" w:rsidP="007E3239">
            <w:pPr>
              <w:pStyle w:val="TableText"/>
              <w:spacing w:before="40" w:after="40"/>
              <w:jc w:val="center"/>
            </w:pPr>
            <w:r w:rsidRPr="002C290C">
              <w:t>2,584.2</w:t>
            </w:r>
          </w:p>
        </w:tc>
        <w:tc>
          <w:tcPr>
            <w:tcW w:w="1885" w:type="dxa"/>
            <w:shd w:val="clear" w:color="auto" w:fill="FFFFFF"/>
            <w:tcMar>
              <w:top w:w="0" w:type="dxa"/>
              <w:left w:w="108" w:type="dxa"/>
              <w:bottom w:w="0" w:type="dxa"/>
              <w:right w:w="108" w:type="dxa"/>
            </w:tcMar>
            <w:vAlign w:val="bottom"/>
          </w:tcPr>
          <w:p w14:paraId="3FBF731C" w14:textId="77777777" w:rsidR="00A76ADB" w:rsidRDefault="00A76ADB" w:rsidP="007E3239">
            <w:pPr>
              <w:pStyle w:val="TableText"/>
              <w:spacing w:before="40" w:after="40"/>
              <w:jc w:val="center"/>
            </w:pPr>
            <w:r w:rsidRPr="002C290C">
              <w:t>3,359.4</w:t>
            </w:r>
          </w:p>
        </w:tc>
      </w:tr>
      <w:tr w:rsidR="00A76ADB" w14:paraId="1C306024" w14:textId="77777777" w:rsidTr="00F16598">
        <w:trPr>
          <w:cantSplit/>
        </w:trPr>
        <w:tc>
          <w:tcPr>
            <w:tcW w:w="741" w:type="dxa"/>
            <w:shd w:val="clear" w:color="auto" w:fill="FFFFFF"/>
            <w:tcMar>
              <w:top w:w="0" w:type="dxa"/>
              <w:left w:w="108" w:type="dxa"/>
              <w:bottom w:w="0" w:type="dxa"/>
              <w:right w:w="108" w:type="dxa"/>
            </w:tcMar>
            <w:vAlign w:val="center"/>
          </w:tcPr>
          <w:p w14:paraId="291F78B2" w14:textId="77777777" w:rsidR="00A76ADB" w:rsidRDefault="00A76ADB" w:rsidP="007E3239">
            <w:pPr>
              <w:pStyle w:val="TableText"/>
              <w:spacing w:before="40" w:after="40"/>
            </w:pPr>
            <w:r>
              <w:rPr>
                <w:rFonts w:eastAsia="Calibri"/>
              </w:rPr>
              <w:t>1988</w:t>
            </w:r>
          </w:p>
        </w:tc>
        <w:tc>
          <w:tcPr>
            <w:tcW w:w="1093" w:type="dxa"/>
            <w:shd w:val="clear" w:color="auto" w:fill="FFFFFF"/>
            <w:tcMar>
              <w:top w:w="0" w:type="dxa"/>
              <w:left w:w="108" w:type="dxa"/>
              <w:bottom w:w="0" w:type="dxa"/>
              <w:right w:w="108" w:type="dxa"/>
            </w:tcMar>
            <w:vAlign w:val="bottom"/>
          </w:tcPr>
          <w:p w14:paraId="3766142A" w14:textId="77777777" w:rsidR="00A76ADB" w:rsidRDefault="00A76ADB" w:rsidP="007E3239">
            <w:pPr>
              <w:pStyle w:val="TableText"/>
              <w:spacing w:before="40" w:after="40"/>
              <w:jc w:val="center"/>
            </w:pPr>
            <w:r w:rsidRPr="002C290C">
              <w:t>787.3</w:t>
            </w:r>
          </w:p>
        </w:tc>
        <w:tc>
          <w:tcPr>
            <w:tcW w:w="2021" w:type="dxa"/>
            <w:shd w:val="clear" w:color="auto" w:fill="FFFFFF"/>
            <w:tcMar>
              <w:top w:w="0" w:type="dxa"/>
              <w:left w:w="108" w:type="dxa"/>
              <w:bottom w:w="0" w:type="dxa"/>
              <w:right w:w="108" w:type="dxa"/>
            </w:tcMar>
            <w:vAlign w:val="bottom"/>
          </w:tcPr>
          <w:p w14:paraId="62205E61" w14:textId="77777777" w:rsidR="00A76ADB" w:rsidRDefault="00A76ADB" w:rsidP="007E3239">
            <w:pPr>
              <w:pStyle w:val="TableText"/>
              <w:spacing w:before="40" w:after="40"/>
              <w:jc w:val="center"/>
            </w:pPr>
            <w:r w:rsidRPr="002C290C">
              <w:t>2,609.3</w:t>
            </w:r>
          </w:p>
        </w:tc>
        <w:tc>
          <w:tcPr>
            <w:tcW w:w="1885" w:type="dxa"/>
            <w:shd w:val="clear" w:color="auto" w:fill="FFFFFF"/>
            <w:tcMar>
              <w:top w:w="0" w:type="dxa"/>
              <w:left w:w="108" w:type="dxa"/>
              <w:bottom w:w="0" w:type="dxa"/>
              <w:right w:w="108" w:type="dxa"/>
            </w:tcMar>
            <w:vAlign w:val="bottom"/>
          </w:tcPr>
          <w:p w14:paraId="0ED1A840" w14:textId="77777777" w:rsidR="00A76ADB" w:rsidRDefault="00A76ADB" w:rsidP="007E3239">
            <w:pPr>
              <w:pStyle w:val="TableText"/>
              <w:spacing w:before="40" w:after="40"/>
              <w:jc w:val="center"/>
            </w:pPr>
            <w:r w:rsidRPr="002C290C">
              <w:t>3,396.7</w:t>
            </w:r>
          </w:p>
        </w:tc>
      </w:tr>
      <w:tr w:rsidR="00A76ADB" w14:paraId="06C5EB75" w14:textId="77777777" w:rsidTr="00F16598">
        <w:trPr>
          <w:cantSplit/>
        </w:trPr>
        <w:tc>
          <w:tcPr>
            <w:tcW w:w="741" w:type="dxa"/>
            <w:shd w:val="clear" w:color="auto" w:fill="FFFFFF"/>
            <w:tcMar>
              <w:top w:w="0" w:type="dxa"/>
              <w:left w:w="108" w:type="dxa"/>
              <w:bottom w:w="0" w:type="dxa"/>
              <w:right w:w="108" w:type="dxa"/>
            </w:tcMar>
            <w:vAlign w:val="center"/>
          </w:tcPr>
          <w:p w14:paraId="06E50419" w14:textId="77777777" w:rsidR="00A76ADB" w:rsidRDefault="00A76ADB" w:rsidP="007E3239">
            <w:pPr>
              <w:pStyle w:val="TableText"/>
              <w:spacing w:before="40" w:after="40"/>
            </w:pPr>
            <w:r>
              <w:rPr>
                <w:rFonts w:eastAsia="Calibri"/>
              </w:rPr>
              <w:t>1989</w:t>
            </w:r>
          </w:p>
        </w:tc>
        <w:tc>
          <w:tcPr>
            <w:tcW w:w="1093" w:type="dxa"/>
            <w:shd w:val="clear" w:color="auto" w:fill="FFFFFF"/>
            <w:tcMar>
              <w:top w:w="0" w:type="dxa"/>
              <w:left w:w="108" w:type="dxa"/>
              <w:bottom w:w="0" w:type="dxa"/>
              <w:right w:w="108" w:type="dxa"/>
            </w:tcMar>
            <w:vAlign w:val="bottom"/>
          </w:tcPr>
          <w:p w14:paraId="1ADADD58" w14:textId="77777777" w:rsidR="00A76ADB" w:rsidRDefault="00A76ADB" w:rsidP="007E3239">
            <w:pPr>
              <w:pStyle w:val="TableText"/>
              <w:spacing w:before="40" w:after="40"/>
              <w:jc w:val="center"/>
            </w:pPr>
            <w:r w:rsidRPr="002C290C">
              <w:t>793.3</w:t>
            </w:r>
          </w:p>
        </w:tc>
        <w:tc>
          <w:tcPr>
            <w:tcW w:w="2021" w:type="dxa"/>
            <w:shd w:val="clear" w:color="auto" w:fill="FFFFFF"/>
            <w:tcMar>
              <w:top w:w="0" w:type="dxa"/>
              <w:left w:w="108" w:type="dxa"/>
              <w:bottom w:w="0" w:type="dxa"/>
              <w:right w:w="108" w:type="dxa"/>
            </w:tcMar>
            <w:vAlign w:val="bottom"/>
          </w:tcPr>
          <w:p w14:paraId="596A3D87" w14:textId="77777777" w:rsidR="00A76ADB" w:rsidRDefault="00A76ADB" w:rsidP="007E3239">
            <w:pPr>
              <w:pStyle w:val="TableText"/>
              <w:spacing w:before="40" w:after="40"/>
              <w:jc w:val="center"/>
            </w:pPr>
            <w:r w:rsidRPr="002C290C">
              <w:t>2,600.1</w:t>
            </w:r>
          </w:p>
        </w:tc>
        <w:tc>
          <w:tcPr>
            <w:tcW w:w="1885" w:type="dxa"/>
            <w:shd w:val="clear" w:color="auto" w:fill="FFFFFF"/>
            <w:tcMar>
              <w:top w:w="0" w:type="dxa"/>
              <w:left w:w="108" w:type="dxa"/>
              <w:bottom w:w="0" w:type="dxa"/>
              <w:right w:w="108" w:type="dxa"/>
            </w:tcMar>
            <w:vAlign w:val="bottom"/>
          </w:tcPr>
          <w:p w14:paraId="5BC74599" w14:textId="77777777" w:rsidR="00A76ADB" w:rsidRDefault="00A76ADB" w:rsidP="007E3239">
            <w:pPr>
              <w:pStyle w:val="TableText"/>
              <w:spacing w:before="40" w:after="40"/>
              <w:jc w:val="center"/>
            </w:pPr>
            <w:r w:rsidRPr="002C290C">
              <w:t>3,393.4</w:t>
            </w:r>
          </w:p>
        </w:tc>
      </w:tr>
      <w:tr w:rsidR="00A76ADB" w14:paraId="36996D1E" w14:textId="77777777" w:rsidTr="00F16598">
        <w:trPr>
          <w:cantSplit/>
        </w:trPr>
        <w:tc>
          <w:tcPr>
            <w:tcW w:w="741" w:type="dxa"/>
            <w:shd w:val="clear" w:color="auto" w:fill="FFFFFF"/>
            <w:tcMar>
              <w:top w:w="0" w:type="dxa"/>
              <w:left w:w="108" w:type="dxa"/>
              <w:bottom w:w="0" w:type="dxa"/>
              <w:right w:w="108" w:type="dxa"/>
            </w:tcMar>
            <w:vAlign w:val="center"/>
          </w:tcPr>
          <w:p w14:paraId="71E6980E" w14:textId="77777777" w:rsidR="00A76ADB" w:rsidRDefault="00A76ADB" w:rsidP="007E3239">
            <w:pPr>
              <w:pStyle w:val="TableText"/>
              <w:spacing w:before="40" w:after="40"/>
            </w:pPr>
            <w:r>
              <w:rPr>
                <w:rFonts w:eastAsia="Calibri"/>
              </w:rPr>
              <w:t>1990</w:t>
            </w:r>
          </w:p>
        </w:tc>
        <w:tc>
          <w:tcPr>
            <w:tcW w:w="1093" w:type="dxa"/>
            <w:shd w:val="clear" w:color="auto" w:fill="FFFFFF"/>
            <w:tcMar>
              <w:top w:w="0" w:type="dxa"/>
              <w:left w:w="108" w:type="dxa"/>
              <w:bottom w:w="0" w:type="dxa"/>
              <w:right w:w="108" w:type="dxa"/>
            </w:tcMar>
            <w:vAlign w:val="bottom"/>
          </w:tcPr>
          <w:p w14:paraId="366445E6" w14:textId="77777777" w:rsidR="00A76ADB" w:rsidRDefault="00A76ADB" w:rsidP="007E3239">
            <w:pPr>
              <w:pStyle w:val="TableText"/>
              <w:spacing w:before="40" w:after="40"/>
              <w:jc w:val="center"/>
            </w:pPr>
            <w:r w:rsidRPr="002C290C">
              <w:t>783.7</w:t>
            </w:r>
          </w:p>
        </w:tc>
        <w:tc>
          <w:tcPr>
            <w:tcW w:w="2021" w:type="dxa"/>
            <w:shd w:val="clear" w:color="auto" w:fill="FFFFFF"/>
            <w:tcMar>
              <w:top w:w="0" w:type="dxa"/>
              <w:left w:w="108" w:type="dxa"/>
              <w:bottom w:w="0" w:type="dxa"/>
              <w:right w:w="108" w:type="dxa"/>
            </w:tcMar>
            <w:vAlign w:val="bottom"/>
          </w:tcPr>
          <w:p w14:paraId="3FDA694A" w14:textId="77777777" w:rsidR="00A76ADB" w:rsidRDefault="00A76ADB" w:rsidP="007E3239">
            <w:pPr>
              <w:pStyle w:val="TableText"/>
              <w:spacing w:before="40" w:after="40"/>
              <w:jc w:val="center"/>
            </w:pPr>
            <w:r w:rsidRPr="002C290C">
              <w:t>2,604.3</w:t>
            </w:r>
          </w:p>
        </w:tc>
        <w:tc>
          <w:tcPr>
            <w:tcW w:w="1885" w:type="dxa"/>
            <w:shd w:val="clear" w:color="auto" w:fill="FFFFFF"/>
            <w:tcMar>
              <w:top w:w="0" w:type="dxa"/>
              <w:left w:w="108" w:type="dxa"/>
              <w:bottom w:w="0" w:type="dxa"/>
              <w:right w:w="108" w:type="dxa"/>
            </w:tcMar>
            <w:vAlign w:val="bottom"/>
          </w:tcPr>
          <w:p w14:paraId="39060277" w14:textId="77777777" w:rsidR="00A76ADB" w:rsidRDefault="00A76ADB" w:rsidP="007E3239">
            <w:pPr>
              <w:pStyle w:val="TableText"/>
              <w:spacing w:before="40" w:after="40"/>
              <w:jc w:val="center"/>
            </w:pPr>
            <w:r w:rsidRPr="002C290C">
              <w:t>3,387.9</w:t>
            </w:r>
          </w:p>
        </w:tc>
      </w:tr>
      <w:tr w:rsidR="00A76ADB" w14:paraId="545F4F5B" w14:textId="77777777" w:rsidTr="00F16598">
        <w:trPr>
          <w:cantSplit/>
        </w:trPr>
        <w:tc>
          <w:tcPr>
            <w:tcW w:w="741" w:type="dxa"/>
            <w:shd w:val="clear" w:color="auto" w:fill="FFFFFF"/>
            <w:tcMar>
              <w:top w:w="0" w:type="dxa"/>
              <w:left w:w="108" w:type="dxa"/>
              <w:bottom w:w="0" w:type="dxa"/>
              <w:right w:w="108" w:type="dxa"/>
            </w:tcMar>
            <w:vAlign w:val="center"/>
          </w:tcPr>
          <w:p w14:paraId="36FBE23A" w14:textId="77777777" w:rsidR="00A76ADB" w:rsidRDefault="00A76ADB" w:rsidP="007E3239">
            <w:pPr>
              <w:pStyle w:val="TableText"/>
              <w:spacing w:before="40" w:after="40"/>
            </w:pPr>
            <w:r>
              <w:rPr>
                <w:rFonts w:eastAsia="Calibri"/>
              </w:rPr>
              <w:t>1991</w:t>
            </w:r>
          </w:p>
        </w:tc>
        <w:tc>
          <w:tcPr>
            <w:tcW w:w="1093" w:type="dxa"/>
            <w:shd w:val="clear" w:color="auto" w:fill="FFFFFF"/>
            <w:tcMar>
              <w:top w:w="0" w:type="dxa"/>
              <w:left w:w="108" w:type="dxa"/>
              <w:bottom w:w="0" w:type="dxa"/>
              <w:right w:w="108" w:type="dxa"/>
            </w:tcMar>
            <w:vAlign w:val="bottom"/>
          </w:tcPr>
          <w:p w14:paraId="7822AC19" w14:textId="77777777" w:rsidR="00A76ADB" w:rsidRDefault="00A76ADB" w:rsidP="007E3239">
            <w:pPr>
              <w:pStyle w:val="TableText"/>
              <w:spacing w:before="40" w:after="40"/>
              <w:jc w:val="center"/>
            </w:pPr>
            <w:r w:rsidRPr="002C290C">
              <w:t>777.9</w:t>
            </w:r>
          </w:p>
        </w:tc>
        <w:tc>
          <w:tcPr>
            <w:tcW w:w="2021" w:type="dxa"/>
            <w:shd w:val="clear" w:color="auto" w:fill="FFFFFF"/>
            <w:tcMar>
              <w:top w:w="0" w:type="dxa"/>
              <w:left w:w="108" w:type="dxa"/>
              <w:bottom w:w="0" w:type="dxa"/>
              <w:right w:w="108" w:type="dxa"/>
            </w:tcMar>
            <w:vAlign w:val="bottom"/>
          </w:tcPr>
          <w:p w14:paraId="653143E6" w14:textId="77777777" w:rsidR="00A76ADB" w:rsidRDefault="00A76ADB" w:rsidP="007E3239">
            <w:pPr>
              <w:pStyle w:val="TableText"/>
              <w:spacing w:before="40" w:after="40"/>
              <w:jc w:val="center"/>
            </w:pPr>
            <w:r w:rsidRPr="002C290C">
              <w:t>2,608.3</w:t>
            </w:r>
          </w:p>
        </w:tc>
        <w:tc>
          <w:tcPr>
            <w:tcW w:w="1885" w:type="dxa"/>
            <w:shd w:val="clear" w:color="auto" w:fill="FFFFFF"/>
            <w:tcMar>
              <w:top w:w="0" w:type="dxa"/>
              <w:left w:w="108" w:type="dxa"/>
              <w:bottom w:w="0" w:type="dxa"/>
              <w:right w:w="108" w:type="dxa"/>
            </w:tcMar>
            <w:vAlign w:val="bottom"/>
          </w:tcPr>
          <w:p w14:paraId="2E06C278" w14:textId="77777777" w:rsidR="00A76ADB" w:rsidRDefault="00A76ADB" w:rsidP="007E3239">
            <w:pPr>
              <w:pStyle w:val="TableText"/>
              <w:spacing w:before="40" w:after="40"/>
              <w:jc w:val="center"/>
            </w:pPr>
            <w:r w:rsidRPr="002C290C">
              <w:t>3,386.2</w:t>
            </w:r>
          </w:p>
        </w:tc>
      </w:tr>
      <w:tr w:rsidR="00A76ADB" w14:paraId="5BFC9FBB" w14:textId="77777777" w:rsidTr="00F16598">
        <w:trPr>
          <w:cantSplit/>
        </w:trPr>
        <w:tc>
          <w:tcPr>
            <w:tcW w:w="741" w:type="dxa"/>
            <w:shd w:val="clear" w:color="auto" w:fill="FFFFFF"/>
            <w:tcMar>
              <w:top w:w="0" w:type="dxa"/>
              <w:left w:w="108" w:type="dxa"/>
              <w:bottom w:w="0" w:type="dxa"/>
              <w:right w:w="108" w:type="dxa"/>
            </w:tcMar>
            <w:vAlign w:val="center"/>
          </w:tcPr>
          <w:p w14:paraId="67744720" w14:textId="77777777" w:rsidR="00A76ADB" w:rsidRDefault="00A76ADB" w:rsidP="007E3239">
            <w:pPr>
              <w:pStyle w:val="TableText"/>
              <w:spacing w:before="40" w:after="40"/>
            </w:pPr>
            <w:r>
              <w:rPr>
                <w:rFonts w:eastAsia="Calibri"/>
              </w:rPr>
              <w:t>1992</w:t>
            </w:r>
          </w:p>
        </w:tc>
        <w:tc>
          <w:tcPr>
            <w:tcW w:w="1093" w:type="dxa"/>
            <w:shd w:val="clear" w:color="auto" w:fill="FFFFFF"/>
            <w:tcMar>
              <w:top w:w="0" w:type="dxa"/>
              <w:left w:w="108" w:type="dxa"/>
              <w:bottom w:w="0" w:type="dxa"/>
              <w:right w:w="108" w:type="dxa"/>
            </w:tcMar>
            <w:vAlign w:val="bottom"/>
          </w:tcPr>
          <w:p w14:paraId="72D97422" w14:textId="77777777" w:rsidR="00A76ADB" w:rsidRDefault="00A76ADB" w:rsidP="007E3239">
            <w:pPr>
              <w:pStyle w:val="TableText"/>
              <w:spacing w:before="40" w:after="40"/>
              <w:jc w:val="center"/>
            </w:pPr>
            <w:r w:rsidRPr="002C290C">
              <w:t>768.9</w:t>
            </w:r>
          </w:p>
        </w:tc>
        <w:tc>
          <w:tcPr>
            <w:tcW w:w="2021" w:type="dxa"/>
            <w:shd w:val="clear" w:color="auto" w:fill="FFFFFF"/>
            <w:tcMar>
              <w:top w:w="0" w:type="dxa"/>
              <w:left w:w="108" w:type="dxa"/>
              <w:bottom w:w="0" w:type="dxa"/>
              <w:right w:w="108" w:type="dxa"/>
            </w:tcMar>
            <w:vAlign w:val="bottom"/>
          </w:tcPr>
          <w:p w14:paraId="1B493091" w14:textId="77777777" w:rsidR="00A76ADB" w:rsidRDefault="00A76ADB" w:rsidP="007E3239">
            <w:pPr>
              <w:pStyle w:val="TableText"/>
              <w:spacing w:before="40" w:after="40"/>
              <w:jc w:val="center"/>
            </w:pPr>
            <w:r w:rsidRPr="002C290C">
              <w:t>2,579.8</w:t>
            </w:r>
          </w:p>
        </w:tc>
        <w:tc>
          <w:tcPr>
            <w:tcW w:w="1885" w:type="dxa"/>
            <w:shd w:val="clear" w:color="auto" w:fill="FFFFFF"/>
            <w:tcMar>
              <w:top w:w="0" w:type="dxa"/>
              <w:left w:w="108" w:type="dxa"/>
              <w:bottom w:w="0" w:type="dxa"/>
              <w:right w:w="108" w:type="dxa"/>
            </w:tcMar>
            <w:vAlign w:val="bottom"/>
          </w:tcPr>
          <w:p w14:paraId="61D8FA06" w14:textId="77777777" w:rsidR="00A76ADB" w:rsidRDefault="00A76ADB" w:rsidP="007E3239">
            <w:pPr>
              <w:pStyle w:val="TableText"/>
              <w:spacing w:before="40" w:after="40"/>
              <w:jc w:val="center"/>
            </w:pPr>
            <w:r w:rsidRPr="002C290C">
              <w:t>3,348.7</w:t>
            </w:r>
          </w:p>
        </w:tc>
      </w:tr>
      <w:tr w:rsidR="00A76ADB" w14:paraId="46EAA383" w14:textId="77777777" w:rsidTr="00F16598">
        <w:trPr>
          <w:cantSplit/>
        </w:trPr>
        <w:tc>
          <w:tcPr>
            <w:tcW w:w="741" w:type="dxa"/>
            <w:shd w:val="clear" w:color="auto" w:fill="FFFFFF"/>
            <w:tcMar>
              <w:top w:w="0" w:type="dxa"/>
              <w:left w:w="108" w:type="dxa"/>
              <w:bottom w:w="0" w:type="dxa"/>
              <w:right w:w="108" w:type="dxa"/>
            </w:tcMar>
            <w:vAlign w:val="center"/>
          </w:tcPr>
          <w:p w14:paraId="0588A3D3" w14:textId="77777777" w:rsidR="00A76ADB" w:rsidRDefault="00A76ADB" w:rsidP="007E3239">
            <w:pPr>
              <w:pStyle w:val="TableText"/>
              <w:spacing w:before="40" w:after="40"/>
            </w:pPr>
            <w:r>
              <w:rPr>
                <w:rFonts w:eastAsia="Calibri"/>
              </w:rPr>
              <w:t>1993</w:t>
            </w:r>
          </w:p>
        </w:tc>
        <w:tc>
          <w:tcPr>
            <w:tcW w:w="1093" w:type="dxa"/>
            <w:shd w:val="clear" w:color="auto" w:fill="FFFFFF"/>
            <w:tcMar>
              <w:top w:w="0" w:type="dxa"/>
              <w:left w:w="108" w:type="dxa"/>
              <w:bottom w:w="0" w:type="dxa"/>
              <w:right w:w="108" w:type="dxa"/>
            </w:tcMar>
            <w:vAlign w:val="bottom"/>
          </w:tcPr>
          <w:p w14:paraId="660195CA" w14:textId="77777777" w:rsidR="00A76ADB" w:rsidRDefault="00A76ADB" w:rsidP="007E3239">
            <w:pPr>
              <w:pStyle w:val="TableText"/>
              <w:spacing w:before="40" w:after="40"/>
              <w:jc w:val="center"/>
            </w:pPr>
            <w:r w:rsidRPr="002C290C">
              <w:t>784.4</w:t>
            </w:r>
          </w:p>
        </w:tc>
        <w:tc>
          <w:tcPr>
            <w:tcW w:w="2021" w:type="dxa"/>
            <w:shd w:val="clear" w:color="auto" w:fill="FFFFFF"/>
            <w:tcMar>
              <w:top w:w="0" w:type="dxa"/>
              <w:left w:w="108" w:type="dxa"/>
              <w:bottom w:w="0" w:type="dxa"/>
              <w:right w:w="108" w:type="dxa"/>
            </w:tcMar>
            <w:vAlign w:val="bottom"/>
          </w:tcPr>
          <w:p w14:paraId="65DC52CD" w14:textId="77777777" w:rsidR="00A76ADB" w:rsidRDefault="00A76ADB" w:rsidP="007E3239">
            <w:pPr>
              <w:pStyle w:val="TableText"/>
              <w:spacing w:before="40" w:after="40"/>
              <w:jc w:val="center"/>
            </w:pPr>
            <w:r w:rsidRPr="002C290C">
              <w:t>2,608.1</w:t>
            </w:r>
          </w:p>
        </w:tc>
        <w:tc>
          <w:tcPr>
            <w:tcW w:w="1885" w:type="dxa"/>
            <w:shd w:val="clear" w:color="auto" w:fill="FFFFFF"/>
            <w:tcMar>
              <w:top w:w="0" w:type="dxa"/>
              <w:left w:w="108" w:type="dxa"/>
              <w:bottom w:w="0" w:type="dxa"/>
              <w:right w:w="108" w:type="dxa"/>
            </w:tcMar>
            <w:vAlign w:val="bottom"/>
          </w:tcPr>
          <w:p w14:paraId="50617C4E" w14:textId="77777777" w:rsidR="00A76ADB" w:rsidRDefault="00A76ADB" w:rsidP="007E3239">
            <w:pPr>
              <w:pStyle w:val="TableText"/>
              <w:spacing w:before="40" w:after="40"/>
              <w:jc w:val="center"/>
            </w:pPr>
            <w:r w:rsidRPr="002C290C">
              <w:t>3,392.4</w:t>
            </w:r>
          </w:p>
        </w:tc>
      </w:tr>
      <w:tr w:rsidR="00A76ADB" w14:paraId="21828E03" w14:textId="77777777" w:rsidTr="00F16598">
        <w:trPr>
          <w:cantSplit/>
        </w:trPr>
        <w:tc>
          <w:tcPr>
            <w:tcW w:w="741" w:type="dxa"/>
            <w:shd w:val="clear" w:color="auto" w:fill="FFFFFF"/>
            <w:tcMar>
              <w:top w:w="0" w:type="dxa"/>
              <w:left w:w="108" w:type="dxa"/>
              <w:bottom w:w="0" w:type="dxa"/>
              <w:right w:w="108" w:type="dxa"/>
            </w:tcMar>
            <w:vAlign w:val="center"/>
          </w:tcPr>
          <w:p w14:paraId="328FB700" w14:textId="77777777" w:rsidR="00A76ADB" w:rsidRDefault="00A76ADB" w:rsidP="007E3239">
            <w:pPr>
              <w:pStyle w:val="TableText"/>
              <w:spacing w:before="40" w:after="40"/>
            </w:pPr>
            <w:r>
              <w:rPr>
                <w:rFonts w:eastAsia="Calibri"/>
              </w:rPr>
              <w:t>1994</w:t>
            </w:r>
          </w:p>
        </w:tc>
        <w:tc>
          <w:tcPr>
            <w:tcW w:w="1093" w:type="dxa"/>
            <w:shd w:val="clear" w:color="auto" w:fill="FFFFFF"/>
            <w:tcMar>
              <w:top w:w="0" w:type="dxa"/>
              <w:left w:w="108" w:type="dxa"/>
              <w:bottom w:w="0" w:type="dxa"/>
              <w:right w:w="108" w:type="dxa"/>
            </w:tcMar>
            <w:vAlign w:val="bottom"/>
          </w:tcPr>
          <w:p w14:paraId="4E6C4FBE" w14:textId="77777777" w:rsidR="00A76ADB" w:rsidRDefault="00A76ADB" w:rsidP="007E3239">
            <w:pPr>
              <w:pStyle w:val="TableText"/>
              <w:spacing w:before="40" w:after="40"/>
              <w:jc w:val="center"/>
            </w:pPr>
            <w:r w:rsidRPr="002C290C">
              <w:t>669.9</w:t>
            </w:r>
          </w:p>
        </w:tc>
        <w:tc>
          <w:tcPr>
            <w:tcW w:w="2021" w:type="dxa"/>
            <w:shd w:val="clear" w:color="auto" w:fill="FFFFFF"/>
            <w:tcMar>
              <w:top w:w="0" w:type="dxa"/>
              <w:left w:w="108" w:type="dxa"/>
              <w:bottom w:w="0" w:type="dxa"/>
              <w:right w:w="108" w:type="dxa"/>
            </w:tcMar>
            <w:vAlign w:val="bottom"/>
          </w:tcPr>
          <w:p w14:paraId="2C3C1693" w14:textId="77777777" w:rsidR="00A76ADB" w:rsidRDefault="00A76ADB" w:rsidP="007E3239">
            <w:pPr>
              <w:pStyle w:val="TableText"/>
              <w:spacing w:before="40" w:after="40"/>
              <w:jc w:val="center"/>
            </w:pPr>
            <w:r w:rsidRPr="002C290C">
              <w:t>2,774.7</w:t>
            </w:r>
          </w:p>
        </w:tc>
        <w:tc>
          <w:tcPr>
            <w:tcW w:w="1885" w:type="dxa"/>
            <w:shd w:val="clear" w:color="auto" w:fill="FFFFFF"/>
            <w:tcMar>
              <w:top w:w="0" w:type="dxa"/>
              <w:left w:w="108" w:type="dxa"/>
              <w:bottom w:w="0" w:type="dxa"/>
              <w:right w:w="108" w:type="dxa"/>
            </w:tcMar>
            <w:vAlign w:val="bottom"/>
          </w:tcPr>
          <w:p w14:paraId="183AC41F" w14:textId="77777777" w:rsidR="00A76ADB" w:rsidRDefault="00A76ADB" w:rsidP="007E3239">
            <w:pPr>
              <w:pStyle w:val="TableText"/>
              <w:spacing w:before="40" w:after="40"/>
              <w:jc w:val="center"/>
            </w:pPr>
            <w:r w:rsidRPr="002C290C">
              <w:t>3,444.7</w:t>
            </w:r>
          </w:p>
        </w:tc>
      </w:tr>
      <w:tr w:rsidR="00A76ADB" w14:paraId="36D37D63" w14:textId="77777777" w:rsidTr="00F16598">
        <w:trPr>
          <w:cantSplit/>
        </w:trPr>
        <w:tc>
          <w:tcPr>
            <w:tcW w:w="741" w:type="dxa"/>
            <w:shd w:val="clear" w:color="auto" w:fill="FFFFFF"/>
            <w:tcMar>
              <w:top w:w="0" w:type="dxa"/>
              <w:left w:w="108" w:type="dxa"/>
              <w:bottom w:w="0" w:type="dxa"/>
              <w:right w:w="108" w:type="dxa"/>
            </w:tcMar>
            <w:vAlign w:val="center"/>
          </w:tcPr>
          <w:p w14:paraId="288EDE23" w14:textId="77777777" w:rsidR="00A76ADB" w:rsidRDefault="00A76ADB" w:rsidP="007E3239">
            <w:pPr>
              <w:pStyle w:val="TableText"/>
              <w:spacing w:before="40" w:after="40"/>
            </w:pPr>
            <w:r>
              <w:rPr>
                <w:rFonts w:eastAsia="Calibri"/>
              </w:rPr>
              <w:t>1995</w:t>
            </w:r>
          </w:p>
        </w:tc>
        <w:tc>
          <w:tcPr>
            <w:tcW w:w="1093" w:type="dxa"/>
            <w:shd w:val="clear" w:color="auto" w:fill="FFFFFF"/>
            <w:tcMar>
              <w:top w:w="0" w:type="dxa"/>
              <w:left w:w="108" w:type="dxa"/>
              <w:bottom w:w="0" w:type="dxa"/>
              <w:right w:w="108" w:type="dxa"/>
            </w:tcMar>
            <w:vAlign w:val="bottom"/>
          </w:tcPr>
          <w:p w14:paraId="0BEC9E6A" w14:textId="77777777" w:rsidR="00A76ADB" w:rsidRDefault="00A76ADB" w:rsidP="007E3239">
            <w:pPr>
              <w:pStyle w:val="TableText"/>
              <w:spacing w:before="40" w:after="40"/>
              <w:jc w:val="center"/>
            </w:pPr>
            <w:r w:rsidRPr="002C290C">
              <w:t>663.5</w:t>
            </w:r>
          </w:p>
        </w:tc>
        <w:tc>
          <w:tcPr>
            <w:tcW w:w="2021" w:type="dxa"/>
            <w:shd w:val="clear" w:color="auto" w:fill="FFFFFF"/>
            <w:tcMar>
              <w:top w:w="0" w:type="dxa"/>
              <w:left w:w="108" w:type="dxa"/>
              <w:bottom w:w="0" w:type="dxa"/>
              <w:right w:w="108" w:type="dxa"/>
            </w:tcMar>
            <w:vAlign w:val="bottom"/>
          </w:tcPr>
          <w:p w14:paraId="0F85F6BE" w14:textId="77777777" w:rsidR="00A76ADB" w:rsidRDefault="00A76ADB" w:rsidP="007E3239">
            <w:pPr>
              <w:pStyle w:val="TableText"/>
              <w:spacing w:before="40" w:after="40"/>
              <w:jc w:val="center"/>
            </w:pPr>
            <w:r w:rsidRPr="002C290C">
              <w:t>2,916.8</w:t>
            </w:r>
          </w:p>
        </w:tc>
        <w:tc>
          <w:tcPr>
            <w:tcW w:w="1885" w:type="dxa"/>
            <w:shd w:val="clear" w:color="auto" w:fill="FFFFFF"/>
            <w:tcMar>
              <w:top w:w="0" w:type="dxa"/>
              <w:left w:w="108" w:type="dxa"/>
              <w:bottom w:w="0" w:type="dxa"/>
              <w:right w:w="108" w:type="dxa"/>
            </w:tcMar>
            <w:vAlign w:val="bottom"/>
          </w:tcPr>
          <w:p w14:paraId="21578D46" w14:textId="77777777" w:rsidR="00A76ADB" w:rsidRDefault="00A76ADB" w:rsidP="007E3239">
            <w:pPr>
              <w:pStyle w:val="TableText"/>
              <w:spacing w:before="40" w:after="40"/>
              <w:jc w:val="center"/>
            </w:pPr>
            <w:r w:rsidRPr="002C290C">
              <w:t>3,580.2</w:t>
            </w:r>
          </w:p>
        </w:tc>
      </w:tr>
      <w:tr w:rsidR="00A76ADB" w14:paraId="4C676B77" w14:textId="77777777" w:rsidTr="00F16598">
        <w:trPr>
          <w:cantSplit/>
        </w:trPr>
        <w:tc>
          <w:tcPr>
            <w:tcW w:w="741" w:type="dxa"/>
            <w:shd w:val="clear" w:color="auto" w:fill="FFFFFF"/>
            <w:tcMar>
              <w:top w:w="0" w:type="dxa"/>
              <w:left w:w="108" w:type="dxa"/>
              <w:bottom w:w="0" w:type="dxa"/>
              <w:right w:w="108" w:type="dxa"/>
            </w:tcMar>
            <w:vAlign w:val="center"/>
          </w:tcPr>
          <w:p w14:paraId="6A7E1953" w14:textId="77777777" w:rsidR="00A76ADB" w:rsidRDefault="00A76ADB" w:rsidP="007E3239">
            <w:pPr>
              <w:pStyle w:val="TableText"/>
              <w:spacing w:before="40" w:after="40"/>
            </w:pPr>
            <w:r>
              <w:rPr>
                <w:rFonts w:eastAsia="Calibri"/>
              </w:rPr>
              <w:t>1996</w:t>
            </w:r>
          </w:p>
        </w:tc>
        <w:tc>
          <w:tcPr>
            <w:tcW w:w="1093" w:type="dxa"/>
            <w:shd w:val="clear" w:color="auto" w:fill="FFFFFF"/>
            <w:tcMar>
              <w:top w:w="0" w:type="dxa"/>
              <w:left w:w="108" w:type="dxa"/>
              <w:bottom w:w="0" w:type="dxa"/>
              <w:right w:w="108" w:type="dxa"/>
            </w:tcMar>
            <w:vAlign w:val="bottom"/>
          </w:tcPr>
          <w:p w14:paraId="029E879B" w14:textId="77777777" w:rsidR="00A76ADB" w:rsidRDefault="00A76ADB" w:rsidP="007E3239">
            <w:pPr>
              <w:pStyle w:val="TableText"/>
              <w:spacing w:before="40" w:after="40"/>
              <w:jc w:val="center"/>
            </w:pPr>
            <w:r w:rsidRPr="002C290C">
              <w:t>637.3</w:t>
            </w:r>
          </w:p>
        </w:tc>
        <w:tc>
          <w:tcPr>
            <w:tcW w:w="2021" w:type="dxa"/>
            <w:shd w:val="clear" w:color="auto" w:fill="FFFFFF"/>
            <w:tcMar>
              <w:top w:w="0" w:type="dxa"/>
              <w:left w:w="108" w:type="dxa"/>
              <w:bottom w:w="0" w:type="dxa"/>
              <w:right w:w="108" w:type="dxa"/>
            </w:tcMar>
            <w:vAlign w:val="bottom"/>
          </w:tcPr>
          <w:p w14:paraId="16C501DA" w14:textId="77777777" w:rsidR="00A76ADB" w:rsidRDefault="00A76ADB" w:rsidP="007E3239">
            <w:pPr>
              <w:pStyle w:val="TableText"/>
              <w:spacing w:before="40" w:after="40"/>
              <w:jc w:val="center"/>
            </w:pPr>
            <w:r w:rsidRPr="002C290C">
              <w:t>3,054.5</w:t>
            </w:r>
          </w:p>
        </w:tc>
        <w:tc>
          <w:tcPr>
            <w:tcW w:w="1885" w:type="dxa"/>
            <w:shd w:val="clear" w:color="auto" w:fill="FFFFFF"/>
            <w:tcMar>
              <w:top w:w="0" w:type="dxa"/>
              <w:left w:w="108" w:type="dxa"/>
              <w:bottom w:w="0" w:type="dxa"/>
              <w:right w:w="108" w:type="dxa"/>
            </w:tcMar>
            <w:vAlign w:val="bottom"/>
          </w:tcPr>
          <w:p w14:paraId="1EE4D90C" w14:textId="77777777" w:rsidR="00A76ADB" w:rsidRDefault="00A76ADB" w:rsidP="007E3239">
            <w:pPr>
              <w:pStyle w:val="TableText"/>
              <w:spacing w:before="40" w:after="40"/>
              <w:jc w:val="center"/>
            </w:pPr>
            <w:r w:rsidRPr="002C290C">
              <w:t>3,691.9</w:t>
            </w:r>
          </w:p>
        </w:tc>
      </w:tr>
      <w:tr w:rsidR="00A76ADB" w14:paraId="636994DD" w14:textId="77777777" w:rsidTr="00F16598">
        <w:trPr>
          <w:cantSplit/>
        </w:trPr>
        <w:tc>
          <w:tcPr>
            <w:tcW w:w="741" w:type="dxa"/>
            <w:shd w:val="clear" w:color="auto" w:fill="FFFFFF"/>
            <w:tcMar>
              <w:top w:w="0" w:type="dxa"/>
              <w:left w:w="108" w:type="dxa"/>
              <w:bottom w:w="0" w:type="dxa"/>
              <w:right w:w="108" w:type="dxa"/>
            </w:tcMar>
            <w:vAlign w:val="center"/>
          </w:tcPr>
          <w:p w14:paraId="3692805C" w14:textId="77777777" w:rsidR="00A76ADB" w:rsidRDefault="00A76ADB" w:rsidP="007E3239">
            <w:pPr>
              <w:pStyle w:val="TableText"/>
              <w:spacing w:before="40" w:after="40"/>
            </w:pPr>
            <w:r>
              <w:rPr>
                <w:rFonts w:eastAsia="Calibri"/>
              </w:rPr>
              <w:t>1997</w:t>
            </w:r>
          </w:p>
        </w:tc>
        <w:tc>
          <w:tcPr>
            <w:tcW w:w="1093" w:type="dxa"/>
            <w:shd w:val="clear" w:color="auto" w:fill="FFFFFF"/>
            <w:tcMar>
              <w:top w:w="0" w:type="dxa"/>
              <w:left w:w="108" w:type="dxa"/>
              <w:bottom w:w="0" w:type="dxa"/>
              <w:right w:w="108" w:type="dxa"/>
            </w:tcMar>
            <w:vAlign w:val="bottom"/>
          </w:tcPr>
          <w:p w14:paraId="2D5311E1" w14:textId="77777777" w:rsidR="00A76ADB" w:rsidRDefault="00A76ADB" w:rsidP="007E3239">
            <w:pPr>
              <w:pStyle w:val="TableText"/>
              <w:spacing w:before="40" w:after="40"/>
              <w:jc w:val="center"/>
            </w:pPr>
            <w:r w:rsidRPr="002C290C">
              <w:t>684.9</w:t>
            </w:r>
          </w:p>
        </w:tc>
        <w:tc>
          <w:tcPr>
            <w:tcW w:w="2021" w:type="dxa"/>
            <w:shd w:val="clear" w:color="auto" w:fill="FFFFFF"/>
            <w:tcMar>
              <w:top w:w="0" w:type="dxa"/>
              <w:left w:w="108" w:type="dxa"/>
              <w:bottom w:w="0" w:type="dxa"/>
              <w:right w:w="108" w:type="dxa"/>
            </w:tcMar>
            <w:vAlign w:val="bottom"/>
          </w:tcPr>
          <w:p w14:paraId="66E1B103" w14:textId="77777777" w:rsidR="00A76ADB" w:rsidRDefault="00A76ADB" w:rsidP="007E3239">
            <w:pPr>
              <w:pStyle w:val="TableText"/>
              <w:spacing w:before="40" w:after="40"/>
              <w:jc w:val="center"/>
            </w:pPr>
            <w:r w:rsidRPr="002C290C">
              <w:t>3,165.0</w:t>
            </w:r>
          </w:p>
        </w:tc>
        <w:tc>
          <w:tcPr>
            <w:tcW w:w="1885" w:type="dxa"/>
            <w:shd w:val="clear" w:color="auto" w:fill="FFFFFF"/>
            <w:tcMar>
              <w:top w:w="0" w:type="dxa"/>
              <w:left w:w="108" w:type="dxa"/>
              <w:bottom w:w="0" w:type="dxa"/>
              <w:right w:w="108" w:type="dxa"/>
            </w:tcMar>
            <w:vAlign w:val="bottom"/>
          </w:tcPr>
          <w:p w14:paraId="7B50BCD8" w14:textId="77777777" w:rsidR="00A76ADB" w:rsidRDefault="00A76ADB" w:rsidP="007E3239">
            <w:pPr>
              <w:pStyle w:val="TableText"/>
              <w:spacing w:before="40" w:after="40"/>
              <w:jc w:val="center"/>
            </w:pPr>
            <w:r w:rsidRPr="002C290C">
              <w:t>3,849.9</w:t>
            </w:r>
          </w:p>
        </w:tc>
      </w:tr>
      <w:tr w:rsidR="00A76ADB" w14:paraId="602F3877" w14:textId="77777777" w:rsidTr="00F16598">
        <w:trPr>
          <w:cantSplit/>
        </w:trPr>
        <w:tc>
          <w:tcPr>
            <w:tcW w:w="741" w:type="dxa"/>
            <w:shd w:val="clear" w:color="auto" w:fill="FFFFFF"/>
            <w:tcMar>
              <w:top w:w="0" w:type="dxa"/>
              <w:left w:w="108" w:type="dxa"/>
              <w:bottom w:w="0" w:type="dxa"/>
              <w:right w:w="108" w:type="dxa"/>
            </w:tcMar>
            <w:vAlign w:val="center"/>
          </w:tcPr>
          <w:p w14:paraId="6480DFCA" w14:textId="77777777" w:rsidR="00A76ADB" w:rsidRDefault="00A76ADB" w:rsidP="007E3239">
            <w:pPr>
              <w:pStyle w:val="TableText"/>
              <w:spacing w:before="40" w:after="40"/>
            </w:pPr>
            <w:r>
              <w:rPr>
                <w:rFonts w:eastAsia="Calibri"/>
              </w:rPr>
              <w:t>1998</w:t>
            </w:r>
          </w:p>
        </w:tc>
        <w:tc>
          <w:tcPr>
            <w:tcW w:w="1093" w:type="dxa"/>
            <w:shd w:val="clear" w:color="auto" w:fill="FFFFFF"/>
            <w:tcMar>
              <w:top w:w="0" w:type="dxa"/>
              <w:left w:w="108" w:type="dxa"/>
              <w:bottom w:w="0" w:type="dxa"/>
              <w:right w:w="108" w:type="dxa"/>
            </w:tcMar>
            <w:vAlign w:val="bottom"/>
          </w:tcPr>
          <w:p w14:paraId="3F162BBD" w14:textId="77777777" w:rsidR="00A76ADB" w:rsidRDefault="00A76ADB" w:rsidP="007E3239">
            <w:pPr>
              <w:pStyle w:val="TableText"/>
              <w:spacing w:before="40" w:after="40"/>
              <w:jc w:val="center"/>
            </w:pPr>
            <w:r w:rsidRPr="002C290C">
              <w:t>732.4</w:t>
            </w:r>
          </w:p>
        </w:tc>
        <w:tc>
          <w:tcPr>
            <w:tcW w:w="2021" w:type="dxa"/>
            <w:shd w:val="clear" w:color="auto" w:fill="FFFFFF"/>
            <w:tcMar>
              <w:top w:w="0" w:type="dxa"/>
              <w:left w:w="108" w:type="dxa"/>
              <w:bottom w:w="0" w:type="dxa"/>
              <w:right w:w="108" w:type="dxa"/>
            </w:tcMar>
            <w:vAlign w:val="bottom"/>
          </w:tcPr>
          <w:p w14:paraId="5098C5F4" w14:textId="77777777" w:rsidR="00A76ADB" w:rsidRDefault="00A76ADB" w:rsidP="007E3239">
            <w:pPr>
              <w:pStyle w:val="TableText"/>
              <w:spacing w:before="40" w:after="40"/>
              <w:jc w:val="center"/>
            </w:pPr>
            <w:r w:rsidRPr="002C290C">
              <w:t>3,229.9</w:t>
            </w:r>
          </w:p>
        </w:tc>
        <w:tc>
          <w:tcPr>
            <w:tcW w:w="1885" w:type="dxa"/>
            <w:shd w:val="clear" w:color="auto" w:fill="FFFFFF"/>
            <w:tcMar>
              <w:top w:w="0" w:type="dxa"/>
              <w:left w:w="108" w:type="dxa"/>
              <w:bottom w:w="0" w:type="dxa"/>
              <w:right w:w="108" w:type="dxa"/>
            </w:tcMar>
            <w:vAlign w:val="bottom"/>
          </w:tcPr>
          <w:p w14:paraId="0FEF08BF" w14:textId="77777777" w:rsidR="00A76ADB" w:rsidRDefault="00A76ADB" w:rsidP="007E3239">
            <w:pPr>
              <w:pStyle w:val="TableText"/>
              <w:spacing w:before="40" w:after="40"/>
              <w:jc w:val="center"/>
            </w:pPr>
            <w:r w:rsidRPr="002C290C">
              <w:t>3,962.3</w:t>
            </w:r>
          </w:p>
        </w:tc>
      </w:tr>
      <w:tr w:rsidR="00A76ADB" w14:paraId="2ABD6299" w14:textId="77777777" w:rsidTr="00F16598">
        <w:trPr>
          <w:cantSplit/>
        </w:trPr>
        <w:tc>
          <w:tcPr>
            <w:tcW w:w="741" w:type="dxa"/>
            <w:shd w:val="clear" w:color="auto" w:fill="FFFFFF"/>
            <w:tcMar>
              <w:top w:w="0" w:type="dxa"/>
              <w:left w:w="108" w:type="dxa"/>
              <w:bottom w:w="0" w:type="dxa"/>
              <w:right w:w="108" w:type="dxa"/>
            </w:tcMar>
            <w:vAlign w:val="center"/>
          </w:tcPr>
          <w:p w14:paraId="0E960619" w14:textId="77777777" w:rsidR="00A76ADB" w:rsidRDefault="00A76ADB" w:rsidP="007E3239">
            <w:pPr>
              <w:pStyle w:val="TableText"/>
              <w:spacing w:before="40" w:after="40"/>
            </w:pPr>
            <w:r>
              <w:rPr>
                <w:rFonts w:eastAsia="Calibri"/>
              </w:rPr>
              <w:t>1999</w:t>
            </w:r>
          </w:p>
        </w:tc>
        <w:tc>
          <w:tcPr>
            <w:tcW w:w="1093" w:type="dxa"/>
            <w:shd w:val="clear" w:color="auto" w:fill="FFFFFF"/>
            <w:tcMar>
              <w:top w:w="0" w:type="dxa"/>
              <w:left w:w="108" w:type="dxa"/>
              <w:bottom w:w="0" w:type="dxa"/>
              <w:right w:w="108" w:type="dxa"/>
            </w:tcMar>
            <w:vAlign w:val="bottom"/>
          </w:tcPr>
          <w:p w14:paraId="2C74B0E5" w14:textId="77777777" w:rsidR="00A76ADB" w:rsidRDefault="00A76ADB" w:rsidP="007E3239">
            <w:pPr>
              <w:pStyle w:val="TableText"/>
              <w:spacing w:before="40" w:after="40"/>
              <w:jc w:val="center"/>
            </w:pPr>
            <w:r w:rsidRPr="002C290C">
              <w:t>779.9</w:t>
            </w:r>
          </w:p>
        </w:tc>
        <w:tc>
          <w:tcPr>
            <w:tcW w:w="2021" w:type="dxa"/>
            <w:shd w:val="clear" w:color="auto" w:fill="FFFFFF"/>
            <w:tcMar>
              <w:top w:w="0" w:type="dxa"/>
              <w:left w:w="108" w:type="dxa"/>
              <w:bottom w:w="0" w:type="dxa"/>
              <w:right w:w="108" w:type="dxa"/>
            </w:tcMar>
            <w:vAlign w:val="bottom"/>
          </w:tcPr>
          <w:p w14:paraId="13B3036E" w14:textId="77777777" w:rsidR="00A76ADB" w:rsidRDefault="00A76ADB" w:rsidP="007E3239">
            <w:pPr>
              <w:pStyle w:val="TableText"/>
              <w:spacing w:before="40" w:after="40"/>
              <w:jc w:val="center"/>
            </w:pPr>
            <w:r w:rsidRPr="002C290C">
              <w:t>3,255.6</w:t>
            </w:r>
          </w:p>
        </w:tc>
        <w:tc>
          <w:tcPr>
            <w:tcW w:w="1885" w:type="dxa"/>
            <w:shd w:val="clear" w:color="auto" w:fill="FFFFFF"/>
            <w:tcMar>
              <w:top w:w="0" w:type="dxa"/>
              <w:left w:w="108" w:type="dxa"/>
              <w:bottom w:w="0" w:type="dxa"/>
              <w:right w:w="108" w:type="dxa"/>
            </w:tcMar>
            <w:vAlign w:val="bottom"/>
          </w:tcPr>
          <w:p w14:paraId="55975C51" w14:textId="77777777" w:rsidR="00A76ADB" w:rsidRDefault="00A76ADB" w:rsidP="007E3239">
            <w:pPr>
              <w:pStyle w:val="TableText"/>
              <w:spacing w:before="40" w:after="40"/>
              <w:jc w:val="center"/>
            </w:pPr>
            <w:r w:rsidRPr="002C290C">
              <w:t>4,035.6</w:t>
            </w:r>
          </w:p>
        </w:tc>
      </w:tr>
      <w:tr w:rsidR="00A76ADB" w14:paraId="2CAF1670" w14:textId="77777777" w:rsidTr="00F16598">
        <w:trPr>
          <w:cantSplit/>
        </w:trPr>
        <w:tc>
          <w:tcPr>
            <w:tcW w:w="741" w:type="dxa"/>
            <w:shd w:val="clear" w:color="auto" w:fill="FFFFFF"/>
            <w:tcMar>
              <w:top w:w="0" w:type="dxa"/>
              <w:left w:w="108" w:type="dxa"/>
              <w:bottom w:w="0" w:type="dxa"/>
              <w:right w:w="108" w:type="dxa"/>
            </w:tcMar>
            <w:vAlign w:val="center"/>
          </w:tcPr>
          <w:p w14:paraId="3E7C52E3" w14:textId="77777777" w:rsidR="00A76ADB" w:rsidRDefault="00A76ADB" w:rsidP="007E3239">
            <w:pPr>
              <w:pStyle w:val="TableText"/>
              <w:spacing w:before="40" w:after="40"/>
            </w:pPr>
            <w:r>
              <w:rPr>
                <w:rFonts w:eastAsia="Calibri"/>
              </w:rPr>
              <w:t>2000</w:t>
            </w:r>
          </w:p>
        </w:tc>
        <w:tc>
          <w:tcPr>
            <w:tcW w:w="1093" w:type="dxa"/>
            <w:shd w:val="clear" w:color="auto" w:fill="FFFFFF"/>
            <w:tcMar>
              <w:top w:w="0" w:type="dxa"/>
              <w:left w:w="108" w:type="dxa"/>
              <w:bottom w:w="0" w:type="dxa"/>
              <w:right w:w="108" w:type="dxa"/>
            </w:tcMar>
            <w:vAlign w:val="bottom"/>
          </w:tcPr>
          <w:p w14:paraId="428496FF" w14:textId="77777777" w:rsidR="00A76ADB" w:rsidRDefault="00A76ADB" w:rsidP="007E3239">
            <w:pPr>
              <w:pStyle w:val="TableText"/>
              <w:spacing w:before="40" w:after="40"/>
              <w:jc w:val="center"/>
            </w:pPr>
            <w:r w:rsidRPr="002C290C">
              <w:t>745.8</w:t>
            </w:r>
          </w:p>
        </w:tc>
        <w:tc>
          <w:tcPr>
            <w:tcW w:w="2021" w:type="dxa"/>
            <w:shd w:val="clear" w:color="auto" w:fill="FFFFFF"/>
            <w:tcMar>
              <w:top w:w="0" w:type="dxa"/>
              <w:left w:w="108" w:type="dxa"/>
              <w:bottom w:w="0" w:type="dxa"/>
              <w:right w:w="108" w:type="dxa"/>
            </w:tcMar>
            <w:vAlign w:val="bottom"/>
          </w:tcPr>
          <w:p w14:paraId="73A187E1" w14:textId="77777777" w:rsidR="00A76ADB" w:rsidRDefault="00A76ADB" w:rsidP="007E3239">
            <w:pPr>
              <w:pStyle w:val="TableText"/>
              <w:spacing w:before="40" w:after="40"/>
              <w:jc w:val="center"/>
            </w:pPr>
            <w:r w:rsidRPr="002C290C">
              <w:t>3,433.1</w:t>
            </w:r>
          </w:p>
        </w:tc>
        <w:tc>
          <w:tcPr>
            <w:tcW w:w="1885" w:type="dxa"/>
            <w:shd w:val="clear" w:color="auto" w:fill="FFFFFF"/>
            <w:tcMar>
              <w:top w:w="0" w:type="dxa"/>
              <w:left w:w="108" w:type="dxa"/>
              <w:bottom w:w="0" w:type="dxa"/>
              <w:right w:w="108" w:type="dxa"/>
            </w:tcMar>
            <w:vAlign w:val="bottom"/>
          </w:tcPr>
          <w:p w14:paraId="16E6BB60" w14:textId="77777777" w:rsidR="00A76ADB" w:rsidRDefault="00A76ADB" w:rsidP="007E3239">
            <w:pPr>
              <w:pStyle w:val="TableText"/>
              <w:spacing w:before="40" w:after="40"/>
              <w:jc w:val="center"/>
            </w:pPr>
            <w:r w:rsidRPr="002C290C">
              <w:t>4,178.9</w:t>
            </w:r>
          </w:p>
        </w:tc>
      </w:tr>
      <w:tr w:rsidR="00A76ADB" w14:paraId="3B9197FF" w14:textId="77777777" w:rsidTr="00F16598">
        <w:trPr>
          <w:cantSplit/>
        </w:trPr>
        <w:tc>
          <w:tcPr>
            <w:tcW w:w="741" w:type="dxa"/>
            <w:shd w:val="clear" w:color="auto" w:fill="FFFFFF"/>
            <w:tcMar>
              <w:top w:w="0" w:type="dxa"/>
              <w:left w:w="108" w:type="dxa"/>
              <w:bottom w:w="0" w:type="dxa"/>
              <w:right w:w="108" w:type="dxa"/>
            </w:tcMar>
            <w:vAlign w:val="center"/>
          </w:tcPr>
          <w:p w14:paraId="53FC81E1" w14:textId="77777777" w:rsidR="00A76ADB" w:rsidRDefault="00A76ADB" w:rsidP="007E3239">
            <w:pPr>
              <w:pStyle w:val="TableText"/>
              <w:spacing w:before="40" w:after="40"/>
            </w:pPr>
            <w:r>
              <w:rPr>
                <w:rFonts w:eastAsia="Calibri"/>
              </w:rPr>
              <w:t>2001</w:t>
            </w:r>
          </w:p>
        </w:tc>
        <w:tc>
          <w:tcPr>
            <w:tcW w:w="1093" w:type="dxa"/>
            <w:shd w:val="clear" w:color="auto" w:fill="FFFFFF"/>
            <w:tcMar>
              <w:top w:w="0" w:type="dxa"/>
              <w:left w:w="108" w:type="dxa"/>
              <w:bottom w:w="0" w:type="dxa"/>
              <w:right w:w="108" w:type="dxa"/>
            </w:tcMar>
            <w:vAlign w:val="bottom"/>
          </w:tcPr>
          <w:p w14:paraId="190F819D" w14:textId="77777777" w:rsidR="00A76ADB" w:rsidRDefault="00A76ADB" w:rsidP="007E3239">
            <w:pPr>
              <w:pStyle w:val="TableText"/>
              <w:spacing w:before="40" w:after="40"/>
              <w:jc w:val="center"/>
            </w:pPr>
            <w:r w:rsidRPr="002C290C">
              <w:t>711.7</w:t>
            </w:r>
          </w:p>
        </w:tc>
        <w:tc>
          <w:tcPr>
            <w:tcW w:w="2021" w:type="dxa"/>
            <w:shd w:val="clear" w:color="auto" w:fill="FFFFFF"/>
            <w:tcMar>
              <w:top w:w="0" w:type="dxa"/>
              <w:left w:w="108" w:type="dxa"/>
              <w:bottom w:w="0" w:type="dxa"/>
              <w:right w:w="108" w:type="dxa"/>
            </w:tcMar>
            <w:vAlign w:val="bottom"/>
          </w:tcPr>
          <w:p w14:paraId="02EC1498" w14:textId="77777777" w:rsidR="00A76ADB" w:rsidRDefault="00A76ADB" w:rsidP="007E3239">
            <w:pPr>
              <w:pStyle w:val="TableText"/>
              <w:spacing w:before="40" w:after="40"/>
              <w:jc w:val="center"/>
            </w:pPr>
            <w:r w:rsidRPr="002C290C">
              <w:t>3,532.8</w:t>
            </w:r>
          </w:p>
        </w:tc>
        <w:tc>
          <w:tcPr>
            <w:tcW w:w="1885" w:type="dxa"/>
            <w:shd w:val="clear" w:color="auto" w:fill="FFFFFF"/>
            <w:tcMar>
              <w:top w:w="0" w:type="dxa"/>
              <w:left w:w="108" w:type="dxa"/>
              <w:bottom w:w="0" w:type="dxa"/>
              <w:right w:w="108" w:type="dxa"/>
            </w:tcMar>
            <w:vAlign w:val="bottom"/>
          </w:tcPr>
          <w:p w14:paraId="35DEB34E" w14:textId="77777777" w:rsidR="00A76ADB" w:rsidRDefault="00A76ADB" w:rsidP="007E3239">
            <w:pPr>
              <w:pStyle w:val="TableText"/>
              <w:spacing w:before="40" w:after="40"/>
              <w:jc w:val="center"/>
            </w:pPr>
            <w:r w:rsidRPr="002C290C">
              <w:t>4,244.6</w:t>
            </w:r>
          </w:p>
        </w:tc>
      </w:tr>
      <w:tr w:rsidR="00A76ADB" w14:paraId="3294362D" w14:textId="77777777" w:rsidTr="00F16598">
        <w:trPr>
          <w:cantSplit/>
        </w:trPr>
        <w:tc>
          <w:tcPr>
            <w:tcW w:w="741" w:type="dxa"/>
            <w:shd w:val="clear" w:color="auto" w:fill="FFFFFF"/>
            <w:tcMar>
              <w:top w:w="0" w:type="dxa"/>
              <w:left w:w="108" w:type="dxa"/>
              <w:bottom w:w="0" w:type="dxa"/>
              <w:right w:w="108" w:type="dxa"/>
            </w:tcMar>
            <w:vAlign w:val="center"/>
          </w:tcPr>
          <w:p w14:paraId="5B80E841" w14:textId="77777777" w:rsidR="00A76ADB" w:rsidRDefault="00A76ADB" w:rsidP="007E3239">
            <w:pPr>
              <w:pStyle w:val="TableText"/>
              <w:spacing w:before="40" w:after="40"/>
            </w:pPr>
            <w:r>
              <w:rPr>
                <w:rFonts w:eastAsia="Calibri"/>
              </w:rPr>
              <w:t>2002</w:t>
            </w:r>
          </w:p>
        </w:tc>
        <w:tc>
          <w:tcPr>
            <w:tcW w:w="1093" w:type="dxa"/>
            <w:shd w:val="clear" w:color="auto" w:fill="FFFFFF"/>
            <w:tcMar>
              <w:top w:w="0" w:type="dxa"/>
              <w:left w:w="108" w:type="dxa"/>
              <w:bottom w:w="0" w:type="dxa"/>
              <w:right w:w="108" w:type="dxa"/>
            </w:tcMar>
            <w:vAlign w:val="bottom"/>
          </w:tcPr>
          <w:p w14:paraId="7B5ADE8D" w14:textId="77777777" w:rsidR="00A76ADB" w:rsidRDefault="00A76ADB" w:rsidP="007E3239">
            <w:pPr>
              <w:pStyle w:val="TableText"/>
              <w:spacing w:before="40" w:after="40"/>
              <w:jc w:val="center"/>
            </w:pPr>
            <w:r w:rsidRPr="002C290C">
              <w:t>677.6</w:t>
            </w:r>
          </w:p>
        </w:tc>
        <w:tc>
          <w:tcPr>
            <w:tcW w:w="2021" w:type="dxa"/>
            <w:shd w:val="clear" w:color="auto" w:fill="FFFFFF"/>
            <w:tcMar>
              <w:top w:w="0" w:type="dxa"/>
              <w:left w:w="108" w:type="dxa"/>
              <w:bottom w:w="0" w:type="dxa"/>
              <w:right w:w="108" w:type="dxa"/>
            </w:tcMar>
            <w:vAlign w:val="bottom"/>
          </w:tcPr>
          <w:p w14:paraId="6818B85D" w14:textId="77777777" w:rsidR="00A76ADB" w:rsidRDefault="00A76ADB" w:rsidP="007E3239">
            <w:pPr>
              <w:pStyle w:val="TableText"/>
              <w:spacing w:before="40" w:after="40"/>
              <w:jc w:val="center"/>
            </w:pPr>
            <w:r w:rsidRPr="002C290C">
              <w:t>3,655.2</w:t>
            </w:r>
          </w:p>
        </w:tc>
        <w:tc>
          <w:tcPr>
            <w:tcW w:w="1885" w:type="dxa"/>
            <w:shd w:val="clear" w:color="auto" w:fill="FFFFFF"/>
            <w:tcMar>
              <w:top w:w="0" w:type="dxa"/>
              <w:left w:w="108" w:type="dxa"/>
              <w:bottom w:w="0" w:type="dxa"/>
              <w:right w:w="108" w:type="dxa"/>
            </w:tcMar>
            <w:vAlign w:val="bottom"/>
          </w:tcPr>
          <w:p w14:paraId="1765AC6B" w14:textId="77777777" w:rsidR="00A76ADB" w:rsidRDefault="00A76ADB" w:rsidP="007E3239">
            <w:pPr>
              <w:pStyle w:val="TableText"/>
              <w:spacing w:before="40" w:after="40"/>
              <w:jc w:val="center"/>
            </w:pPr>
            <w:r w:rsidRPr="002C290C">
              <w:t>4,332.9</w:t>
            </w:r>
          </w:p>
        </w:tc>
      </w:tr>
      <w:tr w:rsidR="00A76ADB" w14:paraId="3BDDE71D" w14:textId="77777777" w:rsidTr="00F16598">
        <w:trPr>
          <w:cantSplit/>
        </w:trPr>
        <w:tc>
          <w:tcPr>
            <w:tcW w:w="741" w:type="dxa"/>
            <w:shd w:val="clear" w:color="auto" w:fill="FFFFFF"/>
            <w:tcMar>
              <w:top w:w="0" w:type="dxa"/>
              <w:left w:w="108" w:type="dxa"/>
              <w:bottom w:w="0" w:type="dxa"/>
              <w:right w:w="108" w:type="dxa"/>
            </w:tcMar>
            <w:vAlign w:val="center"/>
          </w:tcPr>
          <w:p w14:paraId="7AEF23C0" w14:textId="77777777" w:rsidR="00A76ADB" w:rsidRDefault="00A76ADB" w:rsidP="007E3239">
            <w:pPr>
              <w:pStyle w:val="TableText"/>
              <w:spacing w:before="40" w:after="40"/>
            </w:pPr>
            <w:r>
              <w:rPr>
                <w:rFonts w:eastAsia="Calibri"/>
              </w:rPr>
              <w:t>2003</w:t>
            </w:r>
          </w:p>
        </w:tc>
        <w:tc>
          <w:tcPr>
            <w:tcW w:w="1093" w:type="dxa"/>
            <w:shd w:val="clear" w:color="auto" w:fill="FFFFFF"/>
            <w:tcMar>
              <w:top w:w="0" w:type="dxa"/>
              <w:left w:w="108" w:type="dxa"/>
              <w:bottom w:w="0" w:type="dxa"/>
              <w:right w:w="108" w:type="dxa"/>
            </w:tcMar>
            <w:vAlign w:val="bottom"/>
          </w:tcPr>
          <w:p w14:paraId="433B80EC" w14:textId="77777777" w:rsidR="00A76ADB" w:rsidRDefault="00A76ADB" w:rsidP="007E3239">
            <w:pPr>
              <w:pStyle w:val="TableText"/>
              <w:spacing w:before="40" w:after="40"/>
              <w:jc w:val="center"/>
            </w:pPr>
            <w:r w:rsidRPr="002C290C">
              <w:t>636.6</w:t>
            </w:r>
          </w:p>
        </w:tc>
        <w:tc>
          <w:tcPr>
            <w:tcW w:w="2021" w:type="dxa"/>
            <w:shd w:val="clear" w:color="auto" w:fill="FFFFFF"/>
            <w:tcMar>
              <w:top w:w="0" w:type="dxa"/>
              <w:left w:w="108" w:type="dxa"/>
              <w:bottom w:w="0" w:type="dxa"/>
              <w:right w:w="108" w:type="dxa"/>
            </w:tcMar>
            <w:vAlign w:val="bottom"/>
          </w:tcPr>
          <w:p w14:paraId="5CCDC775" w14:textId="77777777" w:rsidR="00A76ADB" w:rsidRDefault="00A76ADB" w:rsidP="007E3239">
            <w:pPr>
              <w:pStyle w:val="TableText"/>
              <w:spacing w:before="40" w:after="40"/>
              <w:jc w:val="center"/>
            </w:pPr>
            <w:r w:rsidRPr="002C290C">
              <w:t>3,826.1</w:t>
            </w:r>
          </w:p>
        </w:tc>
        <w:tc>
          <w:tcPr>
            <w:tcW w:w="1885" w:type="dxa"/>
            <w:shd w:val="clear" w:color="auto" w:fill="FFFFFF"/>
            <w:tcMar>
              <w:top w:w="0" w:type="dxa"/>
              <w:left w:w="108" w:type="dxa"/>
              <w:bottom w:w="0" w:type="dxa"/>
              <w:right w:w="108" w:type="dxa"/>
            </w:tcMar>
            <w:vAlign w:val="bottom"/>
          </w:tcPr>
          <w:p w14:paraId="5D69B8A8" w14:textId="77777777" w:rsidR="00A76ADB" w:rsidRDefault="00A76ADB" w:rsidP="007E3239">
            <w:pPr>
              <w:pStyle w:val="TableText"/>
              <w:spacing w:before="40" w:after="40"/>
              <w:jc w:val="center"/>
            </w:pPr>
            <w:r w:rsidRPr="002C290C">
              <w:t>4,462.7</w:t>
            </w:r>
          </w:p>
        </w:tc>
      </w:tr>
      <w:tr w:rsidR="00A76ADB" w14:paraId="6FF1CD29" w14:textId="77777777" w:rsidTr="00F16598">
        <w:trPr>
          <w:cantSplit/>
        </w:trPr>
        <w:tc>
          <w:tcPr>
            <w:tcW w:w="741" w:type="dxa"/>
            <w:shd w:val="clear" w:color="auto" w:fill="FFFFFF"/>
            <w:tcMar>
              <w:top w:w="0" w:type="dxa"/>
              <w:left w:w="108" w:type="dxa"/>
              <w:bottom w:w="0" w:type="dxa"/>
              <w:right w:w="108" w:type="dxa"/>
            </w:tcMar>
            <w:vAlign w:val="center"/>
          </w:tcPr>
          <w:p w14:paraId="4AF81475" w14:textId="77777777" w:rsidR="00A76ADB" w:rsidRDefault="00A76ADB" w:rsidP="007E3239">
            <w:pPr>
              <w:pStyle w:val="TableText"/>
              <w:spacing w:before="40" w:after="40"/>
            </w:pPr>
            <w:r>
              <w:rPr>
                <w:rFonts w:eastAsia="Calibri"/>
              </w:rPr>
              <w:t>2004</w:t>
            </w:r>
          </w:p>
        </w:tc>
        <w:tc>
          <w:tcPr>
            <w:tcW w:w="1093" w:type="dxa"/>
            <w:shd w:val="clear" w:color="auto" w:fill="FFFFFF"/>
            <w:tcMar>
              <w:top w:w="0" w:type="dxa"/>
              <w:left w:w="108" w:type="dxa"/>
              <w:bottom w:w="0" w:type="dxa"/>
              <w:right w:w="108" w:type="dxa"/>
            </w:tcMar>
            <w:vAlign w:val="bottom"/>
          </w:tcPr>
          <w:p w14:paraId="2A35ACF0" w14:textId="77777777" w:rsidR="00A76ADB" w:rsidRDefault="00A76ADB" w:rsidP="007E3239">
            <w:pPr>
              <w:pStyle w:val="TableText"/>
              <w:spacing w:before="40" w:after="40"/>
              <w:jc w:val="center"/>
            </w:pPr>
            <w:r w:rsidRPr="002C290C">
              <w:t>641.4</w:t>
            </w:r>
          </w:p>
        </w:tc>
        <w:tc>
          <w:tcPr>
            <w:tcW w:w="2021" w:type="dxa"/>
            <w:shd w:val="clear" w:color="auto" w:fill="FFFFFF"/>
            <w:tcMar>
              <w:top w:w="0" w:type="dxa"/>
              <w:left w:w="108" w:type="dxa"/>
              <w:bottom w:w="0" w:type="dxa"/>
              <w:right w:w="108" w:type="dxa"/>
            </w:tcMar>
            <w:vAlign w:val="bottom"/>
          </w:tcPr>
          <w:p w14:paraId="68384442" w14:textId="77777777" w:rsidR="00A76ADB" w:rsidRDefault="00A76ADB" w:rsidP="007E3239">
            <w:pPr>
              <w:pStyle w:val="TableText"/>
              <w:spacing w:before="40" w:after="40"/>
              <w:jc w:val="center"/>
            </w:pPr>
            <w:r w:rsidRPr="002C290C">
              <w:t>4,000.2</w:t>
            </w:r>
          </w:p>
        </w:tc>
        <w:tc>
          <w:tcPr>
            <w:tcW w:w="1885" w:type="dxa"/>
            <w:shd w:val="clear" w:color="auto" w:fill="FFFFFF"/>
            <w:tcMar>
              <w:top w:w="0" w:type="dxa"/>
              <w:left w:w="108" w:type="dxa"/>
              <w:bottom w:w="0" w:type="dxa"/>
              <w:right w:w="108" w:type="dxa"/>
            </w:tcMar>
            <w:vAlign w:val="bottom"/>
          </w:tcPr>
          <w:p w14:paraId="519F8658" w14:textId="77777777" w:rsidR="00A76ADB" w:rsidRDefault="00A76ADB" w:rsidP="007E3239">
            <w:pPr>
              <w:pStyle w:val="TableText"/>
              <w:spacing w:before="40" w:after="40"/>
              <w:jc w:val="center"/>
            </w:pPr>
            <w:r w:rsidRPr="002C290C">
              <w:t>4,641.6</w:t>
            </w:r>
          </w:p>
        </w:tc>
      </w:tr>
      <w:tr w:rsidR="00A76ADB" w14:paraId="1DF5F02F" w14:textId="77777777" w:rsidTr="00F16598">
        <w:trPr>
          <w:cantSplit/>
        </w:trPr>
        <w:tc>
          <w:tcPr>
            <w:tcW w:w="741" w:type="dxa"/>
            <w:shd w:val="clear" w:color="auto" w:fill="FFFFFF"/>
            <w:tcMar>
              <w:top w:w="0" w:type="dxa"/>
              <w:left w:w="108" w:type="dxa"/>
              <w:bottom w:w="0" w:type="dxa"/>
              <w:right w:w="108" w:type="dxa"/>
            </w:tcMar>
            <w:vAlign w:val="center"/>
          </w:tcPr>
          <w:p w14:paraId="2A588D04" w14:textId="77777777" w:rsidR="00A76ADB" w:rsidRDefault="00A76ADB" w:rsidP="007E3239">
            <w:pPr>
              <w:pStyle w:val="TableText"/>
              <w:spacing w:before="40" w:after="40"/>
            </w:pPr>
            <w:r>
              <w:rPr>
                <w:rFonts w:eastAsia="Calibri"/>
              </w:rPr>
              <w:t>2005</w:t>
            </w:r>
          </w:p>
        </w:tc>
        <w:tc>
          <w:tcPr>
            <w:tcW w:w="1093" w:type="dxa"/>
            <w:shd w:val="clear" w:color="auto" w:fill="FFFFFF"/>
            <w:tcMar>
              <w:top w:w="0" w:type="dxa"/>
              <w:left w:w="108" w:type="dxa"/>
              <w:bottom w:w="0" w:type="dxa"/>
              <w:right w:w="108" w:type="dxa"/>
            </w:tcMar>
            <w:vAlign w:val="bottom"/>
          </w:tcPr>
          <w:p w14:paraId="22269451" w14:textId="77777777" w:rsidR="00A76ADB" w:rsidRDefault="00A76ADB" w:rsidP="007E3239">
            <w:pPr>
              <w:pStyle w:val="TableText"/>
              <w:spacing w:before="40" w:after="40"/>
              <w:jc w:val="center"/>
            </w:pPr>
            <w:r w:rsidRPr="002C290C">
              <w:t>621.4</w:t>
            </w:r>
          </w:p>
        </w:tc>
        <w:tc>
          <w:tcPr>
            <w:tcW w:w="2021" w:type="dxa"/>
            <w:shd w:val="clear" w:color="auto" w:fill="FFFFFF"/>
            <w:tcMar>
              <w:top w:w="0" w:type="dxa"/>
              <w:left w:w="108" w:type="dxa"/>
              <w:bottom w:w="0" w:type="dxa"/>
              <w:right w:w="108" w:type="dxa"/>
            </w:tcMar>
            <w:vAlign w:val="bottom"/>
          </w:tcPr>
          <w:p w14:paraId="3D14B44D" w14:textId="77777777" w:rsidR="00A76ADB" w:rsidRDefault="00A76ADB" w:rsidP="007E3239">
            <w:pPr>
              <w:pStyle w:val="TableText"/>
              <w:spacing w:before="40" w:after="40"/>
              <w:jc w:val="center"/>
            </w:pPr>
            <w:r w:rsidRPr="002C290C">
              <w:t>4,161.3</w:t>
            </w:r>
          </w:p>
        </w:tc>
        <w:tc>
          <w:tcPr>
            <w:tcW w:w="1885" w:type="dxa"/>
            <w:shd w:val="clear" w:color="auto" w:fill="FFFFFF"/>
            <w:tcMar>
              <w:top w:w="0" w:type="dxa"/>
              <w:left w:w="108" w:type="dxa"/>
              <w:bottom w:w="0" w:type="dxa"/>
              <w:right w:w="108" w:type="dxa"/>
            </w:tcMar>
            <w:vAlign w:val="bottom"/>
          </w:tcPr>
          <w:p w14:paraId="5E55D5BF" w14:textId="77777777" w:rsidR="00A76ADB" w:rsidRDefault="00A76ADB" w:rsidP="007E3239">
            <w:pPr>
              <w:pStyle w:val="TableText"/>
              <w:spacing w:before="40" w:after="40"/>
              <w:jc w:val="center"/>
            </w:pPr>
            <w:r w:rsidRPr="002C290C">
              <w:t>4,782.7</w:t>
            </w:r>
          </w:p>
        </w:tc>
      </w:tr>
      <w:tr w:rsidR="00A76ADB" w14:paraId="6D3CFC11" w14:textId="77777777" w:rsidTr="00F16598">
        <w:trPr>
          <w:cantSplit/>
        </w:trPr>
        <w:tc>
          <w:tcPr>
            <w:tcW w:w="741" w:type="dxa"/>
            <w:shd w:val="clear" w:color="auto" w:fill="FFFFFF"/>
            <w:tcMar>
              <w:top w:w="0" w:type="dxa"/>
              <w:left w:w="108" w:type="dxa"/>
              <w:bottom w:w="0" w:type="dxa"/>
              <w:right w:w="108" w:type="dxa"/>
            </w:tcMar>
            <w:vAlign w:val="center"/>
          </w:tcPr>
          <w:p w14:paraId="7F0BEED9" w14:textId="77777777" w:rsidR="00A76ADB" w:rsidRDefault="00A76ADB" w:rsidP="007E3239">
            <w:pPr>
              <w:pStyle w:val="TableText"/>
              <w:spacing w:before="40" w:after="40"/>
            </w:pPr>
            <w:r>
              <w:rPr>
                <w:rFonts w:eastAsia="Calibri"/>
              </w:rPr>
              <w:t>2006</w:t>
            </w:r>
          </w:p>
        </w:tc>
        <w:tc>
          <w:tcPr>
            <w:tcW w:w="1093" w:type="dxa"/>
            <w:shd w:val="clear" w:color="auto" w:fill="FFFFFF"/>
            <w:tcMar>
              <w:top w:w="0" w:type="dxa"/>
              <w:left w:w="108" w:type="dxa"/>
              <w:bottom w:w="0" w:type="dxa"/>
              <w:right w:w="108" w:type="dxa"/>
            </w:tcMar>
            <w:vAlign w:val="bottom"/>
          </w:tcPr>
          <w:p w14:paraId="07D6E862" w14:textId="77777777" w:rsidR="00A76ADB" w:rsidRDefault="00A76ADB" w:rsidP="007E3239">
            <w:pPr>
              <w:pStyle w:val="TableText"/>
              <w:spacing w:before="40" w:after="40"/>
              <w:jc w:val="center"/>
            </w:pPr>
            <w:r w:rsidRPr="002C290C">
              <w:t>622.9</w:t>
            </w:r>
          </w:p>
        </w:tc>
        <w:tc>
          <w:tcPr>
            <w:tcW w:w="2021" w:type="dxa"/>
            <w:shd w:val="clear" w:color="auto" w:fill="FFFFFF"/>
            <w:tcMar>
              <w:top w:w="0" w:type="dxa"/>
              <w:left w:w="108" w:type="dxa"/>
              <w:bottom w:w="0" w:type="dxa"/>
              <w:right w:w="108" w:type="dxa"/>
            </w:tcMar>
            <w:vAlign w:val="bottom"/>
          </w:tcPr>
          <w:p w14:paraId="5A9D9A4B" w14:textId="77777777" w:rsidR="00A76ADB" w:rsidRDefault="00A76ADB" w:rsidP="007E3239">
            <w:pPr>
              <w:pStyle w:val="TableText"/>
              <w:spacing w:before="40" w:after="40"/>
              <w:jc w:val="center"/>
            </w:pPr>
            <w:r w:rsidRPr="002C290C">
              <w:t>4,299.5</w:t>
            </w:r>
          </w:p>
        </w:tc>
        <w:tc>
          <w:tcPr>
            <w:tcW w:w="1885" w:type="dxa"/>
            <w:shd w:val="clear" w:color="auto" w:fill="FFFFFF"/>
            <w:tcMar>
              <w:top w:w="0" w:type="dxa"/>
              <w:left w:w="108" w:type="dxa"/>
              <w:bottom w:w="0" w:type="dxa"/>
              <w:right w:w="108" w:type="dxa"/>
            </w:tcMar>
            <w:vAlign w:val="bottom"/>
          </w:tcPr>
          <w:p w14:paraId="6B350CE7" w14:textId="77777777" w:rsidR="00A76ADB" w:rsidRDefault="00A76ADB" w:rsidP="007E3239">
            <w:pPr>
              <w:pStyle w:val="TableText"/>
              <w:spacing w:before="40" w:after="40"/>
              <w:jc w:val="center"/>
            </w:pPr>
            <w:r w:rsidRPr="002C290C">
              <w:t>4,922.4</w:t>
            </w:r>
          </w:p>
        </w:tc>
      </w:tr>
      <w:tr w:rsidR="00A76ADB" w14:paraId="0AE03AEC" w14:textId="77777777" w:rsidTr="00F16598">
        <w:trPr>
          <w:cantSplit/>
        </w:trPr>
        <w:tc>
          <w:tcPr>
            <w:tcW w:w="741" w:type="dxa"/>
            <w:shd w:val="clear" w:color="auto" w:fill="FFFFFF"/>
            <w:tcMar>
              <w:top w:w="0" w:type="dxa"/>
              <w:left w:w="108" w:type="dxa"/>
              <w:bottom w:w="0" w:type="dxa"/>
              <w:right w:w="108" w:type="dxa"/>
            </w:tcMar>
            <w:vAlign w:val="center"/>
          </w:tcPr>
          <w:p w14:paraId="579F05A5" w14:textId="77777777" w:rsidR="00A76ADB" w:rsidRDefault="00A76ADB" w:rsidP="007E3239">
            <w:pPr>
              <w:pStyle w:val="TableText"/>
              <w:spacing w:before="40" w:after="40"/>
            </w:pPr>
            <w:r>
              <w:rPr>
                <w:rFonts w:eastAsia="Calibri"/>
              </w:rPr>
              <w:t>2007</w:t>
            </w:r>
          </w:p>
        </w:tc>
        <w:tc>
          <w:tcPr>
            <w:tcW w:w="1093" w:type="dxa"/>
            <w:shd w:val="clear" w:color="auto" w:fill="FFFFFF"/>
            <w:tcMar>
              <w:top w:w="0" w:type="dxa"/>
              <w:left w:w="108" w:type="dxa"/>
              <w:bottom w:w="0" w:type="dxa"/>
              <w:right w:w="108" w:type="dxa"/>
            </w:tcMar>
            <w:vAlign w:val="bottom"/>
          </w:tcPr>
          <w:p w14:paraId="0AA87352" w14:textId="77777777" w:rsidR="00A76ADB" w:rsidRDefault="00A76ADB" w:rsidP="007E3239">
            <w:pPr>
              <w:pStyle w:val="TableText"/>
              <w:spacing w:before="40" w:after="40"/>
              <w:jc w:val="center"/>
            </w:pPr>
            <w:r w:rsidRPr="002C290C">
              <w:t>611.2</w:t>
            </w:r>
          </w:p>
        </w:tc>
        <w:tc>
          <w:tcPr>
            <w:tcW w:w="2021" w:type="dxa"/>
            <w:shd w:val="clear" w:color="auto" w:fill="FFFFFF"/>
            <w:tcMar>
              <w:top w:w="0" w:type="dxa"/>
              <w:left w:w="108" w:type="dxa"/>
              <w:bottom w:w="0" w:type="dxa"/>
              <w:right w:w="108" w:type="dxa"/>
            </w:tcMar>
            <w:vAlign w:val="bottom"/>
          </w:tcPr>
          <w:p w14:paraId="7B5CC53C" w14:textId="77777777" w:rsidR="00A76ADB" w:rsidRDefault="00A76ADB" w:rsidP="007E3239">
            <w:pPr>
              <w:pStyle w:val="TableText"/>
              <w:spacing w:before="40" w:after="40"/>
              <w:jc w:val="center"/>
            </w:pPr>
            <w:r w:rsidRPr="002C290C">
              <w:t>4,423.4</w:t>
            </w:r>
          </w:p>
        </w:tc>
        <w:tc>
          <w:tcPr>
            <w:tcW w:w="1885" w:type="dxa"/>
            <w:shd w:val="clear" w:color="auto" w:fill="FFFFFF"/>
            <w:tcMar>
              <w:top w:w="0" w:type="dxa"/>
              <w:left w:w="108" w:type="dxa"/>
              <w:bottom w:w="0" w:type="dxa"/>
              <w:right w:w="108" w:type="dxa"/>
            </w:tcMar>
            <w:vAlign w:val="bottom"/>
          </w:tcPr>
          <w:p w14:paraId="310794B2" w14:textId="77777777" w:rsidR="00A76ADB" w:rsidRDefault="00A76ADB" w:rsidP="007E3239">
            <w:pPr>
              <w:pStyle w:val="TableText"/>
              <w:spacing w:before="40" w:after="40"/>
              <w:jc w:val="center"/>
            </w:pPr>
            <w:r w:rsidRPr="002C290C">
              <w:t>5,034.6</w:t>
            </w:r>
          </w:p>
        </w:tc>
      </w:tr>
      <w:tr w:rsidR="00A76ADB" w14:paraId="374F4DE4" w14:textId="77777777" w:rsidTr="00F16598">
        <w:trPr>
          <w:cantSplit/>
        </w:trPr>
        <w:tc>
          <w:tcPr>
            <w:tcW w:w="741" w:type="dxa"/>
            <w:shd w:val="clear" w:color="auto" w:fill="FFFFFF"/>
            <w:tcMar>
              <w:top w:w="0" w:type="dxa"/>
              <w:left w:w="108" w:type="dxa"/>
              <w:bottom w:w="0" w:type="dxa"/>
              <w:right w:w="108" w:type="dxa"/>
            </w:tcMar>
            <w:vAlign w:val="center"/>
          </w:tcPr>
          <w:p w14:paraId="5741236F" w14:textId="77777777" w:rsidR="00A76ADB" w:rsidRDefault="00A76ADB" w:rsidP="007E3239">
            <w:pPr>
              <w:pStyle w:val="TableText"/>
              <w:spacing w:before="40" w:after="40"/>
            </w:pPr>
            <w:r>
              <w:rPr>
                <w:rFonts w:eastAsia="Calibri"/>
              </w:rPr>
              <w:t>2008</w:t>
            </w:r>
          </w:p>
        </w:tc>
        <w:tc>
          <w:tcPr>
            <w:tcW w:w="1093" w:type="dxa"/>
            <w:shd w:val="clear" w:color="auto" w:fill="FFFFFF"/>
            <w:tcMar>
              <w:top w:w="0" w:type="dxa"/>
              <w:left w:w="108" w:type="dxa"/>
              <w:bottom w:w="0" w:type="dxa"/>
              <w:right w:w="108" w:type="dxa"/>
            </w:tcMar>
            <w:vAlign w:val="bottom"/>
          </w:tcPr>
          <w:p w14:paraId="78F93FE6" w14:textId="77777777" w:rsidR="00A76ADB" w:rsidRDefault="00A76ADB" w:rsidP="007E3239">
            <w:pPr>
              <w:pStyle w:val="TableText"/>
              <w:spacing w:before="40" w:after="40"/>
              <w:jc w:val="center"/>
            </w:pPr>
            <w:r w:rsidRPr="002C290C">
              <w:t>584.5</w:t>
            </w:r>
          </w:p>
        </w:tc>
        <w:tc>
          <w:tcPr>
            <w:tcW w:w="2021" w:type="dxa"/>
            <w:shd w:val="clear" w:color="auto" w:fill="FFFFFF"/>
            <w:tcMar>
              <w:top w:w="0" w:type="dxa"/>
              <w:left w:w="108" w:type="dxa"/>
              <w:bottom w:w="0" w:type="dxa"/>
              <w:right w:w="108" w:type="dxa"/>
            </w:tcMar>
            <w:vAlign w:val="bottom"/>
          </w:tcPr>
          <w:p w14:paraId="0D154DF3" w14:textId="77777777" w:rsidR="00A76ADB" w:rsidRDefault="00A76ADB" w:rsidP="007E3239">
            <w:pPr>
              <w:pStyle w:val="TableText"/>
              <w:spacing w:before="40" w:after="40"/>
              <w:jc w:val="center"/>
            </w:pPr>
            <w:r w:rsidRPr="002C290C">
              <w:t>4,557.3</w:t>
            </w:r>
          </w:p>
        </w:tc>
        <w:tc>
          <w:tcPr>
            <w:tcW w:w="1885" w:type="dxa"/>
            <w:shd w:val="clear" w:color="auto" w:fill="FFFFFF"/>
            <w:tcMar>
              <w:top w:w="0" w:type="dxa"/>
              <w:left w:w="108" w:type="dxa"/>
              <w:bottom w:w="0" w:type="dxa"/>
              <w:right w:w="108" w:type="dxa"/>
            </w:tcMar>
            <w:vAlign w:val="bottom"/>
          </w:tcPr>
          <w:p w14:paraId="055C0C44" w14:textId="77777777" w:rsidR="00A76ADB" w:rsidRDefault="00A76ADB" w:rsidP="007E3239">
            <w:pPr>
              <w:pStyle w:val="TableText"/>
              <w:spacing w:before="40" w:after="40"/>
              <w:jc w:val="center"/>
            </w:pPr>
            <w:r w:rsidRPr="002C290C">
              <w:t>5,141.9</w:t>
            </w:r>
          </w:p>
        </w:tc>
      </w:tr>
      <w:tr w:rsidR="00A76ADB" w14:paraId="5339FB78" w14:textId="77777777" w:rsidTr="00F16598">
        <w:trPr>
          <w:cantSplit/>
        </w:trPr>
        <w:tc>
          <w:tcPr>
            <w:tcW w:w="741" w:type="dxa"/>
            <w:shd w:val="clear" w:color="auto" w:fill="FFFFFF"/>
            <w:tcMar>
              <w:top w:w="0" w:type="dxa"/>
              <w:left w:w="108" w:type="dxa"/>
              <w:bottom w:w="0" w:type="dxa"/>
              <w:right w:w="108" w:type="dxa"/>
            </w:tcMar>
            <w:vAlign w:val="center"/>
          </w:tcPr>
          <w:p w14:paraId="786BFEB7" w14:textId="77777777" w:rsidR="00A76ADB" w:rsidRDefault="00A76ADB" w:rsidP="007E3239">
            <w:pPr>
              <w:pStyle w:val="TableText"/>
              <w:spacing w:before="40" w:after="40"/>
            </w:pPr>
            <w:r>
              <w:rPr>
                <w:rFonts w:eastAsia="Calibri"/>
              </w:rPr>
              <w:t>2009</w:t>
            </w:r>
          </w:p>
        </w:tc>
        <w:tc>
          <w:tcPr>
            <w:tcW w:w="1093" w:type="dxa"/>
            <w:shd w:val="clear" w:color="auto" w:fill="FFFFFF"/>
            <w:tcMar>
              <w:top w:w="0" w:type="dxa"/>
              <w:left w:w="108" w:type="dxa"/>
              <w:bottom w:w="0" w:type="dxa"/>
              <w:right w:w="108" w:type="dxa"/>
            </w:tcMar>
            <w:vAlign w:val="bottom"/>
          </w:tcPr>
          <w:p w14:paraId="621798FB" w14:textId="77777777" w:rsidR="00A76ADB" w:rsidRDefault="00A76ADB" w:rsidP="007E3239">
            <w:pPr>
              <w:pStyle w:val="TableText"/>
              <w:spacing w:before="40" w:after="40"/>
              <w:jc w:val="center"/>
            </w:pPr>
            <w:r w:rsidRPr="002C290C">
              <w:t>572.4</w:t>
            </w:r>
          </w:p>
        </w:tc>
        <w:tc>
          <w:tcPr>
            <w:tcW w:w="2021" w:type="dxa"/>
            <w:shd w:val="clear" w:color="auto" w:fill="FFFFFF"/>
            <w:tcMar>
              <w:top w:w="0" w:type="dxa"/>
              <w:left w:w="108" w:type="dxa"/>
              <w:bottom w:w="0" w:type="dxa"/>
              <w:right w:w="108" w:type="dxa"/>
            </w:tcMar>
            <w:vAlign w:val="bottom"/>
          </w:tcPr>
          <w:p w14:paraId="3E54C19B" w14:textId="77777777" w:rsidR="00A76ADB" w:rsidRDefault="00A76ADB" w:rsidP="007E3239">
            <w:pPr>
              <w:pStyle w:val="TableText"/>
              <w:spacing w:before="40" w:after="40"/>
              <w:jc w:val="center"/>
            </w:pPr>
            <w:r w:rsidRPr="002C290C">
              <w:t>4,506.5</w:t>
            </w:r>
          </w:p>
        </w:tc>
        <w:tc>
          <w:tcPr>
            <w:tcW w:w="1885" w:type="dxa"/>
            <w:shd w:val="clear" w:color="auto" w:fill="FFFFFF"/>
            <w:tcMar>
              <w:top w:w="0" w:type="dxa"/>
              <w:left w:w="108" w:type="dxa"/>
              <w:bottom w:w="0" w:type="dxa"/>
              <w:right w:w="108" w:type="dxa"/>
            </w:tcMar>
            <w:vAlign w:val="bottom"/>
          </w:tcPr>
          <w:p w14:paraId="54942AC7" w14:textId="77777777" w:rsidR="00A76ADB" w:rsidRDefault="00A76ADB" w:rsidP="007E3239">
            <w:pPr>
              <w:pStyle w:val="TableText"/>
              <w:spacing w:before="40" w:after="40"/>
              <w:jc w:val="center"/>
            </w:pPr>
            <w:r w:rsidRPr="002C290C">
              <w:t>5,078.9</w:t>
            </w:r>
          </w:p>
        </w:tc>
      </w:tr>
      <w:tr w:rsidR="00A76ADB" w14:paraId="375E3197" w14:textId="77777777" w:rsidTr="00F16598">
        <w:trPr>
          <w:cantSplit/>
        </w:trPr>
        <w:tc>
          <w:tcPr>
            <w:tcW w:w="741" w:type="dxa"/>
            <w:shd w:val="clear" w:color="auto" w:fill="FFFFFF"/>
            <w:tcMar>
              <w:top w:w="0" w:type="dxa"/>
              <w:left w:w="108" w:type="dxa"/>
              <w:bottom w:w="0" w:type="dxa"/>
              <w:right w:w="108" w:type="dxa"/>
            </w:tcMar>
            <w:vAlign w:val="center"/>
          </w:tcPr>
          <w:p w14:paraId="72710900" w14:textId="77777777" w:rsidR="00A76ADB" w:rsidRDefault="00A76ADB" w:rsidP="007E3239">
            <w:pPr>
              <w:pStyle w:val="TableText"/>
              <w:spacing w:before="40" w:after="40"/>
            </w:pPr>
            <w:r>
              <w:rPr>
                <w:rFonts w:eastAsia="Calibri"/>
              </w:rPr>
              <w:t>2010</w:t>
            </w:r>
          </w:p>
        </w:tc>
        <w:tc>
          <w:tcPr>
            <w:tcW w:w="1093" w:type="dxa"/>
            <w:shd w:val="clear" w:color="auto" w:fill="FFFFFF"/>
            <w:tcMar>
              <w:top w:w="0" w:type="dxa"/>
              <w:left w:w="108" w:type="dxa"/>
              <w:bottom w:w="0" w:type="dxa"/>
              <w:right w:w="108" w:type="dxa"/>
            </w:tcMar>
            <w:vAlign w:val="bottom"/>
          </w:tcPr>
          <w:p w14:paraId="7573401B" w14:textId="77777777" w:rsidR="00A76ADB" w:rsidRDefault="00A76ADB" w:rsidP="007E3239">
            <w:pPr>
              <w:pStyle w:val="TableText"/>
              <w:spacing w:before="40" w:after="40"/>
              <w:jc w:val="center"/>
            </w:pPr>
            <w:r w:rsidRPr="002C290C">
              <w:t>577.8</w:t>
            </w:r>
          </w:p>
        </w:tc>
        <w:tc>
          <w:tcPr>
            <w:tcW w:w="2021" w:type="dxa"/>
            <w:shd w:val="clear" w:color="auto" w:fill="FFFFFF"/>
            <w:tcMar>
              <w:top w:w="0" w:type="dxa"/>
              <w:left w:w="108" w:type="dxa"/>
              <w:bottom w:w="0" w:type="dxa"/>
              <w:right w:w="108" w:type="dxa"/>
            </w:tcMar>
            <w:vAlign w:val="bottom"/>
          </w:tcPr>
          <w:p w14:paraId="616F366E" w14:textId="77777777" w:rsidR="00A76ADB" w:rsidRDefault="00A76ADB" w:rsidP="007E3239">
            <w:pPr>
              <w:pStyle w:val="TableText"/>
              <w:spacing w:before="40" w:after="40"/>
              <w:jc w:val="center"/>
            </w:pPr>
            <w:r w:rsidRPr="002C290C">
              <w:t>4,500.4</w:t>
            </w:r>
          </w:p>
        </w:tc>
        <w:tc>
          <w:tcPr>
            <w:tcW w:w="1885" w:type="dxa"/>
            <w:shd w:val="clear" w:color="auto" w:fill="FFFFFF"/>
            <w:tcMar>
              <w:top w:w="0" w:type="dxa"/>
              <w:left w:w="108" w:type="dxa"/>
              <w:bottom w:w="0" w:type="dxa"/>
              <w:right w:w="108" w:type="dxa"/>
            </w:tcMar>
            <w:vAlign w:val="bottom"/>
          </w:tcPr>
          <w:p w14:paraId="02880616" w14:textId="77777777" w:rsidR="00A76ADB" w:rsidRDefault="00A76ADB" w:rsidP="007E3239">
            <w:pPr>
              <w:pStyle w:val="TableText"/>
              <w:spacing w:before="40" w:after="40"/>
              <w:jc w:val="center"/>
            </w:pPr>
            <w:r w:rsidRPr="002C290C">
              <w:t>5,078.2</w:t>
            </w:r>
          </w:p>
        </w:tc>
      </w:tr>
      <w:tr w:rsidR="00A76ADB" w14:paraId="2AFCBB34" w14:textId="77777777" w:rsidTr="00F16598">
        <w:trPr>
          <w:cantSplit/>
        </w:trPr>
        <w:tc>
          <w:tcPr>
            <w:tcW w:w="741" w:type="dxa"/>
            <w:shd w:val="clear" w:color="auto" w:fill="FFFFFF"/>
            <w:tcMar>
              <w:top w:w="0" w:type="dxa"/>
              <w:left w:w="108" w:type="dxa"/>
              <w:bottom w:w="0" w:type="dxa"/>
              <w:right w:w="108" w:type="dxa"/>
            </w:tcMar>
            <w:vAlign w:val="center"/>
          </w:tcPr>
          <w:p w14:paraId="33A13F28" w14:textId="77777777" w:rsidR="00A76ADB" w:rsidRDefault="00A76ADB" w:rsidP="007E3239">
            <w:pPr>
              <w:pStyle w:val="TableText"/>
              <w:spacing w:before="40" w:after="40"/>
            </w:pPr>
            <w:r>
              <w:rPr>
                <w:rFonts w:eastAsia="Calibri"/>
              </w:rPr>
              <w:t>2011</w:t>
            </w:r>
          </w:p>
        </w:tc>
        <w:tc>
          <w:tcPr>
            <w:tcW w:w="1093" w:type="dxa"/>
            <w:shd w:val="clear" w:color="auto" w:fill="FFFFFF"/>
            <w:tcMar>
              <w:top w:w="0" w:type="dxa"/>
              <w:left w:w="108" w:type="dxa"/>
              <w:bottom w:w="0" w:type="dxa"/>
              <w:right w:w="108" w:type="dxa"/>
            </w:tcMar>
            <w:vAlign w:val="bottom"/>
          </w:tcPr>
          <w:p w14:paraId="4C00AF15" w14:textId="77777777" w:rsidR="00A76ADB" w:rsidRDefault="00A76ADB" w:rsidP="007E3239">
            <w:pPr>
              <w:pStyle w:val="TableText"/>
              <w:spacing w:before="40" w:after="40"/>
              <w:jc w:val="center"/>
            </w:pPr>
            <w:r w:rsidRPr="002C290C">
              <w:t>559.8</w:t>
            </w:r>
          </w:p>
        </w:tc>
        <w:tc>
          <w:tcPr>
            <w:tcW w:w="2021" w:type="dxa"/>
            <w:shd w:val="clear" w:color="auto" w:fill="FFFFFF"/>
            <w:tcMar>
              <w:top w:w="0" w:type="dxa"/>
              <w:left w:w="108" w:type="dxa"/>
              <w:bottom w:w="0" w:type="dxa"/>
              <w:right w:w="108" w:type="dxa"/>
            </w:tcMar>
            <w:vAlign w:val="bottom"/>
          </w:tcPr>
          <w:p w14:paraId="51499264" w14:textId="77777777" w:rsidR="00A76ADB" w:rsidRDefault="00A76ADB" w:rsidP="007E3239">
            <w:pPr>
              <w:pStyle w:val="TableText"/>
              <w:spacing w:before="40" w:after="40"/>
              <w:jc w:val="center"/>
            </w:pPr>
            <w:r w:rsidRPr="002C290C">
              <w:t>4,569.2</w:t>
            </w:r>
          </w:p>
        </w:tc>
        <w:tc>
          <w:tcPr>
            <w:tcW w:w="1885" w:type="dxa"/>
            <w:shd w:val="clear" w:color="auto" w:fill="FFFFFF"/>
            <w:tcMar>
              <w:top w:w="0" w:type="dxa"/>
              <w:left w:w="108" w:type="dxa"/>
              <w:bottom w:w="0" w:type="dxa"/>
              <w:right w:w="108" w:type="dxa"/>
            </w:tcMar>
            <w:vAlign w:val="bottom"/>
          </w:tcPr>
          <w:p w14:paraId="0E81F766" w14:textId="77777777" w:rsidR="00A76ADB" w:rsidRDefault="00A76ADB" w:rsidP="007E3239">
            <w:pPr>
              <w:pStyle w:val="TableText"/>
              <w:spacing w:before="40" w:after="40"/>
              <w:jc w:val="center"/>
            </w:pPr>
            <w:r w:rsidRPr="002C290C">
              <w:t>5,128.9</w:t>
            </w:r>
          </w:p>
        </w:tc>
      </w:tr>
      <w:tr w:rsidR="00A76ADB" w14:paraId="621C8C53" w14:textId="77777777" w:rsidTr="00F16598">
        <w:trPr>
          <w:cantSplit/>
        </w:trPr>
        <w:tc>
          <w:tcPr>
            <w:tcW w:w="741" w:type="dxa"/>
            <w:shd w:val="clear" w:color="auto" w:fill="FFFFFF"/>
            <w:tcMar>
              <w:top w:w="0" w:type="dxa"/>
              <w:left w:w="108" w:type="dxa"/>
              <w:bottom w:w="0" w:type="dxa"/>
              <w:right w:w="108" w:type="dxa"/>
            </w:tcMar>
            <w:vAlign w:val="center"/>
          </w:tcPr>
          <w:p w14:paraId="3CA687BE" w14:textId="77777777" w:rsidR="00A76ADB" w:rsidRDefault="00A76ADB" w:rsidP="007E3239">
            <w:pPr>
              <w:pStyle w:val="TableText"/>
              <w:spacing w:before="40" w:after="40"/>
            </w:pPr>
            <w:r>
              <w:rPr>
                <w:rFonts w:eastAsia="Calibri"/>
              </w:rPr>
              <w:t>2012</w:t>
            </w:r>
          </w:p>
        </w:tc>
        <w:tc>
          <w:tcPr>
            <w:tcW w:w="1093" w:type="dxa"/>
            <w:shd w:val="clear" w:color="auto" w:fill="FFFFFF"/>
            <w:tcMar>
              <w:top w:w="0" w:type="dxa"/>
              <w:left w:w="108" w:type="dxa"/>
              <w:bottom w:w="0" w:type="dxa"/>
              <w:right w:w="108" w:type="dxa"/>
            </w:tcMar>
            <w:vAlign w:val="bottom"/>
          </w:tcPr>
          <w:p w14:paraId="5BB2534C" w14:textId="77777777" w:rsidR="00A76ADB" w:rsidRDefault="00A76ADB" w:rsidP="007E3239">
            <w:pPr>
              <w:pStyle w:val="TableText"/>
              <w:spacing w:before="40" w:after="40"/>
              <w:jc w:val="center"/>
            </w:pPr>
            <w:r w:rsidRPr="002C290C">
              <w:t>561.2</w:t>
            </w:r>
          </w:p>
        </w:tc>
        <w:tc>
          <w:tcPr>
            <w:tcW w:w="2021" w:type="dxa"/>
            <w:shd w:val="clear" w:color="auto" w:fill="FFFFFF"/>
            <w:tcMar>
              <w:top w:w="0" w:type="dxa"/>
              <w:left w:w="108" w:type="dxa"/>
              <w:bottom w:w="0" w:type="dxa"/>
              <w:right w:w="108" w:type="dxa"/>
            </w:tcMar>
            <w:vAlign w:val="bottom"/>
          </w:tcPr>
          <w:p w14:paraId="63326B31" w14:textId="77777777" w:rsidR="00A76ADB" w:rsidRDefault="00A76ADB" w:rsidP="007E3239">
            <w:pPr>
              <w:pStyle w:val="TableText"/>
              <w:spacing w:before="40" w:after="40"/>
              <w:jc w:val="center"/>
            </w:pPr>
            <w:r w:rsidRPr="002C290C">
              <w:t>4,672.3</w:t>
            </w:r>
          </w:p>
        </w:tc>
        <w:tc>
          <w:tcPr>
            <w:tcW w:w="1885" w:type="dxa"/>
            <w:shd w:val="clear" w:color="auto" w:fill="FFFFFF"/>
            <w:tcMar>
              <w:top w:w="0" w:type="dxa"/>
              <w:left w:w="108" w:type="dxa"/>
              <w:bottom w:w="0" w:type="dxa"/>
              <w:right w:w="108" w:type="dxa"/>
            </w:tcMar>
            <w:vAlign w:val="bottom"/>
          </w:tcPr>
          <w:p w14:paraId="204715D0" w14:textId="77777777" w:rsidR="00A76ADB" w:rsidRDefault="00A76ADB" w:rsidP="007E3239">
            <w:pPr>
              <w:pStyle w:val="TableText"/>
              <w:spacing w:before="40" w:after="40"/>
              <w:jc w:val="center"/>
            </w:pPr>
            <w:r w:rsidRPr="002C290C">
              <w:t>5,233.4</w:t>
            </w:r>
          </w:p>
        </w:tc>
      </w:tr>
      <w:tr w:rsidR="00A76ADB" w14:paraId="005B1CD0" w14:textId="77777777" w:rsidTr="00F16598">
        <w:trPr>
          <w:cantSplit/>
        </w:trPr>
        <w:tc>
          <w:tcPr>
            <w:tcW w:w="741" w:type="dxa"/>
            <w:shd w:val="clear" w:color="auto" w:fill="FFFFFF"/>
            <w:tcMar>
              <w:top w:w="0" w:type="dxa"/>
              <w:left w:w="108" w:type="dxa"/>
              <w:bottom w:w="0" w:type="dxa"/>
              <w:right w:w="108" w:type="dxa"/>
            </w:tcMar>
            <w:vAlign w:val="center"/>
          </w:tcPr>
          <w:p w14:paraId="7C403C18" w14:textId="77777777" w:rsidR="00A76ADB" w:rsidRDefault="00A76ADB" w:rsidP="007E3239">
            <w:pPr>
              <w:pStyle w:val="TableText"/>
              <w:spacing w:before="40" w:after="40"/>
            </w:pPr>
            <w:r>
              <w:rPr>
                <w:rFonts w:eastAsia="Calibri"/>
              </w:rPr>
              <w:t>2013</w:t>
            </w:r>
          </w:p>
        </w:tc>
        <w:tc>
          <w:tcPr>
            <w:tcW w:w="1093" w:type="dxa"/>
            <w:shd w:val="clear" w:color="auto" w:fill="FFFFFF"/>
            <w:tcMar>
              <w:top w:w="0" w:type="dxa"/>
              <w:left w:w="108" w:type="dxa"/>
              <w:bottom w:w="0" w:type="dxa"/>
              <w:right w:w="108" w:type="dxa"/>
            </w:tcMar>
            <w:vAlign w:val="bottom"/>
          </w:tcPr>
          <w:p w14:paraId="474E4CCB" w14:textId="77777777" w:rsidR="00A76ADB" w:rsidRDefault="00A76ADB" w:rsidP="007E3239">
            <w:pPr>
              <w:pStyle w:val="TableText"/>
              <w:spacing w:before="40" w:after="40"/>
              <w:jc w:val="center"/>
            </w:pPr>
            <w:r w:rsidRPr="002C290C">
              <w:t>546.9</w:t>
            </w:r>
          </w:p>
        </w:tc>
        <w:tc>
          <w:tcPr>
            <w:tcW w:w="2021" w:type="dxa"/>
            <w:shd w:val="clear" w:color="auto" w:fill="FFFFFF"/>
            <w:tcMar>
              <w:top w:w="0" w:type="dxa"/>
              <w:left w:w="108" w:type="dxa"/>
              <w:bottom w:w="0" w:type="dxa"/>
              <w:right w:w="108" w:type="dxa"/>
            </w:tcMar>
            <w:vAlign w:val="bottom"/>
          </w:tcPr>
          <w:p w14:paraId="21E4ED20" w14:textId="77777777" w:rsidR="00A76ADB" w:rsidRDefault="00A76ADB" w:rsidP="007E3239">
            <w:pPr>
              <w:pStyle w:val="TableText"/>
              <w:spacing w:before="40" w:after="40"/>
              <w:jc w:val="center"/>
            </w:pPr>
            <w:r w:rsidRPr="002C290C">
              <w:t>4,777.0</w:t>
            </w:r>
          </w:p>
        </w:tc>
        <w:tc>
          <w:tcPr>
            <w:tcW w:w="1885" w:type="dxa"/>
            <w:shd w:val="clear" w:color="auto" w:fill="FFFFFF"/>
            <w:tcMar>
              <w:top w:w="0" w:type="dxa"/>
              <w:left w:w="108" w:type="dxa"/>
              <w:bottom w:w="0" w:type="dxa"/>
              <w:right w:w="108" w:type="dxa"/>
            </w:tcMar>
            <w:vAlign w:val="bottom"/>
          </w:tcPr>
          <w:p w14:paraId="6669B53F" w14:textId="77777777" w:rsidR="00A76ADB" w:rsidRDefault="00A76ADB" w:rsidP="007E3239">
            <w:pPr>
              <w:pStyle w:val="TableText"/>
              <w:spacing w:before="40" w:after="40"/>
              <w:jc w:val="center"/>
            </w:pPr>
            <w:r w:rsidRPr="002C290C">
              <w:t>5,323.8</w:t>
            </w:r>
          </w:p>
        </w:tc>
      </w:tr>
      <w:tr w:rsidR="00A76ADB" w14:paraId="709169E0" w14:textId="77777777" w:rsidTr="00F16598">
        <w:trPr>
          <w:cantSplit/>
        </w:trPr>
        <w:tc>
          <w:tcPr>
            <w:tcW w:w="741" w:type="dxa"/>
            <w:shd w:val="clear" w:color="auto" w:fill="FFFFFF"/>
            <w:tcMar>
              <w:top w:w="0" w:type="dxa"/>
              <w:left w:w="108" w:type="dxa"/>
              <w:bottom w:w="0" w:type="dxa"/>
              <w:right w:w="108" w:type="dxa"/>
            </w:tcMar>
            <w:vAlign w:val="center"/>
          </w:tcPr>
          <w:p w14:paraId="426D12C2" w14:textId="77777777" w:rsidR="00A76ADB" w:rsidRDefault="00A76ADB" w:rsidP="007E3239">
            <w:pPr>
              <w:pStyle w:val="TableText"/>
              <w:spacing w:before="40" w:after="40"/>
            </w:pPr>
            <w:r>
              <w:rPr>
                <w:rFonts w:eastAsia="Calibri"/>
              </w:rPr>
              <w:t>2014</w:t>
            </w:r>
          </w:p>
        </w:tc>
        <w:tc>
          <w:tcPr>
            <w:tcW w:w="1093" w:type="dxa"/>
            <w:shd w:val="clear" w:color="auto" w:fill="FFFFFF"/>
            <w:tcMar>
              <w:top w:w="0" w:type="dxa"/>
              <w:left w:w="108" w:type="dxa"/>
              <w:bottom w:w="0" w:type="dxa"/>
              <w:right w:w="108" w:type="dxa"/>
            </w:tcMar>
            <w:vAlign w:val="bottom"/>
          </w:tcPr>
          <w:p w14:paraId="6D7562FC" w14:textId="77777777" w:rsidR="00A76ADB" w:rsidRDefault="00A76ADB" w:rsidP="007E3239">
            <w:pPr>
              <w:pStyle w:val="TableText"/>
              <w:spacing w:before="40" w:after="40"/>
              <w:jc w:val="center"/>
            </w:pPr>
            <w:r w:rsidRPr="002C290C">
              <w:t>547.3</w:t>
            </w:r>
          </w:p>
        </w:tc>
        <w:tc>
          <w:tcPr>
            <w:tcW w:w="2021" w:type="dxa"/>
            <w:shd w:val="clear" w:color="auto" w:fill="FFFFFF"/>
            <w:tcMar>
              <w:top w:w="0" w:type="dxa"/>
              <w:left w:w="108" w:type="dxa"/>
              <w:bottom w:w="0" w:type="dxa"/>
              <w:right w:w="108" w:type="dxa"/>
            </w:tcMar>
            <w:vAlign w:val="bottom"/>
          </w:tcPr>
          <w:p w14:paraId="4B6342D9" w14:textId="77777777" w:rsidR="00A76ADB" w:rsidRDefault="00A76ADB" w:rsidP="007E3239">
            <w:pPr>
              <w:pStyle w:val="TableText"/>
              <w:spacing w:before="40" w:after="40"/>
              <w:jc w:val="center"/>
            </w:pPr>
            <w:r w:rsidRPr="002C290C">
              <w:t>4,905.8</w:t>
            </w:r>
          </w:p>
        </w:tc>
        <w:tc>
          <w:tcPr>
            <w:tcW w:w="1885" w:type="dxa"/>
            <w:shd w:val="clear" w:color="auto" w:fill="FFFFFF"/>
            <w:tcMar>
              <w:top w:w="0" w:type="dxa"/>
              <w:left w:w="108" w:type="dxa"/>
              <w:bottom w:w="0" w:type="dxa"/>
              <w:right w:w="108" w:type="dxa"/>
            </w:tcMar>
            <w:vAlign w:val="bottom"/>
          </w:tcPr>
          <w:p w14:paraId="3A086EDA" w14:textId="77777777" w:rsidR="00A76ADB" w:rsidRDefault="00A76ADB" w:rsidP="007E3239">
            <w:pPr>
              <w:pStyle w:val="TableText"/>
              <w:spacing w:before="40" w:after="40"/>
              <w:jc w:val="center"/>
            </w:pPr>
            <w:r w:rsidRPr="002C290C">
              <w:t>5,453.0</w:t>
            </w:r>
          </w:p>
        </w:tc>
      </w:tr>
      <w:tr w:rsidR="00A76ADB" w14:paraId="1355EEF8" w14:textId="77777777" w:rsidTr="00F16598">
        <w:trPr>
          <w:cantSplit/>
        </w:trPr>
        <w:tc>
          <w:tcPr>
            <w:tcW w:w="741" w:type="dxa"/>
            <w:shd w:val="clear" w:color="auto" w:fill="FFFFFF"/>
            <w:tcMar>
              <w:top w:w="0" w:type="dxa"/>
              <w:left w:w="108" w:type="dxa"/>
              <w:bottom w:w="0" w:type="dxa"/>
              <w:right w:w="108" w:type="dxa"/>
            </w:tcMar>
            <w:vAlign w:val="center"/>
          </w:tcPr>
          <w:p w14:paraId="1597978F" w14:textId="77777777" w:rsidR="00A76ADB" w:rsidRDefault="00A76ADB" w:rsidP="007E3239">
            <w:pPr>
              <w:pStyle w:val="TableText"/>
              <w:spacing w:before="40" w:after="40"/>
            </w:pPr>
            <w:r>
              <w:rPr>
                <w:rFonts w:eastAsia="Calibri"/>
              </w:rPr>
              <w:t>2015</w:t>
            </w:r>
          </w:p>
        </w:tc>
        <w:tc>
          <w:tcPr>
            <w:tcW w:w="1093" w:type="dxa"/>
            <w:shd w:val="clear" w:color="auto" w:fill="FFFFFF"/>
            <w:tcMar>
              <w:top w:w="0" w:type="dxa"/>
              <w:left w:w="108" w:type="dxa"/>
              <w:bottom w:w="0" w:type="dxa"/>
              <w:right w:w="108" w:type="dxa"/>
            </w:tcMar>
            <w:vAlign w:val="bottom"/>
          </w:tcPr>
          <w:p w14:paraId="739E130D" w14:textId="77777777" w:rsidR="00A76ADB" w:rsidRDefault="00A76ADB" w:rsidP="007E3239">
            <w:pPr>
              <w:pStyle w:val="TableText"/>
              <w:spacing w:before="40" w:after="40"/>
              <w:jc w:val="center"/>
            </w:pPr>
            <w:r w:rsidRPr="002C290C">
              <w:t>533.0</w:t>
            </w:r>
          </w:p>
        </w:tc>
        <w:tc>
          <w:tcPr>
            <w:tcW w:w="2021" w:type="dxa"/>
            <w:shd w:val="clear" w:color="auto" w:fill="FFFFFF"/>
            <w:tcMar>
              <w:top w:w="0" w:type="dxa"/>
              <w:left w:w="108" w:type="dxa"/>
              <w:bottom w:w="0" w:type="dxa"/>
              <w:right w:w="108" w:type="dxa"/>
            </w:tcMar>
            <w:vAlign w:val="bottom"/>
          </w:tcPr>
          <w:p w14:paraId="124DCC37" w14:textId="77777777" w:rsidR="00A76ADB" w:rsidRDefault="00A76ADB" w:rsidP="007E3239">
            <w:pPr>
              <w:pStyle w:val="TableText"/>
              <w:spacing w:before="40" w:after="40"/>
              <w:jc w:val="center"/>
            </w:pPr>
            <w:r w:rsidRPr="002C290C">
              <w:t>5,092.8</w:t>
            </w:r>
          </w:p>
        </w:tc>
        <w:tc>
          <w:tcPr>
            <w:tcW w:w="1885" w:type="dxa"/>
            <w:shd w:val="clear" w:color="auto" w:fill="FFFFFF"/>
            <w:tcMar>
              <w:top w:w="0" w:type="dxa"/>
              <w:left w:w="108" w:type="dxa"/>
              <w:bottom w:w="0" w:type="dxa"/>
              <w:right w:w="108" w:type="dxa"/>
            </w:tcMar>
            <w:vAlign w:val="bottom"/>
          </w:tcPr>
          <w:p w14:paraId="4DA02270" w14:textId="77777777" w:rsidR="00A76ADB" w:rsidRDefault="00A76ADB" w:rsidP="007E3239">
            <w:pPr>
              <w:pStyle w:val="TableText"/>
              <w:spacing w:before="40" w:after="40"/>
              <w:jc w:val="center"/>
            </w:pPr>
            <w:r w:rsidRPr="002C290C">
              <w:t>5,625.9</w:t>
            </w:r>
          </w:p>
        </w:tc>
      </w:tr>
      <w:tr w:rsidR="00A76ADB" w14:paraId="23DE93EC" w14:textId="77777777" w:rsidTr="00F16598">
        <w:trPr>
          <w:cantSplit/>
        </w:trPr>
        <w:tc>
          <w:tcPr>
            <w:tcW w:w="741" w:type="dxa"/>
            <w:shd w:val="clear" w:color="auto" w:fill="FFFFFF"/>
            <w:tcMar>
              <w:top w:w="0" w:type="dxa"/>
              <w:left w:w="108" w:type="dxa"/>
              <w:bottom w:w="0" w:type="dxa"/>
              <w:right w:w="108" w:type="dxa"/>
            </w:tcMar>
            <w:vAlign w:val="center"/>
          </w:tcPr>
          <w:p w14:paraId="62BD501F" w14:textId="77777777" w:rsidR="00A76ADB" w:rsidRDefault="00A76ADB" w:rsidP="007E3239">
            <w:pPr>
              <w:pStyle w:val="TableText"/>
              <w:spacing w:before="40" w:after="40"/>
            </w:pPr>
            <w:r>
              <w:rPr>
                <w:rFonts w:eastAsia="Calibri"/>
              </w:rPr>
              <w:t>2016</w:t>
            </w:r>
          </w:p>
        </w:tc>
        <w:tc>
          <w:tcPr>
            <w:tcW w:w="1093" w:type="dxa"/>
            <w:shd w:val="clear" w:color="auto" w:fill="FFFFFF"/>
            <w:tcMar>
              <w:top w:w="0" w:type="dxa"/>
              <w:left w:w="108" w:type="dxa"/>
              <w:bottom w:w="0" w:type="dxa"/>
              <w:right w:w="108" w:type="dxa"/>
            </w:tcMar>
            <w:vAlign w:val="bottom"/>
          </w:tcPr>
          <w:p w14:paraId="13B79FAA" w14:textId="77777777" w:rsidR="00A76ADB" w:rsidRDefault="00A76ADB" w:rsidP="007E3239">
            <w:pPr>
              <w:pStyle w:val="TableText"/>
              <w:spacing w:before="40" w:after="40"/>
              <w:jc w:val="center"/>
            </w:pPr>
            <w:r w:rsidRPr="002C290C">
              <w:t>535.4</w:t>
            </w:r>
          </w:p>
        </w:tc>
        <w:tc>
          <w:tcPr>
            <w:tcW w:w="2021" w:type="dxa"/>
            <w:shd w:val="clear" w:color="auto" w:fill="FFFFFF"/>
            <w:tcMar>
              <w:top w:w="0" w:type="dxa"/>
              <w:left w:w="108" w:type="dxa"/>
              <w:bottom w:w="0" w:type="dxa"/>
              <w:right w:w="108" w:type="dxa"/>
            </w:tcMar>
            <w:vAlign w:val="bottom"/>
          </w:tcPr>
          <w:p w14:paraId="0674ED8A" w14:textId="77777777" w:rsidR="00A76ADB" w:rsidRDefault="00A76ADB" w:rsidP="007E3239">
            <w:pPr>
              <w:pStyle w:val="TableText"/>
              <w:spacing w:before="40" w:after="40"/>
              <w:jc w:val="center"/>
            </w:pPr>
            <w:r w:rsidRPr="002C290C">
              <w:t>5,092.8</w:t>
            </w:r>
          </w:p>
        </w:tc>
        <w:tc>
          <w:tcPr>
            <w:tcW w:w="1885" w:type="dxa"/>
            <w:shd w:val="clear" w:color="auto" w:fill="FFFFFF"/>
            <w:tcMar>
              <w:top w:w="0" w:type="dxa"/>
              <w:left w:w="108" w:type="dxa"/>
              <w:bottom w:w="0" w:type="dxa"/>
              <w:right w:w="108" w:type="dxa"/>
            </w:tcMar>
            <w:vAlign w:val="bottom"/>
          </w:tcPr>
          <w:p w14:paraId="4EC98420" w14:textId="77777777" w:rsidR="00A76ADB" w:rsidRDefault="00A76ADB" w:rsidP="007E3239">
            <w:pPr>
              <w:pStyle w:val="TableText"/>
              <w:spacing w:before="40" w:after="40"/>
              <w:jc w:val="center"/>
            </w:pPr>
            <w:r w:rsidRPr="002C290C">
              <w:t>5,628.3</w:t>
            </w:r>
          </w:p>
        </w:tc>
      </w:tr>
      <w:tr w:rsidR="00A76ADB" w14:paraId="23761519" w14:textId="77777777" w:rsidTr="00F16598">
        <w:trPr>
          <w:cantSplit/>
        </w:trPr>
        <w:tc>
          <w:tcPr>
            <w:tcW w:w="741" w:type="dxa"/>
            <w:shd w:val="clear" w:color="auto" w:fill="FFFFFF"/>
            <w:tcMar>
              <w:top w:w="0" w:type="dxa"/>
              <w:left w:w="108" w:type="dxa"/>
              <w:bottom w:w="0" w:type="dxa"/>
              <w:right w:w="108" w:type="dxa"/>
            </w:tcMar>
            <w:vAlign w:val="center"/>
          </w:tcPr>
          <w:p w14:paraId="2CDD8579" w14:textId="77777777" w:rsidR="00A76ADB" w:rsidRDefault="00A76ADB" w:rsidP="007E3239">
            <w:pPr>
              <w:pStyle w:val="TableText"/>
              <w:spacing w:before="40" w:after="40"/>
            </w:pPr>
            <w:r>
              <w:rPr>
                <w:rFonts w:eastAsia="Calibri"/>
              </w:rPr>
              <w:t>2017</w:t>
            </w:r>
          </w:p>
        </w:tc>
        <w:tc>
          <w:tcPr>
            <w:tcW w:w="1093" w:type="dxa"/>
            <w:shd w:val="clear" w:color="auto" w:fill="FFFFFF"/>
            <w:tcMar>
              <w:top w:w="0" w:type="dxa"/>
              <w:left w:w="108" w:type="dxa"/>
              <w:bottom w:w="0" w:type="dxa"/>
              <w:right w:w="108" w:type="dxa"/>
            </w:tcMar>
            <w:vAlign w:val="bottom"/>
          </w:tcPr>
          <w:p w14:paraId="49564A66" w14:textId="77777777" w:rsidR="00A76ADB" w:rsidRDefault="00A76ADB" w:rsidP="007E3239">
            <w:pPr>
              <w:pStyle w:val="TableText"/>
              <w:spacing w:before="40" w:after="40"/>
              <w:jc w:val="center"/>
            </w:pPr>
            <w:r w:rsidRPr="002C290C">
              <w:t>505.5</w:t>
            </w:r>
          </w:p>
        </w:tc>
        <w:tc>
          <w:tcPr>
            <w:tcW w:w="2021" w:type="dxa"/>
            <w:shd w:val="clear" w:color="auto" w:fill="FFFFFF"/>
            <w:tcMar>
              <w:top w:w="0" w:type="dxa"/>
              <w:left w:w="108" w:type="dxa"/>
              <w:bottom w:w="0" w:type="dxa"/>
              <w:right w:w="108" w:type="dxa"/>
            </w:tcMar>
            <w:vAlign w:val="bottom"/>
          </w:tcPr>
          <w:p w14:paraId="0E7103EC" w14:textId="77777777" w:rsidR="00A76ADB" w:rsidRDefault="00A76ADB" w:rsidP="007E3239">
            <w:pPr>
              <w:pStyle w:val="TableText"/>
              <w:spacing w:before="40" w:after="40"/>
              <w:jc w:val="center"/>
            </w:pPr>
            <w:r w:rsidRPr="002C290C">
              <w:t>5,092.8</w:t>
            </w:r>
          </w:p>
        </w:tc>
        <w:tc>
          <w:tcPr>
            <w:tcW w:w="1885" w:type="dxa"/>
            <w:shd w:val="clear" w:color="auto" w:fill="FFFFFF"/>
            <w:tcMar>
              <w:top w:w="0" w:type="dxa"/>
              <w:left w:w="108" w:type="dxa"/>
              <w:bottom w:w="0" w:type="dxa"/>
              <w:right w:w="108" w:type="dxa"/>
            </w:tcMar>
            <w:vAlign w:val="bottom"/>
          </w:tcPr>
          <w:p w14:paraId="20B0388C" w14:textId="77777777" w:rsidR="00A76ADB" w:rsidRDefault="00A76ADB" w:rsidP="007E3239">
            <w:pPr>
              <w:pStyle w:val="TableText"/>
              <w:spacing w:before="40" w:after="40"/>
              <w:jc w:val="center"/>
            </w:pPr>
            <w:r w:rsidRPr="002C290C">
              <w:t>5,598.3</w:t>
            </w:r>
          </w:p>
        </w:tc>
      </w:tr>
      <w:tr w:rsidR="00A76ADB" w14:paraId="396C7731" w14:textId="77777777" w:rsidTr="00F16598">
        <w:trPr>
          <w:cantSplit/>
        </w:trPr>
        <w:tc>
          <w:tcPr>
            <w:tcW w:w="741" w:type="dxa"/>
            <w:shd w:val="clear" w:color="auto" w:fill="FFFFFF"/>
            <w:tcMar>
              <w:top w:w="0" w:type="dxa"/>
              <w:left w:w="108" w:type="dxa"/>
              <w:bottom w:w="0" w:type="dxa"/>
              <w:right w:w="108" w:type="dxa"/>
            </w:tcMar>
            <w:vAlign w:val="center"/>
          </w:tcPr>
          <w:p w14:paraId="04142971" w14:textId="77777777" w:rsidR="00A76ADB" w:rsidRDefault="00A76ADB" w:rsidP="007E3239">
            <w:pPr>
              <w:pStyle w:val="TableText"/>
              <w:spacing w:before="40" w:after="40"/>
            </w:pPr>
            <w:r>
              <w:rPr>
                <w:rFonts w:eastAsia="Calibri"/>
              </w:rPr>
              <w:t>2018</w:t>
            </w:r>
          </w:p>
        </w:tc>
        <w:tc>
          <w:tcPr>
            <w:tcW w:w="1093" w:type="dxa"/>
            <w:shd w:val="clear" w:color="auto" w:fill="FFFFFF"/>
            <w:tcMar>
              <w:top w:w="0" w:type="dxa"/>
              <w:left w:w="108" w:type="dxa"/>
              <w:bottom w:w="0" w:type="dxa"/>
              <w:right w:w="108" w:type="dxa"/>
            </w:tcMar>
            <w:vAlign w:val="bottom"/>
          </w:tcPr>
          <w:p w14:paraId="148680DC" w14:textId="77777777" w:rsidR="00A76ADB" w:rsidRDefault="00A76ADB" w:rsidP="007E3239">
            <w:pPr>
              <w:pStyle w:val="TableText"/>
              <w:spacing w:before="40" w:after="40"/>
              <w:jc w:val="center"/>
            </w:pPr>
            <w:r w:rsidRPr="002C290C">
              <w:t>490.5</w:t>
            </w:r>
          </w:p>
        </w:tc>
        <w:tc>
          <w:tcPr>
            <w:tcW w:w="2021" w:type="dxa"/>
            <w:shd w:val="clear" w:color="auto" w:fill="FFFFFF"/>
            <w:tcMar>
              <w:top w:w="0" w:type="dxa"/>
              <w:left w:w="108" w:type="dxa"/>
              <w:bottom w:w="0" w:type="dxa"/>
              <w:right w:w="108" w:type="dxa"/>
            </w:tcMar>
            <w:vAlign w:val="bottom"/>
          </w:tcPr>
          <w:p w14:paraId="070A433B" w14:textId="77777777" w:rsidR="00A76ADB" w:rsidRDefault="00A76ADB" w:rsidP="007E3239">
            <w:pPr>
              <w:pStyle w:val="TableText"/>
              <w:spacing w:before="40" w:after="40"/>
              <w:jc w:val="center"/>
            </w:pPr>
            <w:r w:rsidRPr="002C290C">
              <w:t>5,092.8</w:t>
            </w:r>
          </w:p>
        </w:tc>
        <w:tc>
          <w:tcPr>
            <w:tcW w:w="1885" w:type="dxa"/>
            <w:shd w:val="clear" w:color="auto" w:fill="FFFFFF"/>
            <w:tcMar>
              <w:top w:w="0" w:type="dxa"/>
              <w:left w:w="108" w:type="dxa"/>
              <w:bottom w:w="0" w:type="dxa"/>
              <w:right w:w="108" w:type="dxa"/>
            </w:tcMar>
            <w:vAlign w:val="bottom"/>
          </w:tcPr>
          <w:p w14:paraId="2FC1D09A" w14:textId="77777777" w:rsidR="00A76ADB" w:rsidRDefault="00A76ADB" w:rsidP="007E3239">
            <w:pPr>
              <w:pStyle w:val="TableText"/>
              <w:spacing w:before="40" w:after="40"/>
              <w:jc w:val="center"/>
            </w:pPr>
            <w:r w:rsidRPr="002C290C">
              <w:t>5,583.3</w:t>
            </w:r>
          </w:p>
        </w:tc>
      </w:tr>
      <w:tr w:rsidR="00A76ADB" w14:paraId="57A30452" w14:textId="77777777" w:rsidTr="00F16598">
        <w:trPr>
          <w:cantSplit/>
        </w:trPr>
        <w:tc>
          <w:tcPr>
            <w:tcW w:w="741" w:type="dxa"/>
            <w:shd w:val="clear" w:color="auto" w:fill="FFFFFF"/>
            <w:tcMar>
              <w:top w:w="0" w:type="dxa"/>
              <w:left w:w="108" w:type="dxa"/>
              <w:bottom w:w="0" w:type="dxa"/>
              <w:right w:w="108" w:type="dxa"/>
            </w:tcMar>
            <w:vAlign w:val="center"/>
          </w:tcPr>
          <w:p w14:paraId="11256513" w14:textId="77777777" w:rsidR="00A76ADB" w:rsidRDefault="00A76ADB" w:rsidP="007E3239">
            <w:pPr>
              <w:pStyle w:val="TableText"/>
              <w:spacing w:before="40" w:after="40"/>
            </w:pPr>
            <w:r>
              <w:rPr>
                <w:rFonts w:eastAsia="Calibri"/>
              </w:rPr>
              <w:t>2019</w:t>
            </w:r>
          </w:p>
        </w:tc>
        <w:tc>
          <w:tcPr>
            <w:tcW w:w="1093" w:type="dxa"/>
            <w:shd w:val="clear" w:color="auto" w:fill="FFFFFF"/>
            <w:tcMar>
              <w:top w:w="0" w:type="dxa"/>
              <w:left w:w="108" w:type="dxa"/>
              <w:bottom w:w="0" w:type="dxa"/>
              <w:right w:w="108" w:type="dxa"/>
            </w:tcMar>
            <w:vAlign w:val="bottom"/>
          </w:tcPr>
          <w:p w14:paraId="62A34E4F" w14:textId="77777777" w:rsidR="00A76ADB" w:rsidRDefault="00A76ADB" w:rsidP="007E3239">
            <w:pPr>
              <w:pStyle w:val="TableText"/>
              <w:spacing w:before="40" w:after="40"/>
              <w:jc w:val="center"/>
            </w:pPr>
            <w:r w:rsidRPr="002C290C">
              <w:t>478.9</w:t>
            </w:r>
          </w:p>
        </w:tc>
        <w:tc>
          <w:tcPr>
            <w:tcW w:w="2021" w:type="dxa"/>
            <w:shd w:val="clear" w:color="auto" w:fill="FFFFFF"/>
            <w:tcMar>
              <w:top w:w="0" w:type="dxa"/>
              <w:left w:w="108" w:type="dxa"/>
              <w:bottom w:w="0" w:type="dxa"/>
              <w:right w:w="108" w:type="dxa"/>
            </w:tcMar>
            <w:vAlign w:val="bottom"/>
          </w:tcPr>
          <w:p w14:paraId="2E0026AF" w14:textId="77777777" w:rsidR="00A76ADB" w:rsidRDefault="00A76ADB" w:rsidP="007E3239">
            <w:pPr>
              <w:pStyle w:val="TableText"/>
              <w:spacing w:before="40" w:after="40"/>
              <w:jc w:val="center"/>
            </w:pPr>
            <w:r w:rsidRPr="002C290C">
              <w:t>5,092.8</w:t>
            </w:r>
          </w:p>
        </w:tc>
        <w:tc>
          <w:tcPr>
            <w:tcW w:w="1885" w:type="dxa"/>
            <w:shd w:val="clear" w:color="auto" w:fill="FFFFFF"/>
            <w:tcMar>
              <w:top w:w="0" w:type="dxa"/>
              <w:left w:w="108" w:type="dxa"/>
              <w:bottom w:w="0" w:type="dxa"/>
              <w:right w:w="108" w:type="dxa"/>
            </w:tcMar>
            <w:vAlign w:val="bottom"/>
          </w:tcPr>
          <w:p w14:paraId="56D8D653" w14:textId="77777777" w:rsidR="00A76ADB" w:rsidRDefault="00A76ADB" w:rsidP="007E3239">
            <w:pPr>
              <w:pStyle w:val="TableText"/>
              <w:spacing w:before="40" w:after="40"/>
              <w:jc w:val="center"/>
            </w:pPr>
            <w:r w:rsidRPr="002C290C">
              <w:t>5,571.7</w:t>
            </w:r>
          </w:p>
        </w:tc>
      </w:tr>
      <w:tr w:rsidR="00A76ADB" w14:paraId="4A3A14BD" w14:textId="77777777" w:rsidTr="00F16598">
        <w:trPr>
          <w:cantSplit/>
        </w:trPr>
        <w:tc>
          <w:tcPr>
            <w:tcW w:w="741" w:type="dxa"/>
            <w:shd w:val="clear" w:color="auto" w:fill="FFFFFF"/>
            <w:tcMar>
              <w:top w:w="0" w:type="dxa"/>
              <w:left w:w="108" w:type="dxa"/>
              <w:bottom w:w="0" w:type="dxa"/>
              <w:right w:w="108" w:type="dxa"/>
            </w:tcMar>
            <w:vAlign w:val="center"/>
          </w:tcPr>
          <w:p w14:paraId="23E99349" w14:textId="77777777" w:rsidR="00A76ADB" w:rsidRDefault="00A76ADB" w:rsidP="007E3239">
            <w:pPr>
              <w:pStyle w:val="TableText"/>
              <w:spacing w:before="40" w:after="40"/>
            </w:pPr>
            <w:r>
              <w:rPr>
                <w:rFonts w:eastAsia="Calibri"/>
              </w:rPr>
              <w:t>2020</w:t>
            </w:r>
          </w:p>
        </w:tc>
        <w:tc>
          <w:tcPr>
            <w:tcW w:w="1093" w:type="dxa"/>
            <w:shd w:val="clear" w:color="auto" w:fill="FFFFFF"/>
            <w:tcMar>
              <w:top w:w="0" w:type="dxa"/>
              <w:left w:w="108" w:type="dxa"/>
              <w:bottom w:w="0" w:type="dxa"/>
              <w:right w:w="108" w:type="dxa"/>
            </w:tcMar>
            <w:vAlign w:val="bottom"/>
          </w:tcPr>
          <w:p w14:paraId="52C414A9" w14:textId="77777777" w:rsidR="00A76ADB" w:rsidRDefault="00A76ADB" w:rsidP="007E3239">
            <w:pPr>
              <w:pStyle w:val="TableText"/>
              <w:spacing w:before="40" w:after="40"/>
              <w:jc w:val="center"/>
            </w:pPr>
            <w:r w:rsidRPr="002C290C">
              <w:t>476.4</w:t>
            </w:r>
          </w:p>
        </w:tc>
        <w:tc>
          <w:tcPr>
            <w:tcW w:w="2021" w:type="dxa"/>
            <w:shd w:val="clear" w:color="auto" w:fill="FFFFFF"/>
            <w:tcMar>
              <w:top w:w="0" w:type="dxa"/>
              <w:left w:w="108" w:type="dxa"/>
              <w:bottom w:w="0" w:type="dxa"/>
              <w:right w:w="108" w:type="dxa"/>
            </w:tcMar>
            <w:vAlign w:val="bottom"/>
          </w:tcPr>
          <w:p w14:paraId="475979A0" w14:textId="77777777" w:rsidR="00A76ADB" w:rsidRDefault="00A76ADB" w:rsidP="007E3239">
            <w:pPr>
              <w:pStyle w:val="TableText"/>
              <w:spacing w:before="40" w:after="40"/>
              <w:jc w:val="center"/>
            </w:pPr>
            <w:r w:rsidRPr="002C290C">
              <w:t>5,092.8</w:t>
            </w:r>
          </w:p>
        </w:tc>
        <w:tc>
          <w:tcPr>
            <w:tcW w:w="1885" w:type="dxa"/>
            <w:shd w:val="clear" w:color="auto" w:fill="FFFFFF"/>
            <w:tcMar>
              <w:top w:w="0" w:type="dxa"/>
              <w:left w:w="108" w:type="dxa"/>
              <w:bottom w:w="0" w:type="dxa"/>
              <w:right w:w="108" w:type="dxa"/>
            </w:tcMar>
            <w:vAlign w:val="bottom"/>
          </w:tcPr>
          <w:p w14:paraId="4E9BCDFC" w14:textId="77777777" w:rsidR="00A76ADB" w:rsidRDefault="00A76ADB" w:rsidP="007E3239">
            <w:pPr>
              <w:pStyle w:val="TableText"/>
              <w:spacing w:before="40" w:after="40"/>
              <w:jc w:val="center"/>
            </w:pPr>
            <w:r w:rsidRPr="002C290C">
              <w:t>5,569.2</w:t>
            </w:r>
          </w:p>
        </w:tc>
      </w:tr>
    </w:tbl>
    <w:p w14:paraId="313A687C" w14:textId="77777777" w:rsidR="00A76ADB" w:rsidRDefault="00A76ADB" w:rsidP="00A76ADB">
      <w:pPr>
        <w:pStyle w:val="Noteundertable"/>
      </w:pPr>
      <w:r>
        <w:rPr>
          <w:b/>
          <w:bCs/>
        </w:rPr>
        <w:t>Note:</w:t>
      </w:r>
      <w:r w:rsidRPr="004C0776">
        <w:t xml:space="preserve"> </w:t>
      </w:r>
      <w:r>
        <w:tab/>
        <w:t>Columns may not total due to rounding. It is assumed that an equal and additional amount of farm waste that is buried in farm fills is burned (see section 7.4).</w:t>
      </w:r>
    </w:p>
    <w:p w14:paraId="28C71E03" w14:textId="77777777" w:rsidR="00A76ADB" w:rsidRDefault="00A76ADB" w:rsidP="00A76ADB">
      <w:pPr>
        <w:pStyle w:val="Heading4"/>
      </w:pPr>
      <w:bookmarkStart w:id="2357" w:name="choice-of-methods"/>
      <w:bookmarkEnd w:id="2354"/>
      <w:bookmarkEnd w:id="2355"/>
      <w:r>
        <w:t>Choice of methods</w:t>
      </w:r>
    </w:p>
    <w:p w14:paraId="79D71F12" w14:textId="77777777" w:rsidR="00A76ADB" w:rsidRDefault="00A76ADB" w:rsidP="00A76ADB">
      <w:pPr>
        <w:pStyle w:val="BodyText"/>
      </w:pPr>
      <w:r>
        <w:t>Estimations of CH</w:t>
      </w:r>
      <w:r>
        <w:rPr>
          <w:vertAlign w:val="subscript"/>
        </w:rPr>
        <w:t>4</w:t>
      </w:r>
      <w:r>
        <w:t xml:space="preserve"> emissions from </w:t>
      </w:r>
      <w:r>
        <w:rPr>
          <w:i/>
          <w:iCs/>
        </w:rPr>
        <w:t>Solid waste disposal</w:t>
      </w:r>
      <w:r>
        <w:t xml:space="preserve"> to land were calculated using the first order decay (FOD) model. This is the Tier 2 method from the 2006 IPCC Guidelines (IPCC, 2006a).</w:t>
      </w:r>
    </w:p>
    <w:p w14:paraId="4CCFE867" w14:textId="77777777" w:rsidR="00A76ADB" w:rsidRDefault="00A76ADB" w:rsidP="00A76ADB">
      <w:pPr>
        <w:pStyle w:val="Heading5"/>
      </w:pPr>
      <w:bookmarkStart w:id="2358" w:name="municipal-landfills-5.a.1.a"/>
      <w:r>
        <w:lastRenderedPageBreak/>
        <w:t>Municipal landfills (5.A.1.a)</w:t>
      </w:r>
    </w:p>
    <w:p w14:paraId="5F13A2CA" w14:textId="77777777" w:rsidR="00A76ADB" w:rsidRDefault="00A76ADB" w:rsidP="00A76ADB">
      <w:pPr>
        <w:pStyle w:val="BodyText"/>
      </w:pPr>
      <w:r>
        <w:t>Municipal landfills use a multi-phase FOD model consistent with the IPCC (2006a) model using country-specific parameters.</w:t>
      </w:r>
    </w:p>
    <w:p w14:paraId="0F590464" w14:textId="77777777" w:rsidR="00A76ADB" w:rsidRDefault="00A76ADB" w:rsidP="00A76ADB">
      <w:pPr>
        <w:pStyle w:val="BodyText"/>
      </w:pPr>
      <w:r>
        <w:t>For each of the 26 landfill sites that had LFG recovery at any time, the FOD multi-phase model (IPCC, 2006a) has been applied to develop estimates of CH</w:t>
      </w:r>
      <w:r>
        <w:rPr>
          <w:vertAlign w:val="subscript"/>
        </w:rPr>
        <w:t>4</w:t>
      </w:r>
      <w:r>
        <w:t xml:space="preserve"> emissions, with site-specific data on waste placement, k‑values dependent on local climate, and LFG recovery efficiency rate that reflects the landfill’s operational status as either open or closed. These sites that are still operational account for approximately 90 per cent of waste disposed to municipal landfills, as per the data in table 7.2.3.</w:t>
      </w:r>
    </w:p>
    <w:p w14:paraId="650A1E1B" w14:textId="77777777" w:rsidR="00A76ADB" w:rsidRPr="00246F01" w:rsidRDefault="00A76ADB" w:rsidP="00A76ADB">
      <w:pPr>
        <w:pStyle w:val="BodyText"/>
      </w:pPr>
      <w:r w:rsidRPr="00246F01">
        <w:t>Municipal waste outside of these 26 sites is disposed to smaller landfills that have never had gas recovery. In 1990, there were more than 300 of these sites and in 2020 approximately 21 were still in operation. This number includes very small sites serving small and remote communities. The FOD model has also been applied to estimate the total CH</w:t>
      </w:r>
      <w:r w:rsidRPr="00246F01">
        <w:rPr>
          <w:vertAlign w:val="subscript"/>
        </w:rPr>
        <w:t>4</w:t>
      </w:r>
      <w:r w:rsidRPr="00246F01">
        <w:t xml:space="preserve"> emissions from these landfills as a whole, using the same approach as the sites with LFG recovery, except that all of these sites are assumed to have a wet climate and zero LFG recovery.</w:t>
      </w:r>
    </w:p>
    <w:p w14:paraId="5031F156" w14:textId="77777777" w:rsidR="00A76ADB" w:rsidRDefault="00A76ADB" w:rsidP="00A76ADB">
      <w:pPr>
        <w:pStyle w:val="Heading5"/>
      </w:pPr>
      <w:bookmarkStart w:id="2359" w:name="X579238e0c28a6a45a0403081429b8235dd38f71"/>
      <w:bookmarkEnd w:id="2358"/>
      <w:r>
        <w:t>Non-municipal landfills and farm fills (5.A.2)</w:t>
      </w:r>
    </w:p>
    <w:p w14:paraId="27044FED" w14:textId="77777777" w:rsidR="00A76ADB" w:rsidRDefault="00A76ADB" w:rsidP="00A76ADB">
      <w:pPr>
        <w:pStyle w:val="BodyText"/>
      </w:pPr>
      <w:r>
        <w:t>Non-municipal landfills include privately owned industrial landfills and a large number of landfill sites (cleanfills and construction and demolition fills) that are consented for largely inert waste. These sites in some cases are allowed to receive 5–10 per cent putrescible waste. Limited information is available on these sites and their management practices, with a lack of historical information in particular. The FOD model has been applied to estimate total CH</w:t>
      </w:r>
      <w:r>
        <w:rPr>
          <w:vertAlign w:val="subscript"/>
        </w:rPr>
        <w:t>4</w:t>
      </w:r>
      <w:r>
        <w:t xml:space="preserve"> emissions from non-municipal landfills.</w:t>
      </w:r>
    </w:p>
    <w:p w14:paraId="6B7B0F36" w14:textId="77777777" w:rsidR="00A76ADB" w:rsidRDefault="00A76ADB" w:rsidP="00A76ADB">
      <w:pPr>
        <w:pStyle w:val="BodyText"/>
      </w:pPr>
      <w:r>
        <w:t>For farm fills, the FOD model has been applied to estimate total CH</w:t>
      </w:r>
      <w:r>
        <w:rPr>
          <w:vertAlign w:val="subscript"/>
        </w:rPr>
        <w:t>4</w:t>
      </w:r>
      <w:r>
        <w:t xml:space="preserve"> emissions from the proportion of total farm waste that is landfilled. Farm waste comprises a mix of household and other wastes. Survey data on waste composition are used to determine weighted average values for degradable organic carbon (DOC) content of waste from dairy farms, livestock farms, arable farms and viticulture farms (GHD, 2013, 2014). Survey data on waste composition from viticulture and arable farms are used to determine a weighted average DOC value for other remaining horticultural farms.</w:t>
      </w:r>
    </w:p>
    <w:bookmarkEnd w:id="2357"/>
    <w:bookmarkEnd w:id="2359"/>
    <w:p w14:paraId="6B037BD5" w14:textId="77777777" w:rsidR="00A76ADB" w:rsidRDefault="00A76ADB" w:rsidP="00A76ADB">
      <w:pPr>
        <w:pStyle w:val="Heading4"/>
      </w:pPr>
      <w:r>
        <w:t>Choice of emission factors and parameters</w:t>
      </w:r>
    </w:p>
    <w:p w14:paraId="7FB285E6" w14:textId="77777777" w:rsidR="00A76ADB" w:rsidRDefault="00A76ADB" w:rsidP="00A76ADB">
      <w:pPr>
        <w:pStyle w:val="Heading5"/>
      </w:pPr>
      <w:r>
        <w:t>Municipal landfills (5.A.1.a)</w:t>
      </w:r>
    </w:p>
    <w:p w14:paraId="7EC7BB91" w14:textId="77777777" w:rsidR="00A76ADB" w:rsidRDefault="00A76ADB" w:rsidP="00A76ADB">
      <w:pPr>
        <w:pStyle w:val="Heading6"/>
      </w:pPr>
      <w:r>
        <w:t>Waste composition</w:t>
      </w:r>
    </w:p>
    <w:p w14:paraId="4F73A2FC" w14:textId="77777777" w:rsidR="00A76ADB" w:rsidRDefault="00A76ADB" w:rsidP="00A76ADB">
      <w:pPr>
        <w:pStyle w:val="BodyText"/>
      </w:pPr>
      <w:r>
        <w:t xml:space="preserve">Many municipal landfills in New Zealand accept industrial waste as well as municipal waste. New Zealand has </w:t>
      </w:r>
      <w:r w:rsidRPr="00FF35C5">
        <w:t>insufficient</w:t>
      </w:r>
      <w:r>
        <w:t xml:space="preserve"> data to determine how much of the waste disposed to municipal landfills comes from industrial sources. Where surveys of composition data have occurred at sites that take industrial waste, this is included as part of the overall composition estimates.</w:t>
      </w:r>
    </w:p>
    <w:p w14:paraId="22407A63" w14:textId="7C54A1D8" w:rsidR="00A76ADB" w:rsidRDefault="00A76ADB" w:rsidP="00A76ADB">
      <w:pPr>
        <w:pStyle w:val="BodyText"/>
      </w:pPr>
      <w:r>
        <w:t xml:space="preserve">Waste composition has been estimated from national surveys carried out in 1995 and 2004 (Ministry for the Environment, 1997; Waste Not Consulting, unpublished(a)). In addition, estimates have been made for 2008, 2012 and 2018 based on individual landfill surveys (Eunomia, unpublished(a); Waste Not Consulting, unpublished(b), unpublished(c)). The wastesurveys have been based on the </w:t>
      </w:r>
      <w:r>
        <w:rPr>
          <w:i/>
          <w:iCs/>
        </w:rPr>
        <w:t>Solid Waste Analysis Protocol</w:t>
      </w:r>
      <w:r>
        <w:t xml:space="preserve"> (SWAP) (Ministry for the</w:t>
      </w:r>
      <w:r w:rsidR="00894736">
        <w:t xml:space="preserve"> </w:t>
      </w:r>
      <w:r>
        <w:t xml:space="preserve">Environment, 2002b) to ensure a consistent methodology for sampling and analysis. While the </w:t>
      </w:r>
      <w:r>
        <w:lastRenderedPageBreak/>
        <w:t>more recent SWAP surveys do not sample every site, the 2018 SWAP surveys assessed were conducted by territorial authorities from 18 disposal facilities and transfer stations, which collectively represent 66 per cent of all waste disposed of at municipal landfills in 2018.</w:t>
      </w:r>
    </w:p>
    <w:p w14:paraId="1EA3DD77" w14:textId="77777777" w:rsidR="00A76ADB" w:rsidRDefault="00A76ADB" w:rsidP="00A76ADB">
      <w:pPr>
        <w:pStyle w:val="BodyText"/>
      </w:pPr>
      <w:r>
        <w:t>No usable waste composition data are available for the period before 1995. For the years 1950 to 1994, data from the 1995 survey have been used, with an adjustment to account for the fact that disposable nappies came into use in the 1960s (Eunomia and Waste Not Consulting, unpublished). Linear interpolation was used for years between the survey years, and the years since 2018 are assumed to be the same as 2018. This will be revised when more survey data are collected in the future.</w:t>
      </w:r>
    </w:p>
    <w:p w14:paraId="0F73EC3C" w14:textId="77777777" w:rsidR="00A76ADB" w:rsidRPr="00246F01" w:rsidRDefault="00A76ADB" w:rsidP="00A76ADB">
      <w:pPr>
        <w:pStyle w:val="BodyText"/>
      </w:pPr>
      <w:bookmarkStart w:id="2360" w:name="waste-composition"/>
      <w:bookmarkStart w:id="2361" w:name="municipal-landfills-5.a.1.a-1"/>
      <w:bookmarkStart w:id="2362" w:name="methodological-issues"/>
      <w:bookmarkStart w:id="2363" w:name="X64e8346dfcafd746400d549bffeca46f4706a17"/>
      <w:r w:rsidRPr="00246F01">
        <w:t>Table 7.2.5 shows the resulting estimated composition data from 1950 to 2020. These have been used for the waste disposed to all municipal landfills.</w:t>
      </w:r>
    </w:p>
    <w:p w14:paraId="6D3A70A4" w14:textId="77777777" w:rsidR="00A76ADB" w:rsidRDefault="00A76ADB" w:rsidP="00A76ADB">
      <w:pPr>
        <w:pStyle w:val="Table"/>
      </w:pPr>
      <w:bookmarkStart w:id="2364" w:name="_Toc99659327"/>
      <w:r>
        <w:t>Table 7.2.5</w:t>
      </w:r>
      <w:r>
        <w:tab/>
        <w:t>Estimated composition of waste to municipal landfills from 1950 to </w:t>
      </w:r>
      <w:r>
        <w:rPr>
          <w:bCs/>
        </w:rPr>
        <w:t>2020</w:t>
      </w:r>
      <w:bookmarkEnd w:id="2364"/>
    </w:p>
    <w:tbl>
      <w:tblPr>
        <w:tblW w:w="8505" w:type="dxa"/>
        <w:tblInd w:w="108"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795"/>
        <w:gridCol w:w="597"/>
        <w:gridCol w:w="709"/>
        <w:gridCol w:w="708"/>
        <w:gridCol w:w="709"/>
        <w:gridCol w:w="711"/>
        <w:gridCol w:w="710"/>
        <w:gridCol w:w="708"/>
        <w:gridCol w:w="709"/>
        <w:gridCol w:w="2149"/>
      </w:tblGrid>
      <w:tr w:rsidR="00A76ADB" w:rsidRPr="00FF35C5" w14:paraId="35652C54" w14:textId="77777777" w:rsidTr="001D6E25">
        <w:trPr>
          <w:cantSplit/>
          <w:tblHeader/>
        </w:trPr>
        <w:tc>
          <w:tcPr>
            <w:tcW w:w="795" w:type="dxa"/>
            <w:shd w:val="clear" w:color="auto" w:fill="1B556B"/>
            <w:vAlign w:val="bottom"/>
          </w:tcPr>
          <w:p w14:paraId="76004247" w14:textId="77777777" w:rsidR="00A76ADB" w:rsidRPr="006C0D1B" w:rsidRDefault="00A76ADB" w:rsidP="007E3239">
            <w:pPr>
              <w:pStyle w:val="TableTextBold"/>
              <w:spacing w:before="50" w:after="50"/>
              <w:rPr>
                <w:color w:val="FFFFFF"/>
              </w:rPr>
            </w:pPr>
            <w:r w:rsidRPr="006C0D1B">
              <w:rPr>
                <w:rFonts w:eastAsia="Calibri"/>
                <w:color w:val="FFFFFF"/>
              </w:rPr>
              <w:t>Year</w:t>
            </w:r>
          </w:p>
        </w:tc>
        <w:tc>
          <w:tcPr>
            <w:tcW w:w="597" w:type="dxa"/>
            <w:shd w:val="clear" w:color="auto" w:fill="1B556B"/>
            <w:vAlign w:val="bottom"/>
          </w:tcPr>
          <w:p w14:paraId="02FBA3FE" w14:textId="77777777" w:rsidR="00A76ADB" w:rsidRPr="006C0D1B" w:rsidRDefault="00A76ADB" w:rsidP="007E3239">
            <w:pPr>
              <w:pStyle w:val="TableTextBold"/>
              <w:spacing w:before="50" w:after="50"/>
              <w:jc w:val="center"/>
              <w:rPr>
                <w:color w:val="FFFFFF"/>
              </w:rPr>
            </w:pPr>
            <w:r w:rsidRPr="006C0D1B">
              <w:rPr>
                <w:rFonts w:eastAsia="Calibri"/>
                <w:color w:val="FFFFFF"/>
              </w:rPr>
              <w:t>Food (%)</w:t>
            </w:r>
          </w:p>
        </w:tc>
        <w:tc>
          <w:tcPr>
            <w:tcW w:w="709" w:type="dxa"/>
            <w:shd w:val="clear" w:color="auto" w:fill="1B556B"/>
            <w:vAlign w:val="bottom"/>
          </w:tcPr>
          <w:p w14:paraId="0ACF070A" w14:textId="77777777" w:rsidR="00A76ADB" w:rsidRPr="006C0D1B" w:rsidRDefault="00A76ADB" w:rsidP="007E3239">
            <w:pPr>
              <w:pStyle w:val="TableTextBold"/>
              <w:spacing w:before="50" w:after="50"/>
              <w:jc w:val="center"/>
              <w:rPr>
                <w:color w:val="FFFFFF"/>
              </w:rPr>
            </w:pPr>
            <w:r w:rsidRPr="006C0D1B">
              <w:rPr>
                <w:rFonts w:eastAsia="Calibri"/>
                <w:color w:val="FFFFFF"/>
              </w:rPr>
              <w:t>Garden (%)</w:t>
            </w:r>
          </w:p>
        </w:tc>
        <w:tc>
          <w:tcPr>
            <w:tcW w:w="708" w:type="dxa"/>
            <w:shd w:val="clear" w:color="auto" w:fill="1B556B"/>
            <w:vAlign w:val="bottom"/>
          </w:tcPr>
          <w:p w14:paraId="434DD437" w14:textId="77777777" w:rsidR="00A76ADB" w:rsidRPr="006C0D1B" w:rsidRDefault="00A76ADB" w:rsidP="007E3239">
            <w:pPr>
              <w:pStyle w:val="TableTextBold"/>
              <w:spacing w:before="50" w:after="50"/>
              <w:jc w:val="center"/>
              <w:rPr>
                <w:color w:val="FFFFFF"/>
              </w:rPr>
            </w:pPr>
            <w:r w:rsidRPr="006C0D1B">
              <w:rPr>
                <w:rFonts w:eastAsia="Calibri"/>
                <w:color w:val="FFFFFF"/>
              </w:rPr>
              <w:t>Paper (%)</w:t>
            </w:r>
          </w:p>
        </w:tc>
        <w:tc>
          <w:tcPr>
            <w:tcW w:w="709" w:type="dxa"/>
            <w:shd w:val="clear" w:color="auto" w:fill="1B556B"/>
            <w:vAlign w:val="bottom"/>
          </w:tcPr>
          <w:p w14:paraId="1BD31AB0" w14:textId="77777777" w:rsidR="00A76ADB" w:rsidRPr="006C0D1B" w:rsidRDefault="00A76ADB" w:rsidP="007E3239">
            <w:pPr>
              <w:pStyle w:val="TableTextBold"/>
              <w:spacing w:before="50" w:after="50"/>
              <w:jc w:val="center"/>
              <w:rPr>
                <w:color w:val="FFFFFF"/>
              </w:rPr>
            </w:pPr>
            <w:r w:rsidRPr="006C0D1B">
              <w:rPr>
                <w:rFonts w:eastAsia="Calibri"/>
                <w:color w:val="FFFFFF"/>
              </w:rPr>
              <w:t>Wood (%)</w:t>
            </w:r>
          </w:p>
        </w:tc>
        <w:tc>
          <w:tcPr>
            <w:tcW w:w="711" w:type="dxa"/>
            <w:shd w:val="clear" w:color="auto" w:fill="1B556B"/>
            <w:vAlign w:val="bottom"/>
          </w:tcPr>
          <w:p w14:paraId="0CB39EE4" w14:textId="77777777" w:rsidR="00A76ADB" w:rsidRPr="006C0D1B" w:rsidRDefault="00A76ADB" w:rsidP="007E3239">
            <w:pPr>
              <w:pStyle w:val="TableTextBold"/>
              <w:spacing w:before="50" w:after="50"/>
              <w:jc w:val="center"/>
              <w:rPr>
                <w:color w:val="FFFFFF"/>
              </w:rPr>
            </w:pPr>
            <w:r w:rsidRPr="006C0D1B">
              <w:rPr>
                <w:rFonts w:eastAsia="Calibri"/>
                <w:color w:val="FFFFFF"/>
              </w:rPr>
              <w:t>Textile (%)</w:t>
            </w:r>
          </w:p>
        </w:tc>
        <w:tc>
          <w:tcPr>
            <w:tcW w:w="710" w:type="dxa"/>
            <w:shd w:val="clear" w:color="auto" w:fill="1B556B"/>
            <w:vAlign w:val="bottom"/>
          </w:tcPr>
          <w:p w14:paraId="61E35935" w14:textId="77777777" w:rsidR="00A76ADB" w:rsidRPr="006C0D1B" w:rsidRDefault="00A76ADB" w:rsidP="007E3239">
            <w:pPr>
              <w:pStyle w:val="TableTextBold"/>
              <w:spacing w:before="50" w:after="50"/>
              <w:jc w:val="center"/>
              <w:rPr>
                <w:color w:val="FFFFFF"/>
              </w:rPr>
            </w:pPr>
            <w:r w:rsidRPr="006C0D1B">
              <w:rPr>
                <w:rFonts w:eastAsia="Calibri"/>
                <w:color w:val="FFFFFF"/>
              </w:rPr>
              <w:t>Nappies (%)</w:t>
            </w:r>
          </w:p>
        </w:tc>
        <w:tc>
          <w:tcPr>
            <w:tcW w:w="708" w:type="dxa"/>
            <w:shd w:val="clear" w:color="auto" w:fill="1B556B"/>
            <w:vAlign w:val="bottom"/>
          </w:tcPr>
          <w:p w14:paraId="69E231EC" w14:textId="77777777" w:rsidR="00A76ADB" w:rsidRPr="006C0D1B" w:rsidRDefault="00A76ADB" w:rsidP="007E3239">
            <w:pPr>
              <w:pStyle w:val="TableTextBold"/>
              <w:spacing w:before="50" w:after="50"/>
              <w:jc w:val="center"/>
              <w:rPr>
                <w:color w:val="FFFFFF"/>
              </w:rPr>
            </w:pPr>
            <w:r w:rsidRPr="006C0D1B">
              <w:rPr>
                <w:rFonts w:eastAsia="Calibri"/>
                <w:color w:val="FFFFFF"/>
              </w:rPr>
              <w:t>Sludge (%)</w:t>
            </w:r>
          </w:p>
        </w:tc>
        <w:tc>
          <w:tcPr>
            <w:tcW w:w="709" w:type="dxa"/>
            <w:shd w:val="clear" w:color="auto" w:fill="1B556B"/>
            <w:vAlign w:val="bottom"/>
          </w:tcPr>
          <w:p w14:paraId="25A22B9D" w14:textId="77777777" w:rsidR="00A76ADB" w:rsidRPr="006C0D1B" w:rsidRDefault="00A76ADB" w:rsidP="007E3239">
            <w:pPr>
              <w:pStyle w:val="TableTextBold"/>
              <w:spacing w:before="50" w:after="50"/>
              <w:jc w:val="center"/>
              <w:rPr>
                <w:color w:val="FFFFFF"/>
              </w:rPr>
            </w:pPr>
            <w:r w:rsidRPr="006C0D1B">
              <w:rPr>
                <w:rFonts w:eastAsia="Calibri"/>
                <w:color w:val="FFFFFF"/>
              </w:rPr>
              <w:t>Inert (%)</w:t>
            </w:r>
          </w:p>
        </w:tc>
        <w:tc>
          <w:tcPr>
            <w:tcW w:w="2149" w:type="dxa"/>
            <w:shd w:val="clear" w:color="auto" w:fill="1B556B"/>
            <w:vAlign w:val="bottom"/>
          </w:tcPr>
          <w:p w14:paraId="596FE9B2" w14:textId="77777777" w:rsidR="00A76ADB" w:rsidRPr="006C0D1B" w:rsidRDefault="00A76ADB" w:rsidP="007E3239">
            <w:pPr>
              <w:pStyle w:val="TableTextBold"/>
              <w:spacing w:before="50" w:after="50"/>
              <w:rPr>
                <w:color w:val="FFFFFF"/>
              </w:rPr>
            </w:pPr>
            <w:r w:rsidRPr="006C0D1B">
              <w:rPr>
                <w:rFonts w:eastAsia="Calibri"/>
                <w:color w:val="FFFFFF"/>
              </w:rPr>
              <w:t>Notes</w:t>
            </w:r>
          </w:p>
        </w:tc>
      </w:tr>
      <w:tr w:rsidR="00A76ADB" w14:paraId="36AA0B98" w14:textId="77777777" w:rsidTr="001D6E25">
        <w:trPr>
          <w:cantSplit/>
          <w:trHeight w:val="283"/>
        </w:trPr>
        <w:tc>
          <w:tcPr>
            <w:tcW w:w="795" w:type="dxa"/>
            <w:shd w:val="clear" w:color="auto" w:fill="FFFFFF"/>
            <w:vAlign w:val="center"/>
          </w:tcPr>
          <w:p w14:paraId="0562641E" w14:textId="77777777" w:rsidR="00A76ADB" w:rsidRDefault="00A76ADB" w:rsidP="007E3239">
            <w:pPr>
              <w:pStyle w:val="TableText"/>
              <w:spacing w:before="50" w:after="50"/>
            </w:pPr>
            <w:r>
              <w:rPr>
                <w:rFonts w:eastAsia="Calibri"/>
              </w:rPr>
              <w:t>1950–60</w:t>
            </w:r>
          </w:p>
        </w:tc>
        <w:tc>
          <w:tcPr>
            <w:tcW w:w="597" w:type="dxa"/>
            <w:shd w:val="clear" w:color="auto" w:fill="FFFFFF"/>
            <w:vAlign w:val="center"/>
          </w:tcPr>
          <w:p w14:paraId="2AA77EF5" w14:textId="77777777" w:rsidR="00A76ADB" w:rsidRDefault="00A76ADB" w:rsidP="007E3239">
            <w:pPr>
              <w:pStyle w:val="TableText"/>
              <w:spacing w:before="50" w:after="50"/>
              <w:jc w:val="center"/>
            </w:pPr>
            <w:r>
              <w:rPr>
                <w:rFonts w:eastAsia="Calibri"/>
                <w:color w:val="000000"/>
              </w:rPr>
              <w:t>17.2</w:t>
            </w:r>
          </w:p>
        </w:tc>
        <w:tc>
          <w:tcPr>
            <w:tcW w:w="709" w:type="dxa"/>
            <w:shd w:val="clear" w:color="auto" w:fill="FFFFFF"/>
            <w:vAlign w:val="center"/>
          </w:tcPr>
          <w:p w14:paraId="76BE4F59" w14:textId="77777777" w:rsidR="00A76ADB" w:rsidRDefault="00A76ADB" w:rsidP="007E3239">
            <w:pPr>
              <w:pStyle w:val="TableText"/>
              <w:spacing w:before="50" w:after="50"/>
              <w:jc w:val="center"/>
            </w:pPr>
            <w:r>
              <w:rPr>
                <w:rFonts w:eastAsia="Calibri"/>
                <w:color w:val="000000"/>
              </w:rPr>
              <w:t>11</w:t>
            </w:r>
          </w:p>
        </w:tc>
        <w:tc>
          <w:tcPr>
            <w:tcW w:w="708" w:type="dxa"/>
            <w:shd w:val="clear" w:color="auto" w:fill="FFFFFF"/>
            <w:vAlign w:val="center"/>
          </w:tcPr>
          <w:p w14:paraId="7DF6FB12" w14:textId="77777777" w:rsidR="00A76ADB" w:rsidRDefault="00A76ADB" w:rsidP="007E3239">
            <w:pPr>
              <w:pStyle w:val="TableText"/>
              <w:spacing w:before="50" w:after="50"/>
              <w:jc w:val="center"/>
            </w:pPr>
            <w:r>
              <w:rPr>
                <w:rFonts w:eastAsia="Calibri"/>
                <w:color w:val="000000"/>
              </w:rPr>
              <w:t>16.3</w:t>
            </w:r>
          </w:p>
        </w:tc>
        <w:tc>
          <w:tcPr>
            <w:tcW w:w="709" w:type="dxa"/>
            <w:shd w:val="clear" w:color="auto" w:fill="FFFFFF"/>
            <w:vAlign w:val="center"/>
          </w:tcPr>
          <w:p w14:paraId="070AD78E" w14:textId="77777777" w:rsidR="00A76ADB" w:rsidRDefault="00A76ADB" w:rsidP="007E3239">
            <w:pPr>
              <w:pStyle w:val="TableText"/>
              <w:spacing w:before="50" w:after="50"/>
              <w:jc w:val="center"/>
            </w:pPr>
            <w:r>
              <w:rPr>
                <w:rFonts w:eastAsia="Calibri"/>
                <w:color w:val="000000"/>
              </w:rPr>
              <w:t>7.1</w:t>
            </w:r>
          </w:p>
        </w:tc>
        <w:tc>
          <w:tcPr>
            <w:tcW w:w="711" w:type="dxa"/>
            <w:shd w:val="clear" w:color="auto" w:fill="FFFFFF"/>
            <w:vAlign w:val="center"/>
          </w:tcPr>
          <w:p w14:paraId="45FC195C" w14:textId="77777777" w:rsidR="00A76ADB" w:rsidRDefault="00A76ADB" w:rsidP="007E3239">
            <w:pPr>
              <w:pStyle w:val="TableText"/>
              <w:spacing w:before="50" w:after="50"/>
              <w:jc w:val="center"/>
            </w:pPr>
            <w:r>
              <w:rPr>
                <w:rFonts w:eastAsia="Calibri"/>
                <w:color w:val="000000"/>
              </w:rPr>
              <w:t>0.5</w:t>
            </w:r>
          </w:p>
        </w:tc>
        <w:tc>
          <w:tcPr>
            <w:tcW w:w="710" w:type="dxa"/>
            <w:shd w:val="clear" w:color="auto" w:fill="FFFFFF"/>
            <w:vAlign w:val="center"/>
          </w:tcPr>
          <w:p w14:paraId="7365AFCB" w14:textId="77777777" w:rsidR="00A76ADB" w:rsidRDefault="00A76ADB" w:rsidP="007E3239">
            <w:pPr>
              <w:pStyle w:val="TableText"/>
              <w:spacing w:before="50" w:after="50"/>
              <w:jc w:val="center"/>
            </w:pPr>
            <w:r>
              <w:rPr>
                <w:rFonts w:eastAsia="Calibri"/>
                <w:color w:val="000000"/>
              </w:rPr>
              <w:t>0</w:t>
            </w:r>
          </w:p>
        </w:tc>
        <w:tc>
          <w:tcPr>
            <w:tcW w:w="708" w:type="dxa"/>
            <w:shd w:val="clear" w:color="auto" w:fill="FFFFFF"/>
            <w:vAlign w:val="center"/>
          </w:tcPr>
          <w:p w14:paraId="1F15E2A1"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25A3F2E9" w14:textId="77777777" w:rsidR="00A76ADB" w:rsidRDefault="00A76ADB" w:rsidP="007E3239">
            <w:pPr>
              <w:pStyle w:val="TableText"/>
              <w:spacing w:before="50" w:after="50"/>
              <w:jc w:val="center"/>
            </w:pPr>
            <w:r>
              <w:rPr>
                <w:rFonts w:eastAsia="Calibri"/>
                <w:color w:val="000000"/>
              </w:rPr>
              <w:t>44.99</w:t>
            </w:r>
          </w:p>
        </w:tc>
        <w:tc>
          <w:tcPr>
            <w:tcW w:w="2149" w:type="dxa"/>
            <w:shd w:val="clear" w:color="auto" w:fill="FFFFFF"/>
            <w:vAlign w:val="center"/>
          </w:tcPr>
          <w:p w14:paraId="1DAAA5DF" w14:textId="77777777" w:rsidR="00A76ADB" w:rsidRDefault="00A76ADB" w:rsidP="007E3239">
            <w:pPr>
              <w:pStyle w:val="TableText"/>
              <w:spacing w:before="50" w:after="50"/>
            </w:pPr>
            <w:r>
              <w:rPr>
                <w:rFonts w:eastAsia="Calibri"/>
                <w:color w:val="000000"/>
              </w:rPr>
              <w:t>No nappies</w:t>
            </w:r>
          </w:p>
        </w:tc>
      </w:tr>
      <w:tr w:rsidR="00A76ADB" w14:paraId="20C6DA4A" w14:textId="77777777" w:rsidTr="001D6E25">
        <w:trPr>
          <w:cantSplit/>
          <w:trHeight w:val="283"/>
        </w:trPr>
        <w:tc>
          <w:tcPr>
            <w:tcW w:w="795" w:type="dxa"/>
            <w:shd w:val="clear" w:color="auto" w:fill="FFFFFF"/>
            <w:vAlign w:val="center"/>
          </w:tcPr>
          <w:p w14:paraId="348B86CF" w14:textId="77777777" w:rsidR="00A76ADB" w:rsidRDefault="00A76ADB" w:rsidP="007E3239">
            <w:pPr>
              <w:pStyle w:val="TableText"/>
              <w:spacing w:before="50" w:after="50"/>
            </w:pPr>
            <w:r>
              <w:rPr>
                <w:rFonts w:eastAsia="Calibri"/>
              </w:rPr>
              <w:t>1961–69</w:t>
            </w:r>
          </w:p>
        </w:tc>
        <w:tc>
          <w:tcPr>
            <w:tcW w:w="597" w:type="dxa"/>
            <w:shd w:val="clear" w:color="auto" w:fill="FFFFFF"/>
            <w:vAlign w:val="center"/>
          </w:tcPr>
          <w:p w14:paraId="67BF7CB4" w14:textId="77777777" w:rsidR="00A76ADB" w:rsidRDefault="00A76ADB" w:rsidP="007E3239">
            <w:pPr>
              <w:pStyle w:val="TableText"/>
              <w:spacing w:before="50" w:after="50"/>
              <w:jc w:val="center"/>
            </w:pPr>
            <w:r>
              <w:rPr>
                <w:rFonts w:eastAsia="Calibri"/>
                <w:color w:val="000000"/>
              </w:rPr>
              <w:t>17.2</w:t>
            </w:r>
          </w:p>
        </w:tc>
        <w:tc>
          <w:tcPr>
            <w:tcW w:w="709" w:type="dxa"/>
            <w:shd w:val="clear" w:color="auto" w:fill="FFFFFF"/>
            <w:vAlign w:val="center"/>
          </w:tcPr>
          <w:p w14:paraId="381FE680" w14:textId="77777777" w:rsidR="00A76ADB" w:rsidRDefault="00A76ADB" w:rsidP="007E3239">
            <w:pPr>
              <w:pStyle w:val="TableText"/>
              <w:spacing w:before="50" w:after="50"/>
              <w:jc w:val="center"/>
            </w:pPr>
            <w:r>
              <w:rPr>
                <w:rFonts w:eastAsia="Calibri"/>
                <w:color w:val="000000"/>
              </w:rPr>
              <w:t>11</w:t>
            </w:r>
          </w:p>
        </w:tc>
        <w:tc>
          <w:tcPr>
            <w:tcW w:w="708" w:type="dxa"/>
            <w:shd w:val="clear" w:color="auto" w:fill="FFFFFF"/>
            <w:vAlign w:val="center"/>
          </w:tcPr>
          <w:p w14:paraId="3ADA7F90" w14:textId="77777777" w:rsidR="00A76ADB" w:rsidRDefault="00A76ADB" w:rsidP="007E3239">
            <w:pPr>
              <w:pStyle w:val="TableText"/>
              <w:spacing w:before="50" w:after="50"/>
              <w:jc w:val="center"/>
            </w:pPr>
            <w:r>
              <w:rPr>
                <w:rFonts w:eastAsia="Calibri"/>
                <w:color w:val="000000"/>
              </w:rPr>
              <w:t>16.3</w:t>
            </w:r>
          </w:p>
        </w:tc>
        <w:tc>
          <w:tcPr>
            <w:tcW w:w="709" w:type="dxa"/>
            <w:shd w:val="clear" w:color="auto" w:fill="FFFFFF"/>
            <w:vAlign w:val="center"/>
          </w:tcPr>
          <w:p w14:paraId="6B5C8097" w14:textId="77777777" w:rsidR="00A76ADB" w:rsidRDefault="00A76ADB" w:rsidP="007E3239">
            <w:pPr>
              <w:pStyle w:val="TableText"/>
              <w:spacing w:before="50" w:after="50"/>
              <w:jc w:val="center"/>
            </w:pPr>
            <w:r>
              <w:rPr>
                <w:rFonts w:eastAsia="Calibri"/>
                <w:color w:val="000000"/>
              </w:rPr>
              <w:t>7.1</w:t>
            </w:r>
          </w:p>
        </w:tc>
        <w:tc>
          <w:tcPr>
            <w:tcW w:w="711" w:type="dxa"/>
            <w:shd w:val="clear" w:color="auto" w:fill="FFFFFF"/>
            <w:vAlign w:val="center"/>
          </w:tcPr>
          <w:p w14:paraId="56BE136B" w14:textId="77777777" w:rsidR="00A76ADB" w:rsidRDefault="00A76ADB" w:rsidP="007E3239">
            <w:pPr>
              <w:pStyle w:val="TableText"/>
              <w:spacing w:before="50" w:after="50"/>
              <w:jc w:val="center"/>
            </w:pPr>
            <w:r>
              <w:rPr>
                <w:rFonts w:eastAsia="Calibri"/>
                <w:color w:val="000000"/>
              </w:rPr>
              <w:t>0.5</w:t>
            </w:r>
          </w:p>
        </w:tc>
        <w:tc>
          <w:tcPr>
            <w:tcW w:w="710" w:type="dxa"/>
            <w:shd w:val="clear" w:color="auto" w:fill="FFFFFF"/>
            <w:vAlign w:val="center"/>
          </w:tcPr>
          <w:p w14:paraId="54FBE5BB" w14:textId="77777777" w:rsidR="00A76ADB" w:rsidRDefault="00A76ADB" w:rsidP="007E3239">
            <w:pPr>
              <w:pStyle w:val="TableText"/>
              <w:spacing w:before="50" w:after="50"/>
              <w:jc w:val="center"/>
            </w:pPr>
            <w:r>
              <w:rPr>
                <w:rFonts w:eastAsia="Calibri"/>
                <w:color w:val="000000"/>
              </w:rPr>
              <w:t>1</w:t>
            </w:r>
          </w:p>
        </w:tc>
        <w:tc>
          <w:tcPr>
            <w:tcW w:w="708" w:type="dxa"/>
            <w:shd w:val="clear" w:color="auto" w:fill="FFFFFF"/>
            <w:vAlign w:val="center"/>
          </w:tcPr>
          <w:p w14:paraId="5EA92C6B"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1B19FDE2" w14:textId="77777777" w:rsidR="00A76ADB" w:rsidRDefault="00A76ADB" w:rsidP="007E3239">
            <w:pPr>
              <w:pStyle w:val="TableText"/>
              <w:spacing w:before="50" w:after="50"/>
              <w:jc w:val="center"/>
            </w:pPr>
            <w:r>
              <w:rPr>
                <w:rFonts w:eastAsia="Calibri"/>
                <w:color w:val="000000"/>
              </w:rPr>
              <w:t>43.99</w:t>
            </w:r>
          </w:p>
        </w:tc>
        <w:tc>
          <w:tcPr>
            <w:tcW w:w="2149" w:type="dxa"/>
            <w:shd w:val="clear" w:color="auto" w:fill="FFFFFF"/>
            <w:vAlign w:val="center"/>
          </w:tcPr>
          <w:p w14:paraId="4F2D87FD" w14:textId="77777777" w:rsidR="00A76ADB" w:rsidRDefault="00A76ADB" w:rsidP="007E3239">
            <w:pPr>
              <w:pStyle w:val="TableText"/>
              <w:spacing w:before="50" w:after="50"/>
            </w:pPr>
            <w:r>
              <w:rPr>
                <w:rFonts w:eastAsia="Calibri"/>
                <w:color w:val="000000"/>
              </w:rPr>
              <w:t>Interpolation</w:t>
            </w:r>
          </w:p>
        </w:tc>
      </w:tr>
      <w:tr w:rsidR="00A76ADB" w14:paraId="2F6C6009" w14:textId="77777777" w:rsidTr="001D6E25">
        <w:trPr>
          <w:cantSplit/>
          <w:trHeight w:val="283"/>
        </w:trPr>
        <w:tc>
          <w:tcPr>
            <w:tcW w:w="795" w:type="dxa"/>
            <w:shd w:val="clear" w:color="auto" w:fill="FFFFFF"/>
            <w:vAlign w:val="center"/>
          </w:tcPr>
          <w:p w14:paraId="07B11982" w14:textId="77777777" w:rsidR="00A76ADB" w:rsidRDefault="00A76ADB" w:rsidP="007E3239">
            <w:pPr>
              <w:pStyle w:val="TableText"/>
              <w:spacing w:before="50" w:after="50"/>
            </w:pPr>
            <w:r>
              <w:rPr>
                <w:rFonts w:eastAsia="Calibri"/>
              </w:rPr>
              <w:t>1970–79</w:t>
            </w:r>
          </w:p>
        </w:tc>
        <w:tc>
          <w:tcPr>
            <w:tcW w:w="597" w:type="dxa"/>
            <w:shd w:val="clear" w:color="auto" w:fill="FFFFFF"/>
            <w:vAlign w:val="center"/>
          </w:tcPr>
          <w:p w14:paraId="302C54CA" w14:textId="77777777" w:rsidR="00A76ADB" w:rsidRDefault="00A76ADB" w:rsidP="007E3239">
            <w:pPr>
              <w:pStyle w:val="TableText"/>
              <w:spacing w:before="50" w:after="50"/>
              <w:jc w:val="center"/>
            </w:pPr>
            <w:r>
              <w:rPr>
                <w:rFonts w:eastAsia="Calibri"/>
                <w:color w:val="000000"/>
              </w:rPr>
              <w:t>17.2</w:t>
            </w:r>
          </w:p>
        </w:tc>
        <w:tc>
          <w:tcPr>
            <w:tcW w:w="709" w:type="dxa"/>
            <w:shd w:val="clear" w:color="auto" w:fill="FFFFFF"/>
            <w:vAlign w:val="center"/>
          </w:tcPr>
          <w:p w14:paraId="2FBD8494" w14:textId="77777777" w:rsidR="00A76ADB" w:rsidRDefault="00A76ADB" w:rsidP="007E3239">
            <w:pPr>
              <w:pStyle w:val="TableText"/>
              <w:spacing w:before="50" w:after="50"/>
              <w:jc w:val="center"/>
            </w:pPr>
            <w:r>
              <w:rPr>
                <w:rFonts w:eastAsia="Calibri"/>
                <w:color w:val="000000"/>
              </w:rPr>
              <w:t>11</w:t>
            </w:r>
          </w:p>
        </w:tc>
        <w:tc>
          <w:tcPr>
            <w:tcW w:w="708" w:type="dxa"/>
            <w:shd w:val="clear" w:color="auto" w:fill="FFFFFF"/>
            <w:vAlign w:val="center"/>
          </w:tcPr>
          <w:p w14:paraId="1493E847" w14:textId="77777777" w:rsidR="00A76ADB" w:rsidRDefault="00A76ADB" w:rsidP="007E3239">
            <w:pPr>
              <w:pStyle w:val="TableText"/>
              <w:spacing w:before="50" w:after="50"/>
              <w:jc w:val="center"/>
            </w:pPr>
            <w:r>
              <w:rPr>
                <w:rFonts w:eastAsia="Calibri"/>
                <w:color w:val="000000"/>
              </w:rPr>
              <w:t>16.3</w:t>
            </w:r>
          </w:p>
        </w:tc>
        <w:tc>
          <w:tcPr>
            <w:tcW w:w="709" w:type="dxa"/>
            <w:shd w:val="clear" w:color="auto" w:fill="FFFFFF"/>
            <w:vAlign w:val="center"/>
          </w:tcPr>
          <w:p w14:paraId="09429C5A" w14:textId="77777777" w:rsidR="00A76ADB" w:rsidRDefault="00A76ADB" w:rsidP="007E3239">
            <w:pPr>
              <w:pStyle w:val="TableText"/>
              <w:spacing w:before="50" w:after="50"/>
              <w:jc w:val="center"/>
            </w:pPr>
            <w:r>
              <w:rPr>
                <w:rFonts w:eastAsia="Calibri"/>
                <w:color w:val="000000"/>
              </w:rPr>
              <w:t>7.1</w:t>
            </w:r>
          </w:p>
        </w:tc>
        <w:tc>
          <w:tcPr>
            <w:tcW w:w="711" w:type="dxa"/>
            <w:shd w:val="clear" w:color="auto" w:fill="FFFFFF"/>
            <w:vAlign w:val="center"/>
          </w:tcPr>
          <w:p w14:paraId="5B74D0C8" w14:textId="77777777" w:rsidR="00A76ADB" w:rsidRDefault="00A76ADB" w:rsidP="007E3239">
            <w:pPr>
              <w:pStyle w:val="TableText"/>
              <w:spacing w:before="50" w:after="50"/>
              <w:jc w:val="center"/>
            </w:pPr>
            <w:r>
              <w:rPr>
                <w:rFonts w:eastAsia="Calibri"/>
                <w:color w:val="000000"/>
              </w:rPr>
              <w:t>0.5</w:t>
            </w:r>
          </w:p>
        </w:tc>
        <w:tc>
          <w:tcPr>
            <w:tcW w:w="710" w:type="dxa"/>
            <w:shd w:val="clear" w:color="auto" w:fill="FFFFFF"/>
            <w:vAlign w:val="center"/>
          </w:tcPr>
          <w:p w14:paraId="2B7A6951" w14:textId="77777777" w:rsidR="00A76ADB" w:rsidRDefault="00A76ADB" w:rsidP="007E3239">
            <w:pPr>
              <w:pStyle w:val="TableText"/>
              <w:spacing w:before="50" w:after="50"/>
              <w:jc w:val="center"/>
            </w:pPr>
            <w:r>
              <w:rPr>
                <w:rFonts w:eastAsia="Calibri"/>
                <w:color w:val="000000"/>
              </w:rPr>
              <w:t>2</w:t>
            </w:r>
          </w:p>
        </w:tc>
        <w:tc>
          <w:tcPr>
            <w:tcW w:w="708" w:type="dxa"/>
            <w:shd w:val="clear" w:color="auto" w:fill="FFFFFF"/>
            <w:vAlign w:val="center"/>
          </w:tcPr>
          <w:p w14:paraId="1227080B"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7E6C49A3" w14:textId="77777777" w:rsidR="00A76ADB" w:rsidRDefault="00A76ADB" w:rsidP="007E3239">
            <w:pPr>
              <w:pStyle w:val="TableText"/>
              <w:spacing w:before="50" w:after="50"/>
              <w:jc w:val="center"/>
            </w:pPr>
            <w:r>
              <w:rPr>
                <w:rFonts w:eastAsia="Calibri"/>
                <w:color w:val="000000"/>
              </w:rPr>
              <w:t>42.99</w:t>
            </w:r>
          </w:p>
        </w:tc>
        <w:tc>
          <w:tcPr>
            <w:tcW w:w="2149" w:type="dxa"/>
            <w:shd w:val="clear" w:color="auto" w:fill="FFFFFF"/>
            <w:vAlign w:val="center"/>
          </w:tcPr>
          <w:p w14:paraId="1B51E289" w14:textId="77777777" w:rsidR="00A76ADB" w:rsidRDefault="00A76ADB" w:rsidP="007E3239">
            <w:pPr>
              <w:pStyle w:val="TableText"/>
              <w:spacing w:before="50" w:after="50"/>
            </w:pPr>
            <w:r>
              <w:rPr>
                <w:rFonts w:eastAsia="Calibri"/>
                <w:color w:val="000000"/>
              </w:rPr>
              <w:t>Interpolation</w:t>
            </w:r>
          </w:p>
        </w:tc>
      </w:tr>
      <w:tr w:rsidR="00A76ADB" w14:paraId="613134AD" w14:textId="77777777" w:rsidTr="001D6E25">
        <w:trPr>
          <w:cantSplit/>
          <w:trHeight w:val="283"/>
        </w:trPr>
        <w:tc>
          <w:tcPr>
            <w:tcW w:w="795" w:type="dxa"/>
            <w:shd w:val="clear" w:color="auto" w:fill="FFFFFF"/>
            <w:vAlign w:val="center"/>
          </w:tcPr>
          <w:p w14:paraId="6BAD10EF" w14:textId="77777777" w:rsidR="00A76ADB" w:rsidRDefault="00A76ADB" w:rsidP="007E3239">
            <w:pPr>
              <w:pStyle w:val="TableText"/>
              <w:spacing w:before="50" w:after="50"/>
            </w:pPr>
            <w:r>
              <w:rPr>
                <w:rFonts w:eastAsia="Calibri"/>
              </w:rPr>
              <w:t>1980–94</w:t>
            </w:r>
          </w:p>
        </w:tc>
        <w:tc>
          <w:tcPr>
            <w:tcW w:w="597" w:type="dxa"/>
            <w:shd w:val="clear" w:color="auto" w:fill="FFFFFF"/>
            <w:vAlign w:val="center"/>
          </w:tcPr>
          <w:p w14:paraId="696F8E98" w14:textId="77777777" w:rsidR="00A76ADB" w:rsidRDefault="00A76ADB" w:rsidP="007E3239">
            <w:pPr>
              <w:pStyle w:val="TableText"/>
              <w:spacing w:before="50" w:after="50"/>
              <w:jc w:val="center"/>
            </w:pPr>
            <w:r>
              <w:rPr>
                <w:rFonts w:eastAsia="Calibri"/>
                <w:color w:val="000000"/>
              </w:rPr>
              <w:t>17.2</w:t>
            </w:r>
          </w:p>
        </w:tc>
        <w:tc>
          <w:tcPr>
            <w:tcW w:w="709" w:type="dxa"/>
            <w:shd w:val="clear" w:color="auto" w:fill="FFFFFF"/>
            <w:vAlign w:val="center"/>
          </w:tcPr>
          <w:p w14:paraId="77BE3B1A" w14:textId="77777777" w:rsidR="00A76ADB" w:rsidRDefault="00A76ADB" w:rsidP="007E3239">
            <w:pPr>
              <w:pStyle w:val="TableText"/>
              <w:spacing w:before="50" w:after="50"/>
              <w:jc w:val="center"/>
            </w:pPr>
            <w:r>
              <w:rPr>
                <w:rFonts w:eastAsia="Calibri"/>
                <w:color w:val="000000"/>
              </w:rPr>
              <w:t>11</w:t>
            </w:r>
          </w:p>
        </w:tc>
        <w:tc>
          <w:tcPr>
            <w:tcW w:w="708" w:type="dxa"/>
            <w:shd w:val="clear" w:color="auto" w:fill="FFFFFF"/>
            <w:vAlign w:val="center"/>
          </w:tcPr>
          <w:p w14:paraId="57EE4523" w14:textId="77777777" w:rsidR="00A76ADB" w:rsidRDefault="00A76ADB" w:rsidP="007E3239">
            <w:pPr>
              <w:pStyle w:val="TableText"/>
              <w:spacing w:before="50" w:after="50"/>
              <w:jc w:val="center"/>
            </w:pPr>
            <w:r>
              <w:rPr>
                <w:rFonts w:eastAsia="Calibri"/>
                <w:color w:val="000000"/>
              </w:rPr>
              <w:t>16.3</w:t>
            </w:r>
          </w:p>
        </w:tc>
        <w:tc>
          <w:tcPr>
            <w:tcW w:w="709" w:type="dxa"/>
            <w:shd w:val="clear" w:color="auto" w:fill="FFFFFF"/>
            <w:vAlign w:val="center"/>
          </w:tcPr>
          <w:p w14:paraId="6ADF30BF" w14:textId="77777777" w:rsidR="00A76ADB" w:rsidRDefault="00A76ADB" w:rsidP="007E3239">
            <w:pPr>
              <w:pStyle w:val="TableText"/>
              <w:spacing w:before="50" w:after="50"/>
              <w:jc w:val="center"/>
            </w:pPr>
            <w:r>
              <w:rPr>
                <w:rFonts w:eastAsia="Calibri"/>
                <w:color w:val="000000"/>
              </w:rPr>
              <w:t>7.1</w:t>
            </w:r>
          </w:p>
        </w:tc>
        <w:tc>
          <w:tcPr>
            <w:tcW w:w="711" w:type="dxa"/>
            <w:shd w:val="clear" w:color="auto" w:fill="FFFFFF"/>
            <w:vAlign w:val="center"/>
          </w:tcPr>
          <w:p w14:paraId="0F5DF1D9" w14:textId="77777777" w:rsidR="00A76ADB" w:rsidRDefault="00A76ADB" w:rsidP="007E3239">
            <w:pPr>
              <w:pStyle w:val="TableText"/>
              <w:spacing w:before="50" w:after="50"/>
              <w:jc w:val="center"/>
            </w:pPr>
            <w:r>
              <w:rPr>
                <w:rFonts w:eastAsia="Calibri"/>
                <w:color w:val="000000"/>
              </w:rPr>
              <w:t>0.5</w:t>
            </w:r>
          </w:p>
        </w:tc>
        <w:tc>
          <w:tcPr>
            <w:tcW w:w="710" w:type="dxa"/>
            <w:shd w:val="clear" w:color="auto" w:fill="FFFFFF"/>
            <w:vAlign w:val="center"/>
          </w:tcPr>
          <w:p w14:paraId="2213B906" w14:textId="77777777" w:rsidR="00A76ADB" w:rsidRDefault="00A76ADB" w:rsidP="007E3239">
            <w:pPr>
              <w:pStyle w:val="TableText"/>
              <w:spacing w:before="50" w:after="50"/>
              <w:jc w:val="center"/>
            </w:pPr>
            <w:r>
              <w:rPr>
                <w:rFonts w:eastAsia="Calibri"/>
                <w:color w:val="000000"/>
              </w:rPr>
              <w:t>2.7</w:t>
            </w:r>
          </w:p>
        </w:tc>
        <w:tc>
          <w:tcPr>
            <w:tcW w:w="708" w:type="dxa"/>
            <w:shd w:val="clear" w:color="auto" w:fill="FFFFFF"/>
            <w:vAlign w:val="center"/>
          </w:tcPr>
          <w:p w14:paraId="69ADCE94"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4BDAF4D5" w14:textId="77777777" w:rsidR="00A76ADB" w:rsidRDefault="00A76ADB" w:rsidP="007E3239">
            <w:pPr>
              <w:pStyle w:val="TableText"/>
              <w:spacing w:before="50" w:after="50"/>
              <w:jc w:val="center"/>
            </w:pPr>
            <w:r>
              <w:rPr>
                <w:rFonts w:eastAsia="Calibri"/>
                <w:color w:val="000000"/>
              </w:rPr>
              <w:t>42.29</w:t>
            </w:r>
          </w:p>
        </w:tc>
        <w:tc>
          <w:tcPr>
            <w:tcW w:w="2149" w:type="dxa"/>
            <w:shd w:val="clear" w:color="auto" w:fill="FFFFFF"/>
            <w:vAlign w:val="center"/>
          </w:tcPr>
          <w:p w14:paraId="29EF6CE4" w14:textId="77777777" w:rsidR="00A76ADB" w:rsidRDefault="00A76ADB" w:rsidP="007E3239">
            <w:pPr>
              <w:pStyle w:val="TableText"/>
              <w:spacing w:before="50" w:after="50"/>
            </w:pPr>
            <w:r>
              <w:rPr>
                <w:rFonts w:eastAsia="Calibri"/>
                <w:color w:val="000000"/>
              </w:rPr>
              <w:t>As for 1995</w:t>
            </w:r>
          </w:p>
        </w:tc>
      </w:tr>
      <w:tr w:rsidR="00A76ADB" w14:paraId="28DB1A75" w14:textId="77777777" w:rsidTr="001D6E25">
        <w:trPr>
          <w:cantSplit/>
          <w:trHeight w:val="283"/>
        </w:trPr>
        <w:tc>
          <w:tcPr>
            <w:tcW w:w="795" w:type="dxa"/>
            <w:shd w:val="clear" w:color="auto" w:fill="FFFFFF"/>
            <w:vAlign w:val="center"/>
          </w:tcPr>
          <w:p w14:paraId="37BEC67C" w14:textId="77777777" w:rsidR="00A76ADB" w:rsidRDefault="00A76ADB" w:rsidP="007E3239">
            <w:pPr>
              <w:pStyle w:val="TableText"/>
              <w:spacing w:before="50" w:after="50"/>
            </w:pPr>
            <w:r>
              <w:rPr>
                <w:rFonts w:eastAsia="Calibri"/>
              </w:rPr>
              <w:t>1995</w:t>
            </w:r>
          </w:p>
        </w:tc>
        <w:tc>
          <w:tcPr>
            <w:tcW w:w="597" w:type="dxa"/>
            <w:shd w:val="clear" w:color="auto" w:fill="FFFFFF"/>
            <w:vAlign w:val="center"/>
          </w:tcPr>
          <w:p w14:paraId="2CD163A2" w14:textId="77777777" w:rsidR="00A76ADB" w:rsidRDefault="00A76ADB" w:rsidP="007E3239">
            <w:pPr>
              <w:pStyle w:val="TableText"/>
              <w:spacing w:before="50" w:after="50"/>
              <w:jc w:val="center"/>
            </w:pPr>
            <w:r>
              <w:rPr>
                <w:rFonts w:eastAsia="Calibri"/>
                <w:color w:val="000000"/>
              </w:rPr>
              <w:t>17.2</w:t>
            </w:r>
          </w:p>
        </w:tc>
        <w:tc>
          <w:tcPr>
            <w:tcW w:w="709" w:type="dxa"/>
            <w:shd w:val="clear" w:color="auto" w:fill="FFFFFF"/>
            <w:vAlign w:val="center"/>
          </w:tcPr>
          <w:p w14:paraId="77E7F67F" w14:textId="77777777" w:rsidR="00A76ADB" w:rsidRDefault="00A76ADB" w:rsidP="007E3239">
            <w:pPr>
              <w:pStyle w:val="TableText"/>
              <w:spacing w:before="50" w:after="50"/>
              <w:jc w:val="center"/>
            </w:pPr>
            <w:r>
              <w:rPr>
                <w:rFonts w:eastAsia="Calibri"/>
                <w:color w:val="000000"/>
              </w:rPr>
              <w:t>11</w:t>
            </w:r>
          </w:p>
        </w:tc>
        <w:tc>
          <w:tcPr>
            <w:tcW w:w="708" w:type="dxa"/>
            <w:shd w:val="clear" w:color="auto" w:fill="FFFFFF"/>
            <w:vAlign w:val="center"/>
          </w:tcPr>
          <w:p w14:paraId="18E84C44" w14:textId="77777777" w:rsidR="00A76ADB" w:rsidRDefault="00A76ADB" w:rsidP="007E3239">
            <w:pPr>
              <w:pStyle w:val="TableText"/>
              <w:spacing w:before="50" w:after="50"/>
              <w:jc w:val="center"/>
            </w:pPr>
            <w:r>
              <w:rPr>
                <w:rFonts w:eastAsia="Calibri"/>
                <w:color w:val="000000"/>
              </w:rPr>
              <w:t>16.3</w:t>
            </w:r>
          </w:p>
        </w:tc>
        <w:tc>
          <w:tcPr>
            <w:tcW w:w="709" w:type="dxa"/>
            <w:shd w:val="clear" w:color="auto" w:fill="FFFFFF"/>
            <w:vAlign w:val="center"/>
          </w:tcPr>
          <w:p w14:paraId="22C2965C" w14:textId="77777777" w:rsidR="00A76ADB" w:rsidRDefault="00A76ADB" w:rsidP="007E3239">
            <w:pPr>
              <w:pStyle w:val="TableText"/>
              <w:spacing w:before="50" w:after="50"/>
              <w:jc w:val="center"/>
            </w:pPr>
            <w:r>
              <w:rPr>
                <w:rFonts w:eastAsia="Calibri"/>
                <w:color w:val="000000"/>
              </w:rPr>
              <w:t>7.1</w:t>
            </w:r>
          </w:p>
        </w:tc>
        <w:tc>
          <w:tcPr>
            <w:tcW w:w="711" w:type="dxa"/>
            <w:shd w:val="clear" w:color="auto" w:fill="FFFFFF"/>
            <w:vAlign w:val="center"/>
          </w:tcPr>
          <w:p w14:paraId="1E0F101B" w14:textId="77777777" w:rsidR="00A76ADB" w:rsidRDefault="00A76ADB" w:rsidP="007E3239">
            <w:pPr>
              <w:pStyle w:val="TableText"/>
              <w:spacing w:before="50" w:after="50"/>
              <w:jc w:val="center"/>
            </w:pPr>
            <w:r>
              <w:rPr>
                <w:rFonts w:eastAsia="Calibri"/>
                <w:color w:val="000000"/>
              </w:rPr>
              <w:t>0.5</w:t>
            </w:r>
          </w:p>
        </w:tc>
        <w:tc>
          <w:tcPr>
            <w:tcW w:w="710" w:type="dxa"/>
            <w:shd w:val="clear" w:color="auto" w:fill="FFFFFF"/>
            <w:vAlign w:val="center"/>
          </w:tcPr>
          <w:p w14:paraId="42E996A1" w14:textId="77777777" w:rsidR="00A76ADB" w:rsidRDefault="00A76ADB" w:rsidP="007E3239">
            <w:pPr>
              <w:pStyle w:val="TableText"/>
              <w:spacing w:before="50" w:after="50"/>
              <w:jc w:val="center"/>
            </w:pPr>
            <w:r>
              <w:rPr>
                <w:rFonts w:eastAsia="Calibri"/>
                <w:color w:val="000000"/>
              </w:rPr>
              <w:t>2.7</w:t>
            </w:r>
          </w:p>
        </w:tc>
        <w:tc>
          <w:tcPr>
            <w:tcW w:w="708" w:type="dxa"/>
            <w:shd w:val="clear" w:color="auto" w:fill="FFFFFF"/>
            <w:vAlign w:val="center"/>
          </w:tcPr>
          <w:p w14:paraId="16446885"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596A7B79" w14:textId="77777777" w:rsidR="00A76ADB" w:rsidRDefault="00A76ADB" w:rsidP="007E3239">
            <w:pPr>
              <w:pStyle w:val="TableText"/>
              <w:spacing w:before="50" w:after="50"/>
              <w:jc w:val="center"/>
            </w:pPr>
            <w:r>
              <w:rPr>
                <w:rFonts w:eastAsia="Calibri"/>
                <w:color w:val="000000"/>
              </w:rPr>
              <w:t>42.29</w:t>
            </w:r>
          </w:p>
        </w:tc>
        <w:tc>
          <w:tcPr>
            <w:tcW w:w="2149" w:type="dxa"/>
            <w:shd w:val="clear" w:color="auto" w:fill="FFFFFF"/>
            <w:vAlign w:val="center"/>
          </w:tcPr>
          <w:p w14:paraId="650FC3E5" w14:textId="77777777" w:rsidR="00A76ADB" w:rsidRDefault="00A76ADB" w:rsidP="007E3239">
            <w:pPr>
              <w:pStyle w:val="TableText"/>
              <w:spacing w:before="50" w:after="50"/>
            </w:pPr>
            <w:r>
              <w:rPr>
                <w:rFonts w:eastAsia="Calibri"/>
                <w:color w:val="000000"/>
              </w:rPr>
              <w:t>National survey</w:t>
            </w:r>
          </w:p>
        </w:tc>
      </w:tr>
      <w:tr w:rsidR="00A76ADB" w14:paraId="626889E9" w14:textId="77777777" w:rsidTr="001D6E25">
        <w:trPr>
          <w:cantSplit/>
          <w:trHeight w:val="283"/>
        </w:trPr>
        <w:tc>
          <w:tcPr>
            <w:tcW w:w="795" w:type="dxa"/>
            <w:shd w:val="clear" w:color="auto" w:fill="FFFFFF"/>
            <w:vAlign w:val="center"/>
          </w:tcPr>
          <w:p w14:paraId="7892D46A" w14:textId="77777777" w:rsidR="00A76ADB" w:rsidRDefault="00A76ADB" w:rsidP="007E3239">
            <w:pPr>
              <w:pStyle w:val="TableText"/>
              <w:spacing w:before="50" w:after="50"/>
            </w:pPr>
            <w:r>
              <w:rPr>
                <w:rFonts w:eastAsia="Calibri"/>
              </w:rPr>
              <w:t>1996</w:t>
            </w:r>
          </w:p>
        </w:tc>
        <w:tc>
          <w:tcPr>
            <w:tcW w:w="597" w:type="dxa"/>
            <w:shd w:val="clear" w:color="auto" w:fill="FFFFFF"/>
            <w:vAlign w:val="center"/>
          </w:tcPr>
          <w:p w14:paraId="33EBE583" w14:textId="77777777" w:rsidR="00A76ADB" w:rsidRDefault="00A76ADB" w:rsidP="007E3239">
            <w:pPr>
              <w:pStyle w:val="TableText"/>
              <w:spacing w:before="50" w:after="50"/>
              <w:jc w:val="center"/>
            </w:pPr>
            <w:r>
              <w:rPr>
                <w:rFonts w:eastAsia="Calibri"/>
                <w:color w:val="000000"/>
              </w:rPr>
              <w:t>16.87</w:t>
            </w:r>
          </w:p>
        </w:tc>
        <w:tc>
          <w:tcPr>
            <w:tcW w:w="709" w:type="dxa"/>
            <w:shd w:val="clear" w:color="auto" w:fill="FFFFFF"/>
            <w:vAlign w:val="center"/>
          </w:tcPr>
          <w:p w14:paraId="7BD0A7EE" w14:textId="77777777" w:rsidR="00A76ADB" w:rsidRDefault="00A76ADB" w:rsidP="007E3239">
            <w:pPr>
              <w:pStyle w:val="TableText"/>
              <w:spacing w:before="50" w:after="50"/>
              <w:jc w:val="center"/>
            </w:pPr>
            <w:r>
              <w:rPr>
                <w:rFonts w:eastAsia="Calibri"/>
                <w:color w:val="000000"/>
              </w:rPr>
              <w:t>10.79</w:t>
            </w:r>
          </w:p>
        </w:tc>
        <w:tc>
          <w:tcPr>
            <w:tcW w:w="708" w:type="dxa"/>
            <w:shd w:val="clear" w:color="auto" w:fill="FFFFFF"/>
            <w:vAlign w:val="center"/>
          </w:tcPr>
          <w:p w14:paraId="0EC75165" w14:textId="77777777" w:rsidR="00A76ADB" w:rsidRDefault="00A76ADB" w:rsidP="007E3239">
            <w:pPr>
              <w:pStyle w:val="TableText"/>
              <w:spacing w:before="50" w:after="50"/>
              <w:jc w:val="center"/>
            </w:pPr>
            <w:r>
              <w:rPr>
                <w:rFonts w:eastAsia="Calibri"/>
                <w:color w:val="000000"/>
              </w:rPr>
              <w:t>16.14</w:t>
            </w:r>
          </w:p>
        </w:tc>
        <w:tc>
          <w:tcPr>
            <w:tcW w:w="709" w:type="dxa"/>
            <w:shd w:val="clear" w:color="auto" w:fill="FFFFFF"/>
            <w:vAlign w:val="center"/>
          </w:tcPr>
          <w:p w14:paraId="0F8A53F4" w14:textId="77777777" w:rsidR="00A76ADB" w:rsidRDefault="00A76ADB" w:rsidP="007E3239">
            <w:pPr>
              <w:pStyle w:val="TableText"/>
              <w:spacing w:before="50" w:after="50"/>
              <w:jc w:val="center"/>
            </w:pPr>
            <w:r>
              <w:rPr>
                <w:rFonts w:eastAsia="Calibri"/>
                <w:color w:val="000000"/>
              </w:rPr>
              <w:t>7.86</w:t>
            </w:r>
          </w:p>
        </w:tc>
        <w:tc>
          <w:tcPr>
            <w:tcW w:w="711" w:type="dxa"/>
            <w:shd w:val="clear" w:color="auto" w:fill="FFFFFF"/>
            <w:vAlign w:val="center"/>
          </w:tcPr>
          <w:p w14:paraId="48C37D53" w14:textId="77777777" w:rsidR="00A76ADB" w:rsidRDefault="00A76ADB" w:rsidP="007E3239">
            <w:pPr>
              <w:pStyle w:val="TableText"/>
              <w:spacing w:before="50" w:after="50"/>
              <w:jc w:val="center"/>
            </w:pPr>
            <w:r>
              <w:rPr>
                <w:rFonts w:eastAsia="Calibri"/>
                <w:color w:val="000000"/>
              </w:rPr>
              <w:t>0.88</w:t>
            </w:r>
          </w:p>
        </w:tc>
        <w:tc>
          <w:tcPr>
            <w:tcW w:w="710" w:type="dxa"/>
            <w:shd w:val="clear" w:color="auto" w:fill="FFFFFF"/>
            <w:vAlign w:val="center"/>
          </w:tcPr>
          <w:p w14:paraId="0EABB026" w14:textId="77777777" w:rsidR="00A76ADB" w:rsidRDefault="00A76ADB" w:rsidP="007E3239">
            <w:pPr>
              <w:pStyle w:val="TableText"/>
              <w:spacing w:before="50" w:after="50"/>
              <w:jc w:val="center"/>
            </w:pPr>
            <w:r>
              <w:rPr>
                <w:rFonts w:eastAsia="Calibri"/>
                <w:color w:val="000000"/>
              </w:rPr>
              <w:t>2.7</w:t>
            </w:r>
          </w:p>
        </w:tc>
        <w:tc>
          <w:tcPr>
            <w:tcW w:w="708" w:type="dxa"/>
            <w:shd w:val="clear" w:color="auto" w:fill="FFFFFF"/>
            <w:vAlign w:val="center"/>
          </w:tcPr>
          <w:p w14:paraId="6B9150DB"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40D7E475" w14:textId="77777777" w:rsidR="00A76ADB" w:rsidRDefault="00A76ADB" w:rsidP="007E3239">
            <w:pPr>
              <w:pStyle w:val="TableText"/>
              <w:spacing w:before="50" w:after="50"/>
              <w:jc w:val="center"/>
            </w:pPr>
            <w:r>
              <w:rPr>
                <w:rFonts w:eastAsia="Calibri"/>
                <w:color w:val="000000"/>
              </w:rPr>
              <w:t>41.86</w:t>
            </w:r>
          </w:p>
        </w:tc>
        <w:tc>
          <w:tcPr>
            <w:tcW w:w="2149" w:type="dxa"/>
            <w:shd w:val="clear" w:color="auto" w:fill="FFFFFF"/>
            <w:vAlign w:val="center"/>
          </w:tcPr>
          <w:p w14:paraId="356442EF" w14:textId="77777777" w:rsidR="00A76ADB" w:rsidRDefault="00A76ADB" w:rsidP="007E3239">
            <w:pPr>
              <w:pStyle w:val="TableText"/>
              <w:spacing w:before="50" w:after="50"/>
            </w:pPr>
            <w:r>
              <w:rPr>
                <w:rFonts w:eastAsia="Calibri"/>
                <w:color w:val="000000"/>
              </w:rPr>
              <w:t>Interpolation</w:t>
            </w:r>
          </w:p>
        </w:tc>
      </w:tr>
      <w:tr w:rsidR="00A76ADB" w14:paraId="2BC3D787" w14:textId="77777777" w:rsidTr="001D6E25">
        <w:trPr>
          <w:cantSplit/>
          <w:trHeight w:val="283"/>
        </w:trPr>
        <w:tc>
          <w:tcPr>
            <w:tcW w:w="795" w:type="dxa"/>
            <w:shd w:val="clear" w:color="auto" w:fill="FFFFFF"/>
            <w:vAlign w:val="center"/>
          </w:tcPr>
          <w:p w14:paraId="5F7FAD99" w14:textId="77777777" w:rsidR="00A76ADB" w:rsidRDefault="00A76ADB" w:rsidP="007E3239">
            <w:pPr>
              <w:pStyle w:val="TableText"/>
              <w:spacing w:before="50" w:after="50"/>
            </w:pPr>
            <w:r>
              <w:rPr>
                <w:rFonts w:eastAsia="Calibri"/>
              </w:rPr>
              <w:t>1997</w:t>
            </w:r>
          </w:p>
        </w:tc>
        <w:tc>
          <w:tcPr>
            <w:tcW w:w="597" w:type="dxa"/>
            <w:shd w:val="clear" w:color="auto" w:fill="FFFFFF"/>
            <w:vAlign w:val="center"/>
          </w:tcPr>
          <w:p w14:paraId="4033AD62" w14:textId="77777777" w:rsidR="00A76ADB" w:rsidRDefault="00A76ADB" w:rsidP="007E3239">
            <w:pPr>
              <w:pStyle w:val="TableText"/>
              <w:spacing w:before="50" w:after="50"/>
              <w:jc w:val="center"/>
            </w:pPr>
            <w:r>
              <w:rPr>
                <w:rFonts w:eastAsia="Calibri"/>
                <w:color w:val="000000"/>
              </w:rPr>
              <w:t>16.54</w:t>
            </w:r>
          </w:p>
        </w:tc>
        <w:tc>
          <w:tcPr>
            <w:tcW w:w="709" w:type="dxa"/>
            <w:shd w:val="clear" w:color="auto" w:fill="FFFFFF"/>
            <w:vAlign w:val="center"/>
          </w:tcPr>
          <w:p w14:paraId="198F6A89" w14:textId="77777777" w:rsidR="00A76ADB" w:rsidRDefault="00A76ADB" w:rsidP="007E3239">
            <w:pPr>
              <w:pStyle w:val="TableText"/>
              <w:spacing w:before="50" w:after="50"/>
              <w:jc w:val="center"/>
            </w:pPr>
            <w:r>
              <w:rPr>
                <w:rFonts w:eastAsia="Calibri"/>
                <w:color w:val="000000"/>
              </w:rPr>
              <w:t>10.57</w:t>
            </w:r>
          </w:p>
        </w:tc>
        <w:tc>
          <w:tcPr>
            <w:tcW w:w="708" w:type="dxa"/>
            <w:shd w:val="clear" w:color="auto" w:fill="FFFFFF"/>
            <w:vAlign w:val="center"/>
          </w:tcPr>
          <w:p w14:paraId="2DF6CCC2" w14:textId="77777777" w:rsidR="00A76ADB" w:rsidRDefault="00A76ADB" w:rsidP="007E3239">
            <w:pPr>
              <w:pStyle w:val="TableText"/>
              <w:spacing w:before="50" w:after="50"/>
              <w:jc w:val="center"/>
            </w:pPr>
            <w:r>
              <w:rPr>
                <w:rFonts w:eastAsia="Calibri"/>
                <w:color w:val="000000"/>
              </w:rPr>
              <w:t>15.99</w:t>
            </w:r>
          </w:p>
        </w:tc>
        <w:tc>
          <w:tcPr>
            <w:tcW w:w="709" w:type="dxa"/>
            <w:shd w:val="clear" w:color="auto" w:fill="FFFFFF"/>
            <w:vAlign w:val="center"/>
          </w:tcPr>
          <w:p w14:paraId="7019F0C9" w14:textId="77777777" w:rsidR="00A76ADB" w:rsidRDefault="00A76ADB" w:rsidP="007E3239">
            <w:pPr>
              <w:pStyle w:val="TableText"/>
              <w:spacing w:before="50" w:after="50"/>
              <w:jc w:val="center"/>
            </w:pPr>
            <w:r>
              <w:rPr>
                <w:rFonts w:eastAsia="Calibri"/>
                <w:color w:val="000000"/>
              </w:rPr>
              <w:t>8.61</w:t>
            </w:r>
          </w:p>
        </w:tc>
        <w:tc>
          <w:tcPr>
            <w:tcW w:w="711" w:type="dxa"/>
            <w:shd w:val="clear" w:color="auto" w:fill="FFFFFF"/>
            <w:vAlign w:val="center"/>
          </w:tcPr>
          <w:p w14:paraId="2E3745B5" w14:textId="77777777" w:rsidR="00A76ADB" w:rsidRDefault="00A76ADB" w:rsidP="007E3239">
            <w:pPr>
              <w:pStyle w:val="TableText"/>
              <w:spacing w:before="50" w:after="50"/>
              <w:jc w:val="center"/>
            </w:pPr>
            <w:r>
              <w:rPr>
                <w:rFonts w:eastAsia="Calibri"/>
                <w:color w:val="000000"/>
              </w:rPr>
              <w:t>1.26</w:t>
            </w:r>
          </w:p>
        </w:tc>
        <w:tc>
          <w:tcPr>
            <w:tcW w:w="710" w:type="dxa"/>
            <w:shd w:val="clear" w:color="auto" w:fill="FFFFFF"/>
            <w:vAlign w:val="center"/>
          </w:tcPr>
          <w:p w14:paraId="1979FFCE" w14:textId="77777777" w:rsidR="00A76ADB" w:rsidRDefault="00A76ADB" w:rsidP="007E3239">
            <w:pPr>
              <w:pStyle w:val="TableText"/>
              <w:spacing w:before="50" w:after="50"/>
              <w:jc w:val="center"/>
            </w:pPr>
            <w:r>
              <w:rPr>
                <w:rFonts w:eastAsia="Calibri"/>
                <w:color w:val="000000"/>
              </w:rPr>
              <w:t>2.7</w:t>
            </w:r>
          </w:p>
        </w:tc>
        <w:tc>
          <w:tcPr>
            <w:tcW w:w="708" w:type="dxa"/>
            <w:shd w:val="clear" w:color="auto" w:fill="FFFFFF"/>
            <w:vAlign w:val="center"/>
          </w:tcPr>
          <w:p w14:paraId="78574D83"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484585F6" w14:textId="77777777" w:rsidR="00A76ADB" w:rsidRDefault="00A76ADB" w:rsidP="007E3239">
            <w:pPr>
              <w:pStyle w:val="TableText"/>
              <w:spacing w:before="50" w:after="50"/>
              <w:jc w:val="center"/>
            </w:pPr>
            <w:r>
              <w:rPr>
                <w:rFonts w:eastAsia="Calibri"/>
                <w:color w:val="000000"/>
              </w:rPr>
              <w:t>41.43</w:t>
            </w:r>
          </w:p>
        </w:tc>
        <w:tc>
          <w:tcPr>
            <w:tcW w:w="2149" w:type="dxa"/>
            <w:shd w:val="clear" w:color="auto" w:fill="FFFFFF"/>
            <w:vAlign w:val="center"/>
          </w:tcPr>
          <w:p w14:paraId="2E311372" w14:textId="77777777" w:rsidR="00A76ADB" w:rsidRDefault="00A76ADB" w:rsidP="007E3239">
            <w:pPr>
              <w:pStyle w:val="TableText"/>
              <w:spacing w:before="50" w:after="50"/>
            </w:pPr>
            <w:r>
              <w:rPr>
                <w:rFonts w:eastAsia="Calibri"/>
                <w:color w:val="000000"/>
              </w:rPr>
              <w:t>Interpolation</w:t>
            </w:r>
          </w:p>
        </w:tc>
      </w:tr>
      <w:tr w:rsidR="00A76ADB" w14:paraId="28343424" w14:textId="77777777" w:rsidTr="001D6E25">
        <w:trPr>
          <w:cantSplit/>
          <w:trHeight w:val="283"/>
        </w:trPr>
        <w:tc>
          <w:tcPr>
            <w:tcW w:w="795" w:type="dxa"/>
            <w:shd w:val="clear" w:color="auto" w:fill="FFFFFF"/>
            <w:vAlign w:val="center"/>
          </w:tcPr>
          <w:p w14:paraId="13302B17" w14:textId="77777777" w:rsidR="00A76ADB" w:rsidRDefault="00A76ADB" w:rsidP="007E3239">
            <w:pPr>
              <w:pStyle w:val="TableText"/>
              <w:spacing w:before="50" w:after="50"/>
            </w:pPr>
            <w:r>
              <w:rPr>
                <w:rFonts w:eastAsia="Calibri"/>
              </w:rPr>
              <w:t>1998</w:t>
            </w:r>
          </w:p>
        </w:tc>
        <w:tc>
          <w:tcPr>
            <w:tcW w:w="597" w:type="dxa"/>
            <w:shd w:val="clear" w:color="auto" w:fill="FFFFFF"/>
            <w:vAlign w:val="center"/>
          </w:tcPr>
          <w:p w14:paraId="39F1CB0D" w14:textId="77777777" w:rsidR="00A76ADB" w:rsidRDefault="00A76ADB" w:rsidP="007E3239">
            <w:pPr>
              <w:pStyle w:val="TableText"/>
              <w:spacing w:before="50" w:after="50"/>
              <w:jc w:val="center"/>
            </w:pPr>
            <w:r>
              <w:rPr>
                <w:rFonts w:eastAsia="Calibri"/>
                <w:color w:val="000000"/>
              </w:rPr>
              <w:t>16.21</w:t>
            </w:r>
          </w:p>
        </w:tc>
        <w:tc>
          <w:tcPr>
            <w:tcW w:w="709" w:type="dxa"/>
            <w:shd w:val="clear" w:color="auto" w:fill="FFFFFF"/>
            <w:vAlign w:val="center"/>
          </w:tcPr>
          <w:p w14:paraId="0C078652" w14:textId="77777777" w:rsidR="00A76ADB" w:rsidRDefault="00A76ADB" w:rsidP="007E3239">
            <w:pPr>
              <w:pStyle w:val="TableText"/>
              <w:spacing w:before="50" w:after="50"/>
              <w:jc w:val="center"/>
            </w:pPr>
            <w:r>
              <w:rPr>
                <w:rFonts w:eastAsia="Calibri"/>
                <w:color w:val="000000"/>
              </w:rPr>
              <w:t>10.36</w:t>
            </w:r>
          </w:p>
        </w:tc>
        <w:tc>
          <w:tcPr>
            <w:tcW w:w="708" w:type="dxa"/>
            <w:shd w:val="clear" w:color="auto" w:fill="FFFFFF"/>
            <w:vAlign w:val="center"/>
          </w:tcPr>
          <w:p w14:paraId="17B8AE0A" w14:textId="77777777" w:rsidR="00A76ADB" w:rsidRDefault="00A76ADB" w:rsidP="007E3239">
            <w:pPr>
              <w:pStyle w:val="TableText"/>
              <w:spacing w:before="50" w:after="50"/>
              <w:jc w:val="center"/>
            </w:pPr>
            <w:r>
              <w:rPr>
                <w:rFonts w:eastAsia="Calibri"/>
                <w:color w:val="000000"/>
              </w:rPr>
              <w:t>15.83</w:t>
            </w:r>
          </w:p>
        </w:tc>
        <w:tc>
          <w:tcPr>
            <w:tcW w:w="709" w:type="dxa"/>
            <w:shd w:val="clear" w:color="auto" w:fill="FFFFFF"/>
            <w:vAlign w:val="center"/>
          </w:tcPr>
          <w:p w14:paraId="22F97C98" w14:textId="77777777" w:rsidR="00A76ADB" w:rsidRDefault="00A76ADB" w:rsidP="007E3239">
            <w:pPr>
              <w:pStyle w:val="TableText"/>
              <w:spacing w:before="50" w:after="50"/>
              <w:jc w:val="center"/>
            </w:pPr>
            <w:r>
              <w:rPr>
                <w:rFonts w:eastAsia="Calibri"/>
                <w:color w:val="000000"/>
              </w:rPr>
              <w:t>9.37</w:t>
            </w:r>
          </w:p>
        </w:tc>
        <w:tc>
          <w:tcPr>
            <w:tcW w:w="711" w:type="dxa"/>
            <w:shd w:val="clear" w:color="auto" w:fill="FFFFFF"/>
            <w:vAlign w:val="center"/>
          </w:tcPr>
          <w:p w14:paraId="582D8738" w14:textId="77777777" w:rsidR="00A76ADB" w:rsidRDefault="00A76ADB" w:rsidP="007E3239">
            <w:pPr>
              <w:pStyle w:val="TableText"/>
              <w:spacing w:before="50" w:after="50"/>
              <w:jc w:val="center"/>
            </w:pPr>
            <w:r>
              <w:rPr>
                <w:rFonts w:eastAsia="Calibri"/>
                <w:color w:val="000000"/>
              </w:rPr>
              <w:t>1.63</w:t>
            </w:r>
          </w:p>
        </w:tc>
        <w:tc>
          <w:tcPr>
            <w:tcW w:w="710" w:type="dxa"/>
            <w:shd w:val="clear" w:color="auto" w:fill="FFFFFF"/>
            <w:vAlign w:val="center"/>
          </w:tcPr>
          <w:p w14:paraId="65A94B6E" w14:textId="77777777" w:rsidR="00A76ADB" w:rsidRDefault="00A76ADB" w:rsidP="007E3239">
            <w:pPr>
              <w:pStyle w:val="TableText"/>
              <w:spacing w:before="50" w:after="50"/>
              <w:jc w:val="center"/>
            </w:pPr>
            <w:r>
              <w:rPr>
                <w:rFonts w:eastAsia="Calibri"/>
                <w:color w:val="000000"/>
              </w:rPr>
              <w:t>2.7</w:t>
            </w:r>
          </w:p>
        </w:tc>
        <w:tc>
          <w:tcPr>
            <w:tcW w:w="708" w:type="dxa"/>
            <w:shd w:val="clear" w:color="auto" w:fill="FFFFFF"/>
            <w:vAlign w:val="center"/>
          </w:tcPr>
          <w:p w14:paraId="2ABF9DDE"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14181E80" w14:textId="77777777" w:rsidR="00A76ADB" w:rsidRDefault="00A76ADB" w:rsidP="007E3239">
            <w:pPr>
              <w:pStyle w:val="TableText"/>
              <w:spacing w:before="50" w:after="50"/>
              <w:jc w:val="center"/>
            </w:pPr>
            <w:r>
              <w:rPr>
                <w:rFonts w:eastAsia="Calibri"/>
                <w:color w:val="000000"/>
              </w:rPr>
              <w:t>40.99</w:t>
            </w:r>
          </w:p>
        </w:tc>
        <w:tc>
          <w:tcPr>
            <w:tcW w:w="2149" w:type="dxa"/>
            <w:shd w:val="clear" w:color="auto" w:fill="FFFFFF"/>
            <w:vAlign w:val="center"/>
          </w:tcPr>
          <w:p w14:paraId="7C56C799" w14:textId="77777777" w:rsidR="00A76ADB" w:rsidRDefault="00A76ADB" w:rsidP="007E3239">
            <w:pPr>
              <w:pStyle w:val="TableText"/>
              <w:spacing w:before="50" w:after="50"/>
            </w:pPr>
            <w:r>
              <w:rPr>
                <w:rFonts w:eastAsia="Calibri"/>
                <w:color w:val="000000"/>
              </w:rPr>
              <w:t>Interpolation</w:t>
            </w:r>
          </w:p>
        </w:tc>
      </w:tr>
      <w:tr w:rsidR="00A76ADB" w14:paraId="26FD8ABE" w14:textId="77777777" w:rsidTr="001D6E25">
        <w:trPr>
          <w:cantSplit/>
          <w:trHeight w:val="283"/>
        </w:trPr>
        <w:tc>
          <w:tcPr>
            <w:tcW w:w="795" w:type="dxa"/>
            <w:shd w:val="clear" w:color="auto" w:fill="FFFFFF"/>
            <w:vAlign w:val="center"/>
          </w:tcPr>
          <w:p w14:paraId="75C110C8" w14:textId="77777777" w:rsidR="00A76ADB" w:rsidRDefault="00A76ADB" w:rsidP="007E3239">
            <w:pPr>
              <w:pStyle w:val="TableText"/>
              <w:spacing w:before="50" w:after="50"/>
            </w:pPr>
            <w:r>
              <w:rPr>
                <w:rFonts w:eastAsia="Calibri"/>
              </w:rPr>
              <w:t>1999</w:t>
            </w:r>
          </w:p>
        </w:tc>
        <w:tc>
          <w:tcPr>
            <w:tcW w:w="597" w:type="dxa"/>
            <w:shd w:val="clear" w:color="auto" w:fill="FFFFFF"/>
            <w:vAlign w:val="center"/>
          </w:tcPr>
          <w:p w14:paraId="0AADC258" w14:textId="77777777" w:rsidR="00A76ADB" w:rsidRDefault="00A76ADB" w:rsidP="007E3239">
            <w:pPr>
              <w:pStyle w:val="TableText"/>
              <w:spacing w:before="50" w:after="50"/>
              <w:jc w:val="center"/>
            </w:pPr>
            <w:r>
              <w:rPr>
                <w:rFonts w:eastAsia="Calibri"/>
                <w:color w:val="000000"/>
              </w:rPr>
              <w:t>15.87</w:t>
            </w:r>
          </w:p>
        </w:tc>
        <w:tc>
          <w:tcPr>
            <w:tcW w:w="709" w:type="dxa"/>
            <w:shd w:val="clear" w:color="auto" w:fill="FFFFFF"/>
            <w:vAlign w:val="center"/>
          </w:tcPr>
          <w:p w14:paraId="47055CD8" w14:textId="77777777" w:rsidR="00A76ADB" w:rsidRDefault="00A76ADB" w:rsidP="007E3239">
            <w:pPr>
              <w:pStyle w:val="TableText"/>
              <w:spacing w:before="50" w:after="50"/>
              <w:jc w:val="center"/>
            </w:pPr>
            <w:r>
              <w:rPr>
                <w:rFonts w:eastAsia="Calibri"/>
                <w:color w:val="000000"/>
              </w:rPr>
              <w:t>10.15</w:t>
            </w:r>
          </w:p>
        </w:tc>
        <w:tc>
          <w:tcPr>
            <w:tcW w:w="708" w:type="dxa"/>
            <w:shd w:val="clear" w:color="auto" w:fill="FFFFFF"/>
            <w:vAlign w:val="center"/>
          </w:tcPr>
          <w:p w14:paraId="33C7B11F" w14:textId="77777777" w:rsidR="00A76ADB" w:rsidRDefault="00A76ADB" w:rsidP="007E3239">
            <w:pPr>
              <w:pStyle w:val="TableText"/>
              <w:spacing w:before="50" w:after="50"/>
              <w:jc w:val="center"/>
            </w:pPr>
            <w:r>
              <w:rPr>
                <w:rFonts w:eastAsia="Calibri"/>
                <w:color w:val="000000"/>
              </w:rPr>
              <w:t>15.68</w:t>
            </w:r>
          </w:p>
        </w:tc>
        <w:tc>
          <w:tcPr>
            <w:tcW w:w="709" w:type="dxa"/>
            <w:shd w:val="clear" w:color="auto" w:fill="FFFFFF"/>
            <w:vAlign w:val="center"/>
          </w:tcPr>
          <w:p w14:paraId="0EE2C642" w14:textId="77777777" w:rsidR="00A76ADB" w:rsidRDefault="00A76ADB" w:rsidP="007E3239">
            <w:pPr>
              <w:pStyle w:val="TableText"/>
              <w:spacing w:before="50" w:after="50"/>
              <w:jc w:val="center"/>
            </w:pPr>
            <w:r>
              <w:rPr>
                <w:rFonts w:eastAsia="Calibri"/>
                <w:color w:val="000000"/>
              </w:rPr>
              <w:t>10.12</w:t>
            </w:r>
          </w:p>
        </w:tc>
        <w:tc>
          <w:tcPr>
            <w:tcW w:w="711" w:type="dxa"/>
            <w:shd w:val="clear" w:color="auto" w:fill="FFFFFF"/>
            <w:vAlign w:val="center"/>
          </w:tcPr>
          <w:p w14:paraId="2CDC9D35" w14:textId="77777777" w:rsidR="00A76ADB" w:rsidRDefault="00A76ADB" w:rsidP="007E3239">
            <w:pPr>
              <w:pStyle w:val="TableText"/>
              <w:spacing w:before="50" w:after="50"/>
              <w:jc w:val="center"/>
            </w:pPr>
            <w:r>
              <w:rPr>
                <w:rFonts w:eastAsia="Calibri"/>
                <w:color w:val="000000"/>
              </w:rPr>
              <w:t>2.01</w:t>
            </w:r>
          </w:p>
        </w:tc>
        <w:tc>
          <w:tcPr>
            <w:tcW w:w="710" w:type="dxa"/>
            <w:shd w:val="clear" w:color="auto" w:fill="FFFFFF"/>
            <w:vAlign w:val="center"/>
          </w:tcPr>
          <w:p w14:paraId="2687BBD1" w14:textId="77777777" w:rsidR="00A76ADB" w:rsidRDefault="00A76ADB" w:rsidP="007E3239">
            <w:pPr>
              <w:pStyle w:val="TableText"/>
              <w:spacing w:before="50" w:after="50"/>
              <w:jc w:val="center"/>
            </w:pPr>
            <w:r>
              <w:rPr>
                <w:rFonts w:eastAsia="Calibri"/>
                <w:color w:val="000000"/>
              </w:rPr>
              <w:t>2.7</w:t>
            </w:r>
          </w:p>
        </w:tc>
        <w:tc>
          <w:tcPr>
            <w:tcW w:w="708" w:type="dxa"/>
            <w:shd w:val="clear" w:color="auto" w:fill="FFFFFF"/>
            <w:vAlign w:val="center"/>
          </w:tcPr>
          <w:p w14:paraId="403D184B"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02D9C726" w14:textId="77777777" w:rsidR="00A76ADB" w:rsidRDefault="00A76ADB" w:rsidP="007E3239">
            <w:pPr>
              <w:pStyle w:val="TableText"/>
              <w:spacing w:before="50" w:after="50"/>
              <w:jc w:val="center"/>
            </w:pPr>
            <w:r>
              <w:rPr>
                <w:rFonts w:eastAsia="Calibri"/>
                <w:color w:val="000000"/>
              </w:rPr>
              <w:t>40.56</w:t>
            </w:r>
          </w:p>
        </w:tc>
        <w:tc>
          <w:tcPr>
            <w:tcW w:w="2149" w:type="dxa"/>
            <w:shd w:val="clear" w:color="auto" w:fill="FFFFFF"/>
            <w:vAlign w:val="center"/>
          </w:tcPr>
          <w:p w14:paraId="77B99E5F" w14:textId="77777777" w:rsidR="00A76ADB" w:rsidRDefault="00A76ADB" w:rsidP="007E3239">
            <w:pPr>
              <w:pStyle w:val="TableText"/>
              <w:spacing w:before="50" w:after="50"/>
            </w:pPr>
            <w:r>
              <w:rPr>
                <w:rFonts w:eastAsia="Calibri"/>
                <w:color w:val="000000"/>
              </w:rPr>
              <w:t>Interpolation</w:t>
            </w:r>
          </w:p>
        </w:tc>
      </w:tr>
      <w:tr w:rsidR="00A76ADB" w14:paraId="15E7942A" w14:textId="77777777" w:rsidTr="001D6E25">
        <w:trPr>
          <w:cantSplit/>
          <w:trHeight w:val="283"/>
        </w:trPr>
        <w:tc>
          <w:tcPr>
            <w:tcW w:w="795" w:type="dxa"/>
            <w:shd w:val="clear" w:color="auto" w:fill="FFFFFF"/>
            <w:vAlign w:val="center"/>
          </w:tcPr>
          <w:p w14:paraId="67C0588A" w14:textId="77777777" w:rsidR="00A76ADB" w:rsidRDefault="00A76ADB" w:rsidP="007E3239">
            <w:pPr>
              <w:pStyle w:val="TableText"/>
              <w:spacing w:before="50" w:after="50"/>
            </w:pPr>
            <w:r>
              <w:rPr>
                <w:rFonts w:eastAsia="Calibri"/>
              </w:rPr>
              <w:t>2000</w:t>
            </w:r>
          </w:p>
        </w:tc>
        <w:tc>
          <w:tcPr>
            <w:tcW w:w="597" w:type="dxa"/>
            <w:shd w:val="clear" w:color="auto" w:fill="FFFFFF"/>
            <w:vAlign w:val="center"/>
          </w:tcPr>
          <w:p w14:paraId="591184D7" w14:textId="77777777" w:rsidR="00A76ADB" w:rsidRDefault="00A76ADB" w:rsidP="007E3239">
            <w:pPr>
              <w:pStyle w:val="TableText"/>
              <w:spacing w:before="50" w:after="50"/>
              <w:jc w:val="center"/>
            </w:pPr>
            <w:r>
              <w:rPr>
                <w:rFonts w:eastAsia="Calibri"/>
                <w:color w:val="000000"/>
              </w:rPr>
              <w:t>15.54</w:t>
            </w:r>
          </w:p>
        </w:tc>
        <w:tc>
          <w:tcPr>
            <w:tcW w:w="709" w:type="dxa"/>
            <w:shd w:val="clear" w:color="auto" w:fill="FFFFFF"/>
            <w:vAlign w:val="center"/>
          </w:tcPr>
          <w:p w14:paraId="10221CBA" w14:textId="77777777" w:rsidR="00A76ADB" w:rsidRDefault="00A76ADB" w:rsidP="007E3239">
            <w:pPr>
              <w:pStyle w:val="TableText"/>
              <w:spacing w:before="50" w:after="50"/>
              <w:jc w:val="center"/>
            </w:pPr>
            <w:r>
              <w:rPr>
                <w:rFonts w:eastAsia="Calibri"/>
                <w:color w:val="000000"/>
              </w:rPr>
              <w:t>9.94</w:t>
            </w:r>
          </w:p>
        </w:tc>
        <w:tc>
          <w:tcPr>
            <w:tcW w:w="708" w:type="dxa"/>
            <w:shd w:val="clear" w:color="auto" w:fill="FFFFFF"/>
            <w:vAlign w:val="center"/>
          </w:tcPr>
          <w:p w14:paraId="07B4BF46" w14:textId="77777777" w:rsidR="00A76ADB" w:rsidRDefault="00A76ADB" w:rsidP="007E3239">
            <w:pPr>
              <w:pStyle w:val="TableText"/>
              <w:spacing w:before="50" w:after="50"/>
              <w:jc w:val="center"/>
            </w:pPr>
            <w:r>
              <w:rPr>
                <w:rFonts w:eastAsia="Calibri"/>
                <w:color w:val="000000"/>
              </w:rPr>
              <w:t>15.52</w:t>
            </w:r>
          </w:p>
        </w:tc>
        <w:tc>
          <w:tcPr>
            <w:tcW w:w="709" w:type="dxa"/>
            <w:shd w:val="clear" w:color="auto" w:fill="FFFFFF"/>
            <w:vAlign w:val="center"/>
          </w:tcPr>
          <w:p w14:paraId="3C1AA0A5" w14:textId="77777777" w:rsidR="00A76ADB" w:rsidRDefault="00A76ADB" w:rsidP="007E3239">
            <w:pPr>
              <w:pStyle w:val="TableText"/>
              <w:spacing w:before="50" w:after="50"/>
              <w:jc w:val="center"/>
            </w:pPr>
            <w:r>
              <w:rPr>
                <w:rFonts w:eastAsia="Calibri"/>
                <w:color w:val="000000"/>
              </w:rPr>
              <w:t>10.88</w:t>
            </w:r>
          </w:p>
        </w:tc>
        <w:tc>
          <w:tcPr>
            <w:tcW w:w="711" w:type="dxa"/>
            <w:shd w:val="clear" w:color="auto" w:fill="FFFFFF"/>
            <w:vAlign w:val="center"/>
          </w:tcPr>
          <w:p w14:paraId="6491A6F7" w14:textId="77777777" w:rsidR="00A76ADB" w:rsidRDefault="00A76ADB" w:rsidP="007E3239">
            <w:pPr>
              <w:pStyle w:val="TableText"/>
              <w:spacing w:before="50" w:after="50"/>
              <w:jc w:val="center"/>
            </w:pPr>
            <w:r>
              <w:rPr>
                <w:rFonts w:eastAsia="Calibri"/>
                <w:color w:val="000000"/>
              </w:rPr>
              <w:t>2.39</w:t>
            </w:r>
          </w:p>
        </w:tc>
        <w:tc>
          <w:tcPr>
            <w:tcW w:w="710" w:type="dxa"/>
            <w:shd w:val="clear" w:color="auto" w:fill="FFFFFF"/>
            <w:vAlign w:val="center"/>
          </w:tcPr>
          <w:p w14:paraId="42BF4771" w14:textId="77777777" w:rsidR="00A76ADB" w:rsidRDefault="00A76ADB" w:rsidP="007E3239">
            <w:pPr>
              <w:pStyle w:val="TableText"/>
              <w:spacing w:before="50" w:after="50"/>
              <w:jc w:val="center"/>
            </w:pPr>
            <w:r>
              <w:rPr>
                <w:rFonts w:eastAsia="Calibri"/>
                <w:color w:val="000000"/>
              </w:rPr>
              <w:t>2.7</w:t>
            </w:r>
          </w:p>
        </w:tc>
        <w:tc>
          <w:tcPr>
            <w:tcW w:w="708" w:type="dxa"/>
            <w:shd w:val="clear" w:color="auto" w:fill="FFFFFF"/>
            <w:vAlign w:val="center"/>
          </w:tcPr>
          <w:p w14:paraId="3F24A19A"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7B586BD4" w14:textId="77777777" w:rsidR="00A76ADB" w:rsidRDefault="00A76ADB" w:rsidP="007E3239">
            <w:pPr>
              <w:pStyle w:val="TableText"/>
              <w:spacing w:before="50" w:after="50"/>
              <w:jc w:val="center"/>
            </w:pPr>
            <w:r>
              <w:rPr>
                <w:rFonts w:eastAsia="Calibri"/>
                <w:color w:val="000000"/>
              </w:rPr>
              <w:t>40.13</w:t>
            </w:r>
          </w:p>
        </w:tc>
        <w:tc>
          <w:tcPr>
            <w:tcW w:w="2149" w:type="dxa"/>
            <w:shd w:val="clear" w:color="auto" w:fill="FFFFFF"/>
            <w:vAlign w:val="center"/>
          </w:tcPr>
          <w:p w14:paraId="0A2DB0E2" w14:textId="77777777" w:rsidR="00A76ADB" w:rsidRDefault="00A76ADB" w:rsidP="007E3239">
            <w:pPr>
              <w:pStyle w:val="TableText"/>
              <w:spacing w:before="50" w:after="50"/>
            </w:pPr>
            <w:r>
              <w:rPr>
                <w:rFonts w:eastAsia="Calibri"/>
                <w:color w:val="000000"/>
              </w:rPr>
              <w:t>Interpolation</w:t>
            </w:r>
          </w:p>
        </w:tc>
      </w:tr>
      <w:tr w:rsidR="00A76ADB" w14:paraId="48C53921" w14:textId="77777777" w:rsidTr="001D6E25">
        <w:trPr>
          <w:cantSplit/>
          <w:trHeight w:val="283"/>
        </w:trPr>
        <w:tc>
          <w:tcPr>
            <w:tcW w:w="795" w:type="dxa"/>
            <w:shd w:val="clear" w:color="auto" w:fill="FFFFFF"/>
            <w:vAlign w:val="center"/>
          </w:tcPr>
          <w:p w14:paraId="702BBC5D" w14:textId="77777777" w:rsidR="00A76ADB" w:rsidRDefault="00A76ADB" w:rsidP="007E3239">
            <w:pPr>
              <w:pStyle w:val="TableText"/>
              <w:spacing w:before="50" w:after="50"/>
            </w:pPr>
            <w:r>
              <w:rPr>
                <w:rFonts w:eastAsia="Calibri"/>
              </w:rPr>
              <w:t>2001</w:t>
            </w:r>
          </w:p>
        </w:tc>
        <w:tc>
          <w:tcPr>
            <w:tcW w:w="597" w:type="dxa"/>
            <w:shd w:val="clear" w:color="auto" w:fill="FFFFFF"/>
            <w:vAlign w:val="center"/>
          </w:tcPr>
          <w:p w14:paraId="58E622F6" w14:textId="77777777" w:rsidR="00A76ADB" w:rsidRDefault="00A76ADB" w:rsidP="007E3239">
            <w:pPr>
              <w:pStyle w:val="TableText"/>
              <w:spacing w:before="50" w:after="50"/>
              <w:jc w:val="center"/>
            </w:pPr>
            <w:r>
              <w:rPr>
                <w:rFonts w:eastAsia="Calibri"/>
                <w:color w:val="000000"/>
              </w:rPr>
              <w:t>15.21</w:t>
            </w:r>
          </w:p>
        </w:tc>
        <w:tc>
          <w:tcPr>
            <w:tcW w:w="709" w:type="dxa"/>
            <w:shd w:val="clear" w:color="auto" w:fill="FFFFFF"/>
            <w:vAlign w:val="center"/>
          </w:tcPr>
          <w:p w14:paraId="0FD815DB" w14:textId="77777777" w:rsidR="00A76ADB" w:rsidRDefault="00A76ADB" w:rsidP="007E3239">
            <w:pPr>
              <w:pStyle w:val="TableText"/>
              <w:spacing w:before="50" w:after="50"/>
              <w:jc w:val="center"/>
            </w:pPr>
            <w:r>
              <w:rPr>
                <w:rFonts w:eastAsia="Calibri"/>
                <w:color w:val="000000"/>
              </w:rPr>
              <w:t>9.72</w:t>
            </w:r>
          </w:p>
        </w:tc>
        <w:tc>
          <w:tcPr>
            <w:tcW w:w="708" w:type="dxa"/>
            <w:shd w:val="clear" w:color="auto" w:fill="FFFFFF"/>
            <w:vAlign w:val="center"/>
          </w:tcPr>
          <w:p w14:paraId="6FCB27E8" w14:textId="77777777" w:rsidR="00A76ADB" w:rsidRDefault="00A76ADB" w:rsidP="007E3239">
            <w:pPr>
              <w:pStyle w:val="TableText"/>
              <w:spacing w:before="50" w:after="50"/>
              <w:jc w:val="center"/>
            </w:pPr>
            <w:r>
              <w:rPr>
                <w:rFonts w:eastAsia="Calibri"/>
                <w:color w:val="000000"/>
              </w:rPr>
              <w:t>15.37</w:t>
            </w:r>
          </w:p>
        </w:tc>
        <w:tc>
          <w:tcPr>
            <w:tcW w:w="709" w:type="dxa"/>
            <w:shd w:val="clear" w:color="auto" w:fill="FFFFFF"/>
            <w:vAlign w:val="center"/>
          </w:tcPr>
          <w:p w14:paraId="5FC6D5B5" w14:textId="77777777" w:rsidR="00A76ADB" w:rsidRDefault="00A76ADB" w:rsidP="007E3239">
            <w:pPr>
              <w:pStyle w:val="TableText"/>
              <w:spacing w:before="50" w:after="50"/>
              <w:jc w:val="center"/>
            </w:pPr>
            <w:r>
              <w:rPr>
                <w:rFonts w:eastAsia="Calibri"/>
                <w:color w:val="000000"/>
              </w:rPr>
              <w:t>11.63</w:t>
            </w:r>
          </w:p>
        </w:tc>
        <w:tc>
          <w:tcPr>
            <w:tcW w:w="711" w:type="dxa"/>
            <w:shd w:val="clear" w:color="auto" w:fill="FFFFFF"/>
            <w:vAlign w:val="center"/>
          </w:tcPr>
          <w:p w14:paraId="6A016648" w14:textId="77777777" w:rsidR="00A76ADB" w:rsidRDefault="00A76ADB" w:rsidP="007E3239">
            <w:pPr>
              <w:pStyle w:val="TableText"/>
              <w:spacing w:before="50" w:after="50"/>
              <w:jc w:val="center"/>
            </w:pPr>
            <w:r>
              <w:rPr>
                <w:rFonts w:eastAsia="Calibri"/>
                <w:color w:val="000000"/>
              </w:rPr>
              <w:t>2.77</w:t>
            </w:r>
          </w:p>
        </w:tc>
        <w:tc>
          <w:tcPr>
            <w:tcW w:w="710" w:type="dxa"/>
            <w:shd w:val="clear" w:color="auto" w:fill="FFFFFF"/>
            <w:vAlign w:val="center"/>
          </w:tcPr>
          <w:p w14:paraId="52BDB6B7" w14:textId="77777777" w:rsidR="00A76ADB" w:rsidRDefault="00A76ADB" w:rsidP="007E3239">
            <w:pPr>
              <w:pStyle w:val="TableText"/>
              <w:spacing w:before="50" w:after="50"/>
              <w:jc w:val="center"/>
            </w:pPr>
            <w:r>
              <w:rPr>
                <w:rFonts w:eastAsia="Calibri"/>
                <w:color w:val="000000"/>
              </w:rPr>
              <w:t>2.7</w:t>
            </w:r>
          </w:p>
        </w:tc>
        <w:tc>
          <w:tcPr>
            <w:tcW w:w="708" w:type="dxa"/>
            <w:shd w:val="clear" w:color="auto" w:fill="FFFFFF"/>
            <w:vAlign w:val="center"/>
          </w:tcPr>
          <w:p w14:paraId="53176D29"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44C3A033" w14:textId="77777777" w:rsidR="00A76ADB" w:rsidRDefault="00A76ADB" w:rsidP="007E3239">
            <w:pPr>
              <w:pStyle w:val="TableText"/>
              <w:spacing w:before="50" w:after="50"/>
              <w:jc w:val="center"/>
            </w:pPr>
            <w:r>
              <w:rPr>
                <w:rFonts w:eastAsia="Calibri"/>
                <w:color w:val="000000"/>
              </w:rPr>
              <w:t>39.69</w:t>
            </w:r>
          </w:p>
        </w:tc>
        <w:tc>
          <w:tcPr>
            <w:tcW w:w="2149" w:type="dxa"/>
            <w:shd w:val="clear" w:color="auto" w:fill="FFFFFF"/>
            <w:vAlign w:val="center"/>
          </w:tcPr>
          <w:p w14:paraId="1FE5AA5B" w14:textId="77777777" w:rsidR="00A76ADB" w:rsidRDefault="00A76ADB" w:rsidP="007E3239">
            <w:pPr>
              <w:pStyle w:val="TableText"/>
              <w:spacing w:before="50" w:after="50"/>
            </w:pPr>
            <w:r>
              <w:rPr>
                <w:rFonts w:eastAsia="Calibri"/>
                <w:color w:val="000000"/>
              </w:rPr>
              <w:t>Interpolation</w:t>
            </w:r>
          </w:p>
        </w:tc>
      </w:tr>
      <w:tr w:rsidR="00A76ADB" w14:paraId="4BB8666A" w14:textId="77777777" w:rsidTr="001D6E25">
        <w:trPr>
          <w:cantSplit/>
          <w:trHeight w:val="283"/>
        </w:trPr>
        <w:tc>
          <w:tcPr>
            <w:tcW w:w="795" w:type="dxa"/>
            <w:shd w:val="clear" w:color="auto" w:fill="FFFFFF"/>
            <w:vAlign w:val="center"/>
          </w:tcPr>
          <w:p w14:paraId="512D792F" w14:textId="77777777" w:rsidR="00A76ADB" w:rsidRDefault="00A76ADB" w:rsidP="007E3239">
            <w:pPr>
              <w:pStyle w:val="TableText"/>
              <w:spacing w:before="50" w:after="50"/>
            </w:pPr>
            <w:r>
              <w:rPr>
                <w:rFonts w:eastAsia="Calibri"/>
              </w:rPr>
              <w:t>2002</w:t>
            </w:r>
          </w:p>
        </w:tc>
        <w:tc>
          <w:tcPr>
            <w:tcW w:w="597" w:type="dxa"/>
            <w:shd w:val="clear" w:color="auto" w:fill="FFFFFF"/>
            <w:vAlign w:val="center"/>
          </w:tcPr>
          <w:p w14:paraId="588EE3E1" w14:textId="77777777" w:rsidR="00A76ADB" w:rsidRDefault="00A76ADB" w:rsidP="007E3239">
            <w:pPr>
              <w:pStyle w:val="TableText"/>
              <w:spacing w:before="50" w:after="50"/>
              <w:jc w:val="center"/>
            </w:pPr>
            <w:r>
              <w:rPr>
                <w:rFonts w:eastAsia="Calibri"/>
                <w:color w:val="000000"/>
              </w:rPr>
              <w:t>14.88</w:t>
            </w:r>
          </w:p>
        </w:tc>
        <w:tc>
          <w:tcPr>
            <w:tcW w:w="709" w:type="dxa"/>
            <w:shd w:val="clear" w:color="auto" w:fill="FFFFFF"/>
            <w:vAlign w:val="center"/>
          </w:tcPr>
          <w:p w14:paraId="7CC9067A" w14:textId="77777777" w:rsidR="00A76ADB" w:rsidRDefault="00A76ADB" w:rsidP="007E3239">
            <w:pPr>
              <w:pStyle w:val="TableText"/>
              <w:spacing w:before="50" w:after="50"/>
              <w:jc w:val="center"/>
            </w:pPr>
            <w:r>
              <w:rPr>
                <w:rFonts w:eastAsia="Calibri"/>
                <w:color w:val="000000"/>
              </w:rPr>
              <w:t>9.51</w:t>
            </w:r>
          </w:p>
        </w:tc>
        <w:tc>
          <w:tcPr>
            <w:tcW w:w="708" w:type="dxa"/>
            <w:shd w:val="clear" w:color="auto" w:fill="FFFFFF"/>
            <w:vAlign w:val="center"/>
          </w:tcPr>
          <w:p w14:paraId="470A6B0F" w14:textId="77777777" w:rsidR="00A76ADB" w:rsidRDefault="00A76ADB" w:rsidP="007E3239">
            <w:pPr>
              <w:pStyle w:val="TableText"/>
              <w:spacing w:before="50" w:after="50"/>
              <w:jc w:val="center"/>
            </w:pPr>
            <w:r>
              <w:rPr>
                <w:rFonts w:eastAsia="Calibri"/>
                <w:color w:val="000000"/>
              </w:rPr>
              <w:t>15.21</w:t>
            </w:r>
          </w:p>
        </w:tc>
        <w:tc>
          <w:tcPr>
            <w:tcW w:w="709" w:type="dxa"/>
            <w:shd w:val="clear" w:color="auto" w:fill="FFFFFF"/>
            <w:vAlign w:val="center"/>
          </w:tcPr>
          <w:p w14:paraId="75B9F849" w14:textId="77777777" w:rsidR="00A76ADB" w:rsidRDefault="00A76ADB" w:rsidP="007E3239">
            <w:pPr>
              <w:pStyle w:val="TableText"/>
              <w:spacing w:before="50" w:after="50"/>
              <w:jc w:val="center"/>
            </w:pPr>
            <w:r>
              <w:rPr>
                <w:rFonts w:eastAsia="Calibri"/>
                <w:color w:val="000000"/>
              </w:rPr>
              <w:t>12.39</w:t>
            </w:r>
          </w:p>
        </w:tc>
        <w:tc>
          <w:tcPr>
            <w:tcW w:w="711" w:type="dxa"/>
            <w:shd w:val="clear" w:color="auto" w:fill="FFFFFF"/>
            <w:vAlign w:val="center"/>
          </w:tcPr>
          <w:p w14:paraId="7A77008D" w14:textId="77777777" w:rsidR="00A76ADB" w:rsidRDefault="00A76ADB" w:rsidP="007E3239">
            <w:pPr>
              <w:pStyle w:val="TableText"/>
              <w:spacing w:before="50" w:after="50"/>
              <w:jc w:val="center"/>
            </w:pPr>
            <w:r>
              <w:rPr>
                <w:rFonts w:eastAsia="Calibri"/>
                <w:color w:val="000000"/>
              </w:rPr>
              <w:t>3.14</w:t>
            </w:r>
          </w:p>
        </w:tc>
        <w:tc>
          <w:tcPr>
            <w:tcW w:w="710" w:type="dxa"/>
            <w:shd w:val="clear" w:color="auto" w:fill="FFFFFF"/>
            <w:vAlign w:val="center"/>
          </w:tcPr>
          <w:p w14:paraId="425D2120" w14:textId="77777777" w:rsidR="00A76ADB" w:rsidRDefault="00A76ADB" w:rsidP="007E3239">
            <w:pPr>
              <w:pStyle w:val="TableText"/>
              <w:spacing w:before="50" w:after="50"/>
              <w:jc w:val="center"/>
            </w:pPr>
            <w:r>
              <w:rPr>
                <w:rFonts w:eastAsia="Calibri"/>
                <w:color w:val="000000"/>
              </w:rPr>
              <w:t>2.7</w:t>
            </w:r>
          </w:p>
        </w:tc>
        <w:tc>
          <w:tcPr>
            <w:tcW w:w="708" w:type="dxa"/>
            <w:shd w:val="clear" w:color="auto" w:fill="FFFFFF"/>
            <w:vAlign w:val="center"/>
          </w:tcPr>
          <w:p w14:paraId="09CCA4DE"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0ADD7CC4" w14:textId="77777777" w:rsidR="00A76ADB" w:rsidRDefault="00A76ADB" w:rsidP="007E3239">
            <w:pPr>
              <w:pStyle w:val="TableText"/>
              <w:spacing w:before="50" w:after="50"/>
              <w:jc w:val="center"/>
            </w:pPr>
            <w:r>
              <w:rPr>
                <w:rFonts w:eastAsia="Calibri"/>
                <w:color w:val="000000"/>
              </w:rPr>
              <w:t>39.26</w:t>
            </w:r>
          </w:p>
        </w:tc>
        <w:tc>
          <w:tcPr>
            <w:tcW w:w="2149" w:type="dxa"/>
            <w:shd w:val="clear" w:color="auto" w:fill="FFFFFF"/>
            <w:vAlign w:val="center"/>
          </w:tcPr>
          <w:p w14:paraId="6E0833CE" w14:textId="77777777" w:rsidR="00A76ADB" w:rsidRDefault="00A76ADB" w:rsidP="007E3239">
            <w:pPr>
              <w:pStyle w:val="TableText"/>
              <w:spacing w:before="50" w:after="50"/>
            </w:pPr>
            <w:r>
              <w:rPr>
                <w:rFonts w:eastAsia="Calibri"/>
                <w:color w:val="000000"/>
              </w:rPr>
              <w:t>Interpolation</w:t>
            </w:r>
          </w:p>
        </w:tc>
      </w:tr>
      <w:tr w:rsidR="00A76ADB" w14:paraId="5CF78F41" w14:textId="77777777" w:rsidTr="001D6E25">
        <w:trPr>
          <w:cantSplit/>
          <w:trHeight w:val="283"/>
        </w:trPr>
        <w:tc>
          <w:tcPr>
            <w:tcW w:w="795" w:type="dxa"/>
            <w:shd w:val="clear" w:color="auto" w:fill="FFFFFF"/>
            <w:vAlign w:val="center"/>
          </w:tcPr>
          <w:p w14:paraId="7C3DBEA8" w14:textId="77777777" w:rsidR="00A76ADB" w:rsidRDefault="00A76ADB" w:rsidP="007E3239">
            <w:pPr>
              <w:pStyle w:val="TableText"/>
              <w:spacing w:before="50" w:after="50"/>
            </w:pPr>
            <w:r>
              <w:rPr>
                <w:rFonts w:eastAsia="Calibri"/>
              </w:rPr>
              <w:t>2003</w:t>
            </w:r>
          </w:p>
        </w:tc>
        <w:tc>
          <w:tcPr>
            <w:tcW w:w="597" w:type="dxa"/>
            <w:shd w:val="clear" w:color="auto" w:fill="FFFFFF"/>
            <w:vAlign w:val="center"/>
          </w:tcPr>
          <w:p w14:paraId="67C81E2D" w14:textId="77777777" w:rsidR="00A76ADB" w:rsidRDefault="00A76ADB" w:rsidP="007E3239">
            <w:pPr>
              <w:pStyle w:val="TableText"/>
              <w:spacing w:before="50" w:after="50"/>
              <w:jc w:val="center"/>
            </w:pPr>
            <w:r>
              <w:rPr>
                <w:rFonts w:eastAsia="Calibri"/>
                <w:color w:val="000000"/>
              </w:rPr>
              <w:t>14.55</w:t>
            </w:r>
          </w:p>
        </w:tc>
        <w:tc>
          <w:tcPr>
            <w:tcW w:w="709" w:type="dxa"/>
            <w:shd w:val="clear" w:color="auto" w:fill="FFFFFF"/>
            <w:vAlign w:val="center"/>
          </w:tcPr>
          <w:p w14:paraId="033A9AF7" w14:textId="77777777" w:rsidR="00A76ADB" w:rsidRDefault="00A76ADB" w:rsidP="007E3239">
            <w:pPr>
              <w:pStyle w:val="TableText"/>
              <w:spacing w:before="50" w:after="50"/>
              <w:jc w:val="center"/>
            </w:pPr>
            <w:r>
              <w:rPr>
                <w:rFonts w:eastAsia="Calibri"/>
                <w:color w:val="000000"/>
              </w:rPr>
              <w:t>9.3</w:t>
            </w:r>
          </w:p>
        </w:tc>
        <w:tc>
          <w:tcPr>
            <w:tcW w:w="708" w:type="dxa"/>
            <w:shd w:val="clear" w:color="auto" w:fill="FFFFFF"/>
            <w:vAlign w:val="center"/>
          </w:tcPr>
          <w:p w14:paraId="7A579772" w14:textId="77777777" w:rsidR="00A76ADB" w:rsidRDefault="00A76ADB" w:rsidP="007E3239">
            <w:pPr>
              <w:pStyle w:val="TableText"/>
              <w:spacing w:before="50" w:after="50"/>
              <w:jc w:val="center"/>
            </w:pPr>
            <w:r>
              <w:rPr>
                <w:rFonts w:eastAsia="Calibri"/>
                <w:color w:val="000000"/>
              </w:rPr>
              <w:t>15.06</w:t>
            </w:r>
          </w:p>
        </w:tc>
        <w:tc>
          <w:tcPr>
            <w:tcW w:w="709" w:type="dxa"/>
            <w:shd w:val="clear" w:color="auto" w:fill="FFFFFF"/>
            <w:vAlign w:val="center"/>
          </w:tcPr>
          <w:p w14:paraId="0D59E695" w14:textId="77777777" w:rsidR="00A76ADB" w:rsidRDefault="00A76ADB" w:rsidP="007E3239">
            <w:pPr>
              <w:pStyle w:val="TableText"/>
              <w:spacing w:before="50" w:after="50"/>
              <w:jc w:val="center"/>
            </w:pPr>
            <w:r>
              <w:rPr>
                <w:rFonts w:eastAsia="Calibri"/>
                <w:color w:val="000000"/>
              </w:rPr>
              <w:t>13.14</w:t>
            </w:r>
          </w:p>
        </w:tc>
        <w:tc>
          <w:tcPr>
            <w:tcW w:w="711" w:type="dxa"/>
            <w:shd w:val="clear" w:color="auto" w:fill="FFFFFF"/>
            <w:vAlign w:val="center"/>
          </w:tcPr>
          <w:p w14:paraId="4CEF9767" w14:textId="77777777" w:rsidR="00A76ADB" w:rsidRDefault="00A76ADB" w:rsidP="007E3239">
            <w:pPr>
              <w:pStyle w:val="TableText"/>
              <w:spacing w:before="50" w:after="50"/>
              <w:jc w:val="center"/>
            </w:pPr>
            <w:r>
              <w:rPr>
                <w:rFonts w:eastAsia="Calibri"/>
                <w:color w:val="000000"/>
              </w:rPr>
              <w:t>3.52</w:t>
            </w:r>
          </w:p>
        </w:tc>
        <w:tc>
          <w:tcPr>
            <w:tcW w:w="710" w:type="dxa"/>
            <w:shd w:val="clear" w:color="auto" w:fill="FFFFFF"/>
            <w:vAlign w:val="center"/>
          </w:tcPr>
          <w:p w14:paraId="1E9029E1" w14:textId="77777777" w:rsidR="00A76ADB" w:rsidRDefault="00A76ADB" w:rsidP="007E3239">
            <w:pPr>
              <w:pStyle w:val="TableText"/>
              <w:spacing w:before="50" w:after="50"/>
              <w:jc w:val="center"/>
            </w:pPr>
            <w:r>
              <w:rPr>
                <w:rFonts w:eastAsia="Calibri"/>
                <w:color w:val="000000"/>
              </w:rPr>
              <w:t>2.7</w:t>
            </w:r>
          </w:p>
        </w:tc>
        <w:tc>
          <w:tcPr>
            <w:tcW w:w="708" w:type="dxa"/>
            <w:shd w:val="clear" w:color="auto" w:fill="FFFFFF"/>
            <w:vAlign w:val="center"/>
          </w:tcPr>
          <w:p w14:paraId="1BA35FF4"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65A4C47E" w14:textId="77777777" w:rsidR="00A76ADB" w:rsidRDefault="00A76ADB" w:rsidP="007E3239">
            <w:pPr>
              <w:pStyle w:val="TableText"/>
              <w:spacing w:before="50" w:after="50"/>
              <w:jc w:val="center"/>
            </w:pPr>
            <w:r>
              <w:rPr>
                <w:rFonts w:eastAsia="Calibri"/>
                <w:color w:val="000000"/>
              </w:rPr>
              <w:t>38.83</w:t>
            </w:r>
          </w:p>
        </w:tc>
        <w:tc>
          <w:tcPr>
            <w:tcW w:w="2149" w:type="dxa"/>
            <w:shd w:val="clear" w:color="auto" w:fill="FFFFFF"/>
            <w:vAlign w:val="center"/>
          </w:tcPr>
          <w:p w14:paraId="7D130018" w14:textId="77777777" w:rsidR="00A76ADB" w:rsidRDefault="00A76ADB" w:rsidP="007E3239">
            <w:pPr>
              <w:pStyle w:val="TableText"/>
              <w:spacing w:before="50" w:after="50"/>
            </w:pPr>
            <w:r>
              <w:rPr>
                <w:rFonts w:eastAsia="Calibri"/>
                <w:color w:val="000000"/>
              </w:rPr>
              <w:t>Interpolation</w:t>
            </w:r>
          </w:p>
        </w:tc>
      </w:tr>
      <w:tr w:rsidR="00A76ADB" w14:paraId="383379C0" w14:textId="77777777" w:rsidTr="001D6E25">
        <w:trPr>
          <w:cantSplit/>
          <w:trHeight w:val="283"/>
        </w:trPr>
        <w:tc>
          <w:tcPr>
            <w:tcW w:w="795" w:type="dxa"/>
            <w:shd w:val="clear" w:color="auto" w:fill="FFFFFF"/>
            <w:vAlign w:val="center"/>
          </w:tcPr>
          <w:p w14:paraId="203F983E" w14:textId="77777777" w:rsidR="00A76ADB" w:rsidRDefault="00A76ADB" w:rsidP="007E3239">
            <w:pPr>
              <w:pStyle w:val="TableText"/>
              <w:spacing w:before="50" w:after="50"/>
            </w:pPr>
            <w:r>
              <w:rPr>
                <w:rFonts w:eastAsia="Calibri"/>
              </w:rPr>
              <w:t>2004</w:t>
            </w:r>
          </w:p>
        </w:tc>
        <w:tc>
          <w:tcPr>
            <w:tcW w:w="597" w:type="dxa"/>
            <w:shd w:val="clear" w:color="auto" w:fill="FFFFFF"/>
            <w:vAlign w:val="center"/>
          </w:tcPr>
          <w:p w14:paraId="42C03E04" w14:textId="77777777" w:rsidR="00A76ADB" w:rsidRDefault="00A76ADB" w:rsidP="007E3239">
            <w:pPr>
              <w:pStyle w:val="TableText"/>
              <w:spacing w:before="50" w:after="50"/>
              <w:jc w:val="center"/>
            </w:pPr>
            <w:r>
              <w:rPr>
                <w:rFonts w:eastAsia="Calibri"/>
                <w:color w:val="000000"/>
              </w:rPr>
              <w:t>14.21</w:t>
            </w:r>
          </w:p>
        </w:tc>
        <w:tc>
          <w:tcPr>
            <w:tcW w:w="709" w:type="dxa"/>
            <w:shd w:val="clear" w:color="auto" w:fill="FFFFFF"/>
            <w:vAlign w:val="center"/>
          </w:tcPr>
          <w:p w14:paraId="641801D5" w14:textId="77777777" w:rsidR="00A76ADB" w:rsidRDefault="00A76ADB" w:rsidP="007E3239">
            <w:pPr>
              <w:pStyle w:val="TableText"/>
              <w:spacing w:before="50" w:after="50"/>
              <w:jc w:val="center"/>
            </w:pPr>
            <w:r>
              <w:rPr>
                <w:rFonts w:eastAsia="Calibri"/>
                <w:color w:val="000000"/>
              </w:rPr>
              <w:t>9.09</w:t>
            </w:r>
          </w:p>
        </w:tc>
        <w:tc>
          <w:tcPr>
            <w:tcW w:w="708" w:type="dxa"/>
            <w:shd w:val="clear" w:color="auto" w:fill="FFFFFF"/>
            <w:vAlign w:val="center"/>
          </w:tcPr>
          <w:p w14:paraId="080B352E" w14:textId="77777777" w:rsidR="00A76ADB" w:rsidRDefault="00A76ADB" w:rsidP="007E3239">
            <w:pPr>
              <w:pStyle w:val="TableText"/>
              <w:spacing w:before="50" w:after="50"/>
              <w:jc w:val="center"/>
            </w:pPr>
            <w:r>
              <w:rPr>
                <w:rFonts w:eastAsia="Calibri"/>
                <w:color w:val="000000"/>
              </w:rPr>
              <w:t>14.9</w:t>
            </w:r>
          </w:p>
        </w:tc>
        <w:tc>
          <w:tcPr>
            <w:tcW w:w="709" w:type="dxa"/>
            <w:shd w:val="clear" w:color="auto" w:fill="FFFFFF"/>
            <w:vAlign w:val="center"/>
          </w:tcPr>
          <w:p w14:paraId="3103CF4C" w14:textId="77777777" w:rsidR="00A76ADB" w:rsidRDefault="00A76ADB" w:rsidP="007E3239">
            <w:pPr>
              <w:pStyle w:val="TableText"/>
              <w:spacing w:before="50" w:after="50"/>
              <w:jc w:val="center"/>
            </w:pPr>
            <w:r>
              <w:rPr>
                <w:rFonts w:eastAsia="Calibri"/>
                <w:color w:val="000000"/>
              </w:rPr>
              <w:t>13.9</w:t>
            </w:r>
          </w:p>
        </w:tc>
        <w:tc>
          <w:tcPr>
            <w:tcW w:w="711" w:type="dxa"/>
            <w:shd w:val="clear" w:color="auto" w:fill="FFFFFF"/>
            <w:vAlign w:val="center"/>
          </w:tcPr>
          <w:p w14:paraId="7A34692D" w14:textId="77777777" w:rsidR="00A76ADB" w:rsidRDefault="00A76ADB" w:rsidP="007E3239">
            <w:pPr>
              <w:pStyle w:val="TableText"/>
              <w:spacing w:before="50" w:after="50"/>
              <w:jc w:val="center"/>
            </w:pPr>
            <w:r>
              <w:rPr>
                <w:rFonts w:eastAsia="Calibri"/>
                <w:color w:val="000000"/>
              </w:rPr>
              <w:t>3.9</w:t>
            </w:r>
          </w:p>
        </w:tc>
        <w:tc>
          <w:tcPr>
            <w:tcW w:w="710" w:type="dxa"/>
            <w:shd w:val="clear" w:color="auto" w:fill="FFFFFF"/>
            <w:vAlign w:val="center"/>
          </w:tcPr>
          <w:p w14:paraId="47B3E9FE" w14:textId="77777777" w:rsidR="00A76ADB" w:rsidRDefault="00A76ADB" w:rsidP="007E3239">
            <w:pPr>
              <w:pStyle w:val="TableText"/>
              <w:spacing w:before="50" w:after="50"/>
              <w:jc w:val="center"/>
            </w:pPr>
            <w:r>
              <w:rPr>
                <w:rFonts w:eastAsia="Calibri"/>
                <w:color w:val="000000"/>
              </w:rPr>
              <w:t>2.7</w:t>
            </w:r>
          </w:p>
        </w:tc>
        <w:tc>
          <w:tcPr>
            <w:tcW w:w="708" w:type="dxa"/>
            <w:shd w:val="clear" w:color="auto" w:fill="FFFFFF"/>
            <w:vAlign w:val="center"/>
          </w:tcPr>
          <w:p w14:paraId="5C249ED9"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03EEC20D" w14:textId="77777777" w:rsidR="00A76ADB" w:rsidRDefault="00A76ADB" w:rsidP="007E3239">
            <w:pPr>
              <w:pStyle w:val="TableText"/>
              <w:spacing w:before="50" w:after="50"/>
              <w:jc w:val="center"/>
            </w:pPr>
            <w:r>
              <w:rPr>
                <w:rFonts w:eastAsia="Calibri"/>
                <w:color w:val="000000"/>
              </w:rPr>
              <w:t>38.39</w:t>
            </w:r>
          </w:p>
        </w:tc>
        <w:tc>
          <w:tcPr>
            <w:tcW w:w="2149" w:type="dxa"/>
            <w:shd w:val="clear" w:color="auto" w:fill="FFFFFF"/>
            <w:vAlign w:val="center"/>
          </w:tcPr>
          <w:p w14:paraId="799730AE" w14:textId="77777777" w:rsidR="00A76ADB" w:rsidRDefault="00A76ADB" w:rsidP="007E3239">
            <w:pPr>
              <w:pStyle w:val="TableText"/>
              <w:spacing w:before="50" w:after="50"/>
            </w:pPr>
            <w:r>
              <w:rPr>
                <w:rFonts w:eastAsia="Calibri"/>
                <w:color w:val="000000"/>
              </w:rPr>
              <w:t>National survey</w:t>
            </w:r>
          </w:p>
        </w:tc>
      </w:tr>
      <w:tr w:rsidR="00A76ADB" w14:paraId="2051D62A" w14:textId="77777777" w:rsidTr="001D6E25">
        <w:trPr>
          <w:cantSplit/>
          <w:trHeight w:val="283"/>
        </w:trPr>
        <w:tc>
          <w:tcPr>
            <w:tcW w:w="795" w:type="dxa"/>
            <w:shd w:val="clear" w:color="auto" w:fill="FFFFFF"/>
            <w:vAlign w:val="center"/>
          </w:tcPr>
          <w:p w14:paraId="29D27C04" w14:textId="77777777" w:rsidR="00A76ADB" w:rsidRDefault="00A76ADB" w:rsidP="007E3239">
            <w:pPr>
              <w:pStyle w:val="TableText"/>
              <w:spacing w:before="50" w:after="50"/>
            </w:pPr>
            <w:r>
              <w:rPr>
                <w:rFonts w:eastAsia="Calibri"/>
              </w:rPr>
              <w:t>2005</w:t>
            </w:r>
          </w:p>
        </w:tc>
        <w:tc>
          <w:tcPr>
            <w:tcW w:w="597" w:type="dxa"/>
            <w:shd w:val="clear" w:color="auto" w:fill="FFFFFF"/>
            <w:vAlign w:val="center"/>
          </w:tcPr>
          <w:p w14:paraId="0AEC60F3" w14:textId="77777777" w:rsidR="00A76ADB" w:rsidRDefault="00A76ADB" w:rsidP="007E3239">
            <w:pPr>
              <w:pStyle w:val="TableText"/>
              <w:spacing w:before="50" w:after="50"/>
              <w:jc w:val="center"/>
            </w:pPr>
            <w:r>
              <w:rPr>
                <w:rFonts w:eastAsia="Calibri"/>
                <w:color w:val="000000"/>
              </w:rPr>
              <w:t>14.94</w:t>
            </w:r>
          </w:p>
        </w:tc>
        <w:tc>
          <w:tcPr>
            <w:tcW w:w="709" w:type="dxa"/>
            <w:shd w:val="clear" w:color="auto" w:fill="FFFFFF"/>
            <w:vAlign w:val="center"/>
          </w:tcPr>
          <w:p w14:paraId="2950064C" w14:textId="77777777" w:rsidR="00A76ADB" w:rsidRDefault="00A76ADB" w:rsidP="007E3239">
            <w:pPr>
              <w:pStyle w:val="TableText"/>
              <w:spacing w:before="50" w:after="50"/>
              <w:jc w:val="center"/>
            </w:pPr>
            <w:r>
              <w:rPr>
                <w:rFonts w:eastAsia="Calibri"/>
                <w:color w:val="000000"/>
              </w:rPr>
              <w:t>9.16</w:t>
            </w:r>
          </w:p>
        </w:tc>
        <w:tc>
          <w:tcPr>
            <w:tcW w:w="708" w:type="dxa"/>
            <w:shd w:val="clear" w:color="auto" w:fill="FFFFFF"/>
            <w:vAlign w:val="center"/>
          </w:tcPr>
          <w:p w14:paraId="7E0E580A" w14:textId="77777777" w:rsidR="00A76ADB" w:rsidRDefault="00A76ADB" w:rsidP="007E3239">
            <w:pPr>
              <w:pStyle w:val="TableText"/>
              <w:spacing w:before="50" w:after="50"/>
              <w:jc w:val="center"/>
            </w:pPr>
            <w:r>
              <w:rPr>
                <w:rFonts w:eastAsia="Calibri"/>
                <w:color w:val="000000"/>
              </w:rPr>
              <w:t>13.43</w:t>
            </w:r>
          </w:p>
        </w:tc>
        <w:tc>
          <w:tcPr>
            <w:tcW w:w="709" w:type="dxa"/>
            <w:shd w:val="clear" w:color="auto" w:fill="FFFFFF"/>
            <w:vAlign w:val="center"/>
          </w:tcPr>
          <w:p w14:paraId="07546DF3" w14:textId="77777777" w:rsidR="00A76ADB" w:rsidRDefault="00A76ADB" w:rsidP="007E3239">
            <w:pPr>
              <w:pStyle w:val="TableText"/>
              <w:spacing w:before="50" w:after="50"/>
              <w:jc w:val="center"/>
            </w:pPr>
            <w:r>
              <w:rPr>
                <w:rFonts w:eastAsia="Calibri"/>
                <w:color w:val="000000"/>
              </w:rPr>
              <w:t>13.43</w:t>
            </w:r>
          </w:p>
        </w:tc>
        <w:tc>
          <w:tcPr>
            <w:tcW w:w="711" w:type="dxa"/>
            <w:shd w:val="clear" w:color="auto" w:fill="FFFFFF"/>
            <w:vAlign w:val="center"/>
          </w:tcPr>
          <w:p w14:paraId="4D0AAF8F" w14:textId="77777777" w:rsidR="00A76ADB" w:rsidRDefault="00A76ADB" w:rsidP="007E3239">
            <w:pPr>
              <w:pStyle w:val="TableText"/>
              <w:spacing w:before="50" w:after="50"/>
              <w:jc w:val="center"/>
            </w:pPr>
            <w:r>
              <w:rPr>
                <w:rFonts w:eastAsia="Calibri"/>
                <w:color w:val="000000"/>
              </w:rPr>
              <w:t>3.88</w:t>
            </w:r>
          </w:p>
        </w:tc>
        <w:tc>
          <w:tcPr>
            <w:tcW w:w="710" w:type="dxa"/>
            <w:shd w:val="clear" w:color="auto" w:fill="FFFFFF"/>
            <w:vAlign w:val="center"/>
          </w:tcPr>
          <w:p w14:paraId="2DFDE834" w14:textId="77777777" w:rsidR="00A76ADB" w:rsidRDefault="00A76ADB" w:rsidP="007E3239">
            <w:pPr>
              <w:pStyle w:val="TableText"/>
              <w:spacing w:before="50" w:after="50"/>
              <w:jc w:val="center"/>
            </w:pPr>
            <w:r>
              <w:rPr>
                <w:rFonts w:eastAsia="Calibri"/>
                <w:color w:val="000000"/>
              </w:rPr>
              <w:t>2.86</w:t>
            </w:r>
          </w:p>
        </w:tc>
        <w:tc>
          <w:tcPr>
            <w:tcW w:w="708" w:type="dxa"/>
            <w:shd w:val="clear" w:color="auto" w:fill="FFFFFF"/>
            <w:vAlign w:val="center"/>
          </w:tcPr>
          <w:p w14:paraId="00C1D1E9"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269E81E8" w14:textId="77777777" w:rsidR="00A76ADB" w:rsidRDefault="00A76ADB" w:rsidP="007E3239">
            <w:pPr>
              <w:pStyle w:val="TableText"/>
              <w:spacing w:before="50" w:after="50"/>
              <w:jc w:val="center"/>
            </w:pPr>
            <w:r>
              <w:rPr>
                <w:rFonts w:eastAsia="Calibri"/>
                <w:color w:val="000000"/>
              </w:rPr>
              <w:t>39.4</w:t>
            </w:r>
          </w:p>
        </w:tc>
        <w:tc>
          <w:tcPr>
            <w:tcW w:w="2149" w:type="dxa"/>
            <w:shd w:val="clear" w:color="auto" w:fill="FFFFFF"/>
            <w:vAlign w:val="center"/>
          </w:tcPr>
          <w:p w14:paraId="29EA65D8" w14:textId="77777777" w:rsidR="00A76ADB" w:rsidRDefault="00A76ADB" w:rsidP="007E3239">
            <w:pPr>
              <w:pStyle w:val="TableText"/>
              <w:spacing w:before="50" w:after="50"/>
            </w:pPr>
            <w:r>
              <w:rPr>
                <w:rFonts w:eastAsia="Calibri"/>
                <w:color w:val="000000"/>
              </w:rPr>
              <w:t>Interpolation</w:t>
            </w:r>
          </w:p>
        </w:tc>
      </w:tr>
      <w:tr w:rsidR="00A76ADB" w14:paraId="6A7D33B1" w14:textId="77777777" w:rsidTr="001D6E25">
        <w:trPr>
          <w:cantSplit/>
          <w:trHeight w:val="283"/>
        </w:trPr>
        <w:tc>
          <w:tcPr>
            <w:tcW w:w="795" w:type="dxa"/>
            <w:shd w:val="clear" w:color="auto" w:fill="FFFFFF"/>
            <w:vAlign w:val="center"/>
          </w:tcPr>
          <w:p w14:paraId="7E91DE69" w14:textId="77777777" w:rsidR="00A76ADB" w:rsidRDefault="00A76ADB" w:rsidP="007E3239">
            <w:pPr>
              <w:pStyle w:val="TableText"/>
              <w:spacing w:before="50" w:after="50"/>
            </w:pPr>
            <w:r>
              <w:rPr>
                <w:rFonts w:eastAsia="Calibri"/>
              </w:rPr>
              <w:t>2006</w:t>
            </w:r>
          </w:p>
        </w:tc>
        <w:tc>
          <w:tcPr>
            <w:tcW w:w="597" w:type="dxa"/>
            <w:shd w:val="clear" w:color="auto" w:fill="FFFFFF"/>
            <w:vAlign w:val="center"/>
          </w:tcPr>
          <w:p w14:paraId="3D0E5FD6" w14:textId="77777777" w:rsidR="00A76ADB" w:rsidRDefault="00A76ADB" w:rsidP="007E3239">
            <w:pPr>
              <w:pStyle w:val="TableText"/>
              <w:spacing w:before="50" w:after="50"/>
              <w:jc w:val="center"/>
            </w:pPr>
            <w:r>
              <w:rPr>
                <w:rFonts w:eastAsia="Calibri"/>
                <w:color w:val="000000"/>
              </w:rPr>
              <w:t>15.67</w:t>
            </w:r>
          </w:p>
        </w:tc>
        <w:tc>
          <w:tcPr>
            <w:tcW w:w="709" w:type="dxa"/>
            <w:shd w:val="clear" w:color="auto" w:fill="FFFFFF"/>
            <w:vAlign w:val="center"/>
          </w:tcPr>
          <w:p w14:paraId="6B7F765F" w14:textId="77777777" w:rsidR="00A76ADB" w:rsidRDefault="00A76ADB" w:rsidP="007E3239">
            <w:pPr>
              <w:pStyle w:val="TableText"/>
              <w:spacing w:before="50" w:after="50"/>
              <w:jc w:val="center"/>
            </w:pPr>
            <w:r>
              <w:rPr>
                <w:rFonts w:eastAsia="Calibri"/>
                <w:color w:val="000000"/>
              </w:rPr>
              <w:t>9.23</w:t>
            </w:r>
          </w:p>
        </w:tc>
        <w:tc>
          <w:tcPr>
            <w:tcW w:w="708" w:type="dxa"/>
            <w:shd w:val="clear" w:color="auto" w:fill="FFFFFF"/>
            <w:vAlign w:val="center"/>
          </w:tcPr>
          <w:p w14:paraId="13ED0E5B" w14:textId="77777777" w:rsidR="00A76ADB" w:rsidRDefault="00A76ADB" w:rsidP="007E3239">
            <w:pPr>
              <w:pStyle w:val="TableText"/>
              <w:spacing w:before="50" w:after="50"/>
              <w:jc w:val="center"/>
            </w:pPr>
            <w:r>
              <w:rPr>
                <w:rFonts w:eastAsia="Calibri"/>
                <w:color w:val="000000"/>
              </w:rPr>
              <w:t>11.95</w:t>
            </w:r>
          </w:p>
        </w:tc>
        <w:tc>
          <w:tcPr>
            <w:tcW w:w="709" w:type="dxa"/>
            <w:shd w:val="clear" w:color="auto" w:fill="FFFFFF"/>
            <w:vAlign w:val="center"/>
          </w:tcPr>
          <w:p w14:paraId="084C65A5" w14:textId="77777777" w:rsidR="00A76ADB" w:rsidRDefault="00A76ADB" w:rsidP="007E3239">
            <w:pPr>
              <w:pStyle w:val="TableText"/>
              <w:spacing w:before="50" w:after="50"/>
              <w:jc w:val="center"/>
            </w:pPr>
            <w:r>
              <w:rPr>
                <w:rFonts w:eastAsia="Calibri"/>
                <w:color w:val="000000"/>
              </w:rPr>
              <w:t>12.95</w:t>
            </w:r>
          </w:p>
        </w:tc>
        <w:tc>
          <w:tcPr>
            <w:tcW w:w="711" w:type="dxa"/>
            <w:shd w:val="clear" w:color="auto" w:fill="FFFFFF"/>
            <w:vAlign w:val="center"/>
          </w:tcPr>
          <w:p w14:paraId="75E42156" w14:textId="77777777" w:rsidR="00A76ADB" w:rsidRDefault="00A76ADB" w:rsidP="007E3239">
            <w:pPr>
              <w:pStyle w:val="TableText"/>
              <w:spacing w:before="50" w:after="50"/>
              <w:jc w:val="center"/>
            </w:pPr>
            <w:r>
              <w:rPr>
                <w:rFonts w:eastAsia="Calibri"/>
                <w:color w:val="000000"/>
              </w:rPr>
              <w:t>3.87</w:t>
            </w:r>
          </w:p>
        </w:tc>
        <w:tc>
          <w:tcPr>
            <w:tcW w:w="710" w:type="dxa"/>
            <w:shd w:val="clear" w:color="auto" w:fill="FFFFFF"/>
            <w:vAlign w:val="center"/>
          </w:tcPr>
          <w:p w14:paraId="4BDFDB80" w14:textId="77777777" w:rsidR="00A76ADB" w:rsidRDefault="00A76ADB" w:rsidP="007E3239">
            <w:pPr>
              <w:pStyle w:val="TableText"/>
              <w:spacing w:before="50" w:after="50"/>
              <w:jc w:val="center"/>
            </w:pPr>
            <w:r>
              <w:rPr>
                <w:rFonts w:eastAsia="Calibri"/>
                <w:color w:val="000000"/>
              </w:rPr>
              <w:t>3.02</w:t>
            </w:r>
          </w:p>
        </w:tc>
        <w:tc>
          <w:tcPr>
            <w:tcW w:w="708" w:type="dxa"/>
            <w:shd w:val="clear" w:color="auto" w:fill="FFFFFF"/>
            <w:vAlign w:val="center"/>
          </w:tcPr>
          <w:p w14:paraId="65F48FB2"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72398377" w14:textId="77777777" w:rsidR="00A76ADB" w:rsidRDefault="00A76ADB" w:rsidP="007E3239">
            <w:pPr>
              <w:pStyle w:val="TableText"/>
              <w:spacing w:before="50" w:after="50"/>
              <w:jc w:val="center"/>
            </w:pPr>
            <w:r>
              <w:rPr>
                <w:rFonts w:eastAsia="Calibri"/>
                <w:color w:val="000000"/>
              </w:rPr>
              <w:t>40.4</w:t>
            </w:r>
          </w:p>
        </w:tc>
        <w:tc>
          <w:tcPr>
            <w:tcW w:w="2149" w:type="dxa"/>
            <w:shd w:val="clear" w:color="auto" w:fill="FFFFFF"/>
            <w:vAlign w:val="center"/>
          </w:tcPr>
          <w:p w14:paraId="23756A56" w14:textId="77777777" w:rsidR="00A76ADB" w:rsidRDefault="00A76ADB" w:rsidP="007E3239">
            <w:pPr>
              <w:pStyle w:val="TableText"/>
              <w:spacing w:before="50" w:after="50"/>
            </w:pPr>
            <w:r>
              <w:rPr>
                <w:rFonts w:eastAsia="Calibri"/>
                <w:color w:val="000000"/>
              </w:rPr>
              <w:t>Interpolation</w:t>
            </w:r>
          </w:p>
        </w:tc>
      </w:tr>
      <w:tr w:rsidR="00A76ADB" w14:paraId="725DE83C" w14:textId="77777777" w:rsidTr="001D6E25">
        <w:trPr>
          <w:cantSplit/>
          <w:trHeight w:val="283"/>
        </w:trPr>
        <w:tc>
          <w:tcPr>
            <w:tcW w:w="795" w:type="dxa"/>
            <w:shd w:val="clear" w:color="auto" w:fill="FFFFFF"/>
            <w:vAlign w:val="center"/>
          </w:tcPr>
          <w:p w14:paraId="6034EDF5" w14:textId="77777777" w:rsidR="00A76ADB" w:rsidRDefault="00A76ADB" w:rsidP="007E3239">
            <w:pPr>
              <w:pStyle w:val="TableText"/>
              <w:spacing w:before="50" w:after="50"/>
            </w:pPr>
            <w:r>
              <w:rPr>
                <w:rFonts w:eastAsia="Calibri"/>
              </w:rPr>
              <w:t>2007</w:t>
            </w:r>
          </w:p>
        </w:tc>
        <w:tc>
          <w:tcPr>
            <w:tcW w:w="597" w:type="dxa"/>
            <w:shd w:val="clear" w:color="auto" w:fill="FFFFFF"/>
            <w:vAlign w:val="center"/>
          </w:tcPr>
          <w:p w14:paraId="6999B5FB" w14:textId="77777777" w:rsidR="00A76ADB" w:rsidRDefault="00A76ADB" w:rsidP="007E3239">
            <w:pPr>
              <w:pStyle w:val="TableText"/>
              <w:spacing w:before="50" w:after="50"/>
              <w:jc w:val="center"/>
            </w:pPr>
            <w:r>
              <w:rPr>
                <w:rFonts w:eastAsia="Calibri"/>
                <w:color w:val="000000"/>
              </w:rPr>
              <w:t>16.4</w:t>
            </w:r>
          </w:p>
        </w:tc>
        <w:tc>
          <w:tcPr>
            <w:tcW w:w="709" w:type="dxa"/>
            <w:shd w:val="clear" w:color="auto" w:fill="FFFFFF"/>
            <w:vAlign w:val="center"/>
          </w:tcPr>
          <w:p w14:paraId="48E74031" w14:textId="77777777" w:rsidR="00A76ADB" w:rsidRDefault="00A76ADB" w:rsidP="007E3239">
            <w:pPr>
              <w:pStyle w:val="TableText"/>
              <w:spacing w:before="50" w:after="50"/>
              <w:jc w:val="center"/>
            </w:pPr>
            <w:r>
              <w:rPr>
                <w:rFonts w:eastAsia="Calibri"/>
                <w:color w:val="000000"/>
              </w:rPr>
              <w:t>9.31</w:t>
            </w:r>
          </w:p>
        </w:tc>
        <w:tc>
          <w:tcPr>
            <w:tcW w:w="708" w:type="dxa"/>
            <w:shd w:val="clear" w:color="auto" w:fill="FFFFFF"/>
            <w:vAlign w:val="center"/>
          </w:tcPr>
          <w:p w14:paraId="6A9661C1" w14:textId="77777777" w:rsidR="00A76ADB" w:rsidRDefault="00A76ADB" w:rsidP="007E3239">
            <w:pPr>
              <w:pStyle w:val="TableText"/>
              <w:spacing w:before="50" w:after="50"/>
              <w:jc w:val="center"/>
            </w:pPr>
            <w:r>
              <w:rPr>
                <w:rFonts w:eastAsia="Calibri"/>
                <w:color w:val="000000"/>
              </w:rPr>
              <w:t>10.48</w:t>
            </w:r>
          </w:p>
        </w:tc>
        <w:tc>
          <w:tcPr>
            <w:tcW w:w="709" w:type="dxa"/>
            <w:shd w:val="clear" w:color="auto" w:fill="FFFFFF"/>
            <w:vAlign w:val="center"/>
          </w:tcPr>
          <w:p w14:paraId="26310DAB" w14:textId="77777777" w:rsidR="00A76ADB" w:rsidRDefault="00A76ADB" w:rsidP="007E3239">
            <w:pPr>
              <w:pStyle w:val="TableText"/>
              <w:spacing w:before="50" w:after="50"/>
              <w:jc w:val="center"/>
            </w:pPr>
            <w:r>
              <w:rPr>
                <w:rFonts w:eastAsia="Calibri"/>
                <w:color w:val="000000"/>
              </w:rPr>
              <w:t>12.48</w:t>
            </w:r>
          </w:p>
        </w:tc>
        <w:tc>
          <w:tcPr>
            <w:tcW w:w="711" w:type="dxa"/>
            <w:shd w:val="clear" w:color="auto" w:fill="FFFFFF"/>
            <w:vAlign w:val="center"/>
          </w:tcPr>
          <w:p w14:paraId="42E629D2" w14:textId="77777777" w:rsidR="00A76ADB" w:rsidRDefault="00A76ADB" w:rsidP="007E3239">
            <w:pPr>
              <w:pStyle w:val="TableText"/>
              <w:spacing w:before="50" w:after="50"/>
              <w:jc w:val="center"/>
            </w:pPr>
            <w:r>
              <w:rPr>
                <w:rFonts w:eastAsia="Calibri"/>
                <w:color w:val="000000"/>
              </w:rPr>
              <w:t>3.85</w:t>
            </w:r>
          </w:p>
        </w:tc>
        <w:tc>
          <w:tcPr>
            <w:tcW w:w="710" w:type="dxa"/>
            <w:shd w:val="clear" w:color="auto" w:fill="FFFFFF"/>
            <w:vAlign w:val="center"/>
          </w:tcPr>
          <w:p w14:paraId="12DF28D2" w14:textId="77777777" w:rsidR="00A76ADB" w:rsidRDefault="00A76ADB" w:rsidP="007E3239">
            <w:pPr>
              <w:pStyle w:val="TableText"/>
              <w:spacing w:before="50" w:after="50"/>
              <w:jc w:val="center"/>
            </w:pPr>
            <w:r>
              <w:rPr>
                <w:rFonts w:eastAsia="Calibri"/>
                <w:color w:val="000000"/>
              </w:rPr>
              <w:t>3.18</w:t>
            </w:r>
          </w:p>
        </w:tc>
        <w:tc>
          <w:tcPr>
            <w:tcW w:w="708" w:type="dxa"/>
            <w:shd w:val="clear" w:color="auto" w:fill="FFFFFF"/>
            <w:vAlign w:val="center"/>
          </w:tcPr>
          <w:p w14:paraId="162DB75D"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72E031AA" w14:textId="77777777" w:rsidR="00A76ADB" w:rsidRDefault="00A76ADB" w:rsidP="007E3239">
            <w:pPr>
              <w:pStyle w:val="TableText"/>
              <w:spacing w:before="50" w:after="50"/>
              <w:jc w:val="center"/>
            </w:pPr>
            <w:r>
              <w:rPr>
                <w:rFonts w:eastAsia="Calibri"/>
                <w:color w:val="000000"/>
              </w:rPr>
              <w:t>41.41</w:t>
            </w:r>
          </w:p>
        </w:tc>
        <w:tc>
          <w:tcPr>
            <w:tcW w:w="2149" w:type="dxa"/>
            <w:shd w:val="clear" w:color="auto" w:fill="FFFFFF"/>
            <w:vAlign w:val="center"/>
          </w:tcPr>
          <w:p w14:paraId="1DDE4085" w14:textId="77777777" w:rsidR="00A76ADB" w:rsidRDefault="00A76ADB" w:rsidP="007E3239">
            <w:pPr>
              <w:pStyle w:val="TableText"/>
              <w:spacing w:before="50" w:after="50"/>
            </w:pPr>
            <w:r>
              <w:rPr>
                <w:rFonts w:eastAsia="Calibri"/>
                <w:color w:val="000000"/>
              </w:rPr>
              <w:t>Interpolation</w:t>
            </w:r>
          </w:p>
        </w:tc>
      </w:tr>
      <w:tr w:rsidR="00A76ADB" w14:paraId="3446A7FA" w14:textId="77777777" w:rsidTr="001D6E25">
        <w:trPr>
          <w:cantSplit/>
          <w:trHeight w:val="283"/>
        </w:trPr>
        <w:tc>
          <w:tcPr>
            <w:tcW w:w="795" w:type="dxa"/>
            <w:shd w:val="clear" w:color="auto" w:fill="FFFFFF"/>
            <w:vAlign w:val="center"/>
          </w:tcPr>
          <w:p w14:paraId="17A32F4C" w14:textId="77777777" w:rsidR="00A76ADB" w:rsidRDefault="00A76ADB" w:rsidP="007E3239">
            <w:pPr>
              <w:pStyle w:val="TableText"/>
              <w:spacing w:before="50" w:after="50"/>
            </w:pPr>
            <w:r>
              <w:rPr>
                <w:rFonts w:eastAsia="Calibri"/>
              </w:rPr>
              <w:t>2008</w:t>
            </w:r>
          </w:p>
        </w:tc>
        <w:tc>
          <w:tcPr>
            <w:tcW w:w="597" w:type="dxa"/>
            <w:shd w:val="clear" w:color="auto" w:fill="FFFFFF"/>
            <w:vAlign w:val="center"/>
          </w:tcPr>
          <w:p w14:paraId="6A5A46DB" w14:textId="77777777" w:rsidR="00A76ADB" w:rsidRDefault="00A76ADB" w:rsidP="007E3239">
            <w:pPr>
              <w:pStyle w:val="TableText"/>
              <w:spacing w:before="50" w:after="50"/>
              <w:jc w:val="center"/>
            </w:pPr>
            <w:r>
              <w:rPr>
                <w:rFonts w:eastAsia="Calibri"/>
                <w:color w:val="000000"/>
              </w:rPr>
              <w:t>17.13</w:t>
            </w:r>
          </w:p>
        </w:tc>
        <w:tc>
          <w:tcPr>
            <w:tcW w:w="709" w:type="dxa"/>
            <w:shd w:val="clear" w:color="auto" w:fill="FFFFFF"/>
            <w:vAlign w:val="center"/>
          </w:tcPr>
          <w:p w14:paraId="245D2E01" w14:textId="77777777" w:rsidR="00A76ADB" w:rsidRDefault="00A76ADB" w:rsidP="007E3239">
            <w:pPr>
              <w:pStyle w:val="TableText"/>
              <w:spacing w:before="50" w:after="50"/>
              <w:jc w:val="center"/>
            </w:pPr>
            <w:r>
              <w:rPr>
                <w:rFonts w:eastAsia="Calibri"/>
                <w:color w:val="000000"/>
              </w:rPr>
              <w:t>9.38</w:t>
            </w:r>
          </w:p>
        </w:tc>
        <w:tc>
          <w:tcPr>
            <w:tcW w:w="708" w:type="dxa"/>
            <w:shd w:val="clear" w:color="auto" w:fill="FFFFFF"/>
            <w:vAlign w:val="center"/>
          </w:tcPr>
          <w:p w14:paraId="25BAAC2A" w14:textId="77777777" w:rsidR="00A76ADB" w:rsidRDefault="00A76ADB" w:rsidP="007E3239">
            <w:pPr>
              <w:pStyle w:val="TableText"/>
              <w:spacing w:before="50" w:after="50"/>
              <w:jc w:val="center"/>
            </w:pPr>
            <w:r>
              <w:rPr>
                <w:rFonts w:eastAsia="Calibri"/>
                <w:color w:val="000000"/>
              </w:rPr>
              <w:t>9</w:t>
            </w:r>
          </w:p>
        </w:tc>
        <w:tc>
          <w:tcPr>
            <w:tcW w:w="709" w:type="dxa"/>
            <w:shd w:val="clear" w:color="auto" w:fill="FFFFFF"/>
            <w:vAlign w:val="center"/>
          </w:tcPr>
          <w:p w14:paraId="056B8BE5" w14:textId="77777777" w:rsidR="00A76ADB" w:rsidRDefault="00A76ADB" w:rsidP="007E3239">
            <w:pPr>
              <w:pStyle w:val="TableText"/>
              <w:spacing w:before="50" w:after="50"/>
              <w:jc w:val="center"/>
            </w:pPr>
            <w:r>
              <w:rPr>
                <w:rFonts w:eastAsia="Calibri"/>
                <w:color w:val="000000"/>
              </w:rPr>
              <w:t>12</w:t>
            </w:r>
          </w:p>
        </w:tc>
        <w:tc>
          <w:tcPr>
            <w:tcW w:w="711" w:type="dxa"/>
            <w:shd w:val="clear" w:color="auto" w:fill="FFFFFF"/>
            <w:vAlign w:val="center"/>
          </w:tcPr>
          <w:p w14:paraId="09E2925B" w14:textId="77777777" w:rsidR="00A76ADB" w:rsidRDefault="00A76ADB" w:rsidP="007E3239">
            <w:pPr>
              <w:pStyle w:val="TableText"/>
              <w:spacing w:before="50" w:after="50"/>
              <w:jc w:val="center"/>
            </w:pPr>
            <w:r>
              <w:rPr>
                <w:rFonts w:eastAsia="Calibri"/>
                <w:color w:val="000000"/>
              </w:rPr>
              <w:t>3.84</w:t>
            </w:r>
          </w:p>
        </w:tc>
        <w:tc>
          <w:tcPr>
            <w:tcW w:w="710" w:type="dxa"/>
            <w:shd w:val="clear" w:color="auto" w:fill="FFFFFF"/>
            <w:vAlign w:val="center"/>
          </w:tcPr>
          <w:p w14:paraId="54156F72" w14:textId="77777777" w:rsidR="00A76ADB" w:rsidRDefault="00A76ADB" w:rsidP="007E3239">
            <w:pPr>
              <w:pStyle w:val="TableText"/>
              <w:spacing w:before="50" w:after="50"/>
              <w:jc w:val="center"/>
            </w:pPr>
            <w:r>
              <w:rPr>
                <w:rFonts w:eastAsia="Calibri"/>
                <w:color w:val="000000"/>
              </w:rPr>
              <w:t>3.34</w:t>
            </w:r>
          </w:p>
        </w:tc>
        <w:tc>
          <w:tcPr>
            <w:tcW w:w="708" w:type="dxa"/>
            <w:shd w:val="clear" w:color="auto" w:fill="FFFFFF"/>
            <w:vAlign w:val="center"/>
          </w:tcPr>
          <w:p w14:paraId="55613FB4" w14:textId="77777777" w:rsidR="00A76ADB" w:rsidRDefault="00A76ADB" w:rsidP="007E3239">
            <w:pPr>
              <w:pStyle w:val="TableText"/>
              <w:spacing w:before="50" w:after="50"/>
              <w:jc w:val="center"/>
            </w:pPr>
            <w:r>
              <w:rPr>
                <w:rFonts w:eastAsia="Calibri"/>
                <w:color w:val="000000"/>
              </w:rPr>
              <w:t>2.9</w:t>
            </w:r>
          </w:p>
        </w:tc>
        <w:tc>
          <w:tcPr>
            <w:tcW w:w="709" w:type="dxa"/>
            <w:shd w:val="clear" w:color="auto" w:fill="FFFFFF"/>
            <w:vAlign w:val="center"/>
          </w:tcPr>
          <w:p w14:paraId="0ED5CDAF" w14:textId="77777777" w:rsidR="00A76ADB" w:rsidRDefault="00A76ADB" w:rsidP="007E3239">
            <w:pPr>
              <w:pStyle w:val="TableText"/>
              <w:spacing w:before="50" w:after="50"/>
              <w:jc w:val="center"/>
            </w:pPr>
            <w:r>
              <w:rPr>
                <w:rFonts w:eastAsia="Calibri"/>
                <w:color w:val="000000"/>
              </w:rPr>
              <w:t>42.41</w:t>
            </w:r>
          </w:p>
        </w:tc>
        <w:tc>
          <w:tcPr>
            <w:tcW w:w="2149" w:type="dxa"/>
            <w:shd w:val="clear" w:color="auto" w:fill="FFFFFF"/>
            <w:vAlign w:val="center"/>
          </w:tcPr>
          <w:p w14:paraId="3B407EA1" w14:textId="77777777" w:rsidR="00A76ADB" w:rsidRDefault="00A76ADB" w:rsidP="007E3239">
            <w:pPr>
              <w:pStyle w:val="TableText"/>
              <w:spacing w:before="50" w:after="50"/>
            </w:pPr>
            <w:r>
              <w:rPr>
                <w:rFonts w:eastAsia="Calibri"/>
                <w:color w:val="000000"/>
              </w:rPr>
              <w:t>Survey</w:t>
            </w:r>
          </w:p>
        </w:tc>
      </w:tr>
      <w:tr w:rsidR="00A76ADB" w14:paraId="777A6248" w14:textId="77777777" w:rsidTr="001D6E25">
        <w:trPr>
          <w:cantSplit/>
          <w:trHeight w:val="283"/>
        </w:trPr>
        <w:tc>
          <w:tcPr>
            <w:tcW w:w="795" w:type="dxa"/>
            <w:shd w:val="clear" w:color="auto" w:fill="FFFFFF"/>
            <w:vAlign w:val="center"/>
          </w:tcPr>
          <w:p w14:paraId="15A6F239" w14:textId="77777777" w:rsidR="00A76ADB" w:rsidRDefault="00A76ADB" w:rsidP="007E3239">
            <w:pPr>
              <w:pStyle w:val="TableText"/>
              <w:spacing w:before="50" w:after="50"/>
            </w:pPr>
            <w:r>
              <w:rPr>
                <w:rFonts w:eastAsia="Calibri"/>
              </w:rPr>
              <w:t>2009</w:t>
            </w:r>
          </w:p>
        </w:tc>
        <w:tc>
          <w:tcPr>
            <w:tcW w:w="597" w:type="dxa"/>
            <w:shd w:val="clear" w:color="auto" w:fill="FFFFFF"/>
            <w:vAlign w:val="center"/>
          </w:tcPr>
          <w:p w14:paraId="40A7245D" w14:textId="77777777" w:rsidR="00A76ADB" w:rsidRDefault="00A76ADB" w:rsidP="007E3239">
            <w:pPr>
              <w:pStyle w:val="TableText"/>
              <w:spacing w:before="50" w:after="50"/>
              <w:jc w:val="center"/>
            </w:pPr>
            <w:r>
              <w:rPr>
                <w:rFonts w:eastAsia="Calibri"/>
                <w:color w:val="000000"/>
              </w:rPr>
              <w:t>17.04</w:t>
            </w:r>
          </w:p>
        </w:tc>
        <w:tc>
          <w:tcPr>
            <w:tcW w:w="709" w:type="dxa"/>
            <w:shd w:val="clear" w:color="auto" w:fill="FFFFFF"/>
            <w:vAlign w:val="center"/>
          </w:tcPr>
          <w:p w14:paraId="672ACB57" w14:textId="77777777" w:rsidR="00A76ADB" w:rsidRDefault="00A76ADB" w:rsidP="007E3239">
            <w:pPr>
              <w:pStyle w:val="TableText"/>
              <w:spacing w:before="50" w:after="50"/>
              <w:jc w:val="center"/>
            </w:pPr>
            <w:r>
              <w:rPr>
                <w:rFonts w:eastAsia="Calibri"/>
                <w:color w:val="000000"/>
              </w:rPr>
              <w:t>9.12</w:t>
            </w:r>
          </w:p>
        </w:tc>
        <w:tc>
          <w:tcPr>
            <w:tcW w:w="708" w:type="dxa"/>
            <w:shd w:val="clear" w:color="auto" w:fill="FFFFFF"/>
            <w:vAlign w:val="center"/>
          </w:tcPr>
          <w:p w14:paraId="6FC7B45A" w14:textId="77777777" w:rsidR="00A76ADB" w:rsidRDefault="00A76ADB" w:rsidP="007E3239">
            <w:pPr>
              <w:pStyle w:val="TableText"/>
              <w:spacing w:before="50" w:after="50"/>
              <w:jc w:val="center"/>
            </w:pPr>
            <w:r>
              <w:rPr>
                <w:rFonts w:eastAsia="Calibri"/>
                <w:color w:val="000000"/>
              </w:rPr>
              <w:t>9.42</w:t>
            </w:r>
          </w:p>
        </w:tc>
        <w:tc>
          <w:tcPr>
            <w:tcW w:w="709" w:type="dxa"/>
            <w:shd w:val="clear" w:color="auto" w:fill="FFFFFF"/>
            <w:vAlign w:val="center"/>
          </w:tcPr>
          <w:p w14:paraId="5B5EC22D" w14:textId="77777777" w:rsidR="00A76ADB" w:rsidRDefault="00A76ADB" w:rsidP="007E3239">
            <w:pPr>
              <w:pStyle w:val="TableText"/>
              <w:spacing w:before="50" w:after="50"/>
              <w:jc w:val="center"/>
            </w:pPr>
            <w:r>
              <w:rPr>
                <w:rFonts w:eastAsia="Calibri"/>
                <w:color w:val="000000"/>
              </w:rPr>
              <w:t>11.97</w:t>
            </w:r>
          </w:p>
        </w:tc>
        <w:tc>
          <w:tcPr>
            <w:tcW w:w="711" w:type="dxa"/>
            <w:shd w:val="clear" w:color="auto" w:fill="FFFFFF"/>
            <w:vAlign w:val="center"/>
          </w:tcPr>
          <w:p w14:paraId="5D4C1E53" w14:textId="77777777" w:rsidR="00A76ADB" w:rsidRDefault="00A76ADB" w:rsidP="007E3239">
            <w:pPr>
              <w:pStyle w:val="TableText"/>
              <w:spacing w:before="50" w:after="50"/>
              <w:jc w:val="center"/>
            </w:pPr>
            <w:r>
              <w:rPr>
                <w:rFonts w:eastAsia="Calibri"/>
                <w:color w:val="000000"/>
              </w:rPr>
              <w:t>4.28</w:t>
            </w:r>
          </w:p>
        </w:tc>
        <w:tc>
          <w:tcPr>
            <w:tcW w:w="710" w:type="dxa"/>
            <w:shd w:val="clear" w:color="auto" w:fill="FFFFFF"/>
            <w:vAlign w:val="center"/>
          </w:tcPr>
          <w:p w14:paraId="4C343828" w14:textId="77777777" w:rsidR="00A76ADB" w:rsidRDefault="00A76ADB" w:rsidP="007E3239">
            <w:pPr>
              <w:pStyle w:val="TableText"/>
              <w:spacing w:before="50" w:after="50"/>
              <w:jc w:val="center"/>
            </w:pPr>
            <w:r>
              <w:rPr>
                <w:rFonts w:eastAsia="Calibri"/>
                <w:color w:val="000000"/>
              </w:rPr>
              <w:t>3.25</w:t>
            </w:r>
          </w:p>
        </w:tc>
        <w:tc>
          <w:tcPr>
            <w:tcW w:w="708" w:type="dxa"/>
            <w:shd w:val="clear" w:color="auto" w:fill="FFFFFF"/>
            <w:vAlign w:val="center"/>
          </w:tcPr>
          <w:p w14:paraId="0A5B46DA" w14:textId="77777777" w:rsidR="00A76ADB" w:rsidRDefault="00A76ADB" w:rsidP="007E3239">
            <w:pPr>
              <w:pStyle w:val="TableText"/>
              <w:spacing w:before="50" w:after="50"/>
              <w:jc w:val="center"/>
            </w:pPr>
            <w:r>
              <w:rPr>
                <w:rFonts w:eastAsia="Calibri"/>
                <w:color w:val="000000"/>
              </w:rPr>
              <w:t>3.15</w:t>
            </w:r>
          </w:p>
        </w:tc>
        <w:tc>
          <w:tcPr>
            <w:tcW w:w="709" w:type="dxa"/>
            <w:shd w:val="clear" w:color="auto" w:fill="FFFFFF"/>
            <w:vAlign w:val="center"/>
          </w:tcPr>
          <w:p w14:paraId="6AB9D762" w14:textId="77777777" w:rsidR="00A76ADB" w:rsidRDefault="00A76ADB" w:rsidP="007E3239">
            <w:pPr>
              <w:pStyle w:val="TableText"/>
              <w:spacing w:before="50" w:after="50"/>
              <w:jc w:val="center"/>
            </w:pPr>
            <w:r>
              <w:rPr>
                <w:rFonts w:eastAsia="Calibri"/>
                <w:color w:val="000000"/>
              </w:rPr>
              <w:t>41.78</w:t>
            </w:r>
          </w:p>
        </w:tc>
        <w:tc>
          <w:tcPr>
            <w:tcW w:w="2149" w:type="dxa"/>
            <w:shd w:val="clear" w:color="auto" w:fill="FFFFFF"/>
            <w:vAlign w:val="center"/>
          </w:tcPr>
          <w:p w14:paraId="7688C1A9" w14:textId="77777777" w:rsidR="00A76ADB" w:rsidRDefault="00A76ADB" w:rsidP="007E3239">
            <w:pPr>
              <w:pStyle w:val="TableText"/>
              <w:spacing w:before="50" w:after="50"/>
            </w:pPr>
            <w:r>
              <w:rPr>
                <w:rFonts w:eastAsia="Calibri"/>
                <w:color w:val="000000"/>
              </w:rPr>
              <w:t>Interpolation</w:t>
            </w:r>
          </w:p>
        </w:tc>
      </w:tr>
      <w:tr w:rsidR="00A76ADB" w14:paraId="5505E5BF" w14:textId="77777777" w:rsidTr="001D6E25">
        <w:trPr>
          <w:cantSplit/>
          <w:trHeight w:val="283"/>
        </w:trPr>
        <w:tc>
          <w:tcPr>
            <w:tcW w:w="795" w:type="dxa"/>
            <w:shd w:val="clear" w:color="auto" w:fill="FFFFFF"/>
            <w:vAlign w:val="center"/>
          </w:tcPr>
          <w:p w14:paraId="2D1967F5" w14:textId="77777777" w:rsidR="00A76ADB" w:rsidRDefault="00A76ADB" w:rsidP="007E3239">
            <w:pPr>
              <w:pStyle w:val="TableText"/>
              <w:spacing w:before="50" w:after="50"/>
            </w:pPr>
            <w:r>
              <w:rPr>
                <w:rFonts w:eastAsia="Calibri"/>
              </w:rPr>
              <w:t>2010</w:t>
            </w:r>
          </w:p>
        </w:tc>
        <w:tc>
          <w:tcPr>
            <w:tcW w:w="597" w:type="dxa"/>
            <w:shd w:val="clear" w:color="auto" w:fill="FFFFFF"/>
            <w:vAlign w:val="center"/>
          </w:tcPr>
          <w:p w14:paraId="42B5E8F6" w14:textId="77777777" w:rsidR="00A76ADB" w:rsidRDefault="00A76ADB" w:rsidP="007E3239">
            <w:pPr>
              <w:pStyle w:val="TableText"/>
              <w:spacing w:before="50" w:after="50"/>
              <w:jc w:val="center"/>
            </w:pPr>
            <w:r>
              <w:rPr>
                <w:rFonts w:eastAsia="Calibri"/>
                <w:color w:val="000000"/>
              </w:rPr>
              <w:t>16.95</w:t>
            </w:r>
          </w:p>
        </w:tc>
        <w:tc>
          <w:tcPr>
            <w:tcW w:w="709" w:type="dxa"/>
            <w:shd w:val="clear" w:color="auto" w:fill="FFFFFF"/>
            <w:vAlign w:val="center"/>
          </w:tcPr>
          <w:p w14:paraId="57B6FFBB" w14:textId="77777777" w:rsidR="00A76ADB" w:rsidRDefault="00A76ADB" w:rsidP="007E3239">
            <w:pPr>
              <w:pStyle w:val="TableText"/>
              <w:spacing w:before="50" w:after="50"/>
              <w:jc w:val="center"/>
            </w:pPr>
            <w:r>
              <w:rPr>
                <w:rFonts w:eastAsia="Calibri"/>
                <w:color w:val="000000"/>
              </w:rPr>
              <w:t>8.86</w:t>
            </w:r>
          </w:p>
        </w:tc>
        <w:tc>
          <w:tcPr>
            <w:tcW w:w="708" w:type="dxa"/>
            <w:shd w:val="clear" w:color="auto" w:fill="FFFFFF"/>
            <w:vAlign w:val="center"/>
          </w:tcPr>
          <w:p w14:paraId="227D8506" w14:textId="77777777" w:rsidR="00A76ADB" w:rsidRDefault="00A76ADB" w:rsidP="007E3239">
            <w:pPr>
              <w:pStyle w:val="TableText"/>
              <w:spacing w:before="50" w:after="50"/>
              <w:jc w:val="center"/>
            </w:pPr>
            <w:r>
              <w:rPr>
                <w:rFonts w:eastAsia="Calibri"/>
                <w:color w:val="000000"/>
              </w:rPr>
              <w:t>9.84</w:t>
            </w:r>
          </w:p>
        </w:tc>
        <w:tc>
          <w:tcPr>
            <w:tcW w:w="709" w:type="dxa"/>
            <w:shd w:val="clear" w:color="auto" w:fill="FFFFFF"/>
            <w:vAlign w:val="center"/>
          </w:tcPr>
          <w:p w14:paraId="4464F3B9" w14:textId="77777777" w:rsidR="00A76ADB" w:rsidRDefault="00A76ADB" w:rsidP="007E3239">
            <w:pPr>
              <w:pStyle w:val="TableText"/>
              <w:spacing w:before="50" w:after="50"/>
              <w:jc w:val="center"/>
            </w:pPr>
            <w:r>
              <w:rPr>
                <w:rFonts w:eastAsia="Calibri"/>
                <w:color w:val="000000"/>
              </w:rPr>
              <w:t>11.94</w:t>
            </w:r>
          </w:p>
        </w:tc>
        <w:tc>
          <w:tcPr>
            <w:tcW w:w="711" w:type="dxa"/>
            <w:shd w:val="clear" w:color="auto" w:fill="FFFFFF"/>
            <w:vAlign w:val="center"/>
          </w:tcPr>
          <w:p w14:paraId="6FE6D10D" w14:textId="77777777" w:rsidR="00A76ADB" w:rsidRDefault="00A76ADB" w:rsidP="007E3239">
            <w:pPr>
              <w:pStyle w:val="TableText"/>
              <w:spacing w:before="50" w:after="50"/>
              <w:jc w:val="center"/>
            </w:pPr>
            <w:r>
              <w:rPr>
                <w:rFonts w:eastAsia="Calibri"/>
                <w:color w:val="000000"/>
              </w:rPr>
              <w:t>4.73</w:t>
            </w:r>
          </w:p>
        </w:tc>
        <w:tc>
          <w:tcPr>
            <w:tcW w:w="710" w:type="dxa"/>
            <w:shd w:val="clear" w:color="auto" w:fill="FFFFFF"/>
            <w:vAlign w:val="center"/>
          </w:tcPr>
          <w:p w14:paraId="04EEDF8E" w14:textId="77777777" w:rsidR="00A76ADB" w:rsidRDefault="00A76ADB" w:rsidP="007E3239">
            <w:pPr>
              <w:pStyle w:val="TableText"/>
              <w:spacing w:before="50" w:after="50"/>
              <w:jc w:val="center"/>
            </w:pPr>
            <w:r>
              <w:rPr>
                <w:rFonts w:eastAsia="Calibri"/>
                <w:color w:val="000000"/>
              </w:rPr>
              <w:t>3.15</w:t>
            </w:r>
          </w:p>
        </w:tc>
        <w:tc>
          <w:tcPr>
            <w:tcW w:w="708" w:type="dxa"/>
            <w:shd w:val="clear" w:color="auto" w:fill="FFFFFF"/>
            <w:vAlign w:val="center"/>
          </w:tcPr>
          <w:p w14:paraId="5B02F991" w14:textId="77777777" w:rsidR="00A76ADB" w:rsidRDefault="00A76ADB" w:rsidP="007E3239">
            <w:pPr>
              <w:pStyle w:val="TableText"/>
              <w:spacing w:before="50" w:after="50"/>
              <w:jc w:val="center"/>
            </w:pPr>
            <w:r>
              <w:rPr>
                <w:rFonts w:eastAsia="Calibri"/>
                <w:color w:val="000000"/>
              </w:rPr>
              <w:t>3.4</w:t>
            </w:r>
          </w:p>
        </w:tc>
        <w:tc>
          <w:tcPr>
            <w:tcW w:w="709" w:type="dxa"/>
            <w:shd w:val="clear" w:color="auto" w:fill="FFFFFF"/>
            <w:vAlign w:val="center"/>
          </w:tcPr>
          <w:p w14:paraId="1C2D053F" w14:textId="77777777" w:rsidR="00A76ADB" w:rsidRDefault="00A76ADB" w:rsidP="007E3239">
            <w:pPr>
              <w:pStyle w:val="TableText"/>
              <w:spacing w:before="50" w:after="50"/>
              <w:jc w:val="center"/>
            </w:pPr>
            <w:r>
              <w:rPr>
                <w:rFonts w:eastAsia="Calibri"/>
                <w:color w:val="000000"/>
              </w:rPr>
              <w:t>41.14</w:t>
            </w:r>
          </w:p>
        </w:tc>
        <w:tc>
          <w:tcPr>
            <w:tcW w:w="2149" w:type="dxa"/>
            <w:shd w:val="clear" w:color="auto" w:fill="FFFFFF"/>
            <w:vAlign w:val="center"/>
          </w:tcPr>
          <w:p w14:paraId="062F0600" w14:textId="77777777" w:rsidR="00A76ADB" w:rsidRDefault="00A76ADB" w:rsidP="007E3239">
            <w:pPr>
              <w:pStyle w:val="TableText"/>
              <w:spacing w:before="50" w:after="50"/>
            </w:pPr>
            <w:r>
              <w:rPr>
                <w:rFonts w:eastAsia="Calibri"/>
                <w:color w:val="000000"/>
              </w:rPr>
              <w:t>Interpolation</w:t>
            </w:r>
          </w:p>
        </w:tc>
      </w:tr>
      <w:tr w:rsidR="00A76ADB" w14:paraId="6B2512F0" w14:textId="77777777" w:rsidTr="001D6E25">
        <w:trPr>
          <w:cantSplit/>
          <w:trHeight w:val="283"/>
        </w:trPr>
        <w:tc>
          <w:tcPr>
            <w:tcW w:w="795" w:type="dxa"/>
            <w:shd w:val="clear" w:color="auto" w:fill="FFFFFF"/>
            <w:vAlign w:val="center"/>
          </w:tcPr>
          <w:p w14:paraId="5E4BAF9E" w14:textId="77777777" w:rsidR="00A76ADB" w:rsidRDefault="00A76ADB" w:rsidP="007E3239">
            <w:pPr>
              <w:pStyle w:val="TableText"/>
              <w:spacing w:before="50" w:after="50"/>
            </w:pPr>
            <w:r>
              <w:rPr>
                <w:rFonts w:eastAsia="Calibri"/>
              </w:rPr>
              <w:t>2011</w:t>
            </w:r>
          </w:p>
        </w:tc>
        <w:tc>
          <w:tcPr>
            <w:tcW w:w="597" w:type="dxa"/>
            <w:shd w:val="clear" w:color="auto" w:fill="FFFFFF"/>
            <w:vAlign w:val="center"/>
          </w:tcPr>
          <w:p w14:paraId="189D3B6F" w14:textId="77777777" w:rsidR="00A76ADB" w:rsidRDefault="00A76ADB" w:rsidP="007E3239">
            <w:pPr>
              <w:pStyle w:val="TableText"/>
              <w:spacing w:before="50" w:after="50"/>
              <w:jc w:val="center"/>
            </w:pPr>
            <w:r>
              <w:rPr>
                <w:rFonts w:eastAsia="Calibri"/>
                <w:color w:val="000000"/>
              </w:rPr>
              <w:t>16.86</w:t>
            </w:r>
          </w:p>
        </w:tc>
        <w:tc>
          <w:tcPr>
            <w:tcW w:w="709" w:type="dxa"/>
            <w:shd w:val="clear" w:color="auto" w:fill="FFFFFF"/>
            <w:vAlign w:val="center"/>
          </w:tcPr>
          <w:p w14:paraId="62FDCE8A" w14:textId="77777777" w:rsidR="00A76ADB" w:rsidRDefault="00A76ADB" w:rsidP="007E3239">
            <w:pPr>
              <w:pStyle w:val="TableText"/>
              <w:spacing w:before="50" w:after="50"/>
              <w:jc w:val="center"/>
            </w:pPr>
            <w:r>
              <w:rPr>
                <w:rFonts w:eastAsia="Calibri"/>
                <w:color w:val="000000"/>
              </w:rPr>
              <w:t>8.59</w:t>
            </w:r>
          </w:p>
        </w:tc>
        <w:tc>
          <w:tcPr>
            <w:tcW w:w="708" w:type="dxa"/>
            <w:shd w:val="clear" w:color="auto" w:fill="FFFFFF"/>
            <w:vAlign w:val="center"/>
          </w:tcPr>
          <w:p w14:paraId="3DE96D55" w14:textId="77777777" w:rsidR="00A76ADB" w:rsidRDefault="00A76ADB" w:rsidP="007E3239">
            <w:pPr>
              <w:pStyle w:val="TableText"/>
              <w:spacing w:before="50" w:after="50"/>
              <w:jc w:val="center"/>
            </w:pPr>
            <w:r>
              <w:rPr>
                <w:rFonts w:eastAsia="Calibri"/>
                <w:color w:val="000000"/>
              </w:rPr>
              <w:t>10.26</w:t>
            </w:r>
          </w:p>
        </w:tc>
        <w:tc>
          <w:tcPr>
            <w:tcW w:w="709" w:type="dxa"/>
            <w:shd w:val="clear" w:color="auto" w:fill="FFFFFF"/>
            <w:vAlign w:val="center"/>
          </w:tcPr>
          <w:p w14:paraId="3F14309E" w14:textId="77777777" w:rsidR="00A76ADB" w:rsidRDefault="00A76ADB" w:rsidP="007E3239">
            <w:pPr>
              <w:pStyle w:val="TableText"/>
              <w:spacing w:before="50" w:after="50"/>
              <w:jc w:val="center"/>
            </w:pPr>
            <w:r>
              <w:rPr>
                <w:rFonts w:eastAsia="Calibri"/>
                <w:color w:val="000000"/>
              </w:rPr>
              <w:t>11.9</w:t>
            </w:r>
          </w:p>
        </w:tc>
        <w:tc>
          <w:tcPr>
            <w:tcW w:w="711" w:type="dxa"/>
            <w:shd w:val="clear" w:color="auto" w:fill="FFFFFF"/>
            <w:vAlign w:val="center"/>
          </w:tcPr>
          <w:p w14:paraId="0499F5F8" w14:textId="77777777" w:rsidR="00A76ADB" w:rsidRDefault="00A76ADB" w:rsidP="007E3239">
            <w:pPr>
              <w:pStyle w:val="TableText"/>
              <w:spacing w:before="50" w:after="50"/>
              <w:jc w:val="center"/>
            </w:pPr>
            <w:r>
              <w:rPr>
                <w:rFonts w:eastAsia="Calibri"/>
                <w:color w:val="000000"/>
              </w:rPr>
              <w:t>5.17</w:t>
            </w:r>
          </w:p>
        </w:tc>
        <w:tc>
          <w:tcPr>
            <w:tcW w:w="710" w:type="dxa"/>
            <w:shd w:val="clear" w:color="auto" w:fill="FFFFFF"/>
            <w:vAlign w:val="center"/>
          </w:tcPr>
          <w:p w14:paraId="217DD308" w14:textId="77777777" w:rsidR="00A76ADB" w:rsidRDefault="00A76ADB" w:rsidP="007E3239">
            <w:pPr>
              <w:pStyle w:val="TableText"/>
              <w:spacing w:before="50" w:after="50"/>
              <w:jc w:val="center"/>
            </w:pPr>
            <w:r>
              <w:rPr>
                <w:rFonts w:eastAsia="Calibri"/>
                <w:color w:val="000000"/>
              </w:rPr>
              <w:t>3.06</w:t>
            </w:r>
          </w:p>
        </w:tc>
        <w:tc>
          <w:tcPr>
            <w:tcW w:w="708" w:type="dxa"/>
            <w:shd w:val="clear" w:color="auto" w:fill="FFFFFF"/>
            <w:vAlign w:val="center"/>
          </w:tcPr>
          <w:p w14:paraId="7315ACA0" w14:textId="77777777" w:rsidR="00A76ADB" w:rsidRDefault="00A76ADB" w:rsidP="007E3239">
            <w:pPr>
              <w:pStyle w:val="TableText"/>
              <w:spacing w:before="50" w:after="50"/>
              <w:jc w:val="center"/>
            </w:pPr>
            <w:r>
              <w:rPr>
                <w:rFonts w:eastAsia="Calibri"/>
                <w:color w:val="000000"/>
              </w:rPr>
              <w:t>3.65</w:t>
            </w:r>
          </w:p>
        </w:tc>
        <w:tc>
          <w:tcPr>
            <w:tcW w:w="709" w:type="dxa"/>
            <w:shd w:val="clear" w:color="auto" w:fill="FFFFFF"/>
            <w:vAlign w:val="center"/>
          </w:tcPr>
          <w:p w14:paraId="218C6459" w14:textId="77777777" w:rsidR="00A76ADB" w:rsidRDefault="00A76ADB" w:rsidP="007E3239">
            <w:pPr>
              <w:pStyle w:val="TableText"/>
              <w:spacing w:before="50" w:after="50"/>
              <w:jc w:val="center"/>
            </w:pPr>
            <w:r>
              <w:rPr>
                <w:rFonts w:eastAsia="Calibri"/>
                <w:color w:val="000000"/>
              </w:rPr>
              <w:t>40.5</w:t>
            </w:r>
          </w:p>
        </w:tc>
        <w:tc>
          <w:tcPr>
            <w:tcW w:w="2149" w:type="dxa"/>
            <w:shd w:val="clear" w:color="auto" w:fill="FFFFFF"/>
            <w:vAlign w:val="center"/>
          </w:tcPr>
          <w:p w14:paraId="21F2654E" w14:textId="77777777" w:rsidR="00A76ADB" w:rsidRDefault="00A76ADB" w:rsidP="007E3239">
            <w:pPr>
              <w:pStyle w:val="TableText"/>
              <w:spacing w:before="50" w:after="50"/>
            </w:pPr>
            <w:r>
              <w:rPr>
                <w:rFonts w:eastAsia="Calibri"/>
                <w:color w:val="000000"/>
              </w:rPr>
              <w:t>Interpolation</w:t>
            </w:r>
          </w:p>
        </w:tc>
      </w:tr>
      <w:tr w:rsidR="00A76ADB" w14:paraId="5102A11C" w14:textId="77777777" w:rsidTr="001D6E25">
        <w:trPr>
          <w:cantSplit/>
          <w:trHeight w:val="283"/>
        </w:trPr>
        <w:tc>
          <w:tcPr>
            <w:tcW w:w="795" w:type="dxa"/>
            <w:shd w:val="clear" w:color="auto" w:fill="FFFFFF"/>
            <w:vAlign w:val="center"/>
          </w:tcPr>
          <w:p w14:paraId="08546479" w14:textId="77777777" w:rsidR="00A76ADB" w:rsidRDefault="00A76ADB" w:rsidP="007E3239">
            <w:pPr>
              <w:pStyle w:val="TableText"/>
              <w:spacing w:before="50" w:after="50"/>
            </w:pPr>
            <w:r>
              <w:rPr>
                <w:rFonts w:eastAsia="Calibri"/>
              </w:rPr>
              <w:t>2012</w:t>
            </w:r>
          </w:p>
        </w:tc>
        <w:tc>
          <w:tcPr>
            <w:tcW w:w="597" w:type="dxa"/>
            <w:shd w:val="clear" w:color="auto" w:fill="FFFFFF"/>
            <w:vAlign w:val="center"/>
          </w:tcPr>
          <w:p w14:paraId="289F1CFF" w14:textId="77777777" w:rsidR="00A76ADB" w:rsidRDefault="00A76ADB" w:rsidP="007E3239">
            <w:pPr>
              <w:pStyle w:val="TableText"/>
              <w:spacing w:before="50" w:after="50"/>
              <w:jc w:val="center"/>
            </w:pPr>
            <w:r>
              <w:rPr>
                <w:rFonts w:eastAsia="Calibri"/>
                <w:color w:val="000000"/>
              </w:rPr>
              <w:t>16.77</w:t>
            </w:r>
          </w:p>
        </w:tc>
        <w:tc>
          <w:tcPr>
            <w:tcW w:w="709" w:type="dxa"/>
            <w:shd w:val="clear" w:color="auto" w:fill="FFFFFF"/>
            <w:vAlign w:val="center"/>
          </w:tcPr>
          <w:p w14:paraId="7B282E76" w14:textId="77777777" w:rsidR="00A76ADB" w:rsidRDefault="00A76ADB" w:rsidP="007E3239">
            <w:pPr>
              <w:pStyle w:val="TableText"/>
              <w:spacing w:before="50" w:after="50"/>
              <w:jc w:val="center"/>
            </w:pPr>
            <w:r>
              <w:rPr>
                <w:rFonts w:eastAsia="Calibri"/>
                <w:color w:val="000000"/>
              </w:rPr>
              <w:t>8.33</w:t>
            </w:r>
          </w:p>
        </w:tc>
        <w:tc>
          <w:tcPr>
            <w:tcW w:w="708" w:type="dxa"/>
            <w:shd w:val="clear" w:color="auto" w:fill="FFFFFF"/>
            <w:vAlign w:val="center"/>
          </w:tcPr>
          <w:p w14:paraId="4F8B5E2D" w14:textId="77777777" w:rsidR="00A76ADB" w:rsidRDefault="00A76ADB" w:rsidP="007E3239">
            <w:pPr>
              <w:pStyle w:val="TableText"/>
              <w:spacing w:before="50" w:after="50"/>
              <w:jc w:val="center"/>
            </w:pPr>
            <w:r>
              <w:rPr>
                <w:rFonts w:eastAsia="Calibri"/>
                <w:color w:val="000000"/>
              </w:rPr>
              <w:t>10.68</w:t>
            </w:r>
          </w:p>
        </w:tc>
        <w:tc>
          <w:tcPr>
            <w:tcW w:w="709" w:type="dxa"/>
            <w:shd w:val="clear" w:color="auto" w:fill="FFFFFF"/>
            <w:vAlign w:val="center"/>
          </w:tcPr>
          <w:p w14:paraId="30A8C12F" w14:textId="77777777" w:rsidR="00A76ADB" w:rsidRDefault="00A76ADB" w:rsidP="007E3239">
            <w:pPr>
              <w:pStyle w:val="TableText"/>
              <w:spacing w:before="50" w:after="50"/>
              <w:jc w:val="center"/>
            </w:pPr>
            <w:r>
              <w:rPr>
                <w:rFonts w:eastAsia="Calibri"/>
                <w:color w:val="000000"/>
              </w:rPr>
              <w:t>11.87</w:t>
            </w:r>
          </w:p>
        </w:tc>
        <w:tc>
          <w:tcPr>
            <w:tcW w:w="711" w:type="dxa"/>
            <w:shd w:val="clear" w:color="auto" w:fill="FFFFFF"/>
            <w:vAlign w:val="center"/>
          </w:tcPr>
          <w:p w14:paraId="550803EF" w14:textId="77777777" w:rsidR="00A76ADB" w:rsidRDefault="00A76ADB" w:rsidP="007E3239">
            <w:pPr>
              <w:pStyle w:val="TableText"/>
              <w:spacing w:before="50" w:after="50"/>
              <w:jc w:val="center"/>
            </w:pPr>
            <w:r>
              <w:rPr>
                <w:rFonts w:eastAsia="Calibri"/>
                <w:color w:val="000000"/>
              </w:rPr>
              <w:t>5.62</w:t>
            </w:r>
          </w:p>
        </w:tc>
        <w:tc>
          <w:tcPr>
            <w:tcW w:w="710" w:type="dxa"/>
            <w:shd w:val="clear" w:color="auto" w:fill="FFFFFF"/>
            <w:vAlign w:val="center"/>
          </w:tcPr>
          <w:p w14:paraId="2F8BDC30" w14:textId="77777777" w:rsidR="00A76ADB" w:rsidRDefault="00A76ADB" w:rsidP="007E3239">
            <w:pPr>
              <w:pStyle w:val="TableText"/>
              <w:spacing w:before="50" w:after="50"/>
              <w:jc w:val="center"/>
            </w:pPr>
            <w:r>
              <w:rPr>
                <w:rFonts w:eastAsia="Calibri"/>
                <w:color w:val="000000"/>
              </w:rPr>
              <w:t>2.97</w:t>
            </w:r>
          </w:p>
        </w:tc>
        <w:tc>
          <w:tcPr>
            <w:tcW w:w="708" w:type="dxa"/>
            <w:shd w:val="clear" w:color="auto" w:fill="FFFFFF"/>
            <w:vAlign w:val="center"/>
          </w:tcPr>
          <w:p w14:paraId="238AFAA6" w14:textId="77777777" w:rsidR="00A76ADB" w:rsidRDefault="00A76ADB" w:rsidP="007E3239">
            <w:pPr>
              <w:pStyle w:val="TableText"/>
              <w:spacing w:before="50" w:after="50"/>
              <w:jc w:val="center"/>
            </w:pPr>
            <w:r>
              <w:rPr>
                <w:rFonts w:eastAsia="Calibri"/>
                <w:color w:val="000000"/>
              </w:rPr>
              <w:t>3.9</w:t>
            </w:r>
          </w:p>
        </w:tc>
        <w:tc>
          <w:tcPr>
            <w:tcW w:w="709" w:type="dxa"/>
            <w:shd w:val="clear" w:color="auto" w:fill="FFFFFF"/>
            <w:vAlign w:val="center"/>
          </w:tcPr>
          <w:p w14:paraId="25BE8AA6" w14:textId="77777777" w:rsidR="00A76ADB" w:rsidRDefault="00A76ADB" w:rsidP="007E3239">
            <w:pPr>
              <w:pStyle w:val="TableText"/>
              <w:spacing w:before="50" w:after="50"/>
              <w:jc w:val="center"/>
            </w:pPr>
            <w:r>
              <w:rPr>
                <w:rFonts w:eastAsia="Calibri"/>
                <w:color w:val="000000"/>
              </w:rPr>
              <w:t>39.87</w:t>
            </w:r>
          </w:p>
        </w:tc>
        <w:tc>
          <w:tcPr>
            <w:tcW w:w="2149" w:type="dxa"/>
            <w:shd w:val="clear" w:color="auto" w:fill="FFFFFF"/>
            <w:vAlign w:val="center"/>
          </w:tcPr>
          <w:p w14:paraId="19D9BBB4" w14:textId="77777777" w:rsidR="00A76ADB" w:rsidRDefault="00A76ADB" w:rsidP="007E3239">
            <w:pPr>
              <w:pStyle w:val="TableText"/>
              <w:spacing w:before="50" w:after="50"/>
            </w:pPr>
            <w:r>
              <w:rPr>
                <w:rFonts w:eastAsia="Calibri"/>
                <w:color w:val="000000"/>
              </w:rPr>
              <w:t>Survey</w:t>
            </w:r>
          </w:p>
        </w:tc>
      </w:tr>
      <w:tr w:rsidR="00A76ADB" w14:paraId="0DFD9672" w14:textId="77777777" w:rsidTr="001D6E25">
        <w:trPr>
          <w:cantSplit/>
          <w:trHeight w:val="283"/>
        </w:trPr>
        <w:tc>
          <w:tcPr>
            <w:tcW w:w="795" w:type="dxa"/>
            <w:shd w:val="clear" w:color="auto" w:fill="FFFFFF"/>
            <w:vAlign w:val="center"/>
          </w:tcPr>
          <w:p w14:paraId="6CEB9C44" w14:textId="77777777" w:rsidR="00A76ADB" w:rsidRDefault="00A76ADB" w:rsidP="007E3239">
            <w:pPr>
              <w:pStyle w:val="TableText"/>
              <w:spacing w:before="50" w:after="50"/>
            </w:pPr>
            <w:r>
              <w:rPr>
                <w:rFonts w:eastAsia="Calibri"/>
              </w:rPr>
              <w:t>2013</w:t>
            </w:r>
          </w:p>
        </w:tc>
        <w:tc>
          <w:tcPr>
            <w:tcW w:w="597" w:type="dxa"/>
            <w:shd w:val="clear" w:color="auto" w:fill="FFFFFF"/>
            <w:vAlign w:val="center"/>
          </w:tcPr>
          <w:p w14:paraId="25D6C887" w14:textId="77777777" w:rsidR="00A76ADB" w:rsidRDefault="00A76ADB" w:rsidP="007E3239">
            <w:pPr>
              <w:pStyle w:val="TableText"/>
              <w:spacing w:before="50" w:after="50"/>
              <w:jc w:val="center"/>
            </w:pPr>
            <w:r>
              <w:rPr>
                <w:rFonts w:eastAsia="Calibri"/>
                <w:color w:val="000000"/>
              </w:rPr>
              <w:t>15.47</w:t>
            </w:r>
          </w:p>
        </w:tc>
        <w:tc>
          <w:tcPr>
            <w:tcW w:w="709" w:type="dxa"/>
            <w:shd w:val="clear" w:color="auto" w:fill="FFFFFF"/>
            <w:vAlign w:val="center"/>
          </w:tcPr>
          <w:p w14:paraId="3BD7A535" w14:textId="77777777" w:rsidR="00A76ADB" w:rsidRDefault="00A76ADB" w:rsidP="007E3239">
            <w:pPr>
              <w:pStyle w:val="TableText"/>
              <w:spacing w:before="50" w:after="50"/>
              <w:jc w:val="center"/>
            </w:pPr>
            <w:r>
              <w:rPr>
                <w:rFonts w:eastAsia="Calibri"/>
                <w:color w:val="000000"/>
              </w:rPr>
              <w:t>7.9</w:t>
            </w:r>
          </w:p>
        </w:tc>
        <w:tc>
          <w:tcPr>
            <w:tcW w:w="708" w:type="dxa"/>
            <w:shd w:val="clear" w:color="auto" w:fill="FFFFFF"/>
            <w:vAlign w:val="center"/>
          </w:tcPr>
          <w:p w14:paraId="5AE9A4A4" w14:textId="77777777" w:rsidR="00A76ADB" w:rsidRDefault="00A76ADB" w:rsidP="007E3239">
            <w:pPr>
              <w:pStyle w:val="TableText"/>
              <w:spacing w:before="50" w:after="50"/>
              <w:jc w:val="center"/>
            </w:pPr>
            <w:r>
              <w:rPr>
                <w:rFonts w:eastAsia="Calibri"/>
                <w:color w:val="000000"/>
              </w:rPr>
              <w:t>9.88</w:t>
            </w:r>
          </w:p>
        </w:tc>
        <w:tc>
          <w:tcPr>
            <w:tcW w:w="709" w:type="dxa"/>
            <w:shd w:val="clear" w:color="auto" w:fill="FFFFFF"/>
            <w:vAlign w:val="center"/>
          </w:tcPr>
          <w:p w14:paraId="505DFEDE" w14:textId="77777777" w:rsidR="00A76ADB" w:rsidRDefault="00A76ADB" w:rsidP="007E3239">
            <w:pPr>
              <w:pStyle w:val="TableText"/>
              <w:spacing w:before="50" w:after="50"/>
              <w:jc w:val="center"/>
            </w:pPr>
            <w:r>
              <w:rPr>
                <w:rFonts w:eastAsia="Calibri"/>
                <w:color w:val="000000"/>
              </w:rPr>
              <w:t>12</w:t>
            </w:r>
          </w:p>
        </w:tc>
        <w:tc>
          <w:tcPr>
            <w:tcW w:w="711" w:type="dxa"/>
            <w:shd w:val="clear" w:color="auto" w:fill="FFFFFF"/>
            <w:vAlign w:val="center"/>
          </w:tcPr>
          <w:p w14:paraId="41077BF1" w14:textId="77777777" w:rsidR="00A76ADB" w:rsidRDefault="00A76ADB" w:rsidP="007E3239">
            <w:pPr>
              <w:pStyle w:val="TableText"/>
              <w:spacing w:before="50" w:after="50"/>
              <w:jc w:val="center"/>
            </w:pPr>
            <w:r>
              <w:rPr>
                <w:rFonts w:eastAsia="Calibri"/>
                <w:color w:val="000000"/>
              </w:rPr>
              <w:t>5.52</w:t>
            </w:r>
          </w:p>
        </w:tc>
        <w:tc>
          <w:tcPr>
            <w:tcW w:w="710" w:type="dxa"/>
            <w:shd w:val="clear" w:color="auto" w:fill="FFFFFF"/>
            <w:vAlign w:val="center"/>
          </w:tcPr>
          <w:p w14:paraId="572A989A" w14:textId="77777777" w:rsidR="00A76ADB" w:rsidRDefault="00A76ADB" w:rsidP="007E3239">
            <w:pPr>
              <w:pStyle w:val="TableText"/>
              <w:spacing w:before="50" w:after="50"/>
              <w:jc w:val="center"/>
            </w:pPr>
            <w:r>
              <w:rPr>
                <w:rFonts w:eastAsia="Calibri"/>
                <w:color w:val="000000"/>
              </w:rPr>
              <w:t>2.89</w:t>
            </w:r>
          </w:p>
        </w:tc>
        <w:tc>
          <w:tcPr>
            <w:tcW w:w="708" w:type="dxa"/>
            <w:shd w:val="clear" w:color="auto" w:fill="FFFFFF"/>
            <w:vAlign w:val="center"/>
          </w:tcPr>
          <w:p w14:paraId="182D33CC" w14:textId="77777777" w:rsidR="00A76ADB" w:rsidRDefault="00A76ADB" w:rsidP="007E3239">
            <w:pPr>
              <w:pStyle w:val="TableText"/>
              <w:spacing w:before="50" w:after="50"/>
              <w:jc w:val="center"/>
            </w:pPr>
            <w:r>
              <w:rPr>
                <w:rFonts w:eastAsia="Calibri"/>
                <w:color w:val="000000"/>
              </w:rPr>
              <w:t>3.57</w:t>
            </w:r>
          </w:p>
        </w:tc>
        <w:tc>
          <w:tcPr>
            <w:tcW w:w="709" w:type="dxa"/>
            <w:shd w:val="clear" w:color="auto" w:fill="FFFFFF"/>
            <w:vAlign w:val="center"/>
          </w:tcPr>
          <w:p w14:paraId="1928E983" w14:textId="77777777" w:rsidR="00A76ADB" w:rsidRDefault="00A76ADB" w:rsidP="007E3239">
            <w:pPr>
              <w:pStyle w:val="TableText"/>
              <w:spacing w:before="50" w:after="50"/>
              <w:jc w:val="center"/>
            </w:pPr>
            <w:r>
              <w:rPr>
                <w:rFonts w:eastAsia="Calibri"/>
                <w:color w:val="000000"/>
              </w:rPr>
              <w:t>42.77</w:t>
            </w:r>
          </w:p>
        </w:tc>
        <w:tc>
          <w:tcPr>
            <w:tcW w:w="2149" w:type="dxa"/>
            <w:shd w:val="clear" w:color="auto" w:fill="FFFFFF"/>
            <w:vAlign w:val="center"/>
          </w:tcPr>
          <w:p w14:paraId="5192F63E" w14:textId="77777777" w:rsidR="00A76ADB" w:rsidRDefault="00A76ADB" w:rsidP="007E3239">
            <w:pPr>
              <w:pStyle w:val="TableText"/>
              <w:spacing w:before="50" w:after="50"/>
            </w:pPr>
            <w:r>
              <w:rPr>
                <w:rFonts w:eastAsia="Calibri"/>
                <w:color w:val="000000"/>
              </w:rPr>
              <w:t>Interpolation</w:t>
            </w:r>
          </w:p>
        </w:tc>
      </w:tr>
      <w:tr w:rsidR="00A76ADB" w14:paraId="46153FAA" w14:textId="77777777" w:rsidTr="001D6E25">
        <w:trPr>
          <w:cantSplit/>
          <w:trHeight w:val="283"/>
        </w:trPr>
        <w:tc>
          <w:tcPr>
            <w:tcW w:w="795" w:type="dxa"/>
            <w:shd w:val="clear" w:color="auto" w:fill="FFFFFF"/>
            <w:vAlign w:val="center"/>
          </w:tcPr>
          <w:p w14:paraId="548158CC" w14:textId="77777777" w:rsidR="00A76ADB" w:rsidRDefault="00A76ADB" w:rsidP="007E3239">
            <w:pPr>
              <w:pStyle w:val="TableText"/>
              <w:spacing w:before="50" w:after="50"/>
            </w:pPr>
            <w:r>
              <w:rPr>
                <w:rFonts w:eastAsia="Calibri"/>
              </w:rPr>
              <w:t>2014</w:t>
            </w:r>
          </w:p>
        </w:tc>
        <w:tc>
          <w:tcPr>
            <w:tcW w:w="597" w:type="dxa"/>
            <w:shd w:val="clear" w:color="auto" w:fill="FFFFFF"/>
            <w:vAlign w:val="center"/>
          </w:tcPr>
          <w:p w14:paraId="01386B98" w14:textId="77777777" w:rsidR="00A76ADB" w:rsidRDefault="00A76ADB" w:rsidP="007E3239">
            <w:pPr>
              <w:pStyle w:val="TableText"/>
              <w:spacing w:before="50" w:after="50"/>
              <w:jc w:val="center"/>
            </w:pPr>
            <w:r>
              <w:rPr>
                <w:rFonts w:eastAsia="Calibri"/>
                <w:color w:val="000000"/>
              </w:rPr>
              <w:t>14.18</w:t>
            </w:r>
          </w:p>
        </w:tc>
        <w:tc>
          <w:tcPr>
            <w:tcW w:w="709" w:type="dxa"/>
            <w:shd w:val="clear" w:color="auto" w:fill="FFFFFF"/>
            <w:vAlign w:val="center"/>
          </w:tcPr>
          <w:p w14:paraId="6C8465C1" w14:textId="77777777" w:rsidR="00A76ADB" w:rsidRDefault="00A76ADB" w:rsidP="007E3239">
            <w:pPr>
              <w:pStyle w:val="TableText"/>
              <w:spacing w:before="50" w:after="50"/>
              <w:jc w:val="center"/>
            </w:pPr>
            <w:r>
              <w:rPr>
                <w:rFonts w:eastAsia="Calibri"/>
                <w:color w:val="000000"/>
              </w:rPr>
              <w:t>7.47</w:t>
            </w:r>
          </w:p>
        </w:tc>
        <w:tc>
          <w:tcPr>
            <w:tcW w:w="708" w:type="dxa"/>
            <w:shd w:val="clear" w:color="auto" w:fill="FFFFFF"/>
            <w:vAlign w:val="center"/>
          </w:tcPr>
          <w:p w14:paraId="2E409E84" w14:textId="77777777" w:rsidR="00A76ADB" w:rsidRDefault="00A76ADB" w:rsidP="007E3239">
            <w:pPr>
              <w:pStyle w:val="TableText"/>
              <w:spacing w:before="50" w:after="50"/>
              <w:jc w:val="center"/>
            </w:pPr>
            <w:r>
              <w:rPr>
                <w:rFonts w:eastAsia="Calibri"/>
                <w:color w:val="000000"/>
              </w:rPr>
              <w:t>9.08</w:t>
            </w:r>
          </w:p>
        </w:tc>
        <w:tc>
          <w:tcPr>
            <w:tcW w:w="709" w:type="dxa"/>
            <w:shd w:val="clear" w:color="auto" w:fill="FFFFFF"/>
            <w:vAlign w:val="center"/>
          </w:tcPr>
          <w:p w14:paraId="000E07A6" w14:textId="77777777" w:rsidR="00A76ADB" w:rsidRDefault="00A76ADB" w:rsidP="007E3239">
            <w:pPr>
              <w:pStyle w:val="TableText"/>
              <w:spacing w:before="50" w:after="50"/>
              <w:jc w:val="center"/>
            </w:pPr>
            <w:r>
              <w:rPr>
                <w:rFonts w:eastAsia="Calibri"/>
                <w:color w:val="000000"/>
              </w:rPr>
              <w:t>12.12</w:t>
            </w:r>
          </w:p>
        </w:tc>
        <w:tc>
          <w:tcPr>
            <w:tcW w:w="711" w:type="dxa"/>
            <w:shd w:val="clear" w:color="auto" w:fill="FFFFFF"/>
            <w:vAlign w:val="center"/>
          </w:tcPr>
          <w:p w14:paraId="354808AD" w14:textId="77777777" w:rsidR="00A76ADB" w:rsidRDefault="00A76ADB" w:rsidP="007E3239">
            <w:pPr>
              <w:pStyle w:val="TableText"/>
              <w:spacing w:before="50" w:after="50"/>
              <w:jc w:val="center"/>
            </w:pPr>
            <w:r>
              <w:rPr>
                <w:rFonts w:eastAsia="Calibri"/>
                <w:color w:val="000000"/>
              </w:rPr>
              <w:t>5.42</w:t>
            </w:r>
          </w:p>
        </w:tc>
        <w:tc>
          <w:tcPr>
            <w:tcW w:w="710" w:type="dxa"/>
            <w:shd w:val="clear" w:color="auto" w:fill="FFFFFF"/>
            <w:vAlign w:val="center"/>
          </w:tcPr>
          <w:p w14:paraId="2781B67C" w14:textId="77777777" w:rsidR="00A76ADB" w:rsidRDefault="00A76ADB" w:rsidP="007E3239">
            <w:pPr>
              <w:pStyle w:val="TableText"/>
              <w:spacing w:before="50" w:after="50"/>
              <w:jc w:val="center"/>
            </w:pPr>
            <w:r>
              <w:rPr>
                <w:rFonts w:eastAsia="Calibri"/>
                <w:color w:val="000000"/>
              </w:rPr>
              <w:t>2.8</w:t>
            </w:r>
          </w:p>
        </w:tc>
        <w:tc>
          <w:tcPr>
            <w:tcW w:w="708" w:type="dxa"/>
            <w:shd w:val="clear" w:color="auto" w:fill="FFFFFF"/>
            <w:vAlign w:val="center"/>
          </w:tcPr>
          <w:p w14:paraId="364267CC" w14:textId="77777777" w:rsidR="00A76ADB" w:rsidRDefault="00A76ADB" w:rsidP="007E3239">
            <w:pPr>
              <w:pStyle w:val="TableText"/>
              <w:spacing w:before="50" w:after="50"/>
              <w:jc w:val="center"/>
            </w:pPr>
            <w:r>
              <w:rPr>
                <w:rFonts w:eastAsia="Calibri"/>
                <w:color w:val="000000"/>
              </w:rPr>
              <w:t>3.24</w:t>
            </w:r>
          </w:p>
        </w:tc>
        <w:tc>
          <w:tcPr>
            <w:tcW w:w="709" w:type="dxa"/>
            <w:shd w:val="clear" w:color="auto" w:fill="FFFFFF"/>
            <w:vAlign w:val="center"/>
          </w:tcPr>
          <w:p w14:paraId="2C94D228" w14:textId="77777777" w:rsidR="00A76ADB" w:rsidRDefault="00A76ADB" w:rsidP="007E3239">
            <w:pPr>
              <w:pStyle w:val="TableText"/>
              <w:spacing w:before="50" w:after="50"/>
              <w:jc w:val="center"/>
            </w:pPr>
            <w:r>
              <w:rPr>
                <w:rFonts w:eastAsia="Calibri"/>
                <w:color w:val="000000"/>
              </w:rPr>
              <w:t>45.68</w:t>
            </w:r>
          </w:p>
        </w:tc>
        <w:tc>
          <w:tcPr>
            <w:tcW w:w="2149" w:type="dxa"/>
            <w:shd w:val="clear" w:color="auto" w:fill="FFFFFF"/>
            <w:vAlign w:val="center"/>
          </w:tcPr>
          <w:p w14:paraId="644F0239" w14:textId="77777777" w:rsidR="00A76ADB" w:rsidRDefault="00A76ADB" w:rsidP="007E3239">
            <w:pPr>
              <w:pStyle w:val="TableText"/>
              <w:spacing w:before="50" w:after="50"/>
            </w:pPr>
            <w:r>
              <w:rPr>
                <w:rFonts w:eastAsia="Calibri"/>
                <w:color w:val="000000"/>
              </w:rPr>
              <w:t>Interpolation</w:t>
            </w:r>
          </w:p>
        </w:tc>
      </w:tr>
      <w:tr w:rsidR="00A76ADB" w14:paraId="12F9E6A4" w14:textId="77777777" w:rsidTr="001D6E25">
        <w:trPr>
          <w:cantSplit/>
          <w:trHeight w:val="283"/>
        </w:trPr>
        <w:tc>
          <w:tcPr>
            <w:tcW w:w="795" w:type="dxa"/>
            <w:shd w:val="clear" w:color="auto" w:fill="FFFFFF"/>
            <w:vAlign w:val="center"/>
          </w:tcPr>
          <w:p w14:paraId="3838395F" w14:textId="77777777" w:rsidR="00A76ADB" w:rsidRDefault="00A76ADB" w:rsidP="007E3239">
            <w:pPr>
              <w:pStyle w:val="TableText"/>
              <w:spacing w:before="50" w:after="50"/>
            </w:pPr>
            <w:r>
              <w:rPr>
                <w:rFonts w:eastAsia="Calibri"/>
              </w:rPr>
              <w:t>2015</w:t>
            </w:r>
          </w:p>
        </w:tc>
        <w:tc>
          <w:tcPr>
            <w:tcW w:w="597" w:type="dxa"/>
            <w:shd w:val="clear" w:color="auto" w:fill="FFFFFF"/>
            <w:vAlign w:val="center"/>
          </w:tcPr>
          <w:p w14:paraId="5FFDB878" w14:textId="77777777" w:rsidR="00A76ADB" w:rsidRDefault="00A76ADB" w:rsidP="007E3239">
            <w:pPr>
              <w:pStyle w:val="TableText"/>
              <w:spacing w:before="50" w:after="50"/>
              <w:jc w:val="center"/>
            </w:pPr>
            <w:r>
              <w:rPr>
                <w:rFonts w:eastAsia="Calibri"/>
                <w:color w:val="000000"/>
              </w:rPr>
              <w:t>12.89</w:t>
            </w:r>
          </w:p>
        </w:tc>
        <w:tc>
          <w:tcPr>
            <w:tcW w:w="709" w:type="dxa"/>
            <w:shd w:val="clear" w:color="auto" w:fill="FFFFFF"/>
            <w:vAlign w:val="center"/>
          </w:tcPr>
          <w:p w14:paraId="239AADF6" w14:textId="77777777" w:rsidR="00A76ADB" w:rsidRDefault="00A76ADB" w:rsidP="007E3239">
            <w:pPr>
              <w:pStyle w:val="TableText"/>
              <w:spacing w:before="50" w:after="50"/>
              <w:jc w:val="center"/>
            </w:pPr>
            <w:r>
              <w:rPr>
                <w:rFonts w:eastAsia="Calibri"/>
                <w:color w:val="000000"/>
              </w:rPr>
              <w:t>7.04</w:t>
            </w:r>
          </w:p>
        </w:tc>
        <w:tc>
          <w:tcPr>
            <w:tcW w:w="708" w:type="dxa"/>
            <w:shd w:val="clear" w:color="auto" w:fill="FFFFFF"/>
            <w:vAlign w:val="center"/>
          </w:tcPr>
          <w:p w14:paraId="00106C18" w14:textId="77777777" w:rsidR="00A76ADB" w:rsidRDefault="00A76ADB" w:rsidP="007E3239">
            <w:pPr>
              <w:pStyle w:val="TableText"/>
              <w:spacing w:before="50" w:after="50"/>
              <w:jc w:val="center"/>
            </w:pPr>
            <w:r>
              <w:rPr>
                <w:rFonts w:eastAsia="Calibri"/>
                <w:color w:val="000000"/>
              </w:rPr>
              <w:t>8.29</w:t>
            </w:r>
          </w:p>
        </w:tc>
        <w:tc>
          <w:tcPr>
            <w:tcW w:w="709" w:type="dxa"/>
            <w:shd w:val="clear" w:color="auto" w:fill="FFFFFF"/>
            <w:vAlign w:val="center"/>
          </w:tcPr>
          <w:p w14:paraId="110F9144" w14:textId="77777777" w:rsidR="00A76ADB" w:rsidRDefault="00A76ADB" w:rsidP="007E3239">
            <w:pPr>
              <w:pStyle w:val="TableText"/>
              <w:spacing w:before="50" w:after="50"/>
              <w:jc w:val="center"/>
            </w:pPr>
            <w:r>
              <w:rPr>
                <w:rFonts w:eastAsia="Calibri"/>
                <w:color w:val="000000"/>
              </w:rPr>
              <w:t>12.25</w:t>
            </w:r>
          </w:p>
        </w:tc>
        <w:tc>
          <w:tcPr>
            <w:tcW w:w="711" w:type="dxa"/>
            <w:shd w:val="clear" w:color="auto" w:fill="FFFFFF"/>
            <w:vAlign w:val="center"/>
          </w:tcPr>
          <w:p w14:paraId="1D448831" w14:textId="77777777" w:rsidR="00A76ADB" w:rsidRDefault="00A76ADB" w:rsidP="007E3239">
            <w:pPr>
              <w:pStyle w:val="TableText"/>
              <w:spacing w:before="50" w:after="50"/>
              <w:jc w:val="center"/>
            </w:pPr>
            <w:r>
              <w:rPr>
                <w:rFonts w:eastAsia="Calibri"/>
                <w:color w:val="000000"/>
              </w:rPr>
              <w:t>5.32</w:t>
            </w:r>
          </w:p>
        </w:tc>
        <w:tc>
          <w:tcPr>
            <w:tcW w:w="710" w:type="dxa"/>
            <w:shd w:val="clear" w:color="auto" w:fill="FFFFFF"/>
            <w:vAlign w:val="center"/>
          </w:tcPr>
          <w:p w14:paraId="6929808E" w14:textId="77777777" w:rsidR="00A76ADB" w:rsidRDefault="00A76ADB" w:rsidP="007E3239">
            <w:pPr>
              <w:pStyle w:val="TableText"/>
              <w:spacing w:before="50" w:after="50"/>
              <w:jc w:val="center"/>
            </w:pPr>
            <w:r>
              <w:rPr>
                <w:rFonts w:eastAsia="Calibri"/>
                <w:color w:val="000000"/>
              </w:rPr>
              <w:t>2.72</w:t>
            </w:r>
          </w:p>
        </w:tc>
        <w:tc>
          <w:tcPr>
            <w:tcW w:w="708" w:type="dxa"/>
            <w:shd w:val="clear" w:color="auto" w:fill="FFFFFF"/>
            <w:vAlign w:val="center"/>
          </w:tcPr>
          <w:p w14:paraId="7835BD85" w14:textId="77777777" w:rsidR="00A76ADB" w:rsidRDefault="00A76ADB" w:rsidP="007E3239">
            <w:pPr>
              <w:pStyle w:val="TableText"/>
              <w:spacing w:before="50" w:after="50"/>
              <w:jc w:val="center"/>
            </w:pPr>
            <w:r>
              <w:rPr>
                <w:rFonts w:eastAsia="Calibri"/>
                <w:color w:val="000000"/>
              </w:rPr>
              <w:t>2.91</w:t>
            </w:r>
          </w:p>
        </w:tc>
        <w:tc>
          <w:tcPr>
            <w:tcW w:w="709" w:type="dxa"/>
            <w:shd w:val="clear" w:color="auto" w:fill="FFFFFF"/>
            <w:vAlign w:val="center"/>
          </w:tcPr>
          <w:p w14:paraId="40B493C6" w14:textId="77777777" w:rsidR="00A76ADB" w:rsidRDefault="00A76ADB" w:rsidP="007E3239">
            <w:pPr>
              <w:pStyle w:val="TableText"/>
              <w:spacing w:before="50" w:after="50"/>
              <w:jc w:val="center"/>
            </w:pPr>
            <w:r>
              <w:rPr>
                <w:rFonts w:eastAsia="Calibri"/>
                <w:color w:val="000000"/>
              </w:rPr>
              <w:t>48.59</w:t>
            </w:r>
          </w:p>
        </w:tc>
        <w:tc>
          <w:tcPr>
            <w:tcW w:w="2149" w:type="dxa"/>
            <w:shd w:val="clear" w:color="auto" w:fill="FFFFFF"/>
            <w:vAlign w:val="center"/>
          </w:tcPr>
          <w:p w14:paraId="6A95E187" w14:textId="77777777" w:rsidR="00A76ADB" w:rsidRDefault="00A76ADB" w:rsidP="007E3239">
            <w:pPr>
              <w:pStyle w:val="TableText"/>
              <w:spacing w:before="50" w:after="50"/>
            </w:pPr>
            <w:r>
              <w:rPr>
                <w:rFonts w:eastAsia="Calibri"/>
                <w:color w:val="000000"/>
              </w:rPr>
              <w:t>Interpolation</w:t>
            </w:r>
          </w:p>
        </w:tc>
      </w:tr>
      <w:tr w:rsidR="00A76ADB" w14:paraId="6CFDB8D2" w14:textId="77777777" w:rsidTr="001D6E25">
        <w:trPr>
          <w:cantSplit/>
          <w:trHeight w:val="283"/>
        </w:trPr>
        <w:tc>
          <w:tcPr>
            <w:tcW w:w="795" w:type="dxa"/>
            <w:shd w:val="clear" w:color="auto" w:fill="FFFFFF"/>
            <w:vAlign w:val="center"/>
          </w:tcPr>
          <w:p w14:paraId="1811D8F4" w14:textId="77777777" w:rsidR="00A76ADB" w:rsidRDefault="00A76ADB" w:rsidP="007E3239">
            <w:pPr>
              <w:pStyle w:val="TableText"/>
              <w:spacing w:before="50" w:after="50"/>
            </w:pPr>
            <w:r>
              <w:rPr>
                <w:rFonts w:eastAsia="Calibri"/>
              </w:rPr>
              <w:t>2016</w:t>
            </w:r>
          </w:p>
        </w:tc>
        <w:tc>
          <w:tcPr>
            <w:tcW w:w="597" w:type="dxa"/>
            <w:shd w:val="clear" w:color="auto" w:fill="FFFFFF"/>
            <w:vAlign w:val="center"/>
          </w:tcPr>
          <w:p w14:paraId="7FBCC507" w14:textId="77777777" w:rsidR="00A76ADB" w:rsidRDefault="00A76ADB" w:rsidP="007E3239">
            <w:pPr>
              <w:pStyle w:val="TableText"/>
              <w:spacing w:before="50" w:after="50"/>
              <w:jc w:val="center"/>
            </w:pPr>
            <w:r>
              <w:rPr>
                <w:rFonts w:eastAsia="Calibri"/>
                <w:color w:val="000000"/>
              </w:rPr>
              <w:t>11.6</w:t>
            </w:r>
          </w:p>
        </w:tc>
        <w:tc>
          <w:tcPr>
            <w:tcW w:w="709" w:type="dxa"/>
            <w:shd w:val="clear" w:color="auto" w:fill="FFFFFF"/>
            <w:vAlign w:val="center"/>
          </w:tcPr>
          <w:p w14:paraId="07DFAD2F" w14:textId="77777777" w:rsidR="00A76ADB" w:rsidRDefault="00A76ADB" w:rsidP="007E3239">
            <w:pPr>
              <w:pStyle w:val="TableText"/>
              <w:spacing w:before="50" w:after="50"/>
              <w:jc w:val="center"/>
            </w:pPr>
            <w:r>
              <w:rPr>
                <w:rFonts w:eastAsia="Calibri"/>
                <w:color w:val="000000"/>
              </w:rPr>
              <w:t>6.6</w:t>
            </w:r>
          </w:p>
        </w:tc>
        <w:tc>
          <w:tcPr>
            <w:tcW w:w="708" w:type="dxa"/>
            <w:shd w:val="clear" w:color="auto" w:fill="FFFFFF"/>
            <w:vAlign w:val="center"/>
          </w:tcPr>
          <w:p w14:paraId="2B039F7E" w14:textId="77777777" w:rsidR="00A76ADB" w:rsidRDefault="00A76ADB" w:rsidP="007E3239">
            <w:pPr>
              <w:pStyle w:val="TableText"/>
              <w:spacing w:before="50" w:after="50"/>
              <w:jc w:val="center"/>
            </w:pPr>
            <w:r>
              <w:rPr>
                <w:rFonts w:eastAsia="Calibri"/>
                <w:color w:val="000000"/>
              </w:rPr>
              <w:t>7.49</w:t>
            </w:r>
          </w:p>
        </w:tc>
        <w:tc>
          <w:tcPr>
            <w:tcW w:w="709" w:type="dxa"/>
            <w:shd w:val="clear" w:color="auto" w:fill="FFFFFF"/>
            <w:vAlign w:val="center"/>
          </w:tcPr>
          <w:p w14:paraId="450A8030" w14:textId="77777777" w:rsidR="00A76ADB" w:rsidRDefault="00A76ADB" w:rsidP="007E3239">
            <w:pPr>
              <w:pStyle w:val="TableText"/>
              <w:spacing w:before="50" w:after="50"/>
              <w:jc w:val="center"/>
            </w:pPr>
            <w:r>
              <w:rPr>
                <w:rFonts w:eastAsia="Calibri"/>
                <w:color w:val="000000"/>
              </w:rPr>
              <w:t>12.37</w:t>
            </w:r>
          </w:p>
        </w:tc>
        <w:tc>
          <w:tcPr>
            <w:tcW w:w="711" w:type="dxa"/>
            <w:shd w:val="clear" w:color="auto" w:fill="FFFFFF"/>
            <w:vAlign w:val="center"/>
          </w:tcPr>
          <w:p w14:paraId="3EE47BFE" w14:textId="77777777" w:rsidR="00A76ADB" w:rsidRDefault="00A76ADB" w:rsidP="007E3239">
            <w:pPr>
              <w:pStyle w:val="TableText"/>
              <w:spacing w:before="50" w:after="50"/>
              <w:jc w:val="center"/>
            </w:pPr>
            <w:r>
              <w:rPr>
                <w:rFonts w:eastAsia="Calibri"/>
                <w:color w:val="000000"/>
              </w:rPr>
              <w:t>5.22</w:t>
            </w:r>
          </w:p>
        </w:tc>
        <w:tc>
          <w:tcPr>
            <w:tcW w:w="710" w:type="dxa"/>
            <w:shd w:val="clear" w:color="auto" w:fill="FFFFFF"/>
            <w:vAlign w:val="center"/>
          </w:tcPr>
          <w:p w14:paraId="5E758ED9" w14:textId="77777777" w:rsidR="00A76ADB" w:rsidRDefault="00A76ADB" w:rsidP="007E3239">
            <w:pPr>
              <w:pStyle w:val="TableText"/>
              <w:spacing w:before="50" w:after="50"/>
              <w:jc w:val="center"/>
            </w:pPr>
            <w:r>
              <w:rPr>
                <w:rFonts w:eastAsia="Calibri"/>
                <w:color w:val="000000"/>
              </w:rPr>
              <w:t>2.64</w:t>
            </w:r>
          </w:p>
        </w:tc>
        <w:tc>
          <w:tcPr>
            <w:tcW w:w="708" w:type="dxa"/>
            <w:shd w:val="clear" w:color="auto" w:fill="FFFFFF"/>
            <w:vAlign w:val="center"/>
          </w:tcPr>
          <w:p w14:paraId="5EF5F0EC" w14:textId="77777777" w:rsidR="00A76ADB" w:rsidRDefault="00A76ADB" w:rsidP="007E3239">
            <w:pPr>
              <w:pStyle w:val="TableText"/>
              <w:spacing w:before="50" w:after="50"/>
              <w:jc w:val="center"/>
            </w:pPr>
            <w:r>
              <w:rPr>
                <w:rFonts w:eastAsia="Calibri"/>
                <w:color w:val="000000"/>
              </w:rPr>
              <w:t>2.58</w:t>
            </w:r>
          </w:p>
        </w:tc>
        <w:tc>
          <w:tcPr>
            <w:tcW w:w="709" w:type="dxa"/>
            <w:shd w:val="clear" w:color="auto" w:fill="FFFFFF"/>
            <w:vAlign w:val="center"/>
          </w:tcPr>
          <w:p w14:paraId="1C2882A0" w14:textId="77777777" w:rsidR="00A76ADB" w:rsidRDefault="00A76ADB" w:rsidP="007E3239">
            <w:pPr>
              <w:pStyle w:val="TableText"/>
              <w:spacing w:before="50" w:after="50"/>
              <w:jc w:val="center"/>
            </w:pPr>
            <w:r>
              <w:rPr>
                <w:rFonts w:eastAsia="Calibri"/>
                <w:color w:val="000000"/>
              </w:rPr>
              <w:t>51.5</w:t>
            </w:r>
          </w:p>
        </w:tc>
        <w:tc>
          <w:tcPr>
            <w:tcW w:w="2149" w:type="dxa"/>
            <w:shd w:val="clear" w:color="auto" w:fill="FFFFFF"/>
            <w:vAlign w:val="center"/>
          </w:tcPr>
          <w:p w14:paraId="5927F563" w14:textId="77777777" w:rsidR="00A76ADB" w:rsidRDefault="00A76ADB" w:rsidP="007E3239">
            <w:pPr>
              <w:pStyle w:val="TableText"/>
              <w:spacing w:before="50" w:after="50"/>
            </w:pPr>
            <w:r>
              <w:rPr>
                <w:rFonts w:eastAsia="Calibri"/>
                <w:color w:val="000000"/>
              </w:rPr>
              <w:t>Interpolation</w:t>
            </w:r>
          </w:p>
        </w:tc>
      </w:tr>
      <w:tr w:rsidR="00A76ADB" w14:paraId="2F4C64E8" w14:textId="77777777" w:rsidTr="001D6E25">
        <w:trPr>
          <w:cantSplit/>
          <w:trHeight w:val="283"/>
        </w:trPr>
        <w:tc>
          <w:tcPr>
            <w:tcW w:w="795" w:type="dxa"/>
            <w:shd w:val="clear" w:color="auto" w:fill="FFFFFF"/>
            <w:vAlign w:val="center"/>
          </w:tcPr>
          <w:p w14:paraId="5CA832AB" w14:textId="77777777" w:rsidR="00A76ADB" w:rsidRDefault="00A76ADB" w:rsidP="007E3239">
            <w:pPr>
              <w:pStyle w:val="TableText"/>
              <w:spacing w:before="50" w:after="50"/>
            </w:pPr>
            <w:r>
              <w:rPr>
                <w:rFonts w:eastAsia="Calibri"/>
              </w:rPr>
              <w:t>2017</w:t>
            </w:r>
          </w:p>
        </w:tc>
        <w:tc>
          <w:tcPr>
            <w:tcW w:w="597" w:type="dxa"/>
            <w:shd w:val="clear" w:color="auto" w:fill="FFFFFF"/>
            <w:vAlign w:val="center"/>
          </w:tcPr>
          <w:p w14:paraId="3BACB6FE" w14:textId="77777777" w:rsidR="00A76ADB" w:rsidRDefault="00A76ADB" w:rsidP="007E3239">
            <w:pPr>
              <w:pStyle w:val="TableText"/>
              <w:spacing w:before="50" w:after="50"/>
              <w:jc w:val="center"/>
            </w:pPr>
            <w:r>
              <w:rPr>
                <w:rFonts w:eastAsia="Calibri"/>
                <w:color w:val="000000"/>
              </w:rPr>
              <w:t>10.3</w:t>
            </w:r>
          </w:p>
        </w:tc>
        <w:tc>
          <w:tcPr>
            <w:tcW w:w="709" w:type="dxa"/>
            <w:shd w:val="clear" w:color="auto" w:fill="FFFFFF"/>
            <w:vAlign w:val="center"/>
          </w:tcPr>
          <w:p w14:paraId="6BF50530" w14:textId="77777777" w:rsidR="00A76ADB" w:rsidRDefault="00A76ADB" w:rsidP="007E3239">
            <w:pPr>
              <w:pStyle w:val="TableText"/>
              <w:spacing w:before="50" w:after="50"/>
              <w:jc w:val="center"/>
            </w:pPr>
            <w:r>
              <w:rPr>
                <w:rFonts w:eastAsia="Calibri"/>
                <w:color w:val="000000"/>
              </w:rPr>
              <w:t>6.17</w:t>
            </w:r>
          </w:p>
        </w:tc>
        <w:tc>
          <w:tcPr>
            <w:tcW w:w="708" w:type="dxa"/>
            <w:shd w:val="clear" w:color="auto" w:fill="FFFFFF"/>
            <w:vAlign w:val="center"/>
          </w:tcPr>
          <w:p w14:paraId="31D4F740" w14:textId="77777777" w:rsidR="00A76ADB" w:rsidRDefault="00A76ADB" w:rsidP="007E3239">
            <w:pPr>
              <w:pStyle w:val="TableText"/>
              <w:spacing w:before="50" w:after="50"/>
              <w:jc w:val="center"/>
            </w:pPr>
            <w:r>
              <w:rPr>
                <w:rFonts w:eastAsia="Calibri"/>
                <w:color w:val="000000"/>
              </w:rPr>
              <w:t>6.69</w:t>
            </w:r>
          </w:p>
        </w:tc>
        <w:tc>
          <w:tcPr>
            <w:tcW w:w="709" w:type="dxa"/>
            <w:shd w:val="clear" w:color="auto" w:fill="FFFFFF"/>
            <w:vAlign w:val="center"/>
          </w:tcPr>
          <w:p w14:paraId="521E32FB" w14:textId="77777777" w:rsidR="00A76ADB" w:rsidRDefault="00A76ADB" w:rsidP="007E3239">
            <w:pPr>
              <w:pStyle w:val="TableText"/>
              <w:spacing w:before="50" w:after="50"/>
              <w:jc w:val="center"/>
            </w:pPr>
            <w:r>
              <w:rPr>
                <w:rFonts w:eastAsia="Calibri"/>
                <w:color w:val="000000"/>
              </w:rPr>
              <w:t>12.5</w:t>
            </w:r>
          </w:p>
        </w:tc>
        <w:tc>
          <w:tcPr>
            <w:tcW w:w="711" w:type="dxa"/>
            <w:shd w:val="clear" w:color="auto" w:fill="FFFFFF"/>
            <w:vAlign w:val="center"/>
          </w:tcPr>
          <w:p w14:paraId="6B96B421" w14:textId="77777777" w:rsidR="00A76ADB" w:rsidRDefault="00A76ADB" w:rsidP="007E3239">
            <w:pPr>
              <w:pStyle w:val="TableText"/>
              <w:spacing w:before="50" w:after="50"/>
              <w:jc w:val="center"/>
            </w:pPr>
            <w:r>
              <w:rPr>
                <w:rFonts w:eastAsia="Calibri"/>
                <w:color w:val="000000"/>
              </w:rPr>
              <w:t>5.12</w:t>
            </w:r>
          </w:p>
        </w:tc>
        <w:tc>
          <w:tcPr>
            <w:tcW w:w="710" w:type="dxa"/>
            <w:shd w:val="clear" w:color="auto" w:fill="FFFFFF"/>
            <w:vAlign w:val="center"/>
          </w:tcPr>
          <w:p w14:paraId="0F8933E0" w14:textId="77777777" w:rsidR="00A76ADB" w:rsidRDefault="00A76ADB" w:rsidP="007E3239">
            <w:pPr>
              <w:pStyle w:val="TableText"/>
              <w:spacing w:before="50" w:after="50"/>
              <w:jc w:val="center"/>
            </w:pPr>
            <w:r>
              <w:rPr>
                <w:rFonts w:eastAsia="Calibri"/>
                <w:color w:val="000000"/>
              </w:rPr>
              <w:t>2.55</w:t>
            </w:r>
          </w:p>
        </w:tc>
        <w:tc>
          <w:tcPr>
            <w:tcW w:w="708" w:type="dxa"/>
            <w:shd w:val="clear" w:color="auto" w:fill="FFFFFF"/>
            <w:vAlign w:val="center"/>
          </w:tcPr>
          <w:p w14:paraId="1D97E2C8" w14:textId="77777777" w:rsidR="00A76ADB" w:rsidRDefault="00A76ADB" w:rsidP="007E3239">
            <w:pPr>
              <w:pStyle w:val="TableText"/>
              <w:spacing w:before="50" w:after="50"/>
              <w:jc w:val="center"/>
            </w:pPr>
            <w:r>
              <w:rPr>
                <w:rFonts w:eastAsia="Calibri"/>
                <w:color w:val="000000"/>
              </w:rPr>
              <w:t>2.25</w:t>
            </w:r>
          </w:p>
        </w:tc>
        <w:tc>
          <w:tcPr>
            <w:tcW w:w="709" w:type="dxa"/>
            <w:shd w:val="clear" w:color="auto" w:fill="FFFFFF"/>
            <w:vAlign w:val="center"/>
          </w:tcPr>
          <w:p w14:paraId="66E3D44B" w14:textId="77777777" w:rsidR="00A76ADB" w:rsidRDefault="00A76ADB" w:rsidP="007E3239">
            <w:pPr>
              <w:pStyle w:val="TableText"/>
              <w:spacing w:before="50" w:after="50"/>
              <w:jc w:val="center"/>
            </w:pPr>
            <w:r>
              <w:rPr>
                <w:rFonts w:eastAsia="Calibri"/>
                <w:color w:val="000000"/>
              </w:rPr>
              <w:t>54.41</w:t>
            </w:r>
          </w:p>
        </w:tc>
        <w:tc>
          <w:tcPr>
            <w:tcW w:w="2149" w:type="dxa"/>
            <w:shd w:val="clear" w:color="auto" w:fill="FFFFFF"/>
            <w:vAlign w:val="center"/>
          </w:tcPr>
          <w:p w14:paraId="4D541F95" w14:textId="77777777" w:rsidR="00A76ADB" w:rsidRDefault="00A76ADB" w:rsidP="007E3239">
            <w:pPr>
              <w:pStyle w:val="TableText"/>
              <w:spacing w:before="50" w:after="50"/>
            </w:pPr>
            <w:r>
              <w:rPr>
                <w:rFonts w:eastAsia="Calibri"/>
                <w:color w:val="000000"/>
              </w:rPr>
              <w:t>Interpolation</w:t>
            </w:r>
          </w:p>
        </w:tc>
      </w:tr>
      <w:tr w:rsidR="00A76ADB" w14:paraId="2475D971" w14:textId="77777777" w:rsidTr="001D6E25">
        <w:trPr>
          <w:cantSplit/>
          <w:trHeight w:val="283"/>
        </w:trPr>
        <w:tc>
          <w:tcPr>
            <w:tcW w:w="795" w:type="dxa"/>
            <w:shd w:val="clear" w:color="auto" w:fill="FFFFFF"/>
            <w:vAlign w:val="center"/>
          </w:tcPr>
          <w:p w14:paraId="20C7E097" w14:textId="77777777" w:rsidR="00A76ADB" w:rsidRDefault="00A76ADB" w:rsidP="007E3239">
            <w:pPr>
              <w:pStyle w:val="TableText"/>
              <w:spacing w:before="50" w:after="50"/>
            </w:pPr>
            <w:r>
              <w:rPr>
                <w:rFonts w:eastAsia="Calibri"/>
              </w:rPr>
              <w:t>2018</w:t>
            </w:r>
          </w:p>
        </w:tc>
        <w:tc>
          <w:tcPr>
            <w:tcW w:w="597" w:type="dxa"/>
            <w:shd w:val="clear" w:color="auto" w:fill="FFFFFF"/>
            <w:vAlign w:val="center"/>
          </w:tcPr>
          <w:p w14:paraId="2EFFBF32" w14:textId="77777777" w:rsidR="00A76ADB" w:rsidRDefault="00A76ADB" w:rsidP="007E3239">
            <w:pPr>
              <w:pStyle w:val="TableText"/>
              <w:spacing w:before="50" w:after="50"/>
              <w:jc w:val="center"/>
            </w:pPr>
            <w:r>
              <w:rPr>
                <w:rFonts w:eastAsia="Calibri"/>
                <w:color w:val="000000"/>
              </w:rPr>
              <w:t>9.01</w:t>
            </w:r>
          </w:p>
        </w:tc>
        <w:tc>
          <w:tcPr>
            <w:tcW w:w="709" w:type="dxa"/>
            <w:shd w:val="clear" w:color="auto" w:fill="FFFFFF"/>
            <w:vAlign w:val="center"/>
          </w:tcPr>
          <w:p w14:paraId="2456BFCD" w14:textId="77777777" w:rsidR="00A76ADB" w:rsidRDefault="00A76ADB" w:rsidP="007E3239">
            <w:pPr>
              <w:pStyle w:val="TableText"/>
              <w:spacing w:before="50" w:after="50"/>
              <w:jc w:val="center"/>
            </w:pPr>
            <w:r>
              <w:rPr>
                <w:rFonts w:eastAsia="Calibri"/>
                <w:color w:val="000000"/>
              </w:rPr>
              <w:t>5.74</w:t>
            </w:r>
          </w:p>
        </w:tc>
        <w:tc>
          <w:tcPr>
            <w:tcW w:w="708" w:type="dxa"/>
            <w:shd w:val="clear" w:color="auto" w:fill="FFFFFF"/>
            <w:vAlign w:val="center"/>
          </w:tcPr>
          <w:p w14:paraId="2F08DEC2" w14:textId="77777777" w:rsidR="00A76ADB" w:rsidRDefault="00A76ADB" w:rsidP="007E3239">
            <w:pPr>
              <w:pStyle w:val="TableText"/>
              <w:spacing w:before="50" w:after="50"/>
              <w:jc w:val="center"/>
            </w:pPr>
            <w:r>
              <w:rPr>
                <w:rFonts w:eastAsia="Calibri"/>
                <w:color w:val="000000"/>
              </w:rPr>
              <w:t>5.89</w:t>
            </w:r>
          </w:p>
        </w:tc>
        <w:tc>
          <w:tcPr>
            <w:tcW w:w="709" w:type="dxa"/>
            <w:shd w:val="clear" w:color="auto" w:fill="FFFFFF"/>
            <w:vAlign w:val="center"/>
          </w:tcPr>
          <w:p w14:paraId="025696AA" w14:textId="77777777" w:rsidR="00A76ADB" w:rsidRDefault="00A76ADB" w:rsidP="007E3239">
            <w:pPr>
              <w:pStyle w:val="TableText"/>
              <w:spacing w:before="50" w:after="50"/>
              <w:jc w:val="center"/>
            </w:pPr>
            <w:r>
              <w:rPr>
                <w:rFonts w:eastAsia="Calibri"/>
                <w:color w:val="000000"/>
              </w:rPr>
              <w:t>12.62</w:t>
            </w:r>
          </w:p>
        </w:tc>
        <w:tc>
          <w:tcPr>
            <w:tcW w:w="711" w:type="dxa"/>
            <w:shd w:val="clear" w:color="auto" w:fill="FFFFFF"/>
            <w:vAlign w:val="center"/>
          </w:tcPr>
          <w:p w14:paraId="4EDEB799" w14:textId="77777777" w:rsidR="00A76ADB" w:rsidRDefault="00A76ADB" w:rsidP="007E3239">
            <w:pPr>
              <w:pStyle w:val="TableText"/>
              <w:spacing w:before="50" w:after="50"/>
              <w:jc w:val="center"/>
            </w:pPr>
            <w:r>
              <w:rPr>
                <w:rFonts w:eastAsia="Calibri"/>
                <w:color w:val="000000"/>
              </w:rPr>
              <w:t>5.02</w:t>
            </w:r>
          </w:p>
        </w:tc>
        <w:tc>
          <w:tcPr>
            <w:tcW w:w="710" w:type="dxa"/>
            <w:shd w:val="clear" w:color="auto" w:fill="FFFFFF"/>
            <w:vAlign w:val="center"/>
          </w:tcPr>
          <w:p w14:paraId="51363922" w14:textId="77777777" w:rsidR="00A76ADB" w:rsidRDefault="00A76ADB" w:rsidP="007E3239">
            <w:pPr>
              <w:pStyle w:val="TableText"/>
              <w:spacing w:before="50" w:after="50"/>
              <w:jc w:val="center"/>
            </w:pPr>
            <w:r>
              <w:rPr>
                <w:rFonts w:eastAsia="Calibri"/>
                <w:color w:val="000000"/>
              </w:rPr>
              <w:t>2.47</w:t>
            </w:r>
          </w:p>
        </w:tc>
        <w:tc>
          <w:tcPr>
            <w:tcW w:w="708" w:type="dxa"/>
            <w:shd w:val="clear" w:color="auto" w:fill="FFFFFF"/>
            <w:vAlign w:val="center"/>
          </w:tcPr>
          <w:p w14:paraId="283AA1F3" w14:textId="77777777" w:rsidR="00A76ADB" w:rsidRDefault="00A76ADB" w:rsidP="007E3239">
            <w:pPr>
              <w:pStyle w:val="TableText"/>
              <w:spacing w:before="50" w:after="50"/>
              <w:jc w:val="center"/>
            </w:pPr>
            <w:r>
              <w:rPr>
                <w:rFonts w:eastAsia="Calibri"/>
                <w:color w:val="000000"/>
              </w:rPr>
              <w:t>1.92</w:t>
            </w:r>
          </w:p>
        </w:tc>
        <w:tc>
          <w:tcPr>
            <w:tcW w:w="709" w:type="dxa"/>
            <w:shd w:val="clear" w:color="auto" w:fill="FFFFFF"/>
            <w:vAlign w:val="center"/>
          </w:tcPr>
          <w:p w14:paraId="6C639D86" w14:textId="77777777" w:rsidR="00A76ADB" w:rsidRDefault="00A76ADB" w:rsidP="007E3239">
            <w:pPr>
              <w:pStyle w:val="TableText"/>
              <w:spacing w:before="50" w:after="50"/>
              <w:jc w:val="center"/>
            </w:pPr>
            <w:r>
              <w:rPr>
                <w:rFonts w:eastAsia="Calibri"/>
                <w:color w:val="000000"/>
              </w:rPr>
              <w:t>57.32</w:t>
            </w:r>
          </w:p>
        </w:tc>
        <w:tc>
          <w:tcPr>
            <w:tcW w:w="2149" w:type="dxa"/>
            <w:shd w:val="clear" w:color="auto" w:fill="FFFFFF"/>
            <w:vAlign w:val="center"/>
          </w:tcPr>
          <w:p w14:paraId="449F0B00" w14:textId="77777777" w:rsidR="00A76ADB" w:rsidRDefault="00A76ADB" w:rsidP="007E3239">
            <w:pPr>
              <w:pStyle w:val="TableText"/>
              <w:spacing w:before="50" w:after="50"/>
            </w:pPr>
            <w:r>
              <w:rPr>
                <w:rFonts w:eastAsia="Calibri"/>
                <w:color w:val="000000"/>
              </w:rPr>
              <w:t>Survey</w:t>
            </w:r>
          </w:p>
        </w:tc>
      </w:tr>
      <w:tr w:rsidR="00A76ADB" w14:paraId="7C7DF9B3" w14:textId="77777777" w:rsidTr="001D6E25">
        <w:trPr>
          <w:cantSplit/>
          <w:trHeight w:val="283"/>
        </w:trPr>
        <w:tc>
          <w:tcPr>
            <w:tcW w:w="795" w:type="dxa"/>
            <w:shd w:val="clear" w:color="auto" w:fill="FFFFFF"/>
            <w:vAlign w:val="center"/>
          </w:tcPr>
          <w:p w14:paraId="582380BE" w14:textId="77777777" w:rsidR="00A76ADB" w:rsidRDefault="00A76ADB" w:rsidP="007E3239">
            <w:pPr>
              <w:pStyle w:val="TableText"/>
              <w:spacing w:before="50" w:after="50"/>
            </w:pPr>
            <w:r>
              <w:rPr>
                <w:rFonts w:eastAsia="Calibri"/>
              </w:rPr>
              <w:t>2019</w:t>
            </w:r>
          </w:p>
        </w:tc>
        <w:tc>
          <w:tcPr>
            <w:tcW w:w="597" w:type="dxa"/>
            <w:shd w:val="clear" w:color="auto" w:fill="FFFFFF"/>
            <w:vAlign w:val="center"/>
          </w:tcPr>
          <w:p w14:paraId="650ED7CE" w14:textId="77777777" w:rsidR="00A76ADB" w:rsidRDefault="00A76ADB" w:rsidP="007E3239">
            <w:pPr>
              <w:pStyle w:val="TableText"/>
              <w:spacing w:before="50" w:after="50"/>
              <w:jc w:val="center"/>
            </w:pPr>
            <w:r>
              <w:rPr>
                <w:rFonts w:eastAsia="Calibri"/>
                <w:color w:val="000000"/>
              </w:rPr>
              <w:t>9.01</w:t>
            </w:r>
          </w:p>
        </w:tc>
        <w:tc>
          <w:tcPr>
            <w:tcW w:w="709" w:type="dxa"/>
            <w:shd w:val="clear" w:color="auto" w:fill="FFFFFF"/>
            <w:vAlign w:val="center"/>
          </w:tcPr>
          <w:p w14:paraId="0579F16D" w14:textId="77777777" w:rsidR="00A76ADB" w:rsidRDefault="00A76ADB" w:rsidP="007E3239">
            <w:pPr>
              <w:pStyle w:val="TableText"/>
              <w:spacing w:before="50" w:after="50"/>
              <w:jc w:val="center"/>
            </w:pPr>
            <w:r>
              <w:rPr>
                <w:rFonts w:eastAsia="Calibri"/>
                <w:color w:val="000000"/>
              </w:rPr>
              <w:t>5.74</w:t>
            </w:r>
          </w:p>
        </w:tc>
        <w:tc>
          <w:tcPr>
            <w:tcW w:w="708" w:type="dxa"/>
            <w:shd w:val="clear" w:color="auto" w:fill="FFFFFF"/>
            <w:vAlign w:val="center"/>
          </w:tcPr>
          <w:p w14:paraId="322F922E" w14:textId="77777777" w:rsidR="00A76ADB" w:rsidRDefault="00A76ADB" w:rsidP="007E3239">
            <w:pPr>
              <w:pStyle w:val="TableText"/>
              <w:spacing w:before="50" w:after="50"/>
              <w:jc w:val="center"/>
            </w:pPr>
            <w:r>
              <w:rPr>
                <w:rFonts w:eastAsia="Calibri"/>
                <w:color w:val="000000"/>
              </w:rPr>
              <w:t>5.89</w:t>
            </w:r>
          </w:p>
        </w:tc>
        <w:tc>
          <w:tcPr>
            <w:tcW w:w="709" w:type="dxa"/>
            <w:shd w:val="clear" w:color="auto" w:fill="FFFFFF"/>
            <w:vAlign w:val="center"/>
          </w:tcPr>
          <w:p w14:paraId="6607AF4C" w14:textId="77777777" w:rsidR="00A76ADB" w:rsidRDefault="00A76ADB" w:rsidP="007E3239">
            <w:pPr>
              <w:pStyle w:val="TableText"/>
              <w:spacing w:before="50" w:after="50"/>
              <w:jc w:val="center"/>
            </w:pPr>
            <w:r>
              <w:rPr>
                <w:rFonts w:eastAsia="Calibri"/>
                <w:color w:val="000000"/>
              </w:rPr>
              <w:t>12.62</w:t>
            </w:r>
          </w:p>
        </w:tc>
        <w:tc>
          <w:tcPr>
            <w:tcW w:w="711" w:type="dxa"/>
            <w:shd w:val="clear" w:color="auto" w:fill="FFFFFF"/>
            <w:vAlign w:val="center"/>
          </w:tcPr>
          <w:p w14:paraId="4FDCE67A" w14:textId="77777777" w:rsidR="00A76ADB" w:rsidRDefault="00A76ADB" w:rsidP="007E3239">
            <w:pPr>
              <w:pStyle w:val="TableText"/>
              <w:spacing w:before="50" w:after="50"/>
              <w:jc w:val="center"/>
            </w:pPr>
            <w:r>
              <w:rPr>
                <w:rFonts w:eastAsia="Calibri"/>
                <w:color w:val="000000"/>
              </w:rPr>
              <w:t>5.02</w:t>
            </w:r>
          </w:p>
        </w:tc>
        <w:tc>
          <w:tcPr>
            <w:tcW w:w="710" w:type="dxa"/>
            <w:shd w:val="clear" w:color="auto" w:fill="FFFFFF"/>
            <w:vAlign w:val="center"/>
          </w:tcPr>
          <w:p w14:paraId="6882B76D" w14:textId="77777777" w:rsidR="00A76ADB" w:rsidRDefault="00A76ADB" w:rsidP="007E3239">
            <w:pPr>
              <w:pStyle w:val="TableText"/>
              <w:spacing w:before="50" w:after="50"/>
              <w:jc w:val="center"/>
            </w:pPr>
            <w:r>
              <w:rPr>
                <w:rFonts w:eastAsia="Calibri"/>
                <w:color w:val="000000"/>
              </w:rPr>
              <w:t>2.47</w:t>
            </w:r>
          </w:p>
        </w:tc>
        <w:tc>
          <w:tcPr>
            <w:tcW w:w="708" w:type="dxa"/>
            <w:shd w:val="clear" w:color="auto" w:fill="FFFFFF"/>
            <w:vAlign w:val="center"/>
          </w:tcPr>
          <w:p w14:paraId="79C3BA05" w14:textId="77777777" w:rsidR="00A76ADB" w:rsidRDefault="00A76ADB" w:rsidP="007E3239">
            <w:pPr>
              <w:pStyle w:val="TableText"/>
              <w:spacing w:before="50" w:after="50"/>
              <w:jc w:val="center"/>
            </w:pPr>
            <w:r>
              <w:rPr>
                <w:rFonts w:eastAsia="Calibri"/>
                <w:color w:val="000000"/>
              </w:rPr>
              <w:t>1.92</w:t>
            </w:r>
          </w:p>
        </w:tc>
        <w:tc>
          <w:tcPr>
            <w:tcW w:w="709" w:type="dxa"/>
            <w:shd w:val="clear" w:color="auto" w:fill="FFFFFF"/>
            <w:vAlign w:val="center"/>
          </w:tcPr>
          <w:p w14:paraId="64C44175" w14:textId="77777777" w:rsidR="00A76ADB" w:rsidRDefault="00A76ADB" w:rsidP="007E3239">
            <w:pPr>
              <w:pStyle w:val="TableText"/>
              <w:spacing w:before="50" w:after="50"/>
              <w:jc w:val="center"/>
            </w:pPr>
            <w:r>
              <w:rPr>
                <w:rFonts w:eastAsia="Calibri"/>
                <w:color w:val="000000"/>
              </w:rPr>
              <w:t>57.32</w:t>
            </w:r>
          </w:p>
        </w:tc>
        <w:tc>
          <w:tcPr>
            <w:tcW w:w="2149" w:type="dxa"/>
            <w:shd w:val="clear" w:color="auto" w:fill="FFFFFF"/>
            <w:vAlign w:val="center"/>
          </w:tcPr>
          <w:p w14:paraId="58101838" w14:textId="77777777" w:rsidR="00A76ADB" w:rsidRDefault="00A76ADB" w:rsidP="007E3239">
            <w:pPr>
              <w:pStyle w:val="TableText"/>
              <w:spacing w:before="50" w:after="50"/>
            </w:pPr>
            <w:r>
              <w:rPr>
                <w:rFonts w:eastAsia="Calibri"/>
                <w:color w:val="000000"/>
              </w:rPr>
              <w:t>Assumed same as 2018</w:t>
            </w:r>
          </w:p>
        </w:tc>
      </w:tr>
      <w:tr w:rsidR="00A76ADB" w14:paraId="0EC96F89" w14:textId="77777777" w:rsidTr="001D6E25">
        <w:trPr>
          <w:cantSplit/>
          <w:trHeight w:val="283"/>
        </w:trPr>
        <w:tc>
          <w:tcPr>
            <w:tcW w:w="795" w:type="dxa"/>
            <w:shd w:val="clear" w:color="auto" w:fill="FFFFFF"/>
            <w:vAlign w:val="center"/>
          </w:tcPr>
          <w:p w14:paraId="07E154AC" w14:textId="77777777" w:rsidR="00A76ADB" w:rsidRDefault="00A76ADB" w:rsidP="007E3239">
            <w:pPr>
              <w:pStyle w:val="TableText"/>
              <w:spacing w:before="50" w:after="50"/>
            </w:pPr>
            <w:r>
              <w:rPr>
                <w:rFonts w:eastAsia="Calibri"/>
              </w:rPr>
              <w:t>2020</w:t>
            </w:r>
          </w:p>
        </w:tc>
        <w:tc>
          <w:tcPr>
            <w:tcW w:w="597" w:type="dxa"/>
            <w:shd w:val="clear" w:color="auto" w:fill="FFFFFF"/>
            <w:vAlign w:val="center"/>
          </w:tcPr>
          <w:p w14:paraId="6A79FBB6" w14:textId="77777777" w:rsidR="00A76ADB" w:rsidRDefault="00A76ADB" w:rsidP="007E3239">
            <w:pPr>
              <w:pStyle w:val="TableText"/>
              <w:spacing w:before="50" w:after="50"/>
              <w:jc w:val="center"/>
            </w:pPr>
            <w:r>
              <w:rPr>
                <w:rFonts w:eastAsia="Calibri"/>
                <w:color w:val="000000"/>
              </w:rPr>
              <w:t>9.01</w:t>
            </w:r>
          </w:p>
        </w:tc>
        <w:tc>
          <w:tcPr>
            <w:tcW w:w="709" w:type="dxa"/>
            <w:shd w:val="clear" w:color="auto" w:fill="FFFFFF"/>
            <w:vAlign w:val="center"/>
          </w:tcPr>
          <w:p w14:paraId="64BA5BEB" w14:textId="77777777" w:rsidR="00A76ADB" w:rsidRDefault="00A76ADB" w:rsidP="007E3239">
            <w:pPr>
              <w:pStyle w:val="TableText"/>
              <w:spacing w:before="50" w:after="50"/>
              <w:jc w:val="center"/>
            </w:pPr>
            <w:r>
              <w:rPr>
                <w:rFonts w:eastAsia="Calibri"/>
                <w:color w:val="000000"/>
              </w:rPr>
              <w:t>5.74</w:t>
            </w:r>
          </w:p>
        </w:tc>
        <w:tc>
          <w:tcPr>
            <w:tcW w:w="708" w:type="dxa"/>
            <w:shd w:val="clear" w:color="auto" w:fill="FFFFFF"/>
            <w:vAlign w:val="center"/>
          </w:tcPr>
          <w:p w14:paraId="5C65284D" w14:textId="77777777" w:rsidR="00A76ADB" w:rsidRDefault="00A76ADB" w:rsidP="007E3239">
            <w:pPr>
              <w:pStyle w:val="TableText"/>
              <w:spacing w:before="50" w:after="50"/>
              <w:jc w:val="center"/>
            </w:pPr>
            <w:r>
              <w:rPr>
                <w:rFonts w:eastAsia="Calibri"/>
                <w:color w:val="000000"/>
              </w:rPr>
              <w:t>5.89</w:t>
            </w:r>
          </w:p>
        </w:tc>
        <w:tc>
          <w:tcPr>
            <w:tcW w:w="709" w:type="dxa"/>
            <w:shd w:val="clear" w:color="auto" w:fill="FFFFFF"/>
            <w:vAlign w:val="center"/>
          </w:tcPr>
          <w:p w14:paraId="2FC7FB53" w14:textId="77777777" w:rsidR="00A76ADB" w:rsidRDefault="00A76ADB" w:rsidP="007E3239">
            <w:pPr>
              <w:pStyle w:val="TableText"/>
              <w:spacing w:before="50" w:after="50"/>
              <w:jc w:val="center"/>
            </w:pPr>
            <w:r>
              <w:rPr>
                <w:rFonts w:eastAsia="Calibri"/>
                <w:color w:val="000000"/>
              </w:rPr>
              <w:t>12.62</w:t>
            </w:r>
          </w:p>
        </w:tc>
        <w:tc>
          <w:tcPr>
            <w:tcW w:w="711" w:type="dxa"/>
            <w:shd w:val="clear" w:color="auto" w:fill="FFFFFF"/>
            <w:vAlign w:val="center"/>
          </w:tcPr>
          <w:p w14:paraId="26016177" w14:textId="77777777" w:rsidR="00A76ADB" w:rsidRDefault="00A76ADB" w:rsidP="007E3239">
            <w:pPr>
              <w:pStyle w:val="TableText"/>
              <w:spacing w:before="50" w:after="50"/>
              <w:jc w:val="center"/>
            </w:pPr>
            <w:r>
              <w:rPr>
                <w:rFonts w:eastAsia="Calibri"/>
                <w:color w:val="000000"/>
              </w:rPr>
              <w:t>5.02</w:t>
            </w:r>
          </w:p>
        </w:tc>
        <w:tc>
          <w:tcPr>
            <w:tcW w:w="710" w:type="dxa"/>
            <w:shd w:val="clear" w:color="auto" w:fill="FFFFFF"/>
            <w:vAlign w:val="center"/>
          </w:tcPr>
          <w:p w14:paraId="1E04E28E" w14:textId="77777777" w:rsidR="00A76ADB" w:rsidRDefault="00A76ADB" w:rsidP="007E3239">
            <w:pPr>
              <w:pStyle w:val="TableText"/>
              <w:spacing w:before="50" w:after="50"/>
              <w:jc w:val="center"/>
            </w:pPr>
            <w:r>
              <w:rPr>
                <w:rFonts w:eastAsia="Calibri"/>
                <w:color w:val="000000"/>
              </w:rPr>
              <w:t>2.47</w:t>
            </w:r>
          </w:p>
        </w:tc>
        <w:tc>
          <w:tcPr>
            <w:tcW w:w="708" w:type="dxa"/>
            <w:shd w:val="clear" w:color="auto" w:fill="FFFFFF"/>
            <w:vAlign w:val="center"/>
          </w:tcPr>
          <w:p w14:paraId="3C7430A3" w14:textId="77777777" w:rsidR="00A76ADB" w:rsidRDefault="00A76ADB" w:rsidP="007E3239">
            <w:pPr>
              <w:pStyle w:val="TableText"/>
              <w:spacing w:before="50" w:after="50"/>
              <w:jc w:val="center"/>
            </w:pPr>
            <w:r>
              <w:rPr>
                <w:rFonts w:eastAsia="Calibri"/>
                <w:color w:val="000000"/>
              </w:rPr>
              <w:t>1.92</w:t>
            </w:r>
          </w:p>
        </w:tc>
        <w:tc>
          <w:tcPr>
            <w:tcW w:w="709" w:type="dxa"/>
            <w:shd w:val="clear" w:color="auto" w:fill="FFFFFF"/>
            <w:vAlign w:val="center"/>
          </w:tcPr>
          <w:p w14:paraId="507AA8E4" w14:textId="77777777" w:rsidR="00A76ADB" w:rsidRDefault="00A76ADB" w:rsidP="007E3239">
            <w:pPr>
              <w:pStyle w:val="TableText"/>
              <w:spacing w:before="50" w:after="50"/>
              <w:jc w:val="center"/>
            </w:pPr>
            <w:r>
              <w:rPr>
                <w:rFonts w:eastAsia="Calibri"/>
                <w:color w:val="000000"/>
              </w:rPr>
              <w:t>57.32</w:t>
            </w:r>
          </w:p>
        </w:tc>
        <w:tc>
          <w:tcPr>
            <w:tcW w:w="2149" w:type="dxa"/>
            <w:shd w:val="clear" w:color="auto" w:fill="FFFFFF"/>
            <w:vAlign w:val="center"/>
          </w:tcPr>
          <w:p w14:paraId="0CAE1E34" w14:textId="77777777" w:rsidR="00A76ADB" w:rsidRDefault="00A76ADB" w:rsidP="007E3239">
            <w:pPr>
              <w:pStyle w:val="TableText"/>
              <w:spacing w:before="50" w:after="50"/>
            </w:pPr>
            <w:r>
              <w:rPr>
                <w:rFonts w:eastAsia="Calibri"/>
                <w:color w:val="000000"/>
              </w:rPr>
              <w:t>Assumed same as 2018</w:t>
            </w:r>
          </w:p>
        </w:tc>
      </w:tr>
    </w:tbl>
    <w:p w14:paraId="60C8888D" w14:textId="77777777" w:rsidR="00A76ADB" w:rsidRDefault="00A76ADB" w:rsidP="00A76ADB">
      <w:pPr>
        <w:pStyle w:val="BodyText"/>
        <w:spacing w:before="240"/>
      </w:pPr>
      <w:r>
        <w:lastRenderedPageBreak/>
        <w:t>The changes in composition over time lead to varying amounts of decomposable degradable organic carbon (DDOC) being entered into the landfill over time. Refer to table 7.2.6 for the values used for DDOC and other variables.</w:t>
      </w:r>
    </w:p>
    <w:p w14:paraId="082B6264" w14:textId="77777777" w:rsidR="00A76ADB" w:rsidRDefault="00A76ADB" w:rsidP="00A76ADB">
      <w:pPr>
        <w:pStyle w:val="Heading6"/>
      </w:pPr>
      <w:bookmarkStart w:id="2365" w:name="Xde5f86123d5b1c6488ba174a8cdadcc583b2b20"/>
      <w:bookmarkEnd w:id="2360"/>
      <w:r>
        <w:t xml:space="preserve">Methane correction factor, oxidation factor </w:t>
      </w:r>
      <w:r w:rsidRPr="00FF35C5">
        <w:t>and</w:t>
      </w:r>
      <w:r>
        <w:t xml:space="preserve"> fraction of methane in landfill gas (F)</w:t>
      </w:r>
    </w:p>
    <w:p w14:paraId="036A4FA7" w14:textId="77777777" w:rsidR="00A76ADB" w:rsidRDefault="00A76ADB" w:rsidP="00A76ADB">
      <w:pPr>
        <w:pStyle w:val="BodyText"/>
      </w:pPr>
      <w:r>
        <w:t>The CH</w:t>
      </w:r>
      <w:r>
        <w:rPr>
          <w:vertAlign w:val="subscript"/>
        </w:rPr>
        <w:t>4</w:t>
      </w:r>
      <w:r>
        <w:t xml:space="preserve"> correction factor used is 1.0 for all managed landfill sites, both landfills with LFG recovery and those without. An oxidation factor of 10 per cent is used for waste disposed to these sites.</w:t>
      </w:r>
    </w:p>
    <w:p w14:paraId="207E6B6C" w14:textId="77777777" w:rsidR="00A76ADB" w:rsidRDefault="00A76ADB" w:rsidP="00A76ADB">
      <w:pPr>
        <w:pStyle w:val="BodyText"/>
      </w:pPr>
      <w:r>
        <w:t>For all sites other than managed landfills, there was an unknown mix of shallow and deep disposal areas. A survey carried out in 1971 revealed that larger sites in operation were assessed at that time to be roughly half deep (more than 5 metres) and half shallow. The use of cover material was variable. Therefore, for uncategorised sites, a CH</w:t>
      </w:r>
      <w:r>
        <w:rPr>
          <w:vertAlign w:val="subscript"/>
        </w:rPr>
        <w:t>4</w:t>
      </w:r>
      <w:r>
        <w:t xml:space="preserve"> correction factor of 0.6 and an oxidation factor of zero have been used.</w:t>
      </w:r>
    </w:p>
    <w:p w14:paraId="2CEBD917" w14:textId="77777777" w:rsidR="00A76ADB" w:rsidRDefault="00A76ADB" w:rsidP="00A76ADB">
      <w:pPr>
        <w:pStyle w:val="BodyText"/>
      </w:pPr>
      <w:r>
        <w:t>The fraction of methane in landfill gas (F) is 57 per cent for municipal landfills (Eunomia, unpublished(a)). This figure is based on research in the United Kingdom and the general similarities in landfill management practices between the United Kingdom and New Zealand. Uncategorised sites use the IPCC (2006a) default of 50 per cent.</w:t>
      </w:r>
    </w:p>
    <w:p w14:paraId="6EF40C70" w14:textId="77777777" w:rsidR="00A76ADB" w:rsidRDefault="00A76ADB" w:rsidP="00A76ADB">
      <w:pPr>
        <w:pStyle w:val="Heading6"/>
      </w:pPr>
      <w:bookmarkStart w:id="2366" w:name="methane-generation-rates"/>
      <w:bookmarkEnd w:id="2365"/>
      <w:r>
        <w:t>Methane generation rates</w:t>
      </w:r>
    </w:p>
    <w:p w14:paraId="238E10A9" w14:textId="77777777" w:rsidR="00A76ADB" w:rsidRDefault="00A76ADB" w:rsidP="00A76ADB">
      <w:pPr>
        <w:pStyle w:val="BodyText"/>
      </w:pPr>
      <w:r>
        <w:t>The study by Eunomia (unpublished(a)) provides the parameters used to determine the quantity and rate of methane generation. Table 7.2.6 details the parameters used.</w:t>
      </w:r>
    </w:p>
    <w:p w14:paraId="1C21F37F" w14:textId="77777777" w:rsidR="00A76ADB" w:rsidRDefault="00A76ADB" w:rsidP="00A76ADB">
      <w:pPr>
        <w:pStyle w:val="Table"/>
      </w:pPr>
      <w:bookmarkStart w:id="2367" w:name="_Toc99659328"/>
      <w:r>
        <w:t>Table 7.2.6</w:t>
      </w:r>
      <w:r>
        <w:tab/>
        <w:t>Parameters by waste type that determine the quantity and rate of methane generation</w:t>
      </w:r>
      <w:bookmarkEnd w:id="2367"/>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552"/>
        <w:gridCol w:w="708"/>
        <w:gridCol w:w="709"/>
        <w:gridCol w:w="709"/>
        <w:gridCol w:w="709"/>
        <w:gridCol w:w="1649"/>
        <w:gridCol w:w="756"/>
        <w:gridCol w:w="713"/>
      </w:tblGrid>
      <w:tr w:rsidR="00A76ADB" w:rsidRPr="00FF35C5" w14:paraId="7C4F2F0E" w14:textId="77777777" w:rsidTr="00040B37">
        <w:trPr>
          <w:cantSplit/>
          <w:tblHeader/>
        </w:trPr>
        <w:tc>
          <w:tcPr>
            <w:tcW w:w="2552" w:type="dxa"/>
            <w:shd w:val="clear" w:color="auto" w:fill="1B556B"/>
            <w:vAlign w:val="center"/>
          </w:tcPr>
          <w:p w14:paraId="5D870948" w14:textId="77777777" w:rsidR="00A76ADB" w:rsidRPr="006C0D1B" w:rsidRDefault="00A76ADB" w:rsidP="007E3239">
            <w:pPr>
              <w:pStyle w:val="TableTextBold"/>
              <w:keepNext/>
              <w:rPr>
                <w:color w:val="FFFFFF"/>
              </w:rPr>
            </w:pPr>
            <w:r w:rsidRPr="006C0D1B">
              <w:rPr>
                <w:rFonts w:eastAsia="Calibri"/>
                <w:color w:val="FFFFFF"/>
              </w:rPr>
              <w:t>Parameter</w:t>
            </w:r>
          </w:p>
        </w:tc>
        <w:tc>
          <w:tcPr>
            <w:tcW w:w="708" w:type="dxa"/>
            <w:shd w:val="clear" w:color="auto" w:fill="1B556B"/>
            <w:vAlign w:val="center"/>
          </w:tcPr>
          <w:p w14:paraId="207BE733" w14:textId="77777777" w:rsidR="00A76ADB" w:rsidRPr="006C0D1B" w:rsidRDefault="00A76ADB" w:rsidP="007E3239">
            <w:pPr>
              <w:pStyle w:val="TableTextBold"/>
              <w:keepNext/>
              <w:rPr>
                <w:color w:val="FFFFFF"/>
              </w:rPr>
            </w:pPr>
            <w:r w:rsidRPr="006C0D1B">
              <w:rPr>
                <w:rFonts w:eastAsia="Calibri"/>
                <w:color w:val="FFFFFF"/>
              </w:rPr>
              <w:t>Food</w:t>
            </w:r>
          </w:p>
        </w:tc>
        <w:tc>
          <w:tcPr>
            <w:tcW w:w="709" w:type="dxa"/>
            <w:shd w:val="clear" w:color="auto" w:fill="1B556B"/>
            <w:vAlign w:val="center"/>
          </w:tcPr>
          <w:p w14:paraId="4C615369" w14:textId="77777777" w:rsidR="00A76ADB" w:rsidRPr="006C0D1B" w:rsidRDefault="00A76ADB" w:rsidP="007E3239">
            <w:pPr>
              <w:pStyle w:val="TableTextBold"/>
              <w:keepNext/>
              <w:rPr>
                <w:color w:val="FFFFFF"/>
              </w:rPr>
            </w:pPr>
            <w:r w:rsidRPr="006C0D1B">
              <w:rPr>
                <w:rFonts w:eastAsia="Calibri"/>
                <w:color w:val="FFFFFF"/>
              </w:rPr>
              <w:t>Garden</w:t>
            </w:r>
          </w:p>
        </w:tc>
        <w:tc>
          <w:tcPr>
            <w:tcW w:w="709" w:type="dxa"/>
            <w:shd w:val="clear" w:color="auto" w:fill="1B556B"/>
            <w:vAlign w:val="center"/>
          </w:tcPr>
          <w:p w14:paraId="4CC9D2B6" w14:textId="77777777" w:rsidR="00A76ADB" w:rsidRPr="006C0D1B" w:rsidRDefault="00A76ADB" w:rsidP="007E3239">
            <w:pPr>
              <w:pStyle w:val="TableTextBold"/>
              <w:keepNext/>
              <w:rPr>
                <w:color w:val="FFFFFF"/>
              </w:rPr>
            </w:pPr>
            <w:r w:rsidRPr="006C0D1B">
              <w:rPr>
                <w:rFonts w:eastAsia="Calibri"/>
                <w:color w:val="FFFFFF"/>
              </w:rPr>
              <w:t>Paper</w:t>
            </w:r>
          </w:p>
        </w:tc>
        <w:tc>
          <w:tcPr>
            <w:tcW w:w="709" w:type="dxa"/>
            <w:shd w:val="clear" w:color="auto" w:fill="1B556B"/>
            <w:vAlign w:val="center"/>
          </w:tcPr>
          <w:p w14:paraId="75A57BB6" w14:textId="77777777" w:rsidR="00A76ADB" w:rsidRPr="006C0D1B" w:rsidRDefault="00A76ADB" w:rsidP="007E3239">
            <w:pPr>
              <w:pStyle w:val="TableTextBold"/>
              <w:keepNext/>
              <w:rPr>
                <w:color w:val="FFFFFF"/>
              </w:rPr>
            </w:pPr>
            <w:r w:rsidRPr="006C0D1B">
              <w:rPr>
                <w:rFonts w:eastAsia="Calibri"/>
                <w:color w:val="FFFFFF"/>
              </w:rPr>
              <w:t>Wood</w:t>
            </w:r>
          </w:p>
        </w:tc>
        <w:tc>
          <w:tcPr>
            <w:tcW w:w="1649" w:type="dxa"/>
            <w:shd w:val="clear" w:color="auto" w:fill="1B556B"/>
            <w:vAlign w:val="center"/>
          </w:tcPr>
          <w:p w14:paraId="6887EF06" w14:textId="77777777" w:rsidR="00A76ADB" w:rsidRPr="006C0D1B" w:rsidRDefault="00A76ADB" w:rsidP="007E3239">
            <w:pPr>
              <w:pStyle w:val="TableTextBold"/>
              <w:keepNext/>
              <w:rPr>
                <w:color w:val="FFFFFF"/>
              </w:rPr>
            </w:pPr>
            <w:r w:rsidRPr="006C0D1B">
              <w:rPr>
                <w:rFonts w:eastAsia="Calibri"/>
                <w:color w:val="FFFFFF"/>
              </w:rPr>
              <w:t>Textile</w:t>
            </w:r>
          </w:p>
        </w:tc>
        <w:tc>
          <w:tcPr>
            <w:tcW w:w="756" w:type="dxa"/>
            <w:shd w:val="clear" w:color="auto" w:fill="1B556B"/>
            <w:vAlign w:val="center"/>
          </w:tcPr>
          <w:p w14:paraId="41E9A766" w14:textId="77777777" w:rsidR="00A76ADB" w:rsidRPr="006C0D1B" w:rsidRDefault="00A76ADB" w:rsidP="007E3239">
            <w:pPr>
              <w:pStyle w:val="TableTextBold"/>
              <w:keepNext/>
              <w:rPr>
                <w:color w:val="FFFFFF"/>
              </w:rPr>
            </w:pPr>
            <w:r w:rsidRPr="006C0D1B">
              <w:rPr>
                <w:rFonts w:eastAsia="Calibri"/>
                <w:color w:val="FFFFFF"/>
              </w:rPr>
              <w:t>Nappies</w:t>
            </w:r>
          </w:p>
        </w:tc>
        <w:tc>
          <w:tcPr>
            <w:tcW w:w="713" w:type="dxa"/>
            <w:shd w:val="clear" w:color="auto" w:fill="1B556B"/>
            <w:vAlign w:val="center"/>
          </w:tcPr>
          <w:p w14:paraId="3BC7D550" w14:textId="77777777" w:rsidR="00A76ADB" w:rsidRPr="006C0D1B" w:rsidRDefault="00A76ADB" w:rsidP="007E3239">
            <w:pPr>
              <w:pStyle w:val="TableTextBold"/>
              <w:keepNext/>
              <w:rPr>
                <w:color w:val="FFFFFF"/>
              </w:rPr>
            </w:pPr>
            <w:r w:rsidRPr="006C0D1B">
              <w:rPr>
                <w:rFonts w:eastAsia="Calibri"/>
                <w:color w:val="FFFFFF"/>
              </w:rPr>
              <w:t>Sludge</w:t>
            </w:r>
            <w:r w:rsidRPr="006C0D1B">
              <w:rPr>
                <w:rFonts w:eastAsia="Calibri"/>
                <w:color w:val="FFFFFF"/>
                <w:vertAlign w:val="subscript"/>
              </w:rPr>
              <w:t>b</w:t>
            </w:r>
          </w:p>
        </w:tc>
      </w:tr>
      <w:tr w:rsidR="00A76ADB" w14:paraId="25DA885F" w14:textId="77777777" w:rsidTr="00040B37">
        <w:trPr>
          <w:cantSplit/>
          <w:trHeight w:val="283"/>
        </w:trPr>
        <w:tc>
          <w:tcPr>
            <w:tcW w:w="2552" w:type="dxa"/>
            <w:shd w:val="clear" w:color="auto" w:fill="FFFFFF"/>
            <w:vAlign w:val="center"/>
          </w:tcPr>
          <w:p w14:paraId="04CD39DB" w14:textId="77777777" w:rsidR="00A76ADB" w:rsidRDefault="00A76ADB" w:rsidP="007E3239">
            <w:pPr>
              <w:pStyle w:val="TableText"/>
            </w:pPr>
            <w:r>
              <w:rPr>
                <w:rFonts w:eastAsia="Calibri"/>
              </w:rPr>
              <w:t>DDOC</w:t>
            </w:r>
          </w:p>
        </w:tc>
        <w:tc>
          <w:tcPr>
            <w:tcW w:w="708" w:type="dxa"/>
            <w:shd w:val="clear" w:color="auto" w:fill="FFFFFF"/>
            <w:vAlign w:val="center"/>
          </w:tcPr>
          <w:p w14:paraId="50312D25" w14:textId="77777777" w:rsidR="00A76ADB" w:rsidRDefault="00A76ADB" w:rsidP="007E3239">
            <w:pPr>
              <w:pStyle w:val="TableText"/>
            </w:pPr>
            <w:r>
              <w:rPr>
                <w:rFonts w:eastAsia="Calibri"/>
              </w:rPr>
              <w:t>0.11</w:t>
            </w:r>
            <w:r>
              <w:rPr>
                <w:rFonts w:eastAsia="Calibri"/>
                <w:vertAlign w:val="superscript"/>
              </w:rPr>
              <w:t>a</w:t>
            </w:r>
          </w:p>
        </w:tc>
        <w:tc>
          <w:tcPr>
            <w:tcW w:w="709" w:type="dxa"/>
            <w:shd w:val="clear" w:color="auto" w:fill="FFFFFF"/>
            <w:vAlign w:val="center"/>
          </w:tcPr>
          <w:p w14:paraId="099DD330" w14:textId="77777777" w:rsidR="00A76ADB" w:rsidRDefault="00A76ADB" w:rsidP="007E3239">
            <w:pPr>
              <w:pStyle w:val="TableText"/>
            </w:pPr>
            <w:r>
              <w:rPr>
                <w:rFonts w:eastAsia="Calibri"/>
              </w:rPr>
              <w:t>0.090</w:t>
            </w:r>
          </w:p>
        </w:tc>
        <w:tc>
          <w:tcPr>
            <w:tcW w:w="709" w:type="dxa"/>
            <w:shd w:val="clear" w:color="auto" w:fill="FFFFFF"/>
            <w:vAlign w:val="center"/>
          </w:tcPr>
          <w:p w14:paraId="06BB9DC0" w14:textId="77777777" w:rsidR="00A76ADB" w:rsidRDefault="00A76ADB" w:rsidP="007E3239">
            <w:pPr>
              <w:pStyle w:val="TableText"/>
            </w:pPr>
            <w:r>
              <w:rPr>
                <w:rFonts w:eastAsia="Calibri"/>
              </w:rPr>
              <w:t>0.160</w:t>
            </w:r>
          </w:p>
        </w:tc>
        <w:tc>
          <w:tcPr>
            <w:tcW w:w="709" w:type="dxa"/>
            <w:shd w:val="clear" w:color="auto" w:fill="FFFFFF"/>
            <w:vAlign w:val="center"/>
          </w:tcPr>
          <w:p w14:paraId="669F82E6" w14:textId="77777777" w:rsidR="00A76ADB" w:rsidRDefault="00A76ADB" w:rsidP="007E3239">
            <w:pPr>
              <w:pStyle w:val="TableText"/>
            </w:pPr>
            <w:r>
              <w:rPr>
                <w:rFonts w:eastAsia="Calibri"/>
              </w:rPr>
              <w:t>0.060</w:t>
            </w:r>
          </w:p>
        </w:tc>
        <w:tc>
          <w:tcPr>
            <w:tcW w:w="1649" w:type="dxa"/>
            <w:shd w:val="clear" w:color="auto" w:fill="FFFFFF"/>
            <w:vAlign w:val="center"/>
          </w:tcPr>
          <w:p w14:paraId="106D9B95" w14:textId="77777777" w:rsidR="00A76ADB" w:rsidRDefault="00A76ADB" w:rsidP="007E3239">
            <w:pPr>
              <w:pStyle w:val="TableText"/>
            </w:pPr>
            <w:r>
              <w:rPr>
                <w:rFonts w:eastAsia="Calibri"/>
              </w:rPr>
              <w:t>0.20 (1950s) to 0.08 (2020 onwards)</w:t>
            </w:r>
          </w:p>
        </w:tc>
        <w:tc>
          <w:tcPr>
            <w:tcW w:w="756" w:type="dxa"/>
            <w:shd w:val="clear" w:color="auto" w:fill="FFFFFF"/>
            <w:vAlign w:val="center"/>
          </w:tcPr>
          <w:p w14:paraId="57F6576D" w14:textId="77777777" w:rsidR="00A76ADB" w:rsidRDefault="00A76ADB" w:rsidP="007E3239">
            <w:pPr>
              <w:pStyle w:val="TableText"/>
            </w:pPr>
            <w:r>
              <w:rPr>
                <w:rFonts w:eastAsia="Calibri"/>
              </w:rPr>
              <w:t>0.040</w:t>
            </w:r>
          </w:p>
        </w:tc>
        <w:tc>
          <w:tcPr>
            <w:tcW w:w="713" w:type="dxa"/>
            <w:shd w:val="clear" w:color="auto" w:fill="FFFFFF"/>
            <w:vAlign w:val="center"/>
          </w:tcPr>
          <w:p w14:paraId="2084E88F" w14:textId="77777777" w:rsidR="00A76ADB" w:rsidRDefault="00A76ADB" w:rsidP="007E3239">
            <w:pPr>
              <w:pStyle w:val="TableText"/>
            </w:pPr>
            <w:r>
              <w:rPr>
                <w:rFonts w:eastAsia="Calibri"/>
              </w:rPr>
              <w:t>0.025</w:t>
            </w:r>
          </w:p>
        </w:tc>
      </w:tr>
      <w:tr w:rsidR="00A76ADB" w14:paraId="4713F3E9" w14:textId="77777777" w:rsidTr="00040B37">
        <w:trPr>
          <w:cantSplit/>
          <w:trHeight w:val="283"/>
        </w:trPr>
        <w:tc>
          <w:tcPr>
            <w:tcW w:w="2552" w:type="dxa"/>
            <w:shd w:val="clear" w:color="auto" w:fill="FFFFFF"/>
            <w:vAlign w:val="center"/>
          </w:tcPr>
          <w:p w14:paraId="4BAE76DC" w14:textId="77777777" w:rsidR="00A76ADB" w:rsidRDefault="00A76ADB" w:rsidP="007E3239">
            <w:pPr>
              <w:pStyle w:val="TableText"/>
            </w:pPr>
            <w:r>
              <w:rPr>
                <w:rFonts w:eastAsia="Calibri"/>
              </w:rPr>
              <w:t>DOCf</w:t>
            </w:r>
            <w:r>
              <w:rPr>
                <w:rFonts w:eastAsia="Calibri"/>
                <w:vertAlign w:val="superscript"/>
              </w:rPr>
              <w:t>c</w:t>
            </w:r>
          </w:p>
        </w:tc>
        <w:tc>
          <w:tcPr>
            <w:tcW w:w="708" w:type="dxa"/>
            <w:shd w:val="clear" w:color="auto" w:fill="FFFFFF"/>
            <w:vAlign w:val="center"/>
          </w:tcPr>
          <w:p w14:paraId="7F12A14C" w14:textId="77777777" w:rsidR="00A76ADB" w:rsidRDefault="00A76ADB" w:rsidP="007E3239">
            <w:pPr>
              <w:pStyle w:val="TableText"/>
            </w:pPr>
            <w:r>
              <w:rPr>
                <w:rFonts w:eastAsia="Calibri"/>
              </w:rPr>
              <w:t>0.7</w:t>
            </w:r>
          </w:p>
        </w:tc>
        <w:tc>
          <w:tcPr>
            <w:tcW w:w="709" w:type="dxa"/>
            <w:shd w:val="clear" w:color="auto" w:fill="FFFFFF"/>
            <w:vAlign w:val="center"/>
          </w:tcPr>
          <w:p w14:paraId="08C2D67A" w14:textId="77777777" w:rsidR="00A76ADB" w:rsidRDefault="00A76ADB" w:rsidP="007E3239">
            <w:pPr>
              <w:pStyle w:val="TableText"/>
            </w:pPr>
            <w:r>
              <w:rPr>
                <w:rFonts w:eastAsia="Calibri"/>
              </w:rPr>
              <w:t>0.560</w:t>
            </w:r>
          </w:p>
        </w:tc>
        <w:tc>
          <w:tcPr>
            <w:tcW w:w="709" w:type="dxa"/>
            <w:shd w:val="clear" w:color="auto" w:fill="FFFFFF"/>
            <w:vAlign w:val="center"/>
          </w:tcPr>
          <w:p w14:paraId="35AAAF28" w14:textId="77777777" w:rsidR="00A76ADB" w:rsidRDefault="00A76ADB" w:rsidP="007E3239">
            <w:pPr>
              <w:pStyle w:val="TableText"/>
            </w:pPr>
            <w:r>
              <w:rPr>
                <w:rFonts w:eastAsia="Calibri"/>
              </w:rPr>
              <w:t>0.500</w:t>
            </w:r>
          </w:p>
        </w:tc>
        <w:tc>
          <w:tcPr>
            <w:tcW w:w="709" w:type="dxa"/>
            <w:shd w:val="clear" w:color="auto" w:fill="FFFFFF"/>
            <w:vAlign w:val="center"/>
          </w:tcPr>
          <w:p w14:paraId="700E6B25" w14:textId="77777777" w:rsidR="00A76ADB" w:rsidRDefault="00A76ADB" w:rsidP="007E3239">
            <w:pPr>
              <w:pStyle w:val="TableText"/>
            </w:pPr>
            <w:r>
              <w:rPr>
                <w:rFonts w:eastAsia="Calibri"/>
              </w:rPr>
              <w:t>0.140</w:t>
            </w:r>
          </w:p>
        </w:tc>
        <w:tc>
          <w:tcPr>
            <w:tcW w:w="1649" w:type="dxa"/>
            <w:shd w:val="clear" w:color="auto" w:fill="FFFFFF"/>
            <w:vAlign w:val="center"/>
          </w:tcPr>
          <w:p w14:paraId="74314D92" w14:textId="77777777" w:rsidR="00A76ADB" w:rsidRDefault="00A76ADB" w:rsidP="007E3239">
            <w:pPr>
              <w:pStyle w:val="TableText"/>
            </w:pPr>
            <w:r>
              <w:rPr>
                <w:rFonts w:eastAsia="Calibri"/>
              </w:rPr>
              <w:t>0.5</w:t>
            </w:r>
          </w:p>
        </w:tc>
        <w:tc>
          <w:tcPr>
            <w:tcW w:w="756" w:type="dxa"/>
            <w:shd w:val="clear" w:color="auto" w:fill="FFFFFF"/>
            <w:vAlign w:val="center"/>
          </w:tcPr>
          <w:p w14:paraId="2279BFDE" w14:textId="77777777" w:rsidR="00A76ADB" w:rsidRDefault="00A76ADB" w:rsidP="007E3239">
            <w:pPr>
              <w:pStyle w:val="TableText"/>
            </w:pPr>
            <w:r>
              <w:rPr>
                <w:rFonts w:eastAsia="Calibri"/>
              </w:rPr>
              <w:t>0.500</w:t>
            </w:r>
          </w:p>
        </w:tc>
        <w:tc>
          <w:tcPr>
            <w:tcW w:w="713" w:type="dxa"/>
            <w:shd w:val="clear" w:color="auto" w:fill="FFFFFF"/>
            <w:vAlign w:val="center"/>
          </w:tcPr>
          <w:p w14:paraId="33C27BCB" w14:textId="77777777" w:rsidR="00A76ADB" w:rsidRDefault="00A76ADB" w:rsidP="007E3239">
            <w:pPr>
              <w:pStyle w:val="TableText"/>
            </w:pPr>
            <w:r>
              <w:rPr>
                <w:rFonts w:eastAsia="Calibri"/>
              </w:rPr>
              <w:t>0.500</w:t>
            </w:r>
          </w:p>
        </w:tc>
      </w:tr>
      <w:tr w:rsidR="00A76ADB" w14:paraId="524DA1A3" w14:textId="77777777" w:rsidTr="00040B37">
        <w:trPr>
          <w:cantSplit/>
          <w:trHeight w:val="283"/>
        </w:trPr>
        <w:tc>
          <w:tcPr>
            <w:tcW w:w="2552" w:type="dxa"/>
            <w:shd w:val="clear" w:color="auto" w:fill="FFFFFF"/>
            <w:vAlign w:val="center"/>
          </w:tcPr>
          <w:p w14:paraId="63811153" w14:textId="77777777" w:rsidR="00A76ADB" w:rsidRDefault="00A76ADB" w:rsidP="007E3239">
            <w:pPr>
              <w:pStyle w:val="TableText"/>
            </w:pPr>
            <w:r>
              <w:rPr>
                <w:rFonts w:eastAsia="Calibri"/>
              </w:rPr>
              <w:t>DOC (=DDOC/DOCf)</w:t>
            </w:r>
          </w:p>
        </w:tc>
        <w:tc>
          <w:tcPr>
            <w:tcW w:w="708" w:type="dxa"/>
            <w:shd w:val="clear" w:color="auto" w:fill="FFFFFF"/>
            <w:vAlign w:val="center"/>
          </w:tcPr>
          <w:p w14:paraId="69829BA1" w14:textId="77777777" w:rsidR="00A76ADB" w:rsidRDefault="00A76ADB" w:rsidP="007E3239">
            <w:pPr>
              <w:pStyle w:val="TableText"/>
            </w:pPr>
            <w:r>
              <w:rPr>
                <w:rFonts w:eastAsia="Calibri"/>
              </w:rPr>
              <w:t>0.16</w:t>
            </w:r>
          </w:p>
        </w:tc>
        <w:tc>
          <w:tcPr>
            <w:tcW w:w="709" w:type="dxa"/>
            <w:shd w:val="clear" w:color="auto" w:fill="FFFFFF"/>
            <w:vAlign w:val="center"/>
          </w:tcPr>
          <w:p w14:paraId="529960B4" w14:textId="77777777" w:rsidR="00A76ADB" w:rsidRDefault="00A76ADB" w:rsidP="007E3239">
            <w:pPr>
              <w:pStyle w:val="TableText"/>
            </w:pPr>
            <w:r>
              <w:rPr>
                <w:rFonts w:eastAsia="Calibri"/>
              </w:rPr>
              <w:t>0.160</w:t>
            </w:r>
          </w:p>
        </w:tc>
        <w:tc>
          <w:tcPr>
            <w:tcW w:w="709" w:type="dxa"/>
            <w:shd w:val="clear" w:color="auto" w:fill="FFFFFF"/>
            <w:vAlign w:val="center"/>
          </w:tcPr>
          <w:p w14:paraId="611FC4D6" w14:textId="77777777" w:rsidR="00A76ADB" w:rsidRDefault="00A76ADB" w:rsidP="007E3239">
            <w:pPr>
              <w:pStyle w:val="TableText"/>
            </w:pPr>
            <w:r>
              <w:rPr>
                <w:rFonts w:eastAsia="Calibri"/>
              </w:rPr>
              <w:t>0.320</w:t>
            </w:r>
          </w:p>
        </w:tc>
        <w:tc>
          <w:tcPr>
            <w:tcW w:w="709" w:type="dxa"/>
            <w:shd w:val="clear" w:color="auto" w:fill="FFFFFF"/>
            <w:vAlign w:val="center"/>
          </w:tcPr>
          <w:p w14:paraId="1ACF31B7" w14:textId="77777777" w:rsidR="00A76ADB" w:rsidRDefault="00A76ADB" w:rsidP="007E3239">
            <w:pPr>
              <w:pStyle w:val="TableText"/>
            </w:pPr>
            <w:r>
              <w:rPr>
                <w:rFonts w:eastAsia="Calibri"/>
              </w:rPr>
              <w:t>0.430</w:t>
            </w:r>
          </w:p>
        </w:tc>
        <w:tc>
          <w:tcPr>
            <w:tcW w:w="1649" w:type="dxa"/>
            <w:shd w:val="clear" w:color="auto" w:fill="FFFFFF"/>
            <w:vAlign w:val="center"/>
          </w:tcPr>
          <w:p w14:paraId="19B30982" w14:textId="77777777" w:rsidR="00A76ADB" w:rsidRDefault="00A76ADB" w:rsidP="007E3239">
            <w:pPr>
              <w:pStyle w:val="TableText"/>
            </w:pPr>
            <w:r>
              <w:rPr>
                <w:rFonts w:eastAsia="Calibri"/>
              </w:rPr>
              <w:t>0.40 (1950s) to 0.16 (2020 onwards) </w:t>
            </w:r>
          </w:p>
        </w:tc>
        <w:tc>
          <w:tcPr>
            <w:tcW w:w="756" w:type="dxa"/>
            <w:shd w:val="clear" w:color="auto" w:fill="FFFFFF"/>
            <w:vAlign w:val="center"/>
          </w:tcPr>
          <w:p w14:paraId="04807368" w14:textId="77777777" w:rsidR="00A76ADB" w:rsidRDefault="00A76ADB" w:rsidP="007E3239">
            <w:pPr>
              <w:pStyle w:val="TableText"/>
            </w:pPr>
            <w:r>
              <w:rPr>
                <w:rFonts w:eastAsia="Calibri"/>
              </w:rPr>
              <w:t>0.080</w:t>
            </w:r>
          </w:p>
        </w:tc>
        <w:tc>
          <w:tcPr>
            <w:tcW w:w="713" w:type="dxa"/>
            <w:shd w:val="clear" w:color="auto" w:fill="FFFFFF"/>
            <w:vAlign w:val="center"/>
          </w:tcPr>
          <w:p w14:paraId="4ED81294" w14:textId="77777777" w:rsidR="00A76ADB" w:rsidRDefault="00A76ADB" w:rsidP="007E3239">
            <w:pPr>
              <w:pStyle w:val="TableText"/>
            </w:pPr>
            <w:r>
              <w:rPr>
                <w:rFonts w:eastAsia="Calibri"/>
              </w:rPr>
              <w:t>0.050</w:t>
            </w:r>
          </w:p>
        </w:tc>
      </w:tr>
      <w:tr w:rsidR="00A76ADB" w14:paraId="5F186318" w14:textId="77777777" w:rsidTr="00040B37">
        <w:trPr>
          <w:cantSplit/>
          <w:trHeight w:val="283"/>
        </w:trPr>
        <w:tc>
          <w:tcPr>
            <w:tcW w:w="2552" w:type="dxa"/>
            <w:shd w:val="clear" w:color="auto" w:fill="FFFFFF"/>
            <w:vAlign w:val="center"/>
          </w:tcPr>
          <w:p w14:paraId="073EDD4F" w14:textId="77777777" w:rsidR="00A76ADB" w:rsidRDefault="00A76ADB" w:rsidP="007E3239">
            <w:pPr>
              <w:pStyle w:val="TableText"/>
            </w:pPr>
            <w:r>
              <w:rPr>
                <w:rFonts w:eastAsia="Calibri"/>
              </w:rPr>
              <w:t>k-value wet sites (&gt;700 mm rain/yr)</w:t>
            </w:r>
          </w:p>
        </w:tc>
        <w:tc>
          <w:tcPr>
            <w:tcW w:w="708" w:type="dxa"/>
            <w:shd w:val="clear" w:color="auto" w:fill="FFFFFF"/>
            <w:vAlign w:val="center"/>
          </w:tcPr>
          <w:p w14:paraId="11BCD32E" w14:textId="77777777" w:rsidR="00A76ADB" w:rsidRDefault="00A76ADB" w:rsidP="007E3239">
            <w:pPr>
              <w:pStyle w:val="TableText"/>
            </w:pPr>
            <w:r>
              <w:rPr>
                <w:rFonts w:eastAsia="Calibri"/>
              </w:rPr>
              <w:t>0.694</w:t>
            </w:r>
          </w:p>
        </w:tc>
        <w:tc>
          <w:tcPr>
            <w:tcW w:w="709" w:type="dxa"/>
            <w:shd w:val="clear" w:color="auto" w:fill="FFFFFF"/>
            <w:vAlign w:val="center"/>
          </w:tcPr>
          <w:p w14:paraId="13FE3706" w14:textId="77777777" w:rsidR="00A76ADB" w:rsidRDefault="00A76ADB" w:rsidP="007E3239">
            <w:pPr>
              <w:pStyle w:val="TableText"/>
            </w:pPr>
            <w:r>
              <w:rPr>
                <w:rFonts w:eastAsia="Calibri"/>
              </w:rPr>
              <w:t>0.116</w:t>
            </w:r>
          </w:p>
        </w:tc>
        <w:tc>
          <w:tcPr>
            <w:tcW w:w="709" w:type="dxa"/>
            <w:shd w:val="clear" w:color="auto" w:fill="FFFFFF"/>
            <w:vAlign w:val="center"/>
          </w:tcPr>
          <w:p w14:paraId="1A919435" w14:textId="77777777" w:rsidR="00A76ADB" w:rsidRDefault="00A76ADB" w:rsidP="007E3239">
            <w:pPr>
              <w:pStyle w:val="TableText"/>
            </w:pPr>
            <w:r>
              <w:rPr>
                <w:rFonts w:eastAsia="Calibri"/>
              </w:rPr>
              <w:t>0.076</w:t>
            </w:r>
          </w:p>
        </w:tc>
        <w:tc>
          <w:tcPr>
            <w:tcW w:w="709" w:type="dxa"/>
            <w:shd w:val="clear" w:color="auto" w:fill="FFFFFF"/>
            <w:vAlign w:val="center"/>
          </w:tcPr>
          <w:p w14:paraId="5DEF837A" w14:textId="77777777" w:rsidR="00A76ADB" w:rsidRDefault="00A76ADB" w:rsidP="007E3239">
            <w:pPr>
              <w:pStyle w:val="TableText"/>
            </w:pPr>
            <w:r>
              <w:rPr>
                <w:rFonts w:eastAsia="Calibri"/>
              </w:rPr>
              <w:t>0.076</w:t>
            </w:r>
          </w:p>
        </w:tc>
        <w:tc>
          <w:tcPr>
            <w:tcW w:w="1649" w:type="dxa"/>
            <w:shd w:val="clear" w:color="auto" w:fill="FFFFFF"/>
            <w:vAlign w:val="center"/>
          </w:tcPr>
          <w:p w14:paraId="4893D170" w14:textId="77777777" w:rsidR="00A76ADB" w:rsidRDefault="00A76ADB" w:rsidP="007E3239">
            <w:pPr>
              <w:pStyle w:val="TableText"/>
            </w:pPr>
            <w:r>
              <w:rPr>
                <w:rFonts w:eastAsia="Calibri"/>
              </w:rPr>
              <w:t>0.076</w:t>
            </w:r>
          </w:p>
        </w:tc>
        <w:tc>
          <w:tcPr>
            <w:tcW w:w="756" w:type="dxa"/>
            <w:shd w:val="clear" w:color="auto" w:fill="FFFFFF"/>
            <w:vAlign w:val="center"/>
          </w:tcPr>
          <w:p w14:paraId="69D681AA" w14:textId="77777777" w:rsidR="00A76ADB" w:rsidRDefault="00A76ADB" w:rsidP="007E3239">
            <w:pPr>
              <w:pStyle w:val="TableText"/>
            </w:pPr>
            <w:r>
              <w:rPr>
                <w:rFonts w:eastAsia="Calibri"/>
              </w:rPr>
              <w:t>0.116</w:t>
            </w:r>
          </w:p>
        </w:tc>
        <w:tc>
          <w:tcPr>
            <w:tcW w:w="713" w:type="dxa"/>
            <w:shd w:val="clear" w:color="auto" w:fill="FFFFFF"/>
            <w:vAlign w:val="center"/>
          </w:tcPr>
          <w:p w14:paraId="653937A3" w14:textId="77777777" w:rsidR="00A76ADB" w:rsidRDefault="00A76ADB" w:rsidP="007E3239">
            <w:pPr>
              <w:pStyle w:val="TableText"/>
            </w:pPr>
            <w:r>
              <w:rPr>
                <w:rFonts w:eastAsia="Calibri"/>
              </w:rPr>
              <w:t>0.185</w:t>
            </w:r>
          </w:p>
        </w:tc>
      </w:tr>
      <w:tr w:rsidR="00A76ADB" w14:paraId="17F33D72" w14:textId="77777777" w:rsidTr="00040B37">
        <w:trPr>
          <w:cantSplit/>
          <w:trHeight w:val="283"/>
        </w:trPr>
        <w:tc>
          <w:tcPr>
            <w:tcW w:w="2552" w:type="dxa"/>
            <w:shd w:val="clear" w:color="auto" w:fill="FFFFFF"/>
            <w:vAlign w:val="center"/>
          </w:tcPr>
          <w:p w14:paraId="459E8BBA" w14:textId="77777777" w:rsidR="00A76ADB" w:rsidRDefault="00A76ADB" w:rsidP="007E3239">
            <w:pPr>
              <w:pStyle w:val="TableText"/>
            </w:pPr>
            <w:r>
              <w:rPr>
                <w:rFonts w:eastAsia="Calibri"/>
              </w:rPr>
              <w:t>k-value dry sites</w:t>
            </w:r>
          </w:p>
        </w:tc>
        <w:tc>
          <w:tcPr>
            <w:tcW w:w="708" w:type="dxa"/>
            <w:shd w:val="clear" w:color="auto" w:fill="FFFFFF"/>
            <w:vAlign w:val="center"/>
          </w:tcPr>
          <w:p w14:paraId="6E6329A5" w14:textId="77777777" w:rsidR="00A76ADB" w:rsidRDefault="00A76ADB" w:rsidP="007E3239">
            <w:pPr>
              <w:pStyle w:val="TableText"/>
            </w:pPr>
            <w:r>
              <w:rPr>
                <w:rFonts w:eastAsia="Calibri"/>
              </w:rPr>
              <w:t>0.116</w:t>
            </w:r>
          </w:p>
        </w:tc>
        <w:tc>
          <w:tcPr>
            <w:tcW w:w="709" w:type="dxa"/>
            <w:shd w:val="clear" w:color="auto" w:fill="FFFFFF"/>
            <w:vAlign w:val="center"/>
          </w:tcPr>
          <w:p w14:paraId="6D419F4B" w14:textId="77777777" w:rsidR="00A76ADB" w:rsidRDefault="00A76ADB" w:rsidP="007E3239">
            <w:pPr>
              <w:pStyle w:val="TableText"/>
            </w:pPr>
            <w:r>
              <w:rPr>
                <w:rFonts w:eastAsia="Calibri"/>
              </w:rPr>
              <w:t>0.076</w:t>
            </w:r>
          </w:p>
        </w:tc>
        <w:tc>
          <w:tcPr>
            <w:tcW w:w="709" w:type="dxa"/>
            <w:shd w:val="clear" w:color="auto" w:fill="FFFFFF"/>
            <w:vAlign w:val="center"/>
          </w:tcPr>
          <w:p w14:paraId="0988DFEF" w14:textId="77777777" w:rsidR="00A76ADB" w:rsidRDefault="00A76ADB" w:rsidP="007E3239">
            <w:pPr>
              <w:pStyle w:val="TableText"/>
            </w:pPr>
            <w:r>
              <w:rPr>
                <w:rFonts w:eastAsia="Calibri"/>
              </w:rPr>
              <w:t>0.046</w:t>
            </w:r>
          </w:p>
        </w:tc>
        <w:tc>
          <w:tcPr>
            <w:tcW w:w="709" w:type="dxa"/>
            <w:shd w:val="clear" w:color="auto" w:fill="FFFFFF"/>
            <w:vAlign w:val="center"/>
          </w:tcPr>
          <w:p w14:paraId="630385A6" w14:textId="77777777" w:rsidR="00A76ADB" w:rsidRDefault="00A76ADB" w:rsidP="007E3239">
            <w:pPr>
              <w:pStyle w:val="TableText"/>
            </w:pPr>
            <w:r>
              <w:rPr>
                <w:rFonts w:eastAsia="Calibri"/>
              </w:rPr>
              <w:t>0.046</w:t>
            </w:r>
          </w:p>
        </w:tc>
        <w:tc>
          <w:tcPr>
            <w:tcW w:w="1649" w:type="dxa"/>
            <w:shd w:val="clear" w:color="auto" w:fill="FFFFFF"/>
            <w:vAlign w:val="center"/>
          </w:tcPr>
          <w:p w14:paraId="192B297E" w14:textId="77777777" w:rsidR="00A76ADB" w:rsidRDefault="00A76ADB" w:rsidP="007E3239">
            <w:pPr>
              <w:pStyle w:val="TableText"/>
            </w:pPr>
            <w:r>
              <w:rPr>
                <w:rFonts w:eastAsia="Calibri"/>
              </w:rPr>
              <w:t>0.046</w:t>
            </w:r>
          </w:p>
        </w:tc>
        <w:tc>
          <w:tcPr>
            <w:tcW w:w="756" w:type="dxa"/>
            <w:shd w:val="clear" w:color="auto" w:fill="FFFFFF"/>
            <w:vAlign w:val="center"/>
          </w:tcPr>
          <w:p w14:paraId="27E387BD" w14:textId="77777777" w:rsidR="00A76ADB" w:rsidRDefault="00A76ADB" w:rsidP="007E3239">
            <w:pPr>
              <w:pStyle w:val="TableText"/>
            </w:pPr>
            <w:r>
              <w:rPr>
                <w:rFonts w:eastAsia="Calibri"/>
              </w:rPr>
              <w:t>0.076</w:t>
            </w:r>
          </w:p>
        </w:tc>
        <w:tc>
          <w:tcPr>
            <w:tcW w:w="713" w:type="dxa"/>
            <w:shd w:val="clear" w:color="auto" w:fill="FFFFFF"/>
            <w:vAlign w:val="center"/>
          </w:tcPr>
          <w:p w14:paraId="5EDB23A4" w14:textId="77777777" w:rsidR="00A76ADB" w:rsidRDefault="00A76ADB" w:rsidP="007E3239">
            <w:pPr>
              <w:pStyle w:val="TableText"/>
            </w:pPr>
            <w:r>
              <w:rPr>
                <w:rFonts w:eastAsia="Calibri"/>
              </w:rPr>
              <w:t>0.185</w:t>
            </w:r>
          </w:p>
        </w:tc>
      </w:tr>
    </w:tbl>
    <w:p w14:paraId="69890359" w14:textId="77777777" w:rsidR="00A76ADB" w:rsidRDefault="00A76ADB" w:rsidP="00A76ADB">
      <w:pPr>
        <w:pStyle w:val="Noteundertable"/>
      </w:pPr>
      <w:r>
        <w:rPr>
          <w:b/>
          <w:bCs/>
        </w:rPr>
        <w:t>Note:</w:t>
      </w:r>
      <w:r w:rsidRPr="004C0776">
        <w:t xml:space="preserve"> </w:t>
      </w:r>
      <w:r>
        <w:tab/>
        <w:t>DDOC = decomposable degradable organic carbon; DOC = degradable organic carbon; DOCf = DOC fraction. All parameters are from Eunomia (unpublished(a)) except: (a) DDOC for food is from IPCC (2019); (b) all values for sludge are from IPCC (2006a) default wet temperate; and (c) all DOCf values are from IPCC (2019) except for garden waste (Eunomia, unpublished(a)).</w:t>
      </w:r>
    </w:p>
    <w:p w14:paraId="48524B5E" w14:textId="77777777" w:rsidR="00A76ADB" w:rsidRDefault="00A76ADB" w:rsidP="00A76ADB">
      <w:pPr>
        <w:pStyle w:val="BodyText"/>
      </w:pPr>
      <w:r>
        <w:t xml:space="preserve">Eunomia (unpublished(a)) recommended DOC fraction (DOCf) values consistent with the 2019 IPCC refinement to the 2006 Guidelines, except for garden waste, which is adjusted for a proportion of woody branches. DOC values are calculated based on the ratio of the DDOC to DOCf instead of being given explicitly. The DDOC values for all materials differ from IPCC (2006a) defaults, which is largely a reflection of global trends in the characteristics of materials. Accounting for numerous considerations, the most suitable DDOC for food is IPCC (2019). Paper is lower than the IPCC (2006a) default to account for the types of paper such as magazine and newsprint paper that do not degrade as easily as plain paper due to their high lignin content. The wood DDOC is specific to New Zealand, much lower than IPCC (2006a) defaults but closer to IPCC (2019) values, as it accounts for the ratio of treated and untreated wood disposed in New Zealand landfills, as well as the degradability of these types of wood wastes. DDOC for textiles varies to account for an increasing quantity of synthetic fibres over </w:t>
      </w:r>
      <w:r>
        <w:lastRenderedPageBreak/>
        <w:t>time. Nappies have a lower DDOC than the IPCC default, which is based on the Swedish anaerobic digestion model, noting that there is no source or justification for the IPCC default. The rates of decay (k-values) are differentiated by climate and composition as determined by Eunomia (unpublished(a)).</w:t>
      </w:r>
    </w:p>
    <w:p w14:paraId="18222D6B" w14:textId="77777777" w:rsidR="00A76ADB" w:rsidRDefault="00A76ADB" w:rsidP="00A76ADB">
      <w:pPr>
        <w:pStyle w:val="BodyText"/>
      </w:pPr>
      <w:r>
        <w:t>Eunomia (unpublished(a)) has carefully assessed international data, particularly from the United Kingdom, for its applicability to New Zealand landfills. It considered factors that could influence parameters at national and regional levels. For example, New Zealand is an island nation with a maritime climate, as is the United Kingdom, and some studies based in the United Kingdom take these factors into account when the IPCC default parameters (i.e., k‑values) do not. Further, landfill site management practices, such as landfill cell capping, gas capture methods, daily cover, intermediate cover and leachate management in the United Kingdom and New Zealand are reasonably well aligned. Therefore, these represent the best data available for New Zealand landfills, until more New Zealand studies are available.</w:t>
      </w:r>
    </w:p>
    <w:p w14:paraId="7235144C" w14:textId="77777777" w:rsidR="00A76ADB" w:rsidRDefault="00A76ADB" w:rsidP="00A76ADB">
      <w:pPr>
        <w:pStyle w:val="Heading6"/>
      </w:pPr>
      <w:bookmarkStart w:id="2368" w:name="gas-recovery"/>
      <w:bookmarkEnd w:id="2366"/>
      <w:r>
        <w:t>Gas recovery</w:t>
      </w:r>
    </w:p>
    <w:p w14:paraId="79588AD0" w14:textId="77777777" w:rsidR="00A76ADB" w:rsidRDefault="00A76ADB" w:rsidP="00A76ADB">
      <w:pPr>
        <w:pStyle w:val="BodyText"/>
      </w:pPr>
      <w:r>
        <w:t>Beginning in the 2021 submission, based on studies of similar landfills in the United Kingdom (Eunomia, unpublished(a)) gas recovery rates use one of two values applied to all years, with the choice of value depending only on whether the site is currently open or not. This is because the values are representative of average recovery rates over the lifetime of the landfill as follows.</w:t>
      </w:r>
    </w:p>
    <w:p w14:paraId="54D23A48" w14:textId="77777777" w:rsidR="00A76ADB" w:rsidRDefault="00A76ADB" w:rsidP="00B2143D">
      <w:pPr>
        <w:pStyle w:val="Bullet"/>
      </w:pPr>
      <w:r>
        <w:t>Sites that are open in the latest reporting year use a 68 per cent gas recovery rate.</w:t>
      </w:r>
    </w:p>
    <w:p w14:paraId="2012CB94" w14:textId="77777777" w:rsidR="00A76ADB" w:rsidRDefault="00A76ADB" w:rsidP="00A76ADB">
      <w:pPr>
        <w:pStyle w:val="Bullet"/>
      </w:pPr>
      <w:r>
        <w:t xml:space="preserve">Sites that are closed in the latest </w:t>
      </w:r>
      <w:r w:rsidRPr="00DD5C54">
        <w:t>reporting</w:t>
      </w:r>
      <w:r>
        <w:t xml:space="preserve"> year use a 52 per cent gas recovery rate.</w:t>
      </w:r>
    </w:p>
    <w:p w14:paraId="0C18A411" w14:textId="77777777" w:rsidR="00A76ADB" w:rsidRDefault="00A76ADB" w:rsidP="00A76ADB">
      <w:pPr>
        <w:pStyle w:val="BodyText"/>
        <w:spacing w:before="100" w:after="100"/>
      </w:pPr>
      <w:r>
        <w:t>Using a higher recovery rate for open sites reflects that most of them are modern, large, well</w:t>
      </w:r>
      <w:r>
        <w:noBreakHyphen/>
        <w:t>managed facilities that have more efficient systems than older sites that are less well‑managed. This approach is chosen due to the limited data available in New Zealand. This will be revised if and when more capture data become available to the Ministry for the Environment.</w:t>
      </w:r>
    </w:p>
    <w:p w14:paraId="285AD59A" w14:textId="77777777" w:rsidR="00A76ADB" w:rsidRDefault="00A76ADB" w:rsidP="00A76ADB">
      <w:pPr>
        <w:pStyle w:val="BodyText"/>
        <w:spacing w:before="100" w:after="100"/>
      </w:pPr>
      <w:r>
        <w:t>Noting that most parameters used in the landfill models are similar to those in the United Kingdom, we can compare observed methane recovery rates in the United Kingdom with the parameters used in the New Zealand model. Recovery rates were found to be between 45 per cent and 70 per cent or more (Eunomia, unpublished(a)). The values chosen for New Zealand are within this range.</w:t>
      </w:r>
    </w:p>
    <w:p w14:paraId="3FC13BFA" w14:textId="77777777" w:rsidR="00A76ADB" w:rsidRDefault="00A76ADB" w:rsidP="00A76ADB">
      <w:pPr>
        <w:pStyle w:val="Heading6"/>
      </w:pPr>
      <w:bookmarkStart w:id="2369" w:name="summary-of-parameters-used"/>
      <w:bookmarkEnd w:id="2368"/>
      <w:r>
        <w:t>Summary of parameters used</w:t>
      </w:r>
    </w:p>
    <w:p w14:paraId="7326C726" w14:textId="77777777" w:rsidR="00A76ADB" w:rsidRDefault="00A76ADB" w:rsidP="00A76ADB">
      <w:pPr>
        <w:pStyle w:val="BodyText"/>
        <w:spacing w:before="100" w:after="100"/>
      </w:pPr>
      <w:r>
        <w:t>Table 7.2.7 gives a summary of the parameter values that have been applied for estimating CH</w:t>
      </w:r>
      <w:r>
        <w:rPr>
          <w:vertAlign w:val="subscript"/>
        </w:rPr>
        <w:t>4</w:t>
      </w:r>
      <w:r>
        <w:t xml:space="preserve"> emissions for solid waste disposed to municipal landfills.</w:t>
      </w:r>
    </w:p>
    <w:p w14:paraId="31B2FB23" w14:textId="77777777" w:rsidR="00A76ADB" w:rsidRDefault="00A76ADB" w:rsidP="00A76ADB">
      <w:pPr>
        <w:pStyle w:val="Table"/>
      </w:pPr>
      <w:bookmarkStart w:id="2370" w:name="_Toc99659329"/>
      <w:r>
        <w:t>Table 7.2.7</w:t>
      </w:r>
      <w:r>
        <w:tab/>
        <w:t>Summary of parameters for municipal landfills</w:t>
      </w:r>
      <w:bookmarkEnd w:id="2370"/>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642"/>
        <w:gridCol w:w="1787"/>
        <w:gridCol w:w="1261"/>
        <w:gridCol w:w="2815"/>
      </w:tblGrid>
      <w:tr w:rsidR="00A76ADB" w:rsidRPr="008F4D2D" w14:paraId="467ECDEF" w14:textId="77777777" w:rsidTr="00040B37">
        <w:trPr>
          <w:cantSplit/>
          <w:tblHeader/>
        </w:trPr>
        <w:tc>
          <w:tcPr>
            <w:tcW w:w="0" w:type="auto"/>
            <w:shd w:val="clear" w:color="auto" w:fill="1B556B"/>
            <w:tcMar>
              <w:top w:w="0" w:type="dxa"/>
              <w:left w:w="108" w:type="dxa"/>
              <w:bottom w:w="0" w:type="dxa"/>
              <w:right w:w="108" w:type="dxa"/>
            </w:tcMar>
            <w:vAlign w:val="center"/>
          </w:tcPr>
          <w:p w14:paraId="3A592AC8" w14:textId="77777777" w:rsidR="00A76ADB" w:rsidRPr="006C0D1B" w:rsidRDefault="00A76ADB" w:rsidP="007E3239">
            <w:pPr>
              <w:pStyle w:val="TableTextBold"/>
              <w:spacing w:before="50" w:after="50"/>
              <w:rPr>
                <w:color w:val="FFFFFF"/>
              </w:rPr>
            </w:pPr>
            <w:r w:rsidRPr="006C0D1B">
              <w:rPr>
                <w:rFonts w:eastAsia="Calibri"/>
                <w:color w:val="FFFFFF"/>
              </w:rPr>
              <w:t>Parameter</w:t>
            </w:r>
          </w:p>
        </w:tc>
        <w:tc>
          <w:tcPr>
            <w:tcW w:w="0" w:type="auto"/>
            <w:shd w:val="clear" w:color="auto" w:fill="1B556B"/>
            <w:tcMar>
              <w:top w:w="0" w:type="dxa"/>
              <w:left w:w="108" w:type="dxa"/>
              <w:bottom w:w="0" w:type="dxa"/>
              <w:right w:w="108" w:type="dxa"/>
            </w:tcMar>
            <w:vAlign w:val="center"/>
          </w:tcPr>
          <w:p w14:paraId="09CB15EC" w14:textId="77777777" w:rsidR="00A76ADB" w:rsidRPr="006C0D1B" w:rsidRDefault="00A76ADB" w:rsidP="007E3239">
            <w:pPr>
              <w:pStyle w:val="TableTextBold"/>
              <w:spacing w:before="50" w:after="50"/>
              <w:rPr>
                <w:color w:val="FFFFFF"/>
              </w:rPr>
            </w:pPr>
            <w:r w:rsidRPr="006C0D1B">
              <w:rPr>
                <w:rFonts w:eastAsia="Calibri"/>
                <w:color w:val="FFFFFF"/>
              </w:rPr>
              <w:t>Values</w:t>
            </w:r>
          </w:p>
        </w:tc>
        <w:tc>
          <w:tcPr>
            <w:tcW w:w="0" w:type="auto"/>
            <w:shd w:val="clear" w:color="auto" w:fill="1B556B"/>
            <w:tcMar>
              <w:top w:w="0" w:type="dxa"/>
              <w:left w:w="108" w:type="dxa"/>
              <w:bottom w:w="0" w:type="dxa"/>
              <w:right w:w="108" w:type="dxa"/>
            </w:tcMar>
            <w:vAlign w:val="center"/>
          </w:tcPr>
          <w:p w14:paraId="4F14BB5A" w14:textId="77777777" w:rsidR="00A76ADB" w:rsidRPr="006C0D1B" w:rsidRDefault="00A76ADB" w:rsidP="007E3239">
            <w:pPr>
              <w:pStyle w:val="TableTextBold"/>
              <w:spacing w:before="50" w:after="50"/>
              <w:rPr>
                <w:color w:val="FFFFFF"/>
              </w:rPr>
            </w:pPr>
            <w:r w:rsidRPr="006C0D1B">
              <w:rPr>
                <w:rFonts w:eastAsia="Calibri"/>
                <w:color w:val="FFFFFF"/>
              </w:rPr>
              <w:t>Source</w:t>
            </w:r>
          </w:p>
        </w:tc>
        <w:tc>
          <w:tcPr>
            <w:tcW w:w="0" w:type="auto"/>
            <w:shd w:val="clear" w:color="auto" w:fill="1B556B"/>
            <w:tcMar>
              <w:top w:w="0" w:type="dxa"/>
              <w:left w:w="108" w:type="dxa"/>
              <w:bottom w:w="0" w:type="dxa"/>
              <w:right w:w="108" w:type="dxa"/>
            </w:tcMar>
            <w:vAlign w:val="center"/>
          </w:tcPr>
          <w:p w14:paraId="69644382" w14:textId="77777777" w:rsidR="00A76ADB" w:rsidRPr="006C0D1B" w:rsidRDefault="00A76ADB" w:rsidP="007E3239">
            <w:pPr>
              <w:pStyle w:val="TableTextBold"/>
              <w:spacing w:before="50" w:after="50"/>
              <w:rPr>
                <w:color w:val="FFFFFF"/>
              </w:rPr>
            </w:pPr>
            <w:r w:rsidRPr="006C0D1B">
              <w:rPr>
                <w:rFonts w:eastAsia="Calibri"/>
                <w:color w:val="FFFFFF"/>
              </w:rPr>
              <w:t>Reference</w:t>
            </w:r>
          </w:p>
        </w:tc>
      </w:tr>
      <w:tr w:rsidR="00A76ADB" w14:paraId="4019DE74" w14:textId="77777777" w:rsidTr="00040B37">
        <w:trPr>
          <w:cantSplit/>
          <w:trHeight w:val="283"/>
        </w:trPr>
        <w:tc>
          <w:tcPr>
            <w:tcW w:w="0" w:type="auto"/>
            <w:shd w:val="clear" w:color="auto" w:fill="FFFFFF"/>
            <w:tcMar>
              <w:top w:w="0" w:type="dxa"/>
              <w:left w:w="108" w:type="dxa"/>
              <w:bottom w:w="0" w:type="dxa"/>
              <w:right w:w="108" w:type="dxa"/>
            </w:tcMar>
            <w:vAlign w:val="center"/>
          </w:tcPr>
          <w:p w14:paraId="09AF1F65" w14:textId="77777777" w:rsidR="00A76ADB" w:rsidRDefault="00A76ADB" w:rsidP="00B2143D">
            <w:pPr>
              <w:pStyle w:val="TableTextBold"/>
              <w:spacing w:before="40" w:after="40"/>
            </w:pPr>
            <w:r>
              <w:rPr>
                <w:rFonts w:eastAsia="Calibri"/>
              </w:rPr>
              <w:t>Managed landfills</w:t>
            </w:r>
          </w:p>
        </w:tc>
        <w:tc>
          <w:tcPr>
            <w:tcW w:w="0" w:type="auto"/>
            <w:shd w:val="clear" w:color="auto" w:fill="FFFFFF"/>
            <w:tcMar>
              <w:top w:w="0" w:type="dxa"/>
              <w:left w:w="108" w:type="dxa"/>
              <w:bottom w:w="0" w:type="dxa"/>
              <w:right w:w="108" w:type="dxa"/>
            </w:tcMar>
            <w:vAlign w:val="center"/>
          </w:tcPr>
          <w:p w14:paraId="1E5429CE" w14:textId="77777777" w:rsidR="00A76ADB" w:rsidRDefault="00A76ADB" w:rsidP="00B2143D">
            <w:pPr>
              <w:pStyle w:val="TableTextBold"/>
              <w:spacing w:before="40" w:after="40"/>
            </w:pPr>
          </w:p>
        </w:tc>
        <w:tc>
          <w:tcPr>
            <w:tcW w:w="0" w:type="auto"/>
            <w:shd w:val="clear" w:color="auto" w:fill="FFFFFF"/>
            <w:tcMar>
              <w:top w:w="0" w:type="dxa"/>
              <w:left w:w="108" w:type="dxa"/>
              <w:bottom w:w="0" w:type="dxa"/>
              <w:right w:w="108" w:type="dxa"/>
            </w:tcMar>
            <w:vAlign w:val="center"/>
          </w:tcPr>
          <w:p w14:paraId="1DD47B96" w14:textId="77777777" w:rsidR="00A76ADB" w:rsidRDefault="00A76ADB" w:rsidP="00B2143D">
            <w:pPr>
              <w:pStyle w:val="TableTextBold"/>
              <w:spacing w:before="40" w:after="40"/>
            </w:pPr>
          </w:p>
        </w:tc>
        <w:tc>
          <w:tcPr>
            <w:tcW w:w="0" w:type="auto"/>
            <w:shd w:val="clear" w:color="auto" w:fill="FFFFFF"/>
            <w:tcMar>
              <w:top w:w="0" w:type="dxa"/>
              <w:left w:w="108" w:type="dxa"/>
              <w:bottom w:w="0" w:type="dxa"/>
              <w:right w:w="108" w:type="dxa"/>
            </w:tcMar>
            <w:vAlign w:val="center"/>
          </w:tcPr>
          <w:p w14:paraId="7B95E25C" w14:textId="77777777" w:rsidR="00A76ADB" w:rsidRDefault="00A76ADB" w:rsidP="00B2143D">
            <w:pPr>
              <w:pStyle w:val="TableTextBold"/>
              <w:spacing w:before="40" w:after="40"/>
            </w:pPr>
          </w:p>
        </w:tc>
      </w:tr>
      <w:tr w:rsidR="00A76ADB" w14:paraId="18EEED54" w14:textId="77777777" w:rsidTr="00040B37">
        <w:trPr>
          <w:cantSplit/>
          <w:trHeight w:val="283"/>
        </w:trPr>
        <w:tc>
          <w:tcPr>
            <w:tcW w:w="0" w:type="auto"/>
            <w:shd w:val="clear" w:color="auto" w:fill="FFFFFF"/>
            <w:tcMar>
              <w:top w:w="0" w:type="dxa"/>
              <w:left w:w="108" w:type="dxa"/>
              <w:bottom w:w="0" w:type="dxa"/>
              <w:right w:w="108" w:type="dxa"/>
            </w:tcMar>
            <w:vAlign w:val="center"/>
          </w:tcPr>
          <w:p w14:paraId="3B77EBDF" w14:textId="77777777" w:rsidR="00A76ADB" w:rsidRDefault="00A76ADB" w:rsidP="00B2143D">
            <w:pPr>
              <w:pStyle w:val="TableText"/>
              <w:spacing w:before="40" w:after="40"/>
            </w:pPr>
            <w:r>
              <w:rPr>
                <w:rFonts w:eastAsia="Calibri"/>
              </w:rPr>
              <w:t>k-value (by waste type and rainfall)</w:t>
            </w:r>
          </w:p>
        </w:tc>
        <w:tc>
          <w:tcPr>
            <w:tcW w:w="0" w:type="auto"/>
            <w:shd w:val="clear" w:color="auto" w:fill="FFFFFF"/>
            <w:tcMar>
              <w:top w:w="0" w:type="dxa"/>
              <w:left w:w="108" w:type="dxa"/>
              <w:bottom w:w="0" w:type="dxa"/>
              <w:right w:w="108" w:type="dxa"/>
            </w:tcMar>
            <w:vAlign w:val="center"/>
          </w:tcPr>
          <w:p w14:paraId="02A09ACA" w14:textId="77777777" w:rsidR="00A76ADB" w:rsidRDefault="00A76ADB" w:rsidP="00B2143D">
            <w:pPr>
              <w:pStyle w:val="TableText"/>
              <w:spacing w:before="40" w:after="40"/>
            </w:pPr>
            <w:r>
              <w:rPr>
                <w:rFonts w:eastAsia="Calibri"/>
              </w:rPr>
              <w:t>0.046–0.694</w:t>
            </w:r>
          </w:p>
        </w:tc>
        <w:tc>
          <w:tcPr>
            <w:tcW w:w="0" w:type="auto"/>
            <w:shd w:val="clear" w:color="auto" w:fill="FFFFFF"/>
            <w:tcMar>
              <w:top w:w="0" w:type="dxa"/>
              <w:left w:w="108" w:type="dxa"/>
              <w:bottom w:w="0" w:type="dxa"/>
              <w:right w:w="108" w:type="dxa"/>
            </w:tcMar>
            <w:vAlign w:val="center"/>
          </w:tcPr>
          <w:p w14:paraId="665EE383" w14:textId="77777777" w:rsidR="00A76ADB" w:rsidRDefault="00A76ADB" w:rsidP="00B2143D">
            <w:pPr>
              <w:pStyle w:val="TableText"/>
              <w:spacing w:before="40" w:after="40"/>
            </w:pPr>
            <w:r>
              <w:rPr>
                <w:rFonts w:eastAsia="Calibri"/>
              </w:rPr>
              <w:t>Country specific</w:t>
            </w:r>
          </w:p>
        </w:tc>
        <w:tc>
          <w:tcPr>
            <w:tcW w:w="0" w:type="auto"/>
            <w:shd w:val="clear" w:color="auto" w:fill="FFFFFF"/>
            <w:tcMar>
              <w:top w:w="0" w:type="dxa"/>
              <w:left w:w="108" w:type="dxa"/>
              <w:bottom w:w="0" w:type="dxa"/>
              <w:right w:w="108" w:type="dxa"/>
            </w:tcMar>
            <w:vAlign w:val="center"/>
          </w:tcPr>
          <w:p w14:paraId="614B1845" w14:textId="77777777" w:rsidR="00A76ADB" w:rsidRDefault="00A76ADB" w:rsidP="00B2143D">
            <w:pPr>
              <w:pStyle w:val="TableText"/>
              <w:spacing w:before="40" w:after="40"/>
            </w:pPr>
            <w:r>
              <w:rPr>
                <w:rFonts w:eastAsia="Calibri"/>
              </w:rPr>
              <w:t>Eunomia (unpublished(a)), IPCC (2006a)</w:t>
            </w:r>
          </w:p>
        </w:tc>
      </w:tr>
      <w:tr w:rsidR="00A76ADB" w14:paraId="4AD57645" w14:textId="77777777" w:rsidTr="00040B37">
        <w:trPr>
          <w:cantSplit/>
          <w:trHeight w:val="283"/>
        </w:trPr>
        <w:tc>
          <w:tcPr>
            <w:tcW w:w="0" w:type="auto"/>
            <w:shd w:val="clear" w:color="auto" w:fill="FFFFFF"/>
            <w:tcMar>
              <w:top w:w="0" w:type="dxa"/>
              <w:left w:w="108" w:type="dxa"/>
              <w:bottom w:w="0" w:type="dxa"/>
              <w:right w:w="108" w:type="dxa"/>
            </w:tcMar>
            <w:vAlign w:val="center"/>
          </w:tcPr>
          <w:p w14:paraId="21137653" w14:textId="77777777" w:rsidR="00A76ADB" w:rsidRDefault="00A76ADB" w:rsidP="00B2143D">
            <w:pPr>
              <w:pStyle w:val="TableText"/>
              <w:spacing w:before="40" w:after="40"/>
            </w:pPr>
            <w:r>
              <w:rPr>
                <w:rFonts w:eastAsia="Calibri"/>
              </w:rPr>
              <w:t>Methane correction factor</w:t>
            </w:r>
          </w:p>
        </w:tc>
        <w:tc>
          <w:tcPr>
            <w:tcW w:w="0" w:type="auto"/>
            <w:shd w:val="clear" w:color="auto" w:fill="FFFFFF"/>
            <w:tcMar>
              <w:top w:w="0" w:type="dxa"/>
              <w:left w:w="108" w:type="dxa"/>
              <w:bottom w:w="0" w:type="dxa"/>
              <w:right w:w="108" w:type="dxa"/>
            </w:tcMar>
            <w:vAlign w:val="center"/>
          </w:tcPr>
          <w:p w14:paraId="02AF1A95" w14:textId="77777777" w:rsidR="00A76ADB" w:rsidRDefault="00A76ADB" w:rsidP="00B2143D">
            <w:pPr>
              <w:pStyle w:val="TableText"/>
              <w:spacing w:before="40" w:after="40"/>
            </w:pPr>
            <w:r>
              <w:rPr>
                <w:rFonts w:eastAsia="Calibri"/>
              </w:rPr>
              <w:t>1</w:t>
            </w:r>
          </w:p>
        </w:tc>
        <w:tc>
          <w:tcPr>
            <w:tcW w:w="0" w:type="auto"/>
            <w:shd w:val="clear" w:color="auto" w:fill="FFFFFF"/>
            <w:tcMar>
              <w:top w:w="0" w:type="dxa"/>
              <w:left w:w="108" w:type="dxa"/>
              <w:bottom w:w="0" w:type="dxa"/>
              <w:right w:w="108" w:type="dxa"/>
            </w:tcMar>
            <w:vAlign w:val="center"/>
          </w:tcPr>
          <w:p w14:paraId="129B8419" w14:textId="77777777" w:rsidR="00A76ADB" w:rsidRDefault="00A76ADB" w:rsidP="00B2143D">
            <w:pPr>
              <w:pStyle w:val="TableText"/>
              <w:spacing w:before="40" w:after="40"/>
            </w:pPr>
            <w:r>
              <w:rPr>
                <w:rFonts w:eastAsia="Calibri"/>
              </w:rPr>
              <w:t>IPCC default</w:t>
            </w:r>
          </w:p>
        </w:tc>
        <w:tc>
          <w:tcPr>
            <w:tcW w:w="0" w:type="auto"/>
            <w:shd w:val="clear" w:color="auto" w:fill="FFFFFF"/>
            <w:tcMar>
              <w:top w:w="0" w:type="dxa"/>
              <w:left w:w="108" w:type="dxa"/>
              <w:bottom w:w="0" w:type="dxa"/>
              <w:right w:w="108" w:type="dxa"/>
            </w:tcMar>
            <w:vAlign w:val="center"/>
          </w:tcPr>
          <w:p w14:paraId="73276EE0" w14:textId="77777777" w:rsidR="00A76ADB" w:rsidRDefault="00A76ADB" w:rsidP="00B2143D">
            <w:pPr>
              <w:pStyle w:val="TableText"/>
              <w:spacing w:before="40" w:after="40"/>
            </w:pPr>
            <w:r>
              <w:rPr>
                <w:rFonts w:eastAsia="Calibri"/>
              </w:rPr>
              <w:t>IPCC (2006a)</w:t>
            </w:r>
          </w:p>
        </w:tc>
      </w:tr>
      <w:tr w:rsidR="00A76ADB" w14:paraId="37799D6A" w14:textId="77777777" w:rsidTr="00040B37">
        <w:trPr>
          <w:cantSplit/>
          <w:trHeight w:val="283"/>
        </w:trPr>
        <w:tc>
          <w:tcPr>
            <w:tcW w:w="0" w:type="auto"/>
            <w:shd w:val="clear" w:color="auto" w:fill="FFFFFF"/>
            <w:tcMar>
              <w:top w:w="0" w:type="dxa"/>
              <w:left w:w="108" w:type="dxa"/>
              <w:bottom w:w="0" w:type="dxa"/>
              <w:right w:w="108" w:type="dxa"/>
            </w:tcMar>
            <w:vAlign w:val="center"/>
          </w:tcPr>
          <w:p w14:paraId="7A27084F" w14:textId="77777777" w:rsidR="00A76ADB" w:rsidRDefault="00A76ADB" w:rsidP="00B2143D">
            <w:pPr>
              <w:pStyle w:val="TableText"/>
              <w:spacing w:before="40" w:after="40"/>
            </w:pPr>
            <w:r>
              <w:rPr>
                <w:rFonts w:eastAsia="Calibri"/>
              </w:rPr>
              <w:t>Oxidation factor</w:t>
            </w:r>
          </w:p>
        </w:tc>
        <w:tc>
          <w:tcPr>
            <w:tcW w:w="0" w:type="auto"/>
            <w:shd w:val="clear" w:color="auto" w:fill="FFFFFF"/>
            <w:tcMar>
              <w:top w:w="0" w:type="dxa"/>
              <w:left w:w="108" w:type="dxa"/>
              <w:bottom w:w="0" w:type="dxa"/>
              <w:right w:w="108" w:type="dxa"/>
            </w:tcMar>
            <w:vAlign w:val="center"/>
          </w:tcPr>
          <w:p w14:paraId="4676B755" w14:textId="77777777" w:rsidR="00A76ADB" w:rsidRDefault="00A76ADB" w:rsidP="00B2143D">
            <w:pPr>
              <w:pStyle w:val="TableText"/>
              <w:spacing w:before="40" w:after="40"/>
            </w:pPr>
            <w:r>
              <w:rPr>
                <w:rFonts w:eastAsia="Calibri"/>
              </w:rPr>
              <w:t>10 per cent</w:t>
            </w:r>
          </w:p>
        </w:tc>
        <w:tc>
          <w:tcPr>
            <w:tcW w:w="0" w:type="auto"/>
            <w:shd w:val="clear" w:color="auto" w:fill="FFFFFF"/>
            <w:tcMar>
              <w:top w:w="0" w:type="dxa"/>
              <w:left w:w="108" w:type="dxa"/>
              <w:bottom w:w="0" w:type="dxa"/>
              <w:right w:w="108" w:type="dxa"/>
            </w:tcMar>
            <w:vAlign w:val="center"/>
          </w:tcPr>
          <w:p w14:paraId="536422CD" w14:textId="77777777" w:rsidR="00A76ADB" w:rsidRDefault="00A76ADB" w:rsidP="00B2143D">
            <w:pPr>
              <w:pStyle w:val="TableText"/>
              <w:spacing w:before="40" w:after="40"/>
            </w:pPr>
            <w:r>
              <w:rPr>
                <w:rFonts w:eastAsia="Calibri"/>
              </w:rPr>
              <w:t>IPCC default</w:t>
            </w:r>
          </w:p>
        </w:tc>
        <w:tc>
          <w:tcPr>
            <w:tcW w:w="0" w:type="auto"/>
            <w:shd w:val="clear" w:color="auto" w:fill="FFFFFF"/>
            <w:tcMar>
              <w:top w:w="0" w:type="dxa"/>
              <w:left w:w="108" w:type="dxa"/>
              <w:bottom w:w="0" w:type="dxa"/>
              <w:right w:w="108" w:type="dxa"/>
            </w:tcMar>
            <w:vAlign w:val="center"/>
          </w:tcPr>
          <w:p w14:paraId="4397F408" w14:textId="77777777" w:rsidR="00A76ADB" w:rsidRDefault="00A76ADB" w:rsidP="00B2143D">
            <w:pPr>
              <w:pStyle w:val="TableText"/>
              <w:spacing w:before="40" w:after="40"/>
            </w:pPr>
            <w:r>
              <w:rPr>
                <w:rFonts w:eastAsia="Calibri"/>
              </w:rPr>
              <w:t>IPCC (2006a)</w:t>
            </w:r>
          </w:p>
        </w:tc>
      </w:tr>
      <w:tr w:rsidR="00A76ADB" w14:paraId="40936BF8" w14:textId="77777777" w:rsidTr="00040B37">
        <w:trPr>
          <w:cantSplit/>
          <w:trHeight w:val="283"/>
        </w:trPr>
        <w:tc>
          <w:tcPr>
            <w:tcW w:w="0" w:type="auto"/>
            <w:shd w:val="clear" w:color="auto" w:fill="FFFFFF"/>
            <w:tcMar>
              <w:top w:w="0" w:type="dxa"/>
              <w:left w:w="108" w:type="dxa"/>
              <w:bottom w:w="0" w:type="dxa"/>
              <w:right w:w="108" w:type="dxa"/>
            </w:tcMar>
            <w:vAlign w:val="center"/>
          </w:tcPr>
          <w:p w14:paraId="4F98C26D" w14:textId="77777777" w:rsidR="00A76ADB" w:rsidRDefault="00A76ADB" w:rsidP="00B2143D">
            <w:pPr>
              <w:pStyle w:val="TableText"/>
              <w:spacing w:before="40" w:after="40"/>
            </w:pPr>
            <w:r>
              <w:rPr>
                <w:rFonts w:eastAsia="Calibri"/>
              </w:rPr>
              <w:t>Recovery efficiency</w:t>
            </w:r>
          </w:p>
        </w:tc>
        <w:tc>
          <w:tcPr>
            <w:tcW w:w="0" w:type="auto"/>
            <w:shd w:val="clear" w:color="auto" w:fill="FFFFFF"/>
            <w:tcMar>
              <w:top w:w="0" w:type="dxa"/>
              <w:left w:w="108" w:type="dxa"/>
              <w:bottom w:w="0" w:type="dxa"/>
              <w:right w:w="108" w:type="dxa"/>
            </w:tcMar>
            <w:vAlign w:val="center"/>
          </w:tcPr>
          <w:p w14:paraId="32679E0C" w14:textId="77777777" w:rsidR="00A76ADB" w:rsidRDefault="00A76ADB" w:rsidP="00B2143D">
            <w:pPr>
              <w:pStyle w:val="TableText"/>
              <w:spacing w:before="40" w:after="40"/>
            </w:pPr>
            <w:r>
              <w:rPr>
                <w:rFonts w:eastAsia="Calibri"/>
              </w:rPr>
              <w:t xml:space="preserve">52 per cent (closed) </w:t>
            </w:r>
            <w:r>
              <w:rPr>
                <w:rFonts w:eastAsia="Calibri"/>
              </w:rPr>
              <w:br/>
              <w:t xml:space="preserve">68 per cent (open) </w:t>
            </w:r>
            <w:r>
              <w:rPr>
                <w:rFonts w:eastAsia="Calibri"/>
              </w:rPr>
              <w:br/>
              <w:t>0 per cent (no recovery)</w:t>
            </w:r>
          </w:p>
        </w:tc>
        <w:tc>
          <w:tcPr>
            <w:tcW w:w="0" w:type="auto"/>
            <w:shd w:val="clear" w:color="auto" w:fill="FFFFFF"/>
            <w:tcMar>
              <w:top w:w="0" w:type="dxa"/>
              <w:left w:w="108" w:type="dxa"/>
              <w:bottom w:w="0" w:type="dxa"/>
              <w:right w:w="108" w:type="dxa"/>
            </w:tcMar>
            <w:vAlign w:val="center"/>
          </w:tcPr>
          <w:p w14:paraId="4C271304" w14:textId="77777777" w:rsidR="00A76ADB" w:rsidRDefault="00A76ADB" w:rsidP="00B2143D">
            <w:pPr>
              <w:pStyle w:val="TableText"/>
              <w:spacing w:before="40" w:after="40"/>
            </w:pPr>
            <w:r>
              <w:rPr>
                <w:rFonts w:eastAsia="Calibri"/>
              </w:rPr>
              <w:t>Site specific</w:t>
            </w:r>
          </w:p>
        </w:tc>
        <w:tc>
          <w:tcPr>
            <w:tcW w:w="0" w:type="auto"/>
            <w:shd w:val="clear" w:color="auto" w:fill="FFFFFF"/>
            <w:tcMar>
              <w:top w:w="0" w:type="dxa"/>
              <w:left w:w="108" w:type="dxa"/>
              <w:bottom w:w="0" w:type="dxa"/>
              <w:right w:w="108" w:type="dxa"/>
            </w:tcMar>
            <w:vAlign w:val="center"/>
          </w:tcPr>
          <w:p w14:paraId="1211666F" w14:textId="77777777" w:rsidR="00A76ADB" w:rsidRDefault="00A76ADB" w:rsidP="00B2143D">
            <w:pPr>
              <w:pStyle w:val="TableText"/>
              <w:spacing w:before="40" w:after="40"/>
            </w:pPr>
            <w:r>
              <w:rPr>
                <w:rFonts w:eastAsia="Calibri"/>
              </w:rPr>
              <w:t>Eunomia (unpublished(a))</w:t>
            </w:r>
          </w:p>
        </w:tc>
      </w:tr>
      <w:tr w:rsidR="00A76ADB" w14:paraId="7587365F" w14:textId="77777777" w:rsidTr="00040B37">
        <w:trPr>
          <w:cantSplit/>
          <w:trHeight w:val="283"/>
        </w:trPr>
        <w:tc>
          <w:tcPr>
            <w:tcW w:w="0" w:type="auto"/>
            <w:shd w:val="clear" w:color="auto" w:fill="FFFFFF"/>
            <w:tcMar>
              <w:top w:w="0" w:type="dxa"/>
              <w:left w:w="108" w:type="dxa"/>
              <w:bottom w:w="0" w:type="dxa"/>
              <w:right w:w="108" w:type="dxa"/>
            </w:tcMar>
            <w:vAlign w:val="center"/>
          </w:tcPr>
          <w:p w14:paraId="72A1D30C" w14:textId="77777777" w:rsidR="00A76ADB" w:rsidRDefault="00A76ADB" w:rsidP="00B2143D">
            <w:pPr>
              <w:pStyle w:val="TableText"/>
              <w:spacing w:before="40" w:after="40"/>
            </w:pPr>
            <w:r>
              <w:rPr>
                <w:rFonts w:eastAsia="Calibri"/>
              </w:rPr>
              <w:t>DDOC (kt C/kt waste) </w:t>
            </w:r>
          </w:p>
        </w:tc>
        <w:tc>
          <w:tcPr>
            <w:tcW w:w="0" w:type="auto"/>
            <w:shd w:val="clear" w:color="auto" w:fill="FFFFFF"/>
            <w:tcMar>
              <w:top w:w="0" w:type="dxa"/>
              <w:left w:w="108" w:type="dxa"/>
              <w:bottom w:w="0" w:type="dxa"/>
              <w:right w:w="108" w:type="dxa"/>
            </w:tcMar>
            <w:vAlign w:val="center"/>
          </w:tcPr>
          <w:p w14:paraId="452A57EA" w14:textId="77777777" w:rsidR="00A76ADB" w:rsidRDefault="00A76ADB" w:rsidP="00B2143D">
            <w:pPr>
              <w:pStyle w:val="TableText"/>
              <w:spacing w:before="40" w:after="40"/>
            </w:pPr>
            <w:r>
              <w:rPr>
                <w:rFonts w:eastAsia="Calibri"/>
              </w:rPr>
              <w:t>0.025–0.20</w:t>
            </w:r>
          </w:p>
        </w:tc>
        <w:tc>
          <w:tcPr>
            <w:tcW w:w="0" w:type="auto"/>
            <w:shd w:val="clear" w:color="auto" w:fill="FFFFFF"/>
            <w:tcMar>
              <w:top w:w="0" w:type="dxa"/>
              <w:left w:w="108" w:type="dxa"/>
              <w:bottom w:w="0" w:type="dxa"/>
              <w:right w:w="108" w:type="dxa"/>
            </w:tcMar>
            <w:vAlign w:val="center"/>
          </w:tcPr>
          <w:p w14:paraId="047B7CDC" w14:textId="77777777" w:rsidR="00A76ADB" w:rsidRDefault="00A76ADB" w:rsidP="00B2143D">
            <w:pPr>
              <w:pStyle w:val="TableText"/>
              <w:spacing w:before="40" w:after="40"/>
            </w:pPr>
            <w:r>
              <w:rPr>
                <w:rFonts w:eastAsia="Calibri"/>
              </w:rPr>
              <w:t>Country specific</w:t>
            </w:r>
          </w:p>
        </w:tc>
        <w:tc>
          <w:tcPr>
            <w:tcW w:w="0" w:type="auto"/>
            <w:shd w:val="clear" w:color="auto" w:fill="FFFFFF"/>
            <w:tcMar>
              <w:top w:w="0" w:type="dxa"/>
              <w:left w:w="108" w:type="dxa"/>
              <w:bottom w:w="0" w:type="dxa"/>
              <w:right w:w="108" w:type="dxa"/>
            </w:tcMar>
            <w:vAlign w:val="center"/>
          </w:tcPr>
          <w:p w14:paraId="1071B707" w14:textId="77777777" w:rsidR="00A76ADB" w:rsidRDefault="00A76ADB" w:rsidP="00B2143D">
            <w:pPr>
              <w:pStyle w:val="TableText"/>
              <w:spacing w:before="40" w:after="40"/>
            </w:pPr>
            <w:r>
              <w:rPr>
                <w:rFonts w:eastAsia="Calibri"/>
              </w:rPr>
              <w:t>Eunomia (unpublished(a)), IPCC (2006a)</w:t>
            </w:r>
          </w:p>
        </w:tc>
      </w:tr>
      <w:tr w:rsidR="00A76ADB" w14:paraId="5487106F" w14:textId="77777777" w:rsidTr="00040B37">
        <w:trPr>
          <w:cantSplit/>
          <w:trHeight w:val="283"/>
        </w:trPr>
        <w:tc>
          <w:tcPr>
            <w:tcW w:w="0" w:type="auto"/>
            <w:shd w:val="clear" w:color="auto" w:fill="FFFFFF"/>
            <w:tcMar>
              <w:top w:w="0" w:type="dxa"/>
              <w:left w:w="108" w:type="dxa"/>
              <w:bottom w:w="0" w:type="dxa"/>
              <w:right w:w="108" w:type="dxa"/>
            </w:tcMar>
            <w:vAlign w:val="center"/>
          </w:tcPr>
          <w:p w14:paraId="5F3DC881" w14:textId="77777777" w:rsidR="00A76ADB" w:rsidRDefault="00A76ADB" w:rsidP="007E3239">
            <w:pPr>
              <w:pStyle w:val="TableText"/>
              <w:spacing w:before="50" w:after="50"/>
            </w:pPr>
            <w:r>
              <w:rPr>
                <w:rFonts w:eastAsia="Calibri"/>
              </w:rPr>
              <w:lastRenderedPageBreak/>
              <w:t>DOCf that decomposes</w:t>
            </w:r>
          </w:p>
        </w:tc>
        <w:tc>
          <w:tcPr>
            <w:tcW w:w="0" w:type="auto"/>
            <w:shd w:val="clear" w:color="auto" w:fill="FFFFFF"/>
            <w:tcMar>
              <w:top w:w="0" w:type="dxa"/>
              <w:left w:w="108" w:type="dxa"/>
              <w:bottom w:w="0" w:type="dxa"/>
              <w:right w:w="108" w:type="dxa"/>
            </w:tcMar>
            <w:vAlign w:val="center"/>
          </w:tcPr>
          <w:p w14:paraId="6041EF94" w14:textId="77777777" w:rsidR="00A76ADB" w:rsidRDefault="00A76ADB" w:rsidP="007E3239">
            <w:pPr>
              <w:pStyle w:val="TableText"/>
              <w:spacing w:before="50" w:after="50"/>
            </w:pPr>
            <w:r>
              <w:rPr>
                <w:rFonts w:eastAsia="Calibri"/>
              </w:rPr>
              <w:t>0.14–0.7</w:t>
            </w:r>
          </w:p>
        </w:tc>
        <w:tc>
          <w:tcPr>
            <w:tcW w:w="0" w:type="auto"/>
            <w:shd w:val="clear" w:color="auto" w:fill="FFFFFF"/>
            <w:tcMar>
              <w:top w:w="0" w:type="dxa"/>
              <w:left w:w="108" w:type="dxa"/>
              <w:bottom w:w="0" w:type="dxa"/>
              <w:right w:w="108" w:type="dxa"/>
            </w:tcMar>
            <w:vAlign w:val="center"/>
          </w:tcPr>
          <w:p w14:paraId="5C90DE20" w14:textId="77777777" w:rsidR="00A76ADB" w:rsidRDefault="00A76ADB" w:rsidP="007E3239">
            <w:pPr>
              <w:pStyle w:val="TableText"/>
              <w:spacing w:before="50" w:after="50"/>
            </w:pPr>
            <w:r>
              <w:rPr>
                <w:rFonts w:eastAsia="Calibri"/>
              </w:rPr>
              <w:t>Country specific</w:t>
            </w:r>
          </w:p>
        </w:tc>
        <w:tc>
          <w:tcPr>
            <w:tcW w:w="0" w:type="auto"/>
            <w:shd w:val="clear" w:color="auto" w:fill="FFFFFF"/>
            <w:tcMar>
              <w:top w:w="0" w:type="dxa"/>
              <w:left w:w="108" w:type="dxa"/>
              <w:bottom w:w="0" w:type="dxa"/>
              <w:right w:w="108" w:type="dxa"/>
            </w:tcMar>
            <w:vAlign w:val="center"/>
          </w:tcPr>
          <w:p w14:paraId="3CA657E7" w14:textId="77777777" w:rsidR="00A76ADB" w:rsidRDefault="00A76ADB" w:rsidP="007E3239">
            <w:pPr>
              <w:pStyle w:val="TableText"/>
              <w:spacing w:before="50" w:after="50"/>
            </w:pPr>
            <w:r>
              <w:rPr>
                <w:rFonts w:eastAsia="Calibri"/>
              </w:rPr>
              <w:t>Eunomia (unpublished(a)), IPCC (2006a)</w:t>
            </w:r>
          </w:p>
        </w:tc>
      </w:tr>
      <w:tr w:rsidR="00A76ADB" w14:paraId="0DA8B083" w14:textId="77777777" w:rsidTr="00040B37">
        <w:trPr>
          <w:cantSplit/>
          <w:trHeight w:val="283"/>
        </w:trPr>
        <w:tc>
          <w:tcPr>
            <w:tcW w:w="0" w:type="auto"/>
            <w:shd w:val="clear" w:color="auto" w:fill="FFFFFF"/>
            <w:tcMar>
              <w:top w:w="0" w:type="dxa"/>
              <w:left w:w="108" w:type="dxa"/>
              <w:bottom w:w="0" w:type="dxa"/>
              <w:right w:w="108" w:type="dxa"/>
            </w:tcMar>
            <w:vAlign w:val="center"/>
          </w:tcPr>
          <w:p w14:paraId="5C8E5228" w14:textId="77777777" w:rsidR="00A76ADB" w:rsidRDefault="00A76ADB" w:rsidP="007E3239">
            <w:pPr>
              <w:pStyle w:val="TableText"/>
              <w:spacing w:before="50" w:after="50"/>
            </w:pPr>
            <w:r>
              <w:rPr>
                <w:rFonts w:eastAsia="Calibri"/>
              </w:rPr>
              <w:t>Fraction of methane in landfill gas (F)</w:t>
            </w:r>
          </w:p>
        </w:tc>
        <w:tc>
          <w:tcPr>
            <w:tcW w:w="0" w:type="auto"/>
            <w:shd w:val="clear" w:color="auto" w:fill="FFFFFF"/>
            <w:tcMar>
              <w:top w:w="0" w:type="dxa"/>
              <w:left w:w="108" w:type="dxa"/>
              <w:bottom w:w="0" w:type="dxa"/>
              <w:right w:w="108" w:type="dxa"/>
            </w:tcMar>
            <w:vAlign w:val="center"/>
          </w:tcPr>
          <w:p w14:paraId="5AF2AE95" w14:textId="77777777" w:rsidR="00A76ADB" w:rsidRDefault="00A76ADB" w:rsidP="007E3239">
            <w:pPr>
              <w:pStyle w:val="TableText"/>
              <w:spacing w:before="50" w:after="50"/>
            </w:pPr>
            <w:r>
              <w:rPr>
                <w:rFonts w:eastAsia="Calibri"/>
              </w:rPr>
              <w:t>0.57</w:t>
            </w:r>
          </w:p>
        </w:tc>
        <w:tc>
          <w:tcPr>
            <w:tcW w:w="0" w:type="auto"/>
            <w:shd w:val="clear" w:color="auto" w:fill="FFFFFF"/>
            <w:tcMar>
              <w:top w:w="0" w:type="dxa"/>
              <w:left w:w="108" w:type="dxa"/>
              <w:bottom w:w="0" w:type="dxa"/>
              <w:right w:w="108" w:type="dxa"/>
            </w:tcMar>
            <w:vAlign w:val="center"/>
          </w:tcPr>
          <w:p w14:paraId="2B20731B" w14:textId="77777777" w:rsidR="00A76ADB" w:rsidRDefault="00A76ADB" w:rsidP="007E3239">
            <w:pPr>
              <w:pStyle w:val="TableText"/>
              <w:spacing w:before="50" w:after="50"/>
            </w:pPr>
            <w:r>
              <w:rPr>
                <w:rFonts w:eastAsia="Calibri"/>
              </w:rPr>
              <w:t>Country specific</w:t>
            </w:r>
          </w:p>
        </w:tc>
        <w:tc>
          <w:tcPr>
            <w:tcW w:w="0" w:type="auto"/>
            <w:shd w:val="clear" w:color="auto" w:fill="FFFFFF"/>
            <w:tcMar>
              <w:top w:w="0" w:type="dxa"/>
              <w:left w:w="108" w:type="dxa"/>
              <w:bottom w:w="0" w:type="dxa"/>
              <w:right w:w="108" w:type="dxa"/>
            </w:tcMar>
            <w:vAlign w:val="center"/>
          </w:tcPr>
          <w:p w14:paraId="16EC98A5" w14:textId="77777777" w:rsidR="00A76ADB" w:rsidRDefault="00A76ADB" w:rsidP="007E3239">
            <w:pPr>
              <w:pStyle w:val="TableText"/>
              <w:spacing w:before="50" w:after="50"/>
            </w:pPr>
            <w:r>
              <w:rPr>
                <w:rFonts w:eastAsia="Calibri"/>
              </w:rPr>
              <w:t>Eunomia (unpublished(a))</w:t>
            </w:r>
          </w:p>
        </w:tc>
      </w:tr>
      <w:tr w:rsidR="00A76ADB" w14:paraId="50D05B37" w14:textId="77777777" w:rsidTr="00040B37">
        <w:trPr>
          <w:cantSplit/>
          <w:trHeight w:val="283"/>
        </w:trPr>
        <w:tc>
          <w:tcPr>
            <w:tcW w:w="0" w:type="auto"/>
            <w:shd w:val="clear" w:color="auto" w:fill="FFFFFF"/>
            <w:tcMar>
              <w:top w:w="0" w:type="dxa"/>
              <w:left w:w="108" w:type="dxa"/>
              <w:bottom w:w="0" w:type="dxa"/>
              <w:right w:w="108" w:type="dxa"/>
            </w:tcMar>
            <w:vAlign w:val="center"/>
          </w:tcPr>
          <w:p w14:paraId="1B883868" w14:textId="77777777" w:rsidR="00A76ADB" w:rsidRDefault="00A76ADB" w:rsidP="007E3239">
            <w:pPr>
              <w:pStyle w:val="TableTextBold"/>
              <w:spacing w:before="50" w:after="50"/>
            </w:pPr>
            <w:r>
              <w:rPr>
                <w:rFonts w:eastAsia="Calibri"/>
              </w:rPr>
              <w:t>Uncategorised landfills</w:t>
            </w:r>
          </w:p>
        </w:tc>
        <w:tc>
          <w:tcPr>
            <w:tcW w:w="0" w:type="auto"/>
            <w:shd w:val="clear" w:color="auto" w:fill="FFFFFF"/>
            <w:tcMar>
              <w:top w:w="0" w:type="dxa"/>
              <w:left w:w="108" w:type="dxa"/>
              <w:bottom w:w="0" w:type="dxa"/>
              <w:right w:w="108" w:type="dxa"/>
            </w:tcMar>
            <w:vAlign w:val="center"/>
          </w:tcPr>
          <w:p w14:paraId="53E8A4B4" w14:textId="77777777" w:rsidR="00A76ADB" w:rsidRDefault="00A76ADB" w:rsidP="007E3239">
            <w:pPr>
              <w:pStyle w:val="TableTextBold"/>
              <w:spacing w:before="50" w:after="50"/>
            </w:pPr>
          </w:p>
        </w:tc>
        <w:tc>
          <w:tcPr>
            <w:tcW w:w="0" w:type="auto"/>
            <w:shd w:val="clear" w:color="auto" w:fill="FFFFFF"/>
            <w:tcMar>
              <w:top w:w="0" w:type="dxa"/>
              <w:left w:w="108" w:type="dxa"/>
              <w:bottom w:w="0" w:type="dxa"/>
              <w:right w:w="108" w:type="dxa"/>
            </w:tcMar>
            <w:vAlign w:val="center"/>
          </w:tcPr>
          <w:p w14:paraId="1F036CB4" w14:textId="77777777" w:rsidR="00A76ADB" w:rsidRDefault="00A76ADB" w:rsidP="007E3239">
            <w:pPr>
              <w:pStyle w:val="TableTextBold"/>
              <w:spacing w:before="50" w:after="50"/>
            </w:pPr>
          </w:p>
        </w:tc>
        <w:tc>
          <w:tcPr>
            <w:tcW w:w="0" w:type="auto"/>
            <w:shd w:val="clear" w:color="auto" w:fill="FFFFFF"/>
            <w:tcMar>
              <w:top w:w="0" w:type="dxa"/>
              <w:left w:w="108" w:type="dxa"/>
              <w:bottom w:w="0" w:type="dxa"/>
              <w:right w:w="108" w:type="dxa"/>
            </w:tcMar>
            <w:vAlign w:val="center"/>
          </w:tcPr>
          <w:p w14:paraId="616DEAAA" w14:textId="77777777" w:rsidR="00A76ADB" w:rsidRDefault="00A76ADB" w:rsidP="007E3239">
            <w:pPr>
              <w:pStyle w:val="TableTextBold"/>
              <w:spacing w:before="50" w:after="50"/>
            </w:pPr>
          </w:p>
        </w:tc>
      </w:tr>
      <w:tr w:rsidR="00A76ADB" w14:paraId="6A0B29A1" w14:textId="77777777" w:rsidTr="00040B37">
        <w:trPr>
          <w:cantSplit/>
          <w:trHeight w:val="283"/>
        </w:trPr>
        <w:tc>
          <w:tcPr>
            <w:tcW w:w="0" w:type="auto"/>
            <w:shd w:val="clear" w:color="auto" w:fill="FFFFFF"/>
            <w:tcMar>
              <w:top w:w="0" w:type="dxa"/>
              <w:left w:w="108" w:type="dxa"/>
              <w:bottom w:w="0" w:type="dxa"/>
              <w:right w:w="108" w:type="dxa"/>
            </w:tcMar>
            <w:vAlign w:val="center"/>
          </w:tcPr>
          <w:p w14:paraId="6448368D" w14:textId="77777777" w:rsidR="00A76ADB" w:rsidRDefault="00A76ADB" w:rsidP="007E3239">
            <w:pPr>
              <w:pStyle w:val="TableText"/>
              <w:spacing w:before="50" w:after="50"/>
            </w:pPr>
            <w:r>
              <w:rPr>
                <w:rFonts w:eastAsia="Calibri"/>
              </w:rPr>
              <w:t>k-value (multi-phase by waste type)</w:t>
            </w:r>
          </w:p>
        </w:tc>
        <w:tc>
          <w:tcPr>
            <w:tcW w:w="0" w:type="auto"/>
            <w:shd w:val="clear" w:color="auto" w:fill="FFFFFF"/>
            <w:tcMar>
              <w:top w:w="0" w:type="dxa"/>
              <w:left w:w="108" w:type="dxa"/>
              <w:bottom w:w="0" w:type="dxa"/>
              <w:right w:w="108" w:type="dxa"/>
            </w:tcMar>
            <w:vAlign w:val="center"/>
          </w:tcPr>
          <w:p w14:paraId="4161BCCD" w14:textId="77777777" w:rsidR="00A76ADB" w:rsidRDefault="00A76ADB" w:rsidP="007E3239">
            <w:pPr>
              <w:pStyle w:val="TableText"/>
              <w:spacing w:before="50" w:after="50"/>
            </w:pPr>
            <w:r>
              <w:rPr>
                <w:rFonts w:eastAsia="Calibri"/>
              </w:rPr>
              <w:t>0.030–0.185</w:t>
            </w:r>
          </w:p>
        </w:tc>
        <w:tc>
          <w:tcPr>
            <w:tcW w:w="0" w:type="auto"/>
            <w:shd w:val="clear" w:color="auto" w:fill="FFFFFF"/>
            <w:tcMar>
              <w:top w:w="0" w:type="dxa"/>
              <w:left w:w="108" w:type="dxa"/>
              <w:bottom w:w="0" w:type="dxa"/>
              <w:right w:w="108" w:type="dxa"/>
            </w:tcMar>
            <w:vAlign w:val="center"/>
          </w:tcPr>
          <w:p w14:paraId="5D94EECB" w14:textId="77777777" w:rsidR="00A76ADB" w:rsidRDefault="00A76ADB" w:rsidP="007E3239">
            <w:pPr>
              <w:pStyle w:val="TableText"/>
              <w:spacing w:before="50" w:after="50"/>
            </w:pPr>
            <w:r>
              <w:rPr>
                <w:rFonts w:eastAsia="Calibri"/>
              </w:rPr>
              <w:t>IPCC default</w:t>
            </w:r>
          </w:p>
        </w:tc>
        <w:tc>
          <w:tcPr>
            <w:tcW w:w="0" w:type="auto"/>
            <w:shd w:val="clear" w:color="auto" w:fill="FFFFFF"/>
            <w:tcMar>
              <w:top w:w="0" w:type="dxa"/>
              <w:left w:w="108" w:type="dxa"/>
              <w:bottom w:w="0" w:type="dxa"/>
              <w:right w:w="108" w:type="dxa"/>
            </w:tcMar>
            <w:vAlign w:val="center"/>
          </w:tcPr>
          <w:p w14:paraId="3599D849" w14:textId="77777777" w:rsidR="00A76ADB" w:rsidRDefault="00A76ADB" w:rsidP="007E3239">
            <w:pPr>
              <w:pStyle w:val="TableText"/>
              <w:spacing w:before="50" w:after="50"/>
            </w:pPr>
            <w:r>
              <w:rPr>
                <w:rFonts w:eastAsia="Calibri"/>
              </w:rPr>
              <w:t>IPCC (2006a)</w:t>
            </w:r>
          </w:p>
        </w:tc>
      </w:tr>
      <w:tr w:rsidR="00A76ADB" w14:paraId="7139B520" w14:textId="77777777" w:rsidTr="00040B37">
        <w:trPr>
          <w:cantSplit/>
          <w:trHeight w:val="283"/>
        </w:trPr>
        <w:tc>
          <w:tcPr>
            <w:tcW w:w="0" w:type="auto"/>
            <w:shd w:val="clear" w:color="auto" w:fill="FFFFFF"/>
            <w:tcMar>
              <w:top w:w="0" w:type="dxa"/>
              <w:left w:w="108" w:type="dxa"/>
              <w:bottom w:w="0" w:type="dxa"/>
              <w:right w:w="108" w:type="dxa"/>
            </w:tcMar>
            <w:vAlign w:val="center"/>
          </w:tcPr>
          <w:p w14:paraId="4948FFC5" w14:textId="77777777" w:rsidR="00A76ADB" w:rsidRDefault="00A76ADB" w:rsidP="007E3239">
            <w:pPr>
              <w:pStyle w:val="TableText"/>
              <w:spacing w:before="50" w:after="50"/>
            </w:pPr>
            <w:r>
              <w:rPr>
                <w:rFonts w:eastAsia="Calibri"/>
              </w:rPr>
              <w:t>Methane correction factor</w:t>
            </w:r>
          </w:p>
        </w:tc>
        <w:tc>
          <w:tcPr>
            <w:tcW w:w="0" w:type="auto"/>
            <w:shd w:val="clear" w:color="auto" w:fill="FFFFFF"/>
            <w:tcMar>
              <w:top w:w="0" w:type="dxa"/>
              <w:left w:w="108" w:type="dxa"/>
              <w:bottom w:w="0" w:type="dxa"/>
              <w:right w:w="108" w:type="dxa"/>
            </w:tcMar>
            <w:vAlign w:val="center"/>
          </w:tcPr>
          <w:p w14:paraId="10891331" w14:textId="77777777" w:rsidR="00A76ADB" w:rsidRDefault="00A76ADB" w:rsidP="007E3239">
            <w:pPr>
              <w:pStyle w:val="TableText"/>
              <w:spacing w:before="50" w:after="50"/>
            </w:pPr>
            <w:r>
              <w:rPr>
                <w:rFonts w:eastAsia="Calibri"/>
              </w:rPr>
              <w:t>0.6</w:t>
            </w:r>
          </w:p>
        </w:tc>
        <w:tc>
          <w:tcPr>
            <w:tcW w:w="0" w:type="auto"/>
            <w:shd w:val="clear" w:color="auto" w:fill="FFFFFF"/>
            <w:tcMar>
              <w:top w:w="0" w:type="dxa"/>
              <w:left w:w="108" w:type="dxa"/>
              <w:bottom w:w="0" w:type="dxa"/>
              <w:right w:w="108" w:type="dxa"/>
            </w:tcMar>
            <w:vAlign w:val="center"/>
          </w:tcPr>
          <w:p w14:paraId="75B2047B" w14:textId="77777777" w:rsidR="00A76ADB" w:rsidRDefault="00A76ADB" w:rsidP="007E3239">
            <w:pPr>
              <w:pStyle w:val="TableText"/>
              <w:spacing w:before="50" w:after="50"/>
            </w:pPr>
            <w:r>
              <w:rPr>
                <w:rFonts w:eastAsia="Calibri"/>
              </w:rPr>
              <w:t>IPCC default</w:t>
            </w:r>
          </w:p>
        </w:tc>
        <w:tc>
          <w:tcPr>
            <w:tcW w:w="0" w:type="auto"/>
            <w:shd w:val="clear" w:color="auto" w:fill="FFFFFF"/>
            <w:tcMar>
              <w:top w:w="0" w:type="dxa"/>
              <w:left w:w="108" w:type="dxa"/>
              <w:bottom w:w="0" w:type="dxa"/>
              <w:right w:w="108" w:type="dxa"/>
            </w:tcMar>
            <w:vAlign w:val="center"/>
          </w:tcPr>
          <w:p w14:paraId="4962E00A" w14:textId="77777777" w:rsidR="00A76ADB" w:rsidRDefault="00A76ADB" w:rsidP="007E3239">
            <w:pPr>
              <w:pStyle w:val="TableText"/>
              <w:spacing w:before="50" w:after="50"/>
            </w:pPr>
            <w:r>
              <w:rPr>
                <w:rFonts w:eastAsia="Calibri"/>
              </w:rPr>
              <w:t>IPCC (2006a)</w:t>
            </w:r>
          </w:p>
        </w:tc>
      </w:tr>
      <w:tr w:rsidR="00A76ADB" w14:paraId="76145D86" w14:textId="77777777" w:rsidTr="00040B37">
        <w:trPr>
          <w:cantSplit/>
          <w:trHeight w:val="283"/>
        </w:trPr>
        <w:tc>
          <w:tcPr>
            <w:tcW w:w="0" w:type="auto"/>
            <w:shd w:val="clear" w:color="auto" w:fill="FFFFFF"/>
            <w:tcMar>
              <w:top w:w="0" w:type="dxa"/>
              <w:left w:w="108" w:type="dxa"/>
              <w:bottom w:w="0" w:type="dxa"/>
              <w:right w:w="108" w:type="dxa"/>
            </w:tcMar>
            <w:vAlign w:val="center"/>
          </w:tcPr>
          <w:p w14:paraId="4DE67021" w14:textId="77777777" w:rsidR="00A76ADB" w:rsidRDefault="00A76ADB" w:rsidP="007E3239">
            <w:pPr>
              <w:pStyle w:val="TableText"/>
              <w:spacing w:before="50" w:after="50"/>
            </w:pPr>
            <w:r>
              <w:rPr>
                <w:rFonts w:eastAsia="Calibri"/>
              </w:rPr>
              <w:t>Oxidation factor</w:t>
            </w:r>
          </w:p>
        </w:tc>
        <w:tc>
          <w:tcPr>
            <w:tcW w:w="0" w:type="auto"/>
            <w:shd w:val="clear" w:color="auto" w:fill="FFFFFF"/>
            <w:tcMar>
              <w:top w:w="0" w:type="dxa"/>
              <w:left w:w="108" w:type="dxa"/>
              <w:bottom w:w="0" w:type="dxa"/>
              <w:right w:w="108" w:type="dxa"/>
            </w:tcMar>
            <w:vAlign w:val="center"/>
          </w:tcPr>
          <w:p w14:paraId="1C688439" w14:textId="77777777" w:rsidR="00A76ADB" w:rsidRDefault="00A76ADB" w:rsidP="007E3239">
            <w:pPr>
              <w:pStyle w:val="TableText"/>
              <w:spacing w:before="50" w:after="50"/>
            </w:pPr>
            <w:r>
              <w:rPr>
                <w:rFonts w:eastAsia="Calibri"/>
              </w:rPr>
              <w:t>0</w:t>
            </w:r>
          </w:p>
        </w:tc>
        <w:tc>
          <w:tcPr>
            <w:tcW w:w="0" w:type="auto"/>
            <w:shd w:val="clear" w:color="auto" w:fill="FFFFFF"/>
            <w:tcMar>
              <w:top w:w="0" w:type="dxa"/>
              <w:left w:w="108" w:type="dxa"/>
              <w:bottom w:w="0" w:type="dxa"/>
              <w:right w:w="108" w:type="dxa"/>
            </w:tcMar>
            <w:vAlign w:val="center"/>
          </w:tcPr>
          <w:p w14:paraId="70A53733" w14:textId="77777777" w:rsidR="00A76ADB" w:rsidRDefault="00A76ADB" w:rsidP="007E3239">
            <w:pPr>
              <w:pStyle w:val="TableText"/>
              <w:spacing w:before="50" w:after="50"/>
            </w:pPr>
            <w:r>
              <w:rPr>
                <w:rFonts w:eastAsia="Calibri"/>
              </w:rPr>
              <w:t>IPCC default</w:t>
            </w:r>
          </w:p>
        </w:tc>
        <w:tc>
          <w:tcPr>
            <w:tcW w:w="0" w:type="auto"/>
            <w:shd w:val="clear" w:color="auto" w:fill="FFFFFF"/>
            <w:tcMar>
              <w:top w:w="0" w:type="dxa"/>
              <w:left w:w="108" w:type="dxa"/>
              <w:bottom w:w="0" w:type="dxa"/>
              <w:right w:w="108" w:type="dxa"/>
            </w:tcMar>
            <w:vAlign w:val="center"/>
          </w:tcPr>
          <w:p w14:paraId="0D439E16" w14:textId="77777777" w:rsidR="00A76ADB" w:rsidRDefault="00A76ADB" w:rsidP="007E3239">
            <w:pPr>
              <w:pStyle w:val="TableText"/>
              <w:spacing w:before="50" w:after="50"/>
            </w:pPr>
            <w:r>
              <w:rPr>
                <w:rFonts w:eastAsia="Calibri"/>
              </w:rPr>
              <w:t>IPCC (2006a)</w:t>
            </w:r>
          </w:p>
        </w:tc>
      </w:tr>
      <w:tr w:rsidR="00A76ADB" w14:paraId="1E0010D6" w14:textId="77777777" w:rsidTr="00040B37">
        <w:trPr>
          <w:cantSplit/>
          <w:trHeight w:val="283"/>
        </w:trPr>
        <w:tc>
          <w:tcPr>
            <w:tcW w:w="0" w:type="auto"/>
            <w:shd w:val="clear" w:color="auto" w:fill="FFFFFF"/>
            <w:tcMar>
              <w:top w:w="0" w:type="dxa"/>
              <w:left w:w="108" w:type="dxa"/>
              <w:bottom w:w="0" w:type="dxa"/>
              <w:right w:w="108" w:type="dxa"/>
            </w:tcMar>
            <w:vAlign w:val="center"/>
          </w:tcPr>
          <w:p w14:paraId="0654CBFA" w14:textId="77777777" w:rsidR="00A76ADB" w:rsidRDefault="00A76ADB" w:rsidP="007E3239">
            <w:pPr>
              <w:pStyle w:val="TableText"/>
              <w:spacing w:before="50" w:after="50"/>
            </w:pPr>
            <w:r>
              <w:rPr>
                <w:rFonts w:eastAsia="Calibri"/>
              </w:rPr>
              <w:t>DOC (kt C/kt waste) (by waste type)</w:t>
            </w:r>
          </w:p>
        </w:tc>
        <w:tc>
          <w:tcPr>
            <w:tcW w:w="0" w:type="auto"/>
            <w:shd w:val="clear" w:color="auto" w:fill="FFFFFF"/>
            <w:tcMar>
              <w:top w:w="0" w:type="dxa"/>
              <w:left w:w="108" w:type="dxa"/>
              <w:bottom w:w="0" w:type="dxa"/>
              <w:right w:w="108" w:type="dxa"/>
            </w:tcMar>
            <w:vAlign w:val="center"/>
          </w:tcPr>
          <w:p w14:paraId="7E21F7AE" w14:textId="77777777" w:rsidR="00A76ADB" w:rsidRDefault="00A76ADB" w:rsidP="007E3239">
            <w:pPr>
              <w:pStyle w:val="TableText"/>
              <w:spacing w:before="50" w:after="50"/>
            </w:pPr>
            <w:r>
              <w:rPr>
                <w:rFonts w:eastAsia="Calibri"/>
              </w:rPr>
              <w:t>0.15–0.43</w:t>
            </w:r>
          </w:p>
        </w:tc>
        <w:tc>
          <w:tcPr>
            <w:tcW w:w="0" w:type="auto"/>
            <w:shd w:val="clear" w:color="auto" w:fill="FFFFFF"/>
            <w:tcMar>
              <w:top w:w="0" w:type="dxa"/>
              <w:left w:w="108" w:type="dxa"/>
              <w:bottom w:w="0" w:type="dxa"/>
              <w:right w:w="108" w:type="dxa"/>
            </w:tcMar>
            <w:vAlign w:val="center"/>
          </w:tcPr>
          <w:p w14:paraId="7827C173" w14:textId="77777777" w:rsidR="00A76ADB" w:rsidRDefault="00A76ADB" w:rsidP="007E3239">
            <w:pPr>
              <w:pStyle w:val="TableText"/>
              <w:spacing w:before="50" w:after="50"/>
            </w:pPr>
            <w:r>
              <w:rPr>
                <w:rFonts w:eastAsia="Calibri"/>
              </w:rPr>
              <w:t>IPCC default</w:t>
            </w:r>
          </w:p>
        </w:tc>
        <w:tc>
          <w:tcPr>
            <w:tcW w:w="0" w:type="auto"/>
            <w:shd w:val="clear" w:color="auto" w:fill="FFFFFF"/>
            <w:tcMar>
              <w:top w:w="0" w:type="dxa"/>
              <w:left w:w="108" w:type="dxa"/>
              <w:bottom w:w="0" w:type="dxa"/>
              <w:right w:w="108" w:type="dxa"/>
            </w:tcMar>
            <w:vAlign w:val="center"/>
          </w:tcPr>
          <w:p w14:paraId="283540B4" w14:textId="77777777" w:rsidR="00A76ADB" w:rsidRDefault="00A76ADB" w:rsidP="007E3239">
            <w:pPr>
              <w:pStyle w:val="TableText"/>
              <w:spacing w:before="50" w:after="50"/>
            </w:pPr>
            <w:r>
              <w:rPr>
                <w:rFonts w:eastAsia="Calibri"/>
              </w:rPr>
              <w:t>IPCC (2006a)</w:t>
            </w:r>
          </w:p>
        </w:tc>
      </w:tr>
      <w:tr w:rsidR="00A76ADB" w14:paraId="31DEB99F" w14:textId="77777777" w:rsidTr="00040B37">
        <w:trPr>
          <w:cantSplit/>
          <w:trHeight w:val="283"/>
        </w:trPr>
        <w:tc>
          <w:tcPr>
            <w:tcW w:w="0" w:type="auto"/>
            <w:shd w:val="clear" w:color="auto" w:fill="FFFFFF"/>
            <w:tcMar>
              <w:top w:w="0" w:type="dxa"/>
              <w:left w:w="108" w:type="dxa"/>
              <w:bottom w:w="0" w:type="dxa"/>
              <w:right w:w="108" w:type="dxa"/>
            </w:tcMar>
            <w:vAlign w:val="center"/>
          </w:tcPr>
          <w:p w14:paraId="0392943F" w14:textId="77777777" w:rsidR="00A76ADB" w:rsidRDefault="00A76ADB" w:rsidP="007E3239">
            <w:pPr>
              <w:pStyle w:val="TableText"/>
              <w:spacing w:before="50" w:after="50"/>
            </w:pPr>
            <w:r>
              <w:rPr>
                <w:rFonts w:eastAsia="Calibri"/>
              </w:rPr>
              <w:t>DOCf that decomposes</w:t>
            </w:r>
          </w:p>
        </w:tc>
        <w:tc>
          <w:tcPr>
            <w:tcW w:w="0" w:type="auto"/>
            <w:shd w:val="clear" w:color="auto" w:fill="FFFFFF"/>
            <w:tcMar>
              <w:top w:w="0" w:type="dxa"/>
              <w:left w:w="108" w:type="dxa"/>
              <w:bottom w:w="0" w:type="dxa"/>
              <w:right w:w="108" w:type="dxa"/>
            </w:tcMar>
            <w:vAlign w:val="center"/>
          </w:tcPr>
          <w:p w14:paraId="294DF8B3" w14:textId="77777777" w:rsidR="00A76ADB" w:rsidRDefault="00A76ADB" w:rsidP="007E3239">
            <w:pPr>
              <w:pStyle w:val="TableText"/>
              <w:spacing w:before="50" w:after="50"/>
            </w:pPr>
            <w:r>
              <w:rPr>
                <w:rFonts w:eastAsia="Calibri"/>
              </w:rPr>
              <w:t>0.5</w:t>
            </w:r>
          </w:p>
        </w:tc>
        <w:tc>
          <w:tcPr>
            <w:tcW w:w="0" w:type="auto"/>
            <w:shd w:val="clear" w:color="auto" w:fill="FFFFFF"/>
            <w:tcMar>
              <w:top w:w="0" w:type="dxa"/>
              <w:left w:w="108" w:type="dxa"/>
              <w:bottom w:w="0" w:type="dxa"/>
              <w:right w:w="108" w:type="dxa"/>
            </w:tcMar>
            <w:vAlign w:val="center"/>
          </w:tcPr>
          <w:p w14:paraId="2F4AAD44" w14:textId="77777777" w:rsidR="00A76ADB" w:rsidRDefault="00A76ADB" w:rsidP="007E3239">
            <w:pPr>
              <w:pStyle w:val="TableText"/>
              <w:spacing w:before="50" w:after="50"/>
            </w:pPr>
            <w:r>
              <w:rPr>
                <w:rFonts w:eastAsia="Calibri"/>
              </w:rPr>
              <w:t>IPCC default</w:t>
            </w:r>
          </w:p>
        </w:tc>
        <w:tc>
          <w:tcPr>
            <w:tcW w:w="0" w:type="auto"/>
            <w:shd w:val="clear" w:color="auto" w:fill="FFFFFF"/>
            <w:tcMar>
              <w:top w:w="0" w:type="dxa"/>
              <w:left w:w="108" w:type="dxa"/>
              <w:bottom w:w="0" w:type="dxa"/>
              <w:right w:w="108" w:type="dxa"/>
            </w:tcMar>
            <w:vAlign w:val="center"/>
          </w:tcPr>
          <w:p w14:paraId="5EE5D30E" w14:textId="77777777" w:rsidR="00A76ADB" w:rsidRDefault="00A76ADB" w:rsidP="007E3239">
            <w:pPr>
              <w:pStyle w:val="TableText"/>
              <w:spacing w:before="50" w:after="50"/>
            </w:pPr>
            <w:r>
              <w:rPr>
                <w:rFonts w:eastAsia="Calibri"/>
              </w:rPr>
              <w:t>IPCC (2006a)</w:t>
            </w:r>
          </w:p>
        </w:tc>
      </w:tr>
      <w:tr w:rsidR="00A76ADB" w14:paraId="6E890ED6" w14:textId="77777777" w:rsidTr="00040B37">
        <w:trPr>
          <w:cantSplit/>
          <w:trHeight w:val="283"/>
        </w:trPr>
        <w:tc>
          <w:tcPr>
            <w:tcW w:w="0" w:type="auto"/>
            <w:shd w:val="clear" w:color="auto" w:fill="FFFFFF"/>
            <w:tcMar>
              <w:top w:w="0" w:type="dxa"/>
              <w:left w:w="108" w:type="dxa"/>
              <w:bottom w:w="0" w:type="dxa"/>
              <w:right w:w="108" w:type="dxa"/>
            </w:tcMar>
            <w:vAlign w:val="center"/>
          </w:tcPr>
          <w:p w14:paraId="4883D411" w14:textId="77777777" w:rsidR="00A76ADB" w:rsidRDefault="00A76ADB" w:rsidP="007E3239">
            <w:pPr>
              <w:pStyle w:val="TableText"/>
              <w:spacing w:before="50" w:after="50"/>
            </w:pPr>
            <w:r>
              <w:rPr>
                <w:rFonts w:eastAsia="Calibri"/>
              </w:rPr>
              <w:t>Fraction ofmethane in landfill gas (F)</w:t>
            </w:r>
          </w:p>
        </w:tc>
        <w:tc>
          <w:tcPr>
            <w:tcW w:w="0" w:type="auto"/>
            <w:shd w:val="clear" w:color="auto" w:fill="FFFFFF"/>
            <w:tcMar>
              <w:top w:w="0" w:type="dxa"/>
              <w:left w:w="108" w:type="dxa"/>
              <w:bottom w:w="0" w:type="dxa"/>
              <w:right w:w="108" w:type="dxa"/>
            </w:tcMar>
            <w:vAlign w:val="center"/>
          </w:tcPr>
          <w:p w14:paraId="046B58B6" w14:textId="77777777" w:rsidR="00A76ADB" w:rsidRDefault="00A76ADB" w:rsidP="007E3239">
            <w:pPr>
              <w:pStyle w:val="TableText"/>
              <w:spacing w:before="50" w:after="50"/>
            </w:pPr>
            <w:r>
              <w:rPr>
                <w:rFonts w:eastAsia="Calibri"/>
              </w:rPr>
              <w:t>0.5</w:t>
            </w:r>
          </w:p>
        </w:tc>
        <w:tc>
          <w:tcPr>
            <w:tcW w:w="0" w:type="auto"/>
            <w:shd w:val="clear" w:color="auto" w:fill="FFFFFF"/>
            <w:tcMar>
              <w:top w:w="0" w:type="dxa"/>
              <w:left w:w="108" w:type="dxa"/>
              <w:bottom w:w="0" w:type="dxa"/>
              <w:right w:w="108" w:type="dxa"/>
            </w:tcMar>
            <w:vAlign w:val="center"/>
          </w:tcPr>
          <w:p w14:paraId="2536EB00" w14:textId="77777777" w:rsidR="00A76ADB" w:rsidRDefault="00A76ADB" w:rsidP="007E3239">
            <w:pPr>
              <w:pStyle w:val="TableText"/>
              <w:spacing w:before="50" w:after="50"/>
            </w:pPr>
            <w:r>
              <w:rPr>
                <w:rFonts w:eastAsia="Calibri"/>
              </w:rPr>
              <w:t>IPCC default</w:t>
            </w:r>
          </w:p>
        </w:tc>
        <w:tc>
          <w:tcPr>
            <w:tcW w:w="0" w:type="auto"/>
            <w:shd w:val="clear" w:color="auto" w:fill="FFFFFF"/>
            <w:tcMar>
              <w:top w:w="0" w:type="dxa"/>
              <w:left w:w="108" w:type="dxa"/>
              <w:bottom w:w="0" w:type="dxa"/>
              <w:right w:w="108" w:type="dxa"/>
            </w:tcMar>
            <w:vAlign w:val="center"/>
          </w:tcPr>
          <w:p w14:paraId="46E23145" w14:textId="77777777" w:rsidR="00A76ADB" w:rsidRDefault="00A76ADB" w:rsidP="007E3239">
            <w:pPr>
              <w:pStyle w:val="TableText"/>
              <w:spacing w:before="50" w:after="50"/>
            </w:pPr>
            <w:r>
              <w:rPr>
                <w:rFonts w:eastAsia="Calibri"/>
              </w:rPr>
              <w:t>IPCC (2006a)</w:t>
            </w:r>
          </w:p>
        </w:tc>
      </w:tr>
      <w:tr w:rsidR="00A76ADB" w14:paraId="329C75A5" w14:textId="77777777" w:rsidTr="00040B37">
        <w:trPr>
          <w:cantSplit/>
          <w:trHeight w:val="283"/>
        </w:trPr>
        <w:tc>
          <w:tcPr>
            <w:tcW w:w="0" w:type="auto"/>
            <w:shd w:val="clear" w:color="auto" w:fill="FFFFFF"/>
            <w:tcMar>
              <w:top w:w="0" w:type="dxa"/>
              <w:left w:w="108" w:type="dxa"/>
              <w:bottom w:w="0" w:type="dxa"/>
              <w:right w:w="108" w:type="dxa"/>
            </w:tcMar>
            <w:vAlign w:val="center"/>
          </w:tcPr>
          <w:p w14:paraId="1B0B21BA" w14:textId="77777777" w:rsidR="00A76ADB" w:rsidRDefault="00A76ADB" w:rsidP="007E3239">
            <w:pPr>
              <w:pStyle w:val="TableTextBold"/>
              <w:spacing w:before="50" w:after="50"/>
            </w:pPr>
            <w:r>
              <w:rPr>
                <w:rFonts w:eastAsia="Calibri"/>
              </w:rPr>
              <w:t>All landfill sites</w:t>
            </w:r>
          </w:p>
        </w:tc>
        <w:tc>
          <w:tcPr>
            <w:tcW w:w="0" w:type="auto"/>
            <w:shd w:val="clear" w:color="auto" w:fill="FFFFFF"/>
            <w:tcMar>
              <w:top w:w="0" w:type="dxa"/>
              <w:left w:w="108" w:type="dxa"/>
              <w:bottom w:w="0" w:type="dxa"/>
              <w:right w:w="108" w:type="dxa"/>
            </w:tcMar>
            <w:vAlign w:val="center"/>
          </w:tcPr>
          <w:p w14:paraId="1519AB53" w14:textId="77777777" w:rsidR="00A76ADB" w:rsidRDefault="00A76ADB" w:rsidP="007E3239">
            <w:pPr>
              <w:pStyle w:val="TableTextBold"/>
              <w:spacing w:before="50" w:after="50"/>
            </w:pPr>
          </w:p>
        </w:tc>
        <w:tc>
          <w:tcPr>
            <w:tcW w:w="0" w:type="auto"/>
            <w:shd w:val="clear" w:color="auto" w:fill="FFFFFF"/>
            <w:tcMar>
              <w:top w:w="0" w:type="dxa"/>
              <w:left w:w="108" w:type="dxa"/>
              <w:bottom w:w="0" w:type="dxa"/>
              <w:right w:w="108" w:type="dxa"/>
            </w:tcMar>
            <w:vAlign w:val="center"/>
          </w:tcPr>
          <w:p w14:paraId="14CE3EF6" w14:textId="77777777" w:rsidR="00A76ADB" w:rsidRDefault="00A76ADB" w:rsidP="007E3239">
            <w:pPr>
              <w:pStyle w:val="TableTextBold"/>
              <w:spacing w:before="50" w:after="50"/>
            </w:pPr>
          </w:p>
        </w:tc>
        <w:tc>
          <w:tcPr>
            <w:tcW w:w="0" w:type="auto"/>
            <w:shd w:val="clear" w:color="auto" w:fill="FFFFFF"/>
            <w:tcMar>
              <w:top w:w="0" w:type="dxa"/>
              <w:left w:w="108" w:type="dxa"/>
              <w:bottom w:w="0" w:type="dxa"/>
              <w:right w:w="108" w:type="dxa"/>
            </w:tcMar>
            <w:vAlign w:val="center"/>
          </w:tcPr>
          <w:p w14:paraId="4752127F" w14:textId="77777777" w:rsidR="00A76ADB" w:rsidRDefault="00A76ADB" w:rsidP="007E3239">
            <w:pPr>
              <w:pStyle w:val="TableTextBold"/>
              <w:spacing w:before="50" w:after="50"/>
            </w:pPr>
          </w:p>
        </w:tc>
      </w:tr>
      <w:tr w:rsidR="00A76ADB" w14:paraId="70EB3A61" w14:textId="77777777" w:rsidTr="00040B37">
        <w:trPr>
          <w:cantSplit/>
          <w:trHeight w:val="283"/>
        </w:trPr>
        <w:tc>
          <w:tcPr>
            <w:tcW w:w="0" w:type="auto"/>
            <w:shd w:val="clear" w:color="auto" w:fill="FFFFFF"/>
            <w:tcMar>
              <w:top w:w="0" w:type="dxa"/>
              <w:left w:w="108" w:type="dxa"/>
              <w:bottom w:w="0" w:type="dxa"/>
              <w:right w:w="108" w:type="dxa"/>
            </w:tcMar>
            <w:vAlign w:val="center"/>
          </w:tcPr>
          <w:p w14:paraId="3759F6CF" w14:textId="77777777" w:rsidR="00A76ADB" w:rsidRDefault="00A76ADB" w:rsidP="007E3239">
            <w:pPr>
              <w:pStyle w:val="TableText"/>
              <w:spacing w:before="40" w:after="40"/>
            </w:pPr>
            <w:r>
              <w:rPr>
                <w:rFonts w:eastAsia="Calibri"/>
              </w:rPr>
              <w:t>Starting year</w:t>
            </w:r>
          </w:p>
        </w:tc>
        <w:tc>
          <w:tcPr>
            <w:tcW w:w="0" w:type="auto"/>
            <w:shd w:val="clear" w:color="auto" w:fill="FFFFFF"/>
            <w:tcMar>
              <w:top w:w="0" w:type="dxa"/>
              <w:left w:w="108" w:type="dxa"/>
              <w:bottom w:w="0" w:type="dxa"/>
              <w:right w:w="108" w:type="dxa"/>
            </w:tcMar>
            <w:vAlign w:val="center"/>
          </w:tcPr>
          <w:p w14:paraId="115E4210" w14:textId="77777777" w:rsidR="00A76ADB" w:rsidRDefault="00A76ADB" w:rsidP="007E3239">
            <w:pPr>
              <w:pStyle w:val="TableText"/>
              <w:spacing w:before="40" w:after="40"/>
            </w:pPr>
            <w:r>
              <w:rPr>
                <w:rFonts w:eastAsia="Calibri"/>
              </w:rPr>
              <w:t>1950</w:t>
            </w:r>
          </w:p>
        </w:tc>
        <w:tc>
          <w:tcPr>
            <w:tcW w:w="0" w:type="auto"/>
            <w:shd w:val="clear" w:color="auto" w:fill="FFFFFF"/>
            <w:tcMar>
              <w:top w:w="0" w:type="dxa"/>
              <w:left w:w="108" w:type="dxa"/>
              <w:bottom w:w="0" w:type="dxa"/>
              <w:right w:w="108" w:type="dxa"/>
            </w:tcMar>
            <w:vAlign w:val="center"/>
          </w:tcPr>
          <w:p w14:paraId="681911A3" w14:textId="77777777" w:rsidR="00A76ADB" w:rsidRDefault="00A76ADB" w:rsidP="007E3239">
            <w:pPr>
              <w:pStyle w:val="TableText"/>
              <w:spacing w:before="40" w:after="40"/>
            </w:pPr>
            <w:r>
              <w:rPr>
                <w:rFonts w:eastAsia="Calibri"/>
              </w:rPr>
              <w:t>IPCC default</w:t>
            </w:r>
          </w:p>
        </w:tc>
        <w:tc>
          <w:tcPr>
            <w:tcW w:w="0" w:type="auto"/>
            <w:shd w:val="clear" w:color="auto" w:fill="FFFFFF"/>
            <w:tcMar>
              <w:top w:w="0" w:type="dxa"/>
              <w:left w:w="108" w:type="dxa"/>
              <w:bottom w:w="0" w:type="dxa"/>
              <w:right w:w="108" w:type="dxa"/>
            </w:tcMar>
            <w:vAlign w:val="center"/>
          </w:tcPr>
          <w:p w14:paraId="24C69267" w14:textId="77777777" w:rsidR="00A76ADB" w:rsidRDefault="00A76ADB" w:rsidP="007E3239">
            <w:pPr>
              <w:pStyle w:val="TableText"/>
              <w:spacing w:before="40" w:after="40"/>
            </w:pPr>
            <w:r>
              <w:rPr>
                <w:rFonts w:eastAsia="Calibri"/>
              </w:rPr>
              <w:t>IPCC (2006a)</w:t>
            </w:r>
          </w:p>
        </w:tc>
      </w:tr>
      <w:tr w:rsidR="00A76ADB" w14:paraId="33325C93" w14:textId="77777777" w:rsidTr="00040B37">
        <w:trPr>
          <w:cantSplit/>
          <w:trHeight w:val="283"/>
        </w:trPr>
        <w:tc>
          <w:tcPr>
            <w:tcW w:w="0" w:type="auto"/>
            <w:shd w:val="clear" w:color="auto" w:fill="FFFFFF"/>
            <w:tcMar>
              <w:top w:w="0" w:type="dxa"/>
              <w:left w:w="108" w:type="dxa"/>
              <w:bottom w:w="0" w:type="dxa"/>
              <w:right w:w="108" w:type="dxa"/>
            </w:tcMar>
            <w:vAlign w:val="center"/>
          </w:tcPr>
          <w:p w14:paraId="0B2B8797" w14:textId="77777777" w:rsidR="00A76ADB" w:rsidRDefault="00A76ADB" w:rsidP="007E3239">
            <w:pPr>
              <w:pStyle w:val="TableText"/>
              <w:spacing w:before="40" w:after="40"/>
            </w:pPr>
            <w:r>
              <w:rPr>
                <w:rFonts w:eastAsia="Calibri"/>
              </w:rPr>
              <w:t>Delay time</w:t>
            </w:r>
          </w:p>
        </w:tc>
        <w:tc>
          <w:tcPr>
            <w:tcW w:w="0" w:type="auto"/>
            <w:shd w:val="clear" w:color="auto" w:fill="FFFFFF"/>
            <w:tcMar>
              <w:top w:w="0" w:type="dxa"/>
              <w:left w:w="108" w:type="dxa"/>
              <w:bottom w:w="0" w:type="dxa"/>
              <w:right w:w="108" w:type="dxa"/>
            </w:tcMar>
            <w:vAlign w:val="center"/>
          </w:tcPr>
          <w:p w14:paraId="1FFD5225" w14:textId="77777777" w:rsidR="00A76ADB" w:rsidRDefault="00A76ADB" w:rsidP="007E3239">
            <w:pPr>
              <w:pStyle w:val="TableText"/>
              <w:spacing w:before="40" w:after="40"/>
            </w:pPr>
            <w:r>
              <w:rPr>
                <w:rFonts w:eastAsia="Calibri"/>
              </w:rPr>
              <w:t>6 months</w:t>
            </w:r>
          </w:p>
        </w:tc>
        <w:tc>
          <w:tcPr>
            <w:tcW w:w="0" w:type="auto"/>
            <w:shd w:val="clear" w:color="auto" w:fill="FFFFFF"/>
            <w:tcMar>
              <w:top w:w="0" w:type="dxa"/>
              <w:left w:w="108" w:type="dxa"/>
              <w:bottom w:w="0" w:type="dxa"/>
              <w:right w:w="108" w:type="dxa"/>
            </w:tcMar>
            <w:vAlign w:val="center"/>
          </w:tcPr>
          <w:p w14:paraId="54452850" w14:textId="77777777" w:rsidR="00A76ADB" w:rsidRDefault="00A76ADB" w:rsidP="007E3239">
            <w:pPr>
              <w:pStyle w:val="TableText"/>
              <w:spacing w:before="40" w:after="40"/>
            </w:pPr>
            <w:r>
              <w:rPr>
                <w:rFonts w:eastAsia="Calibri"/>
              </w:rPr>
              <w:t>IPCC default</w:t>
            </w:r>
          </w:p>
        </w:tc>
        <w:tc>
          <w:tcPr>
            <w:tcW w:w="0" w:type="auto"/>
            <w:shd w:val="clear" w:color="auto" w:fill="FFFFFF"/>
            <w:tcMar>
              <w:top w:w="0" w:type="dxa"/>
              <w:left w:w="108" w:type="dxa"/>
              <w:bottom w:w="0" w:type="dxa"/>
              <w:right w:w="108" w:type="dxa"/>
            </w:tcMar>
            <w:vAlign w:val="center"/>
          </w:tcPr>
          <w:p w14:paraId="7C285ADA" w14:textId="77777777" w:rsidR="00A76ADB" w:rsidRDefault="00A76ADB" w:rsidP="007E3239">
            <w:pPr>
              <w:pStyle w:val="TableText"/>
              <w:spacing w:before="40" w:after="40"/>
            </w:pPr>
            <w:r>
              <w:rPr>
                <w:rFonts w:eastAsia="Calibri"/>
              </w:rPr>
              <w:t>IPCC (2006a)</w:t>
            </w:r>
          </w:p>
        </w:tc>
      </w:tr>
    </w:tbl>
    <w:p w14:paraId="2E164527" w14:textId="77777777" w:rsidR="00A76ADB" w:rsidRDefault="00A76ADB" w:rsidP="00A76ADB">
      <w:pPr>
        <w:pStyle w:val="Noteundertable"/>
      </w:pPr>
      <w:r>
        <w:rPr>
          <w:b/>
          <w:bCs/>
        </w:rPr>
        <w:t>Note:</w:t>
      </w:r>
      <w:r w:rsidRPr="004C0776">
        <w:t xml:space="preserve"> </w:t>
      </w:r>
      <w:r>
        <w:tab/>
        <w:t>DDOC = decomposable degradable organic carbon; DOC =degradable organic carbon; DOCf = DOC fraction; IPCC = Intergovernmental Panel on Climate Change.</w:t>
      </w:r>
    </w:p>
    <w:p w14:paraId="2767A32A" w14:textId="77777777" w:rsidR="00A76ADB" w:rsidRDefault="00A76ADB" w:rsidP="00A76ADB">
      <w:pPr>
        <w:pStyle w:val="Heading5"/>
      </w:pPr>
      <w:bookmarkStart w:id="2371" w:name="X60b6e25d43b75b4fc56e9238df3dc1e0e335de8"/>
      <w:bookmarkEnd w:id="2361"/>
      <w:bookmarkEnd w:id="2369"/>
      <w:r>
        <w:t>Non-municipal landfills and farm fills (5.A.2)</w:t>
      </w:r>
    </w:p>
    <w:p w14:paraId="4DEB4C5D" w14:textId="77777777" w:rsidR="00A76ADB" w:rsidRDefault="00A76ADB" w:rsidP="00A76ADB">
      <w:pPr>
        <w:pStyle w:val="Heading6"/>
        <w:spacing w:before="120"/>
      </w:pPr>
      <w:bookmarkStart w:id="2372" w:name="waste-composition-1"/>
      <w:r>
        <w:t>Waste composition</w:t>
      </w:r>
    </w:p>
    <w:p w14:paraId="56DD57E9" w14:textId="77777777" w:rsidR="00A76ADB" w:rsidRDefault="00A76ADB" w:rsidP="00A76ADB">
      <w:pPr>
        <w:pStyle w:val="BodyText"/>
      </w:pPr>
      <w:r>
        <w:t>The main waste types disposed to non-municipal landfills are described in survey data as cleanfill, construction and demolition waste, green waste and wood. Most sites provided data on which types of waste are accepted, but only a few could quantify the amounts. To fill this data gap, an assumption is made that the quantities of each waste type produced in each region could be determined from the general proportion of waste types reported for each region (Tonkin and Taylor Ltd, unpublished(b)). Updated site data on waste composition from non-municipal landfills have been included from the 2016 year (MWH, 2017). These were mapped to the IPCC waste types (IPCC, 2006a) and the IPCC default DOC values were applied, except for wood waste which uses a custom DDOC value. Wood waste contains a significant proportion of wood processing waste, which studies show has a higher lignin content that breaks down more slowly and less completely (Eunomia, unpublished(a)) and therefore generates less methane.</w:t>
      </w:r>
    </w:p>
    <w:p w14:paraId="04827478" w14:textId="77777777" w:rsidR="00A76ADB" w:rsidRDefault="00A76ADB" w:rsidP="00A76ADB">
      <w:pPr>
        <w:pStyle w:val="BodyText"/>
      </w:pPr>
      <w:r>
        <w:t>For farm fills, the DOC for bulk municipal solid waste is adopted for some farm waste based on results from the non-natural rural wastes survey (GHD, 2013). This is because it is expected to comprise a mixture of domestic refuse, inert wastes (scrap metal and glass) and wastes associated with the particular farming activity. This is similar to the kinds of waste in municipal solid waste; therefore, applying the DOC for bulk municipal solid waste is appropriate (Tonkin and Taylor Ltd, unpublished(b)).</w:t>
      </w:r>
    </w:p>
    <w:p w14:paraId="1BBAC583" w14:textId="77777777" w:rsidR="00A76ADB" w:rsidRDefault="00A76ADB" w:rsidP="00A76ADB">
      <w:pPr>
        <w:pStyle w:val="Heading6"/>
      </w:pPr>
      <w:bookmarkStart w:id="2373" w:name="other-parameters"/>
      <w:bookmarkEnd w:id="2372"/>
      <w:r>
        <w:t>Other parameters</w:t>
      </w:r>
    </w:p>
    <w:p w14:paraId="6737E29E" w14:textId="77777777" w:rsidR="00A76ADB" w:rsidRDefault="00A76ADB" w:rsidP="00A76ADB">
      <w:pPr>
        <w:pStyle w:val="BodyText"/>
      </w:pPr>
      <w:r>
        <w:t>The majority of non-municipal landfills and farm fills are shallow, with less than 5 metres depth of waste. These are estimated to account for 90 per cent of the waste disposed with a CH</w:t>
      </w:r>
      <w:r>
        <w:rPr>
          <w:vertAlign w:val="subscript"/>
        </w:rPr>
        <w:t>4</w:t>
      </w:r>
      <w:r>
        <w:t xml:space="preserve"> correction factor value of 0.4. The other 10 per cent (approximately) goes to fills that are assumed to be:</w:t>
      </w:r>
    </w:p>
    <w:p w14:paraId="65FDB1CB" w14:textId="77777777" w:rsidR="00A76ADB" w:rsidRDefault="00A76ADB" w:rsidP="00A76ADB">
      <w:pPr>
        <w:pStyle w:val="Bullet"/>
      </w:pPr>
      <w:r>
        <w:t xml:space="preserve">for non-municipal </w:t>
      </w:r>
      <w:r w:rsidRPr="00867070">
        <w:t>landfills</w:t>
      </w:r>
      <w:r>
        <w:t>, an unknown mix that would have an average CH</w:t>
      </w:r>
      <w:r>
        <w:rPr>
          <w:vertAlign w:val="subscript"/>
        </w:rPr>
        <w:t>4</w:t>
      </w:r>
      <w:r>
        <w:t xml:space="preserve"> correction factor value of 0.6; this gives an overall average for these sites of 0.42</w:t>
      </w:r>
    </w:p>
    <w:p w14:paraId="509AB640" w14:textId="77777777" w:rsidR="00A76ADB" w:rsidRDefault="00A76ADB" w:rsidP="00A76ADB">
      <w:pPr>
        <w:pStyle w:val="Bullet"/>
      </w:pPr>
      <w:r>
        <w:t>for farm fills, deeper pits with an average depth greater than 5 metres, so the CH</w:t>
      </w:r>
      <w:r>
        <w:rPr>
          <w:vertAlign w:val="subscript"/>
        </w:rPr>
        <w:t>4</w:t>
      </w:r>
      <w:r>
        <w:t xml:space="preserve"> correction factor value is 0.8 and the average for all farm fills is 0.44.</w:t>
      </w:r>
    </w:p>
    <w:p w14:paraId="5A4E989B" w14:textId="77777777" w:rsidR="00A76ADB" w:rsidRDefault="00A76ADB" w:rsidP="00A76ADB">
      <w:pPr>
        <w:pStyle w:val="BodyText"/>
      </w:pPr>
      <w:r>
        <w:lastRenderedPageBreak/>
        <w:t>Default k-values for a wet temperate climate are used. No oxidation is assumed to occur in the cover for these unmanaged sites.</w:t>
      </w:r>
    </w:p>
    <w:p w14:paraId="1441469B" w14:textId="77777777" w:rsidR="00A76ADB" w:rsidRDefault="00A76ADB" w:rsidP="00A76ADB">
      <w:pPr>
        <w:pStyle w:val="Heading6"/>
      </w:pPr>
      <w:bookmarkStart w:id="2374" w:name="summary-of-parameters-used-1"/>
      <w:bookmarkEnd w:id="2373"/>
      <w:r>
        <w:t>Summary of parameters used</w:t>
      </w:r>
    </w:p>
    <w:p w14:paraId="273E690C" w14:textId="77777777" w:rsidR="00A76ADB" w:rsidRDefault="00A76ADB" w:rsidP="00A76ADB">
      <w:pPr>
        <w:pStyle w:val="BodyText"/>
      </w:pPr>
      <w:r>
        <w:t>Table 7.2.8 gives a summary of the parameter values that have been applied for estimating CH</w:t>
      </w:r>
      <w:r>
        <w:rPr>
          <w:vertAlign w:val="subscript"/>
        </w:rPr>
        <w:t>4</w:t>
      </w:r>
      <w:r>
        <w:t xml:space="preserve"> emissions for solid waste disposed to non-municipal landfills and farm fills.</w:t>
      </w:r>
    </w:p>
    <w:p w14:paraId="2050C8CE" w14:textId="77777777" w:rsidR="00A76ADB" w:rsidRDefault="00A76ADB" w:rsidP="00A76ADB">
      <w:pPr>
        <w:pStyle w:val="Table"/>
      </w:pPr>
      <w:bookmarkStart w:id="2375" w:name="_Toc99659330"/>
      <w:r>
        <w:t>Table 7.2.8</w:t>
      </w:r>
      <w:r>
        <w:tab/>
        <w:t>Summary of parameters for non-municipal landfills and farm fills</w:t>
      </w:r>
      <w:bookmarkEnd w:id="2375"/>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985"/>
        <w:gridCol w:w="1276"/>
        <w:gridCol w:w="1559"/>
        <w:gridCol w:w="3685"/>
      </w:tblGrid>
      <w:tr w:rsidR="00A76ADB" w:rsidRPr="0012169A" w14:paraId="20432A37" w14:textId="77777777" w:rsidTr="00410DA6">
        <w:trPr>
          <w:cantSplit/>
          <w:tblHeader/>
        </w:trPr>
        <w:tc>
          <w:tcPr>
            <w:tcW w:w="1985" w:type="dxa"/>
            <w:shd w:val="clear" w:color="auto" w:fill="1B556B"/>
            <w:vAlign w:val="center"/>
          </w:tcPr>
          <w:p w14:paraId="56343956" w14:textId="77777777" w:rsidR="00A76ADB" w:rsidRPr="006C0D1B" w:rsidRDefault="00A76ADB" w:rsidP="007E3239">
            <w:pPr>
              <w:pStyle w:val="TableTextBold"/>
              <w:spacing w:before="50" w:after="50"/>
              <w:rPr>
                <w:color w:val="FFFFFF"/>
              </w:rPr>
            </w:pPr>
            <w:r w:rsidRPr="006C0D1B">
              <w:rPr>
                <w:rFonts w:eastAsia="Calibri"/>
                <w:color w:val="FFFFFF"/>
              </w:rPr>
              <w:t>Parameter</w:t>
            </w:r>
          </w:p>
        </w:tc>
        <w:tc>
          <w:tcPr>
            <w:tcW w:w="1276" w:type="dxa"/>
            <w:shd w:val="clear" w:color="auto" w:fill="1B556B"/>
            <w:vAlign w:val="center"/>
          </w:tcPr>
          <w:p w14:paraId="2C88826B" w14:textId="77777777" w:rsidR="00A76ADB" w:rsidRPr="006C0D1B" w:rsidRDefault="00A76ADB" w:rsidP="007E3239">
            <w:pPr>
              <w:pStyle w:val="TableTextBold"/>
              <w:spacing w:before="50" w:after="50"/>
              <w:jc w:val="center"/>
              <w:rPr>
                <w:color w:val="FFFFFF"/>
              </w:rPr>
            </w:pPr>
            <w:r w:rsidRPr="006C0D1B">
              <w:rPr>
                <w:rFonts w:eastAsia="Calibri"/>
                <w:color w:val="FFFFFF"/>
              </w:rPr>
              <w:t>Values</w:t>
            </w:r>
          </w:p>
        </w:tc>
        <w:tc>
          <w:tcPr>
            <w:tcW w:w="1559" w:type="dxa"/>
            <w:shd w:val="clear" w:color="auto" w:fill="1B556B"/>
            <w:vAlign w:val="center"/>
          </w:tcPr>
          <w:p w14:paraId="0C00051C" w14:textId="77777777" w:rsidR="00A76ADB" w:rsidRPr="006C0D1B" w:rsidRDefault="00A76ADB" w:rsidP="007E3239">
            <w:pPr>
              <w:pStyle w:val="TableTextBold"/>
              <w:spacing w:before="50" w:after="50"/>
              <w:rPr>
                <w:color w:val="FFFFFF"/>
              </w:rPr>
            </w:pPr>
            <w:r w:rsidRPr="006C0D1B">
              <w:rPr>
                <w:rFonts w:eastAsia="Calibri"/>
                <w:color w:val="FFFFFF"/>
              </w:rPr>
              <w:t>Source</w:t>
            </w:r>
          </w:p>
        </w:tc>
        <w:tc>
          <w:tcPr>
            <w:tcW w:w="3685" w:type="dxa"/>
            <w:shd w:val="clear" w:color="auto" w:fill="1B556B"/>
            <w:vAlign w:val="center"/>
          </w:tcPr>
          <w:p w14:paraId="77D0CC86" w14:textId="77777777" w:rsidR="00A76ADB" w:rsidRPr="006C0D1B" w:rsidRDefault="00A76ADB" w:rsidP="007E3239">
            <w:pPr>
              <w:pStyle w:val="TableTextBold"/>
              <w:spacing w:before="50" w:after="50"/>
              <w:rPr>
                <w:color w:val="FFFFFF"/>
              </w:rPr>
            </w:pPr>
            <w:r w:rsidRPr="006C0D1B">
              <w:rPr>
                <w:rFonts w:eastAsia="Calibri"/>
                <w:color w:val="FFFFFF"/>
              </w:rPr>
              <w:t>Reference</w:t>
            </w:r>
          </w:p>
        </w:tc>
      </w:tr>
      <w:tr w:rsidR="00A76ADB" w14:paraId="10C69A4D" w14:textId="77777777" w:rsidTr="00410DA6">
        <w:trPr>
          <w:cantSplit/>
          <w:trHeight w:val="283"/>
        </w:trPr>
        <w:tc>
          <w:tcPr>
            <w:tcW w:w="1985" w:type="dxa"/>
            <w:shd w:val="clear" w:color="auto" w:fill="FFFFFF"/>
            <w:vAlign w:val="center"/>
          </w:tcPr>
          <w:p w14:paraId="4BB74B6F" w14:textId="77777777" w:rsidR="00A76ADB" w:rsidRDefault="00A76ADB" w:rsidP="007E3239">
            <w:pPr>
              <w:pStyle w:val="TableTextBold"/>
              <w:spacing w:before="50" w:after="50"/>
            </w:pPr>
            <w:r>
              <w:rPr>
                <w:rFonts w:eastAsia="Calibri"/>
              </w:rPr>
              <w:t>Non-municipal landfills</w:t>
            </w:r>
          </w:p>
        </w:tc>
        <w:tc>
          <w:tcPr>
            <w:tcW w:w="1276" w:type="dxa"/>
            <w:shd w:val="clear" w:color="auto" w:fill="FFFFFF"/>
            <w:vAlign w:val="center"/>
          </w:tcPr>
          <w:p w14:paraId="51D5B7CA" w14:textId="77777777" w:rsidR="00A76ADB" w:rsidRDefault="00A76ADB" w:rsidP="007E3239">
            <w:pPr>
              <w:pStyle w:val="TableTextBold"/>
              <w:spacing w:before="50" w:after="50"/>
              <w:jc w:val="center"/>
            </w:pPr>
          </w:p>
        </w:tc>
        <w:tc>
          <w:tcPr>
            <w:tcW w:w="1559" w:type="dxa"/>
            <w:shd w:val="clear" w:color="auto" w:fill="FFFFFF"/>
            <w:vAlign w:val="center"/>
          </w:tcPr>
          <w:p w14:paraId="0EF8B1C1" w14:textId="77777777" w:rsidR="00A76ADB" w:rsidRDefault="00A76ADB" w:rsidP="007E3239">
            <w:pPr>
              <w:pStyle w:val="TableTextBold"/>
              <w:spacing w:before="50" w:after="50"/>
            </w:pPr>
          </w:p>
        </w:tc>
        <w:tc>
          <w:tcPr>
            <w:tcW w:w="3685" w:type="dxa"/>
            <w:shd w:val="clear" w:color="auto" w:fill="FFFFFF"/>
            <w:vAlign w:val="center"/>
          </w:tcPr>
          <w:p w14:paraId="75C7E5C5" w14:textId="77777777" w:rsidR="00A76ADB" w:rsidRDefault="00A76ADB" w:rsidP="007E3239">
            <w:pPr>
              <w:pStyle w:val="TableTextBold"/>
              <w:spacing w:before="50" w:after="50"/>
            </w:pPr>
          </w:p>
        </w:tc>
      </w:tr>
      <w:tr w:rsidR="00A76ADB" w14:paraId="21475C4F" w14:textId="77777777" w:rsidTr="00410DA6">
        <w:trPr>
          <w:cantSplit/>
          <w:trHeight w:val="283"/>
        </w:trPr>
        <w:tc>
          <w:tcPr>
            <w:tcW w:w="1985" w:type="dxa"/>
            <w:shd w:val="clear" w:color="auto" w:fill="FFFFFF"/>
            <w:vAlign w:val="center"/>
          </w:tcPr>
          <w:p w14:paraId="2E1A2675" w14:textId="77777777" w:rsidR="00A76ADB" w:rsidRDefault="00A76ADB" w:rsidP="007E3239">
            <w:pPr>
              <w:pStyle w:val="TableText"/>
              <w:spacing w:before="50" w:after="50"/>
            </w:pPr>
            <w:r>
              <w:rPr>
                <w:rFonts w:eastAsia="Calibri"/>
              </w:rPr>
              <w:t>k-value</w:t>
            </w:r>
          </w:p>
        </w:tc>
        <w:tc>
          <w:tcPr>
            <w:tcW w:w="1276" w:type="dxa"/>
            <w:shd w:val="clear" w:color="auto" w:fill="FFFFFF"/>
            <w:vAlign w:val="center"/>
          </w:tcPr>
          <w:p w14:paraId="3C422FF8" w14:textId="77777777" w:rsidR="00A76ADB" w:rsidRDefault="00A76ADB" w:rsidP="007E3239">
            <w:pPr>
              <w:pStyle w:val="TableText"/>
              <w:spacing w:before="50" w:after="50"/>
              <w:jc w:val="center"/>
            </w:pPr>
            <w:r>
              <w:rPr>
                <w:rFonts w:eastAsia="Calibri"/>
              </w:rPr>
              <w:t>0.030–0.185</w:t>
            </w:r>
          </w:p>
        </w:tc>
        <w:tc>
          <w:tcPr>
            <w:tcW w:w="1559" w:type="dxa"/>
            <w:shd w:val="clear" w:color="auto" w:fill="FFFFFF"/>
            <w:vAlign w:val="center"/>
          </w:tcPr>
          <w:p w14:paraId="52371249" w14:textId="77777777" w:rsidR="00A76ADB" w:rsidRDefault="00A76ADB" w:rsidP="007E3239">
            <w:pPr>
              <w:pStyle w:val="TableText"/>
              <w:spacing w:before="50" w:after="50"/>
            </w:pPr>
            <w:r>
              <w:rPr>
                <w:rFonts w:eastAsia="Calibri"/>
              </w:rPr>
              <w:t>IPCC default</w:t>
            </w:r>
          </w:p>
        </w:tc>
        <w:tc>
          <w:tcPr>
            <w:tcW w:w="3685" w:type="dxa"/>
            <w:shd w:val="clear" w:color="auto" w:fill="FFFFFF"/>
            <w:vAlign w:val="center"/>
          </w:tcPr>
          <w:p w14:paraId="25C56884" w14:textId="77777777" w:rsidR="00A76ADB" w:rsidRDefault="00A76ADB" w:rsidP="007E3239">
            <w:pPr>
              <w:pStyle w:val="TableText"/>
              <w:spacing w:before="50" w:after="50"/>
            </w:pPr>
            <w:r>
              <w:rPr>
                <w:rFonts w:eastAsia="Calibri"/>
              </w:rPr>
              <w:t>IPCC (2006a)</w:t>
            </w:r>
          </w:p>
        </w:tc>
      </w:tr>
      <w:tr w:rsidR="00A76ADB" w14:paraId="293CEEC8" w14:textId="77777777" w:rsidTr="00410DA6">
        <w:trPr>
          <w:cantSplit/>
          <w:trHeight w:val="283"/>
        </w:trPr>
        <w:tc>
          <w:tcPr>
            <w:tcW w:w="1985" w:type="dxa"/>
            <w:shd w:val="clear" w:color="auto" w:fill="FFFFFF"/>
            <w:vAlign w:val="center"/>
          </w:tcPr>
          <w:p w14:paraId="49ACF9B2" w14:textId="77777777" w:rsidR="00A76ADB" w:rsidRDefault="00A76ADB" w:rsidP="007E3239">
            <w:pPr>
              <w:pStyle w:val="TableText"/>
              <w:spacing w:before="50" w:after="50"/>
            </w:pPr>
            <w:r>
              <w:rPr>
                <w:rFonts w:eastAsia="Calibri"/>
              </w:rPr>
              <w:t>Methane correction factor</w:t>
            </w:r>
          </w:p>
        </w:tc>
        <w:tc>
          <w:tcPr>
            <w:tcW w:w="1276" w:type="dxa"/>
            <w:shd w:val="clear" w:color="auto" w:fill="FFFFFF"/>
            <w:vAlign w:val="center"/>
          </w:tcPr>
          <w:p w14:paraId="0BF407F2" w14:textId="77777777" w:rsidR="00A76ADB" w:rsidRDefault="00A76ADB" w:rsidP="007E3239">
            <w:pPr>
              <w:pStyle w:val="TableText"/>
              <w:spacing w:before="50" w:after="50"/>
              <w:jc w:val="center"/>
            </w:pPr>
            <w:r>
              <w:rPr>
                <w:rFonts w:eastAsia="Calibri"/>
              </w:rPr>
              <w:t>0.42</w:t>
            </w:r>
          </w:p>
        </w:tc>
        <w:tc>
          <w:tcPr>
            <w:tcW w:w="1559" w:type="dxa"/>
            <w:shd w:val="clear" w:color="auto" w:fill="FFFFFF"/>
            <w:vAlign w:val="center"/>
          </w:tcPr>
          <w:p w14:paraId="2BE18012" w14:textId="77777777" w:rsidR="00A76ADB" w:rsidRDefault="00A76ADB" w:rsidP="007E3239">
            <w:pPr>
              <w:pStyle w:val="TableText"/>
              <w:spacing w:before="50" w:after="50"/>
            </w:pPr>
            <w:r>
              <w:rPr>
                <w:rFonts w:eastAsia="Calibri"/>
              </w:rPr>
              <w:t>Country specific</w:t>
            </w:r>
          </w:p>
        </w:tc>
        <w:tc>
          <w:tcPr>
            <w:tcW w:w="3685" w:type="dxa"/>
            <w:shd w:val="clear" w:color="auto" w:fill="FFFFFF"/>
            <w:vAlign w:val="center"/>
          </w:tcPr>
          <w:p w14:paraId="04FAEC03" w14:textId="77777777" w:rsidR="00A76ADB" w:rsidRDefault="00A76ADB" w:rsidP="007E3239">
            <w:pPr>
              <w:pStyle w:val="TableText"/>
              <w:spacing w:before="50" w:after="50"/>
            </w:pPr>
            <w:r>
              <w:rPr>
                <w:rFonts w:eastAsia="Calibri"/>
              </w:rPr>
              <w:t>Tonkin and Taylor Ltd (unpublished(b))</w:t>
            </w:r>
          </w:p>
        </w:tc>
      </w:tr>
      <w:tr w:rsidR="00A76ADB" w14:paraId="29C6CAFF" w14:textId="77777777" w:rsidTr="00410DA6">
        <w:trPr>
          <w:cantSplit/>
          <w:trHeight w:val="283"/>
        </w:trPr>
        <w:tc>
          <w:tcPr>
            <w:tcW w:w="1985" w:type="dxa"/>
            <w:shd w:val="clear" w:color="auto" w:fill="FFFFFF"/>
            <w:vAlign w:val="center"/>
          </w:tcPr>
          <w:p w14:paraId="21A13145" w14:textId="77777777" w:rsidR="00A76ADB" w:rsidRDefault="00A76ADB" w:rsidP="007E3239">
            <w:pPr>
              <w:pStyle w:val="TableText"/>
              <w:spacing w:before="50" w:after="50"/>
            </w:pPr>
            <w:r>
              <w:rPr>
                <w:rFonts w:eastAsia="Calibri"/>
              </w:rPr>
              <w:t>DOC (kt C/kt waste)</w:t>
            </w:r>
          </w:p>
        </w:tc>
        <w:tc>
          <w:tcPr>
            <w:tcW w:w="1276" w:type="dxa"/>
            <w:shd w:val="clear" w:color="auto" w:fill="FFFFFF"/>
            <w:vAlign w:val="center"/>
          </w:tcPr>
          <w:p w14:paraId="3FEBE9E6" w14:textId="77777777" w:rsidR="00A76ADB" w:rsidRDefault="00A76ADB" w:rsidP="007E3239">
            <w:pPr>
              <w:pStyle w:val="TableText"/>
              <w:spacing w:before="50" w:after="50"/>
              <w:jc w:val="center"/>
            </w:pPr>
            <w:r>
              <w:rPr>
                <w:rFonts w:eastAsia="Calibri"/>
              </w:rPr>
              <w:t>0.040–0.34</w:t>
            </w:r>
          </w:p>
        </w:tc>
        <w:tc>
          <w:tcPr>
            <w:tcW w:w="1559" w:type="dxa"/>
            <w:shd w:val="clear" w:color="auto" w:fill="FFFFFF"/>
            <w:vAlign w:val="center"/>
          </w:tcPr>
          <w:p w14:paraId="5879017B" w14:textId="77777777" w:rsidR="00A76ADB" w:rsidRDefault="00A76ADB" w:rsidP="007E3239">
            <w:pPr>
              <w:pStyle w:val="TableText"/>
              <w:spacing w:before="50" w:after="50"/>
            </w:pPr>
            <w:r>
              <w:rPr>
                <w:rFonts w:eastAsia="Calibri"/>
              </w:rPr>
              <w:t>Country specific</w:t>
            </w:r>
          </w:p>
        </w:tc>
        <w:tc>
          <w:tcPr>
            <w:tcW w:w="3685" w:type="dxa"/>
            <w:shd w:val="clear" w:color="auto" w:fill="FFFFFF"/>
            <w:vAlign w:val="center"/>
          </w:tcPr>
          <w:p w14:paraId="353ABF39" w14:textId="77777777" w:rsidR="00A76ADB" w:rsidRDefault="00A76ADB" w:rsidP="007E3239">
            <w:pPr>
              <w:pStyle w:val="TableText"/>
              <w:spacing w:before="50" w:after="50"/>
            </w:pPr>
            <w:r>
              <w:rPr>
                <w:rFonts w:eastAsia="Calibri"/>
              </w:rPr>
              <w:t>Waste Not Consulting (unpublished(b)), Eunomia (unpublished(a))</w:t>
            </w:r>
          </w:p>
        </w:tc>
      </w:tr>
      <w:tr w:rsidR="00A76ADB" w14:paraId="34758750" w14:textId="77777777" w:rsidTr="00410DA6">
        <w:trPr>
          <w:cantSplit/>
          <w:trHeight w:val="283"/>
        </w:trPr>
        <w:tc>
          <w:tcPr>
            <w:tcW w:w="1985" w:type="dxa"/>
            <w:shd w:val="clear" w:color="auto" w:fill="FFFFFF"/>
            <w:vAlign w:val="center"/>
          </w:tcPr>
          <w:p w14:paraId="4A665195" w14:textId="77777777" w:rsidR="00A76ADB" w:rsidRDefault="00A76ADB" w:rsidP="007E3239">
            <w:pPr>
              <w:pStyle w:val="TableTextBold"/>
              <w:spacing w:before="50" w:after="50"/>
            </w:pPr>
            <w:r>
              <w:rPr>
                <w:rFonts w:eastAsia="Calibri"/>
              </w:rPr>
              <w:t>Farm fills</w:t>
            </w:r>
          </w:p>
        </w:tc>
        <w:tc>
          <w:tcPr>
            <w:tcW w:w="1276" w:type="dxa"/>
            <w:shd w:val="clear" w:color="auto" w:fill="FFFFFF"/>
            <w:vAlign w:val="center"/>
          </w:tcPr>
          <w:p w14:paraId="52549CC4" w14:textId="77777777" w:rsidR="00A76ADB" w:rsidRDefault="00A76ADB" w:rsidP="007E3239">
            <w:pPr>
              <w:pStyle w:val="TableTextBold"/>
              <w:spacing w:before="50" w:after="50"/>
              <w:jc w:val="center"/>
            </w:pPr>
          </w:p>
        </w:tc>
        <w:tc>
          <w:tcPr>
            <w:tcW w:w="1559" w:type="dxa"/>
            <w:shd w:val="clear" w:color="auto" w:fill="FFFFFF"/>
            <w:vAlign w:val="center"/>
          </w:tcPr>
          <w:p w14:paraId="130EEAAA" w14:textId="77777777" w:rsidR="00A76ADB" w:rsidRDefault="00A76ADB" w:rsidP="007E3239">
            <w:pPr>
              <w:pStyle w:val="TableTextBold"/>
              <w:spacing w:before="50" w:after="50"/>
            </w:pPr>
          </w:p>
        </w:tc>
        <w:tc>
          <w:tcPr>
            <w:tcW w:w="3685" w:type="dxa"/>
            <w:shd w:val="clear" w:color="auto" w:fill="FFFFFF"/>
            <w:vAlign w:val="center"/>
          </w:tcPr>
          <w:p w14:paraId="3E4D3EF8" w14:textId="77777777" w:rsidR="00A76ADB" w:rsidRDefault="00A76ADB" w:rsidP="007E3239">
            <w:pPr>
              <w:pStyle w:val="TableTextBold"/>
              <w:spacing w:before="50" w:after="50"/>
            </w:pPr>
          </w:p>
        </w:tc>
      </w:tr>
      <w:tr w:rsidR="00A76ADB" w:rsidRPr="0012169A" w14:paraId="48EF058A" w14:textId="77777777" w:rsidTr="00410DA6">
        <w:trPr>
          <w:cantSplit/>
          <w:trHeight w:val="283"/>
        </w:trPr>
        <w:tc>
          <w:tcPr>
            <w:tcW w:w="1985" w:type="dxa"/>
            <w:shd w:val="clear" w:color="auto" w:fill="FFFFFF"/>
            <w:vAlign w:val="center"/>
          </w:tcPr>
          <w:p w14:paraId="1BD4CC06" w14:textId="77777777" w:rsidR="00A76ADB" w:rsidRPr="0012169A" w:rsidRDefault="00A76ADB" w:rsidP="007E3239">
            <w:pPr>
              <w:pStyle w:val="TableText"/>
              <w:spacing w:before="50" w:after="50"/>
            </w:pPr>
            <w:r w:rsidRPr="0012169A">
              <w:rPr>
                <w:rFonts w:eastAsia="Calibri"/>
              </w:rPr>
              <w:t>k-value</w:t>
            </w:r>
          </w:p>
        </w:tc>
        <w:tc>
          <w:tcPr>
            <w:tcW w:w="1276" w:type="dxa"/>
            <w:shd w:val="clear" w:color="auto" w:fill="FFFFFF"/>
            <w:vAlign w:val="center"/>
          </w:tcPr>
          <w:p w14:paraId="4DA3D25A" w14:textId="77777777" w:rsidR="00A76ADB" w:rsidRPr="0012169A" w:rsidRDefault="00A76ADB" w:rsidP="007E3239">
            <w:pPr>
              <w:pStyle w:val="TableText"/>
              <w:spacing w:before="50" w:after="50"/>
              <w:jc w:val="center"/>
            </w:pPr>
            <w:r w:rsidRPr="0012169A">
              <w:rPr>
                <w:rFonts w:eastAsia="Calibri"/>
              </w:rPr>
              <w:t>0.09</w:t>
            </w:r>
          </w:p>
        </w:tc>
        <w:tc>
          <w:tcPr>
            <w:tcW w:w="1559" w:type="dxa"/>
            <w:shd w:val="clear" w:color="auto" w:fill="FFFFFF"/>
            <w:vAlign w:val="center"/>
          </w:tcPr>
          <w:p w14:paraId="20C9AE2C" w14:textId="77777777" w:rsidR="00A76ADB" w:rsidRPr="0012169A" w:rsidRDefault="00A76ADB" w:rsidP="007E3239">
            <w:pPr>
              <w:pStyle w:val="TableText"/>
              <w:spacing w:before="50" w:after="50"/>
            </w:pPr>
            <w:r w:rsidRPr="0012169A">
              <w:rPr>
                <w:rFonts w:eastAsia="Calibri"/>
              </w:rPr>
              <w:t>IPCC default</w:t>
            </w:r>
          </w:p>
        </w:tc>
        <w:tc>
          <w:tcPr>
            <w:tcW w:w="3685" w:type="dxa"/>
            <w:shd w:val="clear" w:color="auto" w:fill="FFFFFF"/>
            <w:vAlign w:val="center"/>
          </w:tcPr>
          <w:p w14:paraId="742BA1E7" w14:textId="77777777" w:rsidR="00A76ADB" w:rsidRPr="0012169A" w:rsidRDefault="00A76ADB" w:rsidP="007E3239">
            <w:pPr>
              <w:pStyle w:val="TableText"/>
              <w:spacing w:before="50" w:after="50"/>
            </w:pPr>
            <w:r w:rsidRPr="0012169A">
              <w:rPr>
                <w:rFonts w:eastAsia="Calibri"/>
              </w:rPr>
              <w:t>IPCC (2006a)</w:t>
            </w:r>
          </w:p>
        </w:tc>
      </w:tr>
      <w:tr w:rsidR="00A76ADB" w:rsidRPr="0012169A" w14:paraId="5C4A6704" w14:textId="77777777" w:rsidTr="00410DA6">
        <w:trPr>
          <w:cantSplit/>
          <w:trHeight w:val="283"/>
        </w:trPr>
        <w:tc>
          <w:tcPr>
            <w:tcW w:w="1985" w:type="dxa"/>
            <w:shd w:val="clear" w:color="auto" w:fill="FFFFFF"/>
            <w:vAlign w:val="center"/>
          </w:tcPr>
          <w:p w14:paraId="14B46B42" w14:textId="77777777" w:rsidR="00A76ADB" w:rsidRPr="0012169A" w:rsidRDefault="00A76ADB" w:rsidP="007E3239">
            <w:pPr>
              <w:pStyle w:val="TableText"/>
              <w:spacing w:before="50" w:after="50"/>
            </w:pPr>
            <w:r w:rsidRPr="0012169A">
              <w:rPr>
                <w:rFonts w:eastAsia="Calibri"/>
              </w:rPr>
              <w:t>Methane correction factor</w:t>
            </w:r>
          </w:p>
        </w:tc>
        <w:tc>
          <w:tcPr>
            <w:tcW w:w="1276" w:type="dxa"/>
            <w:shd w:val="clear" w:color="auto" w:fill="FFFFFF"/>
            <w:vAlign w:val="center"/>
          </w:tcPr>
          <w:p w14:paraId="68837A92" w14:textId="77777777" w:rsidR="00A76ADB" w:rsidRPr="0012169A" w:rsidRDefault="00A76ADB" w:rsidP="007E3239">
            <w:pPr>
              <w:pStyle w:val="TableText"/>
              <w:spacing w:before="50" w:after="50"/>
              <w:jc w:val="center"/>
            </w:pPr>
            <w:r w:rsidRPr="0012169A">
              <w:rPr>
                <w:rFonts w:eastAsia="Calibri"/>
              </w:rPr>
              <w:t>0.44</w:t>
            </w:r>
          </w:p>
        </w:tc>
        <w:tc>
          <w:tcPr>
            <w:tcW w:w="1559" w:type="dxa"/>
            <w:shd w:val="clear" w:color="auto" w:fill="FFFFFF"/>
            <w:vAlign w:val="center"/>
          </w:tcPr>
          <w:p w14:paraId="17022AB4" w14:textId="77777777" w:rsidR="00A76ADB" w:rsidRPr="0012169A" w:rsidRDefault="00A76ADB" w:rsidP="007E3239">
            <w:pPr>
              <w:pStyle w:val="TableText"/>
              <w:spacing w:before="50" w:after="50"/>
            </w:pPr>
            <w:r w:rsidRPr="0012169A">
              <w:rPr>
                <w:rFonts w:eastAsia="Calibri"/>
              </w:rPr>
              <w:t>Country specific</w:t>
            </w:r>
          </w:p>
        </w:tc>
        <w:tc>
          <w:tcPr>
            <w:tcW w:w="3685" w:type="dxa"/>
            <w:shd w:val="clear" w:color="auto" w:fill="FFFFFF"/>
            <w:vAlign w:val="center"/>
          </w:tcPr>
          <w:p w14:paraId="492CF1F0" w14:textId="77777777" w:rsidR="00A76ADB" w:rsidRPr="0012169A" w:rsidRDefault="00A76ADB" w:rsidP="007E3239">
            <w:pPr>
              <w:pStyle w:val="TableText"/>
              <w:spacing w:before="50" w:after="50"/>
            </w:pPr>
            <w:r w:rsidRPr="0012169A">
              <w:rPr>
                <w:rFonts w:eastAsia="Calibri"/>
              </w:rPr>
              <w:t>Tonkin and Taylor Ltd (unpublished(b))</w:t>
            </w:r>
          </w:p>
        </w:tc>
      </w:tr>
      <w:tr w:rsidR="00A76ADB" w:rsidRPr="0012169A" w14:paraId="0AF38243" w14:textId="77777777" w:rsidTr="00410DA6">
        <w:trPr>
          <w:cantSplit/>
          <w:trHeight w:val="283"/>
        </w:trPr>
        <w:tc>
          <w:tcPr>
            <w:tcW w:w="1985" w:type="dxa"/>
            <w:shd w:val="clear" w:color="auto" w:fill="FFFFFF"/>
            <w:vAlign w:val="center"/>
          </w:tcPr>
          <w:p w14:paraId="2D5EF4B2" w14:textId="77777777" w:rsidR="00A76ADB" w:rsidRPr="0012169A" w:rsidRDefault="00A76ADB" w:rsidP="007E3239">
            <w:pPr>
              <w:pStyle w:val="TableText"/>
              <w:spacing w:before="50" w:after="50"/>
            </w:pPr>
            <w:r w:rsidRPr="0012169A">
              <w:rPr>
                <w:rFonts w:eastAsia="Calibri"/>
              </w:rPr>
              <w:t>DOC (kt C/kt waste)</w:t>
            </w:r>
          </w:p>
        </w:tc>
        <w:tc>
          <w:tcPr>
            <w:tcW w:w="1276" w:type="dxa"/>
            <w:shd w:val="clear" w:color="auto" w:fill="FFFFFF"/>
            <w:vAlign w:val="center"/>
          </w:tcPr>
          <w:p w14:paraId="2EDE2E40" w14:textId="77777777" w:rsidR="00A76ADB" w:rsidRPr="0012169A" w:rsidRDefault="00A76ADB" w:rsidP="007E3239">
            <w:pPr>
              <w:pStyle w:val="TableText"/>
              <w:spacing w:before="50" w:after="50"/>
              <w:jc w:val="center"/>
            </w:pPr>
            <w:r w:rsidRPr="0012169A">
              <w:rPr>
                <w:rFonts w:eastAsia="Calibri"/>
              </w:rPr>
              <w:t>0.184-0.331</w:t>
            </w:r>
          </w:p>
        </w:tc>
        <w:tc>
          <w:tcPr>
            <w:tcW w:w="1559" w:type="dxa"/>
            <w:shd w:val="clear" w:color="auto" w:fill="FFFFFF"/>
            <w:vAlign w:val="center"/>
          </w:tcPr>
          <w:p w14:paraId="1CA12212" w14:textId="77777777" w:rsidR="00A76ADB" w:rsidRPr="0012169A" w:rsidRDefault="00A76ADB" w:rsidP="007E3239">
            <w:pPr>
              <w:pStyle w:val="TableText"/>
              <w:spacing w:before="50" w:after="50"/>
            </w:pPr>
            <w:r w:rsidRPr="0012169A">
              <w:rPr>
                <w:rFonts w:eastAsia="Calibri"/>
              </w:rPr>
              <w:t>Country specific</w:t>
            </w:r>
          </w:p>
        </w:tc>
        <w:tc>
          <w:tcPr>
            <w:tcW w:w="3685" w:type="dxa"/>
            <w:shd w:val="clear" w:color="auto" w:fill="FFFFFF"/>
            <w:vAlign w:val="center"/>
          </w:tcPr>
          <w:p w14:paraId="6CA4D7B1" w14:textId="77777777" w:rsidR="00A76ADB" w:rsidRPr="0012169A" w:rsidRDefault="00A76ADB" w:rsidP="007E3239">
            <w:pPr>
              <w:pStyle w:val="TableText"/>
              <w:spacing w:before="50" w:after="50"/>
            </w:pPr>
            <w:r w:rsidRPr="0012169A">
              <w:rPr>
                <w:rFonts w:eastAsia="Calibri"/>
              </w:rPr>
              <w:t>GHD (2013, 2014)</w:t>
            </w:r>
          </w:p>
        </w:tc>
      </w:tr>
      <w:tr w:rsidR="00A76ADB" w14:paraId="10DFE830" w14:textId="77777777" w:rsidTr="00410DA6">
        <w:trPr>
          <w:cantSplit/>
          <w:trHeight w:val="283"/>
        </w:trPr>
        <w:tc>
          <w:tcPr>
            <w:tcW w:w="1985" w:type="dxa"/>
            <w:shd w:val="clear" w:color="auto" w:fill="FFFFFF"/>
            <w:vAlign w:val="center"/>
          </w:tcPr>
          <w:p w14:paraId="3AD8F99D" w14:textId="77777777" w:rsidR="00A76ADB" w:rsidRDefault="00A76ADB" w:rsidP="007E3239">
            <w:pPr>
              <w:pStyle w:val="TableTextBold"/>
              <w:spacing w:before="50" w:after="50"/>
            </w:pPr>
            <w:r>
              <w:rPr>
                <w:rFonts w:eastAsia="Calibri"/>
              </w:rPr>
              <w:t>All sites</w:t>
            </w:r>
          </w:p>
        </w:tc>
        <w:tc>
          <w:tcPr>
            <w:tcW w:w="1276" w:type="dxa"/>
            <w:shd w:val="clear" w:color="auto" w:fill="FFFFFF"/>
            <w:vAlign w:val="center"/>
          </w:tcPr>
          <w:p w14:paraId="30ECDB7F" w14:textId="77777777" w:rsidR="00A76ADB" w:rsidRDefault="00A76ADB" w:rsidP="007E3239">
            <w:pPr>
              <w:pStyle w:val="TableTextBold"/>
              <w:spacing w:before="50" w:after="50"/>
              <w:jc w:val="center"/>
            </w:pPr>
          </w:p>
        </w:tc>
        <w:tc>
          <w:tcPr>
            <w:tcW w:w="1559" w:type="dxa"/>
            <w:shd w:val="clear" w:color="auto" w:fill="FFFFFF"/>
            <w:vAlign w:val="center"/>
          </w:tcPr>
          <w:p w14:paraId="09AD5A5A" w14:textId="77777777" w:rsidR="00A76ADB" w:rsidRDefault="00A76ADB" w:rsidP="007E3239">
            <w:pPr>
              <w:pStyle w:val="TableTextBold"/>
              <w:spacing w:before="50" w:after="50"/>
            </w:pPr>
          </w:p>
        </w:tc>
        <w:tc>
          <w:tcPr>
            <w:tcW w:w="3685" w:type="dxa"/>
            <w:shd w:val="clear" w:color="auto" w:fill="FFFFFF"/>
            <w:vAlign w:val="center"/>
          </w:tcPr>
          <w:p w14:paraId="5A6FDF8C" w14:textId="77777777" w:rsidR="00A76ADB" w:rsidRDefault="00A76ADB" w:rsidP="007E3239">
            <w:pPr>
              <w:pStyle w:val="TableTextBold"/>
              <w:spacing w:before="50" w:after="50"/>
            </w:pPr>
          </w:p>
        </w:tc>
      </w:tr>
      <w:tr w:rsidR="00A76ADB" w14:paraId="13D00308" w14:textId="77777777" w:rsidTr="00410DA6">
        <w:trPr>
          <w:cantSplit/>
          <w:trHeight w:val="283"/>
        </w:trPr>
        <w:tc>
          <w:tcPr>
            <w:tcW w:w="1985" w:type="dxa"/>
            <w:shd w:val="clear" w:color="auto" w:fill="FFFFFF"/>
            <w:vAlign w:val="center"/>
          </w:tcPr>
          <w:p w14:paraId="78DB233F" w14:textId="77777777" w:rsidR="00A76ADB" w:rsidRDefault="00A76ADB" w:rsidP="007E3239">
            <w:pPr>
              <w:pStyle w:val="TableText"/>
              <w:spacing w:before="50" w:after="50"/>
            </w:pPr>
            <w:r>
              <w:rPr>
                <w:rFonts w:eastAsia="Calibri"/>
              </w:rPr>
              <w:t>Oxidation factor</w:t>
            </w:r>
          </w:p>
        </w:tc>
        <w:tc>
          <w:tcPr>
            <w:tcW w:w="1276" w:type="dxa"/>
            <w:shd w:val="clear" w:color="auto" w:fill="FFFFFF"/>
            <w:vAlign w:val="center"/>
          </w:tcPr>
          <w:p w14:paraId="09E40F5E" w14:textId="77777777" w:rsidR="00A76ADB" w:rsidRDefault="00A76ADB" w:rsidP="007E3239">
            <w:pPr>
              <w:pStyle w:val="TableText"/>
              <w:spacing w:before="50" w:after="50"/>
              <w:jc w:val="center"/>
            </w:pPr>
            <w:r>
              <w:rPr>
                <w:rFonts w:eastAsia="Calibri"/>
              </w:rPr>
              <w:t>0</w:t>
            </w:r>
          </w:p>
        </w:tc>
        <w:tc>
          <w:tcPr>
            <w:tcW w:w="1559" w:type="dxa"/>
            <w:shd w:val="clear" w:color="auto" w:fill="FFFFFF"/>
            <w:vAlign w:val="center"/>
          </w:tcPr>
          <w:p w14:paraId="0D2E36C8" w14:textId="77777777" w:rsidR="00A76ADB" w:rsidRDefault="00A76ADB" w:rsidP="007E3239">
            <w:pPr>
              <w:pStyle w:val="TableText"/>
              <w:spacing w:before="50" w:after="50"/>
            </w:pPr>
            <w:r>
              <w:rPr>
                <w:rFonts w:eastAsia="Calibri"/>
              </w:rPr>
              <w:t>IPCC default</w:t>
            </w:r>
          </w:p>
        </w:tc>
        <w:tc>
          <w:tcPr>
            <w:tcW w:w="3685" w:type="dxa"/>
            <w:shd w:val="clear" w:color="auto" w:fill="FFFFFF"/>
            <w:vAlign w:val="center"/>
          </w:tcPr>
          <w:p w14:paraId="40F861E2" w14:textId="77777777" w:rsidR="00A76ADB" w:rsidRDefault="00A76ADB" w:rsidP="007E3239">
            <w:pPr>
              <w:pStyle w:val="TableText"/>
              <w:spacing w:before="50" w:after="50"/>
            </w:pPr>
            <w:r>
              <w:rPr>
                <w:rFonts w:eastAsia="Calibri"/>
              </w:rPr>
              <w:t>IPCC (2006a)</w:t>
            </w:r>
          </w:p>
        </w:tc>
      </w:tr>
      <w:tr w:rsidR="00A76ADB" w14:paraId="44A9D687" w14:textId="77777777" w:rsidTr="00410DA6">
        <w:trPr>
          <w:cantSplit/>
          <w:trHeight w:val="283"/>
        </w:trPr>
        <w:tc>
          <w:tcPr>
            <w:tcW w:w="1985" w:type="dxa"/>
            <w:shd w:val="clear" w:color="auto" w:fill="FFFFFF"/>
            <w:vAlign w:val="center"/>
          </w:tcPr>
          <w:p w14:paraId="2E10FAE9" w14:textId="77777777" w:rsidR="00A76ADB" w:rsidRDefault="00A76ADB" w:rsidP="007E3239">
            <w:pPr>
              <w:pStyle w:val="TableText"/>
              <w:spacing w:before="50" w:after="50"/>
            </w:pPr>
            <w:r>
              <w:rPr>
                <w:rFonts w:eastAsia="Calibri"/>
              </w:rPr>
              <w:t>Starting year</w:t>
            </w:r>
          </w:p>
        </w:tc>
        <w:tc>
          <w:tcPr>
            <w:tcW w:w="1276" w:type="dxa"/>
            <w:shd w:val="clear" w:color="auto" w:fill="FFFFFF"/>
            <w:vAlign w:val="center"/>
          </w:tcPr>
          <w:p w14:paraId="5C768E8A" w14:textId="77777777" w:rsidR="00A76ADB" w:rsidRDefault="00A76ADB" w:rsidP="007E3239">
            <w:pPr>
              <w:pStyle w:val="TableText"/>
              <w:spacing w:before="50" w:after="50"/>
              <w:jc w:val="center"/>
            </w:pPr>
            <w:r>
              <w:rPr>
                <w:rFonts w:eastAsia="Calibri"/>
              </w:rPr>
              <w:t>1950</w:t>
            </w:r>
          </w:p>
        </w:tc>
        <w:tc>
          <w:tcPr>
            <w:tcW w:w="1559" w:type="dxa"/>
            <w:shd w:val="clear" w:color="auto" w:fill="FFFFFF"/>
            <w:vAlign w:val="center"/>
          </w:tcPr>
          <w:p w14:paraId="4B47326D" w14:textId="77777777" w:rsidR="00A76ADB" w:rsidRDefault="00A76ADB" w:rsidP="007E3239">
            <w:pPr>
              <w:pStyle w:val="TableText"/>
              <w:spacing w:before="50" w:after="50"/>
            </w:pPr>
            <w:r>
              <w:rPr>
                <w:rFonts w:eastAsia="Calibri"/>
              </w:rPr>
              <w:t>IPCC default</w:t>
            </w:r>
          </w:p>
        </w:tc>
        <w:tc>
          <w:tcPr>
            <w:tcW w:w="3685" w:type="dxa"/>
            <w:shd w:val="clear" w:color="auto" w:fill="FFFFFF"/>
            <w:vAlign w:val="center"/>
          </w:tcPr>
          <w:p w14:paraId="056667D4" w14:textId="77777777" w:rsidR="00A76ADB" w:rsidRDefault="00A76ADB" w:rsidP="007E3239">
            <w:pPr>
              <w:pStyle w:val="TableText"/>
              <w:spacing w:before="50" w:after="50"/>
            </w:pPr>
            <w:r>
              <w:rPr>
                <w:rFonts w:eastAsia="Calibri"/>
              </w:rPr>
              <w:t>IPCC (2006a)</w:t>
            </w:r>
          </w:p>
        </w:tc>
      </w:tr>
      <w:tr w:rsidR="00A76ADB" w14:paraId="623CE1D6" w14:textId="77777777" w:rsidTr="00410DA6">
        <w:trPr>
          <w:cantSplit/>
          <w:trHeight w:val="283"/>
        </w:trPr>
        <w:tc>
          <w:tcPr>
            <w:tcW w:w="1985" w:type="dxa"/>
            <w:shd w:val="clear" w:color="auto" w:fill="FFFFFF"/>
            <w:vAlign w:val="center"/>
          </w:tcPr>
          <w:p w14:paraId="4297E0D2" w14:textId="77777777" w:rsidR="00A76ADB" w:rsidRDefault="00A76ADB" w:rsidP="007E3239">
            <w:pPr>
              <w:pStyle w:val="TableText"/>
              <w:spacing w:before="50" w:after="50"/>
            </w:pPr>
            <w:r>
              <w:rPr>
                <w:rFonts w:eastAsia="Calibri"/>
              </w:rPr>
              <w:t>Delay time</w:t>
            </w:r>
          </w:p>
        </w:tc>
        <w:tc>
          <w:tcPr>
            <w:tcW w:w="1276" w:type="dxa"/>
            <w:shd w:val="clear" w:color="auto" w:fill="FFFFFF"/>
            <w:vAlign w:val="center"/>
          </w:tcPr>
          <w:p w14:paraId="5798A1B8" w14:textId="77777777" w:rsidR="00A76ADB" w:rsidRDefault="00A76ADB" w:rsidP="007E3239">
            <w:pPr>
              <w:pStyle w:val="TableText"/>
              <w:spacing w:before="50" w:after="50"/>
              <w:jc w:val="center"/>
            </w:pPr>
            <w:r>
              <w:rPr>
                <w:rFonts w:eastAsia="Calibri"/>
              </w:rPr>
              <w:t>6 months</w:t>
            </w:r>
          </w:p>
        </w:tc>
        <w:tc>
          <w:tcPr>
            <w:tcW w:w="1559" w:type="dxa"/>
            <w:shd w:val="clear" w:color="auto" w:fill="FFFFFF"/>
            <w:vAlign w:val="center"/>
          </w:tcPr>
          <w:p w14:paraId="1580E9FC" w14:textId="77777777" w:rsidR="00A76ADB" w:rsidRDefault="00A76ADB" w:rsidP="007E3239">
            <w:pPr>
              <w:pStyle w:val="TableText"/>
              <w:spacing w:before="50" w:after="50"/>
            </w:pPr>
            <w:r>
              <w:rPr>
                <w:rFonts w:eastAsia="Calibri"/>
              </w:rPr>
              <w:t>IPCC default</w:t>
            </w:r>
          </w:p>
        </w:tc>
        <w:tc>
          <w:tcPr>
            <w:tcW w:w="3685" w:type="dxa"/>
            <w:shd w:val="clear" w:color="auto" w:fill="FFFFFF"/>
            <w:vAlign w:val="center"/>
          </w:tcPr>
          <w:p w14:paraId="0D9D2FBB" w14:textId="77777777" w:rsidR="00A76ADB" w:rsidRDefault="00A76ADB" w:rsidP="007E3239">
            <w:pPr>
              <w:pStyle w:val="TableText"/>
              <w:spacing w:before="50" w:after="50"/>
            </w:pPr>
            <w:r>
              <w:rPr>
                <w:rFonts w:eastAsia="Calibri"/>
              </w:rPr>
              <w:t>IPCC (2006a)</w:t>
            </w:r>
          </w:p>
        </w:tc>
      </w:tr>
      <w:tr w:rsidR="00A76ADB" w14:paraId="705F0D73" w14:textId="77777777" w:rsidTr="00410DA6">
        <w:trPr>
          <w:cantSplit/>
          <w:trHeight w:val="283"/>
        </w:trPr>
        <w:tc>
          <w:tcPr>
            <w:tcW w:w="1985" w:type="dxa"/>
            <w:shd w:val="clear" w:color="auto" w:fill="FFFFFF"/>
            <w:vAlign w:val="center"/>
          </w:tcPr>
          <w:p w14:paraId="54B0C4D4" w14:textId="77777777" w:rsidR="00A76ADB" w:rsidRDefault="00A76ADB" w:rsidP="007E3239">
            <w:pPr>
              <w:pStyle w:val="TableText"/>
              <w:spacing w:before="50" w:after="50"/>
            </w:pPr>
            <w:r>
              <w:rPr>
                <w:rFonts w:eastAsia="Calibri"/>
              </w:rPr>
              <w:t>Fraction of DOC that decomposes</w:t>
            </w:r>
          </w:p>
        </w:tc>
        <w:tc>
          <w:tcPr>
            <w:tcW w:w="1276" w:type="dxa"/>
            <w:shd w:val="clear" w:color="auto" w:fill="FFFFFF"/>
            <w:vAlign w:val="center"/>
          </w:tcPr>
          <w:p w14:paraId="1C7BDD0C" w14:textId="77777777" w:rsidR="00A76ADB" w:rsidRDefault="00A76ADB" w:rsidP="007E3239">
            <w:pPr>
              <w:pStyle w:val="TableText"/>
              <w:spacing w:before="50" w:after="50"/>
              <w:jc w:val="center"/>
            </w:pPr>
            <w:r>
              <w:rPr>
                <w:rFonts w:eastAsia="Calibri"/>
              </w:rPr>
              <w:t>0.5</w:t>
            </w:r>
          </w:p>
        </w:tc>
        <w:tc>
          <w:tcPr>
            <w:tcW w:w="1559" w:type="dxa"/>
            <w:shd w:val="clear" w:color="auto" w:fill="FFFFFF"/>
            <w:vAlign w:val="center"/>
          </w:tcPr>
          <w:p w14:paraId="56DBDBA4" w14:textId="77777777" w:rsidR="00A76ADB" w:rsidRDefault="00A76ADB" w:rsidP="007E3239">
            <w:pPr>
              <w:pStyle w:val="TableText"/>
              <w:spacing w:before="50" w:after="50"/>
            </w:pPr>
            <w:r>
              <w:rPr>
                <w:rFonts w:eastAsia="Calibri"/>
              </w:rPr>
              <w:t>IPCC default</w:t>
            </w:r>
          </w:p>
        </w:tc>
        <w:tc>
          <w:tcPr>
            <w:tcW w:w="3685" w:type="dxa"/>
            <w:shd w:val="clear" w:color="auto" w:fill="FFFFFF"/>
            <w:vAlign w:val="center"/>
          </w:tcPr>
          <w:p w14:paraId="4B860AF4" w14:textId="77777777" w:rsidR="00A76ADB" w:rsidRDefault="00A76ADB" w:rsidP="007E3239">
            <w:pPr>
              <w:pStyle w:val="TableText"/>
              <w:spacing w:before="50" w:after="50"/>
            </w:pPr>
            <w:r>
              <w:rPr>
                <w:rFonts w:eastAsia="Calibri"/>
              </w:rPr>
              <w:t>IPCC (2006a)</w:t>
            </w:r>
          </w:p>
        </w:tc>
      </w:tr>
      <w:tr w:rsidR="00A76ADB" w14:paraId="199C8CDE" w14:textId="77777777" w:rsidTr="00410DA6">
        <w:trPr>
          <w:cantSplit/>
          <w:trHeight w:val="283"/>
        </w:trPr>
        <w:tc>
          <w:tcPr>
            <w:tcW w:w="1985" w:type="dxa"/>
            <w:shd w:val="clear" w:color="auto" w:fill="FFFFFF"/>
            <w:vAlign w:val="center"/>
          </w:tcPr>
          <w:p w14:paraId="0993FAAE" w14:textId="77777777" w:rsidR="00A76ADB" w:rsidRDefault="00A76ADB" w:rsidP="007E3239">
            <w:pPr>
              <w:pStyle w:val="TableText"/>
              <w:spacing w:before="50" w:after="50"/>
            </w:pPr>
            <w:r>
              <w:rPr>
                <w:rFonts w:eastAsia="Calibri"/>
              </w:rPr>
              <w:t>Fraction of CH₄ in gas</w:t>
            </w:r>
          </w:p>
        </w:tc>
        <w:tc>
          <w:tcPr>
            <w:tcW w:w="1276" w:type="dxa"/>
            <w:shd w:val="clear" w:color="auto" w:fill="FFFFFF"/>
            <w:vAlign w:val="center"/>
          </w:tcPr>
          <w:p w14:paraId="0D04891B" w14:textId="77777777" w:rsidR="00A76ADB" w:rsidRDefault="00A76ADB" w:rsidP="007E3239">
            <w:pPr>
              <w:pStyle w:val="TableText"/>
              <w:spacing w:before="50" w:after="50"/>
              <w:jc w:val="center"/>
            </w:pPr>
            <w:r>
              <w:rPr>
                <w:rFonts w:eastAsia="Calibri"/>
              </w:rPr>
              <w:t>0.5</w:t>
            </w:r>
          </w:p>
        </w:tc>
        <w:tc>
          <w:tcPr>
            <w:tcW w:w="1559" w:type="dxa"/>
            <w:shd w:val="clear" w:color="auto" w:fill="FFFFFF"/>
            <w:vAlign w:val="center"/>
          </w:tcPr>
          <w:p w14:paraId="020C8483" w14:textId="77777777" w:rsidR="00A76ADB" w:rsidRDefault="00A76ADB" w:rsidP="007E3239">
            <w:pPr>
              <w:pStyle w:val="TableText"/>
              <w:spacing w:before="50" w:after="50"/>
            </w:pPr>
            <w:r>
              <w:rPr>
                <w:rFonts w:eastAsia="Calibri"/>
              </w:rPr>
              <w:t>IPCC default</w:t>
            </w:r>
          </w:p>
        </w:tc>
        <w:tc>
          <w:tcPr>
            <w:tcW w:w="3685" w:type="dxa"/>
            <w:shd w:val="clear" w:color="auto" w:fill="FFFFFF"/>
            <w:vAlign w:val="center"/>
          </w:tcPr>
          <w:p w14:paraId="354455CE" w14:textId="77777777" w:rsidR="00A76ADB" w:rsidRDefault="00A76ADB" w:rsidP="007E3239">
            <w:pPr>
              <w:pStyle w:val="TableText"/>
              <w:spacing w:before="50" w:after="50"/>
            </w:pPr>
            <w:r>
              <w:rPr>
                <w:rFonts w:eastAsia="Calibri"/>
              </w:rPr>
              <w:t>IPCC (2006a)</w:t>
            </w:r>
          </w:p>
        </w:tc>
      </w:tr>
    </w:tbl>
    <w:p w14:paraId="25D4E0A4" w14:textId="77777777" w:rsidR="00A76ADB" w:rsidRDefault="00A76ADB" w:rsidP="00A76ADB">
      <w:pPr>
        <w:pStyle w:val="Noteundertable"/>
      </w:pPr>
      <w:r>
        <w:rPr>
          <w:b/>
          <w:bCs/>
        </w:rPr>
        <w:t>Note:</w:t>
      </w:r>
      <w:r w:rsidRPr="004C0776">
        <w:t xml:space="preserve"> </w:t>
      </w:r>
      <w:r>
        <w:tab/>
        <w:t>DOC = degradable organic carbon.</w:t>
      </w:r>
    </w:p>
    <w:p w14:paraId="72BAABB2" w14:textId="77777777" w:rsidR="00A76ADB" w:rsidRDefault="00A76ADB" w:rsidP="00A76ADB">
      <w:pPr>
        <w:pStyle w:val="Heading3"/>
      </w:pPr>
      <w:bookmarkStart w:id="2376" w:name="X6635123360185df853d6a54f453c915df67c336"/>
      <w:bookmarkEnd w:id="2362"/>
      <w:bookmarkEnd w:id="2363"/>
      <w:bookmarkEnd w:id="2371"/>
      <w:bookmarkEnd w:id="2374"/>
      <w:r>
        <w:t xml:space="preserve">7.2.3 </w:t>
      </w:r>
      <w:r>
        <w:tab/>
        <w:t>Uncertainties and time-series consistency</w:t>
      </w:r>
    </w:p>
    <w:p w14:paraId="7E59CDBC" w14:textId="77777777" w:rsidR="00A76ADB" w:rsidRDefault="00A76ADB" w:rsidP="00A76ADB">
      <w:pPr>
        <w:pStyle w:val="Heading4"/>
      </w:pPr>
      <w:bookmarkStart w:id="2377" w:name="uncertainties-1"/>
      <w:r>
        <w:t>Uncertainties</w:t>
      </w:r>
    </w:p>
    <w:p w14:paraId="5636B216" w14:textId="77777777" w:rsidR="00A76ADB" w:rsidRDefault="00A76ADB" w:rsidP="00A76ADB">
      <w:pPr>
        <w:pStyle w:val="BodyText"/>
      </w:pPr>
      <w:r>
        <w:t xml:space="preserve">For emission factors and activity data used for most of the </w:t>
      </w:r>
      <w:r>
        <w:rPr>
          <w:i/>
          <w:iCs/>
        </w:rPr>
        <w:t>Solid waste disposal</w:t>
      </w:r>
      <w:r>
        <w:t xml:space="preserve"> category, the uncertainty estimate is ±40 per cent (see table 7.2.9). This is consistent with the estimates provided in the 2006 IPCC Guidelines (IPCC, 2006a).</w:t>
      </w:r>
    </w:p>
    <w:p w14:paraId="0B5ADB86" w14:textId="77777777" w:rsidR="00A76ADB" w:rsidRDefault="00A76ADB" w:rsidP="00A76ADB">
      <w:pPr>
        <w:pStyle w:val="BodyText"/>
      </w:pPr>
      <w:r>
        <w:t>For managed municipal landfills, the emission factor uncertainty is set at this level because, while better-quality parameters are used in this category, most of the parameters are based on international data and are not site-specific.</w:t>
      </w:r>
    </w:p>
    <w:p w14:paraId="37A45BE0" w14:textId="77777777" w:rsidR="00A76ADB" w:rsidRDefault="00A76ADB" w:rsidP="00A76ADB">
      <w:pPr>
        <w:pStyle w:val="BodyText"/>
      </w:pPr>
      <w:r>
        <w:t>For non-municipal landfills and farm fills, the uncertainty in activity data is estimated to be ±140 per cent. Information on the amount of waste placed in these sites is very limited, given the nature of the management of such fills.</w:t>
      </w:r>
    </w:p>
    <w:p w14:paraId="3765830E" w14:textId="77777777" w:rsidR="00A76ADB" w:rsidRDefault="00A76ADB" w:rsidP="00A76ADB">
      <w:pPr>
        <w:pStyle w:val="BodyText"/>
      </w:pPr>
      <w:r>
        <w:t>The overall uncertainty in activity data for solid waste disposal is calculated using Approach 1 for adding uncertainties together. The overall uncertainty in emission factor is set as the same as the uncertainty for the underlying categories because they are consistent.</w:t>
      </w:r>
    </w:p>
    <w:p w14:paraId="4C619264" w14:textId="77777777" w:rsidR="00A76ADB" w:rsidRDefault="00A76ADB" w:rsidP="00A76ADB">
      <w:pPr>
        <w:pStyle w:val="Table"/>
      </w:pPr>
      <w:bookmarkStart w:id="2378" w:name="_Toc99659331"/>
      <w:r>
        <w:lastRenderedPageBreak/>
        <w:t>Table 7.2.9</w:t>
      </w:r>
      <w:r>
        <w:tab/>
        <w:t xml:space="preserve">Uncertainty in emissions from </w:t>
      </w:r>
      <w:r>
        <w:rPr>
          <w:i/>
          <w:iCs/>
        </w:rPr>
        <w:t>Solid waste disposal</w:t>
      </w:r>
      <w:bookmarkEnd w:id="2378"/>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006"/>
        <w:gridCol w:w="2600"/>
        <w:gridCol w:w="2899"/>
      </w:tblGrid>
      <w:tr w:rsidR="00A76ADB" w:rsidRPr="00F07E35" w14:paraId="139354E3" w14:textId="77777777" w:rsidTr="00CF7215">
        <w:trPr>
          <w:cantSplit/>
          <w:tblHeader/>
        </w:trPr>
        <w:tc>
          <w:tcPr>
            <w:tcW w:w="0" w:type="auto"/>
            <w:shd w:val="clear" w:color="auto" w:fill="1B556B"/>
            <w:vAlign w:val="center"/>
          </w:tcPr>
          <w:p w14:paraId="5639EC28" w14:textId="77777777" w:rsidR="00A76ADB" w:rsidRPr="006C0D1B" w:rsidRDefault="00A76ADB" w:rsidP="00B2143D">
            <w:pPr>
              <w:pStyle w:val="TableTextBold"/>
              <w:keepNext/>
              <w:rPr>
                <w:color w:val="FFFFFF"/>
              </w:rPr>
            </w:pPr>
            <w:r w:rsidRPr="006C0D1B">
              <w:rPr>
                <w:rFonts w:eastAsia="Calibri"/>
                <w:color w:val="FFFFFF"/>
              </w:rPr>
              <w:t>Emissions category</w:t>
            </w:r>
          </w:p>
        </w:tc>
        <w:tc>
          <w:tcPr>
            <w:tcW w:w="0" w:type="auto"/>
            <w:shd w:val="clear" w:color="auto" w:fill="1B556B"/>
            <w:vAlign w:val="center"/>
          </w:tcPr>
          <w:p w14:paraId="07258E9B" w14:textId="77777777" w:rsidR="00A76ADB" w:rsidRPr="006C0D1B" w:rsidRDefault="00A76ADB" w:rsidP="00B2143D">
            <w:pPr>
              <w:pStyle w:val="TableTextBold"/>
              <w:keepNext/>
              <w:rPr>
                <w:color w:val="FFFFFF"/>
              </w:rPr>
            </w:pPr>
            <w:r w:rsidRPr="006C0D1B">
              <w:rPr>
                <w:rFonts w:eastAsia="Calibri"/>
                <w:color w:val="FFFFFF"/>
              </w:rPr>
              <w:t>Uncertainty in activity data (%)</w:t>
            </w:r>
          </w:p>
        </w:tc>
        <w:tc>
          <w:tcPr>
            <w:tcW w:w="0" w:type="auto"/>
            <w:shd w:val="clear" w:color="auto" w:fill="1B556B"/>
            <w:vAlign w:val="center"/>
          </w:tcPr>
          <w:p w14:paraId="46DC7C24" w14:textId="77777777" w:rsidR="00A76ADB" w:rsidRPr="006C0D1B" w:rsidRDefault="00A76ADB" w:rsidP="00B2143D">
            <w:pPr>
              <w:pStyle w:val="TableTextBold"/>
              <w:keepNext/>
              <w:rPr>
                <w:color w:val="FFFFFF"/>
              </w:rPr>
            </w:pPr>
            <w:r w:rsidRPr="006C0D1B">
              <w:rPr>
                <w:rFonts w:eastAsia="Calibri"/>
                <w:color w:val="FFFFFF"/>
              </w:rPr>
              <w:t>Uncertainty in emission factors (%)</w:t>
            </w:r>
          </w:p>
        </w:tc>
      </w:tr>
      <w:tr w:rsidR="00A76ADB" w14:paraId="2B28E9A2" w14:textId="77777777" w:rsidTr="00CF7215">
        <w:trPr>
          <w:cantSplit/>
          <w:trHeight w:val="283"/>
        </w:trPr>
        <w:tc>
          <w:tcPr>
            <w:tcW w:w="0" w:type="auto"/>
            <w:shd w:val="clear" w:color="auto" w:fill="FFFFFF"/>
            <w:vAlign w:val="center"/>
          </w:tcPr>
          <w:p w14:paraId="162C39D8" w14:textId="77777777" w:rsidR="00A76ADB" w:rsidRDefault="00A76ADB" w:rsidP="007E3239">
            <w:pPr>
              <w:pStyle w:val="TableText"/>
            </w:pPr>
            <w:r>
              <w:rPr>
                <w:rFonts w:eastAsia="Calibri"/>
              </w:rPr>
              <w:t>Managed landfills</w:t>
            </w:r>
          </w:p>
        </w:tc>
        <w:tc>
          <w:tcPr>
            <w:tcW w:w="0" w:type="auto"/>
            <w:shd w:val="clear" w:color="auto" w:fill="FFFFFF"/>
            <w:vAlign w:val="center"/>
          </w:tcPr>
          <w:p w14:paraId="39B3E1D8" w14:textId="77777777" w:rsidR="00A76ADB" w:rsidRDefault="00A76ADB" w:rsidP="007E3239">
            <w:pPr>
              <w:pStyle w:val="TableText"/>
            </w:pPr>
            <w:r>
              <w:rPr>
                <w:rFonts w:eastAsia="Calibri"/>
              </w:rPr>
              <w:t>±40</w:t>
            </w:r>
          </w:p>
        </w:tc>
        <w:tc>
          <w:tcPr>
            <w:tcW w:w="0" w:type="auto"/>
            <w:shd w:val="clear" w:color="auto" w:fill="FFFFFF"/>
            <w:vAlign w:val="center"/>
          </w:tcPr>
          <w:p w14:paraId="44EBF528" w14:textId="77777777" w:rsidR="00A76ADB" w:rsidRDefault="00A76ADB" w:rsidP="007E3239">
            <w:pPr>
              <w:pStyle w:val="TableText"/>
            </w:pPr>
            <w:r>
              <w:rPr>
                <w:rFonts w:eastAsia="Calibri"/>
              </w:rPr>
              <w:t>±40</w:t>
            </w:r>
          </w:p>
        </w:tc>
      </w:tr>
      <w:tr w:rsidR="00A76ADB" w14:paraId="2DD98D54" w14:textId="77777777" w:rsidTr="00CF7215">
        <w:trPr>
          <w:cantSplit/>
          <w:trHeight w:val="283"/>
        </w:trPr>
        <w:tc>
          <w:tcPr>
            <w:tcW w:w="0" w:type="auto"/>
            <w:shd w:val="clear" w:color="auto" w:fill="FFFFFF"/>
            <w:vAlign w:val="center"/>
          </w:tcPr>
          <w:p w14:paraId="5B97A71E" w14:textId="77777777" w:rsidR="00A76ADB" w:rsidRDefault="00A76ADB" w:rsidP="007E3239">
            <w:pPr>
              <w:pStyle w:val="TableText"/>
            </w:pPr>
            <w:r>
              <w:rPr>
                <w:rFonts w:eastAsia="Calibri"/>
              </w:rPr>
              <w:t>Unmanaged landfills</w:t>
            </w:r>
          </w:p>
        </w:tc>
        <w:tc>
          <w:tcPr>
            <w:tcW w:w="0" w:type="auto"/>
            <w:shd w:val="clear" w:color="auto" w:fill="FFFFFF"/>
            <w:vAlign w:val="center"/>
          </w:tcPr>
          <w:p w14:paraId="63F31DBC" w14:textId="77777777" w:rsidR="00A76ADB" w:rsidRDefault="00A76ADB" w:rsidP="007E3239">
            <w:pPr>
              <w:pStyle w:val="TableText"/>
            </w:pPr>
            <w:r>
              <w:rPr>
                <w:rFonts w:eastAsia="Calibri"/>
              </w:rPr>
              <w:t>±140</w:t>
            </w:r>
          </w:p>
        </w:tc>
        <w:tc>
          <w:tcPr>
            <w:tcW w:w="0" w:type="auto"/>
            <w:shd w:val="clear" w:color="auto" w:fill="FFFFFF"/>
            <w:vAlign w:val="center"/>
          </w:tcPr>
          <w:p w14:paraId="00C8AE76" w14:textId="77777777" w:rsidR="00A76ADB" w:rsidRDefault="00A76ADB" w:rsidP="007E3239">
            <w:pPr>
              <w:pStyle w:val="TableText"/>
            </w:pPr>
            <w:r>
              <w:rPr>
                <w:rFonts w:eastAsia="Calibri"/>
              </w:rPr>
              <w:t>±40</w:t>
            </w:r>
          </w:p>
        </w:tc>
      </w:tr>
      <w:tr w:rsidR="00A76ADB" w14:paraId="6321E984" w14:textId="77777777" w:rsidTr="00CF7215">
        <w:trPr>
          <w:cantSplit/>
          <w:trHeight w:val="283"/>
        </w:trPr>
        <w:tc>
          <w:tcPr>
            <w:tcW w:w="0" w:type="auto"/>
            <w:shd w:val="clear" w:color="auto" w:fill="FFFFFF"/>
            <w:vAlign w:val="center"/>
          </w:tcPr>
          <w:p w14:paraId="0E0FACA8" w14:textId="77777777" w:rsidR="00A76ADB" w:rsidRDefault="00A76ADB" w:rsidP="007E3239">
            <w:pPr>
              <w:pStyle w:val="TableText"/>
            </w:pPr>
            <w:r>
              <w:rPr>
                <w:rFonts w:eastAsia="Calibri"/>
              </w:rPr>
              <w:t>Uncategorised landfills</w:t>
            </w:r>
          </w:p>
        </w:tc>
        <w:tc>
          <w:tcPr>
            <w:tcW w:w="0" w:type="auto"/>
            <w:shd w:val="clear" w:color="auto" w:fill="FFFFFF"/>
            <w:vAlign w:val="center"/>
          </w:tcPr>
          <w:p w14:paraId="0A5F5F8C" w14:textId="77777777" w:rsidR="00A76ADB" w:rsidRDefault="00A76ADB" w:rsidP="007E3239">
            <w:pPr>
              <w:pStyle w:val="TableText"/>
            </w:pPr>
            <w:r>
              <w:rPr>
                <w:rFonts w:eastAsia="Calibri"/>
              </w:rPr>
              <w:t>±40</w:t>
            </w:r>
          </w:p>
        </w:tc>
        <w:tc>
          <w:tcPr>
            <w:tcW w:w="0" w:type="auto"/>
            <w:shd w:val="clear" w:color="auto" w:fill="FFFFFF"/>
            <w:vAlign w:val="center"/>
          </w:tcPr>
          <w:p w14:paraId="07E123AA" w14:textId="77777777" w:rsidR="00A76ADB" w:rsidRDefault="00A76ADB" w:rsidP="007E3239">
            <w:pPr>
              <w:pStyle w:val="TableText"/>
            </w:pPr>
            <w:r>
              <w:rPr>
                <w:rFonts w:eastAsia="Calibri"/>
              </w:rPr>
              <w:t>±40</w:t>
            </w:r>
          </w:p>
        </w:tc>
      </w:tr>
      <w:tr w:rsidR="00A76ADB" w14:paraId="01C24C25" w14:textId="77777777" w:rsidTr="00CF7215">
        <w:trPr>
          <w:cantSplit/>
          <w:trHeight w:val="283"/>
        </w:trPr>
        <w:tc>
          <w:tcPr>
            <w:tcW w:w="0" w:type="auto"/>
            <w:shd w:val="clear" w:color="auto" w:fill="FFFFFF"/>
            <w:vAlign w:val="center"/>
          </w:tcPr>
          <w:p w14:paraId="27084A5A" w14:textId="77777777" w:rsidR="00A76ADB" w:rsidRDefault="00A76ADB" w:rsidP="007E3239">
            <w:pPr>
              <w:pStyle w:val="Tableboldblue"/>
            </w:pPr>
            <w:r>
              <w:rPr>
                <w:rFonts w:eastAsia="Calibri"/>
              </w:rPr>
              <w:t>Overall uncertainty in CH₄ emissions</w:t>
            </w:r>
          </w:p>
        </w:tc>
        <w:tc>
          <w:tcPr>
            <w:tcW w:w="0" w:type="auto"/>
            <w:shd w:val="clear" w:color="auto" w:fill="FFFFFF"/>
            <w:vAlign w:val="center"/>
          </w:tcPr>
          <w:p w14:paraId="04193551" w14:textId="77777777" w:rsidR="00A76ADB" w:rsidRDefault="00A76ADB" w:rsidP="007E3239">
            <w:pPr>
              <w:pStyle w:val="Tableboldblue"/>
            </w:pPr>
            <w:r>
              <w:rPr>
                <w:rFonts w:eastAsia="Calibri"/>
              </w:rPr>
              <w:t>±88</w:t>
            </w:r>
          </w:p>
        </w:tc>
        <w:tc>
          <w:tcPr>
            <w:tcW w:w="0" w:type="auto"/>
            <w:shd w:val="clear" w:color="auto" w:fill="FFFFFF"/>
            <w:vAlign w:val="center"/>
          </w:tcPr>
          <w:p w14:paraId="561F1700" w14:textId="77777777" w:rsidR="00A76ADB" w:rsidRDefault="00A76ADB" w:rsidP="007E3239">
            <w:pPr>
              <w:pStyle w:val="Tableboldblue"/>
            </w:pPr>
            <w:r>
              <w:rPr>
                <w:rFonts w:eastAsia="Calibri"/>
              </w:rPr>
              <w:t>±40</w:t>
            </w:r>
          </w:p>
        </w:tc>
      </w:tr>
    </w:tbl>
    <w:p w14:paraId="15EFE58F" w14:textId="77777777" w:rsidR="00A76ADB" w:rsidRDefault="00A76ADB" w:rsidP="00A76ADB">
      <w:pPr>
        <w:pStyle w:val="Heading4"/>
        <w:spacing w:before="360"/>
      </w:pPr>
      <w:bookmarkStart w:id="2379" w:name="time-series-consistency"/>
      <w:bookmarkEnd w:id="2377"/>
      <w:r>
        <w:t>Time-series consistency</w:t>
      </w:r>
    </w:p>
    <w:p w14:paraId="2F4668AF" w14:textId="4F073404" w:rsidR="00A76ADB" w:rsidRDefault="00A76ADB" w:rsidP="00A76ADB">
      <w:pPr>
        <w:pStyle w:val="BodyText"/>
      </w:pPr>
      <w:r>
        <w:t xml:space="preserve">As a result of substantial changes in waste disposal practices over time, the basis for calculating emissions has changed significantly. Notable changes include closure of the majority of landfill sites that were operating in </w:t>
      </w:r>
      <w:r w:rsidRPr="00246F01">
        <w:t>1990</w:t>
      </w:r>
      <w:r>
        <w:t xml:space="preserve">, the move to waste levy and NZ ETS reporting, and the ongoing improvement in the quality and completeness of activity data for </w:t>
      </w:r>
      <w:r>
        <w:rPr>
          <w:i/>
          <w:iCs/>
        </w:rPr>
        <w:t>Solid waste disposal</w:t>
      </w:r>
      <w:r>
        <w:t>. These changes have occurred gradually and affect CH</w:t>
      </w:r>
      <w:r>
        <w:rPr>
          <w:vertAlign w:val="subscript"/>
        </w:rPr>
        <w:t>4</w:t>
      </w:r>
      <w:r>
        <w:t xml:space="preserve"> emissions over a</w:t>
      </w:r>
      <w:r w:rsidR="00B2143D">
        <w:t> </w:t>
      </w:r>
      <w:r>
        <w:t>long period of time. Therefore, there is little effect on the apparent consistency of data or the implied emission factors.</w:t>
      </w:r>
    </w:p>
    <w:p w14:paraId="3B2AC1DD" w14:textId="77777777" w:rsidR="00A76ADB" w:rsidRDefault="00A76ADB" w:rsidP="00A76ADB">
      <w:pPr>
        <w:pStyle w:val="Heading3"/>
      </w:pPr>
      <w:bookmarkStart w:id="2380" w:name="source-specific-qaqc-verification"/>
      <w:bookmarkStart w:id="2381" w:name="solid-waste-disposal-5.a"/>
      <w:bookmarkEnd w:id="2376"/>
      <w:bookmarkEnd w:id="2379"/>
      <w:r>
        <w:t xml:space="preserve">7.2.4 </w:t>
      </w:r>
      <w:r>
        <w:tab/>
        <w:t>Source-specific QA/QC verification</w:t>
      </w:r>
    </w:p>
    <w:p w14:paraId="725C0F47" w14:textId="77777777" w:rsidR="00A76ADB" w:rsidRDefault="00A76ADB" w:rsidP="00A76ADB">
      <w:pPr>
        <w:pStyle w:val="BodyText"/>
      </w:pPr>
      <w:r>
        <w:rPr>
          <w:i/>
          <w:iCs/>
        </w:rPr>
        <w:t>Solid waste disposal</w:t>
      </w:r>
      <w:r>
        <w:t xml:space="preserve"> is a key category. In the preparation of this submission, the data for this category underwent Tier 1 quality checks.</w:t>
      </w:r>
    </w:p>
    <w:p w14:paraId="50C30862" w14:textId="77777777" w:rsidR="00A76ADB" w:rsidRDefault="00A76ADB" w:rsidP="00A76ADB">
      <w:pPr>
        <w:pStyle w:val="Heading3"/>
      </w:pPr>
      <w:bookmarkStart w:id="2382" w:name="source-specific-recalculations"/>
      <w:bookmarkEnd w:id="2380"/>
      <w:r>
        <w:t xml:space="preserve">7.2.5 </w:t>
      </w:r>
      <w:r>
        <w:tab/>
        <w:t>Source-specific recalculations</w:t>
      </w:r>
    </w:p>
    <w:p w14:paraId="65257F86" w14:textId="77777777" w:rsidR="00A76ADB" w:rsidRDefault="00A76ADB" w:rsidP="00A76ADB">
      <w:pPr>
        <w:pStyle w:val="BodyText"/>
      </w:pPr>
      <w:r>
        <w:t xml:space="preserve">Minor recalculations are included for the 2022 submission. There are minor updates to activity data for </w:t>
      </w:r>
      <w:r>
        <w:rPr>
          <w:i/>
          <w:iCs/>
        </w:rPr>
        <w:t>Managed waste disposal sites</w:t>
      </w:r>
      <w:r>
        <w:t xml:space="preserve">. Since revisions have been made to historical levy data, these are now included in the inventory. Further, methods for estimating activity data have been revised for non-municipal landfills, part of the </w:t>
      </w:r>
      <w:r>
        <w:rPr>
          <w:i/>
          <w:iCs/>
        </w:rPr>
        <w:t>Unmanaged waste disposal sites</w:t>
      </w:r>
      <w:r>
        <w:t xml:space="preserve"> category. Combined, these changes have reduced emissions in </w:t>
      </w:r>
      <w:r w:rsidRPr="00246F01">
        <w:t>1990</w:t>
      </w:r>
      <w:r>
        <w:t xml:space="preserve"> by 19.6 kt CO</w:t>
      </w:r>
      <w:r>
        <w:rPr>
          <w:vertAlign w:val="subscript"/>
        </w:rPr>
        <w:t>2</w:t>
      </w:r>
      <w:r>
        <w:t>-e and reduced emissions by 6.8 kt CO</w:t>
      </w:r>
      <w:r>
        <w:rPr>
          <w:vertAlign w:val="subscript"/>
        </w:rPr>
        <w:t>2</w:t>
      </w:r>
      <w:r>
        <w:t xml:space="preserve">-e in </w:t>
      </w:r>
      <w:r w:rsidRPr="00246F01">
        <w:t>2019</w:t>
      </w:r>
      <w:r>
        <w:t>. Recalculations are described in greater detail in chapter 10.</w:t>
      </w:r>
    </w:p>
    <w:p w14:paraId="6A9A3568" w14:textId="77777777" w:rsidR="00A76ADB" w:rsidRDefault="00A76ADB" w:rsidP="00A76ADB">
      <w:pPr>
        <w:pStyle w:val="Heading3"/>
      </w:pPr>
      <w:bookmarkStart w:id="2383" w:name="source-specific-planned-improvements"/>
      <w:bookmarkEnd w:id="2382"/>
      <w:r>
        <w:t xml:space="preserve">7.2.6 </w:t>
      </w:r>
      <w:r>
        <w:tab/>
        <w:t>Source-specific planned improvements</w:t>
      </w:r>
    </w:p>
    <w:p w14:paraId="38FFCF0B" w14:textId="77777777" w:rsidR="00A76ADB" w:rsidRPr="0062195E" w:rsidRDefault="00A76ADB" w:rsidP="00A76ADB">
      <w:pPr>
        <w:pStyle w:val="BodyText"/>
      </w:pPr>
      <w:r>
        <w:t>No improvements are planned in this category, which is the largest source of emissions in the Waste sector.</w:t>
      </w:r>
    </w:p>
    <w:p w14:paraId="48B6A0ED" w14:textId="77777777" w:rsidR="00A76ADB" w:rsidRDefault="00A76ADB" w:rsidP="00A76ADB">
      <w:pPr>
        <w:pStyle w:val="BodyText"/>
      </w:pPr>
      <w:r>
        <w:t xml:space="preserve">Several areas in the </w:t>
      </w:r>
      <w:r>
        <w:rPr>
          <w:i/>
          <w:iCs/>
        </w:rPr>
        <w:t>Solid waste disposal</w:t>
      </w:r>
      <w:r>
        <w:t xml:space="preserve"> category are being considered for future improvements, particularly for </w:t>
      </w:r>
      <w:r>
        <w:rPr>
          <w:i/>
          <w:iCs/>
        </w:rPr>
        <w:t>Unmanaged waste disposal sites</w:t>
      </w:r>
      <w:r>
        <w:t xml:space="preserve"> (non-municipal landfills and farm fills), depending on the availability of budget and resourcing. As and when better activity data become available, they will be used to improve the estimates of waste disposal on farms.</w:t>
      </w:r>
    </w:p>
    <w:p w14:paraId="21488C53" w14:textId="77777777" w:rsidR="00A76ADB" w:rsidRDefault="00A76ADB" w:rsidP="00A76ADB">
      <w:pPr>
        <w:pStyle w:val="BodyText"/>
      </w:pPr>
      <w:r>
        <w:t>Emissions of carbon monoxide, oxides of nitrogen and non-methane volatile organic compounds for landfills have not been estimated for this submission. These emissions are considered likely to be immaterial, but the inventory agency will consider estimating them for future submissions.</w:t>
      </w:r>
    </w:p>
    <w:p w14:paraId="773C1907" w14:textId="77777777" w:rsidR="00A76ADB" w:rsidRDefault="00A76ADB" w:rsidP="00A76ADB">
      <w:pPr>
        <w:pStyle w:val="Heading2"/>
      </w:pPr>
      <w:bookmarkStart w:id="2384" w:name="_Toc99659154"/>
      <w:bookmarkStart w:id="2385" w:name="biological-treatment-of-solid-waste-5.b"/>
      <w:bookmarkEnd w:id="2381"/>
      <w:bookmarkEnd w:id="2383"/>
      <w:r>
        <w:lastRenderedPageBreak/>
        <w:t xml:space="preserve">7.3 </w:t>
      </w:r>
      <w:r>
        <w:tab/>
        <w:t>Biological treatment of solid waste (5.B)</w:t>
      </w:r>
      <w:bookmarkEnd w:id="2384"/>
    </w:p>
    <w:p w14:paraId="57990951" w14:textId="77777777" w:rsidR="00A76ADB" w:rsidRDefault="00A76ADB" w:rsidP="00A76ADB">
      <w:pPr>
        <w:pStyle w:val="Heading3"/>
        <w:spacing w:before="240"/>
      </w:pPr>
      <w:bookmarkStart w:id="2386" w:name="description-1"/>
      <w:r>
        <w:t xml:space="preserve">7.3.1 </w:t>
      </w:r>
      <w:r>
        <w:tab/>
        <w:t>Description</w:t>
      </w:r>
    </w:p>
    <w:p w14:paraId="2507584C" w14:textId="77777777" w:rsidR="00A76ADB" w:rsidRDefault="00A76ADB" w:rsidP="00A76ADB">
      <w:pPr>
        <w:pStyle w:val="BodyText"/>
      </w:pPr>
      <w:r>
        <w:t>New Zealand has seen an increase in the use of commercial-scale composting of solid waste in recent years, in addition to ongoing household-scale composting of solid waste. Emissions from composting were reported for the first time in the 2019 submission in 5.B.1. No other biological treatment of solid waste occurs in New Zealand.</w:t>
      </w:r>
    </w:p>
    <w:p w14:paraId="25D3165B" w14:textId="77777777" w:rsidR="00A76ADB" w:rsidRPr="00246F01" w:rsidRDefault="00A76ADB" w:rsidP="00A76ADB">
      <w:pPr>
        <w:pStyle w:val="BodyText"/>
      </w:pPr>
      <w:r w:rsidRPr="00246F01">
        <w:t xml:space="preserve">In 2020, </w:t>
      </w:r>
      <w:r w:rsidRPr="00246F01">
        <w:rPr>
          <w:i/>
          <w:iCs/>
        </w:rPr>
        <w:t>Biological treatment of solid waste</w:t>
      </w:r>
      <w:r w:rsidRPr="00246F01">
        <w:t xml:space="preserve"> accounted for 68.5 kt CO</w:t>
      </w:r>
      <w:r w:rsidRPr="00246F01">
        <w:rPr>
          <w:vertAlign w:val="subscript"/>
        </w:rPr>
        <w:t>2</w:t>
      </w:r>
      <w:r w:rsidRPr="00246F01">
        <w:t>-e (2.1 per cent) of Waste sector emissions. This was an increase of 63.8 kt CO</w:t>
      </w:r>
      <w:r w:rsidRPr="00246F01">
        <w:rPr>
          <w:vertAlign w:val="subscript"/>
        </w:rPr>
        <w:t>2</w:t>
      </w:r>
      <w:r w:rsidRPr="00246F01">
        <w:t>-e (1,358.0 per cent) above the 1990 level of 4.7 kt CO</w:t>
      </w:r>
      <w:r w:rsidRPr="00246F01">
        <w:rPr>
          <w:vertAlign w:val="subscript"/>
        </w:rPr>
        <w:t>2</w:t>
      </w:r>
      <w:r w:rsidRPr="00246F01">
        <w:t>-e, and an increase of 3.3 kt CO</w:t>
      </w:r>
      <w:r w:rsidRPr="00246F01">
        <w:rPr>
          <w:vertAlign w:val="subscript"/>
        </w:rPr>
        <w:t>2</w:t>
      </w:r>
      <w:r w:rsidRPr="00246F01">
        <w:t>-e (5.0 per cent) from 2019.</w:t>
      </w:r>
    </w:p>
    <w:p w14:paraId="2E0D641F" w14:textId="77777777" w:rsidR="00A76ADB" w:rsidRDefault="00A76ADB" w:rsidP="00A76ADB">
      <w:pPr>
        <w:pStyle w:val="Heading3"/>
      </w:pPr>
      <w:bookmarkStart w:id="2387" w:name="methodological-issues-1"/>
      <w:bookmarkEnd w:id="2386"/>
      <w:r>
        <w:t xml:space="preserve">7.3.2 </w:t>
      </w:r>
      <w:r>
        <w:tab/>
        <w:t>Methodological issues</w:t>
      </w:r>
    </w:p>
    <w:p w14:paraId="52C6C28A" w14:textId="77777777" w:rsidR="00A76ADB" w:rsidRDefault="00A76ADB" w:rsidP="00A76ADB">
      <w:pPr>
        <w:pStyle w:val="Heading4"/>
      </w:pPr>
      <w:bookmarkStart w:id="2388" w:name="choice-of-activity-data-1"/>
      <w:r>
        <w:t>Choice of activity data</w:t>
      </w:r>
    </w:p>
    <w:p w14:paraId="2E221AB3" w14:textId="77777777" w:rsidR="00A76ADB" w:rsidRDefault="00A76ADB" w:rsidP="00A76ADB">
      <w:pPr>
        <w:pStyle w:val="BodyText"/>
      </w:pPr>
      <w:r>
        <w:t xml:space="preserve">Activity data have been estimated based on expert judgement, in part using evidence of large‑scale commercial composting operating around New Zealand. In </w:t>
      </w:r>
      <w:r w:rsidRPr="00246F01">
        <w:t>1990</w:t>
      </w:r>
      <w:r>
        <w:t>, it is estimated that an equivalent of 1 per cent of total municipal solid waste was composted (see the total solid waste reported in table 7.2.3). Between 1991 and 2008, this amount was assumed to grow by 2 per cent per annum. Between 2009 and 2018, this amount is estimated to have grown much faster (between 10 and 40 per cent per annum), to align to reported volumes for 2019 (Eunomia, unpublished(b)). This reflects the increase in commercial-scale composting estimated since 2009. Activity data for composting can be derived from table 7.2.3 using this description.</w:t>
      </w:r>
    </w:p>
    <w:p w14:paraId="6D671473" w14:textId="77777777" w:rsidR="00A76ADB" w:rsidRDefault="00A76ADB" w:rsidP="00A76ADB">
      <w:pPr>
        <w:pStyle w:val="BodyText"/>
      </w:pPr>
      <w:r>
        <w:t>Note that the proportion of food and garden waste disposed to managed landfills has decreased between 2012 and 2018 (see table 7.2.5). While this has not been demonstrated to be a direct result, it is consistent with the trend towards composting.</w:t>
      </w:r>
    </w:p>
    <w:p w14:paraId="26886E4C" w14:textId="77777777" w:rsidR="00A76ADB" w:rsidRDefault="00A76ADB" w:rsidP="00A76ADB">
      <w:pPr>
        <w:pStyle w:val="Heading4"/>
      </w:pPr>
      <w:bookmarkStart w:id="2389" w:name="choice-of-methods-1"/>
      <w:bookmarkEnd w:id="2388"/>
      <w:r>
        <w:t>Choice of methods</w:t>
      </w:r>
    </w:p>
    <w:p w14:paraId="5AFC3073" w14:textId="77777777" w:rsidR="00A76ADB" w:rsidRDefault="00A76ADB" w:rsidP="00A76ADB">
      <w:pPr>
        <w:pStyle w:val="BodyText"/>
      </w:pPr>
      <w:r>
        <w:t>Estimates of direct emissions from the composting of solid waste are made using the default Tier 1 methodology (IPCC, 2006a).</w:t>
      </w:r>
    </w:p>
    <w:p w14:paraId="17DB99A0" w14:textId="77777777" w:rsidR="00A76ADB" w:rsidRDefault="00A76ADB" w:rsidP="00A76ADB">
      <w:pPr>
        <w:pStyle w:val="Heading4"/>
      </w:pPr>
      <w:bookmarkStart w:id="2390" w:name="choice-of-emission-factors"/>
      <w:bookmarkEnd w:id="2389"/>
      <w:r>
        <w:t>Choice of emission factors</w:t>
      </w:r>
    </w:p>
    <w:p w14:paraId="5EA14D8A" w14:textId="77777777" w:rsidR="00A76ADB" w:rsidRDefault="00A76ADB" w:rsidP="00A76ADB">
      <w:pPr>
        <w:pStyle w:val="BodyText"/>
      </w:pPr>
      <w:r>
        <w:t>IPCC default parameters are used, as detailed in table 7.3.1.</w:t>
      </w:r>
    </w:p>
    <w:p w14:paraId="6D288CBC" w14:textId="77777777" w:rsidR="00A76ADB" w:rsidRDefault="00A76ADB" w:rsidP="00A76ADB">
      <w:pPr>
        <w:pStyle w:val="Table"/>
      </w:pPr>
      <w:bookmarkStart w:id="2391" w:name="_Toc99659332"/>
      <w:r>
        <w:t>Table 7.3.1</w:t>
      </w:r>
      <w:r>
        <w:tab/>
        <w:t>Emission factors applied to estimate emissions from composting</w:t>
      </w:r>
      <w:bookmarkEnd w:id="2391"/>
    </w:p>
    <w:tbl>
      <w:tblPr>
        <w:tblW w:w="0" w:type="auto"/>
        <w:jc w:val="center"/>
        <w:tblBorders>
          <w:top w:val="single" w:sz="4" w:space="0" w:color="1B556B"/>
          <w:bottom w:val="single" w:sz="4" w:space="0" w:color="1B556B"/>
          <w:insideH w:val="single" w:sz="4" w:space="0" w:color="1B556B"/>
        </w:tblBorders>
        <w:tblLook w:val="0420" w:firstRow="1" w:lastRow="0" w:firstColumn="0" w:lastColumn="0" w:noHBand="0" w:noVBand="1"/>
      </w:tblPr>
      <w:tblGrid>
        <w:gridCol w:w="2275"/>
        <w:gridCol w:w="1667"/>
        <w:gridCol w:w="1044"/>
      </w:tblGrid>
      <w:tr w:rsidR="00A76ADB" w:rsidRPr="00BE7DFD" w14:paraId="7CD447CD" w14:textId="77777777" w:rsidTr="00CF7215">
        <w:trPr>
          <w:cantSplit/>
          <w:tblHeader/>
          <w:jc w:val="center"/>
        </w:trPr>
        <w:tc>
          <w:tcPr>
            <w:tcW w:w="0" w:type="auto"/>
            <w:shd w:val="clear" w:color="auto" w:fill="1B556B"/>
            <w:tcMar>
              <w:top w:w="0" w:type="dxa"/>
              <w:left w:w="108" w:type="dxa"/>
              <w:bottom w:w="0" w:type="dxa"/>
              <w:right w:w="108" w:type="dxa"/>
            </w:tcMar>
            <w:vAlign w:val="center"/>
          </w:tcPr>
          <w:p w14:paraId="47ABEDD3" w14:textId="77777777" w:rsidR="00A76ADB" w:rsidRPr="006C0D1B" w:rsidRDefault="00A76ADB" w:rsidP="007E3239">
            <w:pPr>
              <w:pStyle w:val="TableTextBold"/>
              <w:rPr>
                <w:color w:val="FFFFFF"/>
              </w:rPr>
            </w:pPr>
            <w:r w:rsidRPr="006C0D1B">
              <w:rPr>
                <w:rFonts w:eastAsia="Calibri"/>
                <w:color w:val="FFFFFF"/>
              </w:rPr>
              <w:t>Emission factor for composting</w:t>
            </w:r>
          </w:p>
        </w:tc>
        <w:tc>
          <w:tcPr>
            <w:tcW w:w="0" w:type="auto"/>
            <w:shd w:val="clear" w:color="auto" w:fill="1B556B"/>
            <w:tcMar>
              <w:top w:w="0" w:type="dxa"/>
              <w:left w:w="108" w:type="dxa"/>
              <w:bottom w:w="0" w:type="dxa"/>
              <w:right w:w="108" w:type="dxa"/>
            </w:tcMar>
            <w:vAlign w:val="center"/>
          </w:tcPr>
          <w:p w14:paraId="29CF964A" w14:textId="77777777" w:rsidR="00A76ADB" w:rsidRPr="006C0D1B" w:rsidRDefault="00A76ADB" w:rsidP="007E3239">
            <w:pPr>
              <w:pStyle w:val="TableTextBold"/>
              <w:rPr>
                <w:color w:val="FFFFFF"/>
              </w:rPr>
            </w:pPr>
            <w:r w:rsidRPr="006C0D1B">
              <w:rPr>
                <w:rFonts w:eastAsia="Calibri"/>
                <w:color w:val="FFFFFF"/>
              </w:rPr>
              <w:t>Emission factor (g/kg)</w:t>
            </w:r>
          </w:p>
        </w:tc>
        <w:tc>
          <w:tcPr>
            <w:tcW w:w="0" w:type="auto"/>
            <w:shd w:val="clear" w:color="auto" w:fill="1B556B"/>
            <w:tcMar>
              <w:top w:w="0" w:type="dxa"/>
              <w:left w:w="108" w:type="dxa"/>
              <w:bottom w:w="0" w:type="dxa"/>
              <w:right w:w="108" w:type="dxa"/>
            </w:tcMar>
            <w:vAlign w:val="center"/>
          </w:tcPr>
          <w:p w14:paraId="1BC5582C" w14:textId="77777777" w:rsidR="00A76ADB" w:rsidRPr="006C0D1B" w:rsidRDefault="00A76ADB" w:rsidP="007E3239">
            <w:pPr>
              <w:pStyle w:val="TableTextBold"/>
              <w:rPr>
                <w:color w:val="FFFFFF"/>
              </w:rPr>
            </w:pPr>
            <w:r w:rsidRPr="006C0D1B">
              <w:rPr>
                <w:rFonts w:eastAsia="Calibri"/>
                <w:color w:val="FFFFFF"/>
              </w:rPr>
              <w:t>Source</w:t>
            </w:r>
          </w:p>
        </w:tc>
      </w:tr>
      <w:tr w:rsidR="00A76ADB" w14:paraId="2AF7874F" w14:textId="77777777" w:rsidTr="00CF7215">
        <w:trPr>
          <w:cantSplit/>
          <w:trHeight w:val="283"/>
          <w:jc w:val="center"/>
        </w:trPr>
        <w:tc>
          <w:tcPr>
            <w:tcW w:w="0" w:type="auto"/>
            <w:shd w:val="clear" w:color="auto" w:fill="FFFFFF"/>
            <w:tcMar>
              <w:top w:w="0" w:type="dxa"/>
              <w:left w:w="108" w:type="dxa"/>
              <w:bottom w:w="0" w:type="dxa"/>
              <w:right w:w="108" w:type="dxa"/>
            </w:tcMar>
            <w:vAlign w:val="center"/>
          </w:tcPr>
          <w:p w14:paraId="76D39009" w14:textId="77777777" w:rsidR="00A76ADB" w:rsidRDefault="00A76ADB" w:rsidP="007E3239">
            <w:pPr>
              <w:pStyle w:val="TableText"/>
            </w:pPr>
            <w:r>
              <w:rPr>
                <w:rFonts w:eastAsia="Calibri"/>
              </w:rPr>
              <w:t>Methane</w:t>
            </w:r>
          </w:p>
        </w:tc>
        <w:tc>
          <w:tcPr>
            <w:tcW w:w="0" w:type="auto"/>
            <w:shd w:val="clear" w:color="auto" w:fill="FFFFFF"/>
            <w:tcMar>
              <w:top w:w="0" w:type="dxa"/>
              <w:left w:w="108" w:type="dxa"/>
              <w:bottom w:w="0" w:type="dxa"/>
              <w:right w:w="108" w:type="dxa"/>
            </w:tcMar>
            <w:vAlign w:val="center"/>
          </w:tcPr>
          <w:p w14:paraId="2D49A02F" w14:textId="77777777" w:rsidR="00A76ADB" w:rsidRDefault="00A76ADB" w:rsidP="007E3239">
            <w:pPr>
              <w:pStyle w:val="TableText"/>
            </w:pPr>
            <w:r>
              <w:rPr>
                <w:rFonts w:eastAsia="Calibri"/>
              </w:rPr>
              <w:t>4</w:t>
            </w:r>
          </w:p>
        </w:tc>
        <w:tc>
          <w:tcPr>
            <w:tcW w:w="0" w:type="auto"/>
            <w:shd w:val="clear" w:color="auto" w:fill="FFFFFF"/>
            <w:tcMar>
              <w:top w:w="0" w:type="dxa"/>
              <w:left w:w="108" w:type="dxa"/>
              <w:bottom w:w="0" w:type="dxa"/>
              <w:right w:w="108" w:type="dxa"/>
            </w:tcMar>
            <w:vAlign w:val="center"/>
          </w:tcPr>
          <w:p w14:paraId="7C92E8BD" w14:textId="77777777" w:rsidR="00A76ADB" w:rsidRDefault="00A76ADB" w:rsidP="007E3239">
            <w:pPr>
              <w:pStyle w:val="TableText"/>
            </w:pPr>
            <w:r>
              <w:rPr>
                <w:rFonts w:eastAsia="Calibri"/>
              </w:rPr>
              <w:t>IPCC (2006a)</w:t>
            </w:r>
          </w:p>
        </w:tc>
      </w:tr>
      <w:tr w:rsidR="00A76ADB" w14:paraId="1A8B74F7" w14:textId="77777777" w:rsidTr="00CF7215">
        <w:trPr>
          <w:cantSplit/>
          <w:trHeight w:val="283"/>
          <w:jc w:val="center"/>
        </w:trPr>
        <w:tc>
          <w:tcPr>
            <w:tcW w:w="0" w:type="auto"/>
            <w:shd w:val="clear" w:color="auto" w:fill="FFFFFF"/>
            <w:tcMar>
              <w:top w:w="0" w:type="dxa"/>
              <w:left w:w="108" w:type="dxa"/>
              <w:bottom w:w="0" w:type="dxa"/>
              <w:right w:w="108" w:type="dxa"/>
            </w:tcMar>
            <w:vAlign w:val="center"/>
          </w:tcPr>
          <w:p w14:paraId="750EA3DC" w14:textId="77777777" w:rsidR="00A76ADB" w:rsidRDefault="00A76ADB" w:rsidP="007E3239">
            <w:pPr>
              <w:pStyle w:val="TableText"/>
            </w:pPr>
            <w:r>
              <w:rPr>
                <w:rFonts w:eastAsia="Calibri"/>
              </w:rPr>
              <w:t>Nitrous oxide</w:t>
            </w:r>
          </w:p>
        </w:tc>
        <w:tc>
          <w:tcPr>
            <w:tcW w:w="0" w:type="auto"/>
            <w:shd w:val="clear" w:color="auto" w:fill="FFFFFF"/>
            <w:tcMar>
              <w:top w:w="0" w:type="dxa"/>
              <w:left w:w="108" w:type="dxa"/>
              <w:bottom w:w="0" w:type="dxa"/>
              <w:right w:w="108" w:type="dxa"/>
            </w:tcMar>
            <w:vAlign w:val="center"/>
          </w:tcPr>
          <w:p w14:paraId="4DB117AC" w14:textId="77777777" w:rsidR="00A76ADB" w:rsidRDefault="00A76ADB" w:rsidP="007E3239">
            <w:pPr>
              <w:pStyle w:val="TableText"/>
            </w:pPr>
            <w:r>
              <w:rPr>
                <w:rFonts w:eastAsia="Calibri"/>
              </w:rPr>
              <w:t>0.24</w:t>
            </w:r>
          </w:p>
        </w:tc>
        <w:tc>
          <w:tcPr>
            <w:tcW w:w="0" w:type="auto"/>
            <w:shd w:val="clear" w:color="auto" w:fill="FFFFFF"/>
            <w:tcMar>
              <w:top w:w="0" w:type="dxa"/>
              <w:left w:w="108" w:type="dxa"/>
              <w:bottom w:w="0" w:type="dxa"/>
              <w:right w:w="108" w:type="dxa"/>
            </w:tcMar>
            <w:vAlign w:val="center"/>
          </w:tcPr>
          <w:p w14:paraId="1DE5F8EE" w14:textId="77777777" w:rsidR="00A76ADB" w:rsidRDefault="00A76ADB" w:rsidP="007E3239">
            <w:pPr>
              <w:pStyle w:val="TableText"/>
            </w:pPr>
            <w:r>
              <w:rPr>
                <w:rFonts w:eastAsia="Calibri"/>
              </w:rPr>
              <w:t>IPCC (2006a)</w:t>
            </w:r>
          </w:p>
        </w:tc>
      </w:tr>
    </w:tbl>
    <w:p w14:paraId="7312EB8A" w14:textId="77777777" w:rsidR="00A76ADB" w:rsidRDefault="00A76ADB" w:rsidP="00A76ADB">
      <w:pPr>
        <w:pStyle w:val="BodyText"/>
        <w:spacing w:before="240"/>
      </w:pPr>
      <w:r>
        <w:t>The emission factors are sourced from table 4.1 of volume 5, chapter 4 of the 2006 IPCC Guidelines (IPCC, 2006a).</w:t>
      </w:r>
    </w:p>
    <w:p w14:paraId="37E2F5BC" w14:textId="77777777" w:rsidR="00A76ADB" w:rsidRDefault="00A76ADB" w:rsidP="00A76ADB">
      <w:pPr>
        <w:pStyle w:val="Heading3"/>
      </w:pPr>
      <w:bookmarkStart w:id="2392" w:name="X17dcbd51fdf6369c323ef6d315d8366f6c0ea9d"/>
      <w:bookmarkEnd w:id="2387"/>
      <w:bookmarkEnd w:id="2390"/>
      <w:r>
        <w:lastRenderedPageBreak/>
        <w:t xml:space="preserve">7.3.3 </w:t>
      </w:r>
      <w:r>
        <w:tab/>
        <w:t>Uncertainties and time-series consistency</w:t>
      </w:r>
    </w:p>
    <w:p w14:paraId="18F9F6A8" w14:textId="77777777" w:rsidR="00A76ADB" w:rsidRDefault="00A76ADB" w:rsidP="00A76ADB">
      <w:pPr>
        <w:pStyle w:val="Heading4"/>
      </w:pPr>
      <w:bookmarkStart w:id="2393" w:name="uncertainties-2"/>
      <w:r>
        <w:t>Uncertainties</w:t>
      </w:r>
    </w:p>
    <w:p w14:paraId="487837D7" w14:textId="77777777" w:rsidR="00A76ADB" w:rsidRDefault="00A76ADB" w:rsidP="00A76ADB">
      <w:pPr>
        <w:pStyle w:val="BodyText"/>
      </w:pPr>
      <w:r>
        <w:t>As per the IPCC recommendation for uncertainties relating to activity data (IPCC, 2006a), when data quality is poor it can vary by more than a factor of two, or ±&gt;100 per cent. In this case, ±100 per cent is applied because, while data quality is poor, some data are available.</w:t>
      </w:r>
    </w:p>
    <w:p w14:paraId="4702FE69" w14:textId="77777777" w:rsidR="00A76ADB" w:rsidRDefault="00A76ADB" w:rsidP="00A76ADB">
      <w:pPr>
        <w:pStyle w:val="BodyText"/>
      </w:pPr>
      <w:r>
        <w:t>Uncertainties in emission factors are based on the range of the emission factors relative to the default (IPCC, 2006a), and the uncertainty for the default CH</w:t>
      </w:r>
      <w:r>
        <w:rPr>
          <w:vertAlign w:val="subscript"/>
        </w:rPr>
        <w:t>4</w:t>
      </w:r>
      <w:r>
        <w:t xml:space="preserve"> emission factor is about ±100 per cent. The range for the N</w:t>
      </w:r>
      <w:r>
        <w:rPr>
          <w:vertAlign w:val="subscript"/>
        </w:rPr>
        <w:t>2</w:t>
      </w:r>
      <w:r>
        <w:t>O emission factor is +150 per cent and –75 per cent, so the uncertainty is given as ±150 per cent. Table 7.3.2 presents uncertainties for composting.</w:t>
      </w:r>
    </w:p>
    <w:p w14:paraId="58E6CAAD" w14:textId="77777777" w:rsidR="00A76ADB" w:rsidRDefault="00A76ADB" w:rsidP="00A76ADB">
      <w:pPr>
        <w:pStyle w:val="Table"/>
      </w:pPr>
      <w:bookmarkStart w:id="2394" w:name="_Toc99659333"/>
      <w:r>
        <w:t>Table 7.3.2</w:t>
      </w:r>
      <w:r>
        <w:tab/>
        <w:t>Uncertainty in emissions from composting</w:t>
      </w:r>
      <w:bookmarkEnd w:id="2394"/>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000"/>
        <w:gridCol w:w="3075"/>
        <w:gridCol w:w="3430"/>
      </w:tblGrid>
      <w:tr w:rsidR="00A76ADB" w:rsidRPr="00BE7DFD" w14:paraId="39ADF532" w14:textId="77777777" w:rsidTr="00CF7215">
        <w:trPr>
          <w:cantSplit/>
          <w:tblHeader/>
        </w:trPr>
        <w:tc>
          <w:tcPr>
            <w:tcW w:w="0" w:type="auto"/>
            <w:shd w:val="clear" w:color="auto" w:fill="1B556B"/>
            <w:tcMar>
              <w:top w:w="0" w:type="dxa"/>
              <w:left w:w="108" w:type="dxa"/>
              <w:bottom w:w="0" w:type="dxa"/>
              <w:right w:w="108" w:type="dxa"/>
            </w:tcMar>
            <w:vAlign w:val="center"/>
          </w:tcPr>
          <w:p w14:paraId="28FA2218" w14:textId="77777777" w:rsidR="00A76ADB" w:rsidRPr="006C0D1B" w:rsidRDefault="00A76ADB" w:rsidP="007E3239">
            <w:pPr>
              <w:pStyle w:val="TableTextBold"/>
              <w:rPr>
                <w:color w:val="FFFFFF"/>
              </w:rPr>
            </w:pPr>
            <w:r w:rsidRPr="006C0D1B">
              <w:rPr>
                <w:rFonts w:eastAsia="Calibri"/>
                <w:color w:val="FFFFFF"/>
              </w:rPr>
              <w:t>Emissions category</w:t>
            </w:r>
          </w:p>
        </w:tc>
        <w:tc>
          <w:tcPr>
            <w:tcW w:w="0" w:type="auto"/>
            <w:shd w:val="clear" w:color="auto" w:fill="1B556B"/>
            <w:tcMar>
              <w:top w:w="0" w:type="dxa"/>
              <w:left w:w="108" w:type="dxa"/>
              <w:bottom w:w="0" w:type="dxa"/>
              <w:right w:w="108" w:type="dxa"/>
            </w:tcMar>
            <w:vAlign w:val="center"/>
          </w:tcPr>
          <w:p w14:paraId="1EFAC4FE" w14:textId="77777777" w:rsidR="00A76ADB" w:rsidRPr="006C0D1B" w:rsidRDefault="00A76ADB" w:rsidP="007E3239">
            <w:pPr>
              <w:pStyle w:val="TableTextBold"/>
              <w:rPr>
                <w:color w:val="FFFFFF"/>
              </w:rPr>
            </w:pPr>
            <w:r w:rsidRPr="006C0D1B">
              <w:rPr>
                <w:rFonts w:eastAsia="Calibri"/>
                <w:color w:val="FFFFFF"/>
              </w:rPr>
              <w:t>Uncertainty in activity data (%)</w:t>
            </w:r>
          </w:p>
        </w:tc>
        <w:tc>
          <w:tcPr>
            <w:tcW w:w="0" w:type="auto"/>
            <w:shd w:val="clear" w:color="auto" w:fill="1B556B"/>
            <w:tcMar>
              <w:top w:w="0" w:type="dxa"/>
              <w:left w:w="108" w:type="dxa"/>
              <w:bottom w:w="0" w:type="dxa"/>
              <w:right w:w="108" w:type="dxa"/>
            </w:tcMar>
            <w:vAlign w:val="center"/>
          </w:tcPr>
          <w:p w14:paraId="156408B0" w14:textId="77777777" w:rsidR="00A76ADB" w:rsidRPr="006C0D1B" w:rsidRDefault="00A76ADB" w:rsidP="007E3239">
            <w:pPr>
              <w:pStyle w:val="TableTextBold"/>
              <w:rPr>
                <w:color w:val="FFFFFF"/>
              </w:rPr>
            </w:pPr>
            <w:r w:rsidRPr="006C0D1B">
              <w:rPr>
                <w:rFonts w:eastAsia="Calibri"/>
                <w:color w:val="FFFFFF"/>
              </w:rPr>
              <w:t>Uncertainty in emission factors (%)</w:t>
            </w:r>
          </w:p>
        </w:tc>
      </w:tr>
      <w:tr w:rsidR="00A76ADB" w14:paraId="23A062B0" w14:textId="77777777" w:rsidTr="00CF7215">
        <w:trPr>
          <w:cantSplit/>
          <w:trHeight w:val="283"/>
        </w:trPr>
        <w:tc>
          <w:tcPr>
            <w:tcW w:w="0" w:type="auto"/>
            <w:shd w:val="clear" w:color="auto" w:fill="FFFFFF"/>
            <w:tcMar>
              <w:top w:w="0" w:type="dxa"/>
              <w:left w:w="108" w:type="dxa"/>
              <w:bottom w:w="0" w:type="dxa"/>
              <w:right w:w="108" w:type="dxa"/>
            </w:tcMar>
            <w:vAlign w:val="center"/>
          </w:tcPr>
          <w:p w14:paraId="61A44DE9" w14:textId="77777777" w:rsidR="00A76ADB" w:rsidRDefault="00A76ADB" w:rsidP="007E3239">
            <w:pPr>
              <w:pStyle w:val="TableText"/>
            </w:pPr>
            <w:r>
              <w:rPr>
                <w:rFonts w:eastAsia="Calibri"/>
              </w:rPr>
              <w:t>Compost (CH₄)</w:t>
            </w:r>
          </w:p>
        </w:tc>
        <w:tc>
          <w:tcPr>
            <w:tcW w:w="0" w:type="auto"/>
            <w:shd w:val="clear" w:color="auto" w:fill="FFFFFF"/>
            <w:tcMar>
              <w:top w:w="0" w:type="dxa"/>
              <w:left w:w="108" w:type="dxa"/>
              <w:bottom w:w="0" w:type="dxa"/>
              <w:right w:w="108" w:type="dxa"/>
            </w:tcMar>
            <w:vAlign w:val="center"/>
          </w:tcPr>
          <w:p w14:paraId="774DE02C" w14:textId="77777777" w:rsidR="00A76ADB" w:rsidRDefault="00A76ADB" w:rsidP="007E3239">
            <w:pPr>
              <w:pStyle w:val="TableText"/>
            </w:pPr>
            <w:r>
              <w:rPr>
                <w:rFonts w:eastAsia="Calibri"/>
              </w:rPr>
              <w:t>±100</w:t>
            </w:r>
          </w:p>
        </w:tc>
        <w:tc>
          <w:tcPr>
            <w:tcW w:w="0" w:type="auto"/>
            <w:shd w:val="clear" w:color="auto" w:fill="FFFFFF"/>
            <w:tcMar>
              <w:top w:w="0" w:type="dxa"/>
              <w:left w:w="108" w:type="dxa"/>
              <w:bottom w:w="0" w:type="dxa"/>
              <w:right w:w="108" w:type="dxa"/>
            </w:tcMar>
            <w:vAlign w:val="center"/>
          </w:tcPr>
          <w:p w14:paraId="019DF3D8" w14:textId="77777777" w:rsidR="00A76ADB" w:rsidRDefault="00A76ADB" w:rsidP="007E3239">
            <w:pPr>
              <w:pStyle w:val="TableText"/>
            </w:pPr>
            <w:r>
              <w:rPr>
                <w:rFonts w:eastAsia="Calibri"/>
              </w:rPr>
              <w:t>±100</w:t>
            </w:r>
          </w:p>
        </w:tc>
      </w:tr>
      <w:tr w:rsidR="00A76ADB" w14:paraId="7E2D9663" w14:textId="77777777" w:rsidTr="00CF7215">
        <w:trPr>
          <w:cantSplit/>
          <w:trHeight w:val="283"/>
        </w:trPr>
        <w:tc>
          <w:tcPr>
            <w:tcW w:w="0" w:type="auto"/>
            <w:shd w:val="clear" w:color="auto" w:fill="FFFFFF"/>
            <w:tcMar>
              <w:top w:w="0" w:type="dxa"/>
              <w:left w:w="108" w:type="dxa"/>
              <w:bottom w:w="0" w:type="dxa"/>
              <w:right w:w="108" w:type="dxa"/>
            </w:tcMar>
            <w:vAlign w:val="center"/>
          </w:tcPr>
          <w:p w14:paraId="5AF6BCC6" w14:textId="77777777" w:rsidR="00A76ADB" w:rsidRDefault="00A76ADB" w:rsidP="007E3239">
            <w:pPr>
              <w:pStyle w:val="TableText"/>
            </w:pPr>
            <w:r>
              <w:rPr>
                <w:rFonts w:eastAsia="Calibri"/>
              </w:rPr>
              <w:t>Compost (N₂O)</w:t>
            </w:r>
          </w:p>
        </w:tc>
        <w:tc>
          <w:tcPr>
            <w:tcW w:w="0" w:type="auto"/>
            <w:shd w:val="clear" w:color="auto" w:fill="FFFFFF"/>
            <w:tcMar>
              <w:top w:w="0" w:type="dxa"/>
              <w:left w:w="108" w:type="dxa"/>
              <w:bottom w:w="0" w:type="dxa"/>
              <w:right w:w="108" w:type="dxa"/>
            </w:tcMar>
            <w:vAlign w:val="center"/>
          </w:tcPr>
          <w:p w14:paraId="46B4DE2B" w14:textId="77777777" w:rsidR="00A76ADB" w:rsidRDefault="00A76ADB" w:rsidP="007E3239">
            <w:pPr>
              <w:pStyle w:val="TableText"/>
            </w:pPr>
            <w:r>
              <w:rPr>
                <w:rFonts w:eastAsia="Calibri"/>
              </w:rPr>
              <w:t>±100</w:t>
            </w:r>
          </w:p>
        </w:tc>
        <w:tc>
          <w:tcPr>
            <w:tcW w:w="0" w:type="auto"/>
            <w:shd w:val="clear" w:color="auto" w:fill="FFFFFF"/>
            <w:tcMar>
              <w:top w:w="0" w:type="dxa"/>
              <w:left w:w="108" w:type="dxa"/>
              <w:bottom w:w="0" w:type="dxa"/>
              <w:right w:w="108" w:type="dxa"/>
            </w:tcMar>
            <w:vAlign w:val="center"/>
          </w:tcPr>
          <w:p w14:paraId="23BBFEE0" w14:textId="77777777" w:rsidR="00A76ADB" w:rsidRDefault="00A76ADB" w:rsidP="007E3239">
            <w:pPr>
              <w:pStyle w:val="TableText"/>
            </w:pPr>
            <w:r>
              <w:rPr>
                <w:rFonts w:eastAsia="Calibri"/>
              </w:rPr>
              <w:t>±150</w:t>
            </w:r>
          </w:p>
        </w:tc>
      </w:tr>
    </w:tbl>
    <w:p w14:paraId="35EF4AF4" w14:textId="77777777" w:rsidR="00A76ADB" w:rsidRDefault="00A76ADB" w:rsidP="00A76ADB">
      <w:pPr>
        <w:pStyle w:val="Heading4"/>
        <w:spacing w:before="360"/>
      </w:pPr>
      <w:bookmarkStart w:id="2395" w:name="time-series-consistency-1"/>
      <w:bookmarkEnd w:id="2393"/>
      <w:r>
        <w:t>Time-series consistency</w:t>
      </w:r>
    </w:p>
    <w:p w14:paraId="381B3733" w14:textId="77777777" w:rsidR="00A76ADB" w:rsidRDefault="00A76ADB" w:rsidP="00A76ADB">
      <w:pPr>
        <w:pStyle w:val="BodyText"/>
      </w:pPr>
      <w:r>
        <w:t>Time-series consistency is ensured by the use of consistent models and parameters across the period.</w:t>
      </w:r>
    </w:p>
    <w:p w14:paraId="07218116" w14:textId="77777777" w:rsidR="00A76ADB" w:rsidRDefault="00A76ADB" w:rsidP="00A76ADB">
      <w:pPr>
        <w:pStyle w:val="Heading3"/>
      </w:pPr>
      <w:bookmarkStart w:id="2396" w:name="source-specific-qaqc-and-verification"/>
      <w:bookmarkEnd w:id="2392"/>
      <w:bookmarkEnd w:id="2395"/>
      <w:r>
        <w:t xml:space="preserve">7.3.4 </w:t>
      </w:r>
      <w:r>
        <w:tab/>
        <w:t>Source-specific QA/QC and verification</w:t>
      </w:r>
    </w:p>
    <w:p w14:paraId="2B61EF80" w14:textId="77777777" w:rsidR="00A76ADB" w:rsidRDefault="00A76ADB" w:rsidP="00A76ADB">
      <w:pPr>
        <w:pStyle w:val="BodyText"/>
      </w:pPr>
      <w:r>
        <w:t xml:space="preserve">These emissions are very small, and basic quality-assurance and quality-control checks are carried out where possible. Detailed quality-assurance and quality-control efforts for the Waste sector focus on the </w:t>
      </w:r>
      <w:r>
        <w:rPr>
          <w:i/>
          <w:iCs/>
        </w:rPr>
        <w:t>Solid waste disposal</w:t>
      </w:r>
      <w:r>
        <w:t xml:space="preserve"> to land and </w:t>
      </w:r>
      <w:r>
        <w:rPr>
          <w:i/>
          <w:iCs/>
        </w:rPr>
        <w:t>Wastewater treatment and discharge</w:t>
      </w:r>
      <w:r>
        <w:t> categories.</w:t>
      </w:r>
    </w:p>
    <w:p w14:paraId="672DD86A" w14:textId="77777777" w:rsidR="00A76ADB" w:rsidRDefault="00A76ADB" w:rsidP="00A76ADB">
      <w:pPr>
        <w:pStyle w:val="Heading3"/>
      </w:pPr>
      <w:bookmarkStart w:id="2397" w:name="source-specific-recalculations-1"/>
      <w:bookmarkEnd w:id="2396"/>
      <w:r>
        <w:t xml:space="preserve">7.3.5 </w:t>
      </w:r>
      <w:r>
        <w:tab/>
        <w:t>Source-specific recalculations</w:t>
      </w:r>
    </w:p>
    <w:p w14:paraId="64D44F52" w14:textId="77777777" w:rsidR="00A76ADB" w:rsidRDefault="00A76ADB" w:rsidP="00A76ADB">
      <w:pPr>
        <w:pStyle w:val="BodyText"/>
      </w:pPr>
      <w:r>
        <w:t xml:space="preserve">Emissions from </w:t>
      </w:r>
      <w:r>
        <w:rPr>
          <w:i/>
          <w:iCs/>
        </w:rPr>
        <w:t>Composting</w:t>
      </w:r>
      <w:r>
        <w:t xml:space="preserve"> (5.B.1.a) have not changed compared with the 2021 submission.</w:t>
      </w:r>
    </w:p>
    <w:p w14:paraId="3FF3DD72" w14:textId="77777777" w:rsidR="00A76ADB" w:rsidRDefault="00A76ADB" w:rsidP="00A76ADB">
      <w:pPr>
        <w:pStyle w:val="Heading3"/>
      </w:pPr>
      <w:bookmarkStart w:id="2398" w:name="source-specific-planned-improvements-1"/>
      <w:bookmarkEnd w:id="2397"/>
      <w:r>
        <w:t xml:space="preserve">7.3.6 </w:t>
      </w:r>
      <w:r>
        <w:tab/>
        <w:t>Source-specific planned improvements</w:t>
      </w:r>
    </w:p>
    <w:p w14:paraId="09834465" w14:textId="77777777" w:rsidR="00A76ADB" w:rsidRDefault="00A76ADB" w:rsidP="00A76ADB">
      <w:pPr>
        <w:pStyle w:val="BodyText"/>
      </w:pPr>
      <w:r>
        <w:t>No specific improvements are planned for this category. Over time, better activity data will be applied to the inventory if and when they become available.</w:t>
      </w:r>
    </w:p>
    <w:p w14:paraId="0BE39256" w14:textId="77777777" w:rsidR="00A76ADB" w:rsidRDefault="00A76ADB" w:rsidP="00A76ADB">
      <w:pPr>
        <w:pStyle w:val="Heading2"/>
      </w:pPr>
      <w:bookmarkStart w:id="2399" w:name="_Toc99659155"/>
      <w:bookmarkEnd w:id="2385"/>
      <w:bookmarkEnd w:id="2398"/>
      <w:r>
        <w:t xml:space="preserve">7.4 </w:t>
      </w:r>
      <w:r>
        <w:tab/>
        <w:t>Incineration and open burning of waste (5.C)</w:t>
      </w:r>
      <w:bookmarkEnd w:id="2399"/>
    </w:p>
    <w:p w14:paraId="3471B733" w14:textId="77777777" w:rsidR="00A76ADB" w:rsidRDefault="00A76ADB" w:rsidP="00A76ADB">
      <w:pPr>
        <w:pStyle w:val="Heading3"/>
        <w:spacing w:before="240"/>
      </w:pPr>
      <w:bookmarkStart w:id="2400" w:name="description-2"/>
      <w:r>
        <w:t xml:space="preserve">7.4.1 </w:t>
      </w:r>
      <w:r>
        <w:tab/>
        <w:t>Description</w:t>
      </w:r>
    </w:p>
    <w:p w14:paraId="098DDDB9" w14:textId="77777777" w:rsidR="00A76ADB" w:rsidRDefault="00A76ADB" w:rsidP="00A76ADB">
      <w:pPr>
        <w:pStyle w:val="BodyText"/>
      </w:pPr>
      <w:r>
        <w:t>There is no incineration of municipal waste in New Zealand for energy production or otherwise. Incineration is used on a small scale for disposal of clinical wastes, hazardous wastes and sewage sludge. The practice of incinerating clinical wastes has declined through the time series, due to more stringent environmental regulation and the use of alternative technologies such as sterilisation. In the context of New Zealand’s greenhouse gas inventory, the term “clinical wastes” refers to a combination of clinical, medical and quarantine wastes.</w:t>
      </w:r>
    </w:p>
    <w:p w14:paraId="227FAC8B" w14:textId="77777777" w:rsidR="00A76ADB" w:rsidRPr="007125E5" w:rsidRDefault="00A76ADB" w:rsidP="00A76ADB">
      <w:pPr>
        <w:pStyle w:val="BodyText"/>
        <w:rPr>
          <w:spacing w:val="-2"/>
        </w:rPr>
      </w:pPr>
      <w:r w:rsidRPr="007125E5">
        <w:rPr>
          <w:spacing w:val="-2"/>
        </w:rPr>
        <w:lastRenderedPageBreak/>
        <w:t>Waste incineration is regulated under the Resource Management Act 1991. In addition, in 2004,</w:t>
      </w:r>
      <w:r>
        <w:t xml:space="preserve"> a national environmental standard was introduced that required consents for all existing low-</w:t>
      </w:r>
      <w:r w:rsidRPr="007125E5">
        <w:rPr>
          <w:spacing w:val="-2"/>
        </w:rPr>
        <w:t>temperature incinerators, such as those historically used in schools and sometimes in hospitals.</w:t>
      </w:r>
    </w:p>
    <w:p w14:paraId="170B1C07" w14:textId="77777777" w:rsidR="00A76ADB" w:rsidRDefault="00A76ADB" w:rsidP="00A76ADB">
      <w:pPr>
        <w:pStyle w:val="BodyText"/>
      </w:pPr>
      <w:r>
        <w:t>There is no open burning of waste at municipal or non-municipal landfill facilities in New Zealand. It is common for farms to practise open burning of rural waste (GHD, 2014) and, while limited information is available on the extent of the practice, emissions from open burning are reported. It is assumed that an equal amount of farm waste that is buried (see table 7.2.4) is burned, which is additional to the amount buried.</w:t>
      </w:r>
    </w:p>
    <w:p w14:paraId="203EEF9E" w14:textId="77777777" w:rsidR="00A76ADB" w:rsidRDefault="00A76ADB" w:rsidP="00A76ADB">
      <w:pPr>
        <w:pStyle w:val="BodyText"/>
      </w:pPr>
      <w:r>
        <w:t>On its website, the Ministry of Education indicates that waste incineration is still practised in a small number of primary schools located in remote rural areas. Although information is not available on the exact number of schools practising waste incineration, it is estimated that around 10 per cent of the total number of schools in New Zealand still incinerate their waste production (P Guiney, Ministry of Education, pers. comm., 4 December 2019). Emissions from this source are not estimated for this submission and are reported as not estimated (NE). See annex 6.2 for more information.</w:t>
      </w:r>
    </w:p>
    <w:p w14:paraId="297B4748" w14:textId="77777777" w:rsidR="00A76ADB" w:rsidRPr="00246F01" w:rsidRDefault="00A76ADB" w:rsidP="00A76ADB">
      <w:pPr>
        <w:pStyle w:val="BodyText"/>
      </w:pPr>
      <w:r>
        <w:t xml:space="preserve">Where data are available, the burning of waste materials including waste oil and wood chips for fuelling boilers and a cement kiln is reported under the Energy sector in the </w:t>
      </w:r>
      <w:r>
        <w:rPr>
          <w:i/>
          <w:iCs/>
        </w:rPr>
        <w:t>Manufacturing industries and construction</w:t>
      </w:r>
      <w:r>
        <w:t xml:space="preserve"> category. Tyres began to be incinerated in the cement kiln in 2021, </w:t>
      </w:r>
      <w:r w:rsidRPr="00246F01">
        <w:t xml:space="preserve">which will be reported on in the 2023 submission. In 2020, </w:t>
      </w:r>
      <w:r w:rsidRPr="00246F01">
        <w:rPr>
          <w:i/>
          <w:iCs/>
        </w:rPr>
        <w:t>Incineration and open burning of waste</w:t>
      </w:r>
      <w:r w:rsidRPr="00246F01">
        <w:t xml:space="preserve"> accounted for 185.4 kt CO</w:t>
      </w:r>
      <w:r w:rsidRPr="00246F01">
        <w:rPr>
          <w:vertAlign w:val="subscript"/>
        </w:rPr>
        <w:t>2</w:t>
      </w:r>
      <w:r w:rsidRPr="00246F01">
        <w:t>-e (5.7 per cent) of Waste sector emissions (see table 7.4.1). This was a decrease of 130.3 kt CO</w:t>
      </w:r>
      <w:r w:rsidRPr="00246F01">
        <w:rPr>
          <w:vertAlign w:val="subscript"/>
        </w:rPr>
        <w:t>2</w:t>
      </w:r>
      <w:r w:rsidRPr="00246F01">
        <w:t>-e below the 1990 level of 315.7 kt CO</w:t>
      </w:r>
      <w:r w:rsidRPr="00246F01">
        <w:rPr>
          <w:vertAlign w:val="subscript"/>
        </w:rPr>
        <w:t>2</w:t>
      </w:r>
      <w:r w:rsidRPr="00246F01">
        <w:t>-e, and a decrease of 1.0 kt CO</w:t>
      </w:r>
      <w:r w:rsidRPr="00246F01">
        <w:rPr>
          <w:vertAlign w:val="subscript"/>
        </w:rPr>
        <w:t>2</w:t>
      </w:r>
      <w:r w:rsidRPr="00246F01">
        <w:t>-e (0.5 per cent) from 2019.</w:t>
      </w:r>
    </w:p>
    <w:p w14:paraId="796A688C" w14:textId="77777777" w:rsidR="00A76ADB" w:rsidRDefault="00A76ADB" w:rsidP="00A76ADB">
      <w:pPr>
        <w:pStyle w:val="Table"/>
      </w:pPr>
      <w:bookmarkStart w:id="2401" w:name="_Toc99659334"/>
      <w:r>
        <w:t>Table 7.4.1</w:t>
      </w:r>
      <w:r>
        <w:tab/>
        <w:t xml:space="preserve">Emissions from </w:t>
      </w:r>
      <w:r>
        <w:rPr>
          <w:i/>
          <w:iCs/>
        </w:rPr>
        <w:t>Incineration and open burning of waste</w:t>
      </w:r>
      <w:r>
        <w:t xml:space="preserve"> (5.C)</w:t>
      </w:r>
      <w:bookmarkEnd w:id="2401"/>
    </w:p>
    <w:tbl>
      <w:tblPr>
        <w:tblW w:w="8505" w:type="dxa"/>
        <w:tblInd w:w="108" w:type="dxa"/>
        <w:tblLayout w:type="fixed"/>
        <w:tblLook w:val="0420" w:firstRow="1" w:lastRow="0" w:firstColumn="0" w:lastColumn="0" w:noHBand="0" w:noVBand="1"/>
      </w:tblPr>
      <w:tblGrid>
        <w:gridCol w:w="1701"/>
        <w:gridCol w:w="1276"/>
        <w:gridCol w:w="1276"/>
        <w:gridCol w:w="2126"/>
        <w:gridCol w:w="2126"/>
      </w:tblGrid>
      <w:tr w:rsidR="00A76ADB" w:rsidRPr="007125E5" w14:paraId="4FD4D94B" w14:textId="77777777" w:rsidTr="00CF7215">
        <w:trPr>
          <w:cantSplit/>
          <w:tblHeader/>
        </w:trPr>
        <w:tc>
          <w:tcPr>
            <w:tcW w:w="1701" w:type="dxa"/>
            <w:tcBorders>
              <w:top w:val="single" w:sz="4" w:space="0" w:color="1B556B"/>
              <w:bottom w:val="single" w:sz="4" w:space="0" w:color="1B556B"/>
            </w:tcBorders>
            <w:shd w:val="clear" w:color="auto" w:fill="1B556B"/>
            <w:tcMar>
              <w:top w:w="0" w:type="dxa"/>
              <w:left w:w="108" w:type="dxa"/>
              <w:bottom w:w="0" w:type="dxa"/>
              <w:right w:w="108" w:type="dxa"/>
            </w:tcMar>
            <w:vAlign w:val="bottom"/>
          </w:tcPr>
          <w:p w14:paraId="0239C96F" w14:textId="77777777" w:rsidR="00A76ADB" w:rsidRPr="006C0D1B" w:rsidRDefault="00A76ADB" w:rsidP="007E3239">
            <w:pPr>
              <w:pStyle w:val="TableTextBold"/>
              <w:rPr>
                <w:rFonts w:eastAsia="Calibri"/>
                <w:color w:val="FFFFFF"/>
              </w:rPr>
            </w:pPr>
          </w:p>
        </w:tc>
        <w:tc>
          <w:tcPr>
            <w:tcW w:w="2552" w:type="dxa"/>
            <w:gridSpan w:val="2"/>
            <w:tcBorders>
              <w:top w:val="single" w:sz="4" w:space="0" w:color="1B556B"/>
              <w:bottom w:val="single" w:sz="4" w:space="0" w:color="1B556B"/>
            </w:tcBorders>
            <w:shd w:val="clear" w:color="auto" w:fill="1B556B"/>
            <w:tcMar>
              <w:top w:w="0" w:type="dxa"/>
              <w:left w:w="108" w:type="dxa"/>
              <w:bottom w:w="0" w:type="dxa"/>
              <w:right w:w="108" w:type="dxa"/>
            </w:tcMar>
            <w:vAlign w:val="bottom"/>
          </w:tcPr>
          <w:p w14:paraId="7DF1637D" w14:textId="77777777" w:rsidR="00A76ADB" w:rsidRPr="006C0D1B" w:rsidRDefault="00A76ADB" w:rsidP="007E3239">
            <w:pPr>
              <w:pStyle w:val="TableTextBold"/>
              <w:jc w:val="center"/>
              <w:rPr>
                <w:rFonts w:eastAsia="Calibri"/>
                <w:color w:val="FFFFFF"/>
              </w:rPr>
            </w:pPr>
            <w:r w:rsidRPr="006C0D1B">
              <w:rPr>
                <w:rFonts w:eastAsia="Calibri"/>
                <w:color w:val="FFFFFF"/>
              </w:rPr>
              <w:t>Emissions (kt CO</w:t>
            </w:r>
            <w:r w:rsidRPr="006C0D1B">
              <w:rPr>
                <w:rFonts w:eastAsia="Calibri"/>
                <w:color w:val="FFFFFF"/>
                <w:vertAlign w:val="subscript"/>
              </w:rPr>
              <w:t>2</w:t>
            </w:r>
            <w:r w:rsidRPr="006C0D1B">
              <w:rPr>
                <w:rFonts w:eastAsia="Calibri"/>
                <w:color w:val="FFFFFF"/>
              </w:rPr>
              <w:t>-e)</w:t>
            </w:r>
          </w:p>
        </w:tc>
        <w:tc>
          <w:tcPr>
            <w:tcW w:w="2126" w:type="dxa"/>
            <w:tcBorders>
              <w:top w:val="single" w:sz="4" w:space="0" w:color="1B556B"/>
              <w:bottom w:val="single" w:sz="4" w:space="0" w:color="1B556B"/>
              <w:right w:val="single" w:sz="4" w:space="0" w:color="1B556B"/>
            </w:tcBorders>
            <w:shd w:val="clear" w:color="auto" w:fill="1B556B"/>
            <w:tcMar>
              <w:left w:w="108" w:type="dxa"/>
              <w:right w:w="108" w:type="dxa"/>
            </w:tcMar>
            <w:vAlign w:val="bottom"/>
          </w:tcPr>
          <w:p w14:paraId="3082AD25" w14:textId="77777777" w:rsidR="00A76ADB" w:rsidRPr="006C0D1B" w:rsidRDefault="00A76ADB" w:rsidP="007E3239">
            <w:pPr>
              <w:pStyle w:val="TableTextBold"/>
              <w:jc w:val="center"/>
              <w:rPr>
                <w:rFonts w:eastAsia="Calibri"/>
                <w:color w:val="FFFFFF"/>
              </w:rPr>
            </w:pPr>
            <w:r w:rsidRPr="006C0D1B">
              <w:rPr>
                <w:rFonts w:eastAsia="Calibri"/>
                <w:color w:val="FFFFFF"/>
              </w:rPr>
              <w:t>Difference (kt CO</w:t>
            </w:r>
            <w:r w:rsidRPr="006C0D1B">
              <w:rPr>
                <w:rFonts w:eastAsia="Calibri"/>
                <w:color w:val="FFFFFF"/>
                <w:vertAlign w:val="subscript"/>
              </w:rPr>
              <w:t>2</w:t>
            </w:r>
            <w:r w:rsidRPr="006C0D1B">
              <w:rPr>
                <w:rFonts w:eastAsia="Calibri"/>
                <w:color w:val="FFFFFF"/>
              </w:rPr>
              <w:t>-e)</w:t>
            </w:r>
          </w:p>
        </w:tc>
        <w:tc>
          <w:tcPr>
            <w:tcW w:w="2126" w:type="dxa"/>
            <w:tcBorders>
              <w:top w:val="single" w:sz="4" w:space="0" w:color="1B556B"/>
              <w:left w:val="single" w:sz="4" w:space="0" w:color="1B556B"/>
              <w:bottom w:val="single" w:sz="4" w:space="0" w:color="1B556B"/>
            </w:tcBorders>
            <w:shd w:val="clear" w:color="auto" w:fill="1B556B"/>
            <w:tcMar>
              <w:left w:w="108" w:type="dxa"/>
              <w:right w:w="108" w:type="dxa"/>
            </w:tcMar>
            <w:vAlign w:val="bottom"/>
          </w:tcPr>
          <w:p w14:paraId="2039433A" w14:textId="77777777" w:rsidR="00A76ADB" w:rsidRPr="006C0D1B" w:rsidRDefault="00A76ADB" w:rsidP="007E3239">
            <w:pPr>
              <w:pStyle w:val="TableTextBold"/>
              <w:jc w:val="center"/>
              <w:rPr>
                <w:rFonts w:eastAsia="Calibri"/>
                <w:color w:val="FFFFFF"/>
              </w:rPr>
            </w:pPr>
            <w:r w:rsidRPr="006C0D1B">
              <w:rPr>
                <w:rFonts w:eastAsia="Calibri"/>
                <w:color w:val="FFFFFF"/>
              </w:rPr>
              <w:t>Change (%)</w:t>
            </w:r>
          </w:p>
        </w:tc>
      </w:tr>
      <w:tr w:rsidR="00A76ADB" w:rsidRPr="001412D7" w14:paraId="2EE5163D" w14:textId="77777777" w:rsidTr="00CF7215">
        <w:trPr>
          <w:cantSplit/>
          <w:trHeight w:val="283"/>
        </w:trPr>
        <w:tc>
          <w:tcPr>
            <w:tcW w:w="1701" w:type="dxa"/>
            <w:tcBorders>
              <w:top w:val="single" w:sz="4" w:space="0" w:color="1B556B"/>
              <w:bottom w:val="single" w:sz="4" w:space="0" w:color="1B556B"/>
            </w:tcBorders>
            <w:shd w:val="clear" w:color="auto" w:fill="FFFFFF"/>
            <w:tcMar>
              <w:top w:w="0" w:type="dxa"/>
              <w:left w:w="108" w:type="dxa"/>
              <w:bottom w:w="0" w:type="dxa"/>
              <w:right w:w="108" w:type="dxa"/>
            </w:tcMar>
          </w:tcPr>
          <w:p w14:paraId="33A0E831" w14:textId="77777777" w:rsidR="00A76ADB" w:rsidRPr="001412D7" w:rsidRDefault="00A76ADB" w:rsidP="007E3239">
            <w:pPr>
              <w:pStyle w:val="TableTextBold"/>
              <w:rPr>
                <w:rFonts w:eastAsia="Calibri"/>
              </w:rPr>
            </w:pPr>
            <w:r w:rsidRPr="001412D7">
              <w:rPr>
                <w:rFonts w:eastAsia="Calibri"/>
              </w:rPr>
              <w:t>Source category</w:t>
            </w:r>
          </w:p>
        </w:tc>
        <w:tc>
          <w:tcPr>
            <w:tcW w:w="1276" w:type="dxa"/>
            <w:tcBorders>
              <w:top w:val="single" w:sz="4" w:space="0" w:color="1B556B"/>
              <w:bottom w:val="single" w:sz="4" w:space="0" w:color="1B556B"/>
            </w:tcBorders>
            <w:shd w:val="clear" w:color="auto" w:fill="FFFFFF"/>
            <w:tcMar>
              <w:top w:w="0" w:type="dxa"/>
              <w:left w:w="108" w:type="dxa"/>
              <w:bottom w:w="0" w:type="dxa"/>
              <w:right w:w="108" w:type="dxa"/>
            </w:tcMar>
          </w:tcPr>
          <w:p w14:paraId="3EF86064" w14:textId="77777777" w:rsidR="00A76ADB" w:rsidRPr="001412D7" w:rsidRDefault="00A76ADB" w:rsidP="007E3239">
            <w:pPr>
              <w:pStyle w:val="TableTextBold"/>
              <w:jc w:val="center"/>
              <w:rPr>
                <w:rFonts w:eastAsia="Calibri"/>
              </w:rPr>
            </w:pPr>
            <w:r w:rsidRPr="001412D7">
              <w:rPr>
                <w:rFonts w:eastAsia="Calibri"/>
              </w:rPr>
              <w:t>1990</w:t>
            </w:r>
          </w:p>
        </w:tc>
        <w:tc>
          <w:tcPr>
            <w:tcW w:w="1276" w:type="dxa"/>
            <w:tcBorders>
              <w:top w:val="single" w:sz="4" w:space="0" w:color="1B556B"/>
              <w:bottom w:val="single" w:sz="4" w:space="0" w:color="1B556B"/>
            </w:tcBorders>
            <w:shd w:val="clear" w:color="auto" w:fill="FFFFFF"/>
            <w:tcMar>
              <w:top w:w="0" w:type="dxa"/>
              <w:left w:w="108" w:type="dxa"/>
              <w:bottom w:w="0" w:type="dxa"/>
              <w:right w:w="108" w:type="dxa"/>
            </w:tcMar>
          </w:tcPr>
          <w:p w14:paraId="5996A5D5" w14:textId="77777777" w:rsidR="00A76ADB" w:rsidRPr="001412D7" w:rsidRDefault="00A76ADB" w:rsidP="007E3239">
            <w:pPr>
              <w:pStyle w:val="TableTextBold"/>
              <w:jc w:val="center"/>
              <w:rPr>
                <w:rFonts w:eastAsia="Calibri"/>
              </w:rPr>
            </w:pPr>
            <w:r w:rsidRPr="001412D7">
              <w:rPr>
                <w:rFonts w:eastAsia="Calibri"/>
              </w:rPr>
              <w:t>2020</w:t>
            </w:r>
          </w:p>
        </w:tc>
        <w:tc>
          <w:tcPr>
            <w:tcW w:w="2126" w:type="dxa"/>
            <w:tcBorders>
              <w:top w:val="single" w:sz="4" w:space="0" w:color="1B556B"/>
              <w:bottom w:val="single" w:sz="4" w:space="0" w:color="1B556B"/>
            </w:tcBorders>
            <w:shd w:val="clear" w:color="auto" w:fill="FFFFFF"/>
            <w:tcMar>
              <w:left w:w="108" w:type="dxa"/>
              <w:right w:w="108" w:type="dxa"/>
            </w:tcMar>
          </w:tcPr>
          <w:p w14:paraId="0364BD7D" w14:textId="77777777" w:rsidR="00A76ADB" w:rsidRPr="001412D7" w:rsidRDefault="00A76ADB" w:rsidP="007E3239">
            <w:pPr>
              <w:pStyle w:val="TableTextBold"/>
              <w:jc w:val="center"/>
              <w:rPr>
                <w:rFonts w:eastAsia="Calibri"/>
              </w:rPr>
            </w:pPr>
            <w:r w:rsidRPr="001412D7">
              <w:rPr>
                <w:rFonts w:eastAsia="Calibri"/>
              </w:rPr>
              <w:t>1990–2020</w:t>
            </w:r>
          </w:p>
        </w:tc>
        <w:tc>
          <w:tcPr>
            <w:tcW w:w="2126" w:type="dxa"/>
            <w:tcBorders>
              <w:top w:val="single" w:sz="4" w:space="0" w:color="1B556B"/>
              <w:left w:val="nil"/>
              <w:bottom w:val="single" w:sz="4" w:space="0" w:color="1B556B"/>
            </w:tcBorders>
            <w:shd w:val="clear" w:color="auto" w:fill="FFFFFF"/>
            <w:tcMar>
              <w:left w:w="108" w:type="dxa"/>
              <w:right w:w="108" w:type="dxa"/>
            </w:tcMar>
          </w:tcPr>
          <w:p w14:paraId="4AC62778" w14:textId="77777777" w:rsidR="00A76ADB" w:rsidRPr="001412D7" w:rsidRDefault="00A76ADB" w:rsidP="007E3239">
            <w:pPr>
              <w:pStyle w:val="TableTextBold"/>
              <w:jc w:val="center"/>
              <w:rPr>
                <w:rFonts w:eastAsia="Calibri"/>
              </w:rPr>
            </w:pPr>
            <w:r w:rsidRPr="001412D7">
              <w:rPr>
                <w:rFonts w:eastAsia="Calibri"/>
              </w:rPr>
              <w:t>1990–2020</w:t>
            </w:r>
          </w:p>
        </w:tc>
      </w:tr>
      <w:tr w:rsidR="00A76ADB" w:rsidRPr="00847046" w14:paraId="66D16FC6" w14:textId="77777777" w:rsidTr="00CF7215">
        <w:trPr>
          <w:cantSplit/>
          <w:trHeight w:val="283"/>
        </w:trPr>
        <w:tc>
          <w:tcPr>
            <w:tcW w:w="1701" w:type="dxa"/>
            <w:tcBorders>
              <w:top w:val="single" w:sz="4" w:space="0" w:color="1B556B"/>
              <w:bottom w:val="single" w:sz="4" w:space="0" w:color="1B556B"/>
            </w:tcBorders>
            <w:shd w:val="clear" w:color="auto" w:fill="FFFFFF"/>
            <w:tcMar>
              <w:top w:w="0" w:type="dxa"/>
              <w:left w:w="108" w:type="dxa"/>
              <w:bottom w:w="0" w:type="dxa"/>
              <w:right w:w="108" w:type="dxa"/>
            </w:tcMar>
          </w:tcPr>
          <w:p w14:paraId="2592EE5D" w14:textId="77777777" w:rsidR="00A76ADB" w:rsidRPr="00847046" w:rsidRDefault="00A76ADB" w:rsidP="007E3239">
            <w:pPr>
              <w:pStyle w:val="TableText"/>
              <w:rPr>
                <w:rFonts w:eastAsia="Calibri"/>
              </w:rPr>
            </w:pPr>
            <w:r w:rsidRPr="003C2C05">
              <w:rPr>
                <w:rFonts w:eastAsia="Calibri"/>
              </w:rPr>
              <w:t>Incineration (5.C.1)</w:t>
            </w:r>
          </w:p>
        </w:tc>
        <w:tc>
          <w:tcPr>
            <w:tcW w:w="1276" w:type="dxa"/>
            <w:tcBorders>
              <w:top w:val="single" w:sz="4" w:space="0" w:color="1B556B"/>
              <w:bottom w:val="single" w:sz="4" w:space="0" w:color="1B556B"/>
            </w:tcBorders>
            <w:shd w:val="clear" w:color="auto" w:fill="FFFFFF"/>
            <w:tcMar>
              <w:top w:w="0" w:type="dxa"/>
              <w:left w:w="108" w:type="dxa"/>
              <w:bottom w:w="0" w:type="dxa"/>
              <w:right w:w="108" w:type="dxa"/>
            </w:tcMar>
          </w:tcPr>
          <w:p w14:paraId="10CF3536" w14:textId="77777777" w:rsidR="00A76ADB" w:rsidRPr="00847046" w:rsidRDefault="00A76ADB" w:rsidP="007E3239">
            <w:pPr>
              <w:pStyle w:val="TableText"/>
              <w:jc w:val="center"/>
              <w:rPr>
                <w:rFonts w:eastAsia="Calibri"/>
              </w:rPr>
            </w:pPr>
            <w:r w:rsidRPr="003C2C05">
              <w:rPr>
                <w:rFonts w:eastAsia="Calibri"/>
              </w:rPr>
              <w:t>14.8</w:t>
            </w:r>
          </w:p>
        </w:tc>
        <w:tc>
          <w:tcPr>
            <w:tcW w:w="1276" w:type="dxa"/>
            <w:tcBorders>
              <w:top w:val="single" w:sz="4" w:space="0" w:color="1B556B"/>
              <w:bottom w:val="single" w:sz="4" w:space="0" w:color="1B556B"/>
            </w:tcBorders>
            <w:shd w:val="clear" w:color="auto" w:fill="FFFFFF"/>
            <w:tcMar>
              <w:top w:w="0" w:type="dxa"/>
              <w:left w:w="108" w:type="dxa"/>
              <w:bottom w:w="0" w:type="dxa"/>
              <w:right w:w="108" w:type="dxa"/>
            </w:tcMar>
          </w:tcPr>
          <w:p w14:paraId="783920C5" w14:textId="77777777" w:rsidR="00A76ADB" w:rsidRPr="00847046" w:rsidRDefault="00A76ADB" w:rsidP="007E3239">
            <w:pPr>
              <w:pStyle w:val="TableText"/>
              <w:jc w:val="center"/>
              <w:rPr>
                <w:rFonts w:eastAsia="Calibri"/>
              </w:rPr>
            </w:pPr>
            <w:r w:rsidRPr="003C2C05">
              <w:rPr>
                <w:rFonts w:eastAsia="Calibri"/>
              </w:rPr>
              <w:t>2.4</w:t>
            </w:r>
          </w:p>
        </w:tc>
        <w:tc>
          <w:tcPr>
            <w:tcW w:w="2126" w:type="dxa"/>
            <w:tcBorders>
              <w:top w:val="single" w:sz="4" w:space="0" w:color="1B556B"/>
              <w:bottom w:val="single" w:sz="4" w:space="0" w:color="1B556B"/>
            </w:tcBorders>
            <w:shd w:val="clear" w:color="auto" w:fill="FFFFFF"/>
            <w:tcMar>
              <w:left w:w="108" w:type="dxa"/>
              <w:right w:w="108" w:type="dxa"/>
            </w:tcMar>
          </w:tcPr>
          <w:p w14:paraId="42AB22B2" w14:textId="77777777" w:rsidR="00A76ADB" w:rsidRPr="00847046" w:rsidRDefault="00A76ADB" w:rsidP="007E3239">
            <w:pPr>
              <w:pStyle w:val="TableText"/>
              <w:jc w:val="center"/>
              <w:rPr>
                <w:rFonts w:eastAsia="Calibri"/>
              </w:rPr>
            </w:pPr>
            <w:r>
              <w:rPr>
                <w:rFonts w:eastAsia="Calibri"/>
              </w:rPr>
              <w:t>–</w:t>
            </w:r>
            <w:r w:rsidRPr="003C2C05">
              <w:rPr>
                <w:rFonts w:eastAsia="Calibri"/>
              </w:rPr>
              <w:t>12.3</w:t>
            </w:r>
          </w:p>
        </w:tc>
        <w:tc>
          <w:tcPr>
            <w:tcW w:w="2126" w:type="dxa"/>
            <w:tcBorders>
              <w:top w:val="single" w:sz="4" w:space="0" w:color="1B556B"/>
              <w:left w:val="nil"/>
              <w:bottom w:val="single" w:sz="4" w:space="0" w:color="1B556B"/>
            </w:tcBorders>
            <w:shd w:val="clear" w:color="auto" w:fill="FFFFFF"/>
            <w:tcMar>
              <w:left w:w="108" w:type="dxa"/>
              <w:right w:w="108" w:type="dxa"/>
            </w:tcMar>
          </w:tcPr>
          <w:p w14:paraId="3A5EEDB1" w14:textId="77777777" w:rsidR="00A76ADB" w:rsidRPr="00847046" w:rsidRDefault="00A76ADB" w:rsidP="007E3239">
            <w:pPr>
              <w:pStyle w:val="TableText"/>
              <w:jc w:val="center"/>
              <w:rPr>
                <w:rFonts w:eastAsia="Calibri"/>
              </w:rPr>
            </w:pPr>
            <w:r>
              <w:rPr>
                <w:rFonts w:eastAsia="Calibri"/>
              </w:rPr>
              <w:t>–</w:t>
            </w:r>
            <w:r w:rsidRPr="003C2C05">
              <w:rPr>
                <w:rFonts w:eastAsia="Calibri"/>
              </w:rPr>
              <w:t>83.5</w:t>
            </w:r>
          </w:p>
        </w:tc>
      </w:tr>
      <w:tr w:rsidR="00A76ADB" w14:paraId="5D909337" w14:textId="77777777" w:rsidTr="00CF7215">
        <w:trPr>
          <w:cantSplit/>
          <w:trHeight w:val="283"/>
        </w:trPr>
        <w:tc>
          <w:tcPr>
            <w:tcW w:w="1701" w:type="dxa"/>
            <w:tcBorders>
              <w:top w:val="single" w:sz="4" w:space="0" w:color="1B556B"/>
              <w:bottom w:val="single" w:sz="4" w:space="0" w:color="1B556B"/>
            </w:tcBorders>
            <w:shd w:val="clear" w:color="auto" w:fill="FFFFFF"/>
            <w:tcMar>
              <w:top w:w="0" w:type="dxa"/>
              <w:left w:w="108" w:type="dxa"/>
              <w:bottom w:w="0" w:type="dxa"/>
              <w:right w:w="108" w:type="dxa"/>
            </w:tcMar>
          </w:tcPr>
          <w:p w14:paraId="0BB9DBEB" w14:textId="77777777" w:rsidR="00A76ADB" w:rsidRPr="00847046" w:rsidRDefault="00A76ADB" w:rsidP="007E3239">
            <w:pPr>
              <w:pStyle w:val="TableText"/>
              <w:rPr>
                <w:rFonts w:eastAsia="Calibri"/>
              </w:rPr>
            </w:pPr>
            <w:r w:rsidRPr="003C2C05">
              <w:rPr>
                <w:rFonts w:eastAsia="Calibri"/>
              </w:rPr>
              <w:t>Open burning (5.C.2)</w:t>
            </w:r>
          </w:p>
        </w:tc>
        <w:tc>
          <w:tcPr>
            <w:tcW w:w="1276" w:type="dxa"/>
            <w:tcBorders>
              <w:top w:val="single" w:sz="4" w:space="0" w:color="1B556B"/>
              <w:bottom w:val="single" w:sz="4" w:space="0" w:color="1B556B"/>
            </w:tcBorders>
            <w:shd w:val="clear" w:color="auto" w:fill="FFFFFF"/>
            <w:tcMar>
              <w:top w:w="0" w:type="dxa"/>
              <w:left w:w="108" w:type="dxa"/>
              <w:bottom w:w="0" w:type="dxa"/>
              <w:right w:w="108" w:type="dxa"/>
            </w:tcMar>
          </w:tcPr>
          <w:p w14:paraId="743689CE" w14:textId="77777777" w:rsidR="00A76ADB" w:rsidRPr="00847046" w:rsidRDefault="00A76ADB" w:rsidP="007E3239">
            <w:pPr>
              <w:pStyle w:val="TableText"/>
              <w:jc w:val="center"/>
              <w:rPr>
                <w:rFonts w:eastAsia="Calibri"/>
              </w:rPr>
            </w:pPr>
            <w:r w:rsidRPr="003C2C05">
              <w:rPr>
                <w:rFonts w:eastAsia="Calibri"/>
              </w:rPr>
              <w:t>301.0</w:t>
            </w:r>
          </w:p>
        </w:tc>
        <w:tc>
          <w:tcPr>
            <w:tcW w:w="1276" w:type="dxa"/>
            <w:tcBorders>
              <w:top w:val="single" w:sz="4" w:space="0" w:color="1B556B"/>
              <w:bottom w:val="single" w:sz="4" w:space="0" w:color="1B556B"/>
            </w:tcBorders>
            <w:shd w:val="clear" w:color="auto" w:fill="FFFFFF"/>
            <w:tcMar>
              <w:top w:w="0" w:type="dxa"/>
              <w:left w:w="108" w:type="dxa"/>
              <w:bottom w:w="0" w:type="dxa"/>
              <w:right w:w="108" w:type="dxa"/>
            </w:tcMar>
          </w:tcPr>
          <w:p w14:paraId="6B518FF5" w14:textId="77777777" w:rsidR="00A76ADB" w:rsidRPr="00847046" w:rsidRDefault="00A76ADB" w:rsidP="007E3239">
            <w:pPr>
              <w:pStyle w:val="TableText"/>
              <w:jc w:val="center"/>
              <w:rPr>
                <w:rFonts w:eastAsia="Calibri"/>
              </w:rPr>
            </w:pPr>
            <w:r w:rsidRPr="003C2C05">
              <w:rPr>
                <w:rFonts w:eastAsia="Calibri"/>
              </w:rPr>
              <w:t>183.0</w:t>
            </w:r>
          </w:p>
        </w:tc>
        <w:tc>
          <w:tcPr>
            <w:tcW w:w="2126" w:type="dxa"/>
            <w:tcBorders>
              <w:top w:val="single" w:sz="4" w:space="0" w:color="1B556B"/>
              <w:bottom w:val="single" w:sz="4" w:space="0" w:color="1B556B"/>
            </w:tcBorders>
            <w:shd w:val="clear" w:color="auto" w:fill="FFFFFF"/>
            <w:tcMar>
              <w:left w:w="108" w:type="dxa"/>
              <w:right w:w="108" w:type="dxa"/>
            </w:tcMar>
          </w:tcPr>
          <w:p w14:paraId="330C880A" w14:textId="77777777" w:rsidR="00A76ADB" w:rsidRDefault="00A76ADB" w:rsidP="007E3239">
            <w:pPr>
              <w:pStyle w:val="TableText"/>
              <w:jc w:val="center"/>
              <w:rPr>
                <w:rFonts w:eastAsia="Calibri"/>
              </w:rPr>
            </w:pPr>
            <w:r>
              <w:rPr>
                <w:rFonts w:eastAsia="Calibri"/>
              </w:rPr>
              <w:t>–</w:t>
            </w:r>
            <w:r w:rsidRPr="003C2C05">
              <w:rPr>
                <w:rFonts w:eastAsia="Calibri"/>
              </w:rPr>
              <w:t>118.0</w:t>
            </w:r>
          </w:p>
        </w:tc>
        <w:tc>
          <w:tcPr>
            <w:tcW w:w="2126" w:type="dxa"/>
            <w:tcBorders>
              <w:top w:val="single" w:sz="4" w:space="0" w:color="1B556B"/>
              <w:left w:val="nil"/>
              <w:bottom w:val="single" w:sz="4" w:space="0" w:color="1B556B"/>
            </w:tcBorders>
            <w:shd w:val="clear" w:color="auto" w:fill="FFFFFF"/>
            <w:tcMar>
              <w:left w:w="108" w:type="dxa"/>
              <w:right w:w="108" w:type="dxa"/>
            </w:tcMar>
          </w:tcPr>
          <w:p w14:paraId="02CBBFFA" w14:textId="77777777" w:rsidR="00A76ADB" w:rsidRDefault="00A76ADB" w:rsidP="007E3239">
            <w:pPr>
              <w:pStyle w:val="TableText"/>
              <w:jc w:val="center"/>
              <w:rPr>
                <w:rFonts w:eastAsia="Calibri"/>
              </w:rPr>
            </w:pPr>
            <w:r>
              <w:rPr>
                <w:rFonts w:eastAsia="Calibri"/>
              </w:rPr>
              <w:t>–</w:t>
            </w:r>
            <w:r w:rsidRPr="003C2C05">
              <w:rPr>
                <w:rFonts w:eastAsia="Calibri"/>
              </w:rPr>
              <w:t>39.2</w:t>
            </w:r>
          </w:p>
        </w:tc>
      </w:tr>
      <w:tr w:rsidR="00A76ADB" w:rsidRPr="001412D7" w14:paraId="0510FAF0" w14:textId="77777777" w:rsidTr="00CF7215">
        <w:trPr>
          <w:cantSplit/>
          <w:trHeight w:val="283"/>
        </w:trPr>
        <w:tc>
          <w:tcPr>
            <w:tcW w:w="1701" w:type="dxa"/>
            <w:tcBorders>
              <w:top w:val="single" w:sz="4" w:space="0" w:color="1B556B"/>
              <w:bottom w:val="single" w:sz="4" w:space="0" w:color="1B556B"/>
            </w:tcBorders>
            <w:shd w:val="clear" w:color="auto" w:fill="FFFFFF"/>
            <w:tcMar>
              <w:top w:w="0" w:type="dxa"/>
              <w:left w:w="108" w:type="dxa"/>
              <w:bottom w:w="0" w:type="dxa"/>
              <w:right w:w="108" w:type="dxa"/>
            </w:tcMar>
          </w:tcPr>
          <w:p w14:paraId="0E6C8412" w14:textId="77777777" w:rsidR="00A76ADB" w:rsidRPr="001412D7" w:rsidRDefault="00A76ADB" w:rsidP="007E3239">
            <w:pPr>
              <w:pStyle w:val="Tableboldblue"/>
              <w:rPr>
                <w:rFonts w:eastAsia="Calibri"/>
              </w:rPr>
            </w:pPr>
            <w:r w:rsidRPr="001412D7">
              <w:rPr>
                <w:rFonts w:eastAsia="Calibri"/>
              </w:rPr>
              <w:t>Total (5.C)</w:t>
            </w:r>
          </w:p>
        </w:tc>
        <w:tc>
          <w:tcPr>
            <w:tcW w:w="1276" w:type="dxa"/>
            <w:tcBorders>
              <w:top w:val="single" w:sz="4" w:space="0" w:color="1B556B"/>
              <w:bottom w:val="single" w:sz="4" w:space="0" w:color="1B556B"/>
            </w:tcBorders>
            <w:shd w:val="clear" w:color="auto" w:fill="FFFFFF"/>
            <w:tcMar>
              <w:top w:w="0" w:type="dxa"/>
              <w:left w:w="108" w:type="dxa"/>
              <w:bottom w:w="0" w:type="dxa"/>
              <w:right w:w="108" w:type="dxa"/>
            </w:tcMar>
          </w:tcPr>
          <w:p w14:paraId="74135DE9" w14:textId="77777777" w:rsidR="00A76ADB" w:rsidRPr="001412D7" w:rsidRDefault="00A76ADB" w:rsidP="007E3239">
            <w:pPr>
              <w:pStyle w:val="Tableboldblue"/>
              <w:jc w:val="center"/>
              <w:rPr>
                <w:rFonts w:eastAsia="Calibri"/>
              </w:rPr>
            </w:pPr>
            <w:r w:rsidRPr="001412D7">
              <w:rPr>
                <w:rFonts w:eastAsia="Calibri"/>
              </w:rPr>
              <w:t>315.7</w:t>
            </w:r>
          </w:p>
        </w:tc>
        <w:tc>
          <w:tcPr>
            <w:tcW w:w="1276" w:type="dxa"/>
            <w:tcBorders>
              <w:top w:val="single" w:sz="4" w:space="0" w:color="1B556B"/>
              <w:bottom w:val="single" w:sz="4" w:space="0" w:color="1B556B"/>
            </w:tcBorders>
            <w:shd w:val="clear" w:color="auto" w:fill="FFFFFF"/>
            <w:tcMar>
              <w:top w:w="0" w:type="dxa"/>
              <w:left w:w="108" w:type="dxa"/>
              <w:bottom w:w="0" w:type="dxa"/>
              <w:right w:w="108" w:type="dxa"/>
            </w:tcMar>
          </w:tcPr>
          <w:p w14:paraId="26069667" w14:textId="77777777" w:rsidR="00A76ADB" w:rsidRPr="001412D7" w:rsidRDefault="00A76ADB" w:rsidP="007E3239">
            <w:pPr>
              <w:pStyle w:val="Tableboldblue"/>
              <w:jc w:val="center"/>
              <w:rPr>
                <w:rFonts w:eastAsia="Calibri"/>
              </w:rPr>
            </w:pPr>
            <w:r w:rsidRPr="001412D7">
              <w:rPr>
                <w:rFonts w:eastAsia="Calibri"/>
              </w:rPr>
              <w:t>185.4</w:t>
            </w:r>
          </w:p>
        </w:tc>
        <w:tc>
          <w:tcPr>
            <w:tcW w:w="2126" w:type="dxa"/>
            <w:tcBorders>
              <w:top w:val="single" w:sz="4" w:space="0" w:color="1B556B"/>
              <w:bottom w:val="single" w:sz="4" w:space="0" w:color="1B556B"/>
            </w:tcBorders>
            <w:shd w:val="clear" w:color="auto" w:fill="FFFFFF"/>
            <w:tcMar>
              <w:left w:w="108" w:type="dxa"/>
              <w:right w:w="108" w:type="dxa"/>
            </w:tcMar>
          </w:tcPr>
          <w:p w14:paraId="65C4B07A" w14:textId="77777777" w:rsidR="00A76ADB" w:rsidRPr="001412D7" w:rsidRDefault="00A76ADB" w:rsidP="007E3239">
            <w:pPr>
              <w:pStyle w:val="Tableboldblue"/>
              <w:jc w:val="center"/>
              <w:rPr>
                <w:rFonts w:eastAsia="Calibri"/>
              </w:rPr>
            </w:pPr>
            <w:r w:rsidRPr="001412D7">
              <w:rPr>
                <w:rFonts w:eastAsia="Calibri"/>
              </w:rPr>
              <w:t>–130.3</w:t>
            </w:r>
          </w:p>
        </w:tc>
        <w:tc>
          <w:tcPr>
            <w:tcW w:w="2126" w:type="dxa"/>
            <w:tcBorders>
              <w:top w:val="single" w:sz="4" w:space="0" w:color="1B556B"/>
              <w:left w:val="nil"/>
              <w:bottom w:val="single" w:sz="4" w:space="0" w:color="1B556B"/>
            </w:tcBorders>
            <w:shd w:val="clear" w:color="auto" w:fill="FFFFFF"/>
            <w:tcMar>
              <w:left w:w="108" w:type="dxa"/>
              <w:right w:w="108" w:type="dxa"/>
            </w:tcMar>
          </w:tcPr>
          <w:p w14:paraId="45B327F7" w14:textId="77777777" w:rsidR="00A76ADB" w:rsidRPr="001412D7" w:rsidRDefault="00A76ADB" w:rsidP="007E3239">
            <w:pPr>
              <w:pStyle w:val="Tableboldblue"/>
              <w:jc w:val="center"/>
              <w:rPr>
                <w:rFonts w:eastAsia="Calibri"/>
              </w:rPr>
            </w:pPr>
            <w:r w:rsidRPr="001412D7">
              <w:rPr>
                <w:rFonts w:eastAsia="Calibri"/>
              </w:rPr>
              <w:t>–41.3</w:t>
            </w:r>
          </w:p>
        </w:tc>
      </w:tr>
    </w:tbl>
    <w:p w14:paraId="7777723F" w14:textId="77777777" w:rsidR="00A76ADB" w:rsidRDefault="00A76ADB" w:rsidP="00A76ADB">
      <w:pPr>
        <w:pStyle w:val="Noteundertable"/>
      </w:pPr>
      <w:r>
        <w:rPr>
          <w:b/>
          <w:bCs/>
        </w:rPr>
        <w:t>Note:</w:t>
      </w:r>
      <w:r w:rsidRPr="004C0776">
        <w:t xml:space="preserve"> </w:t>
      </w:r>
      <w:r>
        <w:tab/>
        <w:t>Percentages presented are calculated from unrounded values.</w:t>
      </w:r>
    </w:p>
    <w:p w14:paraId="3C66C968" w14:textId="77777777" w:rsidR="00A76ADB" w:rsidRDefault="00A76ADB" w:rsidP="00A76ADB">
      <w:pPr>
        <w:pStyle w:val="BodyText"/>
      </w:pPr>
      <w:r>
        <w:t xml:space="preserve">Carbon dioxide emissions from the </w:t>
      </w:r>
      <w:r>
        <w:rPr>
          <w:i/>
          <w:iCs/>
        </w:rPr>
        <w:t>Incineration and open burning of waste</w:t>
      </w:r>
      <w:r>
        <w:t xml:space="preserve"> source category was identified as a key category in the </w:t>
      </w:r>
      <w:r w:rsidRPr="00246F01">
        <w:t>2020</w:t>
      </w:r>
      <w:r>
        <w:t xml:space="preserve"> trend assessment.</w:t>
      </w:r>
    </w:p>
    <w:bookmarkEnd w:id="2400"/>
    <w:p w14:paraId="4E49719F" w14:textId="77777777" w:rsidR="00A76ADB" w:rsidRDefault="00A76ADB" w:rsidP="00A76ADB">
      <w:pPr>
        <w:pStyle w:val="Heading3"/>
      </w:pPr>
      <w:r>
        <w:t xml:space="preserve">7.4.2 </w:t>
      </w:r>
      <w:r>
        <w:tab/>
        <w:t>Methodological issues</w:t>
      </w:r>
    </w:p>
    <w:p w14:paraId="7298CE9B" w14:textId="77777777" w:rsidR="00A76ADB" w:rsidRDefault="00A76ADB" w:rsidP="00A76ADB">
      <w:pPr>
        <w:pStyle w:val="Heading4"/>
      </w:pPr>
      <w:bookmarkStart w:id="2402" w:name="choice-of-activity-data-2"/>
      <w:r>
        <w:t>Choice of activity data</w:t>
      </w:r>
    </w:p>
    <w:p w14:paraId="6B3AF516" w14:textId="77777777" w:rsidR="00A76ADB" w:rsidRDefault="00A76ADB" w:rsidP="00A76ADB">
      <w:pPr>
        <w:pStyle w:val="Heading5"/>
      </w:pPr>
      <w:bookmarkStart w:id="2403" w:name="incineration-5.c.1"/>
      <w:r>
        <w:t>Incineration (5.C.1)</w:t>
      </w:r>
    </w:p>
    <w:p w14:paraId="4FD932AB" w14:textId="77777777" w:rsidR="00A76ADB" w:rsidRDefault="00A76ADB" w:rsidP="00A76ADB">
      <w:pPr>
        <w:pStyle w:val="BodyText"/>
      </w:pPr>
      <w:r>
        <w:t xml:space="preserve">Limited information was available from individual site operators on the amount of waste burned between </w:t>
      </w:r>
      <w:r w:rsidRPr="00246F01">
        <w:t>1990</w:t>
      </w:r>
      <w:r>
        <w:t xml:space="preserve"> and 2007. For most sites, these activity data needed to be inferred because the only evidence available was the capacity of equipment and the amounts allowed by consent conditions. For the years after 2007, it has generally been assumed that facilities are continuing in operation at the same rates, in the absence of better information.</w:t>
      </w:r>
    </w:p>
    <w:p w14:paraId="5A79B6B1" w14:textId="77777777" w:rsidR="00A76ADB" w:rsidRDefault="00A76ADB" w:rsidP="00A76ADB">
      <w:pPr>
        <w:pStyle w:val="BodyText"/>
      </w:pPr>
      <w:r>
        <w:t>Table 7.4.2 presents activity data for incineration.</w:t>
      </w:r>
    </w:p>
    <w:p w14:paraId="0A6285B6" w14:textId="77777777" w:rsidR="00A76ADB" w:rsidRDefault="00A76ADB" w:rsidP="00A76ADB">
      <w:pPr>
        <w:pStyle w:val="Table"/>
      </w:pPr>
      <w:bookmarkStart w:id="2404" w:name="_Toc99659335"/>
      <w:r>
        <w:lastRenderedPageBreak/>
        <w:t>Table 7.4.2</w:t>
      </w:r>
      <w:r>
        <w:tab/>
        <w:t xml:space="preserve">Amounts of waste incinerated from </w:t>
      </w:r>
      <w:r>
        <w:rPr>
          <w:bCs/>
        </w:rPr>
        <w:t>1990</w:t>
      </w:r>
      <w:r>
        <w:t> to </w:t>
      </w:r>
      <w:r>
        <w:rPr>
          <w:bCs/>
        </w:rPr>
        <w:t>2020</w:t>
      </w:r>
      <w:bookmarkEnd w:id="2404"/>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639"/>
        <w:gridCol w:w="1721"/>
        <w:gridCol w:w="1991"/>
        <w:gridCol w:w="1730"/>
        <w:gridCol w:w="2424"/>
      </w:tblGrid>
      <w:tr w:rsidR="00A76ADB" w:rsidRPr="006C0D1B" w14:paraId="1D0C5784" w14:textId="77777777" w:rsidTr="00CF7215">
        <w:trPr>
          <w:cantSplit/>
          <w:tblHeader/>
        </w:trPr>
        <w:tc>
          <w:tcPr>
            <w:tcW w:w="0" w:type="auto"/>
            <w:shd w:val="clear" w:color="auto" w:fill="1B556B"/>
            <w:tcMar>
              <w:top w:w="0" w:type="dxa"/>
              <w:left w:w="108" w:type="dxa"/>
              <w:bottom w:w="0" w:type="dxa"/>
              <w:right w:w="108" w:type="dxa"/>
            </w:tcMar>
            <w:vAlign w:val="center"/>
          </w:tcPr>
          <w:p w14:paraId="00B04FB1" w14:textId="77777777" w:rsidR="00A76ADB" w:rsidRPr="006C0D1B" w:rsidRDefault="00A76ADB" w:rsidP="007E3239">
            <w:pPr>
              <w:pStyle w:val="TableTextBold"/>
              <w:spacing w:before="50" w:after="50"/>
              <w:rPr>
                <w:rFonts w:cs="Calibri"/>
                <w:color w:val="FFFFFF"/>
                <w:szCs w:val="16"/>
              </w:rPr>
            </w:pPr>
            <w:r w:rsidRPr="006C0D1B">
              <w:rPr>
                <w:rFonts w:eastAsia="Calibri" w:cs="Calibri"/>
                <w:color w:val="FFFFFF"/>
                <w:szCs w:val="16"/>
              </w:rPr>
              <w:t>Year</w:t>
            </w:r>
          </w:p>
        </w:tc>
        <w:tc>
          <w:tcPr>
            <w:tcW w:w="0" w:type="auto"/>
            <w:shd w:val="clear" w:color="auto" w:fill="1B556B"/>
            <w:tcMar>
              <w:top w:w="0" w:type="dxa"/>
              <w:left w:w="108" w:type="dxa"/>
              <w:bottom w:w="0" w:type="dxa"/>
              <w:right w:w="108" w:type="dxa"/>
            </w:tcMar>
            <w:vAlign w:val="center"/>
          </w:tcPr>
          <w:p w14:paraId="06EDF21A" w14:textId="77777777" w:rsidR="00A76ADB" w:rsidRPr="006C0D1B" w:rsidRDefault="00A76ADB" w:rsidP="007E3239">
            <w:pPr>
              <w:pStyle w:val="TableTextBold"/>
              <w:spacing w:before="50" w:after="50"/>
              <w:jc w:val="center"/>
              <w:rPr>
                <w:rFonts w:cs="Calibri"/>
                <w:color w:val="FFFFFF"/>
                <w:szCs w:val="16"/>
              </w:rPr>
            </w:pPr>
            <w:r w:rsidRPr="006C0D1B">
              <w:rPr>
                <w:rFonts w:eastAsia="Calibri" w:cs="Calibri"/>
                <w:color w:val="FFFFFF"/>
                <w:szCs w:val="16"/>
              </w:rPr>
              <w:t>Clinical wastes (kt)</w:t>
            </w:r>
          </w:p>
        </w:tc>
        <w:tc>
          <w:tcPr>
            <w:tcW w:w="0" w:type="auto"/>
            <w:shd w:val="clear" w:color="auto" w:fill="1B556B"/>
            <w:tcMar>
              <w:top w:w="0" w:type="dxa"/>
              <w:left w:w="108" w:type="dxa"/>
              <w:bottom w:w="0" w:type="dxa"/>
              <w:right w:w="108" w:type="dxa"/>
            </w:tcMar>
            <w:vAlign w:val="center"/>
          </w:tcPr>
          <w:p w14:paraId="716D76C8" w14:textId="77777777" w:rsidR="00A76ADB" w:rsidRPr="006C0D1B" w:rsidRDefault="00A76ADB" w:rsidP="007E3239">
            <w:pPr>
              <w:pStyle w:val="TableTextBold"/>
              <w:spacing w:before="50" w:after="50"/>
              <w:jc w:val="center"/>
              <w:rPr>
                <w:rFonts w:cs="Calibri"/>
                <w:color w:val="FFFFFF"/>
                <w:szCs w:val="16"/>
              </w:rPr>
            </w:pPr>
            <w:r w:rsidRPr="006C0D1B">
              <w:rPr>
                <w:rFonts w:eastAsia="Calibri" w:cs="Calibri"/>
                <w:color w:val="FFFFFF"/>
                <w:szCs w:val="16"/>
              </w:rPr>
              <w:t>Hazardous wastes (kt)</w:t>
            </w:r>
          </w:p>
        </w:tc>
        <w:tc>
          <w:tcPr>
            <w:tcW w:w="0" w:type="auto"/>
            <w:shd w:val="clear" w:color="auto" w:fill="1B556B"/>
            <w:tcMar>
              <w:top w:w="0" w:type="dxa"/>
              <w:left w:w="108" w:type="dxa"/>
              <w:bottom w:w="0" w:type="dxa"/>
              <w:right w:w="108" w:type="dxa"/>
            </w:tcMar>
            <w:vAlign w:val="center"/>
          </w:tcPr>
          <w:p w14:paraId="0F72C9DD" w14:textId="77777777" w:rsidR="00A76ADB" w:rsidRPr="006C0D1B" w:rsidRDefault="00A76ADB" w:rsidP="007E3239">
            <w:pPr>
              <w:pStyle w:val="TableTextBold"/>
              <w:spacing w:before="50" w:after="50"/>
              <w:jc w:val="center"/>
              <w:rPr>
                <w:rFonts w:cs="Calibri"/>
                <w:color w:val="FFFFFF"/>
                <w:szCs w:val="16"/>
              </w:rPr>
            </w:pPr>
            <w:r w:rsidRPr="006C0D1B">
              <w:rPr>
                <w:rFonts w:eastAsia="Calibri" w:cs="Calibri"/>
                <w:color w:val="FFFFFF"/>
                <w:szCs w:val="16"/>
              </w:rPr>
              <w:t>Sewage sludge (kt)</w:t>
            </w:r>
          </w:p>
        </w:tc>
        <w:tc>
          <w:tcPr>
            <w:tcW w:w="0" w:type="auto"/>
            <w:shd w:val="clear" w:color="auto" w:fill="1B556B"/>
            <w:tcMar>
              <w:top w:w="0" w:type="dxa"/>
              <w:left w:w="108" w:type="dxa"/>
              <w:bottom w:w="0" w:type="dxa"/>
              <w:right w:w="108" w:type="dxa"/>
            </w:tcMar>
            <w:vAlign w:val="center"/>
          </w:tcPr>
          <w:p w14:paraId="41B6CE12" w14:textId="77777777" w:rsidR="00A76ADB" w:rsidRPr="006C0D1B" w:rsidRDefault="00A76ADB" w:rsidP="007E3239">
            <w:pPr>
              <w:pStyle w:val="TableTextBold"/>
              <w:spacing w:before="50" w:after="50"/>
              <w:jc w:val="center"/>
              <w:rPr>
                <w:rFonts w:cs="Calibri"/>
                <w:color w:val="FFFFFF"/>
                <w:szCs w:val="16"/>
              </w:rPr>
            </w:pPr>
            <w:r w:rsidRPr="006C0D1B">
              <w:rPr>
                <w:rFonts w:eastAsia="Calibri" w:cs="Calibri"/>
                <w:color w:val="FFFFFF"/>
                <w:szCs w:val="16"/>
              </w:rPr>
              <w:t>Total waste incinerated (kt)</w:t>
            </w:r>
          </w:p>
        </w:tc>
      </w:tr>
      <w:tr w:rsidR="00A76ADB" w:rsidRPr="006C35C3" w14:paraId="439B9D52" w14:textId="77777777" w:rsidTr="00CF7215">
        <w:trPr>
          <w:cantSplit/>
          <w:trHeight w:val="283"/>
        </w:trPr>
        <w:tc>
          <w:tcPr>
            <w:tcW w:w="0" w:type="auto"/>
            <w:shd w:val="clear" w:color="auto" w:fill="FFFFFF"/>
            <w:tcMar>
              <w:top w:w="0" w:type="dxa"/>
              <w:left w:w="108" w:type="dxa"/>
              <w:bottom w:w="0" w:type="dxa"/>
              <w:right w:w="108" w:type="dxa"/>
            </w:tcMar>
            <w:vAlign w:val="center"/>
          </w:tcPr>
          <w:p w14:paraId="7D8627A9" w14:textId="77777777" w:rsidR="00A76ADB" w:rsidRPr="006C35C3" w:rsidRDefault="00A76ADB" w:rsidP="007E3239">
            <w:pPr>
              <w:pStyle w:val="TableText"/>
              <w:spacing w:before="50" w:after="50"/>
              <w:rPr>
                <w:rFonts w:cs="Calibri"/>
                <w:szCs w:val="16"/>
              </w:rPr>
            </w:pPr>
            <w:r w:rsidRPr="006C35C3">
              <w:rPr>
                <w:rFonts w:eastAsia="Calibri" w:cs="Calibri"/>
                <w:szCs w:val="16"/>
              </w:rPr>
              <w:t>1990</w:t>
            </w:r>
          </w:p>
        </w:tc>
        <w:tc>
          <w:tcPr>
            <w:tcW w:w="0" w:type="auto"/>
            <w:shd w:val="clear" w:color="auto" w:fill="FFFFFF"/>
            <w:tcMar>
              <w:top w:w="0" w:type="dxa"/>
              <w:left w:w="108" w:type="dxa"/>
              <w:bottom w:w="0" w:type="dxa"/>
              <w:right w:w="108" w:type="dxa"/>
            </w:tcMar>
            <w:vAlign w:val="center"/>
          </w:tcPr>
          <w:p w14:paraId="1EAC6DE4"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21.52</w:t>
            </w:r>
          </w:p>
        </w:tc>
        <w:tc>
          <w:tcPr>
            <w:tcW w:w="0" w:type="auto"/>
            <w:shd w:val="clear" w:color="auto" w:fill="FFFFFF"/>
            <w:tcMar>
              <w:top w:w="0" w:type="dxa"/>
              <w:left w:w="108" w:type="dxa"/>
              <w:bottom w:w="0" w:type="dxa"/>
              <w:right w:w="108" w:type="dxa"/>
            </w:tcMar>
            <w:vAlign w:val="center"/>
          </w:tcPr>
          <w:p w14:paraId="5800821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268BAA63"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57145F5F"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26.19</w:t>
            </w:r>
          </w:p>
        </w:tc>
      </w:tr>
      <w:tr w:rsidR="00A76ADB" w:rsidRPr="006C35C3" w14:paraId="11ABEA39" w14:textId="77777777" w:rsidTr="00CF7215">
        <w:trPr>
          <w:cantSplit/>
          <w:trHeight w:val="283"/>
        </w:trPr>
        <w:tc>
          <w:tcPr>
            <w:tcW w:w="0" w:type="auto"/>
            <w:shd w:val="clear" w:color="auto" w:fill="FFFFFF"/>
            <w:tcMar>
              <w:top w:w="0" w:type="dxa"/>
              <w:left w:w="108" w:type="dxa"/>
              <w:bottom w:w="0" w:type="dxa"/>
              <w:right w:w="108" w:type="dxa"/>
            </w:tcMar>
            <w:vAlign w:val="center"/>
          </w:tcPr>
          <w:p w14:paraId="43EF3C83" w14:textId="77777777" w:rsidR="00A76ADB" w:rsidRPr="006C35C3" w:rsidRDefault="00A76ADB" w:rsidP="007E3239">
            <w:pPr>
              <w:pStyle w:val="TableText"/>
              <w:spacing w:before="50" w:after="50"/>
              <w:rPr>
                <w:rFonts w:cs="Calibri"/>
                <w:szCs w:val="16"/>
              </w:rPr>
            </w:pPr>
            <w:r w:rsidRPr="006C35C3">
              <w:rPr>
                <w:rFonts w:eastAsia="Calibri" w:cs="Calibri"/>
                <w:szCs w:val="16"/>
              </w:rPr>
              <w:t>1991</w:t>
            </w:r>
          </w:p>
        </w:tc>
        <w:tc>
          <w:tcPr>
            <w:tcW w:w="0" w:type="auto"/>
            <w:shd w:val="clear" w:color="auto" w:fill="FFFFFF"/>
            <w:tcMar>
              <w:top w:w="0" w:type="dxa"/>
              <w:left w:w="108" w:type="dxa"/>
              <w:bottom w:w="0" w:type="dxa"/>
              <w:right w:w="108" w:type="dxa"/>
            </w:tcMar>
            <w:vAlign w:val="center"/>
          </w:tcPr>
          <w:p w14:paraId="4BF152B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21.52</w:t>
            </w:r>
          </w:p>
        </w:tc>
        <w:tc>
          <w:tcPr>
            <w:tcW w:w="0" w:type="auto"/>
            <w:shd w:val="clear" w:color="auto" w:fill="FFFFFF"/>
            <w:tcMar>
              <w:top w:w="0" w:type="dxa"/>
              <w:left w:w="108" w:type="dxa"/>
              <w:bottom w:w="0" w:type="dxa"/>
              <w:right w:w="108" w:type="dxa"/>
            </w:tcMar>
            <w:vAlign w:val="center"/>
          </w:tcPr>
          <w:p w14:paraId="0400251C"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149C4DBC"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4B5EDF5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26.19</w:t>
            </w:r>
          </w:p>
        </w:tc>
      </w:tr>
      <w:tr w:rsidR="00A76ADB" w:rsidRPr="006C35C3" w14:paraId="2246EAC6" w14:textId="77777777" w:rsidTr="00CF7215">
        <w:trPr>
          <w:cantSplit/>
          <w:trHeight w:val="283"/>
        </w:trPr>
        <w:tc>
          <w:tcPr>
            <w:tcW w:w="0" w:type="auto"/>
            <w:shd w:val="clear" w:color="auto" w:fill="FFFFFF"/>
            <w:tcMar>
              <w:top w:w="0" w:type="dxa"/>
              <w:left w:w="108" w:type="dxa"/>
              <w:bottom w:w="0" w:type="dxa"/>
              <w:right w:w="108" w:type="dxa"/>
            </w:tcMar>
            <w:vAlign w:val="center"/>
          </w:tcPr>
          <w:p w14:paraId="0B4554B7" w14:textId="77777777" w:rsidR="00A76ADB" w:rsidRPr="006C35C3" w:rsidRDefault="00A76ADB" w:rsidP="007E3239">
            <w:pPr>
              <w:pStyle w:val="TableText"/>
              <w:spacing w:before="50" w:after="50"/>
              <w:rPr>
                <w:rFonts w:cs="Calibri"/>
                <w:szCs w:val="16"/>
              </w:rPr>
            </w:pPr>
            <w:r w:rsidRPr="006C35C3">
              <w:rPr>
                <w:rFonts w:eastAsia="Calibri" w:cs="Calibri"/>
                <w:szCs w:val="16"/>
              </w:rPr>
              <w:t>1992</w:t>
            </w:r>
          </w:p>
        </w:tc>
        <w:tc>
          <w:tcPr>
            <w:tcW w:w="0" w:type="auto"/>
            <w:shd w:val="clear" w:color="auto" w:fill="FFFFFF"/>
            <w:tcMar>
              <w:top w:w="0" w:type="dxa"/>
              <w:left w:w="108" w:type="dxa"/>
              <w:bottom w:w="0" w:type="dxa"/>
              <w:right w:w="108" w:type="dxa"/>
            </w:tcMar>
            <w:vAlign w:val="center"/>
          </w:tcPr>
          <w:p w14:paraId="7DCFB94F"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21.50</w:t>
            </w:r>
          </w:p>
        </w:tc>
        <w:tc>
          <w:tcPr>
            <w:tcW w:w="0" w:type="auto"/>
            <w:shd w:val="clear" w:color="auto" w:fill="FFFFFF"/>
            <w:tcMar>
              <w:top w:w="0" w:type="dxa"/>
              <w:left w:w="108" w:type="dxa"/>
              <w:bottom w:w="0" w:type="dxa"/>
              <w:right w:w="108" w:type="dxa"/>
            </w:tcMar>
            <w:vAlign w:val="center"/>
          </w:tcPr>
          <w:p w14:paraId="2504FAD2"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4B170C27"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4E3A010B"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26.16</w:t>
            </w:r>
          </w:p>
        </w:tc>
      </w:tr>
      <w:tr w:rsidR="00A76ADB" w:rsidRPr="006C35C3" w14:paraId="486E15DF" w14:textId="77777777" w:rsidTr="00CF7215">
        <w:trPr>
          <w:cantSplit/>
          <w:trHeight w:val="283"/>
        </w:trPr>
        <w:tc>
          <w:tcPr>
            <w:tcW w:w="0" w:type="auto"/>
            <w:shd w:val="clear" w:color="auto" w:fill="FFFFFF"/>
            <w:tcMar>
              <w:top w:w="0" w:type="dxa"/>
              <w:left w:w="108" w:type="dxa"/>
              <w:bottom w:w="0" w:type="dxa"/>
              <w:right w:w="108" w:type="dxa"/>
            </w:tcMar>
            <w:vAlign w:val="center"/>
          </w:tcPr>
          <w:p w14:paraId="15A9775D" w14:textId="77777777" w:rsidR="00A76ADB" w:rsidRPr="006C35C3" w:rsidRDefault="00A76ADB" w:rsidP="007E3239">
            <w:pPr>
              <w:pStyle w:val="TableText"/>
              <w:spacing w:before="50" w:after="50"/>
              <w:rPr>
                <w:rFonts w:cs="Calibri"/>
                <w:szCs w:val="16"/>
              </w:rPr>
            </w:pPr>
            <w:r w:rsidRPr="006C35C3">
              <w:rPr>
                <w:rFonts w:eastAsia="Calibri" w:cs="Calibri"/>
                <w:szCs w:val="16"/>
              </w:rPr>
              <w:t>1993</w:t>
            </w:r>
          </w:p>
        </w:tc>
        <w:tc>
          <w:tcPr>
            <w:tcW w:w="0" w:type="auto"/>
            <w:shd w:val="clear" w:color="auto" w:fill="FFFFFF"/>
            <w:tcMar>
              <w:top w:w="0" w:type="dxa"/>
              <w:left w:w="108" w:type="dxa"/>
              <w:bottom w:w="0" w:type="dxa"/>
              <w:right w:w="108" w:type="dxa"/>
            </w:tcMar>
            <w:vAlign w:val="center"/>
          </w:tcPr>
          <w:p w14:paraId="2154DE90"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21.30</w:t>
            </w:r>
          </w:p>
        </w:tc>
        <w:tc>
          <w:tcPr>
            <w:tcW w:w="0" w:type="auto"/>
            <w:shd w:val="clear" w:color="auto" w:fill="FFFFFF"/>
            <w:tcMar>
              <w:top w:w="0" w:type="dxa"/>
              <w:left w:w="108" w:type="dxa"/>
              <w:bottom w:w="0" w:type="dxa"/>
              <w:right w:w="108" w:type="dxa"/>
            </w:tcMar>
            <w:vAlign w:val="center"/>
          </w:tcPr>
          <w:p w14:paraId="4FEB017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05A52E0C"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2CE42BB9"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25.96</w:t>
            </w:r>
          </w:p>
        </w:tc>
      </w:tr>
      <w:tr w:rsidR="00A76ADB" w:rsidRPr="006C35C3" w14:paraId="11017158" w14:textId="77777777" w:rsidTr="00CF7215">
        <w:trPr>
          <w:cantSplit/>
          <w:trHeight w:val="283"/>
        </w:trPr>
        <w:tc>
          <w:tcPr>
            <w:tcW w:w="0" w:type="auto"/>
            <w:shd w:val="clear" w:color="auto" w:fill="FFFFFF"/>
            <w:tcMar>
              <w:top w:w="0" w:type="dxa"/>
              <w:left w:w="108" w:type="dxa"/>
              <w:bottom w:w="0" w:type="dxa"/>
              <w:right w:w="108" w:type="dxa"/>
            </w:tcMar>
            <w:vAlign w:val="center"/>
          </w:tcPr>
          <w:p w14:paraId="4249F8A8" w14:textId="77777777" w:rsidR="00A76ADB" w:rsidRPr="006C35C3" w:rsidRDefault="00A76ADB" w:rsidP="007E3239">
            <w:pPr>
              <w:pStyle w:val="TableText"/>
              <w:spacing w:before="50" w:after="50"/>
              <w:rPr>
                <w:rFonts w:cs="Calibri"/>
                <w:szCs w:val="16"/>
              </w:rPr>
            </w:pPr>
            <w:r w:rsidRPr="006C35C3">
              <w:rPr>
                <w:rFonts w:eastAsia="Calibri" w:cs="Calibri"/>
                <w:szCs w:val="16"/>
              </w:rPr>
              <w:t>1994</w:t>
            </w:r>
          </w:p>
        </w:tc>
        <w:tc>
          <w:tcPr>
            <w:tcW w:w="0" w:type="auto"/>
            <w:shd w:val="clear" w:color="auto" w:fill="FFFFFF"/>
            <w:tcMar>
              <w:top w:w="0" w:type="dxa"/>
              <w:left w:w="108" w:type="dxa"/>
              <w:bottom w:w="0" w:type="dxa"/>
              <w:right w:w="108" w:type="dxa"/>
            </w:tcMar>
            <w:vAlign w:val="center"/>
          </w:tcPr>
          <w:p w14:paraId="2AD52D6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21.30</w:t>
            </w:r>
          </w:p>
        </w:tc>
        <w:tc>
          <w:tcPr>
            <w:tcW w:w="0" w:type="auto"/>
            <w:shd w:val="clear" w:color="auto" w:fill="FFFFFF"/>
            <w:tcMar>
              <w:top w:w="0" w:type="dxa"/>
              <w:left w:w="108" w:type="dxa"/>
              <w:bottom w:w="0" w:type="dxa"/>
              <w:right w:w="108" w:type="dxa"/>
            </w:tcMar>
            <w:vAlign w:val="center"/>
          </w:tcPr>
          <w:p w14:paraId="4F3BC99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43B1ABC1"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1216D54C"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25.96</w:t>
            </w:r>
          </w:p>
        </w:tc>
      </w:tr>
      <w:tr w:rsidR="00A76ADB" w:rsidRPr="006C35C3" w14:paraId="2FF864B2" w14:textId="77777777" w:rsidTr="00CF7215">
        <w:trPr>
          <w:cantSplit/>
          <w:trHeight w:val="283"/>
        </w:trPr>
        <w:tc>
          <w:tcPr>
            <w:tcW w:w="0" w:type="auto"/>
            <w:shd w:val="clear" w:color="auto" w:fill="FFFFFF"/>
            <w:tcMar>
              <w:top w:w="0" w:type="dxa"/>
              <w:left w:w="108" w:type="dxa"/>
              <w:bottom w:w="0" w:type="dxa"/>
              <w:right w:w="108" w:type="dxa"/>
            </w:tcMar>
            <w:vAlign w:val="center"/>
          </w:tcPr>
          <w:p w14:paraId="7F66014D" w14:textId="77777777" w:rsidR="00A76ADB" w:rsidRPr="006C35C3" w:rsidRDefault="00A76ADB" w:rsidP="007E3239">
            <w:pPr>
              <w:pStyle w:val="TableText"/>
              <w:spacing w:before="50" w:after="50"/>
              <w:rPr>
                <w:rFonts w:cs="Calibri"/>
                <w:szCs w:val="16"/>
              </w:rPr>
            </w:pPr>
            <w:r w:rsidRPr="006C35C3">
              <w:rPr>
                <w:rFonts w:eastAsia="Calibri" w:cs="Calibri"/>
                <w:szCs w:val="16"/>
              </w:rPr>
              <w:t>1995</w:t>
            </w:r>
          </w:p>
        </w:tc>
        <w:tc>
          <w:tcPr>
            <w:tcW w:w="0" w:type="auto"/>
            <w:shd w:val="clear" w:color="auto" w:fill="FFFFFF"/>
            <w:tcMar>
              <w:top w:w="0" w:type="dxa"/>
              <w:left w:w="108" w:type="dxa"/>
              <w:bottom w:w="0" w:type="dxa"/>
              <w:right w:w="108" w:type="dxa"/>
            </w:tcMar>
            <w:vAlign w:val="center"/>
          </w:tcPr>
          <w:p w14:paraId="074CD9F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21.00</w:t>
            </w:r>
          </w:p>
        </w:tc>
        <w:tc>
          <w:tcPr>
            <w:tcW w:w="0" w:type="auto"/>
            <w:shd w:val="clear" w:color="auto" w:fill="FFFFFF"/>
            <w:tcMar>
              <w:top w:w="0" w:type="dxa"/>
              <w:left w:w="108" w:type="dxa"/>
              <w:bottom w:w="0" w:type="dxa"/>
              <w:right w:w="108" w:type="dxa"/>
            </w:tcMar>
            <w:vAlign w:val="center"/>
          </w:tcPr>
          <w:p w14:paraId="2A5391DC"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630F5B51"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5F2F2DA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25.66</w:t>
            </w:r>
          </w:p>
        </w:tc>
      </w:tr>
      <w:tr w:rsidR="00A76ADB" w:rsidRPr="006C35C3" w14:paraId="672AD894" w14:textId="77777777" w:rsidTr="00CF7215">
        <w:trPr>
          <w:cantSplit/>
          <w:trHeight w:val="283"/>
        </w:trPr>
        <w:tc>
          <w:tcPr>
            <w:tcW w:w="0" w:type="auto"/>
            <w:shd w:val="clear" w:color="auto" w:fill="FFFFFF"/>
            <w:tcMar>
              <w:top w:w="0" w:type="dxa"/>
              <w:left w:w="108" w:type="dxa"/>
              <w:bottom w:w="0" w:type="dxa"/>
              <w:right w:w="108" w:type="dxa"/>
            </w:tcMar>
            <w:vAlign w:val="center"/>
          </w:tcPr>
          <w:p w14:paraId="673BDD80" w14:textId="77777777" w:rsidR="00A76ADB" w:rsidRPr="006C35C3" w:rsidRDefault="00A76ADB" w:rsidP="007E3239">
            <w:pPr>
              <w:pStyle w:val="TableText"/>
              <w:spacing w:before="50" w:after="50"/>
              <w:rPr>
                <w:rFonts w:cs="Calibri"/>
                <w:szCs w:val="16"/>
              </w:rPr>
            </w:pPr>
            <w:r w:rsidRPr="006C35C3">
              <w:rPr>
                <w:rFonts w:eastAsia="Calibri" w:cs="Calibri"/>
                <w:szCs w:val="16"/>
              </w:rPr>
              <w:t>1996</w:t>
            </w:r>
          </w:p>
        </w:tc>
        <w:tc>
          <w:tcPr>
            <w:tcW w:w="0" w:type="auto"/>
            <w:shd w:val="clear" w:color="auto" w:fill="FFFFFF"/>
            <w:tcMar>
              <w:top w:w="0" w:type="dxa"/>
              <w:left w:w="108" w:type="dxa"/>
              <w:bottom w:w="0" w:type="dxa"/>
              <w:right w:w="108" w:type="dxa"/>
            </w:tcMar>
            <w:vAlign w:val="center"/>
          </w:tcPr>
          <w:p w14:paraId="7EAD535C"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20.35</w:t>
            </w:r>
          </w:p>
        </w:tc>
        <w:tc>
          <w:tcPr>
            <w:tcW w:w="0" w:type="auto"/>
            <w:shd w:val="clear" w:color="auto" w:fill="FFFFFF"/>
            <w:tcMar>
              <w:top w:w="0" w:type="dxa"/>
              <w:left w:w="108" w:type="dxa"/>
              <w:bottom w:w="0" w:type="dxa"/>
              <w:right w:w="108" w:type="dxa"/>
            </w:tcMar>
            <w:vAlign w:val="center"/>
          </w:tcPr>
          <w:p w14:paraId="5A63E4C9"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454CD04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2EE01FA5"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25.01</w:t>
            </w:r>
          </w:p>
        </w:tc>
      </w:tr>
      <w:tr w:rsidR="00A76ADB" w:rsidRPr="006C35C3" w14:paraId="7EF13F93" w14:textId="77777777" w:rsidTr="00CF7215">
        <w:trPr>
          <w:cantSplit/>
          <w:trHeight w:val="283"/>
        </w:trPr>
        <w:tc>
          <w:tcPr>
            <w:tcW w:w="0" w:type="auto"/>
            <w:shd w:val="clear" w:color="auto" w:fill="FFFFFF"/>
            <w:tcMar>
              <w:top w:w="0" w:type="dxa"/>
              <w:left w:w="108" w:type="dxa"/>
              <w:bottom w:w="0" w:type="dxa"/>
              <w:right w:w="108" w:type="dxa"/>
            </w:tcMar>
            <w:vAlign w:val="center"/>
          </w:tcPr>
          <w:p w14:paraId="71C38539" w14:textId="77777777" w:rsidR="00A76ADB" w:rsidRPr="006C35C3" w:rsidRDefault="00A76ADB" w:rsidP="007E3239">
            <w:pPr>
              <w:pStyle w:val="TableText"/>
              <w:spacing w:before="50" w:after="50"/>
              <w:rPr>
                <w:rFonts w:cs="Calibri"/>
                <w:szCs w:val="16"/>
              </w:rPr>
            </w:pPr>
            <w:r w:rsidRPr="006C35C3">
              <w:rPr>
                <w:rFonts w:eastAsia="Calibri" w:cs="Calibri"/>
                <w:szCs w:val="16"/>
              </w:rPr>
              <w:t>1997</w:t>
            </w:r>
          </w:p>
        </w:tc>
        <w:tc>
          <w:tcPr>
            <w:tcW w:w="0" w:type="auto"/>
            <w:shd w:val="clear" w:color="auto" w:fill="FFFFFF"/>
            <w:tcMar>
              <w:top w:w="0" w:type="dxa"/>
              <w:left w:w="108" w:type="dxa"/>
              <w:bottom w:w="0" w:type="dxa"/>
              <w:right w:w="108" w:type="dxa"/>
            </w:tcMar>
            <w:vAlign w:val="center"/>
          </w:tcPr>
          <w:p w14:paraId="74DAC547"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20.35</w:t>
            </w:r>
          </w:p>
        </w:tc>
        <w:tc>
          <w:tcPr>
            <w:tcW w:w="0" w:type="auto"/>
            <w:shd w:val="clear" w:color="auto" w:fill="FFFFFF"/>
            <w:tcMar>
              <w:top w:w="0" w:type="dxa"/>
              <w:left w:w="108" w:type="dxa"/>
              <w:bottom w:w="0" w:type="dxa"/>
              <w:right w:w="108" w:type="dxa"/>
            </w:tcMar>
            <w:vAlign w:val="center"/>
          </w:tcPr>
          <w:p w14:paraId="07CF3274"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32CF30C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518F3BAD"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25.01</w:t>
            </w:r>
          </w:p>
        </w:tc>
      </w:tr>
      <w:tr w:rsidR="00A76ADB" w:rsidRPr="006C35C3" w14:paraId="11F4BD37" w14:textId="77777777" w:rsidTr="00CF7215">
        <w:trPr>
          <w:cantSplit/>
          <w:trHeight w:val="283"/>
        </w:trPr>
        <w:tc>
          <w:tcPr>
            <w:tcW w:w="0" w:type="auto"/>
            <w:shd w:val="clear" w:color="auto" w:fill="FFFFFF"/>
            <w:tcMar>
              <w:top w:w="0" w:type="dxa"/>
              <w:left w:w="108" w:type="dxa"/>
              <w:bottom w:w="0" w:type="dxa"/>
              <w:right w:w="108" w:type="dxa"/>
            </w:tcMar>
            <w:vAlign w:val="center"/>
          </w:tcPr>
          <w:p w14:paraId="0820E18B" w14:textId="77777777" w:rsidR="00A76ADB" w:rsidRPr="006C35C3" w:rsidRDefault="00A76ADB" w:rsidP="007E3239">
            <w:pPr>
              <w:pStyle w:val="TableText"/>
              <w:spacing w:before="50" w:after="50"/>
              <w:rPr>
                <w:rFonts w:cs="Calibri"/>
                <w:szCs w:val="16"/>
              </w:rPr>
            </w:pPr>
            <w:r w:rsidRPr="006C35C3">
              <w:rPr>
                <w:rFonts w:eastAsia="Calibri" w:cs="Calibri"/>
                <w:szCs w:val="16"/>
              </w:rPr>
              <w:t>1998</w:t>
            </w:r>
          </w:p>
        </w:tc>
        <w:tc>
          <w:tcPr>
            <w:tcW w:w="0" w:type="auto"/>
            <w:shd w:val="clear" w:color="auto" w:fill="FFFFFF"/>
            <w:tcMar>
              <w:top w:w="0" w:type="dxa"/>
              <w:left w:w="108" w:type="dxa"/>
              <w:bottom w:w="0" w:type="dxa"/>
              <w:right w:w="108" w:type="dxa"/>
            </w:tcMar>
            <w:vAlign w:val="center"/>
          </w:tcPr>
          <w:p w14:paraId="70793DC7"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20.01</w:t>
            </w:r>
          </w:p>
        </w:tc>
        <w:tc>
          <w:tcPr>
            <w:tcW w:w="0" w:type="auto"/>
            <w:shd w:val="clear" w:color="auto" w:fill="FFFFFF"/>
            <w:tcMar>
              <w:top w:w="0" w:type="dxa"/>
              <w:left w:w="108" w:type="dxa"/>
              <w:bottom w:w="0" w:type="dxa"/>
              <w:right w:w="108" w:type="dxa"/>
            </w:tcMar>
            <w:vAlign w:val="center"/>
          </w:tcPr>
          <w:p w14:paraId="7643E28B"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2556D407"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0F10C8D1"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24.67</w:t>
            </w:r>
          </w:p>
        </w:tc>
      </w:tr>
      <w:tr w:rsidR="00A76ADB" w:rsidRPr="006C35C3" w14:paraId="563907E5" w14:textId="77777777" w:rsidTr="00CF7215">
        <w:trPr>
          <w:cantSplit/>
          <w:trHeight w:val="283"/>
        </w:trPr>
        <w:tc>
          <w:tcPr>
            <w:tcW w:w="0" w:type="auto"/>
            <w:shd w:val="clear" w:color="auto" w:fill="FFFFFF"/>
            <w:tcMar>
              <w:top w:w="0" w:type="dxa"/>
              <w:left w:w="108" w:type="dxa"/>
              <w:bottom w:w="0" w:type="dxa"/>
              <w:right w:w="108" w:type="dxa"/>
            </w:tcMar>
            <w:vAlign w:val="center"/>
          </w:tcPr>
          <w:p w14:paraId="750B9ECD" w14:textId="77777777" w:rsidR="00A76ADB" w:rsidRPr="006C35C3" w:rsidRDefault="00A76ADB" w:rsidP="007E3239">
            <w:pPr>
              <w:pStyle w:val="TableText"/>
              <w:spacing w:before="50" w:after="50"/>
              <w:rPr>
                <w:rFonts w:cs="Calibri"/>
                <w:szCs w:val="16"/>
              </w:rPr>
            </w:pPr>
            <w:r w:rsidRPr="006C35C3">
              <w:rPr>
                <w:rFonts w:eastAsia="Calibri" w:cs="Calibri"/>
                <w:szCs w:val="16"/>
              </w:rPr>
              <w:t>1999</w:t>
            </w:r>
          </w:p>
        </w:tc>
        <w:tc>
          <w:tcPr>
            <w:tcW w:w="0" w:type="auto"/>
            <w:shd w:val="clear" w:color="auto" w:fill="FFFFFF"/>
            <w:tcMar>
              <w:top w:w="0" w:type="dxa"/>
              <w:left w:w="108" w:type="dxa"/>
              <w:bottom w:w="0" w:type="dxa"/>
              <w:right w:w="108" w:type="dxa"/>
            </w:tcMar>
            <w:vAlign w:val="center"/>
          </w:tcPr>
          <w:p w14:paraId="59D804AC"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18.90</w:t>
            </w:r>
          </w:p>
        </w:tc>
        <w:tc>
          <w:tcPr>
            <w:tcW w:w="0" w:type="auto"/>
            <w:shd w:val="clear" w:color="auto" w:fill="FFFFFF"/>
            <w:tcMar>
              <w:top w:w="0" w:type="dxa"/>
              <w:left w:w="108" w:type="dxa"/>
              <w:bottom w:w="0" w:type="dxa"/>
              <w:right w:w="108" w:type="dxa"/>
            </w:tcMar>
            <w:vAlign w:val="center"/>
          </w:tcPr>
          <w:p w14:paraId="4F383165"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39CBD3A5"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5B83469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23.56</w:t>
            </w:r>
          </w:p>
        </w:tc>
      </w:tr>
      <w:tr w:rsidR="00A76ADB" w:rsidRPr="006C35C3" w14:paraId="1C3C3DE1" w14:textId="77777777" w:rsidTr="00CF7215">
        <w:trPr>
          <w:cantSplit/>
          <w:trHeight w:val="283"/>
        </w:trPr>
        <w:tc>
          <w:tcPr>
            <w:tcW w:w="0" w:type="auto"/>
            <w:shd w:val="clear" w:color="auto" w:fill="FFFFFF"/>
            <w:tcMar>
              <w:top w:w="0" w:type="dxa"/>
              <w:left w:w="108" w:type="dxa"/>
              <w:bottom w:w="0" w:type="dxa"/>
              <w:right w:w="108" w:type="dxa"/>
            </w:tcMar>
            <w:vAlign w:val="center"/>
          </w:tcPr>
          <w:p w14:paraId="64F0B6A1" w14:textId="77777777" w:rsidR="00A76ADB" w:rsidRPr="006C35C3" w:rsidRDefault="00A76ADB" w:rsidP="007E3239">
            <w:pPr>
              <w:pStyle w:val="TableText"/>
              <w:spacing w:before="50" w:after="50"/>
              <w:rPr>
                <w:rFonts w:cs="Calibri"/>
                <w:szCs w:val="16"/>
              </w:rPr>
            </w:pPr>
            <w:r w:rsidRPr="006C35C3">
              <w:rPr>
                <w:rFonts w:eastAsia="Calibri" w:cs="Calibri"/>
                <w:szCs w:val="16"/>
              </w:rPr>
              <w:t>2000</w:t>
            </w:r>
          </w:p>
        </w:tc>
        <w:tc>
          <w:tcPr>
            <w:tcW w:w="0" w:type="auto"/>
            <w:shd w:val="clear" w:color="auto" w:fill="FFFFFF"/>
            <w:tcMar>
              <w:top w:w="0" w:type="dxa"/>
              <w:left w:w="108" w:type="dxa"/>
              <w:bottom w:w="0" w:type="dxa"/>
              <w:right w:w="108" w:type="dxa"/>
            </w:tcMar>
            <w:vAlign w:val="center"/>
          </w:tcPr>
          <w:p w14:paraId="019B218C"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17.76</w:t>
            </w:r>
          </w:p>
        </w:tc>
        <w:tc>
          <w:tcPr>
            <w:tcW w:w="0" w:type="auto"/>
            <w:shd w:val="clear" w:color="auto" w:fill="FFFFFF"/>
            <w:tcMar>
              <w:top w:w="0" w:type="dxa"/>
              <w:left w:w="108" w:type="dxa"/>
              <w:bottom w:w="0" w:type="dxa"/>
              <w:right w:w="108" w:type="dxa"/>
            </w:tcMar>
            <w:vAlign w:val="center"/>
          </w:tcPr>
          <w:p w14:paraId="3762B04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60118B61"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1C1CE9A6"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22.43</w:t>
            </w:r>
          </w:p>
        </w:tc>
      </w:tr>
      <w:tr w:rsidR="00A76ADB" w:rsidRPr="006C35C3" w14:paraId="6D44FE26" w14:textId="77777777" w:rsidTr="00CF7215">
        <w:trPr>
          <w:cantSplit/>
          <w:trHeight w:val="283"/>
        </w:trPr>
        <w:tc>
          <w:tcPr>
            <w:tcW w:w="0" w:type="auto"/>
            <w:shd w:val="clear" w:color="auto" w:fill="FFFFFF"/>
            <w:tcMar>
              <w:top w:w="0" w:type="dxa"/>
              <w:left w:w="108" w:type="dxa"/>
              <w:bottom w:w="0" w:type="dxa"/>
              <w:right w:w="108" w:type="dxa"/>
            </w:tcMar>
            <w:vAlign w:val="center"/>
          </w:tcPr>
          <w:p w14:paraId="4E1E9989" w14:textId="77777777" w:rsidR="00A76ADB" w:rsidRPr="006C35C3" w:rsidRDefault="00A76ADB" w:rsidP="007E3239">
            <w:pPr>
              <w:pStyle w:val="TableText"/>
              <w:spacing w:before="50" w:after="50"/>
              <w:rPr>
                <w:rFonts w:cs="Calibri"/>
                <w:szCs w:val="16"/>
              </w:rPr>
            </w:pPr>
            <w:r w:rsidRPr="006C35C3">
              <w:rPr>
                <w:rFonts w:eastAsia="Calibri" w:cs="Calibri"/>
                <w:szCs w:val="16"/>
              </w:rPr>
              <w:t>2001</w:t>
            </w:r>
          </w:p>
        </w:tc>
        <w:tc>
          <w:tcPr>
            <w:tcW w:w="0" w:type="auto"/>
            <w:shd w:val="clear" w:color="auto" w:fill="FFFFFF"/>
            <w:tcMar>
              <w:top w:w="0" w:type="dxa"/>
              <w:left w:w="108" w:type="dxa"/>
              <w:bottom w:w="0" w:type="dxa"/>
              <w:right w:w="108" w:type="dxa"/>
            </w:tcMar>
            <w:vAlign w:val="center"/>
          </w:tcPr>
          <w:p w14:paraId="06F4EA79"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9.26</w:t>
            </w:r>
          </w:p>
        </w:tc>
        <w:tc>
          <w:tcPr>
            <w:tcW w:w="0" w:type="auto"/>
            <w:shd w:val="clear" w:color="auto" w:fill="FFFFFF"/>
            <w:tcMar>
              <w:top w:w="0" w:type="dxa"/>
              <w:left w:w="108" w:type="dxa"/>
              <w:bottom w:w="0" w:type="dxa"/>
              <w:right w:w="108" w:type="dxa"/>
            </w:tcMar>
            <w:vAlign w:val="center"/>
          </w:tcPr>
          <w:p w14:paraId="7CD3E54B"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68105712"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55E92BDF"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13.93</w:t>
            </w:r>
          </w:p>
        </w:tc>
      </w:tr>
      <w:tr w:rsidR="00A76ADB" w:rsidRPr="006C35C3" w14:paraId="3104B61F" w14:textId="77777777" w:rsidTr="00CF7215">
        <w:trPr>
          <w:cantSplit/>
          <w:trHeight w:val="283"/>
        </w:trPr>
        <w:tc>
          <w:tcPr>
            <w:tcW w:w="0" w:type="auto"/>
            <w:shd w:val="clear" w:color="auto" w:fill="FFFFFF"/>
            <w:tcMar>
              <w:top w:w="0" w:type="dxa"/>
              <w:left w:w="108" w:type="dxa"/>
              <w:bottom w:w="0" w:type="dxa"/>
              <w:right w:w="108" w:type="dxa"/>
            </w:tcMar>
            <w:vAlign w:val="center"/>
          </w:tcPr>
          <w:p w14:paraId="0AD6E67A" w14:textId="77777777" w:rsidR="00A76ADB" w:rsidRPr="006C35C3" w:rsidRDefault="00A76ADB" w:rsidP="007E3239">
            <w:pPr>
              <w:pStyle w:val="TableText"/>
              <w:spacing w:before="50" w:after="50"/>
              <w:rPr>
                <w:rFonts w:cs="Calibri"/>
                <w:szCs w:val="16"/>
              </w:rPr>
            </w:pPr>
            <w:r w:rsidRPr="006C35C3">
              <w:rPr>
                <w:rFonts w:eastAsia="Calibri" w:cs="Calibri"/>
                <w:szCs w:val="16"/>
              </w:rPr>
              <w:t>2002</w:t>
            </w:r>
          </w:p>
        </w:tc>
        <w:tc>
          <w:tcPr>
            <w:tcW w:w="0" w:type="auto"/>
            <w:shd w:val="clear" w:color="auto" w:fill="FFFFFF"/>
            <w:tcMar>
              <w:top w:w="0" w:type="dxa"/>
              <w:left w:w="108" w:type="dxa"/>
              <w:bottom w:w="0" w:type="dxa"/>
              <w:right w:w="108" w:type="dxa"/>
            </w:tcMar>
            <w:vAlign w:val="center"/>
          </w:tcPr>
          <w:p w14:paraId="715494BC"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8.24</w:t>
            </w:r>
          </w:p>
        </w:tc>
        <w:tc>
          <w:tcPr>
            <w:tcW w:w="0" w:type="auto"/>
            <w:shd w:val="clear" w:color="auto" w:fill="FFFFFF"/>
            <w:tcMar>
              <w:top w:w="0" w:type="dxa"/>
              <w:left w:w="108" w:type="dxa"/>
              <w:bottom w:w="0" w:type="dxa"/>
              <w:right w:w="108" w:type="dxa"/>
            </w:tcMar>
            <w:vAlign w:val="center"/>
          </w:tcPr>
          <w:p w14:paraId="54DAD5E6"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6A4CBE15"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1D250A31"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12.91</w:t>
            </w:r>
          </w:p>
        </w:tc>
      </w:tr>
      <w:tr w:rsidR="00A76ADB" w:rsidRPr="006C35C3" w14:paraId="17853668" w14:textId="77777777" w:rsidTr="00CF7215">
        <w:trPr>
          <w:cantSplit/>
          <w:trHeight w:val="283"/>
        </w:trPr>
        <w:tc>
          <w:tcPr>
            <w:tcW w:w="0" w:type="auto"/>
            <w:shd w:val="clear" w:color="auto" w:fill="FFFFFF"/>
            <w:tcMar>
              <w:top w:w="0" w:type="dxa"/>
              <w:left w:w="108" w:type="dxa"/>
              <w:bottom w:w="0" w:type="dxa"/>
              <w:right w:w="108" w:type="dxa"/>
            </w:tcMar>
            <w:vAlign w:val="center"/>
          </w:tcPr>
          <w:p w14:paraId="1CCB7F35" w14:textId="77777777" w:rsidR="00A76ADB" w:rsidRPr="006C35C3" w:rsidRDefault="00A76ADB" w:rsidP="007E3239">
            <w:pPr>
              <w:pStyle w:val="TableText"/>
              <w:spacing w:before="50" w:after="50"/>
              <w:rPr>
                <w:rFonts w:cs="Calibri"/>
                <w:szCs w:val="16"/>
              </w:rPr>
            </w:pPr>
            <w:r w:rsidRPr="006C35C3">
              <w:rPr>
                <w:rFonts w:eastAsia="Calibri" w:cs="Calibri"/>
                <w:szCs w:val="16"/>
              </w:rPr>
              <w:t>2003</w:t>
            </w:r>
          </w:p>
        </w:tc>
        <w:tc>
          <w:tcPr>
            <w:tcW w:w="0" w:type="auto"/>
            <w:shd w:val="clear" w:color="auto" w:fill="FFFFFF"/>
            <w:tcMar>
              <w:top w:w="0" w:type="dxa"/>
              <w:left w:w="108" w:type="dxa"/>
              <w:bottom w:w="0" w:type="dxa"/>
              <w:right w:w="108" w:type="dxa"/>
            </w:tcMar>
            <w:vAlign w:val="center"/>
          </w:tcPr>
          <w:p w14:paraId="45DBD3B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7.28</w:t>
            </w:r>
          </w:p>
        </w:tc>
        <w:tc>
          <w:tcPr>
            <w:tcW w:w="0" w:type="auto"/>
            <w:shd w:val="clear" w:color="auto" w:fill="FFFFFF"/>
            <w:tcMar>
              <w:top w:w="0" w:type="dxa"/>
              <w:left w:w="108" w:type="dxa"/>
              <w:bottom w:w="0" w:type="dxa"/>
              <w:right w:w="108" w:type="dxa"/>
            </w:tcMar>
            <w:vAlign w:val="center"/>
          </w:tcPr>
          <w:p w14:paraId="1D560DEA"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09609C35"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5A555AB2"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11.95</w:t>
            </w:r>
          </w:p>
        </w:tc>
      </w:tr>
      <w:tr w:rsidR="00A76ADB" w:rsidRPr="006C35C3" w14:paraId="69CAA8B8" w14:textId="77777777" w:rsidTr="00CF7215">
        <w:trPr>
          <w:cantSplit/>
          <w:trHeight w:val="283"/>
        </w:trPr>
        <w:tc>
          <w:tcPr>
            <w:tcW w:w="0" w:type="auto"/>
            <w:shd w:val="clear" w:color="auto" w:fill="FFFFFF"/>
            <w:tcMar>
              <w:top w:w="0" w:type="dxa"/>
              <w:left w:w="108" w:type="dxa"/>
              <w:bottom w:w="0" w:type="dxa"/>
              <w:right w:w="108" w:type="dxa"/>
            </w:tcMar>
            <w:vAlign w:val="center"/>
          </w:tcPr>
          <w:p w14:paraId="6C850227" w14:textId="77777777" w:rsidR="00A76ADB" w:rsidRPr="006C35C3" w:rsidRDefault="00A76ADB" w:rsidP="007E3239">
            <w:pPr>
              <w:pStyle w:val="TableText"/>
              <w:spacing w:before="50" w:after="50"/>
              <w:rPr>
                <w:rFonts w:cs="Calibri"/>
                <w:szCs w:val="16"/>
              </w:rPr>
            </w:pPr>
            <w:r w:rsidRPr="006C35C3">
              <w:rPr>
                <w:rFonts w:eastAsia="Calibri" w:cs="Calibri"/>
                <w:szCs w:val="16"/>
              </w:rPr>
              <w:t>2004</w:t>
            </w:r>
          </w:p>
        </w:tc>
        <w:tc>
          <w:tcPr>
            <w:tcW w:w="0" w:type="auto"/>
            <w:shd w:val="clear" w:color="auto" w:fill="FFFFFF"/>
            <w:tcMar>
              <w:top w:w="0" w:type="dxa"/>
              <w:left w:w="108" w:type="dxa"/>
              <w:bottom w:w="0" w:type="dxa"/>
              <w:right w:w="108" w:type="dxa"/>
            </w:tcMar>
            <w:vAlign w:val="center"/>
          </w:tcPr>
          <w:p w14:paraId="45B0923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7.18</w:t>
            </w:r>
          </w:p>
        </w:tc>
        <w:tc>
          <w:tcPr>
            <w:tcW w:w="0" w:type="auto"/>
            <w:shd w:val="clear" w:color="auto" w:fill="FFFFFF"/>
            <w:tcMar>
              <w:top w:w="0" w:type="dxa"/>
              <w:left w:w="108" w:type="dxa"/>
              <w:bottom w:w="0" w:type="dxa"/>
              <w:right w:w="108" w:type="dxa"/>
            </w:tcMar>
            <w:vAlign w:val="center"/>
          </w:tcPr>
          <w:p w14:paraId="21E65885"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1CDEA88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24F518F1"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11.85</w:t>
            </w:r>
          </w:p>
        </w:tc>
      </w:tr>
      <w:tr w:rsidR="00A76ADB" w:rsidRPr="006C35C3" w14:paraId="374F1390" w14:textId="77777777" w:rsidTr="00CF7215">
        <w:trPr>
          <w:cantSplit/>
          <w:trHeight w:val="283"/>
        </w:trPr>
        <w:tc>
          <w:tcPr>
            <w:tcW w:w="0" w:type="auto"/>
            <w:shd w:val="clear" w:color="auto" w:fill="FFFFFF"/>
            <w:tcMar>
              <w:top w:w="0" w:type="dxa"/>
              <w:left w:w="108" w:type="dxa"/>
              <w:bottom w:w="0" w:type="dxa"/>
              <w:right w:w="108" w:type="dxa"/>
            </w:tcMar>
            <w:vAlign w:val="center"/>
          </w:tcPr>
          <w:p w14:paraId="1EB78C83" w14:textId="77777777" w:rsidR="00A76ADB" w:rsidRPr="006C35C3" w:rsidRDefault="00A76ADB" w:rsidP="007E3239">
            <w:pPr>
              <w:pStyle w:val="TableText"/>
              <w:spacing w:before="50" w:after="50"/>
              <w:rPr>
                <w:rFonts w:cs="Calibri"/>
                <w:szCs w:val="16"/>
              </w:rPr>
            </w:pPr>
            <w:r w:rsidRPr="006C35C3">
              <w:rPr>
                <w:rFonts w:eastAsia="Calibri" w:cs="Calibri"/>
                <w:szCs w:val="16"/>
              </w:rPr>
              <w:t>2005</w:t>
            </w:r>
          </w:p>
        </w:tc>
        <w:tc>
          <w:tcPr>
            <w:tcW w:w="0" w:type="auto"/>
            <w:shd w:val="clear" w:color="auto" w:fill="FFFFFF"/>
            <w:tcMar>
              <w:top w:w="0" w:type="dxa"/>
              <w:left w:w="108" w:type="dxa"/>
              <w:bottom w:w="0" w:type="dxa"/>
              <w:right w:w="108" w:type="dxa"/>
            </w:tcMar>
            <w:vAlign w:val="center"/>
          </w:tcPr>
          <w:p w14:paraId="02964620"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5.31</w:t>
            </w:r>
          </w:p>
        </w:tc>
        <w:tc>
          <w:tcPr>
            <w:tcW w:w="0" w:type="auto"/>
            <w:shd w:val="clear" w:color="auto" w:fill="FFFFFF"/>
            <w:tcMar>
              <w:top w:w="0" w:type="dxa"/>
              <w:left w:w="108" w:type="dxa"/>
              <w:bottom w:w="0" w:type="dxa"/>
              <w:right w:w="108" w:type="dxa"/>
            </w:tcMar>
            <w:vAlign w:val="center"/>
          </w:tcPr>
          <w:p w14:paraId="5A0CE681"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3BF3DB80"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153898EA"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9.98</w:t>
            </w:r>
          </w:p>
        </w:tc>
      </w:tr>
      <w:tr w:rsidR="00A76ADB" w:rsidRPr="006C35C3" w14:paraId="545E0722" w14:textId="77777777" w:rsidTr="00CF7215">
        <w:trPr>
          <w:cantSplit/>
          <w:trHeight w:val="283"/>
        </w:trPr>
        <w:tc>
          <w:tcPr>
            <w:tcW w:w="0" w:type="auto"/>
            <w:shd w:val="clear" w:color="auto" w:fill="FFFFFF"/>
            <w:tcMar>
              <w:top w:w="0" w:type="dxa"/>
              <w:left w:w="108" w:type="dxa"/>
              <w:bottom w:w="0" w:type="dxa"/>
              <w:right w:w="108" w:type="dxa"/>
            </w:tcMar>
            <w:vAlign w:val="center"/>
          </w:tcPr>
          <w:p w14:paraId="6FAE4AE2" w14:textId="77777777" w:rsidR="00A76ADB" w:rsidRPr="006C35C3" w:rsidRDefault="00A76ADB" w:rsidP="007E3239">
            <w:pPr>
              <w:pStyle w:val="TableText"/>
              <w:spacing w:before="50" w:after="50"/>
              <w:rPr>
                <w:rFonts w:cs="Calibri"/>
                <w:szCs w:val="16"/>
              </w:rPr>
            </w:pPr>
            <w:r w:rsidRPr="006C35C3">
              <w:rPr>
                <w:rFonts w:eastAsia="Calibri" w:cs="Calibri"/>
                <w:szCs w:val="16"/>
              </w:rPr>
              <w:t>2006</w:t>
            </w:r>
          </w:p>
        </w:tc>
        <w:tc>
          <w:tcPr>
            <w:tcW w:w="0" w:type="auto"/>
            <w:shd w:val="clear" w:color="auto" w:fill="FFFFFF"/>
            <w:tcMar>
              <w:top w:w="0" w:type="dxa"/>
              <w:left w:w="108" w:type="dxa"/>
              <w:bottom w:w="0" w:type="dxa"/>
              <w:right w:w="108" w:type="dxa"/>
            </w:tcMar>
            <w:vAlign w:val="center"/>
          </w:tcPr>
          <w:p w14:paraId="0C7BBC90"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3.19</w:t>
            </w:r>
          </w:p>
        </w:tc>
        <w:tc>
          <w:tcPr>
            <w:tcW w:w="0" w:type="auto"/>
            <w:shd w:val="clear" w:color="auto" w:fill="FFFFFF"/>
            <w:tcMar>
              <w:top w:w="0" w:type="dxa"/>
              <w:left w:w="108" w:type="dxa"/>
              <w:bottom w:w="0" w:type="dxa"/>
              <w:right w:w="108" w:type="dxa"/>
            </w:tcMar>
            <w:vAlign w:val="center"/>
          </w:tcPr>
          <w:p w14:paraId="01FD888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766C5173"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347DACE1"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7.85</w:t>
            </w:r>
          </w:p>
        </w:tc>
      </w:tr>
      <w:tr w:rsidR="00A76ADB" w:rsidRPr="006C35C3" w14:paraId="5585C224" w14:textId="77777777" w:rsidTr="00CF7215">
        <w:trPr>
          <w:cantSplit/>
          <w:trHeight w:val="283"/>
        </w:trPr>
        <w:tc>
          <w:tcPr>
            <w:tcW w:w="0" w:type="auto"/>
            <w:shd w:val="clear" w:color="auto" w:fill="FFFFFF"/>
            <w:tcMar>
              <w:top w:w="0" w:type="dxa"/>
              <w:left w:w="108" w:type="dxa"/>
              <w:bottom w:w="0" w:type="dxa"/>
              <w:right w:w="108" w:type="dxa"/>
            </w:tcMar>
            <w:vAlign w:val="center"/>
          </w:tcPr>
          <w:p w14:paraId="3644838F" w14:textId="77777777" w:rsidR="00A76ADB" w:rsidRPr="006C35C3" w:rsidRDefault="00A76ADB" w:rsidP="007E3239">
            <w:pPr>
              <w:pStyle w:val="TableText"/>
              <w:spacing w:before="50" w:after="50"/>
              <w:rPr>
                <w:rFonts w:cs="Calibri"/>
                <w:szCs w:val="16"/>
              </w:rPr>
            </w:pPr>
            <w:r w:rsidRPr="006C35C3">
              <w:rPr>
                <w:rFonts w:eastAsia="Calibri" w:cs="Calibri"/>
                <w:szCs w:val="16"/>
              </w:rPr>
              <w:t>2007</w:t>
            </w:r>
          </w:p>
        </w:tc>
        <w:tc>
          <w:tcPr>
            <w:tcW w:w="0" w:type="auto"/>
            <w:shd w:val="clear" w:color="auto" w:fill="FFFFFF"/>
            <w:tcMar>
              <w:top w:w="0" w:type="dxa"/>
              <w:left w:w="108" w:type="dxa"/>
              <w:bottom w:w="0" w:type="dxa"/>
              <w:right w:w="108" w:type="dxa"/>
            </w:tcMar>
            <w:vAlign w:val="center"/>
          </w:tcPr>
          <w:p w14:paraId="7D77E77A"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0.59</w:t>
            </w:r>
          </w:p>
        </w:tc>
        <w:tc>
          <w:tcPr>
            <w:tcW w:w="0" w:type="auto"/>
            <w:shd w:val="clear" w:color="auto" w:fill="FFFFFF"/>
            <w:tcMar>
              <w:top w:w="0" w:type="dxa"/>
              <w:left w:w="108" w:type="dxa"/>
              <w:bottom w:w="0" w:type="dxa"/>
              <w:right w:w="108" w:type="dxa"/>
            </w:tcMar>
            <w:vAlign w:val="center"/>
          </w:tcPr>
          <w:p w14:paraId="7BF82E0D"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0.29</w:t>
            </w:r>
          </w:p>
        </w:tc>
        <w:tc>
          <w:tcPr>
            <w:tcW w:w="0" w:type="auto"/>
            <w:shd w:val="clear" w:color="auto" w:fill="FFFFFF"/>
            <w:tcMar>
              <w:top w:w="0" w:type="dxa"/>
              <w:left w:w="108" w:type="dxa"/>
              <w:bottom w:w="0" w:type="dxa"/>
              <w:right w:w="108" w:type="dxa"/>
            </w:tcMar>
            <w:vAlign w:val="center"/>
          </w:tcPr>
          <w:p w14:paraId="7B0B96F0"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4.38</w:t>
            </w:r>
          </w:p>
        </w:tc>
        <w:tc>
          <w:tcPr>
            <w:tcW w:w="0" w:type="auto"/>
            <w:shd w:val="clear" w:color="auto" w:fill="FFFFFF"/>
            <w:tcMar>
              <w:top w:w="0" w:type="dxa"/>
              <w:left w:w="108" w:type="dxa"/>
              <w:bottom w:w="0" w:type="dxa"/>
              <w:right w:w="108" w:type="dxa"/>
            </w:tcMar>
            <w:vAlign w:val="center"/>
          </w:tcPr>
          <w:p w14:paraId="06AA7CE3"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5.26</w:t>
            </w:r>
          </w:p>
        </w:tc>
      </w:tr>
      <w:tr w:rsidR="00A76ADB" w:rsidRPr="006C35C3" w14:paraId="035CD6F3" w14:textId="77777777" w:rsidTr="00CF7215">
        <w:trPr>
          <w:cantSplit/>
          <w:trHeight w:val="283"/>
        </w:trPr>
        <w:tc>
          <w:tcPr>
            <w:tcW w:w="0" w:type="auto"/>
            <w:shd w:val="clear" w:color="auto" w:fill="FFFFFF"/>
            <w:tcMar>
              <w:top w:w="0" w:type="dxa"/>
              <w:left w:w="108" w:type="dxa"/>
              <w:bottom w:w="0" w:type="dxa"/>
              <w:right w:w="108" w:type="dxa"/>
            </w:tcMar>
            <w:vAlign w:val="center"/>
          </w:tcPr>
          <w:p w14:paraId="0775C955" w14:textId="77777777" w:rsidR="00A76ADB" w:rsidRPr="006C35C3" w:rsidRDefault="00A76ADB" w:rsidP="007E3239">
            <w:pPr>
              <w:pStyle w:val="TableText"/>
              <w:spacing w:before="50" w:after="50"/>
              <w:rPr>
                <w:rFonts w:cs="Calibri"/>
                <w:szCs w:val="16"/>
              </w:rPr>
            </w:pPr>
            <w:r w:rsidRPr="006C35C3">
              <w:rPr>
                <w:rFonts w:eastAsia="Calibri" w:cs="Calibri"/>
                <w:szCs w:val="16"/>
              </w:rPr>
              <w:t>2008</w:t>
            </w:r>
          </w:p>
        </w:tc>
        <w:tc>
          <w:tcPr>
            <w:tcW w:w="0" w:type="auto"/>
            <w:shd w:val="clear" w:color="auto" w:fill="FFFFFF"/>
            <w:tcMar>
              <w:top w:w="0" w:type="dxa"/>
              <w:left w:w="108" w:type="dxa"/>
              <w:bottom w:w="0" w:type="dxa"/>
              <w:right w:w="108" w:type="dxa"/>
            </w:tcMar>
            <w:vAlign w:val="center"/>
          </w:tcPr>
          <w:p w14:paraId="4CB964B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7F59D270"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33EB0C99"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5B4F1170"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r w:rsidR="00A76ADB" w:rsidRPr="006C35C3" w14:paraId="66AA4BB8" w14:textId="77777777" w:rsidTr="00CF7215">
        <w:trPr>
          <w:cantSplit/>
          <w:trHeight w:val="283"/>
        </w:trPr>
        <w:tc>
          <w:tcPr>
            <w:tcW w:w="0" w:type="auto"/>
            <w:shd w:val="clear" w:color="auto" w:fill="FFFFFF"/>
            <w:tcMar>
              <w:top w:w="0" w:type="dxa"/>
              <w:left w:w="108" w:type="dxa"/>
              <w:bottom w:w="0" w:type="dxa"/>
              <w:right w:w="108" w:type="dxa"/>
            </w:tcMar>
            <w:vAlign w:val="center"/>
          </w:tcPr>
          <w:p w14:paraId="1BAED2EA" w14:textId="77777777" w:rsidR="00A76ADB" w:rsidRPr="006C35C3" w:rsidRDefault="00A76ADB" w:rsidP="007E3239">
            <w:pPr>
              <w:pStyle w:val="TableText"/>
              <w:spacing w:before="50" w:after="50"/>
              <w:rPr>
                <w:rFonts w:cs="Calibri"/>
                <w:szCs w:val="16"/>
              </w:rPr>
            </w:pPr>
            <w:r w:rsidRPr="006C35C3">
              <w:rPr>
                <w:rFonts w:eastAsia="Calibri" w:cs="Calibri"/>
                <w:szCs w:val="16"/>
              </w:rPr>
              <w:t>2009</w:t>
            </w:r>
          </w:p>
        </w:tc>
        <w:tc>
          <w:tcPr>
            <w:tcW w:w="0" w:type="auto"/>
            <w:shd w:val="clear" w:color="auto" w:fill="FFFFFF"/>
            <w:tcMar>
              <w:top w:w="0" w:type="dxa"/>
              <w:left w:w="108" w:type="dxa"/>
              <w:bottom w:w="0" w:type="dxa"/>
              <w:right w:w="108" w:type="dxa"/>
            </w:tcMar>
            <w:vAlign w:val="center"/>
          </w:tcPr>
          <w:p w14:paraId="1CDE1C0C"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0FE6C550"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232C5672"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76FD18B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r w:rsidR="00A76ADB" w:rsidRPr="006C35C3" w14:paraId="7064DDCE" w14:textId="77777777" w:rsidTr="00CF7215">
        <w:trPr>
          <w:cantSplit/>
          <w:trHeight w:val="283"/>
        </w:trPr>
        <w:tc>
          <w:tcPr>
            <w:tcW w:w="0" w:type="auto"/>
            <w:shd w:val="clear" w:color="auto" w:fill="FFFFFF"/>
            <w:tcMar>
              <w:top w:w="0" w:type="dxa"/>
              <w:left w:w="108" w:type="dxa"/>
              <w:bottom w:w="0" w:type="dxa"/>
              <w:right w:w="108" w:type="dxa"/>
            </w:tcMar>
            <w:vAlign w:val="center"/>
          </w:tcPr>
          <w:p w14:paraId="2E27BBDE" w14:textId="77777777" w:rsidR="00A76ADB" w:rsidRPr="006C35C3" w:rsidRDefault="00A76ADB" w:rsidP="007E3239">
            <w:pPr>
              <w:pStyle w:val="TableText"/>
              <w:spacing w:before="50" w:after="50"/>
              <w:rPr>
                <w:rFonts w:cs="Calibri"/>
                <w:szCs w:val="16"/>
              </w:rPr>
            </w:pPr>
            <w:r w:rsidRPr="006C35C3">
              <w:rPr>
                <w:rFonts w:eastAsia="Calibri" w:cs="Calibri"/>
                <w:szCs w:val="16"/>
              </w:rPr>
              <w:t>2010</w:t>
            </w:r>
          </w:p>
        </w:tc>
        <w:tc>
          <w:tcPr>
            <w:tcW w:w="0" w:type="auto"/>
            <w:shd w:val="clear" w:color="auto" w:fill="FFFFFF"/>
            <w:tcMar>
              <w:top w:w="0" w:type="dxa"/>
              <w:left w:w="108" w:type="dxa"/>
              <w:bottom w:w="0" w:type="dxa"/>
              <w:right w:w="108" w:type="dxa"/>
            </w:tcMar>
            <w:vAlign w:val="center"/>
          </w:tcPr>
          <w:p w14:paraId="455F0E50"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6AB4E4A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38B4F9D1"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11E09946"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r w:rsidR="00A76ADB" w:rsidRPr="006C35C3" w14:paraId="1D7B248C" w14:textId="77777777" w:rsidTr="00CF7215">
        <w:trPr>
          <w:cantSplit/>
          <w:trHeight w:val="283"/>
        </w:trPr>
        <w:tc>
          <w:tcPr>
            <w:tcW w:w="0" w:type="auto"/>
            <w:shd w:val="clear" w:color="auto" w:fill="FFFFFF"/>
            <w:tcMar>
              <w:top w:w="0" w:type="dxa"/>
              <w:left w:w="108" w:type="dxa"/>
              <w:bottom w:w="0" w:type="dxa"/>
              <w:right w:w="108" w:type="dxa"/>
            </w:tcMar>
            <w:vAlign w:val="center"/>
          </w:tcPr>
          <w:p w14:paraId="689E1DB2" w14:textId="77777777" w:rsidR="00A76ADB" w:rsidRPr="006C35C3" w:rsidRDefault="00A76ADB" w:rsidP="007E3239">
            <w:pPr>
              <w:pStyle w:val="TableText"/>
              <w:spacing w:before="50" w:after="50"/>
              <w:rPr>
                <w:rFonts w:cs="Calibri"/>
                <w:szCs w:val="16"/>
              </w:rPr>
            </w:pPr>
            <w:r w:rsidRPr="006C35C3">
              <w:rPr>
                <w:rFonts w:eastAsia="Calibri" w:cs="Calibri"/>
                <w:szCs w:val="16"/>
              </w:rPr>
              <w:t>2011</w:t>
            </w:r>
          </w:p>
        </w:tc>
        <w:tc>
          <w:tcPr>
            <w:tcW w:w="0" w:type="auto"/>
            <w:shd w:val="clear" w:color="auto" w:fill="FFFFFF"/>
            <w:tcMar>
              <w:top w:w="0" w:type="dxa"/>
              <w:left w:w="108" w:type="dxa"/>
              <w:bottom w:w="0" w:type="dxa"/>
              <w:right w:w="108" w:type="dxa"/>
            </w:tcMar>
            <w:vAlign w:val="center"/>
          </w:tcPr>
          <w:p w14:paraId="14E62B3B"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5D1529AF"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0FED01B5"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12673C25"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r w:rsidR="00A76ADB" w:rsidRPr="006C35C3" w14:paraId="63889DE3" w14:textId="77777777" w:rsidTr="00CF7215">
        <w:trPr>
          <w:cantSplit/>
          <w:trHeight w:val="283"/>
        </w:trPr>
        <w:tc>
          <w:tcPr>
            <w:tcW w:w="0" w:type="auto"/>
            <w:shd w:val="clear" w:color="auto" w:fill="FFFFFF"/>
            <w:tcMar>
              <w:top w:w="0" w:type="dxa"/>
              <w:left w:w="108" w:type="dxa"/>
              <w:bottom w:w="0" w:type="dxa"/>
              <w:right w:w="108" w:type="dxa"/>
            </w:tcMar>
            <w:vAlign w:val="center"/>
          </w:tcPr>
          <w:p w14:paraId="1835BED1" w14:textId="77777777" w:rsidR="00A76ADB" w:rsidRPr="006C35C3" w:rsidRDefault="00A76ADB" w:rsidP="007E3239">
            <w:pPr>
              <w:pStyle w:val="TableText"/>
              <w:spacing w:before="50" w:after="50"/>
              <w:rPr>
                <w:rFonts w:cs="Calibri"/>
                <w:szCs w:val="16"/>
              </w:rPr>
            </w:pPr>
            <w:r w:rsidRPr="006C35C3">
              <w:rPr>
                <w:rFonts w:eastAsia="Calibri" w:cs="Calibri"/>
                <w:szCs w:val="16"/>
              </w:rPr>
              <w:t>2012</w:t>
            </w:r>
          </w:p>
        </w:tc>
        <w:tc>
          <w:tcPr>
            <w:tcW w:w="0" w:type="auto"/>
            <w:shd w:val="clear" w:color="auto" w:fill="FFFFFF"/>
            <w:tcMar>
              <w:top w:w="0" w:type="dxa"/>
              <w:left w:w="108" w:type="dxa"/>
              <w:bottom w:w="0" w:type="dxa"/>
              <w:right w:w="108" w:type="dxa"/>
            </w:tcMar>
            <w:vAlign w:val="center"/>
          </w:tcPr>
          <w:p w14:paraId="60E614F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75C02F8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68EC7DBF"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53A106A4"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r w:rsidR="00A76ADB" w:rsidRPr="006C35C3" w14:paraId="42B4EACB" w14:textId="77777777" w:rsidTr="00CF7215">
        <w:trPr>
          <w:cantSplit/>
          <w:trHeight w:val="283"/>
        </w:trPr>
        <w:tc>
          <w:tcPr>
            <w:tcW w:w="0" w:type="auto"/>
            <w:shd w:val="clear" w:color="auto" w:fill="FFFFFF"/>
            <w:tcMar>
              <w:top w:w="0" w:type="dxa"/>
              <w:left w:w="108" w:type="dxa"/>
              <w:bottom w:w="0" w:type="dxa"/>
              <w:right w:w="108" w:type="dxa"/>
            </w:tcMar>
            <w:vAlign w:val="center"/>
          </w:tcPr>
          <w:p w14:paraId="0B1E0547" w14:textId="77777777" w:rsidR="00A76ADB" w:rsidRPr="006C35C3" w:rsidRDefault="00A76ADB" w:rsidP="007E3239">
            <w:pPr>
              <w:pStyle w:val="TableText"/>
              <w:spacing w:before="50" w:after="50"/>
              <w:rPr>
                <w:rFonts w:cs="Calibri"/>
                <w:szCs w:val="16"/>
              </w:rPr>
            </w:pPr>
            <w:r w:rsidRPr="006C35C3">
              <w:rPr>
                <w:rFonts w:eastAsia="Calibri" w:cs="Calibri"/>
                <w:szCs w:val="16"/>
              </w:rPr>
              <w:t>2013</w:t>
            </w:r>
          </w:p>
        </w:tc>
        <w:tc>
          <w:tcPr>
            <w:tcW w:w="0" w:type="auto"/>
            <w:shd w:val="clear" w:color="auto" w:fill="FFFFFF"/>
            <w:tcMar>
              <w:top w:w="0" w:type="dxa"/>
              <w:left w:w="108" w:type="dxa"/>
              <w:bottom w:w="0" w:type="dxa"/>
              <w:right w:w="108" w:type="dxa"/>
            </w:tcMar>
            <w:vAlign w:val="center"/>
          </w:tcPr>
          <w:p w14:paraId="19BD394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0B4B3363"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5EFF013B"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77DF0AF9"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r w:rsidR="00A76ADB" w:rsidRPr="006C35C3" w14:paraId="76080A1A" w14:textId="77777777" w:rsidTr="00CF7215">
        <w:trPr>
          <w:cantSplit/>
          <w:trHeight w:val="283"/>
        </w:trPr>
        <w:tc>
          <w:tcPr>
            <w:tcW w:w="0" w:type="auto"/>
            <w:shd w:val="clear" w:color="auto" w:fill="FFFFFF"/>
            <w:tcMar>
              <w:top w:w="0" w:type="dxa"/>
              <w:left w:w="108" w:type="dxa"/>
              <w:bottom w:w="0" w:type="dxa"/>
              <w:right w:w="108" w:type="dxa"/>
            </w:tcMar>
            <w:vAlign w:val="center"/>
          </w:tcPr>
          <w:p w14:paraId="31A03CCC" w14:textId="77777777" w:rsidR="00A76ADB" w:rsidRPr="006C35C3" w:rsidRDefault="00A76ADB" w:rsidP="007E3239">
            <w:pPr>
              <w:pStyle w:val="TableText"/>
              <w:spacing w:before="50" w:after="50"/>
              <w:rPr>
                <w:rFonts w:cs="Calibri"/>
                <w:szCs w:val="16"/>
              </w:rPr>
            </w:pPr>
            <w:r w:rsidRPr="006C35C3">
              <w:rPr>
                <w:rFonts w:eastAsia="Calibri" w:cs="Calibri"/>
                <w:szCs w:val="16"/>
              </w:rPr>
              <w:t>2014</w:t>
            </w:r>
          </w:p>
        </w:tc>
        <w:tc>
          <w:tcPr>
            <w:tcW w:w="0" w:type="auto"/>
            <w:shd w:val="clear" w:color="auto" w:fill="FFFFFF"/>
            <w:tcMar>
              <w:top w:w="0" w:type="dxa"/>
              <w:left w:w="108" w:type="dxa"/>
              <w:bottom w:w="0" w:type="dxa"/>
              <w:right w:w="108" w:type="dxa"/>
            </w:tcMar>
            <w:vAlign w:val="center"/>
          </w:tcPr>
          <w:p w14:paraId="6B4929C9"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70D4EF64"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33F0B46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3445D4F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r w:rsidR="00A76ADB" w:rsidRPr="006C35C3" w14:paraId="44339A6F" w14:textId="77777777" w:rsidTr="00CF7215">
        <w:trPr>
          <w:cantSplit/>
          <w:trHeight w:val="283"/>
        </w:trPr>
        <w:tc>
          <w:tcPr>
            <w:tcW w:w="0" w:type="auto"/>
            <w:shd w:val="clear" w:color="auto" w:fill="FFFFFF"/>
            <w:tcMar>
              <w:top w:w="0" w:type="dxa"/>
              <w:left w:w="108" w:type="dxa"/>
              <w:bottom w:w="0" w:type="dxa"/>
              <w:right w:w="108" w:type="dxa"/>
            </w:tcMar>
            <w:vAlign w:val="center"/>
          </w:tcPr>
          <w:p w14:paraId="2D7889BF" w14:textId="77777777" w:rsidR="00A76ADB" w:rsidRPr="006C35C3" w:rsidRDefault="00A76ADB" w:rsidP="007E3239">
            <w:pPr>
              <w:pStyle w:val="TableText"/>
              <w:spacing w:before="50" w:after="50"/>
              <w:rPr>
                <w:rFonts w:cs="Calibri"/>
                <w:szCs w:val="16"/>
              </w:rPr>
            </w:pPr>
            <w:r w:rsidRPr="006C35C3">
              <w:rPr>
                <w:rFonts w:eastAsia="Calibri" w:cs="Calibri"/>
                <w:szCs w:val="16"/>
              </w:rPr>
              <w:t>2015</w:t>
            </w:r>
          </w:p>
        </w:tc>
        <w:tc>
          <w:tcPr>
            <w:tcW w:w="0" w:type="auto"/>
            <w:shd w:val="clear" w:color="auto" w:fill="FFFFFF"/>
            <w:tcMar>
              <w:top w:w="0" w:type="dxa"/>
              <w:left w:w="108" w:type="dxa"/>
              <w:bottom w:w="0" w:type="dxa"/>
              <w:right w:w="108" w:type="dxa"/>
            </w:tcMar>
            <w:vAlign w:val="center"/>
          </w:tcPr>
          <w:p w14:paraId="0449396F"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082D1106"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43F2C169"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52F2B5C1"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r w:rsidR="00A76ADB" w:rsidRPr="006C35C3" w14:paraId="405B7E2E" w14:textId="77777777" w:rsidTr="00CF7215">
        <w:trPr>
          <w:cantSplit/>
          <w:trHeight w:val="283"/>
        </w:trPr>
        <w:tc>
          <w:tcPr>
            <w:tcW w:w="0" w:type="auto"/>
            <w:shd w:val="clear" w:color="auto" w:fill="FFFFFF"/>
            <w:tcMar>
              <w:top w:w="0" w:type="dxa"/>
              <w:left w:w="108" w:type="dxa"/>
              <w:bottom w:w="0" w:type="dxa"/>
              <w:right w:w="108" w:type="dxa"/>
            </w:tcMar>
            <w:vAlign w:val="center"/>
          </w:tcPr>
          <w:p w14:paraId="0AB86EB1" w14:textId="77777777" w:rsidR="00A76ADB" w:rsidRPr="006C35C3" w:rsidRDefault="00A76ADB" w:rsidP="007E3239">
            <w:pPr>
              <w:pStyle w:val="TableText"/>
              <w:spacing w:before="50" w:after="50"/>
              <w:rPr>
                <w:rFonts w:cs="Calibri"/>
                <w:szCs w:val="16"/>
              </w:rPr>
            </w:pPr>
            <w:r w:rsidRPr="006C35C3">
              <w:rPr>
                <w:rFonts w:eastAsia="Calibri" w:cs="Calibri"/>
                <w:szCs w:val="16"/>
              </w:rPr>
              <w:t>2016</w:t>
            </w:r>
          </w:p>
        </w:tc>
        <w:tc>
          <w:tcPr>
            <w:tcW w:w="0" w:type="auto"/>
            <w:shd w:val="clear" w:color="auto" w:fill="FFFFFF"/>
            <w:tcMar>
              <w:top w:w="0" w:type="dxa"/>
              <w:left w:w="108" w:type="dxa"/>
              <w:bottom w:w="0" w:type="dxa"/>
              <w:right w:w="108" w:type="dxa"/>
            </w:tcMar>
            <w:vAlign w:val="center"/>
          </w:tcPr>
          <w:p w14:paraId="607B3206"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713AF315"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7D8C63D6"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0DDF08A6"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r w:rsidR="00A76ADB" w:rsidRPr="006C35C3" w14:paraId="5AD4A3DE" w14:textId="77777777" w:rsidTr="00CF7215">
        <w:trPr>
          <w:cantSplit/>
          <w:trHeight w:val="283"/>
        </w:trPr>
        <w:tc>
          <w:tcPr>
            <w:tcW w:w="0" w:type="auto"/>
            <w:shd w:val="clear" w:color="auto" w:fill="FFFFFF"/>
            <w:tcMar>
              <w:top w:w="0" w:type="dxa"/>
              <w:left w:w="108" w:type="dxa"/>
              <w:bottom w:w="0" w:type="dxa"/>
              <w:right w:w="108" w:type="dxa"/>
            </w:tcMar>
            <w:vAlign w:val="center"/>
          </w:tcPr>
          <w:p w14:paraId="11047531" w14:textId="77777777" w:rsidR="00A76ADB" w:rsidRPr="006C35C3" w:rsidRDefault="00A76ADB" w:rsidP="007E3239">
            <w:pPr>
              <w:pStyle w:val="TableText"/>
              <w:spacing w:before="50" w:after="50"/>
              <w:rPr>
                <w:rFonts w:cs="Calibri"/>
                <w:szCs w:val="16"/>
              </w:rPr>
            </w:pPr>
            <w:r w:rsidRPr="006C35C3">
              <w:rPr>
                <w:rFonts w:eastAsia="Calibri" w:cs="Calibri"/>
                <w:szCs w:val="16"/>
              </w:rPr>
              <w:t>2017</w:t>
            </w:r>
          </w:p>
        </w:tc>
        <w:tc>
          <w:tcPr>
            <w:tcW w:w="0" w:type="auto"/>
            <w:shd w:val="clear" w:color="auto" w:fill="FFFFFF"/>
            <w:tcMar>
              <w:top w:w="0" w:type="dxa"/>
              <w:left w:w="108" w:type="dxa"/>
              <w:bottom w:w="0" w:type="dxa"/>
              <w:right w:w="108" w:type="dxa"/>
            </w:tcMar>
            <w:vAlign w:val="center"/>
          </w:tcPr>
          <w:p w14:paraId="7310A167"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600CECF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6AECC0C9"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17ACCA2B"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r w:rsidR="00A76ADB" w:rsidRPr="006C35C3" w14:paraId="7375C4FF" w14:textId="77777777" w:rsidTr="00CF7215">
        <w:trPr>
          <w:cantSplit/>
          <w:trHeight w:val="283"/>
        </w:trPr>
        <w:tc>
          <w:tcPr>
            <w:tcW w:w="0" w:type="auto"/>
            <w:shd w:val="clear" w:color="auto" w:fill="FFFFFF"/>
            <w:tcMar>
              <w:top w:w="0" w:type="dxa"/>
              <w:left w:w="108" w:type="dxa"/>
              <w:bottom w:w="0" w:type="dxa"/>
              <w:right w:w="108" w:type="dxa"/>
            </w:tcMar>
            <w:vAlign w:val="center"/>
          </w:tcPr>
          <w:p w14:paraId="2A9F6A18" w14:textId="77777777" w:rsidR="00A76ADB" w:rsidRPr="006C35C3" w:rsidRDefault="00A76ADB" w:rsidP="007E3239">
            <w:pPr>
              <w:pStyle w:val="TableText"/>
              <w:spacing w:before="50" w:after="50"/>
              <w:rPr>
                <w:rFonts w:cs="Calibri"/>
                <w:szCs w:val="16"/>
              </w:rPr>
            </w:pPr>
            <w:r w:rsidRPr="006C35C3">
              <w:rPr>
                <w:rFonts w:eastAsia="Calibri" w:cs="Calibri"/>
                <w:szCs w:val="16"/>
              </w:rPr>
              <w:t>2018</w:t>
            </w:r>
          </w:p>
        </w:tc>
        <w:tc>
          <w:tcPr>
            <w:tcW w:w="0" w:type="auto"/>
            <w:shd w:val="clear" w:color="auto" w:fill="FFFFFF"/>
            <w:tcMar>
              <w:top w:w="0" w:type="dxa"/>
              <w:left w:w="108" w:type="dxa"/>
              <w:bottom w:w="0" w:type="dxa"/>
              <w:right w:w="108" w:type="dxa"/>
            </w:tcMar>
            <w:vAlign w:val="center"/>
          </w:tcPr>
          <w:p w14:paraId="40B5EA85"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1DF2B4F4"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0314B6C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4CB5BF39"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r w:rsidR="00A76ADB" w:rsidRPr="006C35C3" w14:paraId="3D4286F7" w14:textId="77777777" w:rsidTr="00CF7215">
        <w:trPr>
          <w:cantSplit/>
          <w:trHeight w:val="283"/>
        </w:trPr>
        <w:tc>
          <w:tcPr>
            <w:tcW w:w="0" w:type="auto"/>
            <w:shd w:val="clear" w:color="auto" w:fill="FFFFFF"/>
            <w:tcMar>
              <w:top w:w="0" w:type="dxa"/>
              <w:left w:w="108" w:type="dxa"/>
              <w:bottom w:w="0" w:type="dxa"/>
              <w:right w:w="108" w:type="dxa"/>
            </w:tcMar>
            <w:vAlign w:val="center"/>
          </w:tcPr>
          <w:p w14:paraId="081372EF" w14:textId="77777777" w:rsidR="00A76ADB" w:rsidRPr="006C35C3" w:rsidRDefault="00A76ADB" w:rsidP="007E3239">
            <w:pPr>
              <w:pStyle w:val="TableText"/>
              <w:spacing w:before="50" w:after="50"/>
              <w:rPr>
                <w:rFonts w:cs="Calibri"/>
                <w:szCs w:val="16"/>
              </w:rPr>
            </w:pPr>
            <w:r w:rsidRPr="006C35C3">
              <w:rPr>
                <w:rFonts w:eastAsia="Calibri" w:cs="Calibri"/>
                <w:szCs w:val="16"/>
              </w:rPr>
              <w:t>2019</w:t>
            </w:r>
          </w:p>
        </w:tc>
        <w:tc>
          <w:tcPr>
            <w:tcW w:w="0" w:type="auto"/>
            <w:shd w:val="clear" w:color="auto" w:fill="FFFFFF"/>
            <w:tcMar>
              <w:top w:w="0" w:type="dxa"/>
              <w:left w:w="108" w:type="dxa"/>
              <w:bottom w:w="0" w:type="dxa"/>
              <w:right w:w="108" w:type="dxa"/>
            </w:tcMar>
            <w:vAlign w:val="center"/>
          </w:tcPr>
          <w:p w14:paraId="6D2CFDE2"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7214B6B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1FB389BE"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45B7F519"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r w:rsidR="00A76ADB" w:rsidRPr="006C35C3" w14:paraId="287DE937" w14:textId="77777777" w:rsidTr="00CF7215">
        <w:trPr>
          <w:cantSplit/>
          <w:trHeight w:val="283"/>
        </w:trPr>
        <w:tc>
          <w:tcPr>
            <w:tcW w:w="0" w:type="auto"/>
            <w:shd w:val="clear" w:color="auto" w:fill="FFFFFF"/>
            <w:tcMar>
              <w:top w:w="0" w:type="dxa"/>
              <w:left w:w="108" w:type="dxa"/>
              <w:bottom w:w="0" w:type="dxa"/>
              <w:right w:w="108" w:type="dxa"/>
            </w:tcMar>
            <w:vAlign w:val="center"/>
          </w:tcPr>
          <w:p w14:paraId="3C408520" w14:textId="77777777" w:rsidR="00A76ADB" w:rsidRPr="006C35C3" w:rsidRDefault="00A76ADB" w:rsidP="007E3239">
            <w:pPr>
              <w:pStyle w:val="TableText"/>
              <w:spacing w:before="50" w:after="50"/>
              <w:rPr>
                <w:rFonts w:cs="Calibri"/>
                <w:szCs w:val="16"/>
              </w:rPr>
            </w:pPr>
            <w:r w:rsidRPr="006C35C3">
              <w:rPr>
                <w:rFonts w:eastAsia="Calibri" w:cs="Calibri"/>
                <w:szCs w:val="16"/>
              </w:rPr>
              <w:t>2020</w:t>
            </w:r>
          </w:p>
        </w:tc>
        <w:tc>
          <w:tcPr>
            <w:tcW w:w="0" w:type="auto"/>
            <w:shd w:val="clear" w:color="auto" w:fill="FFFFFF"/>
            <w:tcMar>
              <w:top w:w="0" w:type="dxa"/>
              <w:left w:w="108" w:type="dxa"/>
              <w:bottom w:w="0" w:type="dxa"/>
              <w:right w:w="108" w:type="dxa"/>
            </w:tcMar>
            <w:vAlign w:val="center"/>
          </w:tcPr>
          <w:p w14:paraId="123FFCD6"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0.55</w:t>
            </w:r>
          </w:p>
        </w:tc>
        <w:tc>
          <w:tcPr>
            <w:tcW w:w="0" w:type="auto"/>
            <w:shd w:val="clear" w:color="auto" w:fill="FFFFFF"/>
            <w:tcMar>
              <w:top w:w="0" w:type="dxa"/>
              <w:left w:w="108" w:type="dxa"/>
              <w:bottom w:w="0" w:type="dxa"/>
              <w:right w:w="108" w:type="dxa"/>
            </w:tcMar>
            <w:vAlign w:val="center"/>
          </w:tcPr>
          <w:p w14:paraId="3BD359E9"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0.30</w:t>
            </w:r>
          </w:p>
        </w:tc>
        <w:tc>
          <w:tcPr>
            <w:tcW w:w="0" w:type="auto"/>
            <w:shd w:val="clear" w:color="auto" w:fill="FFFFFF"/>
            <w:tcMar>
              <w:top w:w="0" w:type="dxa"/>
              <w:left w:w="108" w:type="dxa"/>
              <w:bottom w:w="0" w:type="dxa"/>
              <w:right w:w="108" w:type="dxa"/>
            </w:tcMar>
            <w:vAlign w:val="center"/>
          </w:tcPr>
          <w:p w14:paraId="362D1404"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4.50</w:t>
            </w:r>
          </w:p>
        </w:tc>
        <w:tc>
          <w:tcPr>
            <w:tcW w:w="0" w:type="auto"/>
            <w:shd w:val="clear" w:color="auto" w:fill="FFFFFF"/>
            <w:tcMar>
              <w:top w:w="0" w:type="dxa"/>
              <w:left w:w="108" w:type="dxa"/>
              <w:bottom w:w="0" w:type="dxa"/>
              <w:right w:w="108" w:type="dxa"/>
            </w:tcMar>
            <w:vAlign w:val="center"/>
          </w:tcPr>
          <w:p w14:paraId="7A65A528" w14:textId="77777777" w:rsidR="00A76ADB" w:rsidRPr="006C35C3" w:rsidRDefault="00A76ADB" w:rsidP="007E3239">
            <w:pPr>
              <w:pStyle w:val="TableText"/>
              <w:spacing w:before="50" w:after="50"/>
              <w:jc w:val="center"/>
              <w:rPr>
                <w:rFonts w:cs="Calibri"/>
                <w:szCs w:val="16"/>
              </w:rPr>
            </w:pPr>
            <w:r w:rsidRPr="006C35C3">
              <w:rPr>
                <w:rFonts w:eastAsia="Calibri" w:cs="Calibri"/>
                <w:color w:val="000000"/>
                <w:szCs w:val="16"/>
              </w:rPr>
              <w:t>5.35</w:t>
            </w:r>
          </w:p>
        </w:tc>
      </w:tr>
    </w:tbl>
    <w:p w14:paraId="0168BC39" w14:textId="77777777" w:rsidR="00A76ADB" w:rsidRDefault="00A76ADB" w:rsidP="00A76ADB">
      <w:pPr>
        <w:pStyle w:val="Noteundertable"/>
      </w:pPr>
      <w:r>
        <w:rPr>
          <w:b/>
          <w:bCs/>
        </w:rPr>
        <w:t>Note:</w:t>
      </w:r>
      <w:r w:rsidRPr="004C0776">
        <w:t xml:space="preserve"> </w:t>
      </w:r>
      <w:r>
        <w:tab/>
        <w:t>Columns may not total due to rounding.</w:t>
      </w:r>
    </w:p>
    <w:p w14:paraId="2A0996FF" w14:textId="77777777" w:rsidR="00A76ADB" w:rsidRDefault="00A76ADB" w:rsidP="00A76ADB">
      <w:pPr>
        <w:pStyle w:val="Heading5"/>
      </w:pPr>
      <w:bookmarkStart w:id="2405" w:name="open-burning-5.c.2"/>
      <w:bookmarkEnd w:id="2403"/>
      <w:r>
        <w:t>Open burning (5.C.2)</w:t>
      </w:r>
    </w:p>
    <w:p w14:paraId="4CF288A2" w14:textId="77777777" w:rsidR="00A76ADB" w:rsidRDefault="00A76ADB" w:rsidP="00A76ADB">
      <w:pPr>
        <w:pStyle w:val="BodyText"/>
      </w:pPr>
      <w:r>
        <w:t>Little information is available on the quantities of farm wastes burned. A change introduced in the 2021 submission is that the methods of disposal of farm waste are evenly split between disposal to land in farm fills and disposal by open burning, at 47 per cent each (noting that 6 per cent is disposed in other ways).</w:t>
      </w:r>
    </w:p>
    <w:p w14:paraId="0F708596" w14:textId="77777777" w:rsidR="00A76ADB" w:rsidRDefault="00A76ADB" w:rsidP="00A76ADB">
      <w:pPr>
        <w:pStyle w:val="BodyText"/>
      </w:pPr>
      <w:r>
        <w:t>Refer to section 7.2.2 for a discussion on farm waste landfilling and open burning. In summary, because open burning is a significant and common practice (GHD, 2013, 2014) it is being considered to be equal in volume. The amount of waste disposed to farm fills reported in table 7.2.4 is additional and equal to the amount that is disposed by open burning.</w:t>
      </w:r>
    </w:p>
    <w:p w14:paraId="6AC1754D" w14:textId="77777777" w:rsidR="00A76ADB" w:rsidRDefault="00A76ADB" w:rsidP="00A76ADB">
      <w:pPr>
        <w:pStyle w:val="Heading4"/>
      </w:pPr>
      <w:bookmarkStart w:id="2406" w:name="choice-of-methods-2"/>
      <w:bookmarkEnd w:id="2402"/>
      <w:bookmarkEnd w:id="2405"/>
      <w:r>
        <w:lastRenderedPageBreak/>
        <w:t>Choice of methods</w:t>
      </w:r>
    </w:p>
    <w:p w14:paraId="1ABDF274" w14:textId="77777777" w:rsidR="00A76ADB" w:rsidRDefault="00A76ADB" w:rsidP="00A76ADB">
      <w:pPr>
        <w:pStyle w:val="Heading5"/>
        <w:spacing w:before="120"/>
      </w:pPr>
      <w:bookmarkStart w:id="2407" w:name="incineration-5.c.1-1"/>
      <w:r>
        <w:t>Incineration (5.C.1)</w:t>
      </w:r>
    </w:p>
    <w:p w14:paraId="040AF9B3" w14:textId="77777777" w:rsidR="00A76ADB" w:rsidRDefault="00A76ADB" w:rsidP="007813CA">
      <w:pPr>
        <w:pStyle w:val="BodyText"/>
        <w:spacing w:before="100" w:after="100"/>
      </w:pPr>
      <w:r>
        <w:t>Estimates of direct emissions from the incineration of waste are made using the default Tier 1 methodology (IPCC, 2006a). The data used were collected and collated in 2007, and the sources used included information previously collected for purposes of air quality regulation and consent data from regional councils and site operators (SKM, unpublished(a)).</w:t>
      </w:r>
    </w:p>
    <w:p w14:paraId="341A0C4A" w14:textId="77777777" w:rsidR="00A76ADB" w:rsidRDefault="00A76ADB" w:rsidP="00A76ADB">
      <w:pPr>
        <w:pStyle w:val="Heading5"/>
      </w:pPr>
      <w:bookmarkStart w:id="2408" w:name="open-burning-5.c.2-1"/>
      <w:bookmarkEnd w:id="2407"/>
      <w:r>
        <w:t>Open burning (5.C.2)</w:t>
      </w:r>
    </w:p>
    <w:p w14:paraId="66563890" w14:textId="77777777" w:rsidR="00A76ADB" w:rsidRDefault="00A76ADB" w:rsidP="00A76ADB">
      <w:pPr>
        <w:pStyle w:val="BodyText"/>
      </w:pPr>
      <w:r>
        <w:t>Estimates of direct emissions from the open burning of rural waste are made using the default Tier 1 methodology (IPCC, 2006a). Farm waste comprises a mix of household and other wastes, which have a composition and diversity similar to general municipal solid waste (Tonkin and Taylor Ltd, unpublished(b)). Therefore, emissions from CH</w:t>
      </w:r>
      <w:r>
        <w:rPr>
          <w:vertAlign w:val="subscript"/>
        </w:rPr>
        <w:t>4</w:t>
      </w:r>
      <w:r>
        <w:t xml:space="preserve"> and N</w:t>
      </w:r>
      <w:r>
        <w:rPr>
          <w:vertAlign w:val="subscript"/>
        </w:rPr>
        <w:t>2</w:t>
      </w:r>
      <w:r>
        <w:t>O were estimated using default emission factors for bulk municipal solid waste.</w:t>
      </w:r>
    </w:p>
    <w:p w14:paraId="14C4E9AC" w14:textId="77777777" w:rsidR="00A76ADB" w:rsidRDefault="00A76ADB" w:rsidP="00A76ADB">
      <w:pPr>
        <w:pStyle w:val="BodyText"/>
      </w:pPr>
      <w:r>
        <w:t>Emissions of CO</w:t>
      </w:r>
      <w:r>
        <w:rPr>
          <w:vertAlign w:val="subscript"/>
        </w:rPr>
        <w:t>2</w:t>
      </w:r>
      <w:r>
        <w:t xml:space="preserve"> were calculated using the same composition of farm waste as is landfilled, for consistency (as reported in table 7.2.4). Table 7.4.3 shows the parameters that determine dry-matter content, total carbon content and fossil carbon content (IPCC defaults), which are then weighted against composition.</w:t>
      </w:r>
    </w:p>
    <w:p w14:paraId="61451A8A" w14:textId="77777777" w:rsidR="00A76ADB" w:rsidRDefault="00A76ADB" w:rsidP="00A76ADB">
      <w:pPr>
        <w:pStyle w:val="Table"/>
      </w:pPr>
      <w:bookmarkStart w:id="2409" w:name="_Toc99659336"/>
      <w:r>
        <w:t>Table 7.4.3</w:t>
      </w:r>
      <w:r>
        <w:tab/>
        <w:t>Values applied to estimate carbon dioxide emissions from open burning of rural waste</w:t>
      </w:r>
      <w:bookmarkEnd w:id="2409"/>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843"/>
        <w:gridCol w:w="1418"/>
        <w:gridCol w:w="1701"/>
        <w:gridCol w:w="1701"/>
        <w:gridCol w:w="1842"/>
      </w:tblGrid>
      <w:tr w:rsidR="00A76ADB" w:rsidRPr="006C0D1B" w14:paraId="14C0A529" w14:textId="77777777" w:rsidTr="00CF7215">
        <w:trPr>
          <w:cantSplit/>
          <w:tblHeader/>
        </w:trPr>
        <w:tc>
          <w:tcPr>
            <w:tcW w:w="1843" w:type="dxa"/>
            <w:shd w:val="clear" w:color="auto" w:fill="1B556B"/>
            <w:tcMar>
              <w:top w:w="0" w:type="dxa"/>
              <w:left w:w="108" w:type="dxa"/>
              <w:bottom w:w="0" w:type="dxa"/>
              <w:right w:w="108" w:type="dxa"/>
            </w:tcMar>
            <w:vAlign w:val="bottom"/>
          </w:tcPr>
          <w:p w14:paraId="3317FCAC" w14:textId="77777777" w:rsidR="00A76ADB" w:rsidRPr="006C0D1B" w:rsidRDefault="00A76ADB" w:rsidP="007E3239">
            <w:pPr>
              <w:pStyle w:val="TableTextBold"/>
              <w:spacing w:before="40" w:after="40"/>
              <w:rPr>
                <w:color w:val="FFFFFF"/>
              </w:rPr>
            </w:pPr>
            <w:r w:rsidRPr="006C0D1B">
              <w:rPr>
                <w:rFonts w:eastAsia="Calibri"/>
                <w:color w:val="FFFFFF"/>
              </w:rPr>
              <w:t>Waste type</w:t>
            </w:r>
          </w:p>
        </w:tc>
        <w:tc>
          <w:tcPr>
            <w:tcW w:w="1418" w:type="dxa"/>
            <w:shd w:val="clear" w:color="auto" w:fill="1B556B"/>
            <w:tcMar>
              <w:top w:w="0" w:type="dxa"/>
              <w:left w:w="108" w:type="dxa"/>
              <w:bottom w:w="0" w:type="dxa"/>
              <w:right w:w="108" w:type="dxa"/>
            </w:tcMar>
            <w:vAlign w:val="bottom"/>
          </w:tcPr>
          <w:p w14:paraId="3A451279" w14:textId="77777777" w:rsidR="00A76ADB" w:rsidRPr="006C0D1B" w:rsidRDefault="00A76ADB" w:rsidP="007E3239">
            <w:pPr>
              <w:pStyle w:val="TableTextBold"/>
              <w:spacing w:before="40" w:after="40"/>
              <w:jc w:val="center"/>
              <w:rPr>
                <w:color w:val="FFFFFF"/>
              </w:rPr>
            </w:pPr>
            <w:r w:rsidRPr="006C0D1B">
              <w:rPr>
                <w:rFonts w:eastAsia="Calibri"/>
                <w:color w:val="FFFFFF"/>
              </w:rPr>
              <w:t xml:space="preserve">Composition </w:t>
            </w:r>
            <w:r w:rsidRPr="006C0D1B">
              <w:rPr>
                <w:rFonts w:eastAsia="Calibri"/>
                <w:color w:val="FFFFFF"/>
              </w:rPr>
              <w:br/>
              <w:t>(%)</w:t>
            </w:r>
          </w:p>
        </w:tc>
        <w:tc>
          <w:tcPr>
            <w:tcW w:w="1701" w:type="dxa"/>
            <w:shd w:val="clear" w:color="auto" w:fill="1B556B"/>
            <w:tcMar>
              <w:top w:w="0" w:type="dxa"/>
              <w:left w:w="108" w:type="dxa"/>
              <w:bottom w:w="0" w:type="dxa"/>
              <w:right w:w="108" w:type="dxa"/>
            </w:tcMar>
            <w:vAlign w:val="bottom"/>
          </w:tcPr>
          <w:p w14:paraId="06E28A72" w14:textId="77777777" w:rsidR="00A76ADB" w:rsidRPr="006C0D1B" w:rsidRDefault="00A76ADB" w:rsidP="007E3239">
            <w:pPr>
              <w:pStyle w:val="TableTextBold"/>
              <w:spacing w:before="40" w:after="40"/>
              <w:jc w:val="center"/>
              <w:rPr>
                <w:color w:val="FFFFFF"/>
              </w:rPr>
            </w:pPr>
            <w:r w:rsidRPr="006C0D1B">
              <w:rPr>
                <w:rFonts w:eastAsia="Calibri"/>
                <w:color w:val="FFFFFF"/>
              </w:rPr>
              <w:t>Dry matter content (%)</w:t>
            </w:r>
          </w:p>
        </w:tc>
        <w:tc>
          <w:tcPr>
            <w:tcW w:w="1701" w:type="dxa"/>
            <w:shd w:val="clear" w:color="auto" w:fill="1B556B"/>
            <w:tcMar>
              <w:top w:w="0" w:type="dxa"/>
              <w:left w:w="108" w:type="dxa"/>
              <w:bottom w:w="0" w:type="dxa"/>
              <w:right w:w="108" w:type="dxa"/>
            </w:tcMar>
            <w:vAlign w:val="bottom"/>
          </w:tcPr>
          <w:p w14:paraId="3BE5ECC3" w14:textId="77777777" w:rsidR="00A76ADB" w:rsidRPr="006C0D1B" w:rsidRDefault="00A76ADB" w:rsidP="007E3239">
            <w:pPr>
              <w:pStyle w:val="TableTextBold"/>
              <w:spacing w:before="40" w:after="40"/>
              <w:jc w:val="center"/>
              <w:rPr>
                <w:color w:val="FFFFFF"/>
              </w:rPr>
            </w:pPr>
            <w:r w:rsidRPr="006C0D1B">
              <w:rPr>
                <w:rFonts w:eastAsia="Calibri"/>
                <w:color w:val="FFFFFF"/>
              </w:rPr>
              <w:t>Total carbon content (%)</w:t>
            </w:r>
          </w:p>
        </w:tc>
        <w:tc>
          <w:tcPr>
            <w:tcW w:w="1842" w:type="dxa"/>
            <w:shd w:val="clear" w:color="auto" w:fill="1B556B"/>
            <w:tcMar>
              <w:top w:w="0" w:type="dxa"/>
              <w:left w:w="108" w:type="dxa"/>
              <w:bottom w:w="0" w:type="dxa"/>
              <w:right w:w="108" w:type="dxa"/>
            </w:tcMar>
            <w:vAlign w:val="bottom"/>
          </w:tcPr>
          <w:p w14:paraId="7EB8DB43" w14:textId="77777777" w:rsidR="00A76ADB" w:rsidRPr="006C0D1B" w:rsidRDefault="00A76ADB" w:rsidP="007E3239">
            <w:pPr>
              <w:pStyle w:val="TableTextBold"/>
              <w:spacing w:before="40" w:after="40"/>
              <w:jc w:val="center"/>
              <w:rPr>
                <w:color w:val="FFFFFF"/>
              </w:rPr>
            </w:pPr>
            <w:r w:rsidRPr="006C0D1B">
              <w:rPr>
                <w:rFonts w:eastAsia="Calibri"/>
                <w:color w:val="FFFFFF"/>
              </w:rPr>
              <w:t>Fossil carbon content of total carbon (%)</w:t>
            </w:r>
          </w:p>
        </w:tc>
      </w:tr>
      <w:tr w:rsidR="00A76ADB" w14:paraId="4EF6D493" w14:textId="77777777" w:rsidTr="00CF7215">
        <w:trPr>
          <w:cantSplit/>
          <w:trHeight w:val="283"/>
        </w:trPr>
        <w:tc>
          <w:tcPr>
            <w:tcW w:w="1843" w:type="dxa"/>
            <w:shd w:val="clear" w:color="auto" w:fill="FFFFFF"/>
            <w:tcMar>
              <w:top w:w="0" w:type="dxa"/>
              <w:left w:w="108" w:type="dxa"/>
              <w:bottom w:w="0" w:type="dxa"/>
              <w:right w:w="108" w:type="dxa"/>
            </w:tcMar>
            <w:vAlign w:val="center"/>
          </w:tcPr>
          <w:p w14:paraId="3D8CC746" w14:textId="77777777" w:rsidR="00A76ADB" w:rsidRDefault="00A76ADB" w:rsidP="007E3239">
            <w:pPr>
              <w:pStyle w:val="TableText"/>
              <w:spacing w:before="40" w:after="40"/>
            </w:pPr>
            <w:r>
              <w:rPr>
                <w:rFonts w:eastAsia="Calibri"/>
              </w:rPr>
              <w:t>Paper/card</w:t>
            </w:r>
          </w:p>
        </w:tc>
        <w:tc>
          <w:tcPr>
            <w:tcW w:w="1418" w:type="dxa"/>
            <w:shd w:val="clear" w:color="auto" w:fill="FFFFFF"/>
            <w:tcMar>
              <w:top w:w="0" w:type="dxa"/>
              <w:left w:w="108" w:type="dxa"/>
              <w:bottom w:w="0" w:type="dxa"/>
              <w:right w:w="108" w:type="dxa"/>
            </w:tcMar>
            <w:vAlign w:val="center"/>
          </w:tcPr>
          <w:p w14:paraId="5CC596CE" w14:textId="77777777" w:rsidR="00A76ADB" w:rsidRDefault="00A76ADB" w:rsidP="007E3239">
            <w:pPr>
              <w:pStyle w:val="TableText"/>
              <w:spacing w:before="40" w:after="40"/>
              <w:jc w:val="center"/>
            </w:pPr>
            <w:r>
              <w:rPr>
                <w:rFonts w:eastAsia="Calibri"/>
              </w:rPr>
              <w:t>1.1</w:t>
            </w:r>
          </w:p>
        </w:tc>
        <w:tc>
          <w:tcPr>
            <w:tcW w:w="1701" w:type="dxa"/>
            <w:shd w:val="clear" w:color="auto" w:fill="FFFFFF"/>
            <w:tcMar>
              <w:top w:w="0" w:type="dxa"/>
              <w:left w:w="108" w:type="dxa"/>
              <w:bottom w:w="0" w:type="dxa"/>
              <w:right w:w="108" w:type="dxa"/>
            </w:tcMar>
            <w:vAlign w:val="center"/>
          </w:tcPr>
          <w:p w14:paraId="23373687" w14:textId="77777777" w:rsidR="00A76ADB" w:rsidRDefault="00A76ADB" w:rsidP="007E3239">
            <w:pPr>
              <w:pStyle w:val="TableText"/>
              <w:spacing w:before="40" w:after="40"/>
              <w:jc w:val="center"/>
            </w:pPr>
            <w:r>
              <w:rPr>
                <w:rFonts w:eastAsia="Calibri"/>
              </w:rPr>
              <w:t>90</w:t>
            </w:r>
          </w:p>
        </w:tc>
        <w:tc>
          <w:tcPr>
            <w:tcW w:w="1701" w:type="dxa"/>
            <w:shd w:val="clear" w:color="auto" w:fill="FFFFFF"/>
            <w:tcMar>
              <w:top w:w="0" w:type="dxa"/>
              <w:left w:w="108" w:type="dxa"/>
              <w:bottom w:w="0" w:type="dxa"/>
              <w:right w:w="108" w:type="dxa"/>
            </w:tcMar>
            <w:vAlign w:val="center"/>
          </w:tcPr>
          <w:p w14:paraId="18339CC8" w14:textId="77777777" w:rsidR="00A76ADB" w:rsidRDefault="00A76ADB" w:rsidP="007E3239">
            <w:pPr>
              <w:pStyle w:val="TableText"/>
              <w:spacing w:before="40" w:after="40"/>
              <w:jc w:val="center"/>
            </w:pPr>
            <w:r>
              <w:rPr>
                <w:rFonts w:eastAsia="Calibri"/>
              </w:rPr>
              <w:t>46</w:t>
            </w:r>
          </w:p>
        </w:tc>
        <w:tc>
          <w:tcPr>
            <w:tcW w:w="1842" w:type="dxa"/>
            <w:shd w:val="clear" w:color="auto" w:fill="FFFFFF"/>
            <w:tcMar>
              <w:top w:w="0" w:type="dxa"/>
              <w:left w:w="108" w:type="dxa"/>
              <w:bottom w:w="0" w:type="dxa"/>
              <w:right w:w="108" w:type="dxa"/>
            </w:tcMar>
            <w:vAlign w:val="center"/>
          </w:tcPr>
          <w:p w14:paraId="0F125FEE" w14:textId="77777777" w:rsidR="00A76ADB" w:rsidRDefault="00A76ADB" w:rsidP="007E3239">
            <w:pPr>
              <w:pStyle w:val="TableText"/>
              <w:spacing w:before="40" w:after="40"/>
              <w:jc w:val="center"/>
            </w:pPr>
            <w:r>
              <w:rPr>
                <w:rFonts w:eastAsia="Calibri"/>
              </w:rPr>
              <w:t>1</w:t>
            </w:r>
          </w:p>
        </w:tc>
      </w:tr>
      <w:tr w:rsidR="00A76ADB" w14:paraId="41022633" w14:textId="77777777" w:rsidTr="00CF7215">
        <w:trPr>
          <w:cantSplit/>
          <w:trHeight w:val="283"/>
        </w:trPr>
        <w:tc>
          <w:tcPr>
            <w:tcW w:w="1843" w:type="dxa"/>
            <w:shd w:val="clear" w:color="auto" w:fill="FFFFFF"/>
            <w:tcMar>
              <w:top w:w="0" w:type="dxa"/>
              <w:left w:w="108" w:type="dxa"/>
              <w:bottom w:w="0" w:type="dxa"/>
              <w:right w:w="108" w:type="dxa"/>
            </w:tcMar>
            <w:vAlign w:val="center"/>
          </w:tcPr>
          <w:p w14:paraId="6E45DE32" w14:textId="77777777" w:rsidR="00A76ADB" w:rsidRDefault="00A76ADB" w:rsidP="007E3239">
            <w:pPr>
              <w:pStyle w:val="TableText"/>
              <w:spacing w:before="40" w:after="40"/>
            </w:pPr>
            <w:r>
              <w:rPr>
                <w:rFonts w:eastAsia="Calibri"/>
              </w:rPr>
              <w:t>Textiles</w:t>
            </w:r>
          </w:p>
        </w:tc>
        <w:tc>
          <w:tcPr>
            <w:tcW w:w="1418" w:type="dxa"/>
            <w:shd w:val="clear" w:color="auto" w:fill="FFFFFF"/>
            <w:tcMar>
              <w:top w:w="0" w:type="dxa"/>
              <w:left w:w="108" w:type="dxa"/>
              <w:bottom w:w="0" w:type="dxa"/>
              <w:right w:w="108" w:type="dxa"/>
            </w:tcMar>
            <w:vAlign w:val="center"/>
          </w:tcPr>
          <w:p w14:paraId="096A195B" w14:textId="77777777" w:rsidR="00A76ADB" w:rsidRDefault="00A76ADB" w:rsidP="007E3239">
            <w:pPr>
              <w:pStyle w:val="TableText"/>
              <w:spacing w:before="40" w:after="40"/>
              <w:jc w:val="center"/>
            </w:pPr>
            <w:r>
              <w:rPr>
                <w:rFonts w:eastAsia="Calibri"/>
              </w:rPr>
              <w:t>19.5</w:t>
            </w:r>
          </w:p>
        </w:tc>
        <w:tc>
          <w:tcPr>
            <w:tcW w:w="1701" w:type="dxa"/>
            <w:shd w:val="clear" w:color="auto" w:fill="FFFFFF"/>
            <w:tcMar>
              <w:top w:w="0" w:type="dxa"/>
              <w:left w:w="108" w:type="dxa"/>
              <w:bottom w:w="0" w:type="dxa"/>
              <w:right w:w="108" w:type="dxa"/>
            </w:tcMar>
            <w:vAlign w:val="center"/>
          </w:tcPr>
          <w:p w14:paraId="465B6ED5" w14:textId="77777777" w:rsidR="00A76ADB" w:rsidRDefault="00A76ADB" w:rsidP="007E3239">
            <w:pPr>
              <w:pStyle w:val="TableText"/>
              <w:spacing w:before="40" w:after="40"/>
              <w:jc w:val="center"/>
            </w:pPr>
            <w:r>
              <w:rPr>
                <w:rFonts w:eastAsia="Calibri"/>
              </w:rPr>
              <w:t>80</w:t>
            </w:r>
          </w:p>
        </w:tc>
        <w:tc>
          <w:tcPr>
            <w:tcW w:w="1701" w:type="dxa"/>
            <w:shd w:val="clear" w:color="auto" w:fill="FFFFFF"/>
            <w:tcMar>
              <w:top w:w="0" w:type="dxa"/>
              <w:left w:w="108" w:type="dxa"/>
              <w:bottom w:w="0" w:type="dxa"/>
              <w:right w:w="108" w:type="dxa"/>
            </w:tcMar>
            <w:vAlign w:val="center"/>
          </w:tcPr>
          <w:p w14:paraId="3CB7B2C0" w14:textId="77777777" w:rsidR="00A76ADB" w:rsidRDefault="00A76ADB" w:rsidP="007E3239">
            <w:pPr>
              <w:pStyle w:val="TableText"/>
              <w:spacing w:before="40" w:after="40"/>
              <w:jc w:val="center"/>
            </w:pPr>
            <w:r>
              <w:rPr>
                <w:rFonts w:eastAsia="Calibri"/>
              </w:rPr>
              <w:t>50</w:t>
            </w:r>
          </w:p>
        </w:tc>
        <w:tc>
          <w:tcPr>
            <w:tcW w:w="1842" w:type="dxa"/>
            <w:shd w:val="clear" w:color="auto" w:fill="FFFFFF"/>
            <w:tcMar>
              <w:top w:w="0" w:type="dxa"/>
              <w:left w:w="108" w:type="dxa"/>
              <w:bottom w:w="0" w:type="dxa"/>
              <w:right w:w="108" w:type="dxa"/>
            </w:tcMar>
            <w:vAlign w:val="center"/>
          </w:tcPr>
          <w:p w14:paraId="6E5153A0" w14:textId="77777777" w:rsidR="00A76ADB" w:rsidRDefault="00A76ADB" w:rsidP="007E3239">
            <w:pPr>
              <w:pStyle w:val="TableText"/>
              <w:spacing w:before="40" w:after="40"/>
              <w:jc w:val="center"/>
            </w:pPr>
            <w:r>
              <w:rPr>
                <w:rFonts w:eastAsia="Calibri"/>
              </w:rPr>
              <w:t>20</w:t>
            </w:r>
          </w:p>
        </w:tc>
      </w:tr>
      <w:tr w:rsidR="00A76ADB" w14:paraId="2F4BBD61" w14:textId="77777777" w:rsidTr="00CF7215">
        <w:trPr>
          <w:cantSplit/>
          <w:trHeight w:val="283"/>
        </w:trPr>
        <w:tc>
          <w:tcPr>
            <w:tcW w:w="1843" w:type="dxa"/>
            <w:shd w:val="clear" w:color="auto" w:fill="FFFFFF"/>
            <w:tcMar>
              <w:top w:w="0" w:type="dxa"/>
              <w:left w:w="108" w:type="dxa"/>
              <w:bottom w:w="0" w:type="dxa"/>
              <w:right w:w="108" w:type="dxa"/>
            </w:tcMar>
            <w:vAlign w:val="center"/>
          </w:tcPr>
          <w:p w14:paraId="0A803CC9" w14:textId="77777777" w:rsidR="00A76ADB" w:rsidRDefault="00A76ADB" w:rsidP="007E3239">
            <w:pPr>
              <w:pStyle w:val="TableText"/>
              <w:spacing w:before="40" w:after="40"/>
            </w:pPr>
            <w:r>
              <w:rPr>
                <w:rFonts w:eastAsia="Calibri"/>
              </w:rPr>
              <w:t>Food waste</w:t>
            </w:r>
          </w:p>
        </w:tc>
        <w:tc>
          <w:tcPr>
            <w:tcW w:w="1418" w:type="dxa"/>
            <w:shd w:val="clear" w:color="auto" w:fill="FFFFFF"/>
            <w:tcMar>
              <w:top w:w="0" w:type="dxa"/>
              <w:left w:w="108" w:type="dxa"/>
              <w:bottom w:w="0" w:type="dxa"/>
              <w:right w:w="108" w:type="dxa"/>
            </w:tcMar>
            <w:vAlign w:val="center"/>
          </w:tcPr>
          <w:p w14:paraId="74A89EB8" w14:textId="77777777" w:rsidR="00A76ADB" w:rsidRDefault="00A76ADB" w:rsidP="007E3239">
            <w:pPr>
              <w:pStyle w:val="TableText"/>
              <w:spacing w:before="40" w:after="40"/>
              <w:jc w:val="center"/>
            </w:pPr>
            <w:r>
              <w:rPr>
                <w:rFonts w:eastAsia="Calibri"/>
              </w:rPr>
              <w:t>15.6</w:t>
            </w:r>
          </w:p>
        </w:tc>
        <w:tc>
          <w:tcPr>
            <w:tcW w:w="1701" w:type="dxa"/>
            <w:shd w:val="clear" w:color="auto" w:fill="FFFFFF"/>
            <w:tcMar>
              <w:top w:w="0" w:type="dxa"/>
              <w:left w:w="108" w:type="dxa"/>
              <w:bottom w:w="0" w:type="dxa"/>
              <w:right w:w="108" w:type="dxa"/>
            </w:tcMar>
            <w:vAlign w:val="center"/>
          </w:tcPr>
          <w:p w14:paraId="03DDDF6D" w14:textId="77777777" w:rsidR="00A76ADB" w:rsidRDefault="00A76ADB" w:rsidP="007E3239">
            <w:pPr>
              <w:pStyle w:val="TableText"/>
              <w:spacing w:before="40" w:after="40"/>
              <w:jc w:val="center"/>
            </w:pPr>
            <w:r>
              <w:rPr>
                <w:rFonts w:eastAsia="Calibri"/>
              </w:rPr>
              <w:t>40</w:t>
            </w:r>
          </w:p>
        </w:tc>
        <w:tc>
          <w:tcPr>
            <w:tcW w:w="1701" w:type="dxa"/>
            <w:shd w:val="clear" w:color="auto" w:fill="FFFFFF"/>
            <w:tcMar>
              <w:top w:w="0" w:type="dxa"/>
              <w:left w:w="108" w:type="dxa"/>
              <w:bottom w:w="0" w:type="dxa"/>
              <w:right w:w="108" w:type="dxa"/>
            </w:tcMar>
            <w:vAlign w:val="center"/>
          </w:tcPr>
          <w:p w14:paraId="71D0FF55" w14:textId="77777777" w:rsidR="00A76ADB" w:rsidRDefault="00A76ADB" w:rsidP="007E3239">
            <w:pPr>
              <w:pStyle w:val="TableText"/>
              <w:spacing w:before="40" w:after="40"/>
              <w:jc w:val="center"/>
            </w:pPr>
            <w:r>
              <w:rPr>
                <w:rFonts w:eastAsia="Calibri"/>
              </w:rPr>
              <w:t>38</w:t>
            </w:r>
          </w:p>
        </w:tc>
        <w:tc>
          <w:tcPr>
            <w:tcW w:w="1842" w:type="dxa"/>
            <w:shd w:val="clear" w:color="auto" w:fill="FFFFFF"/>
            <w:tcMar>
              <w:top w:w="0" w:type="dxa"/>
              <w:left w:w="108" w:type="dxa"/>
              <w:bottom w:w="0" w:type="dxa"/>
              <w:right w:w="108" w:type="dxa"/>
            </w:tcMar>
            <w:vAlign w:val="center"/>
          </w:tcPr>
          <w:p w14:paraId="79E05C8E" w14:textId="77777777" w:rsidR="00A76ADB" w:rsidRDefault="00A76ADB" w:rsidP="007E3239">
            <w:pPr>
              <w:pStyle w:val="TableText"/>
              <w:spacing w:before="40" w:after="40"/>
              <w:jc w:val="center"/>
            </w:pPr>
            <w:r>
              <w:rPr>
                <w:rFonts w:eastAsia="Calibri"/>
              </w:rPr>
              <w:t>0</w:t>
            </w:r>
          </w:p>
        </w:tc>
      </w:tr>
      <w:tr w:rsidR="00A76ADB" w14:paraId="7F040DA5" w14:textId="77777777" w:rsidTr="00CF7215">
        <w:trPr>
          <w:cantSplit/>
          <w:trHeight w:val="283"/>
        </w:trPr>
        <w:tc>
          <w:tcPr>
            <w:tcW w:w="1843" w:type="dxa"/>
            <w:shd w:val="clear" w:color="auto" w:fill="FFFFFF"/>
            <w:tcMar>
              <w:top w:w="0" w:type="dxa"/>
              <w:left w:w="108" w:type="dxa"/>
              <w:bottom w:w="0" w:type="dxa"/>
              <w:right w:w="108" w:type="dxa"/>
            </w:tcMar>
            <w:vAlign w:val="center"/>
          </w:tcPr>
          <w:p w14:paraId="07AD0D94" w14:textId="77777777" w:rsidR="00A76ADB" w:rsidRDefault="00A76ADB" w:rsidP="007E3239">
            <w:pPr>
              <w:pStyle w:val="TableText"/>
              <w:spacing w:before="40" w:after="40"/>
            </w:pPr>
            <w:r>
              <w:rPr>
                <w:rFonts w:eastAsia="Calibri"/>
              </w:rPr>
              <w:t>Wood</w:t>
            </w:r>
          </w:p>
        </w:tc>
        <w:tc>
          <w:tcPr>
            <w:tcW w:w="1418" w:type="dxa"/>
            <w:shd w:val="clear" w:color="auto" w:fill="FFFFFF"/>
            <w:tcMar>
              <w:top w:w="0" w:type="dxa"/>
              <w:left w:w="108" w:type="dxa"/>
              <w:bottom w:w="0" w:type="dxa"/>
              <w:right w:w="108" w:type="dxa"/>
            </w:tcMar>
            <w:vAlign w:val="center"/>
          </w:tcPr>
          <w:p w14:paraId="14EEAA5B" w14:textId="77777777" w:rsidR="00A76ADB" w:rsidRDefault="00A76ADB" w:rsidP="007E3239">
            <w:pPr>
              <w:pStyle w:val="TableText"/>
              <w:spacing w:before="40" w:after="40"/>
              <w:jc w:val="center"/>
            </w:pPr>
            <w:r>
              <w:rPr>
                <w:rFonts w:eastAsia="Calibri"/>
              </w:rPr>
              <w:t>40.2</w:t>
            </w:r>
          </w:p>
        </w:tc>
        <w:tc>
          <w:tcPr>
            <w:tcW w:w="1701" w:type="dxa"/>
            <w:shd w:val="clear" w:color="auto" w:fill="FFFFFF"/>
            <w:tcMar>
              <w:top w:w="0" w:type="dxa"/>
              <w:left w:w="108" w:type="dxa"/>
              <w:bottom w:w="0" w:type="dxa"/>
              <w:right w:w="108" w:type="dxa"/>
            </w:tcMar>
            <w:vAlign w:val="center"/>
          </w:tcPr>
          <w:p w14:paraId="230A1264" w14:textId="77777777" w:rsidR="00A76ADB" w:rsidRDefault="00A76ADB" w:rsidP="007E3239">
            <w:pPr>
              <w:pStyle w:val="TableText"/>
              <w:spacing w:before="40" w:after="40"/>
              <w:jc w:val="center"/>
            </w:pPr>
            <w:r>
              <w:rPr>
                <w:rFonts w:eastAsia="Calibri"/>
              </w:rPr>
              <w:t>85</w:t>
            </w:r>
          </w:p>
        </w:tc>
        <w:tc>
          <w:tcPr>
            <w:tcW w:w="1701" w:type="dxa"/>
            <w:shd w:val="clear" w:color="auto" w:fill="FFFFFF"/>
            <w:tcMar>
              <w:top w:w="0" w:type="dxa"/>
              <w:left w:w="108" w:type="dxa"/>
              <w:bottom w:w="0" w:type="dxa"/>
              <w:right w:w="108" w:type="dxa"/>
            </w:tcMar>
            <w:vAlign w:val="center"/>
          </w:tcPr>
          <w:p w14:paraId="54705C0C" w14:textId="77777777" w:rsidR="00A76ADB" w:rsidRDefault="00A76ADB" w:rsidP="007E3239">
            <w:pPr>
              <w:pStyle w:val="TableText"/>
              <w:spacing w:before="40" w:after="40"/>
              <w:jc w:val="center"/>
            </w:pPr>
            <w:r>
              <w:rPr>
                <w:rFonts w:eastAsia="Calibri"/>
              </w:rPr>
              <w:t>50</w:t>
            </w:r>
          </w:p>
        </w:tc>
        <w:tc>
          <w:tcPr>
            <w:tcW w:w="1842" w:type="dxa"/>
            <w:shd w:val="clear" w:color="auto" w:fill="FFFFFF"/>
            <w:tcMar>
              <w:top w:w="0" w:type="dxa"/>
              <w:left w:w="108" w:type="dxa"/>
              <w:bottom w:w="0" w:type="dxa"/>
              <w:right w:w="108" w:type="dxa"/>
            </w:tcMar>
            <w:vAlign w:val="center"/>
          </w:tcPr>
          <w:p w14:paraId="75880A67" w14:textId="77777777" w:rsidR="00A76ADB" w:rsidRDefault="00A76ADB" w:rsidP="007E3239">
            <w:pPr>
              <w:pStyle w:val="TableText"/>
              <w:spacing w:before="40" w:after="40"/>
              <w:jc w:val="center"/>
            </w:pPr>
            <w:r>
              <w:rPr>
                <w:rFonts w:eastAsia="Calibri"/>
              </w:rPr>
              <w:t>0</w:t>
            </w:r>
          </w:p>
        </w:tc>
      </w:tr>
      <w:tr w:rsidR="00A76ADB" w14:paraId="35D359B3" w14:textId="77777777" w:rsidTr="00CF7215">
        <w:trPr>
          <w:cantSplit/>
          <w:trHeight w:val="283"/>
        </w:trPr>
        <w:tc>
          <w:tcPr>
            <w:tcW w:w="1843" w:type="dxa"/>
            <w:shd w:val="clear" w:color="auto" w:fill="FFFFFF"/>
            <w:tcMar>
              <w:top w:w="0" w:type="dxa"/>
              <w:left w:w="108" w:type="dxa"/>
              <w:bottom w:w="0" w:type="dxa"/>
              <w:right w:w="108" w:type="dxa"/>
            </w:tcMar>
            <w:vAlign w:val="center"/>
          </w:tcPr>
          <w:p w14:paraId="598C7970" w14:textId="77777777" w:rsidR="00A76ADB" w:rsidRDefault="00A76ADB" w:rsidP="007E3239">
            <w:pPr>
              <w:pStyle w:val="TableText"/>
              <w:spacing w:before="40" w:after="40"/>
            </w:pPr>
            <w:r>
              <w:rPr>
                <w:rFonts w:eastAsia="Calibri"/>
              </w:rPr>
              <w:t>Garden and park waste</w:t>
            </w:r>
          </w:p>
        </w:tc>
        <w:tc>
          <w:tcPr>
            <w:tcW w:w="1418" w:type="dxa"/>
            <w:shd w:val="clear" w:color="auto" w:fill="FFFFFF"/>
            <w:tcMar>
              <w:top w:w="0" w:type="dxa"/>
              <w:left w:w="108" w:type="dxa"/>
              <w:bottom w:w="0" w:type="dxa"/>
              <w:right w:w="108" w:type="dxa"/>
            </w:tcMar>
            <w:vAlign w:val="center"/>
          </w:tcPr>
          <w:p w14:paraId="7D1B9952" w14:textId="77777777" w:rsidR="00A76ADB" w:rsidRDefault="00A76ADB" w:rsidP="007E3239">
            <w:pPr>
              <w:pStyle w:val="TableText"/>
              <w:spacing w:before="40" w:after="40"/>
              <w:jc w:val="center"/>
            </w:pPr>
            <w:r>
              <w:rPr>
                <w:rFonts w:eastAsia="Calibri"/>
              </w:rPr>
              <w:t>NA</w:t>
            </w:r>
          </w:p>
        </w:tc>
        <w:tc>
          <w:tcPr>
            <w:tcW w:w="1701" w:type="dxa"/>
            <w:shd w:val="clear" w:color="auto" w:fill="FFFFFF"/>
            <w:tcMar>
              <w:top w:w="0" w:type="dxa"/>
              <w:left w:w="108" w:type="dxa"/>
              <w:bottom w:w="0" w:type="dxa"/>
              <w:right w:w="108" w:type="dxa"/>
            </w:tcMar>
            <w:vAlign w:val="center"/>
          </w:tcPr>
          <w:p w14:paraId="26D5E49D" w14:textId="77777777" w:rsidR="00A76ADB" w:rsidRDefault="00A76ADB" w:rsidP="007E3239">
            <w:pPr>
              <w:pStyle w:val="TableText"/>
              <w:spacing w:before="40" w:after="40"/>
              <w:jc w:val="center"/>
            </w:pPr>
            <w:r>
              <w:rPr>
                <w:rFonts w:eastAsia="Calibri"/>
              </w:rPr>
              <w:t>40</w:t>
            </w:r>
          </w:p>
        </w:tc>
        <w:tc>
          <w:tcPr>
            <w:tcW w:w="1701" w:type="dxa"/>
            <w:shd w:val="clear" w:color="auto" w:fill="FFFFFF"/>
            <w:tcMar>
              <w:top w:w="0" w:type="dxa"/>
              <w:left w:w="108" w:type="dxa"/>
              <w:bottom w:w="0" w:type="dxa"/>
              <w:right w:w="108" w:type="dxa"/>
            </w:tcMar>
            <w:vAlign w:val="center"/>
          </w:tcPr>
          <w:p w14:paraId="76B01E65" w14:textId="77777777" w:rsidR="00A76ADB" w:rsidRDefault="00A76ADB" w:rsidP="007E3239">
            <w:pPr>
              <w:pStyle w:val="TableText"/>
              <w:spacing w:before="40" w:after="40"/>
              <w:jc w:val="center"/>
            </w:pPr>
            <w:r>
              <w:rPr>
                <w:rFonts w:eastAsia="Calibri"/>
              </w:rPr>
              <w:t>49</w:t>
            </w:r>
          </w:p>
        </w:tc>
        <w:tc>
          <w:tcPr>
            <w:tcW w:w="1842" w:type="dxa"/>
            <w:shd w:val="clear" w:color="auto" w:fill="FFFFFF"/>
            <w:tcMar>
              <w:top w:w="0" w:type="dxa"/>
              <w:left w:w="108" w:type="dxa"/>
              <w:bottom w:w="0" w:type="dxa"/>
              <w:right w:w="108" w:type="dxa"/>
            </w:tcMar>
            <w:vAlign w:val="center"/>
          </w:tcPr>
          <w:p w14:paraId="5D8AEDD8" w14:textId="77777777" w:rsidR="00A76ADB" w:rsidRDefault="00A76ADB" w:rsidP="007E3239">
            <w:pPr>
              <w:pStyle w:val="TableText"/>
              <w:spacing w:before="40" w:after="40"/>
              <w:jc w:val="center"/>
            </w:pPr>
            <w:r>
              <w:rPr>
                <w:rFonts w:eastAsia="Calibri"/>
              </w:rPr>
              <w:t>0</w:t>
            </w:r>
          </w:p>
        </w:tc>
      </w:tr>
      <w:tr w:rsidR="00A76ADB" w14:paraId="2AA53A43" w14:textId="77777777" w:rsidTr="00CF7215">
        <w:trPr>
          <w:cantSplit/>
          <w:trHeight w:val="283"/>
        </w:trPr>
        <w:tc>
          <w:tcPr>
            <w:tcW w:w="1843" w:type="dxa"/>
            <w:shd w:val="clear" w:color="auto" w:fill="FFFFFF"/>
            <w:tcMar>
              <w:top w:w="0" w:type="dxa"/>
              <w:left w:w="108" w:type="dxa"/>
              <w:bottom w:w="0" w:type="dxa"/>
              <w:right w:w="108" w:type="dxa"/>
            </w:tcMar>
            <w:vAlign w:val="center"/>
          </w:tcPr>
          <w:p w14:paraId="082506E4" w14:textId="77777777" w:rsidR="00A76ADB" w:rsidRDefault="00A76ADB" w:rsidP="007E3239">
            <w:pPr>
              <w:pStyle w:val="TableText"/>
              <w:spacing w:before="40" w:after="40"/>
            </w:pPr>
            <w:r>
              <w:rPr>
                <w:rFonts w:eastAsia="Calibri"/>
              </w:rPr>
              <w:t>Nappies</w:t>
            </w:r>
          </w:p>
        </w:tc>
        <w:tc>
          <w:tcPr>
            <w:tcW w:w="1418" w:type="dxa"/>
            <w:shd w:val="clear" w:color="auto" w:fill="FFFFFF"/>
            <w:tcMar>
              <w:top w:w="0" w:type="dxa"/>
              <w:left w:w="108" w:type="dxa"/>
              <w:bottom w:w="0" w:type="dxa"/>
              <w:right w:w="108" w:type="dxa"/>
            </w:tcMar>
            <w:vAlign w:val="center"/>
          </w:tcPr>
          <w:p w14:paraId="0F860AA9" w14:textId="77777777" w:rsidR="00A76ADB" w:rsidRDefault="00A76ADB" w:rsidP="007E3239">
            <w:pPr>
              <w:pStyle w:val="TableText"/>
              <w:spacing w:before="40" w:after="40"/>
              <w:jc w:val="center"/>
            </w:pPr>
            <w:r>
              <w:rPr>
                <w:rFonts w:eastAsia="Calibri"/>
              </w:rPr>
              <w:t>NA</w:t>
            </w:r>
          </w:p>
        </w:tc>
        <w:tc>
          <w:tcPr>
            <w:tcW w:w="1701" w:type="dxa"/>
            <w:shd w:val="clear" w:color="auto" w:fill="FFFFFF"/>
            <w:tcMar>
              <w:top w:w="0" w:type="dxa"/>
              <w:left w:w="108" w:type="dxa"/>
              <w:bottom w:w="0" w:type="dxa"/>
              <w:right w:w="108" w:type="dxa"/>
            </w:tcMar>
            <w:vAlign w:val="center"/>
          </w:tcPr>
          <w:p w14:paraId="2453A0DB" w14:textId="77777777" w:rsidR="00A76ADB" w:rsidRDefault="00A76ADB" w:rsidP="007E3239">
            <w:pPr>
              <w:pStyle w:val="TableText"/>
              <w:spacing w:before="40" w:after="40"/>
              <w:jc w:val="center"/>
            </w:pPr>
            <w:r>
              <w:rPr>
                <w:rFonts w:eastAsia="Calibri"/>
              </w:rPr>
              <w:t>40</w:t>
            </w:r>
          </w:p>
        </w:tc>
        <w:tc>
          <w:tcPr>
            <w:tcW w:w="1701" w:type="dxa"/>
            <w:shd w:val="clear" w:color="auto" w:fill="FFFFFF"/>
            <w:tcMar>
              <w:top w:w="0" w:type="dxa"/>
              <w:left w:w="108" w:type="dxa"/>
              <w:bottom w:w="0" w:type="dxa"/>
              <w:right w:w="108" w:type="dxa"/>
            </w:tcMar>
            <w:vAlign w:val="center"/>
          </w:tcPr>
          <w:p w14:paraId="374EB286" w14:textId="77777777" w:rsidR="00A76ADB" w:rsidRDefault="00A76ADB" w:rsidP="007E3239">
            <w:pPr>
              <w:pStyle w:val="TableText"/>
              <w:spacing w:before="40" w:after="40"/>
              <w:jc w:val="center"/>
            </w:pPr>
            <w:r>
              <w:rPr>
                <w:rFonts w:eastAsia="Calibri"/>
              </w:rPr>
              <w:t>70</w:t>
            </w:r>
          </w:p>
        </w:tc>
        <w:tc>
          <w:tcPr>
            <w:tcW w:w="1842" w:type="dxa"/>
            <w:shd w:val="clear" w:color="auto" w:fill="FFFFFF"/>
            <w:tcMar>
              <w:top w:w="0" w:type="dxa"/>
              <w:left w:w="108" w:type="dxa"/>
              <w:bottom w:w="0" w:type="dxa"/>
              <w:right w:w="108" w:type="dxa"/>
            </w:tcMar>
            <w:vAlign w:val="center"/>
          </w:tcPr>
          <w:p w14:paraId="612384A9" w14:textId="77777777" w:rsidR="00A76ADB" w:rsidRDefault="00A76ADB" w:rsidP="007E3239">
            <w:pPr>
              <w:pStyle w:val="TableText"/>
              <w:spacing w:before="40" w:after="40"/>
              <w:jc w:val="center"/>
            </w:pPr>
            <w:r>
              <w:rPr>
                <w:rFonts w:eastAsia="Calibri"/>
              </w:rPr>
              <w:t>10</w:t>
            </w:r>
          </w:p>
        </w:tc>
      </w:tr>
      <w:tr w:rsidR="00A76ADB" w14:paraId="2A32BAB2" w14:textId="77777777" w:rsidTr="00CF7215">
        <w:trPr>
          <w:cantSplit/>
          <w:trHeight w:val="283"/>
        </w:trPr>
        <w:tc>
          <w:tcPr>
            <w:tcW w:w="1843" w:type="dxa"/>
            <w:shd w:val="clear" w:color="auto" w:fill="FFFFFF"/>
            <w:tcMar>
              <w:top w:w="0" w:type="dxa"/>
              <w:left w:w="108" w:type="dxa"/>
              <w:bottom w:w="0" w:type="dxa"/>
              <w:right w:w="108" w:type="dxa"/>
            </w:tcMar>
            <w:vAlign w:val="center"/>
          </w:tcPr>
          <w:p w14:paraId="1FB8E147" w14:textId="77777777" w:rsidR="00A76ADB" w:rsidRDefault="00A76ADB" w:rsidP="007E3239">
            <w:pPr>
              <w:pStyle w:val="TableText"/>
              <w:spacing w:before="40" w:after="40"/>
            </w:pPr>
            <w:r>
              <w:rPr>
                <w:rFonts w:eastAsia="Calibri"/>
              </w:rPr>
              <w:t>Rubber and leather</w:t>
            </w:r>
          </w:p>
        </w:tc>
        <w:tc>
          <w:tcPr>
            <w:tcW w:w="1418" w:type="dxa"/>
            <w:shd w:val="clear" w:color="auto" w:fill="FFFFFF"/>
            <w:tcMar>
              <w:top w:w="0" w:type="dxa"/>
              <w:left w:w="108" w:type="dxa"/>
              <w:bottom w:w="0" w:type="dxa"/>
              <w:right w:w="108" w:type="dxa"/>
            </w:tcMar>
            <w:vAlign w:val="center"/>
          </w:tcPr>
          <w:p w14:paraId="12A71878" w14:textId="77777777" w:rsidR="00A76ADB" w:rsidRDefault="00A76ADB" w:rsidP="007E3239">
            <w:pPr>
              <w:pStyle w:val="TableText"/>
              <w:spacing w:before="40" w:after="40"/>
              <w:jc w:val="center"/>
            </w:pPr>
            <w:r>
              <w:rPr>
                <w:rFonts w:eastAsia="Calibri"/>
              </w:rPr>
              <w:t>0.3</w:t>
            </w:r>
          </w:p>
        </w:tc>
        <w:tc>
          <w:tcPr>
            <w:tcW w:w="1701" w:type="dxa"/>
            <w:shd w:val="clear" w:color="auto" w:fill="FFFFFF"/>
            <w:tcMar>
              <w:top w:w="0" w:type="dxa"/>
              <w:left w:w="108" w:type="dxa"/>
              <w:bottom w:w="0" w:type="dxa"/>
              <w:right w:w="108" w:type="dxa"/>
            </w:tcMar>
            <w:vAlign w:val="center"/>
          </w:tcPr>
          <w:p w14:paraId="2F62657F" w14:textId="77777777" w:rsidR="00A76ADB" w:rsidRDefault="00A76ADB" w:rsidP="007E3239">
            <w:pPr>
              <w:pStyle w:val="TableText"/>
              <w:spacing w:before="40" w:after="40"/>
              <w:jc w:val="center"/>
            </w:pPr>
            <w:r>
              <w:rPr>
                <w:rFonts w:eastAsia="Calibri"/>
              </w:rPr>
              <w:t>84</w:t>
            </w:r>
          </w:p>
        </w:tc>
        <w:tc>
          <w:tcPr>
            <w:tcW w:w="1701" w:type="dxa"/>
            <w:shd w:val="clear" w:color="auto" w:fill="FFFFFF"/>
            <w:tcMar>
              <w:top w:w="0" w:type="dxa"/>
              <w:left w:w="108" w:type="dxa"/>
              <w:bottom w:w="0" w:type="dxa"/>
              <w:right w:w="108" w:type="dxa"/>
            </w:tcMar>
            <w:vAlign w:val="center"/>
          </w:tcPr>
          <w:p w14:paraId="6CDC91ED" w14:textId="77777777" w:rsidR="00A76ADB" w:rsidRDefault="00A76ADB" w:rsidP="007E3239">
            <w:pPr>
              <w:pStyle w:val="TableText"/>
              <w:spacing w:before="40" w:after="40"/>
              <w:jc w:val="center"/>
            </w:pPr>
            <w:r>
              <w:rPr>
                <w:rFonts w:eastAsia="Calibri"/>
              </w:rPr>
              <w:t>67</w:t>
            </w:r>
          </w:p>
        </w:tc>
        <w:tc>
          <w:tcPr>
            <w:tcW w:w="1842" w:type="dxa"/>
            <w:shd w:val="clear" w:color="auto" w:fill="FFFFFF"/>
            <w:tcMar>
              <w:top w:w="0" w:type="dxa"/>
              <w:left w:w="108" w:type="dxa"/>
              <w:bottom w:w="0" w:type="dxa"/>
              <w:right w:w="108" w:type="dxa"/>
            </w:tcMar>
            <w:vAlign w:val="center"/>
          </w:tcPr>
          <w:p w14:paraId="64D7144D" w14:textId="77777777" w:rsidR="00A76ADB" w:rsidRDefault="00A76ADB" w:rsidP="007E3239">
            <w:pPr>
              <w:pStyle w:val="TableText"/>
              <w:spacing w:before="40" w:after="40"/>
              <w:jc w:val="center"/>
            </w:pPr>
            <w:r>
              <w:rPr>
                <w:rFonts w:eastAsia="Calibri"/>
              </w:rPr>
              <w:t>20</w:t>
            </w:r>
          </w:p>
        </w:tc>
      </w:tr>
      <w:tr w:rsidR="00A76ADB" w14:paraId="0DE7E2B0" w14:textId="77777777" w:rsidTr="00CF7215">
        <w:trPr>
          <w:cantSplit/>
          <w:trHeight w:val="283"/>
        </w:trPr>
        <w:tc>
          <w:tcPr>
            <w:tcW w:w="1843" w:type="dxa"/>
            <w:shd w:val="clear" w:color="auto" w:fill="FFFFFF"/>
            <w:tcMar>
              <w:top w:w="0" w:type="dxa"/>
              <w:left w:w="108" w:type="dxa"/>
              <w:bottom w:w="0" w:type="dxa"/>
              <w:right w:w="108" w:type="dxa"/>
            </w:tcMar>
            <w:vAlign w:val="center"/>
          </w:tcPr>
          <w:p w14:paraId="773107A4" w14:textId="77777777" w:rsidR="00A76ADB" w:rsidRDefault="00A76ADB" w:rsidP="007E3239">
            <w:pPr>
              <w:pStyle w:val="TableText"/>
              <w:spacing w:before="40" w:after="40"/>
            </w:pPr>
            <w:r>
              <w:rPr>
                <w:rFonts w:eastAsia="Calibri"/>
              </w:rPr>
              <w:t>Plastics</w:t>
            </w:r>
          </w:p>
        </w:tc>
        <w:tc>
          <w:tcPr>
            <w:tcW w:w="1418" w:type="dxa"/>
            <w:shd w:val="clear" w:color="auto" w:fill="FFFFFF"/>
            <w:tcMar>
              <w:top w:w="0" w:type="dxa"/>
              <w:left w:w="108" w:type="dxa"/>
              <w:bottom w:w="0" w:type="dxa"/>
              <w:right w:w="108" w:type="dxa"/>
            </w:tcMar>
            <w:vAlign w:val="center"/>
          </w:tcPr>
          <w:p w14:paraId="2EFF1BA3" w14:textId="77777777" w:rsidR="00A76ADB" w:rsidRDefault="00A76ADB" w:rsidP="007E3239">
            <w:pPr>
              <w:pStyle w:val="TableText"/>
              <w:spacing w:before="40" w:after="40"/>
              <w:jc w:val="center"/>
            </w:pPr>
            <w:r>
              <w:rPr>
                <w:rFonts w:eastAsia="Calibri"/>
              </w:rPr>
              <w:t>10.9</w:t>
            </w:r>
          </w:p>
        </w:tc>
        <w:tc>
          <w:tcPr>
            <w:tcW w:w="1701" w:type="dxa"/>
            <w:shd w:val="clear" w:color="auto" w:fill="FFFFFF"/>
            <w:tcMar>
              <w:top w:w="0" w:type="dxa"/>
              <w:left w:w="108" w:type="dxa"/>
              <w:bottom w:w="0" w:type="dxa"/>
              <w:right w:w="108" w:type="dxa"/>
            </w:tcMar>
            <w:vAlign w:val="center"/>
          </w:tcPr>
          <w:p w14:paraId="0BD3F5D7" w14:textId="77777777" w:rsidR="00A76ADB" w:rsidRDefault="00A76ADB" w:rsidP="007E3239">
            <w:pPr>
              <w:pStyle w:val="TableText"/>
              <w:spacing w:before="40" w:after="40"/>
              <w:jc w:val="center"/>
            </w:pPr>
            <w:r>
              <w:rPr>
                <w:rFonts w:eastAsia="Calibri"/>
              </w:rPr>
              <w:t>100</w:t>
            </w:r>
          </w:p>
        </w:tc>
        <w:tc>
          <w:tcPr>
            <w:tcW w:w="1701" w:type="dxa"/>
            <w:shd w:val="clear" w:color="auto" w:fill="FFFFFF"/>
            <w:tcMar>
              <w:top w:w="0" w:type="dxa"/>
              <w:left w:w="108" w:type="dxa"/>
              <w:bottom w:w="0" w:type="dxa"/>
              <w:right w:w="108" w:type="dxa"/>
            </w:tcMar>
            <w:vAlign w:val="center"/>
          </w:tcPr>
          <w:p w14:paraId="5D8AE05E" w14:textId="77777777" w:rsidR="00A76ADB" w:rsidRDefault="00A76ADB" w:rsidP="007E3239">
            <w:pPr>
              <w:pStyle w:val="TableText"/>
              <w:spacing w:before="40" w:after="40"/>
              <w:jc w:val="center"/>
            </w:pPr>
            <w:r>
              <w:rPr>
                <w:rFonts w:eastAsia="Calibri"/>
              </w:rPr>
              <w:t>75</w:t>
            </w:r>
          </w:p>
        </w:tc>
        <w:tc>
          <w:tcPr>
            <w:tcW w:w="1842" w:type="dxa"/>
            <w:shd w:val="clear" w:color="auto" w:fill="FFFFFF"/>
            <w:tcMar>
              <w:top w:w="0" w:type="dxa"/>
              <w:left w:w="108" w:type="dxa"/>
              <w:bottom w:w="0" w:type="dxa"/>
              <w:right w:w="108" w:type="dxa"/>
            </w:tcMar>
            <w:vAlign w:val="center"/>
          </w:tcPr>
          <w:p w14:paraId="33CE56E2" w14:textId="77777777" w:rsidR="00A76ADB" w:rsidRDefault="00A76ADB" w:rsidP="007E3239">
            <w:pPr>
              <w:pStyle w:val="TableText"/>
              <w:spacing w:before="40" w:after="40"/>
              <w:jc w:val="center"/>
            </w:pPr>
            <w:r>
              <w:rPr>
                <w:rFonts w:eastAsia="Calibri"/>
              </w:rPr>
              <w:t>100</w:t>
            </w:r>
          </w:p>
        </w:tc>
      </w:tr>
      <w:tr w:rsidR="00A76ADB" w14:paraId="43670357" w14:textId="77777777" w:rsidTr="00CF7215">
        <w:trPr>
          <w:cantSplit/>
          <w:trHeight w:val="283"/>
        </w:trPr>
        <w:tc>
          <w:tcPr>
            <w:tcW w:w="1843" w:type="dxa"/>
            <w:shd w:val="clear" w:color="auto" w:fill="FFFFFF"/>
            <w:tcMar>
              <w:top w:w="0" w:type="dxa"/>
              <w:left w:w="108" w:type="dxa"/>
              <w:bottom w:w="0" w:type="dxa"/>
              <w:right w:w="108" w:type="dxa"/>
            </w:tcMar>
            <w:vAlign w:val="center"/>
          </w:tcPr>
          <w:p w14:paraId="13F03176" w14:textId="77777777" w:rsidR="00A76ADB" w:rsidRDefault="00A76ADB" w:rsidP="007E3239">
            <w:pPr>
              <w:pStyle w:val="TableText"/>
              <w:spacing w:before="40" w:after="40"/>
            </w:pPr>
            <w:r>
              <w:rPr>
                <w:rFonts w:eastAsia="Calibri"/>
              </w:rPr>
              <w:t>Metal</w:t>
            </w:r>
          </w:p>
        </w:tc>
        <w:tc>
          <w:tcPr>
            <w:tcW w:w="1418" w:type="dxa"/>
            <w:shd w:val="clear" w:color="auto" w:fill="FFFFFF"/>
            <w:tcMar>
              <w:top w:w="0" w:type="dxa"/>
              <w:left w:w="108" w:type="dxa"/>
              <w:bottom w:w="0" w:type="dxa"/>
              <w:right w:w="108" w:type="dxa"/>
            </w:tcMar>
            <w:vAlign w:val="center"/>
          </w:tcPr>
          <w:p w14:paraId="00A64633" w14:textId="77777777" w:rsidR="00A76ADB" w:rsidRDefault="00A76ADB" w:rsidP="007E3239">
            <w:pPr>
              <w:pStyle w:val="TableText"/>
              <w:spacing w:before="40" w:after="40"/>
              <w:jc w:val="center"/>
            </w:pPr>
            <w:r>
              <w:rPr>
                <w:rFonts w:eastAsia="Calibri"/>
              </w:rPr>
              <w:t>2.5</w:t>
            </w:r>
          </w:p>
        </w:tc>
        <w:tc>
          <w:tcPr>
            <w:tcW w:w="1701" w:type="dxa"/>
            <w:shd w:val="clear" w:color="auto" w:fill="FFFFFF"/>
            <w:tcMar>
              <w:top w:w="0" w:type="dxa"/>
              <w:left w:w="108" w:type="dxa"/>
              <w:bottom w:w="0" w:type="dxa"/>
              <w:right w:w="108" w:type="dxa"/>
            </w:tcMar>
            <w:vAlign w:val="center"/>
          </w:tcPr>
          <w:p w14:paraId="05DFCD33" w14:textId="77777777" w:rsidR="00A76ADB" w:rsidRDefault="00A76ADB" w:rsidP="007E3239">
            <w:pPr>
              <w:pStyle w:val="TableText"/>
              <w:spacing w:before="40" w:after="40"/>
              <w:jc w:val="center"/>
            </w:pPr>
            <w:r>
              <w:rPr>
                <w:rFonts w:eastAsia="Calibri"/>
              </w:rPr>
              <w:t>100</w:t>
            </w:r>
          </w:p>
        </w:tc>
        <w:tc>
          <w:tcPr>
            <w:tcW w:w="1701" w:type="dxa"/>
            <w:shd w:val="clear" w:color="auto" w:fill="FFFFFF"/>
            <w:tcMar>
              <w:top w:w="0" w:type="dxa"/>
              <w:left w:w="108" w:type="dxa"/>
              <w:bottom w:w="0" w:type="dxa"/>
              <w:right w:w="108" w:type="dxa"/>
            </w:tcMar>
            <w:vAlign w:val="center"/>
          </w:tcPr>
          <w:p w14:paraId="75CFD99E" w14:textId="77777777" w:rsidR="00A76ADB" w:rsidRDefault="00A76ADB" w:rsidP="007E3239">
            <w:pPr>
              <w:pStyle w:val="TableText"/>
              <w:spacing w:before="40" w:after="40"/>
              <w:jc w:val="center"/>
            </w:pPr>
            <w:r>
              <w:rPr>
                <w:rFonts w:eastAsia="Calibri"/>
              </w:rPr>
              <w:t>–</w:t>
            </w:r>
          </w:p>
        </w:tc>
        <w:tc>
          <w:tcPr>
            <w:tcW w:w="1842" w:type="dxa"/>
            <w:shd w:val="clear" w:color="auto" w:fill="FFFFFF"/>
            <w:tcMar>
              <w:top w:w="0" w:type="dxa"/>
              <w:left w:w="108" w:type="dxa"/>
              <w:bottom w:w="0" w:type="dxa"/>
              <w:right w:w="108" w:type="dxa"/>
            </w:tcMar>
            <w:vAlign w:val="center"/>
          </w:tcPr>
          <w:p w14:paraId="41DC81A9" w14:textId="77777777" w:rsidR="00A76ADB" w:rsidRDefault="00A76ADB" w:rsidP="007E3239">
            <w:pPr>
              <w:pStyle w:val="TableText"/>
              <w:spacing w:before="40" w:after="40"/>
              <w:jc w:val="center"/>
            </w:pPr>
            <w:r>
              <w:rPr>
                <w:rFonts w:eastAsia="Calibri"/>
              </w:rPr>
              <w:t>–</w:t>
            </w:r>
          </w:p>
        </w:tc>
      </w:tr>
      <w:tr w:rsidR="00A76ADB" w14:paraId="625D3231" w14:textId="77777777" w:rsidTr="00CF7215">
        <w:trPr>
          <w:cantSplit/>
          <w:trHeight w:val="283"/>
        </w:trPr>
        <w:tc>
          <w:tcPr>
            <w:tcW w:w="1843" w:type="dxa"/>
            <w:shd w:val="clear" w:color="auto" w:fill="FFFFFF"/>
            <w:tcMar>
              <w:top w:w="0" w:type="dxa"/>
              <w:left w:w="108" w:type="dxa"/>
              <w:bottom w:w="0" w:type="dxa"/>
              <w:right w:w="108" w:type="dxa"/>
            </w:tcMar>
            <w:vAlign w:val="center"/>
          </w:tcPr>
          <w:p w14:paraId="61F7FD5D" w14:textId="77777777" w:rsidR="00A76ADB" w:rsidRDefault="00A76ADB" w:rsidP="007E3239">
            <w:pPr>
              <w:pStyle w:val="TableText"/>
              <w:spacing w:before="40" w:after="40"/>
            </w:pPr>
            <w:r>
              <w:rPr>
                <w:rFonts w:eastAsia="Calibri"/>
              </w:rPr>
              <w:t>Glass</w:t>
            </w:r>
          </w:p>
        </w:tc>
        <w:tc>
          <w:tcPr>
            <w:tcW w:w="1418" w:type="dxa"/>
            <w:shd w:val="clear" w:color="auto" w:fill="FFFFFF"/>
            <w:tcMar>
              <w:top w:w="0" w:type="dxa"/>
              <w:left w:w="108" w:type="dxa"/>
              <w:bottom w:w="0" w:type="dxa"/>
              <w:right w:w="108" w:type="dxa"/>
            </w:tcMar>
            <w:vAlign w:val="center"/>
          </w:tcPr>
          <w:p w14:paraId="01BFD40C" w14:textId="77777777" w:rsidR="00A76ADB" w:rsidRDefault="00A76ADB" w:rsidP="007E3239">
            <w:pPr>
              <w:pStyle w:val="TableText"/>
              <w:spacing w:before="40" w:after="40"/>
              <w:jc w:val="center"/>
            </w:pPr>
            <w:r>
              <w:rPr>
                <w:rFonts w:eastAsia="Calibri"/>
              </w:rPr>
              <w:t>0.4</w:t>
            </w:r>
          </w:p>
        </w:tc>
        <w:tc>
          <w:tcPr>
            <w:tcW w:w="1701" w:type="dxa"/>
            <w:shd w:val="clear" w:color="auto" w:fill="FFFFFF"/>
            <w:tcMar>
              <w:top w:w="0" w:type="dxa"/>
              <w:left w:w="108" w:type="dxa"/>
              <w:bottom w:w="0" w:type="dxa"/>
              <w:right w:w="108" w:type="dxa"/>
            </w:tcMar>
            <w:vAlign w:val="center"/>
          </w:tcPr>
          <w:p w14:paraId="37367C1E" w14:textId="77777777" w:rsidR="00A76ADB" w:rsidRDefault="00A76ADB" w:rsidP="007E3239">
            <w:pPr>
              <w:pStyle w:val="TableText"/>
              <w:spacing w:before="40" w:after="40"/>
              <w:jc w:val="center"/>
            </w:pPr>
            <w:r>
              <w:rPr>
                <w:rFonts w:eastAsia="Calibri"/>
              </w:rPr>
              <w:t>100</w:t>
            </w:r>
          </w:p>
        </w:tc>
        <w:tc>
          <w:tcPr>
            <w:tcW w:w="1701" w:type="dxa"/>
            <w:shd w:val="clear" w:color="auto" w:fill="FFFFFF"/>
            <w:tcMar>
              <w:top w:w="0" w:type="dxa"/>
              <w:left w:w="108" w:type="dxa"/>
              <w:bottom w:w="0" w:type="dxa"/>
              <w:right w:w="108" w:type="dxa"/>
            </w:tcMar>
            <w:vAlign w:val="center"/>
          </w:tcPr>
          <w:p w14:paraId="404467BD" w14:textId="77777777" w:rsidR="00A76ADB" w:rsidRDefault="00A76ADB" w:rsidP="007E3239">
            <w:pPr>
              <w:pStyle w:val="TableText"/>
              <w:spacing w:before="40" w:after="40"/>
              <w:jc w:val="center"/>
            </w:pPr>
            <w:r>
              <w:rPr>
                <w:rFonts w:eastAsia="Calibri"/>
              </w:rPr>
              <w:t>–</w:t>
            </w:r>
          </w:p>
        </w:tc>
        <w:tc>
          <w:tcPr>
            <w:tcW w:w="1842" w:type="dxa"/>
            <w:shd w:val="clear" w:color="auto" w:fill="FFFFFF"/>
            <w:tcMar>
              <w:top w:w="0" w:type="dxa"/>
              <w:left w:w="108" w:type="dxa"/>
              <w:bottom w:w="0" w:type="dxa"/>
              <w:right w:w="108" w:type="dxa"/>
            </w:tcMar>
            <w:vAlign w:val="center"/>
          </w:tcPr>
          <w:p w14:paraId="1B4C8A2A" w14:textId="77777777" w:rsidR="00A76ADB" w:rsidRDefault="00A76ADB" w:rsidP="007E3239">
            <w:pPr>
              <w:pStyle w:val="TableText"/>
              <w:spacing w:before="40" w:after="40"/>
              <w:jc w:val="center"/>
            </w:pPr>
            <w:r>
              <w:rPr>
                <w:rFonts w:eastAsia="Calibri"/>
              </w:rPr>
              <w:t>–</w:t>
            </w:r>
          </w:p>
        </w:tc>
      </w:tr>
      <w:tr w:rsidR="00A76ADB" w14:paraId="4912DE98" w14:textId="77777777" w:rsidTr="00CF7215">
        <w:trPr>
          <w:cantSplit/>
          <w:trHeight w:val="283"/>
        </w:trPr>
        <w:tc>
          <w:tcPr>
            <w:tcW w:w="1843" w:type="dxa"/>
            <w:shd w:val="clear" w:color="auto" w:fill="FFFFFF"/>
            <w:tcMar>
              <w:top w:w="0" w:type="dxa"/>
              <w:left w:w="108" w:type="dxa"/>
              <w:bottom w:w="0" w:type="dxa"/>
              <w:right w:w="108" w:type="dxa"/>
            </w:tcMar>
            <w:vAlign w:val="center"/>
          </w:tcPr>
          <w:p w14:paraId="2C5B5FD6" w14:textId="77777777" w:rsidR="00A76ADB" w:rsidRDefault="00A76ADB" w:rsidP="007E3239">
            <w:pPr>
              <w:pStyle w:val="TableText"/>
              <w:spacing w:before="40" w:after="40"/>
            </w:pPr>
            <w:r>
              <w:rPr>
                <w:rFonts w:eastAsia="Calibri"/>
              </w:rPr>
              <w:t>Other, inert</w:t>
            </w:r>
          </w:p>
        </w:tc>
        <w:tc>
          <w:tcPr>
            <w:tcW w:w="1418" w:type="dxa"/>
            <w:shd w:val="clear" w:color="auto" w:fill="FFFFFF"/>
            <w:tcMar>
              <w:top w:w="0" w:type="dxa"/>
              <w:left w:w="108" w:type="dxa"/>
              <w:bottom w:w="0" w:type="dxa"/>
              <w:right w:w="108" w:type="dxa"/>
            </w:tcMar>
            <w:vAlign w:val="center"/>
          </w:tcPr>
          <w:p w14:paraId="48786D02" w14:textId="77777777" w:rsidR="00A76ADB" w:rsidRDefault="00A76ADB" w:rsidP="007E3239">
            <w:pPr>
              <w:pStyle w:val="TableText"/>
              <w:spacing w:before="40" w:after="40"/>
              <w:jc w:val="center"/>
            </w:pPr>
            <w:r>
              <w:rPr>
                <w:rFonts w:eastAsia="Calibri"/>
              </w:rPr>
              <w:t>9.6</w:t>
            </w:r>
          </w:p>
        </w:tc>
        <w:tc>
          <w:tcPr>
            <w:tcW w:w="1701" w:type="dxa"/>
            <w:shd w:val="clear" w:color="auto" w:fill="FFFFFF"/>
            <w:tcMar>
              <w:top w:w="0" w:type="dxa"/>
              <w:left w:w="108" w:type="dxa"/>
              <w:bottom w:w="0" w:type="dxa"/>
              <w:right w:w="108" w:type="dxa"/>
            </w:tcMar>
            <w:vAlign w:val="center"/>
          </w:tcPr>
          <w:p w14:paraId="4EFABE84" w14:textId="77777777" w:rsidR="00A76ADB" w:rsidRDefault="00A76ADB" w:rsidP="007E3239">
            <w:pPr>
              <w:pStyle w:val="TableText"/>
              <w:spacing w:before="40" w:after="40"/>
              <w:jc w:val="center"/>
            </w:pPr>
            <w:r>
              <w:rPr>
                <w:rFonts w:eastAsia="Calibri"/>
              </w:rPr>
              <w:t>90</w:t>
            </w:r>
          </w:p>
        </w:tc>
        <w:tc>
          <w:tcPr>
            <w:tcW w:w="1701" w:type="dxa"/>
            <w:shd w:val="clear" w:color="auto" w:fill="FFFFFF"/>
            <w:tcMar>
              <w:top w:w="0" w:type="dxa"/>
              <w:left w:w="108" w:type="dxa"/>
              <w:bottom w:w="0" w:type="dxa"/>
              <w:right w:w="108" w:type="dxa"/>
            </w:tcMar>
            <w:vAlign w:val="center"/>
          </w:tcPr>
          <w:p w14:paraId="046BB12A" w14:textId="77777777" w:rsidR="00A76ADB" w:rsidRDefault="00A76ADB" w:rsidP="007E3239">
            <w:pPr>
              <w:pStyle w:val="TableText"/>
              <w:spacing w:before="40" w:after="40"/>
              <w:jc w:val="center"/>
            </w:pPr>
            <w:r>
              <w:rPr>
                <w:rFonts w:eastAsia="Calibri"/>
              </w:rPr>
              <w:t>3</w:t>
            </w:r>
          </w:p>
        </w:tc>
        <w:tc>
          <w:tcPr>
            <w:tcW w:w="1842" w:type="dxa"/>
            <w:shd w:val="clear" w:color="auto" w:fill="FFFFFF"/>
            <w:tcMar>
              <w:top w:w="0" w:type="dxa"/>
              <w:left w:w="108" w:type="dxa"/>
              <w:bottom w:w="0" w:type="dxa"/>
              <w:right w:w="108" w:type="dxa"/>
            </w:tcMar>
            <w:vAlign w:val="center"/>
          </w:tcPr>
          <w:p w14:paraId="32783841" w14:textId="77777777" w:rsidR="00A76ADB" w:rsidRDefault="00A76ADB" w:rsidP="007E3239">
            <w:pPr>
              <w:pStyle w:val="TableText"/>
              <w:spacing w:before="40" w:after="40"/>
              <w:jc w:val="center"/>
            </w:pPr>
            <w:r>
              <w:rPr>
                <w:rFonts w:eastAsia="Calibri"/>
              </w:rPr>
              <w:t>100</w:t>
            </w:r>
          </w:p>
        </w:tc>
      </w:tr>
      <w:tr w:rsidR="00A76ADB" w:rsidRPr="000E5CC2" w14:paraId="5B478790" w14:textId="77777777" w:rsidTr="00CF7215">
        <w:trPr>
          <w:cantSplit/>
          <w:trHeight w:val="283"/>
        </w:trPr>
        <w:tc>
          <w:tcPr>
            <w:tcW w:w="1843" w:type="dxa"/>
            <w:shd w:val="clear" w:color="auto" w:fill="FFFFFF"/>
            <w:tcMar>
              <w:top w:w="0" w:type="dxa"/>
              <w:left w:w="108" w:type="dxa"/>
              <w:bottom w:w="0" w:type="dxa"/>
              <w:right w:w="108" w:type="dxa"/>
            </w:tcMar>
            <w:vAlign w:val="center"/>
          </w:tcPr>
          <w:p w14:paraId="73F243E8" w14:textId="77777777" w:rsidR="00A76ADB" w:rsidRPr="000E5CC2" w:rsidRDefault="00A76ADB" w:rsidP="007E3239">
            <w:pPr>
              <w:pStyle w:val="Tableboldblue"/>
              <w:spacing w:before="40" w:after="40"/>
            </w:pPr>
            <w:r w:rsidRPr="000E5CC2">
              <w:rPr>
                <w:rFonts w:eastAsia="Calibri"/>
              </w:rPr>
              <w:t>Weighted average</w:t>
            </w:r>
          </w:p>
        </w:tc>
        <w:tc>
          <w:tcPr>
            <w:tcW w:w="1418" w:type="dxa"/>
            <w:shd w:val="clear" w:color="auto" w:fill="FFFFFF"/>
            <w:tcMar>
              <w:top w:w="0" w:type="dxa"/>
              <w:left w:w="108" w:type="dxa"/>
              <w:bottom w:w="0" w:type="dxa"/>
              <w:right w:w="108" w:type="dxa"/>
            </w:tcMar>
            <w:vAlign w:val="center"/>
          </w:tcPr>
          <w:p w14:paraId="3024218E" w14:textId="77777777" w:rsidR="00A76ADB" w:rsidRPr="000E5CC2" w:rsidRDefault="00A76ADB" w:rsidP="007E3239">
            <w:pPr>
              <w:pStyle w:val="Tableboldblue"/>
              <w:spacing w:before="40" w:after="40"/>
              <w:jc w:val="center"/>
            </w:pPr>
            <w:r w:rsidRPr="000E5CC2">
              <w:rPr>
                <w:rFonts w:eastAsia="Calibri"/>
              </w:rPr>
              <w:t>–</w:t>
            </w:r>
          </w:p>
        </w:tc>
        <w:tc>
          <w:tcPr>
            <w:tcW w:w="1701" w:type="dxa"/>
            <w:shd w:val="clear" w:color="auto" w:fill="FFFFFF"/>
            <w:tcMar>
              <w:top w:w="0" w:type="dxa"/>
              <w:left w:w="108" w:type="dxa"/>
              <w:bottom w:w="0" w:type="dxa"/>
              <w:right w:w="108" w:type="dxa"/>
            </w:tcMar>
            <w:vAlign w:val="center"/>
          </w:tcPr>
          <w:p w14:paraId="75280B3E" w14:textId="77777777" w:rsidR="00A76ADB" w:rsidRPr="000E5CC2" w:rsidRDefault="00A76ADB" w:rsidP="007E3239">
            <w:pPr>
              <w:pStyle w:val="Tableboldblue"/>
              <w:spacing w:before="40" w:after="40"/>
              <w:jc w:val="center"/>
            </w:pPr>
            <w:r w:rsidRPr="000E5CC2">
              <w:rPr>
                <w:rFonts w:eastAsia="Calibri"/>
              </w:rPr>
              <w:t>79.6</w:t>
            </w:r>
          </w:p>
        </w:tc>
        <w:tc>
          <w:tcPr>
            <w:tcW w:w="1701" w:type="dxa"/>
            <w:shd w:val="clear" w:color="auto" w:fill="FFFFFF"/>
            <w:tcMar>
              <w:top w:w="0" w:type="dxa"/>
              <w:left w:w="108" w:type="dxa"/>
              <w:bottom w:w="0" w:type="dxa"/>
              <w:right w:w="108" w:type="dxa"/>
            </w:tcMar>
            <w:vAlign w:val="center"/>
          </w:tcPr>
          <w:p w14:paraId="1C442E61" w14:textId="77777777" w:rsidR="00A76ADB" w:rsidRPr="000E5CC2" w:rsidRDefault="00A76ADB" w:rsidP="007E3239">
            <w:pPr>
              <w:pStyle w:val="Tableboldblue"/>
              <w:spacing w:before="40" w:after="40"/>
              <w:jc w:val="center"/>
            </w:pPr>
            <w:r w:rsidRPr="000E5CC2">
              <w:rPr>
                <w:rFonts w:eastAsia="Calibri"/>
              </w:rPr>
              <w:t>44.9</w:t>
            </w:r>
          </w:p>
        </w:tc>
        <w:tc>
          <w:tcPr>
            <w:tcW w:w="1842" w:type="dxa"/>
            <w:shd w:val="clear" w:color="auto" w:fill="FFFFFF"/>
            <w:tcMar>
              <w:top w:w="0" w:type="dxa"/>
              <w:left w:w="108" w:type="dxa"/>
              <w:bottom w:w="0" w:type="dxa"/>
              <w:right w:w="108" w:type="dxa"/>
            </w:tcMar>
            <w:vAlign w:val="center"/>
          </w:tcPr>
          <w:p w14:paraId="7EB40598" w14:textId="77777777" w:rsidR="00A76ADB" w:rsidRPr="000E5CC2" w:rsidRDefault="00A76ADB" w:rsidP="007E3239">
            <w:pPr>
              <w:pStyle w:val="Tableboldblue"/>
              <w:spacing w:before="40" w:after="40"/>
              <w:jc w:val="center"/>
            </w:pPr>
            <w:r w:rsidRPr="000E5CC2">
              <w:rPr>
                <w:rFonts w:eastAsia="Calibri"/>
              </w:rPr>
              <w:t>24.4</w:t>
            </w:r>
          </w:p>
        </w:tc>
      </w:tr>
    </w:tbl>
    <w:p w14:paraId="62287627" w14:textId="77777777" w:rsidR="00A76ADB" w:rsidRPr="000E5CC2" w:rsidRDefault="00A76ADB" w:rsidP="00A76ADB">
      <w:pPr>
        <w:pStyle w:val="Noteundertable"/>
        <w:tabs>
          <w:tab w:val="clear" w:pos="567"/>
        </w:tabs>
        <w:ind w:left="680" w:hanging="680"/>
      </w:pPr>
      <w:r w:rsidRPr="0063393D">
        <w:rPr>
          <w:b/>
          <w:bCs/>
        </w:rPr>
        <w:t>Source:</w:t>
      </w:r>
      <w:r w:rsidRPr="0063393D">
        <w:t xml:space="preserve"> </w:t>
      </w:r>
      <w:r w:rsidRPr="0063393D">
        <w:tab/>
        <w:t xml:space="preserve">Dry-matter content, total carbon content and fossil carbon content values are from table 2.4 (IPCC, 2006a). </w:t>
      </w:r>
      <w:r w:rsidRPr="0063393D">
        <w:rPr>
          <w:b/>
          <w:bCs/>
        </w:rPr>
        <w:t>Note:</w:t>
      </w:r>
      <w:r w:rsidRPr="0063393D">
        <w:t xml:space="preserve"> NA = not applicable.</w:t>
      </w:r>
    </w:p>
    <w:p w14:paraId="4549A403" w14:textId="77777777" w:rsidR="00A76ADB" w:rsidRDefault="00A76ADB" w:rsidP="00A76ADB">
      <w:pPr>
        <w:pStyle w:val="Heading4"/>
      </w:pPr>
      <w:bookmarkStart w:id="2410" w:name="methodological-issues-2"/>
      <w:bookmarkStart w:id="2411" w:name="choice-of-emission-factors-1"/>
      <w:bookmarkStart w:id="2412" w:name="X4f2eb840ef6efa4b4133eb3374d048d378818bb"/>
      <w:bookmarkEnd w:id="2406"/>
      <w:bookmarkEnd w:id="2408"/>
      <w:r>
        <w:t>Choice of emission factors</w:t>
      </w:r>
    </w:p>
    <w:p w14:paraId="3525EBDF" w14:textId="77777777" w:rsidR="00A76ADB" w:rsidRDefault="00A76ADB" w:rsidP="00A76ADB">
      <w:pPr>
        <w:pStyle w:val="Heading5"/>
        <w:spacing w:before="120"/>
      </w:pPr>
      <w:bookmarkStart w:id="2413" w:name="incineration-5.c.1-2"/>
      <w:r>
        <w:t>Incineration (5.C.1)</w:t>
      </w:r>
    </w:p>
    <w:p w14:paraId="0AD68941" w14:textId="77777777" w:rsidR="00A76ADB" w:rsidRDefault="00A76ADB" w:rsidP="00A76ADB">
      <w:pPr>
        <w:pStyle w:val="BodyText"/>
      </w:pPr>
      <w:r>
        <w:t>The parameters used to calculate emissions from incineration are detailed in table 7.4.4.</w:t>
      </w:r>
    </w:p>
    <w:p w14:paraId="635C41C7" w14:textId="77777777" w:rsidR="00A76ADB" w:rsidRDefault="00A76ADB" w:rsidP="00A76ADB">
      <w:pPr>
        <w:pStyle w:val="Table"/>
      </w:pPr>
      <w:bookmarkStart w:id="2414" w:name="_Toc99659337"/>
      <w:r>
        <w:t>Table 7.4.4</w:t>
      </w:r>
      <w:r>
        <w:tab/>
        <w:t>Parameter values applied to estimate emissions from incineration</w:t>
      </w:r>
      <w:bookmarkEnd w:id="2414"/>
    </w:p>
    <w:tbl>
      <w:tblPr>
        <w:tblW w:w="8505" w:type="dxa"/>
        <w:tblInd w:w="108" w:type="dxa"/>
        <w:tblBorders>
          <w:top w:val="single" w:sz="4" w:space="0" w:color="1B556B"/>
          <w:bottom w:val="single" w:sz="4" w:space="0" w:color="1B556B"/>
          <w:insideH w:val="single" w:sz="4" w:space="0" w:color="1B556B"/>
        </w:tblBorders>
        <w:tblCellMar>
          <w:left w:w="85" w:type="dxa"/>
          <w:right w:w="57" w:type="dxa"/>
        </w:tblCellMar>
        <w:tblLook w:val="0420" w:firstRow="1" w:lastRow="0" w:firstColumn="0" w:lastColumn="0" w:noHBand="0" w:noVBand="1"/>
      </w:tblPr>
      <w:tblGrid>
        <w:gridCol w:w="2325"/>
        <w:gridCol w:w="1474"/>
        <w:gridCol w:w="1701"/>
        <w:gridCol w:w="1191"/>
        <w:gridCol w:w="1814"/>
      </w:tblGrid>
      <w:tr w:rsidR="00A76ADB" w:rsidRPr="006C0D1B" w14:paraId="3A61F875" w14:textId="77777777" w:rsidTr="00CF7215">
        <w:trPr>
          <w:cantSplit/>
          <w:tblHeader/>
        </w:trPr>
        <w:tc>
          <w:tcPr>
            <w:tcW w:w="2325" w:type="dxa"/>
            <w:shd w:val="clear" w:color="auto" w:fill="1B556B"/>
            <w:tcMar>
              <w:top w:w="0" w:type="dxa"/>
              <w:left w:w="108" w:type="dxa"/>
              <w:bottom w:w="0" w:type="dxa"/>
              <w:right w:w="108" w:type="dxa"/>
            </w:tcMar>
            <w:vAlign w:val="bottom"/>
          </w:tcPr>
          <w:p w14:paraId="65544DDA" w14:textId="77777777" w:rsidR="00A76ADB" w:rsidRPr="006C0D1B" w:rsidRDefault="00A76ADB" w:rsidP="007E3239">
            <w:pPr>
              <w:pStyle w:val="TableTextBold"/>
              <w:spacing w:before="40" w:after="40"/>
              <w:rPr>
                <w:color w:val="FFFFFF"/>
              </w:rPr>
            </w:pPr>
            <w:r w:rsidRPr="006C0D1B">
              <w:rPr>
                <w:rFonts w:eastAsia="Calibri"/>
                <w:color w:val="FFFFFF"/>
              </w:rPr>
              <w:t>Parameter</w:t>
            </w:r>
          </w:p>
        </w:tc>
        <w:tc>
          <w:tcPr>
            <w:tcW w:w="1474" w:type="dxa"/>
            <w:shd w:val="clear" w:color="auto" w:fill="1B556B"/>
            <w:tcMar>
              <w:top w:w="0" w:type="dxa"/>
              <w:left w:w="108" w:type="dxa"/>
              <w:bottom w:w="0" w:type="dxa"/>
              <w:right w:w="108" w:type="dxa"/>
            </w:tcMar>
            <w:vAlign w:val="bottom"/>
          </w:tcPr>
          <w:p w14:paraId="6E3B86E0" w14:textId="77777777" w:rsidR="00A76ADB" w:rsidRPr="006C0D1B" w:rsidRDefault="00A76ADB" w:rsidP="007E3239">
            <w:pPr>
              <w:pStyle w:val="TableTextBold"/>
              <w:spacing w:before="40" w:after="40"/>
              <w:jc w:val="center"/>
              <w:rPr>
                <w:color w:val="FFFFFF"/>
              </w:rPr>
            </w:pPr>
            <w:r w:rsidRPr="006C0D1B">
              <w:rPr>
                <w:rFonts w:eastAsia="Calibri"/>
                <w:color w:val="FFFFFF"/>
              </w:rPr>
              <w:t>Hazardous waste</w:t>
            </w:r>
          </w:p>
        </w:tc>
        <w:tc>
          <w:tcPr>
            <w:tcW w:w="1701" w:type="dxa"/>
            <w:shd w:val="clear" w:color="auto" w:fill="1B556B"/>
            <w:tcMar>
              <w:top w:w="0" w:type="dxa"/>
              <w:left w:w="108" w:type="dxa"/>
              <w:bottom w:w="0" w:type="dxa"/>
              <w:right w:w="108" w:type="dxa"/>
            </w:tcMar>
            <w:vAlign w:val="bottom"/>
          </w:tcPr>
          <w:p w14:paraId="7CB221AD" w14:textId="77777777" w:rsidR="00A76ADB" w:rsidRPr="006C0D1B" w:rsidRDefault="00A76ADB" w:rsidP="007E3239">
            <w:pPr>
              <w:pStyle w:val="TableTextBold"/>
              <w:spacing w:before="40" w:after="40"/>
              <w:jc w:val="center"/>
              <w:rPr>
                <w:color w:val="FFFFFF"/>
              </w:rPr>
            </w:pPr>
            <w:r w:rsidRPr="006C0D1B">
              <w:rPr>
                <w:rFonts w:eastAsia="Calibri"/>
                <w:color w:val="FFFFFF"/>
              </w:rPr>
              <w:t>Clinical wastes</w:t>
            </w:r>
          </w:p>
        </w:tc>
        <w:tc>
          <w:tcPr>
            <w:tcW w:w="1191" w:type="dxa"/>
            <w:shd w:val="clear" w:color="auto" w:fill="1B556B"/>
            <w:tcMar>
              <w:top w:w="0" w:type="dxa"/>
              <w:left w:w="108" w:type="dxa"/>
              <w:bottom w:w="0" w:type="dxa"/>
              <w:right w:w="108" w:type="dxa"/>
            </w:tcMar>
            <w:vAlign w:val="bottom"/>
          </w:tcPr>
          <w:p w14:paraId="58C2F60A" w14:textId="77777777" w:rsidR="00A76ADB" w:rsidRPr="006C0D1B" w:rsidRDefault="00A76ADB" w:rsidP="007E3239">
            <w:pPr>
              <w:pStyle w:val="TableTextBold"/>
              <w:spacing w:before="40" w:after="40"/>
              <w:jc w:val="center"/>
              <w:rPr>
                <w:color w:val="FFFFFF"/>
              </w:rPr>
            </w:pPr>
            <w:r w:rsidRPr="006C0D1B">
              <w:rPr>
                <w:rFonts w:eastAsia="Calibri"/>
                <w:color w:val="FFFFFF"/>
              </w:rPr>
              <w:t>Sewage sludge</w:t>
            </w:r>
          </w:p>
        </w:tc>
        <w:tc>
          <w:tcPr>
            <w:tcW w:w="0" w:type="auto"/>
            <w:shd w:val="clear" w:color="auto" w:fill="1B556B"/>
            <w:tcMar>
              <w:top w:w="0" w:type="dxa"/>
              <w:left w:w="108" w:type="dxa"/>
              <w:bottom w:w="0" w:type="dxa"/>
              <w:right w:w="108" w:type="dxa"/>
            </w:tcMar>
            <w:vAlign w:val="bottom"/>
          </w:tcPr>
          <w:p w14:paraId="4A65B1C7" w14:textId="77777777" w:rsidR="00A76ADB" w:rsidRPr="006C0D1B" w:rsidRDefault="00A76ADB" w:rsidP="007E3239">
            <w:pPr>
              <w:pStyle w:val="TableTextBold"/>
              <w:spacing w:before="40" w:after="40"/>
              <w:rPr>
                <w:color w:val="FFFFFF"/>
              </w:rPr>
            </w:pPr>
            <w:r w:rsidRPr="006C0D1B">
              <w:rPr>
                <w:rFonts w:eastAsia="Calibri"/>
                <w:color w:val="FFFFFF"/>
              </w:rPr>
              <w:t>Source</w:t>
            </w:r>
          </w:p>
        </w:tc>
      </w:tr>
      <w:tr w:rsidR="00A76ADB" w14:paraId="2CBF3B2D" w14:textId="77777777" w:rsidTr="00CF7215">
        <w:trPr>
          <w:cantSplit/>
        </w:trPr>
        <w:tc>
          <w:tcPr>
            <w:tcW w:w="2325" w:type="dxa"/>
            <w:shd w:val="clear" w:color="auto" w:fill="FFFFFF"/>
            <w:tcMar>
              <w:top w:w="0" w:type="dxa"/>
              <w:left w:w="108" w:type="dxa"/>
              <w:bottom w:w="0" w:type="dxa"/>
              <w:right w:w="108" w:type="dxa"/>
            </w:tcMar>
            <w:vAlign w:val="center"/>
          </w:tcPr>
          <w:p w14:paraId="5B858030" w14:textId="77777777" w:rsidR="00A76ADB" w:rsidRDefault="00A76ADB" w:rsidP="007E3239">
            <w:pPr>
              <w:pStyle w:val="TableText"/>
              <w:spacing w:before="40" w:after="40"/>
            </w:pPr>
            <w:r>
              <w:rPr>
                <w:rFonts w:eastAsia="Calibri"/>
              </w:rPr>
              <w:t>Dry-matter content in waste (%)</w:t>
            </w:r>
          </w:p>
        </w:tc>
        <w:tc>
          <w:tcPr>
            <w:tcW w:w="1474" w:type="dxa"/>
            <w:shd w:val="clear" w:color="auto" w:fill="FFFFFF"/>
            <w:tcMar>
              <w:top w:w="0" w:type="dxa"/>
              <w:left w:w="108" w:type="dxa"/>
              <w:bottom w:w="0" w:type="dxa"/>
              <w:right w:w="108" w:type="dxa"/>
            </w:tcMar>
            <w:vAlign w:val="center"/>
          </w:tcPr>
          <w:p w14:paraId="2B93898E" w14:textId="77777777" w:rsidR="00A76ADB" w:rsidRDefault="00A76ADB" w:rsidP="007E3239">
            <w:pPr>
              <w:pStyle w:val="TableText"/>
              <w:spacing w:before="40" w:after="40"/>
              <w:jc w:val="center"/>
            </w:pPr>
            <w:r>
              <w:rPr>
                <w:rFonts w:eastAsia="Calibri"/>
              </w:rPr>
              <w:t xml:space="preserve">50 </w:t>
            </w:r>
            <w:r>
              <w:rPr>
                <w:rFonts w:eastAsia="Calibri"/>
              </w:rPr>
              <w:br/>
              <w:t>(table 2.6)</w:t>
            </w:r>
          </w:p>
        </w:tc>
        <w:tc>
          <w:tcPr>
            <w:tcW w:w="1701" w:type="dxa"/>
            <w:shd w:val="clear" w:color="auto" w:fill="FFFFFF"/>
            <w:tcMar>
              <w:top w:w="0" w:type="dxa"/>
              <w:left w:w="108" w:type="dxa"/>
              <w:bottom w:w="0" w:type="dxa"/>
              <w:right w:w="108" w:type="dxa"/>
            </w:tcMar>
            <w:vAlign w:val="center"/>
          </w:tcPr>
          <w:p w14:paraId="5610D770" w14:textId="77777777" w:rsidR="00A76ADB" w:rsidRDefault="00A76ADB" w:rsidP="007E3239">
            <w:pPr>
              <w:pStyle w:val="TableText"/>
              <w:spacing w:before="40" w:after="40"/>
              <w:jc w:val="center"/>
            </w:pPr>
            <w:r>
              <w:rPr>
                <w:rFonts w:eastAsia="Calibri"/>
              </w:rPr>
              <w:t xml:space="preserve">65 </w:t>
            </w:r>
            <w:r>
              <w:rPr>
                <w:rFonts w:eastAsia="Calibri"/>
              </w:rPr>
              <w:br/>
              <w:t>(table 2.6)</w:t>
            </w:r>
          </w:p>
        </w:tc>
        <w:tc>
          <w:tcPr>
            <w:tcW w:w="1191" w:type="dxa"/>
            <w:shd w:val="clear" w:color="auto" w:fill="FFFFFF"/>
            <w:tcMar>
              <w:top w:w="0" w:type="dxa"/>
              <w:left w:w="108" w:type="dxa"/>
              <w:bottom w:w="0" w:type="dxa"/>
              <w:right w:w="108" w:type="dxa"/>
            </w:tcMar>
            <w:vAlign w:val="center"/>
          </w:tcPr>
          <w:p w14:paraId="5F25CF22" w14:textId="77777777" w:rsidR="00A76ADB" w:rsidRDefault="00A76ADB" w:rsidP="007E3239">
            <w:pPr>
              <w:pStyle w:val="TableText"/>
              <w:spacing w:before="40" w:after="40"/>
              <w:jc w:val="center"/>
            </w:pPr>
            <w:r>
              <w:rPr>
                <w:rFonts w:eastAsia="Calibri"/>
              </w:rPr>
              <w:t xml:space="preserve">10 </w:t>
            </w:r>
            <w:r>
              <w:rPr>
                <w:rFonts w:eastAsia="Calibri"/>
              </w:rPr>
              <w:br/>
              <w:t>(section 2.3.2)</w:t>
            </w:r>
          </w:p>
        </w:tc>
        <w:tc>
          <w:tcPr>
            <w:tcW w:w="0" w:type="auto"/>
            <w:shd w:val="clear" w:color="auto" w:fill="FFFFFF"/>
            <w:tcMar>
              <w:top w:w="0" w:type="dxa"/>
              <w:left w:w="108" w:type="dxa"/>
              <w:bottom w:w="0" w:type="dxa"/>
              <w:right w:w="108" w:type="dxa"/>
            </w:tcMar>
            <w:vAlign w:val="center"/>
          </w:tcPr>
          <w:p w14:paraId="48883753" w14:textId="77777777" w:rsidR="00A76ADB" w:rsidRDefault="00A76ADB" w:rsidP="007E3239">
            <w:pPr>
              <w:pStyle w:val="TableText"/>
              <w:spacing w:before="40" w:after="40"/>
            </w:pPr>
            <w:r>
              <w:rPr>
                <w:rFonts w:eastAsia="Calibri"/>
              </w:rPr>
              <w:t>IPCC (2006a)</w:t>
            </w:r>
          </w:p>
        </w:tc>
      </w:tr>
      <w:tr w:rsidR="00A76ADB" w14:paraId="36E6D0D1" w14:textId="77777777" w:rsidTr="00CF7215">
        <w:trPr>
          <w:cantSplit/>
        </w:trPr>
        <w:tc>
          <w:tcPr>
            <w:tcW w:w="2325" w:type="dxa"/>
            <w:shd w:val="clear" w:color="auto" w:fill="FFFFFF"/>
            <w:tcMar>
              <w:top w:w="0" w:type="dxa"/>
              <w:left w:w="108" w:type="dxa"/>
              <w:bottom w:w="0" w:type="dxa"/>
              <w:right w:w="108" w:type="dxa"/>
            </w:tcMar>
            <w:vAlign w:val="center"/>
          </w:tcPr>
          <w:p w14:paraId="3F4E06E3" w14:textId="77777777" w:rsidR="00A76ADB" w:rsidRDefault="00A76ADB" w:rsidP="007E3239">
            <w:pPr>
              <w:pStyle w:val="TableText"/>
              <w:spacing w:before="40" w:after="40"/>
            </w:pPr>
            <w:r>
              <w:rPr>
                <w:rFonts w:eastAsia="Calibri"/>
              </w:rPr>
              <w:t>Fraction of carbon</w:t>
            </w:r>
          </w:p>
        </w:tc>
        <w:tc>
          <w:tcPr>
            <w:tcW w:w="1474" w:type="dxa"/>
            <w:shd w:val="clear" w:color="auto" w:fill="FFFFFF"/>
            <w:tcMar>
              <w:top w:w="0" w:type="dxa"/>
              <w:left w:w="108" w:type="dxa"/>
              <w:bottom w:w="0" w:type="dxa"/>
              <w:right w:w="108" w:type="dxa"/>
            </w:tcMar>
            <w:vAlign w:val="center"/>
          </w:tcPr>
          <w:p w14:paraId="2F6B0EA1" w14:textId="77777777" w:rsidR="00A76ADB" w:rsidRDefault="00A76ADB" w:rsidP="007E3239">
            <w:pPr>
              <w:pStyle w:val="TableText"/>
              <w:spacing w:before="40" w:after="40"/>
              <w:jc w:val="center"/>
            </w:pPr>
            <w:r>
              <w:rPr>
                <w:rFonts w:eastAsia="Calibri"/>
              </w:rPr>
              <w:t xml:space="preserve">0.275 (wet) </w:t>
            </w:r>
            <w:r>
              <w:rPr>
                <w:rFonts w:eastAsia="Calibri"/>
              </w:rPr>
              <w:br/>
              <w:t>(table 2.6)</w:t>
            </w:r>
          </w:p>
        </w:tc>
        <w:tc>
          <w:tcPr>
            <w:tcW w:w="1701" w:type="dxa"/>
            <w:shd w:val="clear" w:color="auto" w:fill="FFFFFF"/>
            <w:tcMar>
              <w:top w:w="0" w:type="dxa"/>
              <w:left w:w="108" w:type="dxa"/>
              <w:bottom w:w="0" w:type="dxa"/>
              <w:right w:w="108" w:type="dxa"/>
            </w:tcMar>
            <w:vAlign w:val="center"/>
          </w:tcPr>
          <w:p w14:paraId="391CFA00" w14:textId="77777777" w:rsidR="00A76ADB" w:rsidRDefault="00A76ADB" w:rsidP="007E3239">
            <w:pPr>
              <w:pStyle w:val="TableText"/>
              <w:spacing w:before="40" w:after="40"/>
              <w:jc w:val="center"/>
            </w:pPr>
            <w:r>
              <w:rPr>
                <w:rFonts w:eastAsia="Calibri"/>
              </w:rPr>
              <w:t xml:space="preserve">0.6 (dry) </w:t>
            </w:r>
            <w:r>
              <w:rPr>
                <w:rFonts w:eastAsia="Calibri"/>
              </w:rPr>
              <w:br/>
              <w:t>(table 5.2)</w:t>
            </w:r>
          </w:p>
        </w:tc>
        <w:tc>
          <w:tcPr>
            <w:tcW w:w="1191" w:type="dxa"/>
            <w:shd w:val="clear" w:color="auto" w:fill="FFFFFF"/>
            <w:tcMar>
              <w:top w:w="0" w:type="dxa"/>
              <w:left w:w="108" w:type="dxa"/>
              <w:bottom w:w="0" w:type="dxa"/>
              <w:right w:w="108" w:type="dxa"/>
            </w:tcMar>
            <w:vAlign w:val="center"/>
          </w:tcPr>
          <w:p w14:paraId="27AF9EBA" w14:textId="77777777" w:rsidR="00A76ADB" w:rsidRDefault="00A76ADB" w:rsidP="007E3239">
            <w:pPr>
              <w:pStyle w:val="TableText"/>
              <w:spacing w:before="40" w:after="40"/>
              <w:jc w:val="center"/>
            </w:pPr>
            <w:r>
              <w:rPr>
                <w:rFonts w:eastAsia="Calibri"/>
              </w:rPr>
              <w:t xml:space="preserve">0.45 (dry) </w:t>
            </w:r>
            <w:r>
              <w:rPr>
                <w:rFonts w:eastAsia="Calibri"/>
              </w:rPr>
              <w:br/>
              <w:t>(table 5.2)</w:t>
            </w:r>
          </w:p>
        </w:tc>
        <w:tc>
          <w:tcPr>
            <w:tcW w:w="0" w:type="auto"/>
            <w:shd w:val="clear" w:color="auto" w:fill="FFFFFF"/>
            <w:tcMar>
              <w:top w:w="0" w:type="dxa"/>
              <w:left w:w="108" w:type="dxa"/>
              <w:bottom w:w="0" w:type="dxa"/>
              <w:right w:w="108" w:type="dxa"/>
            </w:tcMar>
            <w:vAlign w:val="center"/>
          </w:tcPr>
          <w:p w14:paraId="17691F6A" w14:textId="77777777" w:rsidR="00A76ADB" w:rsidRDefault="00A76ADB" w:rsidP="007E3239">
            <w:pPr>
              <w:pStyle w:val="TableText"/>
              <w:spacing w:before="40" w:after="40"/>
            </w:pPr>
            <w:r>
              <w:rPr>
                <w:rFonts w:eastAsia="Calibri"/>
              </w:rPr>
              <w:t>IPCC (2006a)</w:t>
            </w:r>
          </w:p>
        </w:tc>
      </w:tr>
      <w:tr w:rsidR="00A76ADB" w14:paraId="3BC13F06" w14:textId="77777777" w:rsidTr="00CF7215">
        <w:trPr>
          <w:cantSplit/>
        </w:trPr>
        <w:tc>
          <w:tcPr>
            <w:tcW w:w="2325" w:type="dxa"/>
            <w:shd w:val="clear" w:color="auto" w:fill="FFFFFF"/>
            <w:tcMar>
              <w:top w:w="0" w:type="dxa"/>
              <w:left w:w="108" w:type="dxa"/>
              <w:bottom w:w="0" w:type="dxa"/>
              <w:right w:w="108" w:type="dxa"/>
            </w:tcMar>
            <w:vAlign w:val="center"/>
          </w:tcPr>
          <w:p w14:paraId="4FE5BB51" w14:textId="77777777" w:rsidR="00A76ADB" w:rsidRDefault="00A76ADB" w:rsidP="007E3239">
            <w:pPr>
              <w:pStyle w:val="TableText"/>
              <w:spacing w:before="40" w:after="40"/>
            </w:pPr>
            <w:r>
              <w:rPr>
                <w:rFonts w:eastAsia="Calibri"/>
              </w:rPr>
              <w:lastRenderedPageBreak/>
              <w:t>Fraction of fossil carbon in total carbon</w:t>
            </w:r>
          </w:p>
        </w:tc>
        <w:tc>
          <w:tcPr>
            <w:tcW w:w="1474" w:type="dxa"/>
            <w:shd w:val="clear" w:color="auto" w:fill="FFFFFF"/>
            <w:tcMar>
              <w:top w:w="0" w:type="dxa"/>
              <w:left w:w="108" w:type="dxa"/>
              <w:bottom w:w="0" w:type="dxa"/>
              <w:right w:w="108" w:type="dxa"/>
            </w:tcMar>
            <w:vAlign w:val="center"/>
          </w:tcPr>
          <w:p w14:paraId="3B4FE0A7" w14:textId="77777777" w:rsidR="00A76ADB" w:rsidRDefault="00A76ADB" w:rsidP="007E3239">
            <w:pPr>
              <w:pStyle w:val="TableText"/>
              <w:spacing w:before="40" w:after="40"/>
              <w:jc w:val="center"/>
            </w:pPr>
            <w:r>
              <w:rPr>
                <w:rFonts w:eastAsia="Calibri"/>
              </w:rPr>
              <w:t xml:space="preserve">1 </w:t>
            </w:r>
            <w:r>
              <w:rPr>
                <w:rFonts w:eastAsia="Calibri"/>
              </w:rPr>
              <w:br/>
              <w:t>(table 2.6)</w:t>
            </w:r>
          </w:p>
        </w:tc>
        <w:tc>
          <w:tcPr>
            <w:tcW w:w="1701" w:type="dxa"/>
            <w:shd w:val="clear" w:color="auto" w:fill="FFFFFF"/>
            <w:tcMar>
              <w:top w:w="0" w:type="dxa"/>
              <w:left w:w="108" w:type="dxa"/>
              <w:bottom w:w="0" w:type="dxa"/>
              <w:right w:w="108" w:type="dxa"/>
            </w:tcMar>
            <w:vAlign w:val="center"/>
          </w:tcPr>
          <w:p w14:paraId="026A326D" w14:textId="77777777" w:rsidR="00A76ADB" w:rsidRDefault="00A76ADB" w:rsidP="007E3239">
            <w:pPr>
              <w:pStyle w:val="TableText"/>
              <w:spacing w:before="40" w:after="40"/>
              <w:jc w:val="center"/>
            </w:pPr>
            <w:r>
              <w:rPr>
                <w:rFonts w:eastAsia="Calibri"/>
              </w:rPr>
              <w:t xml:space="preserve">0.4 </w:t>
            </w:r>
            <w:r>
              <w:rPr>
                <w:rFonts w:eastAsia="Calibri"/>
              </w:rPr>
              <w:br/>
              <w:t>(table 5.2)</w:t>
            </w:r>
          </w:p>
        </w:tc>
        <w:tc>
          <w:tcPr>
            <w:tcW w:w="1191" w:type="dxa"/>
            <w:shd w:val="clear" w:color="auto" w:fill="FFFFFF"/>
            <w:tcMar>
              <w:top w:w="0" w:type="dxa"/>
              <w:left w:w="108" w:type="dxa"/>
              <w:bottom w:w="0" w:type="dxa"/>
              <w:right w:w="108" w:type="dxa"/>
            </w:tcMar>
            <w:vAlign w:val="center"/>
          </w:tcPr>
          <w:p w14:paraId="3F1D2536" w14:textId="77777777" w:rsidR="00A76ADB" w:rsidRDefault="00A76ADB" w:rsidP="007E3239">
            <w:pPr>
              <w:pStyle w:val="TableText"/>
              <w:spacing w:before="40" w:after="40"/>
              <w:jc w:val="center"/>
            </w:pPr>
            <w:r>
              <w:rPr>
                <w:rFonts w:eastAsia="Calibri"/>
              </w:rPr>
              <w:t xml:space="preserve">0 </w:t>
            </w:r>
            <w:r>
              <w:rPr>
                <w:rFonts w:eastAsia="Calibri"/>
              </w:rPr>
              <w:br/>
              <w:t>(table 5.2)</w:t>
            </w:r>
          </w:p>
        </w:tc>
        <w:tc>
          <w:tcPr>
            <w:tcW w:w="0" w:type="auto"/>
            <w:shd w:val="clear" w:color="auto" w:fill="FFFFFF"/>
            <w:tcMar>
              <w:top w:w="0" w:type="dxa"/>
              <w:left w:w="108" w:type="dxa"/>
              <w:bottom w:w="0" w:type="dxa"/>
              <w:right w:w="108" w:type="dxa"/>
            </w:tcMar>
            <w:vAlign w:val="center"/>
          </w:tcPr>
          <w:p w14:paraId="5C296980" w14:textId="77777777" w:rsidR="00A76ADB" w:rsidRDefault="00A76ADB" w:rsidP="007E3239">
            <w:pPr>
              <w:pStyle w:val="TableText"/>
              <w:spacing w:before="40" w:after="40"/>
            </w:pPr>
            <w:r>
              <w:rPr>
                <w:rFonts w:eastAsia="Calibri"/>
              </w:rPr>
              <w:t>IPCC (2006a)</w:t>
            </w:r>
          </w:p>
        </w:tc>
      </w:tr>
      <w:tr w:rsidR="00A76ADB" w14:paraId="53279A65" w14:textId="77777777" w:rsidTr="00CF7215">
        <w:trPr>
          <w:cantSplit/>
        </w:trPr>
        <w:tc>
          <w:tcPr>
            <w:tcW w:w="2325" w:type="dxa"/>
            <w:shd w:val="clear" w:color="auto" w:fill="FFFFFF"/>
            <w:tcMar>
              <w:top w:w="0" w:type="dxa"/>
              <w:left w:w="108" w:type="dxa"/>
              <w:bottom w:w="0" w:type="dxa"/>
              <w:right w:w="108" w:type="dxa"/>
            </w:tcMar>
            <w:vAlign w:val="center"/>
          </w:tcPr>
          <w:p w14:paraId="7F9B95C1" w14:textId="77777777" w:rsidR="00A76ADB" w:rsidRDefault="00A76ADB" w:rsidP="007E3239">
            <w:pPr>
              <w:pStyle w:val="TableText"/>
              <w:spacing w:before="40" w:after="40"/>
            </w:pPr>
            <w:r>
              <w:rPr>
                <w:rFonts w:eastAsia="Calibri"/>
              </w:rPr>
              <w:t>Oxidation factor</w:t>
            </w:r>
          </w:p>
        </w:tc>
        <w:tc>
          <w:tcPr>
            <w:tcW w:w="1474" w:type="dxa"/>
            <w:shd w:val="clear" w:color="auto" w:fill="FFFFFF"/>
            <w:tcMar>
              <w:top w:w="0" w:type="dxa"/>
              <w:left w:w="108" w:type="dxa"/>
              <w:bottom w:w="0" w:type="dxa"/>
              <w:right w:w="108" w:type="dxa"/>
            </w:tcMar>
            <w:vAlign w:val="center"/>
          </w:tcPr>
          <w:p w14:paraId="0ECCFF62" w14:textId="77777777" w:rsidR="00A76ADB" w:rsidRDefault="00A76ADB" w:rsidP="007E3239">
            <w:pPr>
              <w:pStyle w:val="TableText"/>
              <w:spacing w:before="40" w:after="40"/>
              <w:jc w:val="center"/>
            </w:pPr>
            <w:r>
              <w:rPr>
                <w:rFonts w:eastAsia="Calibri"/>
              </w:rPr>
              <w:t>1</w:t>
            </w:r>
          </w:p>
        </w:tc>
        <w:tc>
          <w:tcPr>
            <w:tcW w:w="1701" w:type="dxa"/>
            <w:shd w:val="clear" w:color="auto" w:fill="FFFFFF"/>
            <w:tcMar>
              <w:top w:w="0" w:type="dxa"/>
              <w:left w:w="108" w:type="dxa"/>
              <w:bottom w:w="0" w:type="dxa"/>
              <w:right w:w="108" w:type="dxa"/>
            </w:tcMar>
            <w:vAlign w:val="center"/>
          </w:tcPr>
          <w:p w14:paraId="696E063A" w14:textId="77777777" w:rsidR="00A76ADB" w:rsidRDefault="00A76ADB" w:rsidP="007E3239">
            <w:pPr>
              <w:pStyle w:val="TableText"/>
              <w:spacing w:before="40" w:after="40"/>
              <w:jc w:val="center"/>
            </w:pPr>
            <w:r>
              <w:rPr>
                <w:rFonts w:eastAsia="Calibri"/>
              </w:rPr>
              <w:t>1</w:t>
            </w:r>
          </w:p>
        </w:tc>
        <w:tc>
          <w:tcPr>
            <w:tcW w:w="1191" w:type="dxa"/>
            <w:shd w:val="clear" w:color="auto" w:fill="FFFFFF"/>
            <w:tcMar>
              <w:top w:w="0" w:type="dxa"/>
              <w:left w:w="108" w:type="dxa"/>
              <w:bottom w:w="0" w:type="dxa"/>
              <w:right w:w="108" w:type="dxa"/>
            </w:tcMar>
            <w:vAlign w:val="center"/>
          </w:tcPr>
          <w:p w14:paraId="3CF1BEAE" w14:textId="77777777" w:rsidR="00A76ADB" w:rsidRDefault="00A76ADB" w:rsidP="007E3239">
            <w:pPr>
              <w:pStyle w:val="TableText"/>
              <w:spacing w:before="40" w:after="40"/>
              <w:jc w:val="center"/>
            </w:pPr>
            <w:r>
              <w:rPr>
                <w:rFonts w:eastAsia="Calibri"/>
              </w:rPr>
              <w:t>1</w:t>
            </w:r>
          </w:p>
        </w:tc>
        <w:tc>
          <w:tcPr>
            <w:tcW w:w="0" w:type="auto"/>
            <w:shd w:val="clear" w:color="auto" w:fill="FFFFFF"/>
            <w:tcMar>
              <w:top w:w="0" w:type="dxa"/>
              <w:left w:w="108" w:type="dxa"/>
              <w:bottom w:w="0" w:type="dxa"/>
              <w:right w:w="108" w:type="dxa"/>
            </w:tcMar>
            <w:vAlign w:val="center"/>
          </w:tcPr>
          <w:p w14:paraId="212CEA5C" w14:textId="77777777" w:rsidR="00A76ADB" w:rsidRDefault="00A76ADB" w:rsidP="007E3239">
            <w:pPr>
              <w:pStyle w:val="TableText"/>
              <w:spacing w:before="40" w:after="40"/>
            </w:pPr>
            <w:r>
              <w:rPr>
                <w:rFonts w:eastAsia="Calibri"/>
              </w:rPr>
              <w:t>IPCC (2006a), table 5.2</w:t>
            </w:r>
          </w:p>
        </w:tc>
      </w:tr>
      <w:tr w:rsidR="00A76ADB" w14:paraId="0A0C8523" w14:textId="77777777" w:rsidTr="00CF7215">
        <w:trPr>
          <w:cantSplit/>
        </w:trPr>
        <w:tc>
          <w:tcPr>
            <w:tcW w:w="2325" w:type="dxa"/>
            <w:shd w:val="clear" w:color="auto" w:fill="FFFFFF"/>
            <w:tcMar>
              <w:top w:w="0" w:type="dxa"/>
              <w:left w:w="108" w:type="dxa"/>
              <w:bottom w:w="0" w:type="dxa"/>
              <w:right w:w="108" w:type="dxa"/>
            </w:tcMar>
            <w:vAlign w:val="center"/>
          </w:tcPr>
          <w:p w14:paraId="315AFFC4" w14:textId="77777777" w:rsidR="00A76ADB" w:rsidRDefault="00A76ADB" w:rsidP="007E3239">
            <w:pPr>
              <w:pStyle w:val="TableText"/>
              <w:spacing w:before="40" w:after="40"/>
            </w:pPr>
            <w:r>
              <w:rPr>
                <w:rFonts w:eastAsia="Calibri"/>
              </w:rPr>
              <w:t>Molar ratio to convert from carbon to carbon dioxide</w:t>
            </w:r>
          </w:p>
        </w:tc>
        <w:tc>
          <w:tcPr>
            <w:tcW w:w="1474" w:type="dxa"/>
            <w:shd w:val="clear" w:color="auto" w:fill="FFFFFF"/>
            <w:tcMar>
              <w:top w:w="0" w:type="dxa"/>
              <w:left w:w="108" w:type="dxa"/>
              <w:bottom w:w="0" w:type="dxa"/>
              <w:right w:w="108" w:type="dxa"/>
            </w:tcMar>
            <w:vAlign w:val="center"/>
          </w:tcPr>
          <w:p w14:paraId="0B12CB56" w14:textId="77777777" w:rsidR="00A76ADB" w:rsidRDefault="00A76ADB" w:rsidP="007E3239">
            <w:pPr>
              <w:pStyle w:val="TableText"/>
              <w:spacing w:before="40" w:after="40"/>
              <w:jc w:val="center"/>
            </w:pPr>
            <w:r>
              <w:rPr>
                <w:rFonts w:eastAsia="Calibri"/>
              </w:rPr>
              <w:t>44/12</w:t>
            </w:r>
          </w:p>
        </w:tc>
        <w:tc>
          <w:tcPr>
            <w:tcW w:w="1701" w:type="dxa"/>
            <w:shd w:val="clear" w:color="auto" w:fill="FFFFFF"/>
            <w:tcMar>
              <w:top w:w="0" w:type="dxa"/>
              <w:left w:w="108" w:type="dxa"/>
              <w:bottom w:w="0" w:type="dxa"/>
              <w:right w:w="108" w:type="dxa"/>
            </w:tcMar>
            <w:vAlign w:val="center"/>
          </w:tcPr>
          <w:p w14:paraId="6B0F6081" w14:textId="77777777" w:rsidR="00A76ADB" w:rsidRDefault="00A76ADB" w:rsidP="007E3239">
            <w:pPr>
              <w:pStyle w:val="TableText"/>
              <w:spacing w:before="40" w:after="40"/>
              <w:jc w:val="center"/>
            </w:pPr>
            <w:r>
              <w:rPr>
                <w:rFonts w:eastAsia="Calibri"/>
              </w:rPr>
              <w:t>44/12</w:t>
            </w:r>
          </w:p>
        </w:tc>
        <w:tc>
          <w:tcPr>
            <w:tcW w:w="1191" w:type="dxa"/>
            <w:shd w:val="clear" w:color="auto" w:fill="FFFFFF"/>
            <w:tcMar>
              <w:top w:w="0" w:type="dxa"/>
              <w:left w:w="108" w:type="dxa"/>
              <w:bottom w:w="0" w:type="dxa"/>
              <w:right w:w="108" w:type="dxa"/>
            </w:tcMar>
            <w:vAlign w:val="center"/>
          </w:tcPr>
          <w:p w14:paraId="47F632E4" w14:textId="77777777" w:rsidR="00A76ADB" w:rsidRDefault="00A76ADB" w:rsidP="007E3239">
            <w:pPr>
              <w:pStyle w:val="TableText"/>
              <w:spacing w:before="40" w:after="40"/>
              <w:jc w:val="center"/>
            </w:pPr>
            <w:r>
              <w:rPr>
                <w:rFonts w:eastAsia="Calibri"/>
              </w:rPr>
              <w:t>44/12</w:t>
            </w:r>
          </w:p>
        </w:tc>
        <w:tc>
          <w:tcPr>
            <w:tcW w:w="0" w:type="auto"/>
            <w:shd w:val="clear" w:color="auto" w:fill="FFFFFF"/>
            <w:tcMar>
              <w:top w:w="0" w:type="dxa"/>
              <w:left w:w="108" w:type="dxa"/>
              <w:bottom w:w="0" w:type="dxa"/>
              <w:right w:w="108" w:type="dxa"/>
            </w:tcMar>
            <w:vAlign w:val="center"/>
          </w:tcPr>
          <w:p w14:paraId="4B0B42BF" w14:textId="77777777" w:rsidR="00A76ADB" w:rsidRDefault="00A76ADB" w:rsidP="007E3239">
            <w:pPr>
              <w:pStyle w:val="TableText"/>
              <w:spacing w:before="40" w:after="40"/>
            </w:pPr>
          </w:p>
        </w:tc>
      </w:tr>
      <w:tr w:rsidR="00A76ADB" w14:paraId="307137DE" w14:textId="77777777" w:rsidTr="00CF7215">
        <w:trPr>
          <w:cantSplit/>
        </w:trPr>
        <w:tc>
          <w:tcPr>
            <w:tcW w:w="2325" w:type="dxa"/>
            <w:shd w:val="clear" w:color="auto" w:fill="FFFFFF"/>
            <w:tcMar>
              <w:top w:w="0" w:type="dxa"/>
              <w:left w:w="108" w:type="dxa"/>
              <w:bottom w:w="0" w:type="dxa"/>
              <w:right w:w="108" w:type="dxa"/>
            </w:tcMar>
            <w:vAlign w:val="center"/>
          </w:tcPr>
          <w:p w14:paraId="1D5C4AD6" w14:textId="77777777" w:rsidR="00A76ADB" w:rsidRDefault="00A76ADB" w:rsidP="007E3239">
            <w:pPr>
              <w:pStyle w:val="TableText"/>
              <w:spacing w:before="40" w:after="40"/>
            </w:pPr>
            <w:r>
              <w:rPr>
                <w:rFonts w:eastAsia="Calibri"/>
              </w:rPr>
              <w:t>Overall carbon dioxide emission factor (kg/kt)</w:t>
            </w:r>
          </w:p>
        </w:tc>
        <w:tc>
          <w:tcPr>
            <w:tcW w:w="1474" w:type="dxa"/>
            <w:shd w:val="clear" w:color="auto" w:fill="FFFFFF"/>
            <w:tcMar>
              <w:top w:w="0" w:type="dxa"/>
              <w:left w:w="108" w:type="dxa"/>
              <w:bottom w:w="0" w:type="dxa"/>
              <w:right w:w="108" w:type="dxa"/>
            </w:tcMar>
            <w:vAlign w:val="center"/>
          </w:tcPr>
          <w:p w14:paraId="78AFB347" w14:textId="77777777" w:rsidR="00A76ADB" w:rsidRDefault="00A76ADB" w:rsidP="007E3239">
            <w:pPr>
              <w:pStyle w:val="TableText"/>
              <w:spacing w:before="40" w:after="40"/>
              <w:jc w:val="center"/>
            </w:pPr>
            <w:r>
              <w:rPr>
                <w:rFonts w:eastAsia="Calibri"/>
              </w:rPr>
              <w:t>0.5</w:t>
            </w:r>
          </w:p>
        </w:tc>
        <w:tc>
          <w:tcPr>
            <w:tcW w:w="1701" w:type="dxa"/>
            <w:shd w:val="clear" w:color="auto" w:fill="FFFFFF"/>
            <w:tcMar>
              <w:top w:w="0" w:type="dxa"/>
              <w:left w:w="108" w:type="dxa"/>
              <w:bottom w:w="0" w:type="dxa"/>
              <w:right w:w="108" w:type="dxa"/>
            </w:tcMar>
            <w:vAlign w:val="center"/>
          </w:tcPr>
          <w:p w14:paraId="077DAC33" w14:textId="77777777" w:rsidR="00A76ADB" w:rsidRDefault="00A76ADB" w:rsidP="007E3239">
            <w:pPr>
              <w:pStyle w:val="TableText"/>
              <w:spacing w:before="40" w:after="40"/>
              <w:jc w:val="center"/>
            </w:pPr>
            <w:r>
              <w:rPr>
                <w:rFonts w:eastAsia="Calibri"/>
              </w:rPr>
              <w:t>0.57</w:t>
            </w:r>
          </w:p>
        </w:tc>
        <w:tc>
          <w:tcPr>
            <w:tcW w:w="1191" w:type="dxa"/>
            <w:shd w:val="clear" w:color="auto" w:fill="FFFFFF"/>
            <w:tcMar>
              <w:top w:w="0" w:type="dxa"/>
              <w:left w:w="108" w:type="dxa"/>
              <w:bottom w:w="0" w:type="dxa"/>
              <w:right w:w="108" w:type="dxa"/>
            </w:tcMar>
            <w:vAlign w:val="center"/>
          </w:tcPr>
          <w:p w14:paraId="7B43C850" w14:textId="77777777" w:rsidR="00A76ADB" w:rsidRDefault="00A76ADB" w:rsidP="007E3239">
            <w:pPr>
              <w:pStyle w:val="TableText"/>
              <w:spacing w:before="40" w:after="40"/>
              <w:jc w:val="center"/>
            </w:pPr>
            <w:r>
              <w:rPr>
                <w:rFonts w:eastAsia="Calibri"/>
              </w:rPr>
              <w:t>0.16</w:t>
            </w:r>
          </w:p>
        </w:tc>
        <w:tc>
          <w:tcPr>
            <w:tcW w:w="0" w:type="auto"/>
            <w:shd w:val="clear" w:color="auto" w:fill="FFFFFF"/>
            <w:tcMar>
              <w:top w:w="0" w:type="dxa"/>
              <w:left w:w="108" w:type="dxa"/>
              <w:bottom w:w="0" w:type="dxa"/>
              <w:right w:w="108" w:type="dxa"/>
            </w:tcMar>
            <w:vAlign w:val="center"/>
          </w:tcPr>
          <w:p w14:paraId="72689035" w14:textId="77777777" w:rsidR="00A76ADB" w:rsidRDefault="00A76ADB" w:rsidP="007E3239">
            <w:pPr>
              <w:pStyle w:val="TableText"/>
              <w:spacing w:before="40" w:after="40"/>
            </w:pPr>
          </w:p>
        </w:tc>
      </w:tr>
      <w:tr w:rsidR="00A76ADB" w14:paraId="2654881D" w14:textId="77777777" w:rsidTr="00CF7215">
        <w:trPr>
          <w:cantSplit/>
        </w:trPr>
        <w:tc>
          <w:tcPr>
            <w:tcW w:w="2325" w:type="dxa"/>
            <w:shd w:val="clear" w:color="auto" w:fill="FFFFFF"/>
            <w:tcMar>
              <w:top w:w="0" w:type="dxa"/>
              <w:left w:w="108" w:type="dxa"/>
              <w:bottom w:w="0" w:type="dxa"/>
              <w:right w:w="108" w:type="dxa"/>
            </w:tcMar>
            <w:vAlign w:val="center"/>
          </w:tcPr>
          <w:p w14:paraId="027907CF" w14:textId="77777777" w:rsidR="00A76ADB" w:rsidRDefault="00A76ADB" w:rsidP="007E3239">
            <w:pPr>
              <w:pStyle w:val="TableText"/>
              <w:spacing w:before="40" w:after="40"/>
            </w:pPr>
            <w:r>
              <w:rPr>
                <w:rFonts w:eastAsia="Calibri"/>
              </w:rPr>
              <w:t>Methane emission factor (kg/kt) as directly referenced</w:t>
            </w:r>
          </w:p>
        </w:tc>
        <w:tc>
          <w:tcPr>
            <w:tcW w:w="1474" w:type="dxa"/>
            <w:shd w:val="clear" w:color="auto" w:fill="FFFFFF"/>
            <w:tcMar>
              <w:top w:w="0" w:type="dxa"/>
              <w:left w:w="108" w:type="dxa"/>
              <w:bottom w:w="0" w:type="dxa"/>
              <w:right w:w="108" w:type="dxa"/>
            </w:tcMar>
            <w:vAlign w:val="center"/>
          </w:tcPr>
          <w:p w14:paraId="782D409A" w14:textId="77777777" w:rsidR="00A76ADB" w:rsidRDefault="00A76ADB" w:rsidP="007E3239">
            <w:pPr>
              <w:pStyle w:val="TableText"/>
              <w:spacing w:before="40" w:after="40"/>
              <w:jc w:val="center"/>
            </w:pPr>
            <w:r>
              <w:rPr>
                <w:rFonts w:eastAsia="Calibri"/>
              </w:rPr>
              <w:t>NA</w:t>
            </w:r>
          </w:p>
        </w:tc>
        <w:tc>
          <w:tcPr>
            <w:tcW w:w="1701" w:type="dxa"/>
            <w:shd w:val="clear" w:color="auto" w:fill="FFFFFF"/>
            <w:tcMar>
              <w:top w:w="0" w:type="dxa"/>
              <w:left w:w="108" w:type="dxa"/>
              <w:bottom w:w="0" w:type="dxa"/>
              <w:right w:w="108" w:type="dxa"/>
            </w:tcMar>
            <w:vAlign w:val="center"/>
          </w:tcPr>
          <w:p w14:paraId="7B143AD2" w14:textId="77777777" w:rsidR="00A76ADB" w:rsidRDefault="00A76ADB" w:rsidP="007E3239">
            <w:pPr>
              <w:pStyle w:val="TableText"/>
              <w:spacing w:before="40" w:after="40"/>
              <w:jc w:val="center"/>
            </w:pPr>
            <w:r>
              <w:rPr>
                <w:rFonts w:eastAsia="Calibri"/>
              </w:rPr>
              <w:t>NA</w:t>
            </w:r>
          </w:p>
        </w:tc>
        <w:tc>
          <w:tcPr>
            <w:tcW w:w="1191" w:type="dxa"/>
            <w:shd w:val="clear" w:color="auto" w:fill="FFFFFF"/>
            <w:tcMar>
              <w:top w:w="0" w:type="dxa"/>
              <w:left w:w="108" w:type="dxa"/>
              <w:bottom w:w="0" w:type="dxa"/>
              <w:right w:w="108" w:type="dxa"/>
            </w:tcMar>
            <w:vAlign w:val="center"/>
          </w:tcPr>
          <w:p w14:paraId="52218A31" w14:textId="77777777" w:rsidR="00A76ADB" w:rsidRDefault="00A76ADB" w:rsidP="007E3239">
            <w:pPr>
              <w:pStyle w:val="TableText"/>
              <w:spacing w:before="40" w:after="40"/>
              <w:jc w:val="center"/>
            </w:pPr>
            <w:r>
              <w:rPr>
                <w:rFonts w:eastAsia="Calibri"/>
              </w:rPr>
              <w:t xml:space="preserve">9.7 </w:t>
            </w:r>
            <w:r>
              <w:rPr>
                <w:rFonts w:eastAsia="Calibri"/>
              </w:rPr>
              <w:br/>
              <w:t>(section 5.4.2)</w:t>
            </w:r>
          </w:p>
        </w:tc>
        <w:tc>
          <w:tcPr>
            <w:tcW w:w="0" w:type="auto"/>
            <w:shd w:val="clear" w:color="auto" w:fill="FFFFFF"/>
            <w:tcMar>
              <w:top w:w="0" w:type="dxa"/>
              <w:left w:w="108" w:type="dxa"/>
              <w:bottom w:w="0" w:type="dxa"/>
              <w:right w:w="108" w:type="dxa"/>
            </w:tcMar>
            <w:vAlign w:val="center"/>
          </w:tcPr>
          <w:p w14:paraId="6BBF5609" w14:textId="77777777" w:rsidR="00A76ADB" w:rsidRDefault="00A76ADB" w:rsidP="007E3239">
            <w:pPr>
              <w:pStyle w:val="TableText"/>
              <w:spacing w:before="40" w:after="40"/>
            </w:pPr>
            <w:r>
              <w:rPr>
                <w:rFonts w:eastAsia="Calibri"/>
              </w:rPr>
              <w:t>IPCC (2006a)</w:t>
            </w:r>
          </w:p>
        </w:tc>
      </w:tr>
      <w:tr w:rsidR="00A76ADB" w14:paraId="327A331A" w14:textId="77777777" w:rsidTr="00CF7215">
        <w:trPr>
          <w:cantSplit/>
        </w:trPr>
        <w:tc>
          <w:tcPr>
            <w:tcW w:w="2325" w:type="dxa"/>
            <w:shd w:val="clear" w:color="auto" w:fill="FFFFFF"/>
            <w:tcMar>
              <w:top w:w="0" w:type="dxa"/>
              <w:left w:w="108" w:type="dxa"/>
              <w:bottom w:w="0" w:type="dxa"/>
              <w:right w:w="108" w:type="dxa"/>
            </w:tcMar>
            <w:vAlign w:val="center"/>
          </w:tcPr>
          <w:p w14:paraId="13F6894B" w14:textId="77777777" w:rsidR="00A76ADB" w:rsidRDefault="00A76ADB" w:rsidP="007E3239">
            <w:pPr>
              <w:pStyle w:val="TableText"/>
              <w:spacing w:before="40" w:after="40"/>
            </w:pPr>
            <w:r>
              <w:rPr>
                <w:rFonts w:eastAsia="Calibri"/>
              </w:rPr>
              <w:t>Methane energy factor (kg gas/TJ)</w:t>
            </w:r>
          </w:p>
        </w:tc>
        <w:tc>
          <w:tcPr>
            <w:tcW w:w="1474" w:type="dxa"/>
            <w:shd w:val="clear" w:color="auto" w:fill="FFFFFF"/>
            <w:tcMar>
              <w:top w:w="0" w:type="dxa"/>
              <w:left w:w="108" w:type="dxa"/>
              <w:bottom w:w="0" w:type="dxa"/>
              <w:right w:w="108" w:type="dxa"/>
            </w:tcMar>
            <w:vAlign w:val="center"/>
          </w:tcPr>
          <w:p w14:paraId="73FDC408" w14:textId="77777777" w:rsidR="00A76ADB" w:rsidRDefault="00A76ADB" w:rsidP="007E3239">
            <w:pPr>
              <w:pStyle w:val="TableText"/>
              <w:spacing w:before="40" w:after="40"/>
              <w:jc w:val="center"/>
            </w:pPr>
            <w:r>
              <w:rPr>
                <w:rFonts w:eastAsia="Calibri"/>
              </w:rPr>
              <w:t xml:space="preserve">30 </w:t>
            </w:r>
            <w:r>
              <w:rPr>
                <w:rFonts w:eastAsia="Calibri"/>
              </w:rPr>
              <w:br/>
              <w:t>(table 2.3, Industrial wastes)</w:t>
            </w:r>
          </w:p>
        </w:tc>
        <w:tc>
          <w:tcPr>
            <w:tcW w:w="1701" w:type="dxa"/>
            <w:shd w:val="clear" w:color="auto" w:fill="FFFFFF"/>
            <w:tcMar>
              <w:top w:w="0" w:type="dxa"/>
              <w:left w:w="108" w:type="dxa"/>
              <w:bottom w:w="0" w:type="dxa"/>
              <w:right w:w="108" w:type="dxa"/>
            </w:tcMar>
            <w:vAlign w:val="center"/>
          </w:tcPr>
          <w:p w14:paraId="6956532D" w14:textId="77777777" w:rsidR="00A76ADB" w:rsidRDefault="00A76ADB" w:rsidP="007E3239">
            <w:pPr>
              <w:pStyle w:val="TableText"/>
              <w:spacing w:before="40" w:after="40"/>
              <w:jc w:val="center"/>
            </w:pPr>
            <w:r>
              <w:rPr>
                <w:rFonts w:eastAsia="Calibri"/>
              </w:rPr>
              <w:t xml:space="preserve">300 </w:t>
            </w:r>
            <w:r>
              <w:rPr>
                <w:rFonts w:eastAsia="Calibri"/>
              </w:rPr>
              <w:br/>
              <w:t>(table 2.4, Municipal/ Industrial wastes)</w:t>
            </w:r>
          </w:p>
        </w:tc>
        <w:tc>
          <w:tcPr>
            <w:tcW w:w="1191" w:type="dxa"/>
            <w:shd w:val="clear" w:color="auto" w:fill="FFFFFF"/>
            <w:tcMar>
              <w:top w:w="0" w:type="dxa"/>
              <w:left w:w="108" w:type="dxa"/>
              <w:bottom w:w="0" w:type="dxa"/>
              <w:right w:w="108" w:type="dxa"/>
            </w:tcMar>
            <w:vAlign w:val="center"/>
          </w:tcPr>
          <w:p w14:paraId="2FC1D152" w14:textId="77777777" w:rsidR="00A76ADB" w:rsidRDefault="00A76ADB" w:rsidP="007E3239">
            <w:pPr>
              <w:pStyle w:val="TableText"/>
              <w:spacing w:before="40" w:after="40"/>
              <w:jc w:val="center"/>
            </w:pPr>
            <w:r>
              <w:rPr>
                <w:rFonts w:eastAsia="Calibri"/>
              </w:rPr>
              <w:t>NA</w:t>
            </w:r>
          </w:p>
        </w:tc>
        <w:tc>
          <w:tcPr>
            <w:tcW w:w="0" w:type="auto"/>
            <w:shd w:val="clear" w:color="auto" w:fill="FFFFFF"/>
            <w:tcMar>
              <w:top w:w="0" w:type="dxa"/>
              <w:left w:w="108" w:type="dxa"/>
              <w:bottom w:w="0" w:type="dxa"/>
              <w:right w:w="108" w:type="dxa"/>
            </w:tcMar>
            <w:vAlign w:val="center"/>
          </w:tcPr>
          <w:p w14:paraId="398806D0" w14:textId="77777777" w:rsidR="00A76ADB" w:rsidRDefault="00A76ADB" w:rsidP="007E3239">
            <w:pPr>
              <w:pStyle w:val="TableText"/>
              <w:spacing w:before="40" w:after="40"/>
            </w:pPr>
            <w:r>
              <w:rPr>
                <w:rFonts w:eastAsia="Calibri"/>
              </w:rPr>
              <w:t>IPCC (2006b)</w:t>
            </w:r>
          </w:p>
        </w:tc>
      </w:tr>
      <w:tr w:rsidR="00A76ADB" w14:paraId="3FB89C8F" w14:textId="77777777" w:rsidTr="00CF7215">
        <w:trPr>
          <w:cantSplit/>
        </w:trPr>
        <w:tc>
          <w:tcPr>
            <w:tcW w:w="2325" w:type="dxa"/>
            <w:shd w:val="clear" w:color="auto" w:fill="FFFFFF"/>
            <w:tcMar>
              <w:top w:w="0" w:type="dxa"/>
              <w:left w:w="108" w:type="dxa"/>
              <w:bottom w:w="0" w:type="dxa"/>
              <w:right w:w="108" w:type="dxa"/>
            </w:tcMar>
            <w:vAlign w:val="center"/>
          </w:tcPr>
          <w:p w14:paraId="1507489C" w14:textId="77777777" w:rsidR="00A76ADB" w:rsidRDefault="00A76ADB" w:rsidP="007E3239">
            <w:pPr>
              <w:pStyle w:val="TableText"/>
              <w:spacing w:before="40" w:after="40"/>
            </w:pPr>
            <w:r>
              <w:rPr>
                <w:rFonts w:eastAsia="Calibri"/>
              </w:rPr>
              <w:t>Methane (MJ/kg waste)</w:t>
            </w:r>
          </w:p>
        </w:tc>
        <w:tc>
          <w:tcPr>
            <w:tcW w:w="1474" w:type="dxa"/>
            <w:shd w:val="clear" w:color="auto" w:fill="FFFFFF"/>
            <w:tcMar>
              <w:top w:w="0" w:type="dxa"/>
              <w:left w:w="108" w:type="dxa"/>
              <w:bottom w:w="0" w:type="dxa"/>
              <w:right w:w="108" w:type="dxa"/>
            </w:tcMar>
            <w:vAlign w:val="center"/>
          </w:tcPr>
          <w:p w14:paraId="53794C2E" w14:textId="77777777" w:rsidR="00A76ADB" w:rsidRDefault="00A76ADB" w:rsidP="007E3239">
            <w:pPr>
              <w:pStyle w:val="TableText"/>
              <w:spacing w:before="40" w:after="40"/>
              <w:jc w:val="center"/>
            </w:pPr>
            <w:r>
              <w:rPr>
                <w:rFonts w:eastAsia="Calibri"/>
              </w:rPr>
              <w:t>12.8</w:t>
            </w:r>
          </w:p>
        </w:tc>
        <w:tc>
          <w:tcPr>
            <w:tcW w:w="1701" w:type="dxa"/>
            <w:shd w:val="clear" w:color="auto" w:fill="FFFFFF"/>
            <w:tcMar>
              <w:top w:w="0" w:type="dxa"/>
              <w:left w:w="108" w:type="dxa"/>
              <w:bottom w:w="0" w:type="dxa"/>
              <w:right w:w="108" w:type="dxa"/>
            </w:tcMar>
            <w:vAlign w:val="center"/>
          </w:tcPr>
          <w:p w14:paraId="6F6C73CC" w14:textId="77777777" w:rsidR="00A76ADB" w:rsidRDefault="00A76ADB" w:rsidP="007E3239">
            <w:pPr>
              <w:pStyle w:val="TableText"/>
              <w:spacing w:before="40" w:after="40"/>
              <w:jc w:val="center"/>
            </w:pPr>
            <w:r>
              <w:rPr>
                <w:rFonts w:eastAsia="Calibri"/>
              </w:rPr>
              <w:t>16.8</w:t>
            </w:r>
          </w:p>
        </w:tc>
        <w:tc>
          <w:tcPr>
            <w:tcW w:w="1191" w:type="dxa"/>
            <w:shd w:val="clear" w:color="auto" w:fill="FFFFFF"/>
            <w:tcMar>
              <w:top w:w="0" w:type="dxa"/>
              <w:left w:w="108" w:type="dxa"/>
              <w:bottom w:w="0" w:type="dxa"/>
              <w:right w:w="108" w:type="dxa"/>
            </w:tcMar>
            <w:vAlign w:val="center"/>
          </w:tcPr>
          <w:p w14:paraId="2EA35950" w14:textId="77777777" w:rsidR="00A76ADB" w:rsidRDefault="00A76ADB" w:rsidP="007E3239">
            <w:pPr>
              <w:pStyle w:val="TableText"/>
              <w:spacing w:before="40" w:after="40"/>
              <w:jc w:val="center"/>
            </w:pPr>
            <w:r>
              <w:rPr>
                <w:rFonts w:eastAsia="Calibri"/>
              </w:rPr>
              <w:t>NA</w:t>
            </w:r>
          </w:p>
        </w:tc>
        <w:tc>
          <w:tcPr>
            <w:tcW w:w="0" w:type="auto"/>
            <w:shd w:val="clear" w:color="auto" w:fill="FFFFFF"/>
            <w:tcMar>
              <w:top w:w="0" w:type="dxa"/>
              <w:left w:w="108" w:type="dxa"/>
              <w:bottom w:w="0" w:type="dxa"/>
              <w:right w:w="108" w:type="dxa"/>
            </w:tcMar>
            <w:vAlign w:val="center"/>
          </w:tcPr>
          <w:p w14:paraId="4BA623CF" w14:textId="77777777" w:rsidR="00A76ADB" w:rsidRDefault="00A76ADB" w:rsidP="007E3239">
            <w:pPr>
              <w:pStyle w:val="TableText"/>
              <w:spacing w:before="40" w:after="40"/>
            </w:pPr>
            <w:r>
              <w:rPr>
                <w:rFonts w:eastAsia="Calibri"/>
              </w:rPr>
              <w:t>Ministry of Commerce (1993)</w:t>
            </w:r>
          </w:p>
        </w:tc>
      </w:tr>
      <w:tr w:rsidR="00A76ADB" w14:paraId="1E011CAA" w14:textId="77777777" w:rsidTr="00CF7215">
        <w:trPr>
          <w:cantSplit/>
        </w:trPr>
        <w:tc>
          <w:tcPr>
            <w:tcW w:w="2325" w:type="dxa"/>
            <w:shd w:val="clear" w:color="auto" w:fill="FFFFFF"/>
            <w:tcMar>
              <w:top w:w="0" w:type="dxa"/>
              <w:left w:w="108" w:type="dxa"/>
              <w:bottom w:w="0" w:type="dxa"/>
              <w:right w:w="108" w:type="dxa"/>
            </w:tcMar>
            <w:vAlign w:val="center"/>
          </w:tcPr>
          <w:p w14:paraId="285AE40E" w14:textId="77777777" w:rsidR="00A76ADB" w:rsidRDefault="00A76ADB" w:rsidP="007E3239">
            <w:pPr>
              <w:pStyle w:val="TableText"/>
              <w:spacing w:before="40" w:after="40"/>
            </w:pPr>
            <w:r>
              <w:rPr>
                <w:rFonts w:eastAsia="Calibri"/>
              </w:rPr>
              <w:t>Methane emission factor (kg/kt) calculated as a quotient of the above parameters</w:t>
            </w:r>
          </w:p>
        </w:tc>
        <w:tc>
          <w:tcPr>
            <w:tcW w:w="1474" w:type="dxa"/>
            <w:shd w:val="clear" w:color="auto" w:fill="FFFFFF"/>
            <w:tcMar>
              <w:top w:w="0" w:type="dxa"/>
              <w:left w:w="108" w:type="dxa"/>
              <w:bottom w:w="0" w:type="dxa"/>
              <w:right w:w="108" w:type="dxa"/>
            </w:tcMar>
            <w:vAlign w:val="center"/>
          </w:tcPr>
          <w:p w14:paraId="41EBB937" w14:textId="77777777" w:rsidR="00A76ADB" w:rsidRDefault="00A76ADB" w:rsidP="007E3239">
            <w:pPr>
              <w:pStyle w:val="TableText"/>
              <w:spacing w:before="40" w:after="40"/>
              <w:jc w:val="center"/>
            </w:pPr>
            <w:r>
              <w:rPr>
                <w:rFonts w:eastAsia="Calibri"/>
              </w:rPr>
              <w:t>2.34</w:t>
            </w:r>
          </w:p>
        </w:tc>
        <w:tc>
          <w:tcPr>
            <w:tcW w:w="1701" w:type="dxa"/>
            <w:shd w:val="clear" w:color="auto" w:fill="FFFFFF"/>
            <w:tcMar>
              <w:top w:w="0" w:type="dxa"/>
              <w:left w:w="108" w:type="dxa"/>
              <w:bottom w:w="0" w:type="dxa"/>
              <w:right w:w="108" w:type="dxa"/>
            </w:tcMar>
            <w:vAlign w:val="center"/>
          </w:tcPr>
          <w:p w14:paraId="0B2D3B71" w14:textId="77777777" w:rsidR="00A76ADB" w:rsidRDefault="00A76ADB" w:rsidP="007E3239">
            <w:pPr>
              <w:pStyle w:val="TableText"/>
              <w:spacing w:before="40" w:after="40"/>
              <w:jc w:val="center"/>
            </w:pPr>
            <w:r>
              <w:rPr>
                <w:rFonts w:eastAsia="Calibri"/>
              </w:rPr>
              <w:t>17.86</w:t>
            </w:r>
          </w:p>
        </w:tc>
        <w:tc>
          <w:tcPr>
            <w:tcW w:w="1191" w:type="dxa"/>
            <w:shd w:val="clear" w:color="auto" w:fill="FFFFFF"/>
            <w:tcMar>
              <w:top w:w="0" w:type="dxa"/>
              <w:left w:w="108" w:type="dxa"/>
              <w:bottom w:w="0" w:type="dxa"/>
              <w:right w:w="108" w:type="dxa"/>
            </w:tcMar>
            <w:vAlign w:val="center"/>
          </w:tcPr>
          <w:p w14:paraId="614E03F6" w14:textId="77777777" w:rsidR="00A76ADB" w:rsidRDefault="00A76ADB" w:rsidP="007E3239">
            <w:pPr>
              <w:pStyle w:val="TableText"/>
              <w:spacing w:before="40" w:after="40"/>
              <w:jc w:val="center"/>
            </w:pPr>
            <w:r>
              <w:rPr>
                <w:rFonts w:eastAsia="Calibri"/>
              </w:rPr>
              <w:t>NA</w:t>
            </w:r>
          </w:p>
        </w:tc>
        <w:tc>
          <w:tcPr>
            <w:tcW w:w="0" w:type="auto"/>
            <w:shd w:val="clear" w:color="auto" w:fill="FFFFFF"/>
            <w:tcMar>
              <w:top w:w="0" w:type="dxa"/>
              <w:left w:w="108" w:type="dxa"/>
              <w:bottom w:w="0" w:type="dxa"/>
              <w:right w:w="108" w:type="dxa"/>
            </w:tcMar>
            <w:vAlign w:val="center"/>
          </w:tcPr>
          <w:p w14:paraId="08FAF120" w14:textId="77777777" w:rsidR="00A76ADB" w:rsidRDefault="00A76ADB" w:rsidP="007E3239">
            <w:pPr>
              <w:pStyle w:val="TableText"/>
              <w:spacing w:before="40" w:after="40"/>
            </w:pPr>
          </w:p>
        </w:tc>
      </w:tr>
      <w:tr w:rsidR="00A76ADB" w14:paraId="362E38EC" w14:textId="77777777" w:rsidTr="00CF7215">
        <w:trPr>
          <w:cantSplit/>
        </w:trPr>
        <w:tc>
          <w:tcPr>
            <w:tcW w:w="2325" w:type="dxa"/>
            <w:shd w:val="clear" w:color="auto" w:fill="FFFFFF"/>
            <w:tcMar>
              <w:top w:w="0" w:type="dxa"/>
              <w:left w:w="108" w:type="dxa"/>
              <w:bottom w:w="0" w:type="dxa"/>
              <w:right w:w="108" w:type="dxa"/>
            </w:tcMar>
            <w:vAlign w:val="center"/>
          </w:tcPr>
          <w:p w14:paraId="2BB5568A" w14:textId="77777777" w:rsidR="00A76ADB" w:rsidRDefault="00A76ADB" w:rsidP="007E3239">
            <w:pPr>
              <w:pStyle w:val="TableText"/>
              <w:spacing w:before="40" w:after="40"/>
            </w:pPr>
            <w:r>
              <w:rPr>
                <w:rFonts w:eastAsia="Calibri"/>
              </w:rPr>
              <w:t>Nitrous oxide emission factor (kg/kt)</w:t>
            </w:r>
          </w:p>
        </w:tc>
        <w:tc>
          <w:tcPr>
            <w:tcW w:w="1474" w:type="dxa"/>
            <w:shd w:val="clear" w:color="auto" w:fill="FFFFFF"/>
            <w:tcMar>
              <w:top w:w="0" w:type="dxa"/>
              <w:left w:w="108" w:type="dxa"/>
              <w:bottom w:w="0" w:type="dxa"/>
              <w:right w:w="108" w:type="dxa"/>
            </w:tcMar>
            <w:vAlign w:val="center"/>
          </w:tcPr>
          <w:p w14:paraId="66C5A91F" w14:textId="77777777" w:rsidR="00A76ADB" w:rsidRDefault="00A76ADB" w:rsidP="007E3239">
            <w:pPr>
              <w:pStyle w:val="TableText"/>
              <w:spacing w:before="40" w:after="40"/>
              <w:jc w:val="center"/>
            </w:pPr>
            <w:r>
              <w:rPr>
                <w:rFonts w:eastAsia="Calibri"/>
              </w:rPr>
              <w:t>100</w:t>
            </w:r>
          </w:p>
        </w:tc>
        <w:tc>
          <w:tcPr>
            <w:tcW w:w="1701" w:type="dxa"/>
            <w:shd w:val="clear" w:color="auto" w:fill="FFFFFF"/>
            <w:tcMar>
              <w:top w:w="0" w:type="dxa"/>
              <w:left w:w="108" w:type="dxa"/>
              <w:bottom w:w="0" w:type="dxa"/>
              <w:right w:w="108" w:type="dxa"/>
            </w:tcMar>
            <w:vAlign w:val="center"/>
          </w:tcPr>
          <w:p w14:paraId="47F604EB" w14:textId="77777777" w:rsidR="00A76ADB" w:rsidRDefault="00A76ADB" w:rsidP="007E3239">
            <w:pPr>
              <w:pStyle w:val="TableText"/>
              <w:spacing w:before="40" w:after="40"/>
              <w:jc w:val="center"/>
            </w:pPr>
            <w:r>
              <w:rPr>
                <w:rFonts w:eastAsia="Calibri"/>
              </w:rPr>
              <w:t>60</w:t>
            </w:r>
          </w:p>
        </w:tc>
        <w:tc>
          <w:tcPr>
            <w:tcW w:w="1191" w:type="dxa"/>
            <w:shd w:val="clear" w:color="auto" w:fill="FFFFFF"/>
            <w:tcMar>
              <w:top w:w="0" w:type="dxa"/>
              <w:left w:w="108" w:type="dxa"/>
              <w:bottom w:w="0" w:type="dxa"/>
              <w:right w:w="108" w:type="dxa"/>
            </w:tcMar>
            <w:vAlign w:val="center"/>
          </w:tcPr>
          <w:p w14:paraId="44279279" w14:textId="77777777" w:rsidR="00A76ADB" w:rsidRDefault="00A76ADB" w:rsidP="007E3239">
            <w:pPr>
              <w:pStyle w:val="TableText"/>
              <w:spacing w:before="40" w:after="40"/>
              <w:jc w:val="center"/>
            </w:pPr>
            <w:r>
              <w:rPr>
                <w:rFonts w:eastAsia="Calibri"/>
              </w:rPr>
              <w:t>900</w:t>
            </w:r>
          </w:p>
        </w:tc>
        <w:tc>
          <w:tcPr>
            <w:tcW w:w="0" w:type="auto"/>
            <w:shd w:val="clear" w:color="auto" w:fill="FFFFFF"/>
            <w:tcMar>
              <w:top w:w="0" w:type="dxa"/>
              <w:left w:w="108" w:type="dxa"/>
              <w:bottom w:w="0" w:type="dxa"/>
              <w:right w:w="108" w:type="dxa"/>
            </w:tcMar>
            <w:vAlign w:val="center"/>
          </w:tcPr>
          <w:p w14:paraId="3D2B0366" w14:textId="77777777" w:rsidR="00A76ADB" w:rsidRDefault="00A76ADB" w:rsidP="007E3239">
            <w:pPr>
              <w:pStyle w:val="TableText"/>
              <w:spacing w:before="40" w:after="40"/>
            </w:pPr>
            <w:r>
              <w:rPr>
                <w:rFonts w:eastAsia="Calibri"/>
              </w:rPr>
              <w:t>IPCC (2006b), table 5.6</w:t>
            </w:r>
          </w:p>
        </w:tc>
      </w:tr>
    </w:tbl>
    <w:p w14:paraId="264A798C" w14:textId="77777777" w:rsidR="00A76ADB" w:rsidRPr="00353844" w:rsidRDefault="00A76ADB" w:rsidP="00A76ADB">
      <w:pPr>
        <w:pStyle w:val="Noteundertable"/>
      </w:pPr>
      <w:r>
        <w:rPr>
          <w:b/>
          <w:bCs/>
        </w:rPr>
        <w:t>Note:</w:t>
      </w:r>
      <w:r w:rsidRPr="004C0776">
        <w:t xml:space="preserve"> </w:t>
      </w:r>
      <w:r>
        <w:tab/>
        <w:t>NA = Not applicable.</w:t>
      </w:r>
    </w:p>
    <w:p w14:paraId="1225B219" w14:textId="77777777" w:rsidR="00A76ADB" w:rsidRDefault="00A76ADB" w:rsidP="00060864">
      <w:pPr>
        <w:pStyle w:val="BodyText"/>
        <w:spacing w:after="100"/>
      </w:pPr>
      <w:r>
        <w:t>These parameters are as given in the 2006 IPCC Guidelines (IPCC, 2006a, 2006b), noting that:</w:t>
      </w:r>
    </w:p>
    <w:p w14:paraId="4B2E3270" w14:textId="77777777" w:rsidR="00A76ADB" w:rsidRDefault="00A76ADB" w:rsidP="00060864">
      <w:pPr>
        <w:pStyle w:val="Bullet"/>
        <w:spacing w:after="100"/>
      </w:pPr>
      <w:r>
        <w:t>some parameters have been chosen as the closest available to the specific type of waste</w:t>
      </w:r>
    </w:p>
    <w:p w14:paraId="4651C5DC" w14:textId="77777777" w:rsidR="00A76ADB" w:rsidRDefault="00A76ADB" w:rsidP="00060864">
      <w:pPr>
        <w:pStyle w:val="Bullet"/>
        <w:spacing w:after="100"/>
      </w:pPr>
      <w:r>
        <w:t>where a range is given, the mid-point is used</w:t>
      </w:r>
    </w:p>
    <w:p w14:paraId="4A205439" w14:textId="77777777" w:rsidR="00A76ADB" w:rsidRDefault="00A76ADB" w:rsidP="00A76ADB">
      <w:pPr>
        <w:pStyle w:val="Bullet"/>
      </w:pPr>
      <w:r>
        <w:t xml:space="preserve">methane emission factors for hazardous and clinical waste (IPCC, 2006b) have been converted from a terajoule (TJ) basis to a kt basis using factors from the </w:t>
      </w:r>
      <w:r>
        <w:rPr>
          <w:i/>
          <w:iCs/>
        </w:rPr>
        <w:t>New Zealand Energy Information Handbook</w:t>
      </w:r>
      <w:r>
        <w:t xml:space="preserve"> (Ministry of Commerce, 1993), which only had gross calorific values.</w:t>
      </w:r>
    </w:p>
    <w:p w14:paraId="554BFD9A" w14:textId="77777777" w:rsidR="00A76ADB" w:rsidRDefault="00A76ADB" w:rsidP="00060864">
      <w:pPr>
        <w:pStyle w:val="BodyText"/>
        <w:spacing w:before="100" w:after="100"/>
      </w:pPr>
      <w:r>
        <w:t>Clinical wastes are a significant proportion of the material incinerated in New Zealand. There is no IPCC default category that specifies medical or quarantine waste. The composition of medical and quarantine wastes is closest to clinical waste, so the emission factors for clinical waste have been used and the activity data for these waste types are combined into the category for clinical wastes.</w:t>
      </w:r>
    </w:p>
    <w:p w14:paraId="5F4CD030" w14:textId="77777777" w:rsidR="00A76ADB" w:rsidRDefault="00A76ADB" w:rsidP="00A76ADB">
      <w:pPr>
        <w:pStyle w:val="Heading5"/>
      </w:pPr>
      <w:bookmarkStart w:id="2415" w:name="open-burning-5.c.2-2"/>
      <w:bookmarkEnd w:id="2413"/>
      <w:r>
        <w:t>Open burning (5.C.2)</w:t>
      </w:r>
    </w:p>
    <w:p w14:paraId="20DBBA13" w14:textId="77777777" w:rsidR="00A76ADB" w:rsidRDefault="00A76ADB" w:rsidP="00A76ADB">
      <w:pPr>
        <w:pStyle w:val="BodyText"/>
      </w:pPr>
      <w:r>
        <w:t>Parameters are used as detailed in table 7.4.5.</w:t>
      </w:r>
    </w:p>
    <w:p w14:paraId="287E2F50" w14:textId="77777777" w:rsidR="00A76ADB" w:rsidRDefault="00A76ADB" w:rsidP="00A76ADB">
      <w:pPr>
        <w:pStyle w:val="Table"/>
      </w:pPr>
      <w:bookmarkStart w:id="2416" w:name="_Toc99659338"/>
      <w:r>
        <w:t>Table 7.4.5</w:t>
      </w:r>
      <w:r>
        <w:tab/>
        <w:t>Parameters used to estimate emissions from open burning</w:t>
      </w:r>
      <w:bookmarkEnd w:id="2416"/>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747"/>
        <w:gridCol w:w="877"/>
        <w:gridCol w:w="2881"/>
      </w:tblGrid>
      <w:tr w:rsidR="00A76ADB" w:rsidRPr="006C0D1B" w14:paraId="5C224448" w14:textId="77777777" w:rsidTr="00CF7215">
        <w:trPr>
          <w:cantSplit/>
          <w:tblHeader/>
        </w:trPr>
        <w:tc>
          <w:tcPr>
            <w:tcW w:w="0" w:type="auto"/>
            <w:shd w:val="clear" w:color="auto" w:fill="1B556B"/>
            <w:tcMar>
              <w:top w:w="0" w:type="dxa"/>
              <w:left w:w="108" w:type="dxa"/>
              <w:bottom w:w="0" w:type="dxa"/>
              <w:right w:w="108" w:type="dxa"/>
            </w:tcMar>
            <w:vAlign w:val="center"/>
          </w:tcPr>
          <w:p w14:paraId="0BE9E3B0" w14:textId="77777777" w:rsidR="00A76ADB" w:rsidRPr="006C0D1B" w:rsidRDefault="00A76ADB" w:rsidP="00060864">
            <w:pPr>
              <w:pStyle w:val="TableTextBold"/>
              <w:spacing w:before="40"/>
              <w:rPr>
                <w:color w:val="FFFFFF"/>
              </w:rPr>
            </w:pPr>
            <w:r w:rsidRPr="006C0D1B">
              <w:rPr>
                <w:rFonts w:eastAsia="Calibri"/>
                <w:color w:val="FFFFFF"/>
              </w:rPr>
              <w:t>Parameter</w:t>
            </w:r>
          </w:p>
        </w:tc>
        <w:tc>
          <w:tcPr>
            <w:tcW w:w="0" w:type="auto"/>
            <w:shd w:val="clear" w:color="auto" w:fill="1B556B"/>
            <w:tcMar>
              <w:top w:w="0" w:type="dxa"/>
              <w:left w:w="108" w:type="dxa"/>
              <w:bottom w:w="0" w:type="dxa"/>
              <w:right w:w="108" w:type="dxa"/>
            </w:tcMar>
            <w:vAlign w:val="center"/>
          </w:tcPr>
          <w:p w14:paraId="26D07F53" w14:textId="77777777" w:rsidR="00A76ADB" w:rsidRPr="006C0D1B" w:rsidRDefault="00A76ADB" w:rsidP="00060864">
            <w:pPr>
              <w:pStyle w:val="TableTextBold"/>
              <w:spacing w:before="40"/>
              <w:rPr>
                <w:color w:val="FFFFFF"/>
              </w:rPr>
            </w:pPr>
            <w:r w:rsidRPr="006C0D1B">
              <w:rPr>
                <w:rFonts w:eastAsia="Calibri"/>
                <w:color w:val="FFFFFF"/>
              </w:rPr>
              <w:t>Value</w:t>
            </w:r>
          </w:p>
        </w:tc>
        <w:tc>
          <w:tcPr>
            <w:tcW w:w="0" w:type="auto"/>
            <w:shd w:val="clear" w:color="auto" w:fill="1B556B"/>
            <w:tcMar>
              <w:top w:w="0" w:type="dxa"/>
              <w:left w:w="108" w:type="dxa"/>
              <w:bottom w:w="0" w:type="dxa"/>
              <w:right w:w="108" w:type="dxa"/>
            </w:tcMar>
            <w:vAlign w:val="center"/>
          </w:tcPr>
          <w:p w14:paraId="27B16952" w14:textId="77777777" w:rsidR="00A76ADB" w:rsidRPr="006C0D1B" w:rsidRDefault="00A76ADB" w:rsidP="00060864">
            <w:pPr>
              <w:pStyle w:val="TableTextBold"/>
              <w:spacing w:before="40"/>
              <w:rPr>
                <w:color w:val="FFFFFF"/>
              </w:rPr>
            </w:pPr>
            <w:r w:rsidRPr="006C0D1B">
              <w:rPr>
                <w:rFonts w:eastAsia="Calibri"/>
                <w:color w:val="FFFFFF"/>
              </w:rPr>
              <w:t>Source</w:t>
            </w:r>
          </w:p>
        </w:tc>
      </w:tr>
      <w:tr w:rsidR="00A76ADB" w14:paraId="1FB995BD" w14:textId="77777777" w:rsidTr="00CF7215">
        <w:trPr>
          <w:cantSplit/>
          <w:trHeight w:val="283"/>
        </w:trPr>
        <w:tc>
          <w:tcPr>
            <w:tcW w:w="0" w:type="auto"/>
            <w:shd w:val="clear" w:color="auto" w:fill="FFFFFF"/>
            <w:tcMar>
              <w:top w:w="0" w:type="dxa"/>
              <w:left w:w="108" w:type="dxa"/>
              <w:bottom w:w="0" w:type="dxa"/>
              <w:right w:w="108" w:type="dxa"/>
            </w:tcMar>
            <w:vAlign w:val="center"/>
          </w:tcPr>
          <w:p w14:paraId="29A261AA" w14:textId="77777777" w:rsidR="00A76ADB" w:rsidRDefault="00A76ADB" w:rsidP="00060864">
            <w:pPr>
              <w:pStyle w:val="TableText"/>
              <w:spacing w:before="40"/>
            </w:pPr>
            <w:r>
              <w:rPr>
                <w:rFonts w:eastAsia="Calibri"/>
              </w:rPr>
              <w:t>Carbon dioxide</w:t>
            </w:r>
          </w:p>
        </w:tc>
        <w:tc>
          <w:tcPr>
            <w:tcW w:w="0" w:type="auto"/>
            <w:shd w:val="clear" w:color="auto" w:fill="FFFFFF"/>
            <w:tcMar>
              <w:top w:w="0" w:type="dxa"/>
              <w:left w:w="108" w:type="dxa"/>
              <w:bottom w:w="0" w:type="dxa"/>
              <w:right w:w="108" w:type="dxa"/>
            </w:tcMar>
            <w:vAlign w:val="center"/>
          </w:tcPr>
          <w:p w14:paraId="558972A0" w14:textId="77777777" w:rsidR="00A76ADB" w:rsidRDefault="00A76ADB" w:rsidP="00060864">
            <w:pPr>
              <w:pStyle w:val="TableText"/>
              <w:spacing w:before="40"/>
            </w:pPr>
          </w:p>
        </w:tc>
        <w:tc>
          <w:tcPr>
            <w:tcW w:w="0" w:type="auto"/>
            <w:shd w:val="clear" w:color="auto" w:fill="FFFFFF"/>
            <w:tcMar>
              <w:top w:w="0" w:type="dxa"/>
              <w:left w:w="108" w:type="dxa"/>
              <w:bottom w:w="0" w:type="dxa"/>
              <w:right w:w="108" w:type="dxa"/>
            </w:tcMar>
            <w:vAlign w:val="center"/>
          </w:tcPr>
          <w:p w14:paraId="14FF42FD" w14:textId="77777777" w:rsidR="00A76ADB" w:rsidRDefault="00A76ADB" w:rsidP="00060864">
            <w:pPr>
              <w:pStyle w:val="TableText"/>
              <w:spacing w:before="40"/>
            </w:pPr>
          </w:p>
        </w:tc>
      </w:tr>
      <w:tr w:rsidR="00A76ADB" w14:paraId="06CF3968" w14:textId="77777777" w:rsidTr="00CF7215">
        <w:trPr>
          <w:cantSplit/>
          <w:trHeight w:val="283"/>
        </w:trPr>
        <w:tc>
          <w:tcPr>
            <w:tcW w:w="0" w:type="auto"/>
            <w:shd w:val="clear" w:color="auto" w:fill="FFFFFF"/>
            <w:tcMar>
              <w:top w:w="0" w:type="dxa"/>
              <w:left w:w="108" w:type="dxa"/>
              <w:bottom w:w="0" w:type="dxa"/>
              <w:right w:w="108" w:type="dxa"/>
            </w:tcMar>
            <w:vAlign w:val="center"/>
          </w:tcPr>
          <w:p w14:paraId="2DB2457C" w14:textId="77777777" w:rsidR="00A76ADB" w:rsidRDefault="00A76ADB" w:rsidP="00060864">
            <w:pPr>
              <w:pStyle w:val="TableText"/>
              <w:spacing w:before="40"/>
            </w:pPr>
            <w:r>
              <w:rPr>
                <w:rFonts w:eastAsia="Calibri"/>
                <w:color w:val="000000"/>
              </w:rPr>
              <w:t>Dry-matter content (%)</w:t>
            </w:r>
          </w:p>
        </w:tc>
        <w:tc>
          <w:tcPr>
            <w:tcW w:w="0" w:type="auto"/>
            <w:shd w:val="clear" w:color="auto" w:fill="FFFFFF"/>
            <w:tcMar>
              <w:top w:w="0" w:type="dxa"/>
              <w:left w:w="108" w:type="dxa"/>
              <w:bottom w:w="0" w:type="dxa"/>
              <w:right w:w="108" w:type="dxa"/>
            </w:tcMar>
            <w:vAlign w:val="center"/>
          </w:tcPr>
          <w:p w14:paraId="2B206703" w14:textId="77777777" w:rsidR="00A76ADB" w:rsidRDefault="00A76ADB" w:rsidP="00060864">
            <w:pPr>
              <w:pStyle w:val="TableText"/>
              <w:spacing w:before="40"/>
            </w:pPr>
            <w:r>
              <w:rPr>
                <w:rFonts w:eastAsia="Calibri"/>
                <w:color w:val="000000"/>
              </w:rPr>
              <w:t>79.6</w:t>
            </w:r>
          </w:p>
        </w:tc>
        <w:tc>
          <w:tcPr>
            <w:tcW w:w="0" w:type="auto"/>
            <w:shd w:val="clear" w:color="auto" w:fill="FFFFFF"/>
            <w:tcMar>
              <w:top w:w="0" w:type="dxa"/>
              <w:left w:w="108" w:type="dxa"/>
              <w:bottom w:w="0" w:type="dxa"/>
              <w:right w:w="108" w:type="dxa"/>
            </w:tcMar>
            <w:vAlign w:val="center"/>
          </w:tcPr>
          <w:p w14:paraId="151CA413" w14:textId="77777777" w:rsidR="00A76ADB" w:rsidRDefault="00A76ADB" w:rsidP="00060864">
            <w:pPr>
              <w:pStyle w:val="TableText"/>
              <w:spacing w:before="40"/>
            </w:pPr>
            <w:r>
              <w:rPr>
                <w:rFonts w:eastAsia="Calibri"/>
                <w:color w:val="000000"/>
              </w:rPr>
              <w:t>Calculated (see table 7.4.3)</w:t>
            </w:r>
          </w:p>
        </w:tc>
      </w:tr>
      <w:tr w:rsidR="00A76ADB" w14:paraId="7FEDC221" w14:textId="77777777" w:rsidTr="00CF7215">
        <w:trPr>
          <w:cantSplit/>
          <w:trHeight w:val="283"/>
        </w:trPr>
        <w:tc>
          <w:tcPr>
            <w:tcW w:w="0" w:type="auto"/>
            <w:shd w:val="clear" w:color="auto" w:fill="FFFFFF"/>
            <w:tcMar>
              <w:top w:w="0" w:type="dxa"/>
              <w:left w:w="108" w:type="dxa"/>
              <w:bottom w:w="0" w:type="dxa"/>
              <w:right w:w="108" w:type="dxa"/>
            </w:tcMar>
            <w:vAlign w:val="center"/>
          </w:tcPr>
          <w:p w14:paraId="56DA0FB7" w14:textId="77777777" w:rsidR="00A76ADB" w:rsidRDefault="00A76ADB" w:rsidP="00060864">
            <w:pPr>
              <w:pStyle w:val="TableText"/>
              <w:spacing w:before="40"/>
            </w:pPr>
            <w:r>
              <w:rPr>
                <w:rFonts w:eastAsia="Calibri"/>
                <w:color w:val="000000"/>
              </w:rPr>
              <w:t>Total carbon content (%)</w:t>
            </w:r>
          </w:p>
        </w:tc>
        <w:tc>
          <w:tcPr>
            <w:tcW w:w="0" w:type="auto"/>
            <w:shd w:val="clear" w:color="auto" w:fill="FFFFFF"/>
            <w:tcMar>
              <w:top w:w="0" w:type="dxa"/>
              <w:left w:w="108" w:type="dxa"/>
              <w:bottom w:w="0" w:type="dxa"/>
              <w:right w:w="108" w:type="dxa"/>
            </w:tcMar>
            <w:vAlign w:val="center"/>
          </w:tcPr>
          <w:p w14:paraId="0699BD85" w14:textId="77777777" w:rsidR="00A76ADB" w:rsidRDefault="00A76ADB" w:rsidP="00060864">
            <w:pPr>
              <w:pStyle w:val="TableText"/>
              <w:spacing w:before="40"/>
            </w:pPr>
            <w:r>
              <w:rPr>
                <w:rFonts w:eastAsia="Calibri"/>
                <w:color w:val="000000"/>
              </w:rPr>
              <w:t>44.9</w:t>
            </w:r>
          </w:p>
        </w:tc>
        <w:tc>
          <w:tcPr>
            <w:tcW w:w="0" w:type="auto"/>
            <w:shd w:val="clear" w:color="auto" w:fill="FFFFFF"/>
            <w:tcMar>
              <w:top w:w="0" w:type="dxa"/>
              <w:left w:w="108" w:type="dxa"/>
              <w:bottom w:w="0" w:type="dxa"/>
              <w:right w:w="108" w:type="dxa"/>
            </w:tcMar>
            <w:vAlign w:val="center"/>
          </w:tcPr>
          <w:p w14:paraId="53084938" w14:textId="77777777" w:rsidR="00A76ADB" w:rsidRDefault="00A76ADB" w:rsidP="00060864">
            <w:pPr>
              <w:pStyle w:val="TableText"/>
              <w:spacing w:before="40"/>
            </w:pPr>
            <w:r>
              <w:rPr>
                <w:rFonts w:eastAsia="Calibri"/>
                <w:color w:val="000000"/>
              </w:rPr>
              <w:t>Calculated (see table 7.4.3)</w:t>
            </w:r>
          </w:p>
        </w:tc>
      </w:tr>
      <w:tr w:rsidR="00A76ADB" w14:paraId="438CC9E7" w14:textId="77777777" w:rsidTr="00CF7215">
        <w:trPr>
          <w:cantSplit/>
          <w:trHeight w:val="283"/>
        </w:trPr>
        <w:tc>
          <w:tcPr>
            <w:tcW w:w="0" w:type="auto"/>
            <w:shd w:val="clear" w:color="auto" w:fill="FFFFFF"/>
            <w:tcMar>
              <w:top w:w="0" w:type="dxa"/>
              <w:left w:w="108" w:type="dxa"/>
              <w:bottom w:w="0" w:type="dxa"/>
              <w:right w:w="108" w:type="dxa"/>
            </w:tcMar>
            <w:vAlign w:val="center"/>
          </w:tcPr>
          <w:p w14:paraId="5F3D758E" w14:textId="77777777" w:rsidR="00A76ADB" w:rsidRDefault="00A76ADB" w:rsidP="00060864">
            <w:pPr>
              <w:pStyle w:val="TableText"/>
              <w:spacing w:before="40"/>
            </w:pPr>
            <w:r>
              <w:rPr>
                <w:rFonts w:eastAsia="Calibri"/>
                <w:color w:val="000000"/>
              </w:rPr>
              <w:t>Fossil carbon content (%)</w:t>
            </w:r>
          </w:p>
        </w:tc>
        <w:tc>
          <w:tcPr>
            <w:tcW w:w="0" w:type="auto"/>
            <w:shd w:val="clear" w:color="auto" w:fill="FFFFFF"/>
            <w:tcMar>
              <w:top w:w="0" w:type="dxa"/>
              <w:left w:w="108" w:type="dxa"/>
              <w:bottom w:w="0" w:type="dxa"/>
              <w:right w:w="108" w:type="dxa"/>
            </w:tcMar>
            <w:vAlign w:val="center"/>
          </w:tcPr>
          <w:p w14:paraId="53D3B54E" w14:textId="77777777" w:rsidR="00A76ADB" w:rsidRDefault="00A76ADB" w:rsidP="00060864">
            <w:pPr>
              <w:pStyle w:val="TableText"/>
              <w:spacing w:before="40"/>
            </w:pPr>
            <w:r>
              <w:rPr>
                <w:rFonts w:eastAsia="Calibri"/>
                <w:color w:val="000000"/>
              </w:rPr>
              <w:t>24.4</w:t>
            </w:r>
          </w:p>
        </w:tc>
        <w:tc>
          <w:tcPr>
            <w:tcW w:w="0" w:type="auto"/>
            <w:shd w:val="clear" w:color="auto" w:fill="FFFFFF"/>
            <w:tcMar>
              <w:top w:w="0" w:type="dxa"/>
              <w:left w:w="108" w:type="dxa"/>
              <w:bottom w:w="0" w:type="dxa"/>
              <w:right w:w="108" w:type="dxa"/>
            </w:tcMar>
            <w:vAlign w:val="center"/>
          </w:tcPr>
          <w:p w14:paraId="7BDF60AD" w14:textId="77777777" w:rsidR="00A76ADB" w:rsidRDefault="00A76ADB" w:rsidP="00060864">
            <w:pPr>
              <w:pStyle w:val="TableText"/>
              <w:spacing w:before="40"/>
            </w:pPr>
            <w:r>
              <w:rPr>
                <w:rFonts w:eastAsia="Calibri"/>
                <w:color w:val="000000"/>
              </w:rPr>
              <w:t>Calculated (see table 7.4.3)</w:t>
            </w:r>
          </w:p>
        </w:tc>
      </w:tr>
      <w:tr w:rsidR="00A76ADB" w14:paraId="39D0EC17" w14:textId="77777777" w:rsidTr="00CF7215">
        <w:trPr>
          <w:cantSplit/>
          <w:trHeight w:val="283"/>
        </w:trPr>
        <w:tc>
          <w:tcPr>
            <w:tcW w:w="0" w:type="auto"/>
            <w:shd w:val="clear" w:color="auto" w:fill="FFFFFF"/>
            <w:tcMar>
              <w:top w:w="0" w:type="dxa"/>
              <w:left w:w="108" w:type="dxa"/>
              <w:bottom w:w="0" w:type="dxa"/>
              <w:right w:w="108" w:type="dxa"/>
            </w:tcMar>
            <w:vAlign w:val="center"/>
          </w:tcPr>
          <w:p w14:paraId="0B2A82E8" w14:textId="77777777" w:rsidR="00A76ADB" w:rsidRDefault="00A76ADB" w:rsidP="00060864">
            <w:pPr>
              <w:pStyle w:val="TableText"/>
              <w:spacing w:before="40"/>
            </w:pPr>
            <w:r>
              <w:rPr>
                <w:rFonts w:eastAsia="Calibri"/>
                <w:color w:val="000000"/>
              </w:rPr>
              <w:t>Oxidation factor (%)</w:t>
            </w:r>
          </w:p>
        </w:tc>
        <w:tc>
          <w:tcPr>
            <w:tcW w:w="0" w:type="auto"/>
            <w:shd w:val="clear" w:color="auto" w:fill="FFFFFF"/>
            <w:tcMar>
              <w:top w:w="0" w:type="dxa"/>
              <w:left w:w="108" w:type="dxa"/>
              <w:bottom w:w="0" w:type="dxa"/>
              <w:right w:w="108" w:type="dxa"/>
            </w:tcMar>
            <w:vAlign w:val="center"/>
          </w:tcPr>
          <w:p w14:paraId="78ECA58A" w14:textId="77777777" w:rsidR="00A76ADB" w:rsidRDefault="00A76ADB" w:rsidP="00060864">
            <w:pPr>
              <w:pStyle w:val="TableText"/>
              <w:spacing w:before="40"/>
            </w:pPr>
            <w:r>
              <w:rPr>
                <w:rFonts w:eastAsia="Calibri"/>
                <w:color w:val="000000"/>
              </w:rPr>
              <w:t>58</w:t>
            </w:r>
          </w:p>
        </w:tc>
        <w:tc>
          <w:tcPr>
            <w:tcW w:w="0" w:type="auto"/>
            <w:shd w:val="clear" w:color="auto" w:fill="FFFFFF"/>
            <w:tcMar>
              <w:top w:w="0" w:type="dxa"/>
              <w:left w:w="108" w:type="dxa"/>
              <w:bottom w:w="0" w:type="dxa"/>
              <w:right w:w="108" w:type="dxa"/>
            </w:tcMar>
            <w:vAlign w:val="center"/>
          </w:tcPr>
          <w:p w14:paraId="2997A63B" w14:textId="77777777" w:rsidR="00A76ADB" w:rsidRDefault="00A76ADB" w:rsidP="00060864">
            <w:pPr>
              <w:pStyle w:val="TableText"/>
              <w:spacing w:before="40"/>
            </w:pPr>
            <w:r>
              <w:rPr>
                <w:rFonts w:eastAsia="Calibri"/>
                <w:color w:val="000000"/>
              </w:rPr>
              <w:t>IPCC default</w:t>
            </w:r>
          </w:p>
        </w:tc>
      </w:tr>
      <w:tr w:rsidR="00A76ADB" w14:paraId="65928262" w14:textId="77777777" w:rsidTr="00CF7215">
        <w:trPr>
          <w:cantSplit/>
          <w:trHeight w:val="283"/>
        </w:trPr>
        <w:tc>
          <w:tcPr>
            <w:tcW w:w="0" w:type="auto"/>
            <w:shd w:val="clear" w:color="auto" w:fill="FFFFFF"/>
            <w:tcMar>
              <w:top w:w="0" w:type="dxa"/>
              <w:left w:w="108" w:type="dxa"/>
              <w:bottom w:w="0" w:type="dxa"/>
              <w:right w:w="108" w:type="dxa"/>
            </w:tcMar>
            <w:vAlign w:val="center"/>
          </w:tcPr>
          <w:p w14:paraId="1EFE1336" w14:textId="77777777" w:rsidR="00A76ADB" w:rsidRDefault="00A76ADB" w:rsidP="00060864">
            <w:pPr>
              <w:pStyle w:val="TableText"/>
              <w:spacing w:before="40"/>
            </w:pPr>
            <w:r>
              <w:rPr>
                <w:rFonts w:eastAsia="Calibri"/>
                <w:color w:val="000000"/>
              </w:rPr>
              <w:t>Conversion factor</w:t>
            </w:r>
          </w:p>
        </w:tc>
        <w:tc>
          <w:tcPr>
            <w:tcW w:w="0" w:type="auto"/>
            <w:shd w:val="clear" w:color="auto" w:fill="FFFFFF"/>
            <w:tcMar>
              <w:top w:w="0" w:type="dxa"/>
              <w:left w:w="108" w:type="dxa"/>
              <w:bottom w:w="0" w:type="dxa"/>
              <w:right w:w="108" w:type="dxa"/>
            </w:tcMar>
            <w:vAlign w:val="center"/>
          </w:tcPr>
          <w:p w14:paraId="1433C4D4" w14:textId="77777777" w:rsidR="00A76ADB" w:rsidRDefault="00A76ADB" w:rsidP="00060864">
            <w:pPr>
              <w:pStyle w:val="TableText"/>
              <w:spacing w:before="40"/>
            </w:pPr>
            <w:r>
              <w:rPr>
                <w:rFonts w:eastAsia="Calibri"/>
                <w:color w:val="000000"/>
              </w:rPr>
              <w:t>44/12</w:t>
            </w:r>
          </w:p>
        </w:tc>
        <w:tc>
          <w:tcPr>
            <w:tcW w:w="0" w:type="auto"/>
            <w:shd w:val="clear" w:color="auto" w:fill="FFFFFF"/>
            <w:tcMar>
              <w:top w:w="0" w:type="dxa"/>
              <w:left w:w="108" w:type="dxa"/>
              <w:bottom w:w="0" w:type="dxa"/>
              <w:right w:w="108" w:type="dxa"/>
            </w:tcMar>
            <w:vAlign w:val="center"/>
          </w:tcPr>
          <w:p w14:paraId="2112B410" w14:textId="77777777" w:rsidR="00A76ADB" w:rsidRDefault="00A76ADB" w:rsidP="00060864">
            <w:pPr>
              <w:pStyle w:val="TableText"/>
              <w:spacing w:before="40"/>
            </w:pPr>
          </w:p>
        </w:tc>
      </w:tr>
      <w:tr w:rsidR="00A76ADB" w14:paraId="7E4E9333" w14:textId="77777777" w:rsidTr="00CF7215">
        <w:trPr>
          <w:cantSplit/>
          <w:trHeight w:val="283"/>
        </w:trPr>
        <w:tc>
          <w:tcPr>
            <w:tcW w:w="0" w:type="auto"/>
            <w:shd w:val="clear" w:color="auto" w:fill="FFFFFF"/>
            <w:tcMar>
              <w:top w:w="0" w:type="dxa"/>
              <w:left w:w="108" w:type="dxa"/>
              <w:bottom w:w="0" w:type="dxa"/>
              <w:right w:w="108" w:type="dxa"/>
            </w:tcMar>
            <w:vAlign w:val="center"/>
          </w:tcPr>
          <w:p w14:paraId="40A0C8C3" w14:textId="77777777" w:rsidR="00A76ADB" w:rsidRDefault="00A76ADB" w:rsidP="00060864">
            <w:pPr>
              <w:pStyle w:val="TableText"/>
              <w:spacing w:before="40"/>
            </w:pPr>
            <w:r>
              <w:rPr>
                <w:rFonts w:eastAsia="Calibri"/>
              </w:rPr>
              <w:t>Other gases</w:t>
            </w:r>
          </w:p>
        </w:tc>
        <w:tc>
          <w:tcPr>
            <w:tcW w:w="0" w:type="auto"/>
            <w:shd w:val="clear" w:color="auto" w:fill="FFFFFF"/>
            <w:tcMar>
              <w:top w:w="0" w:type="dxa"/>
              <w:left w:w="108" w:type="dxa"/>
              <w:bottom w:w="0" w:type="dxa"/>
              <w:right w:w="108" w:type="dxa"/>
            </w:tcMar>
            <w:vAlign w:val="center"/>
          </w:tcPr>
          <w:p w14:paraId="7342AE8A" w14:textId="77777777" w:rsidR="00A76ADB" w:rsidRDefault="00A76ADB" w:rsidP="00060864">
            <w:pPr>
              <w:pStyle w:val="TableText"/>
              <w:spacing w:before="40"/>
            </w:pPr>
          </w:p>
        </w:tc>
        <w:tc>
          <w:tcPr>
            <w:tcW w:w="0" w:type="auto"/>
            <w:shd w:val="clear" w:color="auto" w:fill="FFFFFF"/>
            <w:tcMar>
              <w:top w:w="0" w:type="dxa"/>
              <w:left w:w="108" w:type="dxa"/>
              <w:bottom w:w="0" w:type="dxa"/>
              <w:right w:w="108" w:type="dxa"/>
            </w:tcMar>
            <w:vAlign w:val="center"/>
          </w:tcPr>
          <w:p w14:paraId="602ECBD5" w14:textId="77777777" w:rsidR="00A76ADB" w:rsidRDefault="00A76ADB" w:rsidP="00060864">
            <w:pPr>
              <w:pStyle w:val="TableText"/>
              <w:spacing w:before="40"/>
            </w:pPr>
          </w:p>
        </w:tc>
      </w:tr>
      <w:tr w:rsidR="00A76ADB" w14:paraId="42D5DDFF" w14:textId="77777777" w:rsidTr="00CF7215">
        <w:trPr>
          <w:cantSplit/>
          <w:trHeight w:val="283"/>
        </w:trPr>
        <w:tc>
          <w:tcPr>
            <w:tcW w:w="0" w:type="auto"/>
            <w:shd w:val="clear" w:color="auto" w:fill="FFFFFF"/>
            <w:tcMar>
              <w:top w:w="0" w:type="dxa"/>
              <w:left w:w="108" w:type="dxa"/>
              <w:bottom w:w="0" w:type="dxa"/>
              <w:right w:w="108" w:type="dxa"/>
            </w:tcMar>
            <w:vAlign w:val="center"/>
          </w:tcPr>
          <w:p w14:paraId="27721027" w14:textId="77777777" w:rsidR="00A76ADB" w:rsidRDefault="00A76ADB" w:rsidP="00060864">
            <w:pPr>
              <w:pStyle w:val="TableText"/>
              <w:spacing w:before="40"/>
            </w:pPr>
            <w:r>
              <w:rPr>
                <w:rFonts w:eastAsia="Calibri"/>
                <w:color w:val="000000"/>
              </w:rPr>
              <w:t>Methane emission factor (kg/kt wet waste)</w:t>
            </w:r>
          </w:p>
        </w:tc>
        <w:tc>
          <w:tcPr>
            <w:tcW w:w="0" w:type="auto"/>
            <w:shd w:val="clear" w:color="auto" w:fill="FFFFFF"/>
            <w:tcMar>
              <w:top w:w="0" w:type="dxa"/>
              <w:left w:w="108" w:type="dxa"/>
              <w:bottom w:w="0" w:type="dxa"/>
              <w:right w:w="108" w:type="dxa"/>
            </w:tcMar>
            <w:vAlign w:val="center"/>
          </w:tcPr>
          <w:p w14:paraId="5DE26F20" w14:textId="77777777" w:rsidR="00A76ADB" w:rsidRDefault="00A76ADB" w:rsidP="00060864">
            <w:pPr>
              <w:pStyle w:val="TableText"/>
              <w:spacing w:before="40"/>
            </w:pPr>
            <w:r>
              <w:rPr>
                <w:rFonts w:eastAsia="Calibri"/>
                <w:color w:val="000000"/>
              </w:rPr>
              <w:t>6,500</w:t>
            </w:r>
          </w:p>
        </w:tc>
        <w:tc>
          <w:tcPr>
            <w:tcW w:w="0" w:type="auto"/>
            <w:shd w:val="clear" w:color="auto" w:fill="FFFFFF"/>
            <w:tcMar>
              <w:top w:w="0" w:type="dxa"/>
              <w:left w:w="108" w:type="dxa"/>
              <w:bottom w:w="0" w:type="dxa"/>
              <w:right w:w="108" w:type="dxa"/>
            </w:tcMar>
            <w:vAlign w:val="center"/>
          </w:tcPr>
          <w:p w14:paraId="52CDF8FD" w14:textId="77777777" w:rsidR="00A76ADB" w:rsidRDefault="00A76ADB" w:rsidP="00060864">
            <w:pPr>
              <w:pStyle w:val="TableText"/>
              <w:spacing w:before="40"/>
            </w:pPr>
            <w:r>
              <w:rPr>
                <w:rFonts w:eastAsia="Calibri"/>
                <w:color w:val="000000"/>
              </w:rPr>
              <w:t>IPCC default</w:t>
            </w:r>
          </w:p>
        </w:tc>
      </w:tr>
      <w:tr w:rsidR="00A76ADB" w14:paraId="5B303384" w14:textId="77777777" w:rsidTr="00CF7215">
        <w:trPr>
          <w:cantSplit/>
          <w:trHeight w:val="283"/>
        </w:trPr>
        <w:tc>
          <w:tcPr>
            <w:tcW w:w="0" w:type="auto"/>
            <w:shd w:val="clear" w:color="auto" w:fill="FFFFFF"/>
            <w:tcMar>
              <w:top w:w="0" w:type="dxa"/>
              <w:left w:w="108" w:type="dxa"/>
              <w:bottom w:w="0" w:type="dxa"/>
              <w:right w:w="108" w:type="dxa"/>
            </w:tcMar>
            <w:vAlign w:val="center"/>
          </w:tcPr>
          <w:p w14:paraId="21B2628B" w14:textId="77777777" w:rsidR="00A76ADB" w:rsidRDefault="00A76ADB" w:rsidP="00060864">
            <w:pPr>
              <w:pStyle w:val="TableText"/>
              <w:spacing w:before="40"/>
            </w:pPr>
            <w:r>
              <w:rPr>
                <w:rFonts w:eastAsia="Calibri"/>
                <w:color w:val="000000"/>
              </w:rPr>
              <w:t>Nitrous oxide emission factor (kg/kt dry waste)</w:t>
            </w:r>
          </w:p>
        </w:tc>
        <w:tc>
          <w:tcPr>
            <w:tcW w:w="0" w:type="auto"/>
            <w:shd w:val="clear" w:color="auto" w:fill="FFFFFF"/>
            <w:tcMar>
              <w:top w:w="0" w:type="dxa"/>
              <w:left w:w="108" w:type="dxa"/>
              <w:bottom w:w="0" w:type="dxa"/>
              <w:right w:w="108" w:type="dxa"/>
            </w:tcMar>
            <w:vAlign w:val="center"/>
          </w:tcPr>
          <w:p w14:paraId="537B3F58" w14:textId="77777777" w:rsidR="00A76ADB" w:rsidRDefault="00A76ADB" w:rsidP="00060864">
            <w:pPr>
              <w:pStyle w:val="TableText"/>
              <w:spacing w:before="40"/>
            </w:pPr>
            <w:r>
              <w:rPr>
                <w:rFonts w:eastAsia="Calibri"/>
                <w:color w:val="000000"/>
              </w:rPr>
              <w:t>150</w:t>
            </w:r>
          </w:p>
        </w:tc>
        <w:tc>
          <w:tcPr>
            <w:tcW w:w="0" w:type="auto"/>
            <w:shd w:val="clear" w:color="auto" w:fill="FFFFFF"/>
            <w:tcMar>
              <w:top w:w="0" w:type="dxa"/>
              <w:left w:w="108" w:type="dxa"/>
              <w:bottom w:w="0" w:type="dxa"/>
              <w:right w:w="108" w:type="dxa"/>
            </w:tcMar>
            <w:vAlign w:val="center"/>
          </w:tcPr>
          <w:p w14:paraId="3A39EC6F" w14:textId="77777777" w:rsidR="00A76ADB" w:rsidRDefault="00A76ADB" w:rsidP="00060864">
            <w:pPr>
              <w:pStyle w:val="TableText"/>
              <w:spacing w:before="40"/>
            </w:pPr>
            <w:r>
              <w:rPr>
                <w:rFonts w:eastAsia="Calibri"/>
                <w:color w:val="000000"/>
              </w:rPr>
              <w:t>IPCC default</w:t>
            </w:r>
          </w:p>
        </w:tc>
      </w:tr>
    </w:tbl>
    <w:p w14:paraId="63353CF2" w14:textId="77777777" w:rsidR="00A76ADB" w:rsidRDefault="00A76ADB" w:rsidP="00A76ADB">
      <w:pPr>
        <w:pStyle w:val="BodyText"/>
        <w:spacing w:before="240"/>
      </w:pPr>
      <w:r>
        <w:lastRenderedPageBreak/>
        <w:t>To calculate N</w:t>
      </w:r>
      <w:r>
        <w:rPr>
          <w:vertAlign w:val="subscript"/>
        </w:rPr>
        <w:t>2</w:t>
      </w:r>
      <w:r>
        <w:t xml:space="preserve">O emissions, the </w:t>
      </w:r>
      <w:r w:rsidRPr="00456165">
        <w:t>activity</w:t>
      </w:r>
      <w:r>
        <w:t xml:space="preserve"> data are converted using the weighted average dry</w:t>
      </w:r>
      <w:r>
        <w:rPr>
          <w:rFonts w:ascii="Cambria Math" w:hAnsi="Cambria Math" w:cs="Cambria Math"/>
        </w:rPr>
        <w:t>‑</w:t>
      </w:r>
      <w:r>
        <w:t>matter content in table 7.4.3 because the default emission factor is presented in terms of dry waste.</w:t>
      </w:r>
    </w:p>
    <w:p w14:paraId="0C7002A2" w14:textId="77777777" w:rsidR="00A76ADB" w:rsidRDefault="00A76ADB" w:rsidP="00A76ADB">
      <w:pPr>
        <w:pStyle w:val="Heading3"/>
      </w:pPr>
      <w:bookmarkStart w:id="2417" w:name="X6b3d5bc9eacf0af99227be606b079e85f3ac245"/>
      <w:bookmarkEnd w:id="2410"/>
      <w:bookmarkEnd w:id="2411"/>
      <w:bookmarkEnd w:id="2415"/>
      <w:r>
        <w:t xml:space="preserve">7.4.3 </w:t>
      </w:r>
      <w:r>
        <w:tab/>
        <w:t>Uncertainties and time-series consistency</w:t>
      </w:r>
    </w:p>
    <w:p w14:paraId="4021B7D9" w14:textId="77777777" w:rsidR="00A76ADB" w:rsidRDefault="00A76ADB" w:rsidP="00A76ADB">
      <w:pPr>
        <w:pStyle w:val="Heading4"/>
      </w:pPr>
      <w:bookmarkStart w:id="2418" w:name="uncertainties-3"/>
      <w:r>
        <w:t>Uncertainties</w:t>
      </w:r>
    </w:p>
    <w:p w14:paraId="6896E61B" w14:textId="77777777" w:rsidR="00A76ADB" w:rsidRDefault="00A76ADB" w:rsidP="00A76ADB">
      <w:pPr>
        <w:pStyle w:val="BodyText"/>
      </w:pPr>
      <w:r>
        <w:t>Consistent with the IPCC recommendation for uncertainties relating to activity data (IPCC, 2006a), estimated uncertainty for the amount of wet waste incinerated ranges from ±10 per cent to ±50 per cent, and uncertainty of ±50 per cent is applied (see table 7.4.6).</w:t>
      </w:r>
    </w:p>
    <w:p w14:paraId="000697B1" w14:textId="77777777" w:rsidR="00A76ADB" w:rsidRDefault="00A76ADB" w:rsidP="00A76ADB">
      <w:pPr>
        <w:pStyle w:val="BodyText"/>
      </w:pPr>
      <w:r>
        <w:t>The data collected for the composition of waste are not detailed. Therefore, following the recommendation for uncertainties relating to emission factors (IPCC, 2006a), the estimated uncertainty for default CO</w:t>
      </w:r>
      <w:r>
        <w:rPr>
          <w:vertAlign w:val="subscript"/>
        </w:rPr>
        <w:t>2</w:t>
      </w:r>
      <w:r>
        <w:t xml:space="preserve"> factors is ±40 per cent. Default factors used in the calculation of CH</w:t>
      </w:r>
      <w:r>
        <w:rPr>
          <w:vertAlign w:val="subscript"/>
        </w:rPr>
        <w:t>4</w:t>
      </w:r>
      <w:r>
        <w:t xml:space="preserve"> and N</w:t>
      </w:r>
      <w:r>
        <w:rPr>
          <w:vertAlign w:val="subscript"/>
        </w:rPr>
        <w:t>2</w:t>
      </w:r>
      <w:r>
        <w:t>O emissions have a much higher uncertainty (IPCC, 2006a); for this reason, the estimated uncertainty for default CH</w:t>
      </w:r>
      <w:r>
        <w:rPr>
          <w:vertAlign w:val="subscript"/>
        </w:rPr>
        <w:t>4</w:t>
      </w:r>
      <w:r>
        <w:t xml:space="preserve"> and N</w:t>
      </w:r>
      <w:r>
        <w:rPr>
          <w:vertAlign w:val="subscript"/>
        </w:rPr>
        <w:t>2</w:t>
      </w:r>
      <w:r>
        <w:t>O factors is ±100 per cent.</w:t>
      </w:r>
    </w:p>
    <w:p w14:paraId="17F61AC6" w14:textId="77777777" w:rsidR="00A76ADB" w:rsidRDefault="00A76ADB" w:rsidP="00A76ADB">
      <w:pPr>
        <w:pStyle w:val="Table"/>
      </w:pPr>
      <w:bookmarkStart w:id="2419" w:name="_Toc99659339"/>
      <w:r>
        <w:t>Table 7.4.6</w:t>
      </w:r>
      <w:r>
        <w:tab/>
        <w:t xml:space="preserve">Uncertainty in emissions from </w:t>
      </w:r>
      <w:r>
        <w:rPr>
          <w:i/>
          <w:iCs/>
        </w:rPr>
        <w:t>Incineration and open burning of waste</w:t>
      </w:r>
      <w:bookmarkEnd w:id="2419"/>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89"/>
        <w:gridCol w:w="2466"/>
        <w:gridCol w:w="2750"/>
      </w:tblGrid>
      <w:tr w:rsidR="00A76ADB" w:rsidRPr="006C0D1B" w14:paraId="6ADACE49" w14:textId="77777777" w:rsidTr="00CF7215">
        <w:trPr>
          <w:cantSplit/>
          <w:tblHeader/>
        </w:trPr>
        <w:tc>
          <w:tcPr>
            <w:tcW w:w="0" w:type="auto"/>
            <w:shd w:val="clear" w:color="auto" w:fill="1B556B"/>
            <w:tcMar>
              <w:top w:w="0" w:type="dxa"/>
              <w:left w:w="108" w:type="dxa"/>
              <w:bottom w:w="0" w:type="dxa"/>
              <w:right w:w="108" w:type="dxa"/>
            </w:tcMar>
            <w:vAlign w:val="center"/>
          </w:tcPr>
          <w:p w14:paraId="576DDD9E" w14:textId="77777777" w:rsidR="00A76ADB" w:rsidRPr="006C0D1B" w:rsidRDefault="00A76ADB" w:rsidP="007E3239">
            <w:pPr>
              <w:pStyle w:val="TableTextBold"/>
              <w:rPr>
                <w:color w:val="FFFFFF"/>
              </w:rPr>
            </w:pPr>
            <w:r w:rsidRPr="006C0D1B">
              <w:rPr>
                <w:rFonts w:eastAsia="Calibri"/>
                <w:color w:val="FFFFFF"/>
              </w:rPr>
              <w:t>Emissions category</w:t>
            </w:r>
          </w:p>
        </w:tc>
        <w:tc>
          <w:tcPr>
            <w:tcW w:w="0" w:type="auto"/>
            <w:shd w:val="clear" w:color="auto" w:fill="1B556B"/>
            <w:tcMar>
              <w:top w:w="0" w:type="dxa"/>
              <w:left w:w="108" w:type="dxa"/>
              <w:bottom w:w="0" w:type="dxa"/>
              <w:right w:w="108" w:type="dxa"/>
            </w:tcMar>
            <w:vAlign w:val="center"/>
          </w:tcPr>
          <w:p w14:paraId="2CDBED08" w14:textId="77777777" w:rsidR="00A76ADB" w:rsidRPr="006C0D1B" w:rsidRDefault="00A76ADB" w:rsidP="007E3239">
            <w:pPr>
              <w:pStyle w:val="TableTextBold"/>
              <w:rPr>
                <w:color w:val="FFFFFF"/>
              </w:rPr>
            </w:pPr>
            <w:r w:rsidRPr="006C0D1B">
              <w:rPr>
                <w:rFonts w:eastAsia="Calibri"/>
                <w:color w:val="FFFFFF"/>
              </w:rPr>
              <w:t>Uncertainty in activity data (%)</w:t>
            </w:r>
          </w:p>
        </w:tc>
        <w:tc>
          <w:tcPr>
            <w:tcW w:w="0" w:type="auto"/>
            <w:shd w:val="clear" w:color="auto" w:fill="1B556B"/>
            <w:tcMar>
              <w:top w:w="0" w:type="dxa"/>
              <w:left w:w="108" w:type="dxa"/>
              <w:bottom w:w="0" w:type="dxa"/>
              <w:right w:w="108" w:type="dxa"/>
            </w:tcMar>
            <w:vAlign w:val="center"/>
          </w:tcPr>
          <w:p w14:paraId="0C210C20" w14:textId="77777777" w:rsidR="00A76ADB" w:rsidRPr="006C0D1B" w:rsidRDefault="00A76ADB" w:rsidP="007E3239">
            <w:pPr>
              <w:pStyle w:val="TableTextBold"/>
              <w:rPr>
                <w:color w:val="FFFFFF"/>
              </w:rPr>
            </w:pPr>
            <w:r w:rsidRPr="006C0D1B">
              <w:rPr>
                <w:rFonts w:eastAsia="Calibri"/>
                <w:color w:val="FFFFFF"/>
              </w:rPr>
              <w:t>Uncertainty in emission factors (%)</w:t>
            </w:r>
          </w:p>
        </w:tc>
      </w:tr>
      <w:tr w:rsidR="00A76ADB" w14:paraId="4C3F32B7" w14:textId="77777777" w:rsidTr="00CF7215">
        <w:trPr>
          <w:cantSplit/>
          <w:trHeight w:val="283"/>
        </w:trPr>
        <w:tc>
          <w:tcPr>
            <w:tcW w:w="0" w:type="auto"/>
            <w:shd w:val="clear" w:color="auto" w:fill="FFFFFF"/>
            <w:tcMar>
              <w:top w:w="0" w:type="dxa"/>
              <w:left w:w="108" w:type="dxa"/>
              <w:bottom w:w="0" w:type="dxa"/>
              <w:right w:w="108" w:type="dxa"/>
            </w:tcMar>
            <w:vAlign w:val="center"/>
          </w:tcPr>
          <w:p w14:paraId="6728BC3B" w14:textId="77777777" w:rsidR="00A76ADB" w:rsidRDefault="00A76ADB" w:rsidP="007E3239">
            <w:pPr>
              <w:pStyle w:val="TableText"/>
            </w:pPr>
            <w:r>
              <w:rPr>
                <w:rFonts w:eastAsia="Calibri"/>
              </w:rPr>
              <w:t>Waste incineration and open burning (CO₂)</w:t>
            </w:r>
          </w:p>
        </w:tc>
        <w:tc>
          <w:tcPr>
            <w:tcW w:w="0" w:type="auto"/>
            <w:shd w:val="clear" w:color="auto" w:fill="FFFFFF"/>
            <w:tcMar>
              <w:top w:w="0" w:type="dxa"/>
              <w:left w:w="108" w:type="dxa"/>
              <w:bottom w:w="0" w:type="dxa"/>
              <w:right w:w="108" w:type="dxa"/>
            </w:tcMar>
            <w:vAlign w:val="center"/>
          </w:tcPr>
          <w:p w14:paraId="20CA0B10" w14:textId="77777777" w:rsidR="00A76ADB" w:rsidRDefault="00A76ADB" w:rsidP="007E3239">
            <w:pPr>
              <w:pStyle w:val="TableText"/>
            </w:pPr>
            <w:r>
              <w:rPr>
                <w:rFonts w:eastAsia="Calibri"/>
              </w:rPr>
              <w:t>±50</w:t>
            </w:r>
          </w:p>
        </w:tc>
        <w:tc>
          <w:tcPr>
            <w:tcW w:w="0" w:type="auto"/>
            <w:shd w:val="clear" w:color="auto" w:fill="FFFFFF"/>
            <w:tcMar>
              <w:top w:w="0" w:type="dxa"/>
              <w:left w:w="108" w:type="dxa"/>
              <w:bottom w:w="0" w:type="dxa"/>
              <w:right w:w="108" w:type="dxa"/>
            </w:tcMar>
            <w:vAlign w:val="center"/>
          </w:tcPr>
          <w:p w14:paraId="0217204F" w14:textId="77777777" w:rsidR="00A76ADB" w:rsidRDefault="00A76ADB" w:rsidP="007E3239">
            <w:pPr>
              <w:pStyle w:val="TableText"/>
            </w:pPr>
            <w:r>
              <w:rPr>
                <w:rFonts w:eastAsia="Calibri"/>
              </w:rPr>
              <w:t>±40</w:t>
            </w:r>
          </w:p>
        </w:tc>
      </w:tr>
      <w:tr w:rsidR="00A76ADB" w14:paraId="100EBCF0" w14:textId="77777777" w:rsidTr="00CF7215">
        <w:trPr>
          <w:cantSplit/>
          <w:trHeight w:val="283"/>
        </w:trPr>
        <w:tc>
          <w:tcPr>
            <w:tcW w:w="0" w:type="auto"/>
            <w:shd w:val="clear" w:color="auto" w:fill="FFFFFF"/>
            <w:tcMar>
              <w:top w:w="0" w:type="dxa"/>
              <w:left w:w="108" w:type="dxa"/>
              <w:bottom w:w="0" w:type="dxa"/>
              <w:right w:w="108" w:type="dxa"/>
            </w:tcMar>
            <w:vAlign w:val="center"/>
          </w:tcPr>
          <w:p w14:paraId="2F898348" w14:textId="77777777" w:rsidR="00A76ADB" w:rsidRDefault="00A76ADB" w:rsidP="007E3239">
            <w:pPr>
              <w:pStyle w:val="TableText"/>
            </w:pPr>
            <w:r>
              <w:rPr>
                <w:rFonts w:eastAsia="Calibri"/>
              </w:rPr>
              <w:t>Waste incineration and open burning (CH₄)</w:t>
            </w:r>
          </w:p>
        </w:tc>
        <w:tc>
          <w:tcPr>
            <w:tcW w:w="0" w:type="auto"/>
            <w:shd w:val="clear" w:color="auto" w:fill="FFFFFF"/>
            <w:tcMar>
              <w:top w:w="0" w:type="dxa"/>
              <w:left w:w="108" w:type="dxa"/>
              <w:bottom w:w="0" w:type="dxa"/>
              <w:right w:w="108" w:type="dxa"/>
            </w:tcMar>
            <w:vAlign w:val="center"/>
          </w:tcPr>
          <w:p w14:paraId="497E21BF" w14:textId="77777777" w:rsidR="00A76ADB" w:rsidRDefault="00A76ADB" w:rsidP="007E3239">
            <w:pPr>
              <w:pStyle w:val="TableText"/>
            </w:pPr>
            <w:r>
              <w:rPr>
                <w:rFonts w:eastAsia="Calibri"/>
              </w:rPr>
              <w:t>±50</w:t>
            </w:r>
          </w:p>
        </w:tc>
        <w:tc>
          <w:tcPr>
            <w:tcW w:w="0" w:type="auto"/>
            <w:shd w:val="clear" w:color="auto" w:fill="FFFFFF"/>
            <w:tcMar>
              <w:top w:w="0" w:type="dxa"/>
              <w:left w:w="108" w:type="dxa"/>
              <w:bottom w:w="0" w:type="dxa"/>
              <w:right w:w="108" w:type="dxa"/>
            </w:tcMar>
            <w:vAlign w:val="center"/>
          </w:tcPr>
          <w:p w14:paraId="06E165E5" w14:textId="77777777" w:rsidR="00A76ADB" w:rsidRDefault="00A76ADB" w:rsidP="007E3239">
            <w:pPr>
              <w:pStyle w:val="TableText"/>
            </w:pPr>
            <w:r>
              <w:rPr>
                <w:rFonts w:eastAsia="Calibri"/>
              </w:rPr>
              <w:t>±100</w:t>
            </w:r>
          </w:p>
        </w:tc>
      </w:tr>
      <w:tr w:rsidR="00A76ADB" w14:paraId="3D40072C" w14:textId="77777777" w:rsidTr="00CF7215">
        <w:trPr>
          <w:cantSplit/>
          <w:trHeight w:val="283"/>
        </w:trPr>
        <w:tc>
          <w:tcPr>
            <w:tcW w:w="0" w:type="auto"/>
            <w:shd w:val="clear" w:color="auto" w:fill="FFFFFF"/>
            <w:tcMar>
              <w:top w:w="0" w:type="dxa"/>
              <w:left w:w="108" w:type="dxa"/>
              <w:bottom w:w="0" w:type="dxa"/>
              <w:right w:w="108" w:type="dxa"/>
            </w:tcMar>
            <w:vAlign w:val="center"/>
          </w:tcPr>
          <w:p w14:paraId="20730640" w14:textId="77777777" w:rsidR="00A76ADB" w:rsidRDefault="00A76ADB" w:rsidP="007E3239">
            <w:pPr>
              <w:pStyle w:val="TableText"/>
            </w:pPr>
            <w:r>
              <w:rPr>
                <w:rFonts w:eastAsia="Calibri"/>
              </w:rPr>
              <w:t>Waste incineration and open burning (N₂O)</w:t>
            </w:r>
          </w:p>
        </w:tc>
        <w:tc>
          <w:tcPr>
            <w:tcW w:w="0" w:type="auto"/>
            <w:shd w:val="clear" w:color="auto" w:fill="FFFFFF"/>
            <w:tcMar>
              <w:top w:w="0" w:type="dxa"/>
              <w:left w:w="108" w:type="dxa"/>
              <w:bottom w:w="0" w:type="dxa"/>
              <w:right w:w="108" w:type="dxa"/>
            </w:tcMar>
            <w:vAlign w:val="center"/>
          </w:tcPr>
          <w:p w14:paraId="77C38E87" w14:textId="77777777" w:rsidR="00A76ADB" w:rsidRDefault="00A76ADB" w:rsidP="007E3239">
            <w:pPr>
              <w:pStyle w:val="TableText"/>
            </w:pPr>
            <w:r>
              <w:rPr>
                <w:rFonts w:eastAsia="Calibri"/>
              </w:rPr>
              <w:t>±50</w:t>
            </w:r>
          </w:p>
        </w:tc>
        <w:tc>
          <w:tcPr>
            <w:tcW w:w="0" w:type="auto"/>
            <w:shd w:val="clear" w:color="auto" w:fill="FFFFFF"/>
            <w:tcMar>
              <w:top w:w="0" w:type="dxa"/>
              <w:left w:w="108" w:type="dxa"/>
              <w:bottom w:w="0" w:type="dxa"/>
              <w:right w:w="108" w:type="dxa"/>
            </w:tcMar>
            <w:vAlign w:val="center"/>
          </w:tcPr>
          <w:p w14:paraId="243FC39C" w14:textId="77777777" w:rsidR="00A76ADB" w:rsidRDefault="00A76ADB" w:rsidP="007E3239">
            <w:pPr>
              <w:pStyle w:val="TableText"/>
            </w:pPr>
            <w:r>
              <w:rPr>
                <w:rFonts w:eastAsia="Calibri"/>
              </w:rPr>
              <w:t>±100</w:t>
            </w:r>
          </w:p>
        </w:tc>
      </w:tr>
    </w:tbl>
    <w:p w14:paraId="5C5FF21B" w14:textId="77777777" w:rsidR="00A76ADB" w:rsidRDefault="00A76ADB" w:rsidP="00A76ADB">
      <w:pPr>
        <w:pStyle w:val="Heading4"/>
        <w:spacing w:before="360"/>
      </w:pPr>
      <w:bookmarkStart w:id="2420" w:name="time-series-consistency-2"/>
      <w:bookmarkEnd w:id="2418"/>
      <w:r>
        <w:t>Time-series consistency</w:t>
      </w:r>
    </w:p>
    <w:p w14:paraId="67D7EED1" w14:textId="77777777" w:rsidR="00A76ADB" w:rsidRDefault="00A76ADB" w:rsidP="00A76ADB">
      <w:pPr>
        <w:pStyle w:val="BodyText"/>
      </w:pPr>
      <w:r>
        <w:t>Time-series consistency is ensured by the use of consistent models and parameters across the period. Where changes to methodologies or emission factors have occurred, a full time-series recalculation is conducted.</w:t>
      </w:r>
    </w:p>
    <w:p w14:paraId="61F1AF2D" w14:textId="77777777" w:rsidR="00A76ADB" w:rsidRDefault="00A76ADB" w:rsidP="00A76ADB">
      <w:pPr>
        <w:pStyle w:val="Heading3"/>
      </w:pPr>
      <w:bookmarkStart w:id="2421" w:name="source-specific-qaqc-and-verification-1"/>
      <w:bookmarkEnd w:id="2417"/>
      <w:bookmarkEnd w:id="2420"/>
      <w:r>
        <w:t xml:space="preserve">7.4.4 </w:t>
      </w:r>
      <w:r>
        <w:tab/>
        <w:t>Source-specific QA/QC and verification</w:t>
      </w:r>
    </w:p>
    <w:p w14:paraId="0FDA36BB" w14:textId="77777777" w:rsidR="00A76ADB" w:rsidRDefault="00A76ADB" w:rsidP="00A76ADB">
      <w:pPr>
        <w:pStyle w:val="BodyText"/>
      </w:pPr>
      <w:r>
        <w:t xml:space="preserve">Quality-assurance and quality-control checks are carried out where possible. Detailed quality-assurance and quality-control efforts for the Waste sector focus on the </w:t>
      </w:r>
      <w:r>
        <w:rPr>
          <w:i/>
          <w:iCs/>
        </w:rPr>
        <w:t>Solid waste disposal</w:t>
      </w:r>
      <w:r>
        <w:t xml:space="preserve"> to land and </w:t>
      </w:r>
      <w:r>
        <w:rPr>
          <w:i/>
          <w:iCs/>
        </w:rPr>
        <w:t>Wastewater treatment and discharge</w:t>
      </w:r>
      <w:r>
        <w:t xml:space="preserve"> categories. Activity data for open burning are derived from the landfill data.</w:t>
      </w:r>
    </w:p>
    <w:p w14:paraId="41724E32" w14:textId="77777777" w:rsidR="00A76ADB" w:rsidRDefault="00A76ADB" w:rsidP="00A76ADB">
      <w:pPr>
        <w:pStyle w:val="Heading3"/>
      </w:pPr>
      <w:bookmarkStart w:id="2422" w:name="source-specific-recalculations-2"/>
      <w:bookmarkEnd w:id="2421"/>
      <w:r>
        <w:t xml:space="preserve">7.4.5 </w:t>
      </w:r>
      <w:r>
        <w:tab/>
        <w:t>Source-specific recalculations</w:t>
      </w:r>
    </w:p>
    <w:p w14:paraId="592E98B9" w14:textId="77777777" w:rsidR="00A76ADB" w:rsidRDefault="00A76ADB" w:rsidP="00A76ADB">
      <w:pPr>
        <w:pStyle w:val="BodyText"/>
      </w:pPr>
      <w:r>
        <w:t xml:space="preserve">No recalculations have been made for incineration (5.C.1). A minor change for </w:t>
      </w:r>
      <w:r>
        <w:rPr>
          <w:i/>
          <w:iCs/>
        </w:rPr>
        <w:t>Open burning of waste</w:t>
      </w:r>
      <w:r>
        <w:t xml:space="preserve"> (5.C.2) due to the correction to total carbon content in paper/card. This increased </w:t>
      </w:r>
      <w:r w:rsidRPr="00246F01">
        <w:t>emissions in 1990 by 0.2 kt CO</w:t>
      </w:r>
      <w:r w:rsidRPr="00246F01">
        <w:rPr>
          <w:vertAlign w:val="subscript"/>
        </w:rPr>
        <w:t>2</w:t>
      </w:r>
      <w:r w:rsidRPr="00246F01">
        <w:t>-e and increased emissions by 0.1 kt CO</w:t>
      </w:r>
      <w:r w:rsidRPr="00246F01">
        <w:rPr>
          <w:vertAlign w:val="subscript"/>
        </w:rPr>
        <w:t>2</w:t>
      </w:r>
      <w:r w:rsidRPr="00246F01">
        <w:t>-e in 2019.</w:t>
      </w:r>
      <w:r>
        <w:t xml:space="preserve"> Recalculations are described in greater detail in chapter 10.</w:t>
      </w:r>
    </w:p>
    <w:p w14:paraId="6BA5D2C3" w14:textId="77777777" w:rsidR="00A76ADB" w:rsidRDefault="00A76ADB" w:rsidP="00A76ADB">
      <w:pPr>
        <w:pStyle w:val="Heading3"/>
      </w:pPr>
      <w:bookmarkStart w:id="2423" w:name="source-specific-planned-improvements-2"/>
      <w:bookmarkEnd w:id="2422"/>
      <w:r>
        <w:t xml:space="preserve">7.4.6 </w:t>
      </w:r>
      <w:r>
        <w:tab/>
        <w:t>Source-specific planned improvements</w:t>
      </w:r>
    </w:p>
    <w:p w14:paraId="53936FB6" w14:textId="77777777" w:rsidR="00A76ADB" w:rsidRDefault="00A76ADB" w:rsidP="00A76ADB">
      <w:pPr>
        <w:pStyle w:val="BodyText"/>
      </w:pPr>
      <w:r>
        <w:t xml:space="preserve">No specific improvements are planned for this category. Over time, surveys by local authorities on disposal of waste in the farm sector may provide a better understanding of open burning in the farm sector. Further work is needed to understand the ratio of farm waste disposed to open burning or landfills (also see section 7.2.6). Anecdotal evidence suggests that incineration </w:t>
      </w:r>
      <w:r>
        <w:lastRenderedPageBreak/>
        <w:t>may be occurring at lower volumes than is assumed. Changes will be made when evidence becomes available to confirm this, noting that emissions from incineration are well under 1 per cent of the Waste sector, and that there are other incineration sources (rural schools) currently not estimated.</w:t>
      </w:r>
    </w:p>
    <w:p w14:paraId="5A31701C" w14:textId="77777777" w:rsidR="00A76ADB" w:rsidRDefault="00A76ADB" w:rsidP="00A76ADB">
      <w:pPr>
        <w:pStyle w:val="Heading2"/>
      </w:pPr>
      <w:bookmarkStart w:id="2424" w:name="_Toc99659156"/>
      <w:bookmarkEnd w:id="2412"/>
      <w:bookmarkEnd w:id="2423"/>
      <w:r>
        <w:t xml:space="preserve">7.5 </w:t>
      </w:r>
      <w:r>
        <w:tab/>
        <w:t>Wastewater treatment and discharge (5.D)</w:t>
      </w:r>
      <w:bookmarkEnd w:id="2424"/>
    </w:p>
    <w:p w14:paraId="35A6B797" w14:textId="77777777" w:rsidR="00A76ADB" w:rsidRDefault="00A76ADB" w:rsidP="00695BF4">
      <w:pPr>
        <w:pStyle w:val="Heading3"/>
        <w:spacing w:before="240"/>
      </w:pPr>
      <w:bookmarkStart w:id="2425" w:name="description-3"/>
      <w:r>
        <w:t xml:space="preserve">7.5.1 </w:t>
      </w:r>
      <w:r>
        <w:tab/>
        <w:t>Description</w:t>
      </w:r>
    </w:p>
    <w:p w14:paraId="57DDF864" w14:textId="77777777" w:rsidR="00A76ADB" w:rsidRDefault="00A76ADB" w:rsidP="00695BF4">
      <w:pPr>
        <w:pStyle w:val="BodyText"/>
        <w:spacing w:before="100" w:after="100"/>
      </w:pPr>
      <w:r w:rsidRPr="00246F01">
        <w:t xml:space="preserve">In 2020, </w:t>
      </w:r>
      <w:r w:rsidRPr="00246F01">
        <w:rPr>
          <w:i/>
          <w:iCs/>
        </w:rPr>
        <w:t>Wastewater treatment and discharge</w:t>
      </w:r>
      <w:r w:rsidRPr="00246F01">
        <w:t xml:space="preserve"> contributed 377.4 kt CO</w:t>
      </w:r>
      <w:r w:rsidRPr="00246F01">
        <w:rPr>
          <w:vertAlign w:val="subscript"/>
        </w:rPr>
        <w:t>2</w:t>
      </w:r>
      <w:r w:rsidRPr="00246F01">
        <w:t>-e (11.5 per cent) of emissions from the Waste sector. This was an increase of 72.9 kt CO</w:t>
      </w:r>
      <w:r w:rsidRPr="00246F01">
        <w:rPr>
          <w:vertAlign w:val="subscript"/>
        </w:rPr>
        <w:t>2</w:t>
      </w:r>
      <w:r w:rsidRPr="00246F01">
        <w:t>-e (23.9 per cent) from the 1990 level of 304.5 kt CO</w:t>
      </w:r>
      <w:r w:rsidRPr="00246F01">
        <w:rPr>
          <w:vertAlign w:val="subscript"/>
        </w:rPr>
        <w:t>2</w:t>
      </w:r>
      <w:r w:rsidRPr="00246F01">
        <w:t>-e and is due to increases in the volume of industrial and</w:t>
      </w:r>
      <w:r>
        <w:t xml:space="preserve"> domestic wastewater handled over this period.</w:t>
      </w:r>
    </w:p>
    <w:p w14:paraId="798EFAAD" w14:textId="77777777" w:rsidR="00A76ADB" w:rsidRDefault="00A76ADB" w:rsidP="00695BF4">
      <w:pPr>
        <w:pStyle w:val="BodyText"/>
        <w:spacing w:before="100" w:after="100"/>
      </w:pPr>
      <w:r w:rsidRPr="00F45E80">
        <w:rPr>
          <w:spacing w:val="-2"/>
        </w:rPr>
        <w:t>Small amounts of industrial wastewater are applied as organic amendments to agricultural soils,</w:t>
      </w:r>
      <w:r>
        <w:t xml:space="preserve"> as well as an extremely small amount of sewage sludge (van der Weerden et al., 2014). Any emissions from this practice are likely to be insignificant and are reported as ‘not estimated’ under the Agriculture sector (see chapter 5, section 5.5.2). Table 7.5.1 presents emissions from </w:t>
      </w:r>
      <w:r>
        <w:rPr>
          <w:i/>
          <w:iCs/>
        </w:rPr>
        <w:t>Wastewater treatment and discharge</w:t>
      </w:r>
      <w:r>
        <w:t>.</w:t>
      </w:r>
    </w:p>
    <w:p w14:paraId="7D33C3B1" w14:textId="77777777" w:rsidR="00A76ADB" w:rsidRDefault="00A76ADB" w:rsidP="00695BF4">
      <w:pPr>
        <w:pStyle w:val="BodyText"/>
        <w:spacing w:before="100" w:after="100"/>
      </w:pPr>
      <w:r>
        <w:t xml:space="preserve">Sludge amounts are reported as included elsewhere (IE) for domestic and industrial wastewater because most of the sludge is sent to landfills, and activity data and emissions from its disposal are reported in the </w:t>
      </w:r>
      <w:r>
        <w:rPr>
          <w:i/>
          <w:iCs/>
        </w:rPr>
        <w:t>Solid waste</w:t>
      </w:r>
      <w:r>
        <w:t xml:space="preserve"> </w:t>
      </w:r>
      <w:r>
        <w:rPr>
          <w:i/>
          <w:iCs/>
        </w:rPr>
        <w:t>disposal</w:t>
      </w:r>
      <w:r>
        <w:t xml:space="preserve"> source category (Tonkin and Taylor Ltd, unpublished(a)).</w:t>
      </w:r>
    </w:p>
    <w:p w14:paraId="45E75F74" w14:textId="77777777" w:rsidR="00A76ADB" w:rsidRDefault="00A76ADB" w:rsidP="00A76ADB">
      <w:pPr>
        <w:pStyle w:val="Table"/>
      </w:pPr>
      <w:bookmarkStart w:id="2426" w:name="_Toc99659340"/>
      <w:r>
        <w:t>Table 7.5.1</w:t>
      </w:r>
      <w:r>
        <w:tab/>
        <w:t>Emissions from Wastewater treatment and discharge (5.D)</w:t>
      </w:r>
      <w:bookmarkEnd w:id="2426"/>
    </w:p>
    <w:tbl>
      <w:tblPr>
        <w:tblW w:w="8505" w:type="dxa"/>
        <w:tblInd w:w="108" w:type="dxa"/>
        <w:tblLook w:val="0420" w:firstRow="1" w:lastRow="0" w:firstColumn="0" w:lastColumn="0" w:noHBand="0" w:noVBand="1"/>
      </w:tblPr>
      <w:tblGrid>
        <w:gridCol w:w="2410"/>
        <w:gridCol w:w="1276"/>
        <w:gridCol w:w="1276"/>
        <w:gridCol w:w="1842"/>
        <w:gridCol w:w="1701"/>
      </w:tblGrid>
      <w:tr w:rsidR="00A76ADB" w:rsidRPr="006C0D1B" w14:paraId="2CE9E45E" w14:textId="77777777" w:rsidTr="00CF7215">
        <w:trPr>
          <w:cantSplit/>
          <w:tblHeader/>
        </w:trPr>
        <w:tc>
          <w:tcPr>
            <w:tcW w:w="2410" w:type="dxa"/>
            <w:tcBorders>
              <w:top w:val="single" w:sz="4" w:space="0" w:color="1B556B"/>
              <w:bottom w:val="single" w:sz="4" w:space="0" w:color="1B556B"/>
            </w:tcBorders>
            <w:shd w:val="clear" w:color="auto" w:fill="1B556B"/>
            <w:tcMar>
              <w:top w:w="0" w:type="dxa"/>
              <w:left w:w="108" w:type="dxa"/>
              <w:bottom w:w="0" w:type="dxa"/>
              <w:right w:w="108" w:type="dxa"/>
            </w:tcMar>
            <w:vAlign w:val="center"/>
          </w:tcPr>
          <w:p w14:paraId="5845AC3F" w14:textId="77777777" w:rsidR="00A76ADB" w:rsidRPr="006C0D1B" w:rsidRDefault="00A76ADB" w:rsidP="00695BF4">
            <w:pPr>
              <w:pStyle w:val="TableTextBold"/>
              <w:spacing w:before="40" w:after="40"/>
              <w:rPr>
                <w:rFonts w:eastAsia="Calibri"/>
                <w:color w:val="FFFFFF"/>
              </w:rPr>
            </w:pPr>
          </w:p>
        </w:tc>
        <w:tc>
          <w:tcPr>
            <w:tcW w:w="2552" w:type="dxa"/>
            <w:gridSpan w:val="2"/>
            <w:tcBorders>
              <w:top w:val="single" w:sz="4" w:space="0" w:color="1B556B"/>
              <w:bottom w:val="single" w:sz="4" w:space="0" w:color="1B556B"/>
            </w:tcBorders>
            <w:shd w:val="clear" w:color="auto" w:fill="1B556B"/>
            <w:tcMar>
              <w:top w:w="0" w:type="dxa"/>
              <w:left w:w="108" w:type="dxa"/>
              <w:bottom w:w="0" w:type="dxa"/>
              <w:right w:w="108" w:type="dxa"/>
            </w:tcMar>
          </w:tcPr>
          <w:p w14:paraId="03EDD531" w14:textId="77777777" w:rsidR="00A76ADB" w:rsidRPr="006C0D1B" w:rsidRDefault="00A76ADB" w:rsidP="00695BF4">
            <w:pPr>
              <w:pStyle w:val="TableTextBold"/>
              <w:spacing w:before="40" w:after="40"/>
              <w:jc w:val="center"/>
              <w:rPr>
                <w:rFonts w:eastAsia="Calibri"/>
                <w:color w:val="FFFFFF"/>
              </w:rPr>
            </w:pPr>
            <w:r w:rsidRPr="006C0D1B">
              <w:rPr>
                <w:rFonts w:eastAsia="Calibri"/>
                <w:color w:val="FFFFFF"/>
              </w:rPr>
              <w:t>Emissions (kt CO</w:t>
            </w:r>
            <w:r w:rsidRPr="006C0D1B">
              <w:rPr>
                <w:rFonts w:eastAsia="Calibri"/>
                <w:color w:val="FFFFFF"/>
                <w:vertAlign w:val="subscript"/>
              </w:rPr>
              <w:t>2</w:t>
            </w:r>
            <w:r w:rsidRPr="006C0D1B">
              <w:rPr>
                <w:rFonts w:eastAsia="Calibri"/>
                <w:color w:val="FFFFFF"/>
              </w:rPr>
              <w:t>-e)</w:t>
            </w:r>
          </w:p>
        </w:tc>
        <w:tc>
          <w:tcPr>
            <w:tcW w:w="1842" w:type="dxa"/>
            <w:tcBorders>
              <w:top w:val="single" w:sz="4" w:space="0" w:color="1B556B"/>
              <w:bottom w:val="single" w:sz="4" w:space="0" w:color="1B556B"/>
            </w:tcBorders>
            <w:shd w:val="clear" w:color="auto" w:fill="1B556B"/>
            <w:tcMar>
              <w:left w:w="108" w:type="dxa"/>
              <w:right w:w="108" w:type="dxa"/>
            </w:tcMar>
          </w:tcPr>
          <w:p w14:paraId="56186648" w14:textId="77777777" w:rsidR="00A76ADB" w:rsidRPr="006C0D1B" w:rsidRDefault="00A76ADB" w:rsidP="00695BF4">
            <w:pPr>
              <w:pStyle w:val="TableTextBold"/>
              <w:spacing w:before="40" w:after="40"/>
              <w:jc w:val="center"/>
              <w:rPr>
                <w:rFonts w:eastAsia="Calibri"/>
                <w:color w:val="FFFFFF"/>
              </w:rPr>
            </w:pPr>
            <w:r w:rsidRPr="006C0D1B">
              <w:rPr>
                <w:rFonts w:eastAsia="Calibri"/>
                <w:color w:val="FFFFFF"/>
              </w:rPr>
              <w:t>Difference (kt CO</w:t>
            </w:r>
            <w:r w:rsidRPr="006C0D1B">
              <w:rPr>
                <w:rFonts w:eastAsia="Calibri"/>
                <w:color w:val="FFFFFF"/>
                <w:vertAlign w:val="subscript"/>
              </w:rPr>
              <w:t>2</w:t>
            </w:r>
            <w:r w:rsidRPr="006C0D1B">
              <w:rPr>
                <w:rFonts w:eastAsia="Calibri"/>
                <w:color w:val="FFFFFF"/>
              </w:rPr>
              <w:t>-e)</w:t>
            </w:r>
          </w:p>
        </w:tc>
        <w:tc>
          <w:tcPr>
            <w:tcW w:w="1701" w:type="dxa"/>
            <w:tcBorders>
              <w:top w:val="single" w:sz="4" w:space="0" w:color="1B556B"/>
              <w:bottom w:val="single" w:sz="4" w:space="0" w:color="1B556B"/>
            </w:tcBorders>
            <w:shd w:val="clear" w:color="auto" w:fill="1B556B"/>
            <w:tcMar>
              <w:left w:w="108" w:type="dxa"/>
              <w:right w:w="108" w:type="dxa"/>
            </w:tcMar>
          </w:tcPr>
          <w:p w14:paraId="0118BBD1" w14:textId="77777777" w:rsidR="00A76ADB" w:rsidRPr="006C0D1B" w:rsidRDefault="00A76ADB" w:rsidP="00695BF4">
            <w:pPr>
              <w:pStyle w:val="TableTextBold"/>
              <w:spacing w:before="40" w:after="40"/>
              <w:jc w:val="center"/>
              <w:rPr>
                <w:rFonts w:eastAsia="Calibri"/>
                <w:color w:val="FFFFFF"/>
              </w:rPr>
            </w:pPr>
            <w:r w:rsidRPr="006C0D1B">
              <w:rPr>
                <w:rFonts w:eastAsia="Calibri"/>
                <w:color w:val="FFFFFF"/>
              </w:rPr>
              <w:t>Change (%)</w:t>
            </w:r>
          </w:p>
        </w:tc>
      </w:tr>
      <w:tr w:rsidR="00A76ADB" w:rsidRPr="001412D7" w14:paraId="7FFE6456" w14:textId="77777777" w:rsidTr="00C158D3">
        <w:trPr>
          <w:cantSplit/>
          <w:trHeight w:val="283"/>
        </w:trPr>
        <w:tc>
          <w:tcPr>
            <w:tcW w:w="2410" w:type="dxa"/>
            <w:tcBorders>
              <w:top w:val="single" w:sz="4" w:space="0" w:color="1B556B"/>
              <w:bottom w:val="single" w:sz="4" w:space="0" w:color="1B556B"/>
            </w:tcBorders>
            <w:shd w:val="clear" w:color="auto" w:fill="FFFFFF"/>
            <w:tcMar>
              <w:top w:w="0" w:type="dxa"/>
              <w:left w:w="108" w:type="dxa"/>
              <w:bottom w:w="0" w:type="dxa"/>
              <w:right w:w="108" w:type="dxa"/>
            </w:tcMar>
          </w:tcPr>
          <w:p w14:paraId="23EAC0C5" w14:textId="77777777" w:rsidR="00A76ADB" w:rsidRPr="001412D7" w:rsidRDefault="00A76ADB" w:rsidP="00695BF4">
            <w:pPr>
              <w:pStyle w:val="Tableboldblue"/>
              <w:spacing w:before="40" w:after="40"/>
              <w:rPr>
                <w:rFonts w:eastAsia="Calibri"/>
              </w:rPr>
            </w:pPr>
            <w:r w:rsidRPr="001412D7">
              <w:rPr>
                <w:rFonts w:eastAsia="Calibri"/>
              </w:rPr>
              <w:t>Source category</w:t>
            </w:r>
          </w:p>
        </w:tc>
        <w:tc>
          <w:tcPr>
            <w:tcW w:w="1276" w:type="dxa"/>
            <w:tcBorders>
              <w:top w:val="single" w:sz="4" w:space="0" w:color="1B556B"/>
              <w:bottom w:val="single" w:sz="4" w:space="0" w:color="1B556B"/>
            </w:tcBorders>
            <w:shd w:val="clear" w:color="auto" w:fill="FFFFFF"/>
            <w:tcMar>
              <w:top w:w="0" w:type="dxa"/>
              <w:left w:w="108" w:type="dxa"/>
              <w:bottom w:w="0" w:type="dxa"/>
              <w:right w:w="108" w:type="dxa"/>
            </w:tcMar>
          </w:tcPr>
          <w:p w14:paraId="7FF203A4" w14:textId="77777777" w:rsidR="00A76ADB" w:rsidRPr="001412D7" w:rsidRDefault="00A76ADB" w:rsidP="00695BF4">
            <w:pPr>
              <w:pStyle w:val="Tableboldblue"/>
              <w:spacing w:before="40" w:after="40"/>
              <w:jc w:val="center"/>
              <w:rPr>
                <w:rFonts w:eastAsia="Calibri"/>
              </w:rPr>
            </w:pPr>
            <w:r w:rsidRPr="5C76A8C7">
              <w:rPr>
                <w:rFonts w:eastAsia="Calibri"/>
              </w:rPr>
              <w:t>1990</w:t>
            </w:r>
          </w:p>
        </w:tc>
        <w:tc>
          <w:tcPr>
            <w:tcW w:w="1276" w:type="dxa"/>
            <w:tcBorders>
              <w:top w:val="single" w:sz="4" w:space="0" w:color="1B556B"/>
              <w:bottom w:val="single" w:sz="4" w:space="0" w:color="1B556B"/>
              <w:right w:val="single" w:sz="4" w:space="0" w:color="FFFFFF"/>
            </w:tcBorders>
            <w:shd w:val="clear" w:color="auto" w:fill="FFFFFF"/>
            <w:tcMar>
              <w:top w:w="0" w:type="dxa"/>
              <w:left w:w="108" w:type="dxa"/>
              <w:bottom w:w="0" w:type="dxa"/>
              <w:right w:w="108" w:type="dxa"/>
            </w:tcMar>
          </w:tcPr>
          <w:p w14:paraId="0282AA5F" w14:textId="77777777" w:rsidR="00A76ADB" w:rsidRPr="001412D7" w:rsidRDefault="00A76ADB" w:rsidP="00695BF4">
            <w:pPr>
              <w:pStyle w:val="Tableboldblue"/>
              <w:spacing w:before="40" w:after="40"/>
              <w:jc w:val="center"/>
              <w:rPr>
                <w:rFonts w:eastAsia="Calibri"/>
              </w:rPr>
            </w:pPr>
            <w:r w:rsidRPr="001412D7">
              <w:rPr>
                <w:rFonts w:eastAsia="Calibri"/>
              </w:rPr>
              <w:t>2020</w:t>
            </w:r>
          </w:p>
        </w:tc>
        <w:tc>
          <w:tcPr>
            <w:tcW w:w="1842" w:type="dxa"/>
            <w:tcBorders>
              <w:top w:val="single" w:sz="4" w:space="0" w:color="1B556B"/>
              <w:bottom w:val="single" w:sz="4" w:space="0" w:color="1B556B"/>
              <w:right w:val="single" w:sz="4" w:space="0" w:color="FFFFFF"/>
            </w:tcBorders>
            <w:shd w:val="clear" w:color="auto" w:fill="FFFFFF"/>
            <w:tcMar>
              <w:left w:w="108" w:type="dxa"/>
              <w:right w:w="108" w:type="dxa"/>
            </w:tcMar>
          </w:tcPr>
          <w:p w14:paraId="69CEBD13" w14:textId="77777777" w:rsidR="00A76ADB" w:rsidRPr="001412D7" w:rsidRDefault="00A76ADB" w:rsidP="00695BF4">
            <w:pPr>
              <w:pStyle w:val="Tableboldblue"/>
              <w:spacing w:before="40" w:after="40"/>
              <w:jc w:val="center"/>
              <w:rPr>
                <w:rFonts w:eastAsia="Calibri"/>
              </w:rPr>
            </w:pPr>
            <w:r w:rsidRPr="001412D7">
              <w:rPr>
                <w:rFonts w:eastAsia="Calibri"/>
              </w:rPr>
              <w:t>1990–2020</w:t>
            </w:r>
          </w:p>
        </w:tc>
        <w:tc>
          <w:tcPr>
            <w:tcW w:w="1701" w:type="dxa"/>
            <w:tcBorders>
              <w:top w:val="single" w:sz="4" w:space="0" w:color="1B556B"/>
              <w:bottom w:val="single" w:sz="4" w:space="0" w:color="1B556B"/>
            </w:tcBorders>
            <w:shd w:val="clear" w:color="auto" w:fill="FFFFFF"/>
            <w:tcMar>
              <w:left w:w="108" w:type="dxa"/>
              <w:right w:w="108" w:type="dxa"/>
            </w:tcMar>
          </w:tcPr>
          <w:p w14:paraId="3B387572" w14:textId="77777777" w:rsidR="00A76ADB" w:rsidRPr="001412D7" w:rsidRDefault="00A76ADB" w:rsidP="00695BF4">
            <w:pPr>
              <w:pStyle w:val="Tableboldblue"/>
              <w:spacing w:before="40" w:after="40"/>
              <w:jc w:val="center"/>
              <w:rPr>
                <w:rFonts w:eastAsia="Calibri"/>
              </w:rPr>
            </w:pPr>
            <w:r w:rsidRPr="001412D7">
              <w:rPr>
                <w:rFonts w:eastAsia="Calibri"/>
              </w:rPr>
              <w:t>1990–2020</w:t>
            </w:r>
          </w:p>
        </w:tc>
      </w:tr>
      <w:tr w:rsidR="00A76ADB" w:rsidRPr="00847046" w14:paraId="19634D68" w14:textId="77777777" w:rsidTr="00C158D3">
        <w:trPr>
          <w:cantSplit/>
          <w:trHeight w:val="283"/>
        </w:trPr>
        <w:tc>
          <w:tcPr>
            <w:tcW w:w="2410" w:type="dxa"/>
            <w:tcBorders>
              <w:top w:val="single" w:sz="4" w:space="0" w:color="1B556B"/>
              <w:bottom w:val="single" w:sz="4" w:space="0" w:color="1B556B"/>
            </w:tcBorders>
            <w:shd w:val="clear" w:color="auto" w:fill="FFFFFF"/>
            <w:tcMar>
              <w:top w:w="0" w:type="dxa"/>
              <w:left w:w="108" w:type="dxa"/>
              <w:bottom w:w="0" w:type="dxa"/>
              <w:right w:w="108" w:type="dxa"/>
            </w:tcMar>
          </w:tcPr>
          <w:p w14:paraId="5D5C33D9" w14:textId="77777777" w:rsidR="00A76ADB" w:rsidRPr="00847046" w:rsidRDefault="00A76ADB" w:rsidP="00695BF4">
            <w:pPr>
              <w:pStyle w:val="TableText"/>
              <w:spacing w:before="40" w:after="40"/>
              <w:rPr>
                <w:rFonts w:eastAsia="Calibri"/>
                <w:color w:val="000000"/>
              </w:rPr>
            </w:pPr>
            <w:r w:rsidRPr="00326001">
              <w:rPr>
                <w:rFonts w:eastAsia="Calibri"/>
                <w:color w:val="000000"/>
              </w:rPr>
              <w:t>Domestic wastewater (5.D.1)</w:t>
            </w:r>
          </w:p>
        </w:tc>
        <w:tc>
          <w:tcPr>
            <w:tcW w:w="1276" w:type="dxa"/>
            <w:tcBorders>
              <w:top w:val="single" w:sz="4" w:space="0" w:color="1B556B"/>
              <w:bottom w:val="single" w:sz="4" w:space="0" w:color="1B556B"/>
            </w:tcBorders>
            <w:shd w:val="clear" w:color="auto" w:fill="FFFFFF"/>
            <w:tcMar>
              <w:top w:w="0" w:type="dxa"/>
              <w:left w:w="108" w:type="dxa"/>
              <w:bottom w:w="0" w:type="dxa"/>
              <w:right w:w="108" w:type="dxa"/>
            </w:tcMar>
          </w:tcPr>
          <w:p w14:paraId="353DE85F" w14:textId="77777777" w:rsidR="00A76ADB" w:rsidRPr="00847046" w:rsidRDefault="00A76ADB" w:rsidP="00695BF4">
            <w:pPr>
              <w:pStyle w:val="TableText"/>
              <w:spacing w:before="40" w:after="40"/>
              <w:jc w:val="center"/>
              <w:rPr>
                <w:rFonts w:eastAsia="Calibri"/>
                <w:color w:val="000000"/>
              </w:rPr>
            </w:pPr>
            <w:r w:rsidRPr="003C2C05">
              <w:rPr>
                <w:rFonts w:eastAsia="Calibri"/>
                <w:color w:val="000000"/>
              </w:rPr>
              <w:t>212.6</w:t>
            </w:r>
          </w:p>
        </w:tc>
        <w:tc>
          <w:tcPr>
            <w:tcW w:w="1276" w:type="dxa"/>
            <w:tcBorders>
              <w:top w:val="single" w:sz="4" w:space="0" w:color="1B556B"/>
              <w:bottom w:val="single" w:sz="4" w:space="0" w:color="1B556B"/>
              <w:right w:val="single" w:sz="4" w:space="0" w:color="FFFFFF"/>
            </w:tcBorders>
            <w:shd w:val="clear" w:color="auto" w:fill="FFFFFF"/>
            <w:tcMar>
              <w:top w:w="0" w:type="dxa"/>
              <w:left w:w="108" w:type="dxa"/>
              <w:bottom w:w="0" w:type="dxa"/>
              <w:right w:w="108" w:type="dxa"/>
            </w:tcMar>
          </w:tcPr>
          <w:p w14:paraId="23084481" w14:textId="77777777" w:rsidR="00A76ADB" w:rsidRPr="00847046" w:rsidRDefault="00A76ADB" w:rsidP="00695BF4">
            <w:pPr>
              <w:pStyle w:val="TableText"/>
              <w:spacing w:before="40" w:after="40"/>
              <w:jc w:val="center"/>
              <w:rPr>
                <w:rFonts w:eastAsia="Calibri"/>
                <w:color w:val="000000"/>
              </w:rPr>
            </w:pPr>
            <w:r w:rsidRPr="003C2C05">
              <w:rPr>
                <w:rFonts w:eastAsia="Calibri"/>
                <w:color w:val="000000"/>
              </w:rPr>
              <w:t>273.6</w:t>
            </w:r>
          </w:p>
        </w:tc>
        <w:tc>
          <w:tcPr>
            <w:tcW w:w="1842" w:type="dxa"/>
            <w:tcBorders>
              <w:top w:val="single" w:sz="4" w:space="0" w:color="1B556B"/>
              <w:bottom w:val="single" w:sz="4" w:space="0" w:color="1B556B"/>
              <w:right w:val="single" w:sz="4" w:space="0" w:color="FFFFFF"/>
            </w:tcBorders>
            <w:shd w:val="clear" w:color="auto" w:fill="FFFFFF"/>
            <w:tcMar>
              <w:left w:w="108" w:type="dxa"/>
              <w:right w:w="108" w:type="dxa"/>
            </w:tcMar>
          </w:tcPr>
          <w:p w14:paraId="0F38C0FD" w14:textId="77777777" w:rsidR="00A76ADB" w:rsidRPr="00847046" w:rsidRDefault="00A76ADB" w:rsidP="00695BF4">
            <w:pPr>
              <w:pStyle w:val="TableText"/>
              <w:spacing w:before="40" w:after="40"/>
              <w:jc w:val="center"/>
              <w:rPr>
                <w:rFonts w:eastAsia="Calibri"/>
                <w:color w:val="000000"/>
              </w:rPr>
            </w:pPr>
            <w:r w:rsidRPr="003C2C05">
              <w:rPr>
                <w:rFonts w:eastAsia="Calibri"/>
                <w:color w:val="000000"/>
              </w:rPr>
              <w:t>60.9</w:t>
            </w:r>
          </w:p>
        </w:tc>
        <w:tc>
          <w:tcPr>
            <w:tcW w:w="1701" w:type="dxa"/>
            <w:tcBorders>
              <w:top w:val="single" w:sz="4" w:space="0" w:color="1B556B"/>
              <w:bottom w:val="single" w:sz="4" w:space="0" w:color="1B556B"/>
            </w:tcBorders>
            <w:shd w:val="clear" w:color="auto" w:fill="FFFFFF"/>
            <w:tcMar>
              <w:left w:w="108" w:type="dxa"/>
              <w:right w:w="108" w:type="dxa"/>
            </w:tcMar>
          </w:tcPr>
          <w:p w14:paraId="0F505F43" w14:textId="77777777" w:rsidR="00A76ADB" w:rsidRPr="00847046" w:rsidRDefault="00A76ADB" w:rsidP="00695BF4">
            <w:pPr>
              <w:pStyle w:val="TableText"/>
              <w:spacing w:before="40" w:after="40"/>
              <w:jc w:val="center"/>
              <w:rPr>
                <w:rFonts w:eastAsia="Calibri"/>
                <w:color w:val="000000"/>
              </w:rPr>
            </w:pPr>
            <w:r w:rsidRPr="003C2C05">
              <w:rPr>
                <w:rFonts w:eastAsia="Calibri"/>
                <w:color w:val="000000"/>
              </w:rPr>
              <w:t>28.7</w:t>
            </w:r>
          </w:p>
        </w:tc>
      </w:tr>
      <w:tr w:rsidR="00A76ADB" w14:paraId="4961469B" w14:textId="77777777" w:rsidTr="00C158D3">
        <w:trPr>
          <w:cantSplit/>
          <w:trHeight w:val="283"/>
        </w:trPr>
        <w:tc>
          <w:tcPr>
            <w:tcW w:w="2410" w:type="dxa"/>
            <w:tcBorders>
              <w:top w:val="single" w:sz="4" w:space="0" w:color="1B556B"/>
              <w:bottom w:val="single" w:sz="4" w:space="0" w:color="1B556B"/>
            </w:tcBorders>
            <w:shd w:val="clear" w:color="auto" w:fill="FFFFFF"/>
            <w:tcMar>
              <w:top w:w="0" w:type="dxa"/>
              <w:left w:w="108" w:type="dxa"/>
              <w:bottom w:w="0" w:type="dxa"/>
              <w:right w:w="108" w:type="dxa"/>
            </w:tcMar>
          </w:tcPr>
          <w:p w14:paraId="119D4DE0" w14:textId="77777777" w:rsidR="00A76ADB" w:rsidRPr="00847046" w:rsidRDefault="00A76ADB" w:rsidP="00695BF4">
            <w:pPr>
              <w:pStyle w:val="TableText"/>
              <w:spacing w:before="40" w:after="40"/>
              <w:rPr>
                <w:rFonts w:eastAsia="Calibri"/>
                <w:color w:val="000000"/>
              </w:rPr>
            </w:pPr>
            <w:r w:rsidRPr="00326001">
              <w:rPr>
                <w:rFonts w:eastAsia="Calibri"/>
                <w:color w:val="000000"/>
              </w:rPr>
              <w:t>Industrial wastewater (5.D.2)</w:t>
            </w:r>
          </w:p>
        </w:tc>
        <w:tc>
          <w:tcPr>
            <w:tcW w:w="1276" w:type="dxa"/>
            <w:tcBorders>
              <w:top w:val="single" w:sz="4" w:space="0" w:color="1B556B"/>
              <w:bottom w:val="single" w:sz="4" w:space="0" w:color="1B556B"/>
            </w:tcBorders>
            <w:shd w:val="clear" w:color="auto" w:fill="FFFFFF"/>
            <w:tcMar>
              <w:top w:w="0" w:type="dxa"/>
              <w:left w:w="108" w:type="dxa"/>
              <w:bottom w:w="0" w:type="dxa"/>
              <w:right w:w="108" w:type="dxa"/>
            </w:tcMar>
          </w:tcPr>
          <w:p w14:paraId="5AC13B9A" w14:textId="77777777" w:rsidR="00A76ADB" w:rsidRPr="00847046" w:rsidRDefault="00A76ADB" w:rsidP="00695BF4">
            <w:pPr>
              <w:pStyle w:val="TableText"/>
              <w:spacing w:before="40" w:after="40"/>
              <w:jc w:val="center"/>
              <w:rPr>
                <w:rFonts w:eastAsia="Calibri"/>
                <w:color w:val="000000"/>
              </w:rPr>
            </w:pPr>
            <w:r w:rsidRPr="003C2C05">
              <w:rPr>
                <w:rFonts w:eastAsia="Calibri"/>
                <w:color w:val="000000"/>
              </w:rPr>
              <w:t>91.9</w:t>
            </w:r>
          </w:p>
        </w:tc>
        <w:tc>
          <w:tcPr>
            <w:tcW w:w="1276" w:type="dxa"/>
            <w:tcBorders>
              <w:top w:val="single" w:sz="4" w:space="0" w:color="1B556B"/>
              <w:bottom w:val="single" w:sz="4" w:space="0" w:color="1B556B"/>
              <w:right w:val="single" w:sz="4" w:space="0" w:color="FFFFFF"/>
            </w:tcBorders>
            <w:shd w:val="clear" w:color="auto" w:fill="FFFFFF"/>
            <w:tcMar>
              <w:top w:w="0" w:type="dxa"/>
              <w:left w:w="108" w:type="dxa"/>
              <w:bottom w:w="0" w:type="dxa"/>
              <w:right w:w="108" w:type="dxa"/>
            </w:tcMar>
          </w:tcPr>
          <w:p w14:paraId="421869BF" w14:textId="77777777" w:rsidR="00A76ADB" w:rsidRPr="00847046" w:rsidRDefault="00A76ADB" w:rsidP="00695BF4">
            <w:pPr>
              <w:pStyle w:val="TableText"/>
              <w:spacing w:before="40" w:after="40"/>
              <w:jc w:val="center"/>
              <w:rPr>
                <w:rFonts w:eastAsia="Calibri"/>
                <w:color w:val="000000"/>
              </w:rPr>
            </w:pPr>
            <w:r w:rsidRPr="003C2C05">
              <w:rPr>
                <w:rFonts w:eastAsia="Calibri"/>
                <w:color w:val="000000"/>
              </w:rPr>
              <w:t>103.8</w:t>
            </w:r>
          </w:p>
        </w:tc>
        <w:tc>
          <w:tcPr>
            <w:tcW w:w="1842" w:type="dxa"/>
            <w:tcBorders>
              <w:top w:val="single" w:sz="4" w:space="0" w:color="1B556B"/>
              <w:bottom w:val="single" w:sz="4" w:space="0" w:color="1B556B"/>
              <w:right w:val="single" w:sz="4" w:space="0" w:color="FFFFFF"/>
            </w:tcBorders>
            <w:shd w:val="clear" w:color="auto" w:fill="FFFFFF"/>
            <w:tcMar>
              <w:left w:w="108" w:type="dxa"/>
              <w:right w:w="108" w:type="dxa"/>
            </w:tcMar>
          </w:tcPr>
          <w:p w14:paraId="3D9DA652" w14:textId="77777777" w:rsidR="00A76ADB" w:rsidRDefault="00A76ADB" w:rsidP="00695BF4">
            <w:pPr>
              <w:pStyle w:val="TableText"/>
              <w:spacing w:before="40" w:after="40"/>
              <w:jc w:val="center"/>
              <w:rPr>
                <w:rFonts w:eastAsia="Calibri"/>
                <w:color w:val="000000"/>
              </w:rPr>
            </w:pPr>
            <w:r w:rsidRPr="003C2C05">
              <w:rPr>
                <w:rFonts w:eastAsia="Calibri"/>
                <w:color w:val="000000"/>
              </w:rPr>
              <w:t>11.9</w:t>
            </w:r>
          </w:p>
        </w:tc>
        <w:tc>
          <w:tcPr>
            <w:tcW w:w="1701" w:type="dxa"/>
            <w:tcBorders>
              <w:top w:val="single" w:sz="4" w:space="0" w:color="1B556B"/>
              <w:bottom w:val="single" w:sz="4" w:space="0" w:color="1B556B"/>
            </w:tcBorders>
            <w:shd w:val="clear" w:color="auto" w:fill="FFFFFF"/>
            <w:tcMar>
              <w:left w:w="108" w:type="dxa"/>
              <w:right w:w="108" w:type="dxa"/>
            </w:tcMar>
          </w:tcPr>
          <w:p w14:paraId="64025AC6" w14:textId="77777777" w:rsidR="00A76ADB" w:rsidRDefault="00A76ADB" w:rsidP="00695BF4">
            <w:pPr>
              <w:pStyle w:val="TableText"/>
              <w:spacing w:before="40" w:after="40"/>
              <w:jc w:val="center"/>
              <w:rPr>
                <w:rFonts w:eastAsia="Calibri"/>
                <w:color w:val="000000"/>
              </w:rPr>
            </w:pPr>
            <w:r w:rsidRPr="003C2C05">
              <w:rPr>
                <w:rFonts w:eastAsia="Calibri"/>
                <w:color w:val="000000"/>
              </w:rPr>
              <w:t>13.0</w:t>
            </w:r>
          </w:p>
        </w:tc>
      </w:tr>
      <w:tr w:rsidR="00A76ADB" w:rsidRPr="001412D7" w14:paraId="5796DCB8" w14:textId="77777777" w:rsidTr="00C158D3">
        <w:trPr>
          <w:cantSplit/>
          <w:trHeight w:val="283"/>
        </w:trPr>
        <w:tc>
          <w:tcPr>
            <w:tcW w:w="2410" w:type="dxa"/>
            <w:tcBorders>
              <w:top w:val="single" w:sz="4" w:space="0" w:color="1B556B"/>
              <w:bottom w:val="single" w:sz="4" w:space="0" w:color="1B556B"/>
            </w:tcBorders>
            <w:shd w:val="clear" w:color="auto" w:fill="FFFFFF"/>
            <w:tcMar>
              <w:top w:w="0" w:type="dxa"/>
              <w:left w:w="108" w:type="dxa"/>
              <w:bottom w:w="0" w:type="dxa"/>
              <w:right w:w="108" w:type="dxa"/>
            </w:tcMar>
          </w:tcPr>
          <w:p w14:paraId="33DE78A2" w14:textId="77777777" w:rsidR="00A76ADB" w:rsidRPr="001412D7" w:rsidRDefault="00A76ADB" w:rsidP="00695BF4">
            <w:pPr>
              <w:pStyle w:val="Tableboldblue"/>
              <w:spacing w:before="40" w:after="40"/>
              <w:rPr>
                <w:rFonts w:eastAsia="Calibri"/>
              </w:rPr>
            </w:pPr>
            <w:r w:rsidRPr="001412D7">
              <w:rPr>
                <w:rFonts w:eastAsia="Calibri"/>
              </w:rPr>
              <w:t>Total (5.D)</w:t>
            </w:r>
          </w:p>
        </w:tc>
        <w:tc>
          <w:tcPr>
            <w:tcW w:w="1276" w:type="dxa"/>
            <w:tcBorders>
              <w:top w:val="single" w:sz="4" w:space="0" w:color="1B556B"/>
              <w:bottom w:val="single" w:sz="4" w:space="0" w:color="1B556B"/>
            </w:tcBorders>
            <w:shd w:val="clear" w:color="auto" w:fill="FFFFFF"/>
            <w:tcMar>
              <w:top w:w="0" w:type="dxa"/>
              <w:left w:w="108" w:type="dxa"/>
              <w:bottom w:w="0" w:type="dxa"/>
              <w:right w:w="108" w:type="dxa"/>
            </w:tcMar>
          </w:tcPr>
          <w:p w14:paraId="78C6ADE6" w14:textId="77777777" w:rsidR="00A76ADB" w:rsidRPr="001412D7" w:rsidRDefault="00A76ADB" w:rsidP="00695BF4">
            <w:pPr>
              <w:pStyle w:val="Tableboldblue"/>
              <w:spacing w:before="40" w:after="40"/>
              <w:jc w:val="center"/>
              <w:rPr>
                <w:rFonts w:eastAsia="Calibri"/>
              </w:rPr>
            </w:pPr>
            <w:r w:rsidRPr="001412D7">
              <w:rPr>
                <w:rFonts w:eastAsia="Calibri"/>
              </w:rPr>
              <w:t>304.5</w:t>
            </w:r>
          </w:p>
        </w:tc>
        <w:tc>
          <w:tcPr>
            <w:tcW w:w="1276" w:type="dxa"/>
            <w:tcBorders>
              <w:top w:val="single" w:sz="4" w:space="0" w:color="1B556B"/>
              <w:bottom w:val="single" w:sz="4" w:space="0" w:color="1B556B"/>
              <w:right w:val="single" w:sz="4" w:space="0" w:color="FFFFFF"/>
            </w:tcBorders>
            <w:shd w:val="clear" w:color="auto" w:fill="FFFFFF"/>
            <w:tcMar>
              <w:top w:w="0" w:type="dxa"/>
              <w:left w:w="108" w:type="dxa"/>
              <w:bottom w:w="0" w:type="dxa"/>
              <w:right w:w="108" w:type="dxa"/>
            </w:tcMar>
          </w:tcPr>
          <w:p w14:paraId="790A4298" w14:textId="77777777" w:rsidR="00A76ADB" w:rsidRPr="001412D7" w:rsidRDefault="00A76ADB" w:rsidP="00695BF4">
            <w:pPr>
              <w:pStyle w:val="Tableboldblue"/>
              <w:spacing w:before="40" w:after="40"/>
              <w:jc w:val="center"/>
              <w:rPr>
                <w:rFonts w:eastAsia="Calibri"/>
              </w:rPr>
            </w:pPr>
            <w:r w:rsidRPr="001412D7">
              <w:rPr>
                <w:rFonts w:eastAsia="Calibri"/>
              </w:rPr>
              <w:t>377.4</w:t>
            </w:r>
          </w:p>
        </w:tc>
        <w:tc>
          <w:tcPr>
            <w:tcW w:w="1842" w:type="dxa"/>
            <w:tcBorders>
              <w:top w:val="single" w:sz="4" w:space="0" w:color="1B556B"/>
              <w:bottom w:val="single" w:sz="4" w:space="0" w:color="1B556B"/>
              <w:right w:val="single" w:sz="4" w:space="0" w:color="FFFFFF"/>
            </w:tcBorders>
            <w:shd w:val="clear" w:color="auto" w:fill="FFFFFF"/>
            <w:tcMar>
              <w:left w:w="108" w:type="dxa"/>
              <w:right w:w="108" w:type="dxa"/>
            </w:tcMar>
          </w:tcPr>
          <w:p w14:paraId="19A9ACBE" w14:textId="77777777" w:rsidR="00A76ADB" w:rsidRPr="001412D7" w:rsidRDefault="00A76ADB" w:rsidP="00695BF4">
            <w:pPr>
              <w:pStyle w:val="Tableboldblue"/>
              <w:spacing w:before="40" w:after="40"/>
              <w:jc w:val="center"/>
              <w:rPr>
                <w:rFonts w:eastAsia="Calibri"/>
              </w:rPr>
            </w:pPr>
            <w:r w:rsidRPr="001412D7">
              <w:rPr>
                <w:rFonts w:eastAsia="Calibri"/>
              </w:rPr>
              <w:t>72.9</w:t>
            </w:r>
          </w:p>
        </w:tc>
        <w:tc>
          <w:tcPr>
            <w:tcW w:w="1701" w:type="dxa"/>
            <w:tcBorders>
              <w:top w:val="single" w:sz="4" w:space="0" w:color="1B556B"/>
              <w:bottom w:val="single" w:sz="4" w:space="0" w:color="1B556B"/>
            </w:tcBorders>
            <w:shd w:val="clear" w:color="auto" w:fill="FFFFFF"/>
            <w:tcMar>
              <w:left w:w="108" w:type="dxa"/>
              <w:right w:w="108" w:type="dxa"/>
            </w:tcMar>
          </w:tcPr>
          <w:p w14:paraId="1D54C1AD" w14:textId="77777777" w:rsidR="00A76ADB" w:rsidRPr="001412D7" w:rsidRDefault="00A76ADB" w:rsidP="00695BF4">
            <w:pPr>
              <w:pStyle w:val="Tableboldblue"/>
              <w:spacing w:before="40" w:after="40"/>
              <w:jc w:val="center"/>
              <w:rPr>
                <w:rFonts w:eastAsia="Calibri"/>
              </w:rPr>
            </w:pPr>
            <w:r w:rsidRPr="001412D7">
              <w:rPr>
                <w:rFonts w:eastAsia="Calibri"/>
              </w:rPr>
              <w:t>23.9</w:t>
            </w:r>
          </w:p>
        </w:tc>
      </w:tr>
    </w:tbl>
    <w:p w14:paraId="519E54A3" w14:textId="77777777" w:rsidR="00A76ADB" w:rsidRDefault="00A76ADB" w:rsidP="00A76ADB">
      <w:pPr>
        <w:pStyle w:val="Noteundertable"/>
      </w:pPr>
      <w:r>
        <w:rPr>
          <w:b/>
          <w:bCs/>
        </w:rPr>
        <w:t>Note:</w:t>
      </w:r>
      <w:r w:rsidRPr="001515DA">
        <w:t xml:space="preserve"> </w:t>
      </w:r>
      <w:r>
        <w:tab/>
        <w:t xml:space="preserve">Percentages </w:t>
      </w:r>
      <w:r w:rsidRPr="00F45E80">
        <w:t>presented</w:t>
      </w:r>
      <w:r>
        <w:t xml:space="preserve"> are calculated from unrounded values.</w:t>
      </w:r>
    </w:p>
    <w:p w14:paraId="4221CA3B" w14:textId="77777777" w:rsidR="00A76ADB" w:rsidRDefault="00A76ADB" w:rsidP="00A76ADB">
      <w:pPr>
        <w:pStyle w:val="BodyText"/>
      </w:pPr>
      <w:r>
        <w:t xml:space="preserve">Methane emissions from the </w:t>
      </w:r>
      <w:r>
        <w:rPr>
          <w:i/>
          <w:iCs/>
        </w:rPr>
        <w:t>Wastewater treatment and discharge</w:t>
      </w:r>
      <w:r>
        <w:t xml:space="preserve"> source category were identified as a key category in the </w:t>
      </w:r>
      <w:r w:rsidRPr="00246F01">
        <w:t>2020</w:t>
      </w:r>
      <w:r>
        <w:t xml:space="preserve"> level assessment.</w:t>
      </w:r>
    </w:p>
    <w:p w14:paraId="25580B2F" w14:textId="77777777" w:rsidR="00A76ADB" w:rsidRDefault="00A76ADB" w:rsidP="00A76ADB">
      <w:pPr>
        <w:pStyle w:val="Heading4"/>
      </w:pPr>
      <w:bookmarkStart w:id="2427" w:name="domestic-wastewater-5.d.1"/>
      <w:r>
        <w:t>Domestic wastewater (5.D.1)</w:t>
      </w:r>
    </w:p>
    <w:p w14:paraId="3DB1C412" w14:textId="77777777" w:rsidR="00A76ADB" w:rsidRDefault="00A76ADB" w:rsidP="00A76ADB">
      <w:pPr>
        <w:pStyle w:val="BodyText"/>
      </w:pPr>
      <w:r>
        <w:t>Wastewater from almost every town in New Zealand with a population over 1,000 is collected and treated in community wastewater treatment plants. There are approximately 317 municipal wastewater treatment plants in New Zealand and around a further 50 government or privately owned treatment plants serving populations of more than 100 people (SCS Wetherill Environmental, unpublished).</w:t>
      </w:r>
    </w:p>
    <w:p w14:paraId="67BBB0A4" w14:textId="77777777" w:rsidR="00A76ADB" w:rsidRDefault="00A76ADB" w:rsidP="00A76ADB">
      <w:pPr>
        <w:pStyle w:val="BodyText"/>
      </w:pPr>
      <w:r>
        <w:t>Although most of the wastewater treatment processes are aerobic, a significant number of wastewater treatment plants use partially anaerobic processes, such as oxidation ponds or septic tanks. Small communities and individual rural dwellings are served mainly by simple septic tanks. While the part of the population using septic tanks is small compared with the national population, this treatment type produces the most CH</w:t>
      </w:r>
      <w:r>
        <w:rPr>
          <w:vertAlign w:val="subscript"/>
        </w:rPr>
        <w:t>4</w:t>
      </w:r>
      <w:r>
        <w:t xml:space="preserve"> emissions from domestic wastewater. This is because emissions from other treatment types are small or the CH</w:t>
      </w:r>
      <w:r>
        <w:rPr>
          <w:vertAlign w:val="subscript"/>
        </w:rPr>
        <w:t>4</w:t>
      </w:r>
      <w:r>
        <w:t xml:space="preserve"> is destroyed.</w:t>
      </w:r>
    </w:p>
    <w:p w14:paraId="26747612" w14:textId="77777777" w:rsidR="00A76ADB" w:rsidRDefault="00A76ADB" w:rsidP="00A76ADB">
      <w:pPr>
        <w:pStyle w:val="Heading4"/>
      </w:pPr>
      <w:bookmarkStart w:id="2428" w:name="industrial-wastewater-5.d.2"/>
      <w:bookmarkEnd w:id="2427"/>
      <w:r>
        <w:lastRenderedPageBreak/>
        <w:t>Industrial wastewater (5.D.2)</w:t>
      </w:r>
    </w:p>
    <w:p w14:paraId="5CE258FE" w14:textId="77777777" w:rsidR="00A76ADB" w:rsidRDefault="00A76ADB" w:rsidP="00A76ADB">
      <w:pPr>
        <w:pStyle w:val="BodyText"/>
      </w:pPr>
      <w:r>
        <w:t>The major sources of industrial wastewater in New Zealand are the meat and the pulp and paper industries. Most of the industrial wastewater treatment is aerobic, and most of the CH</w:t>
      </w:r>
      <w:r>
        <w:rPr>
          <w:vertAlign w:val="subscript"/>
        </w:rPr>
        <w:t>4</w:t>
      </w:r>
      <w:r>
        <w:t> generated from anaerobic treatment is flared.</w:t>
      </w:r>
    </w:p>
    <w:p w14:paraId="727CFAE9" w14:textId="26ADE2E3" w:rsidR="00A76ADB" w:rsidRDefault="00A76ADB" w:rsidP="00A76ADB">
      <w:pPr>
        <w:pStyle w:val="BodyText"/>
      </w:pPr>
      <w:r>
        <w:t xml:space="preserve">In June 2015, the methodologies and input data used to calculate the industrial wastewater emissions were reviewed, to capture any changes in industry activity and ensure current best practice and knowledge were reflected (Cardno, </w:t>
      </w:r>
      <w:r w:rsidR="002B2B29">
        <w:t>2015</w:t>
      </w:r>
      <w:r>
        <w:t>). This is discussed further under section 7.5.2.</w:t>
      </w:r>
    </w:p>
    <w:bookmarkEnd w:id="2425"/>
    <w:bookmarkEnd w:id="2428"/>
    <w:p w14:paraId="3FB2B967" w14:textId="77777777" w:rsidR="00A76ADB" w:rsidRDefault="00A76ADB" w:rsidP="00A76ADB">
      <w:pPr>
        <w:pStyle w:val="Heading3"/>
      </w:pPr>
      <w:r>
        <w:t xml:space="preserve">7.5.2 </w:t>
      </w:r>
      <w:r>
        <w:tab/>
        <w:t>Methodological issues</w:t>
      </w:r>
    </w:p>
    <w:p w14:paraId="467F6887" w14:textId="77777777" w:rsidR="00A76ADB" w:rsidRDefault="00A76ADB" w:rsidP="00A76ADB">
      <w:pPr>
        <w:pStyle w:val="Heading4"/>
      </w:pPr>
      <w:r>
        <w:t>Choice of activity data</w:t>
      </w:r>
    </w:p>
    <w:p w14:paraId="20D9E128" w14:textId="77777777" w:rsidR="00A76ADB" w:rsidRDefault="00A76ADB" w:rsidP="00A76ADB">
      <w:pPr>
        <w:pStyle w:val="Heading5"/>
      </w:pPr>
      <w:bookmarkStart w:id="2429" w:name="domestic-wastewater-5.d.1-1"/>
      <w:r>
        <w:t>Domestic wastewater (5.D.1)</w:t>
      </w:r>
    </w:p>
    <w:p w14:paraId="619F7466" w14:textId="77777777" w:rsidR="00A76ADB" w:rsidRDefault="00A76ADB" w:rsidP="00A76ADB">
      <w:pPr>
        <w:pStyle w:val="BodyText"/>
      </w:pPr>
      <w:r>
        <w:t>Estimates for CH</w:t>
      </w:r>
      <w:r>
        <w:rPr>
          <w:vertAlign w:val="subscript"/>
        </w:rPr>
        <w:t>4</w:t>
      </w:r>
      <w:r>
        <w:t xml:space="preserve"> emissions are derived from combining the population connected to each treatment plant in New Zealand with the treatment methods for each plant (Beca Infrastructure Ltd, unpublished).</w:t>
      </w:r>
    </w:p>
    <w:p w14:paraId="3D416816" w14:textId="77777777" w:rsidR="00A76ADB" w:rsidRDefault="00A76ADB" w:rsidP="00A76ADB">
      <w:pPr>
        <w:pStyle w:val="BodyText"/>
      </w:pPr>
      <w:r>
        <w:t xml:space="preserve">The population using each municipal treatment plant and an estimation of the population using septic tanks were determined (Beca Infrastructure Ltd, unpublished; SCS Wetherill Environmental, unpublished). Emissions from the wastewater treatment plants are calculated for 1997, 2001, 2006 and every year from 2013 onwards. Emissions from the years before 1997 are calculated based on a fixed aggregate </w:t>
      </w:r>
      <w:r>
        <w:rPr>
          <w:i/>
          <w:iCs/>
        </w:rPr>
        <w:t>methane correction factor</w:t>
      </w:r>
      <w:r>
        <w:t xml:space="preserve"> from 1997. Emissions from the remaining years are interpolated.</w:t>
      </w:r>
    </w:p>
    <w:p w14:paraId="1142F793" w14:textId="77777777" w:rsidR="00A76ADB" w:rsidRDefault="00A76ADB" w:rsidP="00A76ADB">
      <w:pPr>
        <w:pStyle w:val="BodyText"/>
      </w:pPr>
      <w:r>
        <w:t xml:space="preserve">Emissions are proportional to the population treated by each plant, and population data are updated based on the population growth rate of the district in which the plant is located, using the latest population data. This information is obtained from Stats NZ. For intermediate years, data are interpolated. Years before 1997 are driven by national population growth using the </w:t>
      </w:r>
      <w:r>
        <w:rPr>
          <w:i/>
          <w:iCs/>
        </w:rPr>
        <w:t>methane correction factor</w:t>
      </w:r>
      <w:r>
        <w:t xml:space="preserve"> from 1997.</w:t>
      </w:r>
    </w:p>
    <w:p w14:paraId="5120853D" w14:textId="77777777" w:rsidR="00A76ADB" w:rsidRDefault="00A76ADB" w:rsidP="00A76ADB">
      <w:pPr>
        <w:pStyle w:val="BodyText"/>
      </w:pPr>
      <w:r>
        <w:t xml:space="preserve">In </w:t>
      </w:r>
      <w:r w:rsidRPr="00246F01">
        <w:t>2020</w:t>
      </w:r>
      <w:r>
        <w:t xml:space="preserve">, the total population connected to treatment plants was estimated to be about 4 million. The connected population excludes people connected to rural septic tanks, estimated at 498,000 people in </w:t>
      </w:r>
      <w:r w:rsidRPr="00246F01">
        <w:t>2020</w:t>
      </w:r>
      <w:r>
        <w:t>, and approximately 55,000 people using other aerobic plants. A remaining population of 456,000 people is not accounted for, which is a result of incomplete data on the wastewater treatment plants in New Zealand and the populations connected to each of these plants being estimated. To account for emissions from the remaining population, CH</w:t>
      </w:r>
      <w:r>
        <w:rPr>
          <w:vertAlign w:val="subscript"/>
        </w:rPr>
        <w:t>4</w:t>
      </w:r>
      <w:r>
        <w:t xml:space="preserve"> emissions for the </w:t>
      </w:r>
      <w:r>
        <w:rPr>
          <w:i/>
          <w:iCs/>
        </w:rPr>
        <w:t>Domestic wastewater</w:t>
      </w:r>
      <w:r>
        <w:t xml:space="preserve"> source category were scaled up proportionately based on the population for which emissions are known. An assumption is made to apply the average wastewater treatment method for this otherwise unaccounted-for population.</w:t>
      </w:r>
    </w:p>
    <w:p w14:paraId="67A44FE5" w14:textId="77777777" w:rsidR="00A76ADB" w:rsidRDefault="00A76ADB" w:rsidP="00A76ADB">
      <w:pPr>
        <w:pStyle w:val="BodyText"/>
      </w:pPr>
      <w:r>
        <w:t>Indirect N</w:t>
      </w:r>
      <w:r>
        <w:rPr>
          <w:vertAlign w:val="subscript"/>
        </w:rPr>
        <w:t>2</w:t>
      </w:r>
      <w:r>
        <w:t>O emissions from the disposal of treated domestic wastewater are estimated using per capita protein consumption and national population estimates, less the population using septic tanks because there is no liquid effluent from septic tanks. Activity data for domestic wastewater are reported in table 7.5.2. Also included in table 7.5.2 is an aggregate CH</w:t>
      </w:r>
      <w:r>
        <w:rPr>
          <w:vertAlign w:val="subscript"/>
        </w:rPr>
        <w:t>4</w:t>
      </w:r>
      <w:r>
        <w:t xml:space="preserve"> correction factor that is determined by the sum of the CH</w:t>
      </w:r>
      <w:r>
        <w:rPr>
          <w:vertAlign w:val="subscript"/>
        </w:rPr>
        <w:t>4</w:t>
      </w:r>
      <w:r>
        <w:t xml:space="preserve"> correction factor for various treatment types, weighted by the population served by each type.</w:t>
      </w:r>
    </w:p>
    <w:p w14:paraId="259A031F" w14:textId="77777777" w:rsidR="00A76ADB" w:rsidRDefault="00A76ADB" w:rsidP="00A76ADB">
      <w:pPr>
        <w:pStyle w:val="Table"/>
      </w:pPr>
      <w:bookmarkStart w:id="2430" w:name="_Toc99659341"/>
      <w:r>
        <w:lastRenderedPageBreak/>
        <w:t>Table 7.5.2</w:t>
      </w:r>
      <w:r>
        <w:tab/>
        <w:t>Activity data and key factors for domestic wastewater from 1990 to 2020</w:t>
      </w:r>
      <w:bookmarkEnd w:id="2430"/>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66"/>
        <w:gridCol w:w="1620"/>
        <w:gridCol w:w="2796"/>
        <w:gridCol w:w="3523"/>
      </w:tblGrid>
      <w:tr w:rsidR="00A76ADB" w:rsidRPr="006C0D1B" w14:paraId="1B0AA0F9" w14:textId="77777777" w:rsidTr="00CF7215">
        <w:trPr>
          <w:cantSplit/>
          <w:tblHeader/>
        </w:trPr>
        <w:tc>
          <w:tcPr>
            <w:tcW w:w="0" w:type="auto"/>
            <w:shd w:val="clear" w:color="auto" w:fill="1B556B"/>
            <w:tcMar>
              <w:top w:w="0" w:type="dxa"/>
              <w:left w:w="108" w:type="dxa"/>
              <w:bottom w:w="0" w:type="dxa"/>
              <w:right w:w="108" w:type="dxa"/>
            </w:tcMar>
            <w:vAlign w:val="center"/>
          </w:tcPr>
          <w:p w14:paraId="20768A90" w14:textId="77777777" w:rsidR="00A76ADB" w:rsidRPr="006C0D1B" w:rsidRDefault="00A76ADB" w:rsidP="007E3239">
            <w:pPr>
              <w:pStyle w:val="TableTextBold"/>
              <w:spacing w:before="40" w:after="50"/>
              <w:jc w:val="both"/>
              <w:rPr>
                <w:rFonts w:cs="Calibri"/>
                <w:color w:val="FFFFFF"/>
                <w:szCs w:val="16"/>
              </w:rPr>
            </w:pPr>
            <w:r w:rsidRPr="006C0D1B">
              <w:rPr>
                <w:rFonts w:eastAsia="Calibri" w:cs="Calibri"/>
                <w:color w:val="FFFFFF"/>
                <w:szCs w:val="16"/>
              </w:rPr>
              <w:t>Year</w:t>
            </w:r>
          </w:p>
        </w:tc>
        <w:tc>
          <w:tcPr>
            <w:tcW w:w="0" w:type="auto"/>
            <w:shd w:val="clear" w:color="auto" w:fill="1B556B"/>
            <w:tcMar>
              <w:top w:w="0" w:type="dxa"/>
              <w:left w:w="108" w:type="dxa"/>
              <w:bottom w:w="0" w:type="dxa"/>
              <w:right w:w="108" w:type="dxa"/>
            </w:tcMar>
            <w:vAlign w:val="center"/>
          </w:tcPr>
          <w:p w14:paraId="7EAE8908" w14:textId="77777777" w:rsidR="00A76ADB" w:rsidRPr="006C0D1B" w:rsidRDefault="00A76ADB" w:rsidP="007E3239">
            <w:pPr>
              <w:pStyle w:val="TableTextBold"/>
              <w:spacing w:before="40" w:after="50"/>
              <w:jc w:val="center"/>
              <w:rPr>
                <w:rFonts w:cs="Calibri"/>
                <w:color w:val="FFFFFF"/>
                <w:szCs w:val="16"/>
              </w:rPr>
            </w:pPr>
            <w:r w:rsidRPr="006C0D1B">
              <w:rPr>
                <w:rFonts w:eastAsia="Calibri" w:cs="Calibri"/>
                <w:color w:val="FFFFFF"/>
                <w:szCs w:val="16"/>
              </w:rPr>
              <w:t>National population</w:t>
            </w:r>
          </w:p>
        </w:tc>
        <w:tc>
          <w:tcPr>
            <w:tcW w:w="0" w:type="auto"/>
            <w:shd w:val="clear" w:color="auto" w:fill="1B556B"/>
            <w:tcMar>
              <w:top w:w="0" w:type="dxa"/>
              <w:left w:w="108" w:type="dxa"/>
              <w:bottom w:w="0" w:type="dxa"/>
              <w:right w:w="108" w:type="dxa"/>
            </w:tcMar>
            <w:vAlign w:val="center"/>
          </w:tcPr>
          <w:p w14:paraId="08CBE621" w14:textId="77777777" w:rsidR="00A76ADB" w:rsidRPr="006C0D1B" w:rsidRDefault="00A76ADB" w:rsidP="007E3239">
            <w:pPr>
              <w:pStyle w:val="TableTextBold"/>
              <w:spacing w:before="40" w:after="50"/>
              <w:jc w:val="center"/>
              <w:rPr>
                <w:rFonts w:cs="Calibri"/>
                <w:color w:val="FFFFFF"/>
                <w:szCs w:val="16"/>
              </w:rPr>
            </w:pPr>
            <w:r w:rsidRPr="006C0D1B">
              <w:rPr>
                <w:rFonts w:eastAsia="Calibri" w:cs="Calibri"/>
                <w:color w:val="FFFFFF"/>
                <w:szCs w:val="16"/>
              </w:rPr>
              <w:t>Aggregate methane correction factor</w:t>
            </w:r>
          </w:p>
        </w:tc>
        <w:tc>
          <w:tcPr>
            <w:tcW w:w="0" w:type="auto"/>
            <w:shd w:val="clear" w:color="auto" w:fill="1B556B"/>
            <w:tcMar>
              <w:top w:w="0" w:type="dxa"/>
              <w:left w:w="108" w:type="dxa"/>
              <w:bottom w:w="0" w:type="dxa"/>
              <w:right w:w="108" w:type="dxa"/>
            </w:tcMar>
            <w:vAlign w:val="center"/>
          </w:tcPr>
          <w:p w14:paraId="11483AF6" w14:textId="77777777" w:rsidR="00A76ADB" w:rsidRPr="006C0D1B" w:rsidRDefault="00A76ADB" w:rsidP="007E3239">
            <w:pPr>
              <w:pStyle w:val="TableTextBold"/>
              <w:spacing w:before="40" w:after="50"/>
              <w:jc w:val="center"/>
              <w:rPr>
                <w:rFonts w:cs="Calibri"/>
                <w:color w:val="FFFFFF"/>
                <w:szCs w:val="16"/>
              </w:rPr>
            </w:pPr>
            <w:r w:rsidRPr="006C0D1B">
              <w:rPr>
                <w:rFonts w:eastAsia="Calibri" w:cs="Calibri"/>
                <w:color w:val="FFFFFF"/>
                <w:szCs w:val="16"/>
              </w:rPr>
              <w:t>Domestic wastewater total organic product (kt)</w:t>
            </w:r>
          </w:p>
        </w:tc>
      </w:tr>
      <w:tr w:rsidR="00A76ADB" w:rsidRPr="00713999" w14:paraId="2E11469C" w14:textId="77777777" w:rsidTr="00CF7215">
        <w:trPr>
          <w:cantSplit/>
          <w:trHeight w:val="283"/>
        </w:trPr>
        <w:tc>
          <w:tcPr>
            <w:tcW w:w="0" w:type="auto"/>
            <w:shd w:val="clear" w:color="auto" w:fill="FFFFFF"/>
            <w:tcMar>
              <w:top w:w="0" w:type="dxa"/>
              <w:left w:w="108" w:type="dxa"/>
              <w:bottom w:w="0" w:type="dxa"/>
              <w:right w:w="108" w:type="dxa"/>
            </w:tcMar>
            <w:vAlign w:val="center"/>
          </w:tcPr>
          <w:p w14:paraId="01CE2D61"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1990</w:t>
            </w:r>
          </w:p>
        </w:tc>
        <w:tc>
          <w:tcPr>
            <w:tcW w:w="0" w:type="auto"/>
            <w:shd w:val="clear" w:color="auto" w:fill="FFFFFF"/>
            <w:tcMar>
              <w:top w:w="0" w:type="dxa"/>
              <w:left w:w="108" w:type="dxa"/>
              <w:bottom w:w="0" w:type="dxa"/>
              <w:right w:w="108" w:type="dxa"/>
            </w:tcMar>
            <w:vAlign w:val="center"/>
          </w:tcPr>
          <w:p w14:paraId="5DAF8933"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3,410,400</w:t>
            </w:r>
          </w:p>
        </w:tc>
        <w:tc>
          <w:tcPr>
            <w:tcW w:w="0" w:type="auto"/>
            <w:shd w:val="clear" w:color="auto" w:fill="FFFFFF"/>
            <w:tcMar>
              <w:top w:w="0" w:type="dxa"/>
              <w:left w:w="108" w:type="dxa"/>
              <w:bottom w:w="0" w:type="dxa"/>
              <w:right w:w="108" w:type="dxa"/>
            </w:tcMar>
            <w:vAlign w:val="center"/>
          </w:tcPr>
          <w:p w14:paraId="322F54C1"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Same as 1997</w:t>
            </w:r>
          </w:p>
        </w:tc>
        <w:tc>
          <w:tcPr>
            <w:tcW w:w="0" w:type="auto"/>
            <w:shd w:val="clear" w:color="auto" w:fill="FFFFFF"/>
            <w:tcMar>
              <w:top w:w="0" w:type="dxa"/>
              <w:left w:w="108" w:type="dxa"/>
              <w:bottom w:w="0" w:type="dxa"/>
              <w:right w:w="108" w:type="dxa"/>
            </w:tcMar>
            <w:vAlign w:val="center"/>
          </w:tcPr>
          <w:p w14:paraId="5CD337D1"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137.5</w:t>
            </w:r>
          </w:p>
        </w:tc>
      </w:tr>
      <w:tr w:rsidR="00A76ADB" w:rsidRPr="00713999" w14:paraId="6AB4BB90" w14:textId="77777777" w:rsidTr="00CF7215">
        <w:trPr>
          <w:cantSplit/>
          <w:trHeight w:val="283"/>
        </w:trPr>
        <w:tc>
          <w:tcPr>
            <w:tcW w:w="0" w:type="auto"/>
            <w:shd w:val="clear" w:color="auto" w:fill="FFFFFF"/>
            <w:tcMar>
              <w:top w:w="0" w:type="dxa"/>
              <w:left w:w="108" w:type="dxa"/>
              <w:bottom w:w="0" w:type="dxa"/>
              <w:right w:w="108" w:type="dxa"/>
            </w:tcMar>
            <w:vAlign w:val="center"/>
          </w:tcPr>
          <w:p w14:paraId="67CEA7E9"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1991</w:t>
            </w:r>
          </w:p>
        </w:tc>
        <w:tc>
          <w:tcPr>
            <w:tcW w:w="0" w:type="auto"/>
            <w:shd w:val="clear" w:color="auto" w:fill="FFFFFF"/>
            <w:tcMar>
              <w:top w:w="0" w:type="dxa"/>
              <w:left w:w="108" w:type="dxa"/>
              <w:bottom w:w="0" w:type="dxa"/>
              <w:right w:w="108" w:type="dxa"/>
            </w:tcMar>
            <w:vAlign w:val="center"/>
          </w:tcPr>
          <w:p w14:paraId="7E0C7C4B"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3,516,000</w:t>
            </w:r>
          </w:p>
        </w:tc>
        <w:tc>
          <w:tcPr>
            <w:tcW w:w="0" w:type="auto"/>
            <w:shd w:val="clear" w:color="auto" w:fill="FFFFFF"/>
            <w:tcMar>
              <w:top w:w="0" w:type="dxa"/>
              <w:left w:w="108" w:type="dxa"/>
              <w:bottom w:w="0" w:type="dxa"/>
              <w:right w:w="108" w:type="dxa"/>
            </w:tcMar>
            <w:vAlign w:val="center"/>
          </w:tcPr>
          <w:p w14:paraId="4009439B"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Same as 1997</w:t>
            </w:r>
          </w:p>
        </w:tc>
        <w:tc>
          <w:tcPr>
            <w:tcW w:w="0" w:type="auto"/>
            <w:shd w:val="clear" w:color="auto" w:fill="FFFFFF"/>
            <w:tcMar>
              <w:top w:w="0" w:type="dxa"/>
              <w:left w:w="108" w:type="dxa"/>
              <w:bottom w:w="0" w:type="dxa"/>
              <w:right w:w="108" w:type="dxa"/>
            </w:tcMar>
            <w:vAlign w:val="center"/>
          </w:tcPr>
          <w:p w14:paraId="3E735C9D"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142.0</w:t>
            </w:r>
          </w:p>
        </w:tc>
      </w:tr>
      <w:tr w:rsidR="00A76ADB" w:rsidRPr="00713999" w14:paraId="392BC0FE" w14:textId="77777777" w:rsidTr="00CF7215">
        <w:trPr>
          <w:cantSplit/>
          <w:trHeight w:val="283"/>
        </w:trPr>
        <w:tc>
          <w:tcPr>
            <w:tcW w:w="0" w:type="auto"/>
            <w:shd w:val="clear" w:color="auto" w:fill="FFFFFF"/>
            <w:tcMar>
              <w:top w:w="0" w:type="dxa"/>
              <w:left w:w="108" w:type="dxa"/>
              <w:bottom w:w="0" w:type="dxa"/>
              <w:right w:w="108" w:type="dxa"/>
            </w:tcMar>
            <w:vAlign w:val="center"/>
          </w:tcPr>
          <w:p w14:paraId="328C7CEC"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1992</w:t>
            </w:r>
          </w:p>
        </w:tc>
        <w:tc>
          <w:tcPr>
            <w:tcW w:w="0" w:type="auto"/>
            <w:shd w:val="clear" w:color="auto" w:fill="FFFFFF"/>
            <w:tcMar>
              <w:top w:w="0" w:type="dxa"/>
              <w:left w:w="108" w:type="dxa"/>
              <w:bottom w:w="0" w:type="dxa"/>
              <w:right w:w="108" w:type="dxa"/>
            </w:tcMar>
            <w:vAlign w:val="center"/>
          </w:tcPr>
          <w:p w14:paraId="52A13C01"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3,552,200</w:t>
            </w:r>
          </w:p>
        </w:tc>
        <w:tc>
          <w:tcPr>
            <w:tcW w:w="0" w:type="auto"/>
            <w:shd w:val="clear" w:color="auto" w:fill="FFFFFF"/>
            <w:tcMar>
              <w:top w:w="0" w:type="dxa"/>
              <w:left w:w="108" w:type="dxa"/>
              <w:bottom w:w="0" w:type="dxa"/>
              <w:right w:w="108" w:type="dxa"/>
            </w:tcMar>
            <w:vAlign w:val="center"/>
          </w:tcPr>
          <w:p w14:paraId="0E87DD24"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Same as 1997</w:t>
            </w:r>
          </w:p>
        </w:tc>
        <w:tc>
          <w:tcPr>
            <w:tcW w:w="0" w:type="auto"/>
            <w:shd w:val="clear" w:color="auto" w:fill="FFFFFF"/>
            <w:tcMar>
              <w:top w:w="0" w:type="dxa"/>
              <w:left w:w="108" w:type="dxa"/>
              <w:bottom w:w="0" w:type="dxa"/>
              <w:right w:w="108" w:type="dxa"/>
            </w:tcMar>
            <w:vAlign w:val="center"/>
          </w:tcPr>
          <w:p w14:paraId="0D3B5B57"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143.9</w:t>
            </w:r>
          </w:p>
        </w:tc>
      </w:tr>
      <w:tr w:rsidR="00A76ADB" w:rsidRPr="00713999" w14:paraId="24EEA25F" w14:textId="77777777" w:rsidTr="00CF7215">
        <w:trPr>
          <w:cantSplit/>
          <w:trHeight w:val="283"/>
        </w:trPr>
        <w:tc>
          <w:tcPr>
            <w:tcW w:w="0" w:type="auto"/>
            <w:shd w:val="clear" w:color="auto" w:fill="FFFFFF"/>
            <w:tcMar>
              <w:top w:w="0" w:type="dxa"/>
              <w:left w:w="108" w:type="dxa"/>
              <w:bottom w:w="0" w:type="dxa"/>
              <w:right w:w="108" w:type="dxa"/>
            </w:tcMar>
            <w:vAlign w:val="center"/>
          </w:tcPr>
          <w:p w14:paraId="5E97A670"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1993</w:t>
            </w:r>
          </w:p>
        </w:tc>
        <w:tc>
          <w:tcPr>
            <w:tcW w:w="0" w:type="auto"/>
            <w:shd w:val="clear" w:color="auto" w:fill="FFFFFF"/>
            <w:tcMar>
              <w:top w:w="0" w:type="dxa"/>
              <w:left w:w="108" w:type="dxa"/>
              <w:bottom w:w="0" w:type="dxa"/>
              <w:right w:w="108" w:type="dxa"/>
            </w:tcMar>
            <w:vAlign w:val="center"/>
          </w:tcPr>
          <w:p w14:paraId="7AD9128A"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3,597,800</w:t>
            </w:r>
          </w:p>
        </w:tc>
        <w:tc>
          <w:tcPr>
            <w:tcW w:w="0" w:type="auto"/>
            <w:shd w:val="clear" w:color="auto" w:fill="FFFFFF"/>
            <w:tcMar>
              <w:top w:w="0" w:type="dxa"/>
              <w:left w:w="108" w:type="dxa"/>
              <w:bottom w:w="0" w:type="dxa"/>
              <w:right w:w="108" w:type="dxa"/>
            </w:tcMar>
            <w:vAlign w:val="center"/>
          </w:tcPr>
          <w:p w14:paraId="74A941FF"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Same as 1997</w:t>
            </w:r>
          </w:p>
        </w:tc>
        <w:tc>
          <w:tcPr>
            <w:tcW w:w="0" w:type="auto"/>
            <w:shd w:val="clear" w:color="auto" w:fill="FFFFFF"/>
            <w:tcMar>
              <w:top w:w="0" w:type="dxa"/>
              <w:left w:w="108" w:type="dxa"/>
              <w:bottom w:w="0" w:type="dxa"/>
              <w:right w:w="108" w:type="dxa"/>
            </w:tcMar>
            <w:vAlign w:val="center"/>
          </w:tcPr>
          <w:p w14:paraId="1C55DC3C"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146.1</w:t>
            </w:r>
          </w:p>
        </w:tc>
      </w:tr>
      <w:tr w:rsidR="00A76ADB" w:rsidRPr="00713999" w14:paraId="1ECA0636" w14:textId="77777777" w:rsidTr="00CF7215">
        <w:trPr>
          <w:cantSplit/>
          <w:trHeight w:val="283"/>
        </w:trPr>
        <w:tc>
          <w:tcPr>
            <w:tcW w:w="0" w:type="auto"/>
            <w:shd w:val="clear" w:color="auto" w:fill="FFFFFF"/>
            <w:tcMar>
              <w:top w:w="0" w:type="dxa"/>
              <w:left w:w="108" w:type="dxa"/>
              <w:bottom w:w="0" w:type="dxa"/>
              <w:right w:w="108" w:type="dxa"/>
            </w:tcMar>
            <w:vAlign w:val="center"/>
          </w:tcPr>
          <w:p w14:paraId="71D7CF4E"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1994</w:t>
            </w:r>
          </w:p>
        </w:tc>
        <w:tc>
          <w:tcPr>
            <w:tcW w:w="0" w:type="auto"/>
            <w:shd w:val="clear" w:color="auto" w:fill="FFFFFF"/>
            <w:tcMar>
              <w:top w:w="0" w:type="dxa"/>
              <w:left w:w="108" w:type="dxa"/>
              <w:bottom w:w="0" w:type="dxa"/>
              <w:right w:w="108" w:type="dxa"/>
            </w:tcMar>
            <w:vAlign w:val="center"/>
          </w:tcPr>
          <w:p w14:paraId="7F38D765"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3,648,300</w:t>
            </w:r>
          </w:p>
        </w:tc>
        <w:tc>
          <w:tcPr>
            <w:tcW w:w="0" w:type="auto"/>
            <w:shd w:val="clear" w:color="auto" w:fill="FFFFFF"/>
            <w:tcMar>
              <w:top w:w="0" w:type="dxa"/>
              <w:left w:w="108" w:type="dxa"/>
              <w:bottom w:w="0" w:type="dxa"/>
              <w:right w:w="108" w:type="dxa"/>
            </w:tcMar>
            <w:vAlign w:val="center"/>
          </w:tcPr>
          <w:p w14:paraId="42AC4BD5"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Same as 1997</w:t>
            </w:r>
          </w:p>
        </w:tc>
        <w:tc>
          <w:tcPr>
            <w:tcW w:w="0" w:type="auto"/>
            <w:shd w:val="clear" w:color="auto" w:fill="FFFFFF"/>
            <w:tcMar>
              <w:top w:w="0" w:type="dxa"/>
              <w:left w:w="108" w:type="dxa"/>
              <w:bottom w:w="0" w:type="dxa"/>
              <w:right w:w="108" w:type="dxa"/>
            </w:tcMar>
            <w:vAlign w:val="center"/>
          </w:tcPr>
          <w:p w14:paraId="66E5F3E2"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148.5</w:t>
            </w:r>
          </w:p>
        </w:tc>
      </w:tr>
      <w:tr w:rsidR="00A76ADB" w:rsidRPr="00713999" w14:paraId="1D23500C" w14:textId="77777777" w:rsidTr="00CF7215">
        <w:trPr>
          <w:cantSplit/>
          <w:trHeight w:val="283"/>
        </w:trPr>
        <w:tc>
          <w:tcPr>
            <w:tcW w:w="0" w:type="auto"/>
            <w:shd w:val="clear" w:color="auto" w:fill="FFFFFF"/>
            <w:tcMar>
              <w:top w:w="0" w:type="dxa"/>
              <w:left w:w="108" w:type="dxa"/>
              <w:bottom w:w="0" w:type="dxa"/>
              <w:right w:w="108" w:type="dxa"/>
            </w:tcMar>
            <w:vAlign w:val="center"/>
          </w:tcPr>
          <w:p w14:paraId="475D08AE"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1995</w:t>
            </w:r>
          </w:p>
        </w:tc>
        <w:tc>
          <w:tcPr>
            <w:tcW w:w="0" w:type="auto"/>
            <w:shd w:val="clear" w:color="auto" w:fill="FFFFFF"/>
            <w:tcMar>
              <w:top w:w="0" w:type="dxa"/>
              <w:left w:w="108" w:type="dxa"/>
              <w:bottom w:w="0" w:type="dxa"/>
              <w:right w:w="108" w:type="dxa"/>
            </w:tcMar>
            <w:vAlign w:val="center"/>
          </w:tcPr>
          <w:p w14:paraId="5722C47D"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3,706,700</w:t>
            </w:r>
          </w:p>
        </w:tc>
        <w:tc>
          <w:tcPr>
            <w:tcW w:w="0" w:type="auto"/>
            <w:shd w:val="clear" w:color="auto" w:fill="FFFFFF"/>
            <w:tcMar>
              <w:top w:w="0" w:type="dxa"/>
              <w:left w:w="108" w:type="dxa"/>
              <w:bottom w:w="0" w:type="dxa"/>
              <w:right w:w="108" w:type="dxa"/>
            </w:tcMar>
            <w:vAlign w:val="center"/>
          </w:tcPr>
          <w:p w14:paraId="6BD8E1F9"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Same as 1997</w:t>
            </w:r>
          </w:p>
        </w:tc>
        <w:tc>
          <w:tcPr>
            <w:tcW w:w="0" w:type="auto"/>
            <w:shd w:val="clear" w:color="auto" w:fill="FFFFFF"/>
            <w:tcMar>
              <w:top w:w="0" w:type="dxa"/>
              <w:left w:w="108" w:type="dxa"/>
              <w:bottom w:w="0" w:type="dxa"/>
              <w:right w:w="108" w:type="dxa"/>
            </w:tcMar>
            <w:vAlign w:val="center"/>
          </w:tcPr>
          <w:p w14:paraId="7A62033E"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151.2</w:t>
            </w:r>
          </w:p>
        </w:tc>
      </w:tr>
      <w:tr w:rsidR="00A76ADB" w:rsidRPr="00713999" w14:paraId="1E36036F" w14:textId="77777777" w:rsidTr="00CF7215">
        <w:trPr>
          <w:cantSplit/>
          <w:trHeight w:val="283"/>
        </w:trPr>
        <w:tc>
          <w:tcPr>
            <w:tcW w:w="0" w:type="auto"/>
            <w:shd w:val="clear" w:color="auto" w:fill="FFFFFF"/>
            <w:tcMar>
              <w:top w:w="0" w:type="dxa"/>
              <w:left w:w="108" w:type="dxa"/>
              <w:bottom w:w="0" w:type="dxa"/>
              <w:right w:w="108" w:type="dxa"/>
            </w:tcMar>
            <w:vAlign w:val="center"/>
          </w:tcPr>
          <w:p w14:paraId="6EC28CD6"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1996</w:t>
            </w:r>
          </w:p>
        </w:tc>
        <w:tc>
          <w:tcPr>
            <w:tcW w:w="0" w:type="auto"/>
            <w:shd w:val="clear" w:color="auto" w:fill="FFFFFF"/>
            <w:tcMar>
              <w:top w:w="0" w:type="dxa"/>
              <w:left w:w="108" w:type="dxa"/>
              <w:bottom w:w="0" w:type="dxa"/>
              <w:right w:w="108" w:type="dxa"/>
            </w:tcMar>
            <w:vAlign w:val="center"/>
          </w:tcPr>
          <w:p w14:paraId="38A1DB96"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3,762,300</w:t>
            </w:r>
          </w:p>
        </w:tc>
        <w:tc>
          <w:tcPr>
            <w:tcW w:w="0" w:type="auto"/>
            <w:shd w:val="clear" w:color="auto" w:fill="FFFFFF"/>
            <w:tcMar>
              <w:top w:w="0" w:type="dxa"/>
              <w:left w:w="108" w:type="dxa"/>
              <w:bottom w:w="0" w:type="dxa"/>
              <w:right w:w="108" w:type="dxa"/>
            </w:tcMar>
            <w:vAlign w:val="center"/>
          </w:tcPr>
          <w:p w14:paraId="3471EE6C"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Same as 1997</w:t>
            </w:r>
          </w:p>
        </w:tc>
        <w:tc>
          <w:tcPr>
            <w:tcW w:w="0" w:type="auto"/>
            <w:shd w:val="clear" w:color="auto" w:fill="FFFFFF"/>
            <w:tcMar>
              <w:top w:w="0" w:type="dxa"/>
              <w:left w:w="108" w:type="dxa"/>
              <w:bottom w:w="0" w:type="dxa"/>
              <w:right w:w="108" w:type="dxa"/>
            </w:tcMar>
            <w:vAlign w:val="center"/>
          </w:tcPr>
          <w:p w14:paraId="11D4726A"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153.7</w:t>
            </w:r>
          </w:p>
        </w:tc>
      </w:tr>
      <w:tr w:rsidR="00A76ADB" w:rsidRPr="00713999" w14:paraId="78FF06FF" w14:textId="77777777" w:rsidTr="00CF7215">
        <w:trPr>
          <w:cantSplit/>
          <w:trHeight w:val="283"/>
        </w:trPr>
        <w:tc>
          <w:tcPr>
            <w:tcW w:w="0" w:type="auto"/>
            <w:shd w:val="clear" w:color="auto" w:fill="FFFFFF"/>
            <w:tcMar>
              <w:top w:w="0" w:type="dxa"/>
              <w:left w:w="108" w:type="dxa"/>
              <w:bottom w:w="0" w:type="dxa"/>
              <w:right w:w="108" w:type="dxa"/>
            </w:tcMar>
            <w:vAlign w:val="center"/>
          </w:tcPr>
          <w:p w14:paraId="192E7246"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1997</w:t>
            </w:r>
          </w:p>
        </w:tc>
        <w:tc>
          <w:tcPr>
            <w:tcW w:w="0" w:type="auto"/>
            <w:shd w:val="clear" w:color="auto" w:fill="FFFFFF"/>
            <w:tcMar>
              <w:top w:w="0" w:type="dxa"/>
              <w:left w:w="108" w:type="dxa"/>
              <w:bottom w:w="0" w:type="dxa"/>
              <w:right w:w="108" w:type="dxa"/>
            </w:tcMar>
            <w:vAlign w:val="center"/>
          </w:tcPr>
          <w:p w14:paraId="25E29CB5"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3,802,700</w:t>
            </w:r>
          </w:p>
        </w:tc>
        <w:tc>
          <w:tcPr>
            <w:tcW w:w="0" w:type="auto"/>
            <w:shd w:val="clear" w:color="auto" w:fill="FFFFFF"/>
            <w:tcMar>
              <w:top w:w="0" w:type="dxa"/>
              <w:left w:w="108" w:type="dxa"/>
              <w:bottom w:w="0" w:type="dxa"/>
              <w:right w:w="108" w:type="dxa"/>
            </w:tcMar>
            <w:vAlign w:val="center"/>
          </w:tcPr>
          <w:p w14:paraId="01A284DA"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0.043</w:t>
            </w:r>
          </w:p>
        </w:tc>
        <w:tc>
          <w:tcPr>
            <w:tcW w:w="0" w:type="auto"/>
            <w:shd w:val="clear" w:color="auto" w:fill="FFFFFF"/>
            <w:tcMar>
              <w:top w:w="0" w:type="dxa"/>
              <w:left w:w="108" w:type="dxa"/>
              <w:bottom w:w="0" w:type="dxa"/>
              <w:right w:w="108" w:type="dxa"/>
            </w:tcMar>
            <w:vAlign w:val="center"/>
          </w:tcPr>
          <w:p w14:paraId="52CF6268"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155.8</w:t>
            </w:r>
          </w:p>
        </w:tc>
      </w:tr>
      <w:tr w:rsidR="00A76ADB" w:rsidRPr="00713999" w14:paraId="25C032F0" w14:textId="77777777" w:rsidTr="00CF7215">
        <w:trPr>
          <w:cantSplit/>
          <w:trHeight w:val="283"/>
        </w:trPr>
        <w:tc>
          <w:tcPr>
            <w:tcW w:w="0" w:type="auto"/>
            <w:shd w:val="clear" w:color="auto" w:fill="FFFFFF"/>
            <w:tcMar>
              <w:top w:w="0" w:type="dxa"/>
              <w:left w:w="108" w:type="dxa"/>
              <w:bottom w:w="0" w:type="dxa"/>
              <w:right w:w="108" w:type="dxa"/>
            </w:tcMar>
            <w:vAlign w:val="center"/>
          </w:tcPr>
          <w:p w14:paraId="6ABC5A6C"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1998</w:t>
            </w:r>
          </w:p>
        </w:tc>
        <w:tc>
          <w:tcPr>
            <w:tcW w:w="0" w:type="auto"/>
            <w:shd w:val="clear" w:color="auto" w:fill="FFFFFF"/>
            <w:tcMar>
              <w:top w:w="0" w:type="dxa"/>
              <w:left w:w="108" w:type="dxa"/>
              <w:bottom w:w="0" w:type="dxa"/>
              <w:right w:w="108" w:type="dxa"/>
            </w:tcMar>
            <w:vAlign w:val="center"/>
          </w:tcPr>
          <w:p w14:paraId="56E5CFC1"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3,829,200</w:t>
            </w:r>
          </w:p>
        </w:tc>
        <w:tc>
          <w:tcPr>
            <w:tcW w:w="0" w:type="auto"/>
            <w:shd w:val="clear" w:color="auto" w:fill="FFFFFF"/>
            <w:tcMar>
              <w:top w:w="0" w:type="dxa"/>
              <w:left w:w="108" w:type="dxa"/>
              <w:bottom w:w="0" w:type="dxa"/>
              <w:right w:w="108" w:type="dxa"/>
            </w:tcMar>
            <w:vAlign w:val="center"/>
          </w:tcPr>
          <w:p w14:paraId="495FF5E1"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01689F9E"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154.8</w:t>
            </w:r>
          </w:p>
        </w:tc>
      </w:tr>
      <w:tr w:rsidR="00A76ADB" w:rsidRPr="00713999" w14:paraId="083F15C2" w14:textId="77777777" w:rsidTr="00CF7215">
        <w:trPr>
          <w:cantSplit/>
          <w:trHeight w:val="283"/>
        </w:trPr>
        <w:tc>
          <w:tcPr>
            <w:tcW w:w="0" w:type="auto"/>
            <w:shd w:val="clear" w:color="auto" w:fill="FFFFFF"/>
            <w:tcMar>
              <w:top w:w="0" w:type="dxa"/>
              <w:left w:w="108" w:type="dxa"/>
              <w:bottom w:w="0" w:type="dxa"/>
              <w:right w:w="108" w:type="dxa"/>
            </w:tcMar>
            <w:vAlign w:val="center"/>
          </w:tcPr>
          <w:p w14:paraId="596EE00D"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1999</w:t>
            </w:r>
          </w:p>
        </w:tc>
        <w:tc>
          <w:tcPr>
            <w:tcW w:w="0" w:type="auto"/>
            <w:shd w:val="clear" w:color="auto" w:fill="FFFFFF"/>
            <w:tcMar>
              <w:top w:w="0" w:type="dxa"/>
              <w:left w:w="108" w:type="dxa"/>
              <w:bottom w:w="0" w:type="dxa"/>
              <w:right w:w="108" w:type="dxa"/>
            </w:tcMar>
            <w:vAlign w:val="center"/>
          </w:tcPr>
          <w:p w14:paraId="0D964747"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3,851,100</w:t>
            </w:r>
          </w:p>
        </w:tc>
        <w:tc>
          <w:tcPr>
            <w:tcW w:w="0" w:type="auto"/>
            <w:shd w:val="clear" w:color="auto" w:fill="FFFFFF"/>
            <w:tcMar>
              <w:top w:w="0" w:type="dxa"/>
              <w:left w:w="108" w:type="dxa"/>
              <w:bottom w:w="0" w:type="dxa"/>
              <w:right w:w="108" w:type="dxa"/>
            </w:tcMar>
            <w:vAlign w:val="center"/>
          </w:tcPr>
          <w:p w14:paraId="593923D7"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0020E007"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153.9</w:t>
            </w:r>
          </w:p>
        </w:tc>
      </w:tr>
      <w:tr w:rsidR="00A76ADB" w:rsidRPr="00713999" w14:paraId="0101806F" w14:textId="77777777" w:rsidTr="00CF7215">
        <w:trPr>
          <w:cantSplit/>
          <w:trHeight w:val="283"/>
        </w:trPr>
        <w:tc>
          <w:tcPr>
            <w:tcW w:w="0" w:type="auto"/>
            <w:shd w:val="clear" w:color="auto" w:fill="FFFFFF"/>
            <w:tcMar>
              <w:top w:w="0" w:type="dxa"/>
              <w:left w:w="108" w:type="dxa"/>
              <w:bottom w:w="0" w:type="dxa"/>
              <w:right w:w="108" w:type="dxa"/>
            </w:tcMar>
            <w:vAlign w:val="center"/>
          </w:tcPr>
          <w:p w14:paraId="77326334"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2000</w:t>
            </w:r>
          </w:p>
        </w:tc>
        <w:tc>
          <w:tcPr>
            <w:tcW w:w="0" w:type="auto"/>
            <w:shd w:val="clear" w:color="auto" w:fill="FFFFFF"/>
            <w:tcMar>
              <w:top w:w="0" w:type="dxa"/>
              <w:left w:w="108" w:type="dxa"/>
              <w:bottom w:w="0" w:type="dxa"/>
              <w:right w:w="108" w:type="dxa"/>
            </w:tcMar>
            <w:vAlign w:val="center"/>
          </w:tcPr>
          <w:p w14:paraId="6314C527"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3,873,100</w:t>
            </w:r>
          </w:p>
        </w:tc>
        <w:tc>
          <w:tcPr>
            <w:tcW w:w="0" w:type="auto"/>
            <w:shd w:val="clear" w:color="auto" w:fill="FFFFFF"/>
            <w:tcMar>
              <w:top w:w="0" w:type="dxa"/>
              <w:left w:w="108" w:type="dxa"/>
              <w:bottom w:w="0" w:type="dxa"/>
              <w:right w:w="108" w:type="dxa"/>
            </w:tcMar>
            <w:vAlign w:val="center"/>
          </w:tcPr>
          <w:p w14:paraId="2EDC633A"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57D77DCA"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152.9</w:t>
            </w:r>
          </w:p>
        </w:tc>
      </w:tr>
      <w:tr w:rsidR="00A76ADB" w:rsidRPr="00713999" w14:paraId="313C3DB9" w14:textId="77777777" w:rsidTr="00CF7215">
        <w:trPr>
          <w:cantSplit/>
          <w:trHeight w:val="283"/>
        </w:trPr>
        <w:tc>
          <w:tcPr>
            <w:tcW w:w="0" w:type="auto"/>
            <w:shd w:val="clear" w:color="auto" w:fill="FFFFFF"/>
            <w:tcMar>
              <w:top w:w="0" w:type="dxa"/>
              <w:left w:w="108" w:type="dxa"/>
              <w:bottom w:w="0" w:type="dxa"/>
              <w:right w:w="108" w:type="dxa"/>
            </w:tcMar>
            <w:vAlign w:val="center"/>
          </w:tcPr>
          <w:p w14:paraId="31A8D1D4"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2001</w:t>
            </w:r>
          </w:p>
        </w:tc>
        <w:tc>
          <w:tcPr>
            <w:tcW w:w="0" w:type="auto"/>
            <w:shd w:val="clear" w:color="auto" w:fill="FFFFFF"/>
            <w:tcMar>
              <w:top w:w="0" w:type="dxa"/>
              <w:left w:w="108" w:type="dxa"/>
              <w:bottom w:w="0" w:type="dxa"/>
              <w:right w:w="108" w:type="dxa"/>
            </w:tcMar>
            <w:vAlign w:val="center"/>
          </w:tcPr>
          <w:p w14:paraId="34869200"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3,916,200</w:t>
            </w:r>
          </w:p>
        </w:tc>
        <w:tc>
          <w:tcPr>
            <w:tcW w:w="0" w:type="auto"/>
            <w:shd w:val="clear" w:color="auto" w:fill="FFFFFF"/>
            <w:tcMar>
              <w:top w:w="0" w:type="dxa"/>
              <w:left w:w="108" w:type="dxa"/>
              <w:bottom w:w="0" w:type="dxa"/>
              <w:right w:w="108" w:type="dxa"/>
            </w:tcMar>
            <w:vAlign w:val="center"/>
          </w:tcPr>
          <w:p w14:paraId="299BE321"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0.038</w:t>
            </w:r>
          </w:p>
        </w:tc>
        <w:tc>
          <w:tcPr>
            <w:tcW w:w="0" w:type="auto"/>
            <w:shd w:val="clear" w:color="auto" w:fill="FFFFFF"/>
            <w:tcMar>
              <w:top w:w="0" w:type="dxa"/>
              <w:left w:w="108" w:type="dxa"/>
              <w:bottom w:w="0" w:type="dxa"/>
              <w:right w:w="108" w:type="dxa"/>
            </w:tcMar>
            <w:vAlign w:val="center"/>
          </w:tcPr>
          <w:p w14:paraId="5C653201"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151.9</w:t>
            </w:r>
          </w:p>
        </w:tc>
      </w:tr>
      <w:tr w:rsidR="00A76ADB" w:rsidRPr="00713999" w14:paraId="1B6A4A7B" w14:textId="77777777" w:rsidTr="00CF7215">
        <w:trPr>
          <w:cantSplit/>
          <w:trHeight w:val="283"/>
        </w:trPr>
        <w:tc>
          <w:tcPr>
            <w:tcW w:w="0" w:type="auto"/>
            <w:shd w:val="clear" w:color="auto" w:fill="FFFFFF"/>
            <w:tcMar>
              <w:top w:w="0" w:type="dxa"/>
              <w:left w:w="108" w:type="dxa"/>
              <w:bottom w:w="0" w:type="dxa"/>
              <w:right w:w="108" w:type="dxa"/>
            </w:tcMar>
            <w:vAlign w:val="center"/>
          </w:tcPr>
          <w:p w14:paraId="6F18ACD5"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2002</w:t>
            </w:r>
          </w:p>
        </w:tc>
        <w:tc>
          <w:tcPr>
            <w:tcW w:w="0" w:type="auto"/>
            <w:shd w:val="clear" w:color="auto" w:fill="FFFFFF"/>
            <w:tcMar>
              <w:top w:w="0" w:type="dxa"/>
              <w:left w:w="108" w:type="dxa"/>
              <w:bottom w:w="0" w:type="dxa"/>
              <w:right w:w="108" w:type="dxa"/>
            </w:tcMar>
            <w:vAlign w:val="center"/>
          </w:tcPr>
          <w:p w14:paraId="20AB6449"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3,989,500</w:t>
            </w:r>
          </w:p>
        </w:tc>
        <w:tc>
          <w:tcPr>
            <w:tcW w:w="0" w:type="auto"/>
            <w:shd w:val="clear" w:color="auto" w:fill="FFFFFF"/>
            <w:tcMar>
              <w:top w:w="0" w:type="dxa"/>
              <w:left w:w="108" w:type="dxa"/>
              <w:bottom w:w="0" w:type="dxa"/>
              <w:right w:w="108" w:type="dxa"/>
            </w:tcMar>
            <w:vAlign w:val="center"/>
          </w:tcPr>
          <w:p w14:paraId="6A331690"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44F58E8B"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155.2</w:t>
            </w:r>
          </w:p>
        </w:tc>
      </w:tr>
      <w:tr w:rsidR="00A76ADB" w:rsidRPr="00713999" w14:paraId="4221CEF3" w14:textId="77777777" w:rsidTr="00CF7215">
        <w:trPr>
          <w:cantSplit/>
          <w:trHeight w:val="283"/>
        </w:trPr>
        <w:tc>
          <w:tcPr>
            <w:tcW w:w="0" w:type="auto"/>
            <w:shd w:val="clear" w:color="auto" w:fill="FFFFFF"/>
            <w:tcMar>
              <w:top w:w="0" w:type="dxa"/>
              <w:left w:w="108" w:type="dxa"/>
              <w:bottom w:w="0" w:type="dxa"/>
              <w:right w:w="108" w:type="dxa"/>
            </w:tcMar>
            <w:vAlign w:val="center"/>
          </w:tcPr>
          <w:p w14:paraId="57B81E4F"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2003</w:t>
            </w:r>
          </w:p>
        </w:tc>
        <w:tc>
          <w:tcPr>
            <w:tcW w:w="0" w:type="auto"/>
            <w:shd w:val="clear" w:color="auto" w:fill="FFFFFF"/>
            <w:tcMar>
              <w:top w:w="0" w:type="dxa"/>
              <w:left w:w="108" w:type="dxa"/>
              <w:bottom w:w="0" w:type="dxa"/>
              <w:right w:w="108" w:type="dxa"/>
            </w:tcMar>
            <w:vAlign w:val="center"/>
          </w:tcPr>
          <w:p w14:paraId="4D6F9D6E"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4,061,600</w:t>
            </w:r>
          </w:p>
        </w:tc>
        <w:tc>
          <w:tcPr>
            <w:tcW w:w="0" w:type="auto"/>
            <w:shd w:val="clear" w:color="auto" w:fill="FFFFFF"/>
            <w:tcMar>
              <w:top w:w="0" w:type="dxa"/>
              <w:left w:w="108" w:type="dxa"/>
              <w:bottom w:w="0" w:type="dxa"/>
              <w:right w:w="108" w:type="dxa"/>
            </w:tcMar>
            <w:vAlign w:val="center"/>
          </w:tcPr>
          <w:p w14:paraId="4DF771E8"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28D9AF2B"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158.5</w:t>
            </w:r>
          </w:p>
        </w:tc>
      </w:tr>
      <w:tr w:rsidR="00A76ADB" w:rsidRPr="00713999" w14:paraId="1599769E" w14:textId="77777777" w:rsidTr="00CF7215">
        <w:trPr>
          <w:cantSplit/>
          <w:trHeight w:val="283"/>
        </w:trPr>
        <w:tc>
          <w:tcPr>
            <w:tcW w:w="0" w:type="auto"/>
            <w:shd w:val="clear" w:color="auto" w:fill="FFFFFF"/>
            <w:tcMar>
              <w:top w:w="0" w:type="dxa"/>
              <w:left w:w="108" w:type="dxa"/>
              <w:bottom w:w="0" w:type="dxa"/>
              <w:right w:w="108" w:type="dxa"/>
            </w:tcMar>
            <w:vAlign w:val="center"/>
          </w:tcPr>
          <w:p w14:paraId="260D2150"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2004</w:t>
            </w:r>
          </w:p>
        </w:tc>
        <w:tc>
          <w:tcPr>
            <w:tcW w:w="0" w:type="auto"/>
            <w:shd w:val="clear" w:color="auto" w:fill="FFFFFF"/>
            <w:tcMar>
              <w:top w:w="0" w:type="dxa"/>
              <w:left w:w="108" w:type="dxa"/>
              <w:bottom w:w="0" w:type="dxa"/>
              <w:right w:w="108" w:type="dxa"/>
            </w:tcMar>
            <w:vAlign w:val="center"/>
          </w:tcPr>
          <w:p w14:paraId="60C3B627"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4,114,300</w:t>
            </w:r>
          </w:p>
        </w:tc>
        <w:tc>
          <w:tcPr>
            <w:tcW w:w="0" w:type="auto"/>
            <w:shd w:val="clear" w:color="auto" w:fill="FFFFFF"/>
            <w:tcMar>
              <w:top w:w="0" w:type="dxa"/>
              <w:left w:w="108" w:type="dxa"/>
              <w:bottom w:w="0" w:type="dxa"/>
              <w:right w:w="108" w:type="dxa"/>
            </w:tcMar>
            <w:vAlign w:val="center"/>
          </w:tcPr>
          <w:p w14:paraId="4F2FE9EE"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7C2E41A6"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161.9</w:t>
            </w:r>
          </w:p>
        </w:tc>
      </w:tr>
      <w:tr w:rsidR="00A76ADB" w:rsidRPr="00713999" w14:paraId="66DD6A55" w14:textId="77777777" w:rsidTr="00CF7215">
        <w:trPr>
          <w:cantSplit/>
          <w:trHeight w:val="283"/>
        </w:trPr>
        <w:tc>
          <w:tcPr>
            <w:tcW w:w="0" w:type="auto"/>
            <w:shd w:val="clear" w:color="auto" w:fill="FFFFFF"/>
            <w:tcMar>
              <w:top w:w="0" w:type="dxa"/>
              <w:left w:w="108" w:type="dxa"/>
              <w:bottom w:w="0" w:type="dxa"/>
              <w:right w:w="108" w:type="dxa"/>
            </w:tcMar>
            <w:vAlign w:val="center"/>
          </w:tcPr>
          <w:p w14:paraId="3B6841DF"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2005</w:t>
            </w:r>
          </w:p>
        </w:tc>
        <w:tc>
          <w:tcPr>
            <w:tcW w:w="0" w:type="auto"/>
            <w:shd w:val="clear" w:color="auto" w:fill="FFFFFF"/>
            <w:tcMar>
              <w:top w:w="0" w:type="dxa"/>
              <w:left w:w="108" w:type="dxa"/>
              <w:bottom w:w="0" w:type="dxa"/>
              <w:right w:w="108" w:type="dxa"/>
            </w:tcMar>
            <w:vAlign w:val="center"/>
          </w:tcPr>
          <w:p w14:paraId="29B3E3E0"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4,161,000</w:t>
            </w:r>
          </w:p>
        </w:tc>
        <w:tc>
          <w:tcPr>
            <w:tcW w:w="0" w:type="auto"/>
            <w:shd w:val="clear" w:color="auto" w:fill="FFFFFF"/>
            <w:tcMar>
              <w:top w:w="0" w:type="dxa"/>
              <w:left w:w="108" w:type="dxa"/>
              <w:bottom w:w="0" w:type="dxa"/>
              <w:right w:w="108" w:type="dxa"/>
            </w:tcMar>
            <w:vAlign w:val="center"/>
          </w:tcPr>
          <w:p w14:paraId="7539D65F"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46E1FE16"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165.3</w:t>
            </w:r>
          </w:p>
        </w:tc>
      </w:tr>
      <w:tr w:rsidR="00A76ADB" w:rsidRPr="00713999" w14:paraId="6B51FB24" w14:textId="77777777" w:rsidTr="00CF7215">
        <w:trPr>
          <w:cantSplit/>
          <w:trHeight w:val="283"/>
        </w:trPr>
        <w:tc>
          <w:tcPr>
            <w:tcW w:w="0" w:type="auto"/>
            <w:shd w:val="clear" w:color="auto" w:fill="FFFFFF"/>
            <w:tcMar>
              <w:top w:w="0" w:type="dxa"/>
              <w:left w:w="108" w:type="dxa"/>
              <w:bottom w:w="0" w:type="dxa"/>
              <w:right w:w="108" w:type="dxa"/>
            </w:tcMar>
            <w:vAlign w:val="center"/>
          </w:tcPr>
          <w:p w14:paraId="57451EA3"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2006</w:t>
            </w:r>
          </w:p>
        </w:tc>
        <w:tc>
          <w:tcPr>
            <w:tcW w:w="0" w:type="auto"/>
            <w:shd w:val="clear" w:color="auto" w:fill="FFFFFF"/>
            <w:tcMar>
              <w:top w:w="0" w:type="dxa"/>
              <w:left w:w="108" w:type="dxa"/>
              <w:bottom w:w="0" w:type="dxa"/>
              <w:right w:w="108" w:type="dxa"/>
            </w:tcMar>
            <w:vAlign w:val="center"/>
          </w:tcPr>
          <w:p w14:paraId="11B5324D"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4,209,100</w:t>
            </w:r>
          </w:p>
        </w:tc>
        <w:tc>
          <w:tcPr>
            <w:tcW w:w="0" w:type="auto"/>
            <w:shd w:val="clear" w:color="auto" w:fill="FFFFFF"/>
            <w:tcMar>
              <w:top w:w="0" w:type="dxa"/>
              <w:left w:w="108" w:type="dxa"/>
              <w:bottom w:w="0" w:type="dxa"/>
              <w:right w:w="108" w:type="dxa"/>
            </w:tcMar>
            <w:vAlign w:val="center"/>
          </w:tcPr>
          <w:p w14:paraId="6F577AB4"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0.032</w:t>
            </w:r>
          </w:p>
        </w:tc>
        <w:tc>
          <w:tcPr>
            <w:tcW w:w="0" w:type="auto"/>
            <w:shd w:val="clear" w:color="auto" w:fill="FFFFFF"/>
            <w:tcMar>
              <w:top w:w="0" w:type="dxa"/>
              <w:left w:w="108" w:type="dxa"/>
              <w:bottom w:w="0" w:type="dxa"/>
              <w:right w:w="108" w:type="dxa"/>
            </w:tcMar>
            <w:vAlign w:val="center"/>
          </w:tcPr>
          <w:p w14:paraId="0A0B3737"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168.0</w:t>
            </w:r>
          </w:p>
        </w:tc>
      </w:tr>
      <w:tr w:rsidR="00A76ADB" w:rsidRPr="00713999" w14:paraId="4343A364" w14:textId="77777777" w:rsidTr="00CF7215">
        <w:trPr>
          <w:cantSplit/>
          <w:trHeight w:val="283"/>
        </w:trPr>
        <w:tc>
          <w:tcPr>
            <w:tcW w:w="0" w:type="auto"/>
            <w:shd w:val="clear" w:color="auto" w:fill="FFFFFF"/>
            <w:tcMar>
              <w:top w:w="0" w:type="dxa"/>
              <w:left w:w="108" w:type="dxa"/>
              <w:bottom w:w="0" w:type="dxa"/>
              <w:right w:w="108" w:type="dxa"/>
            </w:tcMar>
            <w:vAlign w:val="center"/>
          </w:tcPr>
          <w:p w14:paraId="431C7CD4"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2007</w:t>
            </w:r>
          </w:p>
        </w:tc>
        <w:tc>
          <w:tcPr>
            <w:tcW w:w="0" w:type="auto"/>
            <w:shd w:val="clear" w:color="auto" w:fill="FFFFFF"/>
            <w:tcMar>
              <w:top w:w="0" w:type="dxa"/>
              <w:left w:w="108" w:type="dxa"/>
              <w:bottom w:w="0" w:type="dxa"/>
              <w:right w:w="108" w:type="dxa"/>
            </w:tcMar>
            <w:vAlign w:val="center"/>
          </w:tcPr>
          <w:p w14:paraId="36EDA875"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4,245,700</w:t>
            </w:r>
          </w:p>
        </w:tc>
        <w:tc>
          <w:tcPr>
            <w:tcW w:w="0" w:type="auto"/>
            <w:shd w:val="clear" w:color="auto" w:fill="FFFFFF"/>
            <w:tcMar>
              <w:top w:w="0" w:type="dxa"/>
              <w:left w:w="108" w:type="dxa"/>
              <w:bottom w:w="0" w:type="dxa"/>
              <w:right w:w="108" w:type="dxa"/>
            </w:tcMar>
            <w:vAlign w:val="center"/>
          </w:tcPr>
          <w:p w14:paraId="5664695E"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652B2552"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170.6</w:t>
            </w:r>
          </w:p>
        </w:tc>
      </w:tr>
      <w:tr w:rsidR="00A76ADB" w:rsidRPr="00713999" w14:paraId="6135267E" w14:textId="77777777" w:rsidTr="00CF7215">
        <w:trPr>
          <w:cantSplit/>
          <w:trHeight w:val="283"/>
        </w:trPr>
        <w:tc>
          <w:tcPr>
            <w:tcW w:w="0" w:type="auto"/>
            <w:shd w:val="clear" w:color="auto" w:fill="FFFFFF"/>
            <w:tcMar>
              <w:top w:w="0" w:type="dxa"/>
              <w:left w:w="108" w:type="dxa"/>
              <w:bottom w:w="0" w:type="dxa"/>
              <w:right w:w="108" w:type="dxa"/>
            </w:tcMar>
            <w:vAlign w:val="center"/>
          </w:tcPr>
          <w:p w14:paraId="14DFFCB0"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2008</w:t>
            </w:r>
          </w:p>
        </w:tc>
        <w:tc>
          <w:tcPr>
            <w:tcW w:w="0" w:type="auto"/>
            <w:shd w:val="clear" w:color="auto" w:fill="FFFFFF"/>
            <w:tcMar>
              <w:top w:w="0" w:type="dxa"/>
              <w:left w:w="108" w:type="dxa"/>
              <w:bottom w:w="0" w:type="dxa"/>
              <w:right w:w="108" w:type="dxa"/>
            </w:tcMar>
            <w:vAlign w:val="center"/>
          </w:tcPr>
          <w:p w14:paraId="6FED98BE"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4,280,300</w:t>
            </w:r>
          </w:p>
        </w:tc>
        <w:tc>
          <w:tcPr>
            <w:tcW w:w="0" w:type="auto"/>
            <w:shd w:val="clear" w:color="auto" w:fill="FFFFFF"/>
            <w:tcMar>
              <w:top w:w="0" w:type="dxa"/>
              <w:left w:w="108" w:type="dxa"/>
              <w:bottom w:w="0" w:type="dxa"/>
              <w:right w:w="108" w:type="dxa"/>
            </w:tcMar>
            <w:vAlign w:val="center"/>
          </w:tcPr>
          <w:p w14:paraId="0909A2B1"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51B328E8"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172.4</w:t>
            </w:r>
          </w:p>
        </w:tc>
      </w:tr>
      <w:tr w:rsidR="00A76ADB" w:rsidRPr="00713999" w14:paraId="15A0523D" w14:textId="77777777" w:rsidTr="00CF7215">
        <w:trPr>
          <w:cantSplit/>
          <w:trHeight w:val="283"/>
        </w:trPr>
        <w:tc>
          <w:tcPr>
            <w:tcW w:w="0" w:type="auto"/>
            <w:shd w:val="clear" w:color="auto" w:fill="FFFFFF"/>
            <w:tcMar>
              <w:top w:w="0" w:type="dxa"/>
              <w:left w:w="108" w:type="dxa"/>
              <w:bottom w:w="0" w:type="dxa"/>
              <w:right w:w="108" w:type="dxa"/>
            </w:tcMar>
            <w:vAlign w:val="center"/>
          </w:tcPr>
          <w:p w14:paraId="4F12A449"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2009</w:t>
            </w:r>
          </w:p>
        </w:tc>
        <w:tc>
          <w:tcPr>
            <w:tcW w:w="0" w:type="auto"/>
            <w:shd w:val="clear" w:color="auto" w:fill="FFFFFF"/>
            <w:tcMar>
              <w:top w:w="0" w:type="dxa"/>
              <w:left w:w="108" w:type="dxa"/>
              <w:bottom w:w="0" w:type="dxa"/>
              <w:right w:w="108" w:type="dxa"/>
            </w:tcMar>
            <w:vAlign w:val="center"/>
          </w:tcPr>
          <w:p w14:paraId="19356FAB"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4,332,100</w:t>
            </w:r>
          </w:p>
        </w:tc>
        <w:tc>
          <w:tcPr>
            <w:tcW w:w="0" w:type="auto"/>
            <w:shd w:val="clear" w:color="auto" w:fill="FFFFFF"/>
            <w:tcMar>
              <w:top w:w="0" w:type="dxa"/>
              <w:left w:w="108" w:type="dxa"/>
              <w:bottom w:w="0" w:type="dxa"/>
              <w:right w:w="108" w:type="dxa"/>
            </w:tcMar>
            <w:vAlign w:val="center"/>
          </w:tcPr>
          <w:p w14:paraId="3209C338"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3B931BDA"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174.2</w:t>
            </w:r>
          </w:p>
        </w:tc>
      </w:tr>
      <w:tr w:rsidR="00A76ADB" w:rsidRPr="00713999" w14:paraId="3E081795" w14:textId="77777777" w:rsidTr="00CF7215">
        <w:trPr>
          <w:cantSplit/>
          <w:trHeight w:val="283"/>
        </w:trPr>
        <w:tc>
          <w:tcPr>
            <w:tcW w:w="0" w:type="auto"/>
            <w:shd w:val="clear" w:color="auto" w:fill="FFFFFF"/>
            <w:tcMar>
              <w:top w:w="0" w:type="dxa"/>
              <w:left w:w="108" w:type="dxa"/>
              <w:bottom w:w="0" w:type="dxa"/>
              <w:right w:w="108" w:type="dxa"/>
            </w:tcMar>
            <w:vAlign w:val="center"/>
          </w:tcPr>
          <w:p w14:paraId="427FB20C"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2010</w:t>
            </w:r>
          </w:p>
        </w:tc>
        <w:tc>
          <w:tcPr>
            <w:tcW w:w="0" w:type="auto"/>
            <w:shd w:val="clear" w:color="auto" w:fill="FFFFFF"/>
            <w:tcMar>
              <w:top w:w="0" w:type="dxa"/>
              <w:left w:w="108" w:type="dxa"/>
              <w:bottom w:w="0" w:type="dxa"/>
              <w:right w:w="108" w:type="dxa"/>
            </w:tcMar>
            <w:vAlign w:val="center"/>
          </w:tcPr>
          <w:p w14:paraId="37DE3F91"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4,373,900</w:t>
            </w:r>
          </w:p>
        </w:tc>
        <w:tc>
          <w:tcPr>
            <w:tcW w:w="0" w:type="auto"/>
            <w:shd w:val="clear" w:color="auto" w:fill="FFFFFF"/>
            <w:tcMar>
              <w:top w:w="0" w:type="dxa"/>
              <w:left w:w="108" w:type="dxa"/>
              <w:bottom w:w="0" w:type="dxa"/>
              <w:right w:w="108" w:type="dxa"/>
            </w:tcMar>
            <w:vAlign w:val="center"/>
          </w:tcPr>
          <w:p w14:paraId="643962E8"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08945831"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176.0</w:t>
            </w:r>
          </w:p>
        </w:tc>
      </w:tr>
      <w:tr w:rsidR="00A76ADB" w:rsidRPr="00713999" w14:paraId="12B1F562" w14:textId="77777777" w:rsidTr="00CF7215">
        <w:trPr>
          <w:cantSplit/>
          <w:trHeight w:val="283"/>
        </w:trPr>
        <w:tc>
          <w:tcPr>
            <w:tcW w:w="0" w:type="auto"/>
            <w:shd w:val="clear" w:color="auto" w:fill="FFFFFF"/>
            <w:tcMar>
              <w:top w:w="0" w:type="dxa"/>
              <w:left w:w="108" w:type="dxa"/>
              <w:bottom w:w="0" w:type="dxa"/>
              <w:right w:w="108" w:type="dxa"/>
            </w:tcMar>
            <w:vAlign w:val="center"/>
          </w:tcPr>
          <w:p w14:paraId="577D896B"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2011</w:t>
            </w:r>
          </w:p>
        </w:tc>
        <w:tc>
          <w:tcPr>
            <w:tcW w:w="0" w:type="auto"/>
            <w:shd w:val="clear" w:color="auto" w:fill="FFFFFF"/>
            <w:tcMar>
              <w:top w:w="0" w:type="dxa"/>
              <w:left w:w="108" w:type="dxa"/>
              <w:bottom w:w="0" w:type="dxa"/>
              <w:right w:w="108" w:type="dxa"/>
            </w:tcMar>
            <w:vAlign w:val="center"/>
          </w:tcPr>
          <w:p w14:paraId="060DA2FE"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4,399,400</w:t>
            </w:r>
          </w:p>
        </w:tc>
        <w:tc>
          <w:tcPr>
            <w:tcW w:w="0" w:type="auto"/>
            <w:shd w:val="clear" w:color="auto" w:fill="FFFFFF"/>
            <w:tcMar>
              <w:top w:w="0" w:type="dxa"/>
              <w:left w:w="108" w:type="dxa"/>
              <w:bottom w:w="0" w:type="dxa"/>
              <w:right w:w="108" w:type="dxa"/>
            </w:tcMar>
            <w:vAlign w:val="center"/>
          </w:tcPr>
          <w:p w14:paraId="5432AAF0"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36D489A9"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177.8</w:t>
            </w:r>
          </w:p>
        </w:tc>
      </w:tr>
      <w:tr w:rsidR="00A76ADB" w:rsidRPr="00713999" w14:paraId="1B8C40A0" w14:textId="77777777" w:rsidTr="00CF7215">
        <w:trPr>
          <w:cantSplit/>
          <w:trHeight w:val="283"/>
        </w:trPr>
        <w:tc>
          <w:tcPr>
            <w:tcW w:w="0" w:type="auto"/>
            <w:shd w:val="clear" w:color="auto" w:fill="FFFFFF"/>
            <w:tcMar>
              <w:top w:w="0" w:type="dxa"/>
              <w:left w:w="108" w:type="dxa"/>
              <w:bottom w:w="0" w:type="dxa"/>
              <w:right w:w="108" w:type="dxa"/>
            </w:tcMar>
            <w:vAlign w:val="center"/>
          </w:tcPr>
          <w:p w14:paraId="501F7409"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2012</w:t>
            </w:r>
          </w:p>
        </w:tc>
        <w:tc>
          <w:tcPr>
            <w:tcW w:w="0" w:type="auto"/>
            <w:shd w:val="clear" w:color="auto" w:fill="FFFFFF"/>
            <w:tcMar>
              <w:top w:w="0" w:type="dxa"/>
              <w:left w:w="108" w:type="dxa"/>
              <w:bottom w:w="0" w:type="dxa"/>
              <w:right w:w="108" w:type="dxa"/>
            </w:tcMar>
            <w:vAlign w:val="center"/>
          </w:tcPr>
          <w:p w14:paraId="61B36964"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4,425,900</w:t>
            </w:r>
          </w:p>
        </w:tc>
        <w:tc>
          <w:tcPr>
            <w:tcW w:w="0" w:type="auto"/>
            <w:shd w:val="clear" w:color="auto" w:fill="FFFFFF"/>
            <w:tcMar>
              <w:top w:w="0" w:type="dxa"/>
              <w:left w:w="108" w:type="dxa"/>
              <w:bottom w:w="0" w:type="dxa"/>
              <w:right w:w="108" w:type="dxa"/>
            </w:tcMar>
            <w:vAlign w:val="center"/>
          </w:tcPr>
          <w:p w14:paraId="3ADEFF4A"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Interpolated</w:t>
            </w:r>
          </w:p>
        </w:tc>
        <w:tc>
          <w:tcPr>
            <w:tcW w:w="0" w:type="auto"/>
            <w:shd w:val="clear" w:color="auto" w:fill="FFFFFF"/>
            <w:tcMar>
              <w:top w:w="0" w:type="dxa"/>
              <w:left w:w="108" w:type="dxa"/>
              <w:bottom w:w="0" w:type="dxa"/>
              <w:right w:w="108" w:type="dxa"/>
            </w:tcMar>
            <w:vAlign w:val="center"/>
          </w:tcPr>
          <w:p w14:paraId="17F48B2F"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179.7</w:t>
            </w:r>
          </w:p>
        </w:tc>
      </w:tr>
      <w:tr w:rsidR="00A76ADB" w:rsidRPr="00713999" w14:paraId="7328077B" w14:textId="77777777" w:rsidTr="00CF7215">
        <w:trPr>
          <w:cantSplit/>
          <w:trHeight w:val="283"/>
        </w:trPr>
        <w:tc>
          <w:tcPr>
            <w:tcW w:w="0" w:type="auto"/>
            <w:shd w:val="clear" w:color="auto" w:fill="FFFFFF"/>
            <w:tcMar>
              <w:top w:w="0" w:type="dxa"/>
              <w:left w:w="108" w:type="dxa"/>
              <w:bottom w:w="0" w:type="dxa"/>
              <w:right w:w="108" w:type="dxa"/>
            </w:tcMar>
            <w:vAlign w:val="center"/>
          </w:tcPr>
          <w:p w14:paraId="6E97F697"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2013</w:t>
            </w:r>
          </w:p>
        </w:tc>
        <w:tc>
          <w:tcPr>
            <w:tcW w:w="0" w:type="auto"/>
            <w:shd w:val="clear" w:color="auto" w:fill="FFFFFF"/>
            <w:tcMar>
              <w:top w:w="0" w:type="dxa"/>
              <w:left w:w="108" w:type="dxa"/>
              <w:bottom w:w="0" w:type="dxa"/>
              <w:right w:w="108" w:type="dxa"/>
            </w:tcMar>
            <w:vAlign w:val="center"/>
          </w:tcPr>
          <w:p w14:paraId="56DBEF19"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4,477,400</w:t>
            </w:r>
          </w:p>
        </w:tc>
        <w:tc>
          <w:tcPr>
            <w:tcW w:w="0" w:type="auto"/>
            <w:shd w:val="clear" w:color="auto" w:fill="FFFFFF"/>
            <w:tcMar>
              <w:top w:w="0" w:type="dxa"/>
              <w:left w:w="108" w:type="dxa"/>
              <w:bottom w:w="0" w:type="dxa"/>
              <w:right w:w="108" w:type="dxa"/>
            </w:tcMar>
            <w:vAlign w:val="center"/>
          </w:tcPr>
          <w:p w14:paraId="4E706FD1"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0.032</w:t>
            </w:r>
          </w:p>
        </w:tc>
        <w:tc>
          <w:tcPr>
            <w:tcW w:w="0" w:type="auto"/>
            <w:shd w:val="clear" w:color="auto" w:fill="FFFFFF"/>
            <w:tcMar>
              <w:top w:w="0" w:type="dxa"/>
              <w:left w:w="108" w:type="dxa"/>
              <w:bottom w:w="0" w:type="dxa"/>
              <w:right w:w="108" w:type="dxa"/>
            </w:tcMar>
            <w:vAlign w:val="center"/>
          </w:tcPr>
          <w:p w14:paraId="4A7E87AE"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181.7</w:t>
            </w:r>
          </w:p>
        </w:tc>
      </w:tr>
      <w:tr w:rsidR="00A76ADB" w:rsidRPr="00713999" w14:paraId="7BA5FBC3" w14:textId="77777777" w:rsidTr="00CF7215">
        <w:trPr>
          <w:cantSplit/>
          <w:trHeight w:val="283"/>
        </w:trPr>
        <w:tc>
          <w:tcPr>
            <w:tcW w:w="0" w:type="auto"/>
            <w:shd w:val="clear" w:color="auto" w:fill="FFFFFF"/>
            <w:tcMar>
              <w:top w:w="0" w:type="dxa"/>
              <w:left w:w="108" w:type="dxa"/>
              <w:bottom w:w="0" w:type="dxa"/>
              <w:right w:w="108" w:type="dxa"/>
            </w:tcMar>
            <w:vAlign w:val="center"/>
          </w:tcPr>
          <w:p w14:paraId="61B401C0"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2014</w:t>
            </w:r>
          </w:p>
        </w:tc>
        <w:tc>
          <w:tcPr>
            <w:tcW w:w="0" w:type="auto"/>
            <w:shd w:val="clear" w:color="auto" w:fill="FFFFFF"/>
            <w:tcMar>
              <w:top w:w="0" w:type="dxa"/>
              <w:left w:w="108" w:type="dxa"/>
              <w:bottom w:w="0" w:type="dxa"/>
              <w:right w:w="108" w:type="dxa"/>
            </w:tcMar>
            <w:vAlign w:val="center"/>
          </w:tcPr>
          <w:p w14:paraId="51B41D8F"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4,564,400</w:t>
            </w:r>
          </w:p>
        </w:tc>
        <w:tc>
          <w:tcPr>
            <w:tcW w:w="0" w:type="auto"/>
            <w:shd w:val="clear" w:color="auto" w:fill="FFFFFF"/>
            <w:tcMar>
              <w:top w:w="0" w:type="dxa"/>
              <w:left w:w="108" w:type="dxa"/>
              <w:bottom w:w="0" w:type="dxa"/>
              <w:right w:w="108" w:type="dxa"/>
            </w:tcMar>
            <w:vAlign w:val="center"/>
          </w:tcPr>
          <w:p w14:paraId="05DEC5A1"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0.016</w:t>
            </w:r>
          </w:p>
        </w:tc>
        <w:tc>
          <w:tcPr>
            <w:tcW w:w="0" w:type="auto"/>
            <w:shd w:val="clear" w:color="auto" w:fill="FFFFFF"/>
            <w:tcMar>
              <w:top w:w="0" w:type="dxa"/>
              <w:left w:w="108" w:type="dxa"/>
              <w:bottom w:w="0" w:type="dxa"/>
              <w:right w:w="108" w:type="dxa"/>
            </w:tcMar>
            <w:vAlign w:val="center"/>
          </w:tcPr>
          <w:p w14:paraId="4E505A53"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185.2</w:t>
            </w:r>
          </w:p>
        </w:tc>
      </w:tr>
      <w:tr w:rsidR="00A76ADB" w:rsidRPr="00713999" w14:paraId="29D24EB7" w14:textId="77777777" w:rsidTr="00CF7215">
        <w:trPr>
          <w:cantSplit/>
          <w:trHeight w:val="283"/>
        </w:trPr>
        <w:tc>
          <w:tcPr>
            <w:tcW w:w="0" w:type="auto"/>
            <w:shd w:val="clear" w:color="auto" w:fill="FFFFFF"/>
            <w:tcMar>
              <w:top w:w="0" w:type="dxa"/>
              <w:left w:w="108" w:type="dxa"/>
              <w:bottom w:w="0" w:type="dxa"/>
              <w:right w:w="108" w:type="dxa"/>
            </w:tcMar>
            <w:vAlign w:val="center"/>
          </w:tcPr>
          <w:p w14:paraId="29B87156"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2015</w:t>
            </w:r>
          </w:p>
        </w:tc>
        <w:tc>
          <w:tcPr>
            <w:tcW w:w="0" w:type="auto"/>
            <w:shd w:val="clear" w:color="auto" w:fill="FFFFFF"/>
            <w:tcMar>
              <w:top w:w="0" w:type="dxa"/>
              <w:left w:w="108" w:type="dxa"/>
              <w:bottom w:w="0" w:type="dxa"/>
              <w:right w:w="108" w:type="dxa"/>
            </w:tcMar>
            <w:vAlign w:val="center"/>
          </w:tcPr>
          <w:p w14:paraId="23E0AFB5"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4,663,700</w:t>
            </w:r>
          </w:p>
        </w:tc>
        <w:tc>
          <w:tcPr>
            <w:tcW w:w="0" w:type="auto"/>
            <w:shd w:val="clear" w:color="auto" w:fill="FFFFFF"/>
            <w:tcMar>
              <w:top w:w="0" w:type="dxa"/>
              <w:left w:w="108" w:type="dxa"/>
              <w:bottom w:w="0" w:type="dxa"/>
              <w:right w:w="108" w:type="dxa"/>
            </w:tcMar>
            <w:vAlign w:val="center"/>
          </w:tcPr>
          <w:p w14:paraId="7DC186D2"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0.016</w:t>
            </w:r>
          </w:p>
        </w:tc>
        <w:tc>
          <w:tcPr>
            <w:tcW w:w="0" w:type="auto"/>
            <w:shd w:val="clear" w:color="auto" w:fill="FFFFFF"/>
            <w:tcMar>
              <w:top w:w="0" w:type="dxa"/>
              <w:left w:w="108" w:type="dxa"/>
              <w:bottom w:w="0" w:type="dxa"/>
              <w:right w:w="108" w:type="dxa"/>
            </w:tcMar>
            <w:vAlign w:val="center"/>
          </w:tcPr>
          <w:p w14:paraId="045E1EDA"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189.2</w:t>
            </w:r>
          </w:p>
        </w:tc>
      </w:tr>
      <w:tr w:rsidR="00A76ADB" w:rsidRPr="00713999" w14:paraId="3DE2DDB4" w14:textId="77777777" w:rsidTr="00CF7215">
        <w:trPr>
          <w:cantSplit/>
          <w:trHeight w:val="283"/>
        </w:trPr>
        <w:tc>
          <w:tcPr>
            <w:tcW w:w="0" w:type="auto"/>
            <w:shd w:val="clear" w:color="auto" w:fill="FFFFFF"/>
            <w:tcMar>
              <w:top w:w="0" w:type="dxa"/>
              <w:left w:w="108" w:type="dxa"/>
              <w:bottom w:w="0" w:type="dxa"/>
              <w:right w:w="108" w:type="dxa"/>
            </w:tcMar>
            <w:vAlign w:val="center"/>
          </w:tcPr>
          <w:p w14:paraId="04227AD5"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2016</w:t>
            </w:r>
          </w:p>
        </w:tc>
        <w:tc>
          <w:tcPr>
            <w:tcW w:w="0" w:type="auto"/>
            <w:shd w:val="clear" w:color="auto" w:fill="FFFFFF"/>
            <w:tcMar>
              <w:top w:w="0" w:type="dxa"/>
              <w:left w:w="108" w:type="dxa"/>
              <w:bottom w:w="0" w:type="dxa"/>
              <w:right w:w="108" w:type="dxa"/>
            </w:tcMar>
            <w:vAlign w:val="center"/>
          </w:tcPr>
          <w:p w14:paraId="39CEE145"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4,767,600</w:t>
            </w:r>
          </w:p>
        </w:tc>
        <w:tc>
          <w:tcPr>
            <w:tcW w:w="0" w:type="auto"/>
            <w:shd w:val="clear" w:color="auto" w:fill="FFFFFF"/>
            <w:tcMar>
              <w:top w:w="0" w:type="dxa"/>
              <w:left w:w="108" w:type="dxa"/>
              <w:bottom w:w="0" w:type="dxa"/>
              <w:right w:w="108" w:type="dxa"/>
            </w:tcMar>
            <w:vAlign w:val="center"/>
          </w:tcPr>
          <w:p w14:paraId="50A4EE21"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0.016</w:t>
            </w:r>
          </w:p>
        </w:tc>
        <w:tc>
          <w:tcPr>
            <w:tcW w:w="0" w:type="auto"/>
            <w:shd w:val="clear" w:color="auto" w:fill="FFFFFF"/>
            <w:tcMar>
              <w:top w:w="0" w:type="dxa"/>
              <w:left w:w="108" w:type="dxa"/>
              <w:bottom w:w="0" w:type="dxa"/>
              <w:right w:w="108" w:type="dxa"/>
            </w:tcMar>
            <w:vAlign w:val="center"/>
          </w:tcPr>
          <w:p w14:paraId="62504E90"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193.3</w:t>
            </w:r>
          </w:p>
        </w:tc>
      </w:tr>
      <w:tr w:rsidR="00A76ADB" w:rsidRPr="00713999" w14:paraId="5A115035" w14:textId="77777777" w:rsidTr="00CF7215">
        <w:trPr>
          <w:cantSplit/>
          <w:trHeight w:val="283"/>
        </w:trPr>
        <w:tc>
          <w:tcPr>
            <w:tcW w:w="0" w:type="auto"/>
            <w:shd w:val="clear" w:color="auto" w:fill="FFFFFF"/>
            <w:tcMar>
              <w:top w:w="0" w:type="dxa"/>
              <w:left w:w="108" w:type="dxa"/>
              <w:bottom w:w="0" w:type="dxa"/>
              <w:right w:w="108" w:type="dxa"/>
            </w:tcMar>
            <w:vAlign w:val="center"/>
          </w:tcPr>
          <w:p w14:paraId="436011BD"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2017</w:t>
            </w:r>
          </w:p>
        </w:tc>
        <w:tc>
          <w:tcPr>
            <w:tcW w:w="0" w:type="auto"/>
            <w:shd w:val="clear" w:color="auto" w:fill="FFFFFF"/>
            <w:tcMar>
              <w:top w:w="0" w:type="dxa"/>
              <w:left w:w="108" w:type="dxa"/>
              <w:bottom w:w="0" w:type="dxa"/>
              <w:right w:w="108" w:type="dxa"/>
            </w:tcMar>
            <w:vAlign w:val="center"/>
          </w:tcPr>
          <w:p w14:paraId="57956736"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4,859,500</w:t>
            </w:r>
          </w:p>
        </w:tc>
        <w:tc>
          <w:tcPr>
            <w:tcW w:w="0" w:type="auto"/>
            <w:shd w:val="clear" w:color="auto" w:fill="FFFFFF"/>
            <w:tcMar>
              <w:top w:w="0" w:type="dxa"/>
              <w:left w:w="108" w:type="dxa"/>
              <w:bottom w:w="0" w:type="dxa"/>
              <w:right w:w="108" w:type="dxa"/>
            </w:tcMar>
            <w:vAlign w:val="center"/>
          </w:tcPr>
          <w:p w14:paraId="19A55D82"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0.016</w:t>
            </w:r>
          </w:p>
        </w:tc>
        <w:tc>
          <w:tcPr>
            <w:tcW w:w="0" w:type="auto"/>
            <w:shd w:val="clear" w:color="auto" w:fill="FFFFFF"/>
            <w:tcMar>
              <w:top w:w="0" w:type="dxa"/>
              <w:left w:w="108" w:type="dxa"/>
              <w:bottom w:w="0" w:type="dxa"/>
              <w:right w:w="108" w:type="dxa"/>
            </w:tcMar>
            <w:vAlign w:val="center"/>
          </w:tcPr>
          <w:p w14:paraId="7801045D"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196.8</w:t>
            </w:r>
          </w:p>
        </w:tc>
      </w:tr>
      <w:tr w:rsidR="00A76ADB" w:rsidRPr="00713999" w14:paraId="15052A4D" w14:textId="77777777" w:rsidTr="00CF7215">
        <w:trPr>
          <w:cantSplit/>
          <w:trHeight w:val="283"/>
        </w:trPr>
        <w:tc>
          <w:tcPr>
            <w:tcW w:w="0" w:type="auto"/>
            <w:shd w:val="clear" w:color="auto" w:fill="FFFFFF"/>
            <w:tcMar>
              <w:top w:w="0" w:type="dxa"/>
              <w:left w:w="108" w:type="dxa"/>
              <w:bottom w:w="0" w:type="dxa"/>
              <w:right w:w="108" w:type="dxa"/>
            </w:tcMar>
            <w:vAlign w:val="center"/>
          </w:tcPr>
          <w:p w14:paraId="653ED4CC"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2018</w:t>
            </w:r>
          </w:p>
        </w:tc>
        <w:tc>
          <w:tcPr>
            <w:tcW w:w="0" w:type="auto"/>
            <w:shd w:val="clear" w:color="auto" w:fill="FFFFFF"/>
            <w:tcMar>
              <w:top w:w="0" w:type="dxa"/>
              <w:left w:w="108" w:type="dxa"/>
              <w:bottom w:w="0" w:type="dxa"/>
              <w:right w:w="108" w:type="dxa"/>
            </w:tcMar>
            <w:vAlign w:val="center"/>
          </w:tcPr>
          <w:p w14:paraId="36768441"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4,941,200</w:t>
            </w:r>
          </w:p>
        </w:tc>
        <w:tc>
          <w:tcPr>
            <w:tcW w:w="0" w:type="auto"/>
            <w:shd w:val="clear" w:color="auto" w:fill="FFFFFF"/>
            <w:tcMar>
              <w:top w:w="0" w:type="dxa"/>
              <w:left w:w="108" w:type="dxa"/>
              <w:bottom w:w="0" w:type="dxa"/>
              <w:right w:w="108" w:type="dxa"/>
            </w:tcMar>
            <w:vAlign w:val="center"/>
          </w:tcPr>
          <w:p w14:paraId="7BBC8BE6"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0.016</w:t>
            </w:r>
          </w:p>
        </w:tc>
        <w:tc>
          <w:tcPr>
            <w:tcW w:w="0" w:type="auto"/>
            <w:shd w:val="clear" w:color="auto" w:fill="FFFFFF"/>
            <w:tcMar>
              <w:top w:w="0" w:type="dxa"/>
              <w:left w:w="108" w:type="dxa"/>
              <w:bottom w:w="0" w:type="dxa"/>
              <w:right w:w="108" w:type="dxa"/>
            </w:tcMar>
            <w:vAlign w:val="center"/>
          </w:tcPr>
          <w:p w14:paraId="0B4FF20A"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200.0</w:t>
            </w:r>
          </w:p>
        </w:tc>
      </w:tr>
      <w:tr w:rsidR="00A76ADB" w:rsidRPr="00713999" w14:paraId="4340EFC2" w14:textId="77777777" w:rsidTr="00CF7215">
        <w:trPr>
          <w:cantSplit/>
          <w:trHeight w:val="283"/>
        </w:trPr>
        <w:tc>
          <w:tcPr>
            <w:tcW w:w="0" w:type="auto"/>
            <w:shd w:val="clear" w:color="auto" w:fill="FFFFFF"/>
            <w:tcMar>
              <w:top w:w="0" w:type="dxa"/>
              <w:left w:w="108" w:type="dxa"/>
              <w:bottom w:w="0" w:type="dxa"/>
              <w:right w:w="108" w:type="dxa"/>
            </w:tcMar>
            <w:vAlign w:val="center"/>
          </w:tcPr>
          <w:p w14:paraId="02347616"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2019</w:t>
            </w:r>
          </w:p>
        </w:tc>
        <w:tc>
          <w:tcPr>
            <w:tcW w:w="0" w:type="auto"/>
            <w:shd w:val="clear" w:color="auto" w:fill="FFFFFF"/>
            <w:tcMar>
              <w:top w:w="0" w:type="dxa"/>
              <w:left w:w="108" w:type="dxa"/>
              <w:bottom w:w="0" w:type="dxa"/>
              <w:right w:w="108" w:type="dxa"/>
            </w:tcMar>
            <w:vAlign w:val="center"/>
          </w:tcPr>
          <w:p w14:paraId="31A2E09E"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5,040,400</w:t>
            </w:r>
          </w:p>
        </w:tc>
        <w:tc>
          <w:tcPr>
            <w:tcW w:w="0" w:type="auto"/>
            <w:shd w:val="clear" w:color="auto" w:fill="FFFFFF"/>
            <w:tcMar>
              <w:top w:w="0" w:type="dxa"/>
              <w:left w:w="108" w:type="dxa"/>
              <w:bottom w:w="0" w:type="dxa"/>
              <w:right w:w="108" w:type="dxa"/>
            </w:tcMar>
            <w:vAlign w:val="center"/>
          </w:tcPr>
          <w:p w14:paraId="508FD0D6"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0.016</w:t>
            </w:r>
          </w:p>
        </w:tc>
        <w:tc>
          <w:tcPr>
            <w:tcW w:w="0" w:type="auto"/>
            <w:shd w:val="clear" w:color="auto" w:fill="FFFFFF"/>
            <w:tcMar>
              <w:top w:w="0" w:type="dxa"/>
              <w:left w:w="108" w:type="dxa"/>
              <w:bottom w:w="0" w:type="dxa"/>
              <w:right w:w="108" w:type="dxa"/>
            </w:tcMar>
            <w:vAlign w:val="center"/>
          </w:tcPr>
          <w:p w14:paraId="384B7E81"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203.9</w:t>
            </w:r>
          </w:p>
        </w:tc>
      </w:tr>
      <w:tr w:rsidR="00A76ADB" w:rsidRPr="00713999" w14:paraId="302D6FD2" w14:textId="77777777" w:rsidTr="00CF7215">
        <w:trPr>
          <w:cantSplit/>
          <w:trHeight w:val="283"/>
        </w:trPr>
        <w:tc>
          <w:tcPr>
            <w:tcW w:w="0" w:type="auto"/>
            <w:shd w:val="clear" w:color="auto" w:fill="FFFFFF"/>
            <w:tcMar>
              <w:top w:w="0" w:type="dxa"/>
              <w:left w:w="108" w:type="dxa"/>
              <w:bottom w:w="0" w:type="dxa"/>
              <w:right w:w="108" w:type="dxa"/>
            </w:tcMar>
            <w:vAlign w:val="center"/>
          </w:tcPr>
          <w:p w14:paraId="2D3AB799" w14:textId="77777777" w:rsidR="00A76ADB" w:rsidRPr="00713999" w:rsidRDefault="00A76ADB" w:rsidP="007E3239">
            <w:pPr>
              <w:pStyle w:val="TableText"/>
              <w:spacing w:before="40" w:after="50"/>
              <w:jc w:val="both"/>
              <w:rPr>
                <w:rFonts w:cs="Calibri"/>
                <w:szCs w:val="16"/>
              </w:rPr>
            </w:pPr>
            <w:r w:rsidRPr="00713999">
              <w:rPr>
                <w:rFonts w:eastAsia="Calibri" w:cs="Calibri"/>
                <w:szCs w:val="16"/>
              </w:rPr>
              <w:t>2020</w:t>
            </w:r>
          </w:p>
        </w:tc>
        <w:tc>
          <w:tcPr>
            <w:tcW w:w="0" w:type="auto"/>
            <w:shd w:val="clear" w:color="auto" w:fill="FFFFFF"/>
            <w:tcMar>
              <w:top w:w="0" w:type="dxa"/>
              <w:left w:w="108" w:type="dxa"/>
              <w:bottom w:w="0" w:type="dxa"/>
              <w:right w:w="108" w:type="dxa"/>
            </w:tcMar>
            <w:vAlign w:val="center"/>
          </w:tcPr>
          <w:p w14:paraId="40A2456B" w14:textId="77777777" w:rsidR="00A76ADB" w:rsidRPr="00713999" w:rsidRDefault="00A76ADB" w:rsidP="007E3239">
            <w:pPr>
              <w:pStyle w:val="TableText"/>
              <w:spacing w:before="40" w:after="50"/>
              <w:jc w:val="center"/>
              <w:rPr>
                <w:rFonts w:cs="Calibri"/>
                <w:szCs w:val="16"/>
              </w:rPr>
            </w:pPr>
            <w:r w:rsidRPr="00713999">
              <w:rPr>
                <w:rFonts w:eastAsia="Calibri" w:cs="Calibri"/>
                <w:color w:val="000000"/>
                <w:szCs w:val="16"/>
              </w:rPr>
              <w:t>5,106,400</w:t>
            </w:r>
          </w:p>
        </w:tc>
        <w:tc>
          <w:tcPr>
            <w:tcW w:w="0" w:type="auto"/>
            <w:shd w:val="clear" w:color="auto" w:fill="FFFFFF"/>
            <w:tcMar>
              <w:top w:w="0" w:type="dxa"/>
              <w:left w:w="108" w:type="dxa"/>
              <w:bottom w:w="0" w:type="dxa"/>
              <w:right w:w="108" w:type="dxa"/>
            </w:tcMar>
            <w:vAlign w:val="center"/>
          </w:tcPr>
          <w:p w14:paraId="2C4DF5BC"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0.016</w:t>
            </w:r>
          </w:p>
        </w:tc>
        <w:tc>
          <w:tcPr>
            <w:tcW w:w="0" w:type="auto"/>
            <w:shd w:val="clear" w:color="auto" w:fill="FFFFFF"/>
            <w:tcMar>
              <w:top w:w="0" w:type="dxa"/>
              <w:left w:w="108" w:type="dxa"/>
              <w:bottom w:w="0" w:type="dxa"/>
              <w:right w:w="108" w:type="dxa"/>
            </w:tcMar>
            <w:vAlign w:val="center"/>
          </w:tcPr>
          <w:p w14:paraId="45D8FB4C" w14:textId="77777777" w:rsidR="00A76ADB" w:rsidRPr="00713999" w:rsidRDefault="00A76ADB" w:rsidP="007E3239">
            <w:pPr>
              <w:pStyle w:val="TableText"/>
              <w:spacing w:before="40" w:after="50"/>
              <w:jc w:val="center"/>
              <w:rPr>
                <w:rFonts w:cs="Calibri"/>
                <w:szCs w:val="16"/>
              </w:rPr>
            </w:pPr>
            <w:r w:rsidRPr="00713999">
              <w:rPr>
                <w:rFonts w:cs="Calibri"/>
                <w:color w:val="000000"/>
                <w:szCs w:val="16"/>
              </w:rPr>
              <w:t>206.8</w:t>
            </w:r>
          </w:p>
        </w:tc>
      </w:tr>
    </w:tbl>
    <w:p w14:paraId="5A27A3A1" w14:textId="77777777" w:rsidR="00A76ADB" w:rsidRDefault="00A76ADB" w:rsidP="00A76ADB">
      <w:pPr>
        <w:pStyle w:val="Heading5"/>
        <w:spacing w:before="360"/>
      </w:pPr>
      <w:bookmarkStart w:id="2431" w:name="industrial-wastewater-5.d.2-1"/>
      <w:bookmarkEnd w:id="2429"/>
      <w:r>
        <w:t>Industrial wastewater (5.D.2)</w:t>
      </w:r>
    </w:p>
    <w:p w14:paraId="3DBD373F" w14:textId="77777777" w:rsidR="00A76ADB" w:rsidRDefault="00A76ADB" w:rsidP="00A76ADB">
      <w:pPr>
        <w:pStyle w:val="BodyText"/>
      </w:pPr>
      <w:r>
        <w:t>The following industries are identified as having organic-rich wastewaters that are treated anaerobically (in order of significance): meat processing, pulp and paper, and other industries described below. Table 7.5.3 reports the activity data for the amount of total organic product in wastewater (TOW) across the main industries.</w:t>
      </w:r>
    </w:p>
    <w:p w14:paraId="1EFD4AF9" w14:textId="77777777" w:rsidR="00A76ADB" w:rsidRDefault="00A76ADB" w:rsidP="00A76ADB">
      <w:pPr>
        <w:pStyle w:val="Table"/>
      </w:pPr>
      <w:bookmarkStart w:id="2432" w:name="_Toc99659342"/>
      <w:r>
        <w:t>Table 7.5.3</w:t>
      </w:r>
      <w:r>
        <w:tab/>
        <w:t>Total organic product producing methane from industrial wastewater from 1990 to 2020</w:t>
      </w:r>
      <w:bookmarkEnd w:id="2432"/>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41"/>
        <w:gridCol w:w="1825"/>
        <w:gridCol w:w="2323"/>
        <w:gridCol w:w="2031"/>
        <w:gridCol w:w="1785"/>
      </w:tblGrid>
      <w:tr w:rsidR="00A76ADB" w:rsidRPr="006C0D1B" w14:paraId="06173C52" w14:textId="77777777" w:rsidTr="00CF7215">
        <w:trPr>
          <w:cantSplit/>
          <w:tblHeader/>
        </w:trPr>
        <w:tc>
          <w:tcPr>
            <w:tcW w:w="0" w:type="auto"/>
            <w:shd w:val="clear" w:color="auto" w:fill="1B556B"/>
            <w:tcMar>
              <w:top w:w="0" w:type="dxa"/>
              <w:left w:w="108" w:type="dxa"/>
              <w:bottom w:w="0" w:type="dxa"/>
              <w:right w:w="108" w:type="dxa"/>
            </w:tcMar>
            <w:vAlign w:val="bottom"/>
          </w:tcPr>
          <w:p w14:paraId="7631F930" w14:textId="77777777" w:rsidR="00A76ADB" w:rsidRPr="006C0D1B" w:rsidRDefault="00A76ADB" w:rsidP="007E3239">
            <w:pPr>
              <w:pStyle w:val="TableTextBold"/>
              <w:spacing w:before="40" w:after="40"/>
              <w:rPr>
                <w:rFonts w:cs="Calibri"/>
                <w:color w:val="FFFFFF"/>
                <w:szCs w:val="16"/>
              </w:rPr>
            </w:pPr>
            <w:r w:rsidRPr="006C0D1B">
              <w:rPr>
                <w:rFonts w:eastAsia="Calibri" w:cs="Calibri"/>
                <w:color w:val="FFFFFF"/>
                <w:szCs w:val="16"/>
              </w:rPr>
              <w:t>Year</w:t>
            </w:r>
          </w:p>
        </w:tc>
        <w:tc>
          <w:tcPr>
            <w:tcW w:w="0" w:type="auto"/>
            <w:shd w:val="clear" w:color="auto" w:fill="1B556B"/>
            <w:tcMar>
              <w:top w:w="0" w:type="dxa"/>
              <w:left w:w="108" w:type="dxa"/>
              <w:bottom w:w="0" w:type="dxa"/>
              <w:right w:w="108" w:type="dxa"/>
            </w:tcMar>
            <w:vAlign w:val="bottom"/>
          </w:tcPr>
          <w:p w14:paraId="76319242" w14:textId="77777777" w:rsidR="00A76ADB" w:rsidRPr="006C0D1B" w:rsidRDefault="00A76ADB" w:rsidP="007E3239">
            <w:pPr>
              <w:pStyle w:val="TableTextBold"/>
              <w:spacing w:before="40" w:after="40"/>
              <w:jc w:val="center"/>
              <w:rPr>
                <w:rFonts w:cs="Calibri"/>
                <w:color w:val="FFFFFF"/>
                <w:szCs w:val="16"/>
              </w:rPr>
            </w:pPr>
            <w:r w:rsidRPr="006C0D1B">
              <w:rPr>
                <w:rFonts w:eastAsia="Calibri" w:cs="Calibri"/>
                <w:color w:val="FFFFFF"/>
                <w:szCs w:val="16"/>
              </w:rPr>
              <w:t>Meat industries TOW (kt)</w:t>
            </w:r>
          </w:p>
        </w:tc>
        <w:tc>
          <w:tcPr>
            <w:tcW w:w="0" w:type="auto"/>
            <w:shd w:val="clear" w:color="auto" w:fill="1B556B"/>
            <w:tcMar>
              <w:top w:w="0" w:type="dxa"/>
              <w:left w:w="108" w:type="dxa"/>
              <w:bottom w:w="0" w:type="dxa"/>
              <w:right w:w="108" w:type="dxa"/>
            </w:tcMar>
            <w:vAlign w:val="bottom"/>
          </w:tcPr>
          <w:p w14:paraId="66C4D680" w14:textId="77777777" w:rsidR="00A76ADB" w:rsidRPr="006C0D1B" w:rsidRDefault="00A76ADB" w:rsidP="007E3239">
            <w:pPr>
              <w:pStyle w:val="TableTextBold"/>
              <w:spacing w:before="40" w:after="40"/>
              <w:jc w:val="center"/>
              <w:rPr>
                <w:rFonts w:cs="Calibri"/>
                <w:color w:val="FFFFFF"/>
                <w:szCs w:val="16"/>
              </w:rPr>
            </w:pPr>
            <w:r w:rsidRPr="006C0D1B">
              <w:rPr>
                <w:rFonts w:eastAsia="Calibri" w:cs="Calibri"/>
                <w:color w:val="FFFFFF"/>
                <w:szCs w:val="16"/>
              </w:rPr>
              <w:t>Pulp and paper industry TOW (kt)</w:t>
            </w:r>
          </w:p>
        </w:tc>
        <w:tc>
          <w:tcPr>
            <w:tcW w:w="0" w:type="auto"/>
            <w:shd w:val="clear" w:color="auto" w:fill="1B556B"/>
            <w:tcMar>
              <w:top w:w="0" w:type="dxa"/>
              <w:left w:w="108" w:type="dxa"/>
              <w:bottom w:w="0" w:type="dxa"/>
              <w:right w:w="108" w:type="dxa"/>
            </w:tcMar>
            <w:vAlign w:val="bottom"/>
          </w:tcPr>
          <w:p w14:paraId="2865D554" w14:textId="77777777" w:rsidR="00A76ADB" w:rsidRPr="006C0D1B" w:rsidRDefault="00A76ADB" w:rsidP="007E3239">
            <w:pPr>
              <w:pStyle w:val="TableTextBold"/>
              <w:spacing w:before="40" w:after="40"/>
              <w:jc w:val="center"/>
              <w:rPr>
                <w:rFonts w:cs="Calibri"/>
                <w:color w:val="FFFFFF"/>
                <w:szCs w:val="16"/>
              </w:rPr>
            </w:pPr>
            <w:r w:rsidRPr="006C0D1B">
              <w:rPr>
                <w:rFonts w:eastAsia="Calibri" w:cs="Calibri"/>
                <w:color w:val="FFFFFF"/>
                <w:szCs w:val="16"/>
              </w:rPr>
              <w:t>All other industries TOW (kt)</w:t>
            </w:r>
          </w:p>
        </w:tc>
        <w:tc>
          <w:tcPr>
            <w:tcW w:w="0" w:type="auto"/>
            <w:shd w:val="clear" w:color="auto" w:fill="1B556B"/>
            <w:tcMar>
              <w:top w:w="0" w:type="dxa"/>
              <w:left w:w="108" w:type="dxa"/>
              <w:bottom w:w="0" w:type="dxa"/>
              <w:right w:w="108" w:type="dxa"/>
            </w:tcMar>
            <w:vAlign w:val="bottom"/>
          </w:tcPr>
          <w:p w14:paraId="65B5AF69" w14:textId="77777777" w:rsidR="00A76ADB" w:rsidRPr="006C0D1B" w:rsidRDefault="00A76ADB" w:rsidP="007E3239">
            <w:pPr>
              <w:pStyle w:val="TableTextBold"/>
              <w:spacing w:before="40" w:after="40"/>
              <w:jc w:val="center"/>
              <w:rPr>
                <w:rFonts w:cs="Calibri"/>
                <w:color w:val="FFFFFF"/>
                <w:szCs w:val="16"/>
              </w:rPr>
            </w:pPr>
            <w:r w:rsidRPr="006C0D1B">
              <w:rPr>
                <w:rFonts w:eastAsia="Calibri" w:cs="Calibri"/>
                <w:color w:val="FFFFFF"/>
                <w:szCs w:val="16"/>
              </w:rPr>
              <w:t>Total industrial TOW (kt)</w:t>
            </w:r>
          </w:p>
        </w:tc>
      </w:tr>
      <w:tr w:rsidR="00A76ADB" w:rsidRPr="00713999" w14:paraId="3B3B5093" w14:textId="77777777" w:rsidTr="00CF7215">
        <w:trPr>
          <w:cantSplit/>
          <w:trHeight w:val="283"/>
        </w:trPr>
        <w:tc>
          <w:tcPr>
            <w:tcW w:w="0" w:type="auto"/>
            <w:shd w:val="clear" w:color="auto" w:fill="FFFFFF"/>
            <w:tcMar>
              <w:top w:w="0" w:type="dxa"/>
              <w:left w:w="108" w:type="dxa"/>
              <w:bottom w:w="0" w:type="dxa"/>
              <w:right w:w="108" w:type="dxa"/>
            </w:tcMar>
            <w:vAlign w:val="center"/>
          </w:tcPr>
          <w:p w14:paraId="4471BBDA" w14:textId="77777777" w:rsidR="00A76ADB" w:rsidRPr="00713999" w:rsidRDefault="00A76ADB" w:rsidP="007E3239">
            <w:pPr>
              <w:pStyle w:val="TableText"/>
              <w:spacing w:before="40" w:after="40"/>
              <w:rPr>
                <w:rFonts w:cs="Calibri"/>
                <w:szCs w:val="16"/>
              </w:rPr>
            </w:pPr>
            <w:r w:rsidRPr="00713999">
              <w:rPr>
                <w:rFonts w:eastAsia="Calibri" w:cs="Calibri"/>
                <w:szCs w:val="16"/>
              </w:rPr>
              <w:t>1990</w:t>
            </w:r>
          </w:p>
        </w:tc>
        <w:tc>
          <w:tcPr>
            <w:tcW w:w="0" w:type="auto"/>
            <w:shd w:val="clear" w:color="auto" w:fill="FFFFFF"/>
            <w:tcMar>
              <w:top w:w="0" w:type="dxa"/>
              <w:left w:w="108" w:type="dxa"/>
              <w:bottom w:w="0" w:type="dxa"/>
              <w:right w:w="108" w:type="dxa"/>
            </w:tcMar>
            <w:vAlign w:val="center"/>
          </w:tcPr>
          <w:p w14:paraId="5A407E86"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55.65</w:t>
            </w:r>
          </w:p>
        </w:tc>
        <w:tc>
          <w:tcPr>
            <w:tcW w:w="0" w:type="auto"/>
            <w:shd w:val="clear" w:color="auto" w:fill="FFFFFF"/>
            <w:tcMar>
              <w:top w:w="0" w:type="dxa"/>
              <w:left w:w="108" w:type="dxa"/>
              <w:bottom w:w="0" w:type="dxa"/>
              <w:right w:w="108" w:type="dxa"/>
            </w:tcMar>
            <w:vAlign w:val="center"/>
          </w:tcPr>
          <w:p w14:paraId="7742BCD5"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71.68</w:t>
            </w:r>
          </w:p>
        </w:tc>
        <w:tc>
          <w:tcPr>
            <w:tcW w:w="0" w:type="auto"/>
            <w:shd w:val="clear" w:color="auto" w:fill="FFFFFF"/>
            <w:tcMar>
              <w:top w:w="0" w:type="dxa"/>
              <w:left w:w="108" w:type="dxa"/>
              <w:bottom w:w="0" w:type="dxa"/>
              <w:right w:w="108" w:type="dxa"/>
            </w:tcMar>
            <w:vAlign w:val="center"/>
          </w:tcPr>
          <w:p w14:paraId="565335A2"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20.20</w:t>
            </w:r>
          </w:p>
        </w:tc>
        <w:tc>
          <w:tcPr>
            <w:tcW w:w="0" w:type="auto"/>
            <w:shd w:val="clear" w:color="auto" w:fill="FFFFFF"/>
            <w:tcMar>
              <w:top w:w="0" w:type="dxa"/>
              <w:left w:w="108" w:type="dxa"/>
              <w:bottom w:w="0" w:type="dxa"/>
              <w:right w:w="108" w:type="dxa"/>
            </w:tcMar>
            <w:vAlign w:val="center"/>
          </w:tcPr>
          <w:p w14:paraId="513D643D"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147.53</w:t>
            </w:r>
          </w:p>
        </w:tc>
      </w:tr>
      <w:tr w:rsidR="00A76ADB" w:rsidRPr="00713999" w14:paraId="254C67B8" w14:textId="77777777" w:rsidTr="00CF7215">
        <w:trPr>
          <w:cantSplit/>
          <w:trHeight w:val="283"/>
        </w:trPr>
        <w:tc>
          <w:tcPr>
            <w:tcW w:w="0" w:type="auto"/>
            <w:shd w:val="clear" w:color="auto" w:fill="FFFFFF"/>
            <w:tcMar>
              <w:top w:w="0" w:type="dxa"/>
              <w:left w:w="108" w:type="dxa"/>
              <w:bottom w:w="0" w:type="dxa"/>
              <w:right w:w="108" w:type="dxa"/>
            </w:tcMar>
            <w:vAlign w:val="center"/>
          </w:tcPr>
          <w:p w14:paraId="6D8EFE20" w14:textId="77777777" w:rsidR="00A76ADB" w:rsidRPr="00713999" w:rsidRDefault="00A76ADB" w:rsidP="007E3239">
            <w:pPr>
              <w:pStyle w:val="TableText"/>
              <w:spacing w:before="40" w:after="40"/>
              <w:rPr>
                <w:rFonts w:cs="Calibri"/>
                <w:szCs w:val="16"/>
              </w:rPr>
            </w:pPr>
            <w:r w:rsidRPr="00713999">
              <w:rPr>
                <w:rFonts w:eastAsia="Calibri" w:cs="Calibri"/>
                <w:szCs w:val="16"/>
              </w:rPr>
              <w:t>1991</w:t>
            </w:r>
          </w:p>
        </w:tc>
        <w:tc>
          <w:tcPr>
            <w:tcW w:w="0" w:type="auto"/>
            <w:shd w:val="clear" w:color="auto" w:fill="FFFFFF"/>
            <w:tcMar>
              <w:top w:w="0" w:type="dxa"/>
              <w:left w:w="108" w:type="dxa"/>
              <w:bottom w:w="0" w:type="dxa"/>
              <w:right w:w="108" w:type="dxa"/>
            </w:tcMar>
            <w:vAlign w:val="center"/>
          </w:tcPr>
          <w:p w14:paraId="21B812F4"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59.17</w:t>
            </w:r>
          </w:p>
        </w:tc>
        <w:tc>
          <w:tcPr>
            <w:tcW w:w="0" w:type="auto"/>
            <w:shd w:val="clear" w:color="auto" w:fill="FFFFFF"/>
            <w:tcMar>
              <w:top w:w="0" w:type="dxa"/>
              <w:left w:w="108" w:type="dxa"/>
              <w:bottom w:w="0" w:type="dxa"/>
              <w:right w:w="108" w:type="dxa"/>
            </w:tcMar>
            <w:vAlign w:val="center"/>
          </w:tcPr>
          <w:p w14:paraId="2DBBE1E6"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78.16</w:t>
            </w:r>
          </w:p>
        </w:tc>
        <w:tc>
          <w:tcPr>
            <w:tcW w:w="0" w:type="auto"/>
            <w:shd w:val="clear" w:color="auto" w:fill="FFFFFF"/>
            <w:tcMar>
              <w:top w:w="0" w:type="dxa"/>
              <w:left w:w="108" w:type="dxa"/>
              <w:bottom w:w="0" w:type="dxa"/>
              <w:right w:w="108" w:type="dxa"/>
            </w:tcMar>
            <w:vAlign w:val="center"/>
          </w:tcPr>
          <w:p w14:paraId="1BD6046E"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18.75</w:t>
            </w:r>
          </w:p>
        </w:tc>
        <w:tc>
          <w:tcPr>
            <w:tcW w:w="0" w:type="auto"/>
            <w:shd w:val="clear" w:color="auto" w:fill="FFFFFF"/>
            <w:tcMar>
              <w:top w:w="0" w:type="dxa"/>
              <w:left w:w="108" w:type="dxa"/>
              <w:bottom w:w="0" w:type="dxa"/>
              <w:right w:w="108" w:type="dxa"/>
            </w:tcMar>
            <w:vAlign w:val="center"/>
          </w:tcPr>
          <w:p w14:paraId="7C74BB8F"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156.08</w:t>
            </w:r>
          </w:p>
        </w:tc>
      </w:tr>
      <w:tr w:rsidR="00A76ADB" w:rsidRPr="00713999" w14:paraId="1487B122" w14:textId="77777777" w:rsidTr="00CF7215">
        <w:trPr>
          <w:cantSplit/>
          <w:trHeight w:val="283"/>
        </w:trPr>
        <w:tc>
          <w:tcPr>
            <w:tcW w:w="0" w:type="auto"/>
            <w:shd w:val="clear" w:color="auto" w:fill="FFFFFF"/>
            <w:tcMar>
              <w:top w:w="0" w:type="dxa"/>
              <w:left w:w="108" w:type="dxa"/>
              <w:bottom w:w="0" w:type="dxa"/>
              <w:right w:w="108" w:type="dxa"/>
            </w:tcMar>
            <w:vAlign w:val="center"/>
          </w:tcPr>
          <w:p w14:paraId="7F33C09A" w14:textId="77777777" w:rsidR="00A76ADB" w:rsidRPr="00713999" w:rsidRDefault="00A76ADB" w:rsidP="007E3239">
            <w:pPr>
              <w:pStyle w:val="TableText"/>
              <w:spacing w:before="40" w:after="40"/>
              <w:rPr>
                <w:rFonts w:cs="Calibri"/>
                <w:szCs w:val="16"/>
              </w:rPr>
            </w:pPr>
            <w:r w:rsidRPr="00713999">
              <w:rPr>
                <w:rFonts w:eastAsia="Calibri" w:cs="Calibri"/>
                <w:szCs w:val="16"/>
              </w:rPr>
              <w:t>1992</w:t>
            </w:r>
          </w:p>
        </w:tc>
        <w:tc>
          <w:tcPr>
            <w:tcW w:w="0" w:type="auto"/>
            <w:shd w:val="clear" w:color="auto" w:fill="FFFFFF"/>
            <w:tcMar>
              <w:top w:w="0" w:type="dxa"/>
              <w:left w:w="108" w:type="dxa"/>
              <w:bottom w:w="0" w:type="dxa"/>
              <w:right w:w="108" w:type="dxa"/>
            </w:tcMar>
            <w:vAlign w:val="center"/>
          </w:tcPr>
          <w:p w14:paraId="7F70CE13"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64.13</w:t>
            </w:r>
          </w:p>
        </w:tc>
        <w:tc>
          <w:tcPr>
            <w:tcW w:w="0" w:type="auto"/>
            <w:shd w:val="clear" w:color="auto" w:fill="FFFFFF"/>
            <w:tcMar>
              <w:top w:w="0" w:type="dxa"/>
              <w:left w:w="108" w:type="dxa"/>
              <w:bottom w:w="0" w:type="dxa"/>
              <w:right w:w="108" w:type="dxa"/>
            </w:tcMar>
            <w:vAlign w:val="center"/>
          </w:tcPr>
          <w:p w14:paraId="259EB21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76.44</w:t>
            </w:r>
          </w:p>
        </w:tc>
        <w:tc>
          <w:tcPr>
            <w:tcW w:w="0" w:type="auto"/>
            <w:shd w:val="clear" w:color="auto" w:fill="FFFFFF"/>
            <w:tcMar>
              <w:top w:w="0" w:type="dxa"/>
              <w:left w:w="108" w:type="dxa"/>
              <w:bottom w:w="0" w:type="dxa"/>
              <w:right w:w="108" w:type="dxa"/>
            </w:tcMar>
            <w:vAlign w:val="center"/>
          </w:tcPr>
          <w:p w14:paraId="54236B62"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17.23</w:t>
            </w:r>
          </w:p>
        </w:tc>
        <w:tc>
          <w:tcPr>
            <w:tcW w:w="0" w:type="auto"/>
            <w:shd w:val="clear" w:color="auto" w:fill="FFFFFF"/>
            <w:tcMar>
              <w:top w:w="0" w:type="dxa"/>
              <w:left w:w="108" w:type="dxa"/>
              <w:bottom w:w="0" w:type="dxa"/>
              <w:right w:w="108" w:type="dxa"/>
            </w:tcMar>
            <w:vAlign w:val="center"/>
          </w:tcPr>
          <w:p w14:paraId="6DDB6391"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157.80</w:t>
            </w:r>
          </w:p>
        </w:tc>
      </w:tr>
      <w:tr w:rsidR="00A76ADB" w:rsidRPr="00713999" w14:paraId="0B5C627A" w14:textId="77777777" w:rsidTr="00CF7215">
        <w:trPr>
          <w:cantSplit/>
          <w:trHeight w:val="283"/>
        </w:trPr>
        <w:tc>
          <w:tcPr>
            <w:tcW w:w="0" w:type="auto"/>
            <w:shd w:val="clear" w:color="auto" w:fill="FFFFFF"/>
            <w:tcMar>
              <w:top w:w="0" w:type="dxa"/>
              <w:left w:w="108" w:type="dxa"/>
              <w:bottom w:w="0" w:type="dxa"/>
              <w:right w:w="108" w:type="dxa"/>
            </w:tcMar>
            <w:vAlign w:val="center"/>
          </w:tcPr>
          <w:p w14:paraId="34A317C8" w14:textId="77777777" w:rsidR="00A76ADB" w:rsidRPr="00713999" w:rsidRDefault="00A76ADB" w:rsidP="007E3239">
            <w:pPr>
              <w:pStyle w:val="TableText"/>
              <w:spacing w:before="40" w:after="40"/>
              <w:rPr>
                <w:rFonts w:cs="Calibri"/>
                <w:szCs w:val="16"/>
              </w:rPr>
            </w:pPr>
            <w:r w:rsidRPr="00713999">
              <w:rPr>
                <w:rFonts w:eastAsia="Calibri" w:cs="Calibri"/>
                <w:szCs w:val="16"/>
              </w:rPr>
              <w:t>1993</w:t>
            </w:r>
          </w:p>
        </w:tc>
        <w:tc>
          <w:tcPr>
            <w:tcW w:w="0" w:type="auto"/>
            <w:shd w:val="clear" w:color="auto" w:fill="FFFFFF"/>
            <w:tcMar>
              <w:top w:w="0" w:type="dxa"/>
              <w:left w:w="108" w:type="dxa"/>
              <w:bottom w:w="0" w:type="dxa"/>
              <w:right w:w="108" w:type="dxa"/>
            </w:tcMar>
            <w:vAlign w:val="center"/>
          </w:tcPr>
          <w:p w14:paraId="6FD4107F"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59.25</w:t>
            </w:r>
          </w:p>
        </w:tc>
        <w:tc>
          <w:tcPr>
            <w:tcW w:w="0" w:type="auto"/>
            <w:shd w:val="clear" w:color="auto" w:fill="FFFFFF"/>
            <w:tcMar>
              <w:top w:w="0" w:type="dxa"/>
              <w:left w:w="108" w:type="dxa"/>
              <w:bottom w:w="0" w:type="dxa"/>
              <w:right w:w="108" w:type="dxa"/>
            </w:tcMar>
            <w:vAlign w:val="center"/>
          </w:tcPr>
          <w:p w14:paraId="3589C4DC"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72.98</w:t>
            </w:r>
          </w:p>
        </w:tc>
        <w:tc>
          <w:tcPr>
            <w:tcW w:w="0" w:type="auto"/>
            <w:shd w:val="clear" w:color="auto" w:fill="FFFFFF"/>
            <w:tcMar>
              <w:top w:w="0" w:type="dxa"/>
              <w:left w:w="108" w:type="dxa"/>
              <w:bottom w:w="0" w:type="dxa"/>
              <w:right w:w="108" w:type="dxa"/>
            </w:tcMar>
            <w:vAlign w:val="center"/>
          </w:tcPr>
          <w:p w14:paraId="0151F4F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15.68</w:t>
            </w:r>
          </w:p>
        </w:tc>
        <w:tc>
          <w:tcPr>
            <w:tcW w:w="0" w:type="auto"/>
            <w:shd w:val="clear" w:color="auto" w:fill="FFFFFF"/>
            <w:tcMar>
              <w:top w:w="0" w:type="dxa"/>
              <w:left w:w="108" w:type="dxa"/>
              <w:bottom w:w="0" w:type="dxa"/>
              <w:right w:w="108" w:type="dxa"/>
            </w:tcMar>
            <w:vAlign w:val="center"/>
          </w:tcPr>
          <w:p w14:paraId="402FF87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147.92</w:t>
            </w:r>
          </w:p>
        </w:tc>
      </w:tr>
      <w:tr w:rsidR="00A76ADB" w:rsidRPr="00713999" w14:paraId="091CD609" w14:textId="77777777" w:rsidTr="00CF7215">
        <w:trPr>
          <w:cantSplit/>
          <w:trHeight w:val="283"/>
        </w:trPr>
        <w:tc>
          <w:tcPr>
            <w:tcW w:w="0" w:type="auto"/>
            <w:shd w:val="clear" w:color="auto" w:fill="FFFFFF"/>
            <w:tcMar>
              <w:top w:w="0" w:type="dxa"/>
              <w:left w:w="108" w:type="dxa"/>
              <w:bottom w:w="0" w:type="dxa"/>
              <w:right w:w="108" w:type="dxa"/>
            </w:tcMar>
            <w:vAlign w:val="center"/>
          </w:tcPr>
          <w:p w14:paraId="723A8E73" w14:textId="77777777" w:rsidR="00A76ADB" w:rsidRPr="00713999" w:rsidRDefault="00A76ADB" w:rsidP="007E3239">
            <w:pPr>
              <w:pStyle w:val="TableText"/>
              <w:spacing w:before="40" w:after="40"/>
              <w:rPr>
                <w:rFonts w:cs="Calibri"/>
                <w:szCs w:val="16"/>
              </w:rPr>
            </w:pPr>
            <w:r w:rsidRPr="00713999">
              <w:rPr>
                <w:rFonts w:eastAsia="Calibri" w:cs="Calibri"/>
                <w:szCs w:val="16"/>
              </w:rPr>
              <w:lastRenderedPageBreak/>
              <w:t>1994</w:t>
            </w:r>
          </w:p>
        </w:tc>
        <w:tc>
          <w:tcPr>
            <w:tcW w:w="0" w:type="auto"/>
            <w:shd w:val="clear" w:color="auto" w:fill="FFFFFF"/>
            <w:tcMar>
              <w:top w:w="0" w:type="dxa"/>
              <w:left w:w="108" w:type="dxa"/>
              <w:bottom w:w="0" w:type="dxa"/>
              <w:right w:w="108" w:type="dxa"/>
            </w:tcMar>
            <w:vAlign w:val="center"/>
          </w:tcPr>
          <w:p w14:paraId="4B77D174"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62.09</w:t>
            </w:r>
          </w:p>
        </w:tc>
        <w:tc>
          <w:tcPr>
            <w:tcW w:w="0" w:type="auto"/>
            <w:shd w:val="clear" w:color="auto" w:fill="FFFFFF"/>
            <w:tcMar>
              <w:top w:w="0" w:type="dxa"/>
              <w:left w:w="108" w:type="dxa"/>
              <w:bottom w:w="0" w:type="dxa"/>
              <w:right w:w="108" w:type="dxa"/>
            </w:tcMar>
            <w:vAlign w:val="center"/>
          </w:tcPr>
          <w:p w14:paraId="4EAB3CC3"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79.45</w:t>
            </w:r>
          </w:p>
        </w:tc>
        <w:tc>
          <w:tcPr>
            <w:tcW w:w="0" w:type="auto"/>
            <w:shd w:val="clear" w:color="auto" w:fill="FFFFFF"/>
            <w:tcMar>
              <w:top w:w="0" w:type="dxa"/>
              <w:left w:w="108" w:type="dxa"/>
              <w:bottom w:w="0" w:type="dxa"/>
              <w:right w:w="108" w:type="dxa"/>
            </w:tcMar>
            <w:vAlign w:val="center"/>
          </w:tcPr>
          <w:p w14:paraId="1A46D4B7"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14.43</w:t>
            </w:r>
          </w:p>
        </w:tc>
        <w:tc>
          <w:tcPr>
            <w:tcW w:w="0" w:type="auto"/>
            <w:shd w:val="clear" w:color="auto" w:fill="FFFFFF"/>
            <w:tcMar>
              <w:top w:w="0" w:type="dxa"/>
              <w:left w:w="108" w:type="dxa"/>
              <w:bottom w:w="0" w:type="dxa"/>
              <w:right w:w="108" w:type="dxa"/>
            </w:tcMar>
            <w:vAlign w:val="center"/>
          </w:tcPr>
          <w:p w14:paraId="2A5B3C16"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155.97</w:t>
            </w:r>
          </w:p>
        </w:tc>
      </w:tr>
      <w:tr w:rsidR="00A76ADB" w:rsidRPr="00713999" w14:paraId="14BA3CBF" w14:textId="77777777" w:rsidTr="00CF7215">
        <w:trPr>
          <w:cantSplit/>
          <w:trHeight w:val="283"/>
        </w:trPr>
        <w:tc>
          <w:tcPr>
            <w:tcW w:w="0" w:type="auto"/>
            <w:shd w:val="clear" w:color="auto" w:fill="FFFFFF"/>
            <w:tcMar>
              <w:top w:w="0" w:type="dxa"/>
              <w:left w:w="108" w:type="dxa"/>
              <w:bottom w:w="0" w:type="dxa"/>
              <w:right w:w="108" w:type="dxa"/>
            </w:tcMar>
            <w:vAlign w:val="center"/>
          </w:tcPr>
          <w:p w14:paraId="324BDA08" w14:textId="77777777" w:rsidR="00A76ADB" w:rsidRPr="00713999" w:rsidRDefault="00A76ADB" w:rsidP="007E3239">
            <w:pPr>
              <w:pStyle w:val="TableText"/>
              <w:spacing w:before="40" w:after="40"/>
              <w:rPr>
                <w:rFonts w:cs="Calibri"/>
                <w:szCs w:val="16"/>
              </w:rPr>
            </w:pPr>
            <w:r w:rsidRPr="00713999">
              <w:rPr>
                <w:rFonts w:eastAsia="Calibri" w:cs="Calibri"/>
                <w:szCs w:val="16"/>
              </w:rPr>
              <w:t>1995</w:t>
            </w:r>
          </w:p>
        </w:tc>
        <w:tc>
          <w:tcPr>
            <w:tcW w:w="0" w:type="auto"/>
            <w:shd w:val="clear" w:color="auto" w:fill="FFFFFF"/>
            <w:tcMar>
              <w:top w:w="0" w:type="dxa"/>
              <w:left w:w="108" w:type="dxa"/>
              <w:bottom w:w="0" w:type="dxa"/>
              <w:right w:w="108" w:type="dxa"/>
            </w:tcMar>
            <w:vAlign w:val="center"/>
          </w:tcPr>
          <w:p w14:paraId="22F838AE"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64.47</w:t>
            </w:r>
          </w:p>
        </w:tc>
        <w:tc>
          <w:tcPr>
            <w:tcW w:w="0" w:type="auto"/>
            <w:shd w:val="clear" w:color="auto" w:fill="FFFFFF"/>
            <w:tcMar>
              <w:top w:w="0" w:type="dxa"/>
              <w:left w:w="108" w:type="dxa"/>
              <w:bottom w:w="0" w:type="dxa"/>
              <w:right w:w="108" w:type="dxa"/>
            </w:tcMar>
            <w:vAlign w:val="center"/>
          </w:tcPr>
          <w:p w14:paraId="27A32189"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80.52</w:t>
            </w:r>
          </w:p>
        </w:tc>
        <w:tc>
          <w:tcPr>
            <w:tcW w:w="0" w:type="auto"/>
            <w:shd w:val="clear" w:color="auto" w:fill="FFFFFF"/>
            <w:tcMar>
              <w:top w:w="0" w:type="dxa"/>
              <w:left w:w="108" w:type="dxa"/>
              <w:bottom w:w="0" w:type="dxa"/>
              <w:right w:w="108" w:type="dxa"/>
            </w:tcMar>
            <w:vAlign w:val="center"/>
          </w:tcPr>
          <w:p w14:paraId="384A52B2"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13.30</w:t>
            </w:r>
          </w:p>
        </w:tc>
        <w:tc>
          <w:tcPr>
            <w:tcW w:w="0" w:type="auto"/>
            <w:shd w:val="clear" w:color="auto" w:fill="FFFFFF"/>
            <w:tcMar>
              <w:top w:w="0" w:type="dxa"/>
              <w:left w:w="108" w:type="dxa"/>
              <w:bottom w:w="0" w:type="dxa"/>
              <w:right w:w="108" w:type="dxa"/>
            </w:tcMar>
            <w:vAlign w:val="center"/>
          </w:tcPr>
          <w:p w14:paraId="16534CE9"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158.28</w:t>
            </w:r>
          </w:p>
        </w:tc>
      </w:tr>
      <w:tr w:rsidR="00A76ADB" w:rsidRPr="00713999" w14:paraId="3B2D2AAE" w14:textId="77777777" w:rsidTr="00CF7215">
        <w:trPr>
          <w:cantSplit/>
          <w:trHeight w:val="283"/>
        </w:trPr>
        <w:tc>
          <w:tcPr>
            <w:tcW w:w="0" w:type="auto"/>
            <w:shd w:val="clear" w:color="auto" w:fill="FFFFFF"/>
            <w:tcMar>
              <w:top w:w="0" w:type="dxa"/>
              <w:left w:w="108" w:type="dxa"/>
              <w:bottom w:w="0" w:type="dxa"/>
              <w:right w:w="108" w:type="dxa"/>
            </w:tcMar>
            <w:vAlign w:val="center"/>
          </w:tcPr>
          <w:p w14:paraId="47B92468" w14:textId="77777777" w:rsidR="00A76ADB" w:rsidRPr="00713999" w:rsidRDefault="00A76ADB" w:rsidP="007E3239">
            <w:pPr>
              <w:pStyle w:val="TableText"/>
              <w:spacing w:before="40" w:after="40"/>
              <w:rPr>
                <w:rFonts w:cs="Calibri"/>
                <w:szCs w:val="16"/>
              </w:rPr>
            </w:pPr>
            <w:r w:rsidRPr="00713999">
              <w:rPr>
                <w:rFonts w:eastAsia="Calibri" w:cs="Calibri"/>
                <w:szCs w:val="16"/>
              </w:rPr>
              <w:t>1996</w:t>
            </w:r>
          </w:p>
        </w:tc>
        <w:tc>
          <w:tcPr>
            <w:tcW w:w="0" w:type="auto"/>
            <w:shd w:val="clear" w:color="auto" w:fill="FFFFFF"/>
            <w:tcMar>
              <w:top w:w="0" w:type="dxa"/>
              <w:left w:w="108" w:type="dxa"/>
              <w:bottom w:w="0" w:type="dxa"/>
              <w:right w:w="108" w:type="dxa"/>
            </w:tcMar>
            <w:vAlign w:val="center"/>
          </w:tcPr>
          <w:p w14:paraId="24B68C64"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65.73</w:t>
            </w:r>
          </w:p>
        </w:tc>
        <w:tc>
          <w:tcPr>
            <w:tcW w:w="0" w:type="auto"/>
            <w:shd w:val="clear" w:color="auto" w:fill="FFFFFF"/>
            <w:tcMar>
              <w:top w:w="0" w:type="dxa"/>
              <w:left w:w="108" w:type="dxa"/>
              <w:bottom w:w="0" w:type="dxa"/>
              <w:right w:w="108" w:type="dxa"/>
            </w:tcMar>
            <w:vAlign w:val="center"/>
          </w:tcPr>
          <w:p w14:paraId="0A348D4E"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82.74</w:t>
            </w:r>
          </w:p>
        </w:tc>
        <w:tc>
          <w:tcPr>
            <w:tcW w:w="0" w:type="auto"/>
            <w:shd w:val="clear" w:color="auto" w:fill="FFFFFF"/>
            <w:tcMar>
              <w:top w:w="0" w:type="dxa"/>
              <w:left w:w="108" w:type="dxa"/>
              <w:bottom w:w="0" w:type="dxa"/>
              <w:right w:w="108" w:type="dxa"/>
            </w:tcMar>
            <w:vAlign w:val="center"/>
          </w:tcPr>
          <w:p w14:paraId="1D1DACEC"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11.92</w:t>
            </w:r>
          </w:p>
        </w:tc>
        <w:tc>
          <w:tcPr>
            <w:tcW w:w="0" w:type="auto"/>
            <w:shd w:val="clear" w:color="auto" w:fill="FFFFFF"/>
            <w:tcMar>
              <w:top w:w="0" w:type="dxa"/>
              <w:left w:w="108" w:type="dxa"/>
              <w:bottom w:w="0" w:type="dxa"/>
              <w:right w:w="108" w:type="dxa"/>
            </w:tcMar>
            <w:vAlign w:val="center"/>
          </w:tcPr>
          <w:p w14:paraId="167FAD6F"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160.39</w:t>
            </w:r>
          </w:p>
        </w:tc>
      </w:tr>
      <w:tr w:rsidR="00A76ADB" w:rsidRPr="00713999" w14:paraId="644EE1C5" w14:textId="77777777" w:rsidTr="00CF7215">
        <w:trPr>
          <w:cantSplit/>
          <w:trHeight w:val="283"/>
        </w:trPr>
        <w:tc>
          <w:tcPr>
            <w:tcW w:w="0" w:type="auto"/>
            <w:shd w:val="clear" w:color="auto" w:fill="FFFFFF"/>
            <w:tcMar>
              <w:top w:w="0" w:type="dxa"/>
              <w:left w:w="108" w:type="dxa"/>
              <w:bottom w:w="0" w:type="dxa"/>
              <w:right w:w="108" w:type="dxa"/>
            </w:tcMar>
            <w:vAlign w:val="center"/>
          </w:tcPr>
          <w:p w14:paraId="4ECB2742" w14:textId="77777777" w:rsidR="00A76ADB" w:rsidRPr="00713999" w:rsidRDefault="00A76ADB" w:rsidP="007E3239">
            <w:pPr>
              <w:pStyle w:val="TableText"/>
              <w:spacing w:before="40" w:after="40"/>
              <w:rPr>
                <w:rFonts w:cs="Calibri"/>
                <w:szCs w:val="16"/>
              </w:rPr>
            </w:pPr>
            <w:r w:rsidRPr="00713999">
              <w:rPr>
                <w:rFonts w:eastAsia="Calibri" w:cs="Calibri"/>
                <w:szCs w:val="16"/>
              </w:rPr>
              <w:t>1997</w:t>
            </w:r>
          </w:p>
        </w:tc>
        <w:tc>
          <w:tcPr>
            <w:tcW w:w="0" w:type="auto"/>
            <w:shd w:val="clear" w:color="auto" w:fill="FFFFFF"/>
            <w:tcMar>
              <w:top w:w="0" w:type="dxa"/>
              <w:left w:w="108" w:type="dxa"/>
              <w:bottom w:w="0" w:type="dxa"/>
              <w:right w:w="108" w:type="dxa"/>
            </w:tcMar>
            <w:vAlign w:val="center"/>
          </w:tcPr>
          <w:p w14:paraId="62ADE4D8"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66.63</w:t>
            </w:r>
          </w:p>
        </w:tc>
        <w:tc>
          <w:tcPr>
            <w:tcW w:w="0" w:type="auto"/>
            <w:shd w:val="clear" w:color="auto" w:fill="FFFFFF"/>
            <w:tcMar>
              <w:top w:w="0" w:type="dxa"/>
              <w:left w:w="108" w:type="dxa"/>
              <w:bottom w:w="0" w:type="dxa"/>
              <w:right w:w="108" w:type="dxa"/>
            </w:tcMar>
            <w:vAlign w:val="center"/>
          </w:tcPr>
          <w:p w14:paraId="44311274"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81.16</w:t>
            </w:r>
          </w:p>
        </w:tc>
        <w:tc>
          <w:tcPr>
            <w:tcW w:w="0" w:type="auto"/>
            <w:shd w:val="clear" w:color="auto" w:fill="FFFFFF"/>
            <w:tcMar>
              <w:top w:w="0" w:type="dxa"/>
              <w:left w:w="108" w:type="dxa"/>
              <w:bottom w:w="0" w:type="dxa"/>
              <w:right w:w="108" w:type="dxa"/>
            </w:tcMar>
            <w:vAlign w:val="center"/>
          </w:tcPr>
          <w:p w14:paraId="299DB9C5"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10.33</w:t>
            </w:r>
          </w:p>
        </w:tc>
        <w:tc>
          <w:tcPr>
            <w:tcW w:w="0" w:type="auto"/>
            <w:shd w:val="clear" w:color="auto" w:fill="FFFFFF"/>
            <w:tcMar>
              <w:top w:w="0" w:type="dxa"/>
              <w:left w:w="108" w:type="dxa"/>
              <w:bottom w:w="0" w:type="dxa"/>
              <w:right w:w="108" w:type="dxa"/>
            </w:tcMar>
            <w:vAlign w:val="center"/>
          </w:tcPr>
          <w:p w14:paraId="22EC74F0"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158.12</w:t>
            </w:r>
          </w:p>
        </w:tc>
      </w:tr>
      <w:tr w:rsidR="00A76ADB" w:rsidRPr="00713999" w14:paraId="6F727E0C" w14:textId="77777777" w:rsidTr="00CF7215">
        <w:trPr>
          <w:cantSplit/>
          <w:trHeight w:val="283"/>
        </w:trPr>
        <w:tc>
          <w:tcPr>
            <w:tcW w:w="0" w:type="auto"/>
            <w:shd w:val="clear" w:color="auto" w:fill="FFFFFF"/>
            <w:tcMar>
              <w:top w:w="0" w:type="dxa"/>
              <w:left w:w="108" w:type="dxa"/>
              <w:bottom w:w="0" w:type="dxa"/>
              <w:right w:w="108" w:type="dxa"/>
            </w:tcMar>
            <w:vAlign w:val="center"/>
          </w:tcPr>
          <w:p w14:paraId="41382074" w14:textId="77777777" w:rsidR="00A76ADB" w:rsidRPr="00713999" w:rsidRDefault="00A76ADB" w:rsidP="007E3239">
            <w:pPr>
              <w:pStyle w:val="TableText"/>
              <w:spacing w:before="40" w:after="40"/>
              <w:rPr>
                <w:rFonts w:cs="Calibri"/>
                <w:szCs w:val="16"/>
              </w:rPr>
            </w:pPr>
            <w:r w:rsidRPr="00713999">
              <w:rPr>
                <w:rFonts w:eastAsia="Calibri" w:cs="Calibri"/>
                <w:szCs w:val="16"/>
              </w:rPr>
              <w:t>1998</w:t>
            </w:r>
          </w:p>
        </w:tc>
        <w:tc>
          <w:tcPr>
            <w:tcW w:w="0" w:type="auto"/>
            <w:shd w:val="clear" w:color="auto" w:fill="FFFFFF"/>
            <w:tcMar>
              <w:top w:w="0" w:type="dxa"/>
              <w:left w:w="108" w:type="dxa"/>
              <w:bottom w:w="0" w:type="dxa"/>
              <w:right w:w="108" w:type="dxa"/>
            </w:tcMar>
            <w:vAlign w:val="center"/>
          </w:tcPr>
          <w:p w14:paraId="2141CC79"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68.70</w:t>
            </w:r>
          </w:p>
        </w:tc>
        <w:tc>
          <w:tcPr>
            <w:tcW w:w="0" w:type="auto"/>
            <w:shd w:val="clear" w:color="auto" w:fill="FFFFFF"/>
            <w:tcMar>
              <w:top w:w="0" w:type="dxa"/>
              <w:left w:w="108" w:type="dxa"/>
              <w:bottom w:w="0" w:type="dxa"/>
              <w:right w:w="108" w:type="dxa"/>
            </w:tcMar>
            <w:vAlign w:val="center"/>
          </w:tcPr>
          <w:p w14:paraId="744DF89F"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82.50</w:t>
            </w:r>
          </w:p>
        </w:tc>
        <w:tc>
          <w:tcPr>
            <w:tcW w:w="0" w:type="auto"/>
            <w:shd w:val="clear" w:color="auto" w:fill="FFFFFF"/>
            <w:tcMar>
              <w:top w:w="0" w:type="dxa"/>
              <w:left w:w="108" w:type="dxa"/>
              <w:bottom w:w="0" w:type="dxa"/>
              <w:right w:w="108" w:type="dxa"/>
            </w:tcMar>
            <w:vAlign w:val="center"/>
          </w:tcPr>
          <w:p w14:paraId="6E47F494"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9.17</w:t>
            </w:r>
          </w:p>
        </w:tc>
        <w:tc>
          <w:tcPr>
            <w:tcW w:w="0" w:type="auto"/>
            <w:shd w:val="clear" w:color="auto" w:fill="FFFFFF"/>
            <w:tcMar>
              <w:top w:w="0" w:type="dxa"/>
              <w:left w:w="108" w:type="dxa"/>
              <w:bottom w:w="0" w:type="dxa"/>
              <w:right w:w="108" w:type="dxa"/>
            </w:tcMar>
            <w:vAlign w:val="center"/>
          </w:tcPr>
          <w:p w14:paraId="597EC5AE"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160.37</w:t>
            </w:r>
          </w:p>
        </w:tc>
      </w:tr>
      <w:tr w:rsidR="00A76ADB" w:rsidRPr="00713999" w14:paraId="7A71761F" w14:textId="77777777" w:rsidTr="00CF7215">
        <w:trPr>
          <w:cantSplit/>
          <w:trHeight w:val="283"/>
        </w:trPr>
        <w:tc>
          <w:tcPr>
            <w:tcW w:w="0" w:type="auto"/>
            <w:shd w:val="clear" w:color="auto" w:fill="FFFFFF"/>
            <w:tcMar>
              <w:top w:w="0" w:type="dxa"/>
              <w:left w:w="108" w:type="dxa"/>
              <w:bottom w:w="0" w:type="dxa"/>
              <w:right w:w="108" w:type="dxa"/>
            </w:tcMar>
            <w:vAlign w:val="center"/>
          </w:tcPr>
          <w:p w14:paraId="165A8A66" w14:textId="77777777" w:rsidR="00A76ADB" w:rsidRPr="00713999" w:rsidRDefault="00A76ADB" w:rsidP="007E3239">
            <w:pPr>
              <w:pStyle w:val="TableText"/>
              <w:spacing w:before="40" w:after="40"/>
              <w:rPr>
                <w:rFonts w:cs="Calibri"/>
                <w:szCs w:val="16"/>
              </w:rPr>
            </w:pPr>
            <w:r w:rsidRPr="00713999">
              <w:rPr>
                <w:rFonts w:eastAsia="Calibri" w:cs="Calibri"/>
                <w:szCs w:val="16"/>
              </w:rPr>
              <w:t>1999</w:t>
            </w:r>
          </w:p>
        </w:tc>
        <w:tc>
          <w:tcPr>
            <w:tcW w:w="0" w:type="auto"/>
            <w:shd w:val="clear" w:color="auto" w:fill="FFFFFF"/>
            <w:tcMar>
              <w:top w:w="0" w:type="dxa"/>
              <w:left w:w="108" w:type="dxa"/>
              <w:bottom w:w="0" w:type="dxa"/>
              <w:right w:w="108" w:type="dxa"/>
            </w:tcMar>
            <w:vAlign w:val="center"/>
          </w:tcPr>
          <w:p w14:paraId="2A7C1E3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61.35</w:t>
            </w:r>
          </w:p>
        </w:tc>
        <w:tc>
          <w:tcPr>
            <w:tcW w:w="0" w:type="auto"/>
            <w:shd w:val="clear" w:color="auto" w:fill="FFFFFF"/>
            <w:tcMar>
              <w:top w:w="0" w:type="dxa"/>
              <w:left w:w="108" w:type="dxa"/>
              <w:bottom w:w="0" w:type="dxa"/>
              <w:right w:w="108" w:type="dxa"/>
            </w:tcMar>
            <w:vAlign w:val="center"/>
          </w:tcPr>
          <w:p w14:paraId="76A09998"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79.74</w:t>
            </w:r>
          </w:p>
        </w:tc>
        <w:tc>
          <w:tcPr>
            <w:tcW w:w="0" w:type="auto"/>
            <w:shd w:val="clear" w:color="auto" w:fill="FFFFFF"/>
            <w:tcMar>
              <w:top w:w="0" w:type="dxa"/>
              <w:left w:w="108" w:type="dxa"/>
              <w:bottom w:w="0" w:type="dxa"/>
              <w:right w:w="108" w:type="dxa"/>
            </w:tcMar>
            <w:vAlign w:val="center"/>
          </w:tcPr>
          <w:p w14:paraId="0A314619"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7.80</w:t>
            </w:r>
          </w:p>
        </w:tc>
        <w:tc>
          <w:tcPr>
            <w:tcW w:w="0" w:type="auto"/>
            <w:shd w:val="clear" w:color="auto" w:fill="FFFFFF"/>
            <w:tcMar>
              <w:top w:w="0" w:type="dxa"/>
              <w:left w:w="108" w:type="dxa"/>
              <w:bottom w:w="0" w:type="dxa"/>
              <w:right w:w="108" w:type="dxa"/>
            </w:tcMar>
            <w:vAlign w:val="center"/>
          </w:tcPr>
          <w:p w14:paraId="1F5AD386"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148.89</w:t>
            </w:r>
          </w:p>
        </w:tc>
      </w:tr>
      <w:tr w:rsidR="00A76ADB" w:rsidRPr="00713999" w14:paraId="19BCC2FB" w14:textId="77777777" w:rsidTr="00CF7215">
        <w:trPr>
          <w:cantSplit/>
          <w:trHeight w:val="283"/>
        </w:trPr>
        <w:tc>
          <w:tcPr>
            <w:tcW w:w="0" w:type="auto"/>
            <w:shd w:val="clear" w:color="auto" w:fill="FFFFFF"/>
            <w:tcMar>
              <w:top w:w="0" w:type="dxa"/>
              <w:left w:w="108" w:type="dxa"/>
              <w:bottom w:w="0" w:type="dxa"/>
              <w:right w:w="108" w:type="dxa"/>
            </w:tcMar>
            <w:vAlign w:val="center"/>
          </w:tcPr>
          <w:p w14:paraId="6DCD772C" w14:textId="77777777" w:rsidR="00A76ADB" w:rsidRPr="00713999" w:rsidRDefault="00A76ADB" w:rsidP="007E3239">
            <w:pPr>
              <w:pStyle w:val="TableText"/>
              <w:spacing w:before="40" w:after="40"/>
              <w:rPr>
                <w:rFonts w:cs="Calibri"/>
                <w:szCs w:val="16"/>
              </w:rPr>
            </w:pPr>
            <w:r w:rsidRPr="00713999">
              <w:rPr>
                <w:rFonts w:eastAsia="Calibri" w:cs="Calibri"/>
                <w:szCs w:val="16"/>
              </w:rPr>
              <w:t>2000</w:t>
            </w:r>
          </w:p>
        </w:tc>
        <w:tc>
          <w:tcPr>
            <w:tcW w:w="0" w:type="auto"/>
            <w:shd w:val="clear" w:color="auto" w:fill="FFFFFF"/>
            <w:tcMar>
              <w:top w:w="0" w:type="dxa"/>
              <w:left w:w="108" w:type="dxa"/>
              <w:bottom w:w="0" w:type="dxa"/>
              <w:right w:w="108" w:type="dxa"/>
            </w:tcMar>
            <w:vAlign w:val="center"/>
          </w:tcPr>
          <w:p w14:paraId="7E61D32F"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65.85</w:t>
            </w:r>
          </w:p>
        </w:tc>
        <w:tc>
          <w:tcPr>
            <w:tcW w:w="0" w:type="auto"/>
            <w:shd w:val="clear" w:color="auto" w:fill="FFFFFF"/>
            <w:tcMar>
              <w:top w:w="0" w:type="dxa"/>
              <w:left w:w="108" w:type="dxa"/>
              <w:bottom w:w="0" w:type="dxa"/>
              <w:right w:w="108" w:type="dxa"/>
            </w:tcMar>
            <w:vAlign w:val="center"/>
          </w:tcPr>
          <w:p w14:paraId="09EFAA30"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84.87</w:t>
            </w:r>
          </w:p>
        </w:tc>
        <w:tc>
          <w:tcPr>
            <w:tcW w:w="0" w:type="auto"/>
            <w:shd w:val="clear" w:color="auto" w:fill="FFFFFF"/>
            <w:tcMar>
              <w:top w:w="0" w:type="dxa"/>
              <w:left w:w="108" w:type="dxa"/>
              <w:bottom w:w="0" w:type="dxa"/>
              <w:right w:w="108" w:type="dxa"/>
            </w:tcMar>
            <w:vAlign w:val="center"/>
          </w:tcPr>
          <w:p w14:paraId="4A60AD82"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6.41</w:t>
            </w:r>
          </w:p>
        </w:tc>
        <w:tc>
          <w:tcPr>
            <w:tcW w:w="0" w:type="auto"/>
            <w:shd w:val="clear" w:color="auto" w:fill="FFFFFF"/>
            <w:tcMar>
              <w:top w:w="0" w:type="dxa"/>
              <w:left w:w="108" w:type="dxa"/>
              <w:bottom w:w="0" w:type="dxa"/>
              <w:right w:w="108" w:type="dxa"/>
            </w:tcMar>
            <w:vAlign w:val="center"/>
          </w:tcPr>
          <w:p w14:paraId="79ED254C"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157.13</w:t>
            </w:r>
          </w:p>
        </w:tc>
      </w:tr>
      <w:tr w:rsidR="00A76ADB" w:rsidRPr="00713999" w14:paraId="47586EC7" w14:textId="77777777" w:rsidTr="00CF7215">
        <w:trPr>
          <w:cantSplit/>
          <w:trHeight w:val="283"/>
        </w:trPr>
        <w:tc>
          <w:tcPr>
            <w:tcW w:w="0" w:type="auto"/>
            <w:shd w:val="clear" w:color="auto" w:fill="FFFFFF"/>
            <w:tcMar>
              <w:top w:w="0" w:type="dxa"/>
              <w:left w:w="108" w:type="dxa"/>
              <w:bottom w:w="0" w:type="dxa"/>
              <w:right w:w="108" w:type="dxa"/>
            </w:tcMar>
            <w:vAlign w:val="center"/>
          </w:tcPr>
          <w:p w14:paraId="7990E016" w14:textId="77777777" w:rsidR="00A76ADB" w:rsidRPr="00713999" w:rsidRDefault="00A76ADB" w:rsidP="007E3239">
            <w:pPr>
              <w:pStyle w:val="TableText"/>
              <w:spacing w:before="40" w:after="40"/>
              <w:rPr>
                <w:rFonts w:cs="Calibri"/>
                <w:szCs w:val="16"/>
              </w:rPr>
            </w:pPr>
            <w:r w:rsidRPr="00713999">
              <w:rPr>
                <w:rFonts w:eastAsia="Calibri" w:cs="Calibri"/>
                <w:szCs w:val="16"/>
              </w:rPr>
              <w:t>2001</w:t>
            </w:r>
          </w:p>
        </w:tc>
        <w:tc>
          <w:tcPr>
            <w:tcW w:w="0" w:type="auto"/>
            <w:shd w:val="clear" w:color="auto" w:fill="FFFFFF"/>
            <w:tcMar>
              <w:top w:w="0" w:type="dxa"/>
              <w:left w:w="108" w:type="dxa"/>
              <w:bottom w:w="0" w:type="dxa"/>
              <w:right w:w="108" w:type="dxa"/>
            </w:tcMar>
            <w:vAlign w:val="center"/>
          </w:tcPr>
          <w:p w14:paraId="45F1A214"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67.70</w:t>
            </w:r>
          </w:p>
        </w:tc>
        <w:tc>
          <w:tcPr>
            <w:tcW w:w="0" w:type="auto"/>
            <w:shd w:val="clear" w:color="auto" w:fill="FFFFFF"/>
            <w:tcMar>
              <w:top w:w="0" w:type="dxa"/>
              <w:left w:w="108" w:type="dxa"/>
              <w:bottom w:w="0" w:type="dxa"/>
              <w:right w:w="108" w:type="dxa"/>
            </w:tcMar>
            <w:vAlign w:val="center"/>
          </w:tcPr>
          <w:p w14:paraId="61E3BD4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87.98</w:t>
            </w:r>
          </w:p>
        </w:tc>
        <w:tc>
          <w:tcPr>
            <w:tcW w:w="0" w:type="auto"/>
            <w:shd w:val="clear" w:color="auto" w:fill="FFFFFF"/>
            <w:tcMar>
              <w:top w:w="0" w:type="dxa"/>
              <w:left w:w="108" w:type="dxa"/>
              <w:bottom w:w="0" w:type="dxa"/>
              <w:right w:w="108" w:type="dxa"/>
            </w:tcMar>
            <w:vAlign w:val="center"/>
          </w:tcPr>
          <w:p w14:paraId="78E1D2E4"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4.91</w:t>
            </w:r>
          </w:p>
        </w:tc>
        <w:tc>
          <w:tcPr>
            <w:tcW w:w="0" w:type="auto"/>
            <w:shd w:val="clear" w:color="auto" w:fill="FFFFFF"/>
            <w:tcMar>
              <w:top w:w="0" w:type="dxa"/>
              <w:left w:w="108" w:type="dxa"/>
              <w:bottom w:w="0" w:type="dxa"/>
              <w:right w:w="108" w:type="dxa"/>
            </w:tcMar>
            <w:vAlign w:val="center"/>
          </w:tcPr>
          <w:p w14:paraId="0A645D35"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160.58</w:t>
            </w:r>
          </w:p>
        </w:tc>
      </w:tr>
      <w:tr w:rsidR="00A76ADB" w:rsidRPr="00713999" w14:paraId="3DE731AC" w14:textId="77777777" w:rsidTr="00CF7215">
        <w:trPr>
          <w:cantSplit/>
          <w:trHeight w:val="283"/>
        </w:trPr>
        <w:tc>
          <w:tcPr>
            <w:tcW w:w="0" w:type="auto"/>
            <w:shd w:val="clear" w:color="auto" w:fill="FFFFFF"/>
            <w:tcMar>
              <w:top w:w="0" w:type="dxa"/>
              <w:left w:w="108" w:type="dxa"/>
              <w:bottom w:w="0" w:type="dxa"/>
              <w:right w:w="108" w:type="dxa"/>
            </w:tcMar>
            <w:vAlign w:val="center"/>
          </w:tcPr>
          <w:p w14:paraId="269EAECC" w14:textId="77777777" w:rsidR="00A76ADB" w:rsidRPr="00713999" w:rsidRDefault="00A76ADB" w:rsidP="007E3239">
            <w:pPr>
              <w:pStyle w:val="TableText"/>
              <w:spacing w:before="40" w:after="40"/>
              <w:rPr>
                <w:rFonts w:cs="Calibri"/>
                <w:szCs w:val="16"/>
              </w:rPr>
            </w:pPr>
            <w:r w:rsidRPr="00713999">
              <w:rPr>
                <w:rFonts w:eastAsia="Calibri" w:cs="Calibri"/>
                <w:szCs w:val="16"/>
              </w:rPr>
              <w:t>2002</w:t>
            </w:r>
          </w:p>
        </w:tc>
        <w:tc>
          <w:tcPr>
            <w:tcW w:w="0" w:type="auto"/>
            <w:shd w:val="clear" w:color="auto" w:fill="FFFFFF"/>
            <w:tcMar>
              <w:top w:w="0" w:type="dxa"/>
              <w:left w:w="108" w:type="dxa"/>
              <w:bottom w:w="0" w:type="dxa"/>
              <w:right w:w="108" w:type="dxa"/>
            </w:tcMar>
            <w:vAlign w:val="center"/>
          </w:tcPr>
          <w:p w14:paraId="30A48E2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64.98</w:t>
            </w:r>
          </w:p>
        </w:tc>
        <w:tc>
          <w:tcPr>
            <w:tcW w:w="0" w:type="auto"/>
            <w:shd w:val="clear" w:color="auto" w:fill="FFFFFF"/>
            <w:tcMar>
              <w:top w:w="0" w:type="dxa"/>
              <w:left w:w="108" w:type="dxa"/>
              <w:bottom w:w="0" w:type="dxa"/>
              <w:right w:w="108" w:type="dxa"/>
            </w:tcMar>
            <w:vAlign w:val="center"/>
          </w:tcPr>
          <w:p w14:paraId="33EEDB18"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85.34</w:t>
            </w:r>
          </w:p>
        </w:tc>
        <w:tc>
          <w:tcPr>
            <w:tcW w:w="0" w:type="auto"/>
            <w:shd w:val="clear" w:color="auto" w:fill="FFFFFF"/>
            <w:tcMar>
              <w:top w:w="0" w:type="dxa"/>
              <w:left w:w="108" w:type="dxa"/>
              <w:bottom w:w="0" w:type="dxa"/>
              <w:right w:w="108" w:type="dxa"/>
            </w:tcMar>
            <w:vAlign w:val="center"/>
          </w:tcPr>
          <w:p w14:paraId="6D57E887"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5.52</w:t>
            </w:r>
          </w:p>
        </w:tc>
        <w:tc>
          <w:tcPr>
            <w:tcW w:w="0" w:type="auto"/>
            <w:shd w:val="clear" w:color="auto" w:fill="FFFFFF"/>
            <w:tcMar>
              <w:top w:w="0" w:type="dxa"/>
              <w:left w:w="108" w:type="dxa"/>
              <w:bottom w:w="0" w:type="dxa"/>
              <w:right w:w="108" w:type="dxa"/>
            </w:tcMar>
            <w:vAlign w:val="center"/>
          </w:tcPr>
          <w:p w14:paraId="608087D0"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155.83</w:t>
            </w:r>
          </w:p>
        </w:tc>
      </w:tr>
      <w:tr w:rsidR="00A76ADB" w:rsidRPr="00713999" w14:paraId="063796E3" w14:textId="77777777" w:rsidTr="00CF7215">
        <w:trPr>
          <w:cantSplit/>
          <w:trHeight w:val="283"/>
        </w:trPr>
        <w:tc>
          <w:tcPr>
            <w:tcW w:w="0" w:type="auto"/>
            <w:shd w:val="clear" w:color="auto" w:fill="FFFFFF"/>
            <w:tcMar>
              <w:top w:w="0" w:type="dxa"/>
              <w:left w:w="108" w:type="dxa"/>
              <w:bottom w:w="0" w:type="dxa"/>
              <w:right w:w="108" w:type="dxa"/>
            </w:tcMar>
            <w:vAlign w:val="center"/>
          </w:tcPr>
          <w:p w14:paraId="696957AB" w14:textId="77777777" w:rsidR="00A76ADB" w:rsidRPr="00713999" w:rsidRDefault="00A76ADB" w:rsidP="007E3239">
            <w:pPr>
              <w:pStyle w:val="TableText"/>
              <w:spacing w:before="40" w:after="40"/>
              <w:rPr>
                <w:rFonts w:cs="Calibri"/>
                <w:szCs w:val="16"/>
              </w:rPr>
            </w:pPr>
            <w:r w:rsidRPr="00713999">
              <w:rPr>
                <w:rFonts w:eastAsia="Calibri" w:cs="Calibri"/>
                <w:szCs w:val="16"/>
              </w:rPr>
              <w:t>2003</w:t>
            </w:r>
          </w:p>
        </w:tc>
        <w:tc>
          <w:tcPr>
            <w:tcW w:w="0" w:type="auto"/>
            <w:shd w:val="clear" w:color="auto" w:fill="FFFFFF"/>
            <w:tcMar>
              <w:top w:w="0" w:type="dxa"/>
              <w:left w:w="108" w:type="dxa"/>
              <w:bottom w:w="0" w:type="dxa"/>
              <w:right w:w="108" w:type="dxa"/>
            </w:tcMar>
            <w:vAlign w:val="center"/>
          </w:tcPr>
          <w:p w14:paraId="09552034"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70.11</w:t>
            </w:r>
          </w:p>
        </w:tc>
        <w:tc>
          <w:tcPr>
            <w:tcW w:w="0" w:type="auto"/>
            <w:shd w:val="clear" w:color="auto" w:fill="FFFFFF"/>
            <w:tcMar>
              <w:top w:w="0" w:type="dxa"/>
              <w:left w:w="108" w:type="dxa"/>
              <w:bottom w:w="0" w:type="dxa"/>
              <w:right w:w="108" w:type="dxa"/>
            </w:tcMar>
            <w:vAlign w:val="center"/>
          </w:tcPr>
          <w:p w14:paraId="21C11FA4"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85.11</w:t>
            </w:r>
          </w:p>
        </w:tc>
        <w:tc>
          <w:tcPr>
            <w:tcW w:w="0" w:type="auto"/>
            <w:shd w:val="clear" w:color="auto" w:fill="FFFFFF"/>
            <w:tcMar>
              <w:top w:w="0" w:type="dxa"/>
              <w:left w:w="108" w:type="dxa"/>
              <w:bottom w:w="0" w:type="dxa"/>
              <w:right w:w="108" w:type="dxa"/>
            </w:tcMar>
            <w:vAlign w:val="center"/>
          </w:tcPr>
          <w:p w14:paraId="08E7ABA0"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5.01</w:t>
            </w:r>
          </w:p>
        </w:tc>
        <w:tc>
          <w:tcPr>
            <w:tcW w:w="0" w:type="auto"/>
            <w:shd w:val="clear" w:color="auto" w:fill="FFFFFF"/>
            <w:tcMar>
              <w:top w:w="0" w:type="dxa"/>
              <w:left w:w="108" w:type="dxa"/>
              <w:bottom w:w="0" w:type="dxa"/>
              <w:right w:w="108" w:type="dxa"/>
            </w:tcMar>
            <w:vAlign w:val="center"/>
          </w:tcPr>
          <w:p w14:paraId="3AAFD2D2"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160.24</w:t>
            </w:r>
          </w:p>
        </w:tc>
      </w:tr>
      <w:tr w:rsidR="00A76ADB" w:rsidRPr="00713999" w14:paraId="37948CA8" w14:textId="77777777" w:rsidTr="00CF7215">
        <w:trPr>
          <w:cantSplit/>
          <w:trHeight w:val="283"/>
        </w:trPr>
        <w:tc>
          <w:tcPr>
            <w:tcW w:w="0" w:type="auto"/>
            <w:shd w:val="clear" w:color="auto" w:fill="FFFFFF"/>
            <w:tcMar>
              <w:top w:w="0" w:type="dxa"/>
              <w:left w:w="108" w:type="dxa"/>
              <w:bottom w:w="0" w:type="dxa"/>
              <w:right w:w="108" w:type="dxa"/>
            </w:tcMar>
            <w:vAlign w:val="center"/>
          </w:tcPr>
          <w:p w14:paraId="1DA438B7" w14:textId="77777777" w:rsidR="00A76ADB" w:rsidRPr="00713999" w:rsidRDefault="00A76ADB" w:rsidP="007E3239">
            <w:pPr>
              <w:pStyle w:val="TableText"/>
              <w:spacing w:before="40" w:after="40"/>
              <w:rPr>
                <w:rFonts w:cs="Calibri"/>
                <w:szCs w:val="16"/>
              </w:rPr>
            </w:pPr>
            <w:r w:rsidRPr="00713999">
              <w:rPr>
                <w:rFonts w:eastAsia="Calibri" w:cs="Calibri"/>
                <w:szCs w:val="16"/>
              </w:rPr>
              <w:t>2004</w:t>
            </w:r>
          </w:p>
        </w:tc>
        <w:tc>
          <w:tcPr>
            <w:tcW w:w="0" w:type="auto"/>
            <w:shd w:val="clear" w:color="auto" w:fill="FFFFFF"/>
            <w:tcMar>
              <w:top w:w="0" w:type="dxa"/>
              <w:left w:w="108" w:type="dxa"/>
              <w:bottom w:w="0" w:type="dxa"/>
              <w:right w:w="108" w:type="dxa"/>
            </w:tcMar>
            <w:vAlign w:val="center"/>
          </w:tcPr>
          <w:p w14:paraId="40208B70"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73.82</w:t>
            </w:r>
          </w:p>
        </w:tc>
        <w:tc>
          <w:tcPr>
            <w:tcW w:w="0" w:type="auto"/>
            <w:shd w:val="clear" w:color="auto" w:fill="FFFFFF"/>
            <w:tcMar>
              <w:top w:w="0" w:type="dxa"/>
              <w:left w:w="108" w:type="dxa"/>
              <w:bottom w:w="0" w:type="dxa"/>
              <w:right w:w="108" w:type="dxa"/>
            </w:tcMar>
            <w:vAlign w:val="center"/>
          </w:tcPr>
          <w:p w14:paraId="3B92220D"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83.09</w:t>
            </w:r>
          </w:p>
        </w:tc>
        <w:tc>
          <w:tcPr>
            <w:tcW w:w="0" w:type="auto"/>
            <w:shd w:val="clear" w:color="auto" w:fill="FFFFFF"/>
            <w:tcMar>
              <w:top w:w="0" w:type="dxa"/>
              <w:left w:w="108" w:type="dxa"/>
              <w:bottom w:w="0" w:type="dxa"/>
              <w:right w:w="108" w:type="dxa"/>
            </w:tcMar>
            <w:vAlign w:val="center"/>
          </w:tcPr>
          <w:p w14:paraId="703128CF"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6.14</w:t>
            </w:r>
          </w:p>
        </w:tc>
        <w:tc>
          <w:tcPr>
            <w:tcW w:w="0" w:type="auto"/>
            <w:shd w:val="clear" w:color="auto" w:fill="FFFFFF"/>
            <w:tcMar>
              <w:top w:w="0" w:type="dxa"/>
              <w:left w:w="108" w:type="dxa"/>
              <w:bottom w:w="0" w:type="dxa"/>
              <w:right w:w="108" w:type="dxa"/>
            </w:tcMar>
            <w:vAlign w:val="center"/>
          </w:tcPr>
          <w:p w14:paraId="28F7701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163.05</w:t>
            </w:r>
          </w:p>
        </w:tc>
      </w:tr>
      <w:tr w:rsidR="00A76ADB" w:rsidRPr="00713999" w14:paraId="287072EC" w14:textId="77777777" w:rsidTr="00CF7215">
        <w:trPr>
          <w:cantSplit/>
          <w:trHeight w:val="283"/>
        </w:trPr>
        <w:tc>
          <w:tcPr>
            <w:tcW w:w="0" w:type="auto"/>
            <w:shd w:val="clear" w:color="auto" w:fill="FFFFFF"/>
            <w:tcMar>
              <w:top w:w="0" w:type="dxa"/>
              <w:left w:w="108" w:type="dxa"/>
              <w:bottom w:w="0" w:type="dxa"/>
              <w:right w:w="108" w:type="dxa"/>
            </w:tcMar>
            <w:vAlign w:val="center"/>
          </w:tcPr>
          <w:p w14:paraId="58E4E27F" w14:textId="77777777" w:rsidR="00A76ADB" w:rsidRPr="00713999" w:rsidRDefault="00A76ADB" w:rsidP="007E3239">
            <w:pPr>
              <w:pStyle w:val="TableText"/>
              <w:spacing w:before="40" w:after="40"/>
              <w:rPr>
                <w:rFonts w:cs="Calibri"/>
                <w:szCs w:val="16"/>
              </w:rPr>
            </w:pPr>
            <w:r w:rsidRPr="00713999">
              <w:rPr>
                <w:rFonts w:eastAsia="Calibri" w:cs="Calibri"/>
                <w:szCs w:val="16"/>
              </w:rPr>
              <w:t>2005</w:t>
            </w:r>
          </w:p>
        </w:tc>
        <w:tc>
          <w:tcPr>
            <w:tcW w:w="0" w:type="auto"/>
            <w:shd w:val="clear" w:color="auto" w:fill="FFFFFF"/>
            <w:tcMar>
              <w:top w:w="0" w:type="dxa"/>
              <w:left w:w="108" w:type="dxa"/>
              <w:bottom w:w="0" w:type="dxa"/>
              <w:right w:w="108" w:type="dxa"/>
            </w:tcMar>
            <w:vAlign w:val="center"/>
          </w:tcPr>
          <w:p w14:paraId="5FD1F754"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72.63</w:t>
            </w:r>
          </w:p>
        </w:tc>
        <w:tc>
          <w:tcPr>
            <w:tcW w:w="0" w:type="auto"/>
            <w:shd w:val="clear" w:color="auto" w:fill="FFFFFF"/>
            <w:tcMar>
              <w:top w:w="0" w:type="dxa"/>
              <w:left w:w="108" w:type="dxa"/>
              <w:bottom w:w="0" w:type="dxa"/>
              <w:right w:w="108" w:type="dxa"/>
            </w:tcMar>
            <w:vAlign w:val="center"/>
          </w:tcPr>
          <w:p w14:paraId="150A3F83"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90.29</w:t>
            </w:r>
          </w:p>
        </w:tc>
        <w:tc>
          <w:tcPr>
            <w:tcW w:w="0" w:type="auto"/>
            <w:shd w:val="clear" w:color="auto" w:fill="FFFFFF"/>
            <w:tcMar>
              <w:top w:w="0" w:type="dxa"/>
              <w:left w:w="108" w:type="dxa"/>
              <w:bottom w:w="0" w:type="dxa"/>
              <w:right w:w="108" w:type="dxa"/>
            </w:tcMar>
            <w:vAlign w:val="center"/>
          </w:tcPr>
          <w:p w14:paraId="453350F1"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5.87</w:t>
            </w:r>
          </w:p>
        </w:tc>
        <w:tc>
          <w:tcPr>
            <w:tcW w:w="0" w:type="auto"/>
            <w:shd w:val="clear" w:color="auto" w:fill="FFFFFF"/>
            <w:tcMar>
              <w:top w:w="0" w:type="dxa"/>
              <w:left w:w="108" w:type="dxa"/>
              <w:bottom w:w="0" w:type="dxa"/>
              <w:right w:w="108" w:type="dxa"/>
            </w:tcMar>
            <w:vAlign w:val="center"/>
          </w:tcPr>
          <w:p w14:paraId="5CB50AE9"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168.79</w:t>
            </w:r>
          </w:p>
        </w:tc>
      </w:tr>
      <w:tr w:rsidR="00A76ADB" w:rsidRPr="00713999" w14:paraId="41851E17" w14:textId="77777777" w:rsidTr="00CF7215">
        <w:trPr>
          <w:cantSplit/>
          <w:trHeight w:val="283"/>
        </w:trPr>
        <w:tc>
          <w:tcPr>
            <w:tcW w:w="0" w:type="auto"/>
            <w:shd w:val="clear" w:color="auto" w:fill="FFFFFF"/>
            <w:tcMar>
              <w:top w:w="0" w:type="dxa"/>
              <w:left w:w="108" w:type="dxa"/>
              <w:bottom w:w="0" w:type="dxa"/>
              <w:right w:w="108" w:type="dxa"/>
            </w:tcMar>
            <w:vAlign w:val="center"/>
          </w:tcPr>
          <w:p w14:paraId="7CF59F3F" w14:textId="77777777" w:rsidR="00A76ADB" w:rsidRPr="00713999" w:rsidRDefault="00A76ADB" w:rsidP="007E3239">
            <w:pPr>
              <w:pStyle w:val="TableText"/>
              <w:spacing w:before="40" w:after="40"/>
              <w:rPr>
                <w:rFonts w:cs="Calibri"/>
                <w:szCs w:val="16"/>
              </w:rPr>
            </w:pPr>
            <w:r w:rsidRPr="00713999">
              <w:rPr>
                <w:rFonts w:eastAsia="Calibri" w:cs="Calibri"/>
                <w:szCs w:val="16"/>
              </w:rPr>
              <w:t>2006</w:t>
            </w:r>
          </w:p>
        </w:tc>
        <w:tc>
          <w:tcPr>
            <w:tcW w:w="0" w:type="auto"/>
            <w:shd w:val="clear" w:color="auto" w:fill="FFFFFF"/>
            <w:tcMar>
              <w:top w:w="0" w:type="dxa"/>
              <w:left w:w="108" w:type="dxa"/>
              <w:bottom w:w="0" w:type="dxa"/>
              <w:right w:w="108" w:type="dxa"/>
            </w:tcMar>
            <w:vAlign w:val="center"/>
          </w:tcPr>
          <w:p w14:paraId="75EB3A15"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71.34</w:t>
            </w:r>
          </w:p>
        </w:tc>
        <w:tc>
          <w:tcPr>
            <w:tcW w:w="0" w:type="auto"/>
            <w:shd w:val="clear" w:color="auto" w:fill="FFFFFF"/>
            <w:tcMar>
              <w:top w:w="0" w:type="dxa"/>
              <w:left w:w="108" w:type="dxa"/>
              <w:bottom w:w="0" w:type="dxa"/>
              <w:right w:w="108" w:type="dxa"/>
            </w:tcMar>
            <w:vAlign w:val="center"/>
          </w:tcPr>
          <w:p w14:paraId="5C201DC1"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90.06</w:t>
            </w:r>
          </w:p>
        </w:tc>
        <w:tc>
          <w:tcPr>
            <w:tcW w:w="0" w:type="auto"/>
            <w:shd w:val="clear" w:color="auto" w:fill="FFFFFF"/>
            <w:tcMar>
              <w:top w:w="0" w:type="dxa"/>
              <w:left w:w="108" w:type="dxa"/>
              <w:bottom w:w="0" w:type="dxa"/>
              <w:right w:w="108" w:type="dxa"/>
            </w:tcMar>
            <w:vAlign w:val="center"/>
          </w:tcPr>
          <w:p w14:paraId="57226521"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6.42</w:t>
            </w:r>
          </w:p>
        </w:tc>
        <w:tc>
          <w:tcPr>
            <w:tcW w:w="0" w:type="auto"/>
            <w:shd w:val="clear" w:color="auto" w:fill="FFFFFF"/>
            <w:tcMar>
              <w:top w:w="0" w:type="dxa"/>
              <w:left w:w="108" w:type="dxa"/>
              <w:bottom w:w="0" w:type="dxa"/>
              <w:right w:w="108" w:type="dxa"/>
            </w:tcMar>
            <w:vAlign w:val="center"/>
          </w:tcPr>
          <w:p w14:paraId="5D8E9208"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167.82</w:t>
            </w:r>
          </w:p>
        </w:tc>
      </w:tr>
      <w:tr w:rsidR="00A76ADB" w:rsidRPr="00713999" w14:paraId="3406D3D1" w14:textId="77777777" w:rsidTr="00CF7215">
        <w:trPr>
          <w:cantSplit/>
          <w:trHeight w:val="283"/>
        </w:trPr>
        <w:tc>
          <w:tcPr>
            <w:tcW w:w="0" w:type="auto"/>
            <w:shd w:val="clear" w:color="auto" w:fill="FFFFFF"/>
            <w:tcMar>
              <w:top w:w="0" w:type="dxa"/>
              <w:left w:w="108" w:type="dxa"/>
              <w:bottom w:w="0" w:type="dxa"/>
              <w:right w:w="108" w:type="dxa"/>
            </w:tcMar>
            <w:vAlign w:val="center"/>
          </w:tcPr>
          <w:p w14:paraId="2AE02263" w14:textId="77777777" w:rsidR="00A76ADB" w:rsidRPr="00713999" w:rsidRDefault="00A76ADB" w:rsidP="007E3239">
            <w:pPr>
              <w:pStyle w:val="TableText"/>
              <w:spacing w:before="40" w:after="40"/>
              <w:rPr>
                <w:rFonts w:cs="Calibri"/>
                <w:szCs w:val="16"/>
              </w:rPr>
            </w:pPr>
            <w:r w:rsidRPr="00713999">
              <w:rPr>
                <w:rFonts w:eastAsia="Calibri" w:cs="Calibri"/>
                <w:szCs w:val="16"/>
              </w:rPr>
              <w:t>2007</w:t>
            </w:r>
          </w:p>
        </w:tc>
        <w:tc>
          <w:tcPr>
            <w:tcW w:w="0" w:type="auto"/>
            <w:shd w:val="clear" w:color="auto" w:fill="FFFFFF"/>
            <w:tcMar>
              <w:top w:w="0" w:type="dxa"/>
              <w:left w:w="108" w:type="dxa"/>
              <w:bottom w:w="0" w:type="dxa"/>
              <w:right w:w="108" w:type="dxa"/>
            </w:tcMar>
            <w:vAlign w:val="center"/>
          </w:tcPr>
          <w:p w14:paraId="7393F51F"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72.55</w:t>
            </w:r>
          </w:p>
        </w:tc>
        <w:tc>
          <w:tcPr>
            <w:tcW w:w="0" w:type="auto"/>
            <w:shd w:val="clear" w:color="auto" w:fill="FFFFFF"/>
            <w:tcMar>
              <w:top w:w="0" w:type="dxa"/>
              <w:left w:w="108" w:type="dxa"/>
              <w:bottom w:w="0" w:type="dxa"/>
              <w:right w:w="108" w:type="dxa"/>
            </w:tcMar>
            <w:vAlign w:val="center"/>
          </w:tcPr>
          <w:p w14:paraId="0E2F9935"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86.43</w:t>
            </w:r>
          </w:p>
        </w:tc>
        <w:tc>
          <w:tcPr>
            <w:tcW w:w="0" w:type="auto"/>
            <w:shd w:val="clear" w:color="auto" w:fill="FFFFFF"/>
            <w:tcMar>
              <w:top w:w="0" w:type="dxa"/>
              <w:left w:w="108" w:type="dxa"/>
              <w:bottom w:w="0" w:type="dxa"/>
              <w:right w:w="108" w:type="dxa"/>
            </w:tcMar>
            <w:vAlign w:val="center"/>
          </w:tcPr>
          <w:p w14:paraId="53152BF1"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6.69</w:t>
            </w:r>
          </w:p>
        </w:tc>
        <w:tc>
          <w:tcPr>
            <w:tcW w:w="0" w:type="auto"/>
            <w:shd w:val="clear" w:color="auto" w:fill="FFFFFF"/>
            <w:tcMar>
              <w:top w:w="0" w:type="dxa"/>
              <w:left w:w="108" w:type="dxa"/>
              <w:bottom w:w="0" w:type="dxa"/>
              <w:right w:w="108" w:type="dxa"/>
            </w:tcMar>
            <w:vAlign w:val="center"/>
          </w:tcPr>
          <w:p w14:paraId="6E43A466"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165.67</w:t>
            </w:r>
          </w:p>
        </w:tc>
      </w:tr>
      <w:tr w:rsidR="00A76ADB" w:rsidRPr="00713999" w14:paraId="13C3B2E1" w14:textId="77777777" w:rsidTr="00CF7215">
        <w:trPr>
          <w:cantSplit/>
          <w:trHeight w:val="283"/>
        </w:trPr>
        <w:tc>
          <w:tcPr>
            <w:tcW w:w="0" w:type="auto"/>
            <w:shd w:val="clear" w:color="auto" w:fill="FFFFFF"/>
            <w:tcMar>
              <w:top w:w="0" w:type="dxa"/>
              <w:left w:w="108" w:type="dxa"/>
              <w:bottom w:w="0" w:type="dxa"/>
              <w:right w:w="108" w:type="dxa"/>
            </w:tcMar>
            <w:vAlign w:val="center"/>
          </w:tcPr>
          <w:p w14:paraId="04F8CF06" w14:textId="77777777" w:rsidR="00A76ADB" w:rsidRPr="00713999" w:rsidRDefault="00A76ADB" w:rsidP="007E3239">
            <w:pPr>
              <w:pStyle w:val="TableText"/>
              <w:spacing w:before="40" w:after="40"/>
              <w:rPr>
                <w:rFonts w:cs="Calibri"/>
                <w:szCs w:val="16"/>
              </w:rPr>
            </w:pPr>
            <w:r w:rsidRPr="00713999">
              <w:rPr>
                <w:rFonts w:eastAsia="Calibri" w:cs="Calibri"/>
                <w:szCs w:val="16"/>
              </w:rPr>
              <w:t>2008</w:t>
            </w:r>
          </w:p>
        </w:tc>
        <w:tc>
          <w:tcPr>
            <w:tcW w:w="0" w:type="auto"/>
            <w:shd w:val="clear" w:color="auto" w:fill="FFFFFF"/>
            <w:tcMar>
              <w:top w:w="0" w:type="dxa"/>
              <w:left w:w="108" w:type="dxa"/>
              <w:bottom w:w="0" w:type="dxa"/>
              <w:right w:w="108" w:type="dxa"/>
            </w:tcMar>
            <w:vAlign w:val="center"/>
          </w:tcPr>
          <w:p w14:paraId="582AC157"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72.78</w:t>
            </w:r>
          </w:p>
        </w:tc>
        <w:tc>
          <w:tcPr>
            <w:tcW w:w="0" w:type="auto"/>
            <w:shd w:val="clear" w:color="auto" w:fill="FFFFFF"/>
            <w:tcMar>
              <w:top w:w="0" w:type="dxa"/>
              <w:left w:w="108" w:type="dxa"/>
              <w:bottom w:w="0" w:type="dxa"/>
              <w:right w:w="108" w:type="dxa"/>
            </w:tcMar>
            <w:vAlign w:val="center"/>
          </w:tcPr>
          <w:p w14:paraId="7B480E3A"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87.03</w:t>
            </w:r>
          </w:p>
        </w:tc>
        <w:tc>
          <w:tcPr>
            <w:tcW w:w="0" w:type="auto"/>
            <w:shd w:val="clear" w:color="auto" w:fill="FFFFFF"/>
            <w:tcMar>
              <w:top w:w="0" w:type="dxa"/>
              <w:left w:w="108" w:type="dxa"/>
              <w:bottom w:w="0" w:type="dxa"/>
              <w:right w:w="108" w:type="dxa"/>
            </w:tcMar>
            <w:vAlign w:val="center"/>
          </w:tcPr>
          <w:p w14:paraId="1656CF4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7.70</w:t>
            </w:r>
          </w:p>
        </w:tc>
        <w:tc>
          <w:tcPr>
            <w:tcW w:w="0" w:type="auto"/>
            <w:shd w:val="clear" w:color="auto" w:fill="FFFFFF"/>
            <w:tcMar>
              <w:top w:w="0" w:type="dxa"/>
              <w:left w:w="108" w:type="dxa"/>
              <w:bottom w:w="0" w:type="dxa"/>
              <w:right w:w="108" w:type="dxa"/>
            </w:tcMar>
            <w:vAlign w:val="center"/>
          </w:tcPr>
          <w:p w14:paraId="1B5B2C6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167.52</w:t>
            </w:r>
          </w:p>
        </w:tc>
      </w:tr>
      <w:tr w:rsidR="00A76ADB" w:rsidRPr="00713999" w14:paraId="390A8DAA" w14:textId="77777777" w:rsidTr="00CF7215">
        <w:trPr>
          <w:cantSplit/>
          <w:trHeight w:val="283"/>
        </w:trPr>
        <w:tc>
          <w:tcPr>
            <w:tcW w:w="0" w:type="auto"/>
            <w:shd w:val="clear" w:color="auto" w:fill="FFFFFF"/>
            <w:tcMar>
              <w:top w:w="0" w:type="dxa"/>
              <w:left w:w="108" w:type="dxa"/>
              <w:bottom w:w="0" w:type="dxa"/>
              <w:right w:w="108" w:type="dxa"/>
            </w:tcMar>
            <w:vAlign w:val="center"/>
          </w:tcPr>
          <w:p w14:paraId="55B22972" w14:textId="77777777" w:rsidR="00A76ADB" w:rsidRPr="00713999" w:rsidRDefault="00A76ADB" w:rsidP="007E3239">
            <w:pPr>
              <w:pStyle w:val="TableText"/>
              <w:spacing w:before="40" w:after="40"/>
              <w:rPr>
                <w:rFonts w:cs="Calibri"/>
                <w:szCs w:val="16"/>
              </w:rPr>
            </w:pPr>
            <w:r w:rsidRPr="00713999">
              <w:rPr>
                <w:rFonts w:eastAsia="Calibri" w:cs="Calibri"/>
                <w:szCs w:val="16"/>
              </w:rPr>
              <w:t>2009</w:t>
            </w:r>
          </w:p>
        </w:tc>
        <w:tc>
          <w:tcPr>
            <w:tcW w:w="0" w:type="auto"/>
            <w:shd w:val="clear" w:color="auto" w:fill="FFFFFF"/>
            <w:tcMar>
              <w:top w:w="0" w:type="dxa"/>
              <w:left w:w="108" w:type="dxa"/>
              <w:bottom w:w="0" w:type="dxa"/>
              <w:right w:w="108" w:type="dxa"/>
            </w:tcMar>
            <w:vAlign w:val="center"/>
          </w:tcPr>
          <w:p w14:paraId="2EECCDBC"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68.28</w:t>
            </w:r>
          </w:p>
        </w:tc>
        <w:tc>
          <w:tcPr>
            <w:tcW w:w="0" w:type="auto"/>
            <w:shd w:val="clear" w:color="auto" w:fill="FFFFFF"/>
            <w:tcMar>
              <w:top w:w="0" w:type="dxa"/>
              <w:left w:w="108" w:type="dxa"/>
              <w:bottom w:w="0" w:type="dxa"/>
              <w:right w:w="108" w:type="dxa"/>
            </w:tcMar>
            <w:vAlign w:val="center"/>
          </w:tcPr>
          <w:p w14:paraId="4D9D7E89"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85.72</w:t>
            </w:r>
          </w:p>
        </w:tc>
        <w:tc>
          <w:tcPr>
            <w:tcW w:w="0" w:type="auto"/>
            <w:shd w:val="clear" w:color="auto" w:fill="FFFFFF"/>
            <w:tcMar>
              <w:top w:w="0" w:type="dxa"/>
              <w:left w:w="108" w:type="dxa"/>
              <w:bottom w:w="0" w:type="dxa"/>
              <w:right w:w="108" w:type="dxa"/>
            </w:tcMar>
            <w:vAlign w:val="center"/>
          </w:tcPr>
          <w:p w14:paraId="2E0C346C"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7.72</w:t>
            </w:r>
          </w:p>
        </w:tc>
        <w:tc>
          <w:tcPr>
            <w:tcW w:w="0" w:type="auto"/>
            <w:shd w:val="clear" w:color="auto" w:fill="FFFFFF"/>
            <w:tcMar>
              <w:top w:w="0" w:type="dxa"/>
              <w:left w:w="108" w:type="dxa"/>
              <w:bottom w:w="0" w:type="dxa"/>
              <w:right w:w="108" w:type="dxa"/>
            </w:tcMar>
            <w:vAlign w:val="center"/>
          </w:tcPr>
          <w:p w14:paraId="2543E73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161.72</w:t>
            </w:r>
          </w:p>
        </w:tc>
      </w:tr>
      <w:tr w:rsidR="00A76ADB" w:rsidRPr="00713999" w14:paraId="02AB36DB" w14:textId="77777777" w:rsidTr="00CF7215">
        <w:trPr>
          <w:cantSplit/>
          <w:trHeight w:val="283"/>
        </w:trPr>
        <w:tc>
          <w:tcPr>
            <w:tcW w:w="0" w:type="auto"/>
            <w:shd w:val="clear" w:color="auto" w:fill="FFFFFF"/>
            <w:tcMar>
              <w:top w:w="0" w:type="dxa"/>
              <w:left w:w="108" w:type="dxa"/>
              <w:bottom w:w="0" w:type="dxa"/>
              <w:right w:w="108" w:type="dxa"/>
            </w:tcMar>
            <w:vAlign w:val="center"/>
          </w:tcPr>
          <w:p w14:paraId="64E97451" w14:textId="77777777" w:rsidR="00A76ADB" w:rsidRPr="00713999" w:rsidRDefault="00A76ADB" w:rsidP="007E3239">
            <w:pPr>
              <w:pStyle w:val="TableText"/>
              <w:spacing w:before="40" w:after="40"/>
              <w:rPr>
                <w:rFonts w:cs="Calibri"/>
                <w:szCs w:val="16"/>
              </w:rPr>
            </w:pPr>
            <w:r w:rsidRPr="00713999">
              <w:rPr>
                <w:rFonts w:eastAsia="Calibri" w:cs="Calibri"/>
                <w:szCs w:val="16"/>
              </w:rPr>
              <w:t>2010</w:t>
            </w:r>
          </w:p>
        </w:tc>
        <w:tc>
          <w:tcPr>
            <w:tcW w:w="0" w:type="auto"/>
            <w:shd w:val="clear" w:color="auto" w:fill="FFFFFF"/>
            <w:tcMar>
              <w:top w:w="0" w:type="dxa"/>
              <w:left w:w="108" w:type="dxa"/>
              <w:bottom w:w="0" w:type="dxa"/>
              <w:right w:w="108" w:type="dxa"/>
            </w:tcMar>
            <w:vAlign w:val="center"/>
          </w:tcPr>
          <w:p w14:paraId="6B204527"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66.62</w:t>
            </w:r>
          </w:p>
        </w:tc>
        <w:tc>
          <w:tcPr>
            <w:tcW w:w="0" w:type="auto"/>
            <w:shd w:val="clear" w:color="auto" w:fill="FFFFFF"/>
            <w:tcMar>
              <w:top w:w="0" w:type="dxa"/>
              <w:left w:w="108" w:type="dxa"/>
              <w:bottom w:w="0" w:type="dxa"/>
              <w:right w:w="108" w:type="dxa"/>
            </w:tcMar>
            <w:vAlign w:val="center"/>
          </w:tcPr>
          <w:p w14:paraId="5009E16D"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87.64</w:t>
            </w:r>
          </w:p>
        </w:tc>
        <w:tc>
          <w:tcPr>
            <w:tcW w:w="0" w:type="auto"/>
            <w:shd w:val="clear" w:color="auto" w:fill="FFFFFF"/>
            <w:tcMar>
              <w:top w:w="0" w:type="dxa"/>
              <w:left w:w="108" w:type="dxa"/>
              <w:bottom w:w="0" w:type="dxa"/>
              <w:right w:w="108" w:type="dxa"/>
            </w:tcMar>
            <w:vAlign w:val="center"/>
          </w:tcPr>
          <w:p w14:paraId="261A00F8"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7.51</w:t>
            </w:r>
          </w:p>
        </w:tc>
        <w:tc>
          <w:tcPr>
            <w:tcW w:w="0" w:type="auto"/>
            <w:shd w:val="clear" w:color="auto" w:fill="FFFFFF"/>
            <w:tcMar>
              <w:top w:w="0" w:type="dxa"/>
              <w:left w:w="108" w:type="dxa"/>
              <w:bottom w:w="0" w:type="dxa"/>
              <w:right w:w="108" w:type="dxa"/>
            </w:tcMar>
            <w:vAlign w:val="center"/>
          </w:tcPr>
          <w:p w14:paraId="4EA3F2EC"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161.77</w:t>
            </w:r>
          </w:p>
        </w:tc>
      </w:tr>
      <w:tr w:rsidR="00A76ADB" w:rsidRPr="00713999" w14:paraId="0EB919B8" w14:textId="77777777" w:rsidTr="00CF7215">
        <w:trPr>
          <w:cantSplit/>
          <w:trHeight w:val="283"/>
        </w:trPr>
        <w:tc>
          <w:tcPr>
            <w:tcW w:w="0" w:type="auto"/>
            <w:shd w:val="clear" w:color="auto" w:fill="FFFFFF"/>
            <w:tcMar>
              <w:top w:w="0" w:type="dxa"/>
              <w:left w:w="108" w:type="dxa"/>
              <w:bottom w:w="0" w:type="dxa"/>
              <w:right w:w="108" w:type="dxa"/>
            </w:tcMar>
            <w:vAlign w:val="center"/>
          </w:tcPr>
          <w:p w14:paraId="7D643158" w14:textId="77777777" w:rsidR="00A76ADB" w:rsidRPr="00713999" w:rsidRDefault="00A76ADB" w:rsidP="007E3239">
            <w:pPr>
              <w:pStyle w:val="TableText"/>
              <w:spacing w:before="40" w:after="40"/>
              <w:rPr>
                <w:rFonts w:cs="Calibri"/>
                <w:szCs w:val="16"/>
              </w:rPr>
            </w:pPr>
            <w:r w:rsidRPr="00713999">
              <w:rPr>
                <w:rFonts w:eastAsia="Calibri" w:cs="Calibri"/>
                <w:szCs w:val="16"/>
              </w:rPr>
              <w:t>2011</w:t>
            </w:r>
          </w:p>
        </w:tc>
        <w:tc>
          <w:tcPr>
            <w:tcW w:w="0" w:type="auto"/>
            <w:shd w:val="clear" w:color="auto" w:fill="FFFFFF"/>
            <w:tcMar>
              <w:top w:w="0" w:type="dxa"/>
              <w:left w:w="108" w:type="dxa"/>
              <w:bottom w:w="0" w:type="dxa"/>
              <w:right w:w="108" w:type="dxa"/>
            </w:tcMar>
            <w:vAlign w:val="center"/>
          </w:tcPr>
          <w:p w14:paraId="07C5E93F"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65.63</w:t>
            </w:r>
          </w:p>
        </w:tc>
        <w:tc>
          <w:tcPr>
            <w:tcW w:w="0" w:type="auto"/>
            <w:shd w:val="clear" w:color="auto" w:fill="FFFFFF"/>
            <w:tcMar>
              <w:top w:w="0" w:type="dxa"/>
              <w:left w:w="108" w:type="dxa"/>
              <w:bottom w:w="0" w:type="dxa"/>
              <w:right w:w="108" w:type="dxa"/>
            </w:tcMar>
            <w:vAlign w:val="center"/>
          </w:tcPr>
          <w:p w14:paraId="4E91CC0F"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90.74</w:t>
            </w:r>
          </w:p>
        </w:tc>
        <w:tc>
          <w:tcPr>
            <w:tcW w:w="0" w:type="auto"/>
            <w:shd w:val="clear" w:color="auto" w:fill="FFFFFF"/>
            <w:tcMar>
              <w:top w:w="0" w:type="dxa"/>
              <w:left w:w="108" w:type="dxa"/>
              <w:bottom w:w="0" w:type="dxa"/>
              <w:right w:w="108" w:type="dxa"/>
            </w:tcMar>
            <w:vAlign w:val="center"/>
          </w:tcPr>
          <w:p w14:paraId="4A4E41CD"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4.07</w:t>
            </w:r>
          </w:p>
        </w:tc>
        <w:tc>
          <w:tcPr>
            <w:tcW w:w="0" w:type="auto"/>
            <w:shd w:val="clear" w:color="auto" w:fill="FFFFFF"/>
            <w:tcMar>
              <w:top w:w="0" w:type="dxa"/>
              <w:left w:w="108" w:type="dxa"/>
              <w:bottom w:w="0" w:type="dxa"/>
              <w:right w:w="108" w:type="dxa"/>
            </w:tcMar>
            <w:vAlign w:val="center"/>
          </w:tcPr>
          <w:p w14:paraId="373F33F5"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160.44</w:t>
            </w:r>
          </w:p>
        </w:tc>
      </w:tr>
      <w:tr w:rsidR="00A76ADB" w:rsidRPr="00713999" w14:paraId="0E1D409C" w14:textId="77777777" w:rsidTr="00CF7215">
        <w:trPr>
          <w:cantSplit/>
          <w:trHeight w:val="283"/>
        </w:trPr>
        <w:tc>
          <w:tcPr>
            <w:tcW w:w="0" w:type="auto"/>
            <w:shd w:val="clear" w:color="auto" w:fill="FFFFFF"/>
            <w:tcMar>
              <w:top w:w="0" w:type="dxa"/>
              <w:left w:w="108" w:type="dxa"/>
              <w:bottom w:w="0" w:type="dxa"/>
              <w:right w:w="108" w:type="dxa"/>
            </w:tcMar>
            <w:vAlign w:val="center"/>
          </w:tcPr>
          <w:p w14:paraId="6E1C67E8" w14:textId="77777777" w:rsidR="00A76ADB" w:rsidRPr="00713999" w:rsidRDefault="00A76ADB" w:rsidP="007E3239">
            <w:pPr>
              <w:pStyle w:val="TableText"/>
              <w:spacing w:before="40" w:after="40"/>
              <w:rPr>
                <w:rFonts w:cs="Calibri"/>
                <w:szCs w:val="16"/>
              </w:rPr>
            </w:pPr>
            <w:r w:rsidRPr="00713999">
              <w:rPr>
                <w:rFonts w:eastAsia="Calibri" w:cs="Calibri"/>
                <w:szCs w:val="16"/>
              </w:rPr>
              <w:t>2012</w:t>
            </w:r>
          </w:p>
        </w:tc>
        <w:tc>
          <w:tcPr>
            <w:tcW w:w="0" w:type="auto"/>
            <w:shd w:val="clear" w:color="auto" w:fill="FFFFFF"/>
            <w:tcMar>
              <w:top w:w="0" w:type="dxa"/>
              <w:left w:w="108" w:type="dxa"/>
              <w:bottom w:w="0" w:type="dxa"/>
              <w:right w:w="108" w:type="dxa"/>
            </w:tcMar>
            <w:vAlign w:val="center"/>
          </w:tcPr>
          <w:p w14:paraId="52CB14BC"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65.67</w:t>
            </w:r>
          </w:p>
        </w:tc>
        <w:tc>
          <w:tcPr>
            <w:tcW w:w="0" w:type="auto"/>
            <w:shd w:val="clear" w:color="auto" w:fill="FFFFFF"/>
            <w:tcMar>
              <w:top w:w="0" w:type="dxa"/>
              <w:left w:w="108" w:type="dxa"/>
              <w:bottom w:w="0" w:type="dxa"/>
              <w:right w:w="108" w:type="dxa"/>
            </w:tcMar>
            <w:vAlign w:val="center"/>
          </w:tcPr>
          <w:p w14:paraId="53E74809"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86.91</w:t>
            </w:r>
          </w:p>
        </w:tc>
        <w:tc>
          <w:tcPr>
            <w:tcW w:w="0" w:type="auto"/>
            <w:shd w:val="clear" w:color="auto" w:fill="FFFFFF"/>
            <w:tcMar>
              <w:top w:w="0" w:type="dxa"/>
              <w:left w:w="108" w:type="dxa"/>
              <w:bottom w:w="0" w:type="dxa"/>
              <w:right w:w="108" w:type="dxa"/>
            </w:tcMar>
            <w:vAlign w:val="center"/>
          </w:tcPr>
          <w:p w14:paraId="6AC37601"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3.34</w:t>
            </w:r>
          </w:p>
        </w:tc>
        <w:tc>
          <w:tcPr>
            <w:tcW w:w="0" w:type="auto"/>
            <w:shd w:val="clear" w:color="auto" w:fill="FFFFFF"/>
            <w:tcMar>
              <w:top w:w="0" w:type="dxa"/>
              <w:left w:w="108" w:type="dxa"/>
              <w:bottom w:w="0" w:type="dxa"/>
              <w:right w:w="108" w:type="dxa"/>
            </w:tcMar>
            <w:vAlign w:val="center"/>
          </w:tcPr>
          <w:p w14:paraId="6793046A"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155.92</w:t>
            </w:r>
          </w:p>
        </w:tc>
      </w:tr>
      <w:tr w:rsidR="00A76ADB" w:rsidRPr="00713999" w14:paraId="22C8F275" w14:textId="77777777" w:rsidTr="00CF7215">
        <w:trPr>
          <w:cantSplit/>
          <w:trHeight w:val="283"/>
        </w:trPr>
        <w:tc>
          <w:tcPr>
            <w:tcW w:w="0" w:type="auto"/>
            <w:shd w:val="clear" w:color="auto" w:fill="FFFFFF"/>
            <w:tcMar>
              <w:top w:w="0" w:type="dxa"/>
              <w:left w:w="108" w:type="dxa"/>
              <w:bottom w:w="0" w:type="dxa"/>
              <w:right w:w="108" w:type="dxa"/>
            </w:tcMar>
            <w:vAlign w:val="center"/>
          </w:tcPr>
          <w:p w14:paraId="13445BF1" w14:textId="77777777" w:rsidR="00A76ADB" w:rsidRPr="00713999" w:rsidRDefault="00A76ADB" w:rsidP="007E3239">
            <w:pPr>
              <w:pStyle w:val="TableText"/>
              <w:spacing w:before="40" w:after="40"/>
              <w:rPr>
                <w:rFonts w:cs="Calibri"/>
                <w:szCs w:val="16"/>
              </w:rPr>
            </w:pPr>
            <w:r w:rsidRPr="00713999">
              <w:rPr>
                <w:rFonts w:eastAsia="Calibri" w:cs="Calibri"/>
                <w:szCs w:val="16"/>
              </w:rPr>
              <w:t>2013</w:t>
            </w:r>
          </w:p>
        </w:tc>
        <w:tc>
          <w:tcPr>
            <w:tcW w:w="0" w:type="auto"/>
            <w:shd w:val="clear" w:color="auto" w:fill="FFFFFF"/>
            <w:tcMar>
              <w:top w:w="0" w:type="dxa"/>
              <w:left w:w="108" w:type="dxa"/>
              <w:bottom w:w="0" w:type="dxa"/>
              <w:right w:w="108" w:type="dxa"/>
            </w:tcMar>
            <w:vAlign w:val="center"/>
          </w:tcPr>
          <w:p w14:paraId="4087FA07"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67.88</w:t>
            </w:r>
          </w:p>
        </w:tc>
        <w:tc>
          <w:tcPr>
            <w:tcW w:w="0" w:type="auto"/>
            <w:shd w:val="clear" w:color="auto" w:fill="FFFFFF"/>
            <w:tcMar>
              <w:top w:w="0" w:type="dxa"/>
              <w:left w:w="108" w:type="dxa"/>
              <w:bottom w:w="0" w:type="dxa"/>
              <w:right w:w="108" w:type="dxa"/>
            </w:tcMar>
            <w:vAlign w:val="center"/>
          </w:tcPr>
          <w:p w14:paraId="3B8FB157"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83.50</w:t>
            </w:r>
          </w:p>
        </w:tc>
        <w:tc>
          <w:tcPr>
            <w:tcW w:w="0" w:type="auto"/>
            <w:shd w:val="clear" w:color="auto" w:fill="FFFFFF"/>
            <w:tcMar>
              <w:top w:w="0" w:type="dxa"/>
              <w:left w:w="108" w:type="dxa"/>
              <w:bottom w:w="0" w:type="dxa"/>
              <w:right w:w="108" w:type="dxa"/>
            </w:tcMar>
            <w:vAlign w:val="center"/>
          </w:tcPr>
          <w:p w14:paraId="1293256F"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4.28</w:t>
            </w:r>
          </w:p>
        </w:tc>
        <w:tc>
          <w:tcPr>
            <w:tcW w:w="0" w:type="auto"/>
            <w:shd w:val="clear" w:color="auto" w:fill="FFFFFF"/>
            <w:tcMar>
              <w:top w:w="0" w:type="dxa"/>
              <w:left w:w="108" w:type="dxa"/>
              <w:bottom w:w="0" w:type="dxa"/>
              <w:right w:w="108" w:type="dxa"/>
            </w:tcMar>
            <w:vAlign w:val="center"/>
          </w:tcPr>
          <w:p w14:paraId="320FCA19"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155.66</w:t>
            </w:r>
          </w:p>
        </w:tc>
      </w:tr>
      <w:tr w:rsidR="00A76ADB" w:rsidRPr="00713999" w14:paraId="75CC3794" w14:textId="77777777" w:rsidTr="00CF7215">
        <w:trPr>
          <w:cantSplit/>
          <w:trHeight w:val="283"/>
        </w:trPr>
        <w:tc>
          <w:tcPr>
            <w:tcW w:w="0" w:type="auto"/>
            <w:shd w:val="clear" w:color="auto" w:fill="FFFFFF"/>
            <w:tcMar>
              <w:top w:w="0" w:type="dxa"/>
              <w:left w:w="108" w:type="dxa"/>
              <w:bottom w:w="0" w:type="dxa"/>
              <w:right w:w="108" w:type="dxa"/>
            </w:tcMar>
            <w:vAlign w:val="center"/>
          </w:tcPr>
          <w:p w14:paraId="120A3006" w14:textId="77777777" w:rsidR="00A76ADB" w:rsidRPr="00713999" w:rsidRDefault="00A76ADB" w:rsidP="007E3239">
            <w:pPr>
              <w:pStyle w:val="TableText"/>
              <w:spacing w:before="40" w:after="40"/>
              <w:rPr>
                <w:rFonts w:cs="Calibri"/>
                <w:szCs w:val="16"/>
              </w:rPr>
            </w:pPr>
            <w:r w:rsidRPr="00713999">
              <w:rPr>
                <w:rFonts w:eastAsia="Calibri" w:cs="Calibri"/>
                <w:szCs w:val="16"/>
              </w:rPr>
              <w:t>2014</w:t>
            </w:r>
          </w:p>
        </w:tc>
        <w:tc>
          <w:tcPr>
            <w:tcW w:w="0" w:type="auto"/>
            <w:shd w:val="clear" w:color="auto" w:fill="FFFFFF"/>
            <w:tcMar>
              <w:top w:w="0" w:type="dxa"/>
              <w:left w:w="108" w:type="dxa"/>
              <w:bottom w:w="0" w:type="dxa"/>
              <w:right w:w="108" w:type="dxa"/>
            </w:tcMar>
            <w:vAlign w:val="center"/>
          </w:tcPr>
          <w:p w14:paraId="2BE10E87"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68.71</w:t>
            </w:r>
          </w:p>
        </w:tc>
        <w:tc>
          <w:tcPr>
            <w:tcW w:w="0" w:type="auto"/>
            <w:shd w:val="clear" w:color="auto" w:fill="FFFFFF"/>
            <w:tcMar>
              <w:top w:w="0" w:type="dxa"/>
              <w:left w:w="108" w:type="dxa"/>
              <w:bottom w:w="0" w:type="dxa"/>
              <w:right w:w="108" w:type="dxa"/>
            </w:tcMar>
            <w:vAlign w:val="center"/>
          </w:tcPr>
          <w:p w14:paraId="73F71B4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79.24</w:t>
            </w:r>
          </w:p>
        </w:tc>
        <w:tc>
          <w:tcPr>
            <w:tcW w:w="0" w:type="auto"/>
            <w:shd w:val="clear" w:color="auto" w:fill="FFFFFF"/>
            <w:tcMar>
              <w:top w:w="0" w:type="dxa"/>
              <w:left w:w="108" w:type="dxa"/>
              <w:bottom w:w="0" w:type="dxa"/>
              <w:right w:w="108" w:type="dxa"/>
            </w:tcMar>
            <w:vAlign w:val="center"/>
          </w:tcPr>
          <w:p w14:paraId="69DF0CAC"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5.53</w:t>
            </w:r>
          </w:p>
        </w:tc>
        <w:tc>
          <w:tcPr>
            <w:tcW w:w="0" w:type="auto"/>
            <w:shd w:val="clear" w:color="auto" w:fill="FFFFFF"/>
            <w:tcMar>
              <w:top w:w="0" w:type="dxa"/>
              <w:left w:w="108" w:type="dxa"/>
              <w:bottom w:w="0" w:type="dxa"/>
              <w:right w:w="108" w:type="dxa"/>
            </w:tcMar>
            <w:vAlign w:val="center"/>
          </w:tcPr>
          <w:p w14:paraId="2CF60936"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153.48</w:t>
            </w:r>
          </w:p>
        </w:tc>
      </w:tr>
      <w:tr w:rsidR="00A76ADB" w:rsidRPr="00713999" w14:paraId="5CA4835B" w14:textId="77777777" w:rsidTr="00CF7215">
        <w:trPr>
          <w:cantSplit/>
          <w:trHeight w:val="283"/>
        </w:trPr>
        <w:tc>
          <w:tcPr>
            <w:tcW w:w="0" w:type="auto"/>
            <w:shd w:val="clear" w:color="auto" w:fill="FFFFFF"/>
            <w:tcMar>
              <w:top w:w="0" w:type="dxa"/>
              <w:left w:w="108" w:type="dxa"/>
              <w:bottom w:w="0" w:type="dxa"/>
              <w:right w:w="108" w:type="dxa"/>
            </w:tcMar>
            <w:vAlign w:val="center"/>
          </w:tcPr>
          <w:p w14:paraId="367D163D" w14:textId="77777777" w:rsidR="00A76ADB" w:rsidRPr="00713999" w:rsidRDefault="00A76ADB" w:rsidP="007E3239">
            <w:pPr>
              <w:pStyle w:val="TableText"/>
              <w:spacing w:before="40" w:after="40"/>
              <w:rPr>
                <w:rFonts w:cs="Calibri"/>
                <w:szCs w:val="16"/>
              </w:rPr>
            </w:pPr>
            <w:r w:rsidRPr="00713999">
              <w:rPr>
                <w:rFonts w:eastAsia="Calibri" w:cs="Calibri"/>
                <w:szCs w:val="16"/>
              </w:rPr>
              <w:t>2015</w:t>
            </w:r>
          </w:p>
        </w:tc>
        <w:tc>
          <w:tcPr>
            <w:tcW w:w="0" w:type="auto"/>
            <w:shd w:val="clear" w:color="auto" w:fill="FFFFFF"/>
            <w:tcMar>
              <w:top w:w="0" w:type="dxa"/>
              <w:left w:w="108" w:type="dxa"/>
              <w:bottom w:w="0" w:type="dxa"/>
              <w:right w:w="108" w:type="dxa"/>
            </w:tcMar>
            <w:vAlign w:val="center"/>
          </w:tcPr>
          <w:p w14:paraId="77CAE42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71.71</w:t>
            </w:r>
          </w:p>
        </w:tc>
        <w:tc>
          <w:tcPr>
            <w:tcW w:w="0" w:type="auto"/>
            <w:shd w:val="clear" w:color="auto" w:fill="FFFFFF"/>
            <w:tcMar>
              <w:top w:w="0" w:type="dxa"/>
              <w:left w:w="108" w:type="dxa"/>
              <w:bottom w:w="0" w:type="dxa"/>
              <w:right w:w="108" w:type="dxa"/>
            </w:tcMar>
            <w:vAlign w:val="center"/>
          </w:tcPr>
          <w:p w14:paraId="3DA046CC"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77.68</w:t>
            </w:r>
          </w:p>
        </w:tc>
        <w:tc>
          <w:tcPr>
            <w:tcW w:w="0" w:type="auto"/>
            <w:shd w:val="clear" w:color="auto" w:fill="FFFFFF"/>
            <w:tcMar>
              <w:top w:w="0" w:type="dxa"/>
              <w:left w:w="108" w:type="dxa"/>
              <w:bottom w:w="0" w:type="dxa"/>
              <w:right w:w="108" w:type="dxa"/>
            </w:tcMar>
            <w:vAlign w:val="center"/>
          </w:tcPr>
          <w:p w14:paraId="48C8DFA5"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4.05</w:t>
            </w:r>
          </w:p>
        </w:tc>
        <w:tc>
          <w:tcPr>
            <w:tcW w:w="0" w:type="auto"/>
            <w:shd w:val="clear" w:color="auto" w:fill="FFFFFF"/>
            <w:tcMar>
              <w:top w:w="0" w:type="dxa"/>
              <w:left w:w="108" w:type="dxa"/>
              <w:bottom w:w="0" w:type="dxa"/>
              <w:right w:w="108" w:type="dxa"/>
            </w:tcMar>
            <w:vAlign w:val="center"/>
          </w:tcPr>
          <w:p w14:paraId="5D38871E"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153.43</w:t>
            </w:r>
          </w:p>
        </w:tc>
      </w:tr>
      <w:tr w:rsidR="00A76ADB" w:rsidRPr="00713999" w14:paraId="1A5016E3" w14:textId="77777777" w:rsidTr="00CF7215">
        <w:trPr>
          <w:cantSplit/>
          <w:trHeight w:val="283"/>
        </w:trPr>
        <w:tc>
          <w:tcPr>
            <w:tcW w:w="0" w:type="auto"/>
            <w:shd w:val="clear" w:color="auto" w:fill="FFFFFF"/>
            <w:tcMar>
              <w:top w:w="0" w:type="dxa"/>
              <w:left w:w="108" w:type="dxa"/>
              <w:bottom w:w="0" w:type="dxa"/>
              <w:right w:w="108" w:type="dxa"/>
            </w:tcMar>
            <w:vAlign w:val="center"/>
          </w:tcPr>
          <w:p w14:paraId="2E5024C2" w14:textId="77777777" w:rsidR="00A76ADB" w:rsidRPr="00713999" w:rsidRDefault="00A76ADB" w:rsidP="007E3239">
            <w:pPr>
              <w:pStyle w:val="TableText"/>
              <w:spacing w:before="40" w:after="40"/>
              <w:rPr>
                <w:rFonts w:cs="Calibri"/>
                <w:szCs w:val="16"/>
              </w:rPr>
            </w:pPr>
            <w:r w:rsidRPr="00713999">
              <w:rPr>
                <w:rFonts w:eastAsia="Calibri" w:cs="Calibri"/>
                <w:szCs w:val="16"/>
              </w:rPr>
              <w:t>2016</w:t>
            </w:r>
          </w:p>
        </w:tc>
        <w:tc>
          <w:tcPr>
            <w:tcW w:w="0" w:type="auto"/>
            <w:shd w:val="clear" w:color="auto" w:fill="FFFFFF"/>
            <w:tcMar>
              <w:top w:w="0" w:type="dxa"/>
              <w:left w:w="108" w:type="dxa"/>
              <w:bottom w:w="0" w:type="dxa"/>
              <w:right w:w="108" w:type="dxa"/>
            </w:tcMar>
            <w:vAlign w:val="center"/>
          </w:tcPr>
          <w:p w14:paraId="539EF321"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69.18</w:t>
            </w:r>
          </w:p>
        </w:tc>
        <w:tc>
          <w:tcPr>
            <w:tcW w:w="0" w:type="auto"/>
            <w:shd w:val="clear" w:color="auto" w:fill="FFFFFF"/>
            <w:tcMar>
              <w:top w:w="0" w:type="dxa"/>
              <w:left w:w="108" w:type="dxa"/>
              <w:bottom w:w="0" w:type="dxa"/>
              <w:right w:w="108" w:type="dxa"/>
            </w:tcMar>
            <w:vAlign w:val="center"/>
          </w:tcPr>
          <w:p w14:paraId="13E20BDD"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79.48</w:t>
            </w:r>
          </w:p>
        </w:tc>
        <w:tc>
          <w:tcPr>
            <w:tcW w:w="0" w:type="auto"/>
            <w:shd w:val="clear" w:color="auto" w:fill="FFFFFF"/>
            <w:tcMar>
              <w:top w:w="0" w:type="dxa"/>
              <w:left w:w="108" w:type="dxa"/>
              <w:bottom w:w="0" w:type="dxa"/>
              <w:right w:w="108" w:type="dxa"/>
            </w:tcMar>
            <w:vAlign w:val="center"/>
          </w:tcPr>
          <w:p w14:paraId="61EDCCB7"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5.42</w:t>
            </w:r>
          </w:p>
        </w:tc>
        <w:tc>
          <w:tcPr>
            <w:tcW w:w="0" w:type="auto"/>
            <w:shd w:val="clear" w:color="auto" w:fill="FFFFFF"/>
            <w:tcMar>
              <w:top w:w="0" w:type="dxa"/>
              <w:left w:w="108" w:type="dxa"/>
              <w:bottom w:w="0" w:type="dxa"/>
              <w:right w:w="108" w:type="dxa"/>
            </w:tcMar>
            <w:vAlign w:val="center"/>
          </w:tcPr>
          <w:p w14:paraId="7AD3617E"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154.08</w:t>
            </w:r>
          </w:p>
        </w:tc>
      </w:tr>
      <w:tr w:rsidR="00A76ADB" w:rsidRPr="00713999" w14:paraId="025860E4" w14:textId="77777777" w:rsidTr="00CF7215">
        <w:trPr>
          <w:cantSplit/>
          <w:trHeight w:val="283"/>
        </w:trPr>
        <w:tc>
          <w:tcPr>
            <w:tcW w:w="0" w:type="auto"/>
            <w:shd w:val="clear" w:color="auto" w:fill="FFFFFF"/>
            <w:tcMar>
              <w:top w:w="0" w:type="dxa"/>
              <w:left w:w="108" w:type="dxa"/>
              <w:bottom w:w="0" w:type="dxa"/>
              <w:right w:w="108" w:type="dxa"/>
            </w:tcMar>
            <w:vAlign w:val="center"/>
          </w:tcPr>
          <w:p w14:paraId="0D8ABC8A" w14:textId="77777777" w:rsidR="00A76ADB" w:rsidRPr="00713999" w:rsidRDefault="00A76ADB" w:rsidP="007E3239">
            <w:pPr>
              <w:pStyle w:val="TableText"/>
              <w:spacing w:before="40" w:after="40"/>
              <w:rPr>
                <w:rFonts w:cs="Calibri"/>
                <w:szCs w:val="16"/>
              </w:rPr>
            </w:pPr>
            <w:r w:rsidRPr="00713999">
              <w:rPr>
                <w:rFonts w:eastAsia="Calibri" w:cs="Calibri"/>
                <w:szCs w:val="16"/>
              </w:rPr>
              <w:t>2017</w:t>
            </w:r>
          </w:p>
        </w:tc>
        <w:tc>
          <w:tcPr>
            <w:tcW w:w="0" w:type="auto"/>
            <w:shd w:val="clear" w:color="auto" w:fill="FFFFFF"/>
            <w:tcMar>
              <w:top w:w="0" w:type="dxa"/>
              <w:left w:w="108" w:type="dxa"/>
              <w:bottom w:w="0" w:type="dxa"/>
              <w:right w:w="108" w:type="dxa"/>
            </w:tcMar>
            <w:vAlign w:val="center"/>
          </w:tcPr>
          <w:p w14:paraId="1E6FA4D8"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71.25</w:t>
            </w:r>
          </w:p>
        </w:tc>
        <w:tc>
          <w:tcPr>
            <w:tcW w:w="0" w:type="auto"/>
            <w:shd w:val="clear" w:color="auto" w:fill="FFFFFF"/>
            <w:tcMar>
              <w:top w:w="0" w:type="dxa"/>
              <w:left w:w="108" w:type="dxa"/>
              <w:bottom w:w="0" w:type="dxa"/>
              <w:right w:w="108" w:type="dxa"/>
            </w:tcMar>
            <w:vAlign w:val="center"/>
          </w:tcPr>
          <w:p w14:paraId="3C13BA7A"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77.93</w:t>
            </w:r>
          </w:p>
        </w:tc>
        <w:tc>
          <w:tcPr>
            <w:tcW w:w="0" w:type="auto"/>
            <w:shd w:val="clear" w:color="auto" w:fill="FFFFFF"/>
            <w:tcMar>
              <w:top w:w="0" w:type="dxa"/>
              <w:left w:w="108" w:type="dxa"/>
              <w:bottom w:w="0" w:type="dxa"/>
              <w:right w:w="108" w:type="dxa"/>
            </w:tcMar>
            <w:vAlign w:val="center"/>
          </w:tcPr>
          <w:p w14:paraId="5BE5A326"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4.92</w:t>
            </w:r>
          </w:p>
        </w:tc>
        <w:tc>
          <w:tcPr>
            <w:tcW w:w="0" w:type="auto"/>
            <w:shd w:val="clear" w:color="auto" w:fill="FFFFFF"/>
            <w:tcMar>
              <w:top w:w="0" w:type="dxa"/>
              <w:left w:w="108" w:type="dxa"/>
              <w:bottom w:w="0" w:type="dxa"/>
              <w:right w:w="108" w:type="dxa"/>
            </w:tcMar>
            <w:vAlign w:val="center"/>
          </w:tcPr>
          <w:p w14:paraId="13B0D7ED"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154.10</w:t>
            </w:r>
          </w:p>
        </w:tc>
      </w:tr>
      <w:tr w:rsidR="00A76ADB" w:rsidRPr="00713999" w14:paraId="7CE91459" w14:textId="77777777" w:rsidTr="00CF7215">
        <w:trPr>
          <w:cantSplit/>
          <w:trHeight w:val="283"/>
        </w:trPr>
        <w:tc>
          <w:tcPr>
            <w:tcW w:w="0" w:type="auto"/>
            <w:shd w:val="clear" w:color="auto" w:fill="FFFFFF"/>
            <w:tcMar>
              <w:top w:w="0" w:type="dxa"/>
              <w:left w:w="108" w:type="dxa"/>
              <w:bottom w:w="0" w:type="dxa"/>
              <w:right w:w="108" w:type="dxa"/>
            </w:tcMar>
            <w:vAlign w:val="center"/>
          </w:tcPr>
          <w:p w14:paraId="1389AA60" w14:textId="77777777" w:rsidR="00A76ADB" w:rsidRPr="00713999" w:rsidRDefault="00A76ADB" w:rsidP="007E3239">
            <w:pPr>
              <w:pStyle w:val="TableText"/>
              <w:spacing w:before="40" w:after="40"/>
              <w:rPr>
                <w:rFonts w:cs="Calibri"/>
                <w:szCs w:val="16"/>
              </w:rPr>
            </w:pPr>
            <w:r w:rsidRPr="00713999">
              <w:rPr>
                <w:rFonts w:eastAsia="Calibri" w:cs="Calibri"/>
                <w:szCs w:val="16"/>
              </w:rPr>
              <w:t>2018</w:t>
            </w:r>
          </w:p>
        </w:tc>
        <w:tc>
          <w:tcPr>
            <w:tcW w:w="0" w:type="auto"/>
            <w:shd w:val="clear" w:color="auto" w:fill="FFFFFF"/>
            <w:tcMar>
              <w:top w:w="0" w:type="dxa"/>
              <w:left w:w="108" w:type="dxa"/>
              <w:bottom w:w="0" w:type="dxa"/>
              <w:right w:w="108" w:type="dxa"/>
            </w:tcMar>
            <w:vAlign w:val="center"/>
          </w:tcPr>
          <w:p w14:paraId="2359EA6A"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72.73</w:t>
            </w:r>
          </w:p>
        </w:tc>
        <w:tc>
          <w:tcPr>
            <w:tcW w:w="0" w:type="auto"/>
            <w:shd w:val="clear" w:color="auto" w:fill="FFFFFF"/>
            <w:tcMar>
              <w:top w:w="0" w:type="dxa"/>
              <w:left w:w="108" w:type="dxa"/>
              <w:bottom w:w="0" w:type="dxa"/>
              <w:right w:w="108" w:type="dxa"/>
            </w:tcMar>
            <w:vAlign w:val="center"/>
          </w:tcPr>
          <w:p w14:paraId="4B829E34"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77.74</w:t>
            </w:r>
          </w:p>
        </w:tc>
        <w:tc>
          <w:tcPr>
            <w:tcW w:w="0" w:type="auto"/>
            <w:shd w:val="clear" w:color="auto" w:fill="FFFFFF"/>
            <w:tcMar>
              <w:top w:w="0" w:type="dxa"/>
              <w:left w:w="108" w:type="dxa"/>
              <w:bottom w:w="0" w:type="dxa"/>
              <w:right w:w="108" w:type="dxa"/>
            </w:tcMar>
            <w:vAlign w:val="center"/>
          </w:tcPr>
          <w:p w14:paraId="6CFC057B"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5.20</w:t>
            </w:r>
          </w:p>
        </w:tc>
        <w:tc>
          <w:tcPr>
            <w:tcW w:w="0" w:type="auto"/>
            <w:shd w:val="clear" w:color="auto" w:fill="FFFFFF"/>
            <w:tcMar>
              <w:top w:w="0" w:type="dxa"/>
              <w:left w:w="108" w:type="dxa"/>
              <w:bottom w:w="0" w:type="dxa"/>
              <w:right w:w="108" w:type="dxa"/>
            </w:tcMar>
            <w:vAlign w:val="center"/>
          </w:tcPr>
          <w:p w14:paraId="1B6B42A9"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155.67</w:t>
            </w:r>
          </w:p>
        </w:tc>
      </w:tr>
      <w:tr w:rsidR="00A76ADB" w:rsidRPr="00713999" w14:paraId="4205F8B4" w14:textId="77777777" w:rsidTr="00CF7215">
        <w:trPr>
          <w:cantSplit/>
          <w:trHeight w:val="283"/>
        </w:trPr>
        <w:tc>
          <w:tcPr>
            <w:tcW w:w="0" w:type="auto"/>
            <w:shd w:val="clear" w:color="auto" w:fill="FFFFFF"/>
            <w:tcMar>
              <w:top w:w="0" w:type="dxa"/>
              <w:left w:w="108" w:type="dxa"/>
              <w:bottom w:w="0" w:type="dxa"/>
              <w:right w:w="108" w:type="dxa"/>
            </w:tcMar>
            <w:vAlign w:val="center"/>
          </w:tcPr>
          <w:p w14:paraId="14BE9B10" w14:textId="77777777" w:rsidR="00A76ADB" w:rsidRPr="00713999" w:rsidRDefault="00A76ADB" w:rsidP="007E3239">
            <w:pPr>
              <w:pStyle w:val="TableText"/>
              <w:spacing w:before="40" w:after="40"/>
              <w:rPr>
                <w:rFonts w:cs="Calibri"/>
                <w:szCs w:val="16"/>
              </w:rPr>
            </w:pPr>
            <w:r w:rsidRPr="00713999">
              <w:rPr>
                <w:rFonts w:eastAsia="Calibri" w:cs="Calibri"/>
                <w:szCs w:val="16"/>
              </w:rPr>
              <w:t>2019</w:t>
            </w:r>
          </w:p>
        </w:tc>
        <w:tc>
          <w:tcPr>
            <w:tcW w:w="0" w:type="auto"/>
            <w:shd w:val="clear" w:color="auto" w:fill="FFFFFF"/>
            <w:tcMar>
              <w:top w:w="0" w:type="dxa"/>
              <w:left w:w="108" w:type="dxa"/>
              <w:bottom w:w="0" w:type="dxa"/>
              <w:right w:w="108" w:type="dxa"/>
            </w:tcMar>
            <w:vAlign w:val="center"/>
          </w:tcPr>
          <w:p w14:paraId="6F4F6AAF"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73.03</w:t>
            </w:r>
          </w:p>
        </w:tc>
        <w:tc>
          <w:tcPr>
            <w:tcW w:w="0" w:type="auto"/>
            <w:shd w:val="clear" w:color="auto" w:fill="FFFFFF"/>
            <w:tcMar>
              <w:top w:w="0" w:type="dxa"/>
              <w:left w:w="108" w:type="dxa"/>
              <w:bottom w:w="0" w:type="dxa"/>
              <w:right w:w="108" w:type="dxa"/>
            </w:tcMar>
            <w:vAlign w:val="center"/>
          </w:tcPr>
          <w:p w14:paraId="54BCAC6A"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77.62</w:t>
            </w:r>
          </w:p>
        </w:tc>
        <w:tc>
          <w:tcPr>
            <w:tcW w:w="0" w:type="auto"/>
            <w:shd w:val="clear" w:color="auto" w:fill="FFFFFF"/>
            <w:tcMar>
              <w:top w:w="0" w:type="dxa"/>
              <w:left w:w="108" w:type="dxa"/>
              <w:bottom w:w="0" w:type="dxa"/>
              <w:right w:w="108" w:type="dxa"/>
            </w:tcMar>
            <w:vAlign w:val="center"/>
          </w:tcPr>
          <w:p w14:paraId="652F4DA0"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5.68</w:t>
            </w:r>
          </w:p>
        </w:tc>
        <w:tc>
          <w:tcPr>
            <w:tcW w:w="0" w:type="auto"/>
            <w:shd w:val="clear" w:color="auto" w:fill="FFFFFF"/>
            <w:tcMar>
              <w:top w:w="0" w:type="dxa"/>
              <w:left w:w="108" w:type="dxa"/>
              <w:bottom w:w="0" w:type="dxa"/>
              <w:right w:w="108" w:type="dxa"/>
            </w:tcMar>
            <w:vAlign w:val="center"/>
          </w:tcPr>
          <w:p w14:paraId="62C1DB46"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156.33</w:t>
            </w:r>
          </w:p>
        </w:tc>
      </w:tr>
      <w:tr w:rsidR="00A76ADB" w:rsidRPr="00713999" w14:paraId="509A4AEC" w14:textId="77777777" w:rsidTr="00CF7215">
        <w:trPr>
          <w:cantSplit/>
          <w:trHeight w:val="283"/>
        </w:trPr>
        <w:tc>
          <w:tcPr>
            <w:tcW w:w="0" w:type="auto"/>
            <w:shd w:val="clear" w:color="auto" w:fill="FFFFFF"/>
            <w:tcMar>
              <w:top w:w="0" w:type="dxa"/>
              <w:left w:w="108" w:type="dxa"/>
              <w:bottom w:w="0" w:type="dxa"/>
              <w:right w:w="108" w:type="dxa"/>
            </w:tcMar>
            <w:vAlign w:val="center"/>
          </w:tcPr>
          <w:p w14:paraId="7A22D6EC" w14:textId="77777777" w:rsidR="00A76ADB" w:rsidRPr="00713999" w:rsidRDefault="00A76ADB" w:rsidP="007E3239">
            <w:pPr>
              <w:pStyle w:val="TableText"/>
              <w:spacing w:before="40" w:after="40"/>
              <w:rPr>
                <w:rFonts w:cs="Calibri"/>
                <w:szCs w:val="16"/>
              </w:rPr>
            </w:pPr>
            <w:r w:rsidRPr="00713999">
              <w:rPr>
                <w:rFonts w:eastAsia="Calibri" w:cs="Calibri"/>
                <w:szCs w:val="16"/>
              </w:rPr>
              <w:t>2020</w:t>
            </w:r>
          </w:p>
        </w:tc>
        <w:tc>
          <w:tcPr>
            <w:tcW w:w="0" w:type="auto"/>
            <w:shd w:val="clear" w:color="auto" w:fill="FFFFFF"/>
            <w:tcMar>
              <w:top w:w="0" w:type="dxa"/>
              <w:left w:w="108" w:type="dxa"/>
              <w:bottom w:w="0" w:type="dxa"/>
              <w:right w:w="108" w:type="dxa"/>
            </w:tcMar>
            <w:vAlign w:val="center"/>
          </w:tcPr>
          <w:p w14:paraId="259C0B28"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73.79</w:t>
            </w:r>
          </w:p>
        </w:tc>
        <w:tc>
          <w:tcPr>
            <w:tcW w:w="0" w:type="auto"/>
            <w:shd w:val="clear" w:color="auto" w:fill="FFFFFF"/>
            <w:tcMar>
              <w:top w:w="0" w:type="dxa"/>
              <w:left w:w="108" w:type="dxa"/>
              <w:bottom w:w="0" w:type="dxa"/>
              <w:right w:w="108" w:type="dxa"/>
            </w:tcMar>
            <w:vAlign w:val="center"/>
          </w:tcPr>
          <w:p w14:paraId="6E64B4E7"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77.33</w:t>
            </w:r>
          </w:p>
        </w:tc>
        <w:tc>
          <w:tcPr>
            <w:tcW w:w="0" w:type="auto"/>
            <w:shd w:val="clear" w:color="auto" w:fill="FFFFFF"/>
            <w:tcMar>
              <w:top w:w="0" w:type="dxa"/>
              <w:left w:w="108" w:type="dxa"/>
              <w:bottom w:w="0" w:type="dxa"/>
              <w:right w:w="108" w:type="dxa"/>
            </w:tcMar>
            <w:vAlign w:val="center"/>
          </w:tcPr>
          <w:p w14:paraId="287CE4AD"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4.92</w:t>
            </w:r>
          </w:p>
        </w:tc>
        <w:tc>
          <w:tcPr>
            <w:tcW w:w="0" w:type="auto"/>
            <w:shd w:val="clear" w:color="auto" w:fill="FFFFFF"/>
            <w:tcMar>
              <w:top w:w="0" w:type="dxa"/>
              <w:left w:w="108" w:type="dxa"/>
              <w:bottom w:w="0" w:type="dxa"/>
              <w:right w:w="108" w:type="dxa"/>
            </w:tcMar>
            <w:vAlign w:val="center"/>
          </w:tcPr>
          <w:p w14:paraId="5A5D83E8" w14:textId="77777777" w:rsidR="00A76ADB" w:rsidRPr="00713999" w:rsidRDefault="00A76ADB" w:rsidP="007E3239">
            <w:pPr>
              <w:pStyle w:val="TableText"/>
              <w:spacing w:before="40" w:after="40"/>
              <w:jc w:val="center"/>
              <w:rPr>
                <w:rFonts w:cs="Calibri"/>
                <w:szCs w:val="16"/>
              </w:rPr>
            </w:pPr>
            <w:r w:rsidRPr="00713999">
              <w:rPr>
                <w:rFonts w:eastAsia="Calibri" w:cs="Calibri"/>
                <w:color w:val="000000"/>
                <w:szCs w:val="16"/>
              </w:rPr>
              <w:t>156.04</w:t>
            </w:r>
          </w:p>
        </w:tc>
      </w:tr>
    </w:tbl>
    <w:p w14:paraId="4A39324D" w14:textId="77777777" w:rsidR="00A76ADB" w:rsidRDefault="00A76ADB" w:rsidP="00A76ADB">
      <w:pPr>
        <w:pStyle w:val="Noteundertable"/>
      </w:pPr>
      <w:r>
        <w:rPr>
          <w:b/>
          <w:bCs/>
        </w:rPr>
        <w:t>Note:</w:t>
      </w:r>
      <w:r w:rsidRPr="001515DA">
        <w:t xml:space="preserve"> </w:t>
      </w:r>
      <w:r>
        <w:tab/>
        <w:t>TOW = total organic product in wastewater. Columns may not total due to rounding.</w:t>
      </w:r>
    </w:p>
    <w:p w14:paraId="0F4B8366" w14:textId="77777777" w:rsidR="00A76ADB" w:rsidRDefault="00A76ADB" w:rsidP="00A76ADB">
      <w:pPr>
        <w:pStyle w:val="BodyText"/>
      </w:pPr>
      <w:r>
        <w:t>Table 7.5.4 reports the activity data for the total nitrogen in effluent from industrial wastewater.</w:t>
      </w:r>
    </w:p>
    <w:p w14:paraId="5EFCA836" w14:textId="77777777" w:rsidR="00A76ADB" w:rsidRDefault="00A76ADB" w:rsidP="00A76ADB">
      <w:pPr>
        <w:pStyle w:val="Table"/>
      </w:pPr>
      <w:bookmarkStart w:id="2433" w:name="_Toc99659343"/>
      <w:r>
        <w:t>Table 7.5.4</w:t>
      </w:r>
      <w:r>
        <w:tab/>
        <w:t>Nitrogen in effluent from industrial wastewater from 1990 to 2020</w:t>
      </w:r>
      <w:bookmarkEnd w:id="2433"/>
    </w:p>
    <w:tbl>
      <w:tblPr>
        <w:tblW w:w="8505" w:type="dxa"/>
        <w:tblInd w:w="108"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542"/>
        <w:gridCol w:w="2016"/>
        <w:gridCol w:w="1255"/>
        <w:gridCol w:w="1633"/>
        <w:gridCol w:w="1506"/>
        <w:gridCol w:w="1553"/>
      </w:tblGrid>
      <w:tr w:rsidR="00A76ADB" w:rsidRPr="006C0D1B" w14:paraId="2E4CBC9F" w14:textId="77777777" w:rsidTr="00CF7215">
        <w:trPr>
          <w:cantSplit/>
          <w:tblHeader/>
        </w:trPr>
        <w:tc>
          <w:tcPr>
            <w:tcW w:w="0" w:type="auto"/>
            <w:shd w:val="clear" w:color="auto" w:fill="1B556B"/>
            <w:tcMar>
              <w:top w:w="0" w:type="dxa"/>
              <w:left w:w="108" w:type="dxa"/>
              <w:bottom w:w="0" w:type="dxa"/>
              <w:right w:w="108" w:type="dxa"/>
            </w:tcMar>
            <w:vAlign w:val="bottom"/>
          </w:tcPr>
          <w:p w14:paraId="1DCDF663" w14:textId="77777777" w:rsidR="00A76ADB" w:rsidRPr="006C0D1B" w:rsidRDefault="00A76ADB" w:rsidP="007E3239">
            <w:pPr>
              <w:pStyle w:val="TableTextBold"/>
              <w:rPr>
                <w:color w:val="FFFFFF"/>
              </w:rPr>
            </w:pPr>
            <w:r w:rsidRPr="006C0D1B">
              <w:rPr>
                <w:rFonts w:eastAsia="Calibri"/>
                <w:color w:val="FFFFFF"/>
              </w:rPr>
              <w:t>Year</w:t>
            </w:r>
          </w:p>
        </w:tc>
        <w:tc>
          <w:tcPr>
            <w:tcW w:w="0" w:type="auto"/>
            <w:shd w:val="clear" w:color="auto" w:fill="1B556B"/>
            <w:tcMar>
              <w:top w:w="0" w:type="dxa"/>
              <w:left w:w="108" w:type="dxa"/>
              <w:bottom w:w="0" w:type="dxa"/>
              <w:right w:w="108" w:type="dxa"/>
            </w:tcMar>
            <w:vAlign w:val="bottom"/>
          </w:tcPr>
          <w:p w14:paraId="0171F47B" w14:textId="77777777" w:rsidR="00A76ADB" w:rsidRPr="006C0D1B" w:rsidRDefault="00A76ADB" w:rsidP="007E3239">
            <w:pPr>
              <w:pStyle w:val="TableTextBold"/>
              <w:jc w:val="center"/>
              <w:rPr>
                <w:color w:val="FFFFFF"/>
              </w:rPr>
            </w:pPr>
            <w:r w:rsidRPr="006C0D1B">
              <w:rPr>
                <w:rFonts w:eastAsia="Calibri" w:cs="Calibri"/>
                <w:color w:val="FFFFFF"/>
                <w:szCs w:val="16"/>
              </w:rPr>
              <w:t>Meat industries (excl poultry) N in effluent (kt)</w:t>
            </w:r>
          </w:p>
        </w:tc>
        <w:tc>
          <w:tcPr>
            <w:tcW w:w="0" w:type="auto"/>
            <w:shd w:val="clear" w:color="auto" w:fill="1B556B"/>
            <w:tcMar>
              <w:top w:w="0" w:type="dxa"/>
              <w:left w:w="108" w:type="dxa"/>
              <w:bottom w:w="0" w:type="dxa"/>
              <w:right w:w="108" w:type="dxa"/>
            </w:tcMar>
            <w:vAlign w:val="bottom"/>
          </w:tcPr>
          <w:p w14:paraId="0BBCD539" w14:textId="77777777" w:rsidR="00A76ADB" w:rsidRPr="006C0D1B" w:rsidRDefault="00A76ADB" w:rsidP="007E3239">
            <w:pPr>
              <w:pStyle w:val="TableTextBold"/>
              <w:jc w:val="center"/>
              <w:rPr>
                <w:color w:val="FFFFFF"/>
              </w:rPr>
            </w:pPr>
            <w:r w:rsidRPr="006C0D1B">
              <w:rPr>
                <w:rFonts w:eastAsia="Calibri" w:cs="Calibri"/>
                <w:color w:val="FFFFFF"/>
                <w:szCs w:val="16"/>
              </w:rPr>
              <w:t>Poultry N in effluent (kt)</w:t>
            </w:r>
          </w:p>
        </w:tc>
        <w:tc>
          <w:tcPr>
            <w:tcW w:w="0" w:type="auto"/>
            <w:shd w:val="clear" w:color="auto" w:fill="1B556B"/>
            <w:tcMar>
              <w:top w:w="0" w:type="dxa"/>
              <w:left w:w="108" w:type="dxa"/>
              <w:bottom w:w="0" w:type="dxa"/>
              <w:right w:w="108" w:type="dxa"/>
            </w:tcMar>
            <w:vAlign w:val="bottom"/>
          </w:tcPr>
          <w:p w14:paraId="664CAA92" w14:textId="77777777" w:rsidR="00A76ADB" w:rsidRPr="006C0D1B" w:rsidRDefault="00A76ADB" w:rsidP="007E3239">
            <w:pPr>
              <w:pStyle w:val="TableTextBold"/>
              <w:jc w:val="center"/>
              <w:rPr>
                <w:color w:val="FFFFFF"/>
              </w:rPr>
            </w:pPr>
            <w:r w:rsidRPr="006C0D1B">
              <w:rPr>
                <w:rFonts w:eastAsia="Calibri" w:cs="Calibri"/>
                <w:color w:val="FFFFFF"/>
                <w:szCs w:val="16"/>
              </w:rPr>
              <w:t>Dairy processing N in effluent (kt)</w:t>
            </w:r>
          </w:p>
        </w:tc>
        <w:tc>
          <w:tcPr>
            <w:tcW w:w="0" w:type="auto"/>
            <w:shd w:val="clear" w:color="auto" w:fill="1B556B"/>
            <w:tcMar>
              <w:top w:w="0" w:type="dxa"/>
              <w:left w:w="108" w:type="dxa"/>
              <w:bottom w:w="0" w:type="dxa"/>
              <w:right w:w="108" w:type="dxa"/>
            </w:tcMar>
            <w:vAlign w:val="bottom"/>
          </w:tcPr>
          <w:p w14:paraId="26389798" w14:textId="77777777" w:rsidR="00A76ADB" w:rsidRPr="006C0D1B" w:rsidRDefault="00A76ADB" w:rsidP="007E3239">
            <w:pPr>
              <w:pStyle w:val="TableTextBold"/>
              <w:jc w:val="center"/>
              <w:rPr>
                <w:color w:val="FFFFFF"/>
              </w:rPr>
            </w:pPr>
            <w:r w:rsidRPr="006C0D1B">
              <w:rPr>
                <w:rFonts w:eastAsia="Calibri" w:cs="Calibri"/>
                <w:color w:val="FFFFFF"/>
                <w:szCs w:val="16"/>
              </w:rPr>
              <w:t>Leather &amp; skins N in effluent (kt)</w:t>
            </w:r>
          </w:p>
        </w:tc>
        <w:tc>
          <w:tcPr>
            <w:tcW w:w="0" w:type="auto"/>
            <w:shd w:val="clear" w:color="auto" w:fill="1B556B"/>
            <w:tcMar>
              <w:top w:w="0" w:type="dxa"/>
              <w:left w:w="108" w:type="dxa"/>
              <w:bottom w:w="0" w:type="dxa"/>
              <w:right w:w="108" w:type="dxa"/>
            </w:tcMar>
            <w:vAlign w:val="bottom"/>
          </w:tcPr>
          <w:p w14:paraId="641C5744" w14:textId="77777777" w:rsidR="00A76ADB" w:rsidRPr="006C0D1B" w:rsidRDefault="00A76ADB" w:rsidP="007E3239">
            <w:pPr>
              <w:pStyle w:val="TableTextBold"/>
              <w:jc w:val="center"/>
              <w:rPr>
                <w:color w:val="FFFFFF"/>
              </w:rPr>
            </w:pPr>
            <w:r w:rsidRPr="006C0D1B">
              <w:rPr>
                <w:rFonts w:eastAsia="Calibri" w:cs="Calibri"/>
                <w:color w:val="FFFFFF"/>
                <w:szCs w:val="16"/>
              </w:rPr>
              <w:t>Total industrial N in effluent (kt)</w:t>
            </w:r>
          </w:p>
        </w:tc>
      </w:tr>
      <w:tr w:rsidR="00A76ADB" w14:paraId="24ABB333" w14:textId="77777777" w:rsidTr="00CF7215">
        <w:trPr>
          <w:cantSplit/>
          <w:trHeight w:val="283"/>
        </w:trPr>
        <w:tc>
          <w:tcPr>
            <w:tcW w:w="0" w:type="auto"/>
            <w:shd w:val="clear" w:color="auto" w:fill="FFFFFF"/>
            <w:tcMar>
              <w:top w:w="0" w:type="dxa"/>
              <w:left w:w="108" w:type="dxa"/>
              <w:bottom w:w="0" w:type="dxa"/>
              <w:right w:w="108" w:type="dxa"/>
            </w:tcMar>
            <w:vAlign w:val="center"/>
          </w:tcPr>
          <w:p w14:paraId="50ECEF56" w14:textId="77777777" w:rsidR="00A76ADB" w:rsidRDefault="00A76ADB" w:rsidP="007E3239">
            <w:pPr>
              <w:pStyle w:val="TableText"/>
            </w:pPr>
            <w:r>
              <w:rPr>
                <w:rFonts w:eastAsia="Calibri"/>
              </w:rPr>
              <w:t>1990</w:t>
            </w:r>
          </w:p>
        </w:tc>
        <w:tc>
          <w:tcPr>
            <w:tcW w:w="0" w:type="auto"/>
            <w:shd w:val="clear" w:color="auto" w:fill="FFFFFF"/>
            <w:tcMar>
              <w:top w:w="0" w:type="dxa"/>
              <w:left w:w="108" w:type="dxa"/>
              <w:bottom w:w="0" w:type="dxa"/>
              <w:right w:w="108" w:type="dxa"/>
            </w:tcMar>
            <w:vAlign w:val="center"/>
          </w:tcPr>
          <w:p w14:paraId="2CA68C56" w14:textId="77777777" w:rsidR="00A76ADB" w:rsidRDefault="00A76ADB" w:rsidP="007E3239">
            <w:pPr>
              <w:pStyle w:val="TableText"/>
              <w:jc w:val="center"/>
            </w:pPr>
            <w:r>
              <w:rPr>
                <w:rFonts w:eastAsia="Calibri"/>
                <w:color w:val="000000"/>
              </w:rPr>
              <w:t>1.37</w:t>
            </w:r>
          </w:p>
        </w:tc>
        <w:tc>
          <w:tcPr>
            <w:tcW w:w="0" w:type="auto"/>
            <w:shd w:val="clear" w:color="auto" w:fill="FFFFFF"/>
            <w:tcMar>
              <w:top w:w="0" w:type="dxa"/>
              <w:left w:w="108" w:type="dxa"/>
              <w:bottom w:w="0" w:type="dxa"/>
              <w:right w:w="108" w:type="dxa"/>
            </w:tcMar>
            <w:vAlign w:val="center"/>
          </w:tcPr>
          <w:p w14:paraId="0C628DC5" w14:textId="77777777" w:rsidR="00A76ADB" w:rsidRDefault="00A76ADB" w:rsidP="007E3239">
            <w:pPr>
              <w:pStyle w:val="TableText"/>
              <w:jc w:val="center"/>
            </w:pPr>
            <w:r>
              <w:rPr>
                <w:rFonts w:eastAsia="Calibri"/>
                <w:color w:val="000000"/>
              </w:rPr>
              <w:t>0.07</w:t>
            </w:r>
          </w:p>
        </w:tc>
        <w:tc>
          <w:tcPr>
            <w:tcW w:w="0" w:type="auto"/>
            <w:shd w:val="clear" w:color="auto" w:fill="FFFFFF"/>
            <w:tcMar>
              <w:top w:w="0" w:type="dxa"/>
              <w:left w:w="108" w:type="dxa"/>
              <w:bottom w:w="0" w:type="dxa"/>
              <w:right w:w="108" w:type="dxa"/>
            </w:tcMar>
            <w:vAlign w:val="center"/>
          </w:tcPr>
          <w:p w14:paraId="3BE57FD4" w14:textId="77777777" w:rsidR="00A76ADB" w:rsidRDefault="00A76ADB" w:rsidP="007E3239">
            <w:pPr>
              <w:pStyle w:val="TableText"/>
              <w:jc w:val="center"/>
            </w:pPr>
            <w:r>
              <w:rPr>
                <w:rFonts w:eastAsia="Calibri"/>
                <w:color w:val="000000"/>
              </w:rPr>
              <w:t>0.16</w:t>
            </w:r>
          </w:p>
        </w:tc>
        <w:tc>
          <w:tcPr>
            <w:tcW w:w="0" w:type="auto"/>
            <w:shd w:val="clear" w:color="auto" w:fill="FFFFFF"/>
            <w:tcMar>
              <w:top w:w="0" w:type="dxa"/>
              <w:left w:w="108" w:type="dxa"/>
              <w:bottom w:w="0" w:type="dxa"/>
              <w:right w:w="108" w:type="dxa"/>
            </w:tcMar>
            <w:vAlign w:val="center"/>
          </w:tcPr>
          <w:p w14:paraId="6E65C9DF" w14:textId="77777777" w:rsidR="00A76ADB" w:rsidRDefault="00A76ADB" w:rsidP="007E3239">
            <w:pPr>
              <w:pStyle w:val="TableText"/>
              <w:jc w:val="center"/>
            </w:pPr>
            <w:r>
              <w:rPr>
                <w:rFonts w:eastAsia="Calibri"/>
                <w:color w:val="000000"/>
              </w:rPr>
              <w:t>1.22</w:t>
            </w:r>
          </w:p>
        </w:tc>
        <w:tc>
          <w:tcPr>
            <w:tcW w:w="0" w:type="auto"/>
            <w:shd w:val="clear" w:color="auto" w:fill="FFFFFF"/>
            <w:tcMar>
              <w:top w:w="0" w:type="dxa"/>
              <w:left w:w="108" w:type="dxa"/>
              <w:bottom w:w="0" w:type="dxa"/>
              <w:right w:w="108" w:type="dxa"/>
            </w:tcMar>
            <w:vAlign w:val="center"/>
          </w:tcPr>
          <w:p w14:paraId="51FE5264" w14:textId="77777777" w:rsidR="00A76ADB" w:rsidRDefault="00A76ADB" w:rsidP="007E3239">
            <w:pPr>
              <w:pStyle w:val="TableText"/>
              <w:jc w:val="center"/>
            </w:pPr>
            <w:r>
              <w:rPr>
                <w:rFonts w:eastAsia="Calibri"/>
                <w:color w:val="000000"/>
              </w:rPr>
              <w:t>2.82</w:t>
            </w:r>
          </w:p>
        </w:tc>
      </w:tr>
      <w:tr w:rsidR="00A76ADB" w14:paraId="32C5924B" w14:textId="77777777" w:rsidTr="00CF7215">
        <w:trPr>
          <w:cantSplit/>
          <w:trHeight w:val="283"/>
        </w:trPr>
        <w:tc>
          <w:tcPr>
            <w:tcW w:w="0" w:type="auto"/>
            <w:shd w:val="clear" w:color="auto" w:fill="FFFFFF"/>
            <w:tcMar>
              <w:top w:w="0" w:type="dxa"/>
              <w:left w:w="108" w:type="dxa"/>
              <w:bottom w:w="0" w:type="dxa"/>
              <w:right w:w="108" w:type="dxa"/>
            </w:tcMar>
            <w:vAlign w:val="center"/>
          </w:tcPr>
          <w:p w14:paraId="6A068271" w14:textId="77777777" w:rsidR="00A76ADB" w:rsidRDefault="00A76ADB" w:rsidP="007E3239">
            <w:pPr>
              <w:pStyle w:val="TableText"/>
            </w:pPr>
            <w:r>
              <w:rPr>
                <w:rFonts w:eastAsia="Calibri"/>
              </w:rPr>
              <w:t>1991</w:t>
            </w:r>
          </w:p>
        </w:tc>
        <w:tc>
          <w:tcPr>
            <w:tcW w:w="0" w:type="auto"/>
            <w:shd w:val="clear" w:color="auto" w:fill="FFFFFF"/>
            <w:tcMar>
              <w:top w:w="0" w:type="dxa"/>
              <w:left w:w="108" w:type="dxa"/>
              <w:bottom w:w="0" w:type="dxa"/>
              <w:right w:w="108" w:type="dxa"/>
            </w:tcMar>
            <w:vAlign w:val="center"/>
          </w:tcPr>
          <w:p w14:paraId="16C71DDE" w14:textId="77777777" w:rsidR="00A76ADB" w:rsidRDefault="00A76ADB" w:rsidP="007E3239">
            <w:pPr>
              <w:pStyle w:val="TableText"/>
              <w:jc w:val="center"/>
            </w:pPr>
            <w:r>
              <w:rPr>
                <w:rFonts w:eastAsia="Calibri"/>
                <w:color w:val="000000"/>
              </w:rPr>
              <w:t>1.45</w:t>
            </w:r>
          </w:p>
        </w:tc>
        <w:tc>
          <w:tcPr>
            <w:tcW w:w="0" w:type="auto"/>
            <w:shd w:val="clear" w:color="auto" w:fill="FFFFFF"/>
            <w:tcMar>
              <w:top w:w="0" w:type="dxa"/>
              <w:left w:w="108" w:type="dxa"/>
              <w:bottom w:w="0" w:type="dxa"/>
              <w:right w:w="108" w:type="dxa"/>
            </w:tcMar>
            <w:vAlign w:val="center"/>
          </w:tcPr>
          <w:p w14:paraId="6FD187F1" w14:textId="77777777" w:rsidR="00A76ADB" w:rsidRDefault="00A76ADB" w:rsidP="007E3239">
            <w:pPr>
              <w:pStyle w:val="TableText"/>
              <w:jc w:val="center"/>
            </w:pPr>
            <w:r>
              <w:rPr>
                <w:rFonts w:eastAsia="Calibri"/>
                <w:color w:val="000000"/>
              </w:rPr>
              <w:t>0.07</w:t>
            </w:r>
          </w:p>
        </w:tc>
        <w:tc>
          <w:tcPr>
            <w:tcW w:w="0" w:type="auto"/>
            <w:shd w:val="clear" w:color="auto" w:fill="FFFFFF"/>
            <w:tcMar>
              <w:top w:w="0" w:type="dxa"/>
              <w:left w:w="108" w:type="dxa"/>
              <w:bottom w:w="0" w:type="dxa"/>
              <w:right w:w="108" w:type="dxa"/>
            </w:tcMar>
            <w:vAlign w:val="center"/>
          </w:tcPr>
          <w:p w14:paraId="54590E87" w14:textId="77777777" w:rsidR="00A76ADB" w:rsidRDefault="00A76ADB" w:rsidP="007E3239">
            <w:pPr>
              <w:pStyle w:val="TableText"/>
              <w:jc w:val="center"/>
            </w:pPr>
            <w:r>
              <w:rPr>
                <w:rFonts w:eastAsia="Calibri"/>
                <w:color w:val="000000"/>
              </w:rPr>
              <w:t>0.17</w:t>
            </w:r>
          </w:p>
        </w:tc>
        <w:tc>
          <w:tcPr>
            <w:tcW w:w="0" w:type="auto"/>
            <w:shd w:val="clear" w:color="auto" w:fill="FFFFFF"/>
            <w:tcMar>
              <w:top w:w="0" w:type="dxa"/>
              <w:left w:w="108" w:type="dxa"/>
              <w:bottom w:w="0" w:type="dxa"/>
              <w:right w:w="108" w:type="dxa"/>
            </w:tcMar>
            <w:vAlign w:val="center"/>
          </w:tcPr>
          <w:p w14:paraId="778F331F" w14:textId="77777777" w:rsidR="00A76ADB" w:rsidRDefault="00A76ADB" w:rsidP="007E3239">
            <w:pPr>
              <w:pStyle w:val="TableText"/>
              <w:jc w:val="center"/>
            </w:pPr>
            <w:r>
              <w:rPr>
                <w:rFonts w:eastAsia="Calibri"/>
                <w:color w:val="000000"/>
              </w:rPr>
              <w:t>1.22</w:t>
            </w:r>
          </w:p>
        </w:tc>
        <w:tc>
          <w:tcPr>
            <w:tcW w:w="0" w:type="auto"/>
            <w:shd w:val="clear" w:color="auto" w:fill="FFFFFF"/>
            <w:tcMar>
              <w:top w:w="0" w:type="dxa"/>
              <w:left w:w="108" w:type="dxa"/>
              <w:bottom w:w="0" w:type="dxa"/>
              <w:right w:w="108" w:type="dxa"/>
            </w:tcMar>
            <w:vAlign w:val="center"/>
          </w:tcPr>
          <w:p w14:paraId="4BA9238C" w14:textId="77777777" w:rsidR="00A76ADB" w:rsidRDefault="00A76ADB" w:rsidP="007E3239">
            <w:pPr>
              <w:pStyle w:val="TableText"/>
              <w:jc w:val="center"/>
            </w:pPr>
            <w:r>
              <w:rPr>
                <w:rFonts w:eastAsia="Calibri"/>
                <w:color w:val="000000"/>
              </w:rPr>
              <w:t>2.92</w:t>
            </w:r>
          </w:p>
        </w:tc>
      </w:tr>
      <w:tr w:rsidR="00A76ADB" w14:paraId="4C2A1110" w14:textId="77777777" w:rsidTr="00CF7215">
        <w:trPr>
          <w:cantSplit/>
          <w:trHeight w:val="283"/>
        </w:trPr>
        <w:tc>
          <w:tcPr>
            <w:tcW w:w="0" w:type="auto"/>
            <w:shd w:val="clear" w:color="auto" w:fill="FFFFFF"/>
            <w:tcMar>
              <w:top w:w="0" w:type="dxa"/>
              <w:left w:w="108" w:type="dxa"/>
              <w:bottom w:w="0" w:type="dxa"/>
              <w:right w:w="108" w:type="dxa"/>
            </w:tcMar>
            <w:vAlign w:val="center"/>
          </w:tcPr>
          <w:p w14:paraId="608A1851" w14:textId="77777777" w:rsidR="00A76ADB" w:rsidRDefault="00A76ADB" w:rsidP="007E3239">
            <w:pPr>
              <w:pStyle w:val="TableText"/>
            </w:pPr>
            <w:r>
              <w:rPr>
                <w:rFonts w:eastAsia="Calibri"/>
              </w:rPr>
              <w:t>1992</w:t>
            </w:r>
          </w:p>
        </w:tc>
        <w:tc>
          <w:tcPr>
            <w:tcW w:w="0" w:type="auto"/>
            <w:shd w:val="clear" w:color="auto" w:fill="FFFFFF"/>
            <w:tcMar>
              <w:top w:w="0" w:type="dxa"/>
              <w:left w:w="108" w:type="dxa"/>
              <w:bottom w:w="0" w:type="dxa"/>
              <w:right w:w="108" w:type="dxa"/>
            </w:tcMar>
            <w:vAlign w:val="center"/>
          </w:tcPr>
          <w:p w14:paraId="2CD3C9CC" w14:textId="77777777" w:rsidR="00A76ADB" w:rsidRDefault="00A76ADB" w:rsidP="007E3239">
            <w:pPr>
              <w:pStyle w:val="TableText"/>
              <w:jc w:val="center"/>
            </w:pPr>
            <w:r>
              <w:rPr>
                <w:rFonts w:eastAsia="Calibri"/>
                <w:color w:val="000000"/>
              </w:rPr>
              <w:t>1.58</w:t>
            </w:r>
          </w:p>
        </w:tc>
        <w:tc>
          <w:tcPr>
            <w:tcW w:w="0" w:type="auto"/>
            <w:shd w:val="clear" w:color="auto" w:fill="FFFFFF"/>
            <w:tcMar>
              <w:top w:w="0" w:type="dxa"/>
              <w:left w:w="108" w:type="dxa"/>
              <w:bottom w:w="0" w:type="dxa"/>
              <w:right w:w="108" w:type="dxa"/>
            </w:tcMar>
            <w:vAlign w:val="center"/>
          </w:tcPr>
          <w:p w14:paraId="53F15FF0" w14:textId="77777777" w:rsidR="00A76ADB" w:rsidRDefault="00A76ADB" w:rsidP="007E3239">
            <w:pPr>
              <w:pStyle w:val="TableText"/>
              <w:jc w:val="center"/>
            </w:pPr>
            <w:r>
              <w:rPr>
                <w:rFonts w:eastAsia="Calibri"/>
                <w:color w:val="000000"/>
              </w:rPr>
              <w:t>0.08</w:t>
            </w:r>
          </w:p>
        </w:tc>
        <w:tc>
          <w:tcPr>
            <w:tcW w:w="0" w:type="auto"/>
            <w:shd w:val="clear" w:color="auto" w:fill="FFFFFF"/>
            <w:tcMar>
              <w:top w:w="0" w:type="dxa"/>
              <w:left w:w="108" w:type="dxa"/>
              <w:bottom w:w="0" w:type="dxa"/>
              <w:right w:w="108" w:type="dxa"/>
            </w:tcMar>
            <w:vAlign w:val="center"/>
          </w:tcPr>
          <w:p w14:paraId="6DFA694E" w14:textId="77777777" w:rsidR="00A76ADB" w:rsidRDefault="00A76ADB" w:rsidP="007E3239">
            <w:pPr>
              <w:pStyle w:val="TableText"/>
              <w:jc w:val="center"/>
            </w:pPr>
            <w:r>
              <w:rPr>
                <w:rFonts w:eastAsia="Calibri"/>
                <w:color w:val="000000"/>
              </w:rPr>
              <w:t>0.17</w:t>
            </w:r>
          </w:p>
        </w:tc>
        <w:tc>
          <w:tcPr>
            <w:tcW w:w="0" w:type="auto"/>
            <w:shd w:val="clear" w:color="auto" w:fill="FFFFFF"/>
            <w:tcMar>
              <w:top w:w="0" w:type="dxa"/>
              <w:left w:w="108" w:type="dxa"/>
              <w:bottom w:w="0" w:type="dxa"/>
              <w:right w:w="108" w:type="dxa"/>
            </w:tcMar>
            <w:vAlign w:val="center"/>
          </w:tcPr>
          <w:p w14:paraId="3AA6BD7D" w14:textId="77777777" w:rsidR="00A76ADB" w:rsidRDefault="00A76ADB" w:rsidP="007E3239">
            <w:pPr>
              <w:pStyle w:val="TableText"/>
              <w:jc w:val="center"/>
            </w:pPr>
            <w:r>
              <w:rPr>
                <w:rFonts w:eastAsia="Calibri"/>
                <w:color w:val="000000"/>
              </w:rPr>
              <w:t>1.22</w:t>
            </w:r>
          </w:p>
        </w:tc>
        <w:tc>
          <w:tcPr>
            <w:tcW w:w="0" w:type="auto"/>
            <w:shd w:val="clear" w:color="auto" w:fill="FFFFFF"/>
            <w:tcMar>
              <w:top w:w="0" w:type="dxa"/>
              <w:left w:w="108" w:type="dxa"/>
              <w:bottom w:w="0" w:type="dxa"/>
              <w:right w:w="108" w:type="dxa"/>
            </w:tcMar>
            <w:vAlign w:val="center"/>
          </w:tcPr>
          <w:p w14:paraId="29C02A78" w14:textId="77777777" w:rsidR="00A76ADB" w:rsidRDefault="00A76ADB" w:rsidP="007E3239">
            <w:pPr>
              <w:pStyle w:val="TableText"/>
              <w:jc w:val="center"/>
            </w:pPr>
            <w:r>
              <w:rPr>
                <w:rFonts w:eastAsia="Calibri"/>
                <w:color w:val="000000"/>
              </w:rPr>
              <w:t>3.05</w:t>
            </w:r>
          </w:p>
        </w:tc>
      </w:tr>
      <w:tr w:rsidR="00A76ADB" w14:paraId="28EAF00D" w14:textId="77777777" w:rsidTr="00CF7215">
        <w:trPr>
          <w:cantSplit/>
          <w:trHeight w:val="283"/>
        </w:trPr>
        <w:tc>
          <w:tcPr>
            <w:tcW w:w="0" w:type="auto"/>
            <w:shd w:val="clear" w:color="auto" w:fill="FFFFFF"/>
            <w:tcMar>
              <w:top w:w="0" w:type="dxa"/>
              <w:left w:w="108" w:type="dxa"/>
              <w:bottom w:w="0" w:type="dxa"/>
              <w:right w:w="108" w:type="dxa"/>
            </w:tcMar>
            <w:vAlign w:val="center"/>
          </w:tcPr>
          <w:p w14:paraId="04DD79FE" w14:textId="77777777" w:rsidR="00A76ADB" w:rsidRDefault="00A76ADB" w:rsidP="007E3239">
            <w:pPr>
              <w:pStyle w:val="TableText"/>
            </w:pPr>
            <w:r>
              <w:rPr>
                <w:rFonts w:eastAsia="Calibri"/>
              </w:rPr>
              <w:t>1993</w:t>
            </w:r>
          </w:p>
        </w:tc>
        <w:tc>
          <w:tcPr>
            <w:tcW w:w="0" w:type="auto"/>
            <w:shd w:val="clear" w:color="auto" w:fill="FFFFFF"/>
            <w:tcMar>
              <w:top w:w="0" w:type="dxa"/>
              <w:left w:w="108" w:type="dxa"/>
              <w:bottom w:w="0" w:type="dxa"/>
              <w:right w:w="108" w:type="dxa"/>
            </w:tcMar>
            <w:vAlign w:val="center"/>
          </w:tcPr>
          <w:p w14:paraId="3F9DBD52" w14:textId="77777777" w:rsidR="00A76ADB" w:rsidRDefault="00A76ADB" w:rsidP="007E3239">
            <w:pPr>
              <w:pStyle w:val="TableText"/>
              <w:jc w:val="center"/>
            </w:pPr>
            <w:r>
              <w:rPr>
                <w:rFonts w:eastAsia="Calibri"/>
                <w:color w:val="000000"/>
              </w:rPr>
              <w:t>1.44</w:t>
            </w:r>
          </w:p>
        </w:tc>
        <w:tc>
          <w:tcPr>
            <w:tcW w:w="0" w:type="auto"/>
            <w:shd w:val="clear" w:color="auto" w:fill="FFFFFF"/>
            <w:tcMar>
              <w:top w:w="0" w:type="dxa"/>
              <w:left w:w="108" w:type="dxa"/>
              <w:bottom w:w="0" w:type="dxa"/>
              <w:right w:w="108" w:type="dxa"/>
            </w:tcMar>
            <w:vAlign w:val="center"/>
          </w:tcPr>
          <w:p w14:paraId="2174C789" w14:textId="77777777" w:rsidR="00A76ADB" w:rsidRDefault="00A76ADB" w:rsidP="007E3239">
            <w:pPr>
              <w:pStyle w:val="TableText"/>
              <w:jc w:val="center"/>
            </w:pPr>
            <w:r>
              <w:rPr>
                <w:rFonts w:eastAsia="Calibri"/>
                <w:color w:val="000000"/>
              </w:rPr>
              <w:t>0.09</w:t>
            </w:r>
          </w:p>
        </w:tc>
        <w:tc>
          <w:tcPr>
            <w:tcW w:w="0" w:type="auto"/>
            <w:shd w:val="clear" w:color="auto" w:fill="FFFFFF"/>
            <w:tcMar>
              <w:top w:w="0" w:type="dxa"/>
              <w:left w:w="108" w:type="dxa"/>
              <w:bottom w:w="0" w:type="dxa"/>
              <w:right w:w="108" w:type="dxa"/>
            </w:tcMar>
            <w:vAlign w:val="center"/>
          </w:tcPr>
          <w:p w14:paraId="181796F5" w14:textId="77777777" w:rsidR="00A76ADB" w:rsidRDefault="00A76ADB" w:rsidP="007E3239">
            <w:pPr>
              <w:pStyle w:val="TableText"/>
              <w:jc w:val="center"/>
            </w:pPr>
            <w:r>
              <w:rPr>
                <w:rFonts w:eastAsia="Calibri"/>
                <w:color w:val="000000"/>
              </w:rPr>
              <w:t>0.19</w:t>
            </w:r>
          </w:p>
        </w:tc>
        <w:tc>
          <w:tcPr>
            <w:tcW w:w="0" w:type="auto"/>
            <w:shd w:val="clear" w:color="auto" w:fill="FFFFFF"/>
            <w:tcMar>
              <w:top w:w="0" w:type="dxa"/>
              <w:left w:w="108" w:type="dxa"/>
              <w:bottom w:w="0" w:type="dxa"/>
              <w:right w:w="108" w:type="dxa"/>
            </w:tcMar>
            <w:vAlign w:val="center"/>
          </w:tcPr>
          <w:p w14:paraId="5C06F3B8" w14:textId="77777777" w:rsidR="00A76ADB" w:rsidRDefault="00A76ADB" w:rsidP="007E3239">
            <w:pPr>
              <w:pStyle w:val="TableText"/>
              <w:jc w:val="center"/>
            </w:pPr>
            <w:r>
              <w:rPr>
                <w:rFonts w:eastAsia="Calibri"/>
                <w:color w:val="000000"/>
              </w:rPr>
              <w:t>1.22</w:t>
            </w:r>
          </w:p>
        </w:tc>
        <w:tc>
          <w:tcPr>
            <w:tcW w:w="0" w:type="auto"/>
            <w:shd w:val="clear" w:color="auto" w:fill="FFFFFF"/>
            <w:tcMar>
              <w:top w:w="0" w:type="dxa"/>
              <w:left w:w="108" w:type="dxa"/>
              <w:bottom w:w="0" w:type="dxa"/>
              <w:right w:w="108" w:type="dxa"/>
            </w:tcMar>
            <w:vAlign w:val="center"/>
          </w:tcPr>
          <w:p w14:paraId="11C0B4F6" w14:textId="77777777" w:rsidR="00A76ADB" w:rsidRDefault="00A76ADB" w:rsidP="007E3239">
            <w:pPr>
              <w:pStyle w:val="TableText"/>
              <w:jc w:val="center"/>
            </w:pPr>
            <w:r>
              <w:rPr>
                <w:rFonts w:eastAsia="Calibri"/>
                <w:color w:val="000000"/>
              </w:rPr>
              <w:t>2.95</w:t>
            </w:r>
          </w:p>
        </w:tc>
      </w:tr>
      <w:tr w:rsidR="00A76ADB" w14:paraId="76D9B01E" w14:textId="77777777" w:rsidTr="00CF7215">
        <w:trPr>
          <w:cantSplit/>
          <w:trHeight w:val="283"/>
        </w:trPr>
        <w:tc>
          <w:tcPr>
            <w:tcW w:w="0" w:type="auto"/>
            <w:shd w:val="clear" w:color="auto" w:fill="FFFFFF"/>
            <w:tcMar>
              <w:top w:w="0" w:type="dxa"/>
              <w:left w:w="108" w:type="dxa"/>
              <w:bottom w:w="0" w:type="dxa"/>
              <w:right w:w="108" w:type="dxa"/>
            </w:tcMar>
            <w:vAlign w:val="center"/>
          </w:tcPr>
          <w:p w14:paraId="5807DC6B" w14:textId="77777777" w:rsidR="00A76ADB" w:rsidRDefault="00A76ADB" w:rsidP="007E3239">
            <w:pPr>
              <w:pStyle w:val="TableText"/>
            </w:pPr>
            <w:r>
              <w:rPr>
                <w:rFonts w:eastAsia="Calibri"/>
              </w:rPr>
              <w:t>1994</w:t>
            </w:r>
          </w:p>
        </w:tc>
        <w:tc>
          <w:tcPr>
            <w:tcW w:w="0" w:type="auto"/>
            <w:shd w:val="clear" w:color="auto" w:fill="FFFFFF"/>
            <w:tcMar>
              <w:top w:w="0" w:type="dxa"/>
              <w:left w:w="108" w:type="dxa"/>
              <w:bottom w:w="0" w:type="dxa"/>
              <w:right w:w="108" w:type="dxa"/>
            </w:tcMar>
            <w:vAlign w:val="center"/>
          </w:tcPr>
          <w:p w14:paraId="409FC977" w14:textId="77777777" w:rsidR="00A76ADB" w:rsidRDefault="00A76ADB" w:rsidP="007E3239">
            <w:pPr>
              <w:pStyle w:val="TableText"/>
              <w:jc w:val="center"/>
            </w:pPr>
            <w:r>
              <w:rPr>
                <w:rFonts w:eastAsia="Calibri"/>
                <w:color w:val="000000"/>
              </w:rPr>
              <w:t>1.50</w:t>
            </w:r>
          </w:p>
        </w:tc>
        <w:tc>
          <w:tcPr>
            <w:tcW w:w="0" w:type="auto"/>
            <w:shd w:val="clear" w:color="auto" w:fill="FFFFFF"/>
            <w:tcMar>
              <w:top w:w="0" w:type="dxa"/>
              <w:left w:w="108" w:type="dxa"/>
              <w:bottom w:w="0" w:type="dxa"/>
              <w:right w:w="108" w:type="dxa"/>
            </w:tcMar>
            <w:vAlign w:val="center"/>
          </w:tcPr>
          <w:p w14:paraId="4D00B6D7" w14:textId="77777777" w:rsidR="00A76ADB" w:rsidRDefault="00A76ADB" w:rsidP="007E3239">
            <w:pPr>
              <w:pStyle w:val="TableText"/>
              <w:jc w:val="center"/>
            </w:pPr>
            <w:r>
              <w:rPr>
                <w:rFonts w:eastAsia="Calibri"/>
                <w:color w:val="000000"/>
              </w:rPr>
              <w:t>0.10</w:t>
            </w:r>
          </w:p>
        </w:tc>
        <w:tc>
          <w:tcPr>
            <w:tcW w:w="0" w:type="auto"/>
            <w:shd w:val="clear" w:color="auto" w:fill="FFFFFF"/>
            <w:tcMar>
              <w:top w:w="0" w:type="dxa"/>
              <w:left w:w="108" w:type="dxa"/>
              <w:bottom w:w="0" w:type="dxa"/>
              <w:right w:w="108" w:type="dxa"/>
            </w:tcMar>
            <w:vAlign w:val="center"/>
          </w:tcPr>
          <w:p w14:paraId="2F73436D" w14:textId="77777777" w:rsidR="00A76ADB" w:rsidRDefault="00A76ADB" w:rsidP="007E3239">
            <w:pPr>
              <w:pStyle w:val="TableText"/>
              <w:jc w:val="center"/>
            </w:pPr>
            <w:r>
              <w:rPr>
                <w:rFonts w:eastAsia="Calibri"/>
                <w:color w:val="000000"/>
              </w:rPr>
              <w:t>0.19</w:t>
            </w:r>
          </w:p>
        </w:tc>
        <w:tc>
          <w:tcPr>
            <w:tcW w:w="0" w:type="auto"/>
            <w:shd w:val="clear" w:color="auto" w:fill="FFFFFF"/>
            <w:tcMar>
              <w:top w:w="0" w:type="dxa"/>
              <w:left w:w="108" w:type="dxa"/>
              <w:bottom w:w="0" w:type="dxa"/>
              <w:right w:w="108" w:type="dxa"/>
            </w:tcMar>
            <w:vAlign w:val="center"/>
          </w:tcPr>
          <w:p w14:paraId="73EE86F5" w14:textId="77777777" w:rsidR="00A76ADB" w:rsidRDefault="00A76ADB" w:rsidP="007E3239">
            <w:pPr>
              <w:pStyle w:val="TableText"/>
              <w:jc w:val="center"/>
            </w:pPr>
            <w:r>
              <w:rPr>
                <w:rFonts w:eastAsia="Calibri"/>
                <w:color w:val="000000"/>
              </w:rPr>
              <w:t>1.22</w:t>
            </w:r>
          </w:p>
        </w:tc>
        <w:tc>
          <w:tcPr>
            <w:tcW w:w="0" w:type="auto"/>
            <w:shd w:val="clear" w:color="auto" w:fill="FFFFFF"/>
            <w:tcMar>
              <w:top w:w="0" w:type="dxa"/>
              <w:left w:w="108" w:type="dxa"/>
              <w:bottom w:w="0" w:type="dxa"/>
              <w:right w:w="108" w:type="dxa"/>
            </w:tcMar>
            <w:vAlign w:val="center"/>
          </w:tcPr>
          <w:p w14:paraId="20BC6775" w14:textId="77777777" w:rsidR="00A76ADB" w:rsidRDefault="00A76ADB" w:rsidP="007E3239">
            <w:pPr>
              <w:pStyle w:val="TableText"/>
              <w:jc w:val="center"/>
            </w:pPr>
            <w:r>
              <w:rPr>
                <w:rFonts w:eastAsia="Calibri"/>
                <w:color w:val="000000"/>
              </w:rPr>
              <w:t>3.02</w:t>
            </w:r>
          </w:p>
        </w:tc>
      </w:tr>
      <w:tr w:rsidR="00A76ADB" w14:paraId="3A4ABDB1" w14:textId="77777777" w:rsidTr="00CF7215">
        <w:trPr>
          <w:cantSplit/>
          <w:trHeight w:val="283"/>
        </w:trPr>
        <w:tc>
          <w:tcPr>
            <w:tcW w:w="0" w:type="auto"/>
            <w:shd w:val="clear" w:color="auto" w:fill="FFFFFF"/>
            <w:tcMar>
              <w:top w:w="0" w:type="dxa"/>
              <w:left w:w="108" w:type="dxa"/>
              <w:bottom w:w="0" w:type="dxa"/>
              <w:right w:w="108" w:type="dxa"/>
            </w:tcMar>
            <w:vAlign w:val="center"/>
          </w:tcPr>
          <w:p w14:paraId="18466D15" w14:textId="77777777" w:rsidR="00A76ADB" w:rsidRDefault="00A76ADB" w:rsidP="007E3239">
            <w:pPr>
              <w:pStyle w:val="TableText"/>
            </w:pPr>
            <w:r>
              <w:rPr>
                <w:rFonts w:eastAsia="Calibri"/>
              </w:rPr>
              <w:t>1995</w:t>
            </w:r>
          </w:p>
        </w:tc>
        <w:tc>
          <w:tcPr>
            <w:tcW w:w="0" w:type="auto"/>
            <w:shd w:val="clear" w:color="auto" w:fill="FFFFFF"/>
            <w:tcMar>
              <w:top w:w="0" w:type="dxa"/>
              <w:left w:w="108" w:type="dxa"/>
              <w:bottom w:w="0" w:type="dxa"/>
              <w:right w:w="108" w:type="dxa"/>
            </w:tcMar>
            <w:vAlign w:val="center"/>
          </w:tcPr>
          <w:p w14:paraId="60D36D9B" w14:textId="77777777" w:rsidR="00A76ADB" w:rsidRDefault="00A76ADB" w:rsidP="007E3239">
            <w:pPr>
              <w:pStyle w:val="TableText"/>
              <w:jc w:val="center"/>
            </w:pPr>
            <w:r>
              <w:rPr>
                <w:rFonts w:eastAsia="Calibri"/>
                <w:color w:val="000000"/>
              </w:rPr>
              <w:t>1.56</w:t>
            </w:r>
          </w:p>
        </w:tc>
        <w:tc>
          <w:tcPr>
            <w:tcW w:w="0" w:type="auto"/>
            <w:shd w:val="clear" w:color="auto" w:fill="FFFFFF"/>
            <w:tcMar>
              <w:top w:w="0" w:type="dxa"/>
              <w:left w:w="108" w:type="dxa"/>
              <w:bottom w:w="0" w:type="dxa"/>
              <w:right w:w="108" w:type="dxa"/>
            </w:tcMar>
            <w:vAlign w:val="center"/>
          </w:tcPr>
          <w:p w14:paraId="2A20CF3E" w14:textId="77777777" w:rsidR="00A76ADB" w:rsidRDefault="00A76ADB" w:rsidP="007E3239">
            <w:pPr>
              <w:pStyle w:val="TableText"/>
              <w:jc w:val="center"/>
            </w:pPr>
            <w:r>
              <w:rPr>
                <w:rFonts w:eastAsia="Calibri"/>
                <w:color w:val="000000"/>
              </w:rPr>
              <w:t>0.11</w:t>
            </w:r>
          </w:p>
        </w:tc>
        <w:tc>
          <w:tcPr>
            <w:tcW w:w="0" w:type="auto"/>
            <w:shd w:val="clear" w:color="auto" w:fill="FFFFFF"/>
            <w:tcMar>
              <w:top w:w="0" w:type="dxa"/>
              <w:left w:w="108" w:type="dxa"/>
              <w:bottom w:w="0" w:type="dxa"/>
              <w:right w:w="108" w:type="dxa"/>
            </w:tcMar>
            <w:vAlign w:val="center"/>
          </w:tcPr>
          <w:p w14:paraId="47BB41A2" w14:textId="77777777" w:rsidR="00A76ADB" w:rsidRDefault="00A76ADB" w:rsidP="007E3239">
            <w:pPr>
              <w:pStyle w:val="TableText"/>
              <w:jc w:val="center"/>
            </w:pPr>
            <w:r>
              <w:rPr>
                <w:rFonts w:eastAsia="Calibri"/>
                <w:color w:val="000000"/>
              </w:rPr>
              <w:t>0.21</w:t>
            </w:r>
          </w:p>
        </w:tc>
        <w:tc>
          <w:tcPr>
            <w:tcW w:w="0" w:type="auto"/>
            <w:shd w:val="clear" w:color="auto" w:fill="FFFFFF"/>
            <w:tcMar>
              <w:top w:w="0" w:type="dxa"/>
              <w:left w:w="108" w:type="dxa"/>
              <w:bottom w:w="0" w:type="dxa"/>
              <w:right w:w="108" w:type="dxa"/>
            </w:tcMar>
            <w:vAlign w:val="center"/>
          </w:tcPr>
          <w:p w14:paraId="75D1C1F5" w14:textId="77777777" w:rsidR="00A76ADB" w:rsidRDefault="00A76ADB" w:rsidP="007E3239">
            <w:pPr>
              <w:pStyle w:val="TableText"/>
              <w:jc w:val="center"/>
            </w:pPr>
            <w:r>
              <w:rPr>
                <w:rFonts w:eastAsia="Calibri"/>
                <w:color w:val="000000"/>
              </w:rPr>
              <w:t>1.22</w:t>
            </w:r>
          </w:p>
        </w:tc>
        <w:tc>
          <w:tcPr>
            <w:tcW w:w="0" w:type="auto"/>
            <w:shd w:val="clear" w:color="auto" w:fill="FFFFFF"/>
            <w:tcMar>
              <w:top w:w="0" w:type="dxa"/>
              <w:left w:w="108" w:type="dxa"/>
              <w:bottom w:w="0" w:type="dxa"/>
              <w:right w:w="108" w:type="dxa"/>
            </w:tcMar>
            <w:vAlign w:val="center"/>
          </w:tcPr>
          <w:p w14:paraId="0B0AD99B" w14:textId="77777777" w:rsidR="00A76ADB" w:rsidRDefault="00A76ADB" w:rsidP="007E3239">
            <w:pPr>
              <w:pStyle w:val="TableText"/>
              <w:jc w:val="center"/>
            </w:pPr>
            <w:r>
              <w:rPr>
                <w:rFonts w:eastAsia="Calibri"/>
                <w:color w:val="000000"/>
              </w:rPr>
              <w:t>3.10</w:t>
            </w:r>
          </w:p>
        </w:tc>
      </w:tr>
      <w:tr w:rsidR="00A76ADB" w14:paraId="47CAAA2A" w14:textId="77777777" w:rsidTr="00CF7215">
        <w:trPr>
          <w:cantSplit/>
          <w:trHeight w:val="283"/>
        </w:trPr>
        <w:tc>
          <w:tcPr>
            <w:tcW w:w="0" w:type="auto"/>
            <w:shd w:val="clear" w:color="auto" w:fill="FFFFFF"/>
            <w:tcMar>
              <w:top w:w="0" w:type="dxa"/>
              <w:left w:w="108" w:type="dxa"/>
              <w:bottom w:w="0" w:type="dxa"/>
              <w:right w:w="108" w:type="dxa"/>
            </w:tcMar>
            <w:vAlign w:val="center"/>
          </w:tcPr>
          <w:p w14:paraId="605BF37C" w14:textId="77777777" w:rsidR="00A76ADB" w:rsidRDefault="00A76ADB" w:rsidP="007E3239">
            <w:pPr>
              <w:pStyle w:val="TableText"/>
            </w:pPr>
            <w:r>
              <w:rPr>
                <w:rFonts w:eastAsia="Calibri"/>
              </w:rPr>
              <w:t>1996</w:t>
            </w:r>
          </w:p>
        </w:tc>
        <w:tc>
          <w:tcPr>
            <w:tcW w:w="0" w:type="auto"/>
            <w:shd w:val="clear" w:color="auto" w:fill="FFFFFF"/>
            <w:tcMar>
              <w:top w:w="0" w:type="dxa"/>
              <w:left w:w="108" w:type="dxa"/>
              <w:bottom w:w="0" w:type="dxa"/>
              <w:right w:w="108" w:type="dxa"/>
            </w:tcMar>
            <w:vAlign w:val="center"/>
          </w:tcPr>
          <w:p w14:paraId="4298C120" w14:textId="77777777" w:rsidR="00A76ADB" w:rsidRDefault="00A76ADB" w:rsidP="007E3239">
            <w:pPr>
              <w:pStyle w:val="TableText"/>
              <w:jc w:val="center"/>
            </w:pPr>
            <w:r>
              <w:rPr>
                <w:rFonts w:eastAsia="Calibri"/>
                <w:color w:val="000000"/>
              </w:rPr>
              <w:t>1.59</w:t>
            </w:r>
          </w:p>
        </w:tc>
        <w:tc>
          <w:tcPr>
            <w:tcW w:w="0" w:type="auto"/>
            <w:shd w:val="clear" w:color="auto" w:fill="FFFFFF"/>
            <w:tcMar>
              <w:top w:w="0" w:type="dxa"/>
              <w:left w:w="108" w:type="dxa"/>
              <w:bottom w:w="0" w:type="dxa"/>
              <w:right w:w="108" w:type="dxa"/>
            </w:tcMar>
            <w:vAlign w:val="center"/>
          </w:tcPr>
          <w:p w14:paraId="7935C3BC" w14:textId="77777777" w:rsidR="00A76ADB" w:rsidRDefault="00A76ADB" w:rsidP="007E3239">
            <w:pPr>
              <w:pStyle w:val="TableText"/>
              <w:jc w:val="center"/>
            </w:pPr>
            <w:r>
              <w:rPr>
                <w:rFonts w:eastAsia="Calibri"/>
                <w:color w:val="000000"/>
              </w:rPr>
              <w:t>0.11</w:t>
            </w:r>
          </w:p>
        </w:tc>
        <w:tc>
          <w:tcPr>
            <w:tcW w:w="0" w:type="auto"/>
            <w:shd w:val="clear" w:color="auto" w:fill="FFFFFF"/>
            <w:tcMar>
              <w:top w:w="0" w:type="dxa"/>
              <w:left w:w="108" w:type="dxa"/>
              <w:bottom w:w="0" w:type="dxa"/>
              <w:right w:w="108" w:type="dxa"/>
            </w:tcMar>
            <w:vAlign w:val="center"/>
          </w:tcPr>
          <w:p w14:paraId="1EA2FEB5" w14:textId="77777777" w:rsidR="00A76ADB" w:rsidRDefault="00A76ADB" w:rsidP="007E3239">
            <w:pPr>
              <w:pStyle w:val="TableText"/>
              <w:jc w:val="center"/>
            </w:pPr>
            <w:r>
              <w:rPr>
                <w:rFonts w:eastAsia="Calibri"/>
                <w:color w:val="000000"/>
              </w:rPr>
              <w:t>0.23</w:t>
            </w:r>
          </w:p>
        </w:tc>
        <w:tc>
          <w:tcPr>
            <w:tcW w:w="0" w:type="auto"/>
            <w:shd w:val="clear" w:color="auto" w:fill="FFFFFF"/>
            <w:tcMar>
              <w:top w:w="0" w:type="dxa"/>
              <w:left w:w="108" w:type="dxa"/>
              <w:bottom w:w="0" w:type="dxa"/>
              <w:right w:w="108" w:type="dxa"/>
            </w:tcMar>
            <w:vAlign w:val="center"/>
          </w:tcPr>
          <w:p w14:paraId="6E121F85" w14:textId="77777777" w:rsidR="00A76ADB" w:rsidRDefault="00A76ADB" w:rsidP="007E3239">
            <w:pPr>
              <w:pStyle w:val="TableText"/>
              <w:jc w:val="center"/>
            </w:pPr>
            <w:r>
              <w:rPr>
                <w:rFonts w:eastAsia="Calibri"/>
                <w:color w:val="000000"/>
              </w:rPr>
              <w:t>1.22</w:t>
            </w:r>
          </w:p>
        </w:tc>
        <w:tc>
          <w:tcPr>
            <w:tcW w:w="0" w:type="auto"/>
            <w:shd w:val="clear" w:color="auto" w:fill="FFFFFF"/>
            <w:tcMar>
              <w:top w:w="0" w:type="dxa"/>
              <w:left w:w="108" w:type="dxa"/>
              <w:bottom w:w="0" w:type="dxa"/>
              <w:right w:w="108" w:type="dxa"/>
            </w:tcMar>
            <w:vAlign w:val="center"/>
          </w:tcPr>
          <w:p w14:paraId="4850333E" w14:textId="77777777" w:rsidR="00A76ADB" w:rsidRDefault="00A76ADB" w:rsidP="007E3239">
            <w:pPr>
              <w:pStyle w:val="TableText"/>
              <w:jc w:val="center"/>
            </w:pPr>
            <w:r>
              <w:rPr>
                <w:rFonts w:eastAsia="Calibri"/>
                <w:color w:val="000000"/>
              </w:rPr>
              <w:t>3.15</w:t>
            </w:r>
          </w:p>
        </w:tc>
      </w:tr>
      <w:tr w:rsidR="00A76ADB" w14:paraId="193D8A29" w14:textId="77777777" w:rsidTr="00CF7215">
        <w:trPr>
          <w:cantSplit/>
          <w:trHeight w:val="283"/>
        </w:trPr>
        <w:tc>
          <w:tcPr>
            <w:tcW w:w="0" w:type="auto"/>
            <w:shd w:val="clear" w:color="auto" w:fill="FFFFFF"/>
            <w:tcMar>
              <w:top w:w="0" w:type="dxa"/>
              <w:left w:w="108" w:type="dxa"/>
              <w:bottom w:w="0" w:type="dxa"/>
              <w:right w:w="108" w:type="dxa"/>
            </w:tcMar>
            <w:vAlign w:val="center"/>
          </w:tcPr>
          <w:p w14:paraId="44EEE287" w14:textId="77777777" w:rsidR="00A76ADB" w:rsidRDefault="00A76ADB" w:rsidP="007E3239">
            <w:pPr>
              <w:pStyle w:val="TableText"/>
            </w:pPr>
            <w:r>
              <w:rPr>
                <w:rFonts w:eastAsia="Calibri"/>
              </w:rPr>
              <w:t>1997</w:t>
            </w:r>
          </w:p>
        </w:tc>
        <w:tc>
          <w:tcPr>
            <w:tcW w:w="0" w:type="auto"/>
            <w:shd w:val="clear" w:color="auto" w:fill="FFFFFF"/>
            <w:tcMar>
              <w:top w:w="0" w:type="dxa"/>
              <w:left w:w="108" w:type="dxa"/>
              <w:bottom w:w="0" w:type="dxa"/>
              <w:right w:w="108" w:type="dxa"/>
            </w:tcMar>
            <w:vAlign w:val="center"/>
          </w:tcPr>
          <w:p w14:paraId="1B7523A5" w14:textId="77777777" w:rsidR="00A76ADB" w:rsidRDefault="00A76ADB" w:rsidP="007E3239">
            <w:pPr>
              <w:pStyle w:val="TableText"/>
              <w:jc w:val="center"/>
            </w:pPr>
            <w:r>
              <w:rPr>
                <w:rFonts w:eastAsia="Calibri"/>
                <w:color w:val="000000"/>
              </w:rPr>
              <w:t>1.61</w:t>
            </w:r>
          </w:p>
        </w:tc>
        <w:tc>
          <w:tcPr>
            <w:tcW w:w="0" w:type="auto"/>
            <w:shd w:val="clear" w:color="auto" w:fill="FFFFFF"/>
            <w:tcMar>
              <w:top w:w="0" w:type="dxa"/>
              <w:left w:w="108" w:type="dxa"/>
              <w:bottom w:w="0" w:type="dxa"/>
              <w:right w:w="108" w:type="dxa"/>
            </w:tcMar>
            <w:vAlign w:val="center"/>
          </w:tcPr>
          <w:p w14:paraId="77E5392B" w14:textId="77777777" w:rsidR="00A76ADB" w:rsidRDefault="00A76ADB" w:rsidP="007E3239">
            <w:pPr>
              <w:pStyle w:val="TableText"/>
              <w:jc w:val="center"/>
            </w:pPr>
            <w:r>
              <w:rPr>
                <w:rFonts w:eastAsia="Calibri"/>
                <w:color w:val="000000"/>
              </w:rPr>
              <w:t>0.11</w:t>
            </w:r>
          </w:p>
        </w:tc>
        <w:tc>
          <w:tcPr>
            <w:tcW w:w="0" w:type="auto"/>
            <w:shd w:val="clear" w:color="auto" w:fill="FFFFFF"/>
            <w:tcMar>
              <w:top w:w="0" w:type="dxa"/>
              <w:left w:w="108" w:type="dxa"/>
              <w:bottom w:w="0" w:type="dxa"/>
              <w:right w:w="108" w:type="dxa"/>
            </w:tcMar>
            <w:vAlign w:val="center"/>
          </w:tcPr>
          <w:p w14:paraId="2FCF2AB9" w14:textId="77777777" w:rsidR="00A76ADB" w:rsidRDefault="00A76ADB" w:rsidP="007E3239">
            <w:pPr>
              <w:pStyle w:val="TableText"/>
              <w:jc w:val="center"/>
            </w:pPr>
            <w:r>
              <w:rPr>
                <w:rFonts w:eastAsia="Calibri"/>
                <w:color w:val="000000"/>
              </w:rPr>
              <w:t>0.24</w:t>
            </w:r>
          </w:p>
        </w:tc>
        <w:tc>
          <w:tcPr>
            <w:tcW w:w="0" w:type="auto"/>
            <w:shd w:val="clear" w:color="auto" w:fill="FFFFFF"/>
            <w:tcMar>
              <w:top w:w="0" w:type="dxa"/>
              <w:left w:w="108" w:type="dxa"/>
              <w:bottom w:w="0" w:type="dxa"/>
              <w:right w:w="108" w:type="dxa"/>
            </w:tcMar>
            <w:vAlign w:val="center"/>
          </w:tcPr>
          <w:p w14:paraId="39A6B7AD" w14:textId="77777777" w:rsidR="00A76ADB" w:rsidRDefault="00A76ADB" w:rsidP="007E3239">
            <w:pPr>
              <w:pStyle w:val="TableText"/>
              <w:jc w:val="center"/>
            </w:pPr>
            <w:r>
              <w:rPr>
                <w:rFonts w:eastAsia="Calibri"/>
                <w:color w:val="000000"/>
              </w:rPr>
              <w:t>1.22</w:t>
            </w:r>
          </w:p>
        </w:tc>
        <w:tc>
          <w:tcPr>
            <w:tcW w:w="0" w:type="auto"/>
            <w:shd w:val="clear" w:color="auto" w:fill="FFFFFF"/>
            <w:tcMar>
              <w:top w:w="0" w:type="dxa"/>
              <w:left w:w="108" w:type="dxa"/>
              <w:bottom w:w="0" w:type="dxa"/>
              <w:right w:w="108" w:type="dxa"/>
            </w:tcMar>
            <w:vAlign w:val="center"/>
          </w:tcPr>
          <w:p w14:paraId="4BE131BA" w14:textId="77777777" w:rsidR="00A76ADB" w:rsidRDefault="00A76ADB" w:rsidP="007E3239">
            <w:pPr>
              <w:pStyle w:val="TableText"/>
              <w:jc w:val="center"/>
            </w:pPr>
            <w:r>
              <w:rPr>
                <w:rFonts w:eastAsia="Calibri"/>
                <w:color w:val="000000"/>
              </w:rPr>
              <w:t>3.18</w:t>
            </w:r>
          </w:p>
        </w:tc>
      </w:tr>
      <w:tr w:rsidR="00A76ADB" w14:paraId="1D9F0195" w14:textId="77777777" w:rsidTr="00CF7215">
        <w:trPr>
          <w:cantSplit/>
          <w:trHeight w:val="283"/>
        </w:trPr>
        <w:tc>
          <w:tcPr>
            <w:tcW w:w="0" w:type="auto"/>
            <w:shd w:val="clear" w:color="auto" w:fill="FFFFFF"/>
            <w:tcMar>
              <w:top w:w="0" w:type="dxa"/>
              <w:left w:w="108" w:type="dxa"/>
              <w:bottom w:w="0" w:type="dxa"/>
              <w:right w:w="108" w:type="dxa"/>
            </w:tcMar>
            <w:vAlign w:val="center"/>
          </w:tcPr>
          <w:p w14:paraId="68E9F559" w14:textId="77777777" w:rsidR="00A76ADB" w:rsidRDefault="00A76ADB" w:rsidP="007E3239">
            <w:pPr>
              <w:pStyle w:val="TableText"/>
            </w:pPr>
            <w:r>
              <w:rPr>
                <w:rFonts w:eastAsia="Calibri"/>
              </w:rPr>
              <w:t>1998</w:t>
            </w:r>
          </w:p>
        </w:tc>
        <w:tc>
          <w:tcPr>
            <w:tcW w:w="0" w:type="auto"/>
            <w:shd w:val="clear" w:color="auto" w:fill="FFFFFF"/>
            <w:tcMar>
              <w:top w:w="0" w:type="dxa"/>
              <w:left w:w="108" w:type="dxa"/>
              <w:bottom w:w="0" w:type="dxa"/>
              <w:right w:w="108" w:type="dxa"/>
            </w:tcMar>
            <w:vAlign w:val="center"/>
          </w:tcPr>
          <w:p w14:paraId="727648D8" w14:textId="77777777" w:rsidR="00A76ADB" w:rsidRDefault="00A76ADB" w:rsidP="007E3239">
            <w:pPr>
              <w:pStyle w:val="TableText"/>
              <w:jc w:val="center"/>
            </w:pPr>
            <w:r>
              <w:rPr>
                <w:rFonts w:eastAsia="Calibri"/>
                <w:color w:val="000000"/>
              </w:rPr>
              <w:t>1.65</w:t>
            </w:r>
          </w:p>
        </w:tc>
        <w:tc>
          <w:tcPr>
            <w:tcW w:w="0" w:type="auto"/>
            <w:shd w:val="clear" w:color="auto" w:fill="FFFFFF"/>
            <w:tcMar>
              <w:top w:w="0" w:type="dxa"/>
              <w:left w:w="108" w:type="dxa"/>
              <w:bottom w:w="0" w:type="dxa"/>
              <w:right w:w="108" w:type="dxa"/>
            </w:tcMar>
            <w:vAlign w:val="center"/>
          </w:tcPr>
          <w:p w14:paraId="3ED58DCA" w14:textId="77777777" w:rsidR="00A76ADB" w:rsidRDefault="00A76ADB" w:rsidP="007E3239">
            <w:pPr>
              <w:pStyle w:val="TableText"/>
              <w:jc w:val="center"/>
            </w:pPr>
            <w:r>
              <w:rPr>
                <w:rFonts w:eastAsia="Calibri"/>
                <w:color w:val="000000"/>
              </w:rPr>
              <w:t>0.12</w:t>
            </w:r>
          </w:p>
        </w:tc>
        <w:tc>
          <w:tcPr>
            <w:tcW w:w="0" w:type="auto"/>
            <w:shd w:val="clear" w:color="auto" w:fill="FFFFFF"/>
            <w:tcMar>
              <w:top w:w="0" w:type="dxa"/>
              <w:left w:w="108" w:type="dxa"/>
              <w:bottom w:w="0" w:type="dxa"/>
              <w:right w:w="108" w:type="dxa"/>
            </w:tcMar>
            <w:vAlign w:val="center"/>
          </w:tcPr>
          <w:p w14:paraId="21AD5A06" w14:textId="77777777" w:rsidR="00A76ADB" w:rsidRDefault="00A76ADB" w:rsidP="007E3239">
            <w:pPr>
              <w:pStyle w:val="TableText"/>
              <w:jc w:val="center"/>
            </w:pPr>
            <w:r>
              <w:rPr>
                <w:rFonts w:eastAsia="Calibri"/>
                <w:color w:val="000000"/>
              </w:rPr>
              <w:t>0.24</w:t>
            </w:r>
          </w:p>
        </w:tc>
        <w:tc>
          <w:tcPr>
            <w:tcW w:w="0" w:type="auto"/>
            <w:shd w:val="clear" w:color="auto" w:fill="FFFFFF"/>
            <w:tcMar>
              <w:top w:w="0" w:type="dxa"/>
              <w:left w:w="108" w:type="dxa"/>
              <w:bottom w:w="0" w:type="dxa"/>
              <w:right w:w="108" w:type="dxa"/>
            </w:tcMar>
            <w:vAlign w:val="center"/>
          </w:tcPr>
          <w:p w14:paraId="12635147" w14:textId="77777777" w:rsidR="00A76ADB" w:rsidRDefault="00A76ADB" w:rsidP="007E3239">
            <w:pPr>
              <w:pStyle w:val="TableText"/>
              <w:jc w:val="center"/>
            </w:pPr>
            <w:r>
              <w:rPr>
                <w:rFonts w:eastAsia="Calibri"/>
                <w:color w:val="000000"/>
              </w:rPr>
              <w:t>1.22</w:t>
            </w:r>
          </w:p>
        </w:tc>
        <w:tc>
          <w:tcPr>
            <w:tcW w:w="0" w:type="auto"/>
            <w:shd w:val="clear" w:color="auto" w:fill="FFFFFF"/>
            <w:tcMar>
              <w:top w:w="0" w:type="dxa"/>
              <w:left w:w="108" w:type="dxa"/>
              <w:bottom w:w="0" w:type="dxa"/>
              <w:right w:w="108" w:type="dxa"/>
            </w:tcMar>
            <w:vAlign w:val="center"/>
          </w:tcPr>
          <w:p w14:paraId="0731D402" w14:textId="77777777" w:rsidR="00A76ADB" w:rsidRDefault="00A76ADB" w:rsidP="007E3239">
            <w:pPr>
              <w:pStyle w:val="TableText"/>
              <w:jc w:val="center"/>
            </w:pPr>
            <w:r>
              <w:rPr>
                <w:rFonts w:eastAsia="Calibri"/>
                <w:color w:val="000000"/>
              </w:rPr>
              <w:t>3.23</w:t>
            </w:r>
          </w:p>
        </w:tc>
      </w:tr>
      <w:tr w:rsidR="00A76ADB" w14:paraId="12649C1B" w14:textId="77777777" w:rsidTr="00CF7215">
        <w:trPr>
          <w:cantSplit/>
          <w:trHeight w:val="283"/>
        </w:trPr>
        <w:tc>
          <w:tcPr>
            <w:tcW w:w="0" w:type="auto"/>
            <w:shd w:val="clear" w:color="auto" w:fill="FFFFFF"/>
            <w:tcMar>
              <w:top w:w="0" w:type="dxa"/>
              <w:left w:w="108" w:type="dxa"/>
              <w:bottom w:w="0" w:type="dxa"/>
              <w:right w:w="108" w:type="dxa"/>
            </w:tcMar>
            <w:vAlign w:val="center"/>
          </w:tcPr>
          <w:p w14:paraId="780C7516" w14:textId="77777777" w:rsidR="00A76ADB" w:rsidRDefault="00A76ADB" w:rsidP="007E3239">
            <w:pPr>
              <w:pStyle w:val="TableText"/>
            </w:pPr>
            <w:r>
              <w:rPr>
                <w:rFonts w:eastAsia="Calibri"/>
              </w:rPr>
              <w:t>1999</w:t>
            </w:r>
          </w:p>
        </w:tc>
        <w:tc>
          <w:tcPr>
            <w:tcW w:w="0" w:type="auto"/>
            <w:shd w:val="clear" w:color="auto" w:fill="FFFFFF"/>
            <w:tcMar>
              <w:top w:w="0" w:type="dxa"/>
              <w:left w:w="108" w:type="dxa"/>
              <w:bottom w:w="0" w:type="dxa"/>
              <w:right w:w="108" w:type="dxa"/>
            </w:tcMar>
            <w:vAlign w:val="center"/>
          </w:tcPr>
          <w:p w14:paraId="10F4C388" w14:textId="77777777" w:rsidR="00A76ADB" w:rsidRDefault="00A76ADB" w:rsidP="007E3239">
            <w:pPr>
              <w:pStyle w:val="TableText"/>
              <w:jc w:val="center"/>
            </w:pPr>
            <w:r>
              <w:rPr>
                <w:rFonts w:eastAsia="Calibri"/>
                <w:color w:val="000000"/>
              </w:rPr>
              <w:t>1.46</w:t>
            </w:r>
          </w:p>
        </w:tc>
        <w:tc>
          <w:tcPr>
            <w:tcW w:w="0" w:type="auto"/>
            <w:shd w:val="clear" w:color="auto" w:fill="FFFFFF"/>
            <w:tcMar>
              <w:top w:w="0" w:type="dxa"/>
              <w:left w:w="108" w:type="dxa"/>
              <w:bottom w:w="0" w:type="dxa"/>
              <w:right w:w="108" w:type="dxa"/>
            </w:tcMar>
            <w:vAlign w:val="center"/>
          </w:tcPr>
          <w:p w14:paraId="18FDF9AC" w14:textId="77777777" w:rsidR="00A76ADB" w:rsidRDefault="00A76ADB" w:rsidP="007E3239">
            <w:pPr>
              <w:pStyle w:val="TableText"/>
              <w:jc w:val="center"/>
            </w:pPr>
            <w:r>
              <w:rPr>
                <w:rFonts w:eastAsia="Calibri"/>
                <w:color w:val="000000"/>
              </w:rPr>
              <w:t>0.13</w:t>
            </w:r>
          </w:p>
        </w:tc>
        <w:tc>
          <w:tcPr>
            <w:tcW w:w="0" w:type="auto"/>
            <w:shd w:val="clear" w:color="auto" w:fill="FFFFFF"/>
            <w:tcMar>
              <w:top w:w="0" w:type="dxa"/>
              <w:left w:w="108" w:type="dxa"/>
              <w:bottom w:w="0" w:type="dxa"/>
              <w:right w:w="108" w:type="dxa"/>
            </w:tcMar>
            <w:vAlign w:val="center"/>
          </w:tcPr>
          <w:p w14:paraId="625FF6FA" w14:textId="77777777" w:rsidR="00A76ADB" w:rsidRDefault="00A76ADB" w:rsidP="007E3239">
            <w:pPr>
              <w:pStyle w:val="TableText"/>
              <w:jc w:val="center"/>
            </w:pPr>
            <w:r>
              <w:rPr>
                <w:rFonts w:eastAsia="Calibri"/>
                <w:color w:val="000000"/>
              </w:rPr>
              <w:t>0.26</w:t>
            </w:r>
          </w:p>
        </w:tc>
        <w:tc>
          <w:tcPr>
            <w:tcW w:w="0" w:type="auto"/>
            <w:shd w:val="clear" w:color="auto" w:fill="FFFFFF"/>
            <w:tcMar>
              <w:top w:w="0" w:type="dxa"/>
              <w:left w:w="108" w:type="dxa"/>
              <w:bottom w:w="0" w:type="dxa"/>
              <w:right w:w="108" w:type="dxa"/>
            </w:tcMar>
            <w:vAlign w:val="center"/>
          </w:tcPr>
          <w:p w14:paraId="1692B734" w14:textId="77777777" w:rsidR="00A76ADB" w:rsidRDefault="00A76ADB" w:rsidP="007E3239">
            <w:pPr>
              <w:pStyle w:val="TableText"/>
              <w:jc w:val="center"/>
            </w:pPr>
            <w:r>
              <w:rPr>
                <w:rFonts w:eastAsia="Calibri"/>
                <w:color w:val="000000"/>
              </w:rPr>
              <w:t>1.22</w:t>
            </w:r>
          </w:p>
        </w:tc>
        <w:tc>
          <w:tcPr>
            <w:tcW w:w="0" w:type="auto"/>
            <w:shd w:val="clear" w:color="auto" w:fill="FFFFFF"/>
            <w:tcMar>
              <w:top w:w="0" w:type="dxa"/>
              <w:left w:w="108" w:type="dxa"/>
              <w:bottom w:w="0" w:type="dxa"/>
              <w:right w:w="108" w:type="dxa"/>
            </w:tcMar>
            <w:vAlign w:val="center"/>
          </w:tcPr>
          <w:p w14:paraId="158B0C53" w14:textId="77777777" w:rsidR="00A76ADB" w:rsidRDefault="00A76ADB" w:rsidP="007E3239">
            <w:pPr>
              <w:pStyle w:val="TableText"/>
              <w:jc w:val="center"/>
            </w:pPr>
            <w:r>
              <w:rPr>
                <w:rFonts w:eastAsia="Calibri"/>
                <w:color w:val="000000"/>
              </w:rPr>
              <w:t>3.07</w:t>
            </w:r>
          </w:p>
        </w:tc>
      </w:tr>
      <w:tr w:rsidR="00A76ADB" w14:paraId="64560364" w14:textId="77777777" w:rsidTr="00CF7215">
        <w:trPr>
          <w:cantSplit/>
          <w:trHeight w:val="283"/>
        </w:trPr>
        <w:tc>
          <w:tcPr>
            <w:tcW w:w="0" w:type="auto"/>
            <w:shd w:val="clear" w:color="auto" w:fill="FFFFFF"/>
            <w:tcMar>
              <w:top w:w="0" w:type="dxa"/>
              <w:left w:w="108" w:type="dxa"/>
              <w:bottom w:w="0" w:type="dxa"/>
              <w:right w:w="108" w:type="dxa"/>
            </w:tcMar>
            <w:vAlign w:val="center"/>
          </w:tcPr>
          <w:p w14:paraId="38C56404" w14:textId="77777777" w:rsidR="00A76ADB" w:rsidRDefault="00A76ADB" w:rsidP="007E3239">
            <w:pPr>
              <w:pStyle w:val="TableText"/>
            </w:pPr>
            <w:r>
              <w:rPr>
                <w:rFonts w:eastAsia="Calibri"/>
              </w:rPr>
              <w:lastRenderedPageBreak/>
              <w:t>2000</w:t>
            </w:r>
          </w:p>
        </w:tc>
        <w:tc>
          <w:tcPr>
            <w:tcW w:w="0" w:type="auto"/>
            <w:shd w:val="clear" w:color="auto" w:fill="FFFFFF"/>
            <w:tcMar>
              <w:top w:w="0" w:type="dxa"/>
              <w:left w:w="108" w:type="dxa"/>
              <w:bottom w:w="0" w:type="dxa"/>
              <w:right w:w="108" w:type="dxa"/>
            </w:tcMar>
            <w:vAlign w:val="center"/>
          </w:tcPr>
          <w:p w14:paraId="079ACDBD" w14:textId="77777777" w:rsidR="00A76ADB" w:rsidRDefault="00A76ADB" w:rsidP="007E3239">
            <w:pPr>
              <w:pStyle w:val="TableText"/>
              <w:jc w:val="center"/>
            </w:pPr>
            <w:r>
              <w:rPr>
                <w:rFonts w:eastAsia="Calibri"/>
                <w:color w:val="000000"/>
              </w:rPr>
              <w:t>1.56</w:t>
            </w:r>
          </w:p>
        </w:tc>
        <w:tc>
          <w:tcPr>
            <w:tcW w:w="0" w:type="auto"/>
            <w:shd w:val="clear" w:color="auto" w:fill="FFFFFF"/>
            <w:tcMar>
              <w:top w:w="0" w:type="dxa"/>
              <w:left w:w="108" w:type="dxa"/>
              <w:bottom w:w="0" w:type="dxa"/>
              <w:right w:w="108" w:type="dxa"/>
            </w:tcMar>
            <w:vAlign w:val="center"/>
          </w:tcPr>
          <w:p w14:paraId="58D38ECB" w14:textId="77777777" w:rsidR="00A76ADB" w:rsidRDefault="00A76ADB" w:rsidP="007E3239">
            <w:pPr>
              <w:pStyle w:val="TableText"/>
              <w:jc w:val="center"/>
            </w:pPr>
            <w:r>
              <w:rPr>
                <w:rFonts w:eastAsia="Calibri"/>
                <w:color w:val="000000"/>
              </w:rPr>
              <w:t>0.14</w:t>
            </w:r>
          </w:p>
        </w:tc>
        <w:tc>
          <w:tcPr>
            <w:tcW w:w="0" w:type="auto"/>
            <w:shd w:val="clear" w:color="auto" w:fill="FFFFFF"/>
            <w:tcMar>
              <w:top w:w="0" w:type="dxa"/>
              <w:left w:w="108" w:type="dxa"/>
              <w:bottom w:w="0" w:type="dxa"/>
              <w:right w:w="108" w:type="dxa"/>
            </w:tcMar>
            <w:vAlign w:val="center"/>
          </w:tcPr>
          <w:p w14:paraId="4719F85C" w14:textId="77777777" w:rsidR="00A76ADB" w:rsidRDefault="00A76ADB" w:rsidP="007E3239">
            <w:pPr>
              <w:pStyle w:val="TableText"/>
              <w:jc w:val="center"/>
            </w:pPr>
            <w:r>
              <w:rPr>
                <w:rFonts w:eastAsia="Calibri"/>
                <w:color w:val="000000"/>
              </w:rPr>
              <w:t>0.29</w:t>
            </w:r>
          </w:p>
        </w:tc>
        <w:tc>
          <w:tcPr>
            <w:tcW w:w="0" w:type="auto"/>
            <w:shd w:val="clear" w:color="auto" w:fill="FFFFFF"/>
            <w:tcMar>
              <w:top w:w="0" w:type="dxa"/>
              <w:left w:w="108" w:type="dxa"/>
              <w:bottom w:w="0" w:type="dxa"/>
              <w:right w:w="108" w:type="dxa"/>
            </w:tcMar>
            <w:vAlign w:val="center"/>
          </w:tcPr>
          <w:p w14:paraId="4A59A981" w14:textId="77777777" w:rsidR="00A76ADB" w:rsidRDefault="00A76ADB" w:rsidP="007E3239">
            <w:pPr>
              <w:pStyle w:val="TableText"/>
              <w:jc w:val="center"/>
            </w:pPr>
            <w:r>
              <w:rPr>
                <w:rFonts w:eastAsia="Calibri"/>
                <w:color w:val="000000"/>
              </w:rPr>
              <w:t>1.22</w:t>
            </w:r>
          </w:p>
        </w:tc>
        <w:tc>
          <w:tcPr>
            <w:tcW w:w="0" w:type="auto"/>
            <w:shd w:val="clear" w:color="auto" w:fill="FFFFFF"/>
            <w:tcMar>
              <w:top w:w="0" w:type="dxa"/>
              <w:left w:w="108" w:type="dxa"/>
              <w:bottom w:w="0" w:type="dxa"/>
              <w:right w:w="108" w:type="dxa"/>
            </w:tcMar>
            <w:vAlign w:val="center"/>
          </w:tcPr>
          <w:p w14:paraId="6CC889A9" w14:textId="77777777" w:rsidR="00A76ADB" w:rsidRDefault="00A76ADB" w:rsidP="007E3239">
            <w:pPr>
              <w:pStyle w:val="TableText"/>
              <w:jc w:val="center"/>
            </w:pPr>
            <w:r>
              <w:rPr>
                <w:rFonts w:eastAsia="Calibri"/>
                <w:color w:val="000000"/>
              </w:rPr>
              <w:t>3.21</w:t>
            </w:r>
          </w:p>
        </w:tc>
      </w:tr>
      <w:tr w:rsidR="00A76ADB" w14:paraId="79C33FB8" w14:textId="77777777" w:rsidTr="00CF7215">
        <w:trPr>
          <w:cantSplit/>
          <w:trHeight w:val="283"/>
        </w:trPr>
        <w:tc>
          <w:tcPr>
            <w:tcW w:w="0" w:type="auto"/>
            <w:shd w:val="clear" w:color="auto" w:fill="FFFFFF"/>
            <w:tcMar>
              <w:top w:w="0" w:type="dxa"/>
              <w:left w:w="108" w:type="dxa"/>
              <w:bottom w:w="0" w:type="dxa"/>
              <w:right w:w="108" w:type="dxa"/>
            </w:tcMar>
            <w:vAlign w:val="center"/>
          </w:tcPr>
          <w:p w14:paraId="52CCFBDA" w14:textId="77777777" w:rsidR="00A76ADB" w:rsidRDefault="00A76ADB" w:rsidP="007E3239">
            <w:pPr>
              <w:pStyle w:val="TableText"/>
            </w:pPr>
            <w:r>
              <w:rPr>
                <w:rFonts w:eastAsia="Calibri"/>
              </w:rPr>
              <w:t>2001</w:t>
            </w:r>
          </w:p>
        </w:tc>
        <w:tc>
          <w:tcPr>
            <w:tcW w:w="0" w:type="auto"/>
            <w:shd w:val="clear" w:color="auto" w:fill="FFFFFF"/>
            <w:tcMar>
              <w:top w:w="0" w:type="dxa"/>
              <w:left w:w="108" w:type="dxa"/>
              <w:bottom w:w="0" w:type="dxa"/>
              <w:right w:w="108" w:type="dxa"/>
            </w:tcMar>
            <w:vAlign w:val="center"/>
          </w:tcPr>
          <w:p w14:paraId="1CE6C2F3" w14:textId="77777777" w:rsidR="00A76ADB" w:rsidRDefault="00A76ADB" w:rsidP="007E3239">
            <w:pPr>
              <w:pStyle w:val="TableText"/>
              <w:jc w:val="center"/>
            </w:pPr>
            <w:r>
              <w:rPr>
                <w:rFonts w:eastAsia="Calibri"/>
                <w:color w:val="000000"/>
              </w:rPr>
              <w:t>1.60</w:t>
            </w:r>
          </w:p>
        </w:tc>
        <w:tc>
          <w:tcPr>
            <w:tcW w:w="0" w:type="auto"/>
            <w:shd w:val="clear" w:color="auto" w:fill="FFFFFF"/>
            <w:tcMar>
              <w:top w:w="0" w:type="dxa"/>
              <w:left w:w="108" w:type="dxa"/>
              <w:bottom w:w="0" w:type="dxa"/>
              <w:right w:w="108" w:type="dxa"/>
            </w:tcMar>
            <w:vAlign w:val="center"/>
          </w:tcPr>
          <w:p w14:paraId="5BD19534" w14:textId="77777777" w:rsidR="00A76ADB" w:rsidRDefault="00A76ADB" w:rsidP="007E3239">
            <w:pPr>
              <w:pStyle w:val="TableText"/>
              <w:jc w:val="center"/>
            </w:pPr>
            <w:r>
              <w:rPr>
                <w:rFonts w:eastAsia="Calibri"/>
                <w:color w:val="000000"/>
              </w:rPr>
              <w:t>0.14</w:t>
            </w:r>
          </w:p>
        </w:tc>
        <w:tc>
          <w:tcPr>
            <w:tcW w:w="0" w:type="auto"/>
            <w:shd w:val="clear" w:color="auto" w:fill="FFFFFF"/>
            <w:tcMar>
              <w:top w:w="0" w:type="dxa"/>
              <w:left w:w="108" w:type="dxa"/>
              <w:bottom w:w="0" w:type="dxa"/>
              <w:right w:w="108" w:type="dxa"/>
            </w:tcMar>
            <w:vAlign w:val="center"/>
          </w:tcPr>
          <w:p w14:paraId="1255DD2F" w14:textId="77777777" w:rsidR="00A76ADB" w:rsidRDefault="00A76ADB" w:rsidP="007E3239">
            <w:pPr>
              <w:pStyle w:val="TableText"/>
              <w:jc w:val="center"/>
            </w:pPr>
            <w:r>
              <w:rPr>
                <w:rFonts w:eastAsia="Calibri"/>
                <w:color w:val="000000"/>
              </w:rPr>
              <w:t>0.31</w:t>
            </w:r>
          </w:p>
        </w:tc>
        <w:tc>
          <w:tcPr>
            <w:tcW w:w="0" w:type="auto"/>
            <w:shd w:val="clear" w:color="auto" w:fill="FFFFFF"/>
            <w:tcMar>
              <w:top w:w="0" w:type="dxa"/>
              <w:left w:w="108" w:type="dxa"/>
              <w:bottom w:w="0" w:type="dxa"/>
              <w:right w:w="108" w:type="dxa"/>
            </w:tcMar>
            <w:vAlign w:val="center"/>
          </w:tcPr>
          <w:p w14:paraId="03132021" w14:textId="77777777" w:rsidR="00A76ADB" w:rsidRDefault="00A76ADB" w:rsidP="007E3239">
            <w:pPr>
              <w:pStyle w:val="TableText"/>
              <w:jc w:val="center"/>
            </w:pPr>
            <w:r>
              <w:rPr>
                <w:rFonts w:eastAsia="Calibri"/>
                <w:color w:val="000000"/>
              </w:rPr>
              <w:t>1.22</w:t>
            </w:r>
          </w:p>
        </w:tc>
        <w:tc>
          <w:tcPr>
            <w:tcW w:w="0" w:type="auto"/>
            <w:shd w:val="clear" w:color="auto" w:fill="FFFFFF"/>
            <w:tcMar>
              <w:top w:w="0" w:type="dxa"/>
              <w:left w:w="108" w:type="dxa"/>
              <w:bottom w:w="0" w:type="dxa"/>
              <w:right w:w="108" w:type="dxa"/>
            </w:tcMar>
            <w:vAlign w:val="center"/>
          </w:tcPr>
          <w:p w14:paraId="0FC4537B" w14:textId="77777777" w:rsidR="00A76ADB" w:rsidRDefault="00A76ADB" w:rsidP="007E3239">
            <w:pPr>
              <w:pStyle w:val="TableText"/>
              <w:jc w:val="center"/>
            </w:pPr>
            <w:r>
              <w:rPr>
                <w:rFonts w:eastAsia="Calibri"/>
                <w:color w:val="000000"/>
              </w:rPr>
              <w:t>3.28</w:t>
            </w:r>
          </w:p>
        </w:tc>
      </w:tr>
      <w:tr w:rsidR="00A76ADB" w14:paraId="309A6ADC" w14:textId="77777777" w:rsidTr="00CF7215">
        <w:trPr>
          <w:cantSplit/>
          <w:trHeight w:val="283"/>
        </w:trPr>
        <w:tc>
          <w:tcPr>
            <w:tcW w:w="0" w:type="auto"/>
            <w:shd w:val="clear" w:color="auto" w:fill="FFFFFF"/>
            <w:tcMar>
              <w:top w:w="0" w:type="dxa"/>
              <w:left w:w="108" w:type="dxa"/>
              <w:bottom w:w="0" w:type="dxa"/>
              <w:right w:w="108" w:type="dxa"/>
            </w:tcMar>
            <w:vAlign w:val="center"/>
          </w:tcPr>
          <w:p w14:paraId="527062DD" w14:textId="77777777" w:rsidR="00A76ADB" w:rsidRDefault="00A76ADB" w:rsidP="007E3239">
            <w:pPr>
              <w:pStyle w:val="TableText"/>
            </w:pPr>
            <w:r>
              <w:rPr>
                <w:rFonts w:eastAsia="Calibri"/>
              </w:rPr>
              <w:t>2002</w:t>
            </w:r>
          </w:p>
        </w:tc>
        <w:tc>
          <w:tcPr>
            <w:tcW w:w="0" w:type="auto"/>
            <w:shd w:val="clear" w:color="auto" w:fill="FFFFFF"/>
            <w:tcMar>
              <w:top w:w="0" w:type="dxa"/>
              <w:left w:w="108" w:type="dxa"/>
              <w:bottom w:w="0" w:type="dxa"/>
              <w:right w:w="108" w:type="dxa"/>
            </w:tcMar>
            <w:vAlign w:val="center"/>
          </w:tcPr>
          <w:p w14:paraId="3C8D9D37" w14:textId="77777777" w:rsidR="00A76ADB" w:rsidRDefault="00A76ADB" w:rsidP="007E3239">
            <w:pPr>
              <w:pStyle w:val="TableText"/>
              <w:jc w:val="center"/>
            </w:pPr>
            <w:r>
              <w:rPr>
                <w:rFonts w:eastAsia="Calibri"/>
                <w:color w:val="000000"/>
              </w:rPr>
              <w:t>1.51</w:t>
            </w:r>
          </w:p>
        </w:tc>
        <w:tc>
          <w:tcPr>
            <w:tcW w:w="0" w:type="auto"/>
            <w:shd w:val="clear" w:color="auto" w:fill="FFFFFF"/>
            <w:tcMar>
              <w:top w:w="0" w:type="dxa"/>
              <w:left w:w="108" w:type="dxa"/>
              <w:bottom w:w="0" w:type="dxa"/>
              <w:right w:w="108" w:type="dxa"/>
            </w:tcMar>
            <w:vAlign w:val="center"/>
          </w:tcPr>
          <w:p w14:paraId="1FD51429" w14:textId="77777777" w:rsidR="00A76ADB" w:rsidRDefault="00A76ADB" w:rsidP="007E3239">
            <w:pPr>
              <w:pStyle w:val="TableText"/>
              <w:jc w:val="center"/>
            </w:pPr>
            <w:r>
              <w:rPr>
                <w:rFonts w:eastAsia="Calibri"/>
                <w:color w:val="000000"/>
              </w:rPr>
              <w:t>0.16</w:t>
            </w:r>
          </w:p>
        </w:tc>
        <w:tc>
          <w:tcPr>
            <w:tcW w:w="0" w:type="auto"/>
            <w:shd w:val="clear" w:color="auto" w:fill="FFFFFF"/>
            <w:tcMar>
              <w:top w:w="0" w:type="dxa"/>
              <w:left w:w="108" w:type="dxa"/>
              <w:bottom w:w="0" w:type="dxa"/>
              <w:right w:w="108" w:type="dxa"/>
            </w:tcMar>
            <w:vAlign w:val="center"/>
          </w:tcPr>
          <w:p w14:paraId="4C731FD1" w14:textId="77777777" w:rsidR="00A76ADB" w:rsidRDefault="00A76ADB" w:rsidP="007E3239">
            <w:pPr>
              <w:pStyle w:val="TableText"/>
              <w:jc w:val="center"/>
            </w:pPr>
            <w:r>
              <w:rPr>
                <w:rFonts w:eastAsia="Calibri"/>
                <w:color w:val="000000"/>
              </w:rPr>
              <w:t>0.31</w:t>
            </w:r>
          </w:p>
        </w:tc>
        <w:tc>
          <w:tcPr>
            <w:tcW w:w="0" w:type="auto"/>
            <w:shd w:val="clear" w:color="auto" w:fill="FFFFFF"/>
            <w:tcMar>
              <w:top w:w="0" w:type="dxa"/>
              <w:left w:w="108" w:type="dxa"/>
              <w:bottom w:w="0" w:type="dxa"/>
              <w:right w:w="108" w:type="dxa"/>
            </w:tcMar>
            <w:vAlign w:val="center"/>
          </w:tcPr>
          <w:p w14:paraId="7798743B"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2EAFFD70" w14:textId="77777777" w:rsidR="00A76ADB" w:rsidRDefault="00A76ADB" w:rsidP="007E3239">
            <w:pPr>
              <w:pStyle w:val="TableText"/>
              <w:jc w:val="center"/>
            </w:pPr>
            <w:r>
              <w:rPr>
                <w:rFonts w:eastAsia="Calibri"/>
                <w:color w:val="000000"/>
              </w:rPr>
              <w:t>2.60</w:t>
            </w:r>
          </w:p>
        </w:tc>
      </w:tr>
      <w:tr w:rsidR="00A76ADB" w14:paraId="1379C603" w14:textId="77777777" w:rsidTr="00CF7215">
        <w:trPr>
          <w:cantSplit/>
          <w:trHeight w:val="283"/>
        </w:trPr>
        <w:tc>
          <w:tcPr>
            <w:tcW w:w="0" w:type="auto"/>
            <w:shd w:val="clear" w:color="auto" w:fill="FFFFFF"/>
            <w:tcMar>
              <w:top w:w="0" w:type="dxa"/>
              <w:left w:w="108" w:type="dxa"/>
              <w:bottom w:w="0" w:type="dxa"/>
              <w:right w:w="108" w:type="dxa"/>
            </w:tcMar>
            <w:vAlign w:val="center"/>
          </w:tcPr>
          <w:p w14:paraId="2F02441A" w14:textId="77777777" w:rsidR="00A76ADB" w:rsidRDefault="00A76ADB" w:rsidP="007E3239">
            <w:pPr>
              <w:pStyle w:val="TableText"/>
            </w:pPr>
            <w:r>
              <w:rPr>
                <w:rFonts w:eastAsia="Calibri"/>
              </w:rPr>
              <w:t>2003</w:t>
            </w:r>
          </w:p>
        </w:tc>
        <w:tc>
          <w:tcPr>
            <w:tcW w:w="0" w:type="auto"/>
            <w:shd w:val="clear" w:color="auto" w:fill="FFFFFF"/>
            <w:tcMar>
              <w:top w:w="0" w:type="dxa"/>
              <w:left w:w="108" w:type="dxa"/>
              <w:bottom w:w="0" w:type="dxa"/>
              <w:right w:w="108" w:type="dxa"/>
            </w:tcMar>
            <w:vAlign w:val="center"/>
          </w:tcPr>
          <w:p w14:paraId="04FB6C8B" w14:textId="77777777" w:rsidR="00A76ADB" w:rsidRDefault="00A76ADB" w:rsidP="007E3239">
            <w:pPr>
              <w:pStyle w:val="TableText"/>
              <w:jc w:val="center"/>
            </w:pPr>
            <w:r>
              <w:rPr>
                <w:rFonts w:eastAsia="Calibri"/>
                <w:color w:val="000000"/>
              </w:rPr>
              <w:t>1.63</w:t>
            </w:r>
          </w:p>
        </w:tc>
        <w:tc>
          <w:tcPr>
            <w:tcW w:w="0" w:type="auto"/>
            <w:shd w:val="clear" w:color="auto" w:fill="FFFFFF"/>
            <w:tcMar>
              <w:top w:w="0" w:type="dxa"/>
              <w:left w:w="108" w:type="dxa"/>
              <w:bottom w:w="0" w:type="dxa"/>
              <w:right w:w="108" w:type="dxa"/>
            </w:tcMar>
            <w:vAlign w:val="center"/>
          </w:tcPr>
          <w:p w14:paraId="3C7FD4D5" w14:textId="77777777" w:rsidR="00A76ADB" w:rsidRDefault="00A76ADB" w:rsidP="007E3239">
            <w:pPr>
              <w:pStyle w:val="TableText"/>
              <w:jc w:val="center"/>
            </w:pPr>
            <w:r>
              <w:rPr>
                <w:rFonts w:eastAsia="Calibri"/>
                <w:color w:val="000000"/>
              </w:rPr>
              <w:t>0.17</w:t>
            </w:r>
          </w:p>
        </w:tc>
        <w:tc>
          <w:tcPr>
            <w:tcW w:w="0" w:type="auto"/>
            <w:shd w:val="clear" w:color="auto" w:fill="FFFFFF"/>
            <w:tcMar>
              <w:top w:w="0" w:type="dxa"/>
              <w:left w:w="108" w:type="dxa"/>
              <w:bottom w:w="0" w:type="dxa"/>
              <w:right w:w="108" w:type="dxa"/>
            </w:tcMar>
            <w:vAlign w:val="center"/>
          </w:tcPr>
          <w:p w14:paraId="0F14BC09" w14:textId="77777777" w:rsidR="00A76ADB" w:rsidRDefault="00A76ADB" w:rsidP="007E3239">
            <w:pPr>
              <w:pStyle w:val="TableText"/>
              <w:jc w:val="center"/>
            </w:pPr>
            <w:r>
              <w:rPr>
                <w:rFonts w:eastAsia="Calibri"/>
                <w:color w:val="000000"/>
              </w:rPr>
              <w:t>0.33</w:t>
            </w:r>
          </w:p>
        </w:tc>
        <w:tc>
          <w:tcPr>
            <w:tcW w:w="0" w:type="auto"/>
            <w:shd w:val="clear" w:color="auto" w:fill="FFFFFF"/>
            <w:tcMar>
              <w:top w:w="0" w:type="dxa"/>
              <w:left w:w="108" w:type="dxa"/>
              <w:bottom w:w="0" w:type="dxa"/>
              <w:right w:w="108" w:type="dxa"/>
            </w:tcMar>
            <w:vAlign w:val="center"/>
          </w:tcPr>
          <w:p w14:paraId="297E51C7"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6E141515" w14:textId="77777777" w:rsidR="00A76ADB" w:rsidRDefault="00A76ADB" w:rsidP="007E3239">
            <w:pPr>
              <w:pStyle w:val="TableText"/>
              <w:jc w:val="center"/>
            </w:pPr>
            <w:r>
              <w:rPr>
                <w:rFonts w:eastAsia="Calibri"/>
                <w:color w:val="000000"/>
              </w:rPr>
              <w:t>2.75</w:t>
            </w:r>
          </w:p>
        </w:tc>
      </w:tr>
      <w:tr w:rsidR="00A76ADB" w14:paraId="551FA9AB" w14:textId="77777777" w:rsidTr="00CF7215">
        <w:trPr>
          <w:cantSplit/>
          <w:trHeight w:val="283"/>
        </w:trPr>
        <w:tc>
          <w:tcPr>
            <w:tcW w:w="0" w:type="auto"/>
            <w:shd w:val="clear" w:color="auto" w:fill="FFFFFF"/>
            <w:tcMar>
              <w:top w:w="0" w:type="dxa"/>
              <w:left w:w="108" w:type="dxa"/>
              <w:bottom w:w="0" w:type="dxa"/>
              <w:right w:w="108" w:type="dxa"/>
            </w:tcMar>
            <w:vAlign w:val="center"/>
          </w:tcPr>
          <w:p w14:paraId="41AE0C79" w14:textId="77777777" w:rsidR="00A76ADB" w:rsidRDefault="00A76ADB" w:rsidP="007E3239">
            <w:pPr>
              <w:pStyle w:val="TableText"/>
            </w:pPr>
            <w:r>
              <w:rPr>
                <w:rFonts w:eastAsia="Calibri"/>
              </w:rPr>
              <w:t>2004</w:t>
            </w:r>
          </w:p>
        </w:tc>
        <w:tc>
          <w:tcPr>
            <w:tcW w:w="0" w:type="auto"/>
            <w:shd w:val="clear" w:color="auto" w:fill="FFFFFF"/>
            <w:tcMar>
              <w:top w:w="0" w:type="dxa"/>
              <w:left w:w="108" w:type="dxa"/>
              <w:bottom w:w="0" w:type="dxa"/>
              <w:right w:w="108" w:type="dxa"/>
            </w:tcMar>
            <w:vAlign w:val="center"/>
          </w:tcPr>
          <w:p w14:paraId="4D215E50" w14:textId="77777777" w:rsidR="00A76ADB" w:rsidRDefault="00A76ADB" w:rsidP="007E3239">
            <w:pPr>
              <w:pStyle w:val="TableText"/>
              <w:jc w:val="center"/>
            </w:pPr>
            <w:r>
              <w:rPr>
                <w:rFonts w:eastAsia="Calibri"/>
                <w:color w:val="000000"/>
              </w:rPr>
              <w:t>1.71</w:t>
            </w:r>
          </w:p>
        </w:tc>
        <w:tc>
          <w:tcPr>
            <w:tcW w:w="0" w:type="auto"/>
            <w:shd w:val="clear" w:color="auto" w:fill="FFFFFF"/>
            <w:tcMar>
              <w:top w:w="0" w:type="dxa"/>
              <w:left w:w="108" w:type="dxa"/>
              <w:bottom w:w="0" w:type="dxa"/>
              <w:right w:w="108" w:type="dxa"/>
            </w:tcMar>
            <w:vAlign w:val="center"/>
          </w:tcPr>
          <w:p w14:paraId="142C1388" w14:textId="77777777" w:rsidR="00A76ADB" w:rsidRDefault="00A76ADB" w:rsidP="007E3239">
            <w:pPr>
              <w:pStyle w:val="TableText"/>
              <w:jc w:val="center"/>
            </w:pPr>
            <w:r>
              <w:rPr>
                <w:rFonts w:eastAsia="Calibri"/>
                <w:color w:val="000000"/>
              </w:rPr>
              <w:t>0.19</w:t>
            </w:r>
          </w:p>
        </w:tc>
        <w:tc>
          <w:tcPr>
            <w:tcW w:w="0" w:type="auto"/>
            <w:shd w:val="clear" w:color="auto" w:fill="FFFFFF"/>
            <w:tcMar>
              <w:top w:w="0" w:type="dxa"/>
              <w:left w:w="108" w:type="dxa"/>
              <w:bottom w:w="0" w:type="dxa"/>
              <w:right w:w="108" w:type="dxa"/>
            </w:tcMar>
            <w:vAlign w:val="center"/>
          </w:tcPr>
          <w:p w14:paraId="79F61488" w14:textId="77777777" w:rsidR="00A76ADB" w:rsidRDefault="00A76ADB" w:rsidP="007E3239">
            <w:pPr>
              <w:pStyle w:val="TableText"/>
              <w:jc w:val="center"/>
            </w:pPr>
            <w:r>
              <w:rPr>
                <w:rFonts w:eastAsia="Calibri"/>
                <w:color w:val="000000"/>
              </w:rPr>
              <w:t>0.32</w:t>
            </w:r>
          </w:p>
        </w:tc>
        <w:tc>
          <w:tcPr>
            <w:tcW w:w="0" w:type="auto"/>
            <w:shd w:val="clear" w:color="auto" w:fill="FFFFFF"/>
            <w:tcMar>
              <w:top w:w="0" w:type="dxa"/>
              <w:left w:w="108" w:type="dxa"/>
              <w:bottom w:w="0" w:type="dxa"/>
              <w:right w:w="108" w:type="dxa"/>
            </w:tcMar>
            <w:vAlign w:val="center"/>
          </w:tcPr>
          <w:p w14:paraId="707E9439"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4309416C" w14:textId="77777777" w:rsidR="00A76ADB" w:rsidRDefault="00A76ADB" w:rsidP="007E3239">
            <w:pPr>
              <w:pStyle w:val="TableText"/>
              <w:jc w:val="center"/>
            </w:pPr>
            <w:r>
              <w:rPr>
                <w:rFonts w:eastAsia="Calibri"/>
                <w:color w:val="000000"/>
              </w:rPr>
              <w:t>2.83</w:t>
            </w:r>
          </w:p>
        </w:tc>
      </w:tr>
      <w:tr w:rsidR="00A76ADB" w14:paraId="41391646" w14:textId="77777777" w:rsidTr="00CF7215">
        <w:trPr>
          <w:cantSplit/>
          <w:trHeight w:val="283"/>
        </w:trPr>
        <w:tc>
          <w:tcPr>
            <w:tcW w:w="0" w:type="auto"/>
            <w:shd w:val="clear" w:color="auto" w:fill="FFFFFF"/>
            <w:tcMar>
              <w:top w:w="0" w:type="dxa"/>
              <w:left w:w="108" w:type="dxa"/>
              <w:bottom w:w="0" w:type="dxa"/>
              <w:right w:w="108" w:type="dxa"/>
            </w:tcMar>
            <w:vAlign w:val="center"/>
          </w:tcPr>
          <w:p w14:paraId="3ABCF25E" w14:textId="77777777" w:rsidR="00A76ADB" w:rsidRDefault="00A76ADB" w:rsidP="007E3239">
            <w:pPr>
              <w:pStyle w:val="TableText"/>
            </w:pPr>
            <w:r>
              <w:rPr>
                <w:rFonts w:eastAsia="Calibri"/>
              </w:rPr>
              <w:t>2005</w:t>
            </w:r>
          </w:p>
        </w:tc>
        <w:tc>
          <w:tcPr>
            <w:tcW w:w="0" w:type="auto"/>
            <w:shd w:val="clear" w:color="auto" w:fill="FFFFFF"/>
            <w:tcMar>
              <w:top w:w="0" w:type="dxa"/>
              <w:left w:w="108" w:type="dxa"/>
              <w:bottom w:w="0" w:type="dxa"/>
              <w:right w:w="108" w:type="dxa"/>
            </w:tcMar>
            <w:vAlign w:val="center"/>
          </w:tcPr>
          <w:p w14:paraId="7DAAD38A" w14:textId="77777777" w:rsidR="00A76ADB" w:rsidRDefault="00A76ADB" w:rsidP="007E3239">
            <w:pPr>
              <w:pStyle w:val="TableText"/>
              <w:jc w:val="center"/>
            </w:pPr>
            <w:r>
              <w:rPr>
                <w:rFonts w:eastAsia="Calibri"/>
                <w:color w:val="000000"/>
              </w:rPr>
              <w:t>1.67</w:t>
            </w:r>
          </w:p>
        </w:tc>
        <w:tc>
          <w:tcPr>
            <w:tcW w:w="0" w:type="auto"/>
            <w:shd w:val="clear" w:color="auto" w:fill="FFFFFF"/>
            <w:tcMar>
              <w:top w:w="0" w:type="dxa"/>
              <w:left w:w="108" w:type="dxa"/>
              <w:bottom w:w="0" w:type="dxa"/>
              <w:right w:w="108" w:type="dxa"/>
            </w:tcMar>
            <w:vAlign w:val="center"/>
          </w:tcPr>
          <w:p w14:paraId="1D825BB5" w14:textId="77777777" w:rsidR="00A76ADB" w:rsidRDefault="00A76ADB" w:rsidP="007E3239">
            <w:pPr>
              <w:pStyle w:val="TableText"/>
              <w:jc w:val="center"/>
            </w:pPr>
            <w:r>
              <w:rPr>
                <w:rFonts w:eastAsia="Calibri"/>
                <w:color w:val="000000"/>
              </w:rPr>
              <w:t>0.20</w:t>
            </w:r>
          </w:p>
        </w:tc>
        <w:tc>
          <w:tcPr>
            <w:tcW w:w="0" w:type="auto"/>
            <w:shd w:val="clear" w:color="auto" w:fill="FFFFFF"/>
            <w:tcMar>
              <w:top w:w="0" w:type="dxa"/>
              <w:left w:w="108" w:type="dxa"/>
              <w:bottom w:w="0" w:type="dxa"/>
              <w:right w:w="108" w:type="dxa"/>
            </w:tcMar>
            <w:vAlign w:val="center"/>
          </w:tcPr>
          <w:p w14:paraId="2D04EAEC" w14:textId="77777777" w:rsidR="00A76ADB" w:rsidRDefault="00A76ADB" w:rsidP="007E3239">
            <w:pPr>
              <w:pStyle w:val="TableText"/>
              <w:jc w:val="center"/>
            </w:pPr>
            <w:r>
              <w:rPr>
                <w:rFonts w:eastAsia="Calibri"/>
                <w:color w:val="000000"/>
              </w:rPr>
              <w:t>0.33</w:t>
            </w:r>
          </w:p>
        </w:tc>
        <w:tc>
          <w:tcPr>
            <w:tcW w:w="0" w:type="auto"/>
            <w:shd w:val="clear" w:color="auto" w:fill="FFFFFF"/>
            <w:tcMar>
              <w:top w:w="0" w:type="dxa"/>
              <w:left w:w="108" w:type="dxa"/>
              <w:bottom w:w="0" w:type="dxa"/>
              <w:right w:w="108" w:type="dxa"/>
            </w:tcMar>
            <w:vAlign w:val="center"/>
          </w:tcPr>
          <w:p w14:paraId="30B5341B"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329CB784" w14:textId="77777777" w:rsidR="00A76ADB" w:rsidRDefault="00A76ADB" w:rsidP="007E3239">
            <w:pPr>
              <w:pStyle w:val="TableText"/>
              <w:jc w:val="center"/>
            </w:pPr>
            <w:r>
              <w:rPr>
                <w:rFonts w:eastAsia="Calibri"/>
                <w:color w:val="000000"/>
              </w:rPr>
              <w:t>2.81</w:t>
            </w:r>
          </w:p>
        </w:tc>
      </w:tr>
      <w:tr w:rsidR="00A76ADB" w14:paraId="39AE6AC0" w14:textId="77777777" w:rsidTr="00CF7215">
        <w:trPr>
          <w:cantSplit/>
          <w:trHeight w:val="283"/>
        </w:trPr>
        <w:tc>
          <w:tcPr>
            <w:tcW w:w="0" w:type="auto"/>
            <w:shd w:val="clear" w:color="auto" w:fill="FFFFFF"/>
            <w:tcMar>
              <w:top w:w="0" w:type="dxa"/>
              <w:left w:w="108" w:type="dxa"/>
              <w:bottom w:w="0" w:type="dxa"/>
              <w:right w:w="108" w:type="dxa"/>
            </w:tcMar>
            <w:vAlign w:val="center"/>
          </w:tcPr>
          <w:p w14:paraId="461854AB" w14:textId="77777777" w:rsidR="00A76ADB" w:rsidRDefault="00A76ADB" w:rsidP="007E3239">
            <w:pPr>
              <w:pStyle w:val="TableText"/>
            </w:pPr>
            <w:r>
              <w:rPr>
                <w:rFonts w:eastAsia="Calibri"/>
              </w:rPr>
              <w:t>2006</w:t>
            </w:r>
          </w:p>
        </w:tc>
        <w:tc>
          <w:tcPr>
            <w:tcW w:w="0" w:type="auto"/>
            <w:shd w:val="clear" w:color="auto" w:fill="FFFFFF"/>
            <w:tcMar>
              <w:top w:w="0" w:type="dxa"/>
              <w:left w:w="108" w:type="dxa"/>
              <w:bottom w:w="0" w:type="dxa"/>
              <w:right w:w="108" w:type="dxa"/>
            </w:tcMar>
            <w:vAlign w:val="center"/>
          </w:tcPr>
          <w:p w14:paraId="2E750AC6" w14:textId="77777777" w:rsidR="00A76ADB" w:rsidRDefault="00A76ADB" w:rsidP="007E3239">
            <w:pPr>
              <w:pStyle w:val="TableText"/>
              <w:jc w:val="center"/>
            </w:pPr>
            <w:r>
              <w:rPr>
                <w:rFonts w:eastAsia="Calibri"/>
                <w:color w:val="000000"/>
              </w:rPr>
              <w:t>1.65</w:t>
            </w:r>
          </w:p>
        </w:tc>
        <w:tc>
          <w:tcPr>
            <w:tcW w:w="0" w:type="auto"/>
            <w:shd w:val="clear" w:color="auto" w:fill="FFFFFF"/>
            <w:tcMar>
              <w:top w:w="0" w:type="dxa"/>
              <w:left w:w="108" w:type="dxa"/>
              <w:bottom w:w="0" w:type="dxa"/>
              <w:right w:w="108" w:type="dxa"/>
            </w:tcMar>
            <w:vAlign w:val="center"/>
          </w:tcPr>
          <w:p w14:paraId="5B2B21EC" w14:textId="77777777" w:rsidR="00A76ADB" w:rsidRDefault="00A76ADB" w:rsidP="007E3239">
            <w:pPr>
              <w:pStyle w:val="TableText"/>
              <w:jc w:val="center"/>
            </w:pPr>
            <w:r>
              <w:rPr>
                <w:rFonts w:eastAsia="Calibri"/>
                <w:color w:val="000000"/>
              </w:rPr>
              <w:t>0.18</w:t>
            </w:r>
          </w:p>
        </w:tc>
        <w:tc>
          <w:tcPr>
            <w:tcW w:w="0" w:type="auto"/>
            <w:shd w:val="clear" w:color="auto" w:fill="FFFFFF"/>
            <w:tcMar>
              <w:top w:w="0" w:type="dxa"/>
              <w:left w:w="108" w:type="dxa"/>
              <w:bottom w:w="0" w:type="dxa"/>
              <w:right w:w="108" w:type="dxa"/>
            </w:tcMar>
            <w:vAlign w:val="center"/>
          </w:tcPr>
          <w:p w14:paraId="20C14C54" w14:textId="77777777" w:rsidR="00A76ADB" w:rsidRDefault="00A76ADB" w:rsidP="007E3239">
            <w:pPr>
              <w:pStyle w:val="TableText"/>
              <w:jc w:val="center"/>
            </w:pPr>
            <w:r>
              <w:rPr>
                <w:rFonts w:eastAsia="Calibri"/>
                <w:color w:val="000000"/>
              </w:rPr>
              <w:t>0.34</w:t>
            </w:r>
          </w:p>
        </w:tc>
        <w:tc>
          <w:tcPr>
            <w:tcW w:w="0" w:type="auto"/>
            <w:shd w:val="clear" w:color="auto" w:fill="FFFFFF"/>
            <w:tcMar>
              <w:top w:w="0" w:type="dxa"/>
              <w:left w:w="108" w:type="dxa"/>
              <w:bottom w:w="0" w:type="dxa"/>
              <w:right w:w="108" w:type="dxa"/>
            </w:tcMar>
            <w:vAlign w:val="center"/>
          </w:tcPr>
          <w:p w14:paraId="3299F414"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57357AA2" w14:textId="77777777" w:rsidR="00A76ADB" w:rsidRDefault="00A76ADB" w:rsidP="007E3239">
            <w:pPr>
              <w:pStyle w:val="TableText"/>
              <w:jc w:val="center"/>
            </w:pPr>
            <w:r>
              <w:rPr>
                <w:rFonts w:eastAsia="Calibri"/>
                <w:color w:val="000000"/>
              </w:rPr>
              <w:t>2.79</w:t>
            </w:r>
          </w:p>
        </w:tc>
      </w:tr>
      <w:tr w:rsidR="00A76ADB" w14:paraId="0E4A5252" w14:textId="77777777" w:rsidTr="00CF7215">
        <w:trPr>
          <w:cantSplit/>
          <w:trHeight w:val="283"/>
        </w:trPr>
        <w:tc>
          <w:tcPr>
            <w:tcW w:w="0" w:type="auto"/>
            <w:shd w:val="clear" w:color="auto" w:fill="FFFFFF"/>
            <w:tcMar>
              <w:top w:w="0" w:type="dxa"/>
              <w:left w:w="108" w:type="dxa"/>
              <w:bottom w:w="0" w:type="dxa"/>
              <w:right w:w="108" w:type="dxa"/>
            </w:tcMar>
            <w:vAlign w:val="center"/>
          </w:tcPr>
          <w:p w14:paraId="73420FAE" w14:textId="77777777" w:rsidR="00A76ADB" w:rsidRDefault="00A76ADB" w:rsidP="007E3239">
            <w:pPr>
              <w:pStyle w:val="TableText"/>
            </w:pPr>
            <w:r>
              <w:rPr>
                <w:rFonts w:eastAsia="Calibri"/>
              </w:rPr>
              <w:t>2007</w:t>
            </w:r>
          </w:p>
        </w:tc>
        <w:tc>
          <w:tcPr>
            <w:tcW w:w="0" w:type="auto"/>
            <w:shd w:val="clear" w:color="auto" w:fill="FFFFFF"/>
            <w:tcMar>
              <w:top w:w="0" w:type="dxa"/>
              <w:left w:w="108" w:type="dxa"/>
              <w:bottom w:w="0" w:type="dxa"/>
              <w:right w:w="108" w:type="dxa"/>
            </w:tcMar>
            <w:vAlign w:val="center"/>
          </w:tcPr>
          <w:p w14:paraId="48606E70" w14:textId="77777777" w:rsidR="00A76ADB" w:rsidRDefault="00A76ADB" w:rsidP="007E3239">
            <w:pPr>
              <w:pStyle w:val="TableText"/>
              <w:jc w:val="center"/>
            </w:pPr>
            <w:r>
              <w:rPr>
                <w:rFonts w:eastAsia="Calibri"/>
                <w:color w:val="000000"/>
              </w:rPr>
              <w:t>1.68</w:t>
            </w:r>
          </w:p>
        </w:tc>
        <w:tc>
          <w:tcPr>
            <w:tcW w:w="0" w:type="auto"/>
            <w:shd w:val="clear" w:color="auto" w:fill="FFFFFF"/>
            <w:tcMar>
              <w:top w:w="0" w:type="dxa"/>
              <w:left w:w="108" w:type="dxa"/>
              <w:bottom w:w="0" w:type="dxa"/>
              <w:right w:w="108" w:type="dxa"/>
            </w:tcMar>
            <w:vAlign w:val="center"/>
          </w:tcPr>
          <w:p w14:paraId="36798BA4" w14:textId="77777777" w:rsidR="00A76ADB" w:rsidRDefault="00A76ADB" w:rsidP="007E3239">
            <w:pPr>
              <w:pStyle w:val="TableText"/>
              <w:jc w:val="center"/>
            </w:pPr>
            <w:r>
              <w:rPr>
                <w:rFonts w:eastAsia="Calibri"/>
                <w:color w:val="000000"/>
              </w:rPr>
              <w:t>0.19</w:t>
            </w:r>
          </w:p>
        </w:tc>
        <w:tc>
          <w:tcPr>
            <w:tcW w:w="0" w:type="auto"/>
            <w:shd w:val="clear" w:color="auto" w:fill="FFFFFF"/>
            <w:tcMar>
              <w:top w:w="0" w:type="dxa"/>
              <w:left w:w="108" w:type="dxa"/>
              <w:bottom w:w="0" w:type="dxa"/>
              <w:right w:w="108" w:type="dxa"/>
            </w:tcMar>
            <w:vAlign w:val="center"/>
          </w:tcPr>
          <w:p w14:paraId="6FEEDAF5" w14:textId="77777777" w:rsidR="00A76ADB" w:rsidRDefault="00A76ADB" w:rsidP="007E3239">
            <w:pPr>
              <w:pStyle w:val="TableText"/>
              <w:jc w:val="center"/>
            </w:pPr>
            <w:r>
              <w:rPr>
                <w:rFonts w:eastAsia="Calibri"/>
                <w:color w:val="000000"/>
              </w:rPr>
              <w:t>0.33</w:t>
            </w:r>
          </w:p>
        </w:tc>
        <w:tc>
          <w:tcPr>
            <w:tcW w:w="0" w:type="auto"/>
            <w:shd w:val="clear" w:color="auto" w:fill="FFFFFF"/>
            <w:tcMar>
              <w:top w:w="0" w:type="dxa"/>
              <w:left w:w="108" w:type="dxa"/>
              <w:bottom w:w="0" w:type="dxa"/>
              <w:right w:w="108" w:type="dxa"/>
            </w:tcMar>
            <w:vAlign w:val="center"/>
          </w:tcPr>
          <w:p w14:paraId="3952D4AD"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39B5CB70" w14:textId="77777777" w:rsidR="00A76ADB" w:rsidRDefault="00A76ADB" w:rsidP="007E3239">
            <w:pPr>
              <w:pStyle w:val="TableText"/>
              <w:jc w:val="center"/>
            </w:pPr>
            <w:r>
              <w:rPr>
                <w:rFonts w:eastAsia="Calibri"/>
                <w:color w:val="000000"/>
              </w:rPr>
              <w:t>2.81</w:t>
            </w:r>
          </w:p>
        </w:tc>
      </w:tr>
      <w:tr w:rsidR="00A76ADB" w14:paraId="5A81074B" w14:textId="77777777" w:rsidTr="00CF7215">
        <w:trPr>
          <w:cantSplit/>
          <w:trHeight w:val="283"/>
        </w:trPr>
        <w:tc>
          <w:tcPr>
            <w:tcW w:w="0" w:type="auto"/>
            <w:shd w:val="clear" w:color="auto" w:fill="FFFFFF"/>
            <w:tcMar>
              <w:top w:w="0" w:type="dxa"/>
              <w:left w:w="108" w:type="dxa"/>
              <w:bottom w:w="0" w:type="dxa"/>
              <w:right w:w="108" w:type="dxa"/>
            </w:tcMar>
            <w:vAlign w:val="center"/>
          </w:tcPr>
          <w:p w14:paraId="5444C3F8" w14:textId="77777777" w:rsidR="00A76ADB" w:rsidRDefault="00A76ADB" w:rsidP="007E3239">
            <w:pPr>
              <w:pStyle w:val="TableText"/>
            </w:pPr>
            <w:r>
              <w:rPr>
                <w:rFonts w:eastAsia="Calibri"/>
              </w:rPr>
              <w:t>2008</w:t>
            </w:r>
          </w:p>
        </w:tc>
        <w:tc>
          <w:tcPr>
            <w:tcW w:w="0" w:type="auto"/>
            <w:shd w:val="clear" w:color="auto" w:fill="FFFFFF"/>
            <w:tcMar>
              <w:top w:w="0" w:type="dxa"/>
              <w:left w:w="108" w:type="dxa"/>
              <w:bottom w:w="0" w:type="dxa"/>
              <w:right w:w="108" w:type="dxa"/>
            </w:tcMar>
            <w:vAlign w:val="center"/>
          </w:tcPr>
          <w:p w14:paraId="6D1ED310" w14:textId="77777777" w:rsidR="00A76ADB" w:rsidRDefault="00A76ADB" w:rsidP="007E3239">
            <w:pPr>
              <w:pStyle w:val="TableText"/>
              <w:jc w:val="center"/>
            </w:pPr>
            <w:r>
              <w:rPr>
                <w:rFonts w:eastAsia="Calibri"/>
                <w:color w:val="000000"/>
              </w:rPr>
              <w:t>1.69</w:t>
            </w:r>
          </w:p>
        </w:tc>
        <w:tc>
          <w:tcPr>
            <w:tcW w:w="0" w:type="auto"/>
            <w:shd w:val="clear" w:color="auto" w:fill="FFFFFF"/>
            <w:tcMar>
              <w:top w:w="0" w:type="dxa"/>
              <w:left w:w="108" w:type="dxa"/>
              <w:bottom w:w="0" w:type="dxa"/>
              <w:right w:w="108" w:type="dxa"/>
            </w:tcMar>
            <w:vAlign w:val="center"/>
          </w:tcPr>
          <w:p w14:paraId="52940213" w14:textId="77777777" w:rsidR="00A76ADB" w:rsidRDefault="00A76ADB" w:rsidP="007E3239">
            <w:pPr>
              <w:pStyle w:val="TableText"/>
              <w:jc w:val="center"/>
            </w:pPr>
            <w:r>
              <w:rPr>
                <w:rFonts w:eastAsia="Calibri"/>
                <w:color w:val="000000"/>
              </w:rPr>
              <w:t>0.18</w:t>
            </w:r>
          </w:p>
        </w:tc>
        <w:tc>
          <w:tcPr>
            <w:tcW w:w="0" w:type="auto"/>
            <w:shd w:val="clear" w:color="auto" w:fill="FFFFFF"/>
            <w:tcMar>
              <w:top w:w="0" w:type="dxa"/>
              <w:left w:w="108" w:type="dxa"/>
              <w:bottom w:w="0" w:type="dxa"/>
              <w:right w:w="108" w:type="dxa"/>
            </w:tcMar>
            <w:vAlign w:val="center"/>
          </w:tcPr>
          <w:p w14:paraId="13207716" w14:textId="77777777" w:rsidR="00A76ADB" w:rsidRDefault="00A76ADB" w:rsidP="007E3239">
            <w:pPr>
              <w:pStyle w:val="TableText"/>
              <w:jc w:val="center"/>
            </w:pPr>
            <w:r>
              <w:rPr>
                <w:rFonts w:eastAsia="Calibri"/>
                <w:color w:val="000000"/>
              </w:rPr>
              <w:t>0.36</w:t>
            </w:r>
          </w:p>
        </w:tc>
        <w:tc>
          <w:tcPr>
            <w:tcW w:w="0" w:type="auto"/>
            <w:shd w:val="clear" w:color="auto" w:fill="FFFFFF"/>
            <w:tcMar>
              <w:top w:w="0" w:type="dxa"/>
              <w:left w:w="108" w:type="dxa"/>
              <w:bottom w:w="0" w:type="dxa"/>
              <w:right w:w="108" w:type="dxa"/>
            </w:tcMar>
            <w:vAlign w:val="center"/>
          </w:tcPr>
          <w:p w14:paraId="5F8534D9"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144948F8" w14:textId="77777777" w:rsidR="00A76ADB" w:rsidRDefault="00A76ADB" w:rsidP="007E3239">
            <w:pPr>
              <w:pStyle w:val="TableText"/>
              <w:jc w:val="center"/>
            </w:pPr>
            <w:r>
              <w:rPr>
                <w:rFonts w:eastAsia="Calibri"/>
                <w:color w:val="000000"/>
              </w:rPr>
              <w:t>2.85</w:t>
            </w:r>
          </w:p>
        </w:tc>
      </w:tr>
      <w:tr w:rsidR="00A76ADB" w14:paraId="00A6399E" w14:textId="77777777" w:rsidTr="00CF7215">
        <w:trPr>
          <w:cantSplit/>
          <w:trHeight w:val="283"/>
        </w:trPr>
        <w:tc>
          <w:tcPr>
            <w:tcW w:w="0" w:type="auto"/>
            <w:shd w:val="clear" w:color="auto" w:fill="FFFFFF"/>
            <w:tcMar>
              <w:top w:w="0" w:type="dxa"/>
              <w:left w:w="108" w:type="dxa"/>
              <w:bottom w:w="0" w:type="dxa"/>
              <w:right w:w="108" w:type="dxa"/>
            </w:tcMar>
            <w:vAlign w:val="center"/>
          </w:tcPr>
          <w:p w14:paraId="2301A0BD" w14:textId="77777777" w:rsidR="00A76ADB" w:rsidRDefault="00A76ADB" w:rsidP="007E3239">
            <w:pPr>
              <w:pStyle w:val="TableText"/>
            </w:pPr>
            <w:r>
              <w:rPr>
                <w:rFonts w:eastAsia="Calibri"/>
              </w:rPr>
              <w:t>2009</w:t>
            </w:r>
          </w:p>
        </w:tc>
        <w:tc>
          <w:tcPr>
            <w:tcW w:w="0" w:type="auto"/>
            <w:shd w:val="clear" w:color="auto" w:fill="FFFFFF"/>
            <w:tcMar>
              <w:top w:w="0" w:type="dxa"/>
              <w:left w:w="108" w:type="dxa"/>
              <w:bottom w:w="0" w:type="dxa"/>
              <w:right w:w="108" w:type="dxa"/>
            </w:tcMar>
            <w:vAlign w:val="center"/>
          </w:tcPr>
          <w:p w14:paraId="108039FF" w14:textId="77777777" w:rsidR="00A76ADB" w:rsidRDefault="00A76ADB" w:rsidP="007E3239">
            <w:pPr>
              <w:pStyle w:val="TableText"/>
              <w:jc w:val="center"/>
            </w:pPr>
            <w:r>
              <w:rPr>
                <w:rFonts w:eastAsia="Calibri"/>
                <w:color w:val="000000"/>
              </w:rPr>
              <w:t>1.59</w:t>
            </w:r>
          </w:p>
        </w:tc>
        <w:tc>
          <w:tcPr>
            <w:tcW w:w="0" w:type="auto"/>
            <w:shd w:val="clear" w:color="auto" w:fill="FFFFFF"/>
            <w:tcMar>
              <w:top w:w="0" w:type="dxa"/>
              <w:left w:w="108" w:type="dxa"/>
              <w:bottom w:w="0" w:type="dxa"/>
              <w:right w:w="108" w:type="dxa"/>
            </w:tcMar>
            <w:vAlign w:val="center"/>
          </w:tcPr>
          <w:p w14:paraId="223D9C1E" w14:textId="77777777" w:rsidR="00A76ADB" w:rsidRDefault="00A76ADB" w:rsidP="007E3239">
            <w:pPr>
              <w:pStyle w:val="TableText"/>
              <w:jc w:val="center"/>
            </w:pPr>
            <w:r>
              <w:rPr>
                <w:rFonts w:eastAsia="Calibri"/>
                <w:color w:val="000000"/>
              </w:rPr>
              <w:t>0.17</w:t>
            </w:r>
          </w:p>
        </w:tc>
        <w:tc>
          <w:tcPr>
            <w:tcW w:w="0" w:type="auto"/>
            <w:shd w:val="clear" w:color="auto" w:fill="FFFFFF"/>
            <w:tcMar>
              <w:top w:w="0" w:type="dxa"/>
              <w:left w:w="108" w:type="dxa"/>
              <w:bottom w:w="0" w:type="dxa"/>
              <w:right w:w="108" w:type="dxa"/>
            </w:tcMar>
            <w:vAlign w:val="center"/>
          </w:tcPr>
          <w:p w14:paraId="309AF262" w14:textId="77777777" w:rsidR="00A76ADB" w:rsidRDefault="00A76ADB" w:rsidP="007E3239">
            <w:pPr>
              <w:pStyle w:val="TableText"/>
              <w:jc w:val="center"/>
            </w:pPr>
            <w:r>
              <w:rPr>
                <w:rFonts w:eastAsia="Calibri"/>
                <w:color w:val="000000"/>
              </w:rPr>
              <w:t>0.37</w:t>
            </w:r>
          </w:p>
        </w:tc>
        <w:tc>
          <w:tcPr>
            <w:tcW w:w="0" w:type="auto"/>
            <w:shd w:val="clear" w:color="auto" w:fill="FFFFFF"/>
            <w:tcMar>
              <w:top w:w="0" w:type="dxa"/>
              <w:left w:w="108" w:type="dxa"/>
              <w:bottom w:w="0" w:type="dxa"/>
              <w:right w:w="108" w:type="dxa"/>
            </w:tcMar>
            <w:vAlign w:val="center"/>
          </w:tcPr>
          <w:p w14:paraId="43515804"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22AA770F" w14:textId="77777777" w:rsidR="00A76ADB" w:rsidRDefault="00A76ADB" w:rsidP="007E3239">
            <w:pPr>
              <w:pStyle w:val="TableText"/>
              <w:jc w:val="center"/>
            </w:pPr>
            <w:r>
              <w:rPr>
                <w:rFonts w:eastAsia="Calibri"/>
                <w:color w:val="000000"/>
              </w:rPr>
              <w:t>2.74</w:t>
            </w:r>
          </w:p>
        </w:tc>
      </w:tr>
      <w:tr w:rsidR="00A76ADB" w14:paraId="6935AB6D" w14:textId="77777777" w:rsidTr="00CF7215">
        <w:trPr>
          <w:cantSplit/>
          <w:trHeight w:val="283"/>
        </w:trPr>
        <w:tc>
          <w:tcPr>
            <w:tcW w:w="0" w:type="auto"/>
            <w:shd w:val="clear" w:color="auto" w:fill="FFFFFF"/>
            <w:tcMar>
              <w:top w:w="0" w:type="dxa"/>
              <w:left w:w="108" w:type="dxa"/>
              <w:bottom w:w="0" w:type="dxa"/>
              <w:right w:w="108" w:type="dxa"/>
            </w:tcMar>
            <w:vAlign w:val="center"/>
          </w:tcPr>
          <w:p w14:paraId="03FD1A99" w14:textId="77777777" w:rsidR="00A76ADB" w:rsidRDefault="00A76ADB" w:rsidP="007E3239">
            <w:pPr>
              <w:pStyle w:val="TableText"/>
            </w:pPr>
            <w:r>
              <w:rPr>
                <w:rFonts w:eastAsia="Calibri"/>
              </w:rPr>
              <w:t>2010</w:t>
            </w:r>
          </w:p>
        </w:tc>
        <w:tc>
          <w:tcPr>
            <w:tcW w:w="0" w:type="auto"/>
            <w:shd w:val="clear" w:color="auto" w:fill="FFFFFF"/>
            <w:tcMar>
              <w:top w:w="0" w:type="dxa"/>
              <w:left w:w="108" w:type="dxa"/>
              <w:bottom w:w="0" w:type="dxa"/>
              <w:right w:w="108" w:type="dxa"/>
            </w:tcMar>
            <w:vAlign w:val="center"/>
          </w:tcPr>
          <w:p w14:paraId="1FF21BE7" w14:textId="77777777" w:rsidR="00A76ADB" w:rsidRDefault="00A76ADB" w:rsidP="007E3239">
            <w:pPr>
              <w:pStyle w:val="TableText"/>
              <w:jc w:val="center"/>
            </w:pPr>
            <w:r>
              <w:rPr>
                <w:rFonts w:eastAsia="Calibri"/>
                <w:color w:val="000000"/>
              </w:rPr>
              <w:t>1.53</w:t>
            </w:r>
          </w:p>
        </w:tc>
        <w:tc>
          <w:tcPr>
            <w:tcW w:w="0" w:type="auto"/>
            <w:shd w:val="clear" w:color="auto" w:fill="FFFFFF"/>
            <w:tcMar>
              <w:top w:w="0" w:type="dxa"/>
              <w:left w:w="108" w:type="dxa"/>
              <w:bottom w:w="0" w:type="dxa"/>
              <w:right w:w="108" w:type="dxa"/>
            </w:tcMar>
            <w:vAlign w:val="center"/>
          </w:tcPr>
          <w:p w14:paraId="2625345C" w14:textId="77777777" w:rsidR="00A76ADB" w:rsidRDefault="00A76ADB" w:rsidP="007E3239">
            <w:pPr>
              <w:pStyle w:val="TableText"/>
              <w:jc w:val="center"/>
            </w:pPr>
            <w:r>
              <w:rPr>
                <w:rFonts w:eastAsia="Calibri"/>
                <w:color w:val="000000"/>
              </w:rPr>
              <w:t>0.18</w:t>
            </w:r>
          </w:p>
        </w:tc>
        <w:tc>
          <w:tcPr>
            <w:tcW w:w="0" w:type="auto"/>
            <w:shd w:val="clear" w:color="auto" w:fill="FFFFFF"/>
            <w:tcMar>
              <w:top w:w="0" w:type="dxa"/>
              <w:left w:w="108" w:type="dxa"/>
              <w:bottom w:w="0" w:type="dxa"/>
              <w:right w:w="108" w:type="dxa"/>
            </w:tcMar>
            <w:vAlign w:val="center"/>
          </w:tcPr>
          <w:p w14:paraId="7C5673E3" w14:textId="77777777" w:rsidR="00A76ADB" w:rsidRDefault="00A76ADB" w:rsidP="007E3239">
            <w:pPr>
              <w:pStyle w:val="TableText"/>
              <w:jc w:val="center"/>
            </w:pPr>
            <w:r>
              <w:rPr>
                <w:rFonts w:eastAsia="Calibri"/>
                <w:color w:val="000000"/>
              </w:rPr>
              <w:t>0.39</w:t>
            </w:r>
          </w:p>
        </w:tc>
        <w:tc>
          <w:tcPr>
            <w:tcW w:w="0" w:type="auto"/>
            <w:shd w:val="clear" w:color="auto" w:fill="FFFFFF"/>
            <w:tcMar>
              <w:top w:w="0" w:type="dxa"/>
              <w:left w:w="108" w:type="dxa"/>
              <w:bottom w:w="0" w:type="dxa"/>
              <w:right w:w="108" w:type="dxa"/>
            </w:tcMar>
            <w:vAlign w:val="center"/>
          </w:tcPr>
          <w:p w14:paraId="1BA8D872"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37844AC8" w14:textId="77777777" w:rsidR="00A76ADB" w:rsidRDefault="00A76ADB" w:rsidP="007E3239">
            <w:pPr>
              <w:pStyle w:val="TableText"/>
              <w:jc w:val="center"/>
            </w:pPr>
            <w:r>
              <w:rPr>
                <w:rFonts w:eastAsia="Calibri"/>
                <w:color w:val="000000"/>
              </w:rPr>
              <w:t>2.72</w:t>
            </w:r>
          </w:p>
        </w:tc>
      </w:tr>
      <w:tr w:rsidR="00A76ADB" w14:paraId="2D94E96D" w14:textId="77777777" w:rsidTr="00CF7215">
        <w:trPr>
          <w:cantSplit/>
          <w:trHeight w:val="283"/>
        </w:trPr>
        <w:tc>
          <w:tcPr>
            <w:tcW w:w="0" w:type="auto"/>
            <w:shd w:val="clear" w:color="auto" w:fill="FFFFFF"/>
            <w:tcMar>
              <w:top w:w="0" w:type="dxa"/>
              <w:left w:w="108" w:type="dxa"/>
              <w:bottom w:w="0" w:type="dxa"/>
              <w:right w:w="108" w:type="dxa"/>
            </w:tcMar>
            <w:vAlign w:val="center"/>
          </w:tcPr>
          <w:p w14:paraId="4AFE6D75" w14:textId="77777777" w:rsidR="00A76ADB" w:rsidRDefault="00A76ADB" w:rsidP="007E3239">
            <w:pPr>
              <w:pStyle w:val="TableText"/>
            </w:pPr>
            <w:r>
              <w:rPr>
                <w:rFonts w:eastAsia="Calibri"/>
              </w:rPr>
              <w:t>2011</w:t>
            </w:r>
          </w:p>
        </w:tc>
        <w:tc>
          <w:tcPr>
            <w:tcW w:w="0" w:type="auto"/>
            <w:shd w:val="clear" w:color="auto" w:fill="FFFFFF"/>
            <w:tcMar>
              <w:top w:w="0" w:type="dxa"/>
              <w:left w:w="108" w:type="dxa"/>
              <w:bottom w:w="0" w:type="dxa"/>
              <w:right w:w="108" w:type="dxa"/>
            </w:tcMar>
            <w:vAlign w:val="center"/>
          </w:tcPr>
          <w:p w14:paraId="1DB9FAD2" w14:textId="77777777" w:rsidR="00A76ADB" w:rsidRDefault="00A76ADB" w:rsidP="007E3239">
            <w:pPr>
              <w:pStyle w:val="TableText"/>
              <w:jc w:val="center"/>
            </w:pPr>
            <w:r>
              <w:rPr>
                <w:rFonts w:eastAsia="Calibri"/>
                <w:color w:val="000000"/>
              </w:rPr>
              <w:t>1.48</w:t>
            </w:r>
          </w:p>
        </w:tc>
        <w:tc>
          <w:tcPr>
            <w:tcW w:w="0" w:type="auto"/>
            <w:shd w:val="clear" w:color="auto" w:fill="FFFFFF"/>
            <w:tcMar>
              <w:top w:w="0" w:type="dxa"/>
              <w:left w:w="108" w:type="dxa"/>
              <w:bottom w:w="0" w:type="dxa"/>
              <w:right w:w="108" w:type="dxa"/>
            </w:tcMar>
            <w:vAlign w:val="center"/>
          </w:tcPr>
          <w:p w14:paraId="02D8118D" w14:textId="77777777" w:rsidR="00A76ADB" w:rsidRDefault="00A76ADB" w:rsidP="007E3239">
            <w:pPr>
              <w:pStyle w:val="TableText"/>
              <w:jc w:val="center"/>
            </w:pPr>
            <w:r>
              <w:rPr>
                <w:rFonts w:eastAsia="Calibri"/>
                <w:color w:val="000000"/>
              </w:rPr>
              <w:t>0.20</w:t>
            </w:r>
          </w:p>
        </w:tc>
        <w:tc>
          <w:tcPr>
            <w:tcW w:w="0" w:type="auto"/>
            <w:shd w:val="clear" w:color="auto" w:fill="FFFFFF"/>
            <w:tcMar>
              <w:top w:w="0" w:type="dxa"/>
              <w:left w:w="108" w:type="dxa"/>
              <w:bottom w:w="0" w:type="dxa"/>
              <w:right w:w="108" w:type="dxa"/>
            </w:tcMar>
            <w:vAlign w:val="center"/>
          </w:tcPr>
          <w:p w14:paraId="3625F7BC" w14:textId="77777777" w:rsidR="00A76ADB" w:rsidRDefault="00A76ADB" w:rsidP="007E3239">
            <w:pPr>
              <w:pStyle w:val="TableText"/>
              <w:jc w:val="center"/>
            </w:pPr>
            <w:r>
              <w:rPr>
                <w:rFonts w:eastAsia="Calibri"/>
                <w:color w:val="000000"/>
              </w:rPr>
              <w:t>0.43</w:t>
            </w:r>
          </w:p>
        </w:tc>
        <w:tc>
          <w:tcPr>
            <w:tcW w:w="0" w:type="auto"/>
            <w:shd w:val="clear" w:color="auto" w:fill="FFFFFF"/>
            <w:tcMar>
              <w:top w:w="0" w:type="dxa"/>
              <w:left w:w="108" w:type="dxa"/>
              <w:bottom w:w="0" w:type="dxa"/>
              <w:right w:w="108" w:type="dxa"/>
            </w:tcMar>
            <w:vAlign w:val="center"/>
          </w:tcPr>
          <w:p w14:paraId="699DB2E6"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61E51CF6" w14:textId="77777777" w:rsidR="00A76ADB" w:rsidRDefault="00A76ADB" w:rsidP="007E3239">
            <w:pPr>
              <w:pStyle w:val="TableText"/>
              <w:jc w:val="center"/>
            </w:pPr>
            <w:r>
              <w:rPr>
                <w:rFonts w:eastAsia="Calibri"/>
                <w:color w:val="000000"/>
              </w:rPr>
              <w:t>2.73</w:t>
            </w:r>
          </w:p>
        </w:tc>
      </w:tr>
      <w:tr w:rsidR="00A76ADB" w14:paraId="76D93C5E" w14:textId="77777777" w:rsidTr="00CF7215">
        <w:trPr>
          <w:cantSplit/>
          <w:trHeight w:val="283"/>
        </w:trPr>
        <w:tc>
          <w:tcPr>
            <w:tcW w:w="0" w:type="auto"/>
            <w:shd w:val="clear" w:color="auto" w:fill="FFFFFF"/>
            <w:tcMar>
              <w:top w:w="0" w:type="dxa"/>
              <w:left w:w="108" w:type="dxa"/>
              <w:bottom w:w="0" w:type="dxa"/>
              <w:right w:w="108" w:type="dxa"/>
            </w:tcMar>
            <w:vAlign w:val="center"/>
          </w:tcPr>
          <w:p w14:paraId="44CBCF31" w14:textId="77777777" w:rsidR="00A76ADB" w:rsidRDefault="00A76ADB" w:rsidP="007E3239">
            <w:pPr>
              <w:pStyle w:val="TableText"/>
            </w:pPr>
            <w:r>
              <w:rPr>
                <w:rFonts w:eastAsia="Calibri"/>
              </w:rPr>
              <w:t>2012</w:t>
            </w:r>
          </w:p>
        </w:tc>
        <w:tc>
          <w:tcPr>
            <w:tcW w:w="0" w:type="auto"/>
            <w:shd w:val="clear" w:color="auto" w:fill="FFFFFF"/>
            <w:tcMar>
              <w:top w:w="0" w:type="dxa"/>
              <w:left w:w="108" w:type="dxa"/>
              <w:bottom w:w="0" w:type="dxa"/>
              <w:right w:w="108" w:type="dxa"/>
            </w:tcMar>
            <w:vAlign w:val="center"/>
          </w:tcPr>
          <w:p w14:paraId="59D86769" w14:textId="77777777" w:rsidR="00A76ADB" w:rsidRDefault="00A76ADB" w:rsidP="007E3239">
            <w:pPr>
              <w:pStyle w:val="TableText"/>
              <w:jc w:val="center"/>
            </w:pPr>
            <w:r>
              <w:rPr>
                <w:rFonts w:eastAsia="Calibri"/>
                <w:color w:val="000000"/>
              </w:rPr>
              <w:t>1.47</w:t>
            </w:r>
          </w:p>
        </w:tc>
        <w:tc>
          <w:tcPr>
            <w:tcW w:w="0" w:type="auto"/>
            <w:shd w:val="clear" w:color="auto" w:fill="FFFFFF"/>
            <w:tcMar>
              <w:top w:w="0" w:type="dxa"/>
              <w:left w:w="108" w:type="dxa"/>
              <w:bottom w:w="0" w:type="dxa"/>
              <w:right w:w="108" w:type="dxa"/>
            </w:tcMar>
            <w:vAlign w:val="center"/>
          </w:tcPr>
          <w:p w14:paraId="5E041477" w14:textId="77777777" w:rsidR="00A76ADB" w:rsidRDefault="00A76ADB" w:rsidP="007E3239">
            <w:pPr>
              <w:pStyle w:val="TableText"/>
              <w:jc w:val="center"/>
            </w:pPr>
            <w:r>
              <w:rPr>
                <w:rFonts w:eastAsia="Calibri"/>
                <w:color w:val="000000"/>
              </w:rPr>
              <w:t>0.21</w:t>
            </w:r>
          </w:p>
        </w:tc>
        <w:tc>
          <w:tcPr>
            <w:tcW w:w="0" w:type="auto"/>
            <w:shd w:val="clear" w:color="auto" w:fill="FFFFFF"/>
            <w:tcMar>
              <w:top w:w="0" w:type="dxa"/>
              <w:left w:w="108" w:type="dxa"/>
              <w:bottom w:w="0" w:type="dxa"/>
              <w:right w:w="108" w:type="dxa"/>
            </w:tcMar>
            <w:vAlign w:val="center"/>
          </w:tcPr>
          <w:p w14:paraId="5D91F398" w14:textId="77777777" w:rsidR="00A76ADB" w:rsidRDefault="00A76ADB" w:rsidP="007E3239">
            <w:pPr>
              <w:pStyle w:val="TableText"/>
              <w:jc w:val="center"/>
            </w:pPr>
            <w:r>
              <w:rPr>
                <w:rFonts w:eastAsia="Calibri"/>
                <w:color w:val="000000"/>
              </w:rPr>
              <w:t>0.42</w:t>
            </w:r>
          </w:p>
        </w:tc>
        <w:tc>
          <w:tcPr>
            <w:tcW w:w="0" w:type="auto"/>
            <w:shd w:val="clear" w:color="auto" w:fill="FFFFFF"/>
            <w:tcMar>
              <w:top w:w="0" w:type="dxa"/>
              <w:left w:w="108" w:type="dxa"/>
              <w:bottom w:w="0" w:type="dxa"/>
              <w:right w:w="108" w:type="dxa"/>
            </w:tcMar>
            <w:vAlign w:val="center"/>
          </w:tcPr>
          <w:p w14:paraId="433AEA4E"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463B953E" w14:textId="77777777" w:rsidR="00A76ADB" w:rsidRDefault="00A76ADB" w:rsidP="007E3239">
            <w:pPr>
              <w:pStyle w:val="TableText"/>
              <w:jc w:val="center"/>
            </w:pPr>
            <w:r>
              <w:rPr>
                <w:rFonts w:eastAsia="Calibri"/>
                <w:color w:val="000000"/>
              </w:rPr>
              <w:t>2.72</w:t>
            </w:r>
          </w:p>
        </w:tc>
      </w:tr>
      <w:tr w:rsidR="00A76ADB" w14:paraId="21B6A87C" w14:textId="77777777" w:rsidTr="00CF7215">
        <w:trPr>
          <w:cantSplit/>
          <w:trHeight w:val="283"/>
        </w:trPr>
        <w:tc>
          <w:tcPr>
            <w:tcW w:w="0" w:type="auto"/>
            <w:shd w:val="clear" w:color="auto" w:fill="FFFFFF"/>
            <w:tcMar>
              <w:top w:w="0" w:type="dxa"/>
              <w:left w:w="108" w:type="dxa"/>
              <w:bottom w:w="0" w:type="dxa"/>
              <w:right w:w="108" w:type="dxa"/>
            </w:tcMar>
            <w:vAlign w:val="center"/>
          </w:tcPr>
          <w:p w14:paraId="06EDE1FB" w14:textId="77777777" w:rsidR="00A76ADB" w:rsidRDefault="00A76ADB" w:rsidP="007E3239">
            <w:pPr>
              <w:pStyle w:val="TableText"/>
            </w:pPr>
            <w:r>
              <w:rPr>
                <w:rFonts w:eastAsia="Calibri"/>
              </w:rPr>
              <w:t>2013</w:t>
            </w:r>
          </w:p>
        </w:tc>
        <w:tc>
          <w:tcPr>
            <w:tcW w:w="0" w:type="auto"/>
            <w:shd w:val="clear" w:color="auto" w:fill="FFFFFF"/>
            <w:tcMar>
              <w:top w:w="0" w:type="dxa"/>
              <w:left w:w="108" w:type="dxa"/>
              <w:bottom w:w="0" w:type="dxa"/>
              <w:right w:w="108" w:type="dxa"/>
            </w:tcMar>
            <w:vAlign w:val="center"/>
          </w:tcPr>
          <w:p w14:paraId="6F030929" w14:textId="77777777" w:rsidR="00A76ADB" w:rsidRDefault="00A76ADB" w:rsidP="007E3239">
            <w:pPr>
              <w:pStyle w:val="TableText"/>
              <w:jc w:val="center"/>
            </w:pPr>
            <w:r>
              <w:rPr>
                <w:rFonts w:eastAsia="Calibri"/>
                <w:color w:val="000000"/>
              </w:rPr>
              <w:t>1.53</w:t>
            </w:r>
          </w:p>
        </w:tc>
        <w:tc>
          <w:tcPr>
            <w:tcW w:w="0" w:type="auto"/>
            <w:shd w:val="clear" w:color="auto" w:fill="FFFFFF"/>
            <w:tcMar>
              <w:top w:w="0" w:type="dxa"/>
              <w:left w:w="108" w:type="dxa"/>
              <w:bottom w:w="0" w:type="dxa"/>
              <w:right w:w="108" w:type="dxa"/>
            </w:tcMar>
            <w:vAlign w:val="center"/>
          </w:tcPr>
          <w:p w14:paraId="628365D3" w14:textId="77777777" w:rsidR="00A76ADB" w:rsidRDefault="00A76ADB" w:rsidP="007E3239">
            <w:pPr>
              <w:pStyle w:val="TableText"/>
              <w:jc w:val="center"/>
            </w:pPr>
            <w:r>
              <w:rPr>
                <w:rFonts w:eastAsia="Calibri"/>
                <w:color w:val="000000"/>
              </w:rPr>
              <w:t>0.22</w:t>
            </w:r>
          </w:p>
        </w:tc>
        <w:tc>
          <w:tcPr>
            <w:tcW w:w="0" w:type="auto"/>
            <w:shd w:val="clear" w:color="auto" w:fill="FFFFFF"/>
            <w:tcMar>
              <w:top w:w="0" w:type="dxa"/>
              <w:left w:w="108" w:type="dxa"/>
              <w:bottom w:w="0" w:type="dxa"/>
              <w:right w:w="108" w:type="dxa"/>
            </w:tcMar>
            <w:vAlign w:val="center"/>
          </w:tcPr>
          <w:p w14:paraId="65E63A46" w14:textId="77777777" w:rsidR="00A76ADB" w:rsidRDefault="00A76ADB" w:rsidP="007E3239">
            <w:pPr>
              <w:pStyle w:val="TableText"/>
              <w:jc w:val="center"/>
            </w:pPr>
            <w:r>
              <w:rPr>
                <w:rFonts w:eastAsia="Calibri"/>
                <w:color w:val="000000"/>
              </w:rPr>
              <w:t>0.46</w:t>
            </w:r>
          </w:p>
        </w:tc>
        <w:tc>
          <w:tcPr>
            <w:tcW w:w="0" w:type="auto"/>
            <w:shd w:val="clear" w:color="auto" w:fill="FFFFFF"/>
            <w:tcMar>
              <w:top w:w="0" w:type="dxa"/>
              <w:left w:w="108" w:type="dxa"/>
              <w:bottom w:w="0" w:type="dxa"/>
              <w:right w:w="108" w:type="dxa"/>
            </w:tcMar>
            <w:vAlign w:val="center"/>
          </w:tcPr>
          <w:p w14:paraId="4C567B7A"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2CCBCE50" w14:textId="77777777" w:rsidR="00A76ADB" w:rsidRDefault="00A76ADB" w:rsidP="007E3239">
            <w:pPr>
              <w:pStyle w:val="TableText"/>
              <w:jc w:val="center"/>
            </w:pPr>
            <w:r>
              <w:rPr>
                <w:rFonts w:eastAsia="Calibri"/>
                <w:color w:val="000000"/>
              </w:rPr>
              <w:t>2.82</w:t>
            </w:r>
          </w:p>
        </w:tc>
      </w:tr>
      <w:tr w:rsidR="00A76ADB" w14:paraId="306C79A2" w14:textId="77777777" w:rsidTr="00CF7215">
        <w:trPr>
          <w:cantSplit/>
          <w:trHeight w:val="283"/>
        </w:trPr>
        <w:tc>
          <w:tcPr>
            <w:tcW w:w="0" w:type="auto"/>
            <w:shd w:val="clear" w:color="auto" w:fill="FFFFFF"/>
            <w:tcMar>
              <w:top w:w="0" w:type="dxa"/>
              <w:left w:w="108" w:type="dxa"/>
              <w:bottom w:w="0" w:type="dxa"/>
              <w:right w:w="108" w:type="dxa"/>
            </w:tcMar>
            <w:vAlign w:val="center"/>
          </w:tcPr>
          <w:p w14:paraId="776A5338" w14:textId="77777777" w:rsidR="00A76ADB" w:rsidRDefault="00A76ADB" w:rsidP="007E3239">
            <w:pPr>
              <w:pStyle w:val="TableText"/>
            </w:pPr>
            <w:r>
              <w:rPr>
                <w:rFonts w:eastAsia="Calibri"/>
              </w:rPr>
              <w:t>2014</w:t>
            </w:r>
          </w:p>
        </w:tc>
        <w:tc>
          <w:tcPr>
            <w:tcW w:w="0" w:type="auto"/>
            <w:shd w:val="clear" w:color="auto" w:fill="FFFFFF"/>
            <w:tcMar>
              <w:top w:w="0" w:type="dxa"/>
              <w:left w:w="108" w:type="dxa"/>
              <w:bottom w:w="0" w:type="dxa"/>
              <w:right w:w="108" w:type="dxa"/>
            </w:tcMar>
            <w:vAlign w:val="center"/>
          </w:tcPr>
          <w:p w14:paraId="450771B2" w14:textId="77777777" w:rsidR="00A76ADB" w:rsidRDefault="00A76ADB" w:rsidP="007E3239">
            <w:pPr>
              <w:pStyle w:val="TableText"/>
              <w:jc w:val="center"/>
            </w:pPr>
            <w:r>
              <w:rPr>
                <w:rFonts w:eastAsia="Calibri"/>
                <w:color w:val="000000"/>
              </w:rPr>
              <w:t>1.54</w:t>
            </w:r>
          </w:p>
        </w:tc>
        <w:tc>
          <w:tcPr>
            <w:tcW w:w="0" w:type="auto"/>
            <w:shd w:val="clear" w:color="auto" w:fill="FFFFFF"/>
            <w:tcMar>
              <w:top w:w="0" w:type="dxa"/>
              <w:left w:w="108" w:type="dxa"/>
              <w:bottom w:w="0" w:type="dxa"/>
              <w:right w:w="108" w:type="dxa"/>
            </w:tcMar>
            <w:vAlign w:val="center"/>
          </w:tcPr>
          <w:p w14:paraId="49A1984C" w14:textId="77777777" w:rsidR="00A76ADB" w:rsidRDefault="00A76ADB" w:rsidP="007E3239">
            <w:pPr>
              <w:pStyle w:val="TableText"/>
              <w:jc w:val="center"/>
            </w:pPr>
            <w:r>
              <w:rPr>
                <w:rFonts w:eastAsia="Calibri"/>
                <w:color w:val="000000"/>
              </w:rPr>
              <w:t>0.23</w:t>
            </w:r>
          </w:p>
        </w:tc>
        <w:tc>
          <w:tcPr>
            <w:tcW w:w="0" w:type="auto"/>
            <w:shd w:val="clear" w:color="auto" w:fill="FFFFFF"/>
            <w:tcMar>
              <w:top w:w="0" w:type="dxa"/>
              <w:left w:w="108" w:type="dxa"/>
              <w:bottom w:w="0" w:type="dxa"/>
              <w:right w:w="108" w:type="dxa"/>
            </w:tcMar>
            <w:vAlign w:val="center"/>
          </w:tcPr>
          <w:p w14:paraId="575C8542" w14:textId="77777777" w:rsidR="00A76ADB" w:rsidRDefault="00A76ADB" w:rsidP="007E3239">
            <w:pPr>
              <w:pStyle w:val="TableText"/>
              <w:jc w:val="center"/>
            </w:pPr>
            <w:r>
              <w:rPr>
                <w:rFonts w:eastAsia="Calibri"/>
                <w:color w:val="000000"/>
              </w:rPr>
              <w:t>0.48</w:t>
            </w:r>
          </w:p>
        </w:tc>
        <w:tc>
          <w:tcPr>
            <w:tcW w:w="0" w:type="auto"/>
            <w:shd w:val="clear" w:color="auto" w:fill="FFFFFF"/>
            <w:tcMar>
              <w:top w:w="0" w:type="dxa"/>
              <w:left w:w="108" w:type="dxa"/>
              <w:bottom w:w="0" w:type="dxa"/>
              <w:right w:w="108" w:type="dxa"/>
            </w:tcMar>
            <w:vAlign w:val="center"/>
          </w:tcPr>
          <w:p w14:paraId="1371132A"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73F8F218" w14:textId="77777777" w:rsidR="00A76ADB" w:rsidRDefault="00A76ADB" w:rsidP="007E3239">
            <w:pPr>
              <w:pStyle w:val="TableText"/>
              <w:jc w:val="center"/>
            </w:pPr>
            <w:r>
              <w:rPr>
                <w:rFonts w:eastAsia="Calibri"/>
                <w:color w:val="000000"/>
              </w:rPr>
              <w:t>2.86</w:t>
            </w:r>
          </w:p>
        </w:tc>
      </w:tr>
      <w:tr w:rsidR="00A76ADB" w14:paraId="30BABC75" w14:textId="77777777" w:rsidTr="00CF7215">
        <w:trPr>
          <w:cantSplit/>
          <w:trHeight w:val="283"/>
        </w:trPr>
        <w:tc>
          <w:tcPr>
            <w:tcW w:w="0" w:type="auto"/>
            <w:shd w:val="clear" w:color="auto" w:fill="FFFFFF"/>
            <w:tcMar>
              <w:top w:w="0" w:type="dxa"/>
              <w:left w:w="108" w:type="dxa"/>
              <w:bottom w:w="0" w:type="dxa"/>
              <w:right w:w="108" w:type="dxa"/>
            </w:tcMar>
            <w:vAlign w:val="center"/>
          </w:tcPr>
          <w:p w14:paraId="4C82F984" w14:textId="77777777" w:rsidR="00A76ADB" w:rsidRDefault="00A76ADB" w:rsidP="007E3239">
            <w:pPr>
              <w:pStyle w:val="TableText"/>
            </w:pPr>
            <w:r>
              <w:rPr>
                <w:rFonts w:eastAsia="Calibri"/>
              </w:rPr>
              <w:t>2015</w:t>
            </w:r>
          </w:p>
        </w:tc>
        <w:tc>
          <w:tcPr>
            <w:tcW w:w="0" w:type="auto"/>
            <w:shd w:val="clear" w:color="auto" w:fill="FFFFFF"/>
            <w:tcMar>
              <w:top w:w="0" w:type="dxa"/>
              <w:left w:w="108" w:type="dxa"/>
              <w:bottom w:w="0" w:type="dxa"/>
              <w:right w:w="108" w:type="dxa"/>
            </w:tcMar>
            <w:vAlign w:val="center"/>
          </w:tcPr>
          <w:p w14:paraId="57AB2999" w14:textId="77777777" w:rsidR="00A76ADB" w:rsidRDefault="00A76ADB" w:rsidP="007E3239">
            <w:pPr>
              <w:pStyle w:val="TableText"/>
              <w:jc w:val="center"/>
            </w:pPr>
            <w:r>
              <w:rPr>
                <w:rFonts w:eastAsia="Calibri"/>
                <w:color w:val="000000"/>
              </w:rPr>
              <w:t>1.59</w:t>
            </w:r>
          </w:p>
        </w:tc>
        <w:tc>
          <w:tcPr>
            <w:tcW w:w="0" w:type="auto"/>
            <w:shd w:val="clear" w:color="auto" w:fill="FFFFFF"/>
            <w:tcMar>
              <w:top w:w="0" w:type="dxa"/>
              <w:left w:w="108" w:type="dxa"/>
              <w:bottom w:w="0" w:type="dxa"/>
              <w:right w:w="108" w:type="dxa"/>
            </w:tcMar>
            <w:vAlign w:val="center"/>
          </w:tcPr>
          <w:p w14:paraId="5C67BAF5" w14:textId="77777777" w:rsidR="00A76ADB" w:rsidRDefault="00A76ADB" w:rsidP="007E3239">
            <w:pPr>
              <w:pStyle w:val="TableText"/>
              <w:jc w:val="center"/>
            </w:pPr>
            <w:r>
              <w:rPr>
                <w:rFonts w:eastAsia="Calibri"/>
                <w:color w:val="000000"/>
              </w:rPr>
              <w:t>0.25</w:t>
            </w:r>
          </w:p>
        </w:tc>
        <w:tc>
          <w:tcPr>
            <w:tcW w:w="0" w:type="auto"/>
            <w:shd w:val="clear" w:color="auto" w:fill="FFFFFF"/>
            <w:tcMar>
              <w:top w:w="0" w:type="dxa"/>
              <w:left w:w="108" w:type="dxa"/>
              <w:bottom w:w="0" w:type="dxa"/>
              <w:right w:w="108" w:type="dxa"/>
            </w:tcMar>
            <w:vAlign w:val="center"/>
          </w:tcPr>
          <w:p w14:paraId="127C23D2" w14:textId="77777777" w:rsidR="00A76ADB" w:rsidRDefault="00A76ADB" w:rsidP="007E3239">
            <w:pPr>
              <w:pStyle w:val="TableText"/>
              <w:jc w:val="center"/>
            </w:pPr>
            <w:r>
              <w:rPr>
                <w:rFonts w:eastAsia="Calibri"/>
                <w:color w:val="000000"/>
              </w:rPr>
              <w:t>0.47</w:t>
            </w:r>
          </w:p>
        </w:tc>
        <w:tc>
          <w:tcPr>
            <w:tcW w:w="0" w:type="auto"/>
            <w:shd w:val="clear" w:color="auto" w:fill="FFFFFF"/>
            <w:tcMar>
              <w:top w:w="0" w:type="dxa"/>
              <w:left w:w="108" w:type="dxa"/>
              <w:bottom w:w="0" w:type="dxa"/>
              <w:right w:w="108" w:type="dxa"/>
            </w:tcMar>
            <w:vAlign w:val="center"/>
          </w:tcPr>
          <w:p w14:paraId="3F76E876"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4FC0C10C" w14:textId="77777777" w:rsidR="00A76ADB" w:rsidRDefault="00A76ADB" w:rsidP="007E3239">
            <w:pPr>
              <w:pStyle w:val="TableText"/>
              <w:jc w:val="center"/>
            </w:pPr>
            <w:r>
              <w:rPr>
                <w:rFonts w:eastAsia="Calibri"/>
                <w:color w:val="000000"/>
              </w:rPr>
              <w:t>2.92</w:t>
            </w:r>
          </w:p>
        </w:tc>
      </w:tr>
      <w:tr w:rsidR="00A76ADB" w14:paraId="5C7C2DF9" w14:textId="77777777" w:rsidTr="00CF7215">
        <w:trPr>
          <w:cantSplit/>
          <w:trHeight w:val="283"/>
        </w:trPr>
        <w:tc>
          <w:tcPr>
            <w:tcW w:w="0" w:type="auto"/>
            <w:shd w:val="clear" w:color="auto" w:fill="FFFFFF"/>
            <w:tcMar>
              <w:top w:w="0" w:type="dxa"/>
              <w:left w:w="108" w:type="dxa"/>
              <w:bottom w:w="0" w:type="dxa"/>
              <w:right w:w="108" w:type="dxa"/>
            </w:tcMar>
            <w:vAlign w:val="center"/>
          </w:tcPr>
          <w:p w14:paraId="06DC98D8" w14:textId="77777777" w:rsidR="00A76ADB" w:rsidRDefault="00A76ADB" w:rsidP="007E3239">
            <w:pPr>
              <w:pStyle w:val="TableText"/>
            </w:pPr>
            <w:r>
              <w:rPr>
                <w:rFonts w:eastAsia="Calibri"/>
              </w:rPr>
              <w:t>2016</w:t>
            </w:r>
          </w:p>
        </w:tc>
        <w:tc>
          <w:tcPr>
            <w:tcW w:w="0" w:type="auto"/>
            <w:shd w:val="clear" w:color="auto" w:fill="FFFFFF"/>
            <w:tcMar>
              <w:top w:w="0" w:type="dxa"/>
              <w:left w:w="108" w:type="dxa"/>
              <w:bottom w:w="0" w:type="dxa"/>
              <w:right w:w="108" w:type="dxa"/>
            </w:tcMar>
            <w:vAlign w:val="center"/>
          </w:tcPr>
          <w:p w14:paraId="57E03CC2" w14:textId="77777777" w:rsidR="00A76ADB" w:rsidRDefault="00A76ADB" w:rsidP="007E3239">
            <w:pPr>
              <w:pStyle w:val="TableText"/>
              <w:jc w:val="center"/>
            </w:pPr>
            <w:r>
              <w:rPr>
                <w:rFonts w:eastAsia="Calibri"/>
                <w:color w:val="000000"/>
              </w:rPr>
              <w:t>1.51</w:t>
            </w:r>
          </w:p>
        </w:tc>
        <w:tc>
          <w:tcPr>
            <w:tcW w:w="0" w:type="auto"/>
            <w:shd w:val="clear" w:color="auto" w:fill="FFFFFF"/>
            <w:tcMar>
              <w:top w:w="0" w:type="dxa"/>
              <w:left w:w="108" w:type="dxa"/>
              <w:bottom w:w="0" w:type="dxa"/>
              <w:right w:w="108" w:type="dxa"/>
            </w:tcMar>
            <w:vAlign w:val="center"/>
          </w:tcPr>
          <w:p w14:paraId="5087B159" w14:textId="77777777" w:rsidR="00A76ADB" w:rsidRDefault="00A76ADB" w:rsidP="007E3239">
            <w:pPr>
              <w:pStyle w:val="TableText"/>
              <w:jc w:val="center"/>
            </w:pPr>
            <w:r>
              <w:rPr>
                <w:rFonts w:eastAsia="Calibri"/>
                <w:color w:val="000000"/>
              </w:rPr>
              <w:t>0.27</w:t>
            </w:r>
          </w:p>
        </w:tc>
        <w:tc>
          <w:tcPr>
            <w:tcW w:w="0" w:type="auto"/>
            <w:shd w:val="clear" w:color="auto" w:fill="FFFFFF"/>
            <w:tcMar>
              <w:top w:w="0" w:type="dxa"/>
              <w:left w:w="108" w:type="dxa"/>
              <w:bottom w:w="0" w:type="dxa"/>
              <w:right w:w="108" w:type="dxa"/>
            </w:tcMar>
            <w:vAlign w:val="center"/>
          </w:tcPr>
          <w:p w14:paraId="00AB7921" w14:textId="77777777" w:rsidR="00A76ADB" w:rsidRDefault="00A76ADB" w:rsidP="007E3239">
            <w:pPr>
              <w:pStyle w:val="TableText"/>
              <w:jc w:val="center"/>
            </w:pPr>
            <w:r>
              <w:rPr>
                <w:rFonts w:eastAsia="Calibri"/>
                <w:color w:val="000000"/>
              </w:rPr>
              <w:t>0.47</w:t>
            </w:r>
          </w:p>
        </w:tc>
        <w:tc>
          <w:tcPr>
            <w:tcW w:w="0" w:type="auto"/>
            <w:shd w:val="clear" w:color="auto" w:fill="FFFFFF"/>
            <w:tcMar>
              <w:top w:w="0" w:type="dxa"/>
              <w:left w:w="108" w:type="dxa"/>
              <w:bottom w:w="0" w:type="dxa"/>
              <w:right w:w="108" w:type="dxa"/>
            </w:tcMar>
            <w:vAlign w:val="center"/>
          </w:tcPr>
          <w:p w14:paraId="4D5299A4"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74DCFA53" w14:textId="77777777" w:rsidR="00A76ADB" w:rsidRDefault="00A76ADB" w:rsidP="007E3239">
            <w:pPr>
              <w:pStyle w:val="TableText"/>
              <w:jc w:val="center"/>
            </w:pPr>
            <w:r>
              <w:rPr>
                <w:rFonts w:eastAsia="Calibri"/>
                <w:color w:val="000000"/>
              </w:rPr>
              <w:t>2.85</w:t>
            </w:r>
          </w:p>
        </w:tc>
      </w:tr>
      <w:tr w:rsidR="00A76ADB" w14:paraId="4388B8F1" w14:textId="77777777" w:rsidTr="00CF7215">
        <w:trPr>
          <w:cantSplit/>
          <w:trHeight w:val="283"/>
        </w:trPr>
        <w:tc>
          <w:tcPr>
            <w:tcW w:w="0" w:type="auto"/>
            <w:shd w:val="clear" w:color="auto" w:fill="FFFFFF"/>
            <w:tcMar>
              <w:top w:w="0" w:type="dxa"/>
              <w:left w:w="108" w:type="dxa"/>
              <w:bottom w:w="0" w:type="dxa"/>
              <w:right w:w="108" w:type="dxa"/>
            </w:tcMar>
            <w:vAlign w:val="center"/>
          </w:tcPr>
          <w:p w14:paraId="22FC91FC" w14:textId="77777777" w:rsidR="00A76ADB" w:rsidRDefault="00A76ADB" w:rsidP="007E3239">
            <w:pPr>
              <w:pStyle w:val="TableText"/>
            </w:pPr>
            <w:r>
              <w:rPr>
                <w:rFonts w:eastAsia="Calibri"/>
              </w:rPr>
              <w:t>2017</w:t>
            </w:r>
          </w:p>
        </w:tc>
        <w:tc>
          <w:tcPr>
            <w:tcW w:w="0" w:type="auto"/>
            <w:shd w:val="clear" w:color="auto" w:fill="FFFFFF"/>
            <w:tcMar>
              <w:top w:w="0" w:type="dxa"/>
              <w:left w:w="108" w:type="dxa"/>
              <w:bottom w:w="0" w:type="dxa"/>
              <w:right w:w="108" w:type="dxa"/>
            </w:tcMar>
            <w:vAlign w:val="center"/>
          </w:tcPr>
          <w:p w14:paraId="4E7932EF" w14:textId="77777777" w:rsidR="00A76ADB" w:rsidRDefault="00A76ADB" w:rsidP="007E3239">
            <w:pPr>
              <w:pStyle w:val="TableText"/>
              <w:jc w:val="center"/>
            </w:pPr>
            <w:r>
              <w:rPr>
                <w:rFonts w:eastAsia="Calibri"/>
                <w:color w:val="000000"/>
              </w:rPr>
              <w:t>1.55</w:t>
            </w:r>
          </w:p>
        </w:tc>
        <w:tc>
          <w:tcPr>
            <w:tcW w:w="0" w:type="auto"/>
            <w:shd w:val="clear" w:color="auto" w:fill="FFFFFF"/>
            <w:tcMar>
              <w:top w:w="0" w:type="dxa"/>
              <w:left w:w="108" w:type="dxa"/>
              <w:bottom w:w="0" w:type="dxa"/>
              <w:right w:w="108" w:type="dxa"/>
            </w:tcMar>
            <w:vAlign w:val="center"/>
          </w:tcPr>
          <w:p w14:paraId="1AA3D21E" w14:textId="77777777" w:rsidR="00A76ADB" w:rsidRDefault="00A76ADB" w:rsidP="007E3239">
            <w:pPr>
              <w:pStyle w:val="TableText"/>
              <w:jc w:val="center"/>
            </w:pPr>
            <w:r>
              <w:rPr>
                <w:rFonts w:eastAsia="Calibri"/>
                <w:color w:val="000000"/>
              </w:rPr>
              <w:t>0.28</w:t>
            </w:r>
          </w:p>
        </w:tc>
        <w:tc>
          <w:tcPr>
            <w:tcW w:w="0" w:type="auto"/>
            <w:shd w:val="clear" w:color="auto" w:fill="FFFFFF"/>
            <w:tcMar>
              <w:top w:w="0" w:type="dxa"/>
              <w:left w:w="108" w:type="dxa"/>
              <w:bottom w:w="0" w:type="dxa"/>
              <w:right w:w="108" w:type="dxa"/>
            </w:tcMar>
            <w:vAlign w:val="center"/>
          </w:tcPr>
          <w:p w14:paraId="19C093D4" w14:textId="77777777" w:rsidR="00A76ADB" w:rsidRDefault="00A76ADB" w:rsidP="007E3239">
            <w:pPr>
              <w:pStyle w:val="TableText"/>
              <w:jc w:val="center"/>
            </w:pPr>
            <w:r>
              <w:rPr>
                <w:rFonts w:eastAsia="Calibri"/>
                <w:color w:val="000000"/>
              </w:rPr>
              <w:t>0.47</w:t>
            </w:r>
          </w:p>
        </w:tc>
        <w:tc>
          <w:tcPr>
            <w:tcW w:w="0" w:type="auto"/>
            <w:shd w:val="clear" w:color="auto" w:fill="FFFFFF"/>
            <w:tcMar>
              <w:top w:w="0" w:type="dxa"/>
              <w:left w:w="108" w:type="dxa"/>
              <w:bottom w:w="0" w:type="dxa"/>
              <w:right w:w="108" w:type="dxa"/>
            </w:tcMar>
            <w:vAlign w:val="center"/>
          </w:tcPr>
          <w:p w14:paraId="0BF3F812"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29808C07" w14:textId="77777777" w:rsidR="00A76ADB" w:rsidRDefault="00A76ADB" w:rsidP="007E3239">
            <w:pPr>
              <w:pStyle w:val="TableText"/>
              <w:jc w:val="center"/>
            </w:pPr>
            <w:r>
              <w:rPr>
                <w:rFonts w:eastAsia="Calibri"/>
                <w:color w:val="000000"/>
              </w:rPr>
              <w:t>2.91</w:t>
            </w:r>
          </w:p>
        </w:tc>
      </w:tr>
      <w:tr w:rsidR="00A76ADB" w14:paraId="135A68B5" w14:textId="77777777" w:rsidTr="00CF7215">
        <w:trPr>
          <w:cantSplit/>
          <w:trHeight w:val="283"/>
        </w:trPr>
        <w:tc>
          <w:tcPr>
            <w:tcW w:w="0" w:type="auto"/>
            <w:shd w:val="clear" w:color="auto" w:fill="FFFFFF"/>
            <w:tcMar>
              <w:top w:w="0" w:type="dxa"/>
              <w:left w:w="108" w:type="dxa"/>
              <w:bottom w:w="0" w:type="dxa"/>
              <w:right w:w="108" w:type="dxa"/>
            </w:tcMar>
            <w:vAlign w:val="center"/>
          </w:tcPr>
          <w:p w14:paraId="6F2BCB91" w14:textId="77777777" w:rsidR="00A76ADB" w:rsidRDefault="00A76ADB" w:rsidP="007E3239">
            <w:pPr>
              <w:pStyle w:val="TableText"/>
            </w:pPr>
            <w:r>
              <w:rPr>
                <w:rFonts w:eastAsia="Calibri"/>
              </w:rPr>
              <w:t>2018</w:t>
            </w:r>
          </w:p>
        </w:tc>
        <w:tc>
          <w:tcPr>
            <w:tcW w:w="0" w:type="auto"/>
            <w:shd w:val="clear" w:color="auto" w:fill="FFFFFF"/>
            <w:tcMar>
              <w:top w:w="0" w:type="dxa"/>
              <w:left w:w="108" w:type="dxa"/>
              <w:bottom w:w="0" w:type="dxa"/>
              <w:right w:w="108" w:type="dxa"/>
            </w:tcMar>
            <w:vAlign w:val="center"/>
          </w:tcPr>
          <w:p w14:paraId="7E2D6798" w14:textId="77777777" w:rsidR="00A76ADB" w:rsidRDefault="00A76ADB" w:rsidP="007E3239">
            <w:pPr>
              <w:pStyle w:val="TableText"/>
              <w:jc w:val="center"/>
            </w:pPr>
            <w:r>
              <w:rPr>
                <w:rFonts w:eastAsia="Calibri"/>
                <w:color w:val="000000"/>
              </w:rPr>
              <w:t>1.56</w:t>
            </w:r>
          </w:p>
        </w:tc>
        <w:tc>
          <w:tcPr>
            <w:tcW w:w="0" w:type="auto"/>
            <w:shd w:val="clear" w:color="auto" w:fill="FFFFFF"/>
            <w:tcMar>
              <w:top w:w="0" w:type="dxa"/>
              <w:left w:w="108" w:type="dxa"/>
              <w:bottom w:w="0" w:type="dxa"/>
              <w:right w:w="108" w:type="dxa"/>
            </w:tcMar>
            <w:vAlign w:val="center"/>
          </w:tcPr>
          <w:p w14:paraId="2EEC1E0B" w14:textId="77777777" w:rsidR="00A76ADB" w:rsidRDefault="00A76ADB" w:rsidP="007E3239">
            <w:pPr>
              <w:pStyle w:val="TableText"/>
              <w:jc w:val="center"/>
            </w:pPr>
            <w:r>
              <w:rPr>
                <w:rFonts w:eastAsia="Calibri"/>
                <w:color w:val="000000"/>
              </w:rPr>
              <w:t>0.30</w:t>
            </w:r>
          </w:p>
        </w:tc>
        <w:tc>
          <w:tcPr>
            <w:tcW w:w="0" w:type="auto"/>
            <w:shd w:val="clear" w:color="auto" w:fill="FFFFFF"/>
            <w:tcMar>
              <w:top w:w="0" w:type="dxa"/>
              <w:left w:w="108" w:type="dxa"/>
              <w:bottom w:w="0" w:type="dxa"/>
              <w:right w:w="108" w:type="dxa"/>
            </w:tcMar>
            <w:vAlign w:val="center"/>
          </w:tcPr>
          <w:p w14:paraId="33494E29" w14:textId="77777777" w:rsidR="00A76ADB" w:rsidRDefault="00A76ADB" w:rsidP="007E3239">
            <w:pPr>
              <w:pStyle w:val="TableText"/>
              <w:jc w:val="center"/>
            </w:pPr>
            <w:r>
              <w:rPr>
                <w:rFonts w:eastAsia="Calibri"/>
                <w:color w:val="000000"/>
              </w:rPr>
              <w:t>0.48</w:t>
            </w:r>
          </w:p>
        </w:tc>
        <w:tc>
          <w:tcPr>
            <w:tcW w:w="0" w:type="auto"/>
            <w:shd w:val="clear" w:color="auto" w:fill="FFFFFF"/>
            <w:tcMar>
              <w:top w:w="0" w:type="dxa"/>
              <w:left w:w="108" w:type="dxa"/>
              <w:bottom w:w="0" w:type="dxa"/>
              <w:right w:w="108" w:type="dxa"/>
            </w:tcMar>
            <w:vAlign w:val="center"/>
          </w:tcPr>
          <w:p w14:paraId="1E483D49"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5463CA72" w14:textId="77777777" w:rsidR="00A76ADB" w:rsidRDefault="00A76ADB" w:rsidP="007E3239">
            <w:pPr>
              <w:pStyle w:val="TableText"/>
              <w:jc w:val="center"/>
            </w:pPr>
            <w:r>
              <w:rPr>
                <w:rFonts w:eastAsia="Calibri"/>
                <w:color w:val="000000"/>
              </w:rPr>
              <w:t>2.95</w:t>
            </w:r>
          </w:p>
        </w:tc>
      </w:tr>
      <w:tr w:rsidR="00A76ADB" w14:paraId="2262A3E0" w14:textId="77777777" w:rsidTr="00CF7215">
        <w:trPr>
          <w:cantSplit/>
          <w:trHeight w:val="283"/>
        </w:trPr>
        <w:tc>
          <w:tcPr>
            <w:tcW w:w="0" w:type="auto"/>
            <w:shd w:val="clear" w:color="auto" w:fill="FFFFFF"/>
            <w:tcMar>
              <w:top w:w="0" w:type="dxa"/>
              <w:left w:w="108" w:type="dxa"/>
              <w:bottom w:w="0" w:type="dxa"/>
              <w:right w:w="108" w:type="dxa"/>
            </w:tcMar>
            <w:vAlign w:val="center"/>
          </w:tcPr>
          <w:p w14:paraId="0E6FB3CF" w14:textId="77777777" w:rsidR="00A76ADB" w:rsidRDefault="00A76ADB" w:rsidP="007E3239">
            <w:pPr>
              <w:pStyle w:val="TableText"/>
            </w:pPr>
            <w:r>
              <w:rPr>
                <w:rFonts w:eastAsia="Calibri"/>
              </w:rPr>
              <w:t>2019</w:t>
            </w:r>
          </w:p>
        </w:tc>
        <w:tc>
          <w:tcPr>
            <w:tcW w:w="0" w:type="auto"/>
            <w:shd w:val="clear" w:color="auto" w:fill="FFFFFF"/>
            <w:tcMar>
              <w:top w:w="0" w:type="dxa"/>
              <w:left w:w="108" w:type="dxa"/>
              <w:bottom w:w="0" w:type="dxa"/>
              <w:right w:w="108" w:type="dxa"/>
            </w:tcMar>
            <w:vAlign w:val="center"/>
          </w:tcPr>
          <w:p w14:paraId="6E51CDAF" w14:textId="77777777" w:rsidR="00A76ADB" w:rsidRDefault="00A76ADB" w:rsidP="007E3239">
            <w:pPr>
              <w:pStyle w:val="TableText"/>
              <w:jc w:val="center"/>
            </w:pPr>
            <w:r>
              <w:rPr>
                <w:rFonts w:eastAsia="Calibri"/>
                <w:color w:val="000000"/>
              </w:rPr>
              <w:t>1.59</w:t>
            </w:r>
          </w:p>
        </w:tc>
        <w:tc>
          <w:tcPr>
            <w:tcW w:w="0" w:type="auto"/>
            <w:shd w:val="clear" w:color="auto" w:fill="FFFFFF"/>
            <w:tcMar>
              <w:top w:w="0" w:type="dxa"/>
              <w:left w:w="108" w:type="dxa"/>
              <w:bottom w:w="0" w:type="dxa"/>
              <w:right w:w="108" w:type="dxa"/>
            </w:tcMar>
            <w:vAlign w:val="center"/>
          </w:tcPr>
          <w:p w14:paraId="534CA956" w14:textId="77777777" w:rsidR="00A76ADB" w:rsidRDefault="00A76ADB" w:rsidP="007E3239">
            <w:pPr>
              <w:pStyle w:val="TableText"/>
              <w:jc w:val="center"/>
            </w:pPr>
            <w:r>
              <w:rPr>
                <w:rFonts w:eastAsia="Calibri"/>
                <w:color w:val="000000"/>
              </w:rPr>
              <w:t>0.29</w:t>
            </w:r>
          </w:p>
        </w:tc>
        <w:tc>
          <w:tcPr>
            <w:tcW w:w="0" w:type="auto"/>
            <w:shd w:val="clear" w:color="auto" w:fill="FFFFFF"/>
            <w:tcMar>
              <w:top w:w="0" w:type="dxa"/>
              <w:left w:w="108" w:type="dxa"/>
              <w:bottom w:w="0" w:type="dxa"/>
              <w:right w:w="108" w:type="dxa"/>
            </w:tcMar>
            <w:vAlign w:val="center"/>
          </w:tcPr>
          <w:p w14:paraId="3F091E56" w14:textId="77777777" w:rsidR="00A76ADB" w:rsidRDefault="00A76ADB" w:rsidP="007E3239">
            <w:pPr>
              <w:pStyle w:val="TableText"/>
              <w:jc w:val="center"/>
            </w:pPr>
            <w:r>
              <w:rPr>
                <w:rFonts w:eastAsia="Calibri"/>
                <w:color w:val="000000"/>
              </w:rPr>
              <w:t>0.48</w:t>
            </w:r>
          </w:p>
        </w:tc>
        <w:tc>
          <w:tcPr>
            <w:tcW w:w="0" w:type="auto"/>
            <w:shd w:val="clear" w:color="auto" w:fill="FFFFFF"/>
            <w:tcMar>
              <w:top w:w="0" w:type="dxa"/>
              <w:left w:w="108" w:type="dxa"/>
              <w:bottom w:w="0" w:type="dxa"/>
              <w:right w:w="108" w:type="dxa"/>
            </w:tcMar>
            <w:vAlign w:val="center"/>
          </w:tcPr>
          <w:p w14:paraId="5BDD97C4"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5F1421D4" w14:textId="77777777" w:rsidR="00A76ADB" w:rsidRDefault="00A76ADB" w:rsidP="007E3239">
            <w:pPr>
              <w:pStyle w:val="TableText"/>
              <w:jc w:val="center"/>
            </w:pPr>
            <w:r>
              <w:rPr>
                <w:rFonts w:eastAsia="Calibri"/>
                <w:color w:val="000000"/>
              </w:rPr>
              <w:t>2.96</w:t>
            </w:r>
          </w:p>
        </w:tc>
      </w:tr>
      <w:tr w:rsidR="00A76ADB" w14:paraId="7A2CD224" w14:textId="77777777" w:rsidTr="00CF7215">
        <w:trPr>
          <w:cantSplit/>
          <w:trHeight w:val="283"/>
        </w:trPr>
        <w:tc>
          <w:tcPr>
            <w:tcW w:w="0" w:type="auto"/>
            <w:shd w:val="clear" w:color="auto" w:fill="FFFFFF"/>
            <w:tcMar>
              <w:top w:w="0" w:type="dxa"/>
              <w:left w:w="108" w:type="dxa"/>
              <w:bottom w:w="0" w:type="dxa"/>
              <w:right w:w="108" w:type="dxa"/>
            </w:tcMar>
            <w:vAlign w:val="center"/>
          </w:tcPr>
          <w:p w14:paraId="3D358465" w14:textId="77777777" w:rsidR="00A76ADB" w:rsidRDefault="00A76ADB" w:rsidP="007E3239">
            <w:pPr>
              <w:pStyle w:val="TableText"/>
            </w:pPr>
            <w:r>
              <w:rPr>
                <w:rFonts w:eastAsia="Calibri"/>
              </w:rPr>
              <w:t>2020</w:t>
            </w:r>
          </w:p>
        </w:tc>
        <w:tc>
          <w:tcPr>
            <w:tcW w:w="0" w:type="auto"/>
            <w:shd w:val="clear" w:color="auto" w:fill="FFFFFF"/>
            <w:tcMar>
              <w:top w:w="0" w:type="dxa"/>
              <w:left w:w="108" w:type="dxa"/>
              <w:bottom w:w="0" w:type="dxa"/>
              <w:right w:w="108" w:type="dxa"/>
            </w:tcMar>
            <w:vAlign w:val="center"/>
          </w:tcPr>
          <w:p w14:paraId="4924DD20" w14:textId="77777777" w:rsidR="00A76ADB" w:rsidRDefault="00A76ADB" w:rsidP="007E3239">
            <w:pPr>
              <w:pStyle w:val="TableText"/>
              <w:jc w:val="center"/>
            </w:pPr>
            <w:r>
              <w:rPr>
                <w:rFonts w:eastAsia="Calibri"/>
                <w:color w:val="000000"/>
              </w:rPr>
              <w:t>1.62</w:t>
            </w:r>
          </w:p>
        </w:tc>
        <w:tc>
          <w:tcPr>
            <w:tcW w:w="0" w:type="auto"/>
            <w:shd w:val="clear" w:color="auto" w:fill="FFFFFF"/>
            <w:tcMar>
              <w:top w:w="0" w:type="dxa"/>
              <w:left w:w="108" w:type="dxa"/>
              <w:bottom w:w="0" w:type="dxa"/>
              <w:right w:w="108" w:type="dxa"/>
            </w:tcMar>
            <w:vAlign w:val="center"/>
          </w:tcPr>
          <w:p w14:paraId="2643E493" w14:textId="77777777" w:rsidR="00A76ADB" w:rsidRDefault="00A76ADB" w:rsidP="007E3239">
            <w:pPr>
              <w:pStyle w:val="TableText"/>
              <w:jc w:val="center"/>
            </w:pPr>
            <w:r>
              <w:rPr>
                <w:rFonts w:eastAsia="Calibri"/>
                <w:color w:val="000000"/>
              </w:rPr>
              <w:t>0.27</w:t>
            </w:r>
          </w:p>
        </w:tc>
        <w:tc>
          <w:tcPr>
            <w:tcW w:w="0" w:type="auto"/>
            <w:shd w:val="clear" w:color="auto" w:fill="FFFFFF"/>
            <w:tcMar>
              <w:top w:w="0" w:type="dxa"/>
              <w:left w:w="108" w:type="dxa"/>
              <w:bottom w:w="0" w:type="dxa"/>
              <w:right w:w="108" w:type="dxa"/>
            </w:tcMar>
            <w:vAlign w:val="center"/>
          </w:tcPr>
          <w:p w14:paraId="15A4ADFA" w14:textId="77777777" w:rsidR="00A76ADB" w:rsidRDefault="00A76ADB" w:rsidP="007E3239">
            <w:pPr>
              <w:pStyle w:val="TableText"/>
              <w:jc w:val="center"/>
            </w:pPr>
            <w:r>
              <w:rPr>
                <w:rFonts w:eastAsia="Calibri"/>
                <w:color w:val="000000"/>
              </w:rPr>
              <w:t>0.49</w:t>
            </w:r>
          </w:p>
        </w:tc>
        <w:tc>
          <w:tcPr>
            <w:tcW w:w="0" w:type="auto"/>
            <w:shd w:val="clear" w:color="auto" w:fill="FFFFFF"/>
            <w:tcMar>
              <w:top w:w="0" w:type="dxa"/>
              <w:left w:w="108" w:type="dxa"/>
              <w:bottom w:w="0" w:type="dxa"/>
              <w:right w:w="108" w:type="dxa"/>
            </w:tcMar>
            <w:vAlign w:val="center"/>
          </w:tcPr>
          <w:p w14:paraId="69B309BD" w14:textId="77777777" w:rsidR="00A76ADB" w:rsidRDefault="00A76ADB" w:rsidP="007E3239">
            <w:pPr>
              <w:pStyle w:val="TableText"/>
              <w:jc w:val="center"/>
            </w:pPr>
            <w:r>
              <w:rPr>
                <w:rFonts w:eastAsia="Calibri"/>
                <w:color w:val="000000"/>
              </w:rPr>
              <w:t>0.61</w:t>
            </w:r>
          </w:p>
        </w:tc>
        <w:tc>
          <w:tcPr>
            <w:tcW w:w="0" w:type="auto"/>
            <w:shd w:val="clear" w:color="auto" w:fill="FFFFFF"/>
            <w:tcMar>
              <w:top w:w="0" w:type="dxa"/>
              <w:left w:w="108" w:type="dxa"/>
              <w:bottom w:w="0" w:type="dxa"/>
              <w:right w:w="108" w:type="dxa"/>
            </w:tcMar>
            <w:vAlign w:val="center"/>
          </w:tcPr>
          <w:p w14:paraId="1489812A" w14:textId="77777777" w:rsidR="00A76ADB" w:rsidRDefault="00A76ADB" w:rsidP="007E3239">
            <w:pPr>
              <w:pStyle w:val="TableText"/>
              <w:jc w:val="center"/>
            </w:pPr>
            <w:r>
              <w:rPr>
                <w:rFonts w:eastAsia="Calibri"/>
                <w:color w:val="000000"/>
              </w:rPr>
              <w:t>2.99</w:t>
            </w:r>
          </w:p>
        </w:tc>
      </w:tr>
    </w:tbl>
    <w:p w14:paraId="24869D86" w14:textId="77777777" w:rsidR="00A76ADB" w:rsidRDefault="00A76ADB" w:rsidP="00A76ADB">
      <w:pPr>
        <w:pStyle w:val="Noteundertable"/>
      </w:pPr>
      <w:r>
        <w:rPr>
          <w:b/>
          <w:bCs/>
        </w:rPr>
        <w:t>Note:</w:t>
      </w:r>
      <w:r w:rsidRPr="001515DA">
        <w:t xml:space="preserve"> </w:t>
      </w:r>
      <w:r>
        <w:tab/>
        <w:t>Columns may not total due to rounding.</w:t>
      </w:r>
    </w:p>
    <w:p w14:paraId="5B55EDA0" w14:textId="77777777" w:rsidR="00A76ADB" w:rsidRDefault="00A76ADB" w:rsidP="00A76ADB">
      <w:pPr>
        <w:pStyle w:val="Heading5"/>
      </w:pPr>
      <w:bookmarkStart w:id="2434" w:name="meat-industry"/>
      <w:bookmarkStart w:id="2435" w:name="choice-of-activity-data-3"/>
      <w:bookmarkStart w:id="2436" w:name="methodological-issues-3"/>
      <w:bookmarkStart w:id="2437" w:name="wastewater-treatment-and-discharge-5.d"/>
      <w:bookmarkStart w:id="2438" w:name="chapter-7-waste"/>
      <w:bookmarkEnd w:id="2431"/>
      <w:r>
        <w:t>Meat industry</w:t>
      </w:r>
    </w:p>
    <w:p w14:paraId="0A8A0C10" w14:textId="77777777" w:rsidR="00A76ADB" w:rsidRDefault="00A76ADB" w:rsidP="00A76ADB">
      <w:pPr>
        <w:pStyle w:val="BodyText"/>
      </w:pPr>
      <w:r>
        <w:t>Methane emissions from the meat industry are calculated from an estimate of the wastewater output from meat processing. This estimate is based on the total production (kills) from the different producers in the meat industry and uses data that are as consistent as possible with the data for kills used in the Agriculture sector.</w:t>
      </w:r>
    </w:p>
    <w:p w14:paraId="6CFD7BBB" w14:textId="1FBF8A13" w:rsidR="00A76ADB" w:rsidRDefault="00A76ADB" w:rsidP="00A76ADB">
      <w:pPr>
        <w:pStyle w:val="BodyText"/>
      </w:pPr>
      <w:r>
        <w:t xml:space="preserve">Poultry processing is calculated separately from other meat processing because its fraction of waste treated in anaerobic ponds, and the unit chemical oxygen demand (COD) load, are higher than these measures are for other meat processing (Cardno, </w:t>
      </w:r>
      <w:r w:rsidR="002B2B29">
        <w:t>2015</w:t>
      </w:r>
      <w:r>
        <w:t>).</w:t>
      </w:r>
    </w:p>
    <w:p w14:paraId="53809E6F" w14:textId="40AFD7C7" w:rsidR="00A76ADB" w:rsidRDefault="00A76ADB" w:rsidP="00A76ADB">
      <w:pPr>
        <w:pStyle w:val="BodyText"/>
      </w:pPr>
      <w:r>
        <w:t>Rendering loads are not separated out to simplify the inventory calculations because there are only a few standalone rendering plants in New Zealand, and the rest are combined with meat processing plants. Therefore, the unit COD load only includes rendering operations (Cardno, </w:t>
      </w:r>
      <w:r w:rsidR="002B2B29">
        <w:t>2015</w:t>
      </w:r>
      <w:r>
        <w:t>).</w:t>
      </w:r>
    </w:p>
    <w:p w14:paraId="084AD893" w14:textId="77777777" w:rsidR="00A76ADB" w:rsidRDefault="00A76ADB" w:rsidP="00A76ADB">
      <w:pPr>
        <w:pStyle w:val="BodyText"/>
      </w:pPr>
      <w:r>
        <w:t>Nitrous oxide emissions from the meat industry are calculated using the same activity data as for CH</w:t>
      </w:r>
      <w:r>
        <w:rPr>
          <w:vertAlign w:val="subscript"/>
        </w:rPr>
        <w:t>4</w:t>
      </w:r>
      <w:r>
        <w:t xml:space="preserve"> emissions.</w:t>
      </w:r>
    </w:p>
    <w:p w14:paraId="3A63477C" w14:textId="77777777" w:rsidR="00A76ADB" w:rsidRDefault="00A76ADB" w:rsidP="00A76ADB">
      <w:pPr>
        <w:pStyle w:val="Heading5"/>
      </w:pPr>
      <w:bookmarkStart w:id="2439" w:name="pulp-and-paper-industry"/>
      <w:bookmarkEnd w:id="2434"/>
      <w:r>
        <w:t>Pulp and paper industry</w:t>
      </w:r>
    </w:p>
    <w:p w14:paraId="0DBA2FD9" w14:textId="77777777" w:rsidR="00A76ADB" w:rsidRDefault="00A76ADB" w:rsidP="00A76ADB">
      <w:pPr>
        <w:pStyle w:val="BodyText"/>
      </w:pPr>
      <w:r>
        <w:t>Estimated pulp and paper wastewater output is based on paper, paperboard and pulp production. This information is obtained from the Ministry for Primary Industries.</w:t>
      </w:r>
    </w:p>
    <w:p w14:paraId="3ACA5C78" w14:textId="77777777" w:rsidR="00A76ADB" w:rsidRDefault="00A76ADB" w:rsidP="00A76ADB">
      <w:pPr>
        <w:pStyle w:val="Heading5"/>
      </w:pPr>
      <w:bookmarkStart w:id="2440" w:name="wine-industry"/>
      <w:bookmarkEnd w:id="2439"/>
      <w:r>
        <w:lastRenderedPageBreak/>
        <w:t>Wine industry</w:t>
      </w:r>
    </w:p>
    <w:p w14:paraId="004A29C2" w14:textId="77777777" w:rsidR="00A76ADB" w:rsidRDefault="00A76ADB" w:rsidP="00A76ADB">
      <w:pPr>
        <w:pStyle w:val="BodyText"/>
      </w:pPr>
      <w:r>
        <w:t>Methane emissions from wastewater for the wine industry are based on the outputs obtained from the national organisation for New Zealand’s grape and wine sector. For the purpose of this assessment, an average industry wastewater discharge metric of 2.7 cubic metres of water per tonne of grapes processed is assumed. This value is derived from national data. Note that this value is significantly lower than IPCC default values (Beca Ltd, unpublished).</w:t>
      </w:r>
    </w:p>
    <w:p w14:paraId="3830B9DD" w14:textId="77777777" w:rsidR="00A76ADB" w:rsidRDefault="00A76ADB" w:rsidP="00A76ADB">
      <w:pPr>
        <w:pStyle w:val="Heading5"/>
      </w:pPr>
      <w:bookmarkStart w:id="2441" w:name="wool-scouring-industry"/>
      <w:bookmarkEnd w:id="2440"/>
      <w:r>
        <w:t>Wool scouring industry</w:t>
      </w:r>
    </w:p>
    <w:p w14:paraId="40572A94" w14:textId="03FC1FA1" w:rsidR="00A76ADB" w:rsidRDefault="00A76ADB" w:rsidP="00A76ADB">
      <w:pPr>
        <w:pStyle w:val="BodyText"/>
      </w:pPr>
      <w:r>
        <w:t>Methane emissions from wastewater for the wool scouring industry are based on the outputs obtained by SCS Wetherill Environmental (unpublished) for the years up to 2000. From 2001 to 2012, the SCS estimates have been prorated against the industry’s output data and applied to the output data for these years. After 2012, the wool scouring industry used only aerobic treatment of wastewater and consequently, no emissions are reported for 2013 onwards (Beca</w:t>
      </w:r>
      <w:r w:rsidR="00E46052">
        <w:t> </w:t>
      </w:r>
      <w:r>
        <w:t>Ltd, unpublished).</w:t>
      </w:r>
    </w:p>
    <w:p w14:paraId="6B094914" w14:textId="77777777" w:rsidR="00A76ADB" w:rsidRDefault="00A76ADB" w:rsidP="00A76ADB">
      <w:pPr>
        <w:pStyle w:val="Heading5"/>
      </w:pPr>
      <w:bookmarkStart w:id="2442" w:name="dairy-processing-industry"/>
      <w:bookmarkEnd w:id="2441"/>
      <w:r>
        <w:t>Dairy processing industry</w:t>
      </w:r>
    </w:p>
    <w:p w14:paraId="5E4571E2" w14:textId="58216F5C" w:rsidR="00A76ADB" w:rsidRDefault="00A76ADB" w:rsidP="00A76ADB">
      <w:pPr>
        <w:pStyle w:val="BodyText"/>
      </w:pPr>
      <w:r>
        <w:t>The dairy processing industry predominantly uses aerobic treatment. Only one factory uses</w:t>
      </w:r>
      <w:r w:rsidR="00E46052">
        <w:t> </w:t>
      </w:r>
      <w:r>
        <w:t>anaerobic treatment. The emissions from the wastewater treatment process are recovered and most of the captured biogas (consisting of 55 per cent CH</w:t>
      </w:r>
      <w:r>
        <w:rPr>
          <w:vertAlign w:val="subscript"/>
        </w:rPr>
        <w:t>4</w:t>
      </w:r>
      <w:r>
        <w:t>) is used in boilers. The remainder is flared (Beca Infrastructure Ltd, unpublished). Emissions from the biogas recovered from the Tirau dairy processing plant (</w:t>
      </w:r>
      <w:r>
        <w:rPr>
          <w:i/>
          <w:iCs/>
        </w:rPr>
        <w:t>Industrial wastewater</w:t>
      </w:r>
      <w:r>
        <w:t xml:space="preserve">) for energy recovery are reported as ‘IE’ under the Waste sector, and actual emissions are reported in </w:t>
      </w:r>
      <w:r>
        <w:rPr>
          <w:i/>
          <w:iCs/>
        </w:rPr>
        <w:t xml:space="preserve">1.A.2.e </w:t>
      </w:r>
      <w:r w:rsidR="00E46052">
        <w:rPr>
          <w:i/>
          <w:iCs/>
        </w:rPr>
        <w:br/>
      </w:r>
      <w:r>
        <w:rPr>
          <w:i/>
          <w:iCs/>
        </w:rPr>
        <w:t>– Biomass</w:t>
      </w:r>
      <w:r>
        <w:t xml:space="preserve"> under the Energy sector.</w:t>
      </w:r>
    </w:p>
    <w:p w14:paraId="292EE16A" w14:textId="024675C0" w:rsidR="00A76ADB" w:rsidRDefault="00A76ADB" w:rsidP="00A76ADB">
      <w:pPr>
        <w:pStyle w:val="BodyText"/>
      </w:pPr>
      <w:r>
        <w:t>Nitrous oxide emissions from dairy industry wastewater are included, based on the review of methods for industrial wastewater by Cardno (</w:t>
      </w:r>
      <w:r w:rsidR="007D4876">
        <w:rPr>
          <w:rFonts w:eastAsia="Calibri"/>
        </w:rPr>
        <w:t>2015</w:t>
      </w:r>
      <w:r>
        <w:t>). Emission estimates are based on the total litres of milk processed, consistent with data reported under the Agriculture sector. The production data are then converted from litres to kilograms by multiplying by 1.031 (the weight of 1 litre of milk) for the activity data used in the emissions calculations.</w:t>
      </w:r>
    </w:p>
    <w:p w14:paraId="068A7215" w14:textId="77777777" w:rsidR="00A76ADB" w:rsidRDefault="00A76ADB" w:rsidP="00A76ADB">
      <w:pPr>
        <w:pStyle w:val="Heading5"/>
      </w:pPr>
      <w:bookmarkStart w:id="2443" w:name="leather-and-skins-industry"/>
      <w:bookmarkEnd w:id="2442"/>
      <w:r>
        <w:t>Leather and skins industry</w:t>
      </w:r>
    </w:p>
    <w:p w14:paraId="0847498D" w14:textId="12CA61B3" w:rsidR="00A76ADB" w:rsidRDefault="00A76ADB" w:rsidP="00A76ADB">
      <w:pPr>
        <w:pStyle w:val="BodyText"/>
      </w:pPr>
      <w:r>
        <w:t>Methane emissions from wastewater for the leather and skins industry, also known as tanneries and fellmongers, are based on the outputs obtained by SCS Wetherill Environmental (unpublished) for the years up to 2001. From 2002, all wastewater from the tanneries is accounted for in domestic wastewater because all tanneries now discharge to the municipal wastewater system; however, some fellmongers still use aerobic treatment (Cardno, </w:t>
      </w:r>
      <w:r w:rsidR="007C6518">
        <w:t>2015</w:t>
      </w:r>
      <w:r>
        <w:t>).</w:t>
      </w:r>
    </w:p>
    <w:p w14:paraId="31DD695C" w14:textId="77777777" w:rsidR="00A76ADB" w:rsidRDefault="00A76ADB" w:rsidP="00A76ADB">
      <w:pPr>
        <w:pStyle w:val="BodyText"/>
      </w:pPr>
      <w:r>
        <w:t>Nitrous oxide emissions from wastewater for the leather and skins industry are based on the outputs obtained by SCS Wetherill Environmental (unpublished). Emissions reduced in 2002 to account for the tanneries that discharge entirely to the domestic system.</w:t>
      </w:r>
    </w:p>
    <w:p w14:paraId="161FBEAC" w14:textId="77777777" w:rsidR="00A76ADB" w:rsidRDefault="00A76ADB" w:rsidP="00A76ADB">
      <w:pPr>
        <w:pStyle w:val="Heading4"/>
      </w:pPr>
      <w:bookmarkStart w:id="2444" w:name="choice-of-methods-3"/>
      <w:bookmarkEnd w:id="2435"/>
      <w:bookmarkEnd w:id="2443"/>
      <w:r>
        <w:t>Choice of methods</w:t>
      </w:r>
    </w:p>
    <w:p w14:paraId="5AE29490" w14:textId="77777777" w:rsidR="00A76ADB" w:rsidRDefault="00A76ADB" w:rsidP="00A76ADB">
      <w:pPr>
        <w:pStyle w:val="BodyText"/>
      </w:pPr>
      <w:r>
        <w:t>Methods used to calculate emissions from wastewater handling are summarised in table 7.5.5. For domestic wastewater, the TOW is estimated for each individual treatment plant based on the population in the district served by the plant.</w:t>
      </w:r>
    </w:p>
    <w:p w14:paraId="416A4E7A" w14:textId="77777777" w:rsidR="00A76ADB" w:rsidRDefault="00A76ADB" w:rsidP="00A76ADB">
      <w:pPr>
        <w:pStyle w:val="Table"/>
      </w:pPr>
      <w:bookmarkStart w:id="2445" w:name="_Toc99659344"/>
      <w:r>
        <w:lastRenderedPageBreak/>
        <w:t>Table 7.5.5</w:t>
      </w:r>
      <w:r>
        <w:tab/>
        <w:t>Methods used for calculating emissions from wastewater treatment</w:t>
      </w:r>
      <w:bookmarkEnd w:id="2445"/>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174"/>
        <w:gridCol w:w="479"/>
        <w:gridCol w:w="2101"/>
        <w:gridCol w:w="750"/>
        <w:gridCol w:w="3001"/>
      </w:tblGrid>
      <w:tr w:rsidR="00A76ADB" w:rsidRPr="006C0D1B" w14:paraId="36D85871" w14:textId="77777777" w:rsidTr="00CF7215">
        <w:trPr>
          <w:cantSplit/>
          <w:tblHeader/>
        </w:trPr>
        <w:tc>
          <w:tcPr>
            <w:tcW w:w="0" w:type="auto"/>
            <w:shd w:val="clear" w:color="auto" w:fill="1B556B"/>
            <w:tcMar>
              <w:top w:w="0" w:type="dxa"/>
              <w:left w:w="108" w:type="dxa"/>
              <w:bottom w:w="0" w:type="dxa"/>
              <w:right w:w="108" w:type="dxa"/>
            </w:tcMar>
          </w:tcPr>
          <w:p w14:paraId="265162F5" w14:textId="77777777" w:rsidR="00A76ADB" w:rsidRPr="006C0D1B" w:rsidRDefault="00A76ADB" w:rsidP="007E3239">
            <w:pPr>
              <w:pStyle w:val="TableTextBold"/>
              <w:rPr>
                <w:color w:val="FFFFFF"/>
              </w:rPr>
            </w:pPr>
            <w:r w:rsidRPr="006C0D1B">
              <w:rPr>
                <w:rFonts w:eastAsia="Calibri"/>
                <w:color w:val="FFFFFF"/>
              </w:rPr>
              <w:t>Emissions category</w:t>
            </w:r>
          </w:p>
        </w:tc>
        <w:tc>
          <w:tcPr>
            <w:tcW w:w="0" w:type="auto"/>
            <w:shd w:val="clear" w:color="auto" w:fill="1B556B"/>
            <w:tcMar>
              <w:top w:w="0" w:type="dxa"/>
              <w:left w:w="108" w:type="dxa"/>
              <w:bottom w:w="0" w:type="dxa"/>
              <w:right w:w="108" w:type="dxa"/>
            </w:tcMar>
          </w:tcPr>
          <w:p w14:paraId="1B4E132B" w14:textId="77777777" w:rsidR="00A76ADB" w:rsidRPr="006C0D1B" w:rsidRDefault="00A76ADB" w:rsidP="007E3239">
            <w:pPr>
              <w:pStyle w:val="TableTextBold"/>
              <w:rPr>
                <w:color w:val="FFFFFF"/>
              </w:rPr>
            </w:pPr>
            <w:r w:rsidRPr="006C0D1B">
              <w:rPr>
                <w:rFonts w:eastAsia="Calibri"/>
                <w:color w:val="FFFFFF"/>
              </w:rPr>
              <w:t>Gas</w:t>
            </w:r>
          </w:p>
        </w:tc>
        <w:tc>
          <w:tcPr>
            <w:tcW w:w="0" w:type="auto"/>
            <w:shd w:val="clear" w:color="auto" w:fill="1B556B"/>
            <w:tcMar>
              <w:top w:w="0" w:type="dxa"/>
              <w:left w:w="108" w:type="dxa"/>
              <w:bottom w:w="0" w:type="dxa"/>
              <w:right w:w="108" w:type="dxa"/>
            </w:tcMar>
          </w:tcPr>
          <w:p w14:paraId="1D421B03" w14:textId="77777777" w:rsidR="00A76ADB" w:rsidRPr="006C0D1B" w:rsidRDefault="00A76ADB" w:rsidP="007E3239">
            <w:pPr>
              <w:pStyle w:val="TableTextBold"/>
              <w:rPr>
                <w:color w:val="FFFFFF"/>
              </w:rPr>
            </w:pPr>
            <w:r w:rsidRPr="006C0D1B">
              <w:rPr>
                <w:rFonts w:eastAsia="Calibri"/>
                <w:color w:val="FFFFFF"/>
              </w:rPr>
              <w:t>Comment</w:t>
            </w:r>
          </w:p>
        </w:tc>
        <w:tc>
          <w:tcPr>
            <w:tcW w:w="0" w:type="auto"/>
            <w:shd w:val="clear" w:color="auto" w:fill="1B556B"/>
            <w:tcMar>
              <w:top w:w="0" w:type="dxa"/>
              <w:left w:w="108" w:type="dxa"/>
              <w:bottom w:w="0" w:type="dxa"/>
              <w:right w:w="108" w:type="dxa"/>
            </w:tcMar>
          </w:tcPr>
          <w:p w14:paraId="0C12F306" w14:textId="77777777" w:rsidR="00A76ADB" w:rsidRPr="006C0D1B" w:rsidRDefault="00A76ADB" w:rsidP="007E3239">
            <w:pPr>
              <w:pStyle w:val="TableTextBold"/>
              <w:rPr>
                <w:color w:val="FFFFFF"/>
              </w:rPr>
            </w:pPr>
            <w:r w:rsidRPr="006C0D1B">
              <w:rPr>
                <w:rFonts w:eastAsia="Calibri"/>
                <w:color w:val="FFFFFF"/>
              </w:rPr>
              <w:t>Method</w:t>
            </w:r>
          </w:p>
        </w:tc>
        <w:tc>
          <w:tcPr>
            <w:tcW w:w="0" w:type="auto"/>
            <w:shd w:val="clear" w:color="auto" w:fill="1B556B"/>
            <w:tcMar>
              <w:top w:w="0" w:type="dxa"/>
              <w:left w:w="108" w:type="dxa"/>
              <w:bottom w:w="0" w:type="dxa"/>
              <w:right w:w="108" w:type="dxa"/>
            </w:tcMar>
          </w:tcPr>
          <w:p w14:paraId="4E01D1BF" w14:textId="77777777" w:rsidR="00A76ADB" w:rsidRPr="006C0D1B" w:rsidRDefault="00A76ADB" w:rsidP="007E3239">
            <w:pPr>
              <w:pStyle w:val="TableTextBold"/>
              <w:rPr>
                <w:color w:val="FFFFFF"/>
              </w:rPr>
            </w:pPr>
            <w:r w:rsidRPr="006C0D1B">
              <w:rPr>
                <w:rFonts w:eastAsia="Calibri"/>
                <w:color w:val="FFFFFF"/>
              </w:rPr>
              <w:t>Source</w:t>
            </w:r>
          </w:p>
        </w:tc>
      </w:tr>
      <w:tr w:rsidR="00A76ADB" w:rsidRPr="006E1C37" w14:paraId="373C077E" w14:textId="77777777" w:rsidTr="00CF7215">
        <w:trPr>
          <w:cantSplit/>
          <w:trHeight w:val="283"/>
        </w:trPr>
        <w:tc>
          <w:tcPr>
            <w:tcW w:w="0" w:type="auto"/>
            <w:shd w:val="clear" w:color="auto" w:fill="FFFFFF"/>
            <w:tcMar>
              <w:top w:w="0" w:type="dxa"/>
              <w:left w:w="108" w:type="dxa"/>
              <w:bottom w:w="0" w:type="dxa"/>
              <w:right w:w="108" w:type="dxa"/>
            </w:tcMar>
          </w:tcPr>
          <w:p w14:paraId="24C5A88A" w14:textId="77777777" w:rsidR="00A76ADB" w:rsidRPr="006E1C37" w:rsidRDefault="00A76ADB" w:rsidP="007E3239">
            <w:pPr>
              <w:pStyle w:val="TableText"/>
            </w:pPr>
            <w:r w:rsidRPr="006E1C37">
              <w:rPr>
                <w:rFonts w:eastAsia="Calibri"/>
              </w:rPr>
              <w:t>Domestic wastewater (5.D.1)</w:t>
            </w:r>
          </w:p>
        </w:tc>
        <w:tc>
          <w:tcPr>
            <w:tcW w:w="0" w:type="auto"/>
            <w:shd w:val="clear" w:color="auto" w:fill="FFFFFF"/>
            <w:tcMar>
              <w:top w:w="0" w:type="dxa"/>
              <w:left w:w="108" w:type="dxa"/>
              <w:bottom w:w="0" w:type="dxa"/>
              <w:right w:w="108" w:type="dxa"/>
            </w:tcMar>
          </w:tcPr>
          <w:p w14:paraId="4DDF8688" w14:textId="77777777" w:rsidR="00A76ADB" w:rsidRPr="006E1C37" w:rsidRDefault="00A76ADB" w:rsidP="007E3239">
            <w:pPr>
              <w:pStyle w:val="TableText"/>
            </w:pPr>
            <w:r w:rsidRPr="006E1C37">
              <w:rPr>
                <w:rFonts w:eastAsia="Calibri"/>
              </w:rPr>
              <w:t>CH₄</w:t>
            </w:r>
          </w:p>
        </w:tc>
        <w:tc>
          <w:tcPr>
            <w:tcW w:w="0" w:type="auto"/>
            <w:shd w:val="clear" w:color="auto" w:fill="FFFFFF"/>
            <w:tcMar>
              <w:top w:w="0" w:type="dxa"/>
              <w:left w:w="108" w:type="dxa"/>
              <w:bottom w:w="0" w:type="dxa"/>
              <w:right w:w="108" w:type="dxa"/>
            </w:tcMar>
          </w:tcPr>
          <w:p w14:paraId="1338E56D" w14:textId="77777777" w:rsidR="00A76ADB" w:rsidRPr="006E1C37" w:rsidRDefault="00A76ADB" w:rsidP="007E3239">
            <w:pPr>
              <w:pStyle w:val="TableText"/>
            </w:pPr>
          </w:p>
        </w:tc>
        <w:tc>
          <w:tcPr>
            <w:tcW w:w="0" w:type="auto"/>
            <w:shd w:val="clear" w:color="auto" w:fill="FFFFFF"/>
            <w:tcMar>
              <w:top w:w="0" w:type="dxa"/>
              <w:left w:w="108" w:type="dxa"/>
              <w:bottom w:w="0" w:type="dxa"/>
              <w:right w:w="108" w:type="dxa"/>
            </w:tcMar>
          </w:tcPr>
          <w:p w14:paraId="08C64E28" w14:textId="77777777" w:rsidR="00A76ADB" w:rsidRPr="006E1C37" w:rsidRDefault="00A76ADB" w:rsidP="007E3239">
            <w:pPr>
              <w:pStyle w:val="TableText"/>
            </w:pPr>
            <w:r w:rsidRPr="006E1C37">
              <w:rPr>
                <w:rFonts w:eastAsia="Calibri"/>
              </w:rPr>
              <w:t>Tier 2</w:t>
            </w:r>
          </w:p>
        </w:tc>
        <w:tc>
          <w:tcPr>
            <w:tcW w:w="0" w:type="auto"/>
            <w:shd w:val="clear" w:color="auto" w:fill="FFFFFF"/>
            <w:tcMar>
              <w:top w:w="0" w:type="dxa"/>
              <w:left w:w="108" w:type="dxa"/>
              <w:bottom w:w="0" w:type="dxa"/>
              <w:right w:w="108" w:type="dxa"/>
            </w:tcMar>
          </w:tcPr>
          <w:p w14:paraId="3AB119EA" w14:textId="77777777" w:rsidR="00A76ADB" w:rsidRPr="006E1C37" w:rsidRDefault="00A76ADB" w:rsidP="007E3239">
            <w:pPr>
              <w:pStyle w:val="TableText"/>
            </w:pPr>
            <w:r w:rsidRPr="006E1C37">
              <w:rPr>
                <w:rFonts w:eastAsia="Calibri"/>
              </w:rPr>
              <w:t>SCS Wetherill Environmental (unpublished), Beca Infrastructure Ltd (unpublished)</w:t>
            </w:r>
          </w:p>
        </w:tc>
      </w:tr>
      <w:tr w:rsidR="00A76ADB" w:rsidRPr="006E1C37" w14:paraId="3290E431" w14:textId="77777777" w:rsidTr="00CF7215">
        <w:trPr>
          <w:cantSplit/>
          <w:trHeight w:val="283"/>
        </w:trPr>
        <w:tc>
          <w:tcPr>
            <w:tcW w:w="0" w:type="auto"/>
            <w:shd w:val="clear" w:color="auto" w:fill="FFFFFF"/>
            <w:tcMar>
              <w:top w:w="0" w:type="dxa"/>
              <w:left w:w="108" w:type="dxa"/>
              <w:bottom w:w="0" w:type="dxa"/>
              <w:right w:w="108" w:type="dxa"/>
            </w:tcMar>
          </w:tcPr>
          <w:p w14:paraId="14F82C51" w14:textId="77777777" w:rsidR="00A76ADB" w:rsidRPr="006E1C37" w:rsidRDefault="00A76ADB" w:rsidP="007E3239">
            <w:pPr>
              <w:pStyle w:val="TableText"/>
            </w:pPr>
            <w:r w:rsidRPr="006E1C37">
              <w:rPr>
                <w:rFonts w:eastAsia="Calibri"/>
              </w:rPr>
              <w:t>Domestic wastewater (5.D.1)</w:t>
            </w:r>
          </w:p>
        </w:tc>
        <w:tc>
          <w:tcPr>
            <w:tcW w:w="0" w:type="auto"/>
            <w:shd w:val="clear" w:color="auto" w:fill="FFFFFF"/>
            <w:tcMar>
              <w:top w:w="0" w:type="dxa"/>
              <w:left w:w="108" w:type="dxa"/>
              <w:bottom w:w="0" w:type="dxa"/>
              <w:right w:w="108" w:type="dxa"/>
            </w:tcMar>
          </w:tcPr>
          <w:p w14:paraId="0FC8D41B" w14:textId="77777777" w:rsidR="00A76ADB" w:rsidRPr="006E1C37" w:rsidRDefault="00A76ADB" w:rsidP="007E3239">
            <w:pPr>
              <w:pStyle w:val="TableText"/>
            </w:pPr>
            <w:r w:rsidRPr="006E1C37">
              <w:rPr>
                <w:rFonts w:eastAsia="Calibri"/>
              </w:rPr>
              <w:t>N₂O</w:t>
            </w:r>
          </w:p>
        </w:tc>
        <w:tc>
          <w:tcPr>
            <w:tcW w:w="0" w:type="auto"/>
            <w:shd w:val="clear" w:color="auto" w:fill="FFFFFF"/>
            <w:tcMar>
              <w:top w:w="0" w:type="dxa"/>
              <w:left w:w="108" w:type="dxa"/>
              <w:bottom w:w="0" w:type="dxa"/>
              <w:right w:w="108" w:type="dxa"/>
            </w:tcMar>
          </w:tcPr>
          <w:p w14:paraId="267DB786" w14:textId="77777777" w:rsidR="00A76ADB" w:rsidRPr="006E1C37" w:rsidRDefault="00A76ADB" w:rsidP="007E3239">
            <w:pPr>
              <w:pStyle w:val="TableText"/>
            </w:pPr>
            <w:r w:rsidRPr="006E1C37">
              <w:rPr>
                <w:rFonts w:eastAsia="Calibri"/>
              </w:rPr>
              <w:t>Based on average per-capita protein intake</w:t>
            </w:r>
          </w:p>
        </w:tc>
        <w:tc>
          <w:tcPr>
            <w:tcW w:w="0" w:type="auto"/>
            <w:shd w:val="clear" w:color="auto" w:fill="FFFFFF"/>
            <w:tcMar>
              <w:top w:w="0" w:type="dxa"/>
              <w:left w:w="108" w:type="dxa"/>
              <w:bottom w:w="0" w:type="dxa"/>
              <w:right w:w="108" w:type="dxa"/>
            </w:tcMar>
          </w:tcPr>
          <w:p w14:paraId="3FF64D7F" w14:textId="77777777" w:rsidR="00A76ADB" w:rsidRPr="006E1C37" w:rsidRDefault="00A76ADB" w:rsidP="007E3239">
            <w:pPr>
              <w:pStyle w:val="TableText"/>
            </w:pPr>
            <w:r w:rsidRPr="006E1C37">
              <w:rPr>
                <w:rFonts w:eastAsia="Calibri"/>
              </w:rPr>
              <w:t>Tier 1</w:t>
            </w:r>
          </w:p>
        </w:tc>
        <w:tc>
          <w:tcPr>
            <w:tcW w:w="0" w:type="auto"/>
            <w:shd w:val="clear" w:color="auto" w:fill="FFFFFF"/>
            <w:tcMar>
              <w:top w:w="0" w:type="dxa"/>
              <w:left w:w="108" w:type="dxa"/>
              <w:bottom w:w="0" w:type="dxa"/>
              <w:right w:w="108" w:type="dxa"/>
            </w:tcMar>
          </w:tcPr>
          <w:p w14:paraId="6707D55B" w14:textId="77777777" w:rsidR="00A76ADB" w:rsidRPr="006E1C37" w:rsidRDefault="00A76ADB" w:rsidP="007E3239">
            <w:pPr>
              <w:pStyle w:val="TableText"/>
            </w:pPr>
            <w:r w:rsidRPr="006E1C37">
              <w:rPr>
                <w:rFonts w:eastAsia="Calibri"/>
              </w:rPr>
              <w:t>IPCC (2006a)</w:t>
            </w:r>
          </w:p>
        </w:tc>
      </w:tr>
      <w:tr w:rsidR="00A76ADB" w:rsidRPr="006E1C37" w14:paraId="46DCF0E2" w14:textId="77777777" w:rsidTr="00CF7215">
        <w:trPr>
          <w:cantSplit/>
          <w:trHeight w:val="283"/>
        </w:trPr>
        <w:tc>
          <w:tcPr>
            <w:tcW w:w="0" w:type="auto"/>
            <w:shd w:val="clear" w:color="auto" w:fill="FFFFFF"/>
            <w:tcMar>
              <w:top w:w="0" w:type="dxa"/>
              <w:left w:w="108" w:type="dxa"/>
              <w:bottom w:w="0" w:type="dxa"/>
              <w:right w:w="108" w:type="dxa"/>
            </w:tcMar>
          </w:tcPr>
          <w:p w14:paraId="7B8F075C" w14:textId="77777777" w:rsidR="00A76ADB" w:rsidRPr="006E1C37" w:rsidRDefault="00A76ADB" w:rsidP="007E3239">
            <w:pPr>
              <w:pStyle w:val="TableText"/>
            </w:pPr>
            <w:r w:rsidRPr="006E1C37">
              <w:rPr>
                <w:rFonts w:eastAsia="Calibri"/>
              </w:rPr>
              <w:t>Industrial wastewater (5.D.2) – Meat industry</w:t>
            </w:r>
          </w:p>
        </w:tc>
        <w:tc>
          <w:tcPr>
            <w:tcW w:w="0" w:type="auto"/>
            <w:shd w:val="clear" w:color="auto" w:fill="FFFFFF"/>
            <w:tcMar>
              <w:top w:w="0" w:type="dxa"/>
              <w:left w:w="108" w:type="dxa"/>
              <w:bottom w:w="0" w:type="dxa"/>
              <w:right w:w="108" w:type="dxa"/>
            </w:tcMar>
          </w:tcPr>
          <w:p w14:paraId="391A5347" w14:textId="77777777" w:rsidR="00A76ADB" w:rsidRPr="006E1C37" w:rsidRDefault="00A76ADB" w:rsidP="007E3239">
            <w:pPr>
              <w:pStyle w:val="TableText"/>
            </w:pPr>
            <w:r w:rsidRPr="006E1C37">
              <w:rPr>
                <w:rFonts w:eastAsia="Calibri"/>
              </w:rPr>
              <w:t>CH₄</w:t>
            </w:r>
          </w:p>
        </w:tc>
        <w:tc>
          <w:tcPr>
            <w:tcW w:w="0" w:type="auto"/>
            <w:shd w:val="clear" w:color="auto" w:fill="FFFFFF"/>
            <w:tcMar>
              <w:top w:w="0" w:type="dxa"/>
              <w:left w:w="108" w:type="dxa"/>
              <w:bottom w:w="0" w:type="dxa"/>
              <w:right w:w="108" w:type="dxa"/>
            </w:tcMar>
          </w:tcPr>
          <w:p w14:paraId="41F99233" w14:textId="77777777" w:rsidR="00A76ADB" w:rsidRPr="006E1C37" w:rsidRDefault="00A76ADB" w:rsidP="007E3239">
            <w:pPr>
              <w:pStyle w:val="TableText"/>
            </w:pPr>
          </w:p>
        </w:tc>
        <w:tc>
          <w:tcPr>
            <w:tcW w:w="0" w:type="auto"/>
            <w:shd w:val="clear" w:color="auto" w:fill="FFFFFF"/>
            <w:tcMar>
              <w:top w:w="0" w:type="dxa"/>
              <w:left w:w="108" w:type="dxa"/>
              <w:bottom w:w="0" w:type="dxa"/>
              <w:right w:w="108" w:type="dxa"/>
            </w:tcMar>
          </w:tcPr>
          <w:p w14:paraId="1E6A8C57" w14:textId="77777777" w:rsidR="00A76ADB" w:rsidRPr="006E1C37" w:rsidRDefault="00A76ADB" w:rsidP="007E3239">
            <w:pPr>
              <w:pStyle w:val="TableText"/>
            </w:pPr>
            <w:r w:rsidRPr="006E1C37">
              <w:rPr>
                <w:rFonts w:eastAsia="Calibri"/>
              </w:rPr>
              <w:t>Tier 1</w:t>
            </w:r>
          </w:p>
        </w:tc>
        <w:tc>
          <w:tcPr>
            <w:tcW w:w="0" w:type="auto"/>
            <w:shd w:val="clear" w:color="auto" w:fill="FFFFFF"/>
            <w:tcMar>
              <w:top w:w="0" w:type="dxa"/>
              <w:left w:w="108" w:type="dxa"/>
              <w:bottom w:w="0" w:type="dxa"/>
              <w:right w:w="108" w:type="dxa"/>
            </w:tcMar>
          </w:tcPr>
          <w:p w14:paraId="7896A8F6" w14:textId="77777777" w:rsidR="00A76ADB" w:rsidRPr="006E1C37" w:rsidRDefault="00A76ADB" w:rsidP="007E3239">
            <w:pPr>
              <w:pStyle w:val="TableText"/>
            </w:pPr>
            <w:r w:rsidRPr="006E1C37">
              <w:rPr>
                <w:rFonts w:eastAsia="Calibri"/>
              </w:rPr>
              <w:t>IPCC (2006a)</w:t>
            </w:r>
          </w:p>
        </w:tc>
      </w:tr>
      <w:tr w:rsidR="00A76ADB" w:rsidRPr="006E1C37" w14:paraId="58CFF0B7" w14:textId="77777777" w:rsidTr="00CF7215">
        <w:trPr>
          <w:cantSplit/>
          <w:trHeight w:val="283"/>
        </w:trPr>
        <w:tc>
          <w:tcPr>
            <w:tcW w:w="0" w:type="auto"/>
            <w:shd w:val="clear" w:color="auto" w:fill="FFFFFF"/>
            <w:tcMar>
              <w:top w:w="0" w:type="dxa"/>
              <w:left w:w="108" w:type="dxa"/>
              <w:bottom w:w="0" w:type="dxa"/>
              <w:right w:w="108" w:type="dxa"/>
            </w:tcMar>
          </w:tcPr>
          <w:p w14:paraId="2511F056" w14:textId="77777777" w:rsidR="00A76ADB" w:rsidRPr="006E1C37" w:rsidRDefault="00A76ADB" w:rsidP="007E3239">
            <w:pPr>
              <w:pStyle w:val="TableText"/>
            </w:pPr>
            <w:r w:rsidRPr="006E1C37">
              <w:rPr>
                <w:rFonts w:eastAsia="Calibri"/>
              </w:rPr>
              <w:t>Industrial wastewater (5.D.2) – Pulp and paper industry</w:t>
            </w:r>
          </w:p>
        </w:tc>
        <w:tc>
          <w:tcPr>
            <w:tcW w:w="0" w:type="auto"/>
            <w:shd w:val="clear" w:color="auto" w:fill="FFFFFF"/>
            <w:tcMar>
              <w:top w:w="0" w:type="dxa"/>
              <w:left w:w="108" w:type="dxa"/>
              <w:bottom w:w="0" w:type="dxa"/>
              <w:right w:w="108" w:type="dxa"/>
            </w:tcMar>
          </w:tcPr>
          <w:p w14:paraId="3C3DCBBD" w14:textId="77777777" w:rsidR="00A76ADB" w:rsidRPr="006E1C37" w:rsidRDefault="00A76ADB" w:rsidP="007E3239">
            <w:pPr>
              <w:pStyle w:val="TableText"/>
            </w:pPr>
            <w:r w:rsidRPr="006E1C37">
              <w:rPr>
                <w:rFonts w:eastAsia="Calibri"/>
              </w:rPr>
              <w:t>CH₄</w:t>
            </w:r>
          </w:p>
        </w:tc>
        <w:tc>
          <w:tcPr>
            <w:tcW w:w="0" w:type="auto"/>
            <w:shd w:val="clear" w:color="auto" w:fill="FFFFFF"/>
            <w:tcMar>
              <w:top w:w="0" w:type="dxa"/>
              <w:left w:w="108" w:type="dxa"/>
              <w:bottom w:w="0" w:type="dxa"/>
              <w:right w:w="108" w:type="dxa"/>
            </w:tcMar>
          </w:tcPr>
          <w:p w14:paraId="29BDE9DA" w14:textId="77777777" w:rsidR="00A76ADB" w:rsidRPr="006E1C37" w:rsidRDefault="00A76ADB" w:rsidP="007E3239">
            <w:pPr>
              <w:pStyle w:val="TableText"/>
            </w:pPr>
          </w:p>
        </w:tc>
        <w:tc>
          <w:tcPr>
            <w:tcW w:w="0" w:type="auto"/>
            <w:shd w:val="clear" w:color="auto" w:fill="FFFFFF"/>
            <w:tcMar>
              <w:top w:w="0" w:type="dxa"/>
              <w:left w:w="108" w:type="dxa"/>
              <w:bottom w:w="0" w:type="dxa"/>
              <w:right w:w="108" w:type="dxa"/>
            </w:tcMar>
          </w:tcPr>
          <w:p w14:paraId="75C12204" w14:textId="77777777" w:rsidR="00A76ADB" w:rsidRPr="006E1C37" w:rsidRDefault="00A76ADB" w:rsidP="007E3239">
            <w:pPr>
              <w:pStyle w:val="TableText"/>
            </w:pPr>
            <w:r w:rsidRPr="006E1C37">
              <w:rPr>
                <w:rFonts w:eastAsia="Calibri"/>
              </w:rPr>
              <w:t>Tier 1</w:t>
            </w:r>
          </w:p>
        </w:tc>
        <w:tc>
          <w:tcPr>
            <w:tcW w:w="0" w:type="auto"/>
            <w:shd w:val="clear" w:color="auto" w:fill="FFFFFF"/>
            <w:tcMar>
              <w:top w:w="0" w:type="dxa"/>
              <w:left w:w="108" w:type="dxa"/>
              <w:bottom w:w="0" w:type="dxa"/>
              <w:right w:w="108" w:type="dxa"/>
            </w:tcMar>
          </w:tcPr>
          <w:p w14:paraId="0D42DAC8" w14:textId="77777777" w:rsidR="00A76ADB" w:rsidRPr="006E1C37" w:rsidRDefault="00A76ADB" w:rsidP="007E3239">
            <w:pPr>
              <w:pStyle w:val="TableText"/>
            </w:pPr>
            <w:r w:rsidRPr="006E1C37">
              <w:rPr>
                <w:rFonts w:eastAsia="Calibri"/>
              </w:rPr>
              <w:t>IPCC (2006a)</w:t>
            </w:r>
          </w:p>
        </w:tc>
      </w:tr>
      <w:tr w:rsidR="00A76ADB" w:rsidRPr="006E1C37" w14:paraId="785F7FDE" w14:textId="77777777" w:rsidTr="00CF7215">
        <w:trPr>
          <w:cantSplit/>
          <w:trHeight w:val="283"/>
        </w:trPr>
        <w:tc>
          <w:tcPr>
            <w:tcW w:w="0" w:type="auto"/>
            <w:shd w:val="clear" w:color="auto" w:fill="FFFFFF"/>
            <w:tcMar>
              <w:top w:w="0" w:type="dxa"/>
              <w:left w:w="108" w:type="dxa"/>
              <w:bottom w:w="0" w:type="dxa"/>
              <w:right w:w="108" w:type="dxa"/>
            </w:tcMar>
          </w:tcPr>
          <w:p w14:paraId="3C526FF3" w14:textId="77777777" w:rsidR="00A76ADB" w:rsidRPr="006E1C37" w:rsidRDefault="00A76ADB" w:rsidP="007E3239">
            <w:pPr>
              <w:pStyle w:val="TableText"/>
            </w:pPr>
            <w:r w:rsidRPr="006E1C37">
              <w:rPr>
                <w:rFonts w:eastAsia="Calibri"/>
              </w:rPr>
              <w:t>Industrial wastewater (5.D.2) – Wine industry</w:t>
            </w:r>
          </w:p>
        </w:tc>
        <w:tc>
          <w:tcPr>
            <w:tcW w:w="0" w:type="auto"/>
            <w:shd w:val="clear" w:color="auto" w:fill="FFFFFF"/>
            <w:tcMar>
              <w:top w:w="0" w:type="dxa"/>
              <w:left w:w="108" w:type="dxa"/>
              <w:bottom w:w="0" w:type="dxa"/>
              <w:right w:w="108" w:type="dxa"/>
            </w:tcMar>
          </w:tcPr>
          <w:p w14:paraId="419DA474" w14:textId="77777777" w:rsidR="00A76ADB" w:rsidRPr="006E1C37" w:rsidRDefault="00A76ADB" w:rsidP="007E3239">
            <w:pPr>
              <w:pStyle w:val="TableText"/>
            </w:pPr>
            <w:r w:rsidRPr="006E1C37">
              <w:rPr>
                <w:rFonts w:eastAsia="Calibri"/>
              </w:rPr>
              <w:t>CH₄</w:t>
            </w:r>
          </w:p>
        </w:tc>
        <w:tc>
          <w:tcPr>
            <w:tcW w:w="0" w:type="auto"/>
            <w:shd w:val="clear" w:color="auto" w:fill="FFFFFF"/>
            <w:tcMar>
              <w:top w:w="0" w:type="dxa"/>
              <w:left w:w="108" w:type="dxa"/>
              <w:bottom w:w="0" w:type="dxa"/>
              <w:right w:w="108" w:type="dxa"/>
            </w:tcMar>
          </w:tcPr>
          <w:p w14:paraId="57BAD48D" w14:textId="77777777" w:rsidR="00A76ADB" w:rsidRPr="006E1C37" w:rsidRDefault="00A76ADB" w:rsidP="007E3239">
            <w:pPr>
              <w:pStyle w:val="TableText"/>
            </w:pPr>
          </w:p>
        </w:tc>
        <w:tc>
          <w:tcPr>
            <w:tcW w:w="0" w:type="auto"/>
            <w:shd w:val="clear" w:color="auto" w:fill="FFFFFF"/>
            <w:tcMar>
              <w:top w:w="0" w:type="dxa"/>
              <w:left w:w="108" w:type="dxa"/>
              <w:bottom w:w="0" w:type="dxa"/>
              <w:right w:w="108" w:type="dxa"/>
            </w:tcMar>
          </w:tcPr>
          <w:p w14:paraId="3578F9F8" w14:textId="77777777" w:rsidR="00A76ADB" w:rsidRPr="006E1C37" w:rsidRDefault="00A76ADB" w:rsidP="007E3239">
            <w:pPr>
              <w:pStyle w:val="TableText"/>
            </w:pPr>
            <w:r w:rsidRPr="006E1C37">
              <w:rPr>
                <w:rFonts w:eastAsia="Calibri"/>
              </w:rPr>
              <w:t>Tier 2</w:t>
            </w:r>
          </w:p>
        </w:tc>
        <w:tc>
          <w:tcPr>
            <w:tcW w:w="0" w:type="auto"/>
            <w:shd w:val="clear" w:color="auto" w:fill="FFFFFF"/>
            <w:tcMar>
              <w:top w:w="0" w:type="dxa"/>
              <w:left w:w="108" w:type="dxa"/>
              <w:bottom w:w="0" w:type="dxa"/>
              <w:right w:w="108" w:type="dxa"/>
            </w:tcMar>
          </w:tcPr>
          <w:p w14:paraId="7D1A6346" w14:textId="77777777" w:rsidR="00A76ADB" w:rsidRPr="006E1C37" w:rsidRDefault="00A76ADB" w:rsidP="007E3239">
            <w:pPr>
              <w:pStyle w:val="TableText"/>
            </w:pPr>
            <w:r w:rsidRPr="006E1C37">
              <w:rPr>
                <w:rFonts w:eastAsia="Calibri"/>
              </w:rPr>
              <w:t>Beca Ltd (unpublished)</w:t>
            </w:r>
          </w:p>
        </w:tc>
      </w:tr>
      <w:tr w:rsidR="00A76ADB" w:rsidRPr="006E1C37" w14:paraId="57B3B9F1" w14:textId="77777777" w:rsidTr="00CF7215">
        <w:trPr>
          <w:cantSplit/>
          <w:trHeight w:val="283"/>
        </w:trPr>
        <w:tc>
          <w:tcPr>
            <w:tcW w:w="0" w:type="auto"/>
            <w:shd w:val="clear" w:color="auto" w:fill="FFFFFF"/>
            <w:tcMar>
              <w:top w:w="0" w:type="dxa"/>
              <w:left w:w="108" w:type="dxa"/>
              <w:bottom w:w="0" w:type="dxa"/>
              <w:right w:w="108" w:type="dxa"/>
            </w:tcMar>
          </w:tcPr>
          <w:p w14:paraId="02B96934" w14:textId="77777777" w:rsidR="00A76ADB" w:rsidRPr="006E1C37" w:rsidRDefault="00A76ADB" w:rsidP="007E3239">
            <w:pPr>
              <w:pStyle w:val="TableText"/>
            </w:pPr>
            <w:r w:rsidRPr="006E1C37">
              <w:rPr>
                <w:rFonts w:eastAsia="Calibri"/>
              </w:rPr>
              <w:t>Industrial wastewater (5.D.2) – Wool scouring industry</w:t>
            </w:r>
          </w:p>
        </w:tc>
        <w:tc>
          <w:tcPr>
            <w:tcW w:w="0" w:type="auto"/>
            <w:shd w:val="clear" w:color="auto" w:fill="FFFFFF"/>
            <w:tcMar>
              <w:top w:w="0" w:type="dxa"/>
              <w:left w:w="108" w:type="dxa"/>
              <w:bottom w:w="0" w:type="dxa"/>
              <w:right w:w="108" w:type="dxa"/>
            </w:tcMar>
          </w:tcPr>
          <w:p w14:paraId="1E05A59E" w14:textId="77777777" w:rsidR="00A76ADB" w:rsidRPr="006E1C37" w:rsidRDefault="00A76ADB" w:rsidP="007E3239">
            <w:pPr>
              <w:pStyle w:val="TableText"/>
            </w:pPr>
            <w:r w:rsidRPr="006E1C37">
              <w:rPr>
                <w:rFonts w:eastAsia="Calibri"/>
              </w:rPr>
              <w:t>CH₄</w:t>
            </w:r>
          </w:p>
        </w:tc>
        <w:tc>
          <w:tcPr>
            <w:tcW w:w="0" w:type="auto"/>
            <w:shd w:val="clear" w:color="auto" w:fill="FFFFFF"/>
            <w:tcMar>
              <w:top w:w="0" w:type="dxa"/>
              <w:left w:w="108" w:type="dxa"/>
              <w:bottom w:w="0" w:type="dxa"/>
              <w:right w:w="108" w:type="dxa"/>
            </w:tcMar>
          </w:tcPr>
          <w:p w14:paraId="59AF5AF1" w14:textId="77777777" w:rsidR="00A76ADB" w:rsidRPr="006E1C37" w:rsidRDefault="00A76ADB" w:rsidP="007E3239">
            <w:pPr>
              <w:pStyle w:val="TableText"/>
            </w:pPr>
          </w:p>
        </w:tc>
        <w:tc>
          <w:tcPr>
            <w:tcW w:w="0" w:type="auto"/>
            <w:shd w:val="clear" w:color="auto" w:fill="FFFFFF"/>
            <w:tcMar>
              <w:top w:w="0" w:type="dxa"/>
              <w:left w:w="108" w:type="dxa"/>
              <w:bottom w:w="0" w:type="dxa"/>
              <w:right w:w="108" w:type="dxa"/>
            </w:tcMar>
          </w:tcPr>
          <w:p w14:paraId="3740B767" w14:textId="77777777" w:rsidR="00A76ADB" w:rsidRPr="006E1C37" w:rsidRDefault="00A76ADB" w:rsidP="007E3239">
            <w:pPr>
              <w:pStyle w:val="TableText"/>
            </w:pPr>
            <w:r w:rsidRPr="006E1C37">
              <w:rPr>
                <w:rFonts w:eastAsia="Calibri"/>
              </w:rPr>
              <w:t>Tier 1</w:t>
            </w:r>
          </w:p>
        </w:tc>
        <w:tc>
          <w:tcPr>
            <w:tcW w:w="0" w:type="auto"/>
            <w:shd w:val="clear" w:color="auto" w:fill="FFFFFF"/>
            <w:tcMar>
              <w:top w:w="0" w:type="dxa"/>
              <w:left w:w="108" w:type="dxa"/>
              <w:bottom w:w="0" w:type="dxa"/>
              <w:right w:w="108" w:type="dxa"/>
            </w:tcMar>
          </w:tcPr>
          <w:p w14:paraId="48C8BAD1" w14:textId="77777777" w:rsidR="00A76ADB" w:rsidRPr="006E1C37" w:rsidRDefault="00A76ADB" w:rsidP="007E3239">
            <w:pPr>
              <w:pStyle w:val="TableText"/>
            </w:pPr>
            <w:r w:rsidRPr="006E1C37">
              <w:rPr>
                <w:rFonts w:eastAsia="Calibri"/>
              </w:rPr>
              <w:t>IPCC (2006a)</w:t>
            </w:r>
          </w:p>
        </w:tc>
      </w:tr>
      <w:tr w:rsidR="00A76ADB" w:rsidRPr="006E1C37" w14:paraId="08418883" w14:textId="77777777" w:rsidTr="00CF7215">
        <w:trPr>
          <w:cantSplit/>
          <w:trHeight w:val="283"/>
        </w:trPr>
        <w:tc>
          <w:tcPr>
            <w:tcW w:w="0" w:type="auto"/>
            <w:shd w:val="clear" w:color="auto" w:fill="FFFFFF"/>
            <w:tcMar>
              <w:top w:w="0" w:type="dxa"/>
              <w:left w:w="108" w:type="dxa"/>
              <w:bottom w:w="0" w:type="dxa"/>
              <w:right w:w="108" w:type="dxa"/>
            </w:tcMar>
          </w:tcPr>
          <w:p w14:paraId="24F14079" w14:textId="77777777" w:rsidR="00A76ADB" w:rsidRPr="006E1C37" w:rsidRDefault="00A76ADB" w:rsidP="007E3239">
            <w:pPr>
              <w:pStyle w:val="TableText"/>
            </w:pPr>
            <w:r w:rsidRPr="006E1C37">
              <w:rPr>
                <w:rFonts w:eastAsia="Calibri"/>
              </w:rPr>
              <w:t>Industrial wastewater (5.D.2)</w:t>
            </w:r>
          </w:p>
        </w:tc>
        <w:tc>
          <w:tcPr>
            <w:tcW w:w="0" w:type="auto"/>
            <w:shd w:val="clear" w:color="auto" w:fill="FFFFFF"/>
            <w:tcMar>
              <w:top w:w="0" w:type="dxa"/>
              <w:left w:w="108" w:type="dxa"/>
              <w:bottom w:w="0" w:type="dxa"/>
              <w:right w:w="108" w:type="dxa"/>
            </w:tcMar>
          </w:tcPr>
          <w:p w14:paraId="56432757" w14:textId="77777777" w:rsidR="00A76ADB" w:rsidRPr="006E1C37" w:rsidRDefault="00A76ADB" w:rsidP="007E3239">
            <w:pPr>
              <w:pStyle w:val="TableText"/>
            </w:pPr>
            <w:r w:rsidRPr="006E1C37">
              <w:rPr>
                <w:rFonts w:eastAsia="Calibri"/>
              </w:rPr>
              <w:t>N₂O</w:t>
            </w:r>
          </w:p>
        </w:tc>
        <w:tc>
          <w:tcPr>
            <w:tcW w:w="0" w:type="auto"/>
            <w:shd w:val="clear" w:color="auto" w:fill="FFFFFF"/>
            <w:tcMar>
              <w:top w:w="0" w:type="dxa"/>
              <w:left w:w="108" w:type="dxa"/>
              <w:bottom w:w="0" w:type="dxa"/>
              <w:right w:w="108" w:type="dxa"/>
            </w:tcMar>
          </w:tcPr>
          <w:p w14:paraId="69491616" w14:textId="77777777" w:rsidR="00A76ADB" w:rsidRPr="006E1C37" w:rsidRDefault="00A76ADB" w:rsidP="007E3239">
            <w:pPr>
              <w:pStyle w:val="TableText"/>
            </w:pPr>
            <w:r w:rsidRPr="006E1C37">
              <w:rPr>
                <w:rFonts w:eastAsia="Calibri"/>
              </w:rPr>
              <w:t>Based on chemical oxygen demand from CH</w:t>
            </w:r>
            <w:r w:rsidRPr="00D810F6">
              <w:rPr>
                <w:rFonts w:eastAsia="Calibri"/>
                <w:vertAlign w:val="subscript"/>
              </w:rPr>
              <w:t>4</w:t>
            </w:r>
            <w:r w:rsidRPr="006E1C37">
              <w:rPr>
                <w:rFonts w:eastAsia="Calibri"/>
              </w:rPr>
              <w:t xml:space="preserve"> emissions</w:t>
            </w:r>
          </w:p>
        </w:tc>
        <w:tc>
          <w:tcPr>
            <w:tcW w:w="0" w:type="auto"/>
            <w:shd w:val="clear" w:color="auto" w:fill="FFFFFF"/>
            <w:tcMar>
              <w:top w:w="0" w:type="dxa"/>
              <w:left w:w="108" w:type="dxa"/>
              <w:bottom w:w="0" w:type="dxa"/>
              <w:right w:w="108" w:type="dxa"/>
            </w:tcMar>
          </w:tcPr>
          <w:p w14:paraId="33E12FE5" w14:textId="77777777" w:rsidR="00A76ADB" w:rsidRPr="006E1C37" w:rsidRDefault="00A76ADB" w:rsidP="007E3239">
            <w:pPr>
              <w:pStyle w:val="TableText"/>
            </w:pPr>
            <w:r w:rsidRPr="006E1C37">
              <w:rPr>
                <w:rFonts w:eastAsia="Calibri"/>
              </w:rPr>
              <w:t>Tier 2</w:t>
            </w:r>
          </w:p>
        </w:tc>
        <w:tc>
          <w:tcPr>
            <w:tcW w:w="0" w:type="auto"/>
            <w:shd w:val="clear" w:color="auto" w:fill="FFFFFF"/>
            <w:tcMar>
              <w:top w:w="0" w:type="dxa"/>
              <w:left w:w="108" w:type="dxa"/>
              <w:bottom w:w="0" w:type="dxa"/>
              <w:right w:w="108" w:type="dxa"/>
            </w:tcMar>
          </w:tcPr>
          <w:p w14:paraId="60F73F3A" w14:textId="5526583C" w:rsidR="00A76ADB" w:rsidRPr="006E1C37" w:rsidRDefault="00A76ADB" w:rsidP="007E3239">
            <w:pPr>
              <w:pStyle w:val="TableText"/>
            </w:pPr>
            <w:r w:rsidRPr="006E1C37">
              <w:rPr>
                <w:rFonts w:eastAsia="Calibri"/>
              </w:rPr>
              <w:t>Cardno (</w:t>
            </w:r>
            <w:r w:rsidR="00C51EAB">
              <w:rPr>
                <w:rFonts w:eastAsia="Calibri"/>
              </w:rPr>
              <w:t>2015</w:t>
            </w:r>
            <w:r w:rsidRPr="006E1C37">
              <w:rPr>
                <w:rFonts w:eastAsia="Calibri"/>
              </w:rPr>
              <w:t>)</w:t>
            </w:r>
          </w:p>
        </w:tc>
      </w:tr>
    </w:tbl>
    <w:p w14:paraId="551EC768" w14:textId="77777777" w:rsidR="00A76ADB" w:rsidRDefault="00A76ADB" w:rsidP="00A76ADB">
      <w:pPr>
        <w:pStyle w:val="Heading5"/>
        <w:spacing w:before="360"/>
      </w:pPr>
      <w:bookmarkStart w:id="2446" w:name="wine-industry-1"/>
      <w:r>
        <w:t>Wine industry</w:t>
      </w:r>
    </w:p>
    <w:p w14:paraId="18D4B501" w14:textId="77777777" w:rsidR="00A76ADB" w:rsidRDefault="00A76ADB" w:rsidP="00A76ADB">
      <w:pPr>
        <w:pStyle w:val="BodyText"/>
      </w:pPr>
      <w:r>
        <w:t>A Tier 2 approach is used to estimate emissions from the wine industry. Information on the wastewater treatment practices of the industry was obtained from a survey (Beca Ltd, unpublished). Default values from the 2006 IPCC Guidelines (IPCC, 2006a) are used where New Zealand-specific information is not available.</w:t>
      </w:r>
    </w:p>
    <w:p w14:paraId="3330A122" w14:textId="77777777" w:rsidR="00A76ADB" w:rsidRDefault="00A76ADB" w:rsidP="00A76ADB">
      <w:pPr>
        <w:pStyle w:val="Heading5"/>
      </w:pPr>
      <w:bookmarkStart w:id="2447" w:name="nitrous-oxide-emissions"/>
      <w:bookmarkEnd w:id="2446"/>
      <w:r>
        <w:t>Nitrous oxide emissions</w:t>
      </w:r>
    </w:p>
    <w:p w14:paraId="6BA270E9" w14:textId="77777777" w:rsidR="00A76ADB" w:rsidRDefault="00A76ADB" w:rsidP="00A76ADB">
      <w:pPr>
        <w:pStyle w:val="BodyText"/>
      </w:pPr>
      <w:r>
        <w:t>Direct emissions of N</w:t>
      </w:r>
      <w:r>
        <w:rPr>
          <w:vertAlign w:val="subscript"/>
        </w:rPr>
        <w:t>2</w:t>
      </w:r>
      <w:r>
        <w:t>O from domestic wastewater plants are typically minor and only occur in advanced centralised treatment plants. Good practice guidelines (IPCC, 2006a) advise that the estimation of direct N</w:t>
      </w:r>
      <w:r>
        <w:rPr>
          <w:vertAlign w:val="subscript"/>
        </w:rPr>
        <w:t>2</w:t>
      </w:r>
      <w:r>
        <w:t>O emissions is only necessary where advanced centralised treatment plants account for a major proportion of wastewater treatment. Although one wastewater treatment plant in Auckland serves about a million people, direct N</w:t>
      </w:r>
      <w:r>
        <w:rPr>
          <w:vertAlign w:val="subscript"/>
        </w:rPr>
        <w:t>2</w:t>
      </w:r>
      <w:r>
        <w:t>O emissions are not estimated because they are likely to be small.</w:t>
      </w:r>
    </w:p>
    <w:p w14:paraId="51D2997F" w14:textId="77777777" w:rsidR="00A76ADB" w:rsidRDefault="00A76ADB" w:rsidP="00A76ADB">
      <w:pPr>
        <w:pStyle w:val="BodyText"/>
      </w:pPr>
      <w:r>
        <w:t>However, indirect emissions of N</w:t>
      </w:r>
      <w:r>
        <w:rPr>
          <w:vertAlign w:val="subscript"/>
        </w:rPr>
        <w:t>2</w:t>
      </w:r>
      <w:r>
        <w:t>O may occur after disposal of effluent into waterways, lakes or the ocean. New Zealand reports indirect emissions of N</w:t>
      </w:r>
      <w:r>
        <w:rPr>
          <w:vertAlign w:val="subscript"/>
        </w:rPr>
        <w:t>2</w:t>
      </w:r>
      <w:r>
        <w:t>O from domestic wastewater.</w:t>
      </w:r>
    </w:p>
    <w:p w14:paraId="17578AE9" w14:textId="77777777" w:rsidR="00A76ADB" w:rsidRDefault="00A76ADB" w:rsidP="00A76ADB">
      <w:pPr>
        <w:pStyle w:val="BodyText"/>
      </w:pPr>
      <w:r>
        <w:t>The 2006 IPCC Guidelines (IPCC, 2006a) indicate that, compared with domestic wastewater, the N</w:t>
      </w:r>
      <w:r>
        <w:rPr>
          <w:vertAlign w:val="subscript"/>
        </w:rPr>
        <w:t>2</w:t>
      </w:r>
      <w:r>
        <w:t>O emissions from industrial wastewater are believed to be insignificant. Yet in New Zealand these emissions have greater significance, because the meat and dairy processing industries produce nitrogen-rich wastewaters.</w:t>
      </w:r>
    </w:p>
    <w:p w14:paraId="1478C418" w14:textId="77777777" w:rsidR="00A76ADB" w:rsidRDefault="00A76ADB" w:rsidP="00A76ADB">
      <w:pPr>
        <w:pStyle w:val="BodyText"/>
      </w:pPr>
      <w:r>
        <w:t>The IPCC does not provide a method for calculating N</w:t>
      </w:r>
      <w:r>
        <w:rPr>
          <w:vertAlign w:val="subscript"/>
        </w:rPr>
        <w:t>2</w:t>
      </w:r>
      <w:r>
        <w:t>O emissions from industrial wastewater and, consequently, a New Zealand-derived method has been applied. The total nitrogen load is calculated by adopting the COD load as determined in calculating CH</w:t>
      </w:r>
      <w:r>
        <w:rPr>
          <w:vertAlign w:val="subscript"/>
        </w:rPr>
        <w:t>4</w:t>
      </w:r>
      <w:r>
        <w:t xml:space="preserve"> emissions from the same wastewater, and using an estimated ratio of COD to nitrogen in the wastewater for each of the different producers in the meat, dairy processing and leather and skins industries.</w:t>
      </w:r>
    </w:p>
    <w:p w14:paraId="78079014" w14:textId="77777777" w:rsidR="00A76ADB" w:rsidRDefault="00A76ADB" w:rsidP="00A76ADB">
      <w:pPr>
        <w:pStyle w:val="Heading4"/>
      </w:pPr>
      <w:bookmarkStart w:id="2448" w:name="choice-of-emission-factors-2"/>
      <w:bookmarkEnd w:id="2444"/>
      <w:bookmarkEnd w:id="2447"/>
      <w:r>
        <w:lastRenderedPageBreak/>
        <w:t>Choice of emission factors</w:t>
      </w:r>
    </w:p>
    <w:p w14:paraId="552F346B" w14:textId="77777777" w:rsidR="00A76ADB" w:rsidRDefault="00A76ADB" w:rsidP="00A76ADB">
      <w:pPr>
        <w:pStyle w:val="Heading5"/>
        <w:spacing w:before="180"/>
      </w:pPr>
      <w:bookmarkStart w:id="2449" w:name="domestic-wastewater-5.d.1-2"/>
      <w:r>
        <w:t>Domestic wastewater (5.D.1)</w:t>
      </w:r>
    </w:p>
    <w:p w14:paraId="0EFACF1B" w14:textId="77777777" w:rsidR="00A76ADB" w:rsidRDefault="00A76ADB" w:rsidP="00A76ADB">
      <w:pPr>
        <w:pStyle w:val="Heading6"/>
        <w:spacing w:before="160"/>
      </w:pPr>
      <w:bookmarkStart w:id="2450" w:name="Xd5583ba6d1cbf8baf7c106a7a0a3d02cb92bd05"/>
      <w:r>
        <w:t>Methane emissions from domestic wastewater treatment</w:t>
      </w:r>
    </w:p>
    <w:p w14:paraId="46E7F74E" w14:textId="77777777" w:rsidR="00A76ADB" w:rsidRDefault="00A76ADB" w:rsidP="00A76ADB">
      <w:pPr>
        <w:pStyle w:val="BodyText"/>
      </w:pPr>
      <w:r>
        <w:t>Table 7.5.6 summarises the parameter values applied for estimating CH</w:t>
      </w:r>
      <w:r>
        <w:rPr>
          <w:vertAlign w:val="subscript"/>
        </w:rPr>
        <w:t>4</w:t>
      </w:r>
      <w:r>
        <w:t xml:space="preserve"> emissions from domestic wastewater treatment.</w:t>
      </w:r>
    </w:p>
    <w:p w14:paraId="4C074387" w14:textId="77777777" w:rsidR="00A76ADB" w:rsidRDefault="00A76ADB" w:rsidP="00A76ADB">
      <w:pPr>
        <w:pStyle w:val="Table"/>
      </w:pPr>
      <w:bookmarkStart w:id="2451" w:name="_Toc99659345"/>
      <w:r>
        <w:t>Table 7.5.6</w:t>
      </w:r>
      <w:r>
        <w:tab/>
        <w:t>Parameter values applied by New Zealand for estimating methane emissions for domestic wastewater treatment</w:t>
      </w:r>
      <w:bookmarkEnd w:id="2451"/>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35"/>
        <w:gridCol w:w="1799"/>
        <w:gridCol w:w="1603"/>
        <w:gridCol w:w="2268"/>
      </w:tblGrid>
      <w:tr w:rsidR="00A76ADB" w:rsidRPr="006C0D1B" w14:paraId="4FB04BB9" w14:textId="77777777" w:rsidTr="00CF7215">
        <w:trPr>
          <w:cantSplit/>
          <w:tblHeader/>
        </w:trPr>
        <w:tc>
          <w:tcPr>
            <w:tcW w:w="2835" w:type="dxa"/>
            <w:shd w:val="clear" w:color="auto" w:fill="1B556B"/>
            <w:tcMar>
              <w:top w:w="0" w:type="dxa"/>
              <w:left w:w="108" w:type="dxa"/>
              <w:bottom w:w="0" w:type="dxa"/>
              <w:right w:w="108" w:type="dxa"/>
            </w:tcMar>
          </w:tcPr>
          <w:p w14:paraId="4DB663DD" w14:textId="77777777" w:rsidR="00A76ADB" w:rsidRPr="006C0D1B" w:rsidRDefault="00A76ADB" w:rsidP="007E3239">
            <w:pPr>
              <w:pStyle w:val="TableTextBold"/>
              <w:spacing w:before="40" w:after="40"/>
              <w:rPr>
                <w:color w:val="FFFFFF"/>
              </w:rPr>
            </w:pPr>
            <w:r w:rsidRPr="006C0D1B">
              <w:rPr>
                <w:rFonts w:eastAsia="Calibri"/>
                <w:color w:val="FFFFFF"/>
              </w:rPr>
              <w:t>Parameter</w:t>
            </w:r>
          </w:p>
        </w:tc>
        <w:tc>
          <w:tcPr>
            <w:tcW w:w="1799" w:type="dxa"/>
            <w:shd w:val="clear" w:color="auto" w:fill="1B556B"/>
            <w:tcMar>
              <w:top w:w="0" w:type="dxa"/>
              <w:left w:w="108" w:type="dxa"/>
              <w:bottom w:w="0" w:type="dxa"/>
              <w:right w:w="108" w:type="dxa"/>
            </w:tcMar>
          </w:tcPr>
          <w:p w14:paraId="6921FC9C" w14:textId="77777777" w:rsidR="00A76ADB" w:rsidRPr="006C0D1B" w:rsidRDefault="00A76ADB" w:rsidP="007E3239">
            <w:pPr>
              <w:pStyle w:val="TableTextBold"/>
              <w:spacing w:before="40" w:after="40"/>
              <w:rPr>
                <w:color w:val="FFFFFF"/>
              </w:rPr>
            </w:pPr>
            <w:r w:rsidRPr="006C0D1B">
              <w:rPr>
                <w:rFonts w:eastAsia="Calibri"/>
                <w:color w:val="FFFFFF"/>
              </w:rPr>
              <w:t>Value</w:t>
            </w:r>
          </w:p>
        </w:tc>
        <w:tc>
          <w:tcPr>
            <w:tcW w:w="1603" w:type="dxa"/>
            <w:shd w:val="clear" w:color="auto" w:fill="1B556B"/>
            <w:tcMar>
              <w:top w:w="0" w:type="dxa"/>
              <w:left w:w="108" w:type="dxa"/>
              <w:bottom w:w="0" w:type="dxa"/>
              <w:right w:w="108" w:type="dxa"/>
            </w:tcMar>
          </w:tcPr>
          <w:p w14:paraId="57E4D904" w14:textId="77777777" w:rsidR="00A76ADB" w:rsidRPr="006C0D1B" w:rsidRDefault="00A76ADB" w:rsidP="007E3239">
            <w:pPr>
              <w:pStyle w:val="TableTextBold"/>
              <w:spacing w:before="40" w:after="40"/>
              <w:rPr>
                <w:color w:val="FFFFFF"/>
              </w:rPr>
            </w:pPr>
            <w:r w:rsidRPr="006C0D1B">
              <w:rPr>
                <w:rFonts w:eastAsia="Calibri"/>
                <w:color w:val="FFFFFF"/>
              </w:rPr>
              <w:t>Source</w:t>
            </w:r>
          </w:p>
        </w:tc>
        <w:tc>
          <w:tcPr>
            <w:tcW w:w="2268" w:type="dxa"/>
            <w:shd w:val="clear" w:color="auto" w:fill="1B556B"/>
            <w:tcMar>
              <w:top w:w="0" w:type="dxa"/>
              <w:left w:w="108" w:type="dxa"/>
              <w:bottom w:w="0" w:type="dxa"/>
              <w:right w:w="108" w:type="dxa"/>
            </w:tcMar>
          </w:tcPr>
          <w:p w14:paraId="01666153" w14:textId="77777777" w:rsidR="00A76ADB" w:rsidRPr="006C0D1B" w:rsidRDefault="00A76ADB" w:rsidP="007E3239">
            <w:pPr>
              <w:pStyle w:val="TableTextBold"/>
              <w:spacing w:before="40" w:after="40"/>
              <w:rPr>
                <w:color w:val="FFFFFF"/>
              </w:rPr>
            </w:pPr>
            <w:r w:rsidRPr="006C0D1B">
              <w:rPr>
                <w:rFonts w:eastAsia="Calibri"/>
                <w:color w:val="FFFFFF"/>
              </w:rPr>
              <w:t>Reference</w:t>
            </w:r>
          </w:p>
        </w:tc>
      </w:tr>
      <w:tr w:rsidR="00A76ADB" w14:paraId="4A32AA2E" w14:textId="77777777" w:rsidTr="00CF7215">
        <w:trPr>
          <w:cantSplit/>
          <w:trHeight w:val="283"/>
        </w:trPr>
        <w:tc>
          <w:tcPr>
            <w:tcW w:w="2835" w:type="dxa"/>
            <w:shd w:val="clear" w:color="auto" w:fill="FFFFFF"/>
            <w:tcMar>
              <w:top w:w="0" w:type="dxa"/>
              <w:left w:w="108" w:type="dxa"/>
              <w:bottom w:w="0" w:type="dxa"/>
              <w:right w:w="108" w:type="dxa"/>
            </w:tcMar>
          </w:tcPr>
          <w:p w14:paraId="3955D63E" w14:textId="77777777" w:rsidR="00A76ADB" w:rsidRDefault="00A76ADB" w:rsidP="007E3239">
            <w:pPr>
              <w:pStyle w:val="TableText"/>
              <w:spacing w:before="40" w:after="40"/>
            </w:pPr>
            <w:r>
              <w:rPr>
                <w:rFonts w:eastAsia="Calibri"/>
              </w:rPr>
              <w:t>Methane correction factors</w:t>
            </w:r>
          </w:p>
        </w:tc>
        <w:tc>
          <w:tcPr>
            <w:tcW w:w="1799" w:type="dxa"/>
            <w:shd w:val="clear" w:color="auto" w:fill="FFFFFF"/>
            <w:tcMar>
              <w:top w:w="0" w:type="dxa"/>
              <w:left w:w="108" w:type="dxa"/>
              <w:bottom w:w="0" w:type="dxa"/>
              <w:right w:w="108" w:type="dxa"/>
            </w:tcMar>
          </w:tcPr>
          <w:p w14:paraId="2D08EC41" w14:textId="77777777" w:rsidR="00A76ADB" w:rsidRDefault="00A76ADB" w:rsidP="007E3239">
            <w:pPr>
              <w:pStyle w:val="TableText"/>
              <w:spacing w:before="40" w:after="40"/>
            </w:pPr>
          </w:p>
        </w:tc>
        <w:tc>
          <w:tcPr>
            <w:tcW w:w="1603" w:type="dxa"/>
            <w:shd w:val="clear" w:color="auto" w:fill="FFFFFF"/>
            <w:tcMar>
              <w:top w:w="0" w:type="dxa"/>
              <w:left w:w="108" w:type="dxa"/>
              <w:bottom w:w="0" w:type="dxa"/>
              <w:right w:w="108" w:type="dxa"/>
            </w:tcMar>
          </w:tcPr>
          <w:p w14:paraId="4A5C4A63" w14:textId="77777777" w:rsidR="00A76ADB" w:rsidRDefault="00A76ADB" w:rsidP="007E3239">
            <w:pPr>
              <w:pStyle w:val="TableText"/>
              <w:spacing w:before="40" w:after="40"/>
            </w:pPr>
          </w:p>
        </w:tc>
        <w:tc>
          <w:tcPr>
            <w:tcW w:w="2268" w:type="dxa"/>
            <w:shd w:val="clear" w:color="auto" w:fill="FFFFFF"/>
            <w:tcMar>
              <w:top w:w="0" w:type="dxa"/>
              <w:left w:w="108" w:type="dxa"/>
              <w:bottom w:w="0" w:type="dxa"/>
              <w:right w:w="108" w:type="dxa"/>
            </w:tcMar>
          </w:tcPr>
          <w:p w14:paraId="519E8A76" w14:textId="77777777" w:rsidR="00A76ADB" w:rsidRDefault="00A76ADB" w:rsidP="007E3239">
            <w:pPr>
              <w:pStyle w:val="TableText"/>
              <w:spacing w:before="40" w:after="40"/>
            </w:pPr>
          </w:p>
        </w:tc>
      </w:tr>
      <w:tr w:rsidR="00A76ADB" w14:paraId="44DB163A" w14:textId="77777777" w:rsidTr="00CF7215">
        <w:trPr>
          <w:cantSplit/>
          <w:trHeight w:val="283"/>
        </w:trPr>
        <w:tc>
          <w:tcPr>
            <w:tcW w:w="2835" w:type="dxa"/>
            <w:shd w:val="clear" w:color="auto" w:fill="FFFFFF"/>
            <w:tcMar>
              <w:top w:w="0" w:type="dxa"/>
              <w:left w:w="108" w:type="dxa"/>
              <w:bottom w:w="0" w:type="dxa"/>
              <w:right w:w="108" w:type="dxa"/>
            </w:tcMar>
          </w:tcPr>
          <w:p w14:paraId="14B79456" w14:textId="77777777" w:rsidR="00A76ADB" w:rsidRDefault="00A76ADB" w:rsidP="007E3239">
            <w:pPr>
              <w:pStyle w:val="TableText"/>
              <w:spacing w:before="40" w:after="40"/>
            </w:pPr>
            <w:r>
              <w:rPr>
                <w:rFonts w:eastAsia="Calibri"/>
              </w:rPr>
              <w:t>Handling systems methane correction factor</w:t>
            </w:r>
          </w:p>
        </w:tc>
        <w:tc>
          <w:tcPr>
            <w:tcW w:w="1799" w:type="dxa"/>
            <w:shd w:val="clear" w:color="auto" w:fill="FFFFFF"/>
            <w:tcMar>
              <w:top w:w="0" w:type="dxa"/>
              <w:left w:w="108" w:type="dxa"/>
              <w:bottom w:w="0" w:type="dxa"/>
              <w:right w:w="108" w:type="dxa"/>
            </w:tcMar>
          </w:tcPr>
          <w:p w14:paraId="61C250C0" w14:textId="77777777" w:rsidR="00A76ADB" w:rsidRDefault="00A76ADB" w:rsidP="007E3239">
            <w:pPr>
              <w:pStyle w:val="TableText"/>
              <w:spacing w:before="40" w:after="40"/>
            </w:pPr>
            <w:r>
              <w:rPr>
                <w:rFonts w:eastAsia="Calibri"/>
              </w:rPr>
              <w:t>Range of 0–0.65</w:t>
            </w:r>
          </w:p>
        </w:tc>
        <w:tc>
          <w:tcPr>
            <w:tcW w:w="1603" w:type="dxa"/>
            <w:shd w:val="clear" w:color="auto" w:fill="FFFFFF"/>
            <w:tcMar>
              <w:top w:w="0" w:type="dxa"/>
              <w:left w:w="108" w:type="dxa"/>
              <w:bottom w:w="0" w:type="dxa"/>
              <w:right w:w="108" w:type="dxa"/>
            </w:tcMar>
          </w:tcPr>
          <w:p w14:paraId="76A0C7B7" w14:textId="77777777" w:rsidR="00A76ADB" w:rsidRDefault="00A76ADB" w:rsidP="007E3239">
            <w:pPr>
              <w:pStyle w:val="TableText"/>
              <w:spacing w:before="40" w:after="40"/>
            </w:pPr>
            <w:r>
              <w:rPr>
                <w:rFonts w:eastAsia="Calibri"/>
              </w:rPr>
              <w:t>New Zealand specific</w:t>
            </w:r>
          </w:p>
        </w:tc>
        <w:tc>
          <w:tcPr>
            <w:tcW w:w="2268" w:type="dxa"/>
            <w:shd w:val="clear" w:color="auto" w:fill="FFFFFF"/>
            <w:tcMar>
              <w:top w:w="0" w:type="dxa"/>
              <w:left w:w="108" w:type="dxa"/>
              <w:bottom w:w="0" w:type="dxa"/>
              <w:right w:w="108" w:type="dxa"/>
            </w:tcMar>
          </w:tcPr>
          <w:p w14:paraId="111A9BE3" w14:textId="77777777" w:rsidR="00A76ADB" w:rsidRDefault="00A76ADB" w:rsidP="007E3239">
            <w:pPr>
              <w:pStyle w:val="TableText"/>
              <w:spacing w:before="40" w:after="40"/>
            </w:pPr>
            <w:r>
              <w:rPr>
                <w:rFonts w:eastAsia="Calibri"/>
              </w:rPr>
              <w:t>SCS Wetherill Environmental (unpublished)</w:t>
            </w:r>
          </w:p>
        </w:tc>
      </w:tr>
      <w:tr w:rsidR="00A76ADB" w14:paraId="0F85AF1C" w14:textId="77777777" w:rsidTr="00CF7215">
        <w:trPr>
          <w:cantSplit/>
          <w:trHeight w:val="283"/>
        </w:trPr>
        <w:tc>
          <w:tcPr>
            <w:tcW w:w="2835" w:type="dxa"/>
            <w:shd w:val="clear" w:color="auto" w:fill="FFFFFF"/>
            <w:tcMar>
              <w:top w:w="0" w:type="dxa"/>
              <w:left w:w="108" w:type="dxa"/>
              <w:bottom w:w="0" w:type="dxa"/>
              <w:right w:w="108" w:type="dxa"/>
            </w:tcMar>
          </w:tcPr>
          <w:p w14:paraId="23F082D8" w14:textId="77777777" w:rsidR="00A76ADB" w:rsidRDefault="00A76ADB" w:rsidP="007E3239">
            <w:pPr>
              <w:pStyle w:val="TableText"/>
              <w:spacing w:before="40" w:after="40"/>
            </w:pPr>
            <w:r>
              <w:rPr>
                <w:rFonts w:eastAsia="Calibri"/>
              </w:rPr>
              <w:t>Aggregated methane correction factor</w:t>
            </w:r>
          </w:p>
        </w:tc>
        <w:tc>
          <w:tcPr>
            <w:tcW w:w="1799" w:type="dxa"/>
            <w:shd w:val="clear" w:color="auto" w:fill="FFFFFF"/>
            <w:tcMar>
              <w:top w:w="0" w:type="dxa"/>
              <w:left w:w="108" w:type="dxa"/>
              <w:bottom w:w="0" w:type="dxa"/>
              <w:right w:w="108" w:type="dxa"/>
            </w:tcMar>
          </w:tcPr>
          <w:p w14:paraId="5CD84ECA" w14:textId="77777777" w:rsidR="00A76ADB" w:rsidRDefault="00A76ADB" w:rsidP="007E3239">
            <w:pPr>
              <w:pStyle w:val="TableText"/>
              <w:spacing w:before="40" w:after="40"/>
            </w:pPr>
            <w:r>
              <w:rPr>
                <w:rFonts w:eastAsia="Calibri"/>
              </w:rPr>
              <w:t>Range of 0.032–0.043</w:t>
            </w:r>
          </w:p>
        </w:tc>
        <w:tc>
          <w:tcPr>
            <w:tcW w:w="1603" w:type="dxa"/>
            <w:shd w:val="clear" w:color="auto" w:fill="FFFFFF"/>
            <w:tcMar>
              <w:top w:w="0" w:type="dxa"/>
              <w:left w:w="108" w:type="dxa"/>
              <w:bottom w:w="0" w:type="dxa"/>
              <w:right w:w="108" w:type="dxa"/>
            </w:tcMar>
          </w:tcPr>
          <w:p w14:paraId="71538FAB" w14:textId="77777777" w:rsidR="00A76ADB" w:rsidRDefault="00A76ADB" w:rsidP="007E3239">
            <w:pPr>
              <w:pStyle w:val="TableText"/>
              <w:spacing w:before="40" w:after="40"/>
            </w:pPr>
            <w:r>
              <w:rPr>
                <w:rFonts w:eastAsia="Calibri"/>
              </w:rPr>
              <w:t>New Zealand specific</w:t>
            </w:r>
          </w:p>
        </w:tc>
        <w:tc>
          <w:tcPr>
            <w:tcW w:w="2268" w:type="dxa"/>
            <w:shd w:val="clear" w:color="auto" w:fill="FFFFFF"/>
            <w:tcMar>
              <w:top w:w="0" w:type="dxa"/>
              <w:left w:w="108" w:type="dxa"/>
              <w:bottom w:w="0" w:type="dxa"/>
              <w:right w:w="108" w:type="dxa"/>
            </w:tcMar>
          </w:tcPr>
          <w:p w14:paraId="2DBB8FBA" w14:textId="77777777" w:rsidR="00A76ADB" w:rsidRDefault="00A76ADB" w:rsidP="007E3239">
            <w:pPr>
              <w:pStyle w:val="TableText"/>
              <w:spacing w:before="40" w:after="40"/>
            </w:pPr>
            <w:r>
              <w:rPr>
                <w:rFonts w:eastAsia="Calibri"/>
              </w:rPr>
              <w:t>SCS Wetherill Environmental (unpublished)</w:t>
            </w:r>
          </w:p>
        </w:tc>
      </w:tr>
      <w:tr w:rsidR="00A76ADB" w14:paraId="6D7916D7" w14:textId="77777777" w:rsidTr="00CF7215">
        <w:trPr>
          <w:cantSplit/>
          <w:trHeight w:val="283"/>
        </w:trPr>
        <w:tc>
          <w:tcPr>
            <w:tcW w:w="2835" w:type="dxa"/>
            <w:shd w:val="clear" w:color="auto" w:fill="FFFFFF"/>
            <w:tcMar>
              <w:top w:w="0" w:type="dxa"/>
              <w:left w:w="108" w:type="dxa"/>
              <w:bottom w:w="0" w:type="dxa"/>
              <w:right w:w="108" w:type="dxa"/>
            </w:tcMar>
          </w:tcPr>
          <w:p w14:paraId="169B852A" w14:textId="77777777" w:rsidR="00A76ADB" w:rsidRDefault="00A76ADB" w:rsidP="007E3239">
            <w:pPr>
              <w:pStyle w:val="TableText"/>
              <w:spacing w:before="40" w:after="40"/>
            </w:pPr>
            <w:r>
              <w:rPr>
                <w:rFonts w:eastAsia="Calibri"/>
              </w:rPr>
              <w:t>BOD (kg BOD/person/year)</w:t>
            </w:r>
          </w:p>
        </w:tc>
        <w:tc>
          <w:tcPr>
            <w:tcW w:w="1799" w:type="dxa"/>
            <w:shd w:val="clear" w:color="auto" w:fill="FFFFFF"/>
            <w:tcMar>
              <w:top w:w="0" w:type="dxa"/>
              <w:left w:w="108" w:type="dxa"/>
              <w:bottom w:w="0" w:type="dxa"/>
              <w:right w:w="108" w:type="dxa"/>
            </w:tcMar>
          </w:tcPr>
          <w:p w14:paraId="67505461" w14:textId="77777777" w:rsidR="00A76ADB" w:rsidRDefault="00A76ADB" w:rsidP="007E3239">
            <w:pPr>
              <w:pStyle w:val="TableText"/>
              <w:spacing w:before="40" w:after="40"/>
            </w:pPr>
            <w:r>
              <w:rPr>
                <w:rFonts w:eastAsia="Calibri"/>
              </w:rPr>
              <w:t>26</w:t>
            </w:r>
          </w:p>
        </w:tc>
        <w:tc>
          <w:tcPr>
            <w:tcW w:w="1603" w:type="dxa"/>
            <w:shd w:val="clear" w:color="auto" w:fill="FFFFFF"/>
            <w:tcMar>
              <w:top w:w="0" w:type="dxa"/>
              <w:left w:w="108" w:type="dxa"/>
              <w:bottom w:w="0" w:type="dxa"/>
              <w:right w:w="108" w:type="dxa"/>
            </w:tcMar>
          </w:tcPr>
          <w:p w14:paraId="0FC1E8F4" w14:textId="77777777" w:rsidR="00A76ADB" w:rsidRDefault="00A76ADB" w:rsidP="007E3239">
            <w:pPr>
              <w:pStyle w:val="TableText"/>
              <w:spacing w:before="40" w:after="40"/>
            </w:pPr>
            <w:r>
              <w:rPr>
                <w:rFonts w:eastAsia="Calibri"/>
              </w:rPr>
              <w:t>New Zealand specific</w:t>
            </w:r>
          </w:p>
        </w:tc>
        <w:tc>
          <w:tcPr>
            <w:tcW w:w="2268" w:type="dxa"/>
            <w:shd w:val="clear" w:color="auto" w:fill="FFFFFF"/>
            <w:tcMar>
              <w:top w:w="0" w:type="dxa"/>
              <w:left w:w="108" w:type="dxa"/>
              <w:bottom w:w="0" w:type="dxa"/>
              <w:right w:w="108" w:type="dxa"/>
            </w:tcMar>
          </w:tcPr>
          <w:p w14:paraId="1D1298B5" w14:textId="77777777" w:rsidR="00A76ADB" w:rsidRDefault="00A76ADB" w:rsidP="007E3239">
            <w:pPr>
              <w:pStyle w:val="TableText"/>
              <w:spacing w:before="40" w:after="40"/>
            </w:pPr>
            <w:r>
              <w:rPr>
                <w:rFonts w:eastAsia="Calibri"/>
              </w:rPr>
              <w:t>Beca Infrastructure Ltd (unpublished)</w:t>
            </w:r>
          </w:p>
        </w:tc>
      </w:tr>
      <w:tr w:rsidR="00A76ADB" w14:paraId="10FB8154" w14:textId="77777777" w:rsidTr="00CF7215">
        <w:trPr>
          <w:cantSplit/>
          <w:trHeight w:val="283"/>
        </w:trPr>
        <w:tc>
          <w:tcPr>
            <w:tcW w:w="2835" w:type="dxa"/>
            <w:shd w:val="clear" w:color="auto" w:fill="FFFFFF"/>
            <w:tcMar>
              <w:top w:w="0" w:type="dxa"/>
              <w:left w:w="108" w:type="dxa"/>
              <w:bottom w:w="0" w:type="dxa"/>
              <w:right w:w="108" w:type="dxa"/>
            </w:tcMar>
          </w:tcPr>
          <w:p w14:paraId="596E340F" w14:textId="77777777" w:rsidR="00A76ADB" w:rsidRDefault="00A76ADB" w:rsidP="007E3239">
            <w:pPr>
              <w:pStyle w:val="TableText"/>
              <w:spacing w:before="40" w:after="40"/>
            </w:pPr>
            <w:r>
              <w:rPr>
                <w:rFonts w:eastAsia="Calibri"/>
              </w:rPr>
              <w:t>Correction factor for BOD</w:t>
            </w:r>
          </w:p>
        </w:tc>
        <w:tc>
          <w:tcPr>
            <w:tcW w:w="1799" w:type="dxa"/>
            <w:shd w:val="clear" w:color="auto" w:fill="FFFFFF"/>
            <w:tcMar>
              <w:top w:w="0" w:type="dxa"/>
              <w:left w:w="108" w:type="dxa"/>
              <w:bottom w:w="0" w:type="dxa"/>
              <w:right w:w="108" w:type="dxa"/>
            </w:tcMar>
          </w:tcPr>
          <w:p w14:paraId="73D00A53" w14:textId="77777777" w:rsidR="00A76ADB" w:rsidRDefault="00A76ADB" w:rsidP="007E3239">
            <w:pPr>
              <w:pStyle w:val="TableText"/>
              <w:spacing w:before="40" w:after="40"/>
            </w:pPr>
            <w:r>
              <w:rPr>
                <w:rFonts w:eastAsia="Calibri"/>
              </w:rPr>
              <w:t>Range of 1.0–14.9</w:t>
            </w:r>
          </w:p>
        </w:tc>
        <w:tc>
          <w:tcPr>
            <w:tcW w:w="1603" w:type="dxa"/>
            <w:shd w:val="clear" w:color="auto" w:fill="FFFFFF"/>
            <w:tcMar>
              <w:top w:w="0" w:type="dxa"/>
              <w:left w:w="108" w:type="dxa"/>
              <w:bottom w:w="0" w:type="dxa"/>
              <w:right w:w="108" w:type="dxa"/>
            </w:tcMar>
          </w:tcPr>
          <w:p w14:paraId="0F28FB0E" w14:textId="77777777" w:rsidR="00A76ADB" w:rsidRDefault="00A76ADB" w:rsidP="007E3239">
            <w:pPr>
              <w:pStyle w:val="TableText"/>
              <w:spacing w:before="40" w:after="40"/>
            </w:pPr>
            <w:r>
              <w:rPr>
                <w:rFonts w:eastAsia="Calibri"/>
              </w:rPr>
              <w:t>New Zealand specific</w:t>
            </w:r>
          </w:p>
        </w:tc>
        <w:tc>
          <w:tcPr>
            <w:tcW w:w="2268" w:type="dxa"/>
            <w:shd w:val="clear" w:color="auto" w:fill="FFFFFF"/>
            <w:tcMar>
              <w:top w:w="0" w:type="dxa"/>
              <w:left w:w="108" w:type="dxa"/>
              <w:bottom w:w="0" w:type="dxa"/>
              <w:right w:w="108" w:type="dxa"/>
            </w:tcMar>
          </w:tcPr>
          <w:p w14:paraId="323406F4" w14:textId="77777777" w:rsidR="00A76ADB" w:rsidRDefault="00A76ADB" w:rsidP="007E3239">
            <w:pPr>
              <w:pStyle w:val="TableText"/>
              <w:spacing w:before="40" w:after="40"/>
            </w:pPr>
            <w:r>
              <w:rPr>
                <w:rFonts w:eastAsia="Calibri"/>
              </w:rPr>
              <w:t>Beca Infrastructure Ltd (unpublished)</w:t>
            </w:r>
          </w:p>
        </w:tc>
      </w:tr>
      <w:tr w:rsidR="00A76ADB" w14:paraId="557090A8" w14:textId="77777777" w:rsidTr="00CF7215">
        <w:trPr>
          <w:cantSplit/>
          <w:trHeight w:val="283"/>
        </w:trPr>
        <w:tc>
          <w:tcPr>
            <w:tcW w:w="2835" w:type="dxa"/>
            <w:shd w:val="clear" w:color="auto" w:fill="FFFFFF"/>
            <w:tcMar>
              <w:top w:w="0" w:type="dxa"/>
              <w:left w:w="108" w:type="dxa"/>
              <w:bottom w:w="0" w:type="dxa"/>
              <w:right w:w="108" w:type="dxa"/>
            </w:tcMar>
          </w:tcPr>
          <w:p w14:paraId="1B9D4052" w14:textId="77777777" w:rsidR="00A76ADB" w:rsidRDefault="00A76ADB" w:rsidP="007E3239">
            <w:pPr>
              <w:pStyle w:val="TableText"/>
              <w:spacing w:before="40" w:after="40"/>
            </w:pPr>
            <w:r>
              <w:rPr>
                <w:rFonts w:eastAsia="Calibri"/>
              </w:rPr>
              <w:t>Maximum methane-producing capacity (kg CH₄/kg BOD)</w:t>
            </w:r>
          </w:p>
        </w:tc>
        <w:tc>
          <w:tcPr>
            <w:tcW w:w="1799" w:type="dxa"/>
            <w:shd w:val="clear" w:color="auto" w:fill="FFFFFF"/>
            <w:tcMar>
              <w:top w:w="0" w:type="dxa"/>
              <w:left w:w="108" w:type="dxa"/>
              <w:bottom w:w="0" w:type="dxa"/>
              <w:right w:w="108" w:type="dxa"/>
            </w:tcMar>
          </w:tcPr>
          <w:p w14:paraId="7AB9443B" w14:textId="77777777" w:rsidR="00A76ADB" w:rsidRDefault="00A76ADB" w:rsidP="007E3239">
            <w:pPr>
              <w:pStyle w:val="TableText"/>
              <w:spacing w:before="40" w:after="40"/>
            </w:pPr>
            <w:r>
              <w:rPr>
                <w:rFonts w:eastAsia="Calibri"/>
              </w:rPr>
              <w:t>0.625</w:t>
            </w:r>
          </w:p>
        </w:tc>
        <w:tc>
          <w:tcPr>
            <w:tcW w:w="1603" w:type="dxa"/>
            <w:shd w:val="clear" w:color="auto" w:fill="FFFFFF"/>
            <w:tcMar>
              <w:top w:w="0" w:type="dxa"/>
              <w:left w:w="108" w:type="dxa"/>
              <w:bottom w:w="0" w:type="dxa"/>
              <w:right w:w="108" w:type="dxa"/>
            </w:tcMar>
          </w:tcPr>
          <w:p w14:paraId="307B7F59" w14:textId="77777777" w:rsidR="00A76ADB" w:rsidRDefault="00A76ADB" w:rsidP="007E3239">
            <w:pPr>
              <w:pStyle w:val="TableText"/>
              <w:spacing w:before="40" w:after="40"/>
            </w:pPr>
            <w:r>
              <w:rPr>
                <w:rFonts w:eastAsia="Calibri"/>
              </w:rPr>
              <w:t>New Zealand specific</w:t>
            </w:r>
          </w:p>
        </w:tc>
        <w:tc>
          <w:tcPr>
            <w:tcW w:w="2268" w:type="dxa"/>
            <w:shd w:val="clear" w:color="auto" w:fill="FFFFFF"/>
            <w:tcMar>
              <w:top w:w="0" w:type="dxa"/>
              <w:left w:w="108" w:type="dxa"/>
              <w:bottom w:w="0" w:type="dxa"/>
              <w:right w:w="108" w:type="dxa"/>
            </w:tcMar>
          </w:tcPr>
          <w:p w14:paraId="0CD1532D" w14:textId="77777777" w:rsidR="00A76ADB" w:rsidRDefault="00A76ADB" w:rsidP="007E3239">
            <w:pPr>
              <w:pStyle w:val="TableText"/>
              <w:spacing w:before="40" w:after="40"/>
            </w:pPr>
            <w:r>
              <w:rPr>
                <w:rFonts w:eastAsia="Calibri"/>
              </w:rPr>
              <w:t>SCS Wetherill Environmental (unpublished)</w:t>
            </w:r>
          </w:p>
        </w:tc>
      </w:tr>
    </w:tbl>
    <w:p w14:paraId="5A6A566B" w14:textId="77777777" w:rsidR="00A76ADB" w:rsidRDefault="00A76ADB" w:rsidP="00A76ADB">
      <w:pPr>
        <w:pStyle w:val="Noteundertable"/>
      </w:pPr>
      <w:r>
        <w:rPr>
          <w:b/>
          <w:bCs/>
        </w:rPr>
        <w:t>Note:</w:t>
      </w:r>
      <w:r w:rsidRPr="001515DA">
        <w:t xml:space="preserve"> </w:t>
      </w:r>
      <w:r>
        <w:tab/>
        <w:t>BOD = biochemical oxygen demand.</w:t>
      </w:r>
    </w:p>
    <w:p w14:paraId="3C823B76" w14:textId="77777777" w:rsidR="00A76ADB" w:rsidRDefault="00A76ADB" w:rsidP="00A76ADB">
      <w:pPr>
        <w:pStyle w:val="Heading6"/>
      </w:pPr>
      <w:bookmarkStart w:id="2452" w:name="X698e3d1972339c976269d4c73c660df246dc4e1"/>
      <w:bookmarkEnd w:id="2450"/>
      <w:r>
        <w:t>Methane correction factors for handling systems</w:t>
      </w:r>
    </w:p>
    <w:p w14:paraId="6B2FE99E" w14:textId="77777777" w:rsidR="00A76ADB" w:rsidRDefault="00A76ADB" w:rsidP="00A76ADB">
      <w:pPr>
        <w:pStyle w:val="BodyText"/>
        <w:spacing w:before="100" w:after="100"/>
      </w:pPr>
      <w:r>
        <w:t>Methane correction factors for the different handling systems in New Zealand were estimated by SCS Wetherill Environmental (unpublished). These factors range from zero up to 0.65 for the different types of anaerobic treatment. The different treatment types are added together, weighted by the population for each type of treatment, to give an aggregated CH</w:t>
      </w:r>
      <w:r>
        <w:rPr>
          <w:vertAlign w:val="subscript"/>
        </w:rPr>
        <w:t>4</w:t>
      </w:r>
      <w:r>
        <w:t xml:space="preserve"> correction factor ranging between 0.032 and 0.043. Table 7.5.2 shows the aggregate CH</w:t>
      </w:r>
      <w:r>
        <w:rPr>
          <w:vertAlign w:val="subscript"/>
        </w:rPr>
        <w:t>4</w:t>
      </w:r>
      <w:r>
        <w:t xml:space="preserve"> correction factor applied across the time series.</w:t>
      </w:r>
    </w:p>
    <w:p w14:paraId="282244BE" w14:textId="77777777" w:rsidR="00A76ADB" w:rsidRDefault="00A76ADB" w:rsidP="00A76ADB">
      <w:pPr>
        <w:pStyle w:val="Heading6"/>
      </w:pPr>
      <w:bookmarkStart w:id="2453" w:name="adjustments-to-biochemical-oxygen-demand"/>
      <w:bookmarkEnd w:id="2452"/>
      <w:r>
        <w:t>Adjustments to biochemical oxygen demand</w:t>
      </w:r>
    </w:p>
    <w:p w14:paraId="45B3E7B1" w14:textId="77777777" w:rsidR="00A76ADB" w:rsidRDefault="00A76ADB" w:rsidP="00A76ADB">
      <w:pPr>
        <w:pStyle w:val="BodyText"/>
        <w:spacing w:before="100" w:after="100"/>
      </w:pPr>
      <w:r>
        <w:t>New Zealand uses a value of 26 kilograms biochemical oxygen demand (BOD) per person per year. This is equivalent to the IPCC high-range default value for the Oceania region of about 70 grams per person per day (IPCC, 2006a). This value has been determined as a typical value for wastewater treatment methods adopted in New Zealand (Beca Infrastructure Ltd, unpublished).</w:t>
      </w:r>
    </w:p>
    <w:p w14:paraId="21CC53C2" w14:textId="77777777" w:rsidR="00A76ADB" w:rsidRDefault="00A76ADB" w:rsidP="00A76ADB">
      <w:pPr>
        <w:pStyle w:val="BodyText"/>
        <w:spacing w:before="100" w:after="100"/>
      </w:pPr>
      <w:r>
        <w:t>This value has been increased by 25 per cent for most treatment plants, to allow for the additional wastewater that they take from commercial and industrial activity within the municipal area. Ten of the treatment plants have been identified as accepting much larger amounts of industrial and/or commercial wastewater. The correction factor for BOD for these plants ranges from 77 per cent to 1,390 per cent above the amount of domestic wastewater (Beca Infrastructure Ltd, unpublished). No adjustment to the BOD is made for septic tanks.</w:t>
      </w:r>
    </w:p>
    <w:p w14:paraId="36B606E1" w14:textId="77777777" w:rsidR="00A76ADB" w:rsidRDefault="00A76ADB" w:rsidP="00A76ADB">
      <w:pPr>
        <w:pStyle w:val="Heading6"/>
      </w:pPr>
      <w:bookmarkStart w:id="2454" w:name="recovery"/>
      <w:bookmarkEnd w:id="2453"/>
      <w:r>
        <w:t>Recovery</w:t>
      </w:r>
    </w:p>
    <w:p w14:paraId="0032B192" w14:textId="77777777" w:rsidR="00A76ADB" w:rsidRDefault="00A76ADB" w:rsidP="00A76ADB">
      <w:pPr>
        <w:pStyle w:val="BodyText"/>
        <w:spacing w:before="100" w:after="100"/>
      </w:pPr>
      <w:r>
        <w:t>Methane removal via flaring or for energy production is known to occur at eight plants in New Zealand. All CH</w:t>
      </w:r>
      <w:r>
        <w:rPr>
          <w:vertAlign w:val="subscript"/>
        </w:rPr>
        <w:t>4</w:t>
      </w:r>
      <w:r>
        <w:t xml:space="preserve"> generated at these plants is flared or used for energy production and, consequently, there are no reported CH</w:t>
      </w:r>
      <w:r>
        <w:rPr>
          <w:vertAlign w:val="subscript"/>
        </w:rPr>
        <w:t>4</w:t>
      </w:r>
      <w:r>
        <w:t xml:space="preserve"> emissions for those plants (Beca Infrastructure Ltd, unpublished).</w:t>
      </w:r>
    </w:p>
    <w:p w14:paraId="33D2DA9F" w14:textId="77777777" w:rsidR="00A76ADB" w:rsidRDefault="00A76ADB" w:rsidP="00A76ADB">
      <w:pPr>
        <w:pStyle w:val="Heading5"/>
      </w:pPr>
      <w:bookmarkStart w:id="2455" w:name="X6df5e7359f7d9ea7bbeae025ed840ba1935ac6e"/>
      <w:bookmarkEnd w:id="2449"/>
      <w:bookmarkEnd w:id="2454"/>
      <w:r>
        <w:lastRenderedPageBreak/>
        <w:t>Nitrous oxide emissions from domestic wastewater</w:t>
      </w:r>
    </w:p>
    <w:p w14:paraId="3B19E286" w14:textId="77777777" w:rsidR="00A76ADB" w:rsidRDefault="00A76ADB" w:rsidP="00A76ADB">
      <w:pPr>
        <w:pStyle w:val="BodyText"/>
      </w:pPr>
      <w:r>
        <w:t>Table 7.5.7 summarises the parameter values applied for estimating N</w:t>
      </w:r>
      <w:r>
        <w:rPr>
          <w:vertAlign w:val="subscript"/>
        </w:rPr>
        <w:t>2</w:t>
      </w:r>
      <w:r>
        <w:t>O emissions from domestic and commercial wastewater treatment.</w:t>
      </w:r>
    </w:p>
    <w:p w14:paraId="7C01D7B1" w14:textId="77777777" w:rsidR="00A76ADB" w:rsidRDefault="00A76ADB" w:rsidP="00A76ADB">
      <w:pPr>
        <w:pStyle w:val="Table"/>
      </w:pPr>
      <w:bookmarkStart w:id="2456" w:name="_Toc99659346"/>
      <w:r>
        <w:t>Table 7.5.7</w:t>
      </w:r>
      <w:r>
        <w:tab/>
        <w:t>Parameter values applied by New Zealand for estimating nitrous oxide emissions from domestic and commercial wastewater treatment</w:t>
      </w:r>
      <w:bookmarkEnd w:id="2456"/>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253"/>
        <w:gridCol w:w="709"/>
        <w:gridCol w:w="1701"/>
        <w:gridCol w:w="1842"/>
      </w:tblGrid>
      <w:tr w:rsidR="00A76ADB" w:rsidRPr="006C0D1B" w14:paraId="56991AA9" w14:textId="77777777" w:rsidTr="00CF7215">
        <w:trPr>
          <w:cantSplit/>
          <w:tblHeader/>
        </w:trPr>
        <w:tc>
          <w:tcPr>
            <w:tcW w:w="4253" w:type="dxa"/>
            <w:shd w:val="clear" w:color="auto" w:fill="1B556B"/>
            <w:tcMar>
              <w:top w:w="0" w:type="dxa"/>
              <w:left w:w="108" w:type="dxa"/>
              <w:bottom w:w="0" w:type="dxa"/>
              <w:right w:w="108" w:type="dxa"/>
            </w:tcMar>
          </w:tcPr>
          <w:p w14:paraId="6DBC8C85" w14:textId="77777777" w:rsidR="00A76ADB" w:rsidRPr="006C0D1B" w:rsidRDefault="00A76ADB" w:rsidP="007E3239">
            <w:pPr>
              <w:pStyle w:val="TableTextBold"/>
              <w:spacing w:before="40" w:after="40"/>
              <w:rPr>
                <w:color w:val="FFFFFF"/>
              </w:rPr>
            </w:pPr>
            <w:r w:rsidRPr="006C0D1B">
              <w:rPr>
                <w:rFonts w:eastAsia="Calibri"/>
                <w:color w:val="FFFFFF"/>
              </w:rPr>
              <w:t>Parameter</w:t>
            </w:r>
          </w:p>
        </w:tc>
        <w:tc>
          <w:tcPr>
            <w:tcW w:w="709" w:type="dxa"/>
            <w:shd w:val="clear" w:color="auto" w:fill="1B556B"/>
            <w:tcMar>
              <w:top w:w="0" w:type="dxa"/>
              <w:left w:w="108" w:type="dxa"/>
              <w:bottom w:w="0" w:type="dxa"/>
              <w:right w:w="108" w:type="dxa"/>
            </w:tcMar>
          </w:tcPr>
          <w:p w14:paraId="7567C7D2" w14:textId="77777777" w:rsidR="00A76ADB" w:rsidRPr="006C0D1B" w:rsidRDefault="00A76ADB" w:rsidP="007E3239">
            <w:pPr>
              <w:pStyle w:val="TableTextBold"/>
              <w:spacing w:before="40" w:after="40"/>
              <w:jc w:val="center"/>
              <w:rPr>
                <w:color w:val="FFFFFF"/>
              </w:rPr>
            </w:pPr>
            <w:r w:rsidRPr="006C0D1B">
              <w:rPr>
                <w:rFonts w:eastAsia="Calibri"/>
                <w:color w:val="FFFFFF"/>
              </w:rPr>
              <w:t>Value</w:t>
            </w:r>
          </w:p>
        </w:tc>
        <w:tc>
          <w:tcPr>
            <w:tcW w:w="1701" w:type="dxa"/>
            <w:shd w:val="clear" w:color="auto" w:fill="1B556B"/>
            <w:tcMar>
              <w:top w:w="0" w:type="dxa"/>
              <w:left w:w="108" w:type="dxa"/>
              <w:bottom w:w="0" w:type="dxa"/>
              <w:right w:w="108" w:type="dxa"/>
            </w:tcMar>
          </w:tcPr>
          <w:p w14:paraId="2969A6B8" w14:textId="77777777" w:rsidR="00A76ADB" w:rsidRPr="006C0D1B" w:rsidRDefault="00A76ADB" w:rsidP="007E3239">
            <w:pPr>
              <w:pStyle w:val="TableTextBold"/>
              <w:spacing w:before="40" w:after="40"/>
              <w:rPr>
                <w:color w:val="FFFFFF"/>
              </w:rPr>
            </w:pPr>
            <w:r w:rsidRPr="006C0D1B">
              <w:rPr>
                <w:rFonts w:eastAsia="Calibri"/>
                <w:color w:val="FFFFFF"/>
              </w:rPr>
              <w:t>Source</w:t>
            </w:r>
          </w:p>
        </w:tc>
        <w:tc>
          <w:tcPr>
            <w:tcW w:w="1842" w:type="dxa"/>
            <w:shd w:val="clear" w:color="auto" w:fill="1B556B"/>
            <w:tcMar>
              <w:top w:w="0" w:type="dxa"/>
              <w:left w:w="108" w:type="dxa"/>
              <w:bottom w:w="0" w:type="dxa"/>
              <w:right w:w="108" w:type="dxa"/>
            </w:tcMar>
          </w:tcPr>
          <w:p w14:paraId="552DBC2E" w14:textId="77777777" w:rsidR="00A76ADB" w:rsidRPr="006C0D1B" w:rsidRDefault="00A76ADB" w:rsidP="007E3239">
            <w:pPr>
              <w:pStyle w:val="TableTextBold"/>
              <w:spacing w:before="40" w:after="40"/>
              <w:rPr>
                <w:color w:val="FFFFFF"/>
              </w:rPr>
            </w:pPr>
            <w:r w:rsidRPr="006C0D1B">
              <w:rPr>
                <w:rFonts w:eastAsia="Calibri"/>
                <w:color w:val="FFFFFF"/>
              </w:rPr>
              <w:t>Reference</w:t>
            </w:r>
          </w:p>
        </w:tc>
      </w:tr>
      <w:tr w:rsidR="00A76ADB" w14:paraId="3382766D" w14:textId="77777777" w:rsidTr="00CF7215">
        <w:trPr>
          <w:cantSplit/>
          <w:trHeight w:val="283"/>
        </w:trPr>
        <w:tc>
          <w:tcPr>
            <w:tcW w:w="4253" w:type="dxa"/>
            <w:shd w:val="clear" w:color="auto" w:fill="FFFFFF"/>
            <w:tcMar>
              <w:top w:w="0" w:type="dxa"/>
              <w:left w:w="108" w:type="dxa"/>
              <w:bottom w:w="0" w:type="dxa"/>
              <w:right w:w="108" w:type="dxa"/>
            </w:tcMar>
          </w:tcPr>
          <w:p w14:paraId="4AA09917" w14:textId="77777777" w:rsidR="00A76ADB" w:rsidRDefault="00A76ADB" w:rsidP="007E3239">
            <w:pPr>
              <w:pStyle w:val="TableText"/>
              <w:spacing w:before="40" w:after="40"/>
            </w:pPr>
            <w:r>
              <w:rPr>
                <w:rFonts w:eastAsia="Calibri"/>
              </w:rPr>
              <w:t>Per capita protein consumption (kg/person/year)</w:t>
            </w:r>
          </w:p>
        </w:tc>
        <w:tc>
          <w:tcPr>
            <w:tcW w:w="709" w:type="dxa"/>
            <w:shd w:val="clear" w:color="auto" w:fill="FFFFFF"/>
            <w:tcMar>
              <w:top w:w="0" w:type="dxa"/>
              <w:left w:w="108" w:type="dxa"/>
              <w:bottom w:w="0" w:type="dxa"/>
              <w:right w:w="108" w:type="dxa"/>
            </w:tcMar>
          </w:tcPr>
          <w:p w14:paraId="0E1DDD14" w14:textId="77777777" w:rsidR="00A76ADB" w:rsidRDefault="00A76ADB" w:rsidP="007E3239">
            <w:pPr>
              <w:pStyle w:val="TableText"/>
              <w:spacing w:before="40" w:after="40"/>
              <w:jc w:val="center"/>
            </w:pPr>
            <w:r>
              <w:rPr>
                <w:rFonts w:eastAsia="Calibri"/>
              </w:rPr>
              <w:t>36.135</w:t>
            </w:r>
          </w:p>
        </w:tc>
        <w:tc>
          <w:tcPr>
            <w:tcW w:w="1701" w:type="dxa"/>
            <w:shd w:val="clear" w:color="auto" w:fill="FFFFFF"/>
            <w:tcMar>
              <w:top w:w="0" w:type="dxa"/>
              <w:left w:w="108" w:type="dxa"/>
              <w:bottom w:w="0" w:type="dxa"/>
              <w:right w:w="108" w:type="dxa"/>
            </w:tcMar>
          </w:tcPr>
          <w:p w14:paraId="2AB6F3F3" w14:textId="77777777" w:rsidR="00A76ADB" w:rsidRDefault="00A76ADB" w:rsidP="007E3239">
            <w:pPr>
              <w:pStyle w:val="TableText"/>
              <w:spacing w:before="40" w:after="40"/>
            </w:pPr>
            <w:r>
              <w:rPr>
                <w:rFonts w:eastAsia="Calibri"/>
              </w:rPr>
              <w:t>New Zealand specific</w:t>
            </w:r>
          </w:p>
        </w:tc>
        <w:tc>
          <w:tcPr>
            <w:tcW w:w="1842" w:type="dxa"/>
            <w:shd w:val="clear" w:color="auto" w:fill="FFFFFF"/>
            <w:tcMar>
              <w:top w:w="0" w:type="dxa"/>
              <w:left w:w="108" w:type="dxa"/>
              <w:bottom w:w="0" w:type="dxa"/>
              <w:right w:w="108" w:type="dxa"/>
            </w:tcMar>
          </w:tcPr>
          <w:p w14:paraId="47B98725" w14:textId="77777777" w:rsidR="00A76ADB" w:rsidRDefault="00A76ADB" w:rsidP="007E3239">
            <w:pPr>
              <w:pStyle w:val="TableText"/>
              <w:spacing w:before="40" w:after="40"/>
            </w:pPr>
            <w:r>
              <w:rPr>
                <w:rFonts w:eastAsia="Calibri"/>
              </w:rPr>
              <w:t>Beca Infrastructure Ltd (unpublished)</w:t>
            </w:r>
          </w:p>
        </w:tc>
      </w:tr>
      <w:tr w:rsidR="00A76ADB" w14:paraId="214435FE" w14:textId="77777777" w:rsidTr="00CF7215">
        <w:trPr>
          <w:cantSplit/>
          <w:trHeight w:val="283"/>
        </w:trPr>
        <w:tc>
          <w:tcPr>
            <w:tcW w:w="4253" w:type="dxa"/>
            <w:shd w:val="clear" w:color="auto" w:fill="FFFFFF"/>
            <w:tcMar>
              <w:top w:w="0" w:type="dxa"/>
              <w:left w:w="108" w:type="dxa"/>
              <w:bottom w:w="0" w:type="dxa"/>
              <w:right w:w="108" w:type="dxa"/>
            </w:tcMar>
          </w:tcPr>
          <w:p w14:paraId="2F06013A" w14:textId="77777777" w:rsidR="00A76ADB" w:rsidRDefault="00A76ADB" w:rsidP="007E3239">
            <w:pPr>
              <w:pStyle w:val="TableText"/>
              <w:spacing w:before="40" w:after="40"/>
            </w:pPr>
            <w:r>
              <w:rPr>
                <w:rFonts w:eastAsia="Calibri"/>
              </w:rPr>
              <w:t>Fraction of nitrogen in protein</w:t>
            </w:r>
          </w:p>
        </w:tc>
        <w:tc>
          <w:tcPr>
            <w:tcW w:w="709" w:type="dxa"/>
            <w:shd w:val="clear" w:color="auto" w:fill="FFFFFF"/>
            <w:tcMar>
              <w:top w:w="0" w:type="dxa"/>
              <w:left w:w="108" w:type="dxa"/>
              <w:bottom w:w="0" w:type="dxa"/>
              <w:right w:w="108" w:type="dxa"/>
            </w:tcMar>
          </w:tcPr>
          <w:p w14:paraId="1469C871" w14:textId="77777777" w:rsidR="00A76ADB" w:rsidRDefault="00A76ADB" w:rsidP="007E3239">
            <w:pPr>
              <w:pStyle w:val="TableText"/>
              <w:spacing w:before="40" w:after="40"/>
              <w:jc w:val="center"/>
            </w:pPr>
            <w:r>
              <w:rPr>
                <w:rFonts w:eastAsia="Calibri"/>
              </w:rPr>
              <w:t>0.160</w:t>
            </w:r>
          </w:p>
        </w:tc>
        <w:tc>
          <w:tcPr>
            <w:tcW w:w="1701" w:type="dxa"/>
            <w:shd w:val="clear" w:color="auto" w:fill="FFFFFF"/>
            <w:tcMar>
              <w:top w:w="0" w:type="dxa"/>
              <w:left w:w="108" w:type="dxa"/>
              <w:bottom w:w="0" w:type="dxa"/>
              <w:right w:w="108" w:type="dxa"/>
            </w:tcMar>
          </w:tcPr>
          <w:p w14:paraId="393B5DA2" w14:textId="77777777" w:rsidR="00A76ADB" w:rsidRDefault="00A76ADB" w:rsidP="007E3239">
            <w:pPr>
              <w:pStyle w:val="TableText"/>
              <w:spacing w:before="40" w:after="40"/>
            </w:pPr>
            <w:r>
              <w:rPr>
                <w:rFonts w:eastAsia="Calibri"/>
              </w:rPr>
              <w:t>IPCC default</w:t>
            </w:r>
          </w:p>
        </w:tc>
        <w:tc>
          <w:tcPr>
            <w:tcW w:w="1842" w:type="dxa"/>
            <w:shd w:val="clear" w:color="auto" w:fill="FFFFFF"/>
            <w:tcMar>
              <w:top w:w="0" w:type="dxa"/>
              <w:left w:w="108" w:type="dxa"/>
              <w:bottom w:w="0" w:type="dxa"/>
              <w:right w:w="108" w:type="dxa"/>
            </w:tcMar>
          </w:tcPr>
          <w:p w14:paraId="3583EDBD" w14:textId="77777777" w:rsidR="00A76ADB" w:rsidRDefault="00A76ADB" w:rsidP="007E3239">
            <w:pPr>
              <w:pStyle w:val="TableText"/>
              <w:spacing w:before="40" w:after="40"/>
            </w:pPr>
            <w:r>
              <w:rPr>
                <w:rFonts w:eastAsia="Calibri"/>
              </w:rPr>
              <w:t>IPCC (2006a)</w:t>
            </w:r>
          </w:p>
        </w:tc>
      </w:tr>
      <w:tr w:rsidR="00A76ADB" w14:paraId="7EEA32DE" w14:textId="77777777" w:rsidTr="00CF7215">
        <w:trPr>
          <w:cantSplit/>
          <w:trHeight w:val="283"/>
        </w:trPr>
        <w:tc>
          <w:tcPr>
            <w:tcW w:w="4253" w:type="dxa"/>
            <w:shd w:val="clear" w:color="auto" w:fill="FFFFFF"/>
            <w:tcMar>
              <w:top w:w="0" w:type="dxa"/>
              <w:left w:w="108" w:type="dxa"/>
              <w:bottom w:w="0" w:type="dxa"/>
              <w:right w:w="108" w:type="dxa"/>
            </w:tcMar>
          </w:tcPr>
          <w:p w14:paraId="50D80BF1" w14:textId="77777777" w:rsidR="00A76ADB" w:rsidRDefault="00A76ADB" w:rsidP="007E3239">
            <w:pPr>
              <w:pStyle w:val="TableText"/>
              <w:spacing w:before="40" w:after="40"/>
            </w:pPr>
            <w:r>
              <w:rPr>
                <w:rFonts w:eastAsia="Calibri"/>
              </w:rPr>
              <w:t>Fraction of non-consumed protein</w:t>
            </w:r>
          </w:p>
        </w:tc>
        <w:tc>
          <w:tcPr>
            <w:tcW w:w="709" w:type="dxa"/>
            <w:shd w:val="clear" w:color="auto" w:fill="FFFFFF"/>
            <w:tcMar>
              <w:top w:w="0" w:type="dxa"/>
              <w:left w:w="108" w:type="dxa"/>
              <w:bottom w:w="0" w:type="dxa"/>
              <w:right w:w="108" w:type="dxa"/>
            </w:tcMar>
          </w:tcPr>
          <w:p w14:paraId="0B4EFF03" w14:textId="77777777" w:rsidR="00A76ADB" w:rsidRDefault="00A76ADB" w:rsidP="007E3239">
            <w:pPr>
              <w:pStyle w:val="TableText"/>
              <w:spacing w:before="40" w:after="40"/>
              <w:jc w:val="center"/>
            </w:pPr>
            <w:r>
              <w:rPr>
                <w:rFonts w:eastAsia="Calibri"/>
              </w:rPr>
              <w:t>1.400</w:t>
            </w:r>
          </w:p>
        </w:tc>
        <w:tc>
          <w:tcPr>
            <w:tcW w:w="1701" w:type="dxa"/>
            <w:shd w:val="clear" w:color="auto" w:fill="FFFFFF"/>
            <w:tcMar>
              <w:top w:w="0" w:type="dxa"/>
              <w:left w:w="108" w:type="dxa"/>
              <w:bottom w:w="0" w:type="dxa"/>
              <w:right w:w="108" w:type="dxa"/>
            </w:tcMar>
          </w:tcPr>
          <w:p w14:paraId="7099BD20" w14:textId="77777777" w:rsidR="00A76ADB" w:rsidRDefault="00A76ADB" w:rsidP="007E3239">
            <w:pPr>
              <w:pStyle w:val="TableText"/>
              <w:spacing w:before="40" w:after="40"/>
            </w:pPr>
            <w:r>
              <w:rPr>
                <w:rFonts w:eastAsia="Calibri"/>
              </w:rPr>
              <w:t>IPCC default</w:t>
            </w:r>
          </w:p>
        </w:tc>
        <w:tc>
          <w:tcPr>
            <w:tcW w:w="1842" w:type="dxa"/>
            <w:shd w:val="clear" w:color="auto" w:fill="FFFFFF"/>
            <w:tcMar>
              <w:top w:w="0" w:type="dxa"/>
              <w:left w:w="108" w:type="dxa"/>
              <w:bottom w:w="0" w:type="dxa"/>
              <w:right w:w="108" w:type="dxa"/>
            </w:tcMar>
          </w:tcPr>
          <w:p w14:paraId="54F966D1" w14:textId="77777777" w:rsidR="00A76ADB" w:rsidRDefault="00A76ADB" w:rsidP="007E3239">
            <w:pPr>
              <w:pStyle w:val="TableText"/>
              <w:spacing w:before="40" w:after="40"/>
            </w:pPr>
            <w:r>
              <w:rPr>
                <w:rFonts w:eastAsia="Calibri"/>
              </w:rPr>
              <w:t>IPCC (2006a)</w:t>
            </w:r>
          </w:p>
        </w:tc>
      </w:tr>
      <w:tr w:rsidR="00A76ADB" w14:paraId="55F65E83" w14:textId="77777777" w:rsidTr="00CF7215">
        <w:trPr>
          <w:cantSplit/>
          <w:trHeight w:val="283"/>
        </w:trPr>
        <w:tc>
          <w:tcPr>
            <w:tcW w:w="4253" w:type="dxa"/>
            <w:shd w:val="clear" w:color="auto" w:fill="FFFFFF"/>
            <w:tcMar>
              <w:top w:w="0" w:type="dxa"/>
              <w:left w:w="108" w:type="dxa"/>
              <w:bottom w:w="0" w:type="dxa"/>
              <w:right w:w="108" w:type="dxa"/>
            </w:tcMar>
          </w:tcPr>
          <w:p w14:paraId="79AE71C5" w14:textId="77777777" w:rsidR="00A76ADB" w:rsidRDefault="00A76ADB" w:rsidP="007E3239">
            <w:pPr>
              <w:pStyle w:val="TableText"/>
              <w:spacing w:before="40" w:after="40"/>
            </w:pPr>
            <w:r>
              <w:rPr>
                <w:rFonts w:eastAsia="Calibri"/>
              </w:rPr>
              <w:t>Fraction of industrial and commercial co</w:t>
            </w:r>
            <w:r>
              <w:rPr>
                <w:rFonts w:ascii="Cambria Math" w:eastAsia="Calibri" w:hAnsi="Cambria Math" w:cs="Cambria Math"/>
              </w:rPr>
              <w:t>‑</w:t>
            </w:r>
            <w:r>
              <w:rPr>
                <w:rFonts w:eastAsia="Calibri"/>
              </w:rPr>
              <w:t>discharged protein</w:t>
            </w:r>
          </w:p>
        </w:tc>
        <w:tc>
          <w:tcPr>
            <w:tcW w:w="709" w:type="dxa"/>
            <w:shd w:val="clear" w:color="auto" w:fill="FFFFFF"/>
            <w:tcMar>
              <w:top w:w="0" w:type="dxa"/>
              <w:left w:w="108" w:type="dxa"/>
              <w:bottom w:w="0" w:type="dxa"/>
              <w:right w:w="108" w:type="dxa"/>
            </w:tcMar>
          </w:tcPr>
          <w:p w14:paraId="344F8DF9" w14:textId="77777777" w:rsidR="00A76ADB" w:rsidRDefault="00A76ADB" w:rsidP="007E3239">
            <w:pPr>
              <w:pStyle w:val="TableText"/>
              <w:spacing w:before="40" w:after="40"/>
              <w:jc w:val="center"/>
            </w:pPr>
            <w:r>
              <w:rPr>
                <w:rFonts w:eastAsia="Calibri"/>
              </w:rPr>
              <w:t>1.250</w:t>
            </w:r>
          </w:p>
        </w:tc>
        <w:tc>
          <w:tcPr>
            <w:tcW w:w="1701" w:type="dxa"/>
            <w:shd w:val="clear" w:color="auto" w:fill="FFFFFF"/>
            <w:tcMar>
              <w:top w:w="0" w:type="dxa"/>
              <w:left w:w="108" w:type="dxa"/>
              <w:bottom w:w="0" w:type="dxa"/>
              <w:right w:w="108" w:type="dxa"/>
            </w:tcMar>
          </w:tcPr>
          <w:p w14:paraId="6B066996" w14:textId="77777777" w:rsidR="00A76ADB" w:rsidRDefault="00A76ADB" w:rsidP="007E3239">
            <w:pPr>
              <w:pStyle w:val="TableText"/>
              <w:spacing w:before="40" w:after="40"/>
            </w:pPr>
            <w:r>
              <w:rPr>
                <w:rFonts w:eastAsia="Calibri"/>
              </w:rPr>
              <w:t>IPCC default</w:t>
            </w:r>
          </w:p>
        </w:tc>
        <w:tc>
          <w:tcPr>
            <w:tcW w:w="1842" w:type="dxa"/>
            <w:shd w:val="clear" w:color="auto" w:fill="FFFFFF"/>
            <w:tcMar>
              <w:top w:w="0" w:type="dxa"/>
              <w:left w:w="108" w:type="dxa"/>
              <w:bottom w:w="0" w:type="dxa"/>
              <w:right w:w="108" w:type="dxa"/>
            </w:tcMar>
          </w:tcPr>
          <w:p w14:paraId="700DA16A" w14:textId="77777777" w:rsidR="00A76ADB" w:rsidRDefault="00A76ADB" w:rsidP="007E3239">
            <w:pPr>
              <w:pStyle w:val="TableText"/>
              <w:spacing w:before="40" w:after="40"/>
            </w:pPr>
            <w:r>
              <w:rPr>
                <w:rFonts w:eastAsia="Calibri"/>
              </w:rPr>
              <w:t>IPCC (2006a)</w:t>
            </w:r>
          </w:p>
        </w:tc>
      </w:tr>
      <w:tr w:rsidR="00A76ADB" w14:paraId="24ACE15D" w14:textId="77777777" w:rsidTr="00CF7215">
        <w:trPr>
          <w:cantSplit/>
          <w:trHeight w:val="283"/>
        </w:trPr>
        <w:tc>
          <w:tcPr>
            <w:tcW w:w="4253" w:type="dxa"/>
            <w:shd w:val="clear" w:color="auto" w:fill="FFFFFF"/>
            <w:tcMar>
              <w:top w:w="0" w:type="dxa"/>
              <w:left w:w="108" w:type="dxa"/>
              <w:bottom w:w="0" w:type="dxa"/>
              <w:right w:w="108" w:type="dxa"/>
            </w:tcMar>
          </w:tcPr>
          <w:p w14:paraId="67949CEE" w14:textId="77777777" w:rsidR="00A76ADB" w:rsidRDefault="00A76ADB" w:rsidP="007E3239">
            <w:pPr>
              <w:pStyle w:val="TableText"/>
              <w:spacing w:before="40" w:after="40"/>
            </w:pPr>
            <w:r>
              <w:rPr>
                <w:rFonts w:eastAsia="Calibri"/>
              </w:rPr>
              <w:t>Nitrogen removed with sludge (kg)</w:t>
            </w:r>
          </w:p>
        </w:tc>
        <w:tc>
          <w:tcPr>
            <w:tcW w:w="709" w:type="dxa"/>
            <w:shd w:val="clear" w:color="auto" w:fill="FFFFFF"/>
            <w:tcMar>
              <w:top w:w="0" w:type="dxa"/>
              <w:left w:w="108" w:type="dxa"/>
              <w:bottom w:w="0" w:type="dxa"/>
              <w:right w:w="108" w:type="dxa"/>
            </w:tcMar>
          </w:tcPr>
          <w:p w14:paraId="4B555264" w14:textId="77777777" w:rsidR="00A76ADB" w:rsidRDefault="00A76ADB" w:rsidP="007E3239">
            <w:pPr>
              <w:pStyle w:val="TableText"/>
              <w:spacing w:before="40" w:after="40"/>
              <w:jc w:val="center"/>
            </w:pPr>
            <w:r>
              <w:rPr>
                <w:rFonts w:eastAsia="Calibri"/>
              </w:rPr>
              <w:t>0</w:t>
            </w:r>
          </w:p>
        </w:tc>
        <w:tc>
          <w:tcPr>
            <w:tcW w:w="1701" w:type="dxa"/>
            <w:shd w:val="clear" w:color="auto" w:fill="FFFFFF"/>
            <w:tcMar>
              <w:top w:w="0" w:type="dxa"/>
              <w:left w:w="108" w:type="dxa"/>
              <w:bottom w:w="0" w:type="dxa"/>
              <w:right w:w="108" w:type="dxa"/>
            </w:tcMar>
          </w:tcPr>
          <w:p w14:paraId="2346B0CE" w14:textId="77777777" w:rsidR="00A76ADB" w:rsidRDefault="00A76ADB" w:rsidP="007E3239">
            <w:pPr>
              <w:pStyle w:val="TableText"/>
              <w:spacing w:before="40" w:after="40"/>
            </w:pPr>
            <w:r>
              <w:rPr>
                <w:rFonts w:eastAsia="Calibri"/>
              </w:rPr>
              <w:t>IPCC default</w:t>
            </w:r>
          </w:p>
        </w:tc>
        <w:tc>
          <w:tcPr>
            <w:tcW w:w="1842" w:type="dxa"/>
            <w:shd w:val="clear" w:color="auto" w:fill="FFFFFF"/>
            <w:tcMar>
              <w:top w:w="0" w:type="dxa"/>
              <w:left w:w="108" w:type="dxa"/>
              <w:bottom w:w="0" w:type="dxa"/>
              <w:right w:w="108" w:type="dxa"/>
            </w:tcMar>
          </w:tcPr>
          <w:p w14:paraId="69F98695" w14:textId="77777777" w:rsidR="00A76ADB" w:rsidRDefault="00A76ADB" w:rsidP="007E3239">
            <w:pPr>
              <w:pStyle w:val="TableText"/>
              <w:spacing w:before="40" w:after="40"/>
            </w:pPr>
            <w:r>
              <w:rPr>
                <w:rFonts w:eastAsia="Calibri"/>
              </w:rPr>
              <w:t>IPCC (2006a)</w:t>
            </w:r>
          </w:p>
        </w:tc>
      </w:tr>
      <w:tr w:rsidR="00A76ADB" w14:paraId="1A408AF1" w14:textId="77777777" w:rsidTr="00CF7215">
        <w:trPr>
          <w:cantSplit/>
          <w:trHeight w:val="283"/>
        </w:trPr>
        <w:tc>
          <w:tcPr>
            <w:tcW w:w="4253" w:type="dxa"/>
            <w:shd w:val="clear" w:color="auto" w:fill="FFFFFF"/>
            <w:tcMar>
              <w:top w:w="0" w:type="dxa"/>
              <w:left w:w="108" w:type="dxa"/>
              <w:bottom w:w="0" w:type="dxa"/>
              <w:right w:w="108" w:type="dxa"/>
            </w:tcMar>
          </w:tcPr>
          <w:p w14:paraId="174E8175" w14:textId="77777777" w:rsidR="00A76ADB" w:rsidRDefault="00A76ADB" w:rsidP="007E3239">
            <w:pPr>
              <w:pStyle w:val="TableText"/>
              <w:spacing w:before="40" w:after="40"/>
            </w:pPr>
            <w:r>
              <w:rPr>
                <w:rFonts w:eastAsia="Calibri"/>
              </w:rPr>
              <w:t>Emission factor</w:t>
            </w:r>
          </w:p>
        </w:tc>
        <w:tc>
          <w:tcPr>
            <w:tcW w:w="709" w:type="dxa"/>
            <w:shd w:val="clear" w:color="auto" w:fill="FFFFFF"/>
            <w:tcMar>
              <w:top w:w="0" w:type="dxa"/>
              <w:left w:w="108" w:type="dxa"/>
              <w:bottom w:w="0" w:type="dxa"/>
              <w:right w:w="108" w:type="dxa"/>
            </w:tcMar>
          </w:tcPr>
          <w:p w14:paraId="39C922B9" w14:textId="77777777" w:rsidR="00A76ADB" w:rsidRDefault="00A76ADB" w:rsidP="007E3239">
            <w:pPr>
              <w:pStyle w:val="TableText"/>
              <w:spacing w:before="40" w:after="40"/>
              <w:jc w:val="center"/>
            </w:pPr>
            <w:r>
              <w:rPr>
                <w:rFonts w:eastAsia="Calibri"/>
              </w:rPr>
              <w:t>0.005</w:t>
            </w:r>
          </w:p>
        </w:tc>
        <w:tc>
          <w:tcPr>
            <w:tcW w:w="1701" w:type="dxa"/>
            <w:shd w:val="clear" w:color="auto" w:fill="FFFFFF"/>
            <w:tcMar>
              <w:top w:w="0" w:type="dxa"/>
              <w:left w:w="108" w:type="dxa"/>
              <w:bottom w:w="0" w:type="dxa"/>
              <w:right w:w="108" w:type="dxa"/>
            </w:tcMar>
          </w:tcPr>
          <w:p w14:paraId="7445D60A" w14:textId="77777777" w:rsidR="00A76ADB" w:rsidRDefault="00A76ADB" w:rsidP="007E3239">
            <w:pPr>
              <w:pStyle w:val="TableText"/>
              <w:spacing w:before="40" w:after="40"/>
            </w:pPr>
            <w:r>
              <w:rPr>
                <w:rFonts w:eastAsia="Calibri"/>
              </w:rPr>
              <w:t>IPCC default</w:t>
            </w:r>
          </w:p>
        </w:tc>
        <w:tc>
          <w:tcPr>
            <w:tcW w:w="1842" w:type="dxa"/>
            <w:shd w:val="clear" w:color="auto" w:fill="FFFFFF"/>
            <w:tcMar>
              <w:top w:w="0" w:type="dxa"/>
              <w:left w:w="108" w:type="dxa"/>
              <w:bottom w:w="0" w:type="dxa"/>
              <w:right w:w="108" w:type="dxa"/>
            </w:tcMar>
          </w:tcPr>
          <w:p w14:paraId="36313EBC" w14:textId="77777777" w:rsidR="00A76ADB" w:rsidRDefault="00A76ADB" w:rsidP="007E3239">
            <w:pPr>
              <w:pStyle w:val="TableText"/>
              <w:spacing w:before="40" w:after="40"/>
            </w:pPr>
            <w:r>
              <w:rPr>
                <w:rFonts w:eastAsia="Calibri"/>
              </w:rPr>
              <w:t>IPCC (2006a)</w:t>
            </w:r>
          </w:p>
        </w:tc>
      </w:tr>
      <w:tr w:rsidR="00A76ADB" w14:paraId="2E6D36E8" w14:textId="77777777" w:rsidTr="00CF7215">
        <w:trPr>
          <w:cantSplit/>
          <w:trHeight w:val="283"/>
        </w:trPr>
        <w:tc>
          <w:tcPr>
            <w:tcW w:w="4253" w:type="dxa"/>
            <w:shd w:val="clear" w:color="auto" w:fill="FFFFFF"/>
            <w:tcMar>
              <w:top w:w="0" w:type="dxa"/>
              <w:left w:w="108" w:type="dxa"/>
              <w:bottom w:w="0" w:type="dxa"/>
              <w:right w:w="108" w:type="dxa"/>
            </w:tcMar>
          </w:tcPr>
          <w:p w14:paraId="391EEE75" w14:textId="77777777" w:rsidR="00A76ADB" w:rsidRDefault="00A76ADB" w:rsidP="007E3239">
            <w:pPr>
              <w:pStyle w:val="TableText"/>
              <w:spacing w:before="40" w:after="40"/>
            </w:pPr>
            <w:r>
              <w:rPr>
                <w:rFonts w:eastAsia="Calibri"/>
              </w:rPr>
              <w:t>Emissions from wastewater treatment plants</w:t>
            </w:r>
          </w:p>
        </w:tc>
        <w:tc>
          <w:tcPr>
            <w:tcW w:w="709" w:type="dxa"/>
            <w:shd w:val="clear" w:color="auto" w:fill="FFFFFF"/>
            <w:tcMar>
              <w:top w:w="0" w:type="dxa"/>
              <w:left w:w="108" w:type="dxa"/>
              <w:bottom w:w="0" w:type="dxa"/>
              <w:right w:w="108" w:type="dxa"/>
            </w:tcMar>
          </w:tcPr>
          <w:p w14:paraId="72AECD1A" w14:textId="77777777" w:rsidR="00A76ADB" w:rsidRDefault="00A76ADB" w:rsidP="007E3239">
            <w:pPr>
              <w:pStyle w:val="TableText"/>
              <w:spacing w:before="40" w:after="40"/>
              <w:jc w:val="center"/>
            </w:pPr>
            <w:r>
              <w:rPr>
                <w:rFonts w:eastAsia="Calibri"/>
              </w:rPr>
              <w:t>0</w:t>
            </w:r>
          </w:p>
        </w:tc>
        <w:tc>
          <w:tcPr>
            <w:tcW w:w="1701" w:type="dxa"/>
            <w:shd w:val="clear" w:color="auto" w:fill="FFFFFF"/>
            <w:tcMar>
              <w:top w:w="0" w:type="dxa"/>
              <w:left w:w="108" w:type="dxa"/>
              <w:bottom w:w="0" w:type="dxa"/>
              <w:right w:w="108" w:type="dxa"/>
            </w:tcMar>
          </w:tcPr>
          <w:p w14:paraId="36FF4D0A" w14:textId="77777777" w:rsidR="00A76ADB" w:rsidRDefault="00A76ADB" w:rsidP="007E3239">
            <w:pPr>
              <w:pStyle w:val="TableText"/>
              <w:spacing w:before="40" w:after="40"/>
            </w:pPr>
            <w:r>
              <w:rPr>
                <w:rFonts w:eastAsia="Calibri"/>
              </w:rPr>
              <w:t>IPCC default</w:t>
            </w:r>
          </w:p>
        </w:tc>
        <w:tc>
          <w:tcPr>
            <w:tcW w:w="1842" w:type="dxa"/>
            <w:shd w:val="clear" w:color="auto" w:fill="FFFFFF"/>
            <w:tcMar>
              <w:top w:w="0" w:type="dxa"/>
              <w:left w:w="108" w:type="dxa"/>
              <w:bottom w:w="0" w:type="dxa"/>
              <w:right w:w="108" w:type="dxa"/>
            </w:tcMar>
          </w:tcPr>
          <w:p w14:paraId="7B3B565D" w14:textId="77777777" w:rsidR="00A76ADB" w:rsidRDefault="00A76ADB" w:rsidP="007E3239">
            <w:pPr>
              <w:pStyle w:val="TableText"/>
              <w:spacing w:before="40" w:after="40"/>
            </w:pPr>
            <w:r>
              <w:rPr>
                <w:rFonts w:eastAsia="Calibri"/>
              </w:rPr>
              <w:t>IPCC (2006a)</w:t>
            </w:r>
          </w:p>
        </w:tc>
      </w:tr>
    </w:tbl>
    <w:p w14:paraId="2EE02558" w14:textId="77777777" w:rsidR="00A76ADB" w:rsidRDefault="00A76ADB" w:rsidP="00A76ADB">
      <w:pPr>
        <w:pStyle w:val="BodyText"/>
        <w:spacing w:before="240"/>
      </w:pPr>
      <w:r>
        <w:t>A value of 36.135 kilograms of protein per person per year is used. This figure was the maximum value reported by New Zealand to the Food and Agriculture Organization.</w:t>
      </w:r>
    </w:p>
    <w:p w14:paraId="68056A3F" w14:textId="77777777" w:rsidR="00A76ADB" w:rsidRDefault="00A76ADB" w:rsidP="00A76ADB">
      <w:pPr>
        <w:pStyle w:val="Heading6"/>
      </w:pPr>
      <w:bookmarkStart w:id="2457" w:name="recovery-1"/>
      <w:r>
        <w:t>Recovery</w:t>
      </w:r>
    </w:p>
    <w:p w14:paraId="32C9E574" w14:textId="77777777" w:rsidR="00A76ADB" w:rsidRDefault="00A76ADB" w:rsidP="00A76ADB">
      <w:pPr>
        <w:pStyle w:val="BodyText"/>
      </w:pPr>
      <w:r>
        <w:t>There is no recovery of emissions reported for this source.</w:t>
      </w:r>
    </w:p>
    <w:p w14:paraId="06746292" w14:textId="77777777" w:rsidR="00A76ADB" w:rsidRDefault="00A76ADB" w:rsidP="00A76ADB">
      <w:pPr>
        <w:pStyle w:val="Heading4"/>
      </w:pPr>
      <w:bookmarkStart w:id="2458" w:name="industrial-wastewater-5.d.2-2"/>
      <w:bookmarkEnd w:id="2448"/>
      <w:bookmarkEnd w:id="2455"/>
      <w:bookmarkEnd w:id="2457"/>
      <w:r>
        <w:t>Industrial wastewater (5.D.2)</w:t>
      </w:r>
    </w:p>
    <w:p w14:paraId="39F61CD5" w14:textId="77777777" w:rsidR="00A76ADB" w:rsidRDefault="00A76ADB" w:rsidP="00A76ADB">
      <w:pPr>
        <w:pStyle w:val="Heading5"/>
      </w:pPr>
      <w:bookmarkStart w:id="2459" w:name="Xb027ccc27a0528429fadaa4c67f957225579be4"/>
      <w:r>
        <w:t>Methane emissions from industrial wastewater treatment – Meat industry</w:t>
      </w:r>
    </w:p>
    <w:p w14:paraId="31BCEE26" w14:textId="77777777" w:rsidR="00A76ADB" w:rsidRDefault="00A76ADB" w:rsidP="00A76ADB">
      <w:pPr>
        <w:pStyle w:val="BodyText"/>
      </w:pPr>
      <w:r>
        <w:t>Table 7.5.8 summarises the parameter values applied for estimating CH</w:t>
      </w:r>
      <w:r>
        <w:rPr>
          <w:vertAlign w:val="subscript"/>
        </w:rPr>
        <w:t>4</w:t>
      </w:r>
      <w:r>
        <w:t xml:space="preserve"> emissions from wastewater treatment by the meat industry.</w:t>
      </w:r>
    </w:p>
    <w:p w14:paraId="3808E852" w14:textId="77777777" w:rsidR="00A76ADB" w:rsidRDefault="00A76ADB" w:rsidP="00A76ADB">
      <w:pPr>
        <w:pStyle w:val="Table"/>
      </w:pPr>
      <w:bookmarkStart w:id="2460" w:name="_Toc99659347"/>
      <w:r>
        <w:t>Table 7.5.8</w:t>
      </w:r>
      <w:r>
        <w:tab/>
        <w:t>Parameter values applied by New Zealand for estimating methane emissions from wastewater treatment by the meat industry</w:t>
      </w:r>
      <w:bookmarkEnd w:id="2460"/>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268"/>
        <w:gridCol w:w="2268"/>
        <w:gridCol w:w="1586"/>
        <w:gridCol w:w="2383"/>
      </w:tblGrid>
      <w:tr w:rsidR="00A76ADB" w:rsidRPr="006C0D1B" w14:paraId="47095062" w14:textId="77777777" w:rsidTr="00CF7215">
        <w:trPr>
          <w:cantSplit/>
          <w:tblHeader/>
        </w:trPr>
        <w:tc>
          <w:tcPr>
            <w:tcW w:w="2268" w:type="dxa"/>
            <w:shd w:val="clear" w:color="auto" w:fill="1B556B"/>
            <w:tcMar>
              <w:top w:w="0" w:type="dxa"/>
              <w:left w:w="108" w:type="dxa"/>
              <w:bottom w:w="0" w:type="dxa"/>
              <w:right w:w="108" w:type="dxa"/>
            </w:tcMar>
          </w:tcPr>
          <w:p w14:paraId="48C55453" w14:textId="77777777" w:rsidR="00A76ADB" w:rsidRPr="006C0D1B" w:rsidRDefault="00A76ADB" w:rsidP="007E3239">
            <w:pPr>
              <w:pStyle w:val="TableTextBold"/>
              <w:spacing w:before="40" w:after="40"/>
              <w:rPr>
                <w:color w:val="FFFFFF"/>
              </w:rPr>
            </w:pPr>
            <w:r w:rsidRPr="006C0D1B">
              <w:rPr>
                <w:rFonts w:eastAsia="Calibri"/>
                <w:color w:val="FFFFFF"/>
              </w:rPr>
              <w:t>Parameter</w:t>
            </w:r>
          </w:p>
        </w:tc>
        <w:tc>
          <w:tcPr>
            <w:tcW w:w="2268" w:type="dxa"/>
            <w:shd w:val="clear" w:color="auto" w:fill="1B556B"/>
            <w:tcMar>
              <w:top w:w="0" w:type="dxa"/>
              <w:left w:w="108" w:type="dxa"/>
              <w:bottom w:w="0" w:type="dxa"/>
              <w:right w:w="108" w:type="dxa"/>
            </w:tcMar>
          </w:tcPr>
          <w:p w14:paraId="5540D961" w14:textId="77777777" w:rsidR="00A76ADB" w:rsidRPr="006C0D1B" w:rsidRDefault="00A76ADB" w:rsidP="007E3239">
            <w:pPr>
              <w:pStyle w:val="TableTextBold"/>
              <w:spacing w:before="40" w:after="40"/>
              <w:rPr>
                <w:color w:val="FFFFFF"/>
              </w:rPr>
            </w:pPr>
            <w:r w:rsidRPr="006C0D1B">
              <w:rPr>
                <w:rFonts w:eastAsia="Calibri"/>
                <w:color w:val="FFFFFF"/>
              </w:rPr>
              <w:t>Value</w:t>
            </w:r>
          </w:p>
        </w:tc>
        <w:tc>
          <w:tcPr>
            <w:tcW w:w="1586" w:type="dxa"/>
            <w:shd w:val="clear" w:color="auto" w:fill="1B556B"/>
            <w:tcMar>
              <w:top w:w="0" w:type="dxa"/>
              <w:left w:w="108" w:type="dxa"/>
              <w:bottom w:w="0" w:type="dxa"/>
              <w:right w:w="108" w:type="dxa"/>
            </w:tcMar>
          </w:tcPr>
          <w:p w14:paraId="33E0474A" w14:textId="77777777" w:rsidR="00A76ADB" w:rsidRPr="006C0D1B" w:rsidRDefault="00A76ADB" w:rsidP="007E3239">
            <w:pPr>
              <w:pStyle w:val="TableTextBold"/>
              <w:spacing w:before="40" w:after="40"/>
              <w:rPr>
                <w:color w:val="FFFFFF"/>
              </w:rPr>
            </w:pPr>
            <w:r w:rsidRPr="006C0D1B">
              <w:rPr>
                <w:rFonts w:eastAsia="Calibri"/>
                <w:color w:val="FFFFFF"/>
              </w:rPr>
              <w:t>Source</w:t>
            </w:r>
          </w:p>
        </w:tc>
        <w:tc>
          <w:tcPr>
            <w:tcW w:w="0" w:type="auto"/>
            <w:shd w:val="clear" w:color="auto" w:fill="1B556B"/>
            <w:tcMar>
              <w:top w:w="0" w:type="dxa"/>
              <w:left w:w="108" w:type="dxa"/>
              <w:bottom w:w="0" w:type="dxa"/>
              <w:right w:w="108" w:type="dxa"/>
            </w:tcMar>
          </w:tcPr>
          <w:p w14:paraId="3E1BAEAF" w14:textId="77777777" w:rsidR="00A76ADB" w:rsidRPr="006C0D1B" w:rsidRDefault="00A76ADB" w:rsidP="007E3239">
            <w:pPr>
              <w:pStyle w:val="TableTextBold"/>
              <w:spacing w:before="40" w:after="40"/>
              <w:rPr>
                <w:color w:val="FFFFFF"/>
              </w:rPr>
            </w:pPr>
            <w:r w:rsidRPr="006C0D1B">
              <w:rPr>
                <w:rFonts w:eastAsia="Calibri"/>
                <w:color w:val="FFFFFF"/>
              </w:rPr>
              <w:t>Reference</w:t>
            </w:r>
          </w:p>
        </w:tc>
      </w:tr>
      <w:tr w:rsidR="00A76ADB" w14:paraId="10111271" w14:textId="77777777" w:rsidTr="00CF7215">
        <w:trPr>
          <w:cantSplit/>
          <w:trHeight w:val="283"/>
        </w:trPr>
        <w:tc>
          <w:tcPr>
            <w:tcW w:w="2268" w:type="dxa"/>
            <w:shd w:val="clear" w:color="auto" w:fill="FFFFFF"/>
            <w:tcMar>
              <w:top w:w="0" w:type="dxa"/>
              <w:left w:w="108" w:type="dxa"/>
              <w:bottom w:w="0" w:type="dxa"/>
              <w:right w:w="108" w:type="dxa"/>
            </w:tcMar>
          </w:tcPr>
          <w:p w14:paraId="4B5D8D27" w14:textId="77777777" w:rsidR="00A76ADB" w:rsidRDefault="00A76ADB" w:rsidP="007E3239">
            <w:pPr>
              <w:pStyle w:val="TableText"/>
              <w:spacing w:before="40" w:after="40"/>
            </w:pPr>
            <w:r>
              <w:rPr>
                <w:rFonts w:eastAsia="Calibri"/>
              </w:rPr>
              <w:t>Degradable organic component (kg COD/tonne of product)</w:t>
            </w:r>
          </w:p>
        </w:tc>
        <w:tc>
          <w:tcPr>
            <w:tcW w:w="2268" w:type="dxa"/>
            <w:shd w:val="clear" w:color="auto" w:fill="FFFFFF"/>
            <w:tcMar>
              <w:top w:w="0" w:type="dxa"/>
              <w:left w:w="108" w:type="dxa"/>
              <w:bottom w:w="0" w:type="dxa"/>
              <w:right w:w="108" w:type="dxa"/>
            </w:tcMar>
          </w:tcPr>
          <w:p w14:paraId="5EFCEAEE" w14:textId="77777777" w:rsidR="00A76ADB" w:rsidRDefault="00A76ADB" w:rsidP="007E3239">
            <w:pPr>
              <w:pStyle w:val="TableText"/>
              <w:spacing w:before="40" w:after="40"/>
            </w:pPr>
            <w:r>
              <w:rPr>
                <w:rFonts w:eastAsia="Calibri"/>
              </w:rPr>
              <w:t>50</w:t>
            </w:r>
          </w:p>
        </w:tc>
        <w:tc>
          <w:tcPr>
            <w:tcW w:w="1586" w:type="dxa"/>
            <w:shd w:val="clear" w:color="auto" w:fill="FFFFFF"/>
            <w:tcMar>
              <w:top w:w="0" w:type="dxa"/>
              <w:left w:w="108" w:type="dxa"/>
              <w:bottom w:w="0" w:type="dxa"/>
              <w:right w:w="108" w:type="dxa"/>
            </w:tcMar>
          </w:tcPr>
          <w:p w14:paraId="27CD9D88" w14:textId="77777777" w:rsidR="00A76ADB" w:rsidRDefault="00A76ADB" w:rsidP="007E3239">
            <w:pPr>
              <w:pStyle w:val="TableText"/>
              <w:spacing w:before="40" w:after="40"/>
            </w:pPr>
            <w:r>
              <w:rPr>
                <w:rFonts w:eastAsia="Calibri"/>
              </w:rPr>
              <w:t>New Zealand specific</w:t>
            </w:r>
          </w:p>
        </w:tc>
        <w:tc>
          <w:tcPr>
            <w:tcW w:w="0" w:type="auto"/>
            <w:shd w:val="clear" w:color="auto" w:fill="FFFFFF"/>
            <w:tcMar>
              <w:top w:w="0" w:type="dxa"/>
              <w:left w:w="108" w:type="dxa"/>
              <w:bottom w:w="0" w:type="dxa"/>
              <w:right w:w="108" w:type="dxa"/>
            </w:tcMar>
          </w:tcPr>
          <w:p w14:paraId="1621218E" w14:textId="77777777" w:rsidR="00A76ADB" w:rsidRDefault="00A76ADB" w:rsidP="007E3239">
            <w:pPr>
              <w:pStyle w:val="TableText"/>
              <w:spacing w:before="40" w:after="40"/>
            </w:pPr>
            <w:r>
              <w:rPr>
                <w:rFonts w:eastAsia="Calibri"/>
              </w:rPr>
              <w:t>SCS Wetherill Environmental (unpublished)</w:t>
            </w:r>
          </w:p>
        </w:tc>
      </w:tr>
      <w:tr w:rsidR="00A76ADB" w14:paraId="5902A4A5" w14:textId="77777777" w:rsidTr="00CF7215">
        <w:trPr>
          <w:cantSplit/>
          <w:trHeight w:val="283"/>
        </w:trPr>
        <w:tc>
          <w:tcPr>
            <w:tcW w:w="2268" w:type="dxa"/>
            <w:shd w:val="clear" w:color="auto" w:fill="FFFFFF"/>
            <w:tcMar>
              <w:top w:w="0" w:type="dxa"/>
              <w:left w:w="108" w:type="dxa"/>
              <w:bottom w:w="0" w:type="dxa"/>
              <w:right w:w="108" w:type="dxa"/>
            </w:tcMar>
          </w:tcPr>
          <w:p w14:paraId="79FD21F5" w14:textId="77777777" w:rsidR="00A76ADB" w:rsidRDefault="00A76ADB" w:rsidP="007E3239">
            <w:pPr>
              <w:pStyle w:val="TableText"/>
              <w:spacing w:before="40" w:after="40"/>
            </w:pPr>
            <w:r>
              <w:rPr>
                <w:rFonts w:eastAsia="Calibri"/>
              </w:rPr>
              <w:t>Methane correction factor</w:t>
            </w:r>
          </w:p>
        </w:tc>
        <w:tc>
          <w:tcPr>
            <w:tcW w:w="2268" w:type="dxa"/>
            <w:shd w:val="clear" w:color="auto" w:fill="FFFFFF"/>
            <w:tcMar>
              <w:top w:w="0" w:type="dxa"/>
              <w:left w:w="108" w:type="dxa"/>
              <w:bottom w:w="0" w:type="dxa"/>
              <w:right w:w="108" w:type="dxa"/>
            </w:tcMar>
          </w:tcPr>
          <w:p w14:paraId="7F0CBAF2" w14:textId="77777777" w:rsidR="00A76ADB" w:rsidRDefault="00A76ADB" w:rsidP="007E3239">
            <w:pPr>
              <w:pStyle w:val="TableText"/>
              <w:spacing w:before="40" w:after="40"/>
            </w:pPr>
            <w:r>
              <w:rPr>
                <w:rFonts w:eastAsia="Calibri"/>
              </w:rPr>
              <w:t>Range of 0–0.55</w:t>
            </w:r>
          </w:p>
        </w:tc>
        <w:tc>
          <w:tcPr>
            <w:tcW w:w="1586" w:type="dxa"/>
            <w:shd w:val="clear" w:color="auto" w:fill="FFFFFF"/>
            <w:tcMar>
              <w:top w:w="0" w:type="dxa"/>
              <w:left w:w="108" w:type="dxa"/>
              <w:bottom w:w="0" w:type="dxa"/>
              <w:right w:w="108" w:type="dxa"/>
            </w:tcMar>
          </w:tcPr>
          <w:p w14:paraId="266CDB5D" w14:textId="77777777" w:rsidR="00A76ADB" w:rsidRDefault="00A76ADB" w:rsidP="007E3239">
            <w:pPr>
              <w:pStyle w:val="TableText"/>
              <w:spacing w:before="40" w:after="40"/>
            </w:pPr>
            <w:r>
              <w:rPr>
                <w:rFonts w:eastAsia="Calibri"/>
              </w:rPr>
              <w:t>New Zealand specific</w:t>
            </w:r>
          </w:p>
        </w:tc>
        <w:tc>
          <w:tcPr>
            <w:tcW w:w="0" w:type="auto"/>
            <w:shd w:val="clear" w:color="auto" w:fill="FFFFFF"/>
            <w:tcMar>
              <w:top w:w="0" w:type="dxa"/>
              <w:left w:w="108" w:type="dxa"/>
              <w:bottom w:w="0" w:type="dxa"/>
              <w:right w:w="108" w:type="dxa"/>
            </w:tcMar>
          </w:tcPr>
          <w:p w14:paraId="39284598" w14:textId="77777777" w:rsidR="00A76ADB" w:rsidRDefault="00A76ADB" w:rsidP="007E3239">
            <w:pPr>
              <w:pStyle w:val="TableText"/>
              <w:spacing w:before="40" w:after="40"/>
            </w:pPr>
            <w:r>
              <w:rPr>
                <w:rFonts w:eastAsia="Calibri"/>
              </w:rPr>
              <w:t>SCS Wetherill Environmental (unpublished)</w:t>
            </w:r>
          </w:p>
        </w:tc>
      </w:tr>
      <w:tr w:rsidR="00A76ADB" w14:paraId="754F08A3" w14:textId="77777777" w:rsidTr="00CF7215">
        <w:trPr>
          <w:cantSplit/>
          <w:trHeight w:val="283"/>
        </w:trPr>
        <w:tc>
          <w:tcPr>
            <w:tcW w:w="2268" w:type="dxa"/>
            <w:shd w:val="clear" w:color="auto" w:fill="FFFFFF"/>
            <w:tcMar>
              <w:top w:w="0" w:type="dxa"/>
              <w:left w:w="108" w:type="dxa"/>
              <w:bottom w:w="0" w:type="dxa"/>
              <w:right w:w="108" w:type="dxa"/>
            </w:tcMar>
          </w:tcPr>
          <w:p w14:paraId="55733245" w14:textId="77777777" w:rsidR="00A76ADB" w:rsidRDefault="00A76ADB" w:rsidP="007E3239">
            <w:pPr>
              <w:pStyle w:val="TableText"/>
              <w:spacing w:before="40" w:after="40"/>
            </w:pPr>
            <w:r>
              <w:rPr>
                <w:rFonts w:eastAsia="Calibri"/>
              </w:rPr>
              <w:t>Maximum methane-producing capacity (kg CH₄/kg COD)</w:t>
            </w:r>
          </w:p>
        </w:tc>
        <w:tc>
          <w:tcPr>
            <w:tcW w:w="2268" w:type="dxa"/>
            <w:shd w:val="clear" w:color="auto" w:fill="FFFFFF"/>
            <w:tcMar>
              <w:top w:w="0" w:type="dxa"/>
              <w:left w:w="108" w:type="dxa"/>
              <w:bottom w:w="0" w:type="dxa"/>
              <w:right w:w="108" w:type="dxa"/>
            </w:tcMar>
          </w:tcPr>
          <w:p w14:paraId="3F5C6339" w14:textId="77777777" w:rsidR="00A76ADB" w:rsidRDefault="00A76ADB" w:rsidP="007E3239">
            <w:pPr>
              <w:pStyle w:val="TableText"/>
              <w:spacing w:before="40" w:after="40"/>
            </w:pPr>
            <w:r>
              <w:rPr>
                <w:rFonts w:eastAsia="Calibri"/>
              </w:rPr>
              <w:t>0.25</w:t>
            </w:r>
          </w:p>
        </w:tc>
        <w:tc>
          <w:tcPr>
            <w:tcW w:w="1586" w:type="dxa"/>
            <w:shd w:val="clear" w:color="auto" w:fill="FFFFFF"/>
            <w:tcMar>
              <w:top w:w="0" w:type="dxa"/>
              <w:left w:w="108" w:type="dxa"/>
              <w:bottom w:w="0" w:type="dxa"/>
              <w:right w:w="108" w:type="dxa"/>
            </w:tcMar>
          </w:tcPr>
          <w:p w14:paraId="56575999" w14:textId="77777777" w:rsidR="00A76ADB" w:rsidRDefault="00A76ADB" w:rsidP="007E3239">
            <w:pPr>
              <w:pStyle w:val="TableText"/>
              <w:spacing w:before="40" w:after="40"/>
            </w:pPr>
            <w:r>
              <w:rPr>
                <w:rFonts w:eastAsia="Calibri"/>
              </w:rPr>
              <w:t>IPCC default</w:t>
            </w:r>
          </w:p>
        </w:tc>
        <w:tc>
          <w:tcPr>
            <w:tcW w:w="0" w:type="auto"/>
            <w:shd w:val="clear" w:color="auto" w:fill="FFFFFF"/>
            <w:tcMar>
              <w:top w:w="0" w:type="dxa"/>
              <w:left w:w="108" w:type="dxa"/>
              <w:bottom w:w="0" w:type="dxa"/>
              <w:right w:w="108" w:type="dxa"/>
            </w:tcMar>
          </w:tcPr>
          <w:p w14:paraId="70151EE4" w14:textId="77777777" w:rsidR="00A76ADB" w:rsidRDefault="00A76ADB" w:rsidP="007E3239">
            <w:pPr>
              <w:pStyle w:val="TableText"/>
              <w:spacing w:before="40" w:after="40"/>
            </w:pPr>
            <w:r>
              <w:rPr>
                <w:rFonts w:eastAsia="Calibri"/>
              </w:rPr>
              <w:t>IPCC (2006)</w:t>
            </w:r>
          </w:p>
        </w:tc>
      </w:tr>
      <w:tr w:rsidR="00A76ADB" w14:paraId="6EF9C538" w14:textId="77777777" w:rsidTr="00CF7215">
        <w:trPr>
          <w:cantSplit/>
          <w:trHeight w:val="283"/>
        </w:trPr>
        <w:tc>
          <w:tcPr>
            <w:tcW w:w="2268" w:type="dxa"/>
            <w:shd w:val="clear" w:color="auto" w:fill="FFFFFF"/>
            <w:tcMar>
              <w:top w:w="0" w:type="dxa"/>
              <w:left w:w="108" w:type="dxa"/>
              <w:bottom w:w="0" w:type="dxa"/>
              <w:right w:w="108" w:type="dxa"/>
            </w:tcMar>
          </w:tcPr>
          <w:p w14:paraId="740B4022" w14:textId="77777777" w:rsidR="00A76ADB" w:rsidRDefault="00A76ADB" w:rsidP="007E3239">
            <w:pPr>
              <w:pStyle w:val="TableText"/>
              <w:spacing w:before="40" w:after="40"/>
            </w:pPr>
            <w:r>
              <w:rPr>
                <w:rFonts w:eastAsia="Calibri"/>
              </w:rPr>
              <w:t>Overall emission factor</w:t>
            </w:r>
          </w:p>
        </w:tc>
        <w:tc>
          <w:tcPr>
            <w:tcW w:w="2268" w:type="dxa"/>
            <w:shd w:val="clear" w:color="auto" w:fill="FFFFFF"/>
            <w:tcMar>
              <w:top w:w="0" w:type="dxa"/>
              <w:left w:w="108" w:type="dxa"/>
              <w:bottom w:w="0" w:type="dxa"/>
              <w:right w:w="108" w:type="dxa"/>
            </w:tcMar>
          </w:tcPr>
          <w:p w14:paraId="6EA86058" w14:textId="77777777" w:rsidR="00A76ADB" w:rsidRDefault="00A76ADB" w:rsidP="007E3239">
            <w:pPr>
              <w:pStyle w:val="TableText"/>
              <w:spacing w:before="40" w:after="40"/>
            </w:pPr>
            <w:r>
              <w:rPr>
                <w:rFonts w:eastAsia="Calibri"/>
              </w:rPr>
              <w:t>0.036 (meat excluding poultry) 0.0344 (poultry)</w:t>
            </w:r>
          </w:p>
        </w:tc>
        <w:tc>
          <w:tcPr>
            <w:tcW w:w="1586" w:type="dxa"/>
            <w:shd w:val="clear" w:color="auto" w:fill="FFFFFF"/>
            <w:tcMar>
              <w:top w:w="0" w:type="dxa"/>
              <w:left w:w="108" w:type="dxa"/>
              <w:bottom w:w="0" w:type="dxa"/>
              <w:right w:w="108" w:type="dxa"/>
            </w:tcMar>
          </w:tcPr>
          <w:p w14:paraId="4C8503E2" w14:textId="77777777" w:rsidR="00A76ADB" w:rsidRDefault="00A76ADB" w:rsidP="007E3239">
            <w:pPr>
              <w:pStyle w:val="TableText"/>
              <w:spacing w:before="40" w:after="40"/>
            </w:pPr>
            <w:r>
              <w:rPr>
                <w:rFonts w:eastAsia="Calibri"/>
              </w:rPr>
              <w:t>New Zealand specific</w:t>
            </w:r>
          </w:p>
        </w:tc>
        <w:tc>
          <w:tcPr>
            <w:tcW w:w="0" w:type="auto"/>
            <w:shd w:val="clear" w:color="auto" w:fill="FFFFFF"/>
            <w:tcMar>
              <w:top w:w="0" w:type="dxa"/>
              <w:left w:w="108" w:type="dxa"/>
              <w:bottom w:w="0" w:type="dxa"/>
              <w:right w:w="108" w:type="dxa"/>
            </w:tcMar>
          </w:tcPr>
          <w:p w14:paraId="25F2CEF1" w14:textId="0BE47E03" w:rsidR="00A76ADB" w:rsidRDefault="00A76ADB" w:rsidP="007E3239">
            <w:pPr>
              <w:pStyle w:val="TableText"/>
              <w:spacing w:before="40" w:after="40"/>
            </w:pPr>
            <w:r>
              <w:rPr>
                <w:rFonts w:eastAsia="Calibri"/>
              </w:rPr>
              <w:t>Cardno (</w:t>
            </w:r>
            <w:r w:rsidR="00CE07F2">
              <w:rPr>
                <w:rFonts w:eastAsia="Calibri"/>
              </w:rPr>
              <w:t>2015</w:t>
            </w:r>
            <w:r>
              <w:rPr>
                <w:rFonts w:eastAsia="Calibri"/>
              </w:rPr>
              <w:t>)</w:t>
            </w:r>
          </w:p>
        </w:tc>
      </w:tr>
    </w:tbl>
    <w:p w14:paraId="7F0FF518" w14:textId="77777777" w:rsidR="00A76ADB" w:rsidRDefault="00A76ADB" w:rsidP="00A76ADB">
      <w:pPr>
        <w:pStyle w:val="Noteundertable"/>
      </w:pPr>
      <w:r>
        <w:rPr>
          <w:b/>
          <w:bCs/>
        </w:rPr>
        <w:t>Note:</w:t>
      </w:r>
      <w:r w:rsidRPr="001515DA">
        <w:t xml:space="preserve"> </w:t>
      </w:r>
      <w:r>
        <w:tab/>
        <w:t>COD = chemical oxygen demand.</w:t>
      </w:r>
    </w:p>
    <w:p w14:paraId="223A8E62" w14:textId="77777777" w:rsidR="00A76ADB" w:rsidRDefault="00A76ADB" w:rsidP="00A76ADB">
      <w:pPr>
        <w:pStyle w:val="Heading6"/>
      </w:pPr>
      <w:bookmarkStart w:id="2461" w:name="recovery-2"/>
      <w:r>
        <w:t>Recovery</w:t>
      </w:r>
    </w:p>
    <w:p w14:paraId="3B751866" w14:textId="77777777" w:rsidR="00A76ADB" w:rsidRDefault="00A76ADB" w:rsidP="00A76ADB">
      <w:pPr>
        <w:pStyle w:val="BodyText"/>
      </w:pPr>
      <w:r>
        <w:t>There is no recovery of emissions reported for this source.</w:t>
      </w:r>
    </w:p>
    <w:p w14:paraId="1635CFE2" w14:textId="77777777" w:rsidR="00A76ADB" w:rsidRDefault="00A76ADB" w:rsidP="00A76ADB">
      <w:pPr>
        <w:pStyle w:val="Heading5"/>
      </w:pPr>
      <w:bookmarkStart w:id="2462" w:name="Xb0f87ab327284949166e160373d79028699348d"/>
      <w:bookmarkEnd w:id="2459"/>
      <w:bookmarkEnd w:id="2461"/>
      <w:r>
        <w:t>Methane emissions from industrial wastewater treatment – Pulp and paper industry</w:t>
      </w:r>
    </w:p>
    <w:p w14:paraId="2974C7E0" w14:textId="77777777" w:rsidR="00A76ADB" w:rsidRDefault="00A76ADB" w:rsidP="00A76ADB">
      <w:pPr>
        <w:pStyle w:val="BodyText"/>
      </w:pPr>
      <w:r>
        <w:t>Table 7.5.9 summarises the parameter values applied for estimating CH</w:t>
      </w:r>
      <w:r>
        <w:rPr>
          <w:vertAlign w:val="subscript"/>
        </w:rPr>
        <w:t>4</w:t>
      </w:r>
      <w:r>
        <w:t xml:space="preserve"> emissions from wastewater treatment by the pulp and paper industry.</w:t>
      </w:r>
    </w:p>
    <w:p w14:paraId="0024ADC0" w14:textId="77777777" w:rsidR="00A76ADB" w:rsidRDefault="00A76ADB" w:rsidP="00A76ADB">
      <w:pPr>
        <w:pStyle w:val="Table"/>
      </w:pPr>
      <w:bookmarkStart w:id="2463" w:name="_Toc99659348"/>
      <w:r>
        <w:lastRenderedPageBreak/>
        <w:t>Table 7.5.9</w:t>
      </w:r>
      <w:r>
        <w:tab/>
        <w:t>Parameter values applied by New Zealand for estimating methane emissions for wastewater treatment by the pulp and paper industry</w:t>
      </w:r>
      <w:bookmarkEnd w:id="2463"/>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577"/>
        <w:gridCol w:w="1385"/>
        <w:gridCol w:w="1701"/>
        <w:gridCol w:w="1842"/>
      </w:tblGrid>
      <w:tr w:rsidR="00A76ADB" w:rsidRPr="006C0D1B" w14:paraId="69A609FF" w14:textId="77777777" w:rsidTr="0083317F">
        <w:trPr>
          <w:cantSplit/>
          <w:tblHeader/>
        </w:trPr>
        <w:tc>
          <w:tcPr>
            <w:tcW w:w="0" w:type="auto"/>
            <w:shd w:val="clear" w:color="auto" w:fill="1B556B"/>
            <w:tcMar>
              <w:top w:w="0" w:type="dxa"/>
              <w:left w:w="108" w:type="dxa"/>
              <w:bottom w:w="0" w:type="dxa"/>
              <w:right w:w="108" w:type="dxa"/>
            </w:tcMar>
          </w:tcPr>
          <w:p w14:paraId="1A2A5C45" w14:textId="77777777" w:rsidR="00A76ADB" w:rsidRPr="006C0D1B" w:rsidRDefault="00A76ADB" w:rsidP="007E3239">
            <w:pPr>
              <w:pStyle w:val="TableTextBold"/>
              <w:spacing w:before="40" w:after="40"/>
              <w:rPr>
                <w:color w:val="FFFFFF"/>
              </w:rPr>
            </w:pPr>
            <w:r w:rsidRPr="006C0D1B">
              <w:rPr>
                <w:rFonts w:eastAsia="Calibri"/>
                <w:color w:val="FFFFFF"/>
              </w:rPr>
              <w:t>Parameter</w:t>
            </w:r>
          </w:p>
        </w:tc>
        <w:tc>
          <w:tcPr>
            <w:tcW w:w="1385" w:type="dxa"/>
            <w:shd w:val="clear" w:color="auto" w:fill="1B556B"/>
            <w:tcMar>
              <w:top w:w="0" w:type="dxa"/>
              <w:left w:w="108" w:type="dxa"/>
              <w:bottom w:w="0" w:type="dxa"/>
              <w:right w:w="108" w:type="dxa"/>
            </w:tcMar>
          </w:tcPr>
          <w:p w14:paraId="66227B69" w14:textId="77777777" w:rsidR="00A76ADB" w:rsidRPr="006C0D1B" w:rsidRDefault="00A76ADB" w:rsidP="007E3239">
            <w:pPr>
              <w:pStyle w:val="TableTextBold"/>
              <w:spacing w:before="40" w:after="40"/>
              <w:rPr>
                <w:color w:val="FFFFFF"/>
              </w:rPr>
            </w:pPr>
            <w:r w:rsidRPr="006C0D1B">
              <w:rPr>
                <w:rFonts w:eastAsia="Calibri"/>
                <w:color w:val="FFFFFF"/>
              </w:rPr>
              <w:t>Value</w:t>
            </w:r>
          </w:p>
        </w:tc>
        <w:tc>
          <w:tcPr>
            <w:tcW w:w="1701" w:type="dxa"/>
            <w:shd w:val="clear" w:color="auto" w:fill="1B556B"/>
            <w:tcMar>
              <w:top w:w="0" w:type="dxa"/>
              <w:left w:w="108" w:type="dxa"/>
              <w:bottom w:w="0" w:type="dxa"/>
              <w:right w:w="108" w:type="dxa"/>
            </w:tcMar>
          </w:tcPr>
          <w:p w14:paraId="53E56A21" w14:textId="77777777" w:rsidR="00A76ADB" w:rsidRPr="006C0D1B" w:rsidRDefault="00A76ADB" w:rsidP="007E3239">
            <w:pPr>
              <w:pStyle w:val="TableTextBold"/>
              <w:spacing w:before="40" w:after="40"/>
              <w:rPr>
                <w:color w:val="FFFFFF"/>
              </w:rPr>
            </w:pPr>
            <w:r w:rsidRPr="006C0D1B">
              <w:rPr>
                <w:rFonts w:eastAsia="Calibri"/>
                <w:color w:val="FFFFFF"/>
              </w:rPr>
              <w:t>Source</w:t>
            </w:r>
          </w:p>
        </w:tc>
        <w:tc>
          <w:tcPr>
            <w:tcW w:w="1842" w:type="dxa"/>
            <w:shd w:val="clear" w:color="auto" w:fill="1B556B"/>
            <w:tcMar>
              <w:top w:w="0" w:type="dxa"/>
              <w:left w:w="108" w:type="dxa"/>
              <w:bottom w:w="0" w:type="dxa"/>
              <w:right w:w="108" w:type="dxa"/>
            </w:tcMar>
          </w:tcPr>
          <w:p w14:paraId="23255120" w14:textId="77777777" w:rsidR="00A76ADB" w:rsidRPr="006C0D1B" w:rsidRDefault="00A76ADB" w:rsidP="007E3239">
            <w:pPr>
              <w:pStyle w:val="TableTextBold"/>
              <w:spacing w:before="40" w:after="40"/>
              <w:rPr>
                <w:color w:val="FFFFFF"/>
              </w:rPr>
            </w:pPr>
            <w:r w:rsidRPr="006C0D1B">
              <w:rPr>
                <w:rFonts w:eastAsia="Calibri"/>
                <w:color w:val="FFFFFF"/>
              </w:rPr>
              <w:t>Reference</w:t>
            </w:r>
          </w:p>
        </w:tc>
      </w:tr>
      <w:tr w:rsidR="00A76ADB" w14:paraId="7068E8E4" w14:textId="77777777" w:rsidTr="0083317F">
        <w:trPr>
          <w:cantSplit/>
          <w:trHeight w:val="283"/>
        </w:trPr>
        <w:tc>
          <w:tcPr>
            <w:tcW w:w="0" w:type="auto"/>
            <w:shd w:val="clear" w:color="auto" w:fill="FFFFFF"/>
            <w:tcMar>
              <w:top w:w="0" w:type="dxa"/>
              <w:left w:w="108" w:type="dxa"/>
              <w:bottom w:w="0" w:type="dxa"/>
              <w:right w:w="108" w:type="dxa"/>
            </w:tcMar>
          </w:tcPr>
          <w:p w14:paraId="21DA5F85" w14:textId="77777777" w:rsidR="00A76ADB" w:rsidRDefault="00A76ADB" w:rsidP="007E3239">
            <w:pPr>
              <w:pStyle w:val="TableText"/>
              <w:spacing w:before="40" w:after="40"/>
            </w:pPr>
            <w:r>
              <w:rPr>
                <w:rFonts w:eastAsia="Calibri"/>
              </w:rPr>
              <w:t>Degradable organic component (kg COD/tonne of product)</w:t>
            </w:r>
          </w:p>
        </w:tc>
        <w:tc>
          <w:tcPr>
            <w:tcW w:w="1385" w:type="dxa"/>
            <w:shd w:val="clear" w:color="auto" w:fill="FFFFFF"/>
            <w:tcMar>
              <w:top w:w="0" w:type="dxa"/>
              <w:left w:w="108" w:type="dxa"/>
              <w:bottom w:w="0" w:type="dxa"/>
              <w:right w:w="108" w:type="dxa"/>
            </w:tcMar>
          </w:tcPr>
          <w:p w14:paraId="518F29A9" w14:textId="77777777" w:rsidR="00A76ADB" w:rsidRDefault="00A76ADB" w:rsidP="007E3239">
            <w:pPr>
              <w:pStyle w:val="TableText"/>
              <w:spacing w:before="40" w:after="40"/>
            </w:pPr>
            <w:r>
              <w:rPr>
                <w:rFonts w:eastAsia="Calibri"/>
              </w:rPr>
              <w:t>36</w:t>
            </w:r>
          </w:p>
        </w:tc>
        <w:tc>
          <w:tcPr>
            <w:tcW w:w="1701" w:type="dxa"/>
            <w:shd w:val="clear" w:color="auto" w:fill="FFFFFF"/>
            <w:tcMar>
              <w:top w:w="0" w:type="dxa"/>
              <w:left w:w="108" w:type="dxa"/>
              <w:bottom w:w="0" w:type="dxa"/>
              <w:right w:w="108" w:type="dxa"/>
            </w:tcMar>
          </w:tcPr>
          <w:p w14:paraId="7C3E2902" w14:textId="77777777" w:rsidR="00A76ADB" w:rsidRDefault="00A76ADB" w:rsidP="007E3239">
            <w:pPr>
              <w:pStyle w:val="TableText"/>
              <w:spacing w:before="40" w:after="40"/>
            </w:pPr>
            <w:r>
              <w:rPr>
                <w:rFonts w:eastAsia="Calibri"/>
              </w:rPr>
              <w:t>New Zealand specific</w:t>
            </w:r>
          </w:p>
        </w:tc>
        <w:tc>
          <w:tcPr>
            <w:tcW w:w="1842" w:type="dxa"/>
            <w:shd w:val="clear" w:color="auto" w:fill="FFFFFF"/>
            <w:tcMar>
              <w:top w:w="0" w:type="dxa"/>
              <w:left w:w="108" w:type="dxa"/>
              <w:bottom w:w="0" w:type="dxa"/>
              <w:right w:w="108" w:type="dxa"/>
            </w:tcMar>
          </w:tcPr>
          <w:p w14:paraId="77B83227" w14:textId="77777777" w:rsidR="00A76ADB" w:rsidRDefault="00A76ADB" w:rsidP="007E3239">
            <w:pPr>
              <w:pStyle w:val="TableText"/>
              <w:spacing w:before="40" w:after="40"/>
            </w:pPr>
            <w:r>
              <w:rPr>
                <w:rFonts w:eastAsia="Calibri"/>
              </w:rPr>
              <w:t>Beca Infrastructure Ltd (unpublished)</w:t>
            </w:r>
          </w:p>
        </w:tc>
      </w:tr>
      <w:tr w:rsidR="00A76ADB" w14:paraId="29FF3656" w14:textId="77777777" w:rsidTr="0083317F">
        <w:trPr>
          <w:cantSplit/>
          <w:trHeight w:val="283"/>
        </w:trPr>
        <w:tc>
          <w:tcPr>
            <w:tcW w:w="0" w:type="auto"/>
            <w:shd w:val="clear" w:color="auto" w:fill="FFFFFF"/>
            <w:tcMar>
              <w:top w:w="0" w:type="dxa"/>
              <w:left w:w="108" w:type="dxa"/>
              <w:bottom w:w="0" w:type="dxa"/>
              <w:right w:w="108" w:type="dxa"/>
            </w:tcMar>
          </w:tcPr>
          <w:p w14:paraId="03BB743C" w14:textId="77777777" w:rsidR="00A76ADB" w:rsidRDefault="00A76ADB" w:rsidP="007E3239">
            <w:pPr>
              <w:pStyle w:val="TableText"/>
              <w:spacing w:before="40" w:after="40"/>
            </w:pPr>
            <w:r>
              <w:rPr>
                <w:rFonts w:eastAsia="Calibri"/>
              </w:rPr>
              <w:t>Methane correction factor</w:t>
            </w:r>
          </w:p>
        </w:tc>
        <w:tc>
          <w:tcPr>
            <w:tcW w:w="1385" w:type="dxa"/>
            <w:shd w:val="clear" w:color="auto" w:fill="FFFFFF"/>
            <w:tcMar>
              <w:top w:w="0" w:type="dxa"/>
              <w:left w:w="108" w:type="dxa"/>
              <w:bottom w:w="0" w:type="dxa"/>
              <w:right w:w="108" w:type="dxa"/>
            </w:tcMar>
          </w:tcPr>
          <w:p w14:paraId="4966C995" w14:textId="77777777" w:rsidR="00A76ADB" w:rsidRDefault="00A76ADB" w:rsidP="007E3239">
            <w:pPr>
              <w:pStyle w:val="TableText"/>
              <w:spacing w:before="40" w:after="40"/>
            </w:pPr>
            <w:r>
              <w:rPr>
                <w:rFonts w:eastAsia="Calibri"/>
              </w:rPr>
              <w:t>Range of 0–0.8</w:t>
            </w:r>
          </w:p>
        </w:tc>
        <w:tc>
          <w:tcPr>
            <w:tcW w:w="1701" w:type="dxa"/>
            <w:shd w:val="clear" w:color="auto" w:fill="FFFFFF"/>
            <w:tcMar>
              <w:top w:w="0" w:type="dxa"/>
              <w:left w:w="108" w:type="dxa"/>
              <w:bottom w:w="0" w:type="dxa"/>
              <w:right w:w="108" w:type="dxa"/>
            </w:tcMar>
          </w:tcPr>
          <w:p w14:paraId="07504448" w14:textId="77777777" w:rsidR="00A76ADB" w:rsidRDefault="00A76ADB" w:rsidP="007E3239">
            <w:pPr>
              <w:pStyle w:val="TableText"/>
              <w:spacing w:before="40" w:after="40"/>
            </w:pPr>
            <w:r>
              <w:rPr>
                <w:rFonts w:eastAsia="Calibri"/>
              </w:rPr>
              <w:t>New Zealand specific</w:t>
            </w:r>
          </w:p>
        </w:tc>
        <w:tc>
          <w:tcPr>
            <w:tcW w:w="1842" w:type="dxa"/>
            <w:shd w:val="clear" w:color="auto" w:fill="FFFFFF"/>
            <w:tcMar>
              <w:top w:w="0" w:type="dxa"/>
              <w:left w:w="108" w:type="dxa"/>
              <w:bottom w:w="0" w:type="dxa"/>
              <w:right w:w="108" w:type="dxa"/>
            </w:tcMar>
          </w:tcPr>
          <w:p w14:paraId="2D5827E5" w14:textId="77777777" w:rsidR="00A76ADB" w:rsidRDefault="00A76ADB" w:rsidP="007E3239">
            <w:pPr>
              <w:pStyle w:val="TableText"/>
              <w:spacing w:before="40" w:after="40"/>
            </w:pPr>
            <w:r>
              <w:rPr>
                <w:rFonts w:eastAsia="Calibri"/>
              </w:rPr>
              <w:t>Beca Infrastructure Ltd (unpublished)</w:t>
            </w:r>
          </w:p>
        </w:tc>
      </w:tr>
      <w:tr w:rsidR="00A76ADB" w14:paraId="2266CCEF" w14:textId="77777777" w:rsidTr="0083317F">
        <w:trPr>
          <w:cantSplit/>
          <w:trHeight w:val="283"/>
        </w:trPr>
        <w:tc>
          <w:tcPr>
            <w:tcW w:w="0" w:type="auto"/>
            <w:shd w:val="clear" w:color="auto" w:fill="FFFFFF"/>
            <w:tcMar>
              <w:top w:w="0" w:type="dxa"/>
              <w:left w:w="108" w:type="dxa"/>
              <w:bottom w:w="0" w:type="dxa"/>
              <w:right w:w="108" w:type="dxa"/>
            </w:tcMar>
          </w:tcPr>
          <w:p w14:paraId="3ED45949" w14:textId="77777777" w:rsidR="00A76ADB" w:rsidRDefault="00A76ADB" w:rsidP="007E3239">
            <w:pPr>
              <w:pStyle w:val="TableText"/>
              <w:spacing w:before="40" w:after="40"/>
            </w:pPr>
            <w:r>
              <w:rPr>
                <w:rFonts w:eastAsia="Calibri"/>
              </w:rPr>
              <w:t>Maximum methane-producing capacity (kg CH₄/kg COD)</w:t>
            </w:r>
          </w:p>
        </w:tc>
        <w:tc>
          <w:tcPr>
            <w:tcW w:w="1385" w:type="dxa"/>
            <w:shd w:val="clear" w:color="auto" w:fill="FFFFFF"/>
            <w:tcMar>
              <w:top w:w="0" w:type="dxa"/>
              <w:left w:w="108" w:type="dxa"/>
              <w:bottom w:w="0" w:type="dxa"/>
              <w:right w:w="108" w:type="dxa"/>
            </w:tcMar>
          </w:tcPr>
          <w:p w14:paraId="73720967" w14:textId="77777777" w:rsidR="00A76ADB" w:rsidRDefault="00A76ADB" w:rsidP="007E3239">
            <w:pPr>
              <w:pStyle w:val="TableText"/>
              <w:spacing w:before="40" w:after="40"/>
            </w:pPr>
            <w:r>
              <w:rPr>
                <w:rFonts w:eastAsia="Calibri"/>
              </w:rPr>
              <w:t>0.25</w:t>
            </w:r>
          </w:p>
        </w:tc>
        <w:tc>
          <w:tcPr>
            <w:tcW w:w="1701" w:type="dxa"/>
            <w:shd w:val="clear" w:color="auto" w:fill="FFFFFF"/>
            <w:tcMar>
              <w:top w:w="0" w:type="dxa"/>
              <w:left w:w="108" w:type="dxa"/>
              <w:bottom w:w="0" w:type="dxa"/>
              <w:right w:w="108" w:type="dxa"/>
            </w:tcMar>
          </w:tcPr>
          <w:p w14:paraId="78DFA3FC" w14:textId="77777777" w:rsidR="00A76ADB" w:rsidRDefault="00A76ADB" w:rsidP="007E3239">
            <w:pPr>
              <w:pStyle w:val="TableText"/>
              <w:spacing w:before="40" w:after="40"/>
            </w:pPr>
            <w:r>
              <w:rPr>
                <w:rFonts w:eastAsia="Calibri"/>
              </w:rPr>
              <w:t>IPCC default</w:t>
            </w:r>
          </w:p>
        </w:tc>
        <w:tc>
          <w:tcPr>
            <w:tcW w:w="1842" w:type="dxa"/>
            <w:shd w:val="clear" w:color="auto" w:fill="FFFFFF"/>
            <w:tcMar>
              <w:top w:w="0" w:type="dxa"/>
              <w:left w:w="108" w:type="dxa"/>
              <w:bottom w:w="0" w:type="dxa"/>
              <w:right w:w="108" w:type="dxa"/>
            </w:tcMar>
          </w:tcPr>
          <w:p w14:paraId="36A2E638" w14:textId="77777777" w:rsidR="00A76ADB" w:rsidRDefault="00A76ADB" w:rsidP="007E3239">
            <w:pPr>
              <w:pStyle w:val="TableText"/>
              <w:spacing w:before="40" w:after="40"/>
            </w:pPr>
            <w:r>
              <w:rPr>
                <w:rFonts w:eastAsia="Calibri"/>
              </w:rPr>
              <w:t>IPCC (2006a)</w:t>
            </w:r>
          </w:p>
        </w:tc>
      </w:tr>
      <w:tr w:rsidR="00A76ADB" w14:paraId="3F6A1DA8" w14:textId="77777777" w:rsidTr="0083317F">
        <w:trPr>
          <w:cantSplit/>
          <w:trHeight w:val="283"/>
        </w:trPr>
        <w:tc>
          <w:tcPr>
            <w:tcW w:w="0" w:type="auto"/>
            <w:shd w:val="clear" w:color="auto" w:fill="FFFFFF"/>
            <w:tcMar>
              <w:top w:w="0" w:type="dxa"/>
              <w:left w:w="108" w:type="dxa"/>
              <w:bottom w:w="0" w:type="dxa"/>
              <w:right w:w="108" w:type="dxa"/>
            </w:tcMar>
          </w:tcPr>
          <w:p w14:paraId="5CD0B774" w14:textId="77777777" w:rsidR="00A76ADB" w:rsidRDefault="00A76ADB" w:rsidP="007E3239">
            <w:pPr>
              <w:pStyle w:val="TableText"/>
              <w:spacing w:before="40" w:after="40"/>
            </w:pPr>
            <w:r>
              <w:rPr>
                <w:rFonts w:eastAsia="Calibri"/>
              </w:rPr>
              <w:t>Overall emission factor</w:t>
            </w:r>
          </w:p>
        </w:tc>
        <w:tc>
          <w:tcPr>
            <w:tcW w:w="1385" w:type="dxa"/>
            <w:shd w:val="clear" w:color="auto" w:fill="FFFFFF"/>
            <w:tcMar>
              <w:top w:w="0" w:type="dxa"/>
              <w:left w:w="108" w:type="dxa"/>
              <w:bottom w:w="0" w:type="dxa"/>
              <w:right w:w="108" w:type="dxa"/>
            </w:tcMar>
          </w:tcPr>
          <w:p w14:paraId="4E1AB3AF" w14:textId="77777777" w:rsidR="00A76ADB" w:rsidRDefault="00A76ADB" w:rsidP="007E3239">
            <w:pPr>
              <w:pStyle w:val="TableText"/>
              <w:spacing w:before="40" w:after="40"/>
            </w:pPr>
            <w:r>
              <w:rPr>
                <w:rFonts w:eastAsia="Calibri"/>
              </w:rPr>
              <w:t>0.0117</w:t>
            </w:r>
          </w:p>
        </w:tc>
        <w:tc>
          <w:tcPr>
            <w:tcW w:w="1701" w:type="dxa"/>
            <w:shd w:val="clear" w:color="auto" w:fill="FFFFFF"/>
            <w:tcMar>
              <w:top w:w="0" w:type="dxa"/>
              <w:left w:w="108" w:type="dxa"/>
              <w:bottom w:w="0" w:type="dxa"/>
              <w:right w:w="108" w:type="dxa"/>
            </w:tcMar>
          </w:tcPr>
          <w:p w14:paraId="716C128B" w14:textId="77777777" w:rsidR="00A76ADB" w:rsidRDefault="00A76ADB" w:rsidP="007E3239">
            <w:pPr>
              <w:pStyle w:val="TableText"/>
              <w:spacing w:before="40" w:after="40"/>
            </w:pPr>
            <w:r>
              <w:rPr>
                <w:rFonts w:eastAsia="Calibri"/>
              </w:rPr>
              <w:t>New Zealand specific</w:t>
            </w:r>
          </w:p>
        </w:tc>
        <w:tc>
          <w:tcPr>
            <w:tcW w:w="1842" w:type="dxa"/>
            <w:shd w:val="clear" w:color="auto" w:fill="FFFFFF"/>
            <w:tcMar>
              <w:top w:w="0" w:type="dxa"/>
              <w:left w:w="108" w:type="dxa"/>
              <w:bottom w:w="0" w:type="dxa"/>
              <w:right w:w="108" w:type="dxa"/>
            </w:tcMar>
          </w:tcPr>
          <w:p w14:paraId="5A1053C2" w14:textId="6C000816" w:rsidR="00A76ADB" w:rsidRDefault="00A76ADB" w:rsidP="007E3239">
            <w:pPr>
              <w:pStyle w:val="TableText"/>
              <w:spacing w:before="40" w:after="40"/>
            </w:pPr>
            <w:r>
              <w:rPr>
                <w:rFonts w:eastAsia="Calibri"/>
              </w:rPr>
              <w:t>Cardno (</w:t>
            </w:r>
            <w:r w:rsidR="00CE07F2">
              <w:rPr>
                <w:rFonts w:eastAsia="Calibri"/>
              </w:rPr>
              <w:t>2015</w:t>
            </w:r>
            <w:r>
              <w:rPr>
                <w:rFonts w:eastAsia="Calibri"/>
              </w:rPr>
              <w:t>)</w:t>
            </w:r>
          </w:p>
        </w:tc>
      </w:tr>
    </w:tbl>
    <w:p w14:paraId="65008A40" w14:textId="77777777" w:rsidR="00A76ADB" w:rsidRDefault="00A76ADB" w:rsidP="00A76ADB">
      <w:pPr>
        <w:pStyle w:val="Noteundertable"/>
      </w:pPr>
      <w:r>
        <w:rPr>
          <w:b/>
          <w:bCs/>
        </w:rPr>
        <w:t>Note:</w:t>
      </w:r>
      <w:r w:rsidRPr="001515DA">
        <w:t xml:space="preserve"> </w:t>
      </w:r>
      <w:r>
        <w:tab/>
        <w:t>COD = chemical oxygen demand.</w:t>
      </w:r>
    </w:p>
    <w:p w14:paraId="60C49962" w14:textId="77777777" w:rsidR="00A76ADB" w:rsidRDefault="00A76ADB" w:rsidP="00A76ADB">
      <w:pPr>
        <w:pStyle w:val="Heading6"/>
        <w:spacing w:before="180"/>
      </w:pPr>
      <w:bookmarkStart w:id="2464" w:name="recovery-3"/>
      <w:r>
        <w:t>Recovery</w:t>
      </w:r>
    </w:p>
    <w:p w14:paraId="713D2029" w14:textId="77777777" w:rsidR="00A76ADB" w:rsidRDefault="00A76ADB" w:rsidP="00A76ADB">
      <w:pPr>
        <w:pStyle w:val="BodyText"/>
      </w:pPr>
      <w:r>
        <w:t>There is no recovery of emissions reported for this source.</w:t>
      </w:r>
    </w:p>
    <w:p w14:paraId="5107C3BF" w14:textId="77777777" w:rsidR="00A76ADB" w:rsidRDefault="00A76ADB" w:rsidP="00A76ADB">
      <w:pPr>
        <w:pStyle w:val="Heading5"/>
        <w:spacing w:before="180"/>
      </w:pPr>
      <w:bookmarkStart w:id="2465" w:name="X5488992b1bcc26c67c2161f3c767fe6715fed57"/>
      <w:bookmarkEnd w:id="2462"/>
      <w:bookmarkEnd w:id="2464"/>
      <w:r>
        <w:t>Methane emissions from industrial wastewater treatment – Wine industry</w:t>
      </w:r>
    </w:p>
    <w:p w14:paraId="31ED6428" w14:textId="77777777" w:rsidR="00A76ADB" w:rsidRDefault="00A76ADB" w:rsidP="00A76ADB">
      <w:pPr>
        <w:pStyle w:val="BodyText"/>
      </w:pPr>
      <w:r>
        <w:t>Table 7.5.10 summarises the parameter values applied for estimating CH</w:t>
      </w:r>
      <w:r>
        <w:rPr>
          <w:vertAlign w:val="subscript"/>
        </w:rPr>
        <w:t>4</w:t>
      </w:r>
      <w:r>
        <w:t xml:space="preserve"> emissions from wastewater treatment by the wine industry.</w:t>
      </w:r>
    </w:p>
    <w:p w14:paraId="7B283057" w14:textId="77777777" w:rsidR="00A76ADB" w:rsidRDefault="00A76ADB" w:rsidP="00A76ADB">
      <w:pPr>
        <w:pStyle w:val="Table"/>
      </w:pPr>
      <w:bookmarkStart w:id="2466" w:name="_Toc99659349"/>
      <w:r>
        <w:t>Table 7.5.10</w:t>
      </w:r>
      <w:r>
        <w:tab/>
        <w:t>Parameter values applied by New Zealand for estimating methane emissions for wastewater treatment by the wine industry</w:t>
      </w:r>
      <w:bookmarkEnd w:id="2466"/>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577"/>
        <w:gridCol w:w="1243"/>
        <w:gridCol w:w="1701"/>
        <w:gridCol w:w="1984"/>
      </w:tblGrid>
      <w:tr w:rsidR="00A76ADB" w:rsidRPr="006C0D1B" w14:paraId="2A32B6F1" w14:textId="77777777" w:rsidTr="0083317F">
        <w:trPr>
          <w:cantSplit/>
          <w:tblHeader/>
        </w:trPr>
        <w:tc>
          <w:tcPr>
            <w:tcW w:w="0" w:type="auto"/>
            <w:shd w:val="clear" w:color="auto" w:fill="1B556B"/>
            <w:tcMar>
              <w:top w:w="0" w:type="dxa"/>
              <w:left w:w="108" w:type="dxa"/>
              <w:bottom w:w="0" w:type="dxa"/>
              <w:right w:w="108" w:type="dxa"/>
            </w:tcMar>
            <w:vAlign w:val="center"/>
          </w:tcPr>
          <w:p w14:paraId="4FD36354" w14:textId="77777777" w:rsidR="00A76ADB" w:rsidRPr="006C0D1B" w:rsidRDefault="00A76ADB" w:rsidP="007E3239">
            <w:pPr>
              <w:pStyle w:val="TableTextBold"/>
              <w:spacing w:before="40" w:after="40"/>
              <w:rPr>
                <w:color w:val="FFFFFF"/>
              </w:rPr>
            </w:pPr>
            <w:r w:rsidRPr="006C0D1B">
              <w:rPr>
                <w:rFonts w:eastAsia="Calibri"/>
                <w:color w:val="FFFFFF"/>
              </w:rPr>
              <w:t>Parameter</w:t>
            </w:r>
          </w:p>
        </w:tc>
        <w:tc>
          <w:tcPr>
            <w:tcW w:w="1243" w:type="dxa"/>
            <w:shd w:val="clear" w:color="auto" w:fill="1B556B"/>
            <w:tcMar>
              <w:top w:w="0" w:type="dxa"/>
              <w:left w:w="108" w:type="dxa"/>
              <w:bottom w:w="0" w:type="dxa"/>
              <w:right w:w="108" w:type="dxa"/>
            </w:tcMar>
            <w:vAlign w:val="center"/>
          </w:tcPr>
          <w:p w14:paraId="7B9672BE" w14:textId="77777777" w:rsidR="00A76ADB" w:rsidRPr="006C0D1B" w:rsidRDefault="00A76ADB" w:rsidP="007E3239">
            <w:pPr>
              <w:pStyle w:val="TableTextBold"/>
              <w:spacing w:before="40" w:after="40"/>
              <w:rPr>
                <w:color w:val="FFFFFF"/>
              </w:rPr>
            </w:pPr>
            <w:r w:rsidRPr="006C0D1B">
              <w:rPr>
                <w:rFonts w:eastAsia="Calibri"/>
                <w:color w:val="FFFFFF"/>
              </w:rPr>
              <w:t>Value</w:t>
            </w:r>
          </w:p>
        </w:tc>
        <w:tc>
          <w:tcPr>
            <w:tcW w:w="1701" w:type="dxa"/>
            <w:shd w:val="clear" w:color="auto" w:fill="1B556B"/>
            <w:tcMar>
              <w:top w:w="0" w:type="dxa"/>
              <w:left w:w="108" w:type="dxa"/>
              <w:bottom w:w="0" w:type="dxa"/>
              <w:right w:w="108" w:type="dxa"/>
            </w:tcMar>
            <w:vAlign w:val="center"/>
          </w:tcPr>
          <w:p w14:paraId="55BCCC12" w14:textId="77777777" w:rsidR="00A76ADB" w:rsidRPr="006C0D1B" w:rsidRDefault="00A76ADB" w:rsidP="007E3239">
            <w:pPr>
              <w:pStyle w:val="TableTextBold"/>
              <w:spacing w:before="40" w:after="40"/>
              <w:rPr>
                <w:color w:val="FFFFFF"/>
              </w:rPr>
            </w:pPr>
            <w:r w:rsidRPr="006C0D1B">
              <w:rPr>
                <w:rFonts w:eastAsia="Calibri"/>
                <w:color w:val="FFFFFF"/>
              </w:rPr>
              <w:t>Source</w:t>
            </w:r>
          </w:p>
        </w:tc>
        <w:tc>
          <w:tcPr>
            <w:tcW w:w="1984" w:type="dxa"/>
            <w:shd w:val="clear" w:color="auto" w:fill="1B556B"/>
            <w:tcMar>
              <w:top w:w="0" w:type="dxa"/>
              <w:left w:w="108" w:type="dxa"/>
              <w:bottom w:w="0" w:type="dxa"/>
              <w:right w:w="108" w:type="dxa"/>
            </w:tcMar>
            <w:vAlign w:val="center"/>
          </w:tcPr>
          <w:p w14:paraId="46EDC1DB" w14:textId="77777777" w:rsidR="00A76ADB" w:rsidRPr="006C0D1B" w:rsidRDefault="00A76ADB" w:rsidP="007E3239">
            <w:pPr>
              <w:pStyle w:val="TableTextBold"/>
              <w:spacing w:before="40" w:after="40"/>
              <w:rPr>
                <w:color w:val="FFFFFF"/>
              </w:rPr>
            </w:pPr>
            <w:r w:rsidRPr="006C0D1B">
              <w:rPr>
                <w:rFonts w:eastAsia="Calibri"/>
                <w:color w:val="FFFFFF"/>
              </w:rPr>
              <w:t>Reference</w:t>
            </w:r>
          </w:p>
        </w:tc>
      </w:tr>
      <w:tr w:rsidR="00A76ADB" w14:paraId="6FCB7E3B" w14:textId="77777777" w:rsidTr="0083317F">
        <w:trPr>
          <w:cantSplit/>
          <w:trHeight w:val="283"/>
        </w:trPr>
        <w:tc>
          <w:tcPr>
            <w:tcW w:w="0" w:type="auto"/>
            <w:shd w:val="clear" w:color="auto" w:fill="FFFFFF"/>
            <w:tcMar>
              <w:top w:w="0" w:type="dxa"/>
              <w:left w:w="108" w:type="dxa"/>
              <w:bottom w:w="0" w:type="dxa"/>
              <w:right w:w="108" w:type="dxa"/>
            </w:tcMar>
          </w:tcPr>
          <w:p w14:paraId="76A100DB" w14:textId="77777777" w:rsidR="00A76ADB" w:rsidRDefault="00A76ADB" w:rsidP="007E3239">
            <w:pPr>
              <w:pStyle w:val="TableText"/>
              <w:spacing w:before="40" w:after="40"/>
            </w:pPr>
            <w:r>
              <w:rPr>
                <w:rFonts w:eastAsia="Calibri"/>
              </w:rPr>
              <w:t>Degradable organic component (kg COD/tonne of product)</w:t>
            </w:r>
          </w:p>
        </w:tc>
        <w:tc>
          <w:tcPr>
            <w:tcW w:w="1243" w:type="dxa"/>
            <w:shd w:val="clear" w:color="auto" w:fill="FFFFFF"/>
            <w:tcMar>
              <w:top w:w="0" w:type="dxa"/>
              <w:left w:w="108" w:type="dxa"/>
              <w:bottom w:w="0" w:type="dxa"/>
              <w:right w:w="108" w:type="dxa"/>
            </w:tcMar>
          </w:tcPr>
          <w:p w14:paraId="19AAD270" w14:textId="77777777" w:rsidR="00A76ADB" w:rsidRDefault="00A76ADB" w:rsidP="007E3239">
            <w:pPr>
              <w:pStyle w:val="TableText"/>
              <w:spacing w:before="40" w:after="40"/>
            </w:pPr>
            <w:r>
              <w:rPr>
                <w:rFonts w:eastAsia="Calibri"/>
              </w:rPr>
              <w:t>12.42</w:t>
            </w:r>
          </w:p>
        </w:tc>
        <w:tc>
          <w:tcPr>
            <w:tcW w:w="1701" w:type="dxa"/>
            <w:shd w:val="clear" w:color="auto" w:fill="FFFFFF"/>
            <w:tcMar>
              <w:top w:w="0" w:type="dxa"/>
              <w:left w:w="108" w:type="dxa"/>
              <w:bottom w:w="0" w:type="dxa"/>
              <w:right w:w="108" w:type="dxa"/>
            </w:tcMar>
          </w:tcPr>
          <w:p w14:paraId="4957D659" w14:textId="77777777" w:rsidR="00A76ADB" w:rsidRDefault="00A76ADB" w:rsidP="007E3239">
            <w:pPr>
              <w:pStyle w:val="TableText"/>
              <w:spacing w:before="40" w:after="40"/>
            </w:pPr>
            <w:r>
              <w:rPr>
                <w:rFonts w:eastAsia="Calibri"/>
              </w:rPr>
              <w:t>New Zealand specific</w:t>
            </w:r>
          </w:p>
        </w:tc>
        <w:tc>
          <w:tcPr>
            <w:tcW w:w="1984" w:type="dxa"/>
            <w:shd w:val="clear" w:color="auto" w:fill="FFFFFF"/>
            <w:tcMar>
              <w:top w:w="0" w:type="dxa"/>
              <w:left w:w="108" w:type="dxa"/>
              <w:bottom w:w="0" w:type="dxa"/>
              <w:right w:w="108" w:type="dxa"/>
            </w:tcMar>
          </w:tcPr>
          <w:p w14:paraId="49C6EEFF" w14:textId="77777777" w:rsidR="00A76ADB" w:rsidRDefault="00A76ADB" w:rsidP="007E3239">
            <w:pPr>
              <w:pStyle w:val="TableText"/>
              <w:spacing w:before="40" w:after="40"/>
            </w:pPr>
            <w:r>
              <w:rPr>
                <w:rFonts w:eastAsia="Calibri"/>
              </w:rPr>
              <w:t>Beca Infrastructure Ltd (unpublished)</w:t>
            </w:r>
          </w:p>
        </w:tc>
      </w:tr>
      <w:tr w:rsidR="00A76ADB" w14:paraId="06CAB623" w14:textId="77777777" w:rsidTr="0083317F">
        <w:trPr>
          <w:cantSplit/>
          <w:trHeight w:val="283"/>
        </w:trPr>
        <w:tc>
          <w:tcPr>
            <w:tcW w:w="0" w:type="auto"/>
            <w:shd w:val="clear" w:color="auto" w:fill="FFFFFF"/>
            <w:tcMar>
              <w:top w:w="0" w:type="dxa"/>
              <w:left w:w="108" w:type="dxa"/>
              <w:bottom w:w="0" w:type="dxa"/>
              <w:right w:w="108" w:type="dxa"/>
            </w:tcMar>
          </w:tcPr>
          <w:p w14:paraId="6CB69637" w14:textId="77777777" w:rsidR="00A76ADB" w:rsidRDefault="00A76ADB" w:rsidP="007E3239">
            <w:pPr>
              <w:pStyle w:val="TableText"/>
              <w:spacing w:before="40" w:after="40"/>
            </w:pPr>
            <w:r>
              <w:rPr>
                <w:rFonts w:eastAsia="Calibri"/>
              </w:rPr>
              <w:t>Methane correction factor</w:t>
            </w:r>
          </w:p>
        </w:tc>
        <w:tc>
          <w:tcPr>
            <w:tcW w:w="1243" w:type="dxa"/>
            <w:shd w:val="clear" w:color="auto" w:fill="FFFFFF"/>
            <w:tcMar>
              <w:top w:w="0" w:type="dxa"/>
              <w:left w:w="108" w:type="dxa"/>
              <w:bottom w:w="0" w:type="dxa"/>
              <w:right w:w="108" w:type="dxa"/>
            </w:tcMar>
          </w:tcPr>
          <w:p w14:paraId="33ADB4B1" w14:textId="77777777" w:rsidR="00A76ADB" w:rsidRDefault="00A76ADB" w:rsidP="007E3239">
            <w:pPr>
              <w:pStyle w:val="TableText"/>
              <w:spacing w:before="40" w:after="40"/>
            </w:pPr>
            <w:r>
              <w:rPr>
                <w:rFonts w:eastAsia="Calibri"/>
              </w:rPr>
              <w:t>Range of 0–0.5</w:t>
            </w:r>
          </w:p>
        </w:tc>
        <w:tc>
          <w:tcPr>
            <w:tcW w:w="1701" w:type="dxa"/>
            <w:shd w:val="clear" w:color="auto" w:fill="FFFFFF"/>
            <w:tcMar>
              <w:top w:w="0" w:type="dxa"/>
              <w:left w:w="108" w:type="dxa"/>
              <w:bottom w:w="0" w:type="dxa"/>
              <w:right w:w="108" w:type="dxa"/>
            </w:tcMar>
          </w:tcPr>
          <w:p w14:paraId="29F9B5C1" w14:textId="77777777" w:rsidR="00A76ADB" w:rsidRDefault="00A76ADB" w:rsidP="007E3239">
            <w:pPr>
              <w:pStyle w:val="TableText"/>
              <w:spacing w:before="40" w:after="40"/>
            </w:pPr>
            <w:r>
              <w:rPr>
                <w:rFonts w:eastAsia="Calibri"/>
              </w:rPr>
              <w:t>New Zealand specific</w:t>
            </w:r>
          </w:p>
        </w:tc>
        <w:tc>
          <w:tcPr>
            <w:tcW w:w="1984" w:type="dxa"/>
            <w:shd w:val="clear" w:color="auto" w:fill="FFFFFF"/>
            <w:tcMar>
              <w:top w:w="0" w:type="dxa"/>
              <w:left w:w="108" w:type="dxa"/>
              <w:bottom w:w="0" w:type="dxa"/>
              <w:right w:w="108" w:type="dxa"/>
            </w:tcMar>
          </w:tcPr>
          <w:p w14:paraId="6BBE8394" w14:textId="77777777" w:rsidR="00A76ADB" w:rsidRDefault="00A76ADB" w:rsidP="007E3239">
            <w:pPr>
              <w:pStyle w:val="TableText"/>
              <w:spacing w:before="40" w:after="40"/>
            </w:pPr>
            <w:r>
              <w:rPr>
                <w:rFonts w:eastAsia="Calibri"/>
              </w:rPr>
              <w:t>Beca Infrastructure Ltd (unpublished)</w:t>
            </w:r>
          </w:p>
        </w:tc>
      </w:tr>
      <w:tr w:rsidR="00A76ADB" w14:paraId="6FD3867D" w14:textId="77777777" w:rsidTr="0083317F">
        <w:trPr>
          <w:cantSplit/>
          <w:trHeight w:val="283"/>
        </w:trPr>
        <w:tc>
          <w:tcPr>
            <w:tcW w:w="0" w:type="auto"/>
            <w:shd w:val="clear" w:color="auto" w:fill="FFFFFF"/>
            <w:tcMar>
              <w:top w:w="0" w:type="dxa"/>
              <w:left w:w="108" w:type="dxa"/>
              <w:bottom w:w="0" w:type="dxa"/>
              <w:right w:w="108" w:type="dxa"/>
            </w:tcMar>
          </w:tcPr>
          <w:p w14:paraId="29BA0973" w14:textId="77777777" w:rsidR="00A76ADB" w:rsidRDefault="00A76ADB" w:rsidP="007E3239">
            <w:pPr>
              <w:pStyle w:val="TableText"/>
              <w:spacing w:before="40" w:after="40"/>
            </w:pPr>
            <w:r>
              <w:rPr>
                <w:rFonts w:eastAsia="Calibri"/>
              </w:rPr>
              <w:t>Maximum methane-producing capacity (kg CH₄/kg COD)</w:t>
            </w:r>
          </w:p>
        </w:tc>
        <w:tc>
          <w:tcPr>
            <w:tcW w:w="1243" w:type="dxa"/>
            <w:shd w:val="clear" w:color="auto" w:fill="FFFFFF"/>
            <w:tcMar>
              <w:top w:w="0" w:type="dxa"/>
              <w:left w:w="108" w:type="dxa"/>
              <w:bottom w:w="0" w:type="dxa"/>
              <w:right w:w="108" w:type="dxa"/>
            </w:tcMar>
          </w:tcPr>
          <w:p w14:paraId="6109451C" w14:textId="77777777" w:rsidR="00A76ADB" w:rsidRDefault="00A76ADB" w:rsidP="007E3239">
            <w:pPr>
              <w:pStyle w:val="TableText"/>
              <w:spacing w:before="40" w:after="40"/>
            </w:pPr>
            <w:r>
              <w:rPr>
                <w:rFonts w:eastAsia="Calibri"/>
              </w:rPr>
              <w:t>0.25</w:t>
            </w:r>
          </w:p>
        </w:tc>
        <w:tc>
          <w:tcPr>
            <w:tcW w:w="1701" w:type="dxa"/>
            <w:shd w:val="clear" w:color="auto" w:fill="FFFFFF"/>
            <w:tcMar>
              <w:top w:w="0" w:type="dxa"/>
              <w:left w:w="108" w:type="dxa"/>
              <w:bottom w:w="0" w:type="dxa"/>
              <w:right w:w="108" w:type="dxa"/>
            </w:tcMar>
          </w:tcPr>
          <w:p w14:paraId="3BAD3630" w14:textId="77777777" w:rsidR="00A76ADB" w:rsidRDefault="00A76ADB" w:rsidP="007E3239">
            <w:pPr>
              <w:pStyle w:val="TableText"/>
              <w:spacing w:before="40" w:after="40"/>
            </w:pPr>
            <w:r>
              <w:rPr>
                <w:rFonts w:eastAsia="Calibri"/>
              </w:rPr>
              <w:t>IPCC default</w:t>
            </w:r>
          </w:p>
        </w:tc>
        <w:tc>
          <w:tcPr>
            <w:tcW w:w="1984" w:type="dxa"/>
            <w:shd w:val="clear" w:color="auto" w:fill="FFFFFF"/>
            <w:tcMar>
              <w:top w:w="0" w:type="dxa"/>
              <w:left w:w="108" w:type="dxa"/>
              <w:bottom w:w="0" w:type="dxa"/>
              <w:right w:w="108" w:type="dxa"/>
            </w:tcMar>
          </w:tcPr>
          <w:p w14:paraId="7F04A24E" w14:textId="77777777" w:rsidR="00A76ADB" w:rsidRDefault="00A76ADB" w:rsidP="007E3239">
            <w:pPr>
              <w:pStyle w:val="TableText"/>
              <w:spacing w:before="40" w:after="40"/>
            </w:pPr>
            <w:r>
              <w:rPr>
                <w:rFonts w:eastAsia="Calibri"/>
              </w:rPr>
              <w:t>IPCC (2006a)</w:t>
            </w:r>
          </w:p>
        </w:tc>
      </w:tr>
      <w:tr w:rsidR="00A76ADB" w14:paraId="36179963" w14:textId="77777777" w:rsidTr="0083317F">
        <w:trPr>
          <w:cantSplit/>
          <w:trHeight w:val="283"/>
        </w:trPr>
        <w:tc>
          <w:tcPr>
            <w:tcW w:w="0" w:type="auto"/>
            <w:shd w:val="clear" w:color="auto" w:fill="FFFFFF"/>
            <w:tcMar>
              <w:top w:w="0" w:type="dxa"/>
              <w:left w:w="108" w:type="dxa"/>
              <w:bottom w:w="0" w:type="dxa"/>
              <w:right w:w="108" w:type="dxa"/>
            </w:tcMar>
          </w:tcPr>
          <w:p w14:paraId="20DB68DE" w14:textId="77777777" w:rsidR="00A76ADB" w:rsidRDefault="00A76ADB" w:rsidP="007E3239">
            <w:pPr>
              <w:pStyle w:val="TableText"/>
              <w:spacing w:before="40" w:after="40"/>
            </w:pPr>
            <w:r>
              <w:rPr>
                <w:rFonts w:eastAsia="Calibri"/>
              </w:rPr>
              <w:t>Overall emission factor</w:t>
            </w:r>
          </w:p>
        </w:tc>
        <w:tc>
          <w:tcPr>
            <w:tcW w:w="1243" w:type="dxa"/>
            <w:shd w:val="clear" w:color="auto" w:fill="FFFFFF"/>
            <w:tcMar>
              <w:top w:w="0" w:type="dxa"/>
              <w:left w:w="108" w:type="dxa"/>
              <w:bottom w:w="0" w:type="dxa"/>
              <w:right w:w="108" w:type="dxa"/>
            </w:tcMar>
          </w:tcPr>
          <w:p w14:paraId="1C52BF14" w14:textId="77777777" w:rsidR="00A76ADB" w:rsidRDefault="00A76ADB" w:rsidP="007E3239">
            <w:pPr>
              <w:pStyle w:val="TableText"/>
              <w:spacing w:before="40" w:after="40"/>
            </w:pPr>
            <w:r>
              <w:rPr>
                <w:rFonts w:eastAsia="Calibri"/>
              </w:rPr>
              <w:t>0.0167</w:t>
            </w:r>
          </w:p>
        </w:tc>
        <w:tc>
          <w:tcPr>
            <w:tcW w:w="1701" w:type="dxa"/>
            <w:shd w:val="clear" w:color="auto" w:fill="FFFFFF"/>
            <w:tcMar>
              <w:top w:w="0" w:type="dxa"/>
              <w:left w:w="108" w:type="dxa"/>
              <w:bottom w:w="0" w:type="dxa"/>
              <w:right w:w="108" w:type="dxa"/>
            </w:tcMar>
          </w:tcPr>
          <w:p w14:paraId="2D791F1C" w14:textId="77777777" w:rsidR="00A76ADB" w:rsidRDefault="00A76ADB" w:rsidP="007E3239">
            <w:pPr>
              <w:pStyle w:val="TableText"/>
              <w:spacing w:before="40" w:after="40"/>
            </w:pPr>
            <w:r>
              <w:rPr>
                <w:rFonts w:eastAsia="Calibri"/>
              </w:rPr>
              <w:t>New Zealand specific</w:t>
            </w:r>
          </w:p>
        </w:tc>
        <w:tc>
          <w:tcPr>
            <w:tcW w:w="1984" w:type="dxa"/>
            <w:shd w:val="clear" w:color="auto" w:fill="FFFFFF"/>
            <w:tcMar>
              <w:top w:w="0" w:type="dxa"/>
              <w:left w:w="108" w:type="dxa"/>
              <w:bottom w:w="0" w:type="dxa"/>
              <w:right w:w="108" w:type="dxa"/>
            </w:tcMar>
          </w:tcPr>
          <w:p w14:paraId="1AAB3B88" w14:textId="23E8C2EA" w:rsidR="00A76ADB" w:rsidRDefault="00A76ADB" w:rsidP="007E3239">
            <w:pPr>
              <w:pStyle w:val="TableText"/>
              <w:spacing w:before="40" w:after="40"/>
            </w:pPr>
            <w:r>
              <w:rPr>
                <w:rFonts w:eastAsia="Calibri"/>
              </w:rPr>
              <w:t>Cardno (</w:t>
            </w:r>
            <w:r w:rsidR="00CE07F2">
              <w:rPr>
                <w:rFonts w:eastAsia="Calibri"/>
              </w:rPr>
              <w:t>2015</w:t>
            </w:r>
            <w:r>
              <w:rPr>
                <w:rFonts w:eastAsia="Calibri"/>
              </w:rPr>
              <w:t>)</w:t>
            </w:r>
          </w:p>
        </w:tc>
      </w:tr>
    </w:tbl>
    <w:p w14:paraId="426441A8" w14:textId="77777777" w:rsidR="00A76ADB" w:rsidRDefault="00A76ADB" w:rsidP="00A76ADB">
      <w:pPr>
        <w:pStyle w:val="Noteundertable"/>
      </w:pPr>
      <w:r>
        <w:rPr>
          <w:b/>
          <w:bCs/>
        </w:rPr>
        <w:t>Note:</w:t>
      </w:r>
      <w:r w:rsidRPr="001515DA">
        <w:t xml:space="preserve"> </w:t>
      </w:r>
      <w:r>
        <w:tab/>
        <w:t>COD = chemical oxygen demand.</w:t>
      </w:r>
    </w:p>
    <w:p w14:paraId="1B37A9F1" w14:textId="77777777" w:rsidR="00A76ADB" w:rsidRDefault="00A76ADB" w:rsidP="00A76ADB">
      <w:pPr>
        <w:pStyle w:val="Heading6"/>
      </w:pPr>
      <w:bookmarkStart w:id="2467" w:name="recovery-4"/>
      <w:r>
        <w:t>Recovery</w:t>
      </w:r>
    </w:p>
    <w:p w14:paraId="417F4935" w14:textId="77777777" w:rsidR="00A76ADB" w:rsidRDefault="00A76ADB" w:rsidP="00A76ADB">
      <w:pPr>
        <w:pStyle w:val="BodyText"/>
        <w:spacing w:before="100" w:after="100"/>
      </w:pPr>
      <w:r>
        <w:t>There is no recovery of emissions reported for this source.</w:t>
      </w:r>
    </w:p>
    <w:p w14:paraId="4B285B1B" w14:textId="77777777" w:rsidR="00A76ADB" w:rsidRDefault="00A76ADB" w:rsidP="00A76ADB">
      <w:pPr>
        <w:pStyle w:val="Heading5"/>
      </w:pPr>
      <w:bookmarkStart w:id="2468" w:name="X5a52bbb68da2cb296e8b721fd30922a71eebd28"/>
      <w:bookmarkEnd w:id="2465"/>
      <w:bookmarkEnd w:id="2467"/>
      <w:r>
        <w:t>Methane emissions from industrial wastewater treatment – Wool scouring industry</w:t>
      </w:r>
    </w:p>
    <w:p w14:paraId="663C0761" w14:textId="77777777" w:rsidR="00A76ADB" w:rsidRDefault="00A76ADB" w:rsidP="00A76ADB">
      <w:pPr>
        <w:pStyle w:val="BodyText"/>
      </w:pPr>
      <w:r>
        <w:t>Table 7.5.11 summarises the parameter values applied for estimating CH</w:t>
      </w:r>
      <w:r>
        <w:rPr>
          <w:vertAlign w:val="subscript"/>
        </w:rPr>
        <w:t>4</w:t>
      </w:r>
      <w:r>
        <w:t xml:space="preserve"> emissions from wastewater treatment by the wool scouring industry.</w:t>
      </w:r>
    </w:p>
    <w:p w14:paraId="27F3F5A6" w14:textId="77777777" w:rsidR="00A76ADB" w:rsidRDefault="00A76ADB" w:rsidP="00A76ADB">
      <w:pPr>
        <w:pStyle w:val="Table"/>
      </w:pPr>
      <w:bookmarkStart w:id="2469" w:name="_Toc99659350"/>
      <w:r>
        <w:t>Table 7.5.11</w:t>
      </w:r>
      <w:r>
        <w:tab/>
        <w:t>Parameter values applied by New Zealand for estimating methane emissions for wastewater treatment by the wool scouring industry</w:t>
      </w:r>
      <w:bookmarkEnd w:id="2469"/>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596"/>
        <w:gridCol w:w="743"/>
        <w:gridCol w:w="2040"/>
        <w:gridCol w:w="2126"/>
      </w:tblGrid>
      <w:tr w:rsidR="00A76ADB" w:rsidRPr="006C0D1B" w14:paraId="72F67311" w14:textId="77777777" w:rsidTr="0083317F">
        <w:trPr>
          <w:cantSplit/>
          <w:tblHeader/>
        </w:trPr>
        <w:tc>
          <w:tcPr>
            <w:tcW w:w="0" w:type="auto"/>
            <w:shd w:val="clear" w:color="auto" w:fill="1B556B"/>
            <w:tcMar>
              <w:top w:w="0" w:type="dxa"/>
              <w:left w:w="108" w:type="dxa"/>
              <w:bottom w:w="0" w:type="dxa"/>
              <w:right w:w="108" w:type="dxa"/>
            </w:tcMar>
          </w:tcPr>
          <w:p w14:paraId="552399E0" w14:textId="77777777" w:rsidR="00A76ADB" w:rsidRPr="006C0D1B" w:rsidRDefault="00A76ADB" w:rsidP="007E3239">
            <w:pPr>
              <w:pStyle w:val="TableTextBold"/>
              <w:spacing w:before="40" w:after="40"/>
              <w:rPr>
                <w:color w:val="FFFFFF"/>
              </w:rPr>
            </w:pPr>
            <w:r w:rsidRPr="006C0D1B">
              <w:rPr>
                <w:rFonts w:eastAsia="Calibri"/>
                <w:color w:val="FFFFFF"/>
              </w:rPr>
              <w:t>Parameter</w:t>
            </w:r>
          </w:p>
        </w:tc>
        <w:tc>
          <w:tcPr>
            <w:tcW w:w="0" w:type="auto"/>
            <w:shd w:val="clear" w:color="auto" w:fill="1B556B"/>
            <w:tcMar>
              <w:top w:w="0" w:type="dxa"/>
              <w:left w:w="108" w:type="dxa"/>
              <w:bottom w:w="0" w:type="dxa"/>
              <w:right w:w="108" w:type="dxa"/>
            </w:tcMar>
          </w:tcPr>
          <w:p w14:paraId="51D30588" w14:textId="77777777" w:rsidR="00A76ADB" w:rsidRPr="006C0D1B" w:rsidRDefault="00A76ADB" w:rsidP="007E3239">
            <w:pPr>
              <w:pStyle w:val="TableTextBold"/>
              <w:spacing w:before="40" w:after="40"/>
              <w:rPr>
                <w:color w:val="FFFFFF"/>
              </w:rPr>
            </w:pPr>
            <w:r w:rsidRPr="006C0D1B">
              <w:rPr>
                <w:rFonts w:eastAsia="Calibri"/>
                <w:color w:val="FFFFFF"/>
              </w:rPr>
              <w:t>Value</w:t>
            </w:r>
          </w:p>
        </w:tc>
        <w:tc>
          <w:tcPr>
            <w:tcW w:w="2040" w:type="dxa"/>
            <w:shd w:val="clear" w:color="auto" w:fill="1B556B"/>
            <w:tcMar>
              <w:top w:w="0" w:type="dxa"/>
              <w:left w:w="108" w:type="dxa"/>
              <w:bottom w:w="0" w:type="dxa"/>
              <w:right w:w="108" w:type="dxa"/>
            </w:tcMar>
          </w:tcPr>
          <w:p w14:paraId="27882679" w14:textId="77777777" w:rsidR="00A76ADB" w:rsidRPr="006C0D1B" w:rsidRDefault="00A76ADB" w:rsidP="007E3239">
            <w:pPr>
              <w:pStyle w:val="TableTextBold"/>
              <w:spacing w:before="40" w:after="40"/>
              <w:rPr>
                <w:color w:val="FFFFFF"/>
              </w:rPr>
            </w:pPr>
            <w:r w:rsidRPr="006C0D1B">
              <w:rPr>
                <w:rFonts w:eastAsia="Calibri"/>
                <w:color w:val="FFFFFF"/>
              </w:rPr>
              <w:t>Source</w:t>
            </w:r>
          </w:p>
        </w:tc>
        <w:tc>
          <w:tcPr>
            <w:tcW w:w="2126" w:type="dxa"/>
            <w:shd w:val="clear" w:color="auto" w:fill="1B556B"/>
            <w:tcMar>
              <w:top w:w="0" w:type="dxa"/>
              <w:left w:w="108" w:type="dxa"/>
              <w:bottom w:w="0" w:type="dxa"/>
              <w:right w:w="108" w:type="dxa"/>
            </w:tcMar>
          </w:tcPr>
          <w:p w14:paraId="2D38B14C" w14:textId="77777777" w:rsidR="00A76ADB" w:rsidRPr="006C0D1B" w:rsidRDefault="00A76ADB" w:rsidP="007E3239">
            <w:pPr>
              <w:pStyle w:val="TableTextBold"/>
              <w:spacing w:before="40" w:after="40"/>
              <w:rPr>
                <w:color w:val="FFFFFF"/>
              </w:rPr>
            </w:pPr>
            <w:r w:rsidRPr="006C0D1B">
              <w:rPr>
                <w:rFonts w:eastAsia="Calibri"/>
                <w:color w:val="FFFFFF"/>
              </w:rPr>
              <w:t>Reference</w:t>
            </w:r>
          </w:p>
        </w:tc>
      </w:tr>
      <w:tr w:rsidR="00A76ADB" w14:paraId="5EAE14F4" w14:textId="77777777" w:rsidTr="0083317F">
        <w:trPr>
          <w:cantSplit/>
          <w:trHeight w:val="283"/>
        </w:trPr>
        <w:tc>
          <w:tcPr>
            <w:tcW w:w="0" w:type="auto"/>
            <w:shd w:val="clear" w:color="auto" w:fill="FFFFFF"/>
            <w:tcMar>
              <w:top w:w="0" w:type="dxa"/>
              <w:left w:w="108" w:type="dxa"/>
              <w:bottom w:w="0" w:type="dxa"/>
              <w:right w:w="108" w:type="dxa"/>
            </w:tcMar>
          </w:tcPr>
          <w:p w14:paraId="73A957CC" w14:textId="77777777" w:rsidR="00A76ADB" w:rsidRDefault="00A76ADB" w:rsidP="007E3239">
            <w:pPr>
              <w:pStyle w:val="TableText"/>
              <w:spacing w:before="40" w:after="40"/>
            </w:pPr>
            <w:r>
              <w:rPr>
                <w:rFonts w:eastAsia="Calibri"/>
              </w:rPr>
              <w:t>Degradable organic component (kg COD/tonne of product)</w:t>
            </w:r>
          </w:p>
        </w:tc>
        <w:tc>
          <w:tcPr>
            <w:tcW w:w="0" w:type="auto"/>
            <w:shd w:val="clear" w:color="auto" w:fill="FFFFFF"/>
            <w:tcMar>
              <w:top w:w="0" w:type="dxa"/>
              <w:left w:w="108" w:type="dxa"/>
              <w:bottom w:w="0" w:type="dxa"/>
              <w:right w:w="108" w:type="dxa"/>
            </w:tcMar>
          </w:tcPr>
          <w:p w14:paraId="429A1A6E" w14:textId="77777777" w:rsidR="00A76ADB" w:rsidRDefault="00A76ADB" w:rsidP="007E3239">
            <w:pPr>
              <w:pStyle w:val="TableText"/>
              <w:spacing w:before="40" w:after="40"/>
            </w:pPr>
            <w:r>
              <w:rPr>
                <w:rFonts w:eastAsia="Calibri"/>
              </w:rPr>
              <w:t>22.0000</w:t>
            </w:r>
          </w:p>
        </w:tc>
        <w:tc>
          <w:tcPr>
            <w:tcW w:w="2040" w:type="dxa"/>
            <w:shd w:val="clear" w:color="auto" w:fill="FFFFFF"/>
            <w:tcMar>
              <w:top w:w="0" w:type="dxa"/>
              <w:left w:w="108" w:type="dxa"/>
              <w:bottom w:w="0" w:type="dxa"/>
              <w:right w:w="108" w:type="dxa"/>
            </w:tcMar>
          </w:tcPr>
          <w:p w14:paraId="2CF4C867" w14:textId="77777777" w:rsidR="00A76ADB" w:rsidRDefault="00A76ADB" w:rsidP="007E3239">
            <w:pPr>
              <w:pStyle w:val="TableText"/>
              <w:spacing w:before="40" w:after="40"/>
            </w:pPr>
            <w:r>
              <w:rPr>
                <w:rFonts w:eastAsia="Calibri"/>
              </w:rPr>
              <w:t>New Zealand specific</w:t>
            </w:r>
          </w:p>
        </w:tc>
        <w:tc>
          <w:tcPr>
            <w:tcW w:w="2126" w:type="dxa"/>
            <w:shd w:val="clear" w:color="auto" w:fill="FFFFFF"/>
            <w:tcMar>
              <w:top w:w="0" w:type="dxa"/>
              <w:left w:w="108" w:type="dxa"/>
              <w:bottom w:w="0" w:type="dxa"/>
              <w:right w:w="108" w:type="dxa"/>
            </w:tcMar>
          </w:tcPr>
          <w:p w14:paraId="45B8D41C" w14:textId="77777777" w:rsidR="00A76ADB" w:rsidRDefault="00A76ADB" w:rsidP="007E3239">
            <w:pPr>
              <w:pStyle w:val="TableText"/>
              <w:spacing w:before="40" w:after="40"/>
            </w:pPr>
            <w:r>
              <w:rPr>
                <w:rFonts w:eastAsia="Calibri"/>
              </w:rPr>
              <w:t>SCS Wetherill Environmental (unpublished)</w:t>
            </w:r>
          </w:p>
        </w:tc>
      </w:tr>
      <w:tr w:rsidR="00A76ADB" w14:paraId="27AA3B9C" w14:textId="77777777" w:rsidTr="0083317F">
        <w:trPr>
          <w:cantSplit/>
          <w:trHeight w:val="283"/>
        </w:trPr>
        <w:tc>
          <w:tcPr>
            <w:tcW w:w="0" w:type="auto"/>
            <w:shd w:val="clear" w:color="auto" w:fill="FFFFFF"/>
            <w:tcMar>
              <w:top w:w="0" w:type="dxa"/>
              <w:left w:w="108" w:type="dxa"/>
              <w:bottom w:w="0" w:type="dxa"/>
              <w:right w:w="108" w:type="dxa"/>
            </w:tcMar>
          </w:tcPr>
          <w:p w14:paraId="5766CC3A" w14:textId="77777777" w:rsidR="00A76ADB" w:rsidRDefault="00A76ADB" w:rsidP="007E3239">
            <w:pPr>
              <w:pStyle w:val="TableText"/>
              <w:spacing w:before="40" w:after="40"/>
            </w:pPr>
            <w:r>
              <w:rPr>
                <w:rFonts w:eastAsia="Calibri"/>
              </w:rPr>
              <w:t>Methane correction factor</w:t>
            </w:r>
          </w:p>
        </w:tc>
        <w:tc>
          <w:tcPr>
            <w:tcW w:w="0" w:type="auto"/>
            <w:shd w:val="clear" w:color="auto" w:fill="FFFFFF"/>
            <w:tcMar>
              <w:top w:w="0" w:type="dxa"/>
              <w:left w:w="108" w:type="dxa"/>
              <w:bottom w:w="0" w:type="dxa"/>
              <w:right w:w="108" w:type="dxa"/>
            </w:tcMar>
          </w:tcPr>
          <w:p w14:paraId="1DB5A304" w14:textId="77777777" w:rsidR="00A76ADB" w:rsidRDefault="00A76ADB" w:rsidP="007E3239">
            <w:pPr>
              <w:pStyle w:val="TableText"/>
              <w:spacing w:before="40" w:after="40"/>
            </w:pPr>
            <w:r>
              <w:rPr>
                <w:rFonts w:eastAsia="Calibri"/>
              </w:rPr>
              <w:t>0.2900</w:t>
            </w:r>
          </w:p>
        </w:tc>
        <w:tc>
          <w:tcPr>
            <w:tcW w:w="2040" w:type="dxa"/>
            <w:shd w:val="clear" w:color="auto" w:fill="FFFFFF"/>
            <w:tcMar>
              <w:top w:w="0" w:type="dxa"/>
              <w:left w:w="108" w:type="dxa"/>
              <w:bottom w:w="0" w:type="dxa"/>
              <w:right w:w="108" w:type="dxa"/>
            </w:tcMar>
          </w:tcPr>
          <w:p w14:paraId="5C3B910A" w14:textId="77777777" w:rsidR="00A76ADB" w:rsidRDefault="00A76ADB" w:rsidP="007E3239">
            <w:pPr>
              <w:pStyle w:val="TableText"/>
              <w:spacing w:before="40" w:after="40"/>
            </w:pPr>
            <w:r>
              <w:rPr>
                <w:rFonts w:eastAsia="Calibri"/>
              </w:rPr>
              <w:t>New Zealand specific</w:t>
            </w:r>
          </w:p>
        </w:tc>
        <w:tc>
          <w:tcPr>
            <w:tcW w:w="2126" w:type="dxa"/>
            <w:shd w:val="clear" w:color="auto" w:fill="FFFFFF"/>
            <w:tcMar>
              <w:top w:w="0" w:type="dxa"/>
              <w:left w:w="108" w:type="dxa"/>
              <w:bottom w:w="0" w:type="dxa"/>
              <w:right w:w="108" w:type="dxa"/>
            </w:tcMar>
          </w:tcPr>
          <w:p w14:paraId="74381C7F" w14:textId="77777777" w:rsidR="00A76ADB" w:rsidRDefault="00A76ADB" w:rsidP="007E3239">
            <w:pPr>
              <w:pStyle w:val="TableText"/>
              <w:spacing w:before="40" w:after="40"/>
            </w:pPr>
            <w:r>
              <w:rPr>
                <w:rFonts w:eastAsia="Calibri"/>
              </w:rPr>
              <w:t>SCS Wetherill Environmental (unpublished)</w:t>
            </w:r>
          </w:p>
        </w:tc>
      </w:tr>
      <w:tr w:rsidR="00A76ADB" w14:paraId="2D3FA779" w14:textId="77777777" w:rsidTr="0083317F">
        <w:trPr>
          <w:cantSplit/>
          <w:trHeight w:val="283"/>
        </w:trPr>
        <w:tc>
          <w:tcPr>
            <w:tcW w:w="0" w:type="auto"/>
            <w:shd w:val="clear" w:color="auto" w:fill="FFFFFF"/>
            <w:tcMar>
              <w:top w:w="0" w:type="dxa"/>
              <w:left w:w="108" w:type="dxa"/>
              <w:bottom w:w="0" w:type="dxa"/>
              <w:right w:w="108" w:type="dxa"/>
            </w:tcMar>
          </w:tcPr>
          <w:p w14:paraId="48BD92BC" w14:textId="77777777" w:rsidR="00A76ADB" w:rsidRDefault="00A76ADB" w:rsidP="007E3239">
            <w:pPr>
              <w:pStyle w:val="TableText"/>
              <w:spacing w:before="40" w:after="40"/>
            </w:pPr>
            <w:r>
              <w:rPr>
                <w:rFonts w:eastAsia="Calibri"/>
              </w:rPr>
              <w:t>Maximum methane-producing capacity (kg CH₄/kg COD)</w:t>
            </w:r>
          </w:p>
        </w:tc>
        <w:tc>
          <w:tcPr>
            <w:tcW w:w="0" w:type="auto"/>
            <w:shd w:val="clear" w:color="auto" w:fill="FFFFFF"/>
            <w:tcMar>
              <w:top w:w="0" w:type="dxa"/>
              <w:left w:w="108" w:type="dxa"/>
              <w:bottom w:w="0" w:type="dxa"/>
              <w:right w:w="108" w:type="dxa"/>
            </w:tcMar>
          </w:tcPr>
          <w:p w14:paraId="2BB2FF94" w14:textId="77777777" w:rsidR="00A76ADB" w:rsidRDefault="00A76ADB" w:rsidP="007E3239">
            <w:pPr>
              <w:pStyle w:val="TableText"/>
              <w:spacing w:before="40" w:after="40"/>
            </w:pPr>
            <w:r>
              <w:rPr>
                <w:rFonts w:eastAsia="Calibri"/>
              </w:rPr>
              <w:t>0.2500</w:t>
            </w:r>
          </w:p>
        </w:tc>
        <w:tc>
          <w:tcPr>
            <w:tcW w:w="2040" w:type="dxa"/>
            <w:shd w:val="clear" w:color="auto" w:fill="FFFFFF"/>
            <w:tcMar>
              <w:top w:w="0" w:type="dxa"/>
              <w:left w:w="108" w:type="dxa"/>
              <w:bottom w:w="0" w:type="dxa"/>
              <w:right w:w="108" w:type="dxa"/>
            </w:tcMar>
          </w:tcPr>
          <w:p w14:paraId="0D039CF9" w14:textId="77777777" w:rsidR="00A76ADB" w:rsidRDefault="00A76ADB" w:rsidP="007E3239">
            <w:pPr>
              <w:pStyle w:val="TableText"/>
              <w:spacing w:before="40" w:after="40"/>
            </w:pPr>
            <w:r>
              <w:rPr>
                <w:rFonts w:eastAsia="Calibri"/>
              </w:rPr>
              <w:t>IPCC default</w:t>
            </w:r>
          </w:p>
        </w:tc>
        <w:tc>
          <w:tcPr>
            <w:tcW w:w="2126" w:type="dxa"/>
            <w:shd w:val="clear" w:color="auto" w:fill="FFFFFF"/>
            <w:tcMar>
              <w:top w:w="0" w:type="dxa"/>
              <w:left w:w="108" w:type="dxa"/>
              <w:bottom w:w="0" w:type="dxa"/>
              <w:right w:w="108" w:type="dxa"/>
            </w:tcMar>
          </w:tcPr>
          <w:p w14:paraId="5EA9A584" w14:textId="77777777" w:rsidR="00A76ADB" w:rsidRDefault="00A76ADB" w:rsidP="007E3239">
            <w:pPr>
              <w:pStyle w:val="TableText"/>
              <w:spacing w:before="40" w:after="40"/>
            </w:pPr>
            <w:r>
              <w:rPr>
                <w:rFonts w:eastAsia="Calibri"/>
              </w:rPr>
              <w:t>IPCC (2006a)</w:t>
            </w:r>
          </w:p>
        </w:tc>
      </w:tr>
      <w:tr w:rsidR="00A76ADB" w14:paraId="3E847B02" w14:textId="77777777" w:rsidTr="0083317F">
        <w:trPr>
          <w:cantSplit/>
          <w:trHeight w:val="283"/>
        </w:trPr>
        <w:tc>
          <w:tcPr>
            <w:tcW w:w="0" w:type="auto"/>
            <w:shd w:val="clear" w:color="auto" w:fill="FFFFFF"/>
            <w:tcMar>
              <w:top w:w="0" w:type="dxa"/>
              <w:left w:w="108" w:type="dxa"/>
              <w:bottom w:w="0" w:type="dxa"/>
              <w:right w:w="108" w:type="dxa"/>
            </w:tcMar>
          </w:tcPr>
          <w:p w14:paraId="7E08A3B8" w14:textId="77777777" w:rsidR="00A76ADB" w:rsidRDefault="00A76ADB" w:rsidP="007E3239">
            <w:pPr>
              <w:pStyle w:val="TableText"/>
              <w:spacing w:before="40" w:after="40"/>
            </w:pPr>
            <w:r>
              <w:rPr>
                <w:rFonts w:eastAsia="Calibri"/>
              </w:rPr>
              <w:t>Overall emission factor</w:t>
            </w:r>
          </w:p>
        </w:tc>
        <w:tc>
          <w:tcPr>
            <w:tcW w:w="0" w:type="auto"/>
            <w:shd w:val="clear" w:color="auto" w:fill="FFFFFF"/>
            <w:tcMar>
              <w:top w:w="0" w:type="dxa"/>
              <w:left w:w="108" w:type="dxa"/>
              <w:bottom w:w="0" w:type="dxa"/>
              <w:right w:w="108" w:type="dxa"/>
            </w:tcMar>
          </w:tcPr>
          <w:p w14:paraId="2C7DD716" w14:textId="77777777" w:rsidR="00A76ADB" w:rsidRDefault="00A76ADB" w:rsidP="007E3239">
            <w:pPr>
              <w:pStyle w:val="TableText"/>
              <w:spacing w:before="40" w:after="40"/>
            </w:pPr>
            <w:r>
              <w:rPr>
                <w:rFonts w:eastAsia="Calibri"/>
              </w:rPr>
              <w:t>0.0065</w:t>
            </w:r>
          </w:p>
        </w:tc>
        <w:tc>
          <w:tcPr>
            <w:tcW w:w="2040" w:type="dxa"/>
            <w:shd w:val="clear" w:color="auto" w:fill="FFFFFF"/>
            <w:tcMar>
              <w:top w:w="0" w:type="dxa"/>
              <w:left w:w="108" w:type="dxa"/>
              <w:bottom w:w="0" w:type="dxa"/>
              <w:right w:w="108" w:type="dxa"/>
            </w:tcMar>
          </w:tcPr>
          <w:p w14:paraId="72B1299A" w14:textId="77777777" w:rsidR="00A76ADB" w:rsidRDefault="00A76ADB" w:rsidP="007E3239">
            <w:pPr>
              <w:pStyle w:val="TableText"/>
              <w:spacing w:before="40" w:after="40"/>
            </w:pPr>
            <w:r>
              <w:rPr>
                <w:rFonts w:eastAsia="Calibri"/>
              </w:rPr>
              <w:t>New Zealand specific</w:t>
            </w:r>
          </w:p>
        </w:tc>
        <w:tc>
          <w:tcPr>
            <w:tcW w:w="2126" w:type="dxa"/>
            <w:shd w:val="clear" w:color="auto" w:fill="FFFFFF"/>
            <w:tcMar>
              <w:top w:w="0" w:type="dxa"/>
              <w:left w:w="108" w:type="dxa"/>
              <w:bottom w:w="0" w:type="dxa"/>
              <w:right w:w="108" w:type="dxa"/>
            </w:tcMar>
          </w:tcPr>
          <w:p w14:paraId="1195E525" w14:textId="77777777" w:rsidR="00A76ADB" w:rsidRDefault="00A76ADB" w:rsidP="007E3239">
            <w:pPr>
              <w:pStyle w:val="TableText"/>
              <w:spacing w:before="40" w:after="40"/>
            </w:pPr>
            <w:r>
              <w:rPr>
                <w:rFonts w:eastAsia="Calibri"/>
              </w:rPr>
              <w:t>SCS Wetherill Environmental (unpublished)</w:t>
            </w:r>
          </w:p>
        </w:tc>
      </w:tr>
    </w:tbl>
    <w:p w14:paraId="7B6FC8E6" w14:textId="77777777" w:rsidR="00A76ADB" w:rsidRDefault="00A76ADB" w:rsidP="00A76ADB">
      <w:pPr>
        <w:pStyle w:val="Noteundertable"/>
      </w:pPr>
      <w:r>
        <w:rPr>
          <w:b/>
          <w:bCs/>
        </w:rPr>
        <w:t>Note:</w:t>
      </w:r>
      <w:r w:rsidRPr="001515DA">
        <w:t xml:space="preserve"> </w:t>
      </w:r>
      <w:r>
        <w:tab/>
        <w:t>COD = chemical oxygen demand.</w:t>
      </w:r>
    </w:p>
    <w:p w14:paraId="0A7B2335" w14:textId="77777777" w:rsidR="00A76ADB" w:rsidRDefault="00A76ADB" w:rsidP="00A76ADB">
      <w:pPr>
        <w:pStyle w:val="Heading6"/>
      </w:pPr>
      <w:bookmarkStart w:id="2470" w:name="recovery-5"/>
      <w:r>
        <w:lastRenderedPageBreak/>
        <w:t>Recovery</w:t>
      </w:r>
    </w:p>
    <w:p w14:paraId="31026147" w14:textId="77777777" w:rsidR="00A76ADB" w:rsidRDefault="00A76ADB" w:rsidP="00A76ADB">
      <w:pPr>
        <w:pStyle w:val="BodyText"/>
      </w:pPr>
      <w:r>
        <w:t>There is no recovery of emissions reported for this source.</w:t>
      </w:r>
    </w:p>
    <w:p w14:paraId="435A9D09" w14:textId="77777777" w:rsidR="00A76ADB" w:rsidRDefault="00A76ADB" w:rsidP="00A76ADB">
      <w:pPr>
        <w:pStyle w:val="Heading5"/>
      </w:pPr>
      <w:bookmarkStart w:id="2471" w:name="Xc1a340efd67d5eccc23ff934f22dc8335d4080f"/>
      <w:bookmarkEnd w:id="2468"/>
      <w:bookmarkEnd w:id="2470"/>
      <w:r>
        <w:t>Methane emissions from industrial wastewater treatment – Leather and skins industry</w:t>
      </w:r>
    </w:p>
    <w:p w14:paraId="06473D9C" w14:textId="77777777" w:rsidR="00A76ADB" w:rsidRDefault="00A76ADB" w:rsidP="00A76ADB">
      <w:pPr>
        <w:pStyle w:val="BodyText"/>
      </w:pPr>
      <w:r>
        <w:t>Table 7.5.12 summarises the parameter values applied for estimating CH</w:t>
      </w:r>
      <w:r>
        <w:rPr>
          <w:vertAlign w:val="subscript"/>
        </w:rPr>
        <w:t>4</w:t>
      </w:r>
      <w:r>
        <w:t xml:space="preserve"> emissions from wastewater treatment by the leather and skins industry.</w:t>
      </w:r>
    </w:p>
    <w:p w14:paraId="76134D41" w14:textId="77777777" w:rsidR="00A76ADB" w:rsidRDefault="00A76ADB" w:rsidP="00A76ADB">
      <w:pPr>
        <w:pStyle w:val="Table"/>
      </w:pPr>
      <w:bookmarkStart w:id="2472" w:name="_Toc99659351"/>
      <w:r>
        <w:t>Table 7.5.12</w:t>
      </w:r>
      <w:r>
        <w:tab/>
        <w:t>Parameter values applied by New Zealand for estimating methane emissions for wastewater treatment by the leather and skins industry</w:t>
      </w:r>
      <w:bookmarkEnd w:id="2472"/>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119"/>
        <w:gridCol w:w="1410"/>
        <w:gridCol w:w="1708"/>
        <w:gridCol w:w="2268"/>
      </w:tblGrid>
      <w:tr w:rsidR="00A76ADB" w:rsidRPr="006C0D1B" w14:paraId="5515FA45" w14:textId="77777777" w:rsidTr="0083317F">
        <w:trPr>
          <w:cantSplit/>
          <w:tblHeader/>
        </w:trPr>
        <w:tc>
          <w:tcPr>
            <w:tcW w:w="3119" w:type="dxa"/>
            <w:shd w:val="clear" w:color="auto" w:fill="1B556B"/>
            <w:tcMar>
              <w:top w:w="0" w:type="dxa"/>
              <w:left w:w="108" w:type="dxa"/>
              <w:bottom w:w="0" w:type="dxa"/>
              <w:right w:w="108" w:type="dxa"/>
            </w:tcMar>
          </w:tcPr>
          <w:p w14:paraId="5D87B0AC" w14:textId="77777777" w:rsidR="00A76ADB" w:rsidRPr="006C0D1B" w:rsidRDefault="00A76ADB" w:rsidP="007E3239">
            <w:pPr>
              <w:pStyle w:val="TableTextBold"/>
              <w:rPr>
                <w:color w:val="FFFFFF"/>
              </w:rPr>
            </w:pPr>
            <w:r w:rsidRPr="006C0D1B">
              <w:rPr>
                <w:rFonts w:eastAsia="Calibri"/>
                <w:color w:val="FFFFFF"/>
              </w:rPr>
              <w:t>Parameter</w:t>
            </w:r>
          </w:p>
        </w:tc>
        <w:tc>
          <w:tcPr>
            <w:tcW w:w="1410" w:type="dxa"/>
            <w:shd w:val="clear" w:color="auto" w:fill="1B556B"/>
            <w:tcMar>
              <w:top w:w="0" w:type="dxa"/>
              <w:left w:w="108" w:type="dxa"/>
              <w:bottom w:w="0" w:type="dxa"/>
              <w:right w:w="108" w:type="dxa"/>
            </w:tcMar>
          </w:tcPr>
          <w:p w14:paraId="39918C47" w14:textId="77777777" w:rsidR="00A76ADB" w:rsidRPr="006C0D1B" w:rsidRDefault="00A76ADB" w:rsidP="007E3239">
            <w:pPr>
              <w:pStyle w:val="TableTextBold"/>
              <w:rPr>
                <w:color w:val="FFFFFF"/>
              </w:rPr>
            </w:pPr>
            <w:r w:rsidRPr="006C0D1B">
              <w:rPr>
                <w:rFonts w:eastAsia="Calibri"/>
                <w:color w:val="FFFFFF"/>
              </w:rPr>
              <w:t>Value</w:t>
            </w:r>
          </w:p>
        </w:tc>
        <w:tc>
          <w:tcPr>
            <w:tcW w:w="1708" w:type="dxa"/>
            <w:shd w:val="clear" w:color="auto" w:fill="1B556B"/>
            <w:tcMar>
              <w:top w:w="0" w:type="dxa"/>
              <w:left w:w="108" w:type="dxa"/>
              <w:bottom w:w="0" w:type="dxa"/>
              <w:right w:w="108" w:type="dxa"/>
            </w:tcMar>
          </w:tcPr>
          <w:p w14:paraId="1FBF58CF" w14:textId="77777777" w:rsidR="00A76ADB" w:rsidRPr="006C0D1B" w:rsidRDefault="00A76ADB" w:rsidP="007E3239">
            <w:pPr>
              <w:pStyle w:val="TableTextBold"/>
              <w:rPr>
                <w:color w:val="FFFFFF"/>
              </w:rPr>
            </w:pPr>
            <w:r w:rsidRPr="006C0D1B">
              <w:rPr>
                <w:rFonts w:eastAsia="Calibri"/>
                <w:color w:val="FFFFFF"/>
              </w:rPr>
              <w:t>Source</w:t>
            </w:r>
          </w:p>
        </w:tc>
        <w:tc>
          <w:tcPr>
            <w:tcW w:w="2268" w:type="dxa"/>
            <w:shd w:val="clear" w:color="auto" w:fill="1B556B"/>
            <w:tcMar>
              <w:top w:w="0" w:type="dxa"/>
              <w:left w:w="108" w:type="dxa"/>
              <w:bottom w:w="0" w:type="dxa"/>
              <w:right w:w="108" w:type="dxa"/>
            </w:tcMar>
          </w:tcPr>
          <w:p w14:paraId="0ABECEF3" w14:textId="77777777" w:rsidR="00A76ADB" w:rsidRPr="006C0D1B" w:rsidRDefault="00A76ADB" w:rsidP="007E3239">
            <w:pPr>
              <w:pStyle w:val="TableTextBold"/>
              <w:rPr>
                <w:color w:val="FFFFFF"/>
              </w:rPr>
            </w:pPr>
            <w:r w:rsidRPr="006C0D1B">
              <w:rPr>
                <w:rFonts w:eastAsia="Calibri"/>
                <w:color w:val="FFFFFF"/>
              </w:rPr>
              <w:t>Reference</w:t>
            </w:r>
          </w:p>
        </w:tc>
      </w:tr>
      <w:tr w:rsidR="00A76ADB" w:rsidRPr="002A1EF2" w14:paraId="0AA1F76A" w14:textId="77777777" w:rsidTr="0083317F">
        <w:trPr>
          <w:cantSplit/>
          <w:trHeight w:val="283"/>
        </w:trPr>
        <w:tc>
          <w:tcPr>
            <w:tcW w:w="3119" w:type="dxa"/>
            <w:shd w:val="clear" w:color="auto" w:fill="FFFFFF"/>
            <w:tcMar>
              <w:top w:w="0" w:type="dxa"/>
              <w:left w:w="108" w:type="dxa"/>
              <w:bottom w:w="0" w:type="dxa"/>
              <w:right w:w="108" w:type="dxa"/>
            </w:tcMar>
          </w:tcPr>
          <w:p w14:paraId="472F1989" w14:textId="77777777" w:rsidR="00A76ADB" w:rsidRPr="002A1EF2" w:rsidRDefault="00A76ADB" w:rsidP="007E3239">
            <w:pPr>
              <w:pStyle w:val="TableText"/>
            </w:pPr>
            <w:r w:rsidRPr="002A1EF2">
              <w:rPr>
                <w:rFonts w:eastAsia="Calibri"/>
              </w:rPr>
              <w:t>Degradable organic component (kg COD/tonne of product)</w:t>
            </w:r>
          </w:p>
        </w:tc>
        <w:tc>
          <w:tcPr>
            <w:tcW w:w="1410" w:type="dxa"/>
            <w:shd w:val="clear" w:color="auto" w:fill="FFFFFF"/>
            <w:tcMar>
              <w:top w:w="0" w:type="dxa"/>
              <w:left w:w="108" w:type="dxa"/>
              <w:bottom w:w="0" w:type="dxa"/>
              <w:right w:w="108" w:type="dxa"/>
            </w:tcMar>
          </w:tcPr>
          <w:p w14:paraId="74F368E5" w14:textId="77777777" w:rsidR="00A76ADB" w:rsidRPr="002A1EF2" w:rsidRDefault="00A76ADB" w:rsidP="007E3239">
            <w:pPr>
              <w:pStyle w:val="TableText"/>
            </w:pPr>
            <w:r w:rsidRPr="002A1EF2">
              <w:rPr>
                <w:rFonts w:eastAsia="Calibri"/>
              </w:rPr>
              <w:t>180</w:t>
            </w:r>
          </w:p>
        </w:tc>
        <w:tc>
          <w:tcPr>
            <w:tcW w:w="1708" w:type="dxa"/>
            <w:shd w:val="clear" w:color="auto" w:fill="FFFFFF"/>
            <w:tcMar>
              <w:top w:w="0" w:type="dxa"/>
              <w:left w:w="108" w:type="dxa"/>
              <w:bottom w:w="0" w:type="dxa"/>
              <w:right w:w="108" w:type="dxa"/>
            </w:tcMar>
          </w:tcPr>
          <w:p w14:paraId="390C0803" w14:textId="77777777" w:rsidR="00A76ADB" w:rsidRPr="002A1EF2" w:rsidRDefault="00A76ADB" w:rsidP="007E3239">
            <w:pPr>
              <w:pStyle w:val="TableText"/>
            </w:pPr>
            <w:r w:rsidRPr="002A1EF2">
              <w:rPr>
                <w:rFonts w:eastAsia="Calibri"/>
              </w:rPr>
              <w:t>New Zealand specific</w:t>
            </w:r>
          </w:p>
        </w:tc>
        <w:tc>
          <w:tcPr>
            <w:tcW w:w="2268" w:type="dxa"/>
            <w:shd w:val="clear" w:color="auto" w:fill="FFFFFF"/>
            <w:tcMar>
              <w:top w:w="0" w:type="dxa"/>
              <w:left w:w="108" w:type="dxa"/>
              <w:bottom w:w="0" w:type="dxa"/>
              <w:right w:w="108" w:type="dxa"/>
            </w:tcMar>
          </w:tcPr>
          <w:p w14:paraId="1D9C2772" w14:textId="77777777" w:rsidR="00A76ADB" w:rsidRPr="002A1EF2" w:rsidRDefault="00A76ADB" w:rsidP="007E3239">
            <w:pPr>
              <w:pStyle w:val="TableText"/>
            </w:pPr>
            <w:r w:rsidRPr="002A1EF2">
              <w:rPr>
                <w:rFonts w:eastAsia="Calibri"/>
              </w:rPr>
              <w:t>SCS Wetherill Environmental (unpublished)</w:t>
            </w:r>
          </w:p>
        </w:tc>
      </w:tr>
      <w:tr w:rsidR="00A76ADB" w:rsidRPr="002A1EF2" w14:paraId="1B96EFFC" w14:textId="77777777" w:rsidTr="0083317F">
        <w:trPr>
          <w:cantSplit/>
          <w:trHeight w:val="283"/>
        </w:trPr>
        <w:tc>
          <w:tcPr>
            <w:tcW w:w="3119" w:type="dxa"/>
            <w:shd w:val="clear" w:color="auto" w:fill="FFFFFF"/>
            <w:tcMar>
              <w:top w:w="0" w:type="dxa"/>
              <w:left w:w="108" w:type="dxa"/>
              <w:bottom w:w="0" w:type="dxa"/>
              <w:right w:w="108" w:type="dxa"/>
            </w:tcMar>
          </w:tcPr>
          <w:p w14:paraId="029D5D6D" w14:textId="77777777" w:rsidR="00A76ADB" w:rsidRPr="002A1EF2" w:rsidRDefault="00A76ADB" w:rsidP="007E3239">
            <w:pPr>
              <w:pStyle w:val="TableText"/>
            </w:pPr>
            <w:r w:rsidRPr="002A1EF2">
              <w:rPr>
                <w:rFonts w:eastAsia="Calibri"/>
              </w:rPr>
              <w:t>Methane correction factor</w:t>
            </w:r>
          </w:p>
        </w:tc>
        <w:tc>
          <w:tcPr>
            <w:tcW w:w="1410" w:type="dxa"/>
            <w:shd w:val="clear" w:color="auto" w:fill="FFFFFF"/>
            <w:tcMar>
              <w:top w:w="0" w:type="dxa"/>
              <w:left w:w="108" w:type="dxa"/>
              <w:bottom w:w="0" w:type="dxa"/>
              <w:right w:w="108" w:type="dxa"/>
            </w:tcMar>
          </w:tcPr>
          <w:p w14:paraId="6A15CFC0" w14:textId="77777777" w:rsidR="00A76ADB" w:rsidRPr="002A1EF2" w:rsidRDefault="00A76ADB" w:rsidP="007E3239">
            <w:pPr>
              <w:pStyle w:val="TableText"/>
            </w:pPr>
            <w:r w:rsidRPr="002A1EF2">
              <w:rPr>
                <w:rFonts w:eastAsia="Calibri"/>
              </w:rPr>
              <w:t>Range of 0–0.55</w:t>
            </w:r>
          </w:p>
        </w:tc>
        <w:tc>
          <w:tcPr>
            <w:tcW w:w="1708" w:type="dxa"/>
            <w:shd w:val="clear" w:color="auto" w:fill="FFFFFF"/>
            <w:tcMar>
              <w:top w:w="0" w:type="dxa"/>
              <w:left w:w="108" w:type="dxa"/>
              <w:bottom w:w="0" w:type="dxa"/>
              <w:right w:w="108" w:type="dxa"/>
            </w:tcMar>
          </w:tcPr>
          <w:p w14:paraId="61CFD895" w14:textId="77777777" w:rsidR="00A76ADB" w:rsidRPr="002A1EF2" w:rsidRDefault="00A76ADB" w:rsidP="007E3239">
            <w:pPr>
              <w:pStyle w:val="TableText"/>
            </w:pPr>
            <w:r w:rsidRPr="002A1EF2">
              <w:rPr>
                <w:rFonts w:eastAsia="Calibri"/>
              </w:rPr>
              <w:t>New Zealand specific</w:t>
            </w:r>
          </w:p>
        </w:tc>
        <w:tc>
          <w:tcPr>
            <w:tcW w:w="2268" w:type="dxa"/>
            <w:shd w:val="clear" w:color="auto" w:fill="FFFFFF"/>
            <w:tcMar>
              <w:top w:w="0" w:type="dxa"/>
              <w:left w:w="108" w:type="dxa"/>
              <w:bottom w:w="0" w:type="dxa"/>
              <w:right w:w="108" w:type="dxa"/>
            </w:tcMar>
          </w:tcPr>
          <w:p w14:paraId="7DB4C92E" w14:textId="77777777" w:rsidR="00A76ADB" w:rsidRPr="002A1EF2" w:rsidRDefault="00A76ADB" w:rsidP="007E3239">
            <w:pPr>
              <w:pStyle w:val="TableText"/>
            </w:pPr>
            <w:r w:rsidRPr="002A1EF2">
              <w:rPr>
                <w:rFonts w:eastAsia="Calibri"/>
              </w:rPr>
              <w:t>SCS Wetherill Environmental (unpublished)</w:t>
            </w:r>
          </w:p>
        </w:tc>
      </w:tr>
      <w:tr w:rsidR="00A76ADB" w:rsidRPr="002A1EF2" w14:paraId="0B418610" w14:textId="77777777" w:rsidTr="0083317F">
        <w:trPr>
          <w:cantSplit/>
          <w:trHeight w:val="283"/>
        </w:trPr>
        <w:tc>
          <w:tcPr>
            <w:tcW w:w="3119" w:type="dxa"/>
            <w:shd w:val="clear" w:color="auto" w:fill="FFFFFF"/>
            <w:tcMar>
              <w:top w:w="0" w:type="dxa"/>
              <w:left w:w="108" w:type="dxa"/>
              <w:bottom w:w="0" w:type="dxa"/>
              <w:right w:w="108" w:type="dxa"/>
            </w:tcMar>
          </w:tcPr>
          <w:p w14:paraId="08815D35" w14:textId="77777777" w:rsidR="00A76ADB" w:rsidRPr="002A1EF2" w:rsidRDefault="00A76ADB" w:rsidP="007E3239">
            <w:pPr>
              <w:pStyle w:val="TableText"/>
            </w:pPr>
            <w:r w:rsidRPr="002A1EF2">
              <w:rPr>
                <w:rFonts w:eastAsia="Calibri"/>
              </w:rPr>
              <w:t>Maximum methane-producing capacity (kg CH₄/kg COD)</w:t>
            </w:r>
          </w:p>
        </w:tc>
        <w:tc>
          <w:tcPr>
            <w:tcW w:w="1410" w:type="dxa"/>
            <w:shd w:val="clear" w:color="auto" w:fill="FFFFFF"/>
            <w:tcMar>
              <w:top w:w="0" w:type="dxa"/>
              <w:left w:w="108" w:type="dxa"/>
              <w:bottom w:w="0" w:type="dxa"/>
              <w:right w:w="108" w:type="dxa"/>
            </w:tcMar>
          </w:tcPr>
          <w:p w14:paraId="65E178BE" w14:textId="77777777" w:rsidR="00A76ADB" w:rsidRPr="002A1EF2" w:rsidRDefault="00A76ADB" w:rsidP="007E3239">
            <w:pPr>
              <w:pStyle w:val="TableText"/>
            </w:pPr>
            <w:r w:rsidRPr="002A1EF2">
              <w:rPr>
                <w:rFonts w:eastAsia="Calibri"/>
              </w:rPr>
              <w:t>0.25</w:t>
            </w:r>
          </w:p>
        </w:tc>
        <w:tc>
          <w:tcPr>
            <w:tcW w:w="1708" w:type="dxa"/>
            <w:shd w:val="clear" w:color="auto" w:fill="FFFFFF"/>
            <w:tcMar>
              <w:top w:w="0" w:type="dxa"/>
              <w:left w:w="108" w:type="dxa"/>
              <w:bottom w:w="0" w:type="dxa"/>
              <w:right w:w="108" w:type="dxa"/>
            </w:tcMar>
          </w:tcPr>
          <w:p w14:paraId="15E1FD99" w14:textId="77777777" w:rsidR="00A76ADB" w:rsidRPr="002A1EF2" w:rsidRDefault="00A76ADB" w:rsidP="007E3239">
            <w:pPr>
              <w:pStyle w:val="TableText"/>
            </w:pPr>
            <w:r w:rsidRPr="002A1EF2">
              <w:rPr>
                <w:rFonts w:eastAsia="Calibri"/>
              </w:rPr>
              <w:t>IPCC default</w:t>
            </w:r>
          </w:p>
        </w:tc>
        <w:tc>
          <w:tcPr>
            <w:tcW w:w="2268" w:type="dxa"/>
            <w:shd w:val="clear" w:color="auto" w:fill="FFFFFF"/>
            <w:tcMar>
              <w:top w:w="0" w:type="dxa"/>
              <w:left w:w="108" w:type="dxa"/>
              <w:bottom w:w="0" w:type="dxa"/>
              <w:right w:w="108" w:type="dxa"/>
            </w:tcMar>
          </w:tcPr>
          <w:p w14:paraId="19CA91A1" w14:textId="77777777" w:rsidR="00A76ADB" w:rsidRPr="002A1EF2" w:rsidRDefault="00A76ADB" w:rsidP="007E3239">
            <w:pPr>
              <w:pStyle w:val="TableText"/>
            </w:pPr>
            <w:r w:rsidRPr="002A1EF2">
              <w:rPr>
                <w:rFonts w:eastAsia="Calibri"/>
              </w:rPr>
              <w:t>IPCC (2006a)</w:t>
            </w:r>
          </w:p>
        </w:tc>
      </w:tr>
      <w:tr w:rsidR="00A76ADB" w:rsidRPr="002A1EF2" w14:paraId="6C07ED33" w14:textId="77777777" w:rsidTr="0083317F">
        <w:trPr>
          <w:cantSplit/>
          <w:trHeight w:val="283"/>
        </w:trPr>
        <w:tc>
          <w:tcPr>
            <w:tcW w:w="3119" w:type="dxa"/>
            <w:shd w:val="clear" w:color="auto" w:fill="FFFFFF"/>
            <w:tcMar>
              <w:top w:w="0" w:type="dxa"/>
              <w:left w:w="108" w:type="dxa"/>
              <w:bottom w:w="0" w:type="dxa"/>
              <w:right w:w="108" w:type="dxa"/>
            </w:tcMar>
          </w:tcPr>
          <w:p w14:paraId="6BC0CC9B" w14:textId="77777777" w:rsidR="00A76ADB" w:rsidRPr="002A1EF2" w:rsidRDefault="00A76ADB" w:rsidP="007E3239">
            <w:pPr>
              <w:pStyle w:val="TableText"/>
            </w:pPr>
            <w:r w:rsidRPr="002A1EF2">
              <w:rPr>
                <w:rFonts w:eastAsia="Calibri"/>
              </w:rPr>
              <w:t>Overall emission factor</w:t>
            </w:r>
          </w:p>
        </w:tc>
        <w:tc>
          <w:tcPr>
            <w:tcW w:w="1410" w:type="dxa"/>
            <w:shd w:val="clear" w:color="auto" w:fill="FFFFFF"/>
            <w:tcMar>
              <w:top w:w="0" w:type="dxa"/>
              <w:left w:w="108" w:type="dxa"/>
              <w:bottom w:w="0" w:type="dxa"/>
              <w:right w:w="108" w:type="dxa"/>
            </w:tcMar>
          </w:tcPr>
          <w:p w14:paraId="5E764A5F" w14:textId="77777777" w:rsidR="00A76ADB" w:rsidRPr="002A1EF2" w:rsidRDefault="00A76ADB" w:rsidP="007E3239">
            <w:pPr>
              <w:pStyle w:val="TableText"/>
            </w:pPr>
            <w:r w:rsidRPr="002A1EF2">
              <w:rPr>
                <w:rFonts w:eastAsia="Calibri"/>
              </w:rPr>
              <w:t>0.0124</w:t>
            </w:r>
          </w:p>
        </w:tc>
        <w:tc>
          <w:tcPr>
            <w:tcW w:w="1708" w:type="dxa"/>
            <w:shd w:val="clear" w:color="auto" w:fill="FFFFFF"/>
            <w:tcMar>
              <w:top w:w="0" w:type="dxa"/>
              <w:left w:w="108" w:type="dxa"/>
              <w:bottom w:w="0" w:type="dxa"/>
              <w:right w:w="108" w:type="dxa"/>
            </w:tcMar>
          </w:tcPr>
          <w:p w14:paraId="7B100649" w14:textId="77777777" w:rsidR="00A76ADB" w:rsidRPr="002A1EF2" w:rsidRDefault="00A76ADB" w:rsidP="007E3239">
            <w:pPr>
              <w:pStyle w:val="TableText"/>
            </w:pPr>
            <w:r w:rsidRPr="002A1EF2">
              <w:rPr>
                <w:rFonts w:eastAsia="Calibri"/>
              </w:rPr>
              <w:t>New Zealand specific</w:t>
            </w:r>
          </w:p>
        </w:tc>
        <w:tc>
          <w:tcPr>
            <w:tcW w:w="2268" w:type="dxa"/>
            <w:shd w:val="clear" w:color="auto" w:fill="FFFFFF"/>
            <w:tcMar>
              <w:top w:w="0" w:type="dxa"/>
              <w:left w:w="108" w:type="dxa"/>
              <w:bottom w:w="0" w:type="dxa"/>
              <w:right w:w="108" w:type="dxa"/>
            </w:tcMar>
          </w:tcPr>
          <w:p w14:paraId="30CE0E50" w14:textId="77777777" w:rsidR="00A76ADB" w:rsidRPr="002A1EF2" w:rsidRDefault="00A76ADB" w:rsidP="007E3239">
            <w:pPr>
              <w:pStyle w:val="TableText"/>
            </w:pPr>
            <w:r w:rsidRPr="002A1EF2">
              <w:rPr>
                <w:rFonts w:eastAsia="Calibri"/>
              </w:rPr>
              <w:t>SCS Wetherill Environmental (unpublished)</w:t>
            </w:r>
          </w:p>
        </w:tc>
      </w:tr>
    </w:tbl>
    <w:p w14:paraId="0723AB14" w14:textId="77777777" w:rsidR="00A76ADB" w:rsidRDefault="00A76ADB" w:rsidP="00A76ADB">
      <w:pPr>
        <w:pStyle w:val="Noteundertable"/>
      </w:pPr>
      <w:r>
        <w:rPr>
          <w:b/>
          <w:bCs/>
        </w:rPr>
        <w:t>Note:</w:t>
      </w:r>
      <w:r w:rsidRPr="001515DA">
        <w:t xml:space="preserve"> </w:t>
      </w:r>
      <w:r>
        <w:tab/>
        <w:t>COD = chemical oxygen demand.</w:t>
      </w:r>
    </w:p>
    <w:p w14:paraId="7E66C0F4" w14:textId="77777777" w:rsidR="00A76ADB" w:rsidRDefault="00A76ADB" w:rsidP="00A76ADB">
      <w:pPr>
        <w:pStyle w:val="Heading6"/>
      </w:pPr>
      <w:bookmarkStart w:id="2473" w:name="recovery-6"/>
      <w:r>
        <w:t>Recovery</w:t>
      </w:r>
    </w:p>
    <w:p w14:paraId="470554AA" w14:textId="77777777" w:rsidR="00A76ADB" w:rsidRDefault="00A76ADB" w:rsidP="00A76ADB">
      <w:pPr>
        <w:pStyle w:val="BodyText"/>
      </w:pPr>
      <w:r>
        <w:t>There is no recovery of emissions reported for this source.</w:t>
      </w:r>
    </w:p>
    <w:p w14:paraId="328DD9B2" w14:textId="77777777" w:rsidR="00A76ADB" w:rsidRDefault="00A76ADB" w:rsidP="00A76ADB">
      <w:pPr>
        <w:pStyle w:val="Heading5"/>
      </w:pPr>
      <w:bookmarkStart w:id="2474" w:name="Xe49511f11d376eec0be6644f93ad4abce330135"/>
      <w:bookmarkEnd w:id="2471"/>
      <w:bookmarkEnd w:id="2473"/>
      <w:r>
        <w:t>Nitrous oxide emissions from industrial wastewater treatment – Meat industry</w:t>
      </w:r>
    </w:p>
    <w:p w14:paraId="06E556A3" w14:textId="77777777" w:rsidR="00A76ADB" w:rsidRDefault="00A76ADB" w:rsidP="00A76ADB">
      <w:pPr>
        <w:pStyle w:val="BodyText"/>
      </w:pPr>
      <w:r>
        <w:t>Table 7.5.13 summarises the parameter values applied for estimating N</w:t>
      </w:r>
      <w:r>
        <w:rPr>
          <w:vertAlign w:val="subscript"/>
        </w:rPr>
        <w:t>2</w:t>
      </w:r>
      <w:r>
        <w:t>O emissions from wastewater treatment by the meat industry.</w:t>
      </w:r>
    </w:p>
    <w:p w14:paraId="27395DF1" w14:textId="77777777" w:rsidR="00A76ADB" w:rsidRDefault="00A76ADB" w:rsidP="00A76ADB">
      <w:pPr>
        <w:pStyle w:val="Table"/>
      </w:pPr>
      <w:bookmarkStart w:id="2475" w:name="_Toc99659352"/>
      <w:r>
        <w:t>Table 7.5.13</w:t>
      </w:r>
      <w:r>
        <w:tab/>
        <w:t>Parameter values applied by New Zealand for estimating nitrous oxide emissions for wastewater treatment for the meat industry</w:t>
      </w:r>
      <w:bookmarkEnd w:id="2475"/>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2835"/>
        <w:gridCol w:w="1860"/>
        <w:gridCol w:w="1684"/>
        <w:gridCol w:w="2126"/>
      </w:tblGrid>
      <w:tr w:rsidR="00A76ADB" w:rsidRPr="006C0D1B" w14:paraId="4851FDCE" w14:textId="77777777" w:rsidTr="0083317F">
        <w:trPr>
          <w:cantSplit/>
          <w:tblHeader/>
        </w:trPr>
        <w:tc>
          <w:tcPr>
            <w:tcW w:w="2835" w:type="dxa"/>
            <w:shd w:val="clear" w:color="auto" w:fill="1B556B"/>
            <w:tcMar>
              <w:top w:w="0" w:type="dxa"/>
              <w:left w:w="108" w:type="dxa"/>
              <w:bottom w:w="0" w:type="dxa"/>
              <w:right w:w="108" w:type="dxa"/>
            </w:tcMar>
            <w:vAlign w:val="center"/>
          </w:tcPr>
          <w:p w14:paraId="5ED5BF44" w14:textId="77777777" w:rsidR="00A76ADB" w:rsidRPr="006C0D1B" w:rsidRDefault="00A76ADB" w:rsidP="007E3239">
            <w:pPr>
              <w:pStyle w:val="TableTextBold"/>
              <w:rPr>
                <w:color w:val="FFFFFF"/>
              </w:rPr>
            </w:pPr>
            <w:r w:rsidRPr="006C0D1B">
              <w:rPr>
                <w:rFonts w:eastAsia="Calibri"/>
                <w:color w:val="FFFFFF"/>
              </w:rPr>
              <w:t>Parameter</w:t>
            </w:r>
          </w:p>
        </w:tc>
        <w:tc>
          <w:tcPr>
            <w:tcW w:w="1860" w:type="dxa"/>
            <w:shd w:val="clear" w:color="auto" w:fill="1B556B"/>
            <w:tcMar>
              <w:top w:w="0" w:type="dxa"/>
              <w:left w:w="108" w:type="dxa"/>
              <w:bottom w:w="0" w:type="dxa"/>
              <w:right w:w="108" w:type="dxa"/>
            </w:tcMar>
            <w:vAlign w:val="center"/>
          </w:tcPr>
          <w:p w14:paraId="49176FF1" w14:textId="77777777" w:rsidR="00A76ADB" w:rsidRPr="006C0D1B" w:rsidRDefault="00A76ADB" w:rsidP="007E3239">
            <w:pPr>
              <w:pStyle w:val="TableTextBold"/>
              <w:rPr>
                <w:color w:val="FFFFFF"/>
              </w:rPr>
            </w:pPr>
            <w:r w:rsidRPr="006C0D1B">
              <w:rPr>
                <w:rFonts w:eastAsia="Calibri"/>
                <w:color w:val="FFFFFF"/>
              </w:rPr>
              <w:t>Value</w:t>
            </w:r>
          </w:p>
        </w:tc>
        <w:tc>
          <w:tcPr>
            <w:tcW w:w="1684" w:type="dxa"/>
            <w:shd w:val="clear" w:color="auto" w:fill="1B556B"/>
            <w:tcMar>
              <w:top w:w="0" w:type="dxa"/>
              <w:left w:w="108" w:type="dxa"/>
              <w:bottom w:w="0" w:type="dxa"/>
              <w:right w:w="108" w:type="dxa"/>
            </w:tcMar>
            <w:vAlign w:val="center"/>
          </w:tcPr>
          <w:p w14:paraId="232E3B08" w14:textId="77777777" w:rsidR="00A76ADB" w:rsidRPr="006C0D1B" w:rsidRDefault="00A76ADB" w:rsidP="007E3239">
            <w:pPr>
              <w:pStyle w:val="TableTextBold"/>
              <w:rPr>
                <w:color w:val="FFFFFF"/>
              </w:rPr>
            </w:pPr>
            <w:r w:rsidRPr="006C0D1B">
              <w:rPr>
                <w:rFonts w:eastAsia="Calibri"/>
                <w:color w:val="FFFFFF"/>
              </w:rPr>
              <w:t>Source</w:t>
            </w:r>
          </w:p>
        </w:tc>
        <w:tc>
          <w:tcPr>
            <w:tcW w:w="2126" w:type="dxa"/>
            <w:shd w:val="clear" w:color="auto" w:fill="1B556B"/>
            <w:tcMar>
              <w:top w:w="0" w:type="dxa"/>
              <w:left w:w="108" w:type="dxa"/>
              <w:bottom w:w="0" w:type="dxa"/>
              <w:right w:w="108" w:type="dxa"/>
            </w:tcMar>
            <w:vAlign w:val="center"/>
          </w:tcPr>
          <w:p w14:paraId="3F9B6A83" w14:textId="77777777" w:rsidR="00A76ADB" w:rsidRPr="006C0D1B" w:rsidRDefault="00A76ADB" w:rsidP="007E3239">
            <w:pPr>
              <w:pStyle w:val="TableTextBold"/>
              <w:rPr>
                <w:color w:val="FFFFFF"/>
              </w:rPr>
            </w:pPr>
            <w:r w:rsidRPr="006C0D1B">
              <w:rPr>
                <w:rFonts w:eastAsia="Calibri"/>
                <w:color w:val="FFFFFF"/>
              </w:rPr>
              <w:t>Reference</w:t>
            </w:r>
          </w:p>
        </w:tc>
      </w:tr>
      <w:tr w:rsidR="00A76ADB" w14:paraId="2023AA60" w14:textId="77777777" w:rsidTr="0083317F">
        <w:trPr>
          <w:cantSplit/>
          <w:trHeight w:val="283"/>
        </w:trPr>
        <w:tc>
          <w:tcPr>
            <w:tcW w:w="2835" w:type="dxa"/>
            <w:shd w:val="clear" w:color="auto" w:fill="FFFFFF"/>
            <w:tcMar>
              <w:top w:w="0" w:type="dxa"/>
              <w:left w:w="108" w:type="dxa"/>
              <w:bottom w:w="0" w:type="dxa"/>
              <w:right w:w="108" w:type="dxa"/>
            </w:tcMar>
            <w:vAlign w:val="center"/>
          </w:tcPr>
          <w:p w14:paraId="0C8295FD" w14:textId="77777777" w:rsidR="00A76ADB" w:rsidRDefault="00A76ADB" w:rsidP="007E3239">
            <w:pPr>
              <w:pStyle w:val="TableText"/>
            </w:pPr>
            <w:r>
              <w:rPr>
                <w:rFonts w:eastAsia="Calibri"/>
              </w:rPr>
              <w:t>Degradable organic component (kg COD/tonne of product)</w:t>
            </w:r>
          </w:p>
        </w:tc>
        <w:tc>
          <w:tcPr>
            <w:tcW w:w="1860" w:type="dxa"/>
            <w:shd w:val="clear" w:color="auto" w:fill="FFFFFF"/>
            <w:tcMar>
              <w:top w:w="0" w:type="dxa"/>
              <w:left w:w="108" w:type="dxa"/>
              <w:bottom w:w="0" w:type="dxa"/>
              <w:right w:w="108" w:type="dxa"/>
            </w:tcMar>
            <w:vAlign w:val="center"/>
          </w:tcPr>
          <w:p w14:paraId="08C0CFB3" w14:textId="77777777" w:rsidR="00A76ADB" w:rsidRDefault="00A76ADB" w:rsidP="007E3239">
            <w:pPr>
              <w:pStyle w:val="TableText"/>
            </w:pPr>
            <w:r>
              <w:rPr>
                <w:rFonts w:eastAsia="Calibri"/>
              </w:rPr>
              <w:t>50</w:t>
            </w:r>
          </w:p>
        </w:tc>
        <w:tc>
          <w:tcPr>
            <w:tcW w:w="1684" w:type="dxa"/>
            <w:shd w:val="clear" w:color="auto" w:fill="FFFFFF"/>
            <w:tcMar>
              <w:top w:w="0" w:type="dxa"/>
              <w:left w:w="108" w:type="dxa"/>
              <w:bottom w:w="0" w:type="dxa"/>
              <w:right w:w="108" w:type="dxa"/>
            </w:tcMar>
            <w:vAlign w:val="center"/>
          </w:tcPr>
          <w:p w14:paraId="67ECAFC3" w14:textId="77777777" w:rsidR="00A76ADB" w:rsidRDefault="00A76ADB" w:rsidP="007E3239">
            <w:pPr>
              <w:pStyle w:val="TableText"/>
            </w:pPr>
            <w:r>
              <w:rPr>
                <w:rFonts w:eastAsia="Calibri"/>
              </w:rPr>
              <w:t>New Zealand specific</w:t>
            </w:r>
          </w:p>
        </w:tc>
        <w:tc>
          <w:tcPr>
            <w:tcW w:w="2126" w:type="dxa"/>
            <w:shd w:val="clear" w:color="auto" w:fill="FFFFFF"/>
            <w:tcMar>
              <w:top w:w="0" w:type="dxa"/>
              <w:left w:w="108" w:type="dxa"/>
              <w:bottom w:w="0" w:type="dxa"/>
              <w:right w:w="108" w:type="dxa"/>
            </w:tcMar>
            <w:vAlign w:val="center"/>
          </w:tcPr>
          <w:p w14:paraId="7E1FAC58" w14:textId="77777777" w:rsidR="00A76ADB" w:rsidRDefault="00A76ADB" w:rsidP="007E3239">
            <w:pPr>
              <w:pStyle w:val="TableText"/>
            </w:pPr>
            <w:r>
              <w:rPr>
                <w:rFonts w:eastAsia="Calibri"/>
              </w:rPr>
              <w:t>SCS Wetherill Environmental (unpublished)</w:t>
            </w:r>
          </w:p>
        </w:tc>
      </w:tr>
      <w:tr w:rsidR="00A76ADB" w14:paraId="3FC53B5B" w14:textId="77777777" w:rsidTr="0083317F">
        <w:trPr>
          <w:cantSplit/>
          <w:trHeight w:val="283"/>
        </w:trPr>
        <w:tc>
          <w:tcPr>
            <w:tcW w:w="2835" w:type="dxa"/>
            <w:shd w:val="clear" w:color="auto" w:fill="FFFFFF"/>
            <w:tcMar>
              <w:top w:w="0" w:type="dxa"/>
              <w:left w:w="108" w:type="dxa"/>
              <w:bottom w:w="0" w:type="dxa"/>
              <w:right w:w="108" w:type="dxa"/>
            </w:tcMar>
            <w:vAlign w:val="center"/>
          </w:tcPr>
          <w:p w14:paraId="134BE8D7" w14:textId="77777777" w:rsidR="00A76ADB" w:rsidRDefault="00A76ADB" w:rsidP="007E3239">
            <w:pPr>
              <w:pStyle w:val="TableText"/>
            </w:pPr>
            <w:r>
              <w:rPr>
                <w:rFonts w:eastAsia="Calibri"/>
              </w:rPr>
              <w:t>Ratio of total nitrogen to biodegradable COD (TN:COD</w:t>
            </w:r>
            <w:r>
              <w:rPr>
                <w:rFonts w:eastAsia="Calibri"/>
                <w:vertAlign w:val="subscript"/>
              </w:rPr>
              <w:t>b</w:t>
            </w:r>
            <w:r>
              <w:rPr>
                <w:rFonts w:eastAsia="Calibri"/>
              </w:rPr>
              <w:t>)</w:t>
            </w:r>
          </w:p>
        </w:tc>
        <w:tc>
          <w:tcPr>
            <w:tcW w:w="1860" w:type="dxa"/>
            <w:shd w:val="clear" w:color="auto" w:fill="FFFFFF"/>
            <w:tcMar>
              <w:top w:w="0" w:type="dxa"/>
              <w:left w:w="108" w:type="dxa"/>
              <w:bottom w:w="0" w:type="dxa"/>
              <w:right w:w="108" w:type="dxa"/>
            </w:tcMar>
            <w:vAlign w:val="center"/>
          </w:tcPr>
          <w:p w14:paraId="623029EA" w14:textId="77777777" w:rsidR="00A76ADB" w:rsidRDefault="00A76ADB" w:rsidP="007E3239">
            <w:pPr>
              <w:pStyle w:val="TableText"/>
            </w:pPr>
            <w:r>
              <w:rPr>
                <w:rFonts w:eastAsia="Calibri"/>
              </w:rPr>
              <w:t>0.09</w:t>
            </w:r>
          </w:p>
        </w:tc>
        <w:tc>
          <w:tcPr>
            <w:tcW w:w="1684" w:type="dxa"/>
            <w:shd w:val="clear" w:color="auto" w:fill="FFFFFF"/>
            <w:tcMar>
              <w:top w:w="0" w:type="dxa"/>
              <w:left w:w="108" w:type="dxa"/>
              <w:bottom w:w="0" w:type="dxa"/>
              <w:right w:w="108" w:type="dxa"/>
            </w:tcMar>
            <w:vAlign w:val="center"/>
          </w:tcPr>
          <w:p w14:paraId="6CC4DD7B" w14:textId="77777777" w:rsidR="00A76ADB" w:rsidRDefault="00A76ADB" w:rsidP="007E3239">
            <w:pPr>
              <w:pStyle w:val="TableText"/>
            </w:pPr>
            <w:r>
              <w:rPr>
                <w:rFonts w:eastAsia="Calibri"/>
              </w:rPr>
              <w:t>New Zealand specific</w:t>
            </w:r>
          </w:p>
        </w:tc>
        <w:tc>
          <w:tcPr>
            <w:tcW w:w="2126" w:type="dxa"/>
            <w:shd w:val="clear" w:color="auto" w:fill="FFFFFF"/>
            <w:tcMar>
              <w:top w:w="0" w:type="dxa"/>
              <w:left w:w="108" w:type="dxa"/>
              <w:bottom w:w="0" w:type="dxa"/>
              <w:right w:w="108" w:type="dxa"/>
            </w:tcMar>
            <w:vAlign w:val="center"/>
          </w:tcPr>
          <w:p w14:paraId="5771B1F7" w14:textId="5D2C62F2" w:rsidR="00A76ADB" w:rsidRDefault="00A76ADB" w:rsidP="007E3239">
            <w:pPr>
              <w:pStyle w:val="TableText"/>
            </w:pPr>
            <w:r>
              <w:rPr>
                <w:rFonts w:eastAsia="Calibri"/>
              </w:rPr>
              <w:t>Cardno (</w:t>
            </w:r>
            <w:r w:rsidR="00CE07F2">
              <w:rPr>
                <w:rFonts w:eastAsia="Calibri"/>
              </w:rPr>
              <w:t>2015</w:t>
            </w:r>
            <w:r>
              <w:rPr>
                <w:rFonts w:eastAsia="Calibri"/>
              </w:rPr>
              <w:t>)</w:t>
            </w:r>
          </w:p>
        </w:tc>
      </w:tr>
      <w:tr w:rsidR="00A76ADB" w14:paraId="0CDE214A" w14:textId="77777777" w:rsidTr="0083317F">
        <w:trPr>
          <w:cantSplit/>
          <w:trHeight w:val="283"/>
        </w:trPr>
        <w:tc>
          <w:tcPr>
            <w:tcW w:w="2835" w:type="dxa"/>
            <w:shd w:val="clear" w:color="auto" w:fill="FFFFFF"/>
            <w:tcMar>
              <w:top w:w="0" w:type="dxa"/>
              <w:left w:w="108" w:type="dxa"/>
              <w:bottom w:w="0" w:type="dxa"/>
              <w:right w:w="108" w:type="dxa"/>
            </w:tcMar>
            <w:vAlign w:val="center"/>
          </w:tcPr>
          <w:p w14:paraId="0C82D7BF" w14:textId="77777777" w:rsidR="00A76ADB" w:rsidRDefault="00A76ADB" w:rsidP="007E3239">
            <w:pPr>
              <w:pStyle w:val="TableText"/>
            </w:pPr>
            <w:r>
              <w:rPr>
                <w:rFonts w:eastAsia="Calibri"/>
              </w:rPr>
              <w:t>Overall emission factor</w:t>
            </w:r>
          </w:p>
        </w:tc>
        <w:tc>
          <w:tcPr>
            <w:tcW w:w="1860" w:type="dxa"/>
            <w:shd w:val="clear" w:color="auto" w:fill="FFFFFF"/>
            <w:tcMar>
              <w:top w:w="0" w:type="dxa"/>
              <w:left w:w="108" w:type="dxa"/>
              <w:bottom w:w="0" w:type="dxa"/>
              <w:right w:w="108" w:type="dxa"/>
            </w:tcMar>
            <w:vAlign w:val="center"/>
          </w:tcPr>
          <w:p w14:paraId="129B6B05" w14:textId="77777777" w:rsidR="00A76ADB" w:rsidRDefault="00A76ADB" w:rsidP="007E3239">
            <w:pPr>
              <w:pStyle w:val="TableText"/>
            </w:pPr>
            <w:r>
              <w:rPr>
                <w:rFonts w:eastAsia="Calibri"/>
              </w:rPr>
              <w:t>Range of 0.0013–0.0019</w:t>
            </w:r>
          </w:p>
        </w:tc>
        <w:tc>
          <w:tcPr>
            <w:tcW w:w="1684" w:type="dxa"/>
            <w:shd w:val="clear" w:color="auto" w:fill="FFFFFF"/>
            <w:tcMar>
              <w:top w:w="0" w:type="dxa"/>
              <w:left w:w="108" w:type="dxa"/>
              <w:bottom w:w="0" w:type="dxa"/>
              <w:right w:w="108" w:type="dxa"/>
            </w:tcMar>
            <w:vAlign w:val="center"/>
          </w:tcPr>
          <w:p w14:paraId="6F654DDE" w14:textId="77777777" w:rsidR="00A76ADB" w:rsidRDefault="00A76ADB" w:rsidP="007E3239">
            <w:pPr>
              <w:pStyle w:val="TableText"/>
            </w:pPr>
            <w:r>
              <w:rPr>
                <w:rFonts w:eastAsia="Calibri"/>
              </w:rPr>
              <w:t>New Zealand specific</w:t>
            </w:r>
          </w:p>
        </w:tc>
        <w:tc>
          <w:tcPr>
            <w:tcW w:w="2126" w:type="dxa"/>
            <w:shd w:val="clear" w:color="auto" w:fill="FFFFFF"/>
            <w:tcMar>
              <w:top w:w="0" w:type="dxa"/>
              <w:left w:w="108" w:type="dxa"/>
              <w:bottom w:w="0" w:type="dxa"/>
              <w:right w:w="108" w:type="dxa"/>
            </w:tcMar>
            <w:vAlign w:val="center"/>
          </w:tcPr>
          <w:p w14:paraId="1C69408D" w14:textId="522E8584" w:rsidR="00A76ADB" w:rsidRDefault="00A76ADB" w:rsidP="007E3239">
            <w:pPr>
              <w:pStyle w:val="TableText"/>
            </w:pPr>
            <w:r>
              <w:rPr>
                <w:rFonts w:eastAsia="Calibri"/>
              </w:rPr>
              <w:t>Cardno (</w:t>
            </w:r>
            <w:r w:rsidR="00CE07F2">
              <w:rPr>
                <w:rFonts w:eastAsia="Calibri"/>
              </w:rPr>
              <w:t>2015</w:t>
            </w:r>
            <w:r>
              <w:rPr>
                <w:rFonts w:eastAsia="Calibri"/>
              </w:rPr>
              <w:t>)</w:t>
            </w:r>
          </w:p>
        </w:tc>
      </w:tr>
    </w:tbl>
    <w:p w14:paraId="40AFD2F9" w14:textId="77777777" w:rsidR="00A76ADB" w:rsidRDefault="00A76ADB" w:rsidP="00A76ADB">
      <w:pPr>
        <w:pStyle w:val="Noteundertable"/>
      </w:pPr>
      <w:r>
        <w:rPr>
          <w:b/>
          <w:bCs/>
        </w:rPr>
        <w:t>Note:</w:t>
      </w:r>
      <w:r w:rsidRPr="001515DA">
        <w:t xml:space="preserve"> </w:t>
      </w:r>
      <w:r>
        <w:tab/>
        <w:t>COD = chemical oxygen demand; TN = total nitrogen.</w:t>
      </w:r>
    </w:p>
    <w:p w14:paraId="343D720D" w14:textId="77777777" w:rsidR="00A76ADB" w:rsidRDefault="00A76ADB" w:rsidP="00A76ADB">
      <w:pPr>
        <w:pStyle w:val="Heading6"/>
      </w:pPr>
      <w:bookmarkStart w:id="2476" w:name="recovery-7"/>
      <w:r>
        <w:t>Recovery</w:t>
      </w:r>
    </w:p>
    <w:p w14:paraId="344D1D29" w14:textId="77777777" w:rsidR="00A76ADB" w:rsidRDefault="00A76ADB" w:rsidP="00A76ADB">
      <w:pPr>
        <w:pStyle w:val="BodyText"/>
      </w:pPr>
      <w:r>
        <w:t>There is no recovery of emissions reported for this source.</w:t>
      </w:r>
    </w:p>
    <w:p w14:paraId="0D648FD4" w14:textId="77777777" w:rsidR="00A76ADB" w:rsidRDefault="00A76ADB" w:rsidP="00A76ADB">
      <w:pPr>
        <w:pStyle w:val="Heading5"/>
      </w:pPr>
      <w:bookmarkStart w:id="2477" w:name="X5d86673037b98ba8b78ea95af024b5ec0c9825a"/>
      <w:bookmarkEnd w:id="2474"/>
      <w:bookmarkEnd w:id="2476"/>
      <w:r>
        <w:t>Nitrous oxide emissions from industrial wastewater treatment – Dairy processing industry</w:t>
      </w:r>
    </w:p>
    <w:p w14:paraId="65EE7B00" w14:textId="77777777" w:rsidR="00A76ADB" w:rsidRDefault="00A76ADB" w:rsidP="00A76ADB">
      <w:pPr>
        <w:pStyle w:val="BodyText"/>
      </w:pPr>
      <w:r>
        <w:t>Table 7.5.14 summarises the parameter values applied for estimating N</w:t>
      </w:r>
      <w:r>
        <w:rPr>
          <w:vertAlign w:val="subscript"/>
        </w:rPr>
        <w:t>2</w:t>
      </w:r>
      <w:r>
        <w:t>O emissions from wastewater treatment by the dairy processing industry.</w:t>
      </w:r>
    </w:p>
    <w:p w14:paraId="08F197AE" w14:textId="77777777" w:rsidR="00A76ADB" w:rsidRDefault="00A76ADB" w:rsidP="00A76ADB">
      <w:pPr>
        <w:pStyle w:val="Table"/>
      </w:pPr>
      <w:bookmarkStart w:id="2478" w:name="_Toc99659353"/>
      <w:r>
        <w:lastRenderedPageBreak/>
        <w:t>Table 7.5.14</w:t>
      </w:r>
      <w:r>
        <w:tab/>
        <w:t>Parameter values applied by New Zealand for estimating nitrous oxide emissions for wastewater treatment for the dairy processing industry</w:t>
      </w:r>
      <w:bookmarkEnd w:id="2478"/>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625"/>
        <w:gridCol w:w="758"/>
        <w:gridCol w:w="1812"/>
        <w:gridCol w:w="1310"/>
      </w:tblGrid>
      <w:tr w:rsidR="00A76ADB" w:rsidRPr="006C0D1B" w14:paraId="1DAF4786" w14:textId="77777777" w:rsidTr="0083317F">
        <w:trPr>
          <w:cantSplit/>
          <w:tblHeader/>
        </w:trPr>
        <w:tc>
          <w:tcPr>
            <w:tcW w:w="0" w:type="auto"/>
            <w:shd w:val="clear" w:color="auto" w:fill="1B556B"/>
            <w:tcMar>
              <w:top w:w="0" w:type="dxa"/>
              <w:left w:w="108" w:type="dxa"/>
              <w:bottom w:w="0" w:type="dxa"/>
              <w:right w:w="108" w:type="dxa"/>
            </w:tcMar>
          </w:tcPr>
          <w:p w14:paraId="3754982C" w14:textId="77777777" w:rsidR="00A76ADB" w:rsidRPr="006C0D1B" w:rsidRDefault="00A76ADB" w:rsidP="007E3239">
            <w:pPr>
              <w:pStyle w:val="TableTextBold"/>
              <w:spacing w:before="40" w:after="40"/>
              <w:rPr>
                <w:color w:val="FFFFFF"/>
              </w:rPr>
            </w:pPr>
            <w:r w:rsidRPr="006C0D1B">
              <w:rPr>
                <w:rFonts w:eastAsia="Calibri"/>
                <w:color w:val="FFFFFF"/>
              </w:rPr>
              <w:t>Parameter</w:t>
            </w:r>
          </w:p>
        </w:tc>
        <w:tc>
          <w:tcPr>
            <w:tcW w:w="0" w:type="auto"/>
            <w:shd w:val="clear" w:color="auto" w:fill="1B556B"/>
            <w:tcMar>
              <w:top w:w="0" w:type="dxa"/>
              <w:left w:w="108" w:type="dxa"/>
              <w:bottom w:w="0" w:type="dxa"/>
              <w:right w:w="108" w:type="dxa"/>
            </w:tcMar>
          </w:tcPr>
          <w:p w14:paraId="435E9F09" w14:textId="77777777" w:rsidR="00A76ADB" w:rsidRPr="006C0D1B" w:rsidRDefault="00A76ADB" w:rsidP="007E3239">
            <w:pPr>
              <w:pStyle w:val="TableTextBold"/>
              <w:spacing w:before="40" w:after="40"/>
              <w:rPr>
                <w:color w:val="FFFFFF"/>
              </w:rPr>
            </w:pPr>
            <w:r w:rsidRPr="006C0D1B">
              <w:rPr>
                <w:rFonts w:eastAsia="Calibri"/>
                <w:color w:val="FFFFFF"/>
              </w:rPr>
              <w:t>Value</w:t>
            </w:r>
          </w:p>
        </w:tc>
        <w:tc>
          <w:tcPr>
            <w:tcW w:w="0" w:type="auto"/>
            <w:shd w:val="clear" w:color="auto" w:fill="1B556B"/>
            <w:tcMar>
              <w:top w:w="0" w:type="dxa"/>
              <w:left w:w="108" w:type="dxa"/>
              <w:bottom w:w="0" w:type="dxa"/>
              <w:right w:w="108" w:type="dxa"/>
            </w:tcMar>
          </w:tcPr>
          <w:p w14:paraId="2007E7F3" w14:textId="77777777" w:rsidR="00A76ADB" w:rsidRPr="006C0D1B" w:rsidRDefault="00A76ADB" w:rsidP="007E3239">
            <w:pPr>
              <w:pStyle w:val="TableTextBold"/>
              <w:spacing w:before="40" w:after="40"/>
              <w:rPr>
                <w:color w:val="FFFFFF"/>
              </w:rPr>
            </w:pPr>
            <w:r w:rsidRPr="006C0D1B">
              <w:rPr>
                <w:rFonts w:eastAsia="Calibri"/>
                <w:color w:val="FFFFFF"/>
              </w:rPr>
              <w:t>Source</w:t>
            </w:r>
          </w:p>
        </w:tc>
        <w:tc>
          <w:tcPr>
            <w:tcW w:w="0" w:type="auto"/>
            <w:shd w:val="clear" w:color="auto" w:fill="1B556B"/>
            <w:tcMar>
              <w:top w:w="0" w:type="dxa"/>
              <w:left w:w="108" w:type="dxa"/>
              <w:bottom w:w="0" w:type="dxa"/>
              <w:right w:w="108" w:type="dxa"/>
            </w:tcMar>
          </w:tcPr>
          <w:p w14:paraId="6A5A1A49" w14:textId="77777777" w:rsidR="00A76ADB" w:rsidRPr="006C0D1B" w:rsidRDefault="00A76ADB" w:rsidP="007E3239">
            <w:pPr>
              <w:pStyle w:val="TableTextBold"/>
              <w:spacing w:before="40" w:after="40"/>
              <w:rPr>
                <w:color w:val="FFFFFF"/>
              </w:rPr>
            </w:pPr>
            <w:r w:rsidRPr="006C0D1B">
              <w:rPr>
                <w:rFonts w:eastAsia="Calibri"/>
                <w:color w:val="FFFFFF"/>
              </w:rPr>
              <w:t>Reference</w:t>
            </w:r>
          </w:p>
        </w:tc>
      </w:tr>
      <w:tr w:rsidR="00A76ADB" w:rsidRPr="00FD0AD0" w14:paraId="0EF7573D" w14:textId="77777777" w:rsidTr="0083317F">
        <w:trPr>
          <w:cantSplit/>
          <w:trHeight w:val="283"/>
        </w:trPr>
        <w:tc>
          <w:tcPr>
            <w:tcW w:w="0" w:type="auto"/>
            <w:shd w:val="clear" w:color="auto" w:fill="FFFFFF"/>
            <w:tcMar>
              <w:top w:w="0" w:type="dxa"/>
              <w:left w:w="108" w:type="dxa"/>
              <w:bottom w:w="0" w:type="dxa"/>
              <w:right w:w="108" w:type="dxa"/>
            </w:tcMar>
          </w:tcPr>
          <w:p w14:paraId="6857B3D2" w14:textId="77777777" w:rsidR="00A76ADB" w:rsidRPr="00FD0AD0" w:rsidRDefault="00A76ADB" w:rsidP="007E3239">
            <w:pPr>
              <w:pStyle w:val="TableText"/>
              <w:spacing w:before="40" w:after="40"/>
            </w:pPr>
            <w:r w:rsidRPr="00FD0AD0">
              <w:rPr>
                <w:rFonts w:eastAsia="Calibri"/>
              </w:rPr>
              <w:t>Degradable organic component (kg COD/tonne of product)</w:t>
            </w:r>
          </w:p>
        </w:tc>
        <w:tc>
          <w:tcPr>
            <w:tcW w:w="0" w:type="auto"/>
            <w:shd w:val="clear" w:color="auto" w:fill="FFFFFF"/>
            <w:tcMar>
              <w:top w:w="0" w:type="dxa"/>
              <w:left w:w="108" w:type="dxa"/>
              <w:bottom w:w="0" w:type="dxa"/>
              <w:right w:w="108" w:type="dxa"/>
            </w:tcMar>
          </w:tcPr>
          <w:p w14:paraId="079A7ED2" w14:textId="77777777" w:rsidR="00A76ADB" w:rsidRPr="00FD0AD0" w:rsidRDefault="00A76ADB" w:rsidP="007E3239">
            <w:pPr>
              <w:pStyle w:val="TableText"/>
              <w:spacing w:before="40" w:after="40"/>
            </w:pPr>
            <w:r w:rsidRPr="00FD0AD0">
              <w:rPr>
                <w:rFonts w:eastAsia="Calibri"/>
              </w:rPr>
              <w:t>2.0000</w:t>
            </w:r>
          </w:p>
        </w:tc>
        <w:tc>
          <w:tcPr>
            <w:tcW w:w="0" w:type="auto"/>
            <w:shd w:val="clear" w:color="auto" w:fill="FFFFFF"/>
            <w:tcMar>
              <w:top w:w="0" w:type="dxa"/>
              <w:left w:w="108" w:type="dxa"/>
              <w:bottom w:w="0" w:type="dxa"/>
              <w:right w:w="108" w:type="dxa"/>
            </w:tcMar>
          </w:tcPr>
          <w:p w14:paraId="4CFFF79C" w14:textId="77777777" w:rsidR="00A76ADB" w:rsidRPr="00FD0AD0" w:rsidRDefault="00A76ADB" w:rsidP="007E3239">
            <w:pPr>
              <w:pStyle w:val="TableText"/>
              <w:spacing w:before="40" w:after="40"/>
            </w:pPr>
            <w:r w:rsidRPr="00FD0AD0">
              <w:rPr>
                <w:rFonts w:eastAsia="Calibri"/>
              </w:rPr>
              <w:t>New Zealand specific</w:t>
            </w:r>
          </w:p>
        </w:tc>
        <w:tc>
          <w:tcPr>
            <w:tcW w:w="0" w:type="auto"/>
            <w:shd w:val="clear" w:color="auto" w:fill="FFFFFF"/>
            <w:tcMar>
              <w:top w:w="0" w:type="dxa"/>
              <w:left w:w="108" w:type="dxa"/>
              <w:bottom w:w="0" w:type="dxa"/>
              <w:right w:w="108" w:type="dxa"/>
            </w:tcMar>
          </w:tcPr>
          <w:p w14:paraId="12CAF3CA" w14:textId="630E6AC1" w:rsidR="00A76ADB" w:rsidRPr="00FD0AD0" w:rsidRDefault="00A76ADB" w:rsidP="007E3239">
            <w:pPr>
              <w:pStyle w:val="TableText"/>
              <w:spacing w:before="40" w:after="40"/>
            </w:pPr>
            <w:r w:rsidRPr="00FD0AD0">
              <w:rPr>
                <w:rFonts w:eastAsia="Calibri"/>
              </w:rPr>
              <w:t>Cardno (</w:t>
            </w:r>
            <w:r w:rsidR="007D4876">
              <w:rPr>
                <w:rFonts w:eastAsia="Calibri"/>
              </w:rPr>
              <w:t>2015</w:t>
            </w:r>
            <w:r w:rsidRPr="00FD0AD0">
              <w:rPr>
                <w:rFonts w:eastAsia="Calibri"/>
              </w:rPr>
              <w:t>)</w:t>
            </w:r>
          </w:p>
        </w:tc>
      </w:tr>
      <w:tr w:rsidR="00A76ADB" w:rsidRPr="00FD0AD0" w14:paraId="4B512E7C" w14:textId="77777777" w:rsidTr="0083317F">
        <w:trPr>
          <w:cantSplit/>
          <w:trHeight w:val="283"/>
        </w:trPr>
        <w:tc>
          <w:tcPr>
            <w:tcW w:w="0" w:type="auto"/>
            <w:shd w:val="clear" w:color="auto" w:fill="FFFFFF"/>
            <w:tcMar>
              <w:top w:w="0" w:type="dxa"/>
              <w:left w:w="108" w:type="dxa"/>
              <w:bottom w:w="0" w:type="dxa"/>
              <w:right w:w="108" w:type="dxa"/>
            </w:tcMar>
          </w:tcPr>
          <w:p w14:paraId="41DA843F" w14:textId="77777777" w:rsidR="00A76ADB" w:rsidRPr="00FD0AD0" w:rsidRDefault="00A76ADB" w:rsidP="007E3239">
            <w:pPr>
              <w:pStyle w:val="TableText"/>
              <w:spacing w:before="40" w:after="40"/>
            </w:pPr>
            <w:r w:rsidRPr="00FD0AD0">
              <w:rPr>
                <w:rFonts w:eastAsia="Calibri"/>
              </w:rPr>
              <w:t>Ratio of total nitrogen to biodegradable COD (TN:COD</w:t>
            </w:r>
            <w:r w:rsidRPr="00FD0AD0">
              <w:rPr>
                <w:rFonts w:eastAsia="Calibri"/>
                <w:vertAlign w:val="subscript"/>
              </w:rPr>
              <w:t>b</w:t>
            </w:r>
            <w:r w:rsidRPr="00FD0AD0">
              <w:rPr>
                <w:rFonts w:eastAsia="Calibri"/>
              </w:rPr>
              <w:t>)</w:t>
            </w:r>
          </w:p>
        </w:tc>
        <w:tc>
          <w:tcPr>
            <w:tcW w:w="0" w:type="auto"/>
            <w:shd w:val="clear" w:color="auto" w:fill="FFFFFF"/>
            <w:tcMar>
              <w:top w:w="0" w:type="dxa"/>
              <w:left w:w="108" w:type="dxa"/>
              <w:bottom w:w="0" w:type="dxa"/>
              <w:right w:w="108" w:type="dxa"/>
            </w:tcMar>
          </w:tcPr>
          <w:p w14:paraId="77102A7E" w14:textId="77777777" w:rsidR="00A76ADB" w:rsidRPr="00FD0AD0" w:rsidRDefault="00A76ADB" w:rsidP="007E3239">
            <w:pPr>
              <w:pStyle w:val="TableText"/>
              <w:spacing w:before="40" w:after="40"/>
            </w:pPr>
            <w:r w:rsidRPr="00FD0AD0">
              <w:rPr>
                <w:rFonts w:eastAsia="Calibri"/>
              </w:rPr>
              <w:t>0.0440</w:t>
            </w:r>
          </w:p>
        </w:tc>
        <w:tc>
          <w:tcPr>
            <w:tcW w:w="0" w:type="auto"/>
            <w:shd w:val="clear" w:color="auto" w:fill="FFFFFF"/>
            <w:tcMar>
              <w:top w:w="0" w:type="dxa"/>
              <w:left w:w="108" w:type="dxa"/>
              <w:bottom w:w="0" w:type="dxa"/>
              <w:right w:w="108" w:type="dxa"/>
            </w:tcMar>
          </w:tcPr>
          <w:p w14:paraId="423B1A29" w14:textId="77777777" w:rsidR="00A76ADB" w:rsidRPr="00FD0AD0" w:rsidRDefault="00A76ADB" w:rsidP="007E3239">
            <w:pPr>
              <w:pStyle w:val="TableText"/>
              <w:spacing w:before="40" w:after="40"/>
            </w:pPr>
            <w:r w:rsidRPr="00FD0AD0">
              <w:rPr>
                <w:rFonts w:eastAsia="Calibri"/>
              </w:rPr>
              <w:t>New Zealand specific</w:t>
            </w:r>
          </w:p>
        </w:tc>
        <w:tc>
          <w:tcPr>
            <w:tcW w:w="0" w:type="auto"/>
            <w:shd w:val="clear" w:color="auto" w:fill="FFFFFF"/>
            <w:tcMar>
              <w:top w:w="0" w:type="dxa"/>
              <w:left w:w="108" w:type="dxa"/>
              <w:bottom w:w="0" w:type="dxa"/>
              <w:right w:w="108" w:type="dxa"/>
            </w:tcMar>
          </w:tcPr>
          <w:p w14:paraId="7067706E" w14:textId="2F5CD439" w:rsidR="00A76ADB" w:rsidRPr="00FD0AD0" w:rsidRDefault="00A76ADB" w:rsidP="007E3239">
            <w:pPr>
              <w:pStyle w:val="TableText"/>
              <w:spacing w:before="40" w:after="40"/>
            </w:pPr>
            <w:r w:rsidRPr="00FD0AD0">
              <w:rPr>
                <w:rFonts w:eastAsia="Calibri"/>
              </w:rPr>
              <w:t>Cardno (</w:t>
            </w:r>
            <w:r w:rsidR="007D4876">
              <w:rPr>
                <w:rFonts w:eastAsia="Calibri"/>
              </w:rPr>
              <w:t>2015</w:t>
            </w:r>
            <w:r w:rsidRPr="00FD0AD0">
              <w:rPr>
                <w:rFonts w:eastAsia="Calibri"/>
              </w:rPr>
              <w:t>)</w:t>
            </w:r>
          </w:p>
        </w:tc>
      </w:tr>
      <w:tr w:rsidR="00A76ADB" w:rsidRPr="00FD0AD0" w14:paraId="342078BA" w14:textId="77777777" w:rsidTr="0083317F">
        <w:trPr>
          <w:cantSplit/>
          <w:trHeight w:val="283"/>
        </w:trPr>
        <w:tc>
          <w:tcPr>
            <w:tcW w:w="0" w:type="auto"/>
            <w:shd w:val="clear" w:color="auto" w:fill="FFFFFF"/>
            <w:tcMar>
              <w:top w:w="0" w:type="dxa"/>
              <w:left w:w="108" w:type="dxa"/>
              <w:bottom w:w="0" w:type="dxa"/>
              <w:right w:w="108" w:type="dxa"/>
            </w:tcMar>
          </w:tcPr>
          <w:p w14:paraId="04713513" w14:textId="77777777" w:rsidR="00A76ADB" w:rsidRPr="00FD0AD0" w:rsidRDefault="00A76ADB" w:rsidP="007E3239">
            <w:pPr>
              <w:pStyle w:val="TableText"/>
              <w:spacing w:before="40" w:after="40"/>
            </w:pPr>
            <w:r w:rsidRPr="00FD0AD0">
              <w:rPr>
                <w:rFonts w:eastAsia="Calibri"/>
              </w:rPr>
              <w:t>Overall emission factor</w:t>
            </w:r>
          </w:p>
        </w:tc>
        <w:tc>
          <w:tcPr>
            <w:tcW w:w="0" w:type="auto"/>
            <w:shd w:val="clear" w:color="auto" w:fill="FFFFFF"/>
            <w:tcMar>
              <w:top w:w="0" w:type="dxa"/>
              <w:left w:w="108" w:type="dxa"/>
              <w:bottom w:w="0" w:type="dxa"/>
              <w:right w:w="108" w:type="dxa"/>
            </w:tcMar>
          </w:tcPr>
          <w:p w14:paraId="060DCE35" w14:textId="77777777" w:rsidR="00A76ADB" w:rsidRPr="00FD0AD0" w:rsidRDefault="00A76ADB" w:rsidP="007E3239">
            <w:pPr>
              <w:pStyle w:val="TableText"/>
              <w:spacing w:before="40" w:after="40"/>
            </w:pPr>
            <w:r w:rsidRPr="00FD0AD0">
              <w:rPr>
                <w:rFonts w:eastAsia="Calibri"/>
              </w:rPr>
              <w:t>0.0028</w:t>
            </w:r>
          </w:p>
        </w:tc>
        <w:tc>
          <w:tcPr>
            <w:tcW w:w="0" w:type="auto"/>
            <w:shd w:val="clear" w:color="auto" w:fill="FFFFFF"/>
            <w:tcMar>
              <w:top w:w="0" w:type="dxa"/>
              <w:left w:w="108" w:type="dxa"/>
              <w:bottom w:w="0" w:type="dxa"/>
              <w:right w:w="108" w:type="dxa"/>
            </w:tcMar>
          </w:tcPr>
          <w:p w14:paraId="5AAC727C" w14:textId="77777777" w:rsidR="00A76ADB" w:rsidRPr="00FD0AD0" w:rsidRDefault="00A76ADB" w:rsidP="007E3239">
            <w:pPr>
              <w:pStyle w:val="TableText"/>
              <w:spacing w:before="40" w:after="40"/>
            </w:pPr>
            <w:r w:rsidRPr="00FD0AD0">
              <w:rPr>
                <w:rFonts w:eastAsia="Calibri"/>
              </w:rPr>
              <w:t>New Zealand specific</w:t>
            </w:r>
          </w:p>
        </w:tc>
        <w:tc>
          <w:tcPr>
            <w:tcW w:w="0" w:type="auto"/>
            <w:shd w:val="clear" w:color="auto" w:fill="FFFFFF"/>
            <w:tcMar>
              <w:top w:w="0" w:type="dxa"/>
              <w:left w:w="108" w:type="dxa"/>
              <w:bottom w:w="0" w:type="dxa"/>
              <w:right w:w="108" w:type="dxa"/>
            </w:tcMar>
          </w:tcPr>
          <w:p w14:paraId="24B0F7D5" w14:textId="04000AB5" w:rsidR="00A76ADB" w:rsidRPr="00FD0AD0" w:rsidRDefault="00A76ADB" w:rsidP="007E3239">
            <w:pPr>
              <w:pStyle w:val="TableText"/>
              <w:spacing w:before="40" w:after="40"/>
            </w:pPr>
            <w:r w:rsidRPr="00FD0AD0">
              <w:rPr>
                <w:rFonts w:eastAsia="Calibri"/>
              </w:rPr>
              <w:t>Cardno (</w:t>
            </w:r>
            <w:r w:rsidR="007D4876">
              <w:rPr>
                <w:rFonts w:eastAsia="Calibri"/>
              </w:rPr>
              <w:t>2015</w:t>
            </w:r>
            <w:r w:rsidRPr="00FD0AD0">
              <w:rPr>
                <w:rFonts w:eastAsia="Calibri"/>
              </w:rPr>
              <w:t>)</w:t>
            </w:r>
          </w:p>
        </w:tc>
      </w:tr>
    </w:tbl>
    <w:p w14:paraId="5CC442F2" w14:textId="77777777" w:rsidR="00A76ADB" w:rsidRDefault="00A76ADB" w:rsidP="00A76ADB">
      <w:pPr>
        <w:pStyle w:val="Noteundertable"/>
      </w:pPr>
      <w:r>
        <w:rPr>
          <w:b/>
          <w:bCs/>
        </w:rPr>
        <w:t>Note:</w:t>
      </w:r>
      <w:r w:rsidRPr="001515DA">
        <w:t xml:space="preserve"> </w:t>
      </w:r>
      <w:r>
        <w:tab/>
        <w:t>COD = chemical oxygen demand; TN = total nitrogen.</w:t>
      </w:r>
    </w:p>
    <w:p w14:paraId="704933C6" w14:textId="77777777" w:rsidR="00A76ADB" w:rsidRDefault="00A76ADB" w:rsidP="00A76ADB">
      <w:pPr>
        <w:pStyle w:val="Heading6"/>
      </w:pPr>
      <w:bookmarkStart w:id="2479" w:name="recovery-8"/>
      <w:r>
        <w:t>Recovery</w:t>
      </w:r>
    </w:p>
    <w:p w14:paraId="4354286B" w14:textId="77777777" w:rsidR="00A76ADB" w:rsidRDefault="00A76ADB" w:rsidP="00A76ADB">
      <w:pPr>
        <w:pStyle w:val="BodyText"/>
      </w:pPr>
      <w:r>
        <w:t>There is no recovery of emissions reported for this source.</w:t>
      </w:r>
    </w:p>
    <w:p w14:paraId="0E9F6385" w14:textId="77777777" w:rsidR="00A76ADB" w:rsidRDefault="00A76ADB" w:rsidP="00A76ADB">
      <w:pPr>
        <w:pStyle w:val="Heading5"/>
      </w:pPr>
      <w:bookmarkStart w:id="2480" w:name="X8304ebedd37f21741b77165175d750c1cbc201b"/>
      <w:bookmarkEnd w:id="2477"/>
      <w:bookmarkEnd w:id="2479"/>
      <w:r>
        <w:t>Nitrous oxide emissions from industrial wastewater treatment – Leather and skins industry</w:t>
      </w:r>
    </w:p>
    <w:p w14:paraId="13B9A635" w14:textId="77777777" w:rsidR="00A76ADB" w:rsidRDefault="00A76ADB" w:rsidP="00A76ADB">
      <w:pPr>
        <w:pStyle w:val="BodyText"/>
      </w:pPr>
      <w:r>
        <w:t>Table 7.5.15 summarises the parameter values applied for estimating N</w:t>
      </w:r>
      <w:r>
        <w:rPr>
          <w:vertAlign w:val="subscript"/>
        </w:rPr>
        <w:t>2</w:t>
      </w:r>
      <w:r>
        <w:t>O emissions from wastewater treatment by the leather and skins industry.</w:t>
      </w:r>
    </w:p>
    <w:p w14:paraId="5429FE45" w14:textId="77777777" w:rsidR="00A76ADB" w:rsidRDefault="00A76ADB" w:rsidP="00A76ADB">
      <w:pPr>
        <w:pStyle w:val="Table"/>
      </w:pPr>
      <w:bookmarkStart w:id="2481" w:name="_Toc99659354"/>
      <w:r>
        <w:t>Table 7.5.15</w:t>
      </w:r>
      <w:r>
        <w:tab/>
        <w:t>Parameter values applied by New Zealand for estimating nitrous oxide emissions for wastewater treatment for the leather and skins industry</w:t>
      </w:r>
      <w:bookmarkEnd w:id="2481"/>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664"/>
        <w:gridCol w:w="596"/>
        <w:gridCol w:w="1836"/>
        <w:gridCol w:w="2409"/>
      </w:tblGrid>
      <w:tr w:rsidR="00A76ADB" w:rsidRPr="006C0D1B" w14:paraId="1A16FF76" w14:textId="77777777" w:rsidTr="0083317F">
        <w:trPr>
          <w:cantSplit/>
          <w:tblHeader/>
        </w:trPr>
        <w:tc>
          <w:tcPr>
            <w:tcW w:w="0" w:type="auto"/>
            <w:shd w:val="clear" w:color="auto" w:fill="1B556B"/>
            <w:tcMar>
              <w:top w:w="0" w:type="dxa"/>
              <w:left w:w="108" w:type="dxa"/>
              <w:bottom w:w="0" w:type="dxa"/>
              <w:right w:w="108" w:type="dxa"/>
            </w:tcMar>
            <w:vAlign w:val="center"/>
          </w:tcPr>
          <w:p w14:paraId="6A0C6DB0" w14:textId="77777777" w:rsidR="00A76ADB" w:rsidRPr="006C0D1B" w:rsidRDefault="00A76ADB" w:rsidP="007E3239">
            <w:pPr>
              <w:pStyle w:val="TableTextBold"/>
              <w:spacing w:before="40" w:after="40"/>
              <w:rPr>
                <w:color w:val="FFFFFF"/>
              </w:rPr>
            </w:pPr>
            <w:r w:rsidRPr="006C0D1B">
              <w:rPr>
                <w:rFonts w:eastAsia="Calibri"/>
                <w:color w:val="FFFFFF"/>
              </w:rPr>
              <w:t>Parameter</w:t>
            </w:r>
          </w:p>
        </w:tc>
        <w:tc>
          <w:tcPr>
            <w:tcW w:w="0" w:type="auto"/>
            <w:shd w:val="clear" w:color="auto" w:fill="1B556B"/>
            <w:tcMar>
              <w:top w:w="0" w:type="dxa"/>
              <w:left w:w="108" w:type="dxa"/>
              <w:bottom w:w="0" w:type="dxa"/>
              <w:right w:w="108" w:type="dxa"/>
            </w:tcMar>
            <w:vAlign w:val="center"/>
          </w:tcPr>
          <w:p w14:paraId="79D8E3DB" w14:textId="77777777" w:rsidR="00A76ADB" w:rsidRPr="006C0D1B" w:rsidRDefault="00A76ADB" w:rsidP="007E3239">
            <w:pPr>
              <w:pStyle w:val="TableTextBold"/>
              <w:spacing w:before="40" w:after="40"/>
              <w:jc w:val="center"/>
              <w:rPr>
                <w:color w:val="FFFFFF"/>
              </w:rPr>
            </w:pPr>
            <w:r w:rsidRPr="006C0D1B">
              <w:rPr>
                <w:rFonts w:eastAsia="Calibri"/>
                <w:color w:val="FFFFFF"/>
              </w:rPr>
              <w:t>Value</w:t>
            </w:r>
          </w:p>
        </w:tc>
        <w:tc>
          <w:tcPr>
            <w:tcW w:w="1836" w:type="dxa"/>
            <w:shd w:val="clear" w:color="auto" w:fill="1B556B"/>
            <w:tcMar>
              <w:top w:w="0" w:type="dxa"/>
              <w:left w:w="108" w:type="dxa"/>
              <w:bottom w:w="0" w:type="dxa"/>
              <w:right w:w="108" w:type="dxa"/>
            </w:tcMar>
            <w:vAlign w:val="center"/>
          </w:tcPr>
          <w:p w14:paraId="10AA507B" w14:textId="77777777" w:rsidR="00A76ADB" w:rsidRPr="006C0D1B" w:rsidRDefault="00A76ADB" w:rsidP="007E3239">
            <w:pPr>
              <w:pStyle w:val="TableTextBold"/>
              <w:spacing w:before="40" w:after="40"/>
              <w:rPr>
                <w:color w:val="FFFFFF"/>
              </w:rPr>
            </w:pPr>
            <w:r w:rsidRPr="006C0D1B">
              <w:rPr>
                <w:rFonts w:eastAsia="Calibri"/>
                <w:color w:val="FFFFFF"/>
              </w:rPr>
              <w:t>Source</w:t>
            </w:r>
          </w:p>
        </w:tc>
        <w:tc>
          <w:tcPr>
            <w:tcW w:w="2409" w:type="dxa"/>
            <w:shd w:val="clear" w:color="auto" w:fill="1B556B"/>
            <w:tcMar>
              <w:top w:w="0" w:type="dxa"/>
              <w:left w:w="108" w:type="dxa"/>
              <w:bottom w:w="0" w:type="dxa"/>
              <w:right w:w="108" w:type="dxa"/>
            </w:tcMar>
            <w:vAlign w:val="center"/>
          </w:tcPr>
          <w:p w14:paraId="70DE4557" w14:textId="77777777" w:rsidR="00A76ADB" w:rsidRPr="006C0D1B" w:rsidRDefault="00A76ADB" w:rsidP="007E3239">
            <w:pPr>
              <w:pStyle w:val="TableTextBold"/>
              <w:spacing w:before="40" w:after="40"/>
              <w:rPr>
                <w:color w:val="FFFFFF"/>
              </w:rPr>
            </w:pPr>
            <w:r w:rsidRPr="006C0D1B">
              <w:rPr>
                <w:rFonts w:eastAsia="Calibri"/>
                <w:color w:val="FFFFFF"/>
              </w:rPr>
              <w:t>Reference</w:t>
            </w:r>
          </w:p>
        </w:tc>
      </w:tr>
      <w:tr w:rsidR="00A76ADB" w14:paraId="7422E84F" w14:textId="77777777" w:rsidTr="0083317F">
        <w:trPr>
          <w:cantSplit/>
          <w:trHeight w:val="283"/>
        </w:trPr>
        <w:tc>
          <w:tcPr>
            <w:tcW w:w="0" w:type="auto"/>
            <w:shd w:val="clear" w:color="auto" w:fill="FFFFFF"/>
            <w:tcMar>
              <w:top w:w="0" w:type="dxa"/>
              <w:left w:w="108" w:type="dxa"/>
              <w:bottom w:w="0" w:type="dxa"/>
              <w:right w:w="108" w:type="dxa"/>
            </w:tcMar>
          </w:tcPr>
          <w:p w14:paraId="7F531839" w14:textId="77777777" w:rsidR="00A76ADB" w:rsidRDefault="00A76ADB" w:rsidP="007E3239">
            <w:pPr>
              <w:pStyle w:val="TableText"/>
              <w:spacing w:before="40" w:after="40"/>
            </w:pPr>
            <w:r>
              <w:rPr>
                <w:rFonts w:eastAsia="Calibri"/>
              </w:rPr>
              <w:t>Degradable organic component (kg COD/tonne of product)</w:t>
            </w:r>
          </w:p>
        </w:tc>
        <w:tc>
          <w:tcPr>
            <w:tcW w:w="0" w:type="auto"/>
            <w:shd w:val="clear" w:color="auto" w:fill="FFFFFF"/>
            <w:tcMar>
              <w:top w:w="0" w:type="dxa"/>
              <w:left w:w="108" w:type="dxa"/>
              <w:bottom w:w="0" w:type="dxa"/>
              <w:right w:w="108" w:type="dxa"/>
            </w:tcMar>
          </w:tcPr>
          <w:p w14:paraId="31D5320D" w14:textId="77777777" w:rsidR="00A76ADB" w:rsidRDefault="00A76ADB" w:rsidP="007E3239">
            <w:pPr>
              <w:pStyle w:val="TableText"/>
              <w:spacing w:before="40" w:after="40"/>
              <w:jc w:val="center"/>
            </w:pPr>
            <w:r>
              <w:rPr>
                <w:rFonts w:eastAsia="Calibri"/>
              </w:rPr>
              <w:t>180</w:t>
            </w:r>
          </w:p>
        </w:tc>
        <w:tc>
          <w:tcPr>
            <w:tcW w:w="1836" w:type="dxa"/>
            <w:shd w:val="clear" w:color="auto" w:fill="FFFFFF"/>
            <w:tcMar>
              <w:top w:w="0" w:type="dxa"/>
              <w:left w:w="108" w:type="dxa"/>
              <w:bottom w:w="0" w:type="dxa"/>
              <w:right w:w="108" w:type="dxa"/>
            </w:tcMar>
          </w:tcPr>
          <w:p w14:paraId="5AEDF390" w14:textId="77777777" w:rsidR="00A76ADB" w:rsidRDefault="00A76ADB" w:rsidP="007E3239">
            <w:pPr>
              <w:pStyle w:val="TableText"/>
              <w:spacing w:before="40" w:after="40"/>
            </w:pPr>
            <w:r>
              <w:rPr>
                <w:rFonts w:eastAsia="Calibri"/>
              </w:rPr>
              <w:t>New Zealand specific</w:t>
            </w:r>
          </w:p>
        </w:tc>
        <w:tc>
          <w:tcPr>
            <w:tcW w:w="2409" w:type="dxa"/>
            <w:shd w:val="clear" w:color="auto" w:fill="FFFFFF"/>
            <w:tcMar>
              <w:top w:w="0" w:type="dxa"/>
              <w:left w:w="108" w:type="dxa"/>
              <w:bottom w:w="0" w:type="dxa"/>
              <w:right w:w="108" w:type="dxa"/>
            </w:tcMar>
          </w:tcPr>
          <w:p w14:paraId="75A5C928" w14:textId="77777777" w:rsidR="00A76ADB" w:rsidRDefault="00A76ADB" w:rsidP="007E3239">
            <w:pPr>
              <w:pStyle w:val="TableText"/>
              <w:spacing w:before="40" w:after="40"/>
            </w:pPr>
            <w:r>
              <w:rPr>
                <w:rFonts w:eastAsia="Calibri"/>
              </w:rPr>
              <w:t>SCS Wetherill Environmental (unpublished)</w:t>
            </w:r>
          </w:p>
        </w:tc>
      </w:tr>
      <w:tr w:rsidR="00A76ADB" w14:paraId="544C63C1" w14:textId="77777777" w:rsidTr="0083317F">
        <w:trPr>
          <w:cantSplit/>
          <w:trHeight w:val="283"/>
        </w:trPr>
        <w:tc>
          <w:tcPr>
            <w:tcW w:w="0" w:type="auto"/>
            <w:shd w:val="clear" w:color="auto" w:fill="FFFFFF"/>
            <w:tcMar>
              <w:top w:w="0" w:type="dxa"/>
              <w:left w:w="108" w:type="dxa"/>
              <w:bottom w:w="0" w:type="dxa"/>
              <w:right w:w="108" w:type="dxa"/>
            </w:tcMar>
          </w:tcPr>
          <w:p w14:paraId="7A370460" w14:textId="77777777" w:rsidR="00A76ADB" w:rsidRDefault="00A76ADB" w:rsidP="007E3239">
            <w:pPr>
              <w:pStyle w:val="TableText"/>
              <w:spacing w:before="40" w:after="40"/>
            </w:pPr>
            <w:r>
              <w:rPr>
                <w:rFonts w:eastAsia="Calibri"/>
              </w:rPr>
              <w:t>Ratio of total nitrogen to biodegradable COD (TN:COD</w:t>
            </w:r>
            <w:r>
              <w:rPr>
                <w:rFonts w:eastAsia="Calibri"/>
                <w:vertAlign w:val="subscript"/>
              </w:rPr>
              <w:t>b</w:t>
            </w:r>
            <w:r>
              <w:rPr>
                <w:rFonts w:eastAsia="Calibri"/>
              </w:rPr>
              <w:t>)</w:t>
            </w:r>
          </w:p>
        </w:tc>
        <w:tc>
          <w:tcPr>
            <w:tcW w:w="0" w:type="auto"/>
            <w:shd w:val="clear" w:color="auto" w:fill="FFFFFF"/>
            <w:tcMar>
              <w:top w:w="0" w:type="dxa"/>
              <w:left w:w="108" w:type="dxa"/>
              <w:bottom w:w="0" w:type="dxa"/>
              <w:right w:w="108" w:type="dxa"/>
            </w:tcMar>
          </w:tcPr>
          <w:p w14:paraId="2BAFC373" w14:textId="77777777" w:rsidR="00A76ADB" w:rsidRDefault="00A76ADB" w:rsidP="007E3239">
            <w:pPr>
              <w:pStyle w:val="TableText"/>
              <w:spacing w:before="40" w:after="40"/>
              <w:jc w:val="center"/>
            </w:pPr>
            <w:r>
              <w:rPr>
                <w:rFonts w:eastAsia="Calibri"/>
              </w:rPr>
              <w:t>0.08</w:t>
            </w:r>
          </w:p>
        </w:tc>
        <w:tc>
          <w:tcPr>
            <w:tcW w:w="1836" w:type="dxa"/>
            <w:shd w:val="clear" w:color="auto" w:fill="FFFFFF"/>
            <w:tcMar>
              <w:top w:w="0" w:type="dxa"/>
              <w:left w:w="108" w:type="dxa"/>
              <w:bottom w:w="0" w:type="dxa"/>
              <w:right w:w="108" w:type="dxa"/>
            </w:tcMar>
          </w:tcPr>
          <w:p w14:paraId="10E9CDE6" w14:textId="77777777" w:rsidR="00A76ADB" w:rsidRDefault="00A76ADB" w:rsidP="007E3239">
            <w:pPr>
              <w:pStyle w:val="TableText"/>
              <w:spacing w:before="40" w:after="40"/>
            </w:pPr>
            <w:r>
              <w:rPr>
                <w:rFonts w:eastAsia="Calibri"/>
              </w:rPr>
              <w:t>New Zealand specific</w:t>
            </w:r>
          </w:p>
        </w:tc>
        <w:tc>
          <w:tcPr>
            <w:tcW w:w="2409" w:type="dxa"/>
            <w:shd w:val="clear" w:color="auto" w:fill="FFFFFF"/>
            <w:tcMar>
              <w:top w:w="0" w:type="dxa"/>
              <w:left w:w="108" w:type="dxa"/>
              <w:bottom w:w="0" w:type="dxa"/>
              <w:right w:w="108" w:type="dxa"/>
            </w:tcMar>
          </w:tcPr>
          <w:p w14:paraId="748CB017" w14:textId="77777777" w:rsidR="00A76ADB" w:rsidRDefault="00A76ADB" w:rsidP="007E3239">
            <w:pPr>
              <w:pStyle w:val="TableText"/>
              <w:spacing w:before="40" w:after="40"/>
            </w:pPr>
            <w:r>
              <w:rPr>
                <w:rFonts w:eastAsia="Calibri"/>
              </w:rPr>
              <w:t>SCS Wetherill Environmental (unpublished)</w:t>
            </w:r>
          </w:p>
        </w:tc>
      </w:tr>
      <w:tr w:rsidR="00A76ADB" w14:paraId="59AB3D43" w14:textId="77777777" w:rsidTr="0083317F">
        <w:trPr>
          <w:cantSplit/>
          <w:trHeight w:val="283"/>
        </w:trPr>
        <w:tc>
          <w:tcPr>
            <w:tcW w:w="0" w:type="auto"/>
            <w:shd w:val="clear" w:color="auto" w:fill="FFFFFF"/>
            <w:tcMar>
              <w:top w:w="0" w:type="dxa"/>
              <w:left w:w="108" w:type="dxa"/>
              <w:bottom w:w="0" w:type="dxa"/>
              <w:right w:w="108" w:type="dxa"/>
            </w:tcMar>
          </w:tcPr>
          <w:p w14:paraId="119BD7A1" w14:textId="77777777" w:rsidR="00A76ADB" w:rsidRDefault="00A76ADB" w:rsidP="007E3239">
            <w:pPr>
              <w:pStyle w:val="TableText"/>
              <w:spacing w:before="40" w:after="40"/>
            </w:pPr>
            <w:r>
              <w:rPr>
                <w:rFonts w:eastAsia="Calibri"/>
              </w:rPr>
              <w:t>Overall emission factor</w:t>
            </w:r>
          </w:p>
        </w:tc>
        <w:tc>
          <w:tcPr>
            <w:tcW w:w="0" w:type="auto"/>
            <w:shd w:val="clear" w:color="auto" w:fill="FFFFFF"/>
            <w:tcMar>
              <w:top w:w="0" w:type="dxa"/>
              <w:left w:w="108" w:type="dxa"/>
              <w:bottom w:w="0" w:type="dxa"/>
              <w:right w:w="108" w:type="dxa"/>
            </w:tcMar>
          </w:tcPr>
          <w:p w14:paraId="22AC0046" w14:textId="77777777" w:rsidR="00A76ADB" w:rsidRDefault="00A76ADB" w:rsidP="007E3239">
            <w:pPr>
              <w:pStyle w:val="TableText"/>
              <w:spacing w:before="40" w:after="40"/>
              <w:jc w:val="center"/>
            </w:pPr>
            <w:r>
              <w:rPr>
                <w:rFonts w:eastAsia="Calibri"/>
              </w:rPr>
              <w:t>0.02</w:t>
            </w:r>
          </w:p>
        </w:tc>
        <w:tc>
          <w:tcPr>
            <w:tcW w:w="1836" w:type="dxa"/>
            <w:shd w:val="clear" w:color="auto" w:fill="FFFFFF"/>
            <w:tcMar>
              <w:top w:w="0" w:type="dxa"/>
              <w:left w:w="108" w:type="dxa"/>
              <w:bottom w:w="0" w:type="dxa"/>
              <w:right w:w="108" w:type="dxa"/>
            </w:tcMar>
          </w:tcPr>
          <w:p w14:paraId="3B934D87" w14:textId="77777777" w:rsidR="00A76ADB" w:rsidRDefault="00A76ADB" w:rsidP="007E3239">
            <w:pPr>
              <w:pStyle w:val="TableText"/>
              <w:spacing w:before="40" w:after="40"/>
            </w:pPr>
            <w:r>
              <w:rPr>
                <w:rFonts w:eastAsia="Calibri"/>
              </w:rPr>
              <w:t>New Zealand specific</w:t>
            </w:r>
          </w:p>
        </w:tc>
        <w:tc>
          <w:tcPr>
            <w:tcW w:w="2409" w:type="dxa"/>
            <w:shd w:val="clear" w:color="auto" w:fill="FFFFFF"/>
            <w:tcMar>
              <w:top w:w="0" w:type="dxa"/>
              <w:left w:w="108" w:type="dxa"/>
              <w:bottom w:w="0" w:type="dxa"/>
              <w:right w:w="108" w:type="dxa"/>
            </w:tcMar>
          </w:tcPr>
          <w:p w14:paraId="1D12148E" w14:textId="77777777" w:rsidR="00A76ADB" w:rsidRDefault="00A76ADB" w:rsidP="007E3239">
            <w:pPr>
              <w:pStyle w:val="TableText"/>
              <w:spacing w:before="40" w:after="40"/>
            </w:pPr>
            <w:r>
              <w:rPr>
                <w:rFonts w:eastAsia="Calibri"/>
              </w:rPr>
              <w:t>SCS Wetherill Environmental (unpublished)</w:t>
            </w:r>
          </w:p>
        </w:tc>
      </w:tr>
    </w:tbl>
    <w:p w14:paraId="195A1D97" w14:textId="77777777" w:rsidR="00A76ADB" w:rsidRDefault="00A76ADB" w:rsidP="00A76ADB">
      <w:pPr>
        <w:pStyle w:val="Noteundertable"/>
      </w:pPr>
      <w:r>
        <w:rPr>
          <w:b/>
          <w:bCs/>
        </w:rPr>
        <w:t>Note:</w:t>
      </w:r>
      <w:r w:rsidRPr="001515DA">
        <w:t xml:space="preserve"> </w:t>
      </w:r>
      <w:r>
        <w:tab/>
        <w:t>COD = chemical oxygen demand; TN = total nitrogen.</w:t>
      </w:r>
    </w:p>
    <w:p w14:paraId="312DF310" w14:textId="77777777" w:rsidR="00A76ADB" w:rsidRDefault="00A76ADB" w:rsidP="00A76ADB">
      <w:pPr>
        <w:pStyle w:val="Heading6"/>
      </w:pPr>
      <w:bookmarkStart w:id="2482" w:name="recovery-9"/>
      <w:r>
        <w:t>Recovery</w:t>
      </w:r>
    </w:p>
    <w:p w14:paraId="4AD2720C" w14:textId="77777777" w:rsidR="00A76ADB" w:rsidRDefault="00A76ADB" w:rsidP="00A76ADB">
      <w:pPr>
        <w:pStyle w:val="BodyText"/>
      </w:pPr>
      <w:r>
        <w:t>There is no recovery of emissions reported for this source.</w:t>
      </w:r>
    </w:p>
    <w:p w14:paraId="066E09E9" w14:textId="77777777" w:rsidR="00A76ADB" w:rsidRDefault="00A76ADB" w:rsidP="00A76ADB">
      <w:pPr>
        <w:pStyle w:val="Heading3"/>
      </w:pPr>
      <w:bookmarkStart w:id="2483" w:name="X6505d2f8ce2b5e37d67ba3699a05ded481a459a"/>
      <w:bookmarkEnd w:id="2436"/>
      <w:bookmarkEnd w:id="2458"/>
      <w:bookmarkEnd w:id="2480"/>
      <w:bookmarkEnd w:id="2482"/>
      <w:r>
        <w:t xml:space="preserve">7.5.3 </w:t>
      </w:r>
      <w:r>
        <w:tab/>
        <w:t>Uncertainties and time-series consistency</w:t>
      </w:r>
    </w:p>
    <w:p w14:paraId="467ED110" w14:textId="77777777" w:rsidR="00A76ADB" w:rsidRDefault="00A76ADB" w:rsidP="00A76ADB">
      <w:pPr>
        <w:pStyle w:val="Heading4"/>
      </w:pPr>
      <w:bookmarkStart w:id="2484" w:name="uncertainties-4"/>
      <w:r>
        <w:t>Uncertainties</w:t>
      </w:r>
    </w:p>
    <w:p w14:paraId="0A272D1B" w14:textId="77777777" w:rsidR="00A76ADB" w:rsidRDefault="00A76ADB" w:rsidP="00A76ADB">
      <w:pPr>
        <w:pStyle w:val="Table"/>
      </w:pPr>
      <w:bookmarkStart w:id="2485" w:name="_Toc99659355"/>
      <w:r>
        <w:t>Table 7.5.16</w:t>
      </w:r>
      <w:r>
        <w:tab/>
        <w:t>Uncertainty in emissions from wastewater</w:t>
      </w:r>
      <w:bookmarkEnd w:id="2485"/>
    </w:p>
    <w:tbl>
      <w:tblPr>
        <w:tblW w:w="8505" w:type="dxa"/>
        <w:tblInd w:w="108"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3236"/>
        <w:gridCol w:w="2491"/>
        <w:gridCol w:w="2778"/>
      </w:tblGrid>
      <w:tr w:rsidR="00A76ADB" w:rsidRPr="006C0D1B" w14:paraId="656C0040" w14:textId="77777777" w:rsidTr="0083317F">
        <w:trPr>
          <w:cantSplit/>
          <w:tblHeader/>
        </w:trPr>
        <w:tc>
          <w:tcPr>
            <w:tcW w:w="0" w:type="auto"/>
            <w:shd w:val="clear" w:color="auto" w:fill="1B556B"/>
            <w:tcMar>
              <w:top w:w="0" w:type="dxa"/>
              <w:left w:w="108" w:type="dxa"/>
              <w:bottom w:w="0" w:type="dxa"/>
              <w:right w:w="108" w:type="dxa"/>
            </w:tcMar>
          </w:tcPr>
          <w:p w14:paraId="1BFA1391" w14:textId="77777777" w:rsidR="00A76ADB" w:rsidRPr="006C0D1B" w:rsidRDefault="00A76ADB" w:rsidP="007E3239">
            <w:pPr>
              <w:pStyle w:val="TableTextBold"/>
              <w:spacing w:before="40" w:after="40"/>
              <w:rPr>
                <w:color w:val="FFFFFF"/>
              </w:rPr>
            </w:pPr>
            <w:r w:rsidRPr="006C0D1B">
              <w:rPr>
                <w:rFonts w:eastAsia="Calibri"/>
                <w:color w:val="FFFFFF"/>
              </w:rPr>
              <w:t>Emissions category</w:t>
            </w:r>
          </w:p>
        </w:tc>
        <w:tc>
          <w:tcPr>
            <w:tcW w:w="0" w:type="auto"/>
            <w:shd w:val="clear" w:color="auto" w:fill="1B556B"/>
            <w:tcMar>
              <w:top w:w="0" w:type="dxa"/>
              <w:left w:w="108" w:type="dxa"/>
              <w:bottom w:w="0" w:type="dxa"/>
              <w:right w:w="108" w:type="dxa"/>
            </w:tcMar>
          </w:tcPr>
          <w:p w14:paraId="63CD6256" w14:textId="77777777" w:rsidR="00A76ADB" w:rsidRPr="006C0D1B" w:rsidRDefault="00A76ADB" w:rsidP="007E3239">
            <w:pPr>
              <w:pStyle w:val="TableTextBold"/>
              <w:spacing w:before="40" w:after="40"/>
              <w:rPr>
                <w:color w:val="FFFFFF"/>
              </w:rPr>
            </w:pPr>
            <w:r w:rsidRPr="006C0D1B">
              <w:rPr>
                <w:rFonts w:eastAsia="Calibri"/>
                <w:color w:val="FFFFFF"/>
              </w:rPr>
              <w:t>Uncertainty in activity data (%)</w:t>
            </w:r>
          </w:p>
        </w:tc>
        <w:tc>
          <w:tcPr>
            <w:tcW w:w="0" w:type="auto"/>
            <w:shd w:val="clear" w:color="auto" w:fill="1B556B"/>
            <w:tcMar>
              <w:top w:w="0" w:type="dxa"/>
              <w:left w:w="108" w:type="dxa"/>
              <w:bottom w:w="0" w:type="dxa"/>
              <w:right w:w="108" w:type="dxa"/>
            </w:tcMar>
          </w:tcPr>
          <w:p w14:paraId="59427414" w14:textId="77777777" w:rsidR="00A76ADB" w:rsidRPr="006C0D1B" w:rsidRDefault="00A76ADB" w:rsidP="007E3239">
            <w:pPr>
              <w:pStyle w:val="TableTextBold"/>
              <w:spacing w:before="40" w:after="40"/>
              <w:rPr>
                <w:color w:val="FFFFFF"/>
              </w:rPr>
            </w:pPr>
            <w:r w:rsidRPr="006C0D1B">
              <w:rPr>
                <w:rFonts w:eastAsia="Calibri"/>
                <w:color w:val="FFFFFF"/>
              </w:rPr>
              <w:t>Uncertainty in emission factors (%)</w:t>
            </w:r>
          </w:p>
        </w:tc>
      </w:tr>
      <w:tr w:rsidR="00A76ADB" w14:paraId="2F9A041C" w14:textId="77777777" w:rsidTr="0083317F">
        <w:trPr>
          <w:cantSplit/>
          <w:trHeight w:val="283"/>
        </w:trPr>
        <w:tc>
          <w:tcPr>
            <w:tcW w:w="0" w:type="auto"/>
            <w:shd w:val="clear" w:color="auto" w:fill="FFFFFF"/>
            <w:tcMar>
              <w:top w:w="0" w:type="dxa"/>
              <w:left w:w="108" w:type="dxa"/>
              <w:bottom w:w="0" w:type="dxa"/>
              <w:right w:w="108" w:type="dxa"/>
            </w:tcMar>
          </w:tcPr>
          <w:p w14:paraId="7B52810C" w14:textId="77777777" w:rsidR="00A76ADB" w:rsidRDefault="00A76ADB" w:rsidP="007E3239">
            <w:pPr>
              <w:pStyle w:val="TableText"/>
              <w:spacing w:before="40" w:after="40"/>
            </w:pPr>
            <w:r>
              <w:rPr>
                <w:rFonts w:eastAsia="Calibri"/>
              </w:rPr>
              <w:t>Domestic and industrial wastewater (CH₄)</w:t>
            </w:r>
          </w:p>
        </w:tc>
        <w:tc>
          <w:tcPr>
            <w:tcW w:w="0" w:type="auto"/>
            <w:shd w:val="clear" w:color="auto" w:fill="FFFFFF"/>
            <w:tcMar>
              <w:top w:w="0" w:type="dxa"/>
              <w:left w:w="108" w:type="dxa"/>
              <w:bottom w:w="0" w:type="dxa"/>
              <w:right w:w="108" w:type="dxa"/>
            </w:tcMar>
          </w:tcPr>
          <w:p w14:paraId="272D957C" w14:textId="77777777" w:rsidR="00A76ADB" w:rsidRDefault="00A76ADB" w:rsidP="007E3239">
            <w:pPr>
              <w:pStyle w:val="TableText"/>
              <w:spacing w:before="40" w:after="40"/>
            </w:pPr>
            <w:r>
              <w:rPr>
                <w:rFonts w:eastAsia="Calibri"/>
              </w:rPr>
              <w:t>±10</w:t>
            </w:r>
          </w:p>
        </w:tc>
        <w:tc>
          <w:tcPr>
            <w:tcW w:w="0" w:type="auto"/>
            <w:shd w:val="clear" w:color="auto" w:fill="FFFFFF"/>
            <w:tcMar>
              <w:top w:w="0" w:type="dxa"/>
              <w:left w:w="108" w:type="dxa"/>
              <w:bottom w:w="0" w:type="dxa"/>
              <w:right w:w="108" w:type="dxa"/>
            </w:tcMar>
          </w:tcPr>
          <w:p w14:paraId="1ACC6DB9" w14:textId="77777777" w:rsidR="00A76ADB" w:rsidRDefault="00A76ADB" w:rsidP="007E3239">
            <w:pPr>
              <w:pStyle w:val="TableText"/>
              <w:spacing w:before="40" w:after="40"/>
            </w:pPr>
            <w:r>
              <w:rPr>
                <w:rFonts w:eastAsia="Calibri"/>
              </w:rPr>
              <w:t>±40</w:t>
            </w:r>
          </w:p>
        </w:tc>
      </w:tr>
      <w:tr w:rsidR="00A76ADB" w14:paraId="5F8AB0D2" w14:textId="77777777" w:rsidTr="0083317F">
        <w:trPr>
          <w:cantSplit/>
          <w:trHeight w:val="283"/>
        </w:trPr>
        <w:tc>
          <w:tcPr>
            <w:tcW w:w="0" w:type="auto"/>
            <w:shd w:val="clear" w:color="auto" w:fill="FFFFFF"/>
            <w:tcMar>
              <w:top w:w="0" w:type="dxa"/>
              <w:left w:w="108" w:type="dxa"/>
              <w:bottom w:w="0" w:type="dxa"/>
              <w:right w:w="108" w:type="dxa"/>
            </w:tcMar>
          </w:tcPr>
          <w:p w14:paraId="429C7EF6" w14:textId="77777777" w:rsidR="00A76ADB" w:rsidRDefault="00A76ADB" w:rsidP="007E3239">
            <w:pPr>
              <w:pStyle w:val="TableText"/>
              <w:spacing w:before="40" w:after="40"/>
            </w:pPr>
            <w:r>
              <w:rPr>
                <w:rFonts w:eastAsia="Calibri"/>
              </w:rPr>
              <w:t>Domestic and industrial wastewater (N₂O)</w:t>
            </w:r>
          </w:p>
        </w:tc>
        <w:tc>
          <w:tcPr>
            <w:tcW w:w="0" w:type="auto"/>
            <w:shd w:val="clear" w:color="auto" w:fill="FFFFFF"/>
            <w:tcMar>
              <w:top w:w="0" w:type="dxa"/>
              <w:left w:w="108" w:type="dxa"/>
              <w:bottom w:w="0" w:type="dxa"/>
              <w:right w:w="108" w:type="dxa"/>
            </w:tcMar>
          </w:tcPr>
          <w:p w14:paraId="08BF8693" w14:textId="77777777" w:rsidR="00A76ADB" w:rsidRDefault="00A76ADB" w:rsidP="007E3239">
            <w:pPr>
              <w:pStyle w:val="TableText"/>
              <w:spacing w:before="40" w:after="40"/>
            </w:pPr>
            <w:r>
              <w:rPr>
                <w:rFonts w:eastAsia="Calibri"/>
              </w:rPr>
              <w:t>±10</w:t>
            </w:r>
          </w:p>
        </w:tc>
        <w:tc>
          <w:tcPr>
            <w:tcW w:w="0" w:type="auto"/>
            <w:shd w:val="clear" w:color="auto" w:fill="FFFFFF"/>
            <w:tcMar>
              <w:top w:w="0" w:type="dxa"/>
              <w:left w:w="108" w:type="dxa"/>
              <w:bottom w:w="0" w:type="dxa"/>
              <w:right w:w="108" w:type="dxa"/>
            </w:tcMar>
          </w:tcPr>
          <w:p w14:paraId="369A7BC3" w14:textId="77777777" w:rsidR="00A76ADB" w:rsidRDefault="00A76ADB" w:rsidP="007E3239">
            <w:pPr>
              <w:pStyle w:val="TableText"/>
              <w:spacing w:before="40" w:after="40"/>
            </w:pPr>
            <w:r>
              <w:rPr>
                <w:rFonts w:eastAsia="Calibri"/>
              </w:rPr>
              <w:t>±90</w:t>
            </w:r>
          </w:p>
        </w:tc>
      </w:tr>
    </w:tbl>
    <w:p w14:paraId="66AE3EFB" w14:textId="77777777" w:rsidR="00A76ADB" w:rsidRDefault="00A76ADB" w:rsidP="00A76ADB">
      <w:pPr>
        <w:pStyle w:val="Heading5"/>
        <w:spacing w:before="360"/>
      </w:pPr>
      <w:bookmarkStart w:id="2486" w:name="methane-emissions"/>
      <w:r>
        <w:t>Methane emissions</w:t>
      </w:r>
    </w:p>
    <w:p w14:paraId="45B30317" w14:textId="77777777" w:rsidR="00A76ADB" w:rsidRDefault="00A76ADB" w:rsidP="00A76ADB">
      <w:pPr>
        <w:pStyle w:val="BodyText"/>
      </w:pPr>
      <w:r>
        <w:t>The parameters used to estimate CH</w:t>
      </w:r>
      <w:r>
        <w:rPr>
          <w:vertAlign w:val="subscript"/>
        </w:rPr>
        <w:t>4</w:t>
      </w:r>
      <w:r>
        <w:t xml:space="preserve"> emissions from domestic and industrial wastewater (see table 7.5.16) have an </w:t>
      </w:r>
      <w:r w:rsidRPr="00C6345B">
        <w:t>estimated</w:t>
      </w:r>
      <w:r>
        <w:t xml:space="preserve"> uncertainty of ±40 per cent (SCS Wetherill Environmental, unpublished). This uncertainty stems from uncertainties in:</w:t>
      </w:r>
    </w:p>
    <w:p w14:paraId="7F8A765F" w14:textId="77777777" w:rsidR="00A76ADB" w:rsidRDefault="00A76ADB" w:rsidP="00A76ADB">
      <w:pPr>
        <w:pStyle w:val="Bullet"/>
      </w:pPr>
      <w:r>
        <w:t>the factors used to calculate emissions from the different wastewater treatment processes</w:t>
      </w:r>
    </w:p>
    <w:p w14:paraId="7DEC25BA" w14:textId="77777777" w:rsidR="00A76ADB" w:rsidRDefault="00A76ADB" w:rsidP="00A76ADB">
      <w:pPr>
        <w:pStyle w:val="Bullet"/>
      </w:pPr>
      <w:r>
        <w:t>the quantities of wastewater handled by the different wastewater treatment plants</w:t>
      </w:r>
    </w:p>
    <w:p w14:paraId="67703D4A" w14:textId="77777777" w:rsidR="00A76ADB" w:rsidRDefault="00A76ADB" w:rsidP="00A76ADB">
      <w:pPr>
        <w:pStyle w:val="Bullet"/>
      </w:pPr>
      <w:r>
        <w:t>the accuracy and completeness of the data relating to each plant</w:t>
      </w:r>
    </w:p>
    <w:p w14:paraId="57EC2F4D" w14:textId="77777777" w:rsidR="00A76ADB" w:rsidRDefault="00A76ADB" w:rsidP="00A76ADB">
      <w:pPr>
        <w:pStyle w:val="Bullet"/>
      </w:pPr>
      <w:r>
        <w:lastRenderedPageBreak/>
        <w:t>the factors used to calculate the degradable organic content in the wastewater</w:t>
      </w:r>
    </w:p>
    <w:p w14:paraId="1ADF7AA3" w14:textId="77777777" w:rsidR="00A76ADB" w:rsidRDefault="00A76ADB" w:rsidP="00A76ADB">
      <w:pPr>
        <w:pStyle w:val="Bullet"/>
      </w:pPr>
      <w:r>
        <w:t>the wastewater treatment methods.</w:t>
      </w:r>
    </w:p>
    <w:p w14:paraId="0A7074A4" w14:textId="77777777" w:rsidR="00A76ADB" w:rsidRDefault="00A76ADB" w:rsidP="00A76ADB">
      <w:pPr>
        <w:pStyle w:val="Heading5"/>
      </w:pPr>
      <w:bookmarkStart w:id="2487" w:name="nitrous-oxide-emissions-1"/>
      <w:bookmarkEnd w:id="2486"/>
      <w:r>
        <w:t>Nitrous oxide emissions</w:t>
      </w:r>
    </w:p>
    <w:p w14:paraId="17377E9D" w14:textId="77777777" w:rsidR="00A76ADB" w:rsidRDefault="00A76ADB" w:rsidP="00A76ADB">
      <w:pPr>
        <w:pStyle w:val="BodyText"/>
      </w:pPr>
      <w:r>
        <w:t>Large uncertainties are associated with the IPCC default emission factors for N</w:t>
      </w:r>
      <w:r>
        <w:rPr>
          <w:vertAlign w:val="subscript"/>
        </w:rPr>
        <w:t>2</w:t>
      </w:r>
      <w:r>
        <w:t>O emissions from wastewater treatment effluent (IPCC, 2006a). The uncertainty is estimated to be ±90 per cent based on the ranges experienced in collecting and applying similar data internationally, and expert judgement on the application of this experience to New Zealand (Law et al., 2012).</w:t>
      </w:r>
    </w:p>
    <w:p w14:paraId="47010801" w14:textId="77777777" w:rsidR="00A76ADB" w:rsidRDefault="00A76ADB" w:rsidP="00A76ADB">
      <w:pPr>
        <w:pStyle w:val="Heading4"/>
      </w:pPr>
      <w:bookmarkStart w:id="2488" w:name="time-series-consistency-3"/>
      <w:bookmarkEnd w:id="2484"/>
      <w:bookmarkEnd w:id="2487"/>
      <w:r>
        <w:t>Time-series consistency</w:t>
      </w:r>
    </w:p>
    <w:p w14:paraId="0D9CE655" w14:textId="77777777" w:rsidR="00A76ADB" w:rsidRDefault="00A76ADB" w:rsidP="00A76ADB">
      <w:pPr>
        <w:pStyle w:val="BodyText"/>
      </w:pPr>
      <w:r>
        <w:t>Time-series consistency is ensured by the use of consistent models and parameters across the period. Where changes to methodologies or emission factors have occurred, the entire time series has been recalculated.</w:t>
      </w:r>
    </w:p>
    <w:p w14:paraId="573D07CB" w14:textId="77777777" w:rsidR="00A76ADB" w:rsidRDefault="00A76ADB" w:rsidP="00A76ADB">
      <w:pPr>
        <w:pStyle w:val="Heading3"/>
      </w:pPr>
      <w:bookmarkStart w:id="2489" w:name="source-specific-qaqc-and-verification-2"/>
      <w:bookmarkEnd w:id="2483"/>
      <w:bookmarkEnd w:id="2488"/>
      <w:r>
        <w:t xml:space="preserve">7.5.4 </w:t>
      </w:r>
      <w:r>
        <w:tab/>
        <w:t>Source-specific QA/QC and verification</w:t>
      </w:r>
    </w:p>
    <w:p w14:paraId="5B60EA6F" w14:textId="77777777" w:rsidR="00A76ADB" w:rsidRDefault="00A76ADB" w:rsidP="00A76ADB">
      <w:pPr>
        <w:pStyle w:val="BodyText"/>
      </w:pPr>
      <w:r>
        <w:t xml:space="preserve">In the preparation for this inventory submission, the data for the </w:t>
      </w:r>
      <w:r>
        <w:rPr>
          <w:i/>
          <w:iCs/>
        </w:rPr>
        <w:t>Wastewater treatment and discharge</w:t>
      </w:r>
      <w:r>
        <w:t xml:space="preserve"> category underwent Tier 1 quality checks.</w:t>
      </w:r>
    </w:p>
    <w:p w14:paraId="300E8F8C" w14:textId="77777777" w:rsidR="00A76ADB" w:rsidRDefault="00A76ADB" w:rsidP="00A76ADB">
      <w:pPr>
        <w:pStyle w:val="Heading3"/>
      </w:pPr>
      <w:bookmarkStart w:id="2490" w:name="source-specific-recalculations-3"/>
      <w:bookmarkEnd w:id="2489"/>
      <w:r>
        <w:t xml:space="preserve">7.5.5 </w:t>
      </w:r>
      <w:r>
        <w:tab/>
        <w:t>Source-specific recalculations</w:t>
      </w:r>
    </w:p>
    <w:p w14:paraId="39A5C4ED" w14:textId="77777777" w:rsidR="00A76ADB" w:rsidRDefault="00A76ADB" w:rsidP="00A76ADB">
      <w:pPr>
        <w:pStyle w:val="Heading4"/>
      </w:pPr>
      <w:bookmarkStart w:id="2491" w:name="X5c9c54e7058d7078b7a5b4d3a53718bf553c884"/>
      <w:r>
        <w:t>Emissions from domestic and industrial wastewater treatment</w:t>
      </w:r>
    </w:p>
    <w:p w14:paraId="2780947C" w14:textId="77777777" w:rsidR="00A76ADB" w:rsidRPr="00246F01" w:rsidRDefault="00A76ADB" w:rsidP="00A76ADB">
      <w:pPr>
        <w:pStyle w:val="BodyText"/>
      </w:pPr>
      <w:r w:rsidRPr="00246F01">
        <w:t xml:space="preserve">Emissions from </w:t>
      </w:r>
      <w:r w:rsidRPr="00246F01">
        <w:rPr>
          <w:i/>
          <w:iCs/>
        </w:rPr>
        <w:t>Domestic wastewater</w:t>
      </w:r>
      <w:r w:rsidRPr="00246F01">
        <w:t xml:space="preserve"> (5.D.1) have increased by 1.2 kt CO</w:t>
      </w:r>
      <w:r w:rsidRPr="00246F01">
        <w:rPr>
          <w:vertAlign w:val="subscript"/>
        </w:rPr>
        <w:t>2</w:t>
      </w:r>
      <w:r w:rsidRPr="00246F01">
        <w:t>-e in 1990 and increased by 0.2 kt CO</w:t>
      </w:r>
      <w:r w:rsidRPr="00246F01">
        <w:rPr>
          <w:vertAlign w:val="subscript"/>
        </w:rPr>
        <w:t>2</w:t>
      </w:r>
      <w:r w:rsidRPr="00246F01">
        <w:t xml:space="preserve">-e in 2019. This is the result of revising population data using the latest estimates available and applying these consistently across the time series where possible. A minor change to activity data for meat in </w:t>
      </w:r>
      <w:r w:rsidRPr="00246F01">
        <w:rPr>
          <w:i/>
          <w:iCs/>
        </w:rPr>
        <w:t>Industrial wastewater</w:t>
      </w:r>
      <w:r w:rsidRPr="00246F01">
        <w:t xml:space="preserve"> led to no change to emissions in 1990 and a decrease of 0.4 kt CO</w:t>
      </w:r>
      <w:r w:rsidRPr="00246F01">
        <w:rPr>
          <w:vertAlign w:val="subscript"/>
        </w:rPr>
        <w:t>2</w:t>
      </w:r>
      <w:r w:rsidRPr="00246F01">
        <w:t>-e in 2019. More details on recalculations are provided in chapter 10.</w:t>
      </w:r>
    </w:p>
    <w:p w14:paraId="0ACD3177" w14:textId="77777777" w:rsidR="00A76ADB" w:rsidRDefault="00A76ADB" w:rsidP="00A76ADB">
      <w:pPr>
        <w:pStyle w:val="Heading3"/>
      </w:pPr>
      <w:bookmarkStart w:id="2492" w:name="source-specific-planned-improvements-3"/>
      <w:bookmarkEnd w:id="2490"/>
      <w:bookmarkEnd w:id="2491"/>
      <w:r>
        <w:t xml:space="preserve">7.5.6 </w:t>
      </w:r>
      <w:r>
        <w:tab/>
        <w:t>Source-specific planned improvements</w:t>
      </w:r>
    </w:p>
    <w:p w14:paraId="7CEF6297" w14:textId="77777777" w:rsidR="00A76ADB" w:rsidRDefault="00A76ADB" w:rsidP="00A76ADB">
      <w:pPr>
        <w:pStyle w:val="BodyText"/>
      </w:pPr>
      <w:r>
        <w:t>No specific improvements are planned for this source category.</w:t>
      </w:r>
    </w:p>
    <w:p w14:paraId="06A63C2F" w14:textId="77777777" w:rsidR="00A76ADB" w:rsidRDefault="00A76ADB" w:rsidP="00A76ADB">
      <w:pPr>
        <w:pStyle w:val="Heading2"/>
        <w:spacing w:before="0" w:after="360"/>
      </w:pPr>
      <w:bookmarkStart w:id="2493" w:name="chapter-7-references"/>
      <w:bookmarkEnd w:id="2437"/>
      <w:bookmarkEnd w:id="2492"/>
      <w:r>
        <w:br w:type="page"/>
      </w:r>
      <w:bookmarkStart w:id="2494" w:name="_Toc99659157"/>
      <w:r>
        <w:lastRenderedPageBreak/>
        <w:t>Chapter 7: References</w:t>
      </w:r>
      <w:bookmarkEnd w:id="2494"/>
    </w:p>
    <w:p w14:paraId="325F9E55" w14:textId="77777777" w:rsidR="00A76ADB" w:rsidRPr="00B65BBF" w:rsidRDefault="00A76ADB" w:rsidP="00A76ADB">
      <w:pPr>
        <w:pStyle w:val="References"/>
      </w:pPr>
      <w:r w:rsidRPr="00B65BBF">
        <w:t>Beca Infrastructure Ltd. Unpublished. National Greenhouse Gas Inventory from Wastewater Treatment and Discharge. Report commissioned by the Ministry for the Environment in 2007.</w:t>
      </w:r>
    </w:p>
    <w:p w14:paraId="1949F2C1" w14:textId="77777777" w:rsidR="00A76ADB" w:rsidRPr="00B65BBF" w:rsidRDefault="00A76ADB" w:rsidP="00A76ADB">
      <w:pPr>
        <w:pStyle w:val="References"/>
      </w:pPr>
      <w:r w:rsidRPr="00B65BBF">
        <w:t>Beca Ltd. Unpublished. Industrial Wastewater Greenhouse Gas (GHG) Estimates from the Pulp and Paper, Wool Scouring and Wine Industries for New Zealand’s GHG Inventory. Report commissioned by the Ministry for the Environment in 2013.</w:t>
      </w:r>
    </w:p>
    <w:p w14:paraId="44F2A1B7" w14:textId="02384A83" w:rsidR="00A76ADB" w:rsidRPr="00B65BBF" w:rsidRDefault="00426CA6" w:rsidP="00A76ADB">
      <w:pPr>
        <w:pStyle w:val="References"/>
      </w:pPr>
      <w:r>
        <w:rPr>
          <w:rFonts w:cs="Calibri"/>
          <w:lang w:eastAsia="en-US"/>
        </w:rPr>
        <w:t xml:space="preserve">Cardno. 2015. </w:t>
      </w:r>
      <w:r>
        <w:rPr>
          <w:rFonts w:cs="Calibri"/>
          <w:i/>
          <w:iCs/>
          <w:lang w:eastAsia="en-US"/>
        </w:rPr>
        <w:t>Greenhouse Gas Emissions from Industrial Wastewater Treatment.</w:t>
      </w:r>
      <w:r>
        <w:rPr>
          <w:rFonts w:cs="Calibri"/>
          <w:lang w:eastAsia="en-US"/>
        </w:rPr>
        <w:t xml:space="preserve"> Report commissioned by the Ministry for the Environment in 2015. Retrieved from </w:t>
      </w:r>
      <w:hyperlink r:id="rId232" w:history="1">
        <w:r w:rsidR="00016488" w:rsidRPr="00497C99">
          <w:rPr>
            <w:rStyle w:val="Hyperlink"/>
            <w:rFonts w:cs="Calibri"/>
            <w:lang w:eastAsia="en-US"/>
          </w:rPr>
          <w:t>https://environment.govt.nz/publications/ greenhouse-gas-emissions-from-industrial-wastewater-treatment-inventory-basis-review/</w:t>
        </w:r>
      </w:hyperlink>
      <w:r>
        <w:rPr>
          <w:rFonts w:cs="Calibri"/>
          <w:lang w:eastAsia="en-US"/>
        </w:rPr>
        <w:t xml:space="preserve"> (accessed 15</w:t>
      </w:r>
      <w:r w:rsidR="00016488">
        <w:rPr>
          <w:rFonts w:cs="Calibri"/>
          <w:lang w:eastAsia="en-US"/>
        </w:rPr>
        <w:t> </w:t>
      </w:r>
      <w:r>
        <w:rPr>
          <w:rFonts w:cs="Calibri"/>
          <w:lang w:eastAsia="en-US"/>
        </w:rPr>
        <w:t>January 2016)</w:t>
      </w:r>
      <w:r w:rsidR="00A76ADB" w:rsidRPr="00B65BBF">
        <w:t>.</w:t>
      </w:r>
    </w:p>
    <w:p w14:paraId="2B32CDE3" w14:textId="77777777" w:rsidR="00A76ADB" w:rsidRPr="00B65BBF" w:rsidRDefault="00A76ADB" w:rsidP="00A76ADB">
      <w:pPr>
        <w:pStyle w:val="References"/>
      </w:pPr>
      <w:r w:rsidRPr="00B65BBF">
        <w:t>Eunomia Research and Consulting and Waste Not Consulting. Unpublished. Incorporating Waste Minimisation Act Data into New Zealand’s Greenhouse Gas Estimates. Report commissioned by the Ministry for the Environment in 2014.</w:t>
      </w:r>
    </w:p>
    <w:p w14:paraId="5711403A" w14:textId="77777777" w:rsidR="00A76ADB" w:rsidRPr="00B65BBF" w:rsidRDefault="00A76ADB" w:rsidP="00A76ADB">
      <w:pPr>
        <w:pStyle w:val="References"/>
      </w:pPr>
      <w:r w:rsidRPr="00B65BBF">
        <w:t>Eunomia. Unpublished(a). Improvements to Estimates of Greenhouse Gas Emissions from Landfills. Report commissioned by the Ministry for the Environment in 2020.</w:t>
      </w:r>
    </w:p>
    <w:p w14:paraId="4BD9C4D7" w14:textId="77777777" w:rsidR="00A76ADB" w:rsidRPr="00B65BBF" w:rsidRDefault="00A76ADB" w:rsidP="00A76ADB">
      <w:pPr>
        <w:pStyle w:val="References"/>
      </w:pPr>
      <w:r w:rsidRPr="00B65BBF">
        <w:t>Eunomia. Unpublished(b). Data updated from National Resource Recovery Project situational analysis report (2019). Commissioned by the Ministry for the Environment in 2020.</w:t>
      </w:r>
    </w:p>
    <w:p w14:paraId="7C6148CA" w14:textId="349E79F0" w:rsidR="00A76ADB" w:rsidRPr="00B65BBF" w:rsidRDefault="00A76ADB" w:rsidP="00A76ADB">
      <w:pPr>
        <w:pStyle w:val="References"/>
      </w:pPr>
      <w:r w:rsidRPr="00B65BBF">
        <w:t xml:space="preserve">GHD. 2013. </w:t>
      </w:r>
      <w:r w:rsidRPr="00B65BBF">
        <w:rPr>
          <w:i/>
          <w:iCs/>
        </w:rPr>
        <w:t>Non-natural Rural Wastes: Site survey analysis</w:t>
      </w:r>
      <w:r w:rsidRPr="00B65BBF">
        <w:t xml:space="preserve">. GHD Ltd for the Canterbury Regional Council, published as Canterbury Regional Council Report No R13/52. Retrieved from </w:t>
      </w:r>
      <w:hyperlink r:id="rId233" w:history="1">
        <w:r w:rsidR="00B70CF4" w:rsidRPr="007C6D96">
          <w:rPr>
            <w:rStyle w:val="Hyperlink"/>
            <w:szCs w:val="20"/>
          </w:rPr>
          <w:t>https://ecan.govt.nz/document/download?uri=1851763</w:t>
        </w:r>
      </w:hyperlink>
      <w:r w:rsidRPr="00B65BBF">
        <w:t xml:space="preserve"> (accessed 9 November 2017).</w:t>
      </w:r>
    </w:p>
    <w:p w14:paraId="3B3261AC" w14:textId="77777777" w:rsidR="00A76ADB" w:rsidRPr="00B65BBF" w:rsidRDefault="00A76ADB" w:rsidP="00A76ADB">
      <w:pPr>
        <w:pStyle w:val="References"/>
      </w:pPr>
      <w:r w:rsidRPr="00B65BBF">
        <w:t xml:space="preserve">GHD. 2014. </w:t>
      </w:r>
      <w:r w:rsidRPr="00B65BBF">
        <w:rPr>
          <w:i/>
          <w:iCs/>
        </w:rPr>
        <w:t>Rural Waste Surveys Data Analysis: Waikato and Bay of Plenty</w:t>
      </w:r>
      <w:r w:rsidRPr="00B65BBF">
        <w:t xml:space="preserve">. GHD Ltd for the Waikato Regional Council, published as Waikato Regional Council Report No 3114554. Retrieved from </w:t>
      </w:r>
      <w:hyperlink r:id="rId234">
        <w:r w:rsidRPr="00B65BBF">
          <w:rPr>
            <w:rStyle w:val="Hyperlink"/>
            <w:szCs w:val="20"/>
          </w:rPr>
          <w:t>www.waikatoregion.govt.nz/assets/PageFiles/30542/TR201455.pdf</w:t>
        </w:r>
      </w:hyperlink>
      <w:r w:rsidRPr="00B65BBF">
        <w:t xml:space="preserve"> (accessed 9 November 2017).</w:t>
      </w:r>
    </w:p>
    <w:p w14:paraId="16D9D9BB" w14:textId="77777777" w:rsidR="00A76ADB" w:rsidRPr="00B65BBF" w:rsidRDefault="00A76ADB" w:rsidP="00A76ADB">
      <w:pPr>
        <w:pStyle w:val="References"/>
      </w:pPr>
      <w:r w:rsidRPr="00B65BBF">
        <w:t xml:space="preserve">IPCC. 2006a. Eggleston HS, Buendia L, Miwa K, Ngara T, Tanabe K (eds). </w:t>
      </w:r>
      <w:r w:rsidRPr="00B65BBF">
        <w:rPr>
          <w:i/>
          <w:iCs/>
        </w:rPr>
        <w:t>2006 IPCC Guidelines for National Greenhouse Gas Inventories. Volume 5. Waste</w:t>
      </w:r>
      <w:r w:rsidRPr="00B65BBF">
        <w:t>. IPCC National Greenhouse Gas Inventories Programme. Japan: Institute for Global Environmental Strategies for IPCC.</w:t>
      </w:r>
    </w:p>
    <w:p w14:paraId="3E829108" w14:textId="77777777" w:rsidR="00A76ADB" w:rsidRPr="00B65BBF" w:rsidRDefault="00A76ADB" w:rsidP="00A76ADB">
      <w:pPr>
        <w:pStyle w:val="References"/>
      </w:pPr>
      <w:r w:rsidRPr="00B65BBF">
        <w:t xml:space="preserve">IPCC. 2006b. Eggleston HS, Buendia L, Miwa K, Ngara T, Tanabe K (eds). </w:t>
      </w:r>
      <w:r w:rsidRPr="00B65BBF">
        <w:rPr>
          <w:i/>
          <w:iCs/>
        </w:rPr>
        <w:t>2006 IPCC Guidelines for National Greenhouse Gas Inventories. Volume 2. Energy</w:t>
      </w:r>
      <w:r w:rsidRPr="00B65BBF">
        <w:t>. IPCC National Greenhouse Gas Inventories Programme. Japan: Institute for Global Environmental Strategies for IPCC.</w:t>
      </w:r>
    </w:p>
    <w:p w14:paraId="3202BF4B" w14:textId="77777777" w:rsidR="00A76ADB" w:rsidRPr="00B65BBF" w:rsidRDefault="00A76ADB" w:rsidP="00A76ADB">
      <w:pPr>
        <w:pStyle w:val="References"/>
      </w:pPr>
      <w:r w:rsidRPr="00B65BBF">
        <w:t xml:space="preserve">IPCC. 2019. Calvo Buendia E, Tanabe K, Kranjc A, Baasansuren J, Fukuda M, Ngarize S, Osako A, Pyrozhenko Y, Shermanau P, Federici S (eds). </w:t>
      </w:r>
      <w:r w:rsidRPr="00B65BBF">
        <w:rPr>
          <w:i/>
          <w:iCs/>
        </w:rPr>
        <w:t>2019 Refinement to the 2006 IPCC Guidelines for National Greenhouse Gas Inventories. Volume 5. Waste</w:t>
      </w:r>
      <w:r w:rsidRPr="00B65BBF">
        <w:t>. IPCC National Greenhouse Gas Inventories Programme. Switzerland: Intergovernmental Panel on Climate Change.</w:t>
      </w:r>
    </w:p>
    <w:p w14:paraId="2E715C7D" w14:textId="77777777" w:rsidR="00A76ADB" w:rsidRPr="00B65BBF" w:rsidRDefault="00A76ADB" w:rsidP="00A76ADB">
      <w:pPr>
        <w:pStyle w:val="References"/>
      </w:pPr>
      <w:r w:rsidRPr="00B65BBF">
        <w:t xml:space="preserve">Law Y, Ye L, Pan Y, Yuan Z. 2012. Nitrous oxide emissions from wastewater treatment processes. </w:t>
      </w:r>
      <w:r w:rsidRPr="00B65BBF">
        <w:rPr>
          <w:i/>
          <w:iCs/>
        </w:rPr>
        <w:t>Philosophical Transactions of the Royal Society ‘B’</w:t>
      </w:r>
      <w:r w:rsidRPr="00B65BBF">
        <w:t xml:space="preserve"> 367(1593): 1265–1277.</w:t>
      </w:r>
    </w:p>
    <w:p w14:paraId="4DF602BF" w14:textId="77777777" w:rsidR="00A76ADB" w:rsidRPr="00B65BBF" w:rsidRDefault="00A76ADB" w:rsidP="00A76ADB">
      <w:pPr>
        <w:pStyle w:val="References"/>
      </w:pPr>
      <w:r w:rsidRPr="00B65BBF">
        <w:t xml:space="preserve">Ministry for the Environment. 1997. </w:t>
      </w:r>
      <w:r w:rsidRPr="00B65BBF">
        <w:rPr>
          <w:i/>
          <w:iCs/>
        </w:rPr>
        <w:t>National Waste Data Report</w:t>
      </w:r>
      <w:r w:rsidRPr="00B65BBF">
        <w:t>. Wellington: Ministry for the Environment.</w:t>
      </w:r>
    </w:p>
    <w:p w14:paraId="71D44355" w14:textId="77777777" w:rsidR="00A76ADB" w:rsidRPr="00B65BBF" w:rsidRDefault="00A76ADB" w:rsidP="00A76ADB">
      <w:pPr>
        <w:pStyle w:val="References"/>
      </w:pPr>
      <w:r w:rsidRPr="00B65BBF">
        <w:t xml:space="preserve">Ministry for the Environment. 2002a. </w:t>
      </w:r>
      <w:r w:rsidRPr="00B65BBF">
        <w:rPr>
          <w:i/>
          <w:iCs/>
        </w:rPr>
        <w:t>The New Zealand Waste Strategy</w:t>
      </w:r>
      <w:r w:rsidRPr="00B65BBF">
        <w:t>. Wellington: Ministry for the Environment.</w:t>
      </w:r>
    </w:p>
    <w:p w14:paraId="77280DEF" w14:textId="77777777" w:rsidR="00A76ADB" w:rsidRPr="00B65BBF" w:rsidRDefault="00A76ADB" w:rsidP="00A76ADB">
      <w:pPr>
        <w:pStyle w:val="References"/>
      </w:pPr>
      <w:r w:rsidRPr="00B65BBF">
        <w:t xml:space="preserve">Ministry for the Environment. 2002b. </w:t>
      </w:r>
      <w:r w:rsidRPr="00B65BBF">
        <w:rPr>
          <w:i/>
          <w:iCs/>
        </w:rPr>
        <w:t>Solid Waste Analysis Protocol</w:t>
      </w:r>
      <w:r w:rsidRPr="00B65BBF">
        <w:t>. Wellington: Ministry for the Environment.</w:t>
      </w:r>
    </w:p>
    <w:p w14:paraId="56AB85FB" w14:textId="77777777" w:rsidR="00A76ADB" w:rsidRPr="00B65BBF" w:rsidRDefault="00A76ADB" w:rsidP="00A76ADB">
      <w:pPr>
        <w:pStyle w:val="References"/>
      </w:pPr>
      <w:r w:rsidRPr="00B65BBF">
        <w:t xml:space="preserve">Ministry for the Environment. 2010. </w:t>
      </w:r>
      <w:r w:rsidRPr="00B65BBF">
        <w:rPr>
          <w:i/>
          <w:iCs/>
        </w:rPr>
        <w:t>The New Zealand Waste Strategy: Reducing Harm, Improving Efficiency</w:t>
      </w:r>
      <w:r w:rsidRPr="00B65BBF">
        <w:t>. Wellington: Ministry for the Environment.</w:t>
      </w:r>
    </w:p>
    <w:p w14:paraId="0D3FC747" w14:textId="77777777" w:rsidR="00A76ADB" w:rsidRPr="00B65BBF" w:rsidRDefault="00A76ADB" w:rsidP="00A76ADB">
      <w:pPr>
        <w:pStyle w:val="References"/>
      </w:pPr>
      <w:r w:rsidRPr="00B65BBF">
        <w:t xml:space="preserve">Ministry of Commerce. 1993. </w:t>
      </w:r>
      <w:r w:rsidRPr="00B65BBF">
        <w:rPr>
          <w:i/>
          <w:iCs/>
        </w:rPr>
        <w:t>New Zealand Energy Information Handbook:</w:t>
      </w:r>
      <w:r w:rsidRPr="00B65BBF">
        <w:t xml:space="preserve"> </w:t>
      </w:r>
      <w:r w:rsidRPr="00B65BBF">
        <w:rPr>
          <w:i/>
          <w:iCs/>
        </w:rPr>
        <w:t>Energy Data, Conversion Factors, Definitions.</w:t>
      </w:r>
      <w:r w:rsidRPr="00B65BBF">
        <w:t xml:space="preserve"> Taylor Baines and Associates.</w:t>
      </w:r>
    </w:p>
    <w:p w14:paraId="62CCA125" w14:textId="77777777" w:rsidR="00A76ADB" w:rsidRPr="00B65BBF" w:rsidRDefault="00A76ADB" w:rsidP="0099494C">
      <w:pPr>
        <w:pStyle w:val="References"/>
        <w:keepLines/>
      </w:pPr>
      <w:r w:rsidRPr="00B65BBF">
        <w:lastRenderedPageBreak/>
        <w:t xml:space="preserve">MWH. 2017. </w:t>
      </w:r>
      <w:r w:rsidRPr="00B65BBF">
        <w:rPr>
          <w:i/>
          <w:iCs/>
        </w:rPr>
        <w:t>National Waste Disposal Survey. Final Report.</w:t>
      </w:r>
      <w:r w:rsidRPr="00B65BBF">
        <w:t xml:space="preserve"> MWH for the Ministry for the Environment, published as National waste disposal survey final report 2017 No CR275. Retrieved from </w:t>
      </w:r>
      <w:hyperlink r:id="rId235">
        <w:r w:rsidRPr="00B65BBF">
          <w:rPr>
            <w:rStyle w:val="Hyperlink"/>
            <w:szCs w:val="20"/>
          </w:rPr>
          <w:t>https://environment.govt.nz/publications/new-zealand-non-municipal-landfill-database-report/</w:t>
        </w:r>
      </w:hyperlink>
      <w:r w:rsidRPr="00B65BBF">
        <w:t xml:space="preserve"> (accessed 9 November 2017).</w:t>
      </w:r>
    </w:p>
    <w:p w14:paraId="5F4EE4AD" w14:textId="77777777" w:rsidR="00A76ADB" w:rsidRPr="00B65BBF" w:rsidRDefault="00A76ADB" w:rsidP="00A76ADB">
      <w:pPr>
        <w:pStyle w:val="References"/>
      </w:pPr>
      <w:r w:rsidRPr="00B65BBF">
        <w:t>SCS Wetherill Environmental. Unpublished. National Greenhouse Gas Inventory from the Waste Sector 1990–2020. Report commissioned by the Ministry for the Environment in 2002.</w:t>
      </w:r>
    </w:p>
    <w:p w14:paraId="70A7B1B0" w14:textId="77777777" w:rsidR="00A76ADB" w:rsidRPr="00B65BBF" w:rsidRDefault="00A76ADB" w:rsidP="00A76ADB">
      <w:pPr>
        <w:pStyle w:val="References"/>
      </w:pPr>
      <w:r w:rsidRPr="00B65BBF">
        <w:t>SKM. Unpublished(a). Greenhouse Gases from the Waste Incineration Sector. Report commissioned by the Ministry for the Environment in 2007.</w:t>
      </w:r>
    </w:p>
    <w:p w14:paraId="6C589BE7" w14:textId="77777777" w:rsidR="00A76ADB" w:rsidRPr="00B65BBF" w:rsidRDefault="00A76ADB" w:rsidP="00A76ADB">
      <w:pPr>
        <w:pStyle w:val="References"/>
      </w:pPr>
      <w:r w:rsidRPr="00B65BBF">
        <w:t>SKM. Unpublished(b). Estimates of Landfill Methane Recovered in New Zealand 1990–2012. Report commissioned by the Ministry for the Environment in 2009.</w:t>
      </w:r>
    </w:p>
    <w:p w14:paraId="1E61ED92" w14:textId="77777777" w:rsidR="00A76ADB" w:rsidRPr="00B65BBF" w:rsidRDefault="00A76ADB" w:rsidP="00A76ADB">
      <w:pPr>
        <w:pStyle w:val="References"/>
      </w:pPr>
      <w:r w:rsidRPr="00B65BBF">
        <w:t>Tonkin and Taylor Ltd. Unpublished(a). National Greenhouse Gas Emissions from Wastewater Sludge. Report commissioned by the Ministry for the Environment in 2011.</w:t>
      </w:r>
    </w:p>
    <w:p w14:paraId="2DE3CF3C" w14:textId="77777777" w:rsidR="00A76ADB" w:rsidRPr="00B65BBF" w:rsidRDefault="00A76ADB" w:rsidP="00A76ADB">
      <w:pPr>
        <w:pStyle w:val="References"/>
      </w:pPr>
      <w:r w:rsidRPr="00B65BBF">
        <w:t>Tonkin and Taylor Ltd. Unpublished(b). GHG Estimates from Non-municipal Landfills New Zealand. Report commissioned by the Ministry for the Environment in 2014.</w:t>
      </w:r>
    </w:p>
    <w:p w14:paraId="1791F86E" w14:textId="77777777" w:rsidR="00A76ADB" w:rsidRPr="00B65BBF" w:rsidRDefault="00A76ADB" w:rsidP="00A76ADB">
      <w:pPr>
        <w:pStyle w:val="References"/>
      </w:pPr>
      <w:r w:rsidRPr="00B65BBF">
        <w:t xml:space="preserve">van der Weerden A, de Klein C, Kelliher R, Rollo M. 2014. </w:t>
      </w:r>
      <w:r w:rsidRPr="00B65BBF">
        <w:rPr>
          <w:i/>
          <w:iCs/>
        </w:rPr>
        <w:t>Reporting to 2006 IPCC Guidelines for N</w:t>
      </w:r>
      <w:r w:rsidRPr="00B65BBF">
        <w:rPr>
          <w:i/>
          <w:iCs/>
          <w:vertAlign w:val="subscript"/>
        </w:rPr>
        <w:t>2</w:t>
      </w:r>
      <w:r w:rsidRPr="00B65BBF">
        <w:rPr>
          <w:i/>
          <w:iCs/>
        </w:rPr>
        <w:t>O Emissions from Additional Sources of Organic N: Final report</w:t>
      </w:r>
      <w:r w:rsidRPr="00B65BBF">
        <w:t>. Wellington: Ministry for Primary Industries.</w:t>
      </w:r>
    </w:p>
    <w:p w14:paraId="55F46050" w14:textId="77777777" w:rsidR="00A76ADB" w:rsidRPr="00B65BBF" w:rsidRDefault="00A76ADB" w:rsidP="00A76ADB">
      <w:pPr>
        <w:pStyle w:val="References"/>
      </w:pPr>
      <w:r w:rsidRPr="00B65BBF">
        <w:t>Waste Not Consulting. Unpublished(a). Waste Composition and Construction Waste Data. Report commissioned by the Ministry for the Environment in 2006.</w:t>
      </w:r>
    </w:p>
    <w:p w14:paraId="1B1FBA6D" w14:textId="77777777" w:rsidR="00A76ADB" w:rsidRPr="00B65BBF" w:rsidRDefault="00A76ADB" w:rsidP="00A76ADB">
      <w:pPr>
        <w:pStyle w:val="References"/>
      </w:pPr>
      <w:r w:rsidRPr="00B65BBF">
        <w:t>Waste Not Consulting. Unpublished(b). Reviewing the 2008 National Waste Composition Estimate and Producing a 2012 Estimate. Report commissioned by the Ministry for the Environment in 2013.</w:t>
      </w:r>
    </w:p>
    <w:p w14:paraId="2B3FA783" w14:textId="77777777" w:rsidR="00A76ADB" w:rsidRPr="00B65BBF" w:rsidRDefault="00A76ADB" w:rsidP="00A76ADB">
      <w:pPr>
        <w:pStyle w:val="References"/>
      </w:pPr>
      <w:r w:rsidRPr="00B65BBF">
        <w:t>Waste Not Consulting. Unpublished(c). Update of National Average Waste Composition for Class 1 Landfills. Report commissioned by the Ministry for the Environment in 2020.</w:t>
      </w:r>
      <w:bookmarkEnd w:id="2438"/>
      <w:bookmarkEnd w:id="2493"/>
    </w:p>
    <w:p w14:paraId="440A241B" w14:textId="77777777" w:rsidR="00A76ADB" w:rsidRDefault="00A76ADB" w:rsidP="00A76ADB">
      <w:pPr>
        <w:pStyle w:val="References"/>
      </w:pPr>
    </w:p>
    <w:p w14:paraId="5417FFA4" w14:textId="77777777" w:rsidR="00A76ADB" w:rsidRPr="006C560B" w:rsidRDefault="00A76ADB" w:rsidP="00A76ADB">
      <w:pPr>
        <w:pStyle w:val="References"/>
      </w:pPr>
    </w:p>
    <w:p w14:paraId="24398F29" w14:textId="77777777" w:rsidR="00A75D6B" w:rsidRDefault="00A75D6B" w:rsidP="0087314B">
      <w:pPr>
        <w:sectPr w:rsidR="00A75D6B" w:rsidSect="0036539E">
          <w:headerReference w:type="even" r:id="rId236"/>
          <w:headerReference w:type="default" r:id="rId237"/>
          <w:footerReference w:type="even" r:id="rId238"/>
          <w:pgSz w:w="11907" w:h="16840" w:code="9"/>
          <w:pgMar w:top="1418" w:right="1701" w:bottom="1418" w:left="1701" w:header="567" w:footer="567" w:gutter="0"/>
          <w:cols w:space="720"/>
        </w:sectPr>
      </w:pPr>
    </w:p>
    <w:p w14:paraId="46A1E1E4" w14:textId="77777777" w:rsidR="00D71B94" w:rsidRPr="0053439C" w:rsidRDefault="00D71B94" w:rsidP="00D71B94">
      <w:pPr>
        <w:pStyle w:val="Heading1"/>
      </w:pPr>
      <w:bookmarkStart w:id="2495" w:name="_Toc5269392"/>
      <w:bookmarkStart w:id="2496" w:name="_Toc36224432"/>
      <w:bookmarkStart w:id="2497" w:name="_Toc68786352"/>
      <w:bookmarkStart w:id="2498" w:name="_Toc99659158"/>
      <w:r w:rsidRPr="0053439C">
        <w:lastRenderedPageBreak/>
        <w:t>Chapter 8: Tokelau</w:t>
      </w:r>
      <w:bookmarkEnd w:id="2495"/>
      <w:r w:rsidRPr="0053439C">
        <w:t xml:space="preserve"> (other) sector</w:t>
      </w:r>
      <w:bookmarkEnd w:id="2496"/>
      <w:bookmarkEnd w:id="2497"/>
      <w:bookmarkEnd w:id="2498"/>
    </w:p>
    <w:p w14:paraId="4B63C9E9" w14:textId="77777777" w:rsidR="00D71B94" w:rsidRPr="0053439C" w:rsidRDefault="00D71B94" w:rsidP="00D71B94">
      <w:pPr>
        <w:pStyle w:val="BodyText"/>
      </w:pPr>
      <w:r w:rsidRPr="0053439C">
        <w:t xml:space="preserve">New Zealand ratified the United Nations Framework Convention on Climate Change (the Convention) on 16 September 1993 and the Paris Agreement on 4 October 2016. The extension to Tokelau (as of 13 November 2017) of New Zealand’s ratification of the Convention and of the Paris </w:t>
      </w:r>
      <w:r w:rsidRPr="000F0233">
        <w:t>Agreement</w:t>
      </w:r>
      <w:r w:rsidRPr="0053439C">
        <w:t xml:space="preserve"> requires New Zealand to include Tokelau in the obligatory climate change reporting managed by the Ministry for the Environment. Delivering on this obligation, among other things, means that New Zealand’s national greenhouse gas (GHG) inventory shall include the GHG estimates from Tokelau. </w:t>
      </w:r>
    </w:p>
    <w:p w14:paraId="4E45C091" w14:textId="77777777" w:rsidR="00D71B94" w:rsidRPr="0053439C" w:rsidRDefault="00D71B94" w:rsidP="00D71B94">
      <w:pPr>
        <w:pStyle w:val="BodyText"/>
        <w:spacing w:before="100" w:after="100"/>
      </w:pPr>
      <w:r w:rsidRPr="0053439C">
        <w:t>Roles and responsibilities in relation to GHG inventory reporting from Tokelau are outlined in</w:t>
      </w:r>
      <w:r>
        <w:t> </w:t>
      </w:r>
      <w:r w:rsidRPr="0053439C">
        <w:t>section 8.1.3. The information on quality assurance and quality control planning for Tokelau is included in annex 6.</w:t>
      </w:r>
    </w:p>
    <w:p w14:paraId="64F95B1B" w14:textId="77777777" w:rsidR="00D71B94" w:rsidRPr="0053439C" w:rsidRDefault="00D71B94" w:rsidP="00D71B94">
      <w:pPr>
        <w:pStyle w:val="BodyText"/>
        <w:spacing w:before="100" w:after="100"/>
      </w:pPr>
      <w:r w:rsidRPr="0053439C">
        <w:t>To maintain transparency of the inventory and visibility of the GHG data from Tokelau, common reporting format (CRF) sector 6 (Other) is used to present emissions from Tokelau by sector in the CRF. This chapter provides an overview of Tokelau’s economy and industry. It includes information on emissions trends and methodological notes in regard to the GHG emissions from Tokelau.</w:t>
      </w:r>
    </w:p>
    <w:p w14:paraId="4D29123E" w14:textId="77777777" w:rsidR="00D71B94" w:rsidRPr="000F0233" w:rsidRDefault="00D71B94" w:rsidP="00D71B94">
      <w:pPr>
        <w:pStyle w:val="Heading2"/>
      </w:pPr>
      <w:bookmarkStart w:id="2499" w:name="_Toc5269393"/>
      <w:bookmarkStart w:id="2500" w:name="_Toc36224433"/>
      <w:bookmarkStart w:id="2501" w:name="_Toc68786353"/>
      <w:bookmarkStart w:id="2502" w:name="_Toc99659159"/>
      <w:r w:rsidRPr="0053439C">
        <w:t xml:space="preserve">8.1 </w:t>
      </w:r>
      <w:r w:rsidRPr="0053439C">
        <w:tab/>
        <w:t>Tokelau overview</w:t>
      </w:r>
      <w:bookmarkEnd w:id="2499"/>
      <w:bookmarkEnd w:id="2500"/>
      <w:bookmarkEnd w:id="2501"/>
      <w:bookmarkEnd w:id="2502"/>
    </w:p>
    <w:p w14:paraId="3BADC2E5" w14:textId="77777777" w:rsidR="00D71B94" w:rsidRPr="0053439C" w:rsidRDefault="00D71B94" w:rsidP="00D71B94">
      <w:pPr>
        <w:pStyle w:val="Heading3"/>
        <w:spacing w:before="160"/>
      </w:pPr>
      <w:r w:rsidRPr="0053439C">
        <w:t xml:space="preserve">8.1.1 </w:t>
      </w:r>
      <w:r w:rsidRPr="0053439C">
        <w:tab/>
        <w:t>Geography</w:t>
      </w:r>
    </w:p>
    <w:p w14:paraId="141A9406" w14:textId="77777777" w:rsidR="00D71B94" w:rsidRPr="0053439C" w:rsidRDefault="00D71B94" w:rsidP="00D71B94">
      <w:pPr>
        <w:pStyle w:val="BodyText"/>
        <w:spacing w:before="100" w:after="100"/>
      </w:pPr>
      <w:r w:rsidRPr="0053439C">
        <w:t>Tokelau is a non-self-governing territory</w:t>
      </w:r>
      <w:r w:rsidRPr="0053439C">
        <w:rPr>
          <w:rStyle w:val="FootnoteReference"/>
        </w:rPr>
        <w:footnoteReference w:id="66"/>
      </w:r>
      <w:r w:rsidRPr="0053439C">
        <w:t xml:space="preserve"> of New Zealand. Tokelau is made up of three small coral atolls: Atafu, Nukunonu and Fakaofo. The total land area is only 12 square kilometres within an Exclusive Economic Zone (EEZ) covering 318,990 square kilometres. Atafu, the northern atoll, has a surface area of 3.5 square kilometres; Nukunonu, the central atoll, is 4.7 square kilometres and Fakaofo, the southern atoll, is 4 square kilometres (figure 8.1.1).</w:t>
      </w:r>
    </w:p>
    <w:p w14:paraId="5AAD72EF" w14:textId="77777777" w:rsidR="00D71B94" w:rsidRPr="0053439C" w:rsidRDefault="00D71B94" w:rsidP="00D71B94">
      <w:pPr>
        <w:pStyle w:val="Figure"/>
      </w:pPr>
      <w:bookmarkStart w:id="2503" w:name="_Toc5269721"/>
      <w:bookmarkStart w:id="2504" w:name="_Toc36292824"/>
      <w:bookmarkStart w:id="2505" w:name="_Toc64972931"/>
      <w:bookmarkStart w:id="2506" w:name="_Toc68786688"/>
      <w:bookmarkStart w:id="2507" w:name="_Toc99696059"/>
      <w:r w:rsidRPr="0053439C">
        <w:t xml:space="preserve">Figure 8.1.1 </w:t>
      </w:r>
      <w:r w:rsidRPr="0053439C">
        <w:tab/>
        <w:t>Map of Tokelau</w:t>
      </w:r>
      <w:bookmarkEnd w:id="2503"/>
      <w:bookmarkEnd w:id="2504"/>
      <w:bookmarkEnd w:id="2505"/>
      <w:bookmarkEnd w:id="2506"/>
      <w:bookmarkEnd w:id="2507"/>
    </w:p>
    <w:p w14:paraId="4B1F22F9" w14:textId="77777777" w:rsidR="00D71B94" w:rsidRPr="0053439C" w:rsidRDefault="004B48CC" w:rsidP="00D71B94">
      <w:pPr>
        <w:pStyle w:val="BodyText"/>
        <w:jc w:val="center"/>
      </w:pPr>
      <w:r>
        <w:rPr>
          <w:noProof/>
        </w:rPr>
        <w:pict w14:anchorId="35603BA7">
          <v:shape id="Picture 131" o:spid="_x0000_i1135" type="#_x0000_t75" alt="Graphical user interface&#10;&#10;Description automatically generated" style="width:312.3pt;height:159.05pt;visibility:visible;mso-wrap-style:square">
            <v:imagedata r:id="rId239" o:title="Graphical user interface&#10;&#10;Description automatically generated" croptop="28252f" cropbottom="9174f" cropleft="4582f" cropright="31244f"/>
          </v:shape>
        </w:pict>
      </w:r>
    </w:p>
    <w:p w14:paraId="048D96BB" w14:textId="77777777" w:rsidR="00D71B94" w:rsidRPr="0053439C" w:rsidRDefault="00D71B94" w:rsidP="00D71B94">
      <w:pPr>
        <w:pStyle w:val="BodyText"/>
        <w:rPr>
          <w:spacing w:val="-2"/>
        </w:rPr>
      </w:pPr>
      <w:r w:rsidRPr="0053439C">
        <w:rPr>
          <w:spacing w:val="-2"/>
        </w:rPr>
        <w:lastRenderedPageBreak/>
        <w:t>From Atafu in the north to Fakaofo in the south, Tokelau extends for less than 200 kilometres. The atolls are about 3 to 5 metres above sea level. The maximum width of any island (motu) on the atolls’ rims is 200 metres. Tokelau is therefore particularly vulnerable to natural hazards.</w:t>
      </w:r>
    </w:p>
    <w:p w14:paraId="46DC4978" w14:textId="77777777" w:rsidR="00D71B94" w:rsidRPr="00C52D67" w:rsidRDefault="00D71B94" w:rsidP="00D71B94">
      <w:pPr>
        <w:pStyle w:val="Heading3"/>
      </w:pPr>
      <w:r w:rsidRPr="0053439C">
        <w:t xml:space="preserve">8.1.2 </w:t>
      </w:r>
      <w:r w:rsidRPr="0053439C">
        <w:tab/>
        <w:t>Censuses of dwellings and population</w:t>
      </w:r>
    </w:p>
    <w:p w14:paraId="0BFB49A7" w14:textId="77777777" w:rsidR="00D71B94" w:rsidRPr="0053439C" w:rsidRDefault="00D71B94" w:rsidP="00D71B94">
      <w:pPr>
        <w:pStyle w:val="BodyText"/>
        <w:spacing w:before="100"/>
      </w:pPr>
      <w:r w:rsidRPr="0053439C">
        <w:t xml:space="preserve">Tokelauans have New Zealand citizenship. </w:t>
      </w:r>
    </w:p>
    <w:p w14:paraId="424542F7" w14:textId="77777777" w:rsidR="00D71B94" w:rsidRPr="0053439C" w:rsidRDefault="00D71B94" w:rsidP="00D71B94">
      <w:pPr>
        <w:pStyle w:val="BodyText"/>
        <w:rPr>
          <w:rFonts w:eastAsia="Calibri"/>
        </w:rPr>
      </w:pPr>
      <w:r w:rsidRPr="0053439C">
        <w:rPr>
          <w:rFonts w:eastAsia="Calibri"/>
        </w:rPr>
        <w:t>Tokelau has carried out independent censuses of population and dwellings five yearly; detailed data are available on the number of inhabitants, livestock, housing, and some appliances. Only the past four censuses in Tokelau (2006, 2011, 2016 and the 2019 mini census) have used a precise definition of who is a ‘</w:t>
      </w:r>
      <w:r w:rsidRPr="0053439C">
        <w:rPr>
          <w:rFonts w:eastAsia="Calibri"/>
          <w:i/>
        </w:rPr>
        <w:t>de jure</w:t>
      </w:r>
      <w:r w:rsidRPr="0053439C">
        <w:rPr>
          <w:rFonts w:eastAsia="Calibri"/>
        </w:rPr>
        <w:t xml:space="preserve"> Tokelauan’</w:t>
      </w:r>
      <w:r w:rsidRPr="0053439C">
        <w:rPr>
          <w:rStyle w:val="FootnoteReference"/>
          <w:rFonts w:eastAsia="Calibri"/>
        </w:rPr>
        <w:footnoteReference w:id="67"/>
      </w:r>
      <w:r w:rsidRPr="0053439C">
        <w:rPr>
          <w:rFonts w:eastAsia="Calibri"/>
        </w:rPr>
        <w:t xml:space="preserve"> and the people who actually lived in </w:t>
      </w:r>
      <w:r w:rsidRPr="00E4293C">
        <w:rPr>
          <w:rFonts w:eastAsia="Calibri"/>
        </w:rPr>
        <w:t>Tokelau</w:t>
      </w:r>
      <w:r w:rsidRPr="0053439C">
        <w:rPr>
          <w:rFonts w:eastAsia="Calibri"/>
        </w:rPr>
        <w:t xml:space="preserve"> during the census night (</w:t>
      </w:r>
      <w:r w:rsidRPr="0053439C">
        <w:rPr>
          <w:rFonts w:eastAsia="Calibri"/>
          <w:i/>
        </w:rPr>
        <w:t>de facto</w:t>
      </w:r>
      <w:r w:rsidRPr="0053439C">
        <w:rPr>
          <w:rFonts w:eastAsia="Calibri"/>
          <w:iCs/>
        </w:rPr>
        <w:t xml:space="preserve"> </w:t>
      </w:r>
      <w:r w:rsidRPr="0053439C">
        <w:rPr>
          <w:rFonts w:eastAsia="Calibri"/>
        </w:rPr>
        <w:t xml:space="preserve">population). Tokelau’s </w:t>
      </w:r>
      <w:r w:rsidRPr="0053439C">
        <w:rPr>
          <w:rFonts w:eastAsia="Calibri"/>
          <w:i/>
        </w:rPr>
        <w:t>de jure</w:t>
      </w:r>
      <w:r w:rsidRPr="0053439C">
        <w:rPr>
          <w:rFonts w:eastAsia="Calibri"/>
        </w:rPr>
        <w:t xml:space="preserve"> population on 12 December 2019 was 1,647 people. The </w:t>
      </w:r>
      <w:r w:rsidRPr="0053439C">
        <w:rPr>
          <w:rFonts w:eastAsia="Calibri"/>
          <w:i/>
        </w:rPr>
        <w:t>de facto</w:t>
      </w:r>
      <w:r w:rsidRPr="0053439C">
        <w:rPr>
          <w:rFonts w:eastAsia="Calibri"/>
          <w:iCs/>
        </w:rPr>
        <w:t xml:space="preserve"> </w:t>
      </w:r>
      <w:r w:rsidRPr="0053439C">
        <w:rPr>
          <w:rFonts w:eastAsia="Calibri"/>
        </w:rPr>
        <w:t xml:space="preserve">population has been used for the purposes of estimating emissions, which was 1,295 people in 2019. From 1990 to 2019, the population was fluctuating but generally declined for both </w:t>
      </w:r>
      <w:r w:rsidRPr="0053439C">
        <w:rPr>
          <w:rFonts w:eastAsia="Calibri"/>
          <w:i/>
        </w:rPr>
        <w:t>de facto</w:t>
      </w:r>
      <w:r w:rsidRPr="0053439C">
        <w:rPr>
          <w:rFonts w:eastAsia="Calibri"/>
        </w:rPr>
        <w:t xml:space="preserve"> and </w:t>
      </w:r>
      <w:r w:rsidRPr="0053439C">
        <w:rPr>
          <w:rFonts w:eastAsia="Calibri"/>
          <w:i/>
        </w:rPr>
        <w:t>de jure</w:t>
      </w:r>
      <w:r w:rsidRPr="0053439C">
        <w:rPr>
          <w:rFonts w:eastAsia="Calibri"/>
        </w:rPr>
        <w:t xml:space="preserve"> measures. For reference, about 15,000 people identify as Tokelauan who live overseas, mainly in New Zealand.</w:t>
      </w:r>
    </w:p>
    <w:p w14:paraId="7626D984" w14:textId="77777777" w:rsidR="00D71B94" w:rsidRPr="0053439C" w:rsidRDefault="00D71B94" w:rsidP="00D71B94">
      <w:pPr>
        <w:pStyle w:val="BodyText"/>
        <w:rPr>
          <w:rFonts w:eastAsia="Calibri"/>
        </w:rPr>
      </w:pPr>
      <w:r w:rsidRPr="0053439C">
        <w:rPr>
          <w:rFonts w:eastAsia="Calibri"/>
        </w:rPr>
        <w:t xml:space="preserve">Tokelau has a subsistence economy in which sharing (inati) plays an important and significant role. The inhabitants are dependent on local natural resources, particularly fishing in the lagoon and deep sea, growing coconuts and breadfruit, and keeping domesticated pigs and chickens. </w:t>
      </w:r>
    </w:p>
    <w:p w14:paraId="4B738A59" w14:textId="77777777" w:rsidR="00D71B94" w:rsidRPr="0053439C" w:rsidRDefault="00D71B94" w:rsidP="00D71B94">
      <w:pPr>
        <w:pStyle w:val="BodyText"/>
        <w:rPr>
          <w:rFonts w:eastAsia="Calibri"/>
        </w:rPr>
      </w:pPr>
      <w:r w:rsidRPr="0053439C">
        <w:rPr>
          <w:rFonts w:eastAsia="Calibri"/>
        </w:rPr>
        <w:t>The coral atolls provide a subsistence lifestyle within a fragile environment. Tokelau imports most of its foodstuffs from Samoa. The Tokelau economy is dependent on two major financial resources: economic and administrative assistance from New Zealand, and income from fisheries. New Zealand provides general budget support to help the delivery of essential services, consistent with its constitutional and United Nations Charter obligations.</w:t>
      </w:r>
    </w:p>
    <w:p w14:paraId="2A8F59AA" w14:textId="77777777" w:rsidR="00D71B94" w:rsidRPr="00E4293C" w:rsidRDefault="00D71B94" w:rsidP="00D71B94">
      <w:pPr>
        <w:pStyle w:val="Heading3"/>
      </w:pPr>
      <w:r w:rsidRPr="0053439C">
        <w:t xml:space="preserve">8.1.3 </w:t>
      </w:r>
      <w:r w:rsidRPr="0053439C">
        <w:tab/>
        <w:t xml:space="preserve">Emissions reporting </w:t>
      </w:r>
    </w:p>
    <w:p w14:paraId="586FA6B9" w14:textId="77777777" w:rsidR="00D71B94" w:rsidRPr="0053439C" w:rsidRDefault="00D71B94" w:rsidP="00D71B94">
      <w:pPr>
        <w:pStyle w:val="BodyText"/>
      </w:pPr>
      <w:r w:rsidRPr="0053439C">
        <w:t>Due to the small land size area, small population and absence of industry, Tokelau has a very low impact on the environment and emits very small amounts of GHGs. The total amount of all GHGs from all sources in Tokelau in 2020 was 4.18 kilotonnes carbon dioxide equivalent (kt CO</w:t>
      </w:r>
      <w:r w:rsidRPr="0053439C">
        <w:rPr>
          <w:vertAlign w:val="subscript"/>
        </w:rPr>
        <w:t>2</w:t>
      </w:r>
      <w:r w:rsidRPr="0053439C">
        <w:t>-e), contributing aroun</w:t>
      </w:r>
      <w:r w:rsidRPr="00C83AC6">
        <w:t xml:space="preserve">d </w:t>
      </w:r>
      <w:r w:rsidRPr="008A79B1">
        <w:t>0.005</w:t>
      </w:r>
      <w:r w:rsidRPr="00C83AC6">
        <w:t> per</w:t>
      </w:r>
      <w:r w:rsidRPr="0053439C">
        <w:t xml:space="preserve"> cent to New Zealand’s gross emissions. This is below the significance threshold as defined in paragraph 37(b) of the United Nations Framework Convention on Climate Change (UNFCCC) reporting guidelines for GHG inventories (UNFCCC, 2014). The emissions in Tokelau are limited to:</w:t>
      </w:r>
    </w:p>
    <w:p w14:paraId="4E5BEA7D" w14:textId="77777777" w:rsidR="00D71B94" w:rsidRPr="0053439C" w:rsidRDefault="00D71B94" w:rsidP="00D71B94">
      <w:pPr>
        <w:pStyle w:val="Bullet"/>
      </w:pPr>
      <w:r w:rsidRPr="0053439C">
        <w:t>carbon dioxide (CO</w:t>
      </w:r>
      <w:r w:rsidRPr="0053439C">
        <w:rPr>
          <w:vertAlign w:val="subscript"/>
        </w:rPr>
        <w:t>2</w:t>
      </w:r>
      <w:r w:rsidRPr="0053439C">
        <w:t>) from boat engines and vehicles</w:t>
      </w:r>
    </w:p>
    <w:p w14:paraId="373F8ABD" w14:textId="77777777" w:rsidR="00D71B94" w:rsidRPr="0053439C" w:rsidRDefault="00D71B94" w:rsidP="00D71B94">
      <w:pPr>
        <w:pStyle w:val="Bullet"/>
      </w:pPr>
      <w:r w:rsidRPr="0053439C">
        <w:t>CO</w:t>
      </w:r>
      <w:r w:rsidRPr="0053439C">
        <w:rPr>
          <w:vertAlign w:val="subscript"/>
        </w:rPr>
        <w:t>2</w:t>
      </w:r>
      <w:r w:rsidRPr="0053439C">
        <w:t xml:space="preserve"> </w:t>
      </w:r>
      <w:r w:rsidRPr="00E4293C">
        <w:t>from</w:t>
      </w:r>
      <w:r w:rsidRPr="0053439C">
        <w:t xml:space="preserve"> back-up power generators</w:t>
      </w:r>
    </w:p>
    <w:p w14:paraId="1BBA3986" w14:textId="77777777" w:rsidR="00D71B94" w:rsidRPr="0053439C" w:rsidRDefault="00D71B94" w:rsidP="00D71B94">
      <w:pPr>
        <w:pStyle w:val="Bullet"/>
      </w:pPr>
      <w:r w:rsidRPr="0053439C">
        <w:t>fluorinated gases from the use of refrigerants</w:t>
      </w:r>
    </w:p>
    <w:p w14:paraId="523D7A62" w14:textId="77777777" w:rsidR="00D71B94" w:rsidRPr="0053439C" w:rsidRDefault="00D71B94" w:rsidP="00D71B94">
      <w:pPr>
        <w:pStyle w:val="Bullet"/>
      </w:pPr>
      <w:r w:rsidRPr="0053439C">
        <w:t>methane (CH</w:t>
      </w:r>
      <w:r w:rsidRPr="0053439C">
        <w:rPr>
          <w:vertAlign w:val="subscript"/>
        </w:rPr>
        <w:t>4</w:t>
      </w:r>
      <w:r w:rsidRPr="0053439C">
        <w:t>) and nitrous oxide (N</w:t>
      </w:r>
      <w:r w:rsidRPr="0053439C">
        <w:rPr>
          <w:vertAlign w:val="subscript"/>
        </w:rPr>
        <w:t>2</w:t>
      </w:r>
      <w:r w:rsidRPr="0053439C">
        <w:t>O) from livestock (pigs and poultry)</w:t>
      </w:r>
    </w:p>
    <w:p w14:paraId="1B8CDDFE" w14:textId="77777777" w:rsidR="00D71B94" w:rsidRPr="0053439C" w:rsidRDefault="00D71B94" w:rsidP="00D71B94">
      <w:pPr>
        <w:pStyle w:val="Bullet"/>
      </w:pPr>
      <w:r w:rsidRPr="0053439C">
        <w:t>CH</w:t>
      </w:r>
      <w:r w:rsidRPr="0053439C">
        <w:rPr>
          <w:vertAlign w:val="subscript"/>
        </w:rPr>
        <w:t>4</w:t>
      </w:r>
      <w:r w:rsidRPr="0053439C">
        <w:t>, CO</w:t>
      </w:r>
      <w:r w:rsidRPr="0053439C">
        <w:rPr>
          <w:vertAlign w:val="subscript"/>
        </w:rPr>
        <w:t>2</w:t>
      </w:r>
      <w:r w:rsidRPr="0053439C">
        <w:t xml:space="preserve"> and N</w:t>
      </w:r>
      <w:r w:rsidRPr="0053439C">
        <w:rPr>
          <w:vertAlign w:val="subscript"/>
        </w:rPr>
        <w:t>2</w:t>
      </w:r>
      <w:r w:rsidRPr="0053439C">
        <w:t>O from waste.</w:t>
      </w:r>
    </w:p>
    <w:p w14:paraId="062D0B54" w14:textId="77777777" w:rsidR="00D71B94" w:rsidRPr="0053439C" w:rsidRDefault="00D71B94" w:rsidP="00D71B94">
      <w:pPr>
        <w:pStyle w:val="Heading5"/>
      </w:pPr>
      <w:r w:rsidRPr="0053439C">
        <w:lastRenderedPageBreak/>
        <w:t>2020</w:t>
      </w:r>
    </w:p>
    <w:p w14:paraId="091855E2" w14:textId="77777777" w:rsidR="00D71B94" w:rsidRPr="0053439C" w:rsidRDefault="00D71B94" w:rsidP="00D71B94">
      <w:pPr>
        <w:pStyle w:val="BodyText"/>
      </w:pPr>
      <w:r w:rsidRPr="0053439C">
        <w:t>In 2020, emissions from the Tokelau sector contributed 4.18 kt CO</w:t>
      </w:r>
      <w:r w:rsidRPr="0053439C">
        <w:rPr>
          <w:vertAlign w:val="subscript"/>
        </w:rPr>
        <w:t>2</w:t>
      </w:r>
      <w:r w:rsidRPr="0053439C">
        <w:t>-e (</w:t>
      </w:r>
      <w:r w:rsidRPr="008A79B1">
        <w:t>0.005</w:t>
      </w:r>
      <w:r w:rsidRPr="0053439C">
        <w:t xml:space="preserve"> per cent) of New Zealand’s gross GHG emissions. The largest source category is </w:t>
      </w:r>
      <w:r w:rsidRPr="0053439C">
        <w:rPr>
          <w:i/>
        </w:rPr>
        <w:t>Domestic navigation</w:t>
      </w:r>
      <w:r w:rsidRPr="0053439C">
        <w:rPr>
          <w:iCs/>
        </w:rPr>
        <w:t>, which</w:t>
      </w:r>
      <w:r w:rsidRPr="0053439C">
        <w:t> contributed 2.08 kt CO</w:t>
      </w:r>
      <w:r w:rsidRPr="0053439C">
        <w:rPr>
          <w:vertAlign w:val="subscript"/>
        </w:rPr>
        <w:t>2</w:t>
      </w:r>
      <w:r w:rsidRPr="0053439C">
        <w:t>-e (86.3 per cent of all energy emissions and 49.7 per cent of gross emissions from Tokelau).</w:t>
      </w:r>
    </w:p>
    <w:p w14:paraId="05A373B5" w14:textId="77777777" w:rsidR="00D71B94" w:rsidRPr="0053439C" w:rsidRDefault="00D71B94" w:rsidP="00D71B94">
      <w:pPr>
        <w:pStyle w:val="BodyText"/>
      </w:pPr>
      <w:r>
        <w:t>Carbon dioxide dominated emissions from Tokelau, contributing 57.9 per cent (2.42 kt CO</w:t>
      </w:r>
      <w:r w:rsidRPr="73794EEC">
        <w:rPr>
          <w:vertAlign w:val="subscript"/>
        </w:rPr>
        <w:t>2</w:t>
      </w:r>
      <w:r>
        <w:t>-e) of its total emissions in 2020. At 2.38 kt CO</w:t>
      </w:r>
      <w:r w:rsidRPr="73794EEC">
        <w:rPr>
          <w:vertAlign w:val="subscript"/>
        </w:rPr>
        <w:t>2</w:t>
      </w:r>
      <w:r>
        <w:t>, the Energy sector contributed 98.4 per cent of total CO</w:t>
      </w:r>
      <w:r w:rsidRPr="73794EEC">
        <w:rPr>
          <w:vertAlign w:val="subscript"/>
        </w:rPr>
        <w:t>2</w:t>
      </w:r>
      <w:r>
        <w:t xml:space="preserve"> emissions, mostly from </w:t>
      </w:r>
      <w:r w:rsidRPr="73794EEC">
        <w:rPr>
          <w:i/>
          <w:iCs/>
        </w:rPr>
        <w:t>Domestic navigation</w:t>
      </w:r>
      <w:r>
        <w:t xml:space="preserve">; with the remaining 1.6 per cent (0.04 kt) coming from </w:t>
      </w:r>
      <w:r w:rsidRPr="73794EEC">
        <w:rPr>
          <w:i/>
          <w:iCs/>
        </w:rPr>
        <w:t>Open burning of waste</w:t>
      </w:r>
      <w:r>
        <w:t xml:space="preserve"> in the Waste sector. </w:t>
      </w:r>
    </w:p>
    <w:p w14:paraId="6A9A877F" w14:textId="77777777" w:rsidR="00D71B94" w:rsidRPr="0053439C" w:rsidRDefault="00D71B94" w:rsidP="00D71B94">
      <w:pPr>
        <w:pStyle w:val="BodyText"/>
      </w:pPr>
      <w:r w:rsidRPr="0053439C">
        <w:t>Methane emissions contributed 35.3 per cent (1.48 kt CO</w:t>
      </w:r>
      <w:r w:rsidRPr="0053439C">
        <w:rPr>
          <w:vertAlign w:val="subscript"/>
        </w:rPr>
        <w:t>2</w:t>
      </w:r>
      <w:r w:rsidRPr="0053439C">
        <w:t>-e) to the total emissions from Tokelau. The Agriculture sector in Tokelau contributed 55.</w:t>
      </w:r>
      <w:r>
        <w:t>8</w:t>
      </w:r>
      <w:r w:rsidRPr="0053439C">
        <w:t xml:space="preserve"> per cent of CH</w:t>
      </w:r>
      <w:r w:rsidRPr="0053439C">
        <w:rPr>
          <w:vertAlign w:val="subscript"/>
        </w:rPr>
        <w:t>4</w:t>
      </w:r>
      <w:r w:rsidRPr="0053439C">
        <w:t xml:space="preserve"> emissions (0.82 kt CO</w:t>
      </w:r>
      <w:r w:rsidRPr="0053439C">
        <w:rPr>
          <w:vertAlign w:val="subscript"/>
        </w:rPr>
        <w:t>2</w:t>
      </w:r>
      <w:r w:rsidRPr="0053439C">
        <w:t xml:space="preserve">-e), which mostly came from </w:t>
      </w:r>
      <w:r w:rsidRPr="0053439C">
        <w:rPr>
          <w:i/>
          <w:iCs/>
        </w:rPr>
        <w:t>Manure management</w:t>
      </w:r>
      <w:r w:rsidRPr="0053439C">
        <w:t>. A significant portion of CH</w:t>
      </w:r>
      <w:r w:rsidRPr="0053439C">
        <w:rPr>
          <w:vertAlign w:val="subscript"/>
        </w:rPr>
        <w:t>4</w:t>
      </w:r>
      <w:r w:rsidRPr="0053439C">
        <w:t> emissions, 43.7 per cent (0.65 kt CO</w:t>
      </w:r>
      <w:r w:rsidRPr="0053439C">
        <w:rPr>
          <w:vertAlign w:val="subscript"/>
        </w:rPr>
        <w:t>2</w:t>
      </w:r>
      <w:r w:rsidRPr="0053439C">
        <w:t xml:space="preserve">-e), came from the Waste sector, largely from </w:t>
      </w:r>
      <w:r w:rsidRPr="0053439C">
        <w:rPr>
          <w:i/>
          <w:iCs/>
        </w:rPr>
        <w:t>Solid waste disposal</w:t>
      </w:r>
      <w:r w:rsidRPr="0053439C">
        <w:t>. The Energy sector contributed the remaining 0.5</w:t>
      </w:r>
      <w:r>
        <w:t xml:space="preserve"> </w:t>
      </w:r>
      <w:r w:rsidRPr="0053439C">
        <w:t>per cent of CH</w:t>
      </w:r>
      <w:r w:rsidRPr="0053439C">
        <w:rPr>
          <w:vertAlign w:val="subscript"/>
        </w:rPr>
        <w:t>4</w:t>
      </w:r>
      <w:r w:rsidRPr="0053439C">
        <w:t xml:space="preserve"> emissions (0.01 kt CO</w:t>
      </w:r>
      <w:r w:rsidRPr="0053439C">
        <w:rPr>
          <w:vertAlign w:val="subscript"/>
        </w:rPr>
        <w:t>2</w:t>
      </w:r>
      <w:r w:rsidRPr="0053439C">
        <w:t xml:space="preserve">-e), which mostly came from </w:t>
      </w:r>
      <w:r w:rsidRPr="0053439C">
        <w:rPr>
          <w:i/>
          <w:iCs/>
        </w:rPr>
        <w:t>Domestic navigation</w:t>
      </w:r>
      <w:r w:rsidRPr="0053439C">
        <w:t>.</w:t>
      </w:r>
    </w:p>
    <w:p w14:paraId="454CFB70" w14:textId="77777777" w:rsidR="00D71B94" w:rsidRPr="0053439C" w:rsidRDefault="00D71B94" w:rsidP="00D71B94">
      <w:pPr>
        <w:pStyle w:val="BodyText"/>
      </w:pPr>
      <w:r w:rsidRPr="0053439C">
        <w:t>Nitrous oxide emissions contributed 1.2 per cent (0.05 kt CO</w:t>
      </w:r>
      <w:r w:rsidRPr="0053439C">
        <w:rPr>
          <w:vertAlign w:val="subscript"/>
        </w:rPr>
        <w:t>2</w:t>
      </w:r>
      <w:r w:rsidRPr="0053439C">
        <w:t>-e) to the total emissions from Tokelau. The Industrial Processes and Product Use (IPPU) sector contributed the largest amount of N</w:t>
      </w:r>
      <w:r w:rsidRPr="0053439C">
        <w:rPr>
          <w:vertAlign w:val="subscript"/>
        </w:rPr>
        <w:t>2</w:t>
      </w:r>
      <w:r w:rsidRPr="0053439C">
        <w:t>O, 43.4 per cent (0.02 kt CO</w:t>
      </w:r>
      <w:r w:rsidRPr="0053439C">
        <w:rPr>
          <w:vertAlign w:val="subscript"/>
        </w:rPr>
        <w:t>2</w:t>
      </w:r>
      <w:r w:rsidRPr="0053439C">
        <w:t>-e) of the total N</w:t>
      </w:r>
      <w:r w:rsidRPr="0053439C">
        <w:rPr>
          <w:vertAlign w:val="subscript"/>
        </w:rPr>
        <w:t>2</w:t>
      </w:r>
      <w:r w:rsidRPr="0053439C">
        <w:t xml:space="preserve">O, from </w:t>
      </w:r>
      <w:r w:rsidRPr="0053439C">
        <w:rPr>
          <w:i/>
        </w:rPr>
        <w:t>Medical applications.</w:t>
      </w:r>
      <w:r w:rsidRPr="0053439C">
        <w:t xml:space="preserve"> The Energy sector contributed a further</w:t>
      </w:r>
      <w:r w:rsidRPr="0053439C" w:rsidDel="007B238F">
        <w:t xml:space="preserve"> </w:t>
      </w:r>
      <w:r w:rsidRPr="0053439C">
        <w:t>34.3 per cent (0.02 kt CO</w:t>
      </w:r>
      <w:r w:rsidRPr="0053439C">
        <w:rPr>
          <w:vertAlign w:val="subscript"/>
        </w:rPr>
        <w:t>2</w:t>
      </w:r>
      <w:r w:rsidRPr="0053439C">
        <w:t>-e), which comes largely from </w:t>
      </w:r>
      <w:r w:rsidRPr="0053439C">
        <w:rPr>
          <w:i/>
        </w:rPr>
        <w:t>Domestic navigation</w:t>
      </w:r>
      <w:r w:rsidRPr="0053439C">
        <w:t>. The Waste sector contributed the remaining 22.4 per cent of N</w:t>
      </w:r>
      <w:r w:rsidRPr="0053439C">
        <w:rPr>
          <w:vertAlign w:val="subscript"/>
        </w:rPr>
        <w:t>2</w:t>
      </w:r>
      <w:r w:rsidRPr="0053439C">
        <w:t>O (0.01 kt CO</w:t>
      </w:r>
      <w:r w:rsidRPr="0053439C">
        <w:rPr>
          <w:vertAlign w:val="subscript"/>
        </w:rPr>
        <w:t>2</w:t>
      </w:r>
      <w:r w:rsidRPr="0053439C">
        <w:t xml:space="preserve">-e) from </w:t>
      </w:r>
      <w:r w:rsidRPr="0053439C">
        <w:rPr>
          <w:i/>
        </w:rPr>
        <w:t>Open burning</w:t>
      </w:r>
      <w:r w:rsidRPr="0053439C">
        <w:t>.</w:t>
      </w:r>
    </w:p>
    <w:p w14:paraId="3556CB89" w14:textId="77777777" w:rsidR="00D71B94" w:rsidRPr="00FD3394" w:rsidRDefault="00D71B94" w:rsidP="00D71B94">
      <w:pPr>
        <w:pStyle w:val="BodyText"/>
      </w:pPr>
      <w:r w:rsidRPr="0053439C">
        <w:t>Emissions of fluorinated gases from Tokelau consisted of hydrofluorocarbon (HFC) emissions only, contributing 5.6 per cent (0.23 kt CO</w:t>
      </w:r>
      <w:r w:rsidRPr="0053439C">
        <w:rPr>
          <w:vertAlign w:val="subscript"/>
        </w:rPr>
        <w:t>2</w:t>
      </w:r>
      <w:r w:rsidRPr="0053439C">
        <w:t xml:space="preserve">-e) to the total emissions from Tokelau. These emissions largely came from the use of </w:t>
      </w:r>
      <w:r w:rsidRPr="0053439C">
        <w:rPr>
          <w:i/>
        </w:rPr>
        <w:t>Air conditioning</w:t>
      </w:r>
      <w:r w:rsidRPr="0053439C">
        <w:t xml:space="preserve">. Emissions of perfluorocarbons (PFCs), nitrogen trifluoride and sulphur hexafluoride are not occurring in Tokelau. </w:t>
      </w:r>
    </w:p>
    <w:p w14:paraId="5DCB040F" w14:textId="77777777" w:rsidR="00D71B94" w:rsidRPr="0053439C" w:rsidRDefault="00D71B94" w:rsidP="00D71B94">
      <w:pPr>
        <w:pStyle w:val="BodyText"/>
      </w:pPr>
      <w:r w:rsidRPr="0053439C">
        <w:t xml:space="preserve">Figures 8.1.2 and 8.1.3 show emissions from Tokelau by gas </w:t>
      </w:r>
      <w:r w:rsidRPr="00FD3394">
        <w:t>and</w:t>
      </w:r>
      <w:r w:rsidRPr="0053439C">
        <w:t xml:space="preserve"> by sector. </w:t>
      </w:r>
    </w:p>
    <w:p w14:paraId="5067A39E" w14:textId="77777777" w:rsidR="00D71B94" w:rsidRPr="0053439C" w:rsidRDefault="00D71B94" w:rsidP="002C77A4">
      <w:pPr>
        <w:pStyle w:val="Figure"/>
      </w:pPr>
      <w:bookmarkStart w:id="2508" w:name="_Toc5269722"/>
      <w:bookmarkStart w:id="2509" w:name="_Toc36292825"/>
      <w:bookmarkStart w:id="2510" w:name="_Toc64972932"/>
      <w:bookmarkStart w:id="2511" w:name="_Toc68786689"/>
      <w:bookmarkStart w:id="2512" w:name="_Toc99696060"/>
      <w:r w:rsidRPr="0053439C">
        <w:t xml:space="preserve">Figure 8.1.2 </w:t>
      </w:r>
      <w:r w:rsidRPr="0053439C">
        <w:tab/>
        <w:t xml:space="preserve">Tokelau’s emissions by gas in </w:t>
      </w:r>
      <w:bookmarkEnd w:id="2508"/>
      <w:bookmarkEnd w:id="2509"/>
      <w:bookmarkEnd w:id="2510"/>
      <w:bookmarkEnd w:id="2511"/>
      <w:r w:rsidRPr="0053439C">
        <w:t>2020</w:t>
      </w:r>
      <w:bookmarkEnd w:id="2512"/>
    </w:p>
    <w:p w14:paraId="32FCBB04" w14:textId="77777777" w:rsidR="00D71B94" w:rsidRPr="0053439C" w:rsidRDefault="004B48CC" w:rsidP="00D71B94">
      <w:pPr>
        <w:pStyle w:val="BodyText"/>
        <w:spacing w:after="0"/>
      </w:pPr>
      <w:bookmarkStart w:id="2513" w:name="_Toc5269723"/>
      <w:r>
        <w:rPr>
          <w:noProof/>
        </w:rPr>
        <w:pict w14:anchorId="47DD50B5">
          <v:shape id="_x0000_i1136" type="#_x0000_t75" style="width:410.25pt;height:191.7pt;visibility:visible;mso-wrap-style:square">
            <v:imagedata r:id="rId240" o:title="" croptop="11494f" cropbottom="1285f"/>
          </v:shape>
        </w:pict>
      </w:r>
    </w:p>
    <w:p w14:paraId="249F6165" w14:textId="77777777" w:rsidR="00D71B94" w:rsidRPr="0053439C" w:rsidRDefault="00D71B94" w:rsidP="00F67631">
      <w:pPr>
        <w:pStyle w:val="Figure"/>
      </w:pPr>
      <w:bookmarkStart w:id="2514" w:name="_Toc36292826"/>
      <w:bookmarkStart w:id="2515" w:name="_Toc64972933"/>
      <w:bookmarkStart w:id="2516" w:name="_Toc68786690"/>
      <w:bookmarkStart w:id="2517" w:name="_Toc99696061"/>
      <w:r w:rsidRPr="0053439C">
        <w:lastRenderedPageBreak/>
        <w:t xml:space="preserve">Figure 8.1.3 </w:t>
      </w:r>
      <w:r w:rsidRPr="0053439C">
        <w:tab/>
        <w:t xml:space="preserve">Tokelau’s emissions by sector in </w:t>
      </w:r>
      <w:bookmarkEnd w:id="2513"/>
      <w:bookmarkEnd w:id="2514"/>
      <w:bookmarkEnd w:id="2515"/>
      <w:bookmarkEnd w:id="2516"/>
      <w:r w:rsidRPr="0053439C">
        <w:t>2020</w:t>
      </w:r>
      <w:bookmarkEnd w:id="2517"/>
    </w:p>
    <w:p w14:paraId="11682A79" w14:textId="77777777" w:rsidR="00D71B94" w:rsidRPr="00DA6B45" w:rsidRDefault="004B48CC" w:rsidP="00D71B94">
      <w:pPr>
        <w:pStyle w:val="BodyText"/>
      </w:pPr>
      <w:r>
        <w:rPr>
          <w:noProof/>
        </w:rPr>
        <w:pict w14:anchorId="106DFDD5">
          <v:shape id="Picture 2" o:spid="_x0000_i1137" type="#_x0000_t75" style="width:410.25pt;height:131.45pt;visibility:visible;mso-wrap-style:square">
            <v:imagedata r:id="rId241" o:title="" croptop="19343f"/>
          </v:shape>
        </w:pict>
      </w:r>
    </w:p>
    <w:p w14:paraId="64322212" w14:textId="77777777" w:rsidR="00D71B94" w:rsidRPr="0053439C" w:rsidRDefault="00D71B94" w:rsidP="00D71B94">
      <w:pPr>
        <w:pStyle w:val="Heading5"/>
      </w:pPr>
      <w:r w:rsidRPr="0053439C">
        <w:t>1990–2020</w:t>
      </w:r>
    </w:p>
    <w:p w14:paraId="7251FCA1" w14:textId="77777777" w:rsidR="00D71B94" w:rsidRPr="0053439C" w:rsidRDefault="00D71B94" w:rsidP="00D71B94">
      <w:pPr>
        <w:pStyle w:val="BodyText"/>
      </w:pPr>
      <w:r w:rsidRPr="0053439C">
        <w:t>In 1990, the total emissions from Tokelau were 3.17 kt CO</w:t>
      </w:r>
      <w:r w:rsidRPr="0053439C">
        <w:rPr>
          <w:vertAlign w:val="subscript"/>
        </w:rPr>
        <w:t>2</w:t>
      </w:r>
      <w:r w:rsidRPr="0053439C">
        <w:t>-e. Between 1990 and 2020, the total emissions increased by 31.9 per cent (1.01 kt CO</w:t>
      </w:r>
      <w:r w:rsidRPr="0053439C">
        <w:rPr>
          <w:vertAlign w:val="subscript"/>
        </w:rPr>
        <w:t>2</w:t>
      </w:r>
      <w:r w:rsidRPr="0053439C">
        <w:t>-e) to 4.18 kt CO</w:t>
      </w:r>
      <w:r w:rsidRPr="0053439C">
        <w:rPr>
          <w:vertAlign w:val="subscript"/>
        </w:rPr>
        <w:t>2</w:t>
      </w:r>
      <w:r w:rsidRPr="0053439C">
        <w:t>-e (table 8.1.1). From 1990 to 2020, the average annual increase in gross emissions was 1.10 per cent.</w:t>
      </w:r>
    </w:p>
    <w:p w14:paraId="4E55A280" w14:textId="77777777" w:rsidR="00D71B94" w:rsidRPr="0053439C" w:rsidRDefault="00D71B94" w:rsidP="00D71B94">
      <w:pPr>
        <w:pStyle w:val="BodyText"/>
      </w:pPr>
      <w:r w:rsidRPr="0053439C">
        <w:t xml:space="preserve">The emission categories that contributed the most to this change were </w:t>
      </w:r>
      <w:r w:rsidRPr="00FE0026">
        <w:rPr>
          <w:i/>
        </w:rPr>
        <w:t>Domestic navigation</w:t>
      </w:r>
      <w:r w:rsidRPr="00FE0026">
        <w:t xml:space="preserve"> and </w:t>
      </w:r>
      <w:r w:rsidRPr="00FE0026">
        <w:rPr>
          <w:i/>
        </w:rPr>
        <w:t>Electricity generation</w:t>
      </w:r>
      <w:r w:rsidRPr="00FE0026">
        <w:t xml:space="preserve">. </w:t>
      </w:r>
    </w:p>
    <w:p w14:paraId="4647E5A3" w14:textId="77777777" w:rsidR="00D71B94" w:rsidRPr="0053439C" w:rsidRDefault="00D71B94" w:rsidP="00D71B94">
      <w:pPr>
        <w:pStyle w:val="BodyText"/>
      </w:pPr>
      <w:r w:rsidRPr="0053439C">
        <w:t xml:space="preserve">The changes in </w:t>
      </w:r>
      <w:r w:rsidRPr="0053439C">
        <w:rPr>
          <w:i/>
          <w:iCs/>
        </w:rPr>
        <w:t>Domestic navigation</w:t>
      </w:r>
      <w:r w:rsidRPr="0053439C">
        <w:t xml:space="preserve"> are a result of Tokelau gaining ownership and use of the ferry </w:t>
      </w:r>
      <w:r w:rsidRPr="0053439C">
        <w:rPr>
          <w:i/>
          <w:iCs/>
        </w:rPr>
        <w:t>Mataliki</w:t>
      </w:r>
      <w:r w:rsidRPr="0053439C">
        <w:t xml:space="preserve"> in 2016, cargo vessel </w:t>
      </w:r>
      <w:r w:rsidRPr="0053439C">
        <w:rPr>
          <w:i/>
          <w:iCs/>
        </w:rPr>
        <w:t>Kalopaga</w:t>
      </w:r>
      <w:r w:rsidRPr="0053439C">
        <w:t xml:space="preserve"> in 2018 and </w:t>
      </w:r>
      <w:r w:rsidRPr="0053439C">
        <w:rPr>
          <w:i/>
          <w:iCs/>
        </w:rPr>
        <w:t>Fetu o te Moana</w:t>
      </w:r>
      <w:r w:rsidRPr="0053439C">
        <w:t xml:space="preserve"> in 2019 leading to an increasing number of sea voyages between the atolls, which increased transport emissions. Emissions from Tokelau’s IPPU sector have also increased mainly due to the introduction of air conditioning after 2006. Further changes in Tokelau’s Energy sector emissions are a significant rise and then drop </w:t>
      </w:r>
      <w:r w:rsidRPr="002B287A">
        <w:t>(by nearly 400 per cent and 82.5 per cent respectively)</w:t>
      </w:r>
      <w:r w:rsidRPr="0053439C">
        <w:t xml:space="preserve"> in consumption of imported petroleum products used for electricity production in Tokelau. Emissions from Tokelau’s Agriculture sector decreased slightly as a result of a reduced population of pigs.</w:t>
      </w:r>
    </w:p>
    <w:p w14:paraId="4F416F96" w14:textId="77777777" w:rsidR="00D71B94" w:rsidRPr="0053439C" w:rsidRDefault="00D71B94" w:rsidP="00D71B94">
      <w:pPr>
        <w:pStyle w:val="Table"/>
      </w:pPr>
      <w:bookmarkStart w:id="2518" w:name="_Toc36224675"/>
      <w:bookmarkStart w:id="2519" w:name="_Toc68786561"/>
      <w:bookmarkStart w:id="2520" w:name="_Toc99659356"/>
      <w:bookmarkStart w:id="2521" w:name="_Toc5269724"/>
      <w:r w:rsidRPr="0053439C">
        <w:t xml:space="preserve">Table 8.1.1 </w:t>
      </w:r>
      <w:r w:rsidRPr="0053439C">
        <w:tab/>
        <w:t>Gross emissions from Tokelau by gas in 1990 and </w:t>
      </w:r>
      <w:bookmarkEnd w:id="2518"/>
      <w:bookmarkEnd w:id="2519"/>
      <w:r w:rsidRPr="0053439C">
        <w:t>2020</w:t>
      </w:r>
      <w:bookmarkEnd w:id="2520"/>
    </w:p>
    <w:tbl>
      <w:tblPr>
        <w:tblW w:w="8505" w:type="dxa"/>
        <w:tblInd w:w="108" w:type="dxa"/>
        <w:tblBorders>
          <w:bottom w:val="single" w:sz="8" w:space="0" w:color="365F91"/>
          <w:insideH w:val="single" w:sz="8" w:space="0" w:color="365F91"/>
        </w:tblBorders>
        <w:tblLook w:val="01E0" w:firstRow="1" w:lastRow="1" w:firstColumn="1" w:lastColumn="1" w:noHBand="0" w:noVBand="0"/>
      </w:tblPr>
      <w:tblGrid>
        <w:gridCol w:w="2764"/>
        <w:gridCol w:w="1454"/>
        <w:gridCol w:w="1309"/>
        <w:gridCol w:w="1599"/>
        <w:gridCol w:w="1379"/>
      </w:tblGrid>
      <w:tr w:rsidR="00D71B94" w:rsidRPr="0053439C" w14:paraId="0382D98B" w14:textId="77777777" w:rsidTr="007E3239">
        <w:tc>
          <w:tcPr>
            <w:tcW w:w="2764" w:type="dxa"/>
            <w:vMerge w:val="restart"/>
            <w:tcBorders>
              <w:top w:val="single" w:sz="4" w:space="0" w:color="1B556B"/>
              <w:left w:val="nil"/>
              <w:bottom w:val="nil"/>
              <w:right w:val="nil"/>
              <w:tl2br w:val="nil"/>
              <w:tr2bl w:val="nil"/>
            </w:tcBorders>
            <w:shd w:val="clear" w:color="auto" w:fill="1B556B"/>
            <w:vAlign w:val="bottom"/>
          </w:tcPr>
          <w:p w14:paraId="1C62B160" w14:textId="77777777" w:rsidR="00D71B94" w:rsidRPr="0053439C" w:rsidRDefault="00D71B94" w:rsidP="007E3239">
            <w:pPr>
              <w:pStyle w:val="TableTextBold"/>
              <w:rPr>
                <w:noProof w:val="0"/>
                <w:color w:val="FFFFFF"/>
              </w:rPr>
            </w:pPr>
            <w:r w:rsidRPr="0053439C">
              <w:rPr>
                <w:noProof w:val="0"/>
                <w:color w:val="FFFFFF"/>
              </w:rPr>
              <w:t>Direct greenhouse gas emissions</w:t>
            </w:r>
          </w:p>
        </w:tc>
        <w:tc>
          <w:tcPr>
            <w:tcW w:w="2763" w:type="dxa"/>
            <w:gridSpan w:val="2"/>
            <w:tcBorders>
              <w:top w:val="single" w:sz="4" w:space="0" w:color="1B556B"/>
              <w:left w:val="nil"/>
              <w:bottom w:val="nil"/>
              <w:right w:val="nil"/>
              <w:tl2br w:val="nil"/>
              <w:tr2bl w:val="nil"/>
            </w:tcBorders>
            <w:shd w:val="clear" w:color="auto" w:fill="1B556B"/>
            <w:vAlign w:val="bottom"/>
          </w:tcPr>
          <w:p w14:paraId="113B6839" w14:textId="77777777" w:rsidR="00D71B94" w:rsidRPr="0053439C" w:rsidRDefault="00D71B94" w:rsidP="007E3239">
            <w:pPr>
              <w:pStyle w:val="TableTextBold"/>
              <w:spacing w:after="0"/>
              <w:jc w:val="center"/>
              <w:rPr>
                <w:noProof w:val="0"/>
                <w:color w:val="FFFFFF"/>
              </w:rPr>
            </w:pPr>
            <w:r w:rsidRPr="0053439C">
              <w:rPr>
                <w:noProof w:val="0"/>
                <w:color w:val="FFFFFF"/>
              </w:rPr>
              <w:t>kt CO</w:t>
            </w:r>
            <w:r w:rsidRPr="0053439C">
              <w:rPr>
                <w:noProof w:val="0"/>
                <w:color w:val="FFFFFF"/>
                <w:vertAlign w:val="subscript"/>
              </w:rPr>
              <w:t>2</w:t>
            </w:r>
            <w:r w:rsidRPr="0053439C">
              <w:rPr>
                <w:noProof w:val="0"/>
                <w:color w:val="FFFFFF"/>
              </w:rPr>
              <w:t>-e</w:t>
            </w:r>
          </w:p>
        </w:tc>
        <w:tc>
          <w:tcPr>
            <w:tcW w:w="1599" w:type="dxa"/>
            <w:vMerge w:val="restart"/>
            <w:tcBorders>
              <w:top w:val="single" w:sz="4" w:space="0" w:color="1B556B"/>
              <w:left w:val="nil"/>
              <w:bottom w:val="nil"/>
              <w:right w:val="nil"/>
              <w:tl2br w:val="nil"/>
              <w:tr2bl w:val="nil"/>
            </w:tcBorders>
            <w:shd w:val="clear" w:color="auto" w:fill="1B556B"/>
            <w:vAlign w:val="bottom"/>
          </w:tcPr>
          <w:p w14:paraId="2F1A1CF6" w14:textId="77777777" w:rsidR="00D71B94" w:rsidRPr="0053439C" w:rsidRDefault="00D71B94" w:rsidP="007E3239">
            <w:pPr>
              <w:pStyle w:val="TableTextBold"/>
              <w:jc w:val="center"/>
              <w:rPr>
                <w:noProof w:val="0"/>
                <w:color w:val="FFFFFF"/>
              </w:rPr>
            </w:pPr>
            <w:r w:rsidRPr="0053439C">
              <w:rPr>
                <w:noProof w:val="0"/>
                <w:color w:val="FFFFFF"/>
              </w:rPr>
              <w:t>Change from 1990 (kt CO</w:t>
            </w:r>
            <w:r w:rsidRPr="0053439C">
              <w:rPr>
                <w:noProof w:val="0"/>
                <w:color w:val="FFFFFF"/>
                <w:vertAlign w:val="subscript"/>
              </w:rPr>
              <w:t>2</w:t>
            </w:r>
            <w:r w:rsidRPr="0053439C">
              <w:rPr>
                <w:noProof w:val="0"/>
                <w:color w:val="FFFFFF"/>
              </w:rPr>
              <w:t>-e)</w:t>
            </w:r>
          </w:p>
        </w:tc>
        <w:tc>
          <w:tcPr>
            <w:tcW w:w="1379" w:type="dxa"/>
            <w:vMerge w:val="restart"/>
            <w:tcBorders>
              <w:top w:val="single" w:sz="4" w:space="0" w:color="1B556B"/>
              <w:left w:val="nil"/>
              <w:bottom w:val="nil"/>
              <w:right w:val="nil"/>
              <w:tl2br w:val="nil"/>
              <w:tr2bl w:val="nil"/>
            </w:tcBorders>
            <w:shd w:val="clear" w:color="auto" w:fill="1B556B"/>
            <w:vAlign w:val="bottom"/>
          </w:tcPr>
          <w:p w14:paraId="17D5E36F" w14:textId="77777777" w:rsidR="00D71B94" w:rsidRPr="0053439C" w:rsidRDefault="00D71B94" w:rsidP="007E3239">
            <w:pPr>
              <w:pStyle w:val="TableTextBold"/>
              <w:jc w:val="center"/>
              <w:rPr>
                <w:noProof w:val="0"/>
                <w:color w:val="FFFFFF"/>
              </w:rPr>
            </w:pPr>
            <w:r w:rsidRPr="0053439C">
              <w:rPr>
                <w:noProof w:val="0"/>
                <w:color w:val="FFFFFF"/>
              </w:rPr>
              <w:t>Change from 1990 (%)</w:t>
            </w:r>
          </w:p>
        </w:tc>
      </w:tr>
      <w:tr w:rsidR="00D71B94" w:rsidRPr="0053439C" w14:paraId="48483286" w14:textId="77777777" w:rsidTr="007E3239">
        <w:tc>
          <w:tcPr>
            <w:tcW w:w="2764" w:type="dxa"/>
            <w:vMerge/>
            <w:tcBorders>
              <w:bottom w:val="single" w:sz="4" w:space="0" w:color="1B556B"/>
            </w:tcBorders>
            <w:shd w:val="clear" w:color="auto" w:fill="1B556B"/>
            <w:vAlign w:val="bottom"/>
          </w:tcPr>
          <w:p w14:paraId="4DE05029" w14:textId="77777777" w:rsidR="00D71B94" w:rsidRPr="0053439C" w:rsidRDefault="00D71B94" w:rsidP="007E3239">
            <w:pPr>
              <w:pStyle w:val="TableTextBold"/>
              <w:spacing w:before="40" w:after="40"/>
              <w:rPr>
                <w:rFonts w:ascii="Arial" w:hAnsi="Arial"/>
                <w:noProof w:val="0"/>
                <w:color w:val="FFFFFF"/>
              </w:rPr>
            </w:pPr>
          </w:p>
        </w:tc>
        <w:tc>
          <w:tcPr>
            <w:tcW w:w="1454" w:type="dxa"/>
            <w:tcBorders>
              <w:top w:val="nil"/>
              <w:bottom w:val="single" w:sz="4" w:space="0" w:color="1B556B"/>
            </w:tcBorders>
            <w:shd w:val="clear" w:color="auto" w:fill="1B556B"/>
            <w:vAlign w:val="bottom"/>
          </w:tcPr>
          <w:p w14:paraId="3170043F" w14:textId="77777777" w:rsidR="00D71B94" w:rsidRPr="0053439C" w:rsidRDefault="00D71B94" w:rsidP="007E3239">
            <w:pPr>
              <w:pStyle w:val="TableTextBold"/>
              <w:spacing w:before="40"/>
              <w:jc w:val="center"/>
              <w:rPr>
                <w:noProof w:val="0"/>
                <w:color w:val="FFFFFF"/>
              </w:rPr>
            </w:pPr>
            <w:r w:rsidRPr="0053439C">
              <w:rPr>
                <w:noProof w:val="0"/>
                <w:color w:val="FFFFFF"/>
              </w:rPr>
              <w:t>1990</w:t>
            </w:r>
          </w:p>
        </w:tc>
        <w:tc>
          <w:tcPr>
            <w:tcW w:w="1309" w:type="dxa"/>
            <w:tcBorders>
              <w:top w:val="nil"/>
              <w:bottom w:val="single" w:sz="4" w:space="0" w:color="1B556B"/>
            </w:tcBorders>
            <w:shd w:val="clear" w:color="auto" w:fill="1B556B"/>
            <w:vAlign w:val="bottom"/>
          </w:tcPr>
          <w:p w14:paraId="315FA613" w14:textId="77777777" w:rsidR="00D71B94" w:rsidRPr="0053439C" w:rsidRDefault="00D71B94" w:rsidP="007E3239">
            <w:pPr>
              <w:pStyle w:val="TableTextBold"/>
              <w:spacing w:before="40"/>
              <w:jc w:val="center"/>
              <w:rPr>
                <w:noProof w:val="0"/>
                <w:color w:val="FFFFFF"/>
              </w:rPr>
            </w:pPr>
            <w:r w:rsidRPr="0053439C">
              <w:rPr>
                <w:noProof w:val="0"/>
                <w:color w:val="FFFFFF"/>
              </w:rPr>
              <w:t>2020</w:t>
            </w:r>
          </w:p>
        </w:tc>
        <w:tc>
          <w:tcPr>
            <w:tcW w:w="1599" w:type="dxa"/>
            <w:vMerge/>
            <w:tcBorders>
              <w:bottom w:val="single" w:sz="4" w:space="0" w:color="1B556B"/>
            </w:tcBorders>
            <w:shd w:val="clear" w:color="auto" w:fill="1B556B"/>
            <w:vAlign w:val="bottom"/>
          </w:tcPr>
          <w:p w14:paraId="3D7301CA" w14:textId="77777777" w:rsidR="00D71B94" w:rsidRPr="0053439C" w:rsidRDefault="00D71B94" w:rsidP="007E3239">
            <w:pPr>
              <w:pStyle w:val="TableTextBold"/>
              <w:spacing w:before="40" w:after="40"/>
              <w:jc w:val="center"/>
              <w:rPr>
                <w:rFonts w:ascii="Arial" w:hAnsi="Arial"/>
                <w:noProof w:val="0"/>
                <w:color w:val="FFFFFF"/>
              </w:rPr>
            </w:pPr>
          </w:p>
        </w:tc>
        <w:tc>
          <w:tcPr>
            <w:tcW w:w="1379" w:type="dxa"/>
            <w:vMerge/>
            <w:tcBorders>
              <w:bottom w:val="single" w:sz="4" w:space="0" w:color="1B556B"/>
            </w:tcBorders>
            <w:shd w:val="clear" w:color="auto" w:fill="1B556B"/>
            <w:vAlign w:val="bottom"/>
          </w:tcPr>
          <w:p w14:paraId="001888E4" w14:textId="77777777" w:rsidR="00D71B94" w:rsidRPr="0053439C" w:rsidRDefault="00D71B94" w:rsidP="007E3239">
            <w:pPr>
              <w:pStyle w:val="TableTextBold"/>
              <w:spacing w:before="40" w:after="40"/>
              <w:jc w:val="center"/>
              <w:rPr>
                <w:rFonts w:ascii="Arial" w:hAnsi="Arial"/>
                <w:noProof w:val="0"/>
                <w:color w:val="FFFFFF"/>
              </w:rPr>
            </w:pPr>
          </w:p>
        </w:tc>
      </w:tr>
      <w:tr w:rsidR="00D71B94" w:rsidRPr="0053439C" w14:paraId="6B7D1A1D" w14:textId="77777777" w:rsidTr="007E3239">
        <w:tc>
          <w:tcPr>
            <w:tcW w:w="2764" w:type="dxa"/>
            <w:tcBorders>
              <w:top w:val="single" w:sz="4" w:space="0" w:color="1B556B"/>
              <w:bottom w:val="single" w:sz="4" w:space="0" w:color="1B556B"/>
            </w:tcBorders>
            <w:shd w:val="clear" w:color="auto" w:fill="auto"/>
          </w:tcPr>
          <w:p w14:paraId="14C71227" w14:textId="77777777" w:rsidR="00D71B94" w:rsidRPr="0053439C" w:rsidRDefault="00D71B94" w:rsidP="007E3239">
            <w:pPr>
              <w:pStyle w:val="TableText"/>
            </w:pPr>
            <w:r w:rsidRPr="0053439C">
              <w:t>CO</w:t>
            </w:r>
            <w:r w:rsidRPr="0053439C">
              <w:rPr>
                <w:vertAlign w:val="subscript"/>
              </w:rPr>
              <w:t xml:space="preserve">2 </w:t>
            </w:r>
          </w:p>
        </w:tc>
        <w:tc>
          <w:tcPr>
            <w:tcW w:w="1454" w:type="dxa"/>
            <w:tcBorders>
              <w:top w:val="single" w:sz="4" w:space="0" w:color="1B556B"/>
              <w:bottom w:val="single" w:sz="4" w:space="0" w:color="1B556B"/>
            </w:tcBorders>
            <w:shd w:val="clear" w:color="auto" w:fill="auto"/>
            <w:vAlign w:val="bottom"/>
          </w:tcPr>
          <w:p w14:paraId="3410309E" w14:textId="77777777" w:rsidR="00D71B94" w:rsidRPr="0053439C" w:rsidRDefault="00D71B94" w:rsidP="007E3239">
            <w:pPr>
              <w:pStyle w:val="TableText"/>
              <w:jc w:val="center"/>
            </w:pPr>
            <w:r w:rsidRPr="0053439C">
              <w:t>1.30</w:t>
            </w:r>
          </w:p>
        </w:tc>
        <w:tc>
          <w:tcPr>
            <w:tcW w:w="1309" w:type="dxa"/>
            <w:tcBorders>
              <w:top w:val="single" w:sz="4" w:space="0" w:color="1B556B"/>
              <w:bottom w:val="single" w:sz="4" w:space="0" w:color="1B556B"/>
            </w:tcBorders>
            <w:shd w:val="clear" w:color="auto" w:fill="auto"/>
            <w:vAlign w:val="bottom"/>
          </w:tcPr>
          <w:p w14:paraId="6C25FE0E" w14:textId="77777777" w:rsidR="00D71B94" w:rsidRPr="0053439C" w:rsidRDefault="00D71B94" w:rsidP="007E3239">
            <w:pPr>
              <w:pStyle w:val="TableText"/>
              <w:jc w:val="center"/>
            </w:pPr>
            <w:r w:rsidRPr="0053439C">
              <w:t>2.42</w:t>
            </w:r>
          </w:p>
        </w:tc>
        <w:tc>
          <w:tcPr>
            <w:tcW w:w="1599" w:type="dxa"/>
            <w:tcBorders>
              <w:top w:val="single" w:sz="4" w:space="0" w:color="1B556B"/>
              <w:bottom w:val="single" w:sz="4" w:space="0" w:color="1B556B"/>
            </w:tcBorders>
            <w:shd w:val="clear" w:color="auto" w:fill="auto"/>
            <w:vAlign w:val="bottom"/>
          </w:tcPr>
          <w:p w14:paraId="08904511" w14:textId="77777777" w:rsidR="00D71B94" w:rsidRPr="0053439C" w:rsidRDefault="00D71B94" w:rsidP="007E3239">
            <w:pPr>
              <w:pStyle w:val="TableText"/>
              <w:jc w:val="center"/>
            </w:pPr>
            <w:r w:rsidRPr="0053439C">
              <w:t>1.12</w:t>
            </w:r>
          </w:p>
        </w:tc>
        <w:tc>
          <w:tcPr>
            <w:tcW w:w="1379" w:type="dxa"/>
            <w:tcBorders>
              <w:top w:val="single" w:sz="4" w:space="0" w:color="1B556B"/>
              <w:bottom w:val="single" w:sz="4" w:space="0" w:color="1B556B"/>
            </w:tcBorders>
            <w:shd w:val="clear" w:color="auto" w:fill="auto"/>
            <w:vAlign w:val="bottom"/>
          </w:tcPr>
          <w:p w14:paraId="21B658E5" w14:textId="77777777" w:rsidR="00D71B94" w:rsidRPr="0053439C" w:rsidRDefault="00D71B94" w:rsidP="007E3239">
            <w:pPr>
              <w:pStyle w:val="TableText"/>
              <w:jc w:val="center"/>
            </w:pPr>
            <w:r w:rsidRPr="0053439C">
              <w:t>86.4</w:t>
            </w:r>
          </w:p>
        </w:tc>
      </w:tr>
      <w:tr w:rsidR="00D71B94" w:rsidRPr="0053439C" w14:paraId="3AA57904" w14:textId="77777777" w:rsidTr="007E3239">
        <w:tc>
          <w:tcPr>
            <w:tcW w:w="2764" w:type="dxa"/>
            <w:tcBorders>
              <w:top w:val="single" w:sz="4" w:space="0" w:color="1B556B"/>
              <w:bottom w:val="single" w:sz="4" w:space="0" w:color="1B556B"/>
            </w:tcBorders>
            <w:shd w:val="clear" w:color="auto" w:fill="auto"/>
          </w:tcPr>
          <w:p w14:paraId="395FAAF8" w14:textId="77777777" w:rsidR="00D71B94" w:rsidRPr="0053439C" w:rsidRDefault="00D71B94" w:rsidP="007E3239">
            <w:pPr>
              <w:pStyle w:val="TableText"/>
            </w:pPr>
            <w:r w:rsidRPr="0053439C">
              <w:t>CH</w:t>
            </w:r>
            <w:r w:rsidRPr="0053439C">
              <w:rPr>
                <w:vertAlign w:val="subscript"/>
              </w:rPr>
              <w:t xml:space="preserve">4 </w:t>
            </w:r>
          </w:p>
        </w:tc>
        <w:tc>
          <w:tcPr>
            <w:tcW w:w="1454" w:type="dxa"/>
            <w:tcBorders>
              <w:top w:val="single" w:sz="4" w:space="0" w:color="1B556B"/>
              <w:bottom w:val="single" w:sz="4" w:space="0" w:color="1B556B"/>
            </w:tcBorders>
            <w:shd w:val="clear" w:color="auto" w:fill="auto"/>
            <w:vAlign w:val="bottom"/>
          </w:tcPr>
          <w:p w14:paraId="262EBD3E" w14:textId="77777777" w:rsidR="00D71B94" w:rsidRPr="0053439C" w:rsidRDefault="00D71B94" w:rsidP="007E3239">
            <w:pPr>
              <w:pStyle w:val="TableText"/>
              <w:jc w:val="center"/>
            </w:pPr>
            <w:r w:rsidRPr="0053439C">
              <w:t>1.78</w:t>
            </w:r>
          </w:p>
        </w:tc>
        <w:tc>
          <w:tcPr>
            <w:tcW w:w="1309" w:type="dxa"/>
            <w:tcBorders>
              <w:top w:val="single" w:sz="4" w:space="0" w:color="1B556B"/>
              <w:bottom w:val="single" w:sz="4" w:space="0" w:color="1B556B"/>
            </w:tcBorders>
            <w:shd w:val="clear" w:color="auto" w:fill="auto"/>
            <w:vAlign w:val="bottom"/>
          </w:tcPr>
          <w:p w14:paraId="6A1EC27F" w14:textId="77777777" w:rsidR="00D71B94" w:rsidRPr="0053439C" w:rsidRDefault="00D71B94" w:rsidP="007E3239">
            <w:pPr>
              <w:pStyle w:val="TableText"/>
              <w:jc w:val="center"/>
            </w:pPr>
            <w:r w:rsidRPr="0053439C">
              <w:t>1.48</w:t>
            </w:r>
          </w:p>
        </w:tc>
        <w:tc>
          <w:tcPr>
            <w:tcW w:w="1599" w:type="dxa"/>
            <w:tcBorders>
              <w:top w:val="single" w:sz="4" w:space="0" w:color="1B556B"/>
              <w:bottom w:val="single" w:sz="4" w:space="0" w:color="1B556B"/>
            </w:tcBorders>
            <w:shd w:val="clear" w:color="auto" w:fill="auto"/>
            <w:vAlign w:val="bottom"/>
          </w:tcPr>
          <w:p w14:paraId="39186D36" w14:textId="77777777" w:rsidR="00D71B94" w:rsidRPr="0053439C" w:rsidRDefault="00D71B94" w:rsidP="007E3239">
            <w:pPr>
              <w:pStyle w:val="TableText"/>
              <w:jc w:val="center"/>
            </w:pPr>
            <w:r w:rsidRPr="0053439C">
              <w:t>–0.31</w:t>
            </w:r>
          </w:p>
        </w:tc>
        <w:tc>
          <w:tcPr>
            <w:tcW w:w="1379" w:type="dxa"/>
            <w:tcBorders>
              <w:top w:val="single" w:sz="4" w:space="0" w:color="1B556B"/>
              <w:bottom w:val="single" w:sz="4" w:space="0" w:color="1B556B"/>
            </w:tcBorders>
            <w:shd w:val="clear" w:color="auto" w:fill="auto"/>
            <w:vAlign w:val="bottom"/>
          </w:tcPr>
          <w:p w14:paraId="792279BE" w14:textId="77777777" w:rsidR="00D71B94" w:rsidRPr="0053439C" w:rsidRDefault="00D71B94" w:rsidP="007E3239">
            <w:pPr>
              <w:pStyle w:val="TableText"/>
              <w:jc w:val="center"/>
            </w:pPr>
            <w:r w:rsidRPr="0053439C">
              <w:t>–17.2</w:t>
            </w:r>
          </w:p>
        </w:tc>
      </w:tr>
      <w:tr w:rsidR="00D71B94" w:rsidRPr="0053439C" w14:paraId="449D4F5B" w14:textId="77777777" w:rsidTr="007E3239">
        <w:tc>
          <w:tcPr>
            <w:tcW w:w="2764" w:type="dxa"/>
            <w:tcBorders>
              <w:top w:val="single" w:sz="4" w:space="0" w:color="1B556B"/>
              <w:bottom w:val="single" w:sz="4" w:space="0" w:color="1B556B"/>
            </w:tcBorders>
            <w:shd w:val="clear" w:color="auto" w:fill="auto"/>
          </w:tcPr>
          <w:p w14:paraId="79206631" w14:textId="77777777" w:rsidR="00D71B94" w:rsidRPr="0053439C" w:rsidRDefault="00D71B94" w:rsidP="007E3239">
            <w:pPr>
              <w:pStyle w:val="TableText"/>
            </w:pPr>
            <w:r w:rsidRPr="0053439C">
              <w:t>N</w:t>
            </w:r>
            <w:r w:rsidRPr="0053439C">
              <w:rPr>
                <w:vertAlign w:val="subscript"/>
              </w:rPr>
              <w:t>2</w:t>
            </w:r>
            <w:r w:rsidRPr="0053439C">
              <w:t xml:space="preserve">O </w:t>
            </w:r>
          </w:p>
        </w:tc>
        <w:tc>
          <w:tcPr>
            <w:tcW w:w="1454" w:type="dxa"/>
            <w:tcBorders>
              <w:top w:val="single" w:sz="4" w:space="0" w:color="1B556B"/>
              <w:bottom w:val="single" w:sz="4" w:space="0" w:color="1B556B"/>
            </w:tcBorders>
            <w:shd w:val="clear" w:color="auto" w:fill="auto"/>
            <w:vAlign w:val="bottom"/>
          </w:tcPr>
          <w:p w14:paraId="6AFD5A89" w14:textId="77777777" w:rsidR="00D71B94" w:rsidRPr="0053439C" w:rsidRDefault="00D71B94" w:rsidP="007E3239">
            <w:pPr>
              <w:pStyle w:val="TableText"/>
              <w:jc w:val="center"/>
            </w:pPr>
            <w:r w:rsidRPr="0053439C">
              <w:t>0.09</w:t>
            </w:r>
          </w:p>
        </w:tc>
        <w:tc>
          <w:tcPr>
            <w:tcW w:w="1309" w:type="dxa"/>
            <w:tcBorders>
              <w:top w:val="single" w:sz="4" w:space="0" w:color="1B556B"/>
              <w:bottom w:val="single" w:sz="4" w:space="0" w:color="1B556B"/>
            </w:tcBorders>
            <w:shd w:val="clear" w:color="auto" w:fill="auto"/>
            <w:vAlign w:val="bottom"/>
          </w:tcPr>
          <w:p w14:paraId="148739FA" w14:textId="77777777" w:rsidR="00D71B94" w:rsidRPr="0053439C" w:rsidRDefault="00D71B94" w:rsidP="007E3239">
            <w:pPr>
              <w:pStyle w:val="TableText"/>
              <w:jc w:val="center"/>
            </w:pPr>
            <w:r w:rsidRPr="0053439C">
              <w:t>0.05</w:t>
            </w:r>
          </w:p>
        </w:tc>
        <w:tc>
          <w:tcPr>
            <w:tcW w:w="1599" w:type="dxa"/>
            <w:tcBorders>
              <w:top w:val="single" w:sz="4" w:space="0" w:color="1B556B"/>
              <w:bottom w:val="single" w:sz="4" w:space="0" w:color="1B556B"/>
            </w:tcBorders>
            <w:shd w:val="clear" w:color="auto" w:fill="auto"/>
            <w:vAlign w:val="bottom"/>
          </w:tcPr>
          <w:p w14:paraId="22C7D735" w14:textId="77777777" w:rsidR="00D71B94" w:rsidRPr="0053439C" w:rsidRDefault="00D71B94" w:rsidP="007E3239">
            <w:pPr>
              <w:pStyle w:val="TableText"/>
              <w:jc w:val="center"/>
            </w:pPr>
            <w:r w:rsidRPr="0053439C">
              <w:t>–0.04</w:t>
            </w:r>
          </w:p>
        </w:tc>
        <w:tc>
          <w:tcPr>
            <w:tcW w:w="1379" w:type="dxa"/>
            <w:tcBorders>
              <w:top w:val="single" w:sz="4" w:space="0" w:color="1B556B"/>
              <w:bottom w:val="single" w:sz="4" w:space="0" w:color="1B556B"/>
            </w:tcBorders>
            <w:shd w:val="clear" w:color="auto" w:fill="auto"/>
            <w:vAlign w:val="bottom"/>
          </w:tcPr>
          <w:p w14:paraId="6797C63F" w14:textId="77777777" w:rsidR="00D71B94" w:rsidRPr="0053439C" w:rsidRDefault="00D71B94" w:rsidP="007E3239">
            <w:pPr>
              <w:pStyle w:val="TableText"/>
              <w:jc w:val="center"/>
            </w:pPr>
            <w:r w:rsidRPr="0053439C">
              <w:t>–41.9</w:t>
            </w:r>
          </w:p>
        </w:tc>
      </w:tr>
      <w:tr w:rsidR="00D71B94" w:rsidRPr="0053439C" w14:paraId="0061610F" w14:textId="77777777" w:rsidTr="007E3239">
        <w:tc>
          <w:tcPr>
            <w:tcW w:w="2764" w:type="dxa"/>
            <w:tcBorders>
              <w:top w:val="single" w:sz="4" w:space="0" w:color="1B556B"/>
              <w:bottom w:val="single" w:sz="4" w:space="0" w:color="1B556B"/>
            </w:tcBorders>
            <w:shd w:val="clear" w:color="auto" w:fill="auto"/>
          </w:tcPr>
          <w:p w14:paraId="61FA222F" w14:textId="77777777" w:rsidR="00D71B94" w:rsidRPr="0053439C" w:rsidRDefault="00D71B94" w:rsidP="007E3239">
            <w:pPr>
              <w:pStyle w:val="TableText"/>
            </w:pPr>
            <w:r w:rsidRPr="0053439C">
              <w:t>HFCs</w:t>
            </w:r>
          </w:p>
        </w:tc>
        <w:tc>
          <w:tcPr>
            <w:tcW w:w="1454" w:type="dxa"/>
            <w:tcBorders>
              <w:top w:val="single" w:sz="4" w:space="0" w:color="1B556B"/>
              <w:bottom w:val="single" w:sz="4" w:space="0" w:color="1B556B"/>
            </w:tcBorders>
            <w:shd w:val="clear" w:color="auto" w:fill="auto"/>
            <w:vAlign w:val="bottom"/>
          </w:tcPr>
          <w:p w14:paraId="53FE53E4" w14:textId="77777777" w:rsidR="00D71B94" w:rsidRPr="0053439C" w:rsidRDefault="00D71B94" w:rsidP="007E3239">
            <w:pPr>
              <w:pStyle w:val="TableText"/>
              <w:jc w:val="center"/>
            </w:pPr>
            <w:r w:rsidRPr="0053439C">
              <w:t>NO</w:t>
            </w:r>
          </w:p>
        </w:tc>
        <w:tc>
          <w:tcPr>
            <w:tcW w:w="1309" w:type="dxa"/>
            <w:tcBorders>
              <w:top w:val="single" w:sz="4" w:space="0" w:color="1B556B"/>
              <w:bottom w:val="single" w:sz="4" w:space="0" w:color="1B556B"/>
            </w:tcBorders>
            <w:shd w:val="clear" w:color="auto" w:fill="auto"/>
            <w:vAlign w:val="bottom"/>
          </w:tcPr>
          <w:p w14:paraId="5EE54478" w14:textId="77777777" w:rsidR="00D71B94" w:rsidRPr="0053439C" w:rsidRDefault="00D71B94" w:rsidP="007E3239">
            <w:pPr>
              <w:pStyle w:val="TableText"/>
              <w:jc w:val="center"/>
            </w:pPr>
            <w:r w:rsidRPr="0053439C">
              <w:t>0.23</w:t>
            </w:r>
          </w:p>
        </w:tc>
        <w:tc>
          <w:tcPr>
            <w:tcW w:w="1599" w:type="dxa"/>
            <w:tcBorders>
              <w:top w:val="single" w:sz="4" w:space="0" w:color="1B556B"/>
              <w:bottom w:val="single" w:sz="4" w:space="0" w:color="1B556B"/>
            </w:tcBorders>
            <w:shd w:val="clear" w:color="auto" w:fill="auto"/>
            <w:vAlign w:val="bottom"/>
          </w:tcPr>
          <w:p w14:paraId="1C8085FD" w14:textId="77777777" w:rsidR="00D71B94" w:rsidRPr="0053439C" w:rsidRDefault="00D71B94" w:rsidP="007E3239">
            <w:pPr>
              <w:pStyle w:val="TableText"/>
              <w:jc w:val="center"/>
            </w:pPr>
            <w:r w:rsidRPr="0053439C">
              <w:t>0.23</w:t>
            </w:r>
          </w:p>
        </w:tc>
        <w:tc>
          <w:tcPr>
            <w:tcW w:w="1379" w:type="dxa"/>
            <w:tcBorders>
              <w:top w:val="single" w:sz="4" w:space="0" w:color="1B556B"/>
              <w:bottom w:val="single" w:sz="4" w:space="0" w:color="1B556B"/>
            </w:tcBorders>
            <w:shd w:val="clear" w:color="auto" w:fill="auto"/>
            <w:vAlign w:val="center"/>
          </w:tcPr>
          <w:p w14:paraId="09A0FEF3" w14:textId="77777777" w:rsidR="00D71B94" w:rsidRPr="0053439C" w:rsidRDefault="00D71B94" w:rsidP="007E3239">
            <w:pPr>
              <w:pStyle w:val="TableText"/>
              <w:jc w:val="center"/>
            </w:pPr>
            <w:r w:rsidRPr="0053439C">
              <w:t>NA</w:t>
            </w:r>
          </w:p>
        </w:tc>
      </w:tr>
      <w:tr w:rsidR="00D71B94" w:rsidRPr="0053439C" w14:paraId="1FF8B777" w14:textId="77777777" w:rsidTr="007E3239">
        <w:tc>
          <w:tcPr>
            <w:tcW w:w="2764" w:type="dxa"/>
            <w:tcBorders>
              <w:top w:val="single" w:sz="4" w:space="0" w:color="1B556B"/>
              <w:bottom w:val="single" w:sz="4" w:space="0" w:color="1B556B"/>
            </w:tcBorders>
            <w:shd w:val="clear" w:color="auto" w:fill="auto"/>
          </w:tcPr>
          <w:p w14:paraId="32D53971" w14:textId="77777777" w:rsidR="00D71B94" w:rsidRPr="0053439C" w:rsidRDefault="00D71B94" w:rsidP="007E3239">
            <w:pPr>
              <w:pStyle w:val="TableText"/>
            </w:pPr>
            <w:r w:rsidRPr="0053439C">
              <w:t>PFCs</w:t>
            </w:r>
          </w:p>
        </w:tc>
        <w:tc>
          <w:tcPr>
            <w:tcW w:w="1454" w:type="dxa"/>
            <w:tcBorders>
              <w:top w:val="single" w:sz="4" w:space="0" w:color="1B556B"/>
              <w:bottom w:val="single" w:sz="4" w:space="0" w:color="1B556B"/>
            </w:tcBorders>
            <w:shd w:val="clear" w:color="auto" w:fill="auto"/>
            <w:vAlign w:val="bottom"/>
          </w:tcPr>
          <w:p w14:paraId="39097859" w14:textId="77777777" w:rsidR="00D71B94" w:rsidRPr="0053439C" w:rsidRDefault="00D71B94" w:rsidP="007E3239">
            <w:pPr>
              <w:pStyle w:val="TableText"/>
              <w:jc w:val="center"/>
            </w:pPr>
            <w:r w:rsidRPr="0053439C">
              <w:t>NO</w:t>
            </w:r>
          </w:p>
        </w:tc>
        <w:tc>
          <w:tcPr>
            <w:tcW w:w="1309" w:type="dxa"/>
            <w:tcBorders>
              <w:top w:val="single" w:sz="4" w:space="0" w:color="1B556B"/>
              <w:bottom w:val="single" w:sz="4" w:space="0" w:color="1B556B"/>
            </w:tcBorders>
            <w:shd w:val="clear" w:color="auto" w:fill="auto"/>
            <w:vAlign w:val="bottom"/>
          </w:tcPr>
          <w:p w14:paraId="3B5ABD75" w14:textId="77777777" w:rsidR="00D71B94" w:rsidRPr="0053439C" w:rsidRDefault="00D71B94" w:rsidP="007E3239">
            <w:pPr>
              <w:pStyle w:val="TableText"/>
              <w:jc w:val="center"/>
            </w:pPr>
            <w:r w:rsidRPr="0053439C">
              <w:t>NO</w:t>
            </w:r>
          </w:p>
        </w:tc>
        <w:tc>
          <w:tcPr>
            <w:tcW w:w="1599" w:type="dxa"/>
            <w:tcBorders>
              <w:top w:val="single" w:sz="4" w:space="0" w:color="1B556B"/>
              <w:bottom w:val="single" w:sz="4" w:space="0" w:color="1B556B"/>
            </w:tcBorders>
            <w:shd w:val="clear" w:color="auto" w:fill="auto"/>
            <w:vAlign w:val="center"/>
          </w:tcPr>
          <w:p w14:paraId="23230427" w14:textId="77777777" w:rsidR="00D71B94" w:rsidRPr="0053439C" w:rsidRDefault="00D71B94" w:rsidP="007E3239">
            <w:pPr>
              <w:pStyle w:val="TableText"/>
              <w:jc w:val="center"/>
            </w:pPr>
            <w:r w:rsidRPr="0053439C">
              <w:t>NA</w:t>
            </w:r>
          </w:p>
        </w:tc>
        <w:tc>
          <w:tcPr>
            <w:tcW w:w="1379" w:type="dxa"/>
            <w:tcBorders>
              <w:top w:val="single" w:sz="4" w:space="0" w:color="1B556B"/>
              <w:bottom w:val="single" w:sz="4" w:space="0" w:color="1B556B"/>
            </w:tcBorders>
            <w:shd w:val="clear" w:color="auto" w:fill="auto"/>
            <w:vAlign w:val="center"/>
          </w:tcPr>
          <w:p w14:paraId="11630D0F" w14:textId="77777777" w:rsidR="00D71B94" w:rsidRPr="0053439C" w:rsidRDefault="00D71B94" w:rsidP="007E3239">
            <w:pPr>
              <w:pStyle w:val="TableText"/>
              <w:jc w:val="center"/>
            </w:pPr>
            <w:r w:rsidRPr="0053439C">
              <w:t>NA</w:t>
            </w:r>
          </w:p>
        </w:tc>
      </w:tr>
      <w:tr w:rsidR="00D71B94" w:rsidRPr="0053439C" w14:paraId="0F68FA2E" w14:textId="77777777" w:rsidTr="007E3239">
        <w:tc>
          <w:tcPr>
            <w:tcW w:w="2764" w:type="dxa"/>
            <w:tcBorders>
              <w:top w:val="single" w:sz="4" w:space="0" w:color="1B556B"/>
              <w:bottom w:val="single" w:sz="4" w:space="0" w:color="1B556B"/>
            </w:tcBorders>
            <w:shd w:val="clear" w:color="auto" w:fill="auto"/>
          </w:tcPr>
          <w:p w14:paraId="23A320DB" w14:textId="77777777" w:rsidR="00D71B94" w:rsidRPr="0053439C" w:rsidRDefault="00D71B94" w:rsidP="007E3239">
            <w:pPr>
              <w:pStyle w:val="TableText"/>
            </w:pPr>
            <w:r w:rsidRPr="0053439C">
              <w:t>SF</w:t>
            </w:r>
            <w:r w:rsidRPr="0053439C">
              <w:rPr>
                <w:vertAlign w:val="subscript"/>
              </w:rPr>
              <w:t>6</w:t>
            </w:r>
          </w:p>
        </w:tc>
        <w:tc>
          <w:tcPr>
            <w:tcW w:w="1454" w:type="dxa"/>
            <w:tcBorders>
              <w:top w:val="single" w:sz="4" w:space="0" w:color="1B556B"/>
              <w:bottom w:val="single" w:sz="4" w:space="0" w:color="1B556B"/>
            </w:tcBorders>
            <w:shd w:val="clear" w:color="auto" w:fill="auto"/>
            <w:vAlign w:val="bottom"/>
          </w:tcPr>
          <w:p w14:paraId="4430361E" w14:textId="77777777" w:rsidR="00D71B94" w:rsidRPr="0053439C" w:rsidRDefault="00D71B94" w:rsidP="007E3239">
            <w:pPr>
              <w:pStyle w:val="TableText"/>
              <w:jc w:val="center"/>
            </w:pPr>
            <w:r w:rsidRPr="0053439C">
              <w:t>NO</w:t>
            </w:r>
          </w:p>
        </w:tc>
        <w:tc>
          <w:tcPr>
            <w:tcW w:w="1309" w:type="dxa"/>
            <w:tcBorders>
              <w:top w:val="single" w:sz="4" w:space="0" w:color="1B556B"/>
              <w:bottom w:val="single" w:sz="4" w:space="0" w:color="1B556B"/>
            </w:tcBorders>
            <w:shd w:val="clear" w:color="auto" w:fill="auto"/>
            <w:vAlign w:val="bottom"/>
          </w:tcPr>
          <w:p w14:paraId="0898FE75" w14:textId="77777777" w:rsidR="00D71B94" w:rsidRPr="0053439C" w:rsidRDefault="00D71B94" w:rsidP="007E3239">
            <w:pPr>
              <w:pStyle w:val="TableText"/>
              <w:jc w:val="center"/>
            </w:pPr>
            <w:r w:rsidRPr="0053439C">
              <w:t>NO</w:t>
            </w:r>
          </w:p>
        </w:tc>
        <w:tc>
          <w:tcPr>
            <w:tcW w:w="1599" w:type="dxa"/>
            <w:tcBorders>
              <w:top w:val="single" w:sz="4" w:space="0" w:color="1B556B"/>
              <w:bottom w:val="single" w:sz="4" w:space="0" w:color="1B556B"/>
            </w:tcBorders>
            <w:shd w:val="clear" w:color="auto" w:fill="auto"/>
            <w:vAlign w:val="center"/>
          </w:tcPr>
          <w:p w14:paraId="70669502" w14:textId="77777777" w:rsidR="00D71B94" w:rsidRPr="0053439C" w:rsidRDefault="00D71B94" w:rsidP="007E3239">
            <w:pPr>
              <w:pStyle w:val="TableText"/>
              <w:jc w:val="center"/>
            </w:pPr>
            <w:r w:rsidRPr="0053439C">
              <w:t>NA</w:t>
            </w:r>
          </w:p>
        </w:tc>
        <w:tc>
          <w:tcPr>
            <w:tcW w:w="1379" w:type="dxa"/>
            <w:tcBorders>
              <w:top w:val="single" w:sz="4" w:space="0" w:color="1B556B"/>
              <w:bottom w:val="single" w:sz="4" w:space="0" w:color="1B556B"/>
            </w:tcBorders>
            <w:shd w:val="clear" w:color="auto" w:fill="auto"/>
            <w:vAlign w:val="center"/>
          </w:tcPr>
          <w:p w14:paraId="2A6F6B02" w14:textId="77777777" w:rsidR="00D71B94" w:rsidRPr="0053439C" w:rsidRDefault="00D71B94" w:rsidP="007E3239">
            <w:pPr>
              <w:pStyle w:val="TableText"/>
              <w:jc w:val="center"/>
            </w:pPr>
            <w:r w:rsidRPr="0053439C">
              <w:t>NA</w:t>
            </w:r>
          </w:p>
        </w:tc>
      </w:tr>
      <w:tr w:rsidR="00D71B94" w:rsidRPr="0053439C" w14:paraId="5D9D4BED" w14:textId="77777777" w:rsidTr="007E3239">
        <w:tc>
          <w:tcPr>
            <w:tcW w:w="2764" w:type="dxa"/>
            <w:tcBorders>
              <w:top w:val="single" w:sz="4" w:space="0" w:color="1B556B"/>
              <w:bottom w:val="single" w:sz="4" w:space="0" w:color="1B556B"/>
            </w:tcBorders>
            <w:shd w:val="clear" w:color="auto" w:fill="auto"/>
          </w:tcPr>
          <w:p w14:paraId="49527101" w14:textId="77777777" w:rsidR="00D71B94" w:rsidRPr="0053439C" w:rsidRDefault="00D71B94" w:rsidP="007E3239">
            <w:pPr>
              <w:pStyle w:val="TableText"/>
            </w:pPr>
            <w:r w:rsidRPr="0053439C">
              <w:t>NF</w:t>
            </w:r>
            <w:r w:rsidRPr="0053439C">
              <w:rPr>
                <w:vertAlign w:val="subscript"/>
              </w:rPr>
              <w:t>3</w:t>
            </w:r>
          </w:p>
        </w:tc>
        <w:tc>
          <w:tcPr>
            <w:tcW w:w="1454" w:type="dxa"/>
            <w:tcBorders>
              <w:top w:val="single" w:sz="4" w:space="0" w:color="1B556B"/>
              <w:bottom w:val="single" w:sz="4" w:space="0" w:color="1B556B"/>
            </w:tcBorders>
            <w:shd w:val="clear" w:color="auto" w:fill="auto"/>
            <w:vAlign w:val="bottom"/>
          </w:tcPr>
          <w:p w14:paraId="7AC61956" w14:textId="77777777" w:rsidR="00D71B94" w:rsidRPr="0053439C" w:rsidRDefault="00D71B94" w:rsidP="007E3239">
            <w:pPr>
              <w:pStyle w:val="TableText"/>
              <w:jc w:val="center"/>
            </w:pPr>
            <w:r w:rsidRPr="0053439C">
              <w:t>NO</w:t>
            </w:r>
          </w:p>
        </w:tc>
        <w:tc>
          <w:tcPr>
            <w:tcW w:w="1309" w:type="dxa"/>
            <w:tcBorders>
              <w:top w:val="single" w:sz="4" w:space="0" w:color="1B556B"/>
              <w:bottom w:val="single" w:sz="4" w:space="0" w:color="1B556B"/>
            </w:tcBorders>
            <w:shd w:val="clear" w:color="auto" w:fill="auto"/>
            <w:vAlign w:val="bottom"/>
          </w:tcPr>
          <w:p w14:paraId="1CC7009D" w14:textId="77777777" w:rsidR="00D71B94" w:rsidRPr="0053439C" w:rsidRDefault="00D71B94" w:rsidP="007E3239">
            <w:pPr>
              <w:pStyle w:val="TableText"/>
              <w:jc w:val="center"/>
            </w:pPr>
            <w:r w:rsidRPr="0053439C">
              <w:t>NO</w:t>
            </w:r>
          </w:p>
        </w:tc>
        <w:tc>
          <w:tcPr>
            <w:tcW w:w="1599" w:type="dxa"/>
            <w:tcBorders>
              <w:top w:val="single" w:sz="4" w:space="0" w:color="1B556B"/>
              <w:bottom w:val="single" w:sz="4" w:space="0" w:color="1B556B"/>
            </w:tcBorders>
            <w:shd w:val="clear" w:color="auto" w:fill="auto"/>
            <w:vAlign w:val="center"/>
          </w:tcPr>
          <w:p w14:paraId="196F50FE" w14:textId="77777777" w:rsidR="00D71B94" w:rsidRPr="0053439C" w:rsidRDefault="00D71B94" w:rsidP="007E3239">
            <w:pPr>
              <w:pStyle w:val="TableText"/>
              <w:jc w:val="center"/>
            </w:pPr>
            <w:r w:rsidRPr="0053439C">
              <w:t>NA</w:t>
            </w:r>
          </w:p>
        </w:tc>
        <w:tc>
          <w:tcPr>
            <w:tcW w:w="1379" w:type="dxa"/>
            <w:tcBorders>
              <w:top w:val="single" w:sz="4" w:space="0" w:color="1B556B"/>
              <w:bottom w:val="single" w:sz="4" w:space="0" w:color="1B556B"/>
            </w:tcBorders>
            <w:shd w:val="clear" w:color="auto" w:fill="auto"/>
            <w:vAlign w:val="center"/>
          </w:tcPr>
          <w:p w14:paraId="5E82DE76" w14:textId="77777777" w:rsidR="00D71B94" w:rsidRPr="0053439C" w:rsidRDefault="00D71B94" w:rsidP="007E3239">
            <w:pPr>
              <w:pStyle w:val="TableText"/>
              <w:jc w:val="center"/>
            </w:pPr>
            <w:r w:rsidRPr="0053439C">
              <w:t>NA</w:t>
            </w:r>
          </w:p>
        </w:tc>
      </w:tr>
      <w:tr w:rsidR="00D71B94" w:rsidRPr="0053439C" w14:paraId="0B17741B" w14:textId="77777777" w:rsidTr="007E3239">
        <w:tc>
          <w:tcPr>
            <w:tcW w:w="2764" w:type="dxa"/>
            <w:tcBorders>
              <w:top w:val="single" w:sz="4" w:space="0" w:color="1B556B"/>
              <w:bottom w:val="single" w:sz="4" w:space="0" w:color="1B556B"/>
            </w:tcBorders>
            <w:shd w:val="clear" w:color="auto" w:fill="auto"/>
          </w:tcPr>
          <w:p w14:paraId="7676B4FC" w14:textId="77777777" w:rsidR="00D71B94" w:rsidRPr="00505B35" w:rsidRDefault="00D71B94" w:rsidP="007E3239">
            <w:pPr>
              <w:pStyle w:val="TableTextBold"/>
              <w:rPr>
                <w:color w:val="1B556B"/>
              </w:rPr>
            </w:pPr>
            <w:r w:rsidRPr="00505B35">
              <w:rPr>
                <w:color w:val="1B556B"/>
              </w:rPr>
              <w:t>Gross, all gases</w:t>
            </w:r>
          </w:p>
        </w:tc>
        <w:tc>
          <w:tcPr>
            <w:tcW w:w="1454" w:type="dxa"/>
            <w:tcBorders>
              <w:top w:val="single" w:sz="4" w:space="0" w:color="1B556B"/>
              <w:bottom w:val="single" w:sz="4" w:space="0" w:color="1B556B"/>
            </w:tcBorders>
            <w:shd w:val="clear" w:color="auto" w:fill="auto"/>
            <w:vAlign w:val="center"/>
          </w:tcPr>
          <w:p w14:paraId="430A2B59" w14:textId="77777777" w:rsidR="00D71B94" w:rsidRPr="00505B35" w:rsidRDefault="00D71B94" w:rsidP="007E3239">
            <w:pPr>
              <w:pStyle w:val="TableTextBold"/>
              <w:jc w:val="center"/>
              <w:rPr>
                <w:color w:val="1B556B"/>
              </w:rPr>
            </w:pPr>
            <w:r w:rsidRPr="00505B35">
              <w:rPr>
                <w:color w:val="1B556B"/>
              </w:rPr>
              <w:t>3.17</w:t>
            </w:r>
          </w:p>
        </w:tc>
        <w:tc>
          <w:tcPr>
            <w:tcW w:w="1309" w:type="dxa"/>
            <w:tcBorders>
              <w:top w:val="single" w:sz="4" w:space="0" w:color="1B556B"/>
              <w:bottom w:val="single" w:sz="4" w:space="0" w:color="1B556B"/>
            </w:tcBorders>
            <w:shd w:val="clear" w:color="auto" w:fill="auto"/>
            <w:vAlign w:val="center"/>
          </w:tcPr>
          <w:p w14:paraId="782DBC49" w14:textId="77777777" w:rsidR="00D71B94" w:rsidRPr="00505B35" w:rsidRDefault="00D71B94" w:rsidP="007E3239">
            <w:pPr>
              <w:pStyle w:val="TableTextBold"/>
              <w:jc w:val="center"/>
              <w:rPr>
                <w:color w:val="1B556B"/>
              </w:rPr>
            </w:pPr>
            <w:r w:rsidRPr="00505B35">
              <w:rPr>
                <w:color w:val="1B556B"/>
              </w:rPr>
              <w:t>4.18</w:t>
            </w:r>
          </w:p>
        </w:tc>
        <w:tc>
          <w:tcPr>
            <w:tcW w:w="1599" w:type="dxa"/>
            <w:tcBorders>
              <w:top w:val="single" w:sz="4" w:space="0" w:color="1B556B"/>
              <w:bottom w:val="single" w:sz="4" w:space="0" w:color="1B556B"/>
            </w:tcBorders>
            <w:shd w:val="clear" w:color="auto" w:fill="auto"/>
            <w:vAlign w:val="center"/>
          </w:tcPr>
          <w:p w14:paraId="0D9D3D40" w14:textId="77777777" w:rsidR="00D71B94" w:rsidRPr="00505B35" w:rsidRDefault="00D71B94" w:rsidP="007E3239">
            <w:pPr>
              <w:pStyle w:val="TableTextBold"/>
              <w:jc w:val="center"/>
              <w:rPr>
                <w:color w:val="1B556B"/>
              </w:rPr>
            </w:pPr>
            <w:r w:rsidRPr="00505B35">
              <w:rPr>
                <w:color w:val="1B556B"/>
              </w:rPr>
              <w:t>1.01</w:t>
            </w:r>
          </w:p>
        </w:tc>
        <w:tc>
          <w:tcPr>
            <w:tcW w:w="1379" w:type="dxa"/>
            <w:tcBorders>
              <w:top w:val="single" w:sz="4" w:space="0" w:color="1B556B"/>
              <w:bottom w:val="single" w:sz="4" w:space="0" w:color="1B556B"/>
            </w:tcBorders>
            <w:shd w:val="clear" w:color="auto" w:fill="auto"/>
            <w:vAlign w:val="center"/>
          </w:tcPr>
          <w:p w14:paraId="6443761F" w14:textId="77777777" w:rsidR="00D71B94" w:rsidRPr="00505B35" w:rsidRDefault="00D71B94" w:rsidP="007E3239">
            <w:pPr>
              <w:pStyle w:val="TableTextBold"/>
              <w:jc w:val="center"/>
              <w:rPr>
                <w:color w:val="1B556B"/>
              </w:rPr>
            </w:pPr>
            <w:r w:rsidRPr="00505B35">
              <w:rPr>
                <w:color w:val="1B556B"/>
              </w:rPr>
              <w:t>31.9</w:t>
            </w:r>
          </w:p>
        </w:tc>
      </w:tr>
    </w:tbl>
    <w:p w14:paraId="1DCDF86B" w14:textId="77777777" w:rsidR="00D71B94" w:rsidRPr="0053439C" w:rsidRDefault="00D71B94" w:rsidP="00D71B94">
      <w:pPr>
        <w:pStyle w:val="Noteundertable"/>
      </w:pPr>
      <w:r w:rsidRPr="0053439C">
        <w:rPr>
          <w:b/>
        </w:rPr>
        <w:t xml:space="preserve">Note: </w:t>
      </w:r>
      <w:r w:rsidRPr="0053439C">
        <w:rPr>
          <w:b/>
        </w:rPr>
        <w:tab/>
      </w:r>
      <w:r w:rsidRPr="0053439C">
        <w:t>Emissions from the Land Use, Land-Use Change and Forestry sector are not estimated for Tokelau.</w:t>
      </w:r>
      <w:r w:rsidRPr="0053439C">
        <w:rPr>
          <w:b/>
        </w:rPr>
        <w:t xml:space="preserve"> </w:t>
      </w:r>
      <w:r w:rsidRPr="0053439C">
        <w:t>The percentage change for hydrofluorocarbons (HFCs) is not applicable (NA) because HFC production or use was not occurring (NO) in 1990. Columns may not total due to rounding. Presented percentages are calculated from unrounded values.</w:t>
      </w:r>
    </w:p>
    <w:bookmarkEnd w:id="2521"/>
    <w:p w14:paraId="01BFD4BA" w14:textId="77777777" w:rsidR="00D71B94" w:rsidRPr="0053439C" w:rsidRDefault="00D71B94" w:rsidP="00D71B94">
      <w:pPr>
        <w:pStyle w:val="BodyText"/>
        <w:keepNext/>
      </w:pPr>
      <w:r w:rsidRPr="0053439C">
        <w:lastRenderedPageBreak/>
        <w:t>Figure 8.1.4 shows emission trends by sector for Tokelau.</w:t>
      </w:r>
    </w:p>
    <w:p w14:paraId="37508B5C" w14:textId="77777777" w:rsidR="00D71B94" w:rsidRPr="0053439C" w:rsidRDefault="00D71B94" w:rsidP="00F67631">
      <w:pPr>
        <w:pStyle w:val="Figure"/>
        <w:rPr>
          <w:rFonts w:eastAsia="Calibri"/>
        </w:rPr>
      </w:pPr>
      <w:bookmarkStart w:id="2522" w:name="_Toc36292827"/>
      <w:bookmarkStart w:id="2523" w:name="_Toc64972934"/>
      <w:bookmarkStart w:id="2524" w:name="_Toc68786691"/>
      <w:bookmarkStart w:id="2525" w:name="_Toc99696062"/>
      <w:r w:rsidRPr="0053439C">
        <w:rPr>
          <w:rFonts w:eastAsia="Calibri"/>
        </w:rPr>
        <w:t xml:space="preserve">Figure 8.1.4 </w:t>
      </w:r>
      <w:r w:rsidRPr="0053439C">
        <w:rPr>
          <w:rFonts w:eastAsia="Calibri"/>
        </w:rPr>
        <w:tab/>
        <w:t>Emissions by sector for Tokelau (kt CO</w:t>
      </w:r>
      <w:r w:rsidRPr="0053439C">
        <w:rPr>
          <w:rFonts w:eastAsia="Calibri"/>
          <w:vertAlign w:val="subscript"/>
        </w:rPr>
        <w:t>2</w:t>
      </w:r>
      <w:r w:rsidRPr="0053439C">
        <w:rPr>
          <w:rFonts w:eastAsia="Calibri"/>
        </w:rPr>
        <w:t xml:space="preserve">-e) from 1990 to </w:t>
      </w:r>
      <w:bookmarkEnd w:id="2522"/>
      <w:bookmarkEnd w:id="2523"/>
      <w:bookmarkEnd w:id="2524"/>
      <w:r w:rsidRPr="0053439C">
        <w:rPr>
          <w:rFonts w:eastAsia="Calibri"/>
        </w:rPr>
        <w:t>2020</w:t>
      </w:r>
      <w:bookmarkEnd w:id="2525"/>
    </w:p>
    <w:p w14:paraId="27FF0D36" w14:textId="77777777" w:rsidR="00D71B94" w:rsidRPr="0053439C" w:rsidRDefault="004B48CC" w:rsidP="00D71B94">
      <w:pPr>
        <w:pStyle w:val="BodyText"/>
        <w:spacing w:before="80" w:after="60"/>
        <w:rPr>
          <w:rFonts w:eastAsia="Calibri"/>
        </w:rPr>
      </w:pPr>
      <w:r>
        <w:rPr>
          <w:rFonts w:eastAsia="Calibri"/>
          <w:noProof/>
        </w:rPr>
        <w:pict w14:anchorId="66AF9231">
          <v:shape id="_x0000_i1138" type="#_x0000_t75" style="width:425.3pt;height:208.45pt;visibility:visible;mso-wrap-style:square">
            <v:imagedata r:id="rId242" o:title=""/>
          </v:shape>
        </w:pict>
      </w:r>
    </w:p>
    <w:p w14:paraId="7EAA915A" w14:textId="77777777" w:rsidR="00D71B94" w:rsidRPr="0053439C" w:rsidRDefault="00D71B94" w:rsidP="00D71B94">
      <w:pPr>
        <w:pStyle w:val="Heading5"/>
        <w:spacing w:before="120"/>
      </w:pPr>
      <w:r w:rsidRPr="0053439C">
        <w:t>2019–2020</w:t>
      </w:r>
    </w:p>
    <w:p w14:paraId="7097277F" w14:textId="77777777" w:rsidR="00D71B94" w:rsidRPr="0053439C" w:rsidRDefault="00D71B94" w:rsidP="00D71B94">
      <w:pPr>
        <w:pStyle w:val="BodyText"/>
      </w:pPr>
      <w:r w:rsidRPr="0053439C">
        <w:t>Total Tokelau emissions in 2020 were 0.12 kt CO</w:t>
      </w:r>
      <w:r w:rsidRPr="0053439C">
        <w:rPr>
          <w:vertAlign w:val="subscript"/>
        </w:rPr>
        <w:t>2</w:t>
      </w:r>
      <w:r w:rsidRPr="0053439C">
        <w:t>-e (2.8 per cent) lower than emissions in 2019. The lower emissions are largely the result of decreases in CO</w:t>
      </w:r>
      <w:r w:rsidRPr="0053439C">
        <w:rPr>
          <w:vertAlign w:val="subscript"/>
        </w:rPr>
        <w:t>2</w:t>
      </w:r>
      <w:r w:rsidRPr="0053439C">
        <w:t xml:space="preserve"> emissions in the </w:t>
      </w:r>
      <w:r w:rsidRPr="0053439C">
        <w:rPr>
          <w:i/>
          <w:iCs/>
        </w:rPr>
        <w:t>Domestic navigation</w:t>
      </w:r>
      <w:r w:rsidRPr="0053439C">
        <w:t xml:space="preserve"> category, due </w:t>
      </w:r>
      <w:r w:rsidRPr="00D46DCA">
        <w:t>to</w:t>
      </w:r>
      <w:r w:rsidRPr="0053439C">
        <w:t xml:space="preserve"> decreased shipping within Tokelau. This decrease is largely the result of lockdowns occurring due to the COVID-19 pandemic. </w:t>
      </w:r>
    </w:p>
    <w:p w14:paraId="71D33270" w14:textId="77777777" w:rsidR="00D71B94" w:rsidRPr="00D46DCA" w:rsidRDefault="00D71B94" w:rsidP="00D71B94">
      <w:pPr>
        <w:pStyle w:val="Heading5"/>
      </w:pPr>
      <w:r w:rsidRPr="0053439C">
        <w:t>Key categories</w:t>
      </w:r>
    </w:p>
    <w:p w14:paraId="4E42E3E7" w14:textId="77777777" w:rsidR="00D71B94" w:rsidRPr="0053439C" w:rsidRDefault="00D71B94" w:rsidP="00D71B94">
      <w:pPr>
        <w:pStyle w:val="BodyText"/>
        <w:rPr>
          <w:b/>
        </w:rPr>
      </w:pPr>
      <w:r w:rsidRPr="0053439C">
        <w:t xml:space="preserve">Emission categories from Tokelau have been included in the key category analysis, along with all categories reported in New Zealand’s </w:t>
      </w:r>
      <w:r w:rsidRPr="00D46DCA">
        <w:t>inventory</w:t>
      </w:r>
      <w:r w:rsidRPr="0053439C">
        <w:t>. None of the emission categories from Tokelau are key categories (either level or trend) in the 2022 submission.</w:t>
      </w:r>
    </w:p>
    <w:p w14:paraId="772E0070" w14:textId="77777777" w:rsidR="00D71B94" w:rsidRPr="00D46DCA" w:rsidRDefault="00D71B94" w:rsidP="00D71B94">
      <w:pPr>
        <w:pStyle w:val="Heading4"/>
      </w:pPr>
      <w:r w:rsidRPr="0053439C">
        <w:t>Reporting arrangements</w:t>
      </w:r>
    </w:p>
    <w:p w14:paraId="3AD3BBA1" w14:textId="77777777" w:rsidR="00D71B94" w:rsidRPr="0053439C" w:rsidRDefault="00D71B94" w:rsidP="00D71B94">
      <w:pPr>
        <w:pStyle w:val="BodyText"/>
      </w:pPr>
      <w:r w:rsidRPr="0053439C">
        <w:t xml:space="preserve">Including Tokelau in New Zealand’s inventory reporting is a gradual process. This requires building the expert capacity and establishing connections with the various organisations and businesses in Tokelau that participate in data collection and processing. Estimates include emissions from the largest Tokelau contributors, which are the Energy, IPPU, Agriculture and Waste sectors, using Tier 1 methodologies with Intergovernmental Panel on Climate Change (IPCC) default emission factors for all </w:t>
      </w:r>
      <w:r w:rsidRPr="00D46DCA">
        <w:t>reported</w:t>
      </w:r>
      <w:r w:rsidRPr="0053439C">
        <w:t xml:space="preserve"> categories (IPCC, 2006a). The Land Use,</w:t>
      </w:r>
      <w:r>
        <w:t> </w:t>
      </w:r>
      <w:r w:rsidRPr="0053439C">
        <w:t>Land-Use Change and Forestry (LULUCF) sector is not estimated because Tokelau has no</w:t>
      </w:r>
      <w:r>
        <w:t> </w:t>
      </w:r>
      <w:r w:rsidRPr="0053439C">
        <w:t xml:space="preserve">planted or managed forests, and any emissions are expected to be negligible. </w:t>
      </w:r>
    </w:p>
    <w:p w14:paraId="67D1DB8A" w14:textId="139AD13E" w:rsidR="00D71B94" w:rsidRPr="0053439C" w:rsidRDefault="00D71B94" w:rsidP="00D71B94">
      <w:pPr>
        <w:pStyle w:val="BodyText"/>
      </w:pPr>
      <w:r w:rsidRPr="0053439C">
        <w:t>New Zealand and Tokelau signed a Memorandum of Understanding (MoU) on 18 January 2018</w:t>
      </w:r>
      <w:r w:rsidR="00E627E3">
        <w:t xml:space="preserve"> </w:t>
      </w:r>
      <w:r w:rsidRPr="0053439C">
        <w:t xml:space="preserve">to establish the relationship between Tokelau and New Zealand regarding the governance of international climate change reporting relating to the inclusion of Tokelau in New Zealand’s national inventory system. According to the MoU, both </w:t>
      </w:r>
      <w:r w:rsidRPr="00E55C7A">
        <w:t>New</w:t>
      </w:r>
      <w:r w:rsidRPr="0053439C">
        <w:t xml:space="preserve"> Zealand’s central inventory agency (the Ministry for the Environment) and Tokelau’s Ministry of Climate, Oceans and Resilience, formerly known as the Climate Change Division within the Office of the Council for</w:t>
      </w:r>
      <w:r w:rsidR="00E627E3">
        <w:t> </w:t>
      </w:r>
      <w:r w:rsidRPr="0053439C">
        <w:t>the Ongoing Government of Tokelau, have roles in inventory reporting.</w:t>
      </w:r>
    </w:p>
    <w:p w14:paraId="78E024FB" w14:textId="77777777" w:rsidR="00D71B94" w:rsidRPr="0053439C" w:rsidRDefault="00D71B94" w:rsidP="00D71B94">
      <w:pPr>
        <w:pStyle w:val="BodyText"/>
        <w:keepNext/>
      </w:pPr>
      <w:r w:rsidRPr="0053439C">
        <w:lastRenderedPageBreak/>
        <w:t xml:space="preserve">The Ministry for the Environment will take </w:t>
      </w:r>
      <w:r w:rsidRPr="00E55C7A">
        <w:t>responsibility</w:t>
      </w:r>
      <w:r w:rsidRPr="0053439C">
        <w:t xml:space="preserve"> for the following:</w:t>
      </w:r>
    </w:p>
    <w:p w14:paraId="49F7A7F2" w14:textId="77777777" w:rsidR="00D71B94" w:rsidRPr="0053439C" w:rsidRDefault="00D71B94" w:rsidP="00D71B94">
      <w:pPr>
        <w:pStyle w:val="Bullet"/>
      </w:pPr>
      <w:r w:rsidRPr="00A74496">
        <w:t>coordination</w:t>
      </w:r>
      <w:r w:rsidRPr="0053439C">
        <w:t xml:space="preserve"> of communications between New Zealand and Tokelau officials, as well as communications with project consultants in New Zealand and overseas</w:t>
      </w:r>
    </w:p>
    <w:p w14:paraId="3CF2C502" w14:textId="77777777" w:rsidR="00D71B94" w:rsidRPr="0053439C" w:rsidRDefault="00D71B94" w:rsidP="00D71B94">
      <w:pPr>
        <w:pStyle w:val="Bullet"/>
      </w:pPr>
      <w:r w:rsidRPr="0053439C">
        <w:t>coordination with other New Zealand government agencies participating in the inventory production, should their consulting or advice be required for the project</w:t>
      </w:r>
    </w:p>
    <w:p w14:paraId="487CAC40" w14:textId="77777777" w:rsidR="00D71B94" w:rsidRPr="0053439C" w:rsidRDefault="00D71B94" w:rsidP="00D71B94">
      <w:pPr>
        <w:pStyle w:val="Bullet"/>
      </w:pPr>
      <w:r w:rsidRPr="0053439C">
        <w:t>initial consultation on developing a national GHG inventory system for Tokelau, together with the relevant instructive materials, principles, protocols and procedures of Tier 1 statistics, and methodological guidance for the inventory</w:t>
      </w:r>
    </w:p>
    <w:p w14:paraId="71E8FAE0" w14:textId="57008081" w:rsidR="00D71B94" w:rsidRPr="0053439C" w:rsidRDefault="00D71B94" w:rsidP="00D71B94">
      <w:pPr>
        <w:pStyle w:val="Bullet"/>
      </w:pPr>
      <w:r w:rsidRPr="0053439C">
        <w:t>technical advice on various aspects of the project regarding the subject matter, the legal background (the Convention reporting guidance), software issues, and the quality-assurance and quality-control issues associated with changes in the national inventory</w:t>
      </w:r>
      <w:r w:rsidR="00E627E3">
        <w:t xml:space="preserve"> </w:t>
      </w:r>
      <w:r w:rsidRPr="0053439C">
        <w:t>system</w:t>
      </w:r>
    </w:p>
    <w:p w14:paraId="11ED453C" w14:textId="77777777" w:rsidR="00D71B94" w:rsidRPr="0053439C" w:rsidRDefault="00D71B94" w:rsidP="00D71B94">
      <w:pPr>
        <w:pStyle w:val="Bullet"/>
      </w:pPr>
      <w:r w:rsidRPr="0053439C">
        <w:t>production of the complete set of the data tables in agreed formats</w:t>
      </w:r>
    </w:p>
    <w:p w14:paraId="5685CAF7" w14:textId="77777777" w:rsidR="00D71B94" w:rsidRPr="0053439C" w:rsidRDefault="00D71B94" w:rsidP="00D71B94">
      <w:pPr>
        <w:pStyle w:val="Bullet"/>
      </w:pPr>
      <w:r w:rsidRPr="0053439C">
        <w:t>final integration of the Tokelau GHG inventory component into the joint inventory submission to the Convention</w:t>
      </w:r>
    </w:p>
    <w:p w14:paraId="65C83A19" w14:textId="77777777" w:rsidR="00D71B94" w:rsidRPr="0053439C" w:rsidRDefault="00D71B94" w:rsidP="00D71B94">
      <w:pPr>
        <w:pStyle w:val="Bullet"/>
      </w:pPr>
      <w:r w:rsidRPr="0053439C">
        <w:t>submitting the joint inventory to the Convention and coordinating communication with the Convention associated with the inventory submission and review</w:t>
      </w:r>
    </w:p>
    <w:p w14:paraId="4D69BF27" w14:textId="77777777" w:rsidR="00D71B94" w:rsidRPr="0053439C" w:rsidRDefault="00D71B94" w:rsidP="00D71B94">
      <w:pPr>
        <w:pStyle w:val="Bullet"/>
      </w:pPr>
      <w:r w:rsidRPr="0053439C">
        <w:t>publication of the joint inventory report and the CRF tables online, as well as all supplementary materials.</w:t>
      </w:r>
    </w:p>
    <w:p w14:paraId="6CD70E7C" w14:textId="77777777" w:rsidR="00D71B94" w:rsidRPr="0053439C" w:rsidRDefault="00D71B94" w:rsidP="00D71B94">
      <w:pPr>
        <w:pStyle w:val="BodyText"/>
      </w:pPr>
      <w:r w:rsidRPr="0053439C">
        <w:t>The Ministry of Climate, Oceans and Resilience will take responsibility for the following:</w:t>
      </w:r>
    </w:p>
    <w:p w14:paraId="1153AAA7" w14:textId="77777777" w:rsidR="00D71B94" w:rsidRPr="0053439C" w:rsidRDefault="00D71B94" w:rsidP="00D71B94">
      <w:pPr>
        <w:pStyle w:val="Bullet"/>
      </w:pPr>
      <w:r w:rsidRPr="0053439C">
        <w:t>coordinating the project implementation in Tokelau by communicating with the relevant agencies, organisations and individuals involved in Tokelau’s GHG inventory; coordinating their efforts and delegating responsibilities to ensure sufficient information and support are provided to those agencies, organisations and individuals to enable the GHG inventory production</w:t>
      </w:r>
    </w:p>
    <w:p w14:paraId="51C68908" w14:textId="77777777" w:rsidR="00D71B94" w:rsidRPr="0053439C" w:rsidRDefault="00D71B94" w:rsidP="00D71B94">
      <w:pPr>
        <w:pStyle w:val="Bullet"/>
      </w:pPr>
      <w:r w:rsidRPr="0053439C">
        <w:t>providing timely advice on all cultural aspects of the project and helping to resolve any matters associated with potential cultural issues</w:t>
      </w:r>
    </w:p>
    <w:p w14:paraId="4883D2DE" w14:textId="77777777" w:rsidR="00D71B94" w:rsidRPr="0053439C" w:rsidRDefault="00D71B94" w:rsidP="00D71B94">
      <w:pPr>
        <w:pStyle w:val="Bullet"/>
      </w:pPr>
      <w:r w:rsidRPr="0053439C">
        <w:t>ensuring that the agreed project schedule is fully complied with, and the relevant timeframes are met, which includes submission of Tokelau’s GHG data and information to New Zealand’s national inventory compiler within the agreed timeframe</w:t>
      </w:r>
    </w:p>
    <w:p w14:paraId="043D7C1F" w14:textId="77777777" w:rsidR="00D71B94" w:rsidRPr="0053439C" w:rsidRDefault="00D71B94" w:rsidP="00D71B94">
      <w:pPr>
        <w:pStyle w:val="Bullet"/>
      </w:pPr>
      <w:r w:rsidRPr="0053439C">
        <w:t xml:space="preserve">coordinating Tokelau’s efforts in activity data collection for the inventory reporting and data processing </w:t>
      </w:r>
    </w:p>
    <w:p w14:paraId="45CF7333" w14:textId="77777777" w:rsidR="00D71B94" w:rsidRPr="0053439C" w:rsidRDefault="00D71B94" w:rsidP="00D71B94">
      <w:pPr>
        <w:pStyle w:val="Bullet"/>
      </w:pPr>
      <w:r w:rsidRPr="0053439C">
        <w:t xml:space="preserve">producing a peer-reviewed draft of the Tokelau chapter based on the 2006 IPCC Guidelines and the Convention reporting guidelines, and in compliance with the Convention inventory quality principles and good practices. </w:t>
      </w:r>
    </w:p>
    <w:p w14:paraId="42833F5F" w14:textId="77777777" w:rsidR="00D71B94" w:rsidRPr="0053439C" w:rsidRDefault="00D71B94" w:rsidP="00D71B94">
      <w:pPr>
        <w:pStyle w:val="BodyText"/>
      </w:pPr>
      <w:r w:rsidRPr="0053439C">
        <w:t>Both the Ministry for the Environment and Ministry of Climate, Oceans and Resilience are responsible for adhering to the principles and protocols for producers of Tier 1 statistics.</w:t>
      </w:r>
    </w:p>
    <w:p w14:paraId="4023032B" w14:textId="77777777" w:rsidR="00D71B94" w:rsidRPr="0053439C" w:rsidRDefault="00D71B94" w:rsidP="00D71B94">
      <w:pPr>
        <w:pStyle w:val="Heading4"/>
      </w:pPr>
      <w:r w:rsidRPr="0053439C">
        <w:t>Methodological issues</w:t>
      </w:r>
    </w:p>
    <w:p w14:paraId="1A3D526E" w14:textId="77777777" w:rsidR="00D71B94" w:rsidRPr="0053439C" w:rsidRDefault="00D71B94" w:rsidP="00D71B94">
      <w:pPr>
        <w:pStyle w:val="Heading5"/>
        <w:spacing w:before="120"/>
      </w:pPr>
      <w:r w:rsidRPr="0053439C">
        <w:t>Methods and emission factors</w:t>
      </w:r>
    </w:p>
    <w:p w14:paraId="3D8FF637" w14:textId="77777777" w:rsidR="00D71B94" w:rsidRPr="0053439C" w:rsidRDefault="00D71B94" w:rsidP="00D71B94">
      <w:pPr>
        <w:pStyle w:val="BodyText"/>
      </w:pPr>
      <w:r w:rsidRPr="0053439C">
        <w:t xml:space="preserve">Tokelau is making its second steps in GHG inventory reporting. Consequently, Tier 1 methodological approaches with default emission factors were used for estimating emissions from all Tokelau source categories. </w:t>
      </w:r>
    </w:p>
    <w:p w14:paraId="56E574EB" w14:textId="77777777" w:rsidR="00D71B94" w:rsidRPr="0053439C" w:rsidRDefault="00D71B94" w:rsidP="00D71B94">
      <w:pPr>
        <w:pStyle w:val="BodyText"/>
        <w:spacing w:before="100" w:after="100"/>
      </w:pPr>
      <w:r w:rsidRPr="0053439C">
        <w:lastRenderedPageBreak/>
        <w:t xml:space="preserve">Tokelau is in a different climate zone from New Zealand and has a different lifestyle and different technologies. There are also differences in the scale of operations, especially in the Agriculture sector, that do not allow applying New Zealand’s definition of a farm to Tokelau. For estimating emissions from Tokelau, the 2006 IPCC default emission factors for Oceania with a warm climate are used, whereas New Zealand uses default emission factors associated with a temperate climate. </w:t>
      </w:r>
    </w:p>
    <w:p w14:paraId="3BC34C83" w14:textId="77777777" w:rsidR="00D71B94" w:rsidRPr="0053439C" w:rsidRDefault="00D71B94" w:rsidP="00D71B94">
      <w:pPr>
        <w:pStyle w:val="BodyText"/>
        <w:spacing w:before="100" w:after="100"/>
      </w:pPr>
      <w:r w:rsidRPr="0053439C">
        <w:t>The calorific values for fuels used for Tokelau are also different from those used for New Zealand because those fuels are coming from different sources. Relevant emission factors used for estimating emissions and references to the methods are included in sections 8.2 to 8.5 dedicated to the inventory sectors reported by Tokelau.</w:t>
      </w:r>
    </w:p>
    <w:p w14:paraId="4E5B2211" w14:textId="77777777" w:rsidR="00D71B94" w:rsidRPr="0053439C" w:rsidRDefault="00D71B94" w:rsidP="00D71B94">
      <w:pPr>
        <w:pStyle w:val="Heading5"/>
      </w:pPr>
      <w:r w:rsidRPr="0053439C">
        <w:t>Activity data</w:t>
      </w:r>
    </w:p>
    <w:p w14:paraId="1936D645" w14:textId="77777777" w:rsidR="00D71B94" w:rsidRPr="0053439C" w:rsidRDefault="00D71B94" w:rsidP="00D71B94">
      <w:pPr>
        <w:pStyle w:val="BodyText"/>
        <w:spacing w:before="100" w:after="100"/>
      </w:pPr>
      <w:r w:rsidRPr="0053439C">
        <w:t xml:space="preserve">The Tokelau National Statistics Office collects and processes activity data from Tokelau for inventory preparation. Table 8.1.2 contains the key sources of the activity data from Tokelau used in Tokelau’s GHG inventory. </w:t>
      </w:r>
    </w:p>
    <w:p w14:paraId="67C6E4B7" w14:textId="77777777" w:rsidR="00D71B94" w:rsidRPr="0053439C" w:rsidRDefault="00D71B94" w:rsidP="00D71B94">
      <w:pPr>
        <w:pStyle w:val="Table"/>
      </w:pPr>
      <w:bookmarkStart w:id="2526" w:name="_Toc5269595"/>
      <w:bookmarkStart w:id="2527" w:name="_Toc36224676"/>
      <w:bookmarkStart w:id="2528" w:name="_Toc68786562"/>
      <w:bookmarkStart w:id="2529" w:name="_Toc99659357"/>
      <w:r w:rsidRPr="0053439C">
        <w:t>Table 8.1.2</w:t>
      </w:r>
      <w:r w:rsidRPr="0053439C">
        <w:tab/>
        <w:t>Key sources for activity data in Tokelau</w:t>
      </w:r>
      <w:bookmarkEnd w:id="2526"/>
      <w:bookmarkEnd w:id="2527"/>
      <w:bookmarkEnd w:id="2528"/>
      <w:bookmarkEnd w:id="2529"/>
    </w:p>
    <w:tbl>
      <w:tblPr>
        <w:tblW w:w="8505" w:type="dxa"/>
        <w:tblInd w:w="108" w:type="dxa"/>
        <w:tblBorders>
          <w:top w:val="single" w:sz="4" w:space="0" w:color="365F91"/>
          <w:bottom w:val="single" w:sz="4" w:space="0" w:color="365F91"/>
          <w:insideH w:val="single" w:sz="4" w:space="0" w:color="365F91"/>
        </w:tblBorders>
        <w:tblLayout w:type="fixed"/>
        <w:tblCellMar>
          <w:left w:w="85" w:type="dxa"/>
          <w:right w:w="85" w:type="dxa"/>
        </w:tblCellMar>
        <w:tblLook w:val="04A0" w:firstRow="1" w:lastRow="0" w:firstColumn="1" w:lastColumn="0" w:noHBand="0" w:noVBand="1"/>
      </w:tblPr>
      <w:tblGrid>
        <w:gridCol w:w="567"/>
        <w:gridCol w:w="1521"/>
        <w:gridCol w:w="2709"/>
        <w:gridCol w:w="3708"/>
      </w:tblGrid>
      <w:tr w:rsidR="00D71B94" w:rsidRPr="0053439C" w14:paraId="5B55F682" w14:textId="77777777" w:rsidTr="007E3239">
        <w:trPr>
          <w:tblHeader/>
        </w:trPr>
        <w:tc>
          <w:tcPr>
            <w:tcW w:w="567" w:type="dxa"/>
            <w:tcBorders>
              <w:top w:val="single" w:sz="4" w:space="0" w:color="1B556B"/>
              <w:bottom w:val="single" w:sz="4" w:space="0" w:color="1B556B"/>
            </w:tcBorders>
            <w:shd w:val="clear" w:color="auto" w:fill="1B556B"/>
            <w:vAlign w:val="bottom"/>
          </w:tcPr>
          <w:p w14:paraId="54411D8A" w14:textId="77777777" w:rsidR="00D71B94" w:rsidRPr="0053439C" w:rsidRDefault="00D71B94" w:rsidP="007E3239">
            <w:pPr>
              <w:pStyle w:val="TableTextBold"/>
              <w:keepNext/>
              <w:rPr>
                <w:rFonts w:eastAsia="Calibri" w:cs="Calibri"/>
                <w:bCs/>
                <w:noProof w:val="0"/>
                <w:color w:val="FFFFFF"/>
                <w:szCs w:val="16"/>
              </w:rPr>
            </w:pPr>
            <w:r w:rsidRPr="0053439C">
              <w:rPr>
                <w:rFonts w:eastAsia="Calibri" w:cs="Calibri"/>
                <w:bCs/>
                <w:noProof w:val="0"/>
                <w:color w:val="FFFFFF"/>
                <w:szCs w:val="16"/>
              </w:rPr>
              <w:t>Item</w:t>
            </w:r>
          </w:p>
        </w:tc>
        <w:tc>
          <w:tcPr>
            <w:tcW w:w="1521" w:type="dxa"/>
            <w:tcBorders>
              <w:top w:val="single" w:sz="4" w:space="0" w:color="1B556B"/>
              <w:bottom w:val="single" w:sz="4" w:space="0" w:color="1B556B"/>
            </w:tcBorders>
            <w:shd w:val="clear" w:color="auto" w:fill="1B556B"/>
            <w:vAlign w:val="bottom"/>
          </w:tcPr>
          <w:p w14:paraId="611727E6" w14:textId="77777777" w:rsidR="00D71B94" w:rsidRPr="0053439C" w:rsidRDefault="00D71B94" w:rsidP="007E3239">
            <w:pPr>
              <w:pStyle w:val="TableTextBold"/>
              <w:keepNext/>
              <w:rPr>
                <w:rFonts w:eastAsia="Calibri" w:cs="Calibri"/>
                <w:bCs/>
                <w:noProof w:val="0"/>
                <w:color w:val="FFFFFF"/>
                <w:szCs w:val="16"/>
              </w:rPr>
            </w:pPr>
            <w:r w:rsidRPr="0053439C">
              <w:rPr>
                <w:rFonts w:eastAsia="Calibri" w:cs="Calibri"/>
                <w:bCs/>
                <w:noProof w:val="0"/>
                <w:color w:val="FFFFFF"/>
                <w:szCs w:val="16"/>
              </w:rPr>
              <w:t>Name/abbreviation</w:t>
            </w:r>
          </w:p>
        </w:tc>
        <w:tc>
          <w:tcPr>
            <w:tcW w:w="2709" w:type="dxa"/>
            <w:tcBorders>
              <w:top w:val="single" w:sz="4" w:space="0" w:color="1B556B"/>
              <w:bottom w:val="single" w:sz="4" w:space="0" w:color="1B556B"/>
            </w:tcBorders>
            <w:shd w:val="clear" w:color="auto" w:fill="1B556B"/>
            <w:vAlign w:val="bottom"/>
          </w:tcPr>
          <w:p w14:paraId="50628A8E" w14:textId="77777777" w:rsidR="00D71B94" w:rsidRPr="0053439C" w:rsidRDefault="00D71B94" w:rsidP="007E3239">
            <w:pPr>
              <w:pStyle w:val="TableTextBold"/>
              <w:keepNext/>
              <w:rPr>
                <w:rFonts w:eastAsia="Calibri" w:cs="Calibri"/>
                <w:bCs/>
                <w:noProof w:val="0"/>
                <w:color w:val="FFFFFF"/>
                <w:szCs w:val="16"/>
              </w:rPr>
            </w:pPr>
            <w:r w:rsidRPr="0053439C">
              <w:rPr>
                <w:rFonts w:eastAsia="Calibri" w:cs="Calibri"/>
                <w:bCs/>
                <w:noProof w:val="0"/>
                <w:color w:val="FFFFFF"/>
                <w:szCs w:val="16"/>
              </w:rPr>
              <w:t>Explanation</w:t>
            </w:r>
          </w:p>
        </w:tc>
        <w:tc>
          <w:tcPr>
            <w:tcW w:w="3708" w:type="dxa"/>
            <w:tcBorders>
              <w:top w:val="single" w:sz="4" w:space="0" w:color="1B556B"/>
              <w:bottom w:val="single" w:sz="4" w:space="0" w:color="1B556B"/>
            </w:tcBorders>
            <w:shd w:val="clear" w:color="auto" w:fill="1B556B"/>
            <w:vAlign w:val="bottom"/>
          </w:tcPr>
          <w:p w14:paraId="6F6A47EB" w14:textId="77777777" w:rsidR="00D71B94" w:rsidRPr="0053439C" w:rsidRDefault="00D71B94" w:rsidP="007E3239">
            <w:pPr>
              <w:pStyle w:val="TableTextBold"/>
              <w:keepNext/>
              <w:rPr>
                <w:rFonts w:eastAsia="Calibri" w:cs="Calibri"/>
                <w:bCs/>
                <w:noProof w:val="0"/>
                <w:color w:val="FFFFFF"/>
                <w:szCs w:val="16"/>
              </w:rPr>
            </w:pPr>
            <w:r w:rsidRPr="0053439C">
              <w:rPr>
                <w:rFonts w:eastAsia="Calibri" w:cs="Calibri"/>
                <w:bCs/>
                <w:noProof w:val="0"/>
                <w:color w:val="FFFFFF"/>
                <w:szCs w:val="16"/>
              </w:rPr>
              <w:t>Used where</w:t>
            </w:r>
          </w:p>
        </w:tc>
      </w:tr>
      <w:tr w:rsidR="00D71B94" w:rsidRPr="0053439C" w14:paraId="0AB5CF71" w14:textId="77777777" w:rsidTr="007E3239">
        <w:tc>
          <w:tcPr>
            <w:tcW w:w="567" w:type="dxa"/>
            <w:tcBorders>
              <w:top w:val="single" w:sz="4" w:space="0" w:color="1B556B"/>
              <w:bottom w:val="single" w:sz="4" w:space="0" w:color="1B556B"/>
            </w:tcBorders>
            <w:shd w:val="clear" w:color="auto" w:fill="FFFFFF"/>
          </w:tcPr>
          <w:p w14:paraId="0BDEC80D" w14:textId="77777777" w:rsidR="00D71B94" w:rsidRPr="0053439C" w:rsidRDefault="00D71B94" w:rsidP="007E3239">
            <w:pPr>
              <w:pStyle w:val="TableText"/>
              <w:spacing w:before="50"/>
              <w:rPr>
                <w:rFonts w:eastAsia="Calibri" w:cs="Calibri"/>
                <w:b/>
                <w:bCs/>
                <w:szCs w:val="16"/>
              </w:rPr>
            </w:pPr>
            <w:r w:rsidRPr="0053439C">
              <w:rPr>
                <w:rFonts w:eastAsia="Calibri" w:cs="Calibri"/>
                <w:b/>
                <w:bCs/>
                <w:szCs w:val="16"/>
              </w:rPr>
              <w:t>1</w:t>
            </w:r>
          </w:p>
        </w:tc>
        <w:tc>
          <w:tcPr>
            <w:tcW w:w="1521" w:type="dxa"/>
            <w:tcBorders>
              <w:top w:val="single" w:sz="4" w:space="0" w:color="1B556B"/>
              <w:bottom w:val="single" w:sz="4" w:space="0" w:color="1B556B"/>
            </w:tcBorders>
            <w:shd w:val="clear" w:color="auto" w:fill="auto"/>
          </w:tcPr>
          <w:p w14:paraId="7CAD40A2" w14:textId="77777777" w:rsidR="00D71B94" w:rsidRPr="0053439C" w:rsidRDefault="00D71B94" w:rsidP="007E3239">
            <w:pPr>
              <w:pStyle w:val="TableText"/>
              <w:spacing w:before="50"/>
              <w:rPr>
                <w:rFonts w:eastAsia="Calibri" w:cs="Calibri"/>
                <w:szCs w:val="16"/>
              </w:rPr>
            </w:pPr>
            <w:r w:rsidRPr="0053439C">
              <w:rPr>
                <w:rFonts w:eastAsia="Calibri" w:cs="Calibri"/>
                <w:szCs w:val="16"/>
              </w:rPr>
              <w:t>Census</w:t>
            </w:r>
          </w:p>
        </w:tc>
        <w:tc>
          <w:tcPr>
            <w:tcW w:w="2709" w:type="dxa"/>
            <w:tcBorders>
              <w:top w:val="single" w:sz="4" w:space="0" w:color="1B556B"/>
              <w:bottom w:val="single" w:sz="4" w:space="0" w:color="1B556B"/>
            </w:tcBorders>
            <w:shd w:val="clear" w:color="auto" w:fill="auto"/>
          </w:tcPr>
          <w:p w14:paraId="1D95839C" w14:textId="77777777" w:rsidR="00D71B94" w:rsidRPr="0053439C" w:rsidRDefault="00D71B94" w:rsidP="007E3239">
            <w:pPr>
              <w:pStyle w:val="TableText"/>
              <w:spacing w:before="50" w:after="0"/>
              <w:rPr>
                <w:rFonts w:eastAsia="Calibri" w:cs="Calibri"/>
                <w:szCs w:val="16"/>
              </w:rPr>
            </w:pPr>
            <w:r w:rsidRPr="0053439C">
              <w:rPr>
                <w:rFonts w:eastAsia="Calibri" w:cs="Calibri"/>
                <w:szCs w:val="16"/>
              </w:rPr>
              <w:t>Tokelau Census of Population and Dwellings 2006, 2011, 2016, 2019</w:t>
            </w:r>
          </w:p>
          <w:p w14:paraId="0BE6BBC9" w14:textId="29542F37" w:rsidR="00D71B94" w:rsidRPr="0053439C" w:rsidRDefault="004B48CC" w:rsidP="007E3239">
            <w:pPr>
              <w:pStyle w:val="TableText"/>
              <w:spacing w:before="0"/>
              <w:rPr>
                <w:rFonts w:eastAsia="Calibri" w:cs="Calibri"/>
                <w:szCs w:val="16"/>
              </w:rPr>
            </w:pPr>
            <w:hyperlink r:id="rId243" w:history="1">
              <w:r w:rsidR="00D71B94" w:rsidRPr="00531649">
                <w:rPr>
                  <w:rStyle w:val="Hyperlink"/>
                  <w:rFonts w:eastAsia="Calibri" w:cs="Calibri"/>
                  <w:szCs w:val="16"/>
                </w:rPr>
                <w:t>www.tinyurl.com/TokelauCensus</w:t>
              </w:r>
            </w:hyperlink>
          </w:p>
        </w:tc>
        <w:tc>
          <w:tcPr>
            <w:tcW w:w="3708" w:type="dxa"/>
            <w:tcBorders>
              <w:top w:val="single" w:sz="4" w:space="0" w:color="1B556B"/>
              <w:bottom w:val="single" w:sz="4" w:space="0" w:color="1B556B"/>
            </w:tcBorders>
            <w:shd w:val="clear" w:color="auto" w:fill="auto"/>
          </w:tcPr>
          <w:p w14:paraId="2DBEC5C5" w14:textId="77777777" w:rsidR="00D71B94" w:rsidRPr="0053439C" w:rsidRDefault="00D71B94" w:rsidP="007E3239">
            <w:pPr>
              <w:pStyle w:val="TableText"/>
              <w:spacing w:before="50"/>
              <w:rPr>
                <w:rFonts w:eastAsia="Calibri" w:cs="Calibri"/>
                <w:szCs w:val="16"/>
              </w:rPr>
            </w:pPr>
            <w:r w:rsidRPr="0053439C">
              <w:rPr>
                <w:rFonts w:eastAsia="Calibri" w:cs="Calibri"/>
                <w:szCs w:val="16"/>
              </w:rPr>
              <w:t>Census data; interpolations for populations of people and livestock; solid and water waste disposal (flush toilets), number of private aluminium boats/outboard motors, home appliances</w:t>
            </w:r>
          </w:p>
        </w:tc>
      </w:tr>
      <w:tr w:rsidR="00D71B94" w:rsidRPr="0053439C" w14:paraId="318E3037" w14:textId="77777777" w:rsidTr="007E3239">
        <w:tc>
          <w:tcPr>
            <w:tcW w:w="567" w:type="dxa"/>
            <w:tcBorders>
              <w:top w:val="single" w:sz="4" w:space="0" w:color="1B556B"/>
              <w:bottom w:val="single" w:sz="4" w:space="0" w:color="1B556B"/>
            </w:tcBorders>
            <w:shd w:val="clear" w:color="auto" w:fill="FFFFFF"/>
          </w:tcPr>
          <w:p w14:paraId="7BE3D05A" w14:textId="77777777" w:rsidR="00D71B94" w:rsidRPr="0053439C" w:rsidRDefault="00D71B94" w:rsidP="007E3239">
            <w:pPr>
              <w:pStyle w:val="TableText"/>
              <w:spacing w:before="50" w:after="50"/>
              <w:rPr>
                <w:rFonts w:eastAsia="Calibri" w:cs="Calibri"/>
                <w:b/>
                <w:bCs/>
                <w:szCs w:val="16"/>
              </w:rPr>
            </w:pPr>
            <w:r w:rsidRPr="0053439C">
              <w:rPr>
                <w:rFonts w:eastAsia="Calibri" w:cs="Calibri"/>
                <w:b/>
                <w:bCs/>
                <w:szCs w:val="16"/>
              </w:rPr>
              <w:t>2</w:t>
            </w:r>
          </w:p>
        </w:tc>
        <w:tc>
          <w:tcPr>
            <w:tcW w:w="1521" w:type="dxa"/>
            <w:tcBorders>
              <w:top w:val="single" w:sz="4" w:space="0" w:color="1B556B"/>
              <w:bottom w:val="single" w:sz="4" w:space="0" w:color="1B556B"/>
            </w:tcBorders>
            <w:shd w:val="clear" w:color="auto" w:fill="auto"/>
          </w:tcPr>
          <w:p w14:paraId="6DBD16A3"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Archives NZ</w:t>
            </w:r>
          </w:p>
        </w:tc>
        <w:tc>
          <w:tcPr>
            <w:tcW w:w="2709" w:type="dxa"/>
            <w:tcBorders>
              <w:top w:val="single" w:sz="4" w:space="0" w:color="1B556B"/>
              <w:bottom w:val="single" w:sz="4" w:space="0" w:color="1B556B"/>
            </w:tcBorders>
            <w:shd w:val="clear" w:color="auto" w:fill="auto"/>
          </w:tcPr>
          <w:p w14:paraId="0A1A547E"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Archives New Zealand, Wellington</w:t>
            </w:r>
          </w:p>
        </w:tc>
        <w:tc>
          <w:tcPr>
            <w:tcW w:w="3708" w:type="dxa"/>
            <w:tcBorders>
              <w:top w:val="single" w:sz="4" w:space="0" w:color="1B556B"/>
              <w:bottom w:val="single" w:sz="4" w:space="0" w:color="1B556B"/>
            </w:tcBorders>
            <w:shd w:val="clear" w:color="auto" w:fill="auto"/>
          </w:tcPr>
          <w:p w14:paraId="2F282131"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Historic Census records going back to 1951, at five-year intervals (Tokelau National Statistics Office collation and analysis)</w:t>
            </w:r>
          </w:p>
        </w:tc>
      </w:tr>
      <w:tr w:rsidR="00D71B94" w:rsidRPr="0053439C" w14:paraId="0C829982" w14:textId="77777777" w:rsidTr="007E3239">
        <w:tc>
          <w:tcPr>
            <w:tcW w:w="567" w:type="dxa"/>
            <w:tcBorders>
              <w:top w:val="single" w:sz="4" w:space="0" w:color="1B556B"/>
              <w:bottom w:val="single" w:sz="4" w:space="0" w:color="1B556B"/>
            </w:tcBorders>
            <w:shd w:val="clear" w:color="auto" w:fill="FFFFFF"/>
          </w:tcPr>
          <w:p w14:paraId="36DC7889" w14:textId="77777777" w:rsidR="00D71B94" w:rsidRPr="0053439C" w:rsidRDefault="00D71B94" w:rsidP="007E3239">
            <w:pPr>
              <w:pStyle w:val="TableText"/>
              <w:spacing w:before="50" w:after="50"/>
              <w:rPr>
                <w:rFonts w:eastAsia="Calibri" w:cs="Calibri"/>
                <w:b/>
                <w:bCs/>
                <w:szCs w:val="16"/>
              </w:rPr>
            </w:pPr>
            <w:r w:rsidRPr="0053439C">
              <w:rPr>
                <w:rFonts w:eastAsia="Calibri" w:cs="Calibri"/>
                <w:b/>
                <w:bCs/>
                <w:szCs w:val="16"/>
              </w:rPr>
              <w:t>3</w:t>
            </w:r>
          </w:p>
        </w:tc>
        <w:tc>
          <w:tcPr>
            <w:tcW w:w="1521" w:type="dxa"/>
            <w:tcBorders>
              <w:top w:val="single" w:sz="4" w:space="0" w:color="1B556B"/>
              <w:bottom w:val="single" w:sz="4" w:space="0" w:color="1B556B"/>
            </w:tcBorders>
            <w:shd w:val="clear" w:color="auto" w:fill="auto"/>
          </w:tcPr>
          <w:p w14:paraId="4308EF58"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HIES</w:t>
            </w:r>
          </w:p>
        </w:tc>
        <w:tc>
          <w:tcPr>
            <w:tcW w:w="2709" w:type="dxa"/>
            <w:tcBorders>
              <w:top w:val="single" w:sz="4" w:space="0" w:color="1B556B"/>
              <w:bottom w:val="single" w:sz="4" w:space="0" w:color="1B556B"/>
            </w:tcBorders>
            <w:shd w:val="clear" w:color="auto" w:fill="auto"/>
          </w:tcPr>
          <w:p w14:paraId="48D2D910" w14:textId="77777777" w:rsidR="00D71B94" w:rsidRPr="0053439C" w:rsidRDefault="00D71B94" w:rsidP="007E3239">
            <w:pPr>
              <w:pStyle w:val="TableText"/>
              <w:spacing w:before="50" w:after="0"/>
              <w:rPr>
                <w:rFonts w:eastAsia="Calibri" w:cs="Calibri"/>
                <w:szCs w:val="16"/>
              </w:rPr>
            </w:pPr>
            <w:r w:rsidRPr="0053439C">
              <w:rPr>
                <w:rFonts w:eastAsia="Calibri" w:cs="Calibri"/>
                <w:szCs w:val="16"/>
              </w:rPr>
              <w:t>Tokelau Household Income and Expenditure Survey 2015/16</w:t>
            </w:r>
          </w:p>
          <w:p w14:paraId="5BDE0956" w14:textId="1504171F" w:rsidR="00D71B94" w:rsidRPr="0053439C" w:rsidRDefault="004B48CC" w:rsidP="007E3239">
            <w:pPr>
              <w:pStyle w:val="TableText"/>
              <w:spacing w:before="0" w:after="50"/>
              <w:rPr>
                <w:rFonts w:eastAsia="Calibri" w:cs="Calibri"/>
                <w:szCs w:val="16"/>
              </w:rPr>
            </w:pPr>
            <w:hyperlink r:id="rId244" w:history="1">
              <w:r w:rsidR="00D71B94" w:rsidRPr="007D5A8F">
                <w:rPr>
                  <w:rStyle w:val="Hyperlink"/>
                  <w:rFonts w:eastAsia="Calibri" w:cs="Calibri"/>
                  <w:szCs w:val="16"/>
                </w:rPr>
                <w:t>www.tinyurl.com/TokelauHIES</w:t>
              </w:r>
            </w:hyperlink>
          </w:p>
        </w:tc>
        <w:tc>
          <w:tcPr>
            <w:tcW w:w="3708" w:type="dxa"/>
            <w:tcBorders>
              <w:top w:val="single" w:sz="4" w:space="0" w:color="1B556B"/>
              <w:bottom w:val="single" w:sz="4" w:space="0" w:color="1B556B"/>
            </w:tcBorders>
            <w:shd w:val="clear" w:color="auto" w:fill="auto"/>
          </w:tcPr>
          <w:p w14:paraId="70190FDE"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Population and dwellings data supplementary to Census, in partnership with Pacific Community (SPC)</w:t>
            </w:r>
          </w:p>
        </w:tc>
      </w:tr>
      <w:tr w:rsidR="00D71B94" w:rsidRPr="0053439C" w14:paraId="2F32A3CB" w14:textId="77777777" w:rsidTr="007E3239">
        <w:tc>
          <w:tcPr>
            <w:tcW w:w="567" w:type="dxa"/>
            <w:tcBorders>
              <w:top w:val="single" w:sz="4" w:space="0" w:color="1B556B"/>
              <w:bottom w:val="single" w:sz="4" w:space="0" w:color="1B556B"/>
            </w:tcBorders>
            <w:shd w:val="clear" w:color="auto" w:fill="FFFFFF"/>
          </w:tcPr>
          <w:p w14:paraId="0947CC66" w14:textId="77777777" w:rsidR="00D71B94" w:rsidRPr="0053439C" w:rsidRDefault="00D71B94" w:rsidP="007E3239">
            <w:pPr>
              <w:pStyle w:val="TableText"/>
              <w:spacing w:before="50" w:after="50"/>
              <w:rPr>
                <w:rFonts w:eastAsia="Calibri" w:cs="Calibri"/>
                <w:b/>
                <w:bCs/>
                <w:szCs w:val="16"/>
              </w:rPr>
            </w:pPr>
            <w:r w:rsidRPr="0053439C">
              <w:rPr>
                <w:rFonts w:eastAsia="Calibri" w:cs="Calibri"/>
                <w:b/>
                <w:bCs/>
                <w:szCs w:val="16"/>
              </w:rPr>
              <w:t>4</w:t>
            </w:r>
          </w:p>
        </w:tc>
        <w:tc>
          <w:tcPr>
            <w:tcW w:w="1521" w:type="dxa"/>
            <w:tcBorders>
              <w:top w:val="single" w:sz="4" w:space="0" w:color="1B556B"/>
              <w:bottom w:val="single" w:sz="4" w:space="0" w:color="1B556B"/>
            </w:tcBorders>
            <w:shd w:val="clear" w:color="auto" w:fill="auto"/>
          </w:tcPr>
          <w:p w14:paraId="22791310"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SNZ, Stats NZ</w:t>
            </w:r>
          </w:p>
        </w:tc>
        <w:tc>
          <w:tcPr>
            <w:tcW w:w="2709" w:type="dxa"/>
            <w:tcBorders>
              <w:top w:val="single" w:sz="4" w:space="0" w:color="1B556B"/>
              <w:bottom w:val="single" w:sz="4" w:space="0" w:color="1B556B"/>
            </w:tcBorders>
            <w:shd w:val="clear" w:color="auto" w:fill="auto"/>
          </w:tcPr>
          <w:p w14:paraId="19DD1486" w14:textId="77777777" w:rsidR="00D71B94" w:rsidRPr="008A79B1" w:rsidRDefault="00D71B94" w:rsidP="007E3239">
            <w:pPr>
              <w:pStyle w:val="TableText"/>
              <w:spacing w:before="50" w:after="0"/>
              <w:rPr>
                <w:rFonts w:eastAsia="Calibri" w:cs="Calibri"/>
                <w:szCs w:val="16"/>
                <w:lang w:val="fr-FR"/>
              </w:rPr>
            </w:pPr>
            <w:r w:rsidRPr="008A79B1">
              <w:rPr>
                <w:rFonts w:eastAsia="Calibri" w:cs="Calibri"/>
                <w:szCs w:val="16"/>
                <w:lang w:val="fr-FR"/>
              </w:rPr>
              <w:t>Stats NZ, Wellington</w:t>
            </w:r>
          </w:p>
          <w:p w14:paraId="516905A3" w14:textId="77777777" w:rsidR="00D71B94" w:rsidRPr="008A79B1" w:rsidRDefault="004B48CC" w:rsidP="007E3239">
            <w:pPr>
              <w:pStyle w:val="TableText"/>
              <w:spacing w:before="0" w:after="50"/>
              <w:rPr>
                <w:rFonts w:eastAsia="Calibri" w:cs="Calibri"/>
                <w:szCs w:val="16"/>
              </w:rPr>
            </w:pPr>
            <w:hyperlink r:id="rId245" w:history="1">
              <w:r w:rsidR="00D71B94" w:rsidRPr="008A79B1">
                <w:rPr>
                  <w:rStyle w:val="Hyperlink"/>
                  <w:rFonts w:eastAsia="Calibri" w:cs="Calibri"/>
                  <w:szCs w:val="16"/>
                </w:rPr>
                <w:t>www.stats.govt.nz</w:t>
              </w:r>
            </w:hyperlink>
          </w:p>
        </w:tc>
        <w:tc>
          <w:tcPr>
            <w:tcW w:w="3708" w:type="dxa"/>
            <w:tcBorders>
              <w:top w:val="single" w:sz="4" w:space="0" w:color="1B556B"/>
              <w:bottom w:val="single" w:sz="4" w:space="0" w:color="1B556B"/>
            </w:tcBorders>
            <w:shd w:val="clear" w:color="auto" w:fill="auto"/>
          </w:tcPr>
          <w:p w14:paraId="450A1774"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Major partner in collection, analysis and publication of Tokelau Census data</w:t>
            </w:r>
          </w:p>
        </w:tc>
      </w:tr>
      <w:tr w:rsidR="00D71B94" w:rsidRPr="0053439C" w14:paraId="7BF97B0F" w14:textId="77777777" w:rsidTr="007E3239">
        <w:tc>
          <w:tcPr>
            <w:tcW w:w="567" w:type="dxa"/>
            <w:tcBorders>
              <w:top w:val="single" w:sz="4" w:space="0" w:color="1B556B"/>
              <w:bottom w:val="single" w:sz="4" w:space="0" w:color="1B556B"/>
            </w:tcBorders>
            <w:shd w:val="clear" w:color="auto" w:fill="FFFFFF"/>
          </w:tcPr>
          <w:p w14:paraId="44C276BE" w14:textId="77777777" w:rsidR="00D71B94" w:rsidRPr="0053439C" w:rsidRDefault="00D71B94" w:rsidP="007E3239">
            <w:pPr>
              <w:pStyle w:val="TableText"/>
              <w:spacing w:before="50" w:after="50"/>
              <w:rPr>
                <w:rFonts w:eastAsia="Calibri" w:cs="Calibri"/>
                <w:b/>
                <w:bCs/>
                <w:szCs w:val="16"/>
              </w:rPr>
            </w:pPr>
            <w:r w:rsidRPr="0053439C">
              <w:rPr>
                <w:rFonts w:eastAsia="Calibri" w:cs="Calibri"/>
                <w:b/>
                <w:bCs/>
                <w:szCs w:val="16"/>
              </w:rPr>
              <w:t>5</w:t>
            </w:r>
          </w:p>
        </w:tc>
        <w:tc>
          <w:tcPr>
            <w:tcW w:w="1521" w:type="dxa"/>
            <w:tcBorders>
              <w:top w:val="single" w:sz="4" w:space="0" w:color="1B556B"/>
              <w:bottom w:val="single" w:sz="4" w:space="0" w:color="1B556B"/>
            </w:tcBorders>
            <w:shd w:val="clear" w:color="auto" w:fill="auto"/>
          </w:tcPr>
          <w:p w14:paraId="73522240"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TNSO</w:t>
            </w:r>
          </w:p>
        </w:tc>
        <w:tc>
          <w:tcPr>
            <w:tcW w:w="2709" w:type="dxa"/>
            <w:tcBorders>
              <w:top w:val="single" w:sz="4" w:space="0" w:color="1B556B"/>
              <w:bottom w:val="single" w:sz="4" w:space="0" w:color="1B556B"/>
            </w:tcBorders>
            <w:shd w:val="clear" w:color="auto" w:fill="auto"/>
          </w:tcPr>
          <w:p w14:paraId="30F8D92D" w14:textId="77777777" w:rsidR="00D71B94" w:rsidRPr="0053439C" w:rsidRDefault="00D71B94" w:rsidP="007E3239">
            <w:pPr>
              <w:pStyle w:val="TableText"/>
              <w:spacing w:before="50" w:after="0"/>
              <w:rPr>
                <w:rFonts w:eastAsia="Calibri" w:cs="Calibri"/>
                <w:szCs w:val="16"/>
              </w:rPr>
            </w:pPr>
            <w:r w:rsidRPr="0053439C">
              <w:rPr>
                <w:rFonts w:eastAsia="Calibri" w:cs="Calibri"/>
                <w:szCs w:val="16"/>
              </w:rPr>
              <w:t>Tokelau National Statistics Office, Apia</w:t>
            </w:r>
          </w:p>
          <w:p w14:paraId="55B06ACA" w14:textId="77777777" w:rsidR="00D71B94" w:rsidRPr="0053439C" w:rsidRDefault="004B48CC" w:rsidP="007E3239">
            <w:pPr>
              <w:pStyle w:val="TableText"/>
              <w:spacing w:before="0" w:after="50"/>
              <w:rPr>
                <w:rFonts w:eastAsia="Calibri" w:cs="Calibri"/>
                <w:szCs w:val="16"/>
              </w:rPr>
            </w:pPr>
            <w:hyperlink r:id="rId246" w:history="1">
              <w:r w:rsidR="00D71B94" w:rsidRPr="0053439C">
                <w:rPr>
                  <w:rStyle w:val="Hyperlink"/>
                  <w:rFonts w:eastAsia="Calibri" w:cs="Calibri"/>
                  <w:szCs w:val="16"/>
                </w:rPr>
                <w:t>www.tokelau.org.nz/Stats.html</w:t>
              </w:r>
            </w:hyperlink>
          </w:p>
        </w:tc>
        <w:tc>
          <w:tcPr>
            <w:tcW w:w="3708" w:type="dxa"/>
            <w:tcBorders>
              <w:top w:val="single" w:sz="4" w:space="0" w:color="1B556B"/>
              <w:bottom w:val="single" w:sz="4" w:space="0" w:color="1B556B"/>
            </w:tcBorders>
            <w:shd w:val="clear" w:color="auto" w:fill="auto"/>
          </w:tcPr>
          <w:p w14:paraId="6BFDA03F"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 xml:space="preserve">Joint collection, analysis and publication of Tokelau Census data </w:t>
            </w:r>
          </w:p>
        </w:tc>
      </w:tr>
      <w:tr w:rsidR="00D71B94" w:rsidRPr="0053439C" w14:paraId="43127C60" w14:textId="77777777" w:rsidTr="007E3239">
        <w:tc>
          <w:tcPr>
            <w:tcW w:w="567" w:type="dxa"/>
            <w:tcBorders>
              <w:top w:val="single" w:sz="4" w:space="0" w:color="1B556B"/>
              <w:bottom w:val="single" w:sz="4" w:space="0" w:color="1B556B"/>
            </w:tcBorders>
            <w:shd w:val="clear" w:color="auto" w:fill="FFFFFF"/>
          </w:tcPr>
          <w:p w14:paraId="2CF2D720" w14:textId="77777777" w:rsidR="00D71B94" w:rsidRPr="0053439C" w:rsidRDefault="00D71B94" w:rsidP="007E3239">
            <w:pPr>
              <w:pStyle w:val="TableText"/>
              <w:spacing w:before="50" w:after="50"/>
              <w:rPr>
                <w:rFonts w:eastAsia="Calibri" w:cs="Calibri"/>
                <w:b/>
                <w:bCs/>
                <w:szCs w:val="16"/>
              </w:rPr>
            </w:pPr>
            <w:r w:rsidRPr="0053439C">
              <w:rPr>
                <w:rFonts w:eastAsia="Calibri" w:cs="Calibri"/>
                <w:b/>
                <w:bCs/>
                <w:szCs w:val="16"/>
              </w:rPr>
              <w:t>6</w:t>
            </w:r>
          </w:p>
        </w:tc>
        <w:tc>
          <w:tcPr>
            <w:tcW w:w="1521" w:type="dxa"/>
            <w:tcBorders>
              <w:top w:val="single" w:sz="4" w:space="0" w:color="1B556B"/>
              <w:bottom w:val="single" w:sz="4" w:space="0" w:color="1B556B"/>
            </w:tcBorders>
            <w:shd w:val="clear" w:color="auto" w:fill="auto"/>
          </w:tcPr>
          <w:p w14:paraId="7B33B705"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DoE</w:t>
            </w:r>
          </w:p>
        </w:tc>
        <w:tc>
          <w:tcPr>
            <w:tcW w:w="2709" w:type="dxa"/>
            <w:tcBorders>
              <w:top w:val="single" w:sz="4" w:space="0" w:color="1B556B"/>
              <w:bottom w:val="single" w:sz="4" w:space="0" w:color="1B556B"/>
            </w:tcBorders>
            <w:shd w:val="clear" w:color="auto" w:fill="auto"/>
          </w:tcPr>
          <w:p w14:paraId="0A013733"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Tokelau Department of Energy</w:t>
            </w:r>
          </w:p>
        </w:tc>
        <w:tc>
          <w:tcPr>
            <w:tcW w:w="3708" w:type="dxa"/>
            <w:tcBorders>
              <w:top w:val="single" w:sz="4" w:space="0" w:color="1B556B"/>
              <w:bottom w:val="single" w:sz="4" w:space="0" w:color="1B556B"/>
            </w:tcBorders>
            <w:shd w:val="clear" w:color="auto" w:fill="auto"/>
          </w:tcPr>
          <w:p w14:paraId="6BAF6715"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Estimate of diesel use for 24/7 power generation in 2004, plus before and after installation of solar in July–September 2012 (personal communication Mr</w:t>
            </w:r>
            <w:r>
              <w:rPr>
                <w:rFonts w:eastAsia="Calibri" w:cs="Calibri"/>
                <w:szCs w:val="16"/>
              </w:rPr>
              <w:t> </w:t>
            </w:r>
            <w:r w:rsidRPr="0053439C">
              <w:rPr>
                <w:rFonts w:eastAsia="Calibri" w:cs="Calibri"/>
                <w:szCs w:val="16"/>
              </w:rPr>
              <w:t>Robin Pene, DoE director)</w:t>
            </w:r>
          </w:p>
        </w:tc>
      </w:tr>
      <w:tr w:rsidR="00D71B94" w:rsidRPr="0053439C" w14:paraId="75E2CB79" w14:textId="77777777" w:rsidTr="007E3239">
        <w:tc>
          <w:tcPr>
            <w:tcW w:w="567" w:type="dxa"/>
            <w:tcBorders>
              <w:top w:val="single" w:sz="4" w:space="0" w:color="1B556B"/>
              <w:bottom w:val="single" w:sz="4" w:space="0" w:color="1B556B"/>
            </w:tcBorders>
            <w:shd w:val="clear" w:color="auto" w:fill="FFFFFF"/>
          </w:tcPr>
          <w:p w14:paraId="373A5082" w14:textId="77777777" w:rsidR="00D71B94" w:rsidRPr="0053439C" w:rsidRDefault="00D71B94" w:rsidP="007E3239">
            <w:pPr>
              <w:pStyle w:val="TableText"/>
              <w:spacing w:before="50" w:after="50"/>
              <w:rPr>
                <w:rFonts w:eastAsia="Calibri" w:cs="Calibri"/>
                <w:b/>
                <w:bCs/>
                <w:szCs w:val="16"/>
              </w:rPr>
            </w:pPr>
            <w:r w:rsidRPr="0053439C">
              <w:rPr>
                <w:rFonts w:eastAsia="Calibri" w:cs="Calibri"/>
                <w:b/>
                <w:bCs/>
                <w:szCs w:val="16"/>
              </w:rPr>
              <w:t>7</w:t>
            </w:r>
          </w:p>
        </w:tc>
        <w:tc>
          <w:tcPr>
            <w:tcW w:w="1521" w:type="dxa"/>
            <w:tcBorders>
              <w:top w:val="single" w:sz="4" w:space="0" w:color="1B556B"/>
              <w:bottom w:val="single" w:sz="4" w:space="0" w:color="1B556B"/>
            </w:tcBorders>
            <w:shd w:val="clear" w:color="auto" w:fill="auto"/>
          </w:tcPr>
          <w:p w14:paraId="532F58B4"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PPS</w:t>
            </w:r>
          </w:p>
        </w:tc>
        <w:tc>
          <w:tcPr>
            <w:tcW w:w="2709" w:type="dxa"/>
            <w:tcBorders>
              <w:top w:val="single" w:sz="4" w:space="0" w:color="1B556B"/>
              <w:bottom w:val="single" w:sz="4" w:space="0" w:color="1B556B"/>
            </w:tcBorders>
            <w:shd w:val="clear" w:color="auto" w:fill="auto"/>
          </w:tcPr>
          <w:p w14:paraId="5A6AC42F"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Petroleum Product Supplies Ltd Apia</w:t>
            </w:r>
          </w:p>
        </w:tc>
        <w:tc>
          <w:tcPr>
            <w:tcW w:w="3708" w:type="dxa"/>
            <w:tcBorders>
              <w:top w:val="single" w:sz="4" w:space="0" w:color="1B556B"/>
              <w:bottom w:val="single" w:sz="4" w:space="0" w:color="1B556B"/>
            </w:tcBorders>
            <w:shd w:val="clear" w:color="auto" w:fill="auto"/>
          </w:tcPr>
          <w:p w14:paraId="4CF53443"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Fuel prices and volumes supplied for shipping and on-atoll use of diesel, petrol, kerosene and lubricant oil</w:t>
            </w:r>
          </w:p>
        </w:tc>
      </w:tr>
      <w:tr w:rsidR="00D71B94" w:rsidRPr="0053439C" w14:paraId="40C12FE1" w14:textId="77777777" w:rsidTr="007E3239">
        <w:tc>
          <w:tcPr>
            <w:tcW w:w="567" w:type="dxa"/>
            <w:tcBorders>
              <w:top w:val="single" w:sz="4" w:space="0" w:color="1B556B"/>
              <w:bottom w:val="single" w:sz="4" w:space="0" w:color="1B556B"/>
            </w:tcBorders>
            <w:shd w:val="clear" w:color="auto" w:fill="FFFFFF"/>
          </w:tcPr>
          <w:p w14:paraId="18A4D8B2" w14:textId="77777777" w:rsidR="00D71B94" w:rsidRPr="0053439C" w:rsidRDefault="00D71B94" w:rsidP="007E3239">
            <w:pPr>
              <w:pStyle w:val="TableText"/>
              <w:spacing w:before="50" w:after="50"/>
              <w:rPr>
                <w:rFonts w:eastAsia="Calibri" w:cs="Calibri"/>
                <w:b/>
                <w:bCs/>
                <w:szCs w:val="16"/>
              </w:rPr>
            </w:pPr>
            <w:r w:rsidRPr="0053439C">
              <w:rPr>
                <w:rFonts w:eastAsia="Calibri" w:cs="Calibri"/>
                <w:b/>
                <w:bCs/>
                <w:szCs w:val="16"/>
              </w:rPr>
              <w:t>8</w:t>
            </w:r>
          </w:p>
        </w:tc>
        <w:tc>
          <w:tcPr>
            <w:tcW w:w="1521" w:type="dxa"/>
            <w:tcBorders>
              <w:top w:val="single" w:sz="4" w:space="0" w:color="1B556B"/>
              <w:bottom w:val="single" w:sz="4" w:space="0" w:color="1B556B"/>
            </w:tcBorders>
            <w:shd w:val="clear" w:color="auto" w:fill="auto"/>
          </w:tcPr>
          <w:p w14:paraId="0719E255"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DoF</w:t>
            </w:r>
          </w:p>
        </w:tc>
        <w:tc>
          <w:tcPr>
            <w:tcW w:w="2709" w:type="dxa"/>
            <w:tcBorders>
              <w:top w:val="single" w:sz="4" w:space="0" w:color="1B556B"/>
              <w:bottom w:val="single" w:sz="4" w:space="0" w:color="1B556B"/>
            </w:tcBorders>
            <w:shd w:val="clear" w:color="auto" w:fill="auto"/>
          </w:tcPr>
          <w:p w14:paraId="070C9D2A"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Tokelau Department of Finance</w:t>
            </w:r>
          </w:p>
        </w:tc>
        <w:tc>
          <w:tcPr>
            <w:tcW w:w="3708" w:type="dxa"/>
            <w:tcBorders>
              <w:top w:val="single" w:sz="4" w:space="0" w:color="1B556B"/>
              <w:bottom w:val="single" w:sz="4" w:space="0" w:color="1B556B"/>
            </w:tcBorders>
            <w:shd w:val="clear" w:color="auto" w:fill="auto"/>
          </w:tcPr>
          <w:p w14:paraId="09F61646"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Paid invoices and payment records to PPS, Origin, and on-atoll stores</w:t>
            </w:r>
          </w:p>
        </w:tc>
      </w:tr>
      <w:tr w:rsidR="00D71B94" w:rsidRPr="0053439C" w14:paraId="258B0771" w14:textId="77777777" w:rsidTr="007E3239">
        <w:tc>
          <w:tcPr>
            <w:tcW w:w="567" w:type="dxa"/>
            <w:tcBorders>
              <w:top w:val="single" w:sz="4" w:space="0" w:color="1B556B"/>
              <w:bottom w:val="single" w:sz="4" w:space="0" w:color="1B556B"/>
            </w:tcBorders>
            <w:shd w:val="clear" w:color="auto" w:fill="FFFFFF"/>
          </w:tcPr>
          <w:p w14:paraId="4E56AA45" w14:textId="77777777" w:rsidR="00D71B94" w:rsidRPr="0053439C" w:rsidRDefault="00D71B94" w:rsidP="007E3239">
            <w:pPr>
              <w:pStyle w:val="TableText"/>
              <w:spacing w:before="50" w:after="50"/>
              <w:rPr>
                <w:rFonts w:eastAsia="Calibri" w:cs="Calibri"/>
                <w:b/>
                <w:bCs/>
                <w:szCs w:val="16"/>
              </w:rPr>
            </w:pPr>
            <w:r w:rsidRPr="0053439C">
              <w:rPr>
                <w:rFonts w:eastAsia="Calibri" w:cs="Calibri"/>
                <w:b/>
                <w:bCs/>
                <w:szCs w:val="16"/>
              </w:rPr>
              <w:t>9</w:t>
            </w:r>
          </w:p>
        </w:tc>
        <w:tc>
          <w:tcPr>
            <w:tcW w:w="1521" w:type="dxa"/>
            <w:tcBorders>
              <w:top w:val="single" w:sz="4" w:space="0" w:color="1B556B"/>
              <w:bottom w:val="single" w:sz="4" w:space="0" w:color="1B556B"/>
            </w:tcBorders>
            <w:shd w:val="clear" w:color="auto" w:fill="auto"/>
          </w:tcPr>
          <w:p w14:paraId="6DCF099B"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2018 vehicle survey</w:t>
            </w:r>
          </w:p>
        </w:tc>
        <w:tc>
          <w:tcPr>
            <w:tcW w:w="2709" w:type="dxa"/>
            <w:tcBorders>
              <w:top w:val="single" w:sz="4" w:space="0" w:color="1B556B"/>
              <w:bottom w:val="single" w:sz="4" w:space="0" w:color="1B556B"/>
            </w:tcBorders>
            <w:shd w:val="clear" w:color="auto" w:fill="auto"/>
          </w:tcPr>
          <w:p w14:paraId="3AB078C5"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Photo survey of Tokelau motorised vehicles on-atoll, August–December 2018</w:t>
            </w:r>
          </w:p>
        </w:tc>
        <w:tc>
          <w:tcPr>
            <w:tcW w:w="3708" w:type="dxa"/>
            <w:tcBorders>
              <w:top w:val="single" w:sz="4" w:space="0" w:color="1B556B"/>
              <w:bottom w:val="single" w:sz="4" w:space="0" w:color="1B556B"/>
            </w:tcBorders>
            <w:shd w:val="clear" w:color="auto" w:fill="auto"/>
          </w:tcPr>
          <w:p w14:paraId="1F15E1FA"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Personal communication JA Jasperse, TNSO</w:t>
            </w:r>
          </w:p>
        </w:tc>
      </w:tr>
      <w:tr w:rsidR="00D71B94" w:rsidRPr="0053439C" w14:paraId="75D60539" w14:textId="77777777" w:rsidTr="007E3239">
        <w:tc>
          <w:tcPr>
            <w:tcW w:w="567" w:type="dxa"/>
            <w:tcBorders>
              <w:top w:val="single" w:sz="4" w:space="0" w:color="1B556B"/>
              <w:bottom w:val="single" w:sz="4" w:space="0" w:color="1B556B"/>
            </w:tcBorders>
            <w:shd w:val="clear" w:color="auto" w:fill="FFFFFF"/>
          </w:tcPr>
          <w:p w14:paraId="61A948CC" w14:textId="77777777" w:rsidR="00D71B94" w:rsidRPr="0053439C" w:rsidRDefault="00D71B94" w:rsidP="007E3239">
            <w:pPr>
              <w:pStyle w:val="TableText"/>
              <w:spacing w:before="50" w:after="50"/>
              <w:rPr>
                <w:rFonts w:eastAsia="Calibri" w:cs="Calibri"/>
                <w:b/>
                <w:bCs/>
                <w:szCs w:val="16"/>
              </w:rPr>
            </w:pPr>
            <w:r w:rsidRPr="0053439C">
              <w:rPr>
                <w:rFonts w:eastAsia="Calibri" w:cs="Calibri"/>
                <w:b/>
                <w:bCs/>
                <w:szCs w:val="16"/>
              </w:rPr>
              <w:t>10</w:t>
            </w:r>
          </w:p>
        </w:tc>
        <w:tc>
          <w:tcPr>
            <w:tcW w:w="1521" w:type="dxa"/>
            <w:tcBorders>
              <w:top w:val="single" w:sz="4" w:space="0" w:color="1B556B"/>
              <w:bottom w:val="single" w:sz="4" w:space="0" w:color="1B556B"/>
            </w:tcBorders>
            <w:shd w:val="clear" w:color="auto" w:fill="auto"/>
          </w:tcPr>
          <w:p w14:paraId="365AB6A4"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Origin</w:t>
            </w:r>
          </w:p>
        </w:tc>
        <w:tc>
          <w:tcPr>
            <w:tcW w:w="2709" w:type="dxa"/>
            <w:tcBorders>
              <w:top w:val="single" w:sz="4" w:space="0" w:color="1B556B"/>
              <w:bottom w:val="single" w:sz="4" w:space="0" w:color="1B556B"/>
            </w:tcBorders>
            <w:shd w:val="clear" w:color="auto" w:fill="auto"/>
          </w:tcPr>
          <w:p w14:paraId="511D8712"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Origin Energy Samoa Ltd, Apia</w:t>
            </w:r>
          </w:p>
        </w:tc>
        <w:tc>
          <w:tcPr>
            <w:tcW w:w="3708" w:type="dxa"/>
            <w:tcBorders>
              <w:top w:val="single" w:sz="4" w:space="0" w:color="1B556B"/>
              <w:bottom w:val="single" w:sz="4" w:space="0" w:color="1B556B"/>
            </w:tcBorders>
            <w:shd w:val="clear" w:color="auto" w:fill="auto"/>
          </w:tcPr>
          <w:p w14:paraId="74D3A10A"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Prices and volumes supplied for on-atoll use of propane for cooking</w:t>
            </w:r>
          </w:p>
        </w:tc>
      </w:tr>
      <w:tr w:rsidR="00D71B94" w:rsidRPr="0053439C" w14:paraId="00429C38" w14:textId="77777777" w:rsidTr="007E3239">
        <w:tc>
          <w:tcPr>
            <w:tcW w:w="567" w:type="dxa"/>
            <w:tcBorders>
              <w:top w:val="single" w:sz="4" w:space="0" w:color="1B556B"/>
              <w:bottom w:val="single" w:sz="4" w:space="0" w:color="1B556B"/>
            </w:tcBorders>
            <w:shd w:val="clear" w:color="auto" w:fill="FFFFFF"/>
          </w:tcPr>
          <w:p w14:paraId="2E936101" w14:textId="77777777" w:rsidR="00D71B94" w:rsidRPr="0053439C" w:rsidRDefault="00D71B94" w:rsidP="007E3239">
            <w:pPr>
              <w:pStyle w:val="TableText"/>
              <w:spacing w:before="50" w:after="50"/>
              <w:rPr>
                <w:rFonts w:eastAsia="Calibri" w:cs="Calibri"/>
                <w:b/>
                <w:bCs/>
                <w:szCs w:val="16"/>
              </w:rPr>
            </w:pPr>
            <w:r w:rsidRPr="0053439C">
              <w:rPr>
                <w:rFonts w:eastAsia="Calibri" w:cs="Calibri"/>
                <w:b/>
                <w:bCs/>
                <w:szCs w:val="16"/>
              </w:rPr>
              <w:t>11</w:t>
            </w:r>
          </w:p>
        </w:tc>
        <w:tc>
          <w:tcPr>
            <w:tcW w:w="1521" w:type="dxa"/>
            <w:tcBorders>
              <w:top w:val="single" w:sz="4" w:space="0" w:color="1B556B"/>
              <w:bottom w:val="single" w:sz="4" w:space="0" w:color="1B556B"/>
            </w:tcBorders>
            <w:shd w:val="clear" w:color="auto" w:fill="auto"/>
          </w:tcPr>
          <w:p w14:paraId="66FD4298"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PCTrade-Green</w:t>
            </w:r>
          </w:p>
        </w:tc>
        <w:tc>
          <w:tcPr>
            <w:tcW w:w="2709" w:type="dxa"/>
            <w:tcBorders>
              <w:top w:val="single" w:sz="4" w:space="0" w:color="1B556B"/>
              <w:bottom w:val="single" w:sz="4" w:space="0" w:color="1B556B"/>
            </w:tcBorders>
            <w:shd w:val="clear" w:color="auto" w:fill="auto"/>
          </w:tcPr>
          <w:p w14:paraId="1CF0BC41"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Excel version of PCTrade package developed by Stats NZ, Christchurch</w:t>
            </w:r>
          </w:p>
        </w:tc>
        <w:tc>
          <w:tcPr>
            <w:tcW w:w="3708" w:type="dxa"/>
            <w:tcBorders>
              <w:top w:val="single" w:sz="4" w:space="0" w:color="1B556B"/>
              <w:bottom w:val="single" w:sz="4" w:space="0" w:color="1B556B"/>
            </w:tcBorders>
            <w:shd w:val="clear" w:color="auto" w:fill="auto"/>
          </w:tcPr>
          <w:p w14:paraId="5A72C6D4"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Used for analysing cargo shipping manifests, providing number of return voyages Apia–Tokelau over time, imports of goods, and exports of recyclables to date (2014 – June 2019 data available)</w:t>
            </w:r>
          </w:p>
        </w:tc>
      </w:tr>
      <w:tr w:rsidR="00D71B94" w:rsidRPr="0053439C" w14:paraId="65654C12" w14:textId="77777777" w:rsidTr="007E3239">
        <w:tc>
          <w:tcPr>
            <w:tcW w:w="567" w:type="dxa"/>
            <w:tcBorders>
              <w:top w:val="single" w:sz="4" w:space="0" w:color="1B556B"/>
              <w:bottom w:val="single" w:sz="4" w:space="0" w:color="1B556B"/>
            </w:tcBorders>
            <w:shd w:val="clear" w:color="auto" w:fill="FFFFFF"/>
          </w:tcPr>
          <w:p w14:paraId="166FC4B9" w14:textId="77777777" w:rsidR="00D71B94" w:rsidRPr="0053439C" w:rsidRDefault="00D71B94" w:rsidP="007E3239">
            <w:pPr>
              <w:pStyle w:val="TableText"/>
              <w:spacing w:before="50" w:after="50"/>
              <w:rPr>
                <w:rFonts w:eastAsia="Calibri" w:cs="Calibri"/>
                <w:b/>
                <w:bCs/>
                <w:szCs w:val="16"/>
              </w:rPr>
            </w:pPr>
            <w:r w:rsidRPr="0053439C">
              <w:rPr>
                <w:rFonts w:eastAsia="Calibri" w:cs="Calibri"/>
                <w:b/>
                <w:bCs/>
                <w:szCs w:val="16"/>
              </w:rPr>
              <w:t>12</w:t>
            </w:r>
          </w:p>
        </w:tc>
        <w:tc>
          <w:tcPr>
            <w:tcW w:w="1521" w:type="dxa"/>
            <w:tcBorders>
              <w:top w:val="single" w:sz="4" w:space="0" w:color="1B556B"/>
              <w:bottom w:val="single" w:sz="4" w:space="0" w:color="1B556B"/>
            </w:tcBorders>
            <w:shd w:val="clear" w:color="auto" w:fill="auto"/>
          </w:tcPr>
          <w:p w14:paraId="58DA9F69"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DoH</w:t>
            </w:r>
          </w:p>
        </w:tc>
        <w:tc>
          <w:tcPr>
            <w:tcW w:w="2709" w:type="dxa"/>
            <w:tcBorders>
              <w:top w:val="single" w:sz="4" w:space="0" w:color="1B556B"/>
              <w:bottom w:val="single" w:sz="4" w:space="0" w:color="1B556B"/>
            </w:tcBorders>
            <w:shd w:val="clear" w:color="auto" w:fill="auto"/>
          </w:tcPr>
          <w:p w14:paraId="56225BD0"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Tokelau Department of Health</w:t>
            </w:r>
          </w:p>
        </w:tc>
        <w:tc>
          <w:tcPr>
            <w:tcW w:w="3708" w:type="dxa"/>
            <w:tcBorders>
              <w:top w:val="single" w:sz="4" w:space="0" w:color="1B556B"/>
              <w:bottom w:val="single" w:sz="4" w:space="0" w:color="1B556B"/>
            </w:tcBorders>
            <w:shd w:val="clear" w:color="auto" w:fill="auto"/>
          </w:tcPr>
          <w:p w14:paraId="7F29105A"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Anecdotal information on inhalers, laser gas, fire extinguishers</w:t>
            </w:r>
          </w:p>
        </w:tc>
      </w:tr>
      <w:tr w:rsidR="00D71B94" w:rsidRPr="0053439C" w14:paraId="0B1901E6" w14:textId="77777777" w:rsidTr="007E3239">
        <w:tc>
          <w:tcPr>
            <w:tcW w:w="567" w:type="dxa"/>
            <w:tcBorders>
              <w:top w:val="single" w:sz="4" w:space="0" w:color="1B556B"/>
              <w:bottom w:val="single" w:sz="4" w:space="0" w:color="1B556B"/>
            </w:tcBorders>
            <w:shd w:val="clear" w:color="auto" w:fill="FFFFFF"/>
          </w:tcPr>
          <w:p w14:paraId="7A2446A5" w14:textId="77777777" w:rsidR="00D71B94" w:rsidRPr="0053439C" w:rsidRDefault="00D71B94" w:rsidP="007E3239">
            <w:pPr>
              <w:pStyle w:val="TableText"/>
              <w:spacing w:before="50" w:after="50"/>
              <w:rPr>
                <w:rFonts w:eastAsia="Calibri" w:cs="Calibri"/>
                <w:b/>
                <w:bCs/>
                <w:szCs w:val="16"/>
              </w:rPr>
            </w:pPr>
            <w:r w:rsidRPr="0053439C">
              <w:rPr>
                <w:rFonts w:eastAsia="Calibri" w:cs="Calibri"/>
                <w:b/>
                <w:bCs/>
                <w:szCs w:val="16"/>
              </w:rPr>
              <w:t>13</w:t>
            </w:r>
          </w:p>
        </w:tc>
        <w:tc>
          <w:tcPr>
            <w:tcW w:w="1521" w:type="dxa"/>
            <w:tcBorders>
              <w:top w:val="single" w:sz="4" w:space="0" w:color="1B556B"/>
              <w:bottom w:val="single" w:sz="4" w:space="0" w:color="1B556B"/>
            </w:tcBorders>
            <w:shd w:val="clear" w:color="auto" w:fill="auto"/>
          </w:tcPr>
          <w:p w14:paraId="5CB72EA9"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TSS</w:t>
            </w:r>
          </w:p>
        </w:tc>
        <w:tc>
          <w:tcPr>
            <w:tcW w:w="2709" w:type="dxa"/>
            <w:tcBorders>
              <w:top w:val="single" w:sz="4" w:space="0" w:color="1B556B"/>
              <w:bottom w:val="single" w:sz="4" w:space="0" w:color="1B556B"/>
            </w:tcBorders>
            <w:shd w:val="clear" w:color="auto" w:fill="auto"/>
          </w:tcPr>
          <w:p w14:paraId="7A85FA02"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Tokelau Department of Transport and Support Services, Apia</w:t>
            </w:r>
          </w:p>
        </w:tc>
        <w:tc>
          <w:tcPr>
            <w:tcW w:w="3708" w:type="dxa"/>
            <w:tcBorders>
              <w:top w:val="single" w:sz="4" w:space="0" w:color="1B556B"/>
              <w:bottom w:val="single" w:sz="4" w:space="0" w:color="1B556B"/>
            </w:tcBorders>
            <w:shd w:val="clear" w:color="auto" w:fill="auto"/>
          </w:tcPr>
          <w:p w14:paraId="00D51F28" w14:textId="77777777" w:rsidR="00D71B94" w:rsidRPr="0053439C" w:rsidRDefault="00D71B94" w:rsidP="007E3239">
            <w:pPr>
              <w:pStyle w:val="TableText"/>
              <w:spacing w:before="50" w:after="50"/>
              <w:rPr>
                <w:rFonts w:eastAsia="Calibri" w:cs="Calibri"/>
                <w:szCs w:val="16"/>
              </w:rPr>
            </w:pPr>
            <w:r w:rsidRPr="0053439C">
              <w:rPr>
                <w:rFonts w:eastAsia="Calibri" w:cs="Calibri"/>
                <w:szCs w:val="16"/>
              </w:rPr>
              <w:t>Cargo shipping manifests for analysis of imports of all goods, and export of recyclables</w:t>
            </w:r>
          </w:p>
        </w:tc>
      </w:tr>
      <w:tr w:rsidR="00D71B94" w:rsidRPr="0053439C" w14:paraId="5766FB40" w14:textId="77777777" w:rsidTr="007E3239">
        <w:tc>
          <w:tcPr>
            <w:tcW w:w="567" w:type="dxa"/>
            <w:tcBorders>
              <w:top w:val="single" w:sz="4" w:space="0" w:color="1B556B"/>
              <w:bottom w:val="single" w:sz="4" w:space="0" w:color="1B556B"/>
            </w:tcBorders>
            <w:shd w:val="clear" w:color="auto" w:fill="FFFFFF"/>
          </w:tcPr>
          <w:p w14:paraId="596A8928" w14:textId="77777777" w:rsidR="00D71B94" w:rsidRPr="0053439C" w:rsidRDefault="00D71B94" w:rsidP="007E3239">
            <w:pPr>
              <w:pStyle w:val="TableTextBold"/>
              <w:keepNext/>
              <w:spacing w:before="50"/>
              <w:rPr>
                <w:rFonts w:eastAsia="Calibri"/>
                <w:noProof w:val="0"/>
              </w:rPr>
            </w:pPr>
            <w:r w:rsidRPr="0053439C">
              <w:rPr>
                <w:rFonts w:eastAsia="Calibri"/>
                <w:noProof w:val="0"/>
              </w:rPr>
              <w:lastRenderedPageBreak/>
              <w:t>14</w:t>
            </w:r>
          </w:p>
        </w:tc>
        <w:tc>
          <w:tcPr>
            <w:tcW w:w="1521" w:type="dxa"/>
            <w:tcBorders>
              <w:top w:val="single" w:sz="4" w:space="0" w:color="1B556B"/>
              <w:bottom w:val="single" w:sz="4" w:space="0" w:color="1B556B"/>
            </w:tcBorders>
            <w:shd w:val="clear" w:color="auto" w:fill="auto"/>
          </w:tcPr>
          <w:p w14:paraId="671C9623" w14:textId="77777777" w:rsidR="00D71B94" w:rsidRPr="0053439C" w:rsidRDefault="00D71B94" w:rsidP="007E3239">
            <w:pPr>
              <w:pStyle w:val="TableText"/>
              <w:keepNext/>
              <w:spacing w:before="50"/>
              <w:rPr>
                <w:rFonts w:eastAsia="Calibri" w:cs="Calibri"/>
                <w:szCs w:val="16"/>
              </w:rPr>
            </w:pPr>
            <w:r w:rsidRPr="0053439C">
              <w:rPr>
                <w:rFonts w:eastAsia="Calibri" w:cs="Calibri"/>
                <w:szCs w:val="16"/>
              </w:rPr>
              <w:t>2014 Imports study</w:t>
            </w:r>
          </w:p>
        </w:tc>
        <w:tc>
          <w:tcPr>
            <w:tcW w:w="2709" w:type="dxa"/>
            <w:tcBorders>
              <w:top w:val="single" w:sz="4" w:space="0" w:color="1B556B"/>
              <w:bottom w:val="single" w:sz="4" w:space="0" w:color="1B556B"/>
            </w:tcBorders>
            <w:shd w:val="clear" w:color="auto" w:fill="auto"/>
          </w:tcPr>
          <w:p w14:paraId="4EB8B3B3" w14:textId="77777777" w:rsidR="00D71B94" w:rsidRPr="0053439C" w:rsidRDefault="00D71B94" w:rsidP="007E3239">
            <w:pPr>
              <w:pStyle w:val="TableText"/>
              <w:keepNext/>
              <w:spacing w:before="50"/>
              <w:rPr>
                <w:rFonts w:eastAsia="Calibri" w:cs="Calibri"/>
                <w:szCs w:val="16"/>
              </w:rPr>
            </w:pPr>
            <w:r w:rsidRPr="0053439C">
              <w:rPr>
                <w:rFonts w:eastAsia="Calibri" w:cs="Calibri"/>
                <w:szCs w:val="16"/>
              </w:rPr>
              <w:t>Jasperse</w:t>
            </w:r>
            <w:r w:rsidRPr="0053439C">
              <w:rPr>
                <w:rFonts w:eastAsia="Calibri" w:cs="Calibri"/>
                <w:i/>
                <w:iCs/>
                <w:szCs w:val="16"/>
              </w:rPr>
              <w:t xml:space="preserve"> </w:t>
            </w:r>
            <w:r w:rsidRPr="0053439C">
              <w:rPr>
                <w:rFonts w:eastAsia="Calibri" w:cs="Calibri"/>
                <w:szCs w:val="16"/>
              </w:rPr>
              <w:t xml:space="preserve">JA. 2016. </w:t>
            </w:r>
            <w:r w:rsidRPr="0053439C">
              <w:rPr>
                <w:rFonts w:eastAsia="Calibri" w:cs="Calibri"/>
                <w:i/>
                <w:iCs/>
                <w:szCs w:val="16"/>
              </w:rPr>
              <w:t>Analysis of 2014 imports into Tokelau from Samoa, Part 2: Stores’ invoices reconciled with cargo manifests, and quality of life implications</w:t>
            </w:r>
            <w:r w:rsidRPr="0053439C">
              <w:rPr>
                <w:rFonts w:eastAsia="Calibri" w:cs="Calibri"/>
                <w:szCs w:val="16"/>
              </w:rPr>
              <w:t xml:space="preserve">, Tokelau National Statistics Office </w:t>
            </w:r>
          </w:p>
        </w:tc>
        <w:tc>
          <w:tcPr>
            <w:tcW w:w="3708" w:type="dxa"/>
            <w:tcBorders>
              <w:top w:val="single" w:sz="4" w:space="0" w:color="1B556B"/>
              <w:bottom w:val="single" w:sz="4" w:space="0" w:color="1B556B"/>
            </w:tcBorders>
            <w:shd w:val="clear" w:color="auto" w:fill="auto"/>
          </w:tcPr>
          <w:p w14:paraId="1ED2C4F4" w14:textId="77777777" w:rsidR="00D71B94" w:rsidRPr="0053439C" w:rsidRDefault="00D71B94" w:rsidP="007E3239">
            <w:pPr>
              <w:pStyle w:val="TableText"/>
              <w:keepNext/>
              <w:spacing w:before="50" w:after="0"/>
              <w:rPr>
                <w:rFonts w:eastAsia="Calibri" w:cs="Calibri"/>
                <w:szCs w:val="16"/>
              </w:rPr>
            </w:pPr>
            <w:r w:rsidRPr="0053439C">
              <w:rPr>
                <w:rFonts w:eastAsia="Calibri" w:cs="Calibri"/>
                <w:szCs w:val="16"/>
              </w:rPr>
              <w:t>Various Energy and Waste sector data, for example, calculation of per capita protein consumption</w:t>
            </w:r>
          </w:p>
          <w:p w14:paraId="16DA7FD6" w14:textId="77777777" w:rsidR="00D71B94" w:rsidRPr="0053439C" w:rsidRDefault="004B48CC" w:rsidP="007E3239">
            <w:pPr>
              <w:pStyle w:val="TableText"/>
              <w:keepNext/>
              <w:spacing w:before="0"/>
              <w:rPr>
                <w:rFonts w:eastAsia="Calibri" w:cs="Calibri"/>
                <w:szCs w:val="16"/>
              </w:rPr>
            </w:pPr>
            <w:hyperlink r:id="rId247" w:history="1">
              <w:r w:rsidR="00D71B94" w:rsidRPr="0053439C">
                <w:rPr>
                  <w:rStyle w:val="Hyperlink"/>
                  <w:rFonts w:eastAsia="Calibri" w:cs="Calibri"/>
                  <w:szCs w:val="16"/>
                </w:rPr>
                <w:t>www.tokelau.org.nz/Bulletin/September+2016/2014+imports+final.html</w:t>
              </w:r>
            </w:hyperlink>
          </w:p>
        </w:tc>
      </w:tr>
      <w:tr w:rsidR="00D71B94" w:rsidRPr="0053439C" w14:paraId="3DB07316" w14:textId="77777777" w:rsidTr="007E3239">
        <w:tc>
          <w:tcPr>
            <w:tcW w:w="567" w:type="dxa"/>
            <w:tcBorders>
              <w:top w:val="single" w:sz="4" w:space="0" w:color="1B556B"/>
              <w:bottom w:val="single" w:sz="4" w:space="0" w:color="1B556B"/>
            </w:tcBorders>
            <w:shd w:val="clear" w:color="auto" w:fill="FFFFFF"/>
          </w:tcPr>
          <w:p w14:paraId="24C19D2B" w14:textId="77777777" w:rsidR="00D71B94" w:rsidRPr="0053439C" w:rsidRDefault="00D71B94" w:rsidP="007E3239">
            <w:pPr>
              <w:pStyle w:val="TableText"/>
              <w:spacing w:before="50"/>
              <w:rPr>
                <w:rFonts w:eastAsia="Calibri" w:cs="Calibri"/>
                <w:b/>
                <w:bCs/>
                <w:szCs w:val="16"/>
              </w:rPr>
            </w:pPr>
            <w:r w:rsidRPr="0053439C">
              <w:rPr>
                <w:rFonts w:eastAsia="Calibri" w:cs="Calibri"/>
                <w:b/>
                <w:bCs/>
                <w:szCs w:val="16"/>
              </w:rPr>
              <w:t>15</w:t>
            </w:r>
          </w:p>
        </w:tc>
        <w:tc>
          <w:tcPr>
            <w:tcW w:w="1521" w:type="dxa"/>
            <w:tcBorders>
              <w:top w:val="single" w:sz="4" w:space="0" w:color="1B556B"/>
              <w:bottom w:val="single" w:sz="4" w:space="0" w:color="1B556B"/>
            </w:tcBorders>
            <w:shd w:val="clear" w:color="auto" w:fill="auto"/>
          </w:tcPr>
          <w:p w14:paraId="32B74912" w14:textId="77777777" w:rsidR="00D71B94" w:rsidRPr="0053439C" w:rsidRDefault="00D71B94" w:rsidP="007E3239">
            <w:pPr>
              <w:pStyle w:val="TableText"/>
              <w:spacing w:before="50"/>
              <w:rPr>
                <w:rFonts w:eastAsia="Calibri" w:cs="Calibri"/>
                <w:szCs w:val="16"/>
              </w:rPr>
            </w:pPr>
            <w:r w:rsidRPr="0053439C">
              <w:rPr>
                <w:rFonts w:eastAsia="Calibri" w:cs="Calibri"/>
                <w:szCs w:val="16"/>
              </w:rPr>
              <w:t>EDNRE</w:t>
            </w:r>
          </w:p>
        </w:tc>
        <w:tc>
          <w:tcPr>
            <w:tcW w:w="2709" w:type="dxa"/>
            <w:tcBorders>
              <w:top w:val="single" w:sz="4" w:space="0" w:color="1B556B"/>
              <w:bottom w:val="single" w:sz="4" w:space="0" w:color="1B556B"/>
            </w:tcBorders>
            <w:shd w:val="clear" w:color="auto" w:fill="auto"/>
          </w:tcPr>
          <w:p w14:paraId="3C7B1832" w14:textId="77777777" w:rsidR="00D71B94" w:rsidRPr="0053439C" w:rsidRDefault="00D71B94" w:rsidP="007E3239">
            <w:pPr>
              <w:pStyle w:val="TableText"/>
              <w:spacing w:before="50"/>
              <w:rPr>
                <w:rFonts w:eastAsia="Calibri" w:cs="Calibri"/>
                <w:szCs w:val="16"/>
              </w:rPr>
            </w:pPr>
            <w:r w:rsidRPr="0053439C">
              <w:rPr>
                <w:rFonts w:eastAsia="Calibri" w:cs="Calibri"/>
                <w:szCs w:val="16"/>
              </w:rPr>
              <w:t>Tokelau Department of Economic Development, Natural Resources and Environment</w:t>
            </w:r>
          </w:p>
        </w:tc>
        <w:tc>
          <w:tcPr>
            <w:tcW w:w="3708" w:type="dxa"/>
            <w:tcBorders>
              <w:top w:val="single" w:sz="4" w:space="0" w:color="1B556B"/>
              <w:bottom w:val="single" w:sz="4" w:space="0" w:color="1B556B"/>
            </w:tcBorders>
            <w:shd w:val="clear" w:color="auto" w:fill="auto"/>
          </w:tcPr>
          <w:p w14:paraId="595C1C24" w14:textId="77777777" w:rsidR="00D71B94" w:rsidRPr="0053439C" w:rsidRDefault="00D71B94" w:rsidP="007E3239">
            <w:pPr>
              <w:pStyle w:val="TableText"/>
              <w:spacing w:before="50"/>
              <w:rPr>
                <w:rFonts w:eastAsia="Calibri" w:cs="Calibri"/>
                <w:szCs w:val="16"/>
              </w:rPr>
            </w:pPr>
            <w:r w:rsidRPr="0053439C">
              <w:rPr>
                <w:rFonts w:eastAsia="Calibri" w:cs="Calibri"/>
                <w:szCs w:val="16"/>
              </w:rPr>
              <w:t>Anecdotal information on waste disposal and export</w:t>
            </w:r>
          </w:p>
        </w:tc>
      </w:tr>
      <w:tr w:rsidR="00D71B94" w:rsidRPr="0053439C" w14:paraId="3278015E" w14:textId="77777777" w:rsidTr="007E3239">
        <w:tc>
          <w:tcPr>
            <w:tcW w:w="567" w:type="dxa"/>
            <w:tcBorders>
              <w:top w:val="single" w:sz="4" w:space="0" w:color="1B556B"/>
              <w:bottom w:val="single" w:sz="4" w:space="0" w:color="1B556B"/>
            </w:tcBorders>
            <w:shd w:val="clear" w:color="auto" w:fill="FFFFFF"/>
          </w:tcPr>
          <w:p w14:paraId="353BDCF3" w14:textId="77777777" w:rsidR="00D71B94" w:rsidRPr="0053439C" w:rsidRDefault="00D71B94" w:rsidP="007E3239">
            <w:pPr>
              <w:pStyle w:val="TableText"/>
              <w:spacing w:before="50"/>
              <w:rPr>
                <w:rFonts w:eastAsia="Calibri" w:cs="Calibri"/>
                <w:b/>
                <w:bCs/>
                <w:szCs w:val="16"/>
              </w:rPr>
            </w:pPr>
            <w:r w:rsidRPr="0053439C">
              <w:rPr>
                <w:rFonts w:eastAsia="Calibri" w:cs="Calibri"/>
                <w:b/>
                <w:bCs/>
                <w:szCs w:val="16"/>
              </w:rPr>
              <w:t>16</w:t>
            </w:r>
          </w:p>
        </w:tc>
        <w:tc>
          <w:tcPr>
            <w:tcW w:w="1521" w:type="dxa"/>
            <w:tcBorders>
              <w:top w:val="single" w:sz="4" w:space="0" w:color="1B556B"/>
              <w:bottom w:val="single" w:sz="4" w:space="0" w:color="1B556B"/>
            </w:tcBorders>
            <w:shd w:val="clear" w:color="auto" w:fill="auto"/>
          </w:tcPr>
          <w:p w14:paraId="54981478" w14:textId="77777777" w:rsidR="00D71B94" w:rsidRPr="0053439C" w:rsidRDefault="00D71B94" w:rsidP="007E3239">
            <w:pPr>
              <w:pStyle w:val="TableText"/>
              <w:spacing w:before="50"/>
              <w:rPr>
                <w:rFonts w:eastAsia="Calibri" w:cs="Calibri"/>
                <w:szCs w:val="16"/>
              </w:rPr>
            </w:pPr>
            <w:r w:rsidRPr="0053439C">
              <w:rPr>
                <w:rFonts w:eastAsia="Calibri" w:cs="Calibri"/>
                <w:szCs w:val="16"/>
              </w:rPr>
              <w:t>PCRAFI</w:t>
            </w:r>
          </w:p>
        </w:tc>
        <w:tc>
          <w:tcPr>
            <w:tcW w:w="2709" w:type="dxa"/>
            <w:tcBorders>
              <w:top w:val="single" w:sz="4" w:space="0" w:color="1B556B"/>
              <w:bottom w:val="single" w:sz="4" w:space="0" w:color="1B556B"/>
            </w:tcBorders>
            <w:shd w:val="clear" w:color="auto" w:fill="auto"/>
          </w:tcPr>
          <w:p w14:paraId="6956104A" w14:textId="77777777" w:rsidR="00D71B94" w:rsidRPr="0053439C" w:rsidRDefault="00D71B94" w:rsidP="007E3239">
            <w:pPr>
              <w:pStyle w:val="TableText"/>
              <w:spacing w:before="50"/>
              <w:rPr>
                <w:rFonts w:eastAsia="Calibri" w:cs="Calibri"/>
                <w:szCs w:val="16"/>
              </w:rPr>
            </w:pPr>
            <w:r w:rsidRPr="0053439C">
              <w:rPr>
                <w:rFonts w:eastAsia="Calibri" w:cs="Calibri"/>
                <w:szCs w:val="16"/>
              </w:rPr>
              <w:t xml:space="preserve">Koroisamanunu, Iva; Joy Papao; Mereoni Ketewai; and Arieta Sokota: </w:t>
            </w:r>
            <w:r w:rsidRPr="0053439C">
              <w:rPr>
                <w:rFonts w:eastAsia="Calibri" w:cs="Calibri"/>
                <w:i/>
                <w:iCs/>
                <w:szCs w:val="16"/>
              </w:rPr>
              <w:t>Mission Preliminary Report (Fieldwork undertaken from 8 August – 2 September 2013). SOPAC technical note (PR193)</w:t>
            </w:r>
            <w:r w:rsidRPr="0053439C">
              <w:rPr>
                <w:rFonts w:eastAsia="Calibri" w:cs="Calibri"/>
                <w:szCs w:val="16"/>
              </w:rPr>
              <w:t>, May 2014. Water and Sanitation Programme and Disaster Reduction Programme. Applied Geoscience and Technology Division (SOPAC), Suva, Fiji Islands</w:t>
            </w:r>
          </w:p>
        </w:tc>
        <w:tc>
          <w:tcPr>
            <w:tcW w:w="3708" w:type="dxa"/>
            <w:tcBorders>
              <w:top w:val="single" w:sz="4" w:space="0" w:color="1B556B"/>
              <w:bottom w:val="single" w:sz="4" w:space="0" w:color="1B556B"/>
            </w:tcBorders>
            <w:shd w:val="clear" w:color="auto" w:fill="auto"/>
          </w:tcPr>
          <w:p w14:paraId="25BBD8C7" w14:textId="77777777" w:rsidR="00D71B94" w:rsidRPr="0053439C" w:rsidRDefault="00D71B94" w:rsidP="007E3239">
            <w:pPr>
              <w:pStyle w:val="TableText"/>
              <w:spacing w:before="50"/>
              <w:rPr>
                <w:rFonts w:eastAsia="Calibri" w:cs="Calibri"/>
                <w:szCs w:val="16"/>
              </w:rPr>
            </w:pPr>
            <w:r w:rsidRPr="0053439C">
              <w:rPr>
                <w:rFonts w:eastAsia="Calibri" w:cs="Calibri"/>
                <w:szCs w:val="16"/>
              </w:rPr>
              <w:t>Information on drinking water, wastewater and sanitation</w:t>
            </w:r>
          </w:p>
        </w:tc>
      </w:tr>
      <w:tr w:rsidR="00D71B94" w:rsidRPr="0053439C" w14:paraId="48E11BE4" w14:textId="77777777" w:rsidTr="007E3239">
        <w:tc>
          <w:tcPr>
            <w:tcW w:w="567" w:type="dxa"/>
            <w:tcBorders>
              <w:top w:val="single" w:sz="4" w:space="0" w:color="1B556B"/>
              <w:bottom w:val="single" w:sz="4" w:space="0" w:color="1B556B"/>
            </w:tcBorders>
            <w:shd w:val="clear" w:color="auto" w:fill="FFFFFF"/>
          </w:tcPr>
          <w:p w14:paraId="40D93A08" w14:textId="77777777" w:rsidR="00D71B94" w:rsidRPr="0053439C" w:rsidRDefault="00D71B94" w:rsidP="007E3239">
            <w:pPr>
              <w:pStyle w:val="TableText"/>
              <w:spacing w:before="50"/>
              <w:rPr>
                <w:rFonts w:eastAsia="Calibri" w:cs="Calibri"/>
                <w:b/>
                <w:bCs/>
                <w:szCs w:val="16"/>
              </w:rPr>
            </w:pPr>
            <w:r w:rsidRPr="0053439C">
              <w:rPr>
                <w:rFonts w:eastAsia="Calibri" w:cs="Calibri"/>
                <w:b/>
                <w:bCs/>
                <w:szCs w:val="16"/>
              </w:rPr>
              <w:t>17</w:t>
            </w:r>
          </w:p>
        </w:tc>
        <w:tc>
          <w:tcPr>
            <w:tcW w:w="1521" w:type="dxa"/>
            <w:tcBorders>
              <w:top w:val="single" w:sz="4" w:space="0" w:color="1B556B"/>
              <w:bottom w:val="single" w:sz="4" w:space="0" w:color="1B556B"/>
            </w:tcBorders>
            <w:shd w:val="clear" w:color="auto" w:fill="auto"/>
          </w:tcPr>
          <w:p w14:paraId="6894184D" w14:textId="77777777" w:rsidR="00D71B94" w:rsidRPr="0053439C" w:rsidRDefault="00D71B94" w:rsidP="007E3239">
            <w:pPr>
              <w:pStyle w:val="TableText"/>
              <w:spacing w:before="50"/>
              <w:rPr>
                <w:rFonts w:eastAsia="Calibri" w:cs="Calibri"/>
                <w:szCs w:val="16"/>
              </w:rPr>
            </w:pPr>
            <w:r w:rsidRPr="0053439C">
              <w:rPr>
                <w:rFonts w:eastAsia="Calibri" w:cs="Calibri"/>
                <w:szCs w:val="16"/>
              </w:rPr>
              <w:t>MiCORE</w:t>
            </w:r>
          </w:p>
        </w:tc>
        <w:tc>
          <w:tcPr>
            <w:tcW w:w="2709" w:type="dxa"/>
            <w:tcBorders>
              <w:top w:val="single" w:sz="4" w:space="0" w:color="1B556B"/>
              <w:bottom w:val="single" w:sz="4" w:space="0" w:color="1B556B"/>
            </w:tcBorders>
            <w:shd w:val="clear" w:color="auto" w:fill="auto"/>
          </w:tcPr>
          <w:p w14:paraId="1475222F" w14:textId="77777777" w:rsidR="00D71B94" w:rsidRPr="0053439C" w:rsidRDefault="00D71B94" w:rsidP="007E3239">
            <w:pPr>
              <w:pStyle w:val="TableText"/>
              <w:spacing w:before="50"/>
              <w:rPr>
                <w:rFonts w:eastAsia="Calibri" w:cs="Calibri"/>
                <w:szCs w:val="16"/>
              </w:rPr>
            </w:pPr>
            <w:r w:rsidRPr="0053439C">
              <w:rPr>
                <w:rFonts w:eastAsia="Calibri" w:cs="Calibri"/>
                <w:szCs w:val="16"/>
              </w:rPr>
              <w:t>Tokelau Ministry of Climate, Oceans and Resilience</w:t>
            </w:r>
          </w:p>
        </w:tc>
        <w:tc>
          <w:tcPr>
            <w:tcW w:w="3708" w:type="dxa"/>
            <w:tcBorders>
              <w:top w:val="single" w:sz="4" w:space="0" w:color="1B556B"/>
              <w:bottom w:val="single" w:sz="4" w:space="0" w:color="1B556B"/>
            </w:tcBorders>
            <w:shd w:val="clear" w:color="auto" w:fill="auto"/>
          </w:tcPr>
          <w:p w14:paraId="6CAD213D" w14:textId="77777777" w:rsidR="00D71B94" w:rsidRPr="0053439C" w:rsidRDefault="00D71B94" w:rsidP="007E3239">
            <w:pPr>
              <w:pStyle w:val="TableText"/>
              <w:spacing w:before="50"/>
              <w:rPr>
                <w:rFonts w:eastAsia="Calibri" w:cs="Calibri"/>
                <w:szCs w:val="16"/>
              </w:rPr>
            </w:pPr>
            <w:r w:rsidRPr="0053439C">
              <w:rPr>
                <w:rFonts w:eastAsia="Calibri" w:cs="Calibri"/>
                <w:szCs w:val="16"/>
              </w:rPr>
              <w:t>Partner to Memorandum of Understanding with New</w:t>
            </w:r>
            <w:r>
              <w:rPr>
                <w:rFonts w:eastAsia="Calibri" w:cs="Calibri"/>
                <w:szCs w:val="16"/>
              </w:rPr>
              <w:t> </w:t>
            </w:r>
            <w:r w:rsidRPr="0053439C">
              <w:rPr>
                <w:rFonts w:eastAsia="Calibri" w:cs="Calibri"/>
                <w:szCs w:val="16"/>
              </w:rPr>
              <w:t>Zealand Ministry for the Environment leading to</w:t>
            </w:r>
            <w:r>
              <w:rPr>
                <w:rFonts w:eastAsia="Calibri" w:cs="Calibri"/>
                <w:szCs w:val="16"/>
              </w:rPr>
              <w:t> </w:t>
            </w:r>
            <w:r w:rsidRPr="0053439C">
              <w:rPr>
                <w:rFonts w:eastAsia="Calibri" w:cs="Calibri"/>
                <w:szCs w:val="16"/>
              </w:rPr>
              <w:t>the present inventory</w:t>
            </w:r>
          </w:p>
        </w:tc>
      </w:tr>
    </w:tbl>
    <w:p w14:paraId="7EF7E80B" w14:textId="77777777" w:rsidR="00D71B94" w:rsidRPr="0053439C" w:rsidRDefault="00D71B94" w:rsidP="00D71B94">
      <w:pPr>
        <w:pStyle w:val="Heading5"/>
        <w:spacing w:before="360"/>
      </w:pPr>
      <w:r w:rsidRPr="0053439C">
        <w:t>Tokelau’s data and information in the Common Reporting Format Reporter</w:t>
      </w:r>
    </w:p>
    <w:p w14:paraId="078DF59F" w14:textId="77777777" w:rsidR="00D71B94" w:rsidRPr="0053439C" w:rsidRDefault="00D71B94" w:rsidP="00D71B94">
      <w:pPr>
        <w:pStyle w:val="BodyText"/>
      </w:pPr>
      <w:r w:rsidRPr="0053439C">
        <w:t xml:space="preserve">Because methodologies for estimating emissions in Tokelau and New Zealand differ, adding Tokelau and New Zealand’s activity data at a category level and estimating combined emissions within each category is currently not possible. Due to limitations of the CRF software, including specific categories for Tokelau consistently across all inventory sectors is also not possible. </w:t>
      </w:r>
    </w:p>
    <w:p w14:paraId="6C147F8B" w14:textId="77777777" w:rsidR="00D71B94" w:rsidRPr="0053439C" w:rsidRDefault="00D71B94" w:rsidP="00D71B94">
      <w:pPr>
        <w:pStyle w:val="BodyText"/>
      </w:pPr>
      <w:r w:rsidRPr="0053439C">
        <w:t xml:space="preserve">Tokelau requested New Zealand’s inventory team to maintain visibility of the data from Tokelau in the CRF, so that Tokelau officials could use them for other reporting and policy purposes. Reporting Tokelau as a different inventory sector provides this visibility. </w:t>
      </w:r>
    </w:p>
    <w:p w14:paraId="696DECD5" w14:textId="77777777" w:rsidR="00D71B94" w:rsidRPr="0053439C" w:rsidRDefault="00D71B94" w:rsidP="00D71B94">
      <w:pPr>
        <w:pStyle w:val="BodyText"/>
      </w:pPr>
      <w:r w:rsidRPr="0053439C">
        <w:t xml:space="preserve">To maintain transparency of the inventory and visibility of the GHG data from Tokelau, CRF sector 6 (Other) was used to present emissions from Tokelau by sector in the CRF. Currently, the CRF Reporter does not allow creating subcategory levels in sector 6. To avoid double counting in the CRF, the data and information are aggregated for each of the Energy, IPPU, Agriculture and Waste sectors. In addition, annex 7 includes detailed tables with time series from 1990 to 2020 for each category reported for Tokelau. For comparability reasons, these tables are in the same format as the CRF entry tables, and the table names follow the CRF naming convention for emission categories. The executive summary and chapter 2 of the National Inventory Report include comparisons between Tokelau and New Zealand’s emissions. </w:t>
      </w:r>
    </w:p>
    <w:p w14:paraId="3923929A" w14:textId="77777777" w:rsidR="00D71B94" w:rsidRPr="0053439C" w:rsidRDefault="00D71B94" w:rsidP="00D71B94">
      <w:pPr>
        <w:pStyle w:val="Heading3"/>
      </w:pPr>
      <w:r w:rsidRPr="0053439C">
        <w:t>8.1.4</w:t>
      </w:r>
      <w:r w:rsidRPr="0053439C">
        <w:tab/>
        <w:t xml:space="preserve">Recalculation </w:t>
      </w:r>
      <w:r w:rsidRPr="00FD2384">
        <w:t>and</w:t>
      </w:r>
      <w:r w:rsidRPr="0053439C">
        <w:t xml:space="preserve"> improvements</w:t>
      </w:r>
    </w:p>
    <w:p w14:paraId="24BBF504" w14:textId="77777777" w:rsidR="00D71B94" w:rsidRPr="0053439C" w:rsidRDefault="00D71B94" w:rsidP="00D71B94">
      <w:pPr>
        <w:pStyle w:val="BodyText"/>
        <w:rPr>
          <w:lang w:eastAsia="en-GB"/>
        </w:rPr>
      </w:pPr>
      <w:r w:rsidRPr="0053439C">
        <w:rPr>
          <w:lang w:eastAsia="en-GB"/>
        </w:rPr>
        <w:t xml:space="preserve">One minor recalculation has been made in the Tokelau emission estimates since the 2020 submission. </w:t>
      </w:r>
      <w:r w:rsidRPr="0053439C">
        <w:rPr>
          <w:rFonts w:eastAsia="Arial"/>
        </w:rPr>
        <w:t>The recalculation made for the Tokelau sector has resulted in no change in emissions in 1990 and a 0.1 per cent (0.0023 kt CO</w:t>
      </w:r>
      <w:r w:rsidRPr="0053439C">
        <w:rPr>
          <w:rFonts w:eastAsia="Arial"/>
          <w:vertAlign w:val="subscript"/>
        </w:rPr>
        <w:t>2</w:t>
      </w:r>
      <w:r w:rsidRPr="0053439C">
        <w:rPr>
          <w:rFonts w:eastAsia="Arial"/>
        </w:rPr>
        <w:t xml:space="preserve">-e) increase in emissions in 2019. </w:t>
      </w:r>
    </w:p>
    <w:p w14:paraId="59B3507A" w14:textId="77777777" w:rsidR="00D71B94" w:rsidRPr="0053439C" w:rsidRDefault="00D71B94" w:rsidP="00D71B94">
      <w:pPr>
        <w:pStyle w:val="Heading2"/>
        <w:spacing w:before="280"/>
      </w:pPr>
      <w:bookmarkStart w:id="2530" w:name="_Toc5269394"/>
      <w:bookmarkStart w:id="2531" w:name="_Toc36224434"/>
      <w:bookmarkStart w:id="2532" w:name="_Toc68786354"/>
      <w:bookmarkStart w:id="2533" w:name="_Toc99659160"/>
      <w:r w:rsidRPr="0053439C">
        <w:lastRenderedPageBreak/>
        <w:t xml:space="preserve">8.2 </w:t>
      </w:r>
      <w:r w:rsidRPr="0053439C">
        <w:tab/>
        <w:t>Energy emissions from Tokelau (CRF</w:t>
      </w:r>
      <w:r>
        <w:t> </w:t>
      </w:r>
      <w:r w:rsidRPr="0053439C">
        <w:t>6.</w:t>
      </w:r>
      <w:r>
        <w:t> </w:t>
      </w:r>
      <w:r w:rsidRPr="0053439C">
        <w:t>Tokelau_1)</w:t>
      </w:r>
      <w:bookmarkEnd w:id="2530"/>
      <w:bookmarkEnd w:id="2531"/>
      <w:bookmarkEnd w:id="2532"/>
      <w:bookmarkEnd w:id="2533"/>
    </w:p>
    <w:p w14:paraId="4F2330BC" w14:textId="77777777" w:rsidR="00D71B94" w:rsidRPr="0053439C" w:rsidRDefault="00D71B94" w:rsidP="00D71B94">
      <w:pPr>
        <w:pStyle w:val="BodyText"/>
      </w:pPr>
      <w:r w:rsidRPr="0053439C">
        <w:t>The total amount of all energy emissions in Tokelau in 2020 was 2.40 kt CO</w:t>
      </w:r>
      <w:r w:rsidRPr="0053439C">
        <w:rPr>
          <w:vertAlign w:val="subscript"/>
        </w:rPr>
        <w:t>2</w:t>
      </w:r>
      <w:r w:rsidRPr="0053439C">
        <w:t xml:space="preserve">-e. This contributed 57.5 per cent to the total emissions from Tokelau and </w:t>
      </w:r>
      <w:r w:rsidRPr="00505B35">
        <w:t>0.0031</w:t>
      </w:r>
      <w:r w:rsidRPr="0053439C">
        <w:t xml:space="preserve"> per cent to New Zealand’s gross emissions including Tokelau. The categories that contributed to the energy emissions were </w:t>
      </w:r>
      <w:r w:rsidRPr="0053439C">
        <w:rPr>
          <w:i/>
          <w:iCs/>
        </w:rPr>
        <w:t>Domestic navigation</w:t>
      </w:r>
      <w:r w:rsidRPr="0053439C">
        <w:t>,</w:t>
      </w:r>
      <w:r w:rsidRPr="0053439C">
        <w:rPr>
          <w:i/>
          <w:iCs/>
        </w:rPr>
        <w:t xml:space="preserve"> Public electricity and heat production </w:t>
      </w:r>
      <w:r w:rsidRPr="0053439C">
        <w:t>and </w:t>
      </w:r>
      <w:r w:rsidRPr="0053439C">
        <w:rPr>
          <w:i/>
          <w:iCs/>
        </w:rPr>
        <w:t>Other – Residential</w:t>
      </w:r>
      <w:r w:rsidRPr="0053439C">
        <w:t>.</w:t>
      </w:r>
    </w:p>
    <w:p w14:paraId="14118307" w14:textId="77777777" w:rsidR="00D71B94" w:rsidRPr="0053439C" w:rsidRDefault="00D71B94" w:rsidP="00D71B94">
      <w:pPr>
        <w:pStyle w:val="BodyText"/>
      </w:pPr>
      <w:r w:rsidRPr="0053439C">
        <w:t xml:space="preserve">For all energy categories, emissions were estimated using the Tier 1 methodological approach with default emission factors (2006 IPCC Guidelines). Default uncertainty values from the 2006 IPCC Guidelines were used for all estimates (IPCC, 2006a). </w:t>
      </w:r>
    </w:p>
    <w:p w14:paraId="7EDC5824" w14:textId="77777777" w:rsidR="00D71B94" w:rsidRPr="0053439C" w:rsidRDefault="00D71B94" w:rsidP="00D71B94">
      <w:pPr>
        <w:pStyle w:val="BodyText"/>
      </w:pPr>
      <w:r w:rsidRPr="0053439C">
        <w:rPr>
          <w:lang w:eastAsia="en-GB"/>
        </w:rPr>
        <w:t xml:space="preserve">Tokelau predominately uses diesel oil and petrol (for back-up generators and transport) and liquefied petroleum gas (LPG) (for cooking purposes). Solid fuels are not used in Tokelau, other than on a small scale, and are not estimated, for instance the husks of </w:t>
      </w:r>
      <w:r w:rsidRPr="0053439C">
        <w:t>locally</w:t>
      </w:r>
      <w:r w:rsidRPr="0053439C">
        <w:rPr>
          <w:lang w:eastAsia="en-GB"/>
        </w:rPr>
        <w:t xml:space="preserve"> grown coconuts. </w:t>
      </w:r>
    </w:p>
    <w:p w14:paraId="662E4A8C" w14:textId="77777777" w:rsidR="00D71B94" w:rsidRPr="0053439C" w:rsidRDefault="00D71B94" w:rsidP="00D71B94">
      <w:pPr>
        <w:pStyle w:val="BodyText"/>
        <w:rPr>
          <w:lang w:eastAsia="en-GB"/>
        </w:rPr>
      </w:pPr>
      <w:r w:rsidRPr="0053439C">
        <w:rPr>
          <w:lang w:eastAsia="en-GB"/>
        </w:rPr>
        <w:t xml:space="preserve">Miniscule amounts of other fossil fuels are imported by Tokelau, which are assumed to be combusted. These include gasoline, other kerosene and lubricants: their combustion is accounted for under </w:t>
      </w:r>
      <w:r w:rsidRPr="0053439C">
        <w:rPr>
          <w:i/>
          <w:lang w:eastAsia="en-GB"/>
        </w:rPr>
        <w:t>Gas/diesel oil</w:t>
      </w:r>
      <w:r w:rsidRPr="0053439C">
        <w:rPr>
          <w:lang w:eastAsia="en-GB"/>
        </w:rPr>
        <w:t>. Around 40 drums (205-litre capacity per drum) of oil are imported annually, the bulk of which is presumably mixed with petrol and used for ‘outboard’ engines and combusted, with only a few drums used to lubricate cars and other engines. Because none of those are recycled, combustion is the most likely outcome. O</w:t>
      </w:r>
      <w:r>
        <w:rPr>
          <w:lang w:eastAsia="en-GB"/>
        </w:rPr>
        <w:t>acc</w:t>
      </w:r>
      <w:r w:rsidRPr="0053439C">
        <w:rPr>
          <w:lang w:eastAsia="en-GB"/>
        </w:rPr>
        <w:t xml:space="preserve">il changes carried out in Apia during servicing of the ferries </w:t>
      </w:r>
      <w:r w:rsidRPr="0053439C">
        <w:rPr>
          <w:i/>
          <w:lang w:eastAsia="en-GB"/>
        </w:rPr>
        <w:t>Mataliki</w:t>
      </w:r>
      <w:r w:rsidRPr="0053439C">
        <w:rPr>
          <w:lang w:eastAsia="en-GB"/>
        </w:rPr>
        <w:t xml:space="preserve"> and </w:t>
      </w:r>
      <w:r w:rsidRPr="0053439C">
        <w:rPr>
          <w:i/>
          <w:lang w:eastAsia="en-GB"/>
        </w:rPr>
        <w:t>Kalopaga</w:t>
      </w:r>
      <w:r w:rsidRPr="0053439C">
        <w:rPr>
          <w:lang w:eastAsia="en-GB"/>
        </w:rPr>
        <w:t xml:space="preserve">, after every five roundtrips, has the more significant amount of waste oil remaining in Samoa not Tokelau. </w:t>
      </w:r>
    </w:p>
    <w:p w14:paraId="18EEC53D" w14:textId="77777777" w:rsidR="00D71B94" w:rsidRPr="0053439C" w:rsidRDefault="00D71B94" w:rsidP="00D71B94">
      <w:pPr>
        <w:pStyle w:val="BodyText"/>
        <w:rPr>
          <w:lang w:eastAsia="en-GB"/>
        </w:rPr>
      </w:pPr>
      <w:r w:rsidRPr="0053439C">
        <w:rPr>
          <w:lang w:eastAsia="en-GB"/>
        </w:rPr>
        <w:t>For consistency with New Zealand’s Energy sector, gross calorific values were used for Energy sector estimates from Tokelau. The relevant default IPCC emission factors were adjusted accordingly by multiplying them by 0.95 and 0.90 for liquid and gaseous fuels respectively.</w:t>
      </w:r>
    </w:p>
    <w:p w14:paraId="1B11699D" w14:textId="77777777" w:rsidR="00D71B94" w:rsidRPr="0053439C" w:rsidRDefault="00D71B94" w:rsidP="00D71B94">
      <w:pPr>
        <w:pStyle w:val="Heading3"/>
        <w:spacing w:before="280"/>
      </w:pPr>
      <w:r w:rsidRPr="0053439C">
        <w:t xml:space="preserve">8.2.1 </w:t>
      </w:r>
      <w:r w:rsidRPr="0053439C">
        <w:tab/>
        <w:t>Reference approach</w:t>
      </w:r>
    </w:p>
    <w:p w14:paraId="060D6536" w14:textId="77777777" w:rsidR="00D71B94" w:rsidRPr="0053439C" w:rsidRDefault="00D71B94" w:rsidP="00D71B94">
      <w:pPr>
        <w:pStyle w:val="BodyText"/>
        <w:rPr>
          <w:lang w:eastAsia="en-GB"/>
        </w:rPr>
      </w:pPr>
      <w:r w:rsidRPr="0053439C">
        <w:rPr>
          <w:lang w:eastAsia="en-GB"/>
        </w:rPr>
        <w:t xml:space="preserve">The reference approach calculations were performed according to the methods described in the 2006 IPCC Guidelines. Equations 6.1 to 6.4 from chapter 6 in the 2006 IPCC Guidelines were used for calculating apparent consumption and estimating emissions (IPCC, 2006a). Gross calorific values were used for all calculations. </w:t>
      </w:r>
    </w:p>
    <w:p w14:paraId="4AF06C6F" w14:textId="77777777" w:rsidR="00D71B94" w:rsidRPr="0053439C" w:rsidRDefault="00D71B94" w:rsidP="00D71B94">
      <w:pPr>
        <w:pStyle w:val="BodyText"/>
        <w:rPr>
          <w:lang w:eastAsia="en-GB"/>
        </w:rPr>
      </w:pPr>
      <w:r w:rsidRPr="0053439C">
        <w:rPr>
          <w:lang w:eastAsia="en-GB"/>
        </w:rPr>
        <w:t>In 2020, total CO</w:t>
      </w:r>
      <w:r w:rsidRPr="0053439C">
        <w:rPr>
          <w:vertAlign w:val="subscript"/>
          <w:lang w:eastAsia="en-GB"/>
        </w:rPr>
        <w:t>2</w:t>
      </w:r>
      <w:r w:rsidRPr="0053439C">
        <w:rPr>
          <w:lang w:eastAsia="en-GB"/>
        </w:rPr>
        <w:t xml:space="preserve"> emissions from the reference approach in Tokelau were 2.33 kt, which differs from the sectoral approach by 2.1 per cent. The average variation of differences between the sectoral and reference approach across the time series was 2.2 per cent. </w:t>
      </w:r>
    </w:p>
    <w:p w14:paraId="047CB16C" w14:textId="77777777" w:rsidR="00D71B94" w:rsidRPr="0053439C" w:rsidRDefault="00D71B94" w:rsidP="00D71B94">
      <w:pPr>
        <w:pStyle w:val="Heading3"/>
        <w:spacing w:before="280"/>
      </w:pPr>
      <w:r w:rsidRPr="0053439C">
        <w:rPr>
          <w:lang w:eastAsia="en-GB"/>
        </w:rPr>
        <w:t>8.2.2</w:t>
      </w:r>
      <w:r w:rsidRPr="0053439C">
        <w:rPr>
          <w:lang w:eastAsia="en-GB"/>
        </w:rPr>
        <w:tab/>
        <w:t>International bunker fuels</w:t>
      </w:r>
    </w:p>
    <w:p w14:paraId="3EAF4092" w14:textId="77777777" w:rsidR="00D71B94" w:rsidRPr="0053439C" w:rsidRDefault="00D71B94" w:rsidP="00D71B94">
      <w:pPr>
        <w:pStyle w:val="BodyText"/>
        <w:rPr>
          <w:lang w:eastAsia="en-GB"/>
        </w:rPr>
      </w:pPr>
      <w:r w:rsidRPr="0053439C">
        <w:rPr>
          <w:lang w:eastAsia="en-GB"/>
        </w:rPr>
        <w:t>No fuel is used for international navigation in Tokelau, because only domestic voyages are made by Tokelau’s vessels. All international voyages use the fuel loaded in Samoa and no refuelling is done in Tokelau for the international routes.</w:t>
      </w:r>
    </w:p>
    <w:p w14:paraId="644CEDB0" w14:textId="77777777" w:rsidR="00D71B94" w:rsidRPr="0053439C" w:rsidRDefault="00D71B94" w:rsidP="00D71B94">
      <w:pPr>
        <w:pStyle w:val="BodyText"/>
      </w:pPr>
      <w:r w:rsidRPr="0053439C">
        <w:rPr>
          <w:lang w:eastAsia="en-GB"/>
        </w:rPr>
        <w:t xml:space="preserve">Tokelau has no aviation transportation (domestic or international). </w:t>
      </w:r>
    </w:p>
    <w:p w14:paraId="7647722B" w14:textId="77777777" w:rsidR="00D71B94" w:rsidRPr="0053439C" w:rsidRDefault="00D71B94" w:rsidP="00D71B94">
      <w:pPr>
        <w:pStyle w:val="Heading3"/>
        <w:spacing w:before="280"/>
      </w:pPr>
      <w:r w:rsidRPr="0053439C">
        <w:lastRenderedPageBreak/>
        <w:t xml:space="preserve">8.2.3 </w:t>
      </w:r>
      <w:r w:rsidRPr="0053439C">
        <w:tab/>
        <w:t xml:space="preserve">Stationary combustion: </w:t>
      </w:r>
      <w:r w:rsidRPr="00C168A0">
        <w:rPr>
          <w:iCs/>
        </w:rPr>
        <w:t>Public electricity and heat</w:t>
      </w:r>
      <w:r>
        <w:rPr>
          <w:iCs/>
        </w:rPr>
        <w:t> </w:t>
      </w:r>
      <w:r w:rsidRPr="00C168A0">
        <w:rPr>
          <w:iCs/>
        </w:rPr>
        <w:t>production</w:t>
      </w:r>
    </w:p>
    <w:p w14:paraId="2DF3D7C7" w14:textId="77777777" w:rsidR="00D71B94" w:rsidRPr="0053439C" w:rsidRDefault="00D71B94" w:rsidP="00D71B94">
      <w:pPr>
        <w:pStyle w:val="Heading4"/>
        <w:spacing w:before="160"/>
      </w:pPr>
      <w:r w:rsidRPr="0053439C">
        <w:t>Description</w:t>
      </w:r>
    </w:p>
    <w:p w14:paraId="7EA9C661" w14:textId="77777777" w:rsidR="00D71B94" w:rsidRPr="0053439C" w:rsidRDefault="00D71B94" w:rsidP="00D71B94">
      <w:pPr>
        <w:pStyle w:val="BodyText"/>
        <w:spacing w:before="100" w:after="100"/>
      </w:pPr>
      <w:r w:rsidRPr="0053439C">
        <w:t xml:space="preserve">The main source of emissions from this category in Tokelau includes electricity production from back-up generators. Tokelau uses liquid fossil fuels for these purposes; therefore, only liquid fossil fuels are reported under the </w:t>
      </w:r>
      <w:r w:rsidRPr="0053439C">
        <w:rPr>
          <w:i/>
        </w:rPr>
        <w:t>Energy industries</w:t>
      </w:r>
      <w:r w:rsidRPr="0053439C">
        <w:t xml:space="preserve"> category.</w:t>
      </w:r>
    </w:p>
    <w:p w14:paraId="522C7651" w14:textId="77777777" w:rsidR="00D71B94" w:rsidRPr="0053439C" w:rsidRDefault="00D71B94" w:rsidP="00D71B94">
      <w:pPr>
        <w:pStyle w:val="BodyText"/>
        <w:spacing w:before="100" w:after="100"/>
      </w:pPr>
      <w:r w:rsidRPr="0053439C">
        <w:t>Like most small Pacific Island nations and territories, Tokelau has been heavily reliant on the importation of fossil fuels for energy generation. Imports increased significantly in 2004, when electric power became available for households 24 hours a day, 7 days a week. Before that, electricity was generated between 6 pm and 10 pm daily, and annual diesel consumption was about 20 per cent of the value in 2011.</w:t>
      </w:r>
    </w:p>
    <w:p w14:paraId="0EC3DDAA" w14:textId="77777777" w:rsidR="00D71B94" w:rsidRPr="0053439C" w:rsidRDefault="00D71B94" w:rsidP="00D71B94">
      <w:pPr>
        <w:pStyle w:val="BodyText"/>
      </w:pPr>
      <w:r w:rsidRPr="0053439C">
        <w:t xml:space="preserve">In 2012, the installation of 4,000 solar photovoltaics (PV) systems across the three atolls was completed (figure 8.2.1). Each of the three Tokelau atolls now has a significant array of solar PV systems that cater for almost all local electric power requirements. </w:t>
      </w:r>
    </w:p>
    <w:p w14:paraId="0B1B8D3D" w14:textId="77777777" w:rsidR="00D71B94" w:rsidRPr="0053439C" w:rsidRDefault="00D71B94" w:rsidP="00D71B94">
      <w:pPr>
        <w:pStyle w:val="Figure"/>
      </w:pPr>
      <w:bookmarkStart w:id="2534" w:name="_Toc5269725"/>
      <w:bookmarkStart w:id="2535" w:name="_Toc36292828"/>
      <w:bookmarkStart w:id="2536" w:name="_Toc64972935"/>
      <w:bookmarkStart w:id="2537" w:name="_Toc68786692"/>
      <w:bookmarkStart w:id="2538" w:name="_Toc99696063"/>
      <w:r w:rsidRPr="0053439C">
        <w:t xml:space="preserve">Figure 8.2.1 </w:t>
      </w:r>
      <w:r w:rsidRPr="0053439C">
        <w:tab/>
        <w:t>Cluster block diagram for Tokelau’s solar project</w:t>
      </w:r>
      <w:bookmarkEnd w:id="2534"/>
      <w:bookmarkEnd w:id="2535"/>
      <w:bookmarkEnd w:id="2536"/>
      <w:bookmarkEnd w:id="2537"/>
      <w:bookmarkEnd w:id="2538"/>
    </w:p>
    <w:p w14:paraId="3B0625C4" w14:textId="77777777" w:rsidR="00D71B94" w:rsidRPr="0053439C" w:rsidRDefault="004B48CC" w:rsidP="00D71B94">
      <w:pPr>
        <w:pStyle w:val="BodyText"/>
      </w:pPr>
      <w:r>
        <w:rPr>
          <w:noProof/>
        </w:rPr>
        <w:pict w14:anchorId="4087D0C0">
          <v:shape id="Picture 2" o:spid="_x0000_s2051" type="#_x0000_t75" alt="Graphical user interface, application&#10;&#10;Description automatically generated" style="position:absolute;margin-left:228.55pt;margin-top:153.45pt;width:128.4pt;height:78.9pt;z-index:2;visibility:visible;mso-wrap-style:square;mso-wrap-distance-left:9pt;mso-wrap-distance-top:0;mso-wrap-distance-right:9pt;mso-wrap-distance-bottom:0;mso-position-horizontal-relative:text;mso-position-vertical-relative:text;mso-width-relative:page;mso-height-relative:page">
            <v:imagedata r:id="rId248" o:title="Graphical user interface, application&#10;&#10;Description automatically generated" croptop="27386f" cropbottom="8516f" cropleft="13960f" cropright="25892f"/>
          </v:shape>
        </w:pict>
      </w:r>
      <w:r>
        <w:rPr>
          <w:noProof/>
        </w:rPr>
        <w:pict w14:anchorId="78885C61">
          <v:shape id="Picture 135" o:spid="_x0000_i1139" type="#_x0000_t75" alt="Graphical user interface&#10;&#10;Description automatically generated" style="width:378.4pt;height:219.35pt;visibility:visible;mso-wrap-style:square">
            <v:imagedata r:id="rId249" o:title="Graphical user interface&#10;&#10;Description automatically generated" croptop="20820f" cropbottom="21049f" cropleft="21179f" cropright="21567f"/>
          </v:shape>
        </w:pict>
      </w:r>
    </w:p>
    <w:p w14:paraId="75E3AA6A" w14:textId="77777777" w:rsidR="00D71B94" w:rsidRPr="0053439C" w:rsidRDefault="00D71B94" w:rsidP="00D71B94">
      <w:pPr>
        <w:pStyle w:val="Source"/>
        <w:spacing w:before="240" w:after="120"/>
        <w:rPr>
          <w:sz w:val="18"/>
          <w:szCs w:val="24"/>
        </w:rPr>
      </w:pPr>
      <w:r w:rsidRPr="0053439C">
        <w:rPr>
          <w:b/>
          <w:sz w:val="18"/>
          <w:szCs w:val="24"/>
        </w:rPr>
        <w:t>Source:</w:t>
      </w:r>
      <w:r w:rsidRPr="0053439C">
        <w:rPr>
          <w:sz w:val="18"/>
          <w:szCs w:val="24"/>
        </w:rPr>
        <w:tab/>
        <w:t xml:space="preserve">SMA </w:t>
      </w:r>
    </w:p>
    <w:p w14:paraId="3A0D9906" w14:textId="77777777" w:rsidR="00D71B94" w:rsidRPr="0053439C" w:rsidRDefault="00D71B94" w:rsidP="00D71B94">
      <w:pPr>
        <w:pStyle w:val="BodyText"/>
      </w:pPr>
      <w:r w:rsidRPr="0053439C">
        <w:t>Tokelau received wide media coverage for its installation of solar PV units.</w:t>
      </w:r>
      <w:r w:rsidRPr="0053439C">
        <w:rPr>
          <w:vertAlign w:val="superscript"/>
        </w:rPr>
        <w:footnoteReference w:id="68"/>
      </w:r>
      <w:r w:rsidRPr="0053439C">
        <w:t xml:space="preserve"> The change resulted in a significant drop in liquid fossil fuels consumption for electricity production in Tokelau (by around 82.5 per cent) and a decrease in the total energy emissions by 36.4 per cent between 2011 and 2013. However, some power generation using diesel remains necessary as back up, during the failure of solar PV units, prolonged cloudy spells, and to meet</w:t>
      </w:r>
      <w:r>
        <w:t> </w:t>
      </w:r>
      <w:r w:rsidRPr="0053439C">
        <w:t>the steadily increasing demand from households and the public sector.</w:t>
      </w:r>
    </w:p>
    <w:p w14:paraId="36B4400A" w14:textId="77777777" w:rsidR="00D71B94" w:rsidRPr="0053439C" w:rsidRDefault="00D71B94" w:rsidP="00D71B94">
      <w:pPr>
        <w:pStyle w:val="Heading5"/>
      </w:pPr>
      <w:r w:rsidRPr="0053439C">
        <w:lastRenderedPageBreak/>
        <w:t>Energy emission trends</w:t>
      </w:r>
    </w:p>
    <w:p w14:paraId="3C0996B3" w14:textId="77777777" w:rsidR="00D71B94" w:rsidRPr="0053439C" w:rsidRDefault="00D71B94" w:rsidP="00D71B94">
      <w:pPr>
        <w:pStyle w:val="BodyText"/>
        <w:rPr>
          <w:lang w:eastAsia="en-GB"/>
        </w:rPr>
      </w:pPr>
      <w:r w:rsidRPr="00897825">
        <w:rPr>
          <w:lang w:eastAsia="en-GB"/>
        </w:rPr>
        <w:t xml:space="preserve">For Tokelau, the </w:t>
      </w:r>
      <w:r w:rsidRPr="00897825">
        <w:rPr>
          <w:i/>
          <w:iCs/>
          <w:lang w:eastAsia="en-GB"/>
        </w:rPr>
        <w:t>Public electricity and heat production</w:t>
      </w:r>
      <w:r w:rsidRPr="00897825">
        <w:rPr>
          <w:lang w:eastAsia="en-GB"/>
        </w:rPr>
        <w:t xml:space="preserve"> category accounted for </w:t>
      </w:r>
      <w:r w:rsidRPr="00897825">
        <w:t>100 per cent</w:t>
      </w:r>
      <w:r w:rsidRPr="00897825">
        <w:rPr>
          <w:lang w:eastAsia="en-GB"/>
        </w:rPr>
        <w:t xml:space="preserve"> of the emissions from the </w:t>
      </w:r>
      <w:r w:rsidRPr="00897825">
        <w:rPr>
          <w:i/>
          <w:iCs/>
          <w:lang w:eastAsia="en-GB"/>
        </w:rPr>
        <w:t>Energy industries</w:t>
      </w:r>
      <w:r w:rsidRPr="00897825">
        <w:rPr>
          <w:lang w:eastAsia="en-GB"/>
        </w:rPr>
        <w:t xml:space="preserve"> category for the entire time series. In </w:t>
      </w:r>
      <w:r w:rsidRPr="00897825">
        <w:t>2020</w:t>
      </w:r>
      <w:r w:rsidRPr="00897825">
        <w:rPr>
          <w:lang w:eastAsia="en-GB"/>
        </w:rPr>
        <w:t xml:space="preserve">, emissions from the </w:t>
      </w:r>
      <w:r w:rsidRPr="00897825">
        <w:rPr>
          <w:i/>
          <w:iCs/>
          <w:lang w:eastAsia="en-GB"/>
        </w:rPr>
        <w:t>Energy industries</w:t>
      </w:r>
      <w:r w:rsidRPr="00897825">
        <w:rPr>
          <w:lang w:eastAsia="en-GB"/>
        </w:rPr>
        <w:t xml:space="preserve"> category totalled </w:t>
      </w:r>
      <w:r w:rsidRPr="00897825">
        <w:t xml:space="preserve">0.23 </w:t>
      </w:r>
      <w:r w:rsidRPr="00897825">
        <w:rPr>
          <w:lang w:eastAsia="en-GB"/>
        </w:rPr>
        <w:t>kt CO</w:t>
      </w:r>
      <w:r w:rsidRPr="00897825">
        <w:rPr>
          <w:vertAlign w:val="subscript"/>
          <w:lang w:eastAsia="en-GB"/>
        </w:rPr>
        <w:t>2</w:t>
      </w:r>
      <w:r w:rsidRPr="00897825">
        <w:rPr>
          <w:lang w:eastAsia="en-GB"/>
        </w:rPr>
        <w:t>-e (</w:t>
      </w:r>
      <w:r w:rsidRPr="00897825">
        <w:t>9.4 per cent</w:t>
      </w:r>
      <w:r w:rsidRPr="00897825">
        <w:rPr>
          <w:lang w:eastAsia="en-GB"/>
        </w:rPr>
        <w:t xml:space="preserve"> of all energy emissions from Tokelau). Emissions from energy industries have </w:t>
      </w:r>
      <w:r w:rsidRPr="00897825">
        <w:t>decreased by 0.004 </w:t>
      </w:r>
      <w:r w:rsidRPr="00897825">
        <w:rPr>
          <w:lang w:eastAsia="en-GB"/>
        </w:rPr>
        <w:t>kt CO</w:t>
      </w:r>
      <w:r w:rsidRPr="00897825">
        <w:rPr>
          <w:vertAlign w:val="subscript"/>
          <w:lang w:eastAsia="en-GB"/>
        </w:rPr>
        <w:t>2</w:t>
      </w:r>
      <w:r w:rsidRPr="00897825">
        <w:rPr>
          <w:lang w:eastAsia="en-GB"/>
        </w:rPr>
        <w:t>-e (1.9</w:t>
      </w:r>
      <w:r w:rsidRPr="00897825">
        <w:t xml:space="preserve"> per cent</w:t>
      </w:r>
      <w:r w:rsidRPr="00897825">
        <w:rPr>
          <w:lang w:eastAsia="en-GB"/>
        </w:rPr>
        <w:t xml:space="preserve">) since the 1990 level of </w:t>
      </w:r>
      <w:r w:rsidRPr="00897825">
        <w:t xml:space="preserve">0.23 </w:t>
      </w:r>
      <w:r w:rsidRPr="00897825">
        <w:rPr>
          <w:lang w:eastAsia="en-GB"/>
        </w:rPr>
        <w:t>kt CO</w:t>
      </w:r>
      <w:r w:rsidRPr="00897825">
        <w:rPr>
          <w:vertAlign w:val="subscript"/>
          <w:lang w:eastAsia="en-GB"/>
        </w:rPr>
        <w:t>2</w:t>
      </w:r>
      <w:r w:rsidRPr="00897825">
        <w:rPr>
          <w:lang w:eastAsia="en-GB"/>
        </w:rPr>
        <w:t>-e.</w:t>
      </w:r>
      <w:r w:rsidRPr="0053439C">
        <w:rPr>
          <w:lang w:eastAsia="en-GB"/>
        </w:rPr>
        <w:t xml:space="preserve"> </w:t>
      </w:r>
    </w:p>
    <w:p w14:paraId="56E72D6A" w14:textId="77777777" w:rsidR="00D71B94" w:rsidRPr="0053439C" w:rsidRDefault="00D71B94" w:rsidP="00D71B94">
      <w:pPr>
        <w:pStyle w:val="BodyText"/>
        <w:rPr>
          <w:lang w:eastAsia="en-GB"/>
        </w:rPr>
      </w:pPr>
      <w:r w:rsidRPr="0053439C">
        <w:rPr>
          <w:lang w:eastAsia="en-GB"/>
        </w:rPr>
        <w:t>Effectively, the increase in emissions due to continuously generating electricity from fossil fuels in 2004 was offset by the decrease due to installing the solar PV units in 2012 and solar energy dominating the electricity production sources in Tokelau since then.</w:t>
      </w:r>
      <w:r w:rsidRPr="0053439C">
        <w:t xml:space="preserve"> Figure 8.2.2 shows emission trends in the Energy sector by category for Tokelau.</w:t>
      </w:r>
    </w:p>
    <w:p w14:paraId="7DC613EB" w14:textId="77777777" w:rsidR="00D71B94" w:rsidRPr="0053439C" w:rsidRDefault="00D71B94" w:rsidP="00D71B94">
      <w:pPr>
        <w:pStyle w:val="Figure"/>
        <w:rPr>
          <w:rFonts w:eastAsia="Calibri"/>
        </w:rPr>
      </w:pPr>
      <w:bookmarkStart w:id="2539" w:name="_Toc36292829"/>
      <w:bookmarkStart w:id="2540" w:name="_Toc64972936"/>
      <w:bookmarkStart w:id="2541" w:name="_Toc68786693"/>
      <w:bookmarkStart w:id="2542" w:name="_Toc99696064"/>
      <w:r w:rsidRPr="00F134D1">
        <w:rPr>
          <w:rFonts w:eastAsia="Calibri"/>
        </w:rPr>
        <w:t xml:space="preserve">Figure 8.2.2 </w:t>
      </w:r>
      <w:r w:rsidRPr="00F134D1">
        <w:rPr>
          <w:rFonts w:eastAsia="Calibri"/>
        </w:rPr>
        <w:tab/>
        <w:t>Energy emissions by category for Tokelau (kt CO</w:t>
      </w:r>
      <w:r w:rsidRPr="00F134D1">
        <w:rPr>
          <w:rFonts w:eastAsia="Calibri"/>
          <w:vertAlign w:val="subscript"/>
        </w:rPr>
        <w:t>2</w:t>
      </w:r>
      <w:r w:rsidRPr="00F134D1">
        <w:rPr>
          <w:rFonts w:eastAsia="Calibri"/>
        </w:rPr>
        <w:t xml:space="preserve">-e) from 1990 to </w:t>
      </w:r>
      <w:bookmarkEnd w:id="2539"/>
      <w:bookmarkEnd w:id="2540"/>
      <w:bookmarkEnd w:id="2541"/>
      <w:r w:rsidRPr="00F134D1">
        <w:rPr>
          <w:rFonts w:eastAsia="Calibri"/>
        </w:rPr>
        <w:t>2020</w:t>
      </w:r>
      <w:bookmarkEnd w:id="2542"/>
    </w:p>
    <w:p w14:paraId="32F72B76" w14:textId="77777777" w:rsidR="00D71B94" w:rsidRPr="0053439C" w:rsidRDefault="004B48CC" w:rsidP="00D71B94">
      <w:pPr>
        <w:pStyle w:val="BodyText"/>
        <w:spacing w:before="60" w:after="0"/>
        <w:rPr>
          <w:lang w:eastAsia="en-GB"/>
        </w:rPr>
      </w:pPr>
      <w:r>
        <w:rPr>
          <w:noProof/>
          <w:lang w:eastAsia="en-GB"/>
        </w:rPr>
        <w:pict w14:anchorId="224CFBBD">
          <v:shape id="_x0000_i1140" type="#_x0000_t75" style="width:428.65pt;height:220.2pt;visibility:visible;mso-wrap-style:square">
            <v:imagedata r:id="rId250" o:title="" cropbottom="2449f"/>
          </v:shape>
        </w:pict>
      </w:r>
    </w:p>
    <w:p w14:paraId="4F4B28E8" w14:textId="77777777" w:rsidR="00D71B94" w:rsidRPr="0053439C" w:rsidRDefault="00D71B94" w:rsidP="00D71B94">
      <w:pPr>
        <w:pStyle w:val="Heading4"/>
      </w:pPr>
      <w:r w:rsidRPr="0053439C">
        <w:t>Methodological issues</w:t>
      </w:r>
    </w:p>
    <w:p w14:paraId="116D1A5C" w14:textId="77777777" w:rsidR="00D71B94" w:rsidRPr="0053439C" w:rsidRDefault="00D71B94" w:rsidP="00D71B94">
      <w:pPr>
        <w:pStyle w:val="Heading5"/>
        <w:spacing w:before="120"/>
      </w:pPr>
      <w:r w:rsidRPr="0053439C">
        <w:t>Activity data</w:t>
      </w:r>
    </w:p>
    <w:p w14:paraId="2198F93D" w14:textId="77777777" w:rsidR="00D71B94" w:rsidRPr="0053439C" w:rsidRDefault="00D71B94" w:rsidP="00D71B94">
      <w:pPr>
        <w:pStyle w:val="BodyText"/>
        <w:rPr>
          <w:lang w:eastAsia="en-GB"/>
        </w:rPr>
      </w:pPr>
      <w:r w:rsidRPr="0053439C">
        <w:rPr>
          <w:lang w:eastAsia="en-GB"/>
        </w:rPr>
        <w:t xml:space="preserve">The sources of activity data for the </w:t>
      </w:r>
      <w:r w:rsidRPr="0053439C">
        <w:rPr>
          <w:i/>
          <w:lang w:eastAsia="en-GB"/>
        </w:rPr>
        <w:t>Energy industries</w:t>
      </w:r>
      <w:r w:rsidRPr="0053439C">
        <w:rPr>
          <w:lang w:eastAsia="en-GB"/>
        </w:rPr>
        <w:t xml:space="preserve"> category are included in table 8.1.2. Key sources for the energy supply and consumption data are the Tokelau Department of Energy and Petroleum Product Supplies Ltd (Apia, Samoa). The Tokelau Department of Energy</w:t>
      </w:r>
      <w:r w:rsidRPr="0053439C" w:rsidDel="003F6449">
        <w:rPr>
          <w:lang w:eastAsia="en-GB"/>
        </w:rPr>
        <w:t xml:space="preserve"> </w:t>
      </w:r>
      <w:r w:rsidRPr="0053439C">
        <w:rPr>
          <w:lang w:eastAsia="en-GB"/>
        </w:rPr>
        <w:t xml:space="preserve">provided background data for estimates of diesel use for power generation around the time that electricity changed to 24 hours a day, 7 days a week in Tokelau in 2004; as well as before and after installation of solar PV powered plants in July to September 2012 and participated in making those estimates (item 6 in table 8.1.2). Based on purchase information, the Department of Finance provided the data on fuel prices and volumes supplied by Petroleum Product Supplies Ltd for shipping and on-atoll use of diesel, petrol, kerosene and lubricant oil (item 7 in table 8.1.2). Only liquid fossil fuels (gas and diesel oil) are used in the </w:t>
      </w:r>
      <w:r w:rsidRPr="0053439C">
        <w:rPr>
          <w:i/>
          <w:lang w:eastAsia="en-GB"/>
        </w:rPr>
        <w:t>Energy industries</w:t>
      </w:r>
      <w:r w:rsidRPr="0053439C">
        <w:rPr>
          <w:lang w:eastAsia="en-GB"/>
        </w:rPr>
        <w:t xml:space="preserve"> category. Because all fossil fuels in Tokelau are imported, activity data are mostly obtained from analysis of invoices from main suppliers and shipping manifests.</w:t>
      </w:r>
    </w:p>
    <w:p w14:paraId="049E6D62" w14:textId="77777777" w:rsidR="00D71B94" w:rsidRPr="0053439C" w:rsidRDefault="00D71B94" w:rsidP="00D71B94">
      <w:pPr>
        <w:pStyle w:val="BodyText"/>
        <w:spacing w:before="100" w:after="100"/>
        <w:rPr>
          <w:lang w:eastAsia="en-GB"/>
        </w:rPr>
      </w:pPr>
      <w:r w:rsidRPr="0053439C">
        <w:rPr>
          <w:lang w:eastAsia="en-GB"/>
        </w:rPr>
        <w:t>In the course of the analysis of available data, big discrepancies were discovered between the fuel imports shown on shipping manifests and the more reliable financial fuel purchase data that were audited. Detailed data were not available for each year from 1990</w:t>
      </w:r>
      <w:r w:rsidRPr="0053439C">
        <w:rPr>
          <w:color w:val="000000"/>
        </w:rPr>
        <w:t xml:space="preserve"> to </w:t>
      </w:r>
      <w:r w:rsidRPr="0053439C">
        <w:rPr>
          <w:lang w:eastAsia="en-GB"/>
        </w:rPr>
        <w:t xml:space="preserve">2020 (or data reliability was not high), so a trade-off was made between data granularity and data quality. The biggest and most reliably recorded data variations are reflected in the time series. </w:t>
      </w:r>
      <w:r w:rsidRPr="0053439C">
        <w:rPr>
          <w:lang w:eastAsia="en-GB"/>
        </w:rPr>
        <w:lastRenderedPageBreak/>
        <w:t>For electricity generation, there were two important events: first, the changeover to 24 hour, 7 days a week electricity in 2004 (from 6 pm to 10 pm before that, at an estimated 20 per cent of the 24 hour, 7 days a week</w:t>
      </w:r>
      <w:r w:rsidRPr="0053439C" w:rsidDel="005C0F9A">
        <w:rPr>
          <w:lang w:eastAsia="en-GB"/>
        </w:rPr>
        <w:t xml:space="preserve"> </w:t>
      </w:r>
      <w:r w:rsidRPr="0053439C">
        <w:rPr>
          <w:lang w:eastAsia="en-GB"/>
        </w:rPr>
        <w:t>value in 2011); and second the introduction of solar PV-powered plants in 2012. The change during 2012, due to the installation of solar PV-powered plants, was reasonably well documented and, therefore, reflected in the time series. For the years 1990</w:t>
      </w:r>
      <w:r w:rsidRPr="0053439C">
        <w:rPr>
          <w:color w:val="000000"/>
        </w:rPr>
        <w:t xml:space="preserve"> to </w:t>
      </w:r>
      <w:r w:rsidRPr="0053439C">
        <w:rPr>
          <w:lang w:eastAsia="en-GB"/>
        </w:rPr>
        <w:t>2003, 2005</w:t>
      </w:r>
      <w:r w:rsidRPr="0053439C">
        <w:rPr>
          <w:color w:val="000000"/>
        </w:rPr>
        <w:t xml:space="preserve"> to 20</w:t>
      </w:r>
      <w:r w:rsidRPr="0053439C">
        <w:rPr>
          <w:lang w:eastAsia="en-GB"/>
        </w:rPr>
        <w:t>11 and 2013</w:t>
      </w:r>
      <w:r w:rsidRPr="0053439C">
        <w:rPr>
          <w:color w:val="000000"/>
        </w:rPr>
        <w:t xml:space="preserve"> to 20</w:t>
      </w:r>
      <w:r w:rsidRPr="0053439C">
        <w:rPr>
          <w:lang w:eastAsia="en-GB"/>
        </w:rPr>
        <w:t xml:space="preserve">15, the activity data (and corresponding emissions) are shown as constant. </w:t>
      </w:r>
    </w:p>
    <w:p w14:paraId="4CD7025F" w14:textId="77777777" w:rsidR="00D71B94" w:rsidRPr="0053439C" w:rsidRDefault="00D71B94" w:rsidP="00D71B94">
      <w:pPr>
        <w:pStyle w:val="BodyText"/>
        <w:spacing w:before="100" w:after="100"/>
        <w:rPr>
          <w:lang w:eastAsia="en-GB"/>
        </w:rPr>
      </w:pPr>
      <w:r w:rsidRPr="0053439C">
        <w:rPr>
          <w:lang w:eastAsia="en-GB"/>
        </w:rPr>
        <w:t>The diesel data for 2013</w:t>
      </w:r>
      <w:r w:rsidRPr="0053439C">
        <w:rPr>
          <w:color w:val="000000"/>
        </w:rPr>
        <w:t xml:space="preserve"> to 20</w:t>
      </w:r>
      <w:r w:rsidRPr="0053439C">
        <w:rPr>
          <w:lang w:eastAsia="en-GB"/>
        </w:rPr>
        <w:t>15 were entirely based on analysis during 2018 of fuel purchases, when, for the first time, Tokelau’s analysts could clearly separate out the diesel used on</w:t>
      </w:r>
      <w:r w:rsidRPr="0053439C">
        <w:rPr>
          <w:lang w:eastAsia="en-GB"/>
        </w:rPr>
        <w:noBreakHyphen/>
        <w:t xml:space="preserve">atoll and for shipping. The methodology for such analyses that was put in place for the 2019 inventory submission was refined in each subsequent submission. </w:t>
      </w:r>
    </w:p>
    <w:p w14:paraId="6F82D212" w14:textId="77777777" w:rsidR="00D71B94" w:rsidRPr="0053439C" w:rsidRDefault="00D71B94" w:rsidP="00D71B94">
      <w:pPr>
        <w:pStyle w:val="BodyText"/>
        <w:spacing w:before="100" w:after="100"/>
        <w:rPr>
          <w:lang w:eastAsia="en-GB"/>
        </w:rPr>
      </w:pPr>
      <w:r w:rsidRPr="0053439C">
        <w:rPr>
          <w:lang w:eastAsia="en-GB"/>
        </w:rPr>
        <w:t>Diesel is delivered on ‘dangerous goods sailings’ to Tokelau in the ships’ fuel bunkers. Onarrival, it is pumped into drums on a barge, for shipping to shore and transport to the generator sites.</w:t>
      </w:r>
    </w:p>
    <w:p w14:paraId="08C1FB65" w14:textId="77777777" w:rsidR="00D71B94" w:rsidRPr="0053439C" w:rsidRDefault="00D71B94" w:rsidP="00D71B94">
      <w:pPr>
        <w:pStyle w:val="Heading5"/>
        <w:spacing w:before="200"/>
      </w:pPr>
      <w:r w:rsidRPr="0053439C">
        <w:t>Methods and emission factors</w:t>
      </w:r>
    </w:p>
    <w:p w14:paraId="14D6191A" w14:textId="77777777" w:rsidR="00D71B94" w:rsidRPr="0053439C" w:rsidRDefault="00D71B94" w:rsidP="00D71B94">
      <w:pPr>
        <w:pStyle w:val="BodyText"/>
        <w:spacing w:before="100" w:after="100"/>
        <w:rPr>
          <w:lang w:eastAsia="en-GB"/>
        </w:rPr>
      </w:pPr>
      <w:r w:rsidRPr="0053439C">
        <w:rPr>
          <w:lang w:eastAsia="en-GB"/>
        </w:rPr>
        <w:t xml:space="preserve">A Tier 1 method was applied for estimating emissions from the </w:t>
      </w:r>
      <w:r w:rsidRPr="0053439C">
        <w:rPr>
          <w:i/>
          <w:lang w:eastAsia="en-GB"/>
        </w:rPr>
        <w:t>Public electricity and heat production</w:t>
      </w:r>
      <w:r w:rsidRPr="0053439C" w:rsidDel="00194BA4">
        <w:rPr>
          <w:i/>
          <w:lang w:eastAsia="en-GB"/>
        </w:rPr>
        <w:t xml:space="preserve"> </w:t>
      </w:r>
      <w:r w:rsidRPr="0053439C">
        <w:rPr>
          <w:lang w:eastAsia="en-GB"/>
        </w:rPr>
        <w:t>category. The method required the data on the amount of LPG combusted in the source category and a default emission factor from table 2.2, section 2.3.2.1, volume 2 of the 2006 IPCC Guidelines. Default emission factors from the 2006 IPCC Guidelines were converted from net calorific values to gross calorific values using the Organisation for Economic Co</w:t>
      </w:r>
      <w:r w:rsidRPr="0053439C">
        <w:rPr>
          <w:lang w:eastAsia="en-GB"/>
        </w:rPr>
        <w:noBreakHyphen/>
        <w:t>operation and Development (OECD) and International Energy Agency (IEA) assumptions to make these conversions:</w:t>
      </w:r>
    </w:p>
    <w:p w14:paraId="748DB1E4" w14:textId="77777777" w:rsidR="00D71B94" w:rsidRPr="00CA396F" w:rsidRDefault="00D71B94" w:rsidP="00D71B94">
      <w:pPr>
        <w:pStyle w:val="BodyText"/>
        <w:spacing w:before="100" w:after="100"/>
        <w:jc w:val="center"/>
        <w:rPr>
          <w:rFonts w:ascii="Cambria Math" w:hAnsi="Cambria Math"/>
          <w:lang w:eastAsia="en-GB"/>
        </w:rPr>
      </w:pPr>
      <w:r w:rsidRPr="00CA396F">
        <w:rPr>
          <w:rFonts w:ascii="Cambria Math" w:hAnsi="Cambria Math"/>
          <w:lang w:eastAsia="en-GB"/>
        </w:rPr>
        <w:t>Gross Emission Factor (liquid fuels) = 0.95 x Net Emission Factor</w:t>
      </w:r>
    </w:p>
    <w:p w14:paraId="7AEE618C" w14:textId="77777777" w:rsidR="00D71B94" w:rsidRPr="0053439C" w:rsidRDefault="00D71B94" w:rsidP="00D71B94">
      <w:pPr>
        <w:pStyle w:val="BodyText"/>
        <w:spacing w:before="100" w:after="100"/>
        <w:rPr>
          <w:lang w:eastAsia="en-GB"/>
        </w:rPr>
      </w:pPr>
      <w:r w:rsidRPr="0053439C">
        <w:rPr>
          <w:lang w:eastAsia="en-GB"/>
        </w:rPr>
        <w:t xml:space="preserve">Equations 2.1 and 2.2 from section 2.3.1.1 in the 2006 IPCC Guidelines were used for estimating emissions (IPCC, 2006a). </w:t>
      </w:r>
    </w:p>
    <w:p w14:paraId="26214374" w14:textId="77777777" w:rsidR="00D71B94" w:rsidRPr="0053439C" w:rsidRDefault="00D71B94" w:rsidP="00D71B94">
      <w:pPr>
        <w:pStyle w:val="Heading4"/>
      </w:pPr>
      <w:r w:rsidRPr="0053439C">
        <w:t>Uncertainties</w:t>
      </w:r>
    </w:p>
    <w:p w14:paraId="65257BE6" w14:textId="77777777" w:rsidR="00D71B94" w:rsidRPr="0053439C" w:rsidRDefault="00D71B94" w:rsidP="00D71B94">
      <w:pPr>
        <w:pStyle w:val="BodyText"/>
        <w:spacing w:before="100" w:after="100"/>
        <w:rPr>
          <w:lang w:eastAsia="en-GB"/>
        </w:rPr>
      </w:pPr>
      <w:r w:rsidRPr="0053439C">
        <w:rPr>
          <w:lang w:eastAsia="en-GB"/>
        </w:rPr>
        <w:t>For this submission, it was not possible to develop Tokelau-specific uncertainty values, so, for emission factors, default uncertainty values provided in the 2006 IPCC Guidelines were used for CO</w:t>
      </w:r>
      <w:r w:rsidRPr="0053439C">
        <w:rPr>
          <w:vertAlign w:val="subscript"/>
          <w:lang w:eastAsia="en-GB"/>
        </w:rPr>
        <w:t>2</w:t>
      </w:r>
      <w:r w:rsidRPr="0053439C">
        <w:rPr>
          <w:lang w:eastAsia="en-GB"/>
        </w:rPr>
        <w:t xml:space="preserve"> and CH</w:t>
      </w:r>
      <w:r w:rsidRPr="0053439C">
        <w:rPr>
          <w:vertAlign w:val="subscript"/>
          <w:lang w:eastAsia="en-GB"/>
        </w:rPr>
        <w:t>4</w:t>
      </w:r>
      <w:r w:rsidRPr="0053439C">
        <w:rPr>
          <w:lang w:eastAsia="en-GB"/>
        </w:rPr>
        <w:t xml:space="preserve"> (for public power, co-generation and district heating) (IPCC, 2006a). Because no quantified default emission factor is provided for N</w:t>
      </w:r>
      <w:r w:rsidRPr="0053439C">
        <w:rPr>
          <w:vertAlign w:val="subscript"/>
          <w:lang w:eastAsia="en-GB"/>
        </w:rPr>
        <w:t>2</w:t>
      </w:r>
      <w:r w:rsidRPr="0053439C">
        <w:rPr>
          <w:lang w:eastAsia="en-GB"/>
        </w:rPr>
        <w:t>O, New Zealand’s emission factor uncertainty across the Energy sector for N</w:t>
      </w:r>
      <w:r w:rsidRPr="0053439C">
        <w:rPr>
          <w:vertAlign w:val="subscript"/>
          <w:lang w:eastAsia="en-GB"/>
        </w:rPr>
        <w:t>2</w:t>
      </w:r>
      <w:r w:rsidRPr="0053439C">
        <w:rPr>
          <w:lang w:eastAsia="en-GB"/>
        </w:rPr>
        <w:t xml:space="preserve">O was used for this category. </w:t>
      </w:r>
    </w:p>
    <w:p w14:paraId="6A0F20B0" w14:textId="77777777" w:rsidR="00D71B94" w:rsidRPr="0053439C" w:rsidRDefault="00D71B94" w:rsidP="00D71B94">
      <w:pPr>
        <w:pStyle w:val="BodyText"/>
        <w:spacing w:before="100" w:after="100"/>
        <w:rPr>
          <w:lang w:eastAsia="en-GB"/>
        </w:rPr>
      </w:pPr>
      <w:r w:rsidRPr="0053439C">
        <w:rPr>
          <w:lang w:eastAsia="en-GB"/>
        </w:rPr>
        <w:t xml:space="preserve">For activity data, due to the lack of detailed pre-2018 fuel data, an upper level of the default uncertainty range for the main activity electricity and heat production associated with data extrapolation from the 2006 IPCC Guidelines was applied (IPCC, 2006a). Table 8.2.1 shows the use of uncertainties for the </w:t>
      </w:r>
      <w:r w:rsidRPr="0053439C">
        <w:rPr>
          <w:i/>
          <w:lang w:eastAsia="en-GB"/>
        </w:rPr>
        <w:t xml:space="preserve">Energy industries </w:t>
      </w:r>
      <w:r w:rsidRPr="0053439C">
        <w:rPr>
          <w:lang w:eastAsia="en-GB"/>
        </w:rPr>
        <w:t>category.</w:t>
      </w:r>
    </w:p>
    <w:p w14:paraId="6165DC9F" w14:textId="77777777" w:rsidR="00D71B94" w:rsidRPr="0053439C" w:rsidRDefault="00D71B94" w:rsidP="00D71B94">
      <w:pPr>
        <w:pStyle w:val="Table"/>
      </w:pPr>
      <w:bookmarkStart w:id="2543" w:name="_Toc5269596"/>
      <w:bookmarkStart w:id="2544" w:name="_Toc36224677"/>
      <w:bookmarkStart w:id="2545" w:name="_Toc68786563"/>
      <w:bookmarkStart w:id="2546" w:name="_Toc99659358"/>
      <w:r w:rsidRPr="008A79B1">
        <w:t>Table 8.2.1</w:t>
      </w:r>
      <w:r w:rsidRPr="008A79B1">
        <w:tab/>
        <w:t xml:space="preserve">Uncertainties for the </w:t>
      </w:r>
      <w:r w:rsidRPr="008A79B1">
        <w:rPr>
          <w:i/>
        </w:rPr>
        <w:t>Energy industries</w:t>
      </w:r>
      <w:r w:rsidRPr="008A79B1">
        <w:t xml:space="preserve"> category</w:t>
      </w:r>
      <w:bookmarkEnd w:id="2543"/>
      <w:bookmarkEnd w:id="2544"/>
      <w:bookmarkEnd w:id="2545"/>
      <w:bookmarkEnd w:id="2546"/>
    </w:p>
    <w:tbl>
      <w:tblPr>
        <w:tblW w:w="8505" w:type="dxa"/>
        <w:tblInd w:w="108"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566"/>
        <w:gridCol w:w="983"/>
        <w:gridCol w:w="1407"/>
        <w:gridCol w:w="1691"/>
        <w:gridCol w:w="3858"/>
      </w:tblGrid>
      <w:tr w:rsidR="00D71B94" w:rsidRPr="0053439C" w14:paraId="6D2E828C" w14:textId="77777777" w:rsidTr="007E3239">
        <w:trPr>
          <w:tblHeader/>
        </w:trPr>
        <w:tc>
          <w:tcPr>
            <w:tcW w:w="333" w:type="pct"/>
            <w:shd w:val="clear" w:color="auto" w:fill="1B556B"/>
            <w:noWrap/>
            <w:vAlign w:val="bottom"/>
            <w:hideMark/>
          </w:tcPr>
          <w:p w14:paraId="1BCDB40E" w14:textId="77777777" w:rsidR="00D71B94" w:rsidRPr="0053439C" w:rsidRDefault="00D71B94" w:rsidP="007E3239">
            <w:pPr>
              <w:pStyle w:val="TableTextBold"/>
              <w:keepNext/>
              <w:spacing w:before="40" w:after="40"/>
              <w:rPr>
                <w:noProof w:val="0"/>
                <w:color w:val="FFFFFF"/>
                <w:szCs w:val="16"/>
              </w:rPr>
            </w:pPr>
            <w:r w:rsidRPr="0053439C">
              <w:rPr>
                <w:noProof w:val="0"/>
                <w:color w:val="FFFFFF"/>
                <w:szCs w:val="16"/>
              </w:rPr>
              <w:t>Gas</w:t>
            </w:r>
          </w:p>
        </w:tc>
        <w:tc>
          <w:tcPr>
            <w:tcW w:w="578" w:type="pct"/>
            <w:shd w:val="clear" w:color="auto" w:fill="1B556B"/>
            <w:noWrap/>
            <w:vAlign w:val="bottom"/>
            <w:hideMark/>
          </w:tcPr>
          <w:p w14:paraId="3D812CF7" w14:textId="77777777" w:rsidR="00D71B94" w:rsidRPr="0053439C" w:rsidRDefault="00D71B94" w:rsidP="007E3239">
            <w:pPr>
              <w:pStyle w:val="TableTextBold"/>
              <w:keepNext/>
              <w:spacing w:before="40" w:after="40"/>
              <w:rPr>
                <w:noProof w:val="0"/>
                <w:color w:val="FFFFFF"/>
                <w:szCs w:val="16"/>
              </w:rPr>
            </w:pPr>
            <w:r w:rsidRPr="0053439C">
              <w:rPr>
                <w:noProof w:val="0"/>
                <w:color w:val="FFFFFF"/>
                <w:szCs w:val="16"/>
              </w:rPr>
              <w:t>Fuel type</w:t>
            </w:r>
          </w:p>
        </w:tc>
        <w:tc>
          <w:tcPr>
            <w:tcW w:w="827" w:type="pct"/>
            <w:shd w:val="clear" w:color="auto" w:fill="1B556B"/>
            <w:vAlign w:val="bottom"/>
            <w:hideMark/>
          </w:tcPr>
          <w:p w14:paraId="1FA6DC32" w14:textId="77777777" w:rsidR="00D71B94" w:rsidRPr="0053439C" w:rsidRDefault="00D71B94" w:rsidP="007E3239">
            <w:pPr>
              <w:pStyle w:val="TableTextBold"/>
              <w:keepNext/>
              <w:spacing w:before="40" w:after="40"/>
              <w:jc w:val="center"/>
              <w:rPr>
                <w:noProof w:val="0"/>
                <w:color w:val="FFFFFF"/>
                <w:szCs w:val="16"/>
              </w:rPr>
            </w:pPr>
            <w:r w:rsidRPr="0053439C">
              <w:rPr>
                <w:noProof w:val="0"/>
                <w:color w:val="FFFFFF"/>
                <w:szCs w:val="16"/>
              </w:rPr>
              <w:t>Activity data (AD) uncertainty (%)</w:t>
            </w:r>
          </w:p>
        </w:tc>
        <w:tc>
          <w:tcPr>
            <w:tcW w:w="994" w:type="pct"/>
            <w:shd w:val="clear" w:color="auto" w:fill="1B556B"/>
            <w:vAlign w:val="bottom"/>
            <w:hideMark/>
          </w:tcPr>
          <w:p w14:paraId="5F5A232F" w14:textId="77777777" w:rsidR="00D71B94" w:rsidRPr="0053439C" w:rsidRDefault="00D71B94" w:rsidP="007E3239">
            <w:pPr>
              <w:pStyle w:val="TableTextBold"/>
              <w:keepNext/>
              <w:spacing w:before="40" w:after="40"/>
              <w:jc w:val="center"/>
              <w:rPr>
                <w:noProof w:val="0"/>
                <w:color w:val="FFFFFF"/>
                <w:szCs w:val="16"/>
              </w:rPr>
            </w:pPr>
            <w:r w:rsidRPr="0053439C">
              <w:rPr>
                <w:noProof w:val="0"/>
                <w:color w:val="FFFFFF"/>
                <w:szCs w:val="16"/>
              </w:rPr>
              <w:t>Emission factor (EF) uncertainty (%)</w:t>
            </w:r>
          </w:p>
        </w:tc>
        <w:tc>
          <w:tcPr>
            <w:tcW w:w="2268" w:type="pct"/>
            <w:shd w:val="clear" w:color="auto" w:fill="1B556B"/>
            <w:vAlign w:val="bottom"/>
          </w:tcPr>
          <w:p w14:paraId="2004A4AF" w14:textId="77777777" w:rsidR="00D71B94" w:rsidRPr="0053439C" w:rsidRDefault="00D71B94" w:rsidP="007E3239">
            <w:pPr>
              <w:pStyle w:val="TableTextBold"/>
              <w:keepNext/>
              <w:spacing w:before="40" w:after="40"/>
              <w:jc w:val="center"/>
              <w:rPr>
                <w:noProof w:val="0"/>
                <w:color w:val="FFFFFF"/>
                <w:szCs w:val="16"/>
              </w:rPr>
            </w:pPr>
            <w:r w:rsidRPr="0053439C">
              <w:rPr>
                <w:noProof w:val="0"/>
                <w:color w:val="FFFFFF"/>
                <w:szCs w:val="16"/>
              </w:rPr>
              <w:t>Source</w:t>
            </w:r>
          </w:p>
        </w:tc>
      </w:tr>
      <w:tr w:rsidR="00D71B94" w:rsidRPr="0053439C" w14:paraId="3219CEC0" w14:textId="77777777" w:rsidTr="007E3239">
        <w:tc>
          <w:tcPr>
            <w:tcW w:w="333" w:type="pct"/>
            <w:shd w:val="clear" w:color="auto" w:fill="auto"/>
            <w:noWrap/>
            <w:hideMark/>
          </w:tcPr>
          <w:p w14:paraId="2C531ECF" w14:textId="77777777" w:rsidR="00D71B94" w:rsidRPr="0053439C" w:rsidRDefault="00D71B94" w:rsidP="007E3239">
            <w:pPr>
              <w:pStyle w:val="TableText"/>
              <w:rPr>
                <w:szCs w:val="16"/>
              </w:rPr>
            </w:pPr>
            <w:r w:rsidRPr="0053439C">
              <w:rPr>
                <w:szCs w:val="16"/>
              </w:rPr>
              <w:t>CO</w:t>
            </w:r>
            <w:r w:rsidRPr="0053439C">
              <w:rPr>
                <w:szCs w:val="16"/>
                <w:vertAlign w:val="subscript"/>
              </w:rPr>
              <w:t>2</w:t>
            </w:r>
          </w:p>
        </w:tc>
        <w:tc>
          <w:tcPr>
            <w:tcW w:w="578" w:type="pct"/>
            <w:shd w:val="clear" w:color="auto" w:fill="auto"/>
            <w:noWrap/>
            <w:hideMark/>
          </w:tcPr>
          <w:p w14:paraId="0BD1BF0C" w14:textId="77777777" w:rsidR="00D71B94" w:rsidRPr="0053439C" w:rsidRDefault="00D71B94" w:rsidP="007E3239">
            <w:pPr>
              <w:pStyle w:val="TableText"/>
              <w:rPr>
                <w:szCs w:val="16"/>
              </w:rPr>
            </w:pPr>
            <w:r w:rsidRPr="0053439C">
              <w:rPr>
                <w:szCs w:val="16"/>
              </w:rPr>
              <w:t>Liquid fuels</w:t>
            </w:r>
          </w:p>
        </w:tc>
        <w:tc>
          <w:tcPr>
            <w:tcW w:w="827" w:type="pct"/>
            <w:shd w:val="clear" w:color="auto" w:fill="auto"/>
            <w:noWrap/>
            <w:hideMark/>
          </w:tcPr>
          <w:p w14:paraId="089AECA8" w14:textId="77777777" w:rsidR="00D71B94" w:rsidRPr="0053439C" w:rsidRDefault="00D71B94" w:rsidP="007E3239">
            <w:pPr>
              <w:pStyle w:val="TableText"/>
              <w:jc w:val="center"/>
              <w:rPr>
                <w:szCs w:val="16"/>
              </w:rPr>
            </w:pPr>
            <w:r w:rsidRPr="0053439C">
              <w:rPr>
                <w:szCs w:val="16"/>
              </w:rPr>
              <w:t>10</w:t>
            </w:r>
          </w:p>
        </w:tc>
        <w:tc>
          <w:tcPr>
            <w:tcW w:w="994" w:type="pct"/>
            <w:shd w:val="clear" w:color="auto" w:fill="auto"/>
            <w:noWrap/>
            <w:hideMark/>
          </w:tcPr>
          <w:p w14:paraId="3A758C79" w14:textId="77777777" w:rsidR="00D71B94" w:rsidRPr="0053439C" w:rsidRDefault="00D71B94" w:rsidP="007E3239">
            <w:pPr>
              <w:pStyle w:val="TableText"/>
              <w:jc w:val="center"/>
              <w:rPr>
                <w:szCs w:val="16"/>
              </w:rPr>
            </w:pPr>
            <w:r w:rsidRPr="0053439C">
              <w:rPr>
                <w:szCs w:val="16"/>
              </w:rPr>
              <w:t>±7</w:t>
            </w:r>
          </w:p>
        </w:tc>
        <w:tc>
          <w:tcPr>
            <w:tcW w:w="2268" w:type="pct"/>
          </w:tcPr>
          <w:p w14:paraId="4A9AD493" w14:textId="77777777" w:rsidR="00D71B94" w:rsidRPr="0053439C" w:rsidRDefault="00D71B94" w:rsidP="007E3239">
            <w:pPr>
              <w:pStyle w:val="TableText"/>
              <w:spacing w:after="20"/>
              <w:rPr>
                <w:szCs w:val="16"/>
              </w:rPr>
            </w:pPr>
            <w:r w:rsidRPr="0053439C">
              <w:rPr>
                <w:szCs w:val="16"/>
              </w:rPr>
              <w:t>AD: page 2.41, IPCC, 2006a (table 2.15)</w:t>
            </w:r>
          </w:p>
          <w:p w14:paraId="30D9E458" w14:textId="77777777" w:rsidR="00D71B94" w:rsidRPr="0053439C" w:rsidRDefault="00D71B94" w:rsidP="007E3239">
            <w:pPr>
              <w:pStyle w:val="TableText"/>
              <w:spacing w:before="0"/>
              <w:rPr>
                <w:szCs w:val="16"/>
              </w:rPr>
            </w:pPr>
            <w:r w:rsidRPr="0053439C">
              <w:rPr>
                <w:szCs w:val="16"/>
              </w:rPr>
              <w:t xml:space="preserve">EF: page 2.38, IPCC, 2006a </w:t>
            </w:r>
          </w:p>
        </w:tc>
      </w:tr>
      <w:tr w:rsidR="00D71B94" w:rsidRPr="0053439C" w14:paraId="6D404E9F" w14:textId="77777777" w:rsidTr="007E3239">
        <w:tc>
          <w:tcPr>
            <w:tcW w:w="333" w:type="pct"/>
            <w:shd w:val="clear" w:color="auto" w:fill="auto"/>
            <w:noWrap/>
            <w:hideMark/>
          </w:tcPr>
          <w:p w14:paraId="231D59DE" w14:textId="77777777" w:rsidR="00D71B94" w:rsidRPr="0053439C" w:rsidRDefault="00D71B94" w:rsidP="007E3239">
            <w:pPr>
              <w:pStyle w:val="TableText"/>
              <w:rPr>
                <w:szCs w:val="16"/>
              </w:rPr>
            </w:pPr>
            <w:r w:rsidRPr="0053439C">
              <w:rPr>
                <w:szCs w:val="16"/>
              </w:rPr>
              <w:t>CH</w:t>
            </w:r>
            <w:r w:rsidRPr="0053439C">
              <w:rPr>
                <w:szCs w:val="16"/>
                <w:vertAlign w:val="subscript"/>
              </w:rPr>
              <w:t>4</w:t>
            </w:r>
          </w:p>
        </w:tc>
        <w:tc>
          <w:tcPr>
            <w:tcW w:w="578" w:type="pct"/>
            <w:shd w:val="clear" w:color="auto" w:fill="auto"/>
            <w:noWrap/>
            <w:hideMark/>
          </w:tcPr>
          <w:p w14:paraId="380D6361" w14:textId="77777777" w:rsidR="00D71B94" w:rsidRPr="0053439C" w:rsidRDefault="00D71B94" w:rsidP="007E3239">
            <w:pPr>
              <w:pStyle w:val="TableText"/>
              <w:rPr>
                <w:szCs w:val="16"/>
              </w:rPr>
            </w:pPr>
            <w:r w:rsidRPr="0053439C">
              <w:rPr>
                <w:szCs w:val="16"/>
              </w:rPr>
              <w:t>Liquid fuels</w:t>
            </w:r>
          </w:p>
        </w:tc>
        <w:tc>
          <w:tcPr>
            <w:tcW w:w="827" w:type="pct"/>
            <w:shd w:val="clear" w:color="auto" w:fill="auto"/>
            <w:noWrap/>
            <w:hideMark/>
          </w:tcPr>
          <w:p w14:paraId="74AA4FE2" w14:textId="77777777" w:rsidR="00D71B94" w:rsidRPr="0053439C" w:rsidRDefault="00D71B94" w:rsidP="007E3239">
            <w:pPr>
              <w:pStyle w:val="TableText"/>
              <w:jc w:val="center"/>
              <w:rPr>
                <w:szCs w:val="16"/>
              </w:rPr>
            </w:pPr>
            <w:r w:rsidRPr="0053439C">
              <w:rPr>
                <w:szCs w:val="16"/>
              </w:rPr>
              <w:t>10</w:t>
            </w:r>
          </w:p>
        </w:tc>
        <w:tc>
          <w:tcPr>
            <w:tcW w:w="994" w:type="pct"/>
            <w:shd w:val="clear" w:color="auto" w:fill="auto"/>
            <w:noWrap/>
            <w:hideMark/>
          </w:tcPr>
          <w:p w14:paraId="44C79487" w14:textId="77777777" w:rsidR="00D71B94" w:rsidRPr="0053439C" w:rsidRDefault="00D71B94" w:rsidP="007E3239">
            <w:pPr>
              <w:pStyle w:val="TableText"/>
              <w:jc w:val="center"/>
              <w:rPr>
                <w:szCs w:val="16"/>
              </w:rPr>
            </w:pPr>
            <w:r w:rsidRPr="0053439C">
              <w:rPr>
                <w:szCs w:val="16"/>
              </w:rPr>
              <w:t>±50.0</w:t>
            </w:r>
          </w:p>
        </w:tc>
        <w:tc>
          <w:tcPr>
            <w:tcW w:w="2268" w:type="pct"/>
          </w:tcPr>
          <w:p w14:paraId="3799C999" w14:textId="77777777" w:rsidR="00D71B94" w:rsidRPr="0053439C" w:rsidRDefault="00D71B94" w:rsidP="007E3239">
            <w:pPr>
              <w:pStyle w:val="TableText"/>
              <w:spacing w:after="20"/>
              <w:rPr>
                <w:szCs w:val="16"/>
              </w:rPr>
            </w:pPr>
            <w:r w:rsidRPr="0053439C">
              <w:rPr>
                <w:szCs w:val="16"/>
              </w:rPr>
              <w:t>AD: page 2.41, IPCC, 2006a (table 2.15)</w:t>
            </w:r>
          </w:p>
          <w:p w14:paraId="21D7C228" w14:textId="77777777" w:rsidR="00D71B94" w:rsidRPr="0053439C" w:rsidRDefault="00D71B94" w:rsidP="007E3239">
            <w:pPr>
              <w:pStyle w:val="TableText"/>
              <w:spacing w:before="0"/>
              <w:rPr>
                <w:szCs w:val="16"/>
              </w:rPr>
            </w:pPr>
            <w:r w:rsidRPr="0053439C">
              <w:rPr>
                <w:szCs w:val="16"/>
              </w:rPr>
              <w:t>EF: page 2.38, IPCC, 2006a (table 2.12)</w:t>
            </w:r>
          </w:p>
        </w:tc>
      </w:tr>
      <w:tr w:rsidR="00D71B94" w:rsidRPr="0053439C" w14:paraId="5558E3EF" w14:textId="77777777" w:rsidTr="007E3239">
        <w:tc>
          <w:tcPr>
            <w:tcW w:w="333" w:type="pct"/>
            <w:shd w:val="clear" w:color="auto" w:fill="auto"/>
            <w:noWrap/>
            <w:hideMark/>
          </w:tcPr>
          <w:p w14:paraId="57151EA6" w14:textId="77777777" w:rsidR="00D71B94" w:rsidRPr="0053439C" w:rsidRDefault="00D71B94" w:rsidP="007E3239">
            <w:pPr>
              <w:pStyle w:val="TableText"/>
              <w:rPr>
                <w:szCs w:val="16"/>
              </w:rPr>
            </w:pPr>
            <w:r w:rsidRPr="0053439C">
              <w:rPr>
                <w:szCs w:val="16"/>
              </w:rPr>
              <w:t>N</w:t>
            </w:r>
            <w:r w:rsidRPr="0053439C">
              <w:rPr>
                <w:szCs w:val="16"/>
                <w:vertAlign w:val="subscript"/>
              </w:rPr>
              <w:t>2</w:t>
            </w:r>
            <w:r w:rsidRPr="0053439C">
              <w:rPr>
                <w:szCs w:val="16"/>
              </w:rPr>
              <w:t>O</w:t>
            </w:r>
          </w:p>
        </w:tc>
        <w:tc>
          <w:tcPr>
            <w:tcW w:w="578" w:type="pct"/>
            <w:shd w:val="clear" w:color="auto" w:fill="auto"/>
            <w:noWrap/>
            <w:hideMark/>
          </w:tcPr>
          <w:p w14:paraId="6045ADEE" w14:textId="77777777" w:rsidR="00D71B94" w:rsidRPr="0053439C" w:rsidRDefault="00D71B94" w:rsidP="007E3239">
            <w:pPr>
              <w:pStyle w:val="TableText"/>
              <w:rPr>
                <w:szCs w:val="16"/>
              </w:rPr>
            </w:pPr>
            <w:r w:rsidRPr="0053439C">
              <w:rPr>
                <w:szCs w:val="16"/>
              </w:rPr>
              <w:t>Liquid fuels</w:t>
            </w:r>
          </w:p>
        </w:tc>
        <w:tc>
          <w:tcPr>
            <w:tcW w:w="827" w:type="pct"/>
            <w:shd w:val="clear" w:color="auto" w:fill="auto"/>
            <w:noWrap/>
            <w:hideMark/>
          </w:tcPr>
          <w:p w14:paraId="6C2E6551" w14:textId="77777777" w:rsidR="00D71B94" w:rsidRPr="0053439C" w:rsidRDefault="00D71B94" w:rsidP="007E3239">
            <w:pPr>
              <w:pStyle w:val="TableText"/>
              <w:jc w:val="center"/>
              <w:rPr>
                <w:szCs w:val="16"/>
              </w:rPr>
            </w:pPr>
            <w:r w:rsidRPr="0053439C">
              <w:rPr>
                <w:szCs w:val="16"/>
              </w:rPr>
              <w:t>10</w:t>
            </w:r>
          </w:p>
        </w:tc>
        <w:tc>
          <w:tcPr>
            <w:tcW w:w="994" w:type="pct"/>
            <w:shd w:val="clear" w:color="auto" w:fill="auto"/>
            <w:noWrap/>
            <w:hideMark/>
          </w:tcPr>
          <w:p w14:paraId="4AF1B6CE" w14:textId="77777777" w:rsidR="00D71B94" w:rsidRPr="0053439C" w:rsidRDefault="00D71B94" w:rsidP="007E3239">
            <w:pPr>
              <w:pStyle w:val="TableText"/>
              <w:jc w:val="center"/>
              <w:rPr>
                <w:szCs w:val="16"/>
              </w:rPr>
            </w:pPr>
            <w:r w:rsidRPr="0053439C">
              <w:rPr>
                <w:szCs w:val="16"/>
              </w:rPr>
              <w:t>±50.0</w:t>
            </w:r>
          </w:p>
        </w:tc>
        <w:tc>
          <w:tcPr>
            <w:tcW w:w="2268" w:type="pct"/>
          </w:tcPr>
          <w:p w14:paraId="35FEE9B5" w14:textId="77777777" w:rsidR="00D71B94" w:rsidRPr="0053439C" w:rsidRDefault="00D71B94" w:rsidP="007E3239">
            <w:pPr>
              <w:pStyle w:val="TableText"/>
              <w:spacing w:after="20"/>
              <w:rPr>
                <w:szCs w:val="16"/>
              </w:rPr>
            </w:pPr>
            <w:r w:rsidRPr="0053439C">
              <w:rPr>
                <w:szCs w:val="16"/>
              </w:rPr>
              <w:t>AD: page 2.41, IPCC, 2006a (table 2.15)</w:t>
            </w:r>
          </w:p>
          <w:p w14:paraId="0F589BAD" w14:textId="77777777" w:rsidR="00D71B94" w:rsidRPr="0053439C" w:rsidRDefault="00D71B94" w:rsidP="007E3239">
            <w:pPr>
              <w:pStyle w:val="TableText"/>
              <w:spacing w:before="0"/>
              <w:rPr>
                <w:szCs w:val="16"/>
              </w:rPr>
            </w:pPr>
            <w:r w:rsidRPr="0053439C">
              <w:rPr>
                <w:szCs w:val="16"/>
              </w:rPr>
              <w:t>EF: New Zealand’s value is used (table 3.3.1, chapter 3)</w:t>
            </w:r>
          </w:p>
        </w:tc>
      </w:tr>
    </w:tbl>
    <w:p w14:paraId="4E2D287B" w14:textId="77777777" w:rsidR="00D71B94" w:rsidRPr="0053439C" w:rsidRDefault="00D71B94" w:rsidP="00D71B94">
      <w:pPr>
        <w:pStyle w:val="Heading4"/>
        <w:spacing w:before="360"/>
      </w:pPr>
      <w:r w:rsidRPr="0053439C">
        <w:lastRenderedPageBreak/>
        <w:t>Source-specific recalculations</w:t>
      </w:r>
    </w:p>
    <w:p w14:paraId="3576DCA9" w14:textId="77777777" w:rsidR="00D71B94" w:rsidRPr="00273E29" w:rsidRDefault="00D71B94" w:rsidP="00D71B94">
      <w:pPr>
        <w:pStyle w:val="BodyText"/>
        <w:rPr>
          <w:lang w:eastAsia="en-GB"/>
        </w:rPr>
      </w:pPr>
      <w:r w:rsidRPr="00273E29">
        <w:rPr>
          <w:lang w:eastAsia="en-GB"/>
        </w:rPr>
        <w:t xml:space="preserve">One minor recalculation has been made in the Tokelau emission estimates since the 2021 submission. </w:t>
      </w:r>
      <w:r w:rsidRPr="00273E29">
        <w:rPr>
          <w:rFonts w:eastAsia="Arial"/>
        </w:rPr>
        <w:t>The recalculation made for the Tokelau sector has resulted in no change in emissions in 1990 and a 0.1 per cent (0.0023 kt CO</w:t>
      </w:r>
      <w:r w:rsidRPr="00273E29">
        <w:rPr>
          <w:rFonts w:eastAsia="Arial"/>
          <w:vertAlign w:val="subscript"/>
        </w:rPr>
        <w:t>2</w:t>
      </w:r>
      <w:r w:rsidRPr="00273E29">
        <w:rPr>
          <w:rFonts w:eastAsia="Arial"/>
        </w:rPr>
        <w:t xml:space="preserve">-e) increase in emissions in 2019. </w:t>
      </w:r>
    </w:p>
    <w:p w14:paraId="2BFC2167" w14:textId="77777777" w:rsidR="00D71B94" w:rsidRPr="0053439C" w:rsidRDefault="00D71B94" w:rsidP="00D71B94">
      <w:pPr>
        <w:pStyle w:val="Heading4"/>
      </w:pPr>
      <w:r w:rsidRPr="0053439C">
        <w:t>Source-specific planned improvements</w:t>
      </w:r>
    </w:p>
    <w:p w14:paraId="029A3660" w14:textId="77777777" w:rsidR="00D71B94" w:rsidRPr="0053439C" w:rsidRDefault="00D71B94" w:rsidP="00D71B94">
      <w:pPr>
        <w:pStyle w:val="BodyText"/>
      </w:pPr>
      <w:r w:rsidRPr="0053439C">
        <w:t>No improvements are planned for energy industries. Some areas identified for possible improvements are better monitoring of diesel fuel actually landing on-atoll at the power sites, and clearly separating fuel used for power generation from heavy machinery and diesel</w:t>
      </w:r>
      <w:r w:rsidRPr="0053439C">
        <w:noBreakHyphen/>
        <w:t>powered vehicles. Data on gross electricity production from oil were acquired in late 2019 from the International Renewable Energy Agency; these could provide additional detail and verification of energy use back to their base year 2000. Future imports of coolants (ethylene glycol) for the solar PV-powered plants may also be considered in future.</w:t>
      </w:r>
    </w:p>
    <w:p w14:paraId="7124BF10" w14:textId="77777777" w:rsidR="00D71B94" w:rsidRPr="00D9002F" w:rsidRDefault="00D71B94" w:rsidP="00D71B94">
      <w:pPr>
        <w:pStyle w:val="Heading3"/>
        <w:rPr>
          <w:iCs/>
        </w:rPr>
      </w:pPr>
      <w:r w:rsidRPr="0053439C">
        <w:t xml:space="preserve">8.2.4 </w:t>
      </w:r>
      <w:r w:rsidRPr="0053439C">
        <w:tab/>
        <w:t xml:space="preserve">Stationary combustion: </w:t>
      </w:r>
      <w:r w:rsidRPr="00D9002F">
        <w:rPr>
          <w:iCs/>
        </w:rPr>
        <w:t>Other sectors – residential</w:t>
      </w:r>
    </w:p>
    <w:p w14:paraId="29C2BFE1" w14:textId="77777777" w:rsidR="00D71B94" w:rsidRPr="0053439C" w:rsidRDefault="00D71B94" w:rsidP="00D71B94">
      <w:pPr>
        <w:pStyle w:val="Heading4"/>
        <w:spacing w:before="160"/>
      </w:pPr>
      <w:r w:rsidRPr="0053439C">
        <w:t>Description</w:t>
      </w:r>
    </w:p>
    <w:p w14:paraId="2F47D6E8" w14:textId="77777777" w:rsidR="00D71B94" w:rsidRPr="0053439C" w:rsidRDefault="00D71B94" w:rsidP="00D71B94">
      <w:pPr>
        <w:pStyle w:val="BodyText"/>
      </w:pPr>
      <w:r w:rsidRPr="0053439C">
        <w:t xml:space="preserve">Tokelau has no significant industry. All energy is used by domestic and fishing activities and community–government activities (for example, meeting halls and offices, village freezers, building projects, stevedoring). Therefore, emissions associated with energy consumption in Tokelau (except fishing) are included in the category </w:t>
      </w:r>
      <w:r w:rsidRPr="0053439C">
        <w:rPr>
          <w:i/>
        </w:rPr>
        <w:t>Other sectors – Residential</w:t>
      </w:r>
      <w:r w:rsidRPr="0053439C">
        <w:t xml:space="preserve">. The small amount of emissions associated with communal activities are not easily distinguishable from those coming from residential activities and are therefore included under the </w:t>
      </w:r>
      <w:r w:rsidRPr="0053439C">
        <w:rPr>
          <w:i/>
        </w:rPr>
        <w:t>Other sectors – Residential</w:t>
      </w:r>
      <w:r w:rsidRPr="0053439C">
        <w:t xml:space="preserve"> category. Emissions from fishing are included under </w:t>
      </w:r>
      <w:r w:rsidRPr="0053439C">
        <w:rPr>
          <w:i/>
        </w:rPr>
        <w:t>Domestic navigation</w:t>
      </w:r>
      <w:r w:rsidRPr="0053439C">
        <w:t xml:space="preserve">. This is because it is difficult to distinguish fuel use for fishing from fuel use for domestic navigation in Tokelau, because families use the same boats for both purposes. </w:t>
      </w:r>
    </w:p>
    <w:p w14:paraId="720C56A6" w14:textId="77777777" w:rsidR="00D71B94" w:rsidRPr="0053439C" w:rsidRDefault="00D71B94" w:rsidP="00D71B94">
      <w:pPr>
        <w:pStyle w:val="BodyText"/>
      </w:pPr>
      <w:r w:rsidRPr="0053439C">
        <w:t>According to the 2016 Tokelau Census, every household has a fridge and a freezer, and some households now have air conditioning. Most households (over 60 per cent) also own a washing machine, a computer and a television. The United Nations Development Programme, under the Tokelau Energy Sector Support Project, has in the past funded a programme of replacing old inefficient fridges and freezers with new ones. Home appliances in Tokelau mainly use the power provided by solar PV-powered plants, supplemented as needed by back-up diesel</w:t>
      </w:r>
      <w:r w:rsidRPr="0053439C">
        <w:noBreakHyphen/>
        <w:t xml:space="preserve">powered generators. Emissions associated with the use of diesel-powered back-up generators are included under the </w:t>
      </w:r>
      <w:r w:rsidRPr="0053439C">
        <w:rPr>
          <w:i/>
        </w:rPr>
        <w:t xml:space="preserve">Energy industries </w:t>
      </w:r>
      <w:r w:rsidRPr="0053439C">
        <w:t xml:space="preserve">category. </w:t>
      </w:r>
    </w:p>
    <w:p w14:paraId="5E650C5F" w14:textId="77777777" w:rsidR="00D71B94" w:rsidRPr="0053439C" w:rsidRDefault="00D71B94" w:rsidP="00D71B94">
      <w:pPr>
        <w:pStyle w:val="BodyText"/>
      </w:pPr>
      <w:r w:rsidRPr="0053439C">
        <w:t xml:space="preserve">Gas cooking using imported natural gas (LPG) is the preferred method used by about 72.0 per cent of households, replacing kerosene stoves. For the past decade, the use of kerosene stoves dropped from 56.6 per cent of households in 2006 to 23.6 per cent in 2016 (2016 Tokelau Census). Associated activity data and emissions are included under </w:t>
      </w:r>
      <w:r w:rsidRPr="0053439C">
        <w:rPr>
          <w:i/>
        </w:rPr>
        <w:t>Other sectors – Residential</w:t>
      </w:r>
      <w:r w:rsidRPr="0053439C">
        <w:t xml:space="preserve"> category.</w:t>
      </w:r>
    </w:p>
    <w:p w14:paraId="65989245" w14:textId="77777777" w:rsidR="00D71B94" w:rsidRPr="0053439C" w:rsidRDefault="00D71B94" w:rsidP="00D71B94">
      <w:pPr>
        <w:pStyle w:val="BodyText"/>
      </w:pPr>
      <w:r w:rsidRPr="0053439C">
        <w:t xml:space="preserve">In 2020, emissions from the </w:t>
      </w:r>
      <w:r w:rsidRPr="0053439C">
        <w:rPr>
          <w:i/>
          <w:iCs/>
        </w:rPr>
        <w:t>Other sectors – Residential</w:t>
      </w:r>
      <w:r w:rsidRPr="0053439C">
        <w:t xml:space="preserve"> category</w:t>
      </w:r>
      <w:r w:rsidRPr="0053439C">
        <w:rPr>
          <w:lang w:eastAsia="en-GB"/>
        </w:rPr>
        <w:t xml:space="preserve"> </w:t>
      </w:r>
      <w:r w:rsidRPr="0053439C">
        <w:t>were 0.10 kt CO</w:t>
      </w:r>
      <w:r w:rsidRPr="0053439C">
        <w:rPr>
          <w:vertAlign w:val="subscript"/>
        </w:rPr>
        <w:t>2</w:t>
      </w:r>
      <w:r w:rsidRPr="0053439C">
        <w:t>-e (4.3 per cent of all energy emissions from Tokelau).</w:t>
      </w:r>
    </w:p>
    <w:p w14:paraId="29304147" w14:textId="77777777" w:rsidR="00D71B94" w:rsidRPr="0053439C" w:rsidRDefault="00D71B94" w:rsidP="00D71B94">
      <w:pPr>
        <w:pStyle w:val="Heading4"/>
      </w:pPr>
      <w:r w:rsidRPr="0053439C">
        <w:lastRenderedPageBreak/>
        <w:t>Methodological issues</w:t>
      </w:r>
    </w:p>
    <w:p w14:paraId="3B44FCF6" w14:textId="77777777" w:rsidR="00D71B94" w:rsidRPr="0053439C" w:rsidRDefault="00D71B94" w:rsidP="00D71B94">
      <w:pPr>
        <w:pStyle w:val="Heading5"/>
        <w:spacing w:before="120"/>
        <w:rPr>
          <w:lang w:eastAsia="en-GB"/>
        </w:rPr>
      </w:pPr>
      <w:r w:rsidRPr="0053439C">
        <w:rPr>
          <w:lang w:eastAsia="en-GB"/>
        </w:rPr>
        <w:t>Activity data</w:t>
      </w:r>
    </w:p>
    <w:p w14:paraId="60A93DBC" w14:textId="77777777" w:rsidR="00D71B94" w:rsidRPr="0053439C" w:rsidRDefault="00D71B94" w:rsidP="00D71B94">
      <w:pPr>
        <w:pStyle w:val="BodyText"/>
      </w:pPr>
      <w:r w:rsidRPr="0053439C">
        <w:rPr>
          <w:lang w:eastAsia="en-GB"/>
        </w:rPr>
        <w:t xml:space="preserve">The sources of activity data for the </w:t>
      </w:r>
      <w:r w:rsidRPr="0053439C">
        <w:rPr>
          <w:i/>
          <w:lang w:eastAsia="en-GB"/>
        </w:rPr>
        <w:t>Other sectors – Residential</w:t>
      </w:r>
      <w:r w:rsidRPr="0053439C">
        <w:rPr>
          <w:lang w:eastAsia="en-GB"/>
        </w:rPr>
        <w:t xml:space="preserve"> category are included in table 8.1.2. The key data source for the category is paid invoices from Origin Energy Samoa Ltd (Apia, Samoa) providing prices and volumes of propane supplied on-atoll for cooking.</w:t>
      </w:r>
    </w:p>
    <w:p w14:paraId="57B2435E" w14:textId="77777777" w:rsidR="00D71B94" w:rsidRPr="0053439C" w:rsidRDefault="00D71B94" w:rsidP="00D71B94">
      <w:pPr>
        <w:pStyle w:val="Heading5"/>
        <w:rPr>
          <w:lang w:eastAsia="en-GB"/>
        </w:rPr>
      </w:pPr>
      <w:r w:rsidRPr="0053439C">
        <w:rPr>
          <w:lang w:eastAsia="en-GB"/>
        </w:rPr>
        <w:t>Methods and emission factors</w:t>
      </w:r>
    </w:p>
    <w:p w14:paraId="6CCF4077" w14:textId="77777777" w:rsidR="00D71B94" w:rsidRPr="0053439C" w:rsidRDefault="00D71B94" w:rsidP="00D71B94">
      <w:pPr>
        <w:pStyle w:val="BodyText"/>
        <w:rPr>
          <w:lang w:eastAsia="en-GB"/>
        </w:rPr>
      </w:pPr>
      <w:r w:rsidRPr="0053439C">
        <w:rPr>
          <w:lang w:eastAsia="en-GB"/>
        </w:rPr>
        <w:t xml:space="preserve">A Tier 1 method was applied for estimating emissions from the </w:t>
      </w:r>
      <w:r w:rsidRPr="0053439C">
        <w:rPr>
          <w:i/>
          <w:lang w:eastAsia="en-GB"/>
        </w:rPr>
        <w:t>Other sectors – Residential</w:t>
      </w:r>
      <w:r w:rsidRPr="0053439C">
        <w:rPr>
          <w:lang w:eastAsia="en-GB"/>
        </w:rPr>
        <w:t xml:space="preserve"> category. The method required the data on the amount of LPG combusted in the source category and a default emission factor from table 2.2, section 2.3.2.1, volume 2 of the 2006 IPCC Guidelines. Default emission factors from the 2006 IPCC Guidelines were converted from net calorific values to gross calorific values using the OECD and IEA assumptions to make these conversions:</w:t>
      </w:r>
    </w:p>
    <w:p w14:paraId="65E914D5" w14:textId="77777777" w:rsidR="00D71B94" w:rsidRPr="00B313AA" w:rsidRDefault="00D71B94" w:rsidP="00D71B94">
      <w:pPr>
        <w:pStyle w:val="BodyText"/>
        <w:spacing w:before="80" w:after="80"/>
        <w:jc w:val="center"/>
        <w:rPr>
          <w:rFonts w:ascii="Cambria Math" w:hAnsi="Cambria Math"/>
          <w:lang w:eastAsia="en-GB"/>
        </w:rPr>
      </w:pPr>
      <w:r w:rsidRPr="00B313AA">
        <w:rPr>
          <w:rFonts w:ascii="Cambria Math" w:hAnsi="Cambria Math"/>
          <w:lang w:eastAsia="en-GB"/>
        </w:rPr>
        <w:t>Gross Emission Factor (gaseous fuels) = 0.90 x Net Emission Factor</w:t>
      </w:r>
    </w:p>
    <w:p w14:paraId="39D1161B" w14:textId="77777777" w:rsidR="00D71B94" w:rsidRPr="0053439C" w:rsidRDefault="00D71B94" w:rsidP="00D71B94">
      <w:pPr>
        <w:pStyle w:val="BodyText"/>
        <w:rPr>
          <w:lang w:eastAsia="en-GB"/>
        </w:rPr>
      </w:pPr>
      <w:r w:rsidRPr="0053439C">
        <w:rPr>
          <w:lang w:eastAsia="en-GB"/>
        </w:rPr>
        <w:t xml:space="preserve">Equations 2.1 and 2.2 from section 2.3.1.1 in the 2006 IPCC Guidelines were used for estimating emissions (IPCC, 2006a). </w:t>
      </w:r>
    </w:p>
    <w:p w14:paraId="2549E4C6" w14:textId="77777777" w:rsidR="00D71B94" w:rsidRPr="00C840BA" w:rsidRDefault="00D71B94" w:rsidP="00D71B94">
      <w:pPr>
        <w:pStyle w:val="Heading4"/>
      </w:pPr>
      <w:r w:rsidRPr="0053439C">
        <w:t>Uncertainties</w:t>
      </w:r>
    </w:p>
    <w:p w14:paraId="1EDA470A" w14:textId="77777777" w:rsidR="00D71B94" w:rsidRPr="0053439C" w:rsidRDefault="00D71B94" w:rsidP="00D71B94">
      <w:pPr>
        <w:pStyle w:val="BodyText"/>
        <w:rPr>
          <w:lang w:eastAsia="en-GB"/>
        </w:rPr>
      </w:pPr>
      <w:r w:rsidRPr="0053439C">
        <w:rPr>
          <w:lang w:eastAsia="en-GB"/>
        </w:rPr>
        <w:t>For this submission, it was not possible to develop Tokelau-specific uncertainty values, so for emission factors, default uncertainty values provided in the 2006 IPCC Guidelines were used for CO</w:t>
      </w:r>
      <w:r w:rsidRPr="0053439C">
        <w:rPr>
          <w:vertAlign w:val="subscript"/>
          <w:lang w:eastAsia="en-GB"/>
        </w:rPr>
        <w:t xml:space="preserve">2 </w:t>
      </w:r>
      <w:r w:rsidRPr="0053439C">
        <w:rPr>
          <w:lang w:eastAsia="en-GB"/>
        </w:rPr>
        <w:t>and CH</w:t>
      </w:r>
      <w:r w:rsidRPr="0053439C">
        <w:rPr>
          <w:vertAlign w:val="subscript"/>
          <w:lang w:eastAsia="en-GB"/>
        </w:rPr>
        <w:t>4</w:t>
      </w:r>
      <w:r w:rsidRPr="0053439C">
        <w:rPr>
          <w:lang w:eastAsia="en-GB"/>
        </w:rPr>
        <w:t xml:space="preserve"> (for commercial, institutional and residential combustion) (IPCC, 2006a). Because no quantified default emission factor is provided for N</w:t>
      </w:r>
      <w:r w:rsidRPr="0053439C">
        <w:rPr>
          <w:vertAlign w:val="subscript"/>
          <w:lang w:eastAsia="en-GB"/>
        </w:rPr>
        <w:t>2</w:t>
      </w:r>
      <w:r w:rsidRPr="0053439C">
        <w:rPr>
          <w:lang w:eastAsia="en-GB"/>
        </w:rPr>
        <w:t>O, New Zealand’s emission factor uncertainty across the Energy sector for N</w:t>
      </w:r>
      <w:r w:rsidRPr="0053439C">
        <w:rPr>
          <w:vertAlign w:val="subscript"/>
          <w:lang w:eastAsia="en-GB"/>
        </w:rPr>
        <w:t>2</w:t>
      </w:r>
      <w:r w:rsidRPr="0053439C">
        <w:rPr>
          <w:lang w:eastAsia="en-GB"/>
        </w:rPr>
        <w:t xml:space="preserve">O was used for this category. </w:t>
      </w:r>
    </w:p>
    <w:p w14:paraId="36E40C92" w14:textId="77777777" w:rsidR="00D71B94" w:rsidRPr="0053439C" w:rsidRDefault="00D71B94" w:rsidP="00D71B94">
      <w:pPr>
        <w:pStyle w:val="BodyText"/>
        <w:rPr>
          <w:lang w:eastAsia="en-GB"/>
        </w:rPr>
      </w:pPr>
      <w:r w:rsidRPr="0053439C">
        <w:rPr>
          <w:lang w:eastAsia="en-GB"/>
        </w:rPr>
        <w:t xml:space="preserve">For activity data, a mid-range level of default uncertainty range associated with data extrapolation from the 2006 IPCC Guidelines was applied (IPCC, 2006a). Table 8.2.2 shows the use of uncertainties for the </w:t>
      </w:r>
      <w:r w:rsidRPr="0053439C">
        <w:rPr>
          <w:i/>
          <w:lang w:eastAsia="en-GB"/>
        </w:rPr>
        <w:t xml:space="preserve">Other sectors – Residential </w:t>
      </w:r>
      <w:r w:rsidRPr="0053439C">
        <w:rPr>
          <w:lang w:eastAsia="en-GB"/>
        </w:rPr>
        <w:t>category.</w:t>
      </w:r>
    </w:p>
    <w:p w14:paraId="65C310E2" w14:textId="77777777" w:rsidR="00D71B94" w:rsidRPr="0053439C" w:rsidRDefault="00D71B94" w:rsidP="00D71B94">
      <w:pPr>
        <w:pStyle w:val="Table"/>
      </w:pPr>
      <w:bookmarkStart w:id="2547" w:name="_Toc5269597"/>
      <w:bookmarkStart w:id="2548" w:name="_Toc36224678"/>
      <w:bookmarkStart w:id="2549" w:name="_Toc68786564"/>
      <w:bookmarkStart w:id="2550" w:name="_Toc99659359"/>
      <w:r w:rsidRPr="008A79B1">
        <w:t>Table 8.2.2</w:t>
      </w:r>
      <w:r w:rsidRPr="008A79B1">
        <w:tab/>
        <w:t xml:space="preserve">Uncertainties for the </w:t>
      </w:r>
      <w:r w:rsidRPr="008A79B1">
        <w:rPr>
          <w:i/>
        </w:rPr>
        <w:t xml:space="preserve">Other sectors – Residential </w:t>
      </w:r>
      <w:r w:rsidRPr="008A79B1">
        <w:t>category</w:t>
      </w:r>
      <w:bookmarkEnd w:id="2547"/>
      <w:bookmarkEnd w:id="2548"/>
      <w:bookmarkEnd w:id="2549"/>
      <w:bookmarkEnd w:id="2550"/>
    </w:p>
    <w:tbl>
      <w:tblPr>
        <w:tblW w:w="8505" w:type="dxa"/>
        <w:tblInd w:w="108"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567"/>
        <w:gridCol w:w="1119"/>
        <w:gridCol w:w="1575"/>
        <w:gridCol w:w="1701"/>
        <w:gridCol w:w="3543"/>
      </w:tblGrid>
      <w:tr w:rsidR="00D71B94" w:rsidRPr="0053439C" w14:paraId="56E007DC" w14:textId="77777777" w:rsidTr="007E3239">
        <w:trPr>
          <w:tblHeader/>
        </w:trPr>
        <w:tc>
          <w:tcPr>
            <w:tcW w:w="333" w:type="pct"/>
            <w:shd w:val="clear" w:color="auto" w:fill="1B556B"/>
            <w:noWrap/>
            <w:vAlign w:val="bottom"/>
            <w:hideMark/>
          </w:tcPr>
          <w:p w14:paraId="076B91C3" w14:textId="77777777" w:rsidR="00D71B94" w:rsidRPr="0053439C" w:rsidRDefault="00D71B94" w:rsidP="007E3239">
            <w:pPr>
              <w:pStyle w:val="TableTextBold"/>
              <w:rPr>
                <w:noProof w:val="0"/>
                <w:color w:val="FFFFFF"/>
                <w:szCs w:val="16"/>
              </w:rPr>
            </w:pPr>
            <w:r w:rsidRPr="0053439C">
              <w:rPr>
                <w:noProof w:val="0"/>
                <w:color w:val="FFFFFF"/>
                <w:szCs w:val="16"/>
              </w:rPr>
              <w:t>Gas</w:t>
            </w:r>
          </w:p>
        </w:tc>
        <w:tc>
          <w:tcPr>
            <w:tcW w:w="658" w:type="pct"/>
            <w:shd w:val="clear" w:color="auto" w:fill="1B556B"/>
            <w:noWrap/>
            <w:vAlign w:val="bottom"/>
            <w:hideMark/>
          </w:tcPr>
          <w:p w14:paraId="44C38948" w14:textId="77777777" w:rsidR="00D71B94" w:rsidRPr="0053439C" w:rsidRDefault="00D71B94" w:rsidP="007E3239">
            <w:pPr>
              <w:pStyle w:val="TableTextBold"/>
              <w:rPr>
                <w:noProof w:val="0"/>
                <w:color w:val="FFFFFF"/>
                <w:szCs w:val="16"/>
              </w:rPr>
            </w:pPr>
            <w:r w:rsidRPr="0053439C">
              <w:rPr>
                <w:noProof w:val="0"/>
                <w:color w:val="FFFFFF"/>
                <w:szCs w:val="16"/>
              </w:rPr>
              <w:t>Fuel type</w:t>
            </w:r>
          </w:p>
        </w:tc>
        <w:tc>
          <w:tcPr>
            <w:tcW w:w="926" w:type="pct"/>
            <w:shd w:val="clear" w:color="auto" w:fill="1B556B"/>
            <w:vAlign w:val="bottom"/>
            <w:hideMark/>
          </w:tcPr>
          <w:p w14:paraId="1C7665C7" w14:textId="77777777" w:rsidR="00D71B94" w:rsidRPr="0053439C" w:rsidRDefault="00D71B94" w:rsidP="007E3239">
            <w:pPr>
              <w:pStyle w:val="TableTextBold"/>
              <w:jc w:val="center"/>
              <w:rPr>
                <w:noProof w:val="0"/>
                <w:color w:val="FFFFFF"/>
                <w:szCs w:val="16"/>
              </w:rPr>
            </w:pPr>
            <w:r w:rsidRPr="0053439C">
              <w:rPr>
                <w:noProof w:val="0"/>
                <w:color w:val="FFFFFF"/>
                <w:szCs w:val="16"/>
              </w:rPr>
              <w:t>Activity data (AD) uncertainty (%)</w:t>
            </w:r>
          </w:p>
        </w:tc>
        <w:tc>
          <w:tcPr>
            <w:tcW w:w="1000" w:type="pct"/>
            <w:shd w:val="clear" w:color="auto" w:fill="1B556B"/>
            <w:vAlign w:val="bottom"/>
            <w:hideMark/>
          </w:tcPr>
          <w:p w14:paraId="052B35E0" w14:textId="77777777" w:rsidR="00D71B94" w:rsidRPr="0053439C" w:rsidRDefault="00D71B94" w:rsidP="007E3239">
            <w:pPr>
              <w:pStyle w:val="TableTextBold"/>
              <w:jc w:val="center"/>
              <w:rPr>
                <w:noProof w:val="0"/>
                <w:color w:val="FFFFFF"/>
                <w:szCs w:val="16"/>
              </w:rPr>
            </w:pPr>
            <w:r w:rsidRPr="0053439C">
              <w:rPr>
                <w:noProof w:val="0"/>
                <w:color w:val="FFFFFF"/>
                <w:szCs w:val="16"/>
              </w:rPr>
              <w:t>Emission factor (EF) uncertainty (%)</w:t>
            </w:r>
          </w:p>
        </w:tc>
        <w:tc>
          <w:tcPr>
            <w:tcW w:w="2083" w:type="pct"/>
            <w:shd w:val="clear" w:color="auto" w:fill="1B556B"/>
            <w:vAlign w:val="bottom"/>
          </w:tcPr>
          <w:p w14:paraId="65BE76CA" w14:textId="77777777" w:rsidR="00D71B94" w:rsidRPr="0053439C" w:rsidRDefault="00D71B94" w:rsidP="007E3239">
            <w:pPr>
              <w:pStyle w:val="TableTextBold"/>
              <w:jc w:val="center"/>
              <w:rPr>
                <w:noProof w:val="0"/>
                <w:color w:val="FFFFFF"/>
                <w:szCs w:val="16"/>
              </w:rPr>
            </w:pPr>
            <w:r w:rsidRPr="0053439C">
              <w:rPr>
                <w:noProof w:val="0"/>
                <w:color w:val="FFFFFF"/>
                <w:szCs w:val="16"/>
              </w:rPr>
              <w:t>Source</w:t>
            </w:r>
          </w:p>
        </w:tc>
      </w:tr>
      <w:tr w:rsidR="00D71B94" w:rsidRPr="0053439C" w14:paraId="004A2C7B" w14:textId="77777777" w:rsidTr="007E3239">
        <w:tc>
          <w:tcPr>
            <w:tcW w:w="333" w:type="pct"/>
            <w:shd w:val="clear" w:color="auto" w:fill="auto"/>
            <w:noWrap/>
            <w:hideMark/>
          </w:tcPr>
          <w:p w14:paraId="6B9A7303" w14:textId="77777777" w:rsidR="00D71B94" w:rsidRPr="0053439C" w:rsidRDefault="00D71B94" w:rsidP="007E3239">
            <w:pPr>
              <w:pStyle w:val="TableText"/>
              <w:rPr>
                <w:szCs w:val="16"/>
              </w:rPr>
            </w:pPr>
            <w:r w:rsidRPr="0053439C">
              <w:rPr>
                <w:szCs w:val="16"/>
              </w:rPr>
              <w:t>CO</w:t>
            </w:r>
            <w:r w:rsidRPr="0053439C">
              <w:rPr>
                <w:szCs w:val="16"/>
                <w:vertAlign w:val="subscript"/>
              </w:rPr>
              <w:t>2</w:t>
            </w:r>
          </w:p>
        </w:tc>
        <w:tc>
          <w:tcPr>
            <w:tcW w:w="658" w:type="pct"/>
            <w:shd w:val="clear" w:color="auto" w:fill="auto"/>
            <w:noWrap/>
            <w:hideMark/>
          </w:tcPr>
          <w:p w14:paraId="1F3B301B" w14:textId="77777777" w:rsidR="00D71B94" w:rsidRPr="0053439C" w:rsidRDefault="00D71B94" w:rsidP="007E3239">
            <w:pPr>
              <w:pStyle w:val="TableText"/>
              <w:rPr>
                <w:szCs w:val="16"/>
              </w:rPr>
            </w:pPr>
            <w:r w:rsidRPr="0053439C">
              <w:rPr>
                <w:szCs w:val="16"/>
              </w:rPr>
              <w:t>Liquid fuels</w:t>
            </w:r>
          </w:p>
        </w:tc>
        <w:tc>
          <w:tcPr>
            <w:tcW w:w="926" w:type="pct"/>
            <w:shd w:val="clear" w:color="auto" w:fill="auto"/>
            <w:noWrap/>
            <w:hideMark/>
          </w:tcPr>
          <w:p w14:paraId="3CB13295" w14:textId="77777777" w:rsidR="00D71B94" w:rsidRPr="0053439C" w:rsidRDefault="00D71B94" w:rsidP="007E3239">
            <w:pPr>
              <w:pStyle w:val="TableText"/>
              <w:jc w:val="center"/>
              <w:rPr>
                <w:szCs w:val="16"/>
              </w:rPr>
            </w:pPr>
            <w:r w:rsidRPr="0053439C">
              <w:rPr>
                <w:szCs w:val="16"/>
              </w:rPr>
              <w:t>20</w:t>
            </w:r>
          </w:p>
        </w:tc>
        <w:tc>
          <w:tcPr>
            <w:tcW w:w="1000" w:type="pct"/>
            <w:shd w:val="clear" w:color="auto" w:fill="auto"/>
            <w:noWrap/>
            <w:hideMark/>
          </w:tcPr>
          <w:p w14:paraId="74EE4F80" w14:textId="77777777" w:rsidR="00D71B94" w:rsidRPr="0053439C" w:rsidRDefault="00D71B94" w:rsidP="007E3239">
            <w:pPr>
              <w:pStyle w:val="TableText"/>
              <w:jc w:val="center"/>
              <w:rPr>
                <w:szCs w:val="16"/>
              </w:rPr>
            </w:pPr>
            <w:r w:rsidRPr="0053439C">
              <w:rPr>
                <w:szCs w:val="16"/>
              </w:rPr>
              <w:t>±7</w:t>
            </w:r>
          </w:p>
        </w:tc>
        <w:tc>
          <w:tcPr>
            <w:tcW w:w="2083" w:type="pct"/>
          </w:tcPr>
          <w:p w14:paraId="756CC560" w14:textId="77777777" w:rsidR="00D71B94" w:rsidRPr="0053439C" w:rsidRDefault="00D71B94" w:rsidP="007E3239">
            <w:pPr>
              <w:pStyle w:val="TableText"/>
              <w:spacing w:after="40"/>
              <w:rPr>
                <w:szCs w:val="16"/>
              </w:rPr>
            </w:pPr>
            <w:r w:rsidRPr="0053439C">
              <w:rPr>
                <w:szCs w:val="16"/>
              </w:rPr>
              <w:t>AD: page 2.41, IPCC, 2006a (table 2.15)</w:t>
            </w:r>
          </w:p>
          <w:p w14:paraId="68DCF905" w14:textId="77777777" w:rsidR="00D71B94" w:rsidRPr="0053439C" w:rsidRDefault="00D71B94" w:rsidP="007E3239">
            <w:pPr>
              <w:pStyle w:val="TableText"/>
              <w:spacing w:before="0"/>
              <w:rPr>
                <w:szCs w:val="16"/>
              </w:rPr>
            </w:pPr>
            <w:r w:rsidRPr="0053439C">
              <w:rPr>
                <w:szCs w:val="16"/>
              </w:rPr>
              <w:t>EF: page 2.38, IPCC, 2006a</w:t>
            </w:r>
            <w:r w:rsidRPr="0053439C" w:rsidDel="00AE346E">
              <w:rPr>
                <w:szCs w:val="16"/>
              </w:rPr>
              <w:t xml:space="preserve"> </w:t>
            </w:r>
          </w:p>
        </w:tc>
      </w:tr>
      <w:tr w:rsidR="00D71B94" w:rsidRPr="0053439C" w14:paraId="2189976E" w14:textId="77777777" w:rsidTr="007E3239">
        <w:tc>
          <w:tcPr>
            <w:tcW w:w="333" w:type="pct"/>
            <w:shd w:val="clear" w:color="auto" w:fill="auto"/>
            <w:noWrap/>
            <w:hideMark/>
          </w:tcPr>
          <w:p w14:paraId="3899213B" w14:textId="77777777" w:rsidR="00D71B94" w:rsidRPr="0053439C" w:rsidRDefault="00D71B94" w:rsidP="007E3239">
            <w:pPr>
              <w:pStyle w:val="TableText"/>
              <w:rPr>
                <w:szCs w:val="16"/>
              </w:rPr>
            </w:pPr>
            <w:r w:rsidRPr="0053439C">
              <w:rPr>
                <w:szCs w:val="16"/>
              </w:rPr>
              <w:t>CH</w:t>
            </w:r>
            <w:r w:rsidRPr="0053439C">
              <w:rPr>
                <w:szCs w:val="16"/>
                <w:vertAlign w:val="subscript"/>
              </w:rPr>
              <w:t>4</w:t>
            </w:r>
          </w:p>
        </w:tc>
        <w:tc>
          <w:tcPr>
            <w:tcW w:w="658" w:type="pct"/>
            <w:shd w:val="clear" w:color="auto" w:fill="auto"/>
            <w:noWrap/>
            <w:hideMark/>
          </w:tcPr>
          <w:p w14:paraId="659CB743" w14:textId="77777777" w:rsidR="00D71B94" w:rsidRPr="0053439C" w:rsidRDefault="00D71B94" w:rsidP="007E3239">
            <w:pPr>
              <w:pStyle w:val="TableText"/>
              <w:rPr>
                <w:szCs w:val="16"/>
              </w:rPr>
            </w:pPr>
            <w:r w:rsidRPr="0053439C">
              <w:rPr>
                <w:szCs w:val="16"/>
              </w:rPr>
              <w:t>Liquid fuels</w:t>
            </w:r>
          </w:p>
        </w:tc>
        <w:tc>
          <w:tcPr>
            <w:tcW w:w="926" w:type="pct"/>
            <w:shd w:val="clear" w:color="auto" w:fill="auto"/>
            <w:noWrap/>
            <w:hideMark/>
          </w:tcPr>
          <w:p w14:paraId="482F83F8" w14:textId="77777777" w:rsidR="00D71B94" w:rsidRPr="0053439C" w:rsidRDefault="00D71B94" w:rsidP="007E3239">
            <w:pPr>
              <w:pStyle w:val="TableText"/>
              <w:jc w:val="center"/>
              <w:rPr>
                <w:szCs w:val="16"/>
              </w:rPr>
            </w:pPr>
            <w:r w:rsidRPr="0053439C">
              <w:rPr>
                <w:szCs w:val="16"/>
              </w:rPr>
              <w:t>20</w:t>
            </w:r>
          </w:p>
        </w:tc>
        <w:tc>
          <w:tcPr>
            <w:tcW w:w="1000" w:type="pct"/>
            <w:shd w:val="clear" w:color="auto" w:fill="auto"/>
            <w:noWrap/>
            <w:hideMark/>
          </w:tcPr>
          <w:p w14:paraId="61E699E2" w14:textId="77777777" w:rsidR="00D71B94" w:rsidRPr="0053439C" w:rsidRDefault="00D71B94" w:rsidP="007E3239">
            <w:pPr>
              <w:pStyle w:val="TableText"/>
              <w:jc w:val="center"/>
              <w:rPr>
                <w:szCs w:val="16"/>
              </w:rPr>
            </w:pPr>
            <w:r w:rsidRPr="0053439C">
              <w:rPr>
                <w:szCs w:val="16"/>
              </w:rPr>
              <w:t>±50.0</w:t>
            </w:r>
          </w:p>
        </w:tc>
        <w:tc>
          <w:tcPr>
            <w:tcW w:w="2083" w:type="pct"/>
          </w:tcPr>
          <w:p w14:paraId="66AA564E" w14:textId="77777777" w:rsidR="00D71B94" w:rsidRPr="0053439C" w:rsidRDefault="00D71B94" w:rsidP="007E3239">
            <w:pPr>
              <w:pStyle w:val="TableText"/>
              <w:spacing w:after="40"/>
              <w:rPr>
                <w:szCs w:val="16"/>
              </w:rPr>
            </w:pPr>
            <w:r w:rsidRPr="0053439C">
              <w:rPr>
                <w:szCs w:val="16"/>
              </w:rPr>
              <w:t>AD: page 2.41, IPCC, 2006a (table 2.15)</w:t>
            </w:r>
          </w:p>
          <w:p w14:paraId="2FBDDB0F" w14:textId="77777777" w:rsidR="00D71B94" w:rsidRPr="0053439C" w:rsidRDefault="00D71B94" w:rsidP="007E3239">
            <w:pPr>
              <w:pStyle w:val="TableText"/>
              <w:spacing w:before="0"/>
              <w:rPr>
                <w:szCs w:val="16"/>
              </w:rPr>
            </w:pPr>
            <w:r w:rsidRPr="0053439C">
              <w:rPr>
                <w:szCs w:val="16"/>
              </w:rPr>
              <w:t>EF: page 2.38, IPCC, 2006a (table 2.12)</w:t>
            </w:r>
          </w:p>
        </w:tc>
      </w:tr>
      <w:tr w:rsidR="00D71B94" w:rsidRPr="0053439C" w14:paraId="1B62D5C8" w14:textId="77777777" w:rsidTr="007E3239">
        <w:tc>
          <w:tcPr>
            <w:tcW w:w="333" w:type="pct"/>
            <w:shd w:val="clear" w:color="auto" w:fill="auto"/>
            <w:noWrap/>
            <w:hideMark/>
          </w:tcPr>
          <w:p w14:paraId="36832DA7" w14:textId="77777777" w:rsidR="00D71B94" w:rsidRPr="0053439C" w:rsidRDefault="00D71B94" w:rsidP="007E3239">
            <w:pPr>
              <w:pStyle w:val="TableText"/>
              <w:rPr>
                <w:szCs w:val="16"/>
              </w:rPr>
            </w:pPr>
            <w:r w:rsidRPr="0053439C">
              <w:rPr>
                <w:szCs w:val="16"/>
              </w:rPr>
              <w:t>N</w:t>
            </w:r>
            <w:r w:rsidRPr="0053439C">
              <w:rPr>
                <w:szCs w:val="16"/>
                <w:vertAlign w:val="subscript"/>
              </w:rPr>
              <w:t>2</w:t>
            </w:r>
            <w:r w:rsidRPr="0053439C">
              <w:rPr>
                <w:szCs w:val="16"/>
              </w:rPr>
              <w:t>O</w:t>
            </w:r>
          </w:p>
        </w:tc>
        <w:tc>
          <w:tcPr>
            <w:tcW w:w="658" w:type="pct"/>
            <w:shd w:val="clear" w:color="auto" w:fill="auto"/>
            <w:noWrap/>
            <w:hideMark/>
          </w:tcPr>
          <w:p w14:paraId="617B3F93" w14:textId="77777777" w:rsidR="00D71B94" w:rsidRPr="0053439C" w:rsidRDefault="00D71B94" w:rsidP="007E3239">
            <w:pPr>
              <w:pStyle w:val="TableText"/>
              <w:rPr>
                <w:szCs w:val="16"/>
              </w:rPr>
            </w:pPr>
            <w:r w:rsidRPr="0053439C">
              <w:rPr>
                <w:szCs w:val="16"/>
              </w:rPr>
              <w:t>Liquid fuels</w:t>
            </w:r>
          </w:p>
        </w:tc>
        <w:tc>
          <w:tcPr>
            <w:tcW w:w="926" w:type="pct"/>
            <w:shd w:val="clear" w:color="auto" w:fill="auto"/>
            <w:noWrap/>
            <w:hideMark/>
          </w:tcPr>
          <w:p w14:paraId="5042D76C" w14:textId="77777777" w:rsidR="00D71B94" w:rsidRPr="0053439C" w:rsidRDefault="00D71B94" w:rsidP="007E3239">
            <w:pPr>
              <w:pStyle w:val="TableText"/>
              <w:jc w:val="center"/>
              <w:rPr>
                <w:szCs w:val="16"/>
              </w:rPr>
            </w:pPr>
            <w:r w:rsidRPr="0053439C">
              <w:rPr>
                <w:szCs w:val="16"/>
              </w:rPr>
              <w:t>20</w:t>
            </w:r>
          </w:p>
        </w:tc>
        <w:tc>
          <w:tcPr>
            <w:tcW w:w="1000" w:type="pct"/>
            <w:shd w:val="clear" w:color="auto" w:fill="auto"/>
            <w:noWrap/>
            <w:hideMark/>
          </w:tcPr>
          <w:p w14:paraId="2F4F2F17" w14:textId="77777777" w:rsidR="00D71B94" w:rsidRPr="0053439C" w:rsidRDefault="00D71B94" w:rsidP="007E3239">
            <w:pPr>
              <w:pStyle w:val="TableText"/>
              <w:jc w:val="center"/>
              <w:rPr>
                <w:szCs w:val="16"/>
              </w:rPr>
            </w:pPr>
            <w:r w:rsidRPr="0053439C">
              <w:rPr>
                <w:szCs w:val="16"/>
              </w:rPr>
              <w:t>±50.0</w:t>
            </w:r>
          </w:p>
        </w:tc>
        <w:tc>
          <w:tcPr>
            <w:tcW w:w="2083" w:type="pct"/>
          </w:tcPr>
          <w:p w14:paraId="0BCE4B91" w14:textId="77777777" w:rsidR="00D71B94" w:rsidRPr="0053439C" w:rsidRDefault="00D71B94" w:rsidP="007E3239">
            <w:pPr>
              <w:pStyle w:val="TableText"/>
              <w:spacing w:after="40"/>
              <w:rPr>
                <w:szCs w:val="16"/>
              </w:rPr>
            </w:pPr>
            <w:r w:rsidRPr="0053439C">
              <w:rPr>
                <w:szCs w:val="16"/>
              </w:rPr>
              <w:t>AD: page 2.41, IPCC, 2006a (table 2.15)</w:t>
            </w:r>
          </w:p>
          <w:p w14:paraId="0435B4B9" w14:textId="77777777" w:rsidR="00D71B94" w:rsidRPr="0053439C" w:rsidRDefault="00D71B94" w:rsidP="007E3239">
            <w:pPr>
              <w:pStyle w:val="TableText"/>
              <w:spacing w:before="0"/>
              <w:rPr>
                <w:szCs w:val="16"/>
              </w:rPr>
            </w:pPr>
            <w:r w:rsidRPr="0053439C">
              <w:rPr>
                <w:szCs w:val="16"/>
              </w:rPr>
              <w:t>EF: New Zealand’s value (table 3.3.1, chapter 3)</w:t>
            </w:r>
          </w:p>
        </w:tc>
      </w:tr>
    </w:tbl>
    <w:p w14:paraId="39B01274" w14:textId="77777777" w:rsidR="00D71B94" w:rsidRPr="0053439C" w:rsidRDefault="00D71B94" w:rsidP="00D71B94">
      <w:pPr>
        <w:pStyle w:val="Heading4"/>
        <w:spacing w:before="360"/>
      </w:pPr>
      <w:r w:rsidRPr="0053439C">
        <w:t>Source-specific planned improvements</w:t>
      </w:r>
    </w:p>
    <w:p w14:paraId="32C0B9D8" w14:textId="77777777" w:rsidR="00D71B94" w:rsidRPr="0053439C" w:rsidRDefault="00D71B94" w:rsidP="00D71B94">
      <w:pPr>
        <w:pStyle w:val="BodyText"/>
        <w:rPr>
          <w:lang w:eastAsia="en-GB"/>
        </w:rPr>
      </w:pPr>
      <w:r w:rsidRPr="0053439C">
        <w:rPr>
          <w:lang w:eastAsia="en-GB"/>
        </w:rPr>
        <w:t xml:space="preserve">No improvements are planned for the </w:t>
      </w:r>
      <w:r w:rsidRPr="0053439C">
        <w:rPr>
          <w:i/>
          <w:lang w:eastAsia="en-GB"/>
        </w:rPr>
        <w:t>Other sectors – Residential</w:t>
      </w:r>
      <w:r w:rsidRPr="0053439C">
        <w:rPr>
          <w:lang w:eastAsia="en-GB"/>
        </w:rPr>
        <w:t xml:space="preserve"> category. One area</w:t>
      </w:r>
      <w:r>
        <w:rPr>
          <w:lang w:eastAsia="en-GB"/>
        </w:rPr>
        <w:t xml:space="preserve"> </w:t>
      </w:r>
      <w:r w:rsidRPr="0053439C">
        <w:rPr>
          <w:lang w:eastAsia="en-GB"/>
        </w:rPr>
        <w:t xml:space="preserve">identified </w:t>
      </w:r>
      <w:r w:rsidRPr="00C3006A">
        <w:rPr>
          <w:spacing w:val="-2"/>
          <w:lang w:eastAsia="en-GB"/>
        </w:rPr>
        <w:t>for possible future improvement is to consider additional LPG imports purchased from Aute Gas</w:t>
      </w:r>
      <w:r w:rsidRPr="0053439C">
        <w:rPr>
          <w:lang w:eastAsia="en-GB"/>
        </w:rPr>
        <w:t xml:space="preserve"> (Apia, Samoa), for Nukunonu. However, the difference is likely to be small, compared with the current approach (where Nukunonu is taken as the average between the fuel purchases from Origin, by Atafu and Fakaofo). For future submissions, further analysis of activity data from Tokelau, to reflect year-to-year variations, will be considered as far as resources will allow. </w:t>
      </w:r>
    </w:p>
    <w:p w14:paraId="26A654CF" w14:textId="77777777" w:rsidR="00D71B94" w:rsidRPr="0053439C" w:rsidRDefault="00D71B94" w:rsidP="00D71B94">
      <w:pPr>
        <w:pStyle w:val="Heading3"/>
      </w:pPr>
      <w:r w:rsidRPr="0053439C">
        <w:lastRenderedPageBreak/>
        <w:t xml:space="preserve">8.2.5 </w:t>
      </w:r>
      <w:r w:rsidRPr="0053439C">
        <w:tab/>
        <w:t xml:space="preserve">Mobile combustion: </w:t>
      </w:r>
      <w:r w:rsidRPr="001F43B4">
        <w:rPr>
          <w:iCs/>
        </w:rPr>
        <w:t>Domestic navigation</w:t>
      </w:r>
    </w:p>
    <w:p w14:paraId="56104BA9" w14:textId="77777777" w:rsidR="00D71B94" w:rsidRPr="0053439C" w:rsidRDefault="00D71B94" w:rsidP="00D71B94">
      <w:pPr>
        <w:pStyle w:val="Heading4"/>
        <w:spacing w:before="160"/>
      </w:pPr>
      <w:r w:rsidRPr="0053439C">
        <w:t>Description</w:t>
      </w:r>
    </w:p>
    <w:p w14:paraId="4A3370A7" w14:textId="77777777" w:rsidR="00D71B94" w:rsidRPr="0053439C" w:rsidRDefault="00D71B94" w:rsidP="00D71B94">
      <w:pPr>
        <w:pStyle w:val="BodyText"/>
      </w:pPr>
      <w:r w:rsidRPr="0053439C">
        <w:t>The only means of transport to and from Tokelau is by sea; there is no air transportation. All travel and supplies to Tokelau originate and terminate in Samoa, Tokelau’s closest neighbour. A direct trip from any of the three atolls to the nearest port, Apia, usually takes between 26 hours and 40 hours. There are no ports and terminals in Tokelau, and no offshore anchorage is available: barges that can enter the fringe reef are used for loading and offloading ships.</w:t>
      </w:r>
    </w:p>
    <w:p w14:paraId="3275A3D7" w14:textId="77777777" w:rsidR="00D71B94" w:rsidRPr="0053439C" w:rsidRDefault="00D71B94" w:rsidP="00D71B94">
      <w:pPr>
        <w:pStyle w:val="BodyText"/>
      </w:pPr>
      <w:r w:rsidRPr="0053439C">
        <w:t xml:space="preserve">The passenger ferries and cargo ships arriving from Apia (distance around 500 kilometres) generally visit the three atolls in succession: they are 60 kilometres and 90 kilometres apart, respectively. A round trip is about 1,300 kilometres using diesel from Apia. Up until 2018, the fraction (300/1300) is used to estimate </w:t>
      </w:r>
      <w:r w:rsidRPr="0053439C">
        <w:rPr>
          <w:i/>
        </w:rPr>
        <w:t>Domestic navigation</w:t>
      </w:r>
      <w:r w:rsidRPr="0053439C">
        <w:t xml:space="preserve"> within Tokelau. For 2020, actual data on the number of inter-atoll trips was used. </w:t>
      </w:r>
    </w:p>
    <w:p w14:paraId="661B3B88" w14:textId="77777777" w:rsidR="00D71B94" w:rsidRPr="0053439C" w:rsidRDefault="00D71B94" w:rsidP="00D71B94">
      <w:pPr>
        <w:pStyle w:val="BodyText"/>
      </w:pPr>
      <w:r w:rsidRPr="0053439C">
        <w:t>Until recently, the main forms of road transport on the atolls were trucks, pick-ups, motorbikes and a range of golf carts. Some vehicles are electric, fuelled by solar PV energy. Solar-powered streetlights ensure safety on the roadways. The private importation of other vehicles has increased recently.</w:t>
      </w:r>
    </w:p>
    <w:p w14:paraId="3DC7B4BC" w14:textId="77777777" w:rsidR="00D71B94" w:rsidRPr="0053439C" w:rsidRDefault="00D71B94" w:rsidP="00D71B94">
      <w:pPr>
        <w:pStyle w:val="BodyText"/>
      </w:pPr>
      <w:r w:rsidRPr="0053439C">
        <w:t>The number of petrol cars has been very small in Tokelau, in 2020 there were only about 40 cars (in addition to the vehicles above) and 30 motorbikes, with the entire network of unsealed roads being about 10 kilometres. Census 2001 and prior record only four registered cars. Aluminium boats with an outboard motor are widely used by families. Emissions from fuels used for road transport are orders of magnitude lower than from boats, and it was not possible to distinguish the small amounts of fuels used by cars from the total amount used by</w:t>
      </w:r>
      <w:r>
        <w:t> </w:t>
      </w:r>
      <w:r w:rsidRPr="0053439C">
        <w:t xml:space="preserve">boats and cars. That is why emissions from road transport are included under the </w:t>
      </w:r>
      <w:r w:rsidRPr="0053439C">
        <w:rPr>
          <w:i/>
        </w:rPr>
        <w:t>Domestic navigation</w:t>
      </w:r>
      <w:r w:rsidRPr="0053439C">
        <w:t xml:space="preserve"> category. </w:t>
      </w:r>
    </w:p>
    <w:p w14:paraId="316D7274" w14:textId="77777777" w:rsidR="00D71B94" w:rsidRPr="0053439C" w:rsidRDefault="00D71B94" w:rsidP="00D71B94">
      <w:pPr>
        <w:pStyle w:val="BodyText"/>
      </w:pPr>
      <w:r w:rsidRPr="0053439C">
        <w:t xml:space="preserve">According to its 2016 census, Tokelau has 176 aluminium boats with 160 outboard motors, which use most of the imported petrol to travel within and outside the large lagoons. Most of the diesel use is by the ferries travelling to and from Samoa. </w:t>
      </w:r>
      <w:r w:rsidRPr="0053439C">
        <w:rPr>
          <w:i/>
          <w:iCs/>
        </w:rPr>
        <w:t>Fetu o te Moana</w:t>
      </w:r>
      <w:r w:rsidRPr="0053439C">
        <w:t xml:space="preserve"> is a new search and rescue vessel delivered in 2019 that also provides general inter-atoll transport. </w:t>
      </w:r>
    </w:p>
    <w:p w14:paraId="4ECCA408" w14:textId="77777777" w:rsidR="00D71B94" w:rsidRPr="0053439C" w:rsidRDefault="00D71B94" w:rsidP="00D71B94">
      <w:pPr>
        <w:pStyle w:val="BodyText"/>
      </w:pPr>
      <w:r w:rsidRPr="0053439C">
        <w:t xml:space="preserve">For Tokelau, the category </w:t>
      </w:r>
      <w:r w:rsidRPr="0053439C">
        <w:rPr>
          <w:i/>
          <w:iCs/>
        </w:rPr>
        <w:t>Domestic navigation</w:t>
      </w:r>
      <w:r w:rsidRPr="0053439C">
        <w:t xml:space="preserve"> accounted for 100 per cent of the emissions from the </w:t>
      </w:r>
      <w:r w:rsidRPr="0053439C">
        <w:rPr>
          <w:i/>
          <w:iCs/>
        </w:rPr>
        <w:t>Transport</w:t>
      </w:r>
      <w:r w:rsidRPr="0053439C">
        <w:t xml:space="preserve"> category for the entire time series. In 2020, emissions from the </w:t>
      </w:r>
      <w:r w:rsidRPr="0053439C">
        <w:rPr>
          <w:i/>
          <w:iCs/>
        </w:rPr>
        <w:t>Domestic navigation</w:t>
      </w:r>
      <w:r w:rsidRPr="0053439C">
        <w:t xml:space="preserve"> category totalled 2.08 kt CO</w:t>
      </w:r>
      <w:r w:rsidRPr="0053439C">
        <w:rPr>
          <w:vertAlign w:val="subscript"/>
        </w:rPr>
        <w:t>2</w:t>
      </w:r>
      <w:r w:rsidRPr="0053439C">
        <w:t>-e (86.3 per cent of all energy emissions from Tokelau).</w:t>
      </w:r>
    </w:p>
    <w:p w14:paraId="1BBDA338" w14:textId="77777777" w:rsidR="00D71B94" w:rsidRPr="0053439C" w:rsidRDefault="00D71B94" w:rsidP="00D71B94">
      <w:pPr>
        <w:pStyle w:val="Heading4"/>
      </w:pPr>
      <w:r w:rsidRPr="0053439C">
        <w:t>Methodological issues</w:t>
      </w:r>
    </w:p>
    <w:p w14:paraId="552B6CCA" w14:textId="77777777" w:rsidR="00D71B94" w:rsidRPr="0053439C" w:rsidRDefault="00D71B94" w:rsidP="00D71B94">
      <w:pPr>
        <w:pStyle w:val="Heading5"/>
        <w:spacing w:before="120"/>
      </w:pPr>
      <w:r w:rsidRPr="0053439C">
        <w:t>Activity data</w:t>
      </w:r>
    </w:p>
    <w:p w14:paraId="7DF96C3A" w14:textId="77777777" w:rsidR="00D71B94" w:rsidRPr="0053439C" w:rsidRDefault="00D71B94" w:rsidP="00D71B94">
      <w:pPr>
        <w:pStyle w:val="BodyText"/>
        <w:rPr>
          <w:rFonts w:ascii="TimesNewRomanPSMT" w:hAnsi="TimesNewRomanPSMT" w:cs="TimesNewRomanPSMT"/>
          <w:sz w:val="20"/>
        </w:rPr>
      </w:pPr>
      <w:r w:rsidRPr="0053439C">
        <w:rPr>
          <w:lang w:eastAsia="en-GB"/>
        </w:rPr>
        <w:t xml:space="preserve">The sources of activity data for the </w:t>
      </w:r>
      <w:r w:rsidRPr="0053439C">
        <w:rPr>
          <w:i/>
          <w:lang w:eastAsia="en-GB"/>
        </w:rPr>
        <w:t>Transport</w:t>
      </w:r>
      <w:r w:rsidRPr="0053439C">
        <w:rPr>
          <w:lang w:eastAsia="en-GB"/>
        </w:rPr>
        <w:t xml:space="preserve"> category are included in table 8.1.2. Activity data sources for the category are paid invoices from Petroleum Product Supplies Ltd (Apia, Samoa) with data on fuel prices and volumes supplied </w:t>
      </w:r>
      <w:r w:rsidRPr="0053439C">
        <w:t>for</w:t>
      </w:r>
      <w:r w:rsidRPr="0053439C">
        <w:rPr>
          <w:lang w:eastAsia="en-GB"/>
        </w:rPr>
        <w:t xml:space="preserve"> shipping and on-atoll use: diesel, petrol, kerosene and lubricant oil (item 7 in table 8.1.2); the Tokelau Department of Finance’s invoices and payment records to Petroleum Product Supplies Ltd, Origin and on-atoll stores; and a photo survey of Tokelau motorised vehicles </w:t>
      </w:r>
      <w:r w:rsidRPr="0053439C">
        <w:t>on</w:t>
      </w:r>
      <w:r w:rsidRPr="0053439C">
        <w:rPr>
          <w:lang w:eastAsia="en-GB"/>
        </w:rPr>
        <w:t xml:space="preserve">-atoll, August–December 2018. Additional energy data related to cargo manifests were obtained from an </w:t>
      </w:r>
      <w:r w:rsidRPr="0053439C">
        <w:rPr>
          <w:i/>
          <w:lang w:eastAsia="en-GB"/>
        </w:rPr>
        <w:t>Analysis of 2014 Imports into Tokelau from Samoa, Part 2: Stores’ invoices reconciled with cargo manifests, and quality of life implications</w:t>
      </w:r>
      <w:r w:rsidRPr="0053439C">
        <w:rPr>
          <w:lang w:eastAsia="en-GB"/>
        </w:rPr>
        <w:t xml:space="preserve"> (</w:t>
      </w:r>
      <w:r w:rsidRPr="0053439C">
        <w:t>Jasperse</w:t>
      </w:r>
      <w:r w:rsidRPr="0053439C">
        <w:rPr>
          <w:lang w:eastAsia="en-GB"/>
        </w:rPr>
        <w:t>, 2016). Only liquid fossil fuels (gas and diesel oil) are used for fuelling Tokelau’s transport.</w:t>
      </w:r>
    </w:p>
    <w:p w14:paraId="64B9EE05" w14:textId="77777777" w:rsidR="00D71B94" w:rsidRPr="0053439C" w:rsidRDefault="00D71B94" w:rsidP="00D71B94">
      <w:pPr>
        <w:pStyle w:val="BodyText"/>
        <w:spacing w:after="100"/>
        <w:rPr>
          <w:lang w:eastAsia="en-GB"/>
        </w:rPr>
      </w:pPr>
      <w:r w:rsidRPr="0053439C">
        <w:rPr>
          <w:lang w:eastAsia="en-GB"/>
        </w:rPr>
        <w:lastRenderedPageBreak/>
        <w:t>Due to large discrepancies between different sources of raw data, reliable statistics on fuel consumption across the period 1990 to 2020 are not available. Some anecdotal transport data</w:t>
      </w:r>
      <w:r>
        <w:rPr>
          <w:lang w:eastAsia="en-GB"/>
        </w:rPr>
        <w:t> </w:t>
      </w:r>
      <w:r w:rsidRPr="0053439C">
        <w:rPr>
          <w:lang w:eastAsia="en-GB"/>
        </w:rPr>
        <w:t xml:space="preserve">exist for the number of roundtrips Apia–Tokelau during the </w:t>
      </w:r>
      <w:r w:rsidRPr="0053439C">
        <w:t>years</w:t>
      </w:r>
      <w:r w:rsidRPr="0053439C">
        <w:rPr>
          <w:lang w:eastAsia="en-GB"/>
        </w:rPr>
        <w:t xml:space="preserve"> 1990 to 2014; after this</w:t>
      </w:r>
      <w:r>
        <w:rPr>
          <w:lang w:eastAsia="en-GB"/>
        </w:rPr>
        <w:t> </w:t>
      </w:r>
      <w:r w:rsidRPr="0053439C">
        <w:rPr>
          <w:lang w:eastAsia="en-GB"/>
        </w:rPr>
        <w:t xml:space="preserve">period actual records are available. </w:t>
      </w:r>
    </w:p>
    <w:p w14:paraId="4BED26E2" w14:textId="77777777" w:rsidR="00D71B94" w:rsidRPr="0053439C" w:rsidRDefault="00D71B94" w:rsidP="00D71B94">
      <w:pPr>
        <w:pStyle w:val="Heading5"/>
        <w:spacing w:before="120"/>
        <w:rPr>
          <w:lang w:eastAsia="en-GB"/>
        </w:rPr>
      </w:pPr>
      <w:r w:rsidRPr="0053439C">
        <w:rPr>
          <w:lang w:eastAsia="en-GB"/>
        </w:rPr>
        <w:t>Methods and emission factors</w:t>
      </w:r>
    </w:p>
    <w:p w14:paraId="63F9899C" w14:textId="77777777" w:rsidR="00D71B94" w:rsidRPr="0053439C" w:rsidRDefault="00D71B94" w:rsidP="00D71B94">
      <w:pPr>
        <w:pStyle w:val="BodyText"/>
        <w:spacing w:before="100" w:after="100"/>
        <w:rPr>
          <w:lang w:eastAsia="en-GB"/>
        </w:rPr>
      </w:pPr>
      <w:r w:rsidRPr="0053439C">
        <w:rPr>
          <w:lang w:eastAsia="en-GB"/>
        </w:rPr>
        <w:t xml:space="preserve">A Tier 1 method was applied for estimating emissions from the </w:t>
      </w:r>
      <w:r w:rsidRPr="0053439C">
        <w:rPr>
          <w:i/>
          <w:lang w:eastAsia="en-GB"/>
        </w:rPr>
        <w:t>Domestic navigation</w:t>
      </w:r>
      <w:r w:rsidRPr="0053439C">
        <w:rPr>
          <w:lang w:eastAsia="en-GB"/>
        </w:rPr>
        <w:t xml:space="preserve"> category. The method required the data on the amount of fuel combusted in the source category and a</w:t>
      </w:r>
      <w:r>
        <w:rPr>
          <w:lang w:eastAsia="en-GB"/>
        </w:rPr>
        <w:t> </w:t>
      </w:r>
      <w:r w:rsidRPr="0053439C">
        <w:rPr>
          <w:lang w:eastAsia="en-GB"/>
        </w:rPr>
        <w:t>default emission factor from tables 3.5.2 (for CO</w:t>
      </w:r>
      <w:r w:rsidRPr="0053439C">
        <w:rPr>
          <w:vertAlign w:val="subscript"/>
          <w:lang w:eastAsia="en-GB"/>
        </w:rPr>
        <w:t>2</w:t>
      </w:r>
      <w:r w:rsidRPr="0053439C">
        <w:rPr>
          <w:lang w:eastAsia="en-GB"/>
        </w:rPr>
        <w:t>) and 3.5.3 (for non-CO</w:t>
      </w:r>
      <w:r w:rsidRPr="0053439C">
        <w:rPr>
          <w:vertAlign w:val="subscript"/>
          <w:lang w:eastAsia="en-GB"/>
        </w:rPr>
        <w:t>2</w:t>
      </w:r>
      <w:r w:rsidRPr="0053439C">
        <w:rPr>
          <w:lang w:eastAsia="en-GB"/>
        </w:rPr>
        <w:t xml:space="preserve"> gases), section 3.5.1.2, volume 2 of the 2006 IPCC Guidelines. Default emission factors from the 2006 IPCC Guidelines were converted from net calorific values to gross calorific values using the OECD and IEA assumptions to make these conversions:</w:t>
      </w:r>
    </w:p>
    <w:p w14:paraId="772119E2" w14:textId="77777777" w:rsidR="00D71B94" w:rsidRPr="0090197F" w:rsidRDefault="00D71B94" w:rsidP="00D71B94">
      <w:pPr>
        <w:pStyle w:val="BodyText"/>
        <w:spacing w:before="100" w:after="100"/>
        <w:jc w:val="center"/>
        <w:rPr>
          <w:rFonts w:ascii="Cambria Math" w:hAnsi="Cambria Math"/>
          <w:lang w:eastAsia="en-GB"/>
        </w:rPr>
      </w:pPr>
      <w:r w:rsidRPr="0090197F">
        <w:rPr>
          <w:rFonts w:ascii="Cambria Math" w:hAnsi="Cambria Math"/>
          <w:lang w:eastAsia="en-GB"/>
        </w:rPr>
        <w:t>Gross Emission Factor (liquid fuels) = 0.95 x Net Emission Factor</w:t>
      </w:r>
    </w:p>
    <w:p w14:paraId="4BEAE8BD" w14:textId="77777777" w:rsidR="00D71B94" w:rsidRPr="0053439C" w:rsidRDefault="00D71B94" w:rsidP="00D71B94">
      <w:pPr>
        <w:pStyle w:val="BodyText"/>
        <w:spacing w:before="100" w:after="100"/>
        <w:rPr>
          <w:lang w:eastAsia="en-GB"/>
        </w:rPr>
      </w:pPr>
      <w:r w:rsidRPr="0053439C">
        <w:rPr>
          <w:lang w:eastAsia="en-GB"/>
        </w:rPr>
        <w:t xml:space="preserve">Equation 3.5.1 in section 3.5.1.1 in the 2006 IPCC Guidelines was used for estimating emissions (IPCC, 2006a). </w:t>
      </w:r>
    </w:p>
    <w:p w14:paraId="0DEF7B65" w14:textId="77777777" w:rsidR="00D71B94" w:rsidRPr="0053439C" w:rsidRDefault="00D71B94" w:rsidP="00D71B94">
      <w:pPr>
        <w:pStyle w:val="Heading4"/>
        <w:spacing w:before="180"/>
      </w:pPr>
      <w:r w:rsidRPr="0053439C">
        <w:t>Uncertainties</w:t>
      </w:r>
    </w:p>
    <w:p w14:paraId="375D9846" w14:textId="77777777" w:rsidR="00D71B94" w:rsidRPr="0053439C" w:rsidRDefault="00D71B94" w:rsidP="00D71B94">
      <w:pPr>
        <w:pStyle w:val="BodyText"/>
        <w:spacing w:before="80" w:after="80"/>
        <w:rPr>
          <w:lang w:eastAsia="en-GB"/>
        </w:rPr>
      </w:pPr>
      <w:r w:rsidRPr="0053439C">
        <w:rPr>
          <w:lang w:eastAsia="en-GB"/>
        </w:rPr>
        <w:t>For this submission, it was not possible to develop Tokelau-specific uncertainty values, so foremission factors, default uncertainty provided in the 2006 IPCC Guidelines were used for CO</w:t>
      </w:r>
      <w:r w:rsidRPr="0053439C">
        <w:rPr>
          <w:vertAlign w:val="subscript"/>
          <w:lang w:eastAsia="en-GB"/>
        </w:rPr>
        <w:t>2</w:t>
      </w:r>
      <w:r w:rsidRPr="0053439C">
        <w:rPr>
          <w:lang w:eastAsia="en-GB"/>
        </w:rPr>
        <w:t xml:space="preserve"> (for diesel) and CH</w:t>
      </w:r>
      <w:r w:rsidRPr="0053439C">
        <w:rPr>
          <w:vertAlign w:val="subscript"/>
          <w:lang w:eastAsia="en-GB"/>
        </w:rPr>
        <w:t>4</w:t>
      </w:r>
      <w:r w:rsidRPr="0053439C">
        <w:rPr>
          <w:lang w:eastAsia="en-GB"/>
        </w:rPr>
        <w:t xml:space="preserve"> (upper value) (IPCC, 2006a). For N</w:t>
      </w:r>
      <w:r w:rsidRPr="0053439C">
        <w:rPr>
          <w:vertAlign w:val="subscript"/>
          <w:lang w:eastAsia="en-GB"/>
        </w:rPr>
        <w:t>2</w:t>
      </w:r>
      <w:r w:rsidRPr="0053439C">
        <w:rPr>
          <w:lang w:eastAsia="en-GB"/>
        </w:rPr>
        <w:t>O, New Zealand’s emission factor uncertainty across the Energy sector for N</w:t>
      </w:r>
      <w:r w:rsidRPr="0053439C">
        <w:rPr>
          <w:vertAlign w:val="subscript"/>
          <w:lang w:eastAsia="en-GB"/>
        </w:rPr>
        <w:t>2</w:t>
      </w:r>
      <w:r w:rsidRPr="0053439C">
        <w:rPr>
          <w:lang w:eastAsia="en-GB"/>
        </w:rPr>
        <w:t xml:space="preserve">O was used for this category, which is within the default uncertainty range. </w:t>
      </w:r>
    </w:p>
    <w:p w14:paraId="1CA79351" w14:textId="77777777" w:rsidR="00D71B94" w:rsidRPr="0053439C" w:rsidRDefault="00D71B94" w:rsidP="00D71B94">
      <w:pPr>
        <w:pStyle w:val="BodyText"/>
        <w:spacing w:before="80" w:after="80"/>
        <w:rPr>
          <w:lang w:eastAsia="en-GB"/>
        </w:rPr>
      </w:pPr>
      <w:r w:rsidRPr="0053439C">
        <w:rPr>
          <w:lang w:eastAsia="en-GB"/>
        </w:rPr>
        <w:t xml:space="preserve">For activity data, due to discrepancies between different data sources, an upper level of default uncertainty range associated with incomplete surveys from the 2006 IPCC Guidelines was applied (IPCC, 2006a). Table 8.2.3 shows the use of uncertainties for </w:t>
      </w:r>
      <w:r w:rsidRPr="0053439C">
        <w:rPr>
          <w:i/>
          <w:lang w:eastAsia="en-GB"/>
        </w:rPr>
        <w:t>Domestic navigation</w:t>
      </w:r>
      <w:r w:rsidRPr="0053439C">
        <w:rPr>
          <w:lang w:eastAsia="en-GB"/>
        </w:rPr>
        <w:t xml:space="preserve"> (diesel).</w:t>
      </w:r>
    </w:p>
    <w:p w14:paraId="63CB54C1" w14:textId="77777777" w:rsidR="00D71B94" w:rsidRPr="0053439C" w:rsidRDefault="00D71B94" w:rsidP="00D71B94">
      <w:pPr>
        <w:pStyle w:val="Table"/>
      </w:pPr>
      <w:bookmarkStart w:id="2551" w:name="_Toc5269598"/>
      <w:bookmarkStart w:id="2552" w:name="_Toc36224679"/>
      <w:bookmarkStart w:id="2553" w:name="_Toc68786565"/>
      <w:bookmarkStart w:id="2554" w:name="_Toc99659360"/>
      <w:r w:rsidRPr="008A79B1">
        <w:t>Table 8.2.3</w:t>
      </w:r>
      <w:r w:rsidRPr="0053439C">
        <w:tab/>
      </w:r>
      <w:r w:rsidRPr="008A79B1">
        <w:t xml:space="preserve">Uncertainties for the </w:t>
      </w:r>
      <w:r w:rsidRPr="008A79B1">
        <w:rPr>
          <w:i/>
        </w:rPr>
        <w:t>Mobile combustion</w:t>
      </w:r>
      <w:r w:rsidRPr="008A79B1">
        <w:t xml:space="preserve"> category</w:t>
      </w:r>
      <w:bookmarkEnd w:id="2551"/>
      <w:bookmarkEnd w:id="2552"/>
      <w:bookmarkEnd w:id="2553"/>
      <w:bookmarkEnd w:id="2554"/>
    </w:p>
    <w:tbl>
      <w:tblPr>
        <w:tblW w:w="8505" w:type="dxa"/>
        <w:tblInd w:w="108"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567"/>
        <w:gridCol w:w="1119"/>
        <w:gridCol w:w="1716"/>
        <w:gridCol w:w="1842"/>
        <w:gridCol w:w="3261"/>
      </w:tblGrid>
      <w:tr w:rsidR="00D71B94" w:rsidRPr="0053439C" w14:paraId="6DB3B2E9" w14:textId="77777777" w:rsidTr="007E3239">
        <w:trPr>
          <w:tblHeader/>
        </w:trPr>
        <w:tc>
          <w:tcPr>
            <w:tcW w:w="333" w:type="pct"/>
            <w:shd w:val="clear" w:color="auto" w:fill="1B556B"/>
            <w:noWrap/>
            <w:vAlign w:val="bottom"/>
            <w:hideMark/>
          </w:tcPr>
          <w:p w14:paraId="0A7F5126" w14:textId="77777777" w:rsidR="00D71B94" w:rsidRPr="0053439C" w:rsidRDefault="00D71B94" w:rsidP="007E3239">
            <w:pPr>
              <w:pStyle w:val="TableTextBold"/>
              <w:spacing w:before="40" w:after="40"/>
              <w:rPr>
                <w:noProof w:val="0"/>
                <w:color w:val="FFFFFF"/>
                <w:szCs w:val="16"/>
              </w:rPr>
            </w:pPr>
            <w:r w:rsidRPr="0053439C">
              <w:rPr>
                <w:noProof w:val="0"/>
                <w:color w:val="FFFFFF"/>
                <w:szCs w:val="16"/>
              </w:rPr>
              <w:t>Gas</w:t>
            </w:r>
          </w:p>
        </w:tc>
        <w:tc>
          <w:tcPr>
            <w:tcW w:w="658" w:type="pct"/>
            <w:shd w:val="clear" w:color="auto" w:fill="1B556B"/>
            <w:noWrap/>
            <w:vAlign w:val="bottom"/>
            <w:hideMark/>
          </w:tcPr>
          <w:p w14:paraId="5158DAE5" w14:textId="77777777" w:rsidR="00D71B94" w:rsidRPr="0053439C" w:rsidRDefault="00D71B94" w:rsidP="007E3239">
            <w:pPr>
              <w:pStyle w:val="TableTextBold"/>
              <w:spacing w:before="40" w:after="40"/>
              <w:rPr>
                <w:noProof w:val="0"/>
                <w:color w:val="FFFFFF"/>
                <w:szCs w:val="16"/>
              </w:rPr>
            </w:pPr>
            <w:r w:rsidRPr="0053439C">
              <w:rPr>
                <w:noProof w:val="0"/>
                <w:color w:val="FFFFFF"/>
                <w:szCs w:val="16"/>
              </w:rPr>
              <w:t>Fuel type</w:t>
            </w:r>
          </w:p>
        </w:tc>
        <w:tc>
          <w:tcPr>
            <w:tcW w:w="1009" w:type="pct"/>
            <w:shd w:val="clear" w:color="auto" w:fill="1B556B"/>
            <w:vAlign w:val="bottom"/>
            <w:hideMark/>
          </w:tcPr>
          <w:p w14:paraId="58D276F4" w14:textId="77777777" w:rsidR="00D71B94" w:rsidRPr="0053439C" w:rsidRDefault="00D71B94" w:rsidP="007E3239">
            <w:pPr>
              <w:pStyle w:val="TableTextBold"/>
              <w:spacing w:before="40" w:after="40"/>
              <w:jc w:val="center"/>
              <w:rPr>
                <w:noProof w:val="0"/>
                <w:color w:val="FFFFFF"/>
                <w:szCs w:val="16"/>
              </w:rPr>
            </w:pPr>
            <w:r w:rsidRPr="0053439C">
              <w:rPr>
                <w:noProof w:val="0"/>
                <w:color w:val="FFFFFF"/>
                <w:szCs w:val="16"/>
              </w:rPr>
              <w:t>Activity data (AD) uncertainty (%)</w:t>
            </w:r>
          </w:p>
        </w:tc>
        <w:tc>
          <w:tcPr>
            <w:tcW w:w="1083" w:type="pct"/>
            <w:shd w:val="clear" w:color="auto" w:fill="1B556B"/>
            <w:vAlign w:val="bottom"/>
            <w:hideMark/>
          </w:tcPr>
          <w:p w14:paraId="1D2A60D5" w14:textId="77777777" w:rsidR="00D71B94" w:rsidRPr="0053439C" w:rsidRDefault="00D71B94" w:rsidP="007E3239">
            <w:pPr>
              <w:pStyle w:val="TableTextBold"/>
              <w:spacing w:before="40" w:after="40"/>
              <w:jc w:val="center"/>
              <w:rPr>
                <w:noProof w:val="0"/>
                <w:color w:val="FFFFFF"/>
                <w:szCs w:val="16"/>
              </w:rPr>
            </w:pPr>
            <w:r w:rsidRPr="0053439C">
              <w:rPr>
                <w:noProof w:val="0"/>
                <w:color w:val="FFFFFF"/>
                <w:szCs w:val="16"/>
              </w:rPr>
              <w:t>Emission factor (EF) uncertainty (%)</w:t>
            </w:r>
          </w:p>
        </w:tc>
        <w:tc>
          <w:tcPr>
            <w:tcW w:w="1917" w:type="pct"/>
            <w:shd w:val="clear" w:color="auto" w:fill="1B556B"/>
            <w:vAlign w:val="bottom"/>
          </w:tcPr>
          <w:p w14:paraId="7DD19E52" w14:textId="77777777" w:rsidR="00D71B94" w:rsidRPr="0053439C" w:rsidRDefault="00D71B94" w:rsidP="007E3239">
            <w:pPr>
              <w:pStyle w:val="TableTextBold"/>
              <w:spacing w:before="40" w:after="40"/>
              <w:jc w:val="center"/>
              <w:rPr>
                <w:noProof w:val="0"/>
                <w:color w:val="FFFFFF"/>
                <w:szCs w:val="16"/>
              </w:rPr>
            </w:pPr>
            <w:r w:rsidRPr="0053439C">
              <w:rPr>
                <w:noProof w:val="0"/>
                <w:color w:val="FFFFFF"/>
                <w:szCs w:val="16"/>
              </w:rPr>
              <w:t>Source</w:t>
            </w:r>
          </w:p>
        </w:tc>
      </w:tr>
      <w:tr w:rsidR="00D71B94" w:rsidRPr="0053439C" w14:paraId="0FEA3B42" w14:textId="77777777" w:rsidTr="007E3239">
        <w:tc>
          <w:tcPr>
            <w:tcW w:w="333" w:type="pct"/>
            <w:shd w:val="clear" w:color="auto" w:fill="auto"/>
            <w:noWrap/>
            <w:hideMark/>
          </w:tcPr>
          <w:p w14:paraId="21E3900E" w14:textId="77777777" w:rsidR="00D71B94" w:rsidRPr="0053439C" w:rsidRDefault="00D71B94" w:rsidP="007E3239">
            <w:pPr>
              <w:pStyle w:val="TableText"/>
              <w:spacing w:before="40" w:after="40"/>
              <w:rPr>
                <w:szCs w:val="16"/>
              </w:rPr>
            </w:pPr>
            <w:r w:rsidRPr="0053439C">
              <w:rPr>
                <w:szCs w:val="16"/>
              </w:rPr>
              <w:t>CO</w:t>
            </w:r>
            <w:r w:rsidRPr="0053439C">
              <w:rPr>
                <w:szCs w:val="16"/>
                <w:vertAlign w:val="subscript"/>
              </w:rPr>
              <w:t>2</w:t>
            </w:r>
          </w:p>
        </w:tc>
        <w:tc>
          <w:tcPr>
            <w:tcW w:w="658" w:type="pct"/>
            <w:shd w:val="clear" w:color="auto" w:fill="auto"/>
            <w:noWrap/>
            <w:hideMark/>
          </w:tcPr>
          <w:p w14:paraId="321A22DB" w14:textId="77777777" w:rsidR="00D71B94" w:rsidRPr="0053439C" w:rsidRDefault="00D71B94" w:rsidP="007E3239">
            <w:pPr>
              <w:pStyle w:val="TableText"/>
              <w:spacing w:before="40" w:after="40"/>
              <w:rPr>
                <w:szCs w:val="16"/>
              </w:rPr>
            </w:pPr>
            <w:r w:rsidRPr="0053439C">
              <w:rPr>
                <w:szCs w:val="16"/>
              </w:rPr>
              <w:t>Liquid fuels</w:t>
            </w:r>
          </w:p>
        </w:tc>
        <w:tc>
          <w:tcPr>
            <w:tcW w:w="1009" w:type="pct"/>
            <w:shd w:val="clear" w:color="auto" w:fill="auto"/>
            <w:noWrap/>
            <w:hideMark/>
          </w:tcPr>
          <w:p w14:paraId="2FB8071F" w14:textId="77777777" w:rsidR="00D71B94" w:rsidRPr="0053439C" w:rsidRDefault="00D71B94" w:rsidP="007E3239">
            <w:pPr>
              <w:pStyle w:val="TableText"/>
              <w:spacing w:before="40" w:after="40"/>
              <w:jc w:val="center"/>
              <w:rPr>
                <w:szCs w:val="16"/>
              </w:rPr>
            </w:pPr>
            <w:r w:rsidRPr="0053439C">
              <w:rPr>
                <w:szCs w:val="16"/>
              </w:rPr>
              <w:t>±50</w:t>
            </w:r>
          </w:p>
        </w:tc>
        <w:tc>
          <w:tcPr>
            <w:tcW w:w="1083" w:type="pct"/>
            <w:shd w:val="clear" w:color="auto" w:fill="auto"/>
            <w:noWrap/>
            <w:hideMark/>
          </w:tcPr>
          <w:p w14:paraId="41F608C1" w14:textId="77777777" w:rsidR="00D71B94" w:rsidRPr="0053439C" w:rsidRDefault="00D71B94" w:rsidP="007E3239">
            <w:pPr>
              <w:pStyle w:val="TableText"/>
              <w:spacing w:before="40" w:after="40"/>
              <w:jc w:val="center"/>
              <w:rPr>
                <w:szCs w:val="16"/>
              </w:rPr>
            </w:pPr>
            <w:r w:rsidRPr="0053439C">
              <w:rPr>
                <w:szCs w:val="16"/>
              </w:rPr>
              <w:t>±1.5</w:t>
            </w:r>
          </w:p>
        </w:tc>
        <w:tc>
          <w:tcPr>
            <w:tcW w:w="1917" w:type="pct"/>
          </w:tcPr>
          <w:p w14:paraId="16BA9B73" w14:textId="77777777" w:rsidR="00D71B94" w:rsidRPr="0053439C" w:rsidRDefault="00D71B94" w:rsidP="007E3239">
            <w:pPr>
              <w:pStyle w:val="TableText"/>
              <w:spacing w:before="40" w:after="40"/>
              <w:rPr>
                <w:szCs w:val="16"/>
              </w:rPr>
            </w:pPr>
            <w:r w:rsidRPr="0053439C">
              <w:rPr>
                <w:szCs w:val="16"/>
              </w:rPr>
              <w:t>Section 3.5.1.7, IPCC, 2006a</w:t>
            </w:r>
          </w:p>
        </w:tc>
      </w:tr>
      <w:tr w:rsidR="00D71B94" w:rsidRPr="0053439C" w14:paraId="74D1C648" w14:textId="77777777" w:rsidTr="007E3239">
        <w:tc>
          <w:tcPr>
            <w:tcW w:w="333" w:type="pct"/>
            <w:shd w:val="clear" w:color="auto" w:fill="auto"/>
            <w:noWrap/>
            <w:hideMark/>
          </w:tcPr>
          <w:p w14:paraId="27F01A76" w14:textId="77777777" w:rsidR="00D71B94" w:rsidRPr="0053439C" w:rsidRDefault="00D71B94" w:rsidP="007E3239">
            <w:pPr>
              <w:pStyle w:val="TableText"/>
              <w:spacing w:before="40" w:after="40"/>
              <w:rPr>
                <w:szCs w:val="16"/>
              </w:rPr>
            </w:pPr>
            <w:r w:rsidRPr="0053439C">
              <w:rPr>
                <w:szCs w:val="16"/>
              </w:rPr>
              <w:t>CH</w:t>
            </w:r>
            <w:r w:rsidRPr="0053439C">
              <w:rPr>
                <w:szCs w:val="16"/>
                <w:vertAlign w:val="subscript"/>
              </w:rPr>
              <w:t>4</w:t>
            </w:r>
          </w:p>
        </w:tc>
        <w:tc>
          <w:tcPr>
            <w:tcW w:w="658" w:type="pct"/>
            <w:shd w:val="clear" w:color="auto" w:fill="auto"/>
            <w:noWrap/>
            <w:hideMark/>
          </w:tcPr>
          <w:p w14:paraId="4133DF48" w14:textId="77777777" w:rsidR="00D71B94" w:rsidRPr="0053439C" w:rsidRDefault="00D71B94" w:rsidP="007E3239">
            <w:pPr>
              <w:pStyle w:val="TableText"/>
              <w:spacing w:before="40" w:after="40"/>
              <w:rPr>
                <w:szCs w:val="16"/>
              </w:rPr>
            </w:pPr>
            <w:r w:rsidRPr="0053439C">
              <w:rPr>
                <w:szCs w:val="16"/>
              </w:rPr>
              <w:t>Liquid fuels</w:t>
            </w:r>
          </w:p>
        </w:tc>
        <w:tc>
          <w:tcPr>
            <w:tcW w:w="1009" w:type="pct"/>
            <w:shd w:val="clear" w:color="auto" w:fill="auto"/>
            <w:noWrap/>
            <w:hideMark/>
          </w:tcPr>
          <w:p w14:paraId="7E09B2C1" w14:textId="77777777" w:rsidR="00D71B94" w:rsidRPr="0053439C" w:rsidRDefault="00D71B94" w:rsidP="007E3239">
            <w:pPr>
              <w:pStyle w:val="TableText"/>
              <w:spacing w:before="40" w:after="40"/>
              <w:jc w:val="center"/>
              <w:rPr>
                <w:szCs w:val="16"/>
              </w:rPr>
            </w:pPr>
            <w:r w:rsidRPr="0053439C">
              <w:rPr>
                <w:szCs w:val="16"/>
              </w:rPr>
              <w:t>±50</w:t>
            </w:r>
          </w:p>
        </w:tc>
        <w:tc>
          <w:tcPr>
            <w:tcW w:w="1083" w:type="pct"/>
            <w:shd w:val="clear" w:color="auto" w:fill="auto"/>
            <w:noWrap/>
            <w:hideMark/>
          </w:tcPr>
          <w:p w14:paraId="551BA201" w14:textId="77777777" w:rsidR="00D71B94" w:rsidRPr="0053439C" w:rsidRDefault="00D71B94" w:rsidP="007E3239">
            <w:pPr>
              <w:pStyle w:val="TableText"/>
              <w:spacing w:before="40" w:after="40"/>
              <w:jc w:val="center"/>
              <w:rPr>
                <w:szCs w:val="16"/>
              </w:rPr>
            </w:pPr>
            <w:r w:rsidRPr="0053439C">
              <w:rPr>
                <w:szCs w:val="16"/>
              </w:rPr>
              <w:t>±50.0</w:t>
            </w:r>
          </w:p>
        </w:tc>
        <w:tc>
          <w:tcPr>
            <w:tcW w:w="1917" w:type="pct"/>
          </w:tcPr>
          <w:p w14:paraId="2022DF00" w14:textId="77777777" w:rsidR="00D71B94" w:rsidRPr="0053439C" w:rsidRDefault="00D71B94" w:rsidP="007E3239">
            <w:pPr>
              <w:pStyle w:val="TableText"/>
              <w:spacing w:before="40" w:after="40"/>
              <w:rPr>
                <w:szCs w:val="16"/>
              </w:rPr>
            </w:pPr>
            <w:r w:rsidRPr="0053439C">
              <w:rPr>
                <w:szCs w:val="16"/>
              </w:rPr>
              <w:t>Section 3.5.1.7, IPCC, 2006a</w:t>
            </w:r>
          </w:p>
        </w:tc>
      </w:tr>
      <w:tr w:rsidR="00D71B94" w:rsidRPr="0053439C" w14:paraId="76AE321E" w14:textId="77777777" w:rsidTr="007E3239">
        <w:tc>
          <w:tcPr>
            <w:tcW w:w="333" w:type="pct"/>
            <w:shd w:val="clear" w:color="auto" w:fill="auto"/>
            <w:noWrap/>
            <w:hideMark/>
          </w:tcPr>
          <w:p w14:paraId="2EB0BCB5" w14:textId="77777777" w:rsidR="00D71B94" w:rsidRPr="0053439C" w:rsidRDefault="00D71B94" w:rsidP="007E3239">
            <w:pPr>
              <w:pStyle w:val="TableText"/>
              <w:spacing w:before="40" w:after="40"/>
              <w:rPr>
                <w:szCs w:val="16"/>
              </w:rPr>
            </w:pPr>
            <w:r w:rsidRPr="0053439C">
              <w:rPr>
                <w:szCs w:val="16"/>
              </w:rPr>
              <w:t>N</w:t>
            </w:r>
            <w:r w:rsidRPr="0053439C">
              <w:rPr>
                <w:szCs w:val="16"/>
                <w:vertAlign w:val="subscript"/>
              </w:rPr>
              <w:t>2</w:t>
            </w:r>
            <w:r w:rsidRPr="0053439C">
              <w:rPr>
                <w:szCs w:val="16"/>
              </w:rPr>
              <w:t>O</w:t>
            </w:r>
          </w:p>
        </w:tc>
        <w:tc>
          <w:tcPr>
            <w:tcW w:w="658" w:type="pct"/>
            <w:shd w:val="clear" w:color="auto" w:fill="auto"/>
            <w:noWrap/>
            <w:hideMark/>
          </w:tcPr>
          <w:p w14:paraId="4D442BAB" w14:textId="77777777" w:rsidR="00D71B94" w:rsidRPr="0053439C" w:rsidRDefault="00D71B94" w:rsidP="007E3239">
            <w:pPr>
              <w:pStyle w:val="TableText"/>
              <w:spacing w:before="40" w:after="40"/>
              <w:rPr>
                <w:szCs w:val="16"/>
              </w:rPr>
            </w:pPr>
            <w:r w:rsidRPr="0053439C">
              <w:rPr>
                <w:szCs w:val="16"/>
              </w:rPr>
              <w:t>Liquid fuels</w:t>
            </w:r>
          </w:p>
        </w:tc>
        <w:tc>
          <w:tcPr>
            <w:tcW w:w="1009" w:type="pct"/>
            <w:shd w:val="clear" w:color="auto" w:fill="auto"/>
            <w:noWrap/>
            <w:hideMark/>
          </w:tcPr>
          <w:p w14:paraId="4B4C16A3" w14:textId="77777777" w:rsidR="00D71B94" w:rsidRPr="0053439C" w:rsidRDefault="00D71B94" w:rsidP="007E3239">
            <w:pPr>
              <w:pStyle w:val="TableText"/>
              <w:spacing w:before="40" w:after="40"/>
              <w:jc w:val="center"/>
              <w:rPr>
                <w:szCs w:val="16"/>
              </w:rPr>
            </w:pPr>
            <w:r w:rsidRPr="0053439C">
              <w:rPr>
                <w:szCs w:val="16"/>
              </w:rPr>
              <w:t>±50</w:t>
            </w:r>
          </w:p>
        </w:tc>
        <w:tc>
          <w:tcPr>
            <w:tcW w:w="1083" w:type="pct"/>
            <w:shd w:val="clear" w:color="auto" w:fill="auto"/>
            <w:noWrap/>
            <w:hideMark/>
          </w:tcPr>
          <w:p w14:paraId="410D4B0C" w14:textId="77777777" w:rsidR="00D71B94" w:rsidRPr="0053439C" w:rsidRDefault="00D71B94" w:rsidP="007E3239">
            <w:pPr>
              <w:pStyle w:val="TableText"/>
              <w:spacing w:before="40" w:after="40"/>
              <w:jc w:val="center"/>
              <w:rPr>
                <w:szCs w:val="16"/>
              </w:rPr>
            </w:pPr>
            <w:r w:rsidRPr="0053439C">
              <w:rPr>
                <w:szCs w:val="16"/>
              </w:rPr>
              <w:t>±50.0</w:t>
            </w:r>
          </w:p>
        </w:tc>
        <w:tc>
          <w:tcPr>
            <w:tcW w:w="1917" w:type="pct"/>
          </w:tcPr>
          <w:p w14:paraId="3604F16A" w14:textId="77777777" w:rsidR="00D71B94" w:rsidRPr="0053439C" w:rsidRDefault="00D71B94" w:rsidP="007E3239">
            <w:pPr>
              <w:pStyle w:val="TableText"/>
              <w:spacing w:before="40" w:after="40"/>
              <w:rPr>
                <w:szCs w:val="16"/>
              </w:rPr>
            </w:pPr>
            <w:r w:rsidRPr="0053439C">
              <w:rPr>
                <w:szCs w:val="16"/>
              </w:rPr>
              <w:t>New Zealand’s value is used (table 3.3.1, chapter 3), section 3.5.1.7, IPCC, 2006a</w:t>
            </w:r>
          </w:p>
        </w:tc>
      </w:tr>
    </w:tbl>
    <w:p w14:paraId="13C59519" w14:textId="77777777" w:rsidR="00D71B94" w:rsidRPr="0053439C" w:rsidRDefault="00D71B94" w:rsidP="00D71B94">
      <w:pPr>
        <w:pStyle w:val="Heading4"/>
        <w:spacing w:before="360"/>
      </w:pPr>
      <w:r w:rsidRPr="0053439C">
        <w:t>Source-specific planned improvements</w:t>
      </w:r>
    </w:p>
    <w:p w14:paraId="1DF59EA6" w14:textId="77777777" w:rsidR="00D71B94" w:rsidRPr="0053439C" w:rsidRDefault="00D71B94" w:rsidP="00D71B94">
      <w:pPr>
        <w:pStyle w:val="BodyText"/>
        <w:rPr>
          <w:lang w:eastAsia="en-GB"/>
        </w:rPr>
      </w:pPr>
      <w:r w:rsidRPr="0053439C">
        <w:rPr>
          <w:lang w:eastAsia="en-GB"/>
        </w:rPr>
        <w:t xml:space="preserve">No improvements are planned for </w:t>
      </w:r>
      <w:r w:rsidRPr="0053439C">
        <w:rPr>
          <w:i/>
          <w:lang w:eastAsia="en-GB"/>
        </w:rPr>
        <w:t>Transport</w:t>
      </w:r>
      <w:r w:rsidRPr="0053439C">
        <w:rPr>
          <w:lang w:eastAsia="en-GB"/>
        </w:rPr>
        <w:t xml:space="preserve">. For future submissions, further analysis of activity data to reflect year-to-year variations will be considered as far as resources allow. </w:t>
      </w:r>
    </w:p>
    <w:p w14:paraId="72D4137A" w14:textId="77777777" w:rsidR="00D71B94" w:rsidRPr="0053439C" w:rsidRDefault="00D71B94" w:rsidP="00D71B94">
      <w:pPr>
        <w:pStyle w:val="Heading2"/>
        <w:spacing w:before="240"/>
      </w:pPr>
      <w:bookmarkStart w:id="2555" w:name="_Toc5269395"/>
      <w:bookmarkStart w:id="2556" w:name="_Toc36224435"/>
      <w:bookmarkStart w:id="2557" w:name="_Toc68786355"/>
      <w:bookmarkStart w:id="2558" w:name="_Toc99659161"/>
      <w:r w:rsidRPr="0053439C">
        <w:t>8.3</w:t>
      </w:r>
      <w:r w:rsidRPr="0053439C">
        <w:tab/>
        <w:t>Emissions from Industrial Processes and Product Use</w:t>
      </w:r>
      <w:r>
        <w:t xml:space="preserve"> </w:t>
      </w:r>
      <w:r w:rsidRPr="0053439C">
        <w:t>in Tokelau (CRF 6. Tokelau_2)</w:t>
      </w:r>
      <w:bookmarkEnd w:id="2555"/>
      <w:bookmarkEnd w:id="2556"/>
      <w:bookmarkEnd w:id="2557"/>
      <w:bookmarkEnd w:id="2558"/>
    </w:p>
    <w:p w14:paraId="4CFC32F8" w14:textId="77777777" w:rsidR="00D71B94" w:rsidRPr="0053439C" w:rsidRDefault="00D71B94" w:rsidP="00D71B94">
      <w:pPr>
        <w:pStyle w:val="BodyText"/>
      </w:pPr>
      <w:r w:rsidRPr="0053439C">
        <w:t>Tokelau has no significant industry. The emissions associated with the IPPU sector are coming from the following activities:</w:t>
      </w:r>
    </w:p>
    <w:p w14:paraId="023C337B" w14:textId="77777777" w:rsidR="00D71B94" w:rsidRPr="0053439C" w:rsidRDefault="00D71B94" w:rsidP="00D71B94">
      <w:pPr>
        <w:pStyle w:val="Bullet"/>
      </w:pPr>
      <w:r w:rsidRPr="0053439C">
        <w:t>use of refrigeration and air conditioning – HFCs</w:t>
      </w:r>
    </w:p>
    <w:p w14:paraId="5A8FB1ED" w14:textId="77777777" w:rsidR="00D71B94" w:rsidRPr="0053439C" w:rsidRDefault="00D71B94" w:rsidP="00D71B94">
      <w:pPr>
        <w:pStyle w:val="Bullet"/>
      </w:pPr>
      <w:r w:rsidRPr="0053439C">
        <w:t xml:space="preserve">use of metered dose inhalers – HFC-134a and HFC-227ea </w:t>
      </w:r>
    </w:p>
    <w:p w14:paraId="55A9AC70" w14:textId="77777777" w:rsidR="00D71B94" w:rsidRPr="0053439C" w:rsidRDefault="00D71B94" w:rsidP="00D71B94">
      <w:pPr>
        <w:pStyle w:val="Bullet"/>
      </w:pPr>
      <w:r w:rsidRPr="0053439C">
        <w:t>medical applications of N</w:t>
      </w:r>
      <w:r w:rsidRPr="0053439C">
        <w:rPr>
          <w:vertAlign w:val="subscript"/>
        </w:rPr>
        <w:t>2</w:t>
      </w:r>
      <w:r w:rsidRPr="0053439C">
        <w:t>O.</w:t>
      </w:r>
    </w:p>
    <w:p w14:paraId="69491F46" w14:textId="77777777" w:rsidR="00D71B94" w:rsidRPr="0053439C" w:rsidRDefault="00D71B94" w:rsidP="00D71B94">
      <w:pPr>
        <w:pStyle w:val="BodyText"/>
      </w:pPr>
      <w:r w:rsidRPr="0053439C">
        <w:lastRenderedPageBreak/>
        <w:t xml:space="preserve">Thus, the source categories included in this report are </w:t>
      </w:r>
      <w:r w:rsidRPr="0053439C">
        <w:rPr>
          <w:i/>
        </w:rPr>
        <w:t>Refrigeration and air conditioning</w:t>
      </w:r>
      <w:r w:rsidRPr="0053439C">
        <w:t xml:space="preserve"> (2.F.1), </w:t>
      </w:r>
      <w:r w:rsidRPr="0053439C">
        <w:rPr>
          <w:i/>
        </w:rPr>
        <w:t>Metered dose inhalers</w:t>
      </w:r>
      <w:r w:rsidRPr="0053439C">
        <w:t xml:space="preserve"> (2.F.4) and </w:t>
      </w:r>
      <w:r w:rsidRPr="0053439C">
        <w:rPr>
          <w:i/>
        </w:rPr>
        <w:t xml:space="preserve">Medical applications </w:t>
      </w:r>
      <w:r w:rsidRPr="0053439C">
        <w:t>(2.G.3).</w:t>
      </w:r>
    </w:p>
    <w:p w14:paraId="3541B16C" w14:textId="77777777" w:rsidR="00D71B94" w:rsidRPr="0053439C" w:rsidRDefault="00D71B94" w:rsidP="00D71B94">
      <w:pPr>
        <w:pStyle w:val="BodyText"/>
      </w:pPr>
      <w:r w:rsidRPr="0053439C">
        <w:t>The total amount of all IPPU emissions in Tokelau in 2020 was 0.26 kt CO</w:t>
      </w:r>
      <w:r w:rsidRPr="0053439C">
        <w:rPr>
          <w:vertAlign w:val="subscript"/>
        </w:rPr>
        <w:t>2</w:t>
      </w:r>
      <w:r w:rsidRPr="0053439C">
        <w:t xml:space="preserve">-e. They contributed 6.1 per cent to the total emissions from Tokelau and </w:t>
      </w:r>
      <w:r w:rsidRPr="008A79B1">
        <w:t xml:space="preserve">0.0003 </w:t>
      </w:r>
      <w:r w:rsidRPr="0053439C">
        <w:t xml:space="preserve">per cent to New Zealand’s gross emissions including Tokelau. The biggest contributor to the total IPPU HFC emissions is </w:t>
      </w:r>
      <w:r w:rsidRPr="0053439C">
        <w:rPr>
          <w:i/>
          <w:iCs/>
        </w:rPr>
        <w:t>Stationary air conditioning</w:t>
      </w:r>
      <w:r w:rsidRPr="0053439C">
        <w:t xml:space="preserve"> followed by </w:t>
      </w:r>
      <w:r w:rsidRPr="0053439C">
        <w:rPr>
          <w:i/>
          <w:iCs/>
        </w:rPr>
        <w:t>Domestic refrigeration</w:t>
      </w:r>
      <w:r w:rsidRPr="0053439C">
        <w:t>, with 66.8 per cent and 17.5 per cent of IPPU emissions from Tokelau, respectively. Figure 8.3.1 shows emission trends in the IPPU sector by category for Tokelau.</w:t>
      </w:r>
    </w:p>
    <w:p w14:paraId="344052C7" w14:textId="77777777" w:rsidR="00D71B94" w:rsidRPr="0053439C" w:rsidRDefault="00D71B94" w:rsidP="00D71B94">
      <w:pPr>
        <w:pStyle w:val="Figure"/>
        <w:spacing w:after="0"/>
        <w:rPr>
          <w:rFonts w:eastAsia="Calibri"/>
        </w:rPr>
      </w:pPr>
      <w:bookmarkStart w:id="2559" w:name="_Toc36292830"/>
      <w:bookmarkStart w:id="2560" w:name="_Toc64972937"/>
      <w:bookmarkStart w:id="2561" w:name="_Toc68786694"/>
      <w:bookmarkStart w:id="2562" w:name="_Toc99696065"/>
      <w:r w:rsidRPr="008A79B1">
        <w:rPr>
          <w:rFonts w:eastAsia="Calibri"/>
        </w:rPr>
        <w:t xml:space="preserve">Figure 8.3.1 </w:t>
      </w:r>
      <w:r w:rsidRPr="0053439C">
        <w:tab/>
      </w:r>
      <w:r w:rsidRPr="008A79B1">
        <w:rPr>
          <w:rFonts w:eastAsia="Calibri"/>
        </w:rPr>
        <w:t>IPPU emissions by category for Tokelau (kt CO</w:t>
      </w:r>
      <w:r w:rsidRPr="008A79B1">
        <w:rPr>
          <w:rFonts w:eastAsia="Calibri"/>
          <w:vertAlign w:val="subscript"/>
        </w:rPr>
        <w:t>2</w:t>
      </w:r>
      <w:r w:rsidRPr="008A79B1">
        <w:rPr>
          <w:rFonts w:eastAsia="Calibri"/>
        </w:rPr>
        <w:t xml:space="preserve">-e) from 1990 to </w:t>
      </w:r>
      <w:bookmarkEnd w:id="2559"/>
      <w:bookmarkEnd w:id="2560"/>
      <w:bookmarkEnd w:id="2561"/>
      <w:r w:rsidRPr="008A79B1">
        <w:rPr>
          <w:rFonts w:eastAsia="Calibri"/>
        </w:rPr>
        <w:t>2020</w:t>
      </w:r>
      <w:bookmarkEnd w:id="2562"/>
    </w:p>
    <w:p w14:paraId="22B46E44" w14:textId="77777777" w:rsidR="00D71B94" w:rsidRPr="0053439C" w:rsidRDefault="004B48CC" w:rsidP="00D71B94">
      <w:pPr>
        <w:pStyle w:val="BodyText"/>
        <w:spacing w:before="80" w:after="0"/>
        <w:rPr>
          <w:rFonts w:eastAsia="Calibri"/>
        </w:rPr>
      </w:pPr>
      <w:r>
        <w:rPr>
          <w:rFonts w:eastAsia="Calibri"/>
          <w:noProof/>
        </w:rPr>
        <w:pict w14:anchorId="7E6236EE">
          <v:shape id="Picture 5" o:spid="_x0000_i1141" type="#_x0000_t75" style="width:6in;height:251.15pt;visibility:visible;mso-wrap-style:square">
            <v:imagedata r:id="rId251" o:title=""/>
          </v:shape>
        </w:pict>
      </w:r>
    </w:p>
    <w:p w14:paraId="7EF6F599" w14:textId="77777777" w:rsidR="00D71B94" w:rsidRPr="0053439C" w:rsidRDefault="00D71B94" w:rsidP="00D71B94">
      <w:pPr>
        <w:pStyle w:val="Heading3"/>
      </w:pPr>
      <w:r w:rsidRPr="0053439C">
        <w:t>8.3.1</w:t>
      </w:r>
      <w:r w:rsidRPr="0053439C">
        <w:tab/>
        <w:t>Emissions from Refrigeration and air conditioning in</w:t>
      </w:r>
      <w:r>
        <w:t> </w:t>
      </w:r>
      <w:r w:rsidRPr="0053439C">
        <w:t xml:space="preserve">Tokelau </w:t>
      </w:r>
    </w:p>
    <w:p w14:paraId="6338F90C" w14:textId="77777777" w:rsidR="00D71B94" w:rsidRPr="0053439C" w:rsidRDefault="00D71B94" w:rsidP="00D71B94">
      <w:pPr>
        <w:pStyle w:val="BodyText"/>
      </w:pPr>
      <w:r w:rsidRPr="0053439C">
        <w:t xml:space="preserve">Due to a very small number of air-conditioned vehicles in Tokelau, all emissions from this category are reported under </w:t>
      </w:r>
      <w:r w:rsidRPr="0053439C">
        <w:rPr>
          <w:i/>
        </w:rPr>
        <w:t>Stationary air conditioning</w:t>
      </w:r>
      <w:r w:rsidRPr="0053439C">
        <w:t xml:space="preserve"> (2.F.1.f). </w:t>
      </w:r>
    </w:p>
    <w:p w14:paraId="1BB734FA" w14:textId="77777777" w:rsidR="00D71B94" w:rsidRPr="0053439C" w:rsidRDefault="00D71B94" w:rsidP="00D71B94">
      <w:pPr>
        <w:pStyle w:val="BodyText"/>
      </w:pPr>
      <w:r w:rsidRPr="0053439C">
        <w:t xml:space="preserve">Because most fridge and freezer appliances are installed in households, the emissions associated with refrigeration are reported under </w:t>
      </w:r>
      <w:r w:rsidRPr="0053439C">
        <w:rPr>
          <w:i/>
        </w:rPr>
        <w:t>Domestic refrigeration</w:t>
      </w:r>
      <w:r w:rsidRPr="0053439C">
        <w:t xml:space="preserve"> (2.F.1.b). Emissions from fridge and freezer appliances are based on the number of those appliances, however, no HFCs were used before 1994. To account for the phase-in of HFCs, it has been assumed that the proportion of appliances using HFCs increased 10 per cent per year, starting at 10 per cent of appliances in 1994 and reaching 100 per cent of appliances in 2003. This phase</w:t>
      </w:r>
      <w:r w:rsidRPr="0053439C">
        <w:noBreakHyphen/>
        <w:t>in is reflected in figure 8.3.1. Emissions continue to change after 2003 due to changes in the overall number of appliances.</w:t>
      </w:r>
    </w:p>
    <w:p w14:paraId="5E7818B6" w14:textId="77777777" w:rsidR="00D71B94" w:rsidRPr="0053439C" w:rsidRDefault="00D71B94" w:rsidP="00D71B94">
      <w:pPr>
        <w:pStyle w:val="Heading4"/>
      </w:pPr>
      <w:r w:rsidRPr="0053439C">
        <w:t>Source-specific planned improvements</w:t>
      </w:r>
    </w:p>
    <w:p w14:paraId="4058D94E" w14:textId="77777777" w:rsidR="00D71B94" w:rsidRPr="0053439C" w:rsidRDefault="00D71B94" w:rsidP="00D71B94">
      <w:pPr>
        <w:pStyle w:val="BodyText"/>
      </w:pPr>
      <w:r w:rsidRPr="0053439C">
        <w:t xml:space="preserve">Due to resource constraints, improvements were prioritised according to the amount of emissions contributed by each sector to the total emissions from Tokelau. Because the IPPU sector contributes only a very small amount of emissions, no improvements, except ongoing data refinement as far as resources allow, are planned for the next inventory submission. </w:t>
      </w:r>
    </w:p>
    <w:p w14:paraId="2B956159" w14:textId="77777777" w:rsidR="00D71B94" w:rsidRPr="0053439C" w:rsidRDefault="00D71B94" w:rsidP="00D71B94">
      <w:pPr>
        <w:pStyle w:val="Heading4"/>
      </w:pPr>
      <w:r w:rsidRPr="0053439C">
        <w:lastRenderedPageBreak/>
        <w:t>Methodological issues</w:t>
      </w:r>
    </w:p>
    <w:p w14:paraId="1CC46F46" w14:textId="77777777" w:rsidR="00D71B94" w:rsidRPr="0053439C" w:rsidRDefault="00D71B94" w:rsidP="00D71B94">
      <w:pPr>
        <w:pStyle w:val="Heading5"/>
        <w:spacing w:before="160"/>
      </w:pPr>
      <w:r w:rsidRPr="0053439C">
        <w:t>Activity data</w:t>
      </w:r>
    </w:p>
    <w:p w14:paraId="36ED7F09" w14:textId="77777777" w:rsidR="00D71B94" w:rsidRPr="0053439C" w:rsidRDefault="00D71B94" w:rsidP="00D71B94">
      <w:pPr>
        <w:pStyle w:val="BodyText"/>
        <w:spacing w:after="100"/>
      </w:pPr>
      <w:r w:rsidRPr="0053439C">
        <w:t>The data for the number of appliances are sourced from:</w:t>
      </w:r>
    </w:p>
    <w:p w14:paraId="502F555C" w14:textId="77777777" w:rsidR="00D71B94" w:rsidRPr="0053439C" w:rsidRDefault="00D71B94" w:rsidP="00D71B94">
      <w:pPr>
        <w:pStyle w:val="Bullet"/>
        <w:spacing w:after="100"/>
      </w:pPr>
      <w:r w:rsidRPr="0053439C">
        <w:t xml:space="preserve">Tokelau Census of Population and Dwellings (2006, 2011, 2016) (item 1 in table 8.1.2) for 2006 to 2016 data points </w:t>
      </w:r>
    </w:p>
    <w:p w14:paraId="42EA8323" w14:textId="77777777" w:rsidR="00D71B94" w:rsidRPr="0053439C" w:rsidRDefault="00D71B94" w:rsidP="00D71B94">
      <w:pPr>
        <w:pStyle w:val="Bullet"/>
        <w:spacing w:after="100"/>
      </w:pPr>
      <w:r w:rsidRPr="0053439C">
        <w:t xml:space="preserve">Archives New Zealand (Wellington, New Zealand) for historic Census records going back to 1950, mostly at five-year intervals </w:t>
      </w:r>
    </w:p>
    <w:p w14:paraId="39B5B1F4" w14:textId="77777777" w:rsidR="00D71B94" w:rsidRPr="0053439C" w:rsidRDefault="00D71B94" w:rsidP="00D71B94">
      <w:pPr>
        <w:pStyle w:val="Bullet"/>
        <w:spacing w:after="100"/>
      </w:pPr>
      <w:r w:rsidRPr="0053439C">
        <w:t xml:space="preserve">Tokelau Household Income and Expenditure Survey 2015/16 for population and dwellings data supplementary to the Census </w:t>
      </w:r>
    </w:p>
    <w:p w14:paraId="0A78A81F" w14:textId="77777777" w:rsidR="00D71B94" w:rsidRPr="0053439C" w:rsidRDefault="00D71B94" w:rsidP="00D71B94">
      <w:pPr>
        <w:pStyle w:val="Bullet"/>
        <w:spacing w:after="100"/>
      </w:pPr>
      <w:r w:rsidRPr="0053439C">
        <w:t>Tokelau Department of Health for anecdotal information on inhalers, the laser gas, and fire extinguishers</w:t>
      </w:r>
    </w:p>
    <w:p w14:paraId="51D675DE" w14:textId="77777777" w:rsidR="00D71B94" w:rsidRPr="0053439C" w:rsidRDefault="00D71B94" w:rsidP="00D71B94">
      <w:pPr>
        <w:pStyle w:val="Bullet"/>
        <w:spacing w:after="100"/>
      </w:pPr>
      <w:r w:rsidRPr="0053439C">
        <w:t>Tokelau Department of Transport and Support Services (Apia, Samoa) for cargo shipping manifests for analysis of imports of all goods</w:t>
      </w:r>
    </w:p>
    <w:p w14:paraId="2B749FDD" w14:textId="77777777" w:rsidR="00D71B94" w:rsidRPr="0053439C" w:rsidRDefault="00D71B94" w:rsidP="00D71B94">
      <w:pPr>
        <w:pStyle w:val="Bullet"/>
        <w:spacing w:after="100"/>
      </w:pPr>
      <w:r w:rsidRPr="0053439C">
        <w:t>Stats NZ (Wellington, New Zealand), which helped in the collection, analysis and publication of Tokelau Census data</w:t>
      </w:r>
    </w:p>
    <w:p w14:paraId="3425AF70" w14:textId="77777777" w:rsidR="00D71B94" w:rsidRPr="0053439C" w:rsidRDefault="00D71B94" w:rsidP="00D71B94">
      <w:pPr>
        <w:pStyle w:val="Bullet"/>
        <w:spacing w:after="100"/>
      </w:pPr>
      <w:r w:rsidRPr="0053439C">
        <w:t>Tokelau National Statistics Office, which performed collection, analysis and publication of Tokelau Census data with subsequent data collation and analyses.</w:t>
      </w:r>
    </w:p>
    <w:p w14:paraId="24C82079" w14:textId="77777777" w:rsidR="00D71B94" w:rsidRPr="0053439C" w:rsidRDefault="00D71B94" w:rsidP="00D71B94">
      <w:pPr>
        <w:pStyle w:val="BodyText"/>
        <w:rPr>
          <w:highlight w:val="yellow"/>
        </w:rPr>
      </w:pPr>
      <w:r w:rsidRPr="0053439C">
        <w:t xml:space="preserve">The raw data on the number of appliances used in Tokelau obtained from the Census have been further analysed and cross-referenced through other sources (for example, see those listed in table 8.1.2); available data points are increased by equal increments between the data collection years. </w:t>
      </w:r>
    </w:p>
    <w:p w14:paraId="2C92920F" w14:textId="77777777" w:rsidR="00D71B94" w:rsidRPr="0053439C" w:rsidRDefault="00D71B94" w:rsidP="00D71B94">
      <w:pPr>
        <w:pStyle w:val="Heading5"/>
      </w:pPr>
      <w:r w:rsidRPr="0053439C">
        <w:t>Method and emission factors</w:t>
      </w:r>
    </w:p>
    <w:p w14:paraId="0DFA0399" w14:textId="77777777" w:rsidR="00D71B94" w:rsidRPr="0053439C" w:rsidRDefault="00D71B94" w:rsidP="00D71B94">
      <w:pPr>
        <w:pStyle w:val="BodyText"/>
        <w:spacing w:before="100" w:after="100"/>
      </w:pPr>
      <w:r w:rsidRPr="0053439C">
        <w:t xml:space="preserve">For both air conditioning and domestic refrigeration, the following assumptions were made: </w:t>
      </w:r>
    </w:p>
    <w:p w14:paraId="4B68B642" w14:textId="77777777" w:rsidR="00D71B94" w:rsidRPr="0053439C" w:rsidRDefault="00D71B94" w:rsidP="00D71B94">
      <w:pPr>
        <w:pStyle w:val="Bullet"/>
        <w:spacing w:after="100"/>
      </w:pPr>
      <w:r w:rsidRPr="0053439C">
        <w:t>no chemicals are imported or exported, except as a component of each sort of equipment; emissions are assumed to be derived from current equipment only</w:t>
      </w:r>
    </w:p>
    <w:p w14:paraId="0B24EC3A" w14:textId="77777777" w:rsidR="00D71B94" w:rsidRPr="0053439C" w:rsidRDefault="00D71B94" w:rsidP="00D71B94">
      <w:pPr>
        <w:pStyle w:val="Bullet"/>
        <w:spacing w:after="100"/>
      </w:pPr>
      <w:r w:rsidRPr="0053439C">
        <w:t>HFCs and PFCs are neither produced nor exported or disposed of in Tokelau. Therefore, the net consumption is essentially equal to imports</w:t>
      </w:r>
    </w:p>
    <w:p w14:paraId="22873647" w14:textId="77777777" w:rsidR="00D71B94" w:rsidRPr="0053439C" w:rsidRDefault="00D71B94" w:rsidP="00D71B94">
      <w:pPr>
        <w:pStyle w:val="Bullet"/>
        <w:spacing w:after="100"/>
      </w:pPr>
      <w:r w:rsidRPr="0053439C">
        <w:t>a composite default emission factor of 15 per cent can be used for estimating emissions for both domestic refrigeration and stationary air conditioning</w:t>
      </w:r>
    </w:p>
    <w:p w14:paraId="383A0707" w14:textId="77777777" w:rsidR="00D71B94" w:rsidRPr="0053439C" w:rsidRDefault="00D71B94" w:rsidP="00D71B94">
      <w:pPr>
        <w:pStyle w:val="Bullet"/>
        <w:spacing w:after="100"/>
      </w:pPr>
      <w:r w:rsidRPr="0053439C">
        <w:t>assumed percentage of new equipment exported (0 per cent for Tokelau)</w:t>
      </w:r>
    </w:p>
    <w:p w14:paraId="252C6B17" w14:textId="77777777" w:rsidR="00D71B94" w:rsidRPr="0053439C" w:rsidRDefault="00D71B94" w:rsidP="00D71B94">
      <w:pPr>
        <w:pStyle w:val="Bullet"/>
        <w:spacing w:after="100"/>
      </w:pPr>
      <w:r w:rsidRPr="0053439C">
        <w:t>assumed percentage of new equipment imported (100 per cent for Tokelau)</w:t>
      </w:r>
    </w:p>
    <w:p w14:paraId="34151923" w14:textId="77777777" w:rsidR="00D71B94" w:rsidRPr="0053439C" w:rsidRDefault="00D71B94" w:rsidP="00D71B94">
      <w:pPr>
        <w:pStyle w:val="Bullet"/>
        <w:spacing w:after="100"/>
      </w:pPr>
      <w:r w:rsidRPr="0053439C">
        <w:t xml:space="preserve">the HFC emissions from stationary air conditioning did not occur until 2006 </w:t>
      </w:r>
    </w:p>
    <w:p w14:paraId="28722E01" w14:textId="77777777" w:rsidR="00D71B94" w:rsidRPr="0053439C" w:rsidRDefault="00D71B94" w:rsidP="00D71B94">
      <w:pPr>
        <w:pStyle w:val="Bullet"/>
        <w:spacing w:after="100"/>
      </w:pPr>
      <w:r w:rsidRPr="0053439C">
        <w:t>the HFC emissions from domestic refrigeration did not occur until 1994 (the same as for New Zealand)</w:t>
      </w:r>
    </w:p>
    <w:p w14:paraId="3F5BB17B" w14:textId="77777777" w:rsidR="00D71B94" w:rsidRPr="0053439C" w:rsidRDefault="00D71B94" w:rsidP="00D71B94">
      <w:pPr>
        <w:pStyle w:val="Bullet"/>
        <w:spacing w:after="100"/>
      </w:pPr>
      <w:r w:rsidRPr="0053439C">
        <w:t>the average charge for fridges and freezers has the upper limit of the mass of gas of 0.5 kilograms (from table 7.9 of the 2006 IPCC Guidelines (IPCC, 2006b))</w:t>
      </w:r>
    </w:p>
    <w:p w14:paraId="3BB4A2B6" w14:textId="77777777" w:rsidR="00D71B94" w:rsidRPr="0053439C" w:rsidRDefault="00D71B94" w:rsidP="00D71B94">
      <w:pPr>
        <w:pStyle w:val="Bullet"/>
        <w:spacing w:after="100"/>
      </w:pPr>
      <w:r w:rsidRPr="0053439C">
        <w:t>the average charge for an air conditioning unit is 10 kilograms (default value from 2006 IPCC Guidelines (IPCC, 2006a))</w:t>
      </w:r>
    </w:p>
    <w:p w14:paraId="1BD2F098" w14:textId="77777777" w:rsidR="00D71B94" w:rsidRPr="0053439C" w:rsidRDefault="00D71B94" w:rsidP="00D71B94">
      <w:pPr>
        <w:pStyle w:val="Bullet"/>
      </w:pPr>
      <w:r w:rsidRPr="0053439C">
        <w:t>for air conditioning units and fridges and freezers, Tokelau reports the same set of HFCs as New Zealand. These are HFC-32, HFC-125 and HFC-134a for air conditioning units, and HFC-134a for refrigeration.</w:t>
      </w:r>
    </w:p>
    <w:p w14:paraId="0664ADD8" w14:textId="77777777" w:rsidR="00D71B94" w:rsidRPr="0053439C" w:rsidRDefault="00D71B94" w:rsidP="00D71B94">
      <w:pPr>
        <w:pStyle w:val="BodyText"/>
      </w:pPr>
      <w:r w:rsidRPr="0053439C">
        <w:lastRenderedPageBreak/>
        <w:t xml:space="preserve">The Tier 1a method from the 2006 IPCC Guidelines is used for estimating emissions from category 2.F.1 in Tokelau (IPCC, 2006b). In this method, activity data are represented by a net consumption value (equation 7.1 from volume 3 of the 2006 IPCC Guidelines), while the emission factor is a value that represents a weighted average of several parameters, as shown below in table 7.9 from volume 3 of the 2006 IPCC Guidelines (IPCC, 2006b). </w:t>
      </w:r>
    </w:p>
    <w:p w14:paraId="5F6DFAE7" w14:textId="77777777" w:rsidR="00D71B94" w:rsidRPr="0053439C" w:rsidRDefault="00D71B94" w:rsidP="00D71B94">
      <w:pPr>
        <w:pStyle w:val="BodyText"/>
        <w:keepNext/>
      </w:pPr>
      <w:r w:rsidRPr="0053439C">
        <w:t>The calculation formula for net consumption within the Tier 1a method is as follows.</w:t>
      </w:r>
    </w:p>
    <w:p w14:paraId="193F5C0B" w14:textId="77777777" w:rsidR="00D71B94" w:rsidRPr="008C232B" w:rsidRDefault="00D71B94" w:rsidP="00D71B94">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b/>
          <w:bCs/>
          <w:smallCaps/>
        </w:rPr>
      </w:pPr>
      <w:r w:rsidRPr="008C232B">
        <w:rPr>
          <w:rFonts w:ascii="Cambria Math" w:hAnsi="Cambria Math"/>
          <w:b/>
          <w:bCs/>
          <w:smallCaps/>
        </w:rPr>
        <w:t>Equation 7.1</w:t>
      </w:r>
    </w:p>
    <w:p w14:paraId="2EBAC998" w14:textId="77777777" w:rsidR="00D71B94" w:rsidRPr="008C232B" w:rsidRDefault="00D71B94" w:rsidP="00D71B94">
      <w:pPr>
        <w:pStyle w:val="BodyText"/>
        <w:pBdr>
          <w:top w:val="single" w:sz="2" w:space="10" w:color="auto"/>
          <w:left w:val="single" w:sz="2" w:space="0" w:color="auto"/>
          <w:bottom w:val="single" w:sz="2" w:space="10" w:color="auto"/>
          <w:right w:val="single" w:sz="2" w:space="10" w:color="auto"/>
        </w:pBdr>
        <w:spacing w:before="0" w:after="0"/>
        <w:ind w:left="454" w:right="851"/>
        <w:jc w:val="center"/>
        <w:rPr>
          <w:rFonts w:ascii="Cambria Math" w:hAnsi="Cambria Math"/>
          <w:b/>
          <w:bCs/>
          <w:smallCaps/>
        </w:rPr>
      </w:pPr>
      <w:r w:rsidRPr="008C232B">
        <w:rPr>
          <w:rFonts w:ascii="Cambria Math" w:hAnsi="Cambria Math"/>
          <w:b/>
          <w:bCs/>
          <w:smallCaps/>
        </w:rPr>
        <w:t>Calculation of net consumption of a chemical in a specific application</w:t>
      </w:r>
    </w:p>
    <w:p w14:paraId="4ED49D84" w14:textId="77777777" w:rsidR="00D71B94" w:rsidRPr="008C232B" w:rsidRDefault="00D71B94" w:rsidP="00D71B94">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i/>
          <w:iCs/>
        </w:rPr>
      </w:pPr>
      <w:r w:rsidRPr="008C232B">
        <w:rPr>
          <w:rFonts w:ascii="Cambria Math" w:hAnsi="Cambria Math"/>
          <w:i/>
          <w:iCs/>
        </w:rPr>
        <w:t>Net Consumption = Production + Imports – Exports – Destruction</w:t>
      </w:r>
    </w:p>
    <w:p w14:paraId="4DABADDD" w14:textId="77777777" w:rsidR="00D71B94" w:rsidRPr="0053439C" w:rsidRDefault="00D71B94" w:rsidP="00D71B94">
      <w:pPr>
        <w:pStyle w:val="BodyText"/>
      </w:pPr>
      <w:r w:rsidRPr="0053439C">
        <w:t>Net consumption values for each HFC are then used to calculate annual emissions for applications exhibiting prompt emissions as follows.</w:t>
      </w:r>
    </w:p>
    <w:p w14:paraId="4E39DA1D" w14:textId="77777777" w:rsidR="00D71B94" w:rsidRPr="008C232B" w:rsidRDefault="00D71B94" w:rsidP="00D71B94">
      <w:pPr>
        <w:pStyle w:val="BodyText"/>
        <w:pBdr>
          <w:top w:val="single" w:sz="2" w:space="10" w:color="auto"/>
          <w:left w:val="single" w:sz="2" w:space="0" w:color="auto"/>
          <w:bottom w:val="single" w:sz="2" w:space="10" w:color="auto"/>
          <w:right w:val="single" w:sz="2" w:space="10" w:color="auto"/>
        </w:pBdr>
        <w:ind w:left="454" w:right="851"/>
        <w:jc w:val="center"/>
        <w:rPr>
          <w:rFonts w:ascii="Cambria Math" w:hAnsi="Cambria Math"/>
          <w:b/>
          <w:bCs/>
          <w:smallCaps/>
        </w:rPr>
      </w:pPr>
      <w:r w:rsidRPr="008C232B">
        <w:rPr>
          <w:rFonts w:ascii="Cambria Math" w:hAnsi="Cambria Math"/>
          <w:b/>
          <w:bCs/>
          <w:smallCaps/>
        </w:rPr>
        <w:t>Equation 7.2A</w:t>
      </w:r>
    </w:p>
    <w:p w14:paraId="1C717AC8" w14:textId="77777777" w:rsidR="00D71B94" w:rsidRPr="008C232B" w:rsidRDefault="00D71B94" w:rsidP="00D71B94">
      <w:pPr>
        <w:pStyle w:val="BodyText"/>
        <w:pBdr>
          <w:top w:val="single" w:sz="2" w:space="10" w:color="auto"/>
          <w:left w:val="single" w:sz="2" w:space="0" w:color="auto"/>
          <w:bottom w:val="single" w:sz="2" w:space="10" w:color="auto"/>
          <w:right w:val="single" w:sz="2" w:space="10" w:color="auto"/>
        </w:pBdr>
        <w:spacing w:before="0" w:after="0"/>
        <w:ind w:left="454" w:right="851"/>
        <w:jc w:val="center"/>
        <w:rPr>
          <w:rFonts w:ascii="Cambria Math" w:hAnsi="Cambria Math"/>
          <w:b/>
          <w:bCs/>
          <w:smallCaps/>
        </w:rPr>
      </w:pPr>
      <w:r w:rsidRPr="008C232B">
        <w:rPr>
          <w:rFonts w:ascii="Cambria Math" w:hAnsi="Cambria Math"/>
          <w:b/>
          <w:bCs/>
          <w:smallCaps/>
        </w:rPr>
        <w:t>Calculation of emissions of a chemical from a specific application</w:t>
      </w:r>
    </w:p>
    <w:p w14:paraId="488001E1" w14:textId="77777777" w:rsidR="00D71B94" w:rsidRPr="008C232B" w:rsidRDefault="00D71B94" w:rsidP="00D71B94">
      <w:pPr>
        <w:pStyle w:val="BodyText"/>
        <w:pBdr>
          <w:top w:val="single" w:sz="2" w:space="10" w:color="auto"/>
          <w:left w:val="single" w:sz="2" w:space="0" w:color="auto"/>
          <w:bottom w:val="single" w:sz="2" w:space="10" w:color="auto"/>
          <w:right w:val="single" w:sz="2" w:space="10" w:color="auto"/>
        </w:pBdr>
        <w:spacing w:before="0" w:after="0"/>
        <w:ind w:left="454" w:right="851"/>
        <w:jc w:val="center"/>
        <w:rPr>
          <w:rFonts w:ascii="Cambria Math" w:hAnsi="Cambria Math"/>
          <w:i/>
          <w:iCs/>
        </w:rPr>
      </w:pPr>
      <w:r w:rsidRPr="008C232B">
        <w:rPr>
          <w:rFonts w:ascii="Cambria Math" w:hAnsi="Cambria Math"/>
          <w:i/>
          <w:iCs/>
        </w:rPr>
        <w:t xml:space="preserve">Annual Emissions = Net Consumption </w:t>
      </w:r>
      <w:r w:rsidRPr="008C232B">
        <w:rPr>
          <w:rFonts w:ascii="Symbol" w:eastAsia="Symbol" w:hAnsi="Symbol" w:cs="Symbol"/>
          <w:i/>
        </w:rPr>
        <w:t>·</w:t>
      </w:r>
      <w:r w:rsidRPr="008C232B">
        <w:rPr>
          <w:rFonts w:ascii="Cambria Math" w:hAnsi="Cambria Math"/>
          <w:i/>
          <w:iCs/>
        </w:rPr>
        <w:t xml:space="preserve"> Composite</w:t>
      </w:r>
      <w:r w:rsidRPr="008C232B">
        <w:rPr>
          <w:rFonts w:ascii="Cambria Math" w:hAnsi="Cambria Math"/>
          <w:i/>
          <w:iCs/>
          <w:smallCaps/>
        </w:rPr>
        <w:t xml:space="preserve"> </w:t>
      </w:r>
      <w:r w:rsidRPr="008C232B">
        <w:rPr>
          <w:rFonts w:ascii="Cambria Math" w:hAnsi="Cambria Math"/>
          <w:i/>
          <w:iCs/>
        </w:rPr>
        <w:t>EF</w:t>
      </w:r>
    </w:p>
    <w:p w14:paraId="71D4E98E" w14:textId="77777777" w:rsidR="00D71B94" w:rsidRPr="0053439C" w:rsidRDefault="00D71B94" w:rsidP="00D71B94">
      <w:pPr>
        <w:pStyle w:val="Heading4"/>
        <w:spacing w:before="360"/>
      </w:pPr>
      <w:r w:rsidRPr="0053439C">
        <w:t>Uncertainties</w:t>
      </w:r>
    </w:p>
    <w:p w14:paraId="1010DE1B" w14:textId="77777777" w:rsidR="00D71B94" w:rsidRPr="0053439C" w:rsidRDefault="00D71B94" w:rsidP="00D71B94">
      <w:pPr>
        <w:pStyle w:val="BodyText"/>
      </w:pPr>
      <w:r w:rsidRPr="0053439C">
        <w:t>Because a composite emission factor was used for both 2.F.1.b and 2.F.1.f categories, the uncertainty level for activity data is assumed at a level of ±32 per cent (see table 8.3.1). The 2006 IPCC Guidelines (IPCC, 2006b) do not provide a default value for the composite factors, so New Zealand’s value for uncertainties to describe refrigerant leakages was used for both categories.</w:t>
      </w:r>
    </w:p>
    <w:p w14:paraId="72256C7A" w14:textId="77777777" w:rsidR="00D71B94" w:rsidRPr="0053439C" w:rsidRDefault="00D71B94" w:rsidP="00D71B94">
      <w:pPr>
        <w:pStyle w:val="Table"/>
      </w:pPr>
      <w:bookmarkStart w:id="2563" w:name="_Toc5269599"/>
      <w:bookmarkStart w:id="2564" w:name="_Toc36224680"/>
      <w:bookmarkStart w:id="2565" w:name="_Toc68786566"/>
      <w:bookmarkStart w:id="2566" w:name="_Toc99659361"/>
      <w:r w:rsidRPr="00505B35">
        <w:t>Table 8.3.1</w:t>
      </w:r>
      <w:r w:rsidRPr="00505B35">
        <w:tab/>
        <w:t xml:space="preserve">Uncertainties for </w:t>
      </w:r>
      <w:r w:rsidRPr="00505B35">
        <w:rPr>
          <w:i/>
        </w:rPr>
        <w:t>Refrigeration and air conditioning</w:t>
      </w:r>
      <w:r w:rsidRPr="00505B35">
        <w:t xml:space="preserve"> category</w:t>
      </w:r>
      <w:bookmarkEnd w:id="2563"/>
      <w:bookmarkEnd w:id="2564"/>
      <w:bookmarkEnd w:id="2565"/>
      <w:bookmarkEnd w:id="2566"/>
    </w:p>
    <w:tbl>
      <w:tblPr>
        <w:tblW w:w="8505" w:type="dxa"/>
        <w:tblInd w:w="108" w:type="dxa"/>
        <w:tblBorders>
          <w:top w:val="single" w:sz="4" w:space="0" w:color="1B556B"/>
          <w:bottom w:val="single" w:sz="4" w:space="0" w:color="1B556B"/>
          <w:insideH w:val="single" w:sz="4" w:space="0" w:color="1B556B"/>
          <w:insideV w:val="single" w:sz="4" w:space="0" w:color="1B556B"/>
        </w:tblBorders>
        <w:tblLook w:val="0420" w:firstRow="1" w:lastRow="0" w:firstColumn="0" w:lastColumn="0" w:noHBand="0" w:noVBand="1"/>
      </w:tblPr>
      <w:tblGrid>
        <w:gridCol w:w="686"/>
        <w:gridCol w:w="1158"/>
        <w:gridCol w:w="1313"/>
        <w:gridCol w:w="1665"/>
        <w:gridCol w:w="3683"/>
      </w:tblGrid>
      <w:tr w:rsidR="00D71B94" w:rsidRPr="0053439C" w14:paraId="33BED9D0" w14:textId="77777777" w:rsidTr="007E3239">
        <w:trPr>
          <w:tblHeader/>
        </w:trPr>
        <w:tc>
          <w:tcPr>
            <w:tcW w:w="403" w:type="pct"/>
            <w:shd w:val="clear" w:color="auto" w:fill="1B556B"/>
            <w:noWrap/>
            <w:vAlign w:val="bottom"/>
            <w:hideMark/>
          </w:tcPr>
          <w:p w14:paraId="20BF66C7" w14:textId="77777777" w:rsidR="00D71B94" w:rsidRPr="0053439C" w:rsidRDefault="00D71B94" w:rsidP="007E3239">
            <w:pPr>
              <w:pStyle w:val="TableTextBold"/>
              <w:rPr>
                <w:noProof w:val="0"/>
                <w:color w:val="FFFFFF"/>
              </w:rPr>
            </w:pPr>
            <w:r w:rsidRPr="0053439C">
              <w:rPr>
                <w:noProof w:val="0"/>
                <w:color w:val="FFFFFF"/>
              </w:rPr>
              <w:t>Gas</w:t>
            </w:r>
          </w:p>
        </w:tc>
        <w:tc>
          <w:tcPr>
            <w:tcW w:w="681" w:type="pct"/>
            <w:shd w:val="clear" w:color="auto" w:fill="1B556B"/>
            <w:noWrap/>
            <w:vAlign w:val="bottom"/>
            <w:hideMark/>
          </w:tcPr>
          <w:p w14:paraId="69D6ADD7" w14:textId="77777777" w:rsidR="00D71B94" w:rsidRPr="0053439C" w:rsidRDefault="00D71B94" w:rsidP="007E3239">
            <w:pPr>
              <w:pStyle w:val="TableTextBold"/>
              <w:jc w:val="center"/>
              <w:rPr>
                <w:noProof w:val="0"/>
                <w:color w:val="FFFFFF"/>
              </w:rPr>
            </w:pPr>
            <w:r w:rsidRPr="0053439C">
              <w:rPr>
                <w:noProof w:val="0"/>
                <w:color w:val="FFFFFF"/>
              </w:rPr>
              <w:t>Subcategory</w:t>
            </w:r>
          </w:p>
        </w:tc>
        <w:tc>
          <w:tcPr>
            <w:tcW w:w="772" w:type="pct"/>
            <w:shd w:val="clear" w:color="auto" w:fill="1B556B"/>
            <w:vAlign w:val="bottom"/>
            <w:hideMark/>
          </w:tcPr>
          <w:p w14:paraId="6BD8113B" w14:textId="77777777" w:rsidR="00D71B94" w:rsidRPr="0053439C" w:rsidRDefault="00D71B94" w:rsidP="007E3239">
            <w:pPr>
              <w:pStyle w:val="TableTextBold"/>
              <w:jc w:val="center"/>
              <w:rPr>
                <w:noProof w:val="0"/>
                <w:color w:val="FFFFFF"/>
              </w:rPr>
            </w:pPr>
            <w:r w:rsidRPr="0053439C">
              <w:rPr>
                <w:noProof w:val="0"/>
                <w:color w:val="FFFFFF"/>
              </w:rPr>
              <w:t>Activity data uncertainty (%)</w:t>
            </w:r>
          </w:p>
        </w:tc>
        <w:tc>
          <w:tcPr>
            <w:tcW w:w="979" w:type="pct"/>
            <w:shd w:val="clear" w:color="auto" w:fill="1B556B"/>
            <w:vAlign w:val="bottom"/>
            <w:hideMark/>
          </w:tcPr>
          <w:p w14:paraId="5B19F580" w14:textId="77777777" w:rsidR="00D71B94" w:rsidRPr="0053439C" w:rsidRDefault="00D71B94" w:rsidP="007E3239">
            <w:pPr>
              <w:pStyle w:val="TableTextBold"/>
              <w:jc w:val="center"/>
              <w:rPr>
                <w:noProof w:val="0"/>
                <w:color w:val="FFFFFF"/>
              </w:rPr>
            </w:pPr>
            <w:r w:rsidRPr="0053439C">
              <w:rPr>
                <w:noProof w:val="0"/>
                <w:color w:val="FFFFFF"/>
              </w:rPr>
              <w:t>Emission factor uncertainty (%)</w:t>
            </w:r>
          </w:p>
        </w:tc>
        <w:tc>
          <w:tcPr>
            <w:tcW w:w="2166" w:type="pct"/>
            <w:shd w:val="clear" w:color="auto" w:fill="1B556B"/>
            <w:vAlign w:val="bottom"/>
          </w:tcPr>
          <w:p w14:paraId="0DEC0D17" w14:textId="77777777" w:rsidR="00D71B94" w:rsidRPr="0053439C" w:rsidRDefault="00D71B94" w:rsidP="007E3239">
            <w:pPr>
              <w:pStyle w:val="TableTextBold"/>
              <w:rPr>
                <w:noProof w:val="0"/>
                <w:color w:val="FFFFFF"/>
              </w:rPr>
            </w:pPr>
            <w:r w:rsidRPr="0053439C">
              <w:rPr>
                <w:noProof w:val="0"/>
                <w:color w:val="FFFFFF"/>
              </w:rPr>
              <w:t>Source</w:t>
            </w:r>
          </w:p>
        </w:tc>
      </w:tr>
      <w:tr w:rsidR="00D71B94" w:rsidRPr="0053439C" w14:paraId="0704FA98" w14:textId="77777777" w:rsidTr="007E3239">
        <w:tc>
          <w:tcPr>
            <w:tcW w:w="403" w:type="pct"/>
            <w:shd w:val="clear" w:color="auto" w:fill="auto"/>
            <w:noWrap/>
            <w:hideMark/>
          </w:tcPr>
          <w:p w14:paraId="3BB6CBB7" w14:textId="77777777" w:rsidR="00D71B94" w:rsidRPr="0053439C" w:rsidRDefault="00D71B94" w:rsidP="007E3239">
            <w:pPr>
              <w:pStyle w:val="TableText"/>
            </w:pPr>
            <w:r w:rsidRPr="0053439C">
              <w:t>HFCs</w:t>
            </w:r>
          </w:p>
        </w:tc>
        <w:tc>
          <w:tcPr>
            <w:tcW w:w="681" w:type="pct"/>
            <w:shd w:val="clear" w:color="auto" w:fill="auto"/>
            <w:noWrap/>
            <w:hideMark/>
          </w:tcPr>
          <w:p w14:paraId="6EB20C6F" w14:textId="77777777" w:rsidR="00D71B94" w:rsidRPr="0053439C" w:rsidRDefault="00D71B94" w:rsidP="007E3239">
            <w:pPr>
              <w:pStyle w:val="TableText"/>
              <w:jc w:val="center"/>
            </w:pPr>
            <w:r w:rsidRPr="0053439C">
              <w:t>2.F.1</w:t>
            </w:r>
          </w:p>
        </w:tc>
        <w:tc>
          <w:tcPr>
            <w:tcW w:w="772" w:type="pct"/>
            <w:shd w:val="clear" w:color="auto" w:fill="auto"/>
            <w:noWrap/>
            <w:hideMark/>
          </w:tcPr>
          <w:p w14:paraId="3F94002D" w14:textId="77777777" w:rsidR="00D71B94" w:rsidRPr="0053439C" w:rsidRDefault="00D71B94" w:rsidP="007E3239">
            <w:pPr>
              <w:pStyle w:val="TableText"/>
              <w:jc w:val="center"/>
            </w:pPr>
            <w:r w:rsidRPr="0053439C">
              <w:t>±</w:t>
            </w:r>
            <w:r>
              <w:t>44</w:t>
            </w:r>
          </w:p>
        </w:tc>
        <w:tc>
          <w:tcPr>
            <w:tcW w:w="979" w:type="pct"/>
            <w:shd w:val="clear" w:color="auto" w:fill="auto"/>
            <w:noWrap/>
            <w:hideMark/>
          </w:tcPr>
          <w:p w14:paraId="2BD78FF2" w14:textId="77777777" w:rsidR="00D71B94" w:rsidRPr="0053439C" w:rsidRDefault="00D71B94" w:rsidP="007E3239">
            <w:pPr>
              <w:pStyle w:val="TableText"/>
              <w:jc w:val="center"/>
            </w:pPr>
            <w:r w:rsidRPr="0053439C">
              <w:t>NA</w:t>
            </w:r>
          </w:p>
        </w:tc>
        <w:tc>
          <w:tcPr>
            <w:tcW w:w="2166" w:type="pct"/>
          </w:tcPr>
          <w:p w14:paraId="07BA0957" w14:textId="77777777" w:rsidR="00D71B94" w:rsidRPr="0053439C" w:rsidRDefault="00D71B94" w:rsidP="007E3239">
            <w:pPr>
              <w:pStyle w:val="TableText"/>
            </w:pPr>
            <w:r w:rsidRPr="0053439C">
              <w:t>New Zealand’s value is used (table 4.7.3, chapter 4)</w:t>
            </w:r>
          </w:p>
        </w:tc>
      </w:tr>
    </w:tbl>
    <w:p w14:paraId="650E3E3B" w14:textId="77777777" w:rsidR="00D71B94" w:rsidRPr="0053439C" w:rsidRDefault="00D71B94" w:rsidP="00D71B94">
      <w:pPr>
        <w:pStyle w:val="Heading3"/>
        <w:spacing w:before="480"/>
      </w:pPr>
      <w:r w:rsidRPr="0053439C">
        <w:t xml:space="preserve">8.3.2 </w:t>
      </w:r>
      <w:r w:rsidRPr="0053439C">
        <w:tab/>
        <w:t xml:space="preserve">Emissions from Metered dose inhalers and </w:t>
      </w:r>
      <w:r w:rsidRPr="0053439C">
        <w:br/>
        <w:t>Medical applications in Tokelau</w:t>
      </w:r>
    </w:p>
    <w:p w14:paraId="6E76534B" w14:textId="77777777" w:rsidR="00D71B94" w:rsidRPr="0053439C" w:rsidRDefault="00D71B94" w:rsidP="00D71B94">
      <w:pPr>
        <w:pStyle w:val="BodyText"/>
      </w:pPr>
      <w:r w:rsidRPr="0053439C">
        <w:t xml:space="preserve">The </w:t>
      </w:r>
      <w:r w:rsidRPr="0053439C">
        <w:rPr>
          <w:i/>
        </w:rPr>
        <w:t>Metered dose inhalers</w:t>
      </w:r>
      <w:r w:rsidRPr="0053439C">
        <w:t xml:space="preserve"> (2.F.4.a) and </w:t>
      </w:r>
      <w:r w:rsidRPr="0053439C">
        <w:rPr>
          <w:i/>
        </w:rPr>
        <w:t xml:space="preserve">Medical applications </w:t>
      </w:r>
      <w:r w:rsidRPr="0053439C">
        <w:t>categories (2.G.3.a) contribute negligible amounts of HFC (HFC-134a and HFC-227ea) and N</w:t>
      </w:r>
      <w:r w:rsidRPr="0053439C">
        <w:rPr>
          <w:vertAlign w:val="subscript"/>
        </w:rPr>
        <w:t>2</w:t>
      </w:r>
      <w:r w:rsidRPr="0053439C">
        <w:t xml:space="preserve">O emissions respectively to the total emissions from the IPPU sector in Tokelau. They are reported by scaling New Zealand’s emissions from the same category by Tokelau’s </w:t>
      </w:r>
      <w:r w:rsidRPr="0053439C">
        <w:rPr>
          <w:i/>
        </w:rPr>
        <w:t>de facto</w:t>
      </w:r>
      <w:r w:rsidRPr="0053439C">
        <w:t xml:space="preserve"> population.</w:t>
      </w:r>
    </w:p>
    <w:p w14:paraId="4C6659BC" w14:textId="77777777" w:rsidR="00D71B94" w:rsidRPr="0053439C" w:rsidRDefault="00D71B94" w:rsidP="00D71B94">
      <w:pPr>
        <w:pStyle w:val="BodyText"/>
      </w:pPr>
      <w:r w:rsidRPr="0053439C">
        <w:t xml:space="preserve">In 2020, the </w:t>
      </w:r>
      <w:r w:rsidRPr="0053439C">
        <w:rPr>
          <w:i/>
          <w:iCs/>
        </w:rPr>
        <w:t xml:space="preserve">Metered dose inhalers </w:t>
      </w:r>
      <w:r w:rsidRPr="0053439C">
        <w:t xml:space="preserve">category contributed 7.2 per cent to total IPPU emissions from Tokelau, and the category </w:t>
      </w:r>
      <w:r w:rsidRPr="0053439C">
        <w:rPr>
          <w:i/>
          <w:iCs/>
        </w:rPr>
        <w:t>Medical applications</w:t>
      </w:r>
      <w:r w:rsidRPr="0053439C">
        <w:t xml:space="preserve"> contributed 8.5 per cent to the sector, which amounted to 0.04 kt CO</w:t>
      </w:r>
      <w:r w:rsidRPr="0053439C">
        <w:rPr>
          <w:vertAlign w:val="subscript"/>
        </w:rPr>
        <w:t>2</w:t>
      </w:r>
      <w:r w:rsidRPr="0053439C">
        <w:t>-e from both categories.</w:t>
      </w:r>
    </w:p>
    <w:p w14:paraId="0D8D53F2" w14:textId="77777777" w:rsidR="00D71B94" w:rsidRPr="0053439C" w:rsidRDefault="00D71B94" w:rsidP="00D71B94">
      <w:pPr>
        <w:pStyle w:val="Heading4"/>
      </w:pPr>
      <w:r w:rsidRPr="0053439C">
        <w:lastRenderedPageBreak/>
        <w:t>Methodological issues</w:t>
      </w:r>
    </w:p>
    <w:p w14:paraId="01DA2BCE" w14:textId="77777777" w:rsidR="00D71B94" w:rsidRPr="0053439C" w:rsidRDefault="00D71B94" w:rsidP="00D71B94">
      <w:pPr>
        <w:pStyle w:val="Heading5"/>
        <w:spacing w:before="180"/>
      </w:pPr>
      <w:r w:rsidRPr="0053439C">
        <w:t>Activity data</w:t>
      </w:r>
    </w:p>
    <w:p w14:paraId="29CF3CDA" w14:textId="77777777" w:rsidR="00D71B94" w:rsidRPr="0053439C" w:rsidRDefault="00D71B94" w:rsidP="00D71B94">
      <w:pPr>
        <w:pStyle w:val="BodyText"/>
        <w:spacing w:before="100" w:after="100"/>
      </w:pPr>
      <w:r w:rsidRPr="0053439C">
        <w:t xml:space="preserve">Only anecdotal evidence associated with the activity data for both categories is available from Tokelau’s Department of Health (see table 8.1.2). They are reported by scaling New Zealand’s emissions from the same category by Tokelau’s </w:t>
      </w:r>
      <w:r w:rsidRPr="0053439C">
        <w:rPr>
          <w:i/>
        </w:rPr>
        <w:t>de facto</w:t>
      </w:r>
      <w:r w:rsidRPr="0053439C">
        <w:t xml:space="preserve"> population for the entire time series to each gas. </w:t>
      </w:r>
    </w:p>
    <w:p w14:paraId="0E5E47D3" w14:textId="77777777" w:rsidR="00D71B94" w:rsidRPr="0053439C" w:rsidRDefault="00D71B94" w:rsidP="00D71B94">
      <w:pPr>
        <w:pStyle w:val="Heading5"/>
      </w:pPr>
      <w:r w:rsidRPr="0053439C">
        <w:t>Method and emission factors</w:t>
      </w:r>
    </w:p>
    <w:p w14:paraId="51F61EDA" w14:textId="77777777" w:rsidR="00D71B94" w:rsidRPr="0053439C" w:rsidRDefault="00D71B94" w:rsidP="00D71B94">
      <w:pPr>
        <w:pStyle w:val="BodyText"/>
        <w:spacing w:before="100" w:after="100"/>
      </w:pPr>
      <w:r w:rsidRPr="0053439C">
        <w:t xml:space="preserve">For both categories, effectively a Tier 1a methodology was applied because New Zealand applied this methodology for estimating emissions from 2.F.4 and Tier 1 methodology for 2.G.3 (IPCC, 2006b). In addition, population ratios from population statistics of Tokelau and New Zealand have been calculated for each year of the time series except the years when the emissions were not occurring (until 1995 for HFC-134a and 2011 for HFC-227ea). </w:t>
      </w:r>
    </w:p>
    <w:p w14:paraId="6A0A69AF" w14:textId="77777777" w:rsidR="00D71B94" w:rsidRPr="0053439C" w:rsidRDefault="00D71B94" w:rsidP="00D71B94">
      <w:pPr>
        <w:pStyle w:val="BodyText"/>
        <w:spacing w:before="100" w:after="100"/>
      </w:pPr>
      <w:r w:rsidRPr="0053439C">
        <w:t>For 2.F.4.a, a product life factor of 100 per cent was used. For 2.G.3a, it was assumed that N</w:t>
      </w:r>
      <w:r w:rsidRPr="0053439C">
        <w:rPr>
          <w:vertAlign w:val="subscript"/>
        </w:rPr>
        <w:t>2</w:t>
      </w:r>
      <w:r w:rsidRPr="0053439C">
        <w:t>O is used as a propellant in pressurised and aerosol food products, none of the N</w:t>
      </w:r>
      <w:r w:rsidRPr="0053439C">
        <w:rPr>
          <w:vertAlign w:val="subscript"/>
        </w:rPr>
        <w:t>2</w:t>
      </w:r>
      <w:r w:rsidRPr="0053439C">
        <w:t>O is reacted during the process and all of the N</w:t>
      </w:r>
      <w:r w:rsidRPr="0053439C">
        <w:rPr>
          <w:vertAlign w:val="subscript"/>
        </w:rPr>
        <w:t>2</w:t>
      </w:r>
      <w:r w:rsidRPr="0053439C">
        <w:t>O is emitted to the atmosphere. Therefore, a default emission factor of 1.0 was used for this category.</w:t>
      </w:r>
    </w:p>
    <w:p w14:paraId="2C854C45" w14:textId="77777777" w:rsidR="00D71B94" w:rsidRPr="0053439C" w:rsidRDefault="00D71B94" w:rsidP="00D71B94">
      <w:pPr>
        <w:pStyle w:val="Heading4"/>
      </w:pPr>
      <w:r w:rsidRPr="0053439C">
        <w:t>Uncertainty</w:t>
      </w:r>
    </w:p>
    <w:p w14:paraId="10CBC9E9" w14:textId="77777777" w:rsidR="00D71B94" w:rsidRPr="0053439C" w:rsidRDefault="00D71B94" w:rsidP="00D71B94">
      <w:pPr>
        <w:pStyle w:val="BodyText"/>
        <w:spacing w:before="100" w:after="100"/>
      </w:pPr>
      <w:r w:rsidRPr="0053439C">
        <w:t>For consistency of reporting, the same uncertainty values for categories 2.G.3.a were applied for Tokelau and New Zealand (see section 4.8.3 in chapter 4 and table 8.3.2). The same uncertainty for 2.F.1 has also been applied to 2.F.4 in the absence of further information.</w:t>
      </w:r>
    </w:p>
    <w:p w14:paraId="750DB720" w14:textId="77777777" w:rsidR="00D71B94" w:rsidRPr="0053439C" w:rsidRDefault="00D71B94" w:rsidP="00D71B94">
      <w:pPr>
        <w:pStyle w:val="Table"/>
      </w:pPr>
      <w:bookmarkStart w:id="2567" w:name="_Toc5269600"/>
      <w:bookmarkStart w:id="2568" w:name="_Toc36224681"/>
      <w:bookmarkStart w:id="2569" w:name="_Toc68786567"/>
      <w:bookmarkStart w:id="2570" w:name="_Toc99659362"/>
      <w:r w:rsidRPr="008A79B1">
        <w:t>Table 8.3.2</w:t>
      </w:r>
      <w:r w:rsidRPr="008A79B1">
        <w:tab/>
        <w:t xml:space="preserve">Uncertainty in emissions from </w:t>
      </w:r>
      <w:r w:rsidRPr="008A79B1">
        <w:rPr>
          <w:i/>
        </w:rPr>
        <w:t>Other product manufacture and use</w:t>
      </w:r>
      <w:bookmarkEnd w:id="2567"/>
      <w:bookmarkEnd w:id="2568"/>
      <w:bookmarkEnd w:id="2569"/>
      <w:r w:rsidRPr="0053439C">
        <w:t xml:space="preserve"> category</w:t>
      </w:r>
      <w:bookmarkEnd w:id="2570"/>
    </w:p>
    <w:tbl>
      <w:tblPr>
        <w:tblW w:w="8505" w:type="dxa"/>
        <w:tblInd w:w="108" w:type="dxa"/>
        <w:tblBorders>
          <w:top w:val="single" w:sz="4" w:space="0" w:color="1B556B"/>
          <w:bottom w:val="single" w:sz="4" w:space="0" w:color="1B556B"/>
          <w:insideH w:val="single" w:sz="4" w:space="0" w:color="1B556B"/>
        </w:tblBorders>
        <w:tblCellMar>
          <w:left w:w="0" w:type="dxa"/>
          <w:right w:w="0" w:type="dxa"/>
        </w:tblCellMar>
        <w:tblLook w:val="04A0" w:firstRow="1" w:lastRow="0" w:firstColumn="1" w:lastColumn="0" w:noHBand="0" w:noVBand="1"/>
      </w:tblPr>
      <w:tblGrid>
        <w:gridCol w:w="2114"/>
        <w:gridCol w:w="3799"/>
        <w:gridCol w:w="2592"/>
      </w:tblGrid>
      <w:tr w:rsidR="00D71B94" w:rsidRPr="0053439C" w14:paraId="607EFD6B" w14:textId="77777777" w:rsidTr="007E3239">
        <w:tc>
          <w:tcPr>
            <w:tcW w:w="2127" w:type="dxa"/>
            <w:tcBorders>
              <w:right w:val="single" w:sz="4" w:space="0" w:color="1B556B"/>
            </w:tcBorders>
            <w:shd w:val="clear" w:color="auto" w:fill="1B556B"/>
            <w:tcMar>
              <w:top w:w="0" w:type="dxa"/>
              <w:left w:w="108" w:type="dxa"/>
              <w:bottom w:w="0" w:type="dxa"/>
              <w:right w:w="108" w:type="dxa"/>
            </w:tcMar>
            <w:vAlign w:val="bottom"/>
            <w:hideMark/>
          </w:tcPr>
          <w:p w14:paraId="2A372B68" w14:textId="77777777" w:rsidR="00D71B94" w:rsidRPr="0053439C" w:rsidRDefault="00D71B94" w:rsidP="007E3239">
            <w:pPr>
              <w:pStyle w:val="TableTextBold"/>
              <w:keepNext/>
              <w:rPr>
                <w:noProof w:val="0"/>
                <w:color w:val="FFFFFF"/>
              </w:rPr>
            </w:pPr>
            <w:r w:rsidRPr="0053439C">
              <w:rPr>
                <w:noProof w:val="0"/>
                <w:color w:val="FFFFFF"/>
              </w:rPr>
              <w:t>Category</w:t>
            </w:r>
          </w:p>
        </w:tc>
        <w:tc>
          <w:tcPr>
            <w:tcW w:w="3827" w:type="dxa"/>
            <w:tcBorders>
              <w:left w:val="single" w:sz="4" w:space="0" w:color="1B556B"/>
              <w:right w:val="single" w:sz="4" w:space="0" w:color="1B556B"/>
            </w:tcBorders>
            <w:shd w:val="clear" w:color="auto" w:fill="1B556B"/>
            <w:tcMar>
              <w:top w:w="0" w:type="dxa"/>
              <w:left w:w="108" w:type="dxa"/>
              <w:bottom w:w="0" w:type="dxa"/>
              <w:right w:w="108" w:type="dxa"/>
            </w:tcMar>
            <w:vAlign w:val="bottom"/>
            <w:hideMark/>
          </w:tcPr>
          <w:p w14:paraId="2188F419" w14:textId="77777777" w:rsidR="00D71B94" w:rsidRPr="0053439C" w:rsidRDefault="00D71B94" w:rsidP="007E3239">
            <w:pPr>
              <w:pStyle w:val="TableTextBold"/>
              <w:keepNext/>
              <w:rPr>
                <w:noProof w:val="0"/>
                <w:color w:val="FFFFFF"/>
              </w:rPr>
            </w:pPr>
            <w:r w:rsidRPr="0053439C">
              <w:rPr>
                <w:noProof w:val="0"/>
                <w:color w:val="FFFFFF"/>
              </w:rPr>
              <w:t>Uncertainty in activity data (%)</w:t>
            </w:r>
          </w:p>
        </w:tc>
        <w:tc>
          <w:tcPr>
            <w:tcW w:w="2608" w:type="dxa"/>
            <w:tcBorders>
              <w:left w:val="single" w:sz="4" w:space="0" w:color="1B556B"/>
            </w:tcBorders>
            <w:shd w:val="clear" w:color="auto" w:fill="1B556B"/>
            <w:tcMar>
              <w:top w:w="0" w:type="dxa"/>
              <w:left w:w="108" w:type="dxa"/>
              <w:bottom w:w="0" w:type="dxa"/>
              <w:right w:w="108" w:type="dxa"/>
            </w:tcMar>
            <w:vAlign w:val="bottom"/>
            <w:hideMark/>
          </w:tcPr>
          <w:p w14:paraId="1E092938" w14:textId="77777777" w:rsidR="00D71B94" w:rsidRPr="0053439C" w:rsidRDefault="00D71B94" w:rsidP="007E3239">
            <w:pPr>
              <w:pStyle w:val="TableTextBold"/>
              <w:keepNext/>
              <w:rPr>
                <w:noProof w:val="0"/>
                <w:color w:val="FFFFFF"/>
              </w:rPr>
            </w:pPr>
            <w:r w:rsidRPr="0053439C">
              <w:rPr>
                <w:noProof w:val="0"/>
                <w:color w:val="FFFFFF"/>
              </w:rPr>
              <w:t>Uncertainty in emission factors</w:t>
            </w:r>
          </w:p>
        </w:tc>
      </w:tr>
      <w:tr w:rsidR="00D71B94" w:rsidRPr="0053439C" w14:paraId="000B753D" w14:textId="77777777" w:rsidTr="007E3239">
        <w:tc>
          <w:tcPr>
            <w:tcW w:w="2127" w:type="dxa"/>
            <w:tcBorders>
              <w:right w:val="single" w:sz="4" w:space="0" w:color="1B556B"/>
            </w:tcBorders>
            <w:shd w:val="clear" w:color="auto" w:fill="FFFFFF"/>
            <w:tcMar>
              <w:top w:w="0" w:type="dxa"/>
              <w:left w:w="108" w:type="dxa"/>
              <w:bottom w:w="0" w:type="dxa"/>
              <w:right w:w="108" w:type="dxa"/>
            </w:tcMar>
            <w:hideMark/>
          </w:tcPr>
          <w:p w14:paraId="02CCD4EE" w14:textId="77777777" w:rsidR="00D71B94" w:rsidRPr="0053439C" w:rsidRDefault="00D71B94" w:rsidP="007E3239">
            <w:pPr>
              <w:pStyle w:val="TableText"/>
            </w:pPr>
            <w:r w:rsidRPr="0053439C">
              <w:t>N</w:t>
            </w:r>
            <w:r w:rsidRPr="0053439C">
              <w:rPr>
                <w:vertAlign w:val="subscript"/>
              </w:rPr>
              <w:t>2</w:t>
            </w:r>
            <w:r w:rsidRPr="0053439C">
              <w:t>O from other product uses</w:t>
            </w:r>
          </w:p>
        </w:tc>
        <w:tc>
          <w:tcPr>
            <w:tcW w:w="3827" w:type="dxa"/>
            <w:tcBorders>
              <w:left w:val="single" w:sz="4" w:space="0" w:color="1B556B"/>
              <w:right w:val="single" w:sz="4" w:space="0" w:color="1B556B"/>
            </w:tcBorders>
            <w:shd w:val="clear" w:color="auto" w:fill="FFFFFF"/>
            <w:tcMar>
              <w:top w:w="0" w:type="dxa"/>
              <w:left w:w="108" w:type="dxa"/>
              <w:bottom w:w="0" w:type="dxa"/>
              <w:right w:w="108" w:type="dxa"/>
            </w:tcMar>
            <w:hideMark/>
          </w:tcPr>
          <w:p w14:paraId="071166E3" w14:textId="77777777" w:rsidR="00D71B94" w:rsidRPr="0053439C" w:rsidRDefault="00D71B94" w:rsidP="007E3239">
            <w:pPr>
              <w:pStyle w:val="TableText"/>
              <w:spacing w:after="0"/>
            </w:pPr>
            <w:r w:rsidRPr="0053439C">
              <w:t>±30 (2002–12)</w:t>
            </w:r>
          </w:p>
          <w:p w14:paraId="41A4BD54" w14:textId="77777777" w:rsidR="00D71B94" w:rsidRPr="0053439C" w:rsidRDefault="00D71B94" w:rsidP="007E3239">
            <w:pPr>
              <w:pStyle w:val="TableText"/>
            </w:pPr>
            <w:r w:rsidRPr="0053439C">
              <w:t xml:space="preserve">±5 (2013–18) </w:t>
            </w:r>
          </w:p>
          <w:p w14:paraId="68000616" w14:textId="77777777" w:rsidR="00D71B94" w:rsidRPr="0053439C" w:rsidRDefault="00D71B94" w:rsidP="007E3239">
            <w:pPr>
              <w:pStyle w:val="TableText"/>
              <w:spacing w:before="0"/>
            </w:pPr>
            <w:r w:rsidRPr="0053439C">
              <w:t>For simplicity, an average of 15% has been used</w:t>
            </w:r>
          </w:p>
        </w:tc>
        <w:tc>
          <w:tcPr>
            <w:tcW w:w="2608" w:type="dxa"/>
            <w:tcBorders>
              <w:left w:val="single" w:sz="4" w:space="0" w:color="1B556B"/>
            </w:tcBorders>
            <w:shd w:val="clear" w:color="auto" w:fill="FFFFFF"/>
            <w:tcMar>
              <w:top w:w="0" w:type="dxa"/>
              <w:left w:w="108" w:type="dxa"/>
              <w:bottom w:w="0" w:type="dxa"/>
              <w:right w:w="108" w:type="dxa"/>
            </w:tcMar>
            <w:hideMark/>
          </w:tcPr>
          <w:p w14:paraId="63F66EF4" w14:textId="77777777" w:rsidR="00D71B94" w:rsidRPr="0053439C" w:rsidRDefault="00D71B94" w:rsidP="007E3239">
            <w:pPr>
              <w:pStyle w:val="TableText"/>
            </w:pPr>
            <w:r w:rsidRPr="0053439C">
              <w:t>NA</w:t>
            </w:r>
          </w:p>
        </w:tc>
      </w:tr>
    </w:tbl>
    <w:p w14:paraId="529D5C88" w14:textId="77777777" w:rsidR="00D71B94" w:rsidRPr="0053439C" w:rsidRDefault="00D71B94" w:rsidP="00D71B94">
      <w:pPr>
        <w:pStyle w:val="Heading2"/>
        <w:spacing w:before="400"/>
      </w:pPr>
      <w:bookmarkStart w:id="2571" w:name="_Toc5269396"/>
      <w:bookmarkStart w:id="2572" w:name="_Toc36224436"/>
      <w:bookmarkStart w:id="2573" w:name="_Toc68786356"/>
      <w:bookmarkStart w:id="2574" w:name="_Toc99659162"/>
      <w:r w:rsidRPr="0053439C">
        <w:t>8.4</w:t>
      </w:r>
      <w:r w:rsidRPr="0053439C">
        <w:tab/>
        <w:t>Emissions from the Agriculture sector in Tokelau</w:t>
      </w:r>
      <w:r>
        <w:t xml:space="preserve"> </w:t>
      </w:r>
      <w:r w:rsidRPr="0053439C">
        <w:t>(CRF 6. Tokelau_3)</w:t>
      </w:r>
      <w:bookmarkEnd w:id="2571"/>
      <w:bookmarkEnd w:id="2572"/>
      <w:bookmarkEnd w:id="2573"/>
      <w:bookmarkEnd w:id="2574"/>
    </w:p>
    <w:p w14:paraId="79F3B029" w14:textId="77777777" w:rsidR="00D71B94" w:rsidRPr="0053439C" w:rsidRDefault="00D71B94" w:rsidP="00D71B94">
      <w:pPr>
        <w:pStyle w:val="BodyText"/>
        <w:spacing w:after="100"/>
      </w:pPr>
      <w:r w:rsidRPr="0053439C">
        <w:t>Fish, rather than locally produced plants or animals, are the most important food source in Tokelau. The low fertility of the coral soil means few crops are supported. Food needs are not met by locally grown produce and are heavily supplemented by imports.</w:t>
      </w:r>
    </w:p>
    <w:p w14:paraId="14BA0BCF" w14:textId="77777777" w:rsidR="00D71B94" w:rsidRPr="0053439C" w:rsidRDefault="00D71B94" w:rsidP="00D71B94">
      <w:pPr>
        <w:pStyle w:val="BodyText"/>
        <w:spacing w:after="100"/>
      </w:pPr>
      <w:r w:rsidRPr="0053439C">
        <w:t>Cultivated food crops are</w:t>
      </w:r>
      <w:r w:rsidRPr="0053439C" w:rsidDel="00302D78">
        <w:t xml:space="preserve"> </w:t>
      </w:r>
      <w:r w:rsidRPr="0053439C">
        <w:t>limited to breadfruit (</w:t>
      </w:r>
      <w:r w:rsidRPr="0053439C">
        <w:rPr>
          <w:i/>
        </w:rPr>
        <w:t>Artocarpus altilis</w:t>
      </w:r>
      <w:r w:rsidRPr="0053439C">
        <w:t>), giant swamp taro ‘pulaka’ (</w:t>
      </w:r>
      <w:r w:rsidRPr="0053439C">
        <w:rPr>
          <w:i/>
        </w:rPr>
        <w:t>Cyrtosperma chamissonis</w:t>
      </w:r>
      <w:r w:rsidRPr="0053439C">
        <w:t>), taro palagi (</w:t>
      </w:r>
      <w:r w:rsidRPr="0053439C">
        <w:rPr>
          <w:i/>
        </w:rPr>
        <w:t>Xanthosoma sagittifolium</w:t>
      </w:r>
      <w:r w:rsidRPr="0053439C">
        <w:t>), giant taro (</w:t>
      </w:r>
      <w:r w:rsidRPr="0053439C">
        <w:rPr>
          <w:i/>
        </w:rPr>
        <w:t>Alocasia macrorrhizos</w:t>
      </w:r>
      <w:r w:rsidRPr="0053439C">
        <w:t>), banana (</w:t>
      </w:r>
      <w:r w:rsidRPr="0053439C">
        <w:rPr>
          <w:i/>
        </w:rPr>
        <w:t>Mus</w:t>
      </w:r>
      <w:r w:rsidRPr="0053439C">
        <w:t xml:space="preserve"> sp. [2 varieties]), papaya (</w:t>
      </w:r>
      <w:r w:rsidRPr="0053439C">
        <w:rPr>
          <w:i/>
        </w:rPr>
        <w:t>Carica papaya</w:t>
      </w:r>
      <w:r w:rsidRPr="0053439C">
        <w:t>), pumpkin (</w:t>
      </w:r>
      <w:r w:rsidRPr="0053439C">
        <w:rPr>
          <w:i/>
        </w:rPr>
        <w:t>Cucurbita</w:t>
      </w:r>
      <w:r w:rsidRPr="0053439C">
        <w:t xml:space="preserve"> sp.) and coconut (</w:t>
      </w:r>
      <w:r w:rsidRPr="0053439C">
        <w:rPr>
          <w:i/>
        </w:rPr>
        <w:t>Cocos nucifera</w:t>
      </w:r>
      <w:r w:rsidRPr="0053439C">
        <w:t>).</w:t>
      </w:r>
    </w:p>
    <w:p w14:paraId="4063C1DE" w14:textId="77777777" w:rsidR="00D71B94" w:rsidRPr="0053439C" w:rsidRDefault="00D71B94" w:rsidP="00D71B94">
      <w:pPr>
        <w:pStyle w:val="BodyText"/>
        <w:spacing w:after="100"/>
      </w:pPr>
      <w:r w:rsidRPr="0053439C">
        <w:t>A small amount of subsistence agriculture occurs in Tokelau. Coconuts are used for human and</w:t>
      </w:r>
      <w:r>
        <w:t> </w:t>
      </w:r>
      <w:r w:rsidRPr="0053439C">
        <w:t>livestock consumption. Fakaofo grows small amounts of swamp taro. The villages have breadfruit trees and some banana patches; the women’s committees run community gardens and grow pandanus ‘fala’ (</w:t>
      </w:r>
      <w:r w:rsidRPr="0053439C">
        <w:rPr>
          <w:i/>
          <w:iCs/>
        </w:rPr>
        <w:t>Pandanus odoratissimus</w:t>
      </w:r>
      <w:r w:rsidRPr="0053439C">
        <w:t xml:space="preserve">) for traditional crafts (mats, hats, fans). </w:t>
      </w:r>
      <w:r w:rsidRPr="0053439C">
        <w:lastRenderedPageBreak/>
        <w:t>A </w:t>
      </w:r>
      <w:r>
        <w:t>previous</w:t>
      </w:r>
      <w:r w:rsidRPr="0053439C">
        <w:t xml:space="preserve"> United Nations Development Programme-sponsored project for the establishment of keyhole gardens</w:t>
      </w:r>
      <w:r w:rsidRPr="0053439C">
        <w:rPr>
          <w:vertAlign w:val="superscript"/>
        </w:rPr>
        <w:footnoteReference w:id="69"/>
      </w:r>
      <w:r w:rsidRPr="0053439C">
        <w:t xml:space="preserve"> by Tokelau youth has been abandoned. </w:t>
      </w:r>
    </w:p>
    <w:p w14:paraId="4E1127EE" w14:textId="77777777" w:rsidR="00D71B94" w:rsidRPr="0053439C" w:rsidRDefault="00D71B94" w:rsidP="00D71B94">
      <w:pPr>
        <w:pStyle w:val="BodyText"/>
        <w:spacing w:after="100"/>
      </w:pPr>
      <w:r w:rsidRPr="0053439C">
        <w:t>No industrial-scale farming occurs in Tokelau. Tokelau atolls do not have any large agricultural and horticultural development that would fall under New Zealand’s definition of a farm. There are no cows, sheep or deer, with agricultural livestock represented by small numbers of pen-kept pigs and free</w:t>
      </w:r>
      <w:r w:rsidRPr="0053439C">
        <w:noBreakHyphen/>
        <w:t>range chickens only.</w:t>
      </w:r>
    </w:p>
    <w:p w14:paraId="0335BDD7" w14:textId="77777777" w:rsidR="00D71B94" w:rsidRPr="0053439C" w:rsidRDefault="00D71B94" w:rsidP="00D71B94">
      <w:pPr>
        <w:pStyle w:val="BodyText"/>
      </w:pPr>
      <w:r w:rsidRPr="0053439C">
        <w:t xml:space="preserve">Tokelau also has no pasture and no managed agricultural soils, therefore, emissions from the </w:t>
      </w:r>
      <w:r w:rsidRPr="0053439C">
        <w:rPr>
          <w:i/>
        </w:rPr>
        <w:t>Direct N</w:t>
      </w:r>
      <w:r w:rsidRPr="0053439C">
        <w:rPr>
          <w:i/>
          <w:vertAlign w:val="subscript"/>
        </w:rPr>
        <w:t>2</w:t>
      </w:r>
      <w:r w:rsidRPr="0053439C">
        <w:rPr>
          <w:i/>
        </w:rPr>
        <w:t>O emissions from managed soils</w:t>
      </w:r>
      <w:r w:rsidRPr="0053439C">
        <w:t xml:space="preserve"> and </w:t>
      </w:r>
      <w:r w:rsidRPr="0053439C">
        <w:rPr>
          <w:i/>
        </w:rPr>
        <w:t>Indirect N</w:t>
      </w:r>
      <w:r w:rsidRPr="0053439C">
        <w:rPr>
          <w:i/>
          <w:vertAlign w:val="subscript"/>
        </w:rPr>
        <w:t>2</w:t>
      </w:r>
      <w:r w:rsidRPr="0053439C">
        <w:rPr>
          <w:i/>
        </w:rPr>
        <w:t>O emissions from managed soils</w:t>
      </w:r>
      <w:r w:rsidRPr="0053439C">
        <w:t xml:space="preserve"> categories are discounted and reported as NO (not occurring).</w:t>
      </w:r>
    </w:p>
    <w:p w14:paraId="3FC0958E" w14:textId="77777777" w:rsidR="00D71B94" w:rsidRPr="0053439C" w:rsidRDefault="00D71B94" w:rsidP="00D71B94">
      <w:pPr>
        <w:pStyle w:val="BodyText"/>
      </w:pPr>
      <w:r w:rsidRPr="0053439C">
        <w:t>This submission includes agricultural emissions from Tokelau associated with enteric fermentation and manure management from swine and poultry.</w:t>
      </w:r>
    </w:p>
    <w:p w14:paraId="5A36481F" w14:textId="77777777" w:rsidR="00D71B94" w:rsidRPr="0053439C" w:rsidRDefault="00D71B94" w:rsidP="00D71B94">
      <w:pPr>
        <w:pStyle w:val="BodyText"/>
      </w:pPr>
      <w:r w:rsidRPr="0053439C">
        <w:t>Total emissions from the Agriculture sector in Tokelau amounted to 0.82 kt CO</w:t>
      </w:r>
      <w:r w:rsidRPr="0053439C">
        <w:rPr>
          <w:vertAlign w:val="subscript"/>
        </w:rPr>
        <w:t>2</w:t>
      </w:r>
      <w:r w:rsidRPr="0053439C">
        <w:t xml:space="preserve">-e in 2020, making this sector the second biggest emitter in Tokelau: 19.72 per cent of the total emissions from Tokelau and </w:t>
      </w:r>
      <w:r w:rsidRPr="008A79B1">
        <w:t>0.001</w:t>
      </w:r>
      <w:r w:rsidRPr="0053439C">
        <w:t xml:space="preserve"> per cent of New Zealand’s gross emissions. Figure 8.3.1 shows emission trends in the Agriculture sector by category for Tokelau.</w:t>
      </w:r>
    </w:p>
    <w:p w14:paraId="6F79AE71" w14:textId="77777777" w:rsidR="00D71B94" w:rsidRPr="0053439C" w:rsidRDefault="00D71B94" w:rsidP="00D71B94">
      <w:pPr>
        <w:pStyle w:val="Figure"/>
        <w:spacing w:after="0"/>
        <w:rPr>
          <w:rFonts w:eastAsia="Calibri"/>
        </w:rPr>
      </w:pPr>
      <w:bookmarkStart w:id="2575" w:name="_Toc36292831"/>
      <w:bookmarkStart w:id="2576" w:name="_Toc64972938"/>
      <w:bookmarkStart w:id="2577" w:name="_Toc68786695"/>
      <w:bookmarkStart w:id="2578" w:name="_Toc99696066"/>
      <w:r w:rsidRPr="0053439C">
        <w:rPr>
          <w:rFonts w:eastAsia="Calibri"/>
        </w:rPr>
        <w:t xml:space="preserve">Figure 8.3.2 </w:t>
      </w:r>
      <w:r w:rsidRPr="0053439C">
        <w:rPr>
          <w:rFonts w:eastAsia="Calibri"/>
        </w:rPr>
        <w:tab/>
        <w:t>Agriculture emissions by category for Tokelau (kt CO</w:t>
      </w:r>
      <w:r w:rsidRPr="0053439C">
        <w:rPr>
          <w:rFonts w:eastAsia="Calibri"/>
          <w:vertAlign w:val="subscript"/>
        </w:rPr>
        <w:t>2</w:t>
      </w:r>
      <w:r w:rsidRPr="0053439C">
        <w:rPr>
          <w:rFonts w:eastAsia="Calibri"/>
        </w:rPr>
        <w:t xml:space="preserve">-e) from 1990 to </w:t>
      </w:r>
      <w:bookmarkEnd w:id="2575"/>
      <w:bookmarkEnd w:id="2576"/>
      <w:bookmarkEnd w:id="2577"/>
      <w:r w:rsidRPr="0053439C">
        <w:rPr>
          <w:rFonts w:eastAsia="Calibri"/>
        </w:rPr>
        <w:t>2020</w:t>
      </w:r>
      <w:bookmarkEnd w:id="2578"/>
    </w:p>
    <w:p w14:paraId="2A261572" w14:textId="77777777" w:rsidR="00D71B94" w:rsidRPr="0053439C" w:rsidRDefault="004B48CC" w:rsidP="00D71B94">
      <w:pPr>
        <w:pStyle w:val="BodyText"/>
        <w:spacing w:after="0"/>
        <w:rPr>
          <w:rFonts w:eastAsia="Calibri"/>
        </w:rPr>
      </w:pPr>
      <w:r>
        <w:rPr>
          <w:rFonts w:eastAsia="Calibri"/>
          <w:noProof/>
        </w:rPr>
        <w:pict w14:anchorId="18E24E49">
          <v:shape id="Picture 6" o:spid="_x0000_i1142" type="#_x0000_t75" style="width:422.8pt;height:245.3pt;visibility:visible;mso-wrap-style:square">
            <v:imagedata r:id="rId252" o:title=""/>
          </v:shape>
        </w:pict>
      </w:r>
    </w:p>
    <w:p w14:paraId="12117B93" w14:textId="77777777" w:rsidR="00D71B94" w:rsidRPr="0053439C" w:rsidRDefault="00D71B94" w:rsidP="00D71B94">
      <w:pPr>
        <w:pStyle w:val="Heading4"/>
      </w:pPr>
      <w:r w:rsidRPr="0053439C">
        <w:t>Source-specific planned improvements</w:t>
      </w:r>
    </w:p>
    <w:p w14:paraId="43BE82FB" w14:textId="77777777" w:rsidR="00D71B94" w:rsidRPr="0053439C" w:rsidRDefault="00D71B94" w:rsidP="00D71B94">
      <w:pPr>
        <w:pStyle w:val="BodyText"/>
        <w:rPr>
          <w:spacing w:val="-2"/>
        </w:rPr>
      </w:pPr>
      <w:r w:rsidRPr="0053439C">
        <w:rPr>
          <w:lang w:eastAsia="en-GB"/>
        </w:rPr>
        <w:t xml:space="preserve">No improvements are planned for agriculture. For future submissions, further analysis of historical activity data, to reflect year-to-year variations, will be considered as far as resources allow. </w:t>
      </w:r>
    </w:p>
    <w:p w14:paraId="7EB3A315" w14:textId="77777777" w:rsidR="00D71B94" w:rsidRPr="0053439C" w:rsidRDefault="00D71B94" w:rsidP="00D71B94">
      <w:pPr>
        <w:pStyle w:val="Heading3"/>
      </w:pPr>
      <w:r w:rsidRPr="0053439C">
        <w:lastRenderedPageBreak/>
        <w:t xml:space="preserve">8.4.1 </w:t>
      </w:r>
      <w:r w:rsidRPr="0053439C">
        <w:tab/>
        <w:t>Emissions from Enteric fermentation in Tokelau</w:t>
      </w:r>
    </w:p>
    <w:p w14:paraId="4C845CE8" w14:textId="77777777" w:rsidR="00D71B94" w:rsidRPr="005303BC" w:rsidRDefault="00D71B94" w:rsidP="00D71B94">
      <w:pPr>
        <w:pStyle w:val="BodyText"/>
      </w:pPr>
      <w:r w:rsidRPr="0053439C">
        <w:t xml:space="preserve">The only domestic farm animals kept are pigs (in community pens) and chickens (free range) (table 8.4.1). There is potential to generate energy from the piggery waste and reduce the </w:t>
      </w:r>
      <w:r w:rsidRPr="005303BC">
        <w:t>effluent pollution of the lagoon.</w:t>
      </w:r>
    </w:p>
    <w:p w14:paraId="0CED08ED" w14:textId="77777777" w:rsidR="00D71B94" w:rsidRPr="0053439C" w:rsidRDefault="00D71B94" w:rsidP="00D71B94">
      <w:pPr>
        <w:pStyle w:val="Table"/>
      </w:pPr>
      <w:bookmarkStart w:id="2579" w:name="_Toc5269601"/>
      <w:bookmarkStart w:id="2580" w:name="_Toc36224682"/>
      <w:bookmarkStart w:id="2581" w:name="_Toc68786568"/>
      <w:bookmarkStart w:id="2582" w:name="_Toc99659363"/>
      <w:r w:rsidRPr="005303BC">
        <w:t xml:space="preserve">Table 8.4.1 </w:t>
      </w:r>
      <w:r w:rsidRPr="005303BC">
        <w:tab/>
        <w:t>Number of livestock in Tokelau (2016)</w:t>
      </w:r>
      <w:bookmarkEnd w:id="2579"/>
      <w:bookmarkEnd w:id="2580"/>
      <w:bookmarkEnd w:id="2581"/>
      <w:bookmarkEnd w:id="2582"/>
      <w:r w:rsidRPr="0053439C">
        <w:t xml:space="preserve"> </w:t>
      </w:r>
    </w:p>
    <w:tbl>
      <w:tblPr>
        <w:tblW w:w="8505" w:type="dxa"/>
        <w:tblInd w:w="108" w:type="dxa"/>
        <w:tblLayout w:type="fixed"/>
        <w:tblLook w:val="04A0" w:firstRow="1" w:lastRow="0" w:firstColumn="1" w:lastColumn="0" w:noHBand="0" w:noVBand="1"/>
      </w:tblPr>
      <w:tblGrid>
        <w:gridCol w:w="1963"/>
        <w:gridCol w:w="2617"/>
        <w:gridCol w:w="2136"/>
        <w:gridCol w:w="1789"/>
      </w:tblGrid>
      <w:tr w:rsidR="00D71B94" w:rsidRPr="0053439C" w14:paraId="10315318" w14:textId="77777777" w:rsidTr="007E3239">
        <w:tc>
          <w:tcPr>
            <w:tcW w:w="1963" w:type="dxa"/>
            <w:tcBorders>
              <w:top w:val="single" w:sz="4" w:space="0" w:color="1B556B"/>
              <w:left w:val="nil"/>
              <w:bottom w:val="single" w:sz="4" w:space="0" w:color="1B556B"/>
              <w:right w:val="nil"/>
            </w:tcBorders>
            <w:shd w:val="clear" w:color="auto" w:fill="1B556B"/>
            <w:hideMark/>
          </w:tcPr>
          <w:p w14:paraId="7C7C1B00" w14:textId="77777777" w:rsidR="00D71B94" w:rsidRPr="0053439C" w:rsidRDefault="00D71B94" w:rsidP="007E3239">
            <w:pPr>
              <w:pStyle w:val="TableTextBold"/>
              <w:jc w:val="center"/>
              <w:rPr>
                <w:noProof w:val="0"/>
                <w:color w:val="FFFFFF"/>
                <w:szCs w:val="16"/>
              </w:rPr>
            </w:pPr>
            <w:r w:rsidRPr="0053439C">
              <w:rPr>
                <w:noProof w:val="0"/>
                <w:color w:val="FFFFFF"/>
                <w:szCs w:val="16"/>
              </w:rPr>
              <w:t>Atoll</w:t>
            </w:r>
          </w:p>
        </w:tc>
        <w:tc>
          <w:tcPr>
            <w:tcW w:w="2617" w:type="dxa"/>
            <w:tcBorders>
              <w:top w:val="single" w:sz="4" w:space="0" w:color="1B556B"/>
              <w:left w:val="nil"/>
              <w:bottom w:val="single" w:sz="4" w:space="0" w:color="1B556B"/>
              <w:right w:val="nil"/>
            </w:tcBorders>
            <w:shd w:val="clear" w:color="auto" w:fill="1B556B"/>
            <w:hideMark/>
          </w:tcPr>
          <w:p w14:paraId="4024C3F7" w14:textId="77777777" w:rsidR="00D71B94" w:rsidRPr="0053439C" w:rsidRDefault="00D71B94" w:rsidP="007E3239">
            <w:pPr>
              <w:pStyle w:val="TableTextBold"/>
              <w:jc w:val="center"/>
              <w:rPr>
                <w:noProof w:val="0"/>
                <w:color w:val="FFFFFF"/>
                <w:szCs w:val="16"/>
              </w:rPr>
            </w:pPr>
            <w:r w:rsidRPr="0053439C">
              <w:rPr>
                <w:noProof w:val="0"/>
                <w:color w:val="FFFFFF"/>
                <w:szCs w:val="16"/>
              </w:rPr>
              <w:t>Households</w:t>
            </w:r>
          </w:p>
        </w:tc>
        <w:tc>
          <w:tcPr>
            <w:tcW w:w="2136" w:type="dxa"/>
            <w:tcBorders>
              <w:top w:val="single" w:sz="4" w:space="0" w:color="1B556B"/>
              <w:left w:val="nil"/>
              <w:bottom w:val="single" w:sz="4" w:space="0" w:color="1B556B"/>
              <w:right w:val="nil"/>
            </w:tcBorders>
            <w:shd w:val="clear" w:color="auto" w:fill="1B556B"/>
            <w:hideMark/>
          </w:tcPr>
          <w:p w14:paraId="5D7EA309" w14:textId="77777777" w:rsidR="00D71B94" w:rsidRPr="0053439C" w:rsidRDefault="00D71B94" w:rsidP="007E3239">
            <w:pPr>
              <w:pStyle w:val="TableTextBold"/>
              <w:jc w:val="center"/>
              <w:rPr>
                <w:noProof w:val="0"/>
                <w:color w:val="FFFFFF"/>
                <w:szCs w:val="16"/>
              </w:rPr>
            </w:pPr>
            <w:r w:rsidRPr="0053439C">
              <w:rPr>
                <w:noProof w:val="0"/>
                <w:color w:val="FFFFFF"/>
                <w:szCs w:val="16"/>
              </w:rPr>
              <w:t>Pigs</w:t>
            </w:r>
          </w:p>
        </w:tc>
        <w:tc>
          <w:tcPr>
            <w:tcW w:w="1789" w:type="dxa"/>
            <w:tcBorders>
              <w:top w:val="single" w:sz="4" w:space="0" w:color="1B556B"/>
              <w:left w:val="nil"/>
              <w:bottom w:val="single" w:sz="4" w:space="0" w:color="1B556B"/>
              <w:right w:val="nil"/>
            </w:tcBorders>
            <w:shd w:val="clear" w:color="auto" w:fill="1B556B"/>
            <w:hideMark/>
          </w:tcPr>
          <w:p w14:paraId="5E4174F9" w14:textId="77777777" w:rsidR="00D71B94" w:rsidRPr="0053439C" w:rsidRDefault="00D71B94" w:rsidP="007E3239">
            <w:pPr>
              <w:pStyle w:val="TableTextBold"/>
              <w:jc w:val="center"/>
              <w:rPr>
                <w:noProof w:val="0"/>
                <w:color w:val="FFFFFF"/>
                <w:szCs w:val="16"/>
              </w:rPr>
            </w:pPr>
            <w:r w:rsidRPr="0053439C">
              <w:rPr>
                <w:noProof w:val="0"/>
                <w:color w:val="FFFFFF"/>
                <w:szCs w:val="16"/>
              </w:rPr>
              <w:t>Chickens</w:t>
            </w:r>
          </w:p>
        </w:tc>
      </w:tr>
      <w:tr w:rsidR="00D71B94" w:rsidRPr="0053439C" w14:paraId="2DB9FB61" w14:textId="77777777" w:rsidTr="007E3239">
        <w:tc>
          <w:tcPr>
            <w:tcW w:w="1963" w:type="dxa"/>
            <w:tcBorders>
              <w:top w:val="single" w:sz="4" w:space="0" w:color="1B556B"/>
              <w:left w:val="nil"/>
              <w:bottom w:val="nil"/>
              <w:right w:val="nil"/>
            </w:tcBorders>
            <w:shd w:val="clear" w:color="auto" w:fill="auto"/>
            <w:hideMark/>
          </w:tcPr>
          <w:p w14:paraId="4F4D8301" w14:textId="77777777" w:rsidR="00D71B94" w:rsidRPr="0053439C" w:rsidRDefault="00D71B94" w:rsidP="007E3239">
            <w:pPr>
              <w:pStyle w:val="TableText"/>
              <w:spacing w:before="50" w:after="50"/>
              <w:rPr>
                <w:szCs w:val="16"/>
              </w:rPr>
            </w:pPr>
            <w:r w:rsidRPr="0053439C">
              <w:rPr>
                <w:szCs w:val="16"/>
              </w:rPr>
              <w:t>Atafu</w:t>
            </w:r>
          </w:p>
        </w:tc>
        <w:tc>
          <w:tcPr>
            <w:tcW w:w="2617" w:type="dxa"/>
            <w:tcBorders>
              <w:top w:val="single" w:sz="4" w:space="0" w:color="1B556B"/>
              <w:left w:val="nil"/>
              <w:bottom w:val="nil"/>
              <w:right w:val="nil"/>
            </w:tcBorders>
            <w:shd w:val="clear" w:color="auto" w:fill="auto"/>
            <w:hideMark/>
          </w:tcPr>
          <w:p w14:paraId="6BA79B8C" w14:textId="77777777" w:rsidR="00D71B94" w:rsidRPr="0053439C" w:rsidRDefault="00D71B94" w:rsidP="007E3239">
            <w:pPr>
              <w:pStyle w:val="TableText"/>
              <w:spacing w:before="50" w:after="50"/>
              <w:jc w:val="center"/>
              <w:rPr>
                <w:szCs w:val="16"/>
              </w:rPr>
            </w:pPr>
            <w:r w:rsidRPr="0053439C">
              <w:rPr>
                <w:szCs w:val="16"/>
              </w:rPr>
              <w:t>88</w:t>
            </w:r>
          </w:p>
        </w:tc>
        <w:tc>
          <w:tcPr>
            <w:tcW w:w="2136" w:type="dxa"/>
            <w:tcBorders>
              <w:top w:val="single" w:sz="4" w:space="0" w:color="1B556B"/>
              <w:left w:val="nil"/>
              <w:bottom w:val="nil"/>
              <w:right w:val="nil"/>
            </w:tcBorders>
            <w:shd w:val="clear" w:color="auto" w:fill="auto"/>
            <w:hideMark/>
          </w:tcPr>
          <w:p w14:paraId="18073010" w14:textId="77777777" w:rsidR="00D71B94" w:rsidRPr="0053439C" w:rsidRDefault="00D71B94" w:rsidP="007E3239">
            <w:pPr>
              <w:pStyle w:val="TableText"/>
              <w:spacing w:before="50" w:after="50"/>
              <w:jc w:val="center"/>
              <w:rPr>
                <w:szCs w:val="16"/>
              </w:rPr>
            </w:pPr>
            <w:r w:rsidRPr="0053439C">
              <w:rPr>
                <w:szCs w:val="16"/>
              </w:rPr>
              <w:t>742</w:t>
            </w:r>
          </w:p>
        </w:tc>
        <w:tc>
          <w:tcPr>
            <w:tcW w:w="1789" w:type="dxa"/>
            <w:tcBorders>
              <w:top w:val="single" w:sz="4" w:space="0" w:color="1B556B"/>
              <w:left w:val="nil"/>
              <w:bottom w:val="nil"/>
              <w:right w:val="nil"/>
            </w:tcBorders>
            <w:shd w:val="clear" w:color="auto" w:fill="auto"/>
            <w:hideMark/>
          </w:tcPr>
          <w:p w14:paraId="66CBA65C" w14:textId="77777777" w:rsidR="00D71B94" w:rsidRPr="0053439C" w:rsidRDefault="00D71B94" w:rsidP="007E3239">
            <w:pPr>
              <w:pStyle w:val="TableText"/>
              <w:spacing w:before="50" w:after="50"/>
              <w:jc w:val="center"/>
              <w:rPr>
                <w:szCs w:val="16"/>
              </w:rPr>
            </w:pPr>
            <w:r w:rsidRPr="0053439C">
              <w:rPr>
                <w:szCs w:val="16"/>
              </w:rPr>
              <w:t>270</w:t>
            </w:r>
          </w:p>
        </w:tc>
      </w:tr>
      <w:tr w:rsidR="00D71B94" w:rsidRPr="0053439C" w14:paraId="6C27AC45" w14:textId="77777777" w:rsidTr="007E3239">
        <w:tc>
          <w:tcPr>
            <w:tcW w:w="1963" w:type="dxa"/>
            <w:tcBorders>
              <w:top w:val="nil"/>
              <w:left w:val="nil"/>
              <w:bottom w:val="nil"/>
              <w:right w:val="nil"/>
            </w:tcBorders>
            <w:shd w:val="clear" w:color="auto" w:fill="auto"/>
            <w:hideMark/>
          </w:tcPr>
          <w:p w14:paraId="52ED778D" w14:textId="77777777" w:rsidR="00D71B94" w:rsidRPr="0053439C" w:rsidRDefault="00D71B94" w:rsidP="007E3239">
            <w:pPr>
              <w:pStyle w:val="TableText"/>
              <w:spacing w:before="50" w:after="50"/>
              <w:rPr>
                <w:szCs w:val="16"/>
              </w:rPr>
            </w:pPr>
            <w:r w:rsidRPr="0053439C">
              <w:rPr>
                <w:szCs w:val="16"/>
              </w:rPr>
              <w:t>Fakaofo</w:t>
            </w:r>
          </w:p>
        </w:tc>
        <w:tc>
          <w:tcPr>
            <w:tcW w:w="2617" w:type="dxa"/>
            <w:tcBorders>
              <w:top w:val="nil"/>
              <w:left w:val="nil"/>
              <w:bottom w:val="nil"/>
              <w:right w:val="nil"/>
            </w:tcBorders>
            <w:shd w:val="clear" w:color="auto" w:fill="auto"/>
            <w:hideMark/>
          </w:tcPr>
          <w:p w14:paraId="7B1048B7" w14:textId="77777777" w:rsidR="00D71B94" w:rsidRPr="0053439C" w:rsidRDefault="00D71B94" w:rsidP="007E3239">
            <w:pPr>
              <w:pStyle w:val="TableText"/>
              <w:spacing w:before="50" w:after="50"/>
              <w:jc w:val="center"/>
              <w:rPr>
                <w:szCs w:val="16"/>
              </w:rPr>
            </w:pPr>
            <w:r w:rsidRPr="0053439C">
              <w:rPr>
                <w:szCs w:val="16"/>
              </w:rPr>
              <w:t>85</w:t>
            </w:r>
          </w:p>
        </w:tc>
        <w:tc>
          <w:tcPr>
            <w:tcW w:w="2136" w:type="dxa"/>
            <w:tcBorders>
              <w:top w:val="nil"/>
              <w:left w:val="nil"/>
              <w:bottom w:val="nil"/>
              <w:right w:val="nil"/>
            </w:tcBorders>
            <w:shd w:val="clear" w:color="auto" w:fill="auto"/>
            <w:hideMark/>
          </w:tcPr>
          <w:p w14:paraId="3AC29548" w14:textId="77777777" w:rsidR="00D71B94" w:rsidRPr="0053439C" w:rsidRDefault="00D71B94" w:rsidP="007E3239">
            <w:pPr>
              <w:pStyle w:val="TableText"/>
              <w:spacing w:before="50" w:after="50"/>
              <w:jc w:val="center"/>
              <w:rPr>
                <w:szCs w:val="16"/>
              </w:rPr>
            </w:pPr>
            <w:r w:rsidRPr="0053439C">
              <w:rPr>
                <w:szCs w:val="16"/>
              </w:rPr>
              <w:t>419</w:t>
            </w:r>
          </w:p>
        </w:tc>
        <w:tc>
          <w:tcPr>
            <w:tcW w:w="1789" w:type="dxa"/>
            <w:tcBorders>
              <w:top w:val="nil"/>
              <w:left w:val="nil"/>
              <w:bottom w:val="nil"/>
              <w:right w:val="nil"/>
            </w:tcBorders>
            <w:shd w:val="clear" w:color="auto" w:fill="auto"/>
            <w:hideMark/>
          </w:tcPr>
          <w:p w14:paraId="55E5CE49" w14:textId="77777777" w:rsidR="00D71B94" w:rsidRPr="0053439C" w:rsidRDefault="00D71B94" w:rsidP="007E3239">
            <w:pPr>
              <w:pStyle w:val="TableText"/>
              <w:spacing w:before="50" w:after="50"/>
              <w:jc w:val="center"/>
              <w:rPr>
                <w:szCs w:val="16"/>
              </w:rPr>
            </w:pPr>
            <w:r w:rsidRPr="0053439C">
              <w:rPr>
                <w:szCs w:val="16"/>
              </w:rPr>
              <w:t>50</w:t>
            </w:r>
          </w:p>
        </w:tc>
      </w:tr>
      <w:tr w:rsidR="00D71B94" w:rsidRPr="0053439C" w14:paraId="6D26D893" w14:textId="77777777" w:rsidTr="007E3239">
        <w:tc>
          <w:tcPr>
            <w:tcW w:w="1963" w:type="dxa"/>
            <w:tcBorders>
              <w:top w:val="nil"/>
              <w:left w:val="nil"/>
              <w:bottom w:val="single" w:sz="4" w:space="0" w:color="1B556B"/>
              <w:right w:val="nil"/>
            </w:tcBorders>
            <w:shd w:val="clear" w:color="auto" w:fill="auto"/>
            <w:hideMark/>
          </w:tcPr>
          <w:p w14:paraId="4908C688" w14:textId="77777777" w:rsidR="00D71B94" w:rsidRPr="0053439C" w:rsidRDefault="00D71B94" w:rsidP="007E3239">
            <w:pPr>
              <w:pStyle w:val="TableText"/>
              <w:spacing w:before="50" w:after="50"/>
              <w:rPr>
                <w:szCs w:val="16"/>
              </w:rPr>
            </w:pPr>
            <w:r w:rsidRPr="0053439C">
              <w:rPr>
                <w:szCs w:val="16"/>
              </w:rPr>
              <w:t>Nukunonu</w:t>
            </w:r>
          </w:p>
        </w:tc>
        <w:tc>
          <w:tcPr>
            <w:tcW w:w="2617" w:type="dxa"/>
            <w:tcBorders>
              <w:top w:val="nil"/>
              <w:left w:val="nil"/>
              <w:bottom w:val="single" w:sz="4" w:space="0" w:color="1B556B"/>
              <w:right w:val="nil"/>
            </w:tcBorders>
            <w:shd w:val="clear" w:color="auto" w:fill="auto"/>
            <w:hideMark/>
          </w:tcPr>
          <w:p w14:paraId="70B525CC" w14:textId="77777777" w:rsidR="00D71B94" w:rsidRPr="0053439C" w:rsidRDefault="00D71B94" w:rsidP="007E3239">
            <w:pPr>
              <w:pStyle w:val="TableText"/>
              <w:spacing w:before="50" w:after="50"/>
              <w:jc w:val="center"/>
              <w:rPr>
                <w:szCs w:val="16"/>
              </w:rPr>
            </w:pPr>
            <w:r w:rsidRPr="0053439C">
              <w:rPr>
                <w:szCs w:val="16"/>
              </w:rPr>
              <w:t>83</w:t>
            </w:r>
          </w:p>
        </w:tc>
        <w:tc>
          <w:tcPr>
            <w:tcW w:w="2136" w:type="dxa"/>
            <w:tcBorders>
              <w:top w:val="nil"/>
              <w:left w:val="nil"/>
              <w:bottom w:val="single" w:sz="4" w:space="0" w:color="1B556B"/>
              <w:right w:val="nil"/>
            </w:tcBorders>
            <w:shd w:val="clear" w:color="auto" w:fill="auto"/>
            <w:hideMark/>
          </w:tcPr>
          <w:p w14:paraId="7077ED81" w14:textId="77777777" w:rsidR="00D71B94" w:rsidRPr="0053439C" w:rsidRDefault="00D71B94" w:rsidP="007E3239">
            <w:pPr>
              <w:pStyle w:val="TableText"/>
              <w:spacing w:before="50" w:after="50"/>
              <w:jc w:val="center"/>
              <w:rPr>
                <w:szCs w:val="16"/>
              </w:rPr>
            </w:pPr>
            <w:r w:rsidRPr="0053439C">
              <w:rPr>
                <w:szCs w:val="16"/>
              </w:rPr>
              <w:t>536</w:t>
            </w:r>
          </w:p>
        </w:tc>
        <w:tc>
          <w:tcPr>
            <w:tcW w:w="1789" w:type="dxa"/>
            <w:tcBorders>
              <w:top w:val="nil"/>
              <w:left w:val="nil"/>
              <w:bottom w:val="single" w:sz="4" w:space="0" w:color="1B556B"/>
              <w:right w:val="nil"/>
            </w:tcBorders>
            <w:shd w:val="clear" w:color="auto" w:fill="auto"/>
            <w:hideMark/>
          </w:tcPr>
          <w:p w14:paraId="43DF6B5E" w14:textId="77777777" w:rsidR="00D71B94" w:rsidRPr="0053439C" w:rsidRDefault="00D71B94" w:rsidP="007E3239">
            <w:pPr>
              <w:pStyle w:val="TableText"/>
              <w:spacing w:before="50" w:after="50"/>
              <w:jc w:val="center"/>
              <w:rPr>
                <w:szCs w:val="16"/>
              </w:rPr>
            </w:pPr>
            <w:r w:rsidRPr="0053439C">
              <w:rPr>
                <w:szCs w:val="16"/>
              </w:rPr>
              <w:t>305</w:t>
            </w:r>
          </w:p>
        </w:tc>
      </w:tr>
      <w:tr w:rsidR="00D71B94" w:rsidRPr="0053439C" w14:paraId="10FB75A9" w14:textId="77777777" w:rsidTr="007E3239">
        <w:tc>
          <w:tcPr>
            <w:tcW w:w="1963" w:type="dxa"/>
            <w:tcBorders>
              <w:top w:val="single" w:sz="4" w:space="0" w:color="1B556B"/>
              <w:left w:val="nil"/>
              <w:bottom w:val="single" w:sz="4" w:space="0" w:color="1B556B"/>
              <w:right w:val="nil"/>
            </w:tcBorders>
            <w:shd w:val="clear" w:color="auto" w:fill="auto"/>
            <w:hideMark/>
          </w:tcPr>
          <w:p w14:paraId="064F8108" w14:textId="77777777" w:rsidR="00D71B94" w:rsidRPr="0053439C" w:rsidRDefault="00D71B94" w:rsidP="007E3239">
            <w:pPr>
              <w:pStyle w:val="TableText"/>
              <w:spacing w:before="50" w:after="50"/>
              <w:rPr>
                <w:szCs w:val="16"/>
              </w:rPr>
            </w:pPr>
            <w:r w:rsidRPr="0053439C">
              <w:rPr>
                <w:szCs w:val="16"/>
              </w:rPr>
              <w:t>Tokelau</w:t>
            </w:r>
          </w:p>
        </w:tc>
        <w:tc>
          <w:tcPr>
            <w:tcW w:w="2617" w:type="dxa"/>
            <w:tcBorders>
              <w:top w:val="single" w:sz="4" w:space="0" w:color="1B556B"/>
              <w:left w:val="nil"/>
              <w:bottom w:val="single" w:sz="4" w:space="0" w:color="1B556B"/>
              <w:right w:val="nil"/>
            </w:tcBorders>
            <w:shd w:val="clear" w:color="auto" w:fill="auto"/>
            <w:hideMark/>
          </w:tcPr>
          <w:p w14:paraId="3315CCAD" w14:textId="77777777" w:rsidR="00D71B94" w:rsidRPr="0053439C" w:rsidRDefault="00D71B94" w:rsidP="007E3239">
            <w:pPr>
              <w:pStyle w:val="TableText"/>
              <w:spacing w:before="50" w:after="50"/>
              <w:jc w:val="center"/>
              <w:rPr>
                <w:szCs w:val="16"/>
              </w:rPr>
            </w:pPr>
            <w:r w:rsidRPr="0053439C">
              <w:rPr>
                <w:szCs w:val="16"/>
              </w:rPr>
              <w:t>256</w:t>
            </w:r>
          </w:p>
        </w:tc>
        <w:tc>
          <w:tcPr>
            <w:tcW w:w="2136" w:type="dxa"/>
            <w:tcBorders>
              <w:top w:val="single" w:sz="4" w:space="0" w:color="1B556B"/>
              <w:left w:val="nil"/>
              <w:bottom w:val="single" w:sz="4" w:space="0" w:color="1B556B"/>
              <w:right w:val="nil"/>
            </w:tcBorders>
            <w:shd w:val="clear" w:color="auto" w:fill="auto"/>
            <w:hideMark/>
          </w:tcPr>
          <w:p w14:paraId="6659C83C" w14:textId="77777777" w:rsidR="00D71B94" w:rsidRPr="0053439C" w:rsidRDefault="00D71B94" w:rsidP="007E3239">
            <w:pPr>
              <w:pStyle w:val="TableText"/>
              <w:spacing w:before="50" w:after="50"/>
              <w:jc w:val="center"/>
              <w:rPr>
                <w:szCs w:val="16"/>
              </w:rPr>
            </w:pPr>
            <w:r w:rsidRPr="0053439C">
              <w:rPr>
                <w:szCs w:val="16"/>
              </w:rPr>
              <w:t>1,697</w:t>
            </w:r>
          </w:p>
        </w:tc>
        <w:tc>
          <w:tcPr>
            <w:tcW w:w="1789" w:type="dxa"/>
            <w:tcBorders>
              <w:top w:val="single" w:sz="4" w:space="0" w:color="1B556B"/>
              <w:left w:val="nil"/>
              <w:bottom w:val="single" w:sz="4" w:space="0" w:color="1B556B"/>
              <w:right w:val="nil"/>
            </w:tcBorders>
            <w:shd w:val="clear" w:color="auto" w:fill="auto"/>
            <w:hideMark/>
          </w:tcPr>
          <w:p w14:paraId="1D639944" w14:textId="77777777" w:rsidR="00D71B94" w:rsidRPr="0053439C" w:rsidRDefault="00D71B94" w:rsidP="007E3239">
            <w:pPr>
              <w:pStyle w:val="TableText"/>
              <w:spacing w:before="50" w:after="50"/>
              <w:jc w:val="center"/>
              <w:rPr>
                <w:szCs w:val="16"/>
              </w:rPr>
            </w:pPr>
            <w:r w:rsidRPr="0053439C">
              <w:rPr>
                <w:szCs w:val="16"/>
              </w:rPr>
              <w:t>625</w:t>
            </w:r>
          </w:p>
        </w:tc>
      </w:tr>
    </w:tbl>
    <w:p w14:paraId="19DD9177" w14:textId="77777777" w:rsidR="00D71B94" w:rsidRPr="0053439C" w:rsidRDefault="00D71B94" w:rsidP="00D71B94">
      <w:pPr>
        <w:pStyle w:val="BodyText"/>
        <w:spacing w:before="240" w:after="100"/>
        <w:rPr>
          <w:rFonts w:eastAsia="Calibri"/>
        </w:rPr>
      </w:pPr>
      <w:r w:rsidRPr="0053439C">
        <w:rPr>
          <w:rFonts w:eastAsia="Calibri"/>
        </w:rPr>
        <w:t xml:space="preserve">Because the 2006 IPCC Guidelines do not provide a default emission factor for enteric fermentation for poultry, this category is reported as NE (not estimated) (paragraph 37(b), footnote 6 of the UNFCCC reporting guidelines) (UNFCCC, 2014). Therefore, only swine (pigs) are included under the </w:t>
      </w:r>
      <w:r w:rsidRPr="0053439C">
        <w:rPr>
          <w:rFonts w:eastAsia="Calibri"/>
          <w:i/>
        </w:rPr>
        <w:t>Enteric fermentation</w:t>
      </w:r>
      <w:r w:rsidRPr="0053439C">
        <w:rPr>
          <w:rFonts w:eastAsia="Calibri"/>
        </w:rPr>
        <w:t xml:space="preserve"> (3.A.3) category.</w:t>
      </w:r>
    </w:p>
    <w:p w14:paraId="64223721" w14:textId="77777777" w:rsidR="00D71B94" w:rsidRPr="0053439C" w:rsidRDefault="00D71B94" w:rsidP="00D71B94">
      <w:pPr>
        <w:pStyle w:val="BodyText"/>
        <w:spacing w:before="100" w:after="100"/>
      </w:pPr>
      <w:r w:rsidRPr="0053439C">
        <w:t xml:space="preserve">The </w:t>
      </w:r>
      <w:r w:rsidRPr="0053439C">
        <w:rPr>
          <w:i/>
          <w:iCs/>
        </w:rPr>
        <w:t xml:space="preserve">Enteric fermentation – Swine </w:t>
      </w:r>
      <w:r w:rsidRPr="0053439C">
        <w:t>category contributed 7.5 per cent to the total Agriculture emissions in Tokelau in 2020, and amounted to 0.06 kt CO</w:t>
      </w:r>
      <w:r w:rsidRPr="0053439C">
        <w:rPr>
          <w:vertAlign w:val="subscript"/>
        </w:rPr>
        <w:t>2</w:t>
      </w:r>
      <w:r w:rsidRPr="0053439C">
        <w:t>-e.</w:t>
      </w:r>
    </w:p>
    <w:p w14:paraId="0FA9CFF9" w14:textId="77777777" w:rsidR="00D71B94" w:rsidRPr="0053439C" w:rsidRDefault="00D71B94" w:rsidP="00D71B94">
      <w:pPr>
        <w:pStyle w:val="Heading4"/>
      </w:pPr>
      <w:r w:rsidRPr="0053439C">
        <w:t>Methodological issues</w:t>
      </w:r>
    </w:p>
    <w:p w14:paraId="009C34EA" w14:textId="77777777" w:rsidR="00D71B94" w:rsidRPr="0053439C" w:rsidRDefault="00D71B94" w:rsidP="00D71B94">
      <w:pPr>
        <w:pStyle w:val="Heading5"/>
        <w:spacing w:before="120"/>
      </w:pPr>
      <w:r w:rsidRPr="0053439C">
        <w:t>Activity data</w:t>
      </w:r>
    </w:p>
    <w:p w14:paraId="03A6A3FE" w14:textId="77777777" w:rsidR="00D71B94" w:rsidRPr="0053439C" w:rsidRDefault="00D71B94" w:rsidP="00D71B94">
      <w:pPr>
        <w:pStyle w:val="BodyText"/>
        <w:spacing w:before="100"/>
      </w:pPr>
      <w:r w:rsidRPr="0053439C">
        <w:t>Animal population figures were obtained from the Tokelau Census data (see table 8.1.2). The animal population between the census years is calculated by equal increments between the data collection points, to obtain the average animal population (AAP) per year.</w:t>
      </w:r>
    </w:p>
    <w:p w14:paraId="2AEDF67B" w14:textId="77777777" w:rsidR="00D71B94" w:rsidRPr="0053439C" w:rsidRDefault="00D71B94" w:rsidP="00D71B94">
      <w:pPr>
        <w:pStyle w:val="BodyText"/>
        <w:spacing w:before="100"/>
      </w:pPr>
      <w:r w:rsidRPr="0053439C">
        <w:t>An average pig weight of 80 kilograms is used.</w:t>
      </w:r>
    </w:p>
    <w:p w14:paraId="06159C4B" w14:textId="77777777" w:rsidR="00D71B94" w:rsidRPr="0053439C" w:rsidRDefault="00D71B94" w:rsidP="00D71B94">
      <w:pPr>
        <w:pStyle w:val="Heading5"/>
      </w:pPr>
      <w:r w:rsidRPr="0053439C">
        <w:t>Methods and emission factors</w:t>
      </w:r>
    </w:p>
    <w:p w14:paraId="0619A801" w14:textId="77777777" w:rsidR="00D71B94" w:rsidRPr="0053439C" w:rsidRDefault="00D71B94" w:rsidP="00D71B94">
      <w:pPr>
        <w:pStyle w:val="BodyText"/>
        <w:spacing w:before="100"/>
      </w:pPr>
      <w:r w:rsidRPr="0053439C">
        <w:t>Tier 1 methodology with a default emission factor of 1.5 kg CH</w:t>
      </w:r>
      <w:r w:rsidRPr="0053439C">
        <w:rPr>
          <w:vertAlign w:val="subscript"/>
        </w:rPr>
        <w:t>4</w:t>
      </w:r>
      <w:r w:rsidRPr="0053439C">
        <w:t>/head/year from table 10.10 in volume 4 of the 2006 IPCC Guidelines was used for calculating emissions from this category (IPCC, 2006c). Tokelau’s allocation by climate zone is 100 per cent to a warm climate.</w:t>
      </w:r>
    </w:p>
    <w:p w14:paraId="214ED36B" w14:textId="77777777" w:rsidR="00D71B94" w:rsidRPr="0053439C" w:rsidRDefault="00D71B94" w:rsidP="00D71B94">
      <w:pPr>
        <w:pStyle w:val="BodyText"/>
        <w:spacing w:before="100"/>
      </w:pPr>
      <w:r w:rsidRPr="0053439C">
        <w:t>The following equation was used for calculating emissions from swine.</w:t>
      </w:r>
    </w:p>
    <w:p w14:paraId="68116FAC" w14:textId="77777777" w:rsidR="00D71B94" w:rsidRPr="008C232B" w:rsidRDefault="00D71B94" w:rsidP="00D71B94">
      <w:pPr>
        <w:pStyle w:val="BodyText"/>
        <w:spacing w:after="0"/>
        <w:jc w:val="center"/>
        <w:rPr>
          <w:rFonts w:ascii="Cambria Math" w:hAnsi="Cambria Math"/>
        </w:rPr>
      </w:pPr>
      <w:r w:rsidRPr="008C232B">
        <w:rPr>
          <w:rFonts w:ascii="Cambria Math" w:hAnsi="Cambria Math"/>
        </w:rPr>
        <w:t>Emissions (kt CH</w:t>
      </w:r>
      <w:r w:rsidRPr="008C232B">
        <w:rPr>
          <w:rFonts w:ascii="Cambria Math" w:hAnsi="Cambria Math"/>
          <w:vertAlign w:val="subscript"/>
        </w:rPr>
        <w:t>4</w:t>
      </w:r>
      <w:r w:rsidRPr="008C232B">
        <w:rPr>
          <w:rFonts w:ascii="Cambria Math" w:hAnsi="Cambria Math"/>
        </w:rPr>
        <w:t>) = AAP (Swine) 1.5 [kg CH</w:t>
      </w:r>
      <w:r w:rsidRPr="008C232B">
        <w:rPr>
          <w:rFonts w:ascii="Cambria Math" w:hAnsi="Cambria Math"/>
          <w:vertAlign w:val="subscript"/>
        </w:rPr>
        <w:t>4</w:t>
      </w:r>
      <w:r w:rsidRPr="008C232B">
        <w:rPr>
          <w:rFonts w:ascii="Cambria Math" w:hAnsi="Cambria Math"/>
        </w:rPr>
        <w:t xml:space="preserve"> head</w:t>
      </w:r>
      <w:r w:rsidRPr="008C232B">
        <w:rPr>
          <w:rFonts w:ascii="Cambria Math" w:hAnsi="Cambria Math"/>
          <w:vertAlign w:val="superscript"/>
        </w:rPr>
        <w:t>–</w:t>
      </w:r>
      <w:r w:rsidRPr="008C232B">
        <w:rPr>
          <w:rFonts w:ascii="Cambria Math" w:hAnsi="Cambria Math"/>
        </w:rPr>
        <w:t>1 year</w:t>
      </w:r>
      <w:r w:rsidRPr="008C232B">
        <w:rPr>
          <w:rFonts w:ascii="Cambria Math" w:hAnsi="Cambria Math"/>
          <w:vertAlign w:val="superscript"/>
        </w:rPr>
        <w:t>–1</w:t>
      </w:r>
      <w:r w:rsidRPr="008C232B">
        <w:rPr>
          <w:rFonts w:ascii="Cambria Math" w:hAnsi="Cambria Math"/>
        </w:rPr>
        <w:t>]/10</w:t>
      </w:r>
      <w:r w:rsidRPr="008C232B">
        <w:rPr>
          <w:rFonts w:ascii="Cambria Math" w:hAnsi="Cambria Math"/>
          <w:vertAlign w:val="superscript"/>
        </w:rPr>
        <w:t>6</w:t>
      </w:r>
      <w:r w:rsidRPr="008C232B">
        <w:rPr>
          <w:rFonts w:ascii="Cambria Math" w:hAnsi="Cambria Math"/>
        </w:rPr>
        <w:t>[kg/kt]</w:t>
      </w:r>
    </w:p>
    <w:p w14:paraId="7FF5F9BA" w14:textId="77777777" w:rsidR="00D71B94" w:rsidRPr="0053439C" w:rsidRDefault="00D71B94" w:rsidP="00D71B94">
      <w:pPr>
        <w:pStyle w:val="Heading4"/>
      </w:pPr>
      <w:r w:rsidRPr="0053439C">
        <w:t>Uncertainty</w:t>
      </w:r>
    </w:p>
    <w:p w14:paraId="1A7A4DCF" w14:textId="77777777" w:rsidR="00D71B94" w:rsidRPr="0053439C" w:rsidRDefault="00D71B94" w:rsidP="00D71B94">
      <w:pPr>
        <w:pStyle w:val="BodyText"/>
        <w:spacing w:before="100" w:after="100"/>
      </w:pPr>
      <w:r w:rsidRPr="0053439C">
        <w:t>Section 10.2.3 (volume 4) of the 2006 IPCC Guidelines states that the uncertainty associated with animal populations will vary widely, depending on the source, but should be known within </w:t>
      </w:r>
      <w:r w:rsidRPr="0053439C">
        <w:rPr>
          <w:u w:val="single"/>
        </w:rPr>
        <w:t>+</w:t>
      </w:r>
      <w:r w:rsidRPr="0053439C">
        <w:t xml:space="preserve">20 per cent (IPCC, 2006c). The default emission factor uncertainty is </w:t>
      </w:r>
      <w:r w:rsidRPr="0053439C">
        <w:rPr>
          <w:u w:val="single"/>
        </w:rPr>
        <w:t>+</w:t>
      </w:r>
      <w:r w:rsidRPr="0053439C">
        <w:t xml:space="preserve">30 per cent to 50 per cent (default mid-range is </w:t>
      </w:r>
      <w:r w:rsidRPr="0053439C">
        <w:rPr>
          <w:u w:val="single"/>
        </w:rPr>
        <w:t>+</w:t>
      </w:r>
      <w:r w:rsidRPr="0053439C">
        <w:t>40 per cent).</w:t>
      </w:r>
    </w:p>
    <w:p w14:paraId="6107ADC7" w14:textId="77777777" w:rsidR="00D71B94" w:rsidRPr="0053439C" w:rsidRDefault="00D71B94" w:rsidP="00D71B94">
      <w:pPr>
        <w:pStyle w:val="BodyText"/>
        <w:spacing w:before="100" w:after="100"/>
      </w:pPr>
      <w:r w:rsidRPr="0053439C">
        <w:t xml:space="preserve">For this category, the default uncertainty value of </w:t>
      </w:r>
      <w:r w:rsidRPr="0053439C">
        <w:rPr>
          <w:u w:val="single"/>
        </w:rPr>
        <w:t>+</w:t>
      </w:r>
      <w:r w:rsidRPr="0053439C">
        <w:t xml:space="preserve">20 per cent for activity data and an upper range default emission factor uncertainty of </w:t>
      </w:r>
      <w:r w:rsidRPr="0053439C">
        <w:rPr>
          <w:u w:val="single"/>
        </w:rPr>
        <w:t>+</w:t>
      </w:r>
      <w:r w:rsidRPr="0053439C">
        <w:t>50 per cent were used.</w:t>
      </w:r>
    </w:p>
    <w:p w14:paraId="7EA2923E" w14:textId="77777777" w:rsidR="00D71B94" w:rsidRPr="0053439C" w:rsidRDefault="00D71B94" w:rsidP="00D71B94">
      <w:pPr>
        <w:pStyle w:val="Heading3"/>
        <w:spacing w:before="320"/>
      </w:pPr>
      <w:r w:rsidRPr="0053439C">
        <w:lastRenderedPageBreak/>
        <w:t xml:space="preserve">8.4.2 </w:t>
      </w:r>
      <w:r w:rsidRPr="0053439C">
        <w:tab/>
        <w:t>Emissions from Manure management in Tokelau</w:t>
      </w:r>
    </w:p>
    <w:p w14:paraId="3DD14464" w14:textId="77777777" w:rsidR="00D71B94" w:rsidRPr="0053439C" w:rsidRDefault="00D71B94" w:rsidP="00D71B94">
      <w:pPr>
        <w:pStyle w:val="BodyText"/>
        <w:spacing w:before="100" w:after="100"/>
      </w:pPr>
      <w:r w:rsidRPr="0053439C">
        <w:t xml:space="preserve">The 2006 IPCC Guidelines provide default emission factors for </w:t>
      </w:r>
      <w:r w:rsidRPr="0053439C">
        <w:rPr>
          <w:i/>
        </w:rPr>
        <w:t>Manure management</w:t>
      </w:r>
      <w:r w:rsidRPr="0053439C">
        <w:t xml:space="preserve"> (3.B.1) for both swine and poultry, therefore, both animal types are included in reporting from this category (IPCC, 2006c).</w:t>
      </w:r>
    </w:p>
    <w:p w14:paraId="20399183" w14:textId="77777777" w:rsidR="00D71B94" w:rsidRPr="0053439C" w:rsidRDefault="00D71B94" w:rsidP="00D71B94">
      <w:pPr>
        <w:pStyle w:val="BodyText"/>
        <w:spacing w:before="100" w:after="100"/>
      </w:pPr>
      <w:r w:rsidRPr="0053439C">
        <w:rPr>
          <w:i/>
          <w:iCs/>
        </w:rPr>
        <w:t>Manure management – Swine</w:t>
      </w:r>
      <w:r w:rsidRPr="0053439C">
        <w:t xml:space="preserve"> contributed 92.4 per cent to the total agriculture emissions in Tokelau in 2020 and amounted to 0.76 kt CO</w:t>
      </w:r>
      <w:r w:rsidRPr="0053439C">
        <w:rPr>
          <w:vertAlign w:val="subscript"/>
        </w:rPr>
        <w:t>2</w:t>
      </w:r>
      <w:r w:rsidRPr="0053439C">
        <w:t xml:space="preserve">-e. </w:t>
      </w:r>
      <w:r w:rsidRPr="0053439C">
        <w:rPr>
          <w:i/>
          <w:iCs/>
        </w:rPr>
        <w:t>Manure management</w:t>
      </w:r>
      <w:r w:rsidRPr="0053439C">
        <w:t xml:space="preserve"> – </w:t>
      </w:r>
      <w:r w:rsidRPr="0053439C">
        <w:rPr>
          <w:i/>
          <w:iCs/>
        </w:rPr>
        <w:t>poultry</w:t>
      </w:r>
      <w:r w:rsidRPr="0053439C">
        <w:t xml:space="preserve"> was negligible (0.0005 kt CO</w:t>
      </w:r>
      <w:r w:rsidRPr="0053439C">
        <w:rPr>
          <w:vertAlign w:val="subscript"/>
        </w:rPr>
        <w:t>2</w:t>
      </w:r>
      <w:r w:rsidRPr="0053439C">
        <w:t>-e).</w:t>
      </w:r>
    </w:p>
    <w:p w14:paraId="5B90189E" w14:textId="77777777" w:rsidR="00D71B94" w:rsidRPr="0053439C" w:rsidRDefault="00D71B94" w:rsidP="00D71B94">
      <w:pPr>
        <w:pStyle w:val="Heading4"/>
      </w:pPr>
      <w:r w:rsidRPr="0053439C">
        <w:t>Methodological issues</w:t>
      </w:r>
    </w:p>
    <w:p w14:paraId="420D50EC" w14:textId="77777777" w:rsidR="00D71B94" w:rsidRPr="0053439C" w:rsidRDefault="00D71B94" w:rsidP="00D71B94">
      <w:pPr>
        <w:pStyle w:val="Heading5"/>
        <w:spacing w:before="160"/>
      </w:pPr>
      <w:r w:rsidRPr="0053439C">
        <w:t>Activity data</w:t>
      </w:r>
    </w:p>
    <w:p w14:paraId="13E63A50" w14:textId="77777777" w:rsidR="00D71B94" w:rsidRPr="0053439C" w:rsidRDefault="00D71B94" w:rsidP="00D71B94">
      <w:pPr>
        <w:pStyle w:val="BodyText"/>
        <w:spacing w:before="100" w:after="100"/>
      </w:pPr>
      <w:r w:rsidRPr="0053439C">
        <w:t xml:space="preserve">The activity data entries for </w:t>
      </w:r>
      <w:r w:rsidRPr="0053439C">
        <w:rPr>
          <w:i/>
        </w:rPr>
        <w:t>Manure management</w:t>
      </w:r>
      <w:r w:rsidRPr="0053439C">
        <w:t xml:space="preserve"> are exactly the same as for </w:t>
      </w:r>
      <w:r w:rsidRPr="0053439C">
        <w:rPr>
          <w:i/>
        </w:rPr>
        <w:t>Enteric fermentation</w:t>
      </w:r>
      <w:r w:rsidRPr="0053439C">
        <w:t xml:space="preserve"> (see section 8.4.1).</w:t>
      </w:r>
    </w:p>
    <w:p w14:paraId="0257DAF8" w14:textId="77777777" w:rsidR="00D71B94" w:rsidRPr="0053439C" w:rsidRDefault="00D71B94" w:rsidP="00D71B94">
      <w:pPr>
        <w:pStyle w:val="BodyText"/>
        <w:spacing w:before="100"/>
      </w:pPr>
      <w:r w:rsidRPr="0053439C">
        <w:t>The assumption is that all poultry are dry layers.</w:t>
      </w:r>
    </w:p>
    <w:p w14:paraId="7F780FA4" w14:textId="77777777" w:rsidR="00D71B94" w:rsidRPr="0053439C" w:rsidRDefault="00D71B94" w:rsidP="00D71B94">
      <w:pPr>
        <w:pStyle w:val="Heading5"/>
        <w:spacing w:before="160"/>
      </w:pPr>
      <w:r w:rsidRPr="0053439C">
        <w:t>Methods and emission factors</w:t>
      </w:r>
    </w:p>
    <w:p w14:paraId="3BFD0596" w14:textId="77777777" w:rsidR="00D71B94" w:rsidRPr="0053439C" w:rsidRDefault="00D71B94" w:rsidP="00D71B94">
      <w:pPr>
        <w:pStyle w:val="BodyText"/>
      </w:pPr>
      <w:r w:rsidRPr="0053439C">
        <w:t xml:space="preserve">A Tier 1 methodology with default emission factors provided in table 10.15 in volume 4 of the 2006 IPCC Guidelines was used for estimating emissions from the </w:t>
      </w:r>
      <w:r w:rsidRPr="0053439C">
        <w:rPr>
          <w:i/>
        </w:rPr>
        <w:t>Manure management</w:t>
      </w:r>
      <w:r w:rsidRPr="0053439C">
        <w:t xml:space="preserve"> category. The Tier 1 method is based on animal population data and does not require distinguishing between different manure management systems. Equation 10.22 from volume 4 of the 2006 IPCC Guidelines was applied in conjunction with the default emission factors from table 10.14 in volume 4 of 2006 IPCC Guidelines for Oceania/warm climate. These are 18.5 kg CH</w:t>
      </w:r>
      <w:r w:rsidRPr="0053439C">
        <w:rPr>
          <w:vertAlign w:val="subscript"/>
        </w:rPr>
        <w:t>4</w:t>
      </w:r>
      <w:r w:rsidRPr="0053439C">
        <w:t>/head/year for swine and 0.03 kg CH</w:t>
      </w:r>
      <w:r w:rsidRPr="0053439C">
        <w:rPr>
          <w:vertAlign w:val="subscript"/>
        </w:rPr>
        <w:t>4</w:t>
      </w:r>
      <w:r w:rsidRPr="0053439C">
        <w:t>/head/year for poultry (IPCC, 2006c).</w:t>
      </w:r>
    </w:p>
    <w:p w14:paraId="74CC1166" w14:textId="77777777" w:rsidR="00D71B94" w:rsidRPr="0053439C" w:rsidRDefault="00D71B94" w:rsidP="00D71B94">
      <w:pPr>
        <w:pStyle w:val="Heading4"/>
      </w:pPr>
      <w:r w:rsidRPr="0053439C">
        <w:t>Uncertainty</w:t>
      </w:r>
    </w:p>
    <w:p w14:paraId="53C461F3" w14:textId="77777777" w:rsidR="00D71B94" w:rsidRPr="0053439C" w:rsidRDefault="00D71B94" w:rsidP="00D71B94">
      <w:pPr>
        <w:pStyle w:val="BodyText"/>
      </w:pPr>
      <w:r w:rsidRPr="0053439C">
        <w:t xml:space="preserve">Default uncertainty values for activity data and emission factors were used for this category. Section 10.2.3 in volume 4 of the 2006 IPCC Guidelines states that the uncertainty associated with populations will vary widely, depending on the source, but should be known within </w:t>
      </w:r>
      <w:r w:rsidRPr="0053439C">
        <w:rPr>
          <w:u w:val="single"/>
        </w:rPr>
        <w:t>+</w:t>
      </w:r>
      <w:r w:rsidRPr="0053439C">
        <w:t xml:space="preserve">20 per cent (IPCC, 2006c). The default emission factor uncertainty for </w:t>
      </w:r>
      <w:r w:rsidRPr="0053439C">
        <w:rPr>
          <w:i/>
        </w:rPr>
        <w:t>Manure management</w:t>
      </w:r>
      <w:r w:rsidRPr="0053439C">
        <w:t xml:space="preserve"> is</w:t>
      </w:r>
      <w:r>
        <w:t> </w:t>
      </w:r>
      <w:r w:rsidRPr="0053439C">
        <w:rPr>
          <w:u w:val="single"/>
        </w:rPr>
        <w:t>+</w:t>
      </w:r>
      <w:r w:rsidRPr="0053439C">
        <w:t>30 per cent.</w:t>
      </w:r>
    </w:p>
    <w:p w14:paraId="2FEE96B2" w14:textId="77777777" w:rsidR="00D71B94" w:rsidRPr="0053439C" w:rsidRDefault="00D71B94" w:rsidP="00D71B94">
      <w:pPr>
        <w:pStyle w:val="Heading2"/>
      </w:pPr>
      <w:bookmarkStart w:id="2583" w:name="_Toc5269397"/>
      <w:bookmarkStart w:id="2584" w:name="_Toc36224437"/>
      <w:bookmarkStart w:id="2585" w:name="_Toc68786357"/>
      <w:bookmarkStart w:id="2586" w:name="_Toc99659163"/>
      <w:r w:rsidRPr="0053439C">
        <w:t xml:space="preserve">8.5 </w:t>
      </w:r>
      <w:r w:rsidRPr="0053439C">
        <w:tab/>
        <w:t>Emissions from the Waste sector in Tokelau</w:t>
      </w:r>
      <w:r w:rsidRPr="0053439C">
        <w:br/>
        <w:t>(CRF 6 Tokelau_5)</w:t>
      </w:r>
      <w:bookmarkEnd w:id="2583"/>
      <w:bookmarkEnd w:id="2584"/>
      <w:bookmarkEnd w:id="2585"/>
      <w:bookmarkEnd w:id="2586"/>
    </w:p>
    <w:p w14:paraId="6F180852" w14:textId="77777777" w:rsidR="00D71B94" w:rsidRPr="0053439C" w:rsidRDefault="00D71B94" w:rsidP="00D71B94">
      <w:pPr>
        <w:pStyle w:val="BodyText"/>
      </w:pPr>
      <w:r w:rsidRPr="0053439C">
        <w:t>The total amount of all Waste sector emissions in Tokelau in 2020 was 0.70 kt CO</w:t>
      </w:r>
      <w:r w:rsidRPr="0053439C">
        <w:rPr>
          <w:vertAlign w:val="subscript"/>
        </w:rPr>
        <w:t>2</w:t>
      </w:r>
      <w:r w:rsidRPr="0053439C">
        <w:t xml:space="preserve">-e, making the Waste sector the third-biggest emitter in Tokelau. The Waste sector contributed 16.6 per cent to the total emissions from Tokelau and </w:t>
      </w:r>
      <w:r w:rsidRPr="00505B35">
        <w:t>0.0009</w:t>
      </w:r>
      <w:r w:rsidRPr="0053439C">
        <w:t xml:space="preserve"> per cent to New Zealand’s gross emissions including Tokelau. The sources of emissions in the Waste sector in Tokelau are from the categories </w:t>
      </w:r>
      <w:r w:rsidRPr="0053439C">
        <w:rPr>
          <w:i/>
          <w:iCs/>
        </w:rPr>
        <w:t>Solid waste disposal</w:t>
      </w:r>
      <w:r w:rsidRPr="0053439C">
        <w:t xml:space="preserve">, </w:t>
      </w:r>
      <w:r w:rsidRPr="0053439C">
        <w:rPr>
          <w:i/>
          <w:iCs/>
        </w:rPr>
        <w:t xml:space="preserve">Wastewater treatment and discharge </w:t>
      </w:r>
      <w:r w:rsidRPr="0053439C">
        <w:t xml:space="preserve">and </w:t>
      </w:r>
      <w:r w:rsidRPr="0053439C">
        <w:rPr>
          <w:i/>
          <w:iCs/>
        </w:rPr>
        <w:t>Incineration and open burning of waste</w:t>
      </w:r>
      <w:r w:rsidRPr="0053439C">
        <w:t>, which contributed 44.1 per cent, 38.2 per cent and 17.6 per cent, respectively, to the total emissions from the Waste sector in Tokelau.</w:t>
      </w:r>
    </w:p>
    <w:p w14:paraId="080433F1" w14:textId="77777777" w:rsidR="00D71B94" w:rsidRPr="0053439C" w:rsidRDefault="00D71B94" w:rsidP="00D71B94">
      <w:pPr>
        <w:pStyle w:val="BodyText"/>
      </w:pPr>
      <w:r w:rsidRPr="0053439C">
        <w:t>The raw data related to the Waste sector were obtained from multiple sources (see items 1</w:t>
      </w:r>
      <w:r>
        <w:t> </w:t>
      </w:r>
      <w:r w:rsidRPr="0053439C">
        <w:t>to 5, 11 and 13 to 16 in table 8.1.2). The data were compiled, analysed and processed by the</w:t>
      </w:r>
      <w:r>
        <w:t> </w:t>
      </w:r>
      <w:r w:rsidRPr="0053439C">
        <w:t>Tokelau National Statistics Office to produce activity data. The human population data are</w:t>
      </w:r>
      <w:r>
        <w:t> </w:t>
      </w:r>
      <w:r w:rsidRPr="0053439C">
        <w:t>used as a driver for estimates in all of the Waste categories.</w:t>
      </w:r>
    </w:p>
    <w:p w14:paraId="24496BA9" w14:textId="77777777" w:rsidR="00D71B94" w:rsidRPr="0053439C" w:rsidRDefault="00D71B94" w:rsidP="00D71B94">
      <w:pPr>
        <w:pStyle w:val="BodyText"/>
      </w:pPr>
      <w:r w:rsidRPr="0053439C">
        <w:lastRenderedPageBreak/>
        <w:t xml:space="preserve">Emissions from all categories reported in the Waste sector for Tokelau were estimated using a Tier 1 methodological approach (IPCC, 2006d). </w:t>
      </w:r>
    </w:p>
    <w:p w14:paraId="2FB3F455" w14:textId="77777777" w:rsidR="00D71B94" w:rsidRPr="0053439C" w:rsidRDefault="00D71B94" w:rsidP="00D71B94">
      <w:pPr>
        <w:pStyle w:val="BodyText"/>
      </w:pPr>
      <w:r w:rsidRPr="0053439C">
        <w:t>Figure 8.5.1 shows emission trends in the Waste sector by category for Tokelau.</w:t>
      </w:r>
    </w:p>
    <w:p w14:paraId="25B134BA" w14:textId="77777777" w:rsidR="00D71B94" w:rsidRPr="0053439C" w:rsidRDefault="00D71B94" w:rsidP="00D71B94">
      <w:pPr>
        <w:pStyle w:val="Figure"/>
        <w:spacing w:after="80"/>
        <w:rPr>
          <w:rFonts w:eastAsia="Calibri"/>
        </w:rPr>
      </w:pPr>
      <w:bookmarkStart w:id="2587" w:name="_Toc36292832"/>
      <w:bookmarkStart w:id="2588" w:name="_Toc64972939"/>
      <w:bookmarkStart w:id="2589" w:name="_Toc68786696"/>
      <w:bookmarkStart w:id="2590" w:name="_Toc99696067"/>
      <w:r w:rsidRPr="0053439C">
        <w:rPr>
          <w:rFonts w:eastAsia="Calibri"/>
        </w:rPr>
        <w:t xml:space="preserve">Figure 8.5.1 </w:t>
      </w:r>
      <w:r w:rsidRPr="0053439C">
        <w:rPr>
          <w:rFonts w:eastAsia="Calibri"/>
        </w:rPr>
        <w:tab/>
        <w:t>Waste sector emissions by category for Tokelau (kt CO</w:t>
      </w:r>
      <w:r w:rsidRPr="0053439C">
        <w:rPr>
          <w:rFonts w:eastAsia="Calibri"/>
          <w:vertAlign w:val="subscript"/>
        </w:rPr>
        <w:t>2</w:t>
      </w:r>
      <w:r w:rsidRPr="0053439C">
        <w:rPr>
          <w:rFonts w:eastAsia="Calibri"/>
        </w:rPr>
        <w:t xml:space="preserve">-e) from 1990 to </w:t>
      </w:r>
      <w:bookmarkEnd w:id="2587"/>
      <w:bookmarkEnd w:id="2588"/>
      <w:bookmarkEnd w:id="2589"/>
      <w:r w:rsidRPr="0053439C">
        <w:rPr>
          <w:rFonts w:eastAsia="Calibri"/>
        </w:rPr>
        <w:t>2020</w:t>
      </w:r>
      <w:bookmarkEnd w:id="2590"/>
    </w:p>
    <w:p w14:paraId="1A4080DD" w14:textId="77777777" w:rsidR="00D71B94" w:rsidRPr="0053439C" w:rsidRDefault="004B48CC" w:rsidP="00D71B94">
      <w:pPr>
        <w:pStyle w:val="BodyText"/>
        <w:rPr>
          <w:rFonts w:eastAsia="Calibri"/>
        </w:rPr>
      </w:pPr>
      <w:r>
        <w:rPr>
          <w:rFonts w:eastAsia="Calibri"/>
          <w:noProof/>
        </w:rPr>
        <w:pict w14:anchorId="3CE209E1">
          <v:shape id="_x0000_i1143" type="#_x0000_t75" style="width:431.15pt;height:251.15pt;visibility:visible;mso-wrap-style:square">
            <v:imagedata r:id="rId253" o:title=""/>
          </v:shape>
        </w:pict>
      </w:r>
    </w:p>
    <w:p w14:paraId="379C6817" w14:textId="77777777" w:rsidR="00D71B94" w:rsidRPr="0053439C" w:rsidRDefault="00D71B94" w:rsidP="00D71B94">
      <w:pPr>
        <w:pStyle w:val="Heading4"/>
      </w:pPr>
      <w:r w:rsidRPr="0053439C">
        <w:t>Source-specific planned improvements</w:t>
      </w:r>
    </w:p>
    <w:p w14:paraId="065210FA" w14:textId="77777777" w:rsidR="00D71B94" w:rsidRPr="0053439C" w:rsidRDefault="00D71B94" w:rsidP="00D71B94">
      <w:pPr>
        <w:pStyle w:val="BodyText"/>
      </w:pPr>
      <w:r w:rsidRPr="0053439C">
        <w:t xml:space="preserve">No improvements are planned for the Waste sector. Possible improvements in the Waste sector will focus on ongoing data refinement as far as resources allow. </w:t>
      </w:r>
    </w:p>
    <w:p w14:paraId="1561F966" w14:textId="77777777" w:rsidR="00D71B94" w:rsidRPr="0053439C" w:rsidRDefault="00D71B94" w:rsidP="00D71B94">
      <w:pPr>
        <w:pStyle w:val="Heading3"/>
        <w:spacing w:before="240"/>
      </w:pPr>
      <w:r w:rsidRPr="0053439C">
        <w:t xml:space="preserve">8.5.1 </w:t>
      </w:r>
      <w:r w:rsidRPr="0053439C">
        <w:tab/>
        <w:t>Emissions from Solid waste disposal in Tokelau</w:t>
      </w:r>
    </w:p>
    <w:p w14:paraId="6AA988D5" w14:textId="77777777" w:rsidR="00D71B94" w:rsidRPr="0053439C" w:rsidRDefault="00D71B94" w:rsidP="00D71B94">
      <w:pPr>
        <w:pStyle w:val="BodyText"/>
      </w:pPr>
      <w:r w:rsidRPr="0053439C">
        <w:rPr>
          <w:spacing w:val="-2"/>
        </w:rPr>
        <w:t>According to the 2016 Tokelau Census, most household rubbish is collected by village workers. Fakaofo had the highest proportion of households where all rubbish was collected (72.9 per cent). Of all private occupied dwellings, 98.8 per cent had at least some of their household rubbish collected. Most of the collected rubbish is either burned on the reef or buried in centralised areas of the islands. Exceptions are the organic waste, which is fed daily to pigs, large beer bottles that are exported for recycling to Apia (Samoa) and metal waste that is collected and sold as scrap in Apia under an MoU with a Samoan company</w:t>
      </w:r>
      <w:r w:rsidRPr="0053439C">
        <w:t>.</w:t>
      </w:r>
      <w:r w:rsidRPr="0053439C">
        <w:rPr>
          <w:rStyle w:val="FootnoteReference"/>
        </w:rPr>
        <w:footnoteReference w:id="70"/>
      </w:r>
      <w:r w:rsidRPr="0053439C">
        <w:t xml:space="preserve"> </w:t>
      </w:r>
    </w:p>
    <w:p w14:paraId="04F337DD" w14:textId="77777777" w:rsidR="00D71B94" w:rsidRPr="0053439C" w:rsidRDefault="00D71B94" w:rsidP="00D71B94">
      <w:pPr>
        <w:pStyle w:val="BodyText"/>
      </w:pPr>
      <w:r w:rsidRPr="0053439C">
        <w:t>Where village workers do not collect household rubbish, households use alternative methods for disposal. The most common methods are burning, burial and disposing of in the garden. Tokelau has no dedicated categorised landfills, therefore, solid waste disposal is reported for uncategorised landfills only.</w:t>
      </w:r>
    </w:p>
    <w:p w14:paraId="01B2BCA8" w14:textId="77777777" w:rsidR="00D71B94" w:rsidRPr="0053439C" w:rsidRDefault="00D71B94" w:rsidP="00D71B94">
      <w:pPr>
        <w:pStyle w:val="BodyText"/>
      </w:pPr>
      <w:r w:rsidRPr="0053439C">
        <w:t xml:space="preserve">The </w:t>
      </w:r>
      <w:r w:rsidRPr="0053439C">
        <w:rPr>
          <w:i/>
          <w:iCs/>
        </w:rPr>
        <w:t xml:space="preserve">Solid waste disposal </w:t>
      </w:r>
      <w:r w:rsidRPr="0053439C">
        <w:t>category contributed 44.1 per cent to the total Waste emissions in Tokelau in 2020, which amounted to 0.31 kt CO</w:t>
      </w:r>
      <w:r w:rsidRPr="0053439C">
        <w:rPr>
          <w:vertAlign w:val="subscript"/>
        </w:rPr>
        <w:t>2</w:t>
      </w:r>
      <w:r w:rsidRPr="0053439C">
        <w:t>-e.</w:t>
      </w:r>
    </w:p>
    <w:p w14:paraId="40FC2251" w14:textId="77777777" w:rsidR="00D71B94" w:rsidRPr="0053439C" w:rsidRDefault="00D71B94" w:rsidP="00D71B94">
      <w:pPr>
        <w:pStyle w:val="Heading4"/>
      </w:pPr>
      <w:r w:rsidRPr="0053439C">
        <w:lastRenderedPageBreak/>
        <w:t>Methodological issues</w:t>
      </w:r>
    </w:p>
    <w:p w14:paraId="23BD5A7E" w14:textId="77777777" w:rsidR="00D71B94" w:rsidRPr="0053439C" w:rsidRDefault="00D71B94" w:rsidP="00D71B94">
      <w:pPr>
        <w:pStyle w:val="Heading5"/>
        <w:spacing w:before="180"/>
      </w:pPr>
      <w:r w:rsidRPr="0053439C">
        <w:t>Activity data</w:t>
      </w:r>
    </w:p>
    <w:p w14:paraId="32454ED1" w14:textId="77777777" w:rsidR="00D71B94" w:rsidRPr="0053439C" w:rsidRDefault="00D71B94" w:rsidP="00D71B94">
      <w:pPr>
        <w:pStyle w:val="Bullet"/>
        <w:spacing w:before="120"/>
      </w:pPr>
      <w:r w:rsidRPr="0053439C">
        <w:t xml:space="preserve">The total amount of solid waste is based on the </w:t>
      </w:r>
      <w:r w:rsidRPr="00D47E3B">
        <w:t>2006</w:t>
      </w:r>
      <w:r w:rsidRPr="0053439C">
        <w:t xml:space="preserve"> IPCC default 690 kg/person/year for Oceania (IPCC, 2006d). This is likely to be an overestimate, however, a country-specific value is not available.</w:t>
      </w:r>
    </w:p>
    <w:p w14:paraId="27ED86DD" w14:textId="77777777" w:rsidR="00D71B94" w:rsidRPr="0053439C" w:rsidRDefault="00D71B94" w:rsidP="00D71B94">
      <w:pPr>
        <w:pStyle w:val="Bullet"/>
      </w:pPr>
      <w:r w:rsidRPr="0053439C">
        <w:t>Solid waste is assumed to be half buried and the other half burned. As above, this does not account for exported solid waste or organic waste fed to pigs and will be an overestimate.</w:t>
      </w:r>
    </w:p>
    <w:p w14:paraId="5E5B8514" w14:textId="77777777" w:rsidR="00D71B94" w:rsidRPr="0053439C" w:rsidRDefault="00D71B94" w:rsidP="00D71B94">
      <w:pPr>
        <w:pStyle w:val="Bullet"/>
      </w:pPr>
      <w:r w:rsidRPr="0053439C">
        <w:t>The composition of solid waste for the landfill calculations is based on the 2006 IPCC default (67.5 per cent food, 6 per cent paper/cardboard, 2.5 per cent wood, and the remaining 24 per cent is ‘inert’) (IPCC, 2006d). This does not take into account the food waste that is fed to animals or used for composting and gardens, nor data on waste composition, such as disposable nappies, and will likely be an overestimate overall.</w:t>
      </w:r>
    </w:p>
    <w:p w14:paraId="780D4454" w14:textId="77777777" w:rsidR="00D71B94" w:rsidRPr="0053439C" w:rsidRDefault="00D71B94" w:rsidP="00D71B94">
      <w:pPr>
        <w:pStyle w:val="Heading5"/>
      </w:pPr>
      <w:r w:rsidRPr="0053439C">
        <w:t>Methods and emission factors</w:t>
      </w:r>
    </w:p>
    <w:p w14:paraId="30033238" w14:textId="77777777" w:rsidR="00D71B94" w:rsidRPr="0053439C" w:rsidRDefault="00D71B94" w:rsidP="00D71B94">
      <w:pPr>
        <w:pStyle w:val="BodyText"/>
      </w:pPr>
      <w:r w:rsidRPr="0053439C">
        <w:t>A Tier 1 methodology has been applied to estimate emissions from this category. The Tier 1 approach is to use all default values. It is assumed that 50 per cent of waste is buried (landfilled) and the other 50 per cent is burned. Any amounts of waste shipped offshore are additional and are not counted. Table 8.5.1 sums up the information about parameters used for calculating emissions from this category.</w:t>
      </w:r>
    </w:p>
    <w:p w14:paraId="05AA50CF" w14:textId="77777777" w:rsidR="00D71B94" w:rsidRPr="0053439C" w:rsidRDefault="00D71B94" w:rsidP="00D71B94">
      <w:pPr>
        <w:pStyle w:val="Table"/>
        <w:rPr>
          <w:rFonts w:eastAsia="Calibri"/>
        </w:rPr>
      </w:pPr>
      <w:bookmarkStart w:id="2591" w:name="_Toc5269602"/>
      <w:bookmarkStart w:id="2592" w:name="_Toc36224683"/>
      <w:bookmarkStart w:id="2593" w:name="_Toc68786569"/>
      <w:bookmarkStart w:id="2594" w:name="_Toc99659364"/>
      <w:r w:rsidRPr="0053439C">
        <w:rPr>
          <w:rFonts w:eastAsia="Calibri"/>
        </w:rPr>
        <w:t>Table 8.5.1</w:t>
      </w:r>
      <w:r w:rsidRPr="0053439C">
        <w:rPr>
          <w:rFonts w:eastAsia="Calibri"/>
        </w:rPr>
        <w:tab/>
        <w:t>Summary of parameters for uncategorised landfills in Tokelau</w:t>
      </w:r>
      <w:bookmarkEnd w:id="2591"/>
      <w:bookmarkEnd w:id="2592"/>
      <w:bookmarkEnd w:id="2593"/>
      <w:bookmarkEnd w:id="2594"/>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2694"/>
        <w:gridCol w:w="992"/>
        <w:gridCol w:w="1984"/>
        <w:gridCol w:w="2835"/>
      </w:tblGrid>
      <w:tr w:rsidR="00D71B94" w:rsidRPr="0053439C" w14:paraId="3137CB99" w14:textId="77777777" w:rsidTr="007E3239">
        <w:trPr>
          <w:tblHeader/>
        </w:trPr>
        <w:tc>
          <w:tcPr>
            <w:tcW w:w="2694" w:type="dxa"/>
            <w:shd w:val="clear" w:color="auto" w:fill="1B556B"/>
          </w:tcPr>
          <w:p w14:paraId="71EACD18" w14:textId="77777777" w:rsidR="00D71B94" w:rsidRPr="0053439C" w:rsidRDefault="00D71B94" w:rsidP="007E3239">
            <w:pPr>
              <w:pStyle w:val="TableTextBold"/>
              <w:rPr>
                <w:rFonts w:cs="Calibri"/>
                <w:noProof w:val="0"/>
                <w:color w:val="FFFFFF"/>
                <w:szCs w:val="16"/>
              </w:rPr>
            </w:pPr>
            <w:r w:rsidRPr="0053439C">
              <w:rPr>
                <w:rFonts w:cs="Calibri"/>
                <w:noProof w:val="0"/>
                <w:color w:val="FFFFFF"/>
                <w:szCs w:val="16"/>
              </w:rPr>
              <w:t xml:space="preserve">Parameter </w:t>
            </w:r>
          </w:p>
        </w:tc>
        <w:tc>
          <w:tcPr>
            <w:tcW w:w="992" w:type="dxa"/>
            <w:shd w:val="clear" w:color="auto" w:fill="1B556B"/>
          </w:tcPr>
          <w:p w14:paraId="57CAFEE3" w14:textId="77777777" w:rsidR="00D71B94" w:rsidRPr="0053439C" w:rsidRDefault="00D71B94" w:rsidP="007E3239">
            <w:pPr>
              <w:pStyle w:val="TableTextBold"/>
              <w:rPr>
                <w:rFonts w:cs="Calibri"/>
                <w:noProof w:val="0"/>
                <w:color w:val="FFFFFF"/>
                <w:szCs w:val="16"/>
              </w:rPr>
            </w:pPr>
            <w:r w:rsidRPr="0053439C">
              <w:rPr>
                <w:rFonts w:cs="Calibri"/>
                <w:noProof w:val="0"/>
                <w:color w:val="FFFFFF"/>
                <w:szCs w:val="16"/>
              </w:rPr>
              <w:t xml:space="preserve">Values </w:t>
            </w:r>
          </w:p>
        </w:tc>
        <w:tc>
          <w:tcPr>
            <w:tcW w:w="1984" w:type="dxa"/>
            <w:shd w:val="clear" w:color="auto" w:fill="1B556B"/>
          </w:tcPr>
          <w:p w14:paraId="21A13D55" w14:textId="77777777" w:rsidR="00D71B94" w:rsidRPr="0053439C" w:rsidRDefault="00D71B94" w:rsidP="007E3239">
            <w:pPr>
              <w:pStyle w:val="TableTextBold"/>
              <w:rPr>
                <w:rFonts w:cs="Calibri"/>
                <w:noProof w:val="0"/>
                <w:color w:val="FFFFFF"/>
                <w:szCs w:val="16"/>
              </w:rPr>
            </w:pPr>
            <w:r w:rsidRPr="0053439C">
              <w:rPr>
                <w:rFonts w:cs="Calibri"/>
                <w:noProof w:val="0"/>
                <w:color w:val="FFFFFF"/>
                <w:szCs w:val="16"/>
              </w:rPr>
              <w:t>Source</w:t>
            </w:r>
          </w:p>
        </w:tc>
        <w:tc>
          <w:tcPr>
            <w:tcW w:w="2835" w:type="dxa"/>
            <w:shd w:val="clear" w:color="auto" w:fill="1B556B"/>
          </w:tcPr>
          <w:p w14:paraId="41BAAAD0" w14:textId="77777777" w:rsidR="00D71B94" w:rsidRPr="0053439C" w:rsidRDefault="00D71B94" w:rsidP="007E3239">
            <w:pPr>
              <w:pStyle w:val="TableTextBold"/>
              <w:rPr>
                <w:rFonts w:cs="Calibri"/>
                <w:noProof w:val="0"/>
                <w:color w:val="FFFFFF"/>
                <w:szCs w:val="16"/>
              </w:rPr>
            </w:pPr>
            <w:r w:rsidRPr="0053439C">
              <w:rPr>
                <w:rFonts w:cs="Calibri"/>
                <w:noProof w:val="0"/>
                <w:color w:val="FFFFFF"/>
                <w:szCs w:val="16"/>
              </w:rPr>
              <w:t>Reference</w:t>
            </w:r>
          </w:p>
        </w:tc>
      </w:tr>
      <w:tr w:rsidR="00D71B94" w:rsidRPr="0053439C" w14:paraId="69CFD61E" w14:textId="77777777" w:rsidTr="007E3239">
        <w:tc>
          <w:tcPr>
            <w:tcW w:w="2694" w:type="dxa"/>
          </w:tcPr>
          <w:p w14:paraId="448A84D9" w14:textId="77777777" w:rsidR="00D71B94" w:rsidRPr="0053439C" w:rsidRDefault="00D71B94" w:rsidP="007E3239">
            <w:pPr>
              <w:pStyle w:val="TableText"/>
              <w:rPr>
                <w:rFonts w:eastAsia="Calibri" w:cs="Calibri"/>
                <w:szCs w:val="16"/>
              </w:rPr>
            </w:pPr>
            <w:r w:rsidRPr="0053439C">
              <w:rPr>
                <w:rFonts w:eastAsia="Calibri" w:cs="Calibri"/>
                <w:szCs w:val="16"/>
              </w:rPr>
              <w:t>Bulk MSW DOC(kt C/kt waste)</w:t>
            </w:r>
          </w:p>
        </w:tc>
        <w:tc>
          <w:tcPr>
            <w:tcW w:w="992" w:type="dxa"/>
          </w:tcPr>
          <w:p w14:paraId="111751A0" w14:textId="77777777" w:rsidR="00D71B94" w:rsidRPr="0053439C" w:rsidRDefault="00D71B94" w:rsidP="007E3239">
            <w:pPr>
              <w:pStyle w:val="TableText"/>
              <w:rPr>
                <w:rFonts w:eastAsia="Calibri" w:cs="Calibri"/>
                <w:szCs w:val="16"/>
              </w:rPr>
            </w:pPr>
            <w:r w:rsidRPr="0053439C">
              <w:rPr>
                <w:rFonts w:eastAsia="Calibri" w:cs="Calibri"/>
                <w:szCs w:val="16"/>
              </w:rPr>
              <w:t>0.14</w:t>
            </w:r>
          </w:p>
        </w:tc>
        <w:tc>
          <w:tcPr>
            <w:tcW w:w="1984" w:type="dxa"/>
          </w:tcPr>
          <w:p w14:paraId="46A323F7" w14:textId="77777777" w:rsidR="00D71B94" w:rsidRPr="0053439C" w:rsidRDefault="00D71B94" w:rsidP="007E3239">
            <w:pPr>
              <w:pStyle w:val="TableText"/>
              <w:rPr>
                <w:rFonts w:eastAsia="Calibri" w:cs="Calibri"/>
                <w:szCs w:val="16"/>
              </w:rPr>
            </w:pPr>
            <w:r w:rsidRPr="0053439C">
              <w:rPr>
                <w:rFonts w:eastAsia="Calibri" w:cs="Calibri"/>
                <w:szCs w:val="16"/>
              </w:rPr>
              <w:t>IPCC default</w:t>
            </w:r>
          </w:p>
        </w:tc>
        <w:tc>
          <w:tcPr>
            <w:tcW w:w="2835" w:type="dxa"/>
          </w:tcPr>
          <w:p w14:paraId="7BA7A773" w14:textId="77777777" w:rsidR="00D71B94" w:rsidRPr="0053439C" w:rsidRDefault="00D71B94" w:rsidP="007E3239">
            <w:pPr>
              <w:pStyle w:val="TableText"/>
              <w:rPr>
                <w:rFonts w:eastAsia="Calibri" w:cs="Calibri"/>
                <w:szCs w:val="16"/>
              </w:rPr>
            </w:pPr>
            <w:r w:rsidRPr="0053439C">
              <w:rPr>
                <w:rFonts w:eastAsia="Calibri" w:cs="Calibri"/>
                <w:szCs w:val="16"/>
              </w:rPr>
              <w:t>IPCC, 2006d (worksheets for SWDS)</w:t>
            </w:r>
          </w:p>
        </w:tc>
      </w:tr>
      <w:tr w:rsidR="00D71B94" w:rsidRPr="0053439C" w14:paraId="2570002B" w14:textId="77777777" w:rsidTr="007E3239">
        <w:tc>
          <w:tcPr>
            <w:tcW w:w="2694" w:type="dxa"/>
          </w:tcPr>
          <w:p w14:paraId="65563A1A" w14:textId="77777777" w:rsidR="00D71B94" w:rsidRPr="0053439C" w:rsidRDefault="00D71B94" w:rsidP="007E3239">
            <w:pPr>
              <w:pStyle w:val="TableText"/>
              <w:rPr>
                <w:rFonts w:eastAsia="Calibri" w:cs="Calibri"/>
                <w:szCs w:val="16"/>
              </w:rPr>
            </w:pPr>
            <w:r w:rsidRPr="0053439C">
              <w:rPr>
                <w:rFonts w:eastAsia="Calibri" w:cs="Calibri"/>
                <w:szCs w:val="16"/>
              </w:rPr>
              <w:t>k-value</w:t>
            </w:r>
          </w:p>
        </w:tc>
        <w:tc>
          <w:tcPr>
            <w:tcW w:w="992" w:type="dxa"/>
          </w:tcPr>
          <w:p w14:paraId="37FFE54A" w14:textId="77777777" w:rsidR="00D71B94" w:rsidRPr="0053439C" w:rsidRDefault="00D71B94" w:rsidP="007E3239">
            <w:pPr>
              <w:pStyle w:val="TableText"/>
              <w:rPr>
                <w:rFonts w:eastAsia="Calibri" w:cs="Calibri"/>
                <w:szCs w:val="16"/>
              </w:rPr>
            </w:pPr>
            <w:r w:rsidRPr="0053439C">
              <w:rPr>
                <w:rFonts w:eastAsia="Calibri" w:cs="Calibri"/>
                <w:szCs w:val="16"/>
              </w:rPr>
              <w:t>0.17</w:t>
            </w:r>
          </w:p>
        </w:tc>
        <w:tc>
          <w:tcPr>
            <w:tcW w:w="1984" w:type="dxa"/>
          </w:tcPr>
          <w:p w14:paraId="6F0C2CA9" w14:textId="77777777" w:rsidR="00D71B94" w:rsidRPr="0053439C" w:rsidRDefault="00D71B94" w:rsidP="007E3239">
            <w:pPr>
              <w:pStyle w:val="TableText"/>
              <w:rPr>
                <w:rFonts w:eastAsia="Calibri" w:cs="Calibri"/>
                <w:szCs w:val="16"/>
              </w:rPr>
            </w:pPr>
            <w:r w:rsidRPr="0053439C">
              <w:rPr>
                <w:rFonts w:eastAsia="Calibri" w:cs="Calibri"/>
                <w:szCs w:val="16"/>
              </w:rPr>
              <w:t>IPCC default</w:t>
            </w:r>
          </w:p>
        </w:tc>
        <w:tc>
          <w:tcPr>
            <w:tcW w:w="2835" w:type="dxa"/>
          </w:tcPr>
          <w:p w14:paraId="411A34FF" w14:textId="77777777" w:rsidR="00D71B94" w:rsidRPr="0053439C" w:rsidRDefault="00D71B94" w:rsidP="007E3239">
            <w:pPr>
              <w:pStyle w:val="TableText"/>
              <w:rPr>
                <w:rFonts w:eastAsia="Calibri" w:cs="Calibri"/>
                <w:szCs w:val="16"/>
              </w:rPr>
            </w:pPr>
            <w:r w:rsidRPr="0053439C">
              <w:rPr>
                <w:rFonts w:eastAsia="Calibri" w:cs="Calibri"/>
                <w:szCs w:val="16"/>
              </w:rPr>
              <w:t>Table 3.2, IPCC, 2006d</w:t>
            </w:r>
          </w:p>
        </w:tc>
      </w:tr>
      <w:tr w:rsidR="00D71B94" w:rsidRPr="0053439C" w14:paraId="00C7A75C" w14:textId="77777777" w:rsidTr="007E3239">
        <w:tc>
          <w:tcPr>
            <w:tcW w:w="2694" w:type="dxa"/>
          </w:tcPr>
          <w:p w14:paraId="54C329D1" w14:textId="77777777" w:rsidR="00D71B94" w:rsidRPr="0053439C" w:rsidRDefault="00D71B94" w:rsidP="007E3239">
            <w:pPr>
              <w:pStyle w:val="TableText"/>
              <w:rPr>
                <w:rFonts w:eastAsia="Calibri" w:cs="Calibri"/>
                <w:szCs w:val="16"/>
              </w:rPr>
            </w:pPr>
            <w:r w:rsidRPr="0053439C">
              <w:rPr>
                <w:rFonts w:eastAsia="Calibri" w:cs="Calibri"/>
                <w:szCs w:val="16"/>
              </w:rPr>
              <w:t>Methane correction factor</w:t>
            </w:r>
          </w:p>
        </w:tc>
        <w:tc>
          <w:tcPr>
            <w:tcW w:w="992" w:type="dxa"/>
          </w:tcPr>
          <w:p w14:paraId="5E28199B" w14:textId="77777777" w:rsidR="00D71B94" w:rsidRPr="0053439C" w:rsidRDefault="00D71B94" w:rsidP="007E3239">
            <w:pPr>
              <w:pStyle w:val="TableText"/>
              <w:rPr>
                <w:rFonts w:eastAsia="Calibri" w:cs="Calibri"/>
                <w:szCs w:val="16"/>
              </w:rPr>
            </w:pPr>
            <w:r w:rsidRPr="0053439C">
              <w:rPr>
                <w:rFonts w:eastAsia="Calibri" w:cs="Calibri"/>
                <w:szCs w:val="16"/>
              </w:rPr>
              <w:t>0.6</w:t>
            </w:r>
          </w:p>
        </w:tc>
        <w:tc>
          <w:tcPr>
            <w:tcW w:w="1984" w:type="dxa"/>
          </w:tcPr>
          <w:p w14:paraId="436B319D" w14:textId="77777777" w:rsidR="00D71B94" w:rsidRPr="0053439C" w:rsidRDefault="00D71B94" w:rsidP="007E3239">
            <w:pPr>
              <w:pStyle w:val="TableText"/>
              <w:rPr>
                <w:rFonts w:eastAsia="Calibri" w:cs="Calibri"/>
                <w:szCs w:val="16"/>
              </w:rPr>
            </w:pPr>
            <w:r w:rsidRPr="0053439C">
              <w:rPr>
                <w:rFonts w:eastAsia="Calibri" w:cs="Calibri"/>
                <w:szCs w:val="16"/>
              </w:rPr>
              <w:t>IPCC default</w:t>
            </w:r>
          </w:p>
        </w:tc>
        <w:tc>
          <w:tcPr>
            <w:tcW w:w="2835" w:type="dxa"/>
          </w:tcPr>
          <w:p w14:paraId="025B39DE" w14:textId="77777777" w:rsidR="00D71B94" w:rsidRPr="0053439C" w:rsidRDefault="00D71B94" w:rsidP="007E3239">
            <w:pPr>
              <w:pStyle w:val="TableText"/>
              <w:rPr>
                <w:rFonts w:eastAsia="Calibri" w:cs="Calibri"/>
                <w:szCs w:val="16"/>
              </w:rPr>
            </w:pPr>
            <w:r w:rsidRPr="0053439C">
              <w:rPr>
                <w:rFonts w:eastAsia="Calibri" w:cs="Calibri"/>
                <w:szCs w:val="16"/>
              </w:rPr>
              <w:t>Table 3.1, IPCC, 2006d</w:t>
            </w:r>
          </w:p>
        </w:tc>
      </w:tr>
      <w:tr w:rsidR="00D71B94" w:rsidRPr="0053439C" w14:paraId="3254A571" w14:textId="77777777" w:rsidTr="007E3239">
        <w:tc>
          <w:tcPr>
            <w:tcW w:w="2694" w:type="dxa"/>
          </w:tcPr>
          <w:p w14:paraId="066C2043" w14:textId="77777777" w:rsidR="00D71B94" w:rsidRPr="0053439C" w:rsidRDefault="00D71B94" w:rsidP="007E3239">
            <w:pPr>
              <w:pStyle w:val="TableText"/>
              <w:rPr>
                <w:rFonts w:eastAsia="Calibri" w:cs="Calibri"/>
                <w:szCs w:val="16"/>
              </w:rPr>
            </w:pPr>
            <w:r w:rsidRPr="0053439C">
              <w:rPr>
                <w:rFonts w:eastAsia="Calibri" w:cs="Calibri"/>
                <w:szCs w:val="16"/>
              </w:rPr>
              <w:t>Oxidation factor</w:t>
            </w:r>
          </w:p>
        </w:tc>
        <w:tc>
          <w:tcPr>
            <w:tcW w:w="992" w:type="dxa"/>
          </w:tcPr>
          <w:p w14:paraId="7D1E5869" w14:textId="77777777" w:rsidR="00D71B94" w:rsidRPr="0053439C" w:rsidRDefault="00D71B94" w:rsidP="007E3239">
            <w:pPr>
              <w:pStyle w:val="TableText"/>
              <w:rPr>
                <w:rFonts w:eastAsia="Calibri" w:cs="Calibri"/>
                <w:szCs w:val="16"/>
              </w:rPr>
            </w:pPr>
            <w:r w:rsidRPr="0053439C">
              <w:rPr>
                <w:rFonts w:eastAsia="Calibri" w:cs="Calibri"/>
                <w:szCs w:val="16"/>
              </w:rPr>
              <w:t>0 per cent</w:t>
            </w:r>
          </w:p>
        </w:tc>
        <w:tc>
          <w:tcPr>
            <w:tcW w:w="1984" w:type="dxa"/>
          </w:tcPr>
          <w:p w14:paraId="1032BC6C" w14:textId="77777777" w:rsidR="00D71B94" w:rsidRPr="0053439C" w:rsidRDefault="00D71B94" w:rsidP="007E3239">
            <w:pPr>
              <w:pStyle w:val="TableText"/>
              <w:rPr>
                <w:rFonts w:eastAsia="Calibri" w:cs="Calibri"/>
                <w:szCs w:val="16"/>
              </w:rPr>
            </w:pPr>
            <w:r w:rsidRPr="0053439C">
              <w:rPr>
                <w:rFonts w:eastAsia="Calibri" w:cs="Calibri"/>
                <w:szCs w:val="16"/>
              </w:rPr>
              <w:t>IPCC default</w:t>
            </w:r>
          </w:p>
        </w:tc>
        <w:tc>
          <w:tcPr>
            <w:tcW w:w="2835" w:type="dxa"/>
          </w:tcPr>
          <w:p w14:paraId="05734617" w14:textId="77777777" w:rsidR="00D71B94" w:rsidRPr="0053439C" w:rsidRDefault="00D71B94" w:rsidP="007E3239">
            <w:pPr>
              <w:pStyle w:val="TableText"/>
              <w:rPr>
                <w:rFonts w:eastAsia="Calibri" w:cs="Calibri"/>
                <w:szCs w:val="16"/>
              </w:rPr>
            </w:pPr>
            <w:r w:rsidRPr="0053439C">
              <w:rPr>
                <w:rFonts w:eastAsia="Calibri" w:cs="Calibri"/>
                <w:szCs w:val="16"/>
              </w:rPr>
              <w:t>Table 3.2, IPCC, 2006d</w:t>
            </w:r>
          </w:p>
        </w:tc>
      </w:tr>
      <w:tr w:rsidR="00D71B94" w:rsidRPr="0053439C" w14:paraId="17E18815" w14:textId="77777777" w:rsidTr="007E3239">
        <w:tc>
          <w:tcPr>
            <w:tcW w:w="2694" w:type="dxa"/>
          </w:tcPr>
          <w:p w14:paraId="745BA5A8" w14:textId="77777777" w:rsidR="00D71B94" w:rsidRPr="0053439C" w:rsidRDefault="00D71B94" w:rsidP="007E3239">
            <w:pPr>
              <w:pStyle w:val="TableText"/>
              <w:rPr>
                <w:rFonts w:eastAsia="Calibri" w:cs="Calibri"/>
                <w:szCs w:val="16"/>
              </w:rPr>
            </w:pPr>
            <w:r w:rsidRPr="0053439C">
              <w:rPr>
                <w:rFonts w:eastAsia="Calibri" w:cs="Calibri"/>
                <w:szCs w:val="16"/>
              </w:rPr>
              <w:t>Starting year</w:t>
            </w:r>
          </w:p>
        </w:tc>
        <w:tc>
          <w:tcPr>
            <w:tcW w:w="992" w:type="dxa"/>
          </w:tcPr>
          <w:p w14:paraId="7AEF146A" w14:textId="77777777" w:rsidR="00D71B94" w:rsidRPr="0053439C" w:rsidRDefault="00D71B94" w:rsidP="007E3239">
            <w:pPr>
              <w:pStyle w:val="TableText"/>
              <w:rPr>
                <w:rFonts w:eastAsia="Calibri" w:cs="Calibri"/>
                <w:szCs w:val="16"/>
              </w:rPr>
            </w:pPr>
            <w:r w:rsidRPr="0053439C">
              <w:rPr>
                <w:rFonts w:eastAsia="Calibri" w:cs="Calibri"/>
                <w:szCs w:val="16"/>
              </w:rPr>
              <w:t>1950</w:t>
            </w:r>
          </w:p>
        </w:tc>
        <w:tc>
          <w:tcPr>
            <w:tcW w:w="1984" w:type="dxa"/>
          </w:tcPr>
          <w:p w14:paraId="40EF2669" w14:textId="77777777" w:rsidR="00D71B94" w:rsidRPr="0053439C" w:rsidRDefault="00D71B94" w:rsidP="007E3239">
            <w:pPr>
              <w:pStyle w:val="TableText"/>
              <w:rPr>
                <w:rFonts w:eastAsia="Calibri" w:cs="Calibri"/>
                <w:szCs w:val="16"/>
              </w:rPr>
            </w:pPr>
            <w:r w:rsidRPr="0053439C">
              <w:rPr>
                <w:rFonts w:eastAsia="Calibri" w:cs="Calibri"/>
                <w:szCs w:val="16"/>
              </w:rPr>
              <w:t>IPCC default</w:t>
            </w:r>
          </w:p>
        </w:tc>
        <w:tc>
          <w:tcPr>
            <w:tcW w:w="2835" w:type="dxa"/>
          </w:tcPr>
          <w:p w14:paraId="31A16662" w14:textId="77777777" w:rsidR="00D71B94" w:rsidRPr="0053439C" w:rsidRDefault="00D71B94" w:rsidP="007E3239">
            <w:pPr>
              <w:pStyle w:val="TableText"/>
              <w:rPr>
                <w:rFonts w:eastAsia="Calibri" w:cs="Calibri"/>
                <w:szCs w:val="16"/>
              </w:rPr>
            </w:pPr>
            <w:r w:rsidRPr="0053439C">
              <w:rPr>
                <w:rFonts w:eastAsia="Calibri" w:cs="Calibri"/>
                <w:szCs w:val="16"/>
              </w:rPr>
              <w:t>Section 3.6, p 3.24, IPCC, 2006d</w:t>
            </w:r>
          </w:p>
        </w:tc>
      </w:tr>
      <w:tr w:rsidR="00D71B94" w:rsidRPr="0053439C" w14:paraId="4A5690CC" w14:textId="77777777" w:rsidTr="007E3239">
        <w:tc>
          <w:tcPr>
            <w:tcW w:w="2694" w:type="dxa"/>
          </w:tcPr>
          <w:p w14:paraId="422E563C" w14:textId="77777777" w:rsidR="00D71B94" w:rsidRPr="0053439C" w:rsidRDefault="00D71B94" w:rsidP="007E3239">
            <w:pPr>
              <w:pStyle w:val="TableText"/>
              <w:rPr>
                <w:rFonts w:eastAsia="Calibri" w:cs="Calibri"/>
                <w:szCs w:val="16"/>
              </w:rPr>
            </w:pPr>
            <w:r w:rsidRPr="0053439C">
              <w:rPr>
                <w:rFonts w:eastAsia="Calibri" w:cs="Calibri"/>
                <w:szCs w:val="16"/>
              </w:rPr>
              <w:t>Delay time</w:t>
            </w:r>
          </w:p>
        </w:tc>
        <w:tc>
          <w:tcPr>
            <w:tcW w:w="992" w:type="dxa"/>
          </w:tcPr>
          <w:p w14:paraId="06AF1604" w14:textId="77777777" w:rsidR="00D71B94" w:rsidRPr="0053439C" w:rsidRDefault="00D71B94" w:rsidP="007E3239">
            <w:pPr>
              <w:pStyle w:val="TableText"/>
              <w:rPr>
                <w:rFonts w:eastAsia="Calibri" w:cs="Calibri"/>
                <w:szCs w:val="16"/>
              </w:rPr>
            </w:pPr>
            <w:r w:rsidRPr="0053439C">
              <w:rPr>
                <w:rFonts w:eastAsia="Calibri" w:cs="Calibri"/>
                <w:szCs w:val="16"/>
              </w:rPr>
              <w:t>6 months</w:t>
            </w:r>
          </w:p>
        </w:tc>
        <w:tc>
          <w:tcPr>
            <w:tcW w:w="1984" w:type="dxa"/>
          </w:tcPr>
          <w:p w14:paraId="05EC3F3E" w14:textId="77777777" w:rsidR="00D71B94" w:rsidRPr="0053439C" w:rsidRDefault="00D71B94" w:rsidP="007E3239">
            <w:pPr>
              <w:pStyle w:val="TableText"/>
              <w:rPr>
                <w:rFonts w:eastAsia="Calibri" w:cs="Calibri"/>
                <w:szCs w:val="16"/>
              </w:rPr>
            </w:pPr>
            <w:r w:rsidRPr="0053439C">
              <w:rPr>
                <w:rFonts w:eastAsia="Calibri" w:cs="Calibri"/>
                <w:szCs w:val="16"/>
              </w:rPr>
              <w:t>IPCC default</w:t>
            </w:r>
          </w:p>
        </w:tc>
        <w:tc>
          <w:tcPr>
            <w:tcW w:w="2835" w:type="dxa"/>
          </w:tcPr>
          <w:p w14:paraId="5342F24F" w14:textId="77777777" w:rsidR="00D71B94" w:rsidRPr="0053439C" w:rsidRDefault="00D71B94" w:rsidP="007E3239">
            <w:pPr>
              <w:pStyle w:val="TableText"/>
              <w:rPr>
                <w:rFonts w:eastAsia="Calibri" w:cs="Calibri"/>
                <w:szCs w:val="16"/>
              </w:rPr>
            </w:pPr>
            <w:r w:rsidRPr="0053439C">
              <w:rPr>
                <w:rFonts w:eastAsia="Calibri" w:cs="Calibri"/>
                <w:szCs w:val="16"/>
              </w:rPr>
              <w:t>Section 3.2.3, p 3.19, IPCC, 2006d</w:t>
            </w:r>
          </w:p>
        </w:tc>
      </w:tr>
      <w:tr w:rsidR="00D71B94" w:rsidRPr="0053439C" w14:paraId="072ACED2" w14:textId="77777777" w:rsidTr="007E3239">
        <w:tc>
          <w:tcPr>
            <w:tcW w:w="2694" w:type="dxa"/>
          </w:tcPr>
          <w:p w14:paraId="75FDC29D" w14:textId="77777777" w:rsidR="00D71B94" w:rsidRPr="0053439C" w:rsidRDefault="00D71B94" w:rsidP="007E3239">
            <w:pPr>
              <w:pStyle w:val="TableText"/>
              <w:rPr>
                <w:rFonts w:eastAsia="Calibri" w:cs="Calibri"/>
                <w:szCs w:val="16"/>
              </w:rPr>
            </w:pPr>
            <w:r w:rsidRPr="0053439C">
              <w:rPr>
                <w:rFonts w:eastAsia="Calibri" w:cs="Calibri"/>
                <w:szCs w:val="16"/>
              </w:rPr>
              <w:t>Fraction of DOC that decomposes</w:t>
            </w:r>
          </w:p>
        </w:tc>
        <w:tc>
          <w:tcPr>
            <w:tcW w:w="992" w:type="dxa"/>
          </w:tcPr>
          <w:p w14:paraId="231FFF71" w14:textId="77777777" w:rsidR="00D71B94" w:rsidRPr="0053439C" w:rsidRDefault="00D71B94" w:rsidP="007E3239">
            <w:pPr>
              <w:pStyle w:val="TableText"/>
              <w:rPr>
                <w:rFonts w:eastAsia="Calibri" w:cs="Calibri"/>
                <w:szCs w:val="16"/>
              </w:rPr>
            </w:pPr>
            <w:r w:rsidRPr="0053439C">
              <w:rPr>
                <w:rFonts w:eastAsia="Calibri" w:cs="Calibri"/>
                <w:szCs w:val="16"/>
              </w:rPr>
              <w:t>0.5</w:t>
            </w:r>
          </w:p>
        </w:tc>
        <w:tc>
          <w:tcPr>
            <w:tcW w:w="1984" w:type="dxa"/>
          </w:tcPr>
          <w:p w14:paraId="1D975603" w14:textId="77777777" w:rsidR="00D71B94" w:rsidRPr="0053439C" w:rsidRDefault="00D71B94" w:rsidP="007E3239">
            <w:pPr>
              <w:pStyle w:val="TableText"/>
              <w:rPr>
                <w:rFonts w:eastAsia="Calibri" w:cs="Calibri"/>
                <w:szCs w:val="16"/>
              </w:rPr>
            </w:pPr>
            <w:r w:rsidRPr="0053439C">
              <w:rPr>
                <w:rFonts w:eastAsia="Calibri" w:cs="Calibri"/>
                <w:szCs w:val="16"/>
              </w:rPr>
              <w:t>IPCC default</w:t>
            </w:r>
          </w:p>
        </w:tc>
        <w:tc>
          <w:tcPr>
            <w:tcW w:w="2835" w:type="dxa"/>
          </w:tcPr>
          <w:p w14:paraId="51CB8143" w14:textId="77777777" w:rsidR="00D71B94" w:rsidRPr="0053439C" w:rsidRDefault="00D71B94" w:rsidP="007E3239">
            <w:pPr>
              <w:pStyle w:val="TableText"/>
              <w:rPr>
                <w:rFonts w:eastAsia="Calibri" w:cs="Calibri"/>
                <w:szCs w:val="16"/>
              </w:rPr>
            </w:pPr>
            <w:r w:rsidRPr="0053439C">
              <w:rPr>
                <w:rFonts w:eastAsia="Calibri" w:cs="Calibri"/>
                <w:szCs w:val="16"/>
              </w:rPr>
              <w:t>Section 3.2.3, p 3.13, IPCC, 2006d</w:t>
            </w:r>
          </w:p>
        </w:tc>
      </w:tr>
      <w:tr w:rsidR="00D71B94" w:rsidRPr="0053439C" w14:paraId="59CBE54E" w14:textId="77777777" w:rsidTr="007E3239">
        <w:tc>
          <w:tcPr>
            <w:tcW w:w="2694" w:type="dxa"/>
          </w:tcPr>
          <w:p w14:paraId="104CFBD9" w14:textId="77777777" w:rsidR="00D71B94" w:rsidRPr="0053439C" w:rsidRDefault="00D71B94" w:rsidP="007E3239">
            <w:pPr>
              <w:pStyle w:val="TableText"/>
              <w:rPr>
                <w:rFonts w:eastAsia="Calibri" w:cs="Calibri"/>
                <w:szCs w:val="16"/>
              </w:rPr>
            </w:pPr>
            <w:r w:rsidRPr="0053439C">
              <w:rPr>
                <w:rFonts w:eastAsia="Calibri" w:cs="Calibri"/>
                <w:szCs w:val="16"/>
              </w:rPr>
              <w:t>Fraction of CH</w:t>
            </w:r>
            <w:r w:rsidRPr="0053439C">
              <w:rPr>
                <w:rFonts w:eastAsia="Calibri" w:cs="Calibri"/>
                <w:szCs w:val="16"/>
                <w:vertAlign w:val="subscript"/>
              </w:rPr>
              <w:t>4</w:t>
            </w:r>
            <w:r w:rsidRPr="0053439C">
              <w:rPr>
                <w:rFonts w:eastAsia="Calibri" w:cs="Calibri"/>
                <w:szCs w:val="16"/>
              </w:rPr>
              <w:t xml:space="preserve"> in gas</w:t>
            </w:r>
          </w:p>
        </w:tc>
        <w:tc>
          <w:tcPr>
            <w:tcW w:w="992" w:type="dxa"/>
          </w:tcPr>
          <w:p w14:paraId="74667817" w14:textId="77777777" w:rsidR="00D71B94" w:rsidRPr="0053439C" w:rsidRDefault="00D71B94" w:rsidP="007E3239">
            <w:pPr>
              <w:pStyle w:val="TableText"/>
              <w:rPr>
                <w:rFonts w:eastAsia="Calibri" w:cs="Calibri"/>
                <w:szCs w:val="16"/>
              </w:rPr>
            </w:pPr>
            <w:r w:rsidRPr="0053439C">
              <w:rPr>
                <w:rFonts w:eastAsia="Calibri" w:cs="Calibri"/>
                <w:szCs w:val="16"/>
              </w:rPr>
              <w:t>0.5</w:t>
            </w:r>
          </w:p>
        </w:tc>
        <w:tc>
          <w:tcPr>
            <w:tcW w:w="1984" w:type="dxa"/>
          </w:tcPr>
          <w:p w14:paraId="1A19F668" w14:textId="77777777" w:rsidR="00D71B94" w:rsidRPr="0053439C" w:rsidRDefault="00D71B94" w:rsidP="007E3239">
            <w:pPr>
              <w:pStyle w:val="TableText"/>
              <w:rPr>
                <w:rFonts w:eastAsia="Calibri" w:cs="Calibri"/>
                <w:szCs w:val="16"/>
              </w:rPr>
            </w:pPr>
            <w:r w:rsidRPr="0053439C">
              <w:rPr>
                <w:rFonts w:eastAsia="Calibri" w:cs="Calibri"/>
                <w:szCs w:val="16"/>
              </w:rPr>
              <w:t>IPCC default</w:t>
            </w:r>
          </w:p>
        </w:tc>
        <w:tc>
          <w:tcPr>
            <w:tcW w:w="2835" w:type="dxa"/>
          </w:tcPr>
          <w:p w14:paraId="710EA48F" w14:textId="77777777" w:rsidR="00D71B94" w:rsidRPr="0053439C" w:rsidRDefault="00D71B94" w:rsidP="007E3239">
            <w:pPr>
              <w:pStyle w:val="TableText"/>
              <w:rPr>
                <w:rFonts w:eastAsia="Calibri" w:cs="Calibri"/>
                <w:szCs w:val="16"/>
              </w:rPr>
            </w:pPr>
            <w:r w:rsidRPr="0053439C">
              <w:rPr>
                <w:rFonts w:eastAsia="Calibri" w:cs="Calibri"/>
                <w:szCs w:val="16"/>
              </w:rPr>
              <w:t>Section 3.2.3, p 3.15, IPCC, 2006d</w:t>
            </w:r>
          </w:p>
        </w:tc>
      </w:tr>
      <w:tr w:rsidR="00D71B94" w:rsidRPr="0053439C" w14:paraId="36575A99" w14:textId="77777777" w:rsidTr="007E3239">
        <w:tc>
          <w:tcPr>
            <w:tcW w:w="2694" w:type="dxa"/>
          </w:tcPr>
          <w:p w14:paraId="7E28B5C7" w14:textId="77777777" w:rsidR="00D71B94" w:rsidRPr="0053439C" w:rsidRDefault="00D71B94" w:rsidP="007E3239">
            <w:pPr>
              <w:pStyle w:val="TableText"/>
              <w:rPr>
                <w:rFonts w:eastAsia="Calibri" w:cs="Calibri"/>
                <w:szCs w:val="16"/>
              </w:rPr>
            </w:pPr>
            <w:r w:rsidRPr="0053439C">
              <w:rPr>
                <w:rFonts w:eastAsia="Calibri" w:cs="Calibri"/>
                <w:szCs w:val="16"/>
              </w:rPr>
              <w:t>Amount of waste per person per year</w:t>
            </w:r>
          </w:p>
        </w:tc>
        <w:tc>
          <w:tcPr>
            <w:tcW w:w="992" w:type="dxa"/>
          </w:tcPr>
          <w:p w14:paraId="7AD28854" w14:textId="77777777" w:rsidR="00D71B94" w:rsidRPr="0053439C" w:rsidRDefault="00D71B94" w:rsidP="007E3239">
            <w:pPr>
              <w:pStyle w:val="TableText"/>
              <w:rPr>
                <w:rFonts w:eastAsia="Calibri" w:cs="Calibri"/>
                <w:szCs w:val="16"/>
              </w:rPr>
            </w:pPr>
            <w:r w:rsidRPr="0053439C">
              <w:rPr>
                <w:rFonts w:eastAsia="Calibri" w:cs="Calibri"/>
                <w:szCs w:val="16"/>
              </w:rPr>
              <w:t>690 kg</w:t>
            </w:r>
          </w:p>
        </w:tc>
        <w:tc>
          <w:tcPr>
            <w:tcW w:w="1984" w:type="dxa"/>
          </w:tcPr>
          <w:p w14:paraId="79C4F43A" w14:textId="77777777" w:rsidR="00D71B94" w:rsidRPr="0053439C" w:rsidRDefault="00D71B94" w:rsidP="007E3239">
            <w:pPr>
              <w:pStyle w:val="TableText"/>
              <w:rPr>
                <w:rFonts w:eastAsia="Calibri" w:cs="Calibri"/>
                <w:szCs w:val="16"/>
              </w:rPr>
            </w:pPr>
            <w:r w:rsidRPr="0053439C">
              <w:rPr>
                <w:rFonts w:eastAsia="Calibri" w:cs="Calibri"/>
                <w:szCs w:val="16"/>
              </w:rPr>
              <w:t>IPCC default for Oceania</w:t>
            </w:r>
          </w:p>
        </w:tc>
        <w:tc>
          <w:tcPr>
            <w:tcW w:w="2835" w:type="dxa"/>
          </w:tcPr>
          <w:p w14:paraId="13DA3CB3" w14:textId="77777777" w:rsidR="00D71B94" w:rsidRPr="0053439C" w:rsidRDefault="00D71B94" w:rsidP="007E3239">
            <w:pPr>
              <w:pStyle w:val="TableText"/>
              <w:rPr>
                <w:rFonts w:eastAsia="Calibri" w:cs="Calibri"/>
                <w:szCs w:val="16"/>
              </w:rPr>
            </w:pPr>
            <w:r w:rsidRPr="0053439C">
              <w:rPr>
                <w:rFonts w:eastAsia="Calibri" w:cs="Calibri"/>
                <w:szCs w:val="16"/>
              </w:rPr>
              <w:t xml:space="preserve">Annex 2A.1, IPCC, 2006d </w:t>
            </w:r>
          </w:p>
        </w:tc>
      </w:tr>
      <w:tr w:rsidR="00D71B94" w:rsidRPr="0053439C" w14:paraId="2C9C4C54" w14:textId="77777777" w:rsidTr="007E3239">
        <w:tc>
          <w:tcPr>
            <w:tcW w:w="2694" w:type="dxa"/>
          </w:tcPr>
          <w:p w14:paraId="503B6291" w14:textId="77777777" w:rsidR="00D71B94" w:rsidRPr="0053439C" w:rsidRDefault="00D71B94" w:rsidP="007E3239">
            <w:pPr>
              <w:pStyle w:val="TableText"/>
              <w:rPr>
                <w:rFonts w:eastAsia="Calibri" w:cs="Calibri"/>
                <w:szCs w:val="16"/>
              </w:rPr>
            </w:pPr>
            <w:r w:rsidRPr="0053439C">
              <w:rPr>
                <w:rFonts w:eastAsia="Calibri" w:cs="Calibri"/>
                <w:szCs w:val="16"/>
              </w:rPr>
              <w:t>Amount of waste landfilled</w:t>
            </w:r>
          </w:p>
        </w:tc>
        <w:tc>
          <w:tcPr>
            <w:tcW w:w="992" w:type="dxa"/>
          </w:tcPr>
          <w:p w14:paraId="11413D5B" w14:textId="77777777" w:rsidR="00D71B94" w:rsidRPr="0053439C" w:rsidRDefault="00D71B94" w:rsidP="007E3239">
            <w:pPr>
              <w:pStyle w:val="TableText"/>
              <w:rPr>
                <w:rFonts w:eastAsia="Calibri" w:cs="Calibri"/>
                <w:szCs w:val="16"/>
              </w:rPr>
            </w:pPr>
            <w:r w:rsidRPr="0053439C">
              <w:rPr>
                <w:rFonts w:eastAsia="Calibri" w:cs="Calibri"/>
                <w:szCs w:val="16"/>
              </w:rPr>
              <w:t>50 per cent</w:t>
            </w:r>
          </w:p>
        </w:tc>
        <w:tc>
          <w:tcPr>
            <w:tcW w:w="1984" w:type="dxa"/>
          </w:tcPr>
          <w:p w14:paraId="0EDB7606" w14:textId="77777777" w:rsidR="00D71B94" w:rsidRPr="0053439C" w:rsidRDefault="00D71B94" w:rsidP="007E3239">
            <w:pPr>
              <w:pStyle w:val="TableText"/>
              <w:rPr>
                <w:rFonts w:eastAsia="Calibri" w:cs="Calibri"/>
                <w:szCs w:val="16"/>
              </w:rPr>
            </w:pPr>
            <w:r w:rsidRPr="0053439C">
              <w:rPr>
                <w:rFonts w:eastAsia="Calibri" w:cs="Calibri"/>
                <w:szCs w:val="16"/>
              </w:rPr>
              <w:t>Assumption</w:t>
            </w:r>
          </w:p>
        </w:tc>
        <w:tc>
          <w:tcPr>
            <w:tcW w:w="2835" w:type="dxa"/>
          </w:tcPr>
          <w:p w14:paraId="144B6CDE" w14:textId="77777777" w:rsidR="00D71B94" w:rsidRPr="0053439C" w:rsidRDefault="00D71B94" w:rsidP="007E3239">
            <w:pPr>
              <w:pStyle w:val="TableText"/>
              <w:rPr>
                <w:rFonts w:eastAsia="Calibri" w:cs="Calibri"/>
                <w:szCs w:val="16"/>
              </w:rPr>
            </w:pPr>
          </w:p>
        </w:tc>
      </w:tr>
    </w:tbl>
    <w:p w14:paraId="0328F787" w14:textId="77777777" w:rsidR="00D71B94" w:rsidRPr="0053439C" w:rsidRDefault="00D71B94" w:rsidP="00D71B94">
      <w:pPr>
        <w:pStyle w:val="Noteundertable"/>
      </w:pPr>
      <w:r w:rsidRPr="0053439C">
        <w:rPr>
          <w:b/>
        </w:rPr>
        <w:t>Note:</w:t>
      </w:r>
      <w:r w:rsidRPr="0053439C">
        <w:t xml:space="preserve"> </w:t>
      </w:r>
      <w:r w:rsidRPr="0053439C">
        <w:tab/>
        <w:t xml:space="preserve">MSW = municipal waste disposal; </w:t>
      </w:r>
      <w:r w:rsidRPr="0053439C">
        <w:rPr>
          <w:rFonts w:eastAsia="Calibri"/>
        </w:rPr>
        <w:t>DOC</w:t>
      </w:r>
      <w:r w:rsidRPr="0053439C">
        <w:t xml:space="preserve"> = degradable organic carbon; SWDS = solid waste disposable sites.</w:t>
      </w:r>
    </w:p>
    <w:p w14:paraId="55ACB4AF" w14:textId="77777777" w:rsidR="00D71B94" w:rsidRPr="0053439C" w:rsidRDefault="00D71B94" w:rsidP="00D71B94">
      <w:pPr>
        <w:pStyle w:val="Heading4"/>
      </w:pPr>
      <w:r w:rsidRPr="0053439C">
        <w:t>Uncertainty</w:t>
      </w:r>
    </w:p>
    <w:p w14:paraId="5D9C71B8" w14:textId="77777777" w:rsidR="00D71B94" w:rsidRPr="0053439C" w:rsidRDefault="00D71B94" w:rsidP="00D71B94">
      <w:pPr>
        <w:pStyle w:val="BodyText"/>
      </w:pPr>
      <w:r w:rsidRPr="0053439C">
        <w:t>The same uncertainty data for uncategorised landfills were used for Tokelau and New Zealand (see table 7.2.9, chapter 7; for methodological notes, refer to the uncertainties</w:t>
      </w:r>
      <w:r w:rsidRPr="0053439C">
        <w:rPr>
          <w:i/>
        </w:rPr>
        <w:t xml:space="preserve"> </w:t>
      </w:r>
      <w:r w:rsidRPr="0053439C">
        <w:t>for the</w:t>
      </w:r>
      <w:r w:rsidRPr="0053439C">
        <w:rPr>
          <w:i/>
        </w:rPr>
        <w:t xml:space="preserve"> Solid waste</w:t>
      </w:r>
      <w:r w:rsidRPr="0053439C">
        <w:t xml:space="preserve"> category, section 7.2.3, chapter 7, and table 8.5.2). </w:t>
      </w:r>
    </w:p>
    <w:p w14:paraId="55C39003" w14:textId="77777777" w:rsidR="00D71B94" w:rsidRPr="0053439C" w:rsidRDefault="00D71B94" w:rsidP="00D71B94">
      <w:pPr>
        <w:pStyle w:val="Table"/>
      </w:pPr>
      <w:bookmarkStart w:id="2595" w:name="_Toc5269603"/>
      <w:bookmarkStart w:id="2596" w:name="_Toc36224684"/>
      <w:bookmarkStart w:id="2597" w:name="_Toc68786570"/>
      <w:bookmarkStart w:id="2598" w:name="_Toc99659365"/>
      <w:r w:rsidRPr="00505B35">
        <w:t>Table 8.5.2</w:t>
      </w:r>
      <w:r w:rsidRPr="00505B35">
        <w:tab/>
        <w:t xml:space="preserve">Uncertainty in emissions from the </w:t>
      </w:r>
      <w:r w:rsidRPr="00505B35">
        <w:rPr>
          <w:i/>
        </w:rPr>
        <w:t>Solid waste disposal</w:t>
      </w:r>
      <w:r w:rsidRPr="00505B35">
        <w:t xml:space="preserve"> category</w:t>
      </w:r>
      <w:bookmarkEnd w:id="2595"/>
      <w:bookmarkEnd w:id="2596"/>
      <w:bookmarkEnd w:id="2597"/>
      <w:bookmarkEnd w:id="2598"/>
    </w:p>
    <w:tbl>
      <w:tblPr>
        <w:tblW w:w="8505" w:type="dxa"/>
        <w:tblInd w:w="113" w:type="dxa"/>
        <w:tblBorders>
          <w:top w:val="single" w:sz="4" w:space="0" w:color="1B556B"/>
          <w:bottom w:val="single" w:sz="4" w:space="0" w:color="1B556B"/>
          <w:insideH w:val="single" w:sz="4" w:space="0" w:color="1B556B"/>
        </w:tblBorders>
        <w:tblCellMar>
          <w:left w:w="0" w:type="dxa"/>
          <w:right w:w="0" w:type="dxa"/>
        </w:tblCellMar>
        <w:tblLook w:val="04A0" w:firstRow="1" w:lastRow="0" w:firstColumn="1" w:lastColumn="0" w:noHBand="0" w:noVBand="1"/>
      </w:tblPr>
      <w:tblGrid>
        <w:gridCol w:w="2835"/>
        <w:gridCol w:w="2694"/>
        <w:gridCol w:w="2976"/>
      </w:tblGrid>
      <w:tr w:rsidR="00D71B94" w:rsidRPr="0053439C" w14:paraId="777AC387" w14:textId="77777777" w:rsidTr="007E3239">
        <w:trPr>
          <w:tblHeader/>
        </w:trPr>
        <w:tc>
          <w:tcPr>
            <w:tcW w:w="2835" w:type="dxa"/>
            <w:tcBorders>
              <w:right w:val="single" w:sz="4" w:space="0" w:color="1B556B"/>
            </w:tcBorders>
            <w:shd w:val="clear" w:color="auto" w:fill="1B556B"/>
            <w:tcMar>
              <w:top w:w="0" w:type="dxa"/>
              <w:left w:w="108" w:type="dxa"/>
              <w:bottom w:w="0" w:type="dxa"/>
              <w:right w:w="108" w:type="dxa"/>
            </w:tcMar>
            <w:vAlign w:val="bottom"/>
            <w:hideMark/>
          </w:tcPr>
          <w:p w14:paraId="4A7899B5" w14:textId="77777777" w:rsidR="00D71B94" w:rsidRPr="0053439C" w:rsidRDefault="00D71B94" w:rsidP="007E3239">
            <w:pPr>
              <w:pStyle w:val="TableTextBold"/>
              <w:keepNext/>
              <w:spacing w:before="50" w:after="50"/>
              <w:rPr>
                <w:noProof w:val="0"/>
                <w:color w:val="FFFFFF"/>
                <w:szCs w:val="16"/>
              </w:rPr>
            </w:pPr>
            <w:r w:rsidRPr="0053439C">
              <w:rPr>
                <w:noProof w:val="0"/>
                <w:color w:val="FFFFFF"/>
                <w:szCs w:val="16"/>
              </w:rPr>
              <w:t>Emissions category</w:t>
            </w:r>
          </w:p>
        </w:tc>
        <w:tc>
          <w:tcPr>
            <w:tcW w:w="2694" w:type="dxa"/>
            <w:tcBorders>
              <w:left w:val="single" w:sz="4" w:space="0" w:color="1B556B"/>
              <w:right w:val="single" w:sz="4" w:space="0" w:color="1B556B"/>
            </w:tcBorders>
            <w:shd w:val="clear" w:color="auto" w:fill="1B556B"/>
            <w:tcMar>
              <w:top w:w="0" w:type="dxa"/>
              <w:left w:w="108" w:type="dxa"/>
              <w:bottom w:w="0" w:type="dxa"/>
              <w:right w:w="108" w:type="dxa"/>
            </w:tcMar>
            <w:vAlign w:val="bottom"/>
            <w:hideMark/>
          </w:tcPr>
          <w:p w14:paraId="0FAD8DB2" w14:textId="77777777" w:rsidR="00D71B94" w:rsidRPr="0053439C" w:rsidRDefault="00D71B94" w:rsidP="007E3239">
            <w:pPr>
              <w:pStyle w:val="TableTextBold"/>
              <w:keepNext/>
              <w:spacing w:before="50" w:after="50"/>
              <w:jc w:val="center"/>
              <w:rPr>
                <w:noProof w:val="0"/>
                <w:color w:val="FFFFFF"/>
                <w:szCs w:val="16"/>
              </w:rPr>
            </w:pPr>
            <w:r w:rsidRPr="0053439C">
              <w:rPr>
                <w:noProof w:val="0"/>
                <w:color w:val="FFFFFF"/>
                <w:szCs w:val="16"/>
              </w:rPr>
              <w:t>Uncertainty in activity data (%)</w:t>
            </w:r>
          </w:p>
        </w:tc>
        <w:tc>
          <w:tcPr>
            <w:tcW w:w="2976" w:type="dxa"/>
            <w:tcBorders>
              <w:left w:val="single" w:sz="4" w:space="0" w:color="1B556B"/>
            </w:tcBorders>
            <w:shd w:val="clear" w:color="auto" w:fill="1B556B"/>
            <w:tcMar>
              <w:top w:w="0" w:type="dxa"/>
              <w:left w:w="108" w:type="dxa"/>
              <w:bottom w:w="0" w:type="dxa"/>
              <w:right w:w="108" w:type="dxa"/>
            </w:tcMar>
            <w:vAlign w:val="bottom"/>
            <w:hideMark/>
          </w:tcPr>
          <w:p w14:paraId="1021B072" w14:textId="77777777" w:rsidR="00D71B94" w:rsidRPr="0053439C" w:rsidRDefault="00D71B94" w:rsidP="007E3239">
            <w:pPr>
              <w:pStyle w:val="TableTextBold"/>
              <w:keepNext/>
              <w:spacing w:before="50" w:after="50"/>
              <w:jc w:val="center"/>
              <w:rPr>
                <w:noProof w:val="0"/>
                <w:color w:val="FFFFFF"/>
                <w:szCs w:val="16"/>
              </w:rPr>
            </w:pPr>
            <w:r w:rsidRPr="0053439C">
              <w:rPr>
                <w:noProof w:val="0"/>
                <w:color w:val="FFFFFF"/>
                <w:szCs w:val="16"/>
              </w:rPr>
              <w:t>Uncertainty in emission factors (%)</w:t>
            </w:r>
          </w:p>
        </w:tc>
      </w:tr>
      <w:tr w:rsidR="00D71B94" w:rsidRPr="0053439C" w14:paraId="27A0733D" w14:textId="77777777" w:rsidTr="007E3239">
        <w:tc>
          <w:tcPr>
            <w:tcW w:w="2835" w:type="dxa"/>
            <w:tcBorders>
              <w:right w:val="single" w:sz="4" w:space="0" w:color="1B556B"/>
            </w:tcBorders>
            <w:shd w:val="clear" w:color="auto" w:fill="FFFFFF"/>
            <w:tcMar>
              <w:top w:w="0" w:type="dxa"/>
              <w:left w:w="108" w:type="dxa"/>
              <w:bottom w:w="0" w:type="dxa"/>
              <w:right w:w="108" w:type="dxa"/>
            </w:tcMar>
            <w:hideMark/>
          </w:tcPr>
          <w:p w14:paraId="3BAC0223" w14:textId="77777777" w:rsidR="00D71B94" w:rsidRPr="0053439C" w:rsidRDefault="00D71B94" w:rsidP="007E3239">
            <w:pPr>
              <w:pStyle w:val="TableText"/>
              <w:spacing w:before="50" w:after="50"/>
              <w:rPr>
                <w:szCs w:val="16"/>
              </w:rPr>
            </w:pPr>
            <w:r w:rsidRPr="0053439C">
              <w:rPr>
                <w:szCs w:val="16"/>
              </w:rPr>
              <w:t>Uncategorised landfills</w:t>
            </w:r>
          </w:p>
        </w:tc>
        <w:tc>
          <w:tcPr>
            <w:tcW w:w="2694" w:type="dxa"/>
            <w:tcBorders>
              <w:left w:val="single" w:sz="4" w:space="0" w:color="1B556B"/>
              <w:right w:val="single" w:sz="4" w:space="0" w:color="1B556B"/>
            </w:tcBorders>
            <w:shd w:val="clear" w:color="auto" w:fill="FFFFFF"/>
            <w:tcMar>
              <w:top w:w="0" w:type="dxa"/>
              <w:left w:w="108" w:type="dxa"/>
              <w:bottom w:w="0" w:type="dxa"/>
              <w:right w:w="108" w:type="dxa"/>
            </w:tcMar>
            <w:hideMark/>
          </w:tcPr>
          <w:p w14:paraId="50DAC85D" w14:textId="77777777" w:rsidR="00D71B94" w:rsidRPr="0053439C" w:rsidRDefault="00D71B94" w:rsidP="007E3239">
            <w:pPr>
              <w:pStyle w:val="TableText"/>
              <w:spacing w:before="50" w:after="50"/>
              <w:jc w:val="center"/>
              <w:rPr>
                <w:szCs w:val="16"/>
              </w:rPr>
            </w:pPr>
            <w:r w:rsidRPr="0053439C">
              <w:rPr>
                <w:szCs w:val="16"/>
              </w:rPr>
              <w:t>±140</w:t>
            </w:r>
          </w:p>
        </w:tc>
        <w:tc>
          <w:tcPr>
            <w:tcW w:w="2976" w:type="dxa"/>
            <w:tcBorders>
              <w:left w:val="single" w:sz="4" w:space="0" w:color="1B556B"/>
            </w:tcBorders>
            <w:shd w:val="clear" w:color="auto" w:fill="FFFFFF"/>
            <w:tcMar>
              <w:top w:w="0" w:type="dxa"/>
              <w:left w:w="108" w:type="dxa"/>
              <w:bottom w:w="0" w:type="dxa"/>
              <w:right w:w="108" w:type="dxa"/>
            </w:tcMar>
            <w:hideMark/>
          </w:tcPr>
          <w:p w14:paraId="744574D8" w14:textId="77777777" w:rsidR="00D71B94" w:rsidRPr="0053439C" w:rsidRDefault="00D71B94" w:rsidP="007E3239">
            <w:pPr>
              <w:pStyle w:val="TableText"/>
              <w:spacing w:before="50" w:after="50"/>
              <w:jc w:val="center"/>
              <w:rPr>
                <w:szCs w:val="16"/>
              </w:rPr>
            </w:pPr>
            <w:r w:rsidRPr="0053439C">
              <w:rPr>
                <w:szCs w:val="16"/>
              </w:rPr>
              <w:t>±40</w:t>
            </w:r>
          </w:p>
        </w:tc>
      </w:tr>
    </w:tbl>
    <w:p w14:paraId="5171ACDF" w14:textId="77777777" w:rsidR="00D71B94" w:rsidRPr="0053439C" w:rsidRDefault="00D71B94" w:rsidP="00D71B94">
      <w:pPr>
        <w:pStyle w:val="Heading3"/>
        <w:spacing w:before="480"/>
      </w:pPr>
      <w:r w:rsidRPr="0053439C">
        <w:lastRenderedPageBreak/>
        <w:t xml:space="preserve">8.5.2 </w:t>
      </w:r>
      <w:r w:rsidRPr="0053439C">
        <w:tab/>
        <w:t>Emissions from Open burning and incineration in</w:t>
      </w:r>
      <w:r>
        <w:t> </w:t>
      </w:r>
      <w:r w:rsidRPr="0053439C">
        <w:t>Tokelau</w:t>
      </w:r>
    </w:p>
    <w:p w14:paraId="1101CC51" w14:textId="77777777" w:rsidR="00D71B94" w:rsidRPr="0053439C" w:rsidRDefault="00D71B94" w:rsidP="00D71B94">
      <w:pPr>
        <w:pStyle w:val="BodyText"/>
      </w:pPr>
      <w:r w:rsidRPr="0053439C">
        <w:t xml:space="preserve">Because Tokelau has no major incineration facilities, all emissions associated with waste burning are reported under the </w:t>
      </w:r>
      <w:r w:rsidRPr="0053439C">
        <w:rPr>
          <w:i/>
        </w:rPr>
        <w:t>Open burning</w:t>
      </w:r>
      <w:r w:rsidRPr="0053439C">
        <w:t xml:space="preserve"> category. Carbon dioxide, CH</w:t>
      </w:r>
      <w:r w:rsidRPr="0053439C">
        <w:rPr>
          <w:vertAlign w:val="subscript"/>
        </w:rPr>
        <w:t>4</w:t>
      </w:r>
      <w:r w:rsidRPr="0053439C">
        <w:t xml:space="preserve"> and N</w:t>
      </w:r>
      <w:r w:rsidRPr="0053439C">
        <w:rPr>
          <w:vertAlign w:val="subscript"/>
        </w:rPr>
        <w:t>2</w:t>
      </w:r>
      <w:r w:rsidRPr="0053439C">
        <w:t>O are reported in this category.</w:t>
      </w:r>
    </w:p>
    <w:p w14:paraId="0D080915" w14:textId="77777777" w:rsidR="00D71B94" w:rsidRPr="0053439C" w:rsidRDefault="00D71B94" w:rsidP="00D71B94">
      <w:pPr>
        <w:pStyle w:val="BodyText"/>
      </w:pPr>
      <w:r w:rsidRPr="0053439C">
        <w:t>The composition of solid waste for CO</w:t>
      </w:r>
      <w:r w:rsidRPr="0053439C">
        <w:rPr>
          <w:vertAlign w:val="subscript"/>
        </w:rPr>
        <w:t>2</w:t>
      </w:r>
      <w:r w:rsidRPr="0053439C">
        <w:t xml:space="preserve"> from open burning is the same as for landfills, except that the 24 per cent ‘inert’ is considered to be ‘other inert’ for open burning purposes (and not disaggregated into glass, metal, plastic and so on). Keeping the 24 per cent in ‘other inert’ is likely to result in an overestimate.</w:t>
      </w:r>
    </w:p>
    <w:p w14:paraId="08513350" w14:textId="77777777" w:rsidR="00D71B94" w:rsidRPr="0053439C" w:rsidRDefault="00D71B94" w:rsidP="00D71B94">
      <w:pPr>
        <w:pStyle w:val="BodyText"/>
      </w:pPr>
      <w:r w:rsidRPr="0053439C">
        <w:t>The emission factors for open burning of solid waste for CH</w:t>
      </w:r>
      <w:r w:rsidRPr="0053439C">
        <w:rPr>
          <w:vertAlign w:val="subscript"/>
        </w:rPr>
        <w:t>4</w:t>
      </w:r>
      <w:r w:rsidRPr="0053439C">
        <w:t xml:space="preserve"> and N</w:t>
      </w:r>
      <w:r w:rsidRPr="0053439C">
        <w:rPr>
          <w:vertAlign w:val="subscript"/>
        </w:rPr>
        <w:t>2</w:t>
      </w:r>
      <w:r w:rsidRPr="0053439C">
        <w:t>O are the IPCC defaults for municipal solid waste and are based on a generic waste composition. It is not clear if this will over- or under-estimate emissions.</w:t>
      </w:r>
    </w:p>
    <w:p w14:paraId="2E2A3EE2" w14:textId="77777777" w:rsidR="00D71B94" w:rsidRPr="0053439C" w:rsidRDefault="00D71B94" w:rsidP="00D71B94">
      <w:pPr>
        <w:pStyle w:val="BodyText"/>
      </w:pPr>
      <w:r w:rsidRPr="0053439C">
        <w:t xml:space="preserve">The category </w:t>
      </w:r>
      <w:r w:rsidRPr="0053439C">
        <w:rPr>
          <w:i/>
          <w:iCs/>
        </w:rPr>
        <w:t xml:space="preserve">Open burning and incineration </w:t>
      </w:r>
      <w:r w:rsidRPr="0053439C">
        <w:t>contributed 17.6 per cent to the total Waste sector emissions in Tokelau in 2020, which amounted to 0.12 kt CO</w:t>
      </w:r>
      <w:r w:rsidRPr="0053439C">
        <w:rPr>
          <w:vertAlign w:val="subscript"/>
        </w:rPr>
        <w:t>2</w:t>
      </w:r>
      <w:r w:rsidRPr="0053439C">
        <w:t>-e.</w:t>
      </w:r>
    </w:p>
    <w:p w14:paraId="25BB2E22" w14:textId="77777777" w:rsidR="00D71B94" w:rsidRPr="0053439C" w:rsidRDefault="00D71B94" w:rsidP="00D71B94">
      <w:pPr>
        <w:pStyle w:val="Heading4"/>
      </w:pPr>
      <w:r w:rsidRPr="0053439C">
        <w:t>Methodological issues</w:t>
      </w:r>
    </w:p>
    <w:p w14:paraId="18E59383" w14:textId="77777777" w:rsidR="00D71B94" w:rsidRPr="0053439C" w:rsidRDefault="00D71B94" w:rsidP="00D71B94">
      <w:pPr>
        <w:pStyle w:val="Heading5"/>
        <w:spacing w:before="160"/>
      </w:pPr>
      <w:r w:rsidRPr="0053439C">
        <w:t>Activity data</w:t>
      </w:r>
    </w:p>
    <w:p w14:paraId="3A58D52B" w14:textId="77777777" w:rsidR="00D71B94" w:rsidRPr="0053439C" w:rsidRDefault="00D71B94" w:rsidP="00D71B94">
      <w:pPr>
        <w:pStyle w:val="BodyText"/>
      </w:pPr>
      <w:r w:rsidRPr="0053439C">
        <w:t>The calculations are based on Tokelau’s population data and assume that 50 per cent of the waste is landfilled and the other 50 per cent is burned. This information is reported as ‘non</w:t>
      </w:r>
      <w:r w:rsidRPr="0053439C">
        <w:noBreakHyphen/>
        <w:t>biogenic’ open burning, because only fossil carbon is reported, and the emission factors for CH</w:t>
      </w:r>
      <w:r w:rsidRPr="0053439C">
        <w:rPr>
          <w:vertAlign w:val="subscript"/>
        </w:rPr>
        <w:t>4</w:t>
      </w:r>
      <w:r w:rsidRPr="0053439C">
        <w:t xml:space="preserve"> and N</w:t>
      </w:r>
      <w:r w:rsidRPr="0053439C">
        <w:rPr>
          <w:vertAlign w:val="subscript"/>
        </w:rPr>
        <w:t>2</w:t>
      </w:r>
      <w:r w:rsidRPr="0053439C">
        <w:t>O are for municipal solid waste, which does not distinguish biogenic and non</w:t>
      </w:r>
      <w:r w:rsidRPr="0053439C">
        <w:noBreakHyphen/>
        <w:t xml:space="preserve">biogenic wastes. </w:t>
      </w:r>
    </w:p>
    <w:p w14:paraId="7CF69E85" w14:textId="77777777" w:rsidR="00D71B94" w:rsidRPr="0053439C" w:rsidRDefault="00D71B94" w:rsidP="00D71B94">
      <w:pPr>
        <w:pStyle w:val="Heading5"/>
      </w:pPr>
      <w:r w:rsidRPr="0053439C">
        <w:t>Methods and emission factors</w:t>
      </w:r>
    </w:p>
    <w:p w14:paraId="1C2C5499" w14:textId="77777777" w:rsidR="00D71B94" w:rsidRPr="0053439C" w:rsidRDefault="00D71B94" w:rsidP="00D71B94">
      <w:pPr>
        <w:pStyle w:val="BodyText"/>
      </w:pPr>
      <w:r w:rsidRPr="0053439C">
        <w:t>A Tier 1 methodology with default 2006 IPCC parameters was used for calculating emissions from this category.</w:t>
      </w:r>
    </w:p>
    <w:p w14:paraId="6BB623DB" w14:textId="77777777" w:rsidR="00D71B94" w:rsidRPr="0053439C" w:rsidRDefault="00D71B94" w:rsidP="00D71B94">
      <w:pPr>
        <w:pStyle w:val="BodyText"/>
      </w:pPr>
      <w:r w:rsidRPr="0053439C">
        <w:t>The emission factor for CO</w:t>
      </w:r>
      <w:r w:rsidRPr="0053439C">
        <w:rPr>
          <w:vertAlign w:val="subscript"/>
        </w:rPr>
        <w:t>2</w:t>
      </w:r>
      <w:r w:rsidRPr="0053439C">
        <w:t xml:space="preserve"> was the weighted average of calculated factors from table 8.5.3 and a 58 per cent oxidation factor for open burning. For other gases, the following 2006 IPCC default emission factors were used: for CH</w:t>
      </w:r>
      <w:r w:rsidRPr="0053439C">
        <w:rPr>
          <w:vertAlign w:val="subscript"/>
        </w:rPr>
        <w:t>4</w:t>
      </w:r>
      <w:r w:rsidRPr="0053439C">
        <w:t>, the default emission factor for municipal solid waste in section 5.4.2 (6,500 kg CH</w:t>
      </w:r>
      <w:r w:rsidRPr="0053439C">
        <w:rPr>
          <w:vertAlign w:val="subscript"/>
        </w:rPr>
        <w:t>4</w:t>
      </w:r>
      <w:r w:rsidRPr="0053439C">
        <w:t>/gigagrams (Gg) wet waste); for N</w:t>
      </w:r>
      <w:r w:rsidRPr="0053439C">
        <w:rPr>
          <w:vertAlign w:val="subscript"/>
        </w:rPr>
        <w:t>2</w:t>
      </w:r>
      <w:r w:rsidRPr="0053439C">
        <w:t>O, the default emission factor for open burning of municipal solid waste from table 5.6 (150 kg N</w:t>
      </w:r>
      <w:r w:rsidRPr="0053439C">
        <w:rPr>
          <w:vertAlign w:val="subscript"/>
        </w:rPr>
        <w:t>2</w:t>
      </w:r>
      <w:r w:rsidRPr="0053439C">
        <w:t>O/Gg dry waste) (IPCC, 2006d). Converted waste volume to dry weight by using dry matter conversion was calculated for CO</w:t>
      </w:r>
      <w:r w:rsidRPr="0053439C">
        <w:rPr>
          <w:vertAlign w:val="subscript"/>
        </w:rPr>
        <w:t>2</w:t>
      </w:r>
      <w:r w:rsidRPr="0053439C">
        <w:t xml:space="preserve"> (56.1 per cent). Table 8.5.3 shows waste type and the composition data based on default 2006 IPCC parameters used in estimating emissions from </w:t>
      </w:r>
      <w:r w:rsidRPr="00374FD9">
        <w:rPr>
          <w:i/>
          <w:iCs/>
        </w:rPr>
        <w:t>Open burning of waste</w:t>
      </w:r>
      <w:r w:rsidRPr="0053439C">
        <w:t>.</w:t>
      </w:r>
    </w:p>
    <w:p w14:paraId="458A8431" w14:textId="77777777" w:rsidR="00D71B94" w:rsidRPr="0053439C" w:rsidRDefault="00D71B94" w:rsidP="00D71B94">
      <w:pPr>
        <w:pStyle w:val="Table"/>
        <w:rPr>
          <w:rFonts w:eastAsia="Calibri" w:cs="Arial"/>
          <w:szCs w:val="16"/>
        </w:rPr>
      </w:pPr>
      <w:bookmarkStart w:id="2599" w:name="_Toc5269604"/>
      <w:bookmarkStart w:id="2600" w:name="_Toc36224685"/>
      <w:bookmarkStart w:id="2601" w:name="_Toc68786571"/>
      <w:bookmarkStart w:id="2602" w:name="_Toc99659366"/>
      <w:r w:rsidRPr="00505B35">
        <w:rPr>
          <w:rFonts w:eastAsia="Calibri" w:cs="Arial"/>
          <w:szCs w:val="16"/>
        </w:rPr>
        <w:t>Table 8.5.3</w:t>
      </w:r>
      <w:r w:rsidRPr="00505B35">
        <w:rPr>
          <w:rFonts w:eastAsia="Calibri" w:cs="Arial"/>
          <w:szCs w:val="16"/>
        </w:rPr>
        <w:tab/>
        <w:t xml:space="preserve">Composition data and carbon content used for estimating emissions from </w:t>
      </w:r>
      <w:r w:rsidRPr="00505B35">
        <w:rPr>
          <w:rFonts w:eastAsia="Calibri" w:cs="Arial"/>
          <w:i/>
          <w:szCs w:val="16"/>
        </w:rPr>
        <w:t>Open burning of waste</w:t>
      </w:r>
      <w:bookmarkEnd w:id="2599"/>
      <w:bookmarkEnd w:id="2600"/>
      <w:bookmarkEnd w:id="2601"/>
      <w:bookmarkEnd w:id="2602"/>
    </w:p>
    <w:tbl>
      <w:tblPr>
        <w:tblW w:w="8505" w:type="dxa"/>
        <w:tblInd w:w="113"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2019"/>
        <w:gridCol w:w="1587"/>
        <w:gridCol w:w="1497"/>
        <w:gridCol w:w="1134"/>
        <w:gridCol w:w="1276"/>
        <w:gridCol w:w="992"/>
      </w:tblGrid>
      <w:tr w:rsidR="00D71B94" w:rsidRPr="0053439C" w14:paraId="0BB08D25" w14:textId="77777777" w:rsidTr="007E3239">
        <w:trPr>
          <w:tblHeader/>
        </w:trPr>
        <w:tc>
          <w:tcPr>
            <w:tcW w:w="2019" w:type="dxa"/>
            <w:shd w:val="clear" w:color="auto" w:fill="1B556B"/>
            <w:vAlign w:val="bottom"/>
          </w:tcPr>
          <w:p w14:paraId="6DFE1A8C" w14:textId="77777777" w:rsidR="00D71B94" w:rsidRPr="0053439C" w:rsidRDefault="00D71B94" w:rsidP="007E3239">
            <w:pPr>
              <w:pStyle w:val="TableTextBold"/>
              <w:spacing w:before="40" w:after="40"/>
              <w:rPr>
                <w:rFonts w:eastAsia="Calibri" w:cs="Calibri"/>
                <w:bCs/>
                <w:noProof w:val="0"/>
                <w:color w:val="FFFFFF"/>
                <w:szCs w:val="16"/>
              </w:rPr>
            </w:pPr>
            <w:r w:rsidRPr="0053439C">
              <w:rPr>
                <w:rFonts w:eastAsia="Calibri" w:cs="Calibri"/>
                <w:bCs/>
                <w:noProof w:val="0"/>
                <w:color w:val="FFFFFF"/>
                <w:szCs w:val="16"/>
              </w:rPr>
              <w:t>Waste type</w:t>
            </w:r>
          </w:p>
        </w:tc>
        <w:tc>
          <w:tcPr>
            <w:tcW w:w="1587" w:type="dxa"/>
            <w:shd w:val="clear" w:color="auto" w:fill="1B556B"/>
            <w:vAlign w:val="bottom"/>
          </w:tcPr>
          <w:p w14:paraId="484D6964" w14:textId="77777777" w:rsidR="00D71B94" w:rsidRPr="0053439C" w:rsidRDefault="00D71B94" w:rsidP="007E3239">
            <w:pPr>
              <w:pStyle w:val="TableTextBold"/>
              <w:spacing w:before="40" w:after="40"/>
              <w:jc w:val="center"/>
              <w:rPr>
                <w:rFonts w:eastAsia="Calibri" w:cs="Calibri"/>
                <w:bCs/>
                <w:noProof w:val="0"/>
                <w:color w:val="FFFFFF"/>
                <w:szCs w:val="16"/>
              </w:rPr>
            </w:pPr>
            <w:r w:rsidRPr="0053439C">
              <w:rPr>
                <w:rFonts w:eastAsia="Calibri" w:cs="Calibri"/>
                <w:bCs/>
                <w:noProof w:val="0"/>
                <w:color w:val="FFFFFF"/>
                <w:szCs w:val="16"/>
              </w:rPr>
              <w:t>Landfill composition (%)</w:t>
            </w:r>
          </w:p>
        </w:tc>
        <w:tc>
          <w:tcPr>
            <w:tcW w:w="1497" w:type="dxa"/>
            <w:shd w:val="clear" w:color="auto" w:fill="1B556B"/>
            <w:vAlign w:val="bottom"/>
          </w:tcPr>
          <w:p w14:paraId="5CD0F6F8" w14:textId="77777777" w:rsidR="00D71B94" w:rsidRPr="0053439C" w:rsidRDefault="00D71B94" w:rsidP="007E3239">
            <w:pPr>
              <w:pStyle w:val="TableTextBold"/>
              <w:spacing w:before="40" w:after="40"/>
              <w:jc w:val="center"/>
              <w:rPr>
                <w:rFonts w:eastAsia="Calibri" w:cs="Calibri"/>
                <w:bCs/>
                <w:noProof w:val="0"/>
                <w:color w:val="FFFFFF"/>
                <w:szCs w:val="16"/>
              </w:rPr>
            </w:pPr>
            <w:r w:rsidRPr="0053439C">
              <w:rPr>
                <w:rFonts w:eastAsia="Calibri" w:cs="Calibri"/>
                <w:bCs/>
                <w:noProof w:val="0"/>
                <w:color w:val="FFFFFF"/>
                <w:szCs w:val="16"/>
              </w:rPr>
              <w:t>CO</w:t>
            </w:r>
            <w:r w:rsidRPr="0053439C">
              <w:rPr>
                <w:rFonts w:eastAsia="Calibri" w:cs="Calibri"/>
                <w:bCs/>
                <w:noProof w:val="0"/>
                <w:color w:val="FFFFFF"/>
                <w:szCs w:val="16"/>
                <w:vertAlign w:val="subscript"/>
              </w:rPr>
              <w:t>2</w:t>
            </w:r>
            <w:r w:rsidRPr="0053439C">
              <w:rPr>
                <w:rFonts w:eastAsia="Calibri" w:cs="Calibri"/>
                <w:bCs/>
                <w:noProof w:val="0"/>
                <w:color w:val="FFFFFF"/>
                <w:szCs w:val="16"/>
              </w:rPr>
              <w:t xml:space="preserve"> incineration composition (%)</w:t>
            </w:r>
          </w:p>
        </w:tc>
        <w:tc>
          <w:tcPr>
            <w:tcW w:w="1134" w:type="dxa"/>
            <w:shd w:val="clear" w:color="auto" w:fill="1B556B"/>
            <w:vAlign w:val="bottom"/>
          </w:tcPr>
          <w:p w14:paraId="579F7989" w14:textId="77777777" w:rsidR="00D71B94" w:rsidRPr="0053439C" w:rsidRDefault="00D71B94" w:rsidP="007E3239">
            <w:pPr>
              <w:pStyle w:val="TableTextBold"/>
              <w:spacing w:before="40" w:after="40"/>
              <w:jc w:val="center"/>
              <w:rPr>
                <w:rFonts w:eastAsia="Calibri" w:cs="Calibri"/>
                <w:bCs/>
                <w:noProof w:val="0"/>
                <w:color w:val="FFFFFF"/>
                <w:szCs w:val="16"/>
              </w:rPr>
            </w:pPr>
            <w:r w:rsidRPr="0053439C">
              <w:rPr>
                <w:rFonts w:eastAsia="Calibri" w:cs="Calibri"/>
                <w:bCs/>
                <w:noProof w:val="0"/>
                <w:color w:val="FFFFFF"/>
                <w:szCs w:val="16"/>
              </w:rPr>
              <w:t>Dry matter (%)</w:t>
            </w:r>
          </w:p>
        </w:tc>
        <w:tc>
          <w:tcPr>
            <w:tcW w:w="1276" w:type="dxa"/>
            <w:shd w:val="clear" w:color="auto" w:fill="1B556B"/>
            <w:vAlign w:val="bottom"/>
          </w:tcPr>
          <w:p w14:paraId="1C0656C3" w14:textId="77777777" w:rsidR="00D71B94" w:rsidRPr="0053439C" w:rsidRDefault="00D71B94" w:rsidP="007E3239">
            <w:pPr>
              <w:pStyle w:val="TableTextBold"/>
              <w:spacing w:before="40" w:after="40"/>
              <w:jc w:val="center"/>
              <w:rPr>
                <w:rFonts w:eastAsia="Calibri" w:cs="Calibri"/>
                <w:bCs/>
                <w:noProof w:val="0"/>
                <w:color w:val="FFFFFF"/>
                <w:szCs w:val="16"/>
              </w:rPr>
            </w:pPr>
            <w:r w:rsidRPr="0053439C">
              <w:rPr>
                <w:rFonts w:eastAsia="Calibri" w:cs="Calibri"/>
                <w:bCs/>
                <w:noProof w:val="0"/>
                <w:color w:val="FFFFFF"/>
                <w:szCs w:val="16"/>
              </w:rPr>
              <w:t>Total carbon (%)</w:t>
            </w:r>
          </w:p>
        </w:tc>
        <w:tc>
          <w:tcPr>
            <w:tcW w:w="992" w:type="dxa"/>
            <w:shd w:val="clear" w:color="auto" w:fill="1B556B"/>
            <w:vAlign w:val="bottom"/>
          </w:tcPr>
          <w:p w14:paraId="3A3B3016" w14:textId="77777777" w:rsidR="00D71B94" w:rsidRPr="0053439C" w:rsidRDefault="00D71B94" w:rsidP="007E3239">
            <w:pPr>
              <w:pStyle w:val="TableTextBold"/>
              <w:spacing w:before="40" w:after="40"/>
              <w:jc w:val="center"/>
              <w:rPr>
                <w:rFonts w:eastAsia="Calibri" w:cs="Calibri"/>
                <w:bCs/>
                <w:noProof w:val="0"/>
                <w:color w:val="FFFFFF"/>
                <w:szCs w:val="16"/>
              </w:rPr>
            </w:pPr>
            <w:r w:rsidRPr="0053439C">
              <w:rPr>
                <w:rFonts w:eastAsia="Calibri" w:cs="Calibri"/>
                <w:bCs/>
                <w:noProof w:val="0"/>
                <w:color w:val="FFFFFF"/>
                <w:szCs w:val="16"/>
              </w:rPr>
              <w:t>Fossil carbon (%)</w:t>
            </w:r>
          </w:p>
        </w:tc>
      </w:tr>
      <w:tr w:rsidR="00D71B94" w:rsidRPr="0053439C" w14:paraId="1810B399" w14:textId="77777777" w:rsidTr="007E3239">
        <w:tc>
          <w:tcPr>
            <w:tcW w:w="2019" w:type="dxa"/>
            <w:shd w:val="clear" w:color="auto" w:fill="FFFFFF"/>
          </w:tcPr>
          <w:p w14:paraId="0F236D0E" w14:textId="77777777" w:rsidR="00D71B94" w:rsidRPr="0053439C" w:rsidRDefault="00D71B94" w:rsidP="007E3239">
            <w:pPr>
              <w:pStyle w:val="TableText"/>
              <w:spacing w:before="40" w:after="40"/>
              <w:rPr>
                <w:rFonts w:eastAsia="Calibri" w:cs="Calibri"/>
                <w:bCs/>
                <w:szCs w:val="16"/>
              </w:rPr>
            </w:pPr>
            <w:r w:rsidRPr="0053439C">
              <w:rPr>
                <w:rFonts w:eastAsia="Calibri" w:cs="Calibri"/>
                <w:bCs/>
                <w:szCs w:val="16"/>
              </w:rPr>
              <w:t>Paper/card</w:t>
            </w:r>
          </w:p>
        </w:tc>
        <w:tc>
          <w:tcPr>
            <w:tcW w:w="3084" w:type="dxa"/>
            <w:gridSpan w:val="2"/>
            <w:shd w:val="clear" w:color="auto" w:fill="auto"/>
          </w:tcPr>
          <w:p w14:paraId="5D1B76CB"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6.0</w:t>
            </w:r>
          </w:p>
        </w:tc>
        <w:tc>
          <w:tcPr>
            <w:tcW w:w="1134" w:type="dxa"/>
            <w:shd w:val="clear" w:color="auto" w:fill="auto"/>
          </w:tcPr>
          <w:p w14:paraId="01A9393E"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90</w:t>
            </w:r>
          </w:p>
        </w:tc>
        <w:tc>
          <w:tcPr>
            <w:tcW w:w="1276" w:type="dxa"/>
            <w:shd w:val="clear" w:color="auto" w:fill="auto"/>
          </w:tcPr>
          <w:p w14:paraId="5405BDCA"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43</w:t>
            </w:r>
          </w:p>
        </w:tc>
        <w:tc>
          <w:tcPr>
            <w:tcW w:w="992" w:type="dxa"/>
            <w:shd w:val="clear" w:color="auto" w:fill="auto"/>
          </w:tcPr>
          <w:p w14:paraId="7B4EC60C"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1</w:t>
            </w:r>
          </w:p>
        </w:tc>
      </w:tr>
      <w:tr w:rsidR="00D71B94" w:rsidRPr="0053439C" w14:paraId="241CF7C2" w14:textId="77777777" w:rsidTr="007E3239">
        <w:tc>
          <w:tcPr>
            <w:tcW w:w="2019" w:type="dxa"/>
            <w:shd w:val="clear" w:color="auto" w:fill="FFFFFF"/>
          </w:tcPr>
          <w:p w14:paraId="53C6A429" w14:textId="77777777" w:rsidR="00D71B94" w:rsidRPr="0053439C" w:rsidRDefault="00D71B94" w:rsidP="007E3239">
            <w:pPr>
              <w:pStyle w:val="TableText"/>
              <w:spacing w:before="40" w:after="40"/>
              <w:rPr>
                <w:rFonts w:eastAsia="Calibri" w:cs="Calibri"/>
                <w:bCs/>
                <w:szCs w:val="16"/>
              </w:rPr>
            </w:pPr>
            <w:r w:rsidRPr="0053439C">
              <w:rPr>
                <w:rFonts w:eastAsia="Calibri" w:cs="Calibri"/>
                <w:bCs/>
                <w:szCs w:val="16"/>
              </w:rPr>
              <w:t>Textiles</w:t>
            </w:r>
          </w:p>
        </w:tc>
        <w:tc>
          <w:tcPr>
            <w:tcW w:w="3084" w:type="dxa"/>
            <w:gridSpan w:val="2"/>
            <w:shd w:val="clear" w:color="auto" w:fill="auto"/>
          </w:tcPr>
          <w:p w14:paraId="06949FDA"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0</w:t>
            </w:r>
          </w:p>
        </w:tc>
        <w:tc>
          <w:tcPr>
            <w:tcW w:w="1134" w:type="dxa"/>
            <w:shd w:val="clear" w:color="auto" w:fill="auto"/>
          </w:tcPr>
          <w:p w14:paraId="0EC51157"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80</w:t>
            </w:r>
          </w:p>
        </w:tc>
        <w:tc>
          <w:tcPr>
            <w:tcW w:w="1276" w:type="dxa"/>
            <w:shd w:val="clear" w:color="auto" w:fill="auto"/>
          </w:tcPr>
          <w:p w14:paraId="3936F15A"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50</w:t>
            </w:r>
          </w:p>
        </w:tc>
        <w:tc>
          <w:tcPr>
            <w:tcW w:w="992" w:type="dxa"/>
            <w:shd w:val="clear" w:color="auto" w:fill="auto"/>
          </w:tcPr>
          <w:p w14:paraId="0BD5CCC2"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20</w:t>
            </w:r>
          </w:p>
        </w:tc>
      </w:tr>
      <w:tr w:rsidR="00D71B94" w:rsidRPr="0053439C" w14:paraId="6695C605" w14:textId="77777777" w:rsidTr="007E3239">
        <w:tc>
          <w:tcPr>
            <w:tcW w:w="2019" w:type="dxa"/>
            <w:shd w:val="clear" w:color="auto" w:fill="FFFFFF"/>
          </w:tcPr>
          <w:p w14:paraId="065999AF" w14:textId="77777777" w:rsidR="00D71B94" w:rsidRPr="0053439C" w:rsidRDefault="00D71B94" w:rsidP="007E3239">
            <w:pPr>
              <w:pStyle w:val="TableText"/>
              <w:spacing w:before="40" w:after="40"/>
              <w:rPr>
                <w:rFonts w:eastAsia="Calibri" w:cs="Calibri"/>
                <w:bCs/>
                <w:szCs w:val="16"/>
              </w:rPr>
            </w:pPr>
            <w:r w:rsidRPr="0053439C">
              <w:rPr>
                <w:rFonts w:eastAsia="Calibri" w:cs="Calibri"/>
                <w:bCs/>
                <w:szCs w:val="16"/>
              </w:rPr>
              <w:t>Food waste</w:t>
            </w:r>
          </w:p>
        </w:tc>
        <w:tc>
          <w:tcPr>
            <w:tcW w:w="3084" w:type="dxa"/>
            <w:gridSpan w:val="2"/>
            <w:shd w:val="clear" w:color="auto" w:fill="auto"/>
          </w:tcPr>
          <w:p w14:paraId="366977A3"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67.5</w:t>
            </w:r>
          </w:p>
        </w:tc>
        <w:tc>
          <w:tcPr>
            <w:tcW w:w="1134" w:type="dxa"/>
            <w:shd w:val="clear" w:color="auto" w:fill="auto"/>
          </w:tcPr>
          <w:p w14:paraId="071F7060"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40</w:t>
            </w:r>
          </w:p>
        </w:tc>
        <w:tc>
          <w:tcPr>
            <w:tcW w:w="1276" w:type="dxa"/>
            <w:shd w:val="clear" w:color="auto" w:fill="auto"/>
          </w:tcPr>
          <w:p w14:paraId="5C26C347"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38</w:t>
            </w:r>
          </w:p>
        </w:tc>
        <w:tc>
          <w:tcPr>
            <w:tcW w:w="992" w:type="dxa"/>
            <w:shd w:val="clear" w:color="auto" w:fill="auto"/>
          </w:tcPr>
          <w:p w14:paraId="561E61AB"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0</w:t>
            </w:r>
          </w:p>
        </w:tc>
      </w:tr>
      <w:tr w:rsidR="00D71B94" w:rsidRPr="0053439C" w14:paraId="0E32A551" w14:textId="77777777" w:rsidTr="007E3239">
        <w:tc>
          <w:tcPr>
            <w:tcW w:w="2019" w:type="dxa"/>
            <w:shd w:val="clear" w:color="auto" w:fill="FFFFFF"/>
          </w:tcPr>
          <w:p w14:paraId="1ADA930C" w14:textId="77777777" w:rsidR="00D71B94" w:rsidRPr="0053439C" w:rsidRDefault="00D71B94" w:rsidP="007E3239">
            <w:pPr>
              <w:pStyle w:val="TableText"/>
              <w:spacing w:before="40" w:after="40"/>
              <w:rPr>
                <w:rFonts w:eastAsia="Calibri" w:cs="Calibri"/>
                <w:bCs/>
                <w:szCs w:val="16"/>
              </w:rPr>
            </w:pPr>
            <w:r w:rsidRPr="0053439C">
              <w:rPr>
                <w:rFonts w:eastAsia="Calibri" w:cs="Calibri"/>
                <w:bCs/>
                <w:szCs w:val="16"/>
              </w:rPr>
              <w:t>Wood</w:t>
            </w:r>
          </w:p>
        </w:tc>
        <w:tc>
          <w:tcPr>
            <w:tcW w:w="3084" w:type="dxa"/>
            <w:gridSpan w:val="2"/>
            <w:shd w:val="clear" w:color="auto" w:fill="auto"/>
          </w:tcPr>
          <w:p w14:paraId="4E47F60C"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2.5</w:t>
            </w:r>
          </w:p>
        </w:tc>
        <w:tc>
          <w:tcPr>
            <w:tcW w:w="1134" w:type="dxa"/>
            <w:shd w:val="clear" w:color="auto" w:fill="auto"/>
          </w:tcPr>
          <w:p w14:paraId="39B6F729"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85</w:t>
            </w:r>
          </w:p>
        </w:tc>
        <w:tc>
          <w:tcPr>
            <w:tcW w:w="1276" w:type="dxa"/>
            <w:shd w:val="clear" w:color="auto" w:fill="auto"/>
          </w:tcPr>
          <w:p w14:paraId="3B34C0B4"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50</w:t>
            </w:r>
          </w:p>
        </w:tc>
        <w:tc>
          <w:tcPr>
            <w:tcW w:w="992" w:type="dxa"/>
            <w:shd w:val="clear" w:color="auto" w:fill="auto"/>
          </w:tcPr>
          <w:p w14:paraId="71D186F0"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0</w:t>
            </w:r>
          </w:p>
        </w:tc>
      </w:tr>
      <w:tr w:rsidR="00D71B94" w:rsidRPr="0053439C" w14:paraId="67D234AB" w14:textId="77777777" w:rsidTr="007E3239">
        <w:tc>
          <w:tcPr>
            <w:tcW w:w="2019" w:type="dxa"/>
            <w:shd w:val="clear" w:color="auto" w:fill="FFFFFF"/>
          </w:tcPr>
          <w:p w14:paraId="47FCDF47" w14:textId="77777777" w:rsidR="00D71B94" w:rsidRPr="0053439C" w:rsidRDefault="00D71B94" w:rsidP="007E3239">
            <w:pPr>
              <w:pStyle w:val="TableText"/>
              <w:spacing w:before="40" w:after="40"/>
              <w:rPr>
                <w:rFonts w:eastAsia="Calibri" w:cs="Calibri"/>
                <w:bCs/>
                <w:szCs w:val="16"/>
              </w:rPr>
            </w:pPr>
            <w:r w:rsidRPr="0053439C">
              <w:rPr>
                <w:rFonts w:eastAsia="Calibri" w:cs="Calibri"/>
                <w:bCs/>
                <w:szCs w:val="16"/>
              </w:rPr>
              <w:t>Garden and park waste</w:t>
            </w:r>
          </w:p>
        </w:tc>
        <w:tc>
          <w:tcPr>
            <w:tcW w:w="3084" w:type="dxa"/>
            <w:gridSpan w:val="2"/>
            <w:shd w:val="clear" w:color="auto" w:fill="auto"/>
          </w:tcPr>
          <w:p w14:paraId="4B0E923D"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0</w:t>
            </w:r>
          </w:p>
        </w:tc>
        <w:tc>
          <w:tcPr>
            <w:tcW w:w="1134" w:type="dxa"/>
            <w:shd w:val="clear" w:color="auto" w:fill="auto"/>
          </w:tcPr>
          <w:p w14:paraId="090D1A23"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40</w:t>
            </w:r>
          </w:p>
        </w:tc>
        <w:tc>
          <w:tcPr>
            <w:tcW w:w="1276" w:type="dxa"/>
            <w:shd w:val="clear" w:color="auto" w:fill="auto"/>
          </w:tcPr>
          <w:p w14:paraId="56B05A60"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49</w:t>
            </w:r>
          </w:p>
        </w:tc>
        <w:tc>
          <w:tcPr>
            <w:tcW w:w="992" w:type="dxa"/>
            <w:shd w:val="clear" w:color="auto" w:fill="auto"/>
          </w:tcPr>
          <w:p w14:paraId="4687EE6A"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0</w:t>
            </w:r>
          </w:p>
        </w:tc>
      </w:tr>
      <w:tr w:rsidR="00D71B94" w:rsidRPr="0053439C" w14:paraId="140287BA" w14:textId="77777777" w:rsidTr="007E3239">
        <w:tc>
          <w:tcPr>
            <w:tcW w:w="2019" w:type="dxa"/>
            <w:shd w:val="clear" w:color="auto" w:fill="FFFFFF"/>
          </w:tcPr>
          <w:p w14:paraId="063B6E00" w14:textId="77777777" w:rsidR="00D71B94" w:rsidRPr="0053439C" w:rsidRDefault="00D71B94" w:rsidP="007E3239">
            <w:pPr>
              <w:pStyle w:val="TableText"/>
              <w:spacing w:before="40" w:after="40"/>
              <w:rPr>
                <w:rFonts w:eastAsia="Calibri" w:cs="Calibri"/>
                <w:bCs/>
                <w:szCs w:val="16"/>
              </w:rPr>
            </w:pPr>
            <w:r w:rsidRPr="0053439C">
              <w:rPr>
                <w:rFonts w:eastAsia="Calibri" w:cs="Calibri"/>
                <w:bCs/>
                <w:szCs w:val="16"/>
              </w:rPr>
              <w:t>Nappies</w:t>
            </w:r>
          </w:p>
        </w:tc>
        <w:tc>
          <w:tcPr>
            <w:tcW w:w="3084" w:type="dxa"/>
            <w:gridSpan w:val="2"/>
            <w:shd w:val="clear" w:color="auto" w:fill="auto"/>
          </w:tcPr>
          <w:p w14:paraId="30F79C5D"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0</w:t>
            </w:r>
          </w:p>
        </w:tc>
        <w:tc>
          <w:tcPr>
            <w:tcW w:w="1134" w:type="dxa"/>
            <w:shd w:val="clear" w:color="auto" w:fill="auto"/>
          </w:tcPr>
          <w:p w14:paraId="263675A0"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40</w:t>
            </w:r>
          </w:p>
        </w:tc>
        <w:tc>
          <w:tcPr>
            <w:tcW w:w="1276" w:type="dxa"/>
            <w:shd w:val="clear" w:color="auto" w:fill="auto"/>
          </w:tcPr>
          <w:p w14:paraId="124B4CCD"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70</w:t>
            </w:r>
          </w:p>
        </w:tc>
        <w:tc>
          <w:tcPr>
            <w:tcW w:w="992" w:type="dxa"/>
            <w:shd w:val="clear" w:color="auto" w:fill="auto"/>
          </w:tcPr>
          <w:p w14:paraId="6DCE077F"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10</w:t>
            </w:r>
          </w:p>
        </w:tc>
      </w:tr>
      <w:tr w:rsidR="00D71B94" w:rsidRPr="0053439C" w14:paraId="31FAB37A" w14:textId="77777777" w:rsidTr="007E3239">
        <w:tc>
          <w:tcPr>
            <w:tcW w:w="2019" w:type="dxa"/>
            <w:shd w:val="clear" w:color="auto" w:fill="FFFFFF"/>
          </w:tcPr>
          <w:p w14:paraId="401DB653" w14:textId="77777777" w:rsidR="00D71B94" w:rsidRPr="0053439C" w:rsidRDefault="00D71B94" w:rsidP="007E3239">
            <w:pPr>
              <w:pStyle w:val="TableText"/>
              <w:spacing w:before="40" w:after="40"/>
              <w:rPr>
                <w:rFonts w:eastAsia="Calibri" w:cs="Calibri"/>
                <w:bCs/>
                <w:szCs w:val="16"/>
              </w:rPr>
            </w:pPr>
            <w:r w:rsidRPr="0053439C">
              <w:rPr>
                <w:rFonts w:eastAsia="Calibri" w:cs="Calibri"/>
                <w:bCs/>
                <w:szCs w:val="16"/>
              </w:rPr>
              <w:lastRenderedPageBreak/>
              <w:t>Rubber and leather</w:t>
            </w:r>
          </w:p>
        </w:tc>
        <w:tc>
          <w:tcPr>
            <w:tcW w:w="1587" w:type="dxa"/>
            <w:vMerge w:val="restart"/>
            <w:shd w:val="clear" w:color="auto" w:fill="auto"/>
            <w:vAlign w:val="center"/>
          </w:tcPr>
          <w:p w14:paraId="42D684DF" w14:textId="2DC9C778" w:rsidR="00D71B94" w:rsidRPr="0053439C" w:rsidRDefault="00D71B94" w:rsidP="009A00FF">
            <w:pPr>
              <w:pStyle w:val="TableText"/>
              <w:spacing w:before="40" w:after="40"/>
              <w:jc w:val="center"/>
              <w:rPr>
                <w:rFonts w:eastAsia="Calibri" w:cs="Calibri"/>
                <w:szCs w:val="16"/>
              </w:rPr>
            </w:pPr>
            <w:r w:rsidRPr="0053439C">
              <w:rPr>
                <w:rFonts w:eastAsia="Calibri" w:cs="Calibri"/>
                <w:szCs w:val="16"/>
              </w:rPr>
              <w:t>24.0</w:t>
            </w:r>
            <w:r w:rsidR="009A00FF">
              <w:rPr>
                <w:rFonts w:eastAsia="Calibri" w:cs="Calibri"/>
                <w:szCs w:val="16"/>
              </w:rPr>
              <w:br/>
            </w:r>
            <w:r w:rsidRPr="0053439C">
              <w:rPr>
                <w:rFonts w:eastAsia="Calibri" w:cs="Calibri"/>
                <w:szCs w:val="16"/>
              </w:rPr>
              <w:t>(‘inert’)</w:t>
            </w:r>
          </w:p>
        </w:tc>
        <w:tc>
          <w:tcPr>
            <w:tcW w:w="1497" w:type="dxa"/>
            <w:shd w:val="clear" w:color="auto" w:fill="auto"/>
          </w:tcPr>
          <w:p w14:paraId="3AB43388"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0</w:t>
            </w:r>
          </w:p>
        </w:tc>
        <w:tc>
          <w:tcPr>
            <w:tcW w:w="1134" w:type="dxa"/>
            <w:shd w:val="clear" w:color="auto" w:fill="auto"/>
          </w:tcPr>
          <w:p w14:paraId="2E29BE0D"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84</w:t>
            </w:r>
          </w:p>
        </w:tc>
        <w:tc>
          <w:tcPr>
            <w:tcW w:w="1276" w:type="dxa"/>
            <w:shd w:val="clear" w:color="auto" w:fill="auto"/>
          </w:tcPr>
          <w:p w14:paraId="126CC3CE"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67</w:t>
            </w:r>
          </w:p>
        </w:tc>
        <w:tc>
          <w:tcPr>
            <w:tcW w:w="992" w:type="dxa"/>
            <w:shd w:val="clear" w:color="auto" w:fill="auto"/>
          </w:tcPr>
          <w:p w14:paraId="71A06975"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20</w:t>
            </w:r>
          </w:p>
        </w:tc>
      </w:tr>
      <w:tr w:rsidR="00D71B94" w:rsidRPr="0053439C" w14:paraId="4AE04A46" w14:textId="77777777" w:rsidTr="007E3239">
        <w:tc>
          <w:tcPr>
            <w:tcW w:w="2019" w:type="dxa"/>
            <w:shd w:val="clear" w:color="auto" w:fill="FFFFFF"/>
          </w:tcPr>
          <w:p w14:paraId="79C42077" w14:textId="77777777" w:rsidR="00D71B94" w:rsidRPr="0053439C" w:rsidRDefault="00D71B94" w:rsidP="007E3239">
            <w:pPr>
              <w:pStyle w:val="TableText"/>
              <w:spacing w:before="40" w:after="40"/>
              <w:rPr>
                <w:rFonts w:eastAsia="Calibri" w:cs="Calibri"/>
                <w:bCs/>
                <w:szCs w:val="16"/>
              </w:rPr>
            </w:pPr>
            <w:r w:rsidRPr="0053439C">
              <w:rPr>
                <w:rFonts w:eastAsia="Calibri" w:cs="Calibri"/>
                <w:bCs/>
                <w:szCs w:val="16"/>
              </w:rPr>
              <w:t>Plastics</w:t>
            </w:r>
          </w:p>
        </w:tc>
        <w:tc>
          <w:tcPr>
            <w:tcW w:w="1587" w:type="dxa"/>
            <w:vMerge/>
            <w:shd w:val="clear" w:color="auto" w:fill="auto"/>
          </w:tcPr>
          <w:p w14:paraId="741E6A91" w14:textId="77777777" w:rsidR="00D71B94" w:rsidRPr="0053439C" w:rsidRDefault="00D71B94" w:rsidP="007E3239">
            <w:pPr>
              <w:spacing w:before="40" w:after="40"/>
              <w:rPr>
                <w:rFonts w:eastAsia="Calibri" w:cs="Calibri"/>
                <w:sz w:val="16"/>
                <w:szCs w:val="16"/>
              </w:rPr>
            </w:pPr>
          </w:p>
        </w:tc>
        <w:tc>
          <w:tcPr>
            <w:tcW w:w="1497" w:type="dxa"/>
            <w:shd w:val="clear" w:color="auto" w:fill="auto"/>
          </w:tcPr>
          <w:p w14:paraId="4DEB27E6"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0</w:t>
            </w:r>
          </w:p>
        </w:tc>
        <w:tc>
          <w:tcPr>
            <w:tcW w:w="1134" w:type="dxa"/>
            <w:shd w:val="clear" w:color="auto" w:fill="auto"/>
          </w:tcPr>
          <w:p w14:paraId="516679B2"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100</w:t>
            </w:r>
          </w:p>
        </w:tc>
        <w:tc>
          <w:tcPr>
            <w:tcW w:w="1276" w:type="dxa"/>
            <w:shd w:val="clear" w:color="auto" w:fill="auto"/>
          </w:tcPr>
          <w:p w14:paraId="63578504"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75</w:t>
            </w:r>
          </w:p>
        </w:tc>
        <w:tc>
          <w:tcPr>
            <w:tcW w:w="992" w:type="dxa"/>
            <w:shd w:val="clear" w:color="auto" w:fill="auto"/>
          </w:tcPr>
          <w:p w14:paraId="2F96E51D"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100</w:t>
            </w:r>
          </w:p>
        </w:tc>
      </w:tr>
      <w:tr w:rsidR="00D71B94" w:rsidRPr="0053439C" w14:paraId="16CBFB3F" w14:textId="77777777" w:rsidTr="007E3239">
        <w:tc>
          <w:tcPr>
            <w:tcW w:w="2019" w:type="dxa"/>
            <w:shd w:val="clear" w:color="auto" w:fill="FFFFFF"/>
          </w:tcPr>
          <w:p w14:paraId="198E36E0" w14:textId="77777777" w:rsidR="00D71B94" w:rsidRPr="0053439C" w:rsidRDefault="00D71B94" w:rsidP="007E3239">
            <w:pPr>
              <w:pStyle w:val="TableText"/>
              <w:spacing w:before="40" w:after="40"/>
              <w:rPr>
                <w:rFonts w:eastAsia="Calibri" w:cs="Calibri"/>
                <w:bCs/>
                <w:szCs w:val="16"/>
              </w:rPr>
            </w:pPr>
            <w:r w:rsidRPr="0053439C">
              <w:rPr>
                <w:rFonts w:eastAsia="Calibri" w:cs="Calibri"/>
                <w:bCs/>
                <w:szCs w:val="16"/>
              </w:rPr>
              <w:t>Metal</w:t>
            </w:r>
          </w:p>
        </w:tc>
        <w:tc>
          <w:tcPr>
            <w:tcW w:w="1587" w:type="dxa"/>
            <w:vMerge/>
            <w:shd w:val="clear" w:color="auto" w:fill="auto"/>
          </w:tcPr>
          <w:p w14:paraId="7FDBE1E0" w14:textId="77777777" w:rsidR="00D71B94" w:rsidRPr="0053439C" w:rsidRDefault="00D71B94" w:rsidP="007E3239">
            <w:pPr>
              <w:spacing w:before="40" w:after="40"/>
              <w:rPr>
                <w:rFonts w:eastAsia="Calibri" w:cs="Calibri"/>
                <w:sz w:val="16"/>
                <w:szCs w:val="16"/>
              </w:rPr>
            </w:pPr>
          </w:p>
        </w:tc>
        <w:tc>
          <w:tcPr>
            <w:tcW w:w="1497" w:type="dxa"/>
            <w:shd w:val="clear" w:color="auto" w:fill="auto"/>
          </w:tcPr>
          <w:p w14:paraId="3175388D"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0</w:t>
            </w:r>
          </w:p>
        </w:tc>
        <w:tc>
          <w:tcPr>
            <w:tcW w:w="1134" w:type="dxa"/>
            <w:shd w:val="clear" w:color="auto" w:fill="auto"/>
          </w:tcPr>
          <w:p w14:paraId="79073B88"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100</w:t>
            </w:r>
          </w:p>
        </w:tc>
        <w:tc>
          <w:tcPr>
            <w:tcW w:w="1276" w:type="dxa"/>
            <w:shd w:val="clear" w:color="auto" w:fill="auto"/>
          </w:tcPr>
          <w:p w14:paraId="2583C718"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NA</w:t>
            </w:r>
          </w:p>
        </w:tc>
        <w:tc>
          <w:tcPr>
            <w:tcW w:w="992" w:type="dxa"/>
            <w:shd w:val="clear" w:color="auto" w:fill="auto"/>
          </w:tcPr>
          <w:p w14:paraId="4B79B2C5"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NA</w:t>
            </w:r>
          </w:p>
        </w:tc>
      </w:tr>
      <w:tr w:rsidR="00D71B94" w:rsidRPr="0053439C" w14:paraId="0916A9BF" w14:textId="77777777" w:rsidTr="007E3239">
        <w:tc>
          <w:tcPr>
            <w:tcW w:w="2019" w:type="dxa"/>
            <w:shd w:val="clear" w:color="auto" w:fill="FFFFFF"/>
          </w:tcPr>
          <w:p w14:paraId="2A7264E6" w14:textId="77777777" w:rsidR="00D71B94" w:rsidRPr="0053439C" w:rsidRDefault="00D71B94" w:rsidP="007E3239">
            <w:pPr>
              <w:pStyle w:val="TableText"/>
              <w:spacing w:before="40" w:after="40"/>
              <w:rPr>
                <w:rFonts w:eastAsia="Calibri" w:cs="Calibri"/>
                <w:bCs/>
                <w:szCs w:val="16"/>
              </w:rPr>
            </w:pPr>
            <w:r w:rsidRPr="0053439C">
              <w:rPr>
                <w:rFonts w:eastAsia="Calibri" w:cs="Calibri"/>
                <w:bCs/>
                <w:szCs w:val="16"/>
              </w:rPr>
              <w:t>Glass</w:t>
            </w:r>
          </w:p>
        </w:tc>
        <w:tc>
          <w:tcPr>
            <w:tcW w:w="1587" w:type="dxa"/>
            <w:vMerge/>
            <w:shd w:val="clear" w:color="auto" w:fill="auto"/>
          </w:tcPr>
          <w:p w14:paraId="01958A33" w14:textId="77777777" w:rsidR="00D71B94" w:rsidRPr="0053439C" w:rsidRDefault="00D71B94" w:rsidP="007E3239">
            <w:pPr>
              <w:spacing w:before="40" w:after="40"/>
              <w:rPr>
                <w:rFonts w:eastAsia="Calibri" w:cs="Calibri"/>
                <w:sz w:val="16"/>
                <w:szCs w:val="16"/>
              </w:rPr>
            </w:pPr>
          </w:p>
        </w:tc>
        <w:tc>
          <w:tcPr>
            <w:tcW w:w="1497" w:type="dxa"/>
            <w:shd w:val="clear" w:color="auto" w:fill="auto"/>
          </w:tcPr>
          <w:p w14:paraId="60E3744F"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0</w:t>
            </w:r>
          </w:p>
        </w:tc>
        <w:tc>
          <w:tcPr>
            <w:tcW w:w="1134" w:type="dxa"/>
            <w:shd w:val="clear" w:color="auto" w:fill="auto"/>
          </w:tcPr>
          <w:p w14:paraId="10F1D3DE"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100</w:t>
            </w:r>
          </w:p>
        </w:tc>
        <w:tc>
          <w:tcPr>
            <w:tcW w:w="1276" w:type="dxa"/>
            <w:shd w:val="clear" w:color="auto" w:fill="auto"/>
          </w:tcPr>
          <w:p w14:paraId="2859B06F"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NA</w:t>
            </w:r>
          </w:p>
        </w:tc>
        <w:tc>
          <w:tcPr>
            <w:tcW w:w="992" w:type="dxa"/>
            <w:shd w:val="clear" w:color="auto" w:fill="auto"/>
          </w:tcPr>
          <w:p w14:paraId="13D2626D"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NA</w:t>
            </w:r>
          </w:p>
        </w:tc>
      </w:tr>
      <w:tr w:rsidR="00D71B94" w:rsidRPr="0053439C" w14:paraId="4211891F" w14:textId="77777777" w:rsidTr="007E3239">
        <w:tc>
          <w:tcPr>
            <w:tcW w:w="2019" w:type="dxa"/>
            <w:shd w:val="clear" w:color="auto" w:fill="FFFFFF"/>
          </w:tcPr>
          <w:p w14:paraId="457AB610" w14:textId="77777777" w:rsidR="00D71B94" w:rsidRPr="0053439C" w:rsidRDefault="00D71B94" w:rsidP="007E3239">
            <w:pPr>
              <w:pStyle w:val="TableText"/>
              <w:spacing w:before="40" w:after="40"/>
              <w:rPr>
                <w:rFonts w:eastAsia="Calibri" w:cs="Calibri"/>
                <w:bCs/>
                <w:szCs w:val="16"/>
              </w:rPr>
            </w:pPr>
            <w:r w:rsidRPr="0053439C">
              <w:rPr>
                <w:rFonts w:eastAsia="Calibri" w:cs="Calibri"/>
                <w:bCs/>
                <w:szCs w:val="16"/>
              </w:rPr>
              <w:t>Other, inert</w:t>
            </w:r>
          </w:p>
        </w:tc>
        <w:tc>
          <w:tcPr>
            <w:tcW w:w="1587" w:type="dxa"/>
            <w:vMerge/>
            <w:shd w:val="clear" w:color="auto" w:fill="auto"/>
          </w:tcPr>
          <w:p w14:paraId="0FA76E10" w14:textId="77777777" w:rsidR="00D71B94" w:rsidRPr="0053439C" w:rsidRDefault="00D71B94" w:rsidP="007E3239">
            <w:pPr>
              <w:spacing w:before="40" w:after="40"/>
              <w:rPr>
                <w:rFonts w:eastAsia="Calibri" w:cs="Calibri"/>
                <w:sz w:val="16"/>
                <w:szCs w:val="16"/>
              </w:rPr>
            </w:pPr>
          </w:p>
        </w:tc>
        <w:tc>
          <w:tcPr>
            <w:tcW w:w="1497" w:type="dxa"/>
            <w:shd w:val="clear" w:color="auto" w:fill="auto"/>
          </w:tcPr>
          <w:p w14:paraId="25362505"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24.0</w:t>
            </w:r>
          </w:p>
        </w:tc>
        <w:tc>
          <w:tcPr>
            <w:tcW w:w="1134" w:type="dxa"/>
            <w:shd w:val="clear" w:color="auto" w:fill="auto"/>
          </w:tcPr>
          <w:p w14:paraId="2936F60D"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90</w:t>
            </w:r>
          </w:p>
        </w:tc>
        <w:tc>
          <w:tcPr>
            <w:tcW w:w="1276" w:type="dxa"/>
            <w:shd w:val="clear" w:color="auto" w:fill="auto"/>
          </w:tcPr>
          <w:p w14:paraId="3C8A2445"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3</w:t>
            </w:r>
          </w:p>
        </w:tc>
        <w:tc>
          <w:tcPr>
            <w:tcW w:w="992" w:type="dxa"/>
            <w:shd w:val="clear" w:color="auto" w:fill="auto"/>
          </w:tcPr>
          <w:p w14:paraId="1A9E32DA" w14:textId="77777777" w:rsidR="00D71B94" w:rsidRPr="0053439C" w:rsidRDefault="00D71B94" w:rsidP="007E3239">
            <w:pPr>
              <w:pStyle w:val="TableText"/>
              <w:spacing w:before="40" w:after="40"/>
              <w:jc w:val="center"/>
              <w:rPr>
                <w:rFonts w:eastAsia="Calibri" w:cs="Calibri"/>
                <w:szCs w:val="16"/>
              </w:rPr>
            </w:pPr>
            <w:r w:rsidRPr="0053439C">
              <w:rPr>
                <w:rFonts w:eastAsia="Calibri" w:cs="Calibri"/>
                <w:szCs w:val="16"/>
              </w:rPr>
              <w:t>100</w:t>
            </w:r>
          </w:p>
        </w:tc>
      </w:tr>
      <w:tr w:rsidR="00D71B94" w:rsidRPr="0053439C" w14:paraId="2B435DAE" w14:textId="77777777" w:rsidTr="007E3239">
        <w:tc>
          <w:tcPr>
            <w:tcW w:w="5103" w:type="dxa"/>
            <w:gridSpan w:val="3"/>
            <w:shd w:val="clear" w:color="auto" w:fill="FFFFFF"/>
          </w:tcPr>
          <w:p w14:paraId="35C63F62" w14:textId="77777777" w:rsidR="00D71B94" w:rsidRPr="0053439C" w:rsidRDefault="00D71B94" w:rsidP="007E3239">
            <w:pPr>
              <w:pStyle w:val="Tableboldblue"/>
              <w:spacing w:before="40" w:after="40"/>
              <w:jc w:val="right"/>
              <w:rPr>
                <w:rFonts w:eastAsia="Calibri"/>
              </w:rPr>
            </w:pPr>
            <w:r w:rsidRPr="0053439C">
              <w:rPr>
                <w:rFonts w:eastAsia="Calibri"/>
              </w:rPr>
              <w:t>Calculated weighted average</w:t>
            </w:r>
          </w:p>
        </w:tc>
        <w:tc>
          <w:tcPr>
            <w:tcW w:w="1134" w:type="dxa"/>
            <w:shd w:val="clear" w:color="auto" w:fill="FFFFFF"/>
          </w:tcPr>
          <w:p w14:paraId="117A5345" w14:textId="77777777" w:rsidR="00D71B94" w:rsidRPr="0053439C" w:rsidRDefault="00D71B94" w:rsidP="007E3239">
            <w:pPr>
              <w:pStyle w:val="Tableboldblue"/>
              <w:spacing w:before="40" w:after="40"/>
              <w:jc w:val="right"/>
              <w:rPr>
                <w:rFonts w:eastAsia="Calibri"/>
              </w:rPr>
            </w:pPr>
            <w:r w:rsidRPr="0053439C">
              <w:rPr>
                <w:rFonts w:eastAsia="Calibri"/>
              </w:rPr>
              <w:t>56.13</w:t>
            </w:r>
          </w:p>
        </w:tc>
        <w:tc>
          <w:tcPr>
            <w:tcW w:w="1276" w:type="dxa"/>
            <w:shd w:val="clear" w:color="auto" w:fill="FFFFFF"/>
          </w:tcPr>
          <w:p w14:paraId="1CD9282E" w14:textId="77777777" w:rsidR="00D71B94" w:rsidRPr="0053439C" w:rsidRDefault="00D71B94" w:rsidP="007E3239">
            <w:pPr>
              <w:pStyle w:val="Tableboldblue"/>
              <w:spacing w:before="40" w:after="40"/>
              <w:jc w:val="right"/>
              <w:rPr>
                <w:rFonts w:eastAsia="Calibri"/>
              </w:rPr>
            </w:pPr>
            <w:r w:rsidRPr="0053439C">
              <w:rPr>
                <w:rFonts w:eastAsia="Calibri"/>
              </w:rPr>
              <w:t>30.20</w:t>
            </w:r>
          </w:p>
        </w:tc>
        <w:tc>
          <w:tcPr>
            <w:tcW w:w="992" w:type="dxa"/>
            <w:shd w:val="clear" w:color="auto" w:fill="FFFFFF"/>
          </w:tcPr>
          <w:p w14:paraId="51E72355" w14:textId="77777777" w:rsidR="00D71B94" w:rsidRPr="0053439C" w:rsidRDefault="00D71B94" w:rsidP="007E3239">
            <w:pPr>
              <w:pStyle w:val="Tableboldblue"/>
              <w:spacing w:before="40" w:after="40"/>
              <w:jc w:val="right"/>
              <w:rPr>
                <w:rFonts w:eastAsia="Calibri"/>
              </w:rPr>
            </w:pPr>
            <w:r w:rsidRPr="0053439C">
              <w:rPr>
                <w:rFonts w:eastAsia="Calibri"/>
              </w:rPr>
              <w:t>24.06</w:t>
            </w:r>
          </w:p>
        </w:tc>
      </w:tr>
    </w:tbl>
    <w:p w14:paraId="526DA1F8" w14:textId="77777777" w:rsidR="00D71B94" w:rsidRPr="0053439C" w:rsidRDefault="00D71B94" w:rsidP="00D71B94">
      <w:pPr>
        <w:pStyle w:val="BodyText"/>
        <w:spacing w:before="240"/>
      </w:pPr>
      <w:r w:rsidRPr="0053439C">
        <w:t xml:space="preserve">Percentages in table 8.5.3 are defaults from table 2.3 and table 2.4 </w:t>
      </w:r>
      <w:r>
        <w:t>in</w:t>
      </w:r>
      <w:r w:rsidRPr="0053439C">
        <w:t xml:space="preserve"> volume 5, 2006 IPCC Guidelines (IPCC, 2006d). </w:t>
      </w:r>
    </w:p>
    <w:p w14:paraId="52EB850E" w14:textId="77777777" w:rsidR="00D71B94" w:rsidRPr="0053439C" w:rsidRDefault="00D71B94" w:rsidP="00D71B94">
      <w:pPr>
        <w:pStyle w:val="BodyText"/>
        <w:rPr>
          <w:spacing w:val="-2"/>
        </w:rPr>
      </w:pPr>
      <w:r w:rsidRPr="0053439C">
        <w:rPr>
          <w:spacing w:val="-2"/>
        </w:rPr>
        <w:t>An assumption was made that ‘inert’ waste for landfills is classified entirely as ‘other inert’ waste for incineration (the impact of this assumption is that emissions are slightly higher than distributing the 24 per cent over the various inert types due to the high fossil carbon percentage).</w:t>
      </w:r>
    </w:p>
    <w:p w14:paraId="305C3B62" w14:textId="77777777" w:rsidR="00D71B94" w:rsidRPr="0053439C" w:rsidRDefault="00D71B94" w:rsidP="00D71B94">
      <w:pPr>
        <w:pStyle w:val="Heading4"/>
      </w:pPr>
      <w:r w:rsidRPr="0053439C">
        <w:t>Uncertainty</w:t>
      </w:r>
    </w:p>
    <w:p w14:paraId="5D5EFB83" w14:textId="77777777" w:rsidR="00D71B94" w:rsidRPr="0053439C" w:rsidRDefault="00D71B94" w:rsidP="00D71B94">
      <w:pPr>
        <w:pStyle w:val="BodyText"/>
      </w:pPr>
      <w:r w:rsidRPr="0053439C">
        <w:t xml:space="preserve">The same uncertainty data for open burning of waste were used for Tokelau and New Zealand (see table 7.4.6, chapter 7; for methodological notes, refer to uncertainties in emissions from incineration and open burning, section 7.4.3, chapter 7). </w:t>
      </w:r>
    </w:p>
    <w:p w14:paraId="1FE3B36C" w14:textId="77777777" w:rsidR="00D71B94" w:rsidRPr="0053439C" w:rsidRDefault="00D71B94" w:rsidP="00D71B94">
      <w:pPr>
        <w:pStyle w:val="Table"/>
      </w:pPr>
      <w:bookmarkStart w:id="2603" w:name="_Toc5269605"/>
      <w:bookmarkStart w:id="2604" w:name="_Toc36224686"/>
      <w:bookmarkStart w:id="2605" w:name="_Toc68786572"/>
      <w:bookmarkStart w:id="2606" w:name="_Toc99659367"/>
      <w:r w:rsidRPr="00505B35">
        <w:t>Table 8.5.4</w:t>
      </w:r>
      <w:r w:rsidRPr="00505B35">
        <w:tab/>
        <w:t xml:space="preserve">Uncertainty in emissions from </w:t>
      </w:r>
      <w:r w:rsidRPr="00505B35">
        <w:rPr>
          <w:i/>
        </w:rPr>
        <w:t>Open burning of waste</w:t>
      </w:r>
      <w:r w:rsidRPr="00505B35">
        <w:t xml:space="preserve"> for Tokelau</w:t>
      </w:r>
      <w:bookmarkEnd w:id="2603"/>
      <w:bookmarkEnd w:id="2604"/>
      <w:bookmarkEnd w:id="2605"/>
      <w:bookmarkEnd w:id="2606"/>
    </w:p>
    <w:tbl>
      <w:tblPr>
        <w:tblW w:w="8505" w:type="dxa"/>
        <w:tblInd w:w="113" w:type="dxa"/>
        <w:tblBorders>
          <w:top w:val="single" w:sz="4" w:space="0" w:color="1B556B"/>
          <w:bottom w:val="single" w:sz="4" w:space="0" w:color="1B556B"/>
          <w:insideH w:val="single" w:sz="4" w:space="0" w:color="1B556B"/>
        </w:tblBorders>
        <w:tblCellMar>
          <w:left w:w="0" w:type="dxa"/>
          <w:right w:w="0" w:type="dxa"/>
        </w:tblCellMar>
        <w:tblLook w:val="04A0" w:firstRow="1" w:lastRow="0" w:firstColumn="1" w:lastColumn="0" w:noHBand="0" w:noVBand="1"/>
      </w:tblPr>
      <w:tblGrid>
        <w:gridCol w:w="2620"/>
        <w:gridCol w:w="2787"/>
        <w:gridCol w:w="3098"/>
      </w:tblGrid>
      <w:tr w:rsidR="00D71B94" w:rsidRPr="0053439C" w14:paraId="32EC88BB" w14:textId="77777777" w:rsidTr="007E3239">
        <w:tc>
          <w:tcPr>
            <w:tcW w:w="2620" w:type="dxa"/>
            <w:tcBorders>
              <w:right w:val="single" w:sz="4" w:space="0" w:color="1B556B"/>
            </w:tcBorders>
            <w:shd w:val="clear" w:color="auto" w:fill="1B556B"/>
            <w:tcMar>
              <w:top w:w="0" w:type="dxa"/>
              <w:left w:w="108" w:type="dxa"/>
              <w:bottom w:w="0" w:type="dxa"/>
              <w:right w:w="108" w:type="dxa"/>
            </w:tcMar>
            <w:vAlign w:val="bottom"/>
            <w:hideMark/>
          </w:tcPr>
          <w:p w14:paraId="7D67001C" w14:textId="77777777" w:rsidR="00D71B94" w:rsidRPr="0053439C" w:rsidRDefault="00D71B94" w:rsidP="007E3239">
            <w:pPr>
              <w:pStyle w:val="TableTextBold"/>
              <w:keepNext/>
              <w:spacing w:before="50" w:after="50"/>
              <w:rPr>
                <w:noProof w:val="0"/>
                <w:color w:val="FFFFFF"/>
                <w:szCs w:val="16"/>
              </w:rPr>
            </w:pPr>
            <w:r w:rsidRPr="0053439C">
              <w:rPr>
                <w:noProof w:val="0"/>
                <w:color w:val="FFFFFF"/>
                <w:szCs w:val="16"/>
              </w:rPr>
              <w:t>Emissions category</w:t>
            </w:r>
          </w:p>
        </w:tc>
        <w:tc>
          <w:tcPr>
            <w:tcW w:w="2787" w:type="dxa"/>
            <w:tcBorders>
              <w:left w:val="single" w:sz="4" w:space="0" w:color="1B556B"/>
              <w:right w:val="single" w:sz="4" w:space="0" w:color="1B556B"/>
            </w:tcBorders>
            <w:shd w:val="clear" w:color="auto" w:fill="1B556B"/>
            <w:tcMar>
              <w:top w:w="0" w:type="dxa"/>
              <w:left w:w="108" w:type="dxa"/>
              <w:bottom w:w="0" w:type="dxa"/>
              <w:right w:w="108" w:type="dxa"/>
            </w:tcMar>
            <w:vAlign w:val="bottom"/>
            <w:hideMark/>
          </w:tcPr>
          <w:p w14:paraId="737C361E" w14:textId="77777777" w:rsidR="00D71B94" w:rsidRPr="0053439C" w:rsidRDefault="00D71B94" w:rsidP="007E3239">
            <w:pPr>
              <w:pStyle w:val="TableTextBold"/>
              <w:keepNext/>
              <w:spacing w:before="50" w:after="50"/>
              <w:jc w:val="center"/>
              <w:rPr>
                <w:noProof w:val="0"/>
                <w:color w:val="FFFFFF"/>
                <w:szCs w:val="16"/>
              </w:rPr>
            </w:pPr>
            <w:r w:rsidRPr="0053439C">
              <w:rPr>
                <w:noProof w:val="0"/>
                <w:color w:val="FFFFFF"/>
                <w:szCs w:val="16"/>
              </w:rPr>
              <w:t>Uncertainty in activity data (%)</w:t>
            </w:r>
          </w:p>
        </w:tc>
        <w:tc>
          <w:tcPr>
            <w:tcW w:w="3098" w:type="dxa"/>
            <w:tcBorders>
              <w:left w:val="single" w:sz="4" w:space="0" w:color="1B556B"/>
            </w:tcBorders>
            <w:shd w:val="clear" w:color="auto" w:fill="1B556B"/>
            <w:tcMar>
              <w:top w:w="0" w:type="dxa"/>
              <w:left w:w="108" w:type="dxa"/>
              <w:bottom w:w="0" w:type="dxa"/>
              <w:right w:w="108" w:type="dxa"/>
            </w:tcMar>
            <w:vAlign w:val="bottom"/>
            <w:hideMark/>
          </w:tcPr>
          <w:p w14:paraId="7F351827" w14:textId="77777777" w:rsidR="00D71B94" w:rsidRPr="0053439C" w:rsidRDefault="00D71B94" w:rsidP="007E3239">
            <w:pPr>
              <w:pStyle w:val="TableTextBold"/>
              <w:keepNext/>
              <w:spacing w:before="50" w:after="50"/>
              <w:jc w:val="center"/>
              <w:rPr>
                <w:noProof w:val="0"/>
                <w:color w:val="FFFFFF"/>
                <w:szCs w:val="16"/>
              </w:rPr>
            </w:pPr>
            <w:r w:rsidRPr="0053439C">
              <w:rPr>
                <w:noProof w:val="0"/>
                <w:color w:val="FFFFFF"/>
                <w:szCs w:val="16"/>
              </w:rPr>
              <w:t>Uncertainty in emission factors (%)</w:t>
            </w:r>
          </w:p>
        </w:tc>
      </w:tr>
      <w:tr w:rsidR="00D71B94" w:rsidRPr="0053439C" w14:paraId="6422E5D2" w14:textId="77777777" w:rsidTr="007E3239">
        <w:trPr>
          <w:trHeight w:val="127"/>
        </w:trPr>
        <w:tc>
          <w:tcPr>
            <w:tcW w:w="2620" w:type="dxa"/>
            <w:tcBorders>
              <w:right w:val="single" w:sz="4" w:space="0" w:color="1B556B"/>
            </w:tcBorders>
            <w:shd w:val="clear" w:color="auto" w:fill="FFFFFF"/>
            <w:tcMar>
              <w:top w:w="0" w:type="dxa"/>
              <w:left w:w="108" w:type="dxa"/>
              <w:bottom w:w="0" w:type="dxa"/>
              <w:right w:w="108" w:type="dxa"/>
            </w:tcMar>
            <w:hideMark/>
          </w:tcPr>
          <w:p w14:paraId="37462B73" w14:textId="77777777" w:rsidR="00D71B94" w:rsidRPr="0053439C" w:rsidRDefault="00D71B94" w:rsidP="007E3239">
            <w:pPr>
              <w:pStyle w:val="TableText"/>
              <w:spacing w:before="50" w:after="50"/>
              <w:rPr>
                <w:szCs w:val="16"/>
              </w:rPr>
            </w:pPr>
            <w:r w:rsidRPr="0053439C">
              <w:rPr>
                <w:szCs w:val="16"/>
              </w:rPr>
              <w:t>Waste open burning (CO</w:t>
            </w:r>
            <w:r w:rsidRPr="0053439C">
              <w:rPr>
                <w:szCs w:val="16"/>
                <w:vertAlign w:val="subscript"/>
              </w:rPr>
              <w:t>2</w:t>
            </w:r>
            <w:r w:rsidRPr="0053439C">
              <w:rPr>
                <w:szCs w:val="16"/>
              </w:rPr>
              <w:t>)</w:t>
            </w:r>
          </w:p>
        </w:tc>
        <w:tc>
          <w:tcPr>
            <w:tcW w:w="2787" w:type="dxa"/>
            <w:tcBorders>
              <w:left w:val="single" w:sz="4" w:space="0" w:color="1B556B"/>
              <w:right w:val="single" w:sz="4" w:space="0" w:color="1B556B"/>
            </w:tcBorders>
            <w:shd w:val="clear" w:color="auto" w:fill="FFFFFF"/>
            <w:tcMar>
              <w:top w:w="0" w:type="dxa"/>
              <w:left w:w="108" w:type="dxa"/>
              <w:bottom w:w="0" w:type="dxa"/>
              <w:right w:w="108" w:type="dxa"/>
            </w:tcMar>
            <w:hideMark/>
          </w:tcPr>
          <w:p w14:paraId="19FDB97D" w14:textId="77777777" w:rsidR="00D71B94" w:rsidRPr="0053439C" w:rsidRDefault="00D71B94" w:rsidP="007E3239">
            <w:pPr>
              <w:pStyle w:val="TableText"/>
              <w:spacing w:before="50" w:after="50"/>
              <w:jc w:val="center"/>
              <w:rPr>
                <w:szCs w:val="16"/>
              </w:rPr>
            </w:pPr>
            <w:r w:rsidRPr="0053439C">
              <w:rPr>
                <w:szCs w:val="16"/>
              </w:rPr>
              <w:t>±50</w:t>
            </w:r>
          </w:p>
        </w:tc>
        <w:tc>
          <w:tcPr>
            <w:tcW w:w="3098" w:type="dxa"/>
            <w:tcBorders>
              <w:left w:val="single" w:sz="4" w:space="0" w:color="1B556B"/>
            </w:tcBorders>
            <w:shd w:val="clear" w:color="auto" w:fill="FFFFFF"/>
            <w:tcMar>
              <w:top w:w="0" w:type="dxa"/>
              <w:left w:w="108" w:type="dxa"/>
              <w:bottom w:w="0" w:type="dxa"/>
              <w:right w:w="108" w:type="dxa"/>
            </w:tcMar>
            <w:hideMark/>
          </w:tcPr>
          <w:p w14:paraId="35C1BAAA" w14:textId="77777777" w:rsidR="00D71B94" w:rsidRPr="0053439C" w:rsidRDefault="00D71B94" w:rsidP="007E3239">
            <w:pPr>
              <w:pStyle w:val="TableText"/>
              <w:spacing w:before="50" w:after="50"/>
              <w:jc w:val="center"/>
              <w:rPr>
                <w:szCs w:val="16"/>
              </w:rPr>
            </w:pPr>
            <w:r w:rsidRPr="0053439C">
              <w:rPr>
                <w:szCs w:val="16"/>
              </w:rPr>
              <w:t>±40</w:t>
            </w:r>
          </w:p>
        </w:tc>
      </w:tr>
      <w:tr w:rsidR="00D71B94" w:rsidRPr="0053439C" w14:paraId="56B4D5B7" w14:textId="77777777" w:rsidTr="007E3239">
        <w:trPr>
          <w:trHeight w:val="127"/>
        </w:trPr>
        <w:tc>
          <w:tcPr>
            <w:tcW w:w="2620" w:type="dxa"/>
            <w:tcBorders>
              <w:right w:val="single" w:sz="4" w:space="0" w:color="1B556B"/>
            </w:tcBorders>
            <w:shd w:val="clear" w:color="auto" w:fill="FFFFFF"/>
            <w:tcMar>
              <w:top w:w="0" w:type="dxa"/>
              <w:left w:w="108" w:type="dxa"/>
              <w:bottom w:w="0" w:type="dxa"/>
              <w:right w:w="108" w:type="dxa"/>
            </w:tcMar>
            <w:hideMark/>
          </w:tcPr>
          <w:p w14:paraId="29D78FDE" w14:textId="77777777" w:rsidR="00D71B94" w:rsidRPr="0053439C" w:rsidRDefault="00D71B94" w:rsidP="007E3239">
            <w:pPr>
              <w:pStyle w:val="TableText"/>
              <w:spacing w:before="50" w:after="50"/>
              <w:rPr>
                <w:szCs w:val="16"/>
              </w:rPr>
            </w:pPr>
            <w:r w:rsidRPr="0053439C">
              <w:rPr>
                <w:szCs w:val="16"/>
              </w:rPr>
              <w:t>Waste open burning (CH</w:t>
            </w:r>
            <w:r w:rsidRPr="0053439C">
              <w:rPr>
                <w:szCs w:val="16"/>
                <w:vertAlign w:val="subscript"/>
              </w:rPr>
              <w:t>4</w:t>
            </w:r>
            <w:r w:rsidRPr="0053439C">
              <w:rPr>
                <w:szCs w:val="16"/>
              </w:rPr>
              <w:t>)</w:t>
            </w:r>
          </w:p>
        </w:tc>
        <w:tc>
          <w:tcPr>
            <w:tcW w:w="2787" w:type="dxa"/>
            <w:tcBorders>
              <w:left w:val="single" w:sz="4" w:space="0" w:color="1B556B"/>
              <w:right w:val="single" w:sz="4" w:space="0" w:color="1B556B"/>
            </w:tcBorders>
            <w:shd w:val="clear" w:color="auto" w:fill="FFFFFF"/>
            <w:tcMar>
              <w:top w:w="0" w:type="dxa"/>
              <w:left w:w="108" w:type="dxa"/>
              <w:bottom w:w="0" w:type="dxa"/>
              <w:right w:w="108" w:type="dxa"/>
            </w:tcMar>
            <w:hideMark/>
          </w:tcPr>
          <w:p w14:paraId="4DB704AD" w14:textId="77777777" w:rsidR="00D71B94" w:rsidRPr="0053439C" w:rsidRDefault="00D71B94" w:rsidP="007E3239">
            <w:pPr>
              <w:pStyle w:val="TableText"/>
              <w:spacing w:before="50" w:after="50"/>
              <w:jc w:val="center"/>
              <w:rPr>
                <w:szCs w:val="16"/>
              </w:rPr>
            </w:pPr>
            <w:r w:rsidRPr="0053439C">
              <w:rPr>
                <w:szCs w:val="16"/>
              </w:rPr>
              <w:t>±50</w:t>
            </w:r>
          </w:p>
        </w:tc>
        <w:tc>
          <w:tcPr>
            <w:tcW w:w="3098" w:type="dxa"/>
            <w:tcBorders>
              <w:left w:val="single" w:sz="4" w:space="0" w:color="1B556B"/>
            </w:tcBorders>
            <w:shd w:val="clear" w:color="auto" w:fill="FFFFFF"/>
            <w:tcMar>
              <w:top w:w="0" w:type="dxa"/>
              <w:left w:w="108" w:type="dxa"/>
              <w:bottom w:w="0" w:type="dxa"/>
              <w:right w:w="108" w:type="dxa"/>
            </w:tcMar>
            <w:hideMark/>
          </w:tcPr>
          <w:p w14:paraId="013B3033" w14:textId="77777777" w:rsidR="00D71B94" w:rsidRPr="0053439C" w:rsidRDefault="00D71B94" w:rsidP="007E3239">
            <w:pPr>
              <w:pStyle w:val="TableText"/>
              <w:spacing w:before="50" w:after="50"/>
              <w:jc w:val="center"/>
              <w:rPr>
                <w:szCs w:val="16"/>
              </w:rPr>
            </w:pPr>
            <w:r w:rsidRPr="0053439C">
              <w:rPr>
                <w:szCs w:val="16"/>
              </w:rPr>
              <w:t>±100</w:t>
            </w:r>
          </w:p>
        </w:tc>
      </w:tr>
      <w:tr w:rsidR="00D71B94" w:rsidRPr="0053439C" w14:paraId="64161C41" w14:textId="77777777" w:rsidTr="007E3239">
        <w:trPr>
          <w:trHeight w:val="127"/>
        </w:trPr>
        <w:tc>
          <w:tcPr>
            <w:tcW w:w="2620" w:type="dxa"/>
            <w:tcBorders>
              <w:right w:val="single" w:sz="4" w:space="0" w:color="1B556B"/>
            </w:tcBorders>
            <w:shd w:val="clear" w:color="auto" w:fill="FFFFFF"/>
            <w:tcMar>
              <w:top w:w="0" w:type="dxa"/>
              <w:left w:w="108" w:type="dxa"/>
              <w:bottom w:w="0" w:type="dxa"/>
              <w:right w:w="108" w:type="dxa"/>
            </w:tcMar>
            <w:hideMark/>
          </w:tcPr>
          <w:p w14:paraId="7277A85E" w14:textId="77777777" w:rsidR="00D71B94" w:rsidRPr="0053439C" w:rsidRDefault="00D71B94" w:rsidP="007E3239">
            <w:pPr>
              <w:pStyle w:val="TableText"/>
              <w:spacing w:before="50" w:after="50"/>
              <w:rPr>
                <w:szCs w:val="16"/>
              </w:rPr>
            </w:pPr>
            <w:r w:rsidRPr="0053439C">
              <w:rPr>
                <w:szCs w:val="16"/>
              </w:rPr>
              <w:t>Waste open burning (N</w:t>
            </w:r>
            <w:r w:rsidRPr="0053439C">
              <w:rPr>
                <w:szCs w:val="16"/>
                <w:vertAlign w:val="subscript"/>
              </w:rPr>
              <w:t>2</w:t>
            </w:r>
            <w:r w:rsidRPr="0053439C">
              <w:rPr>
                <w:szCs w:val="16"/>
              </w:rPr>
              <w:t>O)</w:t>
            </w:r>
          </w:p>
        </w:tc>
        <w:tc>
          <w:tcPr>
            <w:tcW w:w="2787" w:type="dxa"/>
            <w:tcBorders>
              <w:left w:val="single" w:sz="4" w:space="0" w:color="1B556B"/>
              <w:right w:val="single" w:sz="4" w:space="0" w:color="1B556B"/>
            </w:tcBorders>
            <w:shd w:val="clear" w:color="auto" w:fill="FFFFFF"/>
            <w:tcMar>
              <w:top w:w="0" w:type="dxa"/>
              <w:left w:w="108" w:type="dxa"/>
              <w:bottom w:w="0" w:type="dxa"/>
              <w:right w:w="108" w:type="dxa"/>
            </w:tcMar>
            <w:hideMark/>
          </w:tcPr>
          <w:p w14:paraId="7383101D" w14:textId="77777777" w:rsidR="00D71B94" w:rsidRPr="0053439C" w:rsidRDefault="00D71B94" w:rsidP="007E3239">
            <w:pPr>
              <w:pStyle w:val="TableText"/>
              <w:spacing w:before="50" w:after="50"/>
              <w:jc w:val="center"/>
              <w:rPr>
                <w:szCs w:val="16"/>
              </w:rPr>
            </w:pPr>
            <w:r w:rsidRPr="0053439C">
              <w:rPr>
                <w:szCs w:val="16"/>
              </w:rPr>
              <w:t>±50</w:t>
            </w:r>
          </w:p>
        </w:tc>
        <w:tc>
          <w:tcPr>
            <w:tcW w:w="3098" w:type="dxa"/>
            <w:tcBorders>
              <w:left w:val="single" w:sz="4" w:space="0" w:color="1B556B"/>
            </w:tcBorders>
            <w:shd w:val="clear" w:color="auto" w:fill="FFFFFF"/>
            <w:tcMar>
              <w:top w:w="0" w:type="dxa"/>
              <w:left w:w="108" w:type="dxa"/>
              <w:bottom w:w="0" w:type="dxa"/>
              <w:right w:w="108" w:type="dxa"/>
            </w:tcMar>
            <w:hideMark/>
          </w:tcPr>
          <w:p w14:paraId="060E0D05" w14:textId="77777777" w:rsidR="00D71B94" w:rsidRPr="0053439C" w:rsidRDefault="00D71B94" w:rsidP="007E3239">
            <w:pPr>
              <w:pStyle w:val="TableText"/>
              <w:spacing w:before="50" w:after="50"/>
              <w:jc w:val="center"/>
              <w:rPr>
                <w:szCs w:val="16"/>
              </w:rPr>
            </w:pPr>
            <w:r w:rsidRPr="0053439C">
              <w:rPr>
                <w:szCs w:val="16"/>
              </w:rPr>
              <w:t>±100</w:t>
            </w:r>
          </w:p>
        </w:tc>
      </w:tr>
    </w:tbl>
    <w:p w14:paraId="3F46E698" w14:textId="77777777" w:rsidR="00D71B94" w:rsidRPr="0053439C" w:rsidRDefault="00D71B94" w:rsidP="009A00FF">
      <w:pPr>
        <w:pStyle w:val="Heading3"/>
        <w:spacing w:before="480" w:line="360" w:lineRule="atLeast"/>
      </w:pPr>
      <w:r w:rsidRPr="0053439C">
        <w:t xml:space="preserve">8.5.3 </w:t>
      </w:r>
      <w:r w:rsidRPr="0053439C">
        <w:tab/>
        <w:t>Emissions from Wastewater treatment and discharge</w:t>
      </w:r>
      <w:r>
        <w:t> </w:t>
      </w:r>
      <w:r w:rsidRPr="0053439C">
        <w:t>in Tokelau</w:t>
      </w:r>
    </w:p>
    <w:p w14:paraId="1E092E29" w14:textId="77777777" w:rsidR="00D71B94" w:rsidRPr="0053439C" w:rsidRDefault="00D71B94" w:rsidP="00D71B94">
      <w:pPr>
        <w:pStyle w:val="BodyText"/>
      </w:pPr>
      <w:r w:rsidRPr="0053439C">
        <w:t xml:space="preserve">In the absence of industrial plants in Tokelau, all emissions associated with wastewater treatment and discharge are reported under the </w:t>
      </w:r>
      <w:r w:rsidRPr="0053439C">
        <w:rPr>
          <w:i/>
        </w:rPr>
        <w:t>Domestic wastewater</w:t>
      </w:r>
      <w:r w:rsidRPr="0053439C">
        <w:t xml:space="preserve"> category (5.D.1). The</w:t>
      </w:r>
      <w:r>
        <w:t> </w:t>
      </w:r>
      <w:r w:rsidRPr="0053439C">
        <w:t xml:space="preserve">category uses the same population values as in the </w:t>
      </w:r>
      <w:r w:rsidRPr="0053439C">
        <w:rPr>
          <w:i/>
        </w:rPr>
        <w:t>Solid waste disposal</w:t>
      </w:r>
      <w:r w:rsidRPr="0053439C">
        <w:t xml:space="preserve"> and </w:t>
      </w:r>
      <w:r w:rsidRPr="0053439C">
        <w:rPr>
          <w:i/>
        </w:rPr>
        <w:t>Open burning</w:t>
      </w:r>
      <w:r>
        <w:rPr>
          <w:i/>
        </w:rPr>
        <w:t> </w:t>
      </w:r>
      <w:r w:rsidRPr="0053439C">
        <w:rPr>
          <w:i/>
        </w:rPr>
        <w:t xml:space="preserve">of waste </w:t>
      </w:r>
      <w:r w:rsidRPr="0053439C">
        <w:t>categories (see above). The category includes emissions of CH</w:t>
      </w:r>
      <w:r w:rsidRPr="0053439C">
        <w:rPr>
          <w:vertAlign w:val="subscript"/>
        </w:rPr>
        <w:t>4</w:t>
      </w:r>
      <w:r w:rsidRPr="0053439C">
        <w:t xml:space="preserve"> and N</w:t>
      </w:r>
      <w:r w:rsidRPr="0053439C">
        <w:rPr>
          <w:vertAlign w:val="subscript"/>
        </w:rPr>
        <w:t>2</w:t>
      </w:r>
      <w:r w:rsidRPr="0053439C">
        <w:t>O.</w:t>
      </w:r>
    </w:p>
    <w:p w14:paraId="613CA5AC" w14:textId="77777777" w:rsidR="00D71B94" w:rsidRPr="0053439C" w:rsidRDefault="00D71B94" w:rsidP="00D71B94">
      <w:pPr>
        <w:pStyle w:val="BodyText"/>
      </w:pPr>
      <w:r w:rsidRPr="0053439C">
        <w:t xml:space="preserve">The </w:t>
      </w:r>
      <w:r w:rsidRPr="0053439C">
        <w:rPr>
          <w:i/>
          <w:iCs/>
        </w:rPr>
        <w:t xml:space="preserve">Domestic wastewater </w:t>
      </w:r>
      <w:r w:rsidRPr="0053439C">
        <w:t>category</w:t>
      </w:r>
      <w:r w:rsidRPr="0053439C">
        <w:rPr>
          <w:i/>
          <w:iCs/>
        </w:rPr>
        <w:t xml:space="preserve"> </w:t>
      </w:r>
      <w:r w:rsidRPr="0053439C">
        <w:t>contributed 38.2 per cent to the total of Waste sector emissions from Tokelau in 2020, which amounted to 0.27 kt CO</w:t>
      </w:r>
      <w:r w:rsidRPr="0053439C">
        <w:rPr>
          <w:vertAlign w:val="subscript"/>
        </w:rPr>
        <w:t>2</w:t>
      </w:r>
      <w:r w:rsidRPr="0053439C">
        <w:t>-e.</w:t>
      </w:r>
    </w:p>
    <w:p w14:paraId="6EAC9BF6" w14:textId="77777777" w:rsidR="00D71B94" w:rsidRPr="0053439C" w:rsidRDefault="00D71B94" w:rsidP="00D71B94">
      <w:pPr>
        <w:pStyle w:val="Heading4"/>
      </w:pPr>
      <w:r w:rsidRPr="0053439C">
        <w:t>Methodological issues</w:t>
      </w:r>
    </w:p>
    <w:p w14:paraId="6EE81C75" w14:textId="77777777" w:rsidR="00D71B94" w:rsidRPr="0053439C" w:rsidRDefault="00D71B94" w:rsidP="00D71B94">
      <w:pPr>
        <w:pStyle w:val="BodyText"/>
        <w:spacing w:before="100" w:after="100"/>
      </w:pPr>
      <w:r w:rsidRPr="0053439C">
        <w:t>A Tier 1 methodology with the 2006 IPCC default emission factors (except the protein consumption value) for all gases was applied for estimating emissions from this category.</w:t>
      </w:r>
    </w:p>
    <w:p w14:paraId="5998AA84" w14:textId="77777777" w:rsidR="00D71B94" w:rsidRPr="0053439C" w:rsidRDefault="00D71B94" w:rsidP="00D71B94">
      <w:pPr>
        <w:pStyle w:val="BodyText"/>
        <w:spacing w:before="100" w:after="100"/>
      </w:pPr>
      <w:r w:rsidRPr="0053439C">
        <w:t>Assumptions for estimating CH</w:t>
      </w:r>
      <w:r w:rsidRPr="0053439C">
        <w:rPr>
          <w:vertAlign w:val="subscript"/>
        </w:rPr>
        <w:t>4</w:t>
      </w:r>
      <w:r w:rsidRPr="0053439C">
        <w:t xml:space="preserve"> emissions from wastewater:</w:t>
      </w:r>
    </w:p>
    <w:p w14:paraId="50D26717" w14:textId="77777777" w:rsidR="00D71B94" w:rsidRPr="0053439C" w:rsidRDefault="00D71B94" w:rsidP="00D71B94">
      <w:pPr>
        <w:pStyle w:val="Bullet"/>
      </w:pPr>
      <w:r w:rsidRPr="0053439C">
        <w:t>60 grams biochemical oxygen demand (BOD) per person per day (as for Canada, Europe, Russia and Oceania), which calculates as 21.9 kg/person/year</w:t>
      </w:r>
    </w:p>
    <w:p w14:paraId="32C9AEBB" w14:textId="77777777" w:rsidR="00D71B94" w:rsidRPr="0053439C" w:rsidRDefault="00D71B94" w:rsidP="00D71B94">
      <w:pPr>
        <w:pStyle w:val="Bullet"/>
      </w:pPr>
      <w:r w:rsidRPr="0053439C">
        <w:t>for population, the same time series as in categories 5.A.3 and 5.C was used</w:t>
      </w:r>
    </w:p>
    <w:p w14:paraId="7E40F972" w14:textId="77777777" w:rsidR="00D71B94" w:rsidRPr="0053439C" w:rsidRDefault="00D71B94" w:rsidP="00D71B94">
      <w:pPr>
        <w:pStyle w:val="Bullet"/>
      </w:pPr>
      <w:r w:rsidRPr="0053439C">
        <w:lastRenderedPageBreak/>
        <w:t xml:space="preserve">despite having no wastewater collection system, a correction factor for industrial BOD discharged in sewers of 1.25 is used (default for collected systems) to account for any industrial and commercial activity in Tokelau, such as fishing. No other estimates of industrial wastewater are made (effectively 5.D.2 </w:t>
      </w:r>
      <w:r w:rsidRPr="0053439C">
        <w:rPr>
          <w:i/>
        </w:rPr>
        <w:t>Industrial wastewater</w:t>
      </w:r>
      <w:r w:rsidRPr="0053439C">
        <w:t xml:space="preserve"> is ‘IE’ (included elsewhere) and included in 5.D.1 </w:t>
      </w:r>
      <w:r w:rsidRPr="0053439C">
        <w:rPr>
          <w:i/>
        </w:rPr>
        <w:t>Domestic wastewater</w:t>
      </w:r>
      <w:r w:rsidRPr="0053439C">
        <w:t>)</w:t>
      </w:r>
    </w:p>
    <w:p w14:paraId="1DAE8F7D" w14:textId="77777777" w:rsidR="00D71B94" w:rsidRPr="0053439C" w:rsidRDefault="00D71B94" w:rsidP="00D71B94">
      <w:pPr>
        <w:pStyle w:val="Bullet"/>
      </w:pPr>
      <w:r w:rsidRPr="0053439C">
        <w:t>in 2016, most Tokelauans had access to a private toilet in their homes using septic tanks: 72.9 per cent of private occupied dwellings had an indoor flush toilet, and 21.6 per cent of dwellings had an outdoor flush toilet. Atafu had the highest proportion of dwellings with an indoor toilet (87.4 per cent), and Nukunonu had the highest proportion of households with an outdoor toilet (34.9 per cent) (Census 2016, similar to values for 2011 and 2006). The percentage of open water toilets gradually reduced from 65 per cent of dwellings in 1991 to nil by 2016.</w:t>
      </w:r>
    </w:p>
    <w:p w14:paraId="4CC378AA" w14:textId="77777777" w:rsidR="00D71B94" w:rsidRPr="0053439C" w:rsidRDefault="00D71B94" w:rsidP="00D71B94">
      <w:pPr>
        <w:pStyle w:val="BodyText"/>
      </w:pPr>
      <w:r w:rsidRPr="0053439C">
        <w:t>Table 8.5.5 sums up default parameters used for estimating CH</w:t>
      </w:r>
      <w:r w:rsidRPr="0053439C">
        <w:rPr>
          <w:vertAlign w:val="subscript"/>
        </w:rPr>
        <w:t>4</w:t>
      </w:r>
      <w:r w:rsidRPr="0053439C">
        <w:t xml:space="preserve"> emissions for Tokelau wastewater treatment. The default BOD correction factor for collected systems is used to account for industrial and commercial water, because there is no separate estimate.</w:t>
      </w:r>
    </w:p>
    <w:p w14:paraId="01F8EBD3" w14:textId="77777777" w:rsidR="00D71B94" w:rsidRPr="0053439C" w:rsidRDefault="00D71B94" w:rsidP="00D71B94">
      <w:pPr>
        <w:pStyle w:val="Table"/>
      </w:pPr>
      <w:bookmarkStart w:id="2607" w:name="_Toc5269606"/>
      <w:bookmarkStart w:id="2608" w:name="_Toc36224687"/>
      <w:bookmarkStart w:id="2609" w:name="_Toc68786573"/>
      <w:bookmarkStart w:id="2610" w:name="_Toc99659368"/>
      <w:r w:rsidRPr="0053439C">
        <w:t>Table 8.5.5</w:t>
      </w:r>
      <w:r w:rsidRPr="0053439C">
        <w:tab/>
        <w:t>Parameters for estimating methane emissions for Tokelau wastewater treatment</w:t>
      </w:r>
      <w:bookmarkEnd w:id="2607"/>
      <w:bookmarkEnd w:id="2608"/>
      <w:bookmarkEnd w:id="2609"/>
      <w:bookmarkEnd w:id="2610"/>
      <w:r w:rsidRPr="0053439C">
        <w:t xml:space="preserve"> </w:t>
      </w:r>
    </w:p>
    <w:tbl>
      <w:tblPr>
        <w:tblW w:w="8505" w:type="dxa"/>
        <w:tblInd w:w="113"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3311"/>
        <w:gridCol w:w="742"/>
        <w:gridCol w:w="1598"/>
        <w:gridCol w:w="2854"/>
      </w:tblGrid>
      <w:tr w:rsidR="00D71B94" w:rsidRPr="0053439C" w14:paraId="107432CE" w14:textId="77777777" w:rsidTr="007E3239">
        <w:tc>
          <w:tcPr>
            <w:tcW w:w="3289" w:type="dxa"/>
            <w:shd w:val="clear" w:color="auto" w:fill="1B556B"/>
          </w:tcPr>
          <w:p w14:paraId="457BBDDE" w14:textId="77777777" w:rsidR="00D71B94" w:rsidRPr="0053439C" w:rsidRDefault="00D71B94" w:rsidP="007E3239">
            <w:pPr>
              <w:pStyle w:val="TableTextBold"/>
              <w:spacing w:before="40" w:after="40"/>
              <w:rPr>
                <w:noProof w:val="0"/>
                <w:color w:val="FFFFFF"/>
                <w:szCs w:val="16"/>
              </w:rPr>
            </w:pPr>
            <w:r w:rsidRPr="0053439C">
              <w:rPr>
                <w:noProof w:val="0"/>
                <w:color w:val="FFFFFF"/>
                <w:szCs w:val="16"/>
              </w:rPr>
              <w:t>Parameter</w:t>
            </w:r>
          </w:p>
        </w:tc>
        <w:tc>
          <w:tcPr>
            <w:tcW w:w="737" w:type="dxa"/>
            <w:shd w:val="clear" w:color="auto" w:fill="1B556B"/>
          </w:tcPr>
          <w:p w14:paraId="372FBAAE" w14:textId="77777777" w:rsidR="00D71B94" w:rsidRPr="0053439C" w:rsidRDefault="00D71B94" w:rsidP="007E3239">
            <w:pPr>
              <w:pStyle w:val="TableTextBold"/>
              <w:spacing w:before="40" w:after="40"/>
              <w:rPr>
                <w:noProof w:val="0"/>
                <w:color w:val="FFFFFF"/>
                <w:szCs w:val="16"/>
              </w:rPr>
            </w:pPr>
            <w:r w:rsidRPr="0053439C">
              <w:rPr>
                <w:noProof w:val="0"/>
                <w:color w:val="FFFFFF"/>
                <w:szCs w:val="16"/>
              </w:rPr>
              <w:t>Value</w:t>
            </w:r>
          </w:p>
        </w:tc>
        <w:tc>
          <w:tcPr>
            <w:tcW w:w="1587" w:type="dxa"/>
            <w:shd w:val="clear" w:color="auto" w:fill="1B556B"/>
          </w:tcPr>
          <w:p w14:paraId="3D196533" w14:textId="77777777" w:rsidR="00D71B94" w:rsidRPr="0053439C" w:rsidRDefault="00D71B94" w:rsidP="007E3239">
            <w:pPr>
              <w:pStyle w:val="TableTextBold"/>
              <w:spacing w:before="40" w:after="40"/>
              <w:rPr>
                <w:noProof w:val="0"/>
                <w:color w:val="FFFFFF"/>
                <w:szCs w:val="16"/>
              </w:rPr>
            </w:pPr>
            <w:r w:rsidRPr="0053439C">
              <w:rPr>
                <w:noProof w:val="0"/>
                <w:color w:val="FFFFFF"/>
                <w:szCs w:val="16"/>
              </w:rPr>
              <w:t>Source</w:t>
            </w:r>
          </w:p>
        </w:tc>
        <w:tc>
          <w:tcPr>
            <w:tcW w:w="2835" w:type="dxa"/>
            <w:shd w:val="clear" w:color="auto" w:fill="1B556B"/>
          </w:tcPr>
          <w:p w14:paraId="124C3404" w14:textId="77777777" w:rsidR="00D71B94" w:rsidRPr="0053439C" w:rsidRDefault="00D71B94" w:rsidP="007E3239">
            <w:pPr>
              <w:pStyle w:val="TableTextBold"/>
              <w:spacing w:before="40" w:after="40"/>
              <w:rPr>
                <w:noProof w:val="0"/>
                <w:color w:val="FFFFFF"/>
                <w:szCs w:val="16"/>
              </w:rPr>
            </w:pPr>
            <w:r w:rsidRPr="0053439C">
              <w:rPr>
                <w:noProof w:val="0"/>
                <w:color w:val="FFFFFF"/>
                <w:szCs w:val="16"/>
              </w:rPr>
              <w:t>Reference</w:t>
            </w:r>
          </w:p>
        </w:tc>
      </w:tr>
      <w:tr w:rsidR="00D71B94" w:rsidRPr="0053439C" w14:paraId="2E9F71E0" w14:textId="77777777" w:rsidTr="007E3239">
        <w:tc>
          <w:tcPr>
            <w:tcW w:w="3289" w:type="dxa"/>
          </w:tcPr>
          <w:p w14:paraId="54CDC8E6" w14:textId="77777777" w:rsidR="00D71B94" w:rsidRPr="0053439C" w:rsidRDefault="00D71B94" w:rsidP="007E3239">
            <w:pPr>
              <w:pStyle w:val="TableText"/>
              <w:spacing w:before="50" w:after="50"/>
              <w:rPr>
                <w:szCs w:val="16"/>
              </w:rPr>
            </w:pPr>
            <w:r w:rsidRPr="0053439C">
              <w:rPr>
                <w:szCs w:val="16"/>
              </w:rPr>
              <w:t>Methane correction factors</w:t>
            </w:r>
          </w:p>
        </w:tc>
        <w:tc>
          <w:tcPr>
            <w:tcW w:w="737" w:type="dxa"/>
          </w:tcPr>
          <w:p w14:paraId="75A10501" w14:textId="77777777" w:rsidR="00D71B94" w:rsidRPr="0053439C" w:rsidRDefault="00D71B94" w:rsidP="007E3239">
            <w:pPr>
              <w:pStyle w:val="TableText"/>
              <w:spacing w:before="50" w:after="50"/>
              <w:rPr>
                <w:szCs w:val="16"/>
              </w:rPr>
            </w:pPr>
          </w:p>
        </w:tc>
        <w:tc>
          <w:tcPr>
            <w:tcW w:w="1587" w:type="dxa"/>
          </w:tcPr>
          <w:p w14:paraId="3D49F551" w14:textId="77777777" w:rsidR="00D71B94" w:rsidRPr="0053439C" w:rsidRDefault="00D71B94" w:rsidP="007E3239">
            <w:pPr>
              <w:pStyle w:val="TableText"/>
              <w:spacing w:before="50" w:after="50"/>
              <w:rPr>
                <w:szCs w:val="16"/>
              </w:rPr>
            </w:pPr>
          </w:p>
        </w:tc>
        <w:tc>
          <w:tcPr>
            <w:tcW w:w="2835" w:type="dxa"/>
          </w:tcPr>
          <w:p w14:paraId="59550B4D" w14:textId="77777777" w:rsidR="00D71B94" w:rsidRPr="0053439C" w:rsidRDefault="00D71B94" w:rsidP="007E3239">
            <w:pPr>
              <w:pStyle w:val="TableText"/>
              <w:spacing w:before="50" w:after="50"/>
              <w:rPr>
                <w:szCs w:val="16"/>
              </w:rPr>
            </w:pPr>
          </w:p>
        </w:tc>
      </w:tr>
      <w:tr w:rsidR="00D71B94" w:rsidRPr="0053439C" w14:paraId="652897A1" w14:textId="77777777" w:rsidTr="007E3239">
        <w:tc>
          <w:tcPr>
            <w:tcW w:w="3289" w:type="dxa"/>
          </w:tcPr>
          <w:p w14:paraId="35E05D3E" w14:textId="77777777" w:rsidR="00D71B94" w:rsidRPr="0053439C" w:rsidRDefault="00D71B94" w:rsidP="007E3239">
            <w:pPr>
              <w:pStyle w:val="TableText"/>
              <w:spacing w:before="50" w:after="50"/>
              <w:ind w:left="113"/>
              <w:rPr>
                <w:i/>
                <w:szCs w:val="16"/>
              </w:rPr>
            </w:pPr>
            <w:r w:rsidRPr="0053439C">
              <w:rPr>
                <w:i/>
                <w:szCs w:val="16"/>
              </w:rPr>
              <w:t>Septic system</w:t>
            </w:r>
          </w:p>
        </w:tc>
        <w:tc>
          <w:tcPr>
            <w:tcW w:w="737" w:type="dxa"/>
          </w:tcPr>
          <w:p w14:paraId="7B65D635" w14:textId="77777777" w:rsidR="00D71B94" w:rsidRPr="0053439C" w:rsidRDefault="00D71B94" w:rsidP="007E3239">
            <w:pPr>
              <w:pStyle w:val="TableText"/>
              <w:spacing w:before="50" w:after="50"/>
              <w:rPr>
                <w:szCs w:val="16"/>
              </w:rPr>
            </w:pPr>
            <w:r w:rsidRPr="0053439C">
              <w:rPr>
                <w:szCs w:val="16"/>
              </w:rPr>
              <w:t>0.5</w:t>
            </w:r>
          </w:p>
        </w:tc>
        <w:tc>
          <w:tcPr>
            <w:tcW w:w="1587" w:type="dxa"/>
          </w:tcPr>
          <w:p w14:paraId="0CD7A26C" w14:textId="77777777" w:rsidR="00D71B94" w:rsidRPr="0053439C" w:rsidRDefault="00D71B94" w:rsidP="007E3239">
            <w:pPr>
              <w:pStyle w:val="TableText"/>
              <w:spacing w:before="50" w:after="50"/>
              <w:rPr>
                <w:szCs w:val="16"/>
              </w:rPr>
            </w:pPr>
            <w:r w:rsidRPr="0053439C">
              <w:rPr>
                <w:szCs w:val="16"/>
              </w:rPr>
              <w:t>IPCC default</w:t>
            </w:r>
          </w:p>
        </w:tc>
        <w:tc>
          <w:tcPr>
            <w:tcW w:w="2835" w:type="dxa"/>
          </w:tcPr>
          <w:p w14:paraId="477EC3C1" w14:textId="77777777" w:rsidR="00D71B94" w:rsidRPr="0053439C" w:rsidRDefault="00D71B94" w:rsidP="007E3239">
            <w:pPr>
              <w:pStyle w:val="TableText"/>
              <w:spacing w:before="50" w:after="50"/>
              <w:rPr>
                <w:szCs w:val="16"/>
              </w:rPr>
            </w:pPr>
            <w:r w:rsidRPr="0053439C">
              <w:rPr>
                <w:szCs w:val="16"/>
              </w:rPr>
              <w:t>Table 6.3, section 6.2.2.2, IPCC, 2006d</w:t>
            </w:r>
          </w:p>
        </w:tc>
      </w:tr>
      <w:tr w:rsidR="00D71B94" w:rsidRPr="0053439C" w14:paraId="64B3E489" w14:textId="77777777" w:rsidTr="007E3239">
        <w:tc>
          <w:tcPr>
            <w:tcW w:w="3289" w:type="dxa"/>
          </w:tcPr>
          <w:p w14:paraId="614DF77E" w14:textId="77777777" w:rsidR="00D71B94" w:rsidRPr="0053439C" w:rsidRDefault="00D71B94" w:rsidP="007E3239">
            <w:pPr>
              <w:pStyle w:val="TableText"/>
              <w:spacing w:before="50" w:after="50"/>
              <w:ind w:left="113"/>
              <w:rPr>
                <w:i/>
                <w:szCs w:val="16"/>
              </w:rPr>
            </w:pPr>
            <w:r w:rsidRPr="0053439C">
              <w:rPr>
                <w:i/>
                <w:szCs w:val="16"/>
              </w:rPr>
              <w:t>Sea, river and lake discharge</w:t>
            </w:r>
          </w:p>
        </w:tc>
        <w:tc>
          <w:tcPr>
            <w:tcW w:w="737" w:type="dxa"/>
          </w:tcPr>
          <w:p w14:paraId="071C8E38" w14:textId="77777777" w:rsidR="00D71B94" w:rsidRPr="0053439C" w:rsidRDefault="00D71B94" w:rsidP="007E3239">
            <w:pPr>
              <w:pStyle w:val="TableText"/>
              <w:spacing w:before="50" w:after="50"/>
              <w:rPr>
                <w:szCs w:val="16"/>
              </w:rPr>
            </w:pPr>
            <w:r w:rsidRPr="0053439C">
              <w:rPr>
                <w:szCs w:val="16"/>
              </w:rPr>
              <w:t>0.1</w:t>
            </w:r>
          </w:p>
        </w:tc>
        <w:tc>
          <w:tcPr>
            <w:tcW w:w="1587" w:type="dxa"/>
          </w:tcPr>
          <w:p w14:paraId="6D88ADF8" w14:textId="77777777" w:rsidR="00D71B94" w:rsidRPr="0053439C" w:rsidRDefault="00D71B94" w:rsidP="007E3239">
            <w:pPr>
              <w:pStyle w:val="TableText"/>
              <w:spacing w:before="50" w:after="50"/>
              <w:rPr>
                <w:szCs w:val="16"/>
              </w:rPr>
            </w:pPr>
            <w:r w:rsidRPr="0053439C">
              <w:rPr>
                <w:szCs w:val="16"/>
              </w:rPr>
              <w:t>IPCC default</w:t>
            </w:r>
          </w:p>
        </w:tc>
        <w:tc>
          <w:tcPr>
            <w:tcW w:w="2835" w:type="dxa"/>
          </w:tcPr>
          <w:p w14:paraId="2F86E2B4" w14:textId="77777777" w:rsidR="00D71B94" w:rsidRPr="0053439C" w:rsidRDefault="00D71B94" w:rsidP="007E3239">
            <w:pPr>
              <w:pStyle w:val="TableText"/>
              <w:spacing w:before="50" w:after="50"/>
              <w:rPr>
                <w:szCs w:val="16"/>
              </w:rPr>
            </w:pPr>
            <w:r w:rsidRPr="0053439C">
              <w:rPr>
                <w:szCs w:val="16"/>
              </w:rPr>
              <w:t xml:space="preserve">Table 6.3, section 6.2.2.2, IPCC, 2006d </w:t>
            </w:r>
          </w:p>
        </w:tc>
      </w:tr>
      <w:tr w:rsidR="00D71B94" w:rsidRPr="0053439C" w14:paraId="24E9977B" w14:textId="77777777" w:rsidTr="007E3239">
        <w:tc>
          <w:tcPr>
            <w:tcW w:w="3289" w:type="dxa"/>
          </w:tcPr>
          <w:p w14:paraId="6453511B" w14:textId="77777777" w:rsidR="00D71B94" w:rsidRPr="0053439C" w:rsidRDefault="00D71B94" w:rsidP="007E3239">
            <w:pPr>
              <w:pStyle w:val="TableText"/>
              <w:spacing w:before="50" w:after="50"/>
              <w:ind w:left="113"/>
              <w:rPr>
                <w:i/>
                <w:szCs w:val="16"/>
              </w:rPr>
            </w:pPr>
            <w:r w:rsidRPr="0053439C">
              <w:rPr>
                <w:i/>
                <w:szCs w:val="16"/>
              </w:rPr>
              <w:t>Weighted average methane correction factor</w:t>
            </w:r>
          </w:p>
        </w:tc>
        <w:tc>
          <w:tcPr>
            <w:tcW w:w="737" w:type="dxa"/>
          </w:tcPr>
          <w:p w14:paraId="6B5B63E1" w14:textId="77777777" w:rsidR="00D71B94" w:rsidRPr="0053439C" w:rsidRDefault="00D71B94" w:rsidP="007E3239">
            <w:pPr>
              <w:pStyle w:val="TableText"/>
              <w:spacing w:before="50" w:after="50"/>
              <w:rPr>
                <w:szCs w:val="16"/>
              </w:rPr>
            </w:pPr>
            <w:r w:rsidRPr="0053439C">
              <w:rPr>
                <w:szCs w:val="16"/>
              </w:rPr>
              <w:t>0.233</w:t>
            </w:r>
          </w:p>
        </w:tc>
        <w:tc>
          <w:tcPr>
            <w:tcW w:w="1587" w:type="dxa"/>
          </w:tcPr>
          <w:p w14:paraId="2C139E3C" w14:textId="77777777" w:rsidR="00D71B94" w:rsidRPr="0053439C" w:rsidRDefault="00D71B94" w:rsidP="007E3239">
            <w:pPr>
              <w:pStyle w:val="TableText"/>
              <w:spacing w:before="50" w:after="50"/>
              <w:rPr>
                <w:szCs w:val="16"/>
              </w:rPr>
            </w:pPr>
            <w:r w:rsidRPr="0053439C">
              <w:rPr>
                <w:szCs w:val="16"/>
              </w:rPr>
              <w:t>Calculated</w:t>
            </w:r>
          </w:p>
        </w:tc>
        <w:tc>
          <w:tcPr>
            <w:tcW w:w="2835" w:type="dxa"/>
          </w:tcPr>
          <w:p w14:paraId="07AA2211" w14:textId="77777777" w:rsidR="00D71B94" w:rsidRPr="0053439C" w:rsidRDefault="00D71B94" w:rsidP="007E3239">
            <w:pPr>
              <w:pStyle w:val="TableText"/>
              <w:spacing w:before="50" w:after="50"/>
              <w:rPr>
                <w:szCs w:val="16"/>
              </w:rPr>
            </w:pPr>
          </w:p>
        </w:tc>
      </w:tr>
      <w:tr w:rsidR="00D71B94" w:rsidRPr="0053439C" w14:paraId="39624453" w14:textId="77777777" w:rsidTr="007E3239">
        <w:tc>
          <w:tcPr>
            <w:tcW w:w="3289" w:type="dxa"/>
          </w:tcPr>
          <w:p w14:paraId="30651117" w14:textId="77777777" w:rsidR="00D71B94" w:rsidRPr="0053439C" w:rsidRDefault="00D71B94" w:rsidP="007E3239">
            <w:pPr>
              <w:pStyle w:val="TableText"/>
              <w:spacing w:before="50" w:after="50"/>
              <w:rPr>
                <w:szCs w:val="16"/>
              </w:rPr>
            </w:pPr>
            <w:r w:rsidRPr="0053439C">
              <w:rPr>
                <w:szCs w:val="16"/>
              </w:rPr>
              <w:t>Maximum methane producing capacity (kg CH</w:t>
            </w:r>
            <w:r w:rsidRPr="0053439C">
              <w:rPr>
                <w:szCs w:val="16"/>
                <w:vertAlign w:val="subscript"/>
              </w:rPr>
              <w:t>4</w:t>
            </w:r>
            <w:r w:rsidRPr="0053439C">
              <w:rPr>
                <w:szCs w:val="16"/>
              </w:rPr>
              <w:t>/kg BOD)</w:t>
            </w:r>
          </w:p>
        </w:tc>
        <w:tc>
          <w:tcPr>
            <w:tcW w:w="737" w:type="dxa"/>
          </w:tcPr>
          <w:p w14:paraId="304D7D2B" w14:textId="77777777" w:rsidR="00D71B94" w:rsidRPr="0053439C" w:rsidRDefault="00D71B94" w:rsidP="007E3239">
            <w:pPr>
              <w:pStyle w:val="TableText"/>
              <w:spacing w:before="50" w:after="50"/>
              <w:rPr>
                <w:szCs w:val="16"/>
              </w:rPr>
            </w:pPr>
            <w:r w:rsidRPr="0053439C">
              <w:rPr>
                <w:szCs w:val="16"/>
              </w:rPr>
              <w:t>0.6</w:t>
            </w:r>
          </w:p>
        </w:tc>
        <w:tc>
          <w:tcPr>
            <w:tcW w:w="1587" w:type="dxa"/>
          </w:tcPr>
          <w:p w14:paraId="27C79DFC" w14:textId="77777777" w:rsidR="00D71B94" w:rsidRPr="0053439C" w:rsidRDefault="00D71B94" w:rsidP="007E3239">
            <w:pPr>
              <w:pStyle w:val="TableText"/>
              <w:spacing w:before="50" w:after="50"/>
              <w:rPr>
                <w:szCs w:val="16"/>
              </w:rPr>
            </w:pPr>
            <w:r w:rsidRPr="0053439C">
              <w:rPr>
                <w:szCs w:val="16"/>
              </w:rPr>
              <w:t>IPCC default</w:t>
            </w:r>
          </w:p>
        </w:tc>
        <w:tc>
          <w:tcPr>
            <w:tcW w:w="2835" w:type="dxa"/>
          </w:tcPr>
          <w:p w14:paraId="30048B57" w14:textId="77777777" w:rsidR="00D71B94" w:rsidRPr="0053439C" w:rsidRDefault="00D71B94" w:rsidP="007E3239">
            <w:pPr>
              <w:pStyle w:val="TableText"/>
              <w:spacing w:before="50" w:after="50"/>
              <w:rPr>
                <w:szCs w:val="16"/>
              </w:rPr>
            </w:pPr>
            <w:r w:rsidRPr="0053439C">
              <w:rPr>
                <w:szCs w:val="16"/>
              </w:rPr>
              <w:t>Table 6.2, section 6.2.2.2, IPCC, 2006d</w:t>
            </w:r>
          </w:p>
        </w:tc>
      </w:tr>
      <w:tr w:rsidR="00D71B94" w:rsidRPr="0053439C" w14:paraId="68A3C027" w14:textId="77777777" w:rsidTr="007E3239">
        <w:tc>
          <w:tcPr>
            <w:tcW w:w="3289" w:type="dxa"/>
          </w:tcPr>
          <w:p w14:paraId="09E3F514" w14:textId="77777777" w:rsidR="00D71B94" w:rsidRPr="0053439C" w:rsidRDefault="00D71B94" w:rsidP="007E3239">
            <w:pPr>
              <w:pStyle w:val="TableText"/>
              <w:spacing w:before="50" w:after="50"/>
              <w:rPr>
                <w:szCs w:val="16"/>
              </w:rPr>
            </w:pPr>
            <w:r w:rsidRPr="0053439C">
              <w:rPr>
                <w:szCs w:val="16"/>
              </w:rPr>
              <w:t>Biochemical oxygen demand  (kg BOD/person/year)</w:t>
            </w:r>
          </w:p>
        </w:tc>
        <w:tc>
          <w:tcPr>
            <w:tcW w:w="737" w:type="dxa"/>
          </w:tcPr>
          <w:p w14:paraId="093DBA57" w14:textId="77777777" w:rsidR="00D71B94" w:rsidRPr="0053439C" w:rsidRDefault="00D71B94" w:rsidP="007E3239">
            <w:pPr>
              <w:pStyle w:val="TableText"/>
              <w:spacing w:before="50" w:after="50"/>
              <w:rPr>
                <w:szCs w:val="16"/>
              </w:rPr>
            </w:pPr>
            <w:r w:rsidRPr="0053439C">
              <w:rPr>
                <w:szCs w:val="16"/>
              </w:rPr>
              <w:t>21.9</w:t>
            </w:r>
          </w:p>
        </w:tc>
        <w:tc>
          <w:tcPr>
            <w:tcW w:w="1587" w:type="dxa"/>
          </w:tcPr>
          <w:p w14:paraId="20224651" w14:textId="77777777" w:rsidR="00D71B94" w:rsidRPr="0053439C" w:rsidRDefault="00D71B94" w:rsidP="007E3239">
            <w:pPr>
              <w:pStyle w:val="TableText"/>
              <w:spacing w:before="50" w:after="50"/>
              <w:rPr>
                <w:szCs w:val="16"/>
              </w:rPr>
            </w:pPr>
            <w:r w:rsidRPr="0053439C">
              <w:rPr>
                <w:szCs w:val="16"/>
              </w:rPr>
              <w:t>IPCC default for Oceania</w:t>
            </w:r>
          </w:p>
        </w:tc>
        <w:tc>
          <w:tcPr>
            <w:tcW w:w="2835" w:type="dxa"/>
          </w:tcPr>
          <w:p w14:paraId="5DF0596E" w14:textId="77777777" w:rsidR="00D71B94" w:rsidRPr="0053439C" w:rsidRDefault="00D71B94" w:rsidP="007E3239">
            <w:pPr>
              <w:pStyle w:val="TableText"/>
              <w:spacing w:before="50" w:after="50"/>
              <w:rPr>
                <w:szCs w:val="16"/>
              </w:rPr>
            </w:pPr>
            <w:r w:rsidRPr="0053439C">
              <w:rPr>
                <w:rFonts w:eastAsia="Calibri"/>
                <w:szCs w:val="16"/>
              </w:rPr>
              <w:t>IPCC</w:t>
            </w:r>
            <w:r w:rsidRPr="0053439C">
              <w:rPr>
                <w:szCs w:val="16"/>
              </w:rPr>
              <w:t>, 2006d</w:t>
            </w:r>
            <w:r w:rsidRPr="0053439C">
              <w:rPr>
                <w:rFonts w:eastAsia="Calibri"/>
                <w:szCs w:val="16"/>
              </w:rPr>
              <w:t xml:space="preserve"> (worksheets for SWDS)</w:t>
            </w:r>
          </w:p>
        </w:tc>
      </w:tr>
      <w:tr w:rsidR="00D71B94" w:rsidRPr="0053439C" w14:paraId="090AF0E9" w14:textId="77777777" w:rsidTr="007E3239">
        <w:tc>
          <w:tcPr>
            <w:tcW w:w="3289" w:type="dxa"/>
          </w:tcPr>
          <w:p w14:paraId="6D0F8749" w14:textId="77777777" w:rsidR="00D71B94" w:rsidRPr="0053439C" w:rsidRDefault="00D71B94" w:rsidP="007E3239">
            <w:pPr>
              <w:pStyle w:val="TableText"/>
              <w:spacing w:before="50" w:after="50"/>
              <w:rPr>
                <w:szCs w:val="16"/>
              </w:rPr>
            </w:pPr>
            <w:r w:rsidRPr="0053439C">
              <w:rPr>
                <w:szCs w:val="16"/>
              </w:rPr>
              <w:t>Correction factor for BOD</w:t>
            </w:r>
          </w:p>
        </w:tc>
        <w:tc>
          <w:tcPr>
            <w:tcW w:w="737" w:type="dxa"/>
          </w:tcPr>
          <w:p w14:paraId="07C5E3AC" w14:textId="77777777" w:rsidR="00D71B94" w:rsidRPr="0053439C" w:rsidRDefault="00D71B94" w:rsidP="007E3239">
            <w:pPr>
              <w:pStyle w:val="TableText"/>
              <w:spacing w:before="50" w:after="50"/>
              <w:rPr>
                <w:szCs w:val="16"/>
              </w:rPr>
            </w:pPr>
            <w:r w:rsidRPr="0053439C">
              <w:rPr>
                <w:szCs w:val="16"/>
              </w:rPr>
              <w:t>1.25</w:t>
            </w:r>
          </w:p>
        </w:tc>
        <w:tc>
          <w:tcPr>
            <w:tcW w:w="1587" w:type="dxa"/>
          </w:tcPr>
          <w:p w14:paraId="4DBC038B" w14:textId="77777777" w:rsidR="00D71B94" w:rsidRPr="0053439C" w:rsidRDefault="00D71B94" w:rsidP="007E3239">
            <w:pPr>
              <w:pStyle w:val="TableText"/>
              <w:spacing w:before="50" w:after="50"/>
              <w:rPr>
                <w:szCs w:val="16"/>
              </w:rPr>
            </w:pPr>
            <w:r w:rsidRPr="0053439C">
              <w:rPr>
                <w:szCs w:val="16"/>
              </w:rPr>
              <w:t>IPCC default for collected systems</w:t>
            </w:r>
          </w:p>
        </w:tc>
        <w:tc>
          <w:tcPr>
            <w:tcW w:w="2835" w:type="dxa"/>
          </w:tcPr>
          <w:p w14:paraId="40E0BEF7" w14:textId="77777777" w:rsidR="00D71B94" w:rsidRPr="0053439C" w:rsidRDefault="00D71B94" w:rsidP="007E3239">
            <w:pPr>
              <w:pStyle w:val="TableText"/>
              <w:spacing w:before="50" w:after="50"/>
              <w:rPr>
                <w:szCs w:val="16"/>
              </w:rPr>
            </w:pPr>
            <w:r w:rsidRPr="0053439C">
              <w:rPr>
                <w:szCs w:val="16"/>
              </w:rPr>
              <w:t>Section 6.2.2.3, p 6.14, IPCC, 2006d</w:t>
            </w:r>
          </w:p>
        </w:tc>
      </w:tr>
    </w:tbl>
    <w:p w14:paraId="03C8D2B2" w14:textId="77777777" w:rsidR="00D71B94" w:rsidRPr="0053439C" w:rsidRDefault="00D71B94" w:rsidP="00D71B94">
      <w:pPr>
        <w:pStyle w:val="Noteundertable"/>
      </w:pPr>
      <w:r w:rsidRPr="0053439C">
        <w:rPr>
          <w:b/>
        </w:rPr>
        <w:t>Note:</w:t>
      </w:r>
      <w:r w:rsidRPr="0053439C">
        <w:t xml:space="preserve"> </w:t>
      </w:r>
      <w:r w:rsidRPr="0053439C">
        <w:tab/>
        <w:t>BOD = biochemical oxygen demand; SWDS = solid waste disposable sites.</w:t>
      </w:r>
    </w:p>
    <w:p w14:paraId="4A47A50B" w14:textId="77777777" w:rsidR="00D71B94" w:rsidRPr="0053439C" w:rsidRDefault="00D71B94" w:rsidP="00D71B94">
      <w:pPr>
        <w:pStyle w:val="Heading4"/>
      </w:pPr>
      <w:r w:rsidRPr="0053439C">
        <w:t>Assumptions for estimating nitrous oxide emissions from wastewater</w:t>
      </w:r>
    </w:p>
    <w:p w14:paraId="3993818B" w14:textId="77777777" w:rsidR="00D71B94" w:rsidRPr="0053439C" w:rsidRDefault="00D71B94" w:rsidP="00D71B94">
      <w:pPr>
        <w:pStyle w:val="BodyText"/>
        <w:spacing w:before="100" w:after="100"/>
      </w:pPr>
      <w:r w:rsidRPr="0053439C">
        <w:t>Table 8.5.6 shows the parameters used to calculate N</w:t>
      </w:r>
      <w:r w:rsidRPr="0053439C">
        <w:rPr>
          <w:vertAlign w:val="subscript"/>
        </w:rPr>
        <w:t>2</w:t>
      </w:r>
      <w:r w:rsidRPr="0053439C">
        <w:t>O emissions from wastewater. It is assumed that septic tanks do not discharge to the sea and that only the population using open water toilets contributes to the nitrogen in effluent calculation.</w:t>
      </w:r>
    </w:p>
    <w:p w14:paraId="6ADD9692" w14:textId="77777777" w:rsidR="00D71B94" w:rsidRPr="0053439C" w:rsidRDefault="00D71B94" w:rsidP="00D71B94">
      <w:pPr>
        <w:pStyle w:val="BodyText"/>
        <w:spacing w:before="100"/>
      </w:pPr>
      <w:r w:rsidRPr="0053439C">
        <w:t>Protein consumption of 32.45 kg/person/year has been calculated based on known consumption compiled by the Tokelau National Statistics Office. The fraction of industrial and commercial co-discharged protein accounts for any commercial and industrial activities because there is no separate estimate.</w:t>
      </w:r>
    </w:p>
    <w:p w14:paraId="51E66084" w14:textId="77777777" w:rsidR="00D71B94" w:rsidRPr="0053439C" w:rsidRDefault="00D71B94" w:rsidP="00D71B94">
      <w:pPr>
        <w:pStyle w:val="Table"/>
      </w:pPr>
      <w:bookmarkStart w:id="2611" w:name="_Toc5269607"/>
      <w:bookmarkStart w:id="2612" w:name="_Toc36224688"/>
      <w:bookmarkStart w:id="2613" w:name="_Toc68786574"/>
      <w:bookmarkStart w:id="2614" w:name="_Toc99659369"/>
      <w:r w:rsidRPr="0053439C">
        <w:t>Table 8.5.6</w:t>
      </w:r>
      <w:r w:rsidRPr="0053439C">
        <w:tab/>
        <w:t>Parameter values applied for estimating nitrous oxide emissions for</w:t>
      </w:r>
      <w:r w:rsidRPr="0053439C">
        <w:br/>
        <w:t>Tokelau wastewater treatment</w:t>
      </w:r>
      <w:bookmarkEnd w:id="2611"/>
      <w:bookmarkEnd w:id="2612"/>
      <w:bookmarkEnd w:id="2613"/>
      <w:bookmarkEnd w:id="2614"/>
      <w:r w:rsidRPr="0053439C">
        <w:t xml:space="preserve"> </w:t>
      </w:r>
    </w:p>
    <w:tbl>
      <w:tblPr>
        <w:tblW w:w="8505" w:type="dxa"/>
        <w:tblInd w:w="113" w:type="dxa"/>
        <w:tblBorders>
          <w:top w:val="single" w:sz="4" w:space="0" w:color="1B556B"/>
          <w:bottom w:val="single" w:sz="4" w:space="0" w:color="1B556B"/>
          <w:insideH w:val="single" w:sz="4" w:space="0" w:color="1B556B"/>
        </w:tblBorders>
        <w:tblCellMar>
          <w:left w:w="85" w:type="dxa"/>
          <w:right w:w="57" w:type="dxa"/>
        </w:tblCellMar>
        <w:tblLook w:val="04A0" w:firstRow="1" w:lastRow="0" w:firstColumn="1" w:lastColumn="0" w:noHBand="0" w:noVBand="1"/>
      </w:tblPr>
      <w:tblGrid>
        <w:gridCol w:w="3322"/>
        <w:gridCol w:w="615"/>
        <w:gridCol w:w="1602"/>
        <w:gridCol w:w="2966"/>
      </w:tblGrid>
      <w:tr w:rsidR="00D71B94" w:rsidRPr="0053439C" w14:paraId="26821AD0" w14:textId="77777777" w:rsidTr="00F87754">
        <w:trPr>
          <w:tblHeader/>
        </w:trPr>
        <w:tc>
          <w:tcPr>
            <w:tcW w:w="3175" w:type="dxa"/>
            <w:shd w:val="clear" w:color="auto" w:fill="1B556B"/>
          </w:tcPr>
          <w:p w14:paraId="0E117D00" w14:textId="77777777" w:rsidR="00D71B94" w:rsidRPr="0053439C" w:rsidRDefault="00D71B94" w:rsidP="007E3239">
            <w:pPr>
              <w:pStyle w:val="TableTextBold"/>
              <w:rPr>
                <w:noProof w:val="0"/>
                <w:color w:val="FFFFFF"/>
                <w:szCs w:val="16"/>
              </w:rPr>
            </w:pPr>
            <w:r w:rsidRPr="0053439C">
              <w:rPr>
                <w:noProof w:val="0"/>
                <w:color w:val="FFFFFF"/>
                <w:szCs w:val="16"/>
              </w:rPr>
              <w:t>Parameter</w:t>
            </w:r>
          </w:p>
        </w:tc>
        <w:tc>
          <w:tcPr>
            <w:tcW w:w="567" w:type="dxa"/>
            <w:shd w:val="clear" w:color="auto" w:fill="1B556B"/>
          </w:tcPr>
          <w:p w14:paraId="4FF522B2" w14:textId="77777777" w:rsidR="00D71B94" w:rsidRPr="0053439C" w:rsidRDefault="00D71B94" w:rsidP="007E3239">
            <w:pPr>
              <w:pStyle w:val="TableTextBold"/>
              <w:rPr>
                <w:noProof w:val="0"/>
                <w:color w:val="FFFFFF"/>
                <w:szCs w:val="16"/>
              </w:rPr>
            </w:pPr>
            <w:r w:rsidRPr="0053439C">
              <w:rPr>
                <w:noProof w:val="0"/>
                <w:color w:val="FFFFFF"/>
                <w:szCs w:val="16"/>
              </w:rPr>
              <w:t>Value</w:t>
            </w:r>
          </w:p>
        </w:tc>
        <w:tc>
          <w:tcPr>
            <w:tcW w:w="1531" w:type="dxa"/>
            <w:shd w:val="clear" w:color="auto" w:fill="1B556B"/>
          </w:tcPr>
          <w:p w14:paraId="0A40DB43" w14:textId="77777777" w:rsidR="00D71B94" w:rsidRPr="0053439C" w:rsidRDefault="00D71B94" w:rsidP="007E3239">
            <w:pPr>
              <w:pStyle w:val="TableTextBold"/>
              <w:rPr>
                <w:noProof w:val="0"/>
                <w:color w:val="FFFFFF"/>
                <w:szCs w:val="16"/>
              </w:rPr>
            </w:pPr>
            <w:r w:rsidRPr="0053439C">
              <w:rPr>
                <w:noProof w:val="0"/>
                <w:color w:val="FFFFFF"/>
                <w:szCs w:val="16"/>
              </w:rPr>
              <w:t>Source</w:t>
            </w:r>
          </w:p>
        </w:tc>
        <w:tc>
          <w:tcPr>
            <w:tcW w:w="2835" w:type="dxa"/>
            <w:shd w:val="clear" w:color="auto" w:fill="1B556B"/>
          </w:tcPr>
          <w:p w14:paraId="75284F96" w14:textId="77777777" w:rsidR="00D71B94" w:rsidRPr="0053439C" w:rsidRDefault="00D71B94" w:rsidP="007E3239">
            <w:pPr>
              <w:pStyle w:val="TableTextBold"/>
              <w:rPr>
                <w:noProof w:val="0"/>
                <w:color w:val="FFFFFF"/>
                <w:szCs w:val="16"/>
              </w:rPr>
            </w:pPr>
            <w:r w:rsidRPr="0053439C">
              <w:rPr>
                <w:noProof w:val="0"/>
                <w:color w:val="FFFFFF"/>
                <w:szCs w:val="16"/>
              </w:rPr>
              <w:t>Reference</w:t>
            </w:r>
          </w:p>
        </w:tc>
      </w:tr>
      <w:tr w:rsidR="00D71B94" w:rsidRPr="0053439C" w14:paraId="2061F5BE" w14:textId="77777777" w:rsidTr="00F87754">
        <w:tc>
          <w:tcPr>
            <w:tcW w:w="3175" w:type="dxa"/>
          </w:tcPr>
          <w:p w14:paraId="684B7800" w14:textId="77777777" w:rsidR="00D71B94" w:rsidRPr="0053439C" w:rsidRDefault="00D71B94" w:rsidP="007E3239">
            <w:pPr>
              <w:pStyle w:val="TableText"/>
              <w:rPr>
                <w:szCs w:val="16"/>
              </w:rPr>
            </w:pPr>
            <w:r w:rsidRPr="0053439C">
              <w:rPr>
                <w:szCs w:val="16"/>
              </w:rPr>
              <w:t>Per capita protein consumption (kg/person/year)</w:t>
            </w:r>
          </w:p>
        </w:tc>
        <w:tc>
          <w:tcPr>
            <w:tcW w:w="567" w:type="dxa"/>
          </w:tcPr>
          <w:p w14:paraId="32477B0E" w14:textId="77777777" w:rsidR="00D71B94" w:rsidRPr="0053439C" w:rsidRDefault="00D71B94" w:rsidP="007E3239">
            <w:pPr>
              <w:pStyle w:val="TableText"/>
              <w:rPr>
                <w:szCs w:val="16"/>
              </w:rPr>
            </w:pPr>
            <w:r w:rsidRPr="0053439C">
              <w:rPr>
                <w:szCs w:val="16"/>
              </w:rPr>
              <w:t>32.448</w:t>
            </w:r>
          </w:p>
        </w:tc>
        <w:tc>
          <w:tcPr>
            <w:tcW w:w="1531" w:type="dxa"/>
          </w:tcPr>
          <w:p w14:paraId="7B48A6DE" w14:textId="77777777" w:rsidR="00D71B94" w:rsidRPr="0053439C" w:rsidRDefault="00D71B94" w:rsidP="007E3239">
            <w:pPr>
              <w:pStyle w:val="TableText"/>
              <w:rPr>
                <w:szCs w:val="16"/>
              </w:rPr>
            </w:pPr>
            <w:r w:rsidRPr="0053439C">
              <w:rPr>
                <w:szCs w:val="16"/>
              </w:rPr>
              <w:t>Tokelau specific</w:t>
            </w:r>
          </w:p>
        </w:tc>
        <w:tc>
          <w:tcPr>
            <w:tcW w:w="2835" w:type="dxa"/>
          </w:tcPr>
          <w:p w14:paraId="2D368A3C" w14:textId="77777777" w:rsidR="00D71B94" w:rsidRPr="0053439C" w:rsidRDefault="00D71B94" w:rsidP="007E3239">
            <w:pPr>
              <w:pStyle w:val="TableText"/>
              <w:rPr>
                <w:szCs w:val="16"/>
              </w:rPr>
            </w:pPr>
            <w:r w:rsidRPr="0053439C">
              <w:rPr>
                <w:szCs w:val="16"/>
              </w:rPr>
              <w:t>Developed by Tokelau’s National Statistics Office using imports data (see table 8.1.2)</w:t>
            </w:r>
          </w:p>
        </w:tc>
      </w:tr>
      <w:tr w:rsidR="00D71B94" w:rsidRPr="0053439C" w14:paraId="26682DC6" w14:textId="77777777" w:rsidTr="00F87754">
        <w:tc>
          <w:tcPr>
            <w:tcW w:w="3175" w:type="dxa"/>
          </w:tcPr>
          <w:p w14:paraId="691D3A9C" w14:textId="77777777" w:rsidR="00D71B94" w:rsidRPr="0053439C" w:rsidRDefault="00D71B94" w:rsidP="007E3239">
            <w:pPr>
              <w:pStyle w:val="TableText"/>
              <w:rPr>
                <w:szCs w:val="16"/>
              </w:rPr>
            </w:pPr>
            <w:r w:rsidRPr="0053439C">
              <w:rPr>
                <w:szCs w:val="16"/>
              </w:rPr>
              <w:t xml:space="preserve">Fraction of nitrogen in protein </w:t>
            </w:r>
          </w:p>
        </w:tc>
        <w:tc>
          <w:tcPr>
            <w:tcW w:w="567" w:type="dxa"/>
          </w:tcPr>
          <w:p w14:paraId="215E628B" w14:textId="77777777" w:rsidR="00D71B94" w:rsidRPr="0053439C" w:rsidRDefault="00D71B94" w:rsidP="007E3239">
            <w:pPr>
              <w:pStyle w:val="TableText"/>
              <w:rPr>
                <w:szCs w:val="16"/>
              </w:rPr>
            </w:pPr>
            <w:r w:rsidRPr="0053439C">
              <w:rPr>
                <w:szCs w:val="16"/>
              </w:rPr>
              <w:t>0.16</w:t>
            </w:r>
          </w:p>
        </w:tc>
        <w:tc>
          <w:tcPr>
            <w:tcW w:w="1531" w:type="dxa"/>
          </w:tcPr>
          <w:p w14:paraId="3CF7293E" w14:textId="77777777" w:rsidR="00D71B94" w:rsidRPr="0053439C" w:rsidRDefault="00D71B94" w:rsidP="007E3239">
            <w:pPr>
              <w:pStyle w:val="TableText"/>
              <w:rPr>
                <w:szCs w:val="16"/>
              </w:rPr>
            </w:pPr>
            <w:r w:rsidRPr="0053439C">
              <w:rPr>
                <w:szCs w:val="16"/>
              </w:rPr>
              <w:t>IPCC default</w:t>
            </w:r>
          </w:p>
        </w:tc>
        <w:tc>
          <w:tcPr>
            <w:tcW w:w="2835" w:type="dxa"/>
          </w:tcPr>
          <w:p w14:paraId="70F5F295" w14:textId="77777777" w:rsidR="00D71B94" w:rsidRPr="0053439C" w:rsidRDefault="00D71B94" w:rsidP="007E3239">
            <w:pPr>
              <w:pStyle w:val="TableText"/>
              <w:rPr>
                <w:szCs w:val="16"/>
              </w:rPr>
            </w:pPr>
            <w:r w:rsidRPr="0053439C">
              <w:rPr>
                <w:szCs w:val="16"/>
              </w:rPr>
              <w:t>Section 6.3.1.3, p 6.25, IPCC, 2006d</w:t>
            </w:r>
          </w:p>
        </w:tc>
      </w:tr>
      <w:tr w:rsidR="00D71B94" w:rsidRPr="0053439C" w14:paraId="7966E1FA" w14:textId="77777777" w:rsidTr="00F87754">
        <w:tc>
          <w:tcPr>
            <w:tcW w:w="3175" w:type="dxa"/>
          </w:tcPr>
          <w:p w14:paraId="05B0D149" w14:textId="77777777" w:rsidR="00D71B94" w:rsidRPr="0053439C" w:rsidRDefault="00D71B94" w:rsidP="007E3239">
            <w:pPr>
              <w:pStyle w:val="TableText"/>
              <w:rPr>
                <w:szCs w:val="16"/>
              </w:rPr>
            </w:pPr>
            <w:r w:rsidRPr="0053439C">
              <w:rPr>
                <w:szCs w:val="16"/>
              </w:rPr>
              <w:t>Fraction of non-consumed protein</w:t>
            </w:r>
          </w:p>
        </w:tc>
        <w:tc>
          <w:tcPr>
            <w:tcW w:w="567" w:type="dxa"/>
          </w:tcPr>
          <w:p w14:paraId="6B599484" w14:textId="77777777" w:rsidR="00D71B94" w:rsidRPr="0053439C" w:rsidRDefault="00D71B94" w:rsidP="007E3239">
            <w:pPr>
              <w:pStyle w:val="TableText"/>
              <w:rPr>
                <w:szCs w:val="16"/>
              </w:rPr>
            </w:pPr>
            <w:r w:rsidRPr="0053439C">
              <w:rPr>
                <w:szCs w:val="16"/>
              </w:rPr>
              <w:t>1.1</w:t>
            </w:r>
          </w:p>
        </w:tc>
        <w:tc>
          <w:tcPr>
            <w:tcW w:w="1531" w:type="dxa"/>
          </w:tcPr>
          <w:p w14:paraId="66A3723A" w14:textId="77777777" w:rsidR="00D71B94" w:rsidRPr="0053439C" w:rsidRDefault="00D71B94" w:rsidP="007E3239">
            <w:pPr>
              <w:pStyle w:val="TableText"/>
              <w:rPr>
                <w:szCs w:val="16"/>
              </w:rPr>
            </w:pPr>
            <w:r w:rsidRPr="0053439C">
              <w:rPr>
                <w:szCs w:val="16"/>
              </w:rPr>
              <w:t>IPCC default for developing countries</w:t>
            </w:r>
          </w:p>
        </w:tc>
        <w:tc>
          <w:tcPr>
            <w:tcW w:w="2835" w:type="dxa"/>
          </w:tcPr>
          <w:p w14:paraId="27621907" w14:textId="77777777" w:rsidR="00D71B94" w:rsidRPr="0053439C" w:rsidRDefault="00D71B94" w:rsidP="007E3239">
            <w:pPr>
              <w:pStyle w:val="TableText"/>
              <w:rPr>
                <w:szCs w:val="16"/>
              </w:rPr>
            </w:pPr>
            <w:r w:rsidRPr="0053439C">
              <w:rPr>
                <w:szCs w:val="16"/>
              </w:rPr>
              <w:t>Table 6.11, section 6.3.3, IPCC, 2006d</w:t>
            </w:r>
          </w:p>
        </w:tc>
      </w:tr>
      <w:tr w:rsidR="00D71B94" w:rsidRPr="0053439C" w14:paraId="3312C78B" w14:textId="77777777" w:rsidTr="00F87754">
        <w:tc>
          <w:tcPr>
            <w:tcW w:w="3175" w:type="dxa"/>
          </w:tcPr>
          <w:p w14:paraId="7AF83C1D" w14:textId="77777777" w:rsidR="00D71B94" w:rsidRPr="0053439C" w:rsidRDefault="00D71B94" w:rsidP="007E3239">
            <w:pPr>
              <w:pStyle w:val="TableText"/>
              <w:rPr>
                <w:szCs w:val="16"/>
              </w:rPr>
            </w:pPr>
            <w:r w:rsidRPr="0053439C">
              <w:rPr>
                <w:szCs w:val="16"/>
              </w:rPr>
              <w:t xml:space="preserve">Fraction of industrial and commercial </w:t>
            </w:r>
            <w:r w:rsidRPr="0053439C">
              <w:rPr>
                <w:szCs w:val="16"/>
              </w:rPr>
              <w:lastRenderedPageBreak/>
              <w:t>co</w:t>
            </w:r>
            <w:r w:rsidRPr="0053439C">
              <w:rPr>
                <w:szCs w:val="16"/>
              </w:rPr>
              <w:noBreakHyphen/>
              <w:t>discharged protein</w:t>
            </w:r>
          </w:p>
        </w:tc>
        <w:tc>
          <w:tcPr>
            <w:tcW w:w="567" w:type="dxa"/>
          </w:tcPr>
          <w:p w14:paraId="20270DF6" w14:textId="77777777" w:rsidR="00D71B94" w:rsidRPr="0053439C" w:rsidRDefault="00D71B94" w:rsidP="007E3239">
            <w:pPr>
              <w:pStyle w:val="TableText"/>
              <w:rPr>
                <w:szCs w:val="16"/>
              </w:rPr>
            </w:pPr>
            <w:r w:rsidRPr="0053439C">
              <w:rPr>
                <w:szCs w:val="16"/>
              </w:rPr>
              <w:lastRenderedPageBreak/>
              <w:t>1.25</w:t>
            </w:r>
          </w:p>
        </w:tc>
        <w:tc>
          <w:tcPr>
            <w:tcW w:w="1531" w:type="dxa"/>
          </w:tcPr>
          <w:p w14:paraId="154F5FBA" w14:textId="77777777" w:rsidR="00D71B94" w:rsidRPr="0053439C" w:rsidRDefault="00D71B94" w:rsidP="007E3239">
            <w:pPr>
              <w:pStyle w:val="TableText"/>
              <w:rPr>
                <w:szCs w:val="16"/>
              </w:rPr>
            </w:pPr>
            <w:r w:rsidRPr="0053439C">
              <w:rPr>
                <w:szCs w:val="16"/>
              </w:rPr>
              <w:t>IPCC default</w:t>
            </w:r>
          </w:p>
        </w:tc>
        <w:tc>
          <w:tcPr>
            <w:tcW w:w="2835" w:type="dxa"/>
          </w:tcPr>
          <w:p w14:paraId="21180F61" w14:textId="77777777" w:rsidR="00D71B94" w:rsidRPr="0053439C" w:rsidRDefault="00D71B94" w:rsidP="007E3239">
            <w:pPr>
              <w:pStyle w:val="TableText"/>
              <w:rPr>
                <w:szCs w:val="16"/>
              </w:rPr>
            </w:pPr>
            <w:r w:rsidRPr="0053439C">
              <w:rPr>
                <w:szCs w:val="16"/>
              </w:rPr>
              <w:t>Table 6.11, section 6.3.3, IPCC, 2006d</w:t>
            </w:r>
          </w:p>
        </w:tc>
      </w:tr>
      <w:tr w:rsidR="00D71B94" w:rsidRPr="0053439C" w14:paraId="21628BB7" w14:textId="77777777" w:rsidTr="00F87754">
        <w:tc>
          <w:tcPr>
            <w:tcW w:w="3175" w:type="dxa"/>
          </w:tcPr>
          <w:p w14:paraId="727DE806" w14:textId="77777777" w:rsidR="00D71B94" w:rsidRPr="0053439C" w:rsidRDefault="00D71B94" w:rsidP="007E3239">
            <w:pPr>
              <w:pStyle w:val="TableText"/>
              <w:rPr>
                <w:szCs w:val="16"/>
              </w:rPr>
            </w:pPr>
            <w:r w:rsidRPr="0053439C">
              <w:rPr>
                <w:szCs w:val="16"/>
              </w:rPr>
              <w:t>Nitrogen removed with sludge (kg)</w:t>
            </w:r>
          </w:p>
        </w:tc>
        <w:tc>
          <w:tcPr>
            <w:tcW w:w="567" w:type="dxa"/>
          </w:tcPr>
          <w:p w14:paraId="633B27C9" w14:textId="77777777" w:rsidR="00D71B94" w:rsidRPr="0053439C" w:rsidRDefault="00D71B94" w:rsidP="007E3239">
            <w:pPr>
              <w:pStyle w:val="TableText"/>
              <w:rPr>
                <w:szCs w:val="16"/>
              </w:rPr>
            </w:pPr>
            <w:r w:rsidRPr="0053439C">
              <w:rPr>
                <w:szCs w:val="16"/>
              </w:rPr>
              <w:t>0</w:t>
            </w:r>
          </w:p>
        </w:tc>
        <w:tc>
          <w:tcPr>
            <w:tcW w:w="1531" w:type="dxa"/>
          </w:tcPr>
          <w:p w14:paraId="6F7242BA" w14:textId="77777777" w:rsidR="00D71B94" w:rsidRPr="0053439C" w:rsidRDefault="00D71B94" w:rsidP="007E3239">
            <w:pPr>
              <w:pStyle w:val="TableText"/>
              <w:rPr>
                <w:szCs w:val="16"/>
              </w:rPr>
            </w:pPr>
            <w:r w:rsidRPr="0053439C">
              <w:rPr>
                <w:szCs w:val="16"/>
              </w:rPr>
              <w:t>IPCC default</w:t>
            </w:r>
          </w:p>
        </w:tc>
        <w:tc>
          <w:tcPr>
            <w:tcW w:w="2835" w:type="dxa"/>
          </w:tcPr>
          <w:p w14:paraId="0D76CB51" w14:textId="77777777" w:rsidR="00D71B94" w:rsidRPr="0053439C" w:rsidRDefault="00D71B94" w:rsidP="007E3239">
            <w:pPr>
              <w:pStyle w:val="TableText"/>
              <w:rPr>
                <w:szCs w:val="16"/>
              </w:rPr>
            </w:pPr>
            <w:r w:rsidRPr="0053439C">
              <w:rPr>
                <w:szCs w:val="16"/>
              </w:rPr>
              <w:t>Section 6.3.1.3, p 6.25, IPCC, 2006d</w:t>
            </w:r>
          </w:p>
        </w:tc>
      </w:tr>
      <w:tr w:rsidR="00D71B94" w:rsidRPr="0053439C" w14:paraId="3F64D496" w14:textId="77777777" w:rsidTr="00F87754">
        <w:tc>
          <w:tcPr>
            <w:tcW w:w="3175" w:type="dxa"/>
          </w:tcPr>
          <w:p w14:paraId="5C96A22D" w14:textId="77777777" w:rsidR="00D71B94" w:rsidRPr="0053439C" w:rsidRDefault="00D71B94" w:rsidP="007E3239">
            <w:pPr>
              <w:pStyle w:val="TableText"/>
              <w:rPr>
                <w:szCs w:val="16"/>
              </w:rPr>
            </w:pPr>
            <w:r w:rsidRPr="0053439C">
              <w:rPr>
                <w:szCs w:val="16"/>
              </w:rPr>
              <w:t>Emissions factor</w:t>
            </w:r>
          </w:p>
        </w:tc>
        <w:tc>
          <w:tcPr>
            <w:tcW w:w="567" w:type="dxa"/>
          </w:tcPr>
          <w:p w14:paraId="19D8891E" w14:textId="77777777" w:rsidR="00D71B94" w:rsidRPr="0053439C" w:rsidRDefault="00D71B94" w:rsidP="007E3239">
            <w:pPr>
              <w:pStyle w:val="TableText"/>
              <w:rPr>
                <w:szCs w:val="16"/>
              </w:rPr>
            </w:pPr>
            <w:r w:rsidRPr="0053439C">
              <w:rPr>
                <w:szCs w:val="16"/>
              </w:rPr>
              <w:t>0.005</w:t>
            </w:r>
          </w:p>
        </w:tc>
        <w:tc>
          <w:tcPr>
            <w:tcW w:w="1531" w:type="dxa"/>
          </w:tcPr>
          <w:p w14:paraId="2311058A" w14:textId="77777777" w:rsidR="00D71B94" w:rsidRPr="0053439C" w:rsidRDefault="00D71B94" w:rsidP="007E3239">
            <w:pPr>
              <w:pStyle w:val="TableText"/>
              <w:rPr>
                <w:szCs w:val="16"/>
              </w:rPr>
            </w:pPr>
            <w:r w:rsidRPr="0053439C">
              <w:rPr>
                <w:szCs w:val="16"/>
              </w:rPr>
              <w:t>IPCC default</w:t>
            </w:r>
          </w:p>
        </w:tc>
        <w:tc>
          <w:tcPr>
            <w:tcW w:w="2835" w:type="dxa"/>
          </w:tcPr>
          <w:p w14:paraId="5F0E371A" w14:textId="77777777" w:rsidR="00D71B94" w:rsidRPr="0053439C" w:rsidRDefault="00D71B94" w:rsidP="007E3239">
            <w:pPr>
              <w:pStyle w:val="TableText"/>
              <w:rPr>
                <w:szCs w:val="16"/>
              </w:rPr>
            </w:pPr>
            <w:r w:rsidRPr="0053439C">
              <w:rPr>
                <w:szCs w:val="16"/>
              </w:rPr>
              <w:t>Table 6.11, section 6.3.3, IPCC, 2006d</w:t>
            </w:r>
          </w:p>
        </w:tc>
      </w:tr>
      <w:tr w:rsidR="00D71B94" w:rsidRPr="0053439C" w14:paraId="713DC2BF" w14:textId="77777777" w:rsidTr="00F87754">
        <w:tc>
          <w:tcPr>
            <w:tcW w:w="3175" w:type="dxa"/>
          </w:tcPr>
          <w:p w14:paraId="1A3C46CD" w14:textId="77777777" w:rsidR="00D71B94" w:rsidRPr="0053439C" w:rsidRDefault="00D71B94" w:rsidP="007E3239">
            <w:pPr>
              <w:pStyle w:val="TableText"/>
              <w:rPr>
                <w:szCs w:val="16"/>
              </w:rPr>
            </w:pPr>
            <w:r w:rsidRPr="0053439C">
              <w:rPr>
                <w:szCs w:val="16"/>
              </w:rPr>
              <w:t>Emissions from wastewater treatment plants</w:t>
            </w:r>
          </w:p>
        </w:tc>
        <w:tc>
          <w:tcPr>
            <w:tcW w:w="567" w:type="dxa"/>
          </w:tcPr>
          <w:p w14:paraId="1574E4D1" w14:textId="77777777" w:rsidR="00D71B94" w:rsidRPr="0053439C" w:rsidRDefault="00D71B94" w:rsidP="007E3239">
            <w:pPr>
              <w:pStyle w:val="TableText"/>
              <w:rPr>
                <w:szCs w:val="16"/>
              </w:rPr>
            </w:pPr>
            <w:r w:rsidRPr="0053439C">
              <w:rPr>
                <w:szCs w:val="16"/>
              </w:rPr>
              <w:t>0</w:t>
            </w:r>
          </w:p>
        </w:tc>
        <w:tc>
          <w:tcPr>
            <w:tcW w:w="1531" w:type="dxa"/>
          </w:tcPr>
          <w:p w14:paraId="407ADE32" w14:textId="77777777" w:rsidR="00D71B94" w:rsidRPr="0053439C" w:rsidRDefault="00D71B94" w:rsidP="007E3239">
            <w:pPr>
              <w:pStyle w:val="TableText"/>
              <w:rPr>
                <w:szCs w:val="16"/>
              </w:rPr>
            </w:pPr>
            <w:r w:rsidRPr="0053439C">
              <w:rPr>
                <w:szCs w:val="16"/>
              </w:rPr>
              <w:t>IPCC default</w:t>
            </w:r>
          </w:p>
        </w:tc>
        <w:tc>
          <w:tcPr>
            <w:tcW w:w="2835" w:type="dxa"/>
          </w:tcPr>
          <w:p w14:paraId="44AB0DD0" w14:textId="77777777" w:rsidR="00D71B94" w:rsidRPr="0053439C" w:rsidRDefault="00D71B94" w:rsidP="007E3239">
            <w:pPr>
              <w:pStyle w:val="TableText"/>
              <w:rPr>
                <w:szCs w:val="16"/>
              </w:rPr>
            </w:pPr>
            <w:r w:rsidRPr="0053439C">
              <w:rPr>
                <w:szCs w:val="16"/>
              </w:rPr>
              <w:t>IPCC (2006d)</w:t>
            </w:r>
          </w:p>
        </w:tc>
      </w:tr>
    </w:tbl>
    <w:p w14:paraId="6964FF96" w14:textId="77777777" w:rsidR="00D71B94" w:rsidRPr="0053439C" w:rsidRDefault="00D71B94" w:rsidP="00D71B94">
      <w:pPr>
        <w:pStyle w:val="Heading4"/>
        <w:spacing w:before="360"/>
      </w:pPr>
      <w:r w:rsidRPr="0053439C">
        <w:t>Uncertainty</w:t>
      </w:r>
    </w:p>
    <w:p w14:paraId="62AE1467" w14:textId="77777777" w:rsidR="00D71B94" w:rsidRPr="0053439C" w:rsidRDefault="00D71B94" w:rsidP="00D71B94">
      <w:pPr>
        <w:pStyle w:val="BodyText"/>
      </w:pPr>
      <w:r w:rsidRPr="0053439C">
        <w:t>The same uncertainty data for domestic wastewater were used for Tokelau and New Zealand (see table 7.5.16, chapter 7; for methodological notes, refer to uncertainties in emissions from domestic wastewater in section 7.5.3, chapter 7). Table 8.5.7 shows uncertainties for activity data and emission factors used by Tokelau for domestic wastewater.</w:t>
      </w:r>
    </w:p>
    <w:p w14:paraId="4B51975F" w14:textId="77777777" w:rsidR="00D71B94" w:rsidRPr="0053439C" w:rsidRDefault="00D71B94" w:rsidP="00D71B94">
      <w:pPr>
        <w:pStyle w:val="Table"/>
        <w:rPr>
          <w:rFonts w:eastAsia="Calibri"/>
        </w:rPr>
      </w:pPr>
      <w:bookmarkStart w:id="2615" w:name="_Toc5269608"/>
      <w:bookmarkStart w:id="2616" w:name="_Toc36224689"/>
      <w:bookmarkStart w:id="2617" w:name="_Toc68786575"/>
      <w:bookmarkStart w:id="2618" w:name="_Toc99659370"/>
      <w:r w:rsidRPr="00505B35">
        <w:t>Table 8.5.7</w:t>
      </w:r>
      <w:r w:rsidRPr="00505B35">
        <w:tab/>
        <w:t>Uncertainty in emissions from domestic wastewater</w:t>
      </w:r>
      <w:bookmarkEnd w:id="2615"/>
      <w:bookmarkEnd w:id="2616"/>
      <w:bookmarkEnd w:id="2617"/>
      <w:bookmarkEnd w:id="2618"/>
    </w:p>
    <w:tbl>
      <w:tblPr>
        <w:tblW w:w="8505" w:type="dxa"/>
        <w:tblInd w:w="113" w:type="dxa"/>
        <w:tblBorders>
          <w:top w:val="single" w:sz="4" w:space="0" w:color="1B556B"/>
          <w:bottom w:val="single" w:sz="4" w:space="0" w:color="1B556B"/>
          <w:insideH w:val="single" w:sz="4" w:space="0" w:color="1B556B"/>
          <w:insideV w:val="single" w:sz="4" w:space="0" w:color="1B556B"/>
        </w:tblBorders>
        <w:tblCellMar>
          <w:left w:w="0" w:type="dxa"/>
          <w:right w:w="0" w:type="dxa"/>
        </w:tblCellMar>
        <w:tblLook w:val="04A0" w:firstRow="1" w:lastRow="0" w:firstColumn="1" w:lastColumn="0" w:noHBand="0" w:noVBand="1"/>
      </w:tblPr>
      <w:tblGrid>
        <w:gridCol w:w="3368"/>
        <w:gridCol w:w="2443"/>
        <w:gridCol w:w="2694"/>
      </w:tblGrid>
      <w:tr w:rsidR="00D71B94" w:rsidRPr="0053439C" w14:paraId="65CFC265" w14:textId="77777777" w:rsidTr="007E3239">
        <w:tc>
          <w:tcPr>
            <w:tcW w:w="3345" w:type="dxa"/>
            <w:shd w:val="clear" w:color="auto" w:fill="1B556B"/>
            <w:tcMar>
              <w:top w:w="0" w:type="dxa"/>
              <w:left w:w="108" w:type="dxa"/>
              <w:bottom w:w="0" w:type="dxa"/>
              <w:right w:w="108" w:type="dxa"/>
            </w:tcMar>
            <w:vAlign w:val="bottom"/>
            <w:hideMark/>
          </w:tcPr>
          <w:p w14:paraId="1428FD31" w14:textId="77777777" w:rsidR="00D71B94" w:rsidRPr="0053439C" w:rsidRDefault="00D71B94" w:rsidP="007E3239">
            <w:pPr>
              <w:pStyle w:val="TableTextBold"/>
              <w:keepNext/>
              <w:rPr>
                <w:noProof w:val="0"/>
                <w:color w:val="FFFFFF"/>
                <w:szCs w:val="16"/>
              </w:rPr>
            </w:pPr>
            <w:r w:rsidRPr="0053439C">
              <w:rPr>
                <w:noProof w:val="0"/>
                <w:color w:val="FFFFFF"/>
                <w:szCs w:val="16"/>
              </w:rPr>
              <w:t>Emissions category</w:t>
            </w:r>
          </w:p>
        </w:tc>
        <w:tc>
          <w:tcPr>
            <w:tcW w:w="2427" w:type="dxa"/>
            <w:shd w:val="clear" w:color="auto" w:fill="1B556B"/>
            <w:tcMar>
              <w:top w:w="0" w:type="dxa"/>
              <w:left w:w="108" w:type="dxa"/>
              <w:bottom w:w="0" w:type="dxa"/>
              <w:right w:w="108" w:type="dxa"/>
            </w:tcMar>
            <w:vAlign w:val="bottom"/>
            <w:hideMark/>
          </w:tcPr>
          <w:p w14:paraId="038606F0" w14:textId="77777777" w:rsidR="00D71B94" w:rsidRPr="0053439C" w:rsidRDefault="00D71B94" w:rsidP="007E3239">
            <w:pPr>
              <w:pStyle w:val="TableTextBold"/>
              <w:jc w:val="center"/>
              <w:rPr>
                <w:noProof w:val="0"/>
                <w:color w:val="FFFFFF"/>
                <w:szCs w:val="16"/>
              </w:rPr>
            </w:pPr>
            <w:r w:rsidRPr="0053439C">
              <w:rPr>
                <w:noProof w:val="0"/>
                <w:color w:val="FFFFFF"/>
                <w:szCs w:val="16"/>
              </w:rPr>
              <w:t>Uncertainty in activity data (%)</w:t>
            </w:r>
          </w:p>
        </w:tc>
        <w:tc>
          <w:tcPr>
            <w:tcW w:w="2676" w:type="dxa"/>
            <w:shd w:val="clear" w:color="auto" w:fill="1B556B"/>
            <w:tcMar>
              <w:top w:w="0" w:type="dxa"/>
              <w:left w:w="108" w:type="dxa"/>
              <w:bottom w:w="0" w:type="dxa"/>
              <w:right w:w="108" w:type="dxa"/>
            </w:tcMar>
            <w:vAlign w:val="bottom"/>
            <w:hideMark/>
          </w:tcPr>
          <w:p w14:paraId="47C4D943" w14:textId="77777777" w:rsidR="00D71B94" w:rsidRPr="0053439C" w:rsidRDefault="00D71B94" w:rsidP="007E3239">
            <w:pPr>
              <w:pStyle w:val="TableTextBold"/>
              <w:jc w:val="center"/>
              <w:rPr>
                <w:noProof w:val="0"/>
                <w:szCs w:val="16"/>
              </w:rPr>
            </w:pPr>
            <w:r w:rsidRPr="0053439C">
              <w:rPr>
                <w:noProof w:val="0"/>
                <w:color w:val="FFFFFF"/>
                <w:szCs w:val="16"/>
              </w:rPr>
              <w:t>Uncertainty in emission factors (%)</w:t>
            </w:r>
          </w:p>
        </w:tc>
      </w:tr>
      <w:tr w:rsidR="00D71B94" w:rsidRPr="0053439C" w14:paraId="0E7379A4" w14:textId="77777777" w:rsidTr="007E3239">
        <w:trPr>
          <w:trHeight w:val="127"/>
        </w:trPr>
        <w:tc>
          <w:tcPr>
            <w:tcW w:w="3345" w:type="dxa"/>
            <w:shd w:val="clear" w:color="auto" w:fill="FFFFFF"/>
            <w:tcMar>
              <w:top w:w="0" w:type="dxa"/>
              <w:left w:w="108" w:type="dxa"/>
              <w:bottom w:w="0" w:type="dxa"/>
              <w:right w:w="108" w:type="dxa"/>
            </w:tcMar>
            <w:hideMark/>
          </w:tcPr>
          <w:p w14:paraId="6E617B79" w14:textId="77777777" w:rsidR="00D71B94" w:rsidRPr="0053439C" w:rsidRDefault="00D71B94" w:rsidP="007E3239">
            <w:pPr>
              <w:pStyle w:val="TableText"/>
              <w:rPr>
                <w:szCs w:val="16"/>
              </w:rPr>
            </w:pPr>
            <w:r w:rsidRPr="0053439C">
              <w:rPr>
                <w:szCs w:val="16"/>
              </w:rPr>
              <w:t>Domestic and industrial wastewater (CH</w:t>
            </w:r>
            <w:r w:rsidRPr="0053439C">
              <w:rPr>
                <w:szCs w:val="16"/>
                <w:vertAlign w:val="subscript"/>
              </w:rPr>
              <w:t>4</w:t>
            </w:r>
            <w:r w:rsidRPr="0053439C">
              <w:rPr>
                <w:szCs w:val="16"/>
              </w:rPr>
              <w:t>)</w:t>
            </w:r>
          </w:p>
        </w:tc>
        <w:tc>
          <w:tcPr>
            <w:tcW w:w="2427" w:type="dxa"/>
            <w:shd w:val="clear" w:color="auto" w:fill="FFFFFF"/>
            <w:tcMar>
              <w:top w:w="0" w:type="dxa"/>
              <w:left w:w="108" w:type="dxa"/>
              <w:bottom w:w="0" w:type="dxa"/>
              <w:right w:w="108" w:type="dxa"/>
            </w:tcMar>
            <w:hideMark/>
          </w:tcPr>
          <w:p w14:paraId="2CCAC88B" w14:textId="77777777" w:rsidR="00D71B94" w:rsidRPr="0053439C" w:rsidRDefault="00D71B94" w:rsidP="007E3239">
            <w:pPr>
              <w:pStyle w:val="TableText"/>
              <w:jc w:val="center"/>
              <w:rPr>
                <w:szCs w:val="16"/>
              </w:rPr>
            </w:pPr>
            <w:r w:rsidRPr="0053439C">
              <w:rPr>
                <w:szCs w:val="16"/>
              </w:rPr>
              <w:t>±10</w:t>
            </w:r>
          </w:p>
        </w:tc>
        <w:tc>
          <w:tcPr>
            <w:tcW w:w="2676" w:type="dxa"/>
            <w:shd w:val="clear" w:color="auto" w:fill="FFFFFF"/>
            <w:tcMar>
              <w:top w:w="0" w:type="dxa"/>
              <w:left w:w="108" w:type="dxa"/>
              <w:bottom w:w="0" w:type="dxa"/>
              <w:right w:w="108" w:type="dxa"/>
            </w:tcMar>
            <w:hideMark/>
          </w:tcPr>
          <w:p w14:paraId="7A7C5270" w14:textId="77777777" w:rsidR="00D71B94" w:rsidRPr="0053439C" w:rsidRDefault="00D71B94" w:rsidP="007E3239">
            <w:pPr>
              <w:pStyle w:val="TableText"/>
              <w:jc w:val="center"/>
              <w:rPr>
                <w:szCs w:val="16"/>
              </w:rPr>
            </w:pPr>
            <w:r w:rsidRPr="0053439C">
              <w:rPr>
                <w:szCs w:val="16"/>
              </w:rPr>
              <w:t>±40</w:t>
            </w:r>
          </w:p>
        </w:tc>
      </w:tr>
      <w:tr w:rsidR="00D71B94" w:rsidRPr="0053439C" w14:paraId="682BD3A2" w14:textId="77777777" w:rsidTr="007E3239">
        <w:tc>
          <w:tcPr>
            <w:tcW w:w="3345" w:type="dxa"/>
            <w:shd w:val="clear" w:color="auto" w:fill="FFFFFF"/>
            <w:tcMar>
              <w:top w:w="0" w:type="dxa"/>
              <w:left w:w="108" w:type="dxa"/>
              <w:bottom w:w="0" w:type="dxa"/>
              <w:right w:w="108" w:type="dxa"/>
            </w:tcMar>
            <w:hideMark/>
          </w:tcPr>
          <w:p w14:paraId="7F0E523B" w14:textId="77777777" w:rsidR="00D71B94" w:rsidRPr="0053439C" w:rsidRDefault="00D71B94" w:rsidP="007E3239">
            <w:pPr>
              <w:pStyle w:val="TableText"/>
              <w:rPr>
                <w:szCs w:val="16"/>
              </w:rPr>
            </w:pPr>
            <w:r w:rsidRPr="0053439C">
              <w:rPr>
                <w:szCs w:val="16"/>
              </w:rPr>
              <w:t>Domestic and industrial wastewater (N</w:t>
            </w:r>
            <w:r w:rsidRPr="0053439C">
              <w:rPr>
                <w:szCs w:val="16"/>
                <w:vertAlign w:val="subscript"/>
              </w:rPr>
              <w:t>2</w:t>
            </w:r>
            <w:r w:rsidRPr="0053439C">
              <w:rPr>
                <w:szCs w:val="16"/>
              </w:rPr>
              <w:t>O)</w:t>
            </w:r>
          </w:p>
        </w:tc>
        <w:tc>
          <w:tcPr>
            <w:tcW w:w="2427" w:type="dxa"/>
            <w:shd w:val="clear" w:color="auto" w:fill="FFFFFF"/>
            <w:tcMar>
              <w:top w:w="0" w:type="dxa"/>
              <w:left w:w="108" w:type="dxa"/>
              <w:bottom w:w="0" w:type="dxa"/>
              <w:right w:w="108" w:type="dxa"/>
            </w:tcMar>
            <w:hideMark/>
          </w:tcPr>
          <w:p w14:paraId="6375907A" w14:textId="77777777" w:rsidR="00D71B94" w:rsidRPr="0053439C" w:rsidRDefault="00D71B94" w:rsidP="007E3239">
            <w:pPr>
              <w:pStyle w:val="TableText"/>
              <w:jc w:val="center"/>
              <w:rPr>
                <w:szCs w:val="16"/>
              </w:rPr>
            </w:pPr>
            <w:r w:rsidRPr="0053439C">
              <w:rPr>
                <w:szCs w:val="16"/>
              </w:rPr>
              <w:t>±10</w:t>
            </w:r>
          </w:p>
        </w:tc>
        <w:tc>
          <w:tcPr>
            <w:tcW w:w="2676" w:type="dxa"/>
            <w:shd w:val="clear" w:color="auto" w:fill="FFFFFF"/>
            <w:tcMar>
              <w:top w:w="0" w:type="dxa"/>
              <w:left w:w="108" w:type="dxa"/>
              <w:bottom w:w="0" w:type="dxa"/>
              <w:right w:w="108" w:type="dxa"/>
            </w:tcMar>
            <w:hideMark/>
          </w:tcPr>
          <w:p w14:paraId="303479A7" w14:textId="77777777" w:rsidR="00D71B94" w:rsidRPr="0053439C" w:rsidRDefault="00D71B94" w:rsidP="007E3239">
            <w:pPr>
              <w:pStyle w:val="TableText"/>
              <w:jc w:val="center"/>
              <w:rPr>
                <w:szCs w:val="16"/>
              </w:rPr>
            </w:pPr>
            <w:r w:rsidRPr="0053439C">
              <w:rPr>
                <w:szCs w:val="16"/>
              </w:rPr>
              <w:t>±90</w:t>
            </w:r>
          </w:p>
        </w:tc>
      </w:tr>
    </w:tbl>
    <w:p w14:paraId="7462D121" w14:textId="77777777" w:rsidR="00D71B94" w:rsidRPr="0053439C" w:rsidRDefault="00D71B94" w:rsidP="00D71B94">
      <w:pPr>
        <w:pStyle w:val="Heading2"/>
        <w:spacing w:before="0" w:after="360"/>
      </w:pPr>
      <w:r w:rsidRPr="0053439C">
        <w:br w:type="page"/>
      </w:r>
      <w:bookmarkStart w:id="2619" w:name="_Toc5269398"/>
      <w:bookmarkStart w:id="2620" w:name="_Toc36224438"/>
      <w:bookmarkStart w:id="2621" w:name="_Toc68786358"/>
      <w:bookmarkStart w:id="2622" w:name="_Toc99659164"/>
      <w:r w:rsidRPr="0053439C">
        <w:lastRenderedPageBreak/>
        <w:t>Chapter 8: References</w:t>
      </w:r>
      <w:bookmarkEnd w:id="2619"/>
      <w:bookmarkEnd w:id="2620"/>
      <w:bookmarkEnd w:id="2621"/>
      <w:bookmarkEnd w:id="2622"/>
    </w:p>
    <w:p w14:paraId="0DFDD2AE" w14:textId="77777777" w:rsidR="00D71B94" w:rsidRPr="0053439C" w:rsidRDefault="00D71B94" w:rsidP="00D71B94">
      <w:pPr>
        <w:pStyle w:val="References"/>
      </w:pPr>
      <w:r w:rsidRPr="0053439C">
        <w:t xml:space="preserve">Government of Tokelau. 2017. </w:t>
      </w:r>
      <w:r w:rsidRPr="0053439C">
        <w:rPr>
          <w:i/>
        </w:rPr>
        <w:t>Solid Waste Management: MOU Signed between Tokelau EDNRE and Pacific Recycle Co. Ltd</w:t>
      </w:r>
      <w:r w:rsidRPr="0053439C">
        <w:t>. Retrieved</w:t>
      </w:r>
      <w:r w:rsidRPr="0053439C">
        <w:rPr>
          <w:sz w:val="19"/>
          <w:szCs w:val="19"/>
        </w:rPr>
        <w:t xml:space="preserve"> f</w:t>
      </w:r>
      <w:r w:rsidRPr="0053439C">
        <w:t xml:space="preserve">rom </w:t>
      </w:r>
      <w:hyperlink r:id="rId254" w:history="1">
        <w:r w:rsidRPr="0053439C">
          <w:rPr>
            <w:rStyle w:val="Hyperlink"/>
          </w:rPr>
          <w:t>www.tokelau.org.nz/Bulletin/December+2017/Solid+Waste+ Management+MOU+Signed+between+Tokelau+EDNRE+and+Pacific++Recycle+Co.+Ltd.html</w:t>
        </w:r>
      </w:hyperlink>
      <w:r w:rsidRPr="0053439C">
        <w:t xml:space="preserve"> (9 March 2018).</w:t>
      </w:r>
    </w:p>
    <w:p w14:paraId="5D882212" w14:textId="77777777" w:rsidR="00D71B94" w:rsidRPr="006E2CDA" w:rsidRDefault="00D71B94" w:rsidP="00D71B94">
      <w:pPr>
        <w:pStyle w:val="References"/>
      </w:pPr>
      <w:r w:rsidRPr="006E2CDA">
        <w:t xml:space="preserve">IPCC. 2006a. Eggleston HS, Buendia L, Miwa K, Ngara T, Tanabe K (eds). </w:t>
      </w:r>
      <w:r w:rsidRPr="006E2CDA">
        <w:rPr>
          <w:i/>
          <w:iCs/>
        </w:rPr>
        <w:t>2006 IPCC Guidelines for National Greenhouse Gas Inventories. Volume 2. Energy</w:t>
      </w:r>
      <w:r w:rsidRPr="006E2CDA">
        <w:t>. IPCC National Greenhouse Gas Inventories Programme. Japan: Institute for Global Environmental Strategies for IPCC.</w:t>
      </w:r>
    </w:p>
    <w:p w14:paraId="4A8FE39B" w14:textId="77777777" w:rsidR="00D71B94" w:rsidRPr="0053439C" w:rsidRDefault="00D71B94" w:rsidP="00D71B94">
      <w:pPr>
        <w:pStyle w:val="References"/>
      </w:pPr>
      <w:r w:rsidRPr="0053439C">
        <w:t xml:space="preserve">IPCC. 2006b. Eggleston HS, Buendia L, Miwa K, Ngara T, Tanabe K (eds). </w:t>
      </w:r>
      <w:r w:rsidRPr="0053439C">
        <w:rPr>
          <w:i/>
        </w:rPr>
        <w:t>2006 IPCC</w:t>
      </w:r>
      <w:r w:rsidRPr="0053439C">
        <w:t xml:space="preserve"> </w:t>
      </w:r>
      <w:r w:rsidRPr="0053439C">
        <w:rPr>
          <w:i/>
        </w:rPr>
        <w:t>Guidelines for National Greenhouse Gas Inventories. Volume 3. Industrial Processes and Product Use</w:t>
      </w:r>
      <w:r w:rsidRPr="0053439C">
        <w:t xml:space="preserve">. IPCC National Greenhouse Gas Inventories Programme. Japan: </w:t>
      </w:r>
      <w:r>
        <w:t xml:space="preserve">Published for the </w:t>
      </w:r>
      <w:r w:rsidRPr="0053439C">
        <w:t>IPCC by the Institute for Global Environmental Strategies.</w:t>
      </w:r>
    </w:p>
    <w:p w14:paraId="0D1B8DB3" w14:textId="77777777" w:rsidR="00D71B94" w:rsidRPr="0053439C" w:rsidRDefault="00D71B94" w:rsidP="00D71B94">
      <w:pPr>
        <w:pStyle w:val="References"/>
      </w:pPr>
      <w:r w:rsidRPr="0053439C">
        <w:t xml:space="preserve">IPCC. 2006c. Eggleston HS, Buendia L, Miwa K, Ngara T, Tanabe K (eds). </w:t>
      </w:r>
      <w:r w:rsidRPr="0053439C">
        <w:rPr>
          <w:i/>
          <w:iCs/>
        </w:rPr>
        <w:t xml:space="preserve">2006 IPCC Guidelines for National Greenhouse Gas Inventories. Volume 4. Agriculture, Forestry and Other Land Use. </w:t>
      </w:r>
      <w:r w:rsidRPr="004547EF">
        <w:t>IPCC National Greenhouse Gas Inventories Programme</w:t>
      </w:r>
      <w:r w:rsidRPr="0053439C">
        <w:t xml:space="preserve">. Japan: </w:t>
      </w:r>
      <w:r w:rsidRPr="00E610A5">
        <w:t xml:space="preserve">Published for the IPCC by the </w:t>
      </w:r>
      <w:r w:rsidRPr="0053439C">
        <w:t>Institute for Global Environmental Strategies.</w:t>
      </w:r>
    </w:p>
    <w:p w14:paraId="7517BE14" w14:textId="77777777" w:rsidR="00D71B94" w:rsidRPr="0053439C" w:rsidRDefault="00D71B94" w:rsidP="00D71B94">
      <w:pPr>
        <w:pStyle w:val="References"/>
        <w:rPr>
          <w:spacing w:val="-2"/>
        </w:rPr>
      </w:pPr>
      <w:r w:rsidRPr="0053439C">
        <w:rPr>
          <w:spacing w:val="-2"/>
        </w:rPr>
        <w:t xml:space="preserve">IPCC. 2006d. Eggleston HS, Buendia L, Miwa K, Ngara T, Tanabe K (eds). </w:t>
      </w:r>
      <w:r w:rsidRPr="0053439C">
        <w:rPr>
          <w:i/>
          <w:spacing w:val="-2"/>
        </w:rPr>
        <w:t>2006 IPCC Guidelines for National Greenhouse Gas Inventories. Volume 5. Waste</w:t>
      </w:r>
      <w:r w:rsidRPr="0053439C">
        <w:rPr>
          <w:spacing w:val="-2"/>
        </w:rPr>
        <w:t xml:space="preserve">. IPCC National Greenhouse Gas Inventories Programme. Japan: </w:t>
      </w:r>
      <w:r w:rsidRPr="00E610A5">
        <w:t xml:space="preserve">Published for the IPCC by the </w:t>
      </w:r>
      <w:r w:rsidRPr="0053439C">
        <w:rPr>
          <w:spacing w:val="-2"/>
        </w:rPr>
        <w:t xml:space="preserve">Institute for Global Environmental Strategies. </w:t>
      </w:r>
    </w:p>
    <w:p w14:paraId="2AE3EBFE" w14:textId="77777777" w:rsidR="00D71B94" w:rsidRPr="0053439C" w:rsidRDefault="00D71B94" w:rsidP="00D71B94">
      <w:pPr>
        <w:pStyle w:val="References"/>
      </w:pPr>
      <w:r w:rsidRPr="0053439C">
        <w:t>Jasperse JA. 2016.</w:t>
      </w:r>
      <w:r w:rsidRPr="0053439C">
        <w:rPr>
          <w:i/>
          <w:lang w:eastAsia="en-GB"/>
        </w:rPr>
        <w:t xml:space="preserve"> Analysis of 2014 imports into Tokelau from Samoa, Part 2: Stores’ invoices reconciled with cargo manifests, and quality of life implications</w:t>
      </w:r>
      <w:r w:rsidRPr="0053439C">
        <w:rPr>
          <w:lang w:eastAsia="en-GB"/>
        </w:rPr>
        <w:t xml:space="preserve">. Apia, Samoa: </w:t>
      </w:r>
      <w:r w:rsidRPr="0053439C">
        <w:t xml:space="preserve">Tokelau National Statistics Office. Retrieved from </w:t>
      </w:r>
      <w:hyperlink r:id="rId255" w:history="1">
        <w:r w:rsidRPr="0053439C">
          <w:rPr>
            <w:rStyle w:val="Hyperlink"/>
          </w:rPr>
          <w:t>www.tokelau.org.nz/Bulletin/September+2016/2014+imports +final.html</w:t>
        </w:r>
      </w:hyperlink>
      <w:r w:rsidRPr="0053439C">
        <w:rPr>
          <w:rStyle w:val="Hyperlink"/>
        </w:rPr>
        <w:t xml:space="preserve"> </w:t>
      </w:r>
      <w:r w:rsidRPr="0053439C">
        <w:t>(28 February 2019).</w:t>
      </w:r>
    </w:p>
    <w:p w14:paraId="04E14A51" w14:textId="77777777" w:rsidR="00D71B94" w:rsidRPr="0053439C" w:rsidRDefault="00D71B94" w:rsidP="00D71B94">
      <w:pPr>
        <w:pStyle w:val="References"/>
      </w:pPr>
      <w:r w:rsidRPr="0053439C">
        <w:rPr>
          <w:rFonts w:eastAsia="Calibri"/>
        </w:rPr>
        <w:t xml:space="preserve">Koroisamanunu I, Papao J, Ketewai M and Sokota A. 2014. </w:t>
      </w:r>
      <w:r w:rsidRPr="0053439C">
        <w:rPr>
          <w:rFonts w:eastAsia="Calibri"/>
          <w:i/>
        </w:rPr>
        <w:t>Mission Preliminary Report (Fieldwork undertaken from 8 August – 2 September 2013). SOPAC technical note (PR193), May 2014</w:t>
      </w:r>
      <w:r w:rsidRPr="0053439C">
        <w:rPr>
          <w:rFonts w:eastAsia="Calibri"/>
        </w:rPr>
        <w:t>. Suva, Fiji: Water and Sanitation Programme and Disaster Reduction Programme. Applied Geoscience and Technology Division (SOPAC).</w:t>
      </w:r>
    </w:p>
    <w:p w14:paraId="51ECAD23" w14:textId="77777777" w:rsidR="00D71B94" w:rsidRPr="0053439C" w:rsidRDefault="00D71B94" w:rsidP="00D71B94">
      <w:pPr>
        <w:pStyle w:val="References"/>
      </w:pPr>
      <w:r w:rsidRPr="0053439C">
        <w:t>UNFCCC. 2014</w:t>
      </w:r>
      <w:r w:rsidRPr="0053439C">
        <w:rPr>
          <w:i/>
        </w:rPr>
        <w:t>. Report of the Conference of the Parties on its nineteenth session, held in Warsaw from 11 to 23 November 2013: Addendum – Part 2: Action taken by the Conference of the Parties at its nineteenth session</w:t>
      </w:r>
      <w:r w:rsidRPr="0053439C">
        <w:t>. FCCC/CP/2013/10/Add.3, Decision 24/CP.19.</w:t>
      </w:r>
    </w:p>
    <w:p w14:paraId="7FBAFBE4" w14:textId="77777777" w:rsidR="00D71B94" w:rsidRPr="0053439C" w:rsidRDefault="00D71B94" w:rsidP="00D71B94">
      <w:pPr>
        <w:pStyle w:val="References"/>
      </w:pPr>
      <w:r w:rsidRPr="0053439C">
        <w:t>United Nations. 1945.</w:t>
      </w:r>
      <w:r w:rsidRPr="0053439C">
        <w:rPr>
          <w:rFonts w:cs="Calibri"/>
          <w:color w:val="222222"/>
          <w:sz w:val="18"/>
          <w:szCs w:val="18"/>
          <w:shd w:val="clear" w:color="auto" w:fill="FFFFFF"/>
        </w:rPr>
        <w:t xml:space="preserve"> </w:t>
      </w:r>
      <w:r w:rsidRPr="0053439C">
        <w:rPr>
          <w:bCs/>
          <w:i/>
        </w:rPr>
        <w:t xml:space="preserve">Charter of the United Nations, 1945. </w:t>
      </w:r>
      <w:r w:rsidRPr="0053439C">
        <w:rPr>
          <w:bCs/>
        </w:rPr>
        <w:t xml:space="preserve">Retrieved from </w:t>
      </w:r>
      <w:hyperlink r:id="rId256" w:history="1">
        <w:r w:rsidRPr="005E03A8">
          <w:rPr>
            <w:rStyle w:val="Hyperlink"/>
          </w:rPr>
          <w:t>www.un.org/en/sections/un-charter/chapter-xi</w:t>
        </w:r>
      </w:hyperlink>
      <w:r w:rsidRPr="0053439C">
        <w:t xml:space="preserve"> (7 February 2019).</w:t>
      </w:r>
    </w:p>
    <w:p w14:paraId="435E5469" w14:textId="77777777" w:rsidR="00D71B94" w:rsidRPr="0053439C" w:rsidRDefault="00D71B94" w:rsidP="00D71B94"/>
    <w:p w14:paraId="53CF14BD" w14:textId="77777777" w:rsidR="006E2CDA" w:rsidRDefault="006E2CDA" w:rsidP="00D71B94">
      <w:pPr>
        <w:sectPr w:rsidR="006E2CDA" w:rsidSect="000A1ADF">
          <w:footerReference w:type="even" r:id="rId257"/>
          <w:footerReference w:type="default" r:id="rId258"/>
          <w:pgSz w:w="11907" w:h="16840" w:code="9"/>
          <w:pgMar w:top="1418" w:right="1701" w:bottom="1418" w:left="1701" w:header="567" w:footer="567" w:gutter="0"/>
          <w:cols w:space="720"/>
        </w:sectPr>
      </w:pPr>
    </w:p>
    <w:p w14:paraId="5FAF0C2D" w14:textId="77777777" w:rsidR="008201CA" w:rsidRPr="00D9348B" w:rsidRDefault="008201CA" w:rsidP="008201CA">
      <w:pPr>
        <w:pStyle w:val="Heading1"/>
      </w:pPr>
      <w:bookmarkStart w:id="2623" w:name="_Toc5269399"/>
      <w:bookmarkStart w:id="2624" w:name="_Toc36224439"/>
      <w:bookmarkStart w:id="2625" w:name="_Toc99659165"/>
      <w:r w:rsidRPr="00D9348B">
        <w:lastRenderedPageBreak/>
        <w:t>Chapter 9: Indirect carbon dioxide and nitrous oxide emissions</w:t>
      </w:r>
      <w:bookmarkEnd w:id="2623"/>
      <w:bookmarkEnd w:id="2624"/>
      <w:bookmarkEnd w:id="2625"/>
      <w:r w:rsidRPr="00D9348B">
        <w:t xml:space="preserve"> </w:t>
      </w:r>
    </w:p>
    <w:p w14:paraId="59730D96" w14:textId="77777777" w:rsidR="008201CA" w:rsidRPr="00D9348B" w:rsidRDefault="008201CA" w:rsidP="008201CA">
      <w:pPr>
        <w:pStyle w:val="BodyText"/>
      </w:pPr>
      <w:r w:rsidRPr="00D9348B">
        <w:t>New Zealand elected not to report indirect carb</w:t>
      </w:r>
      <w:r>
        <w:t>on dioxide emissions in its 2022</w:t>
      </w:r>
      <w:r w:rsidRPr="00D9348B">
        <w:t xml:space="preserve"> </w:t>
      </w:r>
      <w:r>
        <w:t>i</w:t>
      </w:r>
      <w:r w:rsidRPr="00D9348B">
        <w:t xml:space="preserve">nventory submission. Indirect nitrous oxide emissions are </w:t>
      </w:r>
      <w:r w:rsidRPr="001060A5">
        <w:t>reported</w:t>
      </w:r>
      <w:r w:rsidRPr="00D9348B">
        <w:t xml:space="preserve"> in the Agriculture sector (chapter 5) and the Land Use, Land-Use </w:t>
      </w:r>
      <w:r w:rsidRPr="008201CA">
        <w:t>Change</w:t>
      </w:r>
      <w:r w:rsidRPr="00D9348B">
        <w:t xml:space="preserve"> and Forestry sector (chapter 6).</w:t>
      </w:r>
    </w:p>
    <w:p w14:paraId="2DDD1B45" w14:textId="77777777" w:rsidR="008201CA" w:rsidRPr="001060A5" w:rsidRDefault="008201CA" w:rsidP="008201CA"/>
    <w:p w14:paraId="14D92048" w14:textId="77777777" w:rsidR="00D71B94" w:rsidRPr="0053439C" w:rsidRDefault="00D71B94" w:rsidP="00D71B94"/>
    <w:p w14:paraId="68B81F5A" w14:textId="77777777" w:rsidR="00D71B94" w:rsidRPr="00E12BE0" w:rsidRDefault="00D71B94" w:rsidP="00D71B94"/>
    <w:p w14:paraId="1C708D92" w14:textId="77777777" w:rsidR="008201CA" w:rsidRDefault="008201CA" w:rsidP="0087314B">
      <w:pPr>
        <w:sectPr w:rsidR="008201CA" w:rsidSect="000A1ADF">
          <w:footerReference w:type="even" r:id="rId259"/>
          <w:pgSz w:w="11907" w:h="16840" w:code="9"/>
          <w:pgMar w:top="1418" w:right="1701" w:bottom="1418" w:left="1701" w:header="567" w:footer="567" w:gutter="0"/>
          <w:cols w:space="720"/>
        </w:sectPr>
      </w:pPr>
    </w:p>
    <w:p w14:paraId="0F398274" w14:textId="77777777" w:rsidR="00366397" w:rsidRPr="008A2236" w:rsidRDefault="00366397" w:rsidP="00366397">
      <w:pPr>
        <w:pStyle w:val="Heading1"/>
      </w:pPr>
      <w:bookmarkStart w:id="2626" w:name="_Toc99659166"/>
      <w:bookmarkStart w:id="2627" w:name="X15723e2af0975b848fa432e68188ad746a6b4f3"/>
      <w:r w:rsidRPr="008A2236">
        <w:lastRenderedPageBreak/>
        <w:t>Chapter 10: Recalculations and improvements</w:t>
      </w:r>
      <w:bookmarkEnd w:id="2626"/>
    </w:p>
    <w:p w14:paraId="2C4E6785" w14:textId="688FCCF3" w:rsidR="00366397" w:rsidRPr="008A2236" w:rsidRDefault="00366397" w:rsidP="00366397">
      <w:pPr>
        <w:pStyle w:val="BodyText"/>
      </w:pPr>
      <w:r w:rsidRPr="008A2236">
        <w:t>This chapter summarises the recalculations and improvements made to the inventory following the 2021 submission. Further details on the recalculations and improvements for</w:t>
      </w:r>
      <w:r w:rsidR="004A1249">
        <w:t> </w:t>
      </w:r>
      <w:r w:rsidRPr="008A2236">
        <w:t>each sector are provided in chapters 3 to 8 and 11.</w:t>
      </w:r>
    </w:p>
    <w:p w14:paraId="56E628D0" w14:textId="77777777" w:rsidR="00366397" w:rsidRPr="008A2236" w:rsidRDefault="00366397" w:rsidP="00366397">
      <w:pPr>
        <w:pStyle w:val="BodyText"/>
      </w:pPr>
      <w:r w:rsidRPr="008A2236">
        <w:t>Recalculations of estimates reported in the previous submission of the inventory are due to improvements in:</w:t>
      </w:r>
    </w:p>
    <w:p w14:paraId="56B8A90D" w14:textId="77777777" w:rsidR="00366397" w:rsidRPr="009A66B3" w:rsidRDefault="00366397" w:rsidP="00F15041">
      <w:pPr>
        <w:pStyle w:val="Bullet"/>
      </w:pPr>
      <w:r w:rsidRPr="00F15041">
        <w:t>activity</w:t>
      </w:r>
      <w:r w:rsidRPr="009A66B3">
        <w:t xml:space="preserve"> data</w:t>
      </w:r>
    </w:p>
    <w:p w14:paraId="053A2A5F" w14:textId="77777777" w:rsidR="00366397" w:rsidRPr="00F15041" w:rsidRDefault="00366397" w:rsidP="00F15041">
      <w:pPr>
        <w:pStyle w:val="Bullet"/>
      </w:pPr>
      <w:r w:rsidRPr="00F15041">
        <w:t>parameters for estimating emissions including emission factors</w:t>
      </w:r>
    </w:p>
    <w:p w14:paraId="23783F67" w14:textId="77777777" w:rsidR="00366397" w:rsidRPr="00F15041" w:rsidRDefault="00366397" w:rsidP="00F15041">
      <w:pPr>
        <w:pStyle w:val="Bullet"/>
      </w:pPr>
      <w:r w:rsidRPr="00F15041">
        <w:t>methodology, including correcting errors</w:t>
      </w:r>
    </w:p>
    <w:p w14:paraId="5725116E" w14:textId="77777777" w:rsidR="00366397" w:rsidRPr="008A2236" w:rsidRDefault="00366397" w:rsidP="00F15041">
      <w:pPr>
        <w:pStyle w:val="Bullet"/>
      </w:pPr>
      <w:r w:rsidRPr="00F15041">
        <w:t>activ</w:t>
      </w:r>
      <w:r w:rsidRPr="008A2236">
        <w:t xml:space="preserve">ity data and emission factors </w:t>
      </w:r>
      <w:r w:rsidRPr="00F15041">
        <w:t>that</w:t>
      </w:r>
      <w:r w:rsidRPr="008A2236">
        <w:t xml:space="preserve"> became available for certain sources that were previously reported as ‘NE’ (not estimated) because of insufficient data.</w:t>
      </w:r>
    </w:p>
    <w:p w14:paraId="441A9FF2" w14:textId="77777777" w:rsidR="00366397" w:rsidRPr="008A2236" w:rsidRDefault="00366397" w:rsidP="00F15041">
      <w:pPr>
        <w:pStyle w:val="BodyText"/>
      </w:pPr>
      <w:r w:rsidRPr="008A2236">
        <w:t xml:space="preserve">It is good practice to recalculate the whole time series from 1990 to the latest reporting year, to ensure consistency across the time series. This means some estimates of emissions and/or removals reported in this submission are different from estimates reported in the previous submission. There may be </w:t>
      </w:r>
      <w:r w:rsidRPr="00F15041">
        <w:t>exceptions</w:t>
      </w:r>
      <w:r w:rsidRPr="008A2236">
        <w:t xml:space="preserve"> to recalculating the entire time series and, where this has occurred, explanations are provided.</w:t>
      </w:r>
    </w:p>
    <w:p w14:paraId="4C76F1D6" w14:textId="77777777" w:rsidR="00366397" w:rsidRPr="008A2236" w:rsidRDefault="00366397" w:rsidP="00F15041">
      <w:pPr>
        <w:pStyle w:val="Heading2"/>
      </w:pPr>
      <w:bookmarkStart w:id="2628" w:name="_Toc99659167"/>
      <w:bookmarkStart w:id="2629" w:name="implications-and-justifications"/>
      <w:r w:rsidRPr="008A2236">
        <w:t xml:space="preserve">10.1 </w:t>
      </w:r>
      <w:r>
        <w:tab/>
      </w:r>
      <w:r w:rsidRPr="008A2236">
        <w:t xml:space="preserve">Implications and </w:t>
      </w:r>
      <w:r w:rsidRPr="00F15041">
        <w:t>justifications</w:t>
      </w:r>
      <w:bookmarkEnd w:id="2628"/>
    </w:p>
    <w:p w14:paraId="0A28804D" w14:textId="77777777" w:rsidR="00366397" w:rsidRPr="008A2236" w:rsidRDefault="00366397" w:rsidP="00366397">
      <w:pPr>
        <w:pStyle w:val="BodyText"/>
      </w:pPr>
      <w:r w:rsidRPr="008A2236">
        <w:t>The effect of recalculations on New Zealand’s gross emissions</w:t>
      </w:r>
      <w:r>
        <w:t xml:space="preserve"> estimates</w:t>
      </w:r>
      <w:r w:rsidRPr="008A2236">
        <w:t xml:space="preserve"> is shown in figure 10.1.1. There was a 0.1 per cent (67.8 kilotonnes carbon dioxide equivalent (kt CO</w:t>
      </w:r>
      <w:r w:rsidRPr="008A2236">
        <w:rPr>
          <w:vertAlign w:val="subscript"/>
        </w:rPr>
        <w:t>2</w:t>
      </w:r>
      <w:r w:rsidRPr="008A2236">
        <w:t>-e)) increase in gross emissions in 1990 and a 0.9 per cent (700.8 kt CO</w:t>
      </w:r>
      <w:r w:rsidRPr="008A2236">
        <w:rPr>
          <w:vertAlign w:val="subscript"/>
        </w:rPr>
        <w:t>2</w:t>
      </w:r>
      <w:r w:rsidRPr="008A2236">
        <w:t>-e) decrease for the 2019 year. The greatest contribution to the decrease in estimates for gross emissions across the time series came from the Agriculture sector. This decrease is mainly the result of an improved estimate of the purity of agriculture lime applied to soils.</w:t>
      </w:r>
      <w:r w:rsidRPr="008A2236">
        <w:rPr>
          <w:highlight w:val="yellow"/>
        </w:rPr>
        <w:t xml:space="preserve"> </w:t>
      </w:r>
    </w:p>
    <w:p w14:paraId="4ECED07B" w14:textId="04EEF884" w:rsidR="00366397" w:rsidRPr="008A2236" w:rsidRDefault="00366397" w:rsidP="005B37B2">
      <w:pPr>
        <w:pStyle w:val="Figure"/>
        <w:spacing w:after="60"/>
      </w:pPr>
      <w:bookmarkStart w:id="2630" w:name="_Toc99696068"/>
      <w:r w:rsidRPr="008A2236">
        <w:lastRenderedPageBreak/>
        <w:t>Figure 10.1.1</w:t>
      </w:r>
      <w:r w:rsidRPr="008A2236">
        <w:tab/>
        <w:t>Effect of recalculations on New Zealand’s gross greenhouse gas emissions</w:t>
      </w:r>
      <w:r>
        <w:t xml:space="preserve"> estimates</w:t>
      </w:r>
      <w:r w:rsidR="00F15041">
        <w:br/>
      </w:r>
      <w:r w:rsidRPr="008A2236">
        <w:t>from 1990 to 2019</w:t>
      </w:r>
      <w:bookmarkEnd w:id="2630"/>
    </w:p>
    <w:p w14:paraId="6F20D599" w14:textId="7B74CB45" w:rsidR="00366397" w:rsidRPr="008A2236" w:rsidRDefault="004B48CC" w:rsidP="005B37B2">
      <w:pPr>
        <w:pStyle w:val="BodyText"/>
        <w:spacing w:after="80"/>
      </w:pPr>
      <w:r>
        <w:rPr>
          <w:noProof/>
        </w:rPr>
        <w:pict w14:anchorId="055D6C6A">
          <v:shape id="_x0000_i1144" type="#_x0000_t75" style="width:430.35pt;height:319.8pt;visibility:visible;mso-wrap-style:square">
            <v:imagedata r:id="rId260" o:title="" cropbottom="822f"/>
          </v:shape>
        </w:pict>
      </w:r>
    </w:p>
    <w:p w14:paraId="59AF4365" w14:textId="77777777" w:rsidR="00366397" w:rsidRPr="008A2236" w:rsidRDefault="00366397" w:rsidP="00366397">
      <w:pPr>
        <w:pStyle w:val="BodyText"/>
      </w:pPr>
      <w:r w:rsidRPr="008A2236">
        <w:t>The effect of recalculations on net emissions</w:t>
      </w:r>
      <w:r>
        <w:t xml:space="preserve"> estimates</w:t>
      </w:r>
      <w:r w:rsidRPr="008A2236">
        <w:t>, which includes the Land Use, Land-Use Change and Forestry (LULUCF) sector, was an increase of 6.9 per cent (2,853.0 kt CO</w:t>
      </w:r>
      <w:r w:rsidRPr="008A2236">
        <w:rPr>
          <w:vertAlign w:val="subscript"/>
        </w:rPr>
        <w:t>2</w:t>
      </w:r>
      <w:r w:rsidRPr="008A2236">
        <w:t>-e) in net emissions in 1990 and an increase of 6.7 per cent (3,689.4 kt CO</w:t>
      </w:r>
      <w:r w:rsidRPr="008A2236">
        <w:rPr>
          <w:vertAlign w:val="subscript"/>
        </w:rPr>
        <w:t>2</w:t>
      </w:r>
      <w:r w:rsidRPr="008A2236">
        <w:t>-e) in net emissions in 2019. This is the combined effect of a number of changes made to gross emissions and changes in the LULUCF sector emissions mainly due to updated pre-1990 planted forest estimates from revised yield tables and improvements to the forest and harvest age modelling.</w:t>
      </w:r>
    </w:p>
    <w:p w14:paraId="33B95A6D" w14:textId="77777777" w:rsidR="00366397" w:rsidRPr="008A2236" w:rsidRDefault="00366397" w:rsidP="00366397">
      <w:pPr>
        <w:pStyle w:val="BodyText"/>
      </w:pPr>
      <w:r w:rsidRPr="008A2236">
        <w:t>The following tables show for each sector the category that had the largest recalculations across the time series. Table 10.1.1 shows the recalculations that increased emissions estimates the most for each sector.</w:t>
      </w:r>
    </w:p>
    <w:p w14:paraId="68CECE2E" w14:textId="77777777" w:rsidR="00366397" w:rsidRPr="008A2236" w:rsidRDefault="00366397" w:rsidP="00366397">
      <w:pPr>
        <w:pStyle w:val="Table"/>
      </w:pPr>
      <w:bookmarkStart w:id="2631" w:name="_Toc99659371"/>
      <w:r w:rsidRPr="008A2236">
        <w:t>Table 10.1.1</w:t>
      </w:r>
      <w:r w:rsidRPr="008A2236">
        <w:tab/>
      </w:r>
      <w:r w:rsidRPr="00FC1CE4">
        <w:t>Recalculations that led to the greatest increase in emissions estimates in each sector</w:t>
      </w:r>
      <w:bookmarkEnd w:id="2631"/>
    </w:p>
    <w:tbl>
      <w:tblPr>
        <w:tblW w:w="8505" w:type="dxa"/>
        <w:tblInd w:w="113" w:type="dxa"/>
        <w:tblLook w:val="0420" w:firstRow="1" w:lastRow="0" w:firstColumn="0" w:lastColumn="0" w:noHBand="0" w:noVBand="1"/>
      </w:tblPr>
      <w:tblGrid>
        <w:gridCol w:w="938"/>
        <w:gridCol w:w="3168"/>
        <w:gridCol w:w="2410"/>
        <w:gridCol w:w="1989"/>
      </w:tblGrid>
      <w:tr w:rsidR="00366397" w:rsidRPr="00E751E2" w14:paraId="4DE7BEBD" w14:textId="77777777" w:rsidTr="00CE3FF1">
        <w:trPr>
          <w:tblHeader/>
        </w:trPr>
        <w:tc>
          <w:tcPr>
            <w:tcW w:w="0" w:type="auto"/>
            <w:tcBorders>
              <w:top w:val="single" w:sz="4" w:space="0" w:color="1B556B"/>
              <w:left w:val="single" w:sz="4" w:space="0" w:color="FFFFFF"/>
              <w:bottom w:val="single" w:sz="4" w:space="0" w:color="1B556B"/>
            </w:tcBorders>
            <w:shd w:val="clear" w:color="auto" w:fill="1B556B"/>
            <w:vAlign w:val="bottom"/>
          </w:tcPr>
          <w:p w14:paraId="60C89898" w14:textId="77777777" w:rsidR="00366397" w:rsidRPr="00366397" w:rsidRDefault="00366397" w:rsidP="004A0757">
            <w:pPr>
              <w:pStyle w:val="TableText"/>
              <w:rPr>
                <w:b/>
                <w:bCs/>
                <w:color w:val="FFFFFF"/>
              </w:rPr>
            </w:pPr>
            <w:r w:rsidRPr="00366397">
              <w:rPr>
                <w:rFonts w:eastAsia="Calibri"/>
                <w:b/>
                <w:bCs/>
                <w:color w:val="FFFFFF"/>
              </w:rPr>
              <w:t>Sector</w:t>
            </w:r>
          </w:p>
        </w:tc>
        <w:tc>
          <w:tcPr>
            <w:tcW w:w="3168" w:type="dxa"/>
            <w:tcBorders>
              <w:top w:val="single" w:sz="4" w:space="0" w:color="1B556B"/>
              <w:bottom w:val="single" w:sz="4" w:space="0" w:color="1B556B"/>
            </w:tcBorders>
            <w:shd w:val="clear" w:color="auto" w:fill="1B556B"/>
            <w:vAlign w:val="bottom"/>
          </w:tcPr>
          <w:p w14:paraId="0A92EFEA" w14:textId="77777777" w:rsidR="00366397" w:rsidRPr="00366397" w:rsidRDefault="00366397" w:rsidP="004A0757">
            <w:pPr>
              <w:pStyle w:val="TableText"/>
              <w:rPr>
                <w:b/>
                <w:bCs/>
                <w:color w:val="FFFFFF"/>
              </w:rPr>
            </w:pPr>
            <w:r w:rsidRPr="00366397">
              <w:rPr>
                <w:rFonts w:eastAsia="Calibri"/>
                <w:b/>
                <w:bCs/>
                <w:color w:val="FFFFFF"/>
              </w:rPr>
              <w:t>Category with the largest increase in estimated emissions across the entire time series</w:t>
            </w:r>
          </w:p>
        </w:tc>
        <w:tc>
          <w:tcPr>
            <w:tcW w:w="2410" w:type="dxa"/>
            <w:tcBorders>
              <w:top w:val="single" w:sz="4" w:space="0" w:color="1B556B"/>
              <w:bottom w:val="single" w:sz="4" w:space="0" w:color="1B556B"/>
            </w:tcBorders>
            <w:shd w:val="clear" w:color="auto" w:fill="1B556B"/>
            <w:vAlign w:val="bottom"/>
          </w:tcPr>
          <w:p w14:paraId="420A9EAD" w14:textId="77777777" w:rsidR="00366397" w:rsidRPr="00366397" w:rsidRDefault="00366397" w:rsidP="004A0757">
            <w:pPr>
              <w:pStyle w:val="TableText"/>
              <w:jc w:val="right"/>
              <w:rPr>
                <w:b/>
                <w:bCs/>
                <w:color w:val="FFFFFF"/>
              </w:rPr>
            </w:pPr>
            <w:r w:rsidRPr="00366397">
              <w:rPr>
                <w:rFonts w:eastAsia="Calibri"/>
                <w:b/>
                <w:bCs/>
                <w:color w:val="FFFFFF"/>
              </w:rPr>
              <w:t>Largest single increase in emissions for the category (kt CO</w:t>
            </w:r>
            <w:r w:rsidRPr="00366397">
              <w:rPr>
                <w:rFonts w:eastAsia="Calibri"/>
                <w:b/>
                <w:bCs/>
                <w:color w:val="FFFFFF"/>
                <w:vertAlign w:val="subscript"/>
              </w:rPr>
              <w:t>2</w:t>
            </w:r>
            <w:r w:rsidRPr="00366397">
              <w:rPr>
                <w:rFonts w:eastAsia="Calibri"/>
                <w:b/>
                <w:bCs/>
                <w:color w:val="FFFFFF"/>
              </w:rPr>
              <w:t>-e)</w:t>
            </w:r>
          </w:p>
        </w:tc>
        <w:tc>
          <w:tcPr>
            <w:tcW w:w="1989" w:type="dxa"/>
            <w:tcBorders>
              <w:top w:val="single" w:sz="4" w:space="0" w:color="1B556B"/>
              <w:bottom w:val="single" w:sz="4" w:space="0" w:color="1B556B"/>
              <w:right w:val="single" w:sz="4" w:space="0" w:color="FFFFFF"/>
            </w:tcBorders>
            <w:shd w:val="clear" w:color="auto" w:fill="1B556B"/>
            <w:vAlign w:val="bottom"/>
          </w:tcPr>
          <w:p w14:paraId="2C76354E" w14:textId="77777777" w:rsidR="00366397" w:rsidRPr="00366397" w:rsidRDefault="00366397" w:rsidP="004A0757">
            <w:pPr>
              <w:pStyle w:val="TableText"/>
              <w:jc w:val="right"/>
              <w:rPr>
                <w:b/>
                <w:bCs/>
                <w:color w:val="FFFFFF"/>
              </w:rPr>
            </w:pPr>
            <w:r w:rsidRPr="00366397">
              <w:rPr>
                <w:rFonts w:eastAsia="Calibri"/>
                <w:b/>
                <w:bCs/>
                <w:color w:val="FFFFFF"/>
              </w:rPr>
              <w:t>Year of the largest increase in estimated emissions</w:t>
            </w:r>
          </w:p>
        </w:tc>
      </w:tr>
      <w:tr w:rsidR="00366397" w:rsidRPr="00E751E2" w14:paraId="496EB732" w14:textId="77777777" w:rsidTr="00CE3FF1">
        <w:trPr>
          <w:cantSplit/>
        </w:trPr>
        <w:tc>
          <w:tcPr>
            <w:tcW w:w="0" w:type="auto"/>
            <w:tcBorders>
              <w:top w:val="single" w:sz="4" w:space="0" w:color="1B556B"/>
              <w:left w:val="single" w:sz="4" w:space="0" w:color="FFFFFF"/>
              <w:bottom w:val="single" w:sz="4" w:space="0" w:color="1B556B"/>
            </w:tcBorders>
            <w:shd w:val="clear" w:color="auto" w:fill="FFFFFF"/>
            <w:vAlign w:val="center"/>
          </w:tcPr>
          <w:p w14:paraId="4E8D247D" w14:textId="77777777" w:rsidR="00366397" w:rsidRPr="00E751E2" w:rsidRDefault="00366397" w:rsidP="004A0757">
            <w:pPr>
              <w:pStyle w:val="TableText"/>
            </w:pPr>
            <w:r w:rsidRPr="00E751E2">
              <w:rPr>
                <w:rFonts w:eastAsia="Calibri"/>
              </w:rPr>
              <w:t>Energy</w:t>
            </w:r>
          </w:p>
        </w:tc>
        <w:tc>
          <w:tcPr>
            <w:tcW w:w="3168" w:type="dxa"/>
            <w:tcBorders>
              <w:top w:val="single" w:sz="4" w:space="0" w:color="1B556B"/>
              <w:bottom w:val="single" w:sz="4" w:space="0" w:color="1B556B"/>
            </w:tcBorders>
            <w:shd w:val="clear" w:color="auto" w:fill="FFFFFF"/>
            <w:vAlign w:val="center"/>
          </w:tcPr>
          <w:p w14:paraId="17BDA25C" w14:textId="77777777" w:rsidR="00366397" w:rsidRPr="00E751E2" w:rsidRDefault="00366397" w:rsidP="004A0757">
            <w:pPr>
              <w:pStyle w:val="TableText"/>
            </w:pPr>
            <w:r w:rsidRPr="00E751E2">
              <w:rPr>
                <w:rFonts w:eastAsia="Calibri"/>
              </w:rPr>
              <w:t>1.A.3.b.iii Diesel Oil</w:t>
            </w:r>
          </w:p>
        </w:tc>
        <w:tc>
          <w:tcPr>
            <w:tcW w:w="2410" w:type="dxa"/>
            <w:tcBorders>
              <w:top w:val="single" w:sz="4" w:space="0" w:color="1B556B"/>
              <w:bottom w:val="single" w:sz="4" w:space="0" w:color="1B556B"/>
            </w:tcBorders>
            <w:shd w:val="clear" w:color="auto" w:fill="FFFFFF"/>
            <w:vAlign w:val="center"/>
          </w:tcPr>
          <w:p w14:paraId="610A59D1" w14:textId="77777777" w:rsidR="00366397" w:rsidRPr="00E751E2" w:rsidRDefault="00366397" w:rsidP="004A0757">
            <w:pPr>
              <w:pStyle w:val="TableText"/>
              <w:jc w:val="right"/>
            </w:pPr>
            <w:r w:rsidRPr="00E751E2">
              <w:rPr>
                <w:rFonts w:eastAsia="Calibri"/>
              </w:rPr>
              <w:t>2,270.9</w:t>
            </w:r>
          </w:p>
        </w:tc>
        <w:tc>
          <w:tcPr>
            <w:tcW w:w="1989" w:type="dxa"/>
            <w:tcBorders>
              <w:top w:val="single" w:sz="4" w:space="0" w:color="1B556B"/>
              <w:bottom w:val="single" w:sz="4" w:space="0" w:color="1B556B"/>
              <w:right w:val="single" w:sz="4" w:space="0" w:color="FFFFFF"/>
            </w:tcBorders>
            <w:shd w:val="clear" w:color="auto" w:fill="FFFFFF"/>
            <w:vAlign w:val="center"/>
          </w:tcPr>
          <w:p w14:paraId="6524A22E" w14:textId="77777777" w:rsidR="00366397" w:rsidRPr="00E751E2" w:rsidRDefault="00366397" w:rsidP="004A0757">
            <w:pPr>
              <w:pStyle w:val="TableText"/>
              <w:jc w:val="right"/>
            </w:pPr>
            <w:r w:rsidRPr="00E751E2">
              <w:rPr>
                <w:rFonts w:eastAsia="Calibri"/>
              </w:rPr>
              <w:t>2018</w:t>
            </w:r>
          </w:p>
        </w:tc>
      </w:tr>
      <w:tr w:rsidR="00366397" w:rsidRPr="00E751E2" w14:paraId="38FDA046" w14:textId="77777777" w:rsidTr="00CE3FF1">
        <w:trPr>
          <w:cantSplit/>
        </w:trPr>
        <w:tc>
          <w:tcPr>
            <w:tcW w:w="0" w:type="auto"/>
            <w:tcBorders>
              <w:top w:val="single" w:sz="4" w:space="0" w:color="1B556B"/>
              <w:left w:val="single" w:sz="4" w:space="0" w:color="FFFFFF"/>
              <w:bottom w:val="single" w:sz="4" w:space="0" w:color="1B556B"/>
            </w:tcBorders>
            <w:shd w:val="clear" w:color="auto" w:fill="FFFFFF"/>
            <w:vAlign w:val="center"/>
          </w:tcPr>
          <w:p w14:paraId="3776D600" w14:textId="77777777" w:rsidR="00366397" w:rsidRPr="00E751E2" w:rsidRDefault="00366397" w:rsidP="004A0757">
            <w:pPr>
              <w:pStyle w:val="TableText"/>
            </w:pPr>
            <w:r w:rsidRPr="00E751E2">
              <w:rPr>
                <w:rFonts w:eastAsia="Calibri"/>
              </w:rPr>
              <w:t>IPPU</w:t>
            </w:r>
          </w:p>
        </w:tc>
        <w:tc>
          <w:tcPr>
            <w:tcW w:w="3168" w:type="dxa"/>
            <w:tcBorders>
              <w:top w:val="single" w:sz="4" w:space="0" w:color="1B556B"/>
              <w:bottom w:val="single" w:sz="4" w:space="0" w:color="1B556B"/>
            </w:tcBorders>
            <w:shd w:val="clear" w:color="auto" w:fill="FFFFFF"/>
            <w:vAlign w:val="center"/>
          </w:tcPr>
          <w:p w14:paraId="64FC99DC" w14:textId="77777777" w:rsidR="00366397" w:rsidRPr="00E751E2" w:rsidRDefault="00366397" w:rsidP="004A0757">
            <w:pPr>
              <w:pStyle w:val="TableText"/>
            </w:pPr>
            <w:r w:rsidRPr="00E751E2">
              <w:rPr>
                <w:rFonts w:eastAsia="Calibri"/>
              </w:rPr>
              <w:t>2.F.1.a HFC-143a</w:t>
            </w:r>
          </w:p>
        </w:tc>
        <w:tc>
          <w:tcPr>
            <w:tcW w:w="2410" w:type="dxa"/>
            <w:tcBorders>
              <w:top w:val="single" w:sz="4" w:space="0" w:color="1B556B"/>
              <w:bottom w:val="single" w:sz="4" w:space="0" w:color="1B556B"/>
            </w:tcBorders>
            <w:shd w:val="clear" w:color="auto" w:fill="FFFFFF"/>
            <w:vAlign w:val="center"/>
          </w:tcPr>
          <w:p w14:paraId="49A78149" w14:textId="77777777" w:rsidR="00366397" w:rsidRPr="00E751E2" w:rsidRDefault="00366397" w:rsidP="004A0757">
            <w:pPr>
              <w:pStyle w:val="TableText"/>
              <w:jc w:val="right"/>
            </w:pPr>
            <w:r w:rsidRPr="00E751E2">
              <w:rPr>
                <w:rFonts w:eastAsia="Calibri"/>
              </w:rPr>
              <w:t>62.2</w:t>
            </w:r>
          </w:p>
        </w:tc>
        <w:tc>
          <w:tcPr>
            <w:tcW w:w="1989" w:type="dxa"/>
            <w:tcBorders>
              <w:top w:val="single" w:sz="4" w:space="0" w:color="1B556B"/>
              <w:bottom w:val="single" w:sz="4" w:space="0" w:color="1B556B"/>
              <w:right w:val="single" w:sz="4" w:space="0" w:color="FFFFFF"/>
            </w:tcBorders>
            <w:shd w:val="clear" w:color="auto" w:fill="FFFFFF"/>
            <w:vAlign w:val="center"/>
          </w:tcPr>
          <w:p w14:paraId="3A17AABB" w14:textId="77777777" w:rsidR="00366397" w:rsidRPr="00E751E2" w:rsidRDefault="00366397" w:rsidP="004A0757">
            <w:pPr>
              <w:pStyle w:val="TableText"/>
              <w:jc w:val="right"/>
            </w:pPr>
            <w:r w:rsidRPr="00E751E2">
              <w:rPr>
                <w:rFonts w:eastAsia="Calibri"/>
              </w:rPr>
              <w:t>2009</w:t>
            </w:r>
          </w:p>
        </w:tc>
      </w:tr>
      <w:tr w:rsidR="00366397" w:rsidRPr="00E751E2" w14:paraId="63D55112" w14:textId="77777777" w:rsidTr="00CE3FF1">
        <w:trPr>
          <w:cantSplit/>
        </w:trPr>
        <w:tc>
          <w:tcPr>
            <w:tcW w:w="0" w:type="auto"/>
            <w:tcBorders>
              <w:top w:val="single" w:sz="4" w:space="0" w:color="1B556B"/>
              <w:left w:val="single" w:sz="4" w:space="0" w:color="FFFFFF"/>
              <w:bottom w:val="single" w:sz="4" w:space="0" w:color="1B556B"/>
            </w:tcBorders>
            <w:shd w:val="clear" w:color="auto" w:fill="FFFFFF"/>
            <w:vAlign w:val="center"/>
          </w:tcPr>
          <w:p w14:paraId="74FA7D2F" w14:textId="77777777" w:rsidR="00366397" w:rsidRPr="00E751E2" w:rsidRDefault="00366397" w:rsidP="004A0757">
            <w:pPr>
              <w:pStyle w:val="TableText"/>
            </w:pPr>
            <w:r w:rsidRPr="00E751E2">
              <w:rPr>
                <w:rFonts w:eastAsia="Calibri"/>
              </w:rPr>
              <w:t>Agriculture</w:t>
            </w:r>
          </w:p>
        </w:tc>
        <w:tc>
          <w:tcPr>
            <w:tcW w:w="3168" w:type="dxa"/>
            <w:tcBorders>
              <w:top w:val="single" w:sz="4" w:space="0" w:color="1B556B"/>
              <w:bottom w:val="single" w:sz="4" w:space="0" w:color="1B556B"/>
            </w:tcBorders>
            <w:shd w:val="clear" w:color="auto" w:fill="FFFFFF"/>
            <w:vAlign w:val="center"/>
          </w:tcPr>
          <w:p w14:paraId="48A17985" w14:textId="77777777" w:rsidR="00366397" w:rsidRPr="00E751E2" w:rsidRDefault="00366397" w:rsidP="004A0757">
            <w:pPr>
              <w:pStyle w:val="TableText"/>
            </w:pPr>
            <w:r w:rsidRPr="00E751E2">
              <w:rPr>
                <w:rFonts w:eastAsia="Calibri"/>
              </w:rPr>
              <w:t>3.A.2 Sheep</w:t>
            </w:r>
          </w:p>
        </w:tc>
        <w:tc>
          <w:tcPr>
            <w:tcW w:w="2410" w:type="dxa"/>
            <w:tcBorders>
              <w:top w:val="single" w:sz="4" w:space="0" w:color="1B556B"/>
              <w:bottom w:val="single" w:sz="4" w:space="0" w:color="1B556B"/>
            </w:tcBorders>
            <w:shd w:val="clear" w:color="auto" w:fill="FFFFFF"/>
            <w:vAlign w:val="center"/>
          </w:tcPr>
          <w:p w14:paraId="75BFD07C" w14:textId="77777777" w:rsidR="00366397" w:rsidRPr="00E751E2" w:rsidRDefault="00366397" w:rsidP="004A0757">
            <w:pPr>
              <w:pStyle w:val="TableText"/>
              <w:jc w:val="right"/>
            </w:pPr>
            <w:r w:rsidRPr="00E751E2">
              <w:rPr>
                <w:rFonts w:eastAsia="Calibri"/>
              </w:rPr>
              <w:t>34.8</w:t>
            </w:r>
          </w:p>
        </w:tc>
        <w:tc>
          <w:tcPr>
            <w:tcW w:w="1989" w:type="dxa"/>
            <w:tcBorders>
              <w:top w:val="single" w:sz="4" w:space="0" w:color="1B556B"/>
              <w:bottom w:val="single" w:sz="4" w:space="0" w:color="1B556B"/>
              <w:right w:val="single" w:sz="4" w:space="0" w:color="FFFFFF"/>
            </w:tcBorders>
            <w:shd w:val="clear" w:color="auto" w:fill="FFFFFF"/>
            <w:vAlign w:val="center"/>
          </w:tcPr>
          <w:p w14:paraId="5AAE17D6" w14:textId="77777777" w:rsidR="00366397" w:rsidRPr="00E751E2" w:rsidRDefault="00366397" w:rsidP="004A0757">
            <w:pPr>
              <w:pStyle w:val="TableText"/>
              <w:jc w:val="right"/>
            </w:pPr>
            <w:r w:rsidRPr="00E751E2">
              <w:rPr>
                <w:rFonts w:eastAsia="Calibri"/>
              </w:rPr>
              <w:t>2017</w:t>
            </w:r>
          </w:p>
        </w:tc>
      </w:tr>
      <w:tr w:rsidR="00366397" w:rsidRPr="00E751E2" w14:paraId="4FD64FD9" w14:textId="77777777" w:rsidTr="00CE3FF1">
        <w:trPr>
          <w:cantSplit/>
        </w:trPr>
        <w:tc>
          <w:tcPr>
            <w:tcW w:w="0" w:type="auto"/>
            <w:tcBorders>
              <w:top w:val="single" w:sz="4" w:space="0" w:color="1B556B"/>
              <w:left w:val="single" w:sz="4" w:space="0" w:color="FFFFFF"/>
              <w:bottom w:val="single" w:sz="4" w:space="0" w:color="1B556B"/>
            </w:tcBorders>
            <w:shd w:val="clear" w:color="auto" w:fill="FFFFFF"/>
          </w:tcPr>
          <w:p w14:paraId="099401B3" w14:textId="77777777" w:rsidR="00366397" w:rsidRPr="00E751E2" w:rsidRDefault="00366397" w:rsidP="004A0757">
            <w:pPr>
              <w:pStyle w:val="TableText"/>
            </w:pPr>
            <w:r w:rsidRPr="00E751E2">
              <w:rPr>
                <w:rFonts w:eastAsia="Calibri"/>
              </w:rPr>
              <w:t>LULUCF</w:t>
            </w:r>
          </w:p>
        </w:tc>
        <w:tc>
          <w:tcPr>
            <w:tcW w:w="3168" w:type="dxa"/>
            <w:tcBorders>
              <w:top w:val="single" w:sz="4" w:space="0" w:color="1B556B"/>
              <w:bottom w:val="single" w:sz="4" w:space="0" w:color="1B556B"/>
            </w:tcBorders>
            <w:shd w:val="clear" w:color="auto" w:fill="FFFFFF"/>
          </w:tcPr>
          <w:p w14:paraId="0E11E18F" w14:textId="77777777" w:rsidR="00366397" w:rsidRPr="00E751E2" w:rsidRDefault="00366397" w:rsidP="004A0757">
            <w:pPr>
              <w:pStyle w:val="TableText"/>
            </w:pPr>
            <w:r w:rsidRPr="00E751E2">
              <w:rPr>
                <w:rFonts w:eastAsia="Calibri"/>
              </w:rPr>
              <w:t>4.A.1.i Pre-1990 planted forest remaining pre-1990 planted forest</w:t>
            </w:r>
          </w:p>
        </w:tc>
        <w:tc>
          <w:tcPr>
            <w:tcW w:w="2410" w:type="dxa"/>
            <w:tcBorders>
              <w:top w:val="single" w:sz="4" w:space="0" w:color="1B556B"/>
              <w:bottom w:val="single" w:sz="4" w:space="0" w:color="1B556B"/>
            </w:tcBorders>
            <w:shd w:val="clear" w:color="auto" w:fill="FFFFFF"/>
          </w:tcPr>
          <w:p w14:paraId="5F06E0E5" w14:textId="77777777" w:rsidR="00366397" w:rsidRPr="00E751E2" w:rsidRDefault="00366397" w:rsidP="004A0757">
            <w:pPr>
              <w:pStyle w:val="TableText"/>
              <w:jc w:val="right"/>
            </w:pPr>
            <w:r w:rsidRPr="00E751E2">
              <w:rPr>
                <w:rFonts w:eastAsia="Calibri"/>
              </w:rPr>
              <w:t>4,731.7</w:t>
            </w:r>
          </w:p>
        </w:tc>
        <w:tc>
          <w:tcPr>
            <w:tcW w:w="1989" w:type="dxa"/>
            <w:tcBorders>
              <w:top w:val="single" w:sz="4" w:space="0" w:color="1B556B"/>
              <w:bottom w:val="single" w:sz="4" w:space="0" w:color="1B556B"/>
              <w:right w:val="single" w:sz="4" w:space="0" w:color="FFFFFF"/>
            </w:tcBorders>
            <w:shd w:val="clear" w:color="auto" w:fill="FFFFFF"/>
          </w:tcPr>
          <w:p w14:paraId="25EEA901" w14:textId="77777777" w:rsidR="00366397" w:rsidRPr="00E751E2" w:rsidRDefault="00366397" w:rsidP="004A0757">
            <w:pPr>
              <w:pStyle w:val="TableText"/>
              <w:jc w:val="right"/>
            </w:pPr>
            <w:r w:rsidRPr="00E751E2">
              <w:rPr>
                <w:rFonts w:eastAsia="Calibri"/>
              </w:rPr>
              <w:t>2019</w:t>
            </w:r>
          </w:p>
        </w:tc>
      </w:tr>
      <w:tr w:rsidR="00366397" w:rsidRPr="00E751E2" w14:paraId="1CA959D0" w14:textId="77777777" w:rsidTr="00CE3FF1">
        <w:trPr>
          <w:cantSplit/>
        </w:trPr>
        <w:tc>
          <w:tcPr>
            <w:tcW w:w="0" w:type="auto"/>
            <w:tcBorders>
              <w:top w:val="single" w:sz="4" w:space="0" w:color="1B556B"/>
              <w:left w:val="single" w:sz="4" w:space="0" w:color="FFFFFF"/>
              <w:bottom w:val="single" w:sz="4" w:space="0" w:color="1B556B"/>
            </w:tcBorders>
            <w:shd w:val="clear" w:color="auto" w:fill="FFFFFF"/>
            <w:vAlign w:val="center"/>
          </w:tcPr>
          <w:p w14:paraId="6BC2126B" w14:textId="77777777" w:rsidR="00366397" w:rsidRPr="00E751E2" w:rsidRDefault="00366397" w:rsidP="004A0757">
            <w:pPr>
              <w:pStyle w:val="TableText"/>
            </w:pPr>
            <w:r w:rsidRPr="00E751E2">
              <w:rPr>
                <w:rFonts w:eastAsia="Calibri"/>
              </w:rPr>
              <w:t>Waste</w:t>
            </w:r>
          </w:p>
        </w:tc>
        <w:tc>
          <w:tcPr>
            <w:tcW w:w="3168" w:type="dxa"/>
            <w:tcBorders>
              <w:top w:val="single" w:sz="4" w:space="0" w:color="1B556B"/>
              <w:bottom w:val="single" w:sz="4" w:space="0" w:color="1B556B"/>
            </w:tcBorders>
            <w:shd w:val="clear" w:color="auto" w:fill="FFFFFF"/>
            <w:vAlign w:val="center"/>
          </w:tcPr>
          <w:p w14:paraId="0F4983DE" w14:textId="77777777" w:rsidR="00366397" w:rsidRPr="00E751E2" w:rsidRDefault="00366397" w:rsidP="004A0757">
            <w:pPr>
              <w:pStyle w:val="TableText"/>
            </w:pPr>
            <w:r w:rsidRPr="00E751E2">
              <w:rPr>
                <w:rFonts w:eastAsia="Calibri"/>
              </w:rPr>
              <w:t>5.A.1.a Anaerobic</w:t>
            </w:r>
          </w:p>
        </w:tc>
        <w:tc>
          <w:tcPr>
            <w:tcW w:w="2410" w:type="dxa"/>
            <w:tcBorders>
              <w:top w:val="single" w:sz="4" w:space="0" w:color="1B556B"/>
              <w:bottom w:val="single" w:sz="4" w:space="0" w:color="1B556B"/>
            </w:tcBorders>
            <w:shd w:val="clear" w:color="auto" w:fill="FFFFFF"/>
            <w:vAlign w:val="center"/>
          </w:tcPr>
          <w:p w14:paraId="12548BD5" w14:textId="77777777" w:rsidR="00366397" w:rsidRPr="00E751E2" w:rsidRDefault="00366397" w:rsidP="004A0757">
            <w:pPr>
              <w:pStyle w:val="TableText"/>
              <w:jc w:val="right"/>
            </w:pPr>
            <w:r w:rsidRPr="00E751E2">
              <w:rPr>
                <w:rFonts w:eastAsia="Calibri"/>
              </w:rPr>
              <w:t>2.8</w:t>
            </w:r>
          </w:p>
        </w:tc>
        <w:tc>
          <w:tcPr>
            <w:tcW w:w="1989" w:type="dxa"/>
            <w:tcBorders>
              <w:top w:val="single" w:sz="4" w:space="0" w:color="1B556B"/>
              <w:bottom w:val="single" w:sz="4" w:space="0" w:color="1B556B"/>
              <w:right w:val="single" w:sz="4" w:space="0" w:color="FFFFFF"/>
            </w:tcBorders>
            <w:shd w:val="clear" w:color="auto" w:fill="FFFFFF"/>
            <w:vAlign w:val="center"/>
          </w:tcPr>
          <w:p w14:paraId="508515FD" w14:textId="77777777" w:rsidR="00366397" w:rsidRPr="00E751E2" w:rsidRDefault="00366397" w:rsidP="004A0757">
            <w:pPr>
              <w:pStyle w:val="TableText"/>
              <w:jc w:val="right"/>
            </w:pPr>
            <w:r w:rsidRPr="00E751E2">
              <w:rPr>
                <w:rFonts w:eastAsia="Calibri"/>
              </w:rPr>
              <w:t>2018</w:t>
            </w:r>
          </w:p>
        </w:tc>
      </w:tr>
      <w:tr w:rsidR="00366397" w:rsidRPr="00E751E2" w14:paraId="3C5ED228" w14:textId="77777777" w:rsidTr="00CE3FF1">
        <w:trPr>
          <w:cantSplit/>
        </w:trPr>
        <w:tc>
          <w:tcPr>
            <w:tcW w:w="0" w:type="auto"/>
            <w:tcBorders>
              <w:top w:val="single" w:sz="4" w:space="0" w:color="1B556B"/>
              <w:left w:val="single" w:sz="4" w:space="0" w:color="FFFFFF"/>
              <w:bottom w:val="single" w:sz="4" w:space="0" w:color="1B556B"/>
            </w:tcBorders>
            <w:shd w:val="clear" w:color="auto" w:fill="FFFFFF"/>
            <w:vAlign w:val="center"/>
          </w:tcPr>
          <w:p w14:paraId="27E73E4E" w14:textId="77777777" w:rsidR="00366397" w:rsidRPr="00E751E2" w:rsidRDefault="00366397" w:rsidP="004A0757">
            <w:pPr>
              <w:pStyle w:val="TableText"/>
            </w:pPr>
            <w:r w:rsidRPr="00E751E2">
              <w:rPr>
                <w:rFonts w:eastAsia="Calibri"/>
              </w:rPr>
              <w:t>Tokelau</w:t>
            </w:r>
          </w:p>
        </w:tc>
        <w:tc>
          <w:tcPr>
            <w:tcW w:w="3168" w:type="dxa"/>
            <w:tcBorders>
              <w:top w:val="single" w:sz="4" w:space="0" w:color="1B556B"/>
              <w:bottom w:val="single" w:sz="4" w:space="0" w:color="1B556B"/>
            </w:tcBorders>
            <w:shd w:val="clear" w:color="auto" w:fill="FFFFFF"/>
            <w:vAlign w:val="center"/>
          </w:tcPr>
          <w:p w14:paraId="6D4E0396" w14:textId="77777777" w:rsidR="00366397" w:rsidRPr="00E751E2" w:rsidRDefault="00366397" w:rsidP="004A0757">
            <w:pPr>
              <w:pStyle w:val="TableText"/>
            </w:pPr>
            <w:r w:rsidRPr="00E751E2">
              <w:rPr>
                <w:rFonts w:eastAsia="Calibri"/>
              </w:rPr>
              <w:t>6. Tokelau_5. Waste</w:t>
            </w:r>
          </w:p>
        </w:tc>
        <w:tc>
          <w:tcPr>
            <w:tcW w:w="2410" w:type="dxa"/>
            <w:tcBorders>
              <w:top w:val="single" w:sz="4" w:space="0" w:color="1B556B"/>
              <w:bottom w:val="single" w:sz="4" w:space="0" w:color="1B556B"/>
            </w:tcBorders>
            <w:shd w:val="clear" w:color="auto" w:fill="FFFFFF"/>
            <w:vAlign w:val="center"/>
          </w:tcPr>
          <w:p w14:paraId="64EC75BF" w14:textId="77777777" w:rsidR="00366397" w:rsidRPr="00E751E2" w:rsidRDefault="00366397" w:rsidP="004A0757">
            <w:pPr>
              <w:pStyle w:val="TableText"/>
              <w:jc w:val="right"/>
            </w:pPr>
            <w:r w:rsidRPr="00E751E2">
              <w:rPr>
                <w:rFonts w:eastAsia="Calibri"/>
              </w:rPr>
              <w:t>0.003</w:t>
            </w:r>
          </w:p>
        </w:tc>
        <w:tc>
          <w:tcPr>
            <w:tcW w:w="1989" w:type="dxa"/>
            <w:tcBorders>
              <w:top w:val="single" w:sz="4" w:space="0" w:color="1B556B"/>
              <w:bottom w:val="single" w:sz="4" w:space="0" w:color="1B556B"/>
              <w:right w:val="single" w:sz="4" w:space="0" w:color="FFFFFF"/>
            </w:tcBorders>
            <w:shd w:val="clear" w:color="auto" w:fill="FFFFFF"/>
            <w:vAlign w:val="center"/>
          </w:tcPr>
          <w:p w14:paraId="5E6DFBB9" w14:textId="77777777" w:rsidR="00366397" w:rsidRPr="00E751E2" w:rsidRDefault="00366397" w:rsidP="004A0757">
            <w:pPr>
              <w:pStyle w:val="TableText"/>
              <w:jc w:val="right"/>
            </w:pPr>
            <w:r w:rsidRPr="00E751E2">
              <w:rPr>
                <w:rFonts w:eastAsia="Calibri"/>
              </w:rPr>
              <w:t>2019</w:t>
            </w:r>
          </w:p>
        </w:tc>
      </w:tr>
    </w:tbl>
    <w:p w14:paraId="1CB11C3B" w14:textId="77777777" w:rsidR="00366397" w:rsidRPr="008A2236" w:rsidRDefault="00366397" w:rsidP="005B37B2">
      <w:pPr>
        <w:pStyle w:val="BodyText"/>
        <w:spacing w:before="240"/>
      </w:pPr>
      <w:r w:rsidRPr="008A2236">
        <w:lastRenderedPageBreak/>
        <w:t>Table 10.1.2 shows the recalculations that reduced emissions estimates the most for each sector.</w:t>
      </w:r>
    </w:p>
    <w:p w14:paraId="5194B2CA" w14:textId="77777777" w:rsidR="00366397" w:rsidRPr="008A2236" w:rsidRDefault="00366397" w:rsidP="00366397">
      <w:pPr>
        <w:pStyle w:val="Table"/>
      </w:pPr>
      <w:bookmarkStart w:id="2632" w:name="_Toc99659372"/>
      <w:r w:rsidRPr="008A2236">
        <w:t>Table 10.1.2</w:t>
      </w:r>
      <w:r w:rsidRPr="008A2236">
        <w:tab/>
      </w:r>
      <w:r w:rsidRPr="00236F93">
        <w:t>Recalculations that led to the greatest decrease in emissions estimates in each sector</w:t>
      </w:r>
      <w:bookmarkEnd w:id="2632"/>
    </w:p>
    <w:tbl>
      <w:tblPr>
        <w:tblW w:w="8505" w:type="dxa"/>
        <w:tblInd w:w="113"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938"/>
        <w:gridCol w:w="3150"/>
        <w:gridCol w:w="2364"/>
        <w:gridCol w:w="2053"/>
      </w:tblGrid>
      <w:tr w:rsidR="00366397" w:rsidRPr="00E751E2" w14:paraId="07C21DDD" w14:textId="77777777" w:rsidTr="001959CB">
        <w:trPr>
          <w:cantSplit/>
          <w:tblHeader/>
        </w:trPr>
        <w:tc>
          <w:tcPr>
            <w:tcW w:w="0" w:type="auto"/>
            <w:shd w:val="clear" w:color="auto" w:fill="1B556B"/>
            <w:vAlign w:val="bottom"/>
          </w:tcPr>
          <w:p w14:paraId="509BC16E" w14:textId="77777777" w:rsidR="00366397" w:rsidRPr="00366397" w:rsidRDefault="00366397" w:rsidP="0030211F">
            <w:pPr>
              <w:pStyle w:val="TableTextBold"/>
              <w:rPr>
                <w:color w:val="FFFFFF"/>
              </w:rPr>
            </w:pPr>
            <w:r w:rsidRPr="00366397">
              <w:rPr>
                <w:rFonts w:eastAsia="Calibri"/>
                <w:color w:val="FFFFFF"/>
              </w:rPr>
              <w:t>Sector</w:t>
            </w:r>
          </w:p>
        </w:tc>
        <w:tc>
          <w:tcPr>
            <w:tcW w:w="0" w:type="auto"/>
            <w:shd w:val="clear" w:color="auto" w:fill="1B556B"/>
            <w:vAlign w:val="bottom"/>
          </w:tcPr>
          <w:p w14:paraId="02586ED5" w14:textId="346CCC40" w:rsidR="00366397" w:rsidRPr="00366397" w:rsidRDefault="00366397" w:rsidP="0030211F">
            <w:pPr>
              <w:pStyle w:val="TableTextBold"/>
              <w:rPr>
                <w:color w:val="FFFFFF"/>
              </w:rPr>
            </w:pPr>
            <w:r w:rsidRPr="00366397">
              <w:rPr>
                <w:rFonts w:eastAsia="Calibri"/>
                <w:color w:val="FFFFFF"/>
              </w:rPr>
              <w:t>Category with the largest reduction in estimated emissions across the entire time</w:t>
            </w:r>
            <w:r w:rsidR="005B37B2">
              <w:rPr>
                <w:rFonts w:eastAsia="Calibri"/>
                <w:color w:val="FFFFFF"/>
              </w:rPr>
              <w:t> </w:t>
            </w:r>
            <w:r w:rsidRPr="00366397">
              <w:rPr>
                <w:rFonts w:eastAsia="Calibri"/>
                <w:color w:val="FFFFFF"/>
              </w:rPr>
              <w:t>series</w:t>
            </w:r>
          </w:p>
        </w:tc>
        <w:tc>
          <w:tcPr>
            <w:tcW w:w="0" w:type="auto"/>
            <w:shd w:val="clear" w:color="auto" w:fill="1B556B"/>
            <w:vAlign w:val="bottom"/>
          </w:tcPr>
          <w:p w14:paraId="15A09B00" w14:textId="77777777" w:rsidR="00366397" w:rsidRPr="00366397" w:rsidRDefault="00366397" w:rsidP="0030211F">
            <w:pPr>
              <w:pStyle w:val="TableTextBold"/>
              <w:jc w:val="right"/>
              <w:rPr>
                <w:color w:val="FFFFFF"/>
              </w:rPr>
            </w:pPr>
            <w:r w:rsidRPr="00366397">
              <w:rPr>
                <w:rFonts w:eastAsia="Calibri"/>
                <w:color w:val="FFFFFF"/>
              </w:rPr>
              <w:t>Largest single decrease in emissions for the category (kt CO</w:t>
            </w:r>
            <w:r w:rsidRPr="00366397">
              <w:rPr>
                <w:rFonts w:eastAsia="Calibri"/>
                <w:color w:val="FFFFFF"/>
                <w:vertAlign w:val="subscript"/>
              </w:rPr>
              <w:t>2</w:t>
            </w:r>
            <w:r w:rsidRPr="00366397">
              <w:rPr>
                <w:rFonts w:eastAsia="Calibri"/>
                <w:color w:val="FFFFFF"/>
              </w:rPr>
              <w:t>-e)</w:t>
            </w:r>
          </w:p>
        </w:tc>
        <w:tc>
          <w:tcPr>
            <w:tcW w:w="0" w:type="auto"/>
            <w:shd w:val="clear" w:color="auto" w:fill="1B556B"/>
            <w:vAlign w:val="bottom"/>
          </w:tcPr>
          <w:p w14:paraId="4D671CA1" w14:textId="77777777" w:rsidR="00366397" w:rsidRPr="00366397" w:rsidRDefault="00366397" w:rsidP="0030211F">
            <w:pPr>
              <w:pStyle w:val="TableTextBold"/>
              <w:jc w:val="right"/>
              <w:rPr>
                <w:color w:val="FFFFFF"/>
              </w:rPr>
            </w:pPr>
            <w:r w:rsidRPr="00366397">
              <w:rPr>
                <w:rFonts w:eastAsia="Calibri"/>
                <w:color w:val="FFFFFF"/>
              </w:rPr>
              <w:t>Year of the largest decrease in estimated emissions</w:t>
            </w:r>
          </w:p>
        </w:tc>
      </w:tr>
      <w:tr w:rsidR="00366397" w:rsidRPr="008A2236" w14:paraId="0C339859" w14:textId="77777777" w:rsidTr="001959CB">
        <w:trPr>
          <w:cantSplit/>
          <w:trHeight w:val="283"/>
        </w:trPr>
        <w:tc>
          <w:tcPr>
            <w:tcW w:w="0" w:type="auto"/>
            <w:shd w:val="clear" w:color="auto" w:fill="FFFFFF"/>
            <w:vAlign w:val="center"/>
          </w:tcPr>
          <w:p w14:paraId="3D0064CD" w14:textId="77777777" w:rsidR="00366397" w:rsidRPr="008A2236" w:rsidRDefault="00366397" w:rsidP="0030211F">
            <w:pPr>
              <w:pStyle w:val="TableText"/>
            </w:pPr>
            <w:r w:rsidRPr="008A2236">
              <w:rPr>
                <w:rFonts w:eastAsia="Calibri"/>
              </w:rPr>
              <w:t>Energy</w:t>
            </w:r>
          </w:p>
        </w:tc>
        <w:tc>
          <w:tcPr>
            <w:tcW w:w="0" w:type="auto"/>
            <w:shd w:val="clear" w:color="auto" w:fill="FFFFFF"/>
            <w:vAlign w:val="center"/>
          </w:tcPr>
          <w:p w14:paraId="5327EB2E" w14:textId="77777777" w:rsidR="00366397" w:rsidRPr="008A2236" w:rsidRDefault="00366397" w:rsidP="0030211F">
            <w:pPr>
              <w:pStyle w:val="TableText"/>
            </w:pPr>
            <w:r w:rsidRPr="008A2236">
              <w:rPr>
                <w:rFonts w:eastAsia="Calibri"/>
              </w:rPr>
              <w:t xml:space="preserve">1.A.3.b.ii Diesel </w:t>
            </w:r>
            <w:r>
              <w:rPr>
                <w:rFonts w:eastAsia="Calibri"/>
              </w:rPr>
              <w:t>o</w:t>
            </w:r>
            <w:r w:rsidRPr="008A2236">
              <w:rPr>
                <w:rFonts w:eastAsia="Calibri"/>
              </w:rPr>
              <w:t>il</w:t>
            </w:r>
          </w:p>
        </w:tc>
        <w:tc>
          <w:tcPr>
            <w:tcW w:w="0" w:type="auto"/>
            <w:shd w:val="clear" w:color="auto" w:fill="FFFFFF"/>
            <w:vAlign w:val="center"/>
          </w:tcPr>
          <w:p w14:paraId="3D763454" w14:textId="77777777" w:rsidR="00366397" w:rsidRPr="008A2236" w:rsidRDefault="00366397" w:rsidP="0030211F">
            <w:pPr>
              <w:pStyle w:val="TableText"/>
              <w:jc w:val="right"/>
            </w:pPr>
            <w:r>
              <w:rPr>
                <w:rFonts w:eastAsia="Calibri"/>
              </w:rPr>
              <w:t>–</w:t>
            </w:r>
            <w:r w:rsidRPr="008A2236">
              <w:rPr>
                <w:rFonts w:eastAsia="Calibri"/>
              </w:rPr>
              <w:t>1,483.2</w:t>
            </w:r>
          </w:p>
        </w:tc>
        <w:tc>
          <w:tcPr>
            <w:tcW w:w="0" w:type="auto"/>
            <w:shd w:val="clear" w:color="auto" w:fill="FFFFFF"/>
            <w:vAlign w:val="center"/>
          </w:tcPr>
          <w:p w14:paraId="7AC25493" w14:textId="77777777" w:rsidR="00366397" w:rsidRPr="008A2236" w:rsidRDefault="00366397" w:rsidP="0030211F">
            <w:pPr>
              <w:pStyle w:val="TableText"/>
              <w:jc w:val="right"/>
            </w:pPr>
            <w:r w:rsidRPr="008A2236">
              <w:rPr>
                <w:rFonts w:eastAsia="Calibri"/>
              </w:rPr>
              <w:t>2019</w:t>
            </w:r>
          </w:p>
        </w:tc>
      </w:tr>
      <w:tr w:rsidR="00366397" w:rsidRPr="008A2236" w14:paraId="5C7D4CF7" w14:textId="77777777" w:rsidTr="001959CB">
        <w:trPr>
          <w:cantSplit/>
          <w:trHeight w:val="283"/>
        </w:trPr>
        <w:tc>
          <w:tcPr>
            <w:tcW w:w="0" w:type="auto"/>
            <w:shd w:val="clear" w:color="auto" w:fill="FFFFFF"/>
            <w:vAlign w:val="center"/>
          </w:tcPr>
          <w:p w14:paraId="32683512" w14:textId="77777777" w:rsidR="00366397" w:rsidRPr="008A2236" w:rsidRDefault="00366397" w:rsidP="0030211F">
            <w:pPr>
              <w:pStyle w:val="TableText"/>
            </w:pPr>
            <w:r w:rsidRPr="008A2236">
              <w:rPr>
                <w:rFonts w:eastAsia="Calibri"/>
              </w:rPr>
              <w:t>IPPU</w:t>
            </w:r>
          </w:p>
        </w:tc>
        <w:tc>
          <w:tcPr>
            <w:tcW w:w="0" w:type="auto"/>
            <w:shd w:val="clear" w:color="auto" w:fill="FFFFFF"/>
            <w:vAlign w:val="center"/>
          </w:tcPr>
          <w:p w14:paraId="62C8C9DB" w14:textId="77777777" w:rsidR="00366397" w:rsidRPr="008A2236" w:rsidRDefault="00366397" w:rsidP="0030211F">
            <w:pPr>
              <w:pStyle w:val="TableText"/>
            </w:pPr>
            <w:r w:rsidRPr="008A2236">
              <w:rPr>
                <w:rFonts w:eastAsia="Calibri"/>
              </w:rPr>
              <w:t>2.F.1.f HFC-125</w:t>
            </w:r>
          </w:p>
        </w:tc>
        <w:tc>
          <w:tcPr>
            <w:tcW w:w="0" w:type="auto"/>
            <w:shd w:val="clear" w:color="auto" w:fill="FFFFFF"/>
            <w:vAlign w:val="center"/>
          </w:tcPr>
          <w:p w14:paraId="4BF4B9FD" w14:textId="77777777" w:rsidR="00366397" w:rsidRPr="008A2236" w:rsidRDefault="00366397" w:rsidP="0030211F">
            <w:pPr>
              <w:pStyle w:val="TableText"/>
              <w:jc w:val="right"/>
            </w:pPr>
            <w:r>
              <w:rPr>
                <w:rFonts w:eastAsia="Calibri"/>
              </w:rPr>
              <w:t>–</w:t>
            </w:r>
            <w:r w:rsidRPr="008A2236">
              <w:rPr>
                <w:rFonts w:eastAsia="Calibri"/>
              </w:rPr>
              <w:t>162.3</w:t>
            </w:r>
          </w:p>
        </w:tc>
        <w:tc>
          <w:tcPr>
            <w:tcW w:w="0" w:type="auto"/>
            <w:shd w:val="clear" w:color="auto" w:fill="FFFFFF"/>
            <w:vAlign w:val="center"/>
          </w:tcPr>
          <w:p w14:paraId="068FFA2D" w14:textId="77777777" w:rsidR="00366397" w:rsidRPr="008A2236" w:rsidRDefault="00366397" w:rsidP="0030211F">
            <w:pPr>
              <w:pStyle w:val="TableText"/>
              <w:jc w:val="right"/>
            </w:pPr>
            <w:r w:rsidRPr="008A2236">
              <w:rPr>
                <w:rFonts w:eastAsia="Calibri"/>
              </w:rPr>
              <w:t>2018</w:t>
            </w:r>
          </w:p>
        </w:tc>
      </w:tr>
      <w:tr w:rsidR="00366397" w:rsidRPr="008A2236" w14:paraId="284895EF" w14:textId="77777777" w:rsidTr="001959CB">
        <w:trPr>
          <w:cantSplit/>
          <w:trHeight w:val="283"/>
        </w:trPr>
        <w:tc>
          <w:tcPr>
            <w:tcW w:w="0" w:type="auto"/>
            <w:shd w:val="clear" w:color="auto" w:fill="FFFFFF"/>
            <w:vAlign w:val="center"/>
          </w:tcPr>
          <w:p w14:paraId="4DFE778C" w14:textId="77777777" w:rsidR="00366397" w:rsidRPr="008A2236" w:rsidRDefault="00366397" w:rsidP="0030211F">
            <w:pPr>
              <w:pStyle w:val="TableText"/>
            </w:pPr>
            <w:r w:rsidRPr="008A2236">
              <w:rPr>
                <w:rFonts w:eastAsia="Calibri"/>
              </w:rPr>
              <w:t>Agriculture</w:t>
            </w:r>
          </w:p>
        </w:tc>
        <w:tc>
          <w:tcPr>
            <w:tcW w:w="0" w:type="auto"/>
            <w:shd w:val="clear" w:color="auto" w:fill="FFFFFF"/>
            <w:vAlign w:val="center"/>
          </w:tcPr>
          <w:p w14:paraId="363D0B34" w14:textId="77777777" w:rsidR="00366397" w:rsidRPr="008A2236" w:rsidRDefault="00366397" w:rsidP="0030211F">
            <w:pPr>
              <w:pStyle w:val="TableText"/>
            </w:pPr>
            <w:r w:rsidRPr="008A2236">
              <w:rPr>
                <w:rFonts w:eastAsia="Calibri"/>
              </w:rPr>
              <w:t>3.G.1 Limestone CaCO</w:t>
            </w:r>
            <w:r w:rsidRPr="00236F93">
              <w:rPr>
                <w:rFonts w:eastAsia="Calibri"/>
                <w:vertAlign w:val="subscript"/>
              </w:rPr>
              <w:t>3</w:t>
            </w:r>
          </w:p>
        </w:tc>
        <w:tc>
          <w:tcPr>
            <w:tcW w:w="0" w:type="auto"/>
            <w:shd w:val="clear" w:color="auto" w:fill="FFFFFF"/>
            <w:vAlign w:val="center"/>
          </w:tcPr>
          <w:p w14:paraId="5EE39F75" w14:textId="77777777" w:rsidR="00366397" w:rsidRPr="008A2236" w:rsidRDefault="00366397" w:rsidP="0030211F">
            <w:pPr>
              <w:pStyle w:val="TableText"/>
              <w:jc w:val="right"/>
            </w:pPr>
            <w:r>
              <w:rPr>
                <w:rFonts w:eastAsia="Calibri"/>
              </w:rPr>
              <w:t>–</w:t>
            </w:r>
            <w:r w:rsidRPr="008A2236">
              <w:rPr>
                <w:rFonts w:eastAsia="Calibri"/>
              </w:rPr>
              <w:t>138.0</w:t>
            </w:r>
          </w:p>
        </w:tc>
        <w:tc>
          <w:tcPr>
            <w:tcW w:w="0" w:type="auto"/>
            <w:shd w:val="clear" w:color="auto" w:fill="FFFFFF"/>
            <w:vAlign w:val="center"/>
          </w:tcPr>
          <w:p w14:paraId="5D6935FA" w14:textId="77777777" w:rsidR="00366397" w:rsidRPr="008A2236" w:rsidRDefault="00366397" w:rsidP="0030211F">
            <w:pPr>
              <w:pStyle w:val="TableText"/>
              <w:jc w:val="right"/>
            </w:pPr>
            <w:r w:rsidRPr="008A2236">
              <w:rPr>
                <w:rFonts w:eastAsia="Calibri"/>
              </w:rPr>
              <w:t>2002</w:t>
            </w:r>
          </w:p>
        </w:tc>
      </w:tr>
      <w:tr w:rsidR="00366397" w:rsidRPr="008A2236" w14:paraId="7C25D020" w14:textId="77777777" w:rsidTr="001959CB">
        <w:trPr>
          <w:cantSplit/>
          <w:trHeight w:val="283"/>
        </w:trPr>
        <w:tc>
          <w:tcPr>
            <w:tcW w:w="0" w:type="auto"/>
            <w:shd w:val="clear" w:color="auto" w:fill="FFFFFF"/>
          </w:tcPr>
          <w:p w14:paraId="03ACAAB3" w14:textId="77777777" w:rsidR="00366397" w:rsidRPr="008A2236" w:rsidRDefault="00366397" w:rsidP="0030211F">
            <w:pPr>
              <w:pStyle w:val="TableText"/>
            </w:pPr>
            <w:r w:rsidRPr="008A2236">
              <w:rPr>
                <w:rFonts w:eastAsia="Calibri"/>
              </w:rPr>
              <w:t>LULUCF</w:t>
            </w:r>
          </w:p>
        </w:tc>
        <w:tc>
          <w:tcPr>
            <w:tcW w:w="0" w:type="auto"/>
            <w:shd w:val="clear" w:color="auto" w:fill="FFFFFF"/>
          </w:tcPr>
          <w:p w14:paraId="121D4356" w14:textId="77777777" w:rsidR="00366397" w:rsidRPr="008A2236" w:rsidRDefault="00366397" w:rsidP="0030211F">
            <w:pPr>
              <w:pStyle w:val="TableText"/>
            </w:pPr>
            <w:r w:rsidRPr="008A2236">
              <w:rPr>
                <w:rFonts w:eastAsia="Calibri"/>
              </w:rPr>
              <w:t>4.A.1.i Pre-1990 planted forest remaining pre-1990 planted forest</w:t>
            </w:r>
          </w:p>
        </w:tc>
        <w:tc>
          <w:tcPr>
            <w:tcW w:w="0" w:type="auto"/>
            <w:shd w:val="clear" w:color="auto" w:fill="FFFFFF"/>
          </w:tcPr>
          <w:p w14:paraId="07ACF776" w14:textId="77777777" w:rsidR="00366397" w:rsidRPr="008A2236" w:rsidRDefault="00366397" w:rsidP="0030211F">
            <w:pPr>
              <w:pStyle w:val="TableText"/>
              <w:jc w:val="right"/>
            </w:pPr>
            <w:r>
              <w:rPr>
                <w:rFonts w:eastAsia="Calibri"/>
              </w:rPr>
              <w:t>–</w:t>
            </w:r>
            <w:r w:rsidRPr="008A2236">
              <w:rPr>
                <w:rFonts w:eastAsia="Calibri"/>
              </w:rPr>
              <w:t>5,602.1</w:t>
            </w:r>
          </w:p>
        </w:tc>
        <w:tc>
          <w:tcPr>
            <w:tcW w:w="0" w:type="auto"/>
            <w:shd w:val="clear" w:color="auto" w:fill="FFFFFF"/>
          </w:tcPr>
          <w:p w14:paraId="119E2CB5" w14:textId="77777777" w:rsidR="00366397" w:rsidRPr="008A2236" w:rsidRDefault="00366397" w:rsidP="0030211F">
            <w:pPr>
              <w:pStyle w:val="TableText"/>
              <w:jc w:val="right"/>
            </w:pPr>
            <w:r w:rsidRPr="008A2236">
              <w:rPr>
                <w:rFonts w:eastAsia="Calibri"/>
              </w:rPr>
              <w:t>2011</w:t>
            </w:r>
          </w:p>
        </w:tc>
      </w:tr>
      <w:tr w:rsidR="00366397" w:rsidRPr="008A2236" w14:paraId="5109E5E8" w14:textId="77777777" w:rsidTr="001959CB">
        <w:trPr>
          <w:cantSplit/>
          <w:trHeight w:val="283"/>
        </w:trPr>
        <w:tc>
          <w:tcPr>
            <w:tcW w:w="0" w:type="auto"/>
            <w:shd w:val="clear" w:color="auto" w:fill="FFFFFF"/>
            <w:vAlign w:val="center"/>
          </w:tcPr>
          <w:p w14:paraId="51AE5A8E" w14:textId="77777777" w:rsidR="00366397" w:rsidRPr="008A2236" w:rsidRDefault="00366397" w:rsidP="0030211F">
            <w:pPr>
              <w:pStyle w:val="TableText"/>
            </w:pPr>
            <w:r w:rsidRPr="008A2236">
              <w:rPr>
                <w:rFonts w:eastAsia="Calibri"/>
              </w:rPr>
              <w:t>Waste</w:t>
            </w:r>
          </w:p>
        </w:tc>
        <w:tc>
          <w:tcPr>
            <w:tcW w:w="0" w:type="auto"/>
            <w:shd w:val="clear" w:color="auto" w:fill="FFFFFF"/>
            <w:vAlign w:val="center"/>
          </w:tcPr>
          <w:p w14:paraId="28D4C80A" w14:textId="77777777" w:rsidR="00366397" w:rsidRPr="008A2236" w:rsidRDefault="00366397" w:rsidP="0030211F">
            <w:pPr>
              <w:pStyle w:val="TableText"/>
            </w:pPr>
            <w:r w:rsidRPr="008A2236">
              <w:rPr>
                <w:rFonts w:eastAsia="Calibri"/>
              </w:rPr>
              <w:t>5.A.2 Unmanaged</w:t>
            </w:r>
            <w:r>
              <w:rPr>
                <w:rFonts w:eastAsia="Calibri"/>
              </w:rPr>
              <w:t xml:space="preserve"> w</w:t>
            </w:r>
            <w:r w:rsidRPr="008A2236">
              <w:rPr>
                <w:rFonts w:eastAsia="Calibri"/>
              </w:rPr>
              <w:t xml:space="preserve">aste </w:t>
            </w:r>
            <w:r>
              <w:rPr>
                <w:rFonts w:eastAsia="Calibri"/>
              </w:rPr>
              <w:t>d</w:t>
            </w:r>
            <w:r w:rsidRPr="008A2236">
              <w:rPr>
                <w:rFonts w:eastAsia="Calibri"/>
              </w:rPr>
              <w:t xml:space="preserve">isposal </w:t>
            </w:r>
            <w:r>
              <w:rPr>
                <w:rFonts w:eastAsia="Calibri"/>
              </w:rPr>
              <w:t>s</w:t>
            </w:r>
            <w:r w:rsidRPr="008A2236">
              <w:rPr>
                <w:rFonts w:eastAsia="Calibri"/>
              </w:rPr>
              <w:t>ites</w:t>
            </w:r>
          </w:p>
        </w:tc>
        <w:tc>
          <w:tcPr>
            <w:tcW w:w="0" w:type="auto"/>
            <w:shd w:val="clear" w:color="auto" w:fill="FFFFFF"/>
            <w:vAlign w:val="center"/>
          </w:tcPr>
          <w:p w14:paraId="060AE1EE" w14:textId="77777777" w:rsidR="00366397" w:rsidRPr="008A2236" w:rsidRDefault="00366397" w:rsidP="0030211F">
            <w:pPr>
              <w:pStyle w:val="TableText"/>
              <w:jc w:val="right"/>
            </w:pPr>
            <w:r>
              <w:rPr>
                <w:rFonts w:eastAsia="Calibri"/>
              </w:rPr>
              <w:t>–</w:t>
            </w:r>
            <w:r w:rsidRPr="008A2236">
              <w:rPr>
                <w:rFonts w:eastAsia="Calibri"/>
              </w:rPr>
              <w:t>43.1</w:t>
            </w:r>
          </w:p>
        </w:tc>
        <w:tc>
          <w:tcPr>
            <w:tcW w:w="0" w:type="auto"/>
            <w:shd w:val="clear" w:color="auto" w:fill="FFFFFF"/>
            <w:vAlign w:val="center"/>
          </w:tcPr>
          <w:p w14:paraId="6A8A2713" w14:textId="77777777" w:rsidR="00366397" w:rsidRPr="008A2236" w:rsidRDefault="00366397" w:rsidP="0030211F">
            <w:pPr>
              <w:pStyle w:val="TableText"/>
              <w:jc w:val="right"/>
            </w:pPr>
            <w:r w:rsidRPr="008A2236">
              <w:rPr>
                <w:rFonts w:eastAsia="Calibri"/>
              </w:rPr>
              <w:t>2006</w:t>
            </w:r>
          </w:p>
        </w:tc>
      </w:tr>
      <w:tr w:rsidR="00366397" w:rsidRPr="008A2236" w14:paraId="6B0442B4" w14:textId="77777777" w:rsidTr="001959CB">
        <w:trPr>
          <w:cantSplit/>
          <w:trHeight w:val="283"/>
        </w:trPr>
        <w:tc>
          <w:tcPr>
            <w:tcW w:w="0" w:type="auto"/>
            <w:shd w:val="clear" w:color="auto" w:fill="FFFFFF"/>
            <w:vAlign w:val="center"/>
          </w:tcPr>
          <w:p w14:paraId="03C5E59A" w14:textId="77777777" w:rsidR="00366397" w:rsidRPr="008A2236" w:rsidRDefault="00366397" w:rsidP="0030211F">
            <w:pPr>
              <w:pStyle w:val="TableText"/>
            </w:pPr>
            <w:r w:rsidRPr="008A2236">
              <w:rPr>
                <w:rFonts w:eastAsia="Calibri"/>
              </w:rPr>
              <w:t>Tokelau</w:t>
            </w:r>
          </w:p>
        </w:tc>
        <w:tc>
          <w:tcPr>
            <w:tcW w:w="0" w:type="auto"/>
            <w:shd w:val="clear" w:color="auto" w:fill="FFFFFF"/>
            <w:vAlign w:val="center"/>
          </w:tcPr>
          <w:p w14:paraId="5A060322" w14:textId="77777777" w:rsidR="00366397" w:rsidRPr="008A2236" w:rsidRDefault="00366397" w:rsidP="0030211F">
            <w:pPr>
              <w:pStyle w:val="TableText"/>
            </w:pPr>
            <w:r w:rsidRPr="008A2236">
              <w:rPr>
                <w:rFonts w:eastAsia="Calibri"/>
              </w:rPr>
              <w:t>6. Tokelau 2. Industrial Processes and Product Use</w:t>
            </w:r>
          </w:p>
        </w:tc>
        <w:tc>
          <w:tcPr>
            <w:tcW w:w="0" w:type="auto"/>
            <w:shd w:val="clear" w:color="auto" w:fill="FFFFFF"/>
            <w:vAlign w:val="center"/>
          </w:tcPr>
          <w:p w14:paraId="33B3266A" w14:textId="77777777" w:rsidR="00366397" w:rsidRPr="008A2236" w:rsidRDefault="00366397" w:rsidP="0030211F">
            <w:pPr>
              <w:pStyle w:val="TableText"/>
              <w:jc w:val="right"/>
            </w:pPr>
            <w:r>
              <w:rPr>
                <w:rFonts w:eastAsia="Calibri"/>
              </w:rPr>
              <w:t>–</w:t>
            </w:r>
            <w:r w:rsidRPr="008A2236">
              <w:rPr>
                <w:rFonts w:eastAsia="Calibri"/>
              </w:rPr>
              <w:t>0.0</w:t>
            </w:r>
          </w:p>
        </w:tc>
        <w:tc>
          <w:tcPr>
            <w:tcW w:w="0" w:type="auto"/>
            <w:shd w:val="clear" w:color="auto" w:fill="FFFFFF"/>
            <w:vAlign w:val="center"/>
          </w:tcPr>
          <w:p w14:paraId="7AD57C08" w14:textId="77777777" w:rsidR="00366397" w:rsidRPr="008A2236" w:rsidRDefault="00366397" w:rsidP="0030211F">
            <w:pPr>
              <w:pStyle w:val="TableText"/>
              <w:jc w:val="right"/>
            </w:pPr>
            <w:r w:rsidRPr="008A2236">
              <w:rPr>
                <w:rFonts w:eastAsia="Calibri"/>
              </w:rPr>
              <w:t>2018</w:t>
            </w:r>
          </w:p>
        </w:tc>
      </w:tr>
    </w:tbl>
    <w:p w14:paraId="1D7FE0B7" w14:textId="77777777" w:rsidR="00366397" w:rsidRPr="008A2236" w:rsidRDefault="00366397" w:rsidP="000847FD">
      <w:pPr>
        <w:pStyle w:val="BodyText"/>
        <w:spacing w:before="240"/>
      </w:pPr>
      <w:bookmarkStart w:id="2633" w:name="energy"/>
      <w:r w:rsidRPr="008A2236">
        <w:t>The following sections detail the effect of and reasons for recalculations for each sector and summarise the improvements that resulted in the recalculations.</w:t>
      </w:r>
    </w:p>
    <w:p w14:paraId="4DDC808E" w14:textId="6BF9EB09" w:rsidR="00366397" w:rsidRPr="008A2236" w:rsidRDefault="00366397" w:rsidP="00366397">
      <w:pPr>
        <w:pStyle w:val="Heading3"/>
      </w:pPr>
      <w:r w:rsidRPr="008A2236">
        <w:t xml:space="preserve">10.1.1 </w:t>
      </w:r>
      <w:r w:rsidR="00821316">
        <w:tab/>
      </w:r>
      <w:r w:rsidRPr="008A2236">
        <w:t>Energy</w:t>
      </w:r>
    </w:p>
    <w:p w14:paraId="1F3CAAA5" w14:textId="77777777" w:rsidR="00366397" w:rsidRPr="008A2236" w:rsidRDefault="00366397" w:rsidP="00366397">
      <w:pPr>
        <w:pStyle w:val="BodyText"/>
      </w:pPr>
      <w:r w:rsidRPr="008A2236">
        <w:t>Changes to activity data in the Energy sector have resulted in a 0.6 per cent (133.4 kt CO</w:t>
      </w:r>
      <w:r w:rsidRPr="008A2236">
        <w:rPr>
          <w:vertAlign w:val="subscript"/>
        </w:rPr>
        <w:t>2</w:t>
      </w:r>
      <w:r w:rsidRPr="008A2236">
        <w:t>-e) increase in energy emissions</w:t>
      </w:r>
      <w:r>
        <w:t xml:space="preserve"> estimates</w:t>
      </w:r>
      <w:r w:rsidRPr="008A2236">
        <w:t xml:space="preserve"> in 1990 and a 1.0 per cent (342.7 kt CO</w:t>
      </w:r>
      <w:r w:rsidRPr="008A2236">
        <w:rPr>
          <w:vertAlign w:val="subscript"/>
        </w:rPr>
        <w:t>2</w:t>
      </w:r>
      <w:r w:rsidRPr="008A2236">
        <w:t>-e) decrease in energy emissions</w:t>
      </w:r>
      <w:r>
        <w:t xml:space="preserve"> estimates</w:t>
      </w:r>
      <w:r w:rsidRPr="008A2236">
        <w:t xml:space="preserve"> in 2019 (figure 10.1.2). No significant methodological changes have occurred for the Energy sector. Changes in the level of emissions estimates have occurred due to small changes in the activity data</w:t>
      </w:r>
      <w:r>
        <w:t>, as detailed in table 10.1.3</w:t>
      </w:r>
      <w:r w:rsidRPr="008A2236">
        <w:t>. Energy activity data for the years 1990</w:t>
      </w:r>
      <w:r>
        <w:t xml:space="preserve"> to </w:t>
      </w:r>
      <w:r w:rsidRPr="008A2236">
        <w:t>2019 have been updated according to the latest energy statistics published by the Ministry of Business, Innovation and Employment.</w:t>
      </w:r>
    </w:p>
    <w:p w14:paraId="756B345C" w14:textId="77777777" w:rsidR="00366397" w:rsidRPr="008A2236" w:rsidRDefault="00366397" w:rsidP="00366397">
      <w:pPr>
        <w:pStyle w:val="Table"/>
      </w:pPr>
      <w:bookmarkStart w:id="2634" w:name="_Toc99659373"/>
      <w:r w:rsidRPr="008A2236">
        <w:t>Table 10.1.3</w:t>
      </w:r>
      <w:r w:rsidRPr="008A2236">
        <w:tab/>
        <w:t>Explanations and justifications for recalculations in the Energy sector</w:t>
      </w:r>
      <w:bookmarkEnd w:id="2634"/>
    </w:p>
    <w:tbl>
      <w:tblPr>
        <w:tblW w:w="8505" w:type="dxa"/>
        <w:tblInd w:w="113"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359"/>
        <w:gridCol w:w="1559"/>
        <w:gridCol w:w="1587"/>
      </w:tblGrid>
      <w:tr w:rsidR="00366397" w:rsidRPr="00E751E2" w14:paraId="7D419867" w14:textId="77777777" w:rsidTr="001959CB">
        <w:trPr>
          <w:tblHeader/>
        </w:trPr>
        <w:tc>
          <w:tcPr>
            <w:tcW w:w="5359" w:type="dxa"/>
            <w:shd w:val="clear" w:color="auto" w:fill="1B556B"/>
            <w:tcMar>
              <w:top w:w="0" w:type="dxa"/>
              <w:left w:w="85" w:type="dxa"/>
              <w:bottom w:w="0" w:type="dxa"/>
              <w:right w:w="85" w:type="dxa"/>
            </w:tcMar>
            <w:vAlign w:val="bottom"/>
          </w:tcPr>
          <w:p w14:paraId="2CC4A502" w14:textId="77777777" w:rsidR="00366397" w:rsidRPr="00366397" w:rsidRDefault="00366397" w:rsidP="0030211F">
            <w:pPr>
              <w:pStyle w:val="TableTextBold"/>
              <w:rPr>
                <w:color w:val="FFFFFF"/>
              </w:rPr>
            </w:pPr>
            <w:r w:rsidRPr="00366397">
              <w:rPr>
                <w:rFonts w:eastAsia="Calibri"/>
                <w:color w:val="FFFFFF"/>
              </w:rPr>
              <w:t>Explanation of recalculation</w:t>
            </w:r>
          </w:p>
        </w:tc>
        <w:tc>
          <w:tcPr>
            <w:tcW w:w="1559" w:type="dxa"/>
            <w:shd w:val="clear" w:color="auto" w:fill="1B556B"/>
            <w:tcMar>
              <w:top w:w="0" w:type="dxa"/>
              <w:left w:w="85" w:type="dxa"/>
              <w:bottom w:w="0" w:type="dxa"/>
              <w:right w:w="85" w:type="dxa"/>
            </w:tcMar>
            <w:vAlign w:val="bottom"/>
          </w:tcPr>
          <w:p w14:paraId="0EFB13AC" w14:textId="77777777" w:rsidR="00366397" w:rsidRPr="00366397" w:rsidRDefault="00366397" w:rsidP="0030211F">
            <w:pPr>
              <w:pStyle w:val="TableTextBold"/>
              <w:rPr>
                <w:color w:val="FFFFFF"/>
              </w:rPr>
            </w:pPr>
            <w:r w:rsidRPr="00366397">
              <w:rPr>
                <w:rFonts w:eastAsia="Calibri"/>
                <w:color w:val="FFFFFF"/>
              </w:rPr>
              <w:t>Underpinning IPCC principle</w:t>
            </w:r>
          </w:p>
        </w:tc>
        <w:tc>
          <w:tcPr>
            <w:tcW w:w="1587" w:type="dxa"/>
            <w:shd w:val="clear" w:color="auto" w:fill="1B556B"/>
            <w:tcMar>
              <w:top w:w="0" w:type="dxa"/>
              <w:left w:w="85" w:type="dxa"/>
              <w:bottom w:w="0" w:type="dxa"/>
              <w:right w:w="85" w:type="dxa"/>
            </w:tcMar>
            <w:vAlign w:val="bottom"/>
          </w:tcPr>
          <w:p w14:paraId="512E6E12" w14:textId="77777777" w:rsidR="00366397" w:rsidRPr="00366397" w:rsidRDefault="00366397" w:rsidP="0030211F">
            <w:pPr>
              <w:pStyle w:val="TableTextBold"/>
              <w:rPr>
                <w:color w:val="FFFFFF"/>
              </w:rPr>
            </w:pPr>
            <w:r w:rsidRPr="00366397">
              <w:rPr>
                <w:rFonts w:eastAsia="Calibri"/>
                <w:color w:val="FFFFFF"/>
              </w:rPr>
              <w:t>Additional justification</w:t>
            </w:r>
          </w:p>
        </w:tc>
      </w:tr>
      <w:tr w:rsidR="00366397" w:rsidRPr="00E751E2" w14:paraId="6F9C1D5F" w14:textId="77777777" w:rsidTr="001959CB">
        <w:tc>
          <w:tcPr>
            <w:tcW w:w="5359" w:type="dxa"/>
            <w:shd w:val="clear" w:color="auto" w:fill="FFFFFF"/>
            <w:tcMar>
              <w:top w:w="0" w:type="dxa"/>
              <w:left w:w="85" w:type="dxa"/>
              <w:bottom w:w="0" w:type="dxa"/>
              <w:right w:w="85" w:type="dxa"/>
            </w:tcMar>
          </w:tcPr>
          <w:p w14:paraId="5880AEE3" w14:textId="77777777" w:rsidR="00366397" w:rsidRPr="00E751E2" w:rsidRDefault="00366397" w:rsidP="0030211F">
            <w:pPr>
              <w:pStyle w:val="TableText"/>
            </w:pPr>
            <w:r w:rsidRPr="00E751E2">
              <w:rPr>
                <w:rFonts w:eastAsia="Calibri"/>
              </w:rPr>
              <w:t>Emissions from the use of fireworks were estimated and included in the residential category.</w:t>
            </w:r>
          </w:p>
        </w:tc>
        <w:tc>
          <w:tcPr>
            <w:tcW w:w="1559" w:type="dxa"/>
            <w:shd w:val="clear" w:color="auto" w:fill="FFFFFF"/>
            <w:tcMar>
              <w:top w:w="0" w:type="dxa"/>
              <w:left w:w="85" w:type="dxa"/>
              <w:bottom w:w="0" w:type="dxa"/>
              <w:right w:w="85" w:type="dxa"/>
            </w:tcMar>
          </w:tcPr>
          <w:p w14:paraId="5BC223E3" w14:textId="77777777" w:rsidR="00366397" w:rsidRPr="00E751E2" w:rsidRDefault="00366397" w:rsidP="0030211F">
            <w:pPr>
              <w:pStyle w:val="TableText"/>
            </w:pPr>
            <w:r w:rsidRPr="00E751E2">
              <w:rPr>
                <w:rFonts w:eastAsia="Calibri"/>
              </w:rPr>
              <w:t>Completeness</w:t>
            </w:r>
          </w:p>
        </w:tc>
        <w:tc>
          <w:tcPr>
            <w:tcW w:w="1587" w:type="dxa"/>
            <w:shd w:val="clear" w:color="auto" w:fill="FFFFFF"/>
            <w:tcMar>
              <w:top w:w="0" w:type="dxa"/>
              <w:left w:w="85" w:type="dxa"/>
              <w:bottom w:w="0" w:type="dxa"/>
              <w:right w:w="85" w:type="dxa"/>
            </w:tcMar>
          </w:tcPr>
          <w:p w14:paraId="41E7AB1C" w14:textId="77777777" w:rsidR="00366397" w:rsidRPr="00E751E2" w:rsidRDefault="00366397" w:rsidP="0030211F">
            <w:pPr>
              <w:pStyle w:val="TableText"/>
            </w:pPr>
            <w:r w:rsidRPr="00E751E2">
              <w:rPr>
                <w:rFonts w:eastAsia="Calibri"/>
              </w:rPr>
              <w:t>Comparability</w:t>
            </w:r>
          </w:p>
        </w:tc>
      </w:tr>
      <w:tr w:rsidR="00366397" w:rsidRPr="00E751E2" w14:paraId="07A883FE" w14:textId="77777777" w:rsidTr="001959CB">
        <w:tc>
          <w:tcPr>
            <w:tcW w:w="5359" w:type="dxa"/>
            <w:shd w:val="clear" w:color="auto" w:fill="FFFFFF"/>
            <w:tcMar>
              <w:top w:w="0" w:type="dxa"/>
              <w:left w:w="85" w:type="dxa"/>
              <w:bottom w:w="0" w:type="dxa"/>
              <w:right w:w="85" w:type="dxa"/>
            </w:tcMar>
          </w:tcPr>
          <w:p w14:paraId="531FBB4C" w14:textId="77777777" w:rsidR="00366397" w:rsidRPr="00E751E2" w:rsidRDefault="00366397" w:rsidP="0030211F">
            <w:pPr>
              <w:pStyle w:val="TableText"/>
            </w:pPr>
            <w:r w:rsidRPr="00E751E2">
              <w:rPr>
                <w:rFonts w:eastAsia="Calibri"/>
              </w:rPr>
              <w:t>Some coal production data have been reclassified from underground to opencast for the years 2017–2019. Emissions have been re-estimated using the appropriate emission factors for opencast mining.</w:t>
            </w:r>
          </w:p>
        </w:tc>
        <w:tc>
          <w:tcPr>
            <w:tcW w:w="1559" w:type="dxa"/>
            <w:shd w:val="clear" w:color="auto" w:fill="FFFFFF"/>
            <w:tcMar>
              <w:top w:w="0" w:type="dxa"/>
              <w:left w:w="85" w:type="dxa"/>
              <w:bottom w:w="0" w:type="dxa"/>
              <w:right w:w="85" w:type="dxa"/>
            </w:tcMar>
          </w:tcPr>
          <w:p w14:paraId="03614122" w14:textId="77777777" w:rsidR="00366397" w:rsidRPr="00E751E2" w:rsidRDefault="00366397" w:rsidP="0030211F">
            <w:pPr>
              <w:pStyle w:val="TableText"/>
            </w:pPr>
            <w:r w:rsidRPr="00E751E2">
              <w:rPr>
                <w:rFonts w:eastAsia="Calibri"/>
              </w:rPr>
              <w:t>Accuracy</w:t>
            </w:r>
          </w:p>
        </w:tc>
        <w:tc>
          <w:tcPr>
            <w:tcW w:w="1587" w:type="dxa"/>
            <w:shd w:val="clear" w:color="auto" w:fill="FFFFFF"/>
            <w:tcMar>
              <w:top w:w="0" w:type="dxa"/>
              <w:left w:w="85" w:type="dxa"/>
              <w:bottom w:w="0" w:type="dxa"/>
              <w:right w:w="85" w:type="dxa"/>
            </w:tcMar>
          </w:tcPr>
          <w:p w14:paraId="450C65C1" w14:textId="77777777" w:rsidR="00366397" w:rsidRPr="00E751E2" w:rsidRDefault="00366397" w:rsidP="0030211F">
            <w:pPr>
              <w:pStyle w:val="TableText"/>
            </w:pPr>
          </w:p>
        </w:tc>
      </w:tr>
      <w:tr w:rsidR="00366397" w:rsidRPr="00E751E2" w14:paraId="628BFA1B" w14:textId="77777777" w:rsidTr="001959CB">
        <w:tc>
          <w:tcPr>
            <w:tcW w:w="5359" w:type="dxa"/>
            <w:shd w:val="clear" w:color="auto" w:fill="FFFFFF"/>
            <w:tcMar>
              <w:top w:w="0" w:type="dxa"/>
              <w:left w:w="85" w:type="dxa"/>
              <w:bottom w:w="0" w:type="dxa"/>
              <w:right w:w="85" w:type="dxa"/>
            </w:tcMar>
          </w:tcPr>
          <w:p w14:paraId="66DC69CF" w14:textId="77777777" w:rsidR="00366397" w:rsidRPr="00E751E2" w:rsidRDefault="00366397" w:rsidP="0030211F">
            <w:pPr>
              <w:pStyle w:val="TableText"/>
            </w:pPr>
            <w:r w:rsidRPr="00E751E2">
              <w:rPr>
                <w:rFonts w:eastAsia="Calibri"/>
              </w:rPr>
              <w:t>Liquid fuel activity data have been reclassified from road transport to residential. This has resulted in a re-estimation of non-CO</w:t>
            </w:r>
            <w:r w:rsidRPr="00E751E2">
              <w:rPr>
                <w:rFonts w:eastAsia="Calibri"/>
                <w:vertAlign w:val="subscript"/>
              </w:rPr>
              <w:t>2</w:t>
            </w:r>
            <w:r w:rsidRPr="00E751E2">
              <w:rPr>
                <w:rFonts w:eastAsia="Calibri"/>
              </w:rPr>
              <w:t xml:space="preserve"> emissions based on the appropriate emission factors for the residential category.</w:t>
            </w:r>
          </w:p>
        </w:tc>
        <w:tc>
          <w:tcPr>
            <w:tcW w:w="1559" w:type="dxa"/>
            <w:shd w:val="clear" w:color="auto" w:fill="FFFFFF"/>
            <w:tcMar>
              <w:top w:w="0" w:type="dxa"/>
              <w:left w:w="85" w:type="dxa"/>
              <w:bottom w:w="0" w:type="dxa"/>
              <w:right w:w="85" w:type="dxa"/>
            </w:tcMar>
          </w:tcPr>
          <w:p w14:paraId="30D40F6E" w14:textId="77777777" w:rsidR="00366397" w:rsidRPr="00E751E2" w:rsidRDefault="00366397" w:rsidP="0030211F">
            <w:pPr>
              <w:pStyle w:val="TableText"/>
            </w:pPr>
            <w:r w:rsidRPr="00E751E2">
              <w:rPr>
                <w:rFonts w:eastAsia="Calibri"/>
              </w:rPr>
              <w:t>Consistency</w:t>
            </w:r>
          </w:p>
        </w:tc>
        <w:tc>
          <w:tcPr>
            <w:tcW w:w="1587" w:type="dxa"/>
            <w:shd w:val="clear" w:color="auto" w:fill="FFFFFF"/>
            <w:tcMar>
              <w:top w:w="0" w:type="dxa"/>
              <w:left w:w="85" w:type="dxa"/>
              <w:bottom w:w="0" w:type="dxa"/>
              <w:right w:w="85" w:type="dxa"/>
            </w:tcMar>
          </w:tcPr>
          <w:p w14:paraId="5260B1A5" w14:textId="77777777" w:rsidR="00366397" w:rsidRPr="00E751E2" w:rsidRDefault="00366397" w:rsidP="0030211F">
            <w:pPr>
              <w:pStyle w:val="TableText"/>
            </w:pPr>
            <w:r w:rsidRPr="00E751E2">
              <w:rPr>
                <w:rFonts w:eastAsia="Calibri"/>
              </w:rPr>
              <w:t>Accuracy</w:t>
            </w:r>
          </w:p>
        </w:tc>
      </w:tr>
    </w:tbl>
    <w:p w14:paraId="2F06BE9E" w14:textId="67322A57" w:rsidR="00366397" w:rsidRPr="008A2236" w:rsidRDefault="00366397" w:rsidP="00D178C7">
      <w:pPr>
        <w:pStyle w:val="Figure"/>
        <w:spacing w:after="60"/>
      </w:pPr>
      <w:bookmarkStart w:id="2635" w:name="_Toc99696069"/>
      <w:r w:rsidRPr="008A2236">
        <w:rPr>
          <w:bCs/>
        </w:rPr>
        <w:lastRenderedPageBreak/>
        <w:t>Figure 10.1.2</w:t>
      </w:r>
      <w:r w:rsidRPr="008A2236">
        <w:rPr>
          <w:bCs/>
        </w:rPr>
        <w:tab/>
        <w:t xml:space="preserve">Effect of changes to activity data on </w:t>
      </w:r>
      <w:r>
        <w:rPr>
          <w:bCs/>
        </w:rPr>
        <w:t>emissions estimates from</w:t>
      </w:r>
      <w:r w:rsidRPr="008A2236">
        <w:rPr>
          <w:bCs/>
        </w:rPr>
        <w:t xml:space="preserve"> New Zealand’s Energy sector from</w:t>
      </w:r>
      <w:r w:rsidR="00CE3FF1">
        <w:rPr>
          <w:bCs/>
        </w:rPr>
        <w:t> </w:t>
      </w:r>
      <w:r w:rsidRPr="008A2236">
        <w:rPr>
          <w:bCs/>
        </w:rPr>
        <w:t>1990 to 2019</w:t>
      </w:r>
      <w:bookmarkEnd w:id="2635"/>
    </w:p>
    <w:p w14:paraId="30CB80F3" w14:textId="154C10F2" w:rsidR="00366397" w:rsidRPr="008A2236" w:rsidRDefault="004B48CC" w:rsidP="00366397">
      <w:pPr>
        <w:pStyle w:val="BodyText"/>
      </w:pPr>
      <w:r>
        <w:rPr>
          <w:noProof/>
        </w:rPr>
        <w:pict w14:anchorId="7D6BDD84">
          <v:shape id="_x0000_i1145" type="#_x0000_t75" style="width:411.9pt;height:302.25pt;visibility:visible;mso-wrap-style:square">
            <v:imagedata r:id="rId261" o:title="" cropbottom="1418f"/>
          </v:shape>
        </w:pict>
      </w:r>
    </w:p>
    <w:p w14:paraId="0A1EC40C" w14:textId="77777777" w:rsidR="00366397" w:rsidRPr="008A2236" w:rsidRDefault="00366397" w:rsidP="00E14AD6">
      <w:pPr>
        <w:pStyle w:val="Heading3"/>
        <w:spacing w:before="240"/>
      </w:pPr>
      <w:bookmarkStart w:id="2636" w:name="industrial-processes-and-product-use"/>
      <w:bookmarkEnd w:id="2633"/>
      <w:r w:rsidRPr="008A2236">
        <w:t xml:space="preserve">10.1.2 </w:t>
      </w:r>
      <w:r>
        <w:tab/>
      </w:r>
      <w:r w:rsidRPr="008A2236">
        <w:t>Industrial Processes and Product Use</w:t>
      </w:r>
    </w:p>
    <w:p w14:paraId="5953A4B3" w14:textId="77777777" w:rsidR="00366397" w:rsidRPr="008A2236" w:rsidRDefault="00366397" w:rsidP="00D178C7">
      <w:pPr>
        <w:pStyle w:val="BodyText"/>
        <w:spacing w:before="100" w:after="100"/>
      </w:pPr>
      <w:r w:rsidRPr="008A2236">
        <w:t>Improvements and recalculations made in the Industrial Processes and Product Use (IPPU) sector have resulted in no change for 1990 and a 5.0 per cent (254.9 kt CO</w:t>
      </w:r>
      <w:r w:rsidRPr="008A2236">
        <w:rPr>
          <w:vertAlign w:val="subscript"/>
        </w:rPr>
        <w:t>2</w:t>
      </w:r>
      <w:r w:rsidRPr="008A2236">
        <w:t>-e) decrease in emissions</w:t>
      </w:r>
      <w:r>
        <w:t xml:space="preserve"> estimates</w:t>
      </w:r>
      <w:r w:rsidRPr="008A2236">
        <w:t xml:space="preserve"> for 2019 (figure 10.1.3).</w:t>
      </w:r>
    </w:p>
    <w:p w14:paraId="78E24489" w14:textId="522D67F5" w:rsidR="00366397" w:rsidRPr="008A2236" w:rsidRDefault="00366397" w:rsidP="00D178C7">
      <w:pPr>
        <w:pStyle w:val="BodyText"/>
        <w:spacing w:before="100" w:after="100"/>
      </w:pPr>
      <w:r w:rsidRPr="008A2236">
        <w:t xml:space="preserve">The decrease in 2019 is due to a recalculation of emissions from the </w:t>
      </w:r>
      <w:r w:rsidRPr="008A2236">
        <w:rPr>
          <w:i/>
        </w:rPr>
        <w:t>Refrigeration and air conditioning</w:t>
      </w:r>
      <w:r w:rsidRPr="008A2236">
        <w:t xml:space="preserve"> category. Most of the decrease in reported emissions for 2019 (253.0 kt CO</w:t>
      </w:r>
      <w:r w:rsidRPr="008A2236">
        <w:rPr>
          <w:vertAlign w:val="subscript"/>
        </w:rPr>
        <w:t>2</w:t>
      </w:r>
      <w:r w:rsidRPr="008A2236">
        <w:t>-e) is</w:t>
      </w:r>
      <w:r w:rsidR="00767325">
        <w:t> </w:t>
      </w:r>
      <w:r w:rsidRPr="008A2236">
        <w:t>due to a re-estimation of the amounts added to banks of HFC-134a and R404A in the commercial refrigeration and stationary air conditioning sub-applications. Other recalculations and improvements, as detailed in table 10.1.4, have had only a minor effect.</w:t>
      </w:r>
    </w:p>
    <w:p w14:paraId="1B6C2FFC" w14:textId="77777777" w:rsidR="00366397" w:rsidRPr="008A2236" w:rsidRDefault="00366397" w:rsidP="00366397">
      <w:pPr>
        <w:pStyle w:val="Table"/>
      </w:pPr>
      <w:bookmarkStart w:id="2637" w:name="_Toc99659374"/>
      <w:r w:rsidRPr="008A2236">
        <w:t>Table 10.1.4</w:t>
      </w:r>
      <w:r w:rsidRPr="008A2236">
        <w:tab/>
        <w:t>Explanations and justifications for recalculations in the IPPU sector</w:t>
      </w:r>
      <w:bookmarkEnd w:id="2637"/>
    </w:p>
    <w:tbl>
      <w:tblPr>
        <w:tblW w:w="8505" w:type="dxa"/>
        <w:tblInd w:w="113"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359"/>
        <w:gridCol w:w="1276"/>
        <w:gridCol w:w="1870"/>
      </w:tblGrid>
      <w:tr w:rsidR="00366397" w:rsidRPr="00E751E2" w14:paraId="42382939" w14:textId="77777777" w:rsidTr="001959CB">
        <w:trPr>
          <w:cantSplit/>
          <w:tblHeader/>
        </w:trPr>
        <w:tc>
          <w:tcPr>
            <w:tcW w:w="5359" w:type="dxa"/>
            <w:shd w:val="clear" w:color="auto" w:fill="1B556B"/>
            <w:tcMar>
              <w:top w:w="0" w:type="dxa"/>
              <w:left w:w="85" w:type="dxa"/>
              <w:bottom w:w="0" w:type="dxa"/>
              <w:right w:w="85" w:type="dxa"/>
            </w:tcMar>
            <w:vAlign w:val="bottom"/>
          </w:tcPr>
          <w:p w14:paraId="2079A5E6" w14:textId="77777777" w:rsidR="00366397" w:rsidRPr="00366397" w:rsidRDefault="00366397" w:rsidP="00D178C7">
            <w:pPr>
              <w:pStyle w:val="TableTextBold"/>
              <w:spacing w:before="50" w:after="50"/>
              <w:rPr>
                <w:color w:val="FFFFFF"/>
              </w:rPr>
            </w:pPr>
            <w:r w:rsidRPr="00366397">
              <w:rPr>
                <w:rFonts w:eastAsia="Calibri"/>
                <w:color w:val="FFFFFF"/>
              </w:rPr>
              <w:t>Explanation of recalculation</w:t>
            </w:r>
          </w:p>
        </w:tc>
        <w:tc>
          <w:tcPr>
            <w:tcW w:w="1276" w:type="dxa"/>
            <w:shd w:val="clear" w:color="auto" w:fill="1B556B"/>
            <w:tcMar>
              <w:top w:w="0" w:type="dxa"/>
              <w:left w:w="85" w:type="dxa"/>
              <w:bottom w:w="0" w:type="dxa"/>
              <w:right w:w="85" w:type="dxa"/>
            </w:tcMar>
            <w:vAlign w:val="bottom"/>
          </w:tcPr>
          <w:p w14:paraId="75DE29BD" w14:textId="77777777" w:rsidR="00366397" w:rsidRPr="00366397" w:rsidRDefault="00366397" w:rsidP="00D178C7">
            <w:pPr>
              <w:pStyle w:val="TableTextBold"/>
              <w:spacing w:before="50" w:after="50"/>
              <w:rPr>
                <w:color w:val="FFFFFF"/>
              </w:rPr>
            </w:pPr>
            <w:r w:rsidRPr="00366397">
              <w:rPr>
                <w:rFonts w:eastAsia="Calibri"/>
                <w:color w:val="FFFFFF"/>
              </w:rPr>
              <w:t>Underpinning IPCC principle</w:t>
            </w:r>
          </w:p>
        </w:tc>
        <w:tc>
          <w:tcPr>
            <w:tcW w:w="1870" w:type="dxa"/>
            <w:shd w:val="clear" w:color="auto" w:fill="1B556B"/>
            <w:tcMar>
              <w:top w:w="0" w:type="dxa"/>
              <w:left w:w="85" w:type="dxa"/>
              <w:bottom w:w="0" w:type="dxa"/>
              <w:right w:w="85" w:type="dxa"/>
            </w:tcMar>
            <w:vAlign w:val="bottom"/>
          </w:tcPr>
          <w:p w14:paraId="66F438E9" w14:textId="77777777" w:rsidR="00366397" w:rsidRPr="00366397" w:rsidRDefault="00366397" w:rsidP="00D178C7">
            <w:pPr>
              <w:pStyle w:val="TableTextBold"/>
              <w:spacing w:before="50" w:after="50"/>
              <w:rPr>
                <w:color w:val="FFFFFF"/>
              </w:rPr>
            </w:pPr>
            <w:r w:rsidRPr="00366397">
              <w:rPr>
                <w:rFonts w:eastAsia="Calibri"/>
                <w:color w:val="FFFFFF"/>
              </w:rPr>
              <w:t>Additional justification</w:t>
            </w:r>
          </w:p>
        </w:tc>
      </w:tr>
      <w:tr w:rsidR="00366397" w:rsidRPr="008A2236" w14:paraId="17EB5889" w14:textId="77777777" w:rsidTr="001959CB">
        <w:trPr>
          <w:cantSplit/>
          <w:trHeight w:val="283"/>
        </w:trPr>
        <w:tc>
          <w:tcPr>
            <w:tcW w:w="5359" w:type="dxa"/>
            <w:shd w:val="clear" w:color="auto" w:fill="FFFFFF"/>
            <w:tcMar>
              <w:top w:w="0" w:type="dxa"/>
              <w:left w:w="85" w:type="dxa"/>
              <w:bottom w:w="0" w:type="dxa"/>
              <w:right w:w="85" w:type="dxa"/>
            </w:tcMar>
          </w:tcPr>
          <w:p w14:paraId="7F923CBB" w14:textId="77777777" w:rsidR="00366397" w:rsidRPr="008A2236" w:rsidRDefault="00366397" w:rsidP="00D178C7">
            <w:pPr>
              <w:pStyle w:val="TableText"/>
              <w:spacing w:before="50" w:after="50"/>
            </w:pPr>
            <w:r w:rsidRPr="008A2236">
              <w:rPr>
                <w:rFonts w:eastAsia="Calibri"/>
              </w:rPr>
              <w:t>Emissions from the use of HFC-134a and R404A in industrial and commercial refrigeration and stationary air conditioning were recalculated to better account for observed changes in stocks held by importers and users and consequently the amounts added to banks.</w:t>
            </w:r>
          </w:p>
        </w:tc>
        <w:tc>
          <w:tcPr>
            <w:tcW w:w="1276" w:type="dxa"/>
            <w:shd w:val="clear" w:color="auto" w:fill="FFFFFF"/>
            <w:tcMar>
              <w:top w:w="0" w:type="dxa"/>
              <w:left w:w="85" w:type="dxa"/>
              <w:bottom w:w="0" w:type="dxa"/>
              <w:right w:w="85" w:type="dxa"/>
            </w:tcMar>
          </w:tcPr>
          <w:p w14:paraId="2830C7A6" w14:textId="77777777" w:rsidR="00366397" w:rsidRPr="008A2236" w:rsidRDefault="00366397" w:rsidP="00D178C7">
            <w:pPr>
              <w:pStyle w:val="TableText"/>
              <w:spacing w:before="50" w:after="50"/>
            </w:pPr>
            <w:r w:rsidRPr="008A2236">
              <w:rPr>
                <w:rFonts w:eastAsia="Calibri"/>
              </w:rPr>
              <w:t>Accuracy</w:t>
            </w:r>
          </w:p>
        </w:tc>
        <w:tc>
          <w:tcPr>
            <w:tcW w:w="1870" w:type="dxa"/>
            <w:shd w:val="clear" w:color="auto" w:fill="FFFFFF"/>
            <w:tcMar>
              <w:top w:w="0" w:type="dxa"/>
              <w:left w:w="85" w:type="dxa"/>
              <w:bottom w:w="0" w:type="dxa"/>
              <w:right w:w="85" w:type="dxa"/>
            </w:tcMar>
          </w:tcPr>
          <w:p w14:paraId="7267EC91" w14:textId="77777777" w:rsidR="00366397" w:rsidRPr="008A2236" w:rsidRDefault="00366397" w:rsidP="00D178C7">
            <w:pPr>
              <w:pStyle w:val="TableText"/>
              <w:spacing w:before="50" w:after="50"/>
            </w:pPr>
            <w:r w:rsidRPr="00366397">
              <w:rPr>
                <w:rFonts w:eastAsia="Calibri"/>
                <w:color w:val="000000"/>
              </w:rPr>
              <w:t>Improved data available</w:t>
            </w:r>
          </w:p>
        </w:tc>
      </w:tr>
      <w:tr w:rsidR="00366397" w:rsidRPr="008A2236" w14:paraId="5328CB5A" w14:textId="77777777" w:rsidTr="001959CB">
        <w:trPr>
          <w:cantSplit/>
          <w:trHeight w:val="283"/>
        </w:trPr>
        <w:tc>
          <w:tcPr>
            <w:tcW w:w="5359" w:type="dxa"/>
            <w:shd w:val="clear" w:color="auto" w:fill="FFFFFF"/>
            <w:tcMar>
              <w:top w:w="0" w:type="dxa"/>
              <w:left w:w="85" w:type="dxa"/>
              <w:bottom w:w="0" w:type="dxa"/>
              <w:right w:w="85" w:type="dxa"/>
            </w:tcMar>
          </w:tcPr>
          <w:p w14:paraId="3AB03BF0" w14:textId="77777777" w:rsidR="00366397" w:rsidRPr="008A2236" w:rsidRDefault="00366397" w:rsidP="00D178C7">
            <w:pPr>
              <w:pStyle w:val="TableText"/>
              <w:spacing w:before="50" w:after="50"/>
              <w:rPr>
                <w:rFonts w:eastAsia="Calibri"/>
              </w:rPr>
            </w:pPr>
            <w:r w:rsidRPr="008A2236">
              <w:rPr>
                <w:rFonts w:eastAsia="Calibri"/>
              </w:rPr>
              <w:t xml:space="preserve">A small amount of imported refrigerant, which is not included in import levies and may represent illegal imports, has been assessed. </w:t>
            </w:r>
          </w:p>
        </w:tc>
        <w:tc>
          <w:tcPr>
            <w:tcW w:w="1276" w:type="dxa"/>
            <w:shd w:val="clear" w:color="auto" w:fill="FFFFFF"/>
            <w:tcMar>
              <w:top w:w="0" w:type="dxa"/>
              <w:left w:w="85" w:type="dxa"/>
              <w:bottom w:w="0" w:type="dxa"/>
              <w:right w:w="85" w:type="dxa"/>
            </w:tcMar>
          </w:tcPr>
          <w:p w14:paraId="15F83A8F" w14:textId="77777777" w:rsidR="00366397" w:rsidRPr="008A2236" w:rsidRDefault="00366397" w:rsidP="00D178C7">
            <w:pPr>
              <w:pStyle w:val="TableText"/>
              <w:spacing w:before="50" w:after="50"/>
              <w:rPr>
                <w:rFonts w:eastAsia="Calibri"/>
              </w:rPr>
            </w:pPr>
            <w:r w:rsidRPr="008A2236">
              <w:rPr>
                <w:rFonts w:eastAsia="Calibri"/>
              </w:rPr>
              <w:t>Accuracy</w:t>
            </w:r>
          </w:p>
        </w:tc>
        <w:tc>
          <w:tcPr>
            <w:tcW w:w="1870" w:type="dxa"/>
            <w:shd w:val="clear" w:color="auto" w:fill="FFFFFF"/>
            <w:tcMar>
              <w:top w:w="0" w:type="dxa"/>
              <w:left w:w="85" w:type="dxa"/>
              <w:bottom w:w="0" w:type="dxa"/>
              <w:right w:w="85" w:type="dxa"/>
            </w:tcMar>
          </w:tcPr>
          <w:p w14:paraId="6EEB47A7" w14:textId="77777777" w:rsidR="00366397" w:rsidRPr="008A2236" w:rsidRDefault="00366397" w:rsidP="00D178C7">
            <w:pPr>
              <w:pStyle w:val="TableText"/>
              <w:spacing w:before="50" w:after="50"/>
              <w:rPr>
                <w:rFonts w:eastAsia="Calibri"/>
              </w:rPr>
            </w:pPr>
            <w:r w:rsidRPr="00366397">
              <w:rPr>
                <w:rFonts w:eastAsia="Calibri"/>
                <w:color w:val="000000"/>
              </w:rPr>
              <w:t xml:space="preserve">Improved data available </w:t>
            </w:r>
          </w:p>
        </w:tc>
      </w:tr>
      <w:tr w:rsidR="00366397" w:rsidRPr="008A2236" w14:paraId="43CF2DA7" w14:textId="77777777" w:rsidTr="001959CB">
        <w:trPr>
          <w:cantSplit/>
          <w:trHeight w:val="283"/>
        </w:trPr>
        <w:tc>
          <w:tcPr>
            <w:tcW w:w="5359" w:type="dxa"/>
            <w:shd w:val="clear" w:color="auto" w:fill="FFFFFF"/>
            <w:tcMar>
              <w:top w:w="0" w:type="dxa"/>
              <w:left w:w="85" w:type="dxa"/>
              <w:bottom w:w="0" w:type="dxa"/>
              <w:right w:w="85" w:type="dxa"/>
            </w:tcMar>
          </w:tcPr>
          <w:p w14:paraId="5F0E14EF" w14:textId="77777777" w:rsidR="00366397" w:rsidRPr="008A2236" w:rsidRDefault="00366397" w:rsidP="00D178C7">
            <w:pPr>
              <w:pStyle w:val="TableText"/>
              <w:spacing w:before="50" w:after="50"/>
            </w:pPr>
            <w:r w:rsidRPr="00366397">
              <w:rPr>
                <w:rFonts w:eastAsia="Calibri"/>
                <w:color w:val="000000"/>
              </w:rPr>
              <w:t xml:space="preserve">A small amount of emissions from foam blowing is now reported as stocks rather than manufacturing, with no change in total emissions. </w:t>
            </w:r>
          </w:p>
        </w:tc>
        <w:tc>
          <w:tcPr>
            <w:tcW w:w="1276" w:type="dxa"/>
            <w:shd w:val="clear" w:color="auto" w:fill="FFFFFF"/>
            <w:tcMar>
              <w:top w:w="0" w:type="dxa"/>
              <w:left w:w="85" w:type="dxa"/>
              <w:bottom w:w="0" w:type="dxa"/>
              <w:right w:w="85" w:type="dxa"/>
            </w:tcMar>
          </w:tcPr>
          <w:p w14:paraId="3A45FB7A" w14:textId="77777777" w:rsidR="00366397" w:rsidRPr="008A2236" w:rsidRDefault="00366397" w:rsidP="00D178C7">
            <w:pPr>
              <w:pStyle w:val="TableText"/>
              <w:spacing w:before="50" w:after="50"/>
            </w:pPr>
            <w:r w:rsidRPr="008A2236">
              <w:rPr>
                <w:rFonts w:eastAsia="Calibri"/>
              </w:rPr>
              <w:t>Comparability</w:t>
            </w:r>
          </w:p>
        </w:tc>
        <w:tc>
          <w:tcPr>
            <w:tcW w:w="1870" w:type="dxa"/>
            <w:shd w:val="clear" w:color="auto" w:fill="FFFFFF"/>
            <w:tcMar>
              <w:top w:w="0" w:type="dxa"/>
              <w:left w:w="85" w:type="dxa"/>
              <w:bottom w:w="0" w:type="dxa"/>
              <w:right w:w="85" w:type="dxa"/>
            </w:tcMar>
          </w:tcPr>
          <w:p w14:paraId="29CD4B51" w14:textId="77777777" w:rsidR="00366397" w:rsidRPr="008A2236" w:rsidRDefault="00366397" w:rsidP="00D178C7">
            <w:pPr>
              <w:pStyle w:val="TableText"/>
              <w:spacing w:before="50" w:after="50"/>
            </w:pPr>
            <w:r w:rsidRPr="00366397">
              <w:rPr>
                <w:rFonts w:eastAsia="Calibri"/>
                <w:color w:val="000000"/>
              </w:rPr>
              <w:t xml:space="preserve">Correction of an error </w:t>
            </w:r>
          </w:p>
        </w:tc>
      </w:tr>
      <w:tr w:rsidR="00366397" w:rsidRPr="008A2236" w14:paraId="5BC59100" w14:textId="77777777" w:rsidTr="001959CB">
        <w:trPr>
          <w:cantSplit/>
          <w:trHeight w:val="283"/>
        </w:trPr>
        <w:tc>
          <w:tcPr>
            <w:tcW w:w="5359" w:type="dxa"/>
            <w:shd w:val="clear" w:color="auto" w:fill="FFFFFF"/>
            <w:tcMar>
              <w:top w:w="0" w:type="dxa"/>
              <w:left w:w="85" w:type="dxa"/>
              <w:bottom w:w="0" w:type="dxa"/>
              <w:right w:w="85" w:type="dxa"/>
            </w:tcMar>
          </w:tcPr>
          <w:p w14:paraId="7E174797" w14:textId="77777777" w:rsidR="00366397" w:rsidRPr="008A2236" w:rsidRDefault="00366397" w:rsidP="00D178C7">
            <w:pPr>
              <w:pStyle w:val="TableText"/>
              <w:spacing w:before="50" w:after="50"/>
            </w:pPr>
            <w:r w:rsidRPr="008A2236">
              <w:rPr>
                <w:rFonts w:eastAsia="Calibri"/>
              </w:rPr>
              <w:t>Estimated capacity of equipment using SF</w:t>
            </w:r>
            <w:r w:rsidRPr="008A2236">
              <w:rPr>
                <w:rFonts w:eastAsia="Calibri"/>
                <w:vertAlign w:val="subscript"/>
              </w:rPr>
              <w:t>6</w:t>
            </w:r>
            <w:r w:rsidRPr="008A2236">
              <w:rPr>
                <w:rFonts w:eastAsia="Calibri"/>
              </w:rPr>
              <w:t xml:space="preserve"> in the electricity industry has been updated, resulting in increased manufacturing emissions and decreased emissions from stocks, with no significant net change. </w:t>
            </w:r>
          </w:p>
        </w:tc>
        <w:tc>
          <w:tcPr>
            <w:tcW w:w="1276" w:type="dxa"/>
            <w:shd w:val="clear" w:color="auto" w:fill="FFFFFF"/>
            <w:tcMar>
              <w:top w:w="0" w:type="dxa"/>
              <w:left w:w="85" w:type="dxa"/>
              <w:bottom w:w="0" w:type="dxa"/>
              <w:right w:w="85" w:type="dxa"/>
            </w:tcMar>
          </w:tcPr>
          <w:p w14:paraId="5E226995" w14:textId="77777777" w:rsidR="00366397" w:rsidRPr="008A2236" w:rsidRDefault="00366397" w:rsidP="00D178C7">
            <w:pPr>
              <w:pStyle w:val="TableText"/>
              <w:spacing w:before="50" w:after="50"/>
            </w:pPr>
            <w:r w:rsidRPr="008A2236">
              <w:rPr>
                <w:rFonts w:eastAsia="Calibri"/>
              </w:rPr>
              <w:t>Comparability</w:t>
            </w:r>
          </w:p>
        </w:tc>
        <w:tc>
          <w:tcPr>
            <w:tcW w:w="1870" w:type="dxa"/>
            <w:shd w:val="clear" w:color="auto" w:fill="FFFFFF"/>
            <w:tcMar>
              <w:top w:w="0" w:type="dxa"/>
              <w:left w:w="85" w:type="dxa"/>
              <w:bottom w:w="0" w:type="dxa"/>
              <w:right w:w="85" w:type="dxa"/>
            </w:tcMar>
          </w:tcPr>
          <w:p w14:paraId="69397189" w14:textId="77777777" w:rsidR="00366397" w:rsidRPr="008A2236" w:rsidRDefault="00366397" w:rsidP="00D178C7">
            <w:pPr>
              <w:pStyle w:val="TableText"/>
              <w:spacing w:before="50" w:after="50"/>
            </w:pPr>
            <w:r w:rsidRPr="00366397">
              <w:rPr>
                <w:rFonts w:eastAsia="Calibri"/>
                <w:color w:val="000000"/>
              </w:rPr>
              <w:t>Improved data available</w:t>
            </w:r>
          </w:p>
        </w:tc>
      </w:tr>
      <w:tr w:rsidR="00366397" w:rsidRPr="008A2236" w14:paraId="1FE68681" w14:textId="77777777" w:rsidTr="001959CB">
        <w:trPr>
          <w:cantSplit/>
          <w:trHeight w:val="283"/>
        </w:trPr>
        <w:tc>
          <w:tcPr>
            <w:tcW w:w="5359" w:type="dxa"/>
            <w:shd w:val="clear" w:color="auto" w:fill="FFFFFF"/>
            <w:tcMar>
              <w:top w:w="0" w:type="dxa"/>
              <w:left w:w="85" w:type="dxa"/>
              <w:bottom w:w="0" w:type="dxa"/>
              <w:right w:w="85" w:type="dxa"/>
            </w:tcMar>
          </w:tcPr>
          <w:p w14:paraId="45588CFC" w14:textId="77777777" w:rsidR="00366397" w:rsidRPr="008A2236" w:rsidRDefault="00366397" w:rsidP="00D178C7">
            <w:pPr>
              <w:pStyle w:val="TableText"/>
              <w:spacing w:before="50" w:after="50"/>
            </w:pPr>
            <w:r w:rsidRPr="008A2236">
              <w:rPr>
                <w:rFonts w:eastAsia="Calibri"/>
              </w:rPr>
              <w:t>Emissions of N</w:t>
            </w:r>
            <w:r w:rsidRPr="008A2236">
              <w:rPr>
                <w:rFonts w:eastAsia="Calibri"/>
                <w:vertAlign w:val="subscript"/>
              </w:rPr>
              <w:t>2</w:t>
            </w:r>
            <w:r w:rsidRPr="008A2236">
              <w:rPr>
                <w:rFonts w:eastAsia="Calibri"/>
              </w:rPr>
              <w:t>O were recalculated to account for a small amount exported from New Zealand in 2012 and 2019.</w:t>
            </w:r>
          </w:p>
        </w:tc>
        <w:tc>
          <w:tcPr>
            <w:tcW w:w="1276" w:type="dxa"/>
            <w:shd w:val="clear" w:color="auto" w:fill="FFFFFF"/>
            <w:tcMar>
              <w:top w:w="0" w:type="dxa"/>
              <w:left w:w="85" w:type="dxa"/>
              <w:bottom w:w="0" w:type="dxa"/>
              <w:right w:w="85" w:type="dxa"/>
            </w:tcMar>
          </w:tcPr>
          <w:p w14:paraId="71256D2B" w14:textId="77777777" w:rsidR="00366397" w:rsidRPr="008A2236" w:rsidRDefault="00366397" w:rsidP="00D178C7">
            <w:pPr>
              <w:pStyle w:val="TableText"/>
              <w:spacing w:before="50" w:after="50"/>
            </w:pPr>
            <w:r w:rsidRPr="008A2236">
              <w:rPr>
                <w:rFonts w:eastAsia="Calibri"/>
              </w:rPr>
              <w:t>Accuracy</w:t>
            </w:r>
          </w:p>
        </w:tc>
        <w:tc>
          <w:tcPr>
            <w:tcW w:w="1870" w:type="dxa"/>
            <w:shd w:val="clear" w:color="auto" w:fill="FFFFFF"/>
            <w:tcMar>
              <w:top w:w="0" w:type="dxa"/>
              <w:left w:w="85" w:type="dxa"/>
              <w:bottom w:w="0" w:type="dxa"/>
              <w:right w:w="85" w:type="dxa"/>
            </w:tcMar>
          </w:tcPr>
          <w:p w14:paraId="43DA11B8" w14:textId="77777777" w:rsidR="00366397" w:rsidRPr="008A2236" w:rsidRDefault="00366397" w:rsidP="00D178C7">
            <w:pPr>
              <w:pStyle w:val="TableText"/>
              <w:spacing w:before="50" w:after="50"/>
            </w:pPr>
            <w:r w:rsidRPr="00366397">
              <w:rPr>
                <w:rFonts w:eastAsia="Calibri"/>
                <w:color w:val="000000"/>
              </w:rPr>
              <w:t>Improved data available</w:t>
            </w:r>
          </w:p>
        </w:tc>
      </w:tr>
    </w:tbl>
    <w:p w14:paraId="69C2C15A" w14:textId="6F86B347" w:rsidR="00366397" w:rsidRPr="008A2236" w:rsidRDefault="00366397" w:rsidP="00D178C7">
      <w:pPr>
        <w:pStyle w:val="Figure"/>
        <w:spacing w:before="240"/>
      </w:pPr>
      <w:bookmarkStart w:id="2638" w:name="_Toc99696070"/>
      <w:r w:rsidRPr="008A2236">
        <w:lastRenderedPageBreak/>
        <w:t>Figure 10.1.3</w:t>
      </w:r>
      <w:r w:rsidRPr="008A2236">
        <w:tab/>
        <w:t xml:space="preserve">Effect </w:t>
      </w:r>
      <w:r w:rsidRPr="00E751E2">
        <w:t>of</w:t>
      </w:r>
      <w:r w:rsidRPr="008A2236">
        <w:t xml:space="preserve"> recalculations on </w:t>
      </w:r>
      <w:r>
        <w:t>emissions estimates from</w:t>
      </w:r>
      <w:r w:rsidRPr="008A2236">
        <w:t xml:space="preserve"> the IPPU sector from 1990 to 2019</w:t>
      </w:r>
      <w:bookmarkEnd w:id="2638"/>
    </w:p>
    <w:p w14:paraId="6F808644" w14:textId="721F6C51" w:rsidR="00366397" w:rsidRPr="008A2236" w:rsidRDefault="004B48CC" w:rsidP="00D178C7">
      <w:pPr>
        <w:pStyle w:val="BodyText"/>
        <w:spacing w:after="0"/>
        <w:jc w:val="center"/>
      </w:pPr>
      <w:r>
        <w:rPr>
          <w:noProof/>
        </w:rPr>
        <w:pict w14:anchorId="3BDA5154">
          <v:shape id="_x0000_i1146" type="#_x0000_t75" style="width:411.9pt;height:300.55pt;visibility:visible;mso-wrap-style:square">
            <v:imagedata r:id="rId262" o:title="" cropbottom="1541f"/>
          </v:shape>
        </w:pict>
      </w:r>
    </w:p>
    <w:p w14:paraId="30ABC01C" w14:textId="77777777" w:rsidR="00366397" w:rsidRPr="008A2236" w:rsidRDefault="00366397" w:rsidP="00366397">
      <w:pPr>
        <w:pStyle w:val="Heading3"/>
      </w:pPr>
      <w:bookmarkStart w:id="2639" w:name="agriculture"/>
      <w:bookmarkEnd w:id="2636"/>
      <w:r w:rsidRPr="008A2236">
        <w:t xml:space="preserve">10.1.3 </w:t>
      </w:r>
      <w:r>
        <w:tab/>
      </w:r>
      <w:r w:rsidRPr="008A2236">
        <w:t>Agriculture</w:t>
      </w:r>
    </w:p>
    <w:p w14:paraId="47F5D11B" w14:textId="77777777" w:rsidR="00366397" w:rsidRPr="008A2236" w:rsidRDefault="00366397" w:rsidP="00366397">
      <w:pPr>
        <w:pStyle w:val="BodyText"/>
      </w:pPr>
      <w:r w:rsidRPr="008A2236">
        <w:t xml:space="preserve">Improvements and recalculations made to the Agriculture </w:t>
      </w:r>
      <w:r>
        <w:t>inventory</w:t>
      </w:r>
      <w:r w:rsidRPr="008A2236">
        <w:t xml:space="preserve"> in the 2022 submission have resulted in a 0.1 percent (47.4 kt CO</w:t>
      </w:r>
      <w:r w:rsidRPr="008A2236">
        <w:rPr>
          <w:vertAlign w:val="subscript"/>
        </w:rPr>
        <w:t>2</w:t>
      </w:r>
      <w:r w:rsidRPr="008A2236">
        <w:t>-e) decrease in estimated agricultural emissions in 1990 and a 0.3 percent (99.1 kt CO</w:t>
      </w:r>
      <w:r w:rsidRPr="008A2236">
        <w:rPr>
          <w:vertAlign w:val="subscript"/>
        </w:rPr>
        <w:t>2</w:t>
      </w:r>
      <w:r w:rsidRPr="008A2236">
        <w:t xml:space="preserve">-e) decrease in </w:t>
      </w:r>
      <w:r>
        <w:t xml:space="preserve">estimated </w:t>
      </w:r>
      <w:r w:rsidRPr="008A2236">
        <w:t>agricultural emissions in 2019</w:t>
      </w:r>
      <w:r>
        <w:t xml:space="preserve"> (figure 10.1.4)</w:t>
      </w:r>
      <w:r w:rsidRPr="008A2236">
        <w:t>.</w:t>
      </w:r>
    </w:p>
    <w:p w14:paraId="3C63D7F8" w14:textId="77777777" w:rsidR="00366397" w:rsidRPr="008A2236" w:rsidRDefault="00366397" w:rsidP="00366397">
      <w:pPr>
        <w:pStyle w:val="BodyText"/>
      </w:pPr>
      <w:r w:rsidRPr="008A2236">
        <w:t>The improvements that have been implemented</w:t>
      </w:r>
      <w:r w:rsidRPr="001A775A">
        <w:t xml:space="preserve"> </w:t>
      </w:r>
      <w:r>
        <w:t xml:space="preserve">for the </w:t>
      </w:r>
      <w:r w:rsidRPr="008A2236">
        <w:t>Agriculture</w:t>
      </w:r>
      <w:r>
        <w:t xml:space="preserve"> inventory</w:t>
      </w:r>
      <w:r w:rsidRPr="008A2236">
        <w:t xml:space="preserve"> in the 2022 </w:t>
      </w:r>
      <w:r>
        <w:t xml:space="preserve">submission </w:t>
      </w:r>
      <w:r w:rsidRPr="008A2236">
        <w:t>are:</w:t>
      </w:r>
    </w:p>
    <w:p w14:paraId="5D6112CB" w14:textId="77777777" w:rsidR="00366397" w:rsidRPr="008A2236" w:rsidRDefault="00366397" w:rsidP="00366397">
      <w:pPr>
        <w:pStyle w:val="Bullet"/>
        <w:numPr>
          <w:ilvl w:val="0"/>
          <w:numId w:val="16"/>
        </w:numPr>
        <w:tabs>
          <w:tab w:val="clear" w:pos="0"/>
        </w:tabs>
        <w:ind w:left="397" w:hanging="397"/>
      </w:pPr>
      <w:r w:rsidRPr="008A2236">
        <w:t>the use of a new Frac</w:t>
      </w:r>
      <w:r w:rsidRPr="008A2236">
        <w:rPr>
          <w:vertAlign w:val="subscript"/>
        </w:rPr>
        <w:t>LEACH</w:t>
      </w:r>
      <w:r w:rsidRPr="008A2236">
        <w:t xml:space="preserve"> value for nitrogen fertiliser applied to </w:t>
      </w:r>
      <w:r w:rsidRPr="00EF6B99">
        <w:t>cropland</w:t>
      </w:r>
    </w:p>
    <w:p w14:paraId="701ADD72" w14:textId="77777777" w:rsidR="00366397" w:rsidRPr="008A2236" w:rsidRDefault="00366397" w:rsidP="00366397">
      <w:pPr>
        <w:pStyle w:val="Bullet"/>
        <w:numPr>
          <w:ilvl w:val="0"/>
          <w:numId w:val="16"/>
        </w:numPr>
        <w:tabs>
          <w:tab w:val="clear" w:pos="0"/>
        </w:tabs>
        <w:ind w:left="397" w:hanging="397"/>
      </w:pPr>
      <w:r w:rsidRPr="008A2236">
        <w:t>an updated estimate regarding the purity of agricultural lime</w:t>
      </w:r>
    </w:p>
    <w:p w14:paraId="51AE473D" w14:textId="77777777" w:rsidR="00366397" w:rsidRPr="008A2236" w:rsidRDefault="00366397" w:rsidP="00366397">
      <w:pPr>
        <w:pStyle w:val="Bullet"/>
        <w:numPr>
          <w:ilvl w:val="0"/>
          <w:numId w:val="16"/>
        </w:numPr>
        <w:tabs>
          <w:tab w:val="clear" w:pos="0"/>
        </w:tabs>
        <w:ind w:left="397" w:hanging="397"/>
      </w:pPr>
      <w:r>
        <w:t xml:space="preserve">updated </w:t>
      </w:r>
      <w:r w:rsidRPr="008A2236">
        <w:t xml:space="preserve">emissions estimates from livestock (except those </w:t>
      </w:r>
      <w:r>
        <w:t>that</w:t>
      </w:r>
      <w:r w:rsidRPr="008A2236">
        <w:t xml:space="preserve"> have a fixed population assumption)</w:t>
      </w:r>
      <w:r>
        <w:t>,</w:t>
      </w:r>
      <w:r w:rsidRPr="008A2236">
        <w:t xml:space="preserve"> using the latest available activity data from the sources described in chapter</w:t>
      </w:r>
      <w:r>
        <w:t> </w:t>
      </w:r>
      <w:r w:rsidRPr="008A2236">
        <w:t>5, section 5.1.4.</w:t>
      </w:r>
    </w:p>
    <w:p w14:paraId="25EFCD7F" w14:textId="77777777" w:rsidR="00366397" w:rsidRPr="00D178C7" w:rsidRDefault="00366397" w:rsidP="00D178C7">
      <w:pPr>
        <w:pStyle w:val="Heading5"/>
      </w:pPr>
      <w:bookmarkStart w:id="2640" w:name="X14c4b9e50e41f705a2c49afe09bb0dd79228236"/>
      <w:r w:rsidRPr="008A2236">
        <w:t>Disaggregation of the Frac</w:t>
      </w:r>
      <w:r w:rsidRPr="008A2236">
        <w:rPr>
          <w:vertAlign w:val="subscript"/>
        </w:rPr>
        <w:t>LEACH</w:t>
      </w:r>
      <w:r w:rsidRPr="008A2236">
        <w:t xml:space="preserve"> parameter</w:t>
      </w:r>
    </w:p>
    <w:p w14:paraId="7BAB4EE9" w14:textId="0F50BBB4" w:rsidR="00366397" w:rsidRPr="008A2236" w:rsidRDefault="00366397" w:rsidP="00366397">
      <w:pPr>
        <w:pStyle w:val="BodyText"/>
      </w:pPr>
      <w:r w:rsidRPr="008A2236">
        <w:t>For the 2022 submission, the Frac</w:t>
      </w:r>
      <w:r w:rsidRPr="008A2236">
        <w:rPr>
          <w:vertAlign w:val="subscript"/>
        </w:rPr>
        <w:t>LEACH</w:t>
      </w:r>
      <w:r w:rsidRPr="008A2236">
        <w:t xml:space="preserve"> parameter has been disaggregated into two values, 0.10</w:t>
      </w:r>
      <w:r w:rsidR="00D178C7">
        <w:t> </w:t>
      </w:r>
      <w:r w:rsidRPr="008A2236">
        <w:t>for cropping systems and 0.07 for grassland. The value of 0.10 for cropping systems was derived by Welten et al. (2021), using measured and modelled values from OVERSEER® to estimate nitrogen leaching for a variety of arable and vegetable cropping systems. Variables in</w:t>
      </w:r>
      <w:r w:rsidR="00D178C7">
        <w:t> </w:t>
      </w:r>
      <w:r w:rsidRPr="008A2236">
        <w:t>their analysis included cropping rotation sequences, regions, soil types and rainfall. This investigation produced a recommendation for a Frac</w:t>
      </w:r>
      <w:r w:rsidRPr="008A2236">
        <w:rPr>
          <w:vertAlign w:val="subscript"/>
        </w:rPr>
        <w:t>LEACH</w:t>
      </w:r>
      <w:r w:rsidRPr="008A2236">
        <w:t xml:space="preserve"> value that is more representative of</w:t>
      </w:r>
      <w:r w:rsidR="00D178C7">
        <w:t> </w:t>
      </w:r>
      <w:r w:rsidRPr="008A2236">
        <w:t>cropping systems in New Zealand than the value of 0.07 that has been applied across all agricultural systems in previous submissions. This change was recommended by the Agriculture Inventory Advisory Panel</w:t>
      </w:r>
      <w:r>
        <w:t xml:space="preserve"> (the Panel)</w:t>
      </w:r>
      <w:r w:rsidRPr="008A2236">
        <w:t xml:space="preserve"> </w:t>
      </w:r>
      <w:r>
        <w:t>at its meeting</w:t>
      </w:r>
      <w:r w:rsidRPr="008A2236">
        <w:t xml:space="preserve"> on </w:t>
      </w:r>
      <w:r>
        <w:t xml:space="preserve">4 </w:t>
      </w:r>
      <w:r w:rsidRPr="008A2236">
        <w:t>November 2021.</w:t>
      </w:r>
    </w:p>
    <w:p w14:paraId="75FF2F50" w14:textId="77777777" w:rsidR="00366397" w:rsidRPr="008A2236" w:rsidRDefault="00366397" w:rsidP="00366397">
      <w:pPr>
        <w:pStyle w:val="BodyText"/>
      </w:pPr>
      <w:r w:rsidRPr="008A2236">
        <w:lastRenderedPageBreak/>
        <w:t>Welten et al. (2021) recommended adopti</w:t>
      </w:r>
      <w:r>
        <w:t>ng</w:t>
      </w:r>
      <w:r w:rsidRPr="008A2236">
        <w:t xml:space="preserve"> a Frac</w:t>
      </w:r>
      <w:r w:rsidRPr="008A2236">
        <w:rPr>
          <w:vertAlign w:val="subscript"/>
        </w:rPr>
        <w:t>LEACH</w:t>
      </w:r>
      <w:r w:rsidRPr="008A2236">
        <w:t xml:space="preserve"> value of 0.08 for grassland, which the Panel </w:t>
      </w:r>
      <w:r>
        <w:t>also</w:t>
      </w:r>
      <w:r w:rsidRPr="008A2236">
        <w:t xml:space="preserve"> recommended in principle, subject to further investigation as to whether the pasture nutrition data in OVERSEER® </w:t>
      </w:r>
      <w:r>
        <w:t>are</w:t>
      </w:r>
      <w:r w:rsidRPr="008A2236">
        <w:t xml:space="preserve"> representative of pasture nutrition data in the Agriculture inventory. As such, the current Frac</w:t>
      </w:r>
      <w:r w:rsidRPr="008A2236">
        <w:rPr>
          <w:vertAlign w:val="subscript"/>
        </w:rPr>
        <w:t>LEACH</w:t>
      </w:r>
      <w:r w:rsidRPr="008A2236">
        <w:t xml:space="preserve"> value of 0.07 for grazing systems has been retained for the 2022 submission until the Panel’s recommendation has been addressed.</w:t>
      </w:r>
    </w:p>
    <w:p w14:paraId="59C6F4D7" w14:textId="77777777" w:rsidR="00366397" w:rsidRPr="008A2236" w:rsidRDefault="00366397" w:rsidP="00366397">
      <w:pPr>
        <w:pStyle w:val="BodyText"/>
      </w:pPr>
      <w:r w:rsidRPr="008A2236">
        <w:t>Previously, a uniform Frac</w:t>
      </w:r>
      <w:r w:rsidRPr="008A2236">
        <w:rPr>
          <w:vertAlign w:val="subscript"/>
        </w:rPr>
        <w:t>LEACH</w:t>
      </w:r>
      <w:r w:rsidRPr="008A2236">
        <w:t xml:space="preserve"> value of 0.07 was used for all nitrogen fertiliser applied to agricultural soil in New Zealand. This value was sourced from Thomas et al. (2005), who compared nitrogen leaching estimates for different farm systems based on</w:t>
      </w:r>
      <w:r>
        <w:t xml:space="preserve"> Intergovernmental Panel on Climate Change</w:t>
      </w:r>
      <w:r w:rsidRPr="008A2236">
        <w:t xml:space="preserve"> </w:t>
      </w:r>
      <w:r>
        <w:t>(</w:t>
      </w:r>
      <w:r w:rsidRPr="008A2236">
        <w:t>IPCC</w:t>
      </w:r>
      <w:r>
        <w:t>)</w:t>
      </w:r>
      <w:r w:rsidRPr="008A2236">
        <w:t xml:space="preserve"> methodology (a value of 0.30 kg N/kg of fertiliser or manure) with estimates from OVERSEER® (Wheeler et al., 2003). The IPCC-based estimates were found, on average, to be 50 per cent higher than those </w:t>
      </w:r>
      <w:r>
        <w:t>based on</w:t>
      </w:r>
      <w:r w:rsidRPr="008A2236">
        <w:t xml:space="preserve"> the OVERSEER® nutrient budget model (using a Frac</w:t>
      </w:r>
      <w:r w:rsidRPr="008A2236">
        <w:rPr>
          <w:vertAlign w:val="subscript"/>
        </w:rPr>
        <w:t>LEACH</w:t>
      </w:r>
      <w:r w:rsidRPr="008A2236">
        <w:t xml:space="preserve"> value of 0.15</w:t>
      </w:r>
      <w:r w:rsidRPr="008A2236">
        <w:rPr>
          <w:rStyle w:val="FootnoteReference"/>
        </w:rPr>
        <w:footnoteReference w:id="71"/>
      </w:r>
      <w:r w:rsidRPr="008A2236">
        <w:t>). However, the investigation by Welten et al. (2021) found that a Frac</w:t>
      </w:r>
      <w:r w:rsidRPr="008A2236">
        <w:rPr>
          <w:vertAlign w:val="subscript"/>
        </w:rPr>
        <w:t>LEACH</w:t>
      </w:r>
      <w:r w:rsidRPr="008A2236">
        <w:t xml:space="preserve"> of 0.07 was not representative of all agricultural system types (particularly cropping), resulting in the recommended disaggregation of the Frac</w:t>
      </w:r>
      <w:r w:rsidRPr="008A2236">
        <w:rPr>
          <w:vertAlign w:val="subscript"/>
        </w:rPr>
        <w:t>LEACH</w:t>
      </w:r>
      <w:r w:rsidRPr="008A2236">
        <w:t xml:space="preserve"> parameter for the 2022 submission.</w:t>
      </w:r>
    </w:p>
    <w:p w14:paraId="40ABC1C9" w14:textId="04ADA180" w:rsidR="00366397" w:rsidRPr="008A2236" w:rsidRDefault="00366397" w:rsidP="00366397">
      <w:pPr>
        <w:pStyle w:val="BodyText"/>
      </w:pPr>
      <w:r w:rsidRPr="008A2236">
        <w:t>The implementation of this change caused estimated emissions from the Agriculture sector to</w:t>
      </w:r>
      <w:r w:rsidR="00D178C7">
        <w:t> </w:t>
      </w:r>
      <w:r w:rsidRPr="008A2236">
        <w:t>increase by 0.004 per cent (1.3 kt CO</w:t>
      </w:r>
      <w:r w:rsidRPr="008A2236">
        <w:rPr>
          <w:vertAlign w:val="subscript"/>
        </w:rPr>
        <w:t>2</w:t>
      </w:r>
      <w:r w:rsidRPr="008A2236">
        <w:t>-e) in 1990 and 0.005 per cent (1.8 kt CO</w:t>
      </w:r>
      <w:r w:rsidRPr="008A2236">
        <w:rPr>
          <w:vertAlign w:val="subscript"/>
        </w:rPr>
        <w:t>2</w:t>
      </w:r>
      <w:r w:rsidRPr="008A2236">
        <w:t>-e) in 2020 (see table 10.1.5).</w:t>
      </w:r>
    </w:p>
    <w:p w14:paraId="18360228" w14:textId="0FAA92B9" w:rsidR="00366397" w:rsidRPr="008A2236" w:rsidRDefault="00366397" w:rsidP="00366397">
      <w:pPr>
        <w:pStyle w:val="Table"/>
      </w:pPr>
      <w:bookmarkStart w:id="2641" w:name="_Toc99659375"/>
      <w:r w:rsidRPr="008A2236">
        <w:t>Table 10.1.5</w:t>
      </w:r>
      <w:r w:rsidRPr="008A2236">
        <w:tab/>
        <w:t>Comparison of current and previous emissions estimates before and after change</w:t>
      </w:r>
      <w:r w:rsidR="00E44B9D">
        <w:br/>
      </w:r>
      <w:r w:rsidRPr="008A2236">
        <w:t xml:space="preserve">to the area of </w:t>
      </w:r>
      <w:r w:rsidRPr="008A2236">
        <w:rPr>
          <w:i/>
          <w:iCs/>
        </w:rPr>
        <w:t>Leaching and runoff</w:t>
      </w:r>
      <w:r w:rsidRPr="008A2236">
        <w:t xml:space="preserve"> used in the inventory</w:t>
      </w:r>
      <w:bookmarkEnd w:id="2641"/>
    </w:p>
    <w:tbl>
      <w:tblPr>
        <w:tblW w:w="8505" w:type="dxa"/>
        <w:tblInd w:w="113"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522"/>
        <w:gridCol w:w="2017"/>
        <w:gridCol w:w="851"/>
        <w:gridCol w:w="850"/>
        <w:gridCol w:w="1559"/>
        <w:gridCol w:w="1706"/>
      </w:tblGrid>
      <w:tr w:rsidR="00366397" w:rsidRPr="00E751E2" w14:paraId="22FF2091" w14:textId="77777777" w:rsidTr="001959CB">
        <w:trPr>
          <w:cantSplit/>
          <w:tblHeader/>
        </w:trPr>
        <w:tc>
          <w:tcPr>
            <w:tcW w:w="0" w:type="auto"/>
            <w:shd w:val="clear" w:color="auto" w:fill="1B556B"/>
            <w:vAlign w:val="bottom"/>
          </w:tcPr>
          <w:p w14:paraId="6AFD6C9B" w14:textId="77777777" w:rsidR="00366397" w:rsidRPr="00366397" w:rsidRDefault="00366397" w:rsidP="0030211F">
            <w:pPr>
              <w:pStyle w:val="TableTextBold"/>
              <w:rPr>
                <w:color w:val="FFFFFF"/>
              </w:rPr>
            </w:pPr>
          </w:p>
        </w:tc>
        <w:tc>
          <w:tcPr>
            <w:tcW w:w="2017" w:type="dxa"/>
            <w:shd w:val="clear" w:color="auto" w:fill="1B556B"/>
            <w:vAlign w:val="bottom"/>
          </w:tcPr>
          <w:p w14:paraId="173C595E" w14:textId="77777777" w:rsidR="00366397" w:rsidRPr="00366397" w:rsidRDefault="00366397" w:rsidP="0030211F">
            <w:pPr>
              <w:pStyle w:val="TableTextBold"/>
              <w:rPr>
                <w:color w:val="FFFFFF"/>
              </w:rPr>
            </w:pPr>
          </w:p>
        </w:tc>
        <w:tc>
          <w:tcPr>
            <w:tcW w:w="851" w:type="dxa"/>
            <w:shd w:val="clear" w:color="auto" w:fill="1B556B"/>
            <w:vAlign w:val="bottom"/>
          </w:tcPr>
          <w:p w14:paraId="013D23B9" w14:textId="77777777" w:rsidR="00366397" w:rsidRPr="00366397" w:rsidRDefault="00366397" w:rsidP="0030211F">
            <w:pPr>
              <w:pStyle w:val="TableTextBold"/>
              <w:jc w:val="right"/>
              <w:rPr>
                <w:color w:val="FFFFFF"/>
              </w:rPr>
            </w:pPr>
            <w:r w:rsidRPr="00366397">
              <w:rPr>
                <w:rFonts w:eastAsia="Calibri"/>
                <w:color w:val="FFFFFF"/>
              </w:rPr>
              <w:t>1990</w:t>
            </w:r>
          </w:p>
        </w:tc>
        <w:tc>
          <w:tcPr>
            <w:tcW w:w="850" w:type="dxa"/>
            <w:shd w:val="clear" w:color="auto" w:fill="1B556B"/>
            <w:vAlign w:val="bottom"/>
          </w:tcPr>
          <w:p w14:paraId="21902901" w14:textId="77777777" w:rsidR="00366397" w:rsidRPr="00366397" w:rsidRDefault="00366397" w:rsidP="0030211F">
            <w:pPr>
              <w:pStyle w:val="TableTextBold"/>
              <w:jc w:val="right"/>
              <w:rPr>
                <w:color w:val="FFFFFF"/>
              </w:rPr>
            </w:pPr>
            <w:r w:rsidRPr="00366397">
              <w:rPr>
                <w:rFonts w:eastAsia="Calibri"/>
                <w:color w:val="FFFFFF"/>
              </w:rPr>
              <w:t>2020</w:t>
            </w:r>
          </w:p>
        </w:tc>
        <w:tc>
          <w:tcPr>
            <w:tcW w:w="1559" w:type="dxa"/>
            <w:shd w:val="clear" w:color="auto" w:fill="1B556B"/>
            <w:vAlign w:val="bottom"/>
          </w:tcPr>
          <w:p w14:paraId="3281D911" w14:textId="77777777" w:rsidR="00366397" w:rsidRPr="00366397" w:rsidRDefault="00366397" w:rsidP="0030211F">
            <w:pPr>
              <w:pStyle w:val="TableTextBold"/>
              <w:jc w:val="right"/>
              <w:rPr>
                <w:color w:val="FFFFFF"/>
              </w:rPr>
            </w:pPr>
            <w:r w:rsidRPr="00366397">
              <w:rPr>
                <w:rFonts w:eastAsia="Calibri"/>
                <w:color w:val="FFFFFF"/>
              </w:rPr>
              <w:t>Change in emission outputs between 1990 and 2020 (kt CO</w:t>
            </w:r>
            <w:r w:rsidRPr="00366397">
              <w:rPr>
                <w:rFonts w:eastAsia="Calibri"/>
                <w:color w:val="FFFFFF"/>
                <w:vertAlign w:val="subscript"/>
              </w:rPr>
              <w:t>2</w:t>
            </w:r>
            <w:r w:rsidRPr="00366397">
              <w:rPr>
                <w:rFonts w:eastAsia="Calibri"/>
                <w:color w:val="FFFFFF"/>
              </w:rPr>
              <w:t>-e)</w:t>
            </w:r>
          </w:p>
        </w:tc>
        <w:tc>
          <w:tcPr>
            <w:tcW w:w="1706" w:type="dxa"/>
            <w:shd w:val="clear" w:color="auto" w:fill="1B556B"/>
            <w:vAlign w:val="bottom"/>
          </w:tcPr>
          <w:p w14:paraId="3A712E04" w14:textId="77777777" w:rsidR="00366397" w:rsidRPr="00366397" w:rsidRDefault="00366397" w:rsidP="0030211F">
            <w:pPr>
              <w:pStyle w:val="TableTextBold"/>
              <w:jc w:val="right"/>
              <w:rPr>
                <w:color w:val="FFFFFF"/>
              </w:rPr>
            </w:pPr>
            <w:r w:rsidRPr="00366397">
              <w:rPr>
                <w:rFonts w:eastAsia="Calibri"/>
                <w:color w:val="FFFFFF"/>
              </w:rPr>
              <w:t>Percentage change in emission outputs between 1990 and 2020 (%)</w:t>
            </w:r>
          </w:p>
        </w:tc>
      </w:tr>
      <w:tr w:rsidR="00366397" w:rsidRPr="008A2236" w14:paraId="7404E417" w14:textId="77777777" w:rsidTr="001959CB">
        <w:trPr>
          <w:cantSplit/>
        </w:trPr>
        <w:tc>
          <w:tcPr>
            <w:tcW w:w="0" w:type="auto"/>
            <w:vMerge w:val="restart"/>
            <w:shd w:val="clear" w:color="auto" w:fill="FFFFFF"/>
            <w:vAlign w:val="center"/>
          </w:tcPr>
          <w:p w14:paraId="30911306" w14:textId="77777777" w:rsidR="00366397" w:rsidRPr="008A2236" w:rsidRDefault="00366397" w:rsidP="0030211F">
            <w:pPr>
              <w:pStyle w:val="TableText"/>
            </w:pPr>
            <w:r w:rsidRPr="008A2236">
              <w:rPr>
                <w:rFonts w:eastAsia="Calibri"/>
              </w:rPr>
              <w:t xml:space="preserve">Total emissions from Agriculture </w:t>
            </w:r>
            <w:r>
              <w:rPr>
                <w:rFonts w:eastAsia="Calibri"/>
              </w:rPr>
              <w:t>sector</w:t>
            </w:r>
            <w:r w:rsidRPr="008A2236">
              <w:rPr>
                <w:rFonts w:eastAsia="Calibri"/>
              </w:rPr>
              <w:t xml:space="preserve"> (kt</w:t>
            </w:r>
            <w:r>
              <w:rPr>
                <w:rFonts w:eastAsia="Calibri"/>
              </w:rPr>
              <w:t> </w:t>
            </w:r>
            <w:r w:rsidRPr="008A2236">
              <w:rPr>
                <w:rFonts w:eastAsia="Calibri"/>
              </w:rPr>
              <w:t>CO</w:t>
            </w:r>
            <w:r w:rsidRPr="008A2236">
              <w:rPr>
                <w:rFonts w:eastAsia="Calibri"/>
                <w:vertAlign w:val="subscript"/>
              </w:rPr>
              <w:t>2</w:t>
            </w:r>
            <w:r w:rsidRPr="008A2236">
              <w:rPr>
                <w:rFonts w:eastAsia="Calibri"/>
              </w:rPr>
              <w:t>-e)</w:t>
            </w:r>
          </w:p>
        </w:tc>
        <w:tc>
          <w:tcPr>
            <w:tcW w:w="2017" w:type="dxa"/>
            <w:shd w:val="clear" w:color="auto" w:fill="FFFFFF"/>
            <w:vAlign w:val="center"/>
          </w:tcPr>
          <w:p w14:paraId="4893976F" w14:textId="77777777" w:rsidR="00366397" w:rsidRPr="008A2236" w:rsidRDefault="00366397" w:rsidP="0030211F">
            <w:pPr>
              <w:pStyle w:val="TableText"/>
            </w:pPr>
            <w:r w:rsidRPr="008A2236">
              <w:rPr>
                <w:rFonts w:eastAsia="Calibri"/>
              </w:rPr>
              <w:t>2022 (1990–2020) emissions estimate using previous Frac</w:t>
            </w:r>
            <w:r w:rsidRPr="008A2236">
              <w:rPr>
                <w:rFonts w:eastAsia="Calibri"/>
                <w:vertAlign w:val="subscript"/>
              </w:rPr>
              <w:t>LEACH</w:t>
            </w:r>
            <w:r w:rsidRPr="008A2236">
              <w:rPr>
                <w:rFonts w:eastAsia="Calibri"/>
              </w:rPr>
              <w:t xml:space="preserve"> values</w:t>
            </w:r>
          </w:p>
        </w:tc>
        <w:tc>
          <w:tcPr>
            <w:tcW w:w="851" w:type="dxa"/>
            <w:shd w:val="clear" w:color="auto" w:fill="FFFFFF"/>
            <w:vAlign w:val="center"/>
          </w:tcPr>
          <w:p w14:paraId="61255763" w14:textId="77777777" w:rsidR="00366397" w:rsidRPr="008A2236" w:rsidRDefault="00366397" w:rsidP="0030211F">
            <w:pPr>
              <w:pStyle w:val="TableText"/>
              <w:jc w:val="right"/>
            </w:pPr>
            <w:r w:rsidRPr="008A2236">
              <w:rPr>
                <w:rFonts w:eastAsia="Calibri"/>
              </w:rPr>
              <w:t>33,791.6</w:t>
            </w:r>
          </w:p>
        </w:tc>
        <w:tc>
          <w:tcPr>
            <w:tcW w:w="850" w:type="dxa"/>
            <w:shd w:val="clear" w:color="auto" w:fill="FFFFFF"/>
            <w:vAlign w:val="center"/>
          </w:tcPr>
          <w:p w14:paraId="7096578A" w14:textId="77777777" w:rsidR="00366397" w:rsidRPr="008A2236" w:rsidRDefault="00366397" w:rsidP="0030211F">
            <w:pPr>
              <w:pStyle w:val="TableText"/>
              <w:jc w:val="right"/>
            </w:pPr>
            <w:r w:rsidRPr="008A2236">
              <w:rPr>
                <w:rFonts w:eastAsia="Calibri"/>
              </w:rPr>
              <w:t>39,423.7</w:t>
            </w:r>
          </w:p>
        </w:tc>
        <w:tc>
          <w:tcPr>
            <w:tcW w:w="1559" w:type="dxa"/>
            <w:shd w:val="clear" w:color="auto" w:fill="FFFFFF"/>
            <w:vAlign w:val="center"/>
          </w:tcPr>
          <w:p w14:paraId="52A93C86" w14:textId="77777777" w:rsidR="00366397" w:rsidRPr="008A2236" w:rsidRDefault="00366397" w:rsidP="0030211F">
            <w:pPr>
              <w:pStyle w:val="TableText"/>
              <w:jc w:val="right"/>
            </w:pPr>
            <w:r w:rsidRPr="008A2236">
              <w:rPr>
                <w:rFonts w:eastAsia="Calibri"/>
              </w:rPr>
              <w:t>5,632.1</w:t>
            </w:r>
          </w:p>
        </w:tc>
        <w:tc>
          <w:tcPr>
            <w:tcW w:w="1706" w:type="dxa"/>
            <w:shd w:val="clear" w:color="auto" w:fill="FFFFFF"/>
            <w:vAlign w:val="center"/>
          </w:tcPr>
          <w:p w14:paraId="4183B007" w14:textId="77777777" w:rsidR="00366397" w:rsidRPr="008A2236" w:rsidRDefault="00366397" w:rsidP="0030211F">
            <w:pPr>
              <w:pStyle w:val="TableText"/>
              <w:jc w:val="right"/>
            </w:pPr>
            <w:r w:rsidRPr="008A2236">
              <w:rPr>
                <w:rFonts w:eastAsia="Calibri"/>
              </w:rPr>
              <w:t>16.7</w:t>
            </w:r>
          </w:p>
        </w:tc>
      </w:tr>
      <w:tr w:rsidR="00366397" w:rsidRPr="008A2236" w14:paraId="36B9B8A6" w14:textId="77777777" w:rsidTr="001959CB">
        <w:trPr>
          <w:cantSplit/>
        </w:trPr>
        <w:tc>
          <w:tcPr>
            <w:tcW w:w="0" w:type="auto"/>
            <w:vMerge/>
            <w:shd w:val="clear" w:color="auto" w:fill="FFFFFF"/>
            <w:vAlign w:val="center"/>
          </w:tcPr>
          <w:p w14:paraId="7AAF479B" w14:textId="77777777" w:rsidR="00366397" w:rsidRPr="008A2236" w:rsidRDefault="00366397" w:rsidP="0030211F">
            <w:pPr>
              <w:ind w:left="102" w:right="102"/>
            </w:pPr>
          </w:p>
        </w:tc>
        <w:tc>
          <w:tcPr>
            <w:tcW w:w="2017" w:type="dxa"/>
            <w:shd w:val="clear" w:color="auto" w:fill="FFFFFF"/>
            <w:vAlign w:val="center"/>
          </w:tcPr>
          <w:p w14:paraId="315AEBE3" w14:textId="77777777" w:rsidR="00366397" w:rsidRPr="008A2236" w:rsidRDefault="00366397" w:rsidP="0030211F">
            <w:pPr>
              <w:pStyle w:val="TableText"/>
            </w:pPr>
            <w:r w:rsidRPr="008A2236">
              <w:rPr>
                <w:rFonts w:eastAsia="Calibri"/>
              </w:rPr>
              <w:t>2022 (1990–2020) emissions estimate using new Frac</w:t>
            </w:r>
            <w:r w:rsidRPr="008A2236">
              <w:rPr>
                <w:rFonts w:eastAsia="Calibri"/>
                <w:vertAlign w:val="subscript"/>
              </w:rPr>
              <w:t>LEACH</w:t>
            </w:r>
            <w:r w:rsidRPr="008A2236">
              <w:rPr>
                <w:rFonts w:eastAsia="Calibri"/>
              </w:rPr>
              <w:t xml:space="preserve"> values</w:t>
            </w:r>
          </w:p>
        </w:tc>
        <w:tc>
          <w:tcPr>
            <w:tcW w:w="851" w:type="dxa"/>
            <w:shd w:val="clear" w:color="auto" w:fill="FFFFFF"/>
            <w:vAlign w:val="center"/>
          </w:tcPr>
          <w:p w14:paraId="08183092" w14:textId="77777777" w:rsidR="00366397" w:rsidRPr="008A2236" w:rsidRDefault="00366397" w:rsidP="0030211F">
            <w:pPr>
              <w:pStyle w:val="TableText"/>
              <w:jc w:val="right"/>
            </w:pPr>
            <w:r w:rsidRPr="008A2236">
              <w:rPr>
                <w:rFonts w:eastAsia="Calibri"/>
              </w:rPr>
              <w:t>33,792.9</w:t>
            </w:r>
          </w:p>
        </w:tc>
        <w:tc>
          <w:tcPr>
            <w:tcW w:w="850" w:type="dxa"/>
            <w:shd w:val="clear" w:color="auto" w:fill="FFFFFF"/>
            <w:vAlign w:val="center"/>
          </w:tcPr>
          <w:p w14:paraId="230C00FF" w14:textId="77777777" w:rsidR="00366397" w:rsidRPr="008A2236" w:rsidRDefault="00366397" w:rsidP="0030211F">
            <w:pPr>
              <w:pStyle w:val="TableText"/>
              <w:jc w:val="right"/>
            </w:pPr>
            <w:r w:rsidRPr="008A2236">
              <w:rPr>
                <w:rFonts w:eastAsia="Calibri"/>
              </w:rPr>
              <w:t>39,425.5</w:t>
            </w:r>
          </w:p>
        </w:tc>
        <w:tc>
          <w:tcPr>
            <w:tcW w:w="1559" w:type="dxa"/>
            <w:shd w:val="clear" w:color="auto" w:fill="FFFFFF"/>
            <w:vAlign w:val="center"/>
          </w:tcPr>
          <w:p w14:paraId="1E8EF3B5" w14:textId="77777777" w:rsidR="00366397" w:rsidRPr="008A2236" w:rsidRDefault="00366397" w:rsidP="0030211F">
            <w:pPr>
              <w:pStyle w:val="TableText"/>
              <w:jc w:val="right"/>
            </w:pPr>
            <w:r w:rsidRPr="008A2236">
              <w:rPr>
                <w:rFonts w:eastAsia="Calibri"/>
              </w:rPr>
              <w:t>5,632.7</w:t>
            </w:r>
          </w:p>
        </w:tc>
        <w:tc>
          <w:tcPr>
            <w:tcW w:w="1706" w:type="dxa"/>
            <w:shd w:val="clear" w:color="auto" w:fill="FFFFFF"/>
            <w:vAlign w:val="center"/>
          </w:tcPr>
          <w:p w14:paraId="6D281BA7" w14:textId="77777777" w:rsidR="00366397" w:rsidRPr="008A2236" w:rsidRDefault="00366397" w:rsidP="0030211F">
            <w:pPr>
              <w:pStyle w:val="TableText"/>
              <w:jc w:val="right"/>
            </w:pPr>
            <w:r w:rsidRPr="008A2236">
              <w:rPr>
                <w:rFonts w:eastAsia="Calibri"/>
              </w:rPr>
              <w:t>16.7</w:t>
            </w:r>
          </w:p>
        </w:tc>
      </w:tr>
      <w:tr w:rsidR="00366397" w:rsidRPr="008A2236" w14:paraId="7B2E2A0B" w14:textId="77777777" w:rsidTr="001959CB">
        <w:trPr>
          <w:cantSplit/>
        </w:trPr>
        <w:tc>
          <w:tcPr>
            <w:tcW w:w="0" w:type="auto"/>
            <w:vMerge/>
            <w:shd w:val="clear" w:color="auto" w:fill="FFFFFF"/>
            <w:vAlign w:val="center"/>
          </w:tcPr>
          <w:p w14:paraId="0DED9033" w14:textId="77777777" w:rsidR="00366397" w:rsidRPr="008A2236" w:rsidRDefault="00366397" w:rsidP="0030211F">
            <w:pPr>
              <w:ind w:left="100" w:right="100"/>
            </w:pPr>
          </w:p>
        </w:tc>
        <w:tc>
          <w:tcPr>
            <w:tcW w:w="2017" w:type="dxa"/>
            <w:shd w:val="clear" w:color="auto" w:fill="FFFFFF"/>
            <w:vAlign w:val="center"/>
          </w:tcPr>
          <w:p w14:paraId="6DC1AA79" w14:textId="77777777" w:rsidR="00366397" w:rsidRPr="008A2236" w:rsidRDefault="00366397" w:rsidP="0030211F">
            <w:pPr>
              <w:pStyle w:val="TableText"/>
            </w:pPr>
            <w:r w:rsidRPr="008A2236">
              <w:rPr>
                <w:rFonts w:eastAsia="Calibri"/>
              </w:rPr>
              <w:t>Difference in emission</w:t>
            </w:r>
            <w:r>
              <w:rPr>
                <w:rFonts w:eastAsia="Calibri"/>
              </w:rPr>
              <w:t>s</w:t>
            </w:r>
            <w:r w:rsidRPr="008A2236">
              <w:rPr>
                <w:rFonts w:eastAsia="Calibri"/>
              </w:rPr>
              <w:t xml:space="preserve"> estimates compared with current inventory</w:t>
            </w:r>
          </w:p>
        </w:tc>
        <w:tc>
          <w:tcPr>
            <w:tcW w:w="851" w:type="dxa"/>
            <w:shd w:val="clear" w:color="auto" w:fill="FFFFFF"/>
            <w:vAlign w:val="center"/>
          </w:tcPr>
          <w:p w14:paraId="39B5DBC5" w14:textId="77777777" w:rsidR="00366397" w:rsidRPr="008A2236" w:rsidRDefault="00366397" w:rsidP="0030211F">
            <w:pPr>
              <w:pStyle w:val="TableText"/>
              <w:jc w:val="right"/>
            </w:pPr>
            <w:r w:rsidRPr="008A2236">
              <w:rPr>
                <w:rFonts w:eastAsia="Calibri"/>
              </w:rPr>
              <w:t>1.3</w:t>
            </w:r>
          </w:p>
        </w:tc>
        <w:tc>
          <w:tcPr>
            <w:tcW w:w="850" w:type="dxa"/>
            <w:shd w:val="clear" w:color="auto" w:fill="FFFFFF"/>
            <w:vAlign w:val="center"/>
          </w:tcPr>
          <w:p w14:paraId="10BCD921" w14:textId="77777777" w:rsidR="00366397" w:rsidRPr="008A2236" w:rsidRDefault="00366397" w:rsidP="0030211F">
            <w:pPr>
              <w:pStyle w:val="TableText"/>
              <w:jc w:val="right"/>
            </w:pPr>
            <w:r w:rsidRPr="008A2236">
              <w:rPr>
                <w:rFonts w:eastAsia="Calibri"/>
              </w:rPr>
              <w:t>1.8</w:t>
            </w:r>
          </w:p>
        </w:tc>
        <w:tc>
          <w:tcPr>
            <w:tcW w:w="1559" w:type="dxa"/>
            <w:shd w:val="clear" w:color="auto" w:fill="FFFFFF"/>
            <w:vAlign w:val="center"/>
          </w:tcPr>
          <w:p w14:paraId="37E2822F" w14:textId="77777777" w:rsidR="00366397" w:rsidRPr="008A2236" w:rsidRDefault="00366397" w:rsidP="0030211F">
            <w:pPr>
              <w:pStyle w:val="TableText"/>
              <w:jc w:val="right"/>
            </w:pPr>
            <w:r w:rsidRPr="008A2236">
              <w:rPr>
                <w:rFonts w:eastAsia="Calibri"/>
              </w:rPr>
              <w:t>0.5</w:t>
            </w:r>
          </w:p>
        </w:tc>
        <w:tc>
          <w:tcPr>
            <w:tcW w:w="1706" w:type="dxa"/>
            <w:shd w:val="clear" w:color="auto" w:fill="FFFFFF"/>
            <w:vAlign w:val="center"/>
          </w:tcPr>
          <w:p w14:paraId="07A90B96" w14:textId="77777777" w:rsidR="00366397" w:rsidRPr="008A2236" w:rsidRDefault="00366397" w:rsidP="0030211F">
            <w:pPr>
              <w:pStyle w:val="TableText"/>
              <w:jc w:val="right"/>
              <w:rPr>
                <w:rFonts w:eastAsia="Calibri"/>
              </w:rPr>
            </w:pPr>
            <w:r w:rsidRPr="008A2236">
              <w:rPr>
                <w:rFonts w:eastAsia="Calibri"/>
              </w:rPr>
              <w:t>NA</w:t>
            </w:r>
          </w:p>
        </w:tc>
      </w:tr>
      <w:tr w:rsidR="00366397" w:rsidRPr="008A2236" w14:paraId="43568CD7" w14:textId="77777777" w:rsidTr="001959CB">
        <w:trPr>
          <w:cantSplit/>
        </w:trPr>
        <w:tc>
          <w:tcPr>
            <w:tcW w:w="0" w:type="auto"/>
            <w:vMerge/>
            <w:shd w:val="clear" w:color="auto" w:fill="FFFFFF"/>
            <w:vAlign w:val="center"/>
          </w:tcPr>
          <w:p w14:paraId="350FDCCF" w14:textId="77777777" w:rsidR="00366397" w:rsidRPr="008A2236" w:rsidRDefault="00366397" w:rsidP="0030211F">
            <w:pPr>
              <w:ind w:left="100" w:right="100"/>
            </w:pPr>
          </w:p>
        </w:tc>
        <w:tc>
          <w:tcPr>
            <w:tcW w:w="2017" w:type="dxa"/>
            <w:shd w:val="clear" w:color="auto" w:fill="FFFFFF"/>
            <w:vAlign w:val="center"/>
          </w:tcPr>
          <w:p w14:paraId="3C96D1EF" w14:textId="77777777" w:rsidR="00366397" w:rsidRPr="008A2236" w:rsidRDefault="00366397" w:rsidP="0030211F">
            <w:pPr>
              <w:pStyle w:val="TableText"/>
            </w:pPr>
            <w:r w:rsidRPr="008A2236">
              <w:rPr>
                <w:rFonts w:eastAsia="Calibri"/>
              </w:rPr>
              <w:t>Percentage difference in emission</w:t>
            </w:r>
            <w:r>
              <w:rPr>
                <w:rFonts w:eastAsia="Calibri"/>
              </w:rPr>
              <w:t>s</w:t>
            </w:r>
            <w:r w:rsidRPr="008A2236">
              <w:rPr>
                <w:rFonts w:eastAsia="Calibri"/>
              </w:rPr>
              <w:t xml:space="preserve"> estimates</w:t>
            </w:r>
          </w:p>
        </w:tc>
        <w:tc>
          <w:tcPr>
            <w:tcW w:w="851" w:type="dxa"/>
            <w:shd w:val="clear" w:color="auto" w:fill="FFFFFF"/>
            <w:vAlign w:val="center"/>
          </w:tcPr>
          <w:p w14:paraId="01008469" w14:textId="77777777" w:rsidR="00366397" w:rsidRPr="008A2236" w:rsidRDefault="00366397" w:rsidP="0030211F">
            <w:pPr>
              <w:pStyle w:val="TableText"/>
              <w:jc w:val="right"/>
            </w:pPr>
            <w:r w:rsidRPr="008A2236">
              <w:rPr>
                <w:rFonts w:eastAsia="Calibri"/>
              </w:rPr>
              <w:t>0.004</w:t>
            </w:r>
          </w:p>
        </w:tc>
        <w:tc>
          <w:tcPr>
            <w:tcW w:w="850" w:type="dxa"/>
            <w:shd w:val="clear" w:color="auto" w:fill="FFFFFF"/>
            <w:vAlign w:val="center"/>
          </w:tcPr>
          <w:p w14:paraId="0BE467AB" w14:textId="77777777" w:rsidR="00366397" w:rsidRPr="008A2236" w:rsidRDefault="00366397" w:rsidP="0030211F">
            <w:pPr>
              <w:pStyle w:val="TableText"/>
              <w:jc w:val="right"/>
            </w:pPr>
            <w:r w:rsidRPr="008A2236">
              <w:rPr>
                <w:rFonts w:eastAsia="Calibri"/>
              </w:rPr>
              <w:t>0.005</w:t>
            </w:r>
          </w:p>
        </w:tc>
        <w:tc>
          <w:tcPr>
            <w:tcW w:w="1559" w:type="dxa"/>
            <w:shd w:val="clear" w:color="auto" w:fill="FFFFFF"/>
            <w:vAlign w:val="center"/>
          </w:tcPr>
          <w:p w14:paraId="5469D573" w14:textId="77777777" w:rsidR="00366397" w:rsidRPr="008A2236" w:rsidRDefault="00366397" w:rsidP="0030211F">
            <w:pPr>
              <w:pStyle w:val="TableText"/>
              <w:jc w:val="right"/>
            </w:pPr>
            <w:r w:rsidRPr="008A2236">
              <w:rPr>
                <w:rFonts w:eastAsia="Calibri"/>
              </w:rPr>
              <w:t>NA</w:t>
            </w:r>
          </w:p>
        </w:tc>
        <w:tc>
          <w:tcPr>
            <w:tcW w:w="1706" w:type="dxa"/>
            <w:shd w:val="clear" w:color="auto" w:fill="FFFFFF"/>
            <w:vAlign w:val="center"/>
          </w:tcPr>
          <w:p w14:paraId="7B2E894F" w14:textId="77777777" w:rsidR="00366397" w:rsidRPr="008A2236" w:rsidRDefault="00366397" w:rsidP="0030211F">
            <w:pPr>
              <w:pStyle w:val="TableText"/>
              <w:jc w:val="right"/>
              <w:rPr>
                <w:rFonts w:eastAsia="Calibri"/>
              </w:rPr>
            </w:pPr>
            <w:r w:rsidRPr="008A2236">
              <w:rPr>
                <w:rFonts w:eastAsia="Calibri"/>
              </w:rPr>
              <w:t>NA</w:t>
            </w:r>
          </w:p>
        </w:tc>
      </w:tr>
    </w:tbl>
    <w:p w14:paraId="6A65F8BB" w14:textId="77777777" w:rsidR="00366397" w:rsidRDefault="00366397" w:rsidP="00366397">
      <w:pPr>
        <w:pStyle w:val="Noteundertable"/>
      </w:pPr>
      <w:bookmarkStart w:id="2642" w:name="adoption-of-updated-pasture-quality-data"/>
      <w:bookmarkEnd w:id="2640"/>
      <w:r w:rsidRPr="00172B52">
        <w:rPr>
          <w:b/>
          <w:bCs/>
        </w:rPr>
        <w:t>Note:</w:t>
      </w:r>
      <w:r>
        <w:tab/>
        <w:t>NA = not applicable.</w:t>
      </w:r>
    </w:p>
    <w:p w14:paraId="65041BF6" w14:textId="77777777" w:rsidR="00366397" w:rsidRPr="008A2236" w:rsidRDefault="00366397" w:rsidP="00366397">
      <w:pPr>
        <w:pStyle w:val="Heading5"/>
      </w:pPr>
      <w:r w:rsidRPr="008A2236">
        <w:t>Improved assumption on the purity of agricultural lime</w:t>
      </w:r>
    </w:p>
    <w:p w14:paraId="69B19A23" w14:textId="77777777" w:rsidR="00366397" w:rsidRPr="008A2236" w:rsidRDefault="00366397" w:rsidP="00366397">
      <w:pPr>
        <w:pStyle w:val="BodyText"/>
      </w:pPr>
      <w:r w:rsidRPr="008A2236">
        <w:t xml:space="preserve">Emissions estimates in the </w:t>
      </w:r>
      <w:r w:rsidRPr="008A2236">
        <w:rPr>
          <w:i/>
          <w:iCs/>
        </w:rPr>
        <w:t>Liming</w:t>
      </w:r>
      <w:r w:rsidRPr="008A2236">
        <w:t xml:space="preserve"> category in 2022 have been enhanced by a methodological update </w:t>
      </w:r>
      <w:r>
        <w:t>to</w:t>
      </w:r>
      <w:r w:rsidRPr="008A2236">
        <w:t xml:space="preserve"> the assumptions previously used for the purity of agricultural lime in New Zealand.</w:t>
      </w:r>
    </w:p>
    <w:p w14:paraId="5D730E86" w14:textId="7E687DB1" w:rsidR="00366397" w:rsidRPr="008A2236" w:rsidRDefault="00366397" w:rsidP="00366397">
      <w:pPr>
        <w:pStyle w:val="BodyText"/>
      </w:pPr>
      <w:r w:rsidRPr="008A2236">
        <w:t xml:space="preserve">For the 2022 submission, a new estimate has been used </w:t>
      </w:r>
      <w:r>
        <w:t>to establish</w:t>
      </w:r>
      <w:r w:rsidRPr="008A2236">
        <w:t xml:space="preserve"> the purity of agricultural lime applied to soils, </w:t>
      </w:r>
      <w:r>
        <w:t>namely</w:t>
      </w:r>
      <w:r w:rsidRPr="008A2236">
        <w:t xml:space="preserve"> </w:t>
      </w:r>
      <w:r>
        <w:t>its</w:t>
      </w:r>
      <w:r w:rsidRPr="008A2236">
        <w:t xml:space="preserve"> actual calcium carbonate (CaCO</w:t>
      </w:r>
      <w:r w:rsidRPr="008A2236">
        <w:rPr>
          <w:vertAlign w:val="subscript"/>
        </w:rPr>
        <w:t>3</w:t>
      </w:r>
      <w:r w:rsidRPr="008A2236">
        <w:t>) content. Previously the inventory has assumed that agricultural lime was 100 per cent pure (i.e.</w:t>
      </w:r>
      <w:r w:rsidR="00E44B9D">
        <w:t xml:space="preserve">, </w:t>
      </w:r>
      <w:r w:rsidRPr="008A2236">
        <w:t>100 per cent CaCO</w:t>
      </w:r>
      <w:r w:rsidRPr="008A2236">
        <w:rPr>
          <w:vertAlign w:val="subscript"/>
        </w:rPr>
        <w:t>3</w:t>
      </w:r>
      <w:r w:rsidRPr="008A2236">
        <w:t>) due to a lack of national data to the contrary. Recent research carried out by Thomson et al</w:t>
      </w:r>
      <w:r>
        <w:t>.</w:t>
      </w:r>
      <w:r w:rsidRPr="008A2236">
        <w:t xml:space="preserve"> (2021) has used a variety of literature, existing data and new data from samples collected and tested from quarries across New Zealand to determine a correction factor to apply to the </w:t>
      </w:r>
      <w:r w:rsidRPr="008A2236">
        <w:lastRenderedPageBreak/>
        <w:t>agricultural lime applied to account for its impurities. They also accounted for the moisture in the samples as emission calculations are based on dry weight (i.e.</w:t>
      </w:r>
      <w:r w:rsidR="00E44B9D">
        <w:t>,</w:t>
      </w:r>
      <w:r w:rsidR="00222563">
        <w:t xml:space="preserve"> </w:t>
      </w:r>
      <w:r w:rsidRPr="008A2236">
        <w:t>assume the</w:t>
      </w:r>
      <w:r>
        <w:t xml:space="preserve"> lime contains</w:t>
      </w:r>
      <w:r w:rsidRPr="008A2236">
        <w:t xml:space="preserve"> no moisture). The results from the samples and data collected in different regions were then weighted by use (tonnage) to give a single national correction factor of 82.1 (</w:t>
      </w:r>
      <w:r>
        <w:t>i.e.</w:t>
      </w:r>
      <w:r w:rsidR="00222563">
        <w:t>,</w:t>
      </w:r>
      <w:r w:rsidRPr="008A2236">
        <w:t xml:space="preserve"> agricultural lime in New Zealand was calculated to be 82.1 per cent moisture-free calcium carbonate).</w:t>
      </w:r>
    </w:p>
    <w:p w14:paraId="22011468" w14:textId="77777777" w:rsidR="00366397" w:rsidRPr="008A2236" w:rsidRDefault="00366397" w:rsidP="00366397">
      <w:pPr>
        <w:pStyle w:val="BodyText"/>
      </w:pPr>
      <w:r w:rsidRPr="008A2236">
        <w:t xml:space="preserve">This inventory improvement was proposed and discussed at the 2021 Agriculture Inventory Advisory Panel meeting. During this meeting, the Panel agreed that the former assumption used in the inventory was incorrect and that the use of the recommended correction factor would give a more accurate national estimate of emissions from </w:t>
      </w:r>
      <w:r w:rsidRPr="008A2236">
        <w:rPr>
          <w:i/>
          <w:iCs/>
        </w:rPr>
        <w:t>Liming</w:t>
      </w:r>
      <w:r w:rsidRPr="008A2236">
        <w:t xml:space="preserve">. However, </w:t>
      </w:r>
      <w:r>
        <w:t>it</w:t>
      </w:r>
      <w:r w:rsidRPr="008A2236">
        <w:t xml:space="preserve"> suggested round</w:t>
      </w:r>
      <w:r>
        <w:t>ing the correction factor</w:t>
      </w:r>
      <w:r w:rsidRPr="008A2236">
        <w:t xml:space="preserve"> to 82 per cent given the level of uncertainty</w:t>
      </w:r>
      <w:r>
        <w:t xml:space="preserve"> involved</w:t>
      </w:r>
      <w:r w:rsidRPr="008A2236">
        <w:t>.</w:t>
      </w:r>
    </w:p>
    <w:p w14:paraId="1E789893" w14:textId="7D31B66E" w:rsidR="00366397" w:rsidRPr="008A2236" w:rsidRDefault="00366397" w:rsidP="00366397">
      <w:pPr>
        <w:pStyle w:val="BodyText"/>
      </w:pPr>
      <w:r w:rsidRPr="008A2236">
        <w:t>The implementation of this improvement caused estimated emissions from the Agriculture sector to decrease by 0.2 per cent (63.6 kt CO</w:t>
      </w:r>
      <w:r w:rsidRPr="008A2236">
        <w:rPr>
          <w:vertAlign w:val="subscript"/>
        </w:rPr>
        <w:t>2</w:t>
      </w:r>
      <w:r w:rsidRPr="008A2236">
        <w:t>-e) in 1990 and</w:t>
      </w:r>
      <w:r>
        <w:t xml:space="preserve"> by</w:t>
      </w:r>
      <w:r w:rsidRPr="008A2236">
        <w:t xml:space="preserve"> 0.2 per cent (87.3 kt CO</w:t>
      </w:r>
      <w:r w:rsidRPr="008A2236">
        <w:rPr>
          <w:vertAlign w:val="subscript"/>
        </w:rPr>
        <w:t>2</w:t>
      </w:r>
      <w:r w:rsidRPr="008A2236">
        <w:t>-e) in</w:t>
      </w:r>
      <w:r w:rsidR="00222563">
        <w:t> </w:t>
      </w:r>
      <w:r w:rsidRPr="008A2236">
        <w:t>2020 (see table 10.1.6).</w:t>
      </w:r>
    </w:p>
    <w:p w14:paraId="1381FB20" w14:textId="77777777" w:rsidR="00366397" w:rsidRPr="008A2236" w:rsidRDefault="00366397" w:rsidP="00366397">
      <w:pPr>
        <w:pStyle w:val="Table"/>
      </w:pPr>
      <w:bookmarkStart w:id="2643" w:name="_Toc99659376"/>
      <w:r w:rsidRPr="008A2236">
        <w:t>Table 10.1.6</w:t>
      </w:r>
      <w:r w:rsidRPr="008A2236">
        <w:tab/>
        <w:t>Comparison of current and previous emissions estimates before and after the updated assumption of lime purity in the</w:t>
      </w:r>
      <w:r>
        <w:t xml:space="preserve"> Agriculture</w:t>
      </w:r>
      <w:r w:rsidRPr="008A2236">
        <w:t xml:space="preserve"> inventory</w:t>
      </w:r>
      <w:bookmarkEnd w:id="2643"/>
    </w:p>
    <w:tbl>
      <w:tblPr>
        <w:tblW w:w="8505" w:type="dxa"/>
        <w:tblInd w:w="113"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548"/>
        <w:gridCol w:w="1991"/>
        <w:gridCol w:w="851"/>
        <w:gridCol w:w="850"/>
        <w:gridCol w:w="1559"/>
        <w:gridCol w:w="1706"/>
      </w:tblGrid>
      <w:tr w:rsidR="00366397" w:rsidRPr="00E751E2" w14:paraId="4E69ADC6" w14:textId="77777777" w:rsidTr="001959CB">
        <w:trPr>
          <w:cantSplit/>
          <w:tblHeader/>
        </w:trPr>
        <w:tc>
          <w:tcPr>
            <w:tcW w:w="0" w:type="auto"/>
            <w:shd w:val="clear" w:color="auto" w:fill="1B556B"/>
            <w:vAlign w:val="bottom"/>
          </w:tcPr>
          <w:p w14:paraId="7C8BA52E" w14:textId="77777777" w:rsidR="00366397" w:rsidRPr="00366397" w:rsidRDefault="00366397" w:rsidP="0030211F">
            <w:pPr>
              <w:pStyle w:val="TableTextBold"/>
              <w:rPr>
                <w:color w:val="FFFFFF"/>
              </w:rPr>
            </w:pPr>
          </w:p>
        </w:tc>
        <w:tc>
          <w:tcPr>
            <w:tcW w:w="1991" w:type="dxa"/>
            <w:shd w:val="clear" w:color="auto" w:fill="1B556B"/>
            <w:vAlign w:val="bottom"/>
          </w:tcPr>
          <w:p w14:paraId="144CDC83" w14:textId="77777777" w:rsidR="00366397" w:rsidRPr="00366397" w:rsidRDefault="00366397" w:rsidP="0030211F">
            <w:pPr>
              <w:pStyle w:val="TableTextBold"/>
              <w:rPr>
                <w:color w:val="FFFFFF"/>
              </w:rPr>
            </w:pPr>
          </w:p>
        </w:tc>
        <w:tc>
          <w:tcPr>
            <w:tcW w:w="851" w:type="dxa"/>
            <w:shd w:val="clear" w:color="auto" w:fill="1B556B"/>
            <w:vAlign w:val="bottom"/>
          </w:tcPr>
          <w:p w14:paraId="63B4385F" w14:textId="77777777" w:rsidR="00366397" w:rsidRPr="00366397" w:rsidRDefault="00366397" w:rsidP="0030211F">
            <w:pPr>
              <w:pStyle w:val="TableTextBold"/>
              <w:jc w:val="right"/>
              <w:rPr>
                <w:color w:val="FFFFFF"/>
              </w:rPr>
            </w:pPr>
            <w:r w:rsidRPr="00366397">
              <w:rPr>
                <w:rFonts w:eastAsia="Calibri"/>
                <w:color w:val="FFFFFF"/>
              </w:rPr>
              <w:t>1990</w:t>
            </w:r>
          </w:p>
        </w:tc>
        <w:tc>
          <w:tcPr>
            <w:tcW w:w="850" w:type="dxa"/>
            <w:shd w:val="clear" w:color="auto" w:fill="1B556B"/>
            <w:vAlign w:val="bottom"/>
          </w:tcPr>
          <w:p w14:paraId="13E389DA" w14:textId="77777777" w:rsidR="00366397" w:rsidRPr="00366397" w:rsidRDefault="00366397" w:rsidP="0030211F">
            <w:pPr>
              <w:pStyle w:val="TableTextBold"/>
              <w:jc w:val="right"/>
              <w:rPr>
                <w:color w:val="FFFFFF"/>
              </w:rPr>
            </w:pPr>
            <w:r w:rsidRPr="00366397">
              <w:rPr>
                <w:rFonts w:eastAsia="Calibri"/>
                <w:color w:val="FFFFFF"/>
              </w:rPr>
              <w:t>2020</w:t>
            </w:r>
          </w:p>
        </w:tc>
        <w:tc>
          <w:tcPr>
            <w:tcW w:w="1559" w:type="dxa"/>
            <w:shd w:val="clear" w:color="auto" w:fill="1B556B"/>
            <w:vAlign w:val="bottom"/>
          </w:tcPr>
          <w:p w14:paraId="1B2C34E8" w14:textId="77777777" w:rsidR="00366397" w:rsidRPr="00366397" w:rsidRDefault="00366397" w:rsidP="0030211F">
            <w:pPr>
              <w:pStyle w:val="TableTextBold"/>
              <w:jc w:val="right"/>
              <w:rPr>
                <w:color w:val="FFFFFF"/>
              </w:rPr>
            </w:pPr>
            <w:r w:rsidRPr="00366397">
              <w:rPr>
                <w:rFonts w:eastAsia="Calibri"/>
                <w:color w:val="FFFFFF"/>
              </w:rPr>
              <w:t>Change in emission outputs between 1990 and 2020 (kt CO</w:t>
            </w:r>
            <w:r w:rsidRPr="00366397">
              <w:rPr>
                <w:rFonts w:eastAsia="Calibri"/>
                <w:color w:val="FFFFFF"/>
                <w:vertAlign w:val="subscript"/>
              </w:rPr>
              <w:t>2</w:t>
            </w:r>
            <w:r w:rsidRPr="00366397">
              <w:rPr>
                <w:rFonts w:eastAsia="Calibri"/>
                <w:color w:val="FFFFFF"/>
              </w:rPr>
              <w:t>-e)</w:t>
            </w:r>
          </w:p>
        </w:tc>
        <w:tc>
          <w:tcPr>
            <w:tcW w:w="1706" w:type="dxa"/>
            <w:shd w:val="clear" w:color="auto" w:fill="1B556B"/>
            <w:vAlign w:val="bottom"/>
          </w:tcPr>
          <w:p w14:paraId="09F6716A" w14:textId="77777777" w:rsidR="00366397" w:rsidRPr="00366397" w:rsidRDefault="00366397" w:rsidP="0030211F">
            <w:pPr>
              <w:pStyle w:val="TableTextBold"/>
              <w:jc w:val="right"/>
              <w:rPr>
                <w:color w:val="FFFFFF"/>
              </w:rPr>
            </w:pPr>
            <w:r w:rsidRPr="00366397">
              <w:rPr>
                <w:rFonts w:eastAsia="Calibri"/>
                <w:color w:val="FFFFFF"/>
              </w:rPr>
              <w:t>Percentage change in emission outputs between 1990 and 2020 (%)</w:t>
            </w:r>
          </w:p>
        </w:tc>
      </w:tr>
      <w:tr w:rsidR="00366397" w:rsidRPr="008A2236" w14:paraId="74B79500" w14:textId="77777777" w:rsidTr="001959CB">
        <w:trPr>
          <w:cantSplit/>
        </w:trPr>
        <w:tc>
          <w:tcPr>
            <w:tcW w:w="0" w:type="auto"/>
            <w:vMerge w:val="restart"/>
            <w:shd w:val="clear" w:color="auto" w:fill="FFFFFF"/>
            <w:vAlign w:val="center"/>
          </w:tcPr>
          <w:p w14:paraId="473C5C98" w14:textId="77777777" w:rsidR="00366397" w:rsidRPr="008A2236" w:rsidRDefault="00366397" w:rsidP="0030211F">
            <w:pPr>
              <w:pStyle w:val="TableText"/>
            </w:pPr>
            <w:r w:rsidRPr="008A2236">
              <w:rPr>
                <w:rFonts w:eastAsia="Calibri"/>
              </w:rPr>
              <w:t xml:space="preserve">Total emissions from Agriculture </w:t>
            </w:r>
            <w:r>
              <w:rPr>
                <w:rFonts w:eastAsia="Calibri"/>
              </w:rPr>
              <w:t>sector</w:t>
            </w:r>
            <w:r w:rsidRPr="008A2236">
              <w:rPr>
                <w:rFonts w:eastAsia="Calibri"/>
              </w:rPr>
              <w:t xml:space="preserve"> (kt</w:t>
            </w:r>
            <w:r>
              <w:rPr>
                <w:rFonts w:eastAsia="Calibri"/>
              </w:rPr>
              <w:t> </w:t>
            </w:r>
            <w:r w:rsidRPr="008A2236">
              <w:rPr>
                <w:rFonts w:eastAsia="Calibri"/>
              </w:rPr>
              <w:t>CO</w:t>
            </w:r>
            <w:r w:rsidRPr="008A2236">
              <w:rPr>
                <w:rFonts w:eastAsia="Calibri"/>
                <w:vertAlign w:val="subscript"/>
              </w:rPr>
              <w:t>2</w:t>
            </w:r>
            <w:r w:rsidRPr="008A2236">
              <w:rPr>
                <w:rFonts w:eastAsia="Calibri"/>
              </w:rPr>
              <w:t>-e)</w:t>
            </w:r>
          </w:p>
        </w:tc>
        <w:tc>
          <w:tcPr>
            <w:tcW w:w="1991" w:type="dxa"/>
            <w:shd w:val="clear" w:color="auto" w:fill="FFFFFF"/>
            <w:vAlign w:val="center"/>
          </w:tcPr>
          <w:p w14:paraId="71B920FC" w14:textId="77777777" w:rsidR="00366397" w:rsidRPr="008A2236" w:rsidRDefault="00366397" w:rsidP="0030211F">
            <w:pPr>
              <w:pStyle w:val="TableText"/>
            </w:pPr>
            <w:r w:rsidRPr="008A2236">
              <w:rPr>
                <w:rFonts w:eastAsia="Calibri"/>
              </w:rPr>
              <w:t>2022 (1990–2020) emissions estimate using previous liming values</w:t>
            </w:r>
          </w:p>
        </w:tc>
        <w:tc>
          <w:tcPr>
            <w:tcW w:w="851" w:type="dxa"/>
            <w:shd w:val="clear" w:color="auto" w:fill="FFFFFF"/>
          </w:tcPr>
          <w:p w14:paraId="663367B8" w14:textId="77777777" w:rsidR="00366397" w:rsidRPr="008A2236" w:rsidRDefault="00366397" w:rsidP="0030211F">
            <w:pPr>
              <w:pStyle w:val="TableText"/>
              <w:jc w:val="right"/>
            </w:pPr>
            <w:r w:rsidRPr="008A2236">
              <w:rPr>
                <w:rFonts w:eastAsia="Calibri"/>
              </w:rPr>
              <w:t>33,856.5</w:t>
            </w:r>
          </w:p>
        </w:tc>
        <w:tc>
          <w:tcPr>
            <w:tcW w:w="850" w:type="dxa"/>
            <w:shd w:val="clear" w:color="auto" w:fill="FFFFFF"/>
          </w:tcPr>
          <w:p w14:paraId="5D1EE791" w14:textId="77777777" w:rsidR="00366397" w:rsidRPr="008A2236" w:rsidRDefault="00366397" w:rsidP="0030211F">
            <w:pPr>
              <w:pStyle w:val="TableText"/>
              <w:jc w:val="right"/>
            </w:pPr>
            <w:r w:rsidRPr="008A2236">
              <w:rPr>
                <w:rFonts w:eastAsia="Calibri"/>
              </w:rPr>
              <w:t>39,512.8</w:t>
            </w:r>
          </w:p>
        </w:tc>
        <w:tc>
          <w:tcPr>
            <w:tcW w:w="1559" w:type="dxa"/>
            <w:shd w:val="clear" w:color="auto" w:fill="FFFFFF"/>
          </w:tcPr>
          <w:p w14:paraId="05A68AD5" w14:textId="77777777" w:rsidR="00366397" w:rsidRPr="008A2236" w:rsidRDefault="00366397" w:rsidP="0030211F">
            <w:pPr>
              <w:pStyle w:val="TableText"/>
              <w:jc w:val="right"/>
            </w:pPr>
            <w:r w:rsidRPr="008A2236">
              <w:rPr>
                <w:rFonts w:eastAsia="Calibri"/>
              </w:rPr>
              <w:t>5,656.3</w:t>
            </w:r>
          </w:p>
        </w:tc>
        <w:tc>
          <w:tcPr>
            <w:tcW w:w="1706" w:type="dxa"/>
            <w:shd w:val="clear" w:color="auto" w:fill="FFFFFF"/>
          </w:tcPr>
          <w:p w14:paraId="6128C918" w14:textId="77777777" w:rsidR="00366397" w:rsidRPr="008A2236" w:rsidRDefault="00366397" w:rsidP="0030211F">
            <w:pPr>
              <w:pStyle w:val="TableText"/>
              <w:jc w:val="right"/>
            </w:pPr>
            <w:r w:rsidRPr="008A2236">
              <w:rPr>
                <w:rFonts w:eastAsia="Calibri"/>
              </w:rPr>
              <w:t>16.7</w:t>
            </w:r>
          </w:p>
        </w:tc>
      </w:tr>
      <w:tr w:rsidR="00366397" w:rsidRPr="008A2236" w14:paraId="3CD8D6D3" w14:textId="77777777" w:rsidTr="001959CB">
        <w:trPr>
          <w:cantSplit/>
        </w:trPr>
        <w:tc>
          <w:tcPr>
            <w:tcW w:w="0" w:type="auto"/>
            <w:vMerge/>
            <w:shd w:val="clear" w:color="auto" w:fill="FFFFFF"/>
            <w:vAlign w:val="center"/>
          </w:tcPr>
          <w:p w14:paraId="41DC27CC" w14:textId="77777777" w:rsidR="00366397" w:rsidRPr="008A2236" w:rsidRDefault="00366397" w:rsidP="0030211F">
            <w:pPr>
              <w:pStyle w:val="TableText"/>
            </w:pPr>
          </w:p>
        </w:tc>
        <w:tc>
          <w:tcPr>
            <w:tcW w:w="1991" w:type="dxa"/>
            <w:shd w:val="clear" w:color="auto" w:fill="FFFFFF"/>
            <w:vAlign w:val="center"/>
          </w:tcPr>
          <w:p w14:paraId="35EF8E42" w14:textId="77777777" w:rsidR="00366397" w:rsidRPr="008A2236" w:rsidRDefault="00366397" w:rsidP="0030211F">
            <w:pPr>
              <w:pStyle w:val="TableText"/>
            </w:pPr>
            <w:r w:rsidRPr="008A2236">
              <w:rPr>
                <w:rFonts w:eastAsia="Calibri"/>
              </w:rPr>
              <w:t>2022 (1990–2020) emissions estimate using new liming values</w:t>
            </w:r>
          </w:p>
        </w:tc>
        <w:tc>
          <w:tcPr>
            <w:tcW w:w="851" w:type="dxa"/>
            <w:shd w:val="clear" w:color="auto" w:fill="FFFFFF"/>
          </w:tcPr>
          <w:p w14:paraId="423148F4" w14:textId="77777777" w:rsidR="00366397" w:rsidRPr="008A2236" w:rsidRDefault="00366397" w:rsidP="0030211F">
            <w:pPr>
              <w:pStyle w:val="TableText"/>
              <w:jc w:val="right"/>
            </w:pPr>
            <w:r w:rsidRPr="008A2236">
              <w:rPr>
                <w:rFonts w:eastAsia="Calibri"/>
              </w:rPr>
              <w:t>33,792.9</w:t>
            </w:r>
          </w:p>
        </w:tc>
        <w:tc>
          <w:tcPr>
            <w:tcW w:w="850" w:type="dxa"/>
            <w:shd w:val="clear" w:color="auto" w:fill="FFFFFF"/>
          </w:tcPr>
          <w:p w14:paraId="77C87D59" w14:textId="77777777" w:rsidR="00366397" w:rsidRPr="008A2236" w:rsidRDefault="00366397" w:rsidP="0030211F">
            <w:pPr>
              <w:pStyle w:val="TableText"/>
              <w:jc w:val="right"/>
            </w:pPr>
            <w:r w:rsidRPr="008A2236">
              <w:rPr>
                <w:rFonts w:eastAsia="Calibri"/>
              </w:rPr>
              <w:t>39,425.5</w:t>
            </w:r>
          </w:p>
        </w:tc>
        <w:tc>
          <w:tcPr>
            <w:tcW w:w="1559" w:type="dxa"/>
            <w:shd w:val="clear" w:color="auto" w:fill="FFFFFF"/>
          </w:tcPr>
          <w:p w14:paraId="617DAED3" w14:textId="77777777" w:rsidR="00366397" w:rsidRPr="008A2236" w:rsidRDefault="00366397" w:rsidP="0030211F">
            <w:pPr>
              <w:pStyle w:val="TableText"/>
              <w:jc w:val="right"/>
            </w:pPr>
            <w:r w:rsidRPr="008A2236">
              <w:rPr>
                <w:rFonts w:eastAsia="Calibri"/>
              </w:rPr>
              <w:t>5,632.7</w:t>
            </w:r>
          </w:p>
        </w:tc>
        <w:tc>
          <w:tcPr>
            <w:tcW w:w="1706" w:type="dxa"/>
            <w:shd w:val="clear" w:color="auto" w:fill="FFFFFF"/>
          </w:tcPr>
          <w:p w14:paraId="2DA8B948" w14:textId="77777777" w:rsidR="00366397" w:rsidRPr="008A2236" w:rsidRDefault="00366397" w:rsidP="0030211F">
            <w:pPr>
              <w:pStyle w:val="TableText"/>
              <w:jc w:val="right"/>
            </w:pPr>
            <w:r w:rsidRPr="008A2236">
              <w:rPr>
                <w:rFonts w:eastAsia="Calibri"/>
              </w:rPr>
              <w:t>16.7</w:t>
            </w:r>
          </w:p>
        </w:tc>
      </w:tr>
      <w:tr w:rsidR="00366397" w:rsidRPr="008A2236" w14:paraId="186A148E" w14:textId="77777777" w:rsidTr="001959CB">
        <w:trPr>
          <w:cantSplit/>
        </w:trPr>
        <w:tc>
          <w:tcPr>
            <w:tcW w:w="0" w:type="auto"/>
            <w:vMerge/>
            <w:shd w:val="clear" w:color="auto" w:fill="FFFFFF"/>
            <w:vAlign w:val="center"/>
          </w:tcPr>
          <w:p w14:paraId="65B6240F" w14:textId="77777777" w:rsidR="00366397" w:rsidRPr="008A2236" w:rsidRDefault="00366397" w:rsidP="0030211F">
            <w:pPr>
              <w:pStyle w:val="TableText"/>
            </w:pPr>
          </w:p>
        </w:tc>
        <w:tc>
          <w:tcPr>
            <w:tcW w:w="1991" w:type="dxa"/>
            <w:shd w:val="clear" w:color="auto" w:fill="FFFFFF"/>
            <w:vAlign w:val="center"/>
          </w:tcPr>
          <w:p w14:paraId="17923143" w14:textId="77777777" w:rsidR="00366397" w:rsidRPr="008A2236" w:rsidRDefault="00366397" w:rsidP="0030211F">
            <w:pPr>
              <w:pStyle w:val="TableText"/>
            </w:pPr>
            <w:r w:rsidRPr="008A2236">
              <w:rPr>
                <w:rFonts w:eastAsia="Calibri"/>
              </w:rPr>
              <w:t>Difference in emission</w:t>
            </w:r>
            <w:r>
              <w:rPr>
                <w:rFonts w:eastAsia="Calibri"/>
              </w:rPr>
              <w:t>s</w:t>
            </w:r>
            <w:r w:rsidRPr="008A2236">
              <w:rPr>
                <w:rFonts w:eastAsia="Calibri"/>
              </w:rPr>
              <w:t xml:space="preserve"> estimates compared with current inventory</w:t>
            </w:r>
          </w:p>
        </w:tc>
        <w:tc>
          <w:tcPr>
            <w:tcW w:w="851" w:type="dxa"/>
            <w:shd w:val="clear" w:color="auto" w:fill="FFFFFF"/>
          </w:tcPr>
          <w:p w14:paraId="5E789AB3" w14:textId="77777777" w:rsidR="00366397" w:rsidRPr="008A2236" w:rsidRDefault="00366397" w:rsidP="0030211F">
            <w:pPr>
              <w:pStyle w:val="TableText"/>
              <w:jc w:val="right"/>
            </w:pPr>
            <w:r>
              <w:rPr>
                <w:rFonts w:eastAsia="Calibri"/>
              </w:rPr>
              <w:t>–</w:t>
            </w:r>
            <w:r w:rsidRPr="008A2236">
              <w:rPr>
                <w:rFonts w:eastAsia="Calibri"/>
              </w:rPr>
              <w:t>63.6</w:t>
            </w:r>
          </w:p>
        </w:tc>
        <w:tc>
          <w:tcPr>
            <w:tcW w:w="850" w:type="dxa"/>
            <w:shd w:val="clear" w:color="auto" w:fill="FFFFFF"/>
          </w:tcPr>
          <w:p w14:paraId="53D3AA2E" w14:textId="77777777" w:rsidR="00366397" w:rsidRPr="008A2236" w:rsidRDefault="00366397" w:rsidP="0030211F">
            <w:pPr>
              <w:pStyle w:val="TableText"/>
              <w:jc w:val="right"/>
            </w:pPr>
            <w:r>
              <w:rPr>
                <w:rFonts w:eastAsia="Calibri"/>
              </w:rPr>
              <w:t>–</w:t>
            </w:r>
            <w:r w:rsidRPr="008A2236">
              <w:rPr>
                <w:rFonts w:eastAsia="Calibri"/>
              </w:rPr>
              <w:t>87.3</w:t>
            </w:r>
          </w:p>
        </w:tc>
        <w:tc>
          <w:tcPr>
            <w:tcW w:w="1559" w:type="dxa"/>
            <w:shd w:val="clear" w:color="auto" w:fill="FFFFFF"/>
          </w:tcPr>
          <w:p w14:paraId="7A3488CA" w14:textId="77777777" w:rsidR="00366397" w:rsidRPr="008A2236" w:rsidRDefault="00366397" w:rsidP="0030211F">
            <w:pPr>
              <w:pStyle w:val="TableText"/>
              <w:jc w:val="right"/>
            </w:pPr>
            <w:r>
              <w:rPr>
                <w:rFonts w:eastAsia="Calibri"/>
              </w:rPr>
              <w:t>–</w:t>
            </w:r>
            <w:r w:rsidRPr="008A2236">
              <w:rPr>
                <w:rFonts w:eastAsia="Calibri"/>
              </w:rPr>
              <w:t>23.7</w:t>
            </w:r>
          </w:p>
        </w:tc>
        <w:tc>
          <w:tcPr>
            <w:tcW w:w="1706" w:type="dxa"/>
            <w:shd w:val="clear" w:color="auto" w:fill="FFFFFF"/>
          </w:tcPr>
          <w:p w14:paraId="4C70A4AB" w14:textId="77777777" w:rsidR="00366397" w:rsidRPr="008A2236" w:rsidRDefault="00366397" w:rsidP="0030211F">
            <w:pPr>
              <w:pStyle w:val="TableText"/>
              <w:jc w:val="right"/>
            </w:pPr>
            <w:r w:rsidRPr="008A2236">
              <w:t>NA</w:t>
            </w:r>
          </w:p>
        </w:tc>
      </w:tr>
      <w:tr w:rsidR="00366397" w:rsidRPr="008A2236" w14:paraId="4355ADD2" w14:textId="77777777" w:rsidTr="001959CB">
        <w:trPr>
          <w:cantSplit/>
        </w:trPr>
        <w:tc>
          <w:tcPr>
            <w:tcW w:w="0" w:type="auto"/>
            <w:vMerge/>
            <w:shd w:val="clear" w:color="auto" w:fill="FFFFFF"/>
            <w:vAlign w:val="center"/>
          </w:tcPr>
          <w:p w14:paraId="38A35CA9" w14:textId="77777777" w:rsidR="00366397" w:rsidRPr="008A2236" w:rsidRDefault="00366397" w:rsidP="0030211F">
            <w:pPr>
              <w:pStyle w:val="TableText"/>
            </w:pPr>
          </w:p>
        </w:tc>
        <w:tc>
          <w:tcPr>
            <w:tcW w:w="1991" w:type="dxa"/>
            <w:shd w:val="clear" w:color="auto" w:fill="FFFFFF"/>
            <w:vAlign w:val="center"/>
          </w:tcPr>
          <w:p w14:paraId="6E268766" w14:textId="77777777" w:rsidR="00366397" w:rsidRPr="008A2236" w:rsidRDefault="00366397" w:rsidP="0030211F">
            <w:pPr>
              <w:pStyle w:val="TableText"/>
            </w:pPr>
            <w:r w:rsidRPr="008A2236">
              <w:rPr>
                <w:rFonts w:eastAsia="Calibri"/>
              </w:rPr>
              <w:t>Percentage difference in emission</w:t>
            </w:r>
            <w:r>
              <w:rPr>
                <w:rFonts w:eastAsia="Calibri"/>
              </w:rPr>
              <w:t>s</w:t>
            </w:r>
            <w:r w:rsidRPr="008A2236">
              <w:rPr>
                <w:rFonts w:eastAsia="Calibri"/>
              </w:rPr>
              <w:t xml:space="preserve"> estimates</w:t>
            </w:r>
          </w:p>
        </w:tc>
        <w:tc>
          <w:tcPr>
            <w:tcW w:w="851" w:type="dxa"/>
            <w:shd w:val="clear" w:color="auto" w:fill="FFFFFF"/>
          </w:tcPr>
          <w:p w14:paraId="5725433F" w14:textId="77777777" w:rsidR="00366397" w:rsidRPr="008A2236" w:rsidRDefault="00366397" w:rsidP="0030211F">
            <w:pPr>
              <w:pStyle w:val="TableText"/>
              <w:jc w:val="right"/>
            </w:pPr>
            <w:r>
              <w:rPr>
                <w:rFonts w:eastAsia="Calibri"/>
              </w:rPr>
              <w:t>–</w:t>
            </w:r>
            <w:r w:rsidRPr="008A2236">
              <w:rPr>
                <w:rFonts w:eastAsia="Calibri"/>
              </w:rPr>
              <w:t>0.2</w:t>
            </w:r>
          </w:p>
        </w:tc>
        <w:tc>
          <w:tcPr>
            <w:tcW w:w="850" w:type="dxa"/>
            <w:shd w:val="clear" w:color="auto" w:fill="FFFFFF"/>
          </w:tcPr>
          <w:p w14:paraId="4B91B701" w14:textId="77777777" w:rsidR="00366397" w:rsidRPr="008A2236" w:rsidRDefault="00366397" w:rsidP="0030211F">
            <w:pPr>
              <w:pStyle w:val="TableText"/>
              <w:jc w:val="right"/>
            </w:pPr>
            <w:r>
              <w:rPr>
                <w:rFonts w:eastAsia="Calibri"/>
              </w:rPr>
              <w:t>–</w:t>
            </w:r>
            <w:r w:rsidRPr="008A2236">
              <w:rPr>
                <w:rFonts w:eastAsia="Calibri"/>
              </w:rPr>
              <w:t>0.2</w:t>
            </w:r>
          </w:p>
        </w:tc>
        <w:tc>
          <w:tcPr>
            <w:tcW w:w="1559" w:type="dxa"/>
            <w:shd w:val="clear" w:color="auto" w:fill="FFFFFF"/>
          </w:tcPr>
          <w:p w14:paraId="30268984" w14:textId="77777777" w:rsidR="00366397" w:rsidRPr="008A2236" w:rsidRDefault="00366397" w:rsidP="0030211F">
            <w:pPr>
              <w:pStyle w:val="TableText"/>
              <w:jc w:val="right"/>
            </w:pPr>
            <w:r w:rsidRPr="008A2236">
              <w:t>NA</w:t>
            </w:r>
          </w:p>
        </w:tc>
        <w:tc>
          <w:tcPr>
            <w:tcW w:w="1706" w:type="dxa"/>
            <w:shd w:val="clear" w:color="auto" w:fill="FFFFFF"/>
          </w:tcPr>
          <w:p w14:paraId="517652DC" w14:textId="77777777" w:rsidR="00366397" w:rsidRPr="008A2236" w:rsidRDefault="00366397" w:rsidP="0030211F">
            <w:pPr>
              <w:pStyle w:val="TableText"/>
              <w:jc w:val="right"/>
            </w:pPr>
            <w:r w:rsidRPr="008A2236">
              <w:t>NA</w:t>
            </w:r>
          </w:p>
        </w:tc>
      </w:tr>
    </w:tbl>
    <w:p w14:paraId="48FA1A58" w14:textId="77777777" w:rsidR="00366397" w:rsidRDefault="00366397" w:rsidP="00366397">
      <w:pPr>
        <w:pStyle w:val="Noteundertable"/>
      </w:pPr>
      <w:bookmarkStart w:id="2644" w:name="Xe81352e9f73ddbdd7915d3b0b385a342b64dea5"/>
      <w:bookmarkEnd w:id="2642"/>
      <w:r w:rsidRPr="0054273C">
        <w:rPr>
          <w:b/>
          <w:bCs/>
        </w:rPr>
        <w:t>Note:</w:t>
      </w:r>
      <w:r>
        <w:tab/>
        <w:t>NA = not applicable.</w:t>
      </w:r>
    </w:p>
    <w:p w14:paraId="3DD17FA1" w14:textId="77777777" w:rsidR="00366397" w:rsidRPr="008A2236" w:rsidRDefault="00366397" w:rsidP="00366397">
      <w:pPr>
        <w:pStyle w:val="Heading5"/>
      </w:pPr>
      <w:r w:rsidRPr="008A2236">
        <w:t>Revision of agricultural statistics animal population estimates</w:t>
      </w:r>
    </w:p>
    <w:p w14:paraId="291A1F47" w14:textId="77777777" w:rsidR="00366397" w:rsidRPr="008A2236" w:rsidRDefault="00366397" w:rsidP="00366397">
      <w:pPr>
        <w:pStyle w:val="BodyText"/>
      </w:pPr>
      <w:r w:rsidRPr="008A2236">
        <w:t>Revision and finalisation of agricultural animal population estimates data from Stats NZ can mean emissions estimates for the latest two years vary from the previous submission for certain source categories.</w:t>
      </w:r>
    </w:p>
    <w:p w14:paraId="6A2EADD3" w14:textId="77777777" w:rsidR="00366397" w:rsidRPr="008A2236" w:rsidRDefault="00366397" w:rsidP="00366397">
      <w:pPr>
        <w:pStyle w:val="BodyText"/>
      </w:pPr>
      <w:r w:rsidRPr="008A2236">
        <w:t>The calculation of emissions for the most recent year (2020) requires population estimates for 2021 that are only provisional at the time the inventory is compiled.</w:t>
      </w:r>
    </w:p>
    <w:p w14:paraId="1BCF58FD" w14:textId="4CD38CBC" w:rsidR="00366397" w:rsidRPr="008A2236" w:rsidRDefault="00366397" w:rsidP="00366397">
      <w:pPr>
        <w:pStyle w:val="BodyText"/>
      </w:pPr>
      <w:r w:rsidRPr="008A2236">
        <w:t>As part of Stats NZ’s work on the Agricultural Production survey, the Ministry for Primary Industries (MPI) provides estimates in an ‘Expectations Report’</w:t>
      </w:r>
      <w:r w:rsidRPr="00B97B8A">
        <w:t xml:space="preserve"> </w:t>
      </w:r>
      <w:r w:rsidRPr="008A2236">
        <w:t xml:space="preserve">of what it expects </w:t>
      </w:r>
      <w:r>
        <w:t>the survey</w:t>
      </w:r>
      <w:r w:rsidRPr="008A2236">
        <w:t xml:space="preserve"> to</w:t>
      </w:r>
      <w:r w:rsidR="000548A2">
        <w:t> </w:t>
      </w:r>
      <w:r w:rsidRPr="008A2236">
        <w:t xml:space="preserve"> show. These estimates are based on a range of sources, including Beef + Lamb NZ and livestock slaughter statistics. The primary purpose of th</w:t>
      </w:r>
      <w:r>
        <w:t>ese</w:t>
      </w:r>
      <w:r w:rsidRPr="008A2236">
        <w:t xml:space="preserve"> data is </w:t>
      </w:r>
      <w:r>
        <w:t>to provide</w:t>
      </w:r>
      <w:r w:rsidRPr="008A2236">
        <w:t xml:space="preserve"> Stats NZ </w:t>
      </w:r>
      <w:r>
        <w:t xml:space="preserve">with </w:t>
      </w:r>
      <w:r w:rsidRPr="008A2236">
        <w:t>a</w:t>
      </w:r>
      <w:r w:rsidR="004400AF">
        <w:t> </w:t>
      </w:r>
      <w:r w:rsidRPr="008A2236">
        <w:t>benchmark for its aggregated survey responses. These figures can change after receiving final</w:t>
      </w:r>
      <w:r w:rsidR="004400AF">
        <w:t> </w:t>
      </w:r>
      <w:r w:rsidRPr="008A2236">
        <w:t xml:space="preserve">animal numbers and data. The final figures will be taken </w:t>
      </w:r>
      <w:r>
        <w:t xml:space="preserve">into </w:t>
      </w:r>
      <w:r w:rsidRPr="008A2236">
        <w:t xml:space="preserve">account in the 2023 </w:t>
      </w:r>
      <w:r w:rsidR="004400AF">
        <w:br/>
      </w:r>
      <w:r w:rsidRPr="008A2236">
        <w:t>(1990–2021) submission.</w:t>
      </w:r>
    </w:p>
    <w:p w14:paraId="7C959382" w14:textId="0609F69B" w:rsidR="00366397" w:rsidRPr="008A2236" w:rsidRDefault="00366397" w:rsidP="00366397">
      <w:pPr>
        <w:pStyle w:val="Figure"/>
      </w:pPr>
      <w:bookmarkStart w:id="2645" w:name="_Toc99696071"/>
      <w:r w:rsidRPr="008A2236">
        <w:rPr>
          <w:bCs/>
        </w:rPr>
        <w:lastRenderedPageBreak/>
        <w:t>Figure 10.1.4</w:t>
      </w:r>
      <w:r w:rsidRPr="008A2236">
        <w:rPr>
          <w:bCs/>
        </w:rPr>
        <w:tab/>
        <w:t xml:space="preserve">Effect of recalculations on </w:t>
      </w:r>
      <w:r>
        <w:rPr>
          <w:bCs/>
        </w:rPr>
        <w:t>emissions estimates from</w:t>
      </w:r>
      <w:r w:rsidRPr="008A2236">
        <w:rPr>
          <w:bCs/>
        </w:rPr>
        <w:t xml:space="preserve"> New Zealand’s Agriculture sector</w:t>
      </w:r>
      <w:r w:rsidR="004400AF">
        <w:rPr>
          <w:bCs/>
        </w:rPr>
        <w:br/>
      </w:r>
      <w:r w:rsidRPr="008A2236">
        <w:rPr>
          <w:bCs/>
        </w:rPr>
        <w:t>from 1990 to 2019</w:t>
      </w:r>
      <w:bookmarkEnd w:id="2645"/>
    </w:p>
    <w:p w14:paraId="1148EBDF" w14:textId="298E9113" w:rsidR="00366397" w:rsidRPr="008A2236" w:rsidRDefault="004B48CC" w:rsidP="00366397">
      <w:pPr>
        <w:pStyle w:val="BodyText"/>
      </w:pPr>
      <w:r>
        <w:rPr>
          <w:noProof/>
        </w:rPr>
        <w:pict w14:anchorId="43438700">
          <v:shape id="_x0000_i1147" type="#_x0000_t75" style="width:425.3pt;height:313.1pt;visibility:visible;mso-wrap-style:square">
            <v:imagedata r:id="rId263" o:title="" cropbottom="894f"/>
          </v:shape>
        </w:pict>
      </w:r>
    </w:p>
    <w:p w14:paraId="358D976A" w14:textId="77777777" w:rsidR="00366397" w:rsidRPr="008A2236" w:rsidRDefault="00366397" w:rsidP="00366397">
      <w:pPr>
        <w:pStyle w:val="Heading3"/>
      </w:pPr>
      <w:bookmarkStart w:id="2646" w:name="land-use-land-use-change-and-forestry"/>
      <w:bookmarkEnd w:id="2639"/>
      <w:bookmarkEnd w:id="2644"/>
      <w:r w:rsidRPr="008A2236">
        <w:lastRenderedPageBreak/>
        <w:t xml:space="preserve">10.1.4 </w:t>
      </w:r>
      <w:r>
        <w:tab/>
      </w:r>
      <w:r w:rsidRPr="008A2236">
        <w:t xml:space="preserve">Land </w:t>
      </w:r>
      <w:r>
        <w:t>U</w:t>
      </w:r>
      <w:r w:rsidRPr="008A2236">
        <w:t xml:space="preserve">se, </w:t>
      </w:r>
      <w:r>
        <w:t>L</w:t>
      </w:r>
      <w:r w:rsidRPr="008A2236">
        <w:t>and-</w:t>
      </w:r>
      <w:r>
        <w:t>U</w:t>
      </w:r>
      <w:r w:rsidRPr="008A2236">
        <w:t xml:space="preserve">se </w:t>
      </w:r>
      <w:r>
        <w:t>C</w:t>
      </w:r>
      <w:r w:rsidRPr="008A2236">
        <w:t xml:space="preserve">hange and </w:t>
      </w:r>
      <w:r>
        <w:t>F</w:t>
      </w:r>
      <w:r w:rsidRPr="008A2236">
        <w:t>orestry</w:t>
      </w:r>
    </w:p>
    <w:p w14:paraId="13F68957" w14:textId="77777777" w:rsidR="00366397" w:rsidRPr="008A2236" w:rsidRDefault="00366397" w:rsidP="004400AF">
      <w:pPr>
        <w:pStyle w:val="BodyText"/>
        <w:keepNext/>
      </w:pPr>
      <w:r w:rsidRPr="008A2236">
        <w:t>Improvements made to the LULUCF sector have resulted in an 11.6 per cent (2,785.2 kt CO</w:t>
      </w:r>
      <w:r w:rsidRPr="008A2236">
        <w:rPr>
          <w:vertAlign w:val="subscript"/>
        </w:rPr>
        <w:t>2</w:t>
      </w:r>
      <w:r w:rsidRPr="008A2236">
        <w:t xml:space="preserve">‑e) decrease in </w:t>
      </w:r>
      <w:r>
        <w:t xml:space="preserve">estimated </w:t>
      </w:r>
      <w:r w:rsidRPr="008A2236">
        <w:t>net LULUCF removals in 1990 and a 16.0 per cent (4,390.2 kt CO</w:t>
      </w:r>
      <w:r w:rsidRPr="008A2236">
        <w:rPr>
          <w:vertAlign w:val="subscript"/>
        </w:rPr>
        <w:t>2</w:t>
      </w:r>
      <w:r w:rsidRPr="008A2236">
        <w:t xml:space="preserve">-e) decrease in </w:t>
      </w:r>
      <w:r>
        <w:t xml:space="preserve">estimated </w:t>
      </w:r>
      <w:r w:rsidRPr="008A2236">
        <w:t>net LULUCF removals in 2019 (figure 10.1.5).</w:t>
      </w:r>
    </w:p>
    <w:p w14:paraId="73FF7B2F" w14:textId="77EB6D2D" w:rsidR="00366397" w:rsidRPr="008A2236" w:rsidRDefault="00366397" w:rsidP="00366397">
      <w:pPr>
        <w:pStyle w:val="Figure"/>
      </w:pPr>
      <w:bookmarkStart w:id="2647" w:name="_Toc99696072"/>
      <w:r w:rsidRPr="008A2236">
        <w:rPr>
          <w:bCs/>
        </w:rPr>
        <w:t>Figure 10.1.5</w:t>
      </w:r>
      <w:r w:rsidRPr="008A2236">
        <w:rPr>
          <w:bCs/>
        </w:rPr>
        <w:tab/>
        <w:t xml:space="preserve">Effect of recalculations on net emissions </w:t>
      </w:r>
      <w:r>
        <w:rPr>
          <w:bCs/>
        </w:rPr>
        <w:t xml:space="preserve">estimates </w:t>
      </w:r>
      <w:r w:rsidRPr="008A2236">
        <w:rPr>
          <w:bCs/>
        </w:rPr>
        <w:t>from New Zealand’s LULUCF sector</w:t>
      </w:r>
      <w:r w:rsidR="004400AF">
        <w:rPr>
          <w:bCs/>
        </w:rPr>
        <w:br/>
      </w:r>
      <w:r w:rsidRPr="008A2236">
        <w:rPr>
          <w:bCs/>
        </w:rPr>
        <w:t>from 1990 to 2019</w:t>
      </w:r>
      <w:bookmarkEnd w:id="2647"/>
    </w:p>
    <w:p w14:paraId="2B25BD33" w14:textId="53D2FE61" w:rsidR="00366397" w:rsidRPr="008A2236" w:rsidRDefault="004B48CC" w:rsidP="00366397">
      <w:pPr>
        <w:pStyle w:val="BodyText"/>
      </w:pPr>
      <w:r>
        <w:rPr>
          <w:noProof/>
        </w:rPr>
        <w:pict w14:anchorId="64E95040">
          <v:shape id="_x0000_i1148" type="#_x0000_t75" style="width:425.3pt;height:311.45pt;visibility:visible;mso-wrap-style:square">
            <v:imagedata r:id="rId264" o:title="" cropbottom="1335f"/>
          </v:shape>
        </w:pict>
      </w:r>
    </w:p>
    <w:p w14:paraId="61D82292" w14:textId="77777777" w:rsidR="00366397" w:rsidRPr="008A2236" w:rsidRDefault="00366397" w:rsidP="00366397">
      <w:pPr>
        <w:pStyle w:val="Noteundertable"/>
      </w:pPr>
      <w:r w:rsidRPr="008A2236">
        <w:rPr>
          <w:b/>
          <w:bCs/>
        </w:rPr>
        <w:t>Note:</w:t>
      </w:r>
      <w:r w:rsidRPr="008A2236">
        <w:tab/>
        <w:t>Net emissions are expressed as a negative value to clarify that the value is a removal and not an emission.</w:t>
      </w:r>
    </w:p>
    <w:p w14:paraId="3BB31B19" w14:textId="77777777" w:rsidR="00366397" w:rsidRPr="008A2236" w:rsidRDefault="00366397" w:rsidP="00366397">
      <w:pPr>
        <w:pStyle w:val="BodyText"/>
      </w:pPr>
      <w:r w:rsidRPr="008A2236">
        <w:t>Significant improvements to the 2022 submission</w:t>
      </w:r>
      <w:r>
        <w:t xml:space="preserve"> for the LULUCF sector</w:t>
      </w:r>
      <w:r w:rsidRPr="008A2236">
        <w:t xml:space="preserve"> are summarised in table 10.1.7. Further details on these changes are given in chapter 6.</w:t>
      </w:r>
    </w:p>
    <w:p w14:paraId="612362AD" w14:textId="77777777" w:rsidR="00366397" w:rsidRPr="008A2236" w:rsidRDefault="00366397" w:rsidP="00366397">
      <w:pPr>
        <w:pStyle w:val="Table"/>
      </w:pPr>
      <w:bookmarkStart w:id="2648" w:name="_Toc99659377"/>
      <w:r w:rsidRPr="008A2236">
        <w:t>Table 10.1.7</w:t>
      </w:r>
      <w:r w:rsidRPr="008A2236">
        <w:tab/>
        <w:t>Explanations and justifications for recalculations in the LULUCF sector</w:t>
      </w:r>
      <w:bookmarkEnd w:id="2648"/>
    </w:p>
    <w:tbl>
      <w:tblPr>
        <w:tblW w:w="8505" w:type="dxa"/>
        <w:tblInd w:w="113"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852"/>
        <w:gridCol w:w="1243"/>
        <w:gridCol w:w="2410"/>
      </w:tblGrid>
      <w:tr w:rsidR="00366397" w:rsidRPr="00E751E2" w14:paraId="7091368A" w14:textId="77777777" w:rsidTr="001959CB">
        <w:trPr>
          <w:tblHeader/>
        </w:trPr>
        <w:tc>
          <w:tcPr>
            <w:tcW w:w="0" w:type="auto"/>
            <w:shd w:val="clear" w:color="auto" w:fill="1B556B"/>
            <w:vAlign w:val="bottom"/>
          </w:tcPr>
          <w:p w14:paraId="258D6376" w14:textId="77777777" w:rsidR="00366397" w:rsidRPr="00366397" w:rsidRDefault="00366397" w:rsidP="0030211F">
            <w:pPr>
              <w:pStyle w:val="TableTextBold"/>
              <w:rPr>
                <w:color w:val="FFFFFF"/>
              </w:rPr>
            </w:pPr>
            <w:r w:rsidRPr="00366397">
              <w:rPr>
                <w:rFonts w:eastAsia="Calibri"/>
                <w:color w:val="FFFFFF"/>
              </w:rPr>
              <w:t>Explanation of recalculation</w:t>
            </w:r>
          </w:p>
        </w:tc>
        <w:tc>
          <w:tcPr>
            <w:tcW w:w="0" w:type="auto"/>
            <w:shd w:val="clear" w:color="auto" w:fill="1B556B"/>
            <w:vAlign w:val="bottom"/>
          </w:tcPr>
          <w:p w14:paraId="3C2D6CD3" w14:textId="77777777" w:rsidR="00366397" w:rsidRPr="00366397" w:rsidRDefault="00366397" w:rsidP="0030211F">
            <w:pPr>
              <w:pStyle w:val="TableTextBold"/>
              <w:rPr>
                <w:color w:val="FFFFFF"/>
              </w:rPr>
            </w:pPr>
            <w:r w:rsidRPr="00366397">
              <w:rPr>
                <w:rFonts w:eastAsia="Calibri"/>
                <w:color w:val="FFFFFF"/>
              </w:rPr>
              <w:t>Underpinning IPCC principle</w:t>
            </w:r>
          </w:p>
        </w:tc>
        <w:tc>
          <w:tcPr>
            <w:tcW w:w="0" w:type="auto"/>
            <w:shd w:val="clear" w:color="auto" w:fill="1B556B"/>
            <w:vAlign w:val="bottom"/>
          </w:tcPr>
          <w:p w14:paraId="35B4B504" w14:textId="77777777" w:rsidR="00366397" w:rsidRPr="00366397" w:rsidRDefault="00366397" w:rsidP="0030211F">
            <w:pPr>
              <w:pStyle w:val="TableTextBold"/>
              <w:rPr>
                <w:color w:val="FFFFFF"/>
              </w:rPr>
            </w:pPr>
            <w:r w:rsidRPr="00366397">
              <w:rPr>
                <w:rFonts w:eastAsia="Calibri"/>
                <w:color w:val="FFFFFF"/>
              </w:rPr>
              <w:t>Additional justification</w:t>
            </w:r>
          </w:p>
        </w:tc>
      </w:tr>
      <w:tr w:rsidR="00366397" w:rsidRPr="008A2236" w14:paraId="70A369FF" w14:textId="77777777" w:rsidTr="001959CB">
        <w:tc>
          <w:tcPr>
            <w:tcW w:w="0" w:type="auto"/>
            <w:shd w:val="clear" w:color="auto" w:fill="FFFFFF"/>
          </w:tcPr>
          <w:p w14:paraId="0DE62F0B" w14:textId="77777777" w:rsidR="00366397" w:rsidRPr="008A2236" w:rsidRDefault="00366397" w:rsidP="0030211F">
            <w:pPr>
              <w:pStyle w:val="TableText"/>
            </w:pPr>
            <w:r w:rsidRPr="008A2236">
              <w:rPr>
                <w:rFonts w:eastAsia="Calibri"/>
              </w:rPr>
              <w:t>The method</w:t>
            </w:r>
            <w:r>
              <w:rPr>
                <w:rFonts w:eastAsia="Calibri"/>
              </w:rPr>
              <w:t>s</w:t>
            </w:r>
            <w:r w:rsidRPr="008A2236">
              <w:rPr>
                <w:rFonts w:eastAsia="Calibri"/>
              </w:rPr>
              <w:t xml:space="preserve"> used to estimate the planted forest average harvest age, harvest age profile (harvest area by age) and forest age profile ha</w:t>
            </w:r>
            <w:r>
              <w:rPr>
                <w:rFonts w:eastAsia="Calibri"/>
              </w:rPr>
              <w:t>ve</w:t>
            </w:r>
            <w:r w:rsidRPr="008A2236">
              <w:rPr>
                <w:rFonts w:eastAsia="Calibri"/>
              </w:rPr>
              <w:t xml:space="preserve"> been updated. These changes have been made to improve the accuracy of the ages at which we report pre-1990 or post-1989 planted forest being harvested or deforested. See </w:t>
            </w:r>
            <w:r>
              <w:rPr>
                <w:rFonts w:eastAsia="Calibri"/>
              </w:rPr>
              <w:t xml:space="preserve">chapter 6, </w:t>
            </w:r>
            <w:r w:rsidRPr="008A2236">
              <w:rPr>
                <w:rFonts w:eastAsia="Calibri"/>
              </w:rPr>
              <w:t>section 6.3.2 and annex A3.2.5 for more information. This results in significant changes to net emissions through time. The improvement results in an increase in emissions of approximately 1,700 kt CO</w:t>
            </w:r>
            <w:r w:rsidRPr="008A2236">
              <w:rPr>
                <w:rFonts w:eastAsia="Calibri"/>
                <w:vertAlign w:val="subscript"/>
              </w:rPr>
              <w:t>2</w:t>
            </w:r>
            <w:r w:rsidRPr="008A2236">
              <w:rPr>
                <w:rFonts w:eastAsia="Calibri"/>
              </w:rPr>
              <w:t>-e in 1990 and 100 kt CO</w:t>
            </w:r>
            <w:r w:rsidRPr="008A2236">
              <w:rPr>
                <w:rFonts w:eastAsia="Calibri"/>
                <w:vertAlign w:val="subscript"/>
              </w:rPr>
              <w:t>2</w:t>
            </w:r>
            <w:r w:rsidRPr="008A2236">
              <w:rPr>
                <w:rFonts w:eastAsia="Calibri"/>
              </w:rPr>
              <w:t>-e in 2019 compared with the previous submission.</w:t>
            </w:r>
          </w:p>
        </w:tc>
        <w:tc>
          <w:tcPr>
            <w:tcW w:w="0" w:type="auto"/>
            <w:shd w:val="clear" w:color="auto" w:fill="FFFFFF"/>
          </w:tcPr>
          <w:p w14:paraId="52A7637B" w14:textId="77777777" w:rsidR="00366397" w:rsidRPr="008A2236" w:rsidRDefault="00366397" w:rsidP="0030211F">
            <w:pPr>
              <w:pStyle w:val="TableText"/>
            </w:pPr>
            <w:r w:rsidRPr="008A2236">
              <w:rPr>
                <w:rFonts w:eastAsia="Calibri"/>
              </w:rPr>
              <w:t>Accuracy</w:t>
            </w:r>
          </w:p>
        </w:tc>
        <w:tc>
          <w:tcPr>
            <w:tcW w:w="0" w:type="auto"/>
            <w:shd w:val="clear" w:color="auto" w:fill="FFFFFF"/>
          </w:tcPr>
          <w:p w14:paraId="7AA03F25" w14:textId="77777777" w:rsidR="00366397" w:rsidRPr="008A2236" w:rsidRDefault="00366397" w:rsidP="0030211F">
            <w:pPr>
              <w:pStyle w:val="TableText"/>
            </w:pPr>
            <w:r w:rsidRPr="008A2236">
              <w:rPr>
                <w:rFonts w:eastAsia="Calibri"/>
              </w:rPr>
              <w:t>Key category improvement (</w:t>
            </w:r>
            <w:r w:rsidRPr="008A2236">
              <w:rPr>
                <w:rFonts w:eastAsia="Calibri"/>
                <w:i/>
              </w:rPr>
              <w:t>Forest land remaining forest land</w:t>
            </w:r>
            <w:r w:rsidRPr="008A2236">
              <w:rPr>
                <w:rFonts w:eastAsia="Calibri"/>
              </w:rPr>
              <w:t xml:space="preserve">, </w:t>
            </w:r>
            <w:r w:rsidRPr="008A2236">
              <w:rPr>
                <w:rFonts w:eastAsia="Calibri"/>
                <w:i/>
              </w:rPr>
              <w:t>Land converted to cropland</w:t>
            </w:r>
            <w:r w:rsidRPr="008A2236">
              <w:rPr>
                <w:rFonts w:eastAsia="Calibri"/>
              </w:rPr>
              <w:t xml:space="preserve">, </w:t>
            </w:r>
            <w:r w:rsidRPr="008A2236">
              <w:rPr>
                <w:rFonts w:eastAsia="Calibri"/>
                <w:i/>
              </w:rPr>
              <w:t>Land converted to grassland</w:t>
            </w:r>
            <w:r w:rsidRPr="008A2236">
              <w:rPr>
                <w:rFonts w:eastAsia="Calibri"/>
              </w:rPr>
              <w:t xml:space="preserve">, </w:t>
            </w:r>
            <w:r w:rsidRPr="008A2236">
              <w:rPr>
                <w:rFonts w:eastAsia="Calibri"/>
                <w:i/>
              </w:rPr>
              <w:t>Land converted to wetlands</w:t>
            </w:r>
            <w:r w:rsidRPr="008A2236">
              <w:rPr>
                <w:rFonts w:eastAsia="Calibri"/>
              </w:rPr>
              <w:t>)</w:t>
            </w:r>
          </w:p>
        </w:tc>
      </w:tr>
      <w:tr w:rsidR="00366397" w:rsidRPr="008A2236" w14:paraId="4D04979F" w14:textId="77777777" w:rsidTr="001959CB">
        <w:tc>
          <w:tcPr>
            <w:tcW w:w="0" w:type="auto"/>
            <w:shd w:val="clear" w:color="auto" w:fill="FFFFFF"/>
          </w:tcPr>
          <w:p w14:paraId="482649B5" w14:textId="77777777" w:rsidR="00366397" w:rsidRPr="008A2236" w:rsidRDefault="00366397" w:rsidP="0030211F">
            <w:pPr>
              <w:pStyle w:val="TableText"/>
            </w:pPr>
            <w:r w:rsidRPr="008A2236">
              <w:rPr>
                <w:rFonts w:eastAsia="Calibri"/>
              </w:rPr>
              <w:t>The pre-1990 and post-1989 planted forest yield tables have been revised for the 2022 submission. All planted forest yield tables have been updated to include plots measured in the 2020 national forest inventory. The three period</w:t>
            </w:r>
            <w:r>
              <w:rPr>
                <w:rFonts w:eastAsia="Calibri"/>
              </w:rPr>
              <w:t>-</w:t>
            </w:r>
            <w:r w:rsidRPr="008A2236">
              <w:rPr>
                <w:rFonts w:eastAsia="Calibri"/>
              </w:rPr>
              <w:t xml:space="preserve">specific yield tables used for pre-1990 planted forest, </w:t>
            </w:r>
            <w:r>
              <w:rPr>
                <w:rFonts w:eastAsia="Calibri"/>
              </w:rPr>
              <w:t xml:space="preserve">which were </w:t>
            </w:r>
            <w:r w:rsidRPr="008A2236">
              <w:rPr>
                <w:rFonts w:eastAsia="Calibri"/>
              </w:rPr>
              <w:t>first applied for the 2021 submission</w:t>
            </w:r>
            <w:r>
              <w:rPr>
                <w:rFonts w:eastAsia="Calibri"/>
              </w:rPr>
              <w:t xml:space="preserve"> and</w:t>
            </w:r>
            <w:r w:rsidRPr="008A2236">
              <w:rPr>
                <w:rFonts w:eastAsia="Calibri"/>
              </w:rPr>
              <w:t xml:space="preserve"> reflect different planting periods</w:t>
            </w:r>
            <w:r>
              <w:rPr>
                <w:rFonts w:eastAsia="Calibri"/>
              </w:rPr>
              <w:t>,</w:t>
            </w:r>
            <w:r w:rsidRPr="008A2236">
              <w:rPr>
                <w:rFonts w:eastAsia="Calibri"/>
              </w:rPr>
              <w:t xml:space="preserve"> have been updated. For the 2022 </w:t>
            </w:r>
            <w:r w:rsidRPr="008A2236">
              <w:rPr>
                <w:rFonts w:eastAsia="Calibri"/>
              </w:rPr>
              <w:lastRenderedPageBreak/>
              <w:t>submission, only two period</w:t>
            </w:r>
            <w:r>
              <w:rPr>
                <w:rFonts w:eastAsia="Calibri"/>
              </w:rPr>
              <w:t>-</w:t>
            </w:r>
            <w:r w:rsidRPr="008A2236">
              <w:rPr>
                <w:rFonts w:eastAsia="Calibri"/>
              </w:rPr>
              <w:t xml:space="preserve">specific yield tables are used to represent forest planted before 1990 and forest planted from 1990 onwards. This change was made due to concerns around </w:t>
            </w:r>
            <w:r>
              <w:rPr>
                <w:rFonts w:eastAsia="Calibri"/>
              </w:rPr>
              <w:t>whether</w:t>
            </w:r>
            <w:r w:rsidRPr="008A2236">
              <w:rPr>
                <w:rFonts w:eastAsia="Calibri"/>
              </w:rPr>
              <w:t xml:space="preserve"> the yield table used in the previous submission</w:t>
            </w:r>
            <w:r>
              <w:rPr>
                <w:rFonts w:eastAsia="Calibri"/>
              </w:rPr>
              <w:t xml:space="preserve"> was reliable in</w:t>
            </w:r>
            <w:r w:rsidRPr="008A2236">
              <w:rPr>
                <w:rFonts w:eastAsia="Calibri"/>
              </w:rPr>
              <w:t xml:space="preserve"> represent</w:t>
            </w:r>
            <w:r>
              <w:rPr>
                <w:rFonts w:eastAsia="Calibri"/>
              </w:rPr>
              <w:t>ing</w:t>
            </w:r>
            <w:r w:rsidRPr="008A2236">
              <w:rPr>
                <w:rFonts w:eastAsia="Calibri"/>
              </w:rPr>
              <w:t xml:space="preserve"> stands planted from 2010 onwards. These changes have resulted in a decrease in emissions of approximately 115 kt CO</w:t>
            </w:r>
            <w:r w:rsidRPr="008A2236">
              <w:rPr>
                <w:rFonts w:eastAsia="Calibri"/>
                <w:vertAlign w:val="subscript"/>
              </w:rPr>
              <w:t>2</w:t>
            </w:r>
            <w:r w:rsidRPr="008A2236">
              <w:rPr>
                <w:rFonts w:eastAsia="Calibri"/>
              </w:rPr>
              <w:t>-e in 1990 and an increase in emissions of approximately 1,460 kt CO</w:t>
            </w:r>
            <w:r w:rsidRPr="008A2236">
              <w:rPr>
                <w:rFonts w:eastAsia="Calibri"/>
                <w:vertAlign w:val="subscript"/>
              </w:rPr>
              <w:t>2</w:t>
            </w:r>
            <w:r w:rsidRPr="008A2236">
              <w:rPr>
                <w:rFonts w:eastAsia="Calibri"/>
              </w:rPr>
              <w:t>-e in 2019, compared with the 2021 submission.</w:t>
            </w:r>
          </w:p>
        </w:tc>
        <w:tc>
          <w:tcPr>
            <w:tcW w:w="0" w:type="auto"/>
            <w:shd w:val="clear" w:color="auto" w:fill="FFFFFF"/>
          </w:tcPr>
          <w:p w14:paraId="7FE67825" w14:textId="77777777" w:rsidR="00366397" w:rsidRPr="008A2236" w:rsidRDefault="00366397" w:rsidP="0030211F">
            <w:pPr>
              <w:pStyle w:val="TableText"/>
            </w:pPr>
            <w:r w:rsidRPr="008A2236">
              <w:rPr>
                <w:rFonts w:eastAsia="Calibri"/>
              </w:rPr>
              <w:lastRenderedPageBreak/>
              <w:t>Accuracy</w:t>
            </w:r>
          </w:p>
        </w:tc>
        <w:tc>
          <w:tcPr>
            <w:tcW w:w="0" w:type="auto"/>
            <w:shd w:val="clear" w:color="auto" w:fill="FFFFFF"/>
          </w:tcPr>
          <w:p w14:paraId="479C2A03" w14:textId="77777777" w:rsidR="00366397" w:rsidRPr="008A2236" w:rsidRDefault="00366397" w:rsidP="0030211F">
            <w:pPr>
              <w:pStyle w:val="TableText"/>
            </w:pPr>
            <w:r w:rsidRPr="008A2236">
              <w:rPr>
                <w:rFonts w:eastAsia="Calibri"/>
              </w:rPr>
              <w:t>Key category improvement (</w:t>
            </w:r>
            <w:r w:rsidRPr="008A2236">
              <w:rPr>
                <w:rFonts w:eastAsia="Calibri"/>
                <w:i/>
              </w:rPr>
              <w:t>Forest land remaining forest land</w:t>
            </w:r>
            <w:r w:rsidRPr="008A2236">
              <w:rPr>
                <w:rFonts w:eastAsia="Calibri"/>
              </w:rPr>
              <w:t xml:space="preserve">, </w:t>
            </w:r>
            <w:r w:rsidRPr="008A2236">
              <w:rPr>
                <w:rFonts w:eastAsia="Calibri"/>
                <w:i/>
              </w:rPr>
              <w:t>Land converted to forest land</w:t>
            </w:r>
            <w:r w:rsidRPr="008A2236">
              <w:rPr>
                <w:rFonts w:eastAsia="Calibri"/>
              </w:rPr>
              <w:t xml:space="preserve">, </w:t>
            </w:r>
            <w:r w:rsidRPr="008A2236">
              <w:rPr>
                <w:rFonts w:eastAsia="Calibri"/>
                <w:i/>
              </w:rPr>
              <w:t>Land converted to grassland</w:t>
            </w:r>
            <w:r w:rsidRPr="008A2236">
              <w:rPr>
                <w:rFonts w:eastAsia="Calibri"/>
              </w:rPr>
              <w:t>)</w:t>
            </w:r>
          </w:p>
        </w:tc>
      </w:tr>
      <w:tr w:rsidR="00366397" w:rsidRPr="008A2236" w14:paraId="7C3057CD" w14:textId="77777777" w:rsidTr="001959CB">
        <w:tc>
          <w:tcPr>
            <w:tcW w:w="0" w:type="auto"/>
            <w:shd w:val="clear" w:color="auto" w:fill="FFFFFF"/>
          </w:tcPr>
          <w:p w14:paraId="44398322" w14:textId="77777777" w:rsidR="00366397" w:rsidRPr="008A2236" w:rsidRDefault="00366397" w:rsidP="0030211F">
            <w:pPr>
              <w:pStyle w:val="TableText"/>
            </w:pPr>
            <w:r w:rsidRPr="008A2236">
              <w:rPr>
                <w:rFonts w:eastAsia="Calibri"/>
              </w:rPr>
              <w:t>In previous submissions</w:t>
            </w:r>
            <w:r>
              <w:rPr>
                <w:rFonts w:eastAsia="Calibri"/>
              </w:rPr>
              <w:t>,</w:t>
            </w:r>
            <w:r w:rsidRPr="008A2236">
              <w:rPr>
                <w:rFonts w:eastAsia="Calibri"/>
              </w:rPr>
              <w:t xml:space="preserve"> tall and regenerating pre-1990 natural forest areas, as defined in </w:t>
            </w:r>
            <w:r>
              <w:rPr>
                <w:rFonts w:eastAsia="Calibri"/>
              </w:rPr>
              <w:t>chapter 6</w:t>
            </w:r>
            <w:r w:rsidRPr="008A2236">
              <w:rPr>
                <w:rFonts w:eastAsia="Calibri"/>
              </w:rPr>
              <w:t xml:space="preserve">, table 6.3.5, were classified using a different method </w:t>
            </w:r>
            <w:r>
              <w:rPr>
                <w:rFonts w:eastAsia="Calibri"/>
              </w:rPr>
              <w:t>from</w:t>
            </w:r>
            <w:r w:rsidRPr="008A2236">
              <w:rPr>
                <w:rFonts w:eastAsia="Calibri"/>
              </w:rPr>
              <w:t xml:space="preserve"> the classification </w:t>
            </w:r>
            <w:r>
              <w:rPr>
                <w:rFonts w:eastAsia="Calibri"/>
              </w:rPr>
              <w:t xml:space="preserve">method </w:t>
            </w:r>
            <w:r w:rsidRPr="008A2236">
              <w:rPr>
                <w:rFonts w:eastAsia="Calibri"/>
              </w:rPr>
              <w:t>used to calculate carbon stock change per hectare for each forest type. This resulted in a mismatch in assigning carbon stock change per hectare to forest area. In the 2022 submission</w:t>
            </w:r>
            <w:r>
              <w:rPr>
                <w:rFonts w:eastAsia="Calibri"/>
              </w:rPr>
              <w:t>,</w:t>
            </w:r>
            <w:r w:rsidRPr="008A2236">
              <w:rPr>
                <w:rFonts w:eastAsia="Calibri"/>
              </w:rPr>
              <w:t xml:space="preserve"> the classification of area and stock change have been amended and the same classification method is now applied. Additionally, the assumption in previous submissions that tall natural forests were in steady state has been revised so that a carbon stock change per hectare is now also included for the tall forest component. Collectively, this has resulted in an increase in annual net emissions of approximately 1,300 kt CO</w:t>
            </w:r>
            <w:r w:rsidRPr="008A2236">
              <w:rPr>
                <w:rFonts w:eastAsia="Calibri"/>
                <w:vertAlign w:val="subscript"/>
              </w:rPr>
              <w:t>2</w:t>
            </w:r>
            <w:r w:rsidRPr="008A2236">
              <w:rPr>
                <w:rFonts w:eastAsia="Calibri"/>
              </w:rPr>
              <w:t>-e across the time</w:t>
            </w:r>
            <w:r>
              <w:rPr>
                <w:rFonts w:eastAsia="Calibri"/>
              </w:rPr>
              <w:t xml:space="preserve"> </w:t>
            </w:r>
            <w:r w:rsidRPr="008A2236">
              <w:rPr>
                <w:rFonts w:eastAsia="Calibri"/>
              </w:rPr>
              <w:t>series.</w:t>
            </w:r>
          </w:p>
        </w:tc>
        <w:tc>
          <w:tcPr>
            <w:tcW w:w="0" w:type="auto"/>
            <w:shd w:val="clear" w:color="auto" w:fill="FFFFFF"/>
          </w:tcPr>
          <w:p w14:paraId="6D68770E" w14:textId="77777777" w:rsidR="00366397" w:rsidRPr="008A2236" w:rsidRDefault="00366397" w:rsidP="0030211F">
            <w:pPr>
              <w:pStyle w:val="TableText"/>
            </w:pPr>
            <w:r w:rsidRPr="008A2236">
              <w:rPr>
                <w:rFonts w:eastAsia="Calibri"/>
              </w:rPr>
              <w:t>Accuracy, consistency</w:t>
            </w:r>
          </w:p>
        </w:tc>
        <w:tc>
          <w:tcPr>
            <w:tcW w:w="0" w:type="auto"/>
            <w:shd w:val="clear" w:color="auto" w:fill="FFFFFF"/>
          </w:tcPr>
          <w:p w14:paraId="5BAC4DC5" w14:textId="77777777" w:rsidR="00366397" w:rsidRPr="008A2236" w:rsidRDefault="00366397" w:rsidP="0030211F">
            <w:pPr>
              <w:pStyle w:val="TableText"/>
            </w:pPr>
            <w:r w:rsidRPr="008A2236">
              <w:rPr>
                <w:rFonts w:eastAsia="Calibri"/>
              </w:rPr>
              <w:t>Key category improvement (</w:t>
            </w:r>
            <w:r w:rsidRPr="008A2236">
              <w:rPr>
                <w:rFonts w:eastAsia="Calibri"/>
                <w:i/>
              </w:rPr>
              <w:t>Forest land remaining forest land</w:t>
            </w:r>
            <w:r w:rsidRPr="008A2236">
              <w:rPr>
                <w:rFonts w:eastAsia="Calibri"/>
              </w:rPr>
              <w:t xml:space="preserve">, </w:t>
            </w:r>
            <w:r w:rsidRPr="008A2236">
              <w:rPr>
                <w:rFonts w:eastAsia="Calibri"/>
                <w:i/>
              </w:rPr>
              <w:t>Land converted to forest land</w:t>
            </w:r>
            <w:r w:rsidRPr="008A2236">
              <w:rPr>
                <w:rFonts w:eastAsia="Calibri"/>
              </w:rPr>
              <w:t xml:space="preserve">, </w:t>
            </w:r>
            <w:r w:rsidRPr="008A2236">
              <w:rPr>
                <w:rFonts w:eastAsia="Calibri"/>
                <w:i/>
              </w:rPr>
              <w:t>Land converted to cropland</w:t>
            </w:r>
            <w:r w:rsidRPr="008A2236">
              <w:rPr>
                <w:rFonts w:eastAsia="Calibri"/>
              </w:rPr>
              <w:t xml:space="preserve">, </w:t>
            </w:r>
            <w:r w:rsidRPr="008A2236">
              <w:rPr>
                <w:rFonts w:eastAsia="Calibri"/>
                <w:i/>
              </w:rPr>
              <w:t>Land converted to grassland</w:t>
            </w:r>
            <w:r w:rsidRPr="008A2236">
              <w:rPr>
                <w:rFonts w:eastAsia="Calibri"/>
              </w:rPr>
              <w:t xml:space="preserve">, </w:t>
            </w:r>
            <w:r w:rsidRPr="008A2236">
              <w:rPr>
                <w:rFonts w:eastAsia="Calibri"/>
                <w:i/>
              </w:rPr>
              <w:t>Land converted to wetlands</w:t>
            </w:r>
            <w:r w:rsidRPr="008A2236">
              <w:rPr>
                <w:rFonts w:eastAsia="Calibri"/>
              </w:rPr>
              <w:t>) </w:t>
            </w:r>
          </w:p>
        </w:tc>
      </w:tr>
    </w:tbl>
    <w:p w14:paraId="65A5607C" w14:textId="77777777" w:rsidR="00366397" w:rsidRPr="008A2236" w:rsidRDefault="00366397" w:rsidP="00366397">
      <w:pPr>
        <w:pStyle w:val="Heading3"/>
      </w:pPr>
      <w:bookmarkStart w:id="2649" w:name="waste"/>
      <w:bookmarkEnd w:id="2646"/>
      <w:r w:rsidRPr="008A2236">
        <w:t xml:space="preserve">10.1.5 </w:t>
      </w:r>
      <w:r>
        <w:tab/>
      </w:r>
      <w:r w:rsidRPr="008A2236">
        <w:t>Waste</w:t>
      </w:r>
    </w:p>
    <w:p w14:paraId="14736F8F" w14:textId="23BAC642" w:rsidR="00366397" w:rsidRPr="008A2236" w:rsidRDefault="00366397" w:rsidP="00366397">
      <w:pPr>
        <w:pStyle w:val="BodyText"/>
      </w:pPr>
      <w:r w:rsidRPr="008A2236">
        <w:t>Improvements and recalculations made to estimates in the Waste sector have resulted in a</w:t>
      </w:r>
      <w:r w:rsidR="001B0B1C">
        <w:t> </w:t>
      </w:r>
      <w:r w:rsidRPr="008A2236">
        <w:t>0.5 per cent (18.2 kt CO</w:t>
      </w:r>
      <w:r w:rsidRPr="008A2236">
        <w:rPr>
          <w:vertAlign w:val="subscript"/>
        </w:rPr>
        <w:t>2</w:t>
      </w:r>
      <w:r w:rsidRPr="008A2236">
        <w:t xml:space="preserve">-e) decrease in emissions </w:t>
      </w:r>
      <w:r>
        <w:t xml:space="preserve">estimates </w:t>
      </w:r>
      <w:r w:rsidRPr="008A2236">
        <w:t>in 1990 and a 0.1 per cent (4.2</w:t>
      </w:r>
      <w:r>
        <w:t> </w:t>
      </w:r>
      <w:r w:rsidRPr="008A2236">
        <w:t>kt</w:t>
      </w:r>
      <w:r>
        <w:t> </w:t>
      </w:r>
      <w:r w:rsidRPr="008A2236">
        <w:t>CO</w:t>
      </w:r>
      <w:r w:rsidRPr="008A2236">
        <w:rPr>
          <w:vertAlign w:val="subscript"/>
        </w:rPr>
        <w:t>2</w:t>
      </w:r>
      <w:r w:rsidRPr="008A2236">
        <w:t>-e) decrease in emissions</w:t>
      </w:r>
      <w:r>
        <w:t xml:space="preserve"> estimates</w:t>
      </w:r>
      <w:r w:rsidRPr="008A2236">
        <w:t xml:space="preserve"> in 2019 (figure 10.1.6).</w:t>
      </w:r>
    </w:p>
    <w:p w14:paraId="2B8B73C1" w14:textId="7D590DB7" w:rsidR="00366397" w:rsidRPr="008A2236" w:rsidRDefault="00366397" w:rsidP="00366397">
      <w:pPr>
        <w:pStyle w:val="Figure"/>
      </w:pPr>
      <w:bookmarkStart w:id="2650" w:name="_Toc99696073"/>
      <w:r w:rsidRPr="008A2236">
        <w:rPr>
          <w:bCs/>
        </w:rPr>
        <w:t>Figure 10.1.6</w:t>
      </w:r>
      <w:r w:rsidRPr="008A2236">
        <w:rPr>
          <w:bCs/>
        </w:rPr>
        <w:tab/>
        <w:t>Effect of recalculations on</w:t>
      </w:r>
      <w:r>
        <w:rPr>
          <w:bCs/>
        </w:rPr>
        <w:t xml:space="preserve"> emissions estimates from</w:t>
      </w:r>
      <w:r w:rsidRPr="008A2236">
        <w:rPr>
          <w:bCs/>
        </w:rPr>
        <w:t xml:space="preserve"> New Zealand’s Waste sector</w:t>
      </w:r>
      <w:r w:rsidR="001B0B1C">
        <w:rPr>
          <w:bCs/>
        </w:rPr>
        <w:br/>
      </w:r>
      <w:r w:rsidRPr="008A2236">
        <w:rPr>
          <w:bCs/>
        </w:rPr>
        <w:t>from 1990 to 2019</w:t>
      </w:r>
      <w:bookmarkEnd w:id="2650"/>
    </w:p>
    <w:p w14:paraId="1FE46C70" w14:textId="77E15512" w:rsidR="00366397" w:rsidRPr="008A2236" w:rsidRDefault="004B48CC" w:rsidP="00366397">
      <w:pPr>
        <w:pStyle w:val="BodyText"/>
      </w:pPr>
      <w:r>
        <w:rPr>
          <w:noProof/>
        </w:rPr>
        <w:pict w14:anchorId="2D1203FF">
          <v:shape id="_x0000_i1149" type="#_x0000_t75" style="width:425.3pt;height:311.45pt;visibility:visible;mso-wrap-style:square">
            <v:imagedata r:id="rId265" o:title="" cropbottom="1315f"/>
          </v:shape>
        </w:pict>
      </w:r>
    </w:p>
    <w:p w14:paraId="1920B671" w14:textId="77777777" w:rsidR="00366397" w:rsidRPr="008A2236" w:rsidRDefault="00366397" w:rsidP="00366397">
      <w:pPr>
        <w:pStyle w:val="BodyText"/>
      </w:pPr>
      <w:r w:rsidRPr="008A2236">
        <w:lastRenderedPageBreak/>
        <w:t xml:space="preserve">Minor changes have been made for three categories in the 2022 submission. First, there are minor updates to activity data for </w:t>
      </w:r>
      <w:r w:rsidRPr="008A2236">
        <w:rPr>
          <w:i/>
          <w:iCs/>
        </w:rPr>
        <w:t>Managed</w:t>
      </w:r>
      <w:r>
        <w:rPr>
          <w:i/>
          <w:iCs/>
        </w:rPr>
        <w:t xml:space="preserve"> </w:t>
      </w:r>
      <w:r w:rsidRPr="008A2236">
        <w:rPr>
          <w:i/>
          <w:iCs/>
        </w:rPr>
        <w:t>waste disposal sites</w:t>
      </w:r>
      <w:r w:rsidRPr="008A2236">
        <w:t>. Since revisions have been made to historical waste disposal levy data, these are now included in the inventory. Overall, the data ha</w:t>
      </w:r>
      <w:r>
        <w:t>ve</w:t>
      </w:r>
      <w:r w:rsidRPr="008A2236">
        <w:t xml:space="preserve"> changed by less than 1</w:t>
      </w:r>
      <w:r>
        <w:t xml:space="preserve"> per cent</w:t>
      </w:r>
      <w:r w:rsidRPr="008A2236">
        <w:t>, and these changes are because of amendments submitted by the landfill operators</w:t>
      </w:r>
      <w:r>
        <w:t xml:space="preserve"> that arose</w:t>
      </w:r>
      <w:r w:rsidRPr="008A2236">
        <w:t xml:space="preserve"> due to operational circumstances. The levy data will continue to be fully updated in each future submission. </w:t>
      </w:r>
    </w:p>
    <w:p w14:paraId="1703D7E8" w14:textId="77777777" w:rsidR="00366397" w:rsidRPr="008A2236" w:rsidRDefault="00366397" w:rsidP="00366397">
      <w:pPr>
        <w:pStyle w:val="BodyText"/>
      </w:pPr>
      <w:r w:rsidRPr="008A2236">
        <w:t xml:space="preserve">Second, </w:t>
      </w:r>
      <w:r>
        <w:t xml:space="preserve">the following </w:t>
      </w:r>
      <w:r w:rsidRPr="008A2236">
        <w:t xml:space="preserve">two issues are addressed in the activity data for non-municipal landfills, </w:t>
      </w:r>
      <w:r>
        <w:t xml:space="preserve">which are </w:t>
      </w:r>
      <w:r w:rsidRPr="008A2236">
        <w:t xml:space="preserve">part of the </w:t>
      </w:r>
      <w:r w:rsidRPr="008A2236">
        <w:rPr>
          <w:i/>
          <w:iCs/>
        </w:rPr>
        <w:t>Unmanaged</w:t>
      </w:r>
      <w:r>
        <w:rPr>
          <w:i/>
          <w:iCs/>
        </w:rPr>
        <w:t xml:space="preserve"> </w:t>
      </w:r>
      <w:r w:rsidRPr="008A2236">
        <w:rPr>
          <w:i/>
          <w:iCs/>
        </w:rPr>
        <w:t>waste disposal sites</w:t>
      </w:r>
      <w:r w:rsidRPr="008A2236">
        <w:t xml:space="preserve"> category.</w:t>
      </w:r>
    </w:p>
    <w:p w14:paraId="097EA45E" w14:textId="77777777" w:rsidR="00366397" w:rsidRPr="008A2236" w:rsidRDefault="00366397" w:rsidP="00C05FAA">
      <w:pPr>
        <w:pStyle w:val="Bullet"/>
      </w:pPr>
      <w:r w:rsidRPr="008A2236">
        <w:t xml:space="preserve">Activity data for 1950 to 2015 had previously been calculated using data based on Tonkin and Taylor </w:t>
      </w:r>
      <w:r w:rsidRPr="008A2236" w:rsidDel="00EC624B">
        <w:t xml:space="preserve">Ltd </w:t>
      </w:r>
      <w:r w:rsidRPr="008A2236">
        <w:t xml:space="preserve">(unpublished); however, the link between the source data and the calculated activity data used in the inventory was not clear. With further analysis, the calculated activity data </w:t>
      </w:r>
      <w:r>
        <w:t>were</w:t>
      </w:r>
      <w:r w:rsidRPr="008A2236">
        <w:t xml:space="preserve"> re-created using scripts and this method is fully repeatable. There is a discrepancy of about 5 per cent between the original and the new method, which is acceptable due to </w:t>
      </w:r>
      <w:r w:rsidRPr="00C05FAA">
        <w:t>the</w:t>
      </w:r>
      <w:r>
        <w:t xml:space="preserve"> corresponding</w:t>
      </w:r>
      <w:r w:rsidRPr="008A2236">
        <w:t xml:space="preserve"> increase in transparency</w:t>
      </w:r>
      <w:r>
        <w:t xml:space="preserve"> achieved</w:t>
      </w:r>
      <w:r w:rsidRPr="008A2236">
        <w:t>.</w:t>
      </w:r>
    </w:p>
    <w:p w14:paraId="5A746FC1" w14:textId="77777777" w:rsidR="00366397" w:rsidRPr="008A2236" w:rsidRDefault="00366397" w:rsidP="00C05FAA">
      <w:pPr>
        <w:pStyle w:val="Bullet"/>
      </w:pPr>
      <w:r w:rsidRPr="008A2236">
        <w:t xml:space="preserve">Methods to generate activity data for 2016 onward are revised to </w:t>
      </w:r>
      <w:r w:rsidRPr="00C05FAA">
        <w:t>keep</w:t>
      </w:r>
      <w:r w:rsidRPr="008A2236">
        <w:t xml:space="preserve"> activity data constant at 2015 levels. Before the 2022 submission, there was a significant step-change in activity data that did not appear to be justified, and it did not reflect an accurate assumed composition of waste data. Keeping activity data constant at 2015 levels is considered to be a suitable alternative, before activity data based on actual rather than assumed waste data are made available.</w:t>
      </w:r>
    </w:p>
    <w:p w14:paraId="3FF03580" w14:textId="77777777" w:rsidR="00366397" w:rsidRPr="008A2236" w:rsidRDefault="00366397" w:rsidP="00C05FAA">
      <w:pPr>
        <w:pStyle w:val="BodyText"/>
      </w:pPr>
      <w:r w:rsidRPr="008A2236">
        <w:t xml:space="preserve">Third, a correction is made to total carbon content in paper/card in the </w:t>
      </w:r>
      <w:r w:rsidRPr="008A2236">
        <w:rPr>
          <w:i/>
          <w:iCs/>
        </w:rPr>
        <w:t>Open burning of waste</w:t>
      </w:r>
      <w:r w:rsidRPr="008A2236">
        <w:t xml:space="preserve"> category. The percentage of total carbon content for paper/card was previously reported as 43 per cent and this has been adjusted to 46 per cent in accordance with table 2.4 of </w:t>
      </w:r>
      <w:r>
        <w:t>v</w:t>
      </w:r>
      <w:r w:rsidRPr="008A2236">
        <w:t>olume 5 of the 2006 IPCC Guidelines (IPCC</w:t>
      </w:r>
      <w:r>
        <w:t>,</w:t>
      </w:r>
      <w:r w:rsidRPr="008A2236">
        <w:t xml:space="preserve"> 2006</w:t>
      </w:r>
      <w:r>
        <w:t>c</w:t>
      </w:r>
      <w:r w:rsidRPr="008A2236">
        <w:t>) and is also reflected in chapter 7, table 7.4.3.</w:t>
      </w:r>
    </w:p>
    <w:p w14:paraId="7D414909" w14:textId="77777777" w:rsidR="00366397" w:rsidRPr="008A2236" w:rsidRDefault="00366397" w:rsidP="00366397">
      <w:pPr>
        <w:pStyle w:val="BodyText"/>
      </w:pPr>
      <w:r w:rsidRPr="008A2236">
        <w:t xml:space="preserve">A full list of recalculations is </w:t>
      </w:r>
      <w:r>
        <w:t>provided</w:t>
      </w:r>
      <w:r w:rsidRPr="008A2236">
        <w:t xml:space="preserve"> in table 10.1.8.</w:t>
      </w:r>
    </w:p>
    <w:p w14:paraId="4C9BE0CB" w14:textId="77777777" w:rsidR="00366397" w:rsidRPr="008A2236" w:rsidRDefault="00366397" w:rsidP="00366397">
      <w:pPr>
        <w:pStyle w:val="Table"/>
      </w:pPr>
      <w:bookmarkStart w:id="2651" w:name="_Toc99659378"/>
      <w:r w:rsidRPr="008A2236">
        <w:t>Table 10.1.8</w:t>
      </w:r>
      <w:r w:rsidRPr="008A2236">
        <w:tab/>
        <w:t>Explanations and justifications for recalculations in the Waste sector</w:t>
      </w:r>
      <w:bookmarkEnd w:id="2651"/>
    </w:p>
    <w:tbl>
      <w:tblPr>
        <w:tblW w:w="8505" w:type="dxa"/>
        <w:tblInd w:w="113"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5098"/>
        <w:gridCol w:w="1276"/>
        <w:gridCol w:w="2131"/>
      </w:tblGrid>
      <w:tr w:rsidR="00366397" w:rsidRPr="00E53C22" w14:paraId="19CA5354" w14:textId="77777777" w:rsidTr="001959CB">
        <w:trPr>
          <w:trHeight w:val="20"/>
          <w:tblHeader/>
        </w:trPr>
        <w:tc>
          <w:tcPr>
            <w:tcW w:w="5098" w:type="dxa"/>
            <w:shd w:val="clear" w:color="auto" w:fill="1B556B"/>
            <w:vAlign w:val="bottom"/>
          </w:tcPr>
          <w:p w14:paraId="130BB5C6" w14:textId="77777777" w:rsidR="00366397" w:rsidRPr="00366397" w:rsidRDefault="00366397" w:rsidP="0030211F">
            <w:pPr>
              <w:pStyle w:val="TableTextBold"/>
              <w:rPr>
                <w:color w:val="FFFFFF"/>
              </w:rPr>
            </w:pPr>
            <w:r w:rsidRPr="00366397">
              <w:rPr>
                <w:rFonts w:eastAsia="Calibri"/>
                <w:color w:val="FFFFFF"/>
              </w:rPr>
              <w:t>Explanation of recalculation</w:t>
            </w:r>
          </w:p>
        </w:tc>
        <w:tc>
          <w:tcPr>
            <w:tcW w:w="1276" w:type="dxa"/>
            <w:shd w:val="clear" w:color="auto" w:fill="1B556B"/>
            <w:vAlign w:val="bottom"/>
          </w:tcPr>
          <w:p w14:paraId="4349213B" w14:textId="77777777" w:rsidR="00366397" w:rsidRPr="00366397" w:rsidRDefault="00366397" w:rsidP="0030211F">
            <w:pPr>
              <w:pStyle w:val="TableTextBold"/>
              <w:rPr>
                <w:color w:val="FFFFFF"/>
              </w:rPr>
            </w:pPr>
            <w:r w:rsidRPr="00366397">
              <w:rPr>
                <w:rFonts w:eastAsia="Calibri"/>
                <w:color w:val="FFFFFF"/>
              </w:rPr>
              <w:t>Underpinning IPCC principle</w:t>
            </w:r>
          </w:p>
        </w:tc>
        <w:tc>
          <w:tcPr>
            <w:tcW w:w="2131" w:type="dxa"/>
            <w:shd w:val="clear" w:color="auto" w:fill="1B556B"/>
            <w:vAlign w:val="bottom"/>
          </w:tcPr>
          <w:p w14:paraId="678CA607" w14:textId="77777777" w:rsidR="00366397" w:rsidRPr="00366397" w:rsidRDefault="00366397" w:rsidP="0030211F">
            <w:pPr>
              <w:pStyle w:val="TableTextBold"/>
              <w:rPr>
                <w:color w:val="FFFFFF"/>
              </w:rPr>
            </w:pPr>
            <w:r w:rsidRPr="00366397">
              <w:rPr>
                <w:rFonts w:eastAsia="Calibri"/>
                <w:color w:val="FFFFFF"/>
              </w:rPr>
              <w:t>Additional justification</w:t>
            </w:r>
          </w:p>
        </w:tc>
      </w:tr>
      <w:tr w:rsidR="00366397" w:rsidRPr="008A2236" w14:paraId="28380B1B" w14:textId="77777777" w:rsidTr="001959CB">
        <w:trPr>
          <w:trHeight w:val="20"/>
        </w:trPr>
        <w:tc>
          <w:tcPr>
            <w:tcW w:w="5098" w:type="dxa"/>
            <w:shd w:val="clear" w:color="auto" w:fill="FFFFFF"/>
          </w:tcPr>
          <w:p w14:paraId="01EB8FDE" w14:textId="1E694626" w:rsidR="00366397" w:rsidRPr="008A2236" w:rsidRDefault="00366397" w:rsidP="0030211F">
            <w:pPr>
              <w:pStyle w:val="TableText"/>
            </w:pPr>
            <w:r w:rsidRPr="008A2236">
              <w:rPr>
                <w:rFonts w:eastAsia="Calibri"/>
              </w:rPr>
              <w:t>E</w:t>
            </w:r>
            <w:r>
              <w:rPr>
                <w:rFonts w:eastAsia="Calibri"/>
              </w:rPr>
              <w:t>stimated e</w:t>
            </w:r>
            <w:r w:rsidRPr="008A2236">
              <w:rPr>
                <w:rFonts w:eastAsia="Calibri"/>
              </w:rPr>
              <w:t xml:space="preserve">missions from </w:t>
            </w:r>
            <w:r w:rsidRPr="008A2236">
              <w:rPr>
                <w:rFonts w:eastAsia="Calibri"/>
                <w:i/>
                <w:iCs/>
              </w:rPr>
              <w:t>Managed</w:t>
            </w:r>
            <w:r w:rsidRPr="008A2236">
              <w:rPr>
                <w:rFonts w:eastAsia="Calibri"/>
                <w:i/>
              </w:rPr>
              <w:t xml:space="preserve"> waste disposal sites </w:t>
            </w:r>
            <w:r w:rsidRPr="008A2236">
              <w:rPr>
                <w:rFonts w:eastAsia="Calibri"/>
              </w:rPr>
              <w:t>(5.A.1.a) have not changed in 1990 and have increased by 2.7 kt CO</w:t>
            </w:r>
            <w:r w:rsidRPr="008A2236">
              <w:rPr>
                <w:rFonts w:eastAsia="Calibri"/>
                <w:vertAlign w:val="subscript"/>
              </w:rPr>
              <w:t>2</w:t>
            </w:r>
            <w:r w:rsidRPr="008A2236">
              <w:rPr>
                <w:rFonts w:eastAsia="Calibri"/>
              </w:rPr>
              <w:t>-e (0.2</w:t>
            </w:r>
            <w:r>
              <w:rPr>
                <w:rFonts w:eastAsia="Calibri"/>
              </w:rPr>
              <w:t>%</w:t>
            </w:r>
            <w:r w:rsidRPr="008A2236">
              <w:rPr>
                <w:rFonts w:eastAsia="Calibri"/>
              </w:rPr>
              <w:t>) in 2019. This is due to minor updates to activity data for managed landfills after revisions have been made to historical levy data.</w:t>
            </w:r>
          </w:p>
        </w:tc>
        <w:tc>
          <w:tcPr>
            <w:tcW w:w="1276" w:type="dxa"/>
            <w:shd w:val="clear" w:color="auto" w:fill="FFFFFF"/>
          </w:tcPr>
          <w:p w14:paraId="44FADCAA" w14:textId="77777777" w:rsidR="00366397" w:rsidRPr="008A2236" w:rsidRDefault="00366397" w:rsidP="0030211F">
            <w:pPr>
              <w:pStyle w:val="TableText"/>
            </w:pPr>
            <w:r w:rsidRPr="008A2236">
              <w:rPr>
                <w:rFonts w:eastAsia="Calibri"/>
              </w:rPr>
              <w:t>Accuracy</w:t>
            </w:r>
          </w:p>
        </w:tc>
        <w:tc>
          <w:tcPr>
            <w:tcW w:w="2131" w:type="dxa"/>
            <w:shd w:val="clear" w:color="auto" w:fill="FFFFFF"/>
          </w:tcPr>
          <w:p w14:paraId="66F03542" w14:textId="77777777" w:rsidR="00366397" w:rsidRPr="008A2236" w:rsidRDefault="00366397" w:rsidP="0030211F">
            <w:pPr>
              <w:pStyle w:val="TableText"/>
            </w:pPr>
            <w:r w:rsidRPr="00366397">
              <w:rPr>
                <w:rFonts w:eastAsia="Calibri"/>
                <w:i/>
                <w:color w:val="000000"/>
              </w:rPr>
              <w:t>Solid waste disposal</w:t>
            </w:r>
            <w:r w:rsidRPr="00366397">
              <w:rPr>
                <w:rFonts w:eastAsia="Calibri"/>
                <w:color w:val="000000"/>
              </w:rPr>
              <w:t xml:space="preserve"> is a key category in the 2021 submission</w:t>
            </w:r>
          </w:p>
        </w:tc>
      </w:tr>
      <w:tr w:rsidR="00366397" w:rsidRPr="008A2236" w14:paraId="6034D3FC" w14:textId="77777777" w:rsidTr="001959CB">
        <w:trPr>
          <w:trHeight w:val="20"/>
        </w:trPr>
        <w:tc>
          <w:tcPr>
            <w:tcW w:w="5098" w:type="dxa"/>
            <w:shd w:val="clear" w:color="auto" w:fill="FFFFFF"/>
          </w:tcPr>
          <w:p w14:paraId="090ED464" w14:textId="61BB09B7" w:rsidR="00366397" w:rsidRPr="008A2236" w:rsidRDefault="00366397" w:rsidP="0030211F">
            <w:pPr>
              <w:pStyle w:val="TableText"/>
              <w:rPr>
                <w:rFonts w:eastAsia="Calibri"/>
                <w:color w:val="000000"/>
              </w:rPr>
            </w:pPr>
            <w:r w:rsidRPr="008A2236">
              <w:rPr>
                <w:rFonts w:eastAsia="Calibri"/>
              </w:rPr>
              <w:t>E</w:t>
            </w:r>
            <w:r>
              <w:rPr>
                <w:rFonts w:eastAsia="Calibri"/>
                <w:color w:val="000000"/>
              </w:rPr>
              <w:t>stimated e</w:t>
            </w:r>
            <w:r w:rsidRPr="008A2236">
              <w:rPr>
                <w:rFonts w:eastAsia="Calibri"/>
              </w:rPr>
              <w:t xml:space="preserve">missions from non-municipal solid waste sites (part of 5.A.2 </w:t>
            </w:r>
            <w:r w:rsidRPr="008A2236">
              <w:rPr>
                <w:rFonts w:eastAsia="Calibri"/>
                <w:i/>
              </w:rPr>
              <w:t>Unmanaged waste disposal sites</w:t>
            </w:r>
            <w:r w:rsidRPr="008A2236">
              <w:rPr>
                <w:rFonts w:eastAsia="Calibri"/>
              </w:rPr>
              <w:t>) have reduced 19.6 kt CO</w:t>
            </w:r>
            <w:r w:rsidRPr="008A2236">
              <w:rPr>
                <w:rFonts w:eastAsia="Calibri"/>
                <w:vertAlign w:val="subscript"/>
              </w:rPr>
              <w:t>2</w:t>
            </w:r>
            <w:r w:rsidRPr="008A2236">
              <w:rPr>
                <w:rFonts w:eastAsia="Calibri"/>
              </w:rPr>
              <w:t>-e (2.7</w:t>
            </w:r>
            <w:r>
              <w:rPr>
                <w:rFonts w:eastAsia="Calibri"/>
              </w:rPr>
              <w:t>%</w:t>
            </w:r>
            <w:r w:rsidRPr="008A2236">
              <w:rPr>
                <w:rFonts w:eastAsia="Calibri"/>
              </w:rPr>
              <w:t>) in 1990 and 6.8</w:t>
            </w:r>
            <w:r>
              <w:rPr>
                <w:rFonts w:eastAsia="Calibri"/>
              </w:rPr>
              <w:t> </w:t>
            </w:r>
            <w:r w:rsidRPr="008A2236">
              <w:rPr>
                <w:rFonts w:eastAsia="Calibri"/>
              </w:rPr>
              <w:t>kt</w:t>
            </w:r>
            <w:r>
              <w:rPr>
                <w:rFonts w:eastAsia="Calibri"/>
              </w:rPr>
              <w:t> </w:t>
            </w:r>
            <w:r w:rsidRPr="008A2236">
              <w:rPr>
                <w:rFonts w:eastAsia="Calibri"/>
              </w:rPr>
              <w:t>CO</w:t>
            </w:r>
            <w:r w:rsidRPr="008A2236">
              <w:rPr>
                <w:rFonts w:eastAsia="Calibri"/>
                <w:vertAlign w:val="subscript"/>
              </w:rPr>
              <w:t>2</w:t>
            </w:r>
            <w:r w:rsidRPr="008A2236">
              <w:rPr>
                <w:rFonts w:eastAsia="Calibri"/>
              </w:rPr>
              <w:t>-e (0.7</w:t>
            </w:r>
            <w:r>
              <w:rPr>
                <w:rFonts w:eastAsia="Calibri"/>
              </w:rPr>
              <w:t>%</w:t>
            </w:r>
            <w:r w:rsidRPr="008A2236">
              <w:rPr>
                <w:rFonts w:eastAsia="Calibri"/>
              </w:rPr>
              <w:t>) in 2019. This is the result of minor revisions to activity data for non-municipal landfills. Two issues were addressed in the activity data</w:t>
            </w:r>
            <w:r>
              <w:rPr>
                <w:rFonts w:eastAsia="Calibri"/>
              </w:rPr>
              <w:t>.</w:t>
            </w:r>
          </w:p>
          <w:p w14:paraId="18F6C20B" w14:textId="77777777" w:rsidR="00366397" w:rsidRPr="008A2236" w:rsidRDefault="00366397" w:rsidP="00C05FAA">
            <w:pPr>
              <w:pStyle w:val="TableBullet"/>
              <w:rPr>
                <w:rFonts w:eastAsia="Calibri"/>
              </w:rPr>
            </w:pPr>
            <w:r w:rsidRPr="008A2236">
              <w:rPr>
                <w:rFonts w:eastAsia="Calibri"/>
              </w:rPr>
              <w:t>Activity data for 1950</w:t>
            </w:r>
            <w:r>
              <w:rPr>
                <w:rFonts w:eastAsia="Calibri"/>
              </w:rPr>
              <w:t>–</w:t>
            </w:r>
            <w:r w:rsidRPr="008A2236">
              <w:rPr>
                <w:rFonts w:eastAsia="Calibri"/>
              </w:rPr>
              <w:t>2015 had previously been calculated using data based on Tonkin and Taylor Ltd (unpublished)</w:t>
            </w:r>
            <w:r>
              <w:rPr>
                <w:rFonts w:eastAsia="Calibri"/>
              </w:rPr>
              <w:t>;</w:t>
            </w:r>
            <w:r w:rsidRPr="008A2236">
              <w:rPr>
                <w:rFonts w:eastAsia="Calibri"/>
              </w:rPr>
              <w:t xml:space="preserve"> however the link between the source data and the calculated activity data used in the inventory was not clear. With further analysis, the calculated activity data </w:t>
            </w:r>
            <w:r>
              <w:rPr>
                <w:rFonts w:eastAsia="Calibri"/>
              </w:rPr>
              <w:t>were</w:t>
            </w:r>
            <w:r w:rsidRPr="008A2236">
              <w:rPr>
                <w:rFonts w:eastAsia="Calibri"/>
              </w:rPr>
              <w:t xml:space="preserve"> re-created using scripts and this method is repeatable. There is about 5% discrepancy between the original and the new method</w:t>
            </w:r>
            <w:r>
              <w:rPr>
                <w:rFonts w:eastAsia="Calibri"/>
              </w:rPr>
              <w:t>,</w:t>
            </w:r>
            <w:r w:rsidRPr="008A2236">
              <w:rPr>
                <w:rFonts w:eastAsia="Calibri"/>
              </w:rPr>
              <w:t xml:space="preserve"> which is acceptable due to </w:t>
            </w:r>
            <w:r>
              <w:rPr>
                <w:rFonts w:eastAsia="Calibri"/>
              </w:rPr>
              <w:t xml:space="preserve">the corresponding </w:t>
            </w:r>
            <w:r w:rsidRPr="008A2236">
              <w:rPr>
                <w:rFonts w:eastAsia="Calibri"/>
              </w:rPr>
              <w:t xml:space="preserve">increase in transparency. </w:t>
            </w:r>
          </w:p>
          <w:p w14:paraId="4D7EDEEF" w14:textId="77777777" w:rsidR="00366397" w:rsidRPr="008A2236" w:rsidRDefault="00366397" w:rsidP="00C05FAA">
            <w:pPr>
              <w:pStyle w:val="TableBullet"/>
            </w:pPr>
            <w:r w:rsidRPr="008A2236">
              <w:rPr>
                <w:rFonts w:eastAsia="Calibri"/>
              </w:rPr>
              <w:t xml:space="preserve">Methods to generate activity data for 2016 </w:t>
            </w:r>
            <w:r w:rsidRPr="00C05FAA">
              <w:rPr>
                <w:rFonts w:eastAsia="Calibri"/>
              </w:rPr>
              <w:t>onward</w:t>
            </w:r>
            <w:r w:rsidRPr="008A2236">
              <w:rPr>
                <w:rFonts w:eastAsia="Calibri"/>
              </w:rPr>
              <w:t xml:space="preserve"> are revised to keep activity data constant at 2015 levels. Before this submission, there was a significant step-change in activity data that did not appear to be justified, and it did not reflect an accurate assumed composition of waste data. Keeping activity data constant at 2015 levels is considered </w:t>
            </w:r>
            <w:r>
              <w:rPr>
                <w:rFonts w:eastAsia="Calibri"/>
              </w:rPr>
              <w:t>to be</w:t>
            </w:r>
            <w:r w:rsidRPr="008A2236">
              <w:rPr>
                <w:rFonts w:eastAsia="Calibri"/>
              </w:rPr>
              <w:t xml:space="preserve"> a suitable alternative, before more real-world activity data </w:t>
            </w:r>
            <w:r>
              <w:rPr>
                <w:rFonts w:eastAsia="Calibri"/>
              </w:rPr>
              <w:t>are</w:t>
            </w:r>
            <w:r w:rsidRPr="008A2236">
              <w:rPr>
                <w:rFonts w:eastAsia="Calibri"/>
              </w:rPr>
              <w:t xml:space="preserve"> made available.</w:t>
            </w:r>
          </w:p>
        </w:tc>
        <w:tc>
          <w:tcPr>
            <w:tcW w:w="1276" w:type="dxa"/>
            <w:shd w:val="clear" w:color="auto" w:fill="FFFFFF"/>
          </w:tcPr>
          <w:p w14:paraId="173B66D8" w14:textId="77777777" w:rsidR="00366397" w:rsidRPr="008A2236" w:rsidRDefault="00366397" w:rsidP="0030211F">
            <w:pPr>
              <w:pStyle w:val="TableText"/>
            </w:pPr>
            <w:r w:rsidRPr="008A2236">
              <w:rPr>
                <w:rFonts w:eastAsia="Calibri"/>
              </w:rPr>
              <w:t>Accuracy, transparency</w:t>
            </w:r>
          </w:p>
        </w:tc>
        <w:tc>
          <w:tcPr>
            <w:tcW w:w="2131" w:type="dxa"/>
            <w:shd w:val="clear" w:color="auto" w:fill="FFFFFF"/>
          </w:tcPr>
          <w:p w14:paraId="5CE53526" w14:textId="77777777" w:rsidR="00366397" w:rsidRPr="008A2236" w:rsidRDefault="00366397" w:rsidP="0030211F">
            <w:pPr>
              <w:pStyle w:val="TableText"/>
            </w:pPr>
            <w:r w:rsidRPr="008A2236">
              <w:rPr>
                <w:rFonts w:eastAsia="Calibri"/>
                <w:i/>
              </w:rPr>
              <w:t>Solid waste disposal</w:t>
            </w:r>
            <w:r w:rsidRPr="008A2236">
              <w:rPr>
                <w:rFonts w:eastAsia="Calibri"/>
              </w:rPr>
              <w:t xml:space="preserve"> is a key category in the 2021 submission</w:t>
            </w:r>
          </w:p>
        </w:tc>
      </w:tr>
      <w:tr w:rsidR="00366397" w:rsidRPr="008A2236" w14:paraId="527836B7" w14:textId="77777777" w:rsidTr="001959CB">
        <w:trPr>
          <w:trHeight w:val="20"/>
        </w:trPr>
        <w:tc>
          <w:tcPr>
            <w:tcW w:w="5098" w:type="dxa"/>
            <w:shd w:val="clear" w:color="auto" w:fill="FFFFFF"/>
          </w:tcPr>
          <w:p w14:paraId="65B55AF0" w14:textId="77777777" w:rsidR="00366397" w:rsidRPr="008A2236" w:rsidRDefault="00366397" w:rsidP="00095183">
            <w:pPr>
              <w:pStyle w:val="TableText"/>
              <w:keepNext/>
            </w:pPr>
            <w:r w:rsidRPr="008A2236">
              <w:rPr>
                <w:rFonts w:eastAsia="Calibri"/>
              </w:rPr>
              <w:lastRenderedPageBreak/>
              <w:t>E</w:t>
            </w:r>
            <w:r>
              <w:rPr>
                <w:rFonts w:eastAsia="Calibri"/>
              </w:rPr>
              <w:t>stimated e</w:t>
            </w:r>
            <w:r w:rsidRPr="008A2236">
              <w:rPr>
                <w:rFonts w:eastAsia="Calibri"/>
              </w:rPr>
              <w:t xml:space="preserve">missions from </w:t>
            </w:r>
            <w:r w:rsidRPr="008A2236">
              <w:rPr>
                <w:rFonts w:eastAsia="Calibri"/>
                <w:i/>
              </w:rPr>
              <w:t xml:space="preserve">Open burning </w:t>
            </w:r>
            <w:r w:rsidRPr="008A2236">
              <w:rPr>
                <w:rFonts w:eastAsia="Calibri"/>
              </w:rPr>
              <w:t>(5.C.2) have increased by 0.2 kt CO</w:t>
            </w:r>
            <w:r w:rsidRPr="008A2236">
              <w:rPr>
                <w:rFonts w:eastAsia="Calibri"/>
                <w:vertAlign w:val="subscript"/>
              </w:rPr>
              <w:t>2</w:t>
            </w:r>
            <w:r w:rsidRPr="008A2236">
              <w:rPr>
                <w:rFonts w:eastAsia="Calibri"/>
              </w:rPr>
              <w:t>-e (0.1</w:t>
            </w:r>
            <w:r>
              <w:rPr>
                <w:rFonts w:eastAsia="Calibri"/>
              </w:rPr>
              <w:t>%</w:t>
            </w:r>
            <w:r w:rsidRPr="008A2236">
              <w:rPr>
                <w:rFonts w:eastAsia="Calibri"/>
              </w:rPr>
              <w:t>) in 1990 and by 0.06 kt CO</w:t>
            </w:r>
            <w:r w:rsidRPr="008A2236">
              <w:rPr>
                <w:rFonts w:eastAsia="Calibri"/>
                <w:vertAlign w:val="subscript"/>
              </w:rPr>
              <w:t>2</w:t>
            </w:r>
            <w:r w:rsidRPr="008A2236">
              <w:rPr>
                <w:rFonts w:eastAsia="Calibri"/>
              </w:rPr>
              <w:t>-e (0.03</w:t>
            </w:r>
            <w:r>
              <w:rPr>
                <w:rFonts w:eastAsia="Calibri"/>
              </w:rPr>
              <w:t>%</w:t>
            </w:r>
            <w:r w:rsidRPr="008A2236">
              <w:rPr>
                <w:rFonts w:eastAsia="Calibri"/>
              </w:rPr>
              <w:t xml:space="preserve">) in 2019. This is largely due to a correction of total carbon content in </w:t>
            </w:r>
            <w:r>
              <w:rPr>
                <w:rFonts w:eastAsia="Calibri"/>
              </w:rPr>
              <w:t>p</w:t>
            </w:r>
            <w:r w:rsidRPr="008A2236">
              <w:rPr>
                <w:rFonts w:eastAsia="Calibri"/>
              </w:rPr>
              <w:t xml:space="preserve">aper/card from open burning of rural waste. The percentage of </w:t>
            </w:r>
            <w:r>
              <w:rPr>
                <w:rFonts w:eastAsia="Calibri"/>
              </w:rPr>
              <w:t>t</w:t>
            </w:r>
            <w:r w:rsidRPr="008A2236">
              <w:rPr>
                <w:rFonts w:eastAsia="Calibri"/>
              </w:rPr>
              <w:t xml:space="preserve">otal carbon content for </w:t>
            </w:r>
            <w:r>
              <w:rPr>
                <w:rFonts w:eastAsia="Calibri"/>
              </w:rPr>
              <w:t>p</w:t>
            </w:r>
            <w:r w:rsidRPr="008A2236">
              <w:rPr>
                <w:rFonts w:eastAsia="Calibri"/>
              </w:rPr>
              <w:t>aper/card was previously reported as 43% and this has been adjusted to 46% in accordance with table 2.4</w:t>
            </w:r>
            <w:r>
              <w:rPr>
                <w:rFonts w:eastAsia="Calibri"/>
              </w:rPr>
              <w:t xml:space="preserve"> in the 2006 IPCC Guidelines</w:t>
            </w:r>
            <w:r w:rsidRPr="008A2236">
              <w:rPr>
                <w:rFonts w:eastAsia="Calibri"/>
              </w:rPr>
              <w:t xml:space="preserve"> (IPCC</w:t>
            </w:r>
            <w:r>
              <w:rPr>
                <w:rFonts w:eastAsia="Calibri"/>
              </w:rPr>
              <w:t>,</w:t>
            </w:r>
            <w:r w:rsidRPr="008A2236">
              <w:rPr>
                <w:rFonts w:eastAsia="Calibri"/>
              </w:rPr>
              <w:t xml:space="preserve"> 2006</w:t>
            </w:r>
            <w:r>
              <w:rPr>
                <w:rFonts w:eastAsia="Calibri"/>
              </w:rPr>
              <w:t>c</w:t>
            </w:r>
            <w:r w:rsidRPr="008A2236">
              <w:rPr>
                <w:rFonts w:eastAsia="Calibri"/>
              </w:rPr>
              <w:t>) and is also reflected in</w:t>
            </w:r>
            <w:r>
              <w:rPr>
                <w:rFonts w:eastAsia="Calibri"/>
              </w:rPr>
              <w:t xml:space="preserve"> chapter 7,</w:t>
            </w:r>
            <w:r w:rsidRPr="008A2236">
              <w:rPr>
                <w:rFonts w:eastAsia="Calibri"/>
              </w:rPr>
              <w:t xml:space="preserve"> table 7.4.3. A minor correction to activity data for 1990</w:t>
            </w:r>
            <w:r>
              <w:rPr>
                <w:rFonts w:eastAsia="Calibri"/>
              </w:rPr>
              <w:t>–</w:t>
            </w:r>
            <w:r w:rsidRPr="008A2236">
              <w:rPr>
                <w:rFonts w:eastAsia="Calibri"/>
              </w:rPr>
              <w:t>1992 accounts for the remainder of the recalculation.</w:t>
            </w:r>
          </w:p>
        </w:tc>
        <w:tc>
          <w:tcPr>
            <w:tcW w:w="1276" w:type="dxa"/>
            <w:shd w:val="clear" w:color="auto" w:fill="FFFFFF"/>
          </w:tcPr>
          <w:p w14:paraId="796E94B5" w14:textId="77777777" w:rsidR="00366397" w:rsidRPr="008A2236" w:rsidRDefault="00366397" w:rsidP="0030211F">
            <w:pPr>
              <w:pStyle w:val="TableText"/>
            </w:pPr>
            <w:r w:rsidRPr="008A2236">
              <w:rPr>
                <w:rFonts w:eastAsia="Calibri"/>
              </w:rPr>
              <w:t>Accuracy</w:t>
            </w:r>
          </w:p>
        </w:tc>
        <w:tc>
          <w:tcPr>
            <w:tcW w:w="2131" w:type="dxa"/>
            <w:shd w:val="clear" w:color="auto" w:fill="FFFFFF"/>
          </w:tcPr>
          <w:p w14:paraId="224BD6B2" w14:textId="77777777" w:rsidR="00366397" w:rsidRPr="008A2236" w:rsidRDefault="00366397" w:rsidP="0030211F">
            <w:pPr>
              <w:pStyle w:val="TableText"/>
            </w:pPr>
            <w:r w:rsidRPr="008A2236">
              <w:rPr>
                <w:rFonts w:eastAsia="Calibri"/>
                <w:i/>
              </w:rPr>
              <w:t xml:space="preserve">Incineration and open burning of waste </w:t>
            </w:r>
            <w:r w:rsidRPr="008A2236">
              <w:rPr>
                <w:rFonts w:eastAsia="Calibri"/>
              </w:rPr>
              <w:t>is a key category in the 2021 submission</w:t>
            </w:r>
          </w:p>
        </w:tc>
      </w:tr>
      <w:tr w:rsidR="00366397" w:rsidRPr="008A2236" w14:paraId="7D19571E" w14:textId="77777777" w:rsidTr="001959CB">
        <w:trPr>
          <w:trHeight w:val="20"/>
        </w:trPr>
        <w:tc>
          <w:tcPr>
            <w:tcW w:w="5098" w:type="dxa"/>
            <w:shd w:val="clear" w:color="auto" w:fill="FFFFFF"/>
          </w:tcPr>
          <w:p w14:paraId="68D7F254" w14:textId="77777777" w:rsidR="00366397" w:rsidRPr="008A2236" w:rsidRDefault="00366397" w:rsidP="0030211F">
            <w:pPr>
              <w:pStyle w:val="TableText"/>
            </w:pPr>
            <w:r w:rsidRPr="008A2236">
              <w:rPr>
                <w:rFonts w:eastAsia="Calibri"/>
              </w:rPr>
              <w:t>E</w:t>
            </w:r>
            <w:r>
              <w:rPr>
                <w:rFonts w:eastAsia="Calibri"/>
              </w:rPr>
              <w:t>stimated e</w:t>
            </w:r>
            <w:r w:rsidRPr="008A2236">
              <w:rPr>
                <w:rFonts w:eastAsia="Calibri"/>
              </w:rPr>
              <w:t xml:space="preserve">missions from </w:t>
            </w:r>
            <w:r w:rsidRPr="008A2236">
              <w:rPr>
                <w:rFonts w:eastAsia="Calibri"/>
                <w:i/>
              </w:rPr>
              <w:t>Domestic wastewater</w:t>
            </w:r>
            <w:r w:rsidRPr="008A2236">
              <w:rPr>
                <w:rFonts w:eastAsia="Calibri"/>
              </w:rPr>
              <w:t xml:space="preserve"> (5.D.1) have increased by 1.2</w:t>
            </w:r>
            <w:r>
              <w:rPr>
                <w:rFonts w:eastAsia="Calibri"/>
              </w:rPr>
              <w:t> </w:t>
            </w:r>
            <w:r w:rsidRPr="008A2236">
              <w:rPr>
                <w:rFonts w:eastAsia="Calibri"/>
              </w:rPr>
              <w:t>kt</w:t>
            </w:r>
            <w:r>
              <w:rPr>
                <w:rFonts w:eastAsia="Calibri"/>
              </w:rPr>
              <w:t> </w:t>
            </w:r>
            <w:r w:rsidRPr="008A2236">
              <w:rPr>
                <w:rFonts w:eastAsia="Calibri"/>
              </w:rPr>
              <w:t>CO</w:t>
            </w:r>
            <w:r w:rsidRPr="008A2236">
              <w:rPr>
                <w:rFonts w:eastAsia="Calibri"/>
                <w:vertAlign w:val="subscript"/>
              </w:rPr>
              <w:t>2</w:t>
            </w:r>
            <w:r w:rsidRPr="008A2236">
              <w:rPr>
                <w:rFonts w:eastAsia="Calibri"/>
              </w:rPr>
              <w:t>-e (0.6</w:t>
            </w:r>
            <w:r>
              <w:rPr>
                <w:rFonts w:eastAsia="Calibri"/>
              </w:rPr>
              <w:t>%</w:t>
            </w:r>
            <w:r w:rsidRPr="008A2236">
              <w:rPr>
                <w:rFonts w:eastAsia="Calibri"/>
              </w:rPr>
              <w:t>) in 1990 and by 0.2 kt CO</w:t>
            </w:r>
            <w:r w:rsidRPr="008A2236">
              <w:rPr>
                <w:rFonts w:eastAsia="Calibri"/>
                <w:vertAlign w:val="subscript"/>
              </w:rPr>
              <w:t>2</w:t>
            </w:r>
            <w:r w:rsidRPr="008A2236">
              <w:rPr>
                <w:rFonts w:eastAsia="Calibri"/>
              </w:rPr>
              <w:t>-e (0.1</w:t>
            </w:r>
            <w:r>
              <w:rPr>
                <w:rFonts w:eastAsia="Calibri"/>
              </w:rPr>
              <w:t>%</w:t>
            </w:r>
            <w:r w:rsidRPr="008A2236">
              <w:rPr>
                <w:rFonts w:eastAsia="Calibri"/>
              </w:rPr>
              <w:t>) in 2019. This is the result of revising population data using the latest estimates available and applying these consistently across the time series.</w:t>
            </w:r>
          </w:p>
        </w:tc>
        <w:tc>
          <w:tcPr>
            <w:tcW w:w="1276" w:type="dxa"/>
            <w:shd w:val="clear" w:color="auto" w:fill="FFFFFF"/>
          </w:tcPr>
          <w:p w14:paraId="3F787747" w14:textId="77777777" w:rsidR="00366397" w:rsidRPr="008A2236" w:rsidRDefault="00366397" w:rsidP="0030211F">
            <w:pPr>
              <w:pStyle w:val="TableText"/>
            </w:pPr>
            <w:r w:rsidRPr="008A2236">
              <w:rPr>
                <w:rFonts w:eastAsia="Calibri"/>
              </w:rPr>
              <w:t>Accuracy, consistency</w:t>
            </w:r>
          </w:p>
        </w:tc>
        <w:tc>
          <w:tcPr>
            <w:tcW w:w="2131" w:type="dxa"/>
            <w:shd w:val="clear" w:color="auto" w:fill="FFFFFF"/>
          </w:tcPr>
          <w:p w14:paraId="0B84B4D0" w14:textId="77777777" w:rsidR="00366397" w:rsidRPr="008A2236" w:rsidRDefault="00366397" w:rsidP="0030211F">
            <w:pPr>
              <w:pStyle w:val="TableText"/>
            </w:pPr>
            <w:r w:rsidRPr="008A2236">
              <w:rPr>
                <w:rFonts w:eastAsia="Calibri"/>
                <w:i/>
              </w:rPr>
              <w:t>Wastewater treatment and discharge</w:t>
            </w:r>
            <w:r w:rsidRPr="008A2236">
              <w:rPr>
                <w:rFonts w:eastAsia="Calibri"/>
              </w:rPr>
              <w:t xml:space="preserve"> is a key category in the 2021 submission</w:t>
            </w:r>
          </w:p>
        </w:tc>
      </w:tr>
      <w:tr w:rsidR="00366397" w:rsidRPr="008A2236" w14:paraId="0F1B5A8A" w14:textId="77777777" w:rsidTr="001959CB">
        <w:trPr>
          <w:trHeight w:val="20"/>
        </w:trPr>
        <w:tc>
          <w:tcPr>
            <w:tcW w:w="5098" w:type="dxa"/>
            <w:shd w:val="clear" w:color="auto" w:fill="FFFFFF"/>
          </w:tcPr>
          <w:p w14:paraId="503005A5" w14:textId="77777777" w:rsidR="00366397" w:rsidRPr="008A2236" w:rsidRDefault="00366397" w:rsidP="0030211F">
            <w:pPr>
              <w:pStyle w:val="TableText"/>
            </w:pPr>
            <w:r w:rsidRPr="008A2236">
              <w:rPr>
                <w:rFonts w:eastAsia="Calibri"/>
              </w:rPr>
              <w:t>E</w:t>
            </w:r>
            <w:r>
              <w:rPr>
                <w:rFonts w:eastAsia="Calibri"/>
              </w:rPr>
              <w:t>stimated e</w:t>
            </w:r>
            <w:r w:rsidRPr="008A2236">
              <w:rPr>
                <w:rFonts w:eastAsia="Calibri"/>
              </w:rPr>
              <w:t xml:space="preserve">missions from </w:t>
            </w:r>
            <w:r w:rsidRPr="008A2236">
              <w:rPr>
                <w:rFonts w:eastAsia="Calibri"/>
                <w:i/>
              </w:rPr>
              <w:t>Industrial wastewater</w:t>
            </w:r>
            <w:r w:rsidRPr="008A2236">
              <w:rPr>
                <w:rFonts w:eastAsia="Calibri"/>
              </w:rPr>
              <w:t xml:space="preserve"> (5.D.2) have not changed in 1990 and decreased by 0.4 kt CO</w:t>
            </w:r>
            <w:r w:rsidRPr="008A2236">
              <w:rPr>
                <w:rFonts w:eastAsia="Calibri"/>
                <w:vertAlign w:val="subscript"/>
              </w:rPr>
              <w:t>2</w:t>
            </w:r>
            <w:r w:rsidRPr="008A2236">
              <w:rPr>
                <w:rFonts w:eastAsia="Calibri"/>
              </w:rPr>
              <w:t xml:space="preserve">-e (0.3%) in 2019 due to a minor revision to meat activity data </w:t>
            </w:r>
            <w:r>
              <w:rPr>
                <w:rFonts w:eastAsia="Calibri"/>
              </w:rPr>
              <w:t xml:space="preserve">for </w:t>
            </w:r>
            <w:r w:rsidRPr="008A2236">
              <w:rPr>
                <w:rFonts w:eastAsia="Calibri"/>
              </w:rPr>
              <w:t>2016</w:t>
            </w:r>
            <w:r>
              <w:rPr>
                <w:rFonts w:eastAsia="Calibri"/>
              </w:rPr>
              <w:t>–</w:t>
            </w:r>
            <w:r w:rsidRPr="008A2236">
              <w:rPr>
                <w:rFonts w:eastAsia="Calibri"/>
              </w:rPr>
              <w:t>2019.</w:t>
            </w:r>
          </w:p>
        </w:tc>
        <w:tc>
          <w:tcPr>
            <w:tcW w:w="1276" w:type="dxa"/>
            <w:shd w:val="clear" w:color="auto" w:fill="FFFFFF"/>
          </w:tcPr>
          <w:p w14:paraId="5D556C92" w14:textId="77777777" w:rsidR="00366397" w:rsidRPr="008A2236" w:rsidRDefault="00366397" w:rsidP="0030211F">
            <w:pPr>
              <w:pStyle w:val="TableText"/>
            </w:pPr>
            <w:r w:rsidRPr="008A2236">
              <w:rPr>
                <w:rFonts w:eastAsia="Calibri"/>
              </w:rPr>
              <w:t>Accuracy</w:t>
            </w:r>
          </w:p>
        </w:tc>
        <w:tc>
          <w:tcPr>
            <w:tcW w:w="2131" w:type="dxa"/>
            <w:shd w:val="clear" w:color="auto" w:fill="FFFFFF"/>
          </w:tcPr>
          <w:p w14:paraId="313310E1" w14:textId="77777777" w:rsidR="00366397" w:rsidRPr="008A2236" w:rsidRDefault="00366397" w:rsidP="0030211F">
            <w:pPr>
              <w:pStyle w:val="TableText"/>
            </w:pPr>
            <w:r w:rsidRPr="008A2236">
              <w:rPr>
                <w:rFonts w:eastAsia="Calibri"/>
                <w:i/>
              </w:rPr>
              <w:t xml:space="preserve">Wastewater treatment and discharge </w:t>
            </w:r>
            <w:r w:rsidRPr="008A2236">
              <w:rPr>
                <w:rFonts w:eastAsia="Calibri"/>
              </w:rPr>
              <w:t>is a key category in the 2021 submission</w:t>
            </w:r>
          </w:p>
        </w:tc>
      </w:tr>
    </w:tbl>
    <w:p w14:paraId="276D0899" w14:textId="77777777" w:rsidR="00366397" w:rsidRPr="008A2236" w:rsidRDefault="00366397" w:rsidP="00B068B3">
      <w:pPr>
        <w:pStyle w:val="Heading3"/>
        <w:spacing w:before="480"/>
      </w:pPr>
      <w:bookmarkStart w:id="2652" w:name="other-sector-tokelau"/>
      <w:bookmarkEnd w:id="2649"/>
      <w:r w:rsidRPr="008A2236">
        <w:t xml:space="preserve">10.1.6 </w:t>
      </w:r>
      <w:r>
        <w:tab/>
      </w:r>
      <w:r w:rsidRPr="008A2236">
        <w:t>Other sector (Tokelau)</w:t>
      </w:r>
    </w:p>
    <w:p w14:paraId="1CEF8C5B" w14:textId="77777777" w:rsidR="00366397" w:rsidRPr="008A2236" w:rsidRDefault="00366397" w:rsidP="00366397">
      <w:pPr>
        <w:pStyle w:val="BodyText"/>
      </w:pPr>
      <w:r w:rsidRPr="008A2236">
        <w:t>There has been one minor recalculation in the Tokelau emission</w:t>
      </w:r>
      <w:r>
        <w:t>s</w:t>
      </w:r>
      <w:r w:rsidRPr="008A2236">
        <w:t xml:space="preserve"> estimates since the 2021 submission. The recalculation made for the Tokelau sector has resulted in no change in emissions</w:t>
      </w:r>
      <w:r>
        <w:t xml:space="preserve"> estimates</w:t>
      </w:r>
      <w:r w:rsidRPr="008A2236">
        <w:t xml:space="preserve"> in 1990 and a 0.1 per cent (0.002 kt CO</w:t>
      </w:r>
      <w:r w:rsidRPr="008A2236">
        <w:rPr>
          <w:vertAlign w:val="subscript"/>
        </w:rPr>
        <w:t>2</w:t>
      </w:r>
      <w:r w:rsidRPr="008A2236">
        <w:t>-e) increase in emissions</w:t>
      </w:r>
      <w:r>
        <w:t xml:space="preserve"> estimates</w:t>
      </w:r>
      <w:r w:rsidRPr="008A2236">
        <w:t xml:space="preserve"> in 2019 (figure</w:t>
      </w:r>
      <w:r>
        <w:t> </w:t>
      </w:r>
      <w:r w:rsidRPr="008A2236">
        <w:t xml:space="preserve">10.1.7). </w:t>
      </w:r>
    </w:p>
    <w:p w14:paraId="2CE8506F" w14:textId="77777777" w:rsidR="00366397" w:rsidRPr="008A2236" w:rsidRDefault="00366397" w:rsidP="00366397">
      <w:pPr>
        <w:pStyle w:val="Figure"/>
      </w:pPr>
      <w:bookmarkStart w:id="2653" w:name="_Toc99696074"/>
      <w:r w:rsidRPr="008A2236">
        <w:rPr>
          <w:bCs/>
        </w:rPr>
        <w:t>Figure 10.1.7</w:t>
      </w:r>
      <w:r w:rsidRPr="008A2236">
        <w:rPr>
          <w:bCs/>
        </w:rPr>
        <w:tab/>
        <w:t xml:space="preserve">Effect of recalculations </w:t>
      </w:r>
      <w:r>
        <w:rPr>
          <w:bCs/>
        </w:rPr>
        <w:t>on</w:t>
      </w:r>
      <w:r w:rsidRPr="008A2236">
        <w:rPr>
          <w:bCs/>
        </w:rPr>
        <w:t xml:space="preserve"> </w:t>
      </w:r>
      <w:r>
        <w:rPr>
          <w:bCs/>
        </w:rPr>
        <w:t>emissions estimates from</w:t>
      </w:r>
      <w:r w:rsidRPr="008A2236">
        <w:rPr>
          <w:bCs/>
        </w:rPr>
        <w:t xml:space="preserve"> the Tokelau sector</w:t>
      </w:r>
      <w:r>
        <w:rPr>
          <w:bCs/>
        </w:rPr>
        <w:t xml:space="preserve"> from 1990 to 2019</w:t>
      </w:r>
      <w:bookmarkEnd w:id="2653"/>
    </w:p>
    <w:p w14:paraId="67626FD7" w14:textId="28195A58" w:rsidR="00366397" w:rsidRPr="008A2236" w:rsidRDefault="004B48CC" w:rsidP="00366397">
      <w:pPr>
        <w:pStyle w:val="BodyText"/>
      </w:pPr>
      <w:r>
        <w:rPr>
          <w:noProof/>
        </w:rPr>
        <w:pict w14:anchorId="4F663247">
          <v:shape id="_x0000_i1150" type="#_x0000_t75" style="width:425.3pt;height:313.1pt;visibility:visible;mso-wrap-style:square">
            <v:imagedata r:id="rId266" o:title="" cropbottom="1130f"/>
          </v:shape>
        </w:pict>
      </w:r>
    </w:p>
    <w:p w14:paraId="466969D1" w14:textId="276287A0" w:rsidR="00366397" w:rsidRPr="008A2236" w:rsidRDefault="00366397" w:rsidP="00366397">
      <w:pPr>
        <w:pStyle w:val="Noteundertable"/>
      </w:pPr>
      <w:r w:rsidRPr="008A2236">
        <w:rPr>
          <w:b/>
          <w:bCs/>
        </w:rPr>
        <w:t>Note:</w:t>
      </w:r>
      <w:r w:rsidRPr="008A2236">
        <w:rPr>
          <w:b/>
          <w:bCs/>
        </w:rPr>
        <w:tab/>
      </w:r>
      <w:r w:rsidRPr="008A2236">
        <w:t xml:space="preserve">Because of the </w:t>
      </w:r>
      <w:r>
        <w:t xml:space="preserve">small </w:t>
      </w:r>
      <w:r w:rsidRPr="008A2236">
        <w:t>size of the recalculation, the 2022 submission line is obscured by the 2021 submission</w:t>
      </w:r>
      <w:r w:rsidR="00B068B3">
        <w:t> </w:t>
      </w:r>
      <w:r w:rsidRPr="008A2236">
        <w:t>line.</w:t>
      </w:r>
    </w:p>
    <w:p w14:paraId="550D412E" w14:textId="77777777" w:rsidR="00366397" w:rsidRPr="008A2236" w:rsidRDefault="00366397" w:rsidP="00366397">
      <w:pPr>
        <w:pStyle w:val="Heading3"/>
      </w:pPr>
      <w:bookmarkStart w:id="2654" w:name="X6c8b88601f63a469ee5403e42c906fecbaa5ca6"/>
      <w:bookmarkEnd w:id="2652"/>
      <w:r w:rsidRPr="008A2236">
        <w:lastRenderedPageBreak/>
        <w:t xml:space="preserve">10.1.7 </w:t>
      </w:r>
      <w:r>
        <w:tab/>
      </w:r>
      <w:r w:rsidRPr="008A2236">
        <w:t>Article 3.3 and 3.4 activities under the Kyoto Protocol</w:t>
      </w:r>
    </w:p>
    <w:p w14:paraId="788A5BC6" w14:textId="77777777" w:rsidR="00366397" w:rsidRPr="008A2236" w:rsidRDefault="00366397" w:rsidP="00366397">
      <w:pPr>
        <w:pStyle w:val="BodyText"/>
      </w:pPr>
      <w:r w:rsidRPr="008A2236">
        <w:t>New Zealand’s greenhouse gas estimates for activities under Article</w:t>
      </w:r>
      <w:r>
        <w:t>s</w:t>
      </w:r>
      <w:r w:rsidRPr="008A2236">
        <w:t xml:space="preserve"> 3.3 and 3.4 of the Kyoto </w:t>
      </w:r>
      <w:r w:rsidRPr="00E56E8F">
        <w:rPr>
          <w:spacing w:val="-2"/>
        </w:rPr>
        <w:t>Protocol have been recalculated since the</w:t>
      </w:r>
      <w:r w:rsidRPr="00E56E8F">
        <w:rPr>
          <w:bCs/>
          <w:spacing w:val="-2"/>
        </w:rPr>
        <w:t xml:space="preserve"> 2021</w:t>
      </w:r>
      <w:r w:rsidRPr="00E56E8F">
        <w:rPr>
          <w:spacing w:val="-2"/>
        </w:rPr>
        <w:t xml:space="preserve"> submission (tables 10.1.9, 10.1.10 and 10.1.11).</w:t>
      </w:r>
      <w:r w:rsidRPr="008A2236">
        <w:t xml:space="preserve"> The recalculations incorporate improved activity data and emission factors (see chapter 11 and table 10.2.1). Table 10.1.9 lists the recalculations in order of decreasing magnitude.</w:t>
      </w:r>
    </w:p>
    <w:p w14:paraId="6EEFA181" w14:textId="77777777" w:rsidR="00366397" w:rsidRPr="008A2236" w:rsidRDefault="00366397" w:rsidP="00366397">
      <w:pPr>
        <w:pStyle w:val="BodyText"/>
      </w:pPr>
      <w:r w:rsidRPr="008A2236">
        <w:t>Improvements in activity data (table 10.1.11) have affected emissions recalculations for all three Kyoto Protocol activities (table 10.1.10).</w:t>
      </w:r>
    </w:p>
    <w:p w14:paraId="7A13C553" w14:textId="77777777" w:rsidR="00366397" w:rsidRPr="008A2236" w:rsidRDefault="00366397" w:rsidP="00366397">
      <w:pPr>
        <w:pStyle w:val="Table"/>
      </w:pPr>
      <w:bookmarkStart w:id="2655" w:name="_Toc99659379"/>
      <w:r w:rsidRPr="008A2236">
        <w:t>Table 10.1.9</w:t>
      </w:r>
      <w:r w:rsidRPr="008A2236">
        <w:tab/>
        <w:t>Explanations and justifications for recalculations of New Zealand’s previous Kyoto Protocol estimates</w:t>
      </w:r>
      <w:bookmarkEnd w:id="2655"/>
    </w:p>
    <w:tbl>
      <w:tblPr>
        <w:tblW w:w="8505" w:type="dxa"/>
        <w:tblInd w:w="113"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4856"/>
        <w:gridCol w:w="1245"/>
        <w:gridCol w:w="2404"/>
      </w:tblGrid>
      <w:tr w:rsidR="00366397" w:rsidRPr="00366397" w14:paraId="316B5AF1" w14:textId="77777777" w:rsidTr="001959CB">
        <w:trPr>
          <w:tblHeader/>
        </w:trPr>
        <w:tc>
          <w:tcPr>
            <w:tcW w:w="0" w:type="auto"/>
            <w:shd w:val="clear" w:color="auto" w:fill="1B556B"/>
            <w:vAlign w:val="bottom"/>
          </w:tcPr>
          <w:p w14:paraId="6385FDE8" w14:textId="77777777" w:rsidR="00366397" w:rsidRPr="00366397" w:rsidRDefault="00366397" w:rsidP="0030211F">
            <w:pPr>
              <w:pStyle w:val="TableTextBold"/>
              <w:rPr>
                <w:color w:val="FFFFFF"/>
              </w:rPr>
            </w:pPr>
            <w:r w:rsidRPr="00366397">
              <w:rPr>
                <w:rFonts w:eastAsia="Calibri"/>
                <w:color w:val="FFFFFF"/>
              </w:rPr>
              <w:t>Explanation of recalculation</w:t>
            </w:r>
          </w:p>
        </w:tc>
        <w:tc>
          <w:tcPr>
            <w:tcW w:w="0" w:type="auto"/>
            <w:shd w:val="clear" w:color="auto" w:fill="1B556B"/>
            <w:vAlign w:val="bottom"/>
          </w:tcPr>
          <w:p w14:paraId="266A97C2" w14:textId="77777777" w:rsidR="00366397" w:rsidRPr="00366397" w:rsidRDefault="00366397" w:rsidP="0030211F">
            <w:pPr>
              <w:pStyle w:val="TableTextBold"/>
              <w:rPr>
                <w:color w:val="FFFFFF"/>
              </w:rPr>
            </w:pPr>
            <w:r w:rsidRPr="00366397">
              <w:rPr>
                <w:rFonts w:eastAsia="Calibri"/>
                <w:color w:val="FFFFFF"/>
              </w:rPr>
              <w:t>Underpinning IPCC principle</w:t>
            </w:r>
          </w:p>
        </w:tc>
        <w:tc>
          <w:tcPr>
            <w:tcW w:w="0" w:type="auto"/>
            <w:shd w:val="clear" w:color="auto" w:fill="1B556B"/>
            <w:vAlign w:val="bottom"/>
          </w:tcPr>
          <w:p w14:paraId="624CA539" w14:textId="77777777" w:rsidR="00366397" w:rsidRPr="00366397" w:rsidRDefault="00366397" w:rsidP="0030211F">
            <w:pPr>
              <w:pStyle w:val="TableTextBold"/>
              <w:rPr>
                <w:color w:val="FFFFFF"/>
              </w:rPr>
            </w:pPr>
            <w:r w:rsidRPr="00366397">
              <w:rPr>
                <w:rFonts w:eastAsia="Calibri"/>
                <w:color w:val="FFFFFF"/>
              </w:rPr>
              <w:t>Additional justification</w:t>
            </w:r>
          </w:p>
        </w:tc>
      </w:tr>
      <w:tr w:rsidR="00366397" w:rsidRPr="008A2236" w14:paraId="1D1FEC83" w14:textId="77777777" w:rsidTr="001959CB">
        <w:tc>
          <w:tcPr>
            <w:tcW w:w="0" w:type="auto"/>
            <w:shd w:val="clear" w:color="auto" w:fill="FFFFFF"/>
            <w:vAlign w:val="center"/>
          </w:tcPr>
          <w:p w14:paraId="7E8CA437" w14:textId="77777777" w:rsidR="00366397" w:rsidRPr="008A2236" w:rsidRDefault="00366397" w:rsidP="0030211F">
            <w:pPr>
              <w:pStyle w:val="TableText"/>
            </w:pPr>
            <w:r w:rsidRPr="008A2236">
              <w:rPr>
                <w:rFonts w:eastAsia="Calibri"/>
              </w:rPr>
              <w:t>The method</w:t>
            </w:r>
            <w:r>
              <w:rPr>
                <w:rFonts w:eastAsia="Calibri"/>
              </w:rPr>
              <w:t>s</w:t>
            </w:r>
            <w:r w:rsidRPr="008A2236">
              <w:rPr>
                <w:rFonts w:eastAsia="Calibri"/>
              </w:rPr>
              <w:t xml:space="preserve"> used to estimate the planted forest average harvest age, harvest age profile (harvest area by age) and forest age profile have been updated. These changes have been made to improve the accuracy of the ages at which we report pre-1990 or post-1989 planted forest being harvested or deforested. See </w:t>
            </w:r>
            <w:r>
              <w:rPr>
                <w:rFonts w:eastAsia="Calibri"/>
              </w:rPr>
              <w:t xml:space="preserve">chapter 6, </w:t>
            </w:r>
            <w:r w:rsidRPr="008A2236">
              <w:rPr>
                <w:rFonts w:eastAsia="Calibri"/>
              </w:rPr>
              <w:t>section 6.3.2 and annex A3.2.5 for more information. This results in significant changes to net emissions through time. The improvement results in an increase in emissions in 1990 and in 2019 compared with the previous submission.</w:t>
            </w:r>
          </w:p>
        </w:tc>
        <w:tc>
          <w:tcPr>
            <w:tcW w:w="0" w:type="auto"/>
            <w:shd w:val="clear" w:color="auto" w:fill="FFFFFF"/>
            <w:vAlign w:val="center"/>
          </w:tcPr>
          <w:p w14:paraId="7484DBEC" w14:textId="77777777" w:rsidR="00366397" w:rsidRPr="008A2236" w:rsidRDefault="00366397" w:rsidP="0030211F">
            <w:pPr>
              <w:pStyle w:val="TableText"/>
            </w:pPr>
            <w:r w:rsidRPr="008A2236">
              <w:rPr>
                <w:rFonts w:eastAsia="Calibri"/>
              </w:rPr>
              <w:t>Accuracy</w:t>
            </w:r>
          </w:p>
        </w:tc>
        <w:tc>
          <w:tcPr>
            <w:tcW w:w="0" w:type="auto"/>
            <w:shd w:val="clear" w:color="auto" w:fill="FFFFFF"/>
            <w:vAlign w:val="center"/>
          </w:tcPr>
          <w:p w14:paraId="27F5D603" w14:textId="77777777" w:rsidR="00366397" w:rsidRPr="008A2236" w:rsidRDefault="00366397" w:rsidP="0030211F">
            <w:pPr>
              <w:pStyle w:val="TableText"/>
            </w:pPr>
            <w:r w:rsidRPr="008A2236">
              <w:rPr>
                <w:rFonts w:eastAsia="Calibri"/>
              </w:rPr>
              <w:t>Key category improvement (</w:t>
            </w:r>
            <w:r w:rsidRPr="008A2236">
              <w:rPr>
                <w:rFonts w:eastAsia="Calibri"/>
                <w:i/>
              </w:rPr>
              <w:t>Deforestation</w:t>
            </w:r>
            <w:r w:rsidRPr="008A2236">
              <w:rPr>
                <w:rFonts w:eastAsia="Calibri"/>
              </w:rPr>
              <w:t xml:space="preserve"> and </w:t>
            </w:r>
            <w:r w:rsidRPr="008A2236">
              <w:rPr>
                <w:rFonts w:eastAsia="Calibri"/>
                <w:i/>
              </w:rPr>
              <w:t>Forest management</w:t>
            </w:r>
            <w:r w:rsidRPr="008A2236">
              <w:rPr>
                <w:rFonts w:eastAsia="Calibri"/>
              </w:rPr>
              <w:t>)</w:t>
            </w:r>
          </w:p>
        </w:tc>
      </w:tr>
      <w:tr w:rsidR="00366397" w:rsidRPr="008A2236" w14:paraId="6D904D0F" w14:textId="77777777" w:rsidTr="001959CB">
        <w:tc>
          <w:tcPr>
            <w:tcW w:w="0" w:type="auto"/>
            <w:shd w:val="clear" w:color="auto" w:fill="FFFFFF"/>
            <w:vAlign w:val="center"/>
          </w:tcPr>
          <w:p w14:paraId="6CC112A3" w14:textId="77777777" w:rsidR="00366397" w:rsidRPr="008A2236" w:rsidRDefault="00366397" w:rsidP="0030211F">
            <w:pPr>
              <w:pStyle w:val="TableText"/>
            </w:pPr>
            <w:r w:rsidRPr="008A2236">
              <w:rPr>
                <w:rFonts w:eastAsia="Calibri"/>
              </w:rPr>
              <w:t>The pre-1990 and post-1989 planted forest yield tables have been revised for the 2022 submission. All planted forest yield tables have been updated to include plots measured in the 2020 national forest inventory. The three period</w:t>
            </w:r>
            <w:r>
              <w:rPr>
                <w:rFonts w:eastAsia="Calibri"/>
              </w:rPr>
              <w:t>-</w:t>
            </w:r>
            <w:r w:rsidRPr="008A2236">
              <w:rPr>
                <w:rFonts w:eastAsia="Calibri"/>
              </w:rPr>
              <w:t>specific yield tables used for pre-1990 planted forest,</w:t>
            </w:r>
            <w:r>
              <w:rPr>
                <w:rFonts w:eastAsia="Calibri"/>
              </w:rPr>
              <w:t xml:space="preserve"> which were</w:t>
            </w:r>
            <w:r w:rsidRPr="008A2236">
              <w:rPr>
                <w:rFonts w:eastAsia="Calibri"/>
              </w:rPr>
              <w:t xml:space="preserve"> first applied for the 2021 submission</w:t>
            </w:r>
            <w:r>
              <w:rPr>
                <w:rFonts w:eastAsia="Calibri"/>
              </w:rPr>
              <w:t xml:space="preserve"> and</w:t>
            </w:r>
            <w:r w:rsidRPr="008A2236">
              <w:rPr>
                <w:rFonts w:eastAsia="Calibri"/>
              </w:rPr>
              <w:t xml:space="preserve"> reflect different planting periods</w:t>
            </w:r>
            <w:r>
              <w:rPr>
                <w:rFonts w:eastAsia="Calibri"/>
              </w:rPr>
              <w:t>,</w:t>
            </w:r>
            <w:r w:rsidRPr="008A2236">
              <w:rPr>
                <w:rFonts w:eastAsia="Calibri"/>
              </w:rPr>
              <w:t xml:space="preserve"> have been updated. For the 2022 submission, only two period</w:t>
            </w:r>
            <w:r>
              <w:rPr>
                <w:rFonts w:eastAsia="Calibri"/>
              </w:rPr>
              <w:t>-</w:t>
            </w:r>
            <w:r w:rsidRPr="008A2236">
              <w:rPr>
                <w:rFonts w:eastAsia="Calibri"/>
              </w:rPr>
              <w:t xml:space="preserve">specific yield tables are used to represent forest planted before 1990 and forest planted from 1990 onwards. This change was made due to concerns around </w:t>
            </w:r>
            <w:r>
              <w:rPr>
                <w:rFonts w:eastAsia="Calibri"/>
              </w:rPr>
              <w:t>whether</w:t>
            </w:r>
            <w:r w:rsidRPr="008A2236">
              <w:rPr>
                <w:rFonts w:eastAsia="Calibri"/>
              </w:rPr>
              <w:t xml:space="preserve"> the yield table used in the previous submission </w:t>
            </w:r>
            <w:r>
              <w:rPr>
                <w:rFonts w:eastAsia="Calibri"/>
              </w:rPr>
              <w:t>was reliable in</w:t>
            </w:r>
            <w:r w:rsidRPr="008A2236">
              <w:rPr>
                <w:rFonts w:eastAsia="Calibri"/>
              </w:rPr>
              <w:t xml:space="preserve"> represent</w:t>
            </w:r>
            <w:r>
              <w:rPr>
                <w:rFonts w:eastAsia="Calibri"/>
              </w:rPr>
              <w:t>ing</w:t>
            </w:r>
            <w:r w:rsidRPr="008A2236">
              <w:rPr>
                <w:rFonts w:eastAsia="Calibri"/>
              </w:rPr>
              <w:t xml:space="preserve"> stands planted from 2010 onwards.</w:t>
            </w:r>
          </w:p>
        </w:tc>
        <w:tc>
          <w:tcPr>
            <w:tcW w:w="0" w:type="auto"/>
            <w:shd w:val="clear" w:color="auto" w:fill="FFFFFF"/>
            <w:vAlign w:val="center"/>
          </w:tcPr>
          <w:p w14:paraId="45F4E822" w14:textId="77777777" w:rsidR="00366397" w:rsidRPr="008A2236" w:rsidRDefault="00366397" w:rsidP="0030211F">
            <w:pPr>
              <w:pStyle w:val="TableText"/>
            </w:pPr>
            <w:r w:rsidRPr="008A2236">
              <w:rPr>
                <w:rFonts w:eastAsia="Calibri"/>
              </w:rPr>
              <w:t>Accuracy</w:t>
            </w:r>
          </w:p>
        </w:tc>
        <w:tc>
          <w:tcPr>
            <w:tcW w:w="0" w:type="auto"/>
            <w:shd w:val="clear" w:color="auto" w:fill="FFFFFF"/>
            <w:vAlign w:val="center"/>
          </w:tcPr>
          <w:p w14:paraId="5F7A3000" w14:textId="77777777" w:rsidR="00366397" w:rsidRPr="008A2236" w:rsidRDefault="00366397" w:rsidP="0030211F">
            <w:pPr>
              <w:pStyle w:val="TableText"/>
            </w:pPr>
            <w:r w:rsidRPr="008A2236">
              <w:rPr>
                <w:rFonts w:eastAsia="Calibri"/>
              </w:rPr>
              <w:t>Key category improvement (</w:t>
            </w:r>
            <w:r w:rsidRPr="008A2236">
              <w:rPr>
                <w:rFonts w:eastAsia="Calibri"/>
                <w:i/>
              </w:rPr>
              <w:t>Afforestation/reforestation</w:t>
            </w:r>
            <w:r w:rsidRPr="008A2236">
              <w:rPr>
                <w:rFonts w:eastAsia="Calibri"/>
              </w:rPr>
              <w:t xml:space="preserve"> and </w:t>
            </w:r>
            <w:r w:rsidRPr="008A2236">
              <w:rPr>
                <w:rFonts w:eastAsia="Calibri"/>
                <w:i/>
              </w:rPr>
              <w:t>Deforestation</w:t>
            </w:r>
            <w:r w:rsidRPr="008A2236">
              <w:rPr>
                <w:rFonts w:eastAsia="Calibri"/>
              </w:rPr>
              <w:t>)</w:t>
            </w:r>
          </w:p>
        </w:tc>
      </w:tr>
      <w:tr w:rsidR="00366397" w:rsidRPr="008A2236" w14:paraId="7A80AEFB" w14:textId="77777777" w:rsidTr="001959CB">
        <w:tc>
          <w:tcPr>
            <w:tcW w:w="0" w:type="auto"/>
            <w:shd w:val="clear" w:color="auto" w:fill="FFFFFF"/>
            <w:vAlign w:val="center"/>
          </w:tcPr>
          <w:p w14:paraId="53E92937" w14:textId="77777777" w:rsidR="00366397" w:rsidRPr="008A2236" w:rsidRDefault="00366397" w:rsidP="0030211F">
            <w:pPr>
              <w:pStyle w:val="TableText"/>
            </w:pPr>
            <w:r w:rsidRPr="008A2236">
              <w:rPr>
                <w:rFonts w:eastAsia="Calibri"/>
              </w:rPr>
              <w:t>In previous submissions</w:t>
            </w:r>
            <w:r>
              <w:rPr>
                <w:rFonts w:eastAsia="Calibri"/>
              </w:rPr>
              <w:t>,</w:t>
            </w:r>
            <w:r w:rsidRPr="008A2236">
              <w:rPr>
                <w:rFonts w:eastAsia="Calibri"/>
              </w:rPr>
              <w:t xml:space="preserve"> tall and regenerating pre-1990 natural forest areas, as defined in </w:t>
            </w:r>
            <w:r>
              <w:rPr>
                <w:rFonts w:eastAsia="Calibri"/>
              </w:rPr>
              <w:t>chapter 6</w:t>
            </w:r>
            <w:r w:rsidRPr="008A2236">
              <w:rPr>
                <w:rFonts w:eastAsia="Calibri"/>
              </w:rPr>
              <w:t xml:space="preserve">, table 6.3.5, were classified using a different method </w:t>
            </w:r>
            <w:r>
              <w:rPr>
                <w:rFonts w:eastAsia="Calibri"/>
              </w:rPr>
              <w:t>from</w:t>
            </w:r>
            <w:r w:rsidRPr="008A2236">
              <w:rPr>
                <w:rFonts w:eastAsia="Calibri"/>
              </w:rPr>
              <w:t xml:space="preserve"> the classification </w:t>
            </w:r>
            <w:r>
              <w:rPr>
                <w:rFonts w:eastAsia="Calibri"/>
              </w:rPr>
              <w:t xml:space="preserve">method </w:t>
            </w:r>
            <w:r w:rsidRPr="008A2236">
              <w:rPr>
                <w:rFonts w:eastAsia="Calibri"/>
              </w:rPr>
              <w:t>used to calculate carbon stock change per hectare for each forest type. This resulted in a mismatch in assigning carbon stock change per hectare to forest area. In the 2022 submission</w:t>
            </w:r>
            <w:r>
              <w:rPr>
                <w:rFonts w:eastAsia="Calibri"/>
              </w:rPr>
              <w:t>,</w:t>
            </w:r>
            <w:r w:rsidRPr="008A2236">
              <w:rPr>
                <w:rFonts w:eastAsia="Calibri"/>
              </w:rPr>
              <w:t xml:space="preserve"> the classification of area and stock change ha</w:t>
            </w:r>
            <w:r>
              <w:rPr>
                <w:rFonts w:eastAsia="Calibri"/>
              </w:rPr>
              <w:t>s</w:t>
            </w:r>
            <w:r w:rsidRPr="008A2236">
              <w:rPr>
                <w:rFonts w:eastAsia="Calibri"/>
              </w:rPr>
              <w:t xml:space="preserve"> been amended and the same classification method is now applied. Additionally, the assumption in previous submissions that tall natural forests were in steady state has been revised so that a carbon stock change per hectare is now also included for the tall forest component.</w:t>
            </w:r>
          </w:p>
        </w:tc>
        <w:tc>
          <w:tcPr>
            <w:tcW w:w="0" w:type="auto"/>
            <w:shd w:val="clear" w:color="auto" w:fill="FFFFFF"/>
            <w:vAlign w:val="center"/>
          </w:tcPr>
          <w:p w14:paraId="32DF0B0F" w14:textId="77777777" w:rsidR="00366397" w:rsidRPr="008A2236" w:rsidRDefault="00366397" w:rsidP="0030211F">
            <w:pPr>
              <w:pStyle w:val="TableText"/>
            </w:pPr>
            <w:r w:rsidRPr="008A2236">
              <w:rPr>
                <w:rFonts w:eastAsia="Calibri"/>
              </w:rPr>
              <w:t>Accuracy</w:t>
            </w:r>
          </w:p>
        </w:tc>
        <w:tc>
          <w:tcPr>
            <w:tcW w:w="0" w:type="auto"/>
            <w:shd w:val="clear" w:color="auto" w:fill="FFFFFF"/>
            <w:vAlign w:val="center"/>
          </w:tcPr>
          <w:p w14:paraId="31B7FD64" w14:textId="77777777" w:rsidR="00366397" w:rsidRPr="008A2236" w:rsidRDefault="00366397" w:rsidP="0030211F">
            <w:pPr>
              <w:pStyle w:val="TableText"/>
            </w:pPr>
            <w:r w:rsidRPr="008A2236">
              <w:rPr>
                <w:rFonts w:eastAsia="Calibri"/>
              </w:rPr>
              <w:t>Key category improvement (</w:t>
            </w:r>
            <w:r w:rsidRPr="008A2236">
              <w:rPr>
                <w:rFonts w:eastAsia="Calibri"/>
                <w:i/>
              </w:rPr>
              <w:t>Afforestation/reforestation</w:t>
            </w:r>
            <w:r w:rsidRPr="008A2236">
              <w:rPr>
                <w:rFonts w:eastAsia="Calibri"/>
              </w:rPr>
              <w:t xml:space="preserve"> and </w:t>
            </w:r>
            <w:r w:rsidRPr="008A2236">
              <w:rPr>
                <w:rFonts w:eastAsia="Calibri"/>
                <w:i/>
              </w:rPr>
              <w:t>Deforestation</w:t>
            </w:r>
            <w:r w:rsidRPr="008A2236">
              <w:rPr>
                <w:rFonts w:eastAsia="Calibri"/>
              </w:rPr>
              <w:t>)</w:t>
            </w:r>
          </w:p>
        </w:tc>
      </w:tr>
    </w:tbl>
    <w:p w14:paraId="35C5C23A" w14:textId="168232BA" w:rsidR="00366397" w:rsidRPr="008A2236" w:rsidRDefault="00366397" w:rsidP="00F2629B">
      <w:pPr>
        <w:pStyle w:val="Table"/>
        <w:spacing w:before="360"/>
      </w:pPr>
      <w:bookmarkStart w:id="2656" w:name="_Toc99659380"/>
      <w:r w:rsidRPr="008A2236">
        <w:t>Table 10.1.10</w:t>
      </w:r>
      <w:r w:rsidRPr="008A2236">
        <w:tab/>
        <w:t xml:space="preserve">Impact of the recalculations of New Zealand’s net emissions </w:t>
      </w:r>
      <w:r>
        <w:t xml:space="preserve">estimates </w:t>
      </w:r>
      <w:r w:rsidRPr="008A2236">
        <w:t>under</w:t>
      </w:r>
      <w:r w:rsidR="00F2629B">
        <w:br/>
      </w:r>
      <w:r w:rsidRPr="008A2236">
        <w:t>Article</w:t>
      </w:r>
      <w:r>
        <w:t>s</w:t>
      </w:r>
      <w:r w:rsidRPr="008A2236">
        <w:t xml:space="preserve"> 3.3 and 3.4 of the Kyoto Protocol in 2019</w:t>
      </w:r>
      <w:bookmarkEnd w:id="2656"/>
    </w:p>
    <w:tbl>
      <w:tblPr>
        <w:tblW w:w="8505" w:type="dxa"/>
        <w:tblInd w:w="113" w:type="dxa"/>
        <w:tblLook w:val="0420" w:firstRow="1" w:lastRow="0" w:firstColumn="0" w:lastColumn="0" w:noHBand="0" w:noVBand="1"/>
      </w:tblPr>
      <w:tblGrid>
        <w:gridCol w:w="2837"/>
        <w:gridCol w:w="1461"/>
        <w:gridCol w:w="1679"/>
        <w:gridCol w:w="2528"/>
      </w:tblGrid>
      <w:tr w:rsidR="00366397" w:rsidRPr="00366397" w14:paraId="1C1DA363" w14:textId="77777777" w:rsidTr="0030211F">
        <w:trPr>
          <w:cantSplit/>
          <w:tblHeader/>
        </w:trPr>
        <w:tc>
          <w:tcPr>
            <w:tcW w:w="5000" w:type="pct"/>
            <w:gridSpan w:val="4"/>
            <w:tcBorders>
              <w:top w:val="single" w:sz="4" w:space="0" w:color="1B556B"/>
            </w:tcBorders>
            <w:shd w:val="clear" w:color="auto" w:fill="1B556B"/>
            <w:vAlign w:val="center"/>
          </w:tcPr>
          <w:p w14:paraId="7EB90C66" w14:textId="77777777" w:rsidR="00366397" w:rsidRPr="00366397" w:rsidRDefault="00366397" w:rsidP="001959CB">
            <w:pPr>
              <w:pStyle w:val="TableTextBold"/>
              <w:spacing w:after="0"/>
              <w:jc w:val="center"/>
              <w:rPr>
                <w:color w:val="FFFFFF"/>
              </w:rPr>
            </w:pPr>
            <w:r w:rsidRPr="00366397">
              <w:rPr>
                <w:rFonts w:eastAsia="Calibri"/>
                <w:color w:val="FFFFFF"/>
              </w:rPr>
              <w:t>2019 net emissions (kt CO</w:t>
            </w:r>
            <w:r w:rsidRPr="00366397">
              <w:rPr>
                <w:rFonts w:eastAsia="Calibri"/>
                <w:color w:val="FFFFFF"/>
                <w:vertAlign w:val="subscript"/>
              </w:rPr>
              <w:t>2</w:t>
            </w:r>
            <w:r w:rsidRPr="00366397">
              <w:rPr>
                <w:rFonts w:eastAsia="Calibri"/>
                <w:color w:val="FFFFFF"/>
              </w:rPr>
              <w:t>-e)</w:t>
            </w:r>
          </w:p>
        </w:tc>
      </w:tr>
      <w:tr w:rsidR="00366397" w:rsidRPr="00366397" w14:paraId="3A4B912F" w14:textId="77777777" w:rsidTr="0030211F">
        <w:trPr>
          <w:cantSplit/>
          <w:tblHeader/>
        </w:trPr>
        <w:tc>
          <w:tcPr>
            <w:tcW w:w="1668" w:type="pct"/>
            <w:tcBorders>
              <w:bottom w:val="single" w:sz="4" w:space="0" w:color="1B556B"/>
            </w:tcBorders>
            <w:shd w:val="clear" w:color="auto" w:fill="1B556B"/>
            <w:vAlign w:val="center"/>
          </w:tcPr>
          <w:p w14:paraId="3811CA08" w14:textId="77777777" w:rsidR="00366397" w:rsidRPr="00366397" w:rsidRDefault="00366397" w:rsidP="0030211F">
            <w:pPr>
              <w:pStyle w:val="TableTextBold"/>
              <w:rPr>
                <w:color w:val="FFFFFF"/>
              </w:rPr>
            </w:pPr>
            <w:r w:rsidRPr="00366397">
              <w:rPr>
                <w:rFonts w:eastAsia="Calibri"/>
                <w:color w:val="FFFFFF"/>
              </w:rPr>
              <w:t>Activities under the Kyoto Protocol</w:t>
            </w:r>
          </w:p>
        </w:tc>
        <w:tc>
          <w:tcPr>
            <w:tcW w:w="859" w:type="pct"/>
            <w:tcBorders>
              <w:bottom w:val="single" w:sz="4" w:space="0" w:color="1B556B"/>
            </w:tcBorders>
            <w:shd w:val="clear" w:color="auto" w:fill="1B556B"/>
            <w:vAlign w:val="center"/>
          </w:tcPr>
          <w:p w14:paraId="1D80702C" w14:textId="77777777" w:rsidR="00366397" w:rsidRPr="00366397" w:rsidRDefault="00366397" w:rsidP="0030211F">
            <w:pPr>
              <w:pStyle w:val="TableTextBold"/>
              <w:jc w:val="right"/>
              <w:rPr>
                <w:color w:val="FFFFFF"/>
              </w:rPr>
            </w:pPr>
            <w:r w:rsidRPr="00366397">
              <w:rPr>
                <w:rFonts w:eastAsia="Calibri"/>
                <w:color w:val="FFFFFF"/>
              </w:rPr>
              <w:t>2021 submission</w:t>
            </w:r>
          </w:p>
        </w:tc>
        <w:tc>
          <w:tcPr>
            <w:tcW w:w="987" w:type="pct"/>
            <w:tcBorders>
              <w:bottom w:val="single" w:sz="4" w:space="0" w:color="1B556B"/>
            </w:tcBorders>
            <w:shd w:val="clear" w:color="auto" w:fill="1B556B"/>
            <w:vAlign w:val="center"/>
          </w:tcPr>
          <w:p w14:paraId="635C0499" w14:textId="77777777" w:rsidR="00366397" w:rsidRPr="00366397" w:rsidRDefault="00366397" w:rsidP="0030211F">
            <w:pPr>
              <w:pStyle w:val="TableTextBold"/>
              <w:jc w:val="right"/>
              <w:rPr>
                <w:color w:val="FFFFFF"/>
              </w:rPr>
            </w:pPr>
            <w:r w:rsidRPr="00366397">
              <w:rPr>
                <w:rFonts w:eastAsia="Calibri"/>
                <w:color w:val="FFFFFF"/>
              </w:rPr>
              <w:t>2022 submission</w:t>
            </w:r>
          </w:p>
        </w:tc>
        <w:tc>
          <w:tcPr>
            <w:tcW w:w="1486" w:type="pct"/>
            <w:tcBorders>
              <w:bottom w:val="single" w:sz="4" w:space="0" w:color="1B556B"/>
            </w:tcBorders>
            <w:shd w:val="clear" w:color="auto" w:fill="1B556B"/>
            <w:vAlign w:val="center"/>
          </w:tcPr>
          <w:p w14:paraId="5C295FC3" w14:textId="77777777" w:rsidR="00366397" w:rsidRPr="00366397" w:rsidRDefault="00366397" w:rsidP="0030211F">
            <w:pPr>
              <w:pStyle w:val="TableTextBold"/>
              <w:jc w:val="right"/>
              <w:rPr>
                <w:color w:val="FFFFFF"/>
              </w:rPr>
            </w:pPr>
            <w:r w:rsidRPr="00366397">
              <w:rPr>
                <w:rFonts w:eastAsia="Calibri"/>
                <w:color w:val="FFFFFF"/>
              </w:rPr>
              <w:t>Change from 2021 submission (%)</w:t>
            </w:r>
          </w:p>
        </w:tc>
      </w:tr>
      <w:tr w:rsidR="00366397" w:rsidRPr="008A2236" w14:paraId="4B98C92B" w14:textId="77777777" w:rsidTr="001959CB">
        <w:trPr>
          <w:cantSplit/>
          <w:trHeight w:val="283"/>
        </w:trPr>
        <w:tc>
          <w:tcPr>
            <w:tcW w:w="1668" w:type="pct"/>
            <w:tcBorders>
              <w:top w:val="single" w:sz="4" w:space="0" w:color="1B556B"/>
              <w:bottom w:val="single" w:sz="4" w:space="0" w:color="1B556B"/>
            </w:tcBorders>
            <w:shd w:val="clear" w:color="auto" w:fill="FFFFFF"/>
            <w:vAlign w:val="center"/>
          </w:tcPr>
          <w:p w14:paraId="000D8DA6" w14:textId="77777777" w:rsidR="00366397" w:rsidRPr="008A2236" w:rsidRDefault="00366397" w:rsidP="0030211F">
            <w:pPr>
              <w:pStyle w:val="TableText"/>
            </w:pPr>
            <w:r w:rsidRPr="008A2236">
              <w:rPr>
                <w:rFonts w:eastAsia="Calibri"/>
              </w:rPr>
              <w:t>Afforestation/reforestation</w:t>
            </w:r>
          </w:p>
        </w:tc>
        <w:tc>
          <w:tcPr>
            <w:tcW w:w="859" w:type="pct"/>
            <w:tcBorders>
              <w:top w:val="single" w:sz="4" w:space="0" w:color="1B556B"/>
              <w:bottom w:val="single" w:sz="4" w:space="0" w:color="1B556B"/>
            </w:tcBorders>
            <w:shd w:val="clear" w:color="auto" w:fill="FFFFFF"/>
            <w:vAlign w:val="center"/>
          </w:tcPr>
          <w:p w14:paraId="22FFB70E" w14:textId="77777777" w:rsidR="00366397" w:rsidRPr="008A2236" w:rsidRDefault="00366397" w:rsidP="0030211F">
            <w:pPr>
              <w:pStyle w:val="TableText"/>
              <w:jc w:val="right"/>
            </w:pPr>
            <w:r>
              <w:rPr>
                <w:rFonts w:eastAsia="Calibri"/>
              </w:rPr>
              <w:t>–</w:t>
            </w:r>
            <w:r w:rsidRPr="008A2236">
              <w:rPr>
                <w:rFonts w:eastAsia="Calibri"/>
              </w:rPr>
              <w:t>15,812.1</w:t>
            </w:r>
          </w:p>
        </w:tc>
        <w:tc>
          <w:tcPr>
            <w:tcW w:w="987" w:type="pct"/>
            <w:tcBorders>
              <w:top w:val="single" w:sz="4" w:space="0" w:color="1B556B"/>
              <w:bottom w:val="single" w:sz="4" w:space="0" w:color="1B556B"/>
            </w:tcBorders>
            <w:shd w:val="clear" w:color="auto" w:fill="FFFFFF"/>
            <w:vAlign w:val="center"/>
          </w:tcPr>
          <w:p w14:paraId="471E4BD5" w14:textId="77777777" w:rsidR="00366397" w:rsidRPr="008A2236" w:rsidRDefault="00366397" w:rsidP="0030211F">
            <w:pPr>
              <w:pStyle w:val="TableText"/>
              <w:jc w:val="right"/>
            </w:pPr>
            <w:r>
              <w:rPr>
                <w:rFonts w:eastAsia="Calibri"/>
              </w:rPr>
              <w:t>–</w:t>
            </w:r>
            <w:r w:rsidRPr="008A2236">
              <w:rPr>
                <w:rFonts w:eastAsia="Calibri"/>
              </w:rPr>
              <w:t>16,733.5</w:t>
            </w:r>
          </w:p>
        </w:tc>
        <w:tc>
          <w:tcPr>
            <w:tcW w:w="1486" w:type="pct"/>
            <w:tcBorders>
              <w:top w:val="single" w:sz="4" w:space="0" w:color="1B556B"/>
              <w:bottom w:val="single" w:sz="4" w:space="0" w:color="1B556B"/>
            </w:tcBorders>
            <w:shd w:val="clear" w:color="auto" w:fill="FFFFFF"/>
            <w:vAlign w:val="center"/>
          </w:tcPr>
          <w:p w14:paraId="7050173F" w14:textId="77777777" w:rsidR="00366397" w:rsidRPr="008A2236" w:rsidRDefault="00366397" w:rsidP="0030211F">
            <w:pPr>
              <w:pStyle w:val="TableText"/>
              <w:jc w:val="right"/>
            </w:pPr>
            <w:r>
              <w:rPr>
                <w:rFonts w:eastAsia="Calibri"/>
              </w:rPr>
              <w:t>–</w:t>
            </w:r>
            <w:r w:rsidRPr="008A2236">
              <w:rPr>
                <w:rFonts w:eastAsia="Calibri"/>
              </w:rPr>
              <w:t>5.8</w:t>
            </w:r>
          </w:p>
        </w:tc>
      </w:tr>
      <w:tr w:rsidR="00366397" w:rsidRPr="008A2236" w14:paraId="16C278E5" w14:textId="77777777" w:rsidTr="001959CB">
        <w:trPr>
          <w:cantSplit/>
          <w:trHeight w:val="283"/>
        </w:trPr>
        <w:tc>
          <w:tcPr>
            <w:tcW w:w="1668" w:type="pct"/>
            <w:tcBorders>
              <w:top w:val="single" w:sz="4" w:space="0" w:color="1B556B"/>
              <w:bottom w:val="single" w:sz="4" w:space="0" w:color="1B556B"/>
            </w:tcBorders>
            <w:shd w:val="clear" w:color="auto" w:fill="FFFFFF"/>
            <w:vAlign w:val="center"/>
          </w:tcPr>
          <w:p w14:paraId="3F6A4512" w14:textId="77777777" w:rsidR="00366397" w:rsidRPr="008A2236" w:rsidRDefault="00366397" w:rsidP="0030211F">
            <w:pPr>
              <w:pStyle w:val="TableText"/>
            </w:pPr>
            <w:r w:rsidRPr="008A2236">
              <w:rPr>
                <w:rFonts w:eastAsia="Calibri"/>
              </w:rPr>
              <w:t>Deforestation</w:t>
            </w:r>
          </w:p>
        </w:tc>
        <w:tc>
          <w:tcPr>
            <w:tcW w:w="859" w:type="pct"/>
            <w:tcBorders>
              <w:top w:val="single" w:sz="4" w:space="0" w:color="1B556B"/>
              <w:bottom w:val="single" w:sz="4" w:space="0" w:color="1B556B"/>
            </w:tcBorders>
            <w:shd w:val="clear" w:color="auto" w:fill="FFFFFF"/>
            <w:vAlign w:val="center"/>
          </w:tcPr>
          <w:p w14:paraId="6AE8A432" w14:textId="77777777" w:rsidR="00366397" w:rsidRPr="008A2236" w:rsidRDefault="00366397" w:rsidP="0030211F">
            <w:pPr>
              <w:pStyle w:val="TableText"/>
              <w:jc w:val="right"/>
            </w:pPr>
            <w:r w:rsidRPr="008A2236">
              <w:rPr>
                <w:rFonts w:eastAsia="Calibri"/>
              </w:rPr>
              <w:t>2,906.6</w:t>
            </w:r>
          </w:p>
        </w:tc>
        <w:tc>
          <w:tcPr>
            <w:tcW w:w="987" w:type="pct"/>
            <w:tcBorders>
              <w:top w:val="single" w:sz="4" w:space="0" w:color="1B556B"/>
              <w:bottom w:val="single" w:sz="4" w:space="0" w:color="1B556B"/>
            </w:tcBorders>
            <w:shd w:val="clear" w:color="auto" w:fill="FFFFFF"/>
            <w:vAlign w:val="center"/>
          </w:tcPr>
          <w:p w14:paraId="79EFF823" w14:textId="77777777" w:rsidR="00366397" w:rsidRPr="008A2236" w:rsidRDefault="00366397" w:rsidP="0030211F">
            <w:pPr>
              <w:pStyle w:val="TableText"/>
              <w:jc w:val="right"/>
            </w:pPr>
            <w:r w:rsidRPr="008A2236">
              <w:rPr>
                <w:rFonts w:eastAsia="Calibri"/>
              </w:rPr>
              <w:t>3,131.8</w:t>
            </w:r>
          </w:p>
        </w:tc>
        <w:tc>
          <w:tcPr>
            <w:tcW w:w="1486" w:type="pct"/>
            <w:tcBorders>
              <w:top w:val="single" w:sz="4" w:space="0" w:color="1B556B"/>
              <w:bottom w:val="single" w:sz="4" w:space="0" w:color="1B556B"/>
            </w:tcBorders>
            <w:shd w:val="clear" w:color="auto" w:fill="FFFFFF"/>
            <w:vAlign w:val="center"/>
          </w:tcPr>
          <w:p w14:paraId="060F5F2A" w14:textId="77777777" w:rsidR="00366397" w:rsidRPr="008A2236" w:rsidRDefault="00366397" w:rsidP="0030211F">
            <w:pPr>
              <w:pStyle w:val="TableText"/>
              <w:jc w:val="right"/>
            </w:pPr>
            <w:r w:rsidRPr="008A2236">
              <w:rPr>
                <w:rFonts w:eastAsia="Calibri"/>
              </w:rPr>
              <w:t>7.7</w:t>
            </w:r>
          </w:p>
        </w:tc>
      </w:tr>
      <w:tr w:rsidR="00366397" w:rsidRPr="008A2236" w14:paraId="515F08E8" w14:textId="77777777" w:rsidTr="001959CB">
        <w:trPr>
          <w:cantSplit/>
          <w:trHeight w:val="283"/>
        </w:trPr>
        <w:tc>
          <w:tcPr>
            <w:tcW w:w="1668" w:type="pct"/>
            <w:tcBorders>
              <w:top w:val="single" w:sz="4" w:space="0" w:color="1B556B"/>
              <w:bottom w:val="single" w:sz="4" w:space="0" w:color="1B556B"/>
            </w:tcBorders>
            <w:shd w:val="clear" w:color="auto" w:fill="FFFFFF"/>
            <w:vAlign w:val="center"/>
          </w:tcPr>
          <w:p w14:paraId="3DA4AA3B" w14:textId="77777777" w:rsidR="00366397" w:rsidRPr="008A2236" w:rsidRDefault="00366397" w:rsidP="0030211F">
            <w:pPr>
              <w:pStyle w:val="TableText"/>
            </w:pPr>
            <w:r w:rsidRPr="008A2236">
              <w:rPr>
                <w:rFonts w:eastAsia="Calibri"/>
              </w:rPr>
              <w:t>Forest management</w:t>
            </w:r>
          </w:p>
        </w:tc>
        <w:tc>
          <w:tcPr>
            <w:tcW w:w="859" w:type="pct"/>
            <w:tcBorders>
              <w:top w:val="single" w:sz="4" w:space="0" w:color="1B556B"/>
              <w:bottom w:val="single" w:sz="4" w:space="0" w:color="1B556B"/>
            </w:tcBorders>
            <w:shd w:val="clear" w:color="auto" w:fill="FFFFFF"/>
            <w:vAlign w:val="center"/>
          </w:tcPr>
          <w:p w14:paraId="71236662" w14:textId="77777777" w:rsidR="00366397" w:rsidRPr="008A2236" w:rsidRDefault="00366397" w:rsidP="0030211F">
            <w:pPr>
              <w:pStyle w:val="TableText"/>
              <w:jc w:val="right"/>
            </w:pPr>
            <w:r>
              <w:rPr>
                <w:rFonts w:eastAsia="Calibri"/>
              </w:rPr>
              <w:t>–</w:t>
            </w:r>
            <w:r w:rsidRPr="008A2236">
              <w:rPr>
                <w:rFonts w:eastAsia="Calibri"/>
              </w:rPr>
              <w:t>20,665.3</w:t>
            </w:r>
          </w:p>
        </w:tc>
        <w:tc>
          <w:tcPr>
            <w:tcW w:w="987" w:type="pct"/>
            <w:tcBorders>
              <w:top w:val="single" w:sz="4" w:space="0" w:color="1B556B"/>
              <w:bottom w:val="single" w:sz="4" w:space="0" w:color="1B556B"/>
            </w:tcBorders>
            <w:shd w:val="clear" w:color="auto" w:fill="FFFFFF"/>
            <w:vAlign w:val="center"/>
          </w:tcPr>
          <w:p w14:paraId="761BAC58" w14:textId="77777777" w:rsidR="00366397" w:rsidRPr="008A2236" w:rsidRDefault="00366397" w:rsidP="0030211F">
            <w:pPr>
              <w:pStyle w:val="TableText"/>
              <w:jc w:val="right"/>
            </w:pPr>
            <w:r>
              <w:rPr>
                <w:rFonts w:eastAsia="Calibri"/>
              </w:rPr>
              <w:t>–</w:t>
            </w:r>
            <w:r w:rsidRPr="008A2236">
              <w:rPr>
                <w:rFonts w:eastAsia="Calibri"/>
              </w:rPr>
              <w:t>15,220.7</w:t>
            </w:r>
          </w:p>
        </w:tc>
        <w:tc>
          <w:tcPr>
            <w:tcW w:w="1486" w:type="pct"/>
            <w:tcBorders>
              <w:top w:val="single" w:sz="4" w:space="0" w:color="1B556B"/>
              <w:bottom w:val="single" w:sz="4" w:space="0" w:color="1B556B"/>
            </w:tcBorders>
            <w:shd w:val="clear" w:color="auto" w:fill="FFFFFF"/>
            <w:vAlign w:val="center"/>
          </w:tcPr>
          <w:p w14:paraId="1EAF97CB" w14:textId="77777777" w:rsidR="00366397" w:rsidRPr="008A2236" w:rsidRDefault="00366397" w:rsidP="0030211F">
            <w:pPr>
              <w:pStyle w:val="TableText"/>
              <w:jc w:val="right"/>
            </w:pPr>
            <w:r w:rsidRPr="008A2236">
              <w:rPr>
                <w:rFonts w:eastAsia="Calibri"/>
              </w:rPr>
              <w:t>26.3</w:t>
            </w:r>
          </w:p>
        </w:tc>
      </w:tr>
      <w:tr w:rsidR="00366397" w:rsidRPr="008A2236" w14:paraId="6C14B16F" w14:textId="77777777" w:rsidTr="001959CB">
        <w:trPr>
          <w:cantSplit/>
          <w:trHeight w:val="283"/>
        </w:trPr>
        <w:tc>
          <w:tcPr>
            <w:tcW w:w="1668" w:type="pct"/>
            <w:tcBorders>
              <w:top w:val="single" w:sz="4" w:space="0" w:color="1B556B"/>
              <w:bottom w:val="single" w:sz="4" w:space="0" w:color="1B556B"/>
            </w:tcBorders>
            <w:shd w:val="clear" w:color="auto" w:fill="FFFFFF"/>
            <w:vAlign w:val="center"/>
          </w:tcPr>
          <w:p w14:paraId="45E59508" w14:textId="77777777" w:rsidR="00366397" w:rsidRPr="008A2236" w:rsidRDefault="00366397" w:rsidP="0030211F">
            <w:pPr>
              <w:pStyle w:val="TableText"/>
            </w:pPr>
            <w:r w:rsidRPr="008A2236">
              <w:rPr>
                <w:rFonts w:eastAsia="Calibri"/>
              </w:rPr>
              <w:t>Total</w:t>
            </w:r>
          </w:p>
        </w:tc>
        <w:tc>
          <w:tcPr>
            <w:tcW w:w="859" w:type="pct"/>
            <w:tcBorders>
              <w:top w:val="single" w:sz="4" w:space="0" w:color="1B556B"/>
              <w:bottom w:val="single" w:sz="4" w:space="0" w:color="1B556B"/>
            </w:tcBorders>
            <w:shd w:val="clear" w:color="auto" w:fill="FFFFFF"/>
            <w:vAlign w:val="center"/>
          </w:tcPr>
          <w:p w14:paraId="13932B33" w14:textId="77777777" w:rsidR="00366397" w:rsidRPr="008A2236" w:rsidRDefault="00366397" w:rsidP="0030211F">
            <w:pPr>
              <w:pStyle w:val="TableText"/>
              <w:jc w:val="right"/>
            </w:pPr>
            <w:r>
              <w:rPr>
                <w:rFonts w:eastAsia="Calibri"/>
              </w:rPr>
              <w:t>–</w:t>
            </w:r>
            <w:r w:rsidRPr="008A2236">
              <w:rPr>
                <w:rFonts w:eastAsia="Calibri"/>
              </w:rPr>
              <w:t>33,570.7</w:t>
            </w:r>
          </w:p>
        </w:tc>
        <w:tc>
          <w:tcPr>
            <w:tcW w:w="987" w:type="pct"/>
            <w:tcBorders>
              <w:top w:val="single" w:sz="4" w:space="0" w:color="1B556B"/>
              <w:bottom w:val="single" w:sz="4" w:space="0" w:color="1B556B"/>
            </w:tcBorders>
            <w:shd w:val="clear" w:color="auto" w:fill="FFFFFF"/>
            <w:vAlign w:val="center"/>
          </w:tcPr>
          <w:p w14:paraId="0FED0E75" w14:textId="77777777" w:rsidR="00366397" w:rsidRPr="008A2236" w:rsidRDefault="00366397" w:rsidP="0030211F">
            <w:pPr>
              <w:pStyle w:val="TableText"/>
              <w:jc w:val="right"/>
            </w:pPr>
            <w:r>
              <w:rPr>
                <w:rFonts w:eastAsia="Calibri"/>
              </w:rPr>
              <w:t>–</w:t>
            </w:r>
            <w:r w:rsidRPr="008A2236">
              <w:rPr>
                <w:rFonts w:eastAsia="Calibri"/>
              </w:rPr>
              <w:t>28,822.5</w:t>
            </w:r>
          </w:p>
        </w:tc>
        <w:tc>
          <w:tcPr>
            <w:tcW w:w="1486" w:type="pct"/>
            <w:tcBorders>
              <w:top w:val="single" w:sz="4" w:space="0" w:color="1B556B"/>
              <w:bottom w:val="single" w:sz="4" w:space="0" w:color="1B556B"/>
            </w:tcBorders>
            <w:shd w:val="clear" w:color="auto" w:fill="FFFFFF"/>
            <w:vAlign w:val="center"/>
          </w:tcPr>
          <w:p w14:paraId="14506A8F" w14:textId="77777777" w:rsidR="00366397" w:rsidRPr="008A2236" w:rsidRDefault="00366397" w:rsidP="0030211F">
            <w:pPr>
              <w:pStyle w:val="TableText"/>
              <w:jc w:val="right"/>
            </w:pPr>
            <w:r w:rsidRPr="008A2236">
              <w:rPr>
                <w:rFonts w:eastAsia="Calibri"/>
              </w:rPr>
              <w:t>14.1</w:t>
            </w:r>
          </w:p>
        </w:tc>
      </w:tr>
    </w:tbl>
    <w:p w14:paraId="70E7E615" w14:textId="77777777" w:rsidR="00366397" w:rsidRPr="008A2236" w:rsidRDefault="00366397" w:rsidP="00366397">
      <w:pPr>
        <w:pStyle w:val="Noteundertable"/>
      </w:pPr>
      <w:r w:rsidRPr="008A2236">
        <w:rPr>
          <w:b/>
          <w:bCs/>
        </w:rPr>
        <w:t>Note:</w:t>
      </w:r>
      <w:r w:rsidRPr="008A2236">
        <w:tab/>
        <w:t>Net emissions are expressed as a negative value to help clarify that the value is a removal and not an emission. Percentages presented are calculated from unrounded values.</w:t>
      </w:r>
    </w:p>
    <w:p w14:paraId="0B72B017" w14:textId="77777777" w:rsidR="00366397" w:rsidRPr="008A2236" w:rsidRDefault="00366397" w:rsidP="00366397">
      <w:pPr>
        <w:pStyle w:val="Table"/>
      </w:pPr>
      <w:bookmarkStart w:id="2657" w:name="_Toc99659381"/>
      <w:r w:rsidRPr="008A2236">
        <w:lastRenderedPageBreak/>
        <w:t>Table 10.1.11</w:t>
      </w:r>
      <w:r w:rsidRPr="008A2236">
        <w:tab/>
        <w:t>Recalculations to New Zealand’s 2019 activity data under the Kyoto Protocol</w:t>
      </w:r>
      <w:bookmarkEnd w:id="2657"/>
    </w:p>
    <w:tbl>
      <w:tblPr>
        <w:tblW w:w="8499" w:type="dxa"/>
        <w:tblInd w:w="113" w:type="dxa"/>
        <w:tblLook w:val="0420" w:firstRow="1" w:lastRow="0" w:firstColumn="0" w:lastColumn="0" w:noHBand="0" w:noVBand="1"/>
      </w:tblPr>
      <w:tblGrid>
        <w:gridCol w:w="2836"/>
        <w:gridCol w:w="1460"/>
        <w:gridCol w:w="1460"/>
        <w:gridCol w:w="2743"/>
      </w:tblGrid>
      <w:tr w:rsidR="00366397" w:rsidRPr="00366397" w14:paraId="4CD53173" w14:textId="77777777" w:rsidTr="0030211F">
        <w:trPr>
          <w:cantSplit/>
          <w:trHeight w:val="20"/>
          <w:tblHeader/>
        </w:trPr>
        <w:tc>
          <w:tcPr>
            <w:tcW w:w="5000" w:type="pct"/>
            <w:gridSpan w:val="4"/>
            <w:tcBorders>
              <w:top w:val="single" w:sz="4" w:space="0" w:color="1B556B"/>
            </w:tcBorders>
            <w:shd w:val="clear" w:color="auto" w:fill="1B556B"/>
            <w:vAlign w:val="center"/>
          </w:tcPr>
          <w:p w14:paraId="49DA0A97" w14:textId="77777777" w:rsidR="00366397" w:rsidRPr="00366397" w:rsidRDefault="00366397" w:rsidP="0030211F">
            <w:pPr>
              <w:pStyle w:val="TableTextBold"/>
              <w:spacing w:after="0"/>
              <w:jc w:val="center"/>
              <w:rPr>
                <w:color w:val="FFFFFF"/>
              </w:rPr>
            </w:pPr>
            <w:r w:rsidRPr="00366397">
              <w:rPr>
                <w:rFonts w:eastAsia="Calibri"/>
                <w:color w:val="FFFFFF"/>
              </w:rPr>
              <w:t>Area as at 2019 (ha)</w:t>
            </w:r>
          </w:p>
        </w:tc>
      </w:tr>
      <w:tr w:rsidR="00366397" w:rsidRPr="00366397" w14:paraId="095CA2E2" w14:textId="77777777" w:rsidTr="0030211F">
        <w:trPr>
          <w:cantSplit/>
          <w:trHeight w:val="20"/>
          <w:tblHeader/>
        </w:trPr>
        <w:tc>
          <w:tcPr>
            <w:tcW w:w="1668" w:type="pct"/>
            <w:tcBorders>
              <w:bottom w:val="single" w:sz="4" w:space="0" w:color="1B556B"/>
            </w:tcBorders>
            <w:shd w:val="clear" w:color="auto" w:fill="1B556B"/>
            <w:vAlign w:val="center"/>
          </w:tcPr>
          <w:p w14:paraId="29D6E684" w14:textId="77777777" w:rsidR="00366397" w:rsidRPr="00366397" w:rsidRDefault="00366397" w:rsidP="0030211F">
            <w:pPr>
              <w:pStyle w:val="TableTextBold"/>
              <w:rPr>
                <w:color w:val="FFFFFF"/>
              </w:rPr>
            </w:pPr>
            <w:r w:rsidRPr="00366397">
              <w:rPr>
                <w:rFonts w:eastAsia="Calibri"/>
                <w:color w:val="FFFFFF"/>
              </w:rPr>
              <w:t>Activities under the Kyoto Protocol</w:t>
            </w:r>
          </w:p>
        </w:tc>
        <w:tc>
          <w:tcPr>
            <w:tcW w:w="859" w:type="pct"/>
            <w:tcBorders>
              <w:bottom w:val="single" w:sz="4" w:space="0" w:color="1B556B"/>
            </w:tcBorders>
            <w:shd w:val="clear" w:color="auto" w:fill="1B556B"/>
            <w:vAlign w:val="center"/>
          </w:tcPr>
          <w:p w14:paraId="34561259" w14:textId="77777777" w:rsidR="00366397" w:rsidRPr="00366397" w:rsidRDefault="00366397" w:rsidP="0000612D">
            <w:pPr>
              <w:pStyle w:val="TableTextBold"/>
              <w:jc w:val="right"/>
              <w:rPr>
                <w:color w:val="FFFFFF"/>
              </w:rPr>
            </w:pPr>
            <w:r w:rsidRPr="00366397">
              <w:rPr>
                <w:rFonts w:eastAsia="Calibri"/>
                <w:color w:val="FFFFFF"/>
              </w:rPr>
              <w:t>2021 submission</w:t>
            </w:r>
          </w:p>
        </w:tc>
        <w:tc>
          <w:tcPr>
            <w:tcW w:w="859" w:type="pct"/>
            <w:tcBorders>
              <w:bottom w:val="single" w:sz="4" w:space="0" w:color="1B556B"/>
            </w:tcBorders>
            <w:shd w:val="clear" w:color="auto" w:fill="1B556B"/>
            <w:vAlign w:val="center"/>
          </w:tcPr>
          <w:p w14:paraId="650AA33E" w14:textId="77777777" w:rsidR="00366397" w:rsidRPr="00366397" w:rsidRDefault="00366397" w:rsidP="0000612D">
            <w:pPr>
              <w:pStyle w:val="TableTextBold"/>
              <w:jc w:val="right"/>
              <w:rPr>
                <w:color w:val="FFFFFF"/>
              </w:rPr>
            </w:pPr>
            <w:r w:rsidRPr="00366397">
              <w:rPr>
                <w:rFonts w:eastAsia="Calibri"/>
                <w:color w:val="FFFFFF"/>
              </w:rPr>
              <w:t>2022 submission</w:t>
            </w:r>
          </w:p>
        </w:tc>
        <w:tc>
          <w:tcPr>
            <w:tcW w:w="1614" w:type="pct"/>
            <w:tcBorders>
              <w:bottom w:val="single" w:sz="4" w:space="0" w:color="1B556B"/>
            </w:tcBorders>
            <w:shd w:val="clear" w:color="auto" w:fill="1B556B"/>
            <w:vAlign w:val="center"/>
          </w:tcPr>
          <w:p w14:paraId="6425633A" w14:textId="77777777" w:rsidR="00366397" w:rsidRPr="00366397" w:rsidRDefault="00366397" w:rsidP="0000612D">
            <w:pPr>
              <w:pStyle w:val="TableTextBold"/>
              <w:jc w:val="right"/>
              <w:rPr>
                <w:color w:val="FFFFFF"/>
              </w:rPr>
            </w:pPr>
            <w:r w:rsidRPr="00366397">
              <w:rPr>
                <w:rFonts w:eastAsia="Calibri"/>
                <w:color w:val="FFFFFF"/>
              </w:rPr>
              <w:t>Change from 2021 submission (%)</w:t>
            </w:r>
          </w:p>
        </w:tc>
      </w:tr>
      <w:tr w:rsidR="00366397" w:rsidRPr="005718FF" w14:paraId="5C88549E" w14:textId="77777777" w:rsidTr="0030211F">
        <w:trPr>
          <w:cantSplit/>
          <w:trHeight w:val="20"/>
        </w:trPr>
        <w:tc>
          <w:tcPr>
            <w:tcW w:w="1668" w:type="pct"/>
            <w:tcBorders>
              <w:top w:val="single" w:sz="4" w:space="0" w:color="1B556B"/>
              <w:bottom w:val="single" w:sz="4" w:space="0" w:color="1B556B"/>
            </w:tcBorders>
            <w:shd w:val="clear" w:color="auto" w:fill="FFFFFF"/>
            <w:vAlign w:val="center"/>
          </w:tcPr>
          <w:p w14:paraId="41E1606A" w14:textId="77777777" w:rsidR="00366397" w:rsidRPr="005718FF" w:rsidRDefault="00366397" w:rsidP="0030211F">
            <w:pPr>
              <w:pStyle w:val="TableText"/>
            </w:pPr>
            <w:r w:rsidRPr="005718FF">
              <w:rPr>
                <w:rFonts w:eastAsia="Calibri"/>
              </w:rPr>
              <w:t>Afforestation/reforestation</w:t>
            </w:r>
          </w:p>
        </w:tc>
        <w:tc>
          <w:tcPr>
            <w:tcW w:w="859" w:type="pct"/>
            <w:tcBorders>
              <w:top w:val="single" w:sz="4" w:space="0" w:color="1B556B"/>
              <w:bottom w:val="single" w:sz="4" w:space="0" w:color="1B556B"/>
            </w:tcBorders>
            <w:shd w:val="clear" w:color="auto" w:fill="FFFFFF"/>
            <w:vAlign w:val="center"/>
          </w:tcPr>
          <w:p w14:paraId="7E3C91B4" w14:textId="77777777" w:rsidR="00366397" w:rsidRPr="005718FF" w:rsidRDefault="00366397" w:rsidP="0000612D">
            <w:pPr>
              <w:pStyle w:val="TableText"/>
              <w:jc w:val="right"/>
            </w:pPr>
            <w:r w:rsidRPr="005718FF">
              <w:rPr>
                <w:rFonts w:eastAsia="Calibri"/>
              </w:rPr>
              <w:t>739,454</w:t>
            </w:r>
          </w:p>
        </w:tc>
        <w:tc>
          <w:tcPr>
            <w:tcW w:w="859" w:type="pct"/>
            <w:tcBorders>
              <w:top w:val="single" w:sz="4" w:space="0" w:color="1B556B"/>
              <w:bottom w:val="single" w:sz="4" w:space="0" w:color="1B556B"/>
            </w:tcBorders>
            <w:shd w:val="clear" w:color="auto" w:fill="FFFFFF"/>
            <w:vAlign w:val="center"/>
          </w:tcPr>
          <w:p w14:paraId="74AEA65E" w14:textId="77777777" w:rsidR="00366397" w:rsidRPr="005718FF" w:rsidRDefault="00366397" w:rsidP="0000612D">
            <w:pPr>
              <w:pStyle w:val="TableText"/>
              <w:jc w:val="right"/>
            </w:pPr>
            <w:r w:rsidRPr="005718FF">
              <w:rPr>
                <w:rFonts w:eastAsia="Calibri"/>
              </w:rPr>
              <w:t>735,240</w:t>
            </w:r>
          </w:p>
        </w:tc>
        <w:tc>
          <w:tcPr>
            <w:tcW w:w="1614" w:type="pct"/>
            <w:tcBorders>
              <w:top w:val="single" w:sz="4" w:space="0" w:color="1B556B"/>
              <w:bottom w:val="single" w:sz="4" w:space="0" w:color="1B556B"/>
            </w:tcBorders>
            <w:shd w:val="clear" w:color="auto" w:fill="FFFFFF"/>
            <w:vAlign w:val="center"/>
          </w:tcPr>
          <w:p w14:paraId="6B314747" w14:textId="77777777" w:rsidR="00366397" w:rsidRPr="005718FF" w:rsidRDefault="00366397" w:rsidP="0000612D">
            <w:pPr>
              <w:pStyle w:val="TableText"/>
              <w:jc w:val="right"/>
            </w:pPr>
            <w:r w:rsidRPr="005718FF">
              <w:rPr>
                <w:rFonts w:eastAsia="Calibri"/>
              </w:rPr>
              <w:t>–0.6</w:t>
            </w:r>
          </w:p>
        </w:tc>
      </w:tr>
      <w:tr w:rsidR="00366397" w:rsidRPr="005718FF" w14:paraId="4011A72A" w14:textId="77777777" w:rsidTr="0030211F">
        <w:trPr>
          <w:cantSplit/>
          <w:trHeight w:val="20"/>
        </w:trPr>
        <w:tc>
          <w:tcPr>
            <w:tcW w:w="1668" w:type="pct"/>
            <w:tcBorders>
              <w:top w:val="single" w:sz="4" w:space="0" w:color="1B556B"/>
              <w:bottom w:val="single" w:sz="4" w:space="0" w:color="1B556B"/>
            </w:tcBorders>
            <w:shd w:val="clear" w:color="auto" w:fill="FFFFFF"/>
            <w:vAlign w:val="center"/>
          </w:tcPr>
          <w:p w14:paraId="75232BE7" w14:textId="77777777" w:rsidR="00366397" w:rsidRPr="005718FF" w:rsidRDefault="00366397" w:rsidP="0030211F">
            <w:pPr>
              <w:pStyle w:val="TableText"/>
            </w:pPr>
            <w:r w:rsidRPr="005718FF">
              <w:rPr>
                <w:rFonts w:eastAsia="Calibri"/>
              </w:rPr>
              <w:t>Deforestation</w:t>
            </w:r>
          </w:p>
        </w:tc>
        <w:tc>
          <w:tcPr>
            <w:tcW w:w="859" w:type="pct"/>
            <w:tcBorders>
              <w:top w:val="single" w:sz="4" w:space="0" w:color="1B556B"/>
              <w:bottom w:val="single" w:sz="4" w:space="0" w:color="1B556B"/>
            </w:tcBorders>
            <w:shd w:val="clear" w:color="auto" w:fill="FFFFFF"/>
            <w:vAlign w:val="center"/>
          </w:tcPr>
          <w:p w14:paraId="61583C72" w14:textId="77777777" w:rsidR="00366397" w:rsidRPr="005718FF" w:rsidRDefault="00366397" w:rsidP="0000612D">
            <w:pPr>
              <w:pStyle w:val="TableText"/>
              <w:jc w:val="right"/>
            </w:pPr>
            <w:r w:rsidRPr="005718FF">
              <w:rPr>
                <w:rFonts w:eastAsia="Calibri"/>
              </w:rPr>
              <w:t>202,641</w:t>
            </w:r>
          </w:p>
        </w:tc>
        <w:tc>
          <w:tcPr>
            <w:tcW w:w="859" w:type="pct"/>
            <w:tcBorders>
              <w:top w:val="single" w:sz="4" w:space="0" w:color="1B556B"/>
              <w:bottom w:val="single" w:sz="4" w:space="0" w:color="1B556B"/>
            </w:tcBorders>
            <w:shd w:val="clear" w:color="auto" w:fill="FFFFFF"/>
            <w:vAlign w:val="center"/>
          </w:tcPr>
          <w:p w14:paraId="1113C140" w14:textId="77777777" w:rsidR="00366397" w:rsidRPr="005718FF" w:rsidRDefault="00366397" w:rsidP="0000612D">
            <w:pPr>
              <w:pStyle w:val="TableText"/>
              <w:jc w:val="right"/>
            </w:pPr>
            <w:r w:rsidRPr="005718FF">
              <w:rPr>
                <w:rFonts w:eastAsia="Calibri"/>
              </w:rPr>
              <w:t>211,633</w:t>
            </w:r>
          </w:p>
        </w:tc>
        <w:tc>
          <w:tcPr>
            <w:tcW w:w="1614" w:type="pct"/>
            <w:tcBorders>
              <w:top w:val="single" w:sz="4" w:space="0" w:color="1B556B"/>
              <w:bottom w:val="single" w:sz="4" w:space="0" w:color="1B556B"/>
            </w:tcBorders>
            <w:shd w:val="clear" w:color="auto" w:fill="FFFFFF"/>
            <w:vAlign w:val="center"/>
          </w:tcPr>
          <w:p w14:paraId="3DE973F1" w14:textId="77777777" w:rsidR="00366397" w:rsidRPr="005718FF" w:rsidRDefault="00366397" w:rsidP="0000612D">
            <w:pPr>
              <w:pStyle w:val="TableText"/>
              <w:jc w:val="right"/>
            </w:pPr>
            <w:r w:rsidRPr="005718FF">
              <w:rPr>
                <w:rFonts w:eastAsia="Calibri"/>
              </w:rPr>
              <w:t>4.4</w:t>
            </w:r>
          </w:p>
        </w:tc>
      </w:tr>
      <w:tr w:rsidR="00366397" w:rsidRPr="005718FF" w14:paraId="57E589C1" w14:textId="77777777" w:rsidTr="0030211F">
        <w:trPr>
          <w:cantSplit/>
          <w:trHeight w:val="20"/>
        </w:trPr>
        <w:tc>
          <w:tcPr>
            <w:tcW w:w="1668" w:type="pct"/>
            <w:tcBorders>
              <w:top w:val="single" w:sz="4" w:space="0" w:color="1B556B"/>
              <w:bottom w:val="single" w:sz="4" w:space="0" w:color="1B556B"/>
            </w:tcBorders>
            <w:shd w:val="clear" w:color="auto" w:fill="FFFFFF"/>
            <w:vAlign w:val="center"/>
          </w:tcPr>
          <w:p w14:paraId="0046BC18" w14:textId="77777777" w:rsidR="00366397" w:rsidRPr="005718FF" w:rsidRDefault="00366397" w:rsidP="0030211F">
            <w:pPr>
              <w:pStyle w:val="TableText"/>
            </w:pPr>
            <w:r w:rsidRPr="005718FF">
              <w:rPr>
                <w:rFonts w:eastAsia="Calibri"/>
              </w:rPr>
              <w:t>Forest management</w:t>
            </w:r>
          </w:p>
        </w:tc>
        <w:tc>
          <w:tcPr>
            <w:tcW w:w="859" w:type="pct"/>
            <w:tcBorders>
              <w:top w:val="single" w:sz="4" w:space="0" w:color="1B556B"/>
              <w:bottom w:val="single" w:sz="4" w:space="0" w:color="1B556B"/>
            </w:tcBorders>
            <w:shd w:val="clear" w:color="auto" w:fill="FFFFFF"/>
            <w:vAlign w:val="center"/>
          </w:tcPr>
          <w:p w14:paraId="34AAA349" w14:textId="77777777" w:rsidR="00366397" w:rsidRPr="005718FF" w:rsidRDefault="00366397" w:rsidP="0000612D">
            <w:pPr>
              <w:pStyle w:val="TableText"/>
              <w:jc w:val="right"/>
            </w:pPr>
            <w:r w:rsidRPr="005718FF">
              <w:rPr>
                <w:rFonts w:eastAsia="Calibri"/>
              </w:rPr>
              <w:t>9,201,461</w:t>
            </w:r>
          </w:p>
        </w:tc>
        <w:tc>
          <w:tcPr>
            <w:tcW w:w="859" w:type="pct"/>
            <w:tcBorders>
              <w:top w:val="single" w:sz="4" w:space="0" w:color="1B556B"/>
              <w:bottom w:val="single" w:sz="4" w:space="0" w:color="1B556B"/>
            </w:tcBorders>
            <w:shd w:val="clear" w:color="auto" w:fill="FFFFFF"/>
            <w:vAlign w:val="center"/>
          </w:tcPr>
          <w:p w14:paraId="1146F4B3" w14:textId="77777777" w:rsidR="00366397" w:rsidRPr="005718FF" w:rsidRDefault="00366397" w:rsidP="0000612D">
            <w:pPr>
              <w:pStyle w:val="TableText"/>
              <w:jc w:val="right"/>
            </w:pPr>
            <w:r w:rsidRPr="005718FF">
              <w:rPr>
                <w:rFonts w:eastAsia="Calibri"/>
              </w:rPr>
              <w:t>9,200,443</w:t>
            </w:r>
          </w:p>
        </w:tc>
        <w:tc>
          <w:tcPr>
            <w:tcW w:w="1614" w:type="pct"/>
            <w:tcBorders>
              <w:top w:val="single" w:sz="4" w:space="0" w:color="1B556B"/>
              <w:bottom w:val="single" w:sz="4" w:space="0" w:color="1B556B"/>
            </w:tcBorders>
            <w:shd w:val="clear" w:color="auto" w:fill="FFFFFF"/>
            <w:vAlign w:val="center"/>
          </w:tcPr>
          <w:p w14:paraId="6A263C55" w14:textId="77777777" w:rsidR="00366397" w:rsidRPr="005718FF" w:rsidRDefault="00366397" w:rsidP="0000612D">
            <w:pPr>
              <w:pStyle w:val="TableText"/>
              <w:jc w:val="right"/>
            </w:pPr>
            <w:r w:rsidRPr="005718FF">
              <w:rPr>
                <w:rFonts w:eastAsia="Calibri"/>
              </w:rPr>
              <w:t>0.0</w:t>
            </w:r>
          </w:p>
        </w:tc>
      </w:tr>
      <w:tr w:rsidR="00366397" w:rsidRPr="00366397" w14:paraId="5A65A39A" w14:textId="77777777" w:rsidTr="0030211F">
        <w:trPr>
          <w:cantSplit/>
          <w:trHeight w:val="20"/>
        </w:trPr>
        <w:tc>
          <w:tcPr>
            <w:tcW w:w="1668" w:type="pct"/>
            <w:tcBorders>
              <w:top w:val="single" w:sz="4" w:space="0" w:color="1B556B"/>
              <w:bottom w:val="single" w:sz="4" w:space="0" w:color="1B556B"/>
            </w:tcBorders>
            <w:shd w:val="clear" w:color="auto" w:fill="1B556B"/>
            <w:vAlign w:val="center"/>
          </w:tcPr>
          <w:p w14:paraId="1BE29B24" w14:textId="77777777" w:rsidR="00366397" w:rsidRPr="00366397" w:rsidRDefault="00366397" w:rsidP="0030211F">
            <w:pPr>
              <w:pStyle w:val="TableTextBold"/>
              <w:rPr>
                <w:color w:val="FFFFFF"/>
              </w:rPr>
            </w:pPr>
            <w:r w:rsidRPr="00366397">
              <w:rPr>
                <w:rFonts w:eastAsia="Calibri"/>
                <w:color w:val="FFFFFF"/>
              </w:rPr>
              <w:t>Activities occurring in 2018</w:t>
            </w:r>
          </w:p>
        </w:tc>
        <w:tc>
          <w:tcPr>
            <w:tcW w:w="859" w:type="pct"/>
            <w:tcBorders>
              <w:top w:val="single" w:sz="4" w:space="0" w:color="1B556B"/>
              <w:bottom w:val="single" w:sz="4" w:space="0" w:color="1B556B"/>
            </w:tcBorders>
            <w:shd w:val="clear" w:color="auto" w:fill="1B556B"/>
            <w:vAlign w:val="center"/>
          </w:tcPr>
          <w:p w14:paraId="5F666860" w14:textId="77777777" w:rsidR="00366397" w:rsidRPr="00366397" w:rsidRDefault="00366397" w:rsidP="0000612D">
            <w:pPr>
              <w:pStyle w:val="TableTextBold"/>
              <w:jc w:val="right"/>
              <w:rPr>
                <w:color w:val="FFFFFF"/>
              </w:rPr>
            </w:pPr>
          </w:p>
        </w:tc>
        <w:tc>
          <w:tcPr>
            <w:tcW w:w="859" w:type="pct"/>
            <w:tcBorders>
              <w:top w:val="single" w:sz="4" w:space="0" w:color="1B556B"/>
              <w:bottom w:val="single" w:sz="4" w:space="0" w:color="1B556B"/>
            </w:tcBorders>
            <w:shd w:val="clear" w:color="auto" w:fill="1B556B"/>
            <w:vAlign w:val="center"/>
          </w:tcPr>
          <w:p w14:paraId="76BF22D5" w14:textId="77777777" w:rsidR="00366397" w:rsidRPr="00366397" w:rsidRDefault="00366397" w:rsidP="0000612D">
            <w:pPr>
              <w:pStyle w:val="TableTextBold"/>
              <w:jc w:val="right"/>
              <w:rPr>
                <w:color w:val="FFFFFF"/>
              </w:rPr>
            </w:pPr>
          </w:p>
        </w:tc>
        <w:tc>
          <w:tcPr>
            <w:tcW w:w="1614" w:type="pct"/>
            <w:tcBorders>
              <w:top w:val="single" w:sz="4" w:space="0" w:color="1B556B"/>
              <w:bottom w:val="single" w:sz="4" w:space="0" w:color="1B556B"/>
            </w:tcBorders>
            <w:shd w:val="clear" w:color="auto" w:fill="1B556B"/>
            <w:vAlign w:val="center"/>
          </w:tcPr>
          <w:p w14:paraId="1DA83E2A" w14:textId="77777777" w:rsidR="00366397" w:rsidRPr="00366397" w:rsidRDefault="00366397" w:rsidP="0000612D">
            <w:pPr>
              <w:pStyle w:val="TableTextBold"/>
              <w:jc w:val="right"/>
              <w:rPr>
                <w:color w:val="FFFFFF"/>
              </w:rPr>
            </w:pPr>
          </w:p>
        </w:tc>
      </w:tr>
      <w:tr w:rsidR="00366397" w:rsidRPr="005718FF" w14:paraId="132D9495" w14:textId="77777777" w:rsidTr="0030211F">
        <w:trPr>
          <w:cantSplit/>
          <w:trHeight w:val="20"/>
        </w:trPr>
        <w:tc>
          <w:tcPr>
            <w:tcW w:w="1668" w:type="pct"/>
            <w:tcBorders>
              <w:top w:val="single" w:sz="4" w:space="0" w:color="1B556B"/>
              <w:bottom w:val="single" w:sz="4" w:space="0" w:color="1B556B"/>
            </w:tcBorders>
            <w:shd w:val="clear" w:color="auto" w:fill="FFFFFF"/>
            <w:vAlign w:val="center"/>
          </w:tcPr>
          <w:p w14:paraId="08423CB1" w14:textId="77777777" w:rsidR="00366397" w:rsidRPr="005718FF" w:rsidRDefault="00366397" w:rsidP="0030211F">
            <w:pPr>
              <w:pStyle w:val="TableText"/>
            </w:pPr>
            <w:r w:rsidRPr="005718FF">
              <w:rPr>
                <w:rFonts w:eastAsia="Calibri"/>
              </w:rPr>
              <w:t>New planting</w:t>
            </w:r>
          </w:p>
        </w:tc>
        <w:tc>
          <w:tcPr>
            <w:tcW w:w="859" w:type="pct"/>
            <w:tcBorders>
              <w:top w:val="single" w:sz="4" w:space="0" w:color="1B556B"/>
              <w:bottom w:val="single" w:sz="4" w:space="0" w:color="1B556B"/>
            </w:tcBorders>
            <w:shd w:val="clear" w:color="auto" w:fill="FFFFFF"/>
            <w:vAlign w:val="center"/>
          </w:tcPr>
          <w:p w14:paraId="701EFB6F" w14:textId="77777777" w:rsidR="00366397" w:rsidRPr="005718FF" w:rsidRDefault="00366397" w:rsidP="0000612D">
            <w:pPr>
              <w:pStyle w:val="TableText"/>
              <w:jc w:val="right"/>
            </w:pPr>
            <w:r w:rsidRPr="005718FF">
              <w:rPr>
                <w:rFonts w:eastAsia="Calibri"/>
              </w:rPr>
              <w:t>24,067</w:t>
            </w:r>
          </w:p>
        </w:tc>
        <w:tc>
          <w:tcPr>
            <w:tcW w:w="859" w:type="pct"/>
            <w:tcBorders>
              <w:top w:val="single" w:sz="4" w:space="0" w:color="1B556B"/>
              <w:bottom w:val="single" w:sz="4" w:space="0" w:color="1B556B"/>
            </w:tcBorders>
            <w:shd w:val="clear" w:color="auto" w:fill="FFFFFF"/>
            <w:vAlign w:val="center"/>
          </w:tcPr>
          <w:p w14:paraId="6FA0C6CF" w14:textId="77777777" w:rsidR="00366397" w:rsidRPr="005718FF" w:rsidRDefault="00366397" w:rsidP="0000612D">
            <w:pPr>
              <w:pStyle w:val="TableText"/>
              <w:jc w:val="right"/>
            </w:pPr>
            <w:r w:rsidRPr="005718FF">
              <w:rPr>
                <w:rFonts w:eastAsia="Calibri"/>
              </w:rPr>
              <w:t>27,070</w:t>
            </w:r>
          </w:p>
        </w:tc>
        <w:tc>
          <w:tcPr>
            <w:tcW w:w="1614" w:type="pct"/>
            <w:tcBorders>
              <w:top w:val="single" w:sz="4" w:space="0" w:color="1B556B"/>
              <w:bottom w:val="single" w:sz="4" w:space="0" w:color="1B556B"/>
            </w:tcBorders>
            <w:shd w:val="clear" w:color="auto" w:fill="FFFFFF"/>
            <w:vAlign w:val="center"/>
          </w:tcPr>
          <w:p w14:paraId="05F7EC36" w14:textId="77777777" w:rsidR="00366397" w:rsidRPr="005718FF" w:rsidRDefault="00366397" w:rsidP="0000612D">
            <w:pPr>
              <w:pStyle w:val="TableText"/>
              <w:jc w:val="right"/>
            </w:pPr>
            <w:r w:rsidRPr="005718FF">
              <w:rPr>
                <w:rFonts w:eastAsia="Calibri"/>
              </w:rPr>
              <w:t>12.5</w:t>
            </w:r>
          </w:p>
        </w:tc>
      </w:tr>
      <w:tr w:rsidR="00366397" w:rsidRPr="005718FF" w14:paraId="5FEEB162" w14:textId="77777777" w:rsidTr="0030211F">
        <w:trPr>
          <w:cantSplit/>
          <w:trHeight w:val="20"/>
        </w:trPr>
        <w:tc>
          <w:tcPr>
            <w:tcW w:w="1668" w:type="pct"/>
            <w:tcBorders>
              <w:top w:val="single" w:sz="4" w:space="0" w:color="1B556B"/>
              <w:bottom w:val="single" w:sz="4" w:space="0" w:color="1B556B"/>
            </w:tcBorders>
            <w:shd w:val="clear" w:color="auto" w:fill="FFFFFF"/>
            <w:vAlign w:val="center"/>
          </w:tcPr>
          <w:p w14:paraId="56A9DE1C" w14:textId="77777777" w:rsidR="00366397" w:rsidRPr="005718FF" w:rsidRDefault="00366397" w:rsidP="0030211F">
            <w:pPr>
              <w:pStyle w:val="TableText"/>
            </w:pPr>
            <w:r w:rsidRPr="005718FF">
              <w:rPr>
                <w:rFonts w:eastAsia="Calibri"/>
              </w:rPr>
              <w:t>Deforestation</w:t>
            </w:r>
          </w:p>
        </w:tc>
        <w:tc>
          <w:tcPr>
            <w:tcW w:w="859" w:type="pct"/>
            <w:tcBorders>
              <w:top w:val="single" w:sz="4" w:space="0" w:color="1B556B"/>
              <w:bottom w:val="single" w:sz="4" w:space="0" w:color="1B556B"/>
            </w:tcBorders>
            <w:shd w:val="clear" w:color="auto" w:fill="FFFFFF"/>
            <w:vAlign w:val="center"/>
          </w:tcPr>
          <w:p w14:paraId="4DBACB09" w14:textId="77777777" w:rsidR="00366397" w:rsidRPr="005718FF" w:rsidRDefault="00366397" w:rsidP="0000612D">
            <w:pPr>
              <w:pStyle w:val="TableText"/>
              <w:jc w:val="right"/>
            </w:pPr>
          </w:p>
        </w:tc>
        <w:tc>
          <w:tcPr>
            <w:tcW w:w="859" w:type="pct"/>
            <w:tcBorders>
              <w:top w:val="single" w:sz="4" w:space="0" w:color="1B556B"/>
              <w:bottom w:val="single" w:sz="4" w:space="0" w:color="1B556B"/>
            </w:tcBorders>
            <w:shd w:val="clear" w:color="auto" w:fill="FFFFFF"/>
            <w:vAlign w:val="center"/>
          </w:tcPr>
          <w:p w14:paraId="120C0392" w14:textId="77777777" w:rsidR="00366397" w:rsidRPr="005718FF" w:rsidRDefault="00366397" w:rsidP="0000612D">
            <w:pPr>
              <w:pStyle w:val="TableText"/>
              <w:jc w:val="right"/>
            </w:pPr>
          </w:p>
        </w:tc>
        <w:tc>
          <w:tcPr>
            <w:tcW w:w="1614" w:type="pct"/>
            <w:tcBorders>
              <w:top w:val="single" w:sz="4" w:space="0" w:color="1B556B"/>
              <w:bottom w:val="single" w:sz="4" w:space="0" w:color="1B556B"/>
            </w:tcBorders>
            <w:shd w:val="clear" w:color="auto" w:fill="FFFFFF"/>
            <w:vAlign w:val="center"/>
          </w:tcPr>
          <w:p w14:paraId="71F1AFB5" w14:textId="77777777" w:rsidR="00366397" w:rsidRPr="005718FF" w:rsidRDefault="00366397" w:rsidP="0000612D">
            <w:pPr>
              <w:pStyle w:val="TableText"/>
              <w:jc w:val="right"/>
            </w:pPr>
          </w:p>
        </w:tc>
      </w:tr>
      <w:tr w:rsidR="00366397" w:rsidRPr="005718FF" w14:paraId="6D27BF85" w14:textId="77777777" w:rsidTr="0030211F">
        <w:trPr>
          <w:cantSplit/>
          <w:trHeight w:val="20"/>
        </w:trPr>
        <w:tc>
          <w:tcPr>
            <w:tcW w:w="1668" w:type="pct"/>
            <w:tcBorders>
              <w:top w:val="single" w:sz="4" w:space="0" w:color="1B556B"/>
              <w:bottom w:val="single" w:sz="4" w:space="0" w:color="1B556B"/>
            </w:tcBorders>
            <w:shd w:val="clear" w:color="auto" w:fill="FFFFFF"/>
            <w:vAlign w:val="center"/>
          </w:tcPr>
          <w:p w14:paraId="6317D58A" w14:textId="77777777" w:rsidR="00366397" w:rsidRPr="005718FF" w:rsidRDefault="00366397" w:rsidP="0030211F">
            <w:pPr>
              <w:pStyle w:val="TableText"/>
            </w:pPr>
            <w:r w:rsidRPr="005718FF">
              <w:rPr>
                <w:rFonts w:eastAsia="Calibri"/>
              </w:rPr>
              <w:t>Pre-1990 natural forest</w:t>
            </w:r>
          </w:p>
        </w:tc>
        <w:tc>
          <w:tcPr>
            <w:tcW w:w="859" w:type="pct"/>
            <w:tcBorders>
              <w:top w:val="single" w:sz="4" w:space="0" w:color="1B556B"/>
              <w:bottom w:val="single" w:sz="4" w:space="0" w:color="1B556B"/>
            </w:tcBorders>
            <w:shd w:val="clear" w:color="auto" w:fill="FFFFFF"/>
            <w:vAlign w:val="center"/>
          </w:tcPr>
          <w:p w14:paraId="24680047" w14:textId="77777777" w:rsidR="00366397" w:rsidRPr="005718FF" w:rsidRDefault="00366397" w:rsidP="0000612D">
            <w:pPr>
              <w:pStyle w:val="TableText"/>
              <w:jc w:val="right"/>
            </w:pPr>
            <w:r w:rsidRPr="005718FF">
              <w:rPr>
                <w:rFonts w:eastAsia="Calibri"/>
              </w:rPr>
              <w:t>750</w:t>
            </w:r>
          </w:p>
        </w:tc>
        <w:tc>
          <w:tcPr>
            <w:tcW w:w="859" w:type="pct"/>
            <w:tcBorders>
              <w:top w:val="single" w:sz="4" w:space="0" w:color="1B556B"/>
              <w:bottom w:val="single" w:sz="4" w:space="0" w:color="1B556B"/>
            </w:tcBorders>
            <w:shd w:val="clear" w:color="auto" w:fill="FFFFFF"/>
            <w:vAlign w:val="center"/>
          </w:tcPr>
          <w:p w14:paraId="44DF61E9" w14:textId="77777777" w:rsidR="00366397" w:rsidRPr="005718FF" w:rsidRDefault="00366397" w:rsidP="0000612D">
            <w:pPr>
              <w:pStyle w:val="TableText"/>
              <w:jc w:val="right"/>
            </w:pPr>
            <w:r w:rsidRPr="005718FF">
              <w:rPr>
                <w:rFonts w:eastAsia="Calibri"/>
              </w:rPr>
              <w:t>781</w:t>
            </w:r>
          </w:p>
        </w:tc>
        <w:tc>
          <w:tcPr>
            <w:tcW w:w="1614" w:type="pct"/>
            <w:tcBorders>
              <w:top w:val="single" w:sz="4" w:space="0" w:color="1B556B"/>
              <w:bottom w:val="single" w:sz="4" w:space="0" w:color="1B556B"/>
            </w:tcBorders>
            <w:shd w:val="clear" w:color="auto" w:fill="FFFFFF"/>
            <w:vAlign w:val="center"/>
          </w:tcPr>
          <w:p w14:paraId="48BBF160" w14:textId="77777777" w:rsidR="00366397" w:rsidRPr="005718FF" w:rsidRDefault="00366397" w:rsidP="0000612D">
            <w:pPr>
              <w:pStyle w:val="TableText"/>
              <w:jc w:val="right"/>
            </w:pPr>
            <w:r w:rsidRPr="005718FF">
              <w:rPr>
                <w:rFonts w:eastAsia="Calibri"/>
              </w:rPr>
              <w:t>4.2</w:t>
            </w:r>
          </w:p>
        </w:tc>
      </w:tr>
      <w:tr w:rsidR="00366397" w:rsidRPr="005718FF" w14:paraId="44FB2C8D" w14:textId="77777777" w:rsidTr="0030211F">
        <w:trPr>
          <w:cantSplit/>
          <w:trHeight w:val="20"/>
        </w:trPr>
        <w:tc>
          <w:tcPr>
            <w:tcW w:w="1668" w:type="pct"/>
            <w:tcBorders>
              <w:top w:val="single" w:sz="4" w:space="0" w:color="1B556B"/>
              <w:bottom w:val="single" w:sz="4" w:space="0" w:color="1B556B"/>
            </w:tcBorders>
            <w:shd w:val="clear" w:color="auto" w:fill="FFFFFF"/>
            <w:vAlign w:val="center"/>
          </w:tcPr>
          <w:p w14:paraId="28EB54BE" w14:textId="77777777" w:rsidR="00366397" w:rsidRPr="005718FF" w:rsidRDefault="00366397" w:rsidP="0030211F">
            <w:pPr>
              <w:pStyle w:val="TableText"/>
            </w:pPr>
            <w:r w:rsidRPr="005718FF">
              <w:rPr>
                <w:rFonts w:eastAsia="Calibri"/>
              </w:rPr>
              <w:t>Pre-1990 planted forest</w:t>
            </w:r>
          </w:p>
        </w:tc>
        <w:tc>
          <w:tcPr>
            <w:tcW w:w="859" w:type="pct"/>
            <w:tcBorders>
              <w:top w:val="single" w:sz="4" w:space="0" w:color="1B556B"/>
              <w:bottom w:val="single" w:sz="4" w:space="0" w:color="1B556B"/>
            </w:tcBorders>
            <w:shd w:val="clear" w:color="auto" w:fill="FFFFFF"/>
            <w:vAlign w:val="center"/>
          </w:tcPr>
          <w:p w14:paraId="671EC793" w14:textId="77777777" w:rsidR="00366397" w:rsidRPr="005718FF" w:rsidRDefault="00366397" w:rsidP="0000612D">
            <w:pPr>
              <w:pStyle w:val="TableText"/>
              <w:jc w:val="right"/>
            </w:pPr>
            <w:r w:rsidRPr="005718FF">
              <w:rPr>
                <w:rFonts w:eastAsia="Calibri"/>
              </w:rPr>
              <w:t>3,108</w:t>
            </w:r>
          </w:p>
        </w:tc>
        <w:tc>
          <w:tcPr>
            <w:tcW w:w="859" w:type="pct"/>
            <w:tcBorders>
              <w:top w:val="single" w:sz="4" w:space="0" w:color="1B556B"/>
              <w:bottom w:val="single" w:sz="4" w:space="0" w:color="1B556B"/>
            </w:tcBorders>
            <w:shd w:val="clear" w:color="auto" w:fill="FFFFFF"/>
            <w:vAlign w:val="center"/>
          </w:tcPr>
          <w:p w14:paraId="22DB4857" w14:textId="77777777" w:rsidR="00366397" w:rsidRPr="005718FF" w:rsidRDefault="00366397" w:rsidP="0000612D">
            <w:pPr>
              <w:pStyle w:val="TableText"/>
              <w:jc w:val="right"/>
            </w:pPr>
            <w:r w:rsidRPr="005718FF">
              <w:rPr>
                <w:rFonts w:eastAsia="Calibri"/>
              </w:rPr>
              <w:t>1,910</w:t>
            </w:r>
          </w:p>
        </w:tc>
        <w:tc>
          <w:tcPr>
            <w:tcW w:w="1614" w:type="pct"/>
            <w:tcBorders>
              <w:top w:val="single" w:sz="4" w:space="0" w:color="1B556B"/>
              <w:bottom w:val="single" w:sz="4" w:space="0" w:color="1B556B"/>
            </w:tcBorders>
            <w:shd w:val="clear" w:color="auto" w:fill="FFFFFF"/>
            <w:vAlign w:val="center"/>
          </w:tcPr>
          <w:p w14:paraId="517307B3" w14:textId="77777777" w:rsidR="00366397" w:rsidRPr="005718FF" w:rsidRDefault="00366397" w:rsidP="0000612D">
            <w:pPr>
              <w:pStyle w:val="TableText"/>
              <w:jc w:val="right"/>
            </w:pPr>
            <w:r w:rsidRPr="005718FF">
              <w:rPr>
                <w:rFonts w:eastAsia="Calibri"/>
              </w:rPr>
              <w:t>–38.5</w:t>
            </w:r>
          </w:p>
        </w:tc>
      </w:tr>
      <w:tr w:rsidR="00366397" w:rsidRPr="005718FF" w14:paraId="3617F262" w14:textId="77777777" w:rsidTr="0030211F">
        <w:trPr>
          <w:cantSplit/>
          <w:trHeight w:val="20"/>
        </w:trPr>
        <w:tc>
          <w:tcPr>
            <w:tcW w:w="1668" w:type="pct"/>
            <w:tcBorders>
              <w:top w:val="single" w:sz="4" w:space="0" w:color="1B556B"/>
              <w:bottom w:val="single" w:sz="4" w:space="0" w:color="1B556B"/>
            </w:tcBorders>
            <w:shd w:val="clear" w:color="auto" w:fill="FFFFFF"/>
            <w:vAlign w:val="center"/>
          </w:tcPr>
          <w:p w14:paraId="72E904D8" w14:textId="77777777" w:rsidR="00366397" w:rsidRPr="005718FF" w:rsidRDefault="00366397" w:rsidP="0030211F">
            <w:pPr>
              <w:pStyle w:val="TableText"/>
            </w:pPr>
            <w:r w:rsidRPr="005718FF">
              <w:rPr>
                <w:rFonts w:eastAsia="Calibri"/>
              </w:rPr>
              <w:t>Post-1989 forest</w:t>
            </w:r>
          </w:p>
        </w:tc>
        <w:tc>
          <w:tcPr>
            <w:tcW w:w="859" w:type="pct"/>
            <w:tcBorders>
              <w:top w:val="single" w:sz="4" w:space="0" w:color="1B556B"/>
              <w:bottom w:val="single" w:sz="4" w:space="0" w:color="1B556B"/>
            </w:tcBorders>
            <w:shd w:val="clear" w:color="auto" w:fill="FFFFFF"/>
            <w:vAlign w:val="center"/>
          </w:tcPr>
          <w:p w14:paraId="706BDAB0" w14:textId="77777777" w:rsidR="00366397" w:rsidRPr="005718FF" w:rsidRDefault="00366397" w:rsidP="0000612D">
            <w:pPr>
              <w:pStyle w:val="TableText"/>
              <w:jc w:val="right"/>
            </w:pPr>
            <w:r w:rsidRPr="005718FF">
              <w:rPr>
                <w:rFonts w:eastAsia="Calibri"/>
              </w:rPr>
              <w:t>885</w:t>
            </w:r>
          </w:p>
        </w:tc>
        <w:tc>
          <w:tcPr>
            <w:tcW w:w="859" w:type="pct"/>
            <w:tcBorders>
              <w:top w:val="single" w:sz="4" w:space="0" w:color="1B556B"/>
              <w:bottom w:val="single" w:sz="4" w:space="0" w:color="1B556B"/>
            </w:tcBorders>
            <w:shd w:val="clear" w:color="auto" w:fill="FFFFFF"/>
            <w:vAlign w:val="center"/>
          </w:tcPr>
          <w:p w14:paraId="74B17477" w14:textId="77777777" w:rsidR="00366397" w:rsidRPr="005718FF" w:rsidRDefault="00366397" w:rsidP="0000612D">
            <w:pPr>
              <w:pStyle w:val="TableText"/>
              <w:jc w:val="right"/>
            </w:pPr>
            <w:r w:rsidRPr="005718FF">
              <w:rPr>
                <w:rFonts w:eastAsia="Calibri"/>
              </w:rPr>
              <w:t>1,545</w:t>
            </w:r>
          </w:p>
        </w:tc>
        <w:tc>
          <w:tcPr>
            <w:tcW w:w="1614" w:type="pct"/>
            <w:tcBorders>
              <w:top w:val="single" w:sz="4" w:space="0" w:color="1B556B"/>
              <w:bottom w:val="single" w:sz="4" w:space="0" w:color="1B556B"/>
            </w:tcBorders>
            <w:shd w:val="clear" w:color="auto" w:fill="FFFFFF"/>
            <w:vAlign w:val="center"/>
          </w:tcPr>
          <w:p w14:paraId="56CDF409" w14:textId="77777777" w:rsidR="00366397" w:rsidRPr="005718FF" w:rsidRDefault="00366397" w:rsidP="0000612D">
            <w:pPr>
              <w:pStyle w:val="TableText"/>
              <w:jc w:val="right"/>
            </w:pPr>
            <w:r w:rsidRPr="005718FF">
              <w:rPr>
                <w:rFonts w:eastAsia="Calibri"/>
              </w:rPr>
              <w:t>74.6</w:t>
            </w:r>
          </w:p>
        </w:tc>
      </w:tr>
      <w:tr w:rsidR="00366397" w:rsidRPr="005718FF" w14:paraId="35D5CBDF" w14:textId="77777777" w:rsidTr="0030211F">
        <w:trPr>
          <w:cantSplit/>
          <w:trHeight w:val="20"/>
        </w:trPr>
        <w:tc>
          <w:tcPr>
            <w:tcW w:w="1668" w:type="pct"/>
            <w:tcBorders>
              <w:top w:val="single" w:sz="4" w:space="0" w:color="1B556B"/>
              <w:bottom w:val="single" w:sz="4" w:space="0" w:color="1B556B"/>
            </w:tcBorders>
            <w:shd w:val="clear" w:color="auto" w:fill="FFFFFF"/>
            <w:vAlign w:val="center"/>
          </w:tcPr>
          <w:p w14:paraId="4FBA6FC5" w14:textId="77777777" w:rsidR="00366397" w:rsidRPr="005718FF" w:rsidRDefault="00366397" w:rsidP="0030211F">
            <w:pPr>
              <w:pStyle w:val="TableText"/>
            </w:pPr>
            <w:r w:rsidRPr="005718FF">
              <w:rPr>
                <w:rFonts w:eastAsia="Calibri"/>
              </w:rPr>
              <w:t>Post-1989 natural forest</w:t>
            </w:r>
          </w:p>
        </w:tc>
        <w:tc>
          <w:tcPr>
            <w:tcW w:w="859" w:type="pct"/>
            <w:tcBorders>
              <w:top w:val="single" w:sz="4" w:space="0" w:color="1B556B"/>
              <w:bottom w:val="single" w:sz="4" w:space="0" w:color="1B556B"/>
            </w:tcBorders>
            <w:shd w:val="clear" w:color="auto" w:fill="FFFFFF"/>
            <w:vAlign w:val="center"/>
          </w:tcPr>
          <w:p w14:paraId="3E5EAE0F" w14:textId="77777777" w:rsidR="00366397" w:rsidRPr="005718FF" w:rsidRDefault="00366397" w:rsidP="0000612D">
            <w:pPr>
              <w:pStyle w:val="TableText"/>
              <w:jc w:val="right"/>
            </w:pPr>
            <w:r w:rsidRPr="005718FF">
              <w:rPr>
                <w:rFonts w:eastAsia="Calibri"/>
              </w:rPr>
              <w:t>59</w:t>
            </w:r>
          </w:p>
        </w:tc>
        <w:tc>
          <w:tcPr>
            <w:tcW w:w="859" w:type="pct"/>
            <w:tcBorders>
              <w:top w:val="single" w:sz="4" w:space="0" w:color="1B556B"/>
              <w:bottom w:val="single" w:sz="4" w:space="0" w:color="1B556B"/>
            </w:tcBorders>
            <w:shd w:val="clear" w:color="auto" w:fill="FFFFFF"/>
            <w:vAlign w:val="center"/>
          </w:tcPr>
          <w:p w14:paraId="514858F4" w14:textId="77777777" w:rsidR="00366397" w:rsidRPr="005718FF" w:rsidRDefault="00366397" w:rsidP="0000612D">
            <w:pPr>
              <w:pStyle w:val="TableText"/>
              <w:jc w:val="right"/>
            </w:pPr>
            <w:r w:rsidRPr="005718FF">
              <w:rPr>
                <w:rFonts w:eastAsia="Calibri"/>
              </w:rPr>
              <w:t>124</w:t>
            </w:r>
          </w:p>
        </w:tc>
        <w:tc>
          <w:tcPr>
            <w:tcW w:w="1614" w:type="pct"/>
            <w:tcBorders>
              <w:top w:val="single" w:sz="4" w:space="0" w:color="1B556B"/>
              <w:bottom w:val="single" w:sz="4" w:space="0" w:color="1B556B"/>
            </w:tcBorders>
            <w:shd w:val="clear" w:color="auto" w:fill="FFFFFF"/>
            <w:vAlign w:val="center"/>
          </w:tcPr>
          <w:p w14:paraId="5F896ADF" w14:textId="77777777" w:rsidR="00366397" w:rsidRPr="005718FF" w:rsidRDefault="00366397" w:rsidP="0000612D">
            <w:pPr>
              <w:pStyle w:val="TableText"/>
              <w:jc w:val="right"/>
            </w:pPr>
            <w:r w:rsidRPr="005718FF">
              <w:rPr>
                <w:rFonts w:eastAsia="Calibri"/>
              </w:rPr>
              <w:t>109.8</w:t>
            </w:r>
          </w:p>
        </w:tc>
      </w:tr>
    </w:tbl>
    <w:p w14:paraId="65FB0233" w14:textId="77777777" w:rsidR="00366397" w:rsidRPr="008A2236" w:rsidRDefault="00366397" w:rsidP="00366397">
      <w:pPr>
        <w:pStyle w:val="Noteundertable"/>
      </w:pPr>
      <w:r w:rsidRPr="008A2236">
        <w:rPr>
          <w:b/>
          <w:bCs/>
        </w:rPr>
        <w:t>Note:</w:t>
      </w:r>
      <w:r w:rsidRPr="008A2236">
        <w:tab/>
        <w:t>Percentages presented are calculated from unrounded values.</w:t>
      </w:r>
    </w:p>
    <w:p w14:paraId="699056B6" w14:textId="5AEA90A4" w:rsidR="00366397" w:rsidRPr="008A2236" w:rsidRDefault="00366397" w:rsidP="00366397">
      <w:pPr>
        <w:pStyle w:val="Heading2"/>
      </w:pPr>
      <w:bookmarkStart w:id="2658" w:name="_Toc99659168"/>
      <w:bookmarkStart w:id="2659" w:name="X1fe50eee1613289d52dd00961fd4966d5e2d673"/>
      <w:bookmarkEnd w:id="2629"/>
      <w:bookmarkEnd w:id="2654"/>
      <w:r w:rsidRPr="008A2236">
        <w:t>10.2 Recalculations and planned improvements in</w:t>
      </w:r>
      <w:r w:rsidR="0000612D">
        <w:t> </w:t>
      </w:r>
      <w:r w:rsidRPr="008A2236">
        <w:t>response to the review process</w:t>
      </w:r>
      <w:bookmarkEnd w:id="2658"/>
    </w:p>
    <w:p w14:paraId="615B6B71" w14:textId="08AB7204" w:rsidR="00366397" w:rsidRPr="008A2236" w:rsidRDefault="00366397" w:rsidP="00366397">
      <w:pPr>
        <w:pStyle w:val="BodyText"/>
      </w:pPr>
      <w:r w:rsidRPr="008A2236">
        <w:t>New Zealand has made improvements to the inventory to take into account the findings from</w:t>
      </w:r>
      <w:r w:rsidR="0000612D">
        <w:t> </w:t>
      </w:r>
      <w:r w:rsidRPr="008A2236">
        <w:t>the reviews of previous submissions. New Zealand’s 2021 submission is being reviewed</w:t>
      </w:r>
      <w:r>
        <w:t>;</w:t>
      </w:r>
      <w:r w:rsidRPr="008A2236">
        <w:t xml:space="preserve"> however, the assessment review report (ARR) has not been </w:t>
      </w:r>
      <w:r>
        <w:t>completed</w:t>
      </w:r>
      <w:r w:rsidRPr="008A2236">
        <w:t>. Where possible, improvements have been made in response to some of the preliminary findings from the review of the 2021 submission.</w:t>
      </w:r>
    </w:p>
    <w:p w14:paraId="0B35BA67" w14:textId="77777777" w:rsidR="00366397" w:rsidRPr="008A2236" w:rsidRDefault="00366397" w:rsidP="00366397">
      <w:pPr>
        <w:pStyle w:val="BodyText"/>
      </w:pPr>
      <w:r w:rsidRPr="008A2236">
        <w:t>The most recent ARR available at the time of writing was the 2019 ARR (UNFCCC</w:t>
      </w:r>
      <w:r>
        <w:t>,</w:t>
      </w:r>
      <w:r w:rsidRPr="008A2236">
        <w:t xml:space="preserve"> 2020), which this submission</w:t>
      </w:r>
      <w:r>
        <w:t xml:space="preserve"> responds to</w:t>
      </w:r>
      <w:r w:rsidRPr="008A2236">
        <w:t>. The 2019 ARR includes findings from reviews of the 2019 and earlier submissions of New Zealand’s inventory. New Zealand has endeavoured to address as many recommendations as practicable in its 2021 and 2022 submissions. Further improvements will be implemented in future submissions.</w:t>
      </w:r>
    </w:p>
    <w:p w14:paraId="273CA78F" w14:textId="77777777" w:rsidR="00366397" w:rsidRPr="008A2236" w:rsidRDefault="00366397" w:rsidP="00366397">
      <w:pPr>
        <w:pStyle w:val="BodyText"/>
      </w:pPr>
      <w:r w:rsidRPr="0000612D">
        <w:rPr>
          <w:spacing w:val="-2"/>
        </w:rPr>
        <w:t>Tables 3 and 4 of the 2019 ARR contain assessment of progress in addressing recommendations</w:t>
      </w:r>
      <w:r w:rsidRPr="008A2236">
        <w:t xml:space="preserve"> provided by the expert review teams (ERTs) during the reviews of the 2017 and earlier submissions. These recommendations are detailed in table 10.2.1 along with New Zealand’s latest responses to those recommendations.</w:t>
      </w:r>
    </w:p>
    <w:p w14:paraId="5CF4DDE2" w14:textId="761D7FC9" w:rsidR="00366397" w:rsidRPr="008A2236" w:rsidRDefault="00366397" w:rsidP="00366397">
      <w:pPr>
        <w:pStyle w:val="Table"/>
      </w:pPr>
      <w:bookmarkStart w:id="2660" w:name="_Toc99659382"/>
      <w:r w:rsidRPr="008A2236">
        <w:t>Table 10.2.1</w:t>
      </w:r>
      <w:r w:rsidRPr="008A2236">
        <w:tab/>
        <w:t xml:space="preserve">New </w:t>
      </w:r>
      <w:r w:rsidRPr="009C7EE1">
        <w:t>Zealand’s</w:t>
      </w:r>
      <w:r w:rsidRPr="008A2236">
        <w:t xml:space="preserve"> response</w:t>
      </w:r>
      <w:r>
        <w:t>s</w:t>
      </w:r>
      <w:r w:rsidRPr="008A2236">
        <w:t xml:space="preserve"> to recommendations in table</w:t>
      </w:r>
      <w:r>
        <w:t>s</w:t>
      </w:r>
      <w:r w:rsidRPr="008A2236">
        <w:t xml:space="preserve"> 3 and 4 of the 2019 assessment review</w:t>
      </w:r>
      <w:r w:rsidR="00DD2583">
        <w:t> </w:t>
      </w:r>
      <w:r w:rsidRPr="008A2236">
        <w:t>report</w:t>
      </w:r>
      <w:r w:rsidRPr="001411F6">
        <w:t xml:space="preserve"> </w:t>
      </w:r>
      <w:r>
        <w:t>that remain</w:t>
      </w:r>
      <w:r w:rsidRPr="008A2236">
        <w:t xml:space="preserve"> relevant </w:t>
      </w:r>
      <w:r>
        <w:t>as</w:t>
      </w:r>
      <w:r w:rsidRPr="008A2236">
        <w:t xml:space="preserve"> issues raised in earlier reviews</w:t>
      </w:r>
      <w:bookmarkEnd w:id="2660"/>
    </w:p>
    <w:tbl>
      <w:tblPr>
        <w:tblW w:w="8505" w:type="dxa"/>
        <w:tblInd w:w="113" w:type="dxa"/>
        <w:tblBorders>
          <w:top w:val="single" w:sz="4" w:space="0" w:color="1B556B"/>
          <w:bottom w:val="single" w:sz="4" w:space="0" w:color="1B556B"/>
          <w:insideH w:val="single" w:sz="4" w:space="0" w:color="1B556B"/>
        </w:tblBorders>
        <w:tblCellMar>
          <w:left w:w="85" w:type="dxa"/>
          <w:right w:w="85" w:type="dxa"/>
        </w:tblCellMar>
        <w:tblLook w:val="0420" w:firstRow="1" w:lastRow="0" w:firstColumn="0" w:lastColumn="0" w:noHBand="0" w:noVBand="1"/>
      </w:tblPr>
      <w:tblGrid>
        <w:gridCol w:w="1896"/>
        <w:gridCol w:w="919"/>
        <w:gridCol w:w="2874"/>
        <w:gridCol w:w="2816"/>
      </w:tblGrid>
      <w:tr w:rsidR="00C125E2" w:rsidRPr="00366397" w14:paraId="3646271E" w14:textId="77777777" w:rsidTr="001959CB">
        <w:trPr>
          <w:tblHeader/>
        </w:trPr>
        <w:tc>
          <w:tcPr>
            <w:tcW w:w="1871" w:type="dxa"/>
            <w:shd w:val="clear" w:color="auto" w:fill="1B556B"/>
            <w:vAlign w:val="bottom"/>
          </w:tcPr>
          <w:p w14:paraId="38F10523" w14:textId="77777777" w:rsidR="00366397" w:rsidRPr="00366397" w:rsidRDefault="00366397" w:rsidP="00C125E2">
            <w:pPr>
              <w:pStyle w:val="TableTextBold"/>
              <w:spacing w:before="40" w:after="40"/>
              <w:rPr>
                <w:color w:val="FFFFFF"/>
              </w:rPr>
            </w:pPr>
            <w:r w:rsidRPr="00366397">
              <w:rPr>
                <w:rFonts w:eastAsia="Calibri"/>
                <w:color w:val="FFFFFF"/>
              </w:rPr>
              <w:t>Sector</w:t>
            </w:r>
          </w:p>
        </w:tc>
        <w:tc>
          <w:tcPr>
            <w:tcW w:w="907" w:type="dxa"/>
            <w:shd w:val="clear" w:color="auto" w:fill="1B556B"/>
            <w:vAlign w:val="bottom"/>
          </w:tcPr>
          <w:p w14:paraId="115EE7FC" w14:textId="77777777" w:rsidR="00366397" w:rsidRPr="00366397" w:rsidRDefault="00366397" w:rsidP="00C125E2">
            <w:pPr>
              <w:pStyle w:val="TableTextBold"/>
              <w:spacing w:before="40" w:after="40"/>
              <w:rPr>
                <w:color w:val="FFFFFF"/>
              </w:rPr>
            </w:pPr>
            <w:r w:rsidRPr="00366397">
              <w:rPr>
                <w:rFonts w:eastAsia="Calibri"/>
                <w:color w:val="FFFFFF"/>
              </w:rPr>
              <w:t>ID number</w:t>
            </w:r>
          </w:p>
        </w:tc>
        <w:tc>
          <w:tcPr>
            <w:tcW w:w="2835" w:type="dxa"/>
            <w:shd w:val="clear" w:color="auto" w:fill="1B556B"/>
            <w:vAlign w:val="bottom"/>
          </w:tcPr>
          <w:p w14:paraId="00F660FA" w14:textId="77777777" w:rsidR="00366397" w:rsidRPr="00366397" w:rsidRDefault="00366397" w:rsidP="00C125E2">
            <w:pPr>
              <w:pStyle w:val="TableTextBold"/>
              <w:spacing w:before="40" w:after="40"/>
              <w:rPr>
                <w:color w:val="FFFFFF"/>
              </w:rPr>
            </w:pPr>
            <w:r w:rsidRPr="00366397">
              <w:rPr>
                <w:rFonts w:eastAsia="Calibri"/>
                <w:color w:val="FFFFFF"/>
              </w:rPr>
              <w:t>Expert review team recommendation</w:t>
            </w:r>
          </w:p>
        </w:tc>
        <w:tc>
          <w:tcPr>
            <w:tcW w:w="2778" w:type="dxa"/>
            <w:shd w:val="clear" w:color="auto" w:fill="1B556B"/>
            <w:vAlign w:val="bottom"/>
          </w:tcPr>
          <w:p w14:paraId="06F313AA" w14:textId="77777777" w:rsidR="00366397" w:rsidRPr="00366397" w:rsidRDefault="00366397" w:rsidP="00C125E2">
            <w:pPr>
              <w:pStyle w:val="TableTextBold"/>
              <w:spacing w:before="40" w:after="40"/>
              <w:rPr>
                <w:color w:val="FFFFFF"/>
              </w:rPr>
            </w:pPr>
            <w:r w:rsidRPr="00366397">
              <w:rPr>
                <w:rFonts w:eastAsia="Calibri"/>
                <w:color w:val="FFFFFF"/>
              </w:rPr>
              <w:t>New Zealand response</w:t>
            </w:r>
          </w:p>
        </w:tc>
      </w:tr>
      <w:tr w:rsidR="009371C3" w:rsidRPr="008A2236" w14:paraId="0C559805" w14:textId="77777777" w:rsidTr="001959CB">
        <w:tc>
          <w:tcPr>
            <w:tcW w:w="1871" w:type="dxa"/>
            <w:shd w:val="clear" w:color="auto" w:fill="FFFFFF"/>
            <w:vAlign w:val="center"/>
          </w:tcPr>
          <w:p w14:paraId="3C577E61" w14:textId="77777777" w:rsidR="00366397" w:rsidRPr="008A2236" w:rsidRDefault="00366397" w:rsidP="00C125E2">
            <w:pPr>
              <w:pStyle w:val="TableText"/>
              <w:spacing w:before="40" w:after="40"/>
            </w:pPr>
            <w:r w:rsidRPr="008A2236">
              <w:rPr>
                <w:rFonts w:eastAsia="Calibri"/>
              </w:rPr>
              <w:t xml:space="preserve">Energy – Fuel </w:t>
            </w:r>
            <w:r>
              <w:rPr>
                <w:rFonts w:eastAsia="Calibri"/>
              </w:rPr>
              <w:t>c</w:t>
            </w:r>
            <w:r w:rsidRPr="008A2236">
              <w:rPr>
                <w:rFonts w:eastAsia="Calibri"/>
              </w:rPr>
              <w:t>ombustion –reference approach – liquid fuels – CO</w:t>
            </w:r>
            <w:r w:rsidRPr="008A2236">
              <w:rPr>
                <w:rFonts w:eastAsia="Calibri"/>
                <w:vertAlign w:val="subscript"/>
              </w:rPr>
              <w:t>2</w:t>
            </w:r>
          </w:p>
        </w:tc>
        <w:tc>
          <w:tcPr>
            <w:tcW w:w="907" w:type="dxa"/>
            <w:shd w:val="clear" w:color="auto" w:fill="FFFFFF"/>
            <w:vAlign w:val="center"/>
          </w:tcPr>
          <w:p w14:paraId="0398348C" w14:textId="77777777" w:rsidR="00366397" w:rsidRPr="008A2236" w:rsidRDefault="00366397" w:rsidP="00C125E2">
            <w:pPr>
              <w:pStyle w:val="TableText"/>
              <w:spacing w:before="40" w:after="40"/>
            </w:pPr>
            <w:r w:rsidRPr="008A2236">
              <w:rPr>
                <w:rFonts w:eastAsia="Calibri"/>
              </w:rPr>
              <w:t>E.2, 2019</w:t>
            </w:r>
          </w:p>
        </w:tc>
        <w:tc>
          <w:tcPr>
            <w:tcW w:w="2835" w:type="dxa"/>
            <w:shd w:val="clear" w:color="auto" w:fill="FFFFFF"/>
            <w:vAlign w:val="center"/>
          </w:tcPr>
          <w:p w14:paraId="01248228" w14:textId="77777777" w:rsidR="00366397" w:rsidRPr="008A2236" w:rsidRDefault="00366397" w:rsidP="00C125E2">
            <w:pPr>
              <w:pStyle w:val="TableText"/>
              <w:spacing w:before="40" w:after="40"/>
            </w:pPr>
            <w:r w:rsidRPr="008A2236">
              <w:rPr>
                <w:rFonts w:eastAsia="Calibri"/>
              </w:rPr>
              <w:t>Endeavour to separate naphtha and crude oil with a view to improving the transparency of the reference approach as well as the accuracy of the reporting of NEU of fuels and feedstocks.</w:t>
            </w:r>
          </w:p>
        </w:tc>
        <w:tc>
          <w:tcPr>
            <w:tcW w:w="2778" w:type="dxa"/>
            <w:shd w:val="clear" w:color="auto" w:fill="FFFFFF"/>
            <w:vAlign w:val="center"/>
          </w:tcPr>
          <w:p w14:paraId="70A1DAD9"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Naphtha and crude </w:t>
            </w:r>
            <w:r>
              <w:rPr>
                <w:rFonts w:eastAsia="Calibri"/>
              </w:rPr>
              <w:t xml:space="preserve">oil </w:t>
            </w:r>
            <w:r w:rsidRPr="008A2236">
              <w:rPr>
                <w:rFonts w:eastAsia="Calibri"/>
              </w:rPr>
              <w:t>have been disaggregated in the reference approach.</w:t>
            </w:r>
          </w:p>
        </w:tc>
      </w:tr>
      <w:tr w:rsidR="009371C3" w:rsidRPr="008A2236" w14:paraId="5A413743" w14:textId="77777777" w:rsidTr="001959CB">
        <w:tc>
          <w:tcPr>
            <w:tcW w:w="1871" w:type="dxa"/>
            <w:shd w:val="clear" w:color="auto" w:fill="FFFFFF"/>
            <w:vAlign w:val="center"/>
          </w:tcPr>
          <w:p w14:paraId="4AB5A719" w14:textId="77777777" w:rsidR="00366397" w:rsidRPr="008A2236" w:rsidRDefault="00366397" w:rsidP="00C125E2">
            <w:pPr>
              <w:pStyle w:val="TableText"/>
              <w:spacing w:before="40" w:after="40"/>
            </w:pPr>
            <w:r w:rsidRPr="008A2236">
              <w:rPr>
                <w:rFonts w:eastAsia="Calibri"/>
              </w:rPr>
              <w:t xml:space="preserve">Energy – Fuel </w:t>
            </w:r>
            <w:r>
              <w:rPr>
                <w:rFonts w:eastAsia="Calibri"/>
              </w:rPr>
              <w:t>c</w:t>
            </w:r>
            <w:r w:rsidRPr="008A2236">
              <w:rPr>
                <w:rFonts w:eastAsia="Calibri"/>
              </w:rPr>
              <w:t>ombustion –reference approach – liquid fuels – CO</w:t>
            </w:r>
            <w:r w:rsidRPr="008A2236">
              <w:rPr>
                <w:rFonts w:eastAsia="Calibri"/>
                <w:vertAlign w:val="subscript"/>
              </w:rPr>
              <w:t>2</w:t>
            </w:r>
          </w:p>
        </w:tc>
        <w:tc>
          <w:tcPr>
            <w:tcW w:w="907" w:type="dxa"/>
            <w:shd w:val="clear" w:color="auto" w:fill="FFFFFF"/>
            <w:vAlign w:val="center"/>
          </w:tcPr>
          <w:p w14:paraId="35D83529" w14:textId="77777777" w:rsidR="00366397" w:rsidRPr="008A2236" w:rsidRDefault="00366397" w:rsidP="00C125E2">
            <w:pPr>
              <w:pStyle w:val="TableText"/>
              <w:spacing w:before="40" w:after="40"/>
            </w:pPr>
            <w:r w:rsidRPr="008A2236">
              <w:rPr>
                <w:rFonts w:eastAsia="Calibri"/>
              </w:rPr>
              <w:t>E.3, 2019</w:t>
            </w:r>
          </w:p>
        </w:tc>
        <w:tc>
          <w:tcPr>
            <w:tcW w:w="2835" w:type="dxa"/>
            <w:shd w:val="clear" w:color="auto" w:fill="FFFFFF"/>
            <w:vAlign w:val="center"/>
          </w:tcPr>
          <w:p w14:paraId="427C3FE2" w14:textId="77777777" w:rsidR="00366397" w:rsidRPr="008A2236" w:rsidRDefault="00366397" w:rsidP="00C125E2">
            <w:pPr>
              <w:pStyle w:val="TableText"/>
              <w:spacing w:before="40" w:after="40"/>
            </w:pPr>
            <w:r w:rsidRPr="008A2236">
              <w:rPr>
                <w:rFonts w:eastAsia="Calibri"/>
              </w:rPr>
              <w:t>Endeavour to incorporate disaggregated data for lubricants, petroleum coke and bitumen in the submission or, if this is not possible, report on progress in addressing the recommendation.</w:t>
            </w:r>
          </w:p>
        </w:tc>
        <w:tc>
          <w:tcPr>
            <w:tcW w:w="2778" w:type="dxa"/>
            <w:shd w:val="clear" w:color="auto" w:fill="FFFFFF"/>
            <w:vAlign w:val="center"/>
          </w:tcPr>
          <w:p w14:paraId="33ABA0B6"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These products have been disaggregated in the reference approach.</w:t>
            </w:r>
          </w:p>
        </w:tc>
      </w:tr>
      <w:tr w:rsidR="009371C3" w:rsidRPr="008A2236" w14:paraId="35EBC5AD" w14:textId="77777777" w:rsidTr="001959CB">
        <w:tc>
          <w:tcPr>
            <w:tcW w:w="1871" w:type="dxa"/>
            <w:shd w:val="clear" w:color="auto" w:fill="FFFFFF"/>
            <w:vAlign w:val="center"/>
          </w:tcPr>
          <w:p w14:paraId="12F1FAAE" w14:textId="15B30243" w:rsidR="00366397" w:rsidRPr="008A2236" w:rsidRDefault="00366397" w:rsidP="00C125E2">
            <w:pPr>
              <w:pStyle w:val="TableText"/>
              <w:keepNext/>
              <w:spacing w:before="40" w:after="40"/>
            </w:pPr>
            <w:r w:rsidRPr="008A2236">
              <w:rPr>
                <w:rFonts w:eastAsia="Calibri"/>
              </w:rPr>
              <w:lastRenderedPageBreak/>
              <w:t xml:space="preserve">Energy – Fuel </w:t>
            </w:r>
            <w:r>
              <w:rPr>
                <w:rFonts w:eastAsia="Calibri"/>
              </w:rPr>
              <w:t>c</w:t>
            </w:r>
            <w:r w:rsidRPr="008A2236">
              <w:rPr>
                <w:rFonts w:eastAsia="Calibri"/>
              </w:rPr>
              <w:t xml:space="preserve">ombustion – reference approach – all fuels </w:t>
            </w:r>
            <w:r w:rsidR="00DD2583">
              <w:rPr>
                <w:rFonts w:eastAsia="Calibri"/>
              </w:rPr>
              <w:br/>
            </w:r>
            <w:r w:rsidRPr="008A2236">
              <w:rPr>
                <w:rFonts w:eastAsia="Calibri"/>
              </w:rPr>
              <w:t>– CO</w:t>
            </w:r>
            <w:r w:rsidRPr="008A2236">
              <w:rPr>
                <w:rFonts w:eastAsia="Calibri"/>
                <w:vertAlign w:val="subscript"/>
              </w:rPr>
              <w:t>2</w:t>
            </w:r>
          </w:p>
        </w:tc>
        <w:tc>
          <w:tcPr>
            <w:tcW w:w="907" w:type="dxa"/>
            <w:shd w:val="clear" w:color="auto" w:fill="FFFFFF"/>
            <w:vAlign w:val="center"/>
          </w:tcPr>
          <w:p w14:paraId="682AA9EB" w14:textId="77777777" w:rsidR="00366397" w:rsidRPr="008A2236" w:rsidRDefault="00366397" w:rsidP="00C125E2">
            <w:pPr>
              <w:pStyle w:val="TableText"/>
              <w:spacing w:before="40" w:after="40"/>
            </w:pPr>
            <w:r w:rsidRPr="008A2236">
              <w:rPr>
                <w:rFonts w:eastAsia="Calibri"/>
              </w:rPr>
              <w:t>E.5, 2019</w:t>
            </w:r>
          </w:p>
        </w:tc>
        <w:tc>
          <w:tcPr>
            <w:tcW w:w="2835" w:type="dxa"/>
            <w:shd w:val="clear" w:color="auto" w:fill="FFFFFF"/>
            <w:vAlign w:val="center"/>
          </w:tcPr>
          <w:p w14:paraId="47C58BDD" w14:textId="77777777" w:rsidR="00366397" w:rsidRPr="008A2236" w:rsidRDefault="00366397" w:rsidP="00C125E2">
            <w:pPr>
              <w:pStyle w:val="TableText"/>
              <w:spacing w:before="40" w:after="40"/>
            </w:pPr>
            <w:r w:rsidRPr="008A2236">
              <w:rPr>
                <w:rFonts w:eastAsia="Calibri"/>
              </w:rPr>
              <w:t>Provide in the NIR a comparison of the allocation of fuel consumption data used in the inventory (CRF table 1.A(b)) and in the energy balance.</w:t>
            </w:r>
          </w:p>
        </w:tc>
        <w:tc>
          <w:tcPr>
            <w:tcW w:w="2778" w:type="dxa"/>
            <w:shd w:val="clear" w:color="auto" w:fill="FFFFFF"/>
            <w:vAlign w:val="center"/>
          </w:tcPr>
          <w:p w14:paraId="009381EB"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Explanatory text included in chapter 3, section 3.3.6.</w:t>
            </w:r>
          </w:p>
        </w:tc>
      </w:tr>
      <w:tr w:rsidR="009371C3" w:rsidRPr="008A2236" w14:paraId="22EBAFA3" w14:textId="77777777" w:rsidTr="001959CB">
        <w:tc>
          <w:tcPr>
            <w:tcW w:w="1871" w:type="dxa"/>
            <w:shd w:val="clear" w:color="auto" w:fill="FFFFFF"/>
            <w:vAlign w:val="center"/>
          </w:tcPr>
          <w:p w14:paraId="310B4542" w14:textId="77777777" w:rsidR="00366397" w:rsidRPr="008A2236" w:rsidRDefault="00366397" w:rsidP="00C125E2">
            <w:pPr>
              <w:pStyle w:val="TableText"/>
              <w:spacing w:before="40" w:after="40"/>
            </w:pPr>
            <w:r w:rsidRPr="008A2236">
              <w:rPr>
                <w:rFonts w:eastAsia="Calibri"/>
              </w:rPr>
              <w:t>IPPU – General</w:t>
            </w:r>
          </w:p>
        </w:tc>
        <w:tc>
          <w:tcPr>
            <w:tcW w:w="907" w:type="dxa"/>
            <w:shd w:val="clear" w:color="auto" w:fill="FFFFFF"/>
            <w:vAlign w:val="center"/>
          </w:tcPr>
          <w:p w14:paraId="186CB7E4" w14:textId="77777777" w:rsidR="00366397" w:rsidRPr="008A2236" w:rsidRDefault="00366397" w:rsidP="00C125E2">
            <w:pPr>
              <w:pStyle w:val="TableText"/>
              <w:spacing w:before="40" w:after="40"/>
            </w:pPr>
            <w:r w:rsidRPr="008A2236">
              <w:rPr>
                <w:rFonts w:eastAsia="Calibri"/>
              </w:rPr>
              <w:t>I.1, 2019</w:t>
            </w:r>
          </w:p>
        </w:tc>
        <w:tc>
          <w:tcPr>
            <w:tcW w:w="2835" w:type="dxa"/>
            <w:shd w:val="clear" w:color="auto" w:fill="FFFFFF"/>
            <w:vAlign w:val="center"/>
          </w:tcPr>
          <w:p w14:paraId="1DD7612C" w14:textId="77777777" w:rsidR="00366397" w:rsidRPr="008A2236" w:rsidRDefault="00366397" w:rsidP="00C125E2">
            <w:pPr>
              <w:pStyle w:val="TableText"/>
              <w:spacing w:before="40" w:after="40"/>
            </w:pPr>
            <w:r w:rsidRPr="008A2236">
              <w:rPr>
                <w:rFonts w:eastAsia="Calibri"/>
              </w:rPr>
              <w:t>Include in the NIR detailed information and methodological descriptions on how plant-specific data are estimated.</w:t>
            </w:r>
          </w:p>
        </w:tc>
        <w:tc>
          <w:tcPr>
            <w:tcW w:w="2778" w:type="dxa"/>
            <w:shd w:val="clear" w:color="auto" w:fill="FFFFFF"/>
            <w:vAlign w:val="center"/>
          </w:tcPr>
          <w:p w14:paraId="6AB7A96D"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Plant-specific descriptions and references to </w:t>
            </w:r>
            <w:r>
              <w:rPr>
                <w:rFonts w:eastAsia="Calibri"/>
              </w:rPr>
              <w:t>New Zealand Emissions Trading Scheme</w:t>
            </w:r>
            <w:r w:rsidRPr="008A2236">
              <w:rPr>
                <w:rFonts w:eastAsia="Calibri"/>
              </w:rPr>
              <w:t xml:space="preserve"> regulations have been included in the 2018 NIR</w:t>
            </w:r>
            <w:r>
              <w:rPr>
                <w:rFonts w:eastAsia="Calibri"/>
              </w:rPr>
              <w:t>,</w:t>
            </w:r>
            <w:r w:rsidRPr="008A2236">
              <w:rPr>
                <w:rFonts w:eastAsia="Calibri"/>
              </w:rPr>
              <w:t xml:space="preserve"> chapter 4.</w:t>
            </w:r>
          </w:p>
        </w:tc>
      </w:tr>
      <w:tr w:rsidR="009371C3" w:rsidRPr="008A2236" w14:paraId="2F9A5F9A" w14:textId="77777777" w:rsidTr="001959CB">
        <w:tc>
          <w:tcPr>
            <w:tcW w:w="1871" w:type="dxa"/>
            <w:shd w:val="clear" w:color="auto" w:fill="FFFFFF"/>
            <w:vAlign w:val="center"/>
          </w:tcPr>
          <w:p w14:paraId="46BDCF6A" w14:textId="77777777" w:rsidR="00366397" w:rsidRPr="008A2236" w:rsidRDefault="00366397" w:rsidP="00C125E2">
            <w:pPr>
              <w:pStyle w:val="TableText"/>
              <w:spacing w:before="40" w:after="40"/>
            </w:pPr>
            <w:r w:rsidRPr="008A2236">
              <w:rPr>
                <w:rFonts w:eastAsia="Calibri"/>
              </w:rPr>
              <w:t>IPPU – Mineral industry – CO</w:t>
            </w:r>
            <w:r w:rsidRPr="008A2236">
              <w:rPr>
                <w:rFonts w:eastAsia="Calibri"/>
                <w:vertAlign w:val="subscript"/>
              </w:rPr>
              <w:t>2</w:t>
            </w:r>
          </w:p>
        </w:tc>
        <w:tc>
          <w:tcPr>
            <w:tcW w:w="907" w:type="dxa"/>
            <w:shd w:val="clear" w:color="auto" w:fill="FFFFFF"/>
            <w:vAlign w:val="center"/>
          </w:tcPr>
          <w:p w14:paraId="7ACAEF1E" w14:textId="77777777" w:rsidR="00366397" w:rsidRPr="008A2236" w:rsidRDefault="00366397" w:rsidP="00C125E2">
            <w:pPr>
              <w:pStyle w:val="TableText"/>
              <w:spacing w:before="40" w:after="40"/>
            </w:pPr>
            <w:r w:rsidRPr="008A2236">
              <w:rPr>
                <w:rFonts w:eastAsia="Calibri"/>
              </w:rPr>
              <w:t>I.3, 2019</w:t>
            </w:r>
          </w:p>
        </w:tc>
        <w:tc>
          <w:tcPr>
            <w:tcW w:w="2835" w:type="dxa"/>
            <w:shd w:val="clear" w:color="auto" w:fill="FFFFFF"/>
            <w:vAlign w:val="center"/>
          </w:tcPr>
          <w:p w14:paraId="56445B64" w14:textId="77777777" w:rsidR="00366397" w:rsidRPr="008A2236" w:rsidRDefault="00366397" w:rsidP="00C125E2">
            <w:pPr>
              <w:pStyle w:val="TableText"/>
              <w:spacing w:before="40" w:after="40"/>
            </w:pPr>
            <w:r w:rsidRPr="008A2236">
              <w:rPr>
                <w:rFonts w:eastAsia="Calibri"/>
              </w:rPr>
              <w:t>Review the calculation of the uncertainty for category 2.A and correct the values in NIR tables 4.2.1 and A2.1.1, if needed.</w:t>
            </w:r>
          </w:p>
        </w:tc>
        <w:tc>
          <w:tcPr>
            <w:tcW w:w="2778" w:type="dxa"/>
            <w:shd w:val="clear" w:color="auto" w:fill="FFFFFF"/>
            <w:vAlign w:val="center"/>
          </w:tcPr>
          <w:p w14:paraId="1772F129"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This has been reviewed and corrected in chapter 4, table 4.2.1 and annex 2, table A2.1.1.</w:t>
            </w:r>
          </w:p>
        </w:tc>
      </w:tr>
      <w:tr w:rsidR="009371C3" w:rsidRPr="008A2236" w14:paraId="108D7229" w14:textId="77777777" w:rsidTr="001959CB">
        <w:tc>
          <w:tcPr>
            <w:tcW w:w="1871" w:type="dxa"/>
            <w:shd w:val="clear" w:color="auto" w:fill="FFFFFF"/>
            <w:vAlign w:val="center"/>
          </w:tcPr>
          <w:p w14:paraId="50526924" w14:textId="77777777" w:rsidR="00366397" w:rsidRPr="008A2236" w:rsidRDefault="00366397" w:rsidP="00C125E2">
            <w:pPr>
              <w:pStyle w:val="TableText"/>
              <w:spacing w:before="40" w:after="40"/>
            </w:pPr>
            <w:r w:rsidRPr="008A2236">
              <w:rPr>
                <w:rFonts w:eastAsia="Calibri"/>
              </w:rPr>
              <w:t>IPPU – Lime production – CO</w:t>
            </w:r>
            <w:r w:rsidRPr="008A2236">
              <w:rPr>
                <w:rFonts w:eastAsia="Calibri"/>
                <w:vertAlign w:val="subscript"/>
              </w:rPr>
              <w:t>2</w:t>
            </w:r>
          </w:p>
        </w:tc>
        <w:tc>
          <w:tcPr>
            <w:tcW w:w="907" w:type="dxa"/>
            <w:shd w:val="clear" w:color="auto" w:fill="FFFFFF"/>
            <w:vAlign w:val="center"/>
          </w:tcPr>
          <w:p w14:paraId="04986DE3" w14:textId="77777777" w:rsidR="00366397" w:rsidRPr="008A2236" w:rsidRDefault="00366397" w:rsidP="00C125E2">
            <w:pPr>
              <w:pStyle w:val="TableText"/>
              <w:spacing w:before="40" w:after="40"/>
            </w:pPr>
            <w:r w:rsidRPr="008A2236">
              <w:rPr>
                <w:rFonts w:eastAsia="Calibri"/>
              </w:rPr>
              <w:t>I.6, 2019</w:t>
            </w:r>
          </w:p>
        </w:tc>
        <w:tc>
          <w:tcPr>
            <w:tcW w:w="2835" w:type="dxa"/>
            <w:shd w:val="clear" w:color="auto" w:fill="FFFFFF"/>
            <w:vAlign w:val="center"/>
          </w:tcPr>
          <w:p w14:paraId="66BC4ED7" w14:textId="77777777" w:rsidR="00366397" w:rsidRPr="008A2236" w:rsidRDefault="00366397" w:rsidP="00C125E2">
            <w:pPr>
              <w:pStyle w:val="TableText"/>
              <w:spacing w:before="40" w:after="40"/>
            </w:pPr>
            <w:r w:rsidRPr="008A2236">
              <w:rPr>
                <w:rFonts w:eastAsia="Calibri"/>
              </w:rPr>
              <w:t>Update the description in the NIR to correctly reflect the AD and EFs used and to clarify the assumptions and methods applied for 1990–2013 and 2014 onward.</w:t>
            </w:r>
          </w:p>
        </w:tc>
        <w:tc>
          <w:tcPr>
            <w:tcW w:w="2778" w:type="dxa"/>
            <w:shd w:val="clear" w:color="auto" w:fill="FFFFFF"/>
            <w:vAlign w:val="center"/>
          </w:tcPr>
          <w:p w14:paraId="612982D8"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Consistent activity data are now used for the entire time series.</w:t>
            </w:r>
          </w:p>
        </w:tc>
      </w:tr>
      <w:tr w:rsidR="009371C3" w:rsidRPr="008A2236" w14:paraId="40264654" w14:textId="77777777" w:rsidTr="001959CB">
        <w:tc>
          <w:tcPr>
            <w:tcW w:w="1871" w:type="dxa"/>
            <w:shd w:val="clear" w:color="auto" w:fill="FFFFFF"/>
            <w:vAlign w:val="center"/>
          </w:tcPr>
          <w:p w14:paraId="1D6152A2" w14:textId="77777777" w:rsidR="00366397" w:rsidRPr="008A2236" w:rsidRDefault="00366397" w:rsidP="00C125E2">
            <w:pPr>
              <w:pStyle w:val="TableText"/>
              <w:spacing w:before="40" w:after="40"/>
            </w:pPr>
            <w:r w:rsidRPr="008A2236">
              <w:rPr>
                <w:rFonts w:eastAsia="Calibri"/>
              </w:rPr>
              <w:t>IPPU – Ammonia production – CO</w:t>
            </w:r>
            <w:r w:rsidRPr="008A2236">
              <w:rPr>
                <w:rFonts w:eastAsia="Calibri"/>
                <w:vertAlign w:val="subscript"/>
              </w:rPr>
              <w:t>2</w:t>
            </w:r>
          </w:p>
        </w:tc>
        <w:tc>
          <w:tcPr>
            <w:tcW w:w="907" w:type="dxa"/>
            <w:shd w:val="clear" w:color="auto" w:fill="FFFFFF"/>
            <w:vAlign w:val="center"/>
          </w:tcPr>
          <w:p w14:paraId="39ABCC1F" w14:textId="77777777" w:rsidR="00366397" w:rsidRPr="008A2236" w:rsidRDefault="00366397" w:rsidP="00C125E2">
            <w:pPr>
              <w:pStyle w:val="TableText"/>
              <w:spacing w:before="40" w:after="40"/>
            </w:pPr>
            <w:r w:rsidRPr="008A2236">
              <w:rPr>
                <w:rFonts w:eastAsia="Calibri"/>
              </w:rPr>
              <w:t>I.9, 2019</w:t>
            </w:r>
          </w:p>
        </w:tc>
        <w:tc>
          <w:tcPr>
            <w:tcW w:w="2835" w:type="dxa"/>
            <w:shd w:val="clear" w:color="auto" w:fill="FFFFFF"/>
            <w:vAlign w:val="center"/>
          </w:tcPr>
          <w:p w14:paraId="0EC28EBE" w14:textId="0A7B1621" w:rsidR="00366397" w:rsidRPr="008A2236" w:rsidRDefault="00366397" w:rsidP="00C125E2">
            <w:pPr>
              <w:pStyle w:val="TableText"/>
              <w:spacing w:before="40" w:after="40"/>
            </w:pPr>
            <w:r w:rsidRPr="008A2236">
              <w:rPr>
                <w:rFonts w:eastAsia="Calibri"/>
              </w:rPr>
              <w:t>(a) Clarify in the NIR (section 4.3.2) that urea used as fertilizer is reported under category 3.H; (b) Either (1) provide an estimate for urea use in selective catalytic reduction (under category 2.D.3) in line with the 2006 IPCC Guidelines or (2) provide a justification for its exclusion in terms of the likely level of emissions, in accordance with the requirements in paragraph 37(b) of the UNFCCC Annex I inventory reporting guidelines.</w:t>
            </w:r>
          </w:p>
        </w:tc>
        <w:tc>
          <w:tcPr>
            <w:tcW w:w="2778" w:type="dxa"/>
            <w:shd w:val="clear" w:color="auto" w:fill="FFFFFF"/>
            <w:vAlign w:val="center"/>
          </w:tcPr>
          <w:p w14:paraId="58EABB74"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w:t>
            </w:r>
            <w:r>
              <w:rPr>
                <w:rFonts w:eastAsia="Calibri"/>
              </w:rPr>
              <w:t>In line with IPCC (2006a) t</w:t>
            </w:r>
            <w:r w:rsidRPr="008A2236">
              <w:rPr>
                <w:rFonts w:eastAsia="Calibri"/>
              </w:rPr>
              <w:t>he use of urea as a catalyst is now reported (CRF 2.D.3).</w:t>
            </w:r>
          </w:p>
        </w:tc>
      </w:tr>
      <w:tr w:rsidR="009371C3" w:rsidRPr="008A2236" w14:paraId="73A97839" w14:textId="77777777" w:rsidTr="001959CB">
        <w:tc>
          <w:tcPr>
            <w:tcW w:w="1871" w:type="dxa"/>
            <w:shd w:val="clear" w:color="auto" w:fill="FFFFFF"/>
            <w:vAlign w:val="center"/>
          </w:tcPr>
          <w:p w14:paraId="1764E1A7" w14:textId="77777777" w:rsidR="00366397" w:rsidRPr="008A2236" w:rsidRDefault="00366397" w:rsidP="00C125E2">
            <w:pPr>
              <w:pStyle w:val="TableText"/>
              <w:spacing w:before="40" w:after="40"/>
            </w:pPr>
            <w:r w:rsidRPr="008A2236">
              <w:rPr>
                <w:rFonts w:eastAsia="Calibri"/>
              </w:rPr>
              <w:t>IPPU – Iron and steel production – CO</w:t>
            </w:r>
            <w:r w:rsidRPr="008A2236">
              <w:rPr>
                <w:rFonts w:eastAsia="Calibri"/>
                <w:vertAlign w:val="subscript"/>
              </w:rPr>
              <w:t>2</w:t>
            </w:r>
          </w:p>
        </w:tc>
        <w:tc>
          <w:tcPr>
            <w:tcW w:w="907" w:type="dxa"/>
            <w:shd w:val="clear" w:color="auto" w:fill="FFFFFF"/>
            <w:vAlign w:val="center"/>
          </w:tcPr>
          <w:p w14:paraId="1431950B" w14:textId="77777777" w:rsidR="00366397" w:rsidRPr="008A2236" w:rsidRDefault="00366397" w:rsidP="00C125E2">
            <w:pPr>
              <w:pStyle w:val="TableText"/>
              <w:spacing w:before="40" w:after="40"/>
            </w:pPr>
            <w:r w:rsidRPr="008A2236">
              <w:rPr>
                <w:rFonts w:eastAsia="Calibri"/>
              </w:rPr>
              <w:t>I.11, 2019</w:t>
            </w:r>
          </w:p>
        </w:tc>
        <w:tc>
          <w:tcPr>
            <w:tcW w:w="2835" w:type="dxa"/>
            <w:shd w:val="clear" w:color="auto" w:fill="FFFFFF"/>
            <w:vAlign w:val="center"/>
          </w:tcPr>
          <w:p w14:paraId="4D2F8483" w14:textId="77777777" w:rsidR="00366397" w:rsidRPr="008A2236" w:rsidRDefault="00366397" w:rsidP="00C125E2">
            <w:pPr>
              <w:pStyle w:val="TableText"/>
              <w:spacing w:before="40" w:after="40"/>
            </w:pPr>
            <w:r w:rsidRPr="008A2236">
              <w:rPr>
                <w:rFonts w:eastAsia="Calibri"/>
              </w:rPr>
              <w:t>Estimate CO</w:t>
            </w:r>
            <w:r w:rsidRPr="00CC13FC">
              <w:rPr>
                <w:rFonts w:eastAsia="Calibri"/>
              </w:rPr>
              <w:t>2</w:t>
            </w:r>
            <w:r w:rsidRPr="008A2236">
              <w:rPr>
                <w:rFonts w:eastAsia="Calibri"/>
              </w:rPr>
              <w:t xml:space="preserve"> emissions from electric steel production at the Pacific Steel plant, either by using a carbon balance or by applying an appropriate EF, and report these emissions under category 2.C.1.</w:t>
            </w:r>
          </w:p>
        </w:tc>
        <w:tc>
          <w:tcPr>
            <w:tcW w:w="2778" w:type="dxa"/>
            <w:shd w:val="clear" w:color="auto" w:fill="FFFFFF"/>
            <w:vAlign w:val="center"/>
          </w:tcPr>
          <w:p w14:paraId="32FB744D"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The electric arc steel plant was closed in 2015. The currently assessed carbon balance is as accurate as feasible. Relevant historical data needed to improve it are unavailable.</w:t>
            </w:r>
          </w:p>
        </w:tc>
      </w:tr>
      <w:tr w:rsidR="009371C3" w:rsidRPr="008A2236" w14:paraId="43EDB46F" w14:textId="77777777" w:rsidTr="001959CB">
        <w:tc>
          <w:tcPr>
            <w:tcW w:w="1871" w:type="dxa"/>
            <w:shd w:val="clear" w:color="auto" w:fill="FFFFFF"/>
            <w:vAlign w:val="center"/>
          </w:tcPr>
          <w:p w14:paraId="47762322" w14:textId="174FCC9F" w:rsidR="00366397" w:rsidRPr="008A2236" w:rsidRDefault="00366397" w:rsidP="00C125E2">
            <w:pPr>
              <w:pStyle w:val="TableText"/>
              <w:spacing w:before="40" w:after="40"/>
            </w:pPr>
            <w:r w:rsidRPr="008A2236">
              <w:rPr>
                <w:rFonts w:eastAsia="Calibri"/>
              </w:rPr>
              <w:t xml:space="preserve">IPPU – Magnesium production </w:t>
            </w:r>
            <w:r w:rsidR="0022387A">
              <w:rPr>
                <w:rFonts w:eastAsia="Calibri"/>
              </w:rPr>
              <w:br/>
            </w:r>
            <w:r w:rsidRPr="008A2236">
              <w:rPr>
                <w:rFonts w:eastAsia="Calibri"/>
              </w:rPr>
              <w:t>– SF</w:t>
            </w:r>
            <w:r w:rsidRPr="008A2236">
              <w:rPr>
                <w:rFonts w:eastAsia="Calibri"/>
                <w:vertAlign w:val="subscript"/>
              </w:rPr>
              <w:t>6</w:t>
            </w:r>
          </w:p>
        </w:tc>
        <w:tc>
          <w:tcPr>
            <w:tcW w:w="907" w:type="dxa"/>
            <w:shd w:val="clear" w:color="auto" w:fill="FFFFFF"/>
            <w:vAlign w:val="center"/>
          </w:tcPr>
          <w:p w14:paraId="1A2EB615" w14:textId="77777777" w:rsidR="00366397" w:rsidRPr="008A2236" w:rsidRDefault="00366397" w:rsidP="00C125E2">
            <w:pPr>
              <w:pStyle w:val="TableText"/>
              <w:spacing w:before="40" w:after="40"/>
            </w:pPr>
            <w:r w:rsidRPr="008A2236">
              <w:rPr>
                <w:rFonts w:eastAsia="Calibri"/>
              </w:rPr>
              <w:t>I.14, 2019</w:t>
            </w:r>
          </w:p>
        </w:tc>
        <w:tc>
          <w:tcPr>
            <w:tcW w:w="2835" w:type="dxa"/>
            <w:shd w:val="clear" w:color="auto" w:fill="FFFFFF"/>
            <w:vAlign w:val="center"/>
          </w:tcPr>
          <w:p w14:paraId="0D0BF83B" w14:textId="77777777" w:rsidR="00366397" w:rsidRPr="008A2236" w:rsidRDefault="00366397" w:rsidP="00C125E2">
            <w:pPr>
              <w:pStyle w:val="TableText"/>
              <w:spacing w:before="40" w:after="40"/>
            </w:pPr>
            <w:r w:rsidRPr="008A2236">
              <w:rPr>
                <w:rFonts w:eastAsia="Calibri"/>
              </w:rPr>
              <w:t>State in the NIR that for SF</w:t>
            </w:r>
            <w:r w:rsidRPr="008A2236">
              <w:rPr>
                <w:rFonts w:eastAsia="Calibri"/>
                <w:vertAlign w:val="subscript"/>
              </w:rPr>
              <w:t>6</w:t>
            </w:r>
            <w:r w:rsidRPr="008A2236">
              <w:rPr>
                <w:rFonts w:eastAsia="Calibri"/>
              </w:rPr>
              <w:t xml:space="preserve"> emissions from magnesium casting, a country- specific uncertainty is used rather than the IPCC default uncertainty, and explain the reason for its use.</w:t>
            </w:r>
          </w:p>
        </w:tc>
        <w:tc>
          <w:tcPr>
            <w:tcW w:w="2778" w:type="dxa"/>
            <w:shd w:val="clear" w:color="auto" w:fill="FFFFFF"/>
            <w:vAlign w:val="center"/>
          </w:tcPr>
          <w:p w14:paraId="1F3EB68B"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This table has been corrected.</w:t>
            </w:r>
          </w:p>
        </w:tc>
      </w:tr>
      <w:tr w:rsidR="009371C3" w:rsidRPr="008A2236" w14:paraId="639AC956" w14:textId="77777777" w:rsidTr="001959CB">
        <w:tc>
          <w:tcPr>
            <w:tcW w:w="1871" w:type="dxa"/>
            <w:shd w:val="clear" w:color="auto" w:fill="FFFFFF"/>
            <w:vAlign w:val="center"/>
          </w:tcPr>
          <w:p w14:paraId="112FDA2C" w14:textId="4DFBB497" w:rsidR="00366397" w:rsidRPr="008A2236" w:rsidRDefault="00366397" w:rsidP="00C125E2">
            <w:pPr>
              <w:pStyle w:val="TableText"/>
              <w:spacing w:before="40" w:after="40"/>
            </w:pPr>
            <w:r w:rsidRPr="008A2236">
              <w:rPr>
                <w:rFonts w:eastAsia="Calibri"/>
              </w:rPr>
              <w:t xml:space="preserve">IPPU – Electronics industry </w:t>
            </w:r>
            <w:r w:rsidR="0022387A">
              <w:rPr>
                <w:rFonts w:eastAsia="Calibri"/>
              </w:rPr>
              <w:br/>
            </w:r>
            <w:r w:rsidRPr="008A2236">
              <w:rPr>
                <w:rFonts w:eastAsia="Calibri"/>
              </w:rPr>
              <w:t xml:space="preserve">– Product uses as substitutes for ozone-depleting substances </w:t>
            </w:r>
            <w:r w:rsidR="0022387A">
              <w:rPr>
                <w:rFonts w:eastAsia="Calibri"/>
              </w:rPr>
              <w:br/>
            </w:r>
            <w:r w:rsidRPr="008A2236">
              <w:rPr>
                <w:rFonts w:eastAsia="Calibri"/>
              </w:rPr>
              <w:t>– Other product manufacture and use – HFCs, PFCs and SF</w:t>
            </w:r>
            <w:r w:rsidRPr="008A2236">
              <w:rPr>
                <w:rFonts w:eastAsia="Calibri"/>
                <w:vertAlign w:val="subscript"/>
              </w:rPr>
              <w:t>6</w:t>
            </w:r>
          </w:p>
        </w:tc>
        <w:tc>
          <w:tcPr>
            <w:tcW w:w="907" w:type="dxa"/>
            <w:shd w:val="clear" w:color="auto" w:fill="FFFFFF"/>
            <w:vAlign w:val="center"/>
          </w:tcPr>
          <w:p w14:paraId="73D18746" w14:textId="77777777" w:rsidR="00366397" w:rsidRPr="008A2236" w:rsidRDefault="00366397" w:rsidP="00C125E2">
            <w:pPr>
              <w:pStyle w:val="TableText"/>
              <w:spacing w:before="40" w:after="40"/>
            </w:pPr>
            <w:r w:rsidRPr="008A2236">
              <w:rPr>
                <w:rFonts w:eastAsia="Calibri"/>
              </w:rPr>
              <w:t>I.17, 2019</w:t>
            </w:r>
          </w:p>
        </w:tc>
        <w:tc>
          <w:tcPr>
            <w:tcW w:w="2835" w:type="dxa"/>
            <w:shd w:val="clear" w:color="auto" w:fill="FFFFFF"/>
            <w:vAlign w:val="center"/>
          </w:tcPr>
          <w:p w14:paraId="483F7899" w14:textId="77777777" w:rsidR="00366397" w:rsidRPr="008A2236" w:rsidRDefault="00366397" w:rsidP="00C125E2">
            <w:pPr>
              <w:pStyle w:val="TableText"/>
              <w:spacing w:before="40" w:after="40"/>
            </w:pPr>
            <w:r w:rsidRPr="008A2236">
              <w:rPr>
                <w:rFonts w:eastAsia="Calibri"/>
              </w:rPr>
              <w:t>Include in the NIR all the information indicated in the section “Reporting and documentation” of the 2006 IPCC Guidelines for these categories.</w:t>
            </w:r>
          </w:p>
        </w:tc>
        <w:tc>
          <w:tcPr>
            <w:tcW w:w="2778" w:type="dxa"/>
            <w:shd w:val="clear" w:color="auto" w:fill="FFFFFF"/>
            <w:vAlign w:val="center"/>
          </w:tcPr>
          <w:p w14:paraId="46025C46" w14:textId="77777777" w:rsidR="00366397" w:rsidRPr="008A2236" w:rsidRDefault="00366397" w:rsidP="00C125E2">
            <w:pPr>
              <w:pStyle w:val="TableText"/>
              <w:spacing w:before="40" w:after="40"/>
            </w:pPr>
            <w:r w:rsidRPr="008A2236">
              <w:rPr>
                <w:rFonts w:eastAsia="Calibri"/>
                <w:b/>
              </w:rPr>
              <w:t>Addressing.</w:t>
            </w:r>
            <w:r w:rsidRPr="008A2236">
              <w:rPr>
                <w:rFonts w:eastAsia="Calibri"/>
              </w:rPr>
              <w:t xml:space="preserve"> This is not relevant to 2.E (</w:t>
            </w:r>
            <w:r w:rsidRPr="0066755B">
              <w:rPr>
                <w:rFonts w:eastAsia="Calibri"/>
                <w:i/>
                <w:iCs/>
              </w:rPr>
              <w:t>Electronics industry</w:t>
            </w:r>
            <w:r w:rsidRPr="008A2236">
              <w:rPr>
                <w:rFonts w:eastAsia="Calibri"/>
              </w:rPr>
              <w:t>). For 2.D and 2.G, all recommended information is reported in the NIR. For 2.F, the description of these information sources in the NIR has been improved by adding information about sources, and survey details can be made available to reviewers as required. The description in the NIR will be further reviewed and improved for future submissions.</w:t>
            </w:r>
          </w:p>
        </w:tc>
      </w:tr>
      <w:tr w:rsidR="009371C3" w:rsidRPr="008A2236" w14:paraId="614A934E" w14:textId="77777777" w:rsidTr="001959CB">
        <w:tc>
          <w:tcPr>
            <w:tcW w:w="1871" w:type="dxa"/>
            <w:shd w:val="clear" w:color="auto" w:fill="FFFFFF"/>
            <w:vAlign w:val="center"/>
          </w:tcPr>
          <w:p w14:paraId="442AD543" w14:textId="58964131" w:rsidR="00366397" w:rsidRPr="008A2236" w:rsidRDefault="00366397" w:rsidP="00C125E2">
            <w:pPr>
              <w:pStyle w:val="TableText"/>
              <w:spacing w:before="40" w:after="40"/>
            </w:pPr>
            <w:r w:rsidRPr="008A2236">
              <w:rPr>
                <w:rFonts w:eastAsia="Calibri"/>
              </w:rPr>
              <w:t xml:space="preserve">IPPU – Product uses as substitutes for ozone-depleting substances </w:t>
            </w:r>
            <w:r w:rsidR="0022387A">
              <w:rPr>
                <w:rFonts w:eastAsia="Calibri"/>
              </w:rPr>
              <w:br/>
            </w:r>
            <w:r w:rsidRPr="008A2236">
              <w:rPr>
                <w:rFonts w:eastAsia="Calibri"/>
              </w:rPr>
              <w:t>– HFCs</w:t>
            </w:r>
          </w:p>
        </w:tc>
        <w:tc>
          <w:tcPr>
            <w:tcW w:w="907" w:type="dxa"/>
            <w:shd w:val="clear" w:color="auto" w:fill="FFFFFF"/>
            <w:vAlign w:val="center"/>
          </w:tcPr>
          <w:p w14:paraId="3A445032" w14:textId="77777777" w:rsidR="00366397" w:rsidRPr="008A2236" w:rsidRDefault="00366397" w:rsidP="00C125E2">
            <w:pPr>
              <w:pStyle w:val="TableText"/>
              <w:spacing w:before="40" w:after="40"/>
            </w:pPr>
            <w:r w:rsidRPr="008A2236">
              <w:rPr>
                <w:rFonts w:eastAsia="Calibri"/>
              </w:rPr>
              <w:t>I.18, 2019</w:t>
            </w:r>
          </w:p>
        </w:tc>
        <w:tc>
          <w:tcPr>
            <w:tcW w:w="2835" w:type="dxa"/>
            <w:shd w:val="clear" w:color="auto" w:fill="FFFFFF"/>
            <w:vAlign w:val="center"/>
          </w:tcPr>
          <w:p w14:paraId="69C5545F" w14:textId="77777777" w:rsidR="00366397" w:rsidRPr="008A2236" w:rsidRDefault="00366397" w:rsidP="00C125E2">
            <w:pPr>
              <w:pStyle w:val="TableText"/>
              <w:spacing w:before="40" w:after="40"/>
            </w:pPr>
            <w:r w:rsidRPr="008A2236">
              <w:rPr>
                <w:rFonts w:eastAsia="Calibri"/>
              </w:rPr>
              <w:t>Explain, in section 4.7.3 of the NIR, which approach (other than a combination of uncertainties) was used to derive the uncertainty of 35 per cent, presented in NIR table A.2.1.1.</w:t>
            </w:r>
          </w:p>
        </w:tc>
        <w:tc>
          <w:tcPr>
            <w:tcW w:w="2778" w:type="dxa"/>
            <w:shd w:val="clear" w:color="auto" w:fill="FFFFFF"/>
            <w:vAlign w:val="center"/>
          </w:tcPr>
          <w:p w14:paraId="5242A1EB" w14:textId="4A41C7AE" w:rsidR="00366397" w:rsidRPr="008A2236" w:rsidRDefault="00366397" w:rsidP="00C125E2">
            <w:pPr>
              <w:pStyle w:val="TableText"/>
              <w:spacing w:before="40" w:after="40"/>
            </w:pPr>
            <w:r w:rsidRPr="008A2236">
              <w:rPr>
                <w:rFonts w:eastAsia="Calibri"/>
                <w:b/>
              </w:rPr>
              <w:t>Resolved.</w:t>
            </w:r>
            <w:r w:rsidRPr="008A2236">
              <w:rPr>
                <w:rFonts w:eastAsia="Calibri"/>
              </w:rPr>
              <w:t xml:space="preserve"> This explanation was</w:t>
            </w:r>
            <w:r w:rsidR="0022387A">
              <w:rPr>
                <w:rFonts w:eastAsia="Calibri"/>
              </w:rPr>
              <w:t> </w:t>
            </w:r>
            <w:r w:rsidRPr="008A2236">
              <w:rPr>
                <w:rFonts w:eastAsia="Calibri"/>
              </w:rPr>
              <w:t xml:space="preserve">provided to the ERT, and briefly explained in </w:t>
            </w:r>
            <w:r>
              <w:rPr>
                <w:rFonts w:eastAsia="Calibri"/>
              </w:rPr>
              <w:t xml:space="preserve">chapter 4, </w:t>
            </w:r>
            <w:r w:rsidRPr="008A2236">
              <w:rPr>
                <w:rFonts w:eastAsia="Calibri"/>
              </w:rPr>
              <w:t>section 4.7.3. Details are available to the ERT on request.</w:t>
            </w:r>
          </w:p>
        </w:tc>
      </w:tr>
      <w:tr w:rsidR="009371C3" w:rsidRPr="008A2236" w14:paraId="49AF0AA2" w14:textId="77777777" w:rsidTr="001959CB">
        <w:tc>
          <w:tcPr>
            <w:tcW w:w="1871" w:type="dxa"/>
            <w:shd w:val="clear" w:color="auto" w:fill="FFFFFF"/>
            <w:vAlign w:val="center"/>
          </w:tcPr>
          <w:p w14:paraId="0501F680" w14:textId="77777777" w:rsidR="00366397" w:rsidRPr="008A2236" w:rsidRDefault="00366397" w:rsidP="00C125E2">
            <w:pPr>
              <w:pStyle w:val="TableText"/>
              <w:spacing w:before="40" w:after="40"/>
            </w:pPr>
            <w:r w:rsidRPr="008A2236">
              <w:rPr>
                <w:rFonts w:eastAsia="Calibri"/>
              </w:rPr>
              <w:t>IPPU – Refrigeration and air conditioning – HFCs</w:t>
            </w:r>
          </w:p>
        </w:tc>
        <w:tc>
          <w:tcPr>
            <w:tcW w:w="907" w:type="dxa"/>
            <w:shd w:val="clear" w:color="auto" w:fill="FFFFFF"/>
            <w:vAlign w:val="center"/>
          </w:tcPr>
          <w:p w14:paraId="375A33D7" w14:textId="77777777" w:rsidR="00366397" w:rsidRPr="008A2236" w:rsidRDefault="00366397" w:rsidP="00C125E2">
            <w:pPr>
              <w:pStyle w:val="TableText"/>
              <w:spacing w:before="40" w:after="40"/>
            </w:pPr>
            <w:r w:rsidRPr="008A2236">
              <w:rPr>
                <w:rFonts w:eastAsia="Calibri"/>
              </w:rPr>
              <w:t>I.19, 2019</w:t>
            </w:r>
          </w:p>
        </w:tc>
        <w:tc>
          <w:tcPr>
            <w:tcW w:w="2835" w:type="dxa"/>
            <w:shd w:val="clear" w:color="auto" w:fill="FFFFFF"/>
            <w:vAlign w:val="center"/>
          </w:tcPr>
          <w:p w14:paraId="1A838072" w14:textId="1FEA2C63" w:rsidR="00366397" w:rsidRPr="008A2236" w:rsidRDefault="00366397" w:rsidP="00C125E2">
            <w:pPr>
              <w:pStyle w:val="TableText"/>
              <w:spacing w:before="40" w:after="40"/>
            </w:pPr>
            <w:r w:rsidRPr="008A2236">
              <w:rPr>
                <w:rFonts w:eastAsia="Calibri"/>
              </w:rPr>
              <w:t>Describe in the NIR the methodology used to derive the 2 per cent decline in</w:t>
            </w:r>
            <w:r w:rsidR="00C125E2">
              <w:rPr>
                <w:rFonts w:eastAsia="Calibri"/>
              </w:rPr>
              <w:t> </w:t>
            </w:r>
            <w:r w:rsidRPr="008A2236">
              <w:rPr>
                <w:rFonts w:eastAsia="Calibri"/>
              </w:rPr>
              <w:t>refrigerant charge in vehicle air-conditioning systems, and demonstrate that this methodology is in line with the splicing techniques in the 2006 IPCC Guidelines.</w:t>
            </w:r>
          </w:p>
        </w:tc>
        <w:tc>
          <w:tcPr>
            <w:tcW w:w="2778" w:type="dxa"/>
            <w:shd w:val="clear" w:color="auto" w:fill="FFFFFF"/>
            <w:vAlign w:val="center"/>
          </w:tcPr>
          <w:p w14:paraId="41E357E0"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This description is included in chapter 4, section 4.7.2.</w:t>
            </w:r>
          </w:p>
        </w:tc>
      </w:tr>
      <w:tr w:rsidR="009371C3" w:rsidRPr="008A2236" w14:paraId="7CE8858D" w14:textId="77777777" w:rsidTr="001959CB">
        <w:tc>
          <w:tcPr>
            <w:tcW w:w="1871" w:type="dxa"/>
            <w:shd w:val="clear" w:color="auto" w:fill="FFFFFF"/>
            <w:vAlign w:val="center"/>
          </w:tcPr>
          <w:p w14:paraId="5B37D605" w14:textId="77777777" w:rsidR="00366397" w:rsidRPr="008A2236" w:rsidRDefault="00366397" w:rsidP="00C125E2">
            <w:pPr>
              <w:pStyle w:val="TableText"/>
              <w:spacing w:before="40" w:after="40"/>
            </w:pPr>
            <w:r w:rsidRPr="008A2236">
              <w:rPr>
                <w:rFonts w:eastAsia="Calibri"/>
              </w:rPr>
              <w:t>IPPU – Refrigeration and air conditioning – HFCs</w:t>
            </w:r>
          </w:p>
        </w:tc>
        <w:tc>
          <w:tcPr>
            <w:tcW w:w="907" w:type="dxa"/>
            <w:shd w:val="clear" w:color="auto" w:fill="FFFFFF"/>
            <w:vAlign w:val="center"/>
          </w:tcPr>
          <w:p w14:paraId="081A709C" w14:textId="77777777" w:rsidR="00366397" w:rsidRPr="008A2236" w:rsidRDefault="00366397" w:rsidP="00C125E2">
            <w:pPr>
              <w:pStyle w:val="TableText"/>
              <w:spacing w:before="40" w:after="40"/>
            </w:pPr>
            <w:r w:rsidRPr="008A2236">
              <w:rPr>
                <w:rFonts w:eastAsia="Calibri"/>
              </w:rPr>
              <w:t>I.21, 2019</w:t>
            </w:r>
          </w:p>
        </w:tc>
        <w:tc>
          <w:tcPr>
            <w:tcW w:w="2835" w:type="dxa"/>
            <w:shd w:val="clear" w:color="auto" w:fill="FFFFFF"/>
            <w:vAlign w:val="center"/>
          </w:tcPr>
          <w:p w14:paraId="795ECEA2" w14:textId="4C4BEF7A" w:rsidR="00366397" w:rsidRPr="008A2236" w:rsidRDefault="00366397" w:rsidP="00C125E2">
            <w:pPr>
              <w:pStyle w:val="TableText"/>
              <w:spacing w:before="40" w:after="40"/>
            </w:pPr>
            <w:r w:rsidRPr="008A2236">
              <w:rPr>
                <w:rFonts w:eastAsia="Calibri"/>
              </w:rPr>
              <w:t xml:space="preserve">Update the average charge of HFC-134a for the years from 2010 onward by taking into consideration the cars added to the </w:t>
            </w:r>
            <w:r w:rsidRPr="008A2236">
              <w:rPr>
                <w:rFonts w:eastAsia="Calibri"/>
              </w:rPr>
              <w:lastRenderedPageBreak/>
              <w:t>fleet in recent years on the basis of data available from importers and/or from fleet statistics.</w:t>
            </w:r>
          </w:p>
        </w:tc>
        <w:tc>
          <w:tcPr>
            <w:tcW w:w="2778" w:type="dxa"/>
            <w:shd w:val="clear" w:color="auto" w:fill="FFFFFF"/>
            <w:vAlign w:val="center"/>
          </w:tcPr>
          <w:p w14:paraId="452A255F" w14:textId="77777777" w:rsidR="00366397" w:rsidRPr="008A2236" w:rsidRDefault="00366397" w:rsidP="00C125E2">
            <w:pPr>
              <w:pStyle w:val="TableText"/>
              <w:spacing w:before="40" w:after="40"/>
            </w:pPr>
            <w:r w:rsidRPr="008A2236">
              <w:rPr>
                <w:rFonts w:eastAsia="Calibri"/>
                <w:b/>
              </w:rPr>
              <w:lastRenderedPageBreak/>
              <w:t>Resolved.</w:t>
            </w:r>
            <w:r w:rsidRPr="008A2236">
              <w:rPr>
                <w:rFonts w:eastAsia="Calibri"/>
              </w:rPr>
              <w:t xml:space="preserve"> This has been reassessed and a brief explanation provided in chapter</w:t>
            </w:r>
            <w:r>
              <w:rPr>
                <w:rFonts w:eastAsia="Calibri"/>
              </w:rPr>
              <w:t> </w:t>
            </w:r>
            <w:r w:rsidRPr="008A2236">
              <w:rPr>
                <w:rFonts w:eastAsia="Calibri"/>
              </w:rPr>
              <w:t>4, section 4.7.2.</w:t>
            </w:r>
          </w:p>
        </w:tc>
      </w:tr>
      <w:tr w:rsidR="009371C3" w:rsidRPr="008A2236" w14:paraId="487EFFBD" w14:textId="77777777" w:rsidTr="001959CB">
        <w:tc>
          <w:tcPr>
            <w:tcW w:w="1871" w:type="dxa"/>
            <w:shd w:val="clear" w:color="auto" w:fill="FFFFFF"/>
            <w:vAlign w:val="center"/>
          </w:tcPr>
          <w:p w14:paraId="7F585C78" w14:textId="77777777" w:rsidR="00366397" w:rsidRPr="008A2236" w:rsidRDefault="00366397" w:rsidP="00C125E2">
            <w:pPr>
              <w:pStyle w:val="TableText"/>
              <w:spacing w:before="40" w:after="40"/>
            </w:pPr>
            <w:r w:rsidRPr="008A2236">
              <w:rPr>
                <w:rFonts w:eastAsia="Calibri"/>
              </w:rPr>
              <w:t>IPPU – SF</w:t>
            </w:r>
            <w:r w:rsidRPr="008A2236">
              <w:rPr>
                <w:rFonts w:eastAsia="Calibri"/>
                <w:vertAlign w:val="subscript"/>
              </w:rPr>
              <w:t>6</w:t>
            </w:r>
            <w:r w:rsidRPr="008A2236">
              <w:rPr>
                <w:rFonts w:eastAsia="Calibri"/>
              </w:rPr>
              <w:t xml:space="preserve"> and PFCs from other product use – SF</w:t>
            </w:r>
            <w:r w:rsidRPr="008A2236">
              <w:rPr>
                <w:rFonts w:eastAsia="Calibri"/>
                <w:vertAlign w:val="subscript"/>
              </w:rPr>
              <w:t>6</w:t>
            </w:r>
          </w:p>
        </w:tc>
        <w:tc>
          <w:tcPr>
            <w:tcW w:w="907" w:type="dxa"/>
            <w:shd w:val="clear" w:color="auto" w:fill="FFFFFF"/>
            <w:vAlign w:val="center"/>
          </w:tcPr>
          <w:p w14:paraId="7BE0574F" w14:textId="77777777" w:rsidR="00366397" w:rsidRPr="008A2236" w:rsidRDefault="00366397" w:rsidP="00C125E2">
            <w:pPr>
              <w:pStyle w:val="TableText"/>
              <w:spacing w:before="40" w:after="40"/>
            </w:pPr>
            <w:r w:rsidRPr="008A2236">
              <w:rPr>
                <w:rFonts w:eastAsia="Calibri"/>
              </w:rPr>
              <w:t>I.22, 2019</w:t>
            </w:r>
          </w:p>
        </w:tc>
        <w:tc>
          <w:tcPr>
            <w:tcW w:w="2835" w:type="dxa"/>
            <w:shd w:val="clear" w:color="auto" w:fill="FFFFFF"/>
            <w:vAlign w:val="center"/>
          </w:tcPr>
          <w:p w14:paraId="68826B4E" w14:textId="5F3A7823" w:rsidR="00366397" w:rsidRPr="008A2236" w:rsidRDefault="00366397" w:rsidP="00C125E2">
            <w:pPr>
              <w:pStyle w:val="TableText"/>
              <w:spacing w:before="40" w:after="40"/>
            </w:pPr>
            <w:r w:rsidRPr="008A2236">
              <w:rPr>
                <w:rFonts w:eastAsia="Calibri"/>
              </w:rPr>
              <w:t>Include in the NIR an explanation of the analysis of SF</w:t>
            </w:r>
            <w:r w:rsidRPr="008A2236">
              <w:rPr>
                <w:rFonts w:eastAsia="Calibri"/>
                <w:vertAlign w:val="subscript"/>
              </w:rPr>
              <w:t>6</w:t>
            </w:r>
            <w:r w:rsidRPr="008A2236">
              <w:rPr>
                <w:rFonts w:eastAsia="Calibri"/>
              </w:rPr>
              <w:t xml:space="preserve"> emissions from SF</w:t>
            </w:r>
            <w:r w:rsidRPr="008A2236">
              <w:rPr>
                <w:rFonts w:eastAsia="Calibri"/>
                <w:vertAlign w:val="subscript"/>
              </w:rPr>
              <w:t>6</w:t>
            </w:r>
            <w:r w:rsidRPr="008A2236">
              <w:rPr>
                <w:rFonts w:eastAsia="Calibri"/>
              </w:rPr>
              <w:t xml:space="preserve"> use in</w:t>
            </w:r>
            <w:r w:rsidR="0022387A">
              <w:rPr>
                <w:rFonts w:eastAsia="Calibri"/>
              </w:rPr>
              <w:t> </w:t>
            </w:r>
            <w:r w:rsidRPr="008A2236">
              <w:rPr>
                <w:rFonts w:eastAsia="Calibri"/>
              </w:rPr>
              <w:t>shoe and double-glazed window manufacture based on the information that was provided to the 2015 ERT as responses to questions and a background report.</w:t>
            </w:r>
          </w:p>
        </w:tc>
        <w:tc>
          <w:tcPr>
            <w:tcW w:w="2778" w:type="dxa"/>
            <w:shd w:val="clear" w:color="auto" w:fill="FFFFFF"/>
            <w:vAlign w:val="center"/>
          </w:tcPr>
          <w:p w14:paraId="6E5B880B"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This information is included in chapter 4, section 4.8.2.</w:t>
            </w:r>
          </w:p>
        </w:tc>
      </w:tr>
      <w:tr w:rsidR="009371C3" w:rsidRPr="008A2236" w14:paraId="5B3CE317" w14:textId="77777777" w:rsidTr="001959CB">
        <w:tc>
          <w:tcPr>
            <w:tcW w:w="1871" w:type="dxa"/>
            <w:shd w:val="clear" w:color="auto" w:fill="FFFFFF"/>
            <w:vAlign w:val="center"/>
          </w:tcPr>
          <w:p w14:paraId="4B25C54F" w14:textId="77777777" w:rsidR="00366397" w:rsidRPr="008A2236" w:rsidRDefault="00366397" w:rsidP="00C125E2">
            <w:pPr>
              <w:pStyle w:val="TableText"/>
              <w:spacing w:before="40" w:after="40"/>
            </w:pPr>
            <w:r w:rsidRPr="008A2236">
              <w:rPr>
                <w:rFonts w:eastAsia="Calibri"/>
              </w:rPr>
              <w:t>Agriculture – Other livestock – CH</w:t>
            </w:r>
            <w:r w:rsidRPr="008A2236">
              <w:rPr>
                <w:rFonts w:eastAsia="Calibri"/>
                <w:vertAlign w:val="subscript"/>
              </w:rPr>
              <w:t>4</w:t>
            </w:r>
          </w:p>
        </w:tc>
        <w:tc>
          <w:tcPr>
            <w:tcW w:w="907" w:type="dxa"/>
            <w:shd w:val="clear" w:color="auto" w:fill="FFFFFF"/>
            <w:vAlign w:val="center"/>
          </w:tcPr>
          <w:p w14:paraId="030F44C4" w14:textId="77777777" w:rsidR="00366397" w:rsidRPr="008A2236" w:rsidRDefault="00366397" w:rsidP="00C125E2">
            <w:pPr>
              <w:pStyle w:val="TableText"/>
              <w:spacing w:before="40" w:after="40"/>
            </w:pPr>
            <w:r w:rsidRPr="008A2236">
              <w:rPr>
                <w:rFonts w:eastAsia="Calibri"/>
              </w:rPr>
              <w:t>A.2, 2019</w:t>
            </w:r>
          </w:p>
        </w:tc>
        <w:tc>
          <w:tcPr>
            <w:tcW w:w="2835" w:type="dxa"/>
            <w:shd w:val="clear" w:color="auto" w:fill="FFFFFF"/>
            <w:vAlign w:val="center"/>
          </w:tcPr>
          <w:p w14:paraId="7BCDB73E" w14:textId="77777777" w:rsidR="00366397" w:rsidRPr="008A2236" w:rsidRDefault="00366397" w:rsidP="00C125E2">
            <w:pPr>
              <w:pStyle w:val="TableText"/>
              <w:spacing w:before="40" w:after="40"/>
            </w:pPr>
            <w:r w:rsidRPr="008A2236">
              <w:rPr>
                <w:rFonts w:eastAsia="Calibri"/>
              </w:rPr>
              <w:t>Provide in the NIR information on the breeding of rabbits and fur-bearing animals.</w:t>
            </w:r>
          </w:p>
        </w:tc>
        <w:tc>
          <w:tcPr>
            <w:tcW w:w="2778" w:type="dxa"/>
            <w:shd w:val="clear" w:color="auto" w:fill="FFFFFF"/>
            <w:vAlign w:val="center"/>
          </w:tcPr>
          <w:p w14:paraId="1DFBAD87"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New Zealand has investigated this issue. Rabbits are considered an agricultural pest and only a very small number of rabbits are farmed. There is no farming of other fur-bearing animals. This explanation has been included in chapter 1, section 1.4 and chapter 5, section 5.1.4.</w:t>
            </w:r>
          </w:p>
        </w:tc>
      </w:tr>
      <w:tr w:rsidR="009371C3" w:rsidRPr="008A2236" w14:paraId="6B8C84B4" w14:textId="77777777" w:rsidTr="001959CB">
        <w:tc>
          <w:tcPr>
            <w:tcW w:w="1871" w:type="dxa"/>
            <w:shd w:val="clear" w:color="auto" w:fill="FFFFFF"/>
            <w:vAlign w:val="center"/>
          </w:tcPr>
          <w:p w14:paraId="49E0DB65" w14:textId="77777777" w:rsidR="00366397" w:rsidRPr="008A2236" w:rsidRDefault="00366397" w:rsidP="00C125E2">
            <w:pPr>
              <w:pStyle w:val="TableText"/>
              <w:spacing w:before="40" w:after="40"/>
            </w:pPr>
            <w:r w:rsidRPr="008A2236">
              <w:rPr>
                <w:rFonts w:eastAsia="Calibri"/>
              </w:rPr>
              <w:t>LULUCF – Forest land – CO</w:t>
            </w:r>
            <w:r w:rsidRPr="008A2236">
              <w:rPr>
                <w:rFonts w:eastAsia="Calibri"/>
                <w:vertAlign w:val="subscript"/>
              </w:rPr>
              <w:t>2</w:t>
            </w:r>
          </w:p>
        </w:tc>
        <w:tc>
          <w:tcPr>
            <w:tcW w:w="907" w:type="dxa"/>
            <w:shd w:val="clear" w:color="auto" w:fill="FFFFFF"/>
            <w:vAlign w:val="center"/>
          </w:tcPr>
          <w:p w14:paraId="524D9D10" w14:textId="77777777" w:rsidR="00366397" w:rsidRPr="008A2236" w:rsidRDefault="00366397" w:rsidP="00C125E2">
            <w:pPr>
              <w:pStyle w:val="TableText"/>
              <w:spacing w:before="40" w:after="40"/>
            </w:pPr>
            <w:r w:rsidRPr="008A2236">
              <w:rPr>
                <w:rFonts w:eastAsia="Calibri"/>
              </w:rPr>
              <w:t>L.3, 2019</w:t>
            </w:r>
          </w:p>
        </w:tc>
        <w:tc>
          <w:tcPr>
            <w:tcW w:w="2835" w:type="dxa"/>
            <w:shd w:val="clear" w:color="auto" w:fill="FFFFFF"/>
            <w:vAlign w:val="center"/>
          </w:tcPr>
          <w:p w14:paraId="068F53D2" w14:textId="77777777" w:rsidR="00366397" w:rsidRPr="008A2236" w:rsidRDefault="00366397" w:rsidP="00C125E2">
            <w:pPr>
              <w:pStyle w:val="TableText"/>
              <w:spacing w:before="40" w:after="40"/>
            </w:pPr>
            <w:r w:rsidRPr="008A2236">
              <w:rPr>
                <w:rFonts w:eastAsia="Calibri"/>
              </w:rPr>
              <w:t>Consider ways to reduce uncertainties in the stock change estimates when further developing the methods for estimating CSC in pre-1990 natural forests.</w:t>
            </w:r>
          </w:p>
        </w:tc>
        <w:tc>
          <w:tcPr>
            <w:tcW w:w="2778" w:type="dxa"/>
            <w:shd w:val="clear" w:color="auto" w:fill="FFFFFF"/>
            <w:vAlign w:val="center"/>
          </w:tcPr>
          <w:p w14:paraId="438F4D12" w14:textId="7372D961" w:rsidR="00366397" w:rsidRPr="008A2236" w:rsidRDefault="00366397" w:rsidP="00C125E2">
            <w:pPr>
              <w:pStyle w:val="TableText"/>
              <w:spacing w:before="40" w:after="40"/>
            </w:pPr>
            <w:r w:rsidRPr="008A2236">
              <w:rPr>
                <w:rFonts w:eastAsia="Calibri"/>
                <w:b/>
              </w:rPr>
              <w:t>Resolved.</w:t>
            </w:r>
            <w:r w:rsidRPr="008A2236">
              <w:rPr>
                <w:rFonts w:eastAsia="Calibri"/>
              </w:rPr>
              <w:t xml:space="preserve"> The original recommendation by the ERT was “the ERT encourages the Party to consider in particular the </w:t>
            </w:r>
            <w:r>
              <w:rPr>
                <w:rFonts w:eastAsia="Calibri"/>
              </w:rPr>
              <w:t>‘</w:t>
            </w:r>
            <w:r w:rsidRPr="008A2236">
              <w:rPr>
                <w:rFonts w:eastAsia="Calibri"/>
              </w:rPr>
              <w:t>Practical recommendation</w:t>
            </w:r>
            <w:r>
              <w:rPr>
                <w:rFonts w:eastAsia="Calibri"/>
              </w:rPr>
              <w:t>’</w:t>
            </w:r>
            <w:r w:rsidRPr="008A2236">
              <w:rPr>
                <w:rFonts w:eastAsia="Calibri"/>
              </w:rPr>
              <w:t xml:space="preserve"> section in Holdaway et al. (2014) (p.638) when further designing and running plot measurements in pre-1990 natural forests</w:t>
            </w:r>
            <w:r>
              <w:rPr>
                <w:rFonts w:eastAsia="Calibri"/>
              </w:rPr>
              <w:t>”</w:t>
            </w:r>
            <w:r w:rsidRPr="008A2236">
              <w:rPr>
                <w:rFonts w:eastAsia="Calibri"/>
              </w:rPr>
              <w:t xml:space="preserve">. Recommendations from Holdaway et al. (2014) have been considered and those </w:t>
            </w:r>
            <w:r>
              <w:rPr>
                <w:rFonts w:eastAsia="Calibri"/>
              </w:rPr>
              <w:t>that</w:t>
            </w:r>
            <w:r w:rsidRPr="008A2236">
              <w:rPr>
                <w:rFonts w:eastAsia="Calibri"/>
              </w:rPr>
              <w:t xml:space="preserve"> were practicable have been applied. These methods are further described in annex</w:t>
            </w:r>
            <w:r>
              <w:rPr>
                <w:rFonts w:eastAsia="Calibri"/>
              </w:rPr>
              <w:t> </w:t>
            </w:r>
            <w:r w:rsidRPr="008A2236">
              <w:rPr>
                <w:rFonts w:eastAsia="Calibri"/>
              </w:rPr>
              <w:t xml:space="preserve">3, section 3.2.5.3. It is worth noting that </w:t>
            </w:r>
            <w:r>
              <w:rPr>
                <w:rFonts w:eastAsia="Calibri"/>
              </w:rPr>
              <w:t>even though</w:t>
            </w:r>
            <w:r w:rsidRPr="008A2236">
              <w:rPr>
                <w:rFonts w:eastAsia="Calibri"/>
              </w:rPr>
              <w:t xml:space="preserve"> several methods to reduce uncertainty </w:t>
            </w:r>
            <w:r>
              <w:rPr>
                <w:rFonts w:eastAsia="Calibri"/>
              </w:rPr>
              <w:t>were</w:t>
            </w:r>
            <w:r w:rsidRPr="008A2236">
              <w:rPr>
                <w:rFonts w:eastAsia="Calibri"/>
              </w:rPr>
              <w:t xml:space="preserve"> applied, this does not necessarily result in a lower uncertainty estimate. This is because the uncertainty is calculated as a percentage of the carbon stock change confidence interval to the estimate of carbon stock change. Consequently, as the carbon stock change estimate has decreased (is</w:t>
            </w:r>
            <w:r w:rsidR="004F090E">
              <w:rPr>
                <w:rFonts w:eastAsia="Calibri"/>
              </w:rPr>
              <w:t> </w:t>
            </w:r>
            <w:r w:rsidRPr="008A2236">
              <w:rPr>
                <w:rFonts w:eastAsia="Calibri"/>
              </w:rPr>
              <w:t>closer to zero), the overall uncertainty (as a percentage) has increased.</w:t>
            </w:r>
          </w:p>
        </w:tc>
      </w:tr>
      <w:tr w:rsidR="009371C3" w:rsidRPr="008A2236" w14:paraId="6108A1D9" w14:textId="77777777" w:rsidTr="001959CB">
        <w:tc>
          <w:tcPr>
            <w:tcW w:w="1871" w:type="dxa"/>
            <w:shd w:val="clear" w:color="auto" w:fill="FFFFFF"/>
            <w:vAlign w:val="center"/>
          </w:tcPr>
          <w:p w14:paraId="08CBCD14" w14:textId="77777777" w:rsidR="00366397" w:rsidRPr="008A2236" w:rsidRDefault="00366397" w:rsidP="00C125E2">
            <w:pPr>
              <w:pStyle w:val="TableText"/>
              <w:spacing w:before="40" w:after="40"/>
            </w:pPr>
            <w:r w:rsidRPr="008A2236">
              <w:rPr>
                <w:rFonts w:eastAsia="Calibri"/>
              </w:rPr>
              <w:t>LULUCF – Forest land remaining forest land – CO</w:t>
            </w:r>
            <w:r w:rsidRPr="008A2236">
              <w:rPr>
                <w:rFonts w:eastAsia="Calibri"/>
                <w:vertAlign w:val="subscript"/>
              </w:rPr>
              <w:t>2</w:t>
            </w:r>
          </w:p>
        </w:tc>
        <w:tc>
          <w:tcPr>
            <w:tcW w:w="907" w:type="dxa"/>
            <w:shd w:val="clear" w:color="auto" w:fill="FFFFFF"/>
            <w:vAlign w:val="center"/>
          </w:tcPr>
          <w:p w14:paraId="0D872A19" w14:textId="77777777" w:rsidR="00366397" w:rsidRPr="008A2236" w:rsidRDefault="00366397" w:rsidP="00C125E2">
            <w:pPr>
              <w:pStyle w:val="TableText"/>
              <w:spacing w:before="40" w:after="40"/>
            </w:pPr>
            <w:r w:rsidRPr="008A2236">
              <w:rPr>
                <w:rFonts w:eastAsia="Calibri"/>
              </w:rPr>
              <w:t>L.4, 2019</w:t>
            </w:r>
          </w:p>
        </w:tc>
        <w:tc>
          <w:tcPr>
            <w:tcW w:w="2835" w:type="dxa"/>
            <w:shd w:val="clear" w:color="auto" w:fill="FFFFFF"/>
            <w:vAlign w:val="center"/>
          </w:tcPr>
          <w:p w14:paraId="1566AC8B" w14:textId="77777777" w:rsidR="00366397" w:rsidRPr="008A2236" w:rsidRDefault="00366397" w:rsidP="00C125E2">
            <w:pPr>
              <w:pStyle w:val="TableText"/>
              <w:spacing w:before="40" w:after="40"/>
            </w:pPr>
            <w:r w:rsidRPr="008A2236">
              <w:rPr>
                <w:rFonts w:eastAsia="Calibri"/>
              </w:rPr>
              <w:t>Update the below-ground biomass ratios, noting that choosing a value above the median in the range of 9–33 per cent without further documentation entails the risk of overestimation of removals from forest land remaining forest land, and in the meantime, report in the NIR on the progress of this work.</w:t>
            </w:r>
          </w:p>
        </w:tc>
        <w:tc>
          <w:tcPr>
            <w:tcW w:w="2778" w:type="dxa"/>
            <w:shd w:val="clear" w:color="auto" w:fill="FFFFFF"/>
            <w:vAlign w:val="center"/>
          </w:tcPr>
          <w:p w14:paraId="1EF61176"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Below-ground biomass ratios have been updated. A table in NIR outlining the actual values of the below-ground biomass ratios per forest subcategory and a reference to the publication from which they are derived are </w:t>
            </w:r>
            <w:r>
              <w:rPr>
                <w:rFonts w:eastAsia="Calibri"/>
              </w:rPr>
              <w:t>included</w:t>
            </w:r>
            <w:r w:rsidRPr="008A2236">
              <w:rPr>
                <w:rFonts w:eastAsia="Calibri"/>
              </w:rPr>
              <w:t xml:space="preserve"> in annex 3, section 3.2.5.3.</w:t>
            </w:r>
          </w:p>
        </w:tc>
      </w:tr>
      <w:tr w:rsidR="009371C3" w:rsidRPr="008A2236" w14:paraId="1C07D75E" w14:textId="77777777" w:rsidTr="001959CB">
        <w:tc>
          <w:tcPr>
            <w:tcW w:w="1871" w:type="dxa"/>
            <w:shd w:val="clear" w:color="auto" w:fill="FFFFFF"/>
            <w:vAlign w:val="center"/>
          </w:tcPr>
          <w:p w14:paraId="2335F4B3" w14:textId="77777777" w:rsidR="00366397" w:rsidRPr="008A2236" w:rsidRDefault="00366397" w:rsidP="00C125E2">
            <w:pPr>
              <w:pStyle w:val="TableText"/>
              <w:spacing w:before="40" w:after="40"/>
            </w:pPr>
            <w:r w:rsidRPr="008A2236">
              <w:rPr>
                <w:rFonts w:eastAsia="Calibri"/>
              </w:rPr>
              <w:t>LULUCF – Wetlands – CO</w:t>
            </w:r>
            <w:r w:rsidRPr="008A2236">
              <w:rPr>
                <w:rFonts w:eastAsia="Calibri"/>
                <w:vertAlign w:val="subscript"/>
              </w:rPr>
              <w:t>2</w:t>
            </w:r>
          </w:p>
        </w:tc>
        <w:tc>
          <w:tcPr>
            <w:tcW w:w="907" w:type="dxa"/>
            <w:shd w:val="clear" w:color="auto" w:fill="FFFFFF"/>
            <w:vAlign w:val="center"/>
          </w:tcPr>
          <w:p w14:paraId="67F93BF6" w14:textId="77777777" w:rsidR="00366397" w:rsidRPr="008A2236" w:rsidRDefault="00366397" w:rsidP="00C125E2">
            <w:pPr>
              <w:pStyle w:val="TableText"/>
              <w:spacing w:before="40" w:after="40"/>
            </w:pPr>
            <w:r w:rsidRPr="008A2236">
              <w:rPr>
                <w:rFonts w:eastAsia="Calibri"/>
              </w:rPr>
              <w:t>L.6, 2019</w:t>
            </w:r>
          </w:p>
        </w:tc>
        <w:tc>
          <w:tcPr>
            <w:tcW w:w="2835" w:type="dxa"/>
            <w:shd w:val="clear" w:color="auto" w:fill="FFFFFF"/>
            <w:vAlign w:val="center"/>
          </w:tcPr>
          <w:p w14:paraId="5F7E2A67" w14:textId="77777777" w:rsidR="00366397" w:rsidRPr="008A2236" w:rsidRDefault="00366397" w:rsidP="00C125E2">
            <w:pPr>
              <w:pStyle w:val="TableText"/>
              <w:spacing w:before="40" w:after="40"/>
            </w:pPr>
            <w:r w:rsidRPr="008A2236">
              <w:rPr>
                <w:rFonts w:eastAsia="Calibri"/>
              </w:rPr>
              <w:t xml:space="preserve">Continue the ongoing work to improve estimates for </w:t>
            </w:r>
            <w:r w:rsidRPr="004F1642">
              <w:rPr>
                <w:rFonts w:eastAsia="Calibri"/>
              </w:rPr>
              <w:t>wetlands</w:t>
            </w:r>
            <w:r w:rsidRPr="008A2236">
              <w:rPr>
                <w:rFonts w:eastAsia="Calibri"/>
              </w:rPr>
              <w:t xml:space="preserve"> and report the emissions for subcategories 4.D.1.1 (peat extraction remaining peat extraction) and 4.D.2.1 (land converted to peat extraction).</w:t>
            </w:r>
          </w:p>
        </w:tc>
        <w:tc>
          <w:tcPr>
            <w:tcW w:w="2778" w:type="dxa"/>
            <w:shd w:val="clear" w:color="auto" w:fill="FFFFFF"/>
            <w:vAlign w:val="center"/>
          </w:tcPr>
          <w:p w14:paraId="062D89B0"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Land converted to peat extraction is reported as ‘not occurring’ (NO) because the areas under peat extraction have remained static since 1990.</w:t>
            </w:r>
          </w:p>
        </w:tc>
      </w:tr>
      <w:tr w:rsidR="009371C3" w:rsidRPr="008A2236" w14:paraId="0E47E857" w14:textId="77777777" w:rsidTr="001959CB">
        <w:tc>
          <w:tcPr>
            <w:tcW w:w="1871" w:type="dxa"/>
            <w:shd w:val="clear" w:color="auto" w:fill="FFFFFF"/>
            <w:vAlign w:val="center"/>
          </w:tcPr>
          <w:p w14:paraId="73DDEDFD" w14:textId="379C2789" w:rsidR="00366397" w:rsidRPr="008A2236" w:rsidRDefault="00366397" w:rsidP="009371C3">
            <w:pPr>
              <w:pStyle w:val="TableText"/>
              <w:spacing w:before="40" w:after="40"/>
            </w:pPr>
            <w:r w:rsidRPr="008A2236">
              <w:rPr>
                <w:rFonts w:eastAsia="Calibri"/>
              </w:rPr>
              <w:t>LULUCF – Direct N</w:t>
            </w:r>
            <w:r w:rsidRPr="008A2236">
              <w:rPr>
                <w:rFonts w:eastAsia="Calibri"/>
                <w:vertAlign w:val="subscript"/>
              </w:rPr>
              <w:t>2</w:t>
            </w:r>
            <w:r w:rsidRPr="008A2236">
              <w:rPr>
                <w:rFonts w:eastAsia="Calibri"/>
              </w:rPr>
              <w:t>O emissions from N mineralization/</w:t>
            </w:r>
            <w:r w:rsidR="009404C9">
              <w:rPr>
                <w:rFonts w:eastAsia="Calibri"/>
              </w:rPr>
              <w:t xml:space="preserve"> </w:t>
            </w:r>
            <w:r w:rsidRPr="008A2236">
              <w:rPr>
                <w:rFonts w:eastAsia="Calibri"/>
              </w:rPr>
              <w:t>immobilization – N</w:t>
            </w:r>
            <w:r w:rsidRPr="008A2236">
              <w:rPr>
                <w:rFonts w:eastAsia="Calibri"/>
                <w:vertAlign w:val="subscript"/>
              </w:rPr>
              <w:t>2</w:t>
            </w:r>
            <w:r w:rsidRPr="008A2236">
              <w:rPr>
                <w:rFonts w:eastAsia="Calibri"/>
              </w:rPr>
              <w:t>O</w:t>
            </w:r>
          </w:p>
        </w:tc>
        <w:tc>
          <w:tcPr>
            <w:tcW w:w="907" w:type="dxa"/>
            <w:shd w:val="clear" w:color="auto" w:fill="FFFFFF"/>
            <w:vAlign w:val="center"/>
          </w:tcPr>
          <w:p w14:paraId="23FFEFA2" w14:textId="77777777" w:rsidR="00366397" w:rsidRPr="008A2236" w:rsidRDefault="00366397" w:rsidP="00C125E2">
            <w:pPr>
              <w:pStyle w:val="TableText"/>
              <w:spacing w:before="40" w:after="40"/>
            </w:pPr>
            <w:r w:rsidRPr="008A2236">
              <w:rPr>
                <w:rFonts w:eastAsia="Calibri"/>
              </w:rPr>
              <w:t>L.7, 2019</w:t>
            </w:r>
          </w:p>
        </w:tc>
        <w:tc>
          <w:tcPr>
            <w:tcW w:w="2835" w:type="dxa"/>
            <w:shd w:val="clear" w:color="auto" w:fill="FFFFFF"/>
            <w:vAlign w:val="center"/>
          </w:tcPr>
          <w:p w14:paraId="2C98E2E8" w14:textId="77777777" w:rsidR="00366397" w:rsidRPr="008A2236" w:rsidRDefault="00366397" w:rsidP="00C125E2">
            <w:pPr>
              <w:pStyle w:val="TableText"/>
              <w:spacing w:before="40" w:after="40"/>
            </w:pPr>
            <w:r w:rsidRPr="008A2236">
              <w:rPr>
                <w:rFonts w:eastAsia="Calibri"/>
              </w:rPr>
              <w:t>Correct the C/N ratio to 15:1 in the NIR (p.300).</w:t>
            </w:r>
          </w:p>
        </w:tc>
        <w:tc>
          <w:tcPr>
            <w:tcW w:w="2778" w:type="dxa"/>
            <w:shd w:val="clear" w:color="auto" w:fill="FFFFFF"/>
            <w:vAlign w:val="center"/>
          </w:tcPr>
          <w:p w14:paraId="0045BBF2"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This has been correctly reported since the 2020 submission.</w:t>
            </w:r>
          </w:p>
        </w:tc>
      </w:tr>
      <w:tr w:rsidR="009371C3" w:rsidRPr="008A2236" w14:paraId="2D732881" w14:textId="77777777" w:rsidTr="001959CB">
        <w:tc>
          <w:tcPr>
            <w:tcW w:w="1871" w:type="dxa"/>
            <w:shd w:val="clear" w:color="auto" w:fill="FFFFFF"/>
            <w:vAlign w:val="center"/>
          </w:tcPr>
          <w:p w14:paraId="77A918A3" w14:textId="77777777" w:rsidR="00366397" w:rsidRPr="008A2236" w:rsidRDefault="00366397" w:rsidP="00C125E2">
            <w:pPr>
              <w:pStyle w:val="TableText"/>
              <w:spacing w:before="40" w:after="40"/>
            </w:pPr>
            <w:r w:rsidRPr="008A2236">
              <w:rPr>
                <w:rFonts w:eastAsia="Calibri"/>
              </w:rPr>
              <w:t>Waste – Solid waste disposal on land – CH</w:t>
            </w:r>
            <w:r w:rsidRPr="008A2236">
              <w:rPr>
                <w:rFonts w:eastAsia="Calibri"/>
                <w:vertAlign w:val="subscript"/>
              </w:rPr>
              <w:t>4</w:t>
            </w:r>
          </w:p>
        </w:tc>
        <w:tc>
          <w:tcPr>
            <w:tcW w:w="907" w:type="dxa"/>
            <w:shd w:val="clear" w:color="auto" w:fill="FFFFFF"/>
            <w:vAlign w:val="center"/>
          </w:tcPr>
          <w:p w14:paraId="2D2314EA" w14:textId="77777777" w:rsidR="00366397" w:rsidRPr="008A2236" w:rsidRDefault="00366397" w:rsidP="00C125E2">
            <w:pPr>
              <w:pStyle w:val="TableText"/>
              <w:spacing w:before="40" w:after="40"/>
            </w:pPr>
            <w:r w:rsidRPr="008A2236">
              <w:rPr>
                <w:rFonts w:eastAsia="Calibri"/>
              </w:rPr>
              <w:t>W.4, 2019</w:t>
            </w:r>
          </w:p>
        </w:tc>
        <w:tc>
          <w:tcPr>
            <w:tcW w:w="2835" w:type="dxa"/>
            <w:shd w:val="clear" w:color="auto" w:fill="FFFFFF"/>
            <w:vAlign w:val="center"/>
          </w:tcPr>
          <w:p w14:paraId="35E6300C" w14:textId="77777777" w:rsidR="00366397" w:rsidRPr="008A2236" w:rsidRDefault="00366397" w:rsidP="00C125E2">
            <w:pPr>
              <w:pStyle w:val="TableText"/>
              <w:spacing w:before="40" w:after="40"/>
            </w:pPr>
            <w:r w:rsidRPr="008A2236">
              <w:rPr>
                <w:rFonts w:eastAsia="Calibri"/>
              </w:rPr>
              <w:t>Provide substantive justification for the country-specific default values on CH</w:t>
            </w:r>
            <w:r w:rsidRPr="00377BE7">
              <w:rPr>
                <w:rFonts w:eastAsia="Calibri"/>
              </w:rPr>
              <w:t>4</w:t>
            </w:r>
            <w:r w:rsidRPr="008A2236">
              <w:rPr>
                <w:rFonts w:eastAsia="Calibri"/>
              </w:rPr>
              <w:t xml:space="preserve"> recovery efficiency, including justification for the factors that can enhance the recovery, or revise estimates for CH</w:t>
            </w:r>
            <w:r w:rsidRPr="008A2236">
              <w:rPr>
                <w:rFonts w:eastAsia="Calibri"/>
                <w:vertAlign w:val="subscript"/>
              </w:rPr>
              <w:t>4</w:t>
            </w:r>
            <w:r w:rsidRPr="008A2236">
              <w:rPr>
                <w:rFonts w:eastAsia="Calibri"/>
              </w:rPr>
              <w:t xml:space="preserve"> </w:t>
            </w:r>
            <w:r w:rsidRPr="008A2236">
              <w:rPr>
                <w:rFonts w:eastAsia="Calibri"/>
              </w:rPr>
              <w:lastRenderedPageBreak/>
              <w:t>recovery at SWDS for which metered data are not available to 20 per cent, in order to be consistent with the guidance in the 2006 IPCC Guidelines.</w:t>
            </w:r>
          </w:p>
        </w:tc>
        <w:tc>
          <w:tcPr>
            <w:tcW w:w="2778" w:type="dxa"/>
            <w:shd w:val="clear" w:color="auto" w:fill="FFFFFF"/>
            <w:vAlign w:val="center"/>
          </w:tcPr>
          <w:p w14:paraId="5ACE0A6F" w14:textId="1FE13A70" w:rsidR="00366397" w:rsidRPr="008A2236" w:rsidRDefault="00366397" w:rsidP="00C125E2">
            <w:pPr>
              <w:pStyle w:val="TableText"/>
              <w:spacing w:before="40" w:after="40"/>
            </w:pPr>
            <w:r w:rsidRPr="008A2236">
              <w:rPr>
                <w:rFonts w:eastAsia="Calibri"/>
                <w:b/>
              </w:rPr>
              <w:lastRenderedPageBreak/>
              <w:t>Resolved.</w:t>
            </w:r>
            <w:r w:rsidRPr="008A2236">
              <w:rPr>
                <w:rFonts w:eastAsia="Calibri"/>
              </w:rPr>
              <w:t xml:space="preserve"> Methane recovery efficiency </w:t>
            </w:r>
            <w:r>
              <w:rPr>
                <w:rFonts w:eastAsia="Calibri"/>
              </w:rPr>
              <w:t>was</w:t>
            </w:r>
            <w:r w:rsidRPr="008A2236">
              <w:rPr>
                <w:rFonts w:eastAsia="Calibri"/>
              </w:rPr>
              <w:t xml:space="preserve"> revised for the 2021 submission according to Eunomia (unpublished). </w:t>
            </w:r>
            <w:r>
              <w:rPr>
                <w:rFonts w:eastAsia="Calibri"/>
              </w:rPr>
              <w:t>See</w:t>
            </w:r>
            <w:r w:rsidRPr="008A2236">
              <w:rPr>
                <w:rFonts w:eastAsia="Calibri"/>
              </w:rPr>
              <w:t xml:space="preserve"> chapter 7, section</w:t>
            </w:r>
            <w:r w:rsidR="004F090E">
              <w:rPr>
                <w:rFonts w:eastAsia="Calibri"/>
              </w:rPr>
              <w:t> </w:t>
            </w:r>
            <w:r w:rsidRPr="008A2236">
              <w:rPr>
                <w:rFonts w:eastAsia="Calibri"/>
              </w:rPr>
              <w:t>7.2.2.</w:t>
            </w:r>
          </w:p>
        </w:tc>
      </w:tr>
      <w:tr w:rsidR="009371C3" w:rsidRPr="008A2236" w14:paraId="2CC1CAFA" w14:textId="77777777" w:rsidTr="001959CB">
        <w:tc>
          <w:tcPr>
            <w:tcW w:w="1871" w:type="dxa"/>
            <w:shd w:val="clear" w:color="auto" w:fill="FFFFFF"/>
            <w:vAlign w:val="center"/>
          </w:tcPr>
          <w:p w14:paraId="35E5B115" w14:textId="77777777" w:rsidR="00366397" w:rsidRPr="008A2236" w:rsidRDefault="00366397" w:rsidP="00C125E2">
            <w:pPr>
              <w:pStyle w:val="TableText"/>
              <w:spacing w:before="40" w:after="40"/>
            </w:pPr>
            <w:r w:rsidRPr="008A2236">
              <w:rPr>
                <w:rFonts w:eastAsia="Calibri"/>
              </w:rPr>
              <w:t>Waste – Managed waste disposal sites – CH</w:t>
            </w:r>
            <w:r w:rsidRPr="008A2236">
              <w:rPr>
                <w:rFonts w:eastAsia="Calibri"/>
                <w:vertAlign w:val="subscript"/>
              </w:rPr>
              <w:t>4</w:t>
            </w:r>
          </w:p>
        </w:tc>
        <w:tc>
          <w:tcPr>
            <w:tcW w:w="907" w:type="dxa"/>
            <w:shd w:val="clear" w:color="auto" w:fill="FFFFFF"/>
            <w:vAlign w:val="center"/>
          </w:tcPr>
          <w:p w14:paraId="47C752C3" w14:textId="77777777" w:rsidR="00366397" w:rsidRPr="008A2236" w:rsidRDefault="00366397" w:rsidP="00C125E2">
            <w:pPr>
              <w:pStyle w:val="TableText"/>
              <w:spacing w:before="40" w:after="40"/>
            </w:pPr>
            <w:r w:rsidRPr="008A2236">
              <w:rPr>
                <w:rFonts w:eastAsia="Calibri"/>
              </w:rPr>
              <w:t>W.8, 2019</w:t>
            </w:r>
          </w:p>
        </w:tc>
        <w:tc>
          <w:tcPr>
            <w:tcW w:w="2835" w:type="dxa"/>
            <w:shd w:val="clear" w:color="auto" w:fill="FFFFFF"/>
            <w:vAlign w:val="center"/>
          </w:tcPr>
          <w:p w14:paraId="44BEDE67" w14:textId="77777777" w:rsidR="00366397" w:rsidRPr="008A2236" w:rsidRDefault="00366397" w:rsidP="00C125E2">
            <w:pPr>
              <w:pStyle w:val="TableText"/>
              <w:spacing w:before="40" w:after="40"/>
            </w:pPr>
            <w:r w:rsidRPr="008A2236">
              <w:rPr>
                <w:rFonts w:eastAsia="Calibri"/>
              </w:rPr>
              <w:t>Either provide a better justification for the country-specific rate constant for biodegradation in landfills for municipal solid waste, or calculate CH</w:t>
            </w:r>
            <w:r w:rsidRPr="00377BE7">
              <w:rPr>
                <w:rFonts w:eastAsia="Calibri"/>
              </w:rPr>
              <w:t>4</w:t>
            </w:r>
            <w:r w:rsidRPr="008A2236">
              <w:rPr>
                <w:rFonts w:eastAsia="Calibri"/>
              </w:rPr>
              <w:t xml:space="preserve"> generation for municipal landfills with the default rate constant k for biodegradation from the 2006 IPCC Guidelines.</w:t>
            </w:r>
          </w:p>
        </w:tc>
        <w:tc>
          <w:tcPr>
            <w:tcW w:w="2778" w:type="dxa"/>
            <w:shd w:val="clear" w:color="auto" w:fill="FFFFFF"/>
            <w:vAlign w:val="center"/>
          </w:tcPr>
          <w:p w14:paraId="6966EDE8" w14:textId="6ED904E3" w:rsidR="00366397" w:rsidRPr="008A2236" w:rsidRDefault="00366397" w:rsidP="00C125E2">
            <w:pPr>
              <w:pStyle w:val="TableText"/>
              <w:spacing w:before="40" w:after="40"/>
            </w:pPr>
            <w:r w:rsidRPr="008A2236">
              <w:rPr>
                <w:rFonts w:eastAsia="Calibri"/>
                <w:b/>
              </w:rPr>
              <w:t>Resolved.</w:t>
            </w:r>
            <w:r w:rsidRPr="008A2236">
              <w:rPr>
                <w:rFonts w:eastAsia="Calibri"/>
              </w:rPr>
              <w:t xml:space="preserve"> The k-values </w:t>
            </w:r>
            <w:r>
              <w:rPr>
                <w:rFonts w:eastAsia="Calibri"/>
              </w:rPr>
              <w:t>were</w:t>
            </w:r>
            <w:r w:rsidRPr="008A2236">
              <w:rPr>
                <w:rFonts w:eastAsia="Calibri"/>
              </w:rPr>
              <w:t xml:space="preserve"> revised for the 2021 submission according to</w:t>
            </w:r>
            <w:r w:rsidR="004F090E">
              <w:rPr>
                <w:rFonts w:eastAsia="Calibri"/>
              </w:rPr>
              <w:t> </w:t>
            </w:r>
            <w:r w:rsidRPr="008A2236">
              <w:rPr>
                <w:rFonts w:eastAsia="Calibri"/>
              </w:rPr>
              <w:t xml:space="preserve">Eunomia (unpublished). </w:t>
            </w:r>
            <w:r>
              <w:rPr>
                <w:rFonts w:eastAsia="Calibri"/>
              </w:rPr>
              <w:t>See</w:t>
            </w:r>
            <w:r w:rsidRPr="008A2236">
              <w:rPr>
                <w:rFonts w:eastAsia="Calibri"/>
              </w:rPr>
              <w:t xml:space="preserve"> chapter 7, section 7.2.2.</w:t>
            </w:r>
          </w:p>
        </w:tc>
      </w:tr>
      <w:tr w:rsidR="009371C3" w:rsidRPr="008A2236" w14:paraId="571A82E9" w14:textId="77777777" w:rsidTr="001959CB">
        <w:tc>
          <w:tcPr>
            <w:tcW w:w="1871" w:type="dxa"/>
            <w:shd w:val="clear" w:color="auto" w:fill="FFFFFF"/>
            <w:vAlign w:val="center"/>
          </w:tcPr>
          <w:p w14:paraId="2194AFAA" w14:textId="77777777" w:rsidR="00366397" w:rsidRPr="008A2236" w:rsidRDefault="00366397" w:rsidP="00C125E2">
            <w:pPr>
              <w:pStyle w:val="TableText"/>
              <w:spacing w:before="40" w:after="40"/>
            </w:pPr>
            <w:r w:rsidRPr="008A2236">
              <w:rPr>
                <w:rFonts w:eastAsia="Calibri"/>
              </w:rPr>
              <w:t xml:space="preserve">KP-LULUCF activities – </w:t>
            </w:r>
            <w:r>
              <w:rPr>
                <w:rFonts w:eastAsia="Calibri"/>
              </w:rPr>
              <w:t>Afforestation and reforestation</w:t>
            </w:r>
            <w:r w:rsidRPr="008A2236">
              <w:rPr>
                <w:rFonts w:eastAsia="Calibri"/>
              </w:rPr>
              <w:t xml:space="preserve"> – CO</w:t>
            </w:r>
            <w:r w:rsidRPr="008A2236">
              <w:rPr>
                <w:rFonts w:eastAsia="Calibri"/>
                <w:vertAlign w:val="subscript"/>
              </w:rPr>
              <w:t>2</w:t>
            </w:r>
          </w:p>
        </w:tc>
        <w:tc>
          <w:tcPr>
            <w:tcW w:w="907" w:type="dxa"/>
            <w:shd w:val="clear" w:color="auto" w:fill="FFFFFF"/>
            <w:vAlign w:val="center"/>
          </w:tcPr>
          <w:p w14:paraId="6023D43D" w14:textId="77777777" w:rsidR="00366397" w:rsidRPr="008A2236" w:rsidRDefault="00366397" w:rsidP="00C125E2">
            <w:pPr>
              <w:pStyle w:val="TableText"/>
              <w:spacing w:before="40" w:after="40"/>
            </w:pPr>
            <w:r w:rsidRPr="008A2236">
              <w:rPr>
                <w:rFonts w:eastAsia="Calibri"/>
              </w:rPr>
              <w:t>KL.2, 2019</w:t>
            </w:r>
          </w:p>
        </w:tc>
        <w:tc>
          <w:tcPr>
            <w:tcW w:w="2835" w:type="dxa"/>
            <w:shd w:val="clear" w:color="auto" w:fill="FFFFFF"/>
            <w:vAlign w:val="center"/>
          </w:tcPr>
          <w:p w14:paraId="59920CF0" w14:textId="77777777" w:rsidR="00366397" w:rsidRPr="008A2236" w:rsidRDefault="00366397" w:rsidP="00C125E2">
            <w:pPr>
              <w:pStyle w:val="TableText"/>
              <w:spacing w:before="40" w:after="40"/>
            </w:pPr>
            <w:r w:rsidRPr="008A2236">
              <w:rPr>
                <w:rFonts w:eastAsia="Calibri"/>
              </w:rPr>
              <w:t xml:space="preserve">Include in the NIR synthesized information on the correspondence between forest land (i.e. the area of planted forest versus natural forest as presented in CRF table 4.A) and </w:t>
            </w:r>
            <w:r w:rsidRPr="007772AC">
              <w:rPr>
                <w:rFonts w:eastAsia="Calibri"/>
              </w:rPr>
              <w:t>AR</w:t>
            </w:r>
            <w:r w:rsidRPr="008A2236">
              <w:rPr>
                <w:rFonts w:eastAsia="Calibri"/>
              </w:rPr>
              <w:t xml:space="preserve"> areas reported in CRF table 4(KP-1)A.1.</w:t>
            </w:r>
          </w:p>
        </w:tc>
        <w:tc>
          <w:tcPr>
            <w:tcW w:w="2778" w:type="dxa"/>
            <w:shd w:val="clear" w:color="auto" w:fill="FFFFFF"/>
            <w:vAlign w:val="center"/>
          </w:tcPr>
          <w:p w14:paraId="530738CA"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Table 11.3.2 has been added to chapter 11, providing this information.</w:t>
            </w:r>
          </w:p>
        </w:tc>
      </w:tr>
      <w:tr w:rsidR="009371C3" w:rsidRPr="008A2236" w14:paraId="1078F62F" w14:textId="77777777" w:rsidTr="001959CB">
        <w:tc>
          <w:tcPr>
            <w:tcW w:w="1871" w:type="dxa"/>
            <w:shd w:val="clear" w:color="auto" w:fill="FFFFFF"/>
            <w:vAlign w:val="center"/>
          </w:tcPr>
          <w:p w14:paraId="2F1D0335" w14:textId="77777777" w:rsidR="00366397" w:rsidRPr="008A2236" w:rsidRDefault="00366397" w:rsidP="00C125E2">
            <w:pPr>
              <w:pStyle w:val="TableText"/>
              <w:spacing w:before="40" w:after="40"/>
            </w:pPr>
            <w:r w:rsidRPr="008A2236">
              <w:rPr>
                <w:rFonts w:eastAsia="Calibri"/>
              </w:rPr>
              <w:t xml:space="preserve">KP-LULUCF activities – </w:t>
            </w:r>
            <w:r>
              <w:rPr>
                <w:rFonts w:eastAsia="Calibri"/>
              </w:rPr>
              <w:t>Afforestation and reforestation</w:t>
            </w:r>
            <w:r w:rsidRPr="008A2236">
              <w:rPr>
                <w:rFonts w:eastAsia="Calibri"/>
              </w:rPr>
              <w:t xml:space="preserve"> – CO</w:t>
            </w:r>
            <w:r w:rsidRPr="008A2236">
              <w:rPr>
                <w:rFonts w:eastAsia="Calibri"/>
                <w:vertAlign w:val="subscript"/>
              </w:rPr>
              <w:t>2</w:t>
            </w:r>
          </w:p>
        </w:tc>
        <w:tc>
          <w:tcPr>
            <w:tcW w:w="907" w:type="dxa"/>
            <w:shd w:val="clear" w:color="auto" w:fill="FFFFFF"/>
            <w:vAlign w:val="center"/>
          </w:tcPr>
          <w:p w14:paraId="0710C493" w14:textId="77777777" w:rsidR="00366397" w:rsidRPr="008A2236" w:rsidRDefault="00366397" w:rsidP="00C125E2">
            <w:pPr>
              <w:pStyle w:val="TableText"/>
              <w:spacing w:before="40" w:after="40"/>
            </w:pPr>
            <w:r w:rsidRPr="008A2236">
              <w:rPr>
                <w:rFonts w:eastAsia="Calibri"/>
              </w:rPr>
              <w:t>KL.3, 2019</w:t>
            </w:r>
          </w:p>
        </w:tc>
        <w:tc>
          <w:tcPr>
            <w:tcW w:w="2835" w:type="dxa"/>
            <w:shd w:val="clear" w:color="auto" w:fill="FFFFFF"/>
            <w:vAlign w:val="center"/>
          </w:tcPr>
          <w:p w14:paraId="034DE6F3" w14:textId="77777777" w:rsidR="00DC5E0C" w:rsidRDefault="00366397" w:rsidP="00C125E2">
            <w:pPr>
              <w:pStyle w:val="TableText"/>
              <w:spacing w:before="40" w:after="40"/>
              <w:rPr>
                <w:rFonts w:eastAsia="Calibri"/>
              </w:rPr>
            </w:pPr>
            <w:r w:rsidRPr="008A2236">
              <w:rPr>
                <w:rFonts w:eastAsia="Calibri"/>
              </w:rPr>
              <w:t xml:space="preserve">Include in the NIR the information provided to the 2017 ERT during the review (UNFCCC. 2018, table 5, ID# KL.6) on how surrogate data sets on </w:t>
            </w:r>
            <w:r w:rsidRPr="007772AC">
              <w:rPr>
                <w:rFonts w:eastAsia="Calibri"/>
              </w:rPr>
              <w:t xml:space="preserve">AR </w:t>
            </w:r>
            <w:r w:rsidRPr="008A2236">
              <w:rPr>
                <w:rFonts w:eastAsia="Calibri"/>
              </w:rPr>
              <w:t xml:space="preserve">used for the periods 1990– 2007 and 2008–2012 are applied in order to demonstrate that: </w:t>
            </w:r>
          </w:p>
          <w:p w14:paraId="629E1501" w14:textId="106867C6" w:rsidR="00DC5E0C" w:rsidRDefault="00366397" w:rsidP="009404C9">
            <w:pPr>
              <w:pStyle w:val="TableText"/>
              <w:spacing w:before="0" w:after="40"/>
              <w:ind w:left="284" w:hanging="284"/>
              <w:rPr>
                <w:rFonts w:eastAsia="Calibri"/>
              </w:rPr>
            </w:pPr>
            <w:r w:rsidRPr="008A2236">
              <w:rPr>
                <w:rFonts w:eastAsia="Calibri"/>
              </w:rPr>
              <w:t xml:space="preserve">(a) </w:t>
            </w:r>
            <w:r w:rsidR="00DC5E0C">
              <w:rPr>
                <w:rFonts w:eastAsia="Calibri"/>
              </w:rPr>
              <w:tab/>
            </w:r>
            <w:r w:rsidRPr="008A2236">
              <w:rPr>
                <w:rFonts w:eastAsia="Calibri"/>
              </w:rPr>
              <w:t xml:space="preserve">The AR areas meet the forest definition; </w:t>
            </w:r>
          </w:p>
          <w:p w14:paraId="59B2082D" w14:textId="1061E083" w:rsidR="00DC5E0C" w:rsidRDefault="00366397" w:rsidP="009404C9">
            <w:pPr>
              <w:pStyle w:val="TableText"/>
              <w:spacing w:before="0" w:after="40"/>
              <w:ind w:left="284" w:hanging="284"/>
              <w:rPr>
                <w:rFonts w:eastAsia="Calibri"/>
              </w:rPr>
            </w:pPr>
            <w:r w:rsidRPr="008A2236">
              <w:rPr>
                <w:rFonts w:eastAsia="Calibri"/>
              </w:rPr>
              <w:t xml:space="preserve">(b) </w:t>
            </w:r>
            <w:r w:rsidR="00DC5E0C">
              <w:rPr>
                <w:rFonts w:eastAsia="Calibri"/>
              </w:rPr>
              <w:tab/>
            </w:r>
            <w:r w:rsidRPr="008A2236">
              <w:rPr>
                <w:rFonts w:eastAsia="Calibri"/>
              </w:rPr>
              <w:t xml:space="preserve">AR is directly human-induced and differentiated from natural expansion and/or restocking; </w:t>
            </w:r>
          </w:p>
          <w:p w14:paraId="2951F759" w14:textId="15EEC34E" w:rsidR="00366397" w:rsidRPr="008A2236" w:rsidRDefault="00366397" w:rsidP="009404C9">
            <w:pPr>
              <w:pStyle w:val="TableText"/>
              <w:spacing w:before="0" w:after="40"/>
              <w:ind w:left="284" w:hanging="284"/>
            </w:pPr>
            <w:r w:rsidRPr="008A2236">
              <w:rPr>
                <w:rFonts w:eastAsia="Calibri"/>
              </w:rPr>
              <w:t xml:space="preserve">(c) </w:t>
            </w:r>
            <w:r w:rsidR="00DC5E0C">
              <w:rPr>
                <w:rFonts w:eastAsia="Calibri"/>
              </w:rPr>
              <w:tab/>
            </w:r>
            <w:r w:rsidRPr="008A2236">
              <w:rPr>
                <w:rFonts w:eastAsia="Calibri"/>
              </w:rPr>
              <w:t>The geographical location of the boundaries of the areas that encompass lands subject to AR activities are identifiable.</w:t>
            </w:r>
          </w:p>
        </w:tc>
        <w:tc>
          <w:tcPr>
            <w:tcW w:w="2778" w:type="dxa"/>
            <w:shd w:val="clear" w:color="auto" w:fill="FFFFFF"/>
            <w:vAlign w:val="center"/>
          </w:tcPr>
          <w:p w14:paraId="272D8C52" w14:textId="77777777" w:rsidR="00DC5E0C" w:rsidRDefault="00366397" w:rsidP="00C125E2">
            <w:pPr>
              <w:pStyle w:val="TableText"/>
              <w:spacing w:before="40" w:after="40"/>
              <w:rPr>
                <w:rFonts w:eastAsia="Calibri"/>
              </w:rPr>
            </w:pPr>
            <w:r w:rsidRPr="008A2236">
              <w:rPr>
                <w:rFonts w:eastAsia="Calibri"/>
                <w:b/>
              </w:rPr>
              <w:t>Resolved.</w:t>
            </w:r>
            <w:r w:rsidRPr="008A2236">
              <w:rPr>
                <w:rFonts w:eastAsia="Calibri"/>
              </w:rPr>
              <w:t xml:space="preserve"> Further information has been provided in the NIR on:</w:t>
            </w:r>
          </w:p>
          <w:p w14:paraId="7078B572" w14:textId="2FB294E6" w:rsidR="00DC5E0C" w:rsidRDefault="00366397" w:rsidP="009404C9">
            <w:pPr>
              <w:pStyle w:val="TableText"/>
              <w:spacing w:before="0" w:after="40"/>
              <w:ind w:left="284" w:hanging="284"/>
              <w:rPr>
                <w:rFonts w:eastAsia="Calibri"/>
              </w:rPr>
            </w:pPr>
            <w:r>
              <w:rPr>
                <w:rFonts w:eastAsia="Calibri"/>
              </w:rPr>
              <w:t>(</w:t>
            </w:r>
            <w:r w:rsidRPr="008A2236">
              <w:rPr>
                <w:rFonts w:eastAsia="Calibri"/>
              </w:rPr>
              <w:t xml:space="preserve">a) </w:t>
            </w:r>
            <w:r w:rsidR="00DC5E0C">
              <w:rPr>
                <w:rFonts w:eastAsia="Calibri"/>
              </w:rPr>
              <w:tab/>
            </w:r>
            <w:r>
              <w:rPr>
                <w:rFonts w:eastAsia="Calibri"/>
              </w:rPr>
              <w:t xml:space="preserve">how </w:t>
            </w:r>
            <w:r w:rsidRPr="000764EE">
              <w:rPr>
                <w:rFonts w:eastAsia="Calibri"/>
                <w:i/>
                <w:iCs/>
              </w:rPr>
              <w:t>Afforestation/reforestation</w:t>
            </w:r>
            <w:r w:rsidRPr="008A2236">
              <w:rPr>
                <w:rFonts w:eastAsia="Calibri"/>
              </w:rPr>
              <w:t xml:space="preserve"> areas meet the forest definition </w:t>
            </w:r>
            <w:r>
              <w:rPr>
                <w:rFonts w:eastAsia="Calibri"/>
              </w:rPr>
              <w:t>– see chapter 11,</w:t>
            </w:r>
            <w:r w:rsidRPr="008A2236">
              <w:rPr>
                <w:rFonts w:eastAsia="Calibri"/>
              </w:rPr>
              <w:t xml:space="preserve"> sections 11.5.1 and 11.5.3</w:t>
            </w:r>
          </w:p>
          <w:p w14:paraId="16978F08" w14:textId="7107038F" w:rsidR="00DC5E0C" w:rsidRDefault="00366397" w:rsidP="009404C9">
            <w:pPr>
              <w:pStyle w:val="TableText"/>
              <w:spacing w:before="0" w:after="40"/>
              <w:ind w:left="284" w:hanging="284"/>
              <w:rPr>
                <w:rFonts w:eastAsia="Calibri"/>
              </w:rPr>
            </w:pPr>
            <w:r>
              <w:rPr>
                <w:rFonts w:eastAsia="Calibri"/>
              </w:rPr>
              <w:t>(</w:t>
            </w:r>
            <w:r w:rsidRPr="008A2236">
              <w:rPr>
                <w:rFonts w:eastAsia="Calibri"/>
              </w:rPr>
              <w:t xml:space="preserve">b) </w:t>
            </w:r>
            <w:r w:rsidR="00DC5E0C">
              <w:rPr>
                <w:rFonts w:eastAsia="Calibri"/>
              </w:rPr>
              <w:tab/>
            </w:r>
            <w:r>
              <w:rPr>
                <w:rFonts w:eastAsia="Calibri"/>
              </w:rPr>
              <w:t xml:space="preserve">how </w:t>
            </w:r>
            <w:r w:rsidRPr="008A2236">
              <w:rPr>
                <w:rFonts w:eastAsia="Calibri"/>
              </w:rPr>
              <w:t xml:space="preserve">all transitions to forest land are human induced </w:t>
            </w:r>
            <w:r>
              <w:rPr>
                <w:rFonts w:eastAsia="Calibri"/>
              </w:rPr>
              <w:t>– see chapter 6,</w:t>
            </w:r>
            <w:r w:rsidRPr="008A2236">
              <w:rPr>
                <w:rFonts w:eastAsia="Calibri"/>
              </w:rPr>
              <w:t xml:space="preserve"> section</w:t>
            </w:r>
            <w:r>
              <w:rPr>
                <w:rFonts w:eastAsia="Calibri"/>
              </w:rPr>
              <w:t> </w:t>
            </w:r>
            <w:r w:rsidRPr="008A2236">
              <w:rPr>
                <w:rFonts w:eastAsia="Calibri"/>
              </w:rPr>
              <w:t xml:space="preserve">6.3.2 and </w:t>
            </w:r>
            <w:r>
              <w:rPr>
                <w:rFonts w:eastAsia="Calibri"/>
              </w:rPr>
              <w:t xml:space="preserve">chapter 11, section </w:t>
            </w:r>
            <w:r w:rsidRPr="008A2236">
              <w:rPr>
                <w:rFonts w:eastAsia="Calibri"/>
              </w:rPr>
              <w:t>11.5</w:t>
            </w:r>
          </w:p>
          <w:p w14:paraId="488AD0CC" w14:textId="77A83BFA" w:rsidR="00366397" w:rsidRPr="008A2236" w:rsidRDefault="00366397" w:rsidP="009404C9">
            <w:pPr>
              <w:pStyle w:val="TableText"/>
              <w:spacing w:before="0" w:after="40"/>
              <w:ind w:left="284" w:hanging="284"/>
            </w:pPr>
            <w:r>
              <w:rPr>
                <w:rFonts w:eastAsia="Calibri"/>
              </w:rPr>
              <w:t>(</w:t>
            </w:r>
            <w:r w:rsidRPr="008A2236">
              <w:rPr>
                <w:rFonts w:eastAsia="Calibri"/>
              </w:rPr>
              <w:t xml:space="preserve">c) </w:t>
            </w:r>
            <w:r w:rsidR="00DC5E0C">
              <w:rPr>
                <w:rFonts w:eastAsia="Calibri"/>
              </w:rPr>
              <w:tab/>
            </w:r>
            <w:r w:rsidRPr="008A2236">
              <w:rPr>
                <w:rFonts w:eastAsia="Calibri"/>
              </w:rPr>
              <w:t xml:space="preserve">the geographical location of the boundaries of the areas that encompass lands subject to </w:t>
            </w:r>
            <w:r w:rsidRPr="000764EE">
              <w:rPr>
                <w:rFonts w:eastAsia="Calibri"/>
                <w:i/>
                <w:iCs/>
              </w:rPr>
              <w:t>Afforestation/reforestation</w:t>
            </w:r>
            <w:r w:rsidRPr="008A2236">
              <w:rPr>
                <w:rFonts w:eastAsia="Calibri"/>
              </w:rPr>
              <w:t xml:space="preserve"> activities </w:t>
            </w:r>
            <w:r>
              <w:rPr>
                <w:rFonts w:eastAsia="Calibri"/>
              </w:rPr>
              <w:t>– see</w:t>
            </w:r>
            <w:r w:rsidRPr="008A2236">
              <w:rPr>
                <w:rFonts w:eastAsia="Calibri"/>
              </w:rPr>
              <w:t xml:space="preserve"> annex</w:t>
            </w:r>
            <w:r>
              <w:rPr>
                <w:rFonts w:eastAsia="Calibri"/>
              </w:rPr>
              <w:t>es</w:t>
            </w:r>
            <w:r w:rsidRPr="008A2236">
              <w:rPr>
                <w:rFonts w:eastAsia="Calibri"/>
              </w:rPr>
              <w:t xml:space="preserve"> A3.2.2 and</w:t>
            </w:r>
            <w:r w:rsidR="009404C9">
              <w:rPr>
                <w:rFonts w:eastAsia="Calibri"/>
              </w:rPr>
              <w:t> </w:t>
            </w:r>
            <w:r w:rsidRPr="008A2236">
              <w:rPr>
                <w:rFonts w:eastAsia="Calibri"/>
              </w:rPr>
              <w:t>A3.2.3</w:t>
            </w:r>
            <w:r>
              <w:rPr>
                <w:rFonts w:eastAsia="Calibri"/>
              </w:rPr>
              <w:t>.</w:t>
            </w:r>
          </w:p>
        </w:tc>
      </w:tr>
      <w:tr w:rsidR="009371C3" w:rsidRPr="008A2236" w14:paraId="21CB892D" w14:textId="77777777" w:rsidTr="001959CB">
        <w:tc>
          <w:tcPr>
            <w:tcW w:w="1871" w:type="dxa"/>
            <w:shd w:val="clear" w:color="auto" w:fill="FFFFFF"/>
            <w:vAlign w:val="center"/>
          </w:tcPr>
          <w:p w14:paraId="0B8914E9" w14:textId="77777777" w:rsidR="00366397" w:rsidRPr="008A2236" w:rsidRDefault="00366397" w:rsidP="00C125E2">
            <w:pPr>
              <w:pStyle w:val="TableText"/>
              <w:spacing w:before="40" w:after="40"/>
            </w:pPr>
            <w:r w:rsidRPr="008A2236">
              <w:rPr>
                <w:rFonts w:eastAsia="Calibri"/>
              </w:rPr>
              <w:t>KP-LULUCF activities – F</w:t>
            </w:r>
            <w:r>
              <w:rPr>
                <w:rFonts w:eastAsia="Calibri"/>
              </w:rPr>
              <w:t>orest management</w:t>
            </w:r>
            <w:r w:rsidRPr="008A2236">
              <w:rPr>
                <w:rFonts w:eastAsia="Calibri"/>
              </w:rPr>
              <w:t xml:space="preserve"> – CO</w:t>
            </w:r>
            <w:r w:rsidRPr="008A2236">
              <w:rPr>
                <w:rFonts w:eastAsia="Calibri"/>
                <w:vertAlign w:val="subscript"/>
              </w:rPr>
              <w:t>2</w:t>
            </w:r>
          </w:p>
        </w:tc>
        <w:tc>
          <w:tcPr>
            <w:tcW w:w="907" w:type="dxa"/>
            <w:shd w:val="clear" w:color="auto" w:fill="FFFFFF"/>
            <w:vAlign w:val="center"/>
          </w:tcPr>
          <w:p w14:paraId="24F3EC16" w14:textId="77777777" w:rsidR="00366397" w:rsidRPr="008A2236" w:rsidRDefault="00366397" w:rsidP="00C125E2">
            <w:pPr>
              <w:pStyle w:val="TableText"/>
              <w:spacing w:before="40" w:after="40"/>
            </w:pPr>
            <w:r w:rsidRPr="008A2236">
              <w:rPr>
                <w:rFonts w:eastAsia="Calibri"/>
              </w:rPr>
              <w:t>KL.5, 2019</w:t>
            </w:r>
          </w:p>
        </w:tc>
        <w:tc>
          <w:tcPr>
            <w:tcW w:w="2835" w:type="dxa"/>
            <w:shd w:val="clear" w:color="auto" w:fill="FFFFFF"/>
            <w:vAlign w:val="center"/>
          </w:tcPr>
          <w:p w14:paraId="3CB4DFBC" w14:textId="77777777" w:rsidR="00366397" w:rsidRPr="008A2236" w:rsidRDefault="00366397" w:rsidP="00C125E2">
            <w:pPr>
              <w:pStyle w:val="TableText"/>
              <w:spacing w:before="40" w:after="40"/>
            </w:pPr>
            <w:r w:rsidRPr="008A2236">
              <w:rPr>
                <w:rFonts w:eastAsia="Calibri"/>
              </w:rPr>
              <w:t xml:space="preserve">Include relevant information in the NIR in support of the mandatory requirement to demonstrate that the mineral soil pool under </w:t>
            </w:r>
            <w:r w:rsidRPr="009C58F3">
              <w:rPr>
                <w:rFonts w:eastAsia="Calibri"/>
              </w:rPr>
              <w:t xml:space="preserve">FM </w:t>
            </w:r>
            <w:r w:rsidRPr="008A2236">
              <w:rPr>
                <w:rFonts w:eastAsia="Calibri"/>
              </w:rPr>
              <w:t>is not a source, following the guidance in section 2.3.1 of the Kyoto Protocol Supplement (IPCC. 2014).</w:t>
            </w:r>
          </w:p>
        </w:tc>
        <w:tc>
          <w:tcPr>
            <w:tcW w:w="2778" w:type="dxa"/>
            <w:shd w:val="clear" w:color="auto" w:fill="FFFFFF"/>
            <w:vAlign w:val="center"/>
          </w:tcPr>
          <w:p w14:paraId="01F7FDAD" w14:textId="77777777" w:rsidR="00366397" w:rsidRPr="008A2236" w:rsidRDefault="00366397" w:rsidP="00C125E2">
            <w:pPr>
              <w:pStyle w:val="TableText"/>
              <w:spacing w:before="40" w:after="40"/>
            </w:pPr>
            <w:r w:rsidRPr="008A2236">
              <w:rPr>
                <w:rFonts w:eastAsia="Calibri"/>
                <w:b/>
              </w:rPr>
              <w:t>Not resolved</w:t>
            </w:r>
            <w:r w:rsidRPr="008A2236">
              <w:rPr>
                <w:rFonts w:eastAsia="Calibri"/>
                <w:bCs/>
              </w:rPr>
              <w:t>. To undertake a robust study to collect this information would likely cost between $400,000</w:t>
            </w:r>
            <w:r>
              <w:rPr>
                <w:rFonts w:eastAsia="Calibri"/>
                <w:bCs/>
              </w:rPr>
              <w:t xml:space="preserve"> </w:t>
            </w:r>
            <w:r w:rsidRPr="008A2236">
              <w:rPr>
                <w:rFonts w:eastAsia="Calibri"/>
                <w:bCs/>
              </w:rPr>
              <w:t xml:space="preserve">and $600,000 </w:t>
            </w:r>
            <w:r>
              <w:rPr>
                <w:rFonts w:eastAsia="Calibri"/>
                <w:bCs/>
              </w:rPr>
              <w:t xml:space="preserve">NZD </w:t>
            </w:r>
            <w:r w:rsidRPr="008A2236">
              <w:rPr>
                <w:rFonts w:eastAsia="Calibri"/>
                <w:bCs/>
              </w:rPr>
              <w:t>per year. At a minimum, this is more than five times the annual research budget for the LULUCF sector. Following decision tree 2.4 in volume 4 of the 2006 IPCC Guidelines (IPCC</w:t>
            </w:r>
            <w:r>
              <w:rPr>
                <w:rFonts w:eastAsia="Calibri"/>
                <w:bCs/>
              </w:rPr>
              <w:t>,</w:t>
            </w:r>
            <w:r w:rsidRPr="008A2236">
              <w:rPr>
                <w:rFonts w:eastAsia="Calibri"/>
                <w:bCs/>
              </w:rPr>
              <w:t xml:space="preserve"> 2006</w:t>
            </w:r>
            <w:r>
              <w:rPr>
                <w:rFonts w:eastAsia="Calibri"/>
                <w:bCs/>
              </w:rPr>
              <w:t>b</w:t>
            </w:r>
            <w:r w:rsidRPr="008A2236">
              <w:rPr>
                <w:rFonts w:eastAsia="Calibri"/>
                <w:bCs/>
              </w:rPr>
              <w:t xml:space="preserve">), there are insufficient resources to implement such research in the near future without a significant increase in funding. </w:t>
            </w:r>
          </w:p>
        </w:tc>
      </w:tr>
      <w:tr w:rsidR="009371C3" w:rsidRPr="008A2236" w14:paraId="6CC4B347" w14:textId="77777777" w:rsidTr="001959CB">
        <w:tc>
          <w:tcPr>
            <w:tcW w:w="1871" w:type="dxa"/>
            <w:shd w:val="clear" w:color="auto" w:fill="FFFFFF"/>
            <w:vAlign w:val="center"/>
          </w:tcPr>
          <w:p w14:paraId="185A4717" w14:textId="77777777" w:rsidR="00366397" w:rsidRPr="008A2236" w:rsidRDefault="00366397" w:rsidP="00C125E2">
            <w:pPr>
              <w:pStyle w:val="TableText"/>
              <w:spacing w:before="40" w:after="40"/>
            </w:pPr>
            <w:r w:rsidRPr="008A2236">
              <w:rPr>
                <w:rFonts w:eastAsia="Calibri"/>
              </w:rPr>
              <w:t>KP-LULUCF activities – F</w:t>
            </w:r>
            <w:r>
              <w:rPr>
                <w:rFonts w:eastAsia="Calibri"/>
              </w:rPr>
              <w:t>orest management</w:t>
            </w:r>
            <w:r w:rsidRPr="008A2236">
              <w:rPr>
                <w:rFonts w:eastAsia="Calibri"/>
              </w:rPr>
              <w:t xml:space="preserve"> – CO</w:t>
            </w:r>
            <w:r w:rsidRPr="008A2236">
              <w:rPr>
                <w:rFonts w:eastAsia="Calibri"/>
                <w:vertAlign w:val="subscript"/>
              </w:rPr>
              <w:t>2</w:t>
            </w:r>
          </w:p>
        </w:tc>
        <w:tc>
          <w:tcPr>
            <w:tcW w:w="907" w:type="dxa"/>
            <w:shd w:val="clear" w:color="auto" w:fill="FFFFFF"/>
            <w:vAlign w:val="center"/>
          </w:tcPr>
          <w:p w14:paraId="5A65E943" w14:textId="77777777" w:rsidR="00366397" w:rsidRPr="008A2236" w:rsidRDefault="00366397" w:rsidP="00C125E2">
            <w:pPr>
              <w:pStyle w:val="TableText"/>
              <w:spacing w:before="40" w:after="40"/>
            </w:pPr>
            <w:r w:rsidRPr="008A2236">
              <w:rPr>
                <w:rFonts w:eastAsia="Calibri"/>
              </w:rPr>
              <w:t>KL.6, 2019</w:t>
            </w:r>
          </w:p>
        </w:tc>
        <w:tc>
          <w:tcPr>
            <w:tcW w:w="2835" w:type="dxa"/>
            <w:shd w:val="clear" w:color="auto" w:fill="FFFFFF"/>
            <w:vAlign w:val="center"/>
          </w:tcPr>
          <w:p w14:paraId="12B29A1E" w14:textId="77777777" w:rsidR="00366397" w:rsidRPr="008A2236" w:rsidRDefault="00366397" w:rsidP="00C125E2">
            <w:pPr>
              <w:pStyle w:val="TableText"/>
              <w:spacing w:before="40" w:after="40"/>
            </w:pPr>
            <w:r w:rsidRPr="008A2236">
              <w:rPr>
                <w:rFonts w:eastAsia="Calibri"/>
              </w:rPr>
              <w:t xml:space="preserve">Include information in the NIR on which areas and categories of forest land (as in CRF table 4.A) are related to the areas of </w:t>
            </w:r>
            <w:r w:rsidRPr="009C58F3">
              <w:rPr>
                <w:rFonts w:eastAsia="Calibri"/>
              </w:rPr>
              <w:t xml:space="preserve">FM </w:t>
            </w:r>
            <w:r w:rsidRPr="008A2236">
              <w:rPr>
                <w:rFonts w:eastAsia="Calibri"/>
              </w:rPr>
              <w:t>in CRF table 4(KP- I)B.1.</w:t>
            </w:r>
          </w:p>
        </w:tc>
        <w:tc>
          <w:tcPr>
            <w:tcW w:w="2778" w:type="dxa"/>
            <w:shd w:val="clear" w:color="auto" w:fill="FFFFFF"/>
            <w:vAlign w:val="center"/>
          </w:tcPr>
          <w:p w14:paraId="68CF1E27" w14:textId="77777777" w:rsidR="00366397" w:rsidRPr="008A2236" w:rsidRDefault="00366397" w:rsidP="00C125E2">
            <w:pPr>
              <w:pStyle w:val="TableText"/>
              <w:spacing w:before="40" w:after="40"/>
            </w:pPr>
            <w:r w:rsidRPr="008A2236">
              <w:rPr>
                <w:rFonts w:eastAsia="Calibri"/>
                <w:b/>
              </w:rPr>
              <w:t>Resolved.</w:t>
            </w:r>
            <w:r w:rsidRPr="008A2236">
              <w:rPr>
                <w:rFonts w:eastAsia="Calibri"/>
              </w:rPr>
              <w:t xml:space="preserve"> Table 11.3.3 has been added to chapter 11, providing this information.</w:t>
            </w:r>
          </w:p>
        </w:tc>
      </w:tr>
    </w:tbl>
    <w:p w14:paraId="511EA753" w14:textId="1D3B9CA8" w:rsidR="00366397" w:rsidRPr="00AE0986" w:rsidRDefault="00366397" w:rsidP="00C81AE9">
      <w:pPr>
        <w:pStyle w:val="Noteundertable"/>
        <w:tabs>
          <w:tab w:val="clear" w:pos="567"/>
        </w:tabs>
        <w:rPr>
          <w:b/>
          <w:bCs/>
        </w:rPr>
      </w:pPr>
      <w:r w:rsidRPr="00D27DFE">
        <w:rPr>
          <w:b/>
          <w:bCs/>
        </w:rPr>
        <w:t>Note:</w:t>
      </w:r>
      <w:r w:rsidRPr="00D27DFE">
        <w:rPr>
          <w:b/>
          <w:bCs/>
        </w:rPr>
        <w:tab/>
      </w:r>
      <w:r w:rsidRPr="008A2236">
        <w:rPr>
          <w:rFonts w:eastAsia="Calibri"/>
        </w:rPr>
        <w:t>AD</w:t>
      </w:r>
      <w:r>
        <w:rPr>
          <w:rFonts w:eastAsia="Calibri"/>
        </w:rPr>
        <w:t xml:space="preserve"> = activity data;</w:t>
      </w:r>
      <w:r w:rsidRPr="008A2236">
        <w:rPr>
          <w:rFonts w:eastAsia="Calibri"/>
        </w:rPr>
        <w:t xml:space="preserve"> </w:t>
      </w:r>
      <w:r w:rsidRPr="007772AC">
        <w:rPr>
          <w:rFonts w:eastAsia="Calibri"/>
        </w:rPr>
        <w:t>AR</w:t>
      </w:r>
      <w:r>
        <w:rPr>
          <w:rFonts w:eastAsia="Calibri"/>
        </w:rPr>
        <w:t xml:space="preserve"> = </w:t>
      </w:r>
      <w:r>
        <w:rPr>
          <w:rFonts w:eastAsia="Calibri"/>
          <w:i/>
          <w:iCs/>
        </w:rPr>
        <w:t>Afforestation/deforestation</w:t>
      </w:r>
      <w:r>
        <w:rPr>
          <w:rFonts w:eastAsia="Calibri"/>
        </w:rPr>
        <w:t>;</w:t>
      </w:r>
      <w:r w:rsidRPr="008A2236">
        <w:rPr>
          <w:rFonts w:eastAsia="Calibri"/>
        </w:rPr>
        <w:t xml:space="preserve"> CRF</w:t>
      </w:r>
      <w:r>
        <w:rPr>
          <w:rFonts w:eastAsia="Calibri"/>
        </w:rPr>
        <w:t xml:space="preserve"> = common reporting format;</w:t>
      </w:r>
      <w:r w:rsidRPr="008A2236">
        <w:rPr>
          <w:rFonts w:eastAsia="Calibri"/>
        </w:rPr>
        <w:t xml:space="preserve"> CSC</w:t>
      </w:r>
      <w:r>
        <w:rPr>
          <w:rFonts w:eastAsia="Calibri"/>
        </w:rPr>
        <w:t xml:space="preserve"> = carbon stock</w:t>
      </w:r>
      <w:r w:rsidR="00C81AE9">
        <w:rPr>
          <w:rFonts w:eastAsia="Calibri"/>
        </w:rPr>
        <w:t> </w:t>
      </w:r>
      <w:r>
        <w:rPr>
          <w:rFonts w:eastAsia="Calibri"/>
        </w:rPr>
        <w:t>change;</w:t>
      </w:r>
      <w:r w:rsidRPr="009C58F3">
        <w:rPr>
          <w:rFonts w:eastAsia="Calibri"/>
        </w:rPr>
        <w:t xml:space="preserve"> </w:t>
      </w:r>
      <w:r w:rsidRPr="008A2236">
        <w:rPr>
          <w:rFonts w:eastAsia="Calibri"/>
        </w:rPr>
        <w:t>EF</w:t>
      </w:r>
      <w:r>
        <w:rPr>
          <w:rFonts w:eastAsia="Calibri"/>
        </w:rPr>
        <w:t xml:space="preserve"> = emission factor;</w:t>
      </w:r>
      <w:r w:rsidRPr="008A2236">
        <w:rPr>
          <w:rFonts w:eastAsia="Calibri"/>
        </w:rPr>
        <w:t xml:space="preserve"> ERT</w:t>
      </w:r>
      <w:r>
        <w:rPr>
          <w:rFonts w:eastAsia="Calibri"/>
        </w:rPr>
        <w:t xml:space="preserve"> = expert review team;</w:t>
      </w:r>
      <w:r w:rsidRPr="008A2236">
        <w:rPr>
          <w:rFonts w:eastAsia="Calibri"/>
        </w:rPr>
        <w:t xml:space="preserve"> </w:t>
      </w:r>
      <w:r w:rsidRPr="009C58F3">
        <w:rPr>
          <w:rFonts w:eastAsia="Calibri"/>
        </w:rPr>
        <w:t>FM</w:t>
      </w:r>
      <w:r w:rsidRPr="008A2236">
        <w:rPr>
          <w:rFonts w:eastAsia="Calibri"/>
        </w:rPr>
        <w:t xml:space="preserve"> </w:t>
      </w:r>
      <w:r>
        <w:rPr>
          <w:rFonts w:eastAsia="Calibri"/>
        </w:rPr>
        <w:t xml:space="preserve">= </w:t>
      </w:r>
      <w:r>
        <w:rPr>
          <w:rFonts w:eastAsia="Calibri"/>
          <w:i/>
          <w:iCs/>
        </w:rPr>
        <w:t>Forest management</w:t>
      </w:r>
      <w:r>
        <w:rPr>
          <w:rFonts w:eastAsia="Calibri"/>
        </w:rPr>
        <w:t>;</w:t>
      </w:r>
      <w:r>
        <w:rPr>
          <w:rFonts w:eastAsia="Calibri"/>
          <w:i/>
          <w:iCs/>
        </w:rPr>
        <w:t xml:space="preserve"> </w:t>
      </w:r>
      <w:r w:rsidRPr="008A2236">
        <w:rPr>
          <w:rFonts w:eastAsia="Calibri"/>
        </w:rPr>
        <w:t>HFC</w:t>
      </w:r>
      <w:r>
        <w:rPr>
          <w:rFonts w:eastAsia="Calibri"/>
        </w:rPr>
        <w:t xml:space="preserve"> = hydrofluorocarbon; IPCC = Intergovernmental Panel on Climate Change;</w:t>
      </w:r>
      <w:r w:rsidRPr="00BB6BBD">
        <w:rPr>
          <w:rFonts w:eastAsia="Calibri"/>
        </w:rPr>
        <w:t xml:space="preserve"> </w:t>
      </w:r>
      <w:r w:rsidRPr="008A2236">
        <w:rPr>
          <w:rFonts w:eastAsia="Calibri"/>
        </w:rPr>
        <w:t>IPPU</w:t>
      </w:r>
      <w:r>
        <w:rPr>
          <w:rFonts w:eastAsia="Calibri"/>
        </w:rPr>
        <w:t xml:space="preserve"> = Industrial Processes and Product Use;</w:t>
      </w:r>
      <w:r w:rsidRPr="008A2236">
        <w:rPr>
          <w:rFonts w:eastAsia="Calibri"/>
        </w:rPr>
        <w:t xml:space="preserve"> </w:t>
      </w:r>
      <w:r>
        <w:rPr>
          <w:rFonts w:eastAsia="Calibri"/>
        </w:rPr>
        <w:t xml:space="preserve">KP = Kyoto Protocol; </w:t>
      </w:r>
      <w:r w:rsidRPr="008A2236">
        <w:rPr>
          <w:rFonts w:eastAsia="Calibri"/>
        </w:rPr>
        <w:t>LULUCF</w:t>
      </w:r>
      <w:r w:rsidRPr="00BB6BBD">
        <w:rPr>
          <w:rFonts w:eastAsia="Calibri"/>
        </w:rPr>
        <w:t xml:space="preserve"> </w:t>
      </w:r>
      <w:r>
        <w:rPr>
          <w:rFonts w:eastAsia="Calibri"/>
        </w:rPr>
        <w:t xml:space="preserve">= Land Use, Land-Use Change and Forestry; </w:t>
      </w:r>
      <w:r w:rsidRPr="008A2236">
        <w:rPr>
          <w:rFonts w:eastAsia="Calibri"/>
        </w:rPr>
        <w:t>NIR</w:t>
      </w:r>
      <w:r w:rsidRPr="00BB6BBD">
        <w:rPr>
          <w:rFonts w:eastAsia="Calibri"/>
        </w:rPr>
        <w:t xml:space="preserve"> </w:t>
      </w:r>
      <w:r>
        <w:rPr>
          <w:rFonts w:eastAsia="Calibri"/>
        </w:rPr>
        <w:t xml:space="preserve">= National Inventory Report; </w:t>
      </w:r>
      <w:r w:rsidRPr="008A2236">
        <w:rPr>
          <w:rFonts w:eastAsia="Calibri"/>
        </w:rPr>
        <w:t>PFC</w:t>
      </w:r>
      <w:r>
        <w:rPr>
          <w:rFonts w:eastAsia="Calibri"/>
        </w:rPr>
        <w:t xml:space="preserve"> = perfluorocarbon;</w:t>
      </w:r>
      <w:r w:rsidRPr="00BB6BBD">
        <w:rPr>
          <w:rFonts w:eastAsia="Calibri"/>
        </w:rPr>
        <w:t xml:space="preserve"> </w:t>
      </w:r>
      <w:r w:rsidRPr="008A2236">
        <w:rPr>
          <w:rFonts w:eastAsia="Calibri"/>
        </w:rPr>
        <w:t>SWDS</w:t>
      </w:r>
      <w:r>
        <w:rPr>
          <w:rFonts w:eastAsia="Calibri"/>
        </w:rPr>
        <w:t xml:space="preserve"> = solid waste disposal site;</w:t>
      </w:r>
      <w:r w:rsidRPr="008A2236">
        <w:rPr>
          <w:rFonts w:eastAsia="Calibri"/>
        </w:rPr>
        <w:t xml:space="preserve"> UNFCCC</w:t>
      </w:r>
      <w:r>
        <w:rPr>
          <w:rFonts w:eastAsia="Calibri"/>
        </w:rPr>
        <w:t xml:space="preserve"> = United Nations Framework Convention on Climate Change.</w:t>
      </w:r>
    </w:p>
    <w:p w14:paraId="2005F0CC" w14:textId="77777777" w:rsidR="00366397" w:rsidRPr="008A2236" w:rsidRDefault="00366397" w:rsidP="00366397">
      <w:pPr>
        <w:pStyle w:val="BodyText"/>
      </w:pPr>
      <w:r w:rsidRPr="008A2236">
        <w:rPr>
          <w:bCs/>
        </w:rPr>
        <w:t xml:space="preserve">Table </w:t>
      </w:r>
      <w:r w:rsidRPr="008A2236">
        <w:t xml:space="preserve">5 of the 2019 ARR contains new recommendations related to the review of the 2019 submission. These recommendations, along with New Zealand’s latest responses to date, are detailed in table </w:t>
      </w:r>
      <w:r w:rsidRPr="008A2236">
        <w:rPr>
          <w:bCs/>
        </w:rPr>
        <w:t>10.2.</w:t>
      </w:r>
      <w:r w:rsidRPr="008A2236">
        <w:t>2.</w:t>
      </w:r>
    </w:p>
    <w:p w14:paraId="1EF38D31" w14:textId="77777777" w:rsidR="00366397" w:rsidRPr="008A2236" w:rsidRDefault="00366397" w:rsidP="00366397">
      <w:pPr>
        <w:pStyle w:val="Table"/>
      </w:pPr>
      <w:bookmarkStart w:id="2661" w:name="_Toc99659383"/>
      <w:r w:rsidRPr="008A2236">
        <w:lastRenderedPageBreak/>
        <w:t>Table 10.2.2</w:t>
      </w:r>
      <w:r w:rsidRPr="008A2236">
        <w:tab/>
        <w:t>New Zealand’s response</w:t>
      </w:r>
      <w:r>
        <w:t>s</w:t>
      </w:r>
      <w:r w:rsidRPr="008A2236">
        <w:t xml:space="preserve"> to recommendations in table 5 of the 2019 assessment review report from the review of New Zealand’s 2019 inventory submission</w:t>
      </w:r>
      <w:bookmarkEnd w:id="2661"/>
    </w:p>
    <w:tbl>
      <w:tblPr>
        <w:tblW w:w="8505" w:type="dxa"/>
        <w:tblInd w:w="113" w:type="dxa"/>
        <w:tblBorders>
          <w:top w:val="single" w:sz="4" w:space="0" w:color="1B556B"/>
          <w:bottom w:val="single" w:sz="4" w:space="0" w:color="1B556B"/>
          <w:insideH w:val="single" w:sz="4" w:space="0" w:color="1B556B"/>
        </w:tblBorders>
        <w:tblLook w:val="0420" w:firstRow="1" w:lastRow="0" w:firstColumn="0" w:lastColumn="0" w:noHBand="0" w:noVBand="1"/>
      </w:tblPr>
      <w:tblGrid>
        <w:gridCol w:w="1794"/>
        <w:gridCol w:w="925"/>
        <w:gridCol w:w="2893"/>
        <w:gridCol w:w="2893"/>
      </w:tblGrid>
      <w:tr w:rsidR="00366397" w:rsidRPr="00366397" w14:paraId="689A189D" w14:textId="77777777" w:rsidTr="00B027A0">
        <w:trPr>
          <w:tblHeader/>
        </w:trPr>
        <w:tc>
          <w:tcPr>
            <w:tcW w:w="1758" w:type="dxa"/>
            <w:shd w:val="clear" w:color="auto" w:fill="1B556B"/>
            <w:vAlign w:val="bottom"/>
          </w:tcPr>
          <w:p w14:paraId="007C446E" w14:textId="77777777" w:rsidR="00366397" w:rsidRPr="00366397" w:rsidRDefault="00366397" w:rsidP="0030211F">
            <w:pPr>
              <w:pStyle w:val="TableTextBold"/>
              <w:rPr>
                <w:color w:val="FFFFFF"/>
              </w:rPr>
            </w:pPr>
            <w:r w:rsidRPr="00366397">
              <w:rPr>
                <w:rFonts w:eastAsia="Calibri"/>
                <w:color w:val="FFFFFF"/>
              </w:rPr>
              <w:t>Sector</w:t>
            </w:r>
          </w:p>
        </w:tc>
        <w:tc>
          <w:tcPr>
            <w:tcW w:w="907" w:type="dxa"/>
            <w:shd w:val="clear" w:color="auto" w:fill="1B556B"/>
            <w:vAlign w:val="bottom"/>
          </w:tcPr>
          <w:p w14:paraId="3A59E935" w14:textId="77777777" w:rsidR="00366397" w:rsidRPr="00366397" w:rsidRDefault="00366397" w:rsidP="0030211F">
            <w:pPr>
              <w:pStyle w:val="TableTextBold"/>
              <w:rPr>
                <w:color w:val="FFFFFF"/>
              </w:rPr>
            </w:pPr>
            <w:r w:rsidRPr="00366397">
              <w:rPr>
                <w:rFonts w:eastAsia="Calibri"/>
                <w:color w:val="FFFFFF"/>
              </w:rPr>
              <w:t>ID number</w:t>
            </w:r>
          </w:p>
        </w:tc>
        <w:tc>
          <w:tcPr>
            <w:tcW w:w="2835" w:type="dxa"/>
            <w:shd w:val="clear" w:color="auto" w:fill="1B556B"/>
          </w:tcPr>
          <w:p w14:paraId="26546768" w14:textId="77777777" w:rsidR="00366397" w:rsidRPr="00366397" w:rsidRDefault="00366397" w:rsidP="0030211F">
            <w:pPr>
              <w:pStyle w:val="TableTextBold"/>
              <w:rPr>
                <w:color w:val="FFFFFF"/>
              </w:rPr>
            </w:pPr>
            <w:r w:rsidRPr="00366397">
              <w:rPr>
                <w:rFonts w:eastAsia="Calibri"/>
                <w:color w:val="FFFFFF"/>
              </w:rPr>
              <w:t>Expert review team recommendation</w:t>
            </w:r>
          </w:p>
        </w:tc>
        <w:tc>
          <w:tcPr>
            <w:tcW w:w="2835" w:type="dxa"/>
            <w:shd w:val="clear" w:color="auto" w:fill="1B556B"/>
            <w:vAlign w:val="bottom"/>
          </w:tcPr>
          <w:p w14:paraId="0F0FB4DC" w14:textId="77777777" w:rsidR="00366397" w:rsidRPr="00366397" w:rsidRDefault="00366397" w:rsidP="0030211F">
            <w:pPr>
              <w:pStyle w:val="TableTextBold"/>
              <w:rPr>
                <w:color w:val="FFFFFF"/>
              </w:rPr>
            </w:pPr>
            <w:r w:rsidRPr="00366397">
              <w:rPr>
                <w:rFonts w:eastAsia="Calibri"/>
                <w:color w:val="FFFFFF"/>
              </w:rPr>
              <w:t>New Zealand response</w:t>
            </w:r>
          </w:p>
        </w:tc>
      </w:tr>
      <w:tr w:rsidR="00366397" w:rsidRPr="008A2236" w14:paraId="7DC143EC" w14:textId="77777777" w:rsidTr="00B027A0">
        <w:tc>
          <w:tcPr>
            <w:tcW w:w="1758" w:type="dxa"/>
            <w:shd w:val="clear" w:color="auto" w:fill="FFFFFF"/>
            <w:vAlign w:val="center"/>
          </w:tcPr>
          <w:p w14:paraId="7AAF1DD1" w14:textId="77777777" w:rsidR="00366397" w:rsidRPr="008A2236" w:rsidRDefault="00366397" w:rsidP="0030211F">
            <w:pPr>
              <w:pStyle w:val="TableText"/>
            </w:pPr>
            <w:r w:rsidRPr="008A2236">
              <w:rPr>
                <w:rFonts w:eastAsia="Calibri"/>
              </w:rPr>
              <w:t xml:space="preserve">General </w:t>
            </w:r>
            <w:r>
              <w:rPr>
                <w:rFonts w:eastAsia="Calibri"/>
              </w:rPr>
              <w:t>–</w:t>
            </w:r>
            <w:r w:rsidRPr="008A2236">
              <w:rPr>
                <w:rFonts w:eastAsia="Calibri"/>
              </w:rPr>
              <w:t xml:space="preserve"> Article 3, paragraph 14 of the Kyoto Protocol</w:t>
            </w:r>
          </w:p>
        </w:tc>
        <w:tc>
          <w:tcPr>
            <w:tcW w:w="907" w:type="dxa"/>
            <w:shd w:val="clear" w:color="auto" w:fill="FFFFFF"/>
            <w:vAlign w:val="center"/>
          </w:tcPr>
          <w:p w14:paraId="2B17D283" w14:textId="77777777" w:rsidR="00366397" w:rsidRPr="008A2236" w:rsidRDefault="00366397" w:rsidP="0030211F">
            <w:pPr>
              <w:pStyle w:val="TableText"/>
            </w:pPr>
            <w:r w:rsidRPr="008A2236">
              <w:rPr>
                <w:rFonts w:eastAsia="Calibri"/>
              </w:rPr>
              <w:t>G.3, 2019</w:t>
            </w:r>
          </w:p>
        </w:tc>
        <w:tc>
          <w:tcPr>
            <w:tcW w:w="2835" w:type="dxa"/>
            <w:shd w:val="clear" w:color="auto" w:fill="FFFFFF"/>
          </w:tcPr>
          <w:p w14:paraId="4BF3C188" w14:textId="77777777" w:rsidR="00366397" w:rsidRPr="008A2236" w:rsidRDefault="00366397" w:rsidP="0030211F">
            <w:pPr>
              <w:pStyle w:val="TableText"/>
            </w:pPr>
            <w:r w:rsidRPr="008A2236">
              <w:rPr>
                <w:rFonts w:eastAsia="Calibri"/>
              </w:rPr>
              <w:t>The ERT recommends that New Zealand report in the NIR information on changes in its reporting on the minimization of adverse impacts in accordance with Article 3, paragraph 14, of the Kyoto Protocol.</w:t>
            </w:r>
          </w:p>
        </w:tc>
        <w:tc>
          <w:tcPr>
            <w:tcW w:w="2835" w:type="dxa"/>
            <w:shd w:val="clear" w:color="auto" w:fill="FFFFFF"/>
            <w:vAlign w:val="center"/>
          </w:tcPr>
          <w:p w14:paraId="6154655B" w14:textId="77777777" w:rsidR="00366397" w:rsidRPr="008A2236" w:rsidRDefault="00366397" w:rsidP="0030211F">
            <w:pPr>
              <w:pStyle w:val="TableText"/>
            </w:pPr>
            <w:r w:rsidRPr="008A2236">
              <w:rPr>
                <w:rFonts w:eastAsia="Calibri"/>
                <w:b/>
              </w:rPr>
              <w:t>Resolved.</w:t>
            </w:r>
            <w:r w:rsidRPr="008A2236">
              <w:rPr>
                <w:rFonts w:eastAsia="Calibri"/>
              </w:rPr>
              <w:t xml:space="preserve"> Statements have been added in chapter</w:t>
            </w:r>
            <w:r>
              <w:rPr>
                <w:rFonts w:eastAsia="Calibri"/>
              </w:rPr>
              <w:t> </w:t>
            </w:r>
            <w:r w:rsidRPr="008A2236">
              <w:rPr>
                <w:rFonts w:eastAsia="Calibri"/>
              </w:rPr>
              <w:t>15 specify</w:t>
            </w:r>
            <w:r>
              <w:rPr>
                <w:rFonts w:eastAsia="Calibri"/>
              </w:rPr>
              <w:t>ing</w:t>
            </w:r>
            <w:r w:rsidRPr="008A2236">
              <w:rPr>
                <w:rFonts w:eastAsia="Calibri"/>
              </w:rPr>
              <w:t xml:space="preserve"> the changes in New Zealand’s reporting on the minimisation of adverse impacts compared with information reported in the previous NIR.</w:t>
            </w:r>
          </w:p>
        </w:tc>
      </w:tr>
      <w:tr w:rsidR="00366397" w:rsidRPr="008A2236" w14:paraId="52F39B51" w14:textId="77777777" w:rsidTr="00B027A0">
        <w:tc>
          <w:tcPr>
            <w:tcW w:w="1758" w:type="dxa"/>
            <w:shd w:val="clear" w:color="auto" w:fill="FFFFFF"/>
            <w:vAlign w:val="center"/>
          </w:tcPr>
          <w:p w14:paraId="7A57BC34" w14:textId="77777777" w:rsidR="00366397" w:rsidRPr="008A2236" w:rsidRDefault="00366397" w:rsidP="0030211F">
            <w:pPr>
              <w:pStyle w:val="TableText"/>
            </w:pPr>
            <w:r w:rsidRPr="008A2236">
              <w:rPr>
                <w:rFonts w:eastAsia="Calibri"/>
              </w:rPr>
              <w:t>General – Uncertainty analysis</w:t>
            </w:r>
          </w:p>
        </w:tc>
        <w:tc>
          <w:tcPr>
            <w:tcW w:w="907" w:type="dxa"/>
            <w:shd w:val="clear" w:color="auto" w:fill="FFFFFF"/>
            <w:vAlign w:val="center"/>
          </w:tcPr>
          <w:p w14:paraId="12DC0051" w14:textId="77777777" w:rsidR="00366397" w:rsidRPr="008A2236" w:rsidRDefault="00366397" w:rsidP="0030211F">
            <w:pPr>
              <w:pStyle w:val="TableText"/>
            </w:pPr>
            <w:r w:rsidRPr="008A2236">
              <w:rPr>
                <w:rFonts w:eastAsia="Calibri"/>
              </w:rPr>
              <w:t>G.7, 2019</w:t>
            </w:r>
          </w:p>
        </w:tc>
        <w:tc>
          <w:tcPr>
            <w:tcW w:w="2835" w:type="dxa"/>
            <w:shd w:val="clear" w:color="auto" w:fill="FFFFFF"/>
          </w:tcPr>
          <w:p w14:paraId="1D04ECC8" w14:textId="77777777" w:rsidR="00366397" w:rsidRPr="008A2236" w:rsidRDefault="00366397" w:rsidP="0030211F">
            <w:pPr>
              <w:pStyle w:val="TableText"/>
            </w:pPr>
            <w:r w:rsidRPr="008A2236">
              <w:rPr>
                <w:rFonts w:eastAsia="Calibri"/>
              </w:rPr>
              <w:t>The ERT recommends that New Zealand include in the NIR an uncertainty analysis for 1990 (the base year under the Convention).</w:t>
            </w:r>
          </w:p>
        </w:tc>
        <w:tc>
          <w:tcPr>
            <w:tcW w:w="2835" w:type="dxa"/>
            <w:shd w:val="clear" w:color="auto" w:fill="FFFFFF"/>
            <w:vAlign w:val="center"/>
          </w:tcPr>
          <w:p w14:paraId="60FC87D3" w14:textId="77777777" w:rsidR="00366397" w:rsidRPr="008A2236" w:rsidRDefault="00366397" w:rsidP="0030211F">
            <w:pPr>
              <w:pStyle w:val="TableText"/>
            </w:pPr>
            <w:r w:rsidRPr="008A2236">
              <w:rPr>
                <w:rFonts w:eastAsia="Calibri"/>
                <w:b/>
              </w:rPr>
              <w:t>Resolved.</w:t>
            </w:r>
            <w:r w:rsidRPr="008A2236">
              <w:rPr>
                <w:rFonts w:eastAsia="Calibri"/>
              </w:rPr>
              <w:t xml:space="preserve"> The uncertainty analysis for 1990 was included as first reported in the 2020 submission.</w:t>
            </w:r>
          </w:p>
        </w:tc>
      </w:tr>
      <w:tr w:rsidR="00366397" w:rsidRPr="008A2236" w14:paraId="4A0854E7" w14:textId="77777777" w:rsidTr="00B027A0">
        <w:tc>
          <w:tcPr>
            <w:tcW w:w="1758" w:type="dxa"/>
            <w:shd w:val="clear" w:color="auto" w:fill="FFFFFF"/>
            <w:vAlign w:val="center"/>
          </w:tcPr>
          <w:p w14:paraId="669A6151" w14:textId="77777777" w:rsidR="00366397" w:rsidRPr="008A2236" w:rsidRDefault="00366397" w:rsidP="0030211F">
            <w:pPr>
              <w:pStyle w:val="TableText"/>
            </w:pPr>
            <w:r w:rsidRPr="008A2236">
              <w:rPr>
                <w:rFonts w:eastAsia="Calibri"/>
              </w:rPr>
              <w:t>Energy – 1.A.1.a Public electricity and heat production – liquid fuels – CO</w:t>
            </w:r>
            <w:r w:rsidRPr="008A2236">
              <w:rPr>
                <w:rFonts w:eastAsia="Calibri"/>
                <w:vertAlign w:val="subscript"/>
              </w:rPr>
              <w:t>2</w:t>
            </w:r>
          </w:p>
        </w:tc>
        <w:tc>
          <w:tcPr>
            <w:tcW w:w="907" w:type="dxa"/>
            <w:shd w:val="clear" w:color="auto" w:fill="FFFFFF"/>
            <w:vAlign w:val="center"/>
          </w:tcPr>
          <w:p w14:paraId="4B945A09" w14:textId="77777777" w:rsidR="00366397" w:rsidRPr="008A2236" w:rsidRDefault="00366397" w:rsidP="0030211F">
            <w:pPr>
              <w:pStyle w:val="TableText"/>
            </w:pPr>
            <w:r w:rsidRPr="008A2236">
              <w:rPr>
                <w:rFonts w:eastAsia="Calibri"/>
              </w:rPr>
              <w:t>E.23, 2019</w:t>
            </w:r>
          </w:p>
        </w:tc>
        <w:tc>
          <w:tcPr>
            <w:tcW w:w="2835" w:type="dxa"/>
            <w:shd w:val="clear" w:color="auto" w:fill="FFFFFF"/>
          </w:tcPr>
          <w:p w14:paraId="154EDD8B" w14:textId="77777777" w:rsidR="00366397" w:rsidRPr="008A2236" w:rsidRDefault="00366397" w:rsidP="0030211F">
            <w:pPr>
              <w:pStyle w:val="TableText"/>
            </w:pPr>
            <w:r w:rsidRPr="008A2236">
              <w:rPr>
                <w:rFonts w:eastAsia="Calibri"/>
              </w:rPr>
              <w:t>The ERT recommends that New Zealand include information on trends in liquid fuel consumption, especially by explaining the values for 2001 (reported as “NO”) and 1992 and 2008 (where consumption and emissions were significantly higher than in other years since 1990).</w:t>
            </w:r>
          </w:p>
        </w:tc>
        <w:tc>
          <w:tcPr>
            <w:tcW w:w="2835" w:type="dxa"/>
            <w:shd w:val="clear" w:color="auto" w:fill="FFFFFF"/>
            <w:vAlign w:val="center"/>
          </w:tcPr>
          <w:p w14:paraId="0D95E1E9" w14:textId="77777777" w:rsidR="00366397" w:rsidRPr="008A2236" w:rsidRDefault="00366397" w:rsidP="0030211F">
            <w:pPr>
              <w:pStyle w:val="TableText"/>
            </w:pPr>
            <w:r w:rsidRPr="008A2236">
              <w:rPr>
                <w:rFonts w:eastAsia="Calibri"/>
                <w:b/>
              </w:rPr>
              <w:t>Resolved.</w:t>
            </w:r>
            <w:r w:rsidRPr="008A2236">
              <w:rPr>
                <w:rFonts w:eastAsia="Calibri"/>
              </w:rPr>
              <w:t xml:space="preserve"> A description of the drivers behind fluctuations in electricity generation by fuel type is given in chapter 3, section 3.3.6. After further investigation with the MBIE electricity data system manager, the reported liquid fuel activity data </w:t>
            </w:r>
            <w:r>
              <w:rPr>
                <w:rFonts w:eastAsia="Calibri"/>
              </w:rPr>
              <w:t>were</w:t>
            </w:r>
            <w:r w:rsidRPr="008A2236">
              <w:rPr>
                <w:rFonts w:eastAsia="Calibri"/>
              </w:rPr>
              <w:t xml:space="preserve"> found to be align</w:t>
            </w:r>
            <w:r>
              <w:rPr>
                <w:rFonts w:eastAsia="Calibri"/>
              </w:rPr>
              <w:t>ed</w:t>
            </w:r>
            <w:r w:rsidRPr="008A2236">
              <w:rPr>
                <w:rFonts w:eastAsia="Calibri"/>
              </w:rPr>
              <w:t xml:space="preserve"> with the data reported by companies at the time. No further information is available.</w:t>
            </w:r>
          </w:p>
        </w:tc>
      </w:tr>
      <w:tr w:rsidR="00366397" w:rsidRPr="008A2236" w14:paraId="5EF04357" w14:textId="77777777" w:rsidTr="00B027A0">
        <w:tc>
          <w:tcPr>
            <w:tcW w:w="1758" w:type="dxa"/>
            <w:shd w:val="clear" w:color="auto" w:fill="FFFFFF"/>
            <w:vAlign w:val="center"/>
          </w:tcPr>
          <w:p w14:paraId="3CADF0AB" w14:textId="77777777" w:rsidR="00366397" w:rsidRPr="008A2236" w:rsidRDefault="00366397" w:rsidP="0030211F">
            <w:pPr>
              <w:pStyle w:val="TableText"/>
            </w:pPr>
            <w:r w:rsidRPr="008A2236">
              <w:rPr>
                <w:rFonts w:eastAsia="Calibri"/>
              </w:rPr>
              <w:t>Energy – 1.A.2 Manufacturing industries and construction – liquid fuels – CO</w:t>
            </w:r>
            <w:r w:rsidRPr="008A2236">
              <w:rPr>
                <w:rFonts w:eastAsia="Calibri"/>
                <w:vertAlign w:val="subscript"/>
              </w:rPr>
              <w:t>2</w:t>
            </w:r>
            <w:r w:rsidRPr="008A2236">
              <w:rPr>
                <w:rFonts w:eastAsia="Calibri"/>
              </w:rPr>
              <w:t>,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77F6A649" w14:textId="77777777" w:rsidR="00366397" w:rsidRPr="008A2236" w:rsidRDefault="00366397" w:rsidP="0030211F">
            <w:pPr>
              <w:pStyle w:val="TableText"/>
            </w:pPr>
            <w:r w:rsidRPr="008A2236">
              <w:rPr>
                <w:rFonts w:eastAsia="Calibri"/>
              </w:rPr>
              <w:t>E.24, 2019</w:t>
            </w:r>
          </w:p>
        </w:tc>
        <w:tc>
          <w:tcPr>
            <w:tcW w:w="2835" w:type="dxa"/>
            <w:shd w:val="clear" w:color="auto" w:fill="FFFFFF"/>
          </w:tcPr>
          <w:p w14:paraId="4C563A60" w14:textId="77777777" w:rsidR="00366397" w:rsidRPr="008A2236" w:rsidRDefault="00366397" w:rsidP="0030211F">
            <w:pPr>
              <w:pStyle w:val="TableText"/>
            </w:pPr>
            <w:r w:rsidRPr="008A2236">
              <w:rPr>
                <w:rFonts w:eastAsia="Calibri"/>
              </w:rPr>
              <w:t>The ERT recommends that New Zealand include more detail on the method used for disaggregation of liquid fuels to the subcategories under manufacturing industries and construction (such as energy intensities in PJ per unit of GDP).</w:t>
            </w:r>
          </w:p>
        </w:tc>
        <w:tc>
          <w:tcPr>
            <w:tcW w:w="2835" w:type="dxa"/>
            <w:shd w:val="clear" w:color="auto" w:fill="FFFFFF"/>
            <w:vAlign w:val="center"/>
          </w:tcPr>
          <w:p w14:paraId="230A5875" w14:textId="77777777" w:rsidR="00366397" w:rsidRPr="008A2236" w:rsidRDefault="00366397" w:rsidP="0030211F">
            <w:pPr>
              <w:pStyle w:val="TableText"/>
            </w:pPr>
            <w:r w:rsidRPr="008A2236">
              <w:rPr>
                <w:rFonts w:eastAsia="Calibri"/>
                <w:b/>
              </w:rPr>
              <w:t>Resolved.</w:t>
            </w:r>
            <w:r w:rsidRPr="008A2236">
              <w:rPr>
                <w:rFonts w:eastAsia="Calibri"/>
              </w:rPr>
              <w:t xml:space="preserve"> A table of energy intensities by fuel type has been included in the NIR (chapter 3, table 3.3.5).</w:t>
            </w:r>
          </w:p>
        </w:tc>
      </w:tr>
      <w:tr w:rsidR="00366397" w:rsidRPr="008A2236" w14:paraId="3165FC33" w14:textId="77777777" w:rsidTr="00B027A0">
        <w:tc>
          <w:tcPr>
            <w:tcW w:w="1758" w:type="dxa"/>
            <w:shd w:val="clear" w:color="auto" w:fill="FFFFFF"/>
            <w:vAlign w:val="center"/>
          </w:tcPr>
          <w:p w14:paraId="42543B58" w14:textId="77777777" w:rsidR="00366397" w:rsidRPr="008A2236" w:rsidRDefault="00366397" w:rsidP="0030211F">
            <w:pPr>
              <w:pStyle w:val="TableText"/>
            </w:pPr>
            <w:r w:rsidRPr="008A2236">
              <w:rPr>
                <w:rFonts w:eastAsia="Calibri"/>
              </w:rPr>
              <w:t>Energy – 1.A.2.c Chemicals – gaseous fuels – CO</w:t>
            </w:r>
            <w:r w:rsidRPr="008A2236">
              <w:rPr>
                <w:rFonts w:eastAsia="Calibri"/>
                <w:vertAlign w:val="subscript"/>
              </w:rPr>
              <w:t>2</w:t>
            </w:r>
            <w:r w:rsidRPr="008A2236">
              <w:rPr>
                <w:rFonts w:eastAsia="Calibri"/>
              </w:rPr>
              <w:t>,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34757789" w14:textId="77777777" w:rsidR="00366397" w:rsidRPr="008A2236" w:rsidRDefault="00366397" w:rsidP="0030211F">
            <w:pPr>
              <w:pStyle w:val="TableText"/>
            </w:pPr>
            <w:r w:rsidRPr="008A2236">
              <w:rPr>
                <w:rFonts w:eastAsia="Calibri"/>
              </w:rPr>
              <w:t>E.26, 2019</w:t>
            </w:r>
          </w:p>
        </w:tc>
        <w:tc>
          <w:tcPr>
            <w:tcW w:w="2835" w:type="dxa"/>
            <w:shd w:val="clear" w:color="auto" w:fill="FFFFFF"/>
          </w:tcPr>
          <w:p w14:paraId="19779113" w14:textId="77777777" w:rsidR="00366397" w:rsidRPr="008A2236" w:rsidRDefault="00366397" w:rsidP="0030211F">
            <w:pPr>
              <w:pStyle w:val="TableText"/>
            </w:pPr>
            <w:r w:rsidRPr="008A2236">
              <w:rPr>
                <w:rFonts w:eastAsia="Calibri"/>
              </w:rPr>
              <w:t>The ERT recommends that New Zealand explain the trend in fuel consumption and emissions from chemicals in the NIR.</w:t>
            </w:r>
          </w:p>
        </w:tc>
        <w:tc>
          <w:tcPr>
            <w:tcW w:w="2835" w:type="dxa"/>
            <w:shd w:val="clear" w:color="auto" w:fill="FFFFFF"/>
            <w:vAlign w:val="center"/>
          </w:tcPr>
          <w:p w14:paraId="1B053243" w14:textId="60EA5CC1" w:rsidR="00366397" w:rsidRPr="008A2236" w:rsidRDefault="00366397" w:rsidP="0030211F">
            <w:pPr>
              <w:pStyle w:val="TableText"/>
            </w:pPr>
            <w:r w:rsidRPr="008A2236">
              <w:rPr>
                <w:rFonts w:eastAsia="Calibri"/>
                <w:b/>
              </w:rPr>
              <w:t>Resolved.</w:t>
            </w:r>
            <w:r w:rsidRPr="008A2236">
              <w:rPr>
                <w:rFonts w:eastAsia="Calibri"/>
              </w:rPr>
              <w:t xml:space="preserve"> Explanatory text</w:t>
            </w:r>
            <w:r>
              <w:rPr>
                <w:rFonts w:eastAsia="Calibri"/>
              </w:rPr>
              <w:t xml:space="preserve"> has been</w:t>
            </w:r>
            <w:r w:rsidRPr="008A2236">
              <w:rPr>
                <w:rFonts w:eastAsia="Calibri"/>
              </w:rPr>
              <w:t xml:space="preserve"> added to chapter 3, section 3.2.3. Also refer to chapter</w:t>
            </w:r>
            <w:r>
              <w:rPr>
                <w:rFonts w:eastAsia="Calibri"/>
              </w:rPr>
              <w:t> </w:t>
            </w:r>
            <w:r w:rsidRPr="008A2236">
              <w:rPr>
                <w:rFonts w:eastAsia="Calibri"/>
              </w:rPr>
              <w:t>3, figure 3.2.1,</w:t>
            </w:r>
            <w:r>
              <w:rPr>
                <w:rFonts w:eastAsia="Calibri"/>
              </w:rPr>
              <w:t xml:space="preserve"> which</w:t>
            </w:r>
            <w:r w:rsidRPr="008A2236">
              <w:rPr>
                <w:rFonts w:eastAsia="Calibri"/>
              </w:rPr>
              <w:t xml:space="preserve"> show</w:t>
            </w:r>
            <w:r>
              <w:rPr>
                <w:rFonts w:eastAsia="Calibri"/>
              </w:rPr>
              <w:t>s</w:t>
            </w:r>
            <w:r w:rsidRPr="008A2236">
              <w:rPr>
                <w:rFonts w:eastAsia="Calibri"/>
              </w:rPr>
              <w:t xml:space="preserve"> natural gas consumption by end use type. Most of New Zealand’s chemical production uses natural gas and most non-energy use of natural gas is in chemical production. Therefore, the</w:t>
            </w:r>
            <w:r w:rsidR="002B5D54">
              <w:rPr>
                <w:rFonts w:eastAsia="Calibri"/>
              </w:rPr>
              <w:t> </w:t>
            </w:r>
            <w:r w:rsidRPr="008A2236">
              <w:rPr>
                <w:rFonts w:eastAsia="Calibri"/>
              </w:rPr>
              <w:t>trend in fuel consumption (and so</w:t>
            </w:r>
            <w:r w:rsidR="002B5D54">
              <w:rPr>
                <w:rFonts w:eastAsia="Calibri"/>
              </w:rPr>
              <w:t> </w:t>
            </w:r>
            <w:r w:rsidRPr="008A2236">
              <w:rPr>
                <w:rFonts w:eastAsia="Calibri"/>
              </w:rPr>
              <w:t>emissions) can be inferred from figure</w:t>
            </w:r>
            <w:r w:rsidR="002B5D54">
              <w:rPr>
                <w:rFonts w:eastAsia="Calibri"/>
              </w:rPr>
              <w:t> </w:t>
            </w:r>
            <w:r w:rsidRPr="008A2236">
              <w:rPr>
                <w:rFonts w:eastAsia="Calibri"/>
              </w:rPr>
              <w:t>3.2.1.</w:t>
            </w:r>
          </w:p>
        </w:tc>
      </w:tr>
      <w:tr w:rsidR="00366397" w:rsidRPr="008A2236" w14:paraId="0CC1A5D2" w14:textId="77777777" w:rsidTr="00B027A0">
        <w:tc>
          <w:tcPr>
            <w:tcW w:w="1758" w:type="dxa"/>
            <w:shd w:val="clear" w:color="auto" w:fill="FFFFFF"/>
            <w:vAlign w:val="center"/>
          </w:tcPr>
          <w:p w14:paraId="3088EB6C" w14:textId="77777777" w:rsidR="00366397" w:rsidRDefault="00366397" w:rsidP="0030211F">
            <w:pPr>
              <w:pStyle w:val="TableText"/>
              <w:rPr>
                <w:rFonts w:eastAsia="Calibri"/>
              </w:rPr>
            </w:pPr>
            <w:r w:rsidRPr="008A2236">
              <w:rPr>
                <w:rFonts w:eastAsia="Calibri"/>
              </w:rPr>
              <w:t xml:space="preserve">Energy – 1.A.2.f Non-metallic minerals </w:t>
            </w:r>
          </w:p>
          <w:p w14:paraId="0FBC5F3C" w14:textId="77777777" w:rsidR="00366397" w:rsidRPr="008A2236" w:rsidRDefault="00366397" w:rsidP="0030211F">
            <w:pPr>
              <w:pStyle w:val="TableText"/>
            </w:pPr>
            <w:r w:rsidRPr="008A2236">
              <w:rPr>
                <w:rFonts w:eastAsia="Calibri"/>
              </w:rPr>
              <w:t>1.A.2.g.i Manufacturing of machinery – gaseous fuels – CO</w:t>
            </w:r>
            <w:r w:rsidRPr="008A2236">
              <w:rPr>
                <w:rFonts w:eastAsia="Calibri"/>
                <w:vertAlign w:val="subscript"/>
              </w:rPr>
              <w:t>2</w:t>
            </w:r>
            <w:r w:rsidRPr="008A2236">
              <w:rPr>
                <w:rFonts w:eastAsia="Calibri"/>
              </w:rPr>
              <w:t>,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489E41D6" w14:textId="77777777" w:rsidR="00366397" w:rsidRPr="008A2236" w:rsidRDefault="00366397" w:rsidP="0030211F">
            <w:pPr>
              <w:pStyle w:val="TableText"/>
            </w:pPr>
            <w:r w:rsidRPr="008A2236">
              <w:rPr>
                <w:rFonts w:eastAsia="Calibri"/>
              </w:rPr>
              <w:t>E.28, 2019</w:t>
            </w:r>
          </w:p>
        </w:tc>
        <w:tc>
          <w:tcPr>
            <w:tcW w:w="2835" w:type="dxa"/>
            <w:shd w:val="clear" w:color="auto" w:fill="FFFFFF"/>
          </w:tcPr>
          <w:p w14:paraId="7A507BB1" w14:textId="77777777" w:rsidR="00366397" w:rsidRPr="008A2236" w:rsidRDefault="00366397" w:rsidP="0030211F">
            <w:pPr>
              <w:pStyle w:val="TableText"/>
            </w:pPr>
            <w:r w:rsidRPr="008A2236">
              <w:rPr>
                <w:rFonts w:eastAsia="Calibri"/>
              </w:rPr>
              <w:t>The ERT recommends that New Zealand review the allocation of emissions for subcategories 1.A.2.f (non-metallic minerals) and 1.A.2.g.i (manufacturing of machinery) from gaseous fuel consumption for 2009–2015 and explain any recalculation in the NIR.</w:t>
            </w:r>
          </w:p>
        </w:tc>
        <w:tc>
          <w:tcPr>
            <w:tcW w:w="2835" w:type="dxa"/>
            <w:shd w:val="clear" w:color="auto" w:fill="FFFFFF"/>
            <w:vAlign w:val="center"/>
          </w:tcPr>
          <w:p w14:paraId="7CA6240B" w14:textId="485C69C6" w:rsidR="00366397" w:rsidRPr="008A2236" w:rsidRDefault="00366397" w:rsidP="0030211F">
            <w:pPr>
              <w:pStyle w:val="TableText"/>
            </w:pPr>
            <w:r w:rsidRPr="008A2236">
              <w:rPr>
                <w:rFonts w:eastAsia="Calibri"/>
                <w:b/>
              </w:rPr>
              <w:t>Resolved.</w:t>
            </w:r>
            <w:r w:rsidRPr="008A2236">
              <w:rPr>
                <w:rFonts w:eastAsia="Calibri"/>
              </w:rPr>
              <w:t xml:space="preserve"> The allocation of emissions for</w:t>
            </w:r>
            <w:r w:rsidR="002B5D54">
              <w:rPr>
                <w:rFonts w:eastAsia="Calibri"/>
              </w:rPr>
              <w:t> </w:t>
            </w:r>
            <w:r w:rsidRPr="008A2236">
              <w:rPr>
                <w:rFonts w:eastAsia="Calibri"/>
              </w:rPr>
              <w:t>subcategories 1.A.2.f (non-metallic minerals) and 1.A.2.g.i (manufacturing of</w:t>
            </w:r>
            <w:r w:rsidR="002B5D54">
              <w:rPr>
                <w:rFonts w:eastAsia="Calibri"/>
              </w:rPr>
              <w:t> </w:t>
            </w:r>
            <w:r w:rsidRPr="008A2236">
              <w:rPr>
                <w:rFonts w:eastAsia="Calibri"/>
              </w:rPr>
              <w:t>machinery) from gaseous fuel consumption for 2009–2015 has been reviewed by the sector compiler in conjunction with the MBIE oil and gas data system manager. In light of the available information given the historical period, the conclusion was reached that there is currently insufficient justification to make a reallocation to energy sales data and that, to maintain consistency</w:t>
            </w:r>
            <w:r>
              <w:rPr>
                <w:rFonts w:eastAsia="Calibri"/>
              </w:rPr>
              <w:t>,</w:t>
            </w:r>
            <w:r w:rsidRPr="008A2236">
              <w:rPr>
                <w:rFonts w:eastAsia="Calibri"/>
              </w:rPr>
              <w:t xml:space="preserve"> the emissions estimates should continue to be based directly off the energy sales data. So no recalculation to emissions for these categories is required.</w:t>
            </w:r>
          </w:p>
        </w:tc>
      </w:tr>
      <w:tr w:rsidR="00366397" w:rsidRPr="008A2236" w14:paraId="69A35ED1" w14:textId="77777777" w:rsidTr="00B027A0">
        <w:tc>
          <w:tcPr>
            <w:tcW w:w="1758" w:type="dxa"/>
            <w:shd w:val="clear" w:color="auto" w:fill="FFFFFF"/>
            <w:vAlign w:val="center"/>
          </w:tcPr>
          <w:p w14:paraId="7C032B73" w14:textId="77777777" w:rsidR="00366397" w:rsidRPr="008A2236" w:rsidRDefault="00366397" w:rsidP="0030211F">
            <w:pPr>
              <w:pStyle w:val="TableText"/>
            </w:pPr>
            <w:r w:rsidRPr="008A2236">
              <w:rPr>
                <w:rFonts w:eastAsia="Calibri"/>
              </w:rPr>
              <w:t xml:space="preserve">Energy </w:t>
            </w:r>
            <w:r>
              <w:rPr>
                <w:rFonts w:eastAsia="Calibri"/>
              </w:rPr>
              <w:t>–</w:t>
            </w:r>
            <w:r w:rsidRPr="008A2236">
              <w:rPr>
                <w:rFonts w:eastAsia="Calibri"/>
              </w:rPr>
              <w:t xml:space="preserve"> 1.A.3.b Road transportation – liquid and gaseous fuels – CO</w:t>
            </w:r>
            <w:r w:rsidRPr="008A2236">
              <w:rPr>
                <w:rFonts w:eastAsia="Calibri"/>
                <w:vertAlign w:val="subscript"/>
              </w:rPr>
              <w:t>2</w:t>
            </w:r>
            <w:r w:rsidRPr="008A2236">
              <w:rPr>
                <w:rFonts w:eastAsia="Calibri"/>
              </w:rPr>
              <w:t>,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20A6C388" w14:textId="77777777" w:rsidR="00366397" w:rsidRPr="008A2236" w:rsidRDefault="00366397" w:rsidP="0030211F">
            <w:pPr>
              <w:pStyle w:val="TableText"/>
            </w:pPr>
            <w:r w:rsidRPr="008A2236">
              <w:rPr>
                <w:rFonts w:eastAsia="Calibri"/>
              </w:rPr>
              <w:t>E.29, 2019</w:t>
            </w:r>
          </w:p>
        </w:tc>
        <w:tc>
          <w:tcPr>
            <w:tcW w:w="2835" w:type="dxa"/>
            <w:shd w:val="clear" w:color="auto" w:fill="FFFFFF"/>
          </w:tcPr>
          <w:p w14:paraId="38A7E97C" w14:textId="77777777" w:rsidR="00366397" w:rsidRPr="008A2236" w:rsidRDefault="00366397" w:rsidP="0030211F">
            <w:pPr>
              <w:pStyle w:val="TableText"/>
            </w:pPr>
            <w:r w:rsidRPr="008A2236">
              <w:rPr>
                <w:rFonts w:eastAsia="Calibri"/>
              </w:rPr>
              <w:t>The ERT recommends that New Zealand report as “NO”, instead of “IE”, the AD and emissions for biomass for light- and heavy- duty trucks and buses, and diesel, liquefied petroleum gas and biomass for motorcycles for before 2000.</w:t>
            </w:r>
          </w:p>
        </w:tc>
        <w:tc>
          <w:tcPr>
            <w:tcW w:w="2835" w:type="dxa"/>
            <w:shd w:val="clear" w:color="auto" w:fill="FFFFFF"/>
            <w:vAlign w:val="center"/>
          </w:tcPr>
          <w:p w14:paraId="1CB512EA" w14:textId="77777777" w:rsidR="00366397" w:rsidRPr="008A2236" w:rsidRDefault="00366397" w:rsidP="0030211F">
            <w:pPr>
              <w:pStyle w:val="TableText"/>
            </w:pPr>
            <w:r w:rsidRPr="008A2236">
              <w:rPr>
                <w:rFonts w:eastAsia="Calibri"/>
                <w:b/>
              </w:rPr>
              <w:t>Resolved.</w:t>
            </w:r>
            <w:r w:rsidRPr="008A2236">
              <w:rPr>
                <w:rFonts w:eastAsia="Calibri"/>
              </w:rPr>
              <w:t xml:space="preserve"> </w:t>
            </w:r>
            <w:r>
              <w:rPr>
                <w:rFonts w:eastAsia="Calibri"/>
              </w:rPr>
              <w:t>This has been i</w:t>
            </w:r>
            <w:r w:rsidRPr="008A2236">
              <w:rPr>
                <w:rFonts w:eastAsia="Calibri"/>
              </w:rPr>
              <w:t>mplemented in CRF</w:t>
            </w:r>
            <w:r>
              <w:rPr>
                <w:rFonts w:eastAsia="Calibri"/>
              </w:rPr>
              <w:t> </w:t>
            </w:r>
            <w:r w:rsidRPr="008A2236">
              <w:rPr>
                <w:rFonts w:eastAsia="Calibri"/>
              </w:rPr>
              <w:t>table 1.A.3.b.</w:t>
            </w:r>
          </w:p>
        </w:tc>
      </w:tr>
      <w:tr w:rsidR="00366397" w:rsidRPr="008A2236" w14:paraId="128BA769" w14:textId="77777777" w:rsidTr="00B027A0">
        <w:tc>
          <w:tcPr>
            <w:tcW w:w="1758" w:type="dxa"/>
            <w:shd w:val="clear" w:color="auto" w:fill="FFFFFF"/>
            <w:vAlign w:val="center"/>
          </w:tcPr>
          <w:p w14:paraId="3B796087" w14:textId="77777777" w:rsidR="00366397" w:rsidRPr="008A2236" w:rsidRDefault="00366397" w:rsidP="008E545C">
            <w:pPr>
              <w:pStyle w:val="TableText"/>
              <w:keepNext/>
            </w:pPr>
            <w:r w:rsidRPr="008A2236">
              <w:rPr>
                <w:rFonts w:eastAsia="Calibri"/>
              </w:rPr>
              <w:lastRenderedPageBreak/>
              <w:t>Energy – 1.A.3.b Road transportation – liquid and gaseous fuels – CO</w:t>
            </w:r>
            <w:r w:rsidRPr="008A2236">
              <w:rPr>
                <w:rFonts w:eastAsia="Calibri"/>
                <w:vertAlign w:val="subscript"/>
              </w:rPr>
              <w:t>2</w:t>
            </w:r>
          </w:p>
        </w:tc>
        <w:tc>
          <w:tcPr>
            <w:tcW w:w="907" w:type="dxa"/>
            <w:shd w:val="clear" w:color="auto" w:fill="FFFFFF"/>
            <w:vAlign w:val="center"/>
          </w:tcPr>
          <w:p w14:paraId="3A78E466" w14:textId="77777777" w:rsidR="00366397" w:rsidRPr="008A2236" w:rsidRDefault="00366397" w:rsidP="0030211F">
            <w:pPr>
              <w:pStyle w:val="TableText"/>
            </w:pPr>
            <w:r w:rsidRPr="008A2236">
              <w:rPr>
                <w:rFonts w:eastAsia="Calibri"/>
              </w:rPr>
              <w:t>E.30, 2019</w:t>
            </w:r>
          </w:p>
        </w:tc>
        <w:tc>
          <w:tcPr>
            <w:tcW w:w="2835" w:type="dxa"/>
            <w:shd w:val="clear" w:color="auto" w:fill="FFFFFF"/>
          </w:tcPr>
          <w:p w14:paraId="4ADEF03A" w14:textId="77777777" w:rsidR="00366397" w:rsidRPr="008A2236" w:rsidRDefault="00366397" w:rsidP="0030211F">
            <w:pPr>
              <w:pStyle w:val="TableText"/>
            </w:pPr>
            <w:r w:rsidRPr="008A2236">
              <w:rPr>
                <w:rFonts w:eastAsia="Calibri"/>
              </w:rPr>
              <w:t>The ERT recommends that New Zealand continue to estimate the CO</w:t>
            </w:r>
            <w:r w:rsidRPr="008A2236">
              <w:rPr>
                <w:rFonts w:eastAsia="Calibri"/>
                <w:vertAlign w:val="subscript"/>
              </w:rPr>
              <w:t>2</w:t>
            </w:r>
            <w:r w:rsidRPr="008A2236">
              <w:rPr>
                <w:rFonts w:eastAsia="Calibri"/>
              </w:rPr>
              <w:t xml:space="preserve"> emissions on the basis of fuel sold, but report the CO</w:t>
            </w:r>
            <w:r w:rsidRPr="008A2236">
              <w:rPr>
                <w:rFonts w:eastAsia="Calibri"/>
                <w:vertAlign w:val="subscript"/>
              </w:rPr>
              <w:t>2</w:t>
            </w:r>
            <w:r w:rsidRPr="008A2236">
              <w:rPr>
                <w:rFonts w:eastAsia="Calibri"/>
              </w:rPr>
              <w:t xml:space="preserve"> emissions for before 2000 disaggregated by vehicle mode (cars, light-duty trucks, heavy-duty trucks and buses, and motorcycles) using the data collected for the estimation of CH</w:t>
            </w:r>
            <w:r w:rsidRPr="00EE4ED0">
              <w:rPr>
                <w:rFonts w:eastAsia="Calibri"/>
              </w:rPr>
              <w:t>4</w:t>
            </w:r>
            <w:r w:rsidRPr="008A2236">
              <w:rPr>
                <w:rFonts w:eastAsia="Calibri"/>
              </w:rPr>
              <w:t xml:space="preserve"> and N</w:t>
            </w:r>
            <w:r w:rsidRPr="00EE4ED0">
              <w:rPr>
                <w:rFonts w:eastAsia="Calibri"/>
              </w:rPr>
              <w:t>2</w:t>
            </w:r>
            <w:r w:rsidRPr="008A2236">
              <w:rPr>
                <w:rFonts w:eastAsia="Calibri"/>
              </w:rPr>
              <w:t>O emissions as a good practice to verify the CO</w:t>
            </w:r>
            <w:r w:rsidRPr="008A2236">
              <w:rPr>
                <w:rFonts w:eastAsia="Calibri"/>
                <w:vertAlign w:val="subscript"/>
              </w:rPr>
              <w:t>2</w:t>
            </w:r>
            <w:r w:rsidRPr="008A2236">
              <w:rPr>
                <w:rFonts w:eastAsia="Calibri"/>
              </w:rPr>
              <w:t xml:space="preserve"> estimates obtained with a tier 1 approach.</w:t>
            </w:r>
          </w:p>
        </w:tc>
        <w:tc>
          <w:tcPr>
            <w:tcW w:w="2835" w:type="dxa"/>
            <w:shd w:val="clear" w:color="auto" w:fill="FFFFFF"/>
            <w:vAlign w:val="center"/>
          </w:tcPr>
          <w:p w14:paraId="65B2AC5F" w14:textId="77777777" w:rsidR="00366397" w:rsidRPr="008A2236" w:rsidRDefault="00366397" w:rsidP="0030211F">
            <w:pPr>
              <w:pStyle w:val="TableText"/>
              <w:rPr>
                <w:highlight w:val="yellow"/>
              </w:rPr>
            </w:pPr>
            <w:r w:rsidRPr="008A2236">
              <w:rPr>
                <w:rFonts w:eastAsia="Calibri"/>
                <w:b/>
              </w:rPr>
              <w:t>Addressing.</w:t>
            </w:r>
            <w:r w:rsidRPr="008A2236">
              <w:rPr>
                <w:rFonts w:eastAsia="Calibri"/>
              </w:rPr>
              <w:t xml:space="preserve"> A project to accomplish this disaggregation is under</w:t>
            </w:r>
            <w:r>
              <w:rPr>
                <w:rFonts w:eastAsia="Calibri"/>
              </w:rPr>
              <w:t xml:space="preserve"> </w:t>
            </w:r>
            <w:r w:rsidRPr="008A2236">
              <w:rPr>
                <w:rFonts w:eastAsia="Calibri"/>
              </w:rPr>
              <w:t>way, and key milestones of the system code reconfiguration have been reached. Delivery is expected for the 2023 submission.</w:t>
            </w:r>
          </w:p>
        </w:tc>
      </w:tr>
      <w:tr w:rsidR="00366397" w:rsidRPr="008A2236" w14:paraId="537ADAE8" w14:textId="77777777" w:rsidTr="00B027A0">
        <w:tc>
          <w:tcPr>
            <w:tcW w:w="1758" w:type="dxa"/>
            <w:shd w:val="clear" w:color="auto" w:fill="FFFFFF"/>
            <w:vAlign w:val="center"/>
          </w:tcPr>
          <w:p w14:paraId="12A21408" w14:textId="77777777" w:rsidR="00366397" w:rsidRPr="008A2236" w:rsidRDefault="00366397" w:rsidP="0030211F">
            <w:pPr>
              <w:pStyle w:val="TableText"/>
            </w:pPr>
            <w:r w:rsidRPr="008A2236">
              <w:rPr>
                <w:rFonts w:eastAsia="Calibri"/>
              </w:rPr>
              <w:t>Energy – 1.A.3.b Road transportation – gaseous fuels – CO</w:t>
            </w:r>
            <w:r w:rsidRPr="008A2236">
              <w:rPr>
                <w:rFonts w:eastAsia="Calibri"/>
                <w:vertAlign w:val="subscript"/>
              </w:rPr>
              <w:t>2</w:t>
            </w:r>
            <w:r w:rsidRPr="008A2236">
              <w:rPr>
                <w:rFonts w:eastAsia="Calibri"/>
              </w:rPr>
              <w:t>,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6EE722D0" w14:textId="77777777" w:rsidR="00366397" w:rsidRPr="008A2236" w:rsidRDefault="00366397" w:rsidP="0030211F">
            <w:pPr>
              <w:pStyle w:val="TableText"/>
            </w:pPr>
            <w:r w:rsidRPr="008A2236">
              <w:rPr>
                <w:rFonts w:eastAsia="Calibri"/>
              </w:rPr>
              <w:t>E.31, 2019</w:t>
            </w:r>
          </w:p>
        </w:tc>
        <w:tc>
          <w:tcPr>
            <w:tcW w:w="2835" w:type="dxa"/>
            <w:shd w:val="clear" w:color="auto" w:fill="FFFFFF"/>
          </w:tcPr>
          <w:p w14:paraId="342F7056" w14:textId="77777777" w:rsidR="00366397" w:rsidRPr="008A2236" w:rsidRDefault="00366397" w:rsidP="0030211F">
            <w:pPr>
              <w:pStyle w:val="TableText"/>
            </w:pPr>
            <w:r w:rsidRPr="008A2236">
              <w:rPr>
                <w:rFonts w:eastAsia="Calibri"/>
              </w:rPr>
              <w:t>The ERT recommends that the Party include in the NIR the description of the trend of gaseous fuels for cars and heavy-duty trucks and buses.</w:t>
            </w:r>
          </w:p>
        </w:tc>
        <w:tc>
          <w:tcPr>
            <w:tcW w:w="2835" w:type="dxa"/>
            <w:shd w:val="clear" w:color="auto" w:fill="FFFFFF"/>
            <w:vAlign w:val="center"/>
          </w:tcPr>
          <w:p w14:paraId="1AF566F1" w14:textId="77777777" w:rsidR="00366397" w:rsidRPr="008A2236" w:rsidRDefault="00366397" w:rsidP="0030211F">
            <w:pPr>
              <w:pStyle w:val="TableText"/>
            </w:pPr>
            <w:r w:rsidRPr="008A2236">
              <w:rPr>
                <w:rFonts w:eastAsia="Calibri"/>
                <w:b/>
              </w:rPr>
              <w:t>Resolved.</w:t>
            </w:r>
            <w:r w:rsidRPr="008A2236">
              <w:rPr>
                <w:rFonts w:eastAsia="Calibri"/>
              </w:rPr>
              <w:t xml:space="preserve"> The information requested here has been added </w:t>
            </w:r>
            <w:r>
              <w:rPr>
                <w:rFonts w:eastAsia="Calibri"/>
              </w:rPr>
              <w:t>to</w:t>
            </w:r>
            <w:r w:rsidRPr="008A2236">
              <w:rPr>
                <w:rFonts w:eastAsia="Calibri"/>
              </w:rPr>
              <w:t xml:space="preserve"> chapter 3, section 3.3.8.</w:t>
            </w:r>
          </w:p>
        </w:tc>
      </w:tr>
      <w:tr w:rsidR="00366397" w:rsidRPr="008A2236" w14:paraId="31B21281" w14:textId="77777777" w:rsidTr="00B027A0">
        <w:tc>
          <w:tcPr>
            <w:tcW w:w="1758" w:type="dxa"/>
            <w:shd w:val="clear" w:color="auto" w:fill="FFFFFF"/>
            <w:vAlign w:val="center"/>
          </w:tcPr>
          <w:p w14:paraId="2B2CC854" w14:textId="1F8F43E2" w:rsidR="00366397" w:rsidRPr="008A2236" w:rsidRDefault="00366397" w:rsidP="0030211F">
            <w:pPr>
              <w:pStyle w:val="TableText"/>
            </w:pPr>
            <w:r w:rsidRPr="008A2236">
              <w:rPr>
                <w:rFonts w:eastAsia="Calibri"/>
              </w:rPr>
              <w:t xml:space="preserve">Energy </w:t>
            </w:r>
            <w:r>
              <w:rPr>
                <w:rFonts w:eastAsia="Calibri"/>
              </w:rPr>
              <w:t>–</w:t>
            </w:r>
            <w:r w:rsidRPr="008A2236">
              <w:rPr>
                <w:rFonts w:eastAsia="Calibri"/>
              </w:rPr>
              <w:t xml:space="preserve"> 1.A.3.b Road transportation – biomass – CO</w:t>
            </w:r>
            <w:r w:rsidRPr="008A2236">
              <w:rPr>
                <w:rFonts w:eastAsia="Calibri"/>
                <w:vertAlign w:val="subscript"/>
              </w:rPr>
              <w:t>2</w:t>
            </w:r>
            <w:r w:rsidRPr="008A2236">
              <w:rPr>
                <w:rFonts w:eastAsia="Calibri"/>
              </w:rPr>
              <w:t>, CH</w:t>
            </w:r>
            <w:r w:rsidRPr="008A2236">
              <w:rPr>
                <w:rFonts w:eastAsia="Calibri"/>
                <w:vertAlign w:val="subscript"/>
              </w:rPr>
              <w:t>4</w:t>
            </w:r>
            <w:r w:rsidRPr="008A2236">
              <w:rPr>
                <w:rFonts w:eastAsia="Calibri"/>
              </w:rPr>
              <w:t xml:space="preserve"> and</w:t>
            </w:r>
            <w:r w:rsidR="008E545C">
              <w:rPr>
                <w:rFonts w:eastAsia="Calibri"/>
              </w:rPr>
              <w:t> </w:t>
            </w:r>
            <w:r w:rsidRPr="008A2236">
              <w:rPr>
                <w:rFonts w:eastAsia="Calibri"/>
              </w:rPr>
              <w:t>N</w:t>
            </w:r>
            <w:r w:rsidRPr="008A2236">
              <w:rPr>
                <w:rFonts w:eastAsia="Calibri"/>
                <w:vertAlign w:val="subscript"/>
              </w:rPr>
              <w:t>2</w:t>
            </w:r>
            <w:r w:rsidRPr="008A2236">
              <w:rPr>
                <w:rFonts w:eastAsia="Calibri"/>
              </w:rPr>
              <w:t>O</w:t>
            </w:r>
          </w:p>
        </w:tc>
        <w:tc>
          <w:tcPr>
            <w:tcW w:w="907" w:type="dxa"/>
            <w:shd w:val="clear" w:color="auto" w:fill="FFFFFF"/>
            <w:vAlign w:val="center"/>
          </w:tcPr>
          <w:p w14:paraId="700E1461" w14:textId="77777777" w:rsidR="00366397" w:rsidRPr="008A2236" w:rsidRDefault="00366397" w:rsidP="0030211F">
            <w:pPr>
              <w:pStyle w:val="TableText"/>
            </w:pPr>
            <w:r w:rsidRPr="008A2236">
              <w:rPr>
                <w:rFonts w:eastAsia="Calibri"/>
              </w:rPr>
              <w:t>E.32, 2019</w:t>
            </w:r>
          </w:p>
        </w:tc>
        <w:tc>
          <w:tcPr>
            <w:tcW w:w="2835" w:type="dxa"/>
            <w:shd w:val="clear" w:color="auto" w:fill="FFFFFF"/>
          </w:tcPr>
          <w:p w14:paraId="6730D395" w14:textId="77777777" w:rsidR="00366397" w:rsidRPr="008A2236" w:rsidRDefault="00366397" w:rsidP="0030211F">
            <w:pPr>
              <w:pStyle w:val="TableText"/>
            </w:pPr>
            <w:r w:rsidRPr="008A2236">
              <w:rPr>
                <w:rFonts w:eastAsia="Calibri"/>
              </w:rPr>
              <w:t>The ERT recommends that New Zealand explain the trend of biomass (biodiesel) used in road transportation, including the information that the biodiesel grant scheme ceased in June 2012.</w:t>
            </w:r>
          </w:p>
        </w:tc>
        <w:tc>
          <w:tcPr>
            <w:tcW w:w="2835" w:type="dxa"/>
            <w:shd w:val="clear" w:color="auto" w:fill="FFFFFF"/>
            <w:vAlign w:val="center"/>
          </w:tcPr>
          <w:p w14:paraId="5731EF31" w14:textId="77777777" w:rsidR="00366397" w:rsidRPr="008A2236" w:rsidRDefault="00366397" w:rsidP="0030211F">
            <w:pPr>
              <w:pStyle w:val="TableText"/>
            </w:pPr>
            <w:r w:rsidRPr="008A2236">
              <w:rPr>
                <w:rFonts w:eastAsia="Calibri"/>
                <w:b/>
              </w:rPr>
              <w:t>Resolved.</w:t>
            </w:r>
            <w:r w:rsidRPr="008A2236">
              <w:rPr>
                <w:rFonts w:eastAsia="Calibri"/>
              </w:rPr>
              <w:t xml:space="preserve"> Explanatory text</w:t>
            </w:r>
            <w:r>
              <w:rPr>
                <w:rFonts w:eastAsia="Calibri"/>
              </w:rPr>
              <w:t xml:space="preserve"> has been</w:t>
            </w:r>
            <w:r w:rsidRPr="008A2236">
              <w:rPr>
                <w:rFonts w:eastAsia="Calibri"/>
              </w:rPr>
              <w:t xml:space="preserve"> included in chapter 3, section 3.3.8.</w:t>
            </w:r>
          </w:p>
        </w:tc>
      </w:tr>
      <w:tr w:rsidR="00366397" w:rsidRPr="008A2236" w14:paraId="37F10A86" w14:textId="77777777" w:rsidTr="00B027A0">
        <w:tc>
          <w:tcPr>
            <w:tcW w:w="1758" w:type="dxa"/>
            <w:shd w:val="clear" w:color="auto" w:fill="FFFFFF"/>
            <w:vAlign w:val="center"/>
          </w:tcPr>
          <w:p w14:paraId="177CA154" w14:textId="77777777" w:rsidR="00366397" w:rsidRPr="008A2236" w:rsidRDefault="00366397" w:rsidP="0030211F">
            <w:pPr>
              <w:pStyle w:val="TableText"/>
            </w:pPr>
            <w:r w:rsidRPr="008A2236">
              <w:rPr>
                <w:rFonts w:eastAsia="Calibri"/>
              </w:rPr>
              <w:t xml:space="preserve">Energy </w:t>
            </w:r>
            <w:r>
              <w:rPr>
                <w:rFonts w:eastAsia="Calibri"/>
              </w:rPr>
              <w:t>–</w:t>
            </w:r>
            <w:r w:rsidRPr="008A2236">
              <w:rPr>
                <w:rFonts w:eastAsia="Calibri"/>
              </w:rPr>
              <w:t xml:space="preserve"> 1.B.1.a Coal mining and handling – solid fuels – CO</w:t>
            </w:r>
            <w:r w:rsidRPr="008A2236">
              <w:rPr>
                <w:rFonts w:eastAsia="Calibri"/>
                <w:vertAlign w:val="subscript"/>
              </w:rPr>
              <w:t>2</w:t>
            </w:r>
          </w:p>
        </w:tc>
        <w:tc>
          <w:tcPr>
            <w:tcW w:w="907" w:type="dxa"/>
            <w:shd w:val="clear" w:color="auto" w:fill="FFFFFF"/>
            <w:vAlign w:val="center"/>
          </w:tcPr>
          <w:p w14:paraId="2345CB6A" w14:textId="77777777" w:rsidR="00366397" w:rsidRPr="008A2236" w:rsidRDefault="00366397" w:rsidP="0030211F">
            <w:pPr>
              <w:pStyle w:val="TableText"/>
            </w:pPr>
            <w:r w:rsidRPr="008A2236">
              <w:rPr>
                <w:rFonts w:eastAsia="Calibri"/>
              </w:rPr>
              <w:t>E.33, 2019</w:t>
            </w:r>
          </w:p>
        </w:tc>
        <w:tc>
          <w:tcPr>
            <w:tcW w:w="2835" w:type="dxa"/>
            <w:shd w:val="clear" w:color="auto" w:fill="FFFFFF"/>
          </w:tcPr>
          <w:p w14:paraId="47996851" w14:textId="77777777" w:rsidR="00366397" w:rsidRPr="008A2236" w:rsidRDefault="00366397" w:rsidP="0030211F">
            <w:pPr>
              <w:pStyle w:val="TableText"/>
            </w:pPr>
            <w:r w:rsidRPr="008A2236">
              <w:rPr>
                <w:rFonts w:eastAsia="Calibri"/>
              </w:rPr>
              <w:t>The ERT recommends that New Zealand report CO</w:t>
            </w:r>
            <w:r w:rsidRPr="00281B4D">
              <w:rPr>
                <w:rFonts w:eastAsia="Calibri"/>
              </w:rPr>
              <w:t>2</w:t>
            </w:r>
            <w:r w:rsidRPr="008A2236">
              <w:rPr>
                <w:rFonts w:eastAsia="Calibri"/>
              </w:rPr>
              <w:t xml:space="preserve"> emissions for the subcategory abandoned underground mines as “NO” instead of “NE” in CRF table 1.B.1 if no recovery or flaring of CH</w:t>
            </w:r>
            <w:r w:rsidRPr="008A2236">
              <w:rPr>
                <w:rFonts w:eastAsia="Calibri"/>
                <w:vertAlign w:val="subscript"/>
              </w:rPr>
              <w:t>4</w:t>
            </w:r>
            <w:r w:rsidRPr="008A2236">
              <w:rPr>
                <w:rFonts w:eastAsia="Calibri"/>
              </w:rPr>
              <w:t xml:space="preserve"> from abandoned underground mines occurred.</w:t>
            </w:r>
          </w:p>
        </w:tc>
        <w:tc>
          <w:tcPr>
            <w:tcW w:w="2835" w:type="dxa"/>
            <w:shd w:val="clear" w:color="auto" w:fill="FFFFFF"/>
            <w:vAlign w:val="center"/>
          </w:tcPr>
          <w:p w14:paraId="6343B7DA" w14:textId="77777777" w:rsidR="00366397" w:rsidRPr="008A2236" w:rsidRDefault="00366397" w:rsidP="0030211F">
            <w:pPr>
              <w:pStyle w:val="TableText"/>
            </w:pPr>
            <w:r w:rsidRPr="008A2236">
              <w:rPr>
                <w:rFonts w:eastAsia="Calibri"/>
                <w:b/>
              </w:rPr>
              <w:t>Resolved.</w:t>
            </w:r>
            <w:r w:rsidRPr="008A2236">
              <w:rPr>
                <w:rFonts w:eastAsia="Calibri"/>
              </w:rPr>
              <w:t xml:space="preserve"> Change</w:t>
            </w:r>
            <w:r>
              <w:rPr>
                <w:rFonts w:eastAsia="Calibri"/>
              </w:rPr>
              <w:t xml:space="preserve"> has been</w:t>
            </w:r>
            <w:r w:rsidRPr="008A2236">
              <w:rPr>
                <w:rFonts w:eastAsia="Calibri"/>
              </w:rPr>
              <w:t xml:space="preserve"> implemented in CRF tables.</w:t>
            </w:r>
          </w:p>
        </w:tc>
      </w:tr>
      <w:tr w:rsidR="00366397" w:rsidRPr="008A2236" w14:paraId="0A8A3051" w14:textId="77777777" w:rsidTr="00B027A0">
        <w:tc>
          <w:tcPr>
            <w:tcW w:w="1758" w:type="dxa"/>
            <w:shd w:val="clear" w:color="auto" w:fill="FFFFFF"/>
            <w:vAlign w:val="center"/>
          </w:tcPr>
          <w:p w14:paraId="352D98D6" w14:textId="77777777" w:rsidR="00366397" w:rsidRPr="008A2236" w:rsidRDefault="00366397" w:rsidP="0030211F">
            <w:pPr>
              <w:pStyle w:val="TableText"/>
            </w:pPr>
            <w:r w:rsidRPr="008A2236">
              <w:rPr>
                <w:rFonts w:eastAsia="Calibri"/>
              </w:rPr>
              <w:t xml:space="preserve">Energy </w:t>
            </w:r>
            <w:r>
              <w:rPr>
                <w:rFonts w:eastAsia="Calibri"/>
              </w:rPr>
              <w:t>–</w:t>
            </w:r>
            <w:r w:rsidRPr="008A2236">
              <w:rPr>
                <w:rFonts w:eastAsia="Calibri"/>
              </w:rPr>
              <w:t xml:space="preserve"> 1.B.2.a Oil – liquid fuels – CO</w:t>
            </w:r>
            <w:r w:rsidRPr="008A2236">
              <w:rPr>
                <w:rFonts w:eastAsia="Calibri"/>
                <w:vertAlign w:val="subscript"/>
              </w:rPr>
              <w:t>2</w:t>
            </w:r>
          </w:p>
        </w:tc>
        <w:tc>
          <w:tcPr>
            <w:tcW w:w="907" w:type="dxa"/>
            <w:shd w:val="clear" w:color="auto" w:fill="FFFFFF"/>
            <w:vAlign w:val="center"/>
          </w:tcPr>
          <w:p w14:paraId="314D21A2" w14:textId="77777777" w:rsidR="00366397" w:rsidRPr="008A2236" w:rsidRDefault="00366397" w:rsidP="0030211F">
            <w:pPr>
              <w:pStyle w:val="TableText"/>
            </w:pPr>
            <w:r w:rsidRPr="008A2236">
              <w:rPr>
                <w:rFonts w:eastAsia="Calibri"/>
              </w:rPr>
              <w:t>E.34, 2019</w:t>
            </w:r>
          </w:p>
        </w:tc>
        <w:tc>
          <w:tcPr>
            <w:tcW w:w="2835" w:type="dxa"/>
            <w:shd w:val="clear" w:color="auto" w:fill="FFFFFF"/>
          </w:tcPr>
          <w:p w14:paraId="77102029" w14:textId="77777777" w:rsidR="00366397" w:rsidRPr="008A2236" w:rsidRDefault="00366397" w:rsidP="0030211F">
            <w:pPr>
              <w:pStyle w:val="TableText"/>
            </w:pPr>
            <w:r w:rsidRPr="008A2236">
              <w:rPr>
                <w:rFonts w:eastAsia="Calibri"/>
              </w:rPr>
              <w:t>The ERT recommends that New Zealand change the allocation of emissions from refinery flaring from subcategory 1.B.2.a.6 (oil (other) to subcategory 1.B.2.c (flaring).</w:t>
            </w:r>
          </w:p>
        </w:tc>
        <w:tc>
          <w:tcPr>
            <w:tcW w:w="2835" w:type="dxa"/>
            <w:shd w:val="clear" w:color="auto" w:fill="FFFFFF"/>
            <w:vAlign w:val="center"/>
          </w:tcPr>
          <w:p w14:paraId="40AEBCB5" w14:textId="77777777" w:rsidR="00366397" w:rsidRPr="008A2236" w:rsidRDefault="00366397" w:rsidP="0030211F">
            <w:pPr>
              <w:pStyle w:val="TableText"/>
            </w:pPr>
            <w:r w:rsidRPr="008A2236">
              <w:rPr>
                <w:rFonts w:eastAsia="Calibri"/>
                <w:b/>
              </w:rPr>
              <w:t>Resolved.</w:t>
            </w:r>
            <w:r w:rsidRPr="008A2236">
              <w:rPr>
                <w:rFonts w:eastAsia="Calibri"/>
              </w:rPr>
              <w:t xml:space="preserve"> Change</w:t>
            </w:r>
            <w:r>
              <w:rPr>
                <w:rFonts w:eastAsia="Calibri"/>
              </w:rPr>
              <w:t xml:space="preserve"> has been</w:t>
            </w:r>
            <w:r w:rsidRPr="008A2236">
              <w:rPr>
                <w:rFonts w:eastAsia="Calibri"/>
              </w:rPr>
              <w:t xml:space="preserve"> implemented in CRF table 1.B.2.a.</w:t>
            </w:r>
          </w:p>
        </w:tc>
      </w:tr>
      <w:tr w:rsidR="00366397" w:rsidRPr="008A2236" w14:paraId="2C9E3330" w14:textId="77777777" w:rsidTr="00B027A0">
        <w:tc>
          <w:tcPr>
            <w:tcW w:w="1758" w:type="dxa"/>
            <w:shd w:val="clear" w:color="auto" w:fill="FFFFFF"/>
            <w:vAlign w:val="center"/>
          </w:tcPr>
          <w:p w14:paraId="726C4E9E" w14:textId="77777777" w:rsidR="00366397" w:rsidRPr="008A2236" w:rsidRDefault="00366397" w:rsidP="0030211F">
            <w:pPr>
              <w:pStyle w:val="TableText"/>
            </w:pPr>
            <w:r w:rsidRPr="008A2236">
              <w:rPr>
                <w:rFonts w:eastAsia="Calibri"/>
              </w:rPr>
              <w:t xml:space="preserve">Energy </w:t>
            </w:r>
            <w:r>
              <w:rPr>
                <w:rFonts w:eastAsia="Calibri"/>
              </w:rPr>
              <w:t>–</w:t>
            </w:r>
            <w:r w:rsidRPr="008A2236">
              <w:rPr>
                <w:rFonts w:eastAsia="Calibri"/>
              </w:rPr>
              <w:t xml:space="preserve"> 1.B.2.c Venting and flaring – gaseous fuels – CO</w:t>
            </w:r>
            <w:r w:rsidRPr="008A2236">
              <w:rPr>
                <w:rFonts w:eastAsia="Calibri"/>
                <w:vertAlign w:val="subscript"/>
              </w:rPr>
              <w:t>2</w:t>
            </w:r>
          </w:p>
        </w:tc>
        <w:tc>
          <w:tcPr>
            <w:tcW w:w="907" w:type="dxa"/>
            <w:shd w:val="clear" w:color="auto" w:fill="FFFFFF"/>
            <w:vAlign w:val="center"/>
          </w:tcPr>
          <w:p w14:paraId="4010F045" w14:textId="77777777" w:rsidR="00366397" w:rsidRPr="008A2236" w:rsidRDefault="00366397" w:rsidP="0030211F">
            <w:pPr>
              <w:pStyle w:val="TableText"/>
            </w:pPr>
            <w:r w:rsidRPr="008A2236">
              <w:rPr>
                <w:rFonts w:eastAsia="Calibri"/>
              </w:rPr>
              <w:t>E.35, 2019</w:t>
            </w:r>
          </w:p>
        </w:tc>
        <w:tc>
          <w:tcPr>
            <w:tcW w:w="2835" w:type="dxa"/>
            <w:shd w:val="clear" w:color="auto" w:fill="FFFFFF"/>
          </w:tcPr>
          <w:p w14:paraId="64DE5E0E" w14:textId="77777777" w:rsidR="00366397" w:rsidRPr="008A2236" w:rsidRDefault="00366397" w:rsidP="0030211F">
            <w:pPr>
              <w:pStyle w:val="TableText"/>
            </w:pPr>
            <w:r w:rsidRPr="008A2236">
              <w:rPr>
                <w:rFonts w:eastAsia="Calibri"/>
              </w:rPr>
              <w:t>The ERT recommends that the Party report the AD for CO</w:t>
            </w:r>
            <w:r w:rsidRPr="008A2236">
              <w:rPr>
                <w:rFonts w:eastAsia="Calibri"/>
                <w:vertAlign w:val="subscript"/>
              </w:rPr>
              <w:t>2</w:t>
            </w:r>
            <w:r w:rsidRPr="008A2236">
              <w:rPr>
                <w:rFonts w:eastAsia="Calibri"/>
              </w:rPr>
              <w:t xml:space="preserve"> venting from the Kapuni gas treatment plant for subcategory 1.B.2.c.ii (venting–gas) as confidential, “IE” or “NE”, as appropriate, in CRF table 1.B.2, and review the information on AD reported in the documentation box of the same table.</w:t>
            </w:r>
          </w:p>
        </w:tc>
        <w:tc>
          <w:tcPr>
            <w:tcW w:w="2835" w:type="dxa"/>
            <w:shd w:val="clear" w:color="auto" w:fill="FFFFFF"/>
            <w:vAlign w:val="center"/>
          </w:tcPr>
          <w:p w14:paraId="41CB3ADE" w14:textId="77777777" w:rsidR="00366397" w:rsidRPr="008A2236" w:rsidRDefault="00366397" w:rsidP="0030211F">
            <w:pPr>
              <w:pStyle w:val="TableText"/>
            </w:pPr>
            <w:r w:rsidRPr="008A2236">
              <w:rPr>
                <w:rFonts w:eastAsia="Calibri"/>
                <w:b/>
              </w:rPr>
              <w:t>Resolved.</w:t>
            </w:r>
            <w:r w:rsidRPr="008A2236">
              <w:rPr>
                <w:rFonts w:eastAsia="Calibri"/>
              </w:rPr>
              <w:t xml:space="preserve"> Change</w:t>
            </w:r>
            <w:r>
              <w:rPr>
                <w:rFonts w:eastAsia="Calibri"/>
              </w:rPr>
              <w:t xml:space="preserve"> has been</w:t>
            </w:r>
            <w:r w:rsidRPr="008A2236">
              <w:rPr>
                <w:rFonts w:eastAsia="Calibri"/>
              </w:rPr>
              <w:t xml:space="preserve"> implemented in CRF table 1.B.2.c.</w:t>
            </w:r>
          </w:p>
        </w:tc>
      </w:tr>
      <w:tr w:rsidR="00366397" w:rsidRPr="008A2236" w14:paraId="37C20D5C" w14:textId="77777777" w:rsidTr="00B027A0">
        <w:tc>
          <w:tcPr>
            <w:tcW w:w="1758" w:type="dxa"/>
            <w:shd w:val="clear" w:color="auto" w:fill="FFFFFF"/>
            <w:vAlign w:val="center"/>
          </w:tcPr>
          <w:p w14:paraId="4C1E786D" w14:textId="77777777" w:rsidR="00366397" w:rsidRPr="008A2236" w:rsidRDefault="00366397" w:rsidP="0030211F">
            <w:pPr>
              <w:pStyle w:val="TableText"/>
            </w:pPr>
            <w:r w:rsidRPr="008A2236">
              <w:rPr>
                <w:rFonts w:eastAsia="Calibri"/>
              </w:rPr>
              <w:t xml:space="preserve">Energy </w:t>
            </w:r>
            <w:r>
              <w:rPr>
                <w:rFonts w:eastAsia="Calibri"/>
              </w:rPr>
              <w:t>–</w:t>
            </w:r>
            <w:r w:rsidRPr="008A2236">
              <w:rPr>
                <w:rFonts w:eastAsia="Calibri"/>
              </w:rPr>
              <w:t xml:space="preserve"> 1.B.2.c.ii Venting and flaring – venting – gaseous fuels – CH</w:t>
            </w:r>
            <w:r w:rsidRPr="008A2236">
              <w:rPr>
                <w:rFonts w:eastAsia="Calibri"/>
                <w:vertAlign w:val="subscript"/>
              </w:rPr>
              <w:t>4</w:t>
            </w:r>
          </w:p>
        </w:tc>
        <w:tc>
          <w:tcPr>
            <w:tcW w:w="907" w:type="dxa"/>
            <w:shd w:val="clear" w:color="auto" w:fill="FFFFFF"/>
            <w:vAlign w:val="center"/>
          </w:tcPr>
          <w:p w14:paraId="47FECC15" w14:textId="77777777" w:rsidR="00366397" w:rsidRPr="008A2236" w:rsidRDefault="00366397" w:rsidP="0030211F">
            <w:pPr>
              <w:pStyle w:val="TableText"/>
            </w:pPr>
            <w:r w:rsidRPr="008A2236">
              <w:rPr>
                <w:rFonts w:eastAsia="Calibri"/>
              </w:rPr>
              <w:t>E.36, 2019</w:t>
            </w:r>
          </w:p>
        </w:tc>
        <w:tc>
          <w:tcPr>
            <w:tcW w:w="2835" w:type="dxa"/>
            <w:shd w:val="clear" w:color="auto" w:fill="FFFFFF"/>
          </w:tcPr>
          <w:p w14:paraId="14E81D58" w14:textId="77777777" w:rsidR="00366397" w:rsidRPr="008A2236" w:rsidRDefault="00366397" w:rsidP="0030211F">
            <w:pPr>
              <w:pStyle w:val="TableText"/>
            </w:pPr>
            <w:r w:rsidRPr="008A2236">
              <w:rPr>
                <w:rFonts w:eastAsia="Calibri"/>
              </w:rPr>
              <w:t>The ERT recommends that New Zealand report the AD and emissions as confidential, “IE” or “NE”, as appropriate.</w:t>
            </w:r>
          </w:p>
        </w:tc>
        <w:tc>
          <w:tcPr>
            <w:tcW w:w="2835" w:type="dxa"/>
            <w:shd w:val="clear" w:color="auto" w:fill="FFFFFF"/>
            <w:vAlign w:val="center"/>
          </w:tcPr>
          <w:p w14:paraId="27BA7909" w14:textId="77777777" w:rsidR="00366397" w:rsidRPr="008A2236" w:rsidRDefault="00366397" w:rsidP="0030211F">
            <w:pPr>
              <w:pStyle w:val="TableText"/>
            </w:pPr>
            <w:r w:rsidRPr="008A2236">
              <w:rPr>
                <w:rFonts w:eastAsia="Calibri"/>
                <w:b/>
              </w:rPr>
              <w:t>Resolved</w:t>
            </w:r>
            <w:r w:rsidRPr="008A2236">
              <w:rPr>
                <w:rFonts w:eastAsia="Calibri"/>
              </w:rPr>
              <w:t>. Change</w:t>
            </w:r>
            <w:r>
              <w:rPr>
                <w:rFonts w:eastAsia="Calibri"/>
              </w:rPr>
              <w:t xml:space="preserve"> has been</w:t>
            </w:r>
            <w:r w:rsidRPr="008A2236">
              <w:rPr>
                <w:rFonts w:eastAsia="Calibri"/>
              </w:rPr>
              <w:t xml:space="preserve"> implemented in CRF tables.</w:t>
            </w:r>
          </w:p>
        </w:tc>
      </w:tr>
      <w:tr w:rsidR="00366397" w:rsidRPr="008A2236" w14:paraId="79FC5953" w14:textId="77777777" w:rsidTr="00B027A0">
        <w:tc>
          <w:tcPr>
            <w:tcW w:w="1758" w:type="dxa"/>
            <w:shd w:val="clear" w:color="auto" w:fill="FFFFFF"/>
            <w:vAlign w:val="center"/>
          </w:tcPr>
          <w:p w14:paraId="2A875A04" w14:textId="77777777" w:rsidR="00366397" w:rsidRPr="008A2236" w:rsidRDefault="00366397" w:rsidP="0030211F">
            <w:pPr>
              <w:pStyle w:val="TableText"/>
            </w:pPr>
            <w:r w:rsidRPr="008A2236">
              <w:rPr>
                <w:rFonts w:eastAsia="Calibri"/>
              </w:rPr>
              <w:t>IPPU – 2. General</w:t>
            </w:r>
          </w:p>
        </w:tc>
        <w:tc>
          <w:tcPr>
            <w:tcW w:w="907" w:type="dxa"/>
            <w:shd w:val="clear" w:color="auto" w:fill="FFFFFF"/>
            <w:vAlign w:val="center"/>
          </w:tcPr>
          <w:p w14:paraId="25950BE5" w14:textId="77777777" w:rsidR="00366397" w:rsidRPr="008A2236" w:rsidRDefault="00366397" w:rsidP="0030211F">
            <w:pPr>
              <w:pStyle w:val="TableText"/>
            </w:pPr>
            <w:r w:rsidRPr="008A2236">
              <w:rPr>
                <w:rFonts w:eastAsia="Calibri"/>
              </w:rPr>
              <w:t>I.23, 2019</w:t>
            </w:r>
          </w:p>
        </w:tc>
        <w:tc>
          <w:tcPr>
            <w:tcW w:w="2835" w:type="dxa"/>
            <w:shd w:val="clear" w:color="auto" w:fill="FFFFFF"/>
          </w:tcPr>
          <w:p w14:paraId="61F60BC2" w14:textId="77777777" w:rsidR="00366397" w:rsidRPr="008A2236" w:rsidRDefault="00366397" w:rsidP="0030211F">
            <w:pPr>
              <w:pStyle w:val="TableText"/>
            </w:pPr>
            <w:r w:rsidRPr="008A2236">
              <w:rPr>
                <w:rFonts w:eastAsia="Calibri"/>
              </w:rPr>
              <w:t>The ERT understands that this is a QA/QC issue and recommends that New Zealand correct several inconsistencies in the reporting of key categories and uncertainties within the NIR, including in the annexes to the NIR.</w:t>
            </w:r>
          </w:p>
        </w:tc>
        <w:tc>
          <w:tcPr>
            <w:tcW w:w="2835" w:type="dxa"/>
            <w:shd w:val="clear" w:color="auto" w:fill="FFFFFF"/>
            <w:vAlign w:val="center"/>
          </w:tcPr>
          <w:p w14:paraId="372DFAD4" w14:textId="77777777" w:rsidR="00366397" w:rsidRPr="008A2236" w:rsidRDefault="00366397" w:rsidP="0030211F">
            <w:pPr>
              <w:pStyle w:val="TableText"/>
            </w:pPr>
            <w:r w:rsidRPr="008A2236">
              <w:rPr>
                <w:rFonts w:eastAsia="Calibri"/>
                <w:b/>
              </w:rPr>
              <w:t>Resolved.</w:t>
            </w:r>
            <w:r w:rsidRPr="008A2236">
              <w:rPr>
                <w:rFonts w:eastAsia="Calibri"/>
              </w:rPr>
              <w:t xml:space="preserve"> The inconsistent reporting has been corrected in chapter 4, table 4.1.2, section 4.2.1, section 4.3.1, section 4.3.4</w:t>
            </w:r>
            <w:r>
              <w:rPr>
                <w:rFonts w:eastAsia="Calibri"/>
              </w:rPr>
              <w:t xml:space="preserve"> and</w:t>
            </w:r>
            <w:r w:rsidRPr="008A2236">
              <w:rPr>
                <w:rFonts w:eastAsia="Calibri"/>
              </w:rPr>
              <w:t xml:space="preserve"> table 4.7.3</w:t>
            </w:r>
            <w:r w:rsidRPr="008A2236" w:rsidDel="00E854EA">
              <w:rPr>
                <w:rFonts w:eastAsia="Calibri"/>
              </w:rPr>
              <w:t>.</w:t>
            </w:r>
          </w:p>
        </w:tc>
      </w:tr>
      <w:tr w:rsidR="00366397" w:rsidRPr="008A2236" w14:paraId="315D3321" w14:textId="77777777" w:rsidTr="00B027A0">
        <w:tc>
          <w:tcPr>
            <w:tcW w:w="1758" w:type="dxa"/>
            <w:shd w:val="clear" w:color="auto" w:fill="FFFFFF"/>
            <w:vAlign w:val="center"/>
          </w:tcPr>
          <w:p w14:paraId="60FBBBD6" w14:textId="77777777" w:rsidR="00366397" w:rsidRPr="008A2236" w:rsidRDefault="00366397" w:rsidP="0030211F">
            <w:pPr>
              <w:pStyle w:val="TableText"/>
            </w:pPr>
            <w:r w:rsidRPr="008A2236">
              <w:rPr>
                <w:rFonts w:eastAsia="Calibri"/>
              </w:rPr>
              <w:t>IPPU – 2.A.2 Lime production – CO</w:t>
            </w:r>
            <w:r w:rsidRPr="008A2236">
              <w:rPr>
                <w:rFonts w:eastAsia="Calibri"/>
                <w:vertAlign w:val="subscript"/>
              </w:rPr>
              <w:t>2</w:t>
            </w:r>
          </w:p>
        </w:tc>
        <w:tc>
          <w:tcPr>
            <w:tcW w:w="907" w:type="dxa"/>
            <w:shd w:val="clear" w:color="auto" w:fill="FFFFFF"/>
            <w:vAlign w:val="center"/>
          </w:tcPr>
          <w:p w14:paraId="3461F628" w14:textId="77777777" w:rsidR="00366397" w:rsidRPr="008A2236" w:rsidRDefault="00366397" w:rsidP="0030211F">
            <w:pPr>
              <w:pStyle w:val="TableText"/>
            </w:pPr>
            <w:r w:rsidRPr="008A2236">
              <w:rPr>
                <w:rFonts w:eastAsia="Calibri"/>
              </w:rPr>
              <w:t>I.25, 2019</w:t>
            </w:r>
          </w:p>
        </w:tc>
        <w:tc>
          <w:tcPr>
            <w:tcW w:w="2835" w:type="dxa"/>
            <w:shd w:val="clear" w:color="auto" w:fill="FFFFFF"/>
          </w:tcPr>
          <w:p w14:paraId="2D2D2836" w14:textId="77777777" w:rsidR="00366397" w:rsidRPr="008A2236" w:rsidRDefault="00366397" w:rsidP="0030211F">
            <w:pPr>
              <w:pStyle w:val="TableText"/>
            </w:pPr>
            <w:r w:rsidRPr="008A2236">
              <w:rPr>
                <w:rFonts w:eastAsia="Calibri"/>
              </w:rPr>
              <w:t>The ERT recommends that New Zealand explain in the NIR that burned lime was considered as high-calcium lime with an EF of 0.75 t CO</w:t>
            </w:r>
            <w:r w:rsidRPr="008A2236">
              <w:rPr>
                <w:rFonts w:eastAsia="Calibri"/>
                <w:vertAlign w:val="subscript"/>
              </w:rPr>
              <w:t>2</w:t>
            </w:r>
            <w:r w:rsidRPr="008A2236">
              <w:rPr>
                <w:rFonts w:eastAsia="Calibri"/>
              </w:rPr>
              <w:t xml:space="preserve">/t lime and that the factor of 0.97 was the correction factor for hydrated lime for 1990– 2013. The ERT also recommends that the Party revert the changes in AD since 2014 to the original quantities of pure lime (CaO + MgO), noting that the IEF cannot be lower than 0.7848 according to the equation provided by the ETS regulation and presented in the NIR (p.123). In </w:t>
            </w:r>
            <w:r w:rsidRPr="008A2236">
              <w:rPr>
                <w:rFonts w:eastAsia="Calibri"/>
              </w:rPr>
              <w:lastRenderedPageBreak/>
              <w:t>order to maintain time-series consistency of the AD, the ERT recommends that New Zealand continue reporting the same emissions but revise the AD as pure lime by dividing such emissions by a single IEF (that of 2014) for 1990–2013.</w:t>
            </w:r>
          </w:p>
        </w:tc>
        <w:tc>
          <w:tcPr>
            <w:tcW w:w="2835" w:type="dxa"/>
            <w:shd w:val="clear" w:color="auto" w:fill="FFFFFF"/>
            <w:vAlign w:val="center"/>
          </w:tcPr>
          <w:p w14:paraId="386C64A0" w14:textId="77777777" w:rsidR="00366397" w:rsidRPr="008A2236" w:rsidRDefault="00366397" w:rsidP="0030211F">
            <w:pPr>
              <w:pStyle w:val="TableText"/>
            </w:pPr>
            <w:r w:rsidRPr="008A2236">
              <w:rPr>
                <w:rFonts w:eastAsia="Calibri"/>
                <w:b/>
              </w:rPr>
              <w:lastRenderedPageBreak/>
              <w:t>Resolved.</w:t>
            </w:r>
            <w:r w:rsidRPr="008A2236">
              <w:rPr>
                <w:rFonts w:eastAsia="Calibri"/>
              </w:rPr>
              <w:t xml:space="preserve"> The CaO plus MgO amounts are now reported for the entire time series as recommended. </w:t>
            </w:r>
            <w:r>
              <w:rPr>
                <w:rFonts w:eastAsia="Calibri"/>
              </w:rPr>
              <w:t>See</w:t>
            </w:r>
            <w:r w:rsidRPr="008A2236">
              <w:rPr>
                <w:rFonts w:eastAsia="Calibri"/>
              </w:rPr>
              <w:t xml:space="preserve"> chapter 4, sections 4.2.3 and 4.2.5.</w:t>
            </w:r>
          </w:p>
        </w:tc>
      </w:tr>
      <w:tr w:rsidR="00366397" w:rsidRPr="008A2236" w14:paraId="7E5A49BB" w14:textId="77777777" w:rsidTr="00B027A0">
        <w:tc>
          <w:tcPr>
            <w:tcW w:w="1758" w:type="dxa"/>
            <w:shd w:val="clear" w:color="auto" w:fill="FFFFFF"/>
            <w:vAlign w:val="center"/>
          </w:tcPr>
          <w:p w14:paraId="5F7F4D22" w14:textId="77777777" w:rsidR="00366397" w:rsidRPr="008A2236" w:rsidRDefault="00366397" w:rsidP="0030211F">
            <w:pPr>
              <w:pStyle w:val="TableText"/>
            </w:pPr>
            <w:r w:rsidRPr="008A2236">
              <w:rPr>
                <w:rFonts w:eastAsia="Calibri"/>
              </w:rPr>
              <w:t>IPPU – 2.B Chemical industry 2.C Metal industry</w:t>
            </w:r>
          </w:p>
        </w:tc>
        <w:tc>
          <w:tcPr>
            <w:tcW w:w="907" w:type="dxa"/>
            <w:shd w:val="clear" w:color="auto" w:fill="FFFFFF"/>
            <w:vAlign w:val="center"/>
          </w:tcPr>
          <w:p w14:paraId="31BEEA84" w14:textId="77777777" w:rsidR="00366397" w:rsidRPr="008A2236" w:rsidRDefault="00366397" w:rsidP="0030211F">
            <w:pPr>
              <w:pStyle w:val="TableText"/>
            </w:pPr>
            <w:r w:rsidRPr="008A2236">
              <w:rPr>
                <w:rFonts w:eastAsia="Calibri"/>
              </w:rPr>
              <w:t>I.26, 2019</w:t>
            </w:r>
          </w:p>
        </w:tc>
        <w:tc>
          <w:tcPr>
            <w:tcW w:w="2835" w:type="dxa"/>
            <w:shd w:val="clear" w:color="auto" w:fill="FFFFFF"/>
          </w:tcPr>
          <w:p w14:paraId="0437A9A4" w14:textId="77777777" w:rsidR="00366397" w:rsidRPr="008A2236" w:rsidRDefault="00366397" w:rsidP="0030211F">
            <w:pPr>
              <w:pStyle w:val="TableText"/>
            </w:pPr>
            <w:r w:rsidRPr="008A2236">
              <w:rPr>
                <w:rFonts w:eastAsia="Calibri"/>
              </w:rPr>
              <w:t>The ERT recommends that New Zealand explain how the AD for the chemical and metal industries provided in the NIR are obtained.</w:t>
            </w:r>
          </w:p>
        </w:tc>
        <w:tc>
          <w:tcPr>
            <w:tcW w:w="2835" w:type="dxa"/>
            <w:shd w:val="clear" w:color="auto" w:fill="FFFFFF"/>
            <w:vAlign w:val="center"/>
          </w:tcPr>
          <w:p w14:paraId="6673AA54" w14:textId="77777777" w:rsidR="00366397" w:rsidRPr="008A2236" w:rsidRDefault="00366397" w:rsidP="0030211F">
            <w:pPr>
              <w:pStyle w:val="TableText"/>
            </w:pPr>
            <w:r w:rsidRPr="008A2236">
              <w:rPr>
                <w:rFonts w:eastAsia="Calibri"/>
                <w:b/>
              </w:rPr>
              <w:t xml:space="preserve">Resolved. </w:t>
            </w:r>
            <w:r w:rsidRPr="008A2236">
              <w:rPr>
                <w:rFonts w:eastAsia="Calibri"/>
              </w:rPr>
              <w:t xml:space="preserve">This explanation has been provided. </w:t>
            </w:r>
            <w:r>
              <w:rPr>
                <w:rFonts w:eastAsia="Calibri"/>
              </w:rPr>
              <w:t>See</w:t>
            </w:r>
            <w:r w:rsidRPr="008A2236">
              <w:rPr>
                <w:rFonts w:eastAsia="Calibri"/>
              </w:rPr>
              <w:t xml:space="preserve"> chapter 4, sections 4.2.2 and 4.3.2.  </w:t>
            </w:r>
          </w:p>
        </w:tc>
      </w:tr>
      <w:tr w:rsidR="00366397" w:rsidRPr="008A2236" w14:paraId="2BEB9278" w14:textId="77777777" w:rsidTr="00B027A0">
        <w:tc>
          <w:tcPr>
            <w:tcW w:w="1758" w:type="dxa"/>
            <w:shd w:val="clear" w:color="auto" w:fill="FFFFFF"/>
            <w:vAlign w:val="center"/>
          </w:tcPr>
          <w:p w14:paraId="68CB7661" w14:textId="77777777" w:rsidR="00366397" w:rsidRPr="008A2236" w:rsidRDefault="00366397" w:rsidP="0030211F">
            <w:pPr>
              <w:pStyle w:val="TableText"/>
            </w:pPr>
            <w:r w:rsidRPr="008A2236">
              <w:rPr>
                <w:rFonts w:eastAsia="Calibri"/>
              </w:rPr>
              <w:t>IPPU – 2.B.1 Ammonia production – CO</w:t>
            </w:r>
            <w:r w:rsidRPr="008A2236">
              <w:rPr>
                <w:rFonts w:eastAsia="Calibri"/>
                <w:vertAlign w:val="subscript"/>
              </w:rPr>
              <w:t>2</w:t>
            </w:r>
          </w:p>
        </w:tc>
        <w:tc>
          <w:tcPr>
            <w:tcW w:w="907" w:type="dxa"/>
            <w:shd w:val="clear" w:color="auto" w:fill="FFFFFF"/>
            <w:vAlign w:val="center"/>
          </w:tcPr>
          <w:p w14:paraId="6089535C" w14:textId="77777777" w:rsidR="00366397" w:rsidRPr="008A2236" w:rsidRDefault="00366397" w:rsidP="0030211F">
            <w:pPr>
              <w:pStyle w:val="TableText"/>
            </w:pPr>
            <w:r w:rsidRPr="008A2236">
              <w:rPr>
                <w:rFonts w:eastAsia="Calibri"/>
              </w:rPr>
              <w:t>I.27, 2019</w:t>
            </w:r>
          </w:p>
        </w:tc>
        <w:tc>
          <w:tcPr>
            <w:tcW w:w="2835" w:type="dxa"/>
            <w:shd w:val="clear" w:color="auto" w:fill="FFFFFF"/>
          </w:tcPr>
          <w:p w14:paraId="0F4FCE63" w14:textId="57D161BB" w:rsidR="00366397" w:rsidRPr="008A2236" w:rsidRDefault="00366397" w:rsidP="0030211F">
            <w:pPr>
              <w:pStyle w:val="TableText"/>
            </w:pPr>
            <w:r w:rsidRPr="008A2236">
              <w:rPr>
                <w:rFonts w:eastAsia="Calibri"/>
              </w:rPr>
              <w:t>The ERT recommends that New Zealand subtract the total quantities of oil and</w:t>
            </w:r>
            <w:r w:rsidR="008E545C">
              <w:rPr>
                <w:rFonts w:eastAsia="Calibri"/>
              </w:rPr>
              <w:t> </w:t>
            </w:r>
            <w:r w:rsidRPr="008A2236">
              <w:rPr>
                <w:rFonts w:eastAsia="Calibri"/>
              </w:rPr>
              <w:t>gas used (fuel plus feedstock) in ammonia production from the quantity reported under energy use in the energy sector, include the emissions accordingly in the IPPU sector and explain this reallocation in the NIR.</w:t>
            </w:r>
          </w:p>
        </w:tc>
        <w:tc>
          <w:tcPr>
            <w:tcW w:w="2835" w:type="dxa"/>
            <w:shd w:val="clear" w:color="auto" w:fill="FFFFFF"/>
            <w:vAlign w:val="center"/>
          </w:tcPr>
          <w:p w14:paraId="03AD56E7" w14:textId="6D32EB2F" w:rsidR="00366397" w:rsidRPr="008A2236" w:rsidRDefault="00366397" w:rsidP="0030211F">
            <w:pPr>
              <w:pStyle w:val="TableText"/>
            </w:pPr>
            <w:r w:rsidRPr="008A2236">
              <w:rPr>
                <w:rFonts w:eastAsia="Calibri"/>
                <w:b/>
              </w:rPr>
              <w:t>Addressing.</w:t>
            </w:r>
            <w:r w:rsidRPr="008A2236">
              <w:rPr>
                <w:rFonts w:eastAsia="Calibri"/>
              </w:rPr>
              <w:t xml:space="preserve"> It has not been feasible to</w:t>
            </w:r>
            <w:r w:rsidR="008E545C">
              <w:rPr>
                <w:rFonts w:eastAsia="Calibri"/>
              </w:rPr>
              <w:t> </w:t>
            </w:r>
            <w:r w:rsidRPr="008A2236">
              <w:rPr>
                <w:rFonts w:eastAsia="Calibri"/>
              </w:rPr>
              <w:t>make this change for the 202</w:t>
            </w:r>
            <w:r>
              <w:rPr>
                <w:rFonts w:eastAsia="Calibri"/>
              </w:rPr>
              <w:t>2</w:t>
            </w:r>
            <w:r w:rsidRPr="008A2236">
              <w:rPr>
                <w:rFonts w:eastAsia="Calibri"/>
              </w:rPr>
              <w:t xml:space="preserve"> submission due to concerns about the confidentiality of data for the single company affected. This will be considered for future submissions subject to </w:t>
            </w:r>
            <w:r>
              <w:rPr>
                <w:rFonts w:eastAsia="Calibri"/>
              </w:rPr>
              <w:t xml:space="preserve">a resolution of </w:t>
            </w:r>
            <w:r w:rsidRPr="008A2236">
              <w:rPr>
                <w:rFonts w:eastAsia="Calibri"/>
              </w:rPr>
              <w:t>the confidentiality issue.</w:t>
            </w:r>
          </w:p>
        </w:tc>
      </w:tr>
      <w:tr w:rsidR="00366397" w:rsidRPr="008A2236" w14:paraId="37C498AC" w14:textId="77777777" w:rsidTr="00B027A0">
        <w:tc>
          <w:tcPr>
            <w:tcW w:w="1758" w:type="dxa"/>
            <w:shd w:val="clear" w:color="auto" w:fill="FFFFFF"/>
            <w:vAlign w:val="center"/>
          </w:tcPr>
          <w:p w14:paraId="075EC211" w14:textId="77777777" w:rsidR="00366397" w:rsidRPr="008A2236" w:rsidRDefault="00366397" w:rsidP="0030211F">
            <w:pPr>
              <w:pStyle w:val="TableText"/>
            </w:pPr>
            <w:r w:rsidRPr="008A2236">
              <w:rPr>
                <w:rFonts w:eastAsia="Calibri"/>
              </w:rPr>
              <w:t xml:space="preserve">IPPU – 2.D.1 Lubricant use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vAlign w:val="center"/>
          </w:tcPr>
          <w:p w14:paraId="5947A9B1" w14:textId="77777777" w:rsidR="00366397" w:rsidRPr="008A2236" w:rsidRDefault="00366397" w:rsidP="0030211F">
            <w:pPr>
              <w:pStyle w:val="TableText"/>
            </w:pPr>
            <w:r w:rsidRPr="008A2236">
              <w:rPr>
                <w:rFonts w:eastAsia="Calibri"/>
              </w:rPr>
              <w:t>I.28, 2019</w:t>
            </w:r>
          </w:p>
        </w:tc>
        <w:tc>
          <w:tcPr>
            <w:tcW w:w="2835" w:type="dxa"/>
            <w:shd w:val="clear" w:color="auto" w:fill="FFFFFF"/>
          </w:tcPr>
          <w:p w14:paraId="2D45C8E3" w14:textId="77777777" w:rsidR="00366397" w:rsidRPr="008A2236" w:rsidRDefault="00366397" w:rsidP="0030211F">
            <w:pPr>
              <w:pStyle w:val="TableText"/>
            </w:pPr>
            <w:r w:rsidRPr="008A2236">
              <w:rPr>
                <w:rFonts w:eastAsia="Calibri"/>
              </w:rPr>
              <w:t>The ERT recommends that New Zealand improve the information on the CO</w:t>
            </w:r>
            <w:r w:rsidRPr="008A2236">
              <w:rPr>
                <w:rFonts w:eastAsia="Calibri"/>
                <w:vertAlign w:val="subscript"/>
              </w:rPr>
              <w:t>2</w:t>
            </w:r>
            <w:r w:rsidRPr="008A2236">
              <w:rPr>
                <w:rFonts w:eastAsia="Calibri"/>
              </w:rPr>
              <w:t xml:space="preserve"> EF for lubricant use, including the source of the EF.</w:t>
            </w:r>
          </w:p>
        </w:tc>
        <w:tc>
          <w:tcPr>
            <w:tcW w:w="2835" w:type="dxa"/>
            <w:shd w:val="clear" w:color="auto" w:fill="FFFFFF"/>
            <w:vAlign w:val="center"/>
          </w:tcPr>
          <w:p w14:paraId="69388148" w14:textId="1513509D" w:rsidR="00366397" w:rsidRPr="008A2236" w:rsidRDefault="00366397" w:rsidP="0030211F">
            <w:pPr>
              <w:pStyle w:val="TableText"/>
            </w:pPr>
            <w:r w:rsidRPr="008A2236">
              <w:rPr>
                <w:rFonts w:eastAsia="Calibri"/>
                <w:b/>
              </w:rPr>
              <w:t>Resolved.</w:t>
            </w:r>
            <w:r w:rsidRPr="008A2236">
              <w:rPr>
                <w:rFonts w:eastAsia="Calibri"/>
              </w:rPr>
              <w:t xml:space="preserve"> The </w:t>
            </w:r>
            <w:r>
              <w:rPr>
                <w:rFonts w:eastAsia="Calibri"/>
              </w:rPr>
              <w:t>emission factor</w:t>
            </w:r>
            <w:r w:rsidRPr="008A2236">
              <w:rPr>
                <w:rFonts w:eastAsia="Calibri"/>
              </w:rPr>
              <w:t xml:space="preserve"> is </w:t>
            </w:r>
            <w:r>
              <w:rPr>
                <w:rFonts w:eastAsia="Calibri"/>
              </w:rPr>
              <w:t xml:space="preserve">the </w:t>
            </w:r>
            <w:r w:rsidRPr="008A2236">
              <w:rPr>
                <w:rFonts w:eastAsia="Calibri"/>
              </w:rPr>
              <w:t>IPCC</w:t>
            </w:r>
            <w:r w:rsidR="008E545C">
              <w:rPr>
                <w:rFonts w:eastAsia="Calibri"/>
              </w:rPr>
              <w:t> </w:t>
            </w:r>
            <w:r w:rsidRPr="008A2236">
              <w:rPr>
                <w:rFonts w:eastAsia="Calibri"/>
              </w:rPr>
              <w:t>default</w:t>
            </w:r>
            <w:r>
              <w:rPr>
                <w:rFonts w:eastAsia="Calibri"/>
              </w:rPr>
              <w:t>.</w:t>
            </w:r>
            <w:r w:rsidRPr="008A2236">
              <w:rPr>
                <w:rFonts w:eastAsia="Calibri"/>
              </w:rPr>
              <w:t xml:space="preserve"> </w:t>
            </w:r>
            <w:r>
              <w:rPr>
                <w:rFonts w:eastAsia="Calibri"/>
              </w:rPr>
              <w:t>T</w:t>
            </w:r>
            <w:r w:rsidRPr="008A2236">
              <w:rPr>
                <w:rFonts w:eastAsia="Calibri"/>
              </w:rPr>
              <w:t>his is now explained in chapter 4, section</w:t>
            </w:r>
            <w:r>
              <w:rPr>
                <w:rFonts w:eastAsia="Calibri"/>
              </w:rPr>
              <w:t> </w:t>
            </w:r>
            <w:r w:rsidRPr="008A2236">
              <w:rPr>
                <w:rFonts w:eastAsia="Calibri"/>
              </w:rPr>
              <w:t>4.5.2.</w:t>
            </w:r>
          </w:p>
        </w:tc>
      </w:tr>
      <w:tr w:rsidR="00366397" w:rsidRPr="008A2236" w14:paraId="178F3B84" w14:textId="77777777" w:rsidTr="00B027A0">
        <w:tc>
          <w:tcPr>
            <w:tcW w:w="1758" w:type="dxa"/>
            <w:shd w:val="clear" w:color="auto" w:fill="FFFFFF"/>
            <w:vAlign w:val="center"/>
          </w:tcPr>
          <w:p w14:paraId="0C21DF72" w14:textId="77777777" w:rsidR="00366397" w:rsidRPr="008A2236" w:rsidRDefault="00366397" w:rsidP="0030211F">
            <w:pPr>
              <w:pStyle w:val="TableText"/>
            </w:pPr>
            <w:r w:rsidRPr="008A2236">
              <w:rPr>
                <w:rFonts w:eastAsia="Calibri"/>
              </w:rPr>
              <w:t xml:space="preserve">IPPU – 2.F Product uses as substitutes for ozone-depleting substances </w:t>
            </w:r>
            <w:r>
              <w:rPr>
                <w:rFonts w:eastAsia="Calibri"/>
              </w:rPr>
              <w:t>–</w:t>
            </w:r>
            <w:r w:rsidRPr="008A2236">
              <w:rPr>
                <w:rFonts w:eastAsia="Calibri"/>
              </w:rPr>
              <w:t xml:space="preserve"> HFCs</w:t>
            </w:r>
          </w:p>
        </w:tc>
        <w:tc>
          <w:tcPr>
            <w:tcW w:w="907" w:type="dxa"/>
            <w:shd w:val="clear" w:color="auto" w:fill="FFFFFF"/>
            <w:vAlign w:val="center"/>
          </w:tcPr>
          <w:p w14:paraId="0A85CD8B" w14:textId="77777777" w:rsidR="00366397" w:rsidRPr="008A2236" w:rsidRDefault="00366397" w:rsidP="0030211F">
            <w:pPr>
              <w:pStyle w:val="TableText"/>
            </w:pPr>
            <w:r w:rsidRPr="008A2236">
              <w:rPr>
                <w:rFonts w:eastAsia="Calibri"/>
              </w:rPr>
              <w:t>I.29, 2019</w:t>
            </w:r>
          </w:p>
        </w:tc>
        <w:tc>
          <w:tcPr>
            <w:tcW w:w="2835" w:type="dxa"/>
            <w:shd w:val="clear" w:color="auto" w:fill="FFFFFF"/>
          </w:tcPr>
          <w:p w14:paraId="4A2AF8A8" w14:textId="7BBD9213" w:rsidR="00366397" w:rsidRPr="008A2236" w:rsidRDefault="00366397" w:rsidP="0030211F">
            <w:pPr>
              <w:pStyle w:val="TableText"/>
            </w:pPr>
            <w:r w:rsidRPr="008A2236">
              <w:rPr>
                <w:rFonts w:eastAsia="Calibri"/>
              </w:rPr>
              <w:t>The ERT recommends that New Zealand explain the model used to estimate emissions in this category in more detail, including the assumptions made, in the NIR. The ERT also recommends that New</w:t>
            </w:r>
            <w:r w:rsidR="008E545C">
              <w:rPr>
                <w:rFonts w:eastAsia="Calibri"/>
              </w:rPr>
              <w:t> </w:t>
            </w:r>
            <w:r w:rsidRPr="008A2236">
              <w:rPr>
                <w:rFonts w:eastAsia="Calibri"/>
              </w:rPr>
              <w:t>Zealand improve its QA/QC for this category by comparing the results of the bottom-up model with the results of a top-down approach, as the import data are based on comprehensive annual surveys, to allow a clear comparison of</w:t>
            </w:r>
            <w:r w:rsidR="009928C4">
              <w:rPr>
                <w:rFonts w:eastAsia="Calibri"/>
              </w:rPr>
              <w:t> </w:t>
            </w:r>
            <w:r w:rsidRPr="008A2236">
              <w:rPr>
                <w:rFonts w:eastAsia="Calibri"/>
              </w:rPr>
              <w:t>the two results, as recommended by</w:t>
            </w:r>
            <w:r w:rsidR="009928C4">
              <w:rPr>
                <w:rFonts w:eastAsia="Calibri"/>
              </w:rPr>
              <w:t> </w:t>
            </w:r>
            <w:r w:rsidRPr="008A2236">
              <w:rPr>
                <w:rFonts w:eastAsia="Calibri"/>
              </w:rPr>
              <w:t>the</w:t>
            </w:r>
            <w:r w:rsidR="008E545C">
              <w:rPr>
                <w:rFonts w:eastAsia="Calibri"/>
              </w:rPr>
              <w:t> </w:t>
            </w:r>
            <w:r w:rsidRPr="008A2236">
              <w:rPr>
                <w:rFonts w:eastAsia="Calibri"/>
              </w:rPr>
              <w:t>2006 IPCC Guidelines (vol. 3, section</w:t>
            </w:r>
            <w:r w:rsidR="009928C4">
              <w:rPr>
                <w:rFonts w:eastAsia="Calibri"/>
              </w:rPr>
              <w:t> </w:t>
            </w:r>
            <w:r w:rsidRPr="008A2236">
              <w:rPr>
                <w:rFonts w:eastAsia="Calibri"/>
              </w:rPr>
              <w:t>7.1.4.1).</w:t>
            </w:r>
          </w:p>
        </w:tc>
        <w:tc>
          <w:tcPr>
            <w:tcW w:w="2835" w:type="dxa"/>
            <w:shd w:val="clear" w:color="auto" w:fill="FFFFFF"/>
            <w:vAlign w:val="center"/>
          </w:tcPr>
          <w:p w14:paraId="6D92107B" w14:textId="758956C6" w:rsidR="00366397" w:rsidRPr="008A2236" w:rsidRDefault="00366397" w:rsidP="0030211F">
            <w:pPr>
              <w:pStyle w:val="TableText"/>
            </w:pPr>
            <w:r w:rsidRPr="008A2236">
              <w:rPr>
                <w:rFonts w:eastAsia="Calibri"/>
                <w:b/>
              </w:rPr>
              <w:t>Resolved.</w:t>
            </w:r>
            <w:r w:rsidRPr="008A2236">
              <w:rPr>
                <w:rFonts w:eastAsia="Calibri"/>
              </w:rPr>
              <w:t xml:space="preserve"> Explanations in the NIR have</w:t>
            </w:r>
            <w:r w:rsidR="008E545C">
              <w:rPr>
                <w:rFonts w:eastAsia="Calibri"/>
              </w:rPr>
              <w:t> </w:t>
            </w:r>
            <w:r w:rsidRPr="008A2236">
              <w:rPr>
                <w:rFonts w:eastAsia="Calibri"/>
              </w:rPr>
              <w:t xml:space="preserve">been expanded and will be further improved in future submissions. </w:t>
            </w:r>
            <w:r>
              <w:rPr>
                <w:rFonts w:eastAsia="Calibri"/>
              </w:rPr>
              <w:t>See</w:t>
            </w:r>
            <w:r w:rsidRPr="008A2236">
              <w:rPr>
                <w:rFonts w:eastAsia="Calibri"/>
              </w:rPr>
              <w:t xml:space="preserve"> chapter 4, section</w:t>
            </w:r>
            <w:r>
              <w:rPr>
                <w:rFonts w:eastAsia="Calibri"/>
              </w:rPr>
              <w:t> </w:t>
            </w:r>
            <w:r w:rsidRPr="008A2236">
              <w:rPr>
                <w:rFonts w:eastAsia="Calibri"/>
              </w:rPr>
              <w:t>4.7.2</w:t>
            </w:r>
            <w:r>
              <w:rPr>
                <w:rFonts w:eastAsia="Calibri"/>
              </w:rPr>
              <w:t>.</w:t>
            </w:r>
          </w:p>
        </w:tc>
      </w:tr>
      <w:tr w:rsidR="00366397" w:rsidRPr="008A2236" w14:paraId="7046A109" w14:textId="77777777" w:rsidTr="00B027A0">
        <w:tc>
          <w:tcPr>
            <w:tcW w:w="1758" w:type="dxa"/>
            <w:shd w:val="clear" w:color="auto" w:fill="FFFFFF"/>
            <w:vAlign w:val="center"/>
          </w:tcPr>
          <w:p w14:paraId="6CEB021B" w14:textId="77777777" w:rsidR="00366397" w:rsidRPr="008A2236" w:rsidRDefault="00366397" w:rsidP="0030211F">
            <w:pPr>
              <w:pStyle w:val="TableText"/>
            </w:pPr>
            <w:r w:rsidRPr="008A2236">
              <w:rPr>
                <w:rFonts w:eastAsia="Calibri"/>
              </w:rPr>
              <w:t xml:space="preserve">IPPU – 2.F.1 Refrigeration and air conditioning </w:t>
            </w:r>
            <w:r>
              <w:rPr>
                <w:rFonts w:eastAsia="Calibri"/>
              </w:rPr>
              <w:t>–</w:t>
            </w:r>
            <w:r w:rsidRPr="008A2236">
              <w:rPr>
                <w:rFonts w:eastAsia="Calibri"/>
              </w:rPr>
              <w:t xml:space="preserve"> HFCs</w:t>
            </w:r>
          </w:p>
        </w:tc>
        <w:tc>
          <w:tcPr>
            <w:tcW w:w="907" w:type="dxa"/>
            <w:shd w:val="clear" w:color="auto" w:fill="FFFFFF"/>
            <w:vAlign w:val="center"/>
          </w:tcPr>
          <w:p w14:paraId="0EBCA6C5" w14:textId="77777777" w:rsidR="00366397" w:rsidRPr="008A2236" w:rsidRDefault="00366397" w:rsidP="0030211F">
            <w:pPr>
              <w:pStyle w:val="TableText"/>
            </w:pPr>
            <w:r w:rsidRPr="008A2236">
              <w:rPr>
                <w:rFonts w:eastAsia="Calibri"/>
              </w:rPr>
              <w:t>I.30, 2019</w:t>
            </w:r>
          </w:p>
        </w:tc>
        <w:tc>
          <w:tcPr>
            <w:tcW w:w="2835" w:type="dxa"/>
            <w:shd w:val="clear" w:color="auto" w:fill="FFFFFF"/>
          </w:tcPr>
          <w:p w14:paraId="765688D6" w14:textId="77777777" w:rsidR="00366397" w:rsidRPr="008A2236" w:rsidRDefault="00366397" w:rsidP="0030211F">
            <w:pPr>
              <w:pStyle w:val="TableText"/>
            </w:pPr>
            <w:r w:rsidRPr="008A2236">
              <w:rPr>
                <w:rFonts w:eastAsia="Calibri"/>
              </w:rPr>
              <w:t>The ERT recommends that New Zealand update the equation in box 4.1 of the NIR to clarify that all calculations of the total charge of new equipment include the charge for equipment that is later exported.</w:t>
            </w:r>
          </w:p>
        </w:tc>
        <w:tc>
          <w:tcPr>
            <w:tcW w:w="2835" w:type="dxa"/>
            <w:shd w:val="clear" w:color="auto" w:fill="FFFFFF"/>
            <w:vAlign w:val="center"/>
          </w:tcPr>
          <w:p w14:paraId="70CC7F90" w14:textId="77777777" w:rsidR="00366397" w:rsidRPr="008A2236" w:rsidRDefault="00366397" w:rsidP="0030211F">
            <w:pPr>
              <w:pStyle w:val="TableText"/>
            </w:pPr>
            <w:r w:rsidRPr="008A2236">
              <w:rPr>
                <w:rFonts w:eastAsia="Calibri"/>
                <w:b/>
              </w:rPr>
              <w:t>Resolved.</w:t>
            </w:r>
            <w:r w:rsidRPr="008A2236">
              <w:rPr>
                <w:rFonts w:eastAsia="Calibri"/>
              </w:rPr>
              <w:t xml:space="preserve"> This clarification has been added in chapter 4, section 4.7.2.</w:t>
            </w:r>
          </w:p>
        </w:tc>
      </w:tr>
      <w:tr w:rsidR="00366397" w:rsidRPr="008A2236" w14:paraId="2F6D4997" w14:textId="77777777" w:rsidTr="00B027A0">
        <w:tc>
          <w:tcPr>
            <w:tcW w:w="1758" w:type="dxa"/>
            <w:shd w:val="clear" w:color="auto" w:fill="FFFFFF"/>
            <w:vAlign w:val="center"/>
          </w:tcPr>
          <w:p w14:paraId="609CBB7F" w14:textId="77777777" w:rsidR="00366397" w:rsidRPr="008A2236" w:rsidRDefault="00366397" w:rsidP="0030211F">
            <w:pPr>
              <w:pStyle w:val="TableText"/>
            </w:pPr>
            <w:r w:rsidRPr="008A2236">
              <w:rPr>
                <w:rFonts w:eastAsia="Calibri"/>
              </w:rPr>
              <w:t xml:space="preserve">IPPU – 2.F.1.e Mobile air conditioning </w:t>
            </w:r>
            <w:r>
              <w:rPr>
                <w:rFonts w:eastAsia="Calibri"/>
              </w:rPr>
              <w:t>–</w:t>
            </w:r>
            <w:r w:rsidRPr="008A2236">
              <w:rPr>
                <w:rFonts w:eastAsia="Calibri"/>
              </w:rPr>
              <w:t xml:space="preserve"> HFCs</w:t>
            </w:r>
          </w:p>
        </w:tc>
        <w:tc>
          <w:tcPr>
            <w:tcW w:w="907" w:type="dxa"/>
            <w:shd w:val="clear" w:color="auto" w:fill="FFFFFF"/>
            <w:vAlign w:val="center"/>
          </w:tcPr>
          <w:p w14:paraId="77D1E042" w14:textId="77777777" w:rsidR="00366397" w:rsidRPr="008A2236" w:rsidRDefault="00366397" w:rsidP="0030211F">
            <w:pPr>
              <w:pStyle w:val="TableText"/>
            </w:pPr>
            <w:r w:rsidRPr="008A2236">
              <w:rPr>
                <w:rFonts w:eastAsia="Calibri"/>
              </w:rPr>
              <w:t>I.31, 2019</w:t>
            </w:r>
          </w:p>
        </w:tc>
        <w:tc>
          <w:tcPr>
            <w:tcW w:w="2835" w:type="dxa"/>
            <w:shd w:val="clear" w:color="auto" w:fill="FFFFFF"/>
          </w:tcPr>
          <w:p w14:paraId="49953E1C" w14:textId="77777777" w:rsidR="00366397" w:rsidRPr="008A2236" w:rsidRDefault="00366397" w:rsidP="0030211F">
            <w:pPr>
              <w:pStyle w:val="TableText"/>
            </w:pPr>
            <w:r w:rsidRPr="008A2236">
              <w:rPr>
                <w:rFonts w:eastAsia="Calibri"/>
              </w:rPr>
              <w:t>The ERT recommends that New Zealand explain the trend of HFC-134a filled into new manufactured products, especially the decrease between 2003 and 2004, in its NIR.</w:t>
            </w:r>
          </w:p>
        </w:tc>
        <w:tc>
          <w:tcPr>
            <w:tcW w:w="2835" w:type="dxa"/>
            <w:shd w:val="clear" w:color="auto" w:fill="FFFFFF"/>
            <w:vAlign w:val="center"/>
          </w:tcPr>
          <w:p w14:paraId="7D7C9501" w14:textId="77777777" w:rsidR="00366397" w:rsidRPr="008A2236" w:rsidRDefault="00366397" w:rsidP="0030211F">
            <w:pPr>
              <w:pStyle w:val="TableText"/>
            </w:pPr>
            <w:r w:rsidRPr="008A2236">
              <w:rPr>
                <w:rFonts w:eastAsia="Calibri"/>
                <w:b/>
              </w:rPr>
              <w:t>Resolved.</w:t>
            </w:r>
            <w:r w:rsidRPr="008A2236">
              <w:rPr>
                <w:rFonts w:eastAsia="Calibri"/>
              </w:rPr>
              <w:t xml:space="preserve"> This clarification has been added in chapter 4, section 4.7.2.</w:t>
            </w:r>
          </w:p>
        </w:tc>
      </w:tr>
      <w:tr w:rsidR="00366397" w:rsidRPr="008A2236" w14:paraId="2BAE6F75" w14:textId="77777777" w:rsidTr="00B027A0">
        <w:tc>
          <w:tcPr>
            <w:tcW w:w="1758" w:type="dxa"/>
            <w:shd w:val="clear" w:color="auto" w:fill="FFFFFF"/>
            <w:vAlign w:val="center"/>
          </w:tcPr>
          <w:p w14:paraId="0EACF402" w14:textId="77777777" w:rsidR="00366397" w:rsidRPr="008A2236" w:rsidRDefault="00366397" w:rsidP="0030211F">
            <w:pPr>
              <w:pStyle w:val="TableText"/>
            </w:pPr>
            <w:r w:rsidRPr="008A2236">
              <w:rPr>
                <w:rFonts w:eastAsia="Calibri"/>
              </w:rPr>
              <w:t>Agriculture – 3. General (agriculture) –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1C19B583" w14:textId="77777777" w:rsidR="00366397" w:rsidRPr="008A2236" w:rsidRDefault="00366397" w:rsidP="0030211F">
            <w:pPr>
              <w:pStyle w:val="TableText"/>
            </w:pPr>
            <w:r w:rsidRPr="008A2236">
              <w:rPr>
                <w:rFonts w:eastAsia="Calibri"/>
              </w:rPr>
              <w:t>A.4, 2019</w:t>
            </w:r>
          </w:p>
        </w:tc>
        <w:tc>
          <w:tcPr>
            <w:tcW w:w="2835" w:type="dxa"/>
            <w:shd w:val="clear" w:color="auto" w:fill="FFFFFF"/>
          </w:tcPr>
          <w:p w14:paraId="215532B1" w14:textId="77777777" w:rsidR="00366397" w:rsidRPr="008A2236" w:rsidRDefault="00366397" w:rsidP="0030211F">
            <w:pPr>
              <w:pStyle w:val="TableText"/>
            </w:pPr>
            <w:r w:rsidRPr="008A2236">
              <w:rPr>
                <w:rFonts w:eastAsia="Calibri"/>
              </w:rPr>
              <w:t>The ERT recommends that New Zealand improve the description in the NIR to demonstrate clearly that the procedures for the agricultural production census and survey are aligned and no significant deviations have occurred in the time series since 1990.</w:t>
            </w:r>
          </w:p>
        </w:tc>
        <w:tc>
          <w:tcPr>
            <w:tcW w:w="2835" w:type="dxa"/>
            <w:shd w:val="clear" w:color="auto" w:fill="FFFFFF"/>
            <w:vAlign w:val="center"/>
          </w:tcPr>
          <w:p w14:paraId="5C866A72" w14:textId="77777777" w:rsidR="00366397" w:rsidRPr="008A2236" w:rsidRDefault="00366397" w:rsidP="0030211F">
            <w:pPr>
              <w:pStyle w:val="TableText"/>
            </w:pPr>
            <w:r w:rsidRPr="008A2236">
              <w:rPr>
                <w:rFonts w:eastAsia="Calibri"/>
                <w:b/>
              </w:rPr>
              <w:t>Resolved.</w:t>
            </w:r>
            <w:r w:rsidRPr="008A2236">
              <w:rPr>
                <w:rFonts w:eastAsia="Calibri"/>
              </w:rPr>
              <w:t xml:space="preserve"> A more detailed explanation on the Agricultural Production census and survey is included in chapter 5, section 5.1.4.</w:t>
            </w:r>
          </w:p>
        </w:tc>
      </w:tr>
      <w:tr w:rsidR="00366397" w:rsidRPr="008A2236" w14:paraId="1A9E446E" w14:textId="77777777" w:rsidTr="00B027A0">
        <w:tc>
          <w:tcPr>
            <w:tcW w:w="1758" w:type="dxa"/>
            <w:shd w:val="clear" w:color="auto" w:fill="FFFFFF"/>
            <w:vAlign w:val="center"/>
          </w:tcPr>
          <w:p w14:paraId="5DF69F63" w14:textId="77777777" w:rsidR="00366397" w:rsidRPr="008A2236" w:rsidRDefault="00366397" w:rsidP="0030211F">
            <w:pPr>
              <w:pStyle w:val="TableText"/>
            </w:pPr>
            <w:r w:rsidRPr="008A2236">
              <w:rPr>
                <w:rFonts w:eastAsia="Calibri"/>
              </w:rPr>
              <w:t>Agriculture – 3. General (agriculture) –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594D8888" w14:textId="77777777" w:rsidR="00366397" w:rsidRPr="008A2236" w:rsidRDefault="00366397" w:rsidP="0030211F">
            <w:pPr>
              <w:pStyle w:val="TableText"/>
            </w:pPr>
            <w:r w:rsidRPr="008A2236">
              <w:rPr>
                <w:rFonts w:eastAsia="Calibri"/>
              </w:rPr>
              <w:t>A.5, 2019</w:t>
            </w:r>
          </w:p>
        </w:tc>
        <w:tc>
          <w:tcPr>
            <w:tcW w:w="2835" w:type="dxa"/>
            <w:shd w:val="clear" w:color="auto" w:fill="FFFFFF"/>
          </w:tcPr>
          <w:p w14:paraId="0E7BB502" w14:textId="77777777" w:rsidR="00366397" w:rsidRPr="008A2236" w:rsidRDefault="00366397" w:rsidP="0030211F">
            <w:pPr>
              <w:pStyle w:val="TableText"/>
            </w:pPr>
            <w:r w:rsidRPr="008A2236">
              <w:rPr>
                <w:rFonts w:eastAsia="Calibri"/>
              </w:rPr>
              <w:t>The ERT recommends that New Zealand correct the uncertainty values reported for enteric fermentation and agricultural soils in section 1.6 of the NIR so that they are consistent with the values reported in sections 5.2.3 and 5.5.3 of the NIR.</w:t>
            </w:r>
          </w:p>
        </w:tc>
        <w:tc>
          <w:tcPr>
            <w:tcW w:w="2835" w:type="dxa"/>
            <w:shd w:val="clear" w:color="auto" w:fill="FFFFFF"/>
            <w:vAlign w:val="center"/>
          </w:tcPr>
          <w:p w14:paraId="3ADBBAE9" w14:textId="77777777" w:rsidR="00366397" w:rsidRPr="008A2236" w:rsidRDefault="00366397" w:rsidP="0030211F">
            <w:pPr>
              <w:pStyle w:val="TableText"/>
            </w:pPr>
            <w:r w:rsidRPr="008A2236">
              <w:rPr>
                <w:rFonts w:eastAsia="Calibri"/>
                <w:b/>
              </w:rPr>
              <w:t>Resolved.</w:t>
            </w:r>
            <w:r w:rsidRPr="008A2236">
              <w:rPr>
                <w:rFonts w:eastAsia="Calibri"/>
              </w:rPr>
              <w:t xml:space="preserve"> The text on uncertainty in chapter 1, section 1.6 for enteric fermentation and agricultural soils has been corrected. </w:t>
            </w:r>
          </w:p>
        </w:tc>
      </w:tr>
      <w:tr w:rsidR="00366397" w:rsidRPr="008A2236" w14:paraId="65781959" w14:textId="77777777" w:rsidTr="00B027A0">
        <w:tc>
          <w:tcPr>
            <w:tcW w:w="1758" w:type="dxa"/>
            <w:shd w:val="clear" w:color="auto" w:fill="FFFFFF"/>
            <w:vAlign w:val="center"/>
          </w:tcPr>
          <w:p w14:paraId="44B3E3E3" w14:textId="77777777" w:rsidR="00366397" w:rsidRPr="008A2236" w:rsidRDefault="00366397" w:rsidP="008E545C">
            <w:pPr>
              <w:pStyle w:val="TableText"/>
              <w:keepNext/>
              <w:spacing w:before="40" w:after="40"/>
            </w:pPr>
            <w:r w:rsidRPr="008A2236">
              <w:rPr>
                <w:rFonts w:eastAsia="Calibri"/>
              </w:rPr>
              <w:lastRenderedPageBreak/>
              <w:t>Agriculture – 3. General (agriculture) –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443A5095" w14:textId="77777777" w:rsidR="00366397" w:rsidRPr="008A2236" w:rsidRDefault="00366397" w:rsidP="008E545C">
            <w:pPr>
              <w:pStyle w:val="TableText"/>
              <w:spacing w:before="40" w:after="40"/>
            </w:pPr>
            <w:r w:rsidRPr="008A2236">
              <w:rPr>
                <w:rFonts w:eastAsia="Calibri"/>
              </w:rPr>
              <w:t>A.9, 2019</w:t>
            </w:r>
          </w:p>
        </w:tc>
        <w:tc>
          <w:tcPr>
            <w:tcW w:w="2835" w:type="dxa"/>
            <w:shd w:val="clear" w:color="auto" w:fill="FFFFFF"/>
          </w:tcPr>
          <w:p w14:paraId="0C324B29" w14:textId="77777777" w:rsidR="00366397" w:rsidRPr="008A2236" w:rsidRDefault="00366397" w:rsidP="008E545C">
            <w:pPr>
              <w:pStyle w:val="TableText"/>
              <w:spacing w:before="40" w:after="40"/>
            </w:pPr>
            <w:r w:rsidRPr="008A2236">
              <w:rPr>
                <w:rFonts w:eastAsia="Calibri"/>
              </w:rPr>
              <w:t>The ERT recommends that New Zealand (1) revise the text that refers to the year for which provisional population data are used in the NIR (p.158), (2) update the animal populations for 2018 and revise the estimates reported for 2017 in the CRF tables and (3) explain this recalculation in the NIR.</w:t>
            </w:r>
          </w:p>
        </w:tc>
        <w:tc>
          <w:tcPr>
            <w:tcW w:w="2835" w:type="dxa"/>
            <w:shd w:val="clear" w:color="auto" w:fill="FFFFFF"/>
            <w:vAlign w:val="center"/>
          </w:tcPr>
          <w:p w14:paraId="007A0E02" w14:textId="77777777" w:rsidR="00366397" w:rsidRPr="008A2236" w:rsidRDefault="00366397" w:rsidP="008E545C">
            <w:pPr>
              <w:pStyle w:val="TableText"/>
              <w:spacing w:before="40" w:after="40"/>
            </w:pPr>
            <w:r w:rsidRPr="008A2236">
              <w:rPr>
                <w:rFonts w:eastAsia="Calibri"/>
                <w:b/>
              </w:rPr>
              <w:t>Resolved.</w:t>
            </w:r>
            <w:r w:rsidRPr="008A2236">
              <w:rPr>
                <w:rFonts w:eastAsia="Calibri"/>
              </w:rPr>
              <w:t xml:space="preserve"> Updated text on the use of provisional Agricultural Production survey data has been included in section 10.1.3. Emissions estimates have been updated with revised population figures.</w:t>
            </w:r>
          </w:p>
        </w:tc>
      </w:tr>
      <w:tr w:rsidR="00366397" w:rsidRPr="008A2236" w14:paraId="22919C64" w14:textId="77777777" w:rsidTr="00B027A0">
        <w:tc>
          <w:tcPr>
            <w:tcW w:w="1758" w:type="dxa"/>
            <w:shd w:val="clear" w:color="auto" w:fill="FFFFFF"/>
            <w:vAlign w:val="center"/>
          </w:tcPr>
          <w:p w14:paraId="4B715522" w14:textId="77777777" w:rsidR="00366397" w:rsidRPr="008A2236" w:rsidRDefault="00366397" w:rsidP="008E545C">
            <w:pPr>
              <w:pStyle w:val="TableText"/>
              <w:spacing w:before="40" w:after="40"/>
            </w:pPr>
            <w:r w:rsidRPr="008A2236">
              <w:rPr>
                <w:rFonts w:eastAsia="Calibri"/>
              </w:rPr>
              <w:t>Agriculture – 3. General (agriculture) –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55DBCA93" w14:textId="77777777" w:rsidR="00366397" w:rsidRPr="008A2236" w:rsidRDefault="00366397" w:rsidP="008E545C">
            <w:pPr>
              <w:pStyle w:val="TableText"/>
              <w:spacing w:before="40" w:after="40"/>
            </w:pPr>
            <w:r w:rsidRPr="008A2236">
              <w:rPr>
                <w:rFonts w:eastAsia="Calibri"/>
              </w:rPr>
              <w:t>A.10, 2019</w:t>
            </w:r>
          </w:p>
        </w:tc>
        <w:tc>
          <w:tcPr>
            <w:tcW w:w="2835" w:type="dxa"/>
            <w:shd w:val="clear" w:color="auto" w:fill="FFFFFF"/>
          </w:tcPr>
          <w:p w14:paraId="6BF73F58" w14:textId="77777777" w:rsidR="00366397" w:rsidRPr="008A2236" w:rsidRDefault="00366397" w:rsidP="008E545C">
            <w:pPr>
              <w:pStyle w:val="TableText"/>
              <w:spacing w:before="40" w:after="40"/>
            </w:pPr>
            <w:r w:rsidRPr="008A2236">
              <w:rPr>
                <w:rFonts w:eastAsia="Calibri"/>
              </w:rPr>
              <w:t>The ERT recommends that New Zealand provide additional information on the assumption that all growing beef animals are slaughtered at two years of age and refer to the MPI (2018) report on animal live weights in the NIR.</w:t>
            </w:r>
          </w:p>
        </w:tc>
        <w:tc>
          <w:tcPr>
            <w:tcW w:w="2835" w:type="dxa"/>
            <w:shd w:val="clear" w:color="auto" w:fill="FFFFFF"/>
            <w:vAlign w:val="center"/>
          </w:tcPr>
          <w:p w14:paraId="0745F9ED" w14:textId="77777777" w:rsidR="00366397" w:rsidRPr="008A2236" w:rsidRDefault="00366397" w:rsidP="008E545C">
            <w:pPr>
              <w:pStyle w:val="TableText"/>
              <w:spacing w:before="40" w:after="40"/>
            </w:pPr>
            <w:r w:rsidRPr="008A2236">
              <w:rPr>
                <w:rFonts w:eastAsia="Calibri"/>
                <w:b/>
              </w:rPr>
              <w:t>Resolved.</w:t>
            </w:r>
            <w:r w:rsidRPr="008A2236">
              <w:rPr>
                <w:rFonts w:eastAsia="Calibri"/>
              </w:rPr>
              <w:t xml:space="preserve"> More information on the slaughter age of beef cattle assumption is provided in chapter 5, section 5.1.4 (</w:t>
            </w:r>
            <w:r>
              <w:rPr>
                <w:rFonts w:eastAsia="Calibri"/>
              </w:rPr>
              <w:t xml:space="preserve">under </w:t>
            </w:r>
            <w:r w:rsidRPr="008A2236">
              <w:rPr>
                <w:rFonts w:eastAsia="Calibri"/>
              </w:rPr>
              <w:t>Animal productivity data</w:t>
            </w:r>
            <w:r>
              <w:rPr>
                <w:rFonts w:eastAsia="Calibri"/>
              </w:rPr>
              <w:t xml:space="preserve"> –</w:t>
            </w:r>
            <w:r w:rsidRPr="008A2236">
              <w:rPr>
                <w:rFonts w:eastAsia="Calibri"/>
              </w:rPr>
              <w:t xml:space="preserve"> </w:t>
            </w:r>
            <w:r>
              <w:rPr>
                <w:rFonts w:eastAsia="Calibri"/>
              </w:rPr>
              <w:t>B</w:t>
            </w:r>
            <w:r w:rsidRPr="008A2236">
              <w:rPr>
                <w:rFonts w:eastAsia="Calibri"/>
              </w:rPr>
              <w:t>eef cattle).</w:t>
            </w:r>
          </w:p>
        </w:tc>
      </w:tr>
      <w:tr w:rsidR="00366397" w:rsidRPr="008A2236" w14:paraId="6196394D" w14:textId="77777777" w:rsidTr="00B027A0">
        <w:tc>
          <w:tcPr>
            <w:tcW w:w="1758" w:type="dxa"/>
            <w:shd w:val="clear" w:color="auto" w:fill="FFFFFF"/>
            <w:vAlign w:val="center"/>
          </w:tcPr>
          <w:p w14:paraId="47297102" w14:textId="77777777" w:rsidR="00366397" w:rsidRPr="008A2236" w:rsidRDefault="00366397" w:rsidP="008E545C">
            <w:pPr>
              <w:pStyle w:val="TableText"/>
              <w:spacing w:before="40" w:after="40"/>
            </w:pPr>
            <w:r w:rsidRPr="008A2236">
              <w:rPr>
                <w:rFonts w:eastAsia="Calibri"/>
              </w:rPr>
              <w:t xml:space="preserve">Agriculture – 3.A.1 Cattle </w:t>
            </w:r>
            <w:r>
              <w:rPr>
                <w:rFonts w:eastAsia="Calibri"/>
              </w:rPr>
              <w:t>–</w:t>
            </w:r>
            <w:r w:rsidRPr="008A2236">
              <w:rPr>
                <w:rFonts w:eastAsia="Calibri"/>
              </w:rPr>
              <w:t xml:space="preserve"> CH</w:t>
            </w:r>
            <w:r w:rsidRPr="008A2236">
              <w:rPr>
                <w:rFonts w:eastAsia="Calibri"/>
                <w:vertAlign w:val="subscript"/>
              </w:rPr>
              <w:t>4</w:t>
            </w:r>
          </w:p>
        </w:tc>
        <w:tc>
          <w:tcPr>
            <w:tcW w:w="907" w:type="dxa"/>
            <w:shd w:val="clear" w:color="auto" w:fill="FFFFFF"/>
            <w:vAlign w:val="center"/>
          </w:tcPr>
          <w:p w14:paraId="1BE13AE9" w14:textId="77777777" w:rsidR="00366397" w:rsidRPr="008A2236" w:rsidRDefault="00366397" w:rsidP="008E545C">
            <w:pPr>
              <w:pStyle w:val="TableText"/>
              <w:spacing w:before="40" w:after="40"/>
            </w:pPr>
            <w:r w:rsidRPr="008A2236">
              <w:rPr>
                <w:rFonts w:eastAsia="Calibri"/>
              </w:rPr>
              <w:t>A.11, 2019</w:t>
            </w:r>
          </w:p>
        </w:tc>
        <w:tc>
          <w:tcPr>
            <w:tcW w:w="2835" w:type="dxa"/>
            <w:shd w:val="clear" w:color="auto" w:fill="FFFFFF"/>
          </w:tcPr>
          <w:p w14:paraId="2A9DC6AD" w14:textId="77777777" w:rsidR="00366397" w:rsidRPr="008A2236" w:rsidRDefault="00366397" w:rsidP="008E545C">
            <w:pPr>
              <w:pStyle w:val="TableText"/>
              <w:spacing w:before="40" w:after="40"/>
            </w:pPr>
            <w:r w:rsidRPr="008A2236">
              <w:rPr>
                <w:rFonts w:eastAsia="Calibri"/>
              </w:rPr>
              <w:t>To improve the transparency of the comparison between the country-specific CH</w:t>
            </w:r>
            <w:r w:rsidRPr="008A2236">
              <w:rPr>
                <w:rFonts w:eastAsia="Calibri"/>
                <w:vertAlign w:val="subscript"/>
              </w:rPr>
              <w:t>4</w:t>
            </w:r>
            <w:r w:rsidRPr="008A2236">
              <w:rPr>
                <w:rFonts w:eastAsia="Calibri"/>
              </w:rPr>
              <w:t xml:space="preserve"> EF and the IPCC default values, the ERT recommends that New Zealand report, in that comparison, the EF calculated for milking cows only.</w:t>
            </w:r>
          </w:p>
        </w:tc>
        <w:tc>
          <w:tcPr>
            <w:tcW w:w="2835" w:type="dxa"/>
            <w:shd w:val="clear" w:color="auto" w:fill="FFFFFF"/>
            <w:vAlign w:val="center"/>
          </w:tcPr>
          <w:p w14:paraId="01DBA003" w14:textId="77777777" w:rsidR="00366397" w:rsidRPr="008A2236" w:rsidRDefault="00366397" w:rsidP="008E545C">
            <w:pPr>
              <w:pStyle w:val="TableText"/>
              <w:spacing w:before="40" w:after="40"/>
            </w:pPr>
            <w:r w:rsidRPr="008A2236">
              <w:rPr>
                <w:rFonts w:eastAsia="Calibri"/>
                <w:b/>
              </w:rPr>
              <w:t>Resolved.</w:t>
            </w:r>
            <w:r w:rsidRPr="008A2236">
              <w:rPr>
                <w:rFonts w:eastAsia="Calibri"/>
              </w:rPr>
              <w:t xml:space="preserve"> Information on the IEF for mature milking dairy cattle only has been provided in chapter 5, table 5.3.2.</w:t>
            </w:r>
          </w:p>
        </w:tc>
      </w:tr>
      <w:tr w:rsidR="00366397" w:rsidRPr="008A2236" w14:paraId="3EABB10D" w14:textId="77777777" w:rsidTr="00B027A0">
        <w:tc>
          <w:tcPr>
            <w:tcW w:w="1758" w:type="dxa"/>
            <w:shd w:val="clear" w:color="auto" w:fill="FFFFFF"/>
            <w:vAlign w:val="center"/>
          </w:tcPr>
          <w:p w14:paraId="5B21313D" w14:textId="77777777" w:rsidR="00366397" w:rsidRPr="008A2236" w:rsidRDefault="00366397" w:rsidP="008E545C">
            <w:pPr>
              <w:pStyle w:val="TableText"/>
              <w:spacing w:before="40" w:after="40"/>
            </w:pPr>
            <w:r w:rsidRPr="008A2236">
              <w:rPr>
                <w:rFonts w:eastAsia="Calibri"/>
              </w:rPr>
              <w:t xml:space="preserve">Agriculture – 3.A.2 Sheep </w:t>
            </w:r>
            <w:r>
              <w:rPr>
                <w:rFonts w:eastAsia="Calibri"/>
              </w:rPr>
              <w:t>–</w:t>
            </w:r>
            <w:r w:rsidRPr="008A2236">
              <w:rPr>
                <w:rFonts w:eastAsia="Calibri"/>
              </w:rPr>
              <w:t xml:space="preserve"> CH</w:t>
            </w:r>
            <w:r w:rsidRPr="008A2236">
              <w:rPr>
                <w:rFonts w:eastAsia="Calibri"/>
                <w:vertAlign w:val="subscript"/>
              </w:rPr>
              <w:t>4</w:t>
            </w:r>
          </w:p>
        </w:tc>
        <w:tc>
          <w:tcPr>
            <w:tcW w:w="907" w:type="dxa"/>
            <w:shd w:val="clear" w:color="auto" w:fill="FFFFFF"/>
            <w:vAlign w:val="center"/>
          </w:tcPr>
          <w:p w14:paraId="236AE214" w14:textId="77777777" w:rsidR="00366397" w:rsidRPr="008A2236" w:rsidRDefault="00366397" w:rsidP="008E545C">
            <w:pPr>
              <w:pStyle w:val="TableText"/>
              <w:spacing w:before="40" w:after="40"/>
            </w:pPr>
            <w:r w:rsidRPr="008A2236">
              <w:rPr>
                <w:rFonts w:eastAsia="Calibri"/>
              </w:rPr>
              <w:t>A.12, 2019</w:t>
            </w:r>
          </w:p>
        </w:tc>
        <w:tc>
          <w:tcPr>
            <w:tcW w:w="2835" w:type="dxa"/>
            <w:shd w:val="clear" w:color="auto" w:fill="FFFFFF"/>
          </w:tcPr>
          <w:p w14:paraId="566FE8D7" w14:textId="77777777" w:rsidR="00366397" w:rsidRPr="008A2236" w:rsidRDefault="00366397" w:rsidP="008E545C">
            <w:pPr>
              <w:pStyle w:val="TableText"/>
              <w:spacing w:before="40" w:after="40"/>
            </w:pPr>
            <w:r w:rsidRPr="008A2236">
              <w:rPr>
                <w:rFonts w:eastAsia="Calibri"/>
              </w:rPr>
              <w:t>The ERT recommends that New Zealand correct the reference to the population of sheep older than one year in the equation describing the method used to estimate emissions from enteric fermentation for sheep of less than one year of age reported in the NIR (p.172).</w:t>
            </w:r>
          </w:p>
        </w:tc>
        <w:tc>
          <w:tcPr>
            <w:tcW w:w="2835" w:type="dxa"/>
            <w:shd w:val="clear" w:color="auto" w:fill="FFFFFF"/>
            <w:vAlign w:val="center"/>
          </w:tcPr>
          <w:p w14:paraId="1E445633" w14:textId="77777777" w:rsidR="00366397" w:rsidRPr="008A2236" w:rsidRDefault="00366397" w:rsidP="008E545C">
            <w:pPr>
              <w:pStyle w:val="TableText"/>
              <w:spacing w:before="40" w:after="40"/>
            </w:pPr>
            <w:r w:rsidRPr="008A2236">
              <w:rPr>
                <w:rFonts w:eastAsia="Calibri"/>
                <w:b/>
              </w:rPr>
              <w:t>Resolved.</w:t>
            </w:r>
            <w:r w:rsidRPr="008A2236">
              <w:rPr>
                <w:rFonts w:eastAsia="Calibri"/>
              </w:rPr>
              <w:t xml:space="preserve"> These equations (in chapter 5, section 5.2.2) have been corrected.</w:t>
            </w:r>
          </w:p>
        </w:tc>
      </w:tr>
      <w:tr w:rsidR="00366397" w:rsidRPr="008A2236" w14:paraId="3240E928" w14:textId="77777777" w:rsidTr="00B027A0">
        <w:tc>
          <w:tcPr>
            <w:tcW w:w="1758" w:type="dxa"/>
            <w:shd w:val="clear" w:color="auto" w:fill="FFFFFF"/>
            <w:vAlign w:val="center"/>
          </w:tcPr>
          <w:p w14:paraId="5BB42759" w14:textId="77777777" w:rsidR="00366397" w:rsidRPr="008A2236" w:rsidRDefault="00366397" w:rsidP="008E545C">
            <w:pPr>
              <w:pStyle w:val="TableText"/>
              <w:spacing w:before="40" w:after="40"/>
            </w:pPr>
            <w:r w:rsidRPr="008A2236">
              <w:rPr>
                <w:rFonts w:eastAsia="Calibri"/>
              </w:rPr>
              <w:t xml:space="preserve">Agriculture – 3.2.4 Other livestock </w:t>
            </w:r>
            <w:r>
              <w:rPr>
                <w:rFonts w:eastAsia="Calibri"/>
              </w:rPr>
              <w:t>–</w:t>
            </w:r>
            <w:r w:rsidRPr="008A2236">
              <w:rPr>
                <w:rFonts w:eastAsia="Calibri"/>
              </w:rPr>
              <w:t xml:space="preserve"> CH</w:t>
            </w:r>
            <w:r w:rsidRPr="008A2236">
              <w:rPr>
                <w:rFonts w:eastAsia="Calibri"/>
                <w:vertAlign w:val="subscript"/>
              </w:rPr>
              <w:t>4</w:t>
            </w:r>
          </w:p>
        </w:tc>
        <w:tc>
          <w:tcPr>
            <w:tcW w:w="907" w:type="dxa"/>
            <w:shd w:val="clear" w:color="auto" w:fill="FFFFFF"/>
            <w:vAlign w:val="center"/>
          </w:tcPr>
          <w:p w14:paraId="29566331" w14:textId="77777777" w:rsidR="00366397" w:rsidRPr="008A2236" w:rsidRDefault="00366397" w:rsidP="008E545C">
            <w:pPr>
              <w:pStyle w:val="TableText"/>
              <w:spacing w:before="40" w:after="40"/>
            </w:pPr>
            <w:r w:rsidRPr="008A2236">
              <w:rPr>
                <w:rFonts w:eastAsia="Calibri"/>
              </w:rPr>
              <w:t>A.13, 2019</w:t>
            </w:r>
          </w:p>
        </w:tc>
        <w:tc>
          <w:tcPr>
            <w:tcW w:w="2835" w:type="dxa"/>
            <w:shd w:val="clear" w:color="auto" w:fill="FFFFFF"/>
          </w:tcPr>
          <w:p w14:paraId="72280AD1" w14:textId="77777777" w:rsidR="00366397" w:rsidRPr="008A2236" w:rsidRDefault="00366397" w:rsidP="008E545C">
            <w:pPr>
              <w:pStyle w:val="TableText"/>
              <w:spacing w:before="40" w:after="40"/>
            </w:pPr>
            <w:r w:rsidRPr="008A2236">
              <w:rPr>
                <w:rFonts w:eastAsia="Calibri"/>
              </w:rPr>
              <w:t>The ERT recommends that New Zealand implement the planned methodological changes regarding revising the assumptions about the population of dairy goats and the total goat population, recalculate the emissions and explain them in the NIR.</w:t>
            </w:r>
          </w:p>
        </w:tc>
        <w:tc>
          <w:tcPr>
            <w:tcW w:w="2835" w:type="dxa"/>
            <w:shd w:val="clear" w:color="auto" w:fill="FFFFFF"/>
            <w:vAlign w:val="center"/>
          </w:tcPr>
          <w:p w14:paraId="0533E0BA" w14:textId="77777777" w:rsidR="00366397" w:rsidRPr="008A2236" w:rsidRDefault="00366397" w:rsidP="008E545C">
            <w:pPr>
              <w:pStyle w:val="TableText"/>
              <w:spacing w:before="40" w:after="40"/>
            </w:pPr>
            <w:r w:rsidRPr="008A2236">
              <w:rPr>
                <w:rFonts w:eastAsia="Calibri"/>
                <w:b/>
              </w:rPr>
              <w:t>Resolved.</w:t>
            </w:r>
            <w:r w:rsidRPr="008A2236">
              <w:rPr>
                <w:rFonts w:eastAsia="Calibri"/>
              </w:rPr>
              <w:t xml:space="preserve"> Revised estimates of the dairy goat population are used in the 2020 inventory, but further changes were not implemented following advice from the Agricultural Inventory Advisory Panel. For more information, see the minutes from the 2019 Panel meeting (www.mpi.govt.nz/science/open-data-and-forecasting/greenhouse-gas-reporting/agricultural-inventory-advisory-panel/2019-agricultural-inventory-advisory-panel-meeting).</w:t>
            </w:r>
          </w:p>
        </w:tc>
      </w:tr>
      <w:tr w:rsidR="00366397" w:rsidRPr="008A2236" w14:paraId="6DB09139" w14:textId="77777777" w:rsidTr="00B027A0">
        <w:tc>
          <w:tcPr>
            <w:tcW w:w="1758" w:type="dxa"/>
            <w:shd w:val="clear" w:color="auto" w:fill="FFFFFF"/>
            <w:vAlign w:val="center"/>
          </w:tcPr>
          <w:p w14:paraId="7F3D7619" w14:textId="77777777" w:rsidR="00366397" w:rsidRPr="008A2236" w:rsidRDefault="00366397" w:rsidP="008E545C">
            <w:pPr>
              <w:pStyle w:val="TableText"/>
              <w:spacing w:before="40" w:after="40"/>
            </w:pPr>
            <w:r w:rsidRPr="008A2236">
              <w:rPr>
                <w:rFonts w:eastAsia="Calibri"/>
              </w:rPr>
              <w:t xml:space="preserve">Agriculture – 3.B Manure management </w:t>
            </w:r>
            <w:r>
              <w:rPr>
                <w:rFonts w:eastAsia="Calibri"/>
              </w:rPr>
              <w:t>–</w:t>
            </w:r>
            <w:r w:rsidRPr="008A2236">
              <w:rPr>
                <w:rFonts w:eastAsia="Calibri"/>
              </w:rPr>
              <w:t xml:space="preserve">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73E8A3BA" w14:textId="77777777" w:rsidR="00366397" w:rsidRPr="008A2236" w:rsidRDefault="00366397" w:rsidP="008E545C">
            <w:pPr>
              <w:pStyle w:val="TableText"/>
              <w:spacing w:before="40" w:after="40"/>
            </w:pPr>
            <w:r w:rsidRPr="008A2236">
              <w:rPr>
                <w:rFonts w:eastAsia="Calibri"/>
              </w:rPr>
              <w:t>A.14, 2019</w:t>
            </w:r>
          </w:p>
        </w:tc>
        <w:tc>
          <w:tcPr>
            <w:tcW w:w="2835" w:type="dxa"/>
            <w:shd w:val="clear" w:color="auto" w:fill="FFFFFF"/>
          </w:tcPr>
          <w:p w14:paraId="3EDE0025" w14:textId="77777777" w:rsidR="00366397" w:rsidRPr="008A2236" w:rsidRDefault="00366397" w:rsidP="008E545C">
            <w:pPr>
              <w:pStyle w:val="TableText"/>
              <w:spacing w:before="40" w:after="40"/>
            </w:pPr>
            <w:r w:rsidRPr="008A2236">
              <w:rPr>
                <w:rFonts w:eastAsia="Calibri"/>
              </w:rPr>
              <w:t>The ERT recommends that New Zealand correct the references to CRF tables on pages 180 and 182 of the NIR to read “Methane from manure management systems (CRF table 3.B(a))” and “Nitrous oxide from manure management systems (CRF table 3.B(b))”.</w:t>
            </w:r>
          </w:p>
        </w:tc>
        <w:tc>
          <w:tcPr>
            <w:tcW w:w="2835" w:type="dxa"/>
            <w:shd w:val="clear" w:color="auto" w:fill="FFFFFF"/>
            <w:vAlign w:val="center"/>
          </w:tcPr>
          <w:p w14:paraId="65B862BB" w14:textId="77777777" w:rsidR="00366397" w:rsidRPr="008A2236" w:rsidRDefault="00366397" w:rsidP="008E545C">
            <w:pPr>
              <w:pStyle w:val="TableText"/>
              <w:spacing w:before="40" w:after="40"/>
            </w:pPr>
            <w:r w:rsidRPr="008A2236">
              <w:rPr>
                <w:rFonts w:eastAsia="Calibri"/>
                <w:b/>
              </w:rPr>
              <w:t>Resolved.</w:t>
            </w:r>
            <w:r w:rsidRPr="008A2236">
              <w:rPr>
                <w:rFonts w:eastAsia="Calibri"/>
              </w:rPr>
              <w:t xml:space="preserve"> The section titles have been changed</w:t>
            </w:r>
            <w:r>
              <w:rPr>
                <w:rFonts w:eastAsia="Calibri"/>
              </w:rPr>
              <w:t xml:space="preserve"> – see</w:t>
            </w:r>
            <w:r w:rsidRPr="008A2236">
              <w:rPr>
                <w:rFonts w:eastAsia="Calibri"/>
              </w:rPr>
              <w:t xml:space="preserve"> chapter 5, section 5.3.2.</w:t>
            </w:r>
          </w:p>
        </w:tc>
      </w:tr>
      <w:tr w:rsidR="00366397" w:rsidRPr="008A2236" w14:paraId="1612373B" w14:textId="77777777" w:rsidTr="00B027A0">
        <w:tc>
          <w:tcPr>
            <w:tcW w:w="1758" w:type="dxa"/>
            <w:shd w:val="clear" w:color="auto" w:fill="FFFFFF"/>
            <w:vAlign w:val="center"/>
          </w:tcPr>
          <w:p w14:paraId="29C02A20" w14:textId="77777777" w:rsidR="00366397" w:rsidRPr="008A2236" w:rsidRDefault="00366397" w:rsidP="008E545C">
            <w:pPr>
              <w:pStyle w:val="TableText"/>
              <w:spacing w:before="40" w:after="40"/>
            </w:pPr>
            <w:r w:rsidRPr="008A2236">
              <w:rPr>
                <w:rFonts w:eastAsia="Calibri"/>
              </w:rPr>
              <w:t xml:space="preserve">Agriculture – 3.B Manure management </w:t>
            </w:r>
            <w:r>
              <w:rPr>
                <w:rFonts w:eastAsia="Calibri"/>
              </w:rPr>
              <w:t>–</w:t>
            </w:r>
            <w:r w:rsidRPr="008A2236">
              <w:rPr>
                <w:rFonts w:eastAsia="Calibri"/>
              </w:rPr>
              <w:t xml:space="preserve"> N</w:t>
            </w:r>
            <w:r w:rsidRPr="008A2236">
              <w:rPr>
                <w:rFonts w:eastAsia="Calibri"/>
                <w:vertAlign w:val="subscript"/>
              </w:rPr>
              <w:t>2</w:t>
            </w:r>
            <w:r w:rsidRPr="008A2236">
              <w:rPr>
                <w:rFonts w:eastAsia="Calibri"/>
              </w:rPr>
              <w:t>O</w:t>
            </w:r>
          </w:p>
        </w:tc>
        <w:tc>
          <w:tcPr>
            <w:tcW w:w="907" w:type="dxa"/>
            <w:shd w:val="clear" w:color="auto" w:fill="FFFFFF"/>
            <w:vAlign w:val="center"/>
          </w:tcPr>
          <w:p w14:paraId="4C1CCF30" w14:textId="77777777" w:rsidR="00366397" w:rsidRPr="008A2236" w:rsidRDefault="00366397" w:rsidP="008E545C">
            <w:pPr>
              <w:pStyle w:val="TableText"/>
              <w:spacing w:before="40" w:after="40"/>
            </w:pPr>
            <w:r w:rsidRPr="008A2236">
              <w:rPr>
                <w:rFonts w:eastAsia="Calibri"/>
              </w:rPr>
              <w:t>A.15, 2019</w:t>
            </w:r>
          </w:p>
        </w:tc>
        <w:tc>
          <w:tcPr>
            <w:tcW w:w="2835" w:type="dxa"/>
            <w:shd w:val="clear" w:color="auto" w:fill="FFFFFF"/>
          </w:tcPr>
          <w:p w14:paraId="08453BCF" w14:textId="5639E2A7" w:rsidR="00366397" w:rsidRPr="008A2236" w:rsidRDefault="00366397" w:rsidP="008E545C">
            <w:pPr>
              <w:pStyle w:val="TableText"/>
              <w:spacing w:before="40" w:after="40"/>
            </w:pPr>
            <w:r w:rsidRPr="008A2236">
              <w:rPr>
                <w:rFonts w:eastAsia="Calibri"/>
              </w:rPr>
              <w:t>The ERT recommends that New Zealand review the N intake for dairy cattle, non-dairy cattle, sheep and deer to check if it</w:t>
            </w:r>
            <w:r w:rsidR="009928C4">
              <w:rPr>
                <w:rFonts w:eastAsia="Calibri"/>
              </w:rPr>
              <w:t> </w:t>
            </w:r>
            <w:r w:rsidRPr="008A2236">
              <w:rPr>
                <w:rFonts w:eastAsia="Calibri"/>
              </w:rPr>
              <w:t>is still applicable to the most recent years of the time series and, if necessary, revise its estimates.</w:t>
            </w:r>
          </w:p>
        </w:tc>
        <w:tc>
          <w:tcPr>
            <w:tcW w:w="2835" w:type="dxa"/>
            <w:shd w:val="clear" w:color="auto" w:fill="FFFFFF"/>
            <w:vAlign w:val="center"/>
          </w:tcPr>
          <w:p w14:paraId="63141FBB" w14:textId="77777777" w:rsidR="00366397" w:rsidRPr="008A2236" w:rsidRDefault="00366397" w:rsidP="008E545C">
            <w:pPr>
              <w:pStyle w:val="TableText"/>
              <w:spacing w:before="40" w:after="40"/>
            </w:pPr>
            <w:r w:rsidRPr="008A2236">
              <w:rPr>
                <w:rFonts w:eastAsia="Calibri"/>
                <w:b/>
              </w:rPr>
              <w:t>Resolved.</w:t>
            </w:r>
            <w:r w:rsidRPr="008A2236">
              <w:rPr>
                <w:rFonts w:eastAsia="Calibri"/>
              </w:rPr>
              <w:t xml:space="preserve"> Updated pasture quality values </w:t>
            </w:r>
            <w:r>
              <w:rPr>
                <w:rFonts w:eastAsia="Calibri"/>
              </w:rPr>
              <w:t>were</w:t>
            </w:r>
            <w:r w:rsidRPr="008A2236">
              <w:rPr>
                <w:rFonts w:eastAsia="Calibri"/>
              </w:rPr>
              <w:t xml:space="preserve"> included in the 2021 inventory. For more information</w:t>
            </w:r>
            <w:r>
              <w:rPr>
                <w:rFonts w:eastAsia="Calibri"/>
              </w:rPr>
              <w:t>,</w:t>
            </w:r>
            <w:r w:rsidRPr="008A2236">
              <w:rPr>
                <w:rFonts w:eastAsia="Calibri"/>
              </w:rPr>
              <w:t xml:space="preserve"> see section 10.1.3.</w:t>
            </w:r>
          </w:p>
        </w:tc>
      </w:tr>
      <w:tr w:rsidR="00366397" w:rsidRPr="008A2236" w14:paraId="3B53C7A4" w14:textId="77777777" w:rsidTr="00B027A0">
        <w:tc>
          <w:tcPr>
            <w:tcW w:w="1758" w:type="dxa"/>
            <w:shd w:val="clear" w:color="auto" w:fill="FFFFFF"/>
            <w:vAlign w:val="center"/>
          </w:tcPr>
          <w:p w14:paraId="53DD944B" w14:textId="77777777" w:rsidR="00366397" w:rsidRPr="008A2236" w:rsidRDefault="00366397" w:rsidP="008E545C">
            <w:pPr>
              <w:pStyle w:val="TableText"/>
              <w:spacing w:before="40" w:after="40"/>
            </w:pPr>
            <w:r w:rsidRPr="008A2236">
              <w:rPr>
                <w:rFonts w:eastAsia="Calibri"/>
              </w:rPr>
              <w:t xml:space="preserve">Agriculture – 3.B.4 Other livestock (deer) </w:t>
            </w:r>
            <w:r>
              <w:rPr>
                <w:rFonts w:eastAsia="Calibri"/>
              </w:rPr>
              <w:t>–</w:t>
            </w:r>
            <w:r w:rsidRPr="008A2236">
              <w:rPr>
                <w:rFonts w:eastAsia="Calibri"/>
              </w:rPr>
              <w:t xml:space="preserve"> CH</w:t>
            </w:r>
            <w:r w:rsidRPr="008A2236">
              <w:rPr>
                <w:rFonts w:eastAsia="Calibri"/>
                <w:vertAlign w:val="subscript"/>
              </w:rPr>
              <w:t>4</w:t>
            </w:r>
          </w:p>
        </w:tc>
        <w:tc>
          <w:tcPr>
            <w:tcW w:w="907" w:type="dxa"/>
            <w:shd w:val="clear" w:color="auto" w:fill="FFFFFF"/>
            <w:vAlign w:val="center"/>
          </w:tcPr>
          <w:p w14:paraId="768EF47C" w14:textId="77777777" w:rsidR="00366397" w:rsidRPr="008A2236" w:rsidRDefault="00366397" w:rsidP="008E545C">
            <w:pPr>
              <w:pStyle w:val="TableText"/>
              <w:spacing w:before="40" w:after="40"/>
            </w:pPr>
            <w:r w:rsidRPr="008A2236">
              <w:rPr>
                <w:rFonts w:eastAsia="Calibri"/>
              </w:rPr>
              <w:t>A.16, 2019</w:t>
            </w:r>
          </w:p>
        </w:tc>
        <w:tc>
          <w:tcPr>
            <w:tcW w:w="2835" w:type="dxa"/>
            <w:shd w:val="clear" w:color="auto" w:fill="FFFFFF"/>
          </w:tcPr>
          <w:p w14:paraId="654620D2" w14:textId="77777777" w:rsidR="00366397" w:rsidRPr="008A2236" w:rsidRDefault="00366397" w:rsidP="008E545C">
            <w:pPr>
              <w:pStyle w:val="TableText"/>
              <w:spacing w:before="40" w:after="40"/>
            </w:pPr>
            <w:r w:rsidRPr="008A2236">
              <w:rPr>
                <w:rFonts w:eastAsia="Calibri"/>
              </w:rPr>
              <w:t>The ERT recommends that New Zealand revise the calculation procedures for the CH</w:t>
            </w:r>
            <w:r w:rsidRPr="00595910">
              <w:rPr>
                <w:rFonts w:eastAsia="Calibri"/>
              </w:rPr>
              <w:t>4</w:t>
            </w:r>
            <w:r w:rsidRPr="008A2236">
              <w:rPr>
                <w:rFonts w:eastAsia="Calibri"/>
              </w:rPr>
              <w:t xml:space="preserve"> EF for deer and explain the revisions in the NIR. If the Party continues to use three studies from 2003 as the basis for its calculation, the ERT recommends that the Party (1) consider using a more appropriate average value than a simple arithmetic average, such as a weighted average, to estimate the CH</w:t>
            </w:r>
            <w:r w:rsidRPr="00595910">
              <w:rPr>
                <w:rFonts w:eastAsia="Calibri"/>
              </w:rPr>
              <w:t>4</w:t>
            </w:r>
            <w:r w:rsidRPr="008A2236">
              <w:rPr>
                <w:rFonts w:eastAsia="Calibri"/>
              </w:rPr>
              <w:t xml:space="preserve"> EF for deer; and (2) justify that the obtained value is more appropriate that the IPCC default value.</w:t>
            </w:r>
          </w:p>
        </w:tc>
        <w:tc>
          <w:tcPr>
            <w:tcW w:w="2835" w:type="dxa"/>
            <w:shd w:val="clear" w:color="auto" w:fill="FFFFFF"/>
            <w:vAlign w:val="center"/>
          </w:tcPr>
          <w:p w14:paraId="4E660828" w14:textId="77777777" w:rsidR="00366397" w:rsidRPr="008A2236" w:rsidRDefault="00366397" w:rsidP="008E545C">
            <w:pPr>
              <w:pStyle w:val="TableText"/>
              <w:spacing w:before="40" w:after="40"/>
            </w:pPr>
            <w:r w:rsidRPr="008A2236">
              <w:rPr>
                <w:rFonts w:eastAsia="Calibri"/>
                <w:b/>
              </w:rPr>
              <w:t>Addressing.</w:t>
            </w:r>
            <w:r w:rsidRPr="008A2236">
              <w:rPr>
                <w:rFonts w:eastAsia="Calibri"/>
              </w:rPr>
              <w:t xml:space="preserve"> Additional information on the calculation of CH</w:t>
            </w:r>
            <w:r w:rsidRPr="008A2236">
              <w:rPr>
                <w:rFonts w:eastAsia="Calibri"/>
                <w:vertAlign w:val="subscript"/>
              </w:rPr>
              <w:t>4</w:t>
            </w:r>
            <w:r w:rsidRPr="008A2236">
              <w:rPr>
                <w:rFonts w:eastAsia="Calibri"/>
              </w:rPr>
              <w:t xml:space="preserve"> emissions from deer manure has been added in chapter 5, section 5.3.2 (under Methane emissions from the major livestock categories – Deer). It is intended to review the calculation procedures for the calculation of the </w:t>
            </w:r>
            <w:r>
              <w:rPr>
                <w:rFonts w:eastAsia="Calibri"/>
              </w:rPr>
              <w:t>emission factor</w:t>
            </w:r>
            <w:r w:rsidRPr="008A2236">
              <w:rPr>
                <w:rFonts w:eastAsia="Calibri"/>
              </w:rPr>
              <w:t xml:space="preserve"> for manure CH</w:t>
            </w:r>
            <w:r w:rsidRPr="008A2236">
              <w:rPr>
                <w:rFonts w:eastAsia="Calibri"/>
                <w:vertAlign w:val="subscript"/>
              </w:rPr>
              <w:t>4</w:t>
            </w:r>
            <w:r w:rsidRPr="008A2236">
              <w:rPr>
                <w:rFonts w:eastAsia="Calibri"/>
              </w:rPr>
              <w:t xml:space="preserve"> for deer, and updates will be provided in future inventory reports.</w:t>
            </w:r>
          </w:p>
        </w:tc>
      </w:tr>
      <w:tr w:rsidR="00366397" w:rsidRPr="008A2236" w14:paraId="197C2AE2" w14:textId="77777777" w:rsidTr="00B027A0">
        <w:tc>
          <w:tcPr>
            <w:tcW w:w="1758" w:type="dxa"/>
            <w:shd w:val="clear" w:color="auto" w:fill="FFFFFF"/>
            <w:vAlign w:val="center"/>
          </w:tcPr>
          <w:p w14:paraId="181EA1A4" w14:textId="77777777" w:rsidR="00366397" w:rsidRPr="008A2236" w:rsidRDefault="00366397" w:rsidP="0030211F">
            <w:pPr>
              <w:pStyle w:val="TableText"/>
            </w:pPr>
            <w:r w:rsidRPr="008A2236">
              <w:rPr>
                <w:rFonts w:eastAsia="Calibri"/>
              </w:rPr>
              <w:lastRenderedPageBreak/>
              <w:t>Agriculture – 3.D.a.1 Inorganic N fertili</w:t>
            </w:r>
            <w:r>
              <w:rPr>
                <w:rFonts w:eastAsia="Calibri"/>
              </w:rPr>
              <w:t>s</w:t>
            </w:r>
            <w:r w:rsidRPr="008A2236">
              <w:rPr>
                <w:rFonts w:eastAsia="Calibri"/>
              </w:rPr>
              <w:t xml:space="preserve">ers </w:t>
            </w:r>
            <w:r>
              <w:rPr>
                <w:rFonts w:eastAsia="Calibri"/>
              </w:rPr>
              <w:t>–</w:t>
            </w:r>
            <w:r w:rsidRPr="008A2236">
              <w:rPr>
                <w:rFonts w:eastAsia="Calibri"/>
              </w:rPr>
              <w:t xml:space="preserve"> N</w:t>
            </w:r>
            <w:r w:rsidRPr="008A2236">
              <w:rPr>
                <w:rFonts w:eastAsia="Calibri"/>
                <w:vertAlign w:val="subscript"/>
              </w:rPr>
              <w:t>2</w:t>
            </w:r>
            <w:r w:rsidRPr="008A2236">
              <w:rPr>
                <w:rFonts w:eastAsia="Calibri"/>
              </w:rPr>
              <w:t>O</w:t>
            </w:r>
          </w:p>
        </w:tc>
        <w:tc>
          <w:tcPr>
            <w:tcW w:w="907" w:type="dxa"/>
            <w:shd w:val="clear" w:color="auto" w:fill="FFFFFF"/>
            <w:vAlign w:val="center"/>
          </w:tcPr>
          <w:p w14:paraId="6A2BD9DB" w14:textId="77777777" w:rsidR="00366397" w:rsidRPr="008A2236" w:rsidRDefault="00366397" w:rsidP="0030211F">
            <w:pPr>
              <w:pStyle w:val="TableText"/>
            </w:pPr>
            <w:r w:rsidRPr="008A2236">
              <w:rPr>
                <w:rFonts w:eastAsia="Calibri"/>
              </w:rPr>
              <w:t>A.17, 2019</w:t>
            </w:r>
          </w:p>
        </w:tc>
        <w:tc>
          <w:tcPr>
            <w:tcW w:w="2835" w:type="dxa"/>
            <w:shd w:val="clear" w:color="auto" w:fill="FFFFFF"/>
          </w:tcPr>
          <w:p w14:paraId="2F519920" w14:textId="26D92318" w:rsidR="00366397" w:rsidRPr="008A2236" w:rsidRDefault="00366397" w:rsidP="0030211F">
            <w:pPr>
              <w:pStyle w:val="TableText"/>
            </w:pPr>
            <w:r w:rsidRPr="008A2236">
              <w:rPr>
                <w:rFonts w:eastAsia="Calibri"/>
              </w:rPr>
              <w:t>The ERT recommends that New Zealand explain in more detail in the NIR how the country-specific N</w:t>
            </w:r>
            <w:r w:rsidRPr="008A2236">
              <w:rPr>
                <w:rFonts w:eastAsia="Calibri"/>
                <w:vertAlign w:val="subscript"/>
              </w:rPr>
              <w:t>2</w:t>
            </w:r>
            <w:r w:rsidRPr="008A2236">
              <w:rPr>
                <w:rFonts w:eastAsia="Calibri"/>
              </w:rPr>
              <w:t>O EF for urea was obtained by including a reference to the report that forms the basis for country-specific values (0.0059 and 0.01 kg N</w:t>
            </w:r>
            <w:r w:rsidRPr="008A2236">
              <w:rPr>
                <w:rFonts w:eastAsia="Calibri"/>
                <w:vertAlign w:val="subscript"/>
              </w:rPr>
              <w:t>2</w:t>
            </w:r>
            <w:r w:rsidRPr="008A2236">
              <w:rPr>
                <w:rFonts w:eastAsia="Calibri"/>
              </w:rPr>
              <w:t>O</w:t>
            </w:r>
            <w:r w:rsidR="009928C4">
              <w:rPr>
                <w:rFonts w:eastAsia="Calibri"/>
              </w:rPr>
              <w:noBreakHyphen/>
            </w:r>
            <w:r w:rsidRPr="008A2236">
              <w:rPr>
                <w:rFonts w:eastAsia="Calibri"/>
              </w:rPr>
              <w:t>N/kg N for urea and other synthetic fertilizer, respectively) and summarizing how the Agricultural Inventory Advisory Panel endorsed its application to the inventory.</w:t>
            </w:r>
          </w:p>
        </w:tc>
        <w:tc>
          <w:tcPr>
            <w:tcW w:w="2835" w:type="dxa"/>
            <w:shd w:val="clear" w:color="auto" w:fill="FFFFFF"/>
            <w:vAlign w:val="center"/>
          </w:tcPr>
          <w:p w14:paraId="686C300C" w14:textId="77777777" w:rsidR="00366397" w:rsidRPr="008A2236" w:rsidRDefault="00366397" w:rsidP="0030211F">
            <w:pPr>
              <w:pStyle w:val="TableText"/>
            </w:pPr>
            <w:r w:rsidRPr="008A2236">
              <w:rPr>
                <w:rFonts w:eastAsia="Calibri"/>
                <w:b/>
              </w:rPr>
              <w:t>Resolved.</w:t>
            </w:r>
            <w:r w:rsidRPr="008A2236">
              <w:rPr>
                <w:rFonts w:eastAsia="Calibri"/>
              </w:rPr>
              <w:t xml:space="preserve"> More detailed information on the emission factor for urea fertiliser, including a comparison with overseas studies, is included in chapter 5, section 5.5.2 (</w:t>
            </w:r>
            <w:r>
              <w:rPr>
                <w:rFonts w:eastAsia="Calibri"/>
              </w:rPr>
              <w:t xml:space="preserve">under </w:t>
            </w:r>
            <w:r w:rsidRPr="00595910">
              <w:t>Direct nitrous oxide emissions from managed soils</w:t>
            </w:r>
            <w:r w:rsidRPr="00D901B7">
              <w:rPr>
                <w:rFonts w:eastAsia="Calibri"/>
              </w:rPr>
              <w:t xml:space="preserve"> </w:t>
            </w:r>
            <w:r>
              <w:rPr>
                <w:rFonts w:eastAsia="Calibri"/>
              </w:rPr>
              <w:t xml:space="preserve">– </w:t>
            </w:r>
            <w:r w:rsidRPr="008A2236">
              <w:rPr>
                <w:rFonts w:eastAsia="Calibri"/>
              </w:rPr>
              <w:t>Synthetic nitrogen fertiliser).</w:t>
            </w:r>
          </w:p>
        </w:tc>
      </w:tr>
      <w:tr w:rsidR="00366397" w:rsidRPr="008A2236" w14:paraId="2D741866" w14:textId="77777777" w:rsidTr="00B027A0">
        <w:tc>
          <w:tcPr>
            <w:tcW w:w="1758" w:type="dxa"/>
            <w:shd w:val="clear" w:color="auto" w:fill="FFFFFF"/>
            <w:vAlign w:val="center"/>
          </w:tcPr>
          <w:p w14:paraId="4B85D081" w14:textId="77777777" w:rsidR="00366397" w:rsidRPr="008A2236" w:rsidRDefault="00366397" w:rsidP="0030211F">
            <w:pPr>
              <w:pStyle w:val="TableText"/>
            </w:pPr>
            <w:r w:rsidRPr="008A2236">
              <w:rPr>
                <w:rFonts w:eastAsia="Calibri"/>
              </w:rPr>
              <w:t>Agriculture – 3.D.a.2 Organic N fertili</w:t>
            </w:r>
            <w:r>
              <w:rPr>
                <w:rFonts w:eastAsia="Calibri"/>
              </w:rPr>
              <w:t>s</w:t>
            </w:r>
            <w:r w:rsidRPr="008A2236">
              <w:rPr>
                <w:rFonts w:eastAsia="Calibri"/>
              </w:rPr>
              <w:t xml:space="preserve">ers </w:t>
            </w:r>
            <w:r>
              <w:rPr>
                <w:rFonts w:eastAsia="Calibri"/>
              </w:rPr>
              <w:t>–</w:t>
            </w:r>
            <w:r w:rsidRPr="008A2236">
              <w:rPr>
                <w:rFonts w:eastAsia="Calibri"/>
              </w:rPr>
              <w:t xml:space="preserve"> N</w:t>
            </w:r>
            <w:r w:rsidRPr="008A2236">
              <w:rPr>
                <w:rFonts w:eastAsia="Calibri"/>
                <w:vertAlign w:val="subscript"/>
              </w:rPr>
              <w:t>2</w:t>
            </w:r>
            <w:r w:rsidRPr="008A2236">
              <w:rPr>
                <w:rFonts w:eastAsia="Calibri"/>
              </w:rPr>
              <w:t>O</w:t>
            </w:r>
          </w:p>
        </w:tc>
        <w:tc>
          <w:tcPr>
            <w:tcW w:w="907" w:type="dxa"/>
            <w:shd w:val="clear" w:color="auto" w:fill="FFFFFF"/>
            <w:vAlign w:val="center"/>
          </w:tcPr>
          <w:p w14:paraId="679CCBBD" w14:textId="77777777" w:rsidR="00366397" w:rsidRPr="008A2236" w:rsidRDefault="00366397" w:rsidP="0030211F">
            <w:pPr>
              <w:pStyle w:val="TableText"/>
            </w:pPr>
            <w:r w:rsidRPr="008A2236">
              <w:rPr>
                <w:rFonts w:eastAsia="Calibri"/>
              </w:rPr>
              <w:t>A.18, 2019</w:t>
            </w:r>
          </w:p>
        </w:tc>
        <w:tc>
          <w:tcPr>
            <w:tcW w:w="2835" w:type="dxa"/>
            <w:shd w:val="clear" w:color="auto" w:fill="FFFFFF"/>
          </w:tcPr>
          <w:p w14:paraId="0540FA90" w14:textId="15D4681D" w:rsidR="00366397" w:rsidRPr="008A2236" w:rsidRDefault="00366397" w:rsidP="0030211F">
            <w:pPr>
              <w:pStyle w:val="TableText"/>
            </w:pPr>
            <w:r w:rsidRPr="008A2236">
              <w:rPr>
                <w:rFonts w:eastAsia="Calibri"/>
              </w:rPr>
              <w:t>The ERT recommends that New Zealand explain in more detail how the country</w:t>
            </w:r>
            <w:r w:rsidR="009928C4">
              <w:rPr>
                <w:rFonts w:eastAsia="Calibri"/>
              </w:rPr>
              <w:noBreakHyphen/>
            </w:r>
            <w:r w:rsidRPr="008A2236">
              <w:rPr>
                <w:rFonts w:eastAsia="Calibri"/>
              </w:rPr>
              <w:t>specific N</w:t>
            </w:r>
            <w:r w:rsidRPr="008A2236">
              <w:rPr>
                <w:rFonts w:eastAsia="Calibri"/>
                <w:vertAlign w:val="subscript"/>
              </w:rPr>
              <w:t>2</w:t>
            </w:r>
            <w:r w:rsidRPr="008A2236">
              <w:rPr>
                <w:rFonts w:eastAsia="Calibri"/>
              </w:rPr>
              <w:t>O EFs for organic fertilizers (urine and dung) were obtained, summarize to what extent the</w:t>
            </w:r>
            <w:r w:rsidR="009928C4">
              <w:rPr>
                <w:rFonts w:eastAsia="Calibri"/>
              </w:rPr>
              <w:t> </w:t>
            </w:r>
            <w:r w:rsidRPr="008A2236">
              <w:rPr>
                <w:rFonts w:eastAsia="Calibri"/>
              </w:rPr>
              <w:t>studies conducted can be deemed comprehensive and describe how the Agricultural Inventory Advisory Panel endorsed their application to the inventory.</w:t>
            </w:r>
          </w:p>
        </w:tc>
        <w:tc>
          <w:tcPr>
            <w:tcW w:w="2835" w:type="dxa"/>
            <w:shd w:val="clear" w:color="auto" w:fill="FFFFFF"/>
            <w:vAlign w:val="center"/>
          </w:tcPr>
          <w:p w14:paraId="28D9252E" w14:textId="77777777" w:rsidR="00366397" w:rsidRPr="008A2236" w:rsidRDefault="00366397" w:rsidP="0030211F">
            <w:pPr>
              <w:pStyle w:val="TableText"/>
            </w:pPr>
            <w:r w:rsidRPr="008A2236">
              <w:rPr>
                <w:rFonts w:eastAsia="Calibri"/>
                <w:b/>
              </w:rPr>
              <w:t>Resolved.</w:t>
            </w:r>
            <w:r w:rsidRPr="008A2236">
              <w:rPr>
                <w:rFonts w:eastAsia="Calibri"/>
              </w:rPr>
              <w:t xml:space="preserve"> More detailed information on the emission factor for dairy cattle manure (organic fertiliser) is included in chapter 5, section 5.5.2 (</w:t>
            </w:r>
            <w:r>
              <w:rPr>
                <w:rFonts w:eastAsia="Calibri"/>
              </w:rPr>
              <w:t xml:space="preserve">under </w:t>
            </w:r>
            <w:r w:rsidRPr="000764EE">
              <w:t>Direct nitrous oxide emissions from managed soils</w:t>
            </w:r>
            <w:r w:rsidRPr="00D901B7">
              <w:rPr>
                <w:rFonts w:eastAsia="Calibri"/>
              </w:rPr>
              <w:t xml:space="preserve"> </w:t>
            </w:r>
            <w:r>
              <w:rPr>
                <w:rFonts w:eastAsia="Calibri"/>
              </w:rPr>
              <w:t xml:space="preserve">– </w:t>
            </w:r>
            <w:r w:rsidRPr="008A2236">
              <w:rPr>
                <w:rFonts w:eastAsia="Calibri"/>
              </w:rPr>
              <w:t>Organic nitrogen fertilisers).</w:t>
            </w:r>
          </w:p>
        </w:tc>
      </w:tr>
      <w:tr w:rsidR="00366397" w:rsidRPr="008A2236" w14:paraId="0041A453" w14:textId="77777777" w:rsidTr="00B027A0">
        <w:tc>
          <w:tcPr>
            <w:tcW w:w="1758" w:type="dxa"/>
            <w:shd w:val="clear" w:color="auto" w:fill="FFFFFF"/>
            <w:vAlign w:val="center"/>
          </w:tcPr>
          <w:p w14:paraId="59D8CDDB" w14:textId="77777777" w:rsidR="00366397" w:rsidRPr="008A2236" w:rsidRDefault="00366397" w:rsidP="0030211F">
            <w:pPr>
              <w:pStyle w:val="TableText"/>
            </w:pPr>
            <w:r w:rsidRPr="008A2236">
              <w:rPr>
                <w:rFonts w:eastAsia="Calibri"/>
              </w:rPr>
              <w:t>Agriculture – 3.D.b Indirect N</w:t>
            </w:r>
            <w:r w:rsidRPr="008A2236">
              <w:rPr>
                <w:rFonts w:eastAsia="Calibri"/>
                <w:vertAlign w:val="subscript"/>
              </w:rPr>
              <w:t>2</w:t>
            </w:r>
            <w:r w:rsidRPr="008A2236">
              <w:rPr>
                <w:rFonts w:eastAsia="Calibri"/>
              </w:rPr>
              <w:t xml:space="preserve">O emissions from managed soils </w:t>
            </w:r>
            <w:r>
              <w:rPr>
                <w:rFonts w:eastAsia="Calibri"/>
              </w:rPr>
              <w:t>–</w:t>
            </w:r>
            <w:r w:rsidRPr="008A2236">
              <w:rPr>
                <w:rFonts w:eastAsia="Calibri"/>
              </w:rPr>
              <w:t xml:space="preserve"> N</w:t>
            </w:r>
            <w:r w:rsidRPr="008A2236">
              <w:rPr>
                <w:rFonts w:eastAsia="Calibri"/>
                <w:vertAlign w:val="subscript"/>
              </w:rPr>
              <w:t>2</w:t>
            </w:r>
            <w:r w:rsidRPr="008A2236">
              <w:rPr>
                <w:rFonts w:eastAsia="Calibri"/>
              </w:rPr>
              <w:t>O</w:t>
            </w:r>
          </w:p>
        </w:tc>
        <w:tc>
          <w:tcPr>
            <w:tcW w:w="907" w:type="dxa"/>
            <w:shd w:val="clear" w:color="auto" w:fill="FFFFFF"/>
            <w:vAlign w:val="center"/>
          </w:tcPr>
          <w:p w14:paraId="6D5E2B5D" w14:textId="77777777" w:rsidR="00366397" w:rsidRPr="008A2236" w:rsidRDefault="00366397" w:rsidP="0030211F">
            <w:pPr>
              <w:pStyle w:val="TableText"/>
            </w:pPr>
            <w:r w:rsidRPr="008A2236">
              <w:rPr>
                <w:rFonts w:eastAsia="Calibri"/>
              </w:rPr>
              <w:t>A.19, 2019</w:t>
            </w:r>
          </w:p>
        </w:tc>
        <w:tc>
          <w:tcPr>
            <w:tcW w:w="2835" w:type="dxa"/>
            <w:shd w:val="clear" w:color="auto" w:fill="FFFFFF"/>
          </w:tcPr>
          <w:p w14:paraId="50B282B3" w14:textId="77777777" w:rsidR="00366397" w:rsidRPr="008A2236" w:rsidRDefault="00366397" w:rsidP="0030211F">
            <w:pPr>
              <w:pStyle w:val="TableText"/>
            </w:pPr>
            <w:r w:rsidRPr="008A2236">
              <w:rPr>
                <w:rFonts w:eastAsia="Calibri"/>
              </w:rPr>
              <w:t xml:space="preserve">The ERT recommends that New Zealand revise the description in the NIR of the country-specific values for </w:t>
            </w:r>
            <w:r w:rsidRPr="008A2236">
              <w:t>Frac</w:t>
            </w:r>
            <w:r w:rsidRPr="008A2236">
              <w:rPr>
                <w:vertAlign w:val="subscript"/>
              </w:rPr>
              <w:t>LEACH</w:t>
            </w:r>
            <w:r w:rsidRPr="008A2236">
              <w:rPr>
                <w:rFonts w:eastAsia="Calibri"/>
              </w:rPr>
              <w:t xml:space="preserve"> and for the fraction of applied organic N fertilizer materials and of urine and dung N deposited by grazing animals that volatilizes as ammonia and nitrogen oxides in kg N volatilized.</w:t>
            </w:r>
          </w:p>
        </w:tc>
        <w:tc>
          <w:tcPr>
            <w:tcW w:w="2835" w:type="dxa"/>
            <w:shd w:val="clear" w:color="auto" w:fill="FFFFFF"/>
            <w:vAlign w:val="center"/>
          </w:tcPr>
          <w:p w14:paraId="6B4CE6DD" w14:textId="77777777" w:rsidR="00366397" w:rsidRPr="008A2236" w:rsidRDefault="00366397" w:rsidP="0030211F">
            <w:pPr>
              <w:pStyle w:val="TableText"/>
            </w:pPr>
            <w:r w:rsidRPr="008A2236">
              <w:rPr>
                <w:rFonts w:eastAsia="Calibri"/>
                <w:b/>
              </w:rPr>
              <w:t>Resolved.</w:t>
            </w:r>
            <w:r w:rsidRPr="008A2236">
              <w:rPr>
                <w:rFonts w:eastAsia="Calibri"/>
              </w:rPr>
              <w:t xml:space="preserve"> Information on the country-specific </w:t>
            </w:r>
            <w:r w:rsidRPr="008A2236">
              <w:t>Frac</w:t>
            </w:r>
            <w:r w:rsidRPr="008A2236">
              <w:rPr>
                <w:vertAlign w:val="subscript"/>
              </w:rPr>
              <w:t>LEACH</w:t>
            </w:r>
            <w:r w:rsidRPr="008A2236">
              <w:rPr>
                <w:rFonts w:eastAsia="Calibri"/>
              </w:rPr>
              <w:t xml:space="preserve"> parameter used in the inventory is included in chapter 5, section 5.5.2 (</w:t>
            </w:r>
            <w:r>
              <w:rPr>
                <w:rFonts w:eastAsia="Calibri"/>
              </w:rPr>
              <w:t xml:space="preserve">under </w:t>
            </w:r>
            <w:r w:rsidRPr="00A60341">
              <w:t xml:space="preserve">Indirect </w:t>
            </w:r>
            <w:r w:rsidRPr="00A60341">
              <w:rPr>
                <w:spacing w:val="-2"/>
              </w:rPr>
              <w:t>nitrous oxide</w:t>
            </w:r>
            <w:r w:rsidRPr="00A60341">
              <w:t xml:space="preserve"> emissions from managed soils</w:t>
            </w:r>
            <w:r w:rsidRPr="00522D6F">
              <w:rPr>
                <w:rFonts w:eastAsia="Calibri"/>
              </w:rPr>
              <w:t xml:space="preserve"> – </w:t>
            </w:r>
            <w:r w:rsidRPr="008A2236">
              <w:rPr>
                <w:rFonts w:eastAsia="Calibri"/>
              </w:rPr>
              <w:t xml:space="preserve">Leaching and runoff (CRF 3.D.2.2)). Recent research has also led to an update to the country-specific </w:t>
            </w:r>
            <w:r w:rsidRPr="008A2236">
              <w:t>Frac</w:t>
            </w:r>
            <w:r w:rsidRPr="008A2236">
              <w:rPr>
                <w:vertAlign w:val="subscript"/>
              </w:rPr>
              <w:t>LEACH</w:t>
            </w:r>
            <w:r w:rsidRPr="008A2236">
              <w:rPr>
                <w:rFonts w:eastAsia="Calibri"/>
              </w:rPr>
              <w:t xml:space="preserve"> parameter</w:t>
            </w:r>
            <w:r>
              <w:rPr>
                <w:rFonts w:eastAsia="Calibri"/>
              </w:rPr>
              <w:t xml:space="preserve"> – for</w:t>
            </w:r>
            <w:r w:rsidRPr="008A2236">
              <w:rPr>
                <w:rFonts w:eastAsia="Calibri"/>
              </w:rPr>
              <w:t xml:space="preserve"> more detail</w:t>
            </w:r>
            <w:r>
              <w:rPr>
                <w:rFonts w:eastAsia="Calibri"/>
              </w:rPr>
              <w:t>, see chapter 5,</w:t>
            </w:r>
            <w:r w:rsidRPr="008A2236">
              <w:rPr>
                <w:rFonts w:eastAsia="Calibri"/>
              </w:rPr>
              <w:t xml:space="preserve"> section 5.5.5.</w:t>
            </w:r>
          </w:p>
        </w:tc>
      </w:tr>
      <w:tr w:rsidR="00366397" w:rsidRPr="008A2236" w14:paraId="3D510DAC" w14:textId="77777777" w:rsidTr="00B027A0">
        <w:tc>
          <w:tcPr>
            <w:tcW w:w="1758" w:type="dxa"/>
            <w:shd w:val="clear" w:color="auto" w:fill="FFFFFF"/>
            <w:vAlign w:val="center"/>
          </w:tcPr>
          <w:p w14:paraId="7149B753" w14:textId="77777777" w:rsidR="00366397" w:rsidRPr="008A2236" w:rsidRDefault="00366397" w:rsidP="0030211F">
            <w:pPr>
              <w:pStyle w:val="TableText"/>
            </w:pPr>
            <w:r w:rsidRPr="008A2236">
              <w:rPr>
                <w:rFonts w:eastAsia="Calibri"/>
              </w:rPr>
              <w:t>LULUCF – 4. General (LULUCF) – CO</w:t>
            </w:r>
            <w:r w:rsidRPr="008A2236">
              <w:rPr>
                <w:rFonts w:eastAsia="Calibri"/>
                <w:vertAlign w:val="subscript"/>
              </w:rPr>
              <w:t>2</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340AEDAE" w14:textId="77777777" w:rsidR="00366397" w:rsidRPr="008A2236" w:rsidRDefault="00366397" w:rsidP="0030211F">
            <w:pPr>
              <w:pStyle w:val="TableText"/>
            </w:pPr>
            <w:r w:rsidRPr="008A2236">
              <w:rPr>
                <w:rFonts w:eastAsia="Calibri"/>
              </w:rPr>
              <w:t>L.10, 2019</w:t>
            </w:r>
          </w:p>
        </w:tc>
        <w:tc>
          <w:tcPr>
            <w:tcW w:w="2835" w:type="dxa"/>
            <w:shd w:val="clear" w:color="auto" w:fill="FFFFFF"/>
          </w:tcPr>
          <w:p w14:paraId="224CFE1C" w14:textId="77777777" w:rsidR="00366397" w:rsidRPr="008A2236" w:rsidRDefault="00366397" w:rsidP="0030211F">
            <w:pPr>
              <w:pStyle w:val="TableText"/>
            </w:pPr>
            <w:r w:rsidRPr="008A2236">
              <w:rPr>
                <w:rFonts w:eastAsia="Calibri"/>
              </w:rPr>
              <w:t>The ERT recommends that New Zealand either provide evidence that the estimated SOC changes do not result in systematic over- or underestimations, given that land-use changes occur randomly across the entire SOC variability of a land-use category or subcategory, or replace the current method with one consistent with good practice as defined by the 2006 IPCC Guidelines (vol. 4, section 2.3.3.1).</w:t>
            </w:r>
          </w:p>
        </w:tc>
        <w:tc>
          <w:tcPr>
            <w:tcW w:w="2835" w:type="dxa"/>
            <w:shd w:val="clear" w:color="auto" w:fill="FFFFFF"/>
            <w:vAlign w:val="center"/>
          </w:tcPr>
          <w:p w14:paraId="7EBD4019" w14:textId="77777777" w:rsidR="00366397" w:rsidRPr="008A2236" w:rsidRDefault="00366397" w:rsidP="0030211F">
            <w:pPr>
              <w:pStyle w:val="TableText"/>
            </w:pPr>
            <w:r w:rsidRPr="008A2236">
              <w:rPr>
                <w:rFonts w:eastAsia="Calibri"/>
                <w:b/>
              </w:rPr>
              <w:t xml:space="preserve">Not resolved. </w:t>
            </w:r>
            <w:r w:rsidRPr="008A2236">
              <w:rPr>
                <w:rFonts w:eastAsia="Calibri"/>
                <w:bCs/>
              </w:rPr>
              <w:t>To undertake a robust study to collect this information would likely cost between $400,000</w:t>
            </w:r>
            <w:r>
              <w:rPr>
                <w:rFonts w:eastAsia="Calibri"/>
                <w:bCs/>
              </w:rPr>
              <w:t xml:space="preserve"> </w:t>
            </w:r>
            <w:r w:rsidRPr="008A2236">
              <w:rPr>
                <w:rFonts w:eastAsia="Calibri"/>
                <w:bCs/>
              </w:rPr>
              <w:t xml:space="preserve">and $600,000 </w:t>
            </w:r>
            <w:r>
              <w:rPr>
                <w:rFonts w:eastAsia="Calibri"/>
                <w:bCs/>
              </w:rPr>
              <w:t xml:space="preserve">NZD </w:t>
            </w:r>
            <w:r w:rsidRPr="008A2236">
              <w:rPr>
                <w:rFonts w:eastAsia="Calibri"/>
                <w:bCs/>
              </w:rPr>
              <w:t>per year. At a minimum, this is more than five times the annual research budget for the LULUCF sector. Following decision tree 2.4 in volume 4 of the 2006 IPCC Guidelines (IPCC</w:t>
            </w:r>
            <w:r>
              <w:rPr>
                <w:rFonts w:eastAsia="Calibri"/>
                <w:bCs/>
              </w:rPr>
              <w:t>,</w:t>
            </w:r>
            <w:r w:rsidRPr="008A2236">
              <w:rPr>
                <w:rFonts w:eastAsia="Calibri"/>
                <w:bCs/>
              </w:rPr>
              <w:t xml:space="preserve"> 2006</w:t>
            </w:r>
            <w:r>
              <w:rPr>
                <w:rFonts w:eastAsia="Calibri"/>
                <w:bCs/>
              </w:rPr>
              <w:t>b</w:t>
            </w:r>
            <w:r w:rsidRPr="008A2236">
              <w:rPr>
                <w:rFonts w:eastAsia="Calibri"/>
                <w:bCs/>
              </w:rPr>
              <w:t xml:space="preserve">), there are insufficient resources to implement such research in the near future without a significant increase in funding. </w:t>
            </w:r>
          </w:p>
        </w:tc>
      </w:tr>
      <w:tr w:rsidR="00366397" w:rsidRPr="008A2236" w14:paraId="7CC2ECFD" w14:textId="77777777" w:rsidTr="00B027A0">
        <w:tc>
          <w:tcPr>
            <w:tcW w:w="1758" w:type="dxa"/>
            <w:shd w:val="clear" w:color="auto" w:fill="FFFFFF"/>
            <w:vAlign w:val="center"/>
          </w:tcPr>
          <w:p w14:paraId="69864C6F" w14:textId="77777777" w:rsidR="00366397" w:rsidRPr="008A2236" w:rsidRDefault="00366397" w:rsidP="0030211F">
            <w:pPr>
              <w:pStyle w:val="TableText"/>
            </w:pPr>
            <w:r w:rsidRPr="008A2236">
              <w:rPr>
                <w:rFonts w:eastAsia="Calibri"/>
              </w:rPr>
              <w:t xml:space="preserve">LULUCF </w:t>
            </w:r>
            <w:r>
              <w:rPr>
                <w:rFonts w:eastAsia="Calibri"/>
              </w:rPr>
              <w:t>–</w:t>
            </w:r>
            <w:r w:rsidRPr="008A2236">
              <w:rPr>
                <w:rFonts w:eastAsia="Calibri"/>
              </w:rPr>
              <w:t xml:space="preserve"> 4. General (LULUCF) – CO</w:t>
            </w:r>
            <w:r w:rsidRPr="008A2236">
              <w:rPr>
                <w:rFonts w:eastAsia="Calibri"/>
                <w:vertAlign w:val="subscript"/>
              </w:rPr>
              <w:t>2</w:t>
            </w:r>
          </w:p>
        </w:tc>
        <w:tc>
          <w:tcPr>
            <w:tcW w:w="907" w:type="dxa"/>
            <w:shd w:val="clear" w:color="auto" w:fill="FFFFFF"/>
            <w:vAlign w:val="center"/>
          </w:tcPr>
          <w:p w14:paraId="602F2D11" w14:textId="77777777" w:rsidR="00366397" w:rsidRPr="008A2236" w:rsidRDefault="00366397" w:rsidP="0030211F">
            <w:pPr>
              <w:pStyle w:val="TableText"/>
            </w:pPr>
            <w:r w:rsidRPr="008A2236">
              <w:rPr>
                <w:rFonts w:eastAsia="Calibri"/>
              </w:rPr>
              <w:t>L.11, 2019</w:t>
            </w:r>
          </w:p>
        </w:tc>
        <w:tc>
          <w:tcPr>
            <w:tcW w:w="2835" w:type="dxa"/>
            <w:shd w:val="clear" w:color="auto" w:fill="FFFFFF"/>
          </w:tcPr>
          <w:p w14:paraId="0CE0D0DA" w14:textId="77777777" w:rsidR="00366397" w:rsidRPr="008A2236" w:rsidRDefault="00366397" w:rsidP="0030211F">
            <w:pPr>
              <w:pStyle w:val="TableText"/>
            </w:pPr>
            <w:r w:rsidRPr="008A2236">
              <w:rPr>
                <w:rFonts w:eastAsia="Calibri"/>
              </w:rPr>
              <w:t>The ERT recommends that New Zealand provide a comparison across the available time series of data of roundwood statistics reported by MPI and the quantities estimated by the LUCAS model based on the harvested area as allocated to age classes and provide justification for any discrepancies.</w:t>
            </w:r>
          </w:p>
        </w:tc>
        <w:tc>
          <w:tcPr>
            <w:tcW w:w="2835" w:type="dxa"/>
            <w:shd w:val="clear" w:color="auto" w:fill="FFFFFF"/>
            <w:vAlign w:val="center"/>
          </w:tcPr>
          <w:p w14:paraId="27B8EF59" w14:textId="4151BDE8" w:rsidR="00366397" w:rsidRPr="008A2236" w:rsidRDefault="00366397" w:rsidP="0030211F">
            <w:pPr>
              <w:pStyle w:val="TableText"/>
            </w:pPr>
            <w:r w:rsidRPr="008A2236">
              <w:rPr>
                <w:rFonts w:eastAsia="Calibri"/>
                <w:b/>
              </w:rPr>
              <w:t>Resolved.</w:t>
            </w:r>
            <w:r w:rsidRPr="008A2236">
              <w:rPr>
                <w:rFonts w:eastAsia="Calibri"/>
              </w:rPr>
              <w:t xml:space="preserve"> An additional section has been</w:t>
            </w:r>
            <w:r w:rsidR="00944B42">
              <w:rPr>
                <w:rFonts w:eastAsia="Calibri"/>
              </w:rPr>
              <w:t> </w:t>
            </w:r>
            <w:r w:rsidRPr="008A2236">
              <w:rPr>
                <w:rFonts w:eastAsia="Calibri"/>
              </w:rPr>
              <w:t xml:space="preserve">added to annex 3, section 3.2.5.4, describing </w:t>
            </w:r>
            <w:r w:rsidRPr="008A2236">
              <w:rPr>
                <w:rFonts w:eastAsia="Calibri"/>
                <w:i/>
              </w:rPr>
              <w:t xml:space="preserve">Forest land </w:t>
            </w:r>
            <w:r w:rsidRPr="008A2236">
              <w:rPr>
                <w:rFonts w:eastAsia="Calibri"/>
              </w:rPr>
              <w:t>model validations. This section describes differences between LUCAS model harvest losses and MPI roundwood statistics, and gives</w:t>
            </w:r>
            <w:r w:rsidR="00944B42">
              <w:rPr>
                <w:rFonts w:eastAsia="Calibri"/>
              </w:rPr>
              <w:t> </w:t>
            </w:r>
            <w:r w:rsidRPr="008A2236">
              <w:rPr>
                <w:rFonts w:eastAsia="Calibri"/>
              </w:rPr>
              <w:t>an explanation for the differences that occur.</w:t>
            </w:r>
          </w:p>
        </w:tc>
      </w:tr>
      <w:tr w:rsidR="00366397" w:rsidRPr="008A2236" w14:paraId="388338A8" w14:textId="77777777" w:rsidTr="00B027A0">
        <w:tc>
          <w:tcPr>
            <w:tcW w:w="1758" w:type="dxa"/>
            <w:shd w:val="clear" w:color="auto" w:fill="FFFFFF"/>
            <w:vAlign w:val="center"/>
          </w:tcPr>
          <w:p w14:paraId="5D0AA6EF" w14:textId="77777777" w:rsidR="00366397" w:rsidRPr="008A2236" w:rsidRDefault="00366397" w:rsidP="0030211F">
            <w:pPr>
              <w:pStyle w:val="TableText"/>
            </w:pPr>
            <w:r w:rsidRPr="008A2236">
              <w:rPr>
                <w:rFonts w:eastAsia="Calibri"/>
              </w:rPr>
              <w:t xml:space="preserve">LULUCF </w:t>
            </w:r>
            <w:r>
              <w:rPr>
                <w:rFonts w:eastAsia="Calibri"/>
              </w:rPr>
              <w:t>–</w:t>
            </w:r>
            <w:r w:rsidRPr="008A2236">
              <w:rPr>
                <w:rFonts w:eastAsia="Calibri"/>
              </w:rPr>
              <w:t xml:space="preserve"> 4. General (LULUCF) – CO</w:t>
            </w:r>
            <w:r w:rsidRPr="008A2236">
              <w:rPr>
                <w:rFonts w:eastAsia="Calibri"/>
                <w:vertAlign w:val="subscript"/>
              </w:rPr>
              <w:t>2</w:t>
            </w:r>
          </w:p>
        </w:tc>
        <w:tc>
          <w:tcPr>
            <w:tcW w:w="907" w:type="dxa"/>
            <w:shd w:val="clear" w:color="auto" w:fill="FFFFFF"/>
            <w:vAlign w:val="center"/>
          </w:tcPr>
          <w:p w14:paraId="7CB316EE" w14:textId="77777777" w:rsidR="00366397" w:rsidRPr="008A2236" w:rsidRDefault="00366397" w:rsidP="0030211F">
            <w:pPr>
              <w:pStyle w:val="TableText"/>
            </w:pPr>
            <w:r w:rsidRPr="008A2236">
              <w:rPr>
                <w:rFonts w:eastAsia="Calibri"/>
              </w:rPr>
              <w:t>L.12, 2019</w:t>
            </w:r>
          </w:p>
        </w:tc>
        <w:tc>
          <w:tcPr>
            <w:tcW w:w="2835" w:type="dxa"/>
            <w:shd w:val="clear" w:color="auto" w:fill="FFFFFF"/>
          </w:tcPr>
          <w:p w14:paraId="7D83AF2E" w14:textId="2679B674" w:rsidR="00366397" w:rsidRPr="008A2236" w:rsidRDefault="00366397" w:rsidP="0030211F">
            <w:pPr>
              <w:pStyle w:val="TableText"/>
            </w:pPr>
            <w:r w:rsidRPr="008A2236">
              <w:rPr>
                <w:rFonts w:eastAsia="Calibri"/>
              </w:rPr>
              <w:t>The ERT recommends that New Zealand replace 'IE' with estimates of biomass carbon stock losses only in the year in which an area conversion occurs, and with 'NO' in any year in which conversion of additional areas does not</w:t>
            </w:r>
            <w:r w:rsidR="00944B42">
              <w:rPr>
                <w:rFonts w:eastAsia="Calibri"/>
              </w:rPr>
              <w:t> </w:t>
            </w:r>
            <w:r w:rsidRPr="008A2236">
              <w:rPr>
                <w:rFonts w:eastAsia="Calibri"/>
              </w:rPr>
              <w:t>occur, in CRF tables 4.A and 4.B.</w:t>
            </w:r>
          </w:p>
        </w:tc>
        <w:tc>
          <w:tcPr>
            <w:tcW w:w="2835" w:type="dxa"/>
            <w:shd w:val="clear" w:color="auto" w:fill="FFFFFF"/>
            <w:vAlign w:val="center"/>
          </w:tcPr>
          <w:p w14:paraId="3FE46854" w14:textId="4803FBB9" w:rsidR="00366397" w:rsidRPr="008A2236" w:rsidRDefault="00366397" w:rsidP="0030211F">
            <w:pPr>
              <w:pStyle w:val="TableText"/>
            </w:pPr>
            <w:r w:rsidRPr="008A2236">
              <w:rPr>
                <w:rFonts w:eastAsia="Calibri"/>
                <w:b/>
              </w:rPr>
              <w:t>Resolved.</w:t>
            </w:r>
            <w:r w:rsidRPr="008A2236">
              <w:rPr>
                <w:rFonts w:eastAsia="Calibri"/>
              </w:rPr>
              <w:t xml:space="preserve"> Where this conversion has not occurred during the time</w:t>
            </w:r>
            <w:r>
              <w:rPr>
                <w:rFonts w:eastAsia="Calibri"/>
              </w:rPr>
              <w:t xml:space="preserve"> </w:t>
            </w:r>
            <w:r w:rsidRPr="008A2236">
              <w:rPr>
                <w:rFonts w:eastAsia="Calibri"/>
              </w:rPr>
              <w:t>series, for example for conversions from post-</w:t>
            </w:r>
            <w:r>
              <w:rPr>
                <w:rFonts w:eastAsia="Calibri"/>
              </w:rPr>
              <w:t>19</w:t>
            </w:r>
            <w:r w:rsidRPr="008A2236">
              <w:rPr>
                <w:rFonts w:eastAsia="Calibri"/>
              </w:rPr>
              <w:t xml:space="preserve">89 forest to </w:t>
            </w:r>
            <w:r w:rsidRPr="008A2236">
              <w:rPr>
                <w:rFonts w:eastAsia="Calibri"/>
                <w:i/>
                <w:iCs/>
              </w:rPr>
              <w:t>Cropland</w:t>
            </w:r>
            <w:r w:rsidRPr="008A2236">
              <w:rPr>
                <w:rFonts w:eastAsia="Calibri"/>
              </w:rPr>
              <w:t xml:space="preserve">, the notation key </w:t>
            </w:r>
            <w:r>
              <w:rPr>
                <w:rFonts w:eastAsia="Calibri"/>
              </w:rPr>
              <w:t>‘</w:t>
            </w:r>
            <w:r w:rsidRPr="008A2236">
              <w:rPr>
                <w:rFonts w:eastAsia="Calibri"/>
              </w:rPr>
              <w:t>NO</w:t>
            </w:r>
            <w:r>
              <w:rPr>
                <w:rFonts w:eastAsia="Calibri"/>
              </w:rPr>
              <w:t>’</w:t>
            </w:r>
            <w:r w:rsidR="00944B42">
              <w:rPr>
                <w:rFonts w:eastAsia="Calibri"/>
              </w:rPr>
              <w:t> </w:t>
            </w:r>
            <w:r w:rsidRPr="008A2236">
              <w:rPr>
                <w:rFonts w:eastAsia="Calibri"/>
              </w:rPr>
              <w:t>has been applied. Where the land-use conversion has previously occurred but there are years when conversions of additional areas do not occur</w:t>
            </w:r>
            <w:r>
              <w:rPr>
                <w:rFonts w:eastAsia="Calibri"/>
              </w:rPr>
              <w:t>,</w:t>
            </w:r>
            <w:r w:rsidRPr="008A2236">
              <w:rPr>
                <w:rFonts w:eastAsia="Calibri"/>
              </w:rPr>
              <w:t xml:space="preserve"> the notation key </w:t>
            </w:r>
            <w:r>
              <w:rPr>
                <w:rFonts w:eastAsia="Calibri"/>
              </w:rPr>
              <w:t>‘</w:t>
            </w:r>
            <w:r w:rsidRPr="008A2236">
              <w:rPr>
                <w:rFonts w:eastAsia="Calibri"/>
              </w:rPr>
              <w:t>NA</w:t>
            </w:r>
            <w:r>
              <w:rPr>
                <w:rFonts w:eastAsia="Calibri"/>
              </w:rPr>
              <w:t>’</w:t>
            </w:r>
            <w:r w:rsidRPr="008A2236">
              <w:rPr>
                <w:rFonts w:eastAsia="Calibri"/>
              </w:rPr>
              <w:t xml:space="preserve"> has been applied.</w:t>
            </w:r>
          </w:p>
        </w:tc>
      </w:tr>
      <w:tr w:rsidR="00366397" w:rsidRPr="008A2236" w14:paraId="16AD00E1" w14:textId="77777777" w:rsidTr="00B027A0">
        <w:tc>
          <w:tcPr>
            <w:tcW w:w="1758" w:type="dxa"/>
            <w:shd w:val="clear" w:color="auto" w:fill="FFFFFF"/>
            <w:vAlign w:val="center"/>
          </w:tcPr>
          <w:p w14:paraId="1D214C37" w14:textId="77777777" w:rsidR="00366397" w:rsidRPr="008A2236" w:rsidRDefault="00366397" w:rsidP="008E545C">
            <w:pPr>
              <w:pStyle w:val="TableText"/>
              <w:keepNext/>
            </w:pPr>
            <w:r w:rsidRPr="008A2236">
              <w:rPr>
                <w:rFonts w:eastAsia="Calibri"/>
              </w:rPr>
              <w:lastRenderedPageBreak/>
              <w:t xml:space="preserve">LULUCF </w:t>
            </w:r>
            <w:r>
              <w:rPr>
                <w:rFonts w:eastAsia="Calibri"/>
              </w:rPr>
              <w:t>–</w:t>
            </w:r>
            <w:r w:rsidRPr="008A2236">
              <w:rPr>
                <w:rFonts w:eastAsia="Calibri"/>
              </w:rPr>
              <w:t xml:space="preserve"> 4. General (LULUCF) – CO</w:t>
            </w:r>
            <w:r w:rsidRPr="008A2236">
              <w:rPr>
                <w:rFonts w:eastAsia="Calibri"/>
                <w:vertAlign w:val="subscript"/>
              </w:rPr>
              <w:t>2</w:t>
            </w:r>
          </w:p>
        </w:tc>
        <w:tc>
          <w:tcPr>
            <w:tcW w:w="907" w:type="dxa"/>
            <w:shd w:val="clear" w:color="auto" w:fill="FFFFFF"/>
            <w:vAlign w:val="center"/>
          </w:tcPr>
          <w:p w14:paraId="2175A2E3" w14:textId="77777777" w:rsidR="00366397" w:rsidRPr="008A2236" w:rsidRDefault="00366397" w:rsidP="0030211F">
            <w:pPr>
              <w:pStyle w:val="TableText"/>
            </w:pPr>
            <w:r w:rsidRPr="008A2236">
              <w:rPr>
                <w:rFonts w:eastAsia="Calibri"/>
              </w:rPr>
              <w:t>L.13, 2019</w:t>
            </w:r>
          </w:p>
        </w:tc>
        <w:tc>
          <w:tcPr>
            <w:tcW w:w="2835" w:type="dxa"/>
            <w:shd w:val="clear" w:color="auto" w:fill="FFFFFF"/>
          </w:tcPr>
          <w:p w14:paraId="38F6AE30" w14:textId="77777777" w:rsidR="00366397" w:rsidRPr="008A2236" w:rsidRDefault="00366397" w:rsidP="0030211F">
            <w:pPr>
              <w:pStyle w:val="TableText"/>
            </w:pPr>
            <w:r w:rsidRPr="008A2236">
              <w:rPr>
                <w:rFonts w:eastAsia="Calibri"/>
              </w:rPr>
              <w:t>The ERT recommends that New Zealand report updated information regarding the country-specific wood carbon content value used in the HWP model in the NIR.</w:t>
            </w:r>
          </w:p>
        </w:tc>
        <w:tc>
          <w:tcPr>
            <w:tcW w:w="2835" w:type="dxa"/>
            <w:shd w:val="clear" w:color="auto" w:fill="FFFFFF"/>
            <w:vAlign w:val="center"/>
          </w:tcPr>
          <w:p w14:paraId="6A854B77" w14:textId="77777777" w:rsidR="00366397" w:rsidRPr="008A2236" w:rsidRDefault="00366397" w:rsidP="0030211F">
            <w:pPr>
              <w:pStyle w:val="TableText"/>
            </w:pPr>
            <w:r w:rsidRPr="008A2236">
              <w:rPr>
                <w:rFonts w:eastAsia="Calibri"/>
                <w:b/>
              </w:rPr>
              <w:t>Resolved.</w:t>
            </w:r>
            <w:r w:rsidRPr="008A2236">
              <w:rPr>
                <w:rFonts w:eastAsia="Calibri"/>
              </w:rPr>
              <w:t xml:space="preserve"> The default wood carbon content value of 50</w:t>
            </w:r>
            <w:r>
              <w:rPr>
                <w:rFonts w:eastAsia="Calibri"/>
              </w:rPr>
              <w:t>%</w:t>
            </w:r>
            <w:r w:rsidRPr="008A2236">
              <w:rPr>
                <w:rFonts w:eastAsia="Calibri"/>
              </w:rPr>
              <w:t>, from table 12.4 of the 2006 IPCC Guidelines (IPCC</w:t>
            </w:r>
            <w:r>
              <w:rPr>
                <w:rFonts w:eastAsia="Calibri"/>
              </w:rPr>
              <w:t>,</w:t>
            </w:r>
            <w:r w:rsidRPr="008A2236">
              <w:rPr>
                <w:rFonts w:eastAsia="Calibri"/>
              </w:rPr>
              <w:t xml:space="preserve"> 2006</w:t>
            </w:r>
            <w:r>
              <w:rPr>
                <w:rFonts w:eastAsia="Calibri"/>
              </w:rPr>
              <w:t>b</w:t>
            </w:r>
            <w:r w:rsidRPr="008A2236">
              <w:rPr>
                <w:rFonts w:eastAsia="Calibri"/>
              </w:rPr>
              <w:t>), is used in the harvested wood products model. This value is consistent with the planted forest model that uses a country-specific value of 50</w:t>
            </w:r>
            <w:r>
              <w:rPr>
                <w:rFonts w:eastAsia="Calibri"/>
              </w:rPr>
              <w:t>%</w:t>
            </w:r>
            <w:r w:rsidRPr="008A2236">
              <w:rPr>
                <w:rFonts w:eastAsia="Calibri"/>
              </w:rPr>
              <w:t>.</w:t>
            </w:r>
          </w:p>
        </w:tc>
      </w:tr>
      <w:tr w:rsidR="00366397" w:rsidRPr="008A2236" w14:paraId="38C92D30" w14:textId="77777777" w:rsidTr="00B027A0">
        <w:tc>
          <w:tcPr>
            <w:tcW w:w="1758" w:type="dxa"/>
            <w:shd w:val="clear" w:color="auto" w:fill="FFFFFF"/>
            <w:vAlign w:val="center"/>
          </w:tcPr>
          <w:p w14:paraId="060779C1" w14:textId="77777777" w:rsidR="00366397" w:rsidRPr="008A2236" w:rsidRDefault="00366397" w:rsidP="0030211F">
            <w:pPr>
              <w:pStyle w:val="TableText"/>
            </w:pPr>
            <w:r w:rsidRPr="008A2236">
              <w:rPr>
                <w:rFonts w:eastAsia="Calibri"/>
              </w:rPr>
              <w:t xml:space="preserve">LULUCF – Land representation </w:t>
            </w:r>
            <w:r>
              <w:rPr>
                <w:rFonts w:eastAsia="Calibri"/>
              </w:rPr>
              <w:t>–</w:t>
            </w:r>
            <w:r w:rsidRPr="008A2236">
              <w:rPr>
                <w:rFonts w:eastAsia="Calibri"/>
              </w:rPr>
              <w:t xml:space="preserve"> CO</w:t>
            </w:r>
            <w:r w:rsidRPr="008A2236">
              <w:rPr>
                <w:rFonts w:eastAsia="Calibri"/>
                <w:vertAlign w:val="subscript"/>
              </w:rPr>
              <w:t>2</w:t>
            </w:r>
            <w:r w:rsidRPr="008A2236">
              <w:rPr>
                <w:rFonts w:eastAsia="Calibri"/>
              </w:rPr>
              <w:t>,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67D69590" w14:textId="77777777" w:rsidR="00366397" w:rsidRPr="008A2236" w:rsidRDefault="00366397" w:rsidP="0030211F">
            <w:pPr>
              <w:pStyle w:val="TableText"/>
            </w:pPr>
            <w:r w:rsidRPr="008A2236">
              <w:rPr>
                <w:rFonts w:eastAsia="Calibri"/>
              </w:rPr>
              <w:t>L.14, 2019</w:t>
            </w:r>
          </w:p>
        </w:tc>
        <w:tc>
          <w:tcPr>
            <w:tcW w:w="2835" w:type="dxa"/>
            <w:shd w:val="clear" w:color="auto" w:fill="FFFFFF"/>
          </w:tcPr>
          <w:p w14:paraId="2E3494D9" w14:textId="77777777" w:rsidR="00366397" w:rsidRPr="008A2236" w:rsidRDefault="00366397" w:rsidP="0030211F">
            <w:pPr>
              <w:pStyle w:val="TableText"/>
            </w:pPr>
            <w:r w:rsidRPr="008A2236">
              <w:rPr>
                <w:rFonts w:eastAsia="Calibri"/>
              </w:rPr>
              <w:t>The ERT recommends that New Zealand either report information that demonstrates that the biomass carbon pool of radiata pine plantations achieves its steady state at 28 years or, if not at 28 years but at over 20 years, provide information that demonstrates that this longer period is needed to achieve equilibrium of carbon stocks. Otherwise, the ERT recommends that the Party apply the IPCC default conversion period of 20 years and explain the recalculations in the NIR.</w:t>
            </w:r>
          </w:p>
        </w:tc>
        <w:tc>
          <w:tcPr>
            <w:tcW w:w="2835" w:type="dxa"/>
            <w:shd w:val="clear" w:color="auto" w:fill="FFFFFF"/>
            <w:vAlign w:val="center"/>
          </w:tcPr>
          <w:p w14:paraId="323F1303" w14:textId="77777777" w:rsidR="00366397" w:rsidRPr="008A2236" w:rsidRDefault="00366397" w:rsidP="0030211F">
            <w:pPr>
              <w:pStyle w:val="TableText"/>
            </w:pPr>
            <w:r w:rsidRPr="008A2236">
              <w:rPr>
                <w:rFonts w:eastAsia="Calibri"/>
                <w:b/>
              </w:rPr>
              <w:t>Resolved.</w:t>
            </w:r>
            <w:r w:rsidRPr="008A2236">
              <w:rPr>
                <w:rFonts w:eastAsia="Calibri"/>
              </w:rPr>
              <w:t xml:space="preserve"> The default transition period of 20 years has been applied since the 2021 submission. The impact of this change in emissions between the </w:t>
            </w:r>
            <w:r w:rsidRPr="008A2236">
              <w:rPr>
                <w:rFonts w:eastAsia="Calibri"/>
                <w:i/>
              </w:rPr>
              <w:t>Forest land remaining forest land</w:t>
            </w:r>
            <w:r w:rsidRPr="008A2236">
              <w:rPr>
                <w:rFonts w:eastAsia="Calibri"/>
              </w:rPr>
              <w:t xml:space="preserve"> category and </w:t>
            </w:r>
            <w:r w:rsidRPr="008A2236">
              <w:rPr>
                <w:rFonts w:eastAsia="Calibri"/>
                <w:i/>
              </w:rPr>
              <w:t>Land converted to forest land</w:t>
            </w:r>
            <w:r w:rsidRPr="008A2236">
              <w:rPr>
                <w:rFonts w:eastAsia="Calibri"/>
              </w:rPr>
              <w:t xml:space="preserve"> category was described in the 2021 submission.</w:t>
            </w:r>
          </w:p>
        </w:tc>
      </w:tr>
      <w:tr w:rsidR="00366397" w:rsidRPr="008A2236" w14:paraId="77944AD5" w14:textId="77777777" w:rsidTr="00B027A0">
        <w:tc>
          <w:tcPr>
            <w:tcW w:w="1758" w:type="dxa"/>
            <w:shd w:val="clear" w:color="auto" w:fill="FFFFFF"/>
            <w:vAlign w:val="center"/>
          </w:tcPr>
          <w:p w14:paraId="18D74EC6" w14:textId="77777777" w:rsidR="00366397" w:rsidRPr="008A2236" w:rsidRDefault="00366397" w:rsidP="0030211F">
            <w:pPr>
              <w:pStyle w:val="TableText"/>
            </w:pPr>
            <w:r w:rsidRPr="008A2236">
              <w:rPr>
                <w:rFonts w:eastAsia="Calibri"/>
              </w:rPr>
              <w:t xml:space="preserve">LULUCF – Land representation </w:t>
            </w:r>
            <w:r>
              <w:rPr>
                <w:rFonts w:eastAsia="Calibri"/>
              </w:rPr>
              <w:t>–</w:t>
            </w:r>
            <w:r w:rsidRPr="008A2236">
              <w:rPr>
                <w:rFonts w:eastAsia="Calibri"/>
              </w:rPr>
              <w:t xml:space="preserve"> CO</w:t>
            </w:r>
            <w:r w:rsidRPr="008A2236">
              <w:rPr>
                <w:rFonts w:eastAsia="Calibri"/>
                <w:vertAlign w:val="subscript"/>
              </w:rPr>
              <w:t>2</w:t>
            </w:r>
            <w:r w:rsidRPr="008A2236">
              <w:rPr>
                <w:rFonts w:eastAsia="Calibri"/>
              </w:rPr>
              <w:t>,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16F5CE96" w14:textId="77777777" w:rsidR="00366397" w:rsidRPr="008A2236" w:rsidRDefault="00366397" w:rsidP="0030211F">
            <w:pPr>
              <w:pStyle w:val="TableText"/>
            </w:pPr>
            <w:r w:rsidRPr="008A2236">
              <w:rPr>
                <w:rFonts w:eastAsia="Calibri"/>
              </w:rPr>
              <w:t>L.15, 2019</w:t>
            </w:r>
          </w:p>
        </w:tc>
        <w:tc>
          <w:tcPr>
            <w:tcW w:w="2835" w:type="dxa"/>
            <w:shd w:val="clear" w:color="auto" w:fill="FFFFFF"/>
          </w:tcPr>
          <w:p w14:paraId="6F02FCFF" w14:textId="77777777" w:rsidR="00366397" w:rsidRPr="008A2236" w:rsidRDefault="00366397" w:rsidP="0030211F">
            <w:pPr>
              <w:pStyle w:val="TableText"/>
            </w:pPr>
            <w:r w:rsidRPr="008A2236">
              <w:rPr>
                <w:rFonts w:eastAsia="Calibri"/>
              </w:rPr>
              <w:t>The ERT recommends that New Zealand compile CRF table 4.1 using annual area change data.</w:t>
            </w:r>
          </w:p>
        </w:tc>
        <w:tc>
          <w:tcPr>
            <w:tcW w:w="2835" w:type="dxa"/>
            <w:shd w:val="clear" w:color="auto" w:fill="FFFFFF"/>
            <w:vAlign w:val="center"/>
          </w:tcPr>
          <w:p w14:paraId="60B0BECB" w14:textId="77777777" w:rsidR="00366397" w:rsidRPr="008A2236" w:rsidRDefault="00366397" w:rsidP="0030211F">
            <w:pPr>
              <w:pStyle w:val="TableText"/>
            </w:pPr>
            <w:r w:rsidRPr="008A2236">
              <w:rPr>
                <w:rFonts w:eastAsia="Calibri"/>
                <w:b/>
              </w:rPr>
              <w:t>Resolved.</w:t>
            </w:r>
            <w:r w:rsidRPr="008A2236">
              <w:rPr>
                <w:rFonts w:eastAsia="Calibri"/>
              </w:rPr>
              <w:t xml:space="preserve"> </w:t>
            </w:r>
            <w:r>
              <w:rPr>
                <w:rFonts w:eastAsia="Calibri"/>
              </w:rPr>
              <w:t>CRF t</w:t>
            </w:r>
            <w:r w:rsidRPr="008A2236">
              <w:rPr>
                <w:rFonts w:eastAsia="Calibri"/>
              </w:rPr>
              <w:t>able 4.1 has been compiled using annual area change</w:t>
            </w:r>
            <w:r>
              <w:rPr>
                <w:rFonts w:eastAsia="Calibri"/>
              </w:rPr>
              <w:t xml:space="preserve"> data</w:t>
            </w:r>
            <w:r w:rsidRPr="008A2236">
              <w:rPr>
                <w:rFonts w:eastAsia="Calibri"/>
              </w:rPr>
              <w:t>.</w:t>
            </w:r>
          </w:p>
        </w:tc>
      </w:tr>
      <w:tr w:rsidR="00366397" w:rsidRPr="008A2236" w14:paraId="1B1D79CF" w14:textId="77777777" w:rsidTr="00B027A0">
        <w:tc>
          <w:tcPr>
            <w:tcW w:w="1758" w:type="dxa"/>
            <w:shd w:val="clear" w:color="auto" w:fill="FFFFFF"/>
            <w:vAlign w:val="center"/>
          </w:tcPr>
          <w:p w14:paraId="0F07CC76" w14:textId="77777777" w:rsidR="00366397" w:rsidRPr="008A2236" w:rsidRDefault="00366397" w:rsidP="0030211F">
            <w:pPr>
              <w:pStyle w:val="TableText"/>
            </w:pPr>
            <w:r w:rsidRPr="008A2236">
              <w:rPr>
                <w:rFonts w:eastAsia="Calibri"/>
              </w:rPr>
              <w:t xml:space="preserve">LULUCF – Land representation </w:t>
            </w:r>
            <w:r>
              <w:rPr>
                <w:rFonts w:eastAsia="Calibri"/>
              </w:rPr>
              <w:t>–</w:t>
            </w:r>
            <w:r w:rsidRPr="008A2236">
              <w:rPr>
                <w:rFonts w:eastAsia="Calibri"/>
              </w:rPr>
              <w:t xml:space="preserve"> CO</w:t>
            </w:r>
            <w:r w:rsidRPr="008A2236">
              <w:rPr>
                <w:rFonts w:eastAsia="Calibri"/>
                <w:vertAlign w:val="subscript"/>
              </w:rPr>
              <w:t>2</w:t>
            </w:r>
            <w:r w:rsidRPr="008A2236">
              <w:rPr>
                <w:rFonts w:eastAsia="Calibri"/>
              </w:rPr>
              <w:t>,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393B80BE" w14:textId="77777777" w:rsidR="00366397" w:rsidRPr="008A2236" w:rsidRDefault="00366397" w:rsidP="0030211F">
            <w:pPr>
              <w:pStyle w:val="TableText"/>
            </w:pPr>
            <w:r w:rsidRPr="008A2236">
              <w:rPr>
                <w:rFonts w:eastAsia="Calibri"/>
              </w:rPr>
              <w:t>L.16, 2019</w:t>
            </w:r>
          </w:p>
        </w:tc>
        <w:tc>
          <w:tcPr>
            <w:tcW w:w="2835" w:type="dxa"/>
            <w:shd w:val="clear" w:color="auto" w:fill="FFFFFF"/>
          </w:tcPr>
          <w:p w14:paraId="3AC6C381" w14:textId="77777777" w:rsidR="00366397" w:rsidRPr="008A2236" w:rsidRDefault="00366397" w:rsidP="0030211F">
            <w:pPr>
              <w:pStyle w:val="TableText"/>
            </w:pPr>
            <w:r w:rsidRPr="008A2236">
              <w:rPr>
                <w:rFonts w:eastAsia="Calibri"/>
              </w:rPr>
              <w:t>The ERT recommends that New Zealand plan to undertake an accuracy assessment of its national land-use maps, with a focus on determining the accuracy of mapping changes between mapping dates. The ERT also recommends that the Party then investigate how to use the results of the accuracy assessment, once available, to adjust the reported AD for the land representation.</w:t>
            </w:r>
          </w:p>
        </w:tc>
        <w:tc>
          <w:tcPr>
            <w:tcW w:w="2835" w:type="dxa"/>
            <w:shd w:val="clear" w:color="auto" w:fill="FFFFFF"/>
            <w:vAlign w:val="center"/>
          </w:tcPr>
          <w:p w14:paraId="7646F477" w14:textId="77777777" w:rsidR="00366397" w:rsidRPr="008A2236" w:rsidRDefault="00366397" w:rsidP="0030211F">
            <w:pPr>
              <w:pStyle w:val="TableText"/>
            </w:pPr>
            <w:r w:rsidRPr="008A2236">
              <w:rPr>
                <w:rFonts w:eastAsia="Calibri"/>
                <w:b/>
              </w:rPr>
              <w:t>Addressing.</w:t>
            </w:r>
            <w:r w:rsidRPr="008A2236">
              <w:rPr>
                <w:rFonts w:eastAsia="Calibri"/>
              </w:rPr>
              <w:t xml:space="preserve"> A confusion matrix for the 2012 map, demonstrating that mapping errors and biases were very limited for all land categories except </w:t>
            </w:r>
            <w:r w:rsidRPr="00995217">
              <w:rPr>
                <w:rFonts w:eastAsia="Calibri"/>
                <w:i/>
                <w:iCs/>
              </w:rPr>
              <w:t>Grassland</w:t>
            </w:r>
            <w:r w:rsidRPr="008A2236">
              <w:rPr>
                <w:rFonts w:eastAsia="Calibri"/>
              </w:rPr>
              <w:t xml:space="preserve"> and grassland with woody biomass has been undertaken (see annex A3.2.2). A new land use map using imagery acquired over 2020</w:t>
            </w:r>
            <w:r>
              <w:rPr>
                <w:rFonts w:eastAsia="Calibri"/>
              </w:rPr>
              <w:t>–</w:t>
            </w:r>
            <w:r w:rsidRPr="008A2236">
              <w:rPr>
                <w:rFonts w:eastAsia="Calibri"/>
              </w:rPr>
              <w:t>2021 is being procured. Once the map has been produced</w:t>
            </w:r>
            <w:r>
              <w:rPr>
                <w:rFonts w:eastAsia="Calibri"/>
              </w:rPr>
              <w:t>,</w:t>
            </w:r>
            <w:r w:rsidRPr="008A2236">
              <w:rPr>
                <w:rFonts w:eastAsia="Calibri"/>
              </w:rPr>
              <w:t xml:space="preserve"> an accuracy assessment of the map series with a focus on the accuracy of land-use change mapping is planned. See </w:t>
            </w:r>
            <w:r>
              <w:rPr>
                <w:rFonts w:eastAsia="Calibri"/>
              </w:rPr>
              <w:t xml:space="preserve">chapter 6, </w:t>
            </w:r>
            <w:r w:rsidRPr="008A2236">
              <w:rPr>
                <w:rFonts w:eastAsia="Calibri"/>
              </w:rPr>
              <w:t>section 6.2.5 for more information.</w:t>
            </w:r>
          </w:p>
        </w:tc>
      </w:tr>
      <w:tr w:rsidR="00366397" w:rsidRPr="008A2236" w14:paraId="3F44334D" w14:textId="77777777" w:rsidTr="00B027A0">
        <w:tc>
          <w:tcPr>
            <w:tcW w:w="1758" w:type="dxa"/>
            <w:shd w:val="clear" w:color="auto" w:fill="FFFFFF"/>
            <w:vAlign w:val="center"/>
          </w:tcPr>
          <w:p w14:paraId="54D6C859" w14:textId="77777777" w:rsidR="00366397" w:rsidRPr="008A2236" w:rsidRDefault="00366397" w:rsidP="0030211F">
            <w:pPr>
              <w:pStyle w:val="TableText"/>
            </w:pPr>
            <w:r w:rsidRPr="008A2236">
              <w:rPr>
                <w:rFonts w:eastAsia="Calibri"/>
              </w:rPr>
              <w:t xml:space="preserve">LULUCF – 4.A Forest land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vAlign w:val="center"/>
          </w:tcPr>
          <w:p w14:paraId="4ED0E97B" w14:textId="77777777" w:rsidR="00366397" w:rsidRPr="008A2236" w:rsidRDefault="00366397" w:rsidP="0030211F">
            <w:pPr>
              <w:pStyle w:val="TableText"/>
            </w:pPr>
            <w:r w:rsidRPr="008A2236">
              <w:rPr>
                <w:rFonts w:eastAsia="Calibri"/>
              </w:rPr>
              <w:t>L.17, 2019</w:t>
            </w:r>
          </w:p>
        </w:tc>
        <w:tc>
          <w:tcPr>
            <w:tcW w:w="2835" w:type="dxa"/>
            <w:shd w:val="clear" w:color="auto" w:fill="FFFFFF"/>
          </w:tcPr>
          <w:p w14:paraId="3F99E3C8" w14:textId="77777777" w:rsidR="00366397" w:rsidRPr="008A2236" w:rsidRDefault="00366397" w:rsidP="0030211F">
            <w:pPr>
              <w:pStyle w:val="TableText"/>
            </w:pPr>
            <w:r w:rsidRPr="008A2236">
              <w:rPr>
                <w:rFonts w:eastAsia="Calibri"/>
              </w:rPr>
              <w:t>The ERT recommends that New Zealand provide information on the actual age of harvest of forest plantations, as derived from information collected through NEFD. Such information would be most appropriately reported in the annexes to the NIR.</w:t>
            </w:r>
          </w:p>
        </w:tc>
        <w:tc>
          <w:tcPr>
            <w:tcW w:w="2835" w:type="dxa"/>
            <w:shd w:val="clear" w:color="auto" w:fill="FFFFFF"/>
            <w:vAlign w:val="center"/>
          </w:tcPr>
          <w:p w14:paraId="0DC4502B" w14:textId="77777777" w:rsidR="00366397" w:rsidRPr="008A2236" w:rsidRDefault="00366397" w:rsidP="0030211F">
            <w:pPr>
              <w:pStyle w:val="TableText"/>
            </w:pPr>
            <w:r w:rsidRPr="008A2236">
              <w:rPr>
                <w:rFonts w:eastAsia="Calibri"/>
                <w:b/>
              </w:rPr>
              <w:t>Resolved.</w:t>
            </w:r>
            <w:r w:rsidRPr="008A2236">
              <w:rPr>
                <w:rFonts w:eastAsia="Calibri"/>
              </w:rPr>
              <w:t xml:space="preserve"> Additional text has been added to annex 3.2.5.2.</w:t>
            </w:r>
          </w:p>
        </w:tc>
      </w:tr>
      <w:tr w:rsidR="00366397" w:rsidRPr="008A2236" w14:paraId="2CE73379" w14:textId="77777777" w:rsidTr="00B027A0">
        <w:tc>
          <w:tcPr>
            <w:tcW w:w="1758" w:type="dxa"/>
            <w:shd w:val="clear" w:color="auto" w:fill="FFFFFF"/>
            <w:vAlign w:val="center"/>
          </w:tcPr>
          <w:p w14:paraId="3670D4DC" w14:textId="77777777" w:rsidR="00366397" w:rsidRPr="008A2236" w:rsidRDefault="00366397" w:rsidP="0030211F">
            <w:pPr>
              <w:pStyle w:val="TableText"/>
            </w:pPr>
            <w:r w:rsidRPr="008A2236">
              <w:rPr>
                <w:rFonts w:eastAsia="Calibri"/>
              </w:rPr>
              <w:t xml:space="preserve">LULUCF – 4.A.1 Forest land remaining forest land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vAlign w:val="center"/>
          </w:tcPr>
          <w:p w14:paraId="21A2C521" w14:textId="77777777" w:rsidR="00366397" w:rsidRPr="008A2236" w:rsidRDefault="00366397" w:rsidP="0030211F">
            <w:pPr>
              <w:pStyle w:val="TableText"/>
            </w:pPr>
            <w:r w:rsidRPr="008A2236">
              <w:rPr>
                <w:rFonts w:eastAsia="Calibri"/>
              </w:rPr>
              <w:t>L.18, 2019</w:t>
            </w:r>
          </w:p>
        </w:tc>
        <w:tc>
          <w:tcPr>
            <w:tcW w:w="2835" w:type="dxa"/>
            <w:shd w:val="clear" w:color="auto" w:fill="FFFFFF"/>
          </w:tcPr>
          <w:p w14:paraId="7C714838" w14:textId="77777777" w:rsidR="00366397" w:rsidRPr="008A2236" w:rsidRDefault="00366397" w:rsidP="0030211F">
            <w:pPr>
              <w:pStyle w:val="TableText"/>
            </w:pPr>
            <w:r w:rsidRPr="008A2236">
              <w:rPr>
                <w:rFonts w:eastAsia="Calibri"/>
              </w:rPr>
              <w:t>The ERT recommends that New Zealand report estimates of above-ground biomass CSCs, noting that those estimates should include all gains and losses in tall natural forest remaining tall natural forest; however, carbon stock losses as a result of stand-replacing disturbances (such as storms or destructive wildfires) that lead to a subsequent regeneration of the natural forest, and carbon stock gains up to the average carbon stock of tall forests, should be reported within the regenerating natural forest category, including the entire transition of regenerating natural forest to tall natural forest.</w:t>
            </w:r>
          </w:p>
        </w:tc>
        <w:tc>
          <w:tcPr>
            <w:tcW w:w="2835" w:type="dxa"/>
            <w:shd w:val="clear" w:color="auto" w:fill="FFFFFF"/>
            <w:vAlign w:val="center"/>
          </w:tcPr>
          <w:p w14:paraId="20EC8641" w14:textId="77777777" w:rsidR="00366397" w:rsidRPr="008A2236" w:rsidRDefault="00366397" w:rsidP="0030211F">
            <w:pPr>
              <w:pStyle w:val="TableText"/>
            </w:pPr>
            <w:r w:rsidRPr="008A2236">
              <w:rPr>
                <w:rFonts w:eastAsia="Calibri"/>
                <w:b/>
              </w:rPr>
              <w:t>Resolved.</w:t>
            </w:r>
            <w:r w:rsidRPr="008A2236">
              <w:rPr>
                <w:rFonts w:eastAsia="Calibri"/>
              </w:rPr>
              <w:t xml:space="preserve"> Losses from tall natural forest have been reported in this submission and the assumption that this forest class is in steady state is no longer applied (see chapter 6, section 6.3.5 for more information).</w:t>
            </w:r>
          </w:p>
        </w:tc>
      </w:tr>
      <w:tr w:rsidR="00366397" w:rsidRPr="008A2236" w14:paraId="0F71B7ED" w14:textId="77777777" w:rsidTr="00B027A0">
        <w:tc>
          <w:tcPr>
            <w:tcW w:w="1758" w:type="dxa"/>
            <w:shd w:val="clear" w:color="auto" w:fill="FFFFFF"/>
            <w:vAlign w:val="center"/>
          </w:tcPr>
          <w:p w14:paraId="3CAE63DA" w14:textId="77777777" w:rsidR="00366397" w:rsidRPr="008A2236" w:rsidRDefault="00366397" w:rsidP="0060564F">
            <w:pPr>
              <w:pStyle w:val="TableText"/>
            </w:pPr>
            <w:r w:rsidRPr="008A2236">
              <w:rPr>
                <w:rFonts w:eastAsia="Calibri"/>
              </w:rPr>
              <w:t xml:space="preserve">LULUCF – 4.A.1 </w:t>
            </w:r>
            <w:r w:rsidRPr="0060564F">
              <w:rPr>
                <w:rFonts w:eastAsia="Calibri"/>
              </w:rPr>
              <w:t>Forest</w:t>
            </w:r>
            <w:r w:rsidRPr="008A2236">
              <w:rPr>
                <w:rFonts w:eastAsia="Calibri"/>
              </w:rPr>
              <w:t xml:space="preserve"> land remaining forest land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vAlign w:val="center"/>
          </w:tcPr>
          <w:p w14:paraId="09397332" w14:textId="77777777" w:rsidR="00366397" w:rsidRPr="008A2236" w:rsidRDefault="00366397" w:rsidP="00944B42">
            <w:pPr>
              <w:pStyle w:val="TableText"/>
              <w:spacing w:before="40" w:after="40"/>
            </w:pPr>
            <w:r w:rsidRPr="008A2236">
              <w:rPr>
                <w:rFonts w:eastAsia="Calibri"/>
              </w:rPr>
              <w:t>L.19, 2019</w:t>
            </w:r>
          </w:p>
        </w:tc>
        <w:tc>
          <w:tcPr>
            <w:tcW w:w="2835" w:type="dxa"/>
            <w:shd w:val="clear" w:color="auto" w:fill="FFFFFF"/>
          </w:tcPr>
          <w:p w14:paraId="7C050633" w14:textId="77777777" w:rsidR="00366397" w:rsidRPr="008A2236" w:rsidRDefault="00366397" w:rsidP="00944B42">
            <w:pPr>
              <w:pStyle w:val="TableText"/>
              <w:spacing w:before="40" w:after="40"/>
            </w:pPr>
            <w:r w:rsidRPr="008A2236">
              <w:rPr>
                <w:rFonts w:eastAsia="Calibri"/>
              </w:rPr>
              <w:t xml:space="preserve">The ERT recommends that New Zealand provide evidence that its national circumstances make the collection of data on SOC in mineral soils and on its variation across time in </w:t>
            </w:r>
            <w:r w:rsidRPr="00995217">
              <w:rPr>
                <w:rFonts w:eastAsia="Calibri"/>
              </w:rPr>
              <w:t xml:space="preserve">forest land </w:t>
            </w:r>
            <w:r w:rsidRPr="00995217">
              <w:rPr>
                <w:rFonts w:eastAsia="Calibri"/>
              </w:rPr>
              <w:lastRenderedPageBreak/>
              <w:t>remaining forest land</w:t>
            </w:r>
            <w:r w:rsidRPr="008A2236">
              <w:rPr>
                <w:rFonts w:eastAsia="Calibri"/>
              </w:rPr>
              <w:t xml:space="preserve"> impracticable or, if this is not possible, that the Party plan activities to be implemented in the next few years to collect the data needed to apply a tier 2 estimate to SOC changes in mineral soils of tall natural forest remaining tall natural forest.</w:t>
            </w:r>
          </w:p>
        </w:tc>
        <w:tc>
          <w:tcPr>
            <w:tcW w:w="2835" w:type="dxa"/>
            <w:shd w:val="clear" w:color="auto" w:fill="FFFFFF"/>
            <w:vAlign w:val="center"/>
          </w:tcPr>
          <w:p w14:paraId="67CBC5D7" w14:textId="35E4DF43" w:rsidR="00366397" w:rsidRPr="008A2236" w:rsidRDefault="00366397" w:rsidP="00944B42">
            <w:pPr>
              <w:pStyle w:val="TableText"/>
              <w:spacing w:before="40" w:after="40"/>
            </w:pPr>
            <w:r w:rsidRPr="008A2236">
              <w:rPr>
                <w:rFonts w:eastAsia="Calibri"/>
                <w:b/>
              </w:rPr>
              <w:lastRenderedPageBreak/>
              <w:t xml:space="preserve">Not resolved. </w:t>
            </w:r>
            <w:r w:rsidRPr="008A2236">
              <w:rPr>
                <w:rFonts w:eastAsia="Calibri"/>
                <w:bCs/>
              </w:rPr>
              <w:t xml:space="preserve">To undertake a robust study to collect this information would likely cost between $400,000 and $600,000 </w:t>
            </w:r>
            <w:r>
              <w:rPr>
                <w:rFonts w:eastAsia="Calibri"/>
                <w:bCs/>
              </w:rPr>
              <w:t xml:space="preserve">NZD </w:t>
            </w:r>
            <w:r w:rsidRPr="008A2236">
              <w:rPr>
                <w:rFonts w:eastAsia="Calibri"/>
                <w:bCs/>
              </w:rPr>
              <w:t xml:space="preserve">per year. At a minimum, this is more than five times the annual </w:t>
            </w:r>
            <w:r w:rsidRPr="008A2236">
              <w:rPr>
                <w:rFonts w:eastAsia="Calibri"/>
                <w:bCs/>
              </w:rPr>
              <w:lastRenderedPageBreak/>
              <w:t>research budget for the LULUCF sector. Following decision tree 2.4 in volume 4 of the 2006 IPCC Guidelines (IPCC</w:t>
            </w:r>
            <w:r>
              <w:rPr>
                <w:rFonts w:eastAsia="Calibri"/>
                <w:bCs/>
              </w:rPr>
              <w:t>,</w:t>
            </w:r>
            <w:r w:rsidRPr="008A2236">
              <w:rPr>
                <w:rFonts w:eastAsia="Calibri"/>
                <w:bCs/>
              </w:rPr>
              <w:t xml:space="preserve"> 2006</w:t>
            </w:r>
            <w:r>
              <w:rPr>
                <w:rFonts w:eastAsia="Calibri"/>
                <w:bCs/>
              </w:rPr>
              <w:t>b</w:t>
            </w:r>
            <w:r w:rsidRPr="008A2236">
              <w:rPr>
                <w:rFonts w:eastAsia="Calibri"/>
                <w:bCs/>
              </w:rPr>
              <w:t>), there are insufficient resources to implement such research in the near</w:t>
            </w:r>
            <w:r w:rsidR="00944B42">
              <w:rPr>
                <w:rFonts w:eastAsia="Calibri"/>
                <w:bCs/>
              </w:rPr>
              <w:t> </w:t>
            </w:r>
            <w:r w:rsidRPr="008A2236">
              <w:rPr>
                <w:rFonts w:eastAsia="Calibri"/>
                <w:bCs/>
              </w:rPr>
              <w:t>future without a significant increase in funding.</w:t>
            </w:r>
          </w:p>
        </w:tc>
      </w:tr>
      <w:tr w:rsidR="00366397" w:rsidRPr="008A2236" w14:paraId="7F8EB4D8" w14:textId="77777777" w:rsidTr="00B027A0">
        <w:tc>
          <w:tcPr>
            <w:tcW w:w="1758" w:type="dxa"/>
            <w:shd w:val="clear" w:color="auto" w:fill="FFFFFF"/>
            <w:vAlign w:val="center"/>
          </w:tcPr>
          <w:p w14:paraId="18A9CB61" w14:textId="77777777" w:rsidR="00366397" w:rsidRPr="008A2236" w:rsidRDefault="00366397" w:rsidP="00944B42">
            <w:pPr>
              <w:pStyle w:val="TableText"/>
              <w:spacing w:before="40" w:after="40"/>
            </w:pPr>
            <w:r w:rsidRPr="008A2236">
              <w:rPr>
                <w:rFonts w:eastAsia="Calibri"/>
              </w:rPr>
              <w:lastRenderedPageBreak/>
              <w:t xml:space="preserve">LULUCF – 4.A.2 Land converted to forest land </w:t>
            </w:r>
            <w:r>
              <w:rPr>
                <w:rFonts w:eastAsia="Calibri"/>
              </w:rPr>
              <w:t>–</w:t>
            </w:r>
            <w:r w:rsidRPr="008A2236">
              <w:rPr>
                <w:rFonts w:eastAsia="Calibri"/>
              </w:rPr>
              <w:t xml:space="preserve"> CO</w:t>
            </w:r>
            <w:r w:rsidRPr="008A2236">
              <w:rPr>
                <w:rFonts w:eastAsia="Calibri"/>
                <w:vertAlign w:val="subscript"/>
              </w:rPr>
              <w:t>2</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44EBF844" w14:textId="77777777" w:rsidR="00366397" w:rsidRPr="008A2236" w:rsidRDefault="00366397" w:rsidP="00944B42">
            <w:pPr>
              <w:pStyle w:val="TableText"/>
              <w:spacing w:before="40" w:after="40"/>
            </w:pPr>
            <w:r w:rsidRPr="008A2236">
              <w:rPr>
                <w:rFonts w:eastAsia="Calibri"/>
              </w:rPr>
              <w:t>L.20, 2019</w:t>
            </w:r>
          </w:p>
        </w:tc>
        <w:tc>
          <w:tcPr>
            <w:tcW w:w="2835" w:type="dxa"/>
            <w:shd w:val="clear" w:color="auto" w:fill="FFFFFF"/>
          </w:tcPr>
          <w:p w14:paraId="2BA0331A" w14:textId="77777777" w:rsidR="00366397" w:rsidRPr="008A2236" w:rsidRDefault="00366397" w:rsidP="00944B42">
            <w:pPr>
              <w:pStyle w:val="TableText"/>
              <w:spacing w:before="40" w:after="40"/>
            </w:pPr>
            <w:r w:rsidRPr="008A2236">
              <w:rPr>
                <w:rFonts w:eastAsia="Calibri"/>
              </w:rPr>
              <w:t>The ERT recommends that New Zealand report disaggregated information for the two subcategories of post-1989 natural forest and post-1989 plantations.</w:t>
            </w:r>
          </w:p>
        </w:tc>
        <w:tc>
          <w:tcPr>
            <w:tcW w:w="2835" w:type="dxa"/>
            <w:shd w:val="clear" w:color="auto" w:fill="FFFFFF"/>
            <w:vAlign w:val="center"/>
          </w:tcPr>
          <w:p w14:paraId="3BD54396" w14:textId="77777777" w:rsidR="00366397" w:rsidRPr="008A2236" w:rsidRDefault="00366397" w:rsidP="00944B42">
            <w:pPr>
              <w:pStyle w:val="TableText"/>
              <w:spacing w:before="40" w:after="40"/>
            </w:pPr>
            <w:r w:rsidRPr="008A2236">
              <w:rPr>
                <w:rFonts w:eastAsia="Calibri"/>
                <w:b/>
              </w:rPr>
              <w:t>Resolved.</w:t>
            </w:r>
            <w:r w:rsidRPr="008A2236">
              <w:rPr>
                <w:rFonts w:eastAsia="Calibri"/>
              </w:rPr>
              <w:t xml:space="preserve"> The post-1989 forest category</w:t>
            </w:r>
            <w:r>
              <w:rPr>
                <w:rFonts w:eastAsia="Calibri"/>
              </w:rPr>
              <w:t xml:space="preserve"> was</w:t>
            </w:r>
            <w:r w:rsidRPr="008A2236">
              <w:rPr>
                <w:rFonts w:eastAsia="Calibri"/>
              </w:rPr>
              <w:t xml:space="preserve"> disaggregated into post-1989 planted forest and post-1989 natural forest for the 2021 submission. Note that this disaggregation is also reported in CRF table 4.A.</w:t>
            </w:r>
          </w:p>
        </w:tc>
      </w:tr>
      <w:tr w:rsidR="00366397" w:rsidRPr="008A2236" w14:paraId="31108005" w14:textId="77777777" w:rsidTr="00B027A0">
        <w:tc>
          <w:tcPr>
            <w:tcW w:w="1758" w:type="dxa"/>
            <w:shd w:val="clear" w:color="auto" w:fill="FFFFFF"/>
            <w:vAlign w:val="center"/>
          </w:tcPr>
          <w:p w14:paraId="20BCBD21" w14:textId="77777777" w:rsidR="00366397" w:rsidRPr="008A2236" w:rsidRDefault="00366397" w:rsidP="00944B42">
            <w:pPr>
              <w:pStyle w:val="TableText"/>
              <w:spacing w:before="40" w:after="40"/>
            </w:pPr>
            <w:r w:rsidRPr="008A2236">
              <w:rPr>
                <w:rFonts w:eastAsia="Calibri"/>
              </w:rPr>
              <w:t xml:space="preserve">LULUCF – 4.B.1 Cropland remaining cropland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vAlign w:val="center"/>
          </w:tcPr>
          <w:p w14:paraId="03B05BCE" w14:textId="77777777" w:rsidR="00366397" w:rsidRPr="008A2236" w:rsidRDefault="00366397" w:rsidP="00944B42">
            <w:pPr>
              <w:pStyle w:val="TableText"/>
              <w:spacing w:before="40" w:after="40"/>
            </w:pPr>
            <w:r w:rsidRPr="008A2236">
              <w:rPr>
                <w:rFonts w:eastAsia="Calibri"/>
              </w:rPr>
              <w:t>L.21, 2019</w:t>
            </w:r>
          </w:p>
        </w:tc>
        <w:tc>
          <w:tcPr>
            <w:tcW w:w="2835" w:type="dxa"/>
            <w:shd w:val="clear" w:color="auto" w:fill="FFFFFF"/>
          </w:tcPr>
          <w:p w14:paraId="1FBEA5E2" w14:textId="77777777" w:rsidR="00366397" w:rsidRPr="008A2236" w:rsidRDefault="00366397" w:rsidP="00944B42">
            <w:pPr>
              <w:pStyle w:val="TableText"/>
              <w:spacing w:before="40" w:after="40"/>
            </w:pPr>
            <w:r w:rsidRPr="008A2236">
              <w:rPr>
                <w:rFonts w:eastAsia="Calibri"/>
              </w:rPr>
              <w:t>The ERT recommends that New Zealand identify the main subdivisions for its perennial cropland on the basis of the harvesting cycle and the biomass carbon stock at the end of the harvesting cycle, and build an age-class distribution for each subdivision, estimate and report annual biomass carbon stock gains and losses accordingly and report the estimation and all additional information in the NIR.</w:t>
            </w:r>
          </w:p>
        </w:tc>
        <w:tc>
          <w:tcPr>
            <w:tcW w:w="2835" w:type="dxa"/>
            <w:shd w:val="clear" w:color="auto" w:fill="FFFFFF"/>
            <w:vAlign w:val="center"/>
          </w:tcPr>
          <w:p w14:paraId="6FEEA3D8" w14:textId="77777777" w:rsidR="00366397" w:rsidRPr="008A2236" w:rsidRDefault="00366397" w:rsidP="00944B42">
            <w:pPr>
              <w:pStyle w:val="TableText"/>
              <w:spacing w:before="40" w:after="40"/>
            </w:pPr>
            <w:r w:rsidRPr="008A2236">
              <w:rPr>
                <w:rFonts w:eastAsia="Calibri"/>
                <w:b/>
              </w:rPr>
              <w:t>Not resolved.</w:t>
            </w:r>
            <w:r w:rsidRPr="008A2236">
              <w:rPr>
                <w:rFonts w:eastAsia="Calibri"/>
              </w:rPr>
              <w:t xml:space="preserve"> Emissions in </w:t>
            </w:r>
            <w:r w:rsidRPr="008A2236">
              <w:rPr>
                <w:rFonts w:eastAsia="Calibri"/>
                <w:i/>
                <w:iCs/>
              </w:rPr>
              <w:t>Cropland remaining cropland</w:t>
            </w:r>
            <w:r w:rsidRPr="008A2236">
              <w:rPr>
                <w:rFonts w:eastAsia="Calibri"/>
              </w:rPr>
              <w:t xml:space="preserve"> are low relative to other categories such as </w:t>
            </w:r>
            <w:r w:rsidRPr="008A2236">
              <w:rPr>
                <w:rFonts w:eastAsia="Calibri"/>
                <w:i/>
                <w:iCs/>
              </w:rPr>
              <w:t>Forest land</w:t>
            </w:r>
            <w:r w:rsidRPr="008A2236">
              <w:rPr>
                <w:rFonts w:eastAsia="Calibri"/>
              </w:rPr>
              <w:t xml:space="preserve"> </w:t>
            </w:r>
            <w:r>
              <w:rPr>
                <w:rFonts w:eastAsia="Calibri"/>
              </w:rPr>
              <w:t>and</w:t>
            </w:r>
            <w:r w:rsidRPr="008A2236">
              <w:rPr>
                <w:rFonts w:eastAsia="Calibri"/>
              </w:rPr>
              <w:t xml:space="preserve"> </w:t>
            </w:r>
            <w:r w:rsidRPr="008A2236">
              <w:rPr>
                <w:rFonts w:eastAsia="Calibri"/>
                <w:i/>
                <w:iCs/>
              </w:rPr>
              <w:t>Harvested wood products</w:t>
            </w:r>
            <w:r w:rsidRPr="008A2236">
              <w:rPr>
                <w:rFonts w:eastAsia="Calibri"/>
              </w:rPr>
              <w:t>. Therefore, research in this category is given a lower priority and funding is unable to be directed to this at the present time.</w:t>
            </w:r>
          </w:p>
        </w:tc>
      </w:tr>
      <w:tr w:rsidR="00366397" w:rsidRPr="008A2236" w14:paraId="3058FC04" w14:textId="77777777" w:rsidTr="00B027A0">
        <w:tc>
          <w:tcPr>
            <w:tcW w:w="1758" w:type="dxa"/>
            <w:shd w:val="clear" w:color="auto" w:fill="FFFFFF"/>
            <w:vAlign w:val="center"/>
          </w:tcPr>
          <w:p w14:paraId="610BFEAE" w14:textId="77777777" w:rsidR="00366397" w:rsidRPr="008A2236" w:rsidRDefault="00366397" w:rsidP="00944B42">
            <w:pPr>
              <w:pStyle w:val="TableText"/>
              <w:spacing w:before="40" w:after="40"/>
            </w:pPr>
            <w:r w:rsidRPr="008A2236">
              <w:rPr>
                <w:rFonts w:eastAsia="Calibri"/>
              </w:rPr>
              <w:t xml:space="preserve">LULUCF – 4.B.1 Cropland remaining cropland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vAlign w:val="center"/>
          </w:tcPr>
          <w:p w14:paraId="24364243" w14:textId="77777777" w:rsidR="00366397" w:rsidRPr="008A2236" w:rsidRDefault="00366397" w:rsidP="00944B42">
            <w:pPr>
              <w:pStyle w:val="TableText"/>
              <w:spacing w:before="40" w:after="40"/>
            </w:pPr>
            <w:r w:rsidRPr="008A2236">
              <w:rPr>
                <w:rFonts w:eastAsia="Calibri"/>
              </w:rPr>
              <w:t>L.22, 2019</w:t>
            </w:r>
          </w:p>
        </w:tc>
        <w:tc>
          <w:tcPr>
            <w:tcW w:w="2835" w:type="dxa"/>
            <w:shd w:val="clear" w:color="auto" w:fill="FFFFFF"/>
          </w:tcPr>
          <w:p w14:paraId="5098D124" w14:textId="77777777" w:rsidR="00366397" w:rsidRPr="008A2236" w:rsidRDefault="00366397" w:rsidP="00944B42">
            <w:pPr>
              <w:pStyle w:val="TableText"/>
              <w:spacing w:before="40" w:after="40"/>
            </w:pPr>
            <w:r w:rsidRPr="008A2236">
              <w:rPr>
                <w:rFonts w:eastAsia="Calibri"/>
              </w:rPr>
              <w:t>The ERT recommends that New Zealand plan the activities needed to collect data and prepare estimates of SOC changes in cropland associated with changes in management practices.</w:t>
            </w:r>
          </w:p>
        </w:tc>
        <w:tc>
          <w:tcPr>
            <w:tcW w:w="2835" w:type="dxa"/>
            <w:shd w:val="clear" w:color="auto" w:fill="FFFFFF"/>
            <w:vAlign w:val="center"/>
          </w:tcPr>
          <w:p w14:paraId="119C32E3" w14:textId="77777777" w:rsidR="00366397" w:rsidRPr="008A2236" w:rsidRDefault="00366397" w:rsidP="00944B42">
            <w:pPr>
              <w:pStyle w:val="TableText"/>
              <w:spacing w:before="40" w:after="40"/>
            </w:pPr>
            <w:r w:rsidRPr="008A2236">
              <w:rPr>
                <w:rFonts w:eastAsia="Calibri"/>
                <w:b/>
              </w:rPr>
              <w:t>Addressing.</w:t>
            </w:r>
            <w:r w:rsidRPr="008A2236">
              <w:rPr>
                <w:rFonts w:eastAsia="Calibri"/>
              </w:rPr>
              <w:t xml:space="preserve"> A longitudinal agricultural land soils study is under way. The study is expected to show the impact of management practices on soil carbon. The study is being carried out over 12 years, so data are not expected to be available for a number of years.</w:t>
            </w:r>
          </w:p>
        </w:tc>
      </w:tr>
      <w:tr w:rsidR="00366397" w:rsidRPr="008A2236" w14:paraId="13631090" w14:textId="77777777" w:rsidTr="00B027A0">
        <w:tc>
          <w:tcPr>
            <w:tcW w:w="1758" w:type="dxa"/>
            <w:shd w:val="clear" w:color="auto" w:fill="FFFFFF"/>
            <w:vAlign w:val="center"/>
          </w:tcPr>
          <w:p w14:paraId="60C8FF37" w14:textId="77777777" w:rsidR="00366397" w:rsidRPr="008A2236" w:rsidRDefault="00366397" w:rsidP="00944B42">
            <w:pPr>
              <w:pStyle w:val="TableText"/>
              <w:spacing w:before="40" w:after="40"/>
            </w:pPr>
            <w:r w:rsidRPr="008A2236">
              <w:rPr>
                <w:rFonts w:eastAsia="Calibri"/>
              </w:rPr>
              <w:t xml:space="preserve">LULUCF – 4.C.2 Land converted to grassland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vAlign w:val="center"/>
          </w:tcPr>
          <w:p w14:paraId="19F3D20D" w14:textId="77777777" w:rsidR="00366397" w:rsidRPr="008A2236" w:rsidRDefault="00366397" w:rsidP="00944B42">
            <w:pPr>
              <w:pStyle w:val="TableText"/>
              <w:spacing w:before="40" w:after="40"/>
            </w:pPr>
            <w:r w:rsidRPr="008A2236">
              <w:rPr>
                <w:rFonts w:eastAsia="Calibri"/>
              </w:rPr>
              <w:t>L.23, 2019</w:t>
            </w:r>
          </w:p>
        </w:tc>
        <w:tc>
          <w:tcPr>
            <w:tcW w:w="2835" w:type="dxa"/>
            <w:shd w:val="clear" w:color="auto" w:fill="FFFFFF"/>
          </w:tcPr>
          <w:p w14:paraId="39CDF3DF" w14:textId="77777777" w:rsidR="00366397" w:rsidRPr="008A2236" w:rsidRDefault="00366397" w:rsidP="00944B42">
            <w:pPr>
              <w:pStyle w:val="TableText"/>
              <w:spacing w:before="40" w:after="40"/>
            </w:pPr>
            <w:r w:rsidRPr="008A2236">
              <w:rPr>
                <w:rFonts w:eastAsia="Calibri"/>
              </w:rPr>
              <w:t>The ERT recommends that New Zealand use ‘NE’ for biomass carbon stock losses in wetlands converted to grassland, providing relevant references to the 2006 IPCC Guidelines for justification, or revise its methodology by assigning a biomass carbon stock value to wetlands before conversion, in particular for the subcategory vegetated wetlands.</w:t>
            </w:r>
          </w:p>
        </w:tc>
        <w:tc>
          <w:tcPr>
            <w:tcW w:w="2835" w:type="dxa"/>
            <w:shd w:val="clear" w:color="auto" w:fill="FFFFFF"/>
            <w:vAlign w:val="center"/>
          </w:tcPr>
          <w:p w14:paraId="2D117FDD" w14:textId="77777777" w:rsidR="00366397" w:rsidRPr="008A2236" w:rsidRDefault="00366397" w:rsidP="00944B42">
            <w:pPr>
              <w:pStyle w:val="TableText"/>
              <w:spacing w:before="40" w:after="40"/>
            </w:pPr>
            <w:r w:rsidRPr="008A2236">
              <w:rPr>
                <w:rFonts w:eastAsia="Calibri"/>
                <w:b/>
              </w:rPr>
              <w:t>Resolved.</w:t>
            </w:r>
            <w:r w:rsidRPr="008A2236">
              <w:rPr>
                <w:rFonts w:eastAsia="Calibri"/>
              </w:rPr>
              <w:t xml:space="preserve"> New Zealand applies Tier 1 methods for estimating CO</w:t>
            </w:r>
            <w:r w:rsidRPr="008A2236">
              <w:rPr>
                <w:rFonts w:eastAsia="Calibri"/>
                <w:vertAlign w:val="subscript"/>
              </w:rPr>
              <w:t>2</w:t>
            </w:r>
            <w:r w:rsidRPr="008A2236">
              <w:rPr>
                <w:rFonts w:eastAsia="Calibri"/>
              </w:rPr>
              <w:t xml:space="preserve"> emissions in </w:t>
            </w:r>
            <w:r w:rsidRPr="00334B01">
              <w:rPr>
                <w:rFonts w:eastAsia="Calibri"/>
                <w:i/>
                <w:iCs/>
              </w:rPr>
              <w:t>Wetlands remaining wetlands</w:t>
            </w:r>
            <w:r w:rsidRPr="008A2236">
              <w:rPr>
                <w:rFonts w:eastAsia="Calibri"/>
              </w:rPr>
              <w:t xml:space="preserve"> (following the guidance in section 7.1 of the 2006 IPCC Guidelines (IPCC</w:t>
            </w:r>
            <w:r>
              <w:rPr>
                <w:rFonts w:eastAsia="Calibri"/>
              </w:rPr>
              <w:t>,</w:t>
            </w:r>
            <w:r w:rsidRPr="008A2236">
              <w:rPr>
                <w:rFonts w:eastAsia="Calibri"/>
              </w:rPr>
              <w:t xml:space="preserve"> 2006</w:t>
            </w:r>
            <w:r>
              <w:rPr>
                <w:rFonts w:eastAsia="Calibri"/>
              </w:rPr>
              <w:t>b</w:t>
            </w:r>
            <w:r w:rsidRPr="008A2236">
              <w:rPr>
                <w:rFonts w:eastAsia="Calibri"/>
              </w:rPr>
              <w:t>)). There is no default value provided in the guidance for above</w:t>
            </w:r>
            <w:r>
              <w:rPr>
                <w:rFonts w:eastAsia="Calibri"/>
              </w:rPr>
              <w:t>-</w:t>
            </w:r>
            <w:r w:rsidRPr="008A2236">
              <w:rPr>
                <w:rFonts w:eastAsia="Calibri"/>
              </w:rPr>
              <w:t xml:space="preserve">ground biomass or dead organic matter for this category (see </w:t>
            </w:r>
            <w:r>
              <w:rPr>
                <w:rFonts w:eastAsia="Calibri"/>
              </w:rPr>
              <w:t xml:space="preserve">chapter 6, </w:t>
            </w:r>
            <w:r w:rsidRPr="008A2236">
              <w:rPr>
                <w:rFonts w:eastAsia="Calibri"/>
              </w:rPr>
              <w:t>section 6.7.2). New Zealand has insufficient data to apply a country</w:t>
            </w:r>
            <w:r>
              <w:rPr>
                <w:rFonts w:eastAsia="Calibri"/>
              </w:rPr>
              <w:t>-</w:t>
            </w:r>
            <w:r w:rsidRPr="008A2236">
              <w:rPr>
                <w:rFonts w:eastAsia="Calibri"/>
              </w:rPr>
              <w:t>specific value for these carbon pools. Therefore, New Zealand has not prepared estimates for change in living biomass or dead organic matter for this category and reports the notation key NE in CRF table 4.C.2.3.i for this category.</w:t>
            </w:r>
          </w:p>
        </w:tc>
      </w:tr>
      <w:tr w:rsidR="00366397" w:rsidRPr="008A2236" w14:paraId="4774B7D2" w14:textId="77777777" w:rsidTr="00B027A0">
        <w:tc>
          <w:tcPr>
            <w:tcW w:w="1758" w:type="dxa"/>
            <w:shd w:val="clear" w:color="auto" w:fill="FFFFFF"/>
            <w:vAlign w:val="center"/>
          </w:tcPr>
          <w:p w14:paraId="5A7F1E88" w14:textId="77777777" w:rsidR="00366397" w:rsidRPr="008A2236" w:rsidRDefault="00366397" w:rsidP="00944B42">
            <w:pPr>
              <w:pStyle w:val="TableText"/>
              <w:spacing w:before="40" w:after="40"/>
            </w:pPr>
            <w:r w:rsidRPr="008A2236">
              <w:rPr>
                <w:rFonts w:eastAsia="Calibri"/>
              </w:rPr>
              <w:t xml:space="preserve">LULUCF – 4.D Wetlands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vAlign w:val="center"/>
          </w:tcPr>
          <w:p w14:paraId="59C3266A" w14:textId="77777777" w:rsidR="00366397" w:rsidRPr="008A2236" w:rsidRDefault="00366397" w:rsidP="00944B42">
            <w:pPr>
              <w:pStyle w:val="TableText"/>
              <w:spacing w:before="40" w:after="40"/>
            </w:pPr>
            <w:r w:rsidRPr="008A2236">
              <w:rPr>
                <w:rFonts w:eastAsia="Calibri"/>
              </w:rPr>
              <w:t>L.24, 2019</w:t>
            </w:r>
          </w:p>
        </w:tc>
        <w:tc>
          <w:tcPr>
            <w:tcW w:w="2835" w:type="dxa"/>
            <w:shd w:val="clear" w:color="auto" w:fill="FFFFFF"/>
          </w:tcPr>
          <w:p w14:paraId="2EA596A3" w14:textId="77777777" w:rsidR="00366397" w:rsidRPr="008A2236" w:rsidRDefault="00366397" w:rsidP="00944B42">
            <w:pPr>
              <w:pStyle w:val="TableText"/>
              <w:spacing w:before="40" w:after="40"/>
            </w:pPr>
            <w:r w:rsidRPr="008A2236">
              <w:rPr>
                <w:rFonts w:eastAsia="Calibri"/>
              </w:rPr>
              <w:t>The ERT recommends that New Zealand revise the biomass carbon stock of vegetated wetlands using data available in literature (e.g. Morrisey et al., 2010).</w:t>
            </w:r>
          </w:p>
        </w:tc>
        <w:tc>
          <w:tcPr>
            <w:tcW w:w="2835" w:type="dxa"/>
            <w:shd w:val="clear" w:color="auto" w:fill="FFFFFF"/>
            <w:vAlign w:val="center"/>
          </w:tcPr>
          <w:p w14:paraId="2190B4CC" w14:textId="77777777" w:rsidR="00366397" w:rsidRPr="008A2236" w:rsidRDefault="00366397" w:rsidP="00944B42">
            <w:pPr>
              <w:pStyle w:val="TableText"/>
              <w:spacing w:before="40" w:after="40"/>
            </w:pPr>
            <w:r w:rsidRPr="008A2236">
              <w:rPr>
                <w:rFonts w:eastAsia="Calibri"/>
                <w:b/>
              </w:rPr>
              <w:t>Resolved.</w:t>
            </w:r>
            <w:r w:rsidRPr="008A2236">
              <w:rPr>
                <w:rFonts w:eastAsia="Calibri"/>
              </w:rPr>
              <w:t xml:space="preserve"> According to the UNFCCC Reporting Guidelines for Annex I Parties (Decision 24/CP.19, paragraph 4), Annex I Parties are encouraged to apply the </w:t>
            </w:r>
            <w:r w:rsidRPr="006D54E1">
              <w:rPr>
                <w:rFonts w:eastAsia="Calibri"/>
                <w:i/>
                <w:iCs/>
              </w:rPr>
              <w:t>Wetlands</w:t>
            </w:r>
            <w:r w:rsidRPr="008A2236">
              <w:rPr>
                <w:rFonts w:eastAsia="Calibri"/>
              </w:rPr>
              <w:t xml:space="preserve"> supplement, but this is not mandatory. Application of the </w:t>
            </w:r>
            <w:r w:rsidRPr="006D54E1">
              <w:rPr>
                <w:rFonts w:eastAsia="Calibri"/>
                <w:i/>
                <w:iCs/>
              </w:rPr>
              <w:t>Wetlands</w:t>
            </w:r>
            <w:r w:rsidRPr="008A2236">
              <w:rPr>
                <w:rFonts w:eastAsia="Calibri"/>
              </w:rPr>
              <w:t xml:space="preserve"> supplement is optional. New Zealand has elected not to apply the </w:t>
            </w:r>
            <w:r w:rsidRPr="006D54E1">
              <w:rPr>
                <w:rFonts w:eastAsia="Calibri"/>
                <w:i/>
                <w:iCs/>
              </w:rPr>
              <w:t>Wetlands</w:t>
            </w:r>
            <w:r w:rsidRPr="008A2236">
              <w:rPr>
                <w:rFonts w:eastAsia="Calibri"/>
              </w:rPr>
              <w:t xml:space="preserve"> supplement and has not used the </w:t>
            </w:r>
            <w:r>
              <w:rPr>
                <w:rFonts w:eastAsia="Calibri"/>
              </w:rPr>
              <w:t>emission factors</w:t>
            </w:r>
            <w:r w:rsidRPr="008A2236">
              <w:rPr>
                <w:rFonts w:eastAsia="Calibri"/>
              </w:rPr>
              <w:t xml:space="preserve"> and parameters from the </w:t>
            </w:r>
            <w:r w:rsidRPr="006D54E1">
              <w:rPr>
                <w:rFonts w:eastAsia="Calibri"/>
                <w:i/>
                <w:iCs/>
              </w:rPr>
              <w:t>Wetlands</w:t>
            </w:r>
            <w:r w:rsidRPr="008A2236">
              <w:rPr>
                <w:rFonts w:eastAsia="Calibri"/>
              </w:rPr>
              <w:t xml:space="preserve"> supplement. New Zealand follows the 2006 IPCC Guidelines</w:t>
            </w:r>
            <w:r>
              <w:rPr>
                <w:rFonts w:eastAsia="Calibri"/>
              </w:rPr>
              <w:t xml:space="preserve"> (IPCC, 2006b)</w:t>
            </w:r>
            <w:r w:rsidRPr="008A2236">
              <w:rPr>
                <w:rFonts w:eastAsia="Calibri"/>
              </w:rPr>
              <w:t xml:space="preserve"> for this category, which do not provide the default values for above-ground biomass for vegetated wetlands.</w:t>
            </w:r>
          </w:p>
        </w:tc>
      </w:tr>
      <w:tr w:rsidR="00366397" w:rsidRPr="008A2236" w14:paraId="46C0C518" w14:textId="77777777" w:rsidTr="00B027A0">
        <w:tc>
          <w:tcPr>
            <w:tcW w:w="1758" w:type="dxa"/>
            <w:shd w:val="clear" w:color="auto" w:fill="FFFFFF"/>
            <w:vAlign w:val="center"/>
          </w:tcPr>
          <w:p w14:paraId="63BCD897" w14:textId="77777777" w:rsidR="00366397" w:rsidRPr="008A2236" w:rsidRDefault="00366397" w:rsidP="001B1E5D">
            <w:pPr>
              <w:pStyle w:val="TableText"/>
              <w:keepNext/>
              <w:spacing w:before="40" w:after="40"/>
            </w:pPr>
            <w:r w:rsidRPr="008A2236">
              <w:rPr>
                <w:rFonts w:eastAsia="Calibri"/>
              </w:rPr>
              <w:lastRenderedPageBreak/>
              <w:t>LULUCF – 4.F Other land – all GHGs</w:t>
            </w:r>
          </w:p>
        </w:tc>
        <w:tc>
          <w:tcPr>
            <w:tcW w:w="907" w:type="dxa"/>
            <w:shd w:val="clear" w:color="auto" w:fill="FFFFFF"/>
            <w:vAlign w:val="center"/>
          </w:tcPr>
          <w:p w14:paraId="5ECE08DF" w14:textId="77777777" w:rsidR="00366397" w:rsidRPr="008A2236" w:rsidRDefault="00366397" w:rsidP="001B1E5D">
            <w:pPr>
              <w:pStyle w:val="TableText"/>
              <w:spacing w:before="40" w:after="40"/>
            </w:pPr>
            <w:r w:rsidRPr="008A2236">
              <w:rPr>
                <w:rFonts w:eastAsia="Calibri"/>
              </w:rPr>
              <w:t>L.27, 2019</w:t>
            </w:r>
          </w:p>
        </w:tc>
        <w:tc>
          <w:tcPr>
            <w:tcW w:w="2835" w:type="dxa"/>
            <w:shd w:val="clear" w:color="auto" w:fill="FFFFFF"/>
          </w:tcPr>
          <w:p w14:paraId="2137420F" w14:textId="77777777" w:rsidR="00366397" w:rsidRPr="008A2236" w:rsidRDefault="00366397" w:rsidP="001B1E5D">
            <w:pPr>
              <w:pStyle w:val="TableText"/>
              <w:spacing w:before="40" w:after="40"/>
            </w:pPr>
            <w:r w:rsidRPr="008A2236">
              <w:rPr>
                <w:rFonts w:eastAsia="Calibri"/>
              </w:rPr>
              <w:t>The ERT recommends that New Zealand reclassify all other land with significant SOC content under the most appropriate land-use category and recalculate its land representation and SOC changes for the revised area of conversion to and from other land.</w:t>
            </w:r>
          </w:p>
        </w:tc>
        <w:tc>
          <w:tcPr>
            <w:tcW w:w="2835" w:type="dxa"/>
            <w:shd w:val="clear" w:color="auto" w:fill="FFFFFF"/>
            <w:vAlign w:val="center"/>
          </w:tcPr>
          <w:p w14:paraId="5FEDF444" w14:textId="77777777" w:rsidR="00366397" w:rsidRPr="008A2236" w:rsidRDefault="00366397" w:rsidP="001B1E5D">
            <w:pPr>
              <w:pStyle w:val="TableText"/>
              <w:spacing w:before="40" w:after="40"/>
            </w:pPr>
            <w:r w:rsidRPr="008A2236">
              <w:rPr>
                <w:rFonts w:eastAsia="Calibri"/>
                <w:b/>
              </w:rPr>
              <w:t>Resolved.</w:t>
            </w:r>
            <w:r w:rsidRPr="008A2236">
              <w:rPr>
                <w:rFonts w:eastAsia="Calibri"/>
              </w:rPr>
              <w:t xml:space="preserve"> In line with the 2006 IPCC Guidelines</w:t>
            </w:r>
            <w:r>
              <w:rPr>
                <w:rFonts w:eastAsia="Calibri"/>
              </w:rPr>
              <w:t xml:space="preserve"> (IPCC, 2006b)</w:t>
            </w:r>
            <w:r w:rsidRPr="008A2236">
              <w:rPr>
                <w:rFonts w:eastAsia="Calibri"/>
              </w:rPr>
              <w:t xml:space="preserve">, land use classifications are applied using a hierarchical approach, with </w:t>
            </w:r>
            <w:r w:rsidRPr="0024076D">
              <w:rPr>
                <w:rFonts w:eastAsia="Calibri"/>
                <w:i/>
                <w:iCs/>
              </w:rPr>
              <w:t>Other land</w:t>
            </w:r>
            <w:r w:rsidRPr="008A2236">
              <w:rPr>
                <w:rFonts w:eastAsia="Calibri"/>
              </w:rPr>
              <w:t xml:space="preserve"> at the bottom of the hierarchy. In </w:t>
            </w:r>
            <w:r w:rsidRPr="0024076D">
              <w:rPr>
                <w:rFonts w:eastAsia="Calibri"/>
                <w:i/>
                <w:iCs/>
              </w:rPr>
              <w:t>Other land</w:t>
            </w:r>
            <w:r w:rsidRPr="008A2236">
              <w:rPr>
                <w:rFonts w:eastAsia="Calibri"/>
              </w:rPr>
              <w:t xml:space="preserve">, the definition includes “any other remaining land that does not fall into any of the other land use categories”. It is therefore possible that </w:t>
            </w:r>
            <w:r w:rsidRPr="0024076D">
              <w:rPr>
                <w:rFonts w:eastAsia="Calibri"/>
                <w:i/>
                <w:iCs/>
              </w:rPr>
              <w:t>Other land</w:t>
            </w:r>
            <w:r w:rsidRPr="008A2236">
              <w:rPr>
                <w:rFonts w:eastAsia="Calibri"/>
              </w:rPr>
              <w:t xml:space="preserve"> may have SOC that is greater than zero.</w:t>
            </w:r>
          </w:p>
        </w:tc>
      </w:tr>
      <w:tr w:rsidR="00366397" w:rsidRPr="008A2236" w14:paraId="482F1E4F" w14:textId="77777777" w:rsidTr="00B027A0">
        <w:tc>
          <w:tcPr>
            <w:tcW w:w="1758" w:type="dxa"/>
            <w:shd w:val="clear" w:color="auto" w:fill="FFFFFF"/>
            <w:vAlign w:val="center"/>
          </w:tcPr>
          <w:p w14:paraId="6C56153D" w14:textId="77777777" w:rsidR="00366397" w:rsidRPr="008A2236" w:rsidRDefault="00366397" w:rsidP="001B1E5D">
            <w:pPr>
              <w:pStyle w:val="TableText"/>
              <w:spacing w:before="40" w:after="40"/>
            </w:pPr>
            <w:r w:rsidRPr="008A2236">
              <w:rPr>
                <w:rFonts w:eastAsia="Calibri"/>
              </w:rPr>
              <w:t xml:space="preserve">LULUCF – 4.F.2 Land converted to other land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vAlign w:val="center"/>
          </w:tcPr>
          <w:p w14:paraId="3D79B81A" w14:textId="77777777" w:rsidR="00366397" w:rsidRPr="008A2236" w:rsidRDefault="00366397" w:rsidP="001B1E5D">
            <w:pPr>
              <w:pStyle w:val="TableText"/>
              <w:spacing w:before="40" w:after="40"/>
            </w:pPr>
            <w:r w:rsidRPr="008A2236">
              <w:rPr>
                <w:rFonts w:eastAsia="Calibri"/>
              </w:rPr>
              <w:t>L.28, 2019</w:t>
            </w:r>
          </w:p>
        </w:tc>
        <w:tc>
          <w:tcPr>
            <w:tcW w:w="2835" w:type="dxa"/>
            <w:shd w:val="clear" w:color="auto" w:fill="FFFFFF"/>
          </w:tcPr>
          <w:p w14:paraId="01988980" w14:textId="77777777" w:rsidR="00366397" w:rsidRPr="008A2236" w:rsidRDefault="00366397" w:rsidP="001B1E5D">
            <w:pPr>
              <w:pStyle w:val="TableText"/>
              <w:spacing w:before="40" w:after="40"/>
            </w:pPr>
            <w:r w:rsidRPr="008A2236">
              <w:rPr>
                <w:rFonts w:eastAsia="Calibri"/>
              </w:rPr>
              <w:t>The ERT recommends that New Zealand verify the occurrence of the conversion of land with organic soils to other land and encourages it to report a complete loss of SOC in any land with organic soils converted to other land. If the Party does not report SOC losses in organic soils converted to other land, the ERT recommends that it use ‘NA’.</w:t>
            </w:r>
          </w:p>
        </w:tc>
        <w:tc>
          <w:tcPr>
            <w:tcW w:w="2835" w:type="dxa"/>
            <w:shd w:val="clear" w:color="auto" w:fill="FFFFFF"/>
            <w:vAlign w:val="center"/>
          </w:tcPr>
          <w:p w14:paraId="53DFB4FD" w14:textId="77777777" w:rsidR="00366397" w:rsidRPr="008A2236" w:rsidRDefault="00366397" w:rsidP="001B1E5D">
            <w:pPr>
              <w:pStyle w:val="TableText"/>
              <w:spacing w:before="40" w:after="40"/>
            </w:pPr>
            <w:r w:rsidRPr="008A2236">
              <w:rPr>
                <w:rFonts w:eastAsia="Calibri"/>
                <w:b/>
              </w:rPr>
              <w:t>Addressing.</w:t>
            </w:r>
            <w:r w:rsidRPr="008A2236">
              <w:rPr>
                <w:rFonts w:eastAsia="Calibri"/>
              </w:rPr>
              <w:t xml:space="preserve"> The 1990 classification of </w:t>
            </w:r>
            <w:r w:rsidRPr="008A2236">
              <w:rPr>
                <w:rFonts w:eastAsia="Calibri"/>
                <w:i/>
              </w:rPr>
              <w:t>Other land</w:t>
            </w:r>
            <w:r w:rsidRPr="008A2236">
              <w:rPr>
                <w:rFonts w:eastAsia="Calibri"/>
              </w:rPr>
              <w:t xml:space="preserve"> is a scheduled improved activity. See </w:t>
            </w:r>
            <w:r>
              <w:rPr>
                <w:rFonts w:eastAsia="Calibri"/>
              </w:rPr>
              <w:t xml:space="preserve">chapter 6, </w:t>
            </w:r>
            <w:r w:rsidRPr="008A2236">
              <w:rPr>
                <w:rFonts w:eastAsia="Calibri"/>
              </w:rPr>
              <w:t>section 6.8.6 for further information.</w:t>
            </w:r>
          </w:p>
        </w:tc>
      </w:tr>
      <w:tr w:rsidR="00366397" w:rsidRPr="008A2236" w14:paraId="6A836ADE" w14:textId="77777777" w:rsidTr="001B1E5D">
        <w:tc>
          <w:tcPr>
            <w:tcW w:w="1758" w:type="dxa"/>
            <w:shd w:val="clear" w:color="auto" w:fill="FFFFFF"/>
            <w:vAlign w:val="center"/>
          </w:tcPr>
          <w:p w14:paraId="52AA9E2E" w14:textId="5B125A76" w:rsidR="00366397" w:rsidRPr="008A2236" w:rsidRDefault="00366397" w:rsidP="001B1E5D">
            <w:pPr>
              <w:pStyle w:val="TableText"/>
              <w:spacing w:before="40" w:after="40"/>
            </w:pPr>
            <w:r w:rsidRPr="008A2236">
              <w:rPr>
                <w:rFonts w:eastAsia="Calibri"/>
              </w:rPr>
              <w:t xml:space="preserve">LULUCF – 4(II) Emissions and removals from drainage and rewetting and other management of organic/mineral </w:t>
            </w:r>
            <w:r w:rsidR="001B1E5D">
              <w:rPr>
                <w:rFonts w:eastAsia="Calibri"/>
              </w:rPr>
              <w:br/>
            </w:r>
            <w:r w:rsidRPr="008A2236">
              <w:rPr>
                <w:rFonts w:eastAsia="Calibri"/>
              </w:rPr>
              <w:t>soils – N</w:t>
            </w:r>
            <w:r w:rsidRPr="008A2236">
              <w:rPr>
                <w:rFonts w:eastAsia="Calibri"/>
                <w:vertAlign w:val="subscript"/>
              </w:rPr>
              <w:t>2</w:t>
            </w:r>
            <w:r w:rsidRPr="008A2236">
              <w:rPr>
                <w:rFonts w:eastAsia="Calibri"/>
              </w:rPr>
              <w:t>O</w:t>
            </w:r>
          </w:p>
        </w:tc>
        <w:tc>
          <w:tcPr>
            <w:tcW w:w="907" w:type="dxa"/>
            <w:shd w:val="clear" w:color="auto" w:fill="FFFFFF"/>
            <w:vAlign w:val="center"/>
          </w:tcPr>
          <w:p w14:paraId="7683309C" w14:textId="77777777" w:rsidR="00366397" w:rsidRPr="008A2236" w:rsidRDefault="00366397" w:rsidP="001B1E5D">
            <w:pPr>
              <w:pStyle w:val="TableText"/>
              <w:spacing w:before="40" w:after="40"/>
            </w:pPr>
            <w:r w:rsidRPr="008A2236">
              <w:rPr>
                <w:rFonts w:eastAsia="Calibri"/>
              </w:rPr>
              <w:t>L.29, 2019</w:t>
            </w:r>
          </w:p>
        </w:tc>
        <w:tc>
          <w:tcPr>
            <w:tcW w:w="2835" w:type="dxa"/>
            <w:shd w:val="clear" w:color="auto" w:fill="FFFFFF"/>
          </w:tcPr>
          <w:p w14:paraId="21ECD213" w14:textId="77777777" w:rsidR="00366397" w:rsidRPr="008A2236" w:rsidRDefault="00366397" w:rsidP="001B1E5D">
            <w:pPr>
              <w:pStyle w:val="TableText"/>
              <w:spacing w:before="40" w:after="40"/>
            </w:pPr>
            <w:r w:rsidRPr="008A2236">
              <w:rPr>
                <w:rFonts w:eastAsia="Calibri"/>
              </w:rPr>
              <w:t>The ERT recommends that New Zealand report N</w:t>
            </w:r>
            <w:r w:rsidRPr="008A2236">
              <w:rPr>
                <w:rFonts w:eastAsia="Calibri"/>
                <w:vertAlign w:val="subscript"/>
              </w:rPr>
              <w:t>2</w:t>
            </w:r>
            <w:r w:rsidRPr="008A2236">
              <w:rPr>
                <w:rFonts w:eastAsia="Calibri"/>
              </w:rPr>
              <w:t>O emissions from drainage of non-agricultural organic soils in CRF table 4(II) for each land category for which it reports a SOC loss in organic soils in CRF tables 4.A, 4.D and 4.E.</w:t>
            </w:r>
          </w:p>
        </w:tc>
        <w:tc>
          <w:tcPr>
            <w:tcW w:w="2835" w:type="dxa"/>
            <w:shd w:val="clear" w:color="auto" w:fill="FFFFFF"/>
            <w:tcMar>
              <w:right w:w="57" w:type="dxa"/>
            </w:tcMar>
            <w:vAlign w:val="center"/>
          </w:tcPr>
          <w:p w14:paraId="1543F10E" w14:textId="77777777" w:rsidR="00366397" w:rsidRPr="008A2236" w:rsidRDefault="00366397" w:rsidP="001B1E5D">
            <w:pPr>
              <w:pStyle w:val="TableText"/>
              <w:spacing w:before="40" w:after="40"/>
            </w:pPr>
            <w:r w:rsidRPr="008A2236">
              <w:rPr>
                <w:rFonts w:eastAsia="Calibri"/>
                <w:b/>
              </w:rPr>
              <w:t>Addressing.</w:t>
            </w:r>
            <w:r w:rsidRPr="008A2236">
              <w:rPr>
                <w:rFonts w:eastAsia="Calibri"/>
              </w:rPr>
              <w:t xml:space="preserve"> Emissions from drained organic soils in </w:t>
            </w:r>
            <w:r w:rsidRPr="0024076D">
              <w:rPr>
                <w:rFonts w:eastAsia="Calibri"/>
                <w:i/>
                <w:iCs/>
              </w:rPr>
              <w:t>Forest land</w:t>
            </w:r>
            <w:r w:rsidRPr="008A2236">
              <w:rPr>
                <w:rFonts w:eastAsia="Calibri"/>
              </w:rPr>
              <w:t xml:space="preserve"> have been calculated for this submission (see </w:t>
            </w:r>
            <w:r>
              <w:rPr>
                <w:rFonts w:eastAsia="Calibri"/>
              </w:rPr>
              <w:t xml:space="preserve">chapter 6, </w:t>
            </w:r>
            <w:r w:rsidRPr="008A2236">
              <w:rPr>
                <w:rFonts w:eastAsia="Calibri"/>
              </w:rPr>
              <w:t>section 6.10.2). Note that during the review of the 2021 submission</w:t>
            </w:r>
            <w:r>
              <w:rPr>
                <w:rFonts w:eastAsia="Calibri"/>
              </w:rPr>
              <w:t>,</w:t>
            </w:r>
            <w:r w:rsidRPr="008A2236">
              <w:rPr>
                <w:rFonts w:eastAsia="Calibri"/>
              </w:rPr>
              <w:t xml:space="preserve"> the ERT acknowledged that there is no default method in the IPCC 2006 </w:t>
            </w:r>
            <w:r>
              <w:rPr>
                <w:rFonts w:eastAsia="Calibri"/>
              </w:rPr>
              <w:t>G</w:t>
            </w:r>
            <w:r w:rsidRPr="008A2236">
              <w:rPr>
                <w:rFonts w:eastAsia="Calibri"/>
              </w:rPr>
              <w:t xml:space="preserve">uidelines </w:t>
            </w:r>
            <w:r>
              <w:rPr>
                <w:rFonts w:eastAsia="Calibri"/>
              </w:rPr>
              <w:t xml:space="preserve">(IPCC, 2006b) </w:t>
            </w:r>
            <w:r w:rsidRPr="008A2236">
              <w:rPr>
                <w:rFonts w:eastAsia="Calibri"/>
              </w:rPr>
              <w:t xml:space="preserve">that can be applied to </w:t>
            </w:r>
            <w:r w:rsidRPr="008A2236">
              <w:rPr>
                <w:rFonts w:eastAsia="Calibri"/>
                <w:i/>
              </w:rPr>
              <w:t>Wetlands</w:t>
            </w:r>
            <w:r w:rsidRPr="008A2236">
              <w:rPr>
                <w:rFonts w:eastAsia="Calibri"/>
              </w:rPr>
              <w:t xml:space="preserve"> or </w:t>
            </w:r>
            <w:r w:rsidRPr="008A2236">
              <w:rPr>
                <w:rFonts w:eastAsia="Calibri"/>
                <w:i/>
              </w:rPr>
              <w:t>Settlements</w:t>
            </w:r>
            <w:r w:rsidRPr="008A2236">
              <w:rPr>
                <w:rFonts w:eastAsia="Calibri"/>
              </w:rPr>
              <w:t xml:space="preserve">. However, the ERT suggested that because New Zealand considers that most of its </w:t>
            </w:r>
            <w:r w:rsidRPr="008A2236">
              <w:rPr>
                <w:rFonts w:eastAsia="Calibri"/>
                <w:i/>
              </w:rPr>
              <w:t>Settlement</w:t>
            </w:r>
            <w:r>
              <w:rPr>
                <w:rFonts w:eastAsia="Calibri"/>
                <w:i/>
              </w:rPr>
              <w:t>s</w:t>
            </w:r>
            <w:r w:rsidRPr="008A2236">
              <w:rPr>
                <w:rFonts w:eastAsia="Calibri"/>
              </w:rPr>
              <w:t xml:space="preserve"> area can be assimilated to </w:t>
            </w:r>
            <w:r w:rsidRPr="008A2236">
              <w:rPr>
                <w:rFonts w:eastAsia="Calibri"/>
                <w:i/>
              </w:rPr>
              <w:t>Grassland</w:t>
            </w:r>
            <w:r w:rsidRPr="008A2236">
              <w:rPr>
                <w:rFonts w:eastAsia="Calibri"/>
              </w:rPr>
              <w:t xml:space="preserve"> when it comes to soil carbon</w:t>
            </w:r>
            <w:r>
              <w:rPr>
                <w:rFonts w:eastAsia="Calibri"/>
              </w:rPr>
              <w:t>,</w:t>
            </w:r>
            <w:r w:rsidRPr="008A2236">
              <w:rPr>
                <w:rFonts w:eastAsia="Calibri"/>
              </w:rPr>
              <w:t xml:space="preserve"> the emission factors for </w:t>
            </w:r>
            <w:r w:rsidRPr="008A2236">
              <w:rPr>
                <w:rFonts w:eastAsia="Calibri"/>
                <w:i/>
              </w:rPr>
              <w:t>Grassland</w:t>
            </w:r>
            <w:r w:rsidRPr="008A2236">
              <w:rPr>
                <w:rFonts w:eastAsia="Calibri"/>
              </w:rPr>
              <w:t xml:space="preserve"> should be applied to </w:t>
            </w:r>
            <w:r w:rsidRPr="008A2236">
              <w:rPr>
                <w:rFonts w:eastAsia="Calibri"/>
                <w:i/>
              </w:rPr>
              <w:t>Settlements</w:t>
            </w:r>
            <w:r w:rsidRPr="008A2236">
              <w:rPr>
                <w:rFonts w:eastAsia="Calibri"/>
              </w:rPr>
              <w:t>. For this submission</w:t>
            </w:r>
            <w:r>
              <w:rPr>
                <w:rFonts w:eastAsia="Calibri"/>
              </w:rPr>
              <w:t>,</w:t>
            </w:r>
            <w:r w:rsidRPr="008A2236">
              <w:rPr>
                <w:rFonts w:eastAsia="Calibri"/>
              </w:rPr>
              <w:t xml:space="preserve"> these emissions have been calculated but not included in the CRF or emissions totals. </w:t>
            </w:r>
            <w:r>
              <w:rPr>
                <w:rFonts w:eastAsia="Calibri"/>
              </w:rPr>
              <w:t>For more</w:t>
            </w:r>
            <w:r w:rsidRPr="008A2236">
              <w:rPr>
                <w:rFonts w:eastAsia="Calibri"/>
              </w:rPr>
              <w:t xml:space="preserve"> information</w:t>
            </w:r>
            <w:r>
              <w:rPr>
                <w:rFonts w:eastAsia="Calibri"/>
              </w:rPr>
              <w:t>, see chapter 6,</w:t>
            </w:r>
            <w:r w:rsidRPr="008A2236">
              <w:rPr>
                <w:rFonts w:eastAsia="Calibri"/>
              </w:rPr>
              <w:t xml:space="preserve"> section 6.7.6.</w:t>
            </w:r>
          </w:p>
        </w:tc>
      </w:tr>
      <w:tr w:rsidR="00366397" w:rsidRPr="008A2236" w14:paraId="32E1FEB5" w14:textId="77777777" w:rsidTr="00B027A0">
        <w:tc>
          <w:tcPr>
            <w:tcW w:w="1758" w:type="dxa"/>
            <w:shd w:val="clear" w:color="auto" w:fill="FFFFFF"/>
            <w:vAlign w:val="center"/>
          </w:tcPr>
          <w:p w14:paraId="4EA7BD1C" w14:textId="77777777" w:rsidR="00366397" w:rsidRPr="008A2236" w:rsidRDefault="00366397" w:rsidP="001B1E5D">
            <w:pPr>
              <w:pStyle w:val="TableText"/>
              <w:spacing w:before="40" w:after="40"/>
            </w:pPr>
            <w:r w:rsidRPr="008A2236">
              <w:rPr>
                <w:rFonts w:eastAsia="Calibri"/>
              </w:rPr>
              <w:t>LULUCF – 4(III) Direct N</w:t>
            </w:r>
            <w:r w:rsidRPr="008A2236">
              <w:rPr>
                <w:rFonts w:eastAsia="Calibri"/>
                <w:vertAlign w:val="subscript"/>
              </w:rPr>
              <w:t>2</w:t>
            </w:r>
            <w:r w:rsidRPr="008A2236">
              <w:rPr>
                <w:rFonts w:eastAsia="Calibri"/>
              </w:rPr>
              <w:t>O emissions from N minerali</w:t>
            </w:r>
            <w:r>
              <w:rPr>
                <w:rFonts w:eastAsia="Calibri"/>
              </w:rPr>
              <w:t>s</w:t>
            </w:r>
            <w:r w:rsidRPr="008A2236">
              <w:rPr>
                <w:rFonts w:eastAsia="Calibri"/>
              </w:rPr>
              <w:t>ation or immobili</w:t>
            </w:r>
            <w:r>
              <w:rPr>
                <w:rFonts w:eastAsia="Calibri"/>
              </w:rPr>
              <w:t>s</w:t>
            </w:r>
            <w:r w:rsidRPr="008A2236">
              <w:rPr>
                <w:rFonts w:eastAsia="Calibri"/>
              </w:rPr>
              <w:t xml:space="preserve">ation </w:t>
            </w:r>
            <w:r>
              <w:rPr>
                <w:rFonts w:eastAsia="Calibri"/>
              </w:rPr>
              <w:t>–</w:t>
            </w:r>
            <w:r w:rsidRPr="008A2236">
              <w:rPr>
                <w:rFonts w:eastAsia="Calibri"/>
              </w:rPr>
              <w:t xml:space="preserve"> N</w:t>
            </w:r>
            <w:r w:rsidRPr="008A2236">
              <w:rPr>
                <w:rFonts w:eastAsia="Calibri"/>
                <w:vertAlign w:val="subscript"/>
              </w:rPr>
              <w:t>2</w:t>
            </w:r>
            <w:r w:rsidRPr="008A2236">
              <w:rPr>
                <w:rFonts w:eastAsia="Calibri"/>
              </w:rPr>
              <w:t>O</w:t>
            </w:r>
          </w:p>
        </w:tc>
        <w:tc>
          <w:tcPr>
            <w:tcW w:w="907" w:type="dxa"/>
            <w:shd w:val="clear" w:color="auto" w:fill="FFFFFF"/>
            <w:vAlign w:val="center"/>
          </w:tcPr>
          <w:p w14:paraId="140EBBAF" w14:textId="77777777" w:rsidR="00366397" w:rsidRPr="008A2236" w:rsidRDefault="00366397" w:rsidP="001B1E5D">
            <w:pPr>
              <w:pStyle w:val="TableText"/>
              <w:spacing w:before="40" w:after="40"/>
            </w:pPr>
            <w:r w:rsidRPr="008A2236">
              <w:rPr>
                <w:rFonts w:eastAsia="Calibri"/>
              </w:rPr>
              <w:t>L.30, 2019</w:t>
            </w:r>
          </w:p>
        </w:tc>
        <w:tc>
          <w:tcPr>
            <w:tcW w:w="2835" w:type="dxa"/>
            <w:shd w:val="clear" w:color="auto" w:fill="FFFFFF"/>
          </w:tcPr>
          <w:p w14:paraId="1442DA41" w14:textId="77777777" w:rsidR="00366397" w:rsidRPr="008A2236" w:rsidRDefault="00366397" w:rsidP="001B1E5D">
            <w:pPr>
              <w:pStyle w:val="TableText"/>
              <w:spacing w:before="40" w:after="40"/>
            </w:pPr>
            <w:r w:rsidRPr="008A2236">
              <w:rPr>
                <w:rFonts w:eastAsia="Calibri"/>
              </w:rPr>
              <w:t>The ERT recommends that New Zealand revise the information reported in CRF table 4(III), ensuring that the area of each category reported corresponds to the area of the category where a SOC loss, resulting from a change of land use or management, actually occurred.</w:t>
            </w:r>
          </w:p>
        </w:tc>
        <w:tc>
          <w:tcPr>
            <w:tcW w:w="2835" w:type="dxa"/>
            <w:shd w:val="clear" w:color="auto" w:fill="FFFFFF"/>
            <w:vAlign w:val="center"/>
          </w:tcPr>
          <w:p w14:paraId="63BBB37F" w14:textId="77777777" w:rsidR="00366397" w:rsidRPr="008A2236" w:rsidRDefault="00366397" w:rsidP="001B1E5D">
            <w:pPr>
              <w:pStyle w:val="TableText"/>
              <w:spacing w:before="40" w:after="40"/>
            </w:pPr>
            <w:r w:rsidRPr="008A2236">
              <w:rPr>
                <w:rFonts w:eastAsia="Calibri"/>
                <w:b/>
              </w:rPr>
              <w:t>Resolved.</w:t>
            </w:r>
            <w:r w:rsidRPr="008A2236">
              <w:rPr>
                <w:rFonts w:eastAsia="Calibri"/>
              </w:rPr>
              <w:t xml:space="preserve"> The area of each category reported in CRF table 4(III) has been revised.</w:t>
            </w:r>
          </w:p>
        </w:tc>
      </w:tr>
      <w:tr w:rsidR="00366397" w:rsidRPr="008A2236" w14:paraId="375C0752" w14:textId="77777777" w:rsidTr="00B027A0">
        <w:tc>
          <w:tcPr>
            <w:tcW w:w="1758" w:type="dxa"/>
            <w:shd w:val="clear" w:color="auto" w:fill="FFFFFF"/>
            <w:vAlign w:val="center"/>
          </w:tcPr>
          <w:p w14:paraId="22F52AFD" w14:textId="77777777" w:rsidR="00366397" w:rsidRPr="008A2236" w:rsidRDefault="00366397" w:rsidP="001B1E5D">
            <w:pPr>
              <w:pStyle w:val="TableText"/>
              <w:spacing w:before="40" w:after="40"/>
            </w:pPr>
            <w:r w:rsidRPr="008A2236">
              <w:rPr>
                <w:rFonts w:eastAsia="Calibri"/>
              </w:rPr>
              <w:t>LULUCF – 4(IV) Indirect N</w:t>
            </w:r>
            <w:r w:rsidRPr="008A2236">
              <w:rPr>
                <w:rFonts w:eastAsia="Calibri"/>
                <w:vertAlign w:val="subscript"/>
              </w:rPr>
              <w:t>2</w:t>
            </w:r>
            <w:r w:rsidRPr="008A2236">
              <w:rPr>
                <w:rFonts w:eastAsia="Calibri"/>
              </w:rPr>
              <w:t xml:space="preserve">O emissions from managed soils </w:t>
            </w:r>
            <w:r>
              <w:rPr>
                <w:rFonts w:eastAsia="Calibri"/>
              </w:rPr>
              <w:t>–</w:t>
            </w:r>
            <w:r w:rsidRPr="008A2236">
              <w:rPr>
                <w:rFonts w:eastAsia="Calibri"/>
              </w:rPr>
              <w:t xml:space="preserve"> N</w:t>
            </w:r>
            <w:r w:rsidRPr="008A2236">
              <w:rPr>
                <w:rFonts w:eastAsia="Calibri"/>
                <w:vertAlign w:val="subscript"/>
              </w:rPr>
              <w:t>2</w:t>
            </w:r>
            <w:r w:rsidRPr="008A2236">
              <w:rPr>
                <w:rFonts w:eastAsia="Calibri"/>
              </w:rPr>
              <w:t>O</w:t>
            </w:r>
          </w:p>
        </w:tc>
        <w:tc>
          <w:tcPr>
            <w:tcW w:w="907" w:type="dxa"/>
            <w:shd w:val="clear" w:color="auto" w:fill="FFFFFF"/>
            <w:vAlign w:val="center"/>
          </w:tcPr>
          <w:p w14:paraId="327EFF75" w14:textId="77777777" w:rsidR="00366397" w:rsidRPr="008A2236" w:rsidRDefault="00366397" w:rsidP="001B1E5D">
            <w:pPr>
              <w:pStyle w:val="TableText"/>
              <w:spacing w:before="40" w:after="40"/>
            </w:pPr>
            <w:r w:rsidRPr="008A2236">
              <w:rPr>
                <w:rFonts w:eastAsia="Calibri"/>
              </w:rPr>
              <w:t>L.31, 2019</w:t>
            </w:r>
          </w:p>
        </w:tc>
        <w:tc>
          <w:tcPr>
            <w:tcW w:w="2835" w:type="dxa"/>
            <w:shd w:val="clear" w:color="auto" w:fill="FFFFFF"/>
          </w:tcPr>
          <w:p w14:paraId="4D1AF349" w14:textId="77777777" w:rsidR="00366397" w:rsidRPr="008A2236" w:rsidRDefault="00366397" w:rsidP="001B1E5D">
            <w:pPr>
              <w:pStyle w:val="TableText"/>
              <w:spacing w:before="40" w:after="40"/>
            </w:pPr>
            <w:r w:rsidRPr="008A2236">
              <w:rPr>
                <w:rFonts w:eastAsia="Calibri"/>
              </w:rPr>
              <w:t>The ERT recommends that New Zealand report indirect N</w:t>
            </w:r>
            <w:r w:rsidRPr="008A2236">
              <w:rPr>
                <w:rFonts w:eastAsia="Calibri"/>
                <w:vertAlign w:val="subscript"/>
              </w:rPr>
              <w:t>2</w:t>
            </w:r>
            <w:r w:rsidRPr="008A2236">
              <w:rPr>
                <w:rFonts w:eastAsia="Calibri"/>
              </w:rPr>
              <w:t>O emissions from leaching and run-off of N mineralization associated with SOC losses in mineral soils in CRF table 4(IV).</w:t>
            </w:r>
          </w:p>
        </w:tc>
        <w:tc>
          <w:tcPr>
            <w:tcW w:w="2835" w:type="dxa"/>
            <w:shd w:val="clear" w:color="auto" w:fill="FFFFFF"/>
            <w:vAlign w:val="center"/>
          </w:tcPr>
          <w:p w14:paraId="1DF411CF" w14:textId="77777777" w:rsidR="00366397" w:rsidRPr="008A2236" w:rsidRDefault="00366397" w:rsidP="001B1E5D">
            <w:pPr>
              <w:pStyle w:val="TableText"/>
              <w:spacing w:before="40" w:after="40"/>
            </w:pPr>
            <w:r w:rsidRPr="008A2236">
              <w:rPr>
                <w:rFonts w:eastAsia="Calibri"/>
                <w:b/>
              </w:rPr>
              <w:t>Resolved.</w:t>
            </w:r>
            <w:r w:rsidRPr="008A2236">
              <w:rPr>
                <w:rFonts w:eastAsia="Calibri"/>
              </w:rPr>
              <w:t xml:space="preserve"> Indirect N</w:t>
            </w:r>
            <w:r w:rsidRPr="008A2236">
              <w:rPr>
                <w:rFonts w:eastAsia="Calibri"/>
                <w:vertAlign w:val="subscript"/>
              </w:rPr>
              <w:t>2</w:t>
            </w:r>
            <w:r w:rsidRPr="008A2236">
              <w:rPr>
                <w:rFonts w:eastAsia="Calibri"/>
              </w:rPr>
              <w:t xml:space="preserve">O emissions from leaching and runoff for all land use categories other than </w:t>
            </w:r>
            <w:r w:rsidRPr="008A2236">
              <w:rPr>
                <w:rFonts w:eastAsia="Calibri"/>
                <w:i/>
              </w:rPr>
              <w:t>Cropland remaining cropland</w:t>
            </w:r>
            <w:r w:rsidRPr="008A2236">
              <w:rPr>
                <w:rFonts w:eastAsia="Calibri"/>
              </w:rPr>
              <w:t xml:space="preserve"> are now reported </w:t>
            </w:r>
            <w:r>
              <w:rPr>
                <w:rFonts w:eastAsia="Calibri"/>
              </w:rPr>
              <w:t>under</w:t>
            </w:r>
            <w:r w:rsidRPr="008A2236">
              <w:rPr>
                <w:rFonts w:eastAsia="Calibri"/>
              </w:rPr>
              <w:t xml:space="preserve"> the LULUCF sector. See CRF table 4(IV) and </w:t>
            </w:r>
            <w:r>
              <w:rPr>
                <w:rFonts w:eastAsia="Calibri"/>
              </w:rPr>
              <w:t xml:space="preserve">chapter 6, </w:t>
            </w:r>
            <w:r w:rsidRPr="008A2236">
              <w:rPr>
                <w:rFonts w:eastAsia="Calibri"/>
              </w:rPr>
              <w:t>section 6.10.4.</w:t>
            </w:r>
          </w:p>
        </w:tc>
      </w:tr>
      <w:tr w:rsidR="00366397" w:rsidRPr="008A2236" w14:paraId="1E0BFB29" w14:textId="77777777" w:rsidTr="001B1E5D">
        <w:tc>
          <w:tcPr>
            <w:tcW w:w="1758" w:type="dxa"/>
            <w:shd w:val="clear" w:color="auto" w:fill="FFFFFF"/>
            <w:vAlign w:val="center"/>
          </w:tcPr>
          <w:p w14:paraId="60919573" w14:textId="77777777" w:rsidR="00366397" w:rsidRPr="008A2236" w:rsidRDefault="00366397" w:rsidP="001B1E5D">
            <w:pPr>
              <w:pStyle w:val="TableText"/>
              <w:spacing w:before="40" w:after="40"/>
            </w:pPr>
            <w:r w:rsidRPr="008A2236">
              <w:rPr>
                <w:rFonts w:eastAsia="Calibri"/>
              </w:rPr>
              <w:t xml:space="preserve">Waste – 5. General (waste) </w:t>
            </w:r>
            <w:r>
              <w:rPr>
                <w:rFonts w:eastAsia="Calibri"/>
              </w:rPr>
              <w:t>–</w:t>
            </w:r>
            <w:r w:rsidRPr="008A2236">
              <w:rPr>
                <w:rFonts w:eastAsia="Calibri"/>
              </w:rPr>
              <w:t xml:space="preserve"> CO</w:t>
            </w:r>
            <w:r w:rsidRPr="008A2236">
              <w:rPr>
                <w:rFonts w:eastAsia="Calibri"/>
                <w:vertAlign w:val="subscript"/>
              </w:rPr>
              <w:t>2</w:t>
            </w:r>
            <w:r w:rsidRPr="008A2236">
              <w:rPr>
                <w:rFonts w:eastAsia="Calibri"/>
              </w:rPr>
              <w:t>,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tcMar>
              <w:right w:w="57" w:type="dxa"/>
            </w:tcMar>
            <w:vAlign w:val="center"/>
          </w:tcPr>
          <w:p w14:paraId="4C1F539D" w14:textId="77777777" w:rsidR="00366397" w:rsidRPr="008A2236" w:rsidRDefault="00366397" w:rsidP="001B1E5D">
            <w:pPr>
              <w:pStyle w:val="TableText"/>
              <w:spacing w:before="40" w:after="40"/>
            </w:pPr>
            <w:r w:rsidRPr="008A2236">
              <w:rPr>
                <w:rFonts w:eastAsia="Calibri"/>
              </w:rPr>
              <w:t>W.17, 2019</w:t>
            </w:r>
          </w:p>
        </w:tc>
        <w:tc>
          <w:tcPr>
            <w:tcW w:w="2835" w:type="dxa"/>
            <w:shd w:val="clear" w:color="auto" w:fill="FFFFFF"/>
          </w:tcPr>
          <w:p w14:paraId="68D78B05" w14:textId="77777777" w:rsidR="00366397" w:rsidRPr="008A2236" w:rsidRDefault="00366397" w:rsidP="001B1E5D">
            <w:pPr>
              <w:pStyle w:val="TableText"/>
              <w:spacing w:before="40" w:after="40"/>
            </w:pPr>
            <w:r w:rsidRPr="008A2236">
              <w:rPr>
                <w:rFonts w:eastAsia="Calibri"/>
              </w:rPr>
              <w:t>The ERT recommends that New Zealand include more information on current waste management, such as an overview of municipal solid waste generation and its treatment method (recycling, composting, incineration or disposal) in section 7.1.1 of the NIR, and its impact on the composition of waste disposed of at landfills. The ERT also recommends that the Party consider whether the potential changes in the composition of landfilled waste are appropriately reflected in the estimated emissions for category 5.A and if not, that the Party recalculate the emissions and explain those recalculations in the NIR.</w:t>
            </w:r>
          </w:p>
        </w:tc>
        <w:tc>
          <w:tcPr>
            <w:tcW w:w="2835" w:type="dxa"/>
            <w:shd w:val="clear" w:color="auto" w:fill="FFFFFF"/>
            <w:vAlign w:val="center"/>
          </w:tcPr>
          <w:p w14:paraId="2FFD289E" w14:textId="77777777" w:rsidR="00366397" w:rsidRPr="008A2236" w:rsidRDefault="00366397" w:rsidP="001B1E5D">
            <w:pPr>
              <w:pStyle w:val="TableText"/>
              <w:spacing w:before="40" w:after="40"/>
            </w:pPr>
            <w:r w:rsidRPr="008A2236">
              <w:rPr>
                <w:rFonts w:eastAsia="Calibri"/>
                <w:b/>
              </w:rPr>
              <w:t>Resolved.</w:t>
            </w:r>
            <w:r w:rsidRPr="008A2236">
              <w:rPr>
                <w:rFonts w:eastAsia="Calibri"/>
              </w:rPr>
              <w:t xml:space="preserve"> Figure 7.1.1 was added to chapter 7 to show key waste generation sources and disposal pathways. Further, average waste composition for municipal landfills has been collected for 2018 that accounts for changing waste disposal practices for compostable materials (see chapter</w:t>
            </w:r>
            <w:r>
              <w:rPr>
                <w:rFonts w:eastAsia="Calibri"/>
              </w:rPr>
              <w:t> </w:t>
            </w:r>
            <w:r w:rsidRPr="008A2236">
              <w:rPr>
                <w:rFonts w:eastAsia="Calibri"/>
              </w:rPr>
              <w:t>7, table 7.2.5).</w:t>
            </w:r>
          </w:p>
        </w:tc>
      </w:tr>
      <w:tr w:rsidR="00366397" w:rsidRPr="008A2236" w14:paraId="171ED18E" w14:textId="77777777" w:rsidTr="00B027A0">
        <w:tc>
          <w:tcPr>
            <w:tcW w:w="1758" w:type="dxa"/>
            <w:shd w:val="clear" w:color="auto" w:fill="FFFFFF"/>
            <w:vAlign w:val="center"/>
          </w:tcPr>
          <w:p w14:paraId="4CAF0B7E" w14:textId="77777777" w:rsidR="00366397" w:rsidRPr="008A2236" w:rsidRDefault="00366397" w:rsidP="0030211F">
            <w:pPr>
              <w:pStyle w:val="TableText"/>
            </w:pPr>
            <w:r w:rsidRPr="008A2236">
              <w:rPr>
                <w:rFonts w:eastAsia="Calibri"/>
              </w:rPr>
              <w:lastRenderedPageBreak/>
              <w:t xml:space="preserve">Waste – 5.A Solid waste disposal on land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vAlign w:val="center"/>
          </w:tcPr>
          <w:p w14:paraId="7258B211" w14:textId="77777777" w:rsidR="00366397" w:rsidRPr="008A2236" w:rsidRDefault="00366397" w:rsidP="0030211F">
            <w:pPr>
              <w:pStyle w:val="TableText"/>
            </w:pPr>
            <w:r w:rsidRPr="008A2236">
              <w:rPr>
                <w:rFonts w:eastAsia="Calibri"/>
              </w:rPr>
              <w:t>W.18, 2019</w:t>
            </w:r>
          </w:p>
        </w:tc>
        <w:tc>
          <w:tcPr>
            <w:tcW w:w="2835" w:type="dxa"/>
            <w:shd w:val="clear" w:color="auto" w:fill="FFFFFF"/>
          </w:tcPr>
          <w:p w14:paraId="4FB43973" w14:textId="32C8523A" w:rsidR="00366397" w:rsidRPr="008A2236" w:rsidRDefault="00366397" w:rsidP="0030211F">
            <w:pPr>
              <w:pStyle w:val="TableText"/>
            </w:pPr>
            <w:r w:rsidRPr="008A2236">
              <w:rPr>
                <w:rFonts w:eastAsia="Calibri"/>
              </w:rPr>
              <w:t>The ERT recommends that New Zealand correct the value for carbon storage for managed landfills without landfill gas</w:t>
            </w:r>
            <w:r w:rsidR="001B1E5D">
              <w:rPr>
                <w:rFonts w:eastAsia="Calibri"/>
              </w:rPr>
              <w:t xml:space="preserve"> </w:t>
            </w:r>
            <w:r w:rsidRPr="008A2236">
              <w:rPr>
                <w:rFonts w:eastAsia="Calibri"/>
              </w:rPr>
              <w:t>capture.</w:t>
            </w:r>
          </w:p>
        </w:tc>
        <w:tc>
          <w:tcPr>
            <w:tcW w:w="2835" w:type="dxa"/>
            <w:shd w:val="clear" w:color="auto" w:fill="FFFFFF"/>
            <w:vAlign w:val="center"/>
          </w:tcPr>
          <w:p w14:paraId="500CD39B" w14:textId="77777777" w:rsidR="00366397" w:rsidRPr="008A2236" w:rsidRDefault="00366397" w:rsidP="0030211F">
            <w:pPr>
              <w:pStyle w:val="TableText"/>
            </w:pPr>
            <w:r w:rsidRPr="008A2236">
              <w:rPr>
                <w:rFonts w:eastAsia="Calibri"/>
                <w:b/>
              </w:rPr>
              <w:t>Resolved.</w:t>
            </w:r>
            <w:r w:rsidRPr="008A2236">
              <w:rPr>
                <w:rFonts w:eastAsia="Calibri"/>
              </w:rPr>
              <w:t xml:space="preserve"> This was corrected in CRF table 5.F.1 in the 2020 submission and </w:t>
            </w:r>
            <w:r>
              <w:rPr>
                <w:rFonts w:eastAsia="Calibri"/>
              </w:rPr>
              <w:t>was</w:t>
            </w:r>
            <w:r w:rsidRPr="008A2236">
              <w:rPr>
                <w:rFonts w:eastAsia="Calibri"/>
              </w:rPr>
              <w:t xml:space="preserve"> subsequently revised for the 2021 submission.</w:t>
            </w:r>
          </w:p>
        </w:tc>
      </w:tr>
      <w:tr w:rsidR="00366397" w:rsidRPr="008A2236" w14:paraId="3F834436" w14:textId="77777777" w:rsidTr="00B027A0">
        <w:tc>
          <w:tcPr>
            <w:tcW w:w="1758" w:type="dxa"/>
            <w:shd w:val="clear" w:color="auto" w:fill="FFFFFF"/>
            <w:vAlign w:val="center"/>
          </w:tcPr>
          <w:p w14:paraId="1459EBD0" w14:textId="77777777" w:rsidR="00366397" w:rsidRPr="008A2236" w:rsidRDefault="00366397" w:rsidP="0030211F">
            <w:pPr>
              <w:pStyle w:val="TableText"/>
            </w:pPr>
            <w:r w:rsidRPr="008A2236">
              <w:rPr>
                <w:rFonts w:eastAsia="Calibri"/>
              </w:rPr>
              <w:t xml:space="preserve">Waste – 5.A Solid waste disposal on land </w:t>
            </w:r>
            <w:r>
              <w:rPr>
                <w:rFonts w:eastAsia="Calibri"/>
              </w:rPr>
              <w:t>–</w:t>
            </w:r>
            <w:r w:rsidRPr="008A2236">
              <w:rPr>
                <w:rFonts w:eastAsia="Calibri"/>
              </w:rPr>
              <w:t xml:space="preserve"> CH</w:t>
            </w:r>
            <w:r w:rsidRPr="008A2236">
              <w:rPr>
                <w:rFonts w:eastAsia="Calibri"/>
                <w:vertAlign w:val="subscript"/>
              </w:rPr>
              <w:t>4</w:t>
            </w:r>
          </w:p>
        </w:tc>
        <w:tc>
          <w:tcPr>
            <w:tcW w:w="907" w:type="dxa"/>
            <w:shd w:val="clear" w:color="auto" w:fill="FFFFFF"/>
            <w:vAlign w:val="center"/>
          </w:tcPr>
          <w:p w14:paraId="58B83904" w14:textId="77777777" w:rsidR="00366397" w:rsidRPr="008A2236" w:rsidRDefault="00366397" w:rsidP="0030211F">
            <w:pPr>
              <w:pStyle w:val="TableText"/>
            </w:pPr>
            <w:r w:rsidRPr="008A2236">
              <w:rPr>
                <w:rFonts w:eastAsia="Calibri"/>
              </w:rPr>
              <w:t>W.19, 2019</w:t>
            </w:r>
          </w:p>
        </w:tc>
        <w:tc>
          <w:tcPr>
            <w:tcW w:w="2835" w:type="dxa"/>
            <w:shd w:val="clear" w:color="auto" w:fill="FFFFFF"/>
          </w:tcPr>
          <w:p w14:paraId="2E703FF9" w14:textId="77777777" w:rsidR="00366397" w:rsidRPr="008A2236" w:rsidRDefault="00366397" w:rsidP="0030211F">
            <w:pPr>
              <w:pStyle w:val="TableText"/>
            </w:pPr>
            <w:r w:rsidRPr="008A2236">
              <w:rPr>
                <w:rFonts w:eastAsia="Calibri"/>
              </w:rPr>
              <w:t>The ERT recommends that New Zealand explain how many landfills are currently reporting under the ETS and how data on CH</w:t>
            </w:r>
            <w:r w:rsidRPr="008A2236">
              <w:rPr>
                <w:rFonts w:eastAsia="Calibri"/>
                <w:vertAlign w:val="subscript"/>
              </w:rPr>
              <w:t>4</w:t>
            </w:r>
            <w:r w:rsidRPr="008A2236">
              <w:rPr>
                <w:rFonts w:eastAsia="Calibri"/>
              </w:rPr>
              <w:t xml:space="preserve"> recovery are estimated and reported for both active and closed landfills with gas recovery.</w:t>
            </w:r>
          </w:p>
        </w:tc>
        <w:tc>
          <w:tcPr>
            <w:tcW w:w="2835" w:type="dxa"/>
            <w:shd w:val="clear" w:color="auto" w:fill="FFFFFF"/>
            <w:vAlign w:val="center"/>
          </w:tcPr>
          <w:p w14:paraId="2352EE0E" w14:textId="77777777" w:rsidR="00366397" w:rsidRPr="008A2236" w:rsidRDefault="00366397" w:rsidP="0030211F">
            <w:pPr>
              <w:pStyle w:val="TableText"/>
            </w:pPr>
            <w:r w:rsidRPr="008A2236">
              <w:rPr>
                <w:rFonts w:eastAsia="Calibri"/>
                <w:b/>
              </w:rPr>
              <w:t>Resolved.</w:t>
            </w:r>
            <w:r w:rsidRPr="008A2236">
              <w:rPr>
                <w:rFonts w:eastAsia="Calibri"/>
              </w:rPr>
              <w:t xml:space="preserve"> Table 7.2.2 in chapter 7 reports the amount of managed landfills for each type.</w:t>
            </w:r>
          </w:p>
        </w:tc>
      </w:tr>
      <w:tr w:rsidR="00366397" w:rsidRPr="008A2236" w14:paraId="156C1443" w14:textId="77777777" w:rsidTr="00B027A0">
        <w:tc>
          <w:tcPr>
            <w:tcW w:w="1758" w:type="dxa"/>
            <w:shd w:val="clear" w:color="auto" w:fill="FFFFFF"/>
            <w:vAlign w:val="center"/>
          </w:tcPr>
          <w:p w14:paraId="29DC9D24" w14:textId="77777777" w:rsidR="00366397" w:rsidRPr="008A2236" w:rsidRDefault="00366397" w:rsidP="0030211F">
            <w:pPr>
              <w:pStyle w:val="TableText"/>
            </w:pPr>
            <w:r w:rsidRPr="008A2236">
              <w:rPr>
                <w:rFonts w:eastAsia="Calibri"/>
              </w:rPr>
              <w:t xml:space="preserve">Waste – 5.A Solid waste disposal on land </w:t>
            </w:r>
            <w:r>
              <w:rPr>
                <w:rFonts w:eastAsia="Calibri"/>
              </w:rPr>
              <w:t>–</w:t>
            </w:r>
            <w:r w:rsidRPr="008A2236">
              <w:rPr>
                <w:rFonts w:eastAsia="Calibri"/>
              </w:rPr>
              <w:t xml:space="preserve"> CH</w:t>
            </w:r>
            <w:r w:rsidRPr="008A2236">
              <w:rPr>
                <w:rFonts w:eastAsia="Calibri"/>
                <w:vertAlign w:val="subscript"/>
              </w:rPr>
              <w:t>4</w:t>
            </w:r>
          </w:p>
        </w:tc>
        <w:tc>
          <w:tcPr>
            <w:tcW w:w="907" w:type="dxa"/>
            <w:shd w:val="clear" w:color="auto" w:fill="FFFFFF"/>
            <w:vAlign w:val="center"/>
          </w:tcPr>
          <w:p w14:paraId="0F853989" w14:textId="77777777" w:rsidR="00366397" w:rsidRPr="008A2236" w:rsidRDefault="00366397" w:rsidP="0030211F">
            <w:pPr>
              <w:pStyle w:val="TableText"/>
            </w:pPr>
            <w:r w:rsidRPr="008A2236">
              <w:rPr>
                <w:rFonts w:eastAsia="Calibri"/>
              </w:rPr>
              <w:t>W.20, 2019</w:t>
            </w:r>
          </w:p>
        </w:tc>
        <w:tc>
          <w:tcPr>
            <w:tcW w:w="2835" w:type="dxa"/>
            <w:shd w:val="clear" w:color="auto" w:fill="FFFFFF"/>
          </w:tcPr>
          <w:p w14:paraId="04FCECE1" w14:textId="77777777" w:rsidR="00366397" w:rsidRPr="008A2236" w:rsidRDefault="00366397" w:rsidP="0030211F">
            <w:pPr>
              <w:pStyle w:val="TableText"/>
            </w:pPr>
            <w:r w:rsidRPr="008A2236">
              <w:rPr>
                <w:rFonts w:eastAsia="Calibri"/>
              </w:rPr>
              <w:t>The ERT recommends that New Zealand include in the NIR further explanation of its specific approach to calculating the gas recovery rate, including the source of the waste composition data, EF and recovery rates, as well as a description of the ETS, providing relevant reference sources.</w:t>
            </w:r>
          </w:p>
        </w:tc>
        <w:tc>
          <w:tcPr>
            <w:tcW w:w="2835" w:type="dxa"/>
            <w:shd w:val="clear" w:color="auto" w:fill="FFFFFF"/>
            <w:vAlign w:val="center"/>
          </w:tcPr>
          <w:p w14:paraId="76181860" w14:textId="77777777" w:rsidR="00366397" w:rsidRPr="008A2236" w:rsidRDefault="00366397" w:rsidP="0030211F">
            <w:pPr>
              <w:pStyle w:val="TableText"/>
            </w:pPr>
            <w:r w:rsidRPr="008A2236">
              <w:rPr>
                <w:rFonts w:eastAsia="Calibri"/>
                <w:b/>
              </w:rPr>
              <w:t>Resolved.</w:t>
            </w:r>
            <w:r w:rsidRPr="008A2236">
              <w:rPr>
                <w:rFonts w:eastAsia="Calibri"/>
              </w:rPr>
              <w:t xml:space="preserve"> </w:t>
            </w:r>
            <w:r>
              <w:rPr>
                <w:rFonts w:eastAsia="Calibri"/>
              </w:rPr>
              <w:t>Chapter 7, s</w:t>
            </w:r>
            <w:r w:rsidRPr="008A2236">
              <w:rPr>
                <w:rFonts w:eastAsia="Calibri"/>
              </w:rPr>
              <w:t xml:space="preserve">ection 7.2.2 </w:t>
            </w:r>
            <w:r>
              <w:rPr>
                <w:rFonts w:eastAsia="Calibri"/>
              </w:rPr>
              <w:t xml:space="preserve">(under </w:t>
            </w:r>
            <w:r w:rsidRPr="008A2236">
              <w:rPr>
                <w:rFonts w:eastAsia="Calibri"/>
              </w:rPr>
              <w:t>Gas recovery</w:t>
            </w:r>
            <w:r>
              <w:rPr>
                <w:rFonts w:eastAsia="Calibri"/>
              </w:rPr>
              <w:t>)</w:t>
            </w:r>
            <w:r w:rsidRPr="008A2236">
              <w:rPr>
                <w:rFonts w:eastAsia="Calibri"/>
              </w:rPr>
              <w:t xml:space="preserve"> explains the revised gas recovery methodology. Waste composition </w:t>
            </w:r>
            <w:r>
              <w:rPr>
                <w:rFonts w:eastAsia="Calibri"/>
              </w:rPr>
              <w:t>data are</w:t>
            </w:r>
            <w:r w:rsidRPr="008A2236">
              <w:rPr>
                <w:rFonts w:eastAsia="Calibri"/>
              </w:rPr>
              <w:t xml:space="preserve"> provided in table 7.2.5 and a summary of parameters is in table 7.2.8.</w:t>
            </w:r>
          </w:p>
        </w:tc>
      </w:tr>
      <w:tr w:rsidR="00366397" w:rsidRPr="008A2236" w14:paraId="321EC1D1" w14:textId="77777777" w:rsidTr="00B027A0">
        <w:tc>
          <w:tcPr>
            <w:tcW w:w="1758" w:type="dxa"/>
            <w:shd w:val="clear" w:color="auto" w:fill="FFFFFF"/>
            <w:vAlign w:val="center"/>
          </w:tcPr>
          <w:p w14:paraId="6E520BB4" w14:textId="77777777" w:rsidR="00366397" w:rsidRPr="008A2236" w:rsidRDefault="00366397" w:rsidP="0030211F">
            <w:pPr>
              <w:pStyle w:val="TableText"/>
            </w:pPr>
            <w:r w:rsidRPr="008A2236">
              <w:rPr>
                <w:rFonts w:eastAsia="Calibri"/>
              </w:rPr>
              <w:t xml:space="preserve">Waste – 5.C.1 Waste incineration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vAlign w:val="center"/>
          </w:tcPr>
          <w:p w14:paraId="5C97EF86" w14:textId="77777777" w:rsidR="00366397" w:rsidRPr="008A2236" w:rsidRDefault="00366397" w:rsidP="0030211F">
            <w:pPr>
              <w:pStyle w:val="TableText"/>
            </w:pPr>
            <w:r w:rsidRPr="008A2236">
              <w:rPr>
                <w:rFonts w:eastAsia="Calibri"/>
              </w:rPr>
              <w:t>W.21, 2019</w:t>
            </w:r>
          </w:p>
        </w:tc>
        <w:tc>
          <w:tcPr>
            <w:tcW w:w="2835" w:type="dxa"/>
            <w:shd w:val="clear" w:color="auto" w:fill="FFFFFF"/>
          </w:tcPr>
          <w:p w14:paraId="4BCCE0B0" w14:textId="77777777" w:rsidR="00366397" w:rsidRPr="008A2236" w:rsidRDefault="00366397" w:rsidP="0030211F">
            <w:pPr>
              <w:pStyle w:val="TableText"/>
            </w:pPr>
            <w:r w:rsidRPr="008A2236">
              <w:rPr>
                <w:rFonts w:eastAsia="Calibri"/>
              </w:rPr>
              <w:t>The ERT recommends that New Zealand further investigate historical data on waste incineration in schools and revise its estimates, if appropriate. The ERT also recommends that the Party include a relevant description on waste incineration in schools in the NIR or revise the NIR text, as appropriate.</w:t>
            </w:r>
          </w:p>
        </w:tc>
        <w:tc>
          <w:tcPr>
            <w:tcW w:w="2835" w:type="dxa"/>
            <w:shd w:val="clear" w:color="auto" w:fill="FFFFFF"/>
            <w:vAlign w:val="center"/>
          </w:tcPr>
          <w:p w14:paraId="0DD4A731" w14:textId="77777777" w:rsidR="00366397" w:rsidRPr="008A2236" w:rsidRDefault="00366397" w:rsidP="0030211F">
            <w:pPr>
              <w:pStyle w:val="TableText"/>
            </w:pPr>
            <w:r w:rsidRPr="008A2236">
              <w:rPr>
                <w:rFonts w:eastAsia="Calibri"/>
                <w:b/>
              </w:rPr>
              <w:t>Addressing.</w:t>
            </w:r>
            <w:r w:rsidRPr="008A2236">
              <w:rPr>
                <w:rFonts w:eastAsia="Calibri"/>
              </w:rPr>
              <w:t xml:space="preserve"> Incineration of waste in some rural schools is not estimated. </w:t>
            </w:r>
            <w:r>
              <w:rPr>
                <w:rFonts w:eastAsia="Calibri"/>
              </w:rPr>
              <w:t>See</w:t>
            </w:r>
            <w:r w:rsidRPr="008A2236">
              <w:rPr>
                <w:rFonts w:eastAsia="Calibri"/>
              </w:rPr>
              <w:t xml:space="preserve"> annex 6, section</w:t>
            </w:r>
            <w:r>
              <w:rPr>
                <w:rFonts w:eastAsia="Calibri"/>
              </w:rPr>
              <w:t> </w:t>
            </w:r>
            <w:r w:rsidRPr="008A2236">
              <w:rPr>
                <w:rFonts w:eastAsia="Calibri"/>
              </w:rPr>
              <w:t>A6.2 for detail.</w:t>
            </w:r>
          </w:p>
        </w:tc>
      </w:tr>
      <w:tr w:rsidR="00366397" w:rsidRPr="008A2236" w14:paraId="4A6D1854" w14:textId="77777777" w:rsidTr="00B027A0">
        <w:tc>
          <w:tcPr>
            <w:tcW w:w="1758" w:type="dxa"/>
            <w:shd w:val="clear" w:color="auto" w:fill="FFFFFF"/>
            <w:vAlign w:val="center"/>
          </w:tcPr>
          <w:p w14:paraId="60FE3F8C" w14:textId="77777777" w:rsidR="00366397" w:rsidRPr="008A2236" w:rsidRDefault="00366397" w:rsidP="0030211F">
            <w:pPr>
              <w:pStyle w:val="TableText"/>
            </w:pPr>
            <w:r w:rsidRPr="008A2236">
              <w:rPr>
                <w:rFonts w:eastAsia="Calibri"/>
              </w:rPr>
              <w:t xml:space="preserve">Waste – 5.D Wastewater treatment and discharge </w:t>
            </w:r>
            <w:r>
              <w:rPr>
                <w:rFonts w:eastAsia="Calibri"/>
              </w:rPr>
              <w:t>–</w:t>
            </w:r>
            <w:r w:rsidRPr="008A2236">
              <w:rPr>
                <w:rFonts w:eastAsia="Calibri"/>
              </w:rPr>
              <w:t xml:space="preserve"> N</w:t>
            </w:r>
            <w:r w:rsidRPr="008A2236">
              <w:rPr>
                <w:rFonts w:eastAsia="Calibri"/>
                <w:vertAlign w:val="subscript"/>
              </w:rPr>
              <w:t>2</w:t>
            </w:r>
            <w:r w:rsidRPr="008A2236">
              <w:rPr>
                <w:rFonts w:eastAsia="Calibri"/>
              </w:rPr>
              <w:t>O</w:t>
            </w:r>
          </w:p>
        </w:tc>
        <w:tc>
          <w:tcPr>
            <w:tcW w:w="907" w:type="dxa"/>
            <w:shd w:val="clear" w:color="auto" w:fill="FFFFFF"/>
            <w:vAlign w:val="center"/>
          </w:tcPr>
          <w:p w14:paraId="14D8C8C9" w14:textId="77777777" w:rsidR="00366397" w:rsidRPr="008A2236" w:rsidRDefault="00366397" w:rsidP="0030211F">
            <w:pPr>
              <w:pStyle w:val="TableText"/>
            </w:pPr>
            <w:r w:rsidRPr="008A2236">
              <w:rPr>
                <w:rFonts w:eastAsia="Calibri"/>
              </w:rPr>
              <w:t>W.22, 2019</w:t>
            </w:r>
          </w:p>
        </w:tc>
        <w:tc>
          <w:tcPr>
            <w:tcW w:w="2835" w:type="dxa"/>
            <w:shd w:val="clear" w:color="auto" w:fill="FFFFFF"/>
          </w:tcPr>
          <w:p w14:paraId="5B9B8236" w14:textId="77777777" w:rsidR="00366397" w:rsidRPr="008A2236" w:rsidRDefault="00366397" w:rsidP="0030211F">
            <w:pPr>
              <w:pStyle w:val="TableText"/>
            </w:pPr>
            <w:r w:rsidRPr="008A2236">
              <w:rPr>
                <w:rFonts w:eastAsia="Calibri"/>
              </w:rPr>
              <w:t>The ERT recommends that New Zealand revise the reporting of N</w:t>
            </w:r>
            <w:r w:rsidRPr="008A2236">
              <w:rPr>
                <w:rFonts w:eastAsia="Calibri"/>
                <w:vertAlign w:val="subscript"/>
              </w:rPr>
              <w:t>2</w:t>
            </w:r>
            <w:r w:rsidRPr="008A2236">
              <w:rPr>
                <w:rFonts w:eastAsia="Calibri"/>
              </w:rPr>
              <w:t>O emissions from industrial wastewater and sewage sludge applied to soils in the agriculture and waste chapters of the NIR and in CRF table 3.D, and explain any recalculation in the NIR.</w:t>
            </w:r>
          </w:p>
        </w:tc>
        <w:tc>
          <w:tcPr>
            <w:tcW w:w="2835" w:type="dxa"/>
            <w:shd w:val="clear" w:color="auto" w:fill="FFFFFF"/>
            <w:vAlign w:val="center"/>
          </w:tcPr>
          <w:p w14:paraId="77DF3E7C" w14:textId="77777777" w:rsidR="00366397" w:rsidRPr="008A2236" w:rsidRDefault="00366397" w:rsidP="0030211F">
            <w:pPr>
              <w:pStyle w:val="TableText"/>
            </w:pPr>
            <w:r w:rsidRPr="008A2236">
              <w:rPr>
                <w:rFonts w:eastAsia="Calibri"/>
                <w:b/>
              </w:rPr>
              <w:t>Not resolved.</w:t>
            </w:r>
            <w:r w:rsidRPr="008A2236">
              <w:rPr>
                <w:rFonts w:eastAsia="Calibri"/>
              </w:rPr>
              <w:t xml:space="preserve"> This will be addressed in a future submission. It has not been prioritised due to the insignificant emissions associated with sludge.</w:t>
            </w:r>
          </w:p>
        </w:tc>
      </w:tr>
      <w:tr w:rsidR="00366397" w:rsidRPr="008A2236" w14:paraId="224CFDE8" w14:textId="77777777" w:rsidTr="00B027A0">
        <w:tc>
          <w:tcPr>
            <w:tcW w:w="1758" w:type="dxa"/>
            <w:shd w:val="clear" w:color="auto" w:fill="FFFFFF"/>
            <w:vAlign w:val="center"/>
          </w:tcPr>
          <w:p w14:paraId="564B1CF7" w14:textId="77777777" w:rsidR="00366397" w:rsidRPr="008A2236" w:rsidRDefault="00366397" w:rsidP="0030211F">
            <w:pPr>
              <w:pStyle w:val="TableText"/>
            </w:pPr>
            <w:r w:rsidRPr="008A2236">
              <w:rPr>
                <w:rFonts w:eastAsia="Calibri"/>
              </w:rPr>
              <w:t xml:space="preserve">Waste – 5.D Wastewater treatment and discharge </w:t>
            </w:r>
            <w:r>
              <w:rPr>
                <w:rFonts w:eastAsia="Calibri"/>
              </w:rPr>
              <w:t>–</w:t>
            </w:r>
            <w:r w:rsidRPr="008A2236">
              <w:rPr>
                <w:rFonts w:eastAsia="Calibri"/>
              </w:rPr>
              <w:t xml:space="preserve">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vAlign w:val="center"/>
          </w:tcPr>
          <w:p w14:paraId="1AA31064" w14:textId="77777777" w:rsidR="00366397" w:rsidRPr="008A2236" w:rsidRDefault="00366397" w:rsidP="0030211F">
            <w:pPr>
              <w:pStyle w:val="TableText"/>
            </w:pPr>
            <w:r w:rsidRPr="008A2236">
              <w:rPr>
                <w:rFonts w:eastAsia="Calibri"/>
              </w:rPr>
              <w:t>W.23, 2019</w:t>
            </w:r>
          </w:p>
        </w:tc>
        <w:tc>
          <w:tcPr>
            <w:tcW w:w="2835" w:type="dxa"/>
            <w:shd w:val="clear" w:color="auto" w:fill="FFFFFF"/>
          </w:tcPr>
          <w:p w14:paraId="7CB88BF0" w14:textId="77777777" w:rsidR="00366397" w:rsidRPr="008A2236" w:rsidRDefault="00366397" w:rsidP="0030211F">
            <w:pPr>
              <w:pStyle w:val="TableText"/>
            </w:pPr>
            <w:r w:rsidRPr="008A2236">
              <w:rPr>
                <w:rFonts w:eastAsia="Calibri"/>
              </w:rPr>
              <w:t>The ERT recommends that New Zealand clarify and report consistent information on the final treatment or disposal for sludge, including incineration and disposal in municipal landfills, review the estimates and explain any recalculation in the NIR.</w:t>
            </w:r>
          </w:p>
        </w:tc>
        <w:tc>
          <w:tcPr>
            <w:tcW w:w="2835" w:type="dxa"/>
            <w:shd w:val="clear" w:color="auto" w:fill="FFFFFF"/>
            <w:vAlign w:val="center"/>
          </w:tcPr>
          <w:p w14:paraId="4EDD7E8E" w14:textId="77777777" w:rsidR="00366397" w:rsidRPr="008A2236" w:rsidRDefault="00366397" w:rsidP="0030211F">
            <w:pPr>
              <w:pStyle w:val="TableText"/>
            </w:pPr>
            <w:r w:rsidRPr="008A2236">
              <w:rPr>
                <w:rFonts w:eastAsia="Calibri"/>
                <w:b/>
              </w:rPr>
              <w:t>Addressing.</w:t>
            </w:r>
            <w:r w:rsidRPr="008A2236">
              <w:rPr>
                <w:rFonts w:eastAsia="Calibri"/>
              </w:rPr>
              <w:t xml:space="preserve"> Volumes of sludge disposed to managed landfills have been updated according to Eunomia (unpublished). Further work will be addressed in a future submission.</w:t>
            </w:r>
          </w:p>
        </w:tc>
      </w:tr>
      <w:tr w:rsidR="00366397" w:rsidRPr="008A2236" w14:paraId="57B512BD" w14:textId="77777777" w:rsidTr="00B027A0">
        <w:tc>
          <w:tcPr>
            <w:tcW w:w="1758" w:type="dxa"/>
            <w:shd w:val="clear" w:color="auto" w:fill="FFFFFF"/>
            <w:vAlign w:val="center"/>
          </w:tcPr>
          <w:p w14:paraId="7EB56B78" w14:textId="77777777" w:rsidR="00366397" w:rsidRPr="008A2236" w:rsidRDefault="00366397" w:rsidP="0030211F">
            <w:pPr>
              <w:pStyle w:val="TableText"/>
            </w:pPr>
            <w:r w:rsidRPr="008A2236">
              <w:rPr>
                <w:rFonts w:eastAsia="Calibri"/>
              </w:rPr>
              <w:t xml:space="preserve">Waste – 5.D.2 Industrial wastewater </w:t>
            </w:r>
            <w:r>
              <w:rPr>
                <w:rFonts w:eastAsia="Calibri"/>
              </w:rPr>
              <w:t>–</w:t>
            </w:r>
            <w:r w:rsidRPr="008A2236">
              <w:rPr>
                <w:rFonts w:eastAsia="Calibri"/>
              </w:rPr>
              <w:t xml:space="preserve"> CH</w:t>
            </w:r>
            <w:r w:rsidRPr="008A2236">
              <w:rPr>
                <w:rFonts w:eastAsia="Calibri"/>
                <w:vertAlign w:val="subscript"/>
              </w:rPr>
              <w:t>4</w:t>
            </w:r>
          </w:p>
        </w:tc>
        <w:tc>
          <w:tcPr>
            <w:tcW w:w="907" w:type="dxa"/>
            <w:shd w:val="clear" w:color="auto" w:fill="FFFFFF"/>
            <w:vAlign w:val="center"/>
          </w:tcPr>
          <w:p w14:paraId="10E8D1A8" w14:textId="77777777" w:rsidR="00366397" w:rsidRPr="008A2236" w:rsidRDefault="00366397" w:rsidP="0030211F">
            <w:pPr>
              <w:pStyle w:val="TableText"/>
            </w:pPr>
            <w:r w:rsidRPr="008A2236">
              <w:rPr>
                <w:rFonts w:eastAsia="Calibri"/>
              </w:rPr>
              <w:t>W.24, 2019</w:t>
            </w:r>
          </w:p>
        </w:tc>
        <w:tc>
          <w:tcPr>
            <w:tcW w:w="2835" w:type="dxa"/>
            <w:shd w:val="clear" w:color="auto" w:fill="FFFFFF"/>
          </w:tcPr>
          <w:p w14:paraId="4EBFE5A2" w14:textId="43EAAF82" w:rsidR="00366397" w:rsidRPr="008A2236" w:rsidRDefault="00366397" w:rsidP="0030211F">
            <w:pPr>
              <w:pStyle w:val="TableText"/>
            </w:pPr>
            <w:r w:rsidRPr="008A2236">
              <w:rPr>
                <w:rFonts w:eastAsia="Calibri"/>
              </w:rPr>
              <w:t>The ERT recommends that New Zealand estimate and report the amount of CH</w:t>
            </w:r>
            <w:r w:rsidRPr="008A2236">
              <w:rPr>
                <w:rFonts w:eastAsia="Calibri"/>
                <w:vertAlign w:val="subscript"/>
              </w:rPr>
              <w:t xml:space="preserve">4 </w:t>
            </w:r>
            <w:r w:rsidRPr="008A2236">
              <w:rPr>
                <w:rFonts w:eastAsia="Calibri"/>
              </w:rPr>
              <w:t>flared and for energy recovery, respectively, in CRF table 5.D, noting that the amount of CH</w:t>
            </w:r>
            <w:r w:rsidRPr="008A2236">
              <w:rPr>
                <w:rFonts w:eastAsia="Calibri"/>
                <w:vertAlign w:val="subscript"/>
              </w:rPr>
              <w:t>4</w:t>
            </w:r>
            <w:r w:rsidRPr="008A2236">
              <w:rPr>
                <w:rFonts w:eastAsia="Calibri"/>
              </w:rPr>
              <w:t xml:space="preserve"> for energy recovery, if occurring, should probably be reported as ‘IE’ in that table and theestimates reported under the energy</w:t>
            </w:r>
            <w:r w:rsidR="00A116E4">
              <w:rPr>
                <w:rFonts w:eastAsia="Calibri"/>
              </w:rPr>
              <w:t> </w:t>
            </w:r>
            <w:r w:rsidRPr="008A2236">
              <w:rPr>
                <w:rFonts w:eastAsia="Calibri"/>
              </w:rPr>
              <w:t>sector.</w:t>
            </w:r>
          </w:p>
        </w:tc>
        <w:tc>
          <w:tcPr>
            <w:tcW w:w="2835" w:type="dxa"/>
            <w:shd w:val="clear" w:color="auto" w:fill="FFFFFF"/>
            <w:vAlign w:val="center"/>
          </w:tcPr>
          <w:p w14:paraId="32D95C42" w14:textId="77777777" w:rsidR="00366397" w:rsidRPr="008A2236" w:rsidRDefault="00366397" w:rsidP="0030211F">
            <w:pPr>
              <w:pStyle w:val="TableText"/>
            </w:pPr>
            <w:r w:rsidRPr="008A2236">
              <w:rPr>
                <w:rFonts w:eastAsia="Calibri"/>
                <w:b/>
              </w:rPr>
              <w:t>Resolved.</w:t>
            </w:r>
            <w:r w:rsidRPr="008A2236">
              <w:rPr>
                <w:rFonts w:eastAsia="Calibri"/>
              </w:rPr>
              <w:t xml:space="preserve"> The amount of CH</w:t>
            </w:r>
            <w:r w:rsidRPr="008A2236">
              <w:rPr>
                <w:rFonts w:eastAsia="Calibri"/>
                <w:vertAlign w:val="subscript"/>
              </w:rPr>
              <w:t>4</w:t>
            </w:r>
            <w:r w:rsidRPr="008A2236">
              <w:rPr>
                <w:rFonts w:eastAsia="Calibri"/>
              </w:rPr>
              <w:t xml:space="preserve"> recovered for flaring is reported as ‘NE’ because no information is available. The amount of CH</w:t>
            </w:r>
            <w:r w:rsidRPr="008A2236">
              <w:rPr>
                <w:rFonts w:eastAsia="Calibri"/>
                <w:vertAlign w:val="subscript"/>
              </w:rPr>
              <w:t>4</w:t>
            </w:r>
            <w:r w:rsidRPr="008A2236">
              <w:rPr>
                <w:rFonts w:eastAsia="Calibri"/>
              </w:rPr>
              <w:t xml:space="preserve"> recovered for energy generation is now reported as ‘IE’ in </w:t>
            </w:r>
            <w:r>
              <w:rPr>
                <w:rFonts w:eastAsia="Calibri"/>
              </w:rPr>
              <w:t>CRF </w:t>
            </w:r>
            <w:r w:rsidRPr="008A2236">
              <w:rPr>
                <w:rFonts w:eastAsia="Calibri"/>
              </w:rPr>
              <w:t>table</w:t>
            </w:r>
            <w:r>
              <w:rPr>
                <w:rFonts w:eastAsia="Calibri"/>
              </w:rPr>
              <w:t> </w:t>
            </w:r>
            <w:r w:rsidRPr="008A2236">
              <w:rPr>
                <w:rFonts w:eastAsia="Calibri"/>
              </w:rPr>
              <w:t>5.D.2, and emissions are reported in the Energy sector under 1.A.2.e – Biomass.</w:t>
            </w:r>
          </w:p>
        </w:tc>
      </w:tr>
      <w:tr w:rsidR="00366397" w:rsidRPr="008A2236" w14:paraId="7CCEA84E" w14:textId="77777777" w:rsidTr="00B027A0">
        <w:tc>
          <w:tcPr>
            <w:tcW w:w="1758" w:type="dxa"/>
            <w:shd w:val="clear" w:color="auto" w:fill="FFFFFF"/>
            <w:vAlign w:val="center"/>
          </w:tcPr>
          <w:p w14:paraId="589CB06E" w14:textId="77777777" w:rsidR="00366397" w:rsidRPr="008A2236" w:rsidRDefault="00366397" w:rsidP="0030211F">
            <w:pPr>
              <w:pStyle w:val="TableText"/>
            </w:pPr>
            <w:r w:rsidRPr="008A2236">
              <w:rPr>
                <w:rFonts w:eastAsia="Calibri"/>
              </w:rPr>
              <w:t>KP-LULUCF – General (KP-LULUCF activities) – all GHGs</w:t>
            </w:r>
          </w:p>
        </w:tc>
        <w:tc>
          <w:tcPr>
            <w:tcW w:w="907" w:type="dxa"/>
            <w:shd w:val="clear" w:color="auto" w:fill="FFFFFF"/>
            <w:vAlign w:val="center"/>
          </w:tcPr>
          <w:p w14:paraId="0E2948A7" w14:textId="77777777" w:rsidR="00366397" w:rsidRPr="008A2236" w:rsidRDefault="00366397" w:rsidP="0030211F">
            <w:pPr>
              <w:pStyle w:val="TableText"/>
            </w:pPr>
            <w:r w:rsidRPr="008A2236">
              <w:rPr>
                <w:rFonts w:eastAsia="Calibri"/>
              </w:rPr>
              <w:t>KL.8, 2019</w:t>
            </w:r>
          </w:p>
        </w:tc>
        <w:tc>
          <w:tcPr>
            <w:tcW w:w="2835" w:type="dxa"/>
            <w:shd w:val="clear" w:color="auto" w:fill="FFFFFF"/>
          </w:tcPr>
          <w:p w14:paraId="60D4D63A" w14:textId="77777777" w:rsidR="00366397" w:rsidRPr="008A2236" w:rsidRDefault="00366397" w:rsidP="0030211F">
            <w:pPr>
              <w:pStyle w:val="TableText"/>
            </w:pPr>
            <w:r w:rsidRPr="008A2236">
              <w:rPr>
                <w:rFonts w:eastAsia="Calibri"/>
              </w:rPr>
              <w:t>The ERT recommends that New Zealand ensure that the area reported under each KP-LULUCF activity at the end of an inventory year in CRF table NIR</w:t>
            </w:r>
            <w:r w:rsidRPr="008A2236">
              <w:rPr>
                <w:rFonts w:ascii="Cambria Math" w:eastAsia="Calibri" w:hAnsi="Cambria Math" w:cs="Cambria Math"/>
              </w:rPr>
              <w:t>‑</w:t>
            </w:r>
            <w:r w:rsidRPr="008A2236">
              <w:rPr>
                <w:rFonts w:eastAsia="Calibri"/>
              </w:rPr>
              <w:t>2 is</w:t>
            </w:r>
            <w:r w:rsidRPr="008A2236">
              <w:rPr>
                <w:rFonts w:eastAsia="Calibri" w:cs="Calibri"/>
              </w:rPr>
              <w:t> </w:t>
            </w:r>
            <w:r w:rsidRPr="008A2236">
              <w:rPr>
                <w:rFonts w:eastAsia="Calibri"/>
              </w:rPr>
              <w:t>the same as that used for the calculation of the area of that KP</w:t>
            </w:r>
            <w:r w:rsidRPr="008A2236">
              <w:rPr>
                <w:rFonts w:ascii="Cambria Math" w:eastAsia="Calibri" w:hAnsi="Cambria Math" w:cs="Cambria Math"/>
              </w:rPr>
              <w:t>‑</w:t>
            </w:r>
            <w:r w:rsidRPr="008A2236">
              <w:rPr>
                <w:rFonts w:eastAsia="Calibri"/>
              </w:rPr>
              <w:t>LULUCF activity at the beginning of</w:t>
            </w:r>
            <w:r w:rsidRPr="008A2236">
              <w:rPr>
                <w:rFonts w:eastAsia="Calibri" w:cs="Calibri"/>
              </w:rPr>
              <w:t> </w:t>
            </w:r>
            <w:r w:rsidRPr="008A2236">
              <w:rPr>
                <w:rFonts w:eastAsia="Calibri"/>
              </w:rPr>
              <w:t>the following year.</w:t>
            </w:r>
          </w:p>
        </w:tc>
        <w:tc>
          <w:tcPr>
            <w:tcW w:w="2835" w:type="dxa"/>
            <w:shd w:val="clear" w:color="auto" w:fill="FFFFFF"/>
            <w:vAlign w:val="center"/>
          </w:tcPr>
          <w:p w14:paraId="602B6BAD" w14:textId="77777777" w:rsidR="00366397" w:rsidRPr="008A2236" w:rsidRDefault="00366397" w:rsidP="0030211F">
            <w:pPr>
              <w:pStyle w:val="TableText"/>
            </w:pPr>
            <w:r w:rsidRPr="008A2236">
              <w:rPr>
                <w:rFonts w:eastAsia="Calibri"/>
                <w:b/>
              </w:rPr>
              <w:t>Resolved.</w:t>
            </w:r>
            <w:r w:rsidRPr="008A2236">
              <w:rPr>
                <w:rFonts w:eastAsia="Calibri"/>
              </w:rPr>
              <w:t xml:space="preserve"> The area reported under each KP</w:t>
            </w:r>
            <w:r w:rsidRPr="008A2236">
              <w:rPr>
                <w:rFonts w:eastAsia="Calibri"/>
              </w:rPr>
              <w:noBreakHyphen/>
              <w:t>LULUCF activity at the end of an inventory year in CRF table NIR-2 is the same as that used for the calculation of the area of that KP-LULUCF activity at the beginning of the following year.</w:t>
            </w:r>
          </w:p>
        </w:tc>
      </w:tr>
      <w:tr w:rsidR="00366397" w:rsidRPr="008A2236" w14:paraId="61400EF2" w14:textId="77777777" w:rsidTr="00B027A0">
        <w:tc>
          <w:tcPr>
            <w:tcW w:w="1758" w:type="dxa"/>
            <w:shd w:val="clear" w:color="auto" w:fill="FFFFFF"/>
            <w:vAlign w:val="center"/>
          </w:tcPr>
          <w:p w14:paraId="1F1BBE16" w14:textId="77777777" w:rsidR="00366397" w:rsidRPr="008A2236" w:rsidRDefault="00366397" w:rsidP="0030211F">
            <w:pPr>
              <w:pStyle w:val="TableText"/>
            </w:pPr>
            <w:r w:rsidRPr="008A2236">
              <w:rPr>
                <w:rFonts w:eastAsia="Calibri"/>
              </w:rPr>
              <w:t>KP-LULUCF – General (KP-LULUCF activities) – all GHGs</w:t>
            </w:r>
          </w:p>
        </w:tc>
        <w:tc>
          <w:tcPr>
            <w:tcW w:w="907" w:type="dxa"/>
            <w:shd w:val="clear" w:color="auto" w:fill="FFFFFF"/>
            <w:vAlign w:val="center"/>
          </w:tcPr>
          <w:p w14:paraId="06580E50" w14:textId="77777777" w:rsidR="00366397" w:rsidRPr="008A2236" w:rsidRDefault="00366397" w:rsidP="0030211F">
            <w:pPr>
              <w:pStyle w:val="TableText"/>
            </w:pPr>
            <w:r w:rsidRPr="008A2236">
              <w:rPr>
                <w:rFonts w:eastAsia="Calibri"/>
              </w:rPr>
              <w:t>KL.9, 2019</w:t>
            </w:r>
          </w:p>
        </w:tc>
        <w:tc>
          <w:tcPr>
            <w:tcW w:w="2835" w:type="dxa"/>
            <w:shd w:val="clear" w:color="auto" w:fill="FFFFFF"/>
          </w:tcPr>
          <w:p w14:paraId="7B29CF00" w14:textId="77777777" w:rsidR="00366397" w:rsidRPr="008A2236" w:rsidRDefault="00366397" w:rsidP="0030211F">
            <w:pPr>
              <w:pStyle w:val="TableText"/>
            </w:pPr>
            <w:r w:rsidRPr="008A2236">
              <w:rPr>
                <w:rFonts w:eastAsia="Calibri"/>
              </w:rPr>
              <w:t>The ERT recommends that New Zealand update the information reported on factoring out in accounting for KP- LULUCF activities.</w:t>
            </w:r>
          </w:p>
        </w:tc>
        <w:tc>
          <w:tcPr>
            <w:tcW w:w="2835" w:type="dxa"/>
            <w:shd w:val="clear" w:color="auto" w:fill="FFFFFF"/>
            <w:vAlign w:val="center"/>
          </w:tcPr>
          <w:p w14:paraId="0DF73F32" w14:textId="77777777" w:rsidR="00366397" w:rsidRPr="008A2236" w:rsidRDefault="00366397" w:rsidP="0030211F">
            <w:pPr>
              <w:pStyle w:val="TableText"/>
            </w:pPr>
            <w:r w:rsidRPr="008A2236">
              <w:rPr>
                <w:rFonts w:eastAsia="Calibri"/>
                <w:b/>
              </w:rPr>
              <w:t>Resolved.</w:t>
            </w:r>
            <w:r w:rsidRPr="008A2236">
              <w:rPr>
                <w:rFonts w:eastAsia="Calibri"/>
              </w:rPr>
              <w:t xml:space="preserve"> Further information on factoring out has been provided in chapter 11, section</w:t>
            </w:r>
            <w:r>
              <w:rPr>
                <w:rFonts w:eastAsia="Calibri"/>
              </w:rPr>
              <w:t> </w:t>
            </w:r>
            <w:r w:rsidRPr="008A2236">
              <w:rPr>
                <w:rFonts w:eastAsia="Calibri"/>
              </w:rPr>
              <w:t>11.6.2.</w:t>
            </w:r>
          </w:p>
        </w:tc>
      </w:tr>
      <w:tr w:rsidR="00366397" w:rsidRPr="008A2236" w14:paraId="103A0DD6" w14:textId="77777777" w:rsidTr="00A116E4">
        <w:tc>
          <w:tcPr>
            <w:tcW w:w="1758" w:type="dxa"/>
            <w:shd w:val="clear" w:color="auto" w:fill="FFFFFF"/>
            <w:vAlign w:val="center"/>
          </w:tcPr>
          <w:p w14:paraId="718A3313" w14:textId="77777777" w:rsidR="00366397" w:rsidRPr="008A2236" w:rsidRDefault="00366397" w:rsidP="00A116E4">
            <w:pPr>
              <w:pStyle w:val="TableText"/>
              <w:keepNext/>
            </w:pPr>
            <w:r w:rsidRPr="008A2236">
              <w:rPr>
                <w:rFonts w:eastAsia="Calibri"/>
              </w:rPr>
              <w:lastRenderedPageBreak/>
              <w:t>KP-LULUCF – General (KP-LULUCF activities) – all GHGs</w:t>
            </w:r>
          </w:p>
        </w:tc>
        <w:tc>
          <w:tcPr>
            <w:tcW w:w="907" w:type="dxa"/>
            <w:shd w:val="clear" w:color="auto" w:fill="FFFFFF"/>
            <w:tcMar>
              <w:right w:w="57" w:type="dxa"/>
            </w:tcMar>
            <w:vAlign w:val="center"/>
          </w:tcPr>
          <w:p w14:paraId="5DD665F3" w14:textId="77777777" w:rsidR="00366397" w:rsidRPr="008A2236" w:rsidRDefault="00366397" w:rsidP="0030211F">
            <w:pPr>
              <w:pStyle w:val="TableText"/>
            </w:pPr>
            <w:r w:rsidRPr="008A2236">
              <w:rPr>
                <w:rFonts w:eastAsia="Calibri"/>
              </w:rPr>
              <w:t>KL.10, 2019</w:t>
            </w:r>
          </w:p>
        </w:tc>
        <w:tc>
          <w:tcPr>
            <w:tcW w:w="2835" w:type="dxa"/>
            <w:shd w:val="clear" w:color="auto" w:fill="FFFFFF"/>
          </w:tcPr>
          <w:p w14:paraId="0511F379" w14:textId="77777777" w:rsidR="00366397" w:rsidRPr="008A2236" w:rsidRDefault="00366397" w:rsidP="0030211F">
            <w:pPr>
              <w:pStyle w:val="TableText"/>
            </w:pPr>
            <w:r w:rsidRPr="008A2236">
              <w:rPr>
                <w:rFonts w:eastAsia="Calibri"/>
              </w:rPr>
              <w:t>The ERT recommends that New Zealand provide evidence that a minimum level of historical emissions from forest fires allows the separation of non-anthropogenic events and circumstances that cause significant emissions and are beyond the control of the Party from all those events and circumstances that are anthropogenic, not limiting such consideration to the causes of fires. Alternatively, the ERT recommends that New Zealand revise its approach and recalculate its background level and associated margin accordingly, for instance by applying the method described in the Kyoto Protocol Supplement (IPCC. 2014).</w:t>
            </w:r>
          </w:p>
        </w:tc>
        <w:tc>
          <w:tcPr>
            <w:tcW w:w="2835" w:type="dxa"/>
            <w:shd w:val="clear" w:color="auto" w:fill="FFFFFF"/>
            <w:vAlign w:val="center"/>
          </w:tcPr>
          <w:p w14:paraId="1CB6146B" w14:textId="77777777" w:rsidR="00366397" w:rsidRPr="008A2236" w:rsidRDefault="00366397" w:rsidP="0030211F">
            <w:pPr>
              <w:pStyle w:val="TableText"/>
            </w:pPr>
            <w:r w:rsidRPr="008A2236">
              <w:rPr>
                <w:rFonts w:eastAsia="Calibri"/>
                <w:b/>
              </w:rPr>
              <w:t>Resolved.</w:t>
            </w:r>
            <w:r w:rsidRPr="008A2236">
              <w:rPr>
                <w:rFonts w:eastAsia="Calibri"/>
              </w:rPr>
              <w:t xml:space="preserve"> The background level and margin have been recalculated according to the method described in the Kyoto Protocol Supplement (IPCC</w:t>
            </w:r>
            <w:r>
              <w:rPr>
                <w:rFonts w:eastAsia="Calibri"/>
              </w:rPr>
              <w:t>,</w:t>
            </w:r>
            <w:r w:rsidRPr="008A2236">
              <w:rPr>
                <w:rFonts w:eastAsia="Calibri"/>
              </w:rPr>
              <w:t xml:space="preserve"> 2014)</w:t>
            </w:r>
            <w:r>
              <w:rPr>
                <w:rFonts w:eastAsia="Calibri"/>
              </w:rPr>
              <w:t xml:space="preserve"> –</w:t>
            </w:r>
            <w:r w:rsidRPr="008A2236">
              <w:rPr>
                <w:rFonts w:eastAsia="Calibri"/>
              </w:rPr>
              <w:t xml:space="preserve"> see annex 5, section A5.2.</w:t>
            </w:r>
          </w:p>
        </w:tc>
      </w:tr>
      <w:tr w:rsidR="00366397" w:rsidRPr="008A2236" w14:paraId="38B4AE8F" w14:textId="77777777" w:rsidTr="00A116E4">
        <w:tc>
          <w:tcPr>
            <w:tcW w:w="1758" w:type="dxa"/>
            <w:shd w:val="clear" w:color="auto" w:fill="FFFFFF"/>
            <w:vAlign w:val="center"/>
          </w:tcPr>
          <w:p w14:paraId="1E3190BA" w14:textId="77777777" w:rsidR="00366397" w:rsidRPr="008A2236" w:rsidRDefault="00366397" w:rsidP="0030211F">
            <w:pPr>
              <w:pStyle w:val="TableText"/>
            </w:pPr>
            <w:r w:rsidRPr="008A2236">
              <w:rPr>
                <w:rFonts w:eastAsia="Calibri"/>
              </w:rPr>
              <w:t>KP-LULUCF – General (KP-LULUCF activities) – CO</w:t>
            </w:r>
            <w:r w:rsidRPr="008A2236">
              <w:rPr>
                <w:rFonts w:eastAsia="Calibri"/>
                <w:vertAlign w:val="subscript"/>
              </w:rPr>
              <w:t>2</w:t>
            </w:r>
            <w:r w:rsidRPr="008A2236">
              <w:rPr>
                <w:rFonts w:eastAsia="Calibri"/>
              </w:rPr>
              <w:t>,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w:t>
            </w:r>
          </w:p>
        </w:tc>
        <w:tc>
          <w:tcPr>
            <w:tcW w:w="907" w:type="dxa"/>
            <w:shd w:val="clear" w:color="auto" w:fill="FFFFFF"/>
            <w:tcMar>
              <w:right w:w="57" w:type="dxa"/>
            </w:tcMar>
            <w:vAlign w:val="center"/>
          </w:tcPr>
          <w:p w14:paraId="6E89FC12" w14:textId="77777777" w:rsidR="00366397" w:rsidRPr="008A2236" w:rsidRDefault="00366397" w:rsidP="0030211F">
            <w:pPr>
              <w:pStyle w:val="TableText"/>
            </w:pPr>
            <w:r w:rsidRPr="008A2236">
              <w:rPr>
                <w:rFonts w:eastAsia="Calibri"/>
              </w:rPr>
              <w:t>KL.11, 2019</w:t>
            </w:r>
          </w:p>
        </w:tc>
        <w:tc>
          <w:tcPr>
            <w:tcW w:w="2835" w:type="dxa"/>
            <w:shd w:val="clear" w:color="auto" w:fill="FFFFFF"/>
          </w:tcPr>
          <w:p w14:paraId="3E9829D6" w14:textId="77777777" w:rsidR="00366397" w:rsidRPr="008A2236" w:rsidRDefault="00366397" w:rsidP="0030211F">
            <w:pPr>
              <w:pStyle w:val="TableText"/>
            </w:pPr>
            <w:r w:rsidRPr="008A2236">
              <w:rPr>
                <w:rFonts w:eastAsia="Calibri"/>
              </w:rPr>
              <w:t xml:space="preserve">The ERT recommends that New Zealand recalculate the background level and the associated margin for AR and </w:t>
            </w:r>
            <w:r w:rsidRPr="00046CCC">
              <w:rPr>
                <w:rFonts w:eastAsia="Calibri"/>
              </w:rPr>
              <w:t>FM</w:t>
            </w:r>
            <w:r w:rsidRPr="008A2236">
              <w:rPr>
                <w:rFonts w:eastAsia="Calibri"/>
              </w:rPr>
              <w:t>, including all GHG emissions, that is, CO</w:t>
            </w:r>
            <w:r w:rsidRPr="008A2236">
              <w:rPr>
                <w:rFonts w:eastAsia="Calibri"/>
                <w:vertAlign w:val="subscript"/>
              </w:rPr>
              <w:t>2</w:t>
            </w:r>
            <w:r w:rsidRPr="008A2236">
              <w:rPr>
                <w:rFonts w:eastAsia="Calibri"/>
              </w:rPr>
              <w:t>,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O, rather than only non</w:t>
            </w:r>
            <w:r w:rsidRPr="008A2236">
              <w:rPr>
                <w:rFonts w:ascii="Cambria Math" w:eastAsia="Calibri" w:hAnsi="Cambria Math" w:cs="Cambria Math"/>
              </w:rPr>
              <w:t>‑</w:t>
            </w:r>
            <w:r w:rsidRPr="008A2236">
              <w:rPr>
                <w:rFonts w:eastAsia="Calibri"/>
              </w:rPr>
              <w:t>CO</w:t>
            </w:r>
            <w:r w:rsidRPr="008A2236">
              <w:rPr>
                <w:rFonts w:eastAsia="Calibri"/>
                <w:vertAlign w:val="subscript"/>
              </w:rPr>
              <w:t>2</w:t>
            </w:r>
            <w:r w:rsidRPr="008A2236">
              <w:rPr>
                <w:rFonts w:eastAsia="Calibri"/>
              </w:rPr>
              <w:t xml:space="preserve"> emissions, and revise the FMRL with a technical correction.</w:t>
            </w:r>
          </w:p>
        </w:tc>
        <w:tc>
          <w:tcPr>
            <w:tcW w:w="2835" w:type="dxa"/>
            <w:shd w:val="clear" w:color="auto" w:fill="FFFFFF"/>
            <w:vAlign w:val="center"/>
          </w:tcPr>
          <w:p w14:paraId="6E89D4C6" w14:textId="77777777" w:rsidR="00366397" w:rsidRPr="008A2236" w:rsidRDefault="00366397" w:rsidP="0030211F">
            <w:pPr>
              <w:pStyle w:val="TableText"/>
            </w:pPr>
            <w:r w:rsidRPr="008A2236">
              <w:rPr>
                <w:rFonts w:eastAsia="Calibri"/>
                <w:b/>
              </w:rPr>
              <w:t>Not resolved.</w:t>
            </w:r>
            <w:r w:rsidRPr="008A2236">
              <w:rPr>
                <w:rFonts w:eastAsia="Calibri"/>
              </w:rPr>
              <w:t xml:space="preserve"> CO</w:t>
            </w:r>
            <w:r w:rsidRPr="008A2236">
              <w:rPr>
                <w:rFonts w:eastAsia="Calibri"/>
                <w:vertAlign w:val="subscript"/>
              </w:rPr>
              <w:t>2</w:t>
            </w:r>
            <w:r w:rsidRPr="008A2236">
              <w:rPr>
                <w:rFonts w:eastAsia="Calibri"/>
              </w:rPr>
              <w:t xml:space="preserve"> emissions from natural disturbance are implicitly included in the yield tables and therefore are included in the FMRL.   </w:t>
            </w:r>
          </w:p>
        </w:tc>
      </w:tr>
      <w:tr w:rsidR="00366397" w:rsidRPr="008A2236" w14:paraId="03F62E30" w14:textId="77777777" w:rsidTr="00A116E4">
        <w:tc>
          <w:tcPr>
            <w:tcW w:w="1758" w:type="dxa"/>
            <w:shd w:val="clear" w:color="auto" w:fill="FFFFFF"/>
            <w:vAlign w:val="center"/>
          </w:tcPr>
          <w:p w14:paraId="06997CE5" w14:textId="77777777" w:rsidR="00366397" w:rsidRPr="008A2236" w:rsidRDefault="00366397" w:rsidP="0030211F">
            <w:pPr>
              <w:pStyle w:val="TableText"/>
            </w:pPr>
            <w:r w:rsidRPr="008A2236">
              <w:rPr>
                <w:rFonts w:eastAsia="Calibri"/>
              </w:rPr>
              <w:t xml:space="preserve">KP-LULUCF – Deforestation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tcMar>
              <w:right w:w="57" w:type="dxa"/>
            </w:tcMar>
            <w:vAlign w:val="center"/>
          </w:tcPr>
          <w:p w14:paraId="4959019B" w14:textId="77777777" w:rsidR="00366397" w:rsidRPr="008A2236" w:rsidRDefault="00366397" w:rsidP="0030211F">
            <w:pPr>
              <w:pStyle w:val="TableText"/>
            </w:pPr>
            <w:r w:rsidRPr="008A2236">
              <w:rPr>
                <w:rFonts w:eastAsia="Calibri"/>
              </w:rPr>
              <w:t>KL.12, 2019</w:t>
            </w:r>
          </w:p>
        </w:tc>
        <w:tc>
          <w:tcPr>
            <w:tcW w:w="2835" w:type="dxa"/>
            <w:shd w:val="clear" w:color="auto" w:fill="FFFFFF"/>
          </w:tcPr>
          <w:p w14:paraId="769F7BC9" w14:textId="77777777" w:rsidR="00366397" w:rsidRPr="008A2236" w:rsidRDefault="00366397" w:rsidP="0030211F">
            <w:pPr>
              <w:pStyle w:val="TableText"/>
            </w:pPr>
            <w:r w:rsidRPr="008A2236">
              <w:rPr>
                <w:rFonts w:eastAsia="Calibri"/>
              </w:rPr>
              <w:t>The ERT recommends that New Zealand revise the information reported in the information items of CRF table 4(KP</w:t>
            </w:r>
            <w:r w:rsidRPr="008A2236">
              <w:rPr>
                <w:rFonts w:ascii="Cambria Math" w:eastAsia="Calibri" w:hAnsi="Cambria Math" w:cs="Cambria Math"/>
              </w:rPr>
              <w:t>‑</w:t>
            </w:r>
            <w:r w:rsidRPr="008A2236">
              <w:rPr>
                <w:rFonts w:eastAsia="Calibri"/>
              </w:rPr>
              <w:t>I)A.2 regarding deforested areas under the pre-1990 natural and planted forest subcategories.</w:t>
            </w:r>
          </w:p>
        </w:tc>
        <w:tc>
          <w:tcPr>
            <w:tcW w:w="2835" w:type="dxa"/>
            <w:shd w:val="clear" w:color="auto" w:fill="FFFFFF"/>
            <w:vAlign w:val="center"/>
          </w:tcPr>
          <w:p w14:paraId="56A246A9" w14:textId="77777777" w:rsidR="00EE066E" w:rsidRDefault="00366397" w:rsidP="0030211F">
            <w:pPr>
              <w:pStyle w:val="TableText"/>
              <w:rPr>
                <w:rFonts w:eastAsia="Calibri"/>
              </w:rPr>
            </w:pPr>
            <w:r w:rsidRPr="008A2236">
              <w:rPr>
                <w:rFonts w:eastAsia="Calibri"/>
                <w:b/>
              </w:rPr>
              <w:t>Resolved.</w:t>
            </w:r>
            <w:r w:rsidRPr="008A2236">
              <w:rPr>
                <w:rFonts w:eastAsia="Calibri"/>
              </w:rPr>
              <w:t xml:space="preserve"> Pre-1990 </w:t>
            </w:r>
            <w:r w:rsidRPr="008A2236">
              <w:rPr>
                <w:rFonts w:eastAsia="Calibri"/>
                <w:i/>
              </w:rPr>
              <w:t>Forest land</w:t>
            </w:r>
            <w:r w:rsidRPr="008A2236">
              <w:rPr>
                <w:rFonts w:eastAsia="Calibri"/>
              </w:rPr>
              <w:t xml:space="preserve"> that has been converted to another land use and subsequently converted back to </w:t>
            </w:r>
            <w:r w:rsidRPr="008A2236">
              <w:rPr>
                <w:rFonts w:eastAsia="Calibri"/>
                <w:i/>
              </w:rPr>
              <w:t>Forest land</w:t>
            </w:r>
            <w:r w:rsidRPr="008A2236">
              <w:rPr>
                <w:rFonts w:eastAsia="Calibri"/>
              </w:rPr>
              <w:t xml:space="preserve"> will be classified as pre-1990 forest land reported under </w:t>
            </w:r>
            <w:r w:rsidRPr="008A2236">
              <w:rPr>
                <w:rFonts w:eastAsia="Calibri"/>
                <w:i/>
              </w:rPr>
              <w:t>Deforestation</w:t>
            </w:r>
            <w:r w:rsidRPr="008A2236">
              <w:rPr>
                <w:rFonts w:eastAsia="Calibri"/>
              </w:rPr>
              <w:t xml:space="preserve">. This is because once a deforestation event has occurred, the land use remains in this accounting category.   </w:t>
            </w:r>
          </w:p>
          <w:p w14:paraId="5F5CBE1C" w14:textId="52F330C1" w:rsidR="00366397" w:rsidRPr="008A2236" w:rsidRDefault="00366397" w:rsidP="0030211F">
            <w:pPr>
              <w:pStyle w:val="TableText"/>
            </w:pPr>
            <w:r w:rsidRPr="008A2236">
              <w:rPr>
                <w:rFonts w:eastAsia="Calibri"/>
              </w:rPr>
              <w:t xml:space="preserve">Where pre-1990 forest has undergone a deforestation event, changed to a different land use, such as </w:t>
            </w:r>
            <w:r w:rsidRPr="008A2236">
              <w:rPr>
                <w:rFonts w:eastAsia="Calibri"/>
                <w:i/>
              </w:rPr>
              <w:t>Grasslands</w:t>
            </w:r>
            <w:r w:rsidRPr="008A2236">
              <w:rPr>
                <w:rFonts w:eastAsia="Calibri"/>
              </w:rPr>
              <w:t>, and then subsequently undergone another land</w:t>
            </w:r>
            <w:r>
              <w:rPr>
                <w:rFonts w:eastAsia="Calibri"/>
              </w:rPr>
              <w:t>-</w:t>
            </w:r>
            <w:r w:rsidRPr="008A2236">
              <w:rPr>
                <w:rFonts w:eastAsia="Calibri"/>
              </w:rPr>
              <w:t xml:space="preserve">use change back to </w:t>
            </w:r>
            <w:r w:rsidRPr="00A21007">
              <w:rPr>
                <w:rFonts w:eastAsia="Calibri"/>
                <w:i/>
                <w:iCs/>
              </w:rPr>
              <w:t>Forest land</w:t>
            </w:r>
            <w:r w:rsidRPr="008A2236">
              <w:rPr>
                <w:rFonts w:eastAsia="Calibri"/>
              </w:rPr>
              <w:t xml:space="preserve">, this will still be classified as pre-1990 forest (due to its land use at 1990). This is in line with the category definitions outlined in </w:t>
            </w:r>
            <w:r>
              <w:rPr>
                <w:rFonts w:eastAsia="Calibri"/>
              </w:rPr>
              <w:t xml:space="preserve">chapter 6, </w:t>
            </w:r>
            <w:r w:rsidRPr="008A2236">
              <w:rPr>
                <w:rFonts w:eastAsia="Calibri"/>
              </w:rPr>
              <w:t>table</w:t>
            </w:r>
            <w:r>
              <w:rPr>
                <w:rFonts w:eastAsia="Calibri"/>
              </w:rPr>
              <w:t> </w:t>
            </w:r>
            <w:r w:rsidRPr="008A2236">
              <w:rPr>
                <w:rFonts w:eastAsia="Calibri"/>
              </w:rPr>
              <w:t xml:space="preserve">6.2.3. Therefore, such areas are classified as pre-1990 forest and yet also </w:t>
            </w:r>
            <w:r>
              <w:rPr>
                <w:rFonts w:eastAsia="Calibri"/>
              </w:rPr>
              <w:t xml:space="preserve">are </w:t>
            </w:r>
            <w:r w:rsidRPr="008A2236">
              <w:rPr>
                <w:rFonts w:eastAsia="Calibri"/>
              </w:rPr>
              <w:t xml:space="preserve">reported under </w:t>
            </w:r>
            <w:r w:rsidRPr="008A2236">
              <w:rPr>
                <w:rFonts w:eastAsia="Calibri"/>
                <w:i/>
              </w:rPr>
              <w:t>Deforestation</w:t>
            </w:r>
            <w:r w:rsidRPr="008A2236">
              <w:rPr>
                <w:rFonts w:eastAsia="Calibri"/>
              </w:rPr>
              <w:t>.</w:t>
            </w:r>
          </w:p>
        </w:tc>
      </w:tr>
      <w:tr w:rsidR="00366397" w:rsidRPr="008A2236" w14:paraId="14A11AAE" w14:textId="77777777" w:rsidTr="00A116E4">
        <w:tc>
          <w:tcPr>
            <w:tcW w:w="1758" w:type="dxa"/>
            <w:shd w:val="clear" w:color="auto" w:fill="FFFFFF"/>
            <w:vAlign w:val="center"/>
          </w:tcPr>
          <w:p w14:paraId="16569E23" w14:textId="77777777" w:rsidR="00366397" w:rsidRPr="008A2236" w:rsidRDefault="00366397" w:rsidP="0030211F">
            <w:pPr>
              <w:pStyle w:val="TableText"/>
            </w:pPr>
            <w:r w:rsidRPr="008A2236">
              <w:rPr>
                <w:rFonts w:eastAsia="Calibri"/>
              </w:rPr>
              <w:t>KP-LULUCF – F</w:t>
            </w:r>
            <w:r>
              <w:rPr>
                <w:rFonts w:eastAsia="Calibri"/>
              </w:rPr>
              <w:t>orest management</w:t>
            </w:r>
            <w:r w:rsidRPr="008A2236">
              <w:rPr>
                <w:rFonts w:eastAsia="Calibri"/>
              </w:rPr>
              <w:t xml:space="preserve">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tcMar>
              <w:right w:w="57" w:type="dxa"/>
            </w:tcMar>
            <w:vAlign w:val="center"/>
          </w:tcPr>
          <w:p w14:paraId="13FD6F1F" w14:textId="77777777" w:rsidR="00366397" w:rsidRPr="008A2236" w:rsidRDefault="00366397" w:rsidP="0030211F">
            <w:pPr>
              <w:pStyle w:val="TableText"/>
            </w:pPr>
            <w:r w:rsidRPr="008A2236">
              <w:rPr>
                <w:rFonts w:eastAsia="Calibri"/>
              </w:rPr>
              <w:t>KL.13, 2019</w:t>
            </w:r>
          </w:p>
        </w:tc>
        <w:tc>
          <w:tcPr>
            <w:tcW w:w="2835" w:type="dxa"/>
            <w:shd w:val="clear" w:color="auto" w:fill="FFFFFF"/>
          </w:tcPr>
          <w:p w14:paraId="7C9CB9E5" w14:textId="77777777" w:rsidR="00366397" w:rsidRPr="008A2236" w:rsidRDefault="00366397" w:rsidP="0030211F">
            <w:pPr>
              <w:pStyle w:val="TableText"/>
            </w:pPr>
            <w:r w:rsidRPr="008A2236">
              <w:rPr>
                <w:rFonts w:eastAsia="Calibri"/>
              </w:rPr>
              <w:t>The ERT recommends that New Zealand use the actual age-class distribution of its planted forests as at 1 January 2010, on the basis of the data available, including data collected after 1 January 2010 that are deemed sufficiently accurately associated with that historical period, for projecting its FMRL technical corrections. The ERT further recommends that the Party use any other forest parameter (such as management practices, including harvest rotation, pruning and thinning age and densities, age/density associated current increment) representative of the pre-2010 historical period for projecting its FMRL technical corrections, even if data may have been collected after 1 January 2010, if deemed sufficiently accurately associated with that historical period.</w:t>
            </w:r>
          </w:p>
        </w:tc>
        <w:tc>
          <w:tcPr>
            <w:tcW w:w="2835" w:type="dxa"/>
            <w:shd w:val="clear" w:color="auto" w:fill="FFFFFF"/>
            <w:vAlign w:val="center"/>
          </w:tcPr>
          <w:p w14:paraId="23948AE4" w14:textId="77777777" w:rsidR="00366397" w:rsidRPr="008A2236" w:rsidRDefault="00366397" w:rsidP="0030211F">
            <w:pPr>
              <w:pStyle w:val="TableText"/>
            </w:pPr>
            <w:r w:rsidRPr="008A2236">
              <w:rPr>
                <w:rFonts w:eastAsia="Calibri"/>
                <w:b/>
              </w:rPr>
              <w:t>Resolved.</w:t>
            </w:r>
            <w:r w:rsidRPr="008A2236">
              <w:rPr>
                <w:rFonts w:eastAsia="Calibri"/>
              </w:rPr>
              <w:t xml:space="preserve"> A technical correction has been applied to the FMRL</w:t>
            </w:r>
            <w:r>
              <w:rPr>
                <w:rFonts w:eastAsia="Calibri"/>
              </w:rPr>
              <w:t>,</w:t>
            </w:r>
            <w:r w:rsidRPr="008A2236">
              <w:rPr>
                <w:rFonts w:eastAsia="Calibri"/>
              </w:rPr>
              <w:t xml:space="preserve"> with justification provided in annex 5.1.</w:t>
            </w:r>
          </w:p>
        </w:tc>
      </w:tr>
      <w:tr w:rsidR="00366397" w:rsidRPr="008A2236" w14:paraId="4242845C" w14:textId="77777777" w:rsidTr="00A116E4">
        <w:tc>
          <w:tcPr>
            <w:tcW w:w="1758" w:type="dxa"/>
            <w:shd w:val="clear" w:color="auto" w:fill="FFFFFF"/>
            <w:vAlign w:val="center"/>
          </w:tcPr>
          <w:p w14:paraId="0389547D" w14:textId="77777777" w:rsidR="00366397" w:rsidRPr="008A2236" w:rsidRDefault="00366397" w:rsidP="00A116E4">
            <w:pPr>
              <w:pStyle w:val="TableText"/>
              <w:keepNext/>
              <w:spacing w:before="40" w:after="40"/>
            </w:pPr>
            <w:r w:rsidRPr="008A2236">
              <w:rPr>
                <w:rFonts w:eastAsia="Calibri"/>
              </w:rPr>
              <w:lastRenderedPageBreak/>
              <w:t>KP-LULUCF – F</w:t>
            </w:r>
            <w:r>
              <w:rPr>
                <w:rFonts w:eastAsia="Calibri"/>
              </w:rPr>
              <w:t>orest management</w:t>
            </w:r>
            <w:r w:rsidRPr="008A2236">
              <w:rPr>
                <w:rFonts w:eastAsia="Calibri"/>
              </w:rPr>
              <w:t xml:space="preserve">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tcMar>
              <w:right w:w="57" w:type="dxa"/>
            </w:tcMar>
            <w:vAlign w:val="center"/>
          </w:tcPr>
          <w:p w14:paraId="467AF9A1" w14:textId="77777777" w:rsidR="00366397" w:rsidRPr="008A2236" w:rsidRDefault="00366397" w:rsidP="00A116E4">
            <w:pPr>
              <w:pStyle w:val="TableText"/>
              <w:spacing w:before="40" w:after="40"/>
            </w:pPr>
            <w:r w:rsidRPr="008A2236">
              <w:rPr>
                <w:rFonts w:eastAsia="Calibri"/>
              </w:rPr>
              <w:t>KL.14, 2019</w:t>
            </w:r>
          </w:p>
        </w:tc>
        <w:tc>
          <w:tcPr>
            <w:tcW w:w="2835" w:type="dxa"/>
            <w:shd w:val="clear" w:color="auto" w:fill="FFFFFF"/>
          </w:tcPr>
          <w:p w14:paraId="76C7747F" w14:textId="77777777" w:rsidR="00366397" w:rsidRPr="008A2236" w:rsidRDefault="00366397" w:rsidP="00A116E4">
            <w:pPr>
              <w:pStyle w:val="TableText"/>
              <w:spacing w:before="40" w:after="40"/>
            </w:pPr>
            <w:r w:rsidRPr="008A2236">
              <w:rPr>
                <w:rFonts w:eastAsia="Calibri"/>
              </w:rPr>
              <w:t>The ERT recommends that New Zealand exclude from its FMRL the technical correction projections of any change in management practices occurring after 31 December 1989, since the aim of the FMRL is to account for the change in emissions and removals occurring as a consequence of those changes.</w:t>
            </w:r>
          </w:p>
        </w:tc>
        <w:tc>
          <w:tcPr>
            <w:tcW w:w="2835" w:type="dxa"/>
            <w:shd w:val="clear" w:color="auto" w:fill="FFFFFF"/>
            <w:vAlign w:val="center"/>
          </w:tcPr>
          <w:p w14:paraId="5CCD1243" w14:textId="77777777" w:rsidR="00366397" w:rsidRPr="008A2236" w:rsidRDefault="00366397" w:rsidP="00A116E4">
            <w:pPr>
              <w:pStyle w:val="TableText"/>
              <w:spacing w:before="40" w:after="40"/>
            </w:pPr>
            <w:r w:rsidRPr="008A2236">
              <w:rPr>
                <w:rFonts w:eastAsia="Calibri"/>
                <w:b/>
              </w:rPr>
              <w:t>Resolved.</w:t>
            </w:r>
            <w:r w:rsidRPr="008A2236">
              <w:rPr>
                <w:rFonts w:eastAsia="Calibri"/>
              </w:rPr>
              <w:t xml:space="preserve"> The technical correction to the FMRL has been recalculated to remove the projection of overplanting. See annex 5.1 for further information.</w:t>
            </w:r>
          </w:p>
        </w:tc>
      </w:tr>
      <w:tr w:rsidR="00366397" w:rsidRPr="008A2236" w14:paraId="454730E6" w14:textId="77777777" w:rsidTr="00A116E4">
        <w:tc>
          <w:tcPr>
            <w:tcW w:w="1758" w:type="dxa"/>
            <w:shd w:val="clear" w:color="auto" w:fill="FFFFFF"/>
            <w:vAlign w:val="center"/>
          </w:tcPr>
          <w:p w14:paraId="0CDC861B" w14:textId="77777777" w:rsidR="00366397" w:rsidRPr="008A2236" w:rsidRDefault="00366397" w:rsidP="00A116E4">
            <w:pPr>
              <w:pStyle w:val="TableText"/>
              <w:spacing w:before="40" w:after="40"/>
            </w:pPr>
            <w:r w:rsidRPr="008A2236">
              <w:rPr>
                <w:rFonts w:eastAsia="Calibri"/>
              </w:rPr>
              <w:t>KP-LULUCF – F</w:t>
            </w:r>
            <w:r>
              <w:rPr>
                <w:rFonts w:eastAsia="Calibri"/>
              </w:rPr>
              <w:t>orest management</w:t>
            </w:r>
            <w:r w:rsidRPr="008A2236">
              <w:rPr>
                <w:rFonts w:eastAsia="Calibri"/>
              </w:rPr>
              <w:t xml:space="preserve"> – all GHGs</w:t>
            </w:r>
          </w:p>
        </w:tc>
        <w:tc>
          <w:tcPr>
            <w:tcW w:w="907" w:type="dxa"/>
            <w:shd w:val="clear" w:color="auto" w:fill="FFFFFF"/>
            <w:tcMar>
              <w:right w:w="57" w:type="dxa"/>
            </w:tcMar>
            <w:vAlign w:val="center"/>
          </w:tcPr>
          <w:p w14:paraId="031174A2" w14:textId="77777777" w:rsidR="00366397" w:rsidRPr="008A2236" w:rsidRDefault="00366397" w:rsidP="00A116E4">
            <w:pPr>
              <w:pStyle w:val="TableText"/>
              <w:spacing w:before="40" w:after="40"/>
            </w:pPr>
            <w:r w:rsidRPr="008A2236">
              <w:rPr>
                <w:rFonts w:eastAsia="Calibri"/>
              </w:rPr>
              <w:t>KL.15, 2019</w:t>
            </w:r>
          </w:p>
        </w:tc>
        <w:tc>
          <w:tcPr>
            <w:tcW w:w="2835" w:type="dxa"/>
            <w:shd w:val="clear" w:color="auto" w:fill="FFFFFF"/>
          </w:tcPr>
          <w:p w14:paraId="4FB40E84" w14:textId="77777777" w:rsidR="00366397" w:rsidRPr="008A2236" w:rsidRDefault="00366397" w:rsidP="00A116E4">
            <w:pPr>
              <w:pStyle w:val="TableText"/>
              <w:spacing w:before="40" w:after="40"/>
            </w:pPr>
            <w:r w:rsidRPr="008A2236">
              <w:rPr>
                <w:rFonts w:eastAsia="Calibri"/>
              </w:rPr>
              <w:t xml:space="preserve">The ERT recommends that New Zealand report in the NIR quantitative information on the drivers that have determined the deviation of the actual estimates of GHG emissions and removals reported under </w:t>
            </w:r>
            <w:r w:rsidRPr="00650891">
              <w:rPr>
                <w:rFonts w:eastAsia="Calibri"/>
              </w:rPr>
              <w:t>FM</w:t>
            </w:r>
            <w:r w:rsidRPr="008A2236">
              <w:rPr>
                <w:rFonts w:eastAsia="Calibri"/>
              </w:rPr>
              <w:t xml:space="preserve"> from the projected GHG emissions and removals included in the FMRL correction value, including (1) the time series (from 1990 to the most recently reported year) of annual harvesting rates, biomass annual increment and GHG emissions from natural disturbances used for preparing the estimates for </w:t>
            </w:r>
            <w:r w:rsidRPr="00650891">
              <w:rPr>
                <w:rFonts w:eastAsia="Calibri"/>
              </w:rPr>
              <w:t>FM</w:t>
            </w:r>
            <w:r w:rsidRPr="008A2236">
              <w:rPr>
                <w:rFonts w:eastAsia="Calibri"/>
              </w:rPr>
              <w:t xml:space="preserve"> during the commitment period; and (2) the historical time series (1990–2009) of annual harvesting rates, biomass annual increment and GHG emissions from natural disturbances used for projecting the FMRL correction value.</w:t>
            </w:r>
          </w:p>
        </w:tc>
        <w:tc>
          <w:tcPr>
            <w:tcW w:w="2835" w:type="dxa"/>
            <w:shd w:val="clear" w:color="auto" w:fill="FFFFFF"/>
            <w:vAlign w:val="center"/>
          </w:tcPr>
          <w:p w14:paraId="499DC97A" w14:textId="77777777" w:rsidR="00366397" w:rsidRPr="008A2236" w:rsidRDefault="00366397" w:rsidP="00A116E4">
            <w:pPr>
              <w:pStyle w:val="TableText"/>
              <w:spacing w:before="40" w:after="40"/>
            </w:pPr>
            <w:r w:rsidRPr="008A2236">
              <w:rPr>
                <w:rFonts w:eastAsia="Calibri"/>
                <w:b/>
              </w:rPr>
              <w:t>Resolved.</w:t>
            </w:r>
            <w:r w:rsidRPr="008A2236">
              <w:rPr>
                <w:rFonts w:eastAsia="Calibri"/>
              </w:rPr>
              <w:t xml:space="preserve"> Chapter 11, section 11.3.4 </w:t>
            </w:r>
            <w:r>
              <w:rPr>
                <w:rFonts w:eastAsia="Calibri"/>
              </w:rPr>
              <w:t>explains</w:t>
            </w:r>
            <w:r w:rsidRPr="008A2236">
              <w:rPr>
                <w:rFonts w:eastAsia="Calibri"/>
              </w:rPr>
              <w:t xml:space="preserve"> that the emissions from </w:t>
            </w:r>
            <w:r w:rsidRPr="008A2236">
              <w:rPr>
                <w:rFonts w:eastAsia="Calibri"/>
                <w:i/>
              </w:rPr>
              <w:t>Forest management</w:t>
            </w:r>
            <w:r w:rsidRPr="008A2236">
              <w:rPr>
                <w:rFonts w:eastAsia="Calibri"/>
              </w:rPr>
              <w:t xml:space="preserve"> were lower because the realised rate of harvest is lower than the rate of harvest projected in the FMRL</w:t>
            </w:r>
            <w:r w:rsidRPr="007700D8">
              <w:rPr>
                <w:rFonts w:eastAsia="Calibri"/>
                <w:i/>
                <w:iCs/>
                <w:vertAlign w:val="subscript"/>
              </w:rPr>
              <w:t>corr</w:t>
            </w:r>
            <w:r w:rsidRPr="008A2236">
              <w:rPr>
                <w:rFonts w:eastAsia="Calibri"/>
              </w:rPr>
              <w:t>. Note that the explanation has been expanded since the 2021 submission to provide quantitative information and further time</w:t>
            </w:r>
            <w:r>
              <w:rPr>
                <w:rFonts w:eastAsia="Calibri"/>
              </w:rPr>
              <w:t>-</w:t>
            </w:r>
            <w:r w:rsidRPr="008A2236">
              <w:rPr>
                <w:rFonts w:eastAsia="Calibri"/>
              </w:rPr>
              <w:t>series data comparing the FMRL</w:t>
            </w:r>
            <w:r w:rsidRPr="007700D8">
              <w:rPr>
                <w:rFonts w:eastAsia="Calibri"/>
                <w:i/>
                <w:iCs/>
                <w:vertAlign w:val="subscript"/>
              </w:rPr>
              <w:t>corr</w:t>
            </w:r>
            <w:r w:rsidRPr="008A2236">
              <w:rPr>
                <w:rFonts w:eastAsia="Calibri"/>
              </w:rPr>
              <w:t xml:space="preserve"> </w:t>
            </w:r>
            <w:r>
              <w:rPr>
                <w:rFonts w:eastAsia="Calibri"/>
              </w:rPr>
              <w:t>with</w:t>
            </w:r>
            <w:r w:rsidRPr="008A2236">
              <w:rPr>
                <w:rFonts w:eastAsia="Calibri"/>
              </w:rPr>
              <w:t xml:space="preserve"> </w:t>
            </w:r>
            <w:r w:rsidRPr="008A2236">
              <w:rPr>
                <w:rFonts w:eastAsia="Calibri"/>
                <w:i/>
              </w:rPr>
              <w:t>Forest management</w:t>
            </w:r>
            <w:r w:rsidRPr="008A2236">
              <w:rPr>
                <w:rFonts w:eastAsia="Calibri"/>
              </w:rPr>
              <w:t xml:space="preserve"> harvest data and emissions.</w:t>
            </w:r>
          </w:p>
        </w:tc>
      </w:tr>
      <w:tr w:rsidR="00366397" w:rsidRPr="008A2236" w14:paraId="0BC94BCD" w14:textId="77777777" w:rsidTr="00A116E4">
        <w:tc>
          <w:tcPr>
            <w:tcW w:w="1758" w:type="dxa"/>
            <w:shd w:val="clear" w:color="auto" w:fill="FFFFFF"/>
            <w:vAlign w:val="center"/>
          </w:tcPr>
          <w:p w14:paraId="572BD0C1" w14:textId="77777777" w:rsidR="00366397" w:rsidRPr="008A2236" w:rsidRDefault="00366397" w:rsidP="00A116E4">
            <w:pPr>
              <w:pStyle w:val="TableText"/>
              <w:spacing w:before="40" w:after="40"/>
            </w:pPr>
            <w:r w:rsidRPr="008A2236">
              <w:rPr>
                <w:rFonts w:eastAsia="Calibri"/>
              </w:rPr>
              <w:t>KP-LULUCF – F</w:t>
            </w:r>
            <w:r>
              <w:rPr>
                <w:rFonts w:eastAsia="Calibri"/>
              </w:rPr>
              <w:t>orest management</w:t>
            </w:r>
            <w:r w:rsidRPr="008A2236">
              <w:rPr>
                <w:rFonts w:eastAsia="Calibri"/>
              </w:rPr>
              <w:t xml:space="preserve">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tcMar>
              <w:right w:w="57" w:type="dxa"/>
            </w:tcMar>
            <w:vAlign w:val="center"/>
          </w:tcPr>
          <w:p w14:paraId="46F456DA" w14:textId="77777777" w:rsidR="00366397" w:rsidRPr="008A2236" w:rsidRDefault="00366397" w:rsidP="00A116E4">
            <w:pPr>
              <w:pStyle w:val="TableText"/>
              <w:spacing w:before="40" w:after="40"/>
            </w:pPr>
            <w:r w:rsidRPr="008A2236">
              <w:rPr>
                <w:rFonts w:eastAsia="Calibri"/>
              </w:rPr>
              <w:t>KL.16, 2019</w:t>
            </w:r>
          </w:p>
        </w:tc>
        <w:tc>
          <w:tcPr>
            <w:tcW w:w="2835" w:type="dxa"/>
            <w:shd w:val="clear" w:color="auto" w:fill="FFFFFF"/>
          </w:tcPr>
          <w:p w14:paraId="26B4C1C3" w14:textId="77777777" w:rsidR="00366397" w:rsidRPr="008A2236" w:rsidRDefault="00366397" w:rsidP="00A116E4">
            <w:pPr>
              <w:pStyle w:val="TableText"/>
              <w:spacing w:before="40" w:after="40"/>
            </w:pPr>
            <w:r w:rsidRPr="008A2236">
              <w:rPr>
                <w:rFonts w:eastAsia="Calibri"/>
              </w:rPr>
              <w:t>The ERT recommends that New Zealand recalculate the technical correction to the FMRL removing the projection of CEF.</w:t>
            </w:r>
          </w:p>
        </w:tc>
        <w:tc>
          <w:tcPr>
            <w:tcW w:w="2835" w:type="dxa"/>
            <w:shd w:val="clear" w:color="auto" w:fill="FFFFFF"/>
            <w:vAlign w:val="center"/>
          </w:tcPr>
          <w:p w14:paraId="7F7A2423" w14:textId="77777777" w:rsidR="00366397" w:rsidRPr="008A2236" w:rsidRDefault="00366397" w:rsidP="00A116E4">
            <w:pPr>
              <w:pStyle w:val="TableText"/>
              <w:spacing w:before="40" w:after="40"/>
            </w:pPr>
            <w:r w:rsidRPr="008A2236">
              <w:rPr>
                <w:rFonts w:eastAsia="Calibri"/>
                <w:b/>
              </w:rPr>
              <w:t>Resolved.</w:t>
            </w:r>
            <w:r w:rsidRPr="008A2236">
              <w:rPr>
                <w:rFonts w:eastAsia="Calibri"/>
              </w:rPr>
              <w:t xml:space="preserve"> The technical correction to the FMRL has been recalculated to remove the projection of CEF. See annex 5.1 for further information.</w:t>
            </w:r>
          </w:p>
        </w:tc>
      </w:tr>
      <w:tr w:rsidR="00366397" w:rsidRPr="008A2236" w14:paraId="48697873" w14:textId="77777777" w:rsidTr="00A116E4">
        <w:tc>
          <w:tcPr>
            <w:tcW w:w="1758" w:type="dxa"/>
            <w:shd w:val="clear" w:color="auto" w:fill="FFFFFF"/>
            <w:vAlign w:val="center"/>
          </w:tcPr>
          <w:p w14:paraId="446DBF54" w14:textId="77777777" w:rsidR="00366397" w:rsidRPr="008A2236" w:rsidRDefault="00366397" w:rsidP="00A116E4">
            <w:pPr>
              <w:pStyle w:val="TableText"/>
              <w:spacing w:before="40" w:after="40"/>
            </w:pPr>
            <w:r w:rsidRPr="008A2236">
              <w:rPr>
                <w:rFonts w:eastAsia="Calibri"/>
              </w:rPr>
              <w:t>KP-LULUCF – F</w:t>
            </w:r>
            <w:r>
              <w:rPr>
                <w:rFonts w:eastAsia="Calibri"/>
              </w:rPr>
              <w:t>orest management</w:t>
            </w:r>
            <w:r w:rsidRPr="008A2236">
              <w:rPr>
                <w:rFonts w:eastAsia="Calibri"/>
              </w:rPr>
              <w:t xml:space="preserve">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tcMar>
              <w:right w:w="57" w:type="dxa"/>
            </w:tcMar>
            <w:vAlign w:val="center"/>
          </w:tcPr>
          <w:p w14:paraId="4151DAC6" w14:textId="77777777" w:rsidR="00366397" w:rsidRPr="008A2236" w:rsidRDefault="00366397" w:rsidP="00A116E4">
            <w:pPr>
              <w:pStyle w:val="TableText"/>
              <w:spacing w:before="40" w:after="40"/>
            </w:pPr>
            <w:r w:rsidRPr="008A2236">
              <w:rPr>
                <w:rFonts w:eastAsia="Calibri"/>
              </w:rPr>
              <w:t>KL.18, 2019</w:t>
            </w:r>
          </w:p>
        </w:tc>
        <w:tc>
          <w:tcPr>
            <w:tcW w:w="2835" w:type="dxa"/>
            <w:shd w:val="clear" w:color="auto" w:fill="FFFFFF"/>
          </w:tcPr>
          <w:p w14:paraId="7C42AEEC" w14:textId="77777777" w:rsidR="00366397" w:rsidRPr="008A2236" w:rsidRDefault="00366397" w:rsidP="00A116E4">
            <w:pPr>
              <w:pStyle w:val="TableText"/>
              <w:spacing w:before="40" w:after="40"/>
            </w:pPr>
            <w:r w:rsidRPr="008A2236">
              <w:rPr>
                <w:rFonts w:eastAsia="Calibri"/>
              </w:rPr>
              <w:t>The ERT recommends that New Zealand report information on CEF</w:t>
            </w:r>
            <w:r w:rsidRPr="008A2236">
              <w:rPr>
                <w:rFonts w:eastAsia="Calibri"/>
              </w:rPr>
              <w:noBreakHyphen/>
              <w:t>ne and CEF</w:t>
            </w:r>
            <w:r w:rsidRPr="008A2236">
              <w:rPr>
                <w:rFonts w:ascii="Cambria Math" w:eastAsia="Calibri" w:hAnsi="Cambria Math" w:cs="Cambria Math"/>
              </w:rPr>
              <w:t>‑</w:t>
            </w:r>
            <w:r w:rsidRPr="008A2236">
              <w:rPr>
                <w:rFonts w:eastAsia="Calibri"/>
              </w:rPr>
              <w:t>hc in CRF table 4(KP</w:t>
            </w:r>
            <w:r w:rsidRPr="008A2236">
              <w:rPr>
                <w:rFonts w:eastAsia="Calibri"/>
              </w:rPr>
              <w:noBreakHyphen/>
              <w:t>I)B.1.</w:t>
            </w:r>
          </w:p>
        </w:tc>
        <w:tc>
          <w:tcPr>
            <w:tcW w:w="2835" w:type="dxa"/>
            <w:shd w:val="clear" w:color="auto" w:fill="FFFFFF"/>
            <w:vAlign w:val="center"/>
          </w:tcPr>
          <w:p w14:paraId="253DA180" w14:textId="77777777" w:rsidR="00366397" w:rsidRPr="008A2236" w:rsidRDefault="00366397" w:rsidP="00A116E4">
            <w:pPr>
              <w:pStyle w:val="TableText"/>
              <w:spacing w:before="40" w:after="40"/>
            </w:pPr>
            <w:r w:rsidRPr="008A2236">
              <w:rPr>
                <w:rFonts w:eastAsia="Calibri"/>
                <w:b/>
              </w:rPr>
              <w:t>Resolved.</w:t>
            </w:r>
            <w:r w:rsidRPr="008A2236">
              <w:rPr>
                <w:rFonts w:eastAsia="Calibri"/>
              </w:rPr>
              <w:t xml:space="preserve"> </w:t>
            </w:r>
            <w:r>
              <w:rPr>
                <w:rFonts w:eastAsia="Calibri"/>
              </w:rPr>
              <w:t>CRF t</w:t>
            </w:r>
            <w:r w:rsidRPr="008A2236">
              <w:rPr>
                <w:rFonts w:eastAsia="Calibri"/>
              </w:rPr>
              <w:t>able 4(KP-I)B.1 has been updated to report information on CEF-ne and CEF-hc.</w:t>
            </w:r>
          </w:p>
        </w:tc>
      </w:tr>
      <w:tr w:rsidR="00366397" w:rsidRPr="008A2236" w14:paraId="786556B6" w14:textId="77777777" w:rsidTr="00A116E4">
        <w:tc>
          <w:tcPr>
            <w:tcW w:w="1758" w:type="dxa"/>
            <w:shd w:val="clear" w:color="auto" w:fill="FFFFFF"/>
            <w:vAlign w:val="center"/>
          </w:tcPr>
          <w:p w14:paraId="113EC286" w14:textId="77777777" w:rsidR="00366397" w:rsidRPr="008A2236" w:rsidRDefault="00366397" w:rsidP="00A116E4">
            <w:pPr>
              <w:pStyle w:val="TableText"/>
              <w:spacing w:before="40" w:after="40"/>
            </w:pPr>
            <w:r w:rsidRPr="008A2236">
              <w:rPr>
                <w:rFonts w:eastAsia="Calibri"/>
              </w:rPr>
              <w:t>KP-LULUCF – F</w:t>
            </w:r>
            <w:r>
              <w:rPr>
                <w:rFonts w:eastAsia="Calibri"/>
              </w:rPr>
              <w:t>orest management</w:t>
            </w:r>
            <w:r w:rsidRPr="008A2236">
              <w:rPr>
                <w:rFonts w:eastAsia="Calibri"/>
              </w:rPr>
              <w:t xml:space="preserve">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tcMar>
              <w:right w:w="57" w:type="dxa"/>
            </w:tcMar>
            <w:vAlign w:val="center"/>
          </w:tcPr>
          <w:p w14:paraId="2FB953FD" w14:textId="77777777" w:rsidR="00366397" w:rsidRPr="008A2236" w:rsidRDefault="00366397" w:rsidP="00A116E4">
            <w:pPr>
              <w:pStyle w:val="TableText"/>
              <w:spacing w:before="40" w:after="40"/>
            </w:pPr>
            <w:r w:rsidRPr="008A2236">
              <w:rPr>
                <w:rFonts w:eastAsia="Calibri"/>
              </w:rPr>
              <w:t>KL.19, 2019</w:t>
            </w:r>
          </w:p>
        </w:tc>
        <w:tc>
          <w:tcPr>
            <w:tcW w:w="2835" w:type="dxa"/>
            <w:shd w:val="clear" w:color="auto" w:fill="FFFFFF"/>
          </w:tcPr>
          <w:p w14:paraId="73D7EB6C" w14:textId="77777777" w:rsidR="00366397" w:rsidRPr="008A2236" w:rsidRDefault="00366397" w:rsidP="00A116E4">
            <w:pPr>
              <w:pStyle w:val="TableText"/>
              <w:spacing w:before="40" w:after="40"/>
            </w:pPr>
            <w:r w:rsidRPr="008A2236">
              <w:rPr>
                <w:rFonts w:eastAsia="Calibri"/>
              </w:rPr>
              <w:t xml:space="preserve">The ERT recommends that New Zealand (1) recalculate the </w:t>
            </w:r>
            <w:r w:rsidRPr="00650891">
              <w:rPr>
                <w:rFonts w:eastAsia="Calibri"/>
              </w:rPr>
              <w:t>FM</w:t>
            </w:r>
            <w:r w:rsidRPr="008A2236">
              <w:rPr>
                <w:rFonts w:eastAsia="Calibri"/>
              </w:rPr>
              <w:t xml:space="preserve"> estimates of the biomass CSCs, noting that those estimates should include all gains and losses in tall natural forest remaining tall natural forest; however, carbon stock losses as a result of stand-replacing disturbances (such as storms or destructive wildfires) that lead to a subsequent regeneration of the natural forest, and carbon stock gains up to the average carbon stock of tall forests, should be reported within the regenerating natural forest category, including the entire transition of regenerating natural forest to tall natural forest; (2) and apply a technical correction to its FMRL.</w:t>
            </w:r>
          </w:p>
        </w:tc>
        <w:tc>
          <w:tcPr>
            <w:tcW w:w="2835" w:type="dxa"/>
            <w:shd w:val="clear" w:color="auto" w:fill="FFFFFF"/>
            <w:vAlign w:val="center"/>
          </w:tcPr>
          <w:p w14:paraId="3D6F7842" w14:textId="77777777" w:rsidR="00366397" w:rsidRPr="008A2236" w:rsidRDefault="00366397" w:rsidP="00A116E4">
            <w:pPr>
              <w:pStyle w:val="TableText"/>
              <w:spacing w:before="40" w:after="40"/>
            </w:pPr>
            <w:r w:rsidRPr="008A2236">
              <w:rPr>
                <w:rFonts w:eastAsia="Calibri"/>
                <w:b/>
              </w:rPr>
              <w:t xml:space="preserve">Resolved. </w:t>
            </w:r>
            <w:r w:rsidRPr="008A2236">
              <w:rPr>
                <w:rFonts w:eastAsia="Calibri"/>
              </w:rPr>
              <w:t xml:space="preserve">Losses from tall natural forest have been reported in this submission and the assumption that this forest class is in steady state has been removed (see chapter 6, section 6.3.5 for more information). This has been applied both to </w:t>
            </w:r>
            <w:r>
              <w:rPr>
                <w:rFonts w:eastAsia="Calibri"/>
                <w:i/>
                <w:iCs/>
              </w:rPr>
              <w:t>Forest management</w:t>
            </w:r>
            <w:r w:rsidRPr="008A2236">
              <w:rPr>
                <w:rFonts w:eastAsia="Calibri"/>
              </w:rPr>
              <w:t xml:space="preserve"> and as a technical correction to the FMRL.</w:t>
            </w:r>
          </w:p>
        </w:tc>
      </w:tr>
      <w:tr w:rsidR="00366397" w:rsidRPr="008A2236" w14:paraId="0EA96685" w14:textId="77777777" w:rsidTr="00A116E4">
        <w:tc>
          <w:tcPr>
            <w:tcW w:w="1758" w:type="dxa"/>
            <w:shd w:val="clear" w:color="auto" w:fill="FFFFFF"/>
            <w:vAlign w:val="center"/>
          </w:tcPr>
          <w:p w14:paraId="62BC830B" w14:textId="77777777" w:rsidR="00366397" w:rsidRPr="008A2236" w:rsidRDefault="00366397" w:rsidP="00A116E4">
            <w:pPr>
              <w:pStyle w:val="TableText"/>
              <w:spacing w:before="40" w:after="40"/>
            </w:pPr>
            <w:r w:rsidRPr="008A2236">
              <w:rPr>
                <w:rFonts w:eastAsia="Calibri"/>
              </w:rPr>
              <w:t>KP-LULUCF – F</w:t>
            </w:r>
            <w:r>
              <w:rPr>
                <w:rFonts w:eastAsia="Calibri"/>
              </w:rPr>
              <w:t>orest management</w:t>
            </w:r>
            <w:r w:rsidRPr="008A2236">
              <w:rPr>
                <w:rFonts w:eastAsia="Calibri"/>
              </w:rPr>
              <w:t xml:space="preserve">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tcMar>
              <w:right w:w="57" w:type="dxa"/>
            </w:tcMar>
            <w:vAlign w:val="center"/>
          </w:tcPr>
          <w:p w14:paraId="74FC31CE" w14:textId="77777777" w:rsidR="00366397" w:rsidRPr="008A2236" w:rsidRDefault="00366397" w:rsidP="00A116E4">
            <w:pPr>
              <w:pStyle w:val="TableText"/>
              <w:spacing w:before="40" w:after="40"/>
            </w:pPr>
            <w:r w:rsidRPr="008A2236">
              <w:rPr>
                <w:rFonts w:eastAsia="Calibri"/>
              </w:rPr>
              <w:t>KL.20, 2019</w:t>
            </w:r>
          </w:p>
        </w:tc>
        <w:tc>
          <w:tcPr>
            <w:tcW w:w="2835" w:type="dxa"/>
            <w:shd w:val="clear" w:color="auto" w:fill="FFFFFF"/>
          </w:tcPr>
          <w:p w14:paraId="0A0FB2DC" w14:textId="77777777" w:rsidR="00366397" w:rsidRPr="008A2236" w:rsidRDefault="00366397" w:rsidP="00A116E4">
            <w:pPr>
              <w:pStyle w:val="TableText"/>
              <w:spacing w:before="40" w:after="40"/>
            </w:pPr>
            <w:r w:rsidRPr="008A2236">
              <w:rPr>
                <w:rFonts w:eastAsia="Calibri"/>
              </w:rPr>
              <w:t xml:space="preserve">The ERT recommends that New Zealand either demonstrate that its national circumstances differ from those of other developed countries so that the Party is prevented from collecting information on SOC in </w:t>
            </w:r>
            <w:r w:rsidRPr="00812625">
              <w:rPr>
                <w:rFonts w:eastAsia="Calibri"/>
              </w:rPr>
              <w:t>forest land</w:t>
            </w:r>
            <w:r w:rsidRPr="008A2236">
              <w:rPr>
                <w:rFonts w:eastAsia="Calibri"/>
              </w:rPr>
              <w:t xml:space="preserve"> across time, or recalculate the </w:t>
            </w:r>
            <w:r w:rsidRPr="00650891">
              <w:rPr>
                <w:rFonts w:eastAsia="Calibri"/>
              </w:rPr>
              <w:t xml:space="preserve">FM </w:t>
            </w:r>
            <w:r w:rsidRPr="008A2236">
              <w:rPr>
                <w:rFonts w:eastAsia="Calibri"/>
              </w:rPr>
              <w:t>estimates of SOC changes in mineral soils and then apply a technical correction to its FMRL when estimates of SOC changes in mineral soils become available.</w:t>
            </w:r>
          </w:p>
        </w:tc>
        <w:tc>
          <w:tcPr>
            <w:tcW w:w="2835" w:type="dxa"/>
            <w:shd w:val="clear" w:color="auto" w:fill="FFFFFF"/>
            <w:vAlign w:val="center"/>
          </w:tcPr>
          <w:p w14:paraId="174D61B0" w14:textId="77777777" w:rsidR="00366397" w:rsidRPr="008A2236" w:rsidRDefault="00366397" w:rsidP="00A116E4">
            <w:pPr>
              <w:pStyle w:val="TableText"/>
              <w:spacing w:before="40" w:after="40"/>
            </w:pPr>
            <w:r w:rsidRPr="008A2236">
              <w:rPr>
                <w:rFonts w:eastAsia="Calibri"/>
                <w:b/>
              </w:rPr>
              <w:t xml:space="preserve">Not resolved. </w:t>
            </w:r>
            <w:r w:rsidRPr="008A2236">
              <w:rPr>
                <w:rFonts w:eastAsia="Calibri"/>
                <w:bCs/>
              </w:rPr>
              <w:t xml:space="preserve">To undertake a robust study to collect this information would likely cost between $400,000 and $600,000 </w:t>
            </w:r>
            <w:r>
              <w:rPr>
                <w:rFonts w:eastAsia="Calibri"/>
                <w:bCs/>
              </w:rPr>
              <w:t xml:space="preserve">NZD </w:t>
            </w:r>
            <w:r w:rsidRPr="008A2236">
              <w:rPr>
                <w:rFonts w:eastAsia="Calibri"/>
                <w:bCs/>
              </w:rPr>
              <w:t>per year. At a minimum, this is more than five times the annual research budget for the LULUCF sector. Following decision tree 2.4 in volume 4 of the 2006 IPCC Guidelines (IPCC</w:t>
            </w:r>
            <w:r>
              <w:rPr>
                <w:rFonts w:eastAsia="Calibri"/>
                <w:bCs/>
              </w:rPr>
              <w:t>,</w:t>
            </w:r>
            <w:r w:rsidRPr="008A2236">
              <w:rPr>
                <w:rFonts w:eastAsia="Calibri"/>
                <w:bCs/>
              </w:rPr>
              <w:t xml:space="preserve"> 2006</w:t>
            </w:r>
            <w:r>
              <w:rPr>
                <w:rFonts w:eastAsia="Calibri"/>
                <w:bCs/>
              </w:rPr>
              <w:t>b</w:t>
            </w:r>
            <w:r w:rsidRPr="008A2236">
              <w:rPr>
                <w:rFonts w:eastAsia="Calibri"/>
                <w:bCs/>
              </w:rPr>
              <w:t>), there are insufficient resources to implement such research in the near future without a significant increase in funding. A proposal has been made for funding to undertake this work but the outcome is not yet known.</w:t>
            </w:r>
          </w:p>
        </w:tc>
      </w:tr>
      <w:tr w:rsidR="00366397" w:rsidRPr="008A2236" w14:paraId="470F387C" w14:textId="77777777" w:rsidTr="00A116E4">
        <w:tc>
          <w:tcPr>
            <w:tcW w:w="1758" w:type="dxa"/>
            <w:shd w:val="clear" w:color="auto" w:fill="FFFFFF"/>
            <w:vAlign w:val="center"/>
          </w:tcPr>
          <w:p w14:paraId="13CEBE08" w14:textId="77777777" w:rsidR="00366397" w:rsidRPr="008A2236" w:rsidRDefault="00366397" w:rsidP="0030211F">
            <w:pPr>
              <w:pStyle w:val="TableText"/>
            </w:pPr>
            <w:r w:rsidRPr="008A2236">
              <w:rPr>
                <w:rFonts w:eastAsia="Calibri"/>
              </w:rPr>
              <w:lastRenderedPageBreak/>
              <w:t>KP-LULUCF – F</w:t>
            </w:r>
            <w:r>
              <w:rPr>
                <w:rFonts w:eastAsia="Calibri"/>
              </w:rPr>
              <w:t>orest management</w:t>
            </w:r>
            <w:r w:rsidRPr="008A2236">
              <w:rPr>
                <w:rFonts w:eastAsia="Calibri"/>
              </w:rPr>
              <w:t xml:space="preserve"> </w:t>
            </w:r>
            <w:r>
              <w:rPr>
                <w:rFonts w:eastAsia="Calibri"/>
              </w:rPr>
              <w:t>–</w:t>
            </w:r>
            <w:r w:rsidRPr="008A2236">
              <w:rPr>
                <w:rFonts w:eastAsia="Calibri"/>
              </w:rPr>
              <w:t xml:space="preserve"> CO</w:t>
            </w:r>
            <w:r w:rsidRPr="008A2236">
              <w:rPr>
                <w:rFonts w:eastAsia="Calibri"/>
                <w:vertAlign w:val="subscript"/>
              </w:rPr>
              <w:t>2</w:t>
            </w:r>
          </w:p>
        </w:tc>
        <w:tc>
          <w:tcPr>
            <w:tcW w:w="907" w:type="dxa"/>
            <w:shd w:val="clear" w:color="auto" w:fill="FFFFFF"/>
            <w:tcMar>
              <w:right w:w="57" w:type="dxa"/>
            </w:tcMar>
            <w:vAlign w:val="center"/>
          </w:tcPr>
          <w:p w14:paraId="7D5CF7D8" w14:textId="77777777" w:rsidR="00366397" w:rsidRPr="008A2236" w:rsidRDefault="00366397" w:rsidP="0030211F">
            <w:pPr>
              <w:pStyle w:val="TableText"/>
            </w:pPr>
            <w:r w:rsidRPr="008A2236">
              <w:rPr>
                <w:rFonts w:eastAsia="Calibri"/>
              </w:rPr>
              <w:t>KL.21, 2109</w:t>
            </w:r>
          </w:p>
        </w:tc>
        <w:tc>
          <w:tcPr>
            <w:tcW w:w="2835" w:type="dxa"/>
            <w:shd w:val="clear" w:color="auto" w:fill="FFFFFF"/>
          </w:tcPr>
          <w:p w14:paraId="729D097C" w14:textId="77777777" w:rsidR="00366397" w:rsidRPr="008A2236" w:rsidRDefault="00366397" w:rsidP="0030211F">
            <w:pPr>
              <w:pStyle w:val="TableText"/>
            </w:pPr>
            <w:r w:rsidRPr="008A2236">
              <w:rPr>
                <w:rFonts w:eastAsia="Calibri"/>
              </w:rPr>
              <w:t>The ERT recommends that New Zealand report the correct values, in kt CO</w:t>
            </w:r>
            <w:r w:rsidRPr="008A2236">
              <w:rPr>
                <w:rFonts w:eastAsia="Calibri"/>
                <w:vertAlign w:val="subscript"/>
              </w:rPr>
              <w:t>2</w:t>
            </w:r>
            <w:r w:rsidRPr="008A2236">
              <w:rPr>
                <w:rFonts w:eastAsia="Calibri"/>
              </w:rPr>
              <w:t xml:space="preserve"> eq, for the FMRL (11,150.00 kt CO</w:t>
            </w:r>
            <w:r w:rsidRPr="008A2236">
              <w:rPr>
                <w:rFonts w:eastAsia="Calibri"/>
                <w:vertAlign w:val="subscript"/>
              </w:rPr>
              <w:t>2</w:t>
            </w:r>
            <w:r w:rsidRPr="008A2236">
              <w:rPr>
                <w:rFonts w:eastAsia="Calibri"/>
              </w:rPr>
              <w:t xml:space="preserve"> eq) and the technical correction to the FMRL in the CRF accounting table.</w:t>
            </w:r>
          </w:p>
        </w:tc>
        <w:tc>
          <w:tcPr>
            <w:tcW w:w="2835" w:type="dxa"/>
            <w:shd w:val="clear" w:color="auto" w:fill="FFFFFF"/>
            <w:vAlign w:val="center"/>
          </w:tcPr>
          <w:p w14:paraId="0D81C92B" w14:textId="77777777" w:rsidR="00366397" w:rsidRPr="008A2236" w:rsidRDefault="00366397" w:rsidP="0030211F">
            <w:pPr>
              <w:pStyle w:val="TableText"/>
            </w:pPr>
            <w:r w:rsidRPr="008A2236">
              <w:rPr>
                <w:rFonts w:eastAsia="Calibri"/>
                <w:b/>
              </w:rPr>
              <w:t>Resolved.</w:t>
            </w:r>
            <w:r w:rsidRPr="008A2236">
              <w:rPr>
                <w:rFonts w:eastAsia="Calibri"/>
              </w:rPr>
              <w:t xml:space="preserve"> This error has been addressed and the correct FMRL value is now reported in the CRF accounting table.</w:t>
            </w:r>
          </w:p>
        </w:tc>
      </w:tr>
      <w:tr w:rsidR="00366397" w:rsidRPr="008A2236" w14:paraId="0C007830" w14:textId="77777777" w:rsidTr="00A116E4">
        <w:tc>
          <w:tcPr>
            <w:tcW w:w="1758" w:type="dxa"/>
            <w:shd w:val="clear" w:color="auto" w:fill="FFFFFF"/>
            <w:vAlign w:val="center"/>
          </w:tcPr>
          <w:p w14:paraId="2DF6B9ED" w14:textId="77777777" w:rsidR="00366397" w:rsidRPr="008A2236" w:rsidRDefault="00366397" w:rsidP="0030211F">
            <w:pPr>
              <w:pStyle w:val="TableText"/>
            </w:pPr>
            <w:r w:rsidRPr="008A2236">
              <w:rPr>
                <w:rFonts w:eastAsia="Calibri"/>
              </w:rPr>
              <w:t xml:space="preserve">KP-LULUCF </w:t>
            </w:r>
            <w:r>
              <w:rPr>
                <w:rFonts w:eastAsia="Calibri"/>
              </w:rPr>
              <w:t>–</w:t>
            </w:r>
            <w:r w:rsidRPr="008A2236">
              <w:rPr>
                <w:rFonts w:eastAsia="Calibri"/>
              </w:rPr>
              <w:t xml:space="preserve"> CH</w:t>
            </w:r>
            <w:r w:rsidRPr="008A2236">
              <w:rPr>
                <w:rFonts w:eastAsia="Calibri"/>
                <w:vertAlign w:val="subscript"/>
              </w:rPr>
              <w:t>4</w:t>
            </w:r>
            <w:r w:rsidRPr="008A2236">
              <w:rPr>
                <w:rFonts w:eastAsia="Calibri"/>
              </w:rPr>
              <w:t xml:space="preserve"> and N</w:t>
            </w:r>
            <w:r w:rsidRPr="008A2236">
              <w:rPr>
                <w:rFonts w:eastAsia="Calibri"/>
                <w:vertAlign w:val="subscript"/>
              </w:rPr>
              <w:t>2</w:t>
            </w:r>
            <w:r w:rsidRPr="008A2236">
              <w:rPr>
                <w:rFonts w:eastAsia="Calibri"/>
              </w:rPr>
              <w:t xml:space="preserve">O emissions from drained and rewetted organic soils </w:t>
            </w:r>
            <w:r>
              <w:rPr>
                <w:rFonts w:eastAsia="Calibri"/>
              </w:rPr>
              <w:t>–</w:t>
            </w:r>
            <w:r w:rsidRPr="008A2236">
              <w:rPr>
                <w:rFonts w:eastAsia="Calibri"/>
              </w:rPr>
              <w:t xml:space="preserve"> N</w:t>
            </w:r>
            <w:r w:rsidRPr="008A2236">
              <w:rPr>
                <w:rFonts w:eastAsia="Calibri"/>
                <w:vertAlign w:val="subscript"/>
              </w:rPr>
              <w:t>2</w:t>
            </w:r>
            <w:r w:rsidRPr="008A2236">
              <w:rPr>
                <w:rFonts w:eastAsia="Calibri"/>
              </w:rPr>
              <w:t>O</w:t>
            </w:r>
          </w:p>
        </w:tc>
        <w:tc>
          <w:tcPr>
            <w:tcW w:w="907" w:type="dxa"/>
            <w:shd w:val="clear" w:color="auto" w:fill="FFFFFF"/>
            <w:tcMar>
              <w:right w:w="57" w:type="dxa"/>
            </w:tcMar>
            <w:vAlign w:val="center"/>
          </w:tcPr>
          <w:p w14:paraId="6D477A82" w14:textId="77777777" w:rsidR="00366397" w:rsidRPr="008A2236" w:rsidRDefault="00366397" w:rsidP="0030211F">
            <w:pPr>
              <w:pStyle w:val="TableText"/>
            </w:pPr>
            <w:r w:rsidRPr="008A2236">
              <w:rPr>
                <w:rFonts w:eastAsia="Calibri"/>
              </w:rPr>
              <w:t>KL.22, 2019</w:t>
            </w:r>
          </w:p>
        </w:tc>
        <w:tc>
          <w:tcPr>
            <w:tcW w:w="2835" w:type="dxa"/>
            <w:shd w:val="clear" w:color="auto" w:fill="FFFFFF"/>
          </w:tcPr>
          <w:p w14:paraId="6A33BD04" w14:textId="77777777" w:rsidR="00366397" w:rsidRPr="008A2236" w:rsidRDefault="00366397" w:rsidP="0030211F">
            <w:pPr>
              <w:pStyle w:val="TableText"/>
            </w:pPr>
            <w:r w:rsidRPr="008A2236">
              <w:rPr>
                <w:rFonts w:eastAsia="Calibri"/>
              </w:rPr>
              <w:t>The ERT recommends that New Zealand report N</w:t>
            </w:r>
            <w:r w:rsidRPr="008A2236">
              <w:rPr>
                <w:rFonts w:eastAsia="Calibri"/>
                <w:vertAlign w:val="subscript"/>
              </w:rPr>
              <w:t>2</w:t>
            </w:r>
            <w:r w:rsidRPr="008A2236">
              <w:rPr>
                <w:rFonts w:eastAsia="Calibri"/>
              </w:rPr>
              <w:softHyphen/>
              <w:t>O emissions from drainage of non-agricultural organic soils in CRF table 4(KP-II)2 for each non-agricultural land category for which it reports a SOC loss in organic soils in CRF tables 4(KP</w:t>
            </w:r>
            <w:r w:rsidRPr="008A2236">
              <w:rPr>
                <w:rFonts w:ascii="Cambria Math" w:eastAsia="Calibri" w:hAnsi="Cambria Math" w:cs="Cambria Math"/>
              </w:rPr>
              <w:t>‑</w:t>
            </w:r>
            <w:r w:rsidRPr="008A2236">
              <w:rPr>
                <w:rFonts w:eastAsia="Calibri"/>
              </w:rPr>
              <w:t>I)A.1, 4(KP-I)A.2 and 4(KP-I)B.1.</w:t>
            </w:r>
          </w:p>
        </w:tc>
        <w:tc>
          <w:tcPr>
            <w:tcW w:w="2835" w:type="dxa"/>
            <w:shd w:val="clear" w:color="auto" w:fill="FFFFFF"/>
            <w:vAlign w:val="center"/>
          </w:tcPr>
          <w:p w14:paraId="5DE742F4" w14:textId="77777777" w:rsidR="00366397" w:rsidRPr="008A2236" w:rsidRDefault="00366397" w:rsidP="0030211F">
            <w:pPr>
              <w:pStyle w:val="TableText"/>
            </w:pPr>
            <w:r w:rsidRPr="008A2236">
              <w:rPr>
                <w:rFonts w:eastAsia="Calibri"/>
                <w:b/>
              </w:rPr>
              <w:t>Resolved.</w:t>
            </w:r>
            <w:r w:rsidRPr="008A2236">
              <w:rPr>
                <w:rFonts w:eastAsia="Calibri"/>
                <w:b/>
                <w:bCs/>
              </w:rPr>
              <w:t xml:space="preserve"> </w:t>
            </w:r>
            <w:r w:rsidRPr="008A2236">
              <w:rPr>
                <w:rFonts w:eastAsia="Calibri"/>
              </w:rPr>
              <w:t>N</w:t>
            </w:r>
            <w:r w:rsidRPr="008A2236">
              <w:rPr>
                <w:rFonts w:eastAsia="Calibri"/>
                <w:vertAlign w:val="subscript"/>
              </w:rPr>
              <w:t>2</w:t>
            </w:r>
            <w:r w:rsidRPr="008A2236">
              <w:rPr>
                <w:rFonts w:eastAsia="Calibri"/>
              </w:rPr>
              <w:t>O emissions from drainage of non</w:t>
            </w:r>
            <w:r w:rsidRPr="008A2236">
              <w:rPr>
                <w:rFonts w:eastAsia="Calibri"/>
              </w:rPr>
              <w:noBreakHyphen/>
              <w:t xml:space="preserve">agricultural organic soils have been reported. See </w:t>
            </w:r>
            <w:r>
              <w:rPr>
                <w:rFonts w:eastAsia="Calibri"/>
              </w:rPr>
              <w:t xml:space="preserve">chapter 11, </w:t>
            </w:r>
            <w:r w:rsidRPr="008A2236">
              <w:rPr>
                <w:rFonts w:eastAsia="Calibri"/>
              </w:rPr>
              <w:t>section 11.3.7 for further information.</w:t>
            </w:r>
          </w:p>
        </w:tc>
      </w:tr>
    </w:tbl>
    <w:p w14:paraId="090F9259" w14:textId="4EAB8C1A" w:rsidR="00366397" w:rsidRDefault="00366397" w:rsidP="00366397">
      <w:pPr>
        <w:pStyle w:val="Noteundertable"/>
        <w:rPr>
          <w:rFonts w:eastAsia="Calibri"/>
        </w:rPr>
      </w:pPr>
      <w:bookmarkStart w:id="2662" w:name="chapter-10-references"/>
      <w:bookmarkEnd w:id="2659"/>
      <w:r w:rsidRPr="00382AE8">
        <w:rPr>
          <w:b/>
          <w:bCs/>
        </w:rPr>
        <w:t>Note:</w:t>
      </w:r>
      <w:r w:rsidRPr="00543A2E">
        <w:tab/>
      </w:r>
      <w:r w:rsidRPr="00650891">
        <w:rPr>
          <w:rFonts w:eastAsia="Calibri"/>
        </w:rPr>
        <w:t>AD</w:t>
      </w:r>
      <w:r>
        <w:rPr>
          <w:rFonts w:eastAsia="Calibri"/>
        </w:rPr>
        <w:t xml:space="preserve"> = activity data;</w:t>
      </w:r>
      <w:r w:rsidRPr="00650891">
        <w:rPr>
          <w:rFonts w:eastAsia="Calibri"/>
        </w:rPr>
        <w:t xml:space="preserve"> AR</w:t>
      </w:r>
      <w:r>
        <w:rPr>
          <w:rFonts w:eastAsia="Calibri"/>
        </w:rPr>
        <w:t xml:space="preserve"> = </w:t>
      </w:r>
      <w:r>
        <w:rPr>
          <w:rFonts w:eastAsia="Calibri"/>
          <w:i/>
          <w:iCs/>
        </w:rPr>
        <w:t>Afforestation/reforestation;</w:t>
      </w:r>
      <w:r w:rsidRPr="00650891">
        <w:rPr>
          <w:rFonts w:eastAsia="Calibri"/>
        </w:rPr>
        <w:t xml:space="preserve"> </w:t>
      </w:r>
      <w:r>
        <w:t xml:space="preserve">CEF = carbon equivalent forest; </w:t>
      </w:r>
      <w:r w:rsidRPr="008A2236">
        <w:rPr>
          <w:rFonts w:eastAsia="Calibri"/>
        </w:rPr>
        <w:t>CRF</w:t>
      </w:r>
      <w:r>
        <w:rPr>
          <w:rFonts w:eastAsia="Calibri"/>
        </w:rPr>
        <w:t xml:space="preserve"> = common reporting format;</w:t>
      </w:r>
      <w:r w:rsidRPr="005D38CA">
        <w:rPr>
          <w:rFonts w:eastAsia="Calibri"/>
        </w:rPr>
        <w:t xml:space="preserve"> </w:t>
      </w:r>
      <w:r w:rsidRPr="008A2236">
        <w:rPr>
          <w:rFonts w:eastAsia="Calibri"/>
        </w:rPr>
        <w:t>CSC</w:t>
      </w:r>
      <w:r>
        <w:rPr>
          <w:rFonts w:eastAsia="Calibri"/>
        </w:rPr>
        <w:t xml:space="preserve"> = carbon stock change;</w:t>
      </w:r>
      <w:r w:rsidRPr="00650891">
        <w:rPr>
          <w:rFonts w:eastAsia="Calibri"/>
        </w:rPr>
        <w:t xml:space="preserve"> EF</w:t>
      </w:r>
      <w:r>
        <w:rPr>
          <w:rFonts w:eastAsia="Calibri"/>
        </w:rPr>
        <w:t xml:space="preserve"> = emission factor;</w:t>
      </w:r>
      <w:r w:rsidRPr="008A2236">
        <w:rPr>
          <w:rFonts w:eastAsia="Calibri"/>
        </w:rPr>
        <w:t xml:space="preserve"> ERT</w:t>
      </w:r>
      <w:r>
        <w:rPr>
          <w:rFonts w:eastAsia="Calibri"/>
        </w:rPr>
        <w:t xml:space="preserve"> = expert review team; ETS</w:t>
      </w:r>
      <w:r w:rsidR="00A116E4">
        <w:rPr>
          <w:rFonts w:eastAsia="Calibri"/>
        </w:rPr>
        <w:t> </w:t>
      </w:r>
      <w:r>
        <w:rPr>
          <w:rFonts w:eastAsia="Calibri"/>
        </w:rPr>
        <w:t>=</w:t>
      </w:r>
      <w:r w:rsidR="00A116E4">
        <w:rPr>
          <w:rFonts w:eastAsia="Calibri"/>
        </w:rPr>
        <w:t> </w:t>
      </w:r>
      <w:r>
        <w:rPr>
          <w:rFonts w:eastAsia="Calibri"/>
        </w:rPr>
        <w:t xml:space="preserve">Emissions Trading Scheme; </w:t>
      </w:r>
      <w:r w:rsidRPr="00650891">
        <w:rPr>
          <w:rFonts w:eastAsia="Calibri"/>
        </w:rPr>
        <w:t>FM</w:t>
      </w:r>
      <w:r w:rsidRPr="00650891">
        <w:t xml:space="preserve"> </w:t>
      </w:r>
      <w:r>
        <w:t xml:space="preserve">= </w:t>
      </w:r>
      <w:r>
        <w:rPr>
          <w:i/>
          <w:iCs/>
        </w:rPr>
        <w:t>Forest management</w:t>
      </w:r>
      <w:r>
        <w:t xml:space="preserve">; </w:t>
      </w:r>
      <w:r>
        <w:rPr>
          <w:rFonts w:eastAsia="Calibri"/>
        </w:rPr>
        <w:t>FMRL = forest management reference level; FMRL</w:t>
      </w:r>
      <w:r w:rsidRPr="008D56E9">
        <w:rPr>
          <w:rFonts w:eastAsia="Calibri"/>
          <w:i/>
          <w:iCs/>
          <w:vertAlign w:val="subscript"/>
        </w:rPr>
        <w:t>corr</w:t>
      </w:r>
      <w:r>
        <w:rPr>
          <w:rFonts w:eastAsia="Calibri"/>
        </w:rPr>
        <w:t xml:space="preserve"> = technically corrected</w:t>
      </w:r>
      <w:r w:rsidRPr="00DC69EC">
        <w:rPr>
          <w:rFonts w:eastAsia="Calibri"/>
        </w:rPr>
        <w:t xml:space="preserve"> </w:t>
      </w:r>
      <w:r>
        <w:rPr>
          <w:rFonts w:eastAsia="Calibri"/>
        </w:rPr>
        <w:t>forest management reference level; GDP = gross domestic product;</w:t>
      </w:r>
      <w:r w:rsidRPr="008A2236">
        <w:rPr>
          <w:rFonts w:eastAsia="Calibri"/>
        </w:rPr>
        <w:t xml:space="preserve"> </w:t>
      </w:r>
      <w:r>
        <w:rPr>
          <w:rFonts w:eastAsia="Calibri"/>
        </w:rPr>
        <w:t>GHG</w:t>
      </w:r>
      <w:r w:rsidR="00A116E4">
        <w:rPr>
          <w:rFonts w:eastAsia="Calibri"/>
        </w:rPr>
        <w:t> </w:t>
      </w:r>
      <w:r>
        <w:rPr>
          <w:rFonts w:eastAsia="Calibri"/>
        </w:rPr>
        <w:t>=</w:t>
      </w:r>
      <w:r w:rsidR="00A116E4">
        <w:rPr>
          <w:rFonts w:eastAsia="Calibri"/>
        </w:rPr>
        <w:t> </w:t>
      </w:r>
      <w:r>
        <w:rPr>
          <w:rFonts w:eastAsia="Calibri"/>
        </w:rPr>
        <w:t xml:space="preserve">greenhouse gas; </w:t>
      </w:r>
      <w:r w:rsidRPr="008A2236">
        <w:rPr>
          <w:rFonts w:eastAsia="Calibri"/>
        </w:rPr>
        <w:t>HFC</w:t>
      </w:r>
      <w:r>
        <w:rPr>
          <w:rFonts w:eastAsia="Calibri"/>
        </w:rPr>
        <w:t xml:space="preserve"> = hydrofluorocarbon;</w:t>
      </w:r>
      <w:r w:rsidRPr="00650891">
        <w:rPr>
          <w:rFonts w:eastAsia="Calibri"/>
        </w:rPr>
        <w:t xml:space="preserve"> HWP</w:t>
      </w:r>
      <w:r>
        <w:rPr>
          <w:rFonts w:eastAsia="Calibri"/>
        </w:rPr>
        <w:t xml:space="preserve"> = </w:t>
      </w:r>
      <w:r w:rsidRPr="00650891">
        <w:rPr>
          <w:rFonts w:eastAsia="Calibri"/>
          <w:i/>
          <w:iCs/>
        </w:rPr>
        <w:t xml:space="preserve">Harvested </w:t>
      </w:r>
      <w:r w:rsidRPr="008D56E9">
        <w:rPr>
          <w:rFonts w:eastAsia="Calibri"/>
          <w:i/>
          <w:iCs/>
        </w:rPr>
        <w:t>wood products</w:t>
      </w:r>
      <w:r>
        <w:rPr>
          <w:rFonts w:eastAsia="Calibri"/>
        </w:rPr>
        <w:t>;</w:t>
      </w:r>
      <w:r w:rsidRPr="00BB6BBD">
        <w:rPr>
          <w:rFonts w:eastAsia="Calibri"/>
        </w:rPr>
        <w:t xml:space="preserve"> </w:t>
      </w:r>
      <w:r>
        <w:rPr>
          <w:rFonts w:eastAsia="Calibri"/>
        </w:rPr>
        <w:t>IE = included elsewhere; IEF = implied emission factor;</w:t>
      </w:r>
      <w:r w:rsidRPr="00CD2D79">
        <w:rPr>
          <w:rFonts w:eastAsia="Calibri"/>
        </w:rPr>
        <w:t xml:space="preserve"> </w:t>
      </w:r>
      <w:r>
        <w:rPr>
          <w:rFonts w:eastAsia="Calibri"/>
        </w:rPr>
        <w:t xml:space="preserve">IPCC = Intergovernmental Panel on Climate Change; </w:t>
      </w:r>
      <w:r w:rsidRPr="008A2236">
        <w:rPr>
          <w:rFonts w:eastAsia="Calibri"/>
        </w:rPr>
        <w:t>IPPU</w:t>
      </w:r>
      <w:r>
        <w:rPr>
          <w:rFonts w:eastAsia="Calibri"/>
        </w:rPr>
        <w:t xml:space="preserve"> = Industrial Processes and Product Use;</w:t>
      </w:r>
      <w:r w:rsidRPr="008A2236">
        <w:rPr>
          <w:rFonts w:eastAsia="Calibri"/>
        </w:rPr>
        <w:t xml:space="preserve"> </w:t>
      </w:r>
      <w:r>
        <w:rPr>
          <w:rFonts w:eastAsia="Calibri"/>
        </w:rPr>
        <w:t xml:space="preserve">KP = Kyoto Protocol; LUCAS = Land Use and Carbon Analysis System; </w:t>
      </w:r>
      <w:r w:rsidRPr="008A2236">
        <w:rPr>
          <w:rFonts w:eastAsia="Calibri"/>
        </w:rPr>
        <w:t>LULUCF</w:t>
      </w:r>
      <w:r w:rsidRPr="00BB6BBD">
        <w:rPr>
          <w:rFonts w:eastAsia="Calibri"/>
        </w:rPr>
        <w:t xml:space="preserve"> </w:t>
      </w:r>
      <w:r>
        <w:rPr>
          <w:rFonts w:eastAsia="Calibri"/>
        </w:rPr>
        <w:t xml:space="preserve">= Land Use, Land-Use Change and Forestry; MBIE = Ministry of Business, Innovation and Employment; MPI = Ministry for Primary Industries; NE = not estimated; NEFD = National Exotic Forest Description; </w:t>
      </w:r>
      <w:r w:rsidRPr="008A2236">
        <w:rPr>
          <w:rFonts w:eastAsia="Calibri"/>
        </w:rPr>
        <w:t>NIR</w:t>
      </w:r>
      <w:r w:rsidRPr="00BB6BBD">
        <w:rPr>
          <w:rFonts w:eastAsia="Calibri"/>
        </w:rPr>
        <w:t xml:space="preserve"> </w:t>
      </w:r>
      <w:r>
        <w:rPr>
          <w:rFonts w:eastAsia="Calibri"/>
        </w:rPr>
        <w:t>= National Inventory Report; NO = not occurring; PJ = petajoules; QA = quality assurance; QC = quality control; SOC = soil organic carbon;</w:t>
      </w:r>
      <w:r w:rsidRPr="00BB6BBD">
        <w:rPr>
          <w:rFonts w:eastAsia="Calibri"/>
        </w:rPr>
        <w:t xml:space="preserve"> </w:t>
      </w:r>
      <w:r w:rsidRPr="008A2236">
        <w:rPr>
          <w:rFonts w:eastAsia="Calibri"/>
        </w:rPr>
        <w:t>UNFCCC</w:t>
      </w:r>
      <w:r>
        <w:rPr>
          <w:rFonts w:eastAsia="Calibri"/>
        </w:rPr>
        <w:t xml:space="preserve"> = United Nations Framework Convention on Climate Change.</w:t>
      </w:r>
    </w:p>
    <w:p w14:paraId="5976AF54" w14:textId="7A91AC24" w:rsidR="00366397" w:rsidRPr="00AD5130" w:rsidRDefault="00366397" w:rsidP="00A116E4">
      <w:pPr>
        <w:pStyle w:val="Heading2"/>
        <w:spacing w:before="0" w:after="360"/>
      </w:pPr>
      <w:r w:rsidRPr="008A2236">
        <w:br w:type="page"/>
      </w:r>
      <w:bookmarkStart w:id="2663" w:name="_Toc99659169"/>
      <w:r w:rsidRPr="008A2236">
        <w:lastRenderedPageBreak/>
        <w:t>Chapter 10: References</w:t>
      </w:r>
      <w:bookmarkEnd w:id="2663"/>
    </w:p>
    <w:p w14:paraId="3931162A" w14:textId="77777777" w:rsidR="00366397" w:rsidRDefault="00366397" w:rsidP="00366397">
      <w:pPr>
        <w:pStyle w:val="References"/>
      </w:pPr>
      <w:r w:rsidRPr="008A2236">
        <w:t xml:space="preserve">Eunomia. Unpublished. Improvements to Estimates of Greenhouse Gas Emissions from Landfills. </w:t>
      </w:r>
      <w:r>
        <w:t>Contract r</w:t>
      </w:r>
      <w:r w:rsidRPr="008A2236">
        <w:t xml:space="preserve">eport </w:t>
      </w:r>
      <w:r>
        <w:t>prepared for</w:t>
      </w:r>
      <w:r w:rsidRPr="008A2236">
        <w:t xml:space="preserve"> the Ministry for the Environment in 2020.</w:t>
      </w:r>
    </w:p>
    <w:p w14:paraId="2B2C0B45" w14:textId="536ABFC0" w:rsidR="00366397" w:rsidRPr="005B1288" w:rsidRDefault="00366397" w:rsidP="00366397">
      <w:pPr>
        <w:pStyle w:val="References"/>
      </w:pPr>
      <w:r w:rsidRPr="005B1288">
        <w:t>Holdaway RJ, McNeill SJ, Mason NWH</w:t>
      </w:r>
      <w:r>
        <w:t>, Carswell, FE.</w:t>
      </w:r>
      <w:r w:rsidRPr="005B1288">
        <w:t xml:space="preserve"> 2014. Propagating Uncertainty in Plot-based Estimates of Forest Carbon Stock and Carbon Stock Change.</w:t>
      </w:r>
      <w:r>
        <w:t xml:space="preserve"> </w:t>
      </w:r>
      <w:r w:rsidRPr="0056165C">
        <w:rPr>
          <w:i/>
          <w:iCs/>
        </w:rPr>
        <w:t>Ecosystems</w:t>
      </w:r>
      <w:r>
        <w:t xml:space="preserve"> </w:t>
      </w:r>
      <w:r w:rsidRPr="005B1288">
        <w:t>17,</w:t>
      </w:r>
      <w:r>
        <w:t xml:space="preserve"> </w:t>
      </w:r>
      <w:r w:rsidRPr="005B1288">
        <w:t xml:space="preserve">627–640 (2014). </w:t>
      </w:r>
      <w:hyperlink r:id="rId267" w:history="1">
        <w:r w:rsidRPr="005B1288">
          <w:t>https://doi.org/10.1007/s10021-014-9749-5</w:t>
        </w:r>
      </w:hyperlink>
      <w:r w:rsidR="003F155A">
        <w:t>.</w:t>
      </w:r>
    </w:p>
    <w:p w14:paraId="53B930E1" w14:textId="77777777" w:rsidR="00366397" w:rsidRDefault="00366397" w:rsidP="00366397">
      <w:pPr>
        <w:pStyle w:val="References"/>
        <w:rPr>
          <w:rFonts w:cs="Calibri"/>
          <w:color w:val="000000"/>
          <w:szCs w:val="20"/>
          <w:shd w:val="clear" w:color="auto" w:fill="FFFFFF"/>
        </w:rPr>
      </w:pPr>
      <w:r>
        <w:rPr>
          <w:rFonts w:cs="Calibri"/>
          <w:color w:val="000000"/>
          <w:szCs w:val="20"/>
          <w:shd w:val="clear" w:color="auto" w:fill="FFFFFF"/>
        </w:rPr>
        <w:t xml:space="preserve">IPCC. 2006a. Eggleston HS, Buendia L, Miwa K, Ngara T, Tanabe K (eds). </w:t>
      </w:r>
      <w:r>
        <w:rPr>
          <w:rFonts w:cs="Calibri"/>
          <w:i/>
          <w:iCs/>
          <w:color w:val="000000"/>
          <w:szCs w:val="20"/>
          <w:shd w:val="clear" w:color="auto" w:fill="FFFFFF"/>
        </w:rPr>
        <w:t>2006 IPCC</w:t>
      </w:r>
      <w:r>
        <w:rPr>
          <w:rFonts w:cs="Calibri"/>
          <w:color w:val="000000"/>
          <w:szCs w:val="20"/>
          <w:shd w:val="clear" w:color="auto" w:fill="FFFFFF"/>
        </w:rPr>
        <w:t xml:space="preserve"> </w:t>
      </w:r>
      <w:r>
        <w:rPr>
          <w:rFonts w:cs="Calibri"/>
          <w:i/>
          <w:iCs/>
          <w:color w:val="000000"/>
          <w:szCs w:val="20"/>
          <w:shd w:val="clear" w:color="auto" w:fill="FFFFFF"/>
        </w:rPr>
        <w:t>Guidelines for National Greenhouse Gas Inventories. Volume 3. Industrial Processes and Product Use</w:t>
      </w:r>
      <w:r>
        <w:rPr>
          <w:rFonts w:cs="Calibri"/>
          <w:color w:val="000000"/>
          <w:szCs w:val="20"/>
          <w:shd w:val="clear" w:color="auto" w:fill="FFFFFF"/>
        </w:rPr>
        <w:t>. IPCC National Greenhouse Gas Inventories Programme. Japan: Institute for Global Environmental Strategies for IPCC.</w:t>
      </w:r>
    </w:p>
    <w:p w14:paraId="02950747" w14:textId="77777777" w:rsidR="00366397" w:rsidRPr="008A2236" w:rsidRDefault="00366397" w:rsidP="00366397">
      <w:pPr>
        <w:pStyle w:val="References"/>
      </w:pPr>
      <w:r w:rsidRPr="008A2236">
        <w:t>IPCC. 2006</w:t>
      </w:r>
      <w:r>
        <w:t>b</w:t>
      </w:r>
      <w:r w:rsidRPr="008A2236">
        <w:t xml:space="preserve">. Eggleston HS, Buendia L, Miwa K, Ngara T, Tanabe K (eds). </w:t>
      </w:r>
      <w:r w:rsidRPr="008A2236">
        <w:rPr>
          <w:i/>
          <w:iCs/>
        </w:rPr>
        <w:t>2006 IPCC Guidelines for National Greenhouse Gas Inventories. Volume 4. Agriculture, Forestry and Other Land Use. IPCC National Greenhouse Gas Inventories Programme</w:t>
      </w:r>
      <w:r w:rsidRPr="008A2236">
        <w:t>. Japan: Institute for Global Environmental Strategies for IPCC.</w:t>
      </w:r>
    </w:p>
    <w:p w14:paraId="2A44D29C" w14:textId="77777777" w:rsidR="00366397" w:rsidRPr="008A2236" w:rsidRDefault="00366397" w:rsidP="00366397">
      <w:pPr>
        <w:pStyle w:val="BodyText"/>
        <w:rPr>
          <w:szCs w:val="20"/>
        </w:rPr>
      </w:pPr>
      <w:r w:rsidRPr="008A2236">
        <w:rPr>
          <w:sz w:val="20"/>
          <w:szCs w:val="20"/>
        </w:rPr>
        <w:t>IPCC. 2006</w:t>
      </w:r>
      <w:r>
        <w:rPr>
          <w:sz w:val="20"/>
          <w:szCs w:val="20"/>
        </w:rPr>
        <w:t>c</w:t>
      </w:r>
      <w:r w:rsidRPr="008A2236">
        <w:rPr>
          <w:sz w:val="20"/>
          <w:szCs w:val="20"/>
        </w:rPr>
        <w:t xml:space="preserve">. Eggleston HS, Buendia L, Miwa K, Ngara T, Tanabe K (eds). </w:t>
      </w:r>
      <w:r w:rsidRPr="008A2236">
        <w:rPr>
          <w:i/>
          <w:iCs/>
          <w:sz w:val="20"/>
          <w:szCs w:val="20"/>
        </w:rPr>
        <w:t>2006 IPCC Guidelines for National Greenhouse Gas Inventories. Volume 5. Waste</w:t>
      </w:r>
      <w:r w:rsidRPr="008A2236">
        <w:rPr>
          <w:sz w:val="20"/>
          <w:szCs w:val="20"/>
        </w:rPr>
        <w:t>. IPCC National Greenhouse Gas Inventories Programme. Japan: Institute for Global Environmental Strategies for IPCC.</w:t>
      </w:r>
    </w:p>
    <w:p w14:paraId="2D507DC5" w14:textId="77777777" w:rsidR="00366397" w:rsidRDefault="00366397" w:rsidP="00366397">
      <w:pPr>
        <w:pStyle w:val="References"/>
      </w:pPr>
      <w:r w:rsidRPr="008A2236">
        <w:t xml:space="preserve">IPCC. 2014. Hiraishi T, Krug T, Tanabe K, Srivastava N, Baasansuren J, Fukuda M, and Troxler TG (eds). </w:t>
      </w:r>
      <w:r w:rsidRPr="008A2236">
        <w:rPr>
          <w:i/>
          <w:iCs/>
        </w:rPr>
        <w:t>2013 Revised Supplementary Methods and Good Practice Guidance Arising from the Kyoto Protocol</w:t>
      </w:r>
      <w:r w:rsidRPr="008A2236">
        <w:t>. Geneva, Switzerland: IPCC.</w:t>
      </w:r>
    </w:p>
    <w:p w14:paraId="03F5C9E8" w14:textId="77777777" w:rsidR="00366397" w:rsidRDefault="00366397" w:rsidP="00366397">
      <w:pPr>
        <w:pStyle w:val="References"/>
      </w:pPr>
      <w:r>
        <w:t>MPI. 2018. Animal live weight calculations in the NZ Agricultural GHG Inventory Model. MPI technical paper 2018/73. Available at https://www.mpi.govt.nz/dmsdocument/32863- animal-live-weight-calculations-in-the-nz-agricultural-ghg-inventory-model.</w:t>
      </w:r>
    </w:p>
    <w:p w14:paraId="074F8CDF" w14:textId="77777777" w:rsidR="00366397" w:rsidRPr="008A2236" w:rsidRDefault="00366397" w:rsidP="00366397">
      <w:pPr>
        <w:pStyle w:val="References"/>
      </w:pPr>
      <w:r w:rsidRPr="0074031F">
        <w:t>M</w:t>
      </w:r>
      <w:r>
        <w:t xml:space="preserve">orrisey DJ, Swales A, Dittmann S, Morrison MA, Lovelock CE and Beard CM. 2010. The ecology and management of temperate mangroves. Pp. 43-160 in </w:t>
      </w:r>
      <w:r w:rsidRPr="0056165C">
        <w:rPr>
          <w:i/>
          <w:iCs/>
        </w:rPr>
        <w:t>Oceanography and Marine Biology: An annual review</w:t>
      </w:r>
      <w:r>
        <w:t>, 2010, vol.48 (edited by Gibson RN, Atkinson RJA and Gordon JDM).</w:t>
      </w:r>
    </w:p>
    <w:p w14:paraId="11DBF459" w14:textId="77777777" w:rsidR="00366397" w:rsidRPr="008A2236" w:rsidRDefault="00366397" w:rsidP="00366397">
      <w:pPr>
        <w:pStyle w:val="References"/>
        <w:rPr>
          <w:szCs w:val="20"/>
        </w:rPr>
      </w:pPr>
      <w:r w:rsidRPr="008A2236">
        <w:rPr>
          <w:szCs w:val="20"/>
        </w:rPr>
        <w:t xml:space="preserve">Thomas SM, Ledgard SF, Francis GS. 2005. Improving estimates of nitrate leaching for quantifying New Zealand’s indirect nitrous oxide emissions. </w:t>
      </w:r>
      <w:r w:rsidRPr="008A2236">
        <w:rPr>
          <w:i/>
          <w:iCs/>
          <w:szCs w:val="20"/>
        </w:rPr>
        <w:t>Nutrient Cycling in Agroecosystems</w:t>
      </w:r>
      <w:r w:rsidRPr="008A2236">
        <w:rPr>
          <w:szCs w:val="20"/>
        </w:rPr>
        <w:t xml:space="preserve"> 73: 213–226.</w:t>
      </w:r>
    </w:p>
    <w:p w14:paraId="3E39A9B0" w14:textId="77777777" w:rsidR="00366397" w:rsidRPr="008A2236" w:rsidRDefault="00366397" w:rsidP="00366397">
      <w:pPr>
        <w:pStyle w:val="References"/>
      </w:pPr>
      <w:r w:rsidRPr="008A2236">
        <w:rPr>
          <w:szCs w:val="20"/>
        </w:rPr>
        <w:t xml:space="preserve">Thomson BC, Ward KR, Muir PD. 2021. Purity of </w:t>
      </w:r>
      <w:r>
        <w:rPr>
          <w:szCs w:val="20"/>
        </w:rPr>
        <w:t>A</w:t>
      </w:r>
      <w:r w:rsidRPr="008A2236">
        <w:rPr>
          <w:szCs w:val="20"/>
        </w:rPr>
        <w:t xml:space="preserve">gricultural </w:t>
      </w:r>
      <w:r>
        <w:rPr>
          <w:szCs w:val="20"/>
        </w:rPr>
        <w:t>L</w:t>
      </w:r>
      <w:r w:rsidRPr="008A2236">
        <w:rPr>
          <w:szCs w:val="20"/>
        </w:rPr>
        <w:t xml:space="preserve">ime and </w:t>
      </w:r>
      <w:r>
        <w:rPr>
          <w:szCs w:val="20"/>
        </w:rPr>
        <w:t>D</w:t>
      </w:r>
      <w:r w:rsidRPr="008A2236">
        <w:rPr>
          <w:szCs w:val="20"/>
        </w:rPr>
        <w:t xml:space="preserve">olomite </w:t>
      </w:r>
      <w:r>
        <w:rPr>
          <w:szCs w:val="20"/>
        </w:rPr>
        <w:t>U</w:t>
      </w:r>
      <w:r w:rsidRPr="008A2236">
        <w:rPr>
          <w:szCs w:val="20"/>
        </w:rPr>
        <w:t>sed in New Zealand. Final report prepared for the Ministry for Primary Industries.</w:t>
      </w:r>
    </w:p>
    <w:p w14:paraId="452F96FC" w14:textId="77777777" w:rsidR="00366397" w:rsidRPr="008A2236" w:rsidRDefault="00366397" w:rsidP="00366397">
      <w:pPr>
        <w:pStyle w:val="References"/>
      </w:pPr>
      <w:r w:rsidRPr="008A2236">
        <w:t xml:space="preserve">Tonkin and Taylor Ltd. Unpublished. GHG Estimates from Non-municipal Landfills New Zealand. </w:t>
      </w:r>
      <w:r>
        <w:t>Contract r</w:t>
      </w:r>
      <w:r w:rsidRPr="008A2236">
        <w:t xml:space="preserve">eport </w:t>
      </w:r>
      <w:r>
        <w:t>prepared for</w:t>
      </w:r>
      <w:r w:rsidRPr="008A2236">
        <w:t xml:space="preserve"> the Ministry for the Environment in 2014.</w:t>
      </w:r>
    </w:p>
    <w:p w14:paraId="4DC0176A" w14:textId="364D8DCA" w:rsidR="00366397" w:rsidRPr="008A2236" w:rsidRDefault="00366397" w:rsidP="00366397">
      <w:pPr>
        <w:pStyle w:val="References"/>
      </w:pPr>
      <w:r w:rsidRPr="008A2236">
        <w:t xml:space="preserve">UNFCCC. 2018. FCCC/ARR/2017/NZL. </w:t>
      </w:r>
      <w:r w:rsidRPr="008A2236">
        <w:rPr>
          <w:i/>
          <w:iCs/>
        </w:rPr>
        <w:t xml:space="preserve">Report on the </w:t>
      </w:r>
      <w:r>
        <w:rPr>
          <w:i/>
          <w:iCs/>
        </w:rPr>
        <w:t>I</w:t>
      </w:r>
      <w:r w:rsidRPr="008A2236">
        <w:rPr>
          <w:i/>
          <w:iCs/>
        </w:rPr>
        <w:t xml:space="preserve">ndividual </w:t>
      </w:r>
      <w:r>
        <w:rPr>
          <w:i/>
          <w:iCs/>
        </w:rPr>
        <w:t>R</w:t>
      </w:r>
      <w:r w:rsidRPr="008A2236">
        <w:rPr>
          <w:i/>
          <w:iCs/>
        </w:rPr>
        <w:t xml:space="preserve">eview of the </w:t>
      </w:r>
      <w:r>
        <w:rPr>
          <w:i/>
          <w:iCs/>
        </w:rPr>
        <w:t>A</w:t>
      </w:r>
      <w:r w:rsidRPr="008A2236">
        <w:rPr>
          <w:i/>
          <w:iCs/>
        </w:rPr>
        <w:t xml:space="preserve">nnual </w:t>
      </w:r>
      <w:r>
        <w:rPr>
          <w:i/>
          <w:iCs/>
        </w:rPr>
        <w:t>S</w:t>
      </w:r>
      <w:r w:rsidRPr="008A2236">
        <w:rPr>
          <w:i/>
          <w:iCs/>
        </w:rPr>
        <w:t>ubmission of New</w:t>
      </w:r>
      <w:r w:rsidR="005A494C">
        <w:rPr>
          <w:i/>
          <w:iCs/>
        </w:rPr>
        <w:t> </w:t>
      </w:r>
      <w:r w:rsidRPr="008A2236">
        <w:rPr>
          <w:i/>
          <w:iCs/>
        </w:rPr>
        <w:t xml:space="preserve">Zealand </w:t>
      </w:r>
      <w:r>
        <w:rPr>
          <w:i/>
          <w:iCs/>
        </w:rPr>
        <w:t>S</w:t>
      </w:r>
      <w:r w:rsidRPr="008A2236">
        <w:rPr>
          <w:i/>
          <w:iCs/>
        </w:rPr>
        <w:t>ubmitted in 2017.</w:t>
      </w:r>
      <w:r w:rsidRPr="008A2236">
        <w:t xml:space="preserve"> </w:t>
      </w:r>
      <w:r w:rsidRPr="008D56E9">
        <w:rPr>
          <w:i/>
          <w:iCs/>
        </w:rPr>
        <w:t>Centralised Review.</w:t>
      </w:r>
    </w:p>
    <w:p w14:paraId="5D4F1D7D" w14:textId="76E9194A" w:rsidR="00366397" w:rsidRPr="008A2236" w:rsidRDefault="00366397" w:rsidP="00366397">
      <w:pPr>
        <w:pStyle w:val="References"/>
      </w:pPr>
      <w:r w:rsidRPr="008A2236">
        <w:t xml:space="preserve">UNFCCC. 2020. FCCC/ARR/2019/NZL. </w:t>
      </w:r>
      <w:r w:rsidRPr="008A2236">
        <w:rPr>
          <w:i/>
          <w:iCs/>
        </w:rPr>
        <w:t>Report on the individual review of the annual submission of New</w:t>
      </w:r>
      <w:r w:rsidR="005A494C">
        <w:rPr>
          <w:i/>
          <w:iCs/>
        </w:rPr>
        <w:t> </w:t>
      </w:r>
      <w:r w:rsidRPr="008A2236">
        <w:rPr>
          <w:i/>
          <w:iCs/>
        </w:rPr>
        <w:t>Zealand submitted in 2019.</w:t>
      </w:r>
      <w:r w:rsidRPr="008A2236">
        <w:t xml:space="preserve"> </w:t>
      </w:r>
      <w:r w:rsidRPr="008D56E9">
        <w:rPr>
          <w:i/>
          <w:iCs/>
        </w:rPr>
        <w:t>In-country Review.</w:t>
      </w:r>
    </w:p>
    <w:p w14:paraId="3F2B3866" w14:textId="77777777" w:rsidR="00366397" w:rsidRPr="008A2236" w:rsidRDefault="00366397" w:rsidP="00366397">
      <w:pPr>
        <w:pStyle w:val="References"/>
        <w:rPr>
          <w:szCs w:val="20"/>
        </w:rPr>
      </w:pPr>
      <w:r w:rsidRPr="008A2236">
        <w:rPr>
          <w:szCs w:val="20"/>
        </w:rPr>
        <w:t xml:space="preserve">Welten B, Mercer G, Smith C, Sprosen M, Ledgard S. 2021. </w:t>
      </w:r>
      <w:r w:rsidRPr="008A2236">
        <w:rPr>
          <w:i/>
          <w:iCs/>
          <w:szCs w:val="20"/>
        </w:rPr>
        <w:t xml:space="preserve">Refining </w:t>
      </w:r>
      <w:r>
        <w:rPr>
          <w:i/>
          <w:iCs/>
          <w:szCs w:val="20"/>
        </w:rPr>
        <w:t>E</w:t>
      </w:r>
      <w:r w:rsidRPr="008A2236">
        <w:rPr>
          <w:i/>
          <w:iCs/>
          <w:szCs w:val="20"/>
        </w:rPr>
        <w:t xml:space="preserve">stimates of </w:t>
      </w:r>
      <w:r>
        <w:rPr>
          <w:i/>
          <w:iCs/>
          <w:szCs w:val="20"/>
        </w:rPr>
        <w:t>N</w:t>
      </w:r>
      <w:r w:rsidRPr="008A2236">
        <w:rPr>
          <w:i/>
          <w:iCs/>
          <w:szCs w:val="20"/>
        </w:rPr>
        <w:t xml:space="preserve">itrogen </w:t>
      </w:r>
      <w:r>
        <w:rPr>
          <w:i/>
          <w:iCs/>
          <w:szCs w:val="20"/>
        </w:rPr>
        <w:t>L</w:t>
      </w:r>
      <w:r w:rsidRPr="008A2236">
        <w:rPr>
          <w:i/>
          <w:iCs/>
          <w:szCs w:val="20"/>
        </w:rPr>
        <w:t xml:space="preserve">eaching for the New Zealand </w:t>
      </w:r>
      <w:r>
        <w:rPr>
          <w:i/>
          <w:iCs/>
          <w:szCs w:val="20"/>
        </w:rPr>
        <w:t>A</w:t>
      </w:r>
      <w:r w:rsidRPr="008A2236">
        <w:rPr>
          <w:i/>
          <w:iCs/>
          <w:szCs w:val="20"/>
        </w:rPr>
        <w:t xml:space="preserve">gricultural </w:t>
      </w:r>
      <w:r>
        <w:rPr>
          <w:i/>
          <w:iCs/>
          <w:szCs w:val="20"/>
        </w:rPr>
        <w:t>G</w:t>
      </w:r>
      <w:r w:rsidRPr="008A2236">
        <w:rPr>
          <w:i/>
          <w:iCs/>
          <w:szCs w:val="20"/>
        </w:rPr>
        <w:t xml:space="preserve">reenhouse </w:t>
      </w:r>
      <w:r>
        <w:rPr>
          <w:i/>
          <w:iCs/>
          <w:szCs w:val="20"/>
        </w:rPr>
        <w:t>G</w:t>
      </w:r>
      <w:r w:rsidRPr="008A2236">
        <w:rPr>
          <w:i/>
          <w:iCs/>
          <w:szCs w:val="20"/>
        </w:rPr>
        <w:t xml:space="preserve">as </w:t>
      </w:r>
      <w:r>
        <w:rPr>
          <w:i/>
          <w:iCs/>
          <w:szCs w:val="20"/>
        </w:rPr>
        <w:t>I</w:t>
      </w:r>
      <w:r w:rsidRPr="008A2236">
        <w:rPr>
          <w:i/>
          <w:iCs/>
          <w:szCs w:val="20"/>
        </w:rPr>
        <w:t>nventory</w:t>
      </w:r>
      <w:r w:rsidRPr="008A2236">
        <w:rPr>
          <w:szCs w:val="20"/>
        </w:rPr>
        <w:t xml:space="preserve">. </w:t>
      </w:r>
      <w:r>
        <w:rPr>
          <w:szCs w:val="20"/>
        </w:rPr>
        <w:t>Contract r</w:t>
      </w:r>
      <w:r w:rsidRPr="008A2236">
        <w:rPr>
          <w:szCs w:val="20"/>
        </w:rPr>
        <w:t>eport prepared for the Ministry for Primary Industries.</w:t>
      </w:r>
    </w:p>
    <w:p w14:paraId="781F81C9" w14:textId="77777777" w:rsidR="00366397" w:rsidRPr="008A2236" w:rsidRDefault="00366397" w:rsidP="00366397">
      <w:pPr>
        <w:pStyle w:val="References"/>
      </w:pPr>
      <w:r w:rsidRPr="008A2236">
        <w:rPr>
          <w:szCs w:val="20"/>
        </w:rPr>
        <w:t xml:space="preserve">Wheeler DM, Ledgard SF, de Klein CAM, Monaghan PL, Carey PL, McDowell RW, Johns KL. 2003. OVERSEER® Nutrient budgets – moving towards on-farm resource accounting. In: </w:t>
      </w:r>
      <w:r w:rsidRPr="008A2236">
        <w:rPr>
          <w:i/>
          <w:iCs/>
          <w:szCs w:val="20"/>
        </w:rPr>
        <w:t>Proceedings of the New Zealand Grassland Association 2003</w:t>
      </w:r>
      <w:r w:rsidRPr="008A2236">
        <w:rPr>
          <w:szCs w:val="20"/>
        </w:rPr>
        <w:t>. Palmerston North: New Zealand Grassland Association Inc.</w:t>
      </w:r>
      <w:bookmarkEnd w:id="2627"/>
      <w:bookmarkEnd w:id="2662"/>
    </w:p>
    <w:p w14:paraId="00CD5BB3" w14:textId="77777777" w:rsidR="00364C86" w:rsidRDefault="00364C86" w:rsidP="0087314B"/>
    <w:p w14:paraId="78BA084F" w14:textId="77777777" w:rsidR="00364C86" w:rsidRDefault="00364C86" w:rsidP="0087314B"/>
    <w:p w14:paraId="02988113" w14:textId="77777777" w:rsidR="00364C86" w:rsidRDefault="00364C86" w:rsidP="0087314B">
      <w:pPr>
        <w:sectPr w:rsidR="00364C86" w:rsidSect="000A1ADF">
          <w:footerReference w:type="even" r:id="rId268"/>
          <w:pgSz w:w="11907" w:h="16840" w:code="9"/>
          <w:pgMar w:top="1418" w:right="1701" w:bottom="1418" w:left="1701" w:header="567" w:footer="567" w:gutter="0"/>
          <w:cols w:space="720"/>
        </w:sectPr>
      </w:pPr>
    </w:p>
    <w:p w14:paraId="5FC57C89" w14:textId="77777777" w:rsidR="00616641" w:rsidRPr="0049701B" w:rsidRDefault="00616641" w:rsidP="00616641">
      <w:pPr>
        <w:pStyle w:val="Heading1"/>
      </w:pPr>
      <w:bookmarkStart w:id="2664" w:name="_Toc5269404"/>
      <w:bookmarkStart w:id="2665" w:name="_Toc36224444"/>
      <w:bookmarkStart w:id="2666" w:name="_Toc68786364"/>
      <w:bookmarkStart w:id="2667" w:name="_Toc99659170"/>
      <w:r w:rsidRPr="0049701B">
        <w:lastRenderedPageBreak/>
        <w:t>Chapter 11: KP-LULUCF</w:t>
      </w:r>
      <w:bookmarkEnd w:id="2664"/>
      <w:bookmarkEnd w:id="2665"/>
      <w:bookmarkEnd w:id="2666"/>
      <w:bookmarkEnd w:id="2667"/>
    </w:p>
    <w:p w14:paraId="36477879" w14:textId="77777777" w:rsidR="00616641" w:rsidRPr="0049701B" w:rsidRDefault="00616641" w:rsidP="00616641">
      <w:pPr>
        <w:pStyle w:val="Heading2"/>
        <w:spacing w:before="240"/>
      </w:pPr>
      <w:bookmarkStart w:id="2668" w:name="_Toc261513277"/>
      <w:bookmarkStart w:id="2669" w:name="_Toc261513890"/>
      <w:bookmarkStart w:id="2670" w:name="_Toc280630380"/>
      <w:bookmarkStart w:id="2671" w:name="_Toc310423464"/>
      <w:bookmarkStart w:id="2672" w:name="_Toc342470732"/>
      <w:bookmarkStart w:id="2673" w:name="_Toc352504891"/>
      <w:bookmarkStart w:id="2674" w:name="_Toc377043714"/>
      <w:bookmarkStart w:id="2675" w:name="_Toc391023461"/>
      <w:bookmarkStart w:id="2676" w:name="_Toc400967252"/>
      <w:bookmarkStart w:id="2677" w:name="_Toc414531340"/>
      <w:bookmarkStart w:id="2678" w:name="_Toc456179169"/>
      <w:bookmarkStart w:id="2679" w:name="_Toc481751422"/>
      <w:bookmarkStart w:id="2680" w:name="_Toc522013961"/>
      <w:bookmarkStart w:id="2681" w:name="_Toc5269405"/>
      <w:bookmarkStart w:id="2682" w:name="_Toc36224445"/>
      <w:bookmarkStart w:id="2683" w:name="_Toc68786365"/>
      <w:bookmarkStart w:id="2684" w:name="_Toc99659171"/>
      <w:r w:rsidRPr="0049701B">
        <w:t xml:space="preserve">11.1 </w:t>
      </w:r>
      <w:r w:rsidRPr="0049701B">
        <w:tab/>
        <w:t>General information</w:t>
      </w:r>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p>
    <w:p w14:paraId="6EE59897" w14:textId="77777777" w:rsidR="00616641" w:rsidRPr="0049701B" w:rsidRDefault="00616641" w:rsidP="00616641">
      <w:pPr>
        <w:pStyle w:val="Heading4"/>
        <w:spacing w:before="160"/>
      </w:pPr>
      <w:r w:rsidRPr="0049701B">
        <w:t>Emissions summary</w:t>
      </w:r>
    </w:p>
    <w:p w14:paraId="791BC280" w14:textId="77777777" w:rsidR="00616641" w:rsidRPr="0049701B" w:rsidRDefault="00616641" w:rsidP="00616641">
      <w:pPr>
        <w:pStyle w:val="Heading5"/>
        <w:spacing w:before="120"/>
      </w:pPr>
      <w:r w:rsidRPr="0049701B">
        <w:t>2020</w:t>
      </w:r>
    </w:p>
    <w:p w14:paraId="3901AD33" w14:textId="77777777" w:rsidR="00616641" w:rsidRPr="0049701B" w:rsidRDefault="00616641" w:rsidP="00616641">
      <w:pPr>
        <w:pStyle w:val="BodyText"/>
        <w:spacing w:before="100" w:after="100"/>
      </w:pPr>
      <w:r w:rsidRPr="0049701B">
        <w:t>In 2020, net emissions from land subject to Article 3.3 and Article 3.4 activities under the Kyoto Protocol were –29,476.1 kilotonnes carbon dioxide equivalent (kt CO</w:t>
      </w:r>
      <w:r w:rsidRPr="0049701B">
        <w:rPr>
          <w:vertAlign w:val="subscript"/>
        </w:rPr>
        <w:t>2</w:t>
      </w:r>
      <w:r w:rsidRPr="0049701B">
        <w:t xml:space="preserve">-e) (table 11.1.1). </w:t>
      </w:r>
    </w:p>
    <w:p w14:paraId="105E4B62" w14:textId="77777777" w:rsidR="00616641" w:rsidRPr="0049701B" w:rsidRDefault="00616641" w:rsidP="00616641">
      <w:pPr>
        <w:pStyle w:val="BodyText"/>
        <w:spacing w:before="100" w:after="100"/>
      </w:pPr>
      <w:r w:rsidRPr="0049701B">
        <w:t xml:space="preserve">In 2020, net emissions from </w:t>
      </w:r>
      <w:r w:rsidRPr="0049701B">
        <w:rPr>
          <w:i/>
        </w:rPr>
        <w:t>Afforestation and reforestation</w:t>
      </w:r>
      <w:r w:rsidRPr="0049701B">
        <w:t xml:space="preserve"> and </w:t>
      </w:r>
      <w:r w:rsidRPr="0049701B">
        <w:rPr>
          <w:i/>
        </w:rPr>
        <w:t>Deforestation</w:t>
      </w:r>
      <w:r w:rsidRPr="0049701B">
        <w:t xml:space="preserve"> activities </w:t>
      </w:r>
      <w:r w:rsidRPr="0049701B">
        <w:br/>
        <w:t>were –13,444.2 kt CO</w:t>
      </w:r>
      <w:r w:rsidRPr="0049701B">
        <w:rPr>
          <w:vertAlign w:val="subscript"/>
        </w:rPr>
        <w:t>2</w:t>
      </w:r>
      <w:r w:rsidRPr="0049701B">
        <w:t xml:space="preserve">-e. This value is the total of all emissions and removals from activities under Decision 2/CMP.7, Article 3.3 of the Kyoto Protocol. It includes: </w:t>
      </w:r>
    </w:p>
    <w:p w14:paraId="0C7E9784" w14:textId="77777777" w:rsidR="00616641" w:rsidRPr="0049701B" w:rsidRDefault="00616641" w:rsidP="00616641">
      <w:pPr>
        <w:pStyle w:val="Bullet"/>
        <w:spacing w:after="100"/>
      </w:pPr>
      <w:r w:rsidRPr="0049701B">
        <w:t>removals from forest growth</w:t>
      </w:r>
    </w:p>
    <w:p w14:paraId="6F875D2B" w14:textId="77777777" w:rsidR="00616641" w:rsidRPr="0049701B" w:rsidRDefault="00616641" w:rsidP="00616641">
      <w:pPr>
        <w:pStyle w:val="Bullet"/>
        <w:spacing w:after="100"/>
      </w:pPr>
      <w:r w:rsidRPr="0049701B">
        <w:t>emissions from harvesting</w:t>
      </w:r>
    </w:p>
    <w:p w14:paraId="370E3FFF" w14:textId="77777777" w:rsidR="00616641" w:rsidRPr="0049701B" w:rsidRDefault="00616641" w:rsidP="00616641">
      <w:pPr>
        <w:pStyle w:val="Bullet"/>
        <w:spacing w:after="100"/>
      </w:pPr>
      <w:r w:rsidRPr="0049701B">
        <w:t>emissions and removals from harvested wood products in post-1989 forests</w:t>
      </w:r>
    </w:p>
    <w:p w14:paraId="38B9D967" w14:textId="77777777" w:rsidR="00616641" w:rsidRPr="0049701B" w:rsidRDefault="00616641" w:rsidP="00616641">
      <w:pPr>
        <w:pStyle w:val="Bullet"/>
        <w:spacing w:after="100"/>
      </w:pPr>
      <w:r w:rsidRPr="0049701B">
        <w:t>emissions from the conversion of land to post-1989 forest</w:t>
      </w:r>
    </w:p>
    <w:p w14:paraId="4CD60DFF" w14:textId="77777777" w:rsidR="00616641" w:rsidRPr="0049701B" w:rsidRDefault="00616641" w:rsidP="00616641">
      <w:pPr>
        <w:pStyle w:val="Bullet"/>
        <w:spacing w:after="100"/>
      </w:pPr>
      <w:r w:rsidRPr="0049701B">
        <w:t>emissions from deforestation of all forest land</w:t>
      </w:r>
    </w:p>
    <w:p w14:paraId="4AE3D7B6" w14:textId="77777777" w:rsidR="00616641" w:rsidRPr="0049701B" w:rsidRDefault="00616641" w:rsidP="00616641">
      <w:pPr>
        <w:pStyle w:val="Bullet"/>
        <w:spacing w:after="100"/>
      </w:pPr>
      <w:r w:rsidRPr="0049701B">
        <w:t>emissions from biomass burning</w:t>
      </w:r>
    </w:p>
    <w:p w14:paraId="21D7466C" w14:textId="77777777" w:rsidR="00616641" w:rsidRPr="0049701B" w:rsidRDefault="00616641" w:rsidP="00616641">
      <w:pPr>
        <w:pStyle w:val="Bullet"/>
        <w:spacing w:after="100"/>
      </w:pPr>
      <w:r w:rsidRPr="0049701B">
        <w:t xml:space="preserve">emissions from the mineralisation of soil nitrogen and the emissions from the drainage of managed soils associated with afforestation, reforestation or deforestation activities since 1990. </w:t>
      </w:r>
    </w:p>
    <w:p w14:paraId="5AB566E3" w14:textId="77777777" w:rsidR="00616641" w:rsidRPr="0049701B" w:rsidRDefault="00616641" w:rsidP="00616641">
      <w:pPr>
        <w:pStyle w:val="BodyText"/>
        <w:spacing w:after="100"/>
      </w:pPr>
      <w:r w:rsidRPr="0049701B">
        <w:t xml:space="preserve">In 2020, net emissions from </w:t>
      </w:r>
      <w:r w:rsidRPr="0049701B">
        <w:rPr>
          <w:i/>
        </w:rPr>
        <w:t>Forest</w:t>
      </w:r>
      <w:r w:rsidRPr="0049701B">
        <w:t xml:space="preserve"> </w:t>
      </w:r>
      <w:r w:rsidRPr="0049701B">
        <w:rPr>
          <w:i/>
        </w:rPr>
        <w:t>management</w:t>
      </w:r>
      <w:r w:rsidRPr="0049701B">
        <w:t xml:space="preserve"> were –16,031.9 kt CO</w:t>
      </w:r>
      <w:r w:rsidRPr="0049701B">
        <w:rPr>
          <w:vertAlign w:val="subscript"/>
        </w:rPr>
        <w:t>2</w:t>
      </w:r>
      <w:r w:rsidRPr="0049701B">
        <w:t>-e (table 11.1.1). This includes:</w:t>
      </w:r>
    </w:p>
    <w:p w14:paraId="7C390181" w14:textId="77777777" w:rsidR="00616641" w:rsidRPr="0049701B" w:rsidRDefault="00616641" w:rsidP="00616641">
      <w:pPr>
        <w:pStyle w:val="Bullet"/>
      </w:pPr>
      <w:r w:rsidRPr="0049701B">
        <w:t>removals from the growth of pre-1990 natural forest and pre-1990 planted forest</w:t>
      </w:r>
    </w:p>
    <w:p w14:paraId="31FBB969" w14:textId="77777777" w:rsidR="00616641" w:rsidRPr="0049701B" w:rsidRDefault="00616641" w:rsidP="00616641">
      <w:pPr>
        <w:pStyle w:val="Bullet"/>
        <w:spacing w:after="100"/>
      </w:pPr>
      <w:r w:rsidRPr="0049701B">
        <w:t>emissions from harvesting of these forests</w:t>
      </w:r>
    </w:p>
    <w:p w14:paraId="2104BB40" w14:textId="77777777" w:rsidR="00616641" w:rsidRPr="0049701B" w:rsidRDefault="00616641" w:rsidP="00616641">
      <w:pPr>
        <w:pStyle w:val="Bullet"/>
        <w:spacing w:after="100"/>
      </w:pPr>
      <w:r w:rsidRPr="0049701B">
        <w:t xml:space="preserve">emissions and removals from harvested wood products from these forests </w:t>
      </w:r>
    </w:p>
    <w:p w14:paraId="4D905260" w14:textId="77777777" w:rsidR="00616641" w:rsidRPr="0049701B" w:rsidRDefault="00616641" w:rsidP="00616641">
      <w:pPr>
        <w:pStyle w:val="Bullet"/>
        <w:spacing w:after="100"/>
      </w:pPr>
      <w:r w:rsidRPr="0049701B">
        <w:t xml:space="preserve">emissions from biomass burning </w:t>
      </w:r>
    </w:p>
    <w:p w14:paraId="34B51BB2" w14:textId="77777777" w:rsidR="00616641" w:rsidRPr="0049701B" w:rsidRDefault="00616641" w:rsidP="00616641">
      <w:pPr>
        <w:pStyle w:val="Bullet"/>
        <w:spacing w:after="100"/>
      </w:pPr>
      <w:r w:rsidRPr="0049701B">
        <w:t xml:space="preserve">emissions from the drainage of managed soils on land classified under </w:t>
      </w:r>
      <w:r w:rsidRPr="0049701B">
        <w:rPr>
          <w:i/>
          <w:iCs/>
        </w:rPr>
        <w:t>Forest management</w:t>
      </w:r>
      <w:r w:rsidRPr="0049701B">
        <w:t>.</w:t>
      </w:r>
    </w:p>
    <w:p w14:paraId="22F447F1" w14:textId="77777777" w:rsidR="00616641" w:rsidRPr="0049701B" w:rsidRDefault="00616641" w:rsidP="00616641">
      <w:pPr>
        <w:pStyle w:val="BodyText"/>
        <w:spacing w:before="100" w:after="100"/>
        <w:rPr>
          <w:iCs/>
        </w:rPr>
      </w:pPr>
      <w:r w:rsidRPr="0049701B">
        <w:t>New Zealand has elected to report on its 2013 to 2020 target at the end of the accounting period. The accounting quantity for KP-LULUCF for the 2013 to 2020 period is –123,281.1 kt CO</w:t>
      </w:r>
      <w:r w:rsidRPr="0049701B">
        <w:rPr>
          <w:vertAlign w:val="subscript"/>
        </w:rPr>
        <w:t>2</w:t>
      </w:r>
      <w:r w:rsidRPr="0049701B">
        <w:t>-e (see table 11.1.2). The accounting quantity comprises all net emissions from Article 3.3 activities (</w:t>
      </w:r>
      <w:r w:rsidRPr="0049701B">
        <w:rPr>
          <w:i/>
        </w:rPr>
        <w:t>Afforestation and reforestation</w:t>
      </w:r>
      <w:r w:rsidRPr="0049701B">
        <w:t xml:space="preserve"> and </w:t>
      </w:r>
      <w:r w:rsidRPr="0049701B">
        <w:rPr>
          <w:i/>
        </w:rPr>
        <w:t>Deforestation</w:t>
      </w:r>
      <w:r w:rsidRPr="0049701B">
        <w:rPr>
          <w:iCs/>
        </w:rPr>
        <w:t xml:space="preserve">) and net emissions from </w:t>
      </w:r>
      <w:r w:rsidRPr="0049701B">
        <w:rPr>
          <w:i/>
        </w:rPr>
        <w:t>Forest management</w:t>
      </w:r>
      <w:r w:rsidRPr="0049701B">
        <w:rPr>
          <w:iCs/>
        </w:rPr>
        <w:t xml:space="preserve"> (Article 3.4) relative to a forest management reference level (FMRL). T</w:t>
      </w:r>
      <w:r w:rsidRPr="0049701B">
        <w:t xml:space="preserve">he FMRL was set using a business-as-usual projection of emissions for </w:t>
      </w:r>
      <w:r w:rsidRPr="0049701B">
        <w:rPr>
          <w:i/>
        </w:rPr>
        <w:t xml:space="preserve">Forest management </w:t>
      </w:r>
      <w:r w:rsidRPr="0049701B">
        <w:t>over the period to 2020. It represents the estimated annual average emissions between 2013 and 2020.</w:t>
      </w:r>
    </w:p>
    <w:p w14:paraId="1078BEF2" w14:textId="77777777" w:rsidR="00616641" w:rsidRPr="0049701B" w:rsidRDefault="00616641" w:rsidP="00616641">
      <w:r w:rsidRPr="0049701B">
        <w:rPr>
          <w:iCs/>
        </w:rPr>
        <w:t xml:space="preserve">Credits resulting from </w:t>
      </w:r>
      <w:r w:rsidRPr="0049701B">
        <w:rPr>
          <w:i/>
        </w:rPr>
        <w:t>Forest management</w:t>
      </w:r>
      <w:r w:rsidRPr="0049701B">
        <w:rPr>
          <w:iCs/>
        </w:rPr>
        <w:t xml:space="preserve"> cannot exceed 2,335.2 kt CO</w:t>
      </w:r>
      <w:r w:rsidRPr="0049701B">
        <w:rPr>
          <w:iCs/>
          <w:vertAlign w:val="subscript"/>
        </w:rPr>
        <w:t>2</w:t>
      </w:r>
      <w:r w:rsidRPr="0049701B">
        <w:rPr>
          <w:iCs/>
        </w:rPr>
        <w:t xml:space="preserve">-e per year, a predetermined cap based on 3.5 per cent of </w:t>
      </w:r>
      <w:r w:rsidRPr="0049701B">
        <w:t xml:space="preserve">New Zealand’s gross emissions in the base year, per year. Therefore, although net emissions from </w:t>
      </w:r>
      <w:r w:rsidRPr="0049701B">
        <w:rPr>
          <w:i/>
          <w:iCs/>
        </w:rPr>
        <w:t>Forest management</w:t>
      </w:r>
      <w:r w:rsidRPr="0049701B">
        <w:t xml:space="preserve"> resulted in 31,982.2 kt CO</w:t>
      </w:r>
      <w:r w:rsidRPr="0049701B">
        <w:rPr>
          <w:vertAlign w:val="subscript"/>
        </w:rPr>
        <w:t>2</w:t>
      </w:r>
      <w:r w:rsidRPr="0049701B">
        <w:t>-e of removals relative to the FMRL, only the value of the cap over the eight year period, 18,681.6 kt CO</w:t>
      </w:r>
      <w:r w:rsidRPr="0049701B">
        <w:rPr>
          <w:vertAlign w:val="subscript"/>
        </w:rPr>
        <w:t>2</w:t>
      </w:r>
      <w:r w:rsidRPr="0049701B">
        <w:t>-e of removals, can be included in the accounting quantity.</w:t>
      </w:r>
    </w:p>
    <w:p w14:paraId="03420DF4" w14:textId="77777777" w:rsidR="00616641" w:rsidRPr="0049701B" w:rsidRDefault="00616641" w:rsidP="00616641">
      <w:pPr>
        <w:sectPr w:rsidR="00616641" w:rsidRPr="0049701B" w:rsidSect="00BD3781">
          <w:footerReference w:type="even" r:id="rId269"/>
          <w:footerReference w:type="default" r:id="rId270"/>
          <w:pgSz w:w="11907" w:h="16840" w:code="9"/>
          <w:pgMar w:top="1418" w:right="1701" w:bottom="1418" w:left="1701" w:header="567" w:footer="567" w:gutter="0"/>
          <w:cols w:space="720"/>
        </w:sectPr>
      </w:pPr>
    </w:p>
    <w:p w14:paraId="181DFA6C" w14:textId="77777777" w:rsidR="00616641" w:rsidRPr="0049701B" w:rsidRDefault="00616641" w:rsidP="00616641">
      <w:pPr>
        <w:pStyle w:val="Table"/>
        <w:spacing w:before="0"/>
      </w:pPr>
      <w:bookmarkStart w:id="2685" w:name="_Toc456179103"/>
      <w:bookmarkStart w:id="2686" w:name="_Toc481751629"/>
      <w:bookmarkStart w:id="2687" w:name="_Toc522010654"/>
      <w:bookmarkStart w:id="2688" w:name="_Toc5269624"/>
      <w:bookmarkStart w:id="2689" w:name="_Toc36224706"/>
      <w:bookmarkStart w:id="2690" w:name="_Toc64987041"/>
      <w:bookmarkStart w:id="2691" w:name="_Toc68786591"/>
      <w:bookmarkStart w:id="2692" w:name="_Toc95321532"/>
      <w:bookmarkStart w:id="2693" w:name="_Toc99659384"/>
      <w:r w:rsidRPr="0049701B">
        <w:lastRenderedPageBreak/>
        <w:t>Table 11.1.1</w:t>
      </w:r>
      <w:r w:rsidRPr="0049701B">
        <w:tab/>
        <w:t xml:space="preserve">New Zealand’s emissions under Article 3.3 and Article 3.4 of the Kyoto Protocol </w:t>
      </w:r>
      <w:bookmarkEnd w:id="2685"/>
      <w:r w:rsidRPr="0049701B">
        <w:t>during the second reporting period</w:t>
      </w:r>
      <w:bookmarkEnd w:id="2686"/>
      <w:bookmarkEnd w:id="2687"/>
      <w:bookmarkEnd w:id="2688"/>
      <w:bookmarkEnd w:id="2689"/>
      <w:bookmarkEnd w:id="2690"/>
      <w:bookmarkEnd w:id="2691"/>
      <w:bookmarkEnd w:id="2692"/>
      <w:bookmarkEnd w:id="2693"/>
    </w:p>
    <w:tbl>
      <w:tblPr>
        <w:tblW w:w="13892" w:type="dxa"/>
        <w:tblInd w:w="113" w:type="dxa"/>
        <w:tblLayout w:type="fixed"/>
        <w:tblCellMar>
          <w:left w:w="85" w:type="dxa"/>
          <w:right w:w="85" w:type="dxa"/>
        </w:tblCellMar>
        <w:tblLook w:val="04A0" w:firstRow="1" w:lastRow="0" w:firstColumn="1" w:lastColumn="0" w:noHBand="0" w:noVBand="1"/>
      </w:tblPr>
      <w:tblGrid>
        <w:gridCol w:w="3220"/>
        <w:gridCol w:w="1227"/>
        <w:gridCol w:w="1227"/>
        <w:gridCol w:w="1380"/>
        <w:gridCol w:w="1380"/>
        <w:gridCol w:w="1379"/>
        <w:gridCol w:w="1687"/>
        <w:gridCol w:w="1227"/>
        <w:gridCol w:w="1165"/>
      </w:tblGrid>
      <w:tr w:rsidR="00616641" w:rsidRPr="0049701B" w14:paraId="16790FBF" w14:textId="77777777" w:rsidTr="007E3239">
        <w:tc>
          <w:tcPr>
            <w:tcW w:w="2977" w:type="dxa"/>
            <w:tcBorders>
              <w:top w:val="single" w:sz="4" w:space="0" w:color="1B556B"/>
              <w:left w:val="nil"/>
              <w:bottom w:val="single" w:sz="4" w:space="0" w:color="1B556B"/>
              <w:right w:val="nil"/>
            </w:tcBorders>
            <w:shd w:val="clear" w:color="000000" w:fill="1B556B"/>
            <w:vAlign w:val="center"/>
            <w:hideMark/>
          </w:tcPr>
          <w:p w14:paraId="511CBE3A"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 </w:t>
            </w:r>
          </w:p>
        </w:tc>
        <w:tc>
          <w:tcPr>
            <w:tcW w:w="1134" w:type="dxa"/>
            <w:tcBorders>
              <w:top w:val="single" w:sz="4" w:space="0" w:color="1B556B"/>
              <w:left w:val="nil"/>
              <w:bottom w:val="single" w:sz="4" w:space="0" w:color="1B556B"/>
              <w:right w:val="nil"/>
            </w:tcBorders>
            <w:shd w:val="clear" w:color="000000" w:fill="1B556B"/>
            <w:vAlign w:val="center"/>
            <w:hideMark/>
          </w:tcPr>
          <w:p w14:paraId="56BAA25E"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2013</w:t>
            </w:r>
          </w:p>
        </w:tc>
        <w:tc>
          <w:tcPr>
            <w:tcW w:w="1134" w:type="dxa"/>
            <w:tcBorders>
              <w:top w:val="single" w:sz="4" w:space="0" w:color="1B556B"/>
              <w:left w:val="nil"/>
              <w:bottom w:val="single" w:sz="4" w:space="0" w:color="1B556B"/>
              <w:right w:val="nil"/>
            </w:tcBorders>
            <w:shd w:val="clear" w:color="000000" w:fill="1B556B"/>
            <w:vAlign w:val="center"/>
            <w:hideMark/>
          </w:tcPr>
          <w:p w14:paraId="50F3CE2F"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2014</w:t>
            </w:r>
          </w:p>
        </w:tc>
        <w:tc>
          <w:tcPr>
            <w:tcW w:w="1276" w:type="dxa"/>
            <w:tcBorders>
              <w:top w:val="single" w:sz="4" w:space="0" w:color="1B556B"/>
              <w:left w:val="nil"/>
              <w:bottom w:val="single" w:sz="4" w:space="0" w:color="1B556B"/>
              <w:right w:val="nil"/>
            </w:tcBorders>
            <w:shd w:val="clear" w:color="000000" w:fill="1B556B"/>
            <w:vAlign w:val="center"/>
            <w:hideMark/>
          </w:tcPr>
          <w:p w14:paraId="3439B957"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2015</w:t>
            </w:r>
          </w:p>
        </w:tc>
        <w:tc>
          <w:tcPr>
            <w:tcW w:w="1276" w:type="dxa"/>
            <w:tcBorders>
              <w:top w:val="single" w:sz="4" w:space="0" w:color="1B556B"/>
              <w:left w:val="nil"/>
              <w:bottom w:val="single" w:sz="4" w:space="0" w:color="1B556B"/>
              <w:right w:val="nil"/>
            </w:tcBorders>
            <w:shd w:val="clear" w:color="000000" w:fill="1B556B"/>
            <w:vAlign w:val="center"/>
            <w:hideMark/>
          </w:tcPr>
          <w:p w14:paraId="25881766"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2016</w:t>
            </w:r>
          </w:p>
        </w:tc>
        <w:tc>
          <w:tcPr>
            <w:tcW w:w="1275" w:type="dxa"/>
            <w:tcBorders>
              <w:top w:val="single" w:sz="4" w:space="0" w:color="1B556B"/>
              <w:left w:val="nil"/>
              <w:bottom w:val="single" w:sz="4" w:space="0" w:color="1B556B"/>
              <w:right w:val="nil"/>
            </w:tcBorders>
            <w:shd w:val="clear" w:color="000000" w:fill="1B556B"/>
          </w:tcPr>
          <w:p w14:paraId="70F660E5"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2017</w:t>
            </w:r>
            <w:r w:rsidRPr="0049701B">
              <w:rPr>
                <w:rFonts w:cs="Calibri"/>
                <w:noProof w:val="0"/>
                <w:color w:val="FFFFFF"/>
                <w:szCs w:val="16"/>
                <w:vertAlign w:val="superscript"/>
              </w:rPr>
              <w:t>P</w:t>
            </w:r>
          </w:p>
        </w:tc>
        <w:tc>
          <w:tcPr>
            <w:tcW w:w="1560" w:type="dxa"/>
            <w:tcBorders>
              <w:top w:val="single" w:sz="4" w:space="0" w:color="1B556B"/>
              <w:left w:val="nil"/>
              <w:bottom w:val="single" w:sz="4" w:space="0" w:color="1B556B"/>
              <w:right w:val="nil"/>
            </w:tcBorders>
            <w:shd w:val="clear" w:color="000000" w:fill="1B556B"/>
          </w:tcPr>
          <w:p w14:paraId="36F01DEA"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2018</w:t>
            </w:r>
            <w:r w:rsidRPr="0049701B">
              <w:rPr>
                <w:rFonts w:cs="Calibri"/>
                <w:noProof w:val="0"/>
                <w:color w:val="FFFFFF"/>
                <w:szCs w:val="16"/>
                <w:vertAlign w:val="superscript"/>
              </w:rPr>
              <w:t>P</w:t>
            </w:r>
          </w:p>
        </w:tc>
        <w:tc>
          <w:tcPr>
            <w:tcW w:w="1134" w:type="dxa"/>
            <w:tcBorders>
              <w:top w:val="single" w:sz="4" w:space="0" w:color="1B556B"/>
              <w:left w:val="nil"/>
              <w:bottom w:val="single" w:sz="4" w:space="0" w:color="1B556B"/>
              <w:right w:val="nil"/>
            </w:tcBorders>
            <w:shd w:val="clear" w:color="000000" w:fill="1B556B"/>
          </w:tcPr>
          <w:p w14:paraId="34B86310"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2019</w:t>
            </w:r>
            <w:r w:rsidRPr="0049701B">
              <w:rPr>
                <w:rFonts w:cs="Calibri"/>
                <w:noProof w:val="0"/>
                <w:color w:val="FFFFFF"/>
                <w:szCs w:val="16"/>
                <w:vertAlign w:val="superscript"/>
              </w:rPr>
              <w:t>P</w:t>
            </w:r>
          </w:p>
        </w:tc>
        <w:tc>
          <w:tcPr>
            <w:tcW w:w="1077" w:type="dxa"/>
            <w:tcBorders>
              <w:top w:val="single" w:sz="4" w:space="0" w:color="1B556B"/>
              <w:left w:val="nil"/>
              <w:bottom w:val="single" w:sz="4" w:space="0" w:color="1B556B"/>
              <w:right w:val="nil"/>
            </w:tcBorders>
            <w:shd w:val="clear" w:color="000000" w:fill="1B556B"/>
          </w:tcPr>
          <w:p w14:paraId="20BD3A7A"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2020</w:t>
            </w:r>
            <w:r w:rsidRPr="0049701B">
              <w:rPr>
                <w:rFonts w:cs="Calibri"/>
                <w:noProof w:val="0"/>
                <w:color w:val="FFFFFF"/>
                <w:szCs w:val="16"/>
                <w:vertAlign w:val="superscript"/>
              </w:rPr>
              <w:t xml:space="preserve"> P</w:t>
            </w:r>
          </w:p>
        </w:tc>
      </w:tr>
      <w:tr w:rsidR="00616641" w:rsidRPr="0049701B" w14:paraId="59467573" w14:textId="77777777" w:rsidTr="007E3239">
        <w:tc>
          <w:tcPr>
            <w:tcW w:w="2977" w:type="dxa"/>
            <w:tcBorders>
              <w:top w:val="single" w:sz="4" w:space="0" w:color="1B556B"/>
              <w:left w:val="nil"/>
              <w:bottom w:val="single" w:sz="4" w:space="0" w:color="1B556B"/>
              <w:right w:val="nil"/>
            </w:tcBorders>
            <w:shd w:val="clear" w:color="auto" w:fill="auto"/>
            <w:vAlign w:val="center"/>
            <w:hideMark/>
          </w:tcPr>
          <w:p w14:paraId="3D5DD96B" w14:textId="77777777" w:rsidR="00616641" w:rsidRPr="0049701B" w:rsidRDefault="00616641" w:rsidP="007E3239">
            <w:pPr>
              <w:pStyle w:val="TableTextBold"/>
              <w:spacing w:before="50" w:after="50"/>
              <w:rPr>
                <w:rFonts w:cs="Calibri"/>
                <w:noProof w:val="0"/>
                <w:szCs w:val="16"/>
              </w:rPr>
            </w:pPr>
            <w:r w:rsidRPr="0049701B">
              <w:rPr>
                <w:rFonts w:cs="Calibri"/>
                <w:noProof w:val="0"/>
                <w:szCs w:val="16"/>
              </w:rPr>
              <w:t>Afforestation and reforestation</w:t>
            </w:r>
          </w:p>
        </w:tc>
        <w:tc>
          <w:tcPr>
            <w:tcW w:w="1134" w:type="dxa"/>
            <w:tcBorders>
              <w:top w:val="single" w:sz="4" w:space="0" w:color="1B556B"/>
              <w:left w:val="nil"/>
              <w:bottom w:val="single" w:sz="4" w:space="0" w:color="1B556B"/>
              <w:right w:val="nil"/>
            </w:tcBorders>
            <w:shd w:val="clear" w:color="auto" w:fill="auto"/>
            <w:noWrap/>
            <w:hideMark/>
          </w:tcPr>
          <w:p w14:paraId="546ABF34" w14:textId="77777777" w:rsidR="00616641" w:rsidRPr="0049701B" w:rsidRDefault="00616641" w:rsidP="007E3239">
            <w:pPr>
              <w:pStyle w:val="TableText"/>
              <w:spacing w:before="50" w:after="50"/>
            </w:pPr>
          </w:p>
        </w:tc>
        <w:tc>
          <w:tcPr>
            <w:tcW w:w="1134" w:type="dxa"/>
            <w:tcBorders>
              <w:top w:val="single" w:sz="4" w:space="0" w:color="1B556B"/>
              <w:left w:val="nil"/>
              <w:bottom w:val="single" w:sz="4" w:space="0" w:color="1B556B"/>
              <w:right w:val="nil"/>
            </w:tcBorders>
            <w:shd w:val="clear" w:color="auto" w:fill="auto"/>
            <w:noWrap/>
            <w:hideMark/>
          </w:tcPr>
          <w:p w14:paraId="1E3605DC" w14:textId="77777777" w:rsidR="00616641" w:rsidRPr="0049701B" w:rsidRDefault="00616641" w:rsidP="007E3239">
            <w:pPr>
              <w:pStyle w:val="TableText"/>
              <w:spacing w:before="50" w:after="50"/>
            </w:pPr>
          </w:p>
        </w:tc>
        <w:tc>
          <w:tcPr>
            <w:tcW w:w="1276" w:type="dxa"/>
            <w:tcBorders>
              <w:top w:val="single" w:sz="4" w:space="0" w:color="1B556B"/>
              <w:left w:val="nil"/>
              <w:bottom w:val="single" w:sz="4" w:space="0" w:color="1B556B"/>
              <w:right w:val="nil"/>
            </w:tcBorders>
            <w:shd w:val="clear" w:color="auto" w:fill="auto"/>
            <w:noWrap/>
            <w:hideMark/>
          </w:tcPr>
          <w:p w14:paraId="198B85D7" w14:textId="77777777" w:rsidR="00616641" w:rsidRPr="0049701B" w:rsidRDefault="00616641" w:rsidP="007E3239">
            <w:pPr>
              <w:pStyle w:val="TableText"/>
              <w:spacing w:before="50" w:after="50"/>
            </w:pPr>
          </w:p>
        </w:tc>
        <w:tc>
          <w:tcPr>
            <w:tcW w:w="1276" w:type="dxa"/>
            <w:tcBorders>
              <w:top w:val="single" w:sz="4" w:space="0" w:color="1B556B"/>
              <w:left w:val="nil"/>
              <w:bottom w:val="single" w:sz="4" w:space="0" w:color="1B556B"/>
              <w:right w:val="nil"/>
            </w:tcBorders>
            <w:shd w:val="clear" w:color="auto" w:fill="auto"/>
            <w:noWrap/>
            <w:hideMark/>
          </w:tcPr>
          <w:p w14:paraId="189A566F" w14:textId="77777777" w:rsidR="00616641" w:rsidRPr="0049701B" w:rsidRDefault="00616641" w:rsidP="007E3239">
            <w:pPr>
              <w:pStyle w:val="TableText"/>
              <w:spacing w:before="50" w:after="50"/>
            </w:pPr>
          </w:p>
        </w:tc>
        <w:tc>
          <w:tcPr>
            <w:tcW w:w="1275" w:type="dxa"/>
            <w:tcBorders>
              <w:top w:val="single" w:sz="4" w:space="0" w:color="1B556B"/>
              <w:left w:val="nil"/>
              <w:bottom w:val="single" w:sz="4" w:space="0" w:color="1B556B"/>
              <w:right w:val="nil"/>
            </w:tcBorders>
          </w:tcPr>
          <w:p w14:paraId="73F2A52E" w14:textId="77777777" w:rsidR="00616641" w:rsidRPr="0049701B" w:rsidRDefault="00616641" w:rsidP="007E3239">
            <w:pPr>
              <w:pStyle w:val="TableText"/>
              <w:spacing w:before="50" w:after="50"/>
            </w:pPr>
          </w:p>
        </w:tc>
        <w:tc>
          <w:tcPr>
            <w:tcW w:w="1560" w:type="dxa"/>
            <w:tcBorders>
              <w:top w:val="single" w:sz="4" w:space="0" w:color="1B556B"/>
              <w:left w:val="nil"/>
              <w:bottom w:val="single" w:sz="4" w:space="0" w:color="1B556B"/>
              <w:right w:val="nil"/>
            </w:tcBorders>
          </w:tcPr>
          <w:p w14:paraId="3EB7D324" w14:textId="77777777" w:rsidR="00616641" w:rsidRPr="0049701B" w:rsidRDefault="00616641" w:rsidP="007E3239">
            <w:pPr>
              <w:pStyle w:val="TableText"/>
              <w:spacing w:before="50" w:after="50"/>
            </w:pPr>
          </w:p>
        </w:tc>
        <w:tc>
          <w:tcPr>
            <w:tcW w:w="1134" w:type="dxa"/>
            <w:tcBorders>
              <w:top w:val="single" w:sz="4" w:space="0" w:color="1B556B"/>
              <w:left w:val="nil"/>
              <w:bottom w:val="single" w:sz="4" w:space="0" w:color="1B556B"/>
              <w:right w:val="nil"/>
            </w:tcBorders>
          </w:tcPr>
          <w:p w14:paraId="2D2BE89E" w14:textId="77777777" w:rsidR="00616641" w:rsidRPr="0049701B" w:rsidRDefault="00616641" w:rsidP="007E3239">
            <w:pPr>
              <w:pStyle w:val="TableText"/>
              <w:spacing w:before="50" w:after="50"/>
            </w:pPr>
          </w:p>
        </w:tc>
        <w:tc>
          <w:tcPr>
            <w:tcW w:w="1077" w:type="dxa"/>
            <w:tcBorders>
              <w:top w:val="single" w:sz="4" w:space="0" w:color="1B556B"/>
              <w:left w:val="nil"/>
              <w:bottom w:val="single" w:sz="4" w:space="0" w:color="1B556B"/>
              <w:right w:val="nil"/>
            </w:tcBorders>
          </w:tcPr>
          <w:p w14:paraId="0887B564" w14:textId="77777777" w:rsidR="00616641" w:rsidRPr="0049701B" w:rsidRDefault="00616641" w:rsidP="007E3239">
            <w:pPr>
              <w:pStyle w:val="TableText"/>
              <w:spacing w:before="50" w:after="50"/>
            </w:pPr>
          </w:p>
        </w:tc>
      </w:tr>
      <w:tr w:rsidR="00616641" w:rsidRPr="0049701B" w14:paraId="5D6A6BA2" w14:textId="77777777" w:rsidTr="007E3239">
        <w:tc>
          <w:tcPr>
            <w:tcW w:w="2977" w:type="dxa"/>
            <w:tcBorders>
              <w:top w:val="single" w:sz="4" w:space="0" w:color="1B556B"/>
              <w:left w:val="nil"/>
              <w:right w:val="nil"/>
            </w:tcBorders>
            <w:shd w:val="clear" w:color="auto" w:fill="auto"/>
            <w:vAlign w:val="center"/>
            <w:hideMark/>
          </w:tcPr>
          <w:p w14:paraId="7F14987C" w14:textId="77777777" w:rsidR="00616641" w:rsidRPr="0049701B" w:rsidRDefault="00616641" w:rsidP="007E3239">
            <w:pPr>
              <w:pStyle w:val="TableText"/>
              <w:spacing w:before="50" w:after="50"/>
              <w:rPr>
                <w:rFonts w:cs="Calibri"/>
                <w:szCs w:val="16"/>
              </w:rPr>
            </w:pPr>
            <w:r w:rsidRPr="0049701B">
              <w:rPr>
                <w:rFonts w:cs="Calibri"/>
                <w:szCs w:val="16"/>
              </w:rPr>
              <w:t>Net cumulative area since 1990 (ha)</w:t>
            </w:r>
          </w:p>
        </w:tc>
        <w:tc>
          <w:tcPr>
            <w:tcW w:w="1134" w:type="dxa"/>
            <w:tcBorders>
              <w:top w:val="single" w:sz="4" w:space="0" w:color="1B556B"/>
              <w:left w:val="nil"/>
              <w:right w:val="nil"/>
            </w:tcBorders>
            <w:shd w:val="clear" w:color="auto" w:fill="auto"/>
            <w:hideMark/>
          </w:tcPr>
          <w:p w14:paraId="542AD9D6" w14:textId="77777777" w:rsidR="00616641" w:rsidRPr="0049701B" w:rsidRDefault="00616641" w:rsidP="007E3239">
            <w:pPr>
              <w:pStyle w:val="TableText"/>
              <w:spacing w:before="50" w:after="50"/>
              <w:jc w:val="right"/>
              <w:rPr>
                <w:rFonts w:cs="Calibri"/>
                <w:szCs w:val="16"/>
              </w:rPr>
            </w:pPr>
            <w:r w:rsidRPr="0049701B">
              <w:t>687,861</w:t>
            </w:r>
          </w:p>
        </w:tc>
        <w:tc>
          <w:tcPr>
            <w:tcW w:w="1134" w:type="dxa"/>
            <w:tcBorders>
              <w:top w:val="single" w:sz="4" w:space="0" w:color="1B556B"/>
              <w:left w:val="nil"/>
              <w:right w:val="nil"/>
            </w:tcBorders>
            <w:shd w:val="clear" w:color="auto" w:fill="auto"/>
            <w:hideMark/>
          </w:tcPr>
          <w:p w14:paraId="0AF3CC46" w14:textId="77777777" w:rsidR="00616641" w:rsidRPr="0049701B" w:rsidRDefault="00616641" w:rsidP="007E3239">
            <w:pPr>
              <w:pStyle w:val="TableText"/>
              <w:spacing w:before="50" w:after="50"/>
              <w:jc w:val="right"/>
              <w:rPr>
                <w:rFonts w:cs="Calibri"/>
                <w:szCs w:val="16"/>
              </w:rPr>
            </w:pPr>
            <w:r w:rsidRPr="0049701B">
              <w:t>690,819</w:t>
            </w:r>
          </w:p>
        </w:tc>
        <w:tc>
          <w:tcPr>
            <w:tcW w:w="1276" w:type="dxa"/>
            <w:tcBorders>
              <w:top w:val="single" w:sz="4" w:space="0" w:color="1B556B"/>
              <w:left w:val="nil"/>
              <w:right w:val="nil"/>
            </w:tcBorders>
            <w:shd w:val="clear" w:color="auto" w:fill="auto"/>
            <w:hideMark/>
          </w:tcPr>
          <w:p w14:paraId="45F051A0" w14:textId="77777777" w:rsidR="00616641" w:rsidRPr="0049701B" w:rsidRDefault="00616641" w:rsidP="007E3239">
            <w:pPr>
              <w:pStyle w:val="TableText"/>
              <w:spacing w:before="50" w:after="50"/>
              <w:jc w:val="right"/>
              <w:rPr>
                <w:rFonts w:cs="Calibri"/>
                <w:szCs w:val="16"/>
              </w:rPr>
            </w:pPr>
            <w:r w:rsidRPr="0049701B">
              <w:t>694,233</w:t>
            </w:r>
          </w:p>
        </w:tc>
        <w:tc>
          <w:tcPr>
            <w:tcW w:w="1276" w:type="dxa"/>
            <w:tcBorders>
              <w:top w:val="single" w:sz="4" w:space="0" w:color="1B556B"/>
              <w:left w:val="nil"/>
              <w:right w:val="nil"/>
            </w:tcBorders>
            <w:shd w:val="clear" w:color="auto" w:fill="auto"/>
            <w:hideMark/>
          </w:tcPr>
          <w:p w14:paraId="2F7849CF" w14:textId="77777777" w:rsidR="00616641" w:rsidRPr="0049701B" w:rsidRDefault="00616641" w:rsidP="007E3239">
            <w:pPr>
              <w:pStyle w:val="TableText"/>
              <w:spacing w:before="50" w:after="50"/>
              <w:jc w:val="right"/>
              <w:rPr>
                <w:rFonts w:cs="Calibri"/>
                <w:szCs w:val="16"/>
              </w:rPr>
            </w:pPr>
            <w:r w:rsidRPr="0049701B">
              <w:t>696,925</w:t>
            </w:r>
          </w:p>
        </w:tc>
        <w:tc>
          <w:tcPr>
            <w:tcW w:w="1275" w:type="dxa"/>
            <w:tcBorders>
              <w:top w:val="single" w:sz="4" w:space="0" w:color="1B556B"/>
              <w:left w:val="nil"/>
              <w:right w:val="nil"/>
            </w:tcBorders>
          </w:tcPr>
          <w:p w14:paraId="34B44625" w14:textId="77777777" w:rsidR="00616641" w:rsidRPr="0049701B" w:rsidRDefault="00616641" w:rsidP="007E3239">
            <w:pPr>
              <w:pStyle w:val="TableText"/>
              <w:spacing w:before="50" w:after="50"/>
              <w:jc w:val="right"/>
              <w:rPr>
                <w:rFonts w:cs="Calibri"/>
                <w:szCs w:val="16"/>
              </w:rPr>
            </w:pPr>
            <w:r w:rsidRPr="0049701B">
              <w:t>702,355</w:t>
            </w:r>
          </w:p>
        </w:tc>
        <w:tc>
          <w:tcPr>
            <w:tcW w:w="1560" w:type="dxa"/>
            <w:tcBorders>
              <w:top w:val="single" w:sz="4" w:space="0" w:color="1B556B"/>
              <w:left w:val="nil"/>
              <w:right w:val="nil"/>
            </w:tcBorders>
          </w:tcPr>
          <w:p w14:paraId="02F3B8E9" w14:textId="77777777" w:rsidR="00616641" w:rsidRPr="0049701B" w:rsidRDefault="00616641" w:rsidP="007E3239">
            <w:pPr>
              <w:pStyle w:val="TableText"/>
              <w:spacing w:before="50" w:after="50"/>
              <w:jc w:val="right"/>
              <w:rPr>
                <w:rFonts w:cs="Calibri"/>
                <w:szCs w:val="16"/>
              </w:rPr>
            </w:pPr>
            <w:r w:rsidRPr="0049701B">
              <w:t>709,838</w:t>
            </w:r>
          </w:p>
        </w:tc>
        <w:tc>
          <w:tcPr>
            <w:tcW w:w="1134" w:type="dxa"/>
            <w:tcBorders>
              <w:top w:val="single" w:sz="4" w:space="0" w:color="1B556B"/>
              <w:left w:val="nil"/>
              <w:right w:val="nil"/>
            </w:tcBorders>
          </w:tcPr>
          <w:p w14:paraId="5B097059" w14:textId="77777777" w:rsidR="00616641" w:rsidRPr="0049701B" w:rsidRDefault="00616641" w:rsidP="007E3239">
            <w:pPr>
              <w:pStyle w:val="TableText"/>
              <w:spacing w:before="50" w:after="50"/>
              <w:jc w:val="right"/>
              <w:rPr>
                <w:rFonts w:cs="Calibri"/>
                <w:szCs w:val="16"/>
              </w:rPr>
            </w:pPr>
            <w:r w:rsidRPr="0049701B">
              <w:t>735,240</w:t>
            </w:r>
          </w:p>
        </w:tc>
        <w:tc>
          <w:tcPr>
            <w:tcW w:w="1077" w:type="dxa"/>
            <w:tcBorders>
              <w:top w:val="single" w:sz="4" w:space="0" w:color="1B556B"/>
              <w:left w:val="nil"/>
              <w:right w:val="nil"/>
            </w:tcBorders>
          </w:tcPr>
          <w:p w14:paraId="1427FEE6" w14:textId="77777777" w:rsidR="00616641" w:rsidRPr="0049701B" w:rsidRDefault="00616641" w:rsidP="007E3239">
            <w:pPr>
              <w:pStyle w:val="TableText"/>
              <w:spacing w:before="50" w:after="50"/>
              <w:jc w:val="right"/>
            </w:pPr>
            <w:r w:rsidRPr="0049701B">
              <w:t>775,385</w:t>
            </w:r>
          </w:p>
        </w:tc>
      </w:tr>
      <w:tr w:rsidR="00616641" w:rsidRPr="0049701B" w14:paraId="0BBF55E4" w14:textId="77777777" w:rsidTr="007E3239">
        <w:tc>
          <w:tcPr>
            <w:tcW w:w="2977" w:type="dxa"/>
            <w:tcBorders>
              <w:left w:val="nil"/>
              <w:right w:val="nil"/>
            </w:tcBorders>
            <w:shd w:val="clear" w:color="auto" w:fill="auto"/>
            <w:vAlign w:val="center"/>
            <w:hideMark/>
          </w:tcPr>
          <w:p w14:paraId="56B01AE3" w14:textId="77777777" w:rsidR="00616641" w:rsidRPr="0049701B" w:rsidRDefault="00616641" w:rsidP="007E3239">
            <w:pPr>
              <w:pStyle w:val="TableText"/>
              <w:spacing w:before="50" w:after="50"/>
            </w:pPr>
            <w:r w:rsidRPr="0049701B">
              <w:t>Area in calendar year (ha)</w:t>
            </w:r>
          </w:p>
        </w:tc>
        <w:tc>
          <w:tcPr>
            <w:tcW w:w="1134" w:type="dxa"/>
            <w:tcBorders>
              <w:left w:val="nil"/>
              <w:right w:val="nil"/>
            </w:tcBorders>
            <w:shd w:val="clear" w:color="auto" w:fill="auto"/>
            <w:hideMark/>
          </w:tcPr>
          <w:p w14:paraId="3D046C07" w14:textId="77777777" w:rsidR="00616641" w:rsidRPr="0049701B" w:rsidRDefault="00616641" w:rsidP="007E3239">
            <w:pPr>
              <w:pStyle w:val="TableText"/>
              <w:spacing w:before="50" w:after="50"/>
              <w:jc w:val="right"/>
            </w:pPr>
            <w:r w:rsidRPr="0049701B">
              <w:t>7,285</w:t>
            </w:r>
          </w:p>
        </w:tc>
        <w:tc>
          <w:tcPr>
            <w:tcW w:w="1134" w:type="dxa"/>
            <w:tcBorders>
              <w:left w:val="nil"/>
              <w:right w:val="nil"/>
            </w:tcBorders>
            <w:shd w:val="clear" w:color="auto" w:fill="auto"/>
            <w:hideMark/>
          </w:tcPr>
          <w:p w14:paraId="6DB12228" w14:textId="77777777" w:rsidR="00616641" w:rsidRPr="0049701B" w:rsidRDefault="00616641" w:rsidP="007E3239">
            <w:pPr>
              <w:pStyle w:val="TableText"/>
              <w:spacing w:before="50" w:after="50"/>
              <w:jc w:val="right"/>
            </w:pPr>
            <w:r w:rsidRPr="0049701B">
              <w:t>5,937</w:t>
            </w:r>
          </w:p>
        </w:tc>
        <w:tc>
          <w:tcPr>
            <w:tcW w:w="1276" w:type="dxa"/>
            <w:tcBorders>
              <w:left w:val="nil"/>
              <w:right w:val="nil"/>
            </w:tcBorders>
            <w:shd w:val="clear" w:color="auto" w:fill="auto"/>
            <w:hideMark/>
          </w:tcPr>
          <w:p w14:paraId="3F783BA9" w14:textId="77777777" w:rsidR="00616641" w:rsidRPr="0049701B" w:rsidRDefault="00616641" w:rsidP="007E3239">
            <w:pPr>
              <w:pStyle w:val="TableText"/>
              <w:spacing w:before="50" w:after="50"/>
              <w:jc w:val="right"/>
            </w:pPr>
            <w:r w:rsidRPr="0049701B">
              <w:t>5,937</w:t>
            </w:r>
          </w:p>
        </w:tc>
        <w:tc>
          <w:tcPr>
            <w:tcW w:w="1276" w:type="dxa"/>
            <w:tcBorders>
              <w:left w:val="nil"/>
              <w:right w:val="nil"/>
            </w:tcBorders>
            <w:shd w:val="clear" w:color="auto" w:fill="auto"/>
            <w:hideMark/>
          </w:tcPr>
          <w:p w14:paraId="0295A83A" w14:textId="77777777" w:rsidR="00616641" w:rsidRPr="0049701B" w:rsidRDefault="00616641" w:rsidP="007E3239">
            <w:pPr>
              <w:pStyle w:val="TableText"/>
              <w:spacing w:before="50" w:after="50"/>
              <w:jc w:val="right"/>
            </w:pPr>
            <w:r w:rsidRPr="0049701B">
              <w:t>5,784</w:t>
            </w:r>
          </w:p>
        </w:tc>
        <w:tc>
          <w:tcPr>
            <w:tcW w:w="1275" w:type="dxa"/>
            <w:tcBorders>
              <w:left w:val="nil"/>
              <w:right w:val="nil"/>
            </w:tcBorders>
          </w:tcPr>
          <w:p w14:paraId="426366C7" w14:textId="77777777" w:rsidR="00616641" w:rsidRPr="0049701B" w:rsidRDefault="00616641" w:rsidP="007E3239">
            <w:pPr>
              <w:pStyle w:val="TableText"/>
              <w:spacing w:before="50" w:after="50"/>
              <w:jc w:val="right"/>
            </w:pPr>
            <w:r w:rsidRPr="0049701B">
              <w:t>8,434</w:t>
            </w:r>
          </w:p>
        </w:tc>
        <w:tc>
          <w:tcPr>
            <w:tcW w:w="1560" w:type="dxa"/>
            <w:tcBorders>
              <w:left w:val="nil"/>
              <w:right w:val="nil"/>
            </w:tcBorders>
          </w:tcPr>
          <w:p w14:paraId="7A6AB27D" w14:textId="77777777" w:rsidR="00616641" w:rsidRPr="0049701B" w:rsidRDefault="00616641" w:rsidP="007E3239">
            <w:pPr>
              <w:pStyle w:val="TableText"/>
              <w:spacing w:before="50" w:after="50"/>
              <w:jc w:val="right"/>
            </w:pPr>
            <w:r w:rsidRPr="0049701B">
              <w:t>8,779</w:t>
            </w:r>
          </w:p>
        </w:tc>
        <w:tc>
          <w:tcPr>
            <w:tcW w:w="1134" w:type="dxa"/>
            <w:tcBorders>
              <w:left w:val="nil"/>
              <w:right w:val="nil"/>
            </w:tcBorders>
          </w:tcPr>
          <w:p w14:paraId="6A4E6037" w14:textId="77777777" w:rsidR="00616641" w:rsidRPr="0049701B" w:rsidRDefault="00616641" w:rsidP="007E3239">
            <w:pPr>
              <w:pStyle w:val="TableText"/>
              <w:spacing w:before="50" w:after="50"/>
              <w:jc w:val="right"/>
            </w:pPr>
            <w:r w:rsidRPr="0049701B">
              <w:t>27,070</w:t>
            </w:r>
          </w:p>
        </w:tc>
        <w:tc>
          <w:tcPr>
            <w:tcW w:w="1077" w:type="dxa"/>
            <w:tcBorders>
              <w:left w:val="nil"/>
              <w:right w:val="nil"/>
            </w:tcBorders>
          </w:tcPr>
          <w:p w14:paraId="5BCE1318" w14:textId="77777777" w:rsidR="00616641" w:rsidRPr="0049701B" w:rsidRDefault="00616641" w:rsidP="007E3239">
            <w:pPr>
              <w:pStyle w:val="TableText"/>
              <w:spacing w:before="50" w:after="50"/>
              <w:jc w:val="right"/>
            </w:pPr>
            <w:r w:rsidRPr="0049701B">
              <w:t>40,887</w:t>
            </w:r>
          </w:p>
        </w:tc>
      </w:tr>
      <w:tr w:rsidR="00616641" w:rsidRPr="0049701B" w14:paraId="46024000" w14:textId="77777777" w:rsidTr="007E3239">
        <w:tc>
          <w:tcPr>
            <w:tcW w:w="2977" w:type="dxa"/>
            <w:tcBorders>
              <w:left w:val="nil"/>
              <w:bottom w:val="single" w:sz="4" w:space="0" w:color="1B556B"/>
              <w:right w:val="nil"/>
            </w:tcBorders>
            <w:shd w:val="clear" w:color="auto" w:fill="auto"/>
            <w:vAlign w:val="center"/>
            <w:hideMark/>
          </w:tcPr>
          <w:p w14:paraId="464EBAF5" w14:textId="77777777" w:rsidR="00616641" w:rsidRPr="0049701B" w:rsidRDefault="00616641" w:rsidP="007E3239">
            <w:pPr>
              <w:pStyle w:val="TableText"/>
              <w:spacing w:before="50" w:after="50"/>
              <w:rPr>
                <w:rFonts w:cs="Calibri"/>
                <w:szCs w:val="16"/>
              </w:rPr>
            </w:pPr>
            <w:r w:rsidRPr="0049701B">
              <w:rPr>
                <w:rFonts w:cs="Calibri"/>
                <w:szCs w:val="16"/>
              </w:rPr>
              <w:t>Net emissions in calendar year (kt CO</w:t>
            </w:r>
            <w:r w:rsidRPr="0049701B">
              <w:rPr>
                <w:rFonts w:cs="Calibri"/>
                <w:szCs w:val="16"/>
                <w:vertAlign w:val="subscript"/>
              </w:rPr>
              <w:t>2</w:t>
            </w:r>
            <w:r w:rsidRPr="0049701B">
              <w:rPr>
                <w:rFonts w:cs="Calibri"/>
                <w:szCs w:val="16"/>
              </w:rPr>
              <w:t>-e)</w:t>
            </w:r>
          </w:p>
        </w:tc>
        <w:tc>
          <w:tcPr>
            <w:tcW w:w="1134" w:type="dxa"/>
            <w:tcBorders>
              <w:left w:val="nil"/>
              <w:bottom w:val="single" w:sz="4" w:space="0" w:color="1B556B"/>
              <w:right w:val="nil"/>
            </w:tcBorders>
            <w:shd w:val="clear" w:color="auto" w:fill="auto"/>
            <w:hideMark/>
          </w:tcPr>
          <w:p w14:paraId="55672C82" w14:textId="77777777" w:rsidR="00616641" w:rsidRPr="0049701B" w:rsidRDefault="00616641" w:rsidP="007E3239">
            <w:pPr>
              <w:pStyle w:val="TableText"/>
              <w:spacing w:before="50" w:after="50"/>
              <w:jc w:val="right"/>
            </w:pPr>
            <w:r w:rsidRPr="0049701B">
              <w:t xml:space="preserve">–17,520.3 </w:t>
            </w:r>
          </w:p>
        </w:tc>
        <w:tc>
          <w:tcPr>
            <w:tcW w:w="1134" w:type="dxa"/>
            <w:tcBorders>
              <w:left w:val="nil"/>
              <w:bottom w:val="single" w:sz="4" w:space="0" w:color="1B556B"/>
              <w:right w:val="nil"/>
            </w:tcBorders>
            <w:shd w:val="clear" w:color="auto" w:fill="auto"/>
            <w:hideMark/>
          </w:tcPr>
          <w:p w14:paraId="72235974" w14:textId="77777777" w:rsidR="00616641" w:rsidRPr="0049701B" w:rsidRDefault="00616641" w:rsidP="007E3239">
            <w:pPr>
              <w:pStyle w:val="TableText"/>
              <w:spacing w:before="50" w:after="50"/>
              <w:jc w:val="right"/>
            </w:pPr>
            <w:r w:rsidRPr="0049701B">
              <w:t>–17,913.5</w:t>
            </w:r>
          </w:p>
        </w:tc>
        <w:tc>
          <w:tcPr>
            <w:tcW w:w="1276" w:type="dxa"/>
            <w:tcBorders>
              <w:left w:val="nil"/>
              <w:bottom w:val="single" w:sz="4" w:space="0" w:color="1B556B"/>
              <w:right w:val="nil"/>
            </w:tcBorders>
            <w:shd w:val="clear" w:color="auto" w:fill="auto"/>
            <w:hideMark/>
          </w:tcPr>
          <w:p w14:paraId="512BBC5D" w14:textId="77777777" w:rsidR="00616641" w:rsidRPr="0049701B" w:rsidRDefault="00616641" w:rsidP="007E3239">
            <w:pPr>
              <w:pStyle w:val="TableText"/>
              <w:spacing w:before="50" w:after="50"/>
              <w:jc w:val="right"/>
            </w:pPr>
            <w:r w:rsidRPr="0049701B">
              <w:t xml:space="preserve">–18,054.1 </w:t>
            </w:r>
          </w:p>
        </w:tc>
        <w:tc>
          <w:tcPr>
            <w:tcW w:w="1276" w:type="dxa"/>
            <w:tcBorders>
              <w:left w:val="nil"/>
              <w:bottom w:val="single" w:sz="4" w:space="0" w:color="1B556B"/>
              <w:right w:val="nil"/>
            </w:tcBorders>
            <w:shd w:val="clear" w:color="auto" w:fill="auto"/>
            <w:hideMark/>
          </w:tcPr>
          <w:p w14:paraId="15E61421" w14:textId="77777777" w:rsidR="00616641" w:rsidRPr="0049701B" w:rsidRDefault="00616641" w:rsidP="007E3239">
            <w:pPr>
              <w:pStyle w:val="TableText"/>
              <w:spacing w:before="50" w:after="50"/>
              <w:jc w:val="right"/>
            </w:pPr>
            <w:r w:rsidRPr="0049701B">
              <w:t xml:space="preserve">–18,004.8 </w:t>
            </w:r>
          </w:p>
        </w:tc>
        <w:tc>
          <w:tcPr>
            <w:tcW w:w="1275" w:type="dxa"/>
            <w:tcBorders>
              <w:left w:val="nil"/>
              <w:bottom w:val="single" w:sz="4" w:space="0" w:color="1B556B"/>
              <w:right w:val="nil"/>
            </w:tcBorders>
          </w:tcPr>
          <w:p w14:paraId="369EEF62" w14:textId="77777777" w:rsidR="00616641" w:rsidRPr="0049701B" w:rsidRDefault="00616641" w:rsidP="007E3239">
            <w:pPr>
              <w:pStyle w:val="TableText"/>
              <w:spacing w:before="50" w:after="50"/>
              <w:jc w:val="right"/>
            </w:pPr>
            <w:r w:rsidRPr="0049701B">
              <w:t xml:space="preserve">–18,486.5 </w:t>
            </w:r>
          </w:p>
        </w:tc>
        <w:tc>
          <w:tcPr>
            <w:tcW w:w="1560" w:type="dxa"/>
            <w:tcBorders>
              <w:left w:val="nil"/>
              <w:bottom w:val="single" w:sz="4" w:space="0" w:color="1B556B"/>
              <w:right w:val="nil"/>
            </w:tcBorders>
          </w:tcPr>
          <w:p w14:paraId="0A5261B0" w14:textId="77777777" w:rsidR="00616641" w:rsidRPr="0049701B" w:rsidRDefault="00616641" w:rsidP="007E3239">
            <w:pPr>
              <w:pStyle w:val="TableText"/>
              <w:spacing w:before="50" w:after="50"/>
              <w:jc w:val="right"/>
            </w:pPr>
            <w:r w:rsidRPr="0049701B">
              <w:t xml:space="preserve">–17,741.1 </w:t>
            </w:r>
          </w:p>
        </w:tc>
        <w:tc>
          <w:tcPr>
            <w:tcW w:w="1134" w:type="dxa"/>
            <w:tcBorders>
              <w:left w:val="nil"/>
              <w:bottom w:val="single" w:sz="4" w:space="0" w:color="1B556B"/>
              <w:right w:val="nil"/>
            </w:tcBorders>
          </w:tcPr>
          <w:p w14:paraId="157A63AC" w14:textId="77777777" w:rsidR="00616641" w:rsidRPr="0049701B" w:rsidRDefault="00616641" w:rsidP="007E3239">
            <w:pPr>
              <w:pStyle w:val="TableText"/>
              <w:spacing w:before="50" w:after="50"/>
              <w:jc w:val="right"/>
            </w:pPr>
            <w:r w:rsidRPr="0049701B">
              <w:t xml:space="preserve">–16,733.5 </w:t>
            </w:r>
          </w:p>
        </w:tc>
        <w:tc>
          <w:tcPr>
            <w:tcW w:w="1077" w:type="dxa"/>
            <w:tcBorders>
              <w:left w:val="nil"/>
              <w:bottom w:val="single" w:sz="4" w:space="0" w:color="1B556B"/>
              <w:right w:val="nil"/>
            </w:tcBorders>
          </w:tcPr>
          <w:p w14:paraId="134E82F2" w14:textId="77777777" w:rsidR="00616641" w:rsidRPr="0049701B" w:rsidRDefault="00616641" w:rsidP="007E3239">
            <w:pPr>
              <w:pStyle w:val="TableText"/>
              <w:spacing w:before="50" w:after="50"/>
              <w:jc w:val="right"/>
            </w:pPr>
            <w:r w:rsidRPr="0049701B">
              <w:t xml:space="preserve">–14,764.7 </w:t>
            </w:r>
          </w:p>
        </w:tc>
      </w:tr>
      <w:tr w:rsidR="00616641" w:rsidRPr="0049701B" w14:paraId="5A891C6B" w14:textId="77777777" w:rsidTr="007E3239">
        <w:tc>
          <w:tcPr>
            <w:tcW w:w="2977" w:type="dxa"/>
            <w:tcBorders>
              <w:top w:val="single" w:sz="4" w:space="0" w:color="1B556B"/>
              <w:left w:val="nil"/>
              <w:bottom w:val="single" w:sz="4" w:space="0" w:color="1B556B"/>
              <w:right w:val="nil"/>
            </w:tcBorders>
            <w:shd w:val="clear" w:color="auto" w:fill="auto"/>
            <w:vAlign w:val="center"/>
            <w:hideMark/>
          </w:tcPr>
          <w:p w14:paraId="5F5E21C8" w14:textId="77777777" w:rsidR="00616641" w:rsidRPr="0049701B" w:rsidRDefault="00616641" w:rsidP="007E3239">
            <w:pPr>
              <w:pStyle w:val="TableTextBold"/>
              <w:spacing w:before="50" w:after="50"/>
              <w:rPr>
                <w:rFonts w:cs="Calibri"/>
                <w:noProof w:val="0"/>
                <w:szCs w:val="16"/>
              </w:rPr>
            </w:pPr>
            <w:r w:rsidRPr="0049701B">
              <w:rPr>
                <w:rFonts w:cs="Calibri"/>
                <w:noProof w:val="0"/>
                <w:szCs w:val="16"/>
              </w:rPr>
              <w:t>Deforestation</w:t>
            </w:r>
          </w:p>
        </w:tc>
        <w:tc>
          <w:tcPr>
            <w:tcW w:w="1134" w:type="dxa"/>
            <w:tcBorders>
              <w:top w:val="single" w:sz="4" w:space="0" w:color="1B556B"/>
              <w:left w:val="nil"/>
              <w:bottom w:val="single" w:sz="4" w:space="0" w:color="1B556B"/>
              <w:right w:val="nil"/>
            </w:tcBorders>
            <w:shd w:val="clear" w:color="auto" w:fill="auto"/>
            <w:hideMark/>
          </w:tcPr>
          <w:p w14:paraId="3942D112" w14:textId="77777777" w:rsidR="00616641" w:rsidRPr="0049701B" w:rsidRDefault="00616641" w:rsidP="007E3239">
            <w:pPr>
              <w:pStyle w:val="TableTextBold"/>
              <w:spacing w:before="50" w:after="50"/>
              <w:jc w:val="right"/>
              <w:rPr>
                <w:rFonts w:cs="Calibri"/>
                <w:noProof w:val="0"/>
                <w:szCs w:val="16"/>
              </w:rPr>
            </w:pPr>
          </w:p>
        </w:tc>
        <w:tc>
          <w:tcPr>
            <w:tcW w:w="1134" w:type="dxa"/>
            <w:tcBorders>
              <w:top w:val="single" w:sz="4" w:space="0" w:color="1B556B"/>
              <w:left w:val="nil"/>
              <w:bottom w:val="single" w:sz="4" w:space="0" w:color="1B556B"/>
              <w:right w:val="nil"/>
            </w:tcBorders>
            <w:shd w:val="clear" w:color="auto" w:fill="auto"/>
            <w:hideMark/>
          </w:tcPr>
          <w:p w14:paraId="535B6A18" w14:textId="77777777" w:rsidR="00616641" w:rsidRPr="0049701B" w:rsidRDefault="00616641" w:rsidP="007E3239">
            <w:pPr>
              <w:pStyle w:val="TableTextBold"/>
              <w:spacing w:before="50" w:after="50"/>
              <w:jc w:val="right"/>
              <w:rPr>
                <w:rFonts w:cs="Calibri"/>
                <w:noProof w:val="0"/>
                <w:szCs w:val="16"/>
              </w:rPr>
            </w:pPr>
          </w:p>
        </w:tc>
        <w:tc>
          <w:tcPr>
            <w:tcW w:w="1276" w:type="dxa"/>
            <w:tcBorders>
              <w:top w:val="single" w:sz="4" w:space="0" w:color="1B556B"/>
              <w:left w:val="nil"/>
              <w:bottom w:val="single" w:sz="4" w:space="0" w:color="1B556B"/>
              <w:right w:val="nil"/>
            </w:tcBorders>
            <w:shd w:val="clear" w:color="auto" w:fill="auto"/>
            <w:hideMark/>
          </w:tcPr>
          <w:p w14:paraId="7501EA4A" w14:textId="77777777" w:rsidR="00616641" w:rsidRPr="0049701B" w:rsidRDefault="00616641" w:rsidP="007E3239">
            <w:pPr>
              <w:pStyle w:val="TableTextBold"/>
              <w:spacing w:before="50" w:after="50"/>
              <w:jc w:val="right"/>
              <w:rPr>
                <w:rFonts w:cs="Calibri"/>
                <w:noProof w:val="0"/>
                <w:szCs w:val="16"/>
              </w:rPr>
            </w:pPr>
          </w:p>
        </w:tc>
        <w:tc>
          <w:tcPr>
            <w:tcW w:w="1276" w:type="dxa"/>
            <w:tcBorders>
              <w:top w:val="single" w:sz="4" w:space="0" w:color="1B556B"/>
              <w:left w:val="nil"/>
              <w:bottom w:val="single" w:sz="4" w:space="0" w:color="1B556B"/>
              <w:right w:val="nil"/>
            </w:tcBorders>
            <w:shd w:val="clear" w:color="auto" w:fill="auto"/>
            <w:hideMark/>
          </w:tcPr>
          <w:p w14:paraId="65861556" w14:textId="77777777" w:rsidR="00616641" w:rsidRPr="0049701B" w:rsidRDefault="00616641" w:rsidP="007E3239">
            <w:pPr>
              <w:pStyle w:val="TableTextBold"/>
              <w:spacing w:before="50" w:after="50"/>
              <w:jc w:val="right"/>
              <w:rPr>
                <w:rFonts w:cs="Calibri"/>
                <w:noProof w:val="0"/>
                <w:szCs w:val="16"/>
              </w:rPr>
            </w:pPr>
          </w:p>
        </w:tc>
        <w:tc>
          <w:tcPr>
            <w:tcW w:w="1275" w:type="dxa"/>
            <w:tcBorders>
              <w:top w:val="single" w:sz="4" w:space="0" w:color="1B556B"/>
              <w:left w:val="nil"/>
              <w:bottom w:val="single" w:sz="4" w:space="0" w:color="1B556B"/>
              <w:right w:val="nil"/>
            </w:tcBorders>
          </w:tcPr>
          <w:p w14:paraId="63ED7934" w14:textId="77777777" w:rsidR="00616641" w:rsidRPr="0049701B" w:rsidRDefault="00616641" w:rsidP="007E3239">
            <w:pPr>
              <w:pStyle w:val="TableTextBold"/>
              <w:spacing w:before="50" w:after="50"/>
              <w:jc w:val="right"/>
              <w:rPr>
                <w:rFonts w:cs="Calibri"/>
                <w:noProof w:val="0"/>
                <w:szCs w:val="16"/>
              </w:rPr>
            </w:pPr>
          </w:p>
        </w:tc>
        <w:tc>
          <w:tcPr>
            <w:tcW w:w="1560" w:type="dxa"/>
            <w:tcBorders>
              <w:top w:val="single" w:sz="4" w:space="0" w:color="1B556B"/>
              <w:left w:val="nil"/>
              <w:bottom w:val="single" w:sz="4" w:space="0" w:color="1B556B"/>
              <w:right w:val="nil"/>
            </w:tcBorders>
          </w:tcPr>
          <w:p w14:paraId="284FAE7D" w14:textId="77777777" w:rsidR="00616641" w:rsidRPr="0049701B" w:rsidRDefault="00616641" w:rsidP="007E3239">
            <w:pPr>
              <w:pStyle w:val="TableTextBold"/>
              <w:spacing w:before="50" w:after="50"/>
              <w:jc w:val="right"/>
              <w:rPr>
                <w:rFonts w:cs="Calibri"/>
                <w:noProof w:val="0"/>
                <w:szCs w:val="16"/>
              </w:rPr>
            </w:pPr>
          </w:p>
        </w:tc>
        <w:tc>
          <w:tcPr>
            <w:tcW w:w="1134" w:type="dxa"/>
            <w:tcBorders>
              <w:top w:val="single" w:sz="4" w:space="0" w:color="1B556B"/>
              <w:left w:val="nil"/>
              <w:bottom w:val="single" w:sz="4" w:space="0" w:color="1B556B"/>
              <w:right w:val="nil"/>
            </w:tcBorders>
          </w:tcPr>
          <w:p w14:paraId="13E5A8C9" w14:textId="77777777" w:rsidR="00616641" w:rsidRPr="0049701B" w:rsidRDefault="00616641" w:rsidP="007E3239">
            <w:pPr>
              <w:pStyle w:val="TableTextBold"/>
              <w:spacing w:before="50" w:after="50"/>
              <w:jc w:val="right"/>
              <w:rPr>
                <w:rFonts w:cs="Calibri"/>
                <w:noProof w:val="0"/>
                <w:szCs w:val="16"/>
              </w:rPr>
            </w:pPr>
          </w:p>
        </w:tc>
        <w:tc>
          <w:tcPr>
            <w:tcW w:w="1077" w:type="dxa"/>
            <w:tcBorders>
              <w:top w:val="single" w:sz="4" w:space="0" w:color="1B556B"/>
              <w:left w:val="nil"/>
              <w:bottom w:val="single" w:sz="4" w:space="0" w:color="1B556B"/>
              <w:right w:val="nil"/>
            </w:tcBorders>
          </w:tcPr>
          <w:p w14:paraId="6C88E369" w14:textId="77777777" w:rsidR="00616641" w:rsidRPr="0049701B" w:rsidRDefault="00616641" w:rsidP="007E3239">
            <w:pPr>
              <w:pStyle w:val="TableTextBold"/>
              <w:spacing w:before="50" w:after="50"/>
              <w:jc w:val="right"/>
              <w:rPr>
                <w:rFonts w:cs="Calibri"/>
                <w:noProof w:val="0"/>
                <w:szCs w:val="16"/>
              </w:rPr>
            </w:pPr>
          </w:p>
        </w:tc>
      </w:tr>
      <w:tr w:rsidR="00616641" w:rsidRPr="0049701B" w14:paraId="1D5B4E5F" w14:textId="77777777" w:rsidTr="007E3239">
        <w:tc>
          <w:tcPr>
            <w:tcW w:w="2977" w:type="dxa"/>
            <w:tcBorders>
              <w:top w:val="single" w:sz="4" w:space="0" w:color="1B556B"/>
              <w:left w:val="nil"/>
              <w:right w:val="nil"/>
            </w:tcBorders>
            <w:shd w:val="clear" w:color="auto" w:fill="auto"/>
            <w:vAlign w:val="center"/>
            <w:hideMark/>
          </w:tcPr>
          <w:p w14:paraId="591416A7" w14:textId="77777777" w:rsidR="00616641" w:rsidRPr="0049701B" w:rsidRDefault="00616641" w:rsidP="007E3239">
            <w:pPr>
              <w:pStyle w:val="TableText"/>
              <w:spacing w:before="50" w:after="50"/>
              <w:rPr>
                <w:rFonts w:cs="Calibri"/>
                <w:szCs w:val="16"/>
              </w:rPr>
            </w:pPr>
            <w:r w:rsidRPr="0049701B">
              <w:rPr>
                <w:rFonts w:cs="Calibri"/>
                <w:szCs w:val="16"/>
              </w:rPr>
              <w:t>Net cumulative area since 1990 (ha)</w:t>
            </w:r>
          </w:p>
        </w:tc>
        <w:tc>
          <w:tcPr>
            <w:tcW w:w="1134" w:type="dxa"/>
            <w:tcBorders>
              <w:top w:val="single" w:sz="4" w:space="0" w:color="1B556B"/>
              <w:left w:val="nil"/>
              <w:right w:val="nil"/>
            </w:tcBorders>
            <w:shd w:val="clear" w:color="auto" w:fill="auto"/>
            <w:hideMark/>
          </w:tcPr>
          <w:p w14:paraId="72B5E014" w14:textId="77777777" w:rsidR="00616641" w:rsidRPr="0049701B" w:rsidRDefault="00616641" w:rsidP="007E3239">
            <w:pPr>
              <w:pStyle w:val="TableText"/>
              <w:spacing w:before="50" w:after="50"/>
              <w:jc w:val="right"/>
              <w:rPr>
                <w:rFonts w:cs="Calibri"/>
                <w:szCs w:val="16"/>
              </w:rPr>
            </w:pPr>
            <w:r w:rsidRPr="0049701B">
              <w:t>172,456</w:t>
            </w:r>
          </w:p>
        </w:tc>
        <w:tc>
          <w:tcPr>
            <w:tcW w:w="1134" w:type="dxa"/>
            <w:tcBorders>
              <w:top w:val="single" w:sz="4" w:space="0" w:color="1B556B"/>
              <w:left w:val="nil"/>
              <w:right w:val="nil"/>
            </w:tcBorders>
            <w:shd w:val="clear" w:color="auto" w:fill="auto"/>
            <w:hideMark/>
          </w:tcPr>
          <w:p w14:paraId="4662502F" w14:textId="77777777" w:rsidR="00616641" w:rsidRPr="0049701B" w:rsidRDefault="00616641" w:rsidP="007E3239">
            <w:pPr>
              <w:pStyle w:val="TableText"/>
              <w:spacing w:before="50" w:after="50"/>
              <w:jc w:val="right"/>
              <w:rPr>
                <w:rFonts w:cs="Calibri"/>
                <w:szCs w:val="16"/>
              </w:rPr>
            </w:pPr>
            <w:r w:rsidRPr="0049701B">
              <w:t>182,963</w:t>
            </w:r>
          </w:p>
        </w:tc>
        <w:tc>
          <w:tcPr>
            <w:tcW w:w="1276" w:type="dxa"/>
            <w:tcBorders>
              <w:top w:val="single" w:sz="4" w:space="0" w:color="1B556B"/>
              <w:left w:val="nil"/>
              <w:right w:val="nil"/>
            </w:tcBorders>
            <w:shd w:val="clear" w:color="auto" w:fill="auto"/>
            <w:hideMark/>
          </w:tcPr>
          <w:p w14:paraId="44AAEAB9" w14:textId="77777777" w:rsidR="00616641" w:rsidRPr="0049701B" w:rsidRDefault="00616641" w:rsidP="007E3239">
            <w:pPr>
              <w:pStyle w:val="TableText"/>
              <w:spacing w:before="50" w:after="50"/>
              <w:jc w:val="right"/>
              <w:rPr>
                <w:rFonts w:cs="Calibri"/>
                <w:szCs w:val="16"/>
              </w:rPr>
            </w:pPr>
            <w:r w:rsidRPr="0049701B">
              <w:t>190,942</w:t>
            </w:r>
          </w:p>
        </w:tc>
        <w:tc>
          <w:tcPr>
            <w:tcW w:w="1276" w:type="dxa"/>
            <w:tcBorders>
              <w:top w:val="single" w:sz="4" w:space="0" w:color="1B556B"/>
              <w:left w:val="nil"/>
              <w:right w:val="nil"/>
            </w:tcBorders>
            <w:shd w:val="clear" w:color="auto" w:fill="auto"/>
            <w:hideMark/>
          </w:tcPr>
          <w:p w14:paraId="6BFB9844" w14:textId="77777777" w:rsidR="00616641" w:rsidRPr="0049701B" w:rsidRDefault="00616641" w:rsidP="007E3239">
            <w:pPr>
              <w:pStyle w:val="TableText"/>
              <w:spacing w:before="50" w:after="50"/>
              <w:jc w:val="right"/>
              <w:rPr>
                <w:rFonts w:cs="Calibri"/>
                <w:szCs w:val="16"/>
              </w:rPr>
            </w:pPr>
            <w:r w:rsidRPr="0049701B">
              <w:t>198,104</w:t>
            </w:r>
          </w:p>
        </w:tc>
        <w:tc>
          <w:tcPr>
            <w:tcW w:w="1275" w:type="dxa"/>
            <w:tcBorders>
              <w:top w:val="single" w:sz="4" w:space="0" w:color="1B556B"/>
              <w:left w:val="nil"/>
              <w:right w:val="nil"/>
            </w:tcBorders>
          </w:tcPr>
          <w:p w14:paraId="2E0D5979" w14:textId="77777777" w:rsidR="00616641" w:rsidRPr="0049701B" w:rsidRDefault="00616641" w:rsidP="007E3239">
            <w:pPr>
              <w:pStyle w:val="TableText"/>
              <w:spacing w:before="50" w:after="50"/>
              <w:jc w:val="right"/>
              <w:rPr>
                <w:rFonts w:cs="Calibri"/>
                <w:szCs w:val="16"/>
              </w:rPr>
            </w:pPr>
            <w:r w:rsidRPr="0049701B">
              <w:t>203,048</w:t>
            </w:r>
          </w:p>
        </w:tc>
        <w:tc>
          <w:tcPr>
            <w:tcW w:w="1560" w:type="dxa"/>
            <w:tcBorders>
              <w:top w:val="single" w:sz="4" w:space="0" w:color="1B556B"/>
              <w:left w:val="nil"/>
              <w:right w:val="nil"/>
            </w:tcBorders>
          </w:tcPr>
          <w:p w14:paraId="512E38AB" w14:textId="77777777" w:rsidR="00616641" w:rsidRPr="0049701B" w:rsidRDefault="00616641" w:rsidP="007E3239">
            <w:pPr>
              <w:pStyle w:val="TableText"/>
              <w:spacing w:before="50" w:after="50"/>
              <w:jc w:val="right"/>
              <w:rPr>
                <w:rFonts w:cs="Calibri"/>
                <w:szCs w:val="16"/>
              </w:rPr>
            </w:pPr>
            <w:r w:rsidRPr="0049701B">
              <w:t>206,874</w:t>
            </w:r>
          </w:p>
        </w:tc>
        <w:tc>
          <w:tcPr>
            <w:tcW w:w="1134" w:type="dxa"/>
            <w:tcBorders>
              <w:top w:val="single" w:sz="4" w:space="0" w:color="1B556B"/>
              <w:left w:val="nil"/>
              <w:right w:val="nil"/>
            </w:tcBorders>
          </w:tcPr>
          <w:p w14:paraId="7540DD6C" w14:textId="77777777" w:rsidR="00616641" w:rsidRPr="0049701B" w:rsidRDefault="00616641" w:rsidP="007E3239">
            <w:pPr>
              <w:pStyle w:val="TableText"/>
              <w:spacing w:before="50" w:after="50"/>
              <w:jc w:val="right"/>
              <w:rPr>
                <w:rFonts w:cs="Calibri"/>
                <w:color w:val="000000"/>
                <w:szCs w:val="16"/>
              </w:rPr>
            </w:pPr>
            <w:r w:rsidRPr="0049701B">
              <w:t>211,633</w:t>
            </w:r>
          </w:p>
        </w:tc>
        <w:tc>
          <w:tcPr>
            <w:tcW w:w="1077" w:type="dxa"/>
            <w:tcBorders>
              <w:top w:val="single" w:sz="4" w:space="0" w:color="1B556B"/>
              <w:left w:val="nil"/>
              <w:right w:val="nil"/>
            </w:tcBorders>
          </w:tcPr>
          <w:p w14:paraId="547B6840" w14:textId="77777777" w:rsidR="00616641" w:rsidRPr="0049701B" w:rsidRDefault="00616641" w:rsidP="007E3239">
            <w:pPr>
              <w:pStyle w:val="TableText"/>
              <w:spacing w:before="50" w:after="50"/>
              <w:jc w:val="right"/>
            </w:pPr>
            <w:r w:rsidRPr="0049701B">
              <w:t>214,077</w:t>
            </w:r>
          </w:p>
        </w:tc>
      </w:tr>
      <w:tr w:rsidR="00616641" w:rsidRPr="0049701B" w14:paraId="2430B292" w14:textId="77777777" w:rsidTr="007E3239">
        <w:tc>
          <w:tcPr>
            <w:tcW w:w="2977" w:type="dxa"/>
            <w:tcBorders>
              <w:left w:val="nil"/>
              <w:right w:val="nil"/>
            </w:tcBorders>
            <w:shd w:val="clear" w:color="auto" w:fill="auto"/>
            <w:vAlign w:val="center"/>
            <w:hideMark/>
          </w:tcPr>
          <w:p w14:paraId="52DA544C" w14:textId="77777777" w:rsidR="00616641" w:rsidRPr="0049701B" w:rsidRDefault="00616641" w:rsidP="007E3239">
            <w:pPr>
              <w:pStyle w:val="TableText"/>
              <w:spacing w:before="50" w:after="50"/>
              <w:rPr>
                <w:rFonts w:cs="Calibri"/>
                <w:szCs w:val="16"/>
              </w:rPr>
            </w:pPr>
            <w:r w:rsidRPr="0049701B">
              <w:rPr>
                <w:rFonts w:cs="Calibri"/>
                <w:szCs w:val="16"/>
              </w:rPr>
              <w:t>Area in calendar year (ha)</w:t>
            </w:r>
          </w:p>
        </w:tc>
        <w:tc>
          <w:tcPr>
            <w:tcW w:w="1134" w:type="dxa"/>
            <w:tcBorders>
              <w:left w:val="nil"/>
              <w:right w:val="nil"/>
            </w:tcBorders>
            <w:shd w:val="clear" w:color="auto" w:fill="auto"/>
            <w:hideMark/>
          </w:tcPr>
          <w:p w14:paraId="1CE0D3E2" w14:textId="77777777" w:rsidR="00616641" w:rsidRPr="0049701B" w:rsidRDefault="00616641" w:rsidP="007E3239">
            <w:pPr>
              <w:pStyle w:val="TableText"/>
              <w:spacing w:before="50" w:after="50"/>
              <w:jc w:val="right"/>
              <w:rPr>
                <w:rFonts w:cs="Calibri"/>
                <w:szCs w:val="16"/>
              </w:rPr>
            </w:pPr>
            <w:r w:rsidRPr="0049701B">
              <w:t xml:space="preserve"> 13,897 </w:t>
            </w:r>
          </w:p>
        </w:tc>
        <w:tc>
          <w:tcPr>
            <w:tcW w:w="1134" w:type="dxa"/>
            <w:tcBorders>
              <w:left w:val="nil"/>
              <w:right w:val="nil"/>
            </w:tcBorders>
            <w:shd w:val="clear" w:color="auto" w:fill="auto"/>
            <w:hideMark/>
          </w:tcPr>
          <w:p w14:paraId="782D4AA2" w14:textId="77777777" w:rsidR="00616641" w:rsidRPr="0049701B" w:rsidRDefault="00616641" w:rsidP="007E3239">
            <w:pPr>
              <w:pStyle w:val="TableText"/>
              <w:spacing w:before="50" w:after="50"/>
              <w:jc w:val="right"/>
              <w:rPr>
                <w:rFonts w:cs="Calibri"/>
                <w:szCs w:val="16"/>
              </w:rPr>
            </w:pPr>
            <w:r w:rsidRPr="0049701B">
              <w:t xml:space="preserve"> 10,507 </w:t>
            </w:r>
          </w:p>
        </w:tc>
        <w:tc>
          <w:tcPr>
            <w:tcW w:w="1276" w:type="dxa"/>
            <w:tcBorders>
              <w:left w:val="nil"/>
              <w:right w:val="nil"/>
            </w:tcBorders>
            <w:shd w:val="clear" w:color="auto" w:fill="auto"/>
            <w:hideMark/>
          </w:tcPr>
          <w:p w14:paraId="7C951844" w14:textId="77777777" w:rsidR="00616641" w:rsidRPr="0049701B" w:rsidRDefault="00616641" w:rsidP="007E3239">
            <w:pPr>
              <w:pStyle w:val="TableText"/>
              <w:spacing w:before="50" w:after="50"/>
              <w:jc w:val="right"/>
              <w:rPr>
                <w:rFonts w:cs="Calibri"/>
                <w:szCs w:val="16"/>
                <w:vertAlign w:val="superscript"/>
              </w:rPr>
            </w:pPr>
            <w:r w:rsidRPr="0049701B">
              <w:t xml:space="preserve"> 7,980 </w:t>
            </w:r>
          </w:p>
        </w:tc>
        <w:tc>
          <w:tcPr>
            <w:tcW w:w="1276" w:type="dxa"/>
            <w:tcBorders>
              <w:left w:val="nil"/>
              <w:right w:val="nil"/>
            </w:tcBorders>
            <w:shd w:val="clear" w:color="auto" w:fill="auto"/>
            <w:hideMark/>
          </w:tcPr>
          <w:p w14:paraId="7ED0ECCC" w14:textId="77777777" w:rsidR="00616641" w:rsidRPr="0049701B" w:rsidRDefault="00616641" w:rsidP="007E3239">
            <w:pPr>
              <w:pStyle w:val="TableText"/>
              <w:spacing w:before="50" w:after="50"/>
              <w:jc w:val="right"/>
              <w:rPr>
                <w:rFonts w:cs="Calibri"/>
                <w:szCs w:val="16"/>
              </w:rPr>
            </w:pPr>
            <w:r w:rsidRPr="0049701B">
              <w:t xml:space="preserve"> 7,162 </w:t>
            </w:r>
          </w:p>
        </w:tc>
        <w:tc>
          <w:tcPr>
            <w:tcW w:w="1275" w:type="dxa"/>
            <w:tcBorders>
              <w:left w:val="nil"/>
              <w:right w:val="nil"/>
            </w:tcBorders>
          </w:tcPr>
          <w:p w14:paraId="3019574E" w14:textId="77777777" w:rsidR="00616641" w:rsidRPr="0049701B" w:rsidRDefault="00616641" w:rsidP="007E3239">
            <w:pPr>
              <w:pStyle w:val="TableText"/>
              <w:spacing w:before="50" w:after="50"/>
              <w:jc w:val="right"/>
              <w:rPr>
                <w:rFonts w:cs="Calibri"/>
                <w:szCs w:val="16"/>
              </w:rPr>
            </w:pPr>
            <w:r w:rsidRPr="0049701B">
              <w:t xml:space="preserve"> 4,944 </w:t>
            </w:r>
          </w:p>
        </w:tc>
        <w:tc>
          <w:tcPr>
            <w:tcW w:w="1560" w:type="dxa"/>
            <w:tcBorders>
              <w:left w:val="nil"/>
              <w:right w:val="nil"/>
            </w:tcBorders>
          </w:tcPr>
          <w:p w14:paraId="5737154A" w14:textId="77777777" w:rsidR="00616641" w:rsidRPr="0049701B" w:rsidRDefault="00616641" w:rsidP="007E3239">
            <w:pPr>
              <w:pStyle w:val="TableText"/>
              <w:spacing w:before="50" w:after="50"/>
              <w:jc w:val="right"/>
              <w:rPr>
                <w:rFonts w:cs="Calibri"/>
                <w:color w:val="000000"/>
                <w:szCs w:val="16"/>
              </w:rPr>
            </w:pPr>
            <w:r w:rsidRPr="0049701B">
              <w:t xml:space="preserve"> 3,826 </w:t>
            </w:r>
          </w:p>
        </w:tc>
        <w:tc>
          <w:tcPr>
            <w:tcW w:w="1134" w:type="dxa"/>
            <w:tcBorders>
              <w:left w:val="nil"/>
              <w:right w:val="nil"/>
            </w:tcBorders>
          </w:tcPr>
          <w:p w14:paraId="77389C6F" w14:textId="77777777" w:rsidR="00616641" w:rsidRPr="0049701B" w:rsidRDefault="00616641" w:rsidP="007E3239">
            <w:pPr>
              <w:pStyle w:val="TableText"/>
              <w:spacing w:before="50" w:after="50"/>
              <w:jc w:val="right"/>
              <w:rPr>
                <w:rFonts w:cs="Calibri"/>
                <w:color w:val="000000"/>
                <w:szCs w:val="16"/>
              </w:rPr>
            </w:pPr>
            <w:r w:rsidRPr="0049701B">
              <w:t xml:space="preserve"> 4,759 </w:t>
            </w:r>
          </w:p>
        </w:tc>
        <w:tc>
          <w:tcPr>
            <w:tcW w:w="1077" w:type="dxa"/>
            <w:tcBorders>
              <w:left w:val="nil"/>
              <w:right w:val="nil"/>
            </w:tcBorders>
          </w:tcPr>
          <w:p w14:paraId="51D64562" w14:textId="77777777" w:rsidR="00616641" w:rsidRPr="0049701B" w:rsidRDefault="00616641" w:rsidP="007E3239">
            <w:pPr>
              <w:pStyle w:val="TableText"/>
              <w:spacing w:before="50" w:after="50"/>
              <w:jc w:val="right"/>
            </w:pPr>
            <w:r w:rsidRPr="0049701B">
              <w:t xml:space="preserve"> 2,443 </w:t>
            </w:r>
          </w:p>
        </w:tc>
      </w:tr>
      <w:tr w:rsidR="00616641" w:rsidRPr="0049701B" w14:paraId="6AE98715" w14:textId="77777777" w:rsidTr="007E3239">
        <w:tc>
          <w:tcPr>
            <w:tcW w:w="2977" w:type="dxa"/>
            <w:tcBorders>
              <w:left w:val="nil"/>
              <w:bottom w:val="single" w:sz="4" w:space="0" w:color="1B556B"/>
              <w:right w:val="nil"/>
            </w:tcBorders>
            <w:shd w:val="clear" w:color="auto" w:fill="auto"/>
            <w:vAlign w:val="center"/>
            <w:hideMark/>
          </w:tcPr>
          <w:p w14:paraId="7B3F4914" w14:textId="77777777" w:rsidR="00616641" w:rsidRPr="0049701B" w:rsidRDefault="00616641" w:rsidP="007E3239">
            <w:pPr>
              <w:pStyle w:val="TableText"/>
              <w:spacing w:before="50" w:after="50"/>
              <w:rPr>
                <w:rFonts w:cs="Calibri"/>
                <w:szCs w:val="16"/>
              </w:rPr>
            </w:pPr>
            <w:r w:rsidRPr="0049701B">
              <w:rPr>
                <w:rFonts w:cs="Calibri"/>
                <w:szCs w:val="16"/>
              </w:rPr>
              <w:t>Net emissions in calendar year (kt CO</w:t>
            </w:r>
            <w:r w:rsidRPr="0049701B">
              <w:rPr>
                <w:rFonts w:cs="Calibri"/>
                <w:szCs w:val="16"/>
                <w:vertAlign w:val="subscript"/>
              </w:rPr>
              <w:t>2</w:t>
            </w:r>
            <w:r w:rsidRPr="0049701B">
              <w:rPr>
                <w:rFonts w:cs="Calibri"/>
                <w:szCs w:val="16"/>
              </w:rPr>
              <w:t>-e)</w:t>
            </w:r>
          </w:p>
        </w:tc>
        <w:tc>
          <w:tcPr>
            <w:tcW w:w="1134" w:type="dxa"/>
            <w:tcBorders>
              <w:left w:val="nil"/>
              <w:bottom w:val="single" w:sz="4" w:space="0" w:color="1B556B"/>
              <w:right w:val="nil"/>
            </w:tcBorders>
            <w:shd w:val="clear" w:color="auto" w:fill="auto"/>
            <w:hideMark/>
          </w:tcPr>
          <w:p w14:paraId="45E36D64" w14:textId="77777777" w:rsidR="00616641" w:rsidRPr="0049701B" w:rsidRDefault="00616641" w:rsidP="007E3239">
            <w:pPr>
              <w:pStyle w:val="TableText"/>
              <w:spacing w:before="50" w:after="50"/>
              <w:jc w:val="right"/>
              <w:rPr>
                <w:rFonts w:cs="Calibri"/>
                <w:szCs w:val="16"/>
              </w:rPr>
            </w:pPr>
            <w:r w:rsidRPr="0049701B">
              <w:t>8,936.6</w:t>
            </w:r>
          </w:p>
        </w:tc>
        <w:tc>
          <w:tcPr>
            <w:tcW w:w="1134" w:type="dxa"/>
            <w:tcBorders>
              <w:left w:val="nil"/>
              <w:bottom w:val="single" w:sz="4" w:space="0" w:color="1B556B"/>
              <w:right w:val="nil"/>
            </w:tcBorders>
            <w:shd w:val="clear" w:color="auto" w:fill="auto"/>
            <w:hideMark/>
          </w:tcPr>
          <w:p w14:paraId="40E8692C" w14:textId="77777777" w:rsidR="00616641" w:rsidRPr="0049701B" w:rsidRDefault="00616641" w:rsidP="007E3239">
            <w:pPr>
              <w:pStyle w:val="TableText"/>
              <w:spacing w:before="50" w:after="50"/>
              <w:jc w:val="right"/>
              <w:rPr>
                <w:rFonts w:cs="Calibri"/>
                <w:szCs w:val="16"/>
              </w:rPr>
            </w:pPr>
            <w:r w:rsidRPr="0049701B">
              <w:t>6,657.5</w:t>
            </w:r>
          </w:p>
        </w:tc>
        <w:tc>
          <w:tcPr>
            <w:tcW w:w="1276" w:type="dxa"/>
            <w:tcBorders>
              <w:left w:val="nil"/>
              <w:bottom w:val="single" w:sz="4" w:space="0" w:color="1B556B"/>
              <w:right w:val="nil"/>
            </w:tcBorders>
            <w:shd w:val="clear" w:color="auto" w:fill="auto"/>
            <w:hideMark/>
          </w:tcPr>
          <w:p w14:paraId="2F17A0A4" w14:textId="77777777" w:rsidR="00616641" w:rsidRPr="0049701B" w:rsidRDefault="00616641" w:rsidP="007E3239">
            <w:pPr>
              <w:pStyle w:val="TableText"/>
              <w:spacing w:before="50" w:after="50"/>
              <w:jc w:val="right"/>
              <w:rPr>
                <w:rFonts w:cs="Calibri"/>
                <w:szCs w:val="16"/>
              </w:rPr>
            </w:pPr>
            <w:r w:rsidRPr="0049701B">
              <w:t>4,965.3</w:t>
            </w:r>
          </w:p>
        </w:tc>
        <w:tc>
          <w:tcPr>
            <w:tcW w:w="1276" w:type="dxa"/>
            <w:tcBorders>
              <w:left w:val="nil"/>
              <w:bottom w:val="single" w:sz="4" w:space="0" w:color="1B556B"/>
              <w:right w:val="nil"/>
            </w:tcBorders>
            <w:shd w:val="clear" w:color="auto" w:fill="auto"/>
            <w:hideMark/>
          </w:tcPr>
          <w:p w14:paraId="387A7D62" w14:textId="77777777" w:rsidR="00616641" w:rsidRPr="0049701B" w:rsidRDefault="00616641" w:rsidP="007E3239">
            <w:pPr>
              <w:pStyle w:val="TableText"/>
              <w:spacing w:before="50" w:after="50"/>
              <w:jc w:val="right"/>
              <w:rPr>
                <w:rFonts w:cs="Calibri"/>
                <w:szCs w:val="16"/>
              </w:rPr>
            </w:pPr>
            <w:r w:rsidRPr="0049701B">
              <w:t>4,442.4</w:t>
            </w:r>
          </w:p>
        </w:tc>
        <w:tc>
          <w:tcPr>
            <w:tcW w:w="1275" w:type="dxa"/>
            <w:tcBorders>
              <w:left w:val="nil"/>
              <w:bottom w:val="single" w:sz="4" w:space="0" w:color="1B556B"/>
              <w:right w:val="nil"/>
            </w:tcBorders>
          </w:tcPr>
          <w:p w14:paraId="4E28EF38" w14:textId="77777777" w:rsidR="00616641" w:rsidRPr="0049701B" w:rsidRDefault="00616641" w:rsidP="007E3239">
            <w:pPr>
              <w:pStyle w:val="TableText"/>
              <w:spacing w:before="50" w:after="50"/>
              <w:jc w:val="right"/>
              <w:rPr>
                <w:rFonts w:cs="Calibri"/>
                <w:szCs w:val="16"/>
              </w:rPr>
            </w:pPr>
            <w:r w:rsidRPr="0049701B">
              <w:t>2,845.7</w:t>
            </w:r>
          </w:p>
        </w:tc>
        <w:tc>
          <w:tcPr>
            <w:tcW w:w="1560" w:type="dxa"/>
            <w:tcBorders>
              <w:left w:val="nil"/>
              <w:bottom w:val="single" w:sz="4" w:space="0" w:color="1B556B"/>
              <w:right w:val="nil"/>
            </w:tcBorders>
          </w:tcPr>
          <w:p w14:paraId="136E1049" w14:textId="77777777" w:rsidR="00616641" w:rsidRPr="0049701B" w:rsidRDefault="00616641" w:rsidP="007E3239">
            <w:pPr>
              <w:pStyle w:val="TableText"/>
              <w:spacing w:before="50" w:after="50"/>
              <w:jc w:val="right"/>
              <w:rPr>
                <w:rFonts w:cs="Calibri"/>
                <w:szCs w:val="16"/>
              </w:rPr>
            </w:pPr>
            <w:r w:rsidRPr="0049701B">
              <w:t>2,319.2</w:t>
            </w:r>
          </w:p>
        </w:tc>
        <w:tc>
          <w:tcPr>
            <w:tcW w:w="1134" w:type="dxa"/>
            <w:tcBorders>
              <w:left w:val="nil"/>
              <w:bottom w:val="single" w:sz="4" w:space="0" w:color="1B556B"/>
              <w:right w:val="nil"/>
            </w:tcBorders>
          </w:tcPr>
          <w:p w14:paraId="00738B4D" w14:textId="77777777" w:rsidR="00616641" w:rsidRPr="0049701B" w:rsidRDefault="00616641" w:rsidP="007E3239">
            <w:pPr>
              <w:pStyle w:val="TableText"/>
              <w:spacing w:before="50" w:after="50"/>
              <w:jc w:val="right"/>
              <w:rPr>
                <w:rFonts w:cs="Calibri"/>
                <w:color w:val="000000"/>
                <w:szCs w:val="16"/>
              </w:rPr>
            </w:pPr>
            <w:r w:rsidRPr="0049701B">
              <w:t>3,131.8</w:t>
            </w:r>
          </w:p>
        </w:tc>
        <w:tc>
          <w:tcPr>
            <w:tcW w:w="1077" w:type="dxa"/>
            <w:tcBorders>
              <w:left w:val="nil"/>
              <w:bottom w:val="single" w:sz="4" w:space="0" w:color="1B556B"/>
              <w:right w:val="nil"/>
            </w:tcBorders>
          </w:tcPr>
          <w:p w14:paraId="6BB3C716" w14:textId="77777777" w:rsidR="00616641" w:rsidRPr="0049701B" w:rsidRDefault="00616641" w:rsidP="007E3239">
            <w:pPr>
              <w:pStyle w:val="TableText"/>
              <w:spacing w:before="50" w:after="50"/>
              <w:jc w:val="right"/>
            </w:pPr>
            <w:r w:rsidRPr="0049701B">
              <w:t>1,320.5</w:t>
            </w:r>
          </w:p>
        </w:tc>
      </w:tr>
      <w:tr w:rsidR="00616641" w:rsidRPr="0049701B" w14:paraId="059621AD" w14:textId="77777777" w:rsidTr="007E3239">
        <w:tc>
          <w:tcPr>
            <w:tcW w:w="2977" w:type="dxa"/>
            <w:tcBorders>
              <w:top w:val="single" w:sz="4" w:space="0" w:color="1B556B"/>
              <w:left w:val="nil"/>
              <w:bottom w:val="single" w:sz="4" w:space="0" w:color="1B556B"/>
              <w:right w:val="nil"/>
            </w:tcBorders>
            <w:shd w:val="clear" w:color="auto" w:fill="auto"/>
            <w:vAlign w:val="center"/>
            <w:hideMark/>
          </w:tcPr>
          <w:p w14:paraId="1BF0322F" w14:textId="77777777" w:rsidR="00616641" w:rsidRPr="0049701B" w:rsidRDefault="00616641" w:rsidP="007E3239">
            <w:pPr>
              <w:pStyle w:val="TableTextBold"/>
              <w:spacing w:before="50" w:after="50"/>
              <w:rPr>
                <w:rFonts w:cs="Calibri"/>
                <w:noProof w:val="0"/>
                <w:szCs w:val="16"/>
              </w:rPr>
            </w:pPr>
            <w:r w:rsidRPr="0049701B">
              <w:rPr>
                <w:rFonts w:cs="Calibri"/>
                <w:noProof w:val="0"/>
                <w:szCs w:val="16"/>
              </w:rPr>
              <w:t>Forest management</w:t>
            </w:r>
          </w:p>
        </w:tc>
        <w:tc>
          <w:tcPr>
            <w:tcW w:w="1134" w:type="dxa"/>
            <w:tcBorders>
              <w:top w:val="single" w:sz="4" w:space="0" w:color="1B556B"/>
              <w:left w:val="nil"/>
              <w:bottom w:val="single" w:sz="4" w:space="0" w:color="1B556B"/>
              <w:right w:val="nil"/>
            </w:tcBorders>
            <w:shd w:val="clear" w:color="auto" w:fill="auto"/>
            <w:hideMark/>
          </w:tcPr>
          <w:p w14:paraId="68C1EACC" w14:textId="77777777" w:rsidR="00616641" w:rsidRPr="0049701B" w:rsidRDefault="00616641" w:rsidP="007E3239">
            <w:pPr>
              <w:pStyle w:val="TableTextBold"/>
              <w:spacing w:before="50" w:after="50"/>
              <w:jc w:val="right"/>
              <w:rPr>
                <w:rFonts w:cs="Calibri"/>
                <w:noProof w:val="0"/>
                <w:szCs w:val="16"/>
              </w:rPr>
            </w:pPr>
          </w:p>
        </w:tc>
        <w:tc>
          <w:tcPr>
            <w:tcW w:w="1134" w:type="dxa"/>
            <w:tcBorders>
              <w:top w:val="single" w:sz="4" w:space="0" w:color="1B556B"/>
              <w:left w:val="nil"/>
              <w:bottom w:val="single" w:sz="4" w:space="0" w:color="1B556B"/>
              <w:right w:val="nil"/>
            </w:tcBorders>
            <w:shd w:val="clear" w:color="auto" w:fill="auto"/>
            <w:hideMark/>
          </w:tcPr>
          <w:p w14:paraId="72597703" w14:textId="77777777" w:rsidR="00616641" w:rsidRPr="0049701B" w:rsidRDefault="00616641" w:rsidP="007E3239">
            <w:pPr>
              <w:pStyle w:val="TableTextBold"/>
              <w:spacing w:before="50" w:after="50"/>
              <w:jc w:val="right"/>
              <w:rPr>
                <w:rFonts w:cs="Calibri"/>
                <w:noProof w:val="0"/>
                <w:szCs w:val="16"/>
              </w:rPr>
            </w:pPr>
          </w:p>
        </w:tc>
        <w:tc>
          <w:tcPr>
            <w:tcW w:w="1276" w:type="dxa"/>
            <w:tcBorders>
              <w:top w:val="single" w:sz="4" w:space="0" w:color="1B556B"/>
              <w:left w:val="nil"/>
              <w:bottom w:val="single" w:sz="4" w:space="0" w:color="1B556B"/>
              <w:right w:val="nil"/>
            </w:tcBorders>
            <w:shd w:val="clear" w:color="auto" w:fill="auto"/>
            <w:hideMark/>
          </w:tcPr>
          <w:p w14:paraId="6D37A54C" w14:textId="77777777" w:rsidR="00616641" w:rsidRPr="0049701B" w:rsidRDefault="00616641" w:rsidP="007E3239">
            <w:pPr>
              <w:pStyle w:val="TableTextBold"/>
              <w:spacing w:before="50" w:after="50"/>
              <w:jc w:val="right"/>
              <w:rPr>
                <w:rFonts w:cs="Calibri"/>
                <w:noProof w:val="0"/>
                <w:szCs w:val="16"/>
              </w:rPr>
            </w:pPr>
          </w:p>
        </w:tc>
        <w:tc>
          <w:tcPr>
            <w:tcW w:w="1276" w:type="dxa"/>
            <w:tcBorders>
              <w:top w:val="single" w:sz="4" w:space="0" w:color="1B556B"/>
              <w:left w:val="nil"/>
              <w:bottom w:val="single" w:sz="4" w:space="0" w:color="1B556B"/>
              <w:right w:val="nil"/>
            </w:tcBorders>
            <w:shd w:val="clear" w:color="auto" w:fill="auto"/>
            <w:hideMark/>
          </w:tcPr>
          <w:p w14:paraId="0ACD5484" w14:textId="77777777" w:rsidR="00616641" w:rsidRPr="0049701B" w:rsidRDefault="00616641" w:rsidP="007E3239">
            <w:pPr>
              <w:pStyle w:val="TableTextBold"/>
              <w:spacing w:before="50" w:after="50"/>
              <w:jc w:val="right"/>
              <w:rPr>
                <w:rFonts w:cs="Calibri"/>
                <w:noProof w:val="0"/>
                <w:szCs w:val="16"/>
              </w:rPr>
            </w:pPr>
          </w:p>
        </w:tc>
        <w:tc>
          <w:tcPr>
            <w:tcW w:w="1275" w:type="dxa"/>
            <w:tcBorders>
              <w:top w:val="single" w:sz="4" w:space="0" w:color="1B556B"/>
              <w:left w:val="nil"/>
              <w:bottom w:val="single" w:sz="4" w:space="0" w:color="1B556B"/>
              <w:right w:val="nil"/>
            </w:tcBorders>
          </w:tcPr>
          <w:p w14:paraId="023001D5" w14:textId="77777777" w:rsidR="00616641" w:rsidRPr="0049701B" w:rsidRDefault="00616641" w:rsidP="007E3239">
            <w:pPr>
              <w:pStyle w:val="TableTextBold"/>
              <w:spacing w:before="50" w:after="50"/>
              <w:jc w:val="right"/>
              <w:rPr>
                <w:rFonts w:cs="Calibri"/>
                <w:noProof w:val="0"/>
                <w:szCs w:val="16"/>
              </w:rPr>
            </w:pPr>
          </w:p>
        </w:tc>
        <w:tc>
          <w:tcPr>
            <w:tcW w:w="1560" w:type="dxa"/>
            <w:tcBorders>
              <w:top w:val="single" w:sz="4" w:space="0" w:color="1B556B"/>
              <w:left w:val="nil"/>
              <w:bottom w:val="single" w:sz="4" w:space="0" w:color="1B556B"/>
              <w:right w:val="nil"/>
            </w:tcBorders>
          </w:tcPr>
          <w:p w14:paraId="06C2EC80" w14:textId="77777777" w:rsidR="00616641" w:rsidRPr="0049701B" w:rsidRDefault="00616641" w:rsidP="007E3239">
            <w:pPr>
              <w:pStyle w:val="TableTextBold"/>
              <w:spacing w:before="50" w:after="50"/>
              <w:jc w:val="right"/>
              <w:rPr>
                <w:rFonts w:cs="Calibri"/>
                <w:noProof w:val="0"/>
                <w:szCs w:val="16"/>
              </w:rPr>
            </w:pPr>
          </w:p>
        </w:tc>
        <w:tc>
          <w:tcPr>
            <w:tcW w:w="1134" w:type="dxa"/>
            <w:tcBorders>
              <w:top w:val="single" w:sz="4" w:space="0" w:color="1B556B"/>
              <w:left w:val="nil"/>
              <w:bottom w:val="single" w:sz="4" w:space="0" w:color="1B556B"/>
              <w:right w:val="nil"/>
            </w:tcBorders>
          </w:tcPr>
          <w:p w14:paraId="7EF78CBE" w14:textId="77777777" w:rsidR="00616641" w:rsidRPr="0049701B" w:rsidRDefault="00616641" w:rsidP="007E3239">
            <w:pPr>
              <w:pStyle w:val="TableTextBold"/>
              <w:spacing w:before="50" w:after="50"/>
              <w:jc w:val="right"/>
              <w:rPr>
                <w:rFonts w:cs="Calibri"/>
                <w:noProof w:val="0"/>
                <w:szCs w:val="16"/>
              </w:rPr>
            </w:pPr>
          </w:p>
        </w:tc>
        <w:tc>
          <w:tcPr>
            <w:tcW w:w="1077" w:type="dxa"/>
            <w:tcBorders>
              <w:top w:val="single" w:sz="4" w:space="0" w:color="1B556B"/>
              <w:left w:val="nil"/>
              <w:bottom w:val="single" w:sz="4" w:space="0" w:color="1B556B"/>
              <w:right w:val="nil"/>
            </w:tcBorders>
          </w:tcPr>
          <w:p w14:paraId="79DF463A" w14:textId="77777777" w:rsidR="00616641" w:rsidRPr="0049701B" w:rsidRDefault="00616641" w:rsidP="007E3239">
            <w:pPr>
              <w:pStyle w:val="TableTextBold"/>
              <w:spacing w:before="50" w:after="50"/>
              <w:jc w:val="right"/>
              <w:rPr>
                <w:rFonts w:cs="Calibri"/>
                <w:noProof w:val="0"/>
                <w:szCs w:val="16"/>
              </w:rPr>
            </w:pPr>
          </w:p>
        </w:tc>
      </w:tr>
      <w:tr w:rsidR="00616641" w:rsidRPr="0049701B" w14:paraId="62DBD710" w14:textId="77777777" w:rsidTr="007E3239">
        <w:tc>
          <w:tcPr>
            <w:tcW w:w="2977" w:type="dxa"/>
            <w:tcBorders>
              <w:top w:val="single" w:sz="4" w:space="0" w:color="1B556B"/>
              <w:left w:val="nil"/>
              <w:right w:val="nil"/>
            </w:tcBorders>
            <w:shd w:val="clear" w:color="auto" w:fill="auto"/>
            <w:vAlign w:val="center"/>
            <w:hideMark/>
          </w:tcPr>
          <w:p w14:paraId="6B968E09" w14:textId="77777777" w:rsidR="00616641" w:rsidRPr="0049701B" w:rsidRDefault="00616641" w:rsidP="007E3239">
            <w:pPr>
              <w:pStyle w:val="TableText"/>
              <w:spacing w:before="50" w:after="50"/>
              <w:rPr>
                <w:rFonts w:cs="Calibri"/>
                <w:szCs w:val="16"/>
              </w:rPr>
            </w:pPr>
            <w:r w:rsidRPr="0049701B">
              <w:rPr>
                <w:rFonts w:cs="Calibri"/>
                <w:szCs w:val="16"/>
              </w:rPr>
              <w:t>Area included (ha)</w:t>
            </w:r>
          </w:p>
        </w:tc>
        <w:tc>
          <w:tcPr>
            <w:tcW w:w="1134" w:type="dxa"/>
            <w:tcBorders>
              <w:top w:val="single" w:sz="4" w:space="0" w:color="1B556B"/>
              <w:left w:val="nil"/>
              <w:right w:val="nil"/>
            </w:tcBorders>
            <w:shd w:val="clear" w:color="auto" w:fill="auto"/>
            <w:hideMark/>
          </w:tcPr>
          <w:p w14:paraId="09D3E536" w14:textId="77777777" w:rsidR="00616641" w:rsidRPr="0049701B" w:rsidRDefault="00616641" w:rsidP="007E3239">
            <w:pPr>
              <w:pStyle w:val="TableText"/>
              <w:spacing w:before="50" w:after="50"/>
              <w:jc w:val="right"/>
              <w:rPr>
                <w:rFonts w:cs="Calibri"/>
                <w:szCs w:val="16"/>
              </w:rPr>
            </w:pPr>
            <w:r w:rsidRPr="0049701B">
              <w:t>9,220,386</w:t>
            </w:r>
          </w:p>
        </w:tc>
        <w:tc>
          <w:tcPr>
            <w:tcW w:w="1134" w:type="dxa"/>
            <w:tcBorders>
              <w:top w:val="single" w:sz="4" w:space="0" w:color="1B556B"/>
              <w:left w:val="nil"/>
              <w:right w:val="nil"/>
            </w:tcBorders>
            <w:shd w:val="clear" w:color="auto" w:fill="auto"/>
            <w:hideMark/>
          </w:tcPr>
          <w:p w14:paraId="210CF880" w14:textId="77777777" w:rsidR="00616641" w:rsidRPr="0049701B" w:rsidRDefault="00616641" w:rsidP="007E3239">
            <w:pPr>
              <w:pStyle w:val="TableText"/>
              <w:spacing w:before="50" w:after="50"/>
              <w:jc w:val="right"/>
              <w:rPr>
                <w:rFonts w:cs="Calibri"/>
                <w:szCs w:val="16"/>
              </w:rPr>
            </w:pPr>
            <w:r w:rsidRPr="0049701B">
              <w:t>9,212,857</w:t>
            </w:r>
          </w:p>
        </w:tc>
        <w:tc>
          <w:tcPr>
            <w:tcW w:w="1276" w:type="dxa"/>
            <w:tcBorders>
              <w:top w:val="single" w:sz="4" w:space="0" w:color="1B556B"/>
              <w:left w:val="nil"/>
              <w:right w:val="nil"/>
            </w:tcBorders>
            <w:shd w:val="clear" w:color="auto" w:fill="auto"/>
            <w:hideMark/>
          </w:tcPr>
          <w:p w14:paraId="09A5FC9A" w14:textId="77777777" w:rsidR="00616641" w:rsidRPr="0049701B" w:rsidRDefault="00616641" w:rsidP="007E3239">
            <w:pPr>
              <w:pStyle w:val="TableText"/>
              <w:spacing w:before="50" w:after="50"/>
              <w:jc w:val="right"/>
              <w:rPr>
                <w:rFonts w:cs="Calibri"/>
                <w:szCs w:val="16"/>
              </w:rPr>
            </w:pPr>
            <w:r w:rsidRPr="0049701B">
              <w:t>9,207,401</w:t>
            </w:r>
          </w:p>
        </w:tc>
        <w:tc>
          <w:tcPr>
            <w:tcW w:w="1276" w:type="dxa"/>
            <w:tcBorders>
              <w:top w:val="single" w:sz="4" w:space="0" w:color="1B556B"/>
              <w:left w:val="nil"/>
              <w:right w:val="nil"/>
            </w:tcBorders>
            <w:shd w:val="clear" w:color="auto" w:fill="auto"/>
            <w:hideMark/>
          </w:tcPr>
          <w:p w14:paraId="3FD858F7" w14:textId="77777777" w:rsidR="00616641" w:rsidRPr="0049701B" w:rsidRDefault="00616641" w:rsidP="007E3239">
            <w:pPr>
              <w:pStyle w:val="TableText"/>
              <w:spacing w:before="50" w:after="50"/>
              <w:jc w:val="right"/>
              <w:rPr>
                <w:rFonts w:cs="Calibri"/>
                <w:szCs w:val="16"/>
              </w:rPr>
            </w:pPr>
            <w:r w:rsidRPr="0049701B">
              <w:t>9,203,943</w:t>
            </w:r>
          </w:p>
        </w:tc>
        <w:tc>
          <w:tcPr>
            <w:tcW w:w="1275" w:type="dxa"/>
            <w:tcBorders>
              <w:top w:val="single" w:sz="4" w:space="0" w:color="1B556B"/>
              <w:left w:val="nil"/>
              <w:right w:val="nil"/>
            </w:tcBorders>
          </w:tcPr>
          <w:p w14:paraId="69D9DE55" w14:textId="77777777" w:rsidR="00616641" w:rsidRPr="0049701B" w:rsidRDefault="00616641" w:rsidP="007E3239">
            <w:pPr>
              <w:pStyle w:val="TableText"/>
              <w:spacing w:before="50" w:after="50"/>
              <w:jc w:val="right"/>
              <w:rPr>
                <w:rFonts w:cs="Calibri"/>
                <w:szCs w:val="16"/>
              </w:rPr>
            </w:pPr>
            <w:r w:rsidRPr="0049701B">
              <w:t>9,203,689</w:t>
            </w:r>
          </w:p>
        </w:tc>
        <w:tc>
          <w:tcPr>
            <w:tcW w:w="1560" w:type="dxa"/>
            <w:tcBorders>
              <w:top w:val="single" w:sz="4" w:space="0" w:color="1B556B"/>
              <w:left w:val="nil"/>
              <w:right w:val="nil"/>
            </w:tcBorders>
          </w:tcPr>
          <w:p w14:paraId="66336494" w14:textId="77777777" w:rsidR="00616641" w:rsidRPr="0049701B" w:rsidRDefault="00616641" w:rsidP="007E3239">
            <w:pPr>
              <w:pStyle w:val="TableText"/>
              <w:spacing w:before="50" w:after="50"/>
              <w:jc w:val="right"/>
              <w:rPr>
                <w:rFonts w:cs="Calibri"/>
                <w:szCs w:val="16"/>
              </w:rPr>
            </w:pPr>
            <w:r w:rsidRPr="0049701B">
              <w:t>9,202,953</w:t>
            </w:r>
          </w:p>
        </w:tc>
        <w:tc>
          <w:tcPr>
            <w:tcW w:w="1134" w:type="dxa"/>
            <w:tcBorders>
              <w:top w:val="single" w:sz="4" w:space="0" w:color="1B556B"/>
              <w:left w:val="nil"/>
              <w:right w:val="nil"/>
            </w:tcBorders>
          </w:tcPr>
          <w:p w14:paraId="5CA66BB6" w14:textId="77777777" w:rsidR="00616641" w:rsidRPr="0049701B" w:rsidRDefault="00616641" w:rsidP="007E3239">
            <w:pPr>
              <w:pStyle w:val="TableText"/>
              <w:spacing w:before="50" w:after="50"/>
              <w:jc w:val="right"/>
              <w:rPr>
                <w:rFonts w:cs="Calibri"/>
                <w:color w:val="000000"/>
                <w:szCs w:val="16"/>
              </w:rPr>
            </w:pPr>
            <w:r w:rsidRPr="0049701B">
              <w:t>9,200,443</w:t>
            </w:r>
          </w:p>
        </w:tc>
        <w:tc>
          <w:tcPr>
            <w:tcW w:w="1077" w:type="dxa"/>
            <w:tcBorders>
              <w:top w:val="single" w:sz="4" w:space="0" w:color="1B556B"/>
              <w:left w:val="nil"/>
              <w:right w:val="nil"/>
            </w:tcBorders>
          </w:tcPr>
          <w:p w14:paraId="777F1F2C" w14:textId="77777777" w:rsidR="00616641" w:rsidRPr="0049701B" w:rsidRDefault="00616641" w:rsidP="007E3239">
            <w:pPr>
              <w:pStyle w:val="TableText"/>
              <w:spacing w:before="50" w:after="50"/>
              <w:jc w:val="right"/>
            </w:pPr>
            <w:r w:rsidRPr="0049701B">
              <w:t>9,198,965</w:t>
            </w:r>
          </w:p>
        </w:tc>
      </w:tr>
      <w:tr w:rsidR="00616641" w:rsidRPr="0049701B" w14:paraId="28F50256" w14:textId="77777777" w:rsidTr="007E3239">
        <w:tc>
          <w:tcPr>
            <w:tcW w:w="2977" w:type="dxa"/>
            <w:tcBorders>
              <w:left w:val="nil"/>
              <w:bottom w:val="single" w:sz="4" w:space="0" w:color="1B556B"/>
              <w:right w:val="nil"/>
            </w:tcBorders>
            <w:shd w:val="clear" w:color="auto" w:fill="auto"/>
            <w:vAlign w:val="center"/>
            <w:hideMark/>
          </w:tcPr>
          <w:p w14:paraId="26D67939" w14:textId="77777777" w:rsidR="00616641" w:rsidRPr="0049701B" w:rsidRDefault="00616641" w:rsidP="007E3239">
            <w:pPr>
              <w:pStyle w:val="TableText"/>
              <w:spacing w:before="50" w:after="50"/>
              <w:rPr>
                <w:rFonts w:cs="Calibri"/>
                <w:szCs w:val="16"/>
              </w:rPr>
            </w:pPr>
            <w:r w:rsidRPr="0049701B">
              <w:rPr>
                <w:rFonts w:cs="Calibri"/>
                <w:szCs w:val="16"/>
              </w:rPr>
              <w:t>Net emissions in calendar year (kt CO</w:t>
            </w:r>
            <w:r w:rsidRPr="0049701B">
              <w:rPr>
                <w:rFonts w:cs="Calibri"/>
                <w:szCs w:val="16"/>
                <w:vertAlign w:val="subscript"/>
              </w:rPr>
              <w:t>2</w:t>
            </w:r>
            <w:r w:rsidRPr="0049701B">
              <w:rPr>
                <w:rFonts w:cs="Calibri"/>
                <w:szCs w:val="16"/>
              </w:rPr>
              <w:t>-e)</w:t>
            </w:r>
          </w:p>
        </w:tc>
        <w:tc>
          <w:tcPr>
            <w:tcW w:w="1134" w:type="dxa"/>
            <w:tcBorders>
              <w:left w:val="nil"/>
              <w:bottom w:val="single" w:sz="4" w:space="0" w:color="1B556B"/>
              <w:right w:val="nil"/>
            </w:tcBorders>
            <w:shd w:val="clear" w:color="auto" w:fill="auto"/>
            <w:hideMark/>
          </w:tcPr>
          <w:p w14:paraId="0CF55594" w14:textId="77777777" w:rsidR="00616641" w:rsidRPr="0049701B" w:rsidRDefault="00616641" w:rsidP="007E3239">
            <w:pPr>
              <w:pStyle w:val="TableText"/>
              <w:spacing w:before="50" w:after="50"/>
              <w:jc w:val="right"/>
              <w:rPr>
                <w:rFonts w:cs="Calibri"/>
                <w:szCs w:val="16"/>
              </w:rPr>
            </w:pPr>
            <w:r w:rsidRPr="0049701B">
              <w:t xml:space="preserve">–24,180.7 </w:t>
            </w:r>
          </w:p>
        </w:tc>
        <w:tc>
          <w:tcPr>
            <w:tcW w:w="1134" w:type="dxa"/>
            <w:tcBorders>
              <w:left w:val="nil"/>
              <w:bottom w:val="single" w:sz="4" w:space="0" w:color="1B556B"/>
              <w:right w:val="nil"/>
            </w:tcBorders>
            <w:shd w:val="clear" w:color="auto" w:fill="auto"/>
            <w:hideMark/>
          </w:tcPr>
          <w:p w14:paraId="3AE0C863" w14:textId="77777777" w:rsidR="00616641" w:rsidRPr="0049701B" w:rsidRDefault="00616641" w:rsidP="007E3239">
            <w:pPr>
              <w:pStyle w:val="TableText"/>
              <w:spacing w:before="50" w:after="50"/>
              <w:jc w:val="right"/>
              <w:rPr>
                <w:rFonts w:cs="Calibri"/>
                <w:szCs w:val="16"/>
              </w:rPr>
            </w:pPr>
            <w:r w:rsidRPr="0049701B">
              <w:t xml:space="preserve">–21,978.2 </w:t>
            </w:r>
          </w:p>
        </w:tc>
        <w:tc>
          <w:tcPr>
            <w:tcW w:w="1276" w:type="dxa"/>
            <w:tcBorders>
              <w:left w:val="nil"/>
              <w:bottom w:val="single" w:sz="4" w:space="0" w:color="1B556B"/>
              <w:right w:val="nil"/>
            </w:tcBorders>
            <w:shd w:val="clear" w:color="auto" w:fill="auto"/>
            <w:hideMark/>
          </w:tcPr>
          <w:p w14:paraId="5C744B97" w14:textId="77777777" w:rsidR="00616641" w:rsidRPr="0049701B" w:rsidRDefault="00616641" w:rsidP="007E3239">
            <w:pPr>
              <w:pStyle w:val="TableText"/>
              <w:spacing w:before="50" w:after="50"/>
              <w:jc w:val="right"/>
              <w:rPr>
                <w:rFonts w:cs="Calibri"/>
                <w:szCs w:val="16"/>
              </w:rPr>
            </w:pPr>
            <w:r w:rsidRPr="0049701B">
              <w:t xml:space="preserve">–20,019.5 </w:t>
            </w:r>
          </w:p>
        </w:tc>
        <w:tc>
          <w:tcPr>
            <w:tcW w:w="1276" w:type="dxa"/>
            <w:tcBorders>
              <w:left w:val="nil"/>
              <w:bottom w:val="single" w:sz="4" w:space="0" w:color="1B556B"/>
              <w:right w:val="nil"/>
            </w:tcBorders>
            <w:shd w:val="clear" w:color="auto" w:fill="auto"/>
            <w:hideMark/>
          </w:tcPr>
          <w:p w14:paraId="7484C096" w14:textId="77777777" w:rsidR="00616641" w:rsidRPr="0049701B" w:rsidRDefault="00616641" w:rsidP="007E3239">
            <w:pPr>
              <w:pStyle w:val="TableText"/>
              <w:spacing w:before="50" w:after="50"/>
              <w:jc w:val="right"/>
              <w:rPr>
                <w:rFonts w:cs="Calibri"/>
                <w:szCs w:val="16"/>
              </w:rPr>
            </w:pPr>
            <w:r w:rsidRPr="0049701B">
              <w:t xml:space="preserve">–18,515.0 </w:t>
            </w:r>
          </w:p>
        </w:tc>
        <w:tc>
          <w:tcPr>
            <w:tcW w:w="1275" w:type="dxa"/>
            <w:tcBorders>
              <w:left w:val="nil"/>
              <w:bottom w:val="single" w:sz="4" w:space="0" w:color="1B556B"/>
              <w:right w:val="nil"/>
            </w:tcBorders>
          </w:tcPr>
          <w:p w14:paraId="23DD2771" w14:textId="77777777" w:rsidR="00616641" w:rsidRPr="0049701B" w:rsidRDefault="00616641" w:rsidP="007E3239">
            <w:pPr>
              <w:pStyle w:val="TableText"/>
              <w:spacing w:before="50" w:after="50"/>
              <w:jc w:val="right"/>
              <w:rPr>
                <w:rFonts w:cs="Calibri"/>
                <w:szCs w:val="16"/>
              </w:rPr>
            </w:pPr>
            <w:r w:rsidRPr="0049701B">
              <w:t xml:space="preserve">–15,503.6 </w:t>
            </w:r>
          </w:p>
        </w:tc>
        <w:tc>
          <w:tcPr>
            <w:tcW w:w="1560" w:type="dxa"/>
            <w:tcBorders>
              <w:left w:val="nil"/>
              <w:bottom w:val="single" w:sz="4" w:space="0" w:color="1B556B"/>
              <w:right w:val="nil"/>
            </w:tcBorders>
          </w:tcPr>
          <w:p w14:paraId="763ED1B8" w14:textId="77777777" w:rsidR="00616641" w:rsidRPr="0049701B" w:rsidRDefault="00616641" w:rsidP="007E3239">
            <w:pPr>
              <w:pStyle w:val="TableText"/>
              <w:spacing w:before="50" w:after="50"/>
              <w:jc w:val="right"/>
              <w:rPr>
                <w:rFonts w:cs="Calibri"/>
                <w:szCs w:val="16"/>
              </w:rPr>
            </w:pPr>
            <w:r w:rsidRPr="0049701B">
              <w:t xml:space="preserve">–15,247.1 </w:t>
            </w:r>
          </w:p>
        </w:tc>
        <w:tc>
          <w:tcPr>
            <w:tcW w:w="1134" w:type="dxa"/>
            <w:tcBorders>
              <w:left w:val="nil"/>
              <w:bottom w:val="single" w:sz="4" w:space="0" w:color="1B556B"/>
              <w:right w:val="nil"/>
            </w:tcBorders>
          </w:tcPr>
          <w:p w14:paraId="63007E79" w14:textId="77777777" w:rsidR="00616641" w:rsidRPr="0049701B" w:rsidRDefault="00616641" w:rsidP="007E3239">
            <w:pPr>
              <w:pStyle w:val="TableText"/>
              <w:spacing w:before="50" w:after="50"/>
              <w:jc w:val="right"/>
              <w:rPr>
                <w:rFonts w:cs="Calibri"/>
                <w:color w:val="000000"/>
                <w:szCs w:val="16"/>
              </w:rPr>
            </w:pPr>
            <w:r w:rsidRPr="0049701B">
              <w:t xml:space="preserve">–15,220.7 </w:t>
            </w:r>
          </w:p>
        </w:tc>
        <w:tc>
          <w:tcPr>
            <w:tcW w:w="1077" w:type="dxa"/>
            <w:tcBorders>
              <w:left w:val="nil"/>
              <w:bottom w:val="single" w:sz="4" w:space="0" w:color="1B556B"/>
              <w:right w:val="nil"/>
            </w:tcBorders>
          </w:tcPr>
          <w:p w14:paraId="2500C0E6" w14:textId="77777777" w:rsidR="00616641" w:rsidRPr="0049701B" w:rsidRDefault="00616641" w:rsidP="007E3239">
            <w:pPr>
              <w:pStyle w:val="TableText"/>
              <w:spacing w:before="50" w:after="50"/>
              <w:jc w:val="right"/>
            </w:pPr>
            <w:r w:rsidRPr="0049701B">
              <w:t xml:space="preserve">–16,031.9 </w:t>
            </w:r>
          </w:p>
        </w:tc>
      </w:tr>
      <w:tr w:rsidR="00616641" w:rsidRPr="0049701B" w14:paraId="08516A08" w14:textId="77777777" w:rsidTr="007E3239">
        <w:tc>
          <w:tcPr>
            <w:tcW w:w="2977" w:type="dxa"/>
            <w:tcBorders>
              <w:top w:val="single" w:sz="4" w:space="0" w:color="1B556B"/>
              <w:left w:val="nil"/>
              <w:bottom w:val="single" w:sz="4" w:space="0" w:color="1B556B"/>
              <w:right w:val="nil"/>
            </w:tcBorders>
            <w:shd w:val="clear" w:color="auto" w:fill="auto"/>
            <w:vAlign w:val="center"/>
            <w:hideMark/>
          </w:tcPr>
          <w:p w14:paraId="5A675B5B" w14:textId="77777777" w:rsidR="00616641" w:rsidRPr="0049701B" w:rsidRDefault="00616641" w:rsidP="007E3239">
            <w:pPr>
              <w:pStyle w:val="Tableboldblue"/>
            </w:pPr>
            <w:r w:rsidRPr="0049701B">
              <w:t>Total area included (ha)</w:t>
            </w:r>
          </w:p>
        </w:tc>
        <w:tc>
          <w:tcPr>
            <w:tcW w:w="1134" w:type="dxa"/>
            <w:tcBorders>
              <w:top w:val="single" w:sz="4" w:space="0" w:color="1B556B"/>
              <w:left w:val="nil"/>
              <w:bottom w:val="single" w:sz="4" w:space="0" w:color="1B556B"/>
              <w:right w:val="nil"/>
            </w:tcBorders>
            <w:shd w:val="clear" w:color="auto" w:fill="auto"/>
            <w:hideMark/>
          </w:tcPr>
          <w:p w14:paraId="4A28A227" w14:textId="77777777" w:rsidR="00616641" w:rsidRPr="0049701B" w:rsidRDefault="00616641" w:rsidP="007E3239">
            <w:pPr>
              <w:pStyle w:val="Tableboldblue"/>
              <w:jc w:val="right"/>
            </w:pPr>
            <w:r w:rsidRPr="0049701B">
              <w:t>10,080,703</w:t>
            </w:r>
          </w:p>
        </w:tc>
        <w:tc>
          <w:tcPr>
            <w:tcW w:w="1134" w:type="dxa"/>
            <w:tcBorders>
              <w:top w:val="single" w:sz="4" w:space="0" w:color="1B556B"/>
              <w:left w:val="nil"/>
              <w:bottom w:val="single" w:sz="4" w:space="0" w:color="1B556B"/>
              <w:right w:val="nil"/>
            </w:tcBorders>
            <w:shd w:val="clear" w:color="auto" w:fill="auto"/>
            <w:hideMark/>
          </w:tcPr>
          <w:p w14:paraId="13E181D2" w14:textId="77777777" w:rsidR="00616641" w:rsidRPr="0049701B" w:rsidRDefault="00616641" w:rsidP="007E3239">
            <w:pPr>
              <w:pStyle w:val="Tableboldblue"/>
              <w:jc w:val="right"/>
            </w:pPr>
            <w:r w:rsidRPr="0049701B">
              <w:t>10,086,639</w:t>
            </w:r>
          </w:p>
        </w:tc>
        <w:tc>
          <w:tcPr>
            <w:tcW w:w="1276" w:type="dxa"/>
            <w:tcBorders>
              <w:top w:val="single" w:sz="4" w:space="0" w:color="1B556B"/>
              <w:left w:val="nil"/>
              <w:bottom w:val="single" w:sz="4" w:space="0" w:color="1B556B"/>
              <w:right w:val="nil"/>
            </w:tcBorders>
            <w:shd w:val="clear" w:color="auto" w:fill="auto"/>
            <w:hideMark/>
          </w:tcPr>
          <w:p w14:paraId="4D3E0BFC" w14:textId="77777777" w:rsidR="00616641" w:rsidRPr="0049701B" w:rsidRDefault="00616641" w:rsidP="007E3239">
            <w:pPr>
              <w:pStyle w:val="Tableboldblue"/>
              <w:jc w:val="right"/>
            </w:pPr>
            <w:r w:rsidRPr="0049701B">
              <w:t>10,092,576</w:t>
            </w:r>
          </w:p>
        </w:tc>
        <w:tc>
          <w:tcPr>
            <w:tcW w:w="1276" w:type="dxa"/>
            <w:tcBorders>
              <w:top w:val="single" w:sz="4" w:space="0" w:color="1B556B"/>
              <w:left w:val="nil"/>
              <w:bottom w:val="single" w:sz="4" w:space="0" w:color="1B556B"/>
              <w:right w:val="nil"/>
            </w:tcBorders>
            <w:shd w:val="clear" w:color="auto" w:fill="auto"/>
            <w:hideMark/>
          </w:tcPr>
          <w:p w14:paraId="605EB350" w14:textId="77777777" w:rsidR="00616641" w:rsidRPr="0049701B" w:rsidRDefault="00616641" w:rsidP="007E3239">
            <w:pPr>
              <w:pStyle w:val="Tableboldblue"/>
              <w:jc w:val="right"/>
            </w:pPr>
            <w:r w:rsidRPr="0049701B">
              <w:t>10,098,972</w:t>
            </w:r>
          </w:p>
        </w:tc>
        <w:tc>
          <w:tcPr>
            <w:tcW w:w="1275" w:type="dxa"/>
            <w:tcBorders>
              <w:top w:val="single" w:sz="4" w:space="0" w:color="1B556B"/>
              <w:left w:val="nil"/>
              <w:bottom w:val="single" w:sz="4" w:space="0" w:color="1B556B"/>
              <w:right w:val="nil"/>
            </w:tcBorders>
          </w:tcPr>
          <w:p w14:paraId="2C11EC11" w14:textId="77777777" w:rsidR="00616641" w:rsidRPr="0049701B" w:rsidRDefault="00616641" w:rsidP="007E3239">
            <w:pPr>
              <w:pStyle w:val="Tableboldblue"/>
              <w:jc w:val="right"/>
            </w:pPr>
            <w:r w:rsidRPr="0049701B">
              <w:t>10,109,092</w:t>
            </w:r>
          </w:p>
        </w:tc>
        <w:tc>
          <w:tcPr>
            <w:tcW w:w="1560" w:type="dxa"/>
            <w:tcBorders>
              <w:top w:val="single" w:sz="4" w:space="0" w:color="1B556B"/>
              <w:left w:val="nil"/>
              <w:bottom w:val="single" w:sz="4" w:space="0" w:color="1B556B"/>
              <w:right w:val="nil"/>
            </w:tcBorders>
          </w:tcPr>
          <w:p w14:paraId="469A0026" w14:textId="77777777" w:rsidR="00616641" w:rsidRPr="0049701B" w:rsidRDefault="00616641" w:rsidP="007E3239">
            <w:pPr>
              <w:pStyle w:val="Tableboldblue"/>
              <w:jc w:val="right"/>
            </w:pPr>
            <w:r w:rsidRPr="0049701B">
              <w:t>10,119,666</w:t>
            </w:r>
          </w:p>
        </w:tc>
        <w:tc>
          <w:tcPr>
            <w:tcW w:w="1134" w:type="dxa"/>
            <w:tcBorders>
              <w:top w:val="single" w:sz="4" w:space="0" w:color="1B556B"/>
              <w:left w:val="nil"/>
              <w:bottom w:val="single" w:sz="4" w:space="0" w:color="1B556B"/>
              <w:right w:val="nil"/>
            </w:tcBorders>
          </w:tcPr>
          <w:p w14:paraId="1D047F95" w14:textId="77777777" w:rsidR="00616641" w:rsidRPr="0049701B" w:rsidRDefault="00616641" w:rsidP="007E3239">
            <w:pPr>
              <w:pStyle w:val="Tableboldblue"/>
              <w:jc w:val="right"/>
              <w:rPr>
                <w:bCs/>
                <w:color w:val="000000"/>
              </w:rPr>
            </w:pPr>
            <w:r w:rsidRPr="0049701B">
              <w:t>10,147,316</w:t>
            </w:r>
          </w:p>
        </w:tc>
        <w:tc>
          <w:tcPr>
            <w:tcW w:w="1077" w:type="dxa"/>
            <w:tcBorders>
              <w:top w:val="single" w:sz="4" w:space="0" w:color="1B556B"/>
              <w:left w:val="nil"/>
              <w:bottom w:val="single" w:sz="4" w:space="0" w:color="1B556B"/>
              <w:right w:val="nil"/>
            </w:tcBorders>
          </w:tcPr>
          <w:p w14:paraId="509F3F6F" w14:textId="77777777" w:rsidR="00616641" w:rsidRPr="0049701B" w:rsidRDefault="00616641" w:rsidP="007E3239">
            <w:pPr>
              <w:pStyle w:val="Tableboldblue"/>
              <w:jc w:val="right"/>
            </w:pPr>
            <w:r w:rsidRPr="0049701B">
              <w:t>10,188,427</w:t>
            </w:r>
          </w:p>
        </w:tc>
      </w:tr>
      <w:tr w:rsidR="00616641" w:rsidRPr="0049701B" w14:paraId="3E5D9AF4" w14:textId="77777777" w:rsidTr="007E3239">
        <w:tc>
          <w:tcPr>
            <w:tcW w:w="2977" w:type="dxa"/>
            <w:tcBorders>
              <w:top w:val="single" w:sz="4" w:space="0" w:color="1B556B"/>
              <w:left w:val="nil"/>
              <w:bottom w:val="single" w:sz="4" w:space="0" w:color="1B556B"/>
              <w:right w:val="nil"/>
            </w:tcBorders>
            <w:shd w:val="clear" w:color="auto" w:fill="auto"/>
            <w:vAlign w:val="center"/>
            <w:hideMark/>
          </w:tcPr>
          <w:p w14:paraId="365D6D2E" w14:textId="77777777" w:rsidR="00616641" w:rsidRPr="0049701B" w:rsidRDefault="00616641" w:rsidP="007E3239">
            <w:pPr>
              <w:pStyle w:val="Tableboldblue"/>
            </w:pPr>
            <w:r w:rsidRPr="0049701B">
              <w:t>Net emissions in calendar year (kt CO</w:t>
            </w:r>
            <w:r w:rsidRPr="0049701B">
              <w:rPr>
                <w:vertAlign w:val="subscript"/>
              </w:rPr>
              <w:t>2</w:t>
            </w:r>
            <w:r w:rsidRPr="0049701B">
              <w:t>-e)</w:t>
            </w:r>
          </w:p>
        </w:tc>
        <w:tc>
          <w:tcPr>
            <w:tcW w:w="1134" w:type="dxa"/>
            <w:tcBorders>
              <w:top w:val="single" w:sz="4" w:space="0" w:color="1B556B"/>
              <w:left w:val="nil"/>
              <w:bottom w:val="single" w:sz="4" w:space="0" w:color="1B556B"/>
              <w:right w:val="nil"/>
            </w:tcBorders>
            <w:shd w:val="clear" w:color="auto" w:fill="auto"/>
            <w:hideMark/>
          </w:tcPr>
          <w:p w14:paraId="393240FF" w14:textId="77777777" w:rsidR="00616641" w:rsidRPr="0049701B" w:rsidRDefault="00616641" w:rsidP="007E3239">
            <w:pPr>
              <w:pStyle w:val="Tableboldblue"/>
              <w:jc w:val="right"/>
            </w:pPr>
            <w:r w:rsidRPr="0049701B">
              <w:t xml:space="preserve">–32,764.3 </w:t>
            </w:r>
          </w:p>
        </w:tc>
        <w:tc>
          <w:tcPr>
            <w:tcW w:w="1134" w:type="dxa"/>
            <w:tcBorders>
              <w:top w:val="single" w:sz="4" w:space="0" w:color="1B556B"/>
              <w:left w:val="nil"/>
              <w:bottom w:val="single" w:sz="4" w:space="0" w:color="1B556B"/>
              <w:right w:val="nil"/>
            </w:tcBorders>
            <w:shd w:val="clear" w:color="auto" w:fill="auto"/>
            <w:hideMark/>
          </w:tcPr>
          <w:p w14:paraId="57F454D2" w14:textId="77777777" w:rsidR="00616641" w:rsidRPr="0049701B" w:rsidRDefault="00616641" w:rsidP="007E3239">
            <w:pPr>
              <w:pStyle w:val="Tableboldblue"/>
              <w:jc w:val="right"/>
            </w:pPr>
            <w:r w:rsidRPr="0049701B">
              <w:t xml:space="preserve">–33,234.2 </w:t>
            </w:r>
          </w:p>
        </w:tc>
        <w:tc>
          <w:tcPr>
            <w:tcW w:w="1276" w:type="dxa"/>
            <w:tcBorders>
              <w:top w:val="single" w:sz="4" w:space="0" w:color="1B556B"/>
              <w:left w:val="nil"/>
              <w:bottom w:val="single" w:sz="4" w:space="0" w:color="1B556B"/>
              <w:right w:val="nil"/>
            </w:tcBorders>
            <w:shd w:val="clear" w:color="auto" w:fill="auto"/>
            <w:hideMark/>
          </w:tcPr>
          <w:p w14:paraId="5366E27E" w14:textId="77777777" w:rsidR="00616641" w:rsidRPr="0049701B" w:rsidRDefault="00616641" w:rsidP="007E3239">
            <w:pPr>
              <w:pStyle w:val="Tableboldblue"/>
              <w:jc w:val="right"/>
            </w:pPr>
            <w:r w:rsidRPr="0049701B">
              <w:t xml:space="preserve">–33,108.3 </w:t>
            </w:r>
          </w:p>
        </w:tc>
        <w:tc>
          <w:tcPr>
            <w:tcW w:w="1276" w:type="dxa"/>
            <w:tcBorders>
              <w:top w:val="single" w:sz="4" w:space="0" w:color="1B556B"/>
              <w:left w:val="nil"/>
              <w:bottom w:val="single" w:sz="4" w:space="0" w:color="1B556B"/>
              <w:right w:val="nil"/>
            </w:tcBorders>
            <w:shd w:val="clear" w:color="auto" w:fill="auto"/>
            <w:hideMark/>
          </w:tcPr>
          <w:p w14:paraId="2D0BCC53" w14:textId="77777777" w:rsidR="00616641" w:rsidRPr="0049701B" w:rsidRDefault="00616641" w:rsidP="007E3239">
            <w:pPr>
              <w:pStyle w:val="Tableboldblue"/>
              <w:jc w:val="right"/>
            </w:pPr>
            <w:r w:rsidRPr="0049701B">
              <w:t xml:space="preserve">–32,077.4 </w:t>
            </w:r>
          </w:p>
        </w:tc>
        <w:tc>
          <w:tcPr>
            <w:tcW w:w="1275" w:type="dxa"/>
            <w:tcBorders>
              <w:top w:val="single" w:sz="4" w:space="0" w:color="1B556B"/>
              <w:left w:val="nil"/>
              <w:bottom w:val="single" w:sz="4" w:space="0" w:color="1B556B"/>
              <w:right w:val="nil"/>
            </w:tcBorders>
          </w:tcPr>
          <w:p w14:paraId="38AA49BF" w14:textId="77777777" w:rsidR="00616641" w:rsidRPr="0049701B" w:rsidRDefault="00616641" w:rsidP="007E3239">
            <w:pPr>
              <w:pStyle w:val="Tableboldblue"/>
              <w:jc w:val="right"/>
            </w:pPr>
            <w:r w:rsidRPr="0049701B">
              <w:t xml:space="preserve">–31,144.4 </w:t>
            </w:r>
          </w:p>
        </w:tc>
        <w:tc>
          <w:tcPr>
            <w:tcW w:w="1560" w:type="dxa"/>
            <w:tcBorders>
              <w:top w:val="single" w:sz="4" w:space="0" w:color="1B556B"/>
              <w:left w:val="nil"/>
              <w:bottom w:val="single" w:sz="4" w:space="0" w:color="1B556B"/>
              <w:right w:val="nil"/>
            </w:tcBorders>
          </w:tcPr>
          <w:p w14:paraId="77DBE3B3" w14:textId="77777777" w:rsidR="00616641" w:rsidRPr="0049701B" w:rsidRDefault="00616641" w:rsidP="007E3239">
            <w:pPr>
              <w:pStyle w:val="Tableboldblue"/>
              <w:jc w:val="right"/>
            </w:pPr>
            <w:r w:rsidRPr="0049701B">
              <w:t xml:space="preserve">–30,669.0 </w:t>
            </w:r>
          </w:p>
        </w:tc>
        <w:tc>
          <w:tcPr>
            <w:tcW w:w="1134" w:type="dxa"/>
            <w:tcBorders>
              <w:top w:val="single" w:sz="4" w:space="0" w:color="1B556B"/>
              <w:left w:val="nil"/>
              <w:bottom w:val="single" w:sz="4" w:space="0" w:color="1B556B"/>
              <w:right w:val="nil"/>
            </w:tcBorders>
          </w:tcPr>
          <w:p w14:paraId="49BB3686" w14:textId="77777777" w:rsidR="00616641" w:rsidRPr="0049701B" w:rsidRDefault="00616641" w:rsidP="007E3239">
            <w:pPr>
              <w:pStyle w:val="Tableboldblue"/>
              <w:jc w:val="right"/>
              <w:rPr>
                <w:bCs/>
                <w:color w:val="000000"/>
              </w:rPr>
            </w:pPr>
            <w:r w:rsidRPr="0049701B">
              <w:t xml:space="preserve">–28,822.5 </w:t>
            </w:r>
          </w:p>
        </w:tc>
        <w:tc>
          <w:tcPr>
            <w:tcW w:w="1077" w:type="dxa"/>
            <w:tcBorders>
              <w:top w:val="single" w:sz="4" w:space="0" w:color="1B556B"/>
              <w:left w:val="nil"/>
              <w:bottom w:val="single" w:sz="4" w:space="0" w:color="1B556B"/>
              <w:right w:val="nil"/>
            </w:tcBorders>
          </w:tcPr>
          <w:p w14:paraId="2E278D1F" w14:textId="77777777" w:rsidR="00616641" w:rsidRPr="0049701B" w:rsidRDefault="00616641" w:rsidP="007E3239">
            <w:pPr>
              <w:pStyle w:val="Tableboldblue"/>
              <w:jc w:val="right"/>
            </w:pPr>
            <w:r w:rsidRPr="0049701B">
              <w:t xml:space="preserve">–29,476.1 </w:t>
            </w:r>
          </w:p>
        </w:tc>
      </w:tr>
    </w:tbl>
    <w:p w14:paraId="280E616D" w14:textId="77777777" w:rsidR="00616641" w:rsidRPr="0049701B" w:rsidRDefault="00616641" w:rsidP="00616641">
      <w:pPr>
        <w:pStyle w:val="Noteundertable"/>
        <w:keepLines/>
      </w:pPr>
      <w:r w:rsidRPr="0049701B">
        <w:rPr>
          <w:b/>
        </w:rPr>
        <w:t>Note:</w:t>
      </w:r>
      <w:r w:rsidRPr="0049701B">
        <w:t xml:space="preserve"> </w:t>
      </w:r>
      <w:r w:rsidRPr="0049701B">
        <w:tab/>
      </w:r>
      <w:bookmarkStart w:id="2694" w:name="_Hlk61602689"/>
      <w:r w:rsidRPr="0049701B">
        <w:t>Where net emissions result in removals, they are expressed as a negative value as per section 2.2.3 of the Intergovernmental Panel on Climate Change Guidelines (IPCC, 2006a). Columns may not total due to rounding. P = provisional figure (all figures for 2017, 2018, 2019 and 2020 are provisional). Afforestation and deforestation differs from that in chapter 6 due to carbon equivalent forests being reported separately.</w:t>
      </w:r>
      <w:bookmarkEnd w:id="2694"/>
    </w:p>
    <w:p w14:paraId="4ABC63D2" w14:textId="77777777" w:rsidR="00616641" w:rsidRPr="0049701B" w:rsidRDefault="00616641" w:rsidP="00616641">
      <w:pPr>
        <w:pStyle w:val="BodyText"/>
      </w:pPr>
    </w:p>
    <w:p w14:paraId="384E453C" w14:textId="677C2EC8" w:rsidR="00616641" w:rsidRPr="0049701B" w:rsidRDefault="00616641" w:rsidP="00086C40">
      <w:pPr>
        <w:pStyle w:val="Table"/>
        <w:pageBreakBefore/>
      </w:pPr>
      <w:bookmarkStart w:id="2695" w:name="_Toc95321533"/>
      <w:bookmarkStart w:id="2696" w:name="_Toc99659385"/>
      <w:r w:rsidRPr="0049701B">
        <w:lastRenderedPageBreak/>
        <w:t>Table 11.1.2</w:t>
      </w:r>
      <w:r w:rsidRPr="0049701B">
        <w:tab/>
        <w:t>New Zealand’s accounting quantity under Article 3.3 and Article 3.4 of the Kyoto Protocol during the second reporting period</w:t>
      </w:r>
      <w:bookmarkEnd w:id="2695"/>
      <w:bookmarkEnd w:id="2696"/>
    </w:p>
    <w:tbl>
      <w:tblPr>
        <w:tblW w:w="13892" w:type="dxa"/>
        <w:tblInd w:w="113" w:type="dxa"/>
        <w:tblBorders>
          <w:top w:val="single" w:sz="4" w:space="0" w:color="44546A"/>
          <w:bottom w:val="single" w:sz="4" w:space="0" w:color="44546A"/>
          <w:insideH w:val="single" w:sz="4" w:space="0" w:color="44546A"/>
          <w:insideV w:val="single" w:sz="4" w:space="0" w:color="44546A"/>
        </w:tblBorders>
        <w:tblLook w:val="04A0" w:firstRow="1" w:lastRow="0" w:firstColumn="1" w:lastColumn="0" w:noHBand="0" w:noVBand="1"/>
      </w:tblPr>
      <w:tblGrid>
        <w:gridCol w:w="4303"/>
        <w:gridCol w:w="1045"/>
        <w:gridCol w:w="1045"/>
        <w:gridCol w:w="1045"/>
        <w:gridCol w:w="1045"/>
        <w:gridCol w:w="1045"/>
        <w:gridCol w:w="1045"/>
        <w:gridCol w:w="1045"/>
        <w:gridCol w:w="1045"/>
        <w:gridCol w:w="1229"/>
      </w:tblGrid>
      <w:tr w:rsidR="00616641" w:rsidRPr="0049701B" w14:paraId="2F9743A0" w14:textId="77777777" w:rsidTr="007E3239">
        <w:trPr>
          <w:tblHeader/>
        </w:trPr>
        <w:tc>
          <w:tcPr>
            <w:tcW w:w="3971" w:type="dxa"/>
            <w:shd w:val="clear" w:color="auto" w:fill="1B556B"/>
            <w:vAlign w:val="bottom"/>
            <w:hideMark/>
          </w:tcPr>
          <w:p w14:paraId="2DC2CF63" w14:textId="77777777" w:rsidR="00616641" w:rsidRPr="0049701B" w:rsidRDefault="00616641" w:rsidP="007E3239">
            <w:pPr>
              <w:pStyle w:val="TableTextBold"/>
              <w:rPr>
                <w:noProof w:val="0"/>
                <w:color w:val="FFFFFF"/>
              </w:rPr>
            </w:pPr>
            <w:r w:rsidRPr="0049701B">
              <w:rPr>
                <w:noProof w:val="0"/>
                <w:color w:val="FFFFFF"/>
              </w:rPr>
              <w:t>Activity</w:t>
            </w:r>
          </w:p>
        </w:tc>
        <w:tc>
          <w:tcPr>
            <w:tcW w:w="964" w:type="dxa"/>
            <w:shd w:val="clear" w:color="auto" w:fill="1B556B"/>
            <w:vAlign w:val="bottom"/>
            <w:hideMark/>
          </w:tcPr>
          <w:p w14:paraId="259AD279" w14:textId="77777777" w:rsidR="00616641" w:rsidRPr="0049701B" w:rsidRDefault="00616641" w:rsidP="007E3239">
            <w:pPr>
              <w:pStyle w:val="TableTextBold"/>
              <w:jc w:val="right"/>
              <w:rPr>
                <w:noProof w:val="0"/>
                <w:color w:val="FFFFFF"/>
              </w:rPr>
            </w:pPr>
            <w:r w:rsidRPr="0049701B">
              <w:rPr>
                <w:noProof w:val="0"/>
                <w:color w:val="FFFFFF"/>
              </w:rPr>
              <w:t>2013</w:t>
            </w:r>
          </w:p>
        </w:tc>
        <w:tc>
          <w:tcPr>
            <w:tcW w:w="964" w:type="dxa"/>
            <w:shd w:val="clear" w:color="auto" w:fill="1B556B"/>
            <w:vAlign w:val="bottom"/>
            <w:hideMark/>
          </w:tcPr>
          <w:p w14:paraId="3F8926B3" w14:textId="77777777" w:rsidR="00616641" w:rsidRPr="0049701B" w:rsidRDefault="00616641" w:rsidP="007E3239">
            <w:pPr>
              <w:pStyle w:val="TableTextBold"/>
              <w:jc w:val="right"/>
              <w:rPr>
                <w:noProof w:val="0"/>
                <w:color w:val="FFFFFF"/>
              </w:rPr>
            </w:pPr>
            <w:r w:rsidRPr="0049701B">
              <w:rPr>
                <w:noProof w:val="0"/>
                <w:color w:val="FFFFFF"/>
              </w:rPr>
              <w:t>2014</w:t>
            </w:r>
          </w:p>
        </w:tc>
        <w:tc>
          <w:tcPr>
            <w:tcW w:w="964" w:type="dxa"/>
            <w:shd w:val="clear" w:color="auto" w:fill="1B556B"/>
            <w:vAlign w:val="bottom"/>
            <w:hideMark/>
          </w:tcPr>
          <w:p w14:paraId="0B9E8A74" w14:textId="77777777" w:rsidR="00616641" w:rsidRPr="0049701B" w:rsidRDefault="00616641" w:rsidP="007E3239">
            <w:pPr>
              <w:pStyle w:val="TableTextBold"/>
              <w:jc w:val="right"/>
              <w:rPr>
                <w:noProof w:val="0"/>
                <w:color w:val="FFFFFF"/>
              </w:rPr>
            </w:pPr>
            <w:r w:rsidRPr="0049701B">
              <w:rPr>
                <w:noProof w:val="0"/>
                <w:color w:val="FFFFFF"/>
              </w:rPr>
              <w:t>2015</w:t>
            </w:r>
          </w:p>
        </w:tc>
        <w:tc>
          <w:tcPr>
            <w:tcW w:w="964" w:type="dxa"/>
            <w:shd w:val="clear" w:color="auto" w:fill="1B556B"/>
            <w:vAlign w:val="bottom"/>
            <w:hideMark/>
          </w:tcPr>
          <w:p w14:paraId="5C324D6B" w14:textId="77777777" w:rsidR="00616641" w:rsidRPr="0049701B" w:rsidRDefault="00616641" w:rsidP="007E3239">
            <w:pPr>
              <w:pStyle w:val="TableTextBold"/>
              <w:jc w:val="right"/>
              <w:rPr>
                <w:noProof w:val="0"/>
                <w:color w:val="FFFFFF"/>
              </w:rPr>
            </w:pPr>
            <w:r w:rsidRPr="0049701B">
              <w:rPr>
                <w:noProof w:val="0"/>
                <w:color w:val="FFFFFF"/>
              </w:rPr>
              <w:t>2016</w:t>
            </w:r>
          </w:p>
        </w:tc>
        <w:tc>
          <w:tcPr>
            <w:tcW w:w="964" w:type="dxa"/>
            <w:shd w:val="clear" w:color="auto" w:fill="1B556B"/>
            <w:vAlign w:val="bottom"/>
            <w:hideMark/>
          </w:tcPr>
          <w:p w14:paraId="10D0F471" w14:textId="77777777" w:rsidR="00616641" w:rsidRPr="0049701B" w:rsidRDefault="00616641" w:rsidP="007E3239">
            <w:pPr>
              <w:pStyle w:val="TableTextBold"/>
              <w:jc w:val="right"/>
              <w:rPr>
                <w:noProof w:val="0"/>
                <w:color w:val="FFFFFF"/>
              </w:rPr>
            </w:pPr>
            <w:r w:rsidRPr="0049701B">
              <w:rPr>
                <w:noProof w:val="0"/>
                <w:color w:val="FFFFFF"/>
              </w:rPr>
              <w:t>2017</w:t>
            </w:r>
          </w:p>
        </w:tc>
        <w:tc>
          <w:tcPr>
            <w:tcW w:w="964" w:type="dxa"/>
            <w:shd w:val="clear" w:color="auto" w:fill="1B556B"/>
            <w:vAlign w:val="bottom"/>
            <w:hideMark/>
          </w:tcPr>
          <w:p w14:paraId="3B3E3C1D" w14:textId="77777777" w:rsidR="00616641" w:rsidRPr="0049701B" w:rsidRDefault="00616641" w:rsidP="007E3239">
            <w:pPr>
              <w:pStyle w:val="TableTextBold"/>
              <w:jc w:val="right"/>
              <w:rPr>
                <w:noProof w:val="0"/>
                <w:color w:val="FFFFFF"/>
              </w:rPr>
            </w:pPr>
            <w:r w:rsidRPr="0049701B">
              <w:rPr>
                <w:noProof w:val="0"/>
                <w:color w:val="FFFFFF"/>
              </w:rPr>
              <w:t>2018</w:t>
            </w:r>
          </w:p>
        </w:tc>
        <w:tc>
          <w:tcPr>
            <w:tcW w:w="964" w:type="dxa"/>
            <w:shd w:val="clear" w:color="auto" w:fill="1B556B"/>
            <w:vAlign w:val="bottom"/>
            <w:hideMark/>
          </w:tcPr>
          <w:p w14:paraId="5D94ECB1" w14:textId="77777777" w:rsidR="00616641" w:rsidRPr="0049701B" w:rsidRDefault="00616641" w:rsidP="007E3239">
            <w:pPr>
              <w:pStyle w:val="TableTextBold"/>
              <w:jc w:val="right"/>
              <w:rPr>
                <w:noProof w:val="0"/>
                <w:color w:val="FFFFFF"/>
              </w:rPr>
            </w:pPr>
            <w:r w:rsidRPr="0049701B">
              <w:rPr>
                <w:noProof w:val="0"/>
                <w:color w:val="FFFFFF"/>
              </w:rPr>
              <w:t>2019</w:t>
            </w:r>
          </w:p>
        </w:tc>
        <w:tc>
          <w:tcPr>
            <w:tcW w:w="964" w:type="dxa"/>
            <w:shd w:val="clear" w:color="auto" w:fill="1B556B"/>
            <w:vAlign w:val="bottom"/>
            <w:hideMark/>
          </w:tcPr>
          <w:p w14:paraId="35491912" w14:textId="77777777" w:rsidR="00616641" w:rsidRPr="0049701B" w:rsidRDefault="00616641" w:rsidP="007E3239">
            <w:pPr>
              <w:pStyle w:val="TableTextBold"/>
              <w:jc w:val="right"/>
              <w:rPr>
                <w:noProof w:val="0"/>
                <w:color w:val="FFFFFF"/>
              </w:rPr>
            </w:pPr>
            <w:r w:rsidRPr="0049701B">
              <w:rPr>
                <w:noProof w:val="0"/>
                <w:color w:val="FFFFFF"/>
              </w:rPr>
              <w:t>2020</w:t>
            </w:r>
          </w:p>
        </w:tc>
        <w:tc>
          <w:tcPr>
            <w:tcW w:w="1134" w:type="dxa"/>
            <w:shd w:val="clear" w:color="auto" w:fill="1B556B"/>
            <w:vAlign w:val="bottom"/>
            <w:hideMark/>
          </w:tcPr>
          <w:p w14:paraId="5053880D" w14:textId="77777777" w:rsidR="00616641" w:rsidRPr="0049701B" w:rsidRDefault="00616641" w:rsidP="007E3239">
            <w:pPr>
              <w:pStyle w:val="TableTextBold"/>
              <w:jc w:val="right"/>
              <w:rPr>
                <w:noProof w:val="0"/>
                <w:color w:val="FFFFFF"/>
              </w:rPr>
            </w:pPr>
            <w:r w:rsidRPr="0049701B">
              <w:rPr>
                <w:noProof w:val="0"/>
                <w:color w:val="FFFFFF"/>
              </w:rPr>
              <w:t>Emissions in period to 2020 (kt CO</w:t>
            </w:r>
            <w:r w:rsidRPr="0049701B">
              <w:rPr>
                <w:noProof w:val="0"/>
                <w:color w:val="FFFFFF"/>
                <w:vertAlign w:val="subscript"/>
              </w:rPr>
              <w:t>2</w:t>
            </w:r>
            <w:r w:rsidRPr="0049701B">
              <w:rPr>
                <w:noProof w:val="0"/>
                <w:color w:val="FFFFFF"/>
              </w:rPr>
              <w:t>-e)</w:t>
            </w:r>
          </w:p>
        </w:tc>
      </w:tr>
      <w:tr w:rsidR="00616641" w:rsidRPr="0049701B" w14:paraId="4719E1DB" w14:textId="77777777" w:rsidTr="007E3239">
        <w:trPr>
          <w:trHeight w:val="300"/>
        </w:trPr>
        <w:tc>
          <w:tcPr>
            <w:tcW w:w="3971" w:type="dxa"/>
            <w:shd w:val="clear" w:color="auto" w:fill="auto"/>
            <w:vAlign w:val="center"/>
            <w:hideMark/>
          </w:tcPr>
          <w:p w14:paraId="590A0FFD" w14:textId="77777777" w:rsidR="00616641" w:rsidRPr="0049701B" w:rsidRDefault="00616641" w:rsidP="007E3239">
            <w:pPr>
              <w:pStyle w:val="TableText"/>
            </w:pPr>
            <w:r w:rsidRPr="0049701B">
              <w:t>Afforestation/reforestation</w:t>
            </w:r>
          </w:p>
        </w:tc>
        <w:tc>
          <w:tcPr>
            <w:tcW w:w="964" w:type="dxa"/>
            <w:shd w:val="clear" w:color="auto" w:fill="auto"/>
            <w:vAlign w:val="center"/>
            <w:hideMark/>
          </w:tcPr>
          <w:p w14:paraId="721445F5" w14:textId="77777777" w:rsidR="00616641" w:rsidRPr="0049701B" w:rsidRDefault="00616641" w:rsidP="007E3239">
            <w:pPr>
              <w:pStyle w:val="TableText"/>
              <w:jc w:val="right"/>
            </w:pPr>
            <w:r w:rsidRPr="0049701B">
              <w:t>–17,520.32</w:t>
            </w:r>
          </w:p>
        </w:tc>
        <w:tc>
          <w:tcPr>
            <w:tcW w:w="964" w:type="dxa"/>
            <w:shd w:val="clear" w:color="auto" w:fill="auto"/>
            <w:vAlign w:val="center"/>
            <w:hideMark/>
          </w:tcPr>
          <w:p w14:paraId="0ECCBB2C" w14:textId="77777777" w:rsidR="00616641" w:rsidRPr="0049701B" w:rsidRDefault="00616641" w:rsidP="007E3239">
            <w:pPr>
              <w:pStyle w:val="TableText"/>
              <w:jc w:val="right"/>
            </w:pPr>
            <w:r w:rsidRPr="0049701B">
              <w:t>–17,913.5</w:t>
            </w:r>
          </w:p>
        </w:tc>
        <w:tc>
          <w:tcPr>
            <w:tcW w:w="964" w:type="dxa"/>
            <w:shd w:val="clear" w:color="auto" w:fill="auto"/>
            <w:vAlign w:val="center"/>
            <w:hideMark/>
          </w:tcPr>
          <w:p w14:paraId="5F354180" w14:textId="77777777" w:rsidR="00616641" w:rsidRPr="0049701B" w:rsidRDefault="00616641" w:rsidP="007E3239">
            <w:pPr>
              <w:pStyle w:val="TableText"/>
              <w:jc w:val="right"/>
            </w:pPr>
            <w:r w:rsidRPr="0049701B">
              <w:t>–18,054.1</w:t>
            </w:r>
          </w:p>
        </w:tc>
        <w:tc>
          <w:tcPr>
            <w:tcW w:w="964" w:type="dxa"/>
            <w:shd w:val="clear" w:color="auto" w:fill="auto"/>
            <w:vAlign w:val="center"/>
            <w:hideMark/>
          </w:tcPr>
          <w:p w14:paraId="191EC663" w14:textId="77777777" w:rsidR="00616641" w:rsidRPr="0049701B" w:rsidRDefault="00616641" w:rsidP="007E3239">
            <w:pPr>
              <w:pStyle w:val="TableText"/>
              <w:jc w:val="right"/>
            </w:pPr>
            <w:r w:rsidRPr="0049701B">
              <w:t>–18,004.8</w:t>
            </w:r>
          </w:p>
        </w:tc>
        <w:tc>
          <w:tcPr>
            <w:tcW w:w="964" w:type="dxa"/>
            <w:shd w:val="clear" w:color="auto" w:fill="auto"/>
            <w:vAlign w:val="center"/>
            <w:hideMark/>
          </w:tcPr>
          <w:p w14:paraId="4CAD733F" w14:textId="77777777" w:rsidR="00616641" w:rsidRPr="0049701B" w:rsidRDefault="00616641" w:rsidP="007E3239">
            <w:pPr>
              <w:pStyle w:val="TableText"/>
              <w:jc w:val="right"/>
            </w:pPr>
            <w:r w:rsidRPr="0049701B">
              <w:t>–18,486.5</w:t>
            </w:r>
          </w:p>
        </w:tc>
        <w:tc>
          <w:tcPr>
            <w:tcW w:w="964" w:type="dxa"/>
            <w:shd w:val="clear" w:color="auto" w:fill="auto"/>
            <w:vAlign w:val="center"/>
            <w:hideMark/>
          </w:tcPr>
          <w:p w14:paraId="352B02F7" w14:textId="77777777" w:rsidR="00616641" w:rsidRPr="0049701B" w:rsidRDefault="00616641" w:rsidP="007E3239">
            <w:pPr>
              <w:pStyle w:val="TableText"/>
              <w:jc w:val="right"/>
            </w:pPr>
            <w:r w:rsidRPr="0049701B">
              <w:softHyphen/>
              <w:t>–17,741.1</w:t>
            </w:r>
          </w:p>
        </w:tc>
        <w:tc>
          <w:tcPr>
            <w:tcW w:w="964" w:type="dxa"/>
            <w:shd w:val="clear" w:color="auto" w:fill="auto"/>
            <w:vAlign w:val="center"/>
            <w:hideMark/>
          </w:tcPr>
          <w:p w14:paraId="4E1D97B8" w14:textId="77777777" w:rsidR="00616641" w:rsidRPr="0049701B" w:rsidRDefault="00616641" w:rsidP="007E3239">
            <w:pPr>
              <w:pStyle w:val="TableText"/>
              <w:jc w:val="right"/>
            </w:pPr>
            <w:r w:rsidRPr="0049701B">
              <w:t>–16,733.5</w:t>
            </w:r>
          </w:p>
        </w:tc>
        <w:tc>
          <w:tcPr>
            <w:tcW w:w="964" w:type="dxa"/>
            <w:shd w:val="clear" w:color="auto" w:fill="auto"/>
            <w:vAlign w:val="center"/>
            <w:hideMark/>
          </w:tcPr>
          <w:p w14:paraId="60524D73" w14:textId="77777777" w:rsidR="00616641" w:rsidRPr="0049701B" w:rsidRDefault="00616641" w:rsidP="007E3239">
            <w:pPr>
              <w:pStyle w:val="TableText"/>
              <w:jc w:val="right"/>
            </w:pPr>
            <w:r w:rsidRPr="0049701B">
              <w:t>–14,764.7</w:t>
            </w:r>
          </w:p>
        </w:tc>
        <w:tc>
          <w:tcPr>
            <w:tcW w:w="1134" w:type="dxa"/>
            <w:shd w:val="clear" w:color="auto" w:fill="auto"/>
            <w:vAlign w:val="center"/>
            <w:hideMark/>
          </w:tcPr>
          <w:p w14:paraId="50722C4A" w14:textId="77777777" w:rsidR="00616641" w:rsidRPr="0049701B" w:rsidRDefault="00616641" w:rsidP="007E3239">
            <w:pPr>
              <w:pStyle w:val="TableText"/>
              <w:jc w:val="right"/>
            </w:pPr>
            <w:r w:rsidRPr="0049701B">
              <w:t>–139,218.6</w:t>
            </w:r>
          </w:p>
        </w:tc>
      </w:tr>
      <w:tr w:rsidR="00616641" w:rsidRPr="0049701B" w14:paraId="4925C5F5" w14:textId="77777777" w:rsidTr="007E3239">
        <w:trPr>
          <w:trHeight w:val="300"/>
        </w:trPr>
        <w:tc>
          <w:tcPr>
            <w:tcW w:w="3971" w:type="dxa"/>
            <w:shd w:val="clear" w:color="auto" w:fill="auto"/>
            <w:vAlign w:val="center"/>
            <w:hideMark/>
          </w:tcPr>
          <w:p w14:paraId="46FA79A2" w14:textId="77777777" w:rsidR="00616641" w:rsidRPr="0049701B" w:rsidRDefault="00616641" w:rsidP="007E3239">
            <w:pPr>
              <w:pStyle w:val="TableText"/>
            </w:pPr>
            <w:r w:rsidRPr="0049701B">
              <w:t>Deforestation</w:t>
            </w:r>
          </w:p>
        </w:tc>
        <w:tc>
          <w:tcPr>
            <w:tcW w:w="964" w:type="dxa"/>
            <w:shd w:val="clear" w:color="auto" w:fill="auto"/>
            <w:vAlign w:val="center"/>
            <w:hideMark/>
          </w:tcPr>
          <w:p w14:paraId="121904FC" w14:textId="77777777" w:rsidR="00616641" w:rsidRPr="0049701B" w:rsidRDefault="00616641" w:rsidP="007E3239">
            <w:pPr>
              <w:pStyle w:val="TableText"/>
              <w:jc w:val="right"/>
            </w:pPr>
            <w:r w:rsidRPr="0049701B">
              <w:t>8,936.6</w:t>
            </w:r>
          </w:p>
        </w:tc>
        <w:tc>
          <w:tcPr>
            <w:tcW w:w="964" w:type="dxa"/>
            <w:shd w:val="clear" w:color="auto" w:fill="auto"/>
            <w:vAlign w:val="center"/>
            <w:hideMark/>
          </w:tcPr>
          <w:p w14:paraId="64E0F5CF" w14:textId="77777777" w:rsidR="00616641" w:rsidRPr="0049701B" w:rsidRDefault="00616641" w:rsidP="007E3239">
            <w:pPr>
              <w:pStyle w:val="TableText"/>
              <w:jc w:val="right"/>
            </w:pPr>
            <w:r w:rsidRPr="0049701B">
              <w:t>6,657.5</w:t>
            </w:r>
          </w:p>
        </w:tc>
        <w:tc>
          <w:tcPr>
            <w:tcW w:w="964" w:type="dxa"/>
            <w:shd w:val="clear" w:color="auto" w:fill="auto"/>
            <w:vAlign w:val="center"/>
            <w:hideMark/>
          </w:tcPr>
          <w:p w14:paraId="2543043B" w14:textId="77777777" w:rsidR="00616641" w:rsidRPr="0049701B" w:rsidRDefault="00616641" w:rsidP="007E3239">
            <w:pPr>
              <w:pStyle w:val="TableText"/>
              <w:jc w:val="right"/>
            </w:pPr>
            <w:r w:rsidRPr="0049701B">
              <w:t>4,965.3</w:t>
            </w:r>
          </w:p>
        </w:tc>
        <w:tc>
          <w:tcPr>
            <w:tcW w:w="964" w:type="dxa"/>
            <w:shd w:val="clear" w:color="auto" w:fill="auto"/>
            <w:vAlign w:val="center"/>
            <w:hideMark/>
          </w:tcPr>
          <w:p w14:paraId="170612D8" w14:textId="77777777" w:rsidR="00616641" w:rsidRPr="0049701B" w:rsidRDefault="00616641" w:rsidP="007E3239">
            <w:pPr>
              <w:pStyle w:val="TableText"/>
              <w:jc w:val="right"/>
            </w:pPr>
            <w:r w:rsidRPr="0049701B">
              <w:t>4,442.4</w:t>
            </w:r>
          </w:p>
        </w:tc>
        <w:tc>
          <w:tcPr>
            <w:tcW w:w="964" w:type="dxa"/>
            <w:shd w:val="clear" w:color="auto" w:fill="auto"/>
            <w:vAlign w:val="center"/>
            <w:hideMark/>
          </w:tcPr>
          <w:p w14:paraId="5F0D9FEA" w14:textId="77777777" w:rsidR="00616641" w:rsidRPr="0049701B" w:rsidRDefault="00616641" w:rsidP="007E3239">
            <w:pPr>
              <w:pStyle w:val="TableText"/>
              <w:jc w:val="right"/>
            </w:pPr>
            <w:r w:rsidRPr="0049701B">
              <w:t>2,845.7</w:t>
            </w:r>
          </w:p>
        </w:tc>
        <w:tc>
          <w:tcPr>
            <w:tcW w:w="964" w:type="dxa"/>
            <w:shd w:val="clear" w:color="auto" w:fill="auto"/>
            <w:vAlign w:val="center"/>
            <w:hideMark/>
          </w:tcPr>
          <w:p w14:paraId="28BCBDBC" w14:textId="77777777" w:rsidR="00616641" w:rsidRPr="0049701B" w:rsidRDefault="00616641" w:rsidP="007E3239">
            <w:pPr>
              <w:pStyle w:val="TableText"/>
              <w:jc w:val="right"/>
            </w:pPr>
            <w:r w:rsidRPr="0049701B">
              <w:t>2,319.2</w:t>
            </w:r>
          </w:p>
        </w:tc>
        <w:tc>
          <w:tcPr>
            <w:tcW w:w="964" w:type="dxa"/>
            <w:shd w:val="clear" w:color="auto" w:fill="auto"/>
            <w:vAlign w:val="center"/>
            <w:hideMark/>
          </w:tcPr>
          <w:p w14:paraId="6BC79416" w14:textId="77777777" w:rsidR="00616641" w:rsidRPr="0049701B" w:rsidRDefault="00616641" w:rsidP="007E3239">
            <w:pPr>
              <w:pStyle w:val="TableText"/>
              <w:jc w:val="right"/>
            </w:pPr>
            <w:r w:rsidRPr="0049701B">
              <w:t>3,131.8</w:t>
            </w:r>
          </w:p>
        </w:tc>
        <w:tc>
          <w:tcPr>
            <w:tcW w:w="964" w:type="dxa"/>
            <w:shd w:val="clear" w:color="auto" w:fill="auto"/>
            <w:vAlign w:val="center"/>
            <w:hideMark/>
          </w:tcPr>
          <w:p w14:paraId="6288F212" w14:textId="77777777" w:rsidR="00616641" w:rsidRPr="0049701B" w:rsidRDefault="00616641" w:rsidP="007E3239">
            <w:pPr>
              <w:pStyle w:val="TableText"/>
              <w:jc w:val="right"/>
            </w:pPr>
            <w:r w:rsidRPr="0049701B">
              <w:t>1,320.5</w:t>
            </w:r>
          </w:p>
        </w:tc>
        <w:tc>
          <w:tcPr>
            <w:tcW w:w="1134" w:type="dxa"/>
            <w:shd w:val="clear" w:color="auto" w:fill="auto"/>
            <w:vAlign w:val="center"/>
            <w:hideMark/>
          </w:tcPr>
          <w:p w14:paraId="3ABB93E7" w14:textId="77777777" w:rsidR="00616641" w:rsidRPr="0049701B" w:rsidRDefault="00616641" w:rsidP="007E3239">
            <w:pPr>
              <w:pStyle w:val="TableText"/>
              <w:jc w:val="right"/>
            </w:pPr>
            <w:r w:rsidRPr="0049701B">
              <w:t>34,619.1</w:t>
            </w:r>
          </w:p>
        </w:tc>
      </w:tr>
      <w:tr w:rsidR="00616641" w:rsidRPr="0049701B" w14:paraId="4B8D556E" w14:textId="77777777" w:rsidTr="007E3239">
        <w:trPr>
          <w:trHeight w:val="300"/>
        </w:trPr>
        <w:tc>
          <w:tcPr>
            <w:tcW w:w="3971" w:type="dxa"/>
            <w:shd w:val="clear" w:color="auto" w:fill="auto"/>
            <w:vAlign w:val="center"/>
            <w:hideMark/>
          </w:tcPr>
          <w:p w14:paraId="492814F4" w14:textId="77777777" w:rsidR="00616641" w:rsidRPr="0049701B" w:rsidRDefault="00616641" w:rsidP="007E3239">
            <w:pPr>
              <w:pStyle w:val="TableText"/>
            </w:pPr>
            <w:r w:rsidRPr="0049701B">
              <w:t>Forest management</w:t>
            </w:r>
          </w:p>
        </w:tc>
        <w:tc>
          <w:tcPr>
            <w:tcW w:w="964" w:type="dxa"/>
            <w:shd w:val="clear" w:color="auto" w:fill="auto"/>
            <w:vAlign w:val="center"/>
            <w:hideMark/>
          </w:tcPr>
          <w:p w14:paraId="21B8C363" w14:textId="77777777" w:rsidR="00616641" w:rsidRPr="0049701B" w:rsidRDefault="00616641" w:rsidP="007E3239">
            <w:pPr>
              <w:pStyle w:val="TableText"/>
              <w:jc w:val="right"/>
            </w:pPr>
            <w:r w:rsidRPr="0049701B">
              <w:t>–24,180.7</w:t>
            </w:r>
          </w:p>
        </w:tc>
        <w:tc>
          <w:tcPr>
            <w:tcW w:w="964" w:type="dxa"/>
            <w:shd w:val="clear" w:color="auto" w:fill="auto"/>
            <w:vAlign w:val="center"/>
            <w:hideMark/>
          </w:tcPr>
          <w:p w14:paraId="482C7246" w14:textId="77777777" w:rsidR="00616641" w:rsidRPr="0049701B" w:rsidRDefault="00616641" w:rsidP="007E3239">
            <w:pPr>
              <w:pStyle w:val="TableText"/>
              <w:jc w:val="right"/>
            </w:pPr>
            <w:r w:rsidRPr="0049701B">
              <w:t>–21,978.2</w:t>
            </w:r>
          </w:p>
        </w:tc>
        <w:tc>
          <w:tcPr>
            <w:tcW w:w="964" w:type="dxa"/>
            <w:shd w:val="clear" w:color="auto" w:fill="auto"/>
            <w:vAlign w:val="center"/>
            <w:hideMark/>
          </w:tcPr>
          <w:p w14:paraId="6C28C1F1" w14:textId="77777777" w:rsidR="00616641" w:rsidRPr="0049701B" w:rsidRDefault="00616641" w:rsidP="007E3239">
            <w:pPr>
              <w:pStyle w:val="TableText"/>
              <w:jc w:val="right"/>
            </w:pPr>
            <w:r w:rsidRPr="0049701B">
              <w:t>–20,019.5</w:t>
            </w:r>
          </w:p>
        </w:tc>
        <w:tc>
          <w:tcPr>
            <w:tcW w:w="964" w:type="dxa"/>
            <w:shd w:val="clear" w:color="auto" w:fill="auto"/>
            <w:vAlign w:val="center"/>
            <w:hideMark/>
          </w:tcPr>
          <w:p w14:paraId="72A52492" w14:textId="77777777" w:rsidR="00616641" w:rsidRPr="0049701B" w:rsidRDefault="00616641" w:rsidP="007E3239">
            <w:pPr>
              <w:pStyle w:val="TableText"/>
              <w:jc w:val="right"/>
            </w:pPr>
            <w:r w:rsidRPr="0049701B">
              <w:t>–18,515.0</w:t>
            </w:r>
          </w:p>
        </w:tc>
        <w:tc>
          <w:tcPr>
            <w:tcW w:w="964" w:type="dxa"/>
            <w:shd w:val="clear" w:color="auto" w:fill="auto"/>
            <w:vAlign w:val="center"/>
            <w:hideMark/>
          </w:tcPr>
          <w:p w14:paraId="4478F624" w14:textId="77777777" w:rsidR="00616641" w:rsidRPr="0049701B" w:rsidRDefault="00616641" w:rsidP="007E3239">
            <w:pPr>
              <w:pStyle w:val="TableText"/>
              <w:jc w:val="right"/>
            </w:pPr>
            <w:r w:rsidRPr="0049701B">
              <w:t>–15,503.6</w:t>
            </w:r>
          </w:p>
        </w:tc>
        <w:tc>
          <w:tcPr>
            <w:tcW w:w="964" w:type="dxa"/>
            <w:shd w:val="clear" w:color="auto" w:fill="auto"/>
            <w:vAlign w:val="center"/>
            <w:hideMark/>
          </w:tcPr>
          <w:p w14:paraId="6F879BB7" w14:textId="77777777" w:rsidR="00616641" w:rsidRPr="0049701B" w:rsidRDefault="00616641" w:rsidP="007E3239">
            <w:pPr>
              <w:pStyle w:val="TableText"/>
              <w:jc w:val="right"/>
            </w:pPr>
            <w:r w:rsidRPr="0049701B">
              <w:t>–15,247.1</w:t>
            </w:r>
          </w:p>
        </w:tc>
        <w:tc>
          <w:tcPr>
            <w:tcW w:w="964" w:type="dxa"/>
            <w:shd w:val="clear" w:color="auto" w:fill="auto"/>
            <w:vAlign w:val="center"/>
            <w:hideMark/>
          </w:tcPr>
          <w:p w14:paraId="406DB71D" w14:textId="77777777" w:rsidR="00616641" w:rsidRPr="0049701B" w:rsidRDefault="00616641" w:rsidP="007E3239">
            <w:pPr>
              <w:pStyle w:val="TableText"/>
              <w:jc w:val="right"/>
            </w:pPr>
            <w:r w:rsidRPr="0049701B">
              <w:t>–15,220.7</w:t>
            </w:r>
          </w:p>
        </w:tc>
        <w:tc>
          <w:tcPr>
            <w:tcW w:w="964" w:type="dxa"/>
            <w:shd w:val="clear" w:color="auto" w:fill="auto"/>
            <w:vAlign w:val="center"/>
            <w:hideMark/>
          </w:tcPr>
          <w:p w14:paraId="4C16A249" w14:textId="77777777" w:rsidR="00616641" w:rsidRPr="0049701B" w:rsidRDefault="00616641" w:rsidP="007E3239">
            <w:pPr>
              <w:pStyle w:val="TableText"/>
              <w:jc w:val="right"/>
            </w:pPr>
            <w:r w:rsidRPr="0049701B">
              <w:t>–16,031.9</w:t>
            </w:r>
          </w:p>
        </w:tc>
        <w:tc>
          <w:tcPr>
            <w:tcW w:w="1134" w:type="dxa"/>
            <w:shd w:val="clear" w:color="auto" w:fill="auto"/>
            <w:vAlign w:val="center"/>
            <w:hideMark/>
          </w:tcPr>
          <w:p w14:paraId="1B5CA0B1" w14:textId="77777777" w:rsidR="00616641" w:rsidRPr="0049701B" w:rsidRDefault="00616641" w:rsidP="007E3239">
            <w:pPr>
              <w:pStyle w:val="TableText"/>
              <w:jc w:val="right"/>
            </w:pPr>
            <w:r w:rsidRPr="0049701B">
              <w:t>–146,696.7</w:t>
            </w:r>
          </w:p>
        </w:tc>
      </w:tr>
      <w:tr w:rsidR="00616641" w:rsidRPr="0049701B" w14:paraId="2D6A7F79" w14:textId="77777777" w:rsidTr="007E3239">
        <w:trPr>
          <w:trHeight w:val="300"/>
        </w:trPr>
        <w:tc>
          <w:tcPr>
            <w:tcW w:w="3971" w:type="dxa"/>
            <w:shd w:val="clear" w:color="auto" w:fill="auto"/>
            <w:vAlign w:val="center"/>
            <w:hideMark/>
          </w:tcPr>
          <w:p w14:paraId="08134078" w14:textId="77777777" w:rsidR="00616641" w:rsidRPr="0049701B" w:rsidRDefault="00616641" w:rsidP="007E3239">
            <w:pPr>
              <w:pStyle w:val="TableTextBold"/>
              <w:rPr>
                <w:noProof w:val="0"/>
              </w:rPr>
            </w:pPr>
            <w:r w:rsidRPr="0049701B">
              <w:rPr>
                <w:noProof w:val="0"/>
              </w:rPr>
              <w:t xml:space="preserve">Net emissions </w:t>
            </w:r>
          </w:p>
        </w:tc>
        <w:tc>
          <w:tcPr>
            <w:tcW w:w="964" w:type="dxa"/>
            <w:shd w:val="clear" w:color="auto" w:fill="auto"/>
            <w:vAlign w:val="center"/>
            <w:hideMark/>
          </w:tcPr>
          <w:p w14:paraId="659CF776" w14:textId="77777777" w:rsidR="00616641" w:rsidRPr="0049701B" w:rsidRDefault="00616641" w:rsidP="007E3239">
            <w:pPr>
              <w:pStyle w:val="TableTextBold"/>
              <w:jc w:val="right"/>
              <w:rPr>
                <w:noProof w:val="0"/>
              </w:rPr>
            </w:pPr>
            <w:r w:rsidRPr="0049701B">
              <w:rPr>
                <w:noProof w:val="0"/>
              </w:rPr>
              <w:t>–32,764.3</w:t>
            </w:r>
          </w:p>
        </w:tc>
        <w:tc>
          <w:tcPr>
            <w:tcW w:w="964" w:type="dxa"/>
            <w:shd w:val="clear" w:color="auto" w:fill="auto"/>
            <w:vAlign w:val="center"/>
            <w:hideMark/>
          </w:tcPr>
          <w:p w14:paraId="51CE48BA" w14:textId="77777777" w:rsidR="00616641" w:rsidRPr="0049701B" w:rsidRDefault="00616641" w:rsidP="007E3239">
            <w:pPr>
              <w:pStyle w:val="TableTextBold"/>
              <w:jc w:val="right"/>
              <w:rPr>
                <w:noProof w:val="0"/>
              </w:rPr>
            </w:pPr>
            <w:r w:rsidRPr="0049701B">
              <w:rPr>
                <w:noProof w:val="0"/>
              </w:rPr>
              <w:t>–33,234.2</w:t>
            </w:r>
          </w:p>
        </w:tc>
        <w:tc>
          <w:tcPr>
            <w:tcW w:w="964" w:type="dxa"/>
            <w:shd w:val="clear" w:color="auto" w:fill="auto"/>
            <w:vAlign w:val="center"/>
            <w:hideMark/>
          </w:tcPr>
          <w:p w14:paraId="71C8DFC2" w14:textId="77777777" w:rsidR="00616641" w:rsidRPr="0049701B" w:rsidRDefault="00616641" w:rsidP="007E3239">
            <w:pPr>
              <w:pStyle w:val="TableTextBold"/>
              <w:jc w:val="right"/>
              <w:rPr>
                <w:noProof w:val="0"/>
              </w:rPr>
            </w:pPr>
            <w:r w:rsidRPr="0049701B">
              <w:rPr>
                <w:noProof w:val="0"/>
              </w:rPr>
              <w:t>–33,108.3</w:t>
            </w:r>
          </w:p>
        </w:tc>
        <w:tc>
          <w:tcPr>
            <w:tcW w:w="964" w:type="dxa"/>
            <w:shd w:val="clear" w:color="auto" w:fill="auto"/>
            <w:vAlign w:val="center"/>
            <w:hideMark/>
          </w:tcPr>
          <w:p w14:paraId="423D0DA9" w14:textId="77777777" w:rsidR="00616641" w:rsidRPr="0049701B" w:rsidRDefault="00616641" w:rsidP="007E3239">
            <w:pPr>
              <w:pStyle w:val="TableTextBold"/>
              <w:jc w:val="right"/>
              <w:rPr>
                <w:noProof w:val="0"/>
              </w:rPr>
            </w:pPr>
            <w:r w:rsidRPr="0049701B">
              <w:rPr>
                <w:noProof w:val="0"/>
              </w:rPr>
              <w:t>–32,077.4</w:t>
            </w:r>
          </w:p>
        </w:tc>
        <w:tc>
          <w:tcPr>
            <w:tcW w:w="964" w:type="dxa"/>
            <w:shd w:val="clear" w:color="auto" w:fill="auto"/>
            <w:vAlign w:val="center"/>
            <w:hideMark/>
          </w:tcPr>
          <w:p w14:paraId="3B41F3B9" w14:textId="77777777" w:rsidR="00616641" w:rsidRPr="0049701B" w:rsidRDefault="00616641" w:rsidP="007E3239">
            <w:pPr>
              <w:pStyle w:val="TableTextBold"/>
              <w:jc w:val="right"/>
              <w:rPr>
                <w:noProof w:val="0"/>
              </w:rPr>
            </w:pPr>
            <w:r w:rsidRPr="0049701B">
              <w:rPr>
                <w:noProof w:val="0"/>
              </w:rPr>
              <w:t>–31,144.4</w:t>
            </w:r>
          </w:p>
        </w:tc>
        <w:tc>
          <w:tcPr>
            <w:tcW w:w="964" w:type="dxa"/>
            <w:shd w:val="clear" w:color="auto" w:fill="auto"/>
            <w:vAlign w:val="center"/>
            <w:hideMark/>
          </w:tcPr>
          <w:p w14:paraId="6C2FC630" w14:textId="77777777" w:rsidR="00616641" w:rsidRPr="0049701B" w:rsidRDefault="00616641" w:rsidP="007E3239">
            <w:pPr>
              <w:pStyle w:val="TableTextBold"/>
              <w:jc w:val="right"/>
              <w:rPr>
                <w:noProof w:val="0"/>
              </w:rPr>
            </w:pPr>
            <w:r w:rsidRPr="0049701B">
              <w:rPr>
                <w:noProof w:val="0"/>
              </w:rPr>
              <w:t>–30,669.0</w:t>
            </w:r>
          </w:p>
        </w:tc>
        <w:tc>
          <w:tcPr>
            <w:tcW w:w="964" w:type="dxa"/>
            <w:shd w:val="clear" w:color="auto" w:fill="auto"/>
            <w:vAlign w:val="center"/>
            <w:hideMark/>
          </w:tcPr>
          <w:p w14:paraId="7FD3124D" w14:textId="77777777" w:rsidR="00616641" w:rsidRPr="0049701B" w:rsidRDefault="00616641" w:rsidP="007E3239">
            <w:pPr>
              <w:pStyle w:val="TableTextBold"/>
              <w:jc w:val="right"/>
              <w:rPr>
                <w:noProof w:val="0"/>
              </w:rPr>
            </w:pPr>
            <w:r w:rsidRPr="0049701B">
              <w:rPr>
                <w:noProof w:val="0"/>
              </w:rPr>
              <w:t>–28,822.5</w:t>
            </w:r>
          </w:p>
        </w:tc>
        <w:tc>
          <w:tcPr>
            <w:tcW w:w="964" w:type="dxa"/>
            <w:shd w:val="clear" w:color="auto" w:fill="auto"/>
            <w:vAlign w:val="center"/>
            <w:hideMark/>
          </w:tcPr>
          <w:p w14:paraId="5F71FF58" w14:textId="77777777" w:rsidR="00616641" w:rsidRPr="0049701B" w:rsidRDefault="00616641" w:rsidP="007E3239">
            <w:pPr>
              <w:pStyle w:val="TableTextBold"/>
              <w:jc w:val="right"/>
              <w:rPr>
                <w:noProof w:val="0"/>
              </w:rPr>
            </w:pPr>
            <w:r w:rsidRPr="0049701B">
              <w:rPr>
                <w:noProof w:val="0"/>
              </w:rPr>
              <w:t>–29,476.1</w:t>
            </w:r>
          </w:p>
        </w:tc>
        <w:tc>
          <w:tcPr>
            <w:tcW w:w="1134" w:type="dxa"/>
            <w:shd w:val="clear" w:color="auto" w:fill="auto"/>
            <w:vAlign w:val="center"/>
            <w:hideMark/>
          </w:tcPr>
          <w:p w14:paraId="335DB80C" w14:textId="77777777" w:rsidR="00616641" w:rsidRPr="0049701B" w:rsidRDefault="00616641" w:rsidP="007E3239">
            <w:pPr>
              <w:pStyle w:val="TableTextBold"/>
              <w:jc w:val="right"/>
              <w:rPr>
                <w:noProof w:val="0"/>
              </w:rPr>
            </w:pPr>
            <w:r w:rsidRPr="0049701B">
              <w:rPr>
                <w:noProof w:val="0"/>
              </w:rPr>
              <w:t>–251,296.2</w:t>
            </w:r>
          </w:p>
        </w:tc>
      </w:tr>
      <w:tr w:rsidR="00616641" w:rsidRPr="0049701B" w14:paraId="49F74C8C" w14:textId="77777777" w:rsidTr="007E3239">
        <w:trPr>
          <w:trHeight w:val="300"/>
        </w:trPr>
        <w:tc>
          <w:tcPr>
            <w:tcW w:w="3971" w:type="dxa"/>
            <w:shd w:val="clear" w:color="auto" w:fill="auto"/>
            <w:vAlign w:val="center"/>
            <w:hideMark/>
          </w:tcPr>
          <w:p w14:paraId="69A91A00" w14:textId="77777777" w:rsidR="00616641" w:rsidRPr="0049701B" w:rsidRDefault="00616641" w:rsidP="007E3239">
            <w:pPr>
              <w:pStyle w:val="TableText"/>
            </w:pPr>
            <w:r w:rsidRPr="0049701B">
              <w:t>Excluded emissions from natural disturbances</w:t>
            </w:r>
          </w:p>
        </w:tc>
        <w:tc>
          <w:tcPr>
            <w:tcW w:w="964" w:type="dxa"/>
            <w:shd w:val="clear" w:color="auto" w:fill="auto"/>
            <w:vAlign w:val="center"/>
            <w:hideMark/>
          </w:tcPr>
          <w:p w14:paraId="17575210" w14:textId="77777777" w:rsidR="00616641" w:rsidRPr="0049701B" w:rsidRDefault="00616641" w:rsidP="007E3239">
            <w:pPr>
              <w:pStyle w:val="TableText"/>
              <w:jc w:val="right"/>
            </w:pPr>
          </w:p>
        </w:tc>
        <w:tc>
          <w:tcPr>
            <w:tcW w:w="964" w:type="dxa"/>
            <w:shd w:val="clear" w:color="auto" w:fill="auto"/>
            <w:vAlign w:val="center"/>
            <w:hideMark/>
          </w:tcPr>
          <w:p w14:paraId="0BF3DE0C" w14:textId="77777777" w:rsidR="00616641" w:rsidRPr="0049701B" w:rsidRDefault="00616641" w:rsidP="007E3239">
            <w:pPr>
              <w:pStyle w:val="TableText"/>
              <w:jc w:val="right"/>
            </w:pPr>
          </w:p>
        </w:tc>
        <w:tc>
          <w:tcPr>
            <w:tcW w:w="964" w:type="dxa"/>
            <w:shd w:val="clear" w:color="auto" w:fill="auto"/>
            <w:vAlign w:val="center"/>
            <w:hideMark/>
          </w:tcPr>
          <w:p w14:paraId="259A289C" w14:textId="77777777" w:rsidR="00616641" w:rsidRPr="0049701B" w:rsidRDefault="00616641" w:rsidP="007E3239">
            <w:pPr>
              <w:pStyle w:val="TableText"/>
              <w:jc w:val="right"/>
            </w:pPr>
          </w:p>
        </w:tc>
        <w:tc>
          <w:tcPr>
            <w:tcW w:w="964" w:type="dxa"/>
            <w:shd w:val="clear" w:color="auto" w:fill="auto"/>
            <w:vAlign w:val="center"/>
            <w:hideMark/>
          </w:tcPr>
          <w:p w14:paraId="2614AFA2" w14:textId="77777777" w:rsidR="00616641" w:rsidRPr="0049701B" w:rsidRDefault="00616641" w:rsidP="007E3239">
            <w:pPr>
              <w:pStyle w:val="TableText"/>
              <w:jc w:val="right"/>
            </w:pPr>
          </w:p>
        </w:tc>
        <w:tc>
          <w:tcPr>
            <w:tcW w:w="964" w:type="dxa"/>
            <w:shd w:val="clear" w:color="auto" w:fill="auto"/>
            <w:vAlign w:val="center"/>
            <w:hideMark/>
          </w:tcPr>
          <w:p w14:paraId="02A28DDB" w14:textId="77777777" w:rsidR="00616641" w:rsidRPr="0049701B" w:rsidRDefault="00616641" w:rsidP="007E3239">
            <w:pPr>
              <w:pStyle w:val="TableText"/>
              <w:jc w:val="right"/>
            </w:pPr>
          </w:p>
        </w:tc>
        <w:tc>
          <w:tcPr>
            <w:tcW w:w="964" w:type="dxa"/>
            <w:shd w:val="clear" w:color="auto" w:fill="auto"/>
            <w:vAlign w:val="center"/>
            <w:hideMark/>
          </w:tcPr>
          <w:p w14:paraId="3128C049" w14:textId="77777777" w:rsidR="00616641" w:rsidRPr="0049701B" w:rsidRDefault="00616641" w:rsidP="007E3239">
            <w:pPr>
              <w:pStyle w:val="TableText"/>
              <w:jc w:val="right"/>
            </w:pPr>
          </w:p>
        </w:tc>
        <w:tc>
          <w:tcPr>
            <w:tcW w:w="964" w:type="dxa"/>
            <w:shd w:val="clear" w:color="auto" w:fill="auto"/>
            <w:vAlign w:val="center"/>
            <w:hideMark/>
          </w:tcPr>
          <w:p w14:paraId="03656D11" w14:textId="77777777" w:rsidR="00616641" w:rsidRPr="0049701B" w:rsidRDefault="00616641" w:rsidP="007E3239">
            <w:pPr>
              <w:pStyle w:val="TableText"/>
              <w:jc w:val="right"/>
            </w:pPr>
          </w:p>
        </w:tc>
        <w:tc>
          <w:tcPr>
            <w:tcW w:w="964" w:type="dxa"/>
            <w:shd w:val="clear" w:color="auto" w:fill="auto"/>
            <w:vAlign w:val="center"/>
            <w:hideMark/>
          </w:tcPr>
          <w:p w14:paraId="6515E6A9" w14:textId="77777777" w:rsidR="00616641" w:rsidRPr="0049701B" w:rsidRDefault="00616641" w:rsidP="007E3239">
            <w:pPr>
              <w:pStyle w:val="TableText"/>
              <w:jc w:val="right"/>
            </w:pPr>
          </w:p>
        </w:tc>
        <w:tc>
          <w:tcPr>
            <w:tcW w:w="1134" w:type="dxa"/>
            <w:shd w:val="clear" w:color="auto" w:fill="auto"/>
            <w:vAlign w:val="center"/>
            <w:hideMark/>
          </w:tcPr>
          <w:p w14:paraId="143ED829" w14:textId="77777777" w:rsidR="00616641" w:rsidRPr="0049701B" w:rsidRDefault="00616641" w:rsidP="007E3239">
            <w:pPr>
              <w:pStyle w:val="TableText"/>
              <w:jc w:val="right"/>
            </w:pPr>
          </w:p>
        </w:tc>
      </w:tr>
      <w:tr w:rsidR="00616641" w:rsidRPr="0049701B" w14:paraId="52149AE6" w14:textId="77777777" w:rsidTr="007E3239">
        <w:trPr>
          <w:trHeight w:val="300"/>
        </w:trPr>
        <w:tc>
          <w:tcPr>
            <w:tcW w:w="3971" w:type="dxa"/>
            <w:shd w:val="clear" w:color="auto" w:fill="auto"/>
            <w:vAlign w:val="center"/>
            <w:hideMark/>
          </w:tcPr>
          <w:p w14:paraId="2F4084C8" w14:textId="77777777" w:rsidR="00616641" w:rsidRPr="0049701B" w:rsidRDefault="00616641" w:rsidP="007E3239">
            <w:pPr>
              <w:pStyle w:val="TableText"/>
            </w:pPr>
            <w:r w:rsidRPr="0049701B">
              <w:t>Technically corrected forest management reference level (FMRL</w:t>
            </w:r>
            <w:r w:rsidRPr="0049701B">
              <w:rPr>
                <w:i/>
                <w:iCs/>
                <w:vertAlign w:val="subscript"/>
              </w:rPr>
              <w:t>corr</w:t>
            </w:r>
            <w:r w:rsidRPr="0049701B">
              <w:t xml:space="preserve">) </w:t>
            </w:r>
          </w:p>
        </w:tc>
        <w:tc>
          <w:tcPr>
            <w:tcW w:w="964" w:type="dxa"/>
            <w:shd w:val="clear" w:color="auto" w:fill="auto"/>
            <w:vAlign w:val="center"/>
            <w:hideMark/>
          </w:tcPr>
          <w:p w14:paraId="5932B20A" w14:textId="77777777" w:rsidR="00616641" w:rsidRPr="0049701B" w:rsidRDefault="00616641" w:rsidP="007E3239">
            <w:pPr>
              <w:pStyle w:val="TableText"/>
              <w:jc w:val="right"/>
            </w:pPr>
          </w:p>
        </w:tc>
        <w:tc>
          <w:tcPr>
            <w:tcW w:w="964" w:type="dxa"/>
            <w:shd w:val="clear" w:color="auto" w:fill="auto"/>
            <w:vAlign w:val="center"/>
            <w:hideMark/>
          </w:tcPr>
          <w:p w14:paraId="08E50B1E" w14:textId="77777777" w:rsidR="00616641" w:rsidRPr="0049701B" w:rsidRDefault="00616641" w:rsidP="007E3239">
            <w:pPr>
              <w:pStyle w:val="TableText"/>
              <w:jc w:val="right"/>
            </w:pPr>
          </w:p>
        </w:tc>
        <w:tc>
          <w:tcPr>
            <w:tcW w:w="964" w:type="dxa"/>
            <w:shd w:val="clear" w:color="auto" w:fill="auto"/>
            <w:vAlign w:val="center"/>
            <w:hideMark/>
          </w:tcPr>
          <w:p w14:paraId="55E83D70" w14:textId="77777777" w:rsidR="00616641" w:rsidRPr="0049701B" w:rsidRDefault="00616641" w:rsidP="007E3239">
            <w:pPr>
              <w:pStyle w:val="TableText"/>
              <w:jc w:val="right"/>
            </w:pPr>
          </w:p>
        </w:tc>
        <w:tc>
          <w:tcPr>
            <w:tcW w:w="964" w:type="dxa"/>
            <w:shd w:val="clear" w:color="auto" w:fill="auto"/>
            <w:vAlign w:val="center"/>
            <w:hideMark/>
          </w:tcPr>
          <w:p w14:paraId="4989CCBA" w14:textId="77777777" w:rsidR="00616641" w:rsidRPr="0049701B" w:rsidRDefault="00616641" w:rsidP="007E3239">
            <w:pPr>
              <w:pStyle w:val="TableText"/>
              <w:jc w:val="right"/>
            </w:pPr>
          </w:p>
        </w:tc>
        <w:tc>
          <w:tcPr>
            <w:tcW w:w="964" w:type="dxa"/>
            <w:shd w:val="clear" w:color="auto" w:fill="auto"/>
            <w:vAlign w:val="center"/>
            <w:hideMark/>
          </w:tcPr>
          <w:p w14:paraId="467FC9A5" w14:textId="77777777" w:rsidR="00616641" w:rsidRPr="0049701B" w:rsidRDefault="00616641" w:rsidP="007E3239">
            <w:pPr>
              <w:pStyle w:val="TableText"/>
              <w:jc w:val="right"/>
            </w:pPr>
          </w:p>
        </w:tc>
        <w:tc>
          <w:tcPr>
            <w:tcW w:w="964" w:type="dxa"/>
            <w:shd w:val="clear" w:color="auto" w:fill="auto"/>
            <w:vAlign w:val="center"/>
            <w:hideMark/>
          </w:tcPr>
          <w:p w14:paraId="2F67A31F" w14:textId="77777777" w:rsidR="00616641" w:rsidRPr="0049701B" w:rsidRDefault="00616641" w:rsidP="007E3239">
            <w:pPr>
              <w:pStyle w:val="TableText"/>
              <w:jc w:val="right"/>
            </w:pPr>
          </w:p>
        </w:tc>
        <w:tc>
          <w:tcPr>
            <w:tcW w:w="964" w:type="dxa"/>
            <w:shd w:val="clear" w:color="auto" w:fill="auto"/>
            <w:vAlign w:val="center"/>
            <w:hideMark/>
          </w:tcPr>
          <w:p w14:paraId="35E9B07B" w14:textId="77777777" w:rsidR="00616641" w:rsidRPr="0049701B" w:rsidRDefault="00616641" w:rsidP="007E3239">
            <w:pPr>
              <w:pStyle w:val="TableText"/>
              <w:jc w:val="right"/>
            </w:pPr>
          </w:p>
        </w:tc>
        <w:tc>
          <w:tcPr>
            <w:tcW w:w="964" w:type="dxa"/>
            <w:shd w:val="clear" w:color="auto" w:fill="auto"/>
            <w:vAlign w:val="center"/>
            <w:hideMark/>
          </w:tcPr>
          <w:p w14:paraId="61243ED1" w14:textId="77777777" w:rsidR="00616641" w:rsidRPr="0049701B" w:rsidRDefault="00616641" w:rsidP="007E3239">
            <w:pPr>
              <w:pStyle w:val="TableText"/>
              <w:jc w:val="right"/>
            </w:pPr>
          </w:p>
        </w:tc>
        <w:tc>
          <w:tcPr>
            <w:tcW w:w="1134" w:type="dxa"/>
            <w:shd w:val="clear" w:color="auto" w:fill="auto"/>
            <w:vAlign w:val="center"/>
            <w:hideMark/>
          </w:tcPr>
          <w:p w14:paraId="468AB37D" w14:textId="77777777" w:rsidR="00616641" w:rsidRPr="0049701B" w:rsidRDefault="00616641" w:rsidP="007E3239">
            <w:pPr>
              <w:pStyle w:val="TableText"/>
              <w:jc w:val="right"/>
            </w:pPr>
            <w:r w:rsidRPr="0049701B">
              <w:t>–14,339.3</w:t>
            </w:r>
          </w:p>
        </w:tc>
      </w:tr>
      <w:tr w:rsidR="00616641" w:rsidRPr="0049701B" w14:paraId="52DF26E4" w14:textId="77777777" w:rsidTr="007E3239">
        <w:trPr>
          <w:trHeight w:val="300"/>
        </w:trPr>
        <w:tc>
          <w:tcPr>
            <w:tcW w:w="3971" w:type="dxa"/>
            <w:shd w:val="clear" w:color="auto" w:fill="auto"/>
            <w:vAlign w:val="center"/>
            <w:hideMark/>
          </w:tcPr>
          <w:p w14:paraId="7B87573F" w14:textId="77777777" w:rsidR="00616641" w:rsidRPr="0049701B" w:rsidRDefault="00616641" w:rsidP="007E3239">
            <w:pPr>
              <w:pStyle w:val="TableText"/>
            </w:pPr>
            <w:r w:rsidRPr="0049701B">
              <w:t>Forest management cap for period to 2020</w:t>
            </w:r>
          </w:p>
        </w:tc>
        <w:tc>
          <w:tcPr>
            <w:tcW w:w="964" w:type="dxa"/>
            <w:shd w:val="clear" w:color="auto" w:fill="auto"/>
            <w:vAlign w:val="center"/>
            <w:hideMark/>
          </w:tcPr>
          <w:p w14:paraId="122B0918" w14:textId="77777777" w:rsidR="00616641" w:rsidRPr="0049701B" w:rsidRDefault="00616641" w:rsidP="007E3239">
            <w:pPr>
              <w:pStyle w:val="TableText"/>
              <w:jc w:val="right"/>
            </w:pPr>
          </w:p>
        </w:tc>
        <w:tc>
          <w:tcPr>
            <w:tcW w:w="964" w:type="dxa"/>
            <w:shd w:val="clear" w:color="auto" w:fill="auto"/>
            <w:vAlign w:val="center"/>
            <w:hideMark/>
          </w:tcPr>
          <w:p w14:paraId="1808A547" w14:textId="77777777" w:rsidR="00616641" w:rsidRPr="0049701B" w:rsidRDefault="00616641" w:rsidP="007E3239">
            <w:pPr>
              <w:pStyle w:val="TableText"/>
              <w:jc w:val="right"/>
            </w:pPr>
          </w:p>
        </w:tc>
        <w:tc>
          <w:tcPr>
            <w:tcW w:w="964" w:type="dxa"/>
            <w:shd w:val="clear" w:color="auto" w:fill="auto"/>
            <w:vAlign w:val="center"/>
            <w:hideMark/>
          </w:tcPr>
          <w:p w14:paraId="1EB95A2E" w14:textId="77777777" w:rsidR="00616641" w:rsidRPr="0049701B" w:rsidRDefault="00616641" w:rsidP="007E3239">
            <w:pPr>
              <w:pStyle w:val="TableText"/>
              <w:jc w:val="right"/>
            </w:pPr>
          </w:p>
        </w:tc>
        <w:tc>
          <w:tcPr>
            <w:tcW w:w="964" w:type="dxa"/>
            <w:shd w:val="clear" w:color="auto" w:fill="auto"/>
            <w:vAlign w:val="center"/>
            <w:hideMark/>
          </w:tcPr>
          <w:p w14:paraId="47C551D4" w14:textId="77777777" w:rsidR="00616641" w:rsidRPr="0049701B" w:rsidRDefault="00616641" w:rsidP="007E3239">
            <w:pPr>
              <w:pStyle w:val="TableText"/>
              <w:jc w:val="right"/>
            </w:pPr>
          </w:p>
        </w:tc>
        <w:tc>
          <w:tcPr>
            <w:tcW w:w="964" w:type="dxa"/>
            <w:shd w:val="clear" w:color="auto" w:fill="auto"/>
            <w:vAlign w:val="center"/>
            <w:hideMark/>
          </w:tcPr>
          <w:p w14:paraId="77E117EA" w14:textId="77777777" w:rsidR="00616641" w:rsidRPr="0049701B" w:rsidRDefault="00616641" w:rsidP="007E3239">
            <w:pPr>
              <w:pStyle w:val="TableText"/>
              <w:jc w:val="right"/>
            </w:pPr>
          </w:p>
        </w:tc>
        <w:tc>
          <w:tcPr>
            <w:tcW w:w="964" w:type="dxa"/>
            <w:shd w:val="clear" w:color="auto" w:fill="auto"/>
            <w:vAlign w:val="center"/>
            <w:hideMark/>
          </w:tcPr>
          <w:p w14:paraId="115F6D6A" w14:textId="77777777" w:rsidR="00616641" w:rsidRPr="0049701B" w:rsidRDefault="00616641" w:rsidP="007E3239">
            <w:pPr>
              <w:pStyle w:val="TableText"/>
              <w:jc w:val="right"/>
            </w:pPr>
          </w:p>
        </w:tc>
        <w:tc>
          <w:tcPr>
            <w:tcW w:w="964" w:type="dxa"/>
            <w:shd w:val="clear" w:color="auto" w:fill="auto"/>
            <w:vAlign w:val="center"/>
            <w:hideMark/>
          </w:tcPr>
          <w:p w14:paraId="14F5234C" w14:textId="77777777" w:rsidR="00616641" w:rsidRPr="0049701B" w:rsidRDefault="00616641" w:rsidP="007E3239">
            <w:pPr>
              <w:pStyle w:val="TableText"/>
              <w:jc w:val="right"/>
            </w:pPr>
          </w:p>
        </w:tc>
        <w:tc>
          <w:tcPr>
            <w:tcW w:w="964" w:type="dxa"/>
            <w:shd w:val="clear" w:color="auto" w:fill="auto"/>
            <w:vAlign w:val="center"/>
            <w:hideMark/>
          </w:tcPr>
          <w:p w14:paraId="1B57DF65" w14:textId="77777777" w:rsidR="00616641" w:rsidRPr="0049701B" w:rsidRDefault="00616641" w:rsidP="007E3239">
            <w:pPr>
              <w:pStyle w:val="TableText"/>
              <w:jc w:val="right"/>
            </w:pPr>
          </w:p>
        </w:tc>
        <w:tc>
          <w:tcPr>
            <w:tcW w:w="1134" w:type="dxa"/>
            <w:shd w:val="clear" w:color="auto" w:fill="auto"/>
            <w:vAlign w:val="center"/>
            <w:hideMark/>
          </w:tcPr>
          <w:p w14:paraId="1521F5CB" w14:textId="77777777" w:rsidR="00616641" w:rsidRPr="0049701B" w:rsidRDefault="00616641" w:rsidP="007E3239">
            <w:pPr>
              <w:pStyle w:val="TableText"/>
              <w:jc w:val="right"/>
            </w:pPr>
            <w:r w:rsidRPr="0049701B">
              <w:t>–18,681.6</w:t>
            </w:r>
          </w:p>
        </w:tc>
      </w:tr>
      <w:tr w:rsidR="00616641" w:rsidRPr="0049701B" w14:paraId="731BA3D5" w14:textId="77777777" w:rsidTr="007E3239">
        <w:trPr>
          <w:trHeight w:val="300"/>
        </w:trPr>
        <w:tc>
          <w:tcPr>
            <w:tcW w:w="3971" w:type="dxa"/>
            <w:shd w:val="clear" w:color="auto" w:fill="auto"/>
            <w:vAlign w:val="center"/>
            <w:hideMark/>
          </w:tcPr>
          <w:p w14:paraId="55E3D0DE" w14:textId="77777777" w:rsidR="00616641" w:rsidRPr="0049701B" w:rsidRDefault="00616641" w:rsidP="007E3239">
            <w:pPr>
              <w:pStyle w:val="TableTextBold"/>
              <w:rPr>
                <w:noProof w:val="0"/>
              </w:rPr>
            </w:pPr>
            <w:r w:rsidRPr="0049701B">
              <w:rPr>
                <w:noProof w:val="0"/>
              </w:rPr>
              <w:t>Accounting quantity excluding Forest management</w:t>
            </w:r>
          </w:p>
        </w:tc>
        <w:tc>
          <w:tcPr>
            <w:tcW w:w="964" w:type="dxa"/>
            <w:shd w:val="clear" w:color="auto" w:fill="auto"/>
            <w:vAlign w:val="center"/>
            <w:hideMark/>
          </w:tcPr>
          <w:p w14:paraId="1FD0BEE6"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263846C3"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57FF6C13"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7CE1E872"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019F4B90"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57228763"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62B0C405"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325CDE11" w14:textId="77777777" w:rsidR="00616641" w:rsidRPr="0049701B" w:rsidRDefault="00616641" w:rsidP="007E3239">
            <w:pPr>
              <w:pStyle w:val="TableTextBold"/>
              <w:jc w:val="right"/>
              <w:rPr>
                <w:noProof w:val="0"/>
              </w:rPr>
            </w:pPr>
          </w:p>
        </w:tc>
        <w:tc>
          <w:tcPr>
            <w:tcW w:w="1134" w:type="dxa"/>
            <w:shd w:val="clear" w:color="auto" w:fill="auto"/>
            <w:vAlign w:val="center"/>
            <w:hideMark/>
          </w:tcPr>
          <w:p w14:paraId="2FBFFB62" w14:textId="77777777" w:rsidR="00616641" w:rsidRPr="0049701B" w:rsidRDefault="00616641" w:rsidP="007E3239">
            <w:pPr>
              <w:pStyle w:val="TableTextBold"/>
              <w:jc w:val="right"/>
              <w:rPr>
                <w:noProof w:val="0"/>
              </w:rPr>
            </w:pPr>
            <w:r w:rsidRPr="0049701B">
              <w:rPr>
                <w:noProof w:val="0"/>
              </w:rPr>
              <w:t>–104,599.5</w:t>
            </w:r>
          </w:p>
        </w:tc>
      </w:tr>
      <w:tr w:rsidR="00616641" w:rsidRPr="0049701B" w14:paraId="1C1080E9" w14:textId="77777777" w:rsidTr="007E3239">
        <w:trPr>
          <w:trHeight w:val="300"/>
        </w:trPr>
        <w:tc>
          <w:tcPr>
            <w:tcW w:w="3971" w:type="dxa"/>
            <w:shd w:val="clear" w:color="auto" w:fill="auto"/>
            <w:vAlign w:val="center"/>
            <w:hideMark/>
          </w:tcPr>
          <w:p w14:paraId="06691C4B" w14:textId="77777777" w:rsidR="00616641" w:rsidRPr="0049701B" w:rsidRDefault="00616641" w:rsidP="007E3239">
            <w:pPr>
              <w:pStyle w:val="TableTextBold"/>
              <w:rPr>
                <w:noProof w:val="0"/>
              </w:rPr>
            </w:pPr>
            <w:r w:rsidRPr="0049701B">
              <w:rPr>
                <w:noProof w:val="0"/>
              </w:rPr>
              <w:t>Accounting quantity including Forest manag</w:t>
            </w:r>
            <w:r>
              <w:rPr>
                <w:noProof w:val="0"/>
              </w:rPr>
              <w:t>e</w:t>
            </w:r>
            <w:r w:rsidRPr="0049701B">
              <w:rPr>
                <w:noProof w:val="0"/>
              </w:rPr>
              <w:t xml:space="preserve">ment </w:t>
            </w:r>
          </w:p>
        </w:tc>
        <w:tc>
          <w:tcPr>
            <w:tcW w:w="964" w:type="dxa"/>
            <w:shd w:val="clear" w:color="auto" w:fill="auto"/>
            <w:vAlign w:val="center"/>
            <w:hideMark/>
          </w:tcPr>
          <w:p w14:paraId="096F0ABE"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03FBD5EC"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6F4A695E"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14B9228D"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1D6F482D"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5130AEBA"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53AC013E" w14:textId="77777777" w:rsidR="00616641" w:rsidRPr="0049701B" w:rsidRDefault="00616641" w:rsidP="007E3239">
            <w:pPr>
              <w:pStyle w:val="TableTextBold"/>
              <w:jc w:val="right"/>
              <w:rPr>
                <w:noProof w:val="0"/>
              </w:rPr>
            </w:pPr>
          </w:p>
        </w:tc>
        <w:tc>
          <w:tcPr>
            <w:tcW w:w="964" w:type="dxa"/>
            <w:shd w:val="clear" w:color="auto" w:fill="auto"/>
            <w:vAlign w:val="center"/>
            <w:hideMark/>
          </w:tcPr>
          <w:p w14:paraId="08B8820A" w14:textId="77777777" w:rsidR="00616641" w:rsidRPr="0049701B" w:rsidRDefault="00616641" w:rsidP="007E3239">
            <w:pPr>
              <w:pStyle w:val="TableTextBold"/>
              <w:jc w:val="right"/>
              <w:rPr>
                <w:noProof w:val="0"/>
              </w:rPr>
            </w:pPr>
          </w:p>
        </w:tc>
        <w:tc>
          <w:tcPr>
            <w:tcW w:w="1134" w:type="dxa"/>
            <w:shd w:val="clear" w:color="auto" w:fill="auto"/>
            <w:vAlign w:val="center"/>
          </w:tcPr>
          <w:p w14:paraId="29617D4B" w14:textId="77777777" w:rsidR="00616641" w:rsidRPr="0049701B" w:rsidRDefault="00616641" w:rsidP="007E3239">
            <w:pPr>
              <w:pStyle w:val="TableTextBold"/>
              <w:jc w:val="right"/>
              <w:rPr>
                <w:noProof w:val="0"/>
              </w:rPr>
            </w:pPr>
            <w:r w:rsidRPr="0049701B">
              <w:rPr>
                <w:noProof w:val="0"/>
              </w:rPr>
              <w:t>–123,281.1</w:t>
            </w:r>
          </w:p>
        </w:tc>
      </w:tr>
      <w:tr w:rsidR="00616641" w:rsidRPr="0049701B" w14:paraId="102ED706" w14:textId="77777777" w:rsidTr="007E3239">
        <w:trPr>
          <w:trHeight w:val="300"/>
        </w:trPr>
        <w:tc>
          <w:tcPr>
            <w:tcW w:w="3971" w:type="dxa"/>
            <w:shd w:val="clear" w:color="auto" w:fill="auto"/>
            <w:vAlign w:val="center"/>
            <w:hideMark/>
          </w:tcPr>
          <w:p w14:paraId="402E3C3E" w14:textId="77777777" w:rsidR="00616641" w:rsidRPr="0049701B" w:rsidRDefault="00616641" w:rsidP="007E3239">
            <w:pPr>
              <w:pStyle w:val="TableText"/>
            </w:pPr>
            <w:r w:rsidRPr="0049701B">
              <w:t>Annual Forest management emissions against FMRL</w:t>
            </w:r>
          </w:p>
        </w:tc>
        <w:tc>
          <w:tcPr>
            <w:tcW w:w="964" w:type="dxa"/>
            <w:shd w:val="clear" w:color="auto" w:fill="auto"/>
            <w:vAlign w:val="center"/>
            <w:hideMark/>
          </w:tcPr>
          <w:p w14:paraId="48C9E8F2" w14:textId="77777777" w:rsidR="00616641" w:rsidRPr="0049701B" w:rsidRDefault="00616641" w:rsidP="007E3239">
            <w:pPr>
              <w:pStyle w:val="TableText"/>
              <w:jc w:val="right"/>
            </w:pPr>
            <w:r w:rsidRPr="0049701B">
              <w:t>–9,841.4</w:t>
            </w:r>
          </w:p>
        </w:tc>
        <w:tc>
          <w:tcPr>
            <w:tcW w:w="964" w:type="dxa"/>
            <w:shd w:val="clear" w:color="auto" w:fill="auto"/>
            <w:vAlign w:val="center"/>
            <w:hideMark/>
          </w:tcPr>
          <w:p w14:paraId="04FA5E44" w14:textId="77777777" w:rsidR="00616641" w:rsidRPr="0049701B" w:rsidRDefault="00616641" w:rsidP="007E3239">
            <w:pPr>
              <w:pStyle w:val="TableText"/>
              <w:jc w:val="right"/>
            </w:pPr>
            <w:r w:rsidRPr="0049701B">
              <w:t>–7,638.9</w:t>
            </w:r>
          </w:p>
        </w:tc>
        <w:tc>
          <w:tcPr>
            <w:tcW w:w="964" w:type="dxa"/>
            <w:shd w:val="clear" w:color="auto" w:fill="auto"/>
            <w:vAlign w:val="center"/>
            <w:hideMark/>
          </w:tcPr>
          <w:p w14:paraId="13FEFBB9" w14:textId="77777777" w:rsidR="00616641" w:rsidRPr="0049701B" w:rsidRDefault="00616641" w:rsidP="007E3239">
            <w:pPr>
              <w:pStyle w:val="TableText"/>
              <w:jc w:val="right"/>
            </w:pPr>
            <w:r w:rsidRPr="0049701B">
              <w:t>–5,680.2</w:t>
            </w:r>
          </w:p>
        </w:tc>
        <w:tc>
          <w:tcPr>
            <w:tcW w:w="964" w:type="dxa"/>
            <w:shd w:val="clear" w:color="auto" w:fill="auto"/>
            <w:vAlign w:val="center"/>
            <w:hideMark/>
          </w:tcPr>
          <w:p w14:paraId="380B9158" w14:textId="77777777" w:rsidR="00616641" w:rsidRPr="0049701B" w:rsidRDefault="00616641" w:rsidP="007E3239">
            <w:pPr>
              <w:pStyle w:val="TableText"/>
              <w:jc w:val="right"/>
            </w:pPr>
            <w:r w:rsidRPr="0049701B">
              <w:t>–4,175.7</w:t>
            </w:r>
          </w:p>
        </w:tc>
        <w:tc>
          <w:tcPr>
            <w:tcW w:w="964" w:type="dxa"/>
            <w:shd w:val="clear" w:color="auto" w:fill="auto"/>
            <w:vAlign w:val="center"/>
            <w:hideMark/>
          </w:tcPr>
          <w:p w14:paraId="2ED3AC18" w14:textId="77777777" w:rsidR="00616641" w:rsidRPr="0049701B" w:rsidRDefault="00616641" w:rsidP="007E3239">
            <w:pPr>
              <w:pStyle w:val="TableText"/>
              <w:jc w:val="right"/>
            </w:pPr>
            <w:r w:rsidRPr="0049701B">
              <w:t>–1,164.3</w:t>
            </w:r>
          </w:p>
        </w:tc>
        <w:tc>
          <w:tcPr>
            <w:tcW w:w="964" w:type="dxa"/>
            <w:shd w:val="clear" w:color="auto" w:fill="auto"/>
            <w:vAlign w:val="center"/>
            <w:hideMark/>
          </w:tcPr>
          <w:p w14:paraId="097DE75E" w14:textId="77777777" w:rsidR="00616641" w:rsidRPr="0049701B" w:rsidRDefault="00616641" w:rsidP="007E3239">
            <w:pPr>
              <w:pStyle w:val="TableText"/>
              <w:jc w:val="right"/>
            </w:pPr>
            <w:r w:rsidRPr="0049701B">
              <w:t>–907.7</w:t>
            </w:r>
          </w:p>
        </w:tc>
        <w:tc>
          <w:tcPr>
            <w:tcW w:w="964" w:type="dxa"/>
            <w:shd w:val="clear" w:color="auto" w:fill="auto"/>
            <w:vAlign w:val="center"/>
            <w:hideMark/>
          </w:tcPr>
          <w:p w14:paraId="3E21C209" w14:textId="77777777" w:rsidR="00616641" w:rsidRPr="0049701B" w:rsidRDefault="00616641" w:rsidP="007E3239">
            <w:pPr>
              <w:pStyle w:val="TableText"/>
              <w:jc w:val="right"/>
            </w:pPr>
            <w:r w:rsidRPr="0049701B">
              <w:t>–881.4</w:t>
            </w:r>
          </w:p>
        </w:tc>
        <w:tc>
          <w:tcPr>
            <w:tcW w:w="964" w:type="dxa"/>
            <w:shd w:val="clear" w:color="auto" w:fill="auto"/>
            <w:vAlign w:val="center"/>
            <w:hideMark/>
          </w:tcPr>
          <w:p w14:paraId="301DB8A6" w14:textId="77777777" w:rsidR="00616641" w:rsidRPr="0049701B" w:rsidRDefault="00616641" w:rsidP="007E3239">
            <w:pPr>
              <w:pStyle w:val="TableText"/>
              <w:jc w:val="right"/>
            </w:pPr>
            <w:r w:rsidRPr="0049701B">
              <w:t>–1,692.6</w:t>
            </w:r>
          </w:p>
        </w:tc>
        <w:tc>
          <w:tcPr>
            <w:tcW w:w="1134" w:type="dxa"/>
            <w:shd w:val="clear" w:color="auto" w:fill="auto"/>
            <w:vAlign w:val="center"/>
            <w:hideMark/>
          </w:tcPr>
          <w:p w14:paraId="7F4188ED" w14:textId="77777777" w:rsidR="00616641" w:rsidRPr="0049701B" w:rsidRDefault="00616641" w:rsidP="007E3239">
            <w:pPr>
              <w:pStyle w:val="TableText"/>
              <w:jc w:val="right"/>
            </w:pPr>
          </w:p>
        </w:tc>
      </w:tr>
      <w:tr w:rsidR="00616641" w:rsidRPr="0049701B" w14:paraId="26DB504A" w14:textId="77777777" w:rsidTr="007E3239">
        <w:trPr>
          <w:trHeight w:val="300"/>
        </w:trPr>
        <w:tc>
          <w:tcPr>
            <w:tcW w:w="3971" w:type="dxa"/>
            <w:shd w:val="clear" w:color="auto" w:fill="auto"/>
            <w:vAlign w:val="center"/>
            <w:hideMark/>
          </w:tcPr>
          <w:p w14:paraId="6FFBBC72" w14:textId="77777777" w:rsidR="00616641" w:rsidRPr="0049701B" w:rsidRDefault="00616641" w:rsidP="007E3239">
            <w:pPr>
              <w:pStyle w:val="TableText"/>
            </w:pPr>
            <w:r w:rsidRPr="0049701B">
              <w:t xml:space="preserve">Cumulative Forest management emissions against FMRL </w:t>
            </w:r>
          </w:p>
        </w:tc>
        <w:tc>
          <w:tcPr>
            <w:tcW w:w="964" w:type="dxa"/>
            <w:shd w:val="clear" w:color="auto" w:fill="auto"/>
            <w:vAlign w:val="center"/>
            <w:hideMark/>
          </w:tcPr>
          <w:p w14:paraId="27795541" w14:textId="77777777" w:rsidR="00616641" w:rsidRPr="0049701B" w:rsidRDefault="00616641" w:rsidP="007E3239">
            <w:pPr>
              <w:pStyle w:val="TableText"/>
              <w:jc w:val="right"/>
            </w:pPr>
            <w:r w:rsidRPr="0049701B">
              <w:t>–9,841.4</w:t>
            </w:r>
          </w:p>
        </w:tc>
        <w:tc>
          <w:tcPr>
            <w:tcW w:w="964" w:type="dxa"/>
            <w:shd w:val="clear" w:color="auto" w:fill="auto"/>
            <w:vAlign w:val="center"/>
            <w:hideMark/>
          </w:tcPr>
          <w:p w14:paraId="74C8718E" w14:textId="77777777" w:rsidR="00616641" w:rsidRPr="0049701B" w:rsidRDefault="00616641" w:rsidP="007E3239">
            <w:pPr>
              <w:pStyle w:val="TableText"/>
              <w:jc w:val="right"/>
            </w:pPr>
            <w:r w:rsidRPr="0049701B">
              <w:t>–17,480.3</w:t>
            </w:r>
          </w:p>
        </w:tc>
        <w:tc>
          <w:tcPr>
            <w:tcW w:w="964" w:type="dxa"/>
            <w:shd w:val="clear" w:color="auto" w:fill="auto"/>
            <w:vAlign w:val="center"/>
            <w:hideMark/>
          </w:tcPr>
          <w:p w14:paraId="48B957B6" w14:textId="77777777" w:rsidR="00616641" w:rsidRPr="0049701B" w:rsidRDefault="00616641" w:rsidP="007E3239">
            <w:pPr>
              <w:pStyle w:val="TableText"/>
              <w:jc w:val="right"/>
            </w:pPr>
            <w:r w:rsidRPr="0049701B">
              <w:t>–23,160.5</w:t>
            </w:r>
          </w:p>
        </w:tc>
        <w:tc>
          <w:tcPr>
            <w:tcW w:w="964" w:type="dxa"/>
            <w:shd w:val="clear" w:color="auto" w:fill="auto"/>
            <w:vAlign w:val="center"/>
            <w:hideMark/>
          </w:tcPr>
          <w:p w14:paraId="0966B62A" w14:textId="77777777" w:rsidR="00616641" w:rsidRPr="0049701B" w:rsidRDefault="00616641" w:rsidP="007E3239">
            <w:pPr>
              <w:pStyle w:val="TableText"/>
              <w:jc w:val="right"/>
            </w:pPr>
            <w:r w:rsidRPr="0049701B">
              <w:t>–27,336.1</w:t>
            </w:r>
          </w:p>
        </w:tc>
        <w:tc>
          <w:tcPr>
            <w:tcW w:w="964" w:type="dxa"/>
            <w:shd w:val="clear" w:color="auto" w:fill="auto"/>
            <w:vAlign w:val="center"/>
            <w:hideMark/>
          </w:tcPr>
          <w:p w14:paraId="446722F4" w14:textId="77777777" w:rsidR="00616641" w:rsidRPr="0049701B" w:rsidRDefault="00616641" w:rsidP="007E3239">
            <w:pPr>
              <w:pStyle w:val="TableText"/>
              <w:jc w:val="right"/>
            </w:pPr>
            <w:r w:rsidRPr="0049701B">
              <w:t>–28,500.4</w:t>
            </w:r>
          </w:p>
        </w:tc>
        <w:tc>
          <w:tcPr>
            <w:tcW w:w="964" w:type="dxa"/>
            <w:shd w:val="clear" w:color="auto" w:fill="auto"/>
            <w:vAlign w:val="center"/>
            <w:hideMark/>
          </w:tcPr>
          <w:p w14:paraId="43B4BF3C" w14:textId="77777777" w:rsidR="00616641" w:rsidRPr="0049701B" w:rsidRDefault="00616641" w:rsidP="007E3239">
            <w:pPr>
              <w:pStyle w:val="TableText"/>
              <w:jc w:val="right"/>
            </w:pPr>
            <w:r w:rsidRPr="0049701B">
              <w:t>–29,408.2</w:t>
            </w:r>
          </w:p>
        </w:tc>
        <w:tc>
          <w:tcPr>
            <w:tcW w:w="964" w:type="dxa"/>
            <w:shd w:val="clear" w:color="auto" w:fill="auto"/>
            <w:vAlign w:val="center"/>
            <w:hideMark/>
          </w:tcPr>
          <w:p w14:paraId="08193D69" w14:textId="77777777" w:rsidR="00616641" w:rsidRPr="0049701B" w:rsidRDefault="00616641" w:rsidP="007E3239">
            <w:pPr>
              <w:pStyle w:val="TableText"/>
              <w:jc w:val="right"/>
            </w:pPr>
            <w:r w:rsidRPr="0049701B">
              <w:t>–30,289.6</w:t>
            </w:r>
          </w:p>
        </w:tc>
        <w:tc>
          <w:tcPr>
            <w:tcW w:w="964" w:type="dxa"/>
            <w:shd w:val="clear" w:color="auto" w:fill="auto"/>
            <w:vAlign w:val="center"/>
            <w:hideMark/>
          </w:tcPr>
          <w:p w14:paraId="4B55AC1A" w14:textId="77777777" w:rsidR="00616641" w:rsidRPr="0049701B" w:rsidRDefault="00616641" w:rsidP="007E3239">
            <w:pPr>
              <w:pStyle w:val="TableText"/>
              <w:jc w:val="right"/>
            </w:pPr>
            <w:r w:rsidRPr="0049701B">
              <w:t>–31,982.2</w:t>
            </w:r>
          </w:p>
        </w:tc>
        <w:tc>
          <w:tcPr>
            <w:tcW w:w="1134" w:type="dxa"/>
            <w:shd w:val="clear" w:color="auto" w:fill="auto"/>
            <w:vAlign w:val="center"/>
            <w:hideMark/>
          </w:tcPr>
          <w:p w14:paraId="30B83BCF" w14:textId="77777777" w:rsidR="00616641" w:rsidRPr="0049701B" w:rsidRDefault="00616641" w:rsidP="007E3239">
            <w:pPr>
              <w:pStyle w:val="TableText"/>
              <w:jc w:val="right"/>
            </w:pPr>
            <w:r w:rsidRPr="0049701B">
              <w:t>–18,681.6</w:t>
            </w:r>
          </w:p>
        </w:tc>
      </w:tr>
    </w:tbl>
    <w:p w14:paraId="46A3E36D" w14:textId="77777777" w:rsidR="00616641" w:rsidRPr="0049701B" w:rsidRDefault="00616641" w:rsidP="00616641">
      <w:pPr>
        <w:pStyle w:val="Source"/>
      </w:pPr>
      <w:r w:rsidRPr="0049701B">
        <w:rPr>
          <w:b/>
          <w:bCs/>
        </w:rPr>
        <w:t>Note:</w:t>
      </w:r>
      <w:r w:rsidRPr="0049701B">
        <w:t xml:space="preserve"> FMRL = forest management reference level; FMRL</w:t>
      </w:r>
      <w:r w:rsidRPr="0049701B">
        <w:rPr>
          <w:i/>
          <w:iCs/>
          <w:vertAlign w:val="subscript"/>
        </w:rPr>
        <w:t>corr</w:t>
      </w:r>
      <w:r w:rsidRPr="0049701B">
        <w:t xml:space="preserve"> = technically corrected forest management reference level.</w:t>
      </w:r>
    </w:p>
    <w:p w14:paraId="18589D73" w14:textId="77777777" w:rsidR="00616641" w:rsidRPr="0049701B" w:rsidRDefault="00616641" w:rsidP="00616641">
      <w:pPr>
        <w:pStyle w:val="BodyText"/>
      </w:pPr>
    </w:p>
    <w:p w14:paraId="1A9CF7E2" w14:textId="77777777" w:rsidR="00616641" w:rsidRPr="0049701B" w:rsidRDefault="00616641" w:rsidP="00616641"/>
    <w:p w14:paraId="12DE47EF" w14:textId="77777777" w:rsidR="00616641" w:rsidRPr="0049701B" w:rsidRDefault="00616641" w:rsidP="00616641">
      <w:pPr>
        <w:sectPr w:rsidR="00616641" w:rsidRPr="0049701B" w:rsidSect="00E0570F">
          <w:footerReference w:type="default" r:id="rId271"/>
          <w:pgSz w:w="16840" w:h="11907" w:orient="landscape" w:code="9"/>
          <w:pgMar w:top="1701" w:right="1418" w:bottom="1701" w:left="1418" w:header="567" w:footer="567" w:gutter="0"/>
          <w:cols w:space="720"/>
          <w:docGrid w:linePitch="299"/>
        </w:sectPr>
      </w:pPr>
    </w:p>
    <w:p w14:paraId="747A6374" w14:textId="77777777" w:rsidR="00616641" w:rsidRPr="0049701B" w:rsidRDefault="00616641" w:rsidP="00616641">
      <w:pPr>
        <w:pStyle w:val="Heading5"/>
        <w:spacing w:before="0"/>
      </w:pPr>
      <w:r w:rsidRPr="0049701B">
        <w:lastRenderedPageBreak/>
        <w:t>1990–2020</w:t>
      </w:r>
    </w:p>
    <w:p w14:paraId="16464BDC" w14:textId="77777777" w:rsidR="00616641" w:rsidRPr="0049701B" w:rsidRDefault="00616641" w:rsidP="0074268E">
      <w:pPr>
        <w:pStyle w:val="BodyText"/>
        <w:spacing w:after="100"/>
      </w:pPr>
      <w:r w:rsidRPr="0049701B">
        <w:t>Between 1990 and 2020, it is estimated that 814,354 hectares of new forest (post</w:t>
      </w:r>
      <w:r w:rsidRPr="0049701B">
        <w:noBreakHyphen/>
        <w:t xml:space="preserve">1989 forest) were established as a result of </w:t>
      </w:r>
      <w:r w:rsidRPr="0049701B">
        <w:rPr>
          <w:i/>
        </w:rPr>
        <w:t>Afforestation and reforestation</w:t>
      </w:r>
      <w:r w:rsidRPr="0049701B">
        <w:t xml:space="preserve"> activities (table </w:t>
      </w:r>
      <w:r w:rsidRPr="0049701B">
        <w:rPr>
          <w:spacing w:val="-2"/>
        </w:rPr>
        <w:t>11.3.1</w:t>
      </w:r>
      <w:r w:rsidRPr="0049701B">
        <w:t xml:space="preserve">). The net area of post-1989 forest (calculated from the total area of new forest planted since 31 December 1989 minus the deforestation of post-1989 forest since 1 January 1990) as at the end of 2020 was </w:t>
      </w:r>
      <w:r w:rsidRPr="0049701B">
        <w:rPr>
          <w:rFonts w:cs="Arial"/>
          <w:color w:val="000000"/>
          <w:szCs w:val="16"/>
        </w:rPr>
        <w:t xml:space="preserve">775,385 </w:t>
      </w:r>
      <w:r w:rsidRPr="0049701B">
        <w:t xml:space="preserve">hectares. This figure includes 38,969 hectares of deforestation activity that has occurred in these forests since 1990. The average annual increase of </w:t>
      </w:r>
      <w:r w:rsidRPr="0049701B">
        <w:rPr>
          <w:i/>
        </w:rPr>
        <w:t>Afforestation and reforestation</w:t>
      </w:r>
      <w:r w:rsidRPr="0049701B">
        <w:t xml:space="preserve"> activity is 26,269 hectares. During 2020, an estimated 40,887 hectares of new forest was established, which is greater than the area established in 2019 (27,070 hectares) (table 11.1.1). </w:t>
      </w:r>
    </w:p>
    <w:p w14:paraId="21D8EDFF" w14:textId="77777777" w:rsidR="00616641" w:rsidRPr="0049701B" w:rsidRDefault="00616641" w:rsidP="0074268E">
      <w:pPr>
        <w:pStyle w:val="BodyText"/>
        <w:spacing w:after="100"/>
      </w:pPr>
      <w:r w:rsidRPr="0049701B">
        <w:t xml:space="preserve">The carbon equivalent forest provision creates a misalignment for the afforestation and deforestation area reported under the Kyoto Protocol and the United Nations Framework Convention on Climate Change (UNFCCC) sections of the Inventory. The carbon equivalent forest provision is not recognised under the UNFCCC and is reported as </w:t>
      </w:r>
      <w:r w:rsidRPr="0049701B">
        <w:rPr>
          <w:i/>
        </w:rPr>
        <w:t>Land converted to forest land</w:t>
      </w:r>
      <w:r w:rsidRPr="0049701B">
        <w:t xml:space="preserve"> (afforestation) and </w:t>
      </w:r>
      <w:r w:rsidRPr="0049701B">
        <w:rPr>
          <w:i/>
        </w:rPr>
        <w:t>Forest land converted to other land uses</w:t>
      </w:r>
      <w:r w:rsidRPr="0049701B">
        <w:t xml:space="preserve"> (deforestation). </w:t>
      </w:r>
    </w:p>
    <w:p w14:paraId="1A2F1686" w14:textId="77777777" w:rsidR="00616641" w:rsidRPr="0049701B" w:rsidRDefault="00616641" w:rsidP="0074268E">
      <w:pPr>
        <w:pStyle w:val="BodyText"/>
        <w:spacing w:after="100"/>
      </w:pPr>
      <w:r w:rsidRPr="0049701B">
        <w:t xml:space="preserve">Deforestation of all subcategories of </w:t>
      </w:r>
      <w:r w:rsidRPr="0049701B">
        <w:rPr>
          <w:i/>
        </w:rPr>
        <w:t>Forest land</w:t>
      </w:r>
      <w:r w:rsidRPr="0049701B">
        <w:t xml:space="preserve"> (post-1989 natural, post-1989 planted, pre</w:t>
      </w:r>
      <w:r w:rsidRPr="0049701B">
        <w:noBreakHyphen/>
        <w:t>1990 planted and pre-1990 natural forest) during 2020 was estimated at</w:t>
      </w:r>
      <w:r w:rsidRPr="0049701B">
        <w:rPr>
          <w:rFonts w:cs="Arial"/>
        </w:rPr>
        <w:t xml:space="preserve"> 2,443 </w:t>
      </w:r>
      <w:r w:rsidRPr="0049701B">
        <w:t xml:space="preserve">hectares. Since 1990, the area of deforestation of all subcategories of </w:t>
      </w:r>
      <w:r w:rsidRPr="0049701B">
        <w:rPr>
          <w:i/>
        </w:rPr>
        <w:t>Forest land</w:t>
      </w:r>
      <w:r w:rsidRPr="0049701B">
        <w:t xml:space="preserve"> is estimated as 214,077 hectares. </w:t>
      </w:r>
    </w:p>
    <w:p w14:paraId="1B7FBFB7" w14:textId="77777777" w:rsidR="00616641" w:rsidRPr="0049701B" w:rsidRDefault="00616641" w:rsidP="0074268E">
      <w:pPr>
        <w:pStyle w:val="BodyText"/>
        <w:spacing w:after="100"/>
      </w:pPr>
      <w:r w:rsidRPr="0049701B">
        <w:t xml:space="preserve">Between 1 January 1990 and 31 December 2020, the total area of </w:t>
      </w:r>
      <w:r w:rsidRPr="0049701B">
        <w:rPr>
          <w:i/>
        </w:rPr>
        <w:t>Forest management</w:t>
      </w:r>
      <w:r w:rsidRPr="0049701B">
        <w:t xml:space="preserve"> land deforested was 175,108 hectares. However, due to the application of the carbon equivalent forest provision (Kyoto Protocol Supplement, IPCC, 2014a, section 2.7.2), the net area under </w:t>
      </w:r>
      <w:r w:rsidRPr="0049701B">
        <w:rPr>
          <w:i/>
        </w:rPr>
        <w:t>Forest management</w:t>
      </w:r>
      <w:r w:rsidRPr="0049701B">
        <w:t xml:space="preserve"> only decreased by 170,210 hectares or 1.8 per cent. This is the result of:</w:t>
      </w:r>
    </w:p>
    <w:p w14:paraId="0EEA8954" w14:textId="77777777" w:rsidR="00616641" w:rsidRPr="0049701B" w:rsidRDefault="00616641" w:rsidP="0074268E">
      <w:pPr>
        <w:pStyle w:val="Bullet"/>
        <w:spacing w:after="100"/>
      </w:pPr>
      <w:r w:rsidRPr="0049701B">
        <w:t xml:space="preserve">170,210 hectares of land being transferred from Article 3.4 – </w:t>
      </w:r>
      <w:r w:rsidRPr="0049701B">
        <w:rPr>
          <w:i/>
        </w:rPr>
        <w:t>Forest management</w:t>
      </w:r>
      <w:r w:rsidRPr="0049701B">
        <w:t xml:space="preserve"> reporting to Article 3.3 – </w:t>
      </w:r>
      <w:r w:rsidRPr="0049701B">
        <w:rPr>
          <w:i/>
        </w:rPr>
        <w:t>Deforestation</w:t>
      </w:r>
      <w:r w:rsidRPr="0049701B">
        <w:t xml:space="preserve"> reporting due to deforestation</w:t>
      </w:r>
    </w:p>
    <w:p w14:paraId="56A317AF" w14:textId="77777777" w:rsidR="00616641" w:rsidRPr="0049701B" w:rsidRDefault="00616641" w:rsidP="0074268E">
      <w:pPr>
        <w:pStyle w:val="Bullet"/>
        <w:spacing w:after="100"/>
      </w:pPr>
      <w:r w:rsidRPr="0049701B">
        <w:t>3,961 hectares of land converted to a non-forest land use (</w:t>
      </w:r>
      <w:r w:rsidRPr="0049701B">
        <w:rPr>
          <w:i/>
        </w:rPr>
        <w:t xml:space="preserve">Carbon equivalent forest </w:t>
      </w:r>
      <w:r w:rsidRPr="0049701B">
        <w:rPr>
          <w:i/>
        </w:rPr>
        <w:br/>
        <w:t>– harvested and converted (CEF</w:t>
      </w:r>
      <w:r w:rsidRPr="0049701B">
        <w:rPr>
          <w:i/>
          <w:vertAlign w:val="subscript"/>
        </w:rPr>
        <w:t>HC</w:t>
      </w:r>
      <w:r w:rsidRPr="0049701B">
        <w:rPr>
          <w:i/>
        </w:rPr>
        <w:t>)</w:t>
      </w:r>
      <w:r w:rsidRPr="0049701B">
        <w:t xml:space="preserve">) included in Article 3.4 – </w:t>
      </w:r>
      <w:r w:rsidRPr="0049701B">
        <w:rPr>
          <w:i/>
        </w:rPr>
        <w:t>Forest managemen</w:t>
      </w:r>
      <w:r w:rsidRPr="0049701B">
        <w:t>t reporting as a result of applying the carbon equivalent forest provision (Kyoto Protocol Supplement, IPCC, 2014a, section 2.7.2)</w:t>
      </w:r>
    </w:p>
    <w:p w14:paraId="49D068F1" w14:textId="77777777" w:rsidR="00616641" w:rsidRPr="0049701B" w:rsidRDefault="00616641" w:rsidP="0074268E">
      <w:pPr>
        <w:pStyle w:val="Bullet"/>
        <w:spacing w:after="100"/>
      </w:pPr>
      <w:r w:rsidRPr="0049701B">
        <w:t xml:space="preserve">4,897 hectares of newly established forest </w:t>
      </w:r>
      <w:r w:rsidRPr="0049701B">
        <w:rPr>
          <w:iCs/>
        </w:rPr>
        <w:t>(</w:t>
      </w:r>
      <w:r w:rsidRPr="0049701B">
        <w:rPr>
          <w:i/>
        </w:rPr>
        <w:t>Carbon equivalent forest – newly established (CEF</w:t>
      </w:r>
      <w:r w:rsidRPr="0049701B">
        <w:rPr>
          <w:i/>
          <w:vertAlign w:val="subscript"/>
        </w:rPr>
        <w:t>NE</w:t>
      </w:r>
      <w:r w:rsidRPr="0049701B">
        <w:rPr>
          <w:i/>
        </w:rPr>
        <w:t>)</w:t>
      </w:r>
      <w:r w:rsidRPr="0049701B">
        <w:rPr>
          <w:iCs/>
        </w:rPr>
        <w:t>)</w:t>
      </w:r>
      <w:r w:rsidRPr="0049701B">
        <w:t xml:space="preserve"> added to Article 3.4 – </w:t>
      </w:r>
      <w:r w:rsidRPr="0049701B">
        <w:rPr>
          <w:i/>
        </w:rPr>
        <w:t>Forest management</w:t>
      </w:r>
      <w:r w:rsidRPr="0049701B">
        <w:t xml:space="preserve"> under the Kyoto Protocol as a result of applying the carbon equivalent forest provision</w:t>
      </w:r>
      <w:r w:rsidRPr="0049701B" w:rsidDel="0060303B">
        <w:t xml:space="preserve"> </w:t>
      </w:r>
      <w:r w:rsidRPr="0049701B">
        <w:t xml:space="preserve">(Kyoto Protocol Supplement, IPCC, 2014a, section 2.7.2). </w:t>
      </w:r>
    </w:p>
    <w:p w14:paraId="5B56D39E" w14:textId="77777777" w:rsidR="00616641" w:rsidRPr="0049701B" w:rsidRDefault="00616641" w:rsidP="00616641">
      <w:pPr>
        <w:pStyle w:val="Heading5"/>
      </w:pPr>
      <w:r w:rsidRPr="0049701B">
        <w:t>New Zealand’s Article 3.3 and Article 3.4 emissions by source for the second commitment period</w:t>
      </w:r>
    </w:p>
    <w:p w14:paraId="2D014E15" w14:textId="77777777" w:rsidR="00616641" w:rsidRPr="0049701B" w:rsidRDefault="00616641" w:rsidP="00616641">
      <w:pPr>
        <w:pStyle w:val="BodyText"/>
      </w:pPr>
      <w:r w:rsidRPr="0049701B">
        <w:t xml:space="preserve">Table 11.1.3 provides a breakdown of New Zealand’s emissions under the Kyoto Protocol by greenhouse gas source category for the second commitment period. </w:t>
      </w:r>
    </w:p>
    <w:p w14:paraId="261D54DF" w14:textId="77777777" w:rsidR="00616641" w:rsidRPr="0049701B" w:rsidRDefault="00616641" w:rsidP="00616641">
      <w:pPr>
        <w:pStyle w:val="Table"/>
      </w:pPr>
      <w:bookmarkStart w:id="2697" w:name="_Toc456179104"/>
      <w:bookmarkStart w:id="2698" w:name="_Toc481751630"/>
      <w:bookmarkStart w:id="2699" w:name="_Toc522010655"/>
      <w:bookmarkStart w:id="2700" w:name="_Toc5269625"/>
      <w:bookmarkStart w:id="2701" w:name="_Toc36224707"/>
      <w:bookmarkStart w:id="2702" w:name="_Toc64987042"/>
      <w:bookmarkStart w:id="2703" w:name="_Toc68786592"/>
      <w:bookmarkStart w:id="2704" w:name="_Toc95321534"/>
      <w:bookmarkStart w:id="2705" w:name="_Toc99659386"/>
      <w:r w:rsidRPr="0049701B">
        <w:t>Table 11.1.3</w:t>
      </w:r>
      <w:r w:rsidRPr="0049701B">
        <w:tab/>
        <w:t>New Zealand’s emissions for the second commitment period of the Kyoto Protocol</w:t>
      </w:r>
      <w:r w:rsidRPr="0049701B">
        <w:br/>
        <w:t>by greenhouse gas source category</w:t>
      </w:r>
      <w:bookmarkEnd w:id="2697"/>
      <w:bookmarkEnd w:id="2698"/>
      <w:bookmarkEnd w:id="2699"/>
      <w:bookmarkEnd w:id="2700"/>
      <w:bookmarkEnd w:id="2701"/>
      <w:bookmarkEnd w:id="2702"/>
      <w:bookmarkEnd w:id="2703"/>
      <w:bookmarkEnd w:id="2704"/>
      <w:bookmarkEnd w:id="2705"/>
    </w:p>
    <w:tbl>
      <w:tblPr>
        <w:tblW w:w="8505" w:type="dxa"/>
        <w:tblInd w:w="113"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4511"/>
        <w:gridCol w:w="1250"/>
        <w:gridCol w:w="1395"/>
        <w:gridCol w:w="1349"/>
      </w:tblGrid>
      <w:tr w:rsidR="00616641" w:rsidRPr="0049701B" w14:paraId="770B2552" w14:textId="77777777" w:rsidTr="0074268E">
        <w:trPr>
          <w:tblHeader/>
        </w:trPr>
        <w:tc>
          <w:tcPr>
            <w:tcW w:w="2652" w:type="pct"/>
            <w:vMerge w:val="restart"/>
            <w:shd w:val="clear" w:color="auto" w:fill="1B556B"/>
            <w:vAlign w:val="bottom"/>
          </w:tcPr>
          <w:p w14:paraId="4E4DAF4D" w14:textId="77777777" w:rsidR="00616641" w:rsidRPr="0049701B" w:rsidRDefault="00616641" w:rsidP="007E3239">
            <w:pPr>
              <w:pStyle w:val="TableTextBold"/>
              <w:keepNext/>
              <w:rPr>
                <w:bCs/>
                <w:noProof w:val="0"/>
                <w:color w:val="FFFFFF"/>
              </w:rPr>
            </w:pPr>
            <w:r w:rsidRPr="0049701B">
              <w:rPr>
                <w:bCs/>
                <w:noProof w:val="0"/>
                <w:color w:val="FFFFFF"/>
              </w:rPr>
              <w:t>Greenhouse gas source category</w:t>
            </w:r>
          </w:p>
        </w:tc>
        <w:tc>
          <w:tcPr>
            <w:tcW w:w="2348" w:type="pct"/>
            <w:gridSpan w:val="3"/>
            <w:shd w:val="clear" w:color="auto" w:fill="1B556B"/>
            <w:vAlign w:val="bottom"/>
          </w:tcPr>
          <w:p w14:paraId="154AF0F8" w14:textId="77777777" w:rsidR="00616641" w:rsidRPr="0049701B" w:rsidRDefault="00616641" w:rsidP="007E3239">
            <w:pPr>
              <w:pStyle w:val="TableTextBold"/>
              <w:keepNext/>
              <w:spacing w:after="0"/>
              <w:jc w:val="center"/>
              <w:rPr>
                <w:bCs/>
                <w:noProof w:val="0"/>
                <w:color w:val="FFFFFF"/>
              </w:rPr>
            </w:pPr>
            <w:r w:rsidRPr="0049701B">
              <w:rPr>
                <w:bCs/>
                <w:noProof w:val="0"/>
                <w:color w:val="FFFFFF"/>
              </w:rPr>
              <w:t>Net emissions for 2013–20 (kt)</w:t>
            </w:r>
          </w:p>
        </w:tc>
      </w:tr>
      <w:tr w:rsidR="00616641" w:rsidRPr="0049701B" w14:paraId="277292CC" w14:textId="77777777" w:rsidTr="0074268E">
        <w:trPr>
          <w:tblHeader/>
        </w:trPr>
        <w:tc>
          <w:tcPr>
            <w:tcW w:w="2652" w:type="pct"/>
            <w:vMerge/>
            <w:shd w:val="clear" w:color="auto" w:fill="1B556B"/>
            <w:vAlign w:val="bottom"/>
          </w:tcPr>
          <w:p w14:paraId="01A3A2B8" w14:textId="77777777" w:rsidR="00616641" w:rsidRPr="0049701B" w:rsidRDefault="00616641" w:rsidP="007E3239">
            <w:pPr>
              <w:pStyle w:val="TableTextBold"/>
              <w:keepNext/>
              <w:rPr>
                <w:b w:val="0"/>
                <w:bCs/>
                <w:noProof w:val="0"/>
              </w:rPr>
            </w:pPr>
          </w:p>
        </w:tc>
        <w:tc>
          <w:tcPr>
            <w:tcW w:w="735" w:type="pct"/>
            <w:shd w:val="clear" w:color="auto" w:fill="1B556B"/>
            <w:vAlign w:val="bottom"/>
          </w:tcPr>
          <w:p w14:paraId="7DA61DEB" w14:textId="77777777" w:rsidR="00616641" w:rsidRPr="0049701B" w:rsidRDefault="00616641" w:rsidP="0074268E">
            <w:pPr>
              <w:pStyle w:val="TableTextBold"/>
              <w:keepNext/>
              <w:spacing w:before="20"/>
              <w:jc w:val="center"/>
              <w:rPr>
                <w:noProof w:val="0"/>
                <w:color w:val="FFFFFF"/>
              </w:rPr>
            </w:pPr>
            <w:r w:rsidRPr="0049701B">
              <w:rPr>
                <w:noProof w:val="0"/>
                <w:color w:val="FFFFFF"/>
              </w:rPr>
              <w:t>Source form</w:t>
            </w:r>
          </w:p>
        </w:tc>
        <w:tc>
          <w:tcPr>
            <w:tcW w:w="820" w:type="pct"/>
            <w:shd w:val="clear" w:color="auto" w:fill="1B556B"/>
            <w:vAlign w:val="bottom"/>
          </w:tcPr>
          <w:p w14:paraId="68D6BF99" w14:textId="77777777" w:rsidR="00616641" w:rsidRPr="0049701B" w:rsidRDefault="00616641" w:rsidP="0074268E">
            <w:pPr>
              <w:pStyle w:val="TableTextBold"/>
              <w:keepNext/>
              <w:spacing w:before="20"/>
              <w:jc w:val="center"/>
              <w:rPr>
                <w:noProof w:val="0"/>
                <w:color w:val="FFFFFF"/>
              </w:rPr>
            </w:pPr>
            <w:r w:rsidRPr="0049701B">
              <w:rPr>
                <w:noProof w:val="0"/>
                <w:color w:val="FFFFFF"/>
              </w:rPr>
              <w:t>Source emission</w:t>
            </w:r>
          </w:p>
        </w:tc>
        <w:tc>
          <w:tcPr>
            <w:tcW w:w="793" w:type="pct"/>
            <w:shd w:val="clear" w:color="auto" w:fill="1B556B"/>
            <w:vAlign w:val="bottom"/>
          </w:tcPr>
          <w:p w14:paraId="1181464C" w14:textId="77777777" w:rsidR="00616641" w:rsidRPr="0049701B" w:rsidRDefault="00616641" w:rsidP="0074268E">
            <w:pPr>
              <w:pStyle w:val="TableTextBold"/>
              <w:keepNext/>
              <w:spacing w:before="20"/>
              <w:jc w:val="center"/>
              <w:rPr>
                <w:noProof w:val="0"/>
                <w:color w:val="FFFFFF"/>
              </w:rPr>
            </w:pPr>
            <w:r w:rsidRPr="0049701B">
              <w:rPr>
                <w:noProof w:val="0"/>
                <w:color w:val="FFFFFF"/>
              </w:rPr>
              <w:t>CO</w:t>
            </w:r>
            <w:r w:rsidRPr="0049701B">
              <w:rPr>
                <w:noProof w:val="0"/>
                <w:color w:val="FFFFFF"/>
                <w:vertAlign w:val="subscript"/>
              </w:rPr>
              <w:t>2</w:t>
            </w:r>
            <w:r w:rsidRPr="0049701B">
              <w:rPr>
                <w:noProof w:val="0"/>
                <w:color w:val="FFFFFF"/>
              </w:rPr>
              <w:t>-equivalent</w:t>
            </w:r>
          </w:p>
        </w:tc>
      </w:tr>
      <w:tr w:rsidR="00616641" w:rsidRPr="0049701B" w14:paraId="482B2640" w14:textId="77777777" w:rsidTr="007E3239">
        <w:tc>
          <w:tcPr>
            <w:tcW w:w="2652" w:type="pct"/>
            <w:shd w:val="clear" w:color="auto" w:fill="auto"/>
            <w:vAlign w:val="center"/>
          </w:tcPr>
          <w:p w14:paraId="717676FF" w14:textId="77777777" w:rsidR="00616641" w:rsidRPr="0049701B" w:rsidRDefault="00616641" w:rsidP="0074268E">
            <w:pPr>
              <w:pStyle w:val="TableText"/>
              <w:spacing w:before="40" w:after="40"/>
              <w:rPr>
                <w:bCs/>
              </w:rPr>
            </w:pPr>
            <w:r w:rsidRPr="0049701B">
              <w:rPr>
                <w:bCs/>
              </w:rPr>
              <w:t>Emissions from afforestation and reforestation</w:t>
            </w:r>
          </w:p>
        </w:tc>
        <w:tc>
          <w:tcPr>
            <w:tcW w:w="735" w:type="pct"/>
            <w:shd w:val="clear" w:color="auto" w:fill="auto"/>
            <w:vAlign w:val="center"/>
          </w:tcPr>
          <w:p w14:paraId="68BFFB23" w14:textId="77777777" w:rsidR="00616641" w:rsidRPr="0049701B" w:rsidRDefault="00616641" w:rsidP="0074268E">
            <w:pPr>
              <w:pStyle w:val="TableText"/>
              <w:spacing w:before="40" w:after="40"/>
              <w:jc w:val="center"/>
            </w:pPr>
            <w:r w:rsidRPr="0049701B">
              <w:t>CO</w:t>
            </w:r>
            <w:r w:rsidRPr="0049701B">
              <w:rPr>
                <w:vertAlign w:val="subscript"/>
              </w:rPr>
              <w:t>2</w:t>
            </w:r>
          </w:p>
        </w:tc>
        <w:tc>
          <w:tcPr>
            <w:tcW w:w="820" w:type="pct"/>
            <w:shd w:val="clear" w:color="auto" w:fill="auto"/>
          </w:tcPr>
          <w:p w14:paraId="28125A23" w14:textId="77777777" w:rsidR="00616641" w:rsidRPr="0049701B" w:rsidRDefault="00616641" w:rsidP="0074268E">
            <w:pPr>
              <w:pStyle w:val="TableText"/>
              <w:spacing w:before="40" w:after="40"/>
              <w:jc w:val="right"/>
            </w:pPr>
            <w:r w:rsidRPr="0049701B">
              <w:t>–140,236.4</w:t>
            </w:r>
          </w:p>
        </w:tc>
        <w:tc>
          <w:tcPr>
            <w:tcW w:w="793" w:type="pct"/>
            <w:shd w:val="clear" w:color="auto" w:fill="auto"/>
          </w:tcPr>
          <w:p w14:paraId="6318C42F" w14:textId="77777777" w:rsidR="00616641" w:rsidRPr="0049701B" w:rsidRDefault="00616641" w:rsidP="0074268E">
            <w:pPr>
              <w:pStyle w:val="TableText"/>
              <w:spacing w:before="40" w:after="40"/>
              <w:jc w:val="right"/>
            </w:pPr>
            <w:r w:rsidRPr="0049701B">
              <w:t>–140,236.4</w:t>
            </w:r>
          </w:p>
        </w:tc>
      </w:tr>
      <w:tr w:rsidR="00616641" w:rsidRPr="0049701B" w14:paraId="03B462FD" w14:textId="77777777" w:rsidTr="007E3239">
        <w:tc>
          <w:tcPr>
            <w:tcW w:w="2652" w:type="pct"/>
            <w:shd w:val="clear" w:color="auto" w:fill="auto"/>
            <w:vAlign w:val="center"/>
          </w:tcPr>
          <w:p w14:paraId="3A6743A9" w14:textId="77777777" w:rsidR="00616641" w:rsidRPr="0049701B" w:rsidRDefault="00616641" w:rsidP="0074268E">
            <w:pPr>
              <w:pStyle w:val="TableText"/>
              <w:spacing w:before="40" w:after="40"/>
              <w:rPr>
                <w:bCs/>
              </w:rPr>
            </w:pPr>
            <w:r w:rsidRPr="0049701B">
              <w:rPr>
                <w:bCs/>
              </w:rPr>
              <w:t>Emissions from deforestation</w:t>
            </w:r>
          </w:p>
        </w:tc>
        <w:tc>
          <w:tcPr>
            <w:tcW w:w="735" w:type="pct"/>
            <w:shd w:val="clear" w:color="auto" w:fill="auto"/>
            <w:vAlign w:val="center"/>
          </w:tcPr>
          <w:p w14:paraId="269B7F24" w14:textId="77777777" w:rsidR="00616641" w:rsidRPr="0049701B" w:rsidRDefault="00616641" w:rsidP="0074268E">
            <w:pPr>
              <w:pStyle w:val="TableText"/>
              <w:spacing w:before="40" w:after="40"/>
              <w:jc w:val="center"/>
            </w:pPr>
            <w:r w:rsidRPr="0049701B">
              <w:t>CO</w:t>
            </w:r>
            <w:r w:rsidRPr="0049701B">
              <w:rPr>
                <w:vertAlign w:val="subscript"/>
              </w:rPr>
              <w:t>2</w:t>
            </w:r>
          </w:p>
        </w:tc>
        <w:tc>
          <w:tcPr>
            <w:tcW w:w="820" w:type="pct"/>
            <w:shd w:val="clear" w:color="auto" w:fill="auto"/>
          </w:tcPr>
          <w:p w14:paraId="36694C44" w14:textId="77777777" w:rsidR="00616641" w:rsidRPr="0049701B" w:rsidRDefault="00616641" w:rsidP="0074268E">
            <w:pPr>
              <w:pStyle w:val="TableText"/>
              <w:spacing w:before="40" w:after="40"/>
              <w:jc w:val="right"/>
            </w:pPr>
            <w:r w:rsidRPr="0049701B">
              <w:t>34,150.2</w:t>
            </w:r>
          </w:p>
        </w:tc>
        <w:tc>
          <w:tcPr>
            <w:tcW w:w="793" w:type="pct"/>
            <w:shd w:val="clear" w:color="auto" w:fill="auto"/>
          </w:tcPr>
          <w:p w14:paraId="009F8B6C" w14:textId="77777777" w:rsidR="00616641" w:rsidRPr="0049701B" w:rsidRDefault="00616641" w:rsidP="0074268E">
            <w:pPr>
              <w:pStyle w:val="TableText"/>
              <w:spacing w:before="40" w:after="40"/>
              <w:jc w:val="right"/>
            </w:pPr>
            <w:r w:rsidRPr="0049701B">
              <w:t>34,150.2</w:t>
            </w:r>
          </w:p>
        </w:tc>
      </w:tr>
      <w:tr w:rsidR="00616641" w:rsidRPr="0049701B" w14:paraId="261DD71C" w14:textId="77777777" w:rsidTr="007E3239">
        <w:tc>
          <w:tcPr>
            <w:tcW w:w="2652" w:type="pct"/>
            <w:shd w:val="clear" w:color="auto" w:fill="auto"/>
            <w:vAlign w:val="center"/>
          </w:tcPr>
          <w:p w14:paraId="3A463298" w14:textId="77777777" w:rsidR="00616641" w:rsidRPr="0049701B" w:rsidRDefault="00616641" w:rsidP="0074268E">
            <w:pPr>
              <w:pStyle w:val="TableText"/>
              <w:spacing w:before="40" w:after="40"/>
              <w:rPr>
                <w:bCs/>
              </w:rPr>
            </w:pPr>
            <w:r w:rsidRPr="0049701B">
              <w:rPr>
                <w:bCs/>
              </w:rPr>
              <w:t>Emissions from forest management activities</w:t>
            </w:r>
          </w:p>
        </w:tc>
        <w:tc>
          <w:tcPr>
            <w:tcW w:w="735" w:type="pct"/>
            <w:shd w:val="clear" w:color="auto" w:fill="auto"/>
            <w:vAlign w:val="center"/>
          </w:tcPr>
          <w:p w14:paraId="320FB669" w14:textId="77777777" w:rsidR="00616641" w:rsidRPr="0049701B" w:rsidRDefault="00616641" w:rsidP="0074268E">
            <w:pPr>
              <w:pStyle w:val="TableText"/>
              <w:spacing w:before="40" w:after="40"/>
              <w:jc w:val="center"/>
            </w:pPr>
            <w:r w:rsidRPr="0049701B">
              <w:t>CO</w:t>
            </w:r>
            <w:r w:rsidRPr="0049701B">
              <w:rPr>
                <w:vertAlign w:val="subscript"/>
              </w:rPr>
              <w:t>2</w:t>
            </w:r>
          </w:p>
        </w:tc>
        <w:tc>
          <w:tcPr>
            <w:tcW w:w="820" w:type="pct"/>
            <w:shd w:val="clear" w:color="auto" w:fill="auto"/>
          </w:tcPr>
          <w:p w14:paraId="1FD5B5C9" w14:textId="77777777" w:rsidR="00616641" w:rsidRPr="0049701B" w:rsidRDefault="00616641" w:rsidP="0074268E">
            <w:pPr>
              <w:pStyle w:val="TableText"/>
              <w:spacing w:before="40" w:after="40"/>
              <w:jc w:val="right"/>
              <w:rPr>
                <w:highlight w:val="red"/>
              </w:rPr>
            </w:pPr>
            <w:r w:rsidRPr="0049701B">
              <w:t>–147,376.8</w:t>
            </w:r>
          </w:p>
        </w:tc>
        <w:tc>
          <w:tcPr>
            <w:tcW w:w="793" w:type="pct"/>
            <w:shd w:val="clear" w:color="auto" w:fill="auto"/>
          </w:tcPr>
          <w:p w14:paraId="64AB991D" w14:textId="77777777" w:rsidR="00616641" w:rsidRPr="0049701B" w:rsidRDefault="00616641" w:rsidP="0074268E">
            <w:pPr>
              <w:pStyle w:val="TableText"/>
              <w:spacing w:before="40" w:after="40"/>
              <w:jc w:val="right"/>
              <w:rPr>
                <w:highlight w:val="red"/>
              </w:rPr>
            </w:pPr>
            <w:r w:rsidRPr="0049701B">
              <w:t>–147,376.8</w:t>
            </w:r>
          </w:p>
        </w:tc>
      </w:tr>
      <w:tr w:rsidR="00616641" w:rsidRPr="0049701B" w14:paraId="4C7AEB3B" w14:textId="77777777" w:rsidTr="007E3239">
        <w:tc>
          <w:tcPr>
            <w:tcW w:w="2652" w:type="pct"/>
            <w:shd w:val="clear" w:color="auto" w:fill="auto"/>
          </w:tcPr>
          <w:p w14:paraId="61D22463" w14:textId="77777777" w:rsidR="00616641" w:rsidRPr="0049701B" w:rsidRDefault="00616641" w:rsidP="0074268E">
            <w:pPr>
              <w:pStyle w:val="TableText"/>
              <w:spacing w:before="40" w:after="40"/>
              <w:rPr>
                <w:bCs/>
              </w:rPr>
            </w:pPr>
            <w:r w:rsidRPr="0049701B">
              <w:rPr>
                <w:bCs/>
              </w:rPr>
              <w:t>Emissions from soil nitrogen associated with land-use change</w:t>
            </w:r>
          </w:p>
        </w:tc>
        <w:tc>
          <w:tcPr>
            <w:tcW w:w="735" w:type="pct"/>
            <w:shd w:val="clear" w:color="auto" w:fill="auto"/>
          </w:tcPr>
          <w:p w14:paraId="55CAD449" w14:textId="77777777" w:rsidR="00616641" w:rsidRPr="0049701B" w:rsidRDefault="00616641" w:rsidP="0074268E">
            <w:pPr>
              <w:pStyle w:val="TableText"/>
              <w:spacing w:before="40" w:after="40"/>
              <w:jc w:val="center"/>
            </w:pPr>
            <w:r w:rsidRPr="0049701B">
              <w:t>N</w:t>
            </w:r>
            <w:r w:rsidRPr="0049701B">
              <w:rPr>
                <w:vertAlign w:val="subscript"/>
              </w:rPr>
              <w:t>2</w:t>
            </w:r>
            <w:r w:rsidRPr="0049701B">
              <w:t>O</w:t>
            </w:r>
          </w:p>
        </w:tc>
        <w:tc>
          <w:tcPr>
            <w:tcW w:w="820" w:type="pct"/>
            <w:shd w:val="clear" w:color="auto" w:fill="auto"/>
          </w:tcPr>
          <w:p w14:paraId="613EEB0E" w14:textId="77777777" w:rsidR="00616641" w:rsidRPr="0049701B" w:rsidRDefault="00616641" w:rsidP="0074268E">
            <w:pPr>
              <w:pStyle w:val="TableText"/>
              <w:spacing w:before="40" w:after="40"/>
              <w:jc w:val="right"/>
            </w:pPr>
            <w:r w:rsidRPr="0049701B">
              <w:t>5.6</w:t>
            </w:r>
          </w:p>
        </w:tc>
        <w:tc>
          <w:tcPr>
            <w:tcW w:w="793" w:type="pct"/>
            <w:shd w:val="clear" w:color="auto" w:fill="auto"/>
          </w:tcPr>
          <w:p w14:paraId="45CC5F90" w14:textId="77777777" w:rsidR="00616641" w:rsidRPr="0049701B" w:rsidRDefault="00616641" w:rsidP="0074268E">
            <w:pPr>
              <w:pStyle w:val="TableText"/>
              <w:spacing w:before="40" w:after="40"/>
              <w:jc w:val="right"/>
            </w:pPr>
            <w:r w:rsidRPr="0049701B">
              <w:t>1,679.1</w:t>
            </w:r>
          </w:p>
        </w:tc>
      </w:tr>
      <w:tr w:rsidR="00616641" w:rsidRPr="0049701B" w14:paraId="6C393480" w14:textId="77777777" w:rsidTr="007E3239">
        <w:tc>
          <w:tcPr>
            <w:tcW w:w="2652" w:type="pct"/>
            <w:shd w:val="clear" w:color="auto" w:fill="auto"/>
            <w:vAlign w:val="center"/>
          </w:tcPr>
          <w:p w14:paraId="229F210F" w14:textId="77777777" w:rsidR="00616641" w:rsidRPr="0049701B" w:rsidRDefault="00616641" w:rsidP="0074268E">
            <w:pPr>
              <w:pStyle w:val="TableText"/>
              <w:spacing w:before="40" w:after="40"/>
              <w:rPr>
                <w:bCs/>
              </w:rPr>
            </w:pPr>
            <w:r w:rsidRPr="0049701B">
              <w:rPr>
                <w:bCs/>
              </w:rPr>
              <w:lastRenderedPageBreak/>
              <w:t xml:space="preserve">Biomass burning </w:t>
            </w:r>
          </w:p>
        </w:tc>
        <w:tc>
          <w:tcPr>
            <w:tcW w:w="735" w:type="pct"/>
            <w:shd w:val="clear" w:color="auto" w:fill="auto"/>
            <w:vAlign w:val="center"/>
          </w:tcPr>
          <w:p w14:paraId="4DC40222" w14:textId="77777777" w:rsidR="00616641" w:rsidRPr="0049701B" w:rsidRDefault="00616641" w:rsidP="0074268E">
            <w:pPr>
              <w:pStyle w:val="TableText"/>
              <w:spacing w:before="40" w:after="40"/>
              <w:jc w:val="center"/>
            </w:pPr>
            <w:r w:rsidRPr="0049701B">
              <w:t>CH</w:t>
            </w:r>
            <w:r w:rsidRPr="0049701B">
              <w:rPr>
                <w:vertAlign w:val="subscript"/>
              </w:rPr>
              <w:t>4</w:t>
            </w:r>
          </w:p>
        </w:tc>
        <w:tc>
          <w:tcPr>
            <w:tcW w:w="820" w:type="pct"/>
            <w:shd w:val="clear" w:color="auto" w:fill="auto"/>
          </w:tcPr>
          <w:p w14:paraId="7392A957" w14:textId="77777777" w:rsidR="00616641" w:rsidRPr="0049701B" w:rsidRDefault="00616641" w:rsidP="0074268E">
            <w:pPr>
              <w:pStyle w:val="TableText"/>
              <w:spacing w:before="40" w:after="40"/>
              <w:jc w:val="right"/>
            </w:pPr>
            <w:r w:rsidRPr="0049701B">
              <w:t>13.4</w:t>
            </w:r>
          </w:p>
        </w:tc>
        <w:tc>
          <w:tcPr>
            <w:tcW w:w="793" w:type="pct"/>
            <w:shd w:val="clear" w:color="auto" w:fill="auto"/>
          </w:tcPr>
          <w:p w14:paraId="5C776A63" w14:textId="77777777" w:rsidR="00616641" w:rsidRPr="0049701B" w:rsidRDefault="00616641" w:rsidP="0074268E">
            <w:pPr>
              <w:pStyle w:val="TableText"/>
              <w:spacing w:before="40" w:after="40"/>
              <w:jc w:val="right"/>
            </w:pPr>
            <w:r w:rsidRPr="0049701B">
              <w:t>335.5</w:t>
            </w:r>
          </w:p>
        </w:tc>
      </w:tr>
      <w:tr w:rsidR="00616641" w:rsidRPr="0049701B" w14:paraId="6BE061C0" w14:textId="77777777" w:rsidTr="007E3239">
        <w:tc>
          <w:tcPr>
            <w:tcW w:w="2652" w:type="pct"/>
            <w:shd w:val="clear" w:color="auto" w:fill="auto"/>
            <w:vAlign w:val="center"/>
          </w:tcPr>
          <w:p w14:paraId="699FF8DA" w14:textId="77777777" w:rsidR="00616641" w:rsidRPr="0049701B" w:rsidRDefault="00616641" w:rsidP="0074268E">
            <w:pPr>
              <w:pStyle w:val="TableText"/>
              <w:spacing w:before="40" w:after="40"/>
              <w:rPr>
                <w:bCs/>
              </w:rPr>
            </w:pPr>
            <w:r w:rsidRPr="0049701B">
              <w:rPr>
                <w:bCs/>
              </w:rPr>
              <w:t xml:space="preserve">Biomass burning </w:t>
            </w:r>
          </w:p>
        </w:tc>
        <w:tc>
          <w:tcPr>
            <w:tcW w:w="735" w:type="pct"/>
            <w:shd w:val="clear" w:color="auto" w:fill="auto"/>
            <w:vAlign w:val="center"/>
          </w:tcPr>
          <w:p w14:paraId="391AA1D5" w14:textId="77777777" w:rsidR="00616641" w:rsidRPr="0049701B" w:rsidRDefault="00616641" w:rsidP="0074268E">
            <w:pPr>
              <w:pStyle w:val="TableText"/>
              <w:spacing w:before="40" w:after="40"/>
              <w:jc w:val="center"/>
            </w:pPr>
            <w:r w:rsidRPr="0049701B">
              <w:t>N</w:t>
            </w:r>
            <w:r w:rsidRPr="0049701B">
              <w:rPr>
                <w:vertAlign w:val="subscript"/>
              </w:rPr>
              <w:t>2</w:t>
            </w:r>
            <w:r w:rsidRPr="0049701B">
              <w:t>O</w:t>
            </w:r>
          </w:p>
        </w:tc>
        <w:tc>
          <w:tcPr>
            <w:tcW w:w="820" w:type="pct"/>
            <w:shd w:val="clear" w:color="auto" w:fill="auto"/>
          </w:tcPr>
          <w:p w14:paraId="4DBF2BAA" w14:textId="77777777" w:rsidR="00616641" w:rsidRPr="0049701B" w:rsidRDefault="00616641" w:rsidP="0074268E">
            <w:pPr>
              <w:pStyle w:val="TableText"/>
              <w:spacing w:before="40" w:after="40"/>
              <w:jc w:val="right"/>
            </w:pPr>
            <w:r w:rsidRPr="0049701B">
              <w:t>0.5</w:t>
            </w:r>
          </w:p>
        </w:tc>
        <w:tc>
          <w:tcPr>
            <w:tcW w:w="793" w:type="pct"/>
            <w:shd w:val="clear" w:color="auto" w:fill="auto"/>
          </w:tcPr>
          <w:p w14:paraId="39FAF6F2" w14:textId="77777777" w:rsidR="00616641" w:rsidRPr="0049701B" w:rsidRDefault="00616641" w:rsidP="0074268E">
            <w:pPr>
              <w:pStyle w:val="TableText"/>
              <w:spacing w:before="40" w:after="40"/>
              <w:jc w:val="right"/>
            </w:pPr>
            <w:r w:rsidRPr="0049701B">
              <w:t>152.3</w:t>
            </w:r>
          </w:p>
        </w:tc>
      </w:tr>
      <w:tr w:rsidR="00616641" w:rsidRPr="0049701B" w14:paraId="15EDE25A" w14:textId="77777777" w:rsidTr="007E3239">
        <w:tc>
          <w:tcPr>
            <w:tcW w:w="2652" w:type="pct"/>
            <w:shd w:val="clear" w:color="auto" w:fill="auto"/>
            <w:vAlign w:val="center"/>
          </w:tcPr>
          <w:p w14:paraId="1A12F9AA" w14:textId="77777777" w:rsidR="00616641" w:rsidRPr="0049701B" w:rsidRDefault="00616641" w:rsidP="0074268E">
            <w:pPr>
              <w:pStyle w:val="Tableboldblue"/>
              <w:spacing w:before="40" w:after="40"/>
            </w:pPr>
            <w:r w:rsidRPr="0049701B">
              <w:t>Net emissions</w:t>
            </w:r>
          </w:p>
        </w:tc>
        <w:tc>
          <w:tcPr>
            <w:tcW w:w="735" w:type="pct"/>
            <w:shd w:val="clear" w:color="auto" w:fill="auto"/>
            <w:vAlign w:val="center"/>
          </w:tcPr>
          <w:p w14:paraId="6500AC6C" w14:textId="77777777" w:rsidR="00616641" w:rsidRPr="0049701B" w:rsidRDefault="00616641" w:rsidP="0074268E">
            <w:pPr>
              <w:pStyle w:val="Tableboldblue"/>
              <w:spacing w:before="40" w:after="40"/>
              <w:jc w:val="right"/>
            </w:pPr>
          </w:p>
        </w:tc>
        <w:tc>
          <w:tcPr>
            <w:tcW w:w="820" w:type="pct"/>
            <w:shd w:val="clear" w:color="auto" w:fill="auto"/>
          </w:tcPr>
          <w:p w14:paraId="65E397E1" w14:textId="77777777" w:rsidR="00616641" w:rsidRPr="0049701B" w:rsidRDefault="00616641" w:rsidP="0074268E">
            <w:pPr>
              <w:pStyle w:val="Tableboldblue"/>
              <w:spacing w:before="40" w:after="40"/>
              <w:jc w:val="right"/>
            </w:pPr>
          </w:p>
        </w:tc>
        <w:tc>
          <w:tcPr>
            <w:tcW w:w="793" w:type="pct"/>
            <w:shd w:val="clear" w:color="auto" w:fill="auto"/>
          </w:tcPr>
          <w:p w14:paraId="67467B1C" w14:textId="77777777" w:rsidR="00616641" w:rsidRPr="0049701B" w:rsidRDefault="00616641" w:rsidP="0074268E">
            <w:pPr>
              <w:pStyle w:val="Tableboldblue"/>
              <w:spacing w:before="40" w:after="40"/>
              <w:jc w:val="right"/>
            </w:pPr>
            <w:r w:rsidRPr="0049701B">
              <w:t>–251,296.2</w:t>
            </w:r>
          </w:p>
        </w:tc>
      </w:tr>
    </w:tbl>
    <w:p w14:paraId="62114FDD" w14:textId="77777777" w:rsidR="00616641" w:rsidRPr="0049701B" w:rsidRDefault="00616641" w:rsidP="00616641">
      <w:pPr>
        <w:pStyle w:val="Noteundertable"/>
      </w:pPr>
      <w:r w:rsidRPr="0049701B">
        <w:rPr>
          <w:b/>
        </w:rPr>
        <w:t>Note:</w:t>
      </w:r>
      <w:r w:rsidRPr="0049701B">
        <w:tab/>
        <w:t>Columns may not total due to rounding.</w:t>
      </w:r>
    </w:p>
    <w:p w14:paraId="4D31C1D4" w14:textId="77777777" w:rsidR="00616641" w:rsidRPr="0049701B" w:rsidRDefault="00616641" w:rsidP="00616641">
      <w:pPr>
        <w:pStyle w:val="Heading5"/>
      </w:pPr>
      <w:r w:rsidRPr="0049701B">
        <w:t>Key categories</w:t>
      </w:r>
    </w:p>
    <w:p w14:paraId="08E5B51D" w14:textId="77777777" w:rsidR="00616641" w:rsidRPr="0049701B" w:rsidRDefault="00616641" w:rsidP="00616641">
      <w:pPr>
        <w:pStyle w:val="BodyText"/>
        <w:spacing w:before="100" w:after="100"/>
      </w:pPr>
      <w:r w:rsidRPr="0049701B">
        <w:rPr>
          <w:i/>
          <w:iCs/>
        </w:rPr>
        <w:t>Afforestation and reforestation</w:t>
      </w:r>
      <w:r w:rsidRPr="0049701B">
        <w:t xml:space="preserve">, </w:t>
      </w:r>
      <w:r w:rsidRPr="0049701B">
        <w:rPr>
          <w:i/>
          <w:iCs/>
        </w:rPr>
        <w:t>Deforestation</w:t>
      </w:r>
      <w:r w:rsidRPr="0049701B">
        <w:t xml:space="preserve"> and </w:t>
      </w:r>
      <w:r w:rsidRPr="0049701B">
        <w:rPr>
          <w:i/>
          <w:iCs/>
        </w:rPr>
        <w:t>Forest management</w:t>
      </w:r>
      <w:r w:rsidRPr="0049701B">
        <w:t xml:space="preserve"> are all included in key categories for New Zealand (</w:t>
      </w:r>
      <w:r w:rsidRPr="0049701B">
        <w:rPr>
          <w:i/>
          <w:iCs/>
        </w:rPr>
        <w:t>Forest land remaining forest land</w:t>
      </w:r>
      <w:r w:rsidRPr="0049701B">
        <w:t xml:space="preserve">, </w:t>
      </w:r>
      <w:r w:rsidRPr="0049701B">
        <w:rPr>
          <w:i/>
          <w:iCs/>
        </w:rPr>
        <w:t>Land converted to forest land</w:t>
      </w:r>
      <w:r w:rsidRPr="0049701B">
        <w:t xml:space="preserve"> or </w:t>
      </w:r>
      <w:r w:rsidRPr="0049701B">
        <w:rPr>
          <w:i/>
          <w:iCs/>
        </w:rPr>
        <w:t>Land converted to grassland</w:t>
      </w:r>
      <w:r w:rsidRPr="0049701B">
        <w:t xml:space="preserve">). See table 1.5.1, chapter 1 for more information. </w:t>
      </w:r>
    </w:p>
    <w:p w14:paraId="6F61DDDE" w14:textId="77777777" w:rsidR="00616641" w:rsidRPr="0049701B" w:rsidRDefault="00616641" w:rsidP="00616641">
      <w:pPr>
        <w:pStyle w:val="Heading3"/>
        <w:spacing w:before="320"/>
      </w:pPr>
      <w:bookmarkStart w:id="2706" w:name="_Toc400967253"/>
      <w:r w:rsidRPr="0049701B">
        <w:t xml:space="preserve">11.1.1 </w:t>
      </w:r>
      <w:r w:rsidRPr="0049701B">
        <w:tab/>
        <w:t>Definitions of forest and any other criteria</w:t>
      </w:r>
      <w:bookmarkEnd w:id="2706"/>
    </w:p>
    <w:p w14:paraId="188980AB" w14:textId="77777777" w:rsidR="00616641" w:rsidRPr="0049701B" w:rsidRDefault="00616641" w:rsidP="00616641">
      <w:pPr>
        <w:pStyle w:val="BodyText"/>
        <w:spacing w:before="100" w:after="100"/>
      </w:pPr>
      <w:r w:rsidRPr="0049701B">
        <w:t xml:space="preserve">New Zealand is using the same </w:t>
      </w:r>
      <w:r w:rsidRPr="0049701B">
        <w:rPr>
          <w:i/>
        </w:rPr>
        <w:t>Forest land</w:t>
      </w:r>
      <w:r w:rsidRPr="0049701B">
        <w:t xml:space="preserve"> definition for the period to 2020 as that used for the first commitment period and as defined in </w:t>
      </w:r>
      <w:r w:rsidRPr="0049701B">
        <w:rPr>
          <w:i/>
        </w:rPr>
        <w:t xml:space="preserve">New Zealand’s Initial Report under the Kyoto Protocol </w:t>
      </w:r>
      <w:r w:rsidRPr="0049701B">
        <w:t xml:space="preserve">(Ministry for the Environment, 2006). This definition is consistent with use in the Land Use, Land-Use Change and Forestry (LULUCF) sector under the UNFCCC reporting (chapter 6). Table 11.1.4 provides the defining parameters for </w:t>
      </w:r>
      <w:r w:rsidRPr="0049701B">
        <w:rPr>
          <w:i/>
        </w:rPr>
        <w:t>Forest land</w:t>
      </w:r>
      <w:r w:rsidRPr="0049701B">
        <w:t>.</w:t>
      </w:r>
    </w:p>
    <w:p w14:paraId="6E19CCB3" w14:textId="77777777" w:rsidR="00616641" w:rsidRPr="0049701B" w:rsidRDefault="00616641" w:rsidP="00616641">
      <w:pPr>
        <w:pStyle w:val="Table"/>
      </w:pPr>
      <w:bookmarkStart w:id="2707" w:name="_Toc280630485"/>
      <w:bookmarkStart w:id="2708" w:name="_Toc310423442"/>
      <w:bookmarkStart w:id="2709" w:name="_Toc318362735"/>
      <w:bookmarkStart w:id="2710" w:name="_Toc342470814"/>
      <w:bookmarkStart w:id="2711" w:name="_Toc352505067"/>
      <w:bookmarkStart w:id="2712" w:name="_Toc377043703"/>
      <w:bookmarkStart w:id="2713" w:name="_Toc391023555"/>
      <w:bookmarkStart w:id="2714" w:name="_Toc414531526"/>
      <w:bookmarkStart w:id="2715" w:name="_Toc456179105"/>
      <w:bookmarkStart w:id="2716" w:name="_Toc481751631"/>
      <w:bookmarkStart w:id="2717" w:name="_Toc522010656"/>
      <w:bookmarkStart w:id="2718" w:name="_Toc5269626"/>
      <w:bookmarkStart w:id="2719" w:name="_Toc36224708"/>
      <w:bookmarkStart w:id="2720" w:name="_Toc64987043"/>
      <w:bookmarkStart w:id="2721" w:name="_Toc68786593"/>
      <w:bookmarkStart w:id="2722" w:name="_Toc95321535"/>
      <w:bookmarkStart w:id="2723" w:name="_Toc99659387"/>
      <w:r w:rsidRPr="0049701B">
        <w:t>Table 11.1.4</w:t>
      </w:r>
      <w:r w:rsidRPr="0049701B">
        <w:tab/>
        <w:t xml:space="preserve">Parameters defining </w:t>
      </w:r>
      <w:r w:rsidRPr="0049701B">
        <w:rPr>
          <w:i/>
          <w:iCs/>
        </w:rPr>
        <w:t>Forest land</w:t>
      </w:r>
      <w:r w:rsidRPr="0049701B">
        <w:t xml:space="preserve"> in New Zealand</w:t>
      </w:r>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p>
    <w:tbl>
      <w:tblPr>
        <w:tblW w:w="8505" w:type="dxa"/>
        <w:tblInd w:w="113" w:type="dxa"/>
        <w:tblBorders>
          <w:top w:val="single" w:sz="4" w:space="0" w:color="1B556B"/>
          <w:bottom w:val="single" w:sz="4" w:space="0" w:color="1B556B"/>
          <w:insideH w:val="single" w:sz="4" w:space="0" w:color="1B556B"/>
          <w:insideV w:val="single" w:sz="4" w:space="0" w:color="1B556B"/>
        </w:tblBorders>
        <w:tblLook w:val="01E0" w:firstRow="1" w:lastRow="1" w:firstColumn="1" w:lastColumn="1" w:noHBand="0" w:noVBand="0"/>
      </w:tblPr>
      <w:tblGrid>
        <w:gridCol w:w="3061"/>
        <w:gridCol w:w="2683"/>
        <w:gridCol w:w="2761"/>
      </w:tblGrid>
      <w:tr w:rsidR="00616641" w:rsidRPr="0049701B" w14:paraId="79EEEB4F" w14:textId="77777777" w:rsidTr="007E3239">
        <w:tc>
          <w:tcPr>
            <w:tcW w:w="2672" w:type="dxa"/>
            <w:shd w:val="clear" w:color="auto" w:fill="1B556B"/>
            <w:vAlign w:val="center"/>
          </w:tcPr>
          <w:p w14:paraId="6ECEF226" w14:textId="77777777" w:rsidR="00616641" w:rsidRPr="0049701B" w:rsidRDefault="00616641" w:rsidP="007E3239">
            <w:pPr>
              <w:pStyle w:val="TableTextBold"/>
              <w:rPr>
                <w:noProof w:val="0"/>
                <w:color w:val="FFFFFF"/>
                <w:szCs w:val="16"/>
              </w:rPr>
            </w:pPr>
            <w:r w:rsidRPr="0049701B">
              <w:rPr>
                <w:noProof w:val="0"/>
                <w:color w:val="FFFFFF"/>
                <w:szCs w:val="16"/>
              </w:rPr>
              <w:t>Forest parameter</w:t>
            </w:r>
          </w:p>
        </w:tc>
        <w:tc>
          <w:tcPr>
            <w:tcW w:w="2341" w:type="dxa"/>
            <w:shd w:val="clear" w:color="auto" w:fill="1B556B"/>
            <w:vAlign w:val="center"/>
          </w:tcPr>
          <w:p w14:paraId="142C9737" w14:textId="77777777" w:rsidR="00616641" w:rsidRPr="0049701B" w:rsidRDefault="00616641" w:rsidP="007E3239">
            <w:pPr>
              <w:pStyle w:val="TableTextBold"/>
              <w:jc w:val="center"/>
              <w:rPr>
                <w:noProof w:val="0"/>
                <w:color w:val="FFFFFF"/>
                <w:szCs w:val="16"/>
              </w:rPr>
            </w:pPr>
            <w:r w:rsidRPr="0049701B">
              <w:rPr>
                <w:noProof w:val="0"/>
                <w:color w:val="FFFFFF"/>
                <w:szCs w:val="16"/>
              </w:rPr>
              <w:t>Kyoto Protocol range</w:t>
            </w:r>
          </w:p>
        </w:tc>
        <w:tc>
          <w:tcPr>
            <w:tcW w:w="2409" w:type="dxa"/>
            <w:shd w:val="clear" w:color="auto" w:fill="1B556B"/>
            <w:vAlign w:val="center"/>
          </w:tcPr>
          <w:p w14:paraId="0DB1D2C1" w14:textId="77777777" w:rsidR="00616641" w:rsidRPr="0049701B" w:rsidRDefault="00616641" w:rsidP="007E3239">
            <w:pPr>
              <w:pStyle w:val="TableTextBold"/>
              <w:jc w:val="center"/>
              <w:rPr>
                <w:noProof w:val="0"/>
                <w:color w:val="FFFFFF"/>
                <w:szCs w:val="16"/>
              </w:rPr>
            </w:pPr>
            <w:r w:rsidRPr="0049701B">
              <w:rPr>
                <w:noProof w:val="0"/>
                <w:color w:val="FFFFFF"/>
                <w:szCs w:val="16"/>
              </w:rPr>
              <w:t>New Zealand selected value</w:t>
            </w:r>
          </w:p>
        </w:tc>
      </w:tr>
      <w:tr w:rsidR="00616641" w:rsidRPr="0049701B" w14:paraId="79768759" w14:textId="77777777" w:rsidTr="007E3239">
        <w:tc>
          <w:tcPr>
            <w:tcW w:w="2672" w:type="dxa"/>
            <w:shd w:val="clear" w:color="auto" w:fill="auto"/>
            <w:vAlign w:val="center"/>
          </w:tcPr>
          <w:p w14:paraId="5DC6348D" w14:textId="77777777" w:rsidR="00616641" w:rsidRPr="0049701B" w:rsidRDefault="00616641" w:rsidP="007E3239">
            <w:pPr>
              <w:pStyle w:val="TableText"/>
              <w:spacing w:before="50" w:after="50"/>
              <w:rPr>
                <w:szCs w:val="16"/>
              </w:rPr>
            </w:pPr>
            <w:r w:rsidRPr="0049701B">
              <w:rPr>
                <w:szCs w:val="16"/>
              </w:rPr>
              <w:t>Minimum land area (ha)</w:t>
            </w:r>
          </w:p>
        </w:tc>
        <w:tc>
          <w:tcPr>
            <w:tcW w:w="2341" w:type="dxa"/>
            <w:shd w:val="clear" w:color="auto" w:fill="auto"/>
            <w:vAlign w:val="center"/>
          </w:tcPr>
          <w:p w14:paraId="17DAF2FF" w14:textId="77777777" w:rsidR="00616641" w:rsidRPr="0049701B" w:rsidRDefault="00616641" w:rsidP="007E3239">
            <w:pPr>
              <w:pStyle w:val="TableText"/>
              <w:spacing w:before="50" w:after="50"/>
              <w:jc w:val="center"/>
              <w:rPr>
                <w:szCs w:val="16"/>
              </w:rPr>
            </w:pPr>
            <w:r w:rsidRPr="0049701B">
              <w:rPr>
                <w:szCs w:val="16"/>
              </w:rPr>
              <w:t>0.05–1</w:t>
            </w:r>
          </w:p>
        </w:tc>
        <w:tc>
          <w:tcPr>
            <w:tcW w:w="2409" w:type="dxa"/>
            <w:shd w:val="clear" w:color="auto" w:fill="auto"/>
            <w:vAlign w:val="center"/>
          </w:tcPr>
          <w:p w14:paraId="45A8D815" w14:textId="77777777" w:rsidR="00616641" w:rsidRPr="0049701B" w:rsidRDefault="00616641" w:rsidP="007E3239">
            <w:pPr>
              <w:pStyle w:val="TableText"/>
              <w:spacing w:before="50" w:after="50"/>
              <w:jc w:val="center"/>
              <w:rPr>
                <w:bCs/>
                <w:szCs w:val="16"/>
              </w:rPr>
            </w:pPr>
            <w:r w:rsidRPr="0049701B">
              <w:rPr>
                <w:bCs/>
                <w:szCs w:val="16"/>
              </w:rPr>
              <w:t>1</w:t>
            </w:r>
          </w:p>
        </w:tc>
      </w:tr>
      <w:tr w:rsidR="00616641" w:rsidRPr="0049701B" w14:paraId="38DC4DD3" w14:textId="77777777" w:rsidTr="007E3239">
        <w:tc>
          <w:tcPr>
            <w:tcW w:w="2672" w:type="dxa"/>
            <w:shd w:val="clear" w:color="auto" w:fill="auto"/>
            <w:vAlign w:val="center"/>
          </w:tcPr>
          <w:p w14:paraId="53336CD9" w14:textId="77777777" w:rsidR="00616641" w:rsidRPr="0049701B" w:rsidRDefault="00616641" w:rsidP="007E3239">
            <w:pPr>
              <w:pStyle w:val="TableText"/>
              <w:spacing w:before="50" w:after="50"/>
              <w:rPr>
                <w:szCs w:val="16"/>
              </w:rPr>
            </w:pPr>
            <w:r w:rsidRPr="0049701B">
              <w:rPr>
                <w:szCs w:val="16"/>
              </w:rPr>
              <w:t>Minimum crown cover (%)</w:t>
            </w:r>
          </w:p>
        </w:tc>
        <w:tc>
          <w:tcPr>
            <w:tcW w:w="2341" w:type="dxa"/>
            <w:shd w:val="clear" w:color="auto" w:fill="auto"/>
            <w:vAlign w:val="center"/>
          </w:tcPr>
          <w:p w14:paraId="76E3A30F" w14:textId="77777777" w:rsidR="00616641" w:rsidRPr="0049701B" w:rsidRDefault="00616641" w:rsidP="007E3239">
            <w:pPr>
              <w:pStyle w:val="TableText"/>
              <w:spacing w:before="50" w:after="50"/>
              <w:jc w:val="center"/>
              <w:rPr>
                <w:szCs w:val="16"/>
              </w:rPr>
            </w:pPr>
            <w:r w:rsidRPr="0049701B">
              <w:rPr>
                <w:szCs w:val="16"/>
              </w:rPr>
              <w:t>10–30</w:t>
            </w:r>
          </w:p>
        </w:tc>
        <w:tc>
          <w:tcPr>
            <w:tcW w:w="2409" w:type="dxa"/>
            <w:shd w:val="clear" w:color="auto" w:fill="auto"/>
            <w:vAlign w:val="center"/>
          </w:tcPr>
          <w:p w14:paraId="15F37BAD" w14:textId="77777777" w:rsidR="00616641" w:rsidRPr="0049701B" w:rsidRDefault="00616641" w:rsidP="007E3239">
            <w:pPr>
              <w:pStyle w:val="TableText"/>
              <w:spacing w:before="50" w:after="50"/>
              <w:jc w:val="center"/>
              <w:rPr>
                <w:bCs/>
                <w:szCs w:val="16"/>
              </w:rPr>
            </w:pPr>
            <w:r w:rsidRPr="0049701B">
              <w:rPr>
                <w:bCs/>
                <w:szCs w:val="16"/>
              </w:rPr>
              <w:t>30</w:t>
            </w:r>
          </w:p>
        </w:tc>
      </w:tr>
      <w:tr w:rsidR="00616641" w:rsidRPr="0049701B" w14:paraId="076D82F4" w14:textId="77777777" w:rsidTr="007E3239">
        <w:tc>
          <w:tcPr>
            <w:tcW w:w="2672" w:type="dxa"/>
            <w:shd w:val="clear" w:color="auto" w:fill="auto"/>
            <w:vAlign w:val="center"/>
          </w:tcPr>
          <w:p w14:paraId="76A27768" w14:textId="77777777" w:rsidR="00616641" w:rsidRPr="0049701B" w:rsidRDefault="00616641" w:rsidP="007E3239">
            <w:pPr>
              <w:pStyle w:val="TableText"/>
              <w:spacing w:before="50" w:after="50"/>
              <w:rPr>
                <w:szCs w:val="16"/>
              </w:rPr>
            </w:pPr>
            <w:r w:rsidRPr="0049701B">
              <w:rPr>
                <w:szCs w:val="16"/>
              </w:rPr>
              <w:t>Minimum height (m)</w:t>
            </w:r>
          </w:p>
        </w:tc>
        <w:tc>
          <w:tcPr>
            <w:tcW w:w="2341" w:type="dxa"/>
            <w:shd w:val="clear" w:color="auto" w:fill="auto"/>
            <w:vAlign w:val="center"/>
          </w:tcPr>
          <w:p w14:paraId="51CBD63A" w14:textId="77777777" w:rsidR="00616641" w:rsidRPr="0049701B" w:rsidRDefault="00616641" w:rsidP="007E3239">
            <w:pPr>
              <w:pStyle w:val="TableText"/>
              <w:spacing w:before="50" w:after="50"/>
              <w:jc w:val="center"/>
              <w:rPr>
                <w:bCs/>
                <w:szCs w:val="16"/>
              </w:rPr>
            </w:pPr>
            <w:r w:rsidRPr="0049701B">
              <w:rPr>
                <w:bCs/>
                <w:szCs w:val="16"/>
              </w:rPr>
              <w:t>2–5</w:t>
            </w:r>
          </w:p>
        </w:tc>
        <w:tc>
          <w:tcPr>
            <w:tcW w:w="2409" w:type="dxa"/>
            <w:shd w:val="clear" w:color="auto" w:fill="auto"/>
            <w:vAlign w:val="center"/>
          </w:tcPr>
          <w:p w14:paraId="13E65C3E" w14:textId="77777777" w:rsidR="00616641" w:rsidRPr="0049701B" w:rsidRDefault="00616641" w:rsidP="007E3239">
            <w:pPr>
              <w:pStyle w:val="TableText"/>
              <w:spacing w:before="50" w:after="50"/>
              <w:jc w:val="center"/>
              <w:rPr>
                <w:bCs/>
                <w:szCs w:val="16"/>
              </w:rPr>
            </w:pPr>
            <w:r w:rsidRPr="0049701B">
              <w:rPr>
                <w:bCs/>
                <w:szCs w:val="16"/>
              </w:rPr>
              <w:t>5</w:t>
            </w:r>
          </w:p>
        </w:tc>
      </w:tr>
    </w:tbl>
    <w:p w14:paraId="0F45889C" w14:textId="77777777" w:rsidR="00616641" w:rsidRPr="0049701B" w:rsidRDefault="00616641" w:rsidP="00616641">
      <w:pPr>
        <w:pStyle w:val="Noteundertable"/>
      </w:pPr>
      <w:r w:rsidRPr="0049701B">
        <w:rPr>
          <w:b/>
        </w:rPr>
        <w:t>Note:</w:t>
      </w:r>
      <w:r w:rsidRPr="0049701B">
        <w:tab/>
        <w:t xml:space="preserve">The range values represent the minimum forest definition values, as defined under the Kyoto Protocol, Decision 16/CMP.1 (UNFCCC, 2006). </w:t>
      </w:r>
    </w:p>
    <w:p w14:paraId="79968476" w14:textId="77777777" w:rsidR="00616641" w:rsidRPr="0049701B" w:rsidRDefault="00616641" w:rsidP="00616641">
      <w:pPr>
        <w:pStyle w:val="BodyText"/>
        <w:spacing w:before="100" w:after="100"/>
      </w:pPr>
      <w:r w:rsidRPr="0049701B">
        <w:t xml:space="preserve">New Zealand also uses a minimum forest width of 30 metres, which excludes linear shelterbelts from the </w:t>
      </w:r>
      <w:r w:rsidRPr="0049701B">
        <w:rPr>
          <w:i/>
        </w:rPr>
        <w:t>Forest land</w:t>
      </w:r>
      <w:r w:rsidRPr="0049701B">
        <w:t xml:space="preserve"> category. Linear shelterbelts can vary in width and height, because they are trimmed and topped from time to time. Further, they form part of non</w:t>
      </w:r>
      <w:r w:rsidRPr="0049701B">
        <w:noBreakHyphen/>
        <w:t xml:space="preserve">forestland uses, namely </w:t>
      </w:r>
      <w:r w:rsidRPr="0049701B">
        <w:rPr>
          <w:i/>
        </w:rPr>
        <w:t>Cropland</w:t>
      </w:r>
      <w:r w:rsidRPr="0049701B">
        <w:t xml:space="preserve"> and </w:t>
      </w:r>
      <w:r w:rsidRPr="0049701B">
        <w:rPr>
          <w:i/>
        </w:rPr>
        <w:t>Grassland</w:t>
      </w:r>
      <w:r w:rsidRPr="0049701B">
        <w:rPr>
          <w:iCs/>
        </w:rPr>
        <w:t>,</w:t>
      </w:r>
      <w:r w:rsidRPr="0049701B">
        <w:t xml:space="preserve"> as shelter for crops and/or animals.</w:t>
      </w:r>
    </w:p>
    <w:p w14:paraId="1E64A120" w14:textId="77777777" w:rsidR="00616641" w:rsidRPr="0049701B" w:rsidRDefault="00616641" w:rsidP="00616641">
      <w:pPr>
        <w:pStyle w:val="BodyText"/>
        <w:spacing w:before="100" w:after="100"/>
      </w:pPr>
      <w:r w:rsidRPr="0049701B">
        <w:t>For reporting under the Kyoto Protocol, New Zealand has categorised its forests into four types: pre-1990 natural forest, pre-1990 planted forest, post-1989 planted forest and post</w:t>
      </w:r>
      <w:r w:rsidRPr="0049701B">
        <w:noBreakHyphen/>
        <w:t xml:space="preserve">1989 natural forest. These subcategories are also used for inventory reporting on the LULUCF sector under the UNFCCC (see chapter 6). </w:t>
      </w:r>
    </w:p>
    <w:p w14:paraId="1585FEA7" w14:textId="77777777" w:rsidR="00616641" w:rsidRPr="0049701B" w:rsidRDefault="00616641" w:rsidP="00616641">
      <w:pPr>
        <w:pStyle w:val="BodyText"/>
        <w:spacing w:before="100" w:after="100"/>
      </w:pPr>
      <w:r w:rsidRPr="0049701B">
        <w:t xml:space="preserve">For all post-1989 forest, emissions and removals from carbon losses and gains due to </w:t>
      </w:r>
      <w:r w:rsidRPr="0049701B">
        <w:rPr>
          <w:i/>
        </w:rPr>
        <w:t>Afforestation and reforestation</w:t>
      </w:r>
      <w:r w:rsidRPr="0049701B">
        <w:rPr>
          <w:rStyle w:val="FootnoteReference"/>
        </w:rPr>
        <w:footnoteReference w:id="72"/>
      </w:r>
      <w:r w:rsidRPr="0049701B">
        <w:t xml:space="preserve"> and </w:t>
      </w:r>
      <w:r w:rsidRPr="0049701B">
        <w:rPr>
          <w:i/>
        </w:rPr>
        <w:t xml:space="preserve">Deforestation </w:t>
      </w:r>
      <w:r w:rsidRPr="0049701B">
        <w:t xml:space="preserve">activities are reported under Article 3.3, along with emissions from </w:t>
      </w:r>
      <w:r w:rsidRPr="0049701B">
        <w:rPr>
          <w:i/>
        </w:rPr>
        <w:t>Deforestation</w:t>
      </w:r>
      <w:r w:rsidRPr="0049701B">
        <w:t xml:space="preserve"> activities in pre-1990 natural and pre-1990 planted forest. For all </w:t>
      </w:r>
      <w:r w:rsidRPr="0049701B">
        <w:rPr>
          <w:i/>
        </w:rPr>
        <w:t>Forest land</w:t>
      </w:r>
      <w:r w:rsidRPr="0049701B">
        <w:t xml:space="preserve"> that existed on 31 December 1989, which has been categorised as either pre-1990 natural forest or pre-1990 planted forest, all emissions and removals not associated with </w:t>
      </w:r>
      <w:r w:rsidRPr="0049701B">
        <w:rPr>
          <w:i/>
        </w:rPr>
        <w:t>Afforestation and reforestation</w:t>
      </w:r>
      <w:r w:rsidRPr="0049701B">
        <w:t xml:space="preserve"> or </w:t>
      </w:r>
      <w:r w:rsidRPr="0049701B">
        <w:rPr>
          <w:i/>
        </w:rPr>
        <w:t>Deforestation</w:t>
      </w:r>
      <w:r w:rsidRPr="0049701B">
        <w:t xml:space="preserve"> activities are reported under Article 3.4 – </w:t>
      </w:r>
      <w:r w:rsidRPr="0049701B">
        <w:rPr>
          <w:i/>
        </w:rPr>
        <w:t>Forest management</w:t>
      </w:r>
      <w:r w:rsidRPr="0049701B">
        <w:t xml:space="preserve">. Emissions and removals from the harvest and conversion of forest plantations and establishment of new forests that satisfy the requirements of Decision 2/CMP.7, Annex para 37 (UNFCCC, 2012), are reported under Article 3.4 – </w:t>
      </w:r>
      <w:r w:rsidRPr="0049701B">
        <w:rPr>
          <w:i/>
        </w:rPr>
        <w:t xml:space="preserve">Forest management </w:t>
      </w:r>
      <w:r w:rsidRPr="0049701B">
        <w:t>as carbon equivalent forests.</w:t>
      </w:r>
    </w:p>
    <w:p w14:paraId="5086FEB8" w14:textId="77777777" w:rsidR="00616641" w:rsidRPr="0049701B" w:rsidRDefault="00616641" w:rsidP="00616641">
      <w:pPr>
        <w:pStyle w:val="BodyText"/>
        <w:spacing w:before="100" w:after="100"/>
      </w:pPr>
      <w:r w:rsidRPr="0049701B">
        <w:lastRenderedPageBreak/>
        <w:t xml:space="preserve">The definition of forest used for reporting to the Food and Agriculture Organization is currently different from that used for reporting under the Convention and the Kyoto Protocol. For reporting to the FAO, New Zealand subdivided forests into two estates based on their biological characteristics, the management regimes applied to the forests and their respective roles and national objectives (Ministry of Agriculture and Forestry, 2002). The two estates are indigenous and planted production forest. The former estate is included within the pre-1990 natural forest as reported in this submission. The planted production forest area largely equates to the productive area in pre-1990 planted forest and post-1989 planted forest. </w:t>
      </w:r>
    </w:p>
    <w:p w14:paraId="65E6BF92" w14:textId="77777777" w:rsidR="00616641" w:rsidRPr="0049701B" w:rsidRDefault="00616641" w:rsidP="00616641">
      <w:pPr>
        <w:pStyle w:val="Heading3"/>
      </w:pPr>
      <w:bookmarkStart w:id="2724" w:name="_Toc261513281"/>
      <w:bookmarkStart w:id="2725" w:name="_Toc261513894"/>
      <w:bookmarkStart w:id="2726" w:name="_Toc280630384"/>
      <w:bookmarkStart w:id="2727" w:name="_Toc377043716"/>
      <w:bookmarkStart w:id="2728" w:name="_Toc400967254"/>
      <w:r w:rsidRPr="0049701B">
        <w:t>11.1.2</w:t>
      </w:r>
      <w:r w:rsidRPr="0049701B">
        <w:tab/>
        <w:t>Elected activities under Article 3.4</w:t>
      </w:r>
      <w:bookmarkEnd w:id="2724"/>
      <w:bookmarkEnd w:id="2725"/>
      <w:bookmarkEnd w:id="2726"/>
      <w:bookmarkEnd w:id="2727"/>
      <w:bookmarkEnd w:id="2728"/>
    </w:p>
    <w:p w14:paraId="60501F00" w14:textId="77777777" w:rsidR="00616641" w:rsidRPr="0049701B" w:rsidRDefault="00616641" w:rsidP="00616641">
      <w:pPr>
        <w:pStyle w:val="BodyText"/>
      </w:pPr>
      <w:r w:rsidRPr="0049701B">
        <w:t>New Zealand has not elected to report on any of the voluntary activities under Article 3.4 of the Kyoto Protocol for the second commitment period. This is consistent with New Zealand’s reporting for the first commitment period.</w:t>
      </w:r>
    </w:p>
    <w:p w14:paraId="7CC23078" w14:textId="77777777" w:rsidR="00616641" w:rsidRPr="0049701B" w:rsidRDefault="00616641" w:rsidP="00616641">
      <w:pPr>
        <w:pStyle w:val="Heading3"/>
      </w:pPr>
      <w:r w:rsidRPr="0049701B">
        <w:t xml:space="preserve">11.1.3 </w:t>
      </w:r>
      <w:r w:rsidRPr="0049701B">
        <w:tab/>
        <w:t>Election of the natural disturbance provision</w:t>
      </w:r>
    </w:p>
    <w:p w14:paraId="40CA53E5" w14:textId="77777777" w:rsidR="00616641" w:rsidRPr="0049701B" w:rsidRDefault="00616641" w:rsidP="00616641">
      <w:pPr>
        <w:pStyle w:val="BodyText"/>
        <w:spacing w:before="100" w:after="100"/>
      </w:pPr>
      <w:r w:rsidRPr="0049701B">
        <w:t xml:space="preserve">In the event of a significant natural disturbance, New Zealand intends to apply the provision to exclude emissions due to natural disturbances from accounting for </w:t>
      </w:r>
      <w:r w:rsidRPr="0049701B">
        <w:rPr>
          <w:i/>
        </w:rPr>
        <w:t>Afforestation and reforestation</w:t>
      </w:r>
      <w:r w:rsidRPr="0049701B">
        <w:t xml:space="preserve"> under Article 3.3, and </w:t>
      </w:r>
      <w:r w:rsidRPr="0049701B">
        <w:rPr>
          <w:i/>
        </w:rPr>
        <w:t>Forest management</w:t>
      </w:r>
      <w:r w:rsidRPr="0049701B">
        <w:t xml:space="preserve"> under Article 3.4, of the Kyoto Protocol, in accordance with Decision 2/CMP.7 (Annex, paras 33 and 34, UNFCCC, 2012). </w:t>
      </w:r>
    </w:p>
    <w:p w14:paraId="2D014C0A" w14:textId="77777777" w:rsidR="00616641" w:rsidRPr="0049701B" w:rsidRDefault="00616641" w:rsidP="00616641">
      <w:pPr>
        <w:pStyle w:val="BodyText"/>
        <w:spacing w:before="100" w:after="100"/>
      </w:pPr>
      <w:r w:rsidRPr="0049701B">
        <w:t>Information on how New Zealand has calculated the background level for natural disturbance is included in annex 5, section A5.2.</w:t>
      </w:r>
    </w:p>
    <w:p w14:paraId="25CED8ED" w14:textId="77777777" w:rsidR="00616641" w:rsidRPr="0049701B" w:rsidRDefault="00616641" w:rsidP="00616641">
      <w:pPr>
        <w:pStyle w:val="Heading3"/>
      </w:pPr>
      <w:bookmarkStart w:id="2729" w:name="_Toc261513282"/>
      <w:bookmarkStart w:id="2730" w:name="_Toc261513895"/>
      <w:bookmarkStart w:id="2731" w:name="_Toc280630385"/>
      <w:bookmarkStart w:id="2732" w:name="_Toc377043717"/>
      <w:bookmarkStart w:id="2733" w:name="_Toc400967255"/>
      <w:r w:rsidRPr="0049701B">
        <w:t>11.1.4</w:t>
      </w:r>
      <w:r w:rsidRPr="0049701B">
        <w:tab/>
        <w:t>Implementation of Article 3.3</w:t>
      </w:r>
      <w:bookmarkEnd w:id="2729"/>
      <w:bookmarkEnd w:id="2730"/>
      <w:bookmarkEnd w:id="2731"/>
      <w:bookmarkEnd w:id="2732"/>
      <w:r w:rsidRPr="0049701B">
        <w:t xml:space="preserve"> and Article 3.4</w:t>
      </w:r>
      <w:bookmarkEnd w:id="2733"/>
      <w:r w:rsidRPr="0049701B">
        <w:t xml:space="preserve"> reporting</w:t>
      </w:r>
    </w:p>
    <w:p w14:paraId="0B64C5E8" w14:textId="77777777" w:rsidR="00616641" w:rsidRPr="0049701B" w:rsidRDefault="00616641" w:rsidP="00616641">
      <w:pPr>
        <w:pStyle w:val="BodyText"/>
        <w:spacing w:before="100" w:after="100"/>
      </w:pPr>
      <w:r w:rsidRPr="0049701B">
        <w:t xml:space="preserve">New Zealand reports </w:t>
      </w:r>
      <w:r w:rsidRPr="0049701B">
        <w:rPr>
          <w:i/>
        </w:rPr>
        <w:t>Afforestation and reforestation</w:t>
      </w:r>
      <w:r w:rsidRPr="0049701B">
        <w:t xml:space="preserve">, </w:t>
      </w:r>
      <w:r w:rsidRPr="0049701B">
        <w:rPr>
          <w:i/>
        </w:rPr>
        <w:t>Deforestation</w:t>
      </w:r>
      <w:r w:rsidRPr="0049701B">
        <w:t xml:space="preserve"> and </w:t>
      </w:r>
      <w:r w:rsidRPr="0049701B">
        <w:rPr>
          <w:i/>
        </w:rPr>
        <w:t>Forest management</w:t>
      </w:r>
      <w:r w:rsidRPr="0049701B">
        <w:t xml:space="preserve"> under Article 3.3 and Article 3.4 respectively. In 2020, this covered 10,188,427 hectares, or 37.8 per cent, of New Zealand’s total land area.</w:t>
      </w:r>
    </w:p>
    <w:p w14:paraId="34090589" w14:textId="77777777" w:rsidR="00616641" w:rsidRPr="0049701B" w:rsidRDefault="00616641" w:rsidP="00616641">
      <w:pPr>
        <w:pStyle w:val="BodyText"/>
        <w:spacing w:before="100" w:after="100"/>
      </w:pPr>
      <w:r w:rsidRPr="0049701B">
        <w:t xml:space="preserve">The hierarchy used by New Zealand in the reporting of these activities is as set out in section 1.2 of the Kyoto Protocol Supplement (IPCC, 2014a). This hierarchy means that once a forest area has been identified as deforested, it remains in this category. Therefore, all subsequent stock changes, emissions and removals on this land are reported under </w:t>
      </w:r>
      <w:r w:rsidRPr="0049701B">
        <w:rPr>
          <w:i/>
        </w:rPr>
        <w:t>Deforestation</w:t>
      </w:r>
      <w:r w:rsidRPr="0049701B">
        <w:t>.</w:t>
      </w:r>
    </w:p>
    <w:p w14:paraId="592631B5" w14:textId="77777777" w:rsidR="00616641" w:rsidRPr="0049701B" w:rsidRDefault="00616641" w:rsidP="00616641">
      <w:pPr>
        <w:pStyle w:val="BodyText"/>
        <w:spacing w:before="100" w:after="100"/>
      </w:pPr>
      <w:r w:rsidRPr="0049701B">
        <w:t xml:space="preserve">Tracking of these deforested areas during the calculation and land use mapping processes (explained in chapter 6, section 6.2, and annex 3, section A3.2.2) ensures that land areas, once deforested, cannot be reported under </w:t>
      </w:r>
      <w:r w:rsidRPr="0049701B">
        <w:rPr>
          <w:i/>
        </w:rPr>
        <w:t>Afforestation and reforestation</w:t>
      </w:r>
      <w:r w:rsidRPr="0049701B">
        <w:t xml:space="preserve"> or </w:t>
      </w:r>
      <w:r w:rsidRPr="0049701B">
        <w:rPr>
          <w:i/>
        </w:rPr>
        <w:t>Forest management</w:t>
      </w:r>
      <w:r w:rsidRPr="0049701B">
        <w:t xml:space="preserve">, and that the emissions and removals associated with the new land use or any subsequent land uses are reported under </w:t>
      </w:r>
      <w:r w:rsidRPr="0049701B">
        <w:rPr>
          <w:i/>
        </w:rPr>
        <w:t>Deforestation</w:t>
      </w:r>
      <w:r w:rsidRPr="0049701B">
        <w:t>. The process for identification of deforested land is outlined in section 11.5.</w:t>
      </w:r>
    </w:p>
    <w:p w14:paraId="294DDDE6" w14:textId="77777777" w:rsidR="00616641" w:rsidRPr="0049701B" w:rsidRDefault="00616641" w:rsidP="00616641">
      <w:pPr>
        <w:pStyle w:val="BodyText"/>
        <w:spacing w:before="100" w:after="100"/>
      </w:pPr>
      <w:r w:rsidRPr="0049701B">
        <w:t xml:space="preserve">Areas subject to the carbon equivalent forest provision are tracked separately and reported under </w:t>
      </w:r>
      <w:r w:rsidRPr="0049701B">
        <w:rPr>
          <w:i/>
        </w:rPr>
        <w:t>Forest management</w:t>
      </w:r>
      <w:r w:rsidRPr="0049701B">
        <w:t xml:space="preserve"> (refer to sections 11.2.2 and 11.3.4 for more detail). </w:t>
      </w:r>
    </w:p>
    <w:p w14:paraId="2B467EAC" w14:textId="77777777" w:rsidR="00616641" w:rsidRPr="0049701B" w:rsidRDefault="00616641" w:rsidP="00616641">
      <w:pPr>
        <w:pStyle w:val="Heading2"/>
      </w:pPr>
      <w:bookmarkStart w:id="2734" w:name="_Toc261513283"/>
      <w:bookmarkStart w:id="2735" w:name="_Toc261513896"/>
      <w:bookmarkStart w:id="2736" w:name="_Toc280630386"/>
      <w:bookmarkStart w:id="2737" w:name="_Toc310423465"/>
      <w:bookmarkStart w:id="2738" w:name="_Toc342470733"/>
      <w:bookmarkStart w:id="2739" w:name="_Toc352504892"/>
      <w:bookmarkStart w:id="2740" w:name="_Toc377043718"/>
      <w:bookmarkStart w:id="2741" w:name="_Toc391023462"/>
      <w:bookmarkStart w:id="2742" w:name="_Toc400967256"/>
      <w:bookmarkStart w:id="2743" w:name="_Toc414531341"/>
      <w:bookmarkStart w:id="2744" w:name="_Toc456179170"/>
      <w:bookmarkStart w:id="2745" w:name="_Toc481751423"/>
      <w:bookmarkStart w:id="2746" w:name="_Toc522013962"/>
      <w:bookmarkStart w:id="2747" w:name="_Toc5269406"/>
      <w:bookmarkStart w:id="2748" w:name="_Toc36224446"/>
      <w:bookmarkStart w:id="2749" w:name="_Toc68786366"/>
      <w:bookmarkStart w:id="2750" w:name="_Toc99659172"/>
      <w:r w:rsidRPr="0049701B">
        <w:t>11.2</w:t>
      </w:r>
      <w:r w:rsidRPr="0049701B">
        <w:tab/>
        <w:t>Land-related information</w:t>
      </w:r>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p>
    <w:p w14:paraId="4A765637" w14:textId="77777777" w:rsidR="00616641" w:rsidRPr="0049701B" w:rsidRDefault="00616641" w:rsidP="00616641">
      <w:pPr>
        <w:pStyle w:val="Heading3"/>
        <w:spacing w:before="160"/>
      </w:pPr>
      <w:bookmarkStart w:id="2751" w:name="_Toc261513284"/>
      <w:bookmarkStart w:id="2752" w:name="_Toc261513897"/>
      <w:bookmarkStart w:id="2753" w:name="_Toc280630387"/>
      <w:bookmarkStart w:id="2754" w:name="_Toc377043719"/>
      <w:bookmarkStart w:id="2755" w:name="_Toc400967257"/>
      <w:r w:rsidRPr="0049701B">
        <w:t xml:space="preserve">11.2.1 </w:t>
      </w:r>
      <w:r w:rsidRPr="0049701B">
        <w:tab/>
        <w:t>Spatial assessment unit</w:t>
      </w:r>
      <w:bookmarkEnd w:id="2751"/>
      <w:bookmarkEnd w:id="2752"/>
      <w:bookmarkEnd w:id="2753"/>
      <w:bookmarkEnd w:id="2754"/>
      <w:bookmarkEnd w:id="2755"/>
    </w:p>
    <w:p w14:paraId="38D64BA1" w14:textId="77777777" w:rsidR="00616641" w:rsidRPr="0049701B" w:rsidRDefault="00616641" w:rsidP="00616641">
      <w:pPr>
        <w:pStyle w:val="BodyText"/>
        <w:spacing w:before="100" w:after="100"/>
      </w:pPr>
      <w:r w:rsidRPr="0049701B">
        <w:t>New Zealand is using a minimum mapping unit of 1 hectare.</w:t>
      </w:r>
    </w:p>
    <w:p w14:paraId="10203C8D" w14:textId="77777777" w:rsidR="00616641" w:rsidRPr="0049701B" w:rsidRDefault="00616641" w:rsidP="00616641">
      <w:pPr>
        <w:pStyle w:val="Heading3"/>
        <w:spacing w:before="280"/>
      </w:pPr>
      <w:bookmarkStart w:id="2756" w:name="_Toc261513285"/>
      <w:bookmarkStart w:id="2757" w:name="_Toc261513898"/>
      <w:bookmarkStart w:id="2758" w:name="_Toc280630388"/>
      <w:bookmarkStart w:id="2759" w:name="_Toc377043720"/>
      <w:bookmarkStart w:id="2760" w:name="_Toc400967258"/>
      <w:r w:rsidRPr="0049701B">
        <w:lastRenderedPageBreak/>
        <w:t xml:space="preserve">11.2.2 </w:t>
      </w:r>
      <w:r w:rsidRPr="0049701B">
        <w:tab/>
        <w:t>Methodology for land transition matrix</w:t>
      </w:r>
      <w:bookmarkEnd w:id="2756"/>
      <w:bookmarkEnd w:id="2757"/>
      <w:bookmarkEnd w:id="2758"/>
      <w:bookmarkEnd w:id="2759"/>
      <w:bookmarkEnd w:id="2760"/>
    </w:p>
    <w:p w14:paraId="3FBFB7A0" w14:textId="77777777" w:rsidR="00616641" w:rsidRPr="0049701B" w:rsidRDefault="00616641" w:rsidP="00616641">
      <w:pPr>
        <w:pStyle w:val="BodyText"/>
      </w:pPr>
      <w:r w:rsidRPr="0049701B">
        <w:t>The land transition matrix is based on data derived from the following sources:</w:t>
      </w:r>
    </w:p>
    <w:p w14:paraId="38F45D20" w14:textId="77777777" w:rsidR="00616641" w:rsidRPr="0049701B" w:rsidRDefault="00616641" w:rsidP="00616641">
      <w:pPr>
        <w:pStyle w:val="Bullet"/>
      </w:pPr>
      <w:r w:rsidRPr="0049701B">
        <w:t>the 1990, 2008, 2012 and 2016 land use maps (see annex 3, section A3.2.2)</w:t>
      </w:r>
    </w:p>
    <w:p w14:paraId="11A572F6" w14:textId="77777777" w:rsidR="00616641" w:rsidRPr="0049701B" w:rsidRDefault="00616641" w:rsidP="00616641">
      <w:pPr>
        <w:pStyle w:val="Bullet"/>
      </w:pPr>
      <w:r w:rsidRPr="0049701B">
        <w:t>an estimate of total afforestation for planted forest for the period 2017 to 2020 is based on the National Exotic Forest Description (NEFD) (Ministry for Primary Industries, 2020b)</w:t>
      </w:r>
    </w:p>
    <w:p w14:paraId="13381525" w14:textId="77777777" w:rsidR="00616641" w:rsidRPr="0049701B" w:rsidRDefault="00616641" w:rsidP="00616641">
      <w:pPr>
        <w:pStyle w:val="Bullet"/>
      </w:pPr>
      <w:r w:rsidRPr="0049701B">
        <w:t>the annual area of afforestation of post-1989 natural forest for 2017 to 2019 is estimated from the Ministry for Primary Industries afforestation scheme data</w:t>
      </w:r>
    </w:p>
    <w:p w14:paraId="698FF4BF" w14:textId="77777777" w:rsidR="00616641" w:rsidRPr="0049701B" w:rsidRDefault="00616641" w:rsidP="00616641">
      <w:pPr>
        <w:pStyle w:val="Bullet"/>
      </w:pPr>
      <w:r w:rsidRPr="0049701B">
        <w:t>the area of post-1989 natural afforestation for 2020 is estimated from the Afforestation and Deforestation Intentions Survey for 2020 by taking the total area of ‘natural reversion’ and ‘indigenous tall planted’ (Manley, 2021)</w:t>
      </w:r>
    </w:p>
    <w:p w14:paraId="52AD2817" w14:textId="77777777" w:rsidR="00616641" w:rsidRPr="0049701B" w:rsidRDefault="00616641" w:rsidP="00616641">
      <w:pPr>
        <w:pStyle w:val="Bullet"/>
      </w:pPr>
      <w:r w:rsidRPr="0049701B">
        <w:t>for post-1989 natural forest dominated by wilding exotic conifers, a linear extrapolation of the mapped area of land use change between 2012 and 2016 (for this forest type) was used to estimate afforestation for 2017 to 2020</w:t>
      </w:r>
    </w:p>
    <w:p w14:paraId="57E7D8FD" w14:textId="77777777" w:rsidR="00616641" w:rsidRPr="0049701B" w:rsidRDefault="00616641" w:rsidP="00616641">
      <w:pPr>
        <w:pStyle w:val="Bullet"/>
      </w:pPr>
      <w:r w:rsidRPr="0049701B">
        <w:t>deforestation mapping for 2008 to 2016 (Indufor Asia Pacific, 2013, 2016, 2018)</w:t>
      </w:r>
      <w:r w:rsidRPr="0049701B" w:rsidDel="00D152CF">
        <w:t xml:space="preserve"> </w:t>
      </w:r>
    </w:p>
    <w:p w14:paraId="747C4B8E" w14:textId="77777777" w:rsidR="00616641" w:rsidRPr="0049701B" w:rsidRDefault="00616641" w:rsidP="00616641">
      <w:pPr>
        <w:pStyle w:val="Bullet"/>
      </w:pPr>
      <w:r w:rsidRPr="0049701B">
        <w:t xml:space="preserve">the area of deforestation during 2017 has been estimated based on provisional deforestation mapping for that year </w:t>
      </w:r>
    </w:p>
    <w:p w14:paraId="5F6B8B22" w14:textId="77777777" w:rsidR="00616641" w:rsidRPr="0049701B" w:rsidRDefault="00616641" w:rsidP="00616641">
      <w:pPr>
        <w:pStyle w:val="Bullet"/>
      </w:pPr>
      <w:r w:rsidRPr="0049701B">
        <w:t xml:space="preserve">estimates for 2018 and 2019 have been based on the Deforestation Intentions Survey for 2018 (Manley, 2019) </w:t>
      </w:r>
    </w:p>
    <w:p w14:paraId="3BC57DA1" w14:textId="77777777" w:rsidR="00616641" w:rsidRPr="0049701B" w:rsidRDefault="00616641" w:rsidP="00616641">
      <w:pPr>
        <w:pStyle w:val="Bullet"/>
      </w:pPr>
      <w:r w:rsidRPr="0049701B">
        <w:t>the estimate for 2020 has been based on the Afforestation and Deforestation Intentions Survey 2020 (Manley, 2021). Further information on the methods used to estimate deforestation are described in annex 3, section A3.2.2.</w:t>
      </w:r>
    </w:p>
    <w:p w14:paraId="22716102" w14:textId="77777777" w:rsidR="00616641" w:rsidRPr="0049701B" w:rsidRDefault="00616641" w:rsidP="00616641">
      <w:pPr>
        <w:pStyle w:val="BodyText"/>
      </w:pPr>
      <w:r w:rsidRPr="0049701B">
        <w:t xml:space="preserve">Due to the land use category definitions used by New Zealand, which split forests established before 1990 from those established after 1989, the land transition matrix is derived from the sequence of land-use changes occurring through the reporting period. Using the 1990 land use map as the baseline, areas of deforestation can be tracked through time to ensure that, regardless of subsequent land-use change, the net emissions that occur on the deforested land are reported under </w:t>
      </w:r>
      <w:r w:rsidRPr="0049701B">
        <w:rPr>
          <w:i/>
        </w:rPr>
        <w:t>Deforestation</w:t>
      </w:r>
      <w:r w:rsidRPr="0049701B">
        <w:t xml:space="preserve">. Where a pre-1990 planted forest is harvested and converted to another land use under the carbon equivalent forest provision, the land is tracked spatially and its net emissions are reported under </w:t>
      </w:r>
      <w:r w:rsidRPr="0049701B">
        <w:rPr>
          <w:i/>
        </w:rPr>
        <w:t>Forest management</w:t>
      </w:r>
      <w:r w:rsidRPr="0049701B">
        <w:t xml:space="preserve">, as are the areas and net emissions due to the new forest that was established to compensate for the harvested and converted forest. </w:t>
      </w:r>
    </w:p>
    <w:p w14:paraId="72A34332" w14:textId="77777777" w:rsidR="00616641" w:rsidRPr="0049701B" w:rsidRDefault="00616641" w:rsidP="00616641">
      <w:pPr>
        <w:pStyle w:val="BodyText"/>
      </w:pPr>
      <w:r w:rsidRPr="0049701B">
        <w:t>The relationship between mapped land-use changes and activities reported under Article 3.3 and Article 3.4 is shown in table 11.2.1.</w:t>
      </w:r>
    </w:p>
    <w:p w14:paraId="7C55BB37" w14:textId="77777777" w:rsidR="00616641" w:rsidRPr="0049701B" w:rsidRDefault="00616641" w:rsidP="00616641">
      <w:pPr>
        <w:pStyle w:val="Table"/>
      </w:pPr>
      <w:bookmarkStart w:id="2761" w:name="_Toc414531529"/>
      <w:bookmarkStart w:id="2762" w:name="_Toc456179106"/>
      <w:bookmarkStart w:id="2763" w:name="_Toc481751632"/>
      <w:bookmarkStart w:id="2764" w:name="_Toc522010657"/>
      <w:bookmarkStart w:id="2765" w:name="_Toc5269627"/>
      <w:bookmarkStart w:id="2766" w:name="_Toc36224709"/>
      <w:bookmarkStart w:id="2767" w:name="_Toc64987044"/>
      <w:bookmarkStart w:id="2768" w:name="_Toc68786594"/>
      <w:bookmarkStart w:id="2769" w:name="_Toc95321536"/>
      <w:bookmarkStart w:id="2770" w:name="_Toc99659388"/>
      <w:r w:rsidRPr="0049701B">
        <w:t>Table 11.2.1</w:t>
      </w:r>
      <w:r w:rsidRPr="0049701B">
        <w:tab/>
        <w:t>Relationship between mapped land-use changes and activities reported under</w:t>
      </w:r>
      <w:r w:rsidRPr="0049701B">
        <w:br/>
        <w:t>Article 3.3 and Article 3.4</w:t>
      </w:r>
      <w:bookmarkEnd w:id="2761"/>
      <w:bookmarkEnd w:id="2762"/>
      <w:bookmarkEnd w:id="2763"/>
      <w:bookmarkEnd w:id="2764"/>
      <w:bookmarkEnd w:id="2765"/>
      <w:bookmarkEnd w:id="2766"/>
      <w:bookmarkEnd w:id="2767"/>
      <w:bookmarkEnd w:id="2768"/>
      <w:bookmarkEnd w:id="2769"/>
      <w:bookmarkEnd w:id="2770"/>
    </w:p>
    <w:tbl>
      <w:tblPr>
        <w:tblW w:w="8505" w:type="dxa"/>
        <w:tblInd w:w="113" w:type="dxa"/>
        <w:tblBorders>
          <w:top w:val="single" w:sz="4" w:space="0" w:color="1B556B"/>
          <w:bottom w:val="single" w:sz="4" w:space="0" w:color="1B556B"/>
          <w:insideH w:val="single" w:sz="4" w:space="0" w:color="1B556B"/>
          <w:insideV w:val="single" w:sz="4" w:space="0" w:color="1B556B"/>
        </w:tblBorders>
        <w:tblLayout w:type="fixed"/>
        <w:tblCellMar>
          <w:left w:w="85" w:type="dxa"/>
          <w:right w:w="85" w:type="dxa"/>
        </w:tblCellMar>
        <w:tblLook w:val="04A0" w:firstRow="1" w:lastRow="0" w:firstColumn="1" w:lastColumn="0" w:noHBand="0" w:noVBand="1"/>
      </w:tblPr>
      <w:tblGrid>
        <w:gridCol w:w="1276"/>
        <w:gridCol w:w="941"/>
        <w:gridCol w:w="1015"/>
        <w:gridCol w:w="860"/>
        <w:gridCol w:w="846"/>
        <w:gridCol w:w="860"/>
        <w:gridCol w:w="790"/>
        <w:gridCol w:w="1015"/>
        <w:gridCol w:w="902"/>
      </w:tblGrid>
      <w:tr w:rsidR="00616641" w:rsidRPr="0049701B" w14:paraId="2F788CCE" w14:textId="77777777" w:rsidTr="007E3239">
        <w:trPr>
          <w:tblHeader/>
        </w:trPr>
        <w:tc>
          <w:tcPr>
            <w:tcW w:w="1276" w:type="dxa"/>
            <w:shd w:val="clear" w:color="auto" w:fill="1B556B"/>
            <w:tcMar>
              <w:left w:w="85" w:type="dxa"/>
              <w:right w:w="85" w:type="dxa"/>
            </w:tcMar>
            <w:vAlign w:val="bottom"/>
          </w:tcPr>
          <w:p w14:paraId="7FFC161A" w14:textId="77777777" w:rsidR="00616641" w:rsidRPr="0049701B" w:rsidRDefault="004B48CC" w:rsidP="007E3239">
            <w:pPr>
              <w:pStyle w:val="TableTextBold"/>
              <w:spacing w:before="40" w:after="120"/>
              <w:ind w:right="169"/>
              <w:jc w:val="right"/>
              <w:rPr>
                <w:rFonts w:cs="Calibri"/>
                <w:noProof w:val="0"/>
                <w:color w:val="FFFFFF"/>
                <w:szCs w:val="16"/>
              </w:rPr>
            </w:pPr>
            <w:r>
              <w:rPr>
                <w:noProof w:val="0"/>
              </w:rPr>
              <w:pict w14:anchorId="3AA78DAB">
                <v:line id="Straight Connector 196" o:spid="_x0000_s2072" style="position:absolute;left:0;text-align:left;z-index:3;visibility:visible;mso-wrap-style:square;mso-wrap-distance-left:9pt;mso-wrap-distance-top:0;mso-wrap-distance-right:9pt;mso-wrap-distance-bottom:0;mso-position-horizontal-relative:text;mso-position-vertical-relative:text;mso-width-relative:margin;mso-height-relative:margin" from="-1.4pt,1.45pt" to="56.4pt,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" strokecolor="window" strokeweight=".5pt">
                  <v:stroke joinstyle="miter"/>
                  <o:lock v:ext="edit" shapetype="f"/>
                </v:line>
              </w:pict>
            </w:r>
            <w:r w:rsidR="00616641" w:rsidRPr="0049701B">
              <w:rPr>
                <w:rFonts w:cs="Calibri"/>
                <w:noProof w:val="0"/>
                <w:color w:val="FFFFFF"/>
                <w:szCs w:val="16"/>
              </w:rPr>
              <w:t>Final</w:t>
            </w:r>
          </w:p>
          <w:p w14:paraId="04E8DDA8" w14:textId="77777777" w:rsidR="00616641" w:rsidRPr="0049701B" w:rsidRDefault="00616641" w:rsidP="007E3239">
            <w:pPr>
              <w:pStyle w:val="TableTextBold"/>
              <w:spacing w:before="40" w:after="40"/>
              <w:rPr>
                <w:rFonts w:cs="Calibri"/>
                <w:noProof w:val="0"/>
                <w:color w:val="FFFFFF"/>
                <w:szCs w:val="16"/>
              </w:rPr>
            </w:pPr>
            <w:r w:rsidRPr="0049701B">
              <w:rPr>
                <w:rFonts w:cs="Calibri"/>
                <w:noProof w:val="0"/>
                <w:color w:val="FFFFFF"/>
                <w:szCs w:val="16"/>
              </w:rPr>
              <w:t>Initial</w:t>
            </w:r>
          </w:p>
        </w:tc>
        <w:tc>
          <w:tcPr>
            <w:tcW w:w="941" w:type="dxa"/>
            <w:shd w:val="clear" w:color="auto" w:fill="1B556B"/>
            <w:tcMar>
              <w:left w:w="85" w:type="dxa"/>
              <w:right w:w="85" w:type="dxa"/>
            </w:tcMar>
            <w:vAlign w:val="bottom"/>
          </w:tcPr>
          <w:p w14:paraId="748C3365" w14:textId="77777777" w:rsidR="00616641" w:rsidRPr="0049701B" w:rsidRDefault="00616641" w:rsidP="007E3239">
            <w:pPr>
              <w:pStyle w:val="TableTextBold"/>
              <w:spacing w:before="40" w:after="40"/>
              <w:jc w:val="center"/>
              <w:rPr>
                <w:rFonts w:cs="Calibri"/>
                <w:noProof w:val="0"/>
                <w:color w:val="FFFFFF"/>
                <w:szCs w:val="16"/>
              </w:rPr>
            </w:pPr>
            <w:r w:rsidRPr="0049701B">
              <w:rPr>
                <w:rFonts w:cs="Calibri"/>
                <w:noProof w:val="0"/>
                <w:color w:val="FFFFFF"/>
                <w:szCs w:val="16"/>
              </w:rPr>
              <w:t>Pre-1990 natural forest</w:t>
            </w:r>
          </w:p>
        </w:tc>
        <w:tc>
          <w:tcPr>
            <w:tcW w:w="1015" w:type="dxa"/>
            <w:shd w:val="clear" w:color="auto" w:fill="1B556B"/>
            <w:tcMar>
              <w:left w:w="85" w:type="dxa"/>
              <w:right w:w="85" w:type="dxa"/>
            </w:tcMar>
            <w:vAlign w:val="bottom"/>
          </w:tcPr>
          <w:p w14:paraId="419CA0D4" w14:textId="77777777" w:rsidR="00616641" w:rsidRPr="0049701B" w:rsidRDefault="00616641" w:rsidP="007E3239">
            <w:pPr>
              <w:pStyle w:val="TableTextBold"/>
              <w:spacing w:before="40" w:after="40"/>
              <w:jc w:val="center"/>
              <w:rPr>
                <w:rFonts w:cs="Calibri"/>
                <w:noProof w:val="0"/>
                <w:color w:val="FFFFFF"/>
                <w:szCs w:val="16"/>
              </w:rPr>
            </w:pPr>
            <w:r w:rsidRPr="0049701B">
              <w:rPr>
                <w:rFonts w:cs="Calibri"/>
                <w:noProof w:val="0"/>
                <w:color w:val="FFFFFF"/>
                <w:szCs w:val="16"/>
              </w:rPr>
              <w:t>Pre-1990 planted forest</w:t>
            </w:r>
          </w:p>
        </w:tc>
        <w:tc>
          <w:tcPr>
            <w:tcW w:w="860" w:type="dxa"/>
            <w:shd w:val="clear" w:color="auto" w:fill="1B556B"/>
            <w:tcMar>
              <w:left w:w="85" w:type="dxa"/>
              <w:right w:w="85" w:type="dxa"/>
            </w:tcMar>
            <w:vAlign w:val="bottom"/>
          </w:tcPr>
          <w:p w14:paraId="30D2B7AA" w14:textId="77777777" w:rsidR="00616641" w:rsidRPr="0049701B" w:rsidRDefault="00616641" w:rsidP="007E3239">
            <w:pPr>
              <w:pStyle w:val="TableTextBold"/>
              <w:spacing w:before="40" w:after="40"/>
              <w:jc w:val="center"/>
              <w:rPr>
                <w:rFonts w:cs="Calibri"/>
                <w:noProof w:val="0"/>
                <w:color w:val="FFFFFF"/>
                <w:szCs w:val="16"/>
              </w:rPr>
            </w:pPr>
            <w:r w:rsidRPr="0049701B">
              <w:rPr>
                <w:rFonts w:cs="Calibri"/>
                <w:noProof w:val="0"/>
                <w:color w:val="FFFFFF"/>
                <w:szCs w:val="16"/>
              </w:rPr>
              <w:t>Post-1989 forest</w:t>
            </w:r>
          </w:p>
        </w:tc>
        <w:tc>
          <w:tcPr>
            <w:tcW w:w="846" w:type="dxa"/>
            <w:shd w:val="clear" w:color="auto" w:fill="1B556B"/>
            <w:tcMar>
              <w:left w:w="85" w:type="dxa"/>
              <w:right w:w="85" w:type="dxa"/>
            </w:tcMar>
            <w:vAlign w:val="bottom"/>
          </w:tcPr>
          <w:p w14:paraId="1EDCB5A6" w14:textId="77777777" w:rsidR="00616641" w:rsidRPr="0049701B" w:rsidRDefault="00616641" w:rsidP="007E3239">
            <w:pPr>
              <w:pStyle w:val="TableTextBold"/>
              <w:spacing w:before="40" w:after="40"/>
              <w:jc w:val="center"/>
              <w:rPr>
                <w:rFonts w:cs="Calibri"/>
                <w:noProof w:val="0"/>
                <w:color w:val="FFFFFF"/>
                <w:szCs w:val="16"/>
              </w:rPr>
            </w:pPr>
            <w:r w:rsidRPr="0049701B">
              <w:rPr>
                <w:rFonts w:cs="Calibri"/>
                <w:noProof w:val="0"/>
                <w:color w:val="FFFFFF"/>
                <w:szCs w:val="16"/>
              </w:rPr>
              <w:t>Grassland</w:t>
            </w:r>
          </w:p>
        </w:tc>
        <w:tc>
          <w:tcPr>
            <w:tcW w:w="860" w:type="dxa"/>
            <w:shd w:val="clear" w:color="auto" w:fill="1B556B"/>
            <w:tcMar>
              <w:left w:w="85" w:type="dxa"/>
              <w:right w:w="85" w:type="dxa"/>
            </w:tcMar>
            <w:vAlign w:val="bottom"/>
          </w:tcPr>
          <w:p w14:paraId="14316053" w14:textId="77777777" w:rsidR="00616641" w:rsidRPr="0049701B" w:rsidRDefault="00616641" w:rsidP="007E3239">
            <w:pPr>
              <w:pStyle w:val="TableTextBold"/>
              <w:spacing w:before="40" w:after="40"/>
              <w:jc w:val="center"/>
              <w:rPr>
                <w:rFonts w:cs="Calibri"/>
                <w:noProof w:val="0"/>
                <w:color w:val="FFFFFF"/>
                <w:szCs w:val="16"/>
              </w:rPr>
            </w:pPr>
            <w:r w:rsidRPr="0049701B">
              <w:rPr>
                <w:rFonts w:cs="Calibri"/>
                <w:noProof w:val="0"/>
                <w:color w:val="FFFFFF"/>
                <w:szCs w:val="16"/>
              </w:rPr>
              <w:t>Cropland</w:t>
            </w:r>
          </w:p>
        </w:tc>
        <w:tc>
          <w:tcPr>
            <w:tcW w:w="790" w:type="dxa"/>
            <w:shd w:val="clear" w:color="auto" w:fill="1B556B"/>
            <w:tcMar>
              <w:left w:w="85" w:type="dxa"/>
              <w:right w:w="85" w:type="dxa"/>
            </w:tcMar>
            <w:vAlign w:val="bottom"/>
          </w:tcPr>
          <w:p w14:paraId="4548FA69" w14:textId="77777777" w:rsidR="00616641" w:rsidRPr="0049701B" w:rsidRDefault="00616641" w:rsidP="007E3239">
            <w:pPr>
              <w:pStyle w:val="TableTextBold"/>
              <w:spacing w:before="40" w:after="40"/>
              <w:jc w:val="center"/>
              <w:rPr>
                <w:rFonts w:cs="Calibri"/>
                <w:noProof w:val="0"/>
                <w:color w:val="FFFFFF"/>
                <w:szCs w:val="16"/>
              </w:rPr>
            </w:pPr>
            <w:r w:rsidRPr="0049701B">
              <w:rPr>
                <w:rFonts w:cs="Calibri"/>
                <w:noProof w:val="0"/>
                <w:color w:val="FFFFFF"/>
                <w:szCs w:val="16"/>
              </w:rPr>
              <w:t>Wetland</w:t>
            </w:r>
          </w:p>
        </w:tc>
        <w:tc>
          <w:tcPr>
            <w:tcW w:w="1015" w:type="dxa"/>
            <w:shd w:val="clear" w:color="auto" w:fill="1B556B"/>
            <w:tcMar>
              <w:left w:w="85" w:type="dxa"/>
              <w:right w:w="85" w:type="dxa"/>
            </w:tcMar>
            <w:vAlign w:val="bottom"/>
          </w:tcPr>
          <w:p w14:paraId="1BBB7912" w14:textId="77777777" w:rsidR="00616641" w:rsidRPr="0049701B" w:rsidRDefault="00616641" w:rsidP="007E3239">
            <w:pPr>
              <w:pStyle w:val="TableTextBold"/>
              <w:spacing w:before="40" w:after="40"/>
              <w:jc w:val="center"/>
              <w:rPr>
                <w:rFonts w:cs="Calibri"/>
                <w:noProof w:val="0"/>
                <w:color w:val="FFFFFF"/>
                <w:szCs w:val="16"/>
              </w:rPr>
            </w:pPr>
            <w:r w:rsidRPr="0049701B">
              <w:rPr>
                <w:rFonts w:cs="Calibri"/>
                <w:noProof w:val="0"/>
                <w:color w:val="FFFFFF"/>
                <w:szCs w:val="16"/>
              </w:rPr>
              <w:t>Settlements</w:t>
            </w:r>
          </w:p>
        </w:tc>
        <w:tc>
          <w:tcPr>
            <w:tcW w:w="902" w:type="dxa"/>
            <w:shd w:val="clear" w:color="auto" w:fill="1B556B"/>
            <w:tcMar>
              <w:left w:w="85" w:type="dxa"/>
              <w:right w:w="85" w:type="dxa"/>
            </w:tcMar>
            <w:vAlign w:val="bottom"/>
          </w:tcPr>
          <w:p w14:paraId="022062BD" w14:textId="77777777" w:rsidR="00616641" w:rsidRPr="0049701B" w:rsidRDefault="00616641" w:rsidP="007E3239">
            <w:pPr>
              <w:pStyle w:val="TableTextBold"/>
              <w:spacing w:before="40" w:after="40"/>
              <w:jc w:val="center"/>
              <w:rPr>
                <w:rFonts w:cs="Calibri"/>
                <w:noProof w:val="0"/>
                <w:color w:val="FFFFFF"/>
                <w:szCs w:val="16"/>
              </w:rPr>
            </w:pPr>
            <w:r w:rsidRPr="0049701B">
              <w:rPr>
                <w:rFonts w:cs="Calibri"/>
                <w:noProof w:val="0"/>
                <w:color w:val="FFFFFF"/>
                <w:szCs w:val="16"/>
              </w:rPr>
              <w:t>Other land</w:t>
            </w:r>
          </w:p>
        </w:tc>
      </w:tr>
      <w:tr w:rsidR="00616641" w:rsidRPr="0049701B" w14:paraId="248E128B" w14:textId="77777777" w:rsidTr="007E3239">
        <w:tc>
          <w:tcPr>
            <w:tcW w:w="1276" w:type="dxa"/>
            <w:shd w:val="clear" w:color="auto" w:fill="auto"/>
            <w:tcMar>
              <w:left w:w="85" w:type="dxa"/>
              <w:right w:w="85" w:type="dxa"/>
            </w:tcMar>
          </w:tcPr>
          <w:p w14:paraId="3EBE91C1" w14:textId="77777777" w:rsidR="00616641" w:rsidRPr="0049701B" w:rsidRDefault="00616641" w:rsidP="007E3239">
            <w:pPr>
              <w:pStyle w:val="TableText"/>
              <w:spacing w:before="40" w:after="40"/>
              <w:rPr>
                <w:rFonts w:cs="Calibri"/>
                <w:szCs w:val="16"/>
              </w:rPr>
            </w:pPr>
            <w:r w:rsidRPr="0049701B">
              <w:rPr>
                <w:rFonts w:cs="Calibri"/>
                <w:szCs w:val="16"/>
              </w:rPr>
              <w:t>Pre-1990 natural forest</w:t>
            </w:r>
          </w:p>
        </w:tc>
        <w:tc>
          <w:tcPr>
            <w:tcW w:w="941" w:type="dxa"/>
            <w:shd w:val="clear" w:color="auto" w:fill="auto"/>
            <w:tcMar>
              <w:left w:w="85" w:type="dxa"/>
              <w:right w:w="85" w:type="dxa"/>
            </w:tcMar>
          </w:tcPr>
          <w:p w14:paraId="2FEA7E91" w14:textId="77777777" w:rsidR="00616641" w:rsidRPr="0049701B" w:rsidRDefault="00616641" w:rsidP="007E3239">
            <w:pPr>
              <w:pStyle w:val="TableText"/>
              <w:spacing w:before="40" w:after="40"/>
              <w:jc w:val="center"/>
              <w:rPr>
                <w:rFonts w:cs="Calibri"/>
                <w:szCs w:val="16"/>
              </w:rPr>
            </w:pPr>
            <w:r w:rsidRPr="0049701B">
              <w:rPr>
                <w:rFonts w:cs="Calibri"/>
                <w:szCs w:val="16"/>
              </w:rPr>
              <w:t>FM</w:t>
            </w:r>
          </w:p>
        </w:tc>
        <w:tc>
          <w:tcPr>
            <w:tcW w:w="1015" w:type="dxa"/>
            <w:shd w:val="clear" w:color="auto" w:fill="auto"/>
            <w:tcMar>
              <w:left w:w="85" w:type="dxa"/>
              <w:right w:w="85" w:type="dxa"/>
            </w:tcMar>
          </w:tcPr>
          <w:p w14:paraId="52065844" w14:textId="77777777" w:rsidR="00616641" w:rsidRPr="0049701B" w:rsidRDefault="00616641" w:rsidP="007E3239">
            <w:pPr>
              <w:pStyle w:val="TableText"/>
              <w:spacing w:before="40" w:after="40"/>
              <w:jc w:val="center"/>
              <w:rPr>
                <w:rFonts w:cs="Calibri"/>
                <w:szCs w:val="16"/>
              </w:rPr>
            </w:pPr>
            <w:r w:rsidRPr="0049701B">
              <w:rPr>
                <w:rFonts w:cs="Calibri"/>
                <w:szCs w:val="16"/>
              </w:rPr>
              <w:t>FM</w:t>
            </w:r>
          </w:p>
        </w:tc>
        <w:tc>
          <w:tcPr>
            <w:tcW w:w="860" w:type="dxa"/>
            <w:shd w:val="clear" w:color="auto" w:fill="auto"/>
            <w:tcMar>
              <w:left w:w="85" w:type="dxa"/>
              <w:right w:w="85" w:type="dxa"/>
            </w:tcMar>
          </w:tcPr>
          <w:p w14:paraId="58750F81" w14:textId="77777777" w:rsidR="00616641" w:rsidRPr="0049701B" w:rsidRDefault="00616641" w:rsidP="007E3239">
            <w:pPr>
              <w:pStyle w:val="TableText"/>
              <w:spacing w:before="40" w:after="40"/>
              <w:jc w:val="center"/>
              <w:rPr>
                <w:rFonts w:cs="Calibri"/>
                <w:szCs w:val="16"/>
              </w:rPr>
            </w:pPr>
            <w:r w:rsidRPr="0049701B">
              <w:rPr>
                <w:rFonts w:cs="Calibri"/>
                <w:szCs w:val="16"/>
              </w:rPr>
              <w:t>–</w:t>
            </w:r>
          </w:p>
        </w:tc>
        <w:tc>
          <w:tcPr>
            <w:tcW w:w="846" w:type="dxa"/>
            <w:shd w:val="clear" w:color="auto" w:fill="auto"/>
            <w:tcMar>
              <w:left w:w="85" w:type="dxa"/>
              <w:right w:w="85" w:type="dxa"/>
            </w:tcMar>
          </w:tcPr>
          <w:p w14:paraId="1DE0A9CC"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860" w:type="dxa"/>
            <w:shd w:val="clear" w:color="auto" w:fill="auto"/>
            <w:tcMar>
              <w:left w:w="85" w:type="dxa"/>
              <w:right w:w="85" w:type="dxa"/>
            </w:tcMar>
          </w:tcPr>
          <w:p w14:paraId="4EDEBA18"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790" w:type="dxa"/>
            <w:shd w:val="clear" w:color="auto" w:fill="auto"/>
            <w:tcMar>
              <w:left w:w="85" w:type="dxa"/>
              <w:right w:w="85" w:type="dxa"/>
            </w:tcMar>
          </w:tcPr>
          <w:p w14:paraId="51961365"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1015" w:type="dxa"/>
            <w:shd w:val="clear" w:color="auto" w:fill="auto"/>
            <w:tcMar>
              <w:left w:w="85" w:type="dxa"/>
              <w:right w:w="85" w:type="dxa"/>
            </w:tcMar>
          </w:tcPr>
          <w:p w14:paraId="0572DA05"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902" w:type="dxa"/>
            <w:shd w:val="clear" w:color="auto" w:fill="auto"/>
            <w:tcMar>
              <w:left w:w="85" w:type="dxa"/>
              <w:right w:w="85" w:type="dxa"/>
            </w:tcMar>
          </w:tcPr>
          <w:p w14:paraId="22229A81"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r>
      <w:tr w:rsidR="00616641" w:rsidRPr="0049701B" w14:paraId="65087A87" w14:textId="77777777" w:rsidTr="007E3239">
        <w:tc>
          <w:tcPr>
            <w:tcW w:w="1276" w:type="dxa"/>
            <w:shd w:val="clear" w:color="auto" w:fill="auto"/>
            <w:tcMar>
              <w:left w:w="85" w:type="dxa"/>
              <w:right w:w="85" w:type="dxa"/>
            </w:tcMar>
          </w:tcPr>
          <w:p w14:paraId="796A2380" w14:textId="77777777" w:rsidR="00616641" w:rsidRPr="0049701B" w:rsidRDefault="00616641" w:rsidP="007E3239">
            <w:pPr>
              <w:pStyle w:val="TableText"/>
              <w:spacing w:before="40" w:after="40"/>
              <w:rPr>
                <w:rFonts w:cs="Calibri"/>
                <w:szCs w:val="16"/>
              </w:rPr>
            </w:pPr>
            <w:r w:rsidRPr="0049701B">
              <w:rPr>
                <w:rFonts w:cs="Calibri"/>
                <w:szCs w:val="16"/>
              </w:rPr>
              <w:t>Pre-1990 planted forest</w:t>
            </w:r>
          </w:p>
        </w:tc>
        <w:tc>
          <w:tcPr>
            <w:tcW w:w="941" w:type="dxa"/>
            <w:shd w:val="clear" w:color="auto" w:fill="auto"/>
            <w:tcMar>
              <w:left w:w="85" w:type="dxa"/>
              <w:right w:w="85" w:type="dxa"/>
            </w:tcMar>
          </w:tcPr>
          <w:p w14:paraId="77E0F0DD" w14:textId="77777777" w:rsidR="00616641" w:rsidRPr="0049701B" w:rsidRDefault="00616641" w:rsidP="007E3239">
            <w:pPr>
              <w:pStyle w:val="TableText"/>
              <w:spacing w:before="40" w:after="40"/>
              <w:jc w:val="center"/>
              <w:rPr>
                <w:rFonts w:cs="Calibri"/>
                <w:szCs w:val="16"/>
              </w:rPr>
            </w:pPr>
            <w:r w:rsidRPr="0049701B">
              <w:rPr>
                <w:rFonts w:cs="Calibri"/>
                <w:szCs w:val="16"/>
              </w:rPr>
              <w:t>FM</w:t>
            </w:r>
          </w:p>
        </w:tc>
        <w:tc>
          <w:tcPr>
            <w:tcW w:w="1015" w:type="dxa"/>
            <w:shd w:val="clear" w:color="auto" w:fill="auto"/>
            <w:tcMar>
              <w:left w:w="85" w:type="dxa"/>
              <w:right w:w="85" w:type="dxa"/>
            </w:tcMar>
          </w:tcPr>
          <w:p w14:paraId="0B8548CC" w14:textId="77777777" w:rsidR="00616641" w:rsidRPr="0049701B" w:rsidRDefault="00616641" w:rsidP="007E3239">
            <w:pPr>
              <w:pStyle w:val="TableText"/>
              <w:spacing w:before="40" w:after="40"/>
              <w:jc w:val="center"/>
              <w:rPr>
                <w:rFonts w:cs="Calibri"/>
                <w:szCs w:val="16"/>
              </w:rPr>
            </w:pPr>
            <w:r w:rsidRPr="0049701B">
              <w:rPr>
                <w:rFonts w:cs="Calibri"/>
                <w:szCs w:val="16"/>
              </w:rPr>
              <w:t>FM</w:t>
            </w:r>
          </w:p>
        </w:tc>
        <w:tc>
          <w:tcPr>
            <w:tcW w:w="860" w:type="dxa"/>
            <w:shd w:val="clear" w:color="auto" w:fill="auto"/>
            <w:tcMar>
              <w:left w:w="85" w:type="dxa"/>
              <w:right w:w="85" w:type="dxa"/>
            </w:tcMar>
          </w:tcPr>
          <w:p w14:paraId="13466CFD" w14:textId="77777777" w:rsidR="00616641" w:rsidRPr="0049701B" w:rsidRDefault="00616641" w:rsidP="007E3239">
            <w:pPr>
              <w:pStyle w:val="TableText"/>
              <w:spacing w:before="40" w:after="40"/>
              <w:jc w:val="center"/>
              <w:rPr>
                <w:rFonts w:cs="Calibri"/>
                <w:szCs w:val="16"/>
              </w:rPr>
            </w:pPr>
            <w:r w:rsidRPr="0049701B">
              <w:rPr>
                <w:rFonts w:cs="Calibri"/>
                <w:szCs w:val="16"/>
              </w:rPr>
              <w:t>–</w:t>
            </w:r>
          </w:p>
        </w:tc>
        <w:tc>
          <w:tcPr>
            <w:tcW w:w="846" w:type="dxa"/>
            <w:shd w:val="clear" w:color="auto" w:fill="auto"/>
            <w:tcMar>
              <w:left w:w="85" w:type="dxa"/>
              <w:right w:w="85" w:type="dxa"/>
            </w:tcMar>
          </w:tcPr>
          <w:p w14:paraId="0FCFE634" w14:textId="77777777" w:rsidR="00616641" w:rsidRPr="0049701B" w:rsidRDefault="00616641" w:rsidP="007E3239">
            <w:pPr>
              <w:pStyle w:val="TableText"/>
              <w:spacing w:before="40" w:after="40"/>
              <w:jc w:val="center"/>
              <w:rPr>
                <w:rFonts w:cs="Calibri"/>
                <w:szCs w:val="16"/>
              </w:rPr>
            </w:pPr>
            <w:r w:rsidRPr="0049701B">
              <w:rPr>
                <w:rFonts w:cs="Calibri"/>
                <w:szCs w:val="16"/>
              </w:rPr>
              <w:t>D/FM</w:t>
            </w:r>
          </w:p>
        </w:tc>
        <w:tc>
          <w:tcPr>
            <w:tcW w:w="860" w:type="dxa"/>
            <w:shd w:val="clear" w:color="auto" w:fill="auto"/>
            <w:tcMar>
              <w:left w:w="85" w:type="dxa"/>
              <w:right w:w="85" w:type="dxa"/>
            </w:tcMar>
          </w:tcPr>
          <w:p w14:paraId="35BF0686" w14:textId="77777777" w:rsidR="00616641" w:rsidRPr="0049701B" w:rsidRDefault="00616641" w:rsidP="007E3239">
            <w:pPr>
              <w:pStyle w:val="TableText"/>
              <w:spacing w:before="40" w:after="40"/>
              <w:jc w:val="center"/>
              <w:rPr>
                <w:rFonts w:cs="Calibri"/>
                <w:szCs w:val="16"/>
              </w:rPr>
            </w:pPr>
            <w:r w:rsidRPr="0049701B">
              <w:rPr>
                <w:rFonts w:cs="Calibri"/>
                <w:szCs w:val="16"/>
              </w:rPr>
              <w:t>D/FM</w:t>
            </w:r>
          </w:p>
        </w:tc>
        <w:tc>
          <w:tcPr>
            <w:tcW w:w="790" w:type="dxa"/>
            <w:shd w:val="clear" w:color="auto" w:fill="auto"/>
            <w:tcMar>
              <w:left w:w="85" w:type="dxa"/>
              <w:right w:w="85" w:type="dxa"/>
            </w:tcMar>
          </w:tcPr>
          <w:p w14:paraId="7C6A0DE8" w14:textId="77777777" w:rsidR="00616641" w:rsidRPr="0049701B" w:rsidRDefault="00616641" w:rsidP="007E3239">
            <w:pPr>
              <w:pStyle w:val="TableText"/>
              <w:spacing w:before="40" w:after="40"/>
              <w:jc w:val="center"/>
              <w:rPr>
                <w:rFonts w:cs="Calibri"/>
                <w:szCs w:val="16"/>
              </w:rPr>
            </w:pPr>
            <w:r w:rsidRPr="0049701B">
              <w:rPr>
                <w:rFonts w:cs="Calibri"/>
                <w:szCs w:val="16"/>
              </w:rPr>
              <w:t>D/FM</w:t>
            </w:r>
          </w:p>
        </w:tc>
        <w:tc>
          <w:tcPr>
            <w:tcW w:w="1015" w:type="dxa"/>
            <w:shd w:val="clear" w:color="auto" w:fill="auto"/>
            <w:tcMar>
              <w:left w:w="85" w:type="dxa"/>
              <w:right w:w="85" w:type="dxa"/>
            </w:tcMar>
          </w:tcPr>
          <w:p w14:paraId="0BA46536" w14:textId="77777777" w:rsidR="00616641" w:rsidRPr="0049701B" w:rsidRDefault="00616641" w:rsidP="007E3239">
            <w:pPr>
              <w:pStyle w:val="TableText"/>
              <w:spacing w:before="40" w:after="40"/>
              <w:jc w:val="center"/>
              <w:rPr>
                <w:rFonts w:cs="Calibri"/>
                <w:szCs w:val="16"/>
              </w:rPr>
            </w:pPr>
            <w:r w:rsidRPr="0049701B">
              <w:rPr>
                <w:rFonts w:cs="Calibri"/>
                <w:szCs w:val="16"/>
              </w:rPr>
              <w:t>D/FM</w:t>
            </w:r>
          </w:p>
        </w:tc>
        <w:tc>
          <w:tcPr>
            <w:tcW w:w="902" w:type="dxa"/>
            <w:shd w:val="clear" w:color="auto" w:fill="auto"/>
            <w:tcMar>
              <w:left w:w="85" w:type="dxa"/>
              <w:right w:w="85" w:type="dxa"/>
            </w:tcMar>
          </w:tcPr>
          <w:p w14:paraId="3CCB79B2" w14:textId="77777777" w:rsidR="00616641" w:rsidRPr="0049701B" w:rsidRDefault="00616641" w:rsidP="007E3239">
            <w:pPr>
              <w:pStyle w:val="TableText"/>
              <w:spacing w:before="40" w:after="40"/>
              <w:jc w:val="center"/>
              <w:rPr>
                <w:rFonts w:cs="Calibri"/>
                <w:szCs w:val="16"/>
              </w:rPr>
            </w:pPr>
            <w:r w:rsidRPr="0049701B">
              <w:rPr>
                <w:rFonts w:cs="Calibri"/>
                <w:szCs w:val="16"/>
              </w:rPr>
              <w:t>D/FM</w:t>
            </w:r>
          </w:p>
        </w:tc>
      </w:tr>
      <w:tr w:rsidR="00616641" w:rsidRPr="0049701B" w14:paraId="70AC4F8F" w14:textId="77777777" w:rsidTr="007E3239">
        <w:tc>
          <w:tcPr>
            <w:tcW w:w="1276" w:type="dxa"/>
            <w:shd w:val="clear" w:color="auto" w:fill="auto"/>
            <w:tcMar>
              <w:left w:w="85" w:type="dxa"/>
              <w:right w:w="85" w:type="dxa"/>
            </w:tcMar>
          </w:tcPr>
          <w:p w14:paraId="11517738" w14:textId="77777777" w:rsidR="00616641" w:rsidRPr="0049701B" w:rsidRDefault="00616641" w:rsidP="007E3239">
            <w:pPr>
              <w:pStyle w:val="TableText"/>
              <w:spacing w:before="40" w:after="40"/>
              <w:rPr>
                <w:rFonts w:cs="Calibri"/>
                <w:szCs w:val="16"/>
              </w:rPr>
            </w:pPr>
            <w:r w:rsidRPr="0049701B">
              <w:rPr>
                <w:rFonts w:cs="Calibri"/>
                <w:szCs w:val="16"/>
              </w:rPr>
              <w:t>Post-1989 forest</w:t>
            </w:r>
          </w:p>
        </w:tc>
        <w:tc>
          <w:tcPr>
            <w:tcW w:w="941" w:type="dxa"/>
            <w:shd w:val="clear" w:color="auto" w:fill="auto"/>
            <w:tcMar>
              <w:left w:w="85" w:type="dxa"/>
              <w:right w:w="85" w:type="dxa"/>
            </w:tcMar>
          </w:tcPr>
          <w:p w14:paraId="7D576194" w14:textId="77777777" w:rsidR="00616641" w:rsidRPr="0049701B" w:rsidRDefault="00616641" w:rsidP="007E3239">
            <w:pPr>
              <w:pStyle w:val="TableText"/>
              <w:spacing w:before="40" w:after="40"/>
              <w:jc w:val="center"/>
              <w:rPr>
                <w:rFonts w:cs="Calibri"/>
                <w:szCs w:val="16"/>
              </w:rPr>
            </w:pPr>
            <w:r w:rsidRPr="0049701B">
              <w:rPr>
                <w:rFonts w:cs="Calibri"/>
                <w:szCs w:val="16"/>
              </w:rPr>
              <w:t>–</w:t>
            </w:r>
          </w:p>
        </w:tc>
        <w:tc>
          <w:tcPr>
            <w:tcW w:w="1015" w:type="dxa"/>
            <w:shd w:val="clear" w:color="auto" w:fill="auto"/>
            <w:tcMar>
              <w:left w:w="85" w:type="dxa"/>
              <w:right w:w="85" w:type="dxa"/>
            </w:tcMar>
          </w:tcPr>
          <w:p w14:paraId="1C475A7C" w14:textId="77777777" w:rsidR="00616641" w:rsidRPr="0049701B" w:rsidRDefault="00616641" w:rsidP="007E3239">
            <w:pPr>
              <w:pStyle w:val="TableText"/>
              <w:spacing w:before="40" w:after="40"/>
              <w:jc w:val="center"/>
              <w:rPr>
                <w:rFonts w:cs="Calibri"/>
                <w:szCs w:val="16"/>
              </w:rPr>
            </w:pPr>
            <w:r w:rsidRPr="0049701B">
              <w:rPr>
                <w:rFonts w:cs="Calibri"/>
                <w:szCs w:val="16"/>
              </w:rPr>
              <w:t>–</w:t>
            </w:r>
          </w:p>
        </w:tc>
        <w:tc>
          <w:tcPr>
            <w:tcW w:w="860" w:type="dxa"/>
            <w:shd w:val="clear" w:color="auto" w:fill="auto"/>
            <w:tcMar>
              <w:left w:w="85" w:type="dxa"/>
              <w:right w:w="85" w:type="dxa"/>
            </w:tcMar>
          </w:tcPr>
          <w:p w14:paraId="78671A4A" w14:textId="77777777" w:rsidR="00616641" w:rsidRPr="0049701B" w:rsidRDefault="00616641" w:rsidP="007E3239">
            <w:pPr>
              <w:pStyle w:val="TableText"/>
              <w:spacing w:before="40" w:after="40"/>
              <w:jc w:val="center"/>
              <w:rPr>
                <w:rFonts w:cs="Calibri"/>
                <w:szCs w:val="16"/>
              </w:rPr>
            </w:pPr>
            <w:r w:rsidRPr="0049701B">
              <w:rPr>
                <w:rFonts w:cs="Calibri"/>
                <w:szCs w:val="16"/>
              </w:rPr>
              <w:t>A</w:t>
            </w:r>
          </w:p>
        </w:tc>
        <w:tc>
          <w:tcPr>
            <w:tcW w:w="846" w:type="dxa"/>
            <w:shd w:val="clear" w:color="auto" w:fill="auto"/>
            <w:tcMar>
              <w:left w:w="85" w:type="dxa"/>
              <w:right w:w="85" w:type="dxa"/>
            </w:tcMar>
          </w:tcPr>
          <w:p w14:paraId="26688185"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860" w:type="dxa"/>
            <w:shd w:val="clear" w:color="auto" w:fill="auto"/>
            <w:tcMar>
              <w:left w:w="85" w:type="dxa"/>
              <w:right w:w="85" w:type="dxa"/>
            </w:tcMar>
          </w:tcPr>
          <w:p w14:paraId="123D8FE1"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790" w:type="dxa"/>
            <w:shd w:val="clear" w:color="auto" w:fill="auto"/>
            <w:tcMar>
              <w:left w:w="85" w:type="dxa"/>
              <w:right w:w="85" w:type="dxa"/>
            </w:tcMar>
          </w:tcPr>
          <w:p w14:paraId="5EC565EE"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1015" w:type="dxa"/>
            <w:shd w:val="clear" w:color="auto" w:fill="auto"/>
            <w:tcMar>
              <w:left w:w="85" w:type="dxa"/>
              <w:right w:w="85" w:type="dxa"/>
            </w:tcMar>
          </w:tcPr>
          <w:p w14:paraId="55E44855"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902" w:type="dxa"/>
            <w:shd w:val="clear" w:color="auto" w:fill="auto"/>
            <w:tcMar>
              <w:left w:w="85" w:type="dxa"/>
              <w:right w:w="85" w:type="dxa"/>
            </w:tcMar>
          </w:tcPr>
          <w:p w14:paraId="31B7BBCC"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r>
      <w:tr w:rsidR="00616641" w:rsidRPr="0049701B" w14:paraId="41B2626B" w14:textId="77777777" w:rsidTr="007E3239">
        <w:tc>
          <w:tcPr>
            <w:tcW w:w="1276" w:type="dxa"/>
            <w:shd w:val="clear" w:color="auto" w:fill="auto"/>
            <w:tcMar>
              <w:left w:w="85" w:type="dxa"/>
              <w:right w:w="85" w:type="dxa"/>
            </w:tcMar>
          </w:tcPr>
          <w:p w14:paraId="1D75019C" w14:textId="77777777" w:rsidR="00616641" w:rsidRPr="0049701B" w:rsidRDefault="00616641" w:rsidP="007E3239">
            <w:pPr>
              <w:pStyle w:val="TableText"/>
              <w:spacing w:before="40" w:after="40"/>
              <w:rPr>
                <w:rFonts w:cs="Calibri"/>
                <w:szCs w:val="16"/>
              </w:rPr>
            </w:pPr>
            <w:r w:rsidRPr="0049701B">
              <w:rPr>
                <w:rFonts w:cs="Calibri"/>
                <w:szCs w:val="16"/>
              </w:rPr>
              <w:t>Grassland</w:t>
            </w:r>
          </w:p>
        </w:tc>
        <w:tc>
          <w:tcPr>
            <w:tcW w:w="941" w:type="dxa"/>
            <w:shd w:val="clear" w:color="auto" w:fill="auto"/>
            <w:tcMar>
              <w:left w:w="85" w:type="dxa"/>
              <w:right w:w="85" w:type="dxa"/>
            </w:tcMar>
          </w:tcPr>
          <w:p w14:paraId="2CCB7D70"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1015" w:type="dxa"/>
            <w:shd w:val="clear" w:color="auto" w:fill="auto"/>
            <w:tcMar>
              <w:left w:w="85" w:type="dxa"/>
              <w:right w:w="85" w:type="dxa"/>
            </w:tcMar>
          </w:tcPr>
          <w:p w14:paraId="1597FB45"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860" w:type="dxa"/>
            <w:shd w:val="clear" w:color="auto" w:fill="auto"/>
            <w:tcMar>
              <w:left w:w="85" w:type="dxa"/>
              <w:right w:w="85" w:type="dxa"/>
            </w:tcMar>
          </w:tcPr>
          <w:p w14:paraId="028F47C8" w14:textId="77777777" w:rsidR="00616641" w:rsidRPr="0049701B" w:rsidRDefault="00616641" w:rsidP="007E3239">
            <w:pPr>
              <w:pStyle w:val="TableText"/>
              <w:spacing w:before="40" w:after="40"/>
              <w:jc w:val="center"/>
              <w:rPr>
                <w:rFonts w:cs="Calibri"/>
                <w:szCs w:val="16"/>
              </w:rPr>
            </w:pPr>
            <w:r w:rsidRPr="0049701B">
              <w:rPr>
                <w:rFonts w:cs="Calibri"/>
                <w:szCs w:val="16"/>
              </w:rPr>
              <w:t>A/FM</w:t>
            </w:r>
          </w:p>
        </w:tc>
        <w:tc>
          <w:tcPr>
            <w:tcW w:w="846" w:type="dxa"/>
            <w:shd w:val="clear" w:color="auto" w:fill="auto"/>
            <w:tcMar>
              <w:left w:w="85" w:type="dxa"/>
              <w:right w:w="85" w:type="dxa"/>
            </w:tcMar>
          </w:tcPr>
          <w:p w14:paraId="4DC18298" w14:textId="77777777" w:rsidR="00616641" w:rsidRPr="0049701B" w:rsidRDefault="00616641" w:rsidP="007E3239">
            <w:pPr>
              <w:pStyle w:val="TableText"/>
              <w:spacing w:before="40" w:after="40"/>
              <w:jc w:val="center"/>
              <w:rPr>
                <w:rFonts w:cs="Calibri"/>
                <w:szCs w:val="16"/>
              </w:rPr>
            </w:pPr>
          </w:p>
        </w:tc>
        <w:tc>
          <w:tcPr>
            <w:tcW w:w="860" w:type="dxa"/>
            <w:shd w:val="clear" w:color="auto" w:fill="auto"/>
            <w:tcMar>
              <w:left w:w="85" w:type="dxa"/>
              <w:right w:w="85" w:type="dxa"/>
            </w:tcMar>
          </w:tcPr>
          <w:p w14:paraId="13BBF13E" w14:textId="77777777" w:rsidR="00616641" w:rsidRPr="0049701B" w:rsidRDefault="00616641" w:rsidP="007E3239">
            <w:pPr>
              <w:pStyle w:val="TableText"/>
              <w:spacing w:before="40" w:after="40"/>
              <w:jc w:val="center"/>
              <w:rPr>
                <w:rFonts w:cs="Calibri"/>
                <w:szCs w:val="16"/>
              </w:rPr>
            </w:pPr>
          </w:p>
        </w:tc>
        <w:tc>
          <w:tcPr>
            <w:tcW w:w="790" w:type="dxa"/>
            <w:shd w:val="clear" w:color="auto" w:fill="auto"/>
            <w:tcMar>
              <w:left w:w="85" w:type="dxa"/>
              <w:right w:w="85" w:type="dxa"/>
            </w:tcMar>
          </w:tcPr>
          <w:p w14:paraId="2C2290D8" w14:textId="77777777" w:rsidR="00616641" w:rsidRPr="0049701B" w:rsidRDefault="00616641" w:rsidP="007E3239">
            <w:pPr>
              <w:pStyle w:val="TableText"/>
              <w:spacing w:before="40" w:after="40"/>
              <w:jc w:val="center"/>
              <w:rPr>
                <w:rFonts w:cs="Calibri"/>
                <w:szCs w:val="16"/>
              </w:rPr>
            </w:pPr>
          </w:p>
        </w:tc>
        <w:tc>
          <w:tcPr>
            <w:tcW w:w="1015" w:type="dxa"/>
            <w:shd w:val="clear" w:color="auto" w:fill="auto"/>
            <w:tcMar>
              <w:left w:w="85" w:type="dxa"/>
              <w:right w:w="85" w:type="dxa"/>
            </w:tcMar>
          </w:tcPr>
          <w:p w14:paraId="451B8696" w14:textId="77777777" w:rsidR="00616641" w:rsidRPr="0049701B" w:rsidRDefault="00616641" w:rsidP="007E3239">
            <w:pPr>
              <w:pStyle w:val="TableText"/>
              <w:spacing w:before="40" w:after="40"/>
              <w:jc w:val="center"/>
              <w:rPr>
                <w:rFonts w:cs="Calibri"/>
                <w:szCs w:val="16"/>
              </w:rPr>
            </w:pPr>
          </w:p>
        </w:tc>
        <w:tc>
          <w:tcPr>
            <w:tcW w:w="902" w:type="dxa"/>
            <w:shd w:val="clear" w:color="auto" w:fill="auto"/>
            <w:tcMar>
              <w:left w:w="85" w:type="dxa"/>
              <w:right w:w="85" w:type="dxa"/>
            </w:tcMar>
          </w:tcPr>
          <w:p w14:paraId="4C06F358" w14:textId="77777777" w:rsidR="00616641" w:rsidRPr="0049701B" w:rsidRDefault="00616641" w:rsidP="007E3239">
            <w:pPr>
              <w:pStyle w:val="TableText"/>
              <w:spacing w:before="40" w:after="40"/>
              <w:jc w:val="center"/>
              <w:rPr>
                <w:rFonts w:cs="Calibri"/>
                <w:szCs w:val="16"/>
              </w:rPr>
            </w:pPr>
          </w:p>
        </w:tc>
      </w:tr>
      <w:tr w:rsidR="00616641" w:rsidRPr="0049701B" w14:paraId="72EAED40" w14:textId="77777777" w:rsidTr="007E3239">
        <w:tc>
          <w:tcPr>
            <w:tcW w:w="1276" w:type="dxa"/>
            <w:shd w:val="clear" w:color="auto" w:fill="auto"/>
            <w:tcMar>
              <w:left w:w="85" w:type="dxa"/>
              <w:right w:w="85" w:type="dxa"/>
            </w:tcMar>
          </w:tcPr>
          <w:p w14:paraId="7376687A" w14:textId="77777777" w:rsidR="00616641" w:rsidRPr="0049701B" w:rsidRDefault="00616641" w:rsidP="007E3239">
            <w:pPr>
              <w:pStyle w:val="TableText"/>
              <w:spacing w:before="40" w:after="40"/>
              <w:rPr>
                <w:rFonts w:cs="Calibri"/>
                <w:szCs w:val="16"/>
              </w:rPr>
            </w:pPr>
            <w:r w:rsidRPr="0049701B">
              <w:rPr>
                <w:rFonts w:cs="Calibri"/>
                <w:szCs w:val="16"/>
              </w:rPr>
              <w:t>Cropland</w:t>
            </w:r>
          </w:p>
        </w:tc>
        <w:tc>
          <w:tcPr>
            <w:tcW w:w="941" w:type="dxa"/>
            <w:shd w:val="clear" w:color="auto" w:fill="auto"/>
            <w:tcMar>
              <w:left w:w="85" w:type="dxa"/>
              <w:right w:w="85" w:type="dxa"/>
            </w:tcMar>
          </w:tcPr>
          <w:p w14:paraId="209306B6"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1015" w:type="dxa"/>
            <w:shd w:val="clear" w:color="auto" w:fill="auto"/>
            <w:tcMar>
              <w:left w:w="85" w:type="dxa"/>
              <w:right w:w="85" w:type="dxa"/>
            </w:tcMar>
          </w:tcPr>
          <w:p w14:paraId="4375274B"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860" w:type="dxa"/>
            <w:shd w:val="clear" w:color="auto" w:fill="auto"/>
            <w:tcMar>
              <w:left w:w="85" w:type="dxa"/>
              <w:right w:w="85" w:type="dxa"/>
            </w:tcMar>
          </w:tcPr>
          <w:p w14:paraId="00714469" w14:textId="77777777" w:rsidR="00616641" w:rsidRPr="0049701B" w:rsidRDefault="00616641" w:rsidP="007E3239">
            <w:pPr>
              <w:pStyle w:val="TableText"/>
              <w:spacing w:before="40" w:after="40"/>
              <w:jc w:val="center"/>
              <w:rPr>
                <w:rFonts w:cs="Calibri"/>
                <w:szCs w:val="16"/>
              </w:rPr>
            </w:pPr>
            <w:r w:rsidRPr="0049701B">
              <w:rPr>
                <w:rFonts w:cs="Calibri"/>
                <w:szCs w:val="16"/>
              </w:rPr>
              <w:t>A/FM</w:t>
            </w:r>
          </w:p>
        </w:tc>
        <w:tc>
          <w:tcPr>
            <w:tcW w:w="846" w:type="dxa"/>
            <w:shd w:val="clear" w:color="auto" w:fill="auto"/>
            <w:tcMar>
              <w:left w:w="85" w:type="dxa"/>
              <w:right w:w="85" w:type="dxa"/>
            </w:tcMar>
          </w:tcPr>
          <w:p w14:paraId="145A33A8" w14:textId="77777777" w:rsidR="00616641" w:rsidRPr="0049701B" w:rsidRDefault="00616641" w:rsidP="007E3239">
            <w:pPr>
              <w:pStyle w:val="TableText"/>
              <w:spacing w:before="40" w:after="40"/>
              <w:jc w:val="center"/>
              <w:rPr>
                <w:rFonts w:cs="Calibri"/>
                <w:szCs w:val="16"/>
              </w:rPr>
            </w:pPr>
          </w:p>
        </w:tc>
        <w:tc>
          <w:tcPr>
            <w:tcW w:w="860" w:type="dxa"/>
            <w:shd w:val="clear" w:color="auto" w:fill="auto"/>
            <w:tcMar>
              <w:left w:w="85" w:type="dxa"/>
              <w:right w:w="85" w:type="dxa"/>
            </w:tcMar>
          </w:tcPr>
          <w:p w14:paraId="637C80C2" w14:textId="77777777" w:rsidR="00616641" w:rsidRPr="0049701B" w:rsidRDefault="00616641" w:rsidP="007E3239">
            <w:pPr>
              <w:pStyle w:val="TableText"/>
              <w:spacing w:before="40" w:after="40"/>
              <w:jc w:val="center"/>
              <w:rPr>
                <w:rFonts w:cs="Calibri"/>
                <w:szCs w:val="16"/>
              </w:rPr>
            </w:pPr>
          </w:p>
        </w:tc>
        <w:tc>
          <w:tcPr>
            <w:tcW w:w="790" w:type="dxa"/>
            <w:shd w:val="clear" w:color="auto" w:fill="auto"/>
            <w:tcMar>
              <w:left w:w="85" w:type="dxa"/>
              <w:right w:w="85" w:type="dxa"/>
            </w:tcMar>
          </w:tcPr>
          <w:p w14:paraId="3A6477D1" w14:textId="77777777" w:rsidR="00616641" w:rsidRPr="0049701B" w:rsidRDefault="00616641" w:rsidP="007E3239">
            <w:pPr>
              <w:pStyle w:val="TableText"/>
              <w:spacing w:before="40" w:after="40"/>
              <w:jc w:val="center"/>
              <w:rPr>
                <w:rFonts w:cs="Calibri"/>
                <w:szCs w:val="16"/>
              </w:rPr>
            </w:pPr>
          </w:p>
        </w:tc>
        <w:tc>
          <w:tcPr>
            <w:tcW w:w="1015" w:type="dxa"/>
            <w:shd w:val="clear" w:color="auto" w:fill="auto"/>
            <w:tcMar>
              <w:left w:w="85" w:type="dxa"/>
              <w:right w:w="85" w:type="dxa"/>
            </w:tcMar>
          </w:tcPr>
          <w:p w14:paraId="3B556D49" w14:textId="77777777" w:rsidR="00616641" w:rsidRPr="0049701B" w:rsidRDefault="00616641" w:rsidP="007E3239">
            <w:pPr>
              <w:pStyle w:val="TableText"/>
              <w:spacing w:before="40" w:after="40"/>
              <w:jc w:val="center"/>
              <w:rPr>
                <w:rFonts w:cs="Calibri"/>
                <w:szCs w:val="16"/>
              </w:rPr>
            </w:pPr>
          </w:p>
        </w:tc>
        <w:tc>
          <w:tcPr>
            <w:tcW w:w="902" w:type="dxa"/>
            <w:shd w:val="clear" w:color="auto" w:fill="auto"/>
            <w:tcMar>
              <w:left w:w="85" w:type="dxa"/>
              <w:right w:w="85" w:type="dxa"/>
            </w:tcMar>
          </w:tcPr>
          <w:p w14:paraId="574E539F" w14:textId="77777777" w:rsidR="00616641" w:rsidRPr="0049701B" w:rsidRDefault="00616641" w:rsidP="007E3239">
            <w:pPr>
              <w:pStyle w:val="TableText"/>
              <w:spacing w:before="40" w:after="40"/>
              <w:jc w:val="center"/>
              <w:rPr>
                <w:rFonts w:cs="Calibri"/>
                <w:szCs w:val="16"/>
              </w:rPr>
            </w:pPr>
          </w:p>
        </w:tc>
      </w:tr>
      <w:tr w:rsidR="00616641" w:rsidRPr="0049701B" w14:paraId="318FD4B1" w14:textId="77777777" w:rsidTr="007E3239">
        <w:tc>
          <w:tcPr>
            <w:tcW w:w="1276" w:type="dxa"/>
            <w:shd w:val="clear" w:color="auto" w:fill="auto"/>
            <w:tcMar>
              <w:left w:w="85" w:type="dxa"/>
              <w:right w:w="85" w:type="dxa"/>
            </w:tcMar>
          </w:tcPr>
          <w:p w14:paraId="399C9F12" w14:textId="77777777" w:rsidR="00616641" w:rsidRPr="0049701B" w:rsidRDefault="00616641" w:rsidP="007E3239">
            <w:pPr>
              <w:pStyle w:val="TableText"/>
              <w:spacing w:before="40" w:after="40"/>
              <w:rPr>
                <w:rFonts w:cs="Calibri"/>
                <w:szCs w:val="16"/>
              </w:rPr>
            </w:pPr>
            <w:r w:rsidRPr="0049701B">
              <w:rPr>
                <w:rFonts w:cs="Calibri"/>
                <w:szCs w:val="16"/>
              </w:rPr>
              <w:lastRenderedPageBreak/>
              <w:t>Wetland</w:t>
            </w:r>
          </w:p>
        </w:tc>
        <w:tc>
          <w:tcPr>
            <w:tcW w:w="941" w:type="dxa"/>
            <w:shd w:val="clear" w:color="auto" w:fill="auto"/>
            <w:tcMar>
              <w:left w:w="85" w:type="dxa"/>
              <w:right w:w="85" w:type="dxa"/>
            </w:tcMar>
          </w:tcPr>
          <w:p w14:paraId="488F41E4"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1015" w:type="dxa"/>
            <w:shd w:val="clear" w:color="auto" w:fill="auto"/>
            <w:tcMar>
              <w:left w:w="85" w:type="dxa"/>
              <w:right w:w="85" w:type="dxa"/>
            </w:tcMar>
          </w:tcPr>
          <w:p w14:paraId="3ADFA530"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860" w:type="dxa"/>
            <w:shd w:val="clear" w:color="auto" w:fill="auto"/>
            <w:tcMar>
              <w:left w:w="85" w:type="dxa"/>
              <w:right w:w="85" w:type="dxa"/>
            </w:tcMar>
          </w:tcPr>
          <w:p w14:paraId="30D108B7" w14:textId="77777777" w:rsidR="00616641" w:rsidRPr="0049701B" w:rsidRDefault="00616641" w:rsidP="007E3239">
            <w:pPr>
              <w:pStyle w:val="TableText"/>
              <w:spacing w:before="40" w:after="40"/>
              <w:jc w:val="center"/>
              <w:rPr>
                <w:rFonts w:cs="Calibri"/>
                <w:szCs w:val="16"/>
              </w:rPr>
            </w:pPr>
            <w:r w:rsidRPr="0049701B">
              <w:rPr>
                <w:rFonts w:cs="Calibri"/>
                <w:szCs w:val="16"/>
              </w:rPr>
              <w:t>A/FM</w:t>
            </w:r>
          </w:p>
        </w:tc>
        <w:tc>
          <w:tcPr>
            <w:tcW w:w="846" w:type="dxa"/>
            <w:shd w:val="clear" w:color="auto" w:fill="auto"/>
            <w:tcMar>
              <w:left w:w="85" w:type="dxa"/>
              <w:right w:w="85" w:type="dxa"/>
            </w:tcMar>
          </w:tcPr>
          <w:p w14:paraId="5E482BFF" w14:textId="77777777" w:rsidR="00616641" w:rsidRPr="0049701B" w:rsidRDefault="00616641" w:rsidP="007E3239">
            <w:pPr>
              <w:pStyle w:val="TableText"/>
              <w:spacing w:before="40" w:after="40"/>
              <w:jc w:val="center"/>
              <w:rPr>
                <w:rFonts w:cs="Calibri"/>
                <w:szCs w:val="16"/>
              </w:rPr>
            </w:pPr>
          </w:p>
        </w:tc>
        <w:tc>
          <w:tcPr>
            <w:tcW w:w="860" w:type="dxa"/>
            <w:shd w:val="clear" w:color="auto" w:fill="auto"/>
            <w:tcMar>
              <w:left w:w="85" w:type="dxa"/>
              <w:right w:w="85" w:type="dxa"/>
            </w:tcMar>
          </w:tcPr>
          <w:p w14:paraId="11CCB579" w14:textId="77777777" w:rsidR="00616641" w:rsidRPr="0049701B" w:rsidRDefault="00616641" w:rsidP="007E3239">
            <w:pPr>
              <w:pStyle w:val="TableText"/>
              <w:spacing w:before="40" w:after="40"/>
              <w:jc w:val="center"/>
              <w:rPr>
                <w:rFonts w:cs="Calibri"/>
                <w:szCs w:val="16"/>
              </w:rPr>
            </w:pPr>
          </w:p>
        </w:tc>
        <w:tc>
          <w:tcPr>
            <w:tcW w:w="790" w:type="dxa"/>
            <w:shd w:val="clear" w:color="auto" w:fill="auto"/>
            <w:tcMar>
              <w:left w:w="85" w:type="dxa"/>
              <w:right w:w="85" w:type="dxa"/>
            </w:tcMar>
          </w:tcPr>
          <w:p w14:paraId="755AA2A5" w14:textId="77777777" w:rsidR="00616641" w:rsidRPr="0049701B" w:rsidRDefault="00616641" w:rsidP="007E3239">
            <w:pPr>
              <w:pStyle w:val="TableText"/>
              <w:spacing w:before="40" w:after="40"/>
              <w:jc w:val="center"/>
              <w:rPr>
                <w:rFonts w:cs="Calibri"/>
                <w:szCs w:val="16"/>
              </w:rPr>
            </w:pPr>
          </w:p>
        </w:tc>
        <w:tc>
          <w:tcPr>
            <w:tcW w:w="1015" w:type="dxa"/>
            <w:shd w:val="clear" w:color="auto" w:fill="auto"/>
            <w:tcMar>
              <w:left w:w="85" w:type="dxa"/>
              <w:right w:w="85" w:type="dxa"/>
            </w:tcMar>
          </w:tcPr>
          <w:p w14:paraId="311E7CEB" w14:textId="77777777" w:rsidR="00616641" w:rsidRPr="0049701B" w:rsidRDefault="00616641" w:rsidP="007E3239">
            <w:pPr>
              <w:pStyle w:val="TableText"/>
              <w:spacing w:before="40" w:after="40"/>
              <w:jc w:val="center"/>
              <w:rPr>
                <w:rFonts w:cs="Calibri"/>
                <w:szCs w:val="16"/>
              </w:rPr>
            </w:pPr>
          </w:p>
        </w:tc>
        <w:tc>
          <w:tcPr>
            <w:tcW w:w="902" w:type="dxa"/>
            <w:shd w:val="clear" w:color="auto" w:fill="auto"/>
            <w:tcMar>
              <w:left w:w="85" w:type="dxa"/>
              <w:right w:w="85" w:type="dxa"/>
            </w:tcMar>
          </w:tcPr>
          <w:p w14:paraId="79AB0947" w14:textId="77777777" w:rsidR="00616641" w:rsidRPr="0049701B" w:rsidRDefault="00616641" w:rsidP="007E3239">
            <w:pPr>
              <w:pStyle w:val="TableText"/>
              <w:spacing w:before="40" w:after="40"/>
              <w:jc w:val="center"/>
              <w:rPr>
                <w:rFonts w:cs="Calibri"/>
                <w:szCs w:val="16"/>
              </w:rPr>
            </w:pPr>
          </w:p>
        </w:tc>
      </w:tr>
      <w:tr w:rsidR="00616641" w:rsidRPr="0049701B" w14:paraId="7A9BF8A1" w14:textId="77777777" w:rsidTr="007E3239">
        <w:tc>
          <w:tcPr>
            <w:tcW w:w="1276" w:type="dxa"/>
            <w:shd w:val="clear" w:color="auto" w:fill="auto"/>
            <w:tcMar>
              <w:left w:w="85" w:type="dxa"/>
              <w:right w:w="85" w:type="dxa"/>
            </w:tcMar>
          </w:tcPr>
          <w:p w14:paraId="75DF535A" w14:textId="77777777" w:rsidR="00616641" w:rsidRPr="0049701B" w:rsidRDefault="00616641" w:rsidP="007E3239">
            <w:pPr>
              <w:pStyle w:val="TableText"/>
              <w:spacing w:before="40" w:after="40"/>
              <w:rPr>
                <w:rFonts w:cs="Calibri"/>
                <w:szCs w:val="16"/>
              </w:rPr>
            </w:pPr>
            <w:r w:rsidRPr="0049701B">
              <w:rPr>
                <w:rFonts w:cs="Calibri"/>
                <w:szCs w:val="16"/>
              </w:rPr>
              <w:t>Settlements</w:t>
            </w:r>
          </w:p>
        </w:tc>
        <w:tc>
          <w:tcPr>
            <w:tcW w:w="941" w:type="dxa"/>
            <w:shd w:val="clear" w:color="auto" w:fill="auto"/>
            <w:tcMar>
              <w:left w:w="85" w:type="dxa"/>
              <w:right w:w="85" w:type="dxa"/>
            </w:tcMar>
          </w:tcPr>
          <w:p w14:paraId="138DA7B9"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1015" w:type="dxa"/>
            <w:shd w:val="clear" w:color="auto" w:fill="auto"/>
            <w:tcMar>
              <w:left w:w="85" w:type="dxa"/>
              <w:right w:w="85" w:type="dxa"/>
            </w:tcMar>
          </w:tcPr>
          <w:p w14:paraId="3C6819C8"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860" w:type="dxa"/>
            <w:shd w:val="clear" w:color="auto" w:fill="auto"/>
            <w:tcMar>
              <w:left w:w="85" w:type="dxa"/>
              <w:right w:w="85" w:type="dxa"/>
            </w:tcMar>
          </w:tcPr>
          <w:p w14:paraId="00B1E2A1" w14:textId="77777777" w:rsidR="00616641" w:rsidRPr="0049701B" w:rsidRDefault="00616641" w:rsidP="007E3239">
            <w:pPr>
              <w:pStyle w:val="TableText"/>
              <w:spacing w:before="40" w:after="40"/>
              <w:jc w:val="center"/>
              <w:rPr>
                <w:rFonts w:cs="Calibri"/>
                <w:szCs w:val="16"/>
              </w:rPr>
            </w:pPr>
            <w:r w:rsidRPr="0049701B">
              <w:rPr>
                <w:rFonts w:cs="Calibri"/>
                <w:szCs w:val="16"/>
              </w:rPr>
              <w:t>A/FM</w:t>
            </w:r>
          </w:p>
        </w:tc>
        <w:tc>
          <w:tcPr>
            <w:tcW w:w="846" w:type="dxa"/>
            <w:shd w:val="clear" w:color="auto" w:fill="auto"/>
            <w:tcMar>
              <w:left w:w="85" w:type="dxa"/>
              <w:right w:w="85" w:type="dxa"/>
            </w:tcMar>
          </w:tcPr>
          <w:p w14:paraId="434FED37" w14:textId="77777777" w:rsidR="00616641" w:rsidRPr="0049701B" w:rsidRDefault="00616641" w:rsidP="007E3239">
            <w:pPr>
              <w:pStyle w:val="TableText"/>
              <w:spacing w:before="40" w:after="40"/>
              <w:jc w:val="center"/>
              <w:rPr>
                <w:rFonts w:cs="Calibri"/>
                <w:szCs w:val="16"/>
              </w:rPr>
            </w:pPr>
          </w:p>
        </w:tc>
        <w:tc>
          <w:tcPr>
            <w:tcW w:w="860" w:type="dxa"/>
            <w:shd w:val="clear" w:color="auto" w:fill="auto"/>
            <w:tcMar>
              <w:left w:w="85" w:type="dxa"/>
              <w:right w:w="85" w:type="dxa"/>
            </w:tcMar>
          </w:tcPr>
          <w:p w14:paraId="6C4C2FB2" w14:textId="77777777" w:rsidR="00616641" w:rsidRPr="0049701B" w:rsidRDefault="00616641" w:rsidP="007E3239">
            <w:pPr>
              <w:pStyle w:val="TableText"/>
              <w:spacing w:before="40" w:after="40"/>
              <w:jc w:val="center"/>
              <w:rPr>
                <w:rFonts w:cs="Calibri"/>
                <w:szCs w:val="16"/>
              </w:rPr>
            </w:pPr>
          </w:p>
        </w:tc>
        <w:tc>
          <w:tcPr>
            <w:tcW w:w="790" w:type="dxa"/>
            <w:shd w:val="clear" w:color="auto" w:fill="auto"/>
            <w:tcMar>
              <w:left w:w="85" w:type="dxa"/>
              <w:right w:w="85" w:type="dxa"/>
            </w:tcMar>
          </w:tcPr>
          <w:p w14:paraId="41CEA75D" w14:textId="77777777" w:rsidR="00616641" w:rsidRPr="0049701B" w:rsidRDefault="00616641" w:rsidP="007E3239">
            <w:pPr>
              <w:pStyle w:val="TableText"/>
              <w:spacing w:before="40" w:after="40"/>
              <w:jc w:val="center"/>
              <w:rPr>
                <w:rFonts w:cs="Calibri"/>
                <w:szCs w:val="16"/>
              </w:rPr>
            </w:pPr>
          </w:p>
        </w:tc>
        <w:tc>
          <w:tcPr>
            <w:tcW w:w="1015" w:type="dxa"/>
            <w:shd w:val="clear" w:color="auto" w:fill="auto"/>
            <w:tcMar>
              <w:left w:w="85" w:type="dxa"/>
              <w:right w:w="85" w:type="dxa"/>
            </w:tcMar>
          </w:tcPr>
          <w:p w14:paraId="2FF7839C" w14:textId="77777777" w:rsidR="00616641" w:rsidRPr="0049701B" w:rsidRDefault="00616641" w:rsidP="007E3239">
            <w:pPr>
              <w:pStyle w:val="TableText"/>
              <w:spacing w:before="40" w:after="40"/>
              <w:jc w:val="center"/>
              <w:rPr>
                <w:rFonts w:cs="Calibri"/>
                <w:szCs w:val="16"/>
              </w:rPr>
            </w:pPr>
          </w:p>
        </w:tc>
        <w:tc>
          <w:tcPr>
            <w:tcW w:w="902" w:type="dxa"/>
            <w:shd w:val="clear" w:color="auto" w:fill="auto"/>
            <w:tcMar>
              <w:left w:w="85" w:type="dxa"/>
              <w:right w:w="85" w:type="dxa"/>
            </w:tcMar>
          </w:tcPr>
          <w:p w14:paraId="4580D5EF" w14:textId="77777777" w:rsidR="00616641" w:rsidRPr="0049701B" w:rsidRDefault="00616641" w:rsidP="007E3239">
            <w:pPr>
              <w:pStyle w:val="TableText"/>
              <w:spacing w:before="40" w:after="40"/>
              <w:jc w:val="center"/>
              <w:rPr>
                <w:rFonts w:cs="Calibri"/>
                <w:szCs w:val="16"/>
              </w:rPr>
            </w:pPr>
          </w:p>
        </w:tc>
      </w:tr>
      <w:tr w:rsidR="00616641" w:rsidRPr="0049701B" w14:paraId="1243E539" w14:textId="77777777" w:rsidTr="007E3239">
        <w:tc>
          <w:tcPr>
            <w:tcW w:w="1276" w:type="dxa"/>
            <w:shd w:val="clear" w:color="auto" w:fill="auto"/>
            <w:tcMar>
              <w:left w:w="85" w:type="dxa"/>
              <w:right w:w="85" w:type="dxa"/>
            </w:tcMar>
          </w:tcPr>
          <w:p w14:paraId="4C9E2B47" w14:textId="77777777" w:rsidR="00616641" w:rsidRPr="0049701B" w:rsidRDefault="00616641" w:rsidP="007E3239">
            <w:pPr>
              <w:pStyle w:val="TableText"/>
              <w:spacing w:before="40" w:after="40"/>
              <w:rPr>
                <w:rFonts w:cs="Calibri"/>
                <w:szCs w:val="16"/>
              </w:rPr>
            </w:pPr>
            <w:r w:rsidRPr="0049701B">
              <w:rPr>
                <w:rFonts w:cs="Calibri"/>
                <w:szCs w:val="16"/>
              </w:rPr>
              <w:t>Other land</w:t>
            </w:r>
          </w:p>
        </w:tc>
        <w:tc>
          <w:tcPr>
            <w:tcW w:w="941" w:type="dxa"/>
            <w:shd w:val="clear" w:color="auto" w:fill="auto"/>
            <w:tcMar>
              <w:left w:w="85" w:type="dxa"/>
              <w:right w:w="85" w:type="dxa"/>
            </w:tcMar>
          </w:tcPr>
          <w:p w14:paraId="6AEF271F"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1015" w:type="dxa"/>
            <w:shd w:val="clear" w:color="auto" w:fill="auto"/>
            <w:tcMar>
              <w:left w:w="85" w:type="dxa"/>
              <w:right w:w="85" w:type="dxa"/>
            </w:tcMar>
          </w:tcPr>
          <w:p w14:paraId="73BCB26A" w14:textId="77777777" w:rsidR="00616641" w:rsidRPr="0049701B" w:rsidRDefault="00616641" w:rsidP="007E3239">
            <w:pPr>
              <w:pStyle w:val="TableText"/>
              <w:spacing w:before="40" w:after="40"/>
              <w:jc w:val="center"/>
              <w:rPr>
                <w:rFonts w:cs="Calibri"/>
                <w:szCs w:val="16"/>
              </w:rPr>
            </w:pPr>
            <w:r w:rsidRPr="0049701B">
              <w:rPr>
                <w:rFonts w:cs="Calibri"/>
                <w:szCs w:val="16"/>
              </w:rPr>
              <w:t>*D</w:t>
            </w:r>
          </w:p>
        </w:tc>
        <w:tc>
          <w:tcPr>
            <w:tcW w:w="860" w:type="dxa"/>
            <w:shd w:val="clear" w:color="auto" w:fill="auto"/>
            <w:tcMar>
              <w:left w:w="85" w:type="dxa"/>
              <w:right w:w="85" w:type="dxa"/>
            </w:tcMar>
          </w:tcPr>
          <w:p w14:paraId="29158AEA" w14:textId="77777777" w:rsidR="00616641" w:rsidRPr="0049701B" w:rsidRDefault="00616641" w:rsidP="007E3239">
            <w:pPr>
              <w:pStyle w:val="TableText"/>
              <w:spacing w:before="40" w:after="40"/>
              <w:jc w:val="center"/>
              <w:rPr>
                <w:rFonts w:cs="Calibri"/>
                <w:szCs w:val="16"/>
              </w:rPr>
            </w:pPr>
            <w:r w:rsidRPr="0049701B">
              <w:rPr>
                <w:rFonts w:cs="Calibri"/>
                <w:szCs w:val="16"/>
              </w:rPr>
              <w:t>A/FM</w:t>
            </w:r>
          </w:p>
        </w:tc>
        <w:tc>
          <w:tcPr>
            <w:tcW w:w="846" w:type="dxa"/>
            <w:shd w:val="clear" w:color="auto" w:fill="auto"/>
            <w:tcMar>
              <w:left w:w="85" w:type="dxa"/>
              <w:right w:w="85" w:type="dxa"/>
            </w:tcMar>
          </w:tcPr>
          <w:p w14:paraId="3A7EF6F8" w14:textId="77777777" w:rsidR="00616641" w:rsidRPr="0049701B" w:rsidRDefault="00616641" w:rsidP="007E3239">
            <w:pPr>
              <w:pStyle w:val="TableText"/>
              <w:spacing w:before="40" w:after="40"/>
              <w:jc w:val="center"/>
              <w:rPr>
                <w:rFonts w:cs="Calibri"/>
                <w:szCs w:val="16"/>
              </w:rPr>
            </w:pPr>
          </w:p>
        </w:tc>
        <w:tc>
          <w:tcPr>
            <w:tcW w:w="860" w:type="dxa"/>
            <w:shd w:val="clear" w:color="auto" w:fill="auto"/>
            <w:tcMar>
              <w:left w:w="85" w:type="dxa"/>
              <w:right w:w="85" w:type="dxa"/>
            </w:tcMar>
          </w:tcPr>
          <w:p w14:paraId="33D55845" w14:textId="77777777" w:rsidR="00616641" w:rsidRPr="0049701B" w:rsidRDefault="00616641" w:rsidP="007E3239">
            <w:pPr>
              <w:pStyle w:val="TableText"/>
              <w:spacing w:before="40" w:after="40"/>
              <w:jc w:val="center"/>
              <w:rPr>
                <w:rFonts w:cs="Calibri"/>
                <w:szCs w:val="16"/>
              </w:rPr>
            </w:pPr>
          </w:p>
        </w:tc>
        <w:tc>
          <w:tcPr>
            <w:tcW w:w="790" w:type="dxa"/>
            <w:shd w:val="clear" w:color="auto" w:fill="auto"/>
            <w:tcMar>
              <w:left w:w="85" w:type="dxa"/>
              <w:right w:w="85" w:type="dxa"/>
            </w:tcMar>
          </w:tcPr>
          <w:p w14:paraId="1AA8102F" w14:textId="77777777" w:rsidR="00616641" w:rsidRPr="0049701B" w:rsidRDefault="00616641" w:rsidP="007E3239">
            <w:pPr>
              <w:pStyle w:val="TableText"/>
              <w:spacing w:before="40" w:after="40"/>
              <w:jc w:val="center"/>
              <w:rPr>
                <w:rFonts w:cs="Calibri"/>
                <w:szCs w:val="16"/>
              </w:rPr>
            </w:pPr>
          </w:p>
        </w:tc>
        <w:tc>
          <w:tcPr>
            <w:tcW w:w="1015" w:type="dxa"/>
            <w:shd w:val="clear" w:color="auto" w:fill="auto"/>
            <w:tcMar>
              <w:left w:w="85" w:type="dxa"/>
              <w:right w:w="85" w:type="dxa"/>
            </w:tcMar>
          </w:tcPr>
          <w:p w14:paraId="3C8188A2" w14:textId="77777777" w:rsidR="00616641" w:rsidRPr="0049701B" w:rsidRDefault="00616641" w:rsidP="007E3239">
            <w:pPr>
              <w:pStyle w:val="TableText"/>
              <w:spacing w:before="40" w:after="40"/>
              <w:jc w:val="center"/>
              <w:rPr>
                <w:rFonts w:cs="Calibri"/>
                <w:szCs w:val="16"/>
              </w:rPr>
            </w:pPr>
          </w:p>
        </w:tc>
        <w:tc>
          <w:tcPr>
            <w:tcW w:w="902" w:type="dxa"/>
            <w:shd w:val="clear" w:color="auto" w:fill="auto"/>
            <w:tcMar>
              <w:left w:w="85" w:type="dxa"/>
              <w:right w:w="85" w:type="dxa"/>
            </w:tcMar>
          </w:tcPr>
          <w:p w14:paraId="5063731C" w14:textId="77777777" w:rsidR="00616641" w:rsidRPr="0049701B" w:rsidRDefault="00616641" w:rsidP="007E3239">
            <w:pPr>
              <w:pStyle w:val="TableText"/>
              <w:spacing w:before="40" w:after="40"/>
              <w:jc w:val="center"/>
              <w:rPr>
                <w:rFonts w:cs="Calibri"/>
                <w:szCs w:val="16"/>
              </w:rPr>
            </w:pPr>
          </w:p>
        </w:tc>
      </w:tr>
    </w:tbl>
    <w:p w14:paraId="51BD6C56" w14:textId="77777777" w:rsidR="00616641" w:rsidRPr="0049701B" w:rsidRDefault="00616641" w:rsidP="00616641">
      <w:pPr>
        <w:pStyle w:val="Noteundertable"/>
      </w:pPr>
      <w:r w:rsidRPr="0049701B">
        <w:rPr>
          <w:b/>
        </w:rPr>
        <w:t>Note:</w:t>
      </w:r>
      <w:r w:rsidRPr="0049701B">
        <w:t xml:space="preserve"> </w:t>
      </w:r>
      <w:r w:rsidRPr="0049701B">
        <w:tab/>
        <w:t xml:space="preserve">A = </w:t>
      </w:r>
      <w:r w:rsidRPr="0049701B">
        <w:rPr>
          <w:i/>
        </w:rPr>
        <w:t>Afforestation and reforestation</w:t>
      </w:r>
      <w:r w:rsidRPr="0049701B">
        <w:t xml:space="preserve">; D = </w:t>
      </w:r>
      <w:r w:rsidRPr="0049701B">
        <w:rPr>
          <w:i/>
        </w:rPr>
        <w:t>Deforestation</w:t>
      </w:r>
      <w:r w:rsidRPr="0049701B">
        <w:t xml:space="preserve">; FM = </w:t>
      </w:r>
      <w:r w:rsidRPr="0049701B">
        <w:rPr>
          <w:i/>
        </w:rPr>
        <w:t>Forest management</w:t>
      </w:r>
      <w:r w:rsidRPr="0049701B">
        <w:t xml:space="preserve">; A/FM indicates that a forest establishment activity could be accounted for under </w:t>
      </w:r>
      <w:r w:rsidRPr="0049701B">
        <w:rPr>
          <w:i/>
        </w:rPr>
        <w:t>Forest management</w:t>
      </w:r>
      <w:r w:rsidRPr="0049701B">
        <w:t xml:space="preserve"> if the land is subject to the carbon equivalent forest provision; D/FM indicates that a forest harvest and conversion activity could be accounted for under </w:t>
      </w:r>
      <w:r w:rsidRPr="0049701B">
        <w:rPr>
          <w:i/>
        </w:rPr>
        <w:t>Forest management</w:t>
      </w:r>
      <w:r w:rsidRPr="0049701B">
        <w:t xml:space="preserve"> if the land is subject to the carbon equivalent forest provision; </w:t>
      </w:r>
      <w:r w:rsidRPr="0049701B">
        <w:br/>
        <w:t xml:space="preserve">‘–’ denotes land-use changes that are not possible given the land use definitions; ‘*D’ denotes land-use changes that are valid only if the land was forested at 1990, in which case the land use transition is accounted for under deforestation (e.g., pre-1990 planted forest converted to grassland since 1990 that is later converted back to pre-1990 planted forest would be reported under </w:t>
      </w:r>
      <w:r w:rsidRPr="0049701B">
        <w:rPr>
          <w:i/>
        </w:rPr>
        <w:t>Deforestation</w:t>
      </w:r>
      <w:r w:rsidRPr="0049701B">
        <w:t xml:space="preserve">). </w:t>
      </w:r>
    </w:p>
    <w:p w14:paraId="6AF1F4A8" w14:textId="77777777" w:rsidR="00616641" w:rsidRPr="0049701B" w:rsidRDefault="00616641" w:rsidP="00616641">
      <w:pPr>
        <w:pStyle w:val="BodyText"/>
      </w:pPr>
      <w:r w:rsidRPr="0049701B">
        <w:t>Mapping of land-use change is described in chapter 6, section 6.2, and annex 3, section A3.2.2. Further information on the estimation of the total area of afforested and reforested land occurring between 2008 and 2020 can be found in annex 3, section A3.2.2.</w:t>
      </w:r>
    </w:p>
    <w:p w14:paraId="5F43D3EE" w14:textId="77777777" w:rsidR="00616641" w:rsidRPr="0049701B" w:rsidRDefault="00616641" w:rsidP="00616641">
      <w:pPr>
        <w:pStyle w:val="BodyText"/>
      </w:pPr>
      <w:r w:rsidRPr="0049701B">
        <w:t>Accurate classification of pre-1990 forest is essential to correctly determine the area reported as afforested and reforested in the land transition matrix. Satellite imagery at various dates near to 1990 and mapping from the New Zealand Emissions Trading Scheme (NZ ETS) have been used to ensure these forests are classified correctly. This process is shown in annex 3, section A3.2, figure A3.2.2.</w:t>
      </w:r>
    </w:p>
    <w:p w14:paraId="482637E3" w14:textId="77777777" w:rsidR="00616641" w:rsidRPr="0049701B" w:rsidRDefault="00616641" w:rsidP="00616641">
      <w:pPr>
        <w:pStyle w:val="BodyText"/>
      </w:pPr>
      <w:r w:rsidRPr="0049701B">
        <w:t xml:space="preserve">Transitions to </w:t>
      </w:r>
      <w:r w:rsidRPr="0049701B">
        <w:rPr>
          <w:spacing w:val="-2"/>
        </w:rPr>
        <w:t>deforestation</w:t>
      </w:r>
      <w:r w:rsidRPr="0049701B">
        <w:t xml:space="preserve"> are based on deforestation mapping, as described in annex 3, section A3.2.2.</w:t>
      </w:r>
    </w:p>
    <w:p w14:paraId="7D3AE4EA" w14:textId="77777777" w:rsidR="00616641" w:rsidRPr="0049701B" w:rsidRDefault="00616641" w:rsidP="00616641">
      <w:pPr>
        <w:pStyle w:val="Heading3"/>
        <w:spacing w:before="240"/>
      </w:pPr>
      <w:bookmarkStart w:id="2771" w:name="_Toc261513287"/>
      <w:bookmarkStart w:id="2772" w:name="_Toc261513900"/>
      <w:bookmarkStart w:id="2773" w:name="_Toc280630390"/>
      <w:bookmarkStart w:id="2774" w:name="_Toc377043721"/>
      <w:bookmarkStart w:id="2775" w:name="_Toc400967259"/>
      <w:r w:rsidRPr="0049701B">
        <w:t xml:space="preserve">11.2.3 </w:t>
      </w:r>
      <w:r w:rsidRPr="0049701B">
        <w:tab/>
        <w:t>Identifying geographical locations</w:t>
      </w:r>
      <w:bookmarkEnd w:id="2771"/>
      <w:bookmarkEnd w:id="2772"/>
      <w:bookmarkEnd w:id="2773"/>
      <w:bookmarkEnd w:id="2774"/>
      <w:bookmarkEnd w:id="2775"/>
    </w:p>
    <w:p w14:paraId="576CE2F6" w14:textId="77777777" w:rsidR="00616641" w:rsidRPr="0049701B" w:rsidRDefault="00616641" w:rsidP="00616641">
      <w:pPr>
        <w:pStyle w:val="BodyText"/>
      </w:pPr>
      <w:r w:rsidRPr="0049701B">
        <w:t xml:space="preserve">New Zealand has used Reporting Methods 1 and 2 for preparing estimates of emissions and removals for </w:t>
      </w:r>
      <w:r w:rsidRPr="0049701B">
        <w:rPr>
          <w:i/>
        </w:rPr>
        <w:t>Afforestation</w:t>
      </w:r>
      <w:r w:rsidRPr="0049701B">
        <w:t xml:space="preserve"> </w:t>
      </w:r>
      <w:r w:rsidRPr="0049701B">
        <w:rPr>
          <w:i/>
        </w:rPr>
        <w:t>and</w:t>
      </w:r>
      <w:r w:rsidRPr="0049701B">
        <w:t xml:space="preserve"> </w:t>
      </w:r>
      <w:r w:rsidRPr="0049701B">
        <w:rPr>
          <w:i/>
        </w:rPr>
        <w:t>reforestation</w:t>
      </w:r>
      <w:r w:rsidRPr="0049701B">
        <w:t xml:space="preserve"> and </w:t>
      </w:r>
      <w:r w:rsidRPr="0049701B">
        <w:rPr>
          <w:i/>
          <w:spacing w:val="-2"/>
        </w:rPr>
        <w:t>Deforestation</w:t>
      </w:r>
      <w:r w:rsidRPr="0049701B">
        <w:t xml:space="preserve">, and Approaches 2 and 3 to map land-use change. Wall-to-wall mapping is completed every four to five years, with national statistics and ancillary mapping data used in the intervening years to estimate afforested, reforested or </w:t>
      </w:r>
      <w:r w:rsidRPr="0049701B">
        <w:rPr>
          <w:spacing w:val="-2"/>
        </w:rPr>
        <w:t>deforested areas</w:t>
      </w:r>
      <w:r w:rsidRPr="0049701B">
        <w:t>.</w:t>
      </w:r>
    </w:p>
    <w:p w14:paraId="074BDE3F" w14:textId="77777777" w:rsidR="00616641" w:rsidRPr="0049701B" w:rsidRDefault="00616641" w:rsidP="00616641">
      <w:pPr>
        <w:pStyle w:val="BodyText"/>
      </w:pPr>
      <w:r w:rsidRPr="0049701B">
        <w:t xml:space="preserve">Included in New Zealand’s geographical extent are the following uninhabited offshore islands: Kermadec Islands, Three Kings Islands and Subantarctic Islands (Auckland Islands, Campbell Island, Antipodes Islands, Bounty Islands and Snares Islands). These islands are protected conservation sites with a total area of 74,052 hectares. They are not subject to land-use change and are therefore reported in a steady state of land use. </w:t>
      </w:r>
    </w:p>
    <w:p w14:paraId="0499D96D" w14:textId="77777777" w:rsidR="00616641" w:rsidRPr="0049701B" w:rsidRDefault="00616641" w:rsidP="00616641">
      <w:pPr>
        <w:pStyle w:val="Heading2"/>
        <w:spacing w:before="240"/>
      </w:pPr>
      <w:bookmarkStart w:id="2776" w:name="_Toc261513288"/>
      <w:bookmarkStart w:id="2777" w:name="_Toc261513901"/>
      <w:bookmarkStart w:id="2778" w:name="_Toc280630391"/>
      <w:bookmarkStart w:id="2779" w:name="_Toc310423466"/>
      <w:bookmarkStart w:id="2780" w:name="_Toc342470734"/>
      <w:bookmarkStart w:id="2781" w:name="_Toc352504893"/>
      <w:bookmarkStart w:id="2782" w:name="_Toc377043722"/>
      <w:bookmarkStart w:id="2783" w:name="_Toc391023463"/>
      <w:bookmarkStart w:id="2784" w:name="_Toc400967260"/>
      <w:bookmarkStart w:id="2785" w:name="_Toc414531342"/>
      <w:bookmarkStart w:id="2786" w:name="_Toc456179171"/>
      <w:bookmarkStart w:id="2787" w:name="_Toc481751424"/>
      <w:bookmarkStart w:id="2788" w:name="_Toc522013963"/>
      <w:bookmarkStart w:id="2789" w:name="_Toc5269407"/>
      <w:bookmarkStart w:id="2790" w:name="_Toc36224447"/>
      <w:bookmarkStart w:id="2791" w:name="_Toc68786367"/>
      <w:bookmarkStart w:id="2792" w:name="_Toc99659173"/>
      <w:r w:rsidRPr="0049701B">
        <w:t>11.3</w:t>
      </w:r>
      <w:r w:rsidRPr="0049701B">
        <w:tab/>
        <w:t>Activity-specific information</w:t>
      </w:r>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p>
    <w:p w14:paraId="1D36E977" w14:textId="77777777" w:rsidR="00616641" w:rsidRPr="0049701B" w:rsidRDefault="00616641" w:rsidP="00616641">
      <w:pPr>
        <w:pStyle w:val="Heading3"/>
        <w:spacing w:before="160"/>
      </w:pPr>
      <w:r w:rsidRPr="0049701B">
        <w:t>11.3.1</w:t>
      </w:r>
      <w:r w:rsidRPr="0049701B">
        <w:tab/>
        <w:t>Estimating carbon stock change</w:t>
      </w:r>
    </w:p>
    <w:p w14:paraId="5EA73CEA" w14:textId="77777777" w:rsidR="00616641" w:rsidRPr="0049701B" w:rsidRDefault="00616641" w:rsidP="00616641">
      <w:pPr>
        <w:pStyle w:val="BodyText"/>
      </w:pPr>
      <w:r w:rsidRPr="0049701B">
        <w:t xml:space="preserve">Emissions and removals from </w:t>
      </w:r>
      <w:r w:rsidRPr="0049701B">
        <w:rPr>
          <w:i/>
        </w:rPr>
        <w:t>Afforestation and reforestation</w:t>
      </w:r>
      <w:r w:rsidRPr="0049701B">
        <w:t xml:space="preserve">, </w:t>
      </w:r>
      <w:r w:rsidRPr="0049701B">
        <w:rPr>
          <w:i/>
        </w:rPr>
        <w:t>Deforestation</w:t>
      </w:r>
      <w:r w:rsidRPr="0049701B">
        <w:t xml:space="preserve"> and </w:t>
      </w:r>
      <w:r w:rsidRPr="0049701B">
        <w:rPr>
          <w:i/>
        </w:rPr>
        <w:t>Forest</w:t>
      </w:r>
      <w:r w:rsidRPr="0049701B">
        <w:t xml:space="preserve"> </w:t>
      </w:r>
      <w:r w:rsidRPr="0049701B">
        <w:rPr>
          <w:i/>
        </w:rPr>
        <w:t>management</w:t>
      </w:r>
      <w:r w:rsidRPr="0049701B">
        <w:t xml:space="preserve"> are determined using plot-network-based estimates for each type of forest (pre</w:t>
      </w:r>
      <w:r w:rsidRPr="0049701B">
        <w:noBreakHyphen/>
        <w:t xml:space="preserve">1990 natural forest, pre-1990 planted forest, post-1989 planted forest and post-1989 natural forest), survey and scheme data (Manley, 2021; Ministry for Primary Industries, 2020b) to determine the forest age, harvest age, and harvest age profile associated with planted forests. Carbon analyses are performed to estimate the carbon stored per hectare per pool and are described in chapter 6, section 6.3.2. </w:t>
      </w:r>
    </w:p>
    <w:p w14:paraId="50D8D02C" w14:textId="77777777" w:rsidR="00616641" w:rsidRPr="0049701B" w:rsidRDefault="00616641" w:rsidP="00616641">
      <w:pPr>
        <w:pStyle w:val="Heading3"/>
        <w:spacing w:before="240"/>
      </w:pPr>
      <w:r w:rsidRPr="0049701B">
        <w:lastRenderedPageBreak/>
        <w:t>11.3.2</w:t>
      </w:r>
      <w:r w:rsidRPr="0049701B">
        <w:tab/>
        <w:t>Afforestation and reforestation (CRF 4(KP.A.1))</w:t>
      </w:r>
    </w:p>
    <w:p w14:paraId="28B708CB" w14:textId="77777777" w:rsidR="00616641" w:rsidRPr="0049701B" w:rsidRDefault="00616641" w:rsidP="00616641">
      <w:pPr>
        <w:pStyle w:val="BodyText"/>
      </w:pPr>
      <w:r w:rsidRPr="0049701B">
        <w:t>Between 1990 and 2020, it is estimated that 814,354 hectares of new forest (post</w:t>
      </w:r>
      <w:r w:rsidRPr="0049701B">
        <w:noBreakHyphen/>
        <w:t xml:space="preserve">1989 forest) were established as a result of </w:t>
      </w:r>
      <w:r w:rsidRPr="0049701B">
        <w:rPr>
          <w:i/>
        </w:rPr>
        <w:t>Afforestation and reforestation</w:t>
      </w:r>
      <w:r w:rsidRPr="0049701B">
        <w:t xml:space="preserve"> activities (table </w:t>
      </w:r>
      <w:r w:rsidRPr="0049701B">
        <w:rPr>
          <w:spacing w:val="-2"/>
        </w:rPr>
        <w:t>11.3.1</w:t>
      </w:r>
      <w:r w:rsidRPr="0049701B">
        <w:t xml:space="preserve">). The net area of post-1989 forest (calculated from the total area of new forest planted since 31 December 1989 minus the deforestation of post-1989 forest since 1 January 1990) as at the end of 2020 was </w:t>
      </w:r>
      <w:r w:rsidRPr="0049701B">
        <w:rPr>
          <w:rFonts w:cs="Arial"/>
          <w:color w:val="000000"/>
          <w:szCs w:val="16"/>
        </w:rPr>
        <w:t xml:space="preserve">775,385 </w:t>
      </w:r>
      <w:r w:rsidRPr="0049701B">
        <w:t>hectares. Emissions from this land in 2020 were –14,764.7 kt CO</w:t>
      </w:r>
      <w:r w:rsidRPr="0049701B">
        <w:rPr>
          <w:vertAlign w:val="subscript"/>
        </w:rPr>
        <w:t>2</w:t>
      </w:r>
      <w:r w:rsidRPr="0049701B">
        <w:t>-e, compared with –16,733.5</w:t>
      </w:r>
      <w:r w:rsidRPr="0049701B" w:rsidDel="008E1A0D">
        <w:t xml:space="preserve"> </w:t>
      </w:r>
      <w:r w:rsidRPr="0049701B">
        <w:t>kt CO</w:t>
      </w:r>
      <w:r w:rsidRPr="0049701B">
        <w:rPr>
          <w:vertAlign w:val="subscript"/>
        </w:rPr>
        <w:t>2</w:t>
      </w:r>
      <w:r w:rsidRPr="0049701B">
        <w:t xml:space="preserve">-e in 2019. Of the total area afforested or reforested between 1990 and 2020, an estimated 38,969 hectares were deforested between 1990 and 2020 (table </w:t>
      </w:r>
      <w:r w:rsidRPr="0049701B">
        <w:rPr>
          <w:spacing w:val="-2"/>
        </w:rPr>
        <w:t>11.3.1</w:t>
      </w:r>
      <w:r w:rsidRPr="0049701B">
        <w:t xml:space="preserve">). The emissions for this area are reported under </w:t>
      </w:r>
      <w:r w:rsidRPr="0049701B">
        <w:rPr>
          <w:i/>
          <w:spacing w:val="-2"/>
        </w:rPr>
        <w:t>Deforestation</w:t>
      </w:r>
      <w:r w:rsidRPr="0049701B">
        <w:t>.</w:t>
      </w:r>
    </w:p>
    <w:p w14:paraId="10D9214D" w14:textId="77777777" w:rsidR="00616641" w:rsidRPr="0049701B" w:rsidRDefault="00616641" w:rsidP="00616641">
      <w:pPr>
        <w:pStyle w:val="BodyText"/>
      </w:pPr>
      <w:r w:rsidRPr="0049701B">
        <w:t>New Zealand’s post-1989 forest is described in further detail in chapter 6, section 6.3.</w:t>
      </w:r>
    </w:p>
    <w:p w14:paraId="74DF3A5F" w14:textId="77777777" w:rsidR="00616641" w:rsidRPr="0049701B" w:rsidRDefault="00616641" w:rsidP="00616641">
      <w:pPr>
        <w:pStyle w:val="Table"/>
      </w:pPr>
      <w:bookmarkStart w:id="2793" w:name="_Toc310423440"/>
      <w:bookmarkStart w:id="2794" w:name="_Toc318362733"/>
      <w:bookmarkStart w:id="2795" w:name="_Toc342470812"/>
      <w:bookmarkStart w:id="2796" w:name="_Toc352505065"/>
      <w:bookmarkStart w:id="2797" w:name="_Toc377043701"/>
      <w:bookmarkStart w:id="2798" w:name="_Toc391023553"/>
      <w:bookmarkStart w:id="2799" w:name="_Toc414531527"/>
      <w:bookmarkStart w:id="2800" w:name="_Toc456179107"/>
      <w:bookmarkStart w:id="2801" w:name="_Toc481751633"/>
      <w:bookmarkStart w:id="2802" w:name="_Toc522010658"/>
      <w:bookmarkStart w:id="2803" w:name="_Toc5269628"/>
      <w:bookmarkStart w:id="2804" w:name="_Toc36224710"/>
      <w:bookmarkStart w:id="2805" w:name="_Toc64987045"/>
      <w:bookmarkStart w:id="2806" w:name="_Toc68786595"/>
      <w:bookmarkStart w:id="2807" w:name="_Toc95321537"/>
      <w:bookmarkStart w:id="2808" w:name="_Toc99659389"/>
      <w:r w:rsidRPr="0049701B">
        <w:t>Table 11.3.1</w:t>
      </w:r>
      <w:r w:rsidRPr="0049701B">
        <w:tab/>
        <w:t xml:space="preserve">New Zealand’s estimated annual area under </w:t>
      </w:r>
      <w:r w:rsidRPr="0049701B">
        <w:rPr>
          <w:i/>
          <w:iCs/>
        </w:rPr>
        <w:t>Afforestation and reforestation</w:t>
      </w:r>
      <w:r w:rsidRPr="0049701B">
        <w:rPr>
          <w:vertAlign w:val="subscript"/>
        </w:rPr>
        <w:t xml:space="preserve"> </w:t>
      </w:r>
      <w:r w:rsidRPr="0049701B">
        <w:t>from 1990</w:t>
      </w:r>
      <w:bookmarkEnd w:id="2793"/>
      <w:bookmarkEnd w:id="2794"/>
      <w:bookmarkEnd w:id="2795"/>
      <w:bookmarkEnd w:id="2796"/>
      <w:bookmarkEnd w:id="2797"/>
      <w:r w:rsidRPr="0049701B">
        <w:t> to</w:t>
      </w:r>
      <w:bookmarkEnd w:id="2798"/>
      <w:r w:rsidRPr="0049701B">
        <w:t> </w:t>
      </w:r>
      <w:bookmarkEnd w:id="2799"/>
      <w:bookmarkEnd w:id="2800"/>
      <w:bookmarkEnd w:id="2801"/>
      <w:bookmarkEnd w:id="2802"/>
      <w:bookmarkEnd w:id="2803"/>
      <w:bookmarkEnd w:id="2804"/>
      <w:bookmarkEnd w:id="2805"/>
      <w:bookmarkEnd w:id="2806"/>
      <w:r w:rsidRPr="0049701B">
        <w:t>2020</w:t>
      </w:r>
      <w:bookmarkEnd w:id="2807"/>
      <w:bookmarkEnd w:id="2808"/>
    </w:p>
    <w:tbl>
      <w:tblPr>
        <w:tblW w:w="8505" w:type="dxa"/>
        <w:tblInd w:w="113"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873"/>
        <w:gridCol w:w="2503"/>
        <w:gridCol w:w="1586"/>
        <w:gridCol w:w="1701"/>
        <w:gridCol w:w="1842"/>
      </w:tblGrid>
      <w:tr w:rsidR="00616641" w:rsidRPr="0049701B" w14:paraId="11B2C784" w14:textId="77777777" w:rsidTr="007E3239">
        <w:trPr>
          <w:tblHeader/>
        </w:trPr>
        <w:tc>
          <w:tcPr>
            <w:tcW w:w="873" w:type="dxa"/>
            <w:vMerge w:val="restart"/>
            <w:shd w:val="clear" w:color="auto" w:fill="1B556B"/>
            <w:vAlign w:val="bottom"/>
          </w:tcPr>
          <w:p w14:paraId="32CF3F94" w14:textId="77777777" w:rsidR="00616641" w:rsidRPr="0049701B" w:rsidRDefault="00616641" w:rsidP="007E3239">
            <w:pPr>
              <w:pStyle w:val="TableTextBold"/>
              <w:keepNext/>
              <w:spacing w:before="40" w:after="20"/>
              <w:rPr>
                <w:rFonts w:cs="Calibri"/>
                <w:noProof w:val="0"/>
                <w:color w:val="FFFFFF"/>
                <w:szCs w:val="16"/>
              </w:rPr>
            </w:pPr>
            <w:r w:rsidRPr="0049701B">
              <w:rPr>
                <w:rFonts w:cs="Calibri"/>
                <w:noProof w:val="0"/>
                <w:color w:val="FFFFFF"/>
                <w:szCs w:val="16"/>
              </w:rPr>
              <w:t>Year</w:t>
            </w:r>
          </w:p>
        </w:tc>
        <w:tc>
          <w:tcPr>
            <w:tcW w:w="7632" w:type="dxa"/>
            <w:gridSpan w:val="4"/>
            <w:shd w:val="clear" w:color="auto" w:fill="1B556B"/>
            <w:vAlign w:val="center"/>
          </w:tcPr>
          <w:p w14:paraId="53C6EE5A" w14:textId="77777777" w:rsidR="00616641" w:rsidRPr="0049701B" w:rsidRDefault="00616641" w:rsidP="007E3239">
            <w:pPr>
              <w:pStyle w:val="TableTextBold"/>
              <w:keepNext/>
              <w:spacing w:before="40" w:after="20"/>
              <w:jc w:val="center"/>
              <w:rPr>
                <w:rFonts w:cs="Calibri"/>
                <w:bCs/>
                <w:noProof w:val="0"/>
                <w:color w:val="FFFFFF"/>
                <w:szCs w:val="16"/>
              </w:rPr>
            </w:pPr>
            <w:r w:rsidRPr="0049701B">
              <w:rPr>
                <w:rFonts w:cs="Calibri"/>
                <w:bCs/>
                <w:noProof w:val="0"/>
                <w:color w:val="FFFFFF"/>
                <w:szCs w:val="16"/>
              </w:rPr>
              <w:t xml:space="preserve">Annual area of </w:t>
            </w:r>
            <w:r w:rsidRPr="0049701B">
              <w:rPr>
                <w:rFonts w:cs="Calibri"/>
                <w:bCs/>
                <w:i/>
                <w:iCs/>
                <w:noProof w:val="0"/>
                <w:color w:val="FFFFFF"/>
                <w:szCs w:val="16"/>
              </w:rPr>
              <w:t>Afforestation and reforestation</w:t>
            </w:r>
            <w:r w:rsidRPr="0049701B">
              <w:rPr>
                <w:rFonts w:cs="Calibri"/>
                <w:bCs/>
                <w:noProof w:val="0"/>
                <w:color w:val="FFFFFF"/>
                <w:szCs w:val="16"/>
              </w:rPr>
              <w:t xml:space="preserve"> (ha)</w:t>
            </w:r>
          </w:p>
        </w:tc>
      </w:tr>
      <w:tr w:rsidR="00616641" w:rsidRPr="0049701B" w14:paraId="65371E47" w14:textId="77777777" w:rsidTr="007E3239">
        <w:trPr>
          <w:tblHeader/>
        </w:trPr>
        <w:tc>
          <w:tcPr>
            <w:tcW w:w="873" w:type="dxa"/>
            <w:vMerge/>
            <w:shd w:val="clear" w:color="auto" w:fill="1B556B"/>
            <w:vAlign w:val="bottom"/>
          </w:tcPr>
          <w:p w14:paraId="129CDE1C" w14:textId="77777777" w:rsidR="00616641" w:rsidRPr="0049701B" w:rsidRDefault="00616641" w:rsidP="007E3239">
            <w:pPr>
              <w:pStyle w:val="TableTextBold"/>
              <w:keepNext/>
              <w:spacing w:before="40" w:after="40"/>
              <w:rPr>
                <w:rFonts w:cs="Calibri"/>
                <w:b w:val="0"/>
                <w:bCs/>
                <w:noProof w:val="0"/>
                <w:color w:val="FFFFFF"/>
                <w:szCs w:val="16"/>
              </w:rPr>
            </w:pPr>
          </w:p>
        </w:tc>
        <w:tc>
          <w:tcPr>
            <w:tcW w:w="2503" w:type="dxa"/>
            <w:shd w:val="clear" w:color="auto" w:fill="1B556B"/>
            <w:vAlign w:val="bottom"/>
          </w:tcPr>
          <w:p w14:paraId="270192C5" w14:textId="77777777" w:rsidR="00616641" w:rsidRPr="0049701B" w:rsidRDefault="00616641" w:rsidP="007E3239">
            <w:pPr>
              <w:pStyle w:val="TableTextBold"/>
              <w:spacing w:before="40" w:after="40"/>
              <w:jc w:val="right"/>
              <w:rPr>
                <w:rFonts w:cs="Calibri"/>
                <w:noProof w:val="0"/>
                <w:color w:val="FFFFFF"/>
                <w:szCs w:val="16"/>
              </w:rPr>
            </w:pPr>
            <w:r w:rsidRPr="0049701B">
              <w:rPr>
                <w:rFonts w:cs="Calibri"/>
                <w:noProof w:val="0"/>
                <w:color w:val="FFFFFF"/>
                <w:szCs w:val="16"/>
              </w:rPr>
              <w:t>Afforestation/reforestation</w:t>
            </w:r>
            <w:r w:rsidRPr="0049701B">
              <w:rPr>
                <w:rFonts w:cs="Calibri"/>
                <w:noProof w:val="0"/>
                <w:color w:val="FFFFFF"/>
                <w:szCs w:val="16"/>
                <w:vertAlign w:val="superscript"/>
              </w:rPr>
              <w:t>+</w:t>
            </w:r>
          </w:p>
        </w:tc>
        <w:tc>
          <w:tcPr>
            <w:tcW w:w="1586" w:type="dxa"/>
            <w:shd w:val="clear" w:color="auto" w:fill="1B556B"/>
            <w:vAlign w:val="bottom"/>
          </w:tcPr>
          <w:p w14:paraId="026844B2" w14:textId="77777777" w:rsidR="00616641" w:rsidRPr="0049701B" w:rsidRDefault="00616641" w:rsidP="007E3239">
            <w:pPr>
              <w:pStyle w:val="TableTextBold"/>
              <w:spacing w:before="40" w:after="40"/>
              <w:jc w:val="right"/>
              <w:rPr>
                <w:rFonts w:cs="Calibri"/>
                <w:noProof w:val="0"/>
                <w:color w:val="FFFFFF"/>
                <w:szCs w:val="16"/>
              </w:rPr>
            </w:pPr>
            <w:r w:rsidRPr="0049701B">
              <w:rPr>
                <w:rFonts w:cs="Calibri"/>
                <w:noProof w:val="0"/>
                <w:color w:val="FFFFFF"/>
                <w:szCs w:val="16"/>
              </w:rPr>
              <w:t>Harvesting</w:t>
            </w:r>
          </w:p>
        </w:tc>
        <w:tc>
          <w:tcPr>
            <w:tcW w:w="1701" w:type="dxa"/>
            <w:shd w:val="clear" w:color="auto" w:fill="1B556B"/>
            <w:vAlign w:val="bottom"/>
          </w:tcPr>
          <w:p w14:paraId="75200BD2" w14:textId="77777777" w:rsidR="00616641" w:rsidRPr="0049701B" w:rsidRDefault="00616641" w:rsidP="007E3239">
            <w:pPr>
              <w:pStyle w:val="TableTextBold"/>
              <w:spacing w:before="40" w:after="40"/>
              <w:jc w:val="right"/>
              <w:rPr>
                <w:rFonts w:cs="Calibri"/>
                <w:noProof w:val="0"/>
                <w:color w:val="FFFFFF"/>
                <w:szCs w:val="16"/>
              </w:rPr>
            </w:pPr>
            <w:r w:rsidRPr="0049701B">
              <w:rPr>
                <w:rFonts w:cs="Calibri"/>
                <w:noProof w:val="0"/>
                <w:color w:val="FFFFFF"/>
                <w:szCs w:val="16"/>
              </w:rPr>
              <w:t>Deforestation</w:t>
            </w:r>
          </w:p>
        </w:tc>
        <w:tc>
          <w:tcPr>
            <w:tcW w:w="1842" w:type="dxa"/>
            <w:shd w:val="clear" w:color="auto" w:fill="1B556B"/>
            <w:vAlign w:val="bottom"/>
          </w:tcPr>
          <w:p w14:paraId="6972691B" w14:textId="77777777" w:rsidR="00616641" w:rsidRPr="0049701B" w:rsidRDefault="00616641" w:rsidP="007E3239">
            <w:pPr>
              <w:pStyle w:val="TableTextBold"/>
              <w:spacing w:before="40" w:after="40"/>
              <w:jc w:val="right"/>
              <w:rPr>
                <w:rFonts w:cs="Calibri"/>
                <w:noProof w:val="0"/>
                <w:color w:val="FFFFFF"/>
                <w:szCs w:val="16"/>
              </w:rPr>
            </w:pPr>
            <w:r w:rsidRPr="0049701B">
              <w:rPr>
                <w:rFonts w:cs="Calibri"/>
                <w:noProof w:val="0"/>
                <w:color w:val="FFFFFF"/>
                <w:szCs w:val="16"/>
              </w:rPr>
              <w:t>Net cumulative area</w:t>
            </w:r>
          </w:p>
        </w:tc>
      </w:tr>
      <w:tr w:rsidR="00616641" w:rsidRPr="0049701B" w14:paraId="6AE16EB4" w14:textId="77777777" w:rsidTr="007E3239">
        <w:tc>
          <w:tcPr>
            <w:tcW w:w="873" w:type="dxa"/>
            <w:shd w:val="clear" w:color="auto" w:fill="auto"/>
          </w:tcPr>
          <w:p w14:paraId="0E917219" w14:textId="77777777" w:rsidR="00616641" w:rsidRPr="0049701B" w:rsidRDefault="00616641" w:rsidP="007E3239">
            <w:pPr>
              <w:pStyle w:val="TableText"/>
              <w:keepNext/>
              <w:spacing w:before="40" w:after="40"/>
              <w:rPr>
                <w:rFonts w:cs="Calibri"/>
                <w:szCs w:val="16"/>
              </w:rPr>
            </w:pPr>
            <w:r w:rsidRPr="0049701B">
              <w:rPr>
                <w:rFonts w:cs="Calibri"/>
                <w:szCs w:val="16"/>
              </w:rPr>
              <w:t>1990</w:t>
            </w:r>
          </w:p>
        </w:tc>
        <w:tc>
          <w:tcPr>
            <w:tcW w:w="2503" w:type="dxa"/>
            <w:shd w:val="clear" w:color="auto" w:fill="auto"/>
          </w:tcPr>
          <w:p w14:paraId="7CD2D68F" w14:textId="77777777" w:rsidR="00616641" w:rsidRPr="0049701B" w:rsidRDefault="00616641" w:rsidP="007E3239">
            <w:pPr>
              <w:pStyle w:val="TableText"/>
              <w:spacing w:before="40" w:after="40"/>
              <w:jc w:val="right"/>
              <w:rPr>
                <w:rFonts w:cs="Calibri"/>
                <w:szCs w:val="16"/>
              </w:rPr>
            </w:pPr>
            <w:r w:rsidRPr="0049701B">
              <w:t>14,512</w:t>
            </w:r>
          </w:p>
        </w:tc>
        <w:tc>
          <w:tcPr>
            <w:tcW w:w="1586" w:type="dxa"/>
            <w:shd w:val="clear" w:color="auto" w:fill="auto"/>
          </w:tcPr>
          <w:p w14:paraId="3F7E35F8"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67E9350C" w14:textId="77777777" w:rsidR="00616641" w:rsidRPr="0049701B" w:rsidRDefault="00616641" w:rsidP="007E3239">
            <w:pPr>
              <w:pStyle w:val="TableText"/>
              <w:spacing w:before="40" w:after="40"/>
              <w:jc w:val="right"/>
              <w:rPr>
                <w:rFonts w:cs="Calibri"/>
                <w:szCs w:val="16"/>
              </w:rPr>
            </w:pPr>
            <w:r w:rsidRPr="0049701B">
              <w:t>0</w:t>
            </w:r>
          </w:p>
        </w:tc>
        <w:tc>
          <w:tcPr>
            <w:tcW w:w="1842" w:type="dxa"/>
            <w:shd w:val="clear" w:color="auto" w:fill="auto"/>
          </w:tcPr>
          <w:p w14:paraId="78A4F1E9" w14:textId="77777777" w:rsidR="00616641" w:rsidRPr="0049701B" w:rsidRDefault="00616641" w:rsidP="007E3239">
            <w:pPr>
              <w:pStyle w:val="TableText"/>
              <w:spacing w:before="40" w:after="40"/>
              <w:jc w:val="right"/>
              <w:rPr>
                <w:rFonts w:cs="Calibri"/>
                <w:szCs w:val="16"/>
              </w:rPr>
            </w:pPr>
            <w:r w:rsidRPr="0049701B">
              <w:t>14,512</w:t>
            </w:r>
          </w:p>
        </w:tc>
      </w:tr>
      <w:tr w:rsidR="00616641" w:rsidRPr="0049701B" w14:paraId="241893DF" w14:textId="77777777" w:rsidTr="007E3239">
        <w:tc>
          <w:tcPr>
            <w:tcW w:w="873" w:type="dxa"/>
            <w:shd w:val="clear" w:color="auto" w:fill="auto"/>
          </w:tcPr>
          <w:p w14:paraId="6560E15B" w14:textId="77777777" w:rsidR="00616641" w:rsidRPr="0049701B" w:rsidRDefault="00616641" w:rsidP="007E3239">
            <w:pPr>
              <w:pStyle w:val="TableText"/>
              <w:keepNext/>
              <w:spacing w:before="40" w:after="40"/>
              <w:rPr>
                <w:rFonts w:cs="Calibri"/>
                <w:szCs w:val="16"/>
              </w:rPr>
            </w:pPr>
            <w:r w:rsidRPr="0049701B">
              <w:rPr>
                <w:rFonts w:cs="Calibri"/>
                <w:szCs w:val="16"/>
              </w:rPr>
              <w:t>1991</w:t>
            </w:r>
          </w:p>
        </w:tc>
        <w:tc>
          <w:tcPr>
            <w:tcW w:w="2503" w:type="dxa"/>
            <w:shd w:val="clear" w:color="auto" w:fill="auto"/>
          </w:tcPr>
          <w:p w14:paraId="50B24489" w14:textId="77777777" w:rsidR="00616641" w:rsidRPr="0049701B" w:rsidRDefault="00616641" w:rsidP="007E3239">
            <w:pPr>
              <w:pStyle w:val="TableText"/>
              <w:spacing w:before="40" w:after="40"/>
              <w:jc w:val="right"/>
              <w:rPr>
                <w:rFonts w:cs="Calibri"/>
                <w:szCs w:val="16"/>
              </w:rPr>
            </w:pPr>
            <w:r w:rsidRPr="0049701B">
              <w:t>14,333</w:t>
            </w:r>
          </w:p>
        </w:tc>
        <w:tc>
          <w:tcPr>
            <w:tcW w:w="1586" w:type="dxa"/>
            <w:shd w:val="clear" w:color="auto" w:fill="auto"/>
          </w:tcPr>
          <w:p w14:paraId="61FC2BDC"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222B8CF0" w14:textId="77777777" w:rsidR="00616641" w:rsidRPr="0049701B" w:rsidRDefault="00616641" w:rsidP="007E3239">
            <w:pPr>
              <w:pStyle w:val="TableText"/>
              <w:spacing w:before="40" w:after="40"/>
              <w:jc w:val="right"/>
              <w:rPr>
                <w:rFonts w:cs="Calibri"/>
                <w:szCs w:val="16"/>
              </w:rPr>
            </w:pPr>
            <w:r w:rsidRPr="0049701B">
              <w:t>0</w:t>
            </w:r>
          </w:p>
        </w:tc>
        <w:tc>
          <w:tcPr>
            <w:tcW w:w="1842" w:type="dxa"/>
            <w:shd w:val="clear" w:color="auto" w:fill="auto"/>
          </w:tcPr>
          <w:p w14:paraId="7BCA89E2" w14:textId="77777777" w:rsidR="00616641" w:rsidRPr="0049701B" w:rsidRDefault="00616641" w:rsidP="007E3239">
            <w:pPr>
              <w:pStyle w:val="TableText"/>
              <w:spacing w:before="40" w:after="40"/>
              <w:jc w:val="right"/>
              <w:rPr>
                <w:rFonts w:cs="Calibri"/>
                <w:szCs w:val="16"/>
              </w:rPr>
            </w:pPr>
            <w:r w:rsidRPr="0049701B">
              <w:t>28,845</w:t>
            </w:r>
          </w:p>
        </w:tc>
      </w:tr>
      <w:tr w:rsidR="00616641" w:rsidRPr="0049701B" w14:paraId="626A67D7" w14:textId="77777777" w:rsidTr="007E3239">
        <w:tc>
          <w:tcPr>
            <w:tcW w:w="873" w:type="dxa"/>
            <w:shd w:val="clear" w:color="auto" w:fill="auto"/>
          </w:tcPr>
          <w:p w14:paraId="5DED93B9" w14:textId="77777777" w:rsidR="00616641" w:rsidRPr="0049701B" w:rsidRDefault="00616641" w:rsidP="007E3239">
            <w:pPr>
              <w:pStyle w:val="TableText"/>
              <w:spacing w:before="40" w:after="40"/>
              <w:rPr>
                <w:rFonts w:cs="Calibri"/>
                <w:szCs w:val="16"/>
              </w:rPr>
            </w:pPr>
            <w:r w:rsidRPr="0049701B">
              <w:rPr>
                <w:rFonts w:cs="Calibri"/>
                <w:szCs w:val="16"/>
              </w:rPr>
              <w:t>1992</w:t>
            </w:r>
          </w:p>
        </w:tc>
        <w:tc>
          <w:tcPr>
            <w:tcW w:w="2503" w:type="dxa"/>
            <w:shd w:val="clear" w:color="auto" w:fill="auto"/>
          </w:tcPr>
          <w:p w14:paraId="7E490582" w14:textId="77777777" w:rsidR="00616641" w:rsidRPr="0049701B" w:rsidRDefault="00616641" w:rsidP="007E3239">
            <w:pPr>
              <w:pStyle w:val="TableText"/>
              <w:spacing w:before="40" w:after="40"/>
              <w:jc w:val="right"/>
              <w:rPr>
                <w:rFonts w:cs="Calibri"/>
                <w:szCs w:val="16"/>
              </w:rPr>
            </w:pPr>
            <w:r w:rsidRPr="0049701B">
              <w:t>44,297</w:t>
            </w:r>
          </w:p>
        </w:tc>
        <w:tc>
          <w:tcPr>
            <w:tcW w:w="1586" w:type="dxa"/>
            <w:shd w:val="clear" w:color="auto" w:fill="auto"/>
          </w:tcPr>
          <w:p w14:paraId="52653C3E"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10C505A5" w14:textId="77777777" w:rsidR="00616641" w:rsidRPr="0049701B" w:rsidRDefault="00616641" w:rsidP="007E3239">
            <w:pPr>
              <w:pStyle w:val="TableText"/>
              <w:spacing w:before="40" w:after="40"/>
              <w:jc w:val="right"/>
              <w:rPr>
                <w:rFonts w:cs="Calibri"/>
                <w:szCs w:val="16"/>
              </w:rPr>
            </w:pPr>
            <w:r w:rsidRPr="0049701B">
              <w:t>0</w:t>
            </w:r>
          </w:p>
        </w:tc>
        <w:tc>
          <w:tcPr>
            <w:tcW w:w="1842" w:type="dxa"/>
            <w:shd w:val="clear" w:color="auto" w:fill="auto"/>
          </w:tcPr>
          <w:p w14:paraId="71764CBA" w14:textId="77777777" w:rsidR="00616641" w:rsidRPr="0049701B" w:rsidRDefault="00616641" w:rsidP="007E3239">
            <w:pPr>
              <w:pStyle w:val="TableText"/>
              <w:spacing w:before="40" w:after="40"/>
              <w:jc w:val="right"/>
              <w:rPr>
                <w:rFonts w:cs="Calibri"/>
                <w:szCs w:val="16"/>
              </w:rPr>
            </w:pPr>
            <w:r w:rsidRPr="0049701B">
              <w:t>73,142</w:t>
            </w:r>
          </w:p>
        </w:tc>
      </w:tr>
      <w:tr w:rsidR="00616641" w:rsidRPr="0049701B" w14:paraId="477E9867" w14:textId="77777777" w:rsidTr="007E3239">
        <w:tc>
          <w:tcPr>
            <w:tcW w:w="873" w:type="dxa"/>
            <w:shd w:val="clear" w:color="auto" w:fill="auto"/>
          </w:tcPr>
          <w:p w14:paraId="271E8F14" w14:textId="77777777" w:rsidR="00616641" w:rsidRPr="0049701B" w:rsidRDefault="00616641" w:rsidP="007E3239">
            <w:pPr>
              <w:pStyle w:val="TableText"/>
              <w:spacing w:before="40" w:after="40"/>
              <w:rPr>
                <w:rFonts w:cs="Calibri"/>
                <w:szCs w:val="16"/>
              </w:rPr>
            </w:pPr>
            <w:r w:rsidRPr="0049701B">
              <w:rPr>
                <w:rFonts w:cs="Calibri"/>
                <w:szCs w:val="16"/>
              </w:rPr>
              <w:t>1993</w:t>
            </w:r>
          </w:p>
        </w:tc>
        <w:tc>
          <w:tcPr>
            <w:tcW w:w="2503" w:type="dxa"/>
            <w:shd w:val="clear" w:color="auto" w:fill="auto"/>
          </w:tcPr>
          <w:p w14:paraId="5A63C24A" w14:textId="77777777" w:rsidR="00616641" w:rsidRPr="0049701B" w:rsidRDefault="00616641" w:rsidP="007E3239">
            <w:pPr>
              <w:pStyle w:val="TableText"/>
              <w:spacing w:before="40" w:after="40"/>
              <w:jc w:val="right"/>
              <w:rPr>
                <w:rFonts w:cs="Calibri"/>
                <w:szCs w:val="16"/>
              </w:rPr>
            </w:pPr>
            <w:r w:rsidRPr="0049701B">
              <w:t>53,895</w:t>
            </w:r>
          </w:p>
        </w:tc>
        <w:tc>
          <w:tcPr>
            <w:tcW w:w="1586" w:type="dxa"/>
            <w:shd w:val="clear" w:color="auto" w:fill="auto"/>
          </w:tcPr>
          <w:p w14:paraId="40216A6C"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5CFC8D65" w14:textId="77777777" w:rsidR="00616641" w:rsidRPr="0049701B" w:rsidRDefault="00616641" w:rsidP="007E3239">
            <w:pPr>
              <w:pStyle w:val="TableText"/>
              <w:spacing w:before="40" w:after="40"/>
              <w:jc w:val="right"/>
              <w:rPr>
                <w:rFonts w:cs="Calibri"/>
                <w:szCs w:val="16"/>
              </w:rPr>
            </w:pPr>
            <w:r w:rsidRPr="0049701B">
              <w:t>0</w:t>
            </w:r>
          </w:p>
        </w:tc>
        <w:tc>
          <w:tcPr>
            <w:tcW w:w="1842" w:type="dxa"/>
            <w:shd w:val="clear" w:color="auto" w:fill="auto"/>
          </w:tcPr>
          <w:p w14:paraId="5FC94590" w14:textId="77777777" w:rsidR="00616641" w:rsidRPr="0049701B" w:rsidRDefault="00616641" w:rsidP="007E3239">
            <w:pPr>
              <w:pStyle w:val="TableText"/>
              <w:spacing w:before="40" w:after="40"/>
              <w:jc w:val="right"/>
              <w:rPr>
                <w:rFonts w:cs="Calibri"/>
                <w:szCs w:val="16"/>
              </w:rPr>
            </w:pPr>
            <w:r w:rsidRPr="0049701B">
              <w:t>127,037</w:t>
            </w:r>
          </w:p>
        </w:tc>
      </w:tr>
      <w:tr w:rsidR="00616641" w:rsidRPr="0049701B" w14:paraId="1811171C" w14:textId="77777777" w:rsidTr="007E3239">
        <w:tc>
          <w:tcPr>
            <w:tcW w:w="873" w:type="dxa"/>
            <w:shd w:val="clear" w:color="auto" w:fill="auto"/>
          </w:tcPr>
          <w:p w14:paraId="5EA98141" w14:textId="77777777" w:rsidR="00616641" w:rsidRPr="0049701B" w:rsidRDefault="00616641" w:rsidP="007E3239">
            <w:pPr>
              <w:pStyle w:val="TableText"/>
              <w:spacing w:before="40" w:after="40"/>
              <w:rPr>
                <w:rFonts w:cs="Calibri"/>
                <w:szCs w:val="16"/>
              </w:rPr>
            </w:pPr>
            <w:r w:rsidRPr="0049701B">
              <w:rPr>
                <w:rFonts w:cs="Calibri"/>
                <w:szCs w:val="16"/>
              </w:rPr>
              <w:t>1994</w:t>
            </w:r>
          </w:p>
        </w:tc>
        <w:tc>
          <w:tcPr>
            <w:tcW w:w="2503" w:type="dxa"/>
            <w:shd w:val="clear" w:color="auto" w:fill="auto"/>
          </w:tcPr>
          <w:p w14:paraId="27D092A6" w14:textId="77777777" w:rsidR="00616641" w:rsidRPr="0049701B" w:rsidRDefault="00616641" w:rsidP="007E3239">
            <w:pPr>
              <w:pStyle w:val="TableText"/>
              <w:spacing w:before="40" w:after="40"/>
              <w:jc w:val="right"/>
              <w:rPr>
                <w:rFonts w:cs="Calibri"/>
                <w:szCs w:val="16"/>
              </w:rPr>
            </w:pPr>
            <w:r w:rsidRPr="0049701B">
              <w:t>85,074</w:t>
            </w:r>
          </w:p>
        </w:tc>
        <w:tc>
          <w:tcPr>
            <w:tcW w:w="1586" w:type="dxa"/>
            <w:shd w:val="clear" w:color="auto" w:fill="auto"/>
          </w:tcPr>
          <w:p w14:paraId="0796C3B3"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3DDE51E4" w14:textId="77777777" w:rsidR="00616641" w:rsidRPr="0049701B" w:rsidRDefault="00616641" w:rsidP="007E3239">
            <w:pPr>
              <w:pStyle w:val="TableText"/>
              <w:spacing w:before="40" w:after="40"/>
              <w:jc w:val="right"/>
              <w:rPr>
                <w:rFonts w:cs="Calibri"/>
                <w:szCs w:val="16"/>
              </w:rPr>
            </w:pPr>
            <w:r w:rsidRPr="0049701B">
              <w:t>0</w:t>
            </w:r>
          </w:p>
        </w:tc>
        <w:tc>
          <w:tcPr>
            <w:tcW w:w="1842" w:type="dxa"/>
            <w:shd w:val="clear" w:color="auto" w:fill="auto"/>
          </w:tcPr>
          <w:p w14:paraId="14F86395" w14:textId="77777777" w:rsidR="00616641" w:rsidRPr="0049701B" w:rsidRDefault="00616641" w:rsidP="007E3239">
            <w:pPr>
              <w:pStyle w:val="TableText"/>
              <w:spacing w:before="40" w:after="40"/>
              <w:jc w:val="right"/>
              <w:rPr>
                <w:rFonts w:cs="Calibri"/>
                <w:szCs w:val="16"/>
              </w:rPr>
            </w:pPr>
            <w:r w:rsidRPr="0049701B">
              <w:t>212,111</w:t>
            </w:r>
          </w:p>
        </w:tc>
      </w:tr>
      <w:tr w:rsidR="00616641" w:rsidRPr="0049701B" w14:paraId="566247E4" w14:textId="77777777" w:rsidTr="007E3239">
        <w:tc>
          <w:tcPr>
            <w:tcW w:w="873" w:type="dxa"/>
            <w:shd w:val="clear" w:color="auto" w:fill="auto"/>
          </w:tcPr>
          <w:p w14:paraId="62B047B0" w14:textId="77777777" w:rsidR="00616641" w:rsidRPr="0049701B" w:rsidRDefault="00616641" w:rsidP="007E3239">
            <w:pPr>
              <w:pStyle w:val="TableText"/>
              <w:spacing w:before="40" w:after="40"/>
              <w:rPr>
                <w:rFonts w:cs="Calibri"/>
                <w:szCs w:val="16"/>
              </w:rPr>
            </w:pPr>
            <w:r w:rsidRPr="0049701B">
              <w:rPr>
                <w:rFonts w:cs="Calibri"/>
                <w:szCs w:val="16"/>
              </w:rPr>
              <w:t>1995</w:t>
            </w:r>
          </w:p>
        </w:tc>
        <w:tc>
          <w:tcPr>
            <w:tcW w:w="2503" w:type="dxa"/>
            <w:shd w:val="clear" w:color="auto" w:fill="auto"/>
          </w:tcPr>
          <w:p w14:paraId="1FBB25D2" w14:textId="77777777" w:rsidR="00616641" w:rsidRPr="0049701B" w:rsidRDefault="00616641" w:rsidP="007E3239">
            <w:pPr>
              <w:pStyle w:val="TableText"/>
              <w:spacing w:before="40" w:after="40"/>
              <w:jc w:val="right"/>
              <w:rPr>
                <w:rFonts w:cs="Calibri"/>
                <w:szCs w:val="16"/>
              </w:rPr>
            </w:pPr>
            <w:r w:rsidRPr="0049701B">
              <w:t>64,101</w:t>
            </w:r>
          </w:p>
        </w:tc>
        <w:tc>
          <w:tcPr>
            <w:tcW w:w="1586" w:type="dxa"/>
            <w:shd w:val="clear" w:color="auto" w:fill="auto"/>
          </w:tcPr>
          <w:p w14:paraId="69A6BEEE"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3CF7A1E7" w14:textId="77777777" w:rsidR="00616641" w:rsidRPr="0049701B" w:rsidRDefault="00616641" w:rsidP="007E3239">
            <w:pPr>
              <w:pStyle w:val="TableText"/>
              <w:spacing w:before="40" w:after="40"/>
              <w:jc w:val="right"/>
              <w:rPr>
                <w:rFonts w:cs="Calibri"/>
                <w:szCs w:val="16"/>
              </w:rPr>
            </w:pPr>
            <w:r w:rsidRPr="0049701B">
              <w:t>0</w:t>
            </w:r>
          </w:p>
        </w:tc>
        <w:tc>
          <w:tcPr>
            <w:tcW w:w="1842" w:type="dxa"/>
            <w:shd w:val="clear" w:color="auto" w:fill="auto"/>
          </w:tcPr>
          <w:p w14:paraId="030AF4E9" w14:textId="77777777" w:rsidR="00616641" w:rsidRPr="0049701B" w:rsidRDefault="00616641" w:rsidP="007E3239">
            <w:pPr>
              <w:pStyle w:val="TableText"/>
              <w:spacing w:before="40" w:after="40"/>
              <w:jc w:val="right"/>
              <w:rPr>
                <w:rFonts w:cs="Calibri"/>
                <w:szCs w:val="16"/>
              </w:rPr>
            </w:pPr>
            <w:r w:rsidRPr="0049701B">
              <w:t>276,212</w:t>
            </w:r>
          </w:p>
        </w:tc>
      </w:tr>
      <w:tr w:rsidR="00616641" w:rsidRPr="0049701B" w14:paraId="775FBF72" w14:textId="77777777" w:rsidTr="007E3239">
        <w:tc>
          <w:tcPr>
            <w:tcW w:w="873" w:type="dxa"/>
            <w:shd w:val="clear" w:color="auto" w:fill="auto"/>
          </w:tcPr>
          <w:p w14:paraId="136CC6FB" w14:textId="77777777" w:rsidR="00616641" w:rsidRPr="0049701B" w:rsidRDefault="00616641" w:rsidP="007E3239">
            <w:pPr>
              <w:pStyle w:val="TableText"/>
              <w:spacing w:before="40" w:after="40"/>
              <w:rPr>
                <w:rFonts w:cs="Calibri"/>
                <w:szCs w:val="16"/>
              </w:rPr>
            </w:pPr>
            <w:r w:rsidRPr="0049701B">
              <w:rPr>
                <w:rFonts w:cs="Calibri"/>
                <w:szCs w:val="16"/>
              </w:rPr>
              <w:t>1996</w:t>
            </w:r>
          </w:p>
        </w:tc>
        <w:tc>
          <w:tcPr>
            <w:tcW w:w="2503" w:type="dxa"/>
            <w:shd w:val="clear" w:color="auto" w:fill="auto"/>
          </w:tcPr>
          <w:p w14:paraId="4F1A4ACC" w14:textId="77777777" w:rsidR="00616641" w:rsidRPr="0049701B" w:rsidRDefault="00616641" w:rsidP="007E3239">
            <w:pPr>
              <w:pStyle w:val="TableText"/>
              <w:spacing w:before="40" w:after="40"/>
              <w:jc w:val="right"/>
              <w:rPr>
                <w:rFonts w:cs="Calibri"/>
                <w:szCs w:val="16"/>
              </w:rPr>
            </w:pPr>
            <w:r w:rsidRPr="0049701B">
              <w:t>72,408</w:t>
            </w:r>
          </w:p>
        </w:tc>
        <w:tc>
          <w:tcPr>
            <w:tcW w:w="1586" w:type="dxa"/>
            <w:shd w:val="clear" w:color="auto" w:fill="auto"/>
          </w:tcPr>
          <w:p w14:paraId="3EB4561E"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275886DB" w14:textId="77777777" w:rsidR="00616641" w:rsidRPr="0049701B" w:rsidRDefault="00616641" w:rsidP="007E3239">
            <w:pPr>
              <w:pStyle w:val="TableText"/>
              <w:spacing w:before="40" w:after="40"/>
              <w:jc w:val="right"/>
              <w:rPr>
                <w:rFonts w:cs="Calibri"/>
                <w:szCs w:val="16"/>
              </w:rPr>
            </w:pPr>
            <w:r w:rsidRPr="0049701B">
              <w:t>0</w:t>
            </w:r>
          </w:p>
        </w:tc>
        <w:tc>
          <w:tcPr>
            <w:tcW w:w="1842" w:type="dxa"/>
            <w:shd w:val="clear" w:color="auto" w:fill="auto"/>
          </w:tcPr>
          <w:p w14:paraId="0A3A3DC1" w14:textId="77777777" w:rsidR="00616641" w:rsidRPr="0049701B" w:rsidRDefault="00616641" w:rsidP="007E3239">
            <w:pPr>
              <w:pStyle w:val="TableText"/>
              <w:spacing w:before="40" w:after="40"/>
              <w:jc w:val="right"/>
              <w:rPr>
                <w:rFonts w:cs="Calibri"/>
                <w:szCs w:val="16"/>
              </w:rPr>
            </w:pPr>
            <w:r w:rsidRPr="0049701B">
              <w:t>348,619</w:t>
            </w:r>
          </w:p>
        </w:tc>
      </w:tr>
      <w:tr w:rsidR="00616641" w:rsidRPr="0049701B" w14:paraId="09B7BC27" w14:textId="77777777" w:rsidTr="007E3239">
        <w:tc>
          <w:tcPr>
            <w:tcW w:w="873" w:type="dxa"/>
            <w:shd w:val="clear" w:color="auto" w:fill="auto"/>
          </w:tcPr>
          <w:p w14:paraId="2F406A4E" w14:textId="77777777" w:rsidR="00616641" w:rsidRPr="0049701B" w:rsidRDefault="00616641" w:rsidP="007E3239">
            <w:pPr>
              <w:pStyle w:val="TableText"/>
              <w:spacing w:before="40" w:after="40"/>
              <w:rPr>
                <w:rFonts w:cs="Calibri"/>
                <w:szCs w:val="16"/>
              </w:rPr>
            </w:pPr>
            <w:r w:rsidRPr="0049701B">
              <w:rPr>
                <w:rFonts w:cs="Calibri"/>
                <w:szCs w:val="16"/>
              </w:rPr>
              <w:t>1997</w:t>
            </w:r>
          </w:p>
        </w:tc>
        <w:tc>
          <w:tcPr>
            <w:tcW w:w="2503" w:type="dxa"/>
            <w:shd w:val="clear" w:color="auto" w:fill="auto"/>
          </w:tcPr>
          <w:p w14:paraId="553B0FC5" w14:textId="77777777" w:rsidR="00616641" w:rsidRPr="0049701B" w:rsidRDefault="00616641" w:rsidP="007E3239">
            <w:pPr>
              <w:pStyle w:val="TableText"/>
              <w:spacing w:before="40" w:after="40"/>
              <w:jc w:val="right"/>
              <w:rPr>
                <w:rFonts w:cs="Calibri"/>
                <w:szCs w:val="16"/>
              </w:rPr>
            </w:pPr>
            <w:r w:rsidRPr="0049701B">
              <w:t>57,166</w:t>
            </w:r>
          </w:p>
        </w:tc>
        <w:tc>
          <w:tcPr>
            <w:tcW w:w="1586" w:type="dxa"/>
            <w:shd w:val="clear" w:color="auto" w:fill="auto"/>
          </w:tcPr>
          <w:p w14:paraId="55D8E5D0"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7CF52FF4" w14:textId="77777777" w:rsidR="00616641" w:rsidRPr="0049701B" w:rsidRDefault="00616641" w:rsidP="007E3239">
            <w:pPr>
              <w:pStyle w:val="TableText"/>
              <w:spacing w:before="40" w:after="40"/>
              <w:jc w:val="right"/>
              <w:rPr>
                <w:rFonts w:cs="Calibri"/>
                <w:szCs w:val="16"/>
              </w:rPr>
            </w:pPr>
            <w:r w:rsidRPr="0049701B">
              <w:t>0</w:t>
            </w:r>
          </w:p>
        </w:tc>
        <w:tc>
          <w:tcPr>
            <w:tcW w:w="1842" w:type="dxa"/>
            <w:shd w:val="clear" w:color="auto" w:fill="auto"/>
          </w:tcPr>
          <w:p w14:paraId="653DAA36" w14:textId="77777777" w:rsidR="00616641" w:rsidRPr="0049701B" w:rsidRDefault="00616641" w:rsidP="007E3239">
            <w:pPr>
              <w:pStyle w:val="TableText"/>
              <w:spacing w:before="40" w:after="40"/>
              <w:jc w:val="right"/>
              <w:rPr>
                <w:rFonts w:cs="Calibri"/>
                <w:szCs w:val="16"/>
              </w:rPr>
            </w:pPr>
            <w:r w:rsidRPr="0049701B">
              <w:t>405,786</w:t>
            </w:r>
          </w:p>
        </w:tc>
      </w:tr>
      <w:tr w:rsidR="00616641" w:rsidRPr="0049701B" w14:paraId="1DC59076" w14:textId="77777777" w:rsidTr="007E3239">
        <w:tc>
          <w:tcPr>
            <w:tcW w:w="873" w:type="dxa"/>
            <w:shd w:val="clear" w:color="auto" w:fill="auto"/>
          </w:tcPr>
          <w:p w14:paraId="68B9D22C" w14:textId="77777777" w:rsidR="00616641" w:rsidRPr="0049701B" w:rsidRDefault="00616641" w:rsidP="007E3239">
            <w:pPr>
              <w:pStyle w:val="TableText"/>
              <w:spacing w:before="40" w:after="40"/>
              <w:rPr>
                <w:rFonts w:cs="Calibri"/>
                <w:szCs w:val="16"/>
              </w:rPr>
            </w:pPr>
            <w:r w:rsidRPr="0049701B">
              <w:rPr>
                <w:rFonts w:cs="Calibri"/>
                <w:szCs w:val="16"/>
              </w:rPr>
              <w:t>1998</w:t>
            </w:r>
          </w:p>
        </w:tc>
        <w:tc>
          <w:tcPr>
            <w:tcW w:w="2503" w:type="dxa"/>
            <w:shd w:val="clear" w:color="auto" w:fill="auto"/>
          </w:tcPr>
          <w:p w14:paraId="3BC0D00E" w14:textId="77777777" w:rsidR="00616641" w:rsidRPr="0049701B" w:rsidRDefault="00616641" w:rsidP="007E3239">
            <w:pPr>
              <w:pStyle w:val="TableText"/>
              <w:spacing w:before="40" w:after="40"/>
              <w:jc w:val="right"/>
              <w:rPr>
                <w:rFonts w:cs="Calibri"/>
                <w:szCs w:val="16"/>
              </w:rPr>
            </w:pPr>
            <w:r w:rsidRPr="0049701B">
              <w:t>46,789</w:t>
            </w:r>
          </w:p>
        </w:tc>
        <w:tc>
          <w:tcPr>
            <w:tcW w:w="1586" w:type="dxa"/>
            <w:shd w:val="clear" w:color="auto" w:fill="auto"/>
          </w:tcPr>
          <w:p w14:paraId="6EFA7C67"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1A837B06" w14:textId="77777777" w:rsidR="00616641" w:rsidRPr="0049701B" w:rsidRDefault="00616641" w:rsidP="007E3239">
            <w:pPr>
              <w:pStyle w:val="TableText"/>
              <w:spacing w:before="40" w:after="40"/>
              <w:jc w:val="right"/>
              <w:rPr>
                <w:rFonts w:cs="Calibri"/>
                <w:szCs w:val="16"/>
              </w:rPr>
            </w:pPr>
            <w:r w:rsidRPr="0049701B">
              <w:t>0</w:t>
            </w:r>
          </w:p>
        </w:tc>
        <w:tc>
          <w:tcPr>
            <w:tcW w:w="1842" w:type="dxa"/>
            <w:shd w:val="clear" w:color="auto" w:fill="auto"/>
          </w:tcPr>
          <w:p w14:paraId="4113558B" w14:textId="77777777" w:rsidR="00616641" w:rsidRPr="0049701B" w:rsidRDefault="00616641" w:rsidP="007E3239">
            <w:pPr>
              <w:pStyle w:val="TableText"/>
              <w:spacing w:before="40" w:after="40"/>
              <w:jc w:val="right"/>
              <w:rPr>
                <w:rFonts w:cs="Calibri"/>
                <w:szCs w:val="16"/>
              </w:rPr>
            </w:pPr>
            <w:r w:rsidRPr="0049701B">
              <w:t>452,575</w:t>
            </w:r>
          </w:p>
        </w:tc>
      </w:tr>
      <w:tr w:rsidR="00616641" w:rsidRPr="0049701B" w14:paraId="4E792A09" w14:textId="77777777" w:rsidTr="007E3239">
        <w:tc>
          <w:tcPr>
            <w:tcW w:w="873" w:type="dxa"/>
            <w:shd w:val="clear" w:color="auto" w:fill="auto"/>
          </w:tcPr>
          <w:p w14:paraId="3F43C5F9" w14:textId="77777777" w:rsidR="00616641" w:rsidRPr="0049701B" w:rsidRDefault="00616641" w:rsidP="007E3239">
            <w:pPr>
              <w:pStyle w:val="TableText"/>
              <w:spacing w:before="40" w:after="40"/>
              <w:rPr>
                <w:rFonts w:cs="Calibri"/>
                <w:szCs w:val="16"/>
              </w:rPr>
            </w:pPr>
            <w:r w:rsidRPr="0049701B">
              <w:rPr>
                <w:rFonts w:cs="Calibri"/>
                <w:szCs w:val="16"/>
              </w:rPr>
              <w:t>1999</w:t>
            </w:r>
          </w:p>
        </w:tc>
        <w:tc>
          <w:tcPr>
            <w:tcW w:w="2503" w:type="dxa"/>
            <w:shd w:val="clear" w:color="auto" w:fill="auto"/>
          </w:tcPr>
          <w:p w14:paraId="260EC9C2" w14:textId="77777777" w:rsidR="00616641" w:rsidRPr="0049701B" w:rsidRDefault="00616641" w:rsidP="007E3239">
            <w:pPr>
              <w:pStyle w:val="TableText"/>
              <w:spacing w:before="40" w:after="40"/>
              <w:jc w:val="right"/>
              <w:rPr>
                <w:rFonts w:cs="Calibri"/>
                <w:szCs w:val="16"/>
              </w:rPr>
            </w:pPr>
            <w:r w:rsidRPr="0049701B">
              <w:t>37,526</w:t>
            </w:r>
          </w:p>
        </w:tc>
        <w:tc>
          <w:tcPr>
            <w:tcW w:w="1586" w:type="dxa"/>
            <w:shd w:val="clear" w:color="auto" w:fill="auto"/>
          </w:tcPr>
          <w:p w14:paraId="205EEB53"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74768C71" w14:textId="77777777" w:rsidR="00616641" w:rsidRPr="0049701B" w:rsidRDefault="00616641" w:rsidP="007E3239">
            <w:pPr>
              <w:pStyle w:val="TableText"/>
              <w:spacing w:before="40" w:after="40"/>
              <w:jc w:val="right"/>
              <w:rPr>
                <w:rFonts w:cs="Calibri"/>
                <w:szCs w:val="16"/>
              </w:rPr>
            </w:pPr>
            <w:r w:rsidRPr="0049701B">
              <w:t>0</w:t>
            </w:r>
          </w:p>
        </w:tc>
        <w:tc>
          <w:tcPr>
            <w:tcW w:w="1842" w:type="dxa"/>
            <w:shd w:val="clear" w:color="auto" w:fill="auto"/>
          </w:tcPr>
          <w:p w14:paraId="02F6BB39" w14:textId="77777777" w:rsidR="00616641" w:rsidRPr="0049701B" w:rsidRDefault="00616641" w:rsidP="007E3239">
            <w:pPr>
              <w:pStyle w:val="TableText"/>
              <w:spacing w:before="40" w:after="40"/>
              <w:jc w:val="right"/>
              <w:rPr>
                <w:rFonts w:cs="Calibri"/>
                <w:szCs w:val="16"/>
              </w:rPr>
            </w:pPr>
            <w:r w:rsidRPr="0049701B">
              <w:t>490,101</w:t>
            </w:r>
          </w:p>
        </w:tc>
      </w:tr>
      <w:tr w:rsidR="00616641" w:rsidRPr="0049701B" w14:paraId="678DAB64" w14:textId="77777777" w:rsidTr="007E3239">
        <w:tc>
          <w:tcPr>
            <w:tcW w:w="873" w:type="dxa"/>
            <w:shd w:val="clear" w:color="auto" w:fill="auto"/>
          </w:tcPr>
          <w:p w14:paraId="194E7B2F" w14:textId="77777777" w:rsidR="00616641" w:rsidRPr="0049701B" w:rsidRDefault="00616641" w:rsidP="007E3239">
            <w:pPr>
              <w:pStyle w:val="TableText"/>
              <w:spacing w:before="40" w:after="40"/>
              <w:rPr>
                <w:rFonts w:cs="Calibri"/>
                <w:szCs w:val="16"/>
              </w:rPr>
            </w:pPr>
            <w:r w:rsidRPr="0049701B">
              <w:rPr>
                <w:rFonts w:cs="Calibri"/>
                <w:szCs w:val="16"/>
              </w:rPr>
              <w:t>2000</w:t>
            </w:r>
          </w:p>
        </w:tc>
        <w:tc>
          <w:tcPr>
            <w:tcW w:w="2503" w:type="dxa"/>
            <w:shd w:val="clear" w:color="auto" w:fill="auto"/>
          </w:tcPr>
          <w:p w14:paraId="72D8715E" w14:textId="77777777" w:rsidR="00616641" w:rsidRPr="0049701B" w:rsidRDefault="00616641" w:rsidP="007E3239">
            <w:pPr>
              <w:pStyle w:val="TableText"/>
              <w:spacing w:before="40" w:after="40"/>
              <w:jc w:val="right"/>
              <w:rPr>
                <w:rFonts w:cs="Calibri"/>
                <w:szCs w:val="16"/>
              </w:rPr>
            </w:pPr>
            <w:r w:rsidRPr="0049701B">
              <w:t>32,863</w:t>
            </w:r>
          </w:p>
        </w:tc>
        <w:tc>
          <w:tcPr>
            <w:tcW w:w="1586" w:type="dxa"/>
            <w:shd w:val="clear" w:color="auto" w:fill="auto"/>
          </w:tcPr>
          <w:p w14:paraId="7482254C"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3FDDC214" w14:textId="77777777" w:rsidR="00616641" w:rsidRPr="0049701B" w:rsidRDefault="00616641" w:rsidP="007E3239">
            <w:pPr>
              <w:pStyle w:val="TableText"/>
              <w:spacing w:before="40" w:after="40"/>
              <w:jc w:val="right"/>
              <w:rPr>
                <w:rFonts w:cs="Calibri"/>
                <w:szCs w:val="16"/>
              </w:rPr>
            </w:pPr>
            <w:r w:rsidRPr="0049701B">
              <w:t>0</w:t>
            </w:r>
          </w:p>
        </w:tc>
        <w:tc>
          <w:tcPr>
            <w:tcW w:w="1842" w:type="dxa"/>
            <w:shd w:val="clear" w:color="auto" w:fill="auto"/>
          </w:tcPr>
          <w:p w14:paraId="396B61A4" w14:textId="77777777" w:rsidR="00616641" w:rsidRPr="0049701B" w:rsidRDefault="00616641" w:rsidP="007E3239">
            <w:pPr>
              <w:pStyle w:val="TableText"/>
              <w:spacing w:before="40" w:after="40"/>
              <w:jc w:val="right"/>
              <w:rPr>
                <w:rFonts w:cs="Calibri"/>
                <w:szCs w:val="16"/>
              </w:rPr>
            </w:pPr>
            <w:r w:rsidRPr="0049701B">
              <w:t>522,964</w:t>
            </w:r>
          </w:p>
        </w:tc>
      </w:tr>
      <w:tr w:rsidR="00616641" w:rsidRPr="0049701B" w14:paraId="70C45EB3" w14:textId="77777777" w:rsidTr="007E3239">
        <w:tc>
          <w:tcPr>
            <w:tcW w:w="873" w:type="dxa"/>
            <w:shd w:val="clear" w:color="auto" w:fill="auto"/>
          </w:tcPr>
          <w:p w14:paraId="40F4FADD" w14:textId="77777777" w:rsidR="00616641" w:rsidRPr="0049701B" w:rsidRDefault="00616641" w:rsidP="007E3239">
            <w:pPr>
              <w:pStyle w:val="TableText"/>
              <w:spacing w:before="40" w:after="40"/>
              <w:rPr>
                <w:rFonts w:cs="Calibri"/>
                <w:szCs w:val="16"/>
              </w:rPr>
            </w:pPr>
            <w:r w:rsidRPr="0049701B">
              <w:rPr>
                <w:rFonts w:cs="Calibri"/>
                <w:szCs w:val="16"/>
              </w:rPr>
              <w:t>2001</w:t>
            </w:r>
          </w:p>
        </w:tc>
        <w:tc>
          <w:tcPr>
            <w:tcW w:w="2503" w:type="dxa"/>
            <w:shd w:val="clear" w:color="auto" w:fill="auto"/>
          </w:tcPr>
          <w:p w14:paraId="1148BA78" w14:textId="77777777" w:rsidR="00616641" w:rsidRPr="0049701B" w:rsidRDefault="00616641" w:rsidP="007E3239">
            <w:pPr>
              <w:pStyle w:val="TableText"/>
              <w:spacing w:before="40" w:after="40"/>
              <w:jc w:val="right"/>
              <w:rPr>
                <w:rFonts w:cs="Calibri"/>
                <w:szCs w:val="16"/>
              </w:rPr>
            </w:pPr>
            <w:r w:rsidRPr="0049701B">
              <w:t>30,684</w:t>
            </w:r>
          </w:p>
        </w:tc>
        <w:tc>
          <w:tcPr>
            <w:tcW w:w="1586" w:type="dxa"/>
            <w:shd w:val="clear" w:color="auto" w:fill="auto"/>
          </w:tcPr>
          <w:p w14:paraId="2E263A54"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0B986CDB" w14:textId="77777777" w:rsidR="00616641" w:rsidRPr="0049701B" w:rsidRDefault="00616641" w:rsidP="007E3239">
            <w:pPr>
              <w:pStyle w:val="TableText"/>
              <w:spacing w:before="40" w:after="40"/>
              <w:jc w:val="right"/>
              <w:rPr>
                <w:rFonts w:cs="Calibri"/>
                <w:szCs w:val="16"/>
              </w:rPr>
            </w:pPr>
            <w:r w:rsidRPr="0049701B">
              <w:t>0</w:t>
            </w:r>
          </w:p>
        </w:tc>
        <w:tc>
          <w:tcPr>
            <w:tcW w:w="1842" w:type="dxa"/>
            <w:shd w:val="clear" w:color="auto" w:fill="auto"/>
          </w:tcPr>
          <w:p w14:paraId="7194B3D8" w14:textId="77777777" w:rsidR="00616641" w:rsidRPr="0049701B" w:rsidRDefault="00616641" w:rsidP="007E3239">
            <w:pPr>
              <w:pStyle w:val="TableText"/>
              <w:spacing w:before="40" w:after="40"/>
              <w:jc w:val="right"/>
              <w:rPr>
                <w:rFonts w:cs="Calibri"/>
                <w:szCs w:val="16"/>
              </w:rPr>
            </w:pPr>
            <w:r w:rsidRPr="0049701B">
              <w:t>553,649</w:t>
            </w:r>
          </w:p>
        </w:tc>
      </w:tr>
      <w:tr w:rsidR="00616641" w:rsidRPr="0049701B" w14:paraId="04DC52A7" w14:textId="77777777" w:rsidTr="007E3239">
        <w:tc>
          <w:tcPr>
            <w:tcW w:w="873" w:type="dxa"/>
            <w:shd w:val="clear" w:color="auto" w:fill="auto"/>
          </w:tcPr>
          <w:p w14:paraId="3871F556" w14:textId="77777777" w:rsidR="00616641" w:rsidRPr="0049701B" w:rsidRDefault="00616641" w:rsidP="007E3239">
            <w:pPr>
              <w:pStyle w:val="TableText"/>
              <w:spacing w:before="40" w:after="40"/>
              <w:rPr>
                <w:rFonts w:cs="Calibri"/>
                <w:szCs w:val="16"/>
              </w:rPr>
            </w:pPr>
            <w:r w:rsidRPr="0049701B">
              <w:rPr>
                <w:rFonts w:cs="Calibri"/>
                <w:szCs w:val="16"/>
              </w:rPr>
              <w:t>2002</w:t>
            </w:r>
          </w:p>
        </w:tc>
        <w:tc>
          <w:tcPr>
            <w:tcW w:w="2503" w:type="dxa"/>
            <w:shd w:val="clear" w:color="auto" w:fill="auto"/>
          </w:tcPr>
          <w:p w14:paraId="06DDA4E9" w14:textId="77777777" w:rsidR="00616641" w:rsidRPr="0049701B" w:rsidRDefault="00616641" w:rsidP="007E3239">
            <w:pPr>
              <w:pStyle w:val="TableText"/>
              <w:spacing w:before="40" w:after="40"/>
              <w:jc w:val="right"/>
              <w:rPr>
                <w:rFonts w:cs="Calibri"/>
                <w:szCs w:val="16"/>
              </w:rPr>
            </w:pPr>
            <w:r w:rsidRPr="0049701B">
              <w:t>22,852</w:t>
            </w:r>
          </w:p>
        </w:tc>
        <w:tc>
          <w:tcPr>
            <w:tcW w:w="1586" w:type="dxa"/>
            <w:shd w:val="clear" w:color="auto" w:fill="auto"/>
          </w:tcPr>
          <w:p w14:paraId="000C28C2"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6D845119" w14:textId="77777777" w:rsidR="00616641" w:rsidRPr="0049701B" w:rsidRDefault="00616641" w:rsidP="007E3239">
            <w:pPr>
              <w:pStyle w:val="TableText"/>
              <w:spacing w:before="40" w:after="40"/>
              <w:jc w:val="right"/>
              <w:rPr>
                <w:rFonts w:cs="Calibri"/>
                <w:szCs w:val="16"/>
              </w:rPr>
            </w:pPr>
            <w:r w:rsidRPr="0049701B">
              <w:t>598</w:t>
            </w:r>
          </w:p>
        </w:tc>
        <w:tc>
          <w:tcPr>
            <w:tcW w:w="1842" w:type="dxa"/>
            <w:shd w:val="clear" w:color="auto" w:fill="auto"/>
          </w:tcPr>
          <w:p w14:paraId="082815E3" w14:textId="77777777" w:rsidR="00616641" w:rsidRPr="0049701B" w:rsidRDefault="00616641" w:rsidP="007E3239">
            <w:pPr>
              <w:pStyle w:val="TableText"/>
              <w:spacing w:before="40" w:after="40"/>
              <w:jc w:val="right"/>
              <w:rPr>
                <w:rFonts w:cs="Calibri"/>
                <w:szCs w:val="16"/>
              </w:rPr>
            </w:pPr>
            <w:r w:rsidRPr="0049701B">
              <w:t>575,902</w:t>
            </w:r>
          </w:p>
        </w:tc>
      </w:tr>
      <w:tr w:rsidR="00616641" w:rsidRPr="0049701B" w14:paraId="0C017ACF" w14:textId="77777777" w:rsidTr="007E3239">
        <w:tc>
          <w:tcPr>
            <w:tcW w:w="873" w:type="dxa"/>
            <w:shd w:val="clear" w:color="auto" w:fill="auto"/>
          </w:tcPr>
          <w:p w14:paraId="135B7217" w14:textId="77777777" w:rsidR="00616641" w:rsidRPr="0049701B" w:rsidRDefault="00616641" w:rsidP="007E3239">
            <w:pPr>
              <w:pStyle w:val="TableText"/>
              <w:spacing w:before="40" w:after="40"/>
              <w:rPr>
                <w:rFonts w:cs="Calibri"/>
                <w:szCs w:val="16"/>
              </w:rPr>
            </w:pPr>
            <w:r w:rsidRPr="0049701B">
              <w:rPr>
                <w:rFonts w:cs="Calibri"/>
                <w:szCs w:val="16"/>
              </w:rPr>
              <w:t>2003</w:t>
            </w:r>
          </w:p>
        </w:tc>
        <w:tc>
          <w:tcPr>
            <w:tcW w:w="2503" w:type="dxa"/>
            <w:shd w:val="clear" w:color="auto" w:fill="auto"/>
          </w:tcPr>
          <w:p w14:paraId="36349048" w14:textId="77777777" w:rsidR="00616641" w:rsidRPr="0049701B" w:rsidRDefault="00616641" w:rsidP="007E3239">
            <w:pPr>
              <w:pStyle w:val="TableText"/>
              <w:spacing w:before="40" w:after="40"/>
              <w:jc w:val="right"/>
              <w:rPr>
                <w:rFonts w:cs="Calibri"/>
                <w:szCs w:val="16"/>
              </w:rPr>
            </w:pPr>
            <w:r w:rsidRPr="0049701B">
              <w:t>21,459</w:t>
            </w:r>
          </w:p>
        </w:tc>
        <w:tc>
          <w:tcPr>
            <w:tcW w:w="1586" w:type="dxa"/>
            <w:shd w:val="clear" w:color="auto" w:fill="auto"/>
          </w:tcPr>
          <w:p w14:paraId="198FEF47"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41DB3775" w14:textId="77777777" w:rsidR="00616641" w:rsidRPr="0049701B" w:rsidRDefault="00616641" w:rsidP="007E3239">
            <w:pPr>
              <w:pStyle w:val="TableText"/>
              <w:spacing w:before="40" w:after="40"/>
              <w:jc w:val="right"/>
              <w:rPr>
                <w:rFonts w:cs="Calibri"/>
                <w:szCs w:val="16"/>
              </w:rPr>
            </w:pPr>
            <w:r w:rsidRPr="0049701B">
              <w:t>1,886</w:t>
            </w:r>
          </w:p>
        </w:tc>
        <w:tc>
          <w:tcPr>
            <w:tcW w:w="1842" w:type="dxa"/>
            <w:shd w:val="clear" w:color="auto" w:fill="auto"/>
          </w:tcPr>
          <w:p w14:paraId="11EB53FB" w14:textId="77777777" w:rsidR="00616641" w:rsidRPr="0049701B" w:rsidRDefault="00616641" w:rsidP="007E3239">
            <w:pPr>
              <w:pStyle w:val="TableText"/>
              <w:spacing w:before="40" w:after="40"/>
              <w:jc w:val="right"/>
              <w:rPr>
                <w:rFonts w:cs="Calibri"/>
                <w:szCs w:val="16"/>
              </w:rPr>
            </w:pPr>
            <w:r w:rsidRPr="0049701B">
              <w:t>595,474</w:t>
            </w:r>
          </w:p>
        </w:tc>
      </w:tr>
      <w:tr w:rsidR="00616641" w:rsidRPr="0049701B" w14:paraId="11658E3D" w14:textId="77777777" w:rsidTr="007E3239">
        <w:tc>
          <w:tcPr>
            <w:tcW w:w="873" w:type="dxa"/>
            <w:shd w:val="clear" w:color="auto" w:fill="auto"/>
          </w:tcPr>
          <w:p w14:paraId="2FD11AA3" w14:textId="77777777" w:rsidR="00616641" w:rsidRPr="0049701B" w:rsidRDefault="00616641" w:rsidP="007E3239">
            <w:pPr>
              <w:pStyle w:val="TableText"/>
              <w:spacing w:before="40" w:after="40"/>
              <w:rPr>
                <w:rFonts w:cs="Calibri"/>
                <w:szCs w:val="16"/>
              </w:rPr>
            </w:pPr>
            <w:r w:rsidRPr="0049701B">
              <w:rPr>
                <w:rFonts w:cs="Calibri"/>
                <w:szCs w:val="16"/>
              </w:rPr>
              <w:t>2004</w:t>
            </w:r>
          </w:p>
        </w:tc>
        <w:tc>
          <w:tcPr>
            <w:tcW w:w="2503" w:type="dxa"/>
            <w:shd w:val="clear" w:color="auto" w:fill="auto"/>
          </w:tcPr>
          <w:p w14:paraId="03F7A4FA" w14:textId="77777777" w:rsidR="00616641" w:rsidRPr="0049701B" w:rsidRDefault="00616641" w:rsidP="007E3239">
            <w:pPr>
              <w:pStyle w:val="TableText"/>
              <w:spacing w:before="40" w:after="40"/>
              <w:jc w:val="right"/>
              <w:rPr>
                <w:rFonts w:cs="Calibri"/>
                <w:szCs w:val="16"/>
              </w:rPr>
            </w:pPr>
            <w:r w:rsidRPr="0049701B">
              <w:t>14,967</w:t>
            </w:r>
          </w:p>
        </w:tc>
        <w:tc>
          <w:tcPr>
            <w:tcW w:w="1586" w:type="dxa"/>
            <w:shd w:val="clear" w:color="auto" w:fill="auto"/>
          </w:tcPr>
          <w:p w14:paraId="4E80C26B" w14:textId="77777777" w:rsidR="00616641" w:rsidRPr="0049701B" w:rsidRDefault="00616641" w:rsidP="007E3239">
            <w:pPr>
              <w:pStyle w:val="TableText"/>
              <w:spacing w:before="40" w:after="40"/>
              <w:jc w:val="right"/>
              <w:rPr>
                <w:rFonts w:cs="Calibri"/>
                <w:szCs w:val="16"/>
              </w:rPr>
            </w:pPr>
            <w:r w:rsidRPr="0049701B">
              <w:t>0</w:t>
            </w:r>
          </w:p>
        </w:tc>
        <w:tc>
          <w:tcPr>
            <w:tcW w:w="1701" w:type="dxa"/>
            <w:shd w:val="clear" w:color="auto" w:fill="auto"/>
          </w:tcPr>
          <w:p w14:paraId="3CAF542B" w14:textId="77777777" w:rsidR="00616641" w:rsidRPr="0049701B" w:rsidRDefault="00616641" w:rsidP="007E3239">
            <w:pPr>
              <w:pStyle w:val="TableText"/>
              <w:spacing w:before="40" w:after="40"/>
              <w:jc w:val="right"/>
              <w:rPr>
                <w:rFonts w:cs="Calibri"/>
                <w:szCs w:val="16"/>
              </w:rPr>
            </w:pPr>
            <w:r w:rsidRPr="0049701B">
              <w:t>1,733</w:t>
            </w:r>
          </w:p>
        </w:tc>
        <w:tc>
          <w:tcPr>
            <w:tcW w:w="1842" w:type="dxa"/>
            <w:shd w:val="clear" w:color="auto" w:fill="auto"/>
          </w:tcPr>
          <w:p w14:paraId="2D3CD289" w14:textId="77777777" w:rsidR="00616641" w:rsidRPr="0049701B" w:rsidRDefault="00616641" w:rsidP="007E3239">
            <w:pPr>
              <w:pStyle w:val="TableText"/>
              <w:spacing w:before="40" w:after="40"/>
              <w:jc w:val="right"/>
              <w:rPr>
                <w:rFonts w:cs="Calibri"/>
                <w:szCs w:val="16"/>
              </w:rPr>
            </w:pPr>
            <w:r w:rsidRPr="0049701B">
              <w:t>608,709</w:t>
            </w:r>
          </w:p>
        </w:tc>
      </w:tr>
      <w:tr w:rsidR="00616641" w:rsidRPr="0049701B" w14:paraId="60849608" w14:textId="77777777" w:rsidTr="007E3239">
        <w:tc>
          <w:tcPr>
            <w:tcW w:w="873" w:type="dxa"/>
            <w:shd w:val="clear" w:color="auto" w:fill="auto"/>
          </w:tcPr>
          <w:p w14:paraId="000E840B" w14:textId="77777777" w:rsidR="00616641" w:rsidRPr="0049701B" w:rsidRDefault="00616641" w:rsidP="007E3239">
            <w:pPr>
              <w:pStyle w:val="TableText"/>
              <w:spacing w:before="40" w:after="40"/>
              <w:rPr>
                <w:rFonts w:cs="Calibri"/>
                <w:szCs w:val="16"/>
              </w:rPr>
            </w:pPr>
            <w:r w:rsidRPr="0049701B">
              <w:rPr>
                <w:rFonts w:cs="Calibri"/>
                <w:szCs w:val="16"/>
              </w:rPr>
              <w:t>2005</w:t>
            </w:r>
          </w:p>
        </w:tc>
        <w:tc>
          <w:tcPr>
            <w:tcW w:w="2503" w:type="dxa"/>
            <w:shd w:val="clear" w:color="auto" w:fill="auto"/>
          </w:tcPr>
          <w:p w14:paraId="47EC5138" w14:textId="77777777" w:rsidR="00616641" w:rsidRPr="0049701B" w:rsidRDefault="00616641" w:rsidP="007E3239">
            <w:pPr>
              <w:pStyle w:val="TableText"/>
              <w:spacing w:before="40" w:after="40"/>
              <w:jc w:val="right"/>
              <w:rPr>
                <w:rFonts w:cs="Calibri"/>
                <w:szCs w:val="16"/>
              </w:rPr>
            </w:pPr>
            <w:r w:rsidRPr="0049701B">
              <w:t>12,010</w:t>
            </w:r>
          </w:p>
        </w:tc>
        <w:tc>
          <w:tcPr>
            <w:tcW w:w="1586" w:type="dxa"/>
            <w:shd w:val="clear" w:color="auto" w:fill="auto"/>
          </w:tcPr>
          <w:p w14:paraId="4FF4A62A" w14:textId="77777777" w:rsidR="00616641" w:rsidRPr="0049701B" w:rsidRDefault="00616641" w:rsidP="007E3239">
            <w:pPr>
              <w:pStyle w:val="TableText"/>
              <w:spacing w:before="40" w:after="40"/>
              <w:jc w:val="right"/>
              <w:rPr>
                <w:rFonts w:cs="Calibri"/>
                <w:szCs w:val="16"/>
              </w:rPr>
            </w:pPr>
            <w:r w:rsidRPr="0049701B">
              <w:t>200</w:t>
            </w:r>
          </w:p>
        </w:tc>
        <w:tc>
          <w:tcPr>
            <w:tcW w:w="1701" w:type="dxa"/>
            <w:shd w:val="clear" w:color="auto" w:fill="auto"/>
          </w:tcPr>
          <w:p w14:paraId="7797720B" w14:textId="77777777" w:rsidR="00616641" w:rsidRPr="0049701B" w:rsidRDefault="00616641" w:rsidP="007E3239">
            <w:pPr>
              <w:pStyle w:val="TableText"/>
              <w:spacing w:before="40" w:after="40"/>
              <w:jc w:val="right"/>
              <w:rPr>
                <w:rFonts w:cs="Calibri"/>
                <w:szCs w:val="16"/>
              </w:rPr>
            </w:pPr>
            <w:r w:rsidRPr="0049701B">
              <w:t>1,972</w:t>
            </w:r>
          </w:p>
        </w:tc>
        <w:tc>
          <w:tcPr>
            <w:tcW w:w="1842" w:type="dxa"/>
            <w:shd w:val="clear" w:color="auto" w:fill="auto"/>
          </w:tcPr>
          <w:p w14:paraId="07FF1991" w14:textId="77777777" w:rsidR="00616641" w:rsidRPr="0049701B" w:rsidRDefault="00616641" w:rsidP="007E3239">
            <w:pPr>
              <w:pStyle w:val="TableText"/>
              <w:spacing w:before="40" w:after="40"/>
              <w:jc w:val="right"/>
              <w:rPr>
                <w:rFonts w:cs="Calibri"/>
                <w:szCs w:val="16"/>
              </w:rPr>
            </w:pPr>
            <w:r w:rsidRPr="0049701B">
              <w:t>618,747</w:t>
            </w:r>
          </w:p>
        </w:tc>
      </w:tr>
      <w:tr w:rsidR="00616641" w:rsidRPr="0049701B" w14:paraId="23068DDA" w14:textId="77777777" w:rsidTr="007E3239">
        <w:tc>
          <w:tcPr>
            <w:tcW w:w="873" w:type="dxa"/>
            <w:shd w:val="clear" w:color="auto" w:fill="auto"/>
          </w:tcPr>
          <w:p w14:paraId="597CA040" w14:textId="77777777" w:rsidR="00616641" w:rsidRPr="0049701B" w:rsidRDefault="00616641" w:rsidP="007E3239">
            <w:pPr>
              <w:pStyle w:val="TableText"/>
              <w:spacing w:before="40" w:after="40"/>
              <w:rPr>
                <w:rFonts w:cs="Calibri"/>
                <w:szCs w:val="16"/>
              </w:rPr>
            </w:pPr>
            <w:r w:rsidRPr="0049701B">
              <w:rPr>
                <w:rFonts w:cs="Calibri"/>
                <w:szCs w:val="16"/>
              </w:rPr>
              <w:t>2006</w:t>
            </w:r>
          </w:p>
        </w:tc>
        <w:tc>
          <w:tcPr>
            <w:tcW w:w="2503" w:type="dxa"/>
            <w:shd w:val="clear" w:color="auto" w:fill="auto"/>
          </w:tcPr>
          <w:p w14:paraId="1D1C8DF2" w14:textId="77777777" w:rsidR="00616641" w:rsidRPr="0049701B" w:rsidRDefault="00616641" w:rsidP="007E3239">
            <w:pPr>
              <w:pStyle w:val="TableText"/>
              <w:spacing w:before="40" w:after="40"/>
              <w:jc w:val="right"/>
              <w:rPr>
                <w:rFonts w:cs="Calibri"/>
                <w:szCs w:val="16"/>
              </w:rPr>
            </w:pPr>
            <w:r w:rsidRPr="0049701B">
              <w:t>10,080</w:t>
            </w:r>
          </w:p>
        </w:tc>
        <w:tc>
          <w:tcPr>
            <w:tcW w:w="1586" w:type="dxa"/>
            <w:shd w:val="clear" w:color="auto" w:fill="auto"/>
          </w:tcPr>
          <w:p w14:paraId="6B7E3675" w14:textId="77777777" w:rsidR="00616641" w:rsidRPr="0049701B" w:rsidRDefault="00616641" w:rsidP="007E3239">
            <w:pPr>
              <w:pStyle w:val="TableText"/>
              <w:spacing w:before="40" w:after="40"/>
              <w:jc w:val="right"/>
              <w:rPr>
                <w:rFonts w:cs="Calibri"/>
                <w:szCs w:val="16"/>
              </w:rPr>
            </w:pPr>
            <w:r w:rsidRPr="0049701B">
              <w:t>500</w:t>
            </w:r>
          </w:p>
        </w:tc>
        <w:tc>
          <w:tcPr>
            <w:tcW w:w="1701" w:type="dxa"/>
            <w:shd w:val="clear" w:color="auto" w:fill="auto"/>
          </w:tcPr>
          <w:p w14:paraId="63FC1386" w14:textId="77777777" w:rsidR="00616641" w:rsidRPr="0049701B" w:rsidRDefault="00616641" w:rsidP="007E3239">
            <w:pPr>
              <w:pStyle w:val="TableText"/>
              <w:spacing w:before="40" w:after="40"/>
              <w:jc w:val="right"/>
              <w:rPr>
                <w:rFonts w:cs="Calibri"/>
                <w:szCs w:val="16"/>
              </w:rPr>
            </w:pPr>
            <w:r w:rsidRPr="0049701B">
              <w:t>1,690</w:t>
            </w:r>
          </w:p>
        </w:tc>
        <w:tc>
          <w:tcPr>
            <w:tcW w:w="1842" w:type="dxa"/>
            <w:shd w:val="clear" w:color="auto" w:fill="auto"/>
          </w:tcPr>
          <w:p w14:paraId="5885E09B" w14:textId="77777777" w:rsidR="00616641" w:rsidRPr="0049701B" w:rsidRDefault="00616641" w:rsidP="007E3239">
            <w:pPr>
              <w:pStyle w:val="TableText"/>
              <w:spacing w:before="40" w:after="40"/>
              <w:jc w:val="right"/>
              <w:rPr>
                <w:rFonts w:cs="Calibri"/>
                <w:szCs w:val="16"/>
              </w:rPr>
            </w:pPr>
            <w:r w:rsidRPr="0049701B">
              <w:t>627,137</w:t>
            </w:r>
          </w:p>
        </w:tc>
      </w:tr>
      <w:tr w:rsidR="00616641" w:rsidRPr="0049701B" w14:paraId="5E6474AD" w14:textId="77777777" w:rsidTr="007E3239">
        <w:tc>
          <w:tcPr>
            <w:tcW w:w="873" w:type="dxa"/>
            <w:shd w:val="clear" w:color="auto" w:fill="auto"/>
          </w:tcPr>
          <w:p w14:paraId="4D7C9B1E" w14:textId="77777777" w:rsidR="00616641" w:rsidRPr="0049701B" w:rsidRDefault="00616641" w:rsidP="007E3239">
            <w:pPr>
              <w:pStyle w:val="TableText"/>
              <w:spacing w:before="40" w:after="40"/>
              <w:rPr>
                <w:rFonts w:cs="Calibri"/>
                <w:szCs w:val="16"/>
              </w:rPr>
            </w:pPr>
            <w:r w:rsidRPr="0049701B">
              <w:rPr>
                <w:rFonts w:cs="Calibri"/>
                <w:szCs w:val="16"/>
              </w:rPr>
              <w:t>2007</w:t>
            </w:r>
          </w:p>
        </w:tc>
        <w:tc>
          <w:tcPr>
            <w:tcW w:w="2503" w:type="dxa"/>
            <w:shd w:val="clear" w:color="auto" w:fill="auto"/>
          </w:tcPr>
          <w:p w14:paraId="4057AD35" w14:textId="77777777" w:rsidR="00616641" w:rsidRPr="0049701B" w:rsidRDefault="00616641" w:rsidP="007E3239">
            <w:pPr>
              <w:pStyle w:val="TableText"/>
              <w:spacing w:before="40" w:after="40"/>
              <w:jc w:val="right"/>
              <w:rPr>
                <w:rFonts w:cs="Calibri"/>
                <w:szCs w:val="16"/>
              </w:rPr>
            </w:pPr>
            <w:r w:rsidRPr="0049701B">
              <w:t>9,418</w:t>
            </w:r>
          </w:p>
        </w:tc>
        <w:tc>
          <w:tcPr>
            <w:tcW w:w="1586" w:type="dxa"/>
            <w:shd w:val="clear" w:color="auto" w:fill="auto"/>
          </w:tcPr>
          <w:p w14:paraId="7E9CA5E3" w14:textId="77777777" w:rsidR="00616641" w:rsidRPr="0049701B" w:rsidRDefault="00616641" w:rsidP="007E3239">
            <w:pPr>
              <w:pStyle w:val="TableText"/>
              <w:spacing w:before="40" w:after="40"/>
              <w:jc w:val="right"/>
              <w:rPr>
                <w:rFonts w:cs="Calibri"/>
                <w:szCs w:val="16"/>
              </w:rPr>
            </w:pPr>
            <w:r w:rsidRPr="0049701B">
              <w:t>500</w:t>
            </w:r>
          </w:p>
        </w:tc>
        <w:tc>
          <w:tcPr>
            <w:tcW w:w="1701" w:type="dxa"/>
            <w:shd w:val="clear" w:color="auto" w:fill="auto"/>
          </w:tcPr>
          <w:p w14:paraId="5A94FB49" w14:textId="77777777" w:rsidR="00616641" w:rsidRPr="0049701B" w:rsidRDefault="00616641" w:rsidP="007E3239">
            <w:pPr>
              <w:pStyle w:val="TableText"/>
              <w:spacing w:before="40" w:after="40"/>
              <w:jc w:val="right"/>
              <w:rPr>
                <w:rFonts w:cs="Calibri"/>
                <w:szCs w:val="16"/>
              </w:rPr>
            </w:pPr>
            <w:r w:rsidRPr="0049701B">
              <w:t>4,057</w:t>
            </w:r>
          </w:p>
        </w:tc>
        <w:tc>
          <w:tcPr>
            <w:tcW w:w="1842" w:type="dxa"/>
            <w:shd w:val="clear" w:color="auto" w:fill="auto"/>
          </w:tcPr>
          <w:p w14:paraId="2079093F" w14:textId="77777777" w:rsidR="00616641" w:rsidRPr="0049701B" w:rsidRDefault="00616641" w:rsidP="007E3239">
            <w:pPr>
              <w:pStyle w:val="TableText"/>
              <w:spacing w:before="40" w:after="40"/>
              <w:jc w:val="right"/>
              <w:rPr>
                <w:rFonts w:cs="Calibri"/>
                <w:szCs w:val="16"/>
              </w:rPr>
            </w:pPr>
            <w:r w:rsidRPr="0049701B">
              <w:t>632,499</w:t>
            </w:r>
          </w:p>
        </w:tc>
      </w:tr>
      <w:tr w:rsidR="00616641" w:rsidRPr="0049701B" w14:paraId="6BCB39A6" w14:textId="77777777" w:rsidTr="007E3239">
        <w:tc>
          <w:tcPr>
            <w:tcW w:w="873" w:type="dxa"/>
            <w:shd w:val="clear" w:color="auto" w:fill="auto"/>
          </w:tcPr>
          <w:p w14:paraId="4EDCF2EE" w14:textId="77777777" w:rsidR="00616641" w:rsidRPr="0049701B" w:rsidRDefault="00616641" w:rsidP="007E3239">
            <w:pPr>
              <w:pStyle w:val="TableText"/>
              <w:spacing w:before="40" w:after="40"/>
              <w:rPr>
                <w:rFonts w:cs="Calibri"/>
                <w:szCs w:val="16"/>
              </w:rPr>
            </w:pPr>
            <w:r w:rsidRPr="0049701B">
              <w:rPr>
                <w:rFonts w:cs="Calibri"/>
                <w:szCs w:val="16"/>
              </w:rPr>
              <w:t>2008</w:t>
            </w:r>
          </w:p>
        </w:tc>
        <w:tc>
          <w:tcPr>
            <w:tcW w:w="2503" w:type="dxa"/>
            <w:shd w:val="clear" w:color="auto" w:fill="auto"/>
          </w:tcPr>
          <w:p w14:paraId="0D606563" w14:textId="77777777" w:rsidR="00616641" w:rsidRPr="0049701B" w:rsidRDefault="00616641" w:rsidP="007E3239">
            <w:pPr>
              <w:pStyle w:val="TableText"/>
              <w:spacing w:before="40" w:after="40"/>
              <w:jc w:val="right"/>
              <w:rPr>
                <w:rFonts w:cs="Calibri"/>
                <w:szCs w:val="16"/>
              </w:rPr>
            </w:pPr>
            <w:r w:rsidRPr="0049701B">
              <w:t>5,302</w:t>
            </w:r>
          </w:p>
        </w:tc>
        <w:tc>
          <w:tcPr>
            <w:tcW w:w="1586" w:type="dxa"/>
            <w:shd w:val="clear" w:color="auto" w:fill="auto"/>
          </w:tcPr>
          <w:p w14:paraId="461E4109" w14:textId="77777777" w:rsidR="00616641" w:rsidRPr="0049701B" w:rsidRDefault="00616641" w:rsidP="007E3239">
            <w:pPr>
              <w:pStyle w:val="TableText"/>
              <w:spacing w:before="40" w:after="40"/>
              <w:jc w:val="right"/>
              <w:rPr>
                <w:rFonts w:cs="Calibri"/>
                <w:szCs w:val="16"/>
              </w:rPr>
            </w:pPr>
            <w:r w:rsidRPr="0049701B">
              <w:t>713</w:t>
            </w:r>
          </w:p>
        </w:tc>
        <w:tc>
          <w:tcPr>
            <w:tcW w:w="1701" w:type="dxa"/>
            <w:shd w:val="clear" w:color="auto" w:fill="auto"/>
          </w:tcPr>
          <w:p w14:paraId="11B1C758" w14:textId="77777777" w:rsidR="00616641" w:rsidRPr="0049701B" w:rsidRDefault="00616641" w:rsidP="007E3239">
            <w:pPr>
              <w:pStyle w:val="TableText"/>
              <w:spacing w:before="40" w:after="40"/>
              <w:jc w:val="right"/>
              <w:rPr>
                <w:rFonts w:cs="Calibri"/>
                <w:szCs w:val="16"/>
              </w:rPr>
            </w:pPr>
            <w:r w:rsidRPr="0049701B">
              <w:t>1,155</w:t>
            </w:r>
          </w:p>
        </w:tc>
        <w:tc>
          <w:tcPr>
            <w:tcW w:w="1842" w:type="dxa"/>
            <w:shd w:val="clear" w:color="auto" w:fill="auto"/>
          </w:tcPr>
          <w:p w14:paraId="6C3942F9" w14:textId="77777777" w:rsidR="00616641" w:rsidRPr="0049701B" w:rsidRDefault="00616641" w:rsidP="007E3239">
            <w:pPr>
              <w:pStyle w:val="TableText"/>
              <w:spacing w:before="40" w:after="40"/>
              <w:jc w:val="right"/>
              <w:rPr>
                <w:rFonts w:cs="Calibri"/>
                <w:szCs w:val="16"/>
              </w:rPr>
            </w:pPr>
            <w:r w:rsidRPr="0049701B">
              <w:t>636,646</w:t>
            </w:r>
          </w:p>
        </w:tc>
      </w:tr>
      <w:tr w:rsidR="00616641" w:rsidRPr="0049701B" w14:paraId="3BAA6756" w14:textId="77777777" w:rsidTr="007E3239">
        <w:tc>
          <w:tcPr>
            <w:tcW w:w="873" w:type="dxa"/>
            <w:shd w:val="clear" w:color="auto" w:fill="auto"/>
          </w:tcPr>
          <w:p w14:paraId="6E6F846C" w14:textId="77777777" w:rsidR="00616641" w:rsidRPr="0049701B" w:rsidRDefault="00616641" w:rsidP="007E3239">
            <w:pPr>
              <w:pStyle w:val="TableText"/>
              <w:spacing w:before="40" w:after="40"/>
              <w:rPr>
                <w:rFonts w:cs="Calibri"/>
                <w:szCs w:val="16"/>
              </w:rPr>
            </w:pPr>
            <w:r w:rsidRPr="0049701B">
              <w:rPr>
                <w:rFonts w:cs="Calibri"/>
                <w:szCs w:val="16"/>
              </w:rPr>
              <w:t>2009</w:t>
            </w:r>
          </w:p>
        </w:tc>
        <w:tc>
          <w:tcPr>
            <w:tcW w:w="2503" w:type="dxa"/>
            <w:shd w:val="clear" w:color="auto" w:fill="auto"/>
          </w:tcPr>
          <w:p w14:paraId="47380B76" w14:textId="77777777" w:rsidR="00616641" w:rsidRPr="0049701B" w:rsidRDefault="00616641" w:rsidP="007E3239">
            <w:pPr>
              <w:pStyle w:val="TableText"/>
              <w:spacing w:before="40" w:after="40"/>
              <w:jc w:val="right"/>
              <w:rPr>
                <w:rFonts w:cs="Calibri"/>
                <w:szCs w:val="16"/>
              </w:rPr>
            </w:pPr>
            <w:r w:rsidRPr="0049701B">
              <w:t>8,352</w:t>
            </w:r>
          </w:p>
        </w:tc>
        <w:tc>
          <w:tcPr>
            <w:tcW w:w="1586" w:type="dxa"/>
            <w:shd w:val="clear" w:color="auto" w:fill="auto"/>
          </w:tcPr>
          <w:p w14:paraId="4C1C7AD1" w14:textId="77777777" w:rsidR="00616641" w:rsidRPr="0049701B" w:rsidRDefault="00616641" w:rsidP="007E3239">
            <w:pPr>
              <w:pStyle w:val="TableText"/>
              <w:spacing w:before="40" w:after="40"/>
              <w:jc w:val="right"/>
              <w:rPr>
                <w:rFonts w:cs="Calibri"/>
                <w:szCs w:val="16"/>
              </w:rPr>
            </w:pPr>
            <w:r w:rsidRPr="0049701B">
              <w:t>844</w:t>
            </w:r>
          </w:p>
        </w:tc>
        <w:tc>
          <w:tcPr>
            <w:tcW w:w="1701" w:type="dxa"/>
            <w:shd w:val="clear" w:color="auto" w:fill="auto"/>
          </w:tcPr>
          <w:p w14:paraId="7BA092AB" w14:textId="77777777" w:rsidR="00616641" w:rsidRPr="0049701B" w:rsidRDefault="00616641" w:rsidP="007E3239">
            <w:pPr>
              <w:pStyle w:val="TableText"/>
              <w:spacing w:before="40" w:after="40"/>
              <w:jc w:val="right"/>
              <w:rPr>
                <w:rFonts w:cs="Calibri"/>
                <w:szCs w:val="16"/>
              </w:rPr>
            </w:pPr>
            <w:r w:rsidRPr="0049701B">
              <w:t>2,059</w:t>
            </w:r>
          </w:p>
        </w:tc>
        <w:tc>
          <w:tcPr>
            <w:tcW w:w="1842" w:type="dxa"/>
            <w:shd w:val="clear" w:color="auto" w:fill="auto"/>
          </w:tcPr>
          <w:p w14:paraId="5A2795CB" w14:textId="77777777" w:rsidR="00616641" w:rsidRPr="0049701B" w:rsidRDefault="00616641" w:rsidP="007E3239">
            <w:pPr>
              <w:pStyle w:val="TableText"/>
              <w:spacing w:before="40" w:after="40"/>
              <w:jc w:val="right"/>
              <w:rPr>
                <w:rFonts w:cs="Calibri"/>
                <w:szCs w:val="16"/>
              </w:rPr>
            </w:pPr>
            <w:r w:rsidRPr="0049701B">
              <w:t>642,939</w:t>
            </w:r>
          </w:p>
        </w:tc>
      </w:tr>
      <w:tr w:rsidR="00616641" w:rsidRPr="0049701B" w14:paraId="158E6E71" w14:textId="77777777" w:rsidTr="007E3239">
        <w:tc>
          <w:tcPr>
            <w:tcW w:w="873" w:type="dxa"/>
            <w:shd w:val="clear" w:color="auto" w:fill="auto"/>
          </w:tcPr>
          <w:p w14:paraId="134B18E0" w14:textId="77777777" w:rsidR="00616641" w:rsidRPr="0049701B" w:rsidRDefault="00616641" w:rsidP="007E3239">
            <w:pPr>
              <w:pStyle w:val="TableText"/>
              <w:spacing w:before="40" w:after="40"/>
              <w:rPr>
                <w:rFonts w:cs="Calibri"/>
                <w:szCs w:val="16"/>
              </w:rPr>
            </w:pPr>
            <w:r w:rsidRPr="0049701B">
              <w:rPr>
                <w:rFonts w:cs="Calibri"/>
                <w:szCs w:val="16"/>
              </w:rPr>
              <w:t>2010</w:t>
            </w:r>
          </w:p>
        </w:tc>
        <w:tc>
          <w:tcPr>
            <w:tcW w:w="2503" w:type="dxa"/>
            <w:shd w:val="clear" w:color="auto" w:fill="auto"/>
          </w:tcPr>
          <w:p w14:paraId="4305F98E" w14:textId="77777777" w:rsidR="00616641" w:rsidRPr="0049701B" w:rsidRDefault="00616641" w:rsidP="007E3239">
            <w:pPr>
              <w:pStyle w:val="TableText"/>
              <w:spacing w:before="40" w:after="40"/>
              <w:jc w:val="right"/>
              <w:rPr>
                <w:rFonts w:cs="Calibri"/>
                <w:szCs w:val="16"/>
              </w:rPr>
            </w:pPr>
            <w:r w:rsidRPr="0049701B">
              <w:t>10,513</w:t>
            </w:r>
          </w:p>
        </w:tc>
        <w:tc>
          <w:tcPr>
            <w:tcW w:w="1586" w:type="dxa"/>
            <w:shd w:val="clear" w:color="auto" w:fill="auto"/>
          </w:tcPr>
          <w:p w14:paraId="57438E8E" w14:textId="77777777" w:rsidR="00616641" w:rsidRPr="0049701B" w:rsidRDefault="00616641" w:rsidP="007E3239">
            <w:pPr>
              <w:pStyle w:val="TableText"/>
              <w:spacing w:before="40" w:after="40"/>
              <w:jc w:val="right"/>
              <w:rPr>
                <w:rFonts w:cs="Calibri"/>
                <w:szCs w:val="16"/>
              </w:rPr>
            </w:pPr>
            <w:r w:rsidRPr="0049701B">
              <w:t>1,366</w:t>
            </w:r>
          </w:p>
        </w:tc>
        <w:tc>
          <w:tcPr>
            <w:tcW w:w="1701" w:type="dxa"/>
            <w:shd w:val="clear" w:color="auto" w:fill="auto"/>
          </w:tcPr>
          <w:p w14:paraId="55C0D2D9" w14:textId="77777777" w:rsidR="00616641" w:rsidRPr="0049701B" w:rsidRDefault="00616641" w:rsidP="007E3239">
            <w:pPr>
              <w:pStyle w:val="TableText"/>
              <w:spacing w:before="40" w:after="40"/>
              <w:jc w:val="right"/>
              <w:rPr>
                <w:rFonts w:cs="Calibri"/>
                <w:szCs w:val="16"/>
              </w:rPr>
            </w:pPr>
            <w:r w:rsidRPr="0049701B">
              <w:t>1,723</w:t>
            </w:r>
          </w:p>
        </w:tc>
        <w:tc>
          <w:tcPr>
            <w:tcW w:w="1842" w:type="dxa"/>
            <w:shd w:val="clear" w:color="auto" w:fill="auto"/>
          </w:tcPr>
          <w:p w14:paraId="6165B2EF" w14:textId="77777777" w:rsidR="00616641" w:rsidRPr="0049701B" w:rsidRDefault="00616641" w:rsidP="007E3239">
            <w:pPr>
              <w:pStyle w:val="TableText"/>
              <w:spacing w:before="40" w:after="40"/>
              <w:jc w:val="right"/>
              <w:rPr>
                <w:rFonts w:cs="Calibri"/>
                <w:szCs w:val="16"/>
              </w:rPr>
            </w:pPr>
            <w:r w:rsidRPr="0049701B">
              <w:t>651,729</w:t>
            </w:r>
          </w:p>
        </w:tc>
      </w:tr>
      <w:tr w:rsidR="00616641" w:rsidRPr="0049701B" w14:paraId="472A1A47" w14:textId="77777777" w:rsidTr="007E3239">
        <w:tc>
          <w:tcPr>
            <w:tcW w:w="873" w:type="dxa"/>
            <w:shd w:val="clear" w:color="auto" w:fill="auto"/>
          </w:tcPr>
          <w:p w14:paraId="142FA2F2" w14:textId="77777777" w:rsidR="00616641" w:rsidRPr="0049701B" w:rsidRDefault="00616641" w:rsidP="007E3239">
            <w:pPr>
              <w:pStyle w:val="TableText"/>
              <w:spacing w:before="40" w:after="40"/>
              <w:rPr>
                <w:rFonts w:cs="Calibri"/>
                <w:szCs w:val="16"/>
              </w:rPr>
            </w:pPr>
            <w:r w:rsidRPr="0049701B">
              <w:rPr>
                <w:rFonts w:cs="Calibri"/>
                <w:szCs w:val="16"/>
              </w:rPr>
              <w:t>2011</w:t>
            </w:r>
          </w:p>
        </w:tc>
        <w:tc>
          <w:tcPr>
            <w:tcW w:w="2503" w:type="dxa"/>
            <w:shd w:val="clear" w:color="auto" w:fill="auto"/>
          </w:tcPr>
          <w:p w14:paraId="028AD2BE" w14:textId="77777777" w:rsidR="00616641" w:rsidRPr="0049701B" w:rsidRDefault="00616641" w:rsidP="007E3239">
            <w:pPr>
              <w:pStyle w:val="TableText"/>
              <w:spacing w:before="40" w:after="40"/>
              <w:jc w:val="right"/>
              <w:rPr>
                <w:rFonts w:cs="Calibri"/>
                <w:szCs w:val="16"/>
              </w:rPr>
            </w:pPr>
            <w:r w:rsidRPr="0049701B">
              <w:t>18,138</w:t>
            </w:r>
          </w:p>
        </w:tc>
        <w:tc>
          <w:tcPr>
            <w:tcW w:w="1586" w:type="dxa"/>
            <w:shd w:val="clear" w:color="auto" w:fill="auto"/>
          </w:tcPr>
          <w:p w14:paraId="22C378AD" w14:textId="77777777" w:rsidR="00616641" w:rsidRPr="0049701B" w:rsidRDefault="00616641" w:rsidP="007E3239">
            <w:pPr>
              <w:pStyle w:val="TableText"/>
              <w:spacing w:before="40" w:after="40"/>
              <w:jc w:val="right"/>
              <w:rPr>
                <w:rFonts w:cs="Calibri"/>
                <w:szCs w:val="16"/>
              </w:rPr>
            </w:pPr>
            <w:r w:rsidRPr="0049701B">
              <w:t>1,649</w:t>
            </w:r>
          </w:p>
        </w:tc>
        <w:tc>
          <w:tcPr>
            <w:tcW w:w="1701" w:type="dxa"/>
            <w:shd w:val="clear" w:color="auto" w:fill="auto"/>
          </w:tcPr>
          <w:p w14:paraId="3FF93A6D" w14:textId="77777777" w:rsidR="00616641" w:rsidRPr="0049701B" w:rsidRDefault="00616641" w:rsidP="007E3239">
            <w:pPr>
              <w:pStyle w:val="TableText"/>
              <w:spacing w:before="40" w:after="40"/>
              <w:jc w:val="right"/>
              <w:rPr>
                <w:rFonts w:cs="Calibri"/>
                <w:szCs w:val="16"/>
              </w:rPr>
            </w:pPr>
            <w:r w:rsidRPr="0049701B">
              <w:t>2,206</w:t>
            </w:r>
          </w:p>
        </w:tc>
        <w:tc>
          <w:tcPr>
            <w:tcW w:w="1842" w:type="dxa"/>
            <w:shd w:val="clear" w:color="auto" w:fill="auto"/>
          </w:tcPr>
          <w:p w14:paraId="57432D34" w14:textId="77777777" w:rsidR="00616641" w:rsidRPr="0049701B" w:rsidRDefault="00616641" w:rsidP="007E3239">
            <w:pPr>
              <w:pStyle w:val="TableText"/>
              <w:spacing w:before="40" w:after="40"/>
              <w:jc w:val="right"/>
              <w:rPr>
                <w:rFonts w:cs="Calibri"/>
                <w:szCs w:val="16"/>
              </w:rPr>
            </w:pPr>
            <w:r w:rsidRPr="0049701B">
              <w:t>667,660</w:t>
            </w:r>
          </w:p>
        </w:tc>
      </w:tr>
      <w:tr w:rsidR="00616641" w:rsidRPr="0049701B" w14:paraId="411DBA5B" w14:textId="77777777" w:rsidTr="007E3239">
        <w:tc>
          <w:tcPr>
            <w:tcW w:w="873" w:type="dxa"/>
            <w:shd w:val="clear" w:color="auto" w:fill="auto"/>
          </w:tcPr>
          <w:p w14:paraId="353EEF55" w14:textId="77777777" w:rsidR="00616641" w:rsidRPr="0049701B" w:rsidRDefault="00616641" w:rsidP="007E3239">
            <w:pPr>
              <w:pStyle w:val="TableText"/>
              <w:spacing w:before="40" w:after="40"/>
              <w:rPr>
                <w:rFonts w:cs="Calibri"/>
                <w:szCs w:val="16"/>
              </w:rPr>
            </w:pPr>
            <w:r w:rsidRPr="0049701B">
              <w:rPr>
                <w:rFonts w:cs="Calibri"/>
                <w:szCs w:val="16"/>
              </w:rPr>
              <w:t>2012</w:t>
            </w:r>
          </w:p>
        </w:tc>
        <w:tc>
          <w:tcPr>
            <w:tcW w:w="2503" w:type="dxa"/>
            <w:shd w:val="clear" w:color="auto" w:fill="auto"/>
          </w:tcPr>
          <w:p w14:paraId="4A706C0A" w14:textId="77777777" w:rsidR="00616641" w:rsidRPr="0049701B" w:rsidRDefault="00616641" w:rsidP="007E3239">
            <w:pPr>
              <w:pStyle w:val="TableText"/>
              <w:spacing w:before="40" w:after="40"/>
              <w:jc w:val="right"/>
              <w:rPr>
                <w:rFonts w:cs="Calibri"/>
                <w:szCs w:val="16"/>
              </w:rPr>
            </w:pPr>
            <w:r w:rsidRPr="0049701B">
              <w:t>17,502</w:t>
            </w:r>
          </w:p>
        </w:tc>
        <w:tc>
          <w:tcPr>
            <w:tcW w:w="1586" w:type="dxa"/>
            <w:shd w:val="clear" w:color="auto" w:fill="auto"/>
          </w:tcPr>
          <w:p w14:paraId="55EDA581" w14:textId="77777777" w:rsidR="00616641" w:rsidRPr="0049701B" w:rsidRDefault="00616641" w:rsidP="007E3239">
            <w:pPr>
              <w:pStyle w:val="TableText"/>
              <w:spacing w:before="40" w:after="40"/>
              <w:jc w:val="right"/>
              <w:rPr>
                <w:rFonts w:cs="Calibri"/>
                <w:szCs w:val="16"/>
              </w:rPr>
            </w:pPr>
            <w:r w:rsidRPr="0049701B">
              <w:t>1,375</w:t>
            </w:r>
          </w:p>
        </w:tc>
        <w:tc>
          <w:tcPr>
            <w:tcW w:w="1701" w:type="dxa"/>
            <w:shd w:val="clear" w:color="auto" w:fill="auto"/>
          </w:tcPr>
          <w:p w14:paraId="18F338F5" w14:textId="77777777" w:rsidR="00616641" w:rsidRPr="0049701B" w:rsidRDefault="00616641" w:rsidP="007E3239">
            <w:pPr>
              <w:pStyle w:val="TableText"/>
              <w:spacing w:before="40" w:after="40"/>
              <w:jc w:val="right"/>
              <w:rPr>
                <w:rFonts w:cs="Calibri"/>
                <w:szCs w:val="16"/>
              </w:rPr>
            </w:pPr>
            <w:r w:rsidRPr="0049701B">
              <w:t>1,673</w:t>
            </w:r>
          </w:p>
        </w:tc>
        <w:tc>
          <w:tcPr>
            <w:tcW w:w="1842" w:type="dxa"/>
            <w:shd w:val="clear" w:color="auto" w:fill="auto"/>
          </w:tcPr>
          <w:p w14:paraId="45DCC27B" w14:textId="77777777" w:rsidR="00616641" w:rsidRPr="0049701B" w:rsidRDefault="00616641" w:rsidP="007E3239">
            <w:pPr>
              <w:pStyle w:val="TableText"/>
              <w:spacing w:before="40" w:after="40"/>
              <w:jc w:val="right"/>
              <w:rPr>
                <w:rFonts w:cs="Calibri"/>
                <w:szCs w:val="16"/>
              </w:rPr>
            </w:pPr>
            <w:r w:rsidRPr="0049701B">
              <w:t>683,489</w:t>
            </w:r>
          </w:p>
        </w:tc>
      </w:tr>
      <w:tr w:rsidR="00616641" w:rsidRPr="0049701B" w14:paraId="2590167F" w14:textId="77777777" w:rsidTr="007E3239">
        <w:tc>
          <w:tcPr>
            <w:tcW w:w="873" w:type="dxa"/>
            <w:shd w:val="clear" w:color="auto" w:fill="auto"/>
          </w:tcPr>
          <w:p w14:paraId="2C830E73" w14:textId="77777777" w:rsidR="00616641" w:rsidRPr="0049701B" w:rsidRDefault="00616641" w:rsidP="007E3239">
            <w:pPr>
              <w:pStyle w:val="TableText"/>
              <w:spacing w:before="40" w:after="40"/>
              <w:rPr>
                <w:rFonts w:cs="Calibri"/>
                <w:szCs w:val="16"/>
              </w:rPr>
            </w:pPr>
            <w:r w:rsidRPr="0049701B">
              <w:rPr>
                <w:rFonts w:cs="Calibri"/>
                <w:szCs w:val="16"/>
              </w:rPr>
              <w:t>2013</w:t>
            </w:r>
          </w:p>
        </w:tc>
        <w:tc>
          <w:tcPr>
            <w:tcW w:w="2503" w:type="dxa"/>
            <w:shd w:val="clear" w:color="auto" w:fill="auto"/>
          </w:tcPr>
          <w:p w14:paraId="3ACE2001" w14:textId="77777777" w:rsidR="00616641" w:rsidRPr="0049701B" w:rsidRDefault="00616641" w:rsidP="007E3239">
            <w:pPr>
              <w:pStyle w:val="TableText"/>
              <w:spacing w:before="40" w:after="40"/>
              <w:jc w:val="right"/>
              <w:rPr>
                <w:rFonts w:cs="Calibri"/>
                <w:szCs w:val="16"/>
              </w:rPr>
            </w:pPr>
            <w:r w:rsidRPr="0049701B">
              <w:t>7,285</w:t>
            </w:r>
          </w:p>
        </w:tc>
        <w:tc>
          <w:tcPr>
            <w:tcW w:w="1586" w:type="dxa"/>
            <w:shd w:val="clear" w:color="auto" w:fill="auto"/>
          </w:tcPr>
          <w:p w14:paraId="10AE921E" w14:textId="77777777" w:rsidR="00616641" w:rsidRPr="0049701B" w:rsidRDefault="00616641" w:rsidP="007E3239">
            <w:pPr>
              <w:pStyle w:val="TableText"/>
              <w:spacing w:before="40" w:after="40"/>
              <w:jc w:val="right"/>
              <w:rPr>
                <w:rFonts w:cs="Calibri"/>
                <w:szCs w:val="16"/>
              </w:rPr>
            </w:pPr>
            <w:r w:rsidRPr="0049701B">
              <w:t>3,175</w:t>
            </w:r>
          </w:p>
        </w:tc>
        <w:tc>
          <w:tcPr>
            <w:tcW w:w="1701" w:type="dxa"/>
            <w:shd w:val="clear" w:color="auto" w:fill="auto"/>
          </w:tcPr>
          <w:p w14:paraId="142854E1" w14:textId="77777777" w:rsidR="00616641" w:rsidRPr="0049701B" w:rsidRDefault="00616641" w:rsidP="007E3239">
            <w:pPr>
              <w:pStyle w:val="TableText"/>
              <w:spacing w:before="40" w:after="40"/>
              <w:jc w:val="right"/>
              <w:rPr>
                <w:rFonts w:cs="Calibri"/>
                <w:szCs w:val="16"/>
              </w:rPr>
            </w:pPr>
            <w:r w:rsidRPr="0049701B">
              <w:t>2,913</w:t>
            </w:r>
          </w:p>
        </w:tc>
        <w:tc>
          <w:tcPr>
            <w:tcW w:w="1842" w:type="dxa"/>
            <w:shd w:val="clear" w:color="auto" w:fill="auto"/>
          </w:tcPr>
          <w:p w14:paraId="6A4CF641" w14:textId="77777777" w:rsidR="00616641" w:rsidRPr="0049701B" w:rsidRDefault="00616641" w:rsidP="007E3239">
            <w:pPr>
              <w:pStyle w:val="TableText"/>
              <w:spacing w:before="40" w:after="40"/>
              <w:jc w:val="right"/>
              <w:rPr>
                <w:rFonts w:cs="Calibri"/>
                <w:szCs w:val="16"/>
              </w:rPr>
            </w:pPr>
            <w:r w:rsidRPr="0049701B">
              <w:t>687,861</w:t>
            </w:r>
          </w:p>
        </w:tc>
      </w:tr>
      <w:tr w:rsidR="00616641" w:rsidRPr="0049701B" w14:paraId="389C8E74" w14:textId="77777777" w:rsidTr="007E3239">
        <w:tc>
          <w:tcPr>
            <w:tcW w:w="873" w:type="dxa"/>
            <w:shd w:val="clear" w:color="auto" w:fill="auto"/>
          </w:tcPr>
          <w:p w14:paraId="23BBDBC8" w14:textId="77777777" w:rsidR="00616641" w:rsidRPr="0049701B" w:rsidRDefault="00616641" w:rsidP="007E3239">
            <w:pPr>
              <w:pStyle w:val="TableText"/>
              <w:spacing w:before="40" w:after="40"/>
              <w:rPr>
                <w:rFonts w:cs="Calibri"/>
                <w:szCs w:val="16"/>
              </w:rPr>
            </w:pPr>
            <w:r w:rsidRPr="0049701B">
              <w:rPr>
                <w:rFonts w:cs="Calibri"/>
                <w:szCs w:val="16"/>
              </w:rPr>
              <w:t>2014</w:t>
            </w:r>
          </w:p>
        </w:tc>
        <w:tc>
          <w:tcPr>
            <w:tcW w:w="2503" w:type="dxa"/>
            <w:shd w:val="clear" w:color="auto" w:fill="auto"/>
          </w:tcPr>
          <w:p w14:paraId="78EB52BB" w14:textId="77777777" w:rsidR="00616641" w:rsidRPr="0049701B" w:rsidRDefault="00616641" w:rsidP="007E3239">
            <w:pPr>
              <w:pStyle w:val="TableText"/>
              <w:spacing w:before="40" w:after="40"/>
              <w:jc w:val="right"/>
              <w:rPr>
                <w:rFonts w:cs="Calibri"/>
                <w:szCs w:val="16"/>
              </w:rPr>
            </w:pPr>
            <w:r w:rsidRPr="0049701B">
              <w:t>5,937</w:t>
            </w:r>
          </w:p>
        </w:tc>
        <w:tc>
          <w:tcPr>
            <w:tcW w:w="1586" w:type="dxa"/>
            <w:shd w:val="clear" w:color="auto" w:fill="auto"/>
          </w:tcPr>
          <w:p w14:paraId="76D1D048" w14:textId="77777777" w:rsidR="00616641" w:rsidRPr="0049701B" w:rsidRDefault="00616641" w:rsidP="007E3239">
            <w:pPr>
              <w:pStyle w:val="TableText"/>
              <w:spacing w:before="40" w:after="40"/>
              <w:jc w:val="right"/>
              <w:rPr>
                <w:rFonts w:cs="Calibri"/>
                <w:szCs w:val="16"/>
              </w:rPr>
            </w:pPr>
            <w:r w:rsidRPr="0049701B">
              <w:t>2,491</w:t>
            </w:r>
          </w:p>
        </w:tc>
        <w:tc>
          <w:tcPr>
            <w:tcW w:w="1701" w:type="dxa"/>
            <w:shd w:val="clear" w:color="auto" w:fill="auto"/>
          </w:tcPr>
          <w:p w14:paraId="6A306033" w14:textId="77777777" w:rsidR="00616641" w:rsidRPr="0049701B" w:rsidRDefault="00616641" w:rsidP="007E3239">
            <w:pPr>
              <w:pStyle w:val="TableText"/>
              <w:spacing w:before="40" w:after="40"/>
              <w:jc w:val="right"/>
              <w:rPr>
                <w:rFonts w:cs="Calibri"/>
                <w:szCs w:val="16"/>
              </w:rPr>
            </w:pPr>
            <w:r w:rsidRPr="0049701B">
              <w:t>2,978</w:t>
            </w:r>
          </w:p>
        </w:tc>
        <w:tc>
          <w:tcPr>
            <w:tcW w:w="1842" w:type="dxa"/>
            <w:shd w:val="clear" w:color="auto" w:fill="auto"/>
          </w:tcPr>
          <w:p w14:paraId="5CE78314" w14:textId="77777777" w:rsidR="00616641" w:rsidRPr="0049701B" w:rsidRDefault="00616641" w:rsidP="007E3239">
            <w:pPr>
              <w:pStyle w:val="TableText"/>
              <w:spacing w:before="40" w:after="40"/>
              <w:jc w:val="right"/>
              <w:rPr>
                <w:rFonts w:cs="Calibri"/>
                <w:szCs w:val="16"/>
              </w:rPr>
            </w:pPr>
            <w:r w:rsidRPr="0049701B">
              <w:t>690,819</w:t>
            </w:r>
          </w:p>
        </w:tc>
      </w:tr>
      <w:tr w:rsidR="00616641" w:rsidRPr="0049701B" w14:paraId="480AE970" w14:textId="77777777" w:rsidTr="007E3239">
        <w:tc>
          <w:tcPr>
            <w:tcW w:w="873" w:type="dxa"/>
            <w:shd w:val="clear" w:color="auto" w:fill="auto"/>
          </w:tcPr>
          <w:p w14:paraId="6911B91A" w14:textId="77777777" w:rsidR="00616641" w:rsidRPr="0049701B" w:rsidRDefault="00616641" w:rsidP="007E3239">
            <w:pPr>
              <w:pStyle w:val="Tableboldblue"/>
              <w:spacing w:before="40" w:after="40"/>
              <w:rPr>
                <w:rFonts w:cs="Calibri"/>
                <w:bCs/>
                <w:szCs w:val="16"/>
              </w:rPr>
            </w:pPr>
            <w:r w:rsidRPr="0049701B">
              <w:rPr>
                <w:rFonts w:cs="Calibri"/>
                <w:b w:val="0"/>
                <w:color w:val="auto"/>
                <w:szCs w:val="16"/>
              </w:rPr>
              <w:t>2015</w:t>
            </w:r>
            <w:r w:rsidRPr="0049701B">
              <w:rPr>
                <w:rFonts w:cs="Calibri"/>
                <w:szCs w:val="16"/>
                <w:vertAlign w:val="superscript"/>
              </w:rPr>
              <w:t xml:space="preserve"> </w:t>
            </w:r>
          </w:p>
        </w:tc>
        <w:tc>
          <w:tcPr>
            <w:tcW w:w="2503" w:type="dxa"/>
            <w:shd w:val="clear" w:color="auto" w:fill="auto"/>
          </w:tcPr>
          <w:p w14:paraId="67F706CA" w14:textId="77777777" w:rsidR="00616641" w:rsidRPr="0049701B" w:rsidRDefault="00616641" w:rsidP="007E3239">
            <w:pPr>
              <w:pStyle w:val="TableText"/>
              <w:spacing w:before="40" w:after="40"/>
              <w:jc w:val="right"/>
              <w:rPr>
                <w:rFonts w:cs="Calibri"/>
                <w:szCs w:val="16"/>
              </w:rPr>
            </w:pPr>
            <w:r w:rsidRPr="0049701B">
              <w:t>5,937</w:t>
            </w:r>
          </w:p>
        </w:tc>
        <w:tc>
          <w:tcPr>
            <w:tcW w:w="1586" w:type="dxa"/>
            <w:shd w:val="clear" w:color="auto" w:fill="auto"/>
          </w:tcPr>
          <w:p w14:paraId="0ACC6640" w14:textId="77777777" w:rsidR="00616641" w:rsidRPr="0049701B" w:rsidRDefault="00616641" w:rsidP="007E3239">
            <w:pPr>
              <w:pStyle w:val="Tableboldblue"/>
              <w:spacing w:before="40" w:after="40"/>
              <w:jc w:val="right"/>
              <w:rPr>
                <w:b w:val="0"/>
                <w:color w:val="auto"/>
                <w:lang w:eastAsia="en-NZ"/>
              </w:rPr>
            </w:pPr>
            <w:r w:rsidRPr="0049701B">
              <w:rPr>
                <w:b w:val="0"/>
                <w:color w:val="auto"/>
                <w:lang w:eastAsia="en-NZ"/>
              </w:rPr>
              <w:t>3,609</w:t>
            </w:r>
          </w:p>
        </w:tc>
        <w:tc>
          <w:tcPr>
            <w:tcW w:w="1701" w:type="dxa"/>
            <w:shd w:val="clear" w:color="auto" w:fill="auto"/>
          </w:tcPr>
          <w:p w14:paraId="5E7B6A2F" w14:textId="77777777" w:rsidR="00616641" w:rsidRPr="0049701B" w:rsidRDefault="00616641" w:rsidP="007E3239">
            <w:pPr>
              <w:pStyle w:val="Tableboldblue"/>
              <w:spacing w:before="40" w:after="40"/>
              <w:jc w:val="right"/>
              <w:rPr>
                <w:b w:val="0"/>
                <w:color w:val="auto"/>
                <w:lang w:eastAsia="en-NZ"/>
              </w:rPr>
            </w:pPr>
            <w:r w:rsidRPr="0049701B">
              <w:rPr>
                <w:b w:val="0"/>
                <w:color w:val="auto"/>
                <w:lang w:eastAsia="en-NZ"/>
              </w:rPr>
              <w:t>2,523</w:t>
            </w:r>
          </w:p>
        </w:tc>
        <w:tc>
          <w:tcPr>
            <w:tcW w:w="1842" w:type="dxa"/>
            <w:shd w:val="clear" w:color="auto" w:fill="auto"/>
          </w:tcPr>
          <w:p w14:paraId="3FA56B1C" w14:textId="77777777" w:rsidR="00616641" w:rsidRPr="0049701B" w:rsidRDefault="00616641" w:rsidP="007E3239">
            <w:pPr>
              <w:pStyle w:val="Tableboldblue"/>
              <w:spacing w:before="40" w:after="40"/>
              <w:jc w:val="right"/>
              <w:rPr>
                <w:b w:val="0"/>
                <w:color w:val="auto"/>
                <w:lang w:eastAsia="en-NZ"/>
              </w:rPr>
            </w:pPr>
            <w:r w:rsidRPr="0049701B">
              <w:rPr>
                <w:b w:val="0"/>
                <w:color w:val="auto"/>
                <w:lang w:eastAsia="en-NZ"/>
              </w:rPr>
              <w:t>694,233</w:t>
            </w:r>
          </w:p>
        </w:tc>
      </w:tr>
      <w:tr w:rsidR="00616641" w:rsidRPr="0049701B" w14:paraId="77B1A85E" w14:textId="77777777" w:rsidTr="007E3239">
        <w:tc>
          <w:tcPr>
            <w:tcW w:w="873" w:type="dxa"/>
            <w:shd w:val="clear" w:color="auto" w:fill="auto"/>
          </w:tcPr>
          <w:p w14:paraId="65AA467A" w14:textId="77777777" w:rsidR="00616641" w:rsidRPr="0049701B" w:rsidRDefault="00616641" w:rsidP="007E3239">
            <w:pPr>
              <w:pStyle w:val="Tableboldblue"/>
              <w:spacing w:before="40" w:after="40"/>
              <w:rPr>
                <w:rFonts w:cs="Calibri"/>
                <w:b w:val="0"/>
                <w:bCs/>
                <w:color w:val="auto"/>
                <w:szCs w:val="16"/>
              </w:rPr>
            </w:pPr>
            <w:r w:rsidRPr="0049701B">
              <w:rPr>
                <w:rFonts w:cs="Calibri"/>
                <w:b w:val="0"/>
                <w:bCs/>
                <w:color w:val="auto"/>
                <w:szCs w:val="16"/>
              </w:rPr>
              <w:t>2016</w:t>
            </w:r>
          </w:p>
        </w:tc>
        <w:tc>
          <w:tcPr>
            <w:tcW w:w="2503" w:type="dxa"/>
            <w:shd w:val="clear" w:color="auto" w:fill="auto"/>
          </w:tcPr>
          <w:p w14:paraId="505E9986" w14:textId="77777777" w:rsidR="00616641" w:rsidRPr="0049701B" w:rsidRDefault="00616641" w:rsidP="007E3239">
            <w:pPr>
              <w:pStyle w:val="TableText"/>
              <w:spacing w:before="40" w:after="40"/>
              <w:jc w:val="right"/>
              <w:rPr>
                <w:rFonts w:cs="Calibri"/>
                <w:szCs w:val="16"/>
              </w:rPr>
            </w:pPr>
            <w:r w:rsidRPr="0049701B">
              <w:t>5,784</w:t>
            </w:r>
          </w:p>
        </w:tc>
        <w:tc>
          <w:tcPr>
            <w:tcW w:w="1586" w:type="dxa"/>
            <w:shd w:val="clear" w:color="auto" w:fill="auto"/>
          </w:tcPr>
          <w:p w14:paraId="58349666" w14:textId="77777777" w:rsidR="00616641" w:rsidRPr="0049701B" w:rsidRDefault="00616641" w:rsidP="007E3239">
            <w:pPr>
              <w:pStyle w:val="TableText"/>
              <w:spacing w:before="40" w:after="40"/>
              <w:jc w:val="right"/>
              <w:rPr>
                <w:rFonts w:cs="Calibri"/>
                <w:szCs w:val="16"/>
              </w:rPr>
            </w:pPr>
            <w:r w:rsidRPr="0049701B">
              <w:t>5,557</w:t>
            </w:r>
          </w:p>
        </w:tc>
        <w:tc>
          <w:tcPr>
            <w:tcW w:w="1701" w:type="dxa"/>
            <w:shd w:val="clear" w:color="auto" w:fill="auto"/>
          </w:tcPr>
          <w:p w14:paraId="747AB665" w14:textId="77777777" w:rsidR="00616641" w:rsidRPr="0049701B" w:rsidRDefault="00616641" w:rsidP="007E3239">
            <w:pPr>
              <w:pStyle w:val="TableText"/>
              <w:spacing w:before="40" w:after="40"/>
              <w:jc w:val="right"/>
              <w:rPr>
                <w:rFonts w:cs="Calibri"/>
                <w:szCs w:val="16"/>
              </w:rPr>
            </w:pPr>
            <w:r w:rsidRPr="0049701B">
              <w:t>3,092</w:t>
            </w:r>
          </w:p>
        </w:tc>
        <w:tc>
          <w:tcPr>
            <w:tcW w:w="1842" w:type="dxa"/>
            <w:shd w:val="clear" w:color="auto" w:fill="auto"/>
          </w:tcPr>
          <w:p w14:paraId="22B43DC0" w14:textId="77777777" w:rsidR="00616641" w:rsidRPr="0049701B" w:rsidRDefault="00616641" w:rsidP="007E3239">
            <w:pPr>
              <w:pStyle w:val="TableText"/>
              <w:spacing w:before="40" w:after="40"/>
              <w:jc w:val="right"/>
              <w:rPr>
                <w:rFonts w:cs="Calibri"/>
                <w:szCs w:val="16"/>
              </w:rPr>
            </w:pPr>
            <w:r w:rsidRPr="0049701B">
              <w:t>696,925</w:t>
            </w:r>
          </w:p>
        </w:tc>
      </w:tr>
      <w:tr w:rsidR="00616641" w:rsidRPr="0049701B" w14:paraId="0E58268B" w14:textId="77777777" w:rsidTr="007E3239">
        <w:tc>
          <w:tcPr>
            <w:tcW w:w="873" w:type="dxa"/>
            <w:shd w:val="clear" w:color="auto" w:fill="auto"/>
          </w:tcPr>
          <w:p w14:paraId="75951222" w14:textId="77777777" w:rsidR="00616641" w:rsidRPr="0049701B" w:rsidRDefault="00616641" w:rsidP="007E3239">
            <w:pPr>
              <w:pStyle w:val="Tableboldblue"/>
              <w:spacing w:before="40" w:after="40"/>
              <w:rPr>
                <w:rFonts w:cs="Calibri"/>
                <w:b w:val="0"/>
                <w:bCs/>
                <w:color w:val="auto"/>
                <w:szCs w:val="16"/>
              </w:rPr>
            </w:pPr>
            <w:r w:rsidRPr="0049701B">
              <w:rPr>
                <w:rFonts w:cs="Calibri"/>
                <w:b w:val="0"/>
                <w:bCs/>
                <w:color w:val="auto"/>
                <w:szCs w:val="16"/>
              </w:rPr>
              <w:t>2017</w:t>
            </w:r>
            <w:r w:rsidRPr="0049701B">
              <w:rPr>
                <w:rFonts w:cs="Calibri"/>
                <w:b w:val="0"/>
                <w:color w:val="auto"/>
                <w:szCs w:val="16"/>
                <w:vertAlign w:val="superscript"/>
              </w:rPr>
              <w:t>P</w:t>
            </w:r>
          </w:p>
        </w:tc>
        <w:tc>
          <w:tcPr>
            <w:tcW w:w="2503" w:type="dxa"/>
            <w:shd w:val="clear" w:color="auto" w:fill="auto"/>
          </w:tcPr>
          <w:p w14:paraId="72E5A972" w14:textId="77777777" w:rsidR="00616641" w:rsidRPr="0049701B" w:rsidRDefault="00616641" w:rsidP="007E3239">
            <w:pPr>
              <w:pStyle w:val="TableText"/>
              <w:spacing w:before="40" w:after="40"/>
              <w:jc w:val="right"/>
              <w:rPr>
                <w:rFonts w:cs="Calibri"/>
                <w:szCs w:val="16"/>
              </w:rPr>
            </w:pPr>
            <w:r w:rsidRPr="0049701B">
              <w:t>8,434</w:t>
            </w:r>
          </w:p>
        </w:tc>
        <w:tc>
          <w:tcPr>
            <w:tcW w:w="1586" w:type="dxa"/>
            <w:shd w:val="clear" w:color="auto" w:fill="auto"/>
          </w:tcPr>
          <w:p w14:paraId="6FA2676F" w14:textId="77777777" w:rsidR="00616641" w:rsidRPr="0049701B" w:rsidRDefault="00616641" w:rsidP="007E3239">
            <w:pPr>
              <w:pStyle w:val="TableText"/>
              <w:spacing w:before="40" w:after="40"/>
              <w:jc w:val="right"/>
              <w:rPr>
                <w:rFonts w:cs="Calibri"/>
                <w:szCs w:val="16"/>
              </w:rPr>
            </w:pPr>
            <w:r w:rsidRPr="0049701B">
              <w:t>4,537</w:t>
            </w:r>
          </w:p>
        </w:tc>
        <w:tc>
          <w:tcPr>
            <w:tcW w:w="1701" w:type="dxa"/>
            <w:shd w:val="clear" w:color="auto" w:fill="auto"/>
          </w:tcPr>
          <w:p w14:paraId="4466F241" w14:textId="77777777" w:rsidR="00616641" w:rsidRPr="0049701B" w:rsidRDefault="00616641" w:rsidP="007E3239">
            <w:pPr>
              <w:pStyle w:val="TableText"/>
              <w:spacing w:before="40" w:after="40"/>
              <w:jc w:val="right"/>
              <w:rPr>
                <w:rFonts w:cs="Calibri"/>
                <w:szCs w:val="16"/>
              </w:rPr>
            </w:pPr>
            <w:r w:rsidRPr="0049701B">
              <w:t>3,004</w:t>
            </w:r>
          </w:p>
        </w:tc>
        <w:tc>
          <w:tcPr>
            <w:tcW w:w="1842" w:type="dxa"/>
            <w:shd w:val="clear" w:color="auto" w:fill="auto"/>
          </w:tcPr>
          <w:p w14:paraId="3C6874DD" w14:textId="77777777" w:rsidR="00616641" w:rsidRPr="0049701B" w:rsidRDefault="00616641" w:rsidP="007E3239">
            <w:pPr>
              <w:pStyle w:val="TableText"/>
              <w:spacing w:before="40" w:after="40"/>
              <w:jc w:val="right"/>
              <w:rPr>
                <w:rFonts w:cs="Calibri"/>
                <w:szCs w:val="16"/>
              </w:rPr>
            </w:pPr>
            <w:r w:rsidRPr="0049701B">
              <w:t>702,355</w:t>
            </w:r>
          </w:p>
        </w:tc>
      </w:tr>
      <w:tr w:rsidR="00616641" w:rsidRPr="0049701B" w14:paraId="1A31DCA9" w14:textId="77777777" w:rsidTr="007E3239">
        <w:tc>
          <w:tcPr>
            <w:tcW w:w="873" w:type="dxa"/>
            <w:shd w:val="clear" w:color="auto" w:fill="auto"/>
          </w:tcPr>
          <w:p w14:paraId="66CB5752" w14:textId="77777777" w:rsidR="00616641" w:rsidRPr="0049701B" w:rsidRDefault="00616641" w:rsidP="007E3239">
            <w:pPr>
              <w:pStyle w:val="Tableboldblue"/>
              <w:spacing w:before="40" w:after="40"/>
              <w:rPr>
                <w:rFonts w:cs="Calibri"/>
                <w:b w:val="0"/>
                <w:bCs/>
                <w:color w:val="auto"/>
                <w:szCs w:val="16"/>
              </w:rPr>
            </w:pPr>
            <w:r w:rsidRPr="0049701B">
              <w:rPr>
                <w:rFonts w:cs="Calibri"/>
                <w:b w:val="0"/>
                <w:bCs/>
                <w:color w:val="auto"/>
                <w:szCs w:val="16"/>
              </w:rPr>
              <w:t>2018</w:t>
            </w:r>
            <w:r w:rsidRPr="0049701B">
              <w:rPr>
                <w:rFonts w:cs="Calibri"/>
                <w:b w:val="0"/>
                <w:bCs/>
                <w:color w:val="auto"/>
                <w:szCs w:val="16"/>
                <w:vertAlign w:val="superscript"/>
              </w:rPr>
              <w:t>P</w:t>
            </w:r>
          </w:p>
        </w:tc>
        <w:tc>
          <w:tcPr>
            <w:tcW w:w="2503" w:type="dxa"/>
            <w:shd w:val="clear" w:color="auto" w:fill="auto"/>
          </w:tcPr>
          <w:p w14:paraId="21E1C0CE" w14:textId="77777777" w:rsidR="00616641" w:rsidRPr="0049701B" w:rsidRDefault="00616641" w:rsidP="007E3239">
            <w:pPr>
              <w:pStyle w:val="TableText"/>
              <w:spacing w:before="40" w:after="40"/>
              <w:jc w:val="right"/>
              <w:rPr>
                <w:rFonts w:cs="Calibri"/>
                <w:szCs w:val="16"/>
              </w:rPr>
            </w:pPr>
            <w:r w:rsidRPr="0049701B">
              <w:t>8,779</w:t>
            </w:r>
          </w:p>
        </w:tc>
        <w:tc>
          <w:tcPr>
            <w:tcW w:w="1586" w:type="dxa"/>
            <w:shd w:val="clear" w:color="auto" w:fill="auto"/>
          </w:tcPr>
          <w:p w14:paraId="6CAE5468" w14:textId="77777777" w:rsidR="00616641" w:rsidRPr="0049701B" w:rsidRDefault="00616641" w:rsidP="007E3239">
            <w:pPr>
              <w:pStyle w:val="TableText"/>
              <w:spacing w:before="40" w:after="40"/>
              <w:jc w:val="right"/>
              <w:rPr>
                <w:rFonts w:cs="Calibri"/>
                <w:szCs w:val="16"/>
              </w:rPr>
            </w:pPr>
            <w:r w:rsidRPr="0049701B">
              <w:t>9,487</w:t>
            </w:r>
          </w:p>
        </w:tc>
        <w:tc>
          <w:tcPr>
            <w:tcW w:w="1701" w:type="dxa"/>
            <w:shd w:val="clear" w:color="auto" w:fill="auto"/>
          </w:tcPr>
          <w:p w14:paraId="76E9151C" w14:textId="77777777" w:rsidR="00616641" w:rsidRPr="0049701B" w:rsidRDefault="00616641" w:rsidP="007E3239">
            <w:pPr>
              <w:pStyle w:val="TableText"/>
              <w:spacing w:before="40" w:after="40"/>
              <w:jc w:val="right"/>
              <w:rPr>
                <w:rFonts w:cs="Calibri"/>
                <w:szCs w:val="16"/>
              </w:rPr>
            </w:pPr>
            <w:r w:rsidRPr="0049701B">
              <w:t>1,295</w:t>
            </w:r>
          </w:p>
        </w:tc>
        <w:tc>
          <w:tcPr>
            <w:tcW w:w="1842" w:type="dxa"/>
            <w:shd w:val="clear" w:color="auto" w:fill="auto"/>
          </w:tcPr>
          <w:p w14:paraId="66DBD2C6" w14:textId="77777777" w:rsidR="00616641" w:rsidRPr="0049701B" w:rsidRDefault="00616641" w:rsidP="007E3239">
            <w:pPr>
              <w:pStyle w:val="TableText"/>
              <w:spacing w:before="40" w:after="40"/>
              <w:jc w:val="right"/>
              <w:rPr>
                <w:rFonts w:cs="Calibri"/>
                <w:szCs w:val="16"/>
              </w:rPr>
            </w:pPr>
            <w:r w:rsidRPr="0049701B">
              <w:t>709,838</w:t>
            </w:r>
          </w:p>
        </w:tc>
      </w:tr>
      <w:tr w:rsidR="00616641" w:rsidRPr="0049701B" w14:paraId="52CD5CEC" w14:textId="77777777" w:rsidTr="007E3239">
        <w:tc>
          <w:tcPr>
            <w:tcW w:w="873" w:type="dxa"/>
            <w:shd w:val="clear" w:color="auto" w:fill="auto"/>
          </w:tcPr>
          <w:p w14:paraId="05EAF400" w14:textId="77777777" w:rsidR="00616641" w:rsidRPr="0049701B" w:rsidRDefault="00616641" w:rsidP="007E3239">
            <w:pPr>
              <w:pStyle w:val="Tableboldblue"/>
              <w:spacing w:before="40" w:after="40"/>
              <w:rPr>
                <w:rFonts w:cs="Calibri"/>
                <w:b w:val="0"/>
                <w:bCs/>
                <w:color w:val="auto"/>
                <w:szCs w:val="16"/>
              </w:rPr>
            </w:pPr>
            <w:r w:rsidRPr="0049701B">
              <w:rPr>
                <w:rFonts w:cs="Calibri"/>
                <w:b w:val="0"/>
                <w:bCs/>
                <w:color w:val="auto"/>
                <w:szCs w:val="16"/>
              </w:rPr>
              <w:t>2019</w:t>
            </w:r>
            <w:r w:rsidRPr="0049701B">
              <w:rPr>
                <w:rFonts w:cs="Calibri"/>
                <w:b w:val="0"/>
                <w:bCs/>
                <w:color w:val="auto"/>
                <w:szCs w:val="16"/>
                <w:vertAlign w:val="superscript"/>
              </w:rPr>
              <w:t>P</w:t>
            </w:r>
          </w:p>
        </w:tc>
        <w:tc>
          <w:tcPr>
            <w:tcW w:w="2503" w:type="dxa"/>
            <w:shd w:val="clear" w:color="auto" w:fill="auto"/>
          </w:tcPr>
          <w:p w14:paraId="219F44BF" w14:textId="77777777" w:rsidR="00616641" w:rsidRPr="0049701B" w:rsidRDefault="00616641" w:rsidP="007E3239">
            <w:pPr>
              <w:pStyle w:val="TableText"/>
              <w:spacing w:before="40" w:after="40"/>
              <w:jc w:val="right"/>
              <w:rPr>
                <w:rFonts w:cs="Calibri"/>
                <w:color w:val="000000"/>
                <w:szCs w:val="16"/>
              </w:rPr>
            </w:pPr>
            <w:r w:rsidRPr="0049701B">
              <w:t>27,070</w:t>
            </w:r>
          </w:p>
        </w:tc>
        <w:tc>
          <w:tcPr>
            <w:tcW w:w="1586" w:type="dxa"/>
            <w:shd w:val="clear" w:color="auto" w:fill="auto"/>
          </w:tcPr>
          <w:p w14:paraId="761D1552" w14:textId="77777777" w:rsidR="00616641" w:rsidRPr="0049701B" w:rsidRDefault="00616641" w:rsidP="007E3239">
            <w:pPr>
              <w:pStyle w:val="TableText"/>
              <w:spacing w:before="40" w:after="40"/>
              <w:jc w:val="right"/>
              <w:rPr>
                <w:rFonts w:cs="Calibri"/>
                <w:color w:val="000000"/>
                <w:szCs w:val="16"/>
              </w:rPr>
            </w:pPr>
            <w:r w:rsidRPr="0049701B">
              <w:t>11,214</w:t>
            </w:r>
          </w:p>
        </w:tc>
        <w:tc>
          <w:tcPr>
            <w:tcW w:w="1701" w:type="dxa"/>
            <w:shd w:val="clear" w:color="auto" w:fill="auto"/>
          </w:tcPr>
          <w:p w14:paraId="54C7E4FF" w14:textId="77777777" w:rsidR="00616641" w:rsidRPr="0049701B" w:rsidRDefault="00616641" w:rsidP="007E3239">
            <w:pPr>
              <w:pStyle w:val="TableText"/>
              <w:spacing w:before="40" w:after="40"/>
              <w:jc w:val="right"/>
              <w:rPr>
                <w:rFonts w:cs="Calibri"/>
                <w:color w:val="000000"/>
                <w:szCs w:val="16"/>
              </w:rPr>
            </w:pPr>
            <w:r w:rsidRPr="0049701B">
              <w:t>1,669</w:t>
            </w:r>
          </w:p>
        </w:tc>
        <w:tc>
          <w:tcPr>
            <w:tcW w:w="1842" w:type="dxa"/>
            <w:shd w:val="clear" w:color="auto" w:fill="auto"/>
          </w:tcPr>
          <w:p w14:paraId="13A8EE5F" w14:textId="77777777" w:rsidR="00616641" w:rsidRPr="0049701B" w:rsidRDefault="00616641" w:rsidP="007E3239">
            <w:pPr>
              <w:pStyle w:val="TableText"/>
              <w:spacing w:before="40" w:after="40"/>
              <w:jc w:val="right"/>
              <w:rPr>
                <w:rFonts w:cs="Calibri"/>
                <w:color w:val="000000"/>
                <w:szCs w:val="16"/>
              </w:rPr>
            </w:pPr>
            <w:r w:rsidRPr="0049701B">
              <w:t>735,240</w:t>
            </w:r>
          </w:p>
        </w:tc>
      </w:tr>
      <w:tr w:rsidR="00616641" w:rsidRPr="0049701B" w14:paraId="1061BB44" w14:textId="77777777" w:rsidTr="007E3239">
        <w:tc>
          <w:tcPr>
            <w:tcW w:w="873" w:type="dxa"/>
            <w:shd w:val="clear" w:color="auto" w:fill="auto"/>
          </w:tcPr>
          <w:p w14:paraId="2B729C3B" w14:textId="77777777" w:rsidR="00616641" w:rsidRPr="0049701B" w:rsidRDefault="00616641" w:rsidP="007E3239">
            <w:pPr>
              <w:pStyle w:val="Tableboldblue"/>
              <w:spacing w:before="40" w:after="40"/>
              <w:rPr>
                <w:rFonts w:cs="Calibri"/>
                <w:b w:val="0"/>
                <w:bCs/>
                <w:color w:val="auto"/>
                <w:szCs w:val="16"/>
              </w:rPr>
            </w:pPr>
            <w:r w:rsidRPr="0049701B">
              <w:rPr>
                <w:rFonts w:cs="Calibri"/>
                <w:b w:val="0"/>
                <w:bCs/>
                <w:color w:val="auto"/>
                <w:szCs w:val="16"/>
              </w:rPr>
              <w:t>2020</w:t>
            </w:r>
            <w:r w:rsidRPr="0049701B">
              <w:rPr>
                <w:rFonts w:cs="Calibri"/>
                <w:b w:val="0"/>
                <w:bCs/>
                <w:color w:val="auto"/>
                <w:szCs w:val="16"/>
                <w:vertAlign w:val="superscript"/>
              </w:rPr>
              <w:t>P</w:t>
            </w:r>
          </w:p>
        </w:tc>
        <w:tc>
          <w:tcPr>
            <w:tcW w:w="2503" w:type="dxa"/>
            <w:shd w:val="clear" w:color="auto" w:fill="auto"/>
          </w:tcPr>
          <w:p w14:paraId="66E05CBF" w14:textId="77777777" w:rsidR="00616641" w:rsidRPr="0049701B" w:rsidRDefault="00616641" w:rsidP="007E3239">
            <w:pPr>
              <w:pStyle w:val="TableText"/>
              <w:spacing w:before="40" w:after="40"/>
              <w:jc w:val="right"/>
            </w:pPr>
            <w:r w:rsidRPr="0049701B">
              <w:t>40,887</w:t>
            </w:r>
          </w:p>
        </w:tc>
        <w:tc>
          <w:tcPr>
            <w:tcW w:w="1586" w:type="dxa"/>
            <w:shd w:val="clear" w:color="auto" w:fill="auto"/>
          </w:tcPr>
          <w:p w14:paraId="4852F902" w14:textId="77777777" w:rsidR="00616641" w:rsidRPr="0049701B" w:rsidRDefault="00616641" w:rsidP="007E3239">
            <w:pPr>
              <w:pStyle w:val="TableText"/>
              <w:spacing w:before="40" w:after="40"/>
              <w:jc w:val="right"/>
            </w:pPr>
            <w:r w:rsidRPr="0049701B">
              <w:t>14,525</w:t>
            </w:r>
          </w:p>
        </w:tc>
        <w:tc>
          <w:tcPr>
            <w:tcW w:w="1701" w:type="dxa"/>
            <w:shd w:val="clear" w:color="auto" w:fill="auto"/>
          </w:tcPr>
          <w:p w14:paraId="3227919A" w14:textId="77777777" w:rsidR="00616641" w:rsidRPr="0049701B" w:rsidRDefault="00616641" w:rsidP="007E3239">
            <w:pPr>
              <w:pStyle w:val="TableText"/>
              <w:spacing w:before="40" w:after="40"/>
              <w:jc w:val="right"/>
            </w:pPr>
            <w:r w:rsidRPr="0049701B">
              <w:t>741</w:t>
            </w:r>
          </w:p>
        </w:tc>
        <w:tc>
          <w:tcPr>
            <w:tcW w:w="1842" w:type="dxa"/>
            <w:shd w:val="clear" w:color="auto" w:fill="auto"/>
          </w:tcPr>
          <w:p w14:paraId="33098C8D" w14:textId="77777777" w:rsidR="00616641" w:rsidRPr="0049701B" w:rsidRDefault="00616641" w:rsidP="007E3239">
            <w:pPr>
              <w:pStyle w:val="TableText"/>
              <w:spacing w:before="40" w:after="40"/>
              <w:jc w:val="right"/>
            </w:pPr>
            <w:r w:rsidRPr="0049701B">
              <w:t>775,385</w:t>
            </w:r>
          </w:p>
        </w:tc>
      </w:tr>
      <w:tr w:rsidR="00616641" w:rsidRPr="0049701B" w14:paraId="605B8F81" w14:textId="77777777" w:rsidTr="007E3239">
        <w:tc>
          <w:tcPr>
            <w:tcW w:w="873" w:type="dxa"/>
            <w:shd w:val="clear" w:color="auto" w:fill="auto"/>
          </w:tcPr>
          <w:p w14:paraId="1059E278" w14:textId="77777777" w:rsidR="00616641" w:rsidRPr="0049701B" w:rsidRDefault="00616641" w:rsidP="007E3239">
            <w:pPr>
              <w:pStyle w:val="Tableboldblue"/>
              <w:spacing w:before="40" w:after="40"/>
              <w:rPr>
                <w:rFonts w:cs="Calibri"/>
                <w:bCs/>
                <w:szCs w:val="16"/>
              </w:rPr>
            </w:pPr>
            <w:r w:rsidRPr="0049701B">
              <w:rPr>
                <w:rFonts w:cs="Calibri"/>
                <w:bCs/>
                <w:szCs w:val="16"/>
              </w:rPr>
              <w:t>Total</w:t>
            </w:r>
          </w:p>
        </w:tc>
        <w:tc>
          <w:tcPr>
            <w:tcW w:w="2503" w:type="dxa"/>
            <w:shd w:val="clear" w:color="auto" w:fill="auto"/>
          </w:tcPr>
          <w:p w14:paraId="6351C300" w14:textId="77777777" w:rsidR="00616641" w:rsidRPr="0049701B" w:rsidRDefault="00616641" w:rsidP="007E3239">
            <w:pPr>
              <w:pStyle w:val="Tableboldblue"/>
              <w:spacing w:before="40" w:after="40"/>
              <w:jc w:val="right"/>
            </w:pPr>
            <w:r w:rsidRPr="0049701B">
              <w:t>814,354</w:t>
            </w:r>
          </w:p>
        </w:tc>
        <w:tc>
          <w:tcPr>
            <w:tcW w:w="1586" w:type="dxa"/>
            <w:shd w:val="clear" w:color="auto" w:fill="auto"/>
          </w:tcPr>
          <w:p w14:paraId="52B2B3AF" w14:textId="77777777" w:rsidR="00616641" w:rsidRPr="0049701B" w:rsidRDefault="00616641" w:rsidP="007E3239">
            <w:pPr>
              <w:pStyle w:val="Tableboldblue"/>
              <w:spacing w:before="40" w:after="40"/>
              <w:jc w:val="right"/>
            </w:pPr>
            <w:r w:rsidRPr="0049701B">
              <w:t>61,743</w:t>
            </w:r>
          </w:p>
        </w:tc>
        <w:tc>
          <w:tcPr>
            <w:tcW w:w="1701" w:type="dxa"/>
            <w:shd w:val="clear" w:color="auto" w:fill="auto"/>
          </w:tcPr>
          <w:p w14:paraId="2CA434DD" w14:textId="77777777" w:rsidR="00616641" w:rsidRPr="0049701B" w:rsidRDefault="00616641" w:rsidP="007E3239">
            <w:pPr>
              <w:pStyle w:val="Tableboldblue"/>
              <w:spacing w:before="40" w:after="40"/>
              <w:jc w:val="right"/>
            </w:pPr>
            <w:r w:rsidRPr="0049701B">
              <w:t>38,969</w:t>
            </w:r>
          </w:p>
        </w:tc>
        <w:tc>
          <w:tcPr>
            <w:tcW w:w="1842" w:type="dxa"/>
            <w:shd w:val="clear" w:color="auto" w:fill="auto"/>
          </w:tcPr>
          <w:p w14:paraId="328CD887" w14:textId="77777777" w:rsidR="00616641" w:rsidRPr="0049701B" w:rsidRDefault="00616641" w:rsidP="007E3239">
            <w:pPr>
              <w:pStyle w:val="Tableboldblue"/>
              <w:spacing w:before="40" w:after="40"/>
              <w:jc w:val="right"/>
            </w:pPr>
            <w:r w:rsidRPr="0049701B">
              <w:t>775,385</w:t>
            </w:r>
          </w:p>
        </w:tc>
      </w:tr>
    </w:tbl>
    <w:p w14:paraId="339D2740" w14:textId="77777777" w:rsidR="00616641" w:rsidRPr="0049701B" w:rsidRDefault="00616641" w:rsidP="00616641">
      <w:pPr>
        <w:pStyle w:val="Noteundertable"/>
      </w:pPr>
      <w:r w:rsidRPr="0049701B">
        <w:rPr>
          <w:b/>
        </w:rPr>
        <w:t>Note</w:t>
      </w:r>
      <w:r w:rsidRPr="0049701B">
        <w:t xml:space="preserve">: </w:t>
      </w:r>
      <w:r w:rsidRPr="0049701B">
        <w:tab/>
        <w:t>P = provisional figure;</w:t>
      </w:r>
      <w:r w:rsidRPr="0049701B" w:rsidDel="0054499F">
        <w:t xml:space="preserve"> </w:t>
      </w:r>
      <w:r w:rsidRPr="0049701B">
        <w:rPr>
          <w:vertAlign w:val="superscript"/>
        </w:rPr>
        <w:t>+</w:t>
      </w:r>
      <w:r w:rsidRPr="0049701B">
        <w:t xml:space="preserve"> = gross area. Columns may not total due to rounding. Afforestation differs from that in chapter 6 due to carbon equivalent forests being reported separately.</w:t>
      </w:r>
    </w:p>
    <w:p w14:paraId="2EF77E7E" w14:textId="77777777" w:rsidR="00616641" w:rsidRPr="0049701B" w:rsidRDefault="00616641" w:rsidP="00616641">
      <w:pPr>
        <w:pStyle w:val="BodyText"/>
        <w:rPr>
          <w:spacing w:val="-2"/>
        </w:rPr>
      </w:pPr>
      <w:r w:rsidRPr="0049701B">
        <w:rPr>
          <w:spacing w:val="-2"/>
        </w:rPr>
        <w:lastRenderedPageBreak/>
        <w:t xml:space="preserve">Table 11.3.2 provides synthesised information on the correspondence between forest land categories (i.e., the area of planted forest versus natural forest as presented in common reporting format (CRF) table 4.A) and the area of </w:t>
      </w:r>
      <w:r w:rsidRPr="0049701B">
        <w:rPr>
          <w:i/>
          <w:spacing w:val="-2"/>
        </w:rPr>
        <w:t>Afforestation and reforestation</w:t>
      </w:r>
      <w:r w:rsidRPr="0049701B">
        <w:rPr>
          <w:spacing w:val="-2"/>
        </w:rPr>
        <w:t xml:space="preserve"> reported in CRF table 4(KP-1)A.1. Furthermore, table 11.3.3 details why the area reported under </w:t>
      </w:r>
      <w:r w:rsidRPr="0049701B">
        <w:rPr>
          <w:i/>
          <w:spacing w:val="-2"/>
        </w:rPr>
        <w:t>Forest managem</w:t>
      </w:r>
      <w:r w:rsidRPr="0049701B">
        <w:rPr>
          <w:i/>
          <w:iCs/>
          <w:spacing w:val="-2"/>
        </w:rPr>
        <w:t>ent</w:t>
      </w:r>
      <w:r w:rsidRPr="0049701B">
        <w:rPr>
          <w:spacing w:val="-2"/>
        </w:rPr>
        <w:t xml:space="preserve"> does not reconcile with the area reported for </w:t>
      </w:r>
      <w:r w:rsidRPr="0049701B">
        <w:rPr>
          <w:i/>
          <w:spacing w:val="-2"/>
        </w:rPr>
        <w:t>Forest land remaining</w:t>
      </w:r>
      <w:r w:rsidRPr="0049701B">
        <w:rPr>
          <w:spacing w:val="-2"/>
        </w:rPr>
        <w:t xml:space="preserve"> </w:t>
      </w:r>
      <w:r w:rsidRPr="0049701B">
        <w:rPr>
          <w:i/>
          <w:spacing w:val="-2"/>
        </w:rPr>
        <w:t>forest land</w:t>
      </w:r>
      <w:r w:rsidRPr="0049701B">
        <w:rPr>
          <w:spacing w:val="-2"/>
        </w:rPr>
        <w:t xml:space="preserve"> under the Convention. This is due to forests reported under land in transition and carbon equivalent forests (CEFs). These tables have been added to address expert review team recommendations KL.5 and KL.8 (FCCC/ARR/2017/NZL, UNFCCC, 2018).</w:t>
      </w:r>
    </w:p>
    <w:p w14:paraId="67BC831C" w14:textId="77777777" w:rsidR="00616641" w:rsidRPr="0049701B" w:rsidRDefault="00616641" w:rsidP="00616641">
      <w:pPr>
        <w:pStyle w:val="Table"/>
      </w:pPr>
      <w:bookmarkStart w:id="2809" w:name="_Toc5269629"/>
      <w:bookmarkStart w:id="2810" w:name="_Toc36224711"/>
      <w:bookmarkStart w:id="2811" w:name="_Toc64987046"/>
      <w:bookmarkStart w:id="2812" w:name="_Toc68786596"/>
      <w:bookmarkStart w:id="2813" w:name="_Toc95321538"/>
      <w:bookmarkStart w:id="2814" w:name="_Toc99659390"/>
      <w:r w:rsidRPr="0049701B">
        <w:t>Table 11.3.2</w:t>
      </w:r>
      <w:r w:rsidRPr="0049701B">
        <w:tab/>
        <w:t xml:space="preserve">New Zealand’s estimated annual area under </w:t>
      </w:r>
      <w:r w:rsidRPr="0049701B">
        <w:rPr>
          <w:i/>
          <w:iCs/>
        </w:rPr>
        <w:t>Afforestation and reforestation</w:t>
      </w:r>
      <w:r w:rsidRPr="0049701B">
        <w:rPr>
          <w:vertAlign w:val="subscript"/>
        </w:rPr>
        <w:t xml:space="preserve"> </w:t>
      </w:r>
      <w:r w:rsidRPr="0049701B">
        <w:t xml:space="preserve">from 2013 to </w:t>
      </w:r>
      <w:bookmarkEnd w:id="2809"/>
      <w:bookmarkEnd w:id="2810"/>
      <w:bookmarkEnd w:id="2811"/>
      <w:bookmarkEnd w:id="2812"/>
      <w:r w:rsidRPr="0049701B">
        <w:t>2020</w:t>
      </w:r>
      <w:bookmarkEnd w:id="2813"/>
      <w:bookmarkEnd w:id="2814"/>
    </w:p>
    <w:tbl>
      <w:tblPr>
        <w:tblW w:w="8505" w:type="dxa"/>
        <w:tblInd w:w="113"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1254"/>
        <w:gridCol w:w="2113"/>
        <w:gridCol w:w="2112"/>
        <w:gridCol w:w="3026"/>
      </w:tblGrid>
      <w:tr w:rsidR="00616641" w:rsidRPr="0049701B" w14:paraId="572A7FF5" w14:textId="77777777" w:rsidTr="007E3239">
        <w:tc>
          <w:tcPr>
            <w:tcW w:w="8505" w:type="dxa"/>
            <w:gridSpan w:val="4"/>
            <w:shd w:val="clear" w:color="000000" w:fill="1B556B"/>
            <w:vAlign w:val="bottom"/>
            <w:hideMark/>
          </w:tcPr>
          <w:p w14:paraId="45FEB31F" w14:textId="77777777" w:rsidR="00616641" w:rsidRPr="0049701B" w:rsidRDefault="00616641" w:rsidP="007E3239">
            <w:pPr>
              <w:pStyle w:val="TableTextBold"/>
              <w:spacing w:after="0"/>
              <w:jc w:val="center"/>
              <w:rPr>
                <w:noProof w:val="0"/>
                <w:color w:val="FFFFFF"/>
              </w:rPr>
            </w:pPr>
            <w:r w:rsidRPr="0049701B">
              <w:rPr>
                <w:noProof w:val="0"/>
                <w:color w:val="FFFFFF"/>
              </w:rPr>
              <w:t xml:space="preserve">Cumulative area of </w:t>
            </w:r>
            <w:r w:rsidRPr="0049701B">
              <w:rPr>
                <w:i/>
                <w:iCs/>
                <w:noProof w:val="0"/>
                <w:color w:val="FFFFFF"/>
              </w:rPr>
              <w:t>Afforestation and reforestation</w:t>
            </w:r>
            <w:r w:rsidRPr="0049701B">
              <w:rPr>
                <w:noProof w:val="0"/>
                <w:color w:val="FFFFFF"/>
              </w:rPr>
              <w:t xml:space="preserve"> of different forest types (ha)</w:t>
            </w:r>
          </w:p>
        </w:tc>
      </w:tr>
      <w:tr w:rsidR="00616641" w:rsidRPr="0049701B" w14:paraId="591FC4D2" w14:textId="77777777" w:rsidTr="007E3239">
        <w:tc>
          <w:tcPr>
            <w:tcW w:w="1254" w:type="dxa"/>
            <w:shd w:val="clear" w:color="000000" w:fill="1B556B"/>
            <w:hideMark/>
          </w:tcPr>
          <w:p w14:paraId="147BAFBA" w14:textId="77777777" w:rsidR="00616641" w:rsidRPr="0049701B" w:rsidRDefault="00616641" w:rsidP="007E3239">
            <w:pPr>
              <w:pStyle w:val="TableTextBold"/>
              <w:keepNext/>
              <w:spacing w:before="50" w:after="50"/>
              <w:rPr>
                <w:noProof w:val="0"/>
                <w:color w:val="FFFFFF"/>
              </w:rPr>
            </w:pPr>
            <w:r w:rsidRPr="0049701B">
              <w:rPr>
                <w:noProof w:val="0"/>
                <w:color w:val="FFFFFF"/>
              </w:rPr>
              <w:t>Year</w:t>
            </w:r>
          </w:p>
        </w:tc>
        <w:tc>
          <w:tcPr>
            <w:tcW w:w="2113" w:type="dxa"/>
            <w:shd w:val="clear" w:color="000000" w:fill="1B556B"/>
            <w:hideMark/>
          </w:tcPr>
          <w:p w14:paraId="68111E40" w14:textId="77777777" w:rsidR="00616641" w:rsidRPr="0049701B" w:rsidRDefault="00616641" w:rsidP="007E3239">
            <w:pPr>
              <w:pStyle w:val="TableTextBold"/>
              <w:keepNext/>
              <w:spacing w:before="50" w:after="50"/>
              <w:jc w:val="center"/>
              <w:rPr>
                <w:noProof w:val="0"/>
                <w:color w:val="FFFFFF"/>
              </w:rPr>
            </w:pPr>
            <w:r w:rsidRPr="0049701B">
              <w:rPr>
                <w:noProof w:val="0"/>
                <w:color w:val="FFFFFF"/>
              </w:rPr>
              <w:t>Planted forest</w:t>
            </w:r>
          </w:p>
        </w:tc>
        <w:tc>
          <w:tcPr>
            <w:tcW w:w="2112" w:type="dxa"/>
            <w:shd w:val="clear" w:color="000000" w:fill="1B556B"/>
            <w:hideMark/>
          </w:tcPr>
          <w:p w14:paraId="73C2797A" w14:textId="77777777" w:rsidR="00616641" w:rsidRPr="0049701B" w:rsidRDefault="00616641" w:rsidP="007E3239">
            <w:pPr>
              <w:pStyle w:val="TableTextBold"/>
              <w:keepNext/>
              <w:spacing w:before="50" w:after="50"/>
              <w:jc w:val="center"/>
              <w:rPr>
                <w:noProof w:val="0"/>
                <w:color w:val="FFFFFF"/>
              </w:rPr>
            </w:pPr>
            <w:r w:rsidRPr="0049701B">
              <w:rPr>
                <w:noProof w:val="0"/>
                <w:color w:val="FFFFFF"/>
              </w:rPr>
              <w:t>Natural forest</w:t>
            </w:r>
          </w:p>
        </w:tc>
        <w:tc>
          <w:tcPr>
            <w:tcW w:w="3026" w:type="dxa"/>
            <w:shd w:val="clear" w:color="000000" w:fill="1B556B"/>
            <w:hideMark/>
          </w:tcPr>
          <w:p w14:paraId="06BB43AC" w14:textId="77777777" w:rsidR="00616641" w:rsidRPr="0049701B" w:rsidRDefault="00616641" w:rsidP="007E3239">
            <w:pPr>
              <w:pStyle w:val="TableTextBold"/>
              <w:keepNext/>
              <w:spacing w:before="50" w:after="50"/>
              <w:jc w:val="center"/>
              <w:rPr>
                <w:noProof w:val="0"/>
                <w:color w:val="FFFFFF"/>
              </w:rPr>
            </w:pPr>
            <w:r w:rsidRPr="0049701B">
              <w:rPr>
                <w:noProof w:val="0"/>
                <w:color w:val="FFFFFF"/>
              </w:rPr>
              <w:t>Net cumulative area</w:t>
            </w:r>
          </w:p>
        </w:tc>
      </w:tr>
      <w:tr w:rsidR="00616641" w:rsidRPr="0049701B" w14:paraId="69C2B9E7" w14:textId="77777777" w:rsidTr="007E3239">
        <w:tc>
          <w:tcPr>
            <w:tcW w:w="1254" w:type="dxa"/>
            <w:shd w:val="clear" w:color="auto" w:fill="auto"/>
            <w:vAlign w:val="center"/>
            <w:hideMark/>
          </w:tcPr>
          <w:p w14:paraId="32CE93FE" w14:textId="77777777" w:rsidR="00616641" w:rsidRPr="0049701B" w:rsidRDefault="00616641" w:rsidP="007E3239">
            <w:pPr>
              <w:pStyle w:val="TableText"/>
              <w:spacing w:before="50" w:after="50"/>
            </w:pPr>
            <w:r w:rsidRPr="0049701B">
              <w:rPr>
                <w:rFonts w:cs="Arial"/>
                <w:szCs w:val="16"/>
              </w:rPr>
              <w:t>2013</w:t>
            </w:r>
          </w:p>
        </w:tc>
        <w:tc>
          <w:tcPr>
            <w:tcW w:w="2113" w:type="dxa"/>
            <w:shd w:val="clear" w:color="auto" w:fill="auto"/>
            <w:hideMark/>
          </w:tcPr>
          <w:p w14:paraId="3A1039BC" w14:textId="77777777" w:rsidR="00616641" w:rsidRPr="0049701B" w:rsidRDefault="00616641" w:rsidP="007E3239">
            <w:pPr>
              <w:pStyle w:val="TableText"/>
              <w:spacing w:before="50" w:after="50"/>
              <w:jc w:val="center"/>
            </w:pPr>
            <w:r w:rsidRPr="0049701B">
              <w:t>616,127</w:t>
            </w:r>
          </w:p>
        </w:tc>
        <w:tc>
          <w:tcPr>
            <w:tcW w:w="2112" w:type="dxa"/>
            <w:shd w:val="clear" w:color="auto" w:fill="auto"/>
            <w:hideMark/>
          </w:tcPr>
          <w:p w14:paraId="1B83BF8F" w14:textId="77777777" w:rsidR="00616641" w:rsidRPr="0049701B" w:rsidRDefault="00616641" w:rsidP="007E3239">
            <w:pPr>
              <w:pStyle w:val="TableText"/>
              <w:spacing w:before="50" w:after="50"/>
              <w:jc w:val="center"/>
            </w:pPr>
            <w:r w:rsidRPr="0049701B">
              <w:t>71,734</w:t>
            </w:r>
          </w:p>
        </w:tc>
        <w:tc>
          <w:tcPr>
            <w:tcW w:w="3026" w:type="dxa"/>
            <w:shd w:val="clear" w:color="auto" w:fill="auto"/>
            <w:hideMark/>
          </w:tcPr>
          <w:p w14:paraId="285897C2" w14:textId="77777777" w:rsidR="00616641" w:rsidRPr="0049701B" w:rsidRDefault="00616641" w:rsidP="007E3239">
            <w:pPr>
              <w:pStyle w:val="TableTextBold"/>
              <w:jc w:val="center"/>
              <w:rPr>
                <w:noProof w:val="0"/>
              </w:rPr>
            </w:pPr>
            <w:r w:rsidRPr="0049701B">
              <w:rPr>
                <w:noProof w:val="0"/>
              </w:rPr>
              <w:t>687,861</w:t>
            </w:r>
          </w:p>
        </w:tc>
      </w:tr>
      <w:tr w:rsidR="00616641" w:rsidRPr="0049701B" w14:paraId="18280286" w14:textId="77777777" w:rsidTr="007E3239">
        <w:tc>
          <w:tcPr>
            <w:tcW w:w="1254" w:type="dxa"/>
            <w:shd w:val="clear" w:color="auto" w:fill="auto"/>
            <w:vAlign w:val="center"/>
            <w:hideMark/>
          </w:tcPr>
          <w:p w14:paraId="6E62B73F" w14:textId="77777777" w:rsidR="00616641" w:rsidRPr="0049701B" w:rsidRDefault="00616641" w:rsidP="007E3239">
            <w:pPr>
              <w:pStyle w:val="TableText"/>
              <w:spacing w:before="50" w:after="50"/>
            </w:pPr>
            <w:r w:rsidRPr="0049701B">
              <w:rPr>
                <w:rFonts w:cs="Arial"/>
                <w:szCs w:val="16"/>
              </w:rPr>
              <w:t>2014</w:t>
            </w:r>
          </w:p>
        </w:tc>
        <w:tc>
          <w:tcPr>
            <w:tcW w:w="2113" w:type="dxa"/>
            <w:shd w:val="clear" w:color="auto" w:fill="auto"/>
            <w:hideMark/>
          </w:tcPr>
          <w:p w14:paraId="5C1CCE0B" w14:textId="77777777" w:rsidR="00616641" w:rsidRPr="0049701B" w:rsidRDefault="00616641" w:rsidP="007E3239">
            <w:pPr>
              <w:pStyle w:val="TableText"/>
              <w:spacing w:before="50" w:after="50"/>
              <w:jc w:val="center"/>
            </w:pPr>
            <w:r w:rsidRPr="0049701B">
              <w:t>617,091</w:t>
            </w:r>
          </w:p>
        </w:tc>
        <w:tc>
          <w:tcPr>
            <w:tcW w:w="2112" w:type="dxa"/>
            <w:shd w:val="clear" w:color="auto" w:fill="auto"/>
            <w:hideMark/>
          </w:tcPr>
          <w:p w14:paraId="58195409" w14:textId="77777777" w:rsidR="00616641" w:rsidRPr="0049701B" w:rsidRDefault="00616641" w:rsidP="007E3239">
            <w:pPr>
              <w:pStyle w:val="TableText"/>
              <w:spacing w:before="50" w:after="50"/>
              <w:jc w:val="center"/>
            </w:pPr>
            <w:r w:rsidRPr="0049701B">
              <w:t>73,729</w:t>
            </w:r>
          </w:p>
        </w:tc>
        <w:tc>
          <w:tcPr>
            <w:tcW w:w="3026" w:type="dxa"/>
            <w:shd w:val="clear" w:color="auto" w:fill="auto"/>
            <w:hideMark/>
          </w:tcPr>
          <w:p w14:paraId="5EB9C784" w14:textId="77777777" w:rsidR="00616641" w:rsidRPr="0049701B" w:rsidRDefault="00616641" w:rsidP="007E3239">
            <w:pPr>
              <w:pStyle w:val="TableTextBold"/>
              <w:jc w:val="center"/>
              <w:rPr>
                <w:noProof w:val="0"/>
              </w:rPr>
            </w:pPr>
            <w:r w:rsidRPr="0049701B">
              <w:rPr>
                <w:noProof w:val="0"/>
              </w:rPr>
              <w:t>690,819</w:t>
            </w:r>
          </w:p>
        </w:tc>
      </w:tr>
      <w:tr w:rsidR="00616641" w:rsidRPr="0049701B" w14:paraId="0D090BE2" w14:textId="77777777" w:rsidTr="007E3239">
        <w:tc>
          <w:tcPr>
            <w:tcW w:w="1254" w:type="dxa"/>
            <w:shd w:val="clear" w:color="auto" w:fill="auto"/>
            <w:vAlign w:val="center"/>
            <w:hideMark/>
          </w:tcPr>
          <w:p w14:paraId="51F593EA" w14:textId="77777777" w:rsidR="00616641" w:rsidRPr="0049701B" w:rsidRDefault="00616641" w:rsidP="007E3239">
            <w:pPr>
              <w:pStyle w:val="TableText"/>
              <w:spacing w:before="50" w:after="50"/>
            </w:pPr>
            <w:r w:rsidRPr="0049701B">
              <w:rPr>
                <w:rFonts w:cs="Arial"/>
                <w:szCs w:val="16"/>
              </w:rPr>
              <w:t>2015</w:t>
            </w:r>
          </w:p>
        </w:tc>
        <w:tc>
          <w:tcPr>
            <w:tcW w:w="2113" w:type="dxa"/>
            <w:shd w:val="clear" w:color="auto" w:fill="auto"/>
            <w:hideMark/>
          </w:tcPr>
          <w:p w14:paraId="55384B8D" w14:textId="77777777" w:rsidR="00616641" w:rsidRPr="0049701B" w:rsidRDefault="00616641" w:rsidP="007E3239">
            <w:pPr>
              <w:pStyle w:val="TableText"/>
              <w:spacing w:before="50" w:after="50"/>
              <w:jc w:val="center"/>
            </w:pPr>
            <w:r w:rsidRPr="0049701B">
              <w:t>618,502</w:t>
            </w:r>
          </w:p>
        </w:tc>
        <w:tc>
          <w:tcPr>
            <w:tcW w:w="2112" w:type="dxa"/>
            <w:shd w:val="clear" w:color="auto" w:fill="auto"/>
            <w:hideMark/>
          </w:tcPr>
          <w:p w14:paraId="6BB74E5D" w14:textId="77777777" w:rsidR="00616641" w:rsidRPr="0049701B" w:rsidRDefault="00616641" w:rsidP="007E3239">
            <w:pPr>
              <w:pStyle w:val="TableText"/>
              <w:spacing w:before="50" w:after="50"/>
              <w:jc w:val="center"/>
            </w:pPr>
            <w:r w:rsidRPr="0049701B">
              <w:t>75,731</w:t>
            </w:r>
          </w:p>
        </w:tc>
        <w:tc>
          <w:tcPr>
            <w:tcW w:w="3026" w:type="dxa"/>
            <w:shd w:val="clear" w:color="auto" w:fill="auto"/>
            <w:hideMark/>
          </w:tcPr>
          <w:p w14:paraId="7246466F" w14:textId="77777777" w:rsidR="00616641" w:rsidRPr="0049701B" w:rsidRDefault="00616641" w:rsidP="007E3239">
            <w:pPr>
              <w:pStyle w:val="TableTextBold"/>
              <w:jc w:val="center"/>
              <w:rPr>
                <w:noProof w:val="0"/>
              </w:rPr>
            </w:pPr>
            <w:r w:rsidRPr="0049701B">
              <w:rPr>
                <w:noProof w:val="0"/>
              </w:rPr>
              <w:t>694,233</w:t>
            </w:r>
          </w:p>
        </w:tc>
      </w:tr>
      <w:tr w:rsidR="00616641" w:rsidRPr="0049701B" w14:paraId="17820928" w14:textId="77777777" w:rsidTr="007E3239">
        <w:tc>
          <w:tcPr>
            <w:tcW w:w="1254" w:type="dxa"/>
            <w:shd w:val="clear" w:color="auto" w:fill="auto"/>
            <w:vAlign w:val="center"/>
            <w:hideMark/>
          </w:tcPr>
          <w:p w14:paraId="2F19A4CF" w14:textId="77777777" w:rsidR="00616641" w:rsidRPr="0049701B" w:rsidRDefault="00616641" w:rsidP="007E3239">
            <w:pPr>
              <w:pStyle w:val="TableText"/>
              <w:spacing w:before="50" w:after="50"/>
            </w:pPr>
            <w:r w:rsidRPr="0049701B">
              <w:rPr>
                <w:rFonts w:cs="Arial"/>
                <w:szCs w:val="16"/>
              </w:rPr>
              <w:t>2016</w:t>
            </w:r>
          </w:p>
        </w:tc>
        <w:tc>
          <w:tcPr>
            <w:tcW w:w="2113" w:type="dxa"/>
            <w:shd w:val="clear" w:color="auto" w:fill="auto"/>
            <w:hideMark/>
          </w:tcPr>
          <w:p w14:paraId="05D46C86" w14:textId="77777777" w:rsidR="00616641" w:rsidRPr="0049701B" w:rsidRDefault="00616641" w:rsidP="007E3239">
            <w:pPr>
              <w:pStyle w:val="TableText"/>
              <w:spacing w:before="50" w:after="50"/>
              <w:jc w:val="center"/>
            </w:pPr>
            <w:r w:rsidRPr="0049701B">
              <w:t>619,211</w:t>
            </w:r>
          </w:p>
        </w:tc>
        <w:tc>
          <w:tcPr>
            <w:tcW w:w="2112" w:type="dxa"/>
            <w:shd w:val="clear" w:color="auto" w:fill="auto"/>
            <w:hideMark/>
          </w:tcPr>
          <w:p w14:paraId="4154038E" w14:textId="77777777" w:rsidR="00616641" w:rsidRPr="0049701B" w:rsidRDefault="00616641" w:rsidP="007E3239">
            <w:pPr>
              <w:pStyle w:val="TableText"/>
              <w:spacing w:before="50" w:after="50"/>
              <w:jc w:val="center"/>
            </w:pPr>
            <w:r w:rsidRPr="0049701B">
              <w:t>77,714</w:t>
            </w:r>
          </w:p>
        </w:tc>
        <w:tc>
          <w:tcPr>
            <w:tcW w:w="3026" w:type="dxa"/>
            <w:shd w:val="clear" w:color="auto" w:fill="auto"/>
            <w:hideMark/>
          </w:tcPr>
          <w:p w14:paraId="4F19453D" w14:textId="77777777" w:rsidR="00616641" w:rsidRPr="0049701B" w:rsidRDefault="00616641" w:rsidP="007E3239">
            <w:pPr>
              <w:pStyle w:val="TableTextBold"/>
              <w:jc w:val="center"/>
              <w:rPr>
                <w:noProof w:val="0"/>
              </w:rPr>
            </w:pPr>
            <w:r w:rsidRPr="0049701B">
              <w:rPr>
                <w:noProof w:val="0"/>
              </w:rPr>
              <w:t>696,925</w:t>
            </w:r>
          </w:p>
        </w:tc>
      </w:tr>
      <w:tr w:rsidR="00616641" w:rsidRPr="0049701B" w14:paraId="34E5DF32" w14:textId="77777777" w:rsidTr="007E3239">
        <w:tc>
          <w:tcPr>
            <w:tcW w:w="1254" w:type="dxa"/>
            <w:shd w:val="clear" w:color="auto" w:fill="auto"/>
            <w:vAlign w:val="center"/>
            <w:hideMark/>
          </w:tcPr>
          <w:p w14:paraId="72A60EC2" w14:textId="77777777" w:rsidR="00616641" w:rsidRPr="0049701B" w:rsidRDefault="00616641" w:rsidP="007E3239">
            <w:pPr>
              <w:pStyle w:val="TableText"/>
              <w:spacing w:before="50" w:after="50"/>
            </w:pPr>
            <w:r w:rsidRPr="0049701B">
              <w:rPr>
                <w:rFonts w:cs="Arial"/>
                <w:szCs w:val="16"/>
              </w:rPr>
              <w:t>2017</w:t>
            </w:r>
          </w:p>
        </w:tc>
        <w:tc>
          <w:tcPr>
            <w:tcW w:w="2113" w:type="dxa"/>
            <w:shd w:val="clear" w:color="auto" w:fill="auto"/>
            <w:hideMark/>
          </w:tcPr>
          <w:p w14:paraId="67911066" w14:textId="77777777" w:rsidR="00616641" w:rsidRPr="0049701B" w:rsidRDefault="00616641" w:rsidP="007E3239">
            <w:pPr>
              <w:pStyle w:val="TableText"/>
              <w:spacing w:before="50" w:after="50"/>
              <w:jc w:val="center"/>
            </w:pPr>
            <w:r w:rsidRPr="0049701B">
              <w:t>621,150</w:t>
            </w:r>
          </w:p>
        </w:tc>
        <w:tc>
          <w:tcPr>
            <w:tcW w:w="2112" w:type="dxa"/>
            <w:shd w:val="clear" w:color="auto" w:fill="auto"/>
            <w:hideMark/>
          </w:tcPr>
          <w:p w14:paraId="432F16DC" w14:textId="77777777" w:rsidR="00616641" w:rsidRPr="0049701B" w:rsidRDefault="00616641" w:rsidP="007E3239">
            <w:pPr>
              <w:pStyle w:val="TableText"/>
              <w:spacing w:before="50" w:after="50"/>
              <w:jc w:val="center"/>
            </w:pPr>
            <w:r w:rsidRPr="0049701B">
              <w:t>81,205</w:t>
            </w:r>
          </w:p>
        </w:tc>
        <w:tc>
          <w:tcPr>
            <w:tcW w:w="3026" w:type="dxa"/>
            <w:shd w:val="clear" w:color="auto" w:fill="auto"/>
            <w:hideMark/>
          </w:tcPr>
          <w:p w14:paraId="008CCECB" w14:textId="77777777" w:rsidR="00616641" w:rsidRPr="0049701B" w:rsidRDefault="00616641" w:rsidP="007E3239">
            <w:pPr>
              <w:pStyle w:val="TableTextBold"/>
              <w:jc w:val="center"/>
              <w:rPr>
                <w:noProof w:val="0"/>
              </w:rPr>
            </w:pPr>
            <w:r w:rsidRPr="0049701B">
              <w:rPr>
                <w:noProof w:val="0"/>
              </w:rPr>
              <w:t>702,355</w:t>
            </w:r>
          </w:p>
        </w:tc>
      </w:tr>
      <w:tr w:rsidR="00616641" w:rsidRPr="0049701B" w14:paraId="164EB63E" w14:textId="77777777" w:rsidTr="007E3239">
        <w:tc>
          <w:tcPr>
            <w:tcW w:w="1254" w:type="dxa"/>
            <w:shd w:val="clear" w:color="auto" w:fill="auto"/>
            <w:vAlign w:val="center"/>
          </w:tcPr>
          <w:p w14:paraId="71B04366" w14:textId="77777777" w:rsidR="00616641" w:rsidRPr="0049701B" w:rsidRDefault="00616641" w:rsidP="007E3239">
            <w:pPr>
              <w:pStyle w:val="TableText"/>
              <w:spacing w:before="50" w:after="50"/>
            </w:pPr>
            <w:r w:rsidRPr="0049701B">
              <w:rPr>
                <w:rFonts w:cs="Arial"/>
                <w:szCs w:val="16"/>
              </w:rPr>
              <w:t>2018</w:t>
            </w:r>
          </w:p>
        </w:tc>
        <w:tc>
          <w:tcPr>
            <w:tcW w:w="2113" w:type="dxa"/>
            <w:shd w:val="clear" w:color="auto" w:fill="auto"/>
          </w:tcPr>
          <w:p w14:paraId="12169B47" w14:textId="77777777" w:rsidR="00616641" w:rsidRPr="0049701B" w:rsidRDefault="00616641" w:rsidP="007E3239">
            <w:pPr>
              <w:pStyle w:val="TableText"/>
              <w:spacing w:before="50" w:after="50"/>
              <w:jc w:val="center"/>
            </w:pPr>
            <w:r w:rsidRPr="0049701B">
              <w:t>625,795</w:t>
            </w:r>
          </w:p>
        </w:tc>
        <w:tc>
          <w:tcPr>
            <w:tcW w:w="2112" w:type="dxa"/>
            <w:shd w:val="clear" w:color="auto" w:fill="auto"/>
          </w:tcPr>
          <w:p w14:paraId="084FAE5D" w14:textId="77777777" w:rsidR="00616641" w:rsidRPr="0049701B" w:rsidRDefault="00616641" w:rsidP="007E3239">
            <w:pPr>
              <w:pStyle w:val="TableText"/>
              <w:spacing w:before="50" w:after="50"/>
              <w:jc w:val="center"/>
            </w:pPr>
            <w:r w:rsidRPr="0049701B">
              <w:t>84,044</w:t>
            </w:r>
          </w:p>
        </w:tc>
        <w:tc>
          <w:tcPr>
            <w:tcW w:w="3026" w:type="dxa"/>
            <w:shd w:val="clear" w:color="auto" w:fill="auto"/>
          </w:tcPr>
          <w:p w14:paraId="73E0E8C5" w14:textId="77777777" w:rsidR="00616641" w:rsidRPr="0049701B" w:rsidRDefault="00616641" w:rsidP="007E3239">
            <w:pPr>
              <w:pStyle w:val="TableTextBold"/>
              <w:jc w:val="center"/>
              <w:rPr>
                <w:noProof w:val="0"/>
              </w:rPr>
            </w:pPr>
            <w:r w:rsidRPr="0049701B">
              <w:rPr>
                <w:noProof w:val="0"/>
              </w:rPr>
              <w:t>709,838</w:t>
            </w:r>
          </w:p>
        </w:tc>
      </w:tr>
      <w:tr w:rsidR="00616641" w:rsidRPr="0049701B" w14:paraId="7D85E720" w14:textId="77777777" w:rsidTr="007E3239">
        <w:tc>
          <w:tcPr>
            <w:tcW w:w="1254" w:type="dxa"/>
            <w:shd w:val="clear" w:color="auto" w:fill="auto"/>
            <w:vAlign w:val="center"/>
          </w:tcPr>
          <w:p w14:paraId="64B238EB" w14:textId="77777777" w:rsidR="00616641" w:rsidRPr="0049701B" w:rsidRDefault="00616641" w:rsidP="007E3239">
            <w:pPr>
              <w:pStyle w:val="TableText"/>
              <w:spacing w:before="50" w:after="50"/>
              <w:rPr>
                <w:rFonts w:cs="Arial"/>
                <w:szCs w:val="16"/>
              </w:rPr>
            </w:pPr>
            <w:r w:rsidRPr="0049701B">
              <w:rPr>
                <w:rFonts w:cs="Arial"/>
                <w:szCs w:val="16"/>
              </w:rPr>
              <w:t>2019</w:t>
            </w:r>
          </w:p>
        </w:tc>
        <w:tc>
          <w:tcPr>
            <w:tcW w:w="2113" w:type="dxa"/>
            <w:shd w:val="clear" w:color="auto" w:fill="auto"/>
          </w:tcPr>
          <w:p w14:paraId="243E8BC1" w14:textId="77777777" w:rsidR="00616641" w:rsidRPr="0049701B" w:rsidRDefault="00616641" w:rsidP="007E3239">
            <w:pPr>
              <w:pStyle w:val="TableText"/>
              <w:spacing w:before="50" w:after="50"/>
              <w:jc w:val="center"/>
              <w:rPr>
                <w:rFonts w:cs="Arial"/>
                <w:color w:val="000000"/>
                <w:szCs w:val="16"/>
              </w:rPr>
            </w:pPr>
            <w:r w:rsidRPr="0049701B">
              <w:t>648,191</w:t>
            </w:r>
          </w:p>
        </w:tc>
        <w:tc>
          <w:tcPr>
            <w:tcW w:w="2112" w:type="dxa"/>
            <w:shd w:val="clear" w:color="auto" w:fill="auto"/>
          </w:tcPr>
          <w:p w14:paraId="0E8432AC" w14:textId="77777777" w:rsidR="00616641" w:rsidRPr="0049701B" w:rsidRDefault="00616641" w:rsidP="007E3239">
            <w:pPr>
              <w:pStyle w:val="TableText"/>
              <w:spacing w:before="50" w:after="50"/>
              <w:jc w:val="center"/>
              <w:rPr>
                <w:rFonts w:cs="Arial"/>
                <w:color w:val="000000"/>
                <w:szCs w:val="16"/>
              </w:rPr>
            </w:pPr>
            <w:r w:rsidRPr="0049701B">
              <w:t>87,048</w:t>
            </w:r>
          </w:p>
        </w:tc>
        <w:tc>
          <w:tcPr>
            <w:tcW w:w="3026" w:type="dxa"/>
            <w:shd w:val="clear" w:color="auto" w:fill="auto"/>
          </w:tcPr>
          <w:p w14:paraId="0098B5DF" w14:textId="77777777" w:rsidR="00616641" w:rsidRPr="0049701B" w:rsidRDefault="00616641" w:rsidP="007E3239">
            <w:pPr>
              <w:pStyle w:val="TableTextBold"/>
              <w:jc w:val="center"/>
              <w:rPr>
                <w:rFonts w:cs="Arial"/>
                <w:bCs/>
                <w:noProof w:val="0"/>
                <w:szCs w:val="16"/>
              </w:rPr>
            </w:pPr>
            <w:r w:rsidRPr="0049701B">
              <w:rPr>
                <w:noProof w:val="0"/>
              </w:rPr>
              <w:t>735,240</w:t>
            </w:r>
          </w:p>
        </w:tc>
      </w:tr>
      <w:tr w:rsidR="00616641" w:rsidRPr="0049701B" w14:paraId="5B088F69" w14:textId="77777777" w:rsidTr="007E3239">
        <w:tc>
          <w:tcPr>
            <w:tcW w:w="1254" w:type="dxa"/>
            <w:shd w:val="clear" w:color="auto" w:fill="auto"/>
            <w:vAlign w:val="center"/>
          </w:tcPr>
          <w:p w14:paraId="1500C2E5" w14:textId="77777777" w:rsidR="00616641" w:rsidRPr="0049701B" w:rsidRDefault="00616641" w:rsidP="007E3239">
            <w:pPr>
              <w:pStyle w:val="TableText"/>
              <w:spacing w:before="50" w:after="50"/>
              <w:rPr>
                <w:rFonts w:cs="Arial"/>
                <w:szCs w:val="16"/>
              </w:rPr>
            </w:pPr>
            <w:r w:rsidRPr="0049701B">
              <w:rPr>
                <w:rFonts w:cs="Arial"/>
                <w:szCs w:val="16"/>
              </w:rPr>
              <w:t>2020</w:t>
            </w:r>
          </w:p>
        </w:tc>
        <w:tc>
          <w:tcPr>
            <w:tcW w:w="2113" w:type="dxa"/>
            <w:shd w:val="clear" w:color="auto" w:fill="auto"/>
          </w:tcPr>
          <w:p w14:paraId="59418B67" w14:textId="77777777" w:rsidR="00616641" w:rsidRPr="0049701B" w:rsidRDefault="00616641" w:rsidP="007E3239">
            <w:pPr>
              <w:pStyle w:val="TableText"/>
              <w:spacing w:before="50" w:after="50"/>
              <w:jc w:val="center"/>
            </w:pPr>
            <w:r w:rsidRPr="0049701B">
              <w:t>684,880</w:t>
            </w:r>
          </w:p>
        </w:tc>
        <w:tc>
          <w:tcPr>
            <w:tcW w:w="2112" w:type="dxa"/>
            <w:shd w:val="clear" w:color="auto" w:fill="auto"/>
          </w:tcPr>
          <w:p w14:paraId="428DE1CF" w14:textId="77777777" w:rsidR="00616641" w:rsidRPr="0049701B" w:rsidRDefault="00616641" w:rsidP="007E3239">
            <w:pPr>
              <w:pStyle w:val="TableText"/>
              <w:spacing w:before="50" w:after="50"/>
              <w:jc w:val="center"/>
            </w:pPr>
            <w:r w:rsidRPr="0049701B">
              <w:t>90,506</w:t>
            </w:r>
          </w:p>
        </w:tc>
        <w:tc>
          <w:tcPr>
            <w:tcW w:w="3026" w:type="dxa"/>
            <w:shd w:val="clear" w:color="auto" w:fill="auto"/>
          </w:tcPr>
          <w:p w14:paraId="581C918C" w14:textId="77777777" w:rsidR="00616641" w:rsidRPr="0049701B" w:rsidRDefault="00616641" w:rsidP="007E3239">
            <w:pPr>
              <w:pStyle w:val="TableTextBold"/>
              <w:jc w:val="center"/>
              <w:rPr>
                <w:noProof w:val="0"/>
              </w:rPr>
            </w:pPr>
            <w:r w:rsidRPr="0049701B">
              <w:rPr>
                <w:noProof w:val="0"/>
              </w:rPr>
              <w:t>775,385</w:t>
            </w:r>
          </w:p>
        </w:tc>
      </w:tr>
    </w:tbl>
    <w:p w14:paraId="72728A08" w14:textId="77777777" w:rsidR="00616641" w:rsidRPr="0049701B" w:rsidRDefault="00616641" w:rsidP="00616641">
      <w:pPr>
        <w:pStyle w:val="BodyText"/>
      </w:pPr>
    </w:p>
    <w:p w14:paraId="2F263B69" w14:textId="77777777" w:rsidR="00616641" w:rsidRPr="0049701B" w:rsidRDefault="00616641" w:rsidP="00616641">
      <w:pPr>
        <w:pStyle w:val="BodyText"/>
        <w:sectPr w:rsidR="00616641" w:rsidRPr="0049701B" w:rsidSect="00D142F2">
          <w:footerReference w:type="default" r:id="rId272"/>
          <w:pgSz w:w="11907" w:h="16840" w:code="9"/>
          <w:pgMar w:top="1418" w:right="1701" w:bottom="1418" w:left="1701" w:header="567" w:footer="567" w:gutter="0"/>
          <w:cols w:space="720"/>
        </w:sectPr>
      </w:pPr>
    </w:p>
    <w:p w14:paraId="68C1F133" w14:textId="77777777" w:rsidR="00616641" w:rsidRPr="0049701B" w:rsidRDefault="00616641" w:rsidP="00616641">
      <w:pPr>
        <w:pStyle w:val="Table"/>
        <w:spacing w:before="0"/>
      </w:pPr>
      <w:bookmarkStart w:id="2815" w:name="_Toc36224712"/>
      <w:bookmarkStart w:id="2816" w:name="_Toc64987047"/>
      <w:bookmarkStart w:id="2817" w:name="_Toc68786597"/>
      <w:bookmarkStart w:id="2818" w:name="_Toc95321539"/>
      <w:bookmarkStart w:id="2819" w:name="_Toc99659391"/>
      <w:r w:rsidRPr="0049701B">
        <w:lastRenderedPageBreak/>
        <w:t>Table 11.3.3</w:t>
      </w:r>
      <w:r w:rsidRPr="0049701B">
        <w:tab/>
        <w:t xml:space="preserve">New Zealand’s </w:t>
      </w:r>
      <w:r w:rsidRPr="0049701B">
        <w:rPr>
          <w:i/>
          <w:iCs/>
        </w:rPr>
        <w:t>Afforestation and reforestation</w:t>
      </w:r>
      <w:r w:rsidRPr="0049701B">
        <w:t xml:space="preserve"> reconciliation between Kyoto Protocol and Intergovernmental Panel on Climate Change Convention</w:t>
      </w:r>
      <w:r w:rsidRPr="0049701B">
        <w:br/>
        <w:t xml:space="preserve">reporting from 2008 to </w:t>
      </w:r>
      <w:bookmarkEnd w:id="2815"/>
      <w:bookmarkEnd w:id="2816"/>
      <w:bookmarkEnd w:id="2817"/>
      <w:r w:rsidRPr="0049701B">
        <w:t>2020</w:t>
      </w:r>
      <w:bookmarkEnd w:id="2818"/>
      <w:bookmarkEnd w:id="2819"/>
    </w:p>
    <w:tbl>
      <w:tblPr>
        <w:tblW w:w="13948" w:type="dxa"/>
        <w:tblInd w:w="113" w:type="dxa"/>
        <w:tblLayout w:type="fixed"/>
        <w:tblCellMar>
          <w:left w:w="85" w:type="dxa"/>
          <w:right w:w="85" w:type="dxa"/>
        </w:tblCellMar>
        <w:tblLook w:val="04A0" w:firstRow="1" w:lastRow="0" w:firstColumn="1" w:lastColumn="0" w:noHBand="0" w:noVBand="1"/>
      </w:tblPr>
      <w:tblGrid>
        <w:gridCol w:w="3795"/>
        <w:gridCol w:w="845"/>
        <w:gridCol w:w="789"/>
        <w:gridCol w:w="790"/>
        <w:gridCol w:w="790"/>
        <w:gridCol w:w="790"/>
        <w:gridCol w:w="790"/>
        <w:gridCol w:w="790"/>
        <w:gridCol w:w="733"/>
        <w:gridCol w:w="733"/>
        <w:gridCol w:w="733"/>
        <w:gridCol w:w="790"/>
        <w:gridCol w:w="790"/>
        <w:gridCol w:w="790"/>
      </w:tblGrid>
      <w:tr w:rsidR="00616641" w:rsidRPr="0049701B" w14:paraId="768213EE" w14:textId="77777777" w:rsidTr="00987A99">
        <w:tc>
          <w:tcPr>
            <w:tcW w:w="3822" w:type="dxa"/>
            <w:tcBorders>
              <w:top w:val="single" w:sz="4" w:space="0" w:color="1B556B"/>
              <w:left w:val="nil"/>
              <w:bottom w:val="single" w:sz="4" w:space="0" w:color="1B556B"/>
              <w:right w:val="nil"/>
            </w:tcBorders>
            <w:shd w:val="clear" w:color="auto" w:fill="1B556B"/>
            <w:noWrap/>
            <w:vAlign w:val="center"/>
            <w:hideMark/>
          </w:tcPr>
          <w:p w14:paraId="734F2B5C" w14:textId="77777777" w:rsidR="00616641" w:rsidRPr="0049701B" w:rsidRDefault="00616641" w:rsidP="007E3239">
            <w:pPr>
              <w:pStyle w:val="Tableboldblue"/>
              <w:jc w:val="center"/>
              <w:rPr>
                <w:lang w:eastAsia="en-NZ"/>
              </w:rPr>
            </w:pPr>
          </w:p>
        </w:tc>
        <w:tc>
          <w:tcPr>
            <w:tcW w:w="851" w:type="dxa"/>
            <w:tcBorders>
              <w:top w:val="single" w:sz="4" w:space="0" w:color="1B556B"/>
              <w:left w:val="nil"/>
              <w:bottom w:val="single" w:sz="4" w:space="0" w:color="1B556B"/>
              <w:right w:val="nil"/>
            </w:tcBorders>
            <w:shd w:val="clear" w:color="auto" w:fill="1B556B"/>
            <w:vAlign w:val="center"/>
            <w:hideMark/>
          </w:tcPr>
          <w:p w14:paraId="3F3F4F99"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2008</w:t>
            </w:r>
          </w:p>
        </w:tc>
        <w:tc>
          <w:tcPr>
            <w:tcW w:w="794" w:type="dxa"/>
            <w:tcBorders>
              <w:top w:val="single" w:sz="4" w:space="0" w:color="1B556B"/>
              <w:left w:val="nil"/>
              <w:bottom w:val="single" w:sz="4" w:space="0" w:color="1B556B"/>
              <w:right w:val="nil"/>
            </w:tcBorders>
            <w:shd w:val="clear" w:color="auto" w:fill="1B556B"/>
            <w:vAlign w:val="center"/>
            <w:hideMark/>
          </w:tcPr>
          <w:p w14:paraId="7ADD7F10"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2009</w:t>
            </w:r>
          </w:p>
        </w:tc>
        <w:tc>
          <w:tcPr>
            <w:tcW w:w="794" w:type="dxa"/>
            <w:tcBorders>
              <w:top w:val="single" w:sz="4" w:space="0" w:color="1B556B"/>
              <w:left w:val="nil"/>
              <w:bottom w:val="single" w:sz="4" w:space="0" w:color="1B556B"/>
              <w:right w:val="nil"/>
            </w:tcBorders>
            <w:shd w:val="clear" w:color="auto" w:fill="1B556B"/>
            <w:vAlign w:val="center"/>
            <w:hideMark/>
          </w:tcPr>
          <w:p w14:paraId="1E608AE4"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2010</w:t>
            </w:r>
          </w:p>
        </w:tc>
        <w:tc>
          <w:tcPr>
            <w:tcW w:w="794" w:type="dxa"/>
            <w:tcBorders>
              <w:top w:val="single" w:sz="4" w:space="0" w:color="1B556B"/>
              <w:left w:val="nil"/>
              <w:bottom w:val="single" w:sz="4" w:space="0" w:color="1B556B"/>
              <w:right w:val="nil"/>
            </w:tcBorders>
            <w:shd w:val="clear" w:color="auto" w:fill="1B556B"/>
            <w:vAlign w:val="center"/>
            <w:hideMark/>
          </w:tcPr>
          <w:p w14:paraId="78BD0CE4"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2011</w:t>
            </w:r>
          </w:p>
        </w:tc>
        <w:tc>
          <w:tcPr>
            <w:tcW w:w="794" w:type="dxa"/>
            <w:tcBorders>
              <w:top w:val="single" w:sz="4" w:space="0" w:color="1B556B"/>
              <w:left w:val="nil"/>
              <w:bottom w:val="single" w:sz="4" w:space="0" w:color="1B556B"/>
              <w:right w:val="nil"/>
            </w:tcBorders>
            <w:shd w:val="clear" w:color="auto" w:fill="1B556B"/>
            <w:vAlign w:val="center"/>
            <w:hideMark/>
          </w:tcPr>
          <w:p w14:paraId="07A46C49"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2012</w:t>
            </w:r>
          </w:p>
        </w:tc>
        <w:tc>
          <w:tcPr>
            <w:tcW w:w="794" w:type="dxa"/>
            <w:tcBorders>
              <w:top w:val="single" w:sz="4" w:space="0" w:color="1B556B"/>
              <w:left w:val="nil"/>
              <w:bottom w:val="single" w:sz="4" w:space="0" w:color="1B556B"/>
              <w:right w:val="nil"/>
            </w:tcBorders>
            <w:shd w:val="clear" w:color="auto" w:fill="1B556B"/>
            <w:vAlign w:val="center"/>
            <w:hideMark/>
          </w:tcPr>
          <w:p w14:paraId="49DADDE6"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2013</w:t>
            </w:r>
          </w:p>
        </w:tc>
        <w:tc>
          <w:tcPr>
            <w:tcW w:w="794" w:type="dxa"/>
            <w:tcBorders>
              <w:top w:val="single" w:sz="4" w:space="0" w:color="1B556B"/>
              <w:left w:val="nil"/>
              <w:bottom w:val="single" w:sz="4" w:space="0" w:color="1B556B"/>
              <w:right w:val="nil"/>
            </w:tcBorders>
            <w:shd w:val="clear" w:color="auto" w:fill="1B556B"/>
            <w:vAlign w:val="center"/>
            <w:hideMark/>
          </w:tcPr>
          <w:p w14:paraId="6C7F8EED"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2014</w:t>
            </w:r>
          </w:p>
        </w:tc>
        <w:tc>
          <w:tcPr>
            <w:tcW w:w="737" w:type="dxa"/>
            <w:tcBorders>
              <w:top w:val="single" w:sz="4" w:space="0" w:color="1B556B"/>
              <w:left w:val="nil"/>
              <w:bottom w:val="single" w:sz="4" w:space="0" w:color="1B556B"/>
              <w:right w:val="nil"/>
            </w:tcBorders>
            <w:shd w:val="clear" w:color="auto" w:fill="1B556B"/>
            <w:vAlign w:val="center"/>
            <w:hideMark/>
          </w:tcPr>
          <w:p w14:paraId="749B1A26"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2015</w:t>
            </w:r>
          </w:p>
        </w:tc>
        <w:tc>
          <w:tcPr>
            <w:tcW w:w="737" w:type="dxa"/>
            <w:tcBorders>
              <w:top w:val="single" w:sz="4" w:space="0" w:color="1B556B"/>
              <w:left w:val="nil"/>
              <w:bottom w:val="single" w:sz="4" w:space="0" w:color="1B556B"/>
              <w:right w:val="nil"/>
            </w:tcBorders>
            <w:shd w:val="clear" w:color="auto" w:fill="1B556B"/>
            <w:vAlign w:val="center"/>
            <w:hideMark/>
          </w:tcPr>
          <w:p w14:paraId="7D470DFA"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2016</w:t>
            </w:r>
          </w:p>
        </w:tc>
        <w:tc>
          <w:tcPr>
            <w:tcW w:w="737" w:type="dxa"/>
            <w:tcBorders>
              <w:top w:val="single" w:sz="4" w:space="0" w:color="1B556B"/>
              <w:left w:val="nil"/>
              <w:bottom w:val="single" w:sz="4" w:space="0" w:color="1B556B"/>
              <w:right w:val="nil"/>
            </w:tcBorders>
            <w:shd w:val="clear" w:color="auto" w:fill="1B556B"/>
            <w:vAlign w:val="center"/>
            <w:hideMark/>
          </w:tcPr>
          <w:p w14:paraId="29F0187F"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2017</w:t>
            </w:r>
          </w:p>
        </w:tc>
        <w:tc>
          <w:tcPr>
            <w:tcW w:w="794" w:type="dxa"/>
            <w:tcBorders>
              <w:top w:val="single" w:sz="4" w:space="0" w:color="1B556B"/>
              <w:left w:val="nil"/>
              <w:bottom w:val="single" w:sz="4" w:space="0" w:color="1B556B"/>
              <w:right w:val="nil"/>
            </w:tcBorders>
            <w:shd w:val="clear" w:color="auto" w:fill="1B556B"/>
            <w:vAlign w:val="center"/>
            <w:hideMark/>
          </w:tcPr>
          <w:p w14:paraId="7AE89088"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2018</w:t>
            </w:r>
          </w:p>
        </w:tc>
        <w:tc>
          <w:tcPr>
            <w:tcW w:w="794" w:type="dxa"/>
            <w:tcBorders>
              <w:top w:val="single" w:sz="4" w:space="0" w:color="1B556B"/>
              <w:left w:val="nil"/>
              <w:bottom w:val="single" w:sz="4" w:space="0" w:color="1B556B"/>
              <w:right w:val="nil"/>
            </w:tcBorders>
            <w:shd w:val="clear" w:color="auto" w:fill="1B556B"/>
          </w:tcPr>
          <w:p w14:paraId="46FDADCA"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2019</w:t>
            </w:r>
          </w:p>
        </w:tc>
        <w:tc>
          <w:tcPr>
            <w:tcW w:w="794" w:type="dxa"/>
            <w:tcBorders>
              <w:top w:val="single" w:sz="4" w:space="0" w:color="1B556B"/>
              <w:left w:val="nil"/>
              <w:bottom w:val="single" w:sz="4" w:space="0" w:color="1B556B"/>
              <w:right w:val="nil"/>
            </w:tcBorders>
            <w:shd w:val="clear" w:color="auto" w:fill="1B556B"/>
          </w:tcPr>
          <w:p w14:paraId="0D00E5F1" w14:textId="77777777" w:rsidR="00616641" w:rsidRPr="0049701B" w:rsidRDefault="00616641" w:rsidP="007E3239">
            <w:pPr>
              <w:pStyle w:val="Tableboldblue"/>
              <w:jc w:val="right"/>
              <w:rPr>
                <w:rFonts w:cs="Calibri"/>
                <w:bCs/>
                <w:color w:val="FFFFFF"/>
                <w:szCs w:val="16"/>
                <w:lang w:eastAsia="en-NZ"/>
              </w:rPr>
            </w:pPr>
            <w:r w:rsidRPr="0049701B">
              <w:rPr>
                <w:rFonts w:cs="Calibri"/>
                <w:bCs/>
                <w:color w:val="FFFFFF"/>
                <w:szCs w:val="16"/>
                <w:lang w:eastAsia="en-NZ"/>
              </w:rPr>
              <w:t>2020</w:t>
            </w:r>
          </w:p>
        </w:tc>
      </w:tr>
      <w:tr w:rsidR="00616641" w:rsidRPr="0049701B" w14:paraId="377CA8A2" w14:textId="77777777" w:rsidTr="00987A99">
        <w:tc>
          <w:tcPr>
            <w:tcW w:w="3822" w:type="dxa"/>
            <w:tcBorders>
              <w:top w:val="single" w:sz="4" w:space="0" w:color="1B556B"/>
              <w:left w:val="nil"/>
              <w:bottom w:val="nil"/>
              <w:right w:val="nil"/>
            </w:tcBorders>
            <w:shd w:val="clear" w:color="auto" w:fill="auto"/>
            <w:noWrap/>
            <w:hideMark/>
          </w:tcPr>
          <w:p w14:paraId="7743994E" w14:textId="77777777" w:rsidR="00616641" w:rsidRPr="0049701B" w:rsidRDefault="00616641" w:rsidP="007E3239">
            <w:pPr>
              <w:pStyle w:val="TableText"/>
            </w:pPr>
            <w:r w:rsidRPr="0049701B">
              <w:t>Forest remaining forest (kha)</w:t>
            </w:r>
          </w:p>
        </w:tc>
        <w:tc>
          <w:tcPr>
            <w:tcW w:w="851" w:type="dxa"/>
            <w:tcBorders>
              <w:top w:val="single" w:sz="4" w:space="0" w:color="1B556B"/>
              <w:left w:val="nil"/>
              <w:bottom w:val="nil"/>
              <w:right w:val="nil"/>
            </w:tcBorders>
            <w:shd w:val="clear" w:color="auto" w:fill="auto"/>
            <w:noWrap/>
            <w:hideMark/>
          </w:tcPr>
          <w:p w14:paraId="775D2B4F" w14:textId="77777777" w:rsidR="00616641" w:rsidRPr="0049701B" w:rsidRDefault="00616641" w:rsidP="007E3239">
            <w:pPr>
              <w:pStyle w:val="TableText"/>
              <w:jc w:val="right"/>
              <w:rPr>
                <w:rFonts w:cs="Calibri"/>
              </w:rPr>
            </w:pPr>
            <w:r w:rsidRPr="0049701B">
              <w:t xml:space="preserve"> 9,233.0 </w:t>
            </w:r>
          </w:p>
        </w:tc>
        <w:tc>
          <w:tcPr>
            <w:tcW w:w="794" w:type="dxa"/>
            <w:tcBorders>
              <w:top w:val="single" w:sz="4" w:space="0" w:color="1B556B"/>
              <w:left w:val="nil"/>
              <w:bottom w:val="nil"/>
              <w:right w:val="nil"/>
            </w:tcBorders>
            <w:shd w:val="clear" w:color="auto" w:fill="auto"/>
            <w:noWrap/>
            <w:hideMark/>
          </w:tcPr>
          <w:p w14:paraId="4C537E25" w14:textId="77777777" w:rsidR="00616641" w:rsidRPr="0049701B" w:rsidRDefault="00616641" w:rsidP="007E3239">
            <w:pPr>
              <w:pStyle w:val="TableText"/>
              <w:jc w:val="right"/>
              <w:rPr>
                <w:rFonts w:cs="Calibri"/>
              </w:rPr>
            </w:pPr>
            <w:r w:rsidRPr="0049701B">
              <w:t xml:space="preserve"> 9,254.8 </w:t>
            </w:r>
          </w:p>
        </w:tc>
        <w:tc>
          <w:tcPr>
            <w:tcW w:w="794" w:type="dxa"/>
            <w:tcBorders>
              <w:top w:val="single" w:sz="4" w:space="0" w:color="1B556B"/>
              <w:left w:val="nil"/>
              <w:bottom w:val="nil"/>
              <w:right w:val="nil"/>
            </w:tcBorders>
            <w:shd w:val="clear" w:color="auto" w:fill="auto"/>
            <w:noWrap/>
            <w:hideMark/>
          </w:tcPr>
          <w:p w14:paraId="3A1B2271" w14:textId="77777777" w:rsidR="00616641" w:rsidRPr="0049701B" w:rsidRDefault="00616641" w:rsidP="007E3239">
            <w:pPr>
              <w:pStyle w:val="TableText"/>
              <w:jc w:val="right"/>
              <w:rPr>
                <w:rFonts w:cs="Calibri"/>
              </w:rPr>
            </w:pPr>
            <w:r w:rsidRPr="0049701B">
              <w:t xml:space="preserve"> 9,260.7 </w:t>
            </w:r>
          </w:p>
        </w:tc>
        <w:tc>
          <w:tcPr>
            <w:tcW w:w="794" w:type="dxa"/>
            <w:tcBorders>
              <w:top w:val="single" w:sz="4" w:space="0" w:color="1B556B"/>
              <w:left w:val="nil"/>
              <w:bottom w:val="nil"/>
              <w:right w:val="nil"/>
            </w:tcBorders>
            <w:shd w:val="clear" w:color="auto" w:fill="auto"/>
            <w:noWrap/>
            <w:hideMark/>
          </w:tcPr>
          <w:p w14:paraId="3E050A17" w14:textId="77777777" w:rsidR="00616641" w:rsidRPr="0049701B" w:rsidRDefault="00616641" w:rsidP="007E3239">
            <w:pPr>
              <w:pStyle w:val="TableText"/>
              <w:jc w:val="right"/>
              <w:rPr>
                <w:rFonts w:cs="Calibri"/>
              </w:rPr>
            </w:pPr>
            <w:r w:rsidRPr="0049701B">
              <w:t xml:space="preserve"> 9,267.7 </w:t>
            </w:r>
          </w:p>
        </w:tc>
        <w:tc>
          <w:tcPr>
            <w:tcW w:w="794" w:type="dxa"/>
            <w:tcBorders>
              <w:top w:val="single" w:sz="4" w:space="0" w:color="1B556B"/>
              <w:left w:val="nil"/>
              <w:bottom w:val="nil"/>
              <w:right w:val="nil"/>
            </w:tcBorders>
            <w:shd w:val="clear" w:color="auto" w:fill="auto"/>
            <w:noWrap/>
            <w:hideMark/>
          </w:tcPr>
          <w:p w14:paraId="6260E14E" w14:textId="77777777" w:rsidR="00616641" w:rsidRPr="0049701B" w:rsidRDefault="00616641" w:rsidP="007E3239">
            <w:pPr>
              <w:pStyle w:val="TableText"/>
              <w:jc w:val="right"/>
              <w:rPr>
                <w:rFonts w:cs="Calibri"/>
              </w:rPr>
            </w:pPr>
            <w:r w:rsidRPr="0049701B">
              <w:t xml:space="preserve"> 9,301.0 </w:t>
            </w:r>
          </w:p>
        </w:tc>
        <w:tc>
          <w:tcPr>
            <w:tcW w:w="794" w:type="dxa"/>
            <w:tcBorders>
              <w:top w:val="single" w:sz="4" w:space="0" w:color="1B556B"/>
              <w:left w:val="nil"/>
              <w:bottom w:val="nil"/>
              <w:right w:val="nil"/>
            </w:tcBorders>
            <w:shd w:val="clear" w:color="auto" w:fill="auto"/>
            <w:noWrap/>
            <w:hideMark/>
          </w:tcPr>
          <w:p w14:paraId="39B05C15" w14:textId="77777777" w:rsidR="00616641" w:rsidRPr="0049701B" w:rsidRDefault="00616641" w:rsidP="007E3239">
            <w:pPr>
              <w:pStyle w:val="TableText"/>
              <w:rPr>
                <w:rFonts w:cs="Calibri"/>
              </w:rPr>
            </w:pPr>
            <w:r w:rsidRPr="0049701B">
              <w:t xml:space="preserve"> 9,340.9 </w:t>
            </w:r>
          </w:p>
        </w:tc>
        <w:tc>
          <w:tcPr>
            <w:tcW w:w="794" w:type="dxa"/>
            <w:tcBorders>
              <w:top w:val="single" w:sz="4" w:space="0" w:color="1B556B"/>
              <w:left w:val="nil"/>
              <w:bottom w:val="nil"/>
              <w:right w:val="nil"/>
            </w:tcBorders>
            <w:shd w:val="clear" w:color="auto" w:fill="auto"/>
            <w:noWrap/>
            <w:hideMark/>
          </w:tcPr>
          <w:p w14:paraId="3DC956F0" w14:textId="77777777" w:rsidR="00616641" w:rsidRPr="0049701B" w:rsidRDefault="00616641" w:rsidP="007E3239">
            <w:pPr>
              <w:pStyle w:val="TableText"/>
              <w:jc w:val="right"/>
              <w:rPr>
                <w:rFonts w:cs="Calibri"/>
              </w:rPr>
            </w:pPr>
            <w:r w:rsidRPr="0049701B">
              <w:t xml:space="preserve"> 9,415.0 </w:t>
            </w:r>
          </w:p>
        </w:tc>
        <w:tc>
          <w:tcPr>
            <w:tcW w:w="737" w:type="dxa"/>
            <w:tcBorders>
              <w:top w:val="single" w:sz="4" w:space="0" w:color="1B556B"/>
              <w:left w:val="nil"/>
              <w:bottom w:val="nil"/>
              <w:right w:val="nil"/>
            </w:tcBorders>
            <w:shd w:val="clear" w:color="auto" w:fill="auto"/>
            <w:noWrap/>
            <w:hideMark/>
          </w:tcPr>
          <w:p w14:paraId="70190FB3" w14:textId="77777777" w:rsidR="00616641" w:rsidRPr="0049701B" w:rsidRDefault="00616641" w:rsidP="007E3239">
            <w:pPr>
              <w:pStyle w:val="TableText"/>
              <w:jc w:val="right"/>
              <w:rPr>
                <w:rFonts w:cs="Calibri"/>
              </w:rPr>
            </w:pPr>
            <w:r w:rsidRPr="0049701B">
              <w:t xml:space="preserve">9,469.3 </w:t>
            </w:r>
          </w:p>
        </w:tc>
        <w:tc>
          <w:tcPr>
            <w:tcW w:w="737" w:type="dxa"/>
            <w:tcBorders>
              <w:top w:val="single" w:sz="4" w:space="0" w:color="1B556B"/>
              <w:left w:val="nil"/>
              <w:bottom w:val="nil"/>
              <w:right w:val="nil"/>
            </w:tcBorders>
            <w:shd w:val="clear" w:color="auto" w:fill="auto"/>
            <w:noWrap/>
            <w:hideMark/>
          </w:tcPr>
          <w:p w14:paraId="0C7C300E" w14:textId="77777777" w:rsidR="00616641" w:rsidRPr="0049701B" w:rsidRDefault="00616641" w:rsidP="007E3239">
            <w:pPr>
              <w:pStyle w:val="TableText"/>
              <w:jc w:val="right"/>
              <w:rPr>
                <w:rFonts w:cs="Calibri"/>
              </w:rPr>
            </w:pPr>
            <w:r w:rsidRPr="0049701B">
              <w:t xml:space="preserve">9,526.8 </w:t>
            </w:r>
          </w:p>
        </w:tc>
        <w:tc>
          <w:tcPr>
            <w:tcW w:w="737" w:type="dxa"/>
            <w:tcBorders>
              <w:top w:val="single" w:sz="4" w:space="0" w:color="1B556B"/>
              <w:left w:val="nil"/>
              <w:bottom w:val="nil"/>
              <w:right w:val="nil"/>
            </w:tcBorders>
            <w:shd w:val="clear" w:color="auto" w:fill="auto"/>
            <w:noWrap/>
            <w:hideMark/>
          </w:tcPr>
          <w:p w14:paraId="134C3D77" w14:textId="77777777" w:rsidR="00616641" w:rsidRPr="0049701B" w:rsidRDefault="00616641" w:rsidP="007E3239">
            <w:pPr>
              <w:pStyle w:val="TableText"/>
              <w:jc w:val="right"/>
              <w:rPr>
                <w:rFonts w:cs="Calibri"/>
              </w:rPr>
            </w:pPr>
            <w:r w:rsidRPr="0049701B">
              <w:t xml:space="preserve">9,573.3 </w:t>
            </w:r>
          </w:p>
        </w:tc>
        <w:tc>
          <w:tcPr>
            <w:tcW w:w="794" w:type="dxa"/>
            <w:tcBorders>
              <w:top w:val="single" w:sz="4" w:space="0" w:color="1B556B"/>
              <w:left w:val="nil"/>
              <w:bottom w:val="nil"/>
              <w:right w:val="nil"/>
            </w:tcBorders>
            <w:shd w:val="clear" w:color="auto" w:fill="auto"/>
            <w:noWrap/>
            <w:hideMark/>
          </w:tcPr>
          <w:p w14:paraId="6EDEB06E" w14:textId="77777777" w:rsidR="00616641" w:rsidRPr="0049701B" w:rsidRDefault="00616641" w:rsidP="007E3239">
            <w:pPr>
              <w:pStyle w:val="TableText"/>
              <w:jc w:val="right"/>
              <w:rPr>
                <w:rFonts w:cs="Calibri"/>
              </w:rPr>
            </w:pPr>
            <w:r w:rsidRPr="0049701B">
              <w:t xml:space="preserve"> 9,614.2 </w:t>
            </w:r>
          </w:p>
        </w:tc>
        <w:tc>
          <w:tcPr>
            <w:tcW w:w="794" w:type="dxa"/>
            <w:tcBorders>
              <w:top w:val="single" w:sz="4" w:space="0" w:color="1B556B"/>
              <w:left w:val="nil"/>
              <w:bottom w:val="nil"/>
              <w:right w:val="nil"/>
            </w:tcBorders>
          </w:tcPr>
          <w:p w14:paraId="7023609F" w14:textId="77777777" w:rsidR="00616641" w:rsidRPr="0049701B" w:rsidRDefault="00616641" w:rsidP="007E3239">
            <w:pPr>
              <w:pStyle w:val="TableText"/>
              <w:jc w:val="right"/>
              <w:rPr>
                <w:rFonts w:cs="Calibri"/>
              </w:rPr>
            </w:pPr>
            <w:r w:rsidRPr="0049701B">
              <w:t xml:space="preserve"> 9,645.9 </w:t>
            </w:r>
          </w:p>
        </w:tc>
        <w:tc>
          <w:tcPr>
            <w:tcW w:w="794" w:type="dxa"/>
            <w:tcBorders>
              <w:top w:val="single" w:sz="4" w:space="0" w:color="1B556B"/>
              <w:left w:val="nil"/>
              <w:bottom w:val="nil"/>
              <w:right w:val="nil"/>
            </w:tcBorders>
          </w:tcPr>
          <w:p w14:paraId="183EACEC" w14:textId="77777777" w:rsidR="00616641" w:rsidRPr="0049701B" w:rsidRDefault="00616641" w:rsidP="007E3239">
            <w:pPr>
              <w:pStyle w:val="TableText"/>
              <w:jc w:val="right"/>
            </w:pPr>
            <w:r w:rsidRPr="0049701B">
              <w:t xml:space="preserve"> 9,675.1 </w:t>
            </w:r>
          </w:p>
        </w:tc>
      </w:tr>
      <w:tr w:rsidR="00616641" w:rsidRPr="0049701B" w14:paraId="5F59A617" w14:textId="77777777" w:rsidTr="00987A99">
        <w:tc>
          <w:tcPr>
            <w:tcW w:w="3822" w:type="dxa"/>
            <w:tcBorders>
              <w:top w:val="nil"/>
              <w:left w:val="nil"/>
              <w:bottom w:val="single" w:sz="4" w:space="0" w:color="1B556B"/>
              <w:right w:val="nil"/>
            </w:tcBorders>
            <w:shd w:val="clear" w:color="auto" w:fill="auto"/>
            <w:hideMark/>
          </w:tcPr>
          <w:p w14:paraId="445E32F5" w14:textId="77777777" w:rsidR="00616641" w:rsidRPr="0049701B" w:rsidRDefault="00616641" w:rsidP="007E3239">
            <w:pPr>
              <w:pStyle w:val="TableText"/>
            </w:pPr>
            <w:r w:rsidRPr="0049701B">
              <w:t xml:space="preserve">Forest management (kha) </w:t>
            </w:r>
          </w:p>
        </w:tc>
        <w:tc>
          <w:tcPr>
            <w:tcW w:w="851" w:type="dxa"/>
            <w:tcBorders>
              <w:top w:val="nil"/>
              <w:left w:val="nil"/>
              <w:bottom w:val="single" w:sz="4" w:space="0" w:color="1B556B"/>
              <w:right w:val="nil"/>
            </w:tcBorders>
            <w:shd w:val="clear" w:color="auto" w:fill="auto"/>
            <w:hideMark/>
          </w:tcPr>
          <w:p w14:paraId="6CD5AE41" w14:textId="77777777" w:rsidR="00616641" w:rsidRPr="0049701B" w:rsidRDefault="00616641" w:rsidP="007E3239">
            <w:pPr>
              <w:pStyle w:val="TableText"/>
              <w:jc w:val="right"/>
              <w:rPr>
                <w:rFonts w:cs="Calibri"/>
              </w:rPr>
            </w:pPr>
            <w:r w:rsidRPr="0049701B">
              <w:t xml:space="preserve"> 9,262.8 </w:t>
            </w:r>
          </w:p>
        </w:tc>
        <w:tc>
          <w:tcPr>
            <w:tcW w:w="794" w:type="dxa"/>
            <w:tcBorders>
              <w:top w:val="nil"/>
              <w:left w:val="nil"/>
              <w:bottom w:val="single" w:sz="4" w:space="0" w:color="1B556B"/>
              <w:right w:val="nil"/>
            </w:tcBorders>
            <w:shd w:val="clear" w:color="auto" w:fill="auto"/>
            <w:hideMark/>
          </w:tcPr>
          <w:p w14:paraId="5C8AD7DE" w14:textId="77777777" w:rsidR="00616641" w:rsidRPr="0049701B" w:rsidRDefault="00616641" w:rsidP="007E3239">
            <w:pPr>
              <w:pStyle w:val="TableText"/>
              <w:jc w:val="right"/>
              <w:rPr>
                <w:rFonts w:cs="Calibri"/>
              </w:rPr>
            </w:pPr>
            <w:r w:rsidRPr="0049701B">
              <w:t xml:space="preserve"> 9,254.8 </w:t>
            </w:r>
          </w:p>
        </w:tc>
        <w:tc>
          <w:tcPr>
            <w:tcW w:w="794" w:type="dxa"/>
            <w:tcBorders>
              <w:top w:val="nil"/>
              <w:left w:val="nil"/>
              <w:bottom w:val="single" w:sz="4" w:space="0" w:color="1B556B"/>
              <w:right w:val="nil"/>
            </w:tcBorders>
            <w:shd w:val="clear" w:color="auto" w:fill="auto"/>
            <w:hideMark/>
          </w:tcPr>
          <w:p w14:paraId="55883AFC" w14:textId="77777777" w:rsidR="00616641" w:rsidRPr="0049701B" w:rsidRDefault="00616641" w:rsidP="007E3239">
            <w:pPr>
              <w:pStyle w:val="TableText"/>
              <w:jc w:val="right"/>
              <w:rPr>
                <w:rFonts w:cs="Calibri"/>
              </w:rPr>
            </w:pPr>
            <w:r w:rsidRPr="0049701B">
              <w:t xml:space="preserve"> 9,246.4 </w:t>
            </w:r>
          </w:p>
        </w:tc>
        <w:tc>
          <w:tcPr>
            <w:tcW w:w="794" w:type="dxa"/>
            <w:tcBorders>
              <w:top w:val="nil"/>
              <w:left w:val="nil"/>
              <w:bottom w:val="single" w:sz="4" w:space="0" w:color="1B556B"/>
              <w:right w:val="nil"/>
            </w:tcBorders>
            <w:shd w:val="clear" w:color="auto" w:fill="auto"/>
            <w:hideMark/>
          </w:tcPr>
          <w:p w14:paraId="664BBF7E" w14:textId="77777777" w:rsidR="00616641" w:rsidRPr="0049701B" w:rsidRDefault="00616641" w:rsidP="007E3239">
            <w:pPr>
              <w:pStyle w:val="TableText"/>
              <w:jc w:val="right"/>
              <w:rPr>
                <w:rFonts w:cs="Calibri"/>
              </w:rPr>
            </w:pPr>
            <w:r w:rsidRPr="0049701B">
              <w:t xml:space="preserve"> 9,240.1 </w:t>
            </w:r>
          </w:p>
        </w:tc>
        <w:tc>
          <w:tcPr>
            <w:tcW w:w="794" w:type="dxa"/>
            <w:tcBorders>
              <w:top w:val="nil"/>
              <w:left w:val="nil"/>
              <w:bottom w:val="single" w:sz="4" w:space="0" w:color="1B556B"/>
              <w:right w:val="nil"/>
            </w:tcBorders>
            <w:shd w:val="clear" w:color="auto" w:fill="auto"/>
            <w:hideMark/>
          </w:tcPr>
          <w:p w14:paraId="02FE3ED6" w14:textId="77777777" w:rsidR="00616641" w:rsidRPr="0049701B" w:rsidRDefault="00616641" w:rsidP="007E3239">
            <w:pPr>
              <w:pStyle w:val="TableText"/>
              <w:jc w:val="right"/>
              <w:rPr>
                <w:rFonts w:cs="Calibri"/>
              </w:rPr>
            </w:pPr>
            <w:r w:rsidRPr="0049701B">
              <w:t xml:space="preserve"> 9,231.4 </w:t>
            </w:r>
          </w:p>
        </w:tc>
        <w:tc>
          <w:tcPr>
            <w:tcW w:w="794" w:type="dxa"/>
            <w:tcBorders>
              <w:top w:val="nil"/>
              <w:left w:val="nil"/>
              <w:bottom w:val="single" w:sz="4" w:space="0" w:color="1B556B"/>
              <w:right w:val="nil"/>
            </w:tcBorders>
            <w:shd w:val="clear" w:color="auto" w:fill="auto"/>
            <w:hideMark/>
          </w:tcPr>
          <w:p w14:paraId="6EBD4718" w14:textId="77777777" w:rsidR="00616641" w:rsidRPr="0049701B" w:rsidRDefault="00616641" w:rsidP="007E3239">
            <w:pPr>
              <w:pStyle w:val="TableText"/>
              <w:jc w:val="right"/>
              <w:rPr>
                <w:rFonts w:cs="Calibri"/>
              </w:rPr>
            </w:pPr>
            <w:r w:rsidRPr="0049701B">
              <w:t xml:space="preserve"> 9,220.4 </w:t>
            </w:r>
          </w:p>
        </w:tc>
        <w:tc>
          <w:tcPr>
            <w:tcW w:w="794" w:type="dxa"/>
            <w:tcBorders>
              <w:top w:val="nil"/>
              <w:left w:val="nil"/>
              <w:bottom w:val="single" w:sz="4" w:space="0" w:color="1B556B"/>
              <w:right w:val="nil"/>
            </w:tcBorders>
            <w:shd w:val="clear" w:color="auto" w:fill="auto"/>
            <w:hideMark/>
          </w:tcPr>
          <w:p w14:paraId="6E5D5C21" w14:textId="77777777" w:rsidR="00616641" w:rsidRPr="0049701B" w:rsidRDefault="00616641" w:rsidP="007E3239">
            <w:pPr>
              <w:pStyle w:val="TableText"/>
              <w:jc w:val="center"/>
              <w:rPr>
                <w:rFonts w:cs="Calibri"/>
              </w:rPr>
            </w:pPr>
            <w:r w:rsidRPr="0049701B">
              <w:t xml:space="preserve"> 9,212.9 </w:t>
            </w:r>
          </w:p>
        </w:tc>
        <w:tc>
          <w:tcPr>
            <w:tcW w:w="737" w:type="dxa"/>
            <w:tcBorders>
              <w:top w:val="nil"/>
              <w:left w:val="nil"/>
              <w:bottom w:val="single" w:sz="4" w:space="0" w:color="1B556B"/>
              <w:right w:val="nil"/>
            </w:tcBorders>
            <w:shd w:val="clear" w:color="auto" w:fill="auto"/>
            <w:hideMark/>
          </w:tcPr>
          <w:p w14:paraId="0EA44ADD" w14:textId="77777777" w:rsidR="00616641" w:rsidRPr="0049701B" w:rsidRDefault="00616641" w:rsidP="007E3239">
            <w:pPr>
              <w:pStyle w:val="TableText"/>
              <w:jc w:val="right"/>
              <w:rPr>
                <w:rFonts w:cs="Calibri"/>
              </w:rPr>
            </w:pPr>
            <w:r w:rsidRPr="0049701B">
              <w:t xml:space="preserve">9,207.4 </w:t>
            </w:r>
          </w:p>
        </w:tc>
        <w:tc>
          <w:tcPr>
            <w:tcW w:w="737" w:type="dxa"/>
            <w:tcBorders>
              <w:top w:val="nil"/>
              <w:left w:val="nil"/>
              <w:bottom w:val="single" w:sz="4" w:space="0" w:color="1B556B"/>
              <w:right w:val="nil"/>
            </w:tcBorders>
            <w:shd w:val="clear" w:color="auto" w:fill="auto"/>
            <w:hideMark/>
          </w:tcPr>
          <w:p w14:paraId="4FD8B0EA" w14:textId="77777777" w:rsidR="00616641" w:rsidRPr="0049701B" w:rsidRDefault="00616641" w:rsidP="007E3239">
            <w:pPr>
              <w:pStyle w:val="TableText"/>
              <w:jc w:val="right"/>
              <w:rPr>
                <w:rFonts w:cs="Calibri"/>
              </w:rPr>
            </w:pPr>
            <w:r w:rsidRPr="0049701B">
              <w:t xml:space="preserve">9,203.9 </w:t>
            </w:r>
          </w:p>
        </w:tc>
        <w:tc>
          <w:tcPr>
            <w:tcW w:w="737" w:type="dxa"/>
            <w:tcBorders>
              <w:top w:val="nil"/>
              <w:left w:val="nil"/>
              <w:bottom w:val="single" w:sz="4" w:space="0" w:color="1B556B"/>
              <w:right w:val="nil"/>
            </w:tcBorders>
            <w:shd w:val="clear" w:color="auto" w:fill="auto"/>
            <w:hideMark/>
          </w:tcPr>
          <w:p w14:paraId="4707D66D" w14:textId="77777777" w:rsidR="00616641" w:rsidRPr="0049701B" w:rsidRDefault="00616641" w:rsidP="007E3239">
            <w:pPr>
              <w:pStyle w:val="TableText"/>
              <w:jc w:val="right"/>
              <w:rPr>
                <w:rFonts w:cs="Calibri"/>
              </w:rPr>
            </w:pPr>
            <w:r w:rsidRPr="0049701B">
              <w:t xml:space="preserve">9,203.7 </w:t>
            </w:r>
          </w:p>
        </w:tc>
        <w:tc>
          <w:tcPr>
            <w:tcW w:w="794" w:type="dxa"/>
            <w:tcBorders>
              <w:top w:val="nil"/>
              <w:left w:val="nil"/>
              <w:bottom w:val="single" w:sz="4" w:space="0" w:color="1B556B"/>
              <w:right w:val="nil"/>
            </w:tcBorders>
            <w:shd w:val="clear" w:color="auto" w:fill="auto"/>
            <w:hideMark/>
          </w:tcPr>
          <w:p w14:paraId="12B9F023" w14:textId="77777777" w:rsidR="00616641" w:rsidRPr="0049701B" w:rsidRDefault="00616641" w:rsidP="007E3239">
            <w:pPr>
              <w:pStyle w:val="TableText"/>
              <w:jc w:val="right"/>
              <w:rPr>
                <w:rFonts w:cs="Calibri"/>
              </w:rPr>
            </w:pPr>
            <w:r w:rsidRPr="0049701B">
              <w:t xml:space="preserve"> 9,203.0 </w:t>
            </w:r>
          </w:p>
        </w:tc>
        <w:tc>
          <w:tcPr>
            <w:tcW w:w="794" w:type="dxa"/>
            <w:tcBorders>
              <w:top w:val="nil"/>
              <w:left w:val="nil"/>
              <w:bottom w:val="single" w:sz="4" w:space="0" w:color="1B556B"/>
              <w:right w:val="nil"/>
            </w:tcBorders>
          </w:tcPr>
          <w:p w14:paraId="023E2EB5" w14:textId="77777777" w:rsidR="00616641" w:rsidRPr="0049701B" w:rsidRDefault="00616641" w:rsidP="007E3239">
            <w:pPr>
              <w:pStyle w:val="TableText"/>
              <w:jc w:val="right"/>
              <w:rPr>
                <w:rFonts w:cs="Calibri"/>
              </w:rPr>
            </w:pPr>
            <w:r w:rsidRPr="0049701B">
              <w:t xml:space="preserve"> 9,200.4 </w:t>
            </w:r>
          </w:p>
        </w:tc>
        <w:tc>
          <w:tcPr>
            <w:tcW w:w="794" w:type="dxa"/>
            <w:tcBorders>
              <w:top w:val="nil"/>
              <w:left w:val="nil"/>
              <w:bottom w:val="single" w:sz="4" w:space="0" w:color="1B556B"/>
              <w:right w:val="nil"/>
            </w:tcBorders>
          </w:tcPr>
          <w:p w14:paraId="26928DE1" w14:textId="77777777" w:rsidR="00616641" w:rsidRPr="0049701B" w:rsidRDefault="00616641" w:rsidP="007E3239">
            <w:pPr>
              <w:pStyle w:val="TableText"/>
              <w:jc w:val="right"/>
            </w:pPr>
            <w:r w:rsidRPr="0049701B">
              <w:t xml:space="preserve"> 9,199.0 </w:t>
            </w:r>
          </w:p>
        </w:tc>
      </w:tr>
      <w:tr w:rsidR="00616641" w:rsidRPr="0049701B" w14:paraId="1A2D37D0" w14:textId="77777777" w:rsidTr="007E3239">
        <w:tc>
          <w:tcPr>
            <w:tcW w:w="3822" w:type="dxa"/>
            <w:tcBorders>
              <w:top w:val="single" w:sz="4" w:space="0" w:color="1B556B"/>
              <w:left w:val="nil"/>
              <w:bottom w:val="single" w:sz="4" w:space="0" w:color="1B556B"/>
              <w:right w:val="nil"/>
            </w:tcBorders>
            <w:shd w:val="clear" w:color="auto" w:fill="auto"/>
            <w:hideMark/>
          </w:tcPr>
          <w:p w14:paraId="0D45976D" w14:textId="77777777" w:rsidR="00616641" w:rsidRPr="0049701B" w:rsidRDefault="00616641" w:rsidP="007E3239">
            <w:pPr>
              <w:pStyle w:val="Tableboldblue"/>
              <w:rPr>
                <w:lang w:eastAsia="en-NZ"/>
              </w:rPr>
            </w:pPr>
            <w:r w:rsidRPr="0049701B">
              <w:rPr>
                <w:lang w:eastAsia="en-NZ"/>
              </w:rPr>
              <w:t>Difference (kha)</w:t>
            </w:r>
          </w:p>
        </w:tc>
        <w:tc>
          <w:tcPr>
            <w:tcW w:w="851" w:type="dxa"/>
            <w:tcBorders>
              <w:top w:val="single" w:sz="4" w:space="0" w:color="1B556B"/>
              <w:left w:val="nil"/>
              <w:bottom w:val="single" w:sz="4" w:space="0" w:color="1B556B"/>
              <w:right w:val="nil"/>
            </w:tcBorders>
            <w:shd w:val="clear" w:color="auto" w:fill="auto"/>
            <w:hideMark/>
          </w:tcPr>
          <w:p w14:paraId="41CEE69F" w14:textId="77777777" w:rsidR="00616641" w:rsidRPr="0049701B" w:rsidRDefault="00616641" w:rsidP="007E3239">
            <w:pPr>
              <w:pStyle w:val="Tableboldblue"/>
              <w:jc w:val="right"/>
              <w:rPr>
                <w:rFonts w:cs="Calibri"/>
                <w:lang w:eastAsia="en-NZ"/>
              </w:rPr>
            </w:pPr>
            <w:r w:rsidRPr="0049701B">
              <w:t xml:space="preserve">–30 </w:t>
            </w:r>
          </w:p>
        </w:tc>
        <w:tc>
          <w:tcPr>
            <w:tcW w:w="794" w:type="dxa"/>
            <w:tcBorders>
              <w:top w:val="single" w:sz="4" w:space="0" w:color="1B556B"/>
              <w:left w:val="nil"/>
              <w:bottom w:val="single" w:sz="4" w:space="0" w:color="1B556B"/>
              <w:right w:val="nil"/>
            </w:tcBorders>
            <w:shd w:val="clear" w:color="auto" w:fill="auto"/>
            <w:hideMark/>
          </w:tcPr>
          <w:p w14:paraId="39723A2E" w14:textId="77777777" w:rsidR="00616641" w:rsidRPr="0049701B" w:rsidRDefault="00616641" w:rsidP="007E3239">
            <w:pPr>
              <w:pStyle w:val="Tableboldblue"/>
              <w:jc w:val="right"/>
              <w:rPr>
                <w:rFonts w:cs="Calibri"/>
                <w:lang w:eastAsia="en-NZ"/>
              </w:rPr>
            </w:pPr>
            <w:r w:rsidRPr="0049701B">
              <w:t xml:space="preserve"> 0 </w:t>
            </w:r>
          </w:p>
        </w:tc>
        <w:tc>
          <w:tcPr>
            <w:tcW w:w="794" w:type="dxa"/>
            <w:tcBorders>
              <w:top w:val="single" w:sz="4" w:space="0" w:color="1B556B"/>
              <w:left w:val="nil"/>
              <w:bottom w:val="single" w:sz="4" w:space="0" w:color="1B556B"/>
              <w:right w:val="nil"/>
            </w:tcBorders>
            <w:shd w:val="clear" w:color="auto" w:fill="auto"/>
            <w:hideMark/>
          </w:tcPr>
          <w:p w14:paraId="6E2EB712" w14:textId="77777777" w:rsidR="00616641" w:rsidRPr="0049701B" w:rsidRDefault="00616641" w:rsidP="007E3239">
            <w:pPr>
              <w:pStyle w:val="Tableboldblue"/>
              <w:jc w:val="right"/>
              <w:rPr>
                <w:rFonts w:cs="Calibri"/>
                <w:lang w:eastAsia="en-NZ"/>
              </w:rPr>
            </w:pPr>
            <w:r w:rsidRPr="0049701B">
              <w:t xml:space="preserve"> 14 </w:t>
            </w:r>
          </w:p>
        </w:tc>
        <w:tc>
          <w:tcPr>
            <w:tcW w:w="794" w:type="dxa"/>
            <w:tcBorders>
              <w:top w:val="single" w:sz="4" w:space="0" w:color="1B556B"/>
              <w:left w:val="nil"/>
              <w:bottom w:val="single" w:sz="4" w:space="0" w:color="1B556B"/>
              <w:right w:val="nil"/>
            </w:tcBorders>
            <w:shd w:val="clear" w:color="auto" w:fill="auto"/>
            <w:hideMark/>
          </w:tcPr>
          <w:p w14:paraId="11322EDE" w14:textId="77777777" w:rsidR="00616641" w:rsidRPr="0049701B" w:rsidRDefault="00616641" w:rsidP="007E3239">
            <w:pPr>
              <w:pStyle w:val="Tableboldblue"/>
              <w:jc w:val="right"/>
              <w:rPr>
                <w:rFonts w:cs="Calibri"/>
                <w:lang w:eastAsia="en-NZ"/>
              </w:rPr>
            </w:pPr>
            <w:r w:rsidRPr="0049701B">
              <w:t xml:space="preserve"> 28 </w:t>
            </w:r>
          </w:p>
        </w:tc>
        <w:tc>
          <w:tcPr>
            <w:tcW w:w="794" w:type="dxa"/>
            <w:tcBorders>
              <w:top w:val="single" w:sz="4" w:space="0" w:color="1B556B"/>
              <w:left w:val="nil"/>
              <w:bottom w:val="single" w:sz="4" w:space="0" w:color="1B556B"/>
              <w:right w:val="nil"/>
            </w:tcBorders>
            <w:shd w:val="clear" w:color="auto" w:fill="auto"/>
            <w:hideMark/>
          </w:tcPr>
          <w:p w14:paraId="4D3CC1E8" w14:textId="77777777" w:rsidR="00616641" w:rsidRPr="0049701B" w:rsidRDefault="00616641" w:rsidP="007E3239">
            <w:pPr>
              <w:pStyle w:val="Tableboldblue"/>
              <w:jc w:val="right"/>
              <w:rPr>
                <w:rFonts w:cs="Calibri"/>
                <w:lang w:eastAsia="en-NZ"/>
              </w:rPr>
            </w:pPr>
            <w:r w:rsidRPr="0049701B">
              <w:t xml:space="preserve"> 70 </w:t>
            </w:r>
          </w:p>
        </w:tc>
        <w:tc>
          <w:tcPr>
            <w:tcW w:w="794" w:type="dxa"/>
            <w:tcBorders>
              <w:top w:val="single" w:sz="4" w:space="0" w:color="1B556B"/>
              <w:left w:val="nil"/>
              <w:bottom w:val="single" w:sz="4" w:space="0" w:color="1B556B"/>
              <w:right w:val="nil"/>
            </w:tcBorders>
            <w:shd w:val="clear" w:color="auto" w:fill="auto"/>
            <w:hideMark/>
          </w:tcPr>
          <w:p w14:paraId="2EE7B128" w14:textId="77777777" w:rsidR="00616641" w:rsidRPr="0049701B" w:rsidRDefault="00616641" w:rsidP="007E3239">
            <w:pPr>
              <w:pStyle w:val="Tableboldblue"/>
              <w:jc w:val="right"/>
              <w:rPr>
                <w:rFonts w:cs="Calibri"/>
                <w:lang w:eastAsia="en-NZ"/>
              </w:rPr>
            </w:pPr>
            <w:r w:rsidRPr="0049701B">
              <w:t xml:space="preserve"> 121 </w:t>
            </w:r>
          </w:p>
        </w:tc>
        <w:tc>
          <w:tcPr>
            <w:tcW w:w="794" w:type="dxa"/>
            <w:tcBorders>
              <w:top w:val="single" w:sz="4" w:space="0" w:color="1B556B"/>
              <w:left w:val="nil"/>
              <w:bottom w:val="single" w:sz="4" w:space="0" w:color="1B556B"/>
              <w:right w:val="nil"/>
            </w:tcBorders>
            <w:shd w:val="clear" w:color="auto" w:fill="auto"/>
            <w:hideMark/>
          </w:tcPr>
          <w:p w14:paraId="09841723" w14:textId="77777777" w:rsidR="00616641" w:rsidRPr="0049701B" w:rsidRDefault="00616641" w:rsidP="007E3239">
            <w:pPr>
              <w:pStyle w:val="Tableboldblue"/>
              <w:jc w:val="right"/>
              <w:rPr>
                <w:rFonts w:cs="Calibri"/>
                <w:lang w:eastAsia="en-NZ"/>
              </w:rPr>
            </w:pPr>
            <w:r w:rsidRPr="0049701B">
              <w:t xml:space="preserve"> 202 </w:t>
            </w:r>
          </w:p>
        </w:tc>
        <w:tc>
          <w:tcPr>
            <w:tcW w:w="737" w:type="dxa"/>
            <w:tcBorders>
              <w:top w:val="single" w:sz="4" w:space="0" w:color="1B556B"/>
              <w:left w:val="nil"/>
              <w:bottom w:val="single" w:sz="4" w:space="0" w:color="1B556B"/>
              <w:right w:val="nil"/>
            </w:tcBorders>
            <w:shd w:val="clear" w:color="auto" w:fill="auto"/>
            <w:hideMark/>
          </w:tcPr>
          <w:p w14:paraId="2B7857C2" w14:textId="77777777" w:rsidR="00616641" w:rsidRPr="0049701B" w:rsidRDefault="00616641" w:rsidP="007E3239">
            <w:pPr>
              <w:pStyle w:val="Tableboldblue"/>
              <w:jc w:val="right"/>
              <w:rPr>
                <w:rFonts w:cs="Calibri"/>
                <w:lang w:eastAsia="en-NZ"/>
              </w:rPr>
            </w:pPr>
            <w:r w:rsidRPr="0049701B">
              <w:t xml:space="preserve"> 262 </w:t>
            </w:r>
          </w:p>
        </w:tc>
        <w:tc>
          <w:tcPr>
            <w:tcW w:w="737" w:type="dxa"/>
            <w:tcBorders>
              <w:top w:val="single" w:sz="4" w:space="0" w:color="1B556B"/>
              <w:left w:val="nil"/>
              <w:bottom w:val="single" w:sz="4" w:space="0" w:color="1B556B"/>
              <w:right w:val="nil"/>
            </w:tcBorders>
            <w:shd w:val="clear" w:color="auto" w:fill="auto"/>
            <w:hideMark/>
          </w:tcPr>
          <w:p w14:paraId="42CB703D" w14:textId="77777777" w:rsidR="00616641" w:rsidRPr="0049701B" w:rsidRDefault="00616641" w:rsidP="007E3239">
            <w:pPr>
              <w:pStyle w:val="Tableboldblue"/>
              <w:jc w:val="right"/>
              <w:rPr>
                <w:rFonts w:cs="Calibri"/>
                <w:lang w:eastAsia="en-NZ"/>
              </w:rPr>
            </w:pPr>
            <w:r w:rsidRPr="0049701B">
              <w:t xml:space="preserve"> 323 </w:t>
            </w:r>
          </w:p>
        </w:tc>
        <w:tc>
          <w:tcPr>
            <w:tcW w:w="737" w:type="dxa"/>
            <w:tcBorders>
              <w:top w:val="single" w:sz="4" w:space="0" w:color="1B556B"/>
              <w:left w:val="nil"/>
              <w:bottom w:val="single" w:sz="4" w:space="0" w:color="1B556B"/>
              <w:right w:val="nil"/>
            </w:tcBorders>
            <w:shd w:val="clear" w:color="auto" w:fill="auto"/>
            <w:hideMark/>
          </w:tcPr>
          <w:p w14:paraId="119DA7EF" w14:textId="77777777" w:rsidR="00616641" w:rsidRPr="0049701B" w:rsidRDefault="00616641" w:rsidP="007E3239">
            <w:pPr>
              <w:pStyle w:val="Tableboldblue"/>
              <w:jc w:val="right"/>
              <w:rPr>
                <w:rFonts w:cs="Calibri"/>
                <w:lang w:eastAsia="en-NZ"/>
              </w:rPr>
            </w:pPr>
            <w:r w:rsidRPr="0049701B">
              <w:t xml:space="preserve"> 370 </w:t>
            </w:r>
          </w:p>
        </w:tc>
        <w:tc>
          <w:tcPr>
            <w:tcW w:w="794" w:type="dxa"/>
            <w:tcBorders>
              <w:top w:val="single" w:sz="4" w:space="0" w:color="1B556B"/>
              <w:left w:val="nil"/>
              <w:bottom w:val="single" w:sz="4" w:space="0" w:color="1B556B"/>
              <w:right w:val="nil"/>
            </w:tcBorders>
            <w:shd w:val="clear" w:color="auto" w:fill="auto"/>
            <w:hideMark/>
          </w:tcPr>
          <w:p w14:paraId="68403225" w14:textId="77777777" w:rsidR="00616641" w:rsidRPr="0049701B" w:rsidRDefault="00616641" w:rsidP="007E3239">
            <w:pPr>
              <w:pStyle w:val="Tableboldblue"/>
              <w:jc w:val="right"/>
              <w:rPr>
                <w:rFonts w:cs="Calibri"/>
                <w:lang w:eastAsia="en-NZ"/>
              </w:rPr>
            </w:pPr>
            <w:r w:rsidRPr="0049701B">
              <w:t xml:space="preserve"> 411 </w:t>
            </w:r>
          </w:p>
        </w:tc>
        <w:tc>
          <w:tcPr>
            <w:tcW w:w="794" w:type="dxa"/>
            <w:tcBorders>
              <w:top w:val="single" w:sz="4" w:space="0" w:color="1B556B"/>
              <w:left w:val="nil"/>
              <w:bottom w:val="single" w:sz="4" w:space="0" w:color="1B556B"/>
              <w:right w:val="nil"/>
            </w:tcBorders>
          </w:tcPr>
          <w:p w14:paraId="01D0A9BC" w14:textId="77777777" w:rsidR="00616641" w:rsidRPr="0049701B" w:rsidRDefault="00616641" w:rsidP="007E3239">
            <w:pPr>
              <w:pStyle w:val="Tableboldblue"/>
              <w:jc w:val="right"/>
              <w:rPr>
                <w:rFonts w:cs="Calibri"/>
                <w:lang w:eastAsia="en-NZ"/>
              </w:rPr>
            </w:pPr>
            <w:r w:rsidRPr="0049701B">
              <w:t xml:space="preserve"> 445 </w:t>
            </w:r>
          </w:p>
        </w:tc>
        <w:tc>
          <w:tcPr>
            <w:tcW w:w="794" w:type="dxa"/>
            <w:tcBorders>
              <w:top w:val="single" w:sz="4" w:space="0" w:color="1B556B"/>
              <w:left w:val="nil"/>
              <w:bottom w:val="single" w:sz="4" w:space="0" w:color="1B556B"/>
              <w:right w:val="nil"/>
            </w:tcBorders>
          </w:tcPr>
          <w:p w14:paraId="3D0C412D" w14:textId="77777777" w:rsidR="00616641" w:rsidRPr="0049701B" w:rsidRDefault="00616641" w:rsidP="007E3239">
            <w:pPr>
              <w:pStyle w:val="Tableboldblue"/>
              <w:jc w:val="right"/>
            </w:pPr>
            <w:r w:rsidRPr="0049701B">
              <w:t xml:space="preserve"> 476 </w:t>
            </w:r>
          </w:p>
        </w:tc>
      </w:tr>
      <w:tr w:rsidR="00616641" w:rsidRPr="0049701B" w14:paraId="3879EB20" w14:textId="77777777" w:rsidTr="007E3239">
        <w:tc>
          <w:tcPr>
            <w:tcW w:w="851" w:type="dxa"/>
            <w:gridSpan w:val="2"/>
            <w:tcBorders>
              <w:top w:val="single" w:sz="4" w:space="0" w:color="1B556B"/>
              <w:left w:val="nil"/>
              <w:bottom w:val="nil"/>
              <w:right w:val="nil"/>
            </w:tcBorders>
            <w:shd w:val="clear" w:color="auto" w:fill="auto"/>
            <w:noWrap/>
            <w:hideMark/>
          </w:tcPr>
          <w:p w14:paraId="53C2F696" w14:textId="77777777" w:rsidR="00616641" w:rsidRPr="0049701B" w:rsidRDefault="00616641" w:rsidP="007E3239">
            <w:pPr>
              <w:pStyle w:val="TableText"/>
              <w:rPr>
                <w:rFonts w:cs="Calibri"/>
                <w:b/>
                <w:bCs/>
              </w:rPr>
            </w:pPr>
            <w:r w:rsidRPr="0049701B">
              <w:rPr>
                <w:rFonts w:cs="Calibri"/>
                <w:b/>
                <w:bCs/>
              </w:rPr>
              <w:t>Land in transition (under a 20 year transition period)</w:t>
            </w:r>
          </w:p>
        </w:tc>
        <w:tc>
          <w:tcPr>
            <w:tcW w:w="794" w:type="dxa"/>
            <w:tcBorders>
              <w:top w:val="single" w:sz="4" w:space="0" w:color="1B556B"/>
              <w:left w:val="nil"/>
              <w:bottom w:val="nil"/>
              <w:right w:val="nil"/>
            </w:tcBorders>
            <w:shd w:val="clear" w:color="auto" w:fill="auto"/>
            <w:noWrap/>
            <w:vAlign w:val="bottom"/>
            <w:hideMark/>
          </w:tcPr>
          <w:p w14:paraId="797AB207" w14:textId="77777777" w:rsidR="00616641" w:rsidRPr="0049701B" w:rsidRDefault="00616641" w:rsidP="007E3239">
            <w:pPr>
              <w:pStyle w:val="TableText"/>
              <w:rPr>
                <w:rFonts w:cs="Calibri"/>
              </w:rPr>
            </w:pPr>
          </w:p>
        </w:tc>
        <w:tc>
          <w:tcPr>
            <w:tcW w:w="794" w:type="dxa"/>
            <w:tcBorders>
              <w:top w:val="single" w:sz="4" w:space="0" w:color="1B556B"/>
              <w:left w:val="nil"/>
              <w:bottom w:val="nil"/>
              <w:right w:val="nil"/>
            </w:tcBorders>
            <w:shd w:val="clear" w:color="auto" w:fill="auto"/>
            <w:noWrap/>
            <w:vAlign w:val="bottom"/>
            <w:hideMark/>
          </w:tcPr>
          <w:p w14:paraId="730CB911" w14:textId="77777777" w:rsidR="00616641" w:rsidRPr="0049701B" w:rsidRDefault="00616641" w:rsidP="007E3239">
            <w:pPr>
              <w:pStyle w:val="TableText"/>
              <w:rPr>
                <w:rFonts w:cs="Calibri"/>
              </w:rPr>
            </w:pPr>
          </w:p>
        </w:tc>
        <w:tc>
          <w:tcPr>
            <w:tcW w:w="794" w:type="dxa"/>
            <w:tcBorders>
              <w:top w:val="single" w:sz="4" w:space="0" w:color="1B556B"/>
              <w:left w:val="nil"/>
              <w:bottom w:val="nil"/>
              <w:right w:val="nil"/>
            </w:tcBorders>
            <w:shd w:val="clear" w:color="auto" w:fill="auto"/>
            <w:noWrap/>
            <w:vAlign w:val="bottom"/>
            <w:hideMark/>
          </w:tcPr>
          <w:p w14:paraId="4A24AB33" w14:textId="77777777" w:rsidR="00616641" w:rsidRPr="0049701B" w:rsidRDefault="00616641" w:rsidP="007E3239">
            <w:pPr>
              <w:pStyle w:val="TableText"/>
              <w:rPr>
                <w:rFonts w:cs="Calibri"/>
              </w:rPr>
            </w:pPr>
          </w:p>
        </w:tc>
        <w:tc>
          <w:tcPr>
            <w:tcW w:w="794" w:type="dxa"/>
            <w:tcBorders>
              <w:top w:val="single" w:sz="4" w:space="0" w:color="1B556B"/>
              <w:left w:val="nil"/>
              <w:bottom w:val="nil"/>
              <w:right w:val="nil"/>
            </w:tcBorders>
            <w:shd w:val="clear" w:color="auto" w:fill="auto"/>
            <w:noWrap/>
            <w:vAlign w:val="bottom"/>
            <w:hideMark/>
          </w:tcPr>
          <w:p w14:paraId="7BC89E43" w14:textId="77777777" w:rsidR="00616641" w:rsidRPr="0049701B" w:rsidRDefault="00616641" w:rsidP="007E3239">
            <w:pPr>
              <w:pStyle w:val="TableText"/>
              <w:rPr>
                <w:rFonts w:cs="Calibri"/>
              </w:rPr>
            </w:pPr>
          </w:p>
        </w:tc>
        <w:tc>
          <w:tcPr>
            <w:tcW w:w="794" w:type="dxa"/>
            <w:tcBorders>
              <w:top w:val="single" w:sz="4" w:space="0" w:color="1B556B"/>
              <w:left w:val="nil"/>
              <w:bottom w:val="nil"/>
              <w:right w:val="nil"/>
            </w:tcBorders>
            <w:shd w:val="clear" w:color="auto" w:fill="auto"/>
            <w:noWrap/>
            <w:vAlign w:val="bottom"/>
            <w:hideMark/>
          </w:tcPr>
          <w:p w14:paraId="5A6C6F44" w14:textId="77777777" w:rsidR="00616641" w:rsidRPr="0049701B" w:rsidRDefault="00616641" w:rsidP="007E3239">
            <w:pPr>
              <w:pStyle w:val="TableText"/>
              <w:rPr>
                <w:rFonts w:cs="Calibri"/>
              </w:rPr>
            </w:pPr>
          </w:p>
        </w:tc>
        <w:tc>
          <w:tcPr>
            <w:tcW w:w="794" w:type="dxa"/>
            <w:tcBorders>
              <w:top w:val="single" w:sz="4" w:space="0" w:color="1B556B"/>
              <w:left w:val="nil"/>
              <w:bottom w:val="nil"/>
              <w:right w:val="nil"/>
            </w:tcBorders>
            <w:shd w:val="clear" w:color="auto" w:fill="auto"/>
            <w:noWrap/>
            <w:vAlign w:val="bottom"/>
            <w:hideMark/>
          </w:tcPr>
          <w:p w14:paraId="0CF57885" w14:textId="77777777" w:rsidR="00616641" w:rsidRPr="0049701B" w:rsidRDefault="00616641" w:rsidP="007E3239">
            <w:pPr>
              <w:pStyle w:val="TableText"/>
              <w:rPr>
                <w:rFonts w:cs="Calibri"/>
              </w:rPr>
            </w:pPr>
          </w:p>
        </w:tc>
        <w:tc>
          <w:tcPr>
            <w:tcW w:w="737" w:type="dxa"/>
            <w:tcBorders>
              <w:top w:val="single" w:sz="4" w:space="0" w:color="1B556B"/>
              <w:left w:val="nil"/>
              <w:bottom w:val="nil"/>
              <w:right w:val="nil"/>
            </w:tcBorders>
            <w:shd w:val="clear" w:color="auto" w:fill="auto"/>
            <w:noWrap/>
            <w:vAlign w:val="bottom"/>
            <w:hideMark/>
          </w:tcPr>
          <w:p w14:paraId="401D409C" w14:textId="77777777" w:rsidR="00616641" w:rsidRPr="0049701B" w:rsidRDefault="00616641" w:rsidP="007E3239">
            <w:pPr>
              <w:pStyle w:val="TableText"/>
              <w:rPr>
                <w:rFonts w:cs="Calibri"/>
              </w:rPr>
            </w:pPr>
          </w:p>
        </w:tc>
        <w:tc>
          <w:tcPr>
            <w:tcW w:w="737" w:type="dxa"/>
            <w:tcBorders>
              <w:top w:val="single" w:sz="4" w:space="0" w:color="1B556B"/>
              <w:left w:val="nil"/>
              <w:bottom w:val="nil"/>
              <w:right w:val="nil"/>
            </w:tcBorders>
            <w:shd w:val="clear" w:color="auto" w:fill="auto"/>
            <w:noWrap/>
            <w:vAlign w:val="bottom"/>
            <w:hideMark/>
          </w:tcPr>
          <w:p w14:paraId="3D4486A6" w14:textId="77777777" w:rsidR="00616641" w:rsidRPr="0049701B" w:rsidRDefault="00616641" w:rsidP="007E3239">
            <w:pPr>
              <w:pStyle w:val="TableText"/>
              <w:rPr>
                <w:rFonts w:cs="Calibri"/>
              </w:rPr>
            </w:pPr>
          </w:p>
        </w:tc>
        <w:tc>
          <w:tcPr>
            <w:tcW w:w="737" w:type="dxa"/>
            <w:tcBorders>
              <w:top w:val="single" w:sz="4" w:space="0" w:color="1B556B"/>
              <w:left w:val="nil"/>
              <w:bottom w:val="nil"/>
              <w:right w:val="nil"/>
            </w:tcBorders>
            <w:shd w:val="clear" w:color="auto" w:fill="auto"/>
            <w:noWrap/>
            <w:vAlign w:val="bottom"/>
            <w:hideMark/>
          </w:tcPr>
          <w:p w14:paraId="08EE7051" w14:textId="77777777" w:rsidR="00616641" w:rsidRPr="0049701B" w:rsidRDefault="00616641" w:rsidP="007E3239">
            <w:pPr>
              <w:pStyle w:val="TableText"/>
              <w:rPr>
                <w:rFonts w:cs="Calibri"/>
              </w:rPr>
            </w:pPr>
          </w:p>
        </w:tc>
        <w:tc>
          <w:tcPr>
            <w:tcW w:w="794" w:type="dxa"/>
            <w:tcBorders>
              <w:top w:val="single" w:sz="4" w:space="0" w:color="1B556B"/>
              <w:left w:val="nil"/>
              <w:bottom w:val="nil"/>
              <w:right w:val="nil"/>
            </w:tcBorders>
            <w:shd w:val="clear" w:color="auto" w:fill="auto"/>
            <w:noWrap/>
            <w:vAlign w:val="bottom"/>
            <w:hideMark/>
          </w:tcPr>
          <w:p w14:paraId="3E577704" w14:textId="77777777" w:rsidR="00616641" w:rsidRPr="0049701B" w:rsidRDefault="00616641" w:rsidP="007E3239">
            <w:pPr>
              <w:pStyle w:val="TableText"/>
              <w:rPr>
                <w:rFonts w:cs="Calibri"/>
              </w:rPr>
            </w:pPr>
          </w:p>
        </w:tc>
        <w:tc>
          <w:tcPr>
            <w:tcW w:w="794" w:type="dxa"/>
            <w:tcBorders>
              <w:top w:val="single" w:sz="4" w:space="0" w:color="1B556B"/>
              <w:left w:val="nil"/>
              <w:bottom w:val="nil"/>
              <w:right w:val="nil"/>
            </w:tcBorders>
          </w:tcPr>
          <w:p w14:paraId="3C7DB902" w14:textId="77777777" w:rsidR="00616641" w:rsidRPr="0049701B" w:rsidRDefault="00616641" w:rsidP="007E3239">
            <w:pPr>
              <w:pStyle w:val="TableText"/>
              <w:rPr>
                <w:rFonts w:cs="Calibri"/>
              </w:rPr>
            </w:pPr>
          </w:p>
        </w:tc>
        <w:tc>
          <w:tcPr>
            <w:tcW w:w="794" w:type="dxa"/>
            <w:tcBorders>
              <w:top w:val="single" w:sz="4" w:space="0" w:color="1B556B"/>
              <w:left w:val="nil"/>
              <w:bottom w:val="nil"/>
              <w:right w:val="nil"/>
            </w:tcBorders>
          </w:tcPr>
          <w:p w14:paraId="3E2F526D" w14:textId="77777777" w:rsidR="00616641" w:rsidRPr="0049701B" w:rsidRDefault="00616641" w:rsidP="007E3239">
            <w:pPr>
              <w:pStyle w:val="TableText"/>
              <w:rPr>
                <w:rFonts w:cs="Calibri"/>
              </w:rPr>
            </w:pPr>
          </w:p>
        </w:tc>
      </w:tr>
      <w:tr w:rsidR="00616641" w:rsidRPr="0049701B" w14:paraId="5CAD5FEB" w14:textId="77777777" w:rsidTr="007E3239">
        <w:tc>
          <w:tcPr>
            <w:tcW w:w="3822" w:type="dxa"/>
            <w:tcBorders>
              <w:top w:val="nil"/>
              <w:left w:val="nil"/>
              <w:bottom w:val="nil"/>
              <w:right w:val="nil"/>
            </w:tcBorders>
            <w:shd w:val="clear" w:color="auto" w:fill="auto"/>
            <w:noWrap/>
            <w:hideMark/>
          </w:tcPr>
          <w:p w14:paraId="383E0810" w14:textId="77777777" w:rsidR="00616641" w:rsidRPr="0049701B" w:rsidRDefault="00616641" w:rsidP="007E3239">
            <w:pPr>
              <w:pStyle w:val="TableText"/>
              <w:rPr>
                <w:rFonts w:cs="Calibri"/>
                <w:color w:val="000000"/>
              </w:rPr>
            </w:pPr>
            <w:r w:rsidRPr="0049701B">
              <w:rPr>
                <w:rFonts w:cs="Calibri"/>
                <w:color w:val="000000"/>
              </w:rPr>
              <w:t>New forest planted before 1990 – included in FM (kha)</w:t>
            </w:r>
          </w:p>
        </w:tc>
        <w:tc>
          <w:tcPr>
            <w:tcW w:w="851" w:type="dxa"/>
            <w:tcBorders>
              <w:top w:val="nil"/>
              <w:left w:val="nil"/>
              <w:bottom w:val="nil"/>
              <w:right w:val="nil"/>
            </w:tcBorders>
            <w:shd w:val="clear" w:color="auto" w:fill="auto"/>
            <w:noWrap/>
            <w:hideMark/>
          </w:tcPr>
          <w:p w14:paraId="3EC814B2" w14:textId="77777777" w:rsidR="00616641" w:rsidRPr="0049701B" w:rsidRDefault="00616641" w:rsidP="007E3239">
            <w:pPr>
              <w:pStyle w:val="TableText"/>
              <w:jc w:val="right"/>
              <w:rPr>
                <w:rFonts w:cs="Calibri"/>
                <w:color w:val="000000"/>
              </w:rPr>
            </w:pPr>
            <w:r w:rsidRPr="0049701B">
              <w:t xml:space="preserve"> 29.8</w:t>
            </w:r>
          </w:p>
        </w:tc>
        <w:tc>
          <w:tcPr>
            <w:tcW w:w="794" w:type="dxa"/>
            <w:tcBorders>
              <w:top w:val="nil"/>
              <w:left w:val="nil"/>
              <w:bottom w:val="nil"/>
              <w:right w:val="nil"/>
            </w:tcBorders>
            <w:shd w:val="clear" w:color="auto" w:fill="auto"/>
            <w:noWrap/>
            <w:hideMark/>
          </w:tcPr>
          <w:p w14:paraId="1CCEC410" w14:textId="77777777" w:rsidR="00616641" w:rsidRPr="0049701B" w:rsidRDefault="00616641" w:rsidP="007E3239">
            <w:pPr>
              <w:pStyle w:val="TableText"/>
              <w:jc w:val="right"/>
              <w:rPr>
                <w:rFonts w:cs="Calibri"/>
                <w:color w:val="000000"/>
              </w:rPr>
            </w:pPr>
            <w:r w:rsidRPr="0049701B">
              <w:t>–</w:t>
            </w:r>
          </w:p>
        </w:tc>
        <w:tc>
          <w:tcPr>
            <w:tcW w:w="794" w:type="dxa"/>
            <w:tcBorders>
              <w:top w:val="nil"/>
              <w:left w:val="nil"/>
              <w:bottom w:val="nil"/>
              <w:right w:val="nil"/>
            </w:tcBorders>
            <w:shd w:val="clear" w:color="auto" w:fill="auto"/>
            <w:noWrap/>
            <w:hideMark/>
          </w:tcPr>
          <w:p w14:paraId="434453A8" w14:textId="77777777" w:rsidR="00616641" w:rsidRPr="0049701B" w:rsidRDefault="00616641" w:rsidP="007E3239">
            <w:pPr>
              <w:pStyle w:val="TableText"/>
              <w:jc w:val="right"/>
              <w:rPr>
                <w:rFonts w:cs="Calibri"/>
                <w:color w:val="000000"/>
              </w:rPr>
            </w:pPr>
            <w:r w:rsidRPr="0049701B">
              <w:t>–</w:t>
            </w:r>
          </w:p>
        </w:tc>
        <w:tc>
          <w:tcPr>
            <w:tcW w:w="794" w:type="dxa"/>
            <w:tcBorders>
              <w:top w:val="nil"/>
              <w:left w:val="nil"/>
              <w:bottom w:val="nil"/>
              <w:right w:val="nil"/>
            </w:tcBorders>
            <w:shd w:val="clear" w:color="auto" w:fill="auto"/>
            <w:noWrap/>
            <w:hideMark/>
          </w:tcPr>
          <w:p w14:paraId="2F4A3690" w14:textId="77777777" w:rsidR="00616641" w:rsidRPr="0049701B" w:rsidRDefault="00616641" w:rsidP="007E3239">
            <w:pPr>
              <w:pStyle w:val="TableText"/>
              <w:jc w:val="right"/>
              <w:rPr>
                <w:rFonts w:cs="Calibri"/>
                <w:color w:val="000000"/>
              </w:rPr>
            </w:pPr>
            <w:r w:rsidRPr="0049701B">
              <w:t>–</w:t>
            </w:r>
          </w:p>
        </w:tc>
        <w:tc>
          <w:tcPr>
            <w:tcW w:w="794" w:type="dxa"/>
            <w:tcBorders>
              <w:top w:val="nil"/>
              <w:left w:val="nil"/>
              <w:bottom w:val="nil"/>
              <w:right w:val="nil"/>
            </w:tcBorders>
            <w:shd w:val="clear" w:color="auto" w:fill="auto"/>
            <w:noWrap/>
            <w:hideMark/>
          </w:tcPr>
          <w:p w14:paraId="4D1C06AE" w14:textId="77777777" w:rsidR="00616641" w:rsidRPr="0049701B" w:rsidRDefault="00616641" w:rsidP="007E3239">
            <w:pPr>
              <w:pStyle w:val="TableText"/>
              <w:jc w:val="right"/>
              <w:rPr>
                <w:rFonts w:cs="Calibri"/>
                <w:color w:val="000000"/>
              </w:rPr>
            </w:pPr>
            <w:r w:rsidRPr="0049701B">
              <w:t>–</w:t>
            </w:r>
          </w:p>
        </w:tc>
        <w:tc>
          <w:tcPr>
            <w:tcW w:w="794" w:type="dxa"/>
            <w:tcBorders>
              <w:top w:val="nil"/>
              <w:left w:val="nil"/>
              <w:bottom w:val="nil"/>
              <w:right w:val="nil"/>
            </w:tcBorders>
            <w:shd w:val="clear" w:color="auto" w:fill="auto"/>
            <w:noWrap/>
            <w:hideMark/>
          </w:tcPr>
          <w:p w14:paraId="47392F48" w14:textId="77777777" w:rsidR="00616641" w:rsidRPr="0049701B" w:rsidRDefault="00616641" w:rsidP="007E3239">
            <w:pPr>
              <w:pStyle w:val="TableText"/>
              <w:jc w:val="right"/>
              <w:rPr>
                <w:rFonts w:cs="Calibri"/>
                <w:color w:val="000000"/>
              </w:rPr>
            </w:pPr>
            <w:r w:rsidRPr="0049701B">
              <w:t>–</w:t>
            </w:r>
          </w:p>
        </w:tc>
        <w:tc>
          <w:tcPr>
            <w:tcW w:w="794" w:type="dxa"/>
            <w:tcBorders>
              <w:top w:val="nil"/>
              <w:left w:val="nil"/>
              <w:bottom w:val="nil"/>
              <w:right w:val="nil"/>
            </w:tcBorders>
            <w:shd w:val="clear" w:color="auto" w:fill="auto"/>
            <w:noWrap/>
            <w:hideMark/>
          </w:tcPr>
          <w:p w14:paraId="77D7B079" w14:textId="77777777" w:rsidR="00616641" w:rsidRPr="0049701B" w:rsidRDefault="00616641" w:rsidP="007E3239">
            <w:pPr>
              <w:pStyle w:val="TableText"/>
              <w:jc w:val="right"/>
              <w:rPr>
                <w:rFonts w:cs="Calibri"/>
                <w:color w:val="000000"/>
              </w:rPr>
            </w:pPr>
            <w:r w:rsidRPr="0049701B">
              <w:t>–</w:t>
            </w:r>
          </w:p>
        </w:tc>
        <w:tc>
          <w:tcPr>
            <w:tcW w:w="737" w:type="dxa"/>
            <w:tcBorders>
              <w:top w:val="nil"/>
              <w:left w:val="nil"/>
              <w:bottom w:val="nil"/>
              <w:right w:val="nil"/>
            </w:tcBorders>
            <w:shd w:val="clear" w:color="auto" w:fill="auto"/>
            <w:noWrap/>
            <w:hideMark/>
          </w:tcPr>
          <w:p w14:paraId="289A1190" w14:textId="77777777" w:rsidR="00616641" w:rsidRPr="0049701B" w:rsidRDefault="00616641" w:rsidP="007E3239">
            <w:pPr>
              <w:pStyle w:val="TableText"/>
              <w:jc w:val="right"/>
              <w:rPr>
                <w:rFonts w:cs="Calibri"/>
                <w:color w:val="000000"/>
              </w:rPr>
            </w:pPr>
            <w:r w:rsidRPr="0049701B">
              <w:t>–</w:t>
            </w:r>
          </w:p>
        </w:tc>
        <w:tc>
          <w:tcPr>
            <w:tcW w:w="737" w:type="dxa"/>
            <w:tcBorders>
              <w:top w:val="nil"/>
              <w:left w:val="nil"/>
              <w:bottom w:val="nil"/>
              <w:right w:val="nil"/>
            </w:tcBorders>
            <w:shd w:val="clear" w:color="auto" w:fill="auto"/>
            <w:noWrap/>
            <w:hideMark/>
          </w:tcPr>
          <w:p w14:paraId="39A081AD" w14:textId="77777777" w:rsidR="00616641" w:rsidRPr="0049701B" w:rsidRDefault="00616641" w:rsidP="007E3239">
            <w:pPr>
              <w:pStyle w:val="TableText"/>
              <w:jc w:val="right"/>
              <w:rPr>
                <w:rFonts w:cs="Calibri"/>
                <w:color w:val="000000"/>
              </w:rPr>
            </w:pPr>
            <w:r w:rsidRPr="0049701B">
              <w:t>–</w:t>
            </w:r>
          </w:p>
        </w:tc>
        <w:tc>
          <w:tcPr>
            <w:tcW w:w="737" w:type="dxa"/>
            <w:tcBorders>
              <w:top w:val="nil"/>
              <w:left w:val="nil"/>
              <w:bottom w:val="nil"/>
              <w:right w:val="nil"/>
            </w:tcBorders>
            <w:shd w:val="clear" w:color="auto" w:fill="auto"/>
            <w:noWrap/>
            <w:hideMark/>
          </w:tcPr>
          <w:p w14:paraId="5D9BA4CF" w14:textId="77777777" w:rsidR="00616641" w:rsidRPr="0049701B" w:rsidRDefault="00616641" w:rsidP="007E3239">
            <w:pPr>
              <w:pStyle w:val="TableText"/>
              <w:jc w:val="right"/>
              <w:rPr>
                <w:rFonts w:cs="Calibri"/>
                <w:color w:val="000000"/>
              </w:rPr>
            </w:pPr>
            <w:r w:rsidRPr="0049701B">
              <w:t>–</w:t>
            </w:r>
          </w:p>
        </w:tc>
        <w:tc>
          <w:tcPr>
            <w:tcW w:w="794" w:type="dxa"/>
            <w:tcBorders>
              <w:top w:val="nil"/>
              <w:left w:val="nil"/>
              <w:bottom w:val="nil"/>
              <w:right w:val="nil"/>
            </w:tcBorders>
            <w:shd w:val="clear" w:color="auto" w:fill="auto"/>
            <w:noWrap/>
            <w:hideMark/>
          </w:tcPr>
          <w:p w14:paraId="370E86AC" w14:textId="77777777" w:rsidR="00616641" w:rsidRPr="0049701B" w:rsidRDefault="00616641" w:rsidP="007E3239">
            <w:pPr>
              <w:pStyle w:val="TableText"/>
              <w:jc w:val="right"/>
              <w:rPr>
                <w:rFonts w:cs="Calibri"/>
                <w:color w:val="000000"/>
              </w:rPr>
            </w:pPr>
            <w:r w:rsidRPr="0049701B">
              <w:t>–</w:t>
            </w:r>
          </w:p>
        </w:tc>
        <w:tc>
          <w:tcPr>
            <w:tcW w:w="794" w:type="dxa"/>
            <w:tcBorders>
              <w:top w:val="nil"/>
              <w:left w:val="nil"/>
              <w:bottom w:val="nil"/>
              <w:right w:val="nil"/>
            </w:tcBorders>
          </w:tcPr>
          <w:p w14:paraId="4351366C" w14:textId="77777777" w:rsidR="00616641" w:rsidRPr="0049701B" w:rsidRDefault="00616641" w:rsidP="007E3239">
            <w:pPr>
              <w:pStyle w:val="TableText"/>
              <w:jc w:val="right"/>
              <w:rPr>
                <w:rFonts w:cs="Calibri"/>
                <w:color w:val="000000"/>
              </w:rPr>
            </w:pPr>
            <w:r w:rsidRPr="0049701B">
              <w:t>–</w:t>
            </w:r>
          </w:p>
        </w:tc>
        <w:tc>
          <w:tcPr>
            <w:tcW w:w="794" w:type="dxa"/>
            <w:tcBorders>
              <w:top w:val="nil"/>
              <w:left w:val="nil"/>
              <w:bottom w:val="nil"/>
              <w:right w:val="nil"/>
            </w:tcBorders>
          </w:tcPr>
          <w:p w14:paraId="1DA1A115" w14:textId="77777777" w:rsidR="00616641" w:rsidRPr="0049701B" w:rsidRDefault="00616641" w:rsidP="007E3239">
            <w:pPr>
              <w:pStyle w:val="TableText"/>
              <w:jc w:val="right"/>
            </w:pPr>
          </w:p>
        </w:tc>
      </w:tr>
      <w:tr w:rsidR="00616641" w:rsidRPr="0049701B" w14:paraId="3055F531" w14:textId="77777777" w:rsidTr="007E3239">
        <w:tc>
          <w:tcPr>
            <w:tcW w:w="3822" w:type="dxa"/>
            <w:tcBorders>
              <w:top w:val="nil"/>
              <w:left w:val="nil"/>
              <w:bottom w:val="nil"/>
              <w:right w:val="nil"/>
            </w:tcBorders>
            <w:shd w:val="clear" w:color="auto" w:fill="auto"/>
            <w:noWrap/>
          </w:tcPr>
          <w:p w14:paraId="0245AA8B" w14:textId="77777777" w:rsidR="00616641" w:rsidRPr="0049701B" w:rsidRDefault="00616641" w:rsidP="007E3239">
            <w:pPr>
              <w:pStyle w:val="TableText"/>
              <w:rPr>
                <w:rFonts w:cs="Calibri"/>
                <w:color w:val="000000"/>
              </w:rPr>
            </w:pPr>
            <w:r w:rsidRPr="0049701B">
              <w:rPr>
                <w:rFonts w:cs="Calibri"/>
                <w:color w:val="000000"/>
              </w:rPr>
              <w:t>New forest planted after 1990 – included in A&amp;R (kha)</w:t>
            </w:r>
          </w:p>
        </w:tc>
        <w:tc>
          <w:tcPr>
            <w:tcW w:w="851" w:type="dxa"/>
            <w:tcBorders>
              <w:top w:val="nil"/>
              <w:left w:val="nil"/>
              <w:bottom w:val="nil"/>
              <w:right w:val="nil"/>
            </w:tcBorders>
            <w:shd w:val="clear" w:color="auto" w:fill="auto"/>
            <w:noWrap/>
          </w:tcPr>
          <w:p w14:paraId="45AC46C0" w14:textId="77777777" w:rsidR="00616641" w:rsidRPr="0049701B" w:rsidRDefault="00616641" w:rsidP="007E3239">
            <w:pPr>
              <w:pStyle w:val="TableText"/>
              <w:jc w:val="right"/>
              <w:rPr>
                <w:rFonts w:cs="Calibri"/>
                <w:color w:val="000000"/>
              </w:rPr>
            </w:pPr>
            <w:r w:rsidRPr="0049701B">
              <w:t>–</w:t>
            </w:r>
          </w:p>
        </w:tc>
        <w:tc>
          <w:tcPr>
            <w:tcW w:w="794" w:type="dxa"/>
            <w:tcBorders>
              <w:top w:val="nil"/>
              <w:left w:val="nil"/>
              <w:bottom w:val="nil"/>
              <w:right w:val="nil"/>
            </w:tcBorders>
            <w:shd w:val="clear" w:color="auto" w:fill="auto"/>
            <w:noWrap/>
          </w:tcPr>
          <w:p w14:paraId="7D230CB0" w14:textId="77777777" w:rsidR="00616641" w:rsidRPr="0049701B" w:rsidRDefault="00616641" w:rsidP="007E3239">
            <w:pPr>
              <w:pStyle w:val="TableText"/>
              <w:jc w:val="right"/>
              <w:rPr>
                <w:rFonts w:cs="Calibri"/>
                <w:color w:val="000000"/>
              </w:rPr>
            </w:pPr>
            <w:r w:rsidRPr="0049701B">
              <w:t>–</w:t>
            </w:r>
          </w:p>
        </w:tc>
        <w:tc>
          <w:tcPr>
            <w:tcW w:w="794" w:type="dxa"/>
            <w:tcBorders>
              <w:top w:val="nil"/>
              <w:left w:val="nil"/>
              <w:bottom w:val="nil"/>
              <w:right w:val="nil"/>
            </w:tcBorders>
            <w:shd w:val="clear" w:color="auto" w:fill="auto"/>
            <w:noWrap/>
          </w:tcPr>
          <w:p w14:paraId="44AAC415" w14:textId="77777777" w:rsidR="00616641" w:rsidRPr="0049701B" w:rsidRDefault="00616641" w:rsidP="007E3239">
            <w:pPr>
              <w:pStyle w:val="TableText"/>
              <w:jc w:val="right"/>
              <w:rPr>
                <w:rFonts w:cs="Calibri"/>
                <w:color w:val="000000"/>
              </w:rPr>
            </w:pPr>
            <w:r w:rsidRPr="0049701B">
              <w:t xml:space="preserve">–14.3 </w:t>
            </w:r>
          </w:p>
        </w:tc>
        <w:tc>
          <w:tcPr>
            <w:tcW w:w="794" w:type="dxa"/>
            <w:tcBorders>
              <w:top w:val="nil"/>
              <w:left w:val="nil"/>
              <w:bottom w:val="nil"/>
              <w:right w:val="nil"/>
            </w:tcBorders>
            <w:shd w:val="clear" w:color="auto" w:fill="auto"/>
            <w:noWrap/>
          </w:tcPr>
          <w:p w14:paraId="6631351D" w14:textId="77777777" w:rsidR="00616641" w:rsidRPr="0049701B" w:rsidRDefault="00616641" w:rsidP="007E3239">
            <w:pPr>
              <w:pStyle w:val="TableText"/>
              <w:jc w:val="right"/>
              <w:rPr>
                <w:rFonts w:cs="Calibri"/>
                <w:color w:val="000000"/>
              </w:rPr>
            </w:pPr>
            <w:r w:rsidRPr="0049701B">
              <w:t xml:space="preserve">–27.7 </w:t>
            </w:r>
          </w:p>
        </w:tc>
        <w:tc>
          <w:tcPr>
            <w:tcW w:w="794" w:type="dxa"/>
            <w:tcBorders>
              <w:top w:val="nil"/>
              <w:left w:val="nil"/>
              <w:bottom w:val="nil"/>
              <w:right w:val="nil"/>
            </w:tcBorders>
            <w:shd w:val="clear" w:color="auto" w:fill="auto"/>
            <w:noWrap/>
          </w:tcPr>
          <w:p w14:paraId="08CF916D" w14:textId="77777777" w:rsidR="00616641" w:rsidRPr="0049701B" w:rsidRDefault="00616641" w:rsidP="007E3239">
            <w:pPr>
              <w:pStyle w:val="TableText"/>
              <w:jc w:val="right"/>
              <w:rPr>
                <w:rFonts w:cs="Calibri"/>
                <w:color w:val="000000"/>
              </w:rPr>
            </w:pPr>
            <w:r w:rsidRPr="0049701B">
              <w:t xml:space="preserve">–69.7 </w:t>
            </w:r>
          </w:p>
        </w:tc>
        <w:tc>
          <w:tcPr>
            <w:tcW w:w="794" w:type="dxa"/>
            <w:tcBorders>
              <w:top w:val="nil"/>
              <w:left w:val="nil"/>
              <w:bottom w:val="nil"/>
              <w:right w:val="nil"/>
            </w:tcBorders>
            <w:shd w:val="clear" w:color="auto" w:fill="auto"/>
            <w:noWrap/>
          </w:tcPr>
          <w:p w14:paraId="1E0AA7B1" w14:textId="77777777" w:rsidR="00616641" w:rsidRPr="0049701B" w:rsidRDefault="00616641" w:rsidP="007E3239">
            <w:pPr>
              <w:pStyle w:val="TableText"/>
              <w:jc w:val="right"/>
              <w:rPr>
                <w:rFonts w:cs="Calibri"/>
                <w:color w:val="000000"/>
              </w:rPr>
            </w:pPr>
            <w:r w:rsidRPr="0049701B">
              <w:t xml:space="preserve">–120.6 </w:t>
            </w:r>
          </w:p>
        </w:tc>
        <w:tc>
          <w:tcPr>
            <w:tcW w:w="794" w:type="dxa"/>
            <w:tcBorders>
              <w:top w:val="nil"/>
              <w:left w:val="nil"/>
              <w:bottom w:val="nil"/>
              <w:right w:val="nil"/>
            </w:tcBorders>
            <w:shd w:val="clear" w:color="auto" w:fill="auto"/>
            <w:noWrap/>
          </w:tcPr>
          <w:p w14:paraId="19CFE168" w14:textId="77777777" w:rsidR="00616641" w:rsidRPr="0049701B" w:rsidRDefault="00616641" w:rsidP="007E3239">
            <w:pPr>
              <w:pStyle w:val="TableText"/>
              <w:jc w:val="right"/>
              <w:rPr>
                <w:rFonts w:cs="Calibri"/>
                <w:color w:val="000000"/>
              </w:rPr>
            </w:pPr>
            <w:r w:rsidRPr="0049701B">
              <w:t xml:space="preserve">–202.2 </w:t>
            </w:r>
          </w:p>
        </w:tc>
        <w:tc>
          <w:tcPr>
            <w:tcW w:w="737" w:type="dxa"/>
            <w:tcBorders>
              <w:top w:val="nil"/>
              <w:left w:val="nil"/>
              <w:bottom w:val="nil"/>
              <w:right w:val="nil"/>
            </w:tcBorders>
            <w:shd w:val="clear" w:color="auto" w:fill="auto"/>
            <w:noWrap/>
          </w:tcPr>
          <w:p w14:paraId="57071DC9" w14:textId="77777777" w:rsidR="00616641" w:rsidRPr="0049701B" w:rsidRDefault="00616641" w:rsidP="007E3239">
            <w:pPr>
              <w:pStyle w:val="TableText"/>
              <w:jc w:val="right"/>
              <w:rPr>
                <w:rFonts w:cs="Calibri"/>
                <w:color w:val="000000"/>
              </w:rPr>
            </w:pPr>
            <w:r w:rsidRPr="0049701B">
              <w:t xml:space="preserve">–262.5 </w:t>
            </w:r>
          </w:p>
        </w:tc>
        <w:tc>
          <w:tcPr>
            <w:tcW w:w="737" w:type="dxa"/>
            <w:tcBorders>
              <w:top w:val="nil"/>
              <w:left w:val="nil"/>
              <w:bottom w:val="nil"/>
              <w:right w:val="nil"/>
            </w:tcBorders>
            <w:shd w:val="clear" w:color="auto" w:fill="auto"/>
            <w:noWrap/>
          </w:tcPr>
          <w:p w14:paraId="470E7B0A" w14:textId="77777777" w:rsidR="00616641" w:rsidRPr="0049701B" w:rsidRDefault="00616641" w:rsidP="007E3239">
            <w:pPr>
              <w:pStyle w:val="TableText"/>
              <w:jc w:val="right"/>
              <w:rPr>
                <w:rFonts w:cs="Calibri"/>
                <w:color w:val="000000"/>
              </w:rPr>
            </w:pPr>
            <w:r w:rsidRPr="0049701B">
              <w:t xml:space="preserve">–325.5 </w:t>
            </w:r>
          </w:p>
        </w:tc>
        <w:tc>
          <w:tcPr>
            <w:tcW w:w="737" w:type="dxa"/>
            <w:tcBorders>
              <w:top w:val="nil"/>
              <w:left w:val="nil"/>
              <w:bottom w:val="nil"/>
              <w:right w:val="nil"/>
            </w:tcBorders>
            <w:shd w:val="clear" w:color="auto" w:fill="auto"/>
            <w:noWrap/>
          </w:tcPr>
          <w:p w14:paraId="1193125E" w14:textId="77777777" w:rsidR="00616641" w:rsidRPr="0049701B" w:rsidRDefault="00616641" w:rsidP="007E3239">
            <w:pPr>
              <w:pStyle w:val="TableText"/>
              <w:jc w:val="right"/>
              <w:rPr>
                <w:rFonts w:cs="Calibri"/>
                <w:color w:val="000000"/>
              </w:rPr>
            </w:pPr>
            <w:r w:rsidRPr="0049701B">
              <w:t xml:space="preserve">–375.2 </w:t>
            </w:r>
          </w:p>
        </w:tc>
        <w:tc>
          <w:tcPr>
            <w:tcW w:w="794" w:type="dxa"/>
            <w:tcBorders>
              <w:top w:val="nil"/>
              <w:left w:val="nil"/>
              <w:bottom w:val="nil"/>
              <w:right w:val="nil"/>
            </w:tcBorders>
            <w:shd w:val="clear" w:color="auto" w:fill="auto"/>
            <w:noWrap/>
          </w:tcPr>
          <w:p w14:paraId="52344A8F" w14:textId="77777777" w:rsidR="00616641" w:rsidRPr="0049701B" w:rsidRDefault="00616641" w:rsidP="007E3239">
            <w:pPr>
              <w:pStyle w:val="TableText"/>
              <w:jc w:val="right"/>
              <w:rPr>
                <w:rFonts w:cs="Calibri"/>
                <w:color w:val="000000"/>
              </w:rPr>
            </w:pPr>
            <w:r w:rsidRPr="0049701B">
              <w:t xml:space="preserve">–419.1 </w:t>
            </w:r>
          </w:p>
        </w:tc>
        <w:tc>
          <w:tcPr>
            <w:tcW w:w="794" w:type="dxa"/>
            <w:tcBorders>
              <w:top w:val="nil"/>
              <w:left w:val="nil"/>
              <w:bottom w:val="nil"/>
              <w:right w:val="nil"/>
            </w:tcBorders>
          </w:tcPr>
          <w:p w14:paraId="3B1D2272" w14:textId="77777777" w:rsidR="00616641" w:rsidRPr="0049701B" w:rsidRDefault="00616641" w:rsidP="007E3239">
            <w:pPr>
              <w:pStyle w:val="TableText"/>
              <w:jc w:val="right"/>
              <w:rPr>
                <w:rFonts w:cs="Calibri"/>
                <w:color w:val="000000"/>
              </w:rPr>
            </w:pPr>
            <w:r w:rsidRPr="0049701B">
              <w:t xml:space="preserve">–454.0 </w:t>
            </w:r>
          </w:p>
        </w:tc>
        <w:tc>
          <w:tcPr>
            <w:tcW w:w="794" w:type="dxa"/>
            <w:tcBorders>
              <w:top w:val="nil"/>
              <w:left w:val="nil"/>
              <w:bottom w:val="nil"/>
              <w:right w:val="nil"/>
            </w:tcBorders>
          </w:tcPr>
          <w:p w14:paraId="67BF48BA" w14:textId="77777777" w:rsidR="00616641" w:rsidRPr="0049701B" w:rsidRDefault="00616641" w:rsidP="007E3239">
            <w:pPr>
              <w:pStyle w:val="TableText"/>
              <w:jc w:val="right"/>
            </w:pPr>
            <w:r w:rsidRPr="0049701B">
              <w:t xml:space="preserve">–485.0 </w:t>
            </w:r>
          </w:p>
        </w:tc>
      </w:tr>
      <w:tr w:rsidR="00616641" w:rsidRPr="0049701B" w14:paraId="64370A58" w14:textId="77777777" w:rsidTr="007E3239">
        <w:tc>
          <w:tcPr>
            <w:tcW w:w="3822" w:type="dxa"/>
            <w:tcBorders>
              <w:top w:val="nil"/>
              <w:left w:val="nil"/>
              <w:bottom w:val="nil"/>
              <w:right w:val="nil"/>
            </w:tcBorders>
            <w:shd w:val="clear" w:color="auto" w:fill="auto"/>
            <w:noWrap/>
            <w:hideMark/>
          </w:tcPr>
          <w:p w14:paraId="6CAC28AC" w14:textId="77777777" w:rsidR="00616641" w:rsidRPr="0049701B" w:rsidRDefault="00616641" w:rsidP="007E3239">
            <w:pPr>
              <w:pStyle w:val="TableTextBold"/>
              <w:rPr>
                <w:rFonts w:cs="Calibri"/>
                <w:noProof w:val="0"/>
              </w:rPr>
            </w:pPr>
            <w:r w:rsidRPr="0049701B">
              <w:rPr>
                <w:rFonts w:cs="Calibri"/>
                <w:noProof w:val="0"/>
              </w:rPr>
              <w:t>Carbon equivalent forests</w:t>
            </w:r>
          </w:p>
        </w:tc>
        <w:tc>
          <w:tcPr>
            <w:tcW w:w="851" w:type="dxa"/>
            <w:tcBorders>
              <w:top w:val="nil"/>
              <w:left w:val="nil"/>
              <w:bottom w:val="nil"/>
              <w:right w:val="nil"/>
            </w:tcBorders>
            <w:shd w:val="clear" w:color="auto" w:fill="auto"/>
            <w:noWrap/>
            <w:hideMark/>
          </w:tcPr>
          <w:p w14:paraId="23A14074" w14:textId="77777777" w:rsidR="00616641" w:rsidRPr="0049701B" w:rsidRDefault="00616641" w:rsidP="007E3239">
            <w:pPr>
              <w:pStyle w:val="TableTextBold"/>
              <w:jc w:val="right"/>
              <w:rPr>
                <w:rFonts w:cs="Calibri"/>
                <w:noProof w:val="0"/>
              </w:rPr>
            </w:pPr>
          </w:p>
        </w:tc>
        <w:tc>
          <w:tcPr>
            <w:tcW w:w="794" w:type="dxa"/>
            <w:tcBorders>
              <w:top w:val="nil"/>
              <w:left w:val="nil"/>
              <w:bottom w:val="nil"/>
              <w:right w:val="nil"/>
            </w:tcBorders>
            <w:shd w:val="clear" w:color="auto" w:fill="auto"/>
            <w:noWrap/>
            <w:hideMark/>
          </w:tcPr>
          <w:p w14:paraId="7C326041" w14:textId="77777777" w:rsidR="00616641" w:rsidRPr="0049701B" w:rsidRDefault="00616641" w:rsidP="007E3239">
            <w:pPr>
              <w:pStyle w:val="TableTextBold"/>
              <w:jc w:val="right"/>
              <w:rPr>
                <w:rFonts w:cs="Calibri"/>
                <w:noProof w:val="0"/>
              </w:rPr>
            </w:pPr>
          </w:p>
        </w:tc>
        <w:tc>
          <w:tcPr>
            <w:tcW w:w="794" w:type="dxa"/>
            <w:tcBorders>
              <w:top w:val="nil"/>
              <w:left w:val="nil"/>
              <w:bottom w:val="nil"/>
              <w:right w:val="nil"/>
            </w:tcBorders>
            <w:shd w:val="clear" w:color="auto" w:fill="auto"/>
            <w:noWrap/>
            <w:hideMark/>
          </w:tcPr>
          <w:p w14:paraId="33A38DB5" w14:textId="77777777" w:rsidR="00616641" w:rsidRPr="0049701B" w:rsidRDefault="00616641" w:rsidP="007E3239">
            <w:pPr>
              <w:pStyle w:val="TableTextBold"/>
              <w:jc w:val="right"/>
              <w:rPr>
                <w:rFonts w:cs="Calibri"/>
                <w:noProof w:val="0"/>
              </w:rPr>
            </w:pPr>
          </w:p>
        </w:tc>
        <w:tc>
          <w:tcPr>
            <w:tcW w:w="794" w:type="dxa"/>
            <w:tcBorders>
              <w:top w:val="nil"/>
              <w:left w:val="nil"/>
              <w:bottom w:val="nil"/>
              <w:right w:val="nil"/>
            </w:tcBorders>
            <w:shd w:val="clear" w:color="auto" w:fill="auto"/>
            <w:noWrap/>
            <w:hideMark/>
          </w:tcPr>
          <w:p w14:paraId="24802868" w14:textId="77777777" w:rsidR="00616641" w:rsidRPr="0049701B" w:rsidRDefault="00616641" w:rsidP="007E3239">
            <w:pPr>
              <w:pStyle w:val="TableTextBold"/>
              <w:jc w:val="right"/>
              <w:rPr>
                <w:rFonts w:cs="Calibri"/>
                <w:noProof w:val="0"/>
              </w:rPr>
            </w:pPr>
          </w:p>
        </w:tc>
        <w:tc>
          <w:tcPr>
            <w:tcW w:w="794" w:type="dxa"/>
            <w:tcBorders>
              <w:top w:val="nil"/>
              <w:left w:val="nil"/>
              <w:bottom w:val="nil"/>
              <w:right w:val="nil"/>
            </w:tcBorders>
            <w:shd w:val="clear" w:color="auto" w:fill="auto"/>
            <w:noWrap/>
            <w:hideMark/>
          </w:tcPr>
          <w:p w14:paraId="639AD47A" w14:textId="77777777" w:rsidR="00616641" w:rsidRPr="0049701B" w:rsidRDefault="00616641" w:rsidP="007E3239">
            <w:pPr>
              <w:pStyle w:val="TableTextBold"/>
              <w:jc w:val="right"/>
              <w:rPr>
                <w:rFonts w:cs="Calibri"/>
                <w:noProof w:val="0"/>
              </w:rPr>
            </w:pPr>
          </w:p>
        </w:tc>
        <w:tc>
          <w:tcPr>
            <w:tcW w:w="794" w:type="dxa"/>
            <w:tcBorders>
              <w:top w:val="nil"/>
              <w:left w:val="nil"/>
              <w:bottom w:val="nil"/>
              <w:right w:val="nil"/>
            </w:tcBorders>
            <w:shd w:val="clear" w:color="auto" w:fill="auto"/>
            <w:noWrap/>
            <w:hideMark/>
          </w:tcPr>
          <w:p w14:paraId="45D63D16" w14:textId="77777777" w:rsidR="00616641" w:rsidRPr="0049701B" w:rsidRDefault="00616641" w:rsidP="007E3239">
            <w:pPr>
              <w:pStyle w:val="TableTextBold"/>
              <w:jc w:val="right"/>
              <w:rPr>
                <w:rFonts w:cs="Calibri"/>
                <w:noProof w:val="0"/>
              </w:rPr>
            </w:pPr>
          </w:p>
        </w:tc>
        <w:tc>
          <w:tcPr>
            <w:tcW w:w="794" w:type="dxa"/>
            <w:tcBorders>
              <w:top w:val="nil"/>
              <w:left w:val="nil"/>
              <w:bottom w:val="nil"/>
              <w:right w:val="nil"/>
            </w:tcBorders>
            <w:shd w:val="clear" w:color="auto" w:fill="auto"/>
            <w:noWrap/>
            <w:hideMark/>
          </w:tcPr>
          <w:p w14:paraId="46F25CFE" w14:textId="77777777" w:rsidR="00616641" w:rsidRPr="0049701B" w:rsidRDefault="00616641" w:rsidP="007E3239">
            <w:pPr>
              <w:pStyle w:val="TableTextBold"/>
              <w:jc w:val="right"/>
              <w:rPr>
                <w:rFonts w:cs="Calibri"/>
                <w:noProof w:val="0"/>
              </w:rPr>
            </w:pPr>
          </w:p>
        </w:tc>
        <w:tc>
          <w:tcPr>
            <w:tcW w:w="737" w:type="dxa"/>
            <w:tcBorders>
              <w:top w:val="nil"/>
              <w:left w:val="nil"/>
              <w:bottom w:val="nil"/>
              <w:right w:val="nil"/>
            </w:tcBorders>
            <w:shd w:val="clear" w:color="auto" w:fill="auto"/>
            <w:noWrap/>
            <w:hideMark/>
          </w:tcPr>
          <w:p w14:paraId="5AE65A9B" w14:textId="77777777" w:rsidR="00616641" w:rsidRPr="0049701B" w:rsidRDefault="00616641" w:rsidP="007E3239">
            <w:pPr>
              <w:pStyle w:val="TableTextBold"/>
              <w:jc w:val="right"/>
              <w:rPr>
                <w:rFonts w:cs="Calibri"/>
                <w:noProof w:val="0"/>
              </w:rPr>
            </w:pPr>
          </w:p>
        </w:tc>
        <w:tc>
          <w:tcPr>
            <w:tcW w:w="737" w:type="dxa"/>
            <w:tcBorders>
              <w:top w:val="nil"/>
              <w:left w:val="nil"/>
              <w:bottom w:val="nil"/>
              <w:right w:val="nil"/>
            </w:tcBorders>
            <w:shd w:val="clear" w:color="auto" w:fill="auto"/>
            <w:noWrap/>
            <w:hideMark/>
          </w:tcPr>
          <w:p w14:paraId="522EE072" w14:textId="77777777" w:rsidR="00616641" w:rsidRPr="0049701B" w:rsidRDefault="00616641" w:rsidP="007E3239">
            <w:pPr>
              <w:pStyle w:val="TableTextBold"/>
              <w:jc w:val="right"/>
              <w:rPr>
                <w:rFonts w:cs="Calibri"/>
                <w:noProof w:val="0"/>
              </w:rPr>
            </w:pPr>
          </w:p>
        </w:tc>
        <w:tc>
          <w:tcPr>
            <w:tcW w:w="737" w:type="dxa"/>
            <w:tcBorders>
              <w:top w:val="nil"/>
              <w:left w:val="nil"/>
              <w:bottom w:val="nil"/>
              <w:right w:val="nil"/>
            </w:tcBorders>
            <w:shd w:val="clear" w:color="auto" w:fill="auto"/>
            <w:noWrap/>
            <w:hideMark/>
          </w:tcPr>
          <w:p w14:paraId="6B656415" w14:textId="77777777" w:rsidR="00616641" w:rsidRPr="0049701B" w:rsidRDefault="00616641" w:rsidP="007E3239">
            <w:pPr>
              <w:pStyle w:val="TableTextBold"/>
              <w:jc w:val="right"/>
              <w:rPr>
                <w:rFonts w:cs="Calibri"/>
                <w:noProof w:val="0"/>
              </w:rPr>
            </w:pPr>
          </w:p>
        </w:tc>
        <w:tc>
          <w:tcPr>
            <w:tcW w:w="794" w:type="dxa"/>
            <w:tcBorders>
              <w:top w:val="nil"/>
              <w:left w:val="nil"/>
              <w:bottom w:val="nil"/>
              <w:right w:val="nil"/>
            </w:tcBorders>
            <w:shd w:val="clear" w:color="auto" w:fill="auto"/>
            <w:noWrap/>
            <w:hideMark/>
          </w:tcPr>
          <w:p w14:paraId="2BBD5E56" w14:textId="77777777" w:rsidR="00616641" w:rsidRPr="0049701B" w:rsidRDefault="00616641" w:rsidP="007E3239">
            <w:pPr>
              <w:pStyle w:val="TableTextBold"/>
              <w:jc w:val="right"/>
              <w:rPr>
                <w:rFonts w:cs="Calibri"/>
                <w:noProof w:val="0"/>
              </w:rPr>
            </w:pPr>
          </w:p>
        </w:tc>
        <w:tc>
          <w:tcPr>
            <w:tcW w:w="794" w:type="dxa"/>
            <w:tcBorders>
              <w:top w:val="nil"/>
              <w:left w:val="nil"/>
              <w:bottom w:val="nil"/>
              <w:right w:val="nil"/>
            </w:tcBorders>
          </w:tcPr>
          <w:p w14:paraId="1AD8C184" w14:textId="77777777" w:rsidR="00616641" w:rsidRPr="0049701B" w:rsidRDefault="00616641" w:rsidP="007E3239">
            <w:pPr>
              <w:pStyle w:val="TableTextBold"/>
              <w:jc w:val="right"/>
              <w:rPr>
                <w:rFonts w:cs="Calibri"/>
                <w:noProof w:val="0"/>
              </w:rPr>
            </w:pPr>
          </w:p>
        </w:tc>
        <w:tc>
          <w:tcPr>
            <w:tcW w:w="794" w:type="dxa"/>
            <w:tcBorders>
              <w:top w:val="nil"/>
              <w:left w:val="nil"/>
              <w:bottom w:val="nil"/>
              <w:right w:val="nil"/>
            </w:tcBorders>
          </w:tcPr>
          <w:p w14:paraId="0884A83E" w14:textId="77777777" w:rsidR="00616641" w:rsidRPr="0049701B" w:rsidRDefault="00616641" w:rsidP="007E3239">
            <w:pPr>
              <w:pStyle w:val="TableTextBold"/>
              <w:jc w:val="right"/>
              <w:rPr>
                <w:rFonts w:cs="Calibri"/>
                <w:noProof w:val="0"/>
              </w:rPr>
            </w:pPr>
          </w:p>
        </w:tc>
      </w:tr>
      <w:tr w:rsidR="00616641" w:rsidRPr="0049701B" w14:paraId="4D94E0D6" w14:textId="77777777" w:rsidTr="007E3239">
        <w:tc>
          <w:tcPr>
            <w:tcW w:w="3822" w:type="dxa"/>
            <w:tcBorders>
              <w:top w:val="nil"/>
              <w:left w:val="nil"/>
              <w:bottom w:val="nil"/>
              <w:right w:val="nil"/>
            </w:tcBorders>
            <w:shd w:val="clear" w:color="auto" w:fill="auto"/>
            <w:noWrap/>
            <w:hideMark/>
          </w:tcPr>
          <w:p w14:paraId="2E94B82C" w14:textId="77777777" w:rsidR="00616641" w:rsidRPr="0049701B" w:rsidRDefault="00616641" w:rsidP="007E3239">
            <w:pPr>
              <w:pStyle w:val="TableText"/>
              <w:rPr>
                <w:rFonts w:cs="Calibri"/>
              </w:rPr>
            </w:pPr>
            <w:r w:rsidRPr="0049701B">
              <w:rPr>
                <w:rFonts w:cs="Calibri"/>
              </w:rPr>
              <w:t>CEF – Newly established</w:t>
            </w:r>
          </w:p>
        </w:tc>
        <w:tc>
          <w:tcPr>
            <w:tcW w:w="851" w:type="dxa"/>
            <w:tcBorders>
              <w:top w:val="nil"/>
              <w:left w:val="nil"/>
              <w:bottom w:val="nil"/>
              <w:right w:val="nil"/>
            </w:tcBorders>
            <w:shd w:val="clear" w:color="auto" w:fill="auto"/>
            <w:noWrap/>
            <w:hideMark/>
          </w:tcPr>
          <w:p w14:paraId="1A6A4089" w14:textId="77777777" w:rsidR="00616641" w:rsidRPr="0049701B" w:rsidRDefault="00616641" w:rsidP="007E3239">
            <w:pPr>
              <w:pStyle w:val="TableText"/>
              <w:jc w:val="right"/>
              <w:rPr>
                <w:rFonts w:cs="Calibri"/>
              </w:rPr>
            </w:pPr>
            <w:r w:rsidRPr="0049701B">
              <w:t>–</w:t>
            </w:r>
          </w:p>
        </w:tc>
        <w:tc>
          <w:tcPr>
            <w:tcW w:w="794" w:type="dxa"/>
            <w:tcBorders>
              <w:top w:val="nil"/>
              <w:left w:val="nil"/>
              <w:bottom w:val="nil"/>
              <w:right w:val="nil"/>
            </w:tcBorders>
            <w:shd w:val="clear" w:color="auto" w:fill="auto"/>
            <w:noWrap/>
            <w:hideMark/>
          </w:tcPr>
          <w:p w14:paraId="793A855C" w14:textId="77777777" w:rsidR="00616641" w:rsidRPr="0049701B" w:rsidRDefault="00616641" w:rsidP="007E3239">
            <w:pPr>
              <w:pStyle w:val="TableText"/>
              <w:jc w:val="right"/>
              <w:rPr>
                <w:rFonts w:cs="Calibri"/>
              </w:rPr>
            </w:pPr>
            <w:r w:rsidRPr="0049701B">
              <w:t>–</w:t>
            </w:r>
          </w:p>
        </w:tc>
        <w:tc>
          <w:tcPr>
            <w:tcW w:w="794" w:type="dxa"/>
            <w:tcBorders>
              <w:top w:val="nil"/>
              <w:left w:val="nil"/>
              <w:bottom w:val="nil"/>
              <w:right w:val="nil"/>
            </w:tcBorders>
            <w:shd w:val="clear" w:color="auto" w:fill="auto"/>
            <w:noWrap/>
            <w:hideMark/>
          </w:tcPr>
          <w:p w14:paraId="551B0019" w14:textId="77777777" w:rsidR="00616641" w:rsidRPr="0049701B" w:rsidRDefault="00616641" w:rsidP="007E3239">
            <w:pPr>
              <w:pStyle w:val="TableText"/>
              <w:jc w:val="right"/>
              <w:rPr>
                <w:rFonts w:cs="Calibri"/>
              </w:rPr>
            </w:pPr>
            <w:r w:rsidRPr="0049701B">
              <w:t>–</w:t>
            </w:r>
          </w:p>
        </w:tc>
        <w:tc>
          <w:tcPr>
            <w:tcW w:w="794" w:type="dxa"/>
            <w:tcBorders>
              <w:top w:val="nil"/>
              <w:left w:val="nil"/>
              <w:bottom w:val="nil"/>
              <w:right w:val="nil"/>
            </w:tcBorders>
            <w:shd w:val="clear" w:color="auto" w:fill="auto"/>
            <w:noWrap/>
            <w:hideMark/>
          </w:tcPr>
          <w:p w14:paraId="07DFABA8" w14:textId="77777777" w:rsidR="00616641" w:rsidRPr="0049701B" w:rsidRDefault="00616641" w:rsidP="007E3239">
            <w:pPr>
              <w:pStyle w:val="TableText"/>
              <w:jc w:val="right"/>
              <w:rPr>
                <w:rFonts w:cs="Calibri"/>
              </w:rPr>
            </w:pPr>
            <w:r w:rsidRPr="0049701B">
              <w:t>–</w:t>
            </w:r>
          </w:p>
        </w:tc>
        <w:tc>
          <w:tcPr>
            <w:tcW w:w="794" w:type="dxa"/>
            <w:tcBorders>
              <w:top w:val="nil"/>
              <w:left w:val="nil"/>
              <w:bottom w:val="nil"/>
              <w:right w:val="nil"/>
            </w:tcBorders>
            <w:shd w:val="clear" w:color="auto" w:fill="auto"/>
            <w:noWrap/>
            <w:hideMark/>
          </w:tcPr>
          <w:p w14:paraId="2AC90714" w14:textId="77777777" w:rsidR="00616641" w:rsidRPr="0049701B" w:rsidRDefault="00616641" w:rsidP="007E3239">
            <w:pPr>
              <w:pStyle w:val="TableText"/>
              <w:jc w:val="right"/>
              <w:rPr>
                <w:rFonts w:cs="Calibri"/>
              </w:rPr>
            </w:pPr>
            <w:r w:rsidRPr="0049701B">
              <w:t>–</w:t>
            </w:r>
          </w:p>
        </w:tc>
        <w:tc>
          <w:tcPr>
            <w:tcW w:w="794" w:type="dxa"/>
            <w:tcBorders>
              <w:top w:val="nil"/>
              <w:left w:val="nil"/>
              <w:bottom w:val="nil"/>
              <w:right w:val="nil"/>
            </w:tcBorders>
            <w:shd w:val="clear" w:color="auto" w:fill="auto"/>
            <w:noWrap/>
            <w:hideMark/>
          </w:tcPr>
          <w:p w14:paraId="7D2142D5" w14:textId="77777777" w:rsidR="00616641" w:rsidRPr="0049701B" w:rsidRDefault="00616641" w:rsidP="007E3239">
            <w:pPr>
              <w:pStyle w:val="TableText"/>
              <w:jc w:val="right"/>
              <w:rPr>
                <w:rFonts w:cs="Calibri"/>
              </w:rPr>
            </w:pPr>
            <w:r w:rsidRPr="0049701B">
              <w:t>–</w:t>
            </w:r>
          </w:p>
        </w:tc>
        <w:tc>
          <w:tcPr>
            <w:tcW w:w="794" w:type="dxa"/>
            <w:tcBorders>
              <w:top w:val="nil"/>
              <w:left w:val="nil"/>
              <w:bottom w:val="nil"/>
              <w:right w:val="nil"/>
            </w:tcBorders>
            <w:shd w:val="clear" w:color="auto" w:fill="auto"/>
            <w:noWrap/>
            <w:hideMark/>
          </w:tcPr>
          <w:p w14:paraId="000DEAE8" w14:textId="77777777" w:rsidR="00616641" w:rsidRPr="0049701B" w:rsidRDefault="00616641" w:rsidP="007E3239">
            <w:pPr>
              <w:pStyle w:val="TableText"/>
              <w:jc w:val="right"/>
              <w:rPr>
                <w:rFonts w:cs="Calibri"/>
              </w:rPr>
            </w:pPr>
            <w:r w:rsidRPr="0049701B">
              <w:t>–</w:t>
            </w:r>
          </w:p>
        </w:tc>
        <w:tc>
          <w:tcPr>
            <w:tcW w:w="737" w:type="dxa"/>
            <w:tcBorders>
              <w:top w:val="nil"/>
              <w:left w:val="nil"/>
              <w:bottom w:val="nil"/>
              <w:right w:val="nil"/>
            </w:tcBorders>
            <w:shd w:val="clear" w:color="auto" w:fill="auto"/>
            <w:noWrap/>
            <w:hideMark/>
          </w:tcPr>
          <w:p w14:paraId="30F96DC5" w14:textId="77777777" w:rsidR="00616641" w:rsidRPr="0049701B" w:rsidRDefault="00616641" w:rsidP="007E3239">
            <w:pPr>
              <w:pStyle w:val="TableText"/>
              <w:jc w:val="right"/>
              <w:rPr>
                <w:rFonts w:cs="Calibri"/>
              </w:rPr>
            </w:pPr>
            <w:r w:rsidRPr="0049701B">
              <w:t>–</w:t>
            </w:r>
          </w:p>
        </w:tc>
        <w:tc>
          <w:tcPr>
            <w:tcW w:w="737" w:type="dxa"/>
            <w:tcBorders>
              <w:top w:val="nil"/>
              <w:left w:val="nil"/>
              <w:bottom w:val="nil"/>
              <w:right w:val="nil"/>
            </w:tcBorders>
            <w:shd w:val="clear" w:color="auto" w:fill="auto"/>
            <w:noWrap/>
            <w:hideMark/>
          </w:tcPr>
          <w:p w14:paraId="6BF4EDD7" w14:textId="77777777" w:rsidR="00616641" w:rsidRPr="0049701B" w:rsidRDefault="00616641" w:rsidP="007E3239">
            <w:pPr>
              <w:pStyle w:val="TableText"/>
              <w:jc w:val="right"/>
              <w:rPr>
                <w:rFonts w:cs="Calibri"/>
              </w:rPr>
            </w:pPr>
            <w:r w:rsidRPr="0049701B">
              <w:t xml:space="preserve"> 0.6 </w:t>
            </w:r>
          </w:p>
        </w:tc>
        <w:tc>
          <w:tcPr>
            <w:tcW w:w="737" w:type="dxa"/>
            <w:tcBorders>
              <w:top w:val="nil"/>
              <w:left w:val="nil"/>
              <w:bottom w:val="nil"/>
              <w:right w:val="nil"/>
            </w:tcBorders>
            <w:shd w:val="clear" w:color="auto" w:fill="auto"/>
            <w:noWrap/>
            <w:hideMark/>
          </w:tcPr>
          <w:p w14:paraId="2E553F54" w14:textId="77777777" w:rsidR="00616641" w:rsidRPr="0049701B" w:rsidRDefault="00616641" w:rsidP="007E3239">
            <w:pPr>
              <w:pStyle w:val="TableText"/>
              <w:jc w:val="right"/>
              <w:rPr>
                <w:rFonts w:cs="Calibri"/>
              </w:rPr>
            </w:pPr>
            <w:r w:rsidRPr="0049701B">
              <w:t xml:space="preserve"> 2.3 </w:t>
            </w:r>
          </w:p>
        </w:tc>
        <w:tc>
          <w:tcPr>
            <w:tcW w:w="794" w:type="dxa"/>
            <w:tcBorders>
              <w:top w:val="nil"/>
              <w:left w:val="nil"/>
              <w:bottom w:val="nil"/>
              <w:right w:val="nil"/>
            </w:tcBorders>
            <w:shd w:val="clear" w:color="auto" w:fill="auto"/>
            <w:noWrap/>
            <w:hideMark/>
          </w:tcPr>
          <w:p w14:paraId="176B347D" w14:textId="77777777" w:rsidR="00616641" w:rsidRPr="0049701B" w:rsidRDefault="00616641" w:rsidP="007E3239">
            <w:pPr>
              <w:pStyle w:val="TableText"/>
              <w:jc w:val="right"/>
              <w:rPr>
                <w:rFonts w:cs="Calibri"/>
              </w:rPr>
            </w:pPr>
            <w:r w:rsidRPr="0049701B">
              <w:t xml:space="preserve"> 4.1 </w:t>
            </w:r>
          </w:p>
        </w:tc>
        <w:tc>
          <w:tcPr>
            <w:tcW w:w="794" w:type="dxa"/>
            <w:tcBorders>
              <w:top w:val="nil"/>
              <w:left w:val="nil"/>
              <w:bottom w:val="nil"/>
              <w:right w:val="nil"/>
            </w:tcBorders>
          </w:tcPr>
          <w:p w14:paraId="06C95104" w14:textId="77777777" w:rsidR="00616641" w:rsidRPr="0049701B" w:rsidRDefault="00616641" w:rsidP="007E3239">
            <w:pPr>
              <w:pStyle w:val="TableText"/>
              <w:jc w:val="right"/>
              <w:rPr>
                <w:rFonts w:cs="Calibri"/>
              </w:rPr>
            </w:pPr>
            <w:r w:rsidRPr="0049701B">
              <w:t xml:space="preserve"> 4.7 </w:t>
            </w:r>
          </w:p>
        </w:tc>
        <w:tc>
          <w:tcPr>
            <w:tcW w:w="794" w:type="dxa"/>
            <w:tcBorders>
              <w:top w:val="nil"/>
              <w:left w:val="nil"/>
              <w:bottom w:val="nil"/>
              <w:right w:val="nil"/>
            </w:tcBorders>
          </w:tcPr>
          <w:p w14:paraId="7435C35E" w14:textId="77777777" w:rsidR="00616641" w:rsidRPr="0049701B" w:rsidRDefault="00616641" w:rsidP="007E3239">
            <w:pPr>
              <w:pStyle w:val="TableText"/>
              <w:jc w:val="right"/>
            </w:pPr>
            <w:r w:rsidRPr="0049701B">
              <w:t xml:space="preserve"> 4.9 </w:t>
            </w:r>
          </w:p>
        </w:tc>
      </w:tr>
      <w:tr w:rsidR="00616641" w:rsidRPr="0049701B" w14:paraId="2E2699AE" w14:textId="77777777" w:rsidTr="007E3239">
        <w:tc>
          <w:tcPr>
            <w:tcW w:w="3822" w:type="dxa"/>
            <w:tcBorders>
              <w:top w:val="nil"/>
              <w:left w:val="nil"/>
              <w:bottom w:val="single" w:sz="4" w:space="0" w:color="1B556B"/>
              <w:right w:val="nil"/>
            </w:tcBorders>
            <w:shd w:val="clear" w:color="auto" w:fill="auto"/>
            <w:hideMark/>
          </w:tcPr>
          <w:p w14:paraId="63825CF6" w14:textId="77777777" w:rsidR="00616641" w:rsidRPr="0049701B" w:rsidRDefault="00616641" w:rsidP="007E3239">
            <w:pPr>
              <w:pStyle w:val="TableText"/>
              <w:rPr>
                <w:rFonts w:cs="Calibri"/>
              </w:rPr>
            </w:pPr>
            <w:r w:rsidRPr="0049701B">
              <w:rPr>
                <w:rFonts w:cs="Calibri"/>
              </w:rPr>
              <w:t xml:space="preserve">CEF – Harvested and converted </w:t>
            </w:r>
          </w:p>
        </w:tc>
        <w:tc>
          <w:tcPr>
            <w:tcW w:w="851" w:type="dxa"/>
            <w:tcBorders>
              <w:top w:val="nil"/>
              <w:left w:val="nil"/>
              <w:bottom w:val="single" w:sz="4" w:space="0" w:color="1B556B"/>
              <w:right w:val="nil"/>
            </w:tcBorders>
            <w:shd w:val="clear" w:color="auto" w:fill="auto"/>
            <w:hideMark/>
          </w:tcPr>
          <w:p w14:paraId="1B3546CD" w14:textId="77777777" w:rsidR="00616641" w:rsidRPr="0049701B" w:rsidRDefault="00616641" w:rsidP="007E3239">
            <w:pPr>
              <w:pStyle w:val="TableText"/>
              <w:jc w:val="right"/>
              <w:rPr>
                <w:rFonts w:cs="Calibri"/>
              </w:rPr>
            </w:pPr>
            <w:r w:rsidRPr="0049701B">
              <w:t>–</w:t>
            </w:r>
          </w:p>
        </w:tc>
        <w:tc>
          <w:tcPr>
            <w:tcW w:w="794" w:type="dxa"/>
            <w:tcBorders>
              <w:top w:val="nil"/>
              <w:left w:val="nil"/>
              <w:bottom w:val="single" w:sz="4" w:space="0" w:color="1B556B"/>
              <w:right w:val="nil"/>
            </w:tcBorders>
            <w:shd w:val="clear" w:color="auto" w:fill="auto"/>
            <w:hideMark/>
          </w:tcPr>
          <w:p w14:paraId="65E9DC7E" w14:textId="77777777" w:rsidR="00616641" w:rsidRPr="0049701B" w:rsidRDefault="00616641" w:rsidP="007E3239">
            <w:pPr>
              <w:pStyle w:val="TableText"/>
              <w:jc w:val="right"/>
              <w:rPr>
                <w:rFonts w:cs="Calibri"/>
              </w:rPr>
            </w:pPr>
            <w:r w:rsidRPr="0049701B">
              <w:t>–</w:t>
            </w:r>
          </w:p>
        </w:tc>
        <w:tc>
          <w:tcPr>
            <w:tcW w:w="794" w:type="dxa"/>
            <w:tcBorders>
              <w:top w:val="nil"/>
              <w:left w:val="nil"/>
              <w:bottom w:val="single" w:sz="4" w:space="0" w:color="1B556B"/>
              <w:right w:val="nil"/>
            </w:tcBorders>
            <w:shd w:val="clear" w:color="auto" w:fill="auto"/>
            <w:hideMark/>
          </w:tcPr>
          <w:p w14:paraId="57BCCC8D" w14:textId="77777777" w:rsidR="00616641" w:rsidRPr="0049701B" w:rsidRDefault="00616641" w:rsidP="007E3239">
            <w:pPr>
              <w:pStyle w:val="TableText"/>
              <w:jc w:val="right"/>
              <w:rPr>
                <w:rFonts w:cs="Calibri"/>
              </w:rPr>
            </w:pPr>
            <w:r w:rsidRPr="0049701B">
              <w:t>–</w:t>
            </w:r>
          </w:p>
        </w:tc>
        <w:tc>
          <w:tcPr>
            <w:tcW w:w="794" w:type="dxa"/>
            <w:tcBorders>
              <w:top w:val="nil"/>
              <w:left w:val="nil"/>
              <w:bottom w:val="single" w:sz="4" w:space="0" w:color="1B556B"/>
              <w:right w:val="nil"/>
            </w:tcBorders>
            <w:shd w:val="clear" w:color="auto" w:fill="auto"/>
            <w:hideMark/>
          </w:tcPr>
          <w:p w14:paraId="010023F4" w14:textId="77777777" w:rsidR="00616641" w:rsidRPr="0049701B" w:rsidRDefault="00616641" w:rsidP="007E3239">
            <w:pPr>
              <w:pStyle w:val="TableText"/>
              <w:jc w:val="right"/>
              <w:rPr>
                <w:rFonts w:cs="Calibri"/>
              </w:rPr>
            </w:pPr>
            <w:r w:rsidRPr="0049701B">
              <w:t>–</w:t>
            </w:r>
          </w:p>
        </w:tc>
        <w:tc>
          <w:tcPr>
            <w:tcW w:w="794" w:type="dxa"/>
            <w:tcBorders>
              <w:top w:val="nil"/>
              <w:left w:val="nil"/>
              <w:bottom w:val="single" w:sz="4" w:space="0" w:color="1B556B"/>
              <w:right w:val="nil"/>
            </w:tcBorders>
            <w:shd w:val="clear" w:color="auto" w:fill="auto"/>
            <w:hideMark/>
          </w:tcPr>
          <w:p w14:paraId="7D6FFC3D" w14:textId="77777777" w:rsidR="00616641" w:rsidRPr="0049701B" w:rsidRDefault="00616641" w:rsidP="007E3239">
            <w:pPr>
              <w:pStyle w:val="TableText"/>
              <w:jc w:val="right"/>
              <w:rPr>
                <w:rFonts w:cs="Calibri"/>
              </w:rPr>
            </w:pPr>
            <w:r w:rsidRPr="0049701B">
              <w:t>–</w:t>
            </w:r>
          </w:p>
        </w:tc>
        <w:tc>
          <w:tcPr>
            <w:tcW w:w="794" w:type="dxa"/>
            <w:tcBorders>
              <w:top w:val="nil"/>
              <w:left w:val="nil"/>
              <w:bottom w:val="single" w:sz="4" w:space="0" w:color="1B556B"/>
              <w:right w:val="nil"/>
            </w:tcBorders>
            <w:shd w:val="clear" w:color="auto" w:fill="auto"/>
            <w:hideMark/>
          </w:tcPr>
          <w:p w14:paraId="4C2C9DA2" w14:textId="77777777" w:rsidR="00616641" w:rsidRPr="0049701B" w:rsidRDefault="00616641" w:rsidP="007E3239">
            <w:pPr>
              <w:pStyle w:val="TableText"/>
              <w:jc w:val="right"/>
              <w:rPr>
                <w:rFonts w:cs="Calibri"/>
              </w:rPr>
            </w:pPr>
            <w:r w:rsidRPr="0049701B">
              <w:t>–</w:t>
            </w:r>
          </w:p>
        </w:tc>
        <w:tc>
          <w:tcPr>
            <w:tcW w:w="794" w:type="dxa"/>
            <w:tcBorders>
              <w:top w:val="nil"/>
              <w:left w:val="nil"/>
              <w:bottom w:val="single" w:sz="4" w:space="0" w:color="1B556B"/>
              <w:right w:val="nil"/>
            </w:tcBorders>
            <w:shd w:val="clear" w:color="auto" w:fill="auto"/>
            <w:hideMark/>
          </w:tcPr>
          <w:p w14:paraId="66A81D66" w14:textId="77777777" w:rsidR="00616641" w:rsidRPr="0049701B" w:rsidRDefault="00616641" w:rsidP="007E3239">
            <w:pPr>
              <w:pStyle w:val="TableText"/>
              <w:jc w:val="right"/>
              <w:rPr>
                <w:rFonts w:cs="Calibri"/>
              </w:rPr>
            </w:pPr>
            <w:r w:rsidRPr="0049701B">
              <w:t xml:space="preserve"> 0.1 </w:t>
            </w:r>
          </w:p>
        </w:tc>
        <w:tc>
          <w:tcPr>
            <w:tcW w:w="737" w:type="dxa"/>
            <w:tcBorders>
              <w:top w:val="nil"/>
              <w:left w:val="nil"/>
              <w:bottom w:val="single" w:sz="4" w:space="0" w:color="1B556B"/>
              <w:right w:val="nil"/>
            </w:tcBorders>
            <w:shd w:val="clear" w:color="auto" w:fill="auto"/>
            <w:hideMark/>
          </w:tcPr>
          <w:p w14:paraId="5A7CD22E" w14:textId="77777777" w:rsidR="00616641" w:rsidRPr="0049701B" w:rsidRDefault="00616641" w:rsidP="007E3239">
            <w:pPr>
              <w:pStyle w:val="TableText"/>
              <w:jc w:val="right"/>
              <w:rPr>
                <w:rFonts w:cs="Calibri"/>
              </w:rPr>
            </w:pPr>
            <w:r w:rsidRPr="0049701B">
              <w:t xml:space="preserve"> 0.6 </w:t>
            </w:r>
          </w:p>
        </w:tc>
        <w:tc>
          <w:tcPr>
            <w:tcW w:w="737" w:type="dxa"/>
            <w:tcBorders>
              <w:top w:val="nil"/>
              <w:left w:val="nil"/>
              <w:bottom w:val="single" w:sz="4" w:space="0" w:color="1B556B"/>
              <w:right w:val="nil"/>
            </w:tcBorders>
            <w:shd w:val="clear" w:color="auto" w:fill="auto"/>
            <w:hideMark/>
          </w:tcPr>
          <w:p w14:paraId="01981FC8" w14:textId="77777777" w:rsidR="00616641" w:rsidRPr="0049701B" w:rsidRDefault="00616641" w:rsidP="007E3239">
            <w:pPr>
              <w:pStyle w:val="TableText"/>
              <w:jc w:val="right"/>
              <w:rPr>
                <w:rFonts w:cs="Calibri"/>
              </w:rPr>
            </w:pPr>
            <w:r w:rsidRPr="0049701B">
              <w:t xml:space="preserve"> 2.1 </w:t>
            </w:r>
          </w:p>
        </w:tc>
        <w:tc>
          <w:tcPr>
            <w:tcW w:w="737" w:type="dxa"/>
            <w:tcBorders>
              <w:top w:val="nil"/>
              <w:left w:val="nil"/>
              <w:bottom w:val="single" w:sz="4" w:space="0" w:color="1B556B"/>
              <w:right w:val="nil"/>
            </w:tcBorders>
            <w:shd w:val="clear" w:color="auto" w:fill="auto"/>
            <w:hideMark/>
          </w:tcPr>
          <w:p w14:paraId="4407F2CE" w14:textId="77777777" w:rsidR="00616641" w:rsidRPr="0049701B" w:rsidRDefault="00616641" w:rsidP="007E3239">
            <w:pPr>
              <w:pStyle w:val="TableText"/>
              <w:jc w:val="right"/>
              <w:rPr>
                <w:rFonts w:cs="Calibri"/>
              </w:rPr>
            </w:pPr>
            <w:r w:rsidRPr="0049701B">
              <w:t xml:space="preserve"> 3.3 </w:t>
            </w:r>
          </w:p>
        </w:tc>
        <w:tc>
          <w:tcPr>
            <w:tcW w:w="794" w:type="dxa"/>
            <w:tcBorders>
              <w:top w:val="nil"/>
              <w:left w:val="nil"/>
              <w:bottom w:val="single" w:sz="4" w:space="0" w:color="1B556B"/>
              <w:right w:val="nil"/>
            </w:tcBorders>
            <w:shd w:val="clear" w:color="auto" w:fill="auto"/>
            <w:hideMark/>
          </w:tcPr>
          <w:p w14:paraId="7FFA96AF" w14:textId="77777777" w:rsidR="00616641" w:rsidRPr="0049701B" w:rsidRDefault="00616641" w:rsidP="007E3239">
            <w:pPr>
              <w:pStyle w:val="TableText"/>
              <w:jc w:val="right"/>
              <w:rPr>
                <w:rFonts w:cs="Calibri"/>
              </w:rPr>
            </w:pPr>
            <w:r w:rsidRPr="0049701B">
              <w:t xml:space="preserve"> 3.8 </w:t>
            </w:r>
          </w:p>
        </w:tc>
        <w:tc>
          <w:tcPr>
            <w:tcW w:w="794" w:type="dxa"/>
            <w:tcBorders>
              <w:top w:val="nil"/>
              <w:left w:val="nil"/>
              <w:bottom w:val="single" w:sz="4" w:space="0" w:color="1B556B"/>
              <w:right w:val="nil"/>
            </w:tcBorders>
          </w:tcPr>
          <w:p w14:paraId="4B73B8AD" w14:textId="77777777" w:rsidR="00616641" w:rsidRPr="0049701B" w:rsidRDefault="00616641" w:rsidP="007E3239">
            <w:pPr>
              <w:pStyle w:val="TableText"/>
              <w:jc w:val="right"/>
              <w:rPr>
                <w:rFonts w:cs="Calibri"/>
              </w:rPr>
            </w:pPr>
            <w:r w:rsidRPr="0049701B">
              <w:t xml:space="preserve"> 3.9 </w:t>
            </w:r>
          </w:p>
        </w:tc>
        <w:tc>
          <w:tcPr>
            <w:tcW w:w="794" w:type="dxa"/>
            <w:tcBorders>
              <w:top w:val="nil"/>
              <w:left w:val="nil"/>
              <w:bottom w:val="single" w:sz="4" w:space="0" w:color="1B556B"/>
              <w:right w:val="nil"/>
            </w:tcBorders>
          </w:tcPr>
          <w:p w14:paraId="31809D7D" w14:textId="77777777" w:rsidR="00616641" w:rsidRPr="0049701B" w:rsidRDefault="00616641" w:rsidP="007E3239">
            <w:pPr>
              <w:pStyle w:val="TableText"/>
              <w:jc w:val="right"/>
            </w:pPr>
            <w:r w:rsidRPr="0049701B">
              <w:t xml:space="preserve"> 4.0 </w:t>
            </w:r>
          </w:p>
        </w:tc>
      </w:tr>
      <w:tr w:rsidR="00616641" w:rsidRPr="0049701B" w14:paraId="23EC0CC2" w14:textId="77777777" w:rsidTr="007E3239">
        <w:tc>
          <w:tcPr>
            <w:tcW w:w="3822" w:type="dxa"/>
            <w:tcBorders>
              <w:top w:val="single" w:sz="4" w:space="0" w:color="1B556B"/>
              <w:left w:val="nil"/>
              <w:bottom w:val="single" w:sz="4" w:space="0" w:color="1B556B"/>
              <w:right w:val="nil"/>
            </w:tcBorders>
            <w:shd w:val="clear" w:color="auto" w:fill="auto"/>
            <w:hideMark/>
          </w:tcPr>
          <w:p w14:paraId="19E276D0" w14:textId="77777777" w:rsidR="00616641" w:rsidRPr="0049701B" w:rsidRDefault="00616641" w:rsidP="007E3239">
            <w:pPr>
              <w:pStyle w:val="Tableboldblue"/>
              <w:rPr>
                <w:rFonts w:cs="Calibri"/>
              </w:rPr>
            </w:pPr>
            <w:r w:rsidRPr="0049701B">
              <w:rPr>
                <w:rFonts w:cs="Calibri"/>
              </w:rPr>
              <w:t>Total in Forest management but not Forest remaining forest</w:t>
            </w:r>
          </w:p>
        </w:tc>
        <w:tc>
          <w:tcPr>
            <w:tcW w:w="851" w:type="dxa"/>
            <w:tcBorders>
              <w:top w:val="single" w:sz="4" w:space="0" w:color="1B556B"/>
              <w:left w:val="nil"/>
              <w:bottom w:val="single" w:sz="4" w:space="0" w:color="1B556B"/>
              <w:right w:val="nil"/>
            </w:tcBorders>
            <w:shd w:val="clear" w:color="auto" w:fill="auto"/>
            <w:hideMark/>
          </w:tcPr>
          <w:p w14:paraId="1FF4D1CC" w14:textId="77777777" w:rsidR="00616641" w:rsidRPr="0049701B" w:rsidRDefault="00616641" w:rsidP="007E3239">
            <w:pPr>
              <w:pStyle w:val="Tableboldblue"/>
              <w:jc w:val="right"/>
              <w:rPr>
                <w:rFonts w:cs="Calibri"/>
              </w:rPr>
            </w:pPr>
            <w:r w:rsidRPr="0049701B">
              <w:t xml:space="preserve"> 30 </w:t>
            </w:r>
          </w:p>
        </w:tc>
        <w:tc>
          <w:tcPr>
            <w:tcW w:w="794" w:type="dxa"/>
            <w:tcBorders>
              <w:top w:val="single" w:sz="4" w:space="0" w:color="1B556B"/>
              <w:left w:val="nil"/>
              <w:bottom w:val="single" w:sz="4" w:space="0" w:color="1B556B"/>
              <w:right w:val="nil"/>
            </w:tcBorders>
            <w:shd w:val="clear" w:color="auto" w:fill="auto"/>
            <w:hideMark/>
          </w:tcPr>
          <w:p w14:paraId="0E21367C" w14:textId="77777777" w:rsidR="00616641" w:rsidRPr="0049701B" w:rsidRDefault="00616641" w:rsidP="007E3239">
            <w:pPr>
              <w:pStyle w:val="Tableboldblue"/>
              <w:jc w:val="right"/>
              <w:rPr>
                <w:rFonts w:cs="Calibri"/>
              </w:rPr>
            </w:pPr>
            <w:r w:rsidRPr="0049701B">
              <w:t xml:space="preserve">– </w:t>
            </w:r>
          </w:p>
        </w:tc>
        <w:tc>
          <w:tcPr>
            <w:tcW w:w="794" w:type="dxa"/>
            <w:tcBorders>
              <w:top w:val="single" w:sz="4" w:space="0" w:color="1B556B"/>
              <w:left w:val="nil"/>
              <w:bottom w:val="single" w:sz="4" w:space="0" w:color="1B556B"/>
              <w:right w:val="nil"/>
            </w:tcBorders>
            <w:shd w:val="clear" w:color="auto" w:fill="auto"/>
            <w:hideMark/>
          </w:tcPr>
          <w:p w14:paraId="2B33EF71" w14:textId="77777777" w:rsidR="00616641" w:rsidRPr="0049701B" w:rsidRDefault="00616641" w:rsidP="007E3239">
            <w:pPr>
              <w:pStyle w:val="Tableboldblue"/>
              <w:jc w:val="right"/>
              <w:rPr>
                <w:rFonts w:cs="Calibri"/>
              </w:rPr>
            </w:pPr>
            <w:r w:rsidRPr="0049701B">
              <w:t xml:space="preserve">–14 </w:t>
            </w:r>
          </w:p>
        </w:tc>
        <w:tc>
          <w:tcPr>
            <w:tcW w:w="794" w:type="dxa"/>
            <w:tcBorders>
              <w:top w:val="single" w:sz="4" w:space="0" w:color="1B556B"/>
              <w:left w:val="nil"/>
              <w:bottom w:val="single" w:sz="4" w:space="0" w:color="1B556B"/>
              <w:right w:val="nil"/>
            </w:tcBorders>
            <w:shd w:val="clear" w:color="auto" w:fill="auto"/>
            <w:hideMark/>
          </w:tcPr>
          <w:p w14:paraId="027584F7" w14:textId="77777777" w:rsidR="00616641" w:rsidRPr="0049701B" w:rsidRDefault="00616641" w:rsidP="007E3239">
            <w:pPr>
              <w:pStyle w:val="Tableboldblue"/>
              <w:jc w:val="right"/>
              <w:rPr>
                <w:rFonts w:cs="Calibri"/>
              </w:rPr>
            </w:pPr>
            <w:r w:rsidRPr="0049701B">
              <w:t xml:space="preserve">–28 </w:t>
            </w:r>
          </w:p>
        </w:tc>
        <w:tc>
          <w:tcPr>
            <w:tcW w:w="794" w:type="dxa"/>
            <w:tcBorders>
              <w:top w:val="single" w:sz="4" w:space="0" w:color="1B556B"/>
              <w:left w:val="nil"/>
              <w:bottom w:val="single" w:sz="4" w:space="0" w:color="1B556B"/>
              <w:right w:val="nil"/>
            </w:tcBorders>
            <w:shd w:val="clear" w:color="auto" w:fill="auto"/>
            <w:hideMark/>
          </w:tcPr>
          <w:p w14:paraId="717AB312" w14:textId="77777777" w:rsidR="00616641" w:rsidRPr="0049701B" w:rsidRDefault="00616641" w:rsidP="007E3239">
            <w:pPr>
              <w:pStyle w:val="Tableboldblue"/>
              <w:jc w:val="right"/>
              <w:rPr>
                <w:rFonts w:cs="Calibri"/>
              </w:rPr>
            </w:pPr>
            <w:r w:rsidRPr="0049701B">
              <w:t xml:space="preserve">–70 </w:t>
            </w:r>
          </w:p>
        </w:tc>
        <w:tc>
          <w:tcPr>
            <w:tcW w:w="794" w:type="dxa"/>
            <w:tcBorders>
              <w:top w:val="single" w:sz="4" w:space="0" w:color="1B556B"/>
              <w:left w:val="nil"/>
              <w:bottom w:val="single" w:sz="4" w:space="0" w:color="1B556B"/>
              <w:right w:val="nil"/>
            </w:tcBorders>
            <w:shd w:val="clear" w:color="auto" w:fill="auto"/>
            <w:hideMark/>
          </w:tcPr>
          <w:p w14:paraId="0B34B45A" w14:textId="77777777" w:rsidR="00616641" w:rsidRPr="0049701B" w:rsidRDefault="00616641" w:rsidP="007E3239">
            <w:pPr>
              <w:pStyle w:val="Tableboldblue"/>
              <w:jc w:val="right"/>
              <w:rPr>
                <w:rFonts w:cs="Calibri"/>
              </w:rPr>
            </w:pPr>
            <w:r w:rsidRPr="0049701B">
              <w:t xml:space="preserve">–121 </w:t>
            </w:r>
          </w:p>
        </w:tc>
        <w:tc>
          <w:tcPr>
            <w:tcW w:w="794" w:type="dxa"/>
            <w:tcBorders>
              <w:top w:val="single" w:sz="4" w:space="0" w:color="1B556B"/>
              <w:left w:val="nil"/>
              <w:bottom w:val="single" w:sz="4" w:space="0" w:color="1B556B"/>
              <w:right w:val="nil"/>
            </w:tcBorders>
            <w:shd w:val="clear" w:color="auto" w:fill="auto"/>
            <w:hideMark/>
          </w:tcPr>
          <w:p w14:paraId="7FF7A002" w14:textId="77777777" w:rsidR="00616641" w:rsidRPr="0049701B" w:rsidRDefault="00616641" w:rsidP="007E3239">
            <w:pPr>
              <w:pStyle w:val="Tableboldblue"/>
              <w:jc w:val="right"/>
              <w:rPr>
                <w:rFonts w:cs="Calibri"/>
              </w:rPr>
            </w:pPr>
            <w:r w:rsidRPr="0049701B">
              <w:t xml:space="preserve">–202 </w:t>
            </w:r>
          </w:p>
        </w:tc>
        <w:tc>
          <w:tcPr>
            <w:tcW w:w="737" w:type="dxa"/>
            <w:tcBorders>
              <w:top w:val="single" w:sz="4" w:space="0" w:color="1B556B"/>
              <w:left w:val="nil"/>
              <w:bottom w:val="single" w:sz="4" w:space="0" w:color="1B556B"/>
              <w:right w:val="nil"/>
            </w:tcBorders>
            <w:shd w:val="clear" w:color="auto" w:fill="auto"/>
            <w:hideMark/>
          </w:tcPr>
          <w:p w14:paraId="59C25939" w14:textId="77777777" w:rsidR="00616641" w:rsidRPr="0049701B" w:rsidRDefault="00616641" w:rsidP="007E3239">
            <w:pPr>
              <w:pStyle w:val="Tableboldblue"/>
              <w:jc w:val="right"/>
              <w:rPr>
                <w:rFonts w:cs="Calibri"/>
              </w:rPr>
            </w:pPr>
            <w:r w:rsidRPr="0049701B">
              <w:t xml:space="preserve">–262 </w:t>
            </w:r>
          </w:p>
        </w:tc>
        <w:tc>
          <w:tcPr>
            <w:tcW w:w="737" w:type="dxa"/>
            <w:tcBorders>
              <w:top w:val="single" w:sz="4" w:space="0" w:color="1B556B"/>
              <w:left w:val="nil"/>
              <w:bottom w:val="single" w:sz="4" w:space="0" w:color="1B556B"/>
              <w:right w:val="nil"/>
            </w:tcBorders>
            <w:shd w:val="clear" w:color="auto" w:fill="auto"/>
            <w:hideMark/>
          </w:tcPr>
          <w:p w14:paraId="0FE5BA26" w14:textId="77777777" w:rsidR="00616641" w:rsidRPr="0049701B" w:rsidRDefault="00616641" w:rsidP="007E3239">
            <w:pPr>
              <w:pStyle w:val="Tableboldblue"/>
              <w:jc w:val="right"/>
              <w:rPr>
                <w:rFonts w:cs="Calibri"/>
              </w:rPr>
            </w:pPr>
            <w:r w:rsidRPr="0049701B">
              <w:t xml:space="preserve">–323 </w:t>
            </w:r>
          </w:p>
        </w:tc>
        <w:tc>
          <w:tcPr>
            <w:tcW w:w="737" w:type="dxa"/>
            <w:tcBorders>
              <w:top w:val="single" w:sz="4" w:space="0" w:color="1B556B"/>
              <w:left w:val="nil"/>
              <w:bottom w:val="single" w:sz="4" w:space="0" w:color="1B556B"/>
              <w:right w:val="nil"/>
            </w:tcBorders>
            <w:shd w:val="clear" w:color="auto" w:fill="auto"/>
            <w:hideMark/>
          </w:tcPr>
          <w:p w14:paraId="7B23007E" w14:textId="77777777" w:rsidR="00616641" w:rsidRPr="0049701B" w:rsidRDefault="00616641" w:rsidP="007E3239">
            <w:pPr>
              <w:pStyle w:val="Tableboldblue"/>
              <w:jc w:val="right"/>
              <w:rPr>
                <w:rFonts w:cs="Calibri"/>
              </w:rPr>
            </w:pPr>
            <w:r w:rsidRPr="0049701B">
              <w:t xml:space="preserve">–370 </w:t>
            </w:r>
          </w:p>
        </w:tc>
        <w:tc>
          <w:tcPr>
            <w:tcW w:w="794" w:type="dxa"/>
            <w:tcBorders>
              <w:top w:val="single" w:sz="4" w:space="0" w:color="1B556B"/>
              <w:left w:val="nil"/>
              <w:bottom w:val="single" w:sz="4" w:space="0" w:color="1B556B"/>
              <w:right w:val="nil"/>
            </w:tcBorders>
            <w:shd w:val="clear" w:color="auto" w:fill="auto"/>
            <w:hideMark/>
          </w:tcPr>
          <w:p w14:paraId="08D6E6ED" w14:textId="77777777" w:rsidR="00616641" w:rsidRPr="0049701B" w:rsidRDefault="00616641" w:rsidP="007E3239">
            <w:pPr>
              <w:pStyle w:val="Tableboldblue"/>
              <w:jc w:val="right"/>
              <w:rPr>
                <w:rFonts w:cs="Calibri"/>
              </w:rPr>
            </w:pPr>
            <w:r w:rsidRPr="0049701B">
              <w:t xml:space="preserve">–411 </w:t>
            </w:r>
          </w:p>
        </w:tc>
        <w:tc>
          <w:tcPr>
            <w:tcW w:w="794" w:type="dxa"/>
            <w:tcBorders>
              <w:top w:val="single" w:sz="4" w:space="0" w:color="1B556B"/>
              <w:left w:val="nil"/>
              <w:bottom w:val="single" w:sz="4" w:space="0" w:color="1B556B"/>
              <w:right w:val="nil"/>
            </w:tcBorders>
          </w:tcPr>
          <w:p w14:paraId="3765BD08" w14:textId="77777777" w:rsidR="00616641" w:rsidRPr="0049701B" w:rsidRDefault="00616641" w:rsidP="007E3239">
            <w:pPr>
              <w:pStyle w:val="Tableboldblue"/>
              <w:jc w:val="right"/>
              <w:rPr>
                <w:rFonts w:cs="Calibri"/>
              </w:rPr>
            </w:pPr>
            <w:r w:rsidRPr="0049701B">
              <w:t xml:space="preserve">–445 </w:t>
            </w:r>
          </w:p>
        </w:tc>
        <w:tc>
          <w:tcPr>
            <w:tcW w:w="794" w:type="dxa"/>
            <w:tcBorders>
              <w:top w:val="single" w:sz="4" w:space="0" w:color="1B556B"/>
              <w:left w:val="nil"/>
              <w:bottom w:val="single" w:sz="4" w:space="0" w:color="1B556B"/>
              <w:right w:val="nil"/>
            </w:tcBorders>
          </w:tcPr>
          <w:p w14:paraId="5511B8D1" w14:textId="77777777" w:rsidR="00616641" w:rsidRPr="0049701B" w:rsidRDefault="00616641" w:rsidP="007E3239">
            <w:pPr>
              <w:pStyle w:val="Tableboldblue"/>
              <w:jc w:val="right"/>
            </w:pPr>
            <w:r w:rsidRPr="0049701B">
              <w:t xml:space="preserve">–476 </w:t>
            </w:r>
          </w:p>
        </w:tc>
      </w:tr>
    </w:tbl>
    <w:p w14:paraId="31B2385B" w14:textId="77777777" w:rsidR="00616641" w:rsidRPr="0049701B" w:rsidRDefault="00616641" w:rsidP="00616641">
      <w:pPr>
        <w:pStyle w:val="Noteundertable"/>
      </w:pPr>
      <w:r w:rsidRPr="0049701B">
        <w:rPr>
          <w:b/>
        </w:rPr>
        <w:t>Note:</w:t>
      </w:r>
      <w:r w:rsidRPr="0049701B">
        <w:rPr>
          <w:bCs/>
        </w:rPr>
        <w:t xml:space="preserve"> </w:t>
      </w:r>
      <w:r w:rsidRPr="0049701B">
        <w:tab/>
        <w:t>A&amp;R = Afforestation and reforestation; CEF = carbon equivalent forest; FM = Forest management; kha = kilohectare. Columns may not total due to rounding.</w:t>
      </w:r>
    </w:p>
    <w:p w14:paraId="1D28D8A5" w14:textId="77777777" w:rsidR="00616641" w:rsidRPr="0049701B" w:rsidRDefault="00616641" w:rsidP="00616641">
      <w:pPr>
        <w:pStyle w:val="BodyText"/>
      </w:pPr>
    </w:p>
    <w:p w14:paraId="430C06C3" w14:textId="77777777" w:rsidR="00616641" w:rsidRPr="0049701B" w:rsidRDefault="00616641" w:rsidP="00616641">
      <w:pPr>
        <w:pStyle w:val="BodyText"/>
      </w:pPr>
    </w:p>
    <w:p w14:paraId="3F6C31FE" w14:textId="77777777" w:rsidR="00616641" w:rsidRPr="0049701B" w:rsidRDefault="00616641" w:rsidP="00616641">
      <w:pPr>
        <w:pStyle w:val="BodyText"/>
        <w:sectPr w:rsidR="00616641" w:rsidRPr="0049701B" w:rsidSect="00EC0766">
          <w:footerReference w:type="default" r:id="rId273"/>
          <w:pgSz w:w="16840" w:h="11907" w:orient="landscape" w:code="9"/>
          <w:pgMar w:top="1701" w:right="1418" w:bottom="1701" w:left="1418" w:header="567" w:footer="567" w:gutter="0"/>
          <w:cols w:space="720"/>
          <w:docGrid w:linePitch="299"/>
        </w:sectPr>
      </w:pPr>
    </w:p>
    <w:p w14:paraId="34C6BE3B" w14:textId="77777777" w:rsidR="00616641" w:rsidRPr="0049701B" w:rsidRDefault="00616641" w:rsidP="00616641">
      <w:pPr>
        <w:pStyle w:val="Heading4"/>
        <w:spacing w:before="0"/>
      </w:pPr>
      <w:bookmarkStart w:id="2820" w:name="_Hlk56416743"/>
      <w:r w:rsidRPr="0049701B">
        <w:lastRenderedPageBreak/>
        <w:t>Government initiatives and legislation</w:t>
      </w:r>
    </w:p>
    <w:p w14:paraId="477CB8EC" w14:textId="77777777" w:rsidR="00616641" w:rsidRPr="0049701B" w:rsidRDefault="00616641" w:rsidP="00616641">
      <w:pPr>
        <w:pStyle w:val="BodyText"/>
        <w:spacing w:after="100"/>
      </w:pPr>
      <w:r w:rsidRPr="0049701B">
        <w:t>Since 1993, the New Zealand Government has introduced legislation and government initiatives to encourage forest establishment and discourage deforestation</w:t>
      </w:r>
      <w:bookmarkEnd w:id="2820"/>
      <w:r w:rsidRPr="0049701B">
        <w:t>. These measures are summarised below.</w:t>
      </w:r>
    </w:p>
    <w:p w14:paraId="16CF0742" w14:textId="77777777" w:rsidR="00616641" w:rsidRPr="0049701B" w:rsidRDefault="00616641" w:rsidP="00616641">
      <w:pPr>
        <w:pStyle w:val="Bullet"/>
        <w:spacing w:before="80"/>
      </w:pPr>
      <w:r w:rsidRPr="0049701B">
        <w:t>Climate Change Response Act 2002 (amended 8 December 2009 and 22 June 2020)</w:t>
      </w:r>
    </w:p>
    <w:p w14:paraId="1F563A6F" w14:textId="77777777" w:rsidR="00616641" w:rsidRPr="0049701B" w:rsidRDefault="00616641" w:rsidP="00616641">
      <w:pPr>
        <w:pStyle w:val="BodyText"/>
        <w:spacing w:before="0" w:after="240"/>
        <w:ind w:left="397"/>
      </w:pPr>
      <w:r w:rsidRPr="0049701B">
        <w:t xml:space="preserve">The NZ ETS was introduced under the Climate Change Response Act 2002. </w:t>
      </w:r>
      <w:r w:rsidRPr="0049701B">
        <w:rPr>
          <w:i/>
        </w:rPr>
        <w:t>Forest land</w:t>
      </w:r>
      <w:r w:rsidRPr="0049701B">
        <w:t xml:space="preserve"> was introduced into the scheme on 1 January 2008. Under the scheme, owners of post</w:t>
      </w:r>
      <w:r w:rsidRPr="0049701B">
        <w:noBreakHyphen/>
        <w:t>1989 forest land have been able to voluntarily participate in the NZ ETS and receive</w:t>
      </w:r>
      <w:r>
        <w:t> </w:t>
      </w:r>
      <w:r w:rsidRPr="0049701B">
        <w:t xml:space="preserve">emission units (New Zealand Units (NZUs)) for increases in carbon stocks. Recent participants in the NZ ETS may claim units for increases in carbon stocks from the start of the previous emissions reporting period for the NZ ETS, the most recent of which is 2018. </w:t>
      </w:r>
      <w:r w:rsidRPr="0049701B">
        <w:rPr>
          <w:rFonts w:ascii="Segoe UI" w:hAnsi="Segoe UI" w:cs="Segoe UI"/>
          <w:color w:val="242424"/>
          <w:sz w:val="21"/>
          <w:szCs w:val="21"/>
          <w:shd w:val="clear" w:color="auto" w:fill="FFFFFF"/>
        </w:rPr>
        <w:t>Participants can also claim units annually through a voluntary emissions return.</w:t>
      </w:r>
      <w:r w:rsidRPr="0049701B">
        <w:t xml:space="preserve"> </w:t>
      </w:r>
    </w:p>
    <w:p w14:paraId="4A0C646E" w14:textId="77777777" w:rsidR="00616641" w:rsidRPr="0049701B" w:rsidRDefault="00616641" w:rsidP="00616641">
      <w:pPr>
        <w:pStyle w:val="Bullet"/>
        <w:numPr>
          <w:ilvl w:val="0"/>
          <w:numId w:val="18"/>
        </w:numPr>
      </w:pPr>
      <w:r w:rsidRPr="0049701B">
        <w:t>Erosion Control Funding Programme</w:t>
      </w:r>
      <w:r w:rsidRPr="0049701B" w:rsidDel="004A3481">
        <w:t xml:space="preserve"> </w:t>
      </w:r>
    </w:p>
    <w:p w14:paraId="58759AF7" w14:textId="77777777" w:rsidR="00616641" w:rsidRPr="0049701B" w:rsidRDefault="00616641" w:rsidP="00616641">
      <w:pPr>
        <w:pStyle w:val="BodyText"/>
        <w:spacing w:before="0" w:after="240"/>
        <w:ind w:left="397"/>
      </w:pPr>
      <w:r w:rsidRPr="0049701B">
        <w:t>The Erosion Control Funding Programme, formerly the East Coast Forestry Project, is a grant scheme that was established in 1992. It aimed to address soil erosion on the worst eroding land in the Gisborne District through planting trees or encouraging natural reversion to native bush (Ministry for Primary Industries, 2014). To date, 40,342 hectares of forest have been established under the scheme. This programme was discontinued in 2018 and superseded by the One Billion Trees Programme (see below).</w:t>
      </w:r>
    </w:p>
    <w:p w14:paraId="32C6C8C1" w14:textId="77777777" w:rsidR="00616641" w:rsidRPr="0049701B" w:rsidRDefault="00616641" w:rsidP="00616641">
      <w:pPr>
        <w:pStyle w:val="Bullet"/>
        <w:numPr>
          <w:ilvl w:val="0"/>
          <w:numId w:val="18"/>
        </w:numPr>
      </w:pPr>
      <w:r w:rsidRPr="0049701B">
        <w:t xml:space="preserve">Permanent Forest Sink Initiative </w:t>
      </w:r>
    </w:p>
    <w:p w14:paraId="0F10517C" w14:textId="77777777" w:rsidR="00616641" w:rsidRPr="0049701B" w:rsidRDefault="00616641" w:rsidP="00616641">
      <w:pPr>
        <w:pStyle w:val="BodyText"/>
        <w:spacing w:before="0" w:after="240"/>
        <w:ind w:left="397"/>
      </w:pPr>
      <w:r w:rsidRPr="0049701B">
        <w:t>The Permanent Forest Sink Initiative enables land owners to earn carbon credits through the establishment of permanent forests on land that was not forested before 1990 (Ministry for Primary Industries, 2015b). In total, 15,584 hectares have been registered under this scheme. In 2018 it was announced that the scheme would be discontinued and replaced by a permanent post-1989 forest category in the NZ ETS in 2023.</w:t>
      </w:r>
    </w:p>
    <w:p w14:paraId="0012AC76" w14:textId="77777777" w:rsidR="00616641" w:rsidRPr="0049701B" w:rsidRDefault="00616641" w:rsidP="00616641">
      <w:pPr>
        <w:pStyle w:val="Bullet"/>
        <w:numPr>
          <w:ilvl w:val="0"/>
          <w:numId w:val="18"/>
        </w:numPr>
      </w:pPr>
      <w:r w:rsidRPr="0049701B">
        <w:t xml:space="preserve">Hill Country Erosion Programme </w:t>
      </w:r>
    </w:p>
    <w:p w14:paraId="676ED6FF" w14:textId="77777777" w:rsidR="00616641" w:rsidRPr="0049701B" w:rsidRDefault="00616641" w:rsidP="00616641">
      <w:pPr>
        <w:pStyle w:val="BodyText"/>
        <w:spacing w:before="0" w:after="240"/>
        <w:ind w:left="397"/>
      </w:pPr>
      <w:r w:rsidRPr="0049701B">
        <w:rPr>
          <w:spacing w:val="-2"/>
        </w:rPr>
        <w:t xml:space="preserve">The Hill Country Erosion Programme, like the Erosion Control Funding Programme, is focused on the retiring and afforestation of erosion-prone, hill-country </w:t>
      </w:r>
      <w:r w:rsidRPr="0049701B">
        <w:t>land</w:t>
      </w:r>
      <w:r w:rsidRPr="0049701B">
        <w:rPr>
          <w:spacing w:val="-2"/>
        </w:rPr>
        <w:t xml:space="preserve">. </w:t>
      </w:r>
      <w:r w:rsidRPr="0049701B">
        <w:t xml:space="preserve">This programme focuses on giving councils additional resourcing to build their technical capability, give advice to land owners of erosion-prone land, and supports the planting of trees and establishment of forests. </w:t>
      </w:r>
      <w:r w:rsidRPr="0049701B">
        <w:rPr>
          <w:spacing w:val="-2"/>
        </w:rPr>
        <w:t>It underwent a review in 2011 and continues with an expanded target area throughout erosion-prone land in the North Island (Ministry for Primary Industries, 2015c). To date, 16,289 hectares of plantings have been established under this scheme, of which 5,882 hectares meet the definition of forest land.</w:t>
      </w:r>
    </w:p>
    <w:p w14:paraId="223AF451" w14:textId="77777777" w:rsidR="00616641" w:rsidRPr="0049701B" w:rsidRDefault="00616641" w:rsidP="00616641">
      <w:pPr>
        <w:pStyle w:val="Bullet"/>
        <w:numPr>
          <w:ilvl w:val="0"/>
          <w:numId w:val="18"/>
        </w:numPr>
      </w:pPr>
      <w:r w:rsidRPr="0049701B">
        <w:t xml:space="preserve">Afforestation Grant Scheme </w:t>
      </w:r>
    </w:p>
    <w:p w14:paraId="4ABB9C52" w14:textId="77777777" w:rsidR="00616641" w:rsidRPr="0049701B" w:rsidRDefault="00616641" w:rsidP="00616641">
      <w:pPr>
        <w:pStyle w:val="BodyText"/>
        <w:spacing w:before="0" w:after="240"/>
        <w:ind w:left="397"/>
      </w:pPr>
      <w:r w:rsidRPr="0049701B">
        <w:t>The Afforestation Grant Scheme was first established in 2008 to promote carbon sequestration, reduce soil erosion and improve water quality. The first round of the scheme established 9,343 hectares of new forest between 2008 and 2013. A second afforestation grant scheme was established in 2015, and 7,846 hectares of new forest were established under this scheme (Ministry for Primary Industries, 2015a). The scheme was replaced by the One Billion Trees Programme in 2018.</w:t>
      </w:r>
    </w:p>
    <w:p w14:paraId="1A68C7EA" w14:textId="77777777" w:rsidR="00616641" w:rsidRPr="0049701B" w:rsidRDefault="00616641" w:rsidP="00616641">
      <w:pPr>
        <w:keepNext/>
        <w:numPr>
          <w:ilvl w:val="0"/>
          <w:numId w:val="18"/>
        </w:numPr>
        <w:tabs>
          <w:tab w:val="left" w:pos="397"/>
        </w:tabs>
        <w:spacing w:after="120"/>
      </w:pPr>
      <w:r w:rsidRPr="0049701B">
        <w:lastRenderedPageBreak/>
        <w:t xml:space="preserve">One Billion Trees Programme </w:t>
      </w:r>
    </w:p>
    <w:p w14:paraId="40CA127B" w14:textId="77777777" w:rsidR="00616641" w:rsidRPr="0049701B" w:rsidRDefault="00616641" w:rsidP="00616641">
      <w:pPr>
        <w:pStyle w:val="BodyText"/>
        <w:spacing w:before="0" w:after="100"/>
        <w:ind w:left="397"/>
      </w:pPr>
      <w:r w:rsidRPr="0049701B">
        <w:t>The One Billion Trees Programme was established in 2018 to support individuals and groups across New Zealand to plant trees and manage land sustainably. Te Uru Rākau works in partnership with land owners and organisations to achieve the goal of planting 1 billion trees by 2028 (Te Uru Rākau, 2018). Since the programme was announced, to the end of 2020, 258,686,000 trees have been planted.</w:t>
      </w:r>
    </w:p>
    <w:p w14:paraId="2333D48C" w14:textId="77777777" w:rsidR="00616641" w:rsidRPr="0049701B" w:rsidRDefault="00616641" w:rsidP="00616641">
      <w:pPr>
        <w:pStyle w:val="BodyText"/>
        <w:spacing w:after="100"/>
        <w:rPr>
          <w:spacing w:val="-2"/>
        </w:rPr>
      </w:pPr>
      <w:r w:rsidRPr="0049701B">
        <w:t xml:space="preserve">In addition to government policies and legislation, afforestation and deforestation rates in New Zealand have also been driven by market conditions. For example, </w:t>
      </w:r>
      <w:r w:rsidRPr="0049701B">
        <w:rPr>
          <w:spacing w:val="-2"/>
        </w:rPr>
        <w:t xml:space="preserve">new planting rates were high from 1992 to 1998, averaging 60,533 hectares per year. This is attributed to the taxation regime, an unprecedented price </w:t>
      </w:r>
      <w:r w:rsidRPr="0049701B">
        <w:t>spike</w:t>
      </w:r>
      <w:r w:rsidRPr="0049701B">
        <w:rPr>
          <w:spacing w:val="-2"/>
        </w:rPr>
        <w:t xml:space="preserve"> for forest products with subsequent favourable publicity, a government focus on forestry as an instrument for regional development and the conclusion of the state forest assets sale. The removal of agricultural subsidies and the poor performance of the New Zealand and international share markets also encouraged investors to</w:t>
      </w:r>
      <w:r>
        <w:rPr>
          <w:spacing w:val="-2"/>
        </w:rPr>
        <w:t> </w:t>
      </w:r>
      <w:r w:rsidRPr="0049701B">
        <w:rPr>
          <w:spacing w:val="-2"/>
        </w:rPr>
        <w:t xml:space="preserve">seek alternatives (Rhodes and Novis, 2002). </w:t>
      </w:r>
    </w:p>
    <w:p w14:paraId="166DCCDD" w14:textId="77777777" w:rsidR="00616641" w:rsidRPr="0049701B" w:rsidRDefault="00616641" w:rsidP="00616641">
      <w:pPr>
        <w:pStyle w:val="BodyText"/>
        <w:spacing w:before="100" w:after="100"/>
      </w:pPr>
      <w:r w:rsidRPr="0049701B">
        <w:t xml:space="preserve">The rate of new planting declined from 1996 until 2008. This is likely due to the relative profitability of other forms of land use and high rural land prices. Between 2008 and 2012, planting rates began to increase again, largely attributable to the NZ ETS (Ministry for Primary Industries, 2015d), Afforestation Grant Scheme (Ministry for Primary Industries, 2015a) and Permanent Forest Sink Initiative (Ministry for Primary Industries, 2015b). </w:t>
      </w:r>
    </w:p>
    <w:p w14:paraId="0D58F123" w14:textId="77777777" w:rsidR="00616641" w:rsidRPr="0049701B" w:rsidRDefault="00616641" w:rsidP="00616641">
      <w:pPr>
        <w:pStyle w:val="BodyText"/>
        <w:spacing w:before="100" w:after="100"/>
      </w:pPr>
      <w:r w:rsidRPr="0049701B">
        <w:t>The afforestation rate reduced after 2012. This is likely due in part to a significant drop in the price of carbon in the NZ ETS and the increase in profitability of other non-forest land uses. In</w:t>
      </w:r>
      <w:r>
        <w:t> </w:t>
      </w:r>
      <w:r w:rsidRPr="0049701B">
        <w:t xml:space="preserve">2019 and 2020, </w:t>
      </w:r>
      <w:r w:rsidRPr="0049701B">
        <w:rPr>
          <w:i/>
        </w:rPr>
        <w:t>Afforestation and reforestation</w:t>
      </w:r>
      <w:r w:rsidRPr="0049701B">
        <w:t xml:space="preserve"> activities significantly increased again, with 27,070 hectares of new planting occurring in 2019 and 40,887 hectares in 2020. This is likely due to seedlings funded by the One Billion Trees programme being planted and higher carbon prices in the NZ ETS resulting from the announcements leading up to</w:t>
      </w:r>
      <w:r w:rsidRPr="0049701B">
        <w:rPr>
          <w:color w:val="70AD47"/>
        </w:rPr>
        <w:t xml:space="preserve"> </w:t>
      </w:r>
      <w:r w:rsidRPr="0049701B">
        <w:t>the Climate Change Response (Emissions Trading Reform) Amendment Bill and its passing in June 2020.</w:t>
      </w:r>
    </w:p>
    <w:p w14:paraId="28277DB2" w14:textId="77777777" w:rsidR="00616641" w:rsidRPr="0049701B" w:rsidRDefault="00616641" w:rsidP="00616641">
      <w:pPr>
        <w:pStyle w:val="BodyText"/>
        <w:spacing w:before="100" w:after="100"/>
      </w:pPr>
      <w:r w:rsidRPr="0049701B">
        <w:t xml:space="preserve">The Land Use Carbon Analysis System land use map is used to determine the new planting area activity data from 1990 to 2016. The activity data used to estimate new planting in planted forests between 2017 and 2020 are obtained from a national survey of forest owners (Ministry for Primary Industries, 2020b), the NZ ETS scheme for areas subject to the carbon equivalent forest provision and </w:t>
      </w:r>
      <w:r w:rsidRPr="0049701B">
        <w:rPr>
          <w:rFonts w:cs="Calibri"/>
        </w:rPr>
        <w:t>the Ministry for Primary Industries afforestation scheme data</w:t>
      </w:r>
      <w:r w:rsidRPr="0049701B">
        <w:t xml:space="preserve">. The survey respondents report areas as net stocked area. However, gross stocked area is reported in the Inventory. To account for the difference between the two sources of data (mapping and survey), an unstocked area component is added to the new planting statistic between 2017 and 2020. For estimating emissions associated with new planting, the net planted forest area is modelled separately from the unstocked area component. This ensures the net new planting and NZ ETS data used in the Inventory are consistent with the gross mapped forest area. </w:t>
      </w:r>
    </w:p>
    <w:p w14:paraId="0E0DCF10" w14:textId="77777777" w:rsidR="00616641" w:rsidRPr="0049701B" w:rsidRDefault="00616641" w:rsidP="00616641">
      <w:pPr>
        <w:pStyle w:val="BodyText"/>
        <w:spacing w:before="100" w:after="100"/>
      </w:pPr>
      <w:r w:rsidRPr="0049701B">
        <w:t xml:space="preserve">New Zealand reports on harvested wood products originating from </w:t>
      </w:r>
      <w:r w:rsidRPr="0049701B">
        <w:rPr>
          <w:i/>
        </w:rPr>
        <w:t>Afforestation and reforestation</w:t>
      </w:r>
      <w:r w:rsidRPr="0049701B">
        <w:t xml:space="preserve"> activities. This is described further in section 11.3.6.</w:t>
      </w:r>
      <w:r w:rsidRPr="0049701B" w:rsidDel="004331A9">
        <w:rPr>
          <w:rStyle w:val="CommentReference"/>
        </w:rPr>
        <w:t xml:space="preserve"> </w:t>
      </w:r>
    </w:p>
    <w:p w14:paraId="42CD5189" w14:textId="77777777" w:rsidR="00616641" w:rsidRPr="0049701B" w:rsidRDefault="00616641" w:rsidP="00616641">
      <w:pPr>
        <w:pStyle w:val="BodyText"/>
        <w:spacing w:before="100" w:after="100"/>
      </w:pPr>
      <w:r w:rsidRPr="0049701B">
        <w:t xml:space="preserve">New Zealand may choose to apply the provision for the treatment of natural disturbance emissions to its afforestation and reforestation accounting (Ministry for the Environment, 2015). The method used to set New Zealand’s natural disturbance background level is outlined in annex 5, section A5.2. </w:t>
      </w:r>
    </w:p>
    <w:p w14:paraId="59BDBB80" w14:textId="77777777" w:rsidR="00616641" w:rsidRPr="0049701B" w:rsidRDefault="00616641" w:rsidP="00616641">
      <w:pPr>
        <w:pStyle w:val="BodyText"/>
        <w:spacing w:before="100" w:after="100"/>
      </w:pPr>
      <w:r w:rsidRPr="0049701B">
        <w:t xml:space="preserve">While some wildfire has occurred within </w:t>
      </w:r>
      <w:r w:rsidRPr="0049701B">
        <w:rPr>
          <w:i/>
        </w:rPr>
        <w:t>Afforestation and reforestation</w:t>
      </w:r>
      <w:r w:rsidRPr="0049701B">
        <w:t xml:space="preserve"> activities since 2013, this was not at a high enough level for New Zealand to trigger the natural disturbance provision.</w:t>
      </w:r>
    </w:p>
    <w:p w14:paraId="5ECF0952" w14:textId="77777777" w:rsidR="00616641" w:rsidRPr="0049701B" w:rsidRDefault="00616641" w:rsidP="00616641">
      <w:pPr>
        <w:pStyle w:val="Heading3"/>
        <w:spacing w:before="320"/>
      </w:pPr>
      <w:r w:rsidRPr="0049701B">
        <w:lastRenderedPageBreak/>
        <w:t xml:space="preserve">11.3.3 </w:t>
      </w:r>
      <w:r w:rsidRPr="0049701B">
        <w:tab/>
        <w:t xml:space="preserve">Deforestation (CRF 4(KP.A.2)) </w:t>
      </w:r>
    </w:p>
    <w:p w14:paraId="47A5773D" w14:textId="77777777" w:rsidR="00616641" w:rsidRPr="0049701B" w:rsidRDefault="00616641" w:rsidP="00616641">
      <w:pPr>
        <w:pStyle w:val="BodyText"/>
      </w:pPr>
      <w:r w:rsidRPr="0049701B">
        <w:t xml:space="preserve">In 2020, </w:t>
      </w:r>
      <w:r w:rsidRPr="0049701B">
        <w:rPr>
          <w:i/>
        </w:rPr>
        <w:t>Deforestation</w:t>
      </w:r>
      <w:r w:rsidRPr="0049701B">
        <w:t xml:space="preserve"> emissions were 1,320.5 kt CO</w:t>
      </w:r>
      <w:r w:rsidRPr="0049701B">
        <w:rPr>
          <w:vertAlign w:val="subscript"/>
        </w:rPr>
        <w:t>2</w:t>
      </w:r>
      <w:r w:rsidRPr="0049701B">
        <w:t>-e, compared with 3,131.8 kt CO</w:t>
      </w:r>
      <w:r w:rsidRPr="0049701B">
        <w:rPr>
          <w:vertAlign w:val="subscript"/>
        </w:rPr>
        <w:t>2</w:t>
      </w:r>
      <w:r w:rsidRPr="0049701B">
        <w:noBreakHyphen/>
        <w:t>e in 2019. These emissions result from the loss of carbon, which was stored in the biomass before deforestation, occurring in the year that deforestation occurs; soil carbon stock changes including lagged emissions from previous deforestation events; mineralisation of soil nitrogen associated with the land-use change; emissions from burning biomass on deforested land; and removals from biomass growth of the new land use, which accumulates at the rates given in chapter 6, under each land use category.</w:t>
      </w:r>
    </w:p>
    <w:p w14:paraId="31DC40F1" w14:textId="77777777" w:rsidR="00616641" w:rsidRPr="0049701B" w:rsidRDefault="00616641" w:rsidP="00616641">
      <w:pPr>
        <w:pStyle w:val="BodyText"/>
      </w:pPr>
      <w:r w:rsidRPr="0049701B">
        <w:t xml:space="preserve">The estimated area reported under </w:t>
      </w:r>
      <w:r w:rsidRPr="0049701B">
        <w:rPr>
          <w:i/>
          <w:spacing w:val="-2"/>
        </w:rPr>
        <w:t>Deforestation</w:t>
      </w:r>
      <w:r w:rsidRPr="0049701B">
        <w:t xml:space="preserve"> for 2020 was 2,443 hectares. This is 48.7 per cent lower than the recalculated 2019 value, resulting in lower emissions reported under </w:t>
      </w:r>
      <w:r w:rsidRPr="0049701B">
        <w:rPr>
          <w:i/>
          <w:spacing w:val="-2"/>
        </w:rPr>
        <w:t>Deforestation</w:t>
      </w:r>
      <w:r w:rsidRPr="0049701B">
        <w:t xml:space="preserve"> in 2020.</w:t>
      </w:r>
    </w:p>
    <w:p w14:paraId="69B438F6" w14:textId="77777777" w:rsidR="00616641" w:rsidRPr="0049701B" w:rsidRDefault="00616641" w:rsidP="00616641">
      <w:pPr>
        <w:pStyle w:val="BodyText"/>
      </w:pPr>
      <w:r w:rsidRPr="0049701B">
        <w:t xml:space="preserve">Table 11.3.4 shows the areas of </w:t>
      </w:r>
      <w:r w:rsidRPr="0049701B">
        <w:rPr>
          <w:i/>
        </w:rPr>
        <w:t>Forest land</w:t>
      </w:r>
      <w:r w:rsidRPr="0049701B">
        <w:t xml:space="preserve"> subject to </w:t>
      </w:r>
      <w:r w:rsidRPr="0049701B">
        <w:rPr>
          <w:i/>
          <w:spacing w:val="-2"/>
        </w:rPr>
        <w:t>Deforestation</w:t>
      </w:r>
      <w:r w:rsidRPr="0049701B">
        <w:t xml:space="preserve"> activities since 2008 by forest category. </w:t>
      </w:r>
    </w:p>
    <w:p w14:paraId="41FA2649" w14:textId="77777777" w:rsidR="00616641" w:rsidRPr="0049701B" w:rsidRDefault="00616641" w:rsidP="00616641">
      <w:pPr>
        <w:pStyle w:val="Table"/>
      </w:pPr>
      <w:bookmarkStart w:id="2821" w:name="_Toc456179108"/>
      <w:bookmarkStart w:id="2822" w:name="_Toc481751634"/>
      <w:bookmarkStart w:id="2823" w:name="_Toc522010659"/>
      <w:bookmarkStart w:id="2824" w:name="_Toc5269630"/>
      <w:bookmarkStart w:id="2825" w:name="_Toc36224713"/>
      <w:bookmarkStart w:id="2826" w:name="_Toc64987048"/>
      <w:bookmarkStart w:id="2827" w:name="_Toc68786598"/>
      <w:bookmarkStart w:id="2828" w:name="_Toc95321540"/>
      <w:bookmarkStart w:id="2829" w:name="_Toc99659392"/>
      <w:r w:rsidRPr="0049701B">
        <w:t>Table 11.3.4</w:t>
      </w:r>
      <w:r w:rsidRPr="0049701B">
        <w:tab/>
        <w:t>Area of New Zealand subject to deforestation</w:t>
      </w:r>
      <w:bookmarkEnd w:id="2821"/>
      <w:bookmarkEnd w:id="2822"/>
      <w:bookmarkEnd w:id="2823"/>
      <w:bookmarkEnd w:id="2824"/>
      <w:bookmarkEnd w:id="2825"/>
      <w:bookmarkEnd w:id="2826"/>
      <w:bookmarkEnd w:id="2827"/>
      <w:bookmarkEnd w:id="2828"/>
      <w:bookmarkEnd w:id="2829"/>
    </w:p>
    <w:tbl>
      <w:tblPr>
        <w:tblW w:w="8505" w:type="dxa"/>
        <w:tblInd w:w="113"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798"/>
        <w:gridCol w:w="1427"/>
        <w:gridCol w:w="1712"/>
        <w:gridCol w:w="1571"/>
        <w:gridCol w:w="1570"/>
        <w:gridCol w:w="1427"/>
      </w:tblGrid>
      <w:tr w:rsidR="00616641" w:rsidRPr="0049701B" w14:paraId="0C3C299F" w14:textId="77777777" w:rsidTr="007E3239">
        <w:trPr>
          <w:tblHeader/>
        </w:trPr>
        <w:tc>
          <w:tcPr>
            <w:tcW w:w="798" w:type="dxa"/>
            <w:shd w:val="clear" w:color="auto" w:fill="1B556B"/>
            <w:vAlign w:val="bottom"/>
          </w:tcPr>
          <w:p w14:paraId="349B8E18" w14:textId="77777777" w:rsidR="00616641" w:rsidRPr="0049701B" w:rsidRDefault="00616641" w:rsidP="007E3239">
            <w:pPr>
              <w:pStyle w:val="TableTextBold"/>
              <w:keepNext/>
              <w:spacing w:before="50" w:after="0"/>
              <w:jc w:val="center"/>
              <w:rPr>
                <w:rFonts w:cs="Calibri"/>
                <w:bCs/>
                <w:noProof w:val="0"/>
                <w:color w:val="FFFFFF"/>
                <w:szCs w:val="16"/>
              </w:rPr>
            </w:pPr>
          </w:p>
        </w:tc>
        <w:tc>
          <w:tcPr>
            <w:tcW w:w="6280" w:type="dxa"/>
            <w:gridSpan w:val="4"/>
            <w:shd w:val="clear" w:color="auto" w:fill="1B556B"/>
            <w:vAlign w:val="bottom"/>
          </w:tcPr>
          <w:p w14:paraId="4EA704D0" w14:textId="77777777" w:rsidR="00616641" w:rsidRPr="0049701B" w:rsidRDefault="00616641" w:rsidP="007E3239">
            <w:pPr>
              <w:pStyle w:val="TableTextBold"/>
              <w:keepNext/>
              <w:spacing w:before="50" w:after="0"/>
              <w:jc w:val="center"/>
              <w:rPr>
                <w:rFonts w:cs="Calibri"/>
                <w:bCs/>
                <w:noProof w:val="0"/>
                <w:color w:val="FFFFFF"/>
                <w:szCs w:val="16"/>
              </w:rPr>
            </w:pPr>
            <w:r w:rsidRPr="0049701B">
              <w:rPr>
                <w:rFonts w:cs="Calibri"/>
                <w:bCs/>
                <w:noProof w:val="0"/>
                <w:color w:val="FFFFFF"/>
                <w:szCs w:val="16"/>
              </w:rPr>
              <w:t>Annual area of deforestation (ha)</w:t>
            </w:r>
          </w:p>
        </w:tc>
        <w:tc>
          <w:tcPr>
            <w:tcW w:w="1427" w:type="dxa"/>
            <w:shd w:val="clear" w:color="auto" w:fill="1B556B"/>
            <w:vAlign w:val="bottom"/>
          </w:tcPr>
          <w:p w14:paraId="78706E16" w14:textId="77777777" w:rsidR="00616641" w:rsidRPr="0049701B" w:rsidRDefault="00616641" w:rsidP="007E3239">
            <w:pPr>
              <w:pStyle w:val="TableTextBold"/>
              <w:keepNext/>
              <w:spacing w:before="50" w:after="0"/>
              <w:jc w:val="center"/>
              <w:rPr>
                <w:rFonts w:cs="Calibri"/>
                <w:bCs/>
                <w:noProof w:val="0"/>
                <w:color w:val="FFFFFF"/>
                <w:szCs w:val="16"/>
              </w:rPr>
            </w:pPr>
          </w:p>
        </w:tc>
      </w:tr>
      <w:tr w:rsidR="00616641" w:rsidRPr="0049701B" w14:paraId="52AAF2A2" w14:textId="77777777" w:rsidTr="007E3239">
        <w:tblPrEx>
          <w:tblCellMar>
            <w:left w:w="85" w:type="dxa"/>
            <w:right w:w="85" w:type="dxa"/>
          </w:tblCellMar>
        </w:tblPrEx>
        <w:trPr>
          <w:tblHeader/>
        </w:trPr>
        <w:tc>
          <w:tcPr>
            <w:tcW w:w="798" w:type="dxa"/>
            <w:shd w:val="clear" w:color="auto" w:fill="1B556B"/>
            <w:vAlign w:val="bottom"/>
          </w:tcPr>
          <w:p w14:paraId="7B157454" w14:textId="77777777" w:rsidR="00616641" w:rsidRPr="0049701B" w:rsidRDefault="00616641" w:rsidP="007E3239">
            <w:pPr>
              <w:pStyle w:val="TableTextBold"/>
              <w:keepNext/>
              <w:spacing w:before="50" w:after="50"/>
              <w:rPr>
                <w:rFonts w:cs="Calibri"/>
                <w:bCs/>
                <w:noProof w:val="0"/>
                <w:color w:val="FFFFFF"/>
                <w:szCs w:val="16"/>
              </w:rPr>
            </w:pPr>
            <w:r w:rsidRPr="0049701B">
              <w:rPr>
                <w:rFonts w:cs="Calibri"/>
                <w:bCs/>
                <w:noProof w:val="0"/>
                <w:color w:val="FFFFFF"/>
                <w:szCs w:val="16"/>
              </w:rPr>
              <w:t>Year</w:t>
            </w:r>
          </w:p>
        </w:tc>
        <w:tc>
          <w:tcPr>
            <w:tcW w:w="1427" w:type="dxa"/>
            <w:shd w:val="clear" w:color="auto" w:fill="1B556B"/>
            <w:vAlign w:val="bottom"/>
          </w:tcPr>
          <w:p w14:paraId="011CA3DE"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 xml:space="preserve">Pre-1990 </w:t>
            </w:r>
            <w:r w:rsidRPr="0049701B">
              <w:rPr>
                <w:rFonts w:cs="Calibri"/>
                <w:noProof w:val="0"/>
                <w:color w:val="FFFFFF"/>
                <w:szCs w:val="16"/>
              </w:rPr>
              <w:br/>
              <w:t>natural forest</w:t>
            </w:r>
          </w:p>
        </w:tc>
        <w:tc>
          <w:tcPr>
            <w:tcW w:w="1712" w:type="dxa"/>
            <w:shd w:val="clear" w:color="auto" w:fill="1B556B"/>
            <w:vAlign w:val="bottom"/>
          </w:tcPr>
          <w:p w14:paraId="42C73E1C"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 xml:space="preserve">Pre-1990 </w:t>
            </w:r>
            <w:r w:rsidRPr="0049701B">
              <w:rPr>
                <w:rFonts w:cs="Calibri"/>
                <w:noProof w:val="0"/>
                <w:color w:val="FFFFFF"/>
                <w:szCs w:val="16"/>
              </w:rPr>
              <w:br/>
              <w:t>planted forest</w:t>
            </w:r>
          </w:p>
        </w:tc>
        <w:tc>
          <w:tcPr>
            <w:tcW w:w="1571" w:type="dxa"/>
            <w:shd w:val="clear" w:color="auto" w:fill="1B556B"/>
            <w:vAlign w:val="bottom"/>
          </w:tcPr>
          <w:p w14:paraId="70A6966E"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 xml:space="preserve">Post-1989 </w:t>
            </w:r>
            <w:r w:rsidRPr="0049701B">
              <w:rPr>
                <w:rFonts w:cs="Calibri"/>
                <w:noProof w:val="0"/>
                <w:color w:val="FFFFFF"/>
                <w:szCs w:val="16"/>
              </w:rPr>
              <w:br/>
              <w:t>planted forest</w:t>
            </w:r>
          </w:p>
        </w:tc>
        <w:tc>
          <w:tcPr>
            <w:tcW w:w="1570" w:type="dxa"/>
            <w:shd w:val="clear" w:color="auto" w:fill="1B556B"/>
          </w:tcPr>
          <w:p w14:paraId="41E5F299" w14:textId="77777777" w:rsidR="00616641" w:rsidRPr="0049701B" w:rsidRDefault="00616641" w:rsidP="007E3239">
            <w:pPr>
              <w:pStyle w:val="TableTextBold"/>
              <w:jc w:val="right"/>
              <w:rPr>
                <w:rFonts w:cs="Calibri"/>
                <w:noProof w:val="0"/>
                <w:color w:val="FFFFFF"/>
                <w:szCs w:val="16"/>
              </w:rPr>
            </w:pPr>
            <w:r w:rsidRPr="0049701B">
              <w:rPr>
                <w:rFonts w:cs="Calibri"/>
                <w:noProof w:val="0"/>
                <w:color w:val="FFFFFF"/>
                <w:szCs w:val="16"/>
              </w:rPr>
              <w:t xml:space="preserve">Post-1989 </w:t>
            </w:r>
            <w:r w:rsidRPr="0049701B">
              <w:rPr>
                <w:rFonts w:cs="Calibri"/>
                <w:noProof w:val="0"/>
                <w:color w:val="FFFFFF"/>
                <w:szCs w:val="16"/>
              </w:rPr>
              <w:br/>
              <w:t>natural forest</w:t>
            </w:r>
          </w:p>
        </w:tc>
        <w:tc>
          <w:tcPr>
            <w:tcW w:w="1427" w:type="dxa"/>
            <w:shd w:val="clear" w:color="auto" w:fill="1B556B"/>
            <w:vAlign w:val="bottom"/>
          </w:tcPr>
          <w:p w14:paraId="2D989C25" w14:textId="77777777" w:rsidR="00616641" w:rsidRPr="0049701B" w:rsidRDefault="00616641" w:rsidP="007E3239">
            <w:pPr>
              <w:pStyle w:val="TableTextBold"/>
              <w:jc w:val="right"/>
              <w:rPr>
                <w:rFonts w:cs="Calibri"/>
                <w:noProof w:val="0"/>
                <w:color w:val="FFFFFF"/>
                <w:szCs w:val="16"/>
              </w:rPr>
            </w:pPr>
            <w:r w:rsidRPr="0049701B">
              <w:rPr>
                <w:rFonts w:cs="Calibri"/>
                <w:noProof w:val="0"/>
                <w:color w:val="FFFFFF"/>
                <w:szCs w:val="16"/>
              </w:rPr>
              <w:t>Total</w:t>
            </w:r>
          </w:p>
        </w:tc>
      </w:tr>
      <w:tr w:rsidR="00616641" w:rsidRPr="0049701B" w14:paraId="0F0D22E8" w14:textId="77777777" w:rsidTr="007E3239">
        <w:tblPrEx>
          <w:tblCellMar>
            <w:left w:w="85" w:type="dxa"/>
            <w:right w:w="85" w:type="dxa"/>
          </w:tblCellMar>
        </w:tblPrEx>
        <w:tc>
          <w:tcPr>
            <w:tcW w:w="798" w:type="dxa"/>
            <w:shd w:val="clear" w:color="auto" w:fill="auto"/>
            <w:vAlign w:val="center"/>
          </w:tcPr>
          <w:p w14:paraId="032B1DBA" w14:textId="77777777" w:rsidR="00616641" w:rsidRPr="0049701B" w:rsidRDefault="00616641" w:rsidP="007E3239">
            <w:pPr>
              <w:pStyle w:val="TableText"/>
              <w:spacing w:before="50" w:after="50"/>
              <w:rPr>
                <w:rFonts w:cs="Calibri"/>
                <w:szCs w:val="16"/>
              </w:rPr>
            </w:pPr>
            <w:r w:rsidRPr="0049701B">
              <w:rPr>
                <w:rFonts w:cs="Calibri"/>
                <w:szCs w:val="16"/>
              </w:rPr>
              <w:t>2008</w:t>
            </w:r>
          </w:p>
        </w:tc>
        <w:tc>
          <w:tcPr>
            <w:tcW w:w="1427" w:type="dxa"/>
            <w:shd w:val="clear" w:color="auto" w:fill="auto"/>
          </w:tcPr>
          <w:p w14:paraId="28201920" w14:textId="77777777" w:rsidR="00616641" w:rsidRPr="0049701B" w:rsidRDefault="00616641" w:rsidP="007E3239">
            <w:pPr>
              <w:pStyle w:val="TableText"/>
              <w:spacing w:before="50" w:after="50"/>
              <w:jc w:val="right"/>
              <w:rPr>
                <w:rFonts w:cs="Calibri"/>
                <w:szCs w:val="16"/>
              </w:rPr>
            </w:pPr>
            <w:r w:rsidRPr="0049701B">
              <w:t xml:space="preserve"> 762 </w:t>
            </w:r>
          </w:p>
        </w:tc>
        <w:tc>
          <w:tcPr>
            <w:tcW w:w="1712" w:type="dxa"/>
            <w:shd w:val="clear" w:color="auto" w:fill="auto"/>
          </w:tcPr>
          <w:p w14:paraId="7270AF13" w14:textId="77777777" w:rsidR="00616641" w:rsidRPr="0049701B" w:rsidRDefault="00616641" w:rsidP="007E3239">
            <w:pPr>
              <w:pStyle w:val="TableText"/>
              <w:spacing w:before="50" w:after="50"/>
              <w:jc w:val="right"/>
              <w:rPr>
                <w:rFonts w:cs="Calibri"/>
                <w:szCs w:val="16"/>
              </w:rPr>
            </w:pPr>
            <w:r w:rsidRPr="0049701B">
              <w:t xml:space="preserve"> 3,773 </w:t>
            </w:r>
          </w:p>
        </w:tc>
        <w:tc>
          <w:tcPr>
            <w:tcW w:w="1571" w:type="dxa"/>
            <w:shd w:val="clear" w:color="auto" w:fill="auto"/>
          </w:tcPr>
          <w:p w14:paraId="67F96390" w14:textId="77777777" w:rsidR="00616641" w:rsidRPr="0049701B" w:rsidRDefault="00616641" w:rsidP="007E3239">
            <w:pPr>
              <w:pStyle w:val="TableText"/>
              <w:spacing w:before="50" w:after="50"/>
              <w:jc w:val="right"/>
              <w:rPr>
                <w:rFonts w:cs="Calibri"/>
                <w:szCs w:val="16"/>
              </w:rPr>
            </w:pPr>
            <w:r w:rsidRPr="0049701B">
              <w:t xml:space="preserve"> 1,142 </w:t>
            </w:r>
          </w:p>
        </w:tc>
        <w:tc>
          <w:tcPr>
            <w:tcW w:w="1570" w:type="dxa"/>
          </w:tcPr>
          <w:p w14:paraId="656D684C" w14:textId="77777777" w:rsidR="00616641" w:rsidRPr="0049701B" w:rsidRDefault="00616641" w:rsidP="007E3239">
            <w:pPr>
              <w:pStyle w:val="TableText"/>
              <w:spacing w:before="50" w:after="50"/>
              <w:jc w:val="right"/>
              <w:rPr>
                <w:rFonts w:cs="Calibri"/>
                <w:szCs w:val="16"/>
              </w:rPr>
            </w:pPr>
            <w:r w:rsidRPr="0049701B">
              <w:t xml:space="preserve"> 14 </w:t>
            </w:r>
          </w:p>
        </w:tc>
        <w:tc>
          <w:tcPr>
            <w:tcW w:w="1427" w:type="dxa"/>
          </w:tcPr>
          <w:p w14:paraId="31471569" w14:textId="77777777" w:rsidR="00616641" w:rsidRPr="0049701B" w:rsidRDefault="00616641" w:rsidP="007E3239">
            <w:pPr>
              <w:pStyle w:val="TableTextBold"/>
              <w:jc w:val="right"/>
              <w:rPr>
                <w:rFonts w:cs="Calibri"/>
                <w:noProof w:val="0"/>
                <w:szCs w:val="16"/>
              </w:rPr>
            </w:pPr>
            <w:r w:rsidRPr="0049701B">
              <w:rPr>
                <w:noProof w:val="0"/>
              </w:rPr>
              <w:t xml:space="preserve"> 5,691 </w:t>
            </w:r>
          </w:p>
        </w:tc>
      </w:tr>
      <w:tr w:rsidR="00616641" w:rsidRPr="0049701B" w14:paraId="6F946CAF" w14:textId="77777777" w:rsidTr="007E3239">
        <w:tblPrEx>
          <w:tblCellMar>
            <w:left w:w="85" w:type="dxa"/>
            <w:right w:w="85" w:type="dxa"/>
          </w:tblCellMar>
        </w:tblPrEx>
        <w:tc>
          <w:tcPr>
            <w:tcW w:w="798" w:type="dxa"/>
            <w:shd w:val="clear" w:color="auto" w:fill="auto"/>
            <w:vAlign w:val="center"/>
          </w:tcPr>
          <w:p w14:paraId="0600D5E2" w14:textId="77777777" w:rsidR="00616641" w:rsidRPr="0049701B" w:rsidRDefault="00616641" w:rsidP="007E3239">
            <w:pPr>
              <w:pStyle w:val="TableText"/>
              <w:spacing w:before="50" w:after="50"/>
              <w:rPr>
                <w:rFonts w:cs="Calibri"/>
                <w:szCs w:val="16"/>
              </w:rPr>
            </w:pPr>
            <w:r w:rsidRPr="0049701B">
              <w:rPr>
                <w:rFonts w:cs="Calibri"/>
                <w:szCs w:val="16"/>
              </w:rPr>
              <w:t>2009</w:t>
            </w:r>
          </w:p>
        </w:tc>
        <w:tc>
          <w:tcPr>
            <w:tcW w:w="1427" w:type="dxa"/>
            <w:shd w:val="clear" w:color="auto" w:fill="auto"/>
          </w:tcPr>
          <w:p w14:paraId="6919EA09" w14:textId="77777777" w:rsidR="00616641" w:rsidRPr="0049701B" w:rsidRDefault="00616641" w:rsidP="007E3239">
            <w:pPr>
              <w:pStyle w:val="TableText"/>
              <w:spacing w:before="50" w:after="50"/>
              <w:jc w:val="right"/>
              <w:rPr>
                <w:rFonts w:cs="Calibri"/>
                <w:szCs w:val="16"/>
              </w:rPr>
            </w:pPr>
            <w:r w:rsidRPr="0049701B">
              <w:t xml:space="preserve"> 2,454 </w:t>
            </w:r>
          </w:p>
        </w:tc>
        <w:tc>
          <w:tcPr>
            <w:tcW w:w="1712" w:type="dxa"/>
            <w:shd w:val="clear" w:color="auto" w:fill="auto"/>
          </w:tcPr>
          <w:p w14:paraId="2234382F" w14:textId="77777777" w:rsidR="00616641" w:rsidRPr="0049701B" w:rsidRDefault="00616641" w:rsidP="007E3239">
            <w:pPr>
              <w:pStyle w:val="TableText"/>
              <w:spacing w:before="50" w:after="50"/>
              <w:jc w:val="right"/>
              <w:rPr>
                <w:rFonts w:cs="Calibri"/>
                <w:szCs w:val="16"/>
              </w:rPr>
            </w:pPr>
            <w:r w:rsidRPr="0049701B">
              <w:t xml:space="preserve"> 5,561 </w:t>
            </w:r>
          </w:p>
        </w:tc>
        <w:tc>
          <w:tcPr>
            <w:tcW w:w="1571" w:type="dxa"/>
            <w:shd w:val="clear" w:color="auto" w:fill="auto"/>
          </w:tcPr>
          <w:p w14:paraId="485C1F8B" w14:textId="77777777" w:rsidR="00616641" w:rsidRPr="0049701B" w:rsidRDefault="00616641" w:rsidP="007E3239">
            <w:pPr>
              <w:pStyle w:val="TableText"/>
              <w:spacing w:before="50" w:after="50"/>
              <w:jc w:val="right"/>
              <w:rPr>
                <w:rFonts w:cs="Calibri"/>
                <w:szCs w:val="16"/>
              </w:rPr>
            </w:pPr>
            <w:r w:rsidRPr="0049701B">
              <w:t xml:space="preserve"> 2,003 </w:t>
            </w:r>
          </w:p>
        </w:tc>
        <w:tc>
          <w:tcPr>
            <w:tcW w:w="1570" w:type="dxa"/>
          </w:tcPr>
          <w:p w14:paraId="1132E161" w14:textId="77777777" w:rsidR="00616641" w:rsidRPr="0049701B" w:rsidRDefault="00616641" w:rsidP="007E3239">
            <w:pPr>
              <w:pStyle w:val="TableText"/>
              <w:spacing w:before="50" w:after="50"/>
              <w:jc w:val="right"/>
              <w:rPr>
                <w:rFonts w:cs="Calibri"/>
                <w:szCs w:val="16"/>
              </w:rPr>
            </w:pPr>
            <w:r w:rsidRPr="0049701B">
              <w:t xml:space="preserve"> 55 </w:t>
            </w:r>
          </w:p>
        </w:tc>
        <w:tc>
          <w:tcPr>
            <w:tcW w:w="1427" w:type="dxa"/>
          </w:tcPr>
          <w:p w14:paraId="67FCFD75" w14:textId="77777777" w:rsidR="00616641" w:rsidRPr="0049701B" w:rsidRDefault="00616641" w:rsidP="007E3239">
            <w:pPr>
              <w:pStyle w:val="TableTextBold"/>
              <w:jc w:val="right"/>
              <w:rPr>
                <w:rFonts w:cs="Calibri"/>
                <w:noProof w:val="0"/>
                <w:szCs w:val="16"/>
              </w:rPr>
            </w:pPr>
            <w:r w:rsidRPr="0049701B">
              <w:rPr>
                <w:noProof w:val="0"/>
              </w:rPr>
              <w:t xml:space="preserve"> 10,073 </w:t>
            </w:r>
          </w:p>
        </w:tc>
      </w:tr>
      <w:tr w:rsidR="00616641" w:rsidRPr="0049701B" w14:paraId="4B005D63" w14:textId="77777777" w:rsidTr="007E3239">
        <w:tblPrEx>
          <w:tblCellMar>
            <w:left w:w="85" w:type="dxa"/>
            <w:right w:w="85" w:type="dxa"/>
          </w:tblCellMar>
        </w:tblPrEx>
        <w:tc>
          <w:tcPr>
            <w:tcW w:w="798" w:type="dxa"/>
            <w:shd w:val="clear" w:color="auto" w:fill="auto"/>
            <w:vAlign w:val="center"/>
          </w:tcPr>
          <w:p w14:paraId="2C1A6718" w14:textId="77777777" w:rsidR="00616641" w:rsidRPr="0049701B" w:rsidRDefault="00616641" w:rsidP="007E3239">
            <w:pPr>
              <w:pStyle w:val="TableText"/>
              <w:spacing w:before="50" w:after="50"/>
              <w:rPr>
                <w:rFonts w:cs="Calibri"/>
                <w:szCs w:val="16"/>
              </w:rPr>
            </w:pPr>
            <w:r w:rsidRPr="0049701B">
              <w:rPr>
                <w:rFonts w:cs="Calibri"/>
                <w:szCs w:val="16"/>
              </w:rPr>
              <w:t>2010</w:t>
            </w:r>
          </w:p>
        </w:tc>
        <w:tc>
          <w:tcPr>
            <w:tcW w:w="1427" w:type="dxa"/>
            <w:shd w:val="clear" w:color="auto" w:fill="auto"/>
          </w:tcPr>
          <w:p w14:paraId="0BF1BE64" w14:textId="77777777" w:rsidR="00616641" w:rsidRPr="0049701B" w:rsidRDefault="00616641" w:rsidP="007E3239">
            <w:pPr>
              <w:pStyle w:val="TableText"/>
              <w:spacing w:before="50" w:after="50"/>
              <w:jc w:val="right"/>
              <w:rPr>
                <w:rFonts w:cs="Calibri"/>
                <w:szCs w:val="16"/>
              </w:rPr>
            </w:pPr>
            <w:r w:rsidRPr="0049701B">
              <w:t xml:space="preserve"> 1,943 </w:t>
            </w:r>
          </w:p>
        </w:tc>
        <w:tc>
          <w:tcPr>
            <w:tcW w:w="1712" w:type="dxa"/>
            <w:shd w:val="clear" w:color="auto" w:fill="auto"/>
          </w:tcPr>
          <w:p w14:paraId="5421BE6B" w14:textId="77777777" w:rsidR="00616641" w:rsidRPr="0049701B" w:rsidRDefault="00616641" w:rsidP="007E3239">
            <w:pPr>
              <w:pStyle w:val="TableText"/>
              <w:spacing w:before="50" w:after="50"/>
              <w:jc w:val="right"/>
              <w:rPr>
                <w:rFonts w:cs="Calibri"/>
                <w:szCs w:val="16"/>
              </w:rPr>
            </w:pPr>
            <w:r w:rsidRPr="0049701B">
              <w:t xml:space="preserve"> 6,402 </w:t>
            </w:r>
          </w:p>
        </w:tc>
        <w:tc>
          <w:tcPr>
            <w:tcW w:w="1571" w:type="dxa"/>
            <w:shd w:val="clear" w:color="auto" w:fill="auto"/>
          </w:tcPr>
          <w:p w14:paraId="2D9302A3" w14:textId="77777777" w:rsidR="00616641" w:rsidRPr="0049701B" w:rsidRDefault="00616641" w:rsidP="007E3239">
            <w:pPr>
              <w:pStyle w:val="TableText"/>
              <w:spacing w:before="50" w:after="50"/>
              <w:jc w:val="right"/>
              <w:rPr>
                <w:rFonts w:cs="Calibri"/>
                <w:szCs w:val="16"/>
              </w:rPr>
            </w:pPr>
            <w:r w:rsidRPr="0049701B">
              <w:t xml:space="preserve"> 1,695 </w:t>
            </w:r>
          </w:p>
        </w:tc>
        <w:tc>
          <w:tcPr>
            <w:tcW w:w="1570" w:type="dxa"/>
          </w:tcPr>
          <w:p w14:paraId="7BD8F30A" w14:textId="77777777" w:rsidR="00616641" w:rsidRPr="0049701B" w:rsidRDefault="00616641" w:rsidP="007E3239">
            <w:pPr>
              <w:pStyle w:val="TableText"/>
              <w:spacing w:before="50" w:after="50"/>
              <w:jc w:val="right"/>
              <w:rPr>
                <w:rFonts w:cs="Calibri"/>
                <w:szCs w:val="16"/>
              </w:rPr>
            </w:pPr>
            <w:r w:rsidRPr="0049701B">
              <w:t xml:space="preserve"> 29 </w:t>
            </w:r>
          </w:p>
        </w:tc>
        <w:tc>
          <w:tcPr>
            <w:tcW w:w="1427" w:type="dxa"/>
          </w:tcPr>
          <w:p w14:paraId="4CF0BFF1" w14:textId="77777777" w:rsidR="00616641" w:rsidRPr="0049701B" w:rsidRDefault="00616641" w:rsidP="007E3239">
            <w:pPr>
              <w:pStyle w:val="TableTextBold"/>
              <w:jc w:val="right"/>
              <w:rPr>
                <w:rFonts w:cs="Calibri"/>
                <w:noProof w:val="0"/>
                <w:szCs w:val="16"/>
              </w:rPr>
            </w:pPr>
            <w:r w:rsidRPr="0049701B">
              <w:rPr>
                <w:noProof w:val="0"/>
              </w:rPr>
              <w:t xml:space="preserve"> 10,069 </w:t>
            </w:r>
          </w:p>
        </w:tc>
      </w:tr>
      <w:tr w:rsidR="00616641" w:rsidRPr="0049701B" w14:paraId="0D4F7889" w14:textId="77777777" w:rsidTr="007E3239">
        <w:tblPrEx>
          <w:tblCellMar>
            <w:left w:w="85" w:type="dxa"/>
            <w:right w:w="85" w:type="dxa"/>
          </w:tblCellMar>
        </w:tblPrEx>
        <w:tc>
          <w:tcPr>
            <w:tcW w:w="798" w:type="dxa"/>
            <w:shd w:val="clear" w:color="auto" w:fill="auto"/>
            <w:vAlign w:val="center"/>
          </w:tcPr>
          <w:p w14:paraId="680B7AD3" w14:textId="77777777" w:rsidR="00616641" w:rsidRPr="0049701B" w:rsidRDefault="00616641" w:rsidP="007E3239">
            <w:pPr>
              <w:pStyle w:val="TableText"/>
              <w:spacing w:before="50" w:after="50"/>
              <w:rPr>
                <w:rFonts w:cs="Calibri"/>
                <w:szCs w:val="16"/>
              </w:rPr>
            </w:pPr>
            <w:r w:rsidRPr="0049701B">
              <w:rPr>
                <w:rFonts w:cs="Calibri"/>
                <w:szCs w:val="16"/>
              </w:rPr>
              <w:t>2011</w:t>
            </w:r>
          </w:p>
        </w:tc>
        <w:tc>
          <w:tcPr>
            <w:tcW w:w="1427" w:type="dxa"/>
            <w:shd w:val="clear" w:color="auto" w:fill="auto"/>
          </w:tcPr>
          <w:p w14:paraId="1B73E505" w14:textId="77777777" w:rsidR="00616641" w:rsidRPr="0049701B" w:rsidRDefault="00616641" w:rsidP="007E3239">
            <w:pPr>
              <w:pStyle w:val="TableText"/>
              <w:spacing w:before="50" w:after="50"/>
              <w:jc w:val="right"/>
              <w:rPr>
                <w:rFonts w:cs="Calibri"/>
                <w:szCs w:val="16"/>
              </w:rPr>
            </w:pPr>
            <w:r w:rsidRPr="0049701B">
              <w:t xml:space="preserve"> 1,100 </w:t>
            </w:r>
          </w:p>
        </w:tc>
        <w:tc>
          <w:tcPr>
            <w:tcW w:w="1712" w:type="dxa"/>
            <w:shd w:val="clear" w:color="auto" w:fill="auto"/>
          </w:tcPr>
          <w:p w14:paraId="4825A7AA" w14:textId="77777777" w:rsidR="00616641" w:rsidRPr="0049701B" w:rsidRDefault="00616641" w:rsidP="007E3239">
            <w:pPr>
              <w:pStyle w:val="TableText"/>
              <w:spacing w:before="50" w:after="50"/>
              <w:jc w:val="right"/>
              <w:rPr>
                <w:rFonts w:cs="Calibri"/>
                <w:szCs w:val="16"/>
              </w:rPr>
            </w:pPr>
            <w:r w:rsidRPr="0049701B">
              <w:t xml:space="preserve"> 5,270 </w:t>
            </w:r>
          </w:p>
        </w:tc>
        <w:tc>
          <w:tcPr>
            <w:tcW w:w="1571" w:type="dxa"/>
            <w:shd w:val="clear" w:color="auto" w:fill="auto"/>
          </w:tcPr>
          <w:p w14:paraId="679DFD19" w14:textId="77777777" w:rsidR="00616641" w:rsidRPr="0049701B" w:rsidRDefault="00616641" w:rsidP="007E3239">
            <w:pPr>
              <w:pStyle w:val="TableText"/>
              <w:spacing w:before="50" w:after="50"/>
              <w:jc w:val="right"/>
              <w:rPr>
                <w:rFonts w:cs="Calibri"/>
                <w:szCs w:val="16"/>
              </w:rPr>
            </w:pPr>
            <w:r w:rsidRPr="0049701B">
              <w:t xml:space="preserve"> 2,117 </w:t>
            </w:r>
          </w:p>
        </w:tc>
        <w:tc>
          <w:tcPr>
            <w:tcW w:w="1570" w:type="dxa"/>
          </w:tcPr>
          <w:p w14:paraId="330387D7" w14:textId="77777777" w:rsidR="00616641" w:rsidRPr="0049701B" w:rsidRDefault="00616641" w:rsidP="007E3239">
            <w:pPr>
              <w:pStyle w:val="TableText"/>
              <w:spacing w:before="50" w:after="50"/>
              <w:jc w:val="right"/>
              <w:rPr>
                <w:rFonts w:cs="Calibri"/>
                <w:szCs w:val="16"/>
              </w:rPr>
            </w:pPr>
            <w:r w:rsidRPr="0049701B">
              <w:t xml:space="preserve"> 89 </w:t>
            </w:r>
          </w:p>
        </w:tc>
        <w:tc>
          <w:tcPr>
            <w:tcW w:w="1427" w:type="dxa"/>
          </w:tcPr>
          <w:p w14:paraId="297F2231" w14:textId="77777777" w:rsidR="00616641" w:rsidRPr="0049701B" w:rsidRDefault="00616641" w:rsidP="007E3239">
            <w:pPr>
              <w:pStyle w:val="TableTextBold"/>
              <w:jc w:val="right"/>
              <w:rPr>
                <w:rFonts w:cs="Calibri"/>
                <w:noProof w:val="0"/>
                <w:szCs w:val="16"/>
              </w:rPr>
            </w:pPr>
            <w:r w:rsidRPr="0049701B">
              <w:rPr>
                <w:noProof w:val="0"/>
              </w:rPr>
              <w:t xml:space="preserve"> 8,577 </w:t>
            </w:r>
          </w:p>
        </w:tc>
      </w:tr>
      <w:tr w:rsidR="00616641" w:rsidRPr="0049701B" w14:paraId="4EF0FE78" w14:textId="77777777" w:rsidTr="007E3239">
        <w:tblPrEx>
          <w:tblCellMar>
            <w:left w:w="85" w:type="dxa"/>
            <w:right w:w="85" w:type="dxa"/>
          </w:tblCellMar>
        </w:tblPrEx>
        <w:tc>
          <w:tcPr>
            <w:tcW w:w="798" w:type="dxa"/>
            <w:shd w:val="clear" w:color="auto" w:fill="auto"/>
            <w:vAlign w:val="center"/>
          </w:tcPr>
          <w:p w14:paraId="3CCFE53B" w14:textId="77777777" w:rsidR="00616641" w:rsidRPr="0049701B" w:rsidRDefault="00616641" w:rsidP="007E3239">
            <w:pPr>
              <w:pStyle w:val="TableText"/>
              <w:spacing w:before="50" w:after="50"/>
              <w:rPr>
                <w:rFonts w:cs="Calibri"/>
                <w:szCs w:val="16"/>
              </w:rPr>
            </w:pPr>
            <w:r w:rsidRPr="0049701B">
              <w:rPr>
                <w:rFonts w:cs="Calibri"/>
                <w:szCs w:val="16"/>
              </w:rPr>
              <w:t>2012</w:t>
            </w:r>
          </w:p>
        </w:tc>
        <w:tc>
          <w:tcPr>
            <w:tcW w:w="1427" w:type="dxa"/>
            <w:shd w:val="clear" w:color="auto" w:fill="auto"/>
          </w:tcPr>
          <w:p w14:paraId="0E99CA86" w14:textId="77777777" w:rsidR="00616641" w:rsidRPr="0049701B" w:rsidRDefault="00616641" w:rsidP="007E3239">
            <w:pPr>
              <w:pStyle w:val="TableText"/>
              <w:spacing w:before="50" w:after="50"/>
              <w:jc w:val="right"/>
              <w:rPr>
                <w:rFonts w:cs="Calibri"/>
                <w:szCs w:val="16"/>
              </w:rPr>
            </w:pPr>
            <w:r w:rsidRPr="0049701B">
              <w:t xml:space="preserve"> 1,138 </w:t>
            </w:r>
          </w:p>
        </w:tc>
        <w:tc>
          <w:tcPr>
            <w:tcW w:w="1712" w:type="dxa"/>
            <w:shd w:val="clear" w:color="auto" w:fill="auto"/>
          </w:tcPr>
          <w:p w14:paraId="3CFB3219" w14:textId="77777777" w:rsidR="00616641" w:rsidRPr="0049701B" w:rsidRDefault="00616641" w:rsidP="007E3239">
            <w:pPr>
              <w:pStyle w:val="TableText"/>
              <w:spacing w:before="50" w:after="50"/>
              <w:jc w:val="right"/>
              <w:rPr>
                <w:rFonts w:cs="Calibri"/>
                <w:szCs w:val="16"/>
              </w:rPr>
            </w:pPr>
            <w:r w:rsidRPr="0049701B">
              <w:t xml:space="preserve"> 7,561 </w:t>
            </w:r>
          </w:p>
        </w:tc>
        <w:tc>
          <w:tcPr>
            <w:tcW w:w="1571" w:type="dxa"/>
            <w:shd w:val="clear" w:color="auto" w:fill="auto"/>
          </w:tcPr>
          <w:p w14:paraId="0BBDC480" w14:textId="77777777" w:rsidR="00616641" w:rsidRPr="0049701B" w:rsidRDefault="00616641" w:rsidP="007E3239">
            <w:pPr>
              <w:pStyle w:val="TableText"/>
              <w:spacing w:before="50" w:after="50"/>
              <w:jc w:val="right"/>
              <w:rPr>
                <w:rFonts w:cs="Calibri"/>
                <w:szCs w:val="16"/>
              </w:rPr>
            </w:pPr>
            <w:r w:rsidRPr="0049701B">
              <w:t xml:space="preserve"> 1,613 </w:t>
            </w:r>
          </w:p>
        </w:tc>
        <w:tc>
          <w:tcPr>
            <w:tcW w:w="1570" w:type="dxa"/>
          </w:tcPr>
          <w:p w14:paraId="0A2806B2" w14:textId="77777777" w:rsidR="00616641" w:rsidRPr="0049701B" w:rsidRDefault="00616641" w:rsidP="007E3239">
            <w:pPr>
              <w:pStyle w:val="TableText"/>
              <w:spacing w:before="50" w:after="50"/>
              <w:jc w:val="right"/>
              <w:rPr>
                <w:rFonts w:cs="Calibri"/>
                <w:szCs w:val="16"/>
              </w:rPr>
            </w:pPr>
            <w:r w:rsidRPr="0049701B">
              <w:t xml:space="preserve"> 60 </w:t>
            </w:r>
          </w:p>
        </w:tc>
        <w:tc>
          <w:tcPr>
            <w:tcW w:w="1427" w:type="dxa"/>
          </w:tcPr>
          <w:p w14:paraId="3C9583E0" w14:textId="77777777" w:rsidR="00616641" w:rsidRPr="0049701B" w:rsidRDefault="00616641" w:rsidP="007E3239">
            <w:pPr>
              <w:pStyle w:val="TableTextBold"/>
              <w:jc w:val="right"/>
              <w:rPr>
                <w:rFonts w:cs="Calibri"/>
                <w:noProof w:val="0"/>
                <w:szCs w:val="16"/>
              </w:rPr>
            </w:pPr>
            <w:r w:rsidRPr="0049701B">
              <w:rPr>
                <w:noProof w:val="0"/>
              </w:rPr>
              <w:t xml:space="preserve"> 10,372 </w:t>
            </w:r>
          </w:p>
        </w:tc>
      </w:tr>
      <w:tr w:rsidR="00616641" w:rsidRPr="0049701B" w14:paraId="69B3990E" w14:textId="77777777" w:rsidTr="007E3239">
        <w:tblPrEx>
          <w:tblCellMar>
            <w:left w:w="85" w:type="dxa"/>
            <w:right w:w="85" w:type="dxa"/>
          </w:tblCellMar>
        </w:tblPrEx>
        <w:tc>
          <w:tcPr>
            <w:tcW w:w="798" w:type="dxa"/>
            <w:shd w:val="clear" w:color="auto" w:fill="auto"/>
            <w:vAlign w:val="center"/>
          </w:tcPr>
          <w:p w14:paraId="0E5F101F" w14:textId="77777777" w:rsidR="00616641" w:rsidRPr="0049701B" w:rsidRDefault="00616641" w:rsidP="007E3239">
            <w:pPr>
              <w:pStyle w:val="TableText"/>
              <w:spacing w:before="50" w:after="50"/>
              <w:rPr>
                <w:rFonts w:cs="Calibri"/>
                <w:szCs w:val="16"/>
              </w:rPr>
            </w:pPr>
            <w:r w:rsidRPr="0049701B">
              <w:rPr>
                <w:rFonts w:cs="Calibri"/>
                <w:szCs w:val="16"/>
              </w:rPr>
              <w:t>2013</w:t>
            </w:r>
          </w:p>
        </w:tc>
        <w:tc>
          <w:tcPr>
            <w:tcW w:w="1427" w:type="dxa"/>
            <w:shd w:val="clear" w:color="auto" w:fill="auto"/>
          </w:tcPr>
          <w:p w14:paraId="6FFA3686" w14:textId="77777777" w:rsidR="00616641" w:rsidRPr="0049701B" w:rsidRDefault="00616641" w:rsidP="007E3239">
            <w:pPr>
              <w:pStyle w:val="TableText"/>
              <w:spacing w:before="50" w:after="50"/>
              <w:jc w:val="right"/>
              <w:rPr>
                <w:rFonts w:cs="Calibri"/>
                <w:szCs w:val="16"/>
              </w:rPr>
            </w:pPr>
            <w:r w:rsidRPr="0049701B">
              <w:t xml:space="preserve"> 1,148 </w:t>
            </w:r>
          </w:p>
        </w:tc>
        <w:tc>
          <w:tcPr>
            <w:tcW w:w="1712" w:type="dxa"/>
            <w:shd w:val="clear" w:color="auto" w:fill="auto"/>
          </w:tcPr>
          <w:p w14:paraId="6D0A9489" w14:textId="77777777" w:rsidR="00616641" w:rsidRPr="0049701B" w:rsidRDefault="00616641" w:rsidP="007E3239">
            <w:pPr>
              <w:pStyle w:val="TableText"/>
              <w:spacing w:before="50" w:after="50"/>
              <w:jc w:val="right"/>
              <w:rPr>
                <w:rFonts w:cs="Calibri"/>
                <w:szCs w:val="16"/>
              </w:rPr>
            </w:pPr>
            <w:r w:rsidRPr="0049701B">
              <w:t xml:space="preserve"> 9,837 </w:t>
            </w:r>
          </w:p>
        </w:tc>
        <w:tc>
          <w:tcPr>
            <w:tcW w:w="1571" w:type="dxa"/>
            <w:shd w:val="clear" w:color="auto" w:fill="auto"/>
          </w:tcPr>
          <w:p w14:paraId="49F12E4D" w14:textId="77777777" w:rsidR="00616641" w:rsidRPr="0049701B" w:rsidRDefault="00616641" w:rsidP="007E3239">
            <w:pPr>
              <w:pStyle w:val="TableText"/>
              <w:spacing w:before="50" w:after="50"/>
              <w:jc w:val="right"/>
              <w:rPr>
                <w:rFonts w:cs="Calibri"/>
                <w:szCs w:val="16"/>
              </w:rPr>
            </w:pPr>
            <w:r w:rsidRPr="0049701B">
              <w:t xml:space="preserve"> 2,801 </w:t>
            </w:r>
          </w:p>
        </w:tc>
        <w:tc>
          <w:tcPr>
            <w:tcW w:w="1570" w:type="dxa"/>
          </w:tcPr>
          <w:p w14:paraId="448A146B" w14:textId="77777777" w:rsidR="00616641" w:rsidRPr="0049701B" w:rsidRDefault="00616641" w:rsidP="007E3239">
            <w:pPr>
              <w:pStyle w:val="TableText"/>
              <w:spacing w:before="50" w:after="50"/>
              <w:jc w:val="right"/>
              <w:rPr>
                <w:rFonts w:cs="Calibri"/>
                <w:szCs w:val="16"/>
              </w:rPr>
            </w:pPr>
            <w:r w:rsidRPr="0049701B">
              <w:t xml:space="preserve"> 112 </w:t>
            </w:r>
          </w:p>
        </w:tc>
        <w:tc>
          <w:tcPr>
            <w:tcW w:w="1427" w:type="dxa"/>
          </w:tcPr>
          <w:p w14:paraId="003E1B8D" w14:textId="77777777" w:rsidR="00616641" w:rsidRPr="0049701B" w:rsidRDefault="00616641" w:rsidP="007E3239">
            <w:pPr>
              <w:pStyle w:val="TableTextBold"/>
              <w:jc w:val="right"/>
              <w:rPr>
                <w:rFonts w:cs="Calibri"/>
                <w:noProof w:val="0"/>
                <w:szCs w:val="16"/>
              </w:rPr>
            </w:pPr>
            <w:r w:rsidRPr="0049701B">
              <w:rPr>
                <w:noProof w:val="0"/>
              </w:rPr>
              <w:t xml:space="preserve"> 13,897 </w:t>
            </w:r>
          </w:p>
        </w:tc>
      </w:tr>
      <w:tr w:rsidR="00616641" w:rsidRPr="0049701B" w14:paraId="23B11B0C" w14:textId="77777777" w:rsidTr="007E3239">
        <w:tblPrEx>
          <w:tblCellMar>
            <w:left w:w="85" w:type="dxa"/>
            <w:right w:w="85" w:type="dxa"/>
          </w:tblCellMar>
        </w:tblPrEx>
        <w:tc>
          <w:tcPr>
            <w:tcW w:w="798" w:type="dxa"/>
            <w:shd w:val="clear" w:color="auto" w:fill="auto"/>
            <w:vAlign w:val="center"/>
          </w:tcPr>
          <w:p w14:paraId="2A03AE11" w14:textId="77777777" w:rsidR="00616641" w:rsidRPr="0049701B" w:rsidRDefault="00616641" w:rsidP="007E3239">
            <w:pPr>
              <w:pStyle w:val="TableText"/>
              <w:spacing w:before="50" w:after="50"/>
              <w:rPr>
                <w:rFonts w:cs="Calibri"/>
                <w:szCs w:val="16"/>
              </w:rPr>
            </w:pPr>
            <w:r w:rsidRPr="0049701B">
              <w:rPr>
                <w:rFonts w:cs="Calibri"/>
                <w:szCs w:val="16"/>
              </w:rPr>
              <w:t>2014</w:t>
            </w:r>
          </w:p>
        </w:tc>
        <w:tc>
          <w:tcPr>
            <w:tcW w:w="1427" w:type="dxa"/>
            <w:shd w:val="clear" w:color="auto" w:fill="auto"/>
          </w:tcPr>
          <w:p w14:paraId="6A398D54" w14:textId="77777777" w:rsidR="00616641" w:rsidRPr="0049701B" w:rsidRDefault="00616641" w:rsidP="007E3239">
            <w:pPr>
              <w:pStyle w:val="TableText"/>
              <w:spacing w:before="50" w:after="50"/>
              <w:jc w:val="right"/>
              <w:rPr>
                <w:rFonts w:cs="Calibri"/>
                <w:szCs w:val="16"/>
              </w:rPr>
            </w:pPr>
            <w:r w:rsidRPr="0049701B">
              <w:t xml:space="preserve"> 601 </w:t>
            </w:r>
          </w:p>
        </w:tc>
        <w:tc>
          <w:tcPr>
            <w:tcW w:w="1712" w:type="dxa"/>
            <w:shd w:val="clear" w:color="auto" w:fill="auto"/>
          </w:tcPr>
          <w:p w14:paraId="3CEFB079" w14:textId="77777777" w:rsidR="00616641" w:rsidRPr="0049701B" w:rsidRDefault="00616641" w:rsidP="007E3239">
            <w:pPr>
              <w:pStyle w:val="TableText"/>
              <w:spacing w:before="50" w:after="50"/>
              <w:jc w:val="right"/>
              <w:rPr>
                <w:rFonts w:cs="Calibri"/>
                <w:szCs w:val="16"/>
              </w:rPr>
            </w:pPr>
            <w:r w:rsidRPr="0049701B">
              <w:t xml:space="preserve"> 6,927 </w:t>
            </w:r>
          </w:p>
        </w:tc>
        <w:tc>
          <w:tcPr>
            <w:tcW w:w="1571" w:type="dxa"/>
            <w:shd w:val="clear" w:color="auto" w:fill="auto"/>
          </w:tcPr>
          <w:p w14:paraId="5251ED72" w14:textId="77777777" w:rsidR="00616641" w:rsidRPr="0049701B" w:rsidRDefault="00616641" w:rsidP="007E3239">
            <w:pPr>
              <w:pStyle w:val="TableText"/>
              <w:spacing w:before="50" w:after="50"/>
              <w:jc w:val="right"/>
              <w:rPr>
                <w:rFonts w:cs="Calibri"/>
                <w:szCs w:val="16"/>
              </w:rPr>
            </w:pPr>
            <w:r w:rsidRPr="0049701B">
              <w:t xml:space="preserve"> 2,855 </w:t>
            </w:r>
          </w:p>
        </w:tc>
        <w:tc>
          <w:tcPr>
            <w:tcW w:w="1570" w:type="dxa"/>
          </w:tcPr>
          <w:p w14:paraId="2C0EFFF0" w14:textId="77777777" w:rsidR="00616641" w:rsidRPr="0049701B" w:rsidRDefault="00616641" w:rsidP="007E3239">
            <w:pPr>
              <w:pStyle w:val="TableText"/>
              <w:spacing w:before="50" w:after="50"/>
              <w:jc w:val="right"/>
              <w:rPr>
                <w:rFonts w:cs="Calibri"/>
                <w:szCs w:val="16"/>
              </w:rPr>
            </w:pPr>
            <w:r w:rsidRPr="0049701B">
              <w:t xml:space="preserve"> 123 </w:t>
            </w:r>
          </w:p>
        </w:tc>
        <w:tc>
          <w:tcPr>
            <w:tcW w:w="1427" w:type="dxa"/>
          </w:tcPr>
          <w:p w14:paraId="567D65A4" w14:textId="77777777" w:rsidR="00616641" w:rsidRPr="0049701B" w:rsidRDefault="00616641" w:rsidP="007E3239">
            <w:pPr>
              <w:pStyle w:val="TableTextBold"/>
              <w:jc w:val="right"/>
              <w:rPr>
                <w:rFonts w:cs="Calibri"/>
                <w:noProof w:val="0"/>
                <w:szCs w:val="16"/>
              </w:rPr>
            </w:pPr>
            <w:r w:rsidRPr="0049701B">
              <w:rPr>
                <w:noProof w:val="0"/>
              </w:rPr>
              <w:t xml:space="preserve"> 10,507 </w:t>
            </w:r>
          </w:p>
        </w:tc>
      </w:tr>
      <w:tr w:rsidR="00616641" w:rsidRPr="0049701B" w14:paraId="16994BA5" w14:textId="77777777" w:rsidTr="007E3239">
        <w:tblPrEx>
          <w:tblCellMar>
            <w:left w:w="85" w:type="dxa"/>
            <w:right w:w="85" w:type="dxa"/>
          </w:tblCellMar>
        </w:tblPrEx>
        <w:tc>
          <w:tcPr>
            <w:tcW w:w="798" w:type="dxa"/>
            <w:shd w:val="clear" w:color="auto" w:fill="auto"/>
            <w:vAlign w:val="center"/>
          </w:tcPr>
          <w:p w14:paraId="5C67665C" w14:textId="77777777" w:rsidR="00616641" w:rsidRPr="0049701B" w:rsidRDefault="00616641" w:rsidP="007E3239">
            <w:pPr>
              <w:pStyle w:val="TableText"/>
              <w:spacing w:before="50" w:after="50"/>
              <w:rPr>
                <w:rFonts w:cs="Calibri"/>
                <w:szCs w:val="16"/>
              </w:rPr>
            </w:pPr>
            <w:r w:rsidRPr="0049701B">
              <w:rPr>
                <w:rFonts w:cs="Calibri"/>
                <w:szCs w:val="16"/>
              </w:rPr>
              <w:t>2015</w:t>
            </w:r>
            <w:r w:rsidRPr="0049701B">
              <w:rPr>
                <w:rFonts w:cs="Calibri"/>
                <w:szCs w:val="16"/>
                <w:vertAlign w:val="superscript"/>
              </w:rPr>
              <w:t xml:space="preserve"> </w:t>
            </w:r>
          </w:p>
        </w:tc>
        <w:tc>
          <w:tcPr>
            <w:tcW w:w="1427" w:type="dxa"/>
            <w:shd w:val="clear" w:color="auto" w:fill="auto"/>
          </w:tcPr>
          <w:p w14:paraId="05CED0CF" w14:textId="77777777" w:rsidR="00616641" w:rsidRPr="0049701B" w:rsidRDefault="00616641" w:rsidP="007E3239">
            <w:pPr>
              <w:pStyle w:val="TableText"/>
              <w:spacing w:before="50" w:after="50"/>
              <w:jc w:val="right"/>
              <w:rPr>
                <w:rFonts w:cs="Calibri"/>
                <w:szCs w:val="16"/>
              </w:rPr>
            </w:pPr>
            <w:r w:rsidRPr="0049701B">
              <w:t xml:space="preserve"> 972 </w:t>
            </w:r>
          </w:p>
        </w:tc>
        <w:tc>
          <w:tcPr>
            <w:tcW w:w="1712" w:type="dxa"/>
            <w:shd w:val="clear" w:color="auto" w:fill="auto"/>
          </w:tcPr>
          <w:p w14:paraId="6A2D5290" w14:textId="77777777" w:rsidR="00616641" w:rsidRPr="0049701B" w:rsidRDefault="00616641" w:rsidP="007E3239">
            <w:pPr>
              <w:pStyle w:val="TableText"/>
              <w:spacing w:before="50" w:after="50"/>
              <w:jc w:val="right"/>
              <w:rPr>
                <w:rFonts w:cs="Calibri"/>
                <w:szCs w:val="16"/>
              </w:rPr>
            </w:pPr>
            <w:r w:rsidRPr="0049701B">
              <w:t xml:space="preserve"> 4,484 </w:t>
            </w:r>
          </w:p>
        </w:tc>
        <w:tc>
          <w:tcPr>
            <w:tcW w:w="1571" w:type="dxa"/>
            <w:shd w:val="clear" w:color="auto" w:fill="auto"/>
          </w:tcPr>
          <w:p w14:paraId="67C55572" w14:textId="77777777" w:rsidR="00616641" w:rsidRPr="0049701B" w:rsidRDefault="00616641" w:rsidP="007E3239">
            <w:pPr>
              <w:pStyle w:val="TableText"/>
              <w:spacing w:before="50" w:after="50"/>
              <w:jc w:val="right"/>
              <w:rPr>
                <w:rFonts w:cs="Calibri"/>
                <w:szCs w:val="16"/>
              </w:rPr>
            </w:pPr>
            <w:r w:rsidRPr="0049701B">
              <w:t xml:space="preserve"> 2,407 </w:t>
            </w:r>
          </w:p>
        </w:tc>
        <w:tc>
          <w:tcPr>
            <w:tcW w:w="1570" w:type="dxa"/>
          </w:tcPr>
          <w:p w14:paraId="186BEF47" w14:textId="77777777" w:rsidR="00616641" w:rsidRPr="0049701B" w:rsidRDefault="00616641" w:rsidP="007E3239">
            <w:pPr>
              <w:pStyle w:val="TableText"/>
              <w:spacing w:before="50" w:after="50"/>
              <w:jc w:val="right"/>
              <w:rPr>
                <w:rFonts w:cs="Calibri"/>
                <w:szCs w:val="16"/>
              </w:rPr>
            </w:pPr>
            <w:r w:rsidRPr="0049701B">
              <w:t xml:space="preserve"> 116 </w:t>
            </w:r>
          </w:p>
        </w:tc>
        <w:tc>
          <w:tcPr>
            <w:tcW w:w="1427" w:type="dxa"/>
          </w:tcPr>
          <w:p w14:paraId="7FC729BE" w14:textId="77777777" w:rsidR="00616641" w:rsidRPr="0049701B" w:rsidRDefault="00616641" w:rsidP="007E3239">
            <w:pPr>
              <w:pStyle w:val="TableTextBold"/>
              <w:jc w:val="right"/>
              <w:rPr>
                <w:rFonts w:cs="Calibri"/>
                <w:noProof w:val="0"/>
                <w:szCs w:val="16"/>
              </w:rPr>
            </w:pPr>
            <w:r w:rsidRPr="0049701B">
              <w:rPr>
                <w:noProof w:val="0"/>
              </w:rPr>
              <w:t xml:space="preserve"> 7,980 </w:t>
            </w:r>
          </w:p>
        </w:tc>
      </w:tr>
      <w:tr w:rsidR="00616641" w:rsidRPr="0049701B" w14:paraId="337E0964" w14:textId="77777777" w:rsidTr="007E3239">
        <w:tblPrEx>
          <w:tblCellMar>
            <w:left w:w="85" w:type="dxa"/>
            <w:right w:w="85" w:type="dxa"/>
          </w:tblCellMar>
        </w:tblPrEx>
        <w:tc>
          <w:tcPr>
            <w:tcW w:w="798" w:type="dxa"/>
            <w:shd w:val="clear" w:color="auto" w:fill="auto"/>
            <w:vAlign w:val="center"/>
          </w:tcPr>
          <w:p w14:paraId="11F7C8E5" w14:textId="77777777" w:rsidR="00616641" w:rsidRPr="0049701B" w:rsidRDefault="00616641" w:rsidP="007E3239">
            <w:pPr>
              <w:pStyle w:val="TableText"/>
              <w:spacing w:before="50" w:after="50"/>
              <w:rPr>
                <w:rFonts w:cs="Calibri"/>
                <w:szCs w:val="16"/>
              </w:rPr>
            </w:pPr>
            <w:r w:rsidRPr="0049701B">
              <w:rPr>
                <w:rFonts w:cs="Calibri"/>
                <w:szCs w:val="16"/>
              </w:rPr>
              <w:t>2016</w:t>
            </w:r>
            <w:r w:rsidRPr="0049701B">
              <w:rPr>
                <w:rFonts w:cs="Calibri"/>
                <w:szCs w:val="16"/>
                <w:vertAlign w:val="superscript"/>
              </w:rPr>
              <w:t xml:space="preserve"> </w:t>
            </w:r>
          </w:p>
        </w:tc>
        <w:tc>
          <w:tcPr>
            <w:tcW w:w="1427" w:type="dxa"/>
            <w:shd w:val="clear" w:color="auto" w:fill="auto"/>
          </w:tcPr>
          <w:p w14:paraId="69E2A566" w14:textId="77777777" w:rsidR="00616641" w:rsidRPr="0049701B" w:rsidRDefault="00616641" w:rsidP="007E3239">
            <w:pPr>
              <w:pStyle w:val="TableText"/>
              <w:spacing w:before="50" w:after="50"/>
              <w:jc w:val="right"/>
              <w:rPr>
                <w:rFonts w:cs="Calibri"/>
                <w:szCs w:val="16"/>
              </w:rPr>
            </w:pPr>
            <w:r w:rsidRPr="0049701B">
              <w:t xml:space="preserve"> 769 </w:t>
            </w:r>
          </w:p>
        </w:tc>
        <w:tc>
          <w:tcPr>
            <w:tcW w:w="1712" w:type="dxa"/>
            <w:shd w:val="clear" w:color="auto" w:fill="auto"/>
          </w:tcPr>
          <w:p w14:paraId="36F01A57" w14:textId="77777777" w:rsidR="00616641" w:rsidRPr="0049701B" w:rsidRDefault="00616641" w:rsidP="007E3239">
            <w:pPr>
              <w:pStyle w:val="TableText"/>
              <w:spacing w:before="50" w:after="50"/>
              <w:jc w:val="right"/>
              <w:rPr>
                <w:rFonts w:cs="Calibri"/>
                <w:szCs w:val="16"/>
              </w:rPr>
            </w:pPr>
            <w:r w:rsidRPr="0049701B">
              <w:t xml:space="preserve"> 3,301 </w:t>
            </w:r>
          </w:p>
        </w:tc>
        <w:tc>
          <w:tcPr>
            <w:tcW w:w="1571" w:type="dxa"/>
            <w:shd w:val="clear" w:color="auto" w:fill="auto"/>
          </w:tcPr>
          <w:p w14:paraId="342F3EBE" w14:textId="77777777" w:rsidR="00616641" w:rsidRPr="0049701B" w:rsidRDefault="00616641" w:rsidP="007E3239">
            <w:pPr>
              <w:pStyle w:val="TableText"/>
              <w:spacing w:before="50" w:after="50"/>
              <w:jc w:val="right"/>
              <w:rPr>
                <w:rFonts w:cs="Calibri"/>
                <w:szCs w:val="16"/>
              </w:rPr>
            </w:pPr>
            <w:r w:rsidRPr="0049701B">
              <w:t xml:space="preserve"> 2,957 </w:t>
            </w:r>
          </w:p>
        </w:tc>
        <w:tc>
          <w:tcPr>
            <w:tcW w:w="1570" w:type="dxa"/>
          </w:tcPr>
          <w:p w14:paraId="1386CF46" w14:textId="77777777" w:rsidR="00616641" w:rsidRPr="0049701B" w:rsidRDefault="00616641" w:rsidP="007E3239">
            <w:pPr>
              <w:pStyle w:val="TableText"/>
              <w:spacing w:before="50" w:after="50"/>
              <w:jc w:val="right"/>
              <w:rPr>
                <w:rFonts w:cs="Calibri"/>
                <w:szCs w:val="16"/>
              </w:rPr>
            </w:pPr>
            <w:r w:rsidRPr="0049701B">
              <w:t xml:space="preserve"> 134 </w:t>
            </w:r>
          </w:p>
        </w:tc>
        <w:tc>
          <w:tcPr>
            <w:tcW w:w="1427" w:type="dxa"/>
          </w:tcPr>
          <w:p w14:paraId="35CA7883" w14:textId="77777777" w:rsidR="00616641" w:rsidRPr="0049701B" w:rsidRDefault="00616641" w:rsidP="007E3239">
            <w:pPr>
              <w:pStyle w:val="TableTextBold"/>
              <w:jc w:val="right"/>
              <w:rPr>
                <w:rFonts w:cs="Calibri"/>
                <w:noProof w:val="0"/>
                <w:szCs w:val="16"/>
              </w:rPr>
            </w:pPr>
            <w:r w:rsidRPr="0049701B">
              <w:rPr>
                <w:noProof w:val="0"/>
              </w:rPr>
              <w:t xml:space="preserve"> 7,162 </w:t>
            </w:r>
          </w:p>
        </w:tc>
      </w:tr>
      <w:tr w:rsidR="00616641" w:rsidRPr="0049701B" w14:paraId="061233BD" w14:textId="77777777" w:rsidTr="007E3239">
        <w:tblPrEx>
          <w:tblCellMar>
            <w:left w:w="85" w:type="dxa"/>
            <w:right w:w="85" w:type="dxa"/>
          </w:tblCellMar>
        </w:tblPrEx>
        <w:tc>
          <w:tcPr>
            <w:tcW w:w="798" w:type="dxa"/>
            <w:shd w:val="clear" w:color="auto" w:fill="auto"/>
            <w:vAlign w:val="center"/>
          </w:tcPr>
          <w:p w14:paraId="053B05F7" w14:textId="77777777" w:rsidR="00616641" w:rsidRPr="0049701B" w:rsidRDefault="00616641" w:rsidP="007E3239">
            <w:pPr>
              <w:pStyle w:val="TableText"/>
              <w:spacing w:before="50" w:after="50"/>
              <w:rPr>
                <w:rFonts w:cs="Calibri"/>
                <w:szCs w:val="16"/>
              </w:rPr>
            </w:pPr>
            <w:r w:rsidRPr="0049701B">
              <w:rPr>
                <w:rFonts w:cs="Calibri"/>
                <w:szCs w:val="16"/>
              </w:rPr>
              <w:t>2017</w:t>
            </w:r>
            <w:r w:rsidRPr="0049701B">
              <w:rPr>
                <w:rFonts w:cs="Calibri"/>
                <w:szCs w:val="16"/>
                <w:vertAlign w:val="superscript"/>
              </w:rPr>
              <w:t>P</w:t>
            </w:r>
          </w:p>
        </w:tc>
        <w:tc>
          <w:tcPr>
            <w:tcW w:w="1427" w:type="dxa"/>
            <w:shd w:val="clear" w:color="auto" w:fill="auto"/>
          </w:tcPr>
          <w:p w14:paraId="446096E4" w14:textId="77777777" w:rsidR="00616641" w:rsidRPr="0049701B" w:rsidRDefault="00616641" w:rsidP="007E3239">
            <w:pPr>
              <w:pStyle w:val="TableText"/>
              <w:spacing w:before="50" w:after="50"/>
              <w:jc w:val="right"/>
              <w:rPr>
                <w:rFonts w:cs="Calibri"/>
                <w:szCs w:val="16"/>
              </w:rPr>
            </w:pPr>
            <w:r w:rsidRPr="0049701B">
              <w:t xml:space="preserve"> 781 </w:t>
            </w:r>
          </w:p>
        </w:tc>
        <w:tc>
          <w:tcPr>
            <w:tcW w:w="1712" w:type="dxa"/>
            <w:shd w:val="clear" w:color="auto" w:fill="auto"/>
          </w:tcPr>
          <w:p w14:paraId="48899194" w14:textId="77777777" w:rsidR="00616641" w:rsidRPr="0049701B" w:rsidRDefault="00616641" w:rsidP="007E3239">
            <w:pPr>
              <w:pStyle w:val="TableText"/>
              <w:spacing w:before="50" w:after="50"/>
              <w:jc w:val="right"/>
              <w:rPr>
                <w:rFonts w:cs="Calibri"/>
                <w:szCs w:val="16"/>
              </w:rPr>
            </w:pPr>
            <w:r w:rsidRPr="0049701B">
              <w:t xml:space="preserve"> 1,159 </w:t>
            </w:r>
          </w:p>
        </w:tc>
        <w:tc>
          <w:tcPr>
            <w:tcW w:w="1571" w:type="dxa"/>
            <w:shd w:val="clear" w:color="auto" w:fill="auto"/>
          </w:tcPr>
          <w:p w14:paraId="60A2B20E" w14:textId="77777777" w:rsidR="00616641" w:rsidRPr="0049701B" w:rsidRDefault="00616641" w:rsidP="007E3239">
            <w:pPr>
              <w:pStyle w:val="TableText"/>
              <w:spacing w:before="50" w:after="50"/>
              <w:jc w:val="right"/>
              <w:rPr>
                <w:rFonts w:cs="Calibri"/>
                <w:szCs w:val="16"/>
              </w:rPr>
            </w:pPr>
            <w:r w:rsidRPr="0049701B">
              <w:t xml:space="preserve"> 2,880 </w:t>
            </w:r>
          </w:p>
        </w:tc>
        <w:tc>
          <w:tcPr>
            <w:tcW w:w="1570" w:type="dxa"/>
          </w:tcPr>
          <w:p w14:paraId="5C95B460" w14:textId="77777777" w:rsidR="00616641" w:rsidRPr="0049701B" w:rsidRDefault="00616641" w:rsidP="007E3239">
            <w:pPr>
              <w:pStyle w:val="TableText"/>
              <w:spacing w:before="50" w:after="50"/>
              <w:jc w:val="right"/>
              <w:rPr>
                <w:rFonts w:cs="Calibri"/>
                <w:szCs w:val="16"/>
              </w:rPr>
            </w:pPr>
            <w:r w:rsidRPr="0049701B">
              <w:t xml:space="preserve"> 124 </w:t>
            </w:r>
          </w:p>
        </w:tc>
        <w:tc>
          <w:tcPr>
            <w:tcW w:w="1427" w:type="dxa"/>
          </w:tcPr>
          <w:p w14:paraId="7635B94A" w14:textId="77777777" w:rsidR="00616641" w:rsidRPr="0049701B" w:rsidRDefault="00616641" w:rsidP="007E3239">
            <w:pPr>
              <w:pStyle w:val="TableTextBold"/>
              <w:jc w:val="right"/>
              <w:rPr>
                <w:rFonts w:cs="Calibri"/>
                <w:noProof w:val="0"/>
                <w:szCs w:val="16"/>
              </w:rPr>
            </w:pPr>
            <w:r w:rsidRPr="0049701B">
              <w:rPr>
                <w:noProof w:val="0"/>
              </w:rPr>
              <w:t xml:space="preserve"> 4,944 </w:t>
            </w:r>
          </w:p>
        </w:tc>
      </w:tr>
      <w:tr w:rsidR="00616641" w:rsidRPr="0049701B" w14:paraId="3B2E2D83" w14:textId="77777777" w:rsidTr="007E3239">
        <w:tblPrEx>
          <w:tblCellMar>
            <w:left w:w="85" w:type="dxa"/>
            <w:right w:w="85" w:type="dxa"/>
          </w:tblCellMar>
        </w:tblPrEx>
        <w:tc>
          <w:tcPr>
            <w:tcW w:w="798" w:type="dxa"/>
            <w:shd w:val="clear" w:color="auto" w:fill="auto"/>
            <w:vAlign w:val="center"/>
          </w:tcPr>
          <w:p w14:paraId="035783D9" w14:textId="77777777" w:rsidR="00616641" w:rsidRPr="0049701B" w:rsidRDefault="00616641" w:rsidP="007E3239">
            <w:pPr>
              <w:pStyle w:val="TableText"/>
              <w:spacing w:before="50" w:after="50"/>
              <w:rPr>
                <w:rFonts w:cs="Calibri"/>
                <w:szCs w:val="16"/>
              </w:rPr>
            </w:pPr>
            <w:r w:rsidRPr="0049701B">
              <w:rPr>
                <w:rFonts w:cs="Calibri"/>
                <w:szCs w:val="16"/>
              </w:rPr>
              <w:t>2018</w:t>
            </w:r>
            <w:r w:rsidRPr="0049701B">
              <w:rPr>
                <w:rFonts w:cs="Calibri"/>
                <w:szCs w:val="16"/>
                <w:vertAlign w:val="superscript"/>
              </w:rPr>
              <w:t>P</w:t>
            </w:r>
          </w:p>
        </w:tc>
        <w:tc>
          <w:tcPr>
            <w:tcW w:w="1427" w:type="dxa"/>
            <w:shd w:val="clear" w:color="auto" w:fill="auto"/>
          </w:tcPr>
          <w:p w14:paraId="4F69D96C" w14:textId="77777777" w:rsidR="00616641" w:rsidRPr="0049701B" w:rsidRDefault="00616641" w:rsidP="007E3239">
            <w:pPr>
              <w:pStyle w:val="TableText"/>
              <w:spacing w:before="50" w:after="50"/>
              <w:jc w:val="right"/>
              <w:rPr>
                <w:rFonts w:cs="Calibri"/>
                <w:szCs w:val="16"/>
              </w:rPr>
            </w:pPr>
            <w:r w:rsidRPr="0049701B">
              <w:t xml:space="preserve"> 781 </w:t>
            </w:r>
          </w:p>
        </w:tc>
        <w:tc>
          <w:tcPr>
            <w:tcW w:w="1712" w:type="dxa"/>
            <w:shd w:val="clear" w:color="auto" w:fill="auto"/>
          </w:tcPr>
          <w:p w14:paraId="2AC6E9EA" w14:textId="77777777" w:rsidR="00616641" w:rsidRPr="0049701B" w:rsidRDefault="00616641" w:rsidP="007E3239">
            <w:pPr>
              <w:pStyle w:val="TableText"/>
              <w:spacing w:before="50" w:after="50"/>
              <w:jc w:val="right"/>
              <w:rPr>
                <w:rFonts w:cs="Calibri"/>
                <w:szCs w:val="16"/>
              </w:rPr>
            </w:pPr>
            <w:r w:rsidRPr="0049701B">
              <w:t xml:space="preserve"> 1,750 </w:t>
            </w:r>
          </w:p>
        </w:tc>
        <w:tc>
          <w:tcPr>
            <w:tcW w:w="1571" w:type="dxa"/>
            <w:shd w:val="clear" w:color="auto" w:fill="auto"/>
          </w:tcPr>
          <w:p w14:paraId="2C087C24" w14:textId="77777777" w:rsidR="00616641" w:rsidRPr="0049701B" w:rsidRDefault="00616641" w:rsidP="007E3239">
            <w:pPr>
              <w:pStyle w:val="TableText"/>
              <w:spacing w:before="50" w:after="50"/>
              <w:jc w:val="right"/>
              <w:rPr>
                <w:rFonts w:cs="Calibri"/>
                <w:szCs w:val="16"/>
              </w:rPr>
            </w:pPr>
            <w:r w:rsidRPr="0049701B">
              <w:t xml:space="preserve"> 1,171 </w:t>
            </w:r>
          </w:p>
        </w:tc>
        <w:tc>
          <w:tcPr>
            <w:tcW w:w="1570" w:type="dxa"/>
          </w:tcPr>
          <w:p w14:paraId="5C8F4B84" w14:textId="77777777" w:rsidR="00616641" w:rsidRPr="0049701B" w:rsidRDefault="00616641" w:rsidP="007E3239">
            <w:pPr>
              <w:pStyle w:val="TableText"/>
              <w:spacing w:before="50" w:after="50"/>
              <w:jc w:val="right"/>
              <w:rPr>
                <w:rFonts w:cs="Calibri"/>
                <w:szCs w:val="16"/>
              </w:rPr>
            </w:pPr>
            <w:r w:rsidRPr="0049701B">
              <w:t xml:space="preserve"> 124 </w:t>
            </w:r>
          </w:p>
        </w:tc>
        <w:tc>
          <w:tcPr>
            <w:tcW w:w="1427" w:type="dxa"/>
          </w:tcPr>
          <w:p w14:paraId="0050EA03" w14:textId="77777777" w:rsidR="00616641" w:rsidRPr="0049701B" w:rsidRDefault="00616641" w:rsidP="007E3239">
            <w:pPr>
              <w:pStyle w:val="TableTextBold"/>
              <w:jc w:val="right"/>
              <w:rPr>
                <w:rFonts w:cs="Calibri"/>
                <w:noProof w:val="0"/>
                <w:szCs w:val="16"/>
              </w:rPr>
            </w:pPr>
            <w:r w:rsidRPr="0049701B">
              <w:rPr>
                <w:noProof w:val="0"/>
              </w:rPr>
              <w:t xml:space="preserve"> 3,826 </w:t>
            </w:r>
          </w:p>
        </w:tc>
      </w:tr>
      <w:tr w:rsidR="00616641" w:rsidRPr="0049701B" w14:paraId="221BDAA3" w14:textId="77777777" w:rsidTr="007E3239">
        <w:tblPrEx>
          <w:tblCellMar>
            <w:left w:w="85" w:type="dxa"/>
            <w:right w:w="85" w:type="dxa"/>
          </w:tblCellMar>
        </w:tblPrEx>
        <w:tc>
          <w:tcPr>
            <w:tcW w:w="798" w:type="dxa"/>
            <w:shd w:val="clear" w:color="auto" w:fill="auto"/>
            <w:vAlign w:val="center"/>
          </w:tcPr>
          <w:p w14:paraId="7594CBD0" w14:textId="77777777" w:rsidR="00616641" w:rsidRPr="0049701B" w:rsidRDefault="00616641" w:rsidP="007E3239">
            <w:pPr>
              <w:pStyle w:val="TableText"/>
              <w:spacing w:before="50" w:after="50"/>
              <w:rPr>
                <w:rFonts w:cs="Calibri"/>
                <w:szCs w:val="16"/>
              </w:rPr>
            </w:pPr>
            <w:r w:rsidRPr="0049701B">
              <w:rPr>
                <w:rFonts w:cs="Calibri"/>
                <w:szCs w:val="16"/>
              </w:rPr>
              <w:t>2019</w:t>
            </w:r>
            <w:r w:rsidRPr="0049701B">
              <w:rPr>
                <w:rFonts w:cs="Calibri"/>
                <w:szCs w:val="16"/>
                <w:vertAlign w:val="superscript"/>
              </w:rPr>
              <w:t>P</w:t>
            </w:r>
          </w:p>
        </w:tc>
        <w:tc>
          <w:tcPr>
            <w:tcW w:w="1427" w:type="dxa"/>
            <w:shd w:val="clear" w:color="auto" w:fill="auto"/>
          </w:tcPr>
          <w:p w14:paraId="685BCEE4" w14:textId="77777777" w:rsidR="00616641" w:rsidRPr="0049701B" w:rsidRDefault="00616641" w:rsidP="007E3239">
            <w:pPr>
              <w:pStyle w:val="TableText"/>
              <w:spacing w:before="50" w:after="50"/>
              <w:jc w:val="right"/>
              <w:rPr>
                <w:rFonts w:cs="Calibri"/>
                <w:szCs w:val="16"/>
              </w:rPr>
            </w:pPr>
            <w:r w:rsidRPr="0049701B">
              <w:t xml:space="preserve"> 781 </w:t>
            </w:r>
          </w:p>
        </w:tc>
        <w:tc>
          <w:tcPr>
            <w:tcW w:w="1712" w:type="dxa"/>
            <w:shd w:val="clear" w:color="auto" w:fill="auto"/>
          </w:tcPr>
          <w:p w14:paraId="251CE310" w14:textId="77777777" w:rsidR="00616641" w:rsidRPr="0049701B" w:rsidRDefault="00616641" w:rsidP="007E3239">
            <w:pPr>
              <w:pStyle w:val="TableText"/>
              <w:spacing w:before="50" w:after="50"/>
              <w:jc w:val="right"/>
              <w:rPr>
                <w:rFonts w:cs="Calibri"/>
                <w:szCs w:val="16"/>
              </w:rPr>
            </w:pPr>
            <w:r w:rsidRPr="0049701B">
              <w:t xml:space="preserve"> 2,309 </w:t>
            </w:r>
          </w:p>
        </w:tc>
        <w:tc>
          <w:tcPr>
            <w:tcW w:w="1571" w:type="dxa"/>
            <w:shd w:val="clear" w:color="auto" w:fill="auto"/>
          </w:tcPr>
          <w:p w14:paraId="603F954F" w14:textId="77777777" w:rsidR="00616641" w:rsidRPr="0049701B" w:rsidRDefault="00616641" w:rsidP="007E3239">
            <w:pPr>
              <w:pStyle w:val="TableText"/>
              <w:spacing w:before="50" w:after="50"/>
              <w:jc w:val="right"/>
              <w:rPr>
                <w:rFonts w:cs="Calibri"/>
                <w:szCs w:val="16"/>
              </w:rPr>
            </w:pPr>
            <w:r w:rsidRPr="0049701B">
              <w:t xml:space="preserve"> 1,545 </w:t>
            </w:r>
          </w:p>
        </w:tc>
        <w:tc>
          <w:tcPr>
            <w:tcW w:w="1570" w:type="dxa"/>
          </w:tcPr>
          <w:p w14:paraId="024FCFE5" w14:textId="77777777" w:rsidR="00616641" w:rsidRPr="0049701B" w:rsidRDefault="00616641" w:rsidP="007E3239">
            <w:pPr>
              <w:pStyle w:val="TableText"/>
              <w:spacing w:before="50" w:after="50"/>
              <w:jc w:val="right"/>
              <w:rPr>
                <w:rFonts w:cs="Calibri"/>
                <w:szCs w:val="16"/>
              </w:rPr>
            </w:pPr>
            <w:r w:rsidRPr="0049701B">
              <w:t xml:space="preserve"> 124 </w:t>
            </w:r>
          </w:p>
        </w:tc>
        <w:tc>
          <w:tcPr>
            <w:tcW w:w="1427" w:type="dxa"/>
          </w:tcPr>
          <w:p w14:paraId="4AE72FA6" w14:textId="77777777" w:rsidR="00616641" w:rsidRPr="0049701B" w:rsidRDefault="00616641" w:rsidP="007E3239">
            <w:pPr>
              <w:pStyle w:val="TableTextBold"/>
              <w:jc w:val="right"/>
              <w:rPr>
                <w:rFonts w:cs="Calibri"/>
                <w:noProof w:val="0"/>
                <w:szCs w:val="16"/>
              </w:rPr>
            </w:pPr>
            <w:r w:rsidRPr="0049701B">
              <w:rPr>
                <w:noProof w:val="0"/>
              </w:rPr>
              <w:t xml:space="preserve"> 4,759 </w:t>
            </w:r>
          </w:p>
        </w:tc>
      </w:tr>
      <w:tr w:rsidR="00616641" w:rsidRPr="0049701B" w14:paraId="1E4081F7" w14:textId="77777777" w:rsidTr="007E3239">
        <w:tblPrEx>
          <w:tblCellMar>
            <w:left w:w="85" w:type="dxa"/>
            <w:right w:w="85" w:type="dxa"/>
          </w:tblCellMar>
        </w:tblPrEx>
        <w:tc>
          <w:tcPr>
            <w:tcW w:w="798" w:type="dxa"/>
            <w:shd w:val="clear" w:color="auto" w:fill="auto"/>
            <w:vAlign w:val="center"/>
          </w:tcPr>
          <w:p w14:paraId="219F55D7" w14:textId="77777777" w:rsidR="00616641" w:rsidRPr="0049701B" w:rsidRDefault="00616641" w:rsidP="007E3239">
            <w:pPr>
              <w:pStyle w:val="TableText"/>
              <w:spacing w:before="50" w:after="50"/>
              <w:rPr>
                <w:rFonts w:cs="Calibri"/>
                <w:szCs w:val="16"/>
              </w:rPr>
            </w:pPr>
            <w:r w:rsidRPr="0049701B">
              <w:rPr>
                <w:rFonts w:cs="Calibri"/>
                <w:szCs w:val="16"/>
              </w:rPr>
              <w:t>2020</w:t>
            </w:r>
            <w:r w:rsidRPr="0049701B">
              <w:rPr>
                <w:rFonts w:cs="Calibri"/>
                <w:szCs w:val="16"/>
                <w:vertAlign w:val="superscript"/>
              </w:rPr>
              <w:t>P</w:t>
            </w:r>
          </w:p>
        </w:tc>
        <w:tc>
          <w:tcPr>
            <w:tcW w:w="1427" w:type="dxa"/>
            <w:shd w:val="clear" w:color="auto" w:fill="auto"/>
          </w:tcPr>
          <w:p w14:paraId="78ACDC8A" w14:textId="77777777" w:rsidR="00616641" w:rsidRPr="0049701B" w:rsidRDefault="00616641" w:rsidP="007E3239">
            <w:pPr>
              <w:pStyle w:val="TableText"/>
              <w:spacing w:before="50" w:after="50"/>
              <w:jc w:val="right"/>
            </w:pPr>
            <w:r w:rsidRPr="0049701B">
              <w:t xml:space="preserve"> 781 </w:t>
            </w:r>
          </w:p>
        </w:tc>
        <w:tc>
          <w:tcPr>
            <w:tcW w:w="1712" w:type="dxa"/>
            <w:shd w:val="clear" w:color="auto" w:fill="auto"/>
          </w:tcPr>
          <w:p w14:paraId="1A958642" w14:textId="77777777" w:rsidR="00616641" w:rsidRPr="0049701B" w:rsidRDefault="00616641" w:rsidP="007E3239">
            <w:pPr>
              <w:pStyle w:val="TableText"/>
              <w:spacing w:before="50" w:after="50"/>
              <w:jc w:val="right"/>
            </w:pPr>
            <w:r w:rsidRPr="0049701B">
              <w:t xml:space="preserve"> 922 </w:t>
            </w:r>
          </w:p>
        </w:tc>
        <w:tc>
          <w:tcPr>
            <w:tcW w:w="1571" w:type="dxa"/>
            <w:shd w:val="clear" w:color="auto" w:fill="auto"/>
          </w:tcPr>
          <w:p w14:paraId="754C49A5" w14:textId="77777777" w:rsidR="00616641" w:rsidRPr="0049701B" w:rsidRDefault="00616641" w:rsidP="007E3239">
            <w:pPr>
              <w:pStyle w:val="TableText"/>
              <w:spacing w:before="50" w:after="50"/>
              <w:jc w:val="right"/>
            </w:pPr>
            <w:r w:rsidRPr="0049701B">
              <w:t xml:space="preserve"> 617 </w:t>
            </w:r>
          </w:p>
        </w:tc>
        <w:tc>
          <w:tcPr>
            <w:tcW w:w="1570" w:type="dxa"/>
          </w:tcPr>
          <w:p w14:paraId="0AB23D93" w14:textId="77777777" w:rsidR="00616641" w:rsidRPr="0049701B" w:rsidRDefault="00616641" w:rsidP="007E3239">
            <w:pPr>
              <w:pStyle w:val="TableText"/>
              <w:spacing w:before="50" w:after="50"/>
              <w:jc w:val="right"/>
            </w:pPr>
            <w:r w:rsidRPr="0049701B">
              <w:t xml:space="preserve"> 124 </w:t>
            </w:r>
          </w:p>
        </w:tc>
        <w:tc>
          <w:tcPr>
            <w:tcW w:w="1427" w:type="dxa"/>
          </w:tcPr>
          <w:p w14:paraId="72F0E2FA" w14:textId="77777777" w:rsidR="00616641" w:rsidRPr="0049701B" w:rsidRDefault="00616641" w:rsidP="007E3239">
            <w:pPr>
              <w:pStyle w:val="TableTextBold"/>
              <w:jc w:val="right"/>
              <w:rPr>
                <w:noProof w:val="0"/>
              </w:rPr>
            </w:pPr>
            <w:r w:rsidRPr="0049701B">
              <w:rPr>
                <w:noProof w:val="0"/>
              </w:rPr>
              <w:t xml:space="preserve"> 2,443 </w:t>
            </w:r>
          </w:p>
        </w:tc>
      </w:tr>
    </w:tbl>
    <w:p w14:paraId="2BC69EFF" w14:textId="77777777" w:rsidR="00616641" w:rsidRPr="0049701B" w:rsidRDefault="00616641" w:rsidP="00616641">
      <w:pPr>
        <w:pStyle w:val="Noteundertable"/>
      </w:pPr>
      <w:r w:rsidRPr="0049701B">
        <w:rPr>
          <w:b/>
        </w:rPr>
        <w:t>Note:</w:t>
      </w:r>
      <w:r w:rsidRPr="0049701B">
        <w:tab/>
        <w:t>P</w:t>
      </w:r>
      <w:r w:rsidRPr="0049701B">
        <w:rPr>
          <w:vertAlign w:val="subscript"/>
        </w:rPr>
        <w:t xml:space="preserve"> </w:t>
      </w:r>
      <w:r w:rsidRPr="0049701B">
        <w:t>= provisional figure. Areas as at 31 December 2020. Deforestation differs from that in chapter 6 due to carbon equivalent forests being reported separately.</w:t>
      </w:r>
    </w:p>
    <w:p w14:paraId="7DCE744D" w14:textId="77777777" w:rsidR="00616641" w:rsidRPr="0049701B" w:rsidRDefault="00616641" w:rsidP="00616641">
      <w:pPr>
        <w:pStyle w:val="BodyText"/>
      </w:pPr>
      <w:r w:rsidRPr="0049701B">
        <w:t>Figure 11.3.1 shows the annual areas d</w:t>
      </w:r>
      <w:r w:rsidRPr="0049701B">
        <w:rPr>
          <w:spacing w:val="-2"/>
        </w:rPr>
        <w:t xml:space="preserve">eforested </w:t>
      </w:r>
      <w:r w:rsidRPr="0049701B">
        <w:t xml:space="preserve">since 1990, by forest category. This illustrates the increase in pre-1990 planted forest </w:t>
      </w:r>
      <w:r w:rsidRPr="0049701B">
        <w:rPr>
          <w:spacing w:val="-2"/>
        </w:rPr>
        <w:t>deforestation</w:t>
      </w:r>
      <w:r w:rsidRPr="0049701B">
        <w:t xml:space="preserve"> that occurred in the four years leading up to 2008.</w:t>
      </w:r>
    </w:p>
    <w:p w14:paraId="74509BBD" w14:textId="77777777" w:rsidR="00616641" w:rsidRPr="0049701B" w:rsidRDefault="00616641" w:rsidP="00616641">
      <w:pPr>
        <w:pStyle w:val="BodyText"/>
      </w:pPr>
      <w:r w:rsidRPr="0049701B">
        <w:t xml:space="preserve">While the conversion of land from one land use to another is not uncommon in New Zealand, plantation forest </w:t>
      </w:r>
      <w:r w:rsidRPr="0049701B">
        <w:rPr>
          <w:spacing w:val="-2"/>
        </w:rPr>
        <w:t>deforestation</w:t>
      </w:r>
      <w:r w:rsidRPr="0049701B">
        <w:t xml:space="preserve"> on the scale seen between 2004 and 2008 was a new phenomenon. Most of the area of planted forest that was deforested from the mid-2000s onwards has subsequently been converted to grassland. This conversion is due in part to the relative profitability of some forms of pastoral farming (particularly dairy farming), compared with forestry, as well as the anticipated introduction of the NZ ETS.</w:t>
      </w:r>
    </w:p>
    <w:p w14:paraId="5373A5E8" w14:textId="77777777" w:rsidR="00616641" w:rsidRPr="0049701B" w:rsidRDefault="00616641" w:rsidP="00616641">
      <w:pPr>
        <w:pStyle w:val="Figure"/>
        <w:spacing w:after="60"/>
      </w:pPr>
      <w:bookmarkStart w:id="2830" w:name="_Toc456179009"/>
      <w:bookmarkStart w:id="2831" w:name="_Toc481752045"/>
      <w:bookmarkStart w:id="2832" w:name="_Toc522010714"/>
      <w:bookmarkStart w:id="2833" w:name="_Toc5269734"/>
      <w:bookmarkStart w:id="2834" w:name="_Toc36292840"/>
      <w:bookmarkStart w:id="2835" w:name="_Toc64987008"/>
      <w:bookmarkStart w:id="2836" w:name="_Toc68786704"/>
      <w:bookmarkStart w:id="2837" w:name="_Toc95321435"/>
      <w:bookmarkStart w:id="2838" w:name="_Toc99696075"/>
      <w:r w:rsidRPr="0049701B">
        <w:lastRenderedPageBreak/>
        <w:t>Figure 11.3.1</w:t>
      </w:r>
      <w:r w:rsidRPr="0049701B">
        <w:tab/>
        <w:t>New Zealand’s annual areas of deforestation from 1990 to </w:t>
      </w:r>
      <w:bookmarkEnd w:id="2830"/>
      <w:bookmarkEnd w:id="2831"/>
      <w:bookmarkEnd w:id="2832"/>
      <w:bookmarkEnd w:id="2833"/>
      <w:bookmarkEnd w:id="2834"/>
      <w:bookmarkEnd w:id="2835"/>
      <w:bookmarkEnd w:id="2836"/>
      <w:r w:rsidRPr="0049701B">
        <w:t>2020</w:t>
      </w:r>
      <w:bookmarkEnd w:id="2837"/>
      <w:bookmarkEnd w:id="2838"/>
    </w:p>
    <w:p w14:paraId="16B0A60D" w14:textId="77777777" w:rsidR="00616641" w:rsidRPr="0049701B" w:rsidRDefault="004B48CC" w:rsidP="00616641">
      <w:pPr>
        <w:pStyle w:val="BodyText"/>
        <w:spacing w:before="80"/>
      </w:pPr>
      <w:r>
        <w:pict w14:anchorId="22ED8BDA">
          <v:shape id="_x0000_i1151" type="#_x0000_t75" style="width:413.6pt;height:244.45pt;mso-left-percent:-10001;mso-top-percent:-10001;mso-position-horizontal:absolute;mso-position-horizontal-relative:char;mso-position-vertical:absolute;mso-position-vertical-relative:line;mso-left-percent:-10001;mso-top-percent:-10001">
            <v:imagedata r:id="rId274" o:title="" croptop="3923f" cropleft="1757f" cropright="3565f"/>
          </v:shape>
        </w:pict>
      </w:r>
    </w:p>
    <w:p w14:paraId="11DF025D" w14:textId="77777777" w:rsidR="00616641" w:rsidRPr="0049701B" w:rsidRDefault="00616641" w:rsidP="00616641">
      <w:pPr>
        <w:pStyle w:val="BodyText"/>
        <w:spacing w:before="100"/>
      </w:pPr>
      <w:r w:rsidRPr="0049701B">
        <w:t xml:space="preserve">No emissions are recorded from </w:t>
      </w:r>
      <w:r w:rsidRPr="0049701B">
        <w:rPr>
          <w:spacing w:val="-2"/>
        </w:rPr>
        <w:t>deforestation</w:t>
      </w:r>
      <w:r w:rsidRPr="0049701B">
        <w:t xml:space="preserve"> of pre-1990 planted forest or post-1989 forest estimated before 2000. This activity was not significant, and insufficient data exist to reliably report the small areas of deforestation that may have occurred.</w:t>
      </w:r>
    </w:p>
    <w:p w14:paraId="336A61C2" w14:textId="77777777" w:rsidR="00616641" w:rsidRPr="0049701B" w:rsidRDefault="00616641" w:rsidP="00616641">
      <w:pPr>
        <w:pStyle w:val="BodyText"/>
        <w:spacing w:before="100"/>
      </w:pPr>
      <w:r w:rsidRPr="0049701B">
        <w:t xml:space="preserve">Since the introduction of the NZ ETS in 2008, owners of pre-1990 planted forest have been able to deforest a maximum of 2 hectares in any five-year period without having to surrender emission units. Above this level of deforestation, they are required to surrender units equal to the reported emissions, with some exemptions for smaller forest owners and tree weeds within protected areas (Ministry for Primary Industries, 2015d). Since 2007, a significant reduction has occurred in the rate of deforestation of pre-1990 planted forest. Post-1989 forest owners, who are registered in the scheme, also have legal obligations to surrender units if the carbon stocks in their registered forest area fall below a previously reported level (for example, due to deforestation, harvesting or fire). </w:t>
      </w:r>
    </w:p>
    <w:p w14:paraId="13351D41" w14:textId="77777777" w:rsidR="00616641" w:rsidRPr="0049701B" w:rsidRDefault="00616641" w:rsidP="00616641">
      <w:pPr>
        <w:pStyle w:val="BodyText"/>
        <w:spacing w:before="100"/>
      </w:pPr>
      <w:r w:rsidRPr="0049701B">
        <w:t xml:space="preserve">It was expected that the level of deforestation during the first Kyoto Protocol commitment period (2008–12) would be less than that seen before the introduction of the NZ ETS in 2008 (Manley, 2009). However, following the introduction of the NZ ETS, the carbon price went into a steady decline. The low carbon price reduced the liability on pre-1990 planted forest owners for deforestation. Consequently, more deforestation has occurred since 2008 than previously expected. Carbon prices have since increased, following </w:t>
      </w:r>
      <w:r w:rsidRPr="0049701B">
        <w:rPr>
          <w:spacing w:val="-2"/>
        </w:rPr>
        <w:t>the exclusion of international units from the scheme on 31 May 2015, an NZ ETS review and the passing of the Climate Change Response (Emissions Trading Reform) Amendment Act in 2020. This legislated major changes to the NZ ETS, including incentives for afforestation and the introduction of a unit cap to the scheme</w:t>
      </w:r>
      <w:r w:rsidRPr="0049701B">
        <w:t xml:space="preserve">. These higher carbon prices are coincident with reduced deforestation activities. </w:t>
      </w:r>
    </w:p>
    <w:p w14:paraId="77B00EEA" w14:textId="77777777" w:rsidR="00616641" w:rsidRPr="0049701B" w:rsidRDefault="00616641" w:rsidP="00616641">
      <w:pPr>
        <w:pStyle w:val="BodyText"/>
        <w:spacing w:before="100" w:after="100"/>
      </w:pPr>
      <w:r w:rsidRPr="0049701B">
        <w:t xml:space="preserve">The area of </w:t>
      </w:r>
      <w:r w:rsidRPr="0049701B">
        <w:rPr>
          <w:spacing w:val="-2"/>
        </w:rPr>
        <w:t>deforestation</w:t>
      </w:r>
      <w:r w:rsidRPr="0049701B">
        <w:t xml:space="preserve"> of pre-1990 natural forest before 2008 has been estimated by linear</w:t>
      </w:r>
      <w:r>
        <w:t> </w:t>
      </w:r>
      <w:r w:rsidRPr="0049701B">
        <w:t>interpolation from the average land-use change mapped between 1 January 1990 and</w:t>
      </w:r>
      <w:r>
        <w:t> </w:t>
      </w:r>
      <w:r w:rsidRPr="0049701B">
        <w:t>1 January 2008. However, several factors suggest that the rate of pre-1990 natural forest</w:t>
      </w:r>
      <w:r>
        <w:t xml:space="preserve"> </w:t>
      </w:r>
      <w:r w:rsidRPr="0049701B">
        <w:t>deforestation is unlikely to have been constant over the 18-year period between 1990 and 2007, but instead mostly occurred before 2002. The area available for harvesting (and potentially deforestation) was higher before 1993 when amendments were made to the</w:t>
      </w:r>
      <w:r>
        <w:t xml:space="preserve"> </w:t>
      </w:r>
      <w:r w:rsidRPr="0049701B">
        <w:t xml:space="preserve">Forests Act 1949 that restricted natural forest harvesting. Further restrictions on the </w:t>
      </w:r>
      <w:r w:rsidRPr="0049701B">
        <w:lastRenderedPageBreak/>
        <w:t>harvesting of natural forests were also introduced in 2002, resulting in the cessation of harvesting of publicly owned forests on the West Coast of New Zealand from that time on. Both of these developments are likely to have reduced pre-1990 natural forest deforestation since 2002.</w:t>
      </w:r>
    </w:p>
    <w:p w14:paraId="38393213" w14:textId="77777777" w:rsidR="00616641" w:rsidRPr="0049701B" w:rsidRDefault="00616641" w:rsidP="00616641">
      <w:pPr>
        <w:pStyle w:val="BodyText"/>
        <w:spacing w:after="100"/>
      </w:pPr>
      <w:r w:rsidRPr="0049701B">
        <w:t>Further detail on the methods employed for estimating deforestation</w:t>
      </w:r>
      <w:r w:rsidRPr="0049701B">
        <w:rPr>
          <w:i/>
        </w:rPr>
        <w:t xml:space="preserve"> </w:t>
      </w:r>
      <w:r w:rsidRPr="0049701B">
        <w:t>is provided in annex 3, section A3.2.2.</w:t>
      </w:r>
    </w:p>
    <w:p w14:paraId="0542E18A" w14:textId="77777777" w:rsidR="00616641" w:rsidRPr="0049701B" w:rsidRDefault="00616641" w:rsidP="00616641">
      <w:pPr>
        <w:pStyle w:val="Heading3"/>
        <w:spacing w:before="320"/>
        <w:rPr>
          <w:rFonts w:eastAsia="Calibri"/>
        </w:rPr>
      </w:pPr>
      <w:r w:rsidRPr="0049701B">
        <w:rPr>
          <w:rFonts w:eastAsia="Calibri"/>
        </w:rPr>
        <w:t>11.3.4</w:t>
      </w:r>
      <w:r w:rsidRPr="0049701B">
        <w:rPr>
          <w:rFonts w:eastAsia="Calibri"/>
        </w:rPr>
        <w:tab/>
        <w:t>Forest management CRF 4(KP.B.1))</w:t>
      </w:r>
    </w:p>
    <w:p w14:paraId="71D32E6A" w14:textId="77777777" w:rsidR="00616641" w:rsidRPr="0049701B" w:rsidRDefault="00616641" w:rsidP="00616641">
      <w:pPr>
        <w:pStyle w:val="BodyText"/>
        <w:spacing w:after="100"/>
      </w:pPr>
      <w:r w:rsidRPr="0049701B">
        <w:t xml:space="preserve">New Zealand reports emissions and removals from </w:t>
      </w:r>
      <w:r w:rsidRPr="0049701B">
        <w:rPr>
          <w:i/>
        </w:rPr>
        <w:t>Forest management</w:t>
      </w:r>
      <w:r w:rsidRPr="0049701B">
        <w:t xml:space="preserve"> from 2013 onwards. New Zealand has applied the broad approach to interpreting the definition of forest management so that it includes the whole area classified as pre-1990 natural forest and pre</w:t>
      </w:r>
      <w:r w:rsidRPr="0049701B">
        <w:noBreakHyphen/>
        <w:t xml:space="preserve">1990 planted forest. The area in this category excludes any area deforested since 1990, because this is reported under Article 3.3 – </w:t>
      </w:r>
      <w:r w:rsidRPr="0049701B">
        <w:rPr>
          <w:i/>
        </w:rPr>
        <w:t>Deforestation</w:t>
      </w:r>
      <w:r w:rsidRPr="0049701B">
        <w:t xml:space="preserve">, and includes areas to which the carbon equivalent forest provision is applied. </w:t>
      </w:r>
    </w:p>
    <w:p w14:paraId="4DA89D0E" w14:textId="77777777" w:rsidR="00616641" w:rsidRPr="0049701B" w:rsidRDefault="00616641" w:rsidP="00616641">
      <w:pPr>
        <w:pStyle w:val="BodyText"/>
        <w:spacing w:after="100"/>
      </w:pPr>
      <w:r w:rsidRPr="0049701B">
        <w:t>In 2020, emissions on this land were –16,031.9 kt CO</w:t>
      </w:r>
      <w:r w:rsidRPr="0049701B">
        <w:rPr>
          <w:vertAlign w:val="subscript"/>
        </w:rPr>
        <w:t>2</w:t>
      </w:r>
      <w:r w:rsidRPr="0049701B">
        <w:t xml:space="preserve">-e. This included emissions of </w:t>
      </w:r>
      <w:r w:rsidRPr="0049701B">
        <w:br/>
        <w:t>–7,118.4 kt CO</w:t>
      </w:r>
      <w:r w:rsidRPr="0049701B">
        <w:rPr>
          <w:vertAlign w:val="subscript"/>
        </w:rPr>
        <w:t>2</w:t>
      </w:r>
      <w:r w:rsidRPr="0049701B">
        <w:t xml:space="preserve">-e from harvested wood products originating from </w:t>
      </w:r>
      <w:r w:rsidRPr="0049701B">
        <w:rPr>
          <w:i/>
        </w:rPr>
        <w:t>Forest management</w:t>
      </w:r>
      <w:r w:rsidRPr="0049701B">
        <w:t xml:space="preserve">. </w:t>
      </w:r>
    </w:p>
    <w:p w14:paraId="589E085D" w14:textId="77777777" w:rsidR="00616641" w:rsidRPr="0049701B" w:rsidRDefault="00616641" w:rsidP="00616641">
      <w:pPr>
        <w:pStyle w:val="BodyText"/>
        <w:spacing w:after="100"/>
      </w:pPr>
      <w:r w:rsidRPr="0049701B">
        <w:t xml:space="preserve">The total area remaining in </w:t>
      </w:r>
      <w:r w:rsidRPr="0049701B">
        <w:rPr>
          <w:i/>
        </w:rPr>
        <w:t>Forest management</w:t>
      </w:r>
      <w:r w:rsidRPr="0049701B">
        <w:t xml:space="preserve"> at the end of 2020 was 9,198,965 hectares; this is a decrease of 170,210 hectares (or 1.8 per cent) since 1990.</w:t>
      </w:r>
    </w:p>
    <w:p w14:paraId="41B3AF4D" w14:textId="77777777" w:rsidR="00616641" w:rsidRPr="0049701B" w:rsidRDefault="00616641" w:rsidP="00616641">
      <w:pPr>
        <w:pStyle w:val="BodyText"/>
        <w:spacing w:after="100"/>
      </w:pPr>
      <w:r w:rsidRPr="0049701B">
        <w:t xml:space="preserve">The source of the activity data and emission factors applied to </w:t>
      </w:r>
      <w:r w:rsidRPr="0049701B">
        <w:rPr>
          <w:i/>
        </w:rPr>
        <w:t>Forest management</w:t>
      </w:r>
      <w:r w:rsidRPr="0049701B">
        <w:t xml:space="preserve"> activities is described in more detail in chapter 6. This is because New Zealand applies the same methods to estimating emissions from </w:t>
      </w:r>
      <w:r w:rsidRPr="0049701B">
        <w:rPr>
          <w:i/>
        </w:rPr>
        <w:t>Forest management</w:t>
      </w:r>
      <w:r w:rsidRPr="0049701B">
        <w:t xml:space="preserve"> activities as those applied to the equivalent land use category, </w:t>
      </w:r>
      <w:r w:rsidRPr="0049701B">
        <w:rPr>
          <w:i/>
          <w:iCs/>
        </w:rPr>
        <w:t>Forest land remaining forest land</w:t>
      </w:r>
      <w:r w:rsidRPr="0049701B">
        <w:t xml:space="preserve">, of the inventory. </w:t>
      </w:r>
    </w:p>
    <w:p w14:paraId="2558FCCF" w14:textId="77777777" w:rsidR="00616641" w:rsidRPr="0049701B" w:rsidRDefault="00616641" w:rsidP="00616641">
      <w:pPr>
        <w:pStyle w:val="BodyText"/>
        <w:spacing w:after="100"/>
      </w:pPr>
      <w:r w:rsidRPr="0049701B">
        <w:t xml:space="preserve">Where the land reported under </w:t>
      </w:r>
      <w:r w:rsidRPr="0049701B">
        <w:rPr>
          <w:i/>
        </w:rPr>
        <w:t>Forest management</w:t>
      </w:r>
      <w:r w:rsidRPr="0049701B">
        <w:t xml:space="preserve"> has remained in the same land use category for more than 20 years, mineral soil carbon stocks are assumed to have reached steady state. New Zealand models the effects of land use on mineral soil carbon based on empirical measurements collected from each land use subdivision in steady state, specifically to model land-use change and management effects. The pre-1990 forests are subdivided into natural and planted forest types, which allows the different management methods to be taken into account. Where organic soil is present on land reported under </w:t>
      </w:r>
      <w:r w:rsidRPr="0049701B">
        <w:rPr>
          <w:i/>
        </w:rPr>
        <w:t>Forest management</w:t>
      </w:r>
      <w:r w:rsidRPr="0049701B">
        <w:t xml:space="preserve"> that is no longer natural forest, the soil organic carbon pool is reported as an ongoing source of emissions. More detail is provided in annex 3, section A3.2.4. </w:t>
      </w:r>
      <w:r w:rsidRPr="0049701B">
        <w:rPr>
          <w:spacing w:val="-2"/>
        </w:rPr>
        <w:t>This information has been added to address expert review team recommendation KL.4 (FCCC/ARR/2017/NZL, UNFCCC, 2018).</w:t>
      </w:r>
    </w:p>
    <w:p w14:paraId="61E750E3" w14:textId="77777777" w:rsidR="00616641" w:rsidRPr="0049701B" w:rsidRDefault="00616641" w:rsidP="00616641">
      <w:pPr>
        <w:pStyle w:val="BodyText"/>
        <w:spacing w:after="100"/>
      </w:pPr>
      <w:r w:rsidRPr="0049701B">
        <w:t xml:space="preserve">As agreed in Decision 2/CMP.7 (UNFCCC, 2012), accounting for </w:t>
      </w:r>
      <w:r w:rsidRPr="0049701B">
        <w:rPr>
          <w:i/>
        </w:rPr>
        <w:t>Forest management</w:t>
      </w:r>
      <w:r w:rsidRPr="0049701B">
        <w:t xml:space="preserve"> is now mandatory and measured against the FMRL inscribed in the appendix to the annex to Decision 2/CMP.7 (UNFCCC, 2012). This means New Zealand is only required to take responsibility for emissions from land under </w:t>
      </w:r>
      <w:r w:rsidRPr="0049701B">
        <w:rPr>
          <w:i/>
        </w:rPr>
        <w:t>Forest management</w:t>
      </w:r>
      <w:r w:rsidRPr="0049701B">
        <w:t xml:space="preserve"> where these emissions are greater than the reference level, and can claim reductions where emissions are less than the reference level (up to a cap set at 3.5 per cent of New Zealand’s gross emissions in the base year, per year). New Zealand’s annual cap is set at 2,335.2 </w:t>
      </w:r>
      <w:r w:rsidRPr="0049701B">
        <w:rPr>
          <w:spacing w:val="-2"/>
        </w:rPr>
        <w:t>kt CO</w:t>
      </w:r>
      <w:r w:rsidRPr="0049701B">
        <w:rPr>
          <w:spacing w:val="-2"/>
          <w:vertAlign w:val="subscript"/>
        </w:rPr>
        <w:t>2</w:t>
      </w:r>
      <w:r w:rsidRPr="0049701B">
        <w:rPr>
          <w:spacing w:val="-2"/>
        </w:rPr>
        <w:noBreakHyphen/>
        <w:t>e or 18,681.6 kt CO</w:t>
      </w:r>
      <w:r w:rsidRPr="0049701B">
        <w:rPr>
          <w:spacing w:val="-2"/>
          <w:vertAlign w:val="subscript"/>
        </w:rPr>
        <w:t>2</w:t>
      </w:r>
      <w:r w:rsidRPr="0049701B">
        <w:rPr>
          <w:spacing w:val="-2"/>
        </w:rPr>
        <w:noBreakHyphen/>
        <w:t>e across the 2013 to 2020 accounting period.</w:t>
      </w:r>
    </w:p>
    <w:p w14:paraId="0216FD72" w14:textId="77777777" w:rsidR="00616641" w:rsidRPr="0049701B" w:rsidRDefault="00616641" w:rsidP="00616641">
      <w:pPr>
        <w:pStyle w:val="BodyText"/>
        <w:spacing w:before="100" w:after="100"/>
      </w:pPr>
      <w:r w:rsidRPr="0049701B">
        <w:t xml:space="preserve">The FMRL was set using a business-as-usual projection of emissions for </w:t>
      </w:r>
      <w:r w:rsidRPr="0049701B">
        <w:rPr>
          <w:i/>
        </w:rPr>
        <w:t xml:space="preserve">Forest management </w:t>
      </w:r>
      <w:r w:rsidRPr="0049701B">
        <w:t>over the period to 2020 and represents the estimated annual average emissions between 2013 and 2020.</w:t>
      </w:r>
    </w:p>
    <w:p w14:paraId="47059DE2" w14:textId="77777777" w:rsidR="00616641" w:rsidRPr="0049701B" w:rsidRDefault="00616641" w:rsidP="00616641">
      <w:pPr>
        <w:pStyle w:val="BodyText"/>
        <w:spacing w:before="100" w:after="100"/>
      </w:pPr>
      <w:r w:rsidRPr="0049701B">
        <w:lastRenderedPageBreak/>
        <w:t xml:space="preserve">New Zealand’s </w:t>
      </w:r>
      <w:r w:rsidRPr="0049701B">
        <w:rPr>
          <w:bCs/>
          <w:spacing w:val="-2"/>
        </w:rPr>
        <w:t>FMRL</w:t>
      </w:r>
      <w:r w:rsidRPr="0049701B">
        <w:rPr>
          <w:bCs/>
          <w:i/>
          <w:spacing w:val="-2"/>
          <w:vertAlign w:val="subscript"/>
        </w:rPr>
        <w:t>corr</w:t>
      </w:r>
      <w:r w:rsidRPr="0049701B">
        <w:rPr>
          <w:spacing w:val="-2"/>
          <w:vertAlign w:val="subscript"/>
        </w:rPr>
        <w:t xml:space="preserve"> </w:t>
      </w:r>
      <w:r w:rsidRPr="0049701B">
        <w:rPr>
          <w:spacing w:val="-2"/>
        </w:rPr>
        <w:t>(technically corrected FMRL) is –14,339.3 kt CO</w:t>
      </w:r>
      <w:r w:rsidRPr="0049701B">
        <w:rPr>
          <w:spacing w:val="-2"/>
          <w:vertAlign w:val="subscript"/>
        </w:rPr>
        <w:t>2</w:t>
      </w:r>
      <w:r w:rsidRPr="0049701B">
        <w:rPr>
          <w:spacing w:val="-2"/>
        </w:rPr>
        <w:noBreakHyphen/>
        <w:t>e. This value has been calculated as a result of four technical corrections to the original FMRL value of 11,150.0 kt CO</w:t>
      </w:r>
      <w:r w:rsidRPr="0049701B">
        <w:rPr>
          <w:spacing w:val="-2"/>
          <w:vertAlign w:val="subscript"/>
        </w:rPr>
        <w:t>2</w:t>
      </w:r>
      <w:r w:rsidRPr="0049701B">
        <w:rPr>
          <w:spacing w:val="-2"/>
        </w:rPr>
        <w:noBreakHyphen/>
        <w:t xml:space="preserve">e per year, in accordance with </w:t>
      </w:r>
      <w:r w:rsidRPr="0049701B">
        <w:t xml:space="preserve">Decision 2/CMP.7, Annex I, para 14 (UNFCCC, 2012). Details of the corrections made to the FMRL are provided in annex 5, section A5.1. </w:t>
      </w:r>
    </w:p>
    <w:p w14:paraId="3D86CC08" w14:textId="77777777" w:rsidR="00616641" w:rsidRPr="0049701B" w:rsidRDefault="00616641" w:rsidP="00616641">
      <w:pPr>
        <w:pStyle w:val="BodyText"/>
        <w:spacing w:before="100" w:after="100"/>
      </w:pPr>
      <w:bookmarkStart w:id="2839" w:name="_Hlk57713903"/>
      <w:r w:rsidRPr="0049701B">
        <w:rPr>
          <w:spacing w:val="-2"/>
        </w:rPr>
        <w:t xml:space="preserve">Average annual emissions for </w:t>
      </w:r>
      <w:r w:rsidRPr="0049701B">
        <w:rPr>
          <w:i/>
          <w:spacing w:val="-2"/>
        </w:rPr>
        <w:t>Forest management</w:t>
      </w:r>
      <w:r w:rsidRPr="0049701B">
        <w:rPr>
          <w:spacing w:val="-2"/>
        </w:rPr>
        <w:t xml:space="preserve"> from 2013 to 2020 were –18,337.1 kt CO</w:t>
      </w:r>
      <w:r w:rsidRPr="0049701B">
        <w:rPr>
          <w:spacing w:val="-2"/>
          <w:vertAlign w:val="subscript"/>
        </w:rPr>
        <w:t>2</w:t>
      </w:r>
      <w:r w:rsidRPr="0049701B">
        <w:rPr>
          <w:spacing w:val="-2"/>
        </w:rPr>
        <w:t>-e, 3,997.8 kt CO</w:t>
      </w:r>
      <w:r w:rsidRPr="0049701B">
        <w:rPr>
          <w:spacing w:val="-2"/>
          <w:vertAlign w:val="subscript"/>
        </w:rPr>
        <w:t>2</w:t>
      </w:r>
      <w:r w:rsidRPr="0049701B">
        <w:rPr>
          <w:spacing w:val="-2"/>
        </w:rPr>
        <w:t xml:space="preserve">-e lower than the </w:t>
      </w:r>
      <w:r w:rsidRPr="0049701B">
        <w:rPr>
          <w:bCs/>
          <w:spacing w:val="-2"/>
        </w:rPr>
        <w:t>FMRL</w:t>
      </w:r>
      <w:r w:rsidRPr="0049701B">
        <w:rPr>
          <w:bCs/>
          <w:i/>
          <w:spacing w:val="-2"/>
          <w:vertAlign w:val="subscript"/>
        </w:rPr>
        <w:t>corr</w:t>
      </w:r>
      <w:r w:rsidRPr="0049701B">
        <w:rPr>
          <w:spacing w:val="-2"/>
          <w:vertAlign w:val="subscript"/>
        </w:rPr>
        <w:t xml:space="preserve"> </w:t>
      </w:r>
      <w:r w:rsidRPr="0049701B">
        <w:rPr>
          <w:spacing w:val="-2"/>
        </w:rPr>
        <w:t>(technically corrected FMRL) of –14,339.3 kt CO</w:t>
      </w:r>
      <w:r w:rsidRPr="0049701B">
        <w:rPr>
          <w:spacing w:val="-2"/>
          <w:vertAlign w:val="subscript"/>
        </w:rPr>
        <w:t>2</w:t>
      </w:r>
      <w:r w:rsidRPr="0049701B">
        <w:rPr>
          <w:spacing w:val="-2"/>
        </w:rPr>
        <w:t xml:space="preserve">-e. The lower emissions from </w:t>
      </w:r>
      <w:r w:rsidRPr="0049701B">
        <w:rPr>
          <w:i/>
          <w:spacing w:val="-2"/>
        </w:rPr>
        <w:t>Forest management</w:t>
      </w:r>
      <w:r w:rsidRPr="0049701B">
        <w:rPr>
          <w:spacing w:val="-2"/>
        </w:rPr>
        <w:t xml:space="preserve"> are primarily driven by the pre-1990 planted forest category. A breakdown of the average annual net emissions for each </w:t>
      </w:r>
      <w:r w:rsidRPr="0049701B">
        <w:rPr>
          <w:i/>
          <w:iCs/>
          <w:spacing w:val="-2"/>
        </w:rPr>
        <w:t>Forest</w:t>
      </w:r>
      <w:r w:rsidRPr="0049701B">
        <w:rPr>
          <w:spacing w:val="-2"/>
        </w:rPr>
        <w:t xml:space="preserve"> </w:t>
      </w:r>
      <w:r w:rsidRPr="0049701B">
        <w:rPr>
          <w:i/>
          <w:iCs/>
          <w:spacing w:val="-2"/>
        </w:rPr>
        <w:t xml:space="preserve">management </w:t>
      </w:r>
      <w:r w:rsidRPr="0049701B">
        <w:rPr>
          <w:spacing w:val="-2"/>
        </w:rPr>
        <w:t>component is provided in table 11.3.5.</w:t>
      </w:r>
    </w:p>
    <w:p w14:paraId="774E3315" w14:textId="77777777" w:rsidR="00616641" w:rsidRPr="0049701B" w:rsidRDefault="00616641" w:rsidP="00616641">
      <w:pPr>
        <w:pStyle w:val="Table"/>
      </w:pPr>
      <w:bookmarkStart w:id="2840" w:name="_Toc95321541"/>
      <w:bookmarkStart w:id="2841" w:name="_Toc99659393"/>
      <w:bookmarkEnd w:id="2839"/>
      <w:r w:rsidRPr="0049701B">
        <w:t xml:space="preserve">Table 11.3.5 </w:t>
      </w:r>
      <w:r w:rsidRPr="0049701B">
        <w:tab/>
        <w:t xml:space="preserve">Comparison of the annual average net emissions for </w:t>
      </w:r>
      <w:r w:rsidRPr="0049701B">
        <w:rPr>
          <w:i/>
        </w:rPr>
        <w:t>Forest management</w:t>
      </w:r>
      <w:r w:rsidRPr="0049701B">
        <w:t xml:space="preserve"> and the F</w:t>
      </w:r>
      <w:r w:rsidRPr="0049701B">
        <w:rPr>
          <w:iCs/>
        </w:rPr>
        <w:t>MRL</w:t>
      </w:r>
      <w:r w:rsidRPr="0049701B">
        <w:rPr>
          <w:i/>
          <w:vertAlign w:val="subscript"/>
        </w:rPr>
        <w:t>cor</w:t>
      </w:r>
      <w:r w:rsidRPr="0049701B">
        <w:rPr>
          <w:bCs/>
          <w:i/>
          <w:spacing w:val="-2"/>
          <w:vertAlign w:val="subscript"/>
        </w:rPr>
        <w:t xml:space="preserve">r </w:t>
      </w:r>
      <w:r w:rsidRPr="0049701B">
        <w:t>over the commitment period</w:t>
      </w:r>
      <w:bookmarkEnd w:id="2840"/>
      <w:bookmarkEnd w:id="2841"/>
      <w:r w:rsidRPr="0049701B">
        <w:t xml:space="preserve"> </w:t>
      </w:r>
    </w:p>
    <w:tbl>
      <w:tblPr>
        <w:tblW w:w="8505" w:type="dxa"/>
        <w:tblInd w:w="113" w:type="dxa"/>
        <w:tblLook w:val="04A0" w:firstRow="1" w:lastRow="0" w:firstColumn="1" w:lastColumn="0" w:noHBand="0" w:noVBand="1"/>
      </w:tblPr>
      <w:tblGrid>
        <w:gridCol w:w="3025"/>
        <w:gridCol w:w="1732"/>
        <w:gridCol w:w="2020"/>
        <w:gridCol w:w="1728"/>
      </w:tblGrid>
      <w:tr w:rsidR="00616641" w:rsidRPr="0049701B" w14:paraId="0B197B51" w14:textId="77777777" w:rsidTr="007E3239">
        <w:tc>
          <w:tcPr>
            <w:tcW w:w="2972" w:type="dxa"/>
            <w:vMerge w:val="restart"/>
            <w:tcBorders>
              <w:top w:val="single" w:sz="4" w:space="0" w:color="1B556B"/>
              <w:bottom w:val="single" w:sz="4" w:space="0" w:color="1B556B"/>
              <w:right w:val="single" w:sz="4" w:space="0" w:color="1B556B"/>
            </w:tcBorders>
            <w:shd w:val="clear" w:color="auto" w:fill="1B556B"/>
            <w:noWrap/>
            <w:vAlign w:val="bottom"/>
          </w:tcPr>
          <w:p w14:paraId="0E0AA737" w14:textId="77777777" w:rsidR="00616641" w:rsidRPr="0049701B" w:rsidRDefault="00616641" w:rsidP="007E3239">
            <w:pPr>
              <w:spacing w:before="60" w:after="60"/>
              <w:rPr>
                <w:rFonts w:cs="Calibri"/>
                <w:b/>
                <w:color w:val="FFFFFF"/>
                <w:sz w:val="16"/>
                <w:szCs w:val="16"/>
              </w:rPr>
            </w:pPr>
            <w:r w:rsidRPr="0049701B">
              <w:rPr>
                <w:rFonts w:cs="Calibri"/>
                <w:b/>
                <w:color w:val="FFFFFF"/>
                <w:sz w:val="16"/>
                <w:szCs w:val="16"/>
              </w:rPr>
              <w:t>Forest management component</w:t>
            </w:r>
          </w:p>
        </w:tc>
        <w:tc>
          <w:tcPr>
            <w:tcW w:w="5382" w:type="dxa"/>
            <w:gridSpan w:val="3"/>
            <w:tcBorders>
              <w:top w:val="single" w:sz="4" w:space="0" w:color="1B556B"/>
              <w:left w:val="single" w:sz="4" w:space="0" w:color="1B556B"/>
              <w:bottom w:val="single" w:sz="4" w:space="0" w:color="1B556B"/>
            </w:tcBorders>
            <w:shd w:val="clear" w:color="auto" w:fill="1B556B"/>
            <w:noWrap/>
            <w:vAlign w:val="bottom"/>
          </w:tcPr>
          <w:p w14:paraId="49BDA2C0" w14:textId="77777777" w:rsidR="00616641" w:rsidRPr="0049701B" w:rsidRDefault="00616641" w:rsidP="007E3239">
            <w:pPr>
              <w:spacing w:before="60"/>
              <w:jc w:val="center"/>
              <w:rPr>
                <w:rFonts w:cs="Calibri"/>
                <w:b/>
                <w:color w:val="FFFFFF"/>
                <w:sz w:val="16"/>
                <w:szCs w:val="16"/>
              </w:rPr>
            </w:pPr>
            <w:r w:rsidRPr="0049701B">
              <w:rPr>
                <w:rFonts w:cs="Calibri"/>
                <w:b/>
                <w:color w:val="FFFFFF"/>
                <w:sz w:val="16"/>
                <w:szCs w:val="16"/>
              </w:rPr>
              <w:t>Net emissions (kt CO</w:t>
            </w:r>
            <w:r w:rsidRPr="0049701B">
              <w:rPr>
                <w:rFonts w:cs="Calibri"/>
                <w:b/>
                <w:color w:val="FFFFFF"/>
                <w:sz w:val="16"/>
                <w:szCs w:val="16"/>
                <w:vertAlign w:val="subscript"/>
              </w:rPr>
              <w:t>2</w:t>
            </w:r>
            <w:r w:rsidRPr="0049701B">
              <w:rPr>
                <w:rFonts w:cs="Calibri"/>
                <w:b/>
                <w:color w:val="FFFFFF"/>
                <w:sz w:val="16"/>
                <w:szCs w:val="16"/>
              </w:rPr>
              <w:t>-e)</w:t>
            </w:r>
          </w:p>
        </w:tc>
      </w:tr>
      <w:tr w:rsidR="00616641" w:rsidRPr="0049701B" w14:paraId="56114C84" w14:textId="77777777" w:rsidTr="007E3239">
        <w:tc>
          <w:tcPr>
            <w:tcW w:w="2972" w:type="dxa"/>
            <w:vMerge/>
            <w:tcBorders>
              <w:top w:val="single" w:sz="4" w:space="0" w:color="1B556B"/>
              <w:bottom w:val="single" w:sz="4" w:space="0" w:color="1B556B"/>
              <w:right w:val="single" w:sz="4" w:space="0" w:color="1B556B"/>
            </w:tcBorders>
            <w:shd w:val="clear" w:color="auto" w:fill="1B556B"/>
            <w:noWrap/>
            <w:vAlign w:val="bottom"/>
            <w:hideMark/>
          </w:tcPr>
          <w:p w14:paraId="6B9C848D" w14:textId="77777777" w:rsidR="00616641" w:rsidRPr="0049701B" w:rsidRDefault="00616641" w:rsidP="007E3239">
            <w:pPr>
              <w:spacing w:before="60" w:after="60"/>
              <w:rPr>
                <w:rFonts w:cs="Calibri"/>
                <w:b/>
                <w:color w:val="FFFFFF"/>
                <w:sz w:val="16"/>
                <w:szCs w:val="16"/>
              </w:rPr>
            </w:pPr>
          </w:p>
        </w:tc>
        <w:tc>
          <w:tcPr>
            <w:tcW w:w="1701" w:type="dxa"/>
            <w:tcBorders>
              <w:top w:val="single" w:sz="4" w:space="0" w:color="1B556B"/>
              <w:left w:val="single" w:sz="4" w:space="0" w:color="1B556B"/>
              <w:bottom w:val="single" w:sz="4" w:space="0" w:color="1B556B"/>
              <w:right w:val="single" w:sz="4" w:space="0" w:color="1B556B"/>
            </w:tcBorders>
            <w:shd w:val="clear" w:color="auto" w:fill="1B556B"/>
            <w:noWrap/>
            <w:vAlign w:val="bottom"/>
            <w:hideMark/>
          </w:tcPr>
          <w:p w14:paraId="6E9602EA" w14:textId="77777777" w:rsidR="00616641" w:rsidRPr="0049701B" w:rsidRDefault="00616641" w:rsidP="007E3239">
            <w:pPr>
              <w:spacing w:before="60" w:after="60"/>
              <w:jc w:val="center"/>
              <w:rPr>
                <w:rFonts w:cs="Calibri"/>
                <w:b/>
                <w:color w:val="FFFFFF"/>
                <w:sz w:val="16"/>
                <w:szCs w:val="16"/>
              </w:rPr>
            </w:pPr>
            <w:r w:rsidRPr="0049701B">
              <w:rPr>
                <w:rFonts w:cs="Calibri"/>
                <w:b/>
                <w:color w:val="FFFFFF"/>
                <w:sz w:val="16"/>
                <w:szCs w:val="16"/>
              </w:rPr>
              <w:t>FMRL</w:t>
            </w:r>
            <w:r w:rsidRPr="0049701B">
              <w:rPr>
                <w:rFonts w:cs="Calibri"/>
                <w:b/>
                <w:i/>
                <w:iCs/>
                <w:color w:val="FFFFFF"/>
                <w:sz w:val="16"/>
                <w:szCs w:val="16"/>
                <w:vertAlign w:val="subscript"/>
              </w:rPr>
              <w:t>corr</w:t>
            </w:r>
          </w:p>
        </w:tc>
        <w:tc>
          <w:tcPr>
            <w:tcW w:w="1984" w:type="dxa"/>
            <w:tcBorders>
              <w:top w:val="single" w:sz="4" w:space="0" w:color="1B556B"/>
              <w:left w:val="single" w:sz="4" w:space="0" w:color="1B556B"/>
              <w:bottom w:val="single" w:sz="4" w:space="0" w:color="1B556B"/>
              <w:right w:val="single" w:sz="4" w:space="0" w:color="1B556B"/>
            </w:tcBorders>
            <w:shd w:val="clear" w:color="auto" w:fill="1B556B"/>
            <w:noWrap/>
            <w:vAlign w:val="bottom"/>
            <w:hideMark/>
          </w:tcPr>
          <w:p w14:paraId="0BFAC837" w14:textId="77777777" w:rsidR="00616641" w:rsidRPr="0049701B" w:rsidRDefault="00616641" w:rsidP="007E3239">
            <w:pPr>
              <w:spacing w:before="60" w:after="60"/>
              <w:jc w:val="center"/>
              <w:rPr>
                <w:rFonts w:cs="Calibri"/>
                <w:b/>
                <w:color w:val="FFFFFF"/>
                <w:sz w:val="16"/>
                <w:szCs w:val="16"/>
              </w:rPr>
            </w:pPr>
            <w:r w:rsidRPr="0049701B">
              <w:rPr>
                <w:rFonts w:cs="Calibri"/>
                <w:b/>
                <w:color w:val="FFFFFF"/>
                <w:sz w:val="16"/>
                <w:szCs w:val="16"/>
              </w:rPr>
              <w:t>Forest management</w:t>
            </w:r>
          </w:p>
        </w:tc>
        <w:tc>
          <w:tcPr>
            <w:tcW w:w="1697" w:type="dxa"/>
            <w:tcBorders>
              <w:top w:val="single" w:sz="4" w:space="0" w:color="1B556B"/>
              <w:left w:val="single" w:sz="4" w:space="0" w:color="1B556B"/>
              <w:bottom w:val="single" w:sz="4" w:space="0" w:color="1B556B"/>
            </w:tcBorders>
            <w:shd w:val="clear" w:color="auto" w:fill="1B556B"/>
            <w:noWrap/>
            <w:vAlign w:val="bottom"/>
            <w:hideMark/>
          </w:tcPr>
          <w:p w14:paraId="2EDFAD8A" w14:textId="77777777" w:rsidR="00616641" w:rsidRPr="0049701B" w:rsidRDefault="00616641" w:rsidP="007E3239">
            <w:pPr>
              <w:spacing w:before="60" w:after="60"/>
              <w:jc w:val="center"/>
              <w:rPr>
                <w:rFonts w:cs="Calibri"/>
                <w:b/>
                <w:color w:val="FFFFFF"/>
                <w:sz w:val="16"/>
                <w:szCs w:val="16"/>
              </w:rPr>
            </w:pPr>
            <w:r w:rsidRPr="0049701B">
              <w:rPr>
                <w:rFonts w:cs="Calibri"/>
                <w:b/>
                <w:color w:val="FFFFFF"/>
                <w:sz w:val="16"/>
                <w:szCs w:val="16"/>
              </w:rPr>
              <w:t>Difference</w:t>
            </w:r>
          </w:p>
        </w:tc>
      </w:tr>
      <w:tr w:rsidR="00616641" w:rsidRPr="0049701B" w14:paraId="3BDA3E11" w14:textId="77777777" w:rsidTr="007E3239">
        <w:tc>
          <w:tcPr>
            <w:tcW w:w="2972" w:type="dxa"/>
            <w:tcBorders>
              <w:top w:val="single" w:sz="4" w:space="0" w:color="1B556B"/>
            </w:tcBorders>
            <w:shd w:val="clear" w:color="auto" w:fill="auto"/>
            <w:noWrap/>
            <w:vAlign w:val="bottom"/>
            <w:hideMark/>
          </w:tcPr>
          <w:p w14:paraId="70B1456F" w14:textId="77777777" w:rsidR="00616641" w:rsidRPr="0049701B" w:rsidRDefault="00616641" w:rsidP="007E3239">
            <w:pPr>
              <w:pStyle w:val="TableText"/>
            </w:pPr>
            <w:r w:rsidRPr="0049701B">
              <w:t>Pre-1990 natural forest</w:t>
            </w:r>
          </w:p>
        </w:tc>
        <w:tc>
          <w:tcPr>
            <w:tcW w:w="1701" w:type="dxa"/>
            <w:tcBorders>
              <w:top w:val="single" w:sz="4" w:space="0" w:color="1B556B"/>
            </w:tcBorders>
            <w:shd w:val="clear" w:color="auto" w:fill="auto"/>
            <w:noWrap/>
            <w:hideMark/>
          </w:tcPr>
          <w:p w14:paraId="5BC1993A" w14:textId="77777777" w:rsidR="00616641" w:rsidRPr="0049701B" w:rsidRDefault="00616641" w:rsidP="007E3239">
            <w:pPr>
              <w:pStyle w:val="TableText"/>
              <w:jc w:val="right"/>
            </w:pPr>
            <w:r w:rsidRPr="0049701B">
              <w:t>–1,442.1</w:t>
            </w:r>
          </w:p>
        </w:tc>
        <w:tc>
          <w:tcPr>
            <w:tcW w:w="1984" w:type="dxa"/>
            <w:tcBorders>
              <w:top w:val="single" w:sz="4" w:space="0" w:color="1B556B"/>
            </w:tcBorders>
            <w:shd w:val="clear" w:color="auto" w:fill="auto"/>
            <w:noWrap/>
            <w:hideMark/>
          </w:tcPr>
          <w:p w14:paraId="2D20211C" w14:textId="77777777" w:rsidR="00616641" w:rsidRPr="0049701B" w:rsidRDefault="00616641" w:rsidP="007E3239">
            <w:pPr>
              <w:pStyle w:val="TableText"/>
              <w:jc w:val="right"/>
            </w:pPr>
            <w:r w:rsidRPr="0049701B">
              <w:t>–1,373.5</w:t>
            </w:r>
          </w:p>
        </w:tc>
        <w:tc>
          <w:tcPr>
            <w:tcW w:w="1697" w:type="dxa"/>
            <w:tcBorders>
              <w:top w:val="single" w:sz="4" w:space="0" w:color="1B556B"/>
            </w:tcBorders>
            <w:shd w:val="clear" w:color="auto" w:fill="auto"/>
            <w:noWrap/>
            <w:hideMark/>
          </w:tcPr>
          <w:p w14:paraId="44A2FD3F" w14:textId="77777777" w:rsidR="00616641" w:rsidRPr="0049701B" w:rsidRDefault="00616641" w:rsidP="007E3239">
            <w:pPr>
              <w:pStyle w:val="TableText"/>
              <w:jc w:val="right"/>
            </w:pPr>
            <w:r w:rsidRPr="0049701B">
              <w:t>68.6</w:t>
            </w:r>
          </w:p>
        </w:tc>
      </w:tr>
      <w:tr w:rsidR="00616641" w:rsidRPr="0049701B" w14:paraId="6DE68149" w14:textId="77777777" w:rsidTr="007E3239">
        <w:tc>
          <w:tcPr>
            <w:tcW w:w="2972" w:type="dxa"/>
            <w:shd w:val="clear" w:color="auto" w:fill="auto"/>
            <w:noWrap/>
            <w:vAlign w:val="bottom"/>
            <w:hideMark/>
          </w:tcPr>
          <w:p w14:paraId="3E8BE665" w14:textId="77777777" w:rsidR="00616641" w:rsidRPr="0049701B" w:rsidRDefault="00616641" w:rsidP="007E3239">
            <w:pPr>
              <w:pStyle w:val="TableText"/>
            </w:pPr>
            <w:r w:rsidRPr="0049701B">
              <w:t>Pre-1990 planted forest</w:t>
            </w:r>
          </w:p>
        </w:tc>
        <w:tc>
          <w:tcPr>
            <w:tcW w:w="1701" w:type="dxa"/>
            <w:shd w:val="clear" w:color="auto" w:fill="auto"/>
            <w:noWrap/>
            <w:hideMark/>
          </w:tcPr>
          <w:p w14:paraId="181290D4" w14:textId="77777777" w:rsidR="00616641" w:rsidRPr="0049701B" w:rsidRDefault="00616641" w:rsidP="007E3239">
            <w:pPr>
              <w:pStyle w:val="TableText"/>
              <w:jc w:val="right"/>
            </w:pPr>
            <w:r w:rsidRPr="0049701B">
              <w:t>–477.4</w:t>
            </w:r>
          </w:p>
        </w:tc>
        <w:tc>
          <w:tcPr>
            <w:tcW w:w="1984" w:type="dxa"/>
            <w:shd w:val="clear" w:color="auto" w:fill="auto"/>
            <w:noWrap/>
            <w:hideMark/>
          </w:tcPr>
          <w:p w14:paraId="1B4ACA38" w14:textId="77777777" w:rsidR="00616641" w:rsidRPr="0049701B" w:rsidRDefault="00616641" w:rsidP="007E3239">
            <w:pPr>
              <w:pStyle w:val="TableText"/>
              <w:jc w:val="right"/>
            </w:pPr>
            <w:r w:rsidRPr="0049701B">
              <w:t>–6,643.3</w:t>
            </w:r>
          </w:p>
        </w:tc>
        <w:tc>
          <w:tcPr>
            <w:tcW w:w="1697" w:type="dxa"/>
            <w:shd w:val="clear" w:color="auto" w:fill="auto"/>
            <w:noWrap/>
            <w:hideMark/>
          </w:tcPr>
          <w:p w14:paraId="1F3C7879" w14:textId="77777777" w:rsidR="00616641" w:rsidRPr="0049701B" w:rsidRDefault="00616641" w:rsidP="007E3239">
            <w:pPr>
              <w:pStyle w:val="TableText"/>
              <w:jc w:val="right"/>
            </w:pPr>
            <w:r w:rsidRPr="0049701B">
              <w:t>–6,166.0</w:t>
            </w:r>
          </w:p>
        </w:tc>
      </w:tr>
      <w:tr w:rsidR="00616641" w:rsidRPr="0049701B" w14:paraId="59A65B2D" w14:textId="77777777" w:rsidTr="007E3239">
        <w:tc>
          <w:tcPr>
            <w:tcW w:w="2972" w:type="dxa"/>
            <w:shd w:val="clear" w:color="auto" w:fill="auto"/>
            <w:noWrap/>
            <w:vAlign w:val="bottom"/>
            <w:hideMark/>
          </w:tcPr>
          <w:p w14:paraId="3EFACABA" w14:textId="77777777" w:rsidR="00616641" w:rsidRPr="0049701B" w:rsidRDefault="00616641" w:rsidP="007E3239">
            <w:pPr>
              <w:pStyle w:val="TableText"/>
            </w:pPr>
            <w:r w:rsidRPr="0049701B">
              <w:t>Carbon equivalent forests</w:t>
            </w:r>
          </w:p>
        </w:tc>
        <w:tc>
          <w:tcPr>
            <w:tcW w:w="1701" w:type="dxa"/>
            <w:shd w:val="clear" w:color="auto" w:fill="auto"/>
            <w:noWrap/>
            <w:hideMark/>
          </w:tcPr>
          <w:p w14:paraId="36400921" w14:textId="77777777" w:rsidR="00616641" w:rsidRPr="0049701B" w:rsidRDefault="00616641" w:rsidP="007E3239">
            <w:pPr>
              <w:pStyle w:val="TableText"/>
              <w:jc w:val="right"/>
            </w:pPr>
            <w:r w:rsidRPr="0049701B">
              <w:t>0.0</w:t>
            </w:r>
          </w:p>
        </w:tc>
        <w:tc>
          <w:tcPr>
            <w:tcW w:w="1984" w:type="dxa"/>
            <w:shd w:val="clear" w:color="auto" w:fill="auto"/>
            <w:noWrap/>
            <w:hideMark/>
          </w:tcPr>
          <w:p w14:paraId="51AAFC5F" w14:textId="77777777" w:rsidR="00616641" w:rsidRPr="0049701B" w:rsidRDefault="00616641" w:rsidP="007E3239">
            <w:pPr>
              <w:pStyle w:val="TableText"/>
              <w:jc w:val="right"/>
            </w:pPr>
            <w:r w:rsidRPr="0049701B">
              <w:t>437.0</w:t>
            </w:r>
          </w:p>
        </w:tc>
        <w:tc>
          <w:tcPr>
            <w:tcW w:w="1697" w:type="dxa"/>
            <w:shd w:val="clear" w:color="auto" w:fill="auto"/>
            <w:noWrap/>
            <w:hideMark/>
          </w:tcPr>
          <w:p w14:paraId="27A0A9FF" w14:textId="77777777" w:rsidR="00616641" w:rsidRPr="0049701B" w:rsidRDefault="00616641" w:rsidP="007E3239">
            <w:pPr>
              <w:pStyle w:val="TableText"/>
              <w:jc w:val="right"/>
            </w:pPr>
            <w:r w:rsidRPr="0049701B">
              <w:t>437.0</w:t>
            </w:r>
          </w:p>
        </w:tc>
      </w:tr>
      <w:tr w:rsidR="00616641" w:rsidRPr="0049701B" w14:paraId="297572A9" w14:textId="77777777" w:rsidTr="007E3239">
        <w:tc>
          <w:tcPr>
            <w:tcW w:w="2972" w:type="dxa"/>
            <w:shd w:val="clear" w:color="auto" w:fill="auto"/>
            <w:noWrap/>
            <w:vAlign w:val="bottom"/>
            <w:hideMark/>
          </w:tcPr>
          <w:p w14:paraId="5E04A862" w14:textId="77777777" w:rsidR="00616641" w:rsidRPr="0049701B" w:rsidRDefault="00616641" w:rsidP="007E3239">
            <w:pPr>
              <w:pStyle w:val="TableText"/>
            </w:pPr>
            <w:r w:rsidRPr="0049701B">
              <w:t>Harvested wood products</w:t>
            </w:r>
          </w:p>
        </w:tc>
        <w:tc>
          <w:tcPr>
            <w:tcW w:w="1701" w:type="dxa"/>
            <w:shd w:val="clear" w:color="auto" w:fill="auto"/>
            <w:noWrap/>
            <w:hideMark/>
          </w:tcPr>
          <w:p w14:paraId="73BCAC0A" w14:textId="77777777" w:rsidR="00616641" w:rsidRPr="0049701B" w:rsidRDefault="00616641" w:rsidP="007E3239">
            <w:pPr>
              <w:pStyle w:val="TableText"/>
              <w:jc w:val="right"/>
            </w:pPr>
            <w:r w:rsidRPr="0049701B">
              <w:t>–12,496.8</w:t>
            </w:r>
          </w:p>
        </w:tc>
        <w:tc>
          <w:tcPr>
            <w:tcW w:w="1984" w:type="dxa"/>
            <w:shd w:val="clear" w:color="auto" w:fill="auto"/>
            <w:noWrap/>
            <w:hideMark/>
          </w:tcPr>
          <w:p w14:paraId="2820DFD0" w14:textId="77777777" w:rsidR="00616641" w:rsidRPr="0049701B" w:rsidRDefault="00616641" w:rsidP="007E3239">
            <w:pPr>
              <w:pStyle w:val="TableText"/>
              <w:jc w:val="right"/>
            </w:pPr>
            <w:r w:rsidRPr="0049701B">
              <w:t>–10,842.2</w:t>
            </w:r>
          </w:p>
        </w:tc>
        <w:tc>
          <w:tcPr>
            <w:tcW w:w="1697" w:type="dxa"/>
            <w:shd w:val="clear" w:color="auto" w:fill="auto"/>
            <w:noWrap/>
            <w:hideMark/>
          </w:tcPr>
          <w:p w14:paraId="103702DC" w14:textId="77777777" w:rsidR="00616641" w:rsidRPr="0049701B" w:rsidRDefault="00616641" w:rsidP="007E3239">
            <w:pPr>
              <w:pStyle w:val="TableText"/>
              <w:jc w:val="right"/>
            </w:pPr>
            <w:r w:rsidRPr="0049701B">
              <w:t>1,654.6</w:t>
            </w:r>
          </w:p>
        </w:tc>
      </w:tr>
      <w:tr w:rsidR="00616641" w:rsidRPr="0049701B" w14:paraId="558CDED2" w14:textId="77777777" w:rsidTr="007E3239">
        <w:tc>
          <w:tcPr>
            <w:tcW w:w="2972" w:type="dxa"/>
            <w:shd w:val="clear" w:color="auto" w:fill="auto"/>
            <w:noWrap/>
            <w:vAlign w:val="bottom"/>
            <w:hideMark/>
          </w:tcPr>
          <w:p w14:paraId="19BC94D7" w14:textId="77777777" w:rsidR="00616641" w:rsidRPr="0049701B" w:rsidRDefault="00616641" w:rsidP="007E3239">
            <w:pPr>
              <w:pStyle w:val="TableText"/>
            </w:pPr>
            <w:r w:rsidRPr="0049701B">
              <w:t>Non-CO</w:t>
            </w:r>
            <w:r w:rsidRPr="0049701B">
              <w:rPr>
                <w:vertAlign w:val="subscript"/>
              </w:rPr>
              <w:t>2</w:t>
            </w:r>
            <w:r w:rsidRPr="0049701B">
              <w:t xml:space="preserve"> emissions</w:t>
            </w:r>
          </w:p>
        </w:tc>
        <w:tc>
          <w:tcPr>
            <w:tcW w:w="1701" w:type="dxa"/>
            <w:shd w:val="clear" w:color="auto" w:fill="auto"/>
            <w:noWrap/>
            <w:hideMark/>
          </w:tcPr>
          <w:p w14:paraId="72A6AE9B" w14:textId="77777777" w:rsidR="00616641" w:rsidRPr="0049701B" w:rsidRDefault="00616641" w:rsidP="007E3239">
            <w:pPr>
              <w:pStyle w:val="TableText"/>
              <w:jc w:val="right"/>
            </w:pPr>
            <w:r w:rsidRPr="0049701B">
              <w:t>77.0</w:t>
            </w:r>
          </w:p>
        </w:tc>
        <w:tc>
          <w:tcPr>
            <w:tcW w:w="1984" w:type="dxa"/>
            <w:shd w:val="clear" w:color="auto" w:fill="auto"/>
            <w:noWrap/>
            <w:hideMark/>
          </w:tcPr>
          <w:p w14:paraId="7F855A7A" w14:textId="77777777" w:rsidR="00616641" w:rsidRPr="0049701B" w:rsidRDefault="00616641" w:rsidP="007E3239">
            <w:pPr>
              <w:pStyle w:val="TableText"/>
              <w:jc w:val="right"/>
            </w:pPr>
            <w:r w:rsidRPr="0049701B">
              <w:t>85.0</w:t>
            </w:r>
          </w:p>
        </w:tc>
        <w:tc>
          <w:tcPr>
            <w:tcW w:w="1697" w:type="dxa"/>
            <w:shd w:val="clear" w:color="auto" w:fill="auto"/>
            <w:noWrap/>
            <w:hideMark/>
          </w:tcPr>
          <w:p w14:paraId="39ED095C" w14:textId="77777777" w:rsidR="00616641" w:rsidRPr="0049701B" w:rsidRDefault="00616641" w:rsidP="007E3239">
            <w:pPr>
              <w:pStyle w:val="TableText"/>
              <w:jc w:val="right"/>
            </w:pPr>
            <w:r w:rsidRPr="0049701B">
              <w:t>8.0</w:t>
            </w:r>
          </w:p>
        </w:tc>
      </w:tr>
      <w:tr w:rsidR="00616641" w:rsidRPr="0049701B" w14:paraId="499540D2" w14:textId="77777777" w:rsidTr="007E3239">
        <w:tc>
          <w:tcPr>
            <w:tcW w:w="2972" w:type="dxa"/>
            <w:tcBorders>
              <w:bottom w:val="single" w:sz="4" w:space="0" w:color="1B556B"/>
            </w:tcBorders>
            <w:shd w:val="clear" w:color="auto" w:fill="auto"/>
            <w:noWrap/>
            <w:vAlign w:val="bottom"/>
            <w:hideMark/>
          </w:tcPr>
          <w:p w14:paraId="184CF44F" w14:textId="77777777" w:rsidR="00616641" w:rsidRPr="0049701B" w:rsidRDefault="00616641" w:rsidP="007E3239">
            <w:pPr>
              <w:pStyle w:val="Tableboldblue"/>
            </w:pPr>
            <w:r w:rsidRPr="0049701B">
              <w:t>Total</w:t>
            </w:r>
          </w:p>
        </w:tc>
        <w:tc>
          <w:tcPr>
            <w:tcW w:w="1701" w:type="dxa"/>
            <w:tcBorders>
              <w:bottom w:val="single" w:sz="4" w:space="0" w:color="1B556B"/>
            </w:tcBorders>
            <w:shd w:val="clear" w:color="auto" w:fill="auto"/>
            <w:noWrap/>
            <w:hideMark/>
          </w:tcPr>
          <w:p w14:paraId="5B454241" w14:textId="77777777" w:rsidR="00616641" w:rsidRPr="0049701B" w:rsidRDefault="00616641" w:rsidP="007E3239">
            <w:pPr>
              <w:pStyle w:val="Tableboldblue"/>
              <w:jc w:val="right"/>
            </w:pPr>
            <w:r w:rsidRPr="0049701B">
              <w:t>–14,339.3</w:t>
            </w:r>
          </w:p>
        </w:tc>
        <w:tc>
          <w:tcPr>
            <w:tcW w:w="1984" w:type="dxa"/>
            <w:tcBorders>
              <w:bottom w:val="single" w:sz="4" w:space="0" w:color="1B556B"/>
            </w:tcBorders>
            <w:shd w:val="clear" w:color="auto" w:fill="auto"/>
            <w:noWrap/>
            <w:hideMark/>
          </w:tcPr>
          <w:p w14:paraId="0B0BA35D" w14:textId="77777777" w:rsidR="00616641" w:rsidRPr="0049701B" w:rsidRDefault="00616641" w:rsidP="007E3239">
            <w:pPr>
              <w:pStyle w:val="Tableboldblue"/>
              <w:jc w:val="right"/>
            </w:pPr>
            <w:r w:rsidRPr="0049701B">
              <w:t>–18,337.1</w:t>
            </w:r>
          </w:p>
        </w:tc>
        <w:tc>
          <w:tcPr>
            <w:tcW w:w="1697" w:type="dxa"/>
            <w:tcBorders>
              <w:bottom w:val="single" w:sz="4" w:space="0" w:color="1B556B"/>
            </w:tcBorders>
            <w:shd w:val="clear" w:color="auto" w:fill="auto"/>
            <w:noWrap/>
            <w:hideMark/>
          </w:tcPr>
          <w:p w14:paraId="5886E1E7" w14:textId="77777777" w:rsidR="00616641" w:rsidRPr="0049701B" w:rsidRDefault="00616641" w:rsidP="007E3239">
            <w:pPr>
              <w:pStyle w:val="Tableboldblue"/>
              <w:jc w:val="right"/>
            </w:pPr>
            <w:r w:rsidRPr="0049701B">
              <w:t>–3,997.8</w:t>
            </w:r>
          </w:p>
        </w:tc>
      </w:tr>
    </w:tbl>
    <w:p w14:paraId="7DE49353" w14:textId="77777777" w:rsidR="00616641" w:rsidRPr="0049701B" w:rsidRDefault="00616641" w:rsidP="00616641">
      <w:pPr>
        <w:pStyle w:val="BodyText"/>
        <w:spacing w:before="240" w:after="100"/>
        <w:rPr>
          <w:spacing w:val="-2"/>
        </w:rPr>
      </w:pPr>
      <w:r w:rsidRPr="0049701B">
        <w:rPr>
          <w:spacing w:val="-2"/>
        </w:rPr>
        <w:t>The average annual net emissions from pre-1990 planted forests were 6.166.0 kt CO</w:t>
      </w:r>
      <w:r w:rsidRPr="0049701B">
        <w:rPr>
          <w:spacing w:val="-2"/>
          <w:vertAlign w:val="subscript"/>
        </w:rPr>
        <w:t>2</w:t>
      </w:r>
      <w:r w:rsidRPr="0049701B">
        <w:rPr>
          <w:spacing w:val="-2"/>
        </w:rPr>
        <w:t xml:space="preserve">-e lower under </w:t>
      </w:r>
      <w:r w:rsidRPr="0049701B">
        <w:rPr>
          <w:i/>
          <w:spacing w:val="-2"/>
        </w:rPr>
        <w:t xml:space="preserve">Forest </w:t>
      </w:r>
      <w:r w:rsidRPr="0049701B">
        <w:rPr>
          <w:i/>
          <w:iCs/>
          <w:spacing w:val="-2"/>
        </w:rPr>
        <w:t>management</w:t>
      </w:r>
      <w:r w:rsidRPr="0049701B">
        <w:rPr>
          <w:spacing w:val="-2"/>
        </w:rPr>
        <w:t xml:space="preserve"> compared with the FMRL</w:t>
      </w:r>
      <w:r w:rsidRPr="0049701B">
        <w:rPr>
          <w:i/>
          <w:iCs/>
          <w:spacing w:val="-2"/>
          <w:vertAlign w:val="subscript"/>
        </w:rPr>
        <w:t>corr</w:t>
      </w:r>
      <w:r w:rsidRPr="0049701B">
        <w:rPr>
          <w:spacing w:val="-2"/>
        </w:rPr>
        <w:t>. This difference is driven mainly by a higher projected rate of harvest in the FMRL</w:t>
      </w:r>
      <w:r w:rsidRPr="0049701B">
        <w:rPr>
          <w:i/>
          <w:iCs/>
          <w:spacing w:val="-2"/>
          <w:vertAlign w:val="subscript"/>
        </w:rPr>
        <w:t>corr</w:t>
      </w:r>
      <w:r w:rsidRPr="0049701B">
        <w:rPr>
          <w:spacing w:val="-2"/>
        </w:rPr>
        <w:t>, with a greater annual harvest area of 10,200 hectares on average from 2013 to 2020 (figure 11.3.2). The higher projected rate of harvest has also resulted in lower net emissions, due to more inputs into the harvested wood products pool.</w:t>
      </w:r>
    </w:p>
    <w:p w14:paraId="44F4CB97" w14:textId="77777777" w:rsidR="00616641" w:rsidRPr="0049701B" w:rsidRDefault="00616641" w:rsidP="00616641">
      <w:pPr>
        <w:pStyle w:val="BodyText"/>
        <w:spacing w:before="100" w:after="100"/>
        <w:rPr>
          <w:spacing w:val="-2"/>
        </w:rPr>
      </w:pPr>
      <w:r w:rsidRPr="0049701B">
        <w:rPr>
          <w:spacing w:val="-2"/>
        </w:rPr>
        <w:t xml:space="preserve">A difference in net emissions in pre-1990 planted forest from </w:t>
      </w:r>
      <w:r w:rsidRPr="0049701B">
        <w:rPr>
          <w:iCs/>
          <w:spacing w:val="-2"/>
        </w:rPr>
        <w:t>FMRL</w:t>
      </w:r>
      <w:r w:rsidRPr="0049701B">
        <w:rPr>
          <w:i/>
          <w:spacing w:val="-2"/>
          <w:vertAlign w:val="subscript"/>
        </w:rPr>
        <w:t>corr</w:t>
      </w:r>
      <w:r w:rsidRPr="0049701B">
        <w:rPr>
          <w:spacing w:val="-2"/>
        </w:rPr>
        <w:t xml:space="preserve"> and </w:t>
      </w:r>
      <w:r w:rsidRPr="0049701B">
        <w:rPr>
          <w:i/>
          <w:iCs/>
          <w:spacing w:val="-2"/>
        </w:rPr>
        <w:t>Forest management</w:t>
      </w:r>
      <w:r w:rsidRPr="0049701B">
        <w:rPr>
          <w:i/>
          <w:spacing w:val="-2"/>
        </w:rPr>
        <w:t xml:space="preserve"> </w:t>
      </w:r>
      <w:r w:rsidRPr="0049701B">
        <w:rPr>
          <w:spacing w:val="-2"/>
        </w:rPr>
        <w:t>may be expected, because some harvesting events projected in the FMRL</w:t>
      </w:r>
      <w:r w:rsidRPr="0049701B">
        <w:rPr>
          <w:i/>
          <w:iCs/>
          <w:spacing w:val="-2"/>
          <w:vertAlign w:val="subscript"/>
        </w:rPr>
        <w:t>corr</w:t>
      </w:r>
      <w:r w:rsidRPr="0049701B">
        <w:rPr>
          <w:spacing w:val="-2"/>
        </w:rPr>
        <w:t xml:space="preserve"> will have resulted in deforestation. The emissions from these events will be counted in the </w:t>
      </w:r>
      <w:r w:rsidRPr="0049701B">
        <w:rPr>
          <w:i/>
          <w:spacing w:val="-2"/>
        </w:rPr>
        <w:t>Deforestation</w:t>
      </w:r>
      <w:r w:rsidRPr="0049701B">
        <w:rPr>
          <w:spacing w:val="-2"/>
        </w:rPr>
        <w:t xml:space="preserve"> category rather than </w:t>
      </w:r>
      <w:r w:rsidRPr="0049701B">
        <w:rPr>
          <w:i/>
          <w:spacing w:val="-2"/>
        </w:rPr>
        <w:t xml:space="preserve">Forest </w:t>
      </w:r>
      <w:r w:rsidRPr="0049701B">
        <w:rPr>
          <w:i/>
          <w:iCs/>
          <w:spacing w:val="-2"/>
        </w:rPr>
        <w:t>management</w:t>
      </w:r>
      <w:r w:rsidRPr="0049701B">
        <w:rPr>
          <w:spacing w:val="-2"/>
        </w:rPr>
        <w:t>. A comparison of the difference in net emissions between FMRL</w:t>
      </w:r>
      <w:r w:rsidRPr="0049701B">
        <w:rPr>
          <w:i/>
          <w:iCs/>
          <w:spacing w:val="-2"/>
          <w:vertAlign w:val="subscript"/>
        </w:rPr>
        <w:t xml:space="preserve">corr </w:t>
      </w:r>
      <w:r w:rsidRPr="0049701B">
        <w:rPr>
          <w:spacing w:val="-2"/>
        </w:rPr>
        <w:t xml:space="preserve">and </w:t>
      </w:r>
      <w:r w:rsidRPr="0049701B">
        <w:rPr>
          <w:i/>
          <w:iCs/>
          <w:spacing w:val="-2"/>
        </w:rPr>
        <w:t>Forest management</w:t>
      </w:r>
      <w:r w:rsidRPr="0049701B">
        <w:rPr>
          <w:spacing w:val="-2"/>
        </w:rPr>
        <w:t xml:space="preserve"> for the planted forest estate, as well as for </w:t>
      </w:r>
      <w:r w:rsidRPr="0049701B">
        <w:rPr>
          <w:i/>
          <w:iCs/>
          <w:spacing w:val="-2"/>
        </w:rPr>
        <w:t>Harvested wood products</w:t>
      </w:r>
      <w:r w:rsidRPr="0049701B">
        <w:rPr>
          <w:spacing w:val="-2"/>
        </w:rPr>
        <w:t>, is provided in figures 11.3.3 and 11.3.4.</w:t>
      </w:r>
    </w:p>
    <w:p w14:paraId="7E33442E" w14:textId="77777777" w:rsidR="00616641" w:rsidRPr="0049701B" w:rsidRDefault="00616641" w:rsidP="00616641">
      <w:pPr>
        <w:pStyle w:val="BodyText"/>
        <w:spacing w:before="100" w:after="100"/>
        <w:rPr>
          <w:spacing w:val="-2"/>
        </w:rPr>
      </w:pPr>
      <w:r w:rsidRPr="0049701B">
        <w:rPr>
          <w:spacing w:val="-2"/>
        </w:rPr>
        <w:t xml:space="preserve">The final accounting quantity for </w:t>
      </w:r>
      <w:r w:rsidRPr="0049701B">
        <w:rPr>
          <w:i/>
          <w:iCs/>
          <w:spacing w:val="-2"/>
        </w:rPr>
        <w:t xml:space="preserve">Forest management </w:t>
      </w:r>
      <w:r w:rsidRPr="0049701B">
        <w:rPr>
          <w:spacing w:val="-2"/>
        </w:rPr>
        <w:t xml:space="preserve">was the </w:t>
      </w:r>
      <w:r w:rsidRPr="0049701B">
        <w:rPr>
          <w:i/>
          <w:iCs/>
          <w:spacing w:val="-2"/>
        </w:rPr>
        <w:t xml:space="preserve">Forest management </w:t>
      </w:r>
      <w:r w:rsidRPr="0049701B">
        <w:rPr>
          <w:spacing w:val="-2"/>
        </w:rPr>
        <w:t xml:space="preserve">cap of </w:t>
      </w:r>
      <w:r w:rsidRPr="0049701B">
        <w:rPr>
          <w:spacing w:val="-2"/>
        </w:rPr>
        <w:br/>
        <w:t>–</w:t>
      </w:r>
      <w:r w:rsidRPr="0049701B">
        <w:t xml:space="preserve">2,335.2 </w:t>
      </w:r>
      <w:r w:rsidRPr="0049701B">
        <w:rPr>
          <w:spacing w:val="-2"/>
        </w:rPr>
        <w:t>kt CO</w:t>
      </w:r>
      <w:r w:rsidRPr="0049701B">
        <w:rPr>
          <w:spacing w:val="-2"/>
          <w:vertAlign w:val="subscript"/>
        </w:rPr>
        <w:t>2</w:t>
      </w:r>
      <w:r w:rsidRPr="0049701B">
        <w:rPr>
          <w:spacing w:val="-2"/>
        </w:rPr>
        <w:t>-e per year, for a total contribution of –18,681.6 kt CO</w:t>
      </w:r>
      <w:r w:rsidRPr="0049701B">
        <w:rPr>
          <w:spacing w:val="-2"/>
          <w:vertAlign w:val="subscript"/>
        </w:rPr>
        <w:t>2</w:t>
      </w:r>
      <w:r w:rsidRPr="0049701B">
        <w:rPr>
          <w:spacing w:val="-2"/>
        </w:rPr>
        <w:noBreakHyphen/>
        <w:t>e over the 2013 to 2020 commitment period.</w:t>
      </w:r>
    </w:p>
    <w:p w14:paraId="0FCBA13C" w14:textId="33A300A0" w:rsidR="00616641" w:rsidRDefault="00616641" w:rsidP="00616641">
      <w:pPr>
        <w:pStyle w:val="Figure"/>
        <w:spacing w:after="80"/>
        <w:rPr>
          <w:spacing w:val="-2"/>
          <w:szCs w:val="18"/>
        </w:rPr>
      </w:pPr>
      <w:bookmarkStart w:id="2842" w:name="_Toc95321436"/>
      <w:bookmarkStart w:id="2843" w:name="_Toc99696076"/>
      <w:r w:rsidRPr="0049701B">
        <w:lastRenderedPageBreak/>
        <w:t xml:space="preserve">Figure 11.3.2 </w:t>
      </w:r>
      <w:r w:rsidRPr="0049701B">
        <w:tab/>
        <w:t xml:space="preserve">Annual harvest area for the </w:t>
      </w:r>
      <w:r w:rsidRPr="0049701B">
        <w:rPr>
          <w:szCs w:val="18"/>
        </w:rPr>
        <w:t>FMRL</w:t>
      </w:r>
      <w:r w:rsidRPr="0049701B">
        <w:rPr>
          <w:i/>
          <w:iCs/>
          <w:spacing w:val="-2"/>
          <w:szCs w:val="18"/>
          <w:vertAlign w:val="subscript"/>
        </w:rPr>
        <w:t>corr</w:t>
      </w:r>
      <w:r w:rsidRPr="0049701B">
        <w:rPr>
          <w:spacing w:val="-2"/>
          <w:szCs w:val="18"/>
        </w:rPr>
        <w:t xml:space="preserve"> and </w:t>
      </w:r>
      <w:r w:rsidRPr="0049701B">
        <w:rPr>
          <w:i/>
          <w:spacing w:val="-2"/>
          <w:szCs w:val="18"/>
        </w:rPr>
        <w:t>Forest management</w:t>
      </w:r>
      <w:r w:rsidRPr="0049701B">
        <w:rPr>
          <w:spacing w:val="-2"/>
          <w:szCs w:val="18"/>
        </w:rPr>
        <w:t>, from 2009</w:t>
      </w:r>
      <w:r w:rsidR="00E511CB">
        <w:rPr>
          <w:spacing w:val="-2"/>
          <w:szCs w:val="18"/>
        </w:rPr>
        <w:t> </w:t>
      </w:r>
      <w:r w:rsidRPr="0049701B">
        <w:rPr>
          <w:spacing w:val="-2"/>
          <w:szCs w:val="18"/>
        </w:rPr>
        <w:t>to</w:t>
      </w:r>
      <w:r w:rsidR="00E511CB">
        <w:rPr>
          <w:spacing w:val="-2"/>
          <w:szCs w:val="18"/>
        </w:rPr>
        <w:t> </w:t>
      </w:r>
      <w:r w:rsidRPr="0049701B">
        <w:rPr>
          <w:spacing w:val="-2"/>
          <w:szCs w:val="18"/>
        </w:rPr>
        <w:t>2020</w:t>
      </w:r>
      <w:bookmarkEnd w:id="2842"/>
      <w:bookmarkEnd w:id="2843"/>
    </w:p>
    <w:p w14:paraId="11F52C7A" w14:textId="77777777" w:rsidR="00616641" w:rsidRPr="00D83676" w:rsidRDefault="004B48CC" w:rsidP="00616641">
      <w:pPr>
        <w:pStyle w:val="BodyText"/>
      </w:pPr>
      <w:r>
        <w:pict w14:anchorId="0E1ADEE0">
          <v:shape id="_x0000_i1152" type="#_x0000_t75" style="width:425.3pt;height:254.5pt;mso-left-percent:-10001;mso-top-percent:-10001;mso-position-horizontal:absolute;mso-position-horizontal-relative:char;mso-position-vertical:absolute;mso-position-vertical-relative:line;mso-left-percent:-10001;mso-top-percent:-10001">
            <v:imagedata r:id="rId275" o:title=""/>
          </v:shape>
        </w:pict>
      </w:r>
    </w:p>
    <w:p w14:paraId="05B80836" w14:textId="77777777" w:rsidR="00616641" w:rsidRDefault="00616641" w:rsidP="00616641">
      <w:pPr>
        <w:pStyle w:val="Figure"/>
        <w:spacing w:before="240" w:after="80"/>
        <w:rPr>
          <w:spacing w:val="-2"/>
          <w:szCs w:val="18"/>
        </w:rPr>
      </w:pPr>
      <w:bookmarkStart w:id="2844" w:name="_Toc95321437"/>
      <w:bookmarkStart w:id="2845" w:name="_Toc99696077"/>
      <w:r w:rsidRPr="0049701B">
        <w:t xml:space="preserve">Figure 11.3.3 </w:t>
      </w:r>
      <w:r w:rsidRPr="0049701B">
        <w:tab/>
        <w:t xml:space="preserve">Comparison of emissions for the planted forest estate for the </w:t>
      </w:r>
      <w:r w:rsidRPr="0049701B">
        <w:rPr>
          <w:szCs w:val="18"/>
        </w:rPr>
        <w:t>FMRL</w:t>
      </w:r>
      <w:r w:rsidRPr="0049701B">
        <w:rPr>
          <w:i/>
          <w:iCs/>
          <w:spacing w:val="-2"/>
          <w:szCs w:val="18"/>
          <w:vertAlign w:val="subscript"/>
        </w:rPr>
        <w:t>corr</w:t>
      </w:r>
      <w:r w:rsidRPr="0049701B">
        <w:rPr>
          <w:spacing w:val="-2"/>
          <w:szCs w:val="18"/>
        </w:rPr>
        <w:t xml:space="preserve"> and </w:t>
      </w:r>
      <w:r w:rsidRPr="0049701B">
        <w:rPr>
          <w:i/>
          <w:spacing w:val="-2"/>
          <w:szCs w:val="18"/>
        </w:rPr>
        <w:t>Forest management</w:t>
      </w:r>
      <w:r w:rsidRPr="0049701B">
        <w:rPr>
          <w:spacing w:val="-2"/>
          <w:szCs w:val="18"/>
        </w:rPr>
        <w:t>, from 2009-to 2020</w:t>
      </w:r>
      <w:bookmarkEnd w:id="2844"/>
      <w:bookmarkEnd w:id="2845"/>
    </w:p>
    <w:p w14:paraId="001FA277" w14:textId="77777777" w:rsidR="00616641" w:rsidRPr="00050CBB" w:rsidRDefault="004B48CC" w:rsidP="00616641">
      <w:pPr>
        <w:pStyle w:val="BodyText"/>
      </w:pPr>
      <w:r>
        <w:pict w14:anchorId="37E4DF16">
          <v:shape id="_x0000_i1153" type="#_x0000_t75" style="width:427.8pt;height:243.65pt;mso-left-percent:-10001;mso-top-percent:-10001;mso-position-horizontal:absolute;mso-position-horizontal-relative:char;mso-position-vertical:absolute;mso-position-vertical-relative:line;mso-left-percent:-10001;mso-top-percent:-10001">
            <v:imagedata r:id="rId276" o:title=""/>
          </v:shape>
        </w:pict>
      </w:r>
    </w:p>
    <w:p w14:paraId="58A84E1A" w14:textId="77777777" w:rsidR="00616641" w:rsidRDefault="00616641" w:rsidP="00616641">
      <w:pPr>
        <w:pStyle w:val="Figure"/>
        <w:spacing w:after="80"/>
        <w:rPr>
          <w:spacing w:val="-2"/>
          <w:szCs w:val="18"/>
        </w:rPr>
      </w:pPr>
      <w:bookmarkStart w:id="2846" w:name="_Toc95321438"/>
      <w:bookmarkStart w:id="2847" w:name="_Toc99696078"/>
      <w:r w:rsidRPr="0049701B">
        <w:lastRenderedPageBreak/>
        <w:t xml:space="preserve">Figure 11.3.4 </w:t>
      </w:r>
      <w:r w:rsidRPr="0049701B">
        <w:tab/>
        <w:t xml:space="preserve">Comparison of emissions for </w:t>
      </w:r>
      <w:r w:rsidRPr="0049701B">
        <w:rPr>
          <w:i/>
          <w:iCs/>
        </w:rPr>
        <w:t>Harvested wood products</w:t>
      </w:r>
      <w:r w:rsidRPr="0049701B">
        <w:t xml:space="preserve"> for the </w:t>
      </w:r>
      <w:r w:rsidRPr="0049701B">
        <w:rPr>
          <w:szCs w:val="18"/>
        </w:rPr>
        <w:t>FMRL</w:t>
      </w:r>
      <w:r w:rsidRPr="0049701B">
        <w:rPr>
          <w:i/>
          <w:iCs/>
          <w:spacing w:val="-2"/>
          <w:szCs w:val="18"/>
          <w:vertAlign w:val="subscript"/>
        </w:rPr>
        <w:t>corr</w:t>
      </w:r>
      <w:r w:rsidRPr="0049701B">
        <w:rPr>
          <w:spacing w:val="-2"/>
          <w:szCs w:val="18"/>
        </w:rPr>
        <w:t xml:space="preserve"> and </w:t>
      </w:r>
      <w:r w:rsidRPr="0049701B">
        <w:rPr>
          <w:i/>
          <w:iCs/>
          <w:spacing w:val="-2"/>
          <w:szCs w:val="18"/>
        </w:rPr>
        <w:t>Forest management</w:t>
      </w:r>
      <w:r w:rsidRPr="0049701B">
        <w:rPr>
          <w:spacing w:val="-2"/>
          <w:szCs w:val="18"/>
        </w:rPr>
        <w:t>, from 2009-to 2020</w:t>
      </w:r>
      <w:bookmarkEnd w:id="2846"/>
      <w:bookmarkEnd w:id="2847"/>
    </w:p>
    <w:p w14:paraId="4BC90EFE" w14:textId="77777777" w:rsidR="00616641" w:rsidRPr="00373FB7" w:rsidRDefault="004B48CC" w:rsidP="00616641">
      <w:pPr>
        <w:pStyle w:val="BodyText"/>
      </w:pPr>
      <w:r>
        <w:pict w14:anchorId="624F332B">
          <v:shape id="_x0000_i1154" type="#_x0000_t75" style="width:422.8pt;height:240.3pt;mso-left-percent:-10001;mso-top-percent:-10001;mso-position-horizontal:absolute;mso-position-horizontal-relative:char;mso-position-vertical:absolute;mso-position-vertical-relative:line;mso-left-percent:-10001;mso-top-percent:-10001">
            <v:imagedata r:id="rId277" o:title=""/>
          </v:shape>
        </w:pict>
      </w:r>
    </w:p>
    <w:p w14:paraId="7B50FC70" w14:textId="77777777" w:rsidR="00616641" w:rsidRPr="0049701B" w:rsidRDefault="00616641" w:rsidP="00616641">
      <w:pPr>
        <w:pStyle w:val="Heading5"/>
      </w:pPr>
      <w:r w:rsidRPr="0049701B">
        <w:t>Technical corrections to the forest management reference level</w:t>
      </w:r>
    </w:p>
    <w:p w14:paraId="6CF1508B" w14:textId="77777777" w:rsidR="00616641" w:rsidRPr="0049701B" w:rsidRDefault="00616641" w:rsidP="00616641">
      <w:pPr>
        <w:pStyle w:val="BodyText"/>
      </w:pPr>
      <w:r w:rsidRPr="0049701B">
        <w:t>New Zealand’s FMRL, as inscribed in the appendix to the annex to Decision 2/CMP.7 (UNFCCC, 2012), was 11,150 kt CO</w:t>
      </w:r>
      <w:r w:rsidRPr="0049701B">
        <w:rPr>
          <w:vertAlign w:val="subscript"/>
        </w:rPr>
        <w:t>2</w:t>
      </w:r>
      <w:r w:rsidRPr="0049701B">
        <w:t>-e per year. New Zealand has submitted three previous technical corrections to the FMRL; the 2016 submission, the 2019 submission and the 2021 submission. In this 2022 submission, New Zealand is including another technical correction. A correction of –25,489.3 kt CO</w:t>
      </w:r>
      <w:r w:rsidRPr="0049701B">
        <w:rPr>
          <w:vertAlign w:val="subscript"/>
        </w:rPr>
        <w:t>2</w:t>
      </w:r>
      <w:r w:rsidRPr="0049701B">
        <w:t xml:space="preserve">-e is being applied for the 2022 submission resulting in a </w:t>
      </w:r>
      <w:r w:rsidRPr="0049701B">
        <w:rPr>
          <w:iCs/>
          <w:spacing w:val="-2"/>
        </w:rPr>
        <w:t>FMRL</w:t>
      </w:r>
      <w:r w:rsidRPr="0049701B">
        <w:rPr>
          <w:i/>
          <w:spacing w:val="-2"/>
          <w:vertAlign w:val="subscript"/>
        </w:rPr>
        <w:t xml:space="preserve">corr </w:t>
      </w:r>
      <w:r w:rsidRPr="0049701B">
        <w:rPr>
          <w:iCs/>
          <w:spacing w:val="-2"/>
        </w:rPr>
        <w:t>of –14,339.3 kt CO</w:t>
      </w:r>
      <w:r w:rsidRPr="0049701B">
        <w:rPr>
          <w:iCs/>
          <w:spacing w:val="-2"/>
          <w:vertAlign w:val="subscript"/>
        </w:rPr>
        <w:t>2</w:t>
      </w:r>
      <w:r w:rsidRPr="0049701B">
        <w:rPr>
          <w:iCs/>
          <w:spacing w:val="-2"/>
        </w:rPr>
        <w:t xml:space="preserve">-e. This is a change of –3,629.8 </w:t>
      </w:r>
      <w:r w:rsidRPr="0049701B">
        <w:t>kt CO</w:t>
      </w:r>
      <w:r w:rsidRPr="0049701B">
        <w:rPr>
          <w:vertAlign w:val="subscript"/>
        </w:rPr>
        <w:t>2</w:t>
      </w:r>
      <w:r w:rsidRPr="0049701B">
        <w:t>-e</w:t>
      </w:r>
      <w:r w:rsidRPr="0049701B">
        <w:rPr>
          <w:iCs/>
          <w:spacing w:val="-2"/>
        </w:rPr>
        <w:t xml:space="preserve"> from the FMRL</w:t>
      </w:r>
      <w:r w:rsidRPr="0049701B">
        <w:rPr>
          <w:i/>
          <w:spacing w:val="-2"/>
          <w:vertAlign w:val="subscript"/>
        </w:rPr>
        <w:t xml:space="preserve">corr </w:t>
      </w:r>
      <w:r w:rsidRPr="0049701B">
        <w:rPr>
          <w:iCs/>
          <w:spacing w:val="-2"/>
        </w:rPr>
        <w:t>submitted in the 2021 submission. A technical correction to the FMRL for the 2022 submission has been applied for the reasons listed below and is described in more detail in annex 5, section A5.1:</w:t>
      </w:r>
      <w:r w:rsidRPr="0049701B">
        <w:t xml:space="preserve"> </w:t>
      </w:r>
    </w:p>
    <w:p w14:paraId="00ABC814" w14:textId="77777777" w:rsidR="00616641" w:rsidRPr="0049701B" w:rsidRDefault="00616641" w:rsidP="00616641">
      <w:pPr>
        <w:pStyle w:val="Bullet"/>
      </w:pPr>
      <w:r w:rsidRPr="0049701B">
        <w:t xml:space="preserve">the estimate of emissions from biomass in the pre-1990 planted forestry estate has been corrected due to improvements in the methodological elements, including changes to the forest age, harvest age profile and yield tables, used to construct the FMRL </w:t>
      </w:r>
    </w:p>
    <w:p w14:paraId="59276A2D" w14:textId="77777777" w:rsidR="00616641" w:rsidRPr="0049701B" w:rsidRDefault="00616641" w:rsidP="00616641">
      <w:pPr>
        <w:pStyle w:val="Bullet"/>
      </w:pPr>
      <w:r w:rsidRPr="0049701B">
        <w:t xml:space="preserve">the estimate of emissions from biomass in the pre-1990 natural forest estate has been corrected due to improvements in the methodological elements used to construct the FMRL </w:t>
      </w:r>
    </w:p>
    <w:p w14:paraId="5821220E" w14:textId="77777777" w:rsidR="00616641" w:rsidRPr="0049701B" w:rsidRDefault="00616641" w:rsidP="00616641">
      <w:pPr>
        <w:pStyle w:val="Bullet"/>
      </w:pPr>
      <w:r w:rsidRPr="0049701B">
        <w:t xml:space="preserve">the model approach and assumptions for </w:t>
      </w:r>
      <w:r w:rsidRPr="0049701B">
        <w:rPr>
          <w:i/>
          <w:iCs/>
        </w:rPr>
        <w:t>Harvested wood products</w:t>
      </w:r>
      <w:r w:rsidRPr="0049701B">
        <w:t xml:space="preserve"> have been updated to </w:t>
      </w:r>
      <w:r w:rsidRPr="0049701B">
        <w:rPr>
          <w:spacing w:val="-2"/>
        </w:rPr>
        <w:t xml:space="preserve">ensure consistency with the approach used to estimate emissions from </w:t>
      </w:r>
      <w:r w:rsidRPr="0049701B">
        <w:rPr>
          <w:i/>
          <w:iCs/>
          <w:spacing w:val="-2"/>
        </w:rPr>
        <w:t>Forest management</w:t>
      </w:r>
      <w:r w:rsidRPr="0049701B">
        <w:t xml:space="preserve"> </w:t>
      </w:r>
    </w:p>
    <w:p w14:paraId="0A2452FF" w14:textId="77777777" w:rsidR="00616641" w:rsidRPr="0049701B" w:rsidRDefault="00616641" w:rsidP="00616641">
      <w:pPr>
        <w:pStyle w:val="Bullet"/>
      </w:pPr>
      <w:r w:rsidRPr="0049701B">
        <w:t>the inclusion of emissions from overplanting,</w:t>
      </w:r>
      <w:r w:rsidRPr="0049701B">
        <w:rPr>
          <w:rStyle w:val="BodyTextChar"/>
        </w:rPr>
        <w:t xml:space="preserve"> </w:t>
      </w:r>
      <w:r w:rsidRPr="0049701B">
        <w:t>where pre-1990 natural forest is removed and replaced with planted forest, has been removed from the FMRL following discussions with the expert review team during the review of the 2021 submission</w:t>
      </w:r>
    </w:p>
    <w:p w14:paraId="2E90C74C" w14:textId="77777777" w:rsidR="00616641" w:rsidRPr="0049701B" w:rsidRDefault="00616641" w:rsidP="00616641">
      <w:pPr>
        <w:pStyle w:val="Bullet"/>
      </w:pPr>
      <w:r w:rsidRPr="0049701B">
        <w:t>the emissions associated with CEF have been removed from the FMRL following discussions with the expert review team during the review of the 2021 submission</w:t>
      </w:r>
    </w:p>
    <w:p w14:paraId="033A6D1B" w14:textId="77777777" w:rsidR="00616641" w:rsidRPr="0049701B" w:rsidRDefault="00616641" w:rsidP="00616641">
      <w:pPr>
        <w:pStyle w:val="Bullet"/>
      </w:pPr>
      <w:r w:rsidRPr="0049701B">
        <w:t>nitrous oxide (N</w:t>
      </w:r>
      <w:r w:rsidRPr="0049701B">
        <w:rPr>
          <w:vertAlign w:val="subscript"/>
        </w:rPr>
        <w:t>2</w:t>
      </w:r>
      <w:r w:rsidRPr="0049701B">
        <w:t xml:space="preserve">O) emissions from drained organic soils have been incorporated in the FMRL. </w:t>
      </w:r>
    </w:p>
    <w:p w14:paraId="737844A6" w14:textId="77777777" w:rsidR="00616641" w:rsidRPr="0049701B" w:rsidRDefault="00616641" w:rsidP="00616641">
      <w:pPr>
        <w:pStyle w:val="Heading5"/>
      </w:pPr>
      <w:r w:rsidRPr="0049701B">
        <w:lastRenderedPageBreak/>
        <w:t>Carbon equivalent forests</w:t>
      </w:r>
    </w:p>
    <w:p w14:paraId="67EE9C13" w14:textId="77777777" w:rsidR="00616641" w:rsidRPr="0049701B" w:rsidRDefault="00616641" w:rsidP="00616641">
      <w:pPr>
        <w:pStyle w:val="BodyText"/>
      </w:pPr>
      <w:r w:rsidRPr="0049701B">
        <w:t xml:space="preserve">The carbon equivalent forest provision allows pre-1990 planted forests that meet the conditions specified in Decision 2/CMP.7, paragraph 37 (UNFCCC, 2012), to be harvested and converted to another land use without being classified as deforested, provided a new forest that will reach carbon equivalence is established elsewhere. New Zealand’s carbon equivalent forests, between the 2013 and 2020 period, are summarised in table 11.3.6. </w:t>
      </w:r>
    </w:p>
    <w:p w14:paraId="47E67AEA" w14:textId="77777777" w:rsidR="00616641" w:rsidRPr="0049701B" w:rsidRDefault="00616641" w:rsidP="00616641">
      <w:pPr>
        <w:pStyle w:val="Table"/>
      </w:pPr>
      <w:bookmarkStart w:id="2848" w:name="_Toc522010660"/>
      <w:bookmarkStart w:id="2849" w:name="_Toc5269631"/>
      <w:bookmarkStart w:id="2850" w:name="_Toc36224714"/>
      <w:bookmarkStart w:id="2851" w:name="_Toc64987049"/>
      <w:bookmarkStart w:id="2852" w:name="_Toc68786599"/>
      <w:bookmarkStart w:id="2853" w:name="_Toc95321542"/>
      <w:bookmarkStart w:id="2854" w:name="_Toc99659394"/>
      <w:r w:rsidRPr="0049701B">
        <w:t>Table 11.3.6</w:t>
      </w:r>
      <w:r w:rsidRPr="0049701B">
        <w:tab/>
        <w:t>Carbon equivalent forests (2013–20)</w:t>
      </w:r>
      <w:bookmarkEnd w:id="2848"/>
      <w:bookmarkEnd w:id="2849"/>
      <w:bookmarkEnd w:id="2850"/>
      <w:bookmarkEnd w:id="2851"/>
      <w:bookmarkEnd w:id="2852"/>
      <w:bookmarkEnd w:id="2853"/>
      <w:bookmarkEnd w:id="2854"/>
    </w:p>
    <w:tbl>
      <w:tblPr>
        <w:tblW w:w="8505" w:type="dxa"/>
        <w:tblInd w:w="113" w:type="dxa"/>
        <w:tblLook w:val="04A0" w:firstRow="1" w:lastRow="0" w:firstColumn="1" w:lastColumn="0" w:noHBand="0" w:noVBand="1"/>
      </w:tblPr>
      <w:tblGrid>
        <w:gridCol w:w="2127"/>
        <w:gridCol w:w="850"/>
        <w:gridCol w:w="709"/>
        <w:gridCol w:w="850"/>
        <w:gridCol w:w="851"/>
        <w:gridCol w:w="850"/>
        <w:gridCol w:w="704"/>
        <w:gridCol w:w="782"/>
        <w:gridCol w:w="782"/>
      </w:tblGrid>
      <w:tr w:rsidR="00616641" w:rsidRPr="0049701B" w14:paraId="35C9E46F" w14:textId="77777777" w:rsidTr="007E3239">
        <w:tc>
          <w:tcPr>
            <w:tcW w:w="2127" w:type="dxa"/>
            <w:tcBorders>
              <w:top w:val="single" w:sz="4" w:space="0" w:color="1B556B"/>
              <w:left w:val="nil"/>
              <w:bottom w:val="single" w:sz="4" w:space="0" w:color="1B556B"/>
              <w:right w:val="single" w:sz="4" w:space="0" w:color="1B556B"/>
            </w:tcBorders>
            <w:shd w:val="clear" w:color="000000" w:fill="1B556B"/>
            <w:vAlign w:val="center"/>
            <w:hideMark/>
          </w:tcPr>
          <w:p w14:paraId="70064011" w14:textId="77777777" w:rsidR="00616641" w:rsidRPr="0049701B" w:rsidRDefault="00616641" w:rsidP="007E3239">
            <w:pPr>
              <w:pStyle w:val="TableTextBold"/>
              <w:keepNext/>
              <w:spacing w:before="40" w:after="40"/>
              <w:rPr>
                <w:noProof w:val="0"/>
                <w:color w:val="FFFFFF"/>
                <w:szCs w:val="16"/>
              </w:rPr>
            </w:pPr>
            <w:r w:rsidRPr="0049701B">
              <w:rPr>
                <w:noProof w:val="0"/>
                <w:color w:val="FFFFFF"/>
                <w:szCs w:val="16"/>
              </w:rPr>
              <w:t> </w:t>
            </w:r>
          </w:p>
        </w:tc>
        <w:tc>
          <w:tcPr>
            <w:tcW w:w="850" w:type="dxa"/>
            <w:tcBorders>
              <w:top w:val="single" w:sz="4" w:space="0" w:color="1B556B"/>
              <w:left w:val="single" w:sz="4" w:space="0" w:color="1B556B"/>
              <w:bottom w:val="single" w:sz="4" w:space="0" w:color="1B556B"/>
              <w:right w:val="single" w:sz="4" w:space="0" w:color="1B556B"/>
            </w:tcBorders>
            <w:shd w:val="clear" w:color="000000" w:fill="1B556B"/>
            <w:vAlign w:val="center"/>
            <w:hideMark/>
          </w:tcPr>
          <w:p w14:paraId="3AD4BCF2" w14:textId="77777777" w:rsidR="00616641" w:rsidRPr="0049701B" w:rsidRDefault="00616641" w:rsidP="007E3239">
            <w:pPr>
              <w:pStyle w:val="TableTextBold"/>
              <w:keepNext/>
              <w:spacing w:before="40" w:after="40"/>
              <w:jc w:val="center"/>
              <w:rPr>
                <w:noProof w:val="0"/>
                <w:color w:val="FFFFFF"/>
                <w:szCs w:val="16"/>
              </w:rPr>
            </w:pPr>
            <w:r w:rsidRPr="0049701B">
              <w:rPr>
                <w:noProof w:val="0"/>
                <w:color w:val="FFFFFF"/>
                <w:szCs w:val="16"/>
              </w:rPr>
              <w:t>2013</w:t>
            </w:r>
          </w:p>
        </w:tc>
        <w:tc>
          <w:tcPr>
            <w:tcW w:w="709" w:type="dxa"/>
            <w:tcBorders>
              <w:top w:val="single" w:sz="4" w:space="0" w:color="1B556B"/>
              <w:left w:val="single" w:sz="4" w:space="0" w:color="1B556B"/>
              <w:bottom w:val="single" w:sz="4" w:space="0" w:color="1B556B"/>
              <w:right w:val="single" w:sz="4" w:space="0" w:color="1B556B"/>
            </w:tcBorders>
            <w:shd w:val="clear" w:color="000000" w:fill="1B556B"/>
            <w:vAlign w:val="center"/>
            <w:hideMark/>
          </w:tcPr>
          <w:p w14:paraId="0E6151A1" w14:textId="77777777" w:rsidR="00616641" w:rsidRPr="0049701B" w:rsidRDefault="00616641" w:rsidP="007E3239">
            <w:pPr>
              <w:pStyle w:val="TableTextBold"/>
              <w:keepNext/>
              <w:spacing w:before="40" w:after="40"/>
              <w:jc w:val="right"/>
              <w:rPr>
                <w:noProof w:val="0"/>
                <w:color w:val="FFFFFF"/>
                <w:szCs w:val="16"/>
              </w:rPr>
            </w:pPr>
            <w:r w:rsidRPr="0049701B">
              <w:rPr>
                <w:noProof w:val="0"/>
                <w:color w:val="FFFFFF"/>
                <w:szCs w:val="16"/>
              </w:rPr>
              <w:t>2014</w:t>
            </w:r>
          </w:p>
        </w:tc>
        <w:tc>
          <w:tcPr>
            <w:tcW w:w="850" w:type="dxa"/>
            <w:tcBorders>
              <w:top w:val="single" w:sz="4" w:space="0" w:color="1B556B"/>
              <w:left w:val="single" w:sz="4" w:space="0" w:color="1B556B"/>
              <w:bottom w:val="single" w:sz="4" w:space="0" w:color="1B556B"/>
              <w:right w:val="single" w:sz="4" w:space="0" w:color="1B556B"/>
            </w:tcBorders>
            <w:shd w:val="clear" w:color="000000" w:fill="1B556B"/>
            <w:vAlign w:val="center"/>
            <w:hideMark/>
          </w:tcPr>
          <w:p w14:paraId="46854C6E" w14:textId="77777777" w:rsidR="00616641" w:rsidRPr="0049701B" w:rsidRDefault="00616641" w:rsidP="007E3239">
            <w:pPr>
              <w:pStyle w:val="TableTextBold"/>
              <w:keepNext/>
              <w:spacing w:before="40" w:after="40"/>
              <w:jc w:val="right"/>
              <w:rPr>
                <w:noProof w:val="0"/>
                <w:color w:val="FFFFFF"/>
                <w:szCs w:val="16"/>
              </w:rPr>
            </w:pPr>
            <w:r w:rsidRPr="0049701B">
              <w:rPr>
                <w:noProof w:val="0"/>
                <w:color w:val="FFFFFF"/>
                <w:szCs w:val="16"/>
              </w:rPr>
              <w:t>2015</w:t>
            </w:r>
          </w:p>
        </w:tc>
        <w:tc>
          <w:tcPr>
            <w:tcW w:w="851" w:type="dxa"/>
            <w:tcBorders>
              <w:top w:val="single" w:sz="4" w:space="0" w:color="1B556B"/>
              <w:left w:val="single" w:sz="4" w:space="0" w:color="1B556B"/>
              <w:bottom w:val="single" w:sz="4" w:space="0" w:color="1B556B"/>
              <w:right w:val="single" w:sz="4" w:space="0" w:color="1B556B"/>
            </w:tcBorders>
            <w:shd w:val="clear" w:color="000000" w:fill="1B556B"/>
            <w:vAlign w:val="center"/>
            <w:hideMark/>
          </w:tcPr>
          <w:p w14:paraId="02D1E19F" w14:textId="77777777" w:rsidR="00616641" w:rsidRPr="0049701B" w:rsidRDefault="00616641" w:rsidP="007E3239">
            <w:pPr>
              <w:pStyle w:val="TableTextBold"/>
              <w:keepNext/>
              <w:spacing w:before="40" w:after="40"/>
              <w:jc w:val="right"/>
              <w:rPr>
                <w:noProof w:val="0"/>
                <w:color w:val="FFFFFF"/>
                <w:szCs w:val="16"/>
              </w:rPr>
            </w:pPr>
            <w:r w:rsidRPr="0049701B">
              <w:rPr>
                <w:noProof w:val="0"/>
                <w:color w:val="FFFFFF"/>
                <w:szCs w:val="16"/>
              </w:rPr>
              <w:t>2016</w:t>
            </w:r>
          </w:p>
        </w:tc>
        <w:tc>
          <w:tcPr>
            <w:tcW w:w="850" w:type="dxa"/>
            <w:tcBorders>
              <w:top w:val="single" w:sz="4" w:space="0" w:color="1B556B"/>
              <w:left w:val="single" w:sz="4" w:space="0" w:color="1B556B"/>
              <w:bottom w:val="single" w:sz="4" w:space="0" w:color="1B556B"/>
              <w:right w:val="single" w:sz="4" w:space="0" w:color="1B556B"/>
            </w:tcBorders>
            <w:shd w:val="clear" w:color="000000" w:fill="1B556B"/>
          </w:tcPr>
          <w:p w14:paraId="48C93314" w14:textId="77777777" w:rsidR="00616641" w:rsidRPr="0049701B" w:rsidRDefault="00616641" w:rsidP="007E3239">
            <w:pPr>
              <w:pStyle w:val="TableTextBold"/>
              <w:keepNext/>
              <w:spacing w:before="40" w:after="40"/>
              <w:jc w:val="right"/>
              <w:rPr>
                <w:noProof w:val="0"/>
                <w:color w:val="FFFFFF"/>
                <w:szCs w:val="16"/>
              </w:rPr>
            </w:pPr>
            <w:r w:rsidRPr="0049701B">
              <w:rPr>
                <w:noProof w:val="0"/>
                <w:color w:val="FFFFFF"/>
                <w:szCs w:val="16"/>
              </w:rPr>
              <w:t>2017</w:t>
            </w:r>
          </w:p>
        </w:tc>
        <w:tc>
          <w:tcPr>
            <w:tcW w:w="704" w:type="dxa"/>
            <w:tcBorders>
              <w:top w:val="single" w:sz="4" w:space="0" w:color="1B556B"/>
              <w:left w:val="single" w:sz="4" w:space="0" w:color="1B556B"/>
              <w:bottom w:val="single" w:sz="4" w:space="0" w:color="1B556B"/>
              <w:right w:val="single" w:sz="4" w:space="0" w:color="1B556B"/>
            </w:tcBorders>
            <w:shd w:val="clear" w:color="000000" w:fill="1B556B"/>
          </w:tcPr>
          <w:p w14:paraId="69B96773" w14:textId="77777777" w:rsidR="00616641" w:rsidRPr="0049701B" w:rsidRDefault="00616641" w:rsidP="007E3239">
            <w:pPr>
              <w:pStyle w:val="TableTextBold"/>
              <w:keepNext/>
              <w:spacing w:before="40" w:after="40"/>
              <w:jc w:val="right"/>
              <w:rPr>
                <w:noProof w:val="0"/>
                <w:color w:val="FFFFFF"/>
                <w:szCs w:val="16"/>
              </w:rPr>
            </w:pPr>
            <w:r w:rsidRPr="0049701B">
              <w:rPr>
                <w:noProof w:val="0"/>
                <w:color w:val="FFFFFF"/>
                <w:szCs w:val="16"/>
              </w:rPr>
              <w:t>2018</w:t>
            </w:r>
          </w:p>
        </w:tc>
        <w:tc>
          <w:tcPr>
            <w:tcW w:w="782" w:type="dxa"/>
            <w:tcBorders>
              <w:top w:val="single" w:sz="4" w:space="0" w:color="1B556B"/>
              <w:left w:val="single" w:sz="4" w:space="0" w:color="1B556B"/>
              <w:bottom w:val="single" w:sz="4" w:space="0" w:color="1B556B"/>
              <w:right w:val="single" w:sz="4" w:space="0" w:color="1B556B"/>
            </w:tcBorders>
            <w:shd w:val="clear" w:color="000000" w:fill="1B556B"/>
          </w:tcPr>
          <w:p w14:paraId="08C287D0" w14:textId="77777777" w:rsidR="00616641" w:rsidRPr="0049701B" w:rsidRDefault="00616641" w:rsidP="007E3239">
            <w:pPr>
              <w:pStyle w:val="TableTextBold"/>
              <w:keepNext/>
              <w:spacing w:before="40" w:after="40"/>
              <w:jc w:val="right"/>
              <w:rPr>
                <w:noProof w:val="0"/>
                <w:color w:val="FFFFFF"/>
                <w:szCs w:val="16"/>
              </w:rPr>
            </w:pPr>
            <w:r w:rsidRPr="0049701B">
              <w:rPr>
                <w:noProof w:val="0"/>
                <w:color w:val="FFFFFF"/>
                <w:szCs w:val="16"/>
              </w:rPr>
              <w:t>2019</w:t>
            </w:r>
          </w:p>
        </w:tc>
        <w:tc>
          <w:tcPr>
            <w:tcW w:w="782" w:type="dxa"/>
            <w:tcBorders>
              <w:top w:val="single" w:sz="4" w:space="0" w:color="1B556B"/>
              <w:left w:val="single" w:sz="4" w:space="0" w:color="1B556B"/>
              <w:bottom w:val="single" w:sz="4" w:space="0" w:color="1B556B"/>
            </w:tcBorders>
            <w:shd w:val="clear" w:color="000000" w:fill="1B556B"/>
          </w:tcPr>
          <w:p w14:paraId="29E0F2A8" w14:textId="77777777" w:rsidR="00616641" w:rsidRPr="0049701B" w:rsidRDefault="00616641" w:rsidP="007E3239">
            <w:pPr>
              <w:pStyle w:val="TableTextBold"/>
              <w:keepNext/>
              <w:spacing w:before="40" w:after="40"/>
              <w:jc w:val="right"/>
              <w:rPr>
                <w:noProof w:val="0"/>
                <w:color w:val="FFFFFF"/>
                <w:szCs w:val="16"/>
              </w:rPr>
            </w:pPr>
            <w:r w:rsidRPr="0049701B">
              <w:rPr>
                <w:noProof w:val="0"/>
                <w:color w:val="FFFFFF"/>
                <w:szCs w:val="16"/>
              </w:rPr>
              <w:t>2020</w:t>
            </w:r>
          </w:p>
        </w:tc>
      </w:tr>
      <w:tr w:rsidR="00616641" w:rsidRPr="0049701B" w14:paraId="6D41066D" w14:textId="77777777" w:rsidTr="005C7716">
        <w:tc>
          <w:tcPr>
            <w:tcW w:w="2127" w:type="dxa"/>
            <w:tcBorders>
              <w:top w:val="single" w:sz="4" w:space="0" w:color="1B556B"/>
              <w:left w:val="nil"/>
              <w:right w:val="nil"/>
            </w:tcBorders>
            <w:shd w:val="clear" w:color="auto" w:fill="auto"/>
            <w:hideMark/>
          </w:tcPr>
          <w:p w14:paraId="1D4D4227" w14:textId="77777777" w:rsidR="00616641" w:rsidRPr="0049701B" w:rsidRDefault="00616641" w:rsidP="007E3239">
            <w:pPr>
              <w:pStyle w:val="TableText"/>
              <w:keepNext/>
              <w:spacing w:before="40" w:after="40"/>
              <w:rPr>
                <w:szCs w:val="16"/>
              </w:rPr>
            </w:pPr>
            <w:r w:rsidRPr="0049701B">
              <w:rPr>
                <w:szCs w:val="16"/>
              </w:rPr>
              <w:t>CEF</w:t>
            </w:r>
            <w:r w:rsidRPr="0049701B">
              <w:rPr>
                <w:szCs w:val="16"/>
                <w:vertAlign w:val="subscript"/>
              </w:rPr>
              <w:t>NE</w:t>
            </w:r>
            <w:r w:rsidRPr="0049701B">
              <w:rPr>
                <w:szCs w:val="16"/>
              </w:rPr>
              <w:t xml:space="preserve"> area (ha)</w:t>
            </w:r>
          </w:p>
        </w:tc>
        <w:tc>
          <w:tcPr>
            <w:tcW w:w="850" w:type="dxa"/>
            <w:tcBorders>
              <w:top w:val="single" w:sz="4" w:space="0" w:color="1B556B"/>
              <w:left w:val="nil"/>
              <w:right w:val="nil"/>
            </w:tcBorders>
            <w:shd w:val="clear" w:color="auto" w:fill="auto"/>
            <w:hideMark/>
          </w:tcPr>
          <w:p w14:paraId="37EFA51D" w14:textId="77777777" w:rsidR="00616641" w:rsidRPr="0049701B" w:rsidRDefault="00616641" w:rsidP="007E3239">
            <w:pPr>
              <w:pStyle w:val="TableText"/>
              <w:keepNext/>
              <w:spacing w:before="40" w:after="40"/>
              <w:jc w:val="center"/>
              <w:rPr>
                <w:szCs w:val="16"/>
              </w:rPr>
            </w:pPr>
            <w:r w:rsidRPr="0049701B">
              <w:rPr>
                <w:szCs w:val="16"/>
              </w:rPr>
              <w:t>NIL</w:t>
            </w:r>
          </w:p>
        </w:tc>
        <w:tc>
          <w:tcPr>
            <w:tcW w:w="709" w:type="dxa"/>
            <w:tcBorders>
              <w:top w:val="single" w:sz="4" w:space="0" w:color="1B556B"/>
              <w:left w:val="nil"/>
              <w:right w:val="nil"/>
            </w:tcBorders>
            <w:shd w:val="clear" w:color="auto" w:fill="auto"/>
            <w:hideMark/>
          </w:tcPr>
          <w:p w14:paraId="7F9E264B" w14:textId="77777777" w:rsidR="00616641" w:rsidRPr="0049701B" w:rsidRDefault="00616641" w:rsidP="007E3239">
            <w:pPr>
              <w:pStyle w:val="TableText"/>
              <w:keepNext/>
              <w:spacing w:before="40" w:after="40"/>
              <w:jc w:val="right"/>
              <w:rPr>
                <w:szCs w:val="16"/>
              </w:rPr>
            </w:pPr>
            <w:r w:rsidRPr="0049701B">
              <w:t xml:space="preserve">– </w:t>
            </w:r>
          </w:p>
        </w:tc>
        <w:tc>
          <w:tcPr>
            <w:tcW w:w="850" w:type="dxa"/>
            <w:tcBorders>
              <w:top w:val="single" w:sz="4" w:space="0" w:color="1B556B"/>
              <w:left w:val="nil"/>
              <w:right w:val="nil"/>
            </w:tcBorders>
            <w:shd w:val="clear" w:color="auto" w:fill="auto"/>
            <w:hideMark/>
          </w:tcPr>
          <w:p w14:paraId="71300680" w14:textId="77777777" w:rsidR="00616641" w:rsidRPr="0049701B" w:rsidRDefault="00616641" w:rsidP="007E3239">
            <w:pPr>
              <w:pStyle w:val="TableText"/>
              <w:keepNext/>
              <w:spacing w:before="40" w:after="40"/>
              <w:jc w:val="right"/>
              <w:rPr>
                <w:szCs w:val="16"/>
              </w:rPr>
            </w:pPr>
            <w:r w:rsidRPr="0049701B">
              <w:t>–</w:t>
            </w:r>
          </w:p>
        </w:tc>
        <w:tc>
          <w:tcPr>
            <w:tcW w:w="851" w:type="dxa"/>
            <w:tcBorders>
              <w:top w:val="single" w:sz="4" w:space="0" w:color="1B556B"/>
              <w:left w:val="nil"/>
            </w:tcBorders>
            <w:shd w:val="clear" w:color="auto" w:fill="auto"/>
            <w:hideMark/>
          </w:tcPr>
          <w:p w14:paraId="5A76550F" w14:textId="77777777" w:rsidR="00616641" w:rsidRPr="0049701B" w:rsidRDefault="00616641" w:rsidP="007E3239">
            <w:pPr>
              <w:pStyle w:val="TableText"/>
              <w:keepNext/>
              <w:spacing w:before="40" w:after="40"/>
              <w:jc w:val="right"/>
              <w:rPr>
                <w:szCs w:val="16"/>
              </w:rPr>
            </w:pPr>
            <w:r w:rsidRPr="0049701B">
              <w:t xml:space="preserve"> 612.3 </w:t>
            </w:r>
          </w:p>
        </w:tc>
        <w:tc>
          <w:tcPr>
            <w:tcW w:w="850" w:type="dxa"/>
            <w:tcBorders>
              <w:top w:val="single" w:sz="4" w:space="0" w:color="1B556B"/>
              <w:left w:val="nil"/>
            </w:tcBorders>
          </w:tcPr>
          <w:p w14:paraId="08AA0455" w14:textId="77777777" w:rsidR="00616641" w:rsidRPr="0049701B" w:rsidRDefault="00616641" w:rsidP="007E3239">
            <w:pPr>
              <w:pStyle w:val="TableText"/>
              <w:keepNext/>
              <w:spacing w:before="40" w:after="40"/>
              <w:jc w:val="right"/>
              <w:rPr>
                <w:szCs w:val="16"/>
              </w:rPr>
            </w:pPr>
            <w:r w:rsidRPr="0049701B">
              <w:t xml:space="preserve"> 1,685.7 </w:t>
            </w:r>
          </w:p>
        </w:tc>
        <w:tc>
          <w:tcPr>
            <w:tcW w:w="704" w:type="dxa"/>
            <w:tcBorders>
              <w:top w:val="single" w:sz="4" w:space="0" w:color="1B556B"/>
              <w:left w:val="nil"/>
            </w:tcBorders>
          </w:tcPr>
          <w:p w14:paraId="7D74E939" w14:textId="77777777" w:rsidR="00616641" w:rsidRPr="0049701B" w:rsidRDefault="00616641" w:rsidP="007E3239">
            <w:pPr>
              <w:pStyle w:val="TableText"/>
              <w:keepNext/>
              <w:spacing w:before="40" w:after="40"/>
              <w:jc w:val="right"/>
              <w:rPr>
                <w:szCs w:val="16"/>
              </w:rPr>
            </w:pPr>
            <w:r w:rsidRPr="0049701B">
              <w:t xml:space="preserve">1,795.0 </w:t>
            </w:r>
          </w:p>
        </w:tc>
        <w:tc>
          <w:tcPr>
            <w:tcW w:w="782" w:type="dxa"/>
            <w:tcBorders>
              <w:top w:val="single" w:sz="4" w:space="0" w:color="1B556B"/>
              <w:left w:val="nil"/>
            </w:tcBorders>
          </w:tcPr>
          <w:p w14:paraId="09242054" w14:textId="77777777" w:rsidR="00616641" w:rsidRPr="0049701B" w:rsidRDefault="00616641" w:rsidP="007E3239">
            <w:pPr>
              <w:pStyle w:val="TableText"/>
              <w:keepNext/>
              <w:spacing w:before="40" w:after="40"/>
              <w:jc w:val="right"/>
              <w:rPr>
                <w:szCs w:val="16"/>
              </w:rPr>
            </w:pPr>
            <w:r w:rsidRPr="0049701B">
              <w:t xml:space="preserve"> 579.7 </w:t>
            </w:r>
          </w:p>
        </w:tc>
        <w:tc>
          <w:tcPr>
            <w:tcW w:w="782" w:type="dxa"/>
            <w:tcBorders>
              <w:top w:val="single" w:sz="4" w:space="0" w:color="1B556B"/>
              <w:left w:val="nil"/>
            </w:tcBorders>
          </w:tcPr>
          <w:p w14:paraId="49F8EA4A" w14:textId="77777777" w:rsidR="00616641" w:rsidRPr="0049701B" w:rsidRDefault="00616641" w:rsidP="007E3239">
            <w:pPr>
              <w:pStyle w:val="TableText"/>
              <w:keepNext/>
              <w:spacing w:before="40" w:after="40"/>
              <w:jc w:val="right"/>
            </w:pPr>
            <w:r w:rsidRPr="0049701B">
              <w:t xml:space="preserve"> 224.5 </w:t>
            </w:r>
          </w:p>
        </w:tc>
      </w:tr>
      <w:tr w:rsidR="00616641" w:rsidRPr="0049701B" w14:paraId="5F4A1775" w14:textId="77777777" w:rsidTr="005C7716">
        <w:tc>
          <w:tcPr>
            <w:tcW w:w="2127" w:type="dxa"/>
            <w:tcBorders>
              <w:top w:val="nil"/>
              <w:left w:val="nil"/>
              <w:bottom w:val="single" w:sz="4" w:space="0" w:color="1B556B"/>
              <w:right w:val="nil"/>
            </w:tcBorders>
            <w:shd w:val="clear" w:color="auto" w:fill="auto"/>
            <w:vAlign w:val="center"/>
            <w:hideMark/>
          </w:tcPr>
          <w:p w14:paraId="72A072DD" w14:textId="77777777" w:rsidR="00616641" w:rsidRPr="0049701B" w:rsidRDefault="00616641" w:rsidP="007E3239">
            <w:pPr>
              <w:pStyle w:val="TableText"/>
              <w:keepNext/>
              <w:spacing w:before="40" w:after="40"/>
              <w:rPr>
                <w:szCs w:val="16"/>
              </w:rPr>
            </w:pPr>
            <w:r w:rsidRPr="0049701B">
              <w:rPr>
                <w:szCs w:val="16"/>
              </w:rPr>
              <w:t>Net emissions (t CO</w:t>
            </w:r>
            <w:r w:rsidRPr="0049701B">
              <w:rPr>
                <w:szCs w:val="16"/>
                <w:vertAlign w:val="subscript"/>
              </w:rPr>
              <w:t>2</w:t>
            </w:r>
            <w:r w:rsidRPr="0049701B">
              <w:rPr>
                <w:szCs w:val="16"/>
              </w:rPr>
              <w:t>)</w:t>
            </w:r>
          </w:p>
        </w:tc>
        <w:tc>
          <w:tcPr>
            <w:tcW w:w="850" w:type="dxa"/>
            <w:tcBorders>
              <w:top w:val="nil"/>
              <w:left w:val="nil"/>
              <w:bottom w:val="single" w:sz="4" w:space="0" w:color="1B556B"/>
              <w:right w:val="nil"/>
            </w:tcBorders>
            <w:shd w:val="clear" w:color="auto" w:fill="auto"/>
            <w:vAlign w:val="center"/>
            <w:hideMark/>
          </w:tcPr>
          <w:p w14:paraId="10637E73" w14:textId="77777777" w:rsidR="00616641" w:rsidRPr="0049701B" w:rsidRDefault="00616641" w:rsidP="007E3239">
            <w:pPr>
              <w:pStyle w:val="TableText"/>
              <w:keepNext/>
              <w:spacing w:before="40" w:after="40"/>
              <w:jc w:val="center"/>
              <w:rPr>
                <w:szCs w:val="16"/>
              </w:rPr>
            </w:pPr>
            <w:r w:rsidRPr="0049701B">
              <w:rPr>
                <w:szCs w:val="16"/>
              </w:rPr>
              <w:t>NA</w:t>
            </w:r>
          </w:p>
        </w:tc>
        <w:tc>
          <w:tcPr>
            <w:tcW w:w="709" w:type="dxa"/>
            <w:tcBorders>
              <w:top w:val="nil"/>
              <w:left w:val="nil"/>
              <w:bottom w:val="single" w:sz="4" w:space="0" w:color="1B556B"/>
              <w:right w:val="nil"/>
            </w:tcBorders>
            <w:shd w:val="clear" w:color="auto" w:fill="auto"/>
            <w:hideMark/>
          </w:tcPr>
          <w:p w14:paraId="53F6C67C" w14:textId="77777777" w:rsidR="00616641" w:rsidRPr="0049701B" w:rsidRDefault="00616641" w:rsidP="007E3239">
            <w:pPr>
              <w:pStyle w:val="TableText"/>
              <w:keepNext/>
              <w:spacing w:before="40" w:after="40"/>
              <w:jc w:val="right"/>
              <w:rPr>
                <w:szCs w:val="16"/>
              </w:rPr>
            </w:pPr>
            <w:r w:rsidRPr="0049701B">
              <w:t>–</w:t>
            </w:r>
          </w:p>
        </w:tc>
        <w:tc>
          <w:tcPr>
            <w:tcW w:w="850" w:type="dxa"/>
            <w:tcBorders>
              <w:top w:val="nil"/>
              <w:left w:val="nil"/>
              <w:bottom w:val="single" w:sz="4" w:space="0" w:color="1B556B"/>
              <w:right w:val="nil"/>
            </w:tcBorders>
            <w:shd w:val="clear" w:color="auto" w:fill="auto"/>
            <w:hideMark/>
          </w:tcPr>
          <w:p w14:paraId="3D29728A" w14:textId="77777777" w:rsidR="00616641" w:rsidRPr="0049701B" w:rsidRDefault="00616641" w:rsidP="007E3239">
            <w:pPr>
              <w:pStyle w:val="TableText"/>
              <w:keepNext/>
              <w:spacing w:before="40" w:after="40"/>
              <w:jc w:val="right"/>
              <w:rPr>
                <w:szCs w:val="16"/>
              </w:rPr>
            </w:pPr>
            <w:r w:rsidRPr="0049701B">
              <w:t>–</w:t>
            </w:r>
          </w:p>
        </w:tc>
        <w:tc>
          <w:tcPr>
            <w:tcW w:w="851" w:type="dxa"/>
            <w:tcBorders>
              <w:top w:val="nil"/>
              <w:left w:val="nil"/>
              <w:bottom w:val="single" w:sz="4" w:space="0" w:color="1B556B"/>
            </w:tcBorders>
            <w:shd w:val="clear" w:color="auto" w:fill="auto"/>
            <w:hideMark/>
          </w:tcPr>
          <w:p w14:paraId="7A1BFCC2" w14:textId="77777777" w:rsidR="00616641" w:rsidRPr="0049701B" w:rsidRDefault="00616641" w:rsidP="007E3239">
            <w:pPr>
              <w:pStyle w:val="TableText"/>
              <w:keepNext/>
              <w:spacing w:before="40" w:after="40"/>
              <w:jc w:val="right"/>
              <w:rPr>
                <w:szCs w:val="16"/>
              </w:rPr>
            </w:pPr>
            <w:r w:rsidRPr="0049701B">
              <w:t xml:space="preserve"> 1.2 </w:t>
            </w:r>
          </w:p>
        </w:tc>
        <w:tc>
          <w:tcPr>
            <w:tcW w:w="850" w:type="dxa"/>
            <w:tcBorders>
              <w:top w:val="nil"/>
              <w:left w:val="nil"/>
              <w:bottom w:val="single" w:sz="4" w:space="0" w:color="1B556B"/>
            </w:tcBorders>
          </w:tcPr>
          <w:p w14:paraId="1EBC9C82" w14:textId="77777777" w:rsidR="00616641" w:rsidRPr="0049701B" w:rsidRDefault="00616641" w:rsidP="007E3239">
            <w:pPr>
              <w:pStyle w:val="TableText"/>
              <w:keepNext/>
              <w:spacing w:before="40" w:after="40"/>
              <w:jc w:val="right"/>
              <w:rPr>
                <w:szCs w:val="16"/>
              </w:rPr>
            </w:pPr>
            <w:r w:rsidRPr="0049701B">
              <w:t xml:space="preserve"> 28.9 </w:t>
            </w:r>
          </w:p>
        </w:tc>
        <w:tc>
          <w:tcPr>
            <w:tcW w:w="704" w:type="dxa"/>
            <w:tcBorders>
              <w:top w:val="nil"/>
              <w:left w:val="nil"/>
              <w:bottom w:val="single" w:sz="4" w:space="0" w:color="1B556B"/>
            </w:tcBorders>
          </w:tcPr>
          <w:p w14:paraId="44CCEEC8" w14:textId="77777777" w:rsidR="00616641" w:rsidRPr="0049701B" w:rsidRDefault="00616641" w:rsidP="007E3239">
            <w:pPr>
              <w:pStyle w:val="TableText"/>
              <w:keepNext/>
              <w:spacing w:before="40" w:after="40"/>
              <w:jc w:val="right"/>
              <w:rPr>
                <w:szCs w:val="16"/>
              </w:rPr>
            </w:pPr>
            <w:r w:rsidRPr="0049701B">
              <w:t xml:space="preserve"> 11.1 </w:t>
            </w:r>
          </w:p>
        </w:tc>
        <w:tc>
          <w:tcPr>
            <w:tcW w:w="782" w:type="dxa"/>
            <w:tcBorders>
              <w:top w:val="nil"/>
              <w:left w:val="nil"/>
              <w:bottom w:val="single" w:sz="4" w:space="0" w:color="1B556B"/>
            </w:tcBorders>
          </w:tcPr>
          <w:p w14:paraId="04F15A68" w14:textId="77777777" w:rsidR="00616641" w:rsidRPr="0049701B" w:rsidRDefault="00616641" w:rsidP="007E3239">
            <w:pPr>
              <w:pStyle w:val="TableText"/>
              <w:keepNext/>
              <w:spacing w:before="40" w:after="40"/>
              <w:jc w:val="right"/>
              <w:rPr>
                <w:szCs w:val="16"/>
              </w:rPr>
            </w:pPr>
            <w:r w:rsidRPr="0049701B">
              <w:t xml:space="preserve"> 4.3 </w:t>
            </w:r>
          </w:p>
        </w:tc>
        <w:tc>
          <w:tcPr>
            <w:tcW w:w="782" w:type="dxa"/>
            <w:tcBorders>
              <w:top w:val="nil"/>
              <w:left w:val="nil"/>
              <w:bottom w:val="single" w:sz="4" w:space="0" w:color="1B556B"/>
            </w:tcBorders>
          </w:tcPr>
          <w:p w14:paraId="3A2602E6" w14:textId="77777777" w:rsidR="00616641" w:rsidRPr="0049701B" w:rsidRDefault="00616641" w:rsidP="007E3239">
            <w:pPr>
              <w:pStyle w:val="TableText"/>
              <w:keepNext/>
              <w:spacing w:before="40" w:after="40"/>
              <w:jc w:val="right"/>
            </w:pPr>
            <w:r w:rsidRPr="0049701B">
              <w:t>–13.5</w:t>
            </w:r>
          </w:p>
        </w:tc>
      </w:tr>
      <w:tr w:rsidR="00616641" w:rsidRPr="0049701B" w14:paraId="3C437B67" w14:textId="77777777" w:rsidTr="005C7716">
        <w:tc>
          <w:tcPr>
            <w:tcW w:w="2127" w:type="dxa"/>
            <w:tcBorders>
              <w:top w:val="single" w:sz="4" w:space="0" w:color="1B556B"/>
              <w:left w:val="nil"/>
              <w:bottom w:val="nil"/>
              <w:right w:val="nil"/>
            </w:tcBorders>
            <w:shd w:val="clear" w:color="auto" w:fill="auto"/>
            <w:vAlign w:val="center"/>
            <w:hideMark/>
          </w:tcPr>
          <w:p w14:paraId="3872BE8B" w14:textId="77777777" w:rsidR="00616641" w:rsidRPr="0049701B" w:rsidRDefault="00616641" w:rsidP="007E3239">
            <w:pPr>
              <w:pStyle w:val="TableText"/>
              <w:spacing w:before="40" w:after="40"/>
              <w:rPr>
                <w:szCs w:val="16"/>
              </w:rPr>
            </w:pPr>
            <w:r w:rsidRPr="0049701B">
              <w:rPr>
                <w:szCs w:val="16"/>
              </w:rPr>
              <w:t>CEF</w:t>
            </w:r>
            <w:r w:rsidRPr="0049701B">
              <w:rPr>
                <w:szCs w:val="16"/>
                <w:vertAlign w:val="subscript"/>
              </w:rPr>
              <w:t xml:space="preserve">HC </w:t>
            </w:r>
            <w:r w:rsidRPr="0049701B">
              <w:rPr>
                <w:szCs w:val="16"/>
              </w:rPr>
              <w:t>area (ha)</w:t>
            </w:r>
          </w:p>
        </w:tc>
        <w:tc>
          <w:tcPr>
            <w:tcW w:w="850" w:type="dxa"/>
            <w:tcBorders>
              <w:top w:val="single" w:sz="4" w:space="0" w:color="1B556B"/>
              <w:left w:val="nil"/>
              <w:bottom w:val="nil"/>
              <w:right w:val="nil"/>
            </w:tcBorders>
            <w:shd w:val="clear" w:color="auto" w:fill="auto"/>
            <w:vAlign w:val="center"/>
            <w:hideMark/>
          </w:tcPr>
          <w:p w14:paraId="2504A893" w14:textId="77777777" w:rsidR="00616641" w:rsidRPr="0049701B" w:rsidRDefault="00616641" w:rsidP="007E3239">
            <w:pPr>
              <w:pStyle w:val="TableText"/>
              <w:spacing w:before="40" w:after="40"/>
              <w:jc w:val="center"/>
              <w:rPr>
                <w:szCs w:val="16"/>
              </w:rPr>
            </w:pPr>
            <w:r w:rsidRPr="0049701B">
              <w:rPr>
                <w:szCs w:val="16"/>
              </w:rPr>
              <w:t>NIL</w:t>
            </w:r>
          </w:p>
        </w:tc>
        <w:tc>
          <w:tcPr>
            <w:tcW w:w="709" w:type="dxa"/>
            <w:tcBorders>
              <w:top w:val="single" w:sz="4" w:space="0" w:color="1B556B"/>
              <w:left w:val="nil"/>
              <w:bottom w:val="nil"/>
              <w:right w:val="nil"/>
            </w:tcBorders>
            <w:shd w:val="clear" w:color="auto" w:fill="auto"/>
            <w:hideMark/>
          </w:tcPr>
          <w:p w14:paraId="3EC3CD38" w14:textId="77777777" w:rsidR="00616641" w:rsidRPr="0049701B" w:rsidRDefault="00616641" w:rsidP="007E3239">
            <w:pPr>
              <w:pStyle w:val="TableText"/>
              <w:spacing w:before="40" w:after="40"/>
              <w:jc w:val="right"/>
              <w:rPr>
                <w:szCs w:val="16"/>
              </w:rPr>
            </w:pPr>
            <w:r w:rsidRPr="0049701B">
              <w:t xml:space="preserve"> 52.0 </w:t>
            </w:r>
          </w:p>
        </w:tc>
        <w:tc>
          <w:tcPr>
            <w:tcW w:w="850" w:type="dxa"/>
            <w:tcBorders>
              <w:top w:val="single" w:sz="4" w:space="0" w:color="1B556B"/>
              <w:left w:val="nil"/>
              <w:bottom w:val="nil"/>
              <w:right w:val="nil"/>
            </w:tcBorders>
            <w:shd w:val="clear" w:color="auto" w:fill="auto"/>
            <w:hideMark/>
          </w:tcPr>
          <w:p w14:paraId="78A4B18F" w14:textId="77777777" w:rsidR="00616641" w:rsidRPr="0049701B" w:rsidRDefault="00616641" w:rsidP="007E3239">
            <w:pPr>
              <w:pStyle w:val="TableText"/>
              <w:spacing w:before="40" w:after="40"/>
              <w:jc w:val="right"/>
              <w:rPr>
                <w:szCs w:val="16"/>
              </w:rPr>
            </w:pPr>
            <w:r w:rsidRPr="0049701B">
              <w:t xml:space="preserve"> 543.4 </w:t>
            </w:r>
          </w:p>
        </w:tc>
        <w:tc>
          <w:tcPr>
            <w:tcW w:w="851" w:type="dxa"/>
            <w:tcBorders>
              <w:top w:val="single" w:sz="4" w:space="0" w:color="1B556B"/>
              <w:left w:val="nil"/>
              <w:bottom w:val="nil"/>
            </w:tcBorders>
            <w:shd w:val="clear" w:color="auto" w:fill="auto"/>
            <w:hideMark/>
          </w:tcPr>
          <w:p w14:paraId="613CC172" w14:textId="77777777" w:rsidR="00616641" w:rsidRPr="0049701B" w:rsidRDefault="00616641" w:rsidP="007E3239">
            <w:pPr>
              <w:pStyle w:val="TableText"/>
              <w:keepNext/>
              <w:spacing w:before="40" w:after="40"/>
              <w:jc w:val="right"/>
              <w:rPr>
                <w:szCs w:val="16"/>
              </w:rPr>
            </w:pPr>
            <w:r w:rsidRPr="0049701B">
              <w:t xml:space="preserve"> 1,475.4 </w:t>
            </w:r>
          </w:p>
        </w:tc>
        <w:tc>
          <w:tcPr>
            <w:tcW w:w="850" w:type="dxa"/>
            <w:tcBorders>
              <w:top w:val="single" w:sz="4" w:space="0" w:color="1B556B"/>
              <w:left w:val="nil"/>
              <w:bottom w:val="nil"/>
            </w:tcBorders>
          </w:tcPr>
          <w:p w14:paraId="72D60E0C" w14:textId="77777777" w:rsidR="00616641" w:rsidRPr="0049701B" w:rsidRDefault="00616641" w:rsidP="007E3239">
            <w:pPr>
              <w:pStyle w:val="TableText"/>
              <w:spacing w:before="40" w:after="40"/>
              <w:jc w:val="right"/>
              <w:rPr>
                <w:szCs w:val="16"/>
              </w:rPr>
            </w:pPr>
            <w:r w:rsidRPr="0049701B">
              <w:t xml:space="preserve"> 1,228.4 </w:t>
            </w:r>
          </w:p>
        </w:tc>
        <w:tc>
          <w:tcPr>
            <w:tcW w:w="704" w:type="dxa"/>
            <w:tcBorders>
              <w:top w:val="single" w:sz="4" w:space="0" w:color="1B556B"/>
              <w:left w:val="nil"/>
              <w:bottom w:val="nil"/>
            </w:tcBorders>
          </w:tcPr>
          <w:p w14:paraId="18E5E82F" w14:textId="77777777" w:rsidR="00616641" w:rsidRPr="0049701B" w:rsidRDefault="00616641" w:rsidP="007E3239">
            <w:pPr>
              <w:pStyle w:val="TableText"/>
              <w:spacing w:before="40" w:after="40"/>
              <w:jc w:val="right"/>
              <w:rPr>
                <w:szCs w:val="16"/>
              </w:rPr>
            </w:pPr>
            <w:r w:rsidRPr="0049701B">
              <w:t xml:space="preserve"> 499.1 </w:t>
            </w:r>
          </w:p>
        </w:tc>
        <w:tc>
          <w:tcPr>
            <w:tcW w:w="782" w:type="dxa"/>
            <w:tcBorders>
              <w:top w:val="single" w:sz="4" w:space="0" w:color="1B556B"/>
              <w:left w:val="nil"/>
              <w:bottom w:val="nil"/>
            </w:tcBorders>
          </w:tcPr>
          <w:p w14:paraId="4709166F" w14:textId="77777777" w:rsidR="00616641" w:rsidRPr="0049701B" w:rsidRDefault="00616641" w:rsidP="007E3239">
            <w:pPr>
              <w:pStyle w:val="TableText"/>
              <w:spacing w:before="40" w:after="40"/>
              <w:jc w:val="right"/>
              <w:rPr>
                <w:szCs w:val="16"/>
              </w:rPr>
            </w:pPr>
            <w:r w:rsidRPr="0049701B">
              <w:t xml:space="preserve"> 100.3 </w:t>
            </w:r>
          </w:p>
        </w:tc>
        <w:tc>
          <w:tcPr>
            <w:tcW w:w="782" w:type="dxa"/>
            <w:tcBorders>
              <w:top w:val="single" w:sz="4" w:space="0" w:color="1B556B"/>
              <w:left w:val="nil"/>
              <w:bottom w:val="nil"/>
            </w:tcBorders>
          </w:tcPr>
          <w:p w14:paraId="42AE857A" w14:textId="77777777" w:rsidR="00616641" w:rsidRPr="0049701B" w:rsidRDefault="00616641" w:rsidP="007E3239">
            <w:pPr>
              <w:pStyle w:val="TableText"/>
              <w:spacing w:before="40" w:after="40"/>
              <w:jc w:val="right"/>
            </w:pPr>
            <w:r w:rsidRPr="0049701B">
              <w:t xml:space="preserve"> 62.8 </w:t>
            </w:r>
          </w:p>
        </w:tc>
      </w:tr>
      <w:tr w:rsidR="00616641" w:rsidRPr="0049701B" w14:paraId="6A71B2F9" w14:textId="77777777" w:rsidTr="007E3239">
        <w:tc>
          <w:tcPr>
            <w:tcW w:w="2127" w:type="dxa"/>
            <w:tcBorders>
              <w:top w:val="nil"/>
              <w:left w:val="nil"/>
              <w:bottom w:val="single" w:sz="4" w:space="0" w:color="1B556B"/>
              <w:right w:val="nil"/>
            </w:tcBorders>
            <w:shd w:val="clear" w:color="auto" w:fill="auto"/>
            <w:vAlign w:val="center"/>
            <w:hideMark/>
          </w:tcPr>
          <w:p w14:paraId="03E1EF58" w14:textId="77777777" w:rsidR="00616641" w:rsidRPr="0049701B" w:rsidRDefault="00616641" w:rsidP="007E3239">
            <w:pPr>
              <w:pStyle w:val="TableText"/>
              <w:spacing w:before="40" w:after="40"/>
              <w:rPr>
                <w:szCs w:val="16"/>
              </w:rPr>
            </w:pPr>
            <w:r w:rsidRPr="0049701B">
              <w:rPr>
                <w:szCs w:val="16"/>
              </w:rPr>
              <w:t>Net emissions (t CO</w:t>
            </w:r>
            <w:r w:rsidRPr="0049701B">
              <w:rPr>
                <w:szCs w:val="16"/>
                <w:vertAlign w:val="subscript"/>
              </w:rPr>
              <w:t>2</w:t>
            </w:r>
            <w:r w:rsidRPr="0049701B">
              <w:rPr>
                <w:szCs w:val="16"/>
              </w:rPr>
              <w:t>)</w:t>
            </w:r>
          </w:p>
        </w:tc>
        <w:tc>
          <w:tcPr>
            <w:tcW w:w="850" w:type="dxa"/>
            <w:tcBorders>
              <w:top w:val="nil"/>
              <w:left w:val="nil"/>
              <w:bottom w:val="single" w:sz="4" w:space="0" w:color="1B556B"/>
              <w:right w:val="nil"/>
            </w:tcBorders>
            <w:shd w:val="clear" w:color="auto" w:fill="auto"/>
            <w:vAlign w:val="center"/>
            <w:hideMark/>
          </w:tcPr>
          <w:p w14:paraId="0DA7BD0B" w14:textId="77777777" w:rsidR="00616641" w:rsidRPr="0049701B" w:rsidRDefault="00616641" w:rsidP="007E3239">
            <w:pPr>
              <w:pStyle w:val="TableText"/>
              <w:spacing w:before="40" w:after="40"/>
              <w:jc w:val="center"/>
              <w:rPr>
                <w:szCs w:val="16"/>
              </w:rPr>
            </w:pPr>
            <w:r w:rsidRPr="0049701B">
              <w:rPr>
                <w:szCs w:val="16"/>
              </w:rPr>
              <w:t>NA</w:t>
            </w:r>
          </w:p>
        </w:tc>
        <w:tc>
          <w:tcPr>
            <w:tcW w:w="709" w:type="dxa"/>
            <w:tcBorders>
              <w:top w:val="nil"/>
              <w:left w:val="nil"/>
              <w:bottom w:val="single" w:sz="4" w:space="0" w:color="1B556B"/>
              <w:right w:val="nil"/>
            </w:tcBorders>
            <w:shd w:val="clear" w:color="auto" w:fill="auto"/>
            <w:hideMark/>
          </w:tcPr>
          <w:p w14:paraId="770BF9B4" w14:textId="77777777" w:rsidR="00616641" w:rsidRPr="0049701B" w:rsidRDefault="00616641" w:rsidP="007E3239">
            <w:pPr>
              <w:pStyle w:val="TableText"/>
              <w:spacing w:before="40" w:after="40"/>
              <w:jc w:val="right"/>
              <w:rPr>
                <w:szCs w:val="16"/>
              </w:rPr>
            </w:pPr>
            <w:r w:rsidRPr="0049701B">
              <w:t xml:space="preserve"> 41.1 </w:t>
            </w:r>
          </w:p>
        </w:tc>
        <w:tc>
          <w:tcPr>
            <w:tcW w:w="850" w:type="dxa"/>
            <w:tcBorders>
              <w:top w:val="nil"/>
              <w:left w:val="nil"/>
              <w:bottom w:val="single" w:sz="4" w:space="0" w:color="1B556B"/>
              <w:right w:val="nil"/>
            </w:tcBorders>
            <w:shd w:val="clear" w:color="auto" w:fill="auto"/>
            <w:hideMark/>
          </w:tcPr>
          <w:p w14:paraId="21775CC3" w14:textId="77777777" w:rsidR="00616641" w:rsidRPr="0049701B" w:rsidRDefault="00616641" w:rsidP="007E3239">
            <w:pPr>
              <w:pStyle w:val="TableText"/>
              <w:spacing w:before="40" w:after="40"/>
              <w:jc w:val="right"/>
              <w:rPr>
                <w:szCs w:val="16"/>
              </w:rPr>
            </w:pPr>
            <w:r w:rsidRPr="0049701B">
              <w:t xml:space="preserve"> 430.6 </w:t>
            </w:r>
          </w:p>
        </w:tc>
        <w:tc>
          <w:tcPr>
            <w:tcW w:w="851" w:type="dxa"/>
            <w:tcBorders>
              <w:top w:val="nil"/>
              <w:left w:val="nil"/>
              <w:bottom w:val="single" w:sz="4" w:space="0" w:color="1B556B"/>
            </w:tcBorders>
            <w:shd w:val="clear" w:color="auto" w:fill="auto"/>
            <w:hideMark/>
          </w:tcPr>
          <w:p w14:paraId="7B2E6DBE" w14:textId="77777777" w:rsidR="00616641" w:rsidRPr="0049701B" w:rsidRDefault="00616641" w:rsidP="007E3239">
            <w:pPr>
              <w:pStyle w:val="TableText"/>
              <w:keepNext/>
              <w:spacing w:before="40" w:after="40"/>
              <w:jc w:val="right"/>
              <w:rPr>
                <w:szCs w:val="16"/>
              </w:rPr>
            </w:pPr>
            <w:r w:rsidRPr="0049701B">
              <w:t xml:space="preserve"> 1,168.5 </w:t>
            </w:r>
          </w:p>
        </w:tc>
        <w:tc>
          <w:tcPr>
            <w:tcW w:w="850" w:type="dxa"/>
            <w:tcBorders>
              <w:top w:val="nil"/>
              <w:left w:val="nil"/>
              <w:bottom w:val="single" w:sz="4" w:space="0" w:color="1B556B"/>
            </w:tcBorders>
          </w:tcPr>
          <w:p w14:paraId="3F35081C" w14:textId="77777777" w:rsidR="00616641" w:rsidRPr="0049701B" w:rsidRDefault="00616641" w:rsidP="007E3239">
            <w:pPr>
              <w:pStyle w:val="TableText"/>
              <w:spacing w:before="40" w:after="40"/>
              <w:jc w:val="right"/>
              <w:rPr>
                <w:szCs w:val="16"/>
              </w:rPr>
            </w:pPr>
            <w:r w:rsidRPr="0049701B">
              <w:t xml:space="preserve"> 1,200.1 </w:t>
            </w:r>
          </w:p>
        </w:tc>
        <w:tc>
          <w:tcPr>
            <w:tcW w:w="704" w:type="dxa"/>
            <w:tcBorders>
              <w:top w:val="nil"/>
              <w:left w:val="nil"/>
              <w:bottom w:val="single" w:sz="4" w:space="0" w:color="1B556B"/>
            </w:tcBorders>
          </w:tcPr>
          <w:p w14:paraId="7084FE33" w14:textId="77777777" w:rsidR="00616641" w:rsidRPr="0049701B" w:rsidRDefault="00616641" w:rsidP="007E3239">
            <w:pPr>
              <w:pStyle w:val="TableText"/>
              <w:spacing w:before="40" w:after="40"/>
              <w:jc w:val="right"/>
              <w:rPr>
                <w:szCs w:val="16"/>
              </w:rPr>
            </w:pPr>
            <w:r w:rsidRPr="0049701B">
              <w:t xml:space="preserve"> 481.7 </w:t>
            </w:r>
          </w:p>
        </w:tc>
        <w:tc>
          <w:tcPr>
            <w:tcW w:w="782" w:type="dxa"/>
            <w:tcBorders>
              <w:top w:val="nil"/>
              <w:left w:val="nil"/>
              <w:bottom w:val="single" w:sz="4" w:space="0" w:color="1B556B"/>
            </w:tcBorders>
          </w:tcPr>
          <w:p w14:paraId="3918D72D" w14:textId="77777777" w:rsidR="00616641" w:rsidRPr="0049701B" w:rsidRDefault="00616641" w:rsidP="007E3239">
            <w:pPr>
              <w:pStyle w:val="TableText"/>
              <w:spacing w:before="40" w:after="40"/>
              <w:jc w:val="right"/>
              <w:rPr>
                <w:szCs w:val="16"/>
              </w:rPr>
            </w:pPr>
            <w:r w:rsidRPr="0049701B">
              <w:t xml:space="preserve"> 89.3 </w:t>
            </w:r>
          </w:p>
        </w:tc>
        <w:tc>
          <w:tcPr>
            <w:tcW w:w="782" w:type="dxa"/>
            <w:tcBorders>
              <w:top w:val="nil"/>
              <w:left w:val="nil"/>
              <w:bottom w:val="single" w:sz="4" w:space="0" w:color="1B556B"/>
            </w:tcBorders>
          </w:tcPr>
          <w:p w14:paraId="09039B83" w14:textId="77777777" w:rsidR="00616641" w:rsidRPr="0049701B" w:rsidRDefault="00616641" w:rsidP="007E3239">
            <w:pPr>
              <w:pStyle w:val="TableText"/>
              <w:spacing w:before="40" w:after="40"/>
              <w:jc w:val="right"/>
            </w:pPr>
            <w:r w:rsidRPr="0049701B">
              <w:t xml:space="preserve"> 52.2 </w:t>
            </w:r>
          </w:p>
        </w:tc>
      </w:tr>
      <w:tr w:rsidR="00616641" w:rsidRPr="0049701B" w14:paraId="6DFDE907" w14:textId="77777777" w:rsidTr="007E3239">
        <w:tc>
          <w:tcPr>
            <w:tcW w:w="2127" w:type="dxa"/>
            <w:tcBorders>
              <w:top w:val="single" w:sz="4" w:space="0" w:color="1B556B"/>
              <w:left w:val="nil"/>
              <w:bottom w:val="single" w:sz="4" w:space="0" w:color="1B556B"/>
              <w:right w:val="nil"/>
            </w:tcBorders>
            <w:shd w:val="clear" w:color="auto" w:fill="auto"/>
            <w:vAlign w:val="center"/>
            <w:hideMark/>
          </w:tcPr>
          <w:p w14:paraId="26EBF81D" w14:textId="77777777" w:rsidR="00616641" w:rsidRPr="0049701B" w:rsidRDefault="00616641" w:rsidP="007E3239">
            <w:pPr>
              <w:pStyle w:val="Tableboldblue"/>
              <w:spacing w:before="40" w:after="40"/>
            </w:pPr>
            <w:r w:rsidRPr="0049701B">
              <w:t>Total (kt CO</w:t>
            </w:r>
            <w:r w:rsidRPr="0049701B">
              <w:rPr>
                <w:vertAlign w:val="subscript"/>
              </w:rPr>
              <w:t>2</w:t>
            </w:r>
            <w:r w:rsidRPr="0049701B">
              <w:t>)</w:t>
            </w:r>
          </w:p>
        </w:tc>
        <w:tc>
          <w:tcPr>
            <w:tcW w:w="850" w:type="dxa"/>
            <w:tcBorders>
              <w:top w:val="single" w:sz="4" w:space="0" w:color="1B556B"/>
              <w:left w:val="nil"/>
              <w:bottom w:val="single" w:sz="4" w:space="0" w:color="1B556B"/>
              <w:right w:val="nil"/>
            </w:tcBorders>
            <w:shd w:val="clear" w:color="auto" w:fill="auto"/>
            <w:vAlign w:val="center"/>
            <w:hideMark/>
          </w:tcPr>
          <w:p w14:paraId="459A3B77" w14:textId="77777777" w:rsidR="00616641" w:rsidRPr="0049701B" w:rsidRDefault="00616641" w:rsidP="007E3239">
            <w:pPr>
              <w:pStyle w:val="Tableboldblue"/>
              <w:spacing w:before="40" w:after="40"/>
              <w:jc w:val="center"/>
            </w:pPr>
            <w:r w:rsidRPr="0049701B">
              <w:t>NA</w:t>
            </w:r>
          </w:p>
        </w:tc>
        <w:tc>
          <w:tcPr>
            <w:tcW w:w="709" w:type="dxa"/>
            <w:tcBorders>
              <w:top w:val="single" w:sz="4" w:space="0" w:color="1B556B"/>
              <w:left w:val="nil"/>
              <w:bottom w:val="single" w:sz="4" w:space="0" w:color="1B556B"/>
              <w:right w:val="nil"/>
            </w:tcBorders>
            <w:shd w:val="clear" w:color="auto" w:fill="auto"/>
            <w:hideMark/>
          </w:tcPr>
          <w:p w14:paraId="48E81048" w14:textId="77777777" w:rsidR="00616641" w:rsidRPr="0049701B" w:rsidRDefault="00616641" w:rsidP="007E3239">
            <w:pPr>
              <w:pStyle w:val="Tableboldblue"/>
              <w:spacing w:before="40" w:after="40"/>
              <w:jc w:val="right"/>
              <w:rPr>
                <w:lang w:eastAsia="en-NZ"/>
              </w:rPr>
            </w:pPr>
            <w:r w:rsidRPr="0049701B">
              <w:t xml:space="preserve"> 41.1 </w:t>
            </w:r>
          </w:p>
        </w:tc>
        <w:tc>
          <w:tcPr>
            <w:tcW w:w="850" w:type="dxa"/>
            <w:tcBorders>
              <w:top w:val="single" w:sz="4" w:space="0" w:color="1B556B"/>
              <w:left w:val="nil"/>
              <w:bottom w:val="single" w:sz="4" w:space="0" w:color="1B556B"/>
              <w:right w:val="nil"/>
            </w:tcBorders>
            <w:shd w:val="clear" w:color="auto" w:fill="auto"/>
            <w:hideMark/>
          </w:tcPr>
          <w:p w14:paraId="09C58203" w14:textId="77777777" w:rsidR="00616641" w:rsidRPr="0049701B" w:rsidRDefault="00616641" w:rsidP="007E3239">
            <w:pPr>
              <w:pStyle w:val="Tableboldblue"/>
              <w:spacing w:before="40" w:after="40"/>
              <w:jc w:val="right"/>
              <w:rPr>
                <w:lang w:eastAsia="en-NZ"/>
              </w:rPr>
            </w:pPr>
            <w:r w:rsidRPr="0049701B">
              <w:t xml:space="preserve"> 430.6 </w:t>
            </w:r>
          </w:p>
        </w:tc>
        <w:tc>
          <w:tcPr>
            <w:tcW w:w="851" w:type="dxa"/>
            <w:tcBorders>
              <w:top w:val="single" w:sz="4" w:space="0" w:color="1B556B"/>
              <w:left w:val="nil"/>
              <w:bottom w:val="single" w:sz="4" w:space="0" w:color="1B556B"/>
            </w:tcBorders>
            <w:shd w:val="clear" w:color="auto" w:fill="auto"/>
            <w:hideMark/>
          </w:tcPr>
          <w:p w14:paraId="7919571F" w14:textId="77777777" w:rsidR="00616641" w:rsidRPr="0049701B" w:rsidRDefault="00616641" w:rsidP="007E3239">
            <w:pPr>
              <w:pStyle w:val="Tableboldblue"/>
              <w:spacing w:before="40" w:after="40"/>
              <w:jc w:val="right"/>
              <w:rPr>
                <w:lang w:eastAsia="en-NZ"/>
              </w:rPr>
            </w:pPr>
            <w:r w:rsidRPr="0049701B">
              <w:t xml:space="preserve"> 1,169.7 </w:t>
            </w:r>
          </w:p>
        </w:tc>
        <w:tc>
          <w:tcPr>
            <w:tcW w:w="850" w:type="dxa"/>
            <w:tcBorders>
              <w:top w:val="single" w:sz="4" w:space="0" w:color="1B556B"/>
              <w:left w:val="nil"/>
              <w:bottom w:val="single" w:sz="4" w:space="0" w:color="1B556B"/>
            </w:tcBorders>
          </w:tcPr>
          <w:p w14:paraId="5C303CA4" w14:textId="77777777" w:rsidR="00616641" w:rsidRPr="0049701B" w:rsidRDefault="00616641" w:rsidP="007E3239">
            <w:pPr>
              <w:pStyle w:val="Tableboldblue"/>
              <w:spacing w:before="40" w:after="40"/>
              <w:jc w:val="right"/>
              <w:rPr>
                <w:lang w:eastAsia="en-NZ"/>
              </w:rPr>
            </w:pPr>
            <w:r w:rsidRPr="0049701B">
              <w:t xml:space="preserve"> 1,229.0 </w:t>
            </w:r>
          </w:p>
        </w:tc>
        <w:tc>
          <w:tcPr>
            <w:tcW w:w="704" w:type="dxa"/>
            <w:tcBorders>
              <w:top w:val="single" w:sz="4" w:space="0" w:color="1B556B"/>
              <w:left w:val="nil"/>
              <w:bottom w:val="single" w:sz="4" w:space="0" w:color="1B556B"/>
            </w:tcBorders>
          </w:tcPr>
          <w:p w14:paraId="41934D80" w14:textId="77777777" w:rsidR="00616641" w:rsidRPr="0049701B" w:rsidRDefault="00616641" w:rsidP="007E3239">
            <w:pPr>
              <w:pStyle w:val="Tableboldblue"/>
              <w:spacing w:before="40" w:after="40"/>
              <w:jc w:val="right"/>
              <w:rPr>
                <w:lang w:eastAsia="en-NZ"/>
              </w:rPr>
            </w:pPr>
            <w:r w:rsidRPr="0049701B">
              <w:t xml:space="preserve"> 492.8 </w:t>
            </w:r>
          </w:p>
        </w:tc>
        <w:tc>
          <w:tcPr>
            <w:tcW w:w="782" w:type="dxa"/>
            <w:tcBorders>
              <w:top w:val="single" w:sz="4" w:space="0" w:color="1B556B"/>
              <w:left w:val="nil"/>
              <w:bottom w:val="single" w:sz="4" w:space="0" w:color="1B556B"/>
            </w:tcBorders>
          </w:tcPr>
          <w:p w14:paraId="4B10ECE2" w14:textId="77777777" w:rsidR="00616641" w:rsidRPr="0049701B" w:rsidRDefault="00616641" w:rsidP="007E3239">
            <w:pPr>
              <w:pStyle w:val="Tableboldblue"/>
              <w:spacing w:before="40" w:after="40"/>
              <w:jc w:val="right"/>
            </w:pPr>
            <w:r w:rsidRPr="0049701B">
              <w:t xml:space="preserve"> 93.6 </w:t>
            </w:r>
          </w:p>
        </w:tc>
        <w:tc>
          <w:tcPr>
            <w:tcW w:w="782" w:type="dxa"/>
            <w:tcBorders>
              <w:top w:val="single" w:sz="4" w:space="0" w:color="1B556B"/>
              <w:left w:val="nil"/>
              <w:bottom w:val="single" w:sz="4" w:space="0" w:color="1B556B"/>
            </w:tcBorders>
          </w:tcPr>
          <w:p w14:paraId="635C7B95" w14:textId="77777777" w:rsidR="00616641" w:rsidRPr="0049701B" w:rsidRDefault="00616641" w:rsidP="007E3239">
            <w:pPr>
              <w:pStyle w:val="Tableboldblue"/>
              <w:spacing w:before="40" w:after="40"/>
              <w:jc w:val="right"/>
            </w:pPr>
            <w:r w:rsidRPr="0049701B">
              <w:t xml:space="preserve"> 38.8 </w:t>
            </w:r>
          </w:p>
        </w:tc>
      </w:tr>
    </w:tbl>
    <w:p w14:paraId="40E1B2F2" w14:textId="77777777" w:rsidR="00616641" w:rsidRPr="0049701B" w:rsidRDefault="00616641" w:rsidP="00616641">
      <w:pPr>
        <w:pStyle w:val="Noteundertable"/>
        <w:rPr>
          <w:rFonts w:cs="Arial"/>
          <w:color w:val="000000"/>
          <w:szCs w:val="18"/>
        </w:rPr>
      </w:pPr>
      <w:r w:rsidRPr="0049701B">
        <w:rPr>
          <w:b/>
        </w:rPr>
        <w:t>Note</w:t>
      </w:r>
      <w:r w:rsidRPr="0049701B">
        <w:t xml:space="preserve">: </w:t>
      </w:r>
      <w:r w:rsidRPr="0049701B">
        <w:tab/>
      </w:r>
      <w:r w:rsidRPr="0049701B">
        <w:rPr>
          <w:rFonts w:cs="Arial"/>
          <w:color w:val="000000"/>
          <w:szCs w:val="18"/>
        </w:rPr>
        <w:t>CEF</w:t>
      </w:r>
      <w:r w:rsidRPr="0049701B">
        <w:rPr>
          <w:rFonts w:cs="Arial"/>
          <w:color w:val="000000"/>
          <w:szCs w:val="18"/>
          <w:vertAlign w:val="subscript"/>
        </w:rPr>
        <w:t>HC</w:t>
      </w:r>
      <w:r w:rsidRPr="0049701B">
        <w:rPr>
          <w:rFonts w:cs="Arial"/>
          <w:color w:val="000000"/>
          <w:szCs w:val="18"/>
        </w:rPr>
        <w:t xml:space="preserve"> refers to the existing forest land that is harvested and converted to non-forest land; CEF</w:t>
      </w:r>
      <w:r w:rsidRPr="0049701B">
        <w:rPr>
          <w:rFonts w:cs="Arial"/>
          <w:color w:val="000000"/>
          <w:szCs w:val="18"/>
          <w:vertAlign w:val="subscript"/>
        </w:rPr>
        <w:t>NE</w:t>
      </w:r>
      <w:r w:rsidRPr="0049701B">
        <w:rPr>
          <w:szCs w:val="18"/>
        </w:rPr>
        <w:t xml:space="preserve"> </w:t>
      </w:r>
      <w:r w:rsidRPr="0049701B">
        <w:rPr>
          <w:rFonts w:cs="Arial"/>
          <w:color w:val="000000"/>
          <w:szCs w:val="18"/>
        </w:rPr>
        <w:t>refers to the non-forest land on which a forest is newly established. NA = not available. Columns may not total due to rounding. Disaggregated data on the application of the provision are provided in annex 5, section A5.3.</w:t>
      </w:r>
    </w:p>
    <w:p w14:paraId="2D9ABC11" w14:textId="77777777" w:rsidR="00616641" w:rsidRPr="0049701B" w:rsidRDefault="00616641" w:rsidP="00616641">
      <w:pPr>
        <w:pStyle w:val="BodyText"/>
        <w:spacing w:after="100"/>
      </w:pPr>
      <w:r w:rsidRPr="0049701B">
        <w:t xml:space="preserve">The carbon equivalent forest provision is administered domestically by the New Zealand Ministry for Primary Industries as part of the NZ ETS. The domestic carbon equivalent forest rules are broadly aligned with those in the Kyoto Protocol Supplement (IPCC, 2014a). Misalignments between the domestic and international rule sets include: </w:t>
      </w:r>
    </w:p>
    <w:p w14:paraId="242D9CF6" w14:textId="77777777" w:rsidR="00616641" w:rsidRPr="0049701B" w:rsidRDefault="00616641" w:rsidP="00616641">
      <w:pPr>
        <w:pStyle w:val="Bullet"/>
        <w:spacing w:after="100"/>
      </w:pPr>
      <w:r w:rsidRPr="0049701B">
        <w:t xml:space="preserve">domestically, the carbon equivalent forest can be established before the forest land is converted to another land use, and </w:t>
      </w:r>
    </w:p>
    <w:p w14:paraId="04EB5978" w14:textId="77777777" w:rsidR="00616641" w:rsidRPr="0049701B" w:rsidRDefault="00616641" w:rsidP="00616641">
      <w:pPr>
        <w:pStyle w:val="Bullet"/>
        <w:numPr>
          <w:ilvl w:val="0"/>
          <w:numId w:val="18"/>
        </w:numPr>
        <w:spacing w:after="100"/>
      </w:pPr>
      <w:r w:rsidRPr="0049701B">
        <w:t xml:space="preserve">the newly established carbon equivalent forest can be established on land that was forested on 31 December 1989. </w:t>
      </w:r>
    </w:p>
    <w:p w14:paraId="53D40ABD" w14:textId="77777777" w:rsidR="00616641" w:rsidRPr="0049701B" w:rsidRDefault="00616641" w:rsidP="00616641">
      <w:pPr>
        <w:pStyle w:val="BodyText"/>
        <w:spacing w:after="100"/>
      </w:pPr>
      <w:r w:rsidRPr="0049701B">
        <w:t>Where these misalignments are detected, these activities are instead reported as separate afforestation and deforestation events.</w:t>
      </w:r>
    </w:p>
    <w:p w14:paraId="08ACCCB4" w14:textId="77777777" w:rsidR="00616641" w:rsidRPr="0049701B" w:rsidRDefault="00616641" w:rsidP="00616641">
      <w:pPr>
        <w:pStyle w:val="BodyText"/>
        <w:spacing w:after="100"/>
      </w:pPr>
      <w:r w:rsidRPr="0049701B">
        <w:t xml:space="preserve">Emissions from the conversion of forest land under the carbon equivalent forest provision are calculated as a deforestation event. In calculating these emissions, all carbon dioxide stored in biomass is instantly emitted at the time of conversion and soil organic carbon changes due to land-use change are accounted for. The emissions from the establishment of the new forest under the provision are calculated as an afforestation event and include biomass loss and soil organic carbon changes resulting from this land-use change. Net emissions from the activities are reported under </w:t>
      </w:r>
      <w:r w:rsidRPr="0049701B">
        <w:rPr>
          <w:i/>
        </w:rPr>
        <w:t>Forest management</w:t>
      </w:r>
      <w:r w:rsidRPr="0049701B">
        <w:t xml:space="preserve"> and monitored over time to ensure carbon equivalence.</w:t>
      </w:r>
    </w:p>
    <w:p w14:paraId="6835D946" w14:textId="77777777" w:rsidR="00616641" w:rsidRPr="0049701B" w:rsidRDefault="00616641" w:rsidP="00616641">
      <w:pPr>
        <w:pStyle w:val="BodyText"/>
        <w:spacing w:after="100"/>
      </w:pPr>
      <w:r w:rsidRPr="0049701B">
        <w:t xml:space="preserve">The carbon equivalent forest provision creates a misalignment for the afforestation and deforestation area reported under Decision 2/CMP.7 and the 2013 supplementary Kyoto Protocol guidelines and reporting under the 2006 Intergovernmental Panel on Climate Change (IPCC) Guidelines. The carbon equivalent forest provision is not recognised under the UNFCCC and instead is reported as </w:t>
      </w:r>
      <w:r w:rsidRPr="0049701B">
        <w:rPr>
          <w:i/>
        </w:rPr>
        <w:t>Land converted to forest land</w:t>
      </w:r>
      <w:r w:rsidRPr="0049701B">
        <w:t xml:space="preserve"> (afforestation) and </w:t>
      </w:r>
      <w:r w:rsidRPr="0049701B">
        <w:rPr>
          <w:i/>
        </w:rPr>
        <w:t>Forest land converted to other land uses</w:t>
      </w:r>
      <w:r w:rsidRPr="0049701B">
        <w:t xml:space="preserve"> (deforestation). </w:t>
      </w:r>
    </w:p>
    <w:p w14:paraId="74DD41FF" w14:textId="77777777" w:rsidR="00616641" w:rsidRPr="0049701B" w:rsidRDefault="00616641" w:rsidP="00616641">
      <w:pPr>
        <w:pStyle w:val="Heading3"/>
      </w:pPr>
      <w:r w:rsidRPr="0049701B">
        <w:t>11.3.5</w:t>
      </w:r>
      <w:r w:rsidRPr="0049701B">
        <w:tab/>
        <w:t>Voluntary activities under Article 3.4</w:t>
      </w:r>
    </w:p>
    <w:p w14:paraId="6739BF3B" w14:textId="77777777" w:rsidR="00616641" w:rsidRPr="0049701B" w:rsidRDefault="00616641" w:rsidP="00616641">
      <w:pPr>
        <w:pStyle w:val="BodyText"/>
      </w:pPr>
      <w:r w:rsidRPr="0049701B">
        <w:t>New Zealand has not elected to report on any voluntary activities under Article 3.4 of the Kyoto Protocol.</w:t>
      </w:r>
    </w:p>
    <w:p w14:paraId="2D6A3458" w14:textId="77777777" w:rsidR="00616641" w:rsidRPr="0049701B" w:rsidRDefault="00616641" w:rsidP="00616641">
      <w:pPr>
        <w:pStyle w:val="Heading3"/>
      </w:pPr>
      <w:r w:rsidRPr="0049701B">
        <w:lastRenderedPageBreak/>
        <w:t>11.3.6</w:t>
      </w:r>
      <w:r w:rsidRPr="0049701B">
        <w:tab/>
        <w:t>Harvested wood products (CRF 4(KP-I)C)</w:t>
      </w:r>
    </w:p>
    <w:p w14:paraId="5E66DBC0" w14:textId="77777777" w:rsidR="00616641" w:rsidRPr="0049701B" w:rsidRDefault="00616641" w:rsidP="00616641">
      <w:pPr>
        <w:pStyle w:val="BodyText"/>
      </w:pPr>
      <w:r w:rsidRPr="0049701B">
        <w:t xml:space="preserve">The </w:t>
      </w:r>
      <w:r w:rsidRPr="0049701B">
        <w:rPr>
          <w:i/>
        </w:rPr>
        <w:t>Harvested wood products</w:t>
      </w:r>
      <w:r w:rsidRPr="0049701B">
        <w:t xml:space="preserve"> category comprises all wood material that leaves a harvest site and is subsequently processed. This wood constitutes a carbon reservoir (section 12.1, IPCC, 2006a). </w:t>
      </w:r>
    </w:p>
    <w:p w14:paraId="2B092F0A" w14:textId="77777777" w:rsidR="00616641" w:rsidRPr="0049701B" w:rsidRDefault="00616641" w:rsidP="00616641">
      <w:pPr>
        <w:pStyle w:val="BodyText"/>
      </w:pPr>
      <w:r w:rsidRPr="0049701B">
        <w:t xml:space="preserve">New Zealand is required to report changes in the harvested wood products pool under the Kyoto Protocol from 2013. For </w:t>
      </w:r>
      <w:r w:rsidRPr="0049701B">
        <w:rPr>
          <w:i/>
        </w:rPr>
        <w:t>Afforestation and reforestation</w:t>
      </w:r>
      <w:r w:rsidRPr="0049701B">
        <w:t xml:space="preserve"> and </w:t>
      </w:r>
      <w:r w:rsidRPr="0049701B">
        <w:rPr>
          <w:i/>
        </w:rPr>
        <w:t>Forest management</w:t>
      </w:r>
      <w:r w:rsidRPr="0049701B">
        <w:t xml:space="preserve">, estimates are derived from a modified IPCC Convention reporting model. The emissions from </w:t>
      </w:r>
      <w:r w:rsidRPr="0049701B">
        <w:rPr>
          <w:i/>
        </w:rPr>
        <w:t>Harvested wood products</w:t>
      </w:r>
      <w:r w:rsidRPr="0049701B">
        <w:t xml:space="preserve"> originating from </w:t>
      </w:r>
      <w:r w:rsidRPr="0049701B">
        <w:rPr>
          <w:i/>
        </w:rPr>
        <w:t>Deforestation</w:t>
      </w:r>
      <w:r w:rsidRPr="0049701B">
        <w:t xml:space="preserve"> activities are instantly oxidised. </w:t>
      </w:r>
    </w:p>
    <w:p w14:paraId="1A5E67C1" w14:textId="77777777" w:rsidR="00616641" w:rsidRPr="0049701B" w:rsidRDefault="00616641" w:rsidP="00616641">
      <w:pPr>
        <w:pStyle w:val="BodyText"/>
      </w:pPr>
      <w:r w:rsidRPr="0049701B">
        <w:rPr>
          <w:i/>
        </w:rPr>
        <w:t>Harvested wood product</w:t>
      </w:r>
      <w:r w:rsidRPr="0049701B">
        <w:t xml:space="preserve"> emissions for 2020 </w:t>
      </w:r>
      <w:r w:rsidRPr="0049701B">
        <w:rPr>
          <w:i/>
        </w:rPr>
        <w:t>Afforestation and reforestation</w:t>
      </w:r>
      <w:r w:rsidRPr="0049701B">
        <w:t xml:space="preserve"> were </w:t>
      </w:r>
      <w:r w:rsidRPr="0049701B">
        <w:br/>
        <w:t>–4,005.4 kt CO</w:t>
      </w:r>
      <w:r w:rsidRPr="0049701B">
        <w:rPr>
          <w:vertAlign w:val="subscript"/>
        </w:rPr>
        <w:t>2</w:t>
      </w:r>
      <w:r w:rsidRPr="0049701B">
        <w:t xml:space="preserve">-e, and for </w:t>
      </w:r>
      <w:r w:rsidRPr="0049701B">
        <w:rPr>
          <w:i/>
        </w:rPr>
        <w:t>Forest management</w:t>
      </w:r>
      <w:r w:rsidRPr="0049701B">
        <w:t xml:space="preserve"> they were –7,118.4 kt CO</w:t>
      </w:r>
      <w:r w:rsidRPr="0049701B">
        <w:rPr>
          <w:vertAlign w:val="subscript"/>
        </w:rPr>
        <w:t>2</w:t>
      </w:r>
      <w:r w:rsidRPr="0049701B">
        <w:t>-e.</w:t>
      </w:r>
    </w:p>
    <w:p w14:paraId="32BF17C7" w14:textId="77777777" w:rsidR="00616641" w:rsidRPr="0049701B" w:rsidRDefault="00616641" w:rsidP="00616641">
      <w:pPr>
        <w:pStyle w:val="BodyText"/>
      </w:pPr>
      <w:r w:rsidRPr="0049701B">
        <w:t>New Zealand has a large planted forest estate that provides most of the wood products consumed domestically. The remainder of domestic production is exported in either product or raw material form. A more detailed description of the forest estate and New Zealand wood use is provided in chapter 6, section 6.9.</w:t>
      </w:r>
    </w:p>
    <w:p w14:paraId="67FFFDC4" w14:textId="77777777" w:rsidR="00616641" w:rsidRPr="0049701B" w:rsidRDefault="00616641" w:rsidP="00616641">
      <w:pPr>
        <w:pStyle w:val="BodyText"/>
        <w:rPr>
          <w:spacing w:val="-2"/>
        </w:rPr>
      </w:pPr>
      <w:r w:rsidRPr="0049701B">
        <w:rPr>
          <w:spacing w:val="-2"/>
        </w:rPr>
        <w:t xml:space="preserve">New Zealand has developed a Tier 2 method to report </w:t>
      </w:r>
      <w:r w:rsidRPr="0049701B">
        <w:rPr>
          <w:i/>
          <w:spacing w:val="-2"/>
        </w:rPr>
        <w:t>Harvested wood products</w:t>
      </w:r>
      <w:r w:rsidRPr="0049701B">
        <w:rPr>
          <w:spacing w:val="-2"/>
        </w:rPr>
        <w:t xml:space="preserve"> under the Kyoto Protocol. New Zealand uses the default Tier 2 methodology, as described in the IPCC guidance (IPCC, 2014a), and some country-specific activity data and parameters where available. IPCC default half-lives and some conversion factors are used. Country-specific conversion factors are used for domestically produced sawnwood and veneer sheets (see chapter 6, table 6.9.1).</w:t>
      </w:r>
    </w:p>
    <w:p w14:paraId="62B72530" w14:textId="77777777" w:rsidR="00616641" w:rsidRPr="0049701B" w:rsidRDefault="00616641" w:rsidP="00616641">
      <w:pPr>
        <w:pStyle w:val="BodyText"/>
      </w:pPr>
      <w:r w:rsidRPr="0049701B">
        <w:t xml:space="preserve">Activity data on roundwood production volume and roundwood export volume are sourced from the Ministry of Primary Industries (Ministry for Primary Industries, 2021). Data on wood product production and export are sourced from the Food and Agriculture Organization statistical database (FAOSTAT) that is provided to the Food and Agriculture Organization by the Ministry for Primary Industries. </w:t>
      </w:r>
    </w:p>
    <w:p w14:paraId="271A8C3D" w14:textId="77777777" w:rsidR="00616641" w:rsidRPr="0049701B" w:rsidRDefault="00616641" w:rsidP="00616641">
      <w:pPr>
        <w:pStyle w:val="BodyText"/>
      </w:pPr>
      <w:r w:rsidRPr="0049701B">
        <w:t xml:space="preserve">The basic data are the same as those used for IPCC Convention reporting, except the time series begins in 1990 for </w:t>
      </w:r>
      <w:r w:rsidRPr="0049701B">
        <w:rPr>
          <w:i/>
        </w:rPr>
        <w:t>Afforestation and reforestation</w:t>
      </w:r>
      <w:r w:rsidRPr="0049701B">
        <w:t xml:space="preserve"> and 2013 for </w:t>
      </w:r>
      <w:r w:rsidRPr="0049701B">
        <w:rPr>
          <w:i/>
        </w:rPr>
        <w:t>Forest management</w:t>
      </w:r>
      <w:r w:rsidRPr="0049701B">
        <w:t xml:space="preserve">. Note that New Zealand did not account for the </w:t>
      </w:r>
      <w:r w:rsidRPr="0049701B">
        <w:rPr>
          <w:i/>
          <w:iCs/>
        </w:rPr>
        <w:t>Harvested wood products</w:t>
      </w:r>
      <w:r w:rsidRPr="0049701B">
        <w:t xml:space="preserve"> pool in the first commitment period. Also, the </w:t>
      </w:r>
      <w:r w:rsidRPr="0049701B">
        <w:rPr>
          <w:i/>
        </w:rPr>
        <w:t>Solid wood</w:t>
      </w:r>
      <w:r w:rsidRPr="0049701B">
        <w:t xml:space="preserve"> category used for IPCC Convention reporting is disaggregated into </w:t>
      </w:r>
      <w:r w:rsidRPr="0049701B">
        <w:rPr>
          <w:i/>
        </w:rPr>
        <w:t>Sawnwood</w:t>
      </w:r>
      <w:r w:rsidRPr="0049701B">
        <w:t xml:space="preserve"> and </w:t>
      </w:r>
      <w:r w:rsidRPr="0049701B">
        <w:rPr>
          <w:i/>
        </w:rPr>
        <w:t>Wood-based</w:t>
      </w:r>
      <w:r w:rsidRPr="0049701B">
        <w:t xml:space="preserve"> </w:t>
      </w:r>
      <w:r w:rsidRPr="0049701B">
        <w:rPr>
          <w:i/>
        </w:rPr>
        <w:t>panels</w:t>
      </w:r>
      <w:r w:rsidRPr="0049701B">
        <w:t xml:space="preserve"> for Kyoto Protocol reporting. </w:t>
      </w:r>
    </w:p>
    <w:p w14:paraId="4082C5EB" w14:textId="77777777" w:rsidR="00616641" w:rsidRPr="0049701B" w:rsidRDefault="00616641" w:rsidP="00616641">
      <w:pPr>
        <w:pStyle w:val="BodyText"/>
      </w:pPr>
      <w:r w:rsidRPr="0049701B">
        <w:t>Furthermore, in accordance with volume 4, chapter 12, page 12.6 of the 2006 IPCC Guidelines, New Zealand treats CO</w:t>
      </w:r>
      <w:r w:rsidRPr="0049701B">
        <w:rPr>
          <w:vertAlign w:val="subscript"/>
        </w:rPr>
        <w:t>2</w:t>
      </w:r>
      <w:r w:rsidRPr="0049701B">
        <w:t xml:space="preserve"> released from wood burnt for energy as an instant emission. Carbon dioxide emissions from </w:t>
      </w:r>
      <w:r w:rsidRPr="0049701B">
        <w:rPr>
          <w:i/>
          <w:iCs/>
        </w:rPr>
        <w:t>Harvested wood products</w:t>
      </w:r>
      <w:r w:rsidRPr="0049701B">
        <w:t xml:space="preserve"> in solid waste disposal sites are also treated as an instant emission. These emissions are accounted for under the </w:t>
      </w:r>
      <w:r w:rsidRPr="0049701B">
        <w:rPr>
          <w:i/>
          <w:iCs/>
        </w:rPr>
        <w:t>Harvested wood products</w:t>
      </w:r>
      <w:r w:rsidRPr="0049701B">
        <w:t xml:space="preserve"> </w:t>
      </w:r>
      <w:r w:rsidRPr="0049701B">
        <w:rPr>
          <w:spacing w:val="-2"/>
        </w:rPr>
        <w:t>category and not in the waste sector and this is described in more detail in Wakelin et al., 2020.</w:t>
      </w:r>
    </w:p>
    <w:p w14:paraId="73EFA654" w14:textId="77777777" w:rsidR="00616641" w:rsidRPr="0049701B" w:rsidRDefault="00616641" w:rsidP="00616641">
      <w:pPr>
        <w:pStyle w:val="BodyText"/>
      </w:pPr>
      <w:r w:rsidRPr="0049701B">
        <w:t xml:space="preserve">In 2020, a large proportion (nearly 61 per cent) of New Zealand’s harvest was exported as raw materials in the form of logs or wood chips (Ministry for Primary Industries, 2020a). The FAOSTAT database provides data on the export quantity of raw materials but provides no information on the conversion of these materials to products and their expected half-lives. A project was completed in 2016 to provide information on harvested wood products from exported logs in New Zealand’s three main export markets (China, India and South Korea). The study found that most New Zealand wood is converted into construction and packaging materials. Therefore, weighted half-lives were found to be significantly lower than the IPCC default half-lives for sawnwood and panels (35 years and 25 years respectively). These findings are included in New Zealand’s </w:t>
      </w:r>
      <w:r w:rsidRPr="0049701B">
        <w:rPr>
          <w:i/>
        </w:rPr>
        <w:t>Harvested wood products</w:t>
      </w:r>
      <w:r w:rsidRPr="0049701B">
        <w:t xml:space="preserve"> estimates and provide an </w:t>
      </w:r>
      <w:r w:rsidRPr="0049701B">
        <w:lastRenderedPageBreak/>
        <w:t xml:space="preserve">improvement on the previous assumption of instant emission for exported raw materials. More information on this is provided in chapter 6, section 6.9.2, and annex 3, section A3.2.6. </w:t>
      </w:r>
    </w:p>
    <w:p w14:paraId="4BCCDC2D" w14:textId="77777777" w:rsidR="00616641" w:rsidRPr="0049701B" w:rsidRDefault="00616641" w:rsidP="00616641">
      <w:pPr>
        <w:pStyle w:val="BodyText"/>
      </w:pPr>
      <w:r w:rsidRPr="0049701B">
        <w:t xml:space="preserve">Emissions from the harvest of </w:t>
      </w:r>
      <w:r w:rsidRPr="0049701B">
        <w:rPr>
          <w:i/>
        </w:rPr>
        <w:t>Afforestation and reforestation</w:t>
      </w:r>
      <w:r w:rsidRPr="0049701B">
        <w:t xml:space="preserve"> land are reported from 1990 onwards. These lands will provide a growing contribution to </w:t>
      </w:r>
      <w:r w:rsidRPr="0049701B">
        <w:rPr>
          <w:i/>
        </w:rPr>
        <w:t>Harvested wood products</w:t>
      </w:r>
      <w:r w:rsidRPr="0049701B">
        <w:t xml:space="preserve"> as post</w:t>
      </w:r>
      <w:r w:rsidRPr="0049701B">
        <w:noBreakHyphen/>
        <w:t xml:space="preserve">1989 planted forest reaches harvest age. Harvested wood products originating from </w:t>
      </w:r>
      <w:r w:rsidRPr="0049701B">
        <w:rPr>
          <w:i/>
        </w:rPr>
        <w:t>Afforestation and reforestation</w:t>
      </w:r>
      <w:r w:rsidRPr="0049701B">
        <w:t xml:space="preserve"> land each year are estimated by prorating the above-ground biomass carbon losses from the harvest of these lands to the total above-ground biomass carbon losses from all harvesting and deforestation.</w:t>
      </w:r>
    </w:p>
    <w:p w14:paraId="0D278756" w14:textId="77777777" w:rsidR="00616641" w:rsidRPr="0049701B" w:rsidRDefault="00616641" w:rsidP="00616641">
      <w:pPr>
        <w:pStyle w:val="BodyText"/>
      </w:pPr>
      <w:r w:rsidRPr="0049701B">
        <w:t xml:space="preserve">Harvesting is the primary driver of emissions from </w:t>
      </w:r>
      <w:r w:rsidRPr="0049701B">
        <w:rPr>
          <w:i/>
        </w:rPr>
        <w:t xml:space="preserve">Forest management </w:t>
      </w:r>
      <w:r w:rsidRPr="0049701B">
        <w:t>land, specifically pre</w:t>
      </w:r>
      <w:r w:rsidRPr="0049701B">
        <w:noBreakHyphen/>
        <w:t xml:space="preserve">1990 planted forest, for which emissions from harvested wood products are accounted for from 2013 onwards. Harvested wood products originating from </w:t>
      </w:r>
      <w:r w:rsidRPr="0049701B">
        <w:rPr>
          <w:i/>
        </w:rPr>
        <w:t>Forest management</w:t>
      </w:r>
      <w:r w:rsidRPr="0049701B">
        <w:t xml:space="preserve"> land each year are estimated by prorating the above-ground biomass carbon losses from the harvest of these lands to the total above-ground biomass carbon losses from all harvesting and deforestation. Accounting of harvested wood products on these lands is against New Zealand’s projected FMRL and, therefore, emissions from the decay of harvested wood products created before 2013 are excluded.</w:t>
      </w:r>
    </w:p>
    <w:p w14:paraId="407FB1AE" w14:textId="77777777" w:rsidR="00616641" w:rsidRPr="0049701B" w:rsidRDefault="00616641" w:rsidP="00616641">
      <w:pPr>
        <w:pStyle w:val="BodyText"/>
      </w:pPr>
      <w:r w:rsidRPr="0049701B">
        <w:t xml:space="preserve">Harvested wood products originating from </w:t>
      </w:r>
      <w:r w:rsidRPr="0049701B">
        <w:rPr>
          <w:i/>
          <w:spacing w:val="-2"/>
        </w:rPr>
        <w:t>Deforestation</w:t>
      </w:r>
      <w:r w:rsidRPr="0049701B">
        <w:t xml:space="preserve"> are instantly emitted, as required under the Kyoto Protocol; however, the production statistics do not identify products that were derived originally from the wood that was harvested as part of the deforestation activity. The share of roundwood volume originating from </w:t>
      </w:r>
      <w:r w:rsidRPr="0049701B">
        <w:rPr>
          <w:i/>
          <w:spacing w:val="-2"/>
        </w:rPr>
        <w:t>Deforestation</w:t>
      </w:r>
      <w:r w:rsidRPr="0049701B">
        <w:t xml:space="preserve"> is estimated by comparing the above-ground biomass carbon losses from </w:t>
      </w:r>
      <w:r w:rsidRPr="0049701B">
        <w:rPr>
          <w:i/>
          <w:spacing w:val="-2"/>
        </w:rPr>
        <w:t>Deforestation</w:t>
      </w:r>
      <w:r w:rsidRPr="0049701B">
        <w:t xml:space="preserve"> with the above-ground biomass carbon losses from harvesting. This provides a proportion to apply to the production statistics to separate harvested wood products originating from </w:t>
      </w:r>
      <w:r w:rsidRPr="0049701B">
        <w:rPr>
          <w:i/>
          <w:spacing w:val="-2"/>
        </w:rPr>
        <w:t>Deforestation</w:t>
      </w:r>
      <w:r w:rsidRPr="0049701B">
        <w:t>.</w:t>
      </w:r>
    </w:p>
    <w:p w14:paraId="7DD025F7" w14:textId="77777777" w:rsidR="00616641" w:rsidRPr="0049701B" w:rsidRDefault="00616641" w:rsidP="00616641">
      <w:pPr>
        <w:pStyle w:val="BodyText"/>
      </w:pPr>
      <w:r w:rsidRPr="0049701B">
        <w:t>Non-forest harvest is treated as an instant emission. Harvest from these lands is assumed to be used for fuel wood. Therefore, the harvested wood products contribution from non-forest lands is assumed to be zero.</w:t>
      </w:r>
    </w:p>
    <w:p w14:paraId="354D790E" w14:textId="77777777" w:rsidR="00616641" w:rsidRPr="0049701B" w:rsidRDefault="00616641" w:rsidP="00616641">
      <w:pPr>
        <w:pStyle w:val="Heading3"/>
        <w:spacing w:before="280"/>
      </w:pPr>
      <w:r w:rsidRPr="0049701B">
        <w:t>11.3.7</w:t>
      </w:r>
      <w:r w:rsidRPr="0049701B">
        <w:tab/>
        <w:t>Other greenhouse gas sources</w:t>
      </w:r>
    </w:p>
    <w:p w14:paraId="7829DF88" w14:textId="77777777" w:rsidR="00616641" w:rsidRPr="0049701B" w:rsidRDefault="00616641" w:rsidP="00616641">
      <w:pPr>
        <w:pStyle w:val="Heading4"/>
        <w:spacing w:before="160"/>
      </w:pPr>
      <w:r w:rsidRPr="0049701B">
        <w:t>Direct nitrous oxide emissions from nitrogen fertilisation (CRF 4(KP-II)1)</w:t>
      </w:r>
    </w:p>
    <w:p w14:paraId="79714F40" w14:textId="77777777" w:rsidR="00616641" w:rsidRPr="0049701B" w:rsidRDefault="00616641" w:rsidP="00616641">
      <w:pPr>
        <w:pStyle w:val="BodyText"/>
      </w:pPr>
      <w:r w:rsidRPr="0049701B">
        <w:rPr>
          <w:rStyle w:val="BodyTextChar"/>
        </w:rPr>
        <w:t>New Zealand’s activity data</w:t>
      </w:r>
      <w:r w:rsidRPr="0049701B">
        <w:t xml:space="preserve"> on nitrogen fertilisation are not currently disaggregated by land use; therefore, all N</w:t>
      </w:r>
      <w:r w:rsidRPr="0049701B">
        <w:rPr>
          <w:vertAlign w:val="subscript"/>
        </w:rPr>
        <w:t>2</w:t>
      </w:r>
      <w:r w:rsidRPr="0049701B">
        <w:t xml:space="preserve">O emissions from nitrogen fertilisation are reported under the Agriculture sector in the category </w:t>
      </w:r>
      <w:r w:rsidRPr="0049701B">
        <w:rPr>
          <w:i/>
        </w:rPr>
        <w:t>Direct N</w:t>
      </w:r>
      <w:r w:rsidRPr="0049701B">
        <w:rPr>
          <w:i/>
          <w:vertAlign w:val="subscript"/>
        </w:rPr>
        <w:t>2</w:t>
      </w:r>
      <w:r w:rsidRPr="0049701B">
        <w:rPr>
          <w:i/>
        </w:rPr>
        <w:t>O emissions from managed soils</w:t>
      </w:r>
      <w:r w:rsidRPr="0049701B">
        <w:t xml:space="preserve"> (CRF 3.D). The notation key IE (included elsewhere) is reported in the CRF tables for the KP-LULUCF sector (section 2.4.4.2, IPCC, 2014a).</w:t>
      </w:r>
    </w:p>
    <w:p w14:paraId="0AFA4B5B" w14:textId="77777777" w:rsidR="00616641" w:rsidRPr="0049701B" w:rsidRDefault="00616641" w:rsidP="00616641">
      <w:pPr>
        <w:pStyle w:val="Heading4"/>
        <w:spacing w:before="200"/>
      </w:pPr>
      <w:r w:rsidRPr="0049701B">
        <w:t>Methane and nitrous oxide emissions from drained and rewetted organic soils (CRF 4(KP-II)2)</w:t>
      </w:r>
    </w:p>
    <w:p w14:paraId="3F299456" w14:textId="77777777" w:rsidR="00616641" w:rsidRPr="0049701B" w:rsidRDefault="00616641" w:rsidP="00616641">
      <w:pPr>
        <w:pStyle w:val="BodyText"/>
        <w:rPr>
          <w:iCs/>
        </w:rPr>
      </w:pPr>
      <w:r w:rsidRPr="0049701B">
        <w:t>New Zealand reports on N</w:t>
      </w:r>
      <w:r w:rsidRPr="0049701B">
        <w:rPr>
          <w:vertAlign w:val="subscript"/>
        </w:rPr>
        <w:t>2</w:t>
      </w:r>
      <w:r w:rsidRPr="0049701B">
        <w:t xml:space="preserve">O emissions, as a result of oxidation of organic matter, from the drainage of organic soils for </w:t>
      </w:r>
      <w:r w:rsidRPr="0049701B">
        <w:rPr>
          <w:i/>
        </w:rPr>
        <w:t>Afforestation and reforestation</w:t>
      </w:r>
      <w:r w:rsidRPr="0049701B">
        <w:t xml:space="preserve">, </w:t>
      </w:r>
      <w:r w:rsidRPr="0049701B">
        <w:rPr>
          <w:i/>
        </w:rPr>
        <w:t>Deforestation</w:t>
      </w:r>
      <w:r w:rsidRPr="0049701B">
        <w:t xml:space="preserve"> and </w:t>
      </w:r>
      <w:r w:rsidRPr="0049701B">
        <w:rPr>
          <w:i/>
        </w:rPr>
        <w:t xml:space="preserve">Forest management. </w:t>
      </w:r>
      <w:r w:rsidRPr="0049701B">
        <w:rPr>
          <w:iCs/>
        </w:rPr>
        <w:t>Emissions are estimated following the</w:t>
      </w:r>
      <w:r w:rsidRPr="0049701B">
        <w:rPr>
          <w:i/>
        </w:rPr>
        <w:t xml:space="preserve"> </w:t>
      </w:r>
      <w:r w:rsidRPr="0049701B">
        <w:t xml:space="preserve">methodology </w:t>
      </w:r>
      <w:r w:rsidRPr="0049701B">
        <w:rPr>
          <w:iCs/>
        </w:rPr>
        <w:t>outlined in the IPCC Guidelines (IPCC, 2006a) and described in chapter 6, section 6.10.2. Total emissions for these three activities are 0.5 kt N</w:t>
      </w:r>
      <w:r w:rsidRPr="0049701B">
        <w:rPr>
          <w:iCs/>
          <w:vertAlign w:val="subscript"/>
        </w:rPr>
        <w:t>2</w:t>
      </w:r>
      <w:r w:rsidRPr="0049701B">
        <w:rPr>
          <w:iCs/>
        </w:rPr>
        <w:t>O. The emissions occurring under each activity are reported in table 11.3.7.</w:t>
      </w:r>
    </w:p>
    <w:p w14:paraId="392C7C83" w14:textId="77777777" w:rsidR="00616641" w:rsidRPr="0049701B" w:rsidRDefault="00616641" w:rsidP="00616641">
      <w:pPr>
        <w:pStyle w:val="Table"/>
      </w:pPr>
      <w:bookmarkStart w:id="2855" w:name="_Toc95321543"/>
      <w:bookmarkStart w:id="2856" w:name="_Toc99659395"/>
      <w:r w:rsidRPr="0049701B">
        <w:lastRenderedPageBreak/>
        <w:t>Table 11.3.7</w:t>
      </w:r>
      <w:r w:rsidRPr="0049701B">
        <w:tab/>
        <w:t>Nitrous oxide emissions from the drainage of organic soils in 2020 by activity</w:t>
      </w:r>
      <w:bookmarkEnd w:id="2855"/>
      <w:bookmarkEnd w:id="2856"/>
      <w:r w:rsidRPr="0049701B">
        <w:t xml:space="preserve"> </w:t>
      </w:r>
    </w:p>
    <w:tbl>
      <w:tblPr>
        <w:tblW w:w="8500" w:type="dxa"/>
        <w:tblInd w:w="113"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2943"/>
        <w:gridCol w:w="2835"/>
        <w:gridCol w:w="2722"/>
      </w:tblGrid>
      <w:tr w:rsidR="00616641" w:rsidRPr="0049701B" w14:paraId="4665D255" w14:textId="77777777" w:rsidTr="007E3239">
        <w:tc>
          <w:tcPr>
            <w:tcW w:w="2943" w:type="dxa"/>
            <w:shd w:val="clear" w:color="000000" w:fill="1B556B"/>
            <w:noWrap/>
            <w:vAlign w:val="center"/>
            <w:hideMark/>
          </w:tcPr>
          <w:p w14:paraId="7AB17C30" w14:textId="77777777" w:rsidR="00616641" w:rsidRPr="0049701B" w:rsidRDefault="00616641" w:rsidP="007E3239">
            <w:pPr>
              <w:pStyle w:val="TableTextBold"/>
              <w:keepNext/>
              <w:rPr>
                <w:noProof w:val="0"/>
                <w:color w:val="FFFFFF"/>
              </w:rPr>
            </w:pPr>
            <w:r w:rsidRPr="0049701B">
              <w:rPr>
                <w:noProof w:val="0"/>
                <w:color w:val="FFFFFF"/>
              </w:rPr>
              <w:t>Activity</w:t>
            </w:r>
          </w:p>
        </w:tc>
        <w:tc>
          <w:tcPr>
            <w:tcW w:w="2835" w:type="dxa"/>
            <w:shd w:val="clear" w:color="000000" w:fill="1B556B"/>
            <w:noWrap/>
            <w:vAlign w:val="center"/>
            <w:hideMark/>
          </w:tcPr>
          <w:p w14:paraId="05F62C09" w14:textId="77777777" w:rsidR="00616641" w:rsidRPr="0049701B" w:rsidRDefault="00616641" w:rsidP="007E3239">
            <w:pPr>
              <w:pStyle w:val="TableTextBold"/>
              <w:keepNext/>
              <w:jc w:val="center"/>
              <w:rPr>
                <w:noProof w:val="0"/>
                <w:color w:val="FFFFFF"/>
              </w:rPr>
            </w:pPr>
            <w:r w:rsidRPr="0049701B">
              <w:rPr>
                <w:noProof w:val="0"/>
                <w:color w:val="FFFFFF"/>
              </w:rPr>
              <w:t>Emissions (kt N</w:t>
            </w:r>
            <w:r w:rsidRPr="0049701B">
              <w:rPr>
                <w:noProof w:val="0"/>
                <w:color w:val="FFFFFF"/>
                <w:vertAlign w:val="subscript"/>
              </w:rPr>
              <w:t>2</w:t>
            </w:r>
            <w:r w:rsidRPr="0049701B">
              <w:rPr>
                <w:noProof w:val="0"/>
                <w:color w:val="FFFFFF"/>
              </w:rPr>
              <w:t>O)</w:t>
            </w:r>
          </w:p>
        </w:tc>
        <w:tc>
          <w:tcPr>
            <w:tcW w:w="2722" w:type="dxa"/>
            <w:shd w:val="clear" w:color="000000" w:fill="1B556B"/>
            <w:noWrap/>
            <w:vAlign w:val="center"/>
            <w:hideMark/>
          </w:tcPr>
          <w:p w14:paraId="50040CA4" w14:textId="77777777" w:rsidR="00616641" w:rsidRPr="0049701B" w:rsidRDefault="00616641" w:rsidP="007E3239">
            <w:pPr>
              <w:pStyle w:val="TableTextBold"/>
              <w:keepNext/>
              <w:jc w:val="center"/>
              <w:rPr>
                <w:noProof w:val="0"/>
                <w:color w:val="FFFFFF"/>
              </w:rPr>
            </w:pPr>
            <w:r w:rsidRPr="0049701B">
              <w:rPr>
                <w:noProof w:val="0"/>
                <w:color w:val="FFFFFF"/>
              </w:rPr>
              <w:t>Emissions (kt CO</w:t>
            </w:r>
            <w:r w:rsidRPr="0049701B">
              <w:rPr>
                <w:noProof w:val="0"/>
                <w:color w:val="FFFFFF"/>
                <w:vertAlign w:val="subscript"/>
              </w:rPr>
              <w:t>2</w:t>
            </w:r>
            <w:r w:rsidRPr="0049701B">
              <w:rPr>
                <w:noProof w:val="0"/>
                <w:color w:val="FFFFFF"/>
              </w:rPr>
              <w:t>-e)</w:t>
            </w:r>
          </w:p>
        </w:tc>
      </w:tr>
      <w:tr w:rsidR="00616641" w:rsidRPr="0049701B" w14:paraId="0D1BE8F8" w14:textId="77777777" w:rsidTr="007E3239">
        <w:tc>
          <w:tcPr>
            <w:tcW w:w="2943" w:type="dxa"/>
            <w:shd w:val="clear" w:color="auto" w:fill="auto"/>
            <w:noWrap/>
            <w:vAlign w:val="center"/>
            <w:hideMark/>
          </w:tcPr>
          <w:p w14:paraId="4B42F027" w14:textId="77777777" w:rsidR="00616641" w:rsidRPr="0049701B" w:rsidRDefault="00616641" w:rsidP="007E3239">
            <w:pPr>
              <w:pStyle w:val="TableText"/>
              <w:keepNext/>
            </w:pPr>
            <w:r w:rsidRPr="0049701B">
              <w:t xml:space="preserve">Afforestation and reforestation </w:t>
            </w:r>
          </w:p>
        </w:tc>
        <w:tc>
          <w:tcPr>
            <w:tcW w:w="2835" w:type="dxa"/>
            <w:shd w:val="clear" w:color="auto" w:fill="auto"/>
            <w:noWrap/>
            <w:hideMark/>
          </w:tcPr>
          <w:p w14:paraId="6203E9DF" w14:textId="77777777" w:rsidR="00616641" w:rsidRPr="0049701B" w:rsidRDefault="00616641" w:rsidP="007E3239">
            <w:pPr>
              <w:pStyle w:val="TableText"/>
              <w:keepNext/>
              <w:jc w:val="center"/>
            </w:pPr>
            <w:r w:rsidRPr="0049701B">
              <w:t>0.2</w:t>
            </w:r>
          </w:p>
        </w:tc>
        <w:tc>
          <w:tcPr>
            <w:tcW w:w="2722" w:type="dxa"/>
            <w:shd w:val="clear" w:color="auto" w:fill="auto"/>
            <w:noWrap/>
            <w:vAlign w:val="center"/>
            <w:hideMark/>
          </w:tcPr>
          <w:p w14:paraId="4B300AD2" w14:textId="77777777" w:rsidR="00616641" w:rsidRPr="0049701B" w:rsidRDefault="00616641" w:rsidP="007E3239">
            <w:pPr>
              <w:pStyle w:val="TableText"/>
              <w:keepNext/>
              <w:jc w:val="center"/>
            </w:pPr>
            <w:r w:rsidRPr="0049701B">
              <w:t>60.9</w:t>
            </w:r>
          </w:p>
        </w:tc>
      </w:tr>
      <w:tr w:rsidR="00616641" w:rsidRPr="0049701B" w14:paraId="6462A1A9" w14:textId="77777777" w:rsidTr="007E3239">
        <w:tc>
          <w:tcPr>
            <w:tcW w:w="2943" w:type="dxa"/>
            <w:shd w:val="clear" w:color="auto" w:fill="auto"/>
            <w:noWrap/>
            <w:vAlign w:val="center"/>
            <w:hideMark/>
          </w:tcPr>
          <w:p w14:paraId="02C51AEF" w14:textId="77777777" w:rsidR="00616641" w:rsidRPr="0049701B" w:rsidRDefault="00616641" w:rsidP="007E3239">
            <w:pPr>
              <w:pStyle w:val="TableText"/>
            </w:pPr>
            <w:r w:rsidRPr="0049701B">
              <w:t xml:space="preserve">Deforestation </w:t>
            </w:r>
          </w:p>
        </w:tc>
        <w:tc>
          <w:tcPr>
            <w:tcW w:w="2835" w:type="dxa"/>
            <w:shd w:val="clear" w:color="auto" w:fill="auto"/>
            <w:noWrap/>
            <w:hideMark/>
          </w:tcPr>
          <w:p w14:paraId="5EA6F613" w14:textId="77777777" w:rsidR="00616641" w:rsidRPr="0049701B" w:rsidRDefault="00616641" w:rsidP="007E3239">
            <w:pPr>
              <w:pStyle w:val="TableText"/>
              <w:jc w:val="center"/>
            </w:pPr>
            <w:r w:rsidRPr="0049701B">
              <w:t>0.1</w:t>
            </w:r>
          </w:p>
        </w:tc>
        <w:tc>
          <w:tcPr>
            <w:tcW w:w="2722" w:type="dxa"/>
            <w:shd w:val="clear" w:color="auto" w:fill="auto"/>
            <w:noWrap/>
            <w:vAlign w:val="center"/>
            <w:hideMark/>
          </w:tcPr>
          <w:p w14:paraId="463B1A09" w14:textId="77777777" w:rsidR="00616641" w:rsidRPr="0049701B" w:rsidRDefault="00616641" w:rsidP="007E3239">
            <w:pPr>
              <w:pStyle w:val="TableText"/>
              <w:jc w:val="center"/>
            </w:pPr>
            <w:r w:rsidRPr="0049701B">
              <w:t>27.2</w:t>
            </w:r>
          </w:p>
        </w:tc>
      </w:tr>
      <w:tr w:rsidR="00616641" w:rsidRPr="0049701B" w14:paraId="65E4AB95" w14:textId="77777777" w:rsidTr="007E3239">
        <w:tc>
          <w:tcPr>
            <w:tcW w:w="2943" w:type="dxa"/>
            <w:shd w:val="clear" w:color="auto" w:fill="auto"/>
            <w:noWrap/>
            <w:vAlign w:val="center"/>
            <w:hideMark/>
          </w:tcPr>
          <w:p w14:paraId="36E0BACB" w14:textId="77777777" w:rsidR="00616641" w:rsidRPr="0049701B" w:rsidRDefault="00616641" w:rsidP="007E3239">
            <w:pPr>
              <w:pStyle w:val="TableText"/>
            </w:pPr>
            <w:r w:rsidRPr="0049701B">
              <w:t xml:space="preserve">Forest management </w:t>
            </w:r>
          </w:p>
        </w:tc>
        <w:tc>
          <w:tcPr>
            <w:tcW w:w="2835" w:type="dxa"/>
            <w:shd w:val="clear" w:color="auto" w:fill="auto"/>
            <w:noWrap/>
            <w:hideMark/>
          </w:tcPr>
          <w:p w14:paraId="666AD4E3" w14:textId="77777777" w:rsidR="00616641" w:rsidRPr="0049701B" w:rsidRDefault="00616641" w:rsidP="007E3239">
            <w:pPr>
              <w:pStyle w:val="TableText"/>
              <w:jc w:val="center"/>
            </w:pPr>
            <w:r w:rsidRPr="0049701B">
              <w:t>0.2</w:t>
            </w:r>
          </w:p>
        </w:tc>
        <w:tc>
          <w:tcPr>
            <w:tcW w:w="2722" w:type="dxa"/>
            <w:shd w:val="clear" w:color="auto" w:fill="auto"/>
            <w:noWrap/>
            <w:vAlign w:val="center"/>
            <w:hideMark/>
          </w:tcPr>
          <w:p w14:paraId="2B75EBD2" w14:textId="77777777" w:rsidR="00616641" w:rsidRPr="0049701B" w:rsidRDefault="00616641" w:rsidP="007E3239">
            <w:pPr>
              <w:pStyle w:val="TableText"/>
              <w:jc w:val="center"/>
            </w:pPr>
            <w:r w:rsidRPr="0049701B">
              <w:t>62.9</w:t>
            </w:r>
          </w:p>
        </w:tc>
      </w:tr>
      <w:tr w:rsidR="00616641" w:rsidRPr="0049701B" w14:paraId="356EF056" w14:textId="77777777" w:rsidTr="007E3239">
        <w:tc>
          <w:tcPr>
            <w:tcW w:w="2943" w:type="dxa"/>
            <w:shd w:val="clear" w:color="auto" w:fill="auto"/>
            <w:noWrap/>
            <w:vAlign w:val="center"/>
            <w:hideMark/>
          </w:tcPr>
          <w:p w14:paraId="10975A3C" w14:textId="77777777" w:rsidR="00616641" w:rsidRPr="0049701B" w:rsidRDefault="00616641" w:rsidP="007E3239">
            <w:pPr>
              <w:pStyle w:val="Tableboldblue"/>
            </w:pPr>
            <w:r w:rsidRPr="0049701B">
              <w:t>Total</w:t>
            </w:r>
          </w:p>
        </w:tc>
        <w:tc>
          <w:tcPr>
            <w:tcW w:w="2835" w:type="dxa"/>
            <w:shd w:val="clear" w:color="auto" w:fill="auto"/>
            <w:noWrap/>
            <w:hideMark/>
          </w:tcPr>
          <w:p w14:paraId="196D60E1" w14:textId="77777777" w:rsidR="00616641" w:rsidRPr="0049701B" w:rsidRDefault="00616641" w:rsidP="007E3239">
            <w:pPr>
              <w:pStyle w:val="Tableboldblue"/>
              <w:jc w:val="center"/>
            </w:pPr>
            <w:r w:rsidRPr="0049701B">
              <w:t>0.5</w:t>
            </w:r>
          </w:p>
        </w:tc>
        <w:tc>
          <w:tcPr>
            <w:tcW w:w="2722" w:type="dxa"/>
            <w:shd w:val="clear" w:color="auto" w:fill="auto"/>
            <w:noWrap/>
            <w:vAlign w:val="center"/>
            <w:hideMark/>
          </w:tcPr>
          <w:p w14:paraId="142A4A3E" w14:textId="77777777" w:rsidR="00616641" w:rsidRPr="0049701B" w:rsidRDefault="00616641" w:rsidP="007E3239">
            <w:pPr>
              <w:pStyle w:val="Tableboldblue"/>
              <w:jc w:val="center"/>
            </w:pPr>
            <w:r w:rsidRPr="0049701B">
              <w:t>150.9</w:t>
            </w:r>
          </w:p>
        </w:tc>
      </w:tr>
    </w:tbl>
    <w:p w14:paraId="7C06D57A" w14:textId="77777777" w:rsidR="00616641" w:rsidRPr="0049701B" w:rsidRDefault="00616641" w:rsidP="00616641">
      <w:pPr>
        <w:pStyle w:val="Noteundertable"/>
        <w:rPr>
          <w:rFonts w:cs="Arial"/>
          <w:color w:val="000000"/>
          <w:szCs w:val="18"/>
        </w:rPr>
      </w:pPr>
      <w:r w:rsidRPr="0049701B">
        <w:rPr>
          <w:b/>
        </w:rPr>
        <w:t>Note</w:t>
      </w:r>
      <w:r w:rsidRPr="0049701B">
        <w:t xml:space="preserve">: </w:t>
      </w:r>
      <w:r w:rsidRPr="0049701B">
        <w:tab/>
      </w:r>
      <w:r w:rsidRPr="0049701B">
        <w:rPr>
          <w:rFonts w:cs="Arial"/>
          <w:color w:val="000000"/>
          <w:szCs w:val="18"/>
        </w:rPr>
        <w:t xml:space="preserve">Columns may not total due to rounding. </w:t>
      </w:r>
    </w:p>
    <w:p w14:paraId="2D38990A" w14:textId="77777777" w:rsidR="00616641" w:rsidRPr="0049701B" w:rsidRDefault="00616641" w:rsidP="00616641">
      <w:pPr>
        <w:pStyle w:val="Heading4"/>
        <w:spacing w:before="200"/>
      </w:pPr>
      <w:r w:rsidRPr="0049701B">
        <w:t>Nitrous oxide emissions from nitrogen mineralisation and immobilisation associated with land use conversions and management in mineral soils (CRF 4(KP-II)3)</w:t>
      </w:r>
    </w:p>
    <w:p w14:paraId="6F53E7E0" w14:textId="77777777" w:rsidR="00616641" w:rsidRPr="0049701B" w:rsidRDefault="00616641" w:rsidP="00616641">
      <w:pPr>
        <w:pStyle w:val="BodyText"/>
        <w:spacing w:before="60" w:after="100"/>
        <w:rPr>
          <w:iCs/>
        </w:rPr>
      </w:pPr>
      <w:r w:rsidRPr="0049701B">
        <w:t xml:space="preserve">Nitrous oxide emissions, resulting from nitrogen mineralisation and immobilisation associated with land conversion, are reported for </w:t>
      </w:r>
      <w:r w:rsidRPr="0049701B">
        <w:rPr>
          <w:i/>
        </w:rPr>
        <w:t>Afforestation and reforestation</w:t>
      </w:r>
      <w:r w:rsidRPr="0049701B">
        <w:t xml:space="preserve">, </w:t>
      </w:r>
      <w:r w:rsidRPr="0049701B">
        <w:rPr>
          <w:i/>
        </w:rPr>
        <w:t>Deforestation</w:t>
      </w:r>
      <w:r w:rsidRPr="0049701B">
        <w:t xml:space="preserve"> and </w:t>
      </w:r>
      <w:r w:rsidRPr="0049701B">
        <w:rPr>
          <w:i/>
        </w:rPr>
        <w:t>Forest management</w:t>
      </w:r>
      <w:r w:rsidRPr="0049701B">
        <w:t>. These are calculated following the IPCC Guidelines (IPCC, 2006a). Total emissions for these three activities are 0.2 kt N</w:t>
      </w:r>
      <w:r w:rsidRPr="0049701B">
        <w:rPr>
          <w:vertAlign w:val="subscript"/>
        </w:rPr>
        <w:t>2</w:t>
      </w:r>
      <w:r w:rsidRPr="0049701B">
        <w:t xml:space="preserve">O. </w:t>
      </w:r>
      <w:r w:rsidRPr="0049701B">
        <w:rPr>
          <w:iCs/>
        </w:rPr>
        <w:t>The emissions occurring under each activity are reported in table 11.3.8.</w:t>
      </w:r>
    </w:p>
    <w:p w14:paraId="00F37504" w14:textId="77777777" w:rsidR="00616641" w:rsidRPr="0049701B" w:rsidRDefault="00616641" w:rsidP="00616641">
      <w:pPr>
        <w:pStyle w:val="Table"/>
      </w:pPr>
      <w:bookmarkStart w:id="2857" w:name="_Toc95321544"/>
      <w:bookmarkStart w:id="2858" w:name="_Toc99659396"/>
      <w:r w:rsidRPr="0049701B">
        <w:t>Table 11.3.8</w:t>
      </w:r>
      <w:r w:rsidRPr="0049701B">
        <w:tab/>
        <w:t>Nitrous oxide emissions from nitrogen mineralisation and immobilisation soils in 2020 by activity</w:t>
      </w:r>
      <w:bookmarkEnd w:id="2857"/>
      <w:bookmarkEnd w:id="2858"/>
      <w:r w:rsidRPr="0049701B">
        <w:t xml:space="preserve"> </w:t>
      </w:r>
    </w:p>
    <w:tbl>
      <w:tblPr>
        <w:tblW w:w="8505" w:type="dxa"/>
        <w:tblInd w:w="113" w:type="dxa"/>
        <w:tblBorders>
          <w:top w:val="single" w:sz="4" w:space="0" w:color="1B556B"/>
          <w:bottom w:val="single" w:sz="4" w:space="0" w:color="1B556B"/>
          <w:insideH w:val="single" w:sz="4" w:space="0" w:color="1B556B"/>
          <w:insideV w:val="single" w:sz="4" w:space="0" w:color="1B556B"/>
        </w:tblBorders>
        <w:tblLook w:val="04A0" w:firstRow="1" w:lastRow="0" w:firstColumn="1" w:lastColumn="0" w:noHBand="0" w:noVBand="1"/>
      </w:tblPr>
      <w:tblGrid>
        <w:gridCol w:w="2871"/>
        <w:gridCol w:w="2817"/>
        <w:gridCol w:w="2817"/>
      </w:tblGrid>
      <w:tr w:rsidR="00616641" w:rsidRPr="0049701B" w14:paraId="059973D1" w14:textId="77777777" w:rsidTr="007E3239">
        <w:tc>
          <w:tcPr>
            <w:tcW w:w="2830" w:type="dxa"/>
            <w:shd w:val="clear" w:color="000000" w:fill="1B556B"/>
            <w:noWrap/>
            <w:vAlign w:val="center"/>
            <w:hideMark/>
          </w:tcPr>
          <w:p w14:paraId="16DCB8A7" w14:textId="77777777" w:rsidR="00616641" w:rsidRPr="0049701B" w:rsidRDefault="00616641" w:rsidP="007E3239">
            <w:pPr>
              <w:pStyle w:val="TableTextBold"/>
              <w:rPr>
                <w:noProof w:val="0"/>
                <w:color w:val="FFFFFF"/>
              </w:rPr>
            </w:pPr>
            <w:r w:rsidRPr="0049701B">
              <w:rPr>
                <w:noProof w:val="0"/>
                <w:color w:val="FFFFFF"/>
              </w:rPr>
              <w:t>Activity</w:t>
            </w:r>
          </w:p>
        </w:tc>
        <w:tc>
          <w:tcPr>
            <w:tcW w:w="2778" w:type="dxa"/>
            <w:shd w:val="clear" w:color="000000" w:fill="1B556B"/>
            <w:noWrap/>
            <w:vAlign w:val="center"/>
            <w:hideMark/>
          </w:tcPr>
          <w:p w14:paraId="2CA499DD" w14:textId="77777777" w:rsidR="00616641" w:rsidRPr="0049701B" w:rsidRDefault="00616641" w:rsidP="007E3239">
            <w:pPr>
              <w:pStyle w:val="TableTextBold"/>
              <w:jc w:val="center"/>
              <w:rPr>
                <w:noProof w:val="0"/>
                <w:color w:val="FFFFFF"/>
              </w:rPr>
            </w:pPr>
            <w:r w:rsidRPr="0049701B">
              <w:rPr>
                <w:noProof w:val="0"/>
                <w:color w:val="FFFFFF"/>
              </w:rPr>
              <w:t>Emissions (kt N</w:t>
            </w:r>
            <w:r w:rsidRPr="0049701B">
              <w:rPr>
                <w:noProof w:val="0"/>
                <w:color w:val="FFFFFF"/>
                <w:vertAlign w:val="subscript"/>
              </w:rPr>
              <w:t>2</w:t>
            </w:r>
            <w:r w:rsidRPr="0049701B">
              <w:rPr>
                <w:noProof w:val="0"/>
                <w:color w:val="FFFFFF"/>
              </w:rPr>
              <w:t>O)</w:t>
            </w:r>
          </w:p>
        </w:tc>
        <w:tc>
          <w:tcPr>
            <w:tcW w:w="2778" w:type="dxa"/>
            <w:shd w:val="clear" w:color="000000" w:fill="1B556B"/>
            <w:noWrap/>
            <w:vAlign w:val="center"/>
            <w:hideMark/>
          </w:tcPr>
          <w:p w14:paraId="41AF854B" w14:textId="77777777" w:rsidR="00616641" w:rsidRPr="0049701B" w:rsidRDefault="00616641" w:rsidP="007E3239">
            <w:pPr>
              <w:pStyle w:val="TableTextBold"/>
              <w:jc w:val="center"/>
              <w:rPr>
                <w:noProof w:val="0"/>
                <w:color w:val="FFFFFF"/>
              </w:rPr>
            </w:pPr>
            <w:r w:rsidRPr="0049701B">
              <w:rPr>
                <w:noProof w:val="0"/>
                <w:color w:val="FFFFFF"/>
              </w:rPr>
              <w:t>Emissions (kt CO</w:t>
            </w:r>
            <w:r w:rsidRPr="0049701B">
              <w:rPr>
                <w:noProof w:val="0"/>
                <w:color w:val="FFFFFF"/>
                <w:vertAlign w:val="subscript"/>
              </w:rPr>
              <w:t>2</w:t>
            </w:r>
            <w:r w:rsidRPr="0049701B">
              <w:rPr>
                <w:noProof w:val="0"/>
                <w:color w:val="FFFFFF"/>
              </w:rPr>
              <w:t>-e)</w:t>
            </w:r>
          </w:p>
        </w:tc>
      </w:tr>
      <w:tr w:rsidR="00616641" w:rsidRPr="0049701B" w14:paraId="54E383C0" w14:textId="77777777" w:rsidTr="007E3239">
        <w:tc>
          <w:tcPr>
            <w:tcW w:w="2830" w:type="dxa"/>
            <w:shd w:val="clear" w:color="auto" w:fill="auto"/>
            <w:noWrap/>
            <w:vAlign w:val="center"/>
            <w:hideMark/>
          </w:tcPr>
          <w:p w14:paraId="6AFCC163" w14:textId="77777777" w:rsidR="00616641" w:rsidRPr="0049701B" w:rsidRDefault="00616641" w:rsidP="007E3239">
            <w:pPr>
              <w:pStyle w:val="TableText"/>
            </w:pPr>
            <w:r w:rsidRPr="0049701B">
              <w:t xml:space="preserve">Afforestation and reforestation </w:t>
            </w:r>
          </w:p>
        </w:tc>
        <w:tc>
          <w:tcPr>
            <w:tcW w:w="2778" w:type="dxa"/>
            <w:shd w:val="clear" w:color="auto" w:fill="auto"/>
            <w:noWrap/>
            <w:hideMark/>
          </w:tcPr>
          <w:p w14:paraId="7D93D019" w14:textId="77777777" w:rsidR="00616641" w:rsidRPr="0049701B" w:rsidRDefault="00616641" w:rsidP="007E3239">
            <w:pPr>
              <w:pStyle w:val="TableText"/>
              <w:jc w:val="center"/>
            </w:pPr>
            <w:r w:rsidRPr="0049701B">
              <w:t>0.1</w:t>
            </w:r>
          </w:p>
        </w:tc>
        <w:tc>
          <w:tcPr>
            <w:tcW w:w="2778" w:type="dxa"/>
            <w:shd w:val="clear" w:color="auto" w:fill="auto"/>
            <w:noWrap/>
            <w:hideMark/>
          </w:tcPr>
          <w:p w14:paraId="2AA346E5" w14:textId="77777777" w:rsidR="00616641" w:rsidRPr="0049701B" w:rsidRDefault="00616641" w:rsidP="007E3239">
            <w:pPr>
              <w:pStyle w:val="TableText"/>
              <w:jc w:val="center"/>
            </w:pPr>
            <w:r w:rsidRPr="0049701B">
              <w:t>44.2</w:t>
            </w:r>
          </w:p>
        </w:tc>
      </w:tr>
      <w:tr w:rsidR="00616641" w:rsidRPr="0049701B" w14:paraId="0B478970" w14:textId="77777777" w:rsidTr="007E3239">
        <w:tc>
          <w:tcPr>
            <w:tcW w:w="2830" w:type="dxa"/>
            <w:shd w:val="clear" w:color="auto" w:fill="auto"/>
            <w:noWrap/>
            <w:vAlign w:val="center"/>
            <w:hideMark/>
          </w:tcPr>
          <w:p w14:paraId="37423E4F" w14:textId="77777777" w:rsidR="00616641" w:rsidRPr="0049701B" w:rsidRDefault="00616641" w:rsidP="007E3239">
            <w:pPr>
              <w:pStyle w:val="TableText"/>
            </w:pPr>
            <w:r w:rsidRPr="0049701B">
              <w:t xml:space="preserve">Deforestation </w:t>
            </w:r>
          </w:p>
        </w:tc>
        <w:tc>
          <w:tcPr>
            <w:tcW w:w="2778" w:type="dxa"/>
            <w:shd w:val="clear" w:color="auto" w:fill="auto"/>
            <w:noWrap/>
            <w:hideMark/>
          </w:tcPr>
          <w:p w14:paraId="035D2336" w14:textId="77777777" w:rsidR="00616641" w:rsidRPr="0049701B" w:rsidRDefault="00616641" w:rsidP="007E3239">
            <w:pPr>
              <w:pStyle w:val="TableText"/>
              <w:jc w:val="center"/>
            </w:pPr>
            <w:r w:rsidRPr="0049701B">
              <w:t>0.0</w:t>
            </w:r>
          </w:p>
        </w:tc>
        <w:tc>
          <w:tcPr>
            <w:tcW w:w="2778" w:type="dxa"/>
            <w:shd w:val="clear" w:color="auto" w:fill="auto"/>
            <w:noWrap/>
            <w:hideMark/>
          </w:tcPr>
          <w:p w14:paraId="271C7F2C" w14:textId="77777777" w:rsidR="00616641" w:rsidRPr="0049701B" w:rsidRDefault="00616641" w:rsidP="007E3239">
            <w:pPr>
              <w:pStyle w:val="TableText"/>
              <w:jc w:val="center"/>
            </w:pPr>
            <w:r w:rsidRPr="0049701B">
              <w:t>1.7</w:t>
            </w:r>
          </w:p>
        </w:tc>
      </w:tr>
      <w:tr w:rsidR="00616641" w:rsidRPr="0049701B" w14:paraId="7F05D3DE" w14:textId="77777777" w:rsidTr="007E3239">
        <w:tc>
          <w:tcPr>
            <w:tcW w:w="2830" w:type="dxa"/>
            <w:shd w:val="clear" w:color="auto" w:fill="auto"/>
            <w:noWrap/>
            <w:vAlign w:val="center"/>
            <w:hideMark/>
          </w:tcPr>
          <w:p w14:paraId="527047FB" w14:textId="77777777" w:rsidR="00616641" w:rsidRPr="0049701B" w:rsidRDefault="00616641" w:rsidP="007E3239">
            <w:pPr>
              <w:pStyle w:val="TableText"/>
            </w:pPr>
            <w:r w:rsidRPr="0049701B">
              <w:t xml:space="preserve">Forest management </w:t>
            </w:r>
          </w:p>
        </w:tc>
        <w:tc>
          <w:tcPr>
            <w:tcW w:w="2778" w:type="dxa"/>
            <w:shd w:val="clear" w:color="auto" w:fill="auto"/>
            <w:noWrap/>
            <w:hideMark/>
          </w:tcPr>
          <w:p w14:paraId="38864E29" w14:textId="77777777" w:rsidR="00616641" w:rsidRPr="0049701B" w:rsidRDefault="00616641" w:rsidP="007E3239">
            <w:pPr>
              <w:pStyle w:val="TableText"/>
              <w:jc w:val="center"/>
            </w:pPr>
            <w:r w:rsidRPr="0049701B">
              <w:t>0.0</w:t>
            </w:r>
          </w:p>
        </w:tc>
        <w:tc>
          <w:tcPr>
            <w:tcW w:w="2778" w:type="dxa"/>
            <w:shd w:val="clear" w:color="auto" w:fill="auto"/>
            <w:noWrap/>
            <w:hideMark/>
          </w:tcPr>
          <w:p w14:paraId="13715CE7" w14:textId="77777777" w:rsidR="00616641" w:rsidRPr="0049701B" w:rsidRDefault="00616641" w:rsidP="007E3239">
            <w:pPr>
              <w:pStyle w:val="TableText"/>
              <w:jc w:val="center"/>
            </w:pPr>
            <w:r w:rsidRPr="0049701B">
              <w:t>0.0</w:t>
            </w:r>
          </w:p>
        </w:tc>
      </w:tr>
      <w:tr w:rsidR="00616641" w:rsidRPr="0049701B" w14:paraId="1B60C7A3" w14:textId="77777777" w:rsidTr="007E3239">
        <w:tc>
          <w:tcPr>
            <w:tcW w:w="2830" w:type="dxa"/>
            <w:shd w:val="clear" w:color="auto" w:fill="auto"/>
            <w:noWrap/>
            <w:vAlign w:val="center"/>
            <w:hideMark/>
          </w:tcPr>
          <w:p w14:paraId="1D9DF691" w14:textId="77777777" w:rsidR="00616641" w:rsidRPr="0049701B" w:rsidRDefault="00616641" w:rsidP="007E3239">
            <w:pPr>
              <w:pStyle w:val="Tableboldblue"/>
            </w:pPr>
            <w:r w:rsidRPr="0049701B">
              <w:t>Total</w:t>
            </w:r>
          </w:p>
        </w:tc>
        <w:tc>
          <w:tcPr>
            <w:tcW w:w="2778" w:type="dxa"/>
            <w:shd w:val="clear" w:color="auto" w:fill="auto"/>
            <w:noWrap/>
            <w:hideMark/>
          </w:tcPr>
          <w:p w14:paraId="5008E986" w14:textId="77777777" w:rsidR="00616641" w:rsidRPr="0049701B" w:rsidRDefault="00616641" w:rsidP="007E3239">
            <w:pPr>
              <w:pStyle w:val="Tableboldblue"/>
              <w:jc w:val="center"/>
            </w:pPr>
            <w:r w:rsidRPr="0049701B">
              <w:t>0.2</w:t>
            </w:r>
          </w:p>
        </w:tc>
        <w:tc>
          <w:tcPr>
            <w:tcW w:w="2778" w:type="dxa"/>
            <w:shd w:val="clear" w:color="auto" w:fill="auto"/>
            <w:noWrap/>
            <w:hideMark/>
          </w:tcPr>
          <w:p w14:paraId="00F39326" w14:textId="77777777" w:rsidR="00616641" w:rsidRPr="0049701B" w:rsidRDefault="00616641" w:rsidP="007E3239">
            <w:pPr>
              <w:pStyle w:val="Tableboldblue"/>
              <w:jc w:val="center"/>
            </w:pPr>
            <w:r w:rsidRPr="0049701B">
              <w:t>45.9</w:t>
            </w:r>
          </w:p>
        </w:tc>
      </w:tr>
    </w:tbl>
    <w:p w14:paraId="6AD77FD8" w14:textId="77777777" w:rsidR="00616641" w:rsidRPr="0049701B" w:rsidRDefault="00616641" w:rsidP="00616641">
      <w:pPr>
        <w:pStyle w:val="Noteundertable"/>
        <w:rPr>
          <w:rFonts w:cs="Arial"/>
          <w:color w:val="000000"/>
          <w:szCs w:val="18"/>
        </w:rPr>
      </w:pPr>
      <w:r w:rsidRPr="0049701B">
        <w:rPr>
          <w:b/>
        </w:rPr>
        <w:t>Note</w:t>
      </w:r>
      <w:r w:rsidRPr="0049701B">
        <w:t xml:space="preserve">: </w:t>
      </w:r>
      <w:r w:rsidRPr="0049701B">
        <w:tab/>
      </w:r>
      <w:r w:rsidRPr="0049701B">
        <w:rPr>
          <w:rFonts w:cs="Arial"/>
          <w:color w:val="000000"/>
          <w:szCs w:val="18"/>
        </w:rPr>
        <w:t xml:space="preserve">Columns may not total due to rounding. </w:t>
      </w:r>
    </w:p>
    <w:p w14:paraId="68507FAF" w14:textId="77777777" w:rsidR="00616641" w:rsidRPr="0049701B" w:rsidRDefault="00616641" w:rsidP="00616641">
      <w:pPr>
        <w:pStyle w:val="BodyText"/>
        <w:spacing w:before="100" w:after="100"/>
      </w:pPr>
      <w:r w:rsidRPr="0049701B">
        <w:t xml:space="preserve">Emissions associated with </w:t>
      </w:r>
      <w:r w:rsidRPr="0049701B">
        <w:rPr>
          <w:i/>
        </w:rPr>
        <w:t>Indirect N</w:t>
      </w:r>
      <w:r w:rsidRPr="0049701B">
        <w:rPr>
          <w:i/>
          <w:vertAlign w:val="subscript"/>
        </w:rPr>
        <w:t>2</w:t>
      </w:r>
      <w:r w:rsidRPr="0049701B">
        <w:rPr>
          <w:i/>
        </w:rPr>
        <w:t>O emissions from managed soils</w:t>
      </w:r>
      <w:r w:rsidRPr="0049701B">
        <w:t xml:space="preserve"> are also reported under the Agriculture sector. New Zealand reports IE in the relevant CRF tables.</w:t>
      </w:r>
    </w:p>
    <w:p w14:paraId="733F48B1" w14:textId="77777777" w:rsidR="00616641" w:rsidRPr="0049701B" w:rsidRDefault="00616641" w:rsidP="00616641">
      <w:pPr>
        <w:pStyle w:val="Heading4"/>
        <w:spacing w:before="200"/>
      </w:pPr>
      <w:r w:rsidRPr="0049701B">
        <w:t>Biomass burning (CRF 4(KP-II)4)</w:t>
      </w:r>
    </w:p>
    <w:p w14:paraId="5DD4B29F" w14:textId="77777777" w:rsidR="00616641" w:rsidRPr="0049701B" w:rsidRDefault="00616641" w:rsidP="00616641">
      <w:pPr>
        <w:pStyle w:val="Heading5"/>
        <w:spacing w:before="160"/>
      </w:pPr>
      <w:r w:rsidRPr="0049701B">
        <w:t>Afforestation and reforestation</w:t>
      </w:r>
    </w:p>
    <w:p w14:paraId="43D57592" w14:textId="77777777" w:rsidR="00616641" w:rsidRPr="0049701B" w:rsidRDefault="00616641" w:rsidP="00616641">
      <w:pPr>
        <w:pStyle w:val="BodyText"/>
        <w:spacing w:before="100" w:after="100"/>
        <w:rPr>
          <w:spacing w:val="-2"/>
        </w:rPr>
      </w:pPr>
      <w:r w:rsidRPr="0049701B">
        <w:rPr>
          <w:spacing w:val="-2"/>
        </w:rPr>
        <w:t xml:space="preserve">Non-carbon dioxide emissions resulting from wildfire are attributed to </w:t>
      </w:r>
      <w:r w:rsidRPr="0049701B">
        <w:rPr>
          <w:i/>
          <w:spacing w:val="-2"/>
        </w:rPr>
        <w:t>Afforestation and reforestation</w:t>
      </w:r>
      <w:r w:rsidRPr="0049701B">
        <w:rPr>
          <w:spacing w:val="-2"/>
        </w:rPr>
        <w:t xml:space="preserve"> by the proportion of the total planted forest area that these forests make up. An age-based carbon yield table is then used to estimate non-CO</w:t>
      </w:r>
      <w:r w:rsidRPr="0049701B">
        <w:rPr>
          <w:spacing w:val="-2"/>
          <w:vertAlign w:val="subscript"/>
        </w:rPr>
        <w:t>2</w:t>
      </w:r>
      <w:r w:rsidRPr="0049701B">
        <w:rPr>
          <w:spacing w:val="-2"/>
        </w:rPr>
        <w:t xml:space="preserve"> emissions for </w:t>
      </w:r>
      <w:r w:rsidRPr="0049701B">
        <w:rPr>
          <w:i/>
          <w:spacing w:val="-2"/>
        </w:rPr>
        <w:t>Afforestation and reforestation</w:t>
      </w:r>
      <w:r w:rsidRPr="0049701B">
        <w:rPr>
          <w:spacing w:val="-2"/>
        </w:rPr>
        <w:t xml:space="preserve"> land. This approach assumes that the carbon stock affected by wildfire is equivalent to the carbon stock at the average stand age each year throughout the time series (Wakelin, unpublished(a)). Carbon dioxide emissions resulting from wildfire events are reported as IE in the CRF tables because these are assumed to be captured in the harvest emissions of salvage logged stands.</w:t>
      </w:r>
    </w:p>
    <w:p w14:paraId="6F0C4CE2" w14:textId="77777777" w:rsidR="00616641" w:rsidRPr="0049701B" w:rsidRDefault="00616641" w:rsidP="00616641">
      <w:pPr>
        <w:pStyle w:val="BodyText"/>
        <w:spacing w:before="100" w:after="100"/>
      </w:pPr>
      <w:r w:rsidRPr="0049701B">
        <w:t xml:space="preserve">A survey of controlled burning activities in planted forests was carried out in 2011. The survey indicated that, on average, 5 per cent of conversions to planted forest between 1990 and 2011 involved burning to clear vegetation. This area is allocated to </w:t>
      </w:r>
      <w:r w:rsidRPr="0049701B">
        <w:rPr>
          <w:i/>
        </w:rPr>
        <w:t>Forest management</w:t>
      </w:r>
      <w:r w:rsidRPr="0049701B">
        <w:t xml:space="preserve"> (land converted from natural forest) and </w:t>
      </w:r>
      <w:r w:rsidRPr="0049701B">
        <w:rPr>
          <w:i/>
        </w:rPr>
        <w:t>Afforestation</w:t>
      </w:r>
      <w:r w:rsidRPr="0049701B">
        <w:t xml:space="preserve"> (land converted from grassland with woody biomass) on a pro rata basis (Wakelin, unpublished(b)).</w:t>
      </w:r>
    </w:p>
    <w:p w14:paraId="45EE7B0E" w14:textId="77777777" w:rsidR="00616641" w:rsidRPr="0049701B" w:rsidRDefault="00616641" w:rsidP="00616641">
      <w:pPr>
        <w:pStyle w:val="BodyText"/>
        <w:spacing w:before="100" w:after="100"/>
      </w:pPr>
      <w:r w:rsidRPr="0049701B">
        <w:t xml:space="preserve">It is currently assumed that controlled burning of post-harvest residues before replanting on </w:t>
      </w:r>
      <w:r w:rsidRPr="0049701B">
        <w:rPr>
          <w:i/>
        </w:rPr>
        <w:t>Afforestation</w:t>
      </w:r>
      <w:r w:rsidRPr="0049701B">
        <w:t xml:space="preserve"> land does not occur due to the nature of harvest in short-rotation forest grown for pulp (where most biomass is removed from the site).</w:t>
      </w:r>
    </w:p>
    <w:p w14:paraId="68F392CA" w14:textId="77777777" w:rsidR="00616641" w:rsidRPr="0049701B" w:rsidRDefault="00616641" w:rsidP="00616641">
      <w:pPr>
        <w:pStyle w:val="Heading5"/>
        <w:spacing w:before="200"/>
      </w:pPr>
      <w:bookmarkStart w:id="2859" w:name="_Toc261513291"/>
      <w:bookmarkStart w:id="2860" w:name="_Toc261513904"/>
      <w:bookmarkStart w:id="2861" w:name="_Toc280630394"/>
      <w:r w:rsidRPr="0049701B">
        <w:lastRenderedPageBreak/>
        <w:t>Deforestation</w:t>
      </w:r>
    </w:p>
    <w:p w14:paraId="63532CE4" w14:textId="77777777" w:rsidR="00616641" w:rsidRPr="0049701B" w:rsidRDefault="00616641" w:rsidP="00616641">
      <w:pPr>
        <w:pStyle w:val="BodyText"/>
        <w:spacing w:before="100" w:after="100"/>
        <w:rPr>
          <w:spacing w:val="-2"/>
        </w:rPr>
      </w:pPr>
      <w:r w:rsidRPr="0049701B">
        <w:t xml:space="preserve">An estimate is provided for controlled burning of post-harvest slash associated with </w:t>
      </w:r>
      <w:r w:rsidRPr="0049701B">
        <w:rPr>
          <w:i/>
        </w:rPr>
        <w:t>Deforestation</w:t>
      </w:r>
      <w:r w:rsidRPr="0049701B">
        <w:rPr>
          <w:spacing w:val="-2"/>
        </w:rPr>
        <w:t xml:space="preserve">. No information is available on the extent of burning associated with </w:t>
      </w:r>
      <w:r w:rsidRPr="0049701B">
        <w:rPr>
          <w:i/>
          <w:spacing w:val="-2"/>
        </w:rPr>
        <w:t>Deforestation</w:t>
      </w:r>
      <w:r w:rsidRPr="0049701B">
        <w:rPr>
          <w:spacing w:val="-2"/>
        </w:rPr>
        <w:t xml:space="preserve"> in New Zealand. Therefore, it is assumed that 30 per cent of conversions involve burning. This percentage is chosen as a conservative proportion of one of the four main methods for disposing of residues in New Zealand. The other methods for residue disposal are chipping and removal, mulching into the soil and leaving to decay (Goulding, unpublished). To estimate emissions from the burning of harvest residue, the IPCC default combustion proportion for non-eucalypt temperate forest (0.62) is applied to an emission factor derived from the national plot network (table 2.6, IPCC, 2006a). The emission factor excludes the proportion of logs taken offsite (70 per cent of above-ground biomass) and is taken from the relevant yield tables at the average age of harvest in New Zealand.</w:t>
      </w:r>
    </w:p>
    <w:p w14:paraId="08EE1B0C" w14:textId="77777777" w:rsidR="00616641" w:rsidRPr="0049701B" w:rsidRDefault="00616641" w:rsidP="00616641">
      <w:pPr>
        <w:pStyle w:val="BodyText"/>
        <w:spacing w:before="100" w:after="100"/>
      </w:pPr>
      <w:r w:rsidRPr="0049701B">
        <w:t>Estimates are provided for wildfire on deforested land (</w:t>
      </w:r>
      <w:r w:rsidRPr="0049701B">
        <w:rPr>
          <w:i/>
        </w:rPr>
        <w:t>Forest land converted to grassland</w:t>
      </w:r>
      <w:r w:rsidRPr="0049701B">
        <w:t>) in the Inventory. The activity data do not identify deforested land; therefore, non-CO</w:t>
      </w:r>
      <w:r w:rsidRPr="0049701B">
        <w:rPr>
          <w:vertAlign w:val="subscript"/>
        </w:rPr>
        <w:t>2</w:t>
      </w:r>
      <w:r w:rsidRPr="0049701B">
        <w:t xml:space="preserve"> emissions resulting from wildfire are attributed to deforested land by the proportion of area that deforested land makes up of the total </w:t>
      </w:r>
      <w:r w:rsidRPr="0049701B">
        <w:rPr>
          <w:i/>
        </w:rPr>
        <w:t>Grassland</w:t>
      </w:r>
      <w:r w:rsidRPr="0049701B">
        <w:t xml:space="preserve"> area. The methodology follows that described in chapter 6, section 6.10.8. Around 1 per cent of wildfire emissions in </w:t>
      </w:r>
      <w:r w:rsidRPr="0049701B">
        <w:rPr>
          <w:i/>
        </w:rPr>
        <w:t>Grassland</w:t>
      </w:r>
      <w:r w:rsidRPr="0049701B">
        <w:t xml:space="preserve"> are estimated to have occurred on deforested land between 2008 and 2020.</w:t>
      </w:r>
    </w:p>
    <w:p w14:paraId="31904445" w14:textId="77777777" w:rsidR="00616641" w:rsidRPr="0049701B" w:rsidRDefault="00616641" w:rsidP="00616641">
      <w:pPr>
        <w:pStyle w:val="Heading5"/>
        <w:spacing w:before="200"/>
      </w:pPr>
      <w:r w:rsidRPr="0049701B">
        <w:t>Forest management</w:t>
      </w:r>
    </w:p>
    <w:p w14:paraId="0697EBA7" w14:textId="77777777" w:rsidR="00616641" w:rsidRPr="0049701B" w:rsidRDefault="00616641" w:rsidP="00616641">
      <w:pPr>
        <w:pStyle w:val="BodyText"/>
        <w:spacing w:before="100" w:after="100"/>
      </w:pPr>
      <w:r w:rsidRPr="0049701B">
        <w:t>Non-CO</w:t>
      </w:r>
      <w:r w:rsidRPr="0049701B">
        <w:rPr>
          <w:vertAlign w:val="subscript"/>
        </w:rPr>
        <w:t>2</w:t>
      </w:r>
      <w:r w:rsidRPr="0049701B">
        <w:t xml:space="preserve"> emissions from wildfires in pre-1990 forest land are reported under </w:t>
      </w:r>
      <w:r w:rsidRPr="0049701B">
        <w:rPr>
          <w:i/>
        </w:rPr>
        <w:t>Forest management</w:t>
      </w:r>
      <w:r w:rsidRPr="0049701B">
        <w:t>. A plot-network-derived biomass density is used to estimate non-CO</w:t>
      </w:r>
      <w:r w:rsidRPr="0049701B">
        <w:rPr>
          <w:vertAlign w:val="subscript"/>
        </w:rPr>
        <w:t>2</w:t>
      </w:r>
      <w:r w:rsidRPr="0049701B">
        <w:t xml:space="preserve"> emissions from wildfire on </w:t>
      </w:r>
      <w:r w:rsidRPr="0049701B">
        <w:rPr>
          <w:i/>
        </w:rPr>
        <w:t>Forest management</w:t>
      </w:r>
      <w:r w:rsidRPr="0049701B">
        <w:t xml:space="preserve"> land. Aggregated wildfire activity data are attributed to each forest management category by proportion of forest type estimated to be burned over the time series. The split attributes 87.5 per cent to planted forest and the remaining to natural forest (Wakelin, unpublished(a)). The planted forest activity data are further split into pre-1990 and post-1989 forest (see ‘Afforestation and reforestation’ above). In planted forest, it is assumed that the carbon stock affected by wildfire is equivalent to the carbon stock at the average stand age in each category (Wakelin, unpublished(a)). </w:t>
      </w:r>
    </w:p>
    <w:p w14:paraId="0D381E51" w14:textId="77777777" w:rsidR="00616641" w:rsidRPr="0049701B" w:rsidRDefault="00616641" w:rsidP="00616641">
      <w:pPr>
        <w:pStyle w:val="BodyText"/>
        <w:spacing w:before="100" w:after="100"/>
      </w:pPr>
      <w:r w:rsidRPr="0049701B">
        <w:t>A survey of controlled burning in planted forest was carried out in 2011 (Wakelin, unpublished(b)). Estimates were provided for burning associated with the clearing of vegetation (i.e., natural forest and grassland with woody biomass) before the establishment of exotic planted forest (see ‘Afforestation and reforestation’ above).</w:t>
      </w:r>
    </w:p>
    <w:p w14:paraId="3CEFC931" w14:textId="77777777" w:rsidR="00616641" w:rsidRPr="0049701B" w:rsidRDefault="00616641" w:rsidP="00616641">
      <w:pPr>
        <w:pStyle w:val="BodyText"/>
        <w:spacing w:before="100" w:after="100"/>
      </w:pPr>
      <w:r w:rsidRPr="0049701B">
        <w:t>The survey also provided data on the burning of post-harvest slash before restocking. This activity was found to occur mainly as a training exercise for wildfire control or for the clearing of slash heaps on skid sites. The data indicated that 0.8 per cent of the restocked area was burned annually in recent years (Wakelin, unpublished(b)). This estimate was combined with two earlier estimates of controlled burning in planted forest (Forest Industry Training and Education Council, 2005; Robertson, 1998) to provide activity data throughout the time series. It is assumed that 1.6 per cent of restocked area was burned from 1990 to 1997 (Wakelin, unpublished(b)). From 1997, the area burned declines linearly to 0.8 per cent, which is used from 2005 onwards (Wakelin, unpublished(b)).</w:t>
      </w:r>
    </w:p>
    <w:p w14:paraId="56062661" w14:textId="77777777" w:rsidR="00616641" w:rsidRPr="0049701B" w:rsidRDefault="00616641" w:rsidP="00616641">
      <w:pPr>
        <w:pStyle w:val="BodyText"/>
        <w:spacing w:before="100" w:after="100"/>
      </w:pPr>
      <w:r w:rsidRPr="0049701B">
        <w:t xml:space="preserve">A more detailed description of </w:t>
      </w:r>
      <w:r w:rsidRPr="0049701B">
        <w:rPr>
          <w:i/>
        </w:rPr>
        <w:t>Biomass burning</w:t>
      </w:r>
      <w:r w:rsidRPr="0049701B">
        <w:t xml:space="preserve"> on </w:t>
      </w:r>
      <w:r w:rsidRPr="0049701B">
        <w:rPr>
          <w:i/>
        </w:rPr>
        <w:t>Forest land</w:t>
      </w:r>
      <w:r w:rsidRPr="0049701B">
        <w:t xml:space="preserve"> is provided in chapter 6, section 6.10.8. </w:t>
      </w:r>
    </w:p>
    <w:p w14:paraId="44FB3F50" w14:textId="77777777" w:rsidR="00616641" w:rsidRPr="0049701B" w:rsidRDefault="00616641" w:rsidP="00616641">
      <w:pPr>
        <w:pStyle w:val="Heading2"/>
        <w:spacing w:before="320"/>
      </w:pPr>
      <w:bookmarkStart w:id="2862" w:name="_Toc456179172"/>
      <w:bookmarkStart w:id="2863" w:name="_Toc481751425"/>
      <w:bookmarkStart w:id="2864" w:name="_Toc522013964"/>
      <w:bookmarkStart w:id="2865" w:name="_Toc5269408"/>
      <w:bookmarkStart w:id="2866" w:name="_Toc36224448"/>
      <w:bookmarkStart w:id="2867" w:name="_Toc68786368"/>
      <w:bookmarkStart w:id="2868" w:name="_Toc99659174"/>
      <w:bookmarkStart w:id="2869" w:name="_Toc261513293"/>
      <w:bookmarkStart w:id="2870" w:name="_Toc261513906"/>
      <w:bookmarkStart w:id="2871" w:name="_Toc280630396"/>
      <w:bookmarkEnd w:id="2859"/>
      <w:bookmarkEnd w:id="2860"/>
      <w:bookmarkEnd w:id="2861"/>
      <w:r w:rsidRPr="0049701B">
        <w:lastRenderedPageBreak/>
        <w:t>11.4</w:t>
      </w:r>
      <w:r w:rsidRPr="0049701B">
        <w:tab/>
        <w:t>Other methodological issues</w:t>
      </w:r>
      <w:bookmarkEnd w:id="2862"/>
      <w:bookmarkEnd w:id="2863"/>
      <w:bookmarkEnd w:id="2864"/>
      <w:bookmarkEnd w:id="2865"/>
      <w:bookmarkEnd w:id="2866"/>
      <w:bookmarkEnd w:id="2867"/>
      <w:bookmarkEnd w:id="2868"/>
    </w:p>
    <w:p w14:paraId="75B8C55D" w14:textId="77777777" w:rsidR="00616641" w:rsidRPr="0049701B" w:rsidRDefault="00616641" w:rsidP="00616641">
      <w:pPr>
        <w:pStyle w:val="Heading3"/>
        <w:spacing w:before="120"/>
      </w:pPr>
      <w:bookmarkStart w:id="2872" w:name="_Toc261513294"/>
      <w:bookmarkStart w:id="2873" w:name="_Toc261513907"/>
      <w:bookmarkStart w:id="2874" w:name="_Toc280630397"/>
      <w:bookmarkEnd w:id="2869"/>
      <w:bookmarkEnd w:id="2870"/>
      <w:bookmarkEnd w:id="2871"/>
      <w:r w:rsidRPr="0049701B">
        <w:t xml:space="preserve">11.4.1 </w:t>
      </w:r>
      <w:r w:rsidRPr="0049701B">
        <w:tab/>
        <w:t>Uncertainty</w:t>
      </w:r>
      <w:bookmarkEnd w:id="2872"/>
      <w:bookmarkEnd w:id="2873"/>
      <w:bookmarkEnd w:id="2874"/>
      <w:r w:rsidRPr="0049701B">
        <w:t xml:space="preserve"> and time-series consistency</w:t>
      </w:r>
    </w:p>
    <w:p w14:paraId="4C7870CD" w14:textId="77777777" w:rsidR="00616641" w:rsidRPr="0049701B" w:rsidRDefault="00616641" w:rsidP="00616641">
      <w:pPr>
        <w:pStyle w:val="BodyText"/>
        <w:spacing w:before="100" w:after="100"/>
      </w:pPr>
      <w:r w:rsidRPr="0049701B">
        <w:t xml:space="preserve">The uncertainty in net emissions from </w:t>
      </w:r>
      <w:r w:rsidRPr="0049701B">
        <w:rPr>
          <w:i/>
        </w:rPr>
        <w:t>Afforestation and reforestation</w:t>
      </w:r>
      <w:r w:rsidRPr="0049701B">
        <w:t xml:space="preserve"> is ±38.3 per cent at the 95 per cent confidence interval. This is based on the uncertainty in emissions from post</w:t>
      </w:r>
      <w:r w:rsidRPr="0049701B">
        <w:noBreakHyphen/>
        <w:t xml:space="preserve">1989 planted forest, post-1989 natural forest and </w:t>
      </w:r>
      <w:r w:rsidRPr="0049701B">
        <w:rPr>
          <w:i/>
        </w:rPr>
        <w:t>Harvested wood products</w:t>
      </w:r>
      <w:r w:rsidRPr="0049701B">
        <w:t xml:space="preserve"> (tables 11.4.1 and 11.4.2). </w:t>
      </w:r>
    </w:p>
    <w:p w14:paraId="438C5797" w14:textId="77777777" w:rsidR="00616641" w:rsidRPr="0049701B" w:rsidRDefault="00616641" w:rsidP="00616641">
      <w:pPr>
        <w:pStyle w:val="BodyText"/>
        <w:spacing w:before="100" w:after="100"/>
      </w:pPr>
      <w:r w:rsidRPr="0049701B">
        <w:t xml:space="preserve">The uncertainty in emissions from </w:t>
      </w:r>
      <w:r w:rsidRPr="0049701B">
        <w:rPr>
          <w:i/>
        </w:rPr>
        <w:t>Deforestation</w:t>
      </w:r>
      <w:r w:rsidRPr="0049701B">
        <w:t xml:space="preserve"> is determined by the type of </w:t>
      </w:r>
      <w:r w:rsidRPr="0049701B">
        <w:rPr>
          <w:i/>
        </w:rPr>
        <w:t>Forest land</w:t>
      </w:r>
      <w:r w:rsidRPr="0049701B">
        <w:t xml:space="preserve"> (table 11.4.1). The combined uncertainty introduced into emissions from </w:t>
      </w:r>
      <w:r w:rsidRPr="0049701B">
        <w:rPr>
          <w:i/>
        </w:rPr>
        <w:t>Deforestation</w:t>
      </w:r>
      <w:r w:rsidRPr="0049701B">
        <w:t xml:space="preserve"> at the 95 per cent confidence intervals is ±31.4 per cent (table 11.4.2). </w:t>
      </w:r>
    </w:p>
    <w:p w14:paraId="7A092401" w14:textId="77777777" w:rsidR="00616641" w:rsidRPr="0049701B" w:rsidRDefault="00616641" w:rsidP="00616641">
      <w:pPr>
        <w:pStyle w:val="BodyText"/>
        <w:spacing w:before="100" w:after="100"/>
      </w:pPr>
      <w:r w:rsidRPr="0049701B">
        <w:t xml:space="preserve">The combined uncertainty in emissions from </w:t>
      </w:r>
      <w:r w:rsidRPr="0049701B">
        <w:rPr>
          <w:i/>
        </w:rPr>
        <w:t>Forest management</w:t>
      </w:r>
      <w:r w:rsidRPr="0049701B">
        <w:t xml:space="preserve"> is ±80.5 per cent at a 95 per cent confidence interval. This is the combined uncertainty of pre-1990 natural forest and pre</w:t>
      </w:r>
      <w:r w:rsidRPr="0049701B">
        <w:noBreakHyphen/>
        <w:t xml:space="preserve">1990 planted forest and includes uncertainty associated with </w:t>
      </w:r>
      <w:r w:rsidRPr="0049701B">
        <w:rPr>
          <w:i/>
        </w:rPr>
        <w:t>Harvested wood products</w:t>
      </w:r>
      <w:r w:rsidRPr="0049701B">
        <w:t>.</w:t>
      </w:r>
    </w:p>
    <w:p w14:paraId="4BB726A2" w14:textId="77777777" w:rsidR="00616641" w:rsidRPr="0049701B" w:rsidRDefault="00616641" w:rsidP="00616641">
      <w:pPr>
        <w:pStyle w:val="BodyText"/>
        <w:spacing w:before="100" w:after="100"/>
      </w:pPr>
      <w:r w:rsidRPr="0049701B">
        <w:t xml:space="preserve">Further detail on the uncertainty in emissions for pre-1990 natural forest, pre-1990 planted forest, post-1989 planted forest, post-89 natural forest and </w:t>
      </w:r>
      <w:r w:rsidRPr="0049701B">
        <w:rPr>
          <w:i/>
        </w:rPr>
        <w:t>Harvested wood products</w:t>
      </w:r>
      <w:r w:rsidRPr="0049701B">
        <w:t xml:space="preserve"> is provided in chapter 6, sections 6.3.3 and 6.9.3.</w:t>
      </w:r>
    </w:p>
    <w:p w14:paraId="4C5200D3" w14:textId="77777777" w:rsidR="00616641" w:rsidRPr="0049701B" w:rsidRDefault="00616641" w:rsidP="00616641">
      <w:pPr>
        <w:pStyle w:val="BodyText"/>
      </w:pPr>
      <w:r w:rsidRPr="0049701B">
        <w:t>Total uncertainty in New Zealand’s estimates of emissions for Article 3.3 and Article 3.4 of the Kyoto Protocol is ±45.7 per cent</w:t>
      </w:r>
      <w:r w:rsidRPr="0049701B">
        <w:rPr>
          <w:spacing w:val="-2"/>
        </w:rPr>
        <w:t xml:space="preserve"> at a 95 per cent confidence interval</w:t>
      </w:r>
      <w:r w:rsidRPr="0049701B">
        <w:t xml:space="preserve">. </w:t>
      </w:r>
    </w:p>
    <w:p w14:paraId="00F66EAE" w14:textId="77777777" w:rsidR="00616641" w:rsidRPr="0049701B" w:rsidRDefault="00616641" w:rsidP="00616641">
      <w:pPr>
        <w:pStyle w:val="Table"/>
      </w:pPr>
      <w:bookmarkStart w:id="2875" w:name="_Toc280630486"/>
      <w:bookmarkStart w:id="2876" w:name="_Toc310423446"/>
      <w:bookmarkStart w:id="2877" w:name="_Toc318362739"/>
      <w:bookmarkStart w:id="2878" w:name="_Toc342470818"/>
      <w:bookmarkStart w:id="2879" w:name="_Toc352505071"/>
      <w:bookmarkStart w:id="2880" w:name="_Toc377043707"/>
      <w:bookmarkStart w:id="2881" w:name="_Toc391023559"/>
      <w:bookmarkStart w:id="2882" w:name="_Toc414531532"/>
      <w:bookmarkStart w:id="2883" w:name="_Toc456179110"/>
      <w:bookmarkStart w:id="2884" w:name="_Toc481751635"/>
      <w:bookmarkStart w:id="2885" w:name="_Toc522010661"/>
      <w:bookmarkStart w:id="2886" w:name="_Toc5269632"/>
      <w:bookmarkStart w:id="2887" w:name="_Toc36224715"/>
      <w:bookmarkStart w:id="2888" w:name="_Toc64987050"/>
      <w:bookmarkStart w:id="2889" w:name="_Toc68786600"/>
      <w:bookmarkStart w:id="2890" w:name="_Toc95321545"/>
      <w:bookmarkStart w:id="2891" w:name="_Toc99659397"/>
      <w:r w:rsidRPr="0049701B">
        <w:t xml:space="preserve">Table 11.4.1 </w:t>
      </w:r>
      <w:r w:rsidRPr="0049701B">
        <w:tab/>
        <w:t xml:space="preserve">Uncertainty in New Zealand’s estimates for </w:t>
      </w:r>
      <w:r w:rsidRPr="0049701B">
        <w:rPr>
          <w:i/>
          <w:iCs/>
        </w:rPr>
        <w:t>Afforestation and reforestation</w:t>
      </w:r>
      <w:r w:rsidRPr="0049701B">
        <w:t>,</w:t>
      </w:r>
      <w:r w:rsidRPr="0049701B">
        <w:br/>
      </w:r>
      <w:r w:rsidRPr="0049701B">
        <w:rPr>
          <w:i/>
          <w:iCs/>
        </w:rPr>
        <w:t>Deforestation</w:t>
      </w:r>
      <w:r w:rsidRPr="0049701B">
        <w:t xml:space="preserve"> and </w:t>
      </w:r>
      <w:r w:rsidRPr="0049701B">
        <w:rPr>
          <w:i/>
          <w:iCs/>
        </w:rPr>
        <w:t>Forest management</w:t>
      </w:r>
      <w:r w:rsidRPr="0049701B">
        <w:t xml:space="preserve"> in </w:t>
      </w:r>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r w:rsidRPr="0049701B">
        <w:t>2020</w:t>
      </w:r>
      <w:bookmarkEnd w:id="2890"/>
      <w:bookmarkEnd w:id="2891"/>
    </w:p>
    <w:tbl>
      <w:tblPr>
        <w:tblW w:w="8505" w:type="dxa"/>
        <w:tblInd w:w="113"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1429"/>
        <w:gridCol w:w="809"/>
        <w:gridCol w:w="840"/>
        <w:gridCol w:w="841"/>
        <w:gridCol w:w="953"/>
        <w:gridCol w:w="953"/>
        <w:gridCol w:w="840"/>
        <w:gridCol w:w="880"/>
        <w:gridCol w:w="960"/>
      </w:tblGrid>
      <w:tr w:rsidR="00616641" w:rsidRPr="0049701B" w14:paraId="70ED06FF" w14:textId="77777777" w:rsidTr="005C7716">
        <w:trPr>
          <w:tblHeader/>
        </w:trPr>
        <w:tc>
          <w:tcPr>
            <w:tcW w:w="1429" w:type="dxa"/>
            <w:vMerge w:val="restart"/>
            <w:tcBorders>
              <w:bottom w:val="nil"/>
            </w:tcBorders>
            <w:shd w:val="clear" w:color="auto" w:fill="1B556B"/>
            <w:noWrap/>
            <w:vAlign w:val="center"/>
            <w:hideMark/>
          </w:tcPr>
          <w:p w14:paraId="0900BC64" w14:textId="77777777" w:rsidR="00616641" w:rsidRPr="00C22328" w:rsidRDefault="00616641" w:rsidP="00F343EA">
            <w:pPr>
              <w:pStyle w:val="TableText"/>
            </w:pPr>
          </w:p>
        </w:tc>
        <w:tc>
          <w:tcPr>
            <w:tcW w:w="7076" w:type="dxa"/>
            <w:gridSpan w:val="8"/>
            <w:tcBorders>
              <w:bottom w:val="nil"/>
            </w:tcBorders>
            <w:shd w:val="clear" w:color="auto" w:fill="1B556B"/>
          </w:tcPr>
          <w:p w14:paraId="7C47FE20" w14:textId="77777777" w:rsidR="00616641" w:rsidRPr="0049701B" w:rsidRDefault="00616641" w:rsidP="007E3239">
            <w:pPr>
              <w:pStyle w:val="TableTextBold"/>
              <w:spacing w:before="50" w:after="0"/>
              <w:jc w:val="center"/>
              <w:rPr>
                <w:rFonts w:cs="Calibri"/>
                <w:bCs/>
                <w:noProof w:val="0"/>
                <w:color w:val="FFFFFF"/>
                <w:szCs w:val="16"/>
              </w:rPr>
            </w:pPr>
            <w:r w:rsidRPr="0049701B">
              <w:rPr>
                <w:rFonts w:cs="Calibri"/>
                <w:bCs/>
                <w:noProof w:val="0"/>
                <w:color w:val="FFFFFF"/>
                <w:szCs w:val="16"/>
              </w:rPr>
              <w:t>Uncertainty (%) at a 95% confidence interval</w:t>
            </w:r>
          </w:p>
        </w:tc>
      </w:tr>
      <w:tr w:rsidR="00616641" w:rsidRPr="0049701B" w14:paraId="7EA0AB3A" w14:textId="77777777" w:rsidTr="005C7716">
        <w:trPr>
          <w:tblHeader/>
        </w:trPr>
        <w:tc>
          <w:tcPr>
            <w:tcW w:w="1429" w:type="dxa"/>
            <w:vMerge/>
            <w:tcBorders>
              <w:top w:val="nil"/>
            </w:tcBorders>
            <w:shd w:val="clear" w:color="auto" w:fill="1B556B"/>
            <w:noWrap/>
            <w:vAlign w:val="bottom"/>
            <w:hideMark/>
          </w:tcPr>
          <w:p w14:paraId="5032667D" w14:textId="77777777" w:rsidR="00616641" w:rsidRPr="0049701B" w:rsidRDefault="00616641" w:rsidP="007E3239">
            <w:pPr>
              <w:pStyle w:val="TableTextBold"/>
              <w:keepNext/>
              <w:spacing w:before="50" w:after="50"/>
              <w:jc w:val="center"/>
              <w:rPr>
                <w:rFonts w:cs="Calibri"/>
                <w:bCs/>
                <w:noProof w:val="0"/>
                <w:color w:val="FFFFFF"/>
                <w:szCs w:val="16"/>
              </w:rPr>
            </w:pPr>
          </w:p>
        </w:tc>
        <w:tc>
          <w:tcPr>
            <w:tcW w:w="1649" w:type="dxa"/>
            <w:gridSpan w:val="2"/>
            <w:tcBorders>
              <w:top w:val="nil"/>
            </w:tcBorders>
            <w:shd w:val="clear" w:color="auto" w:fill="1B556B"/>
            <w:vAlign w:val="bottom"/>
            <w:hideMark/>
          </w:tcPr>
          <w:p w14:paraId="38929B02" w14:textId="77777777" w:rsidR="00616641" w:rsidRPr="0049701B" w:rsidRDefault="00616641" w:rsidP="007E3239">
            <w:pPr>
              <w:pStyle w:val="TableTextBold"/>
              <w:spacing w:before="50" w:after="50"/>
              <w:jc w:val="center"/>
              <w:rPr>
                <w:rFonts w:cs="Calibri"/>
                <w:noProof w:val="0"/>
                <w:color w:val="FFFFFF"/>
                <w:szCs w:val="16"/>
              </w:rPr>
            </w:pPr>
            <w:r w:rsidRPr="0049701B">
              <w:rPr>
                <w:rFonts w:cs="Calibri"/>
                <w:noProof w:val="0"/>
                <w:color w:val="FFFFFF"/>
                <w:szCs w:val="16"/>
              </w:rPr>
              <w:t>Afforestation and</w:t>
            </w:r>
            <w:r w:rsidRPr="0049701B">
              <w:rPr>
                <w:rFonts w:cs="Calibri"/>
                <w:noProof w:val="0"/>
                <w:color w:val="FFFFFF"/>
                <w:szCs w:val="16"/>
              </w:rPr>
              <w:br/>
              <w:t>reforestation</w:t>
            </w:r>
          </w:p>
        </w:tc>
        <w:tc>
          <w:tcPr>
            <w:tcW w:w="2747" w:type="dxa"/>
            <w:gridSpan w:val="3"/>
            <w:tcBorders>
              <w:top w:val="nil"/>
            </w:tcBorders>
            <w:shd w:val="clear" w:color="auto" w:fill="1B556B"/>
            <w:noWrap/>
            <w:vAlign w:val="bottom"/>
            <w:hideMark/>
          </w:tcPr>
          <w:p w14:paraId="6B516E25" w14:textId="77777777" w:rsidR="00616641" w:rsidRPr="0049701B" w:rsidRDefault="00616641" w:rsidP="007E3239">
            <w:pPr>
              <w:pStyle w:val="TableTextBold"/>
              <w:spacing w:before="50" w:after="50"/>
              <w:jc w:val="center"/>
              <w:rPr>
                <w:rFonts w:cs="Calibri"/>
                <w:noProof w:val="0"/>
                <w:color w:val="FFFFFF"/>
                <w:szCs w:val="16"/>
              </w:rPr>
            </w:pPr>
            <w:r w:rsidRPr="0049701B">
              <w:rPr>
                <w:rFonts w:cs="Calibri"/>
                <w:noProof w:val="0"/>
                <w:color w:val="FFFFFF"/>
                <w:szCs w:val="16"/>
              </w:rPr>
              <w:t>Deforestation</w:t>
            </w:r>
          </w:p>
        </w:tc>
        <w:tc>
          <w:tcPr>
            <w:tcW w:w="840" w:type="dxa"/>
            <w:tcBorders>
              <w:top w:val="nil"/>
            </w:tcBorders>
            <w:shd w:val="clear" w:color="auto" w:fill="1B556B"/>
            <w:vAlign w:val="bottom"/>
          </w:tcPr>
          <w:p w14:paraId="2DFB7A27" w14:textId="77777777" w:rsidR="00616641" w:rsidRPr="0049701B" w:rsidRDefault="00616641" w:rsidP="007E3239">
            <w:pPr>
              <w:pStyle w:val="TableTextBold"/>
              <w:spacing w:before="50" w:after="50"/>
              <w:jc w:val="center"/>
              <w:rPr>
                <w:rFonts w:cs="Calibri"/>
                <w:noProof w:val="0"/>
                <w:color w:val="FFFFFF"/>
                <w:szCs w:val="16"/>
              </w:rPr>
            </w:pPr>
          </w:p>
        </w:tc>
        <w:tc>
          <w:tcPr>
            <w:tcW w:w="1840" w:type="dxa"/>
            <w:gridSpan w:val="2"/>
            <w:tcBorders>
              <w:top w:val="nil"/>
            </w:tcBorders>
            <w:shd w:val="clear" w:color="auto" w:fill="1B556B"/>
            <w:vAlign w:val="bottom"/>
          </w:tcPr>
          <w:p w14:paraId="2389F59F" w14:textId="77777777" w:rsidR="00616641" w:rsidRPr="0049701B" w:rsidRDefault="00616641" w:rsidP="007E3239">
            <w:pPr>
              <w:pStyle w:val="TableTextBold"/>
              <w:spacing w:before="50" w:after="50"/>
              <w:jc w:val="center"/>
              <w:rPr>
                <w:rFonts w:cs="Calibri"/>
                <w:noProof w:val="0"/>
                <w:color w:val="FFFFFF"/>
                <w:szCs w:val="16"/>
              </w:rPr>
            </w:pPr>
            <w:r w:rsidRPr="0049701B">
              <w:rPr>
                <w:rFonts w:cs="Calibri"/>
                <w:noProof w:val="0"/>
                <w:color w:val="FFFFFF"/>
                <w:szCs w:val="16"/>
              </w:rPr>
              <w:t>Forest management</w:t>
            </w:r>
          </w:p>
        </w:tc>
      </w:tr>
      <w:tr w:rsidR="00616641" w:rsidRPr="0049701B" w14:paraId="764AAE98" w14:textId="77777777" w:rsidTr="007E3239">
        <w:tc>
          <w:tcPr>
            <w:tcW w:w="1429" w:type="dxa"/>
            <w:shd w:val="clear" w:color="auto" w:fill="auto"/>
            <w:noWrap/>
            <w:vAlign w:val="bottom"/>
            <w:hideMark/>
          </w:tcPr>
          <w:p w14:paraId="74D5C16F" w14:textId="77777777" w:rsidR="00616641" w:rsidRPr="0049701B" w:rsidRDefault="00616641" w:rsidP="007E3239">
            <w:pPr>
              <w:pStyle w:val="TableText"/>
              <w:spacing w:before="50" w:after="50"/>
              <w:rPr>
                <w:rFonts w:cs="Calibri"/>
                <w:b/>
                <w:bCs/>
                <w:szCs w:val="16"/>
              </w:rPr>
            </w:pPr>
          </w:p>
        </w:tc>
        <w:tc>
          <w:tcPr>
            <w:tcW w:w="809" w:type="dxa"/>
            <w:shd w:val="clear" w:color="auto" w:fill="auto"/>
            <w:vAlign w:val="bottom"/>
            <w:hideMark/>
          </w:tcPr>
          <w:p w14:paraId="476AB8C8" w14:textId="77777777" w:rsidR="00616641" w:rsidRPr="0049701B" w:rsidRDefault="00616641" w:rsidP="007E3239">
            <w:pPr>
              <w:pStyle w:val="TableTextBold"/>
              <w:jc w:val="center"/>
              <w:rPr>
                <w:rFonts w:cs="Calibri"/>
                <w:b w:val="0"/>
                <w:noProof w:val="0"/>
                <w:szCs w:val="16"/>
              </w:rPr>
            </w:pPr>
            <w:r w:rsidRPr="0049701B">
              <w:rPr>
                <w:noProof w:val="0"/>
              </w:rPr>
              <w:t>Post-1989 planted forest</w:t>
            </w:r>
          </w:p>
        </w:tc>
        <w:tc>
          <w:tcPr>
            <w:tcW w:w="840" w:type="dxa"/>
          </w:tcPr>
          <w:p w14:paraId="643FBB6D" w14:textId="77777777" w:rsidR="00616641" w:rsidRPr="0049701B" w:rsidRDefault="00616641" w:rsidP="007E3239">
            <w:pPr>
              <w:pStyle w:val="TableTextBold"/>
              <w:jc w:val="center"/>
              <w:rPr>
                <w:rFonts w:cs="Calibri"/>
                <w:b w:val="0"/>
                <w:noProof w:val="0"/>
                <w:szCs w:val="16"/>
              </w:rPr>
            </w:pPr>
            <w:r w:rsidRPr="0049701B">
              <w:rPr>
                <w:noProof w:val="0"/>
              </w:rPr>
              <w:t>Post-1989 natural forest</w:t>
            </w:r>
          </w:p>
        </w:tc>
        <w:tc>
          <w:tcPr>
            <w:tcW w:w="841" w:type="dxa"/>
            <w:shd w:val="clear" w:color="auto" w:fill="auto"/>
            <w:noWrap/>
            <w:vAlign w:val="bottom"/>
            <w:hideMark/>
          </w:tcPr>
          <w:p w14:paraId="7C063E94" w14:textId="77777777" w:rsidR="00616641" w:rsidRPr="0049701B" w:rsidRDefault="00616641" w:rsidP="007E3239">
            <w:pPr>
              <w:pStyle w:val="TableTextBold"/>
              <w:jc w:val="center"/>
              <w:rPr>
                <w:rFonts w:cs="Calibri"/>
                <w:b w:val="0"/>
                <w:noProof w:val="0"/>
                <w:szCs w:val="16"/>
              </w:rPr>
            </w:pPr>
            <w:r w:rsidRPr="0049701B">
              <w:rPr>
                <w:noProof w:val="0"/>
              </w:rPr>
              <w:t>Pre-1990 natural forest</w:t>
            </w:r>
          </w:p>
        </w:tc>
        <w:tc>
          <w:tcPr>
            <w:tcW w:w="953" w:type="dxa"/>
            <w:shd w:val="clear" w:color="auto" w:fill="auto"/>
            <w:noWrap/>
            <w:vAlign w:val="bottom"/>
            <w:hideMark/>
          </w:tcPr>
          <w:p w14:paraId="169BA8E2" w14:textId="77777777" w:rsidR="00616641" w:rsidRPr="0049701B" w:rsidRDefault="00616641" w:rsidP="007E3239">
            <w:pPr>
              <w:pStyle w:val="TableTextBold"/>
              <w:jc w:val="center"/>
              <w:rPr>
                <w:rFonts w:cs="Calibri"/>
                <w:b w:val="0"/>
                <w:noProof w:val="0"/>
                <w:szCs w:val="16"/>
              </w:rPr>
            </w:pPr>
            <w:r w:rsidRPr="0049701B">
              <w:rPr>
                <w:noProof w:val="0"/>
              </w:rPr>
              <w:t>Pre-1990 planted forest</w:t>
            </w:r>
          </w:p>
        </w:tc>
        <w:tc>
          <w:tcPr>
            <w:tcW w:w="953" w:type="dxa"/>
            <w:shd w:val="clear" w:color="auto" w:fill="auto"/>
            <w:noWrap/>
            <w:vAlign w:val="bottom"/>
            <w:hideMark/>
          </w:tcPr>
          <w:p w14:paraId="6CAA95FA" w14:textId="77777777" w:rsidR="00616641" w:rsidRPr="0049701B" w:rsidRDefault="00616641" w:rsidP="007E3239">
            <w:pPr>
              <w:pStyle w:val="TableTextBold"/>
              <w:jc w:val="center"/>
              <w:rPr>
                <w:rFonts w:cs="Calibri"/>
                <w:b w:val="0"/>
                <w:noProof w:val="0"/>
                <w:szCs w:val="16"/>
              </w:rPr>
            </w:pPr>
            <w:r w:rsidRPr="0049701B">
              <w:rPr>
                <w:noProof w:val="0"/>
              </w:rPr>
              <w:t xml:space="preserve">Post-1989 </w:t>
            </w:r>
            <w:r w:rsidRPr="0049701B">
              <w:rPr>
                <w:rFonts w:cs="Calibri"/>
                <w:bCs/>
                <w:noProof w:val="0"/>
                <w:szCs w:val="16"/>
              </w:rPr>
              <w:t>planted forest</w:t>
            </w:r>
          </w:p>
        </w:tc>
        <w:tc>
          <w:tcPr>
            <w:tcW w:w="840" w:type="dxa"/>
          </w:tcPr>
          <w:p w14:paraId="67489AA5" w14:textId="77777777" w:rsidR="00616641" w:rsidRPr="0049701B" w:rsidRDefault="00616641" w:rsidP="007E3239">
            <w:pPr>
              <w:pStyle w:val="TableTextBold"/>
              <w:jc w:val="center"/>
              <w:rPr>
                <w:rFonts w:cs="Calibri"/>
                <w:b w:val="0"/>
                <w:noProof w:val="0"/>
                <w:szCs w:val="16"/>
              </w:rPr>
            </w:pPr>
            <w:r w:rsidRPr="0049701B">
              <w:rPr>
                <w:noProof w:val="0"/>
              </w:rPr>
              <w:t>Post-1989 natural forest</w:t>
            </w:r>
          </w:p>
        </w:tc>
        <w:tc>
          <w:tcPr>
            <w:tcW w:w="880" w:type="dxa"/>
            <w:shd w:val="clear" w:color="auto" w:fill="auto"/>
            <w:vAlign w:val="bottom"/>
          </w:tcPr>
          <w:p w14:paraId="67618B79" w14:textId="77777777" w:rsidR="00616641" w:rsidRPr="0049701B" w:rsidRDefault="00616641" w:rsidP="007E3239">
            <w:pPr>
              <w:pStyle w:val="TableTextBold"/>
              <w:jc w:val="center"/>
              <w:rPr>
                <w:rFonts w:cs="Calibri"/>
                <w:b w:val="0"/>
                <w:noProof w:val="0"/>
                <w:szCs w:val="16"/>
              </w:rPr>
            </w:pPr>
            <w:r w:rsidRPr="0049701B">
              <w:rPr>
                <w:noProof w:val="0"/>
              </w:rPr>
              <w:t xml:space="preserve">Pre-1990 natural </w:t>
            </w:r>
            <w:r w:rsidRPr="0049701B">
              <w:rPr>
                <w:rFonts w:cs="Calibri"/>
                <w:bCs/>
                <w:noProof w:val="0"/>
                <w:szCs w:val="16"/>
              </w:rPr>
              <w:t>forest</w:t>
            </w:r>
          </w:p>
        </w:tc>
        <w:tc>
          <w:tcPr>
            <w:tcW w:w="960" w:type="dxa"/>
            <w:shd w:val="clear" w:color="auto" w:fill="auto"/>
            <w:vAlign w:val="bottom"/>
          </w:tcPr>
          <w:p w14:paraId="24309180" w14:textId="77777777" w:rsidR="00616641" w:rsidRPr="0049701B" w:rsidRDefault="00616641" w:rsidP="007E3239">
            <w:pPr>
              <w:pStyle w:val="TableTextBold"/>
              <w:jc w:val="center"/>
              <w:rPr>
                <w:rFonts w:cs="Calibri"/>
                <w:b w:val="0"/>
                <w:noProof w:val="0"/>
                <w:szCs w:val="16"/>
              </w:rPr>
            </w:pPr>
            <w:r w:rsidRPr="0049701B">
              <w:rPr>
                <w:noProof w:val="0"/>
              </w:rPr>
              <w:t>Pre-1990 planted forest</w:t>
            </w:r>
          </w:p>
        </w:tc>
      </w:tr>
      <w:tr w:rsidR="00616641" w:rsidRPr="0049701B" w14:paraId="6003F5F7" w14:textId="77777777" w:rsidTr="007E3239">
        <w:tc>
          <w:tcPr>
            <w:tcW w:w="1429" w:type="dxa"/>
            <w:shd w:val="clear" w:color="auto" w:fill="auto"/>
            <w:noWrap/>
            <w:hideMark/>
          </w:tcPr>
          <w:p w14:paraId="2A18E7EB" w14:textId="77777777" w:rsidR="00616641" w:rsidRPr="0049701B" w:rsidRDefault="00616641" w:rsidP="007E3239">
            <w:pPr>
              <w:pStyle w:val="TableTextBold"/>
              <w:spacing w:before="50" w:after="50"/>
              <w:rPr>
                <w:rFonts w:cs="Calibri"/>
                <w:bCs/>
                <w:noProof w:val="0"/>
                <w:szCs w:val="16"/>
              </w:rPr>
            </w:pPr>
            <w:r w:rsidRPr="0049701B">
              <w:rPr>
                <w:rFonts w:cs="Calibri"/>
                <w:bCs/>
                <w:noProof w:val="0"/>
                <w:szCs w:val="16"/>
              </w:rPr>
              <w:t>Activity data</w:t>
            </w:r>
          </w:p>
        </w:tc>
        <w:tc>
          <w:tcPr>
            <w:tcW w:w="809" w:type="dxa"/>
            <w:shd w:val="clear" w:color="auto" w:fill="auto"/>
            <w:noWrap/>
            <w:hideMark/>
          </w:tcPr>
          <w:p w14:paraId="1885EF07" w14:textId="77777777" w:rsidR="00616641" w:rsidRPr="0049701B" w:rsidRDefault="00616641" w:rsidP="007E3239">
            <w:pPr>
              <w:pStyle w:val="TableTextBold"/>
              <w:spacing w:before="50" w:after="50"/>
              <w:jc w:val="center"/>
              <w:rPr>
                <w:rFonts w:cs="Calibri"/>
                <w:noProof w:val="0"/>
                <w:szCs w:val="16"/>
              </w:rPr>
            </w:pPr>
          </w:p>
        </w:tc>
        <w:tc>
          <w:tcPr>
            <w:tcW w:w="840" w:type="dxa"/>
          </w:tcPr>
          <w:p w14:paraId="652F8C0C" w14:textId="77777777" w:rsidR="00616641" w:rsidRPr="0049701B" w:rsidRDefault="00616641" w:rsidP="007E3239">
            <w:pPr>
              <w:pStyle w:val="TableTextBold"/>
              <w:spacing w:before="50" w:after="50"/>
              <w:jc w:val="center"/>
              <w:rPr>
                <w:rFonts w:cs="Calibri"/>
                <w:noProof w:val="0"/>
                <w:szCs w:val="16"/>
              </w:rPr>
            </w:pPr>
          </w:p>
        </w:tc>
        <w:tc>
          <w:tcPr>
            <w:tcW w:w="841" w:type="dxa"/>
            <w:shd w:val="clear" w:color="auto" w:fill="auto"/>
            <w:noWrap/>
            <w:hideMark/>
          </w:tcPr>
          <w:p w14:paraId="6C1CA483" w14:textId="77777777" w:rsidR="00616641" w:rsidRPr="0049701B" w:rsidRDefault="00616641" w:rsidP="007E3239">
            <w:pPr>
              <w:pStyle w:val="TableTextBold"/>
              <w:spacing w:before="50" w:after="50"/>
              <w:jc w:val="center"/>
              <w:rPr>
                <w:rFonts w:cs="Calibri"/>
                <w:noProof w:val="0"/>
                <w:szCs w:val="16"/>
              </w:rPr>
            </w:pPr>
          </w:p>
        </w:tc>
        <w:tc>
          <w:tcPr>
            <w:tcW w:w="953" w:type="dxa"/>
            <w:shd w:val="clear" w:color="auto" w:fill="auto"/>
            <w:noWrap/>
            <w:hideMark/>
          </w:tcPr>
          <w:p w14:paraId="21E034F8" w14:textId="77777777" w:rsidR="00616641" w:rsidRPr="0049701B" w:rsidRDefault="00616641" w:rsidP="007E3239">
            <w:pPr>
              <w:pStyle w:val="TableTextBold"/>
              <w:spacing w:before="50" w:after="50"/>
              <w:jc w:val="center"/>
              <w:rPr>
                <w:rFonts w:cs="Calibri"/>
                <w:noProof w:val="0"/>
                <w:szCs w:val="16"/>
              </w:rPr>
            </w:pPr>
          </w:p>
        </w:tc>
        <w:tc>
          <w:tcPr>
            <w:tcW w:w="953" w:type="dxa"/>
            <w:shd w:val="clear" w:color="auto" w:fill="auto"/>
            <w:noWrap/>
            <w:hideMark/>
          </w:tcPr>
          <w:p w14:paraId="315CDFD7" w14:textId="77777777" w:rsidR="00616641" w:rsidRPr="0049701B" w:rsidRDefault="00616641" w:rsidP="007E3239">
            <w:pPr>
              <w:pStyle w:val="TableTextBold"/>
              <w:spacing w:before="50" w:after="50"/>
              <w:jc w:val="center"/>
              <w:rPr>
                <w:rFonts w:cs="Calibri"/>
                <w:noProof w:val="0"/>
                <w:szCs w:val="16"/>
              </w:rPr>
            </w:pPr>
          </w:p>
        </w:tc>
        <w:tc>
          <w:tcPr>
            <w:tcW w:w="840" w:type="dxa"/>
          </w:tcPr>
          <w:p w14:paraId="53041B76" w14:textId="77777777" w:rsidR="00616641" w:rsidRPr="0049701B" w:rsidRDefault="00616641" w:rsidP="007E3239">
            <w:pPr>
              <w:pStyle w:val="TableTextBold"/>
              <w:spacing w:before="50" w:after="50"/>
              <w:jc w:val="center"/>
              <w:rPr>
                <w:rFonts w:cs="Calibri"/>
                <w:noProof w:val="0"/>
                <w:szCs w:val="16"/>
              </w:rPr>
            </w:pPr>
          </w:p>
        </w:tc>
        <w:tc>
          <w:tcPr>
            <w:tcW w:w="880" w:type="dxa"/>
            <w:shd w:val="clear" w:color="auto" w:fill="auto"/>
          </w:tcPr>
          <w:p w14:paraId="5F9E6E55" w14:textId="77777777" w:rsidR="00616641" w:rsidRPr="0049701B" w:rsidRDefault="00616641" w:rsidP="007E3239">
            <w:pPr>
              <w:pStyle w:val="TableTextBold"/>
              <w:spacing w:before="50" w:after="50"/>
              <w:jc w:val="center"/>
              <w:rPr>
                <w:rFonts w:cs="Calibri"/>
                <w:noProof w:val="0"/>
                <w:szCs w:val="16"/>
              </w:rPr>
            </w:pPr>
          </w:p>
        </w:tc>
        <w:tc>
          <w:tcPr>
            <w:tcW w:w="960" w:type="dxa"/>
            <w:shd w:val="clear" w:color="auto" w:fill="auto"/>
          </w:tcPr>
          <w:p w14:paraId="5BFBA55E" w14:textId="77777777" w:rsidR="00616641" w:rsidRPr="0049701B" w:rsidRDefault="00616641" w:rsidP="007E3239">
            <w:pPr>
              <w:pStyle w:val="TableTextBold"/>
              <w:spacing w:before="50" w:after="50"/>
              <w:jc w:val="center"/>
              <w:rPr>
                <w:rFonts w:cs="Calibri"/>
                <w:noProof w:val="0"/>
                <w:szCs w:val="16"/>
              </w:rPr>
            </w:pPr>
          </w:p>
        </w:tc>
      </w:tr>
      <w:tr w:rsidR="00616641" w:rsidRPr="0049701B" w14:paraId="6C6FA9C4" w14:textId="77777777" w:rsidTr="007E3239">
        <w:tc>
          <w:tcPr>
            <w:tcW w:w="1429" w:type="dxa"/>
            <w:shd w:val="clear" w:color="auto" w:fill="auto"/>
            <w:noWrap/>
            <w:vAlign w:val="center"/>
            <w:hideMark/>
          </w:tcPr>
          <w:p w14:paraId="12FFF760" w14:textId="77777777" w:rsidR="00616641" w:rsidRPr="0049701B" w:rsidRDefault="00616641" w:rsidP="007E3239">
            <w:pPr>
              <w:pStyle w:val="TableText"/>
            </w:pPr>
            <w:r w:rsidRPr="0049701B">
              <w:t>Uncertainty in land area</w:t>
            </w:r>
          </w:p>
        </w:tc>
        <w:tc>
          <w:tcPr>
            <w:tcW w:w="809" w:type="dxa"/>
            <w:shd w:val="clear" w:color="auto" w:fill="auto"/>
            <w:noWrap/>
            <w:hideMark/>
          </w:tcPr>
          <w:p w14:paraId="00C1CDE9" w14:textId="77777777" w:rsidR="00616641" w:rsidRPr="0031241C" w:rsidRDefault="00616641" w:rsidP="007E3239">
            <w:pPr>
              <w:pStyle w:val="TableText"/>
              <w:tabs>
                <w:tab w:val="decimal" w:pos="377"/>
              </w:tabs>
            </w:pPr>
            <w:r w:rsidRPr="0031241C">
              <w:t>±8.0</w:t>
            </w:r>
          </w:p>
        </w:tc>
        <w:tc>
          <w:tcPr>
            <w:tcW w:w="840" w:type="dxa"/>
          </w:tcPr>
          <w:p w14:paraId="26050151" w14:textId="77777777" w:rsidR="00616641" w:rsidRPr="0031241C" w:rsidRDefault="00616641" w:rsidP="007E3239">
            <w:pPr>
              <w:pStyle w:val="TableText"/>
              <w:tabs>
                <w:tab w:val="decimal" w:pos="377"/>
              </w:tabs>
            </w:pPr>
            <w:r w:rsidRPr="0031241C">
              <w:t>±8.0</w:t>
            </w:r>
          </w:p>
        </w:tc>
        <w:tc>
          <w:tcPr>
            <w:tcW w:w="841" w:type="dxa"/>
            <w:shd w:val="clear" w:color="auto" w:fill="auto"/>
            <w:noWrap/>
            <w:hideMark/>
          </w:tcPr>
          <w:p w14:paraId="29105792" w14:textId="77777777" w:rsidR="00616641" w:rsidRPr="0031241C" w:rsidRDefault="00616641" w:rsidP="007E3239">
            <w:pPr>
              <w:pStyle w:val="TableText"/>
              <w:tabs>
                <w:tab w:val="decimal" w:pos="377"/>
              </w:tabs>
            </w:pPr>
            <w:r w:rsidRPr="0031241C">
              <w:t>±5.0</w:t>
            </w:r>
          </w:p>
        </w:tc>
        <w:tc>
          <w:tcPr>
            <w:tcW w:w="953" w:type="dxa"/>
            <w:shd w:val="clear" w:color="auto" w:fill="auto"/>
            <w:noWrap/>
            <w:hideMark/>
          </w:tcPr>
          <w:p w14:paraId="72FC4488" w14:textId="77777777" w:rsidR="00616641" w:rsidRPr="0031241C" w:rsidRDefault="00616641" w:rsidP="007E3239">
            <w:pPr>
              <w:pStyle w:val="TableText"/>
              <w:tabs>
                <w:tab w:val="decimal" w:pos="377"/>
              </w:tabs>
            </w:pPr>
            <w:r w:rsidRPr="0031241C">
              <w:t>±5.0</w:t>
            </w:r>
          </w:p>
        </w:tc>
        <w:tc>
          <w:tcPr>
            <w:tcW w:w="953" w:type="dxa"/>
            <w:shd w:val="clear" w:color="auto" w:fill="auto"/>
            <w:noWrap/>
            <w:hideMark/>
          </w:tcPr>
          <w:p w14:paraId="52DDF859" w14:textId="77777777" w:rsidR="00616641" w:rsidRPr="0031241C" w:rsidRDefault="00616641" w:rsidP="007E3239">
            <w:pPr>
              <w:pStyle w:val="TableText"/>
              <w:tabs>
                <w:tab w:val="decimal" w:pos="377"/>
              </w:tabs>
            </w:pPr>
            <w:r w:rsidRPr="0031241C">
              <w:t>±5.0</w:t>
            </w:r>
          </w:p>
        </w:tc>
        <w:tc>
          <w:tcPr>
            <w:tcW w:w="840" w:type="dxa"/>
          </w:tcPr>
          <w:p w14:paraId="288D55F6" w14:textId="77777777" w:rsidR="00616641" w:rsidRPr="0031241C" w:rsidRDefault="00616641" w:rsidP="007E3239">
            <w:pPr>
              <w:pStyle w:val="TableText"/>
              <w:tabs>
                <w:tab w:val="decimal" w:pos="377"/>
              </w:tabs>
            </w:pPr>
            <w:r w:rsidRPr="0031241C">
              <w:t>±5.0</w:t>
            </w:r>
          </w:p>
        </w:tc>
        <w:tc>
          <w:tcPr>
            <w:tcW w:w="880" w:type="dxa"/>
            <w:shd w:val="clear" w:color="auto" w:fill="auto"/>
          </w:tcPr>
          <w:p w14:paraId="512779DC" w14:textId="77777777" w:rsidR="00616641" w:rsidRPr="0031241C" w:rsidRDefault="00616641" w:rsidP="007E3239">
            <w:pPr>
              <w:pStyle w:val="TableText"/>
              <w:tabs>
                <w:tab w:val="decimal" w:pos="377"/>
              </w:tabs>
            </w:pPr>
            <w:r w:rsidRPr="0031241C">
              <w:t>±5.0</w:t>
            </w:r>
          </w:p>
        </w:tc>
        <w:tc>
          <w:tcPr>
            <w:tcW w:w="960" w:type="dxa"/>
            <w:shd w:val="clear" w:color="auto" w:fill="auto"/>
          </w:tcPr>
          <w:p w14:paraId="727ACF4D" w14:textId="77777777" w:rsidR="00616641" w:rsidRPr="0031241C" w:rsidRDefault="00616641" w:rsidP="007E3239">
            <w:pPr>
              <w:pStyle w:val="TableText"/>
              <w:tabs>
                <w:tab w:val="decimal" w:pos="377"/>
              </w:tabs>
            </w:pPr>
            <w:r w:rsidRPr="0031241C">
              <w:t>±5.0</w:t>
            </w:r>
          </w:p>
        </w:tc>
      </w:tr>
      <w:tr w:rsidR="00616641" w:rsidRPr="0049701B" w14:paraId="12BB35B8" w14:textId="77777777" w:rsidTr="007E3239">
        <w:tc>
          <w:tcPr>
            <w:tcW w:w="1429" w:type="dxa"/>
            <w:shd w:val="clear" w:color="auto" w:fill="auto"/>
            <w:noWrap/>
            <w:hideMark/>
          </w:tcPr>
          <w:p w14:paraId="12D0BA85" w14:textId="77777777" w:rsidR="00616641" w:rsidRPr="0049701B" w:rsidRDefault="00616641" w:rsidP="007E3239">
            <w:pPr>
              <w:pStyle w:val="TableTextBold"/>
              <w:spacing w:before="50" w:after="50"/>
              <w:rPr>
                <w:rFonts w:cs="Calibri"/>
                <w:bCs/>
                <w:noProof w:val="0"/>
                <w:szCs w:val="16"/>
              </w:rPr>
            </w:pPr>
            <w:r w:rsidRPr="0049701B">
              <w:rPr>
                <w:rFonts w:cs="Calibri"/>
                <w:bCs/>
                <w:noProof w:val="0"/>
                <w:szCs w:val="16"/>
              </w:rPr>
              <w:t>Emission factors</w:t>
            </w:r>
          </w:p>
        </w:tc>
        <w:tc>
          <w:tcPr>
            <w:tcW w:w="809" w:type="dxa"/>
            <w:shd w:val="clear" w:color="auto" w:fill="auto"/>
            <w:noWrap/>
            <w:hideMark/>
          </w:tcPr>
          <w:p w14:paraId="6C902C99" w14:textId="77777777" w:rsidR="00616641" w:rsidRPr="0049701B" w:rsidRDefault="00616641" w:rsidP="007E3239">
            <w:pPr>
              <w:pStyle w:val="TableTextBold"/>
              <w:tabs>
                <w:tab w:val="decimal" w:pos="377"/>
              </w:tabs>
              <w:spacing w:before="50" w:after="50"/>
              <w:ind w:right="118"/>
              <w:jc w:val="right"/>
              <w:rPr>
                <w:rFonts w:cs="Calibri"/>
                <w:noProof w:val="0"/>
                <w:szCs w:val="16"/>
              </w:rPr>
            </w:pPr>
          </w:p>
        </w:tc>
        <w:tc>
          <w:tcPr>
            <w:tcW w:w="840" w:type="dxa"/>
          </w:tcPr>
          <w:p w14:paraId="720BD0D5" w14:textId="77777777" w:rsidR="00616641" w:rsidRPr="0049701B" w:rsidRDefault="00616641" w:rsidP="007E3239">
            <w:pPr>
              <w:pStyle w:val="TableTextBold"/>
              <w:tabs>
                <w:tab w:val="decimal" w:pos="377"/>
              </w:tabs>
              <w:spacing w:before="50" w:after="50"/>
              <w:ind w:right="118"/>
              <w:jc w:val="right"/>
              <w:rPr>
                <w:rFonts w:cs="Calibri"/>
                <w:noProof w:val="0"/>
                <w:szCs w:val="16"/>
              </w:rPr>
            </w:pPr>
          </w:p>
        </w:tc>
        <w:tc>
          <w:tcPr>
            <w:tcW w:w="841" w:type="dxa"/>
            <w:shd w:val="clear" w:color="auto" w:fill="auto"/>
            <w:noWrap/>
            <w:hideMark/>
          </w:tcPr>
          <w:p w14:paraId="4A5760E8" w14:textId="77777777" w:rsidR="00616641" w:rsidRPr="0049701B" w:rsidRDefault="00616641" w:rsidP="007E3239">
            <w:pPr>
              <w:pStyle w:val="TableTextBold"/>
              <w:tabs>
                <w:tab w:val="decimal" w:pos="377"/>
              </w:tabs>
              <w:spacing w:before="50" w:after="50"/>
              <w:ind w:right="118"/>
              <w:jc w:val="right"/>
              <w:rPr>
                <w:rFonts w:cs="Calibri"/>
                <w:noProof w:val="0"/>
                <w:szCs w:val="16"/>
              </w:rPr>
            </w:pPr>
          </w:p>
        </w:tc>
        <w:tc>
          <w:tcPr>
            <w:tcW w:w="953" w:type="dxa"/>
            <w:shd w:val="clear" w:color="auto" w:fill="auto"/>
            <w:noWrap/>
            <w:hideMark/>
          </w:tcPr>
          <w:p w14:paraId="152D82EB" w14:textId="77777777" w:rsidR="00616641" w:rsidRPr="0049701B" w:rsidRDefault="00616641" w:rsidP="007E3239">
            <w:pPr>
              <w:pStyle w:val="TableTextBold"/>
              <w:tabs>
                <w:tab w:val="decimal" w:pos="377"/>
              </w:tabs>
              <w:spacing w:before="50" w:after="50"/>
              <w:ind w:right="118"/>
              <w:jc w:val="right"/>
              <w:rPr>
                <w:rFonts w:cs="Calibri"/>
                <w:noProof w:val="0"/>
                <w:szCs w:val="16"/>
              </w:rPr>
            </w:pPr>
          </w:p>
        </w:tc>
        <w:tc>
          <w:tcPr>
            <w:tcW w:w="953" w:type="dxa"/>
            <w:shd w:val="clear" w:color="auto" w:fill="auto"/>
            <w:noWrap/>
            <w:hideMark/>
          </w:tcPr>
          <w:p w14:paraId="0E0434A9" w14:textId="77777777" w:rsidR="00616641" w:rsidRPr="0049701B" w:rsidRDefault="00616641" w:rsidP="007E3239">
            <w:pPr>
              <w:pStyle w:val="TableTextBold"/>
              <w:tabs>
                <w:tab w:val="decimal" w:pos="377"/>
              </w:tabs>
              <w:spacing w:before="50" w:after="50"/>
              <w:ind w:right="118"/>
              <w:jc w:val="right"/>
              <w:rPr>
                <w:rFonts w:cs="Calibri"/>
                <w:noProof w:val="0"/>
                <w:szCs w:val="16"/>
              </w:rPr>
            </w:pPr>
          </w:p>
        </w:tc>
        <w:tc>
          <w:tcPr>
            <w:tcW w:w="840" w:type="dxa"/>
          </w:tcPr>
          <w:p w14:paraId="5264EF37" w14:textId="77777777" w:rsidR="00616641" w:rsidRPr="0049701B" w:rsidRDefault="00616641" w:rsidP="007E3239">
            <w:pPr>
              <w:pStyle w:val="TableTextBold"/>
              <w:tabs>
                <w:tab w:val="decimal" w:pos="377"/>
              </w:tabs>
              <w:spacing w:before="50" w:after="50"/>
              <w:ind w:right="118"/>
              <w:jc w:val="right"/>
              <w:rPr>
                <w:rFonts w:cs="Calibri"/>
                <w:noProof w:val="0"/>
                <w:szCs w:val="16"/>
              </w:rPr>
            </w:pPr>
          </w:p>
        </w:tc>
        <w:tc>
          <w:tcPr>
            <w:tcW w:w="880" w:type="dxa"/>
            <w:shd w:val="clear" w:color="auto" w:fill="auto"/>
          </w:tcPr>
          <w:p w14:paraId="0539F730" w14:textId="77777777" w:rsidR="00616641" w:rsidRPr="0049701B" w:rsidRDefault="00616641" w:rsidP="007E3239">
            <w:pPr>
              <w:pStyle w:val="TableTextBold"/>
              <w:tabs>
                <w:tab w:val="decimal" w:pos="377"/>
              </w:tabs>
              <w:spacing w:before="50" w:after="50"/>
              <w:ind w:right="118"/>
              <w:jc w:val="right"/>
              <w:rPr>
                <w:rFonts w:cs="Calibri"/>
                <w:noProof w:val="0"/>
                <w:szCs w:val="16"/>
              </w:rPr>
            </w:pPr>
          </w:p>
        </w:tc>
        <w:tc>
          <w:tcPr>
            <w:tcW w:w="960" w:type="dxa"/>
            <w:shd w:val="clear" w:color="auto" w:fill="auto"/>
          </w:tcPr>
          <w:p w14:paraId="1BCC96A0" w14:textId="77777777" w:rsidR="00616641" w:rsidRPr="0049701B" w:rsidRDefault="00616641" w:rsidP="007E3239">
            <w:pPr>
              <w:pStyle w:val="TableTextBold"/>
              <w:tabs>
                <w:tab w:val="decimal" w:pos="377"/>
              </w:tabs>
              <w:spacing w:before="50" w:after="50"/>
              <w:ind w:right="118"/>
              <w:jc w:val="right"/>
              <w:rPr>
                <w:rFonts w:cs="Calibri"/>
                <w:noProof w:val="0"/>
                <w:szCs w:val="16"/>
              </w:rPr>
            </w:pPr>
          </w:p>
        </w:tc>
      </w:tr>
      <w:tr w:rsidR="00616641" w:rsidRPr="0049701B" w14:paraId="56640AFC" w14:textId="77777777" w:rsidTr="007E3239">
        <w:tc>
          <w:tcPr>
            <w:tcW w:w="1429" w:type="dxa"/>
            <w:shd w:val="clear" w:color="auto" w:fill="auto"/>
            <w:noWrap/>
            <w:hideMark/>
          </w:tcPr>
          <w:p w14:paraId="33089329" w14:textId="77777777" w:rsidR="00616641" w:rsidRPr="0049701B" w:rsidRDefault="00616641" w:rsidP="007E3239">
            <w:pPr>
              <w:pStyle w:val="TableText"/>
              <w:rPr>
                <w:rFonts w:cs="Calibri"/>
                <w:bCs/>
                <w:szCs w:val="16"/>
              </w:rPr>
            </w:pPr>
            <w:r w:rsidRPr="0049701B">
              <w:t>Uncertainty in biomass carbon stocks (losses)</w:t>
            </w:r>
          </w:p>
        </w:tc>
        <w:tc>
          <w:tcPr>
            <w:tcW w:w="809" w:type="dxa"/>
            <w:shd w:val="clear" w:color="auto" w:fill="auto"/>
            <w:noWrap/>
            <w:hideMark/>
          </w:tcPr>
          <w:p w14:paraId="6B025206" w14:textId="77777777" w:rsidR="00616641" w:rsidRPr="0031241C" w:rsidRDefault="00616641" w:rsidP="007E3239">
            <w:pPr>
              <w:pStyle w:val="TableText"/>
              <w:tabs>
                <w:tab w:val="decimal" w:pos="377"/>
              </w:tabs>
            </w:pPr>
            <w:r w:rsidRPr="0031241C">
              <w:t>±20.5</w:t>
            </w:r>
          </w:p>
        </w:tc>
        <w:tc>
          <w:tcPr>
            <w:tcW w:w="840" w:type="dxa"/>
          </w:tcPr>
          <w:p w14:paraId="5311B0FB" w14:textId="77777777" w:rsidR="00616641" w:rsidRPr="0031241C" w:rsidRDefault="00616641" w:rsidP="007E3239">
            <w:pPr>
              <w:pStyle w:val="TableText"/>
              <w:tabs>
                <w:tab w:val="decimal" w:pos="377"/>
              </w:tabs>
            </w:pPr>
            <w:r w:rsidRPr="0031241C">
              <w:t>–</w:t>
            </w:r>
          </w:p>
        </w:tc>
        <w:tc>
          <w:tcPr>
            <w:tcW w:w="841" w:type="dxa"/>
            <w:shd w:val="clear" w:color="auto" w:fill="auto"/>
            <w:noWrap/>
            <w:hideMark/>
          </w:tcPr>
          <w:p w14:paraId="68BF7050" w14:textId="77777777" w:rsidR="00616641" w:rsidRPr="0031241C" w:rsidRDefault="00616641" w:rsidP="007E3239">
            <w:pPr>
              <w:pStyle w:val="TableText"/>
              <w:tabs>
                <w:tab w:val="decimal" w:pos="377"/>
              </w:tabs>
            </w:pPr>
            <w:r w:rsidRPr="0031241C">
              <w:t>±27.3</w:t>
            </w:r>
          </w:p>
        </w:tc>
        <w:tc>
          <w:tcPr>
            <w:tcW w:w="953" w:type="dxa"/>
            <w:shd w:val="clear" w:color="auto" w:fill="auto"/>
            <w:noWrap/>
            <w:hideMark/>
          </w:tcPr>
          <w:p w14:paraId="134492D1" w14:textId="77777777" w:rsidR="00616641" w:rsidRPr="0031241C" w:rsidRDefault="00616641" w:rsidP="007E3239">
            <w:pPr>
              <w:pStyle w:val="TableText"/>
              <w:tabs>
                <w:tab w:val="decimal" w:pos="377"/>
              </w:tabs>
            </w:pPr>
            <w:r w:rsidRPr="0031241C">
              <w:t>±21.0</w:t>
            </w:r>
          </w:p>
        </w:tc>
        <w:tc>
          <w:tcPr>
            <w:tcW w:w="953" w:type="dxa"/>
            <w:shd w:val="clear" w:color="auto" w:fill="auto"/>
            <w:noWrap/>
            <w:hideMark/>
          </w:tcPr>
          <w:p w14:paraId="48C12907" w14:textId="77777777" w:rsidR="00616641" w:rsidRPr="0031241C" w:rsidRDefault="00616641" w:rsidP="007E3239">
            <w:pPr>
              <w:pStyle w:val="TableText"/>
              <w:tabs>
                <w:tab w:val="decimal" w:pos="377"/>
              </w:tabs>
            </w:pPr>
            <w:r w:rsidRPr="0031241C">
              <w:t>±20.5</w:t>
            </w:r>
          </w:p>
        </w:tc>
        <w:tc>
          <w:tcPr>
            <w:tcW w:w="840" w:type="dxa"/>
          </w:tcPr>
          <w:p w14:paraId="354FC7DD" w14:textId="77777777" w:rsidR="00616641" w:rsidRPr="0031241C" w:rsidRDefault="00616641" w:rsidP="007E3239">
            <w:pPr>
              <w:pStyle w:val="TableText"/>
              <w:tabs>
                <w:tab w:val="decimal" w:pos="377"/>
              </w:tabs>
            </w:pPr>
            <w:r w:rsidRPr="0031241C">
              <w:t>±27.0</w:t>
            </w:r>
          </w:p>
        </w:tc>
        <w:tc>
          <w:tcPr>
            <w:tcW w:w="880" w:type="dxa"/>
            <w:shd w:val="clear" w:color="auto" w:fill="auto"/>
          </w:tcPr>
          <w:p w14:paraId="50B3265A" w14:textId="77777777" w:rsidR="00616641" w:rsidRPr="0031241C" w:rsidRDefault="00616641" w:rsidP="007E3239">
            <w:pPr>
              <w:pStyle w:val="TableText"/>
              <w:tabs>
                <w:tab w:val="decimal" w:pos="377"/>
              </w:tabs>
            </w:pPr>
            <w:r w:rsidRPr="0031241C">
              <w:t>–</w:t>
            </w:r>
          </w:p>
        </w:tc>
        <w:tc>
          <w:tcPr>
            <w:tcW w:w="960" w:type="dxa"/>
            <w:shd w:val="clear" w:color="auto" w:fill="auto"/>
          </w:tcPr>
          <w:p w14:paraId="03D325F6" w14:textId="77777777" w:rsidR="00616641" w:rsidRPr="0031241C" w:rsidRDefault="00616641" w:rsidP="007E3239">
            <w:pPr>
              <w:pStyle w:val="TableText"/>
              <w:tabs>
                <w:tab w:val="decimal" w:pos="377"/>
              </w:tabs>
            </w:pPr>
            <w:r w:rsidRPr="0031241C">
              <w:t>±21.0</w:t>
            </w:r>
          </w:p>
        </w:tc>
      </w:tr>
      <w:tr w:rsidR="00616641" w:rsidRPr="0049701B" w14:paraId="68207F2D" w14:textId="77777777" w:rsidTr="007E3239">
        <w:tc>
          <w:tcPr>
            <w:tcW w:w="1429" w:type="dxa"/>
            <w:shd w:val="clear" w:color="auto" w:fill="auto"/>
            <w:noWrap/>
          </w:tcPr>
          <w:p w14:paraId="57063D5D" w14:textId="77777777" w:rsidR="00616641" w:rsidRPr="0049701B" w:rsidRDefault="00616641" w:rsidP="007E3239">
            <w:pPr>
              <w:pStyle w:val="TableText"/>
              <w:rPr>
                <w:rFonts w:cs="Calibri"/>
                <w:bCs/>
                <w:szCs w:val="16"/>
              </w:rPr>
            </w:pPr>
            <w:r w:rsidRPr="0049701B">
              <w:t>Uncertainty in biomass carbon change (gains)</w:t>
            </w:r>
          </w:p>
        </w:tc>
        <w:tc>
          <w:tcPr>
            <w:tcW w:w="809" w:type="dxa"/>
            <w:shd w:val="clear" w:color="auto" w:fill="auto"/>
            <w:noWrap/>
          </w:tcPr>
          <w:p w14:paraId="256CEE21" w14:textId="77777777" w:rsidR="00616641" w:rsidRPr="0031241C" w:rsidRDefault="00616641" w:rsidP="007E3239">
            <w:pPr>
              <w:pStyle w:val="TableText"/>
              <w:tabs>
                <w:tab w:val="decimal" w:pos="377"/>
              </w:tabs>
            </w:pPr>
            <w:r w:rsidRPr="0031241C">
              <w:t>±8.9</w:t>
            </w:r>
          </w:p>
        </w:tc>
        <w:tc>
          <w:tcPr>
            <w:tcW w:w="840" w:type="dxa"/>
          </w:tcPr>
          <w:p w14:paraId="5EF83D8E" w14:textId="77777777" w:rsidR="00616641" w:rsidRPr="0031241C" w:rsidRDefault="00616641" w:rsidP="007E3239">
            <w:pPr>
              <w:pStyle w:val="TableText"/>
              <w:tabs>
                <w:tab w:val="decimal" w:pos="377"/>
              </w:tabs>
            </w:pPr>
            <w:r w:rsidRPr="0031241C">
              <w:t>±44.8</w:t>
            </w:r>
          </w:p>
        </w:tc>
        <w:tc>
          <w:tcPr>
            <w:tcW w:w="841" w:type="dxa"/>
            <w:shd w:val="clear" w:color="auto" w:fill="auto"/>
            <w:noWrap/>
          </w:tcPr>
          <w:p w14:paraId="745E5B0E" w14:textId="77777777" w:rsidR="00616641" w:rsidRPr="0031241C" w:rsidRDefault="00616641" w:rsidP="007E3239">
            <w:pPr>
              <w:pStyle w:val="TableText"/>
              <w:tabs>
                <w:tab w:val="decimal" w:pos="377"/>
              </w:tabs>
            </w:pPr>
            <w:r w:rsidRPr="0031241C">
              <w:t>–</w:t>
            </w:r>
          </w:p>
        </w:tc>
        <w:tc>
          <w:tcPr>
            <w:tcW w:w="953" w:type="dxa"/>
            <w:shd w:val="clear" w:color="auto" w:fill="auto"/>
            <w:noWrap/>
          </w:tcPr>
          <w:p w14:paraId="62D82C8F" w14:textId="77777777" w:rsidR="00616641" w:rsidRPr="0031241C" w:rsidRDefault="00616641" w:rsidP="007E3239">
            <w:pPr>
              <w:pStyle w:val="TableText"/>
              <w:tabs>
                <w:tab w:val="decimal" w:pos="377"/>
              </w:tabs>
            </w:pPr>
            <w:r w:rsidRPr="0031241C">
              <w:t>–</w:t>
            </w:r>
          </w:p>
        </w:tc>
        <w:tc>
          <w:tcPr>
            <w:tcW w:w="953" w:type="dxa"/>
            <w:shd w:val="clear" w:color="auto" w:fill="auto"/>
            <w:noWrap/>
          </w:tcPr>
          <w:p w14:paraId="1A324930" w14:textId="77777777" w:rsidR="00616641" w:rsidRPr="0031241C" w:rsidRDefault="00616641" w:rsidP="007E3239">
            <w:pPr>
              <w:pStyle w:val="TableText"/>
              <w:tabs>
                <w:tab w:val="decimal" w:pos="377"/>
              </w:tabs>
            </w:pPr>
            <w:r w:rsidRPr="0031241C">
              <w:t>–</w:t>
            </w:r>
          </w:p>
        </w:tc>
        <w:tc>
          <w:tcPr>
            <w:tcW w:w="840" w:type="dxa"/>
          </w:tcPr>
          <w:p w14:paraId="162E64BF" w14:textId="77777777" w:rsidR="00616641" w:rsidRPr="0031241C" w:rsidRDefault="00616641" w:rsidP="007E3239">
            <w:pPr>
              <w:pStyle w:val="TableText"/>
              <w:tabs>
                <w:tab w:val="decimal" w:pos="377"/>
              </w:tabs>
            </w:pPr>
            <w:r w:rsidRPr="0031241C">
              <w:t>–</w:t>
            </w:r>
          </w:p>
        </w:tc>
        <w:tc>
          <w:tcPr>
            <w:tcW w:w="880" w:type="dxa"/>
            <w:shd w:val="clear" w:color="auto" w:fill="auto"/>
          </w:tcPr>
          <w:p w14:paraId="0CDBB09B" w14:textId="77777777" w:rsidR="00616641" w:rsidRPr="0031241C" w:rsidRDefault="00616641" w:rsidP="007E3239">
            <w:pPr>
              <w:pStyle w:val="TableText"/>
              <w:tabs>
                <w:tab w:val="decimal" w:pos="377"/>
              </w:tabs>
            </w:pPr>
            <w:r w:rsidRPr="0031241C">
              <w:t>±119.6</w:t>
            </w:r>
          </w:p>
        </w:tc>
        <w:tc>
          <w:tcPr>
            <w:tcW w:w="960" w:type="dxa"/>
            <w:shd w:val="clear" w:color="auto" w:fill="auto"/>
          </w:tcPr>
          <w:p w14:paraId="6312ED25" w14:textId="77777777" w:rsidR="00616641" w:rsidRPr="0031241C" w:rsidRDefault="00616641" w:rsidP="007E3239">
            <w:pPr>
              <w:pStyle w:val="TableText"/>
              <w:tabs>
                <w:tab w:val="decimal" w:pos="377"/>
              </w:tabs>
            </w:pPr>
            <w:r w:rsidRPr="0031241C">
              <w:t>±11.4</w:t>
            </w:r>
          </w:p>
        </w:tc>
      </w:tr>
      <w:tr w:rsidR="00616641" w:rsidRPr="0049701B" w14:paraId="32FD9A71" w14:textId="77777777" w:rsidTr="007E3239">
        <w:tc>
          <w:tcPr>
            <w:tcW w:w="1429" w:type="dxa"/>
            <w:shd w:val="clear" w:color="auto" w:fill="auto"/>
            <w:noWrap/>
            <w:vAlign w:val="bottom"/>
            <w:hideMark/>
          </w:tcPr>
          <w:p w14:paraId="41BBE047" w14:textId="77777777" w:rsidR="00616641" w:rsidRPr="0049701B" w:rsidRDefault="00616641" w:rsidP="007E3239">
            <w:pPr>
              <w:pStyle w:val="TableText"/>
              <w:rPr>
                <w:rFonts w:cs="Calibri"/>
                <w:bCs/>
                <w:szCs w:val="16"/>
              </w:rPr>
            </w:pPr>
            <w:r w:rsidRPr="0049701B">
              <w:rPr>
                <w:rFonts w:cs="Calibri"/>
                <w:bCs/>
                <w:szCs w:val="16"/>
              </w:rPr>
              <w:t>Uncertainty in soil carbon stocks</w:t>
            </w:r>
          </w:p>
        </w:tc>
        <w:tc>
          <w:tcPr>
            <w:tcW w:w="809" w:type="dxa"/>
            <w:shd w:val="clear" w:color="auto" w:fill="auto"/>
            <w:noWrap/>
            <w:hideMark/>
          </w:tcPr>
          <w:p w14:paraId="5F97D217" w14:textId="77777777" w:rsidR="00616641" w:rsidRPr="0031241C" w:rsidRDefault="00616641" w:rsidP="007E3239">
            <w:pPr>
              <w:pStyle w:val="TableText"/>
              <w:tabs>
                <w:tab w:val="decimal" w:pos="377"/>
              </w:tabs>
            </w:pPr>
            <w:r w:rsidRPr="0031241C">
              <w:t>±10.4</w:t>
            </w:r>
          </w:p>
        </w:tc>
        <w:tc>
          <w:tcPr>
            <w:tcW w:w="840" w:type="dxa"/>
          </w:tcPr>
          <w:p w14:paraId="5E63B570" w14:textId="77777777" w:rsidR="00616641" w:rsidRPr="0031241C" w:rsidRDefault="00616641" w:rsidP="007E3239">
            <w:pPr>
              <w:pStyle w:val="TableText"/>
              <w:tabs>
                <w:tab w:val="decimal" w:pos="377"/>
              </w:tabs>
            </w:pPr>
            <w:r w:rsidRPr="0031241C">
              <w:t>±10.4</w:t>
            </w:r>
          </w:p>
        </w:tc>
        <w:tc>
          <w:tcPr>
            <w:tcW w:w="841" w:type="dxa"/>
            <w:shd w:val="clear" w:color="auto" w:fill="auto"/>
            <w:noWrap/>
            <w:hideMark/>
          </w:tcPr>
          <w:p w14:paraId="323477E8" w14:textId="77777777" w:rsidR="00616641" w:rsidRPr="0031241C" w:rsidRDefault="00616641" w:rsidP="007E3239">
            <w:pPr>
              <w:pStyle w:val="TableText"/>
              <w:tabs>
                <w:tab w:val="decimal" w:pos="377"/>
              </w:tabs>
            </w:pPr>
            <w:r w:rsidRPr="0031241C">
              <w:t>±7.9</w:t>
            </w:r>
          </w:p>
        </w:tc>
        <w:tc>
          <w:tcPr>
            <w:tcW w:w="953" w:type="dxa"/>
            <w:shd w:val="clear" w:color="auto" w:fill="auto"/>
            <w:noWrap/>
            <w:hideMark/>
          </w:tcPr>
          <w:p w14:paraId="21E8E08A" w14:textId="77777777" w:rsidR="00616641" w:rsidRPr="0031241C" w:rsidRDefault="00616641" w:rsidP="007E3239">
            <w:pPr>
              <w:pStyle w:val="TableText"/>
              <w:tabs>
                <w:tab w:val="decimal" w:pos="377"/>
              </w:tabs>
            </w:pPr>
            <w:r w:rsidRPr="0031241C">
              <w:t>±12.3</w:t>
            </w:r>
          </w:p>
        </w:tc>
        <w:tc>
          <w:tcPr>
            <w:tcW w:w="953" w:type="dxa"/>
            <w:shd w:val="clear" w:color="auto" w:fill="auto"/>
            <w:noWrap/>
            <w:hideMark/>
          </w:tcPr>
          <w:p w14:paraId="7DFADF20" w14:textId="77777777" w:rsidR="00616641" w:rsidRPr="0031241C" w:rsidRDefault="00616641" w:rsidP="007E3239">
            <w:pPr>
              <w:pStyle w:val="TableText"/>
              <w:tabs>
                <w:tab w:val="decimal" w:pos="377"/>
              </w:tabs>
            </w:pPr>
            <w:r w:rsidRPr="0031241C">
              <w:t>±10.4</w:t>
            </w:r>
          </w:p>
        </w:tc>
        <w:tc>
          <w:tcPr>
            <w:tcW w:w="840" w:type="dxa"/>
          </w:tcPr>
          <w:p w14:paraId="1C4EDC64" w14:textId="77777777" w:rsidR="00616641" w:rsidRPr="0031241C" w:rsidRDefault="00616641" w:rsidP="007E3239">
            <w:pPr>
              <w:pStyle w:val="TableText"/>
              <w:tabs>
                <w:tab w:val="decimal" w:pos="377"/>
              </w:tabs>
            </w:pPr>
            <w:r w:rsidRPr="0031241C">
              <w:t>±10.4</w:t>
            </w:r>
          </w:p>
        </w:tc>
        <w:tc>
          <w:tcPr>
            <w:tcW w:w="880" w:type="dxa"/>
            <w:shd w:val="clear" w:color="auto" w:fill="auto"/>
          </w:tcPr>
          <w:p w14:paraId="1869B548" w14:textId="77777777" w:rsidR="00616641" w:rsidRPr="0031241C" w:rsidRDefault="00616641" w:rsidP="007E3239">
            <w:pPr>
              <w:pStyle w:val="TableText"/>
              <w:tabs>
                <w:tab w:val="decimal" w:pos="377"/>
              </w:tabs>
            </w:pPr>
            <w:r w:rsidRPr="0031241C">
              <w:t>±7.9</w:t>
            </w:r>
          </w:p>
        </w:tc>
        <w:tc>
          <w:tcPr>
            <w:tcW w:w="960" w:type="dxa"/>
            <w:shd w:val="clear" w:color="auto" w:fill="auto"/>
          </w:tcPr>
          <w:p w14:paraId="2A5C538A" w14:textId="77777777" w:rsidR="00616641" w:rsidRPr="0031241C" w:rsidRDefault="00616641" w:rsidP="007E3239">
            <w:pPr>
              <w:pStyle w:val="TableText"/>
              <w:tabs>
                <w:tab w:val="decimal" w:pos="377"/>
              </w:tabs>
            </w:pPr>
            <w:r w:rsidRPr="0031241C">
              <w:t>±12.3</w:t>
            </w:r>
          </w:p>
        </w:tc>
      </w:tr>
      <w:tr w:rsidR="00616641" w:rsidRPr="0049701B" w14:paraId="01A92649" w14:textId="77777777" w:rsidTr="007E3239">
        <w:tc>
          <w:tcPr>
            <w:tcW w:w="1429" w:type="dxa"/>
            <w:shd w:val="clear" w:color="auto" w:fill="auto"/>
            <w:noWrap/>
            <w:vAlign w:val="bottom"/>
          </w:tcPr>
          <w:p w14:paraId="461ABB90" w14:textId="77777777" w:rsidR="00616641" w:rsidRPr="0049701B" w:rsidRDefault="00616641" w:rsidP="007E3239">
            <w:pPr>
              <w:pStyle w:val="TableText"/>
              <w:rPr>
                <w:rFonts w:cs="Calibri"/>
                <w:b/>
                <w:bCs/>
                <w:szCs w:val="16"/>
              </w:rPr>
            </w:pPr>
            <w:r w:rsidRPr="0049701B">
              <w:rPr>
                <w:rFonts w:cs="Calibri"/>
                <w:bCs/>
                <w:szCs w:val="16"/>
              </w:rPr>
              <w:t>Uncertainty in harvested wood products</w:t>
            </w:r>
          </w:p>
        </w:tc>
        <w:tc>
          <w:tcPr>
            <w:tcW w:w="809" w:type="dxa"/>
            <w:shd w:val="clear" w:color="auto" w:fill="auto"/>
            <w:noWrap/>
          </w:tcPr>
          <w:p w14:paraId="0A9A6D57" w14:textId="77777777" w:rsidR="00616641" w:rsidRPr="0031241C" w:rsidRDefault="00616641" w:rsidP="007E3239">
            <w:pPr>
              <w:pStyle w:val="TableText"/>
              <w:tabs>
                <w:tab w:val="decimal" w:pos="377"/>
              </w:tabs>
            </w:pPr>
            <w:r w:rsidRPr="0031241C">
              <w:t>±68.2</w:t>
            </w:r>
          </w:p>
        </w:tc>
        <w:tc>
          <w:tcPr>
            <w:tcW w:w="840" w:type="dxa"/>
          </w:tcPr>
          <w:p w14:paraId="616156E7" w14:textId="77777777" w:rsidR="00616641" w:rsidRPr="0031241C" w:rsidRDefault="00616641" w:rsidP="007E3239">
            <w:pPr>
              <w:pStyle w:val="TableText"/>
              <w:tabs>
                <w:tab w:val="decimal" w:pos="377"/>
              </w:tabs>
            </w:pPr>
          </w:p>
        </w:tc>
        <w:tc>
          <w:tcPr>
            <w:tcW w:w="841" w:type="dxa"/>
            <w:shd w:val="clear" w:color="auto" w:fill="auto"/>
            <w:noWrap/>
          </w:tcPr>
          <w:p w14:paraId="6E4FD3E0" w14:textId="77777777" w:rsidR="00616641" w:rsidRPr="0031241C" w:rsidRDefault="00616641" w:rsidP="007E3239">
            <w:pPr>
              <w:pStyle w:val="TableText"/>
              <w:tabs>
                <w:tab w:val="decimal" w:pos="377"/>
              </w:tabs>
            </w:pPr>
            <w:r w:rsidRPr="0031241C">
              <w:t>–</w:t>
            </w:r>
          </w:p>
        </w:tc>
        <w:tc>
          <w:tcPr>
            <w:tcW w:w="953" w:type="dxa"/>
            <w:shd w:val="clear" w:color="auto" w:fill="auto"/>
            <w:noWrap/>
          </w:tcPr>
          <w:p w14:paraId="0780312A" w14:textId="77777777" w:rsidR="00616641" w:rsidRPr="0031241C" w:rsidRDefault="00616641" w:rsidP="007E3239">
            <w:pPr>
              <w:pStyle w:val="TableText"/>
              <w:tabs>
                <w:tab w:val="decimal" w:pos="377"/>
              </w:tabs>
            </w:pPr>
            <w:r w:rsidRPr="0031241C">
              <w:t>–</w:t>
            </w:r>
          </w:p>
        </w:tc>
        <w:tc>
          <w:tcPr>
            <w:tcW w:w="953" w:type="dxa"/>
            <w:shd w:val="clear" w:color="auto" w:fill="auto"/>
            <w:noWrap/>
          </w:tcPr>
          <w:p w14:paraId="5BEAC43D" w14:textId="77777777" w:rsidR="00616641" w:rsidRPr="0031241C" w:rsidRDefault="00616641" w:rsidP="007E3239">
            <w:pPr>
              <w:pStyle w:val="TableText"/>
              <w:tabs>
                <w:tab w:val="decimal" w:pos="377"/>
              </w:tabs>
            </w:pPr>
            <w:r w:rsidRPr="0031241C">
              <w:t>–</w:t>
            </w:r>
          </w:p>
        </w:tc>
        <w:tc>
          <w:tcPr>
            <w:tcW w:w="840" w:type="dxa"/>
          </w:tcPr>
          <w:p w14:paraId="587749E6" w14:textId="77777777" w:rsidR="00616641" w:rsidRPr="0031241C" w:rsidRDefault="00616641" w:rsidP="007E3239">
            <w:pPr>
              <w:pStyle w:val="TableText"/>
              <w:tabs>
                <w:tab w:val="decimal" w:pos="377"/>
              </w:tabs>
            </w:pPr>
          </w:p>
        </w:tc>
        <w:tc>
          <w:tcPr>
            <w:tcW w:w="880" w:type="dxa"/>
            <w:shd w:val="clear" w:color="auto" w:fill="auto"/>
          </w:tcPr>
          <w:p w14:paraId="735AF26A" w14:textId="77777777" w:rsidR="00616641" w:rsidRPr="0031241C" w:rsidRDefault="00616641" w:rsidP="007E3239">
            <w:pPr>
              <w:pStyle w:val="TableText"/>
              <w:tabs>
                <w:tab w:val="decimal" w:pos="377"/>
              </w:tabs>
            </w:pPr>
            <w:r w:rsidRPr="0031241C">
              <w:t>–</w:t>
            </w:r>
          </w:p>
        </w:tc>
        <w:tc>
          <w:tcPr>
            <w:tcW w:w="960" w:type="dxa"/>
            <w:shd w:val="clear" w:color="auto" w:fill="auto"/>
          </w:tcPr>
          <w:p w14:paraId="0312C200" w14:textId="77777777" w:rsidR="00616641" w:rsidRPr="0031241C" w:rsidRDefault="00616641" w:rsidP="007E3239">
            <w:pPr>
              <w:pStyle w:val="TableText"/>
              <w:tabs>
                <w:tab w:val="decimal" w:pos="377"/>
              </w:tabs>
            </w:pPr>
            <w:r w:rsidRPr="0031241C">
              <w:t>±68.2</w:t>
            </w:r>
          </w:p>
        </w:tc>
      </w:tr>
      <w:tr w:rsidR="00616641" w:rsidRPr="0049701B" w14:paraId="7B1D2B66" w14:textId="77777777" w:rsidTr="007E3239">
        <w:tc>
          <w:tcPr>
            <w:tcW w:w="1429" w:type="dxa"/>
            <w:shd w:val="clear" w:color="auto" w:fill="auto"/>
            <w:noWrap/>
            <w:vAlign w:val="bottom"/>
            <w:hideMark/>
          </w:tcPr>
          <w:p w14:paraId="512E7F69" w14:textId="77777777" w:rsidR="00616641" w:rsidRPr="0049701B" w:rsidRDefault="00616641" w:rsidP="007E3239">
            <w:pPr>
              <w:pStyle w:val="Tableboldblue"/>
              <w:spacing w:before="50" w:after="50"/>
              <w:rPr>
                <w:rFonts w:cs="Calibri"/>
                <w:bCs/>
                <w:szCs w:val="16"/>
              </w:rPr>
            </w:pPr>
            <w:r w:rsidRPr="0049701B">
              <w:rPr>
                <w:rFonts w:cs="Calibri"/>
                <w:bCs/>
                <w:szCs w:val="16"/>
              </w:rPr>
              <w:t>Uncertainty introduced into emissions for Kyoto Protocol</w:t>
            </w:r>
          </w:p>
        </w:tc>
        <w:tc>
          <w:tcPr>
            <w:tcW w:w="809" w:type="dxa"/>
            <w:shd w:val="clear" w:color="auto" w:fill="auto"/>
            <w:noWrap/>
            <w:hideMark/>
          </w:tcPr>
          <w:p w14:paraId="7FDAB527" w14:textId="77777777" w:rsidR="00616641" w:rsidRPr="0049701B" w:rsidRDefault="00616641" w:rsidP="007E3239">
            <w:pPr>
              <w:pStyle w:val="Tableboldblue"/>
              <w:tabs>
                <w:tab w:val="decimal" w:pos="377"/>
              </w:tabs>
              <w:spacing w:before="50" w:after="50"/>
              <w:ind w:right="118"/>
              <w:rPr>
                <w:rFonts w:cs="Calibri"/>
                <w:szCs w:val="16"/>
              </w:rPr>
            </w:pPr>
            <w:r w:rsidRPr="0049701B">
              <w:rPr>
                <w:rFonts w:cs="Calibri"/>
                <w:b w:val="0"/>
                <w:szCs w:val="16"/>
              </w:rPr>
              <w:t>±</w:t>
            </w:r>
            <w:r w:rsidRPr="0049701B">
              <w:t>35.8</w:t>
            </w:r>
          </w:p>
        </w:tc>
        <w:tc>
          <w:tcPr>
            <w:tcW w:w="840" w:type="dxa"/>
          </w:tcPr>
          <w:p w14:paraId="04649A59" w14:textId="77777777" w:rsidR="00616641" w:rsidRPr="0049701B" w:rsidRDefault="00616641" w:rsidP="007E3239">
            <w:pPr>
              <w:pStyle w:val="Tableboldblue"/>
              <w:tabs>
                <w:tab w:val="decimal" w:pos="377"/>
              </w:tabs>
              <w:spacing w:before="50" w:after="50"/>
              <w:ind w:right="118"/>
              <w:rPr>
                <w:rFonts w:cs="Calibri"/>
                <w:szCs w:val="16"/>
              </w:rPr>
            </w:pPr>
            <w:r w:rsidRPr="0049701B">
              <w:rPr>
                <w:rFonts w:cs="Calibri"/>
                <w:b w:val="0"/>
                <w:szCs w:val="16"/>
              </w:rPr>
              <w:t>±</w:t>
            </w:r>
            <w:r w:rsidRPr="0049701B">
              <w:t>0.8</w:t>
            </w:r>
          </w:p>
        </w:tc>
        <w:tc>
          <w:tcPr>
            <w:tcW w:w="841" w:type="dxa"/>
            <w:shd w:val="clear" w:color="auto" w:fill="auto"/>
            <w:noWrap/>
            <w:hideMark/>
          </w:tcPr>
          <w:p w14:paraId="22820181" w14:textId="77777777" w:rsidR="00616641" w:rsidRPr="0049701B" w:rsidRDefault="00616641" w:rsidP="007E3239">
            <w:pPr>
              <w:pStyle w:val="Tableboldblue"/>
              <w:tabs>
                <w:tab w:val="decimal" w:pos="377"/>
              </w:tabs>
              <w:spacing w:before="50" w:after="50"/>
              <w:ind w:right="118"/>
              <w:rPr>
                <w:rFonts w:cs="Calibri"/>
                <w:szCs w:val="16"/>
              </w:rPr>
            </w:pPr>
            <w:r w:rsidRPr="0049701B">
              <w:rPr>
                <w:rFonts w:cs="Calibri"/>
                <w:b w:val="0"/>
                <w:szCs w:val="16"/>
              </w:rPr>
              <w:t>±</w:t>
            </w:r>
            <w:r w:rsidRPr="0049701B">
              <w:t>0.4</w:t>
            </w:r>
          </w:p>
        </w:tc>
        <w:tc>
          <w:tcPr>
            <w:tcW w:w="953" w:type="dxa"/>
            <w:shd w:val="clear" w:color="auto" w:fill="auto"/>
            <w:noWrap/>
            <w:hideMark/>
          </w:tcPr>
          <w:p w14:paraId="70807C0A" w14:textId="77777777" w:rsidR="00616641" w:rsidRPr="0049701B" w:rsidRDefault="00616641" w:rsidP="007E3239">
            <w:pPr>
              <w:pStyle w:val="Tableboldblue"/>
              <w:tabs>
                <w:tab w:val="decimal" w:pos="377"/>
              </w:tabs>
              <w:spacing w:before="50" w:after="50"/>
              <w:ind w:right="118"/>
              <w:rPr>
                <w:rFonts w:cs="Calibri"/>
                <w:szCs w:val="16"/>
              </w:rPr>
            </w:pPr>
            <w:r w:rsidRPr="0049701B">
              <w:rPr>
                <w:rFonts w:cs="Calibri"/>
                <w:b w:val="0"/>
                <w:szCs w:val="16"/>
              </w:rPr>
              <w:t>±</w:t>
            </w:r>
            <w:r w:rsidRPr="0049701B">
              <w:t>0.6</w:t>
            </w:r>
          </w:p>
        </w:tc>
        <w:tc>
          <w:tcPr>
            <w:tcW w:w="953" w:type="dxa"/>
            <w:shd w:val="clear" w:color="auto" w:fill="auto"/>
            <w:noWrap/>
            <w:hideMark/>
          </w:tcPr>
          <w:p w14:paraId="0C238518" w14:textId="77777777" w:rsidR="00616641" w:rsidRPr="0049701B" w:rsidRDefault="00616641" w:rsidP="007E3239">
            <w:pPr>
              <w:pStyle w:val="Tableboldblue"/>
              <w:tabs>
                <w:tab w:val="decimal" w:pos="377"/>
              </w:tabs>
              <w:spacing w:before="50" w:after="50"/>
              <w:ind w:right="118"/>
              <w:rPr>
                <w:rFonts w:cs="Calibri"/>
                <w:szCs w:val="16"/>
              </w:rPr>
            </w:pPr>
            <w:r w:rsidRPr="0049701B">
              <w:rPr>
                <w:rFonts w:cs="Calibri"/>
                <w:b w:val="0"/>
                <w:szCs w:val="16"/>
              </w:rPr>
              <w:t>±</w:t>
            </w:r>
            <w:r w:rsidRPr="0049701B">
              <w:t>0.3</w:t>
            </w:r>
          </w:p>
        </w:tc>
        <w:tc>
          <w:tcPr>
            <w:tcW w:w="840" w:type="dxa"/>
          </w:tcPr>
          <w:p w14:paraId="49B5AE21" w14:textId="77777777" w:rsidR="00616641" w:rsidRPr="0049701B" w:rsidRDefault="00616641" w:rsidP="007E3239">
            <w:pPr>
              <w:pStyle w:val="Tableboldblue"/>
              <w:tabs>
                <w:tab w:val="decimal" w:pos="377"/>
              </w:tabs>
              <w:spacing w:before="50" w:after="50"/>
              <w:ind w:right="118"/>
              <w:rPr>
                <w:rFonts w:cs="Calibri"/>
                <w:szCs w:val="16"/>
              </w:rPr>
            </w:pPr>
            <w:r w:rsidRPr="0049701B">
              <w:rPr>
                <w:rFonts w:cs="Calibri"/>
                <w:b w:val="0"/>
                <w:szCs w:val="16"/>
              </w:rPr>
              <w:t>±</w:t>
            </w:r>
            <w:r w:rsidRPr="0049701B">
              <w:t>0.0</w:t>
            </w:r>
          </w:p>
        </w:tc>
        <w:tc>
          <w:tcPr>
            <w:tcW w:w="880" w:type="dxa"/>
            <w:shd w:val="clear" w:color="auto" w:fill="auto"/>
          </w:tcPr>
          <w:p w14:paraId="59E5FB9B" w14:textId="77777777" w:rsidR="00616641" w:rsidRPr="0049701B" w:rsidRDefault="00616641" w:rsidP="007E3239">
            <w:pPr>
              <w:pStyle w:val="Tableboldblue"/>
              <w:tabs>
                <w:tab w:val="decimal" w:pos="377"/>
              </w:tabs>
              <w:spacing w:before="50" w:after="50"/>
              <w:ind w:right="118"/>
              <w:rPr>
                <w:rFonts w:cs="Calibri"/>
                <w:szCs w:val="16"/>
              </w:rPr>
            </w:pPr>
            <w:r w:rsidRPr="0049701B">
              <w:rPr>
                <w:rFonts w:cs="Calibri"/>
                <w:b w:val="0"/>
                <w:szCs w:val="16"/>
              </w:rPr>
              <w:t>±</w:t>
            </w:r>
            <w:r w:rsidRPr="0049701B">
              <w:t>3.3</w:t>
            </w:r>
          </w:p>
        </w:tc>
        <w:tc>
          <w:tcPr>
            <w:tcW w:w="960" w:type="dxa"/>
            <w:shd w:val="clear" w:color="auto" w:fill="auto"/>
          </w:tcPr>
          <w:p w14:paraId="66F25E6B" w14:textId="77777777" w:rsidR="00616641" w:rsidRPr="0049701B" w:rsidRDefault="00616641" w:rsidP="007E3239">
            <w:pPr>
              <w:pStyle w:val="Tableboldblue"/>
              <w:tabs>
                <w:tab w:val="decimal" w:pos="377"/>
              </w:tabs>
              <w:spacing w:before="50" w:after="50"/>
              <w:ind w:right="118"/>
              <w:rPr>
                <w:rFonts w:cs="Calibri"/>
                <w:szCs w:val="16"/>
              </w:rPr>
            </w:pPr>
            <w:r w:rsidRPr="0049701B">
              <w:rPr>
                <w:rFonts w:cs="Calibri"/>
                <w:b w:val="0"/>
                <w:szCs w:val="16"/>
              </w:rPr>
              <w:t>±</w:t>
            </w:r>
            <w:r w:rsidRPr="0049701B">
              <w:t>30.7</w:t>
            </w:r>
          </w:p>
        </w:tc>
      </w:tr>
    </w:tbl>
    <w:p w14:paraId="2916E3EA" w14:textId="77777777" w:rsidR="00616641" w:rsidRPr="0049701B" w:rsidRDefault="00616641" w:rsidP="00616641">
      <w:pPr>
        <w:pStyle w:val="Noteundertable"/>
      </w:pPr>
      <w:r w:rsidRPr="0049701B">
        <w:rPr>
          <w:b/>
        </w:rPr>
        <w:t>Note:</w:t>
      </w:r>
      <w:r w:rsidRPr="0049701B">
        <w:tab/>
        <w:t>All land that has been afforested or reforested since 1 January 1990 is defined as post-1989 forest. Land deforested since 1 January 1990 may be pre-1990 natural forest, pre</w:t>
      </w:r>
      <w:r w:rsidRPr="0049701B">
        <w:noBreakHyphen/>
        <w:t>1990 planted forest, post-1989 planted forest or post</w:t>
      </w:r>
      <w:r w:rsidRPr="0049701B">
        <w:noBreakHyphen/>
        <w:t>1989 natural forest.</w:t>
      </w:r>
    </w:p>
    <w:p w14:paraId="6E324539" w14:textId="77777777" w:rsidR="00616641" w:rsidRPr="0049701B" w:rsidRDefault="00616641" w:rsidP="00616641">
      <w:pPr>
        <w:pStyle w:val="Table"/>
      </w:pPr>
      <w:bookmarkStart w:id="2892" w:name="_Toc318362740"/>
      <w:bookmarkStart w:id="2893" w:name="_Toc342470819"/>
      <w:bookmarkStart w:id="2894" w:name="_Toc352505072"/>
      <w:bookmarkStart w:id="2895" w:name="_Toc377043708"/>
      <w:bookmarkStart w:id="2896" w:name="_Toc391023560"/>
      <w:bookmarkStart w:id="2897" w:name="_Toc414531533"/>
      <w:bookmarkStart w:id="2898" w:name="_Toc456179111"/>
      <w:bookmarkStart w:id="2899" w:name="_Toc481751636"/>
      <w:bookmarkStart w:id="2900" w:name="_Toc522010662"/>
      <w:bookmarkStart w:id="2901" w:name="_Toc5269633"/>
      <w:bookmarkStart w:id="2902" w:name="_Toc36224716"/>
      <w:bookmarkStart w:id="2903" w:name="_Toc64987051"/>
      <w:bookmarkStart w:id="2904" w:name="_Toc68786601"/>
      <w:bookmarkStart w:id="2905" w:name="_Toc95321546"/>
      <w:bookmarkStart w:id="2906" w:name="_Toc99659398"/>
      <w:r w:rsidRPr="0049701B">
        <w:lastRenderedPageBreak/>
        <w:t xml:space="preserve">Table 11.4.2 </w:t>
      </w:r>
      <w:r w:rsidRPr="0049701B">
        <w:tab/>
        <w:t xml:space="preserve">Total uncertainty in New Zealand’s estimates for </w:t>
      </w:r>
      <w:r w:rsidRPr="0049701B">
        <w:rPr>
          <w:i/>
          <w:iCs/>
        </w:rPr>
        <w:t>Afforestation and reforestation</w:t>
      </w:r>
      <w:r w:rsidRPr="0049701B">
        <w:t>,</w:t>
      </w:r>
      <w:r w:rsidRPr="0049701B">
        <w:br/>
      </w:r>
      <w:r w:rsidRPr="0049701B">
        <w:rPr>
          <w:i/>
          <w:iCs/>
        </w:rPr>
        <w:t>Deforestation</w:t>
      </w:r>
      <w:r w:rsidRPr="0049701B">
        <w:t xml:space="preserve"> and </w:t>
      </w:r>
      <w:r w:rsidRPr="0049701B">
        <w:rPr>
          <w:i/>
          <w:iCs/>
        </w:rPr>
        <w:t>Forest management</w:t>
      </w:r>
      <w:r w:rsidRPr="0049701B">
        <w:t xml:space="preserve"> in </w:t>
      </w:r>
      <w:bookmarkEnd w:id="2892"/>
      <w:bookmarkEnd w:id="2893"/>
      <w:bookmarkEnd w:id="2894"/>
      <w:bookmarkEnd w:id="2895"/>
      <w:bookmarkEnd w:id="2896"/>
      <w:r w:rsidRPr="0049701B">
        <w:t>20</w:t>
      </w:r>
      <w:bookmarkEnd w:id="2897"/>
      <w:bookmarkEnd w:id="2898"/>
      <w:bookmarkEnd w:id="2899"/>
      <w:bookmarkEnd w:id="2900"/>
      <w:bookmarkEnd w:id="2901"/>
      <w:bookmarkEnd w:id="2902"/>
      <w:bookmarkEnd w:id="2903"/>
      <w:bookmarkEnd w:id="2904"/>
      <w:r w:rsidRPr="0049701B">
        <w:t>20</w:t>
      </w:r>
      <w:bookmarkEnd w:id="2905"/>
      <w:bookmarkEnd w:id="2906"/>
    </w:p>
    <w:tbl>
      <w:tblPr>
        <w:tblW w:w="8505" w:type="dxa"/>
        <w:tblInd w:w="113"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2383"/>
        <w:gridCol w:w="1544"/>
        <w:gridCol w:w="2202"/>
        <w:gridCol w:w="2376"/>
      </w:tblGrid>
      <w:tr w:rsidR="00616641" w:rsidRPr="0049701B" w14:paraId="73C210A3" w14:textId="77777777" w:rsidTr="007E3239">
        <w:tc>
          <w:tcPr>
            <w:tcW w:w="2331" w:type="dxa"/>
            <w:shd w:val="clear" w:color="auto" w:fill="1B556B"/>
            <w:noWrap/>
            <w:vAlign w:val="bottom"/>
            <w:hideMark/>
          </w:tcPr>
          <w:p w14:paraId="199684E9" w14:textId="77777777" w:rsidR="00616641" w:rsidRPr="0049701B" w:rsidRDefault="00616641" w:rsidP="007E3239">
            <w:pPr>
              <w:pStyle w:val="TableTextBold"/>
              <w:keepNext/>
              <w:spacing w:before="50" w:after="50"/>
              <w:rPr>
                <w:bCs/>
                <w:noProof w:val="0"/>
                <w:color w:val="FFFFFF"/>
                <w:szCs w:val="16"/>
              </w:rPr>
            </w:pPr>
            <w:r w:rsidRPr="0049701B">
              <w:rPr>
                <w:bCs/>
                <w:noProof w:val="0"/>
                <w:color w:val="FFFFFF"/>
                <w:szCs w:val="16"/>
              </w:rPr>
              <w:t>Variable</w:t>
            </w:r>
          </w:p>
        </w:tc>
        <w:tc>
          <w:tcPr>
            <w:tcW w:w="1511" w:type="dxa"/>
            <w:shd w:val="clear" w:color="auto" w:fill="1B556B"/>
            <w:noWrap/>
            <w:vAlign w:val="bottom"/>
            <w:hideMark/>
          </w:tcPr>
          <w:p w14:paraId="3E759305" w14:textId="77777777" w:rsidR="00616641" w:rsidRPr="0049701B" w:rsidRDefault="00616641" w:rsidP="007E3239">
            <w:pPr>
              <w:pStyle w:val="TableTextBold"/>
              <w:keepNext/>
              <w:spacing w:before="50" w:after="50"/>
              <w:jc w:val="center"/>
              <w:rPr>
                <w:bCs/>
                <w:noProof w:val="0"/>
                <w:color w:val="FFFFFF"/>
                <w:szCs w:val="16"/>
              </w:rPr>
            </w:pPr>
            <w:r w:rsidRPr="0049701B">
              <w:rPr>
                <w:bCs/>
                <w:noProof w:val="0"/>
                <w:color w:val="FFFFFF"/>
                <w:szCs w:val="16"/>
              </w:rPr>
              <w:t>Emissions (kt CO</w:t>
            </w:r>
            <w:r w:rsidRPr="0049701B">
              <w:rPr>
                <w:bCs/>
                <w:noProof w:val="0"/>
                <w:color w:val="FFFFFF"/>
                <w:szCs w:val="16"/>
                <w:vertAlign w:val="subscript"/>
              </w:rPr>
              <w:t>2</w:t>
            </w:r>
            <w:r w:rsidRPr="0049701B">
              <w:rPr>
                <w:bCs/>
                <w:noProof w:val="0"/>
                <w:color w:val="FFFFFF"/>
                <w:szCs w:val="16"/>
              </w:rPr>
              <w:t>-e)</w:t>
            </w:r>
          </w:p>
        </w:tc>
        <w:tc>
          <w:tcPr>
            <w:tcW w:w="2155" w:type="dxa"/>
            <w:shd w:val="clear" w:color="auto" w:fill="1B556B"/>
          </w:tcPr>
          <w:p w14:paraId="3F95FF62" w14:textId="77777777" w:rsidR="00616641" w:rsidRPr="0049701B" w:rsidRDefault="00616641" w:rsidP="007E3239">
            <w:pPr>
              <w:pStyle w:val="TableTextBold"/>
              <w:keepNext/>
              <w:spacing w:before="50" w:after="50"/>
              <w:jc w:val="center"/>
              <w:rPr>
                <w:bCs/>
                <w:noProof w:val="0"/>
                <w:color w:val="FFFFFF"/>
                <w:szCs w:val="16"/>
              </w:rPr>
            </w:pPr>
            <w:r w:rsidRPr="0049701B">
              <w:rPr>
                <w:bCs/>
                <w:noProof w:val="0"/>
                <w:color w:val="FFFFFF"/>
                <w:szCs w:val="16"/>
              </w:rPr>
              <w:t>Uncertainty in emissions (%) at a 95% confidence interval</w:t>
            </w:r>
          </w:p>
        </w:tc>
        <w:tc>
          <w:tcPr>
            <w:tcW w:w="2325" w:type="dxa"/>
            <w:shd w:val="clear" w:color="auto" w:fill="1B556B"/>
          </w:tcPr>
          <w:p w14:paraId="787320E6" w14:textId="77777777" w:rsidR="00616641" w:rsidRPr="0049701B" w:rsidRDefault="00616641" w:rsidP="007E3239">
            <w:pPr>
              <w:pStyle w:val="TableTextBold"/>
              <w:keepNext/>
              <w:spacing w:before="50" w:after="50"/>
              <w:jc w:val="center"/>
              <w:rPr>
                <w:bCs/>
                <w:noProof w:val="0"/>
                <w:color w:val="FFFFFF"/>
                <w:szCs w:val="16"/>
              </w:rPr>
            </w:pPr>
            <w:r w:rsidRPr="0049701B">
              <w:rPr>
                <w:bCs/>
                <w:noProof w:val="0"/>
                <w:color w:val="FFFFFF"/>
                <w:szCs w:val="16"/>
              </w:rPr>
              <w:t>Uncertainty introduced to Kyoto Protocol emissions (%)</w:t>
            </w:r>
          </w:p>
        </w:tc>
      </w:tr>
      <w:tr w:rsidR="00616641" w:rsidRPr="0049701B" w14:paraId="0CFA5197" w14:textId="77777777" w:rsidTr="007E3239">
        <w:tc>
          <w:tcPr>
            <w:tcW w:w="2331" w:type="dxa"/>
            <w:shd w:val="clear" w:color="auto" w:fill="auto"/>
            <w:noWrap/>
            <w:vAlign w:val="bottom"/>
            <w:hideMark/>
          </w:tcPr>
          <w:p w14:paraId="77052B6E" w14:textId="77777777" w:rsidR="00616641" w:rsidRPr="0049701B" w:rsidRDefault="00616641" w:rsidP="007E3239">
            <w:pPr>
              <w:pStyle w:val="TableText"/>
              <w:spacing w:before="50" w:after="50"/>
              <w:rPr>
                <w:szCs w:val="16"/>
              </w:rPr>
            </w:pPr>
            <w:r w:rsidRPr="0049701B">
              <w:rPr>
                <w:szCs w:val="16"/>
              </w:rPr>
              <w:t>Afforestation and reforestation uncertainty introduced into emissions for Kyoto Protocol</w:t>
            </w:r>
          </w:p>
        </w:tc>
        <w:tc>
          <w:tcPr>
            <w:tcW w:w="1511" w:type="dxa"/>
            <w:shd w:val="clear" w:color="auto" w:fill="auto"/>
            <w:noWrap/>
            <w:hideMark/>
          </w:tcPr>
          <w:p w14:paraId="1C6022A9" w14:textId="77777777" w:rsidR="00616641" w:rsidRPr="0049701B" w:rsidRDefault="00616641" w:rsidP="007E3239">
            <w:pPr>
              <w:pStyle w:val="TableText"/>
              <w:keepNext/>
              <w:spacing w:before="50" w:after="50"/>
              <w:jc w:val="center"/>
              <w:rPr>
                <w:szCs w:val="16"/>
              </w:rPr>
            </w:pPr>
            <w:r w:rsidRPr="0049701B">
              <w:t>–14,764.7</w:t>
            </w:r>
          </w:p>
        </w:tc>
        <w:tc>
          <w:tcPr>
            <w:tcW w:w="2155" w:type="dxa"/>
          </w:tcPr>
          <w:p w14:paraId="2F1E5F13" w14:textId="77777777" w:rsidR="00616641" w:rsidRPr="0049701B" w:rsidRDefault="00616641" w:rsidP="007E3239">
            <w:pPr>
              <w:pStyle w:val="TableText"/>
              <w:keepNext/>
              <w:spacing w:before="50" w:after="50"/>
              <w:jc w:val="center"/>
              <w:rPr>
                <w:rFonts w:cs="Calibri"/>
                <w:b/>
                <w:szCs w:val="16"/>
              </w:rPr>
            </w:pPr>
            <w:r w:rsidRPr="0049701B">
              <w:t>38.3</w:t>
            </w:r>
          </w:p>
        </w:tc>
        <w:tc>
          <w:tcPr>
            <w:tcW w:w="2325" w:type="dxa"/>
          </w:tcPr>
          <w:p w14:paraId="3B321FCA" w14:textId="77777777" w:rsidR="00616641" w:rsidRPr="0049701B" w:rsidRDefault="00616641" w:rsidP="007E3239">
            <w:pPr>
              <w:pStyle w:val="TableText"/>
              <w:keepNext/>
              <w:spacing w:before="50" w:after="50"/>
              <w:jc w:val="center"/>
              <w:rPr>
                <w:rFonts w:cs="Calibri"/>
                <w:b/>
                <w:szCs w:val="16"/>
              </w:rPr>
            </w:pPr>
            <w:r w:rsidRPr="0049701B">
              <w:t>19.2</w:t>
            </w:r>
          </w:p>
        </w:tc>
      </w:tr>
      <w:tr w:rsidR="00616641" w:rsidRPr="0049701B" w14:paraId="22A12496" w14:textId="77777777" w:rsidTr="007E3239">
        <w:tc>
          <w:tcPr>
            <w:tcW w:w="2331" w:type="dxa"/>
            <w:shd w:val="clear" w:color="auto" w:fill="auto"/>
            <w:noWrap/>
            <w:vAlign w:val="bottom"/>
            <w:hideMark/>
          </w:tcPr>
          <w:p w14:paraId="7A18D316" w14:textId="77777777" w:rsidR="00616641" w:rsidRPr="0049701B" w:rsidRDefault="00616641" w:rsidP="007E3239">
            <w:pPr>
              <w:pStyle w:val="TableText"/>
              <w:spacing w:before="50" w:after="50"/>
              <w:rPr>
                <w:szCs w:val="16"/>
              </w:rPr>
            </w:pPr>
            <w:r w:rsidRPr="0049701B">
              <w:rPr>
                <w:szCs w:val="16"/>
              </w:rPr>
              <w:t>Deforestation uncertainty introduced into emissions for Kyoto Protocol</w:t>
            </w:r>
          </w:p>
        </w:tc>
        <w:tc>
          <w:tcPr>
            <w:tcW w:w="1511" w:type="dxa"/>
            <w:shd w:val="clear" w:color="auto" w:fill="auto"/>
            <w:noWrap/>
            <w:hideMark/>
          </w:tcPr>
          <w:p w14:paraId="2566ECE7" w14:textId="77777777" w:rsidR="00616641" w:rsidRPr="0049701B" w:rsidRDefault="00616641" w:rsidP="007E3239">
            <w:pPr>
              <w:pStyle w:val="TableText"/>
              <w:keepNext/>
              <w:spacing w:before="50" w:after="50"/>
              <w:jc w:val="center"/>
              <w:rPr>
                <w:szCs w:val="16"/>
              </w:rPr>
            </w:pPr>
            <w:r w:rsidRPr="0049701B">
              <w:t>1,320.5</w:t>
            </w:r>
          </w:p>
        </w:tc>
        <w:tc>
          <w:tcPr>
            <w:tcW w:w="2155" w:type="dxa"/>
          </w:tcPr>
          <w:p w14:paraId="789B21C5" w14:textId="77777777" w:rsidR="00616641" w:rsidRPr="0049701B" w:rsidRDefault="00616641" w:rsidP="007E3239">
            <w:pPr>
              <w:pStyle w:val="TableText"/>
              <w:keepNext/>
              <w:spacing w:before="50" w:after="50"/>
              <w:jc w:val="center"/>
              <w:rPr>
                <w:rFonts w:cs="Calibri"/>
                <w:b/>
                <w:szCs w:val="16"/>
              </w:rPr>
            </w:pPr>
            <w:r w:rsidRPr="0049701B">
              <w:t>31.4</w:t>
            </w:r>
          </w:p>
        </w:tc>
        <w:tc>
          <w:tcPr>
            <w:tcW w:w="2325" w:type="dxa"/>
          </w:tcPr>
          <w:p w14:paraId="726B8A2F" w14:textId="77777777" w:rsidR="00616641" w:rsidRPr="0049701B" w:rsidRDefault="00616641" w:rsidP="007E3239">
            <w:pPr>
              <w:pStyle w:val="TableText"/>
              <w:keepNext/>
              <w:spacing w:before="50" w:after="50"/>
              <w:jc w:val="center"/>
              <w:rPr>
                <w:rFonts w:cs="Calibri"/>
                <w:b/>
                <w:szCs w:val="16"/>
              </w:rPr>
            </w:pPr>
            <w:r w:rsidRPr="0049701B">
              <w:t>1.4</w:t>
            </w:r>
          </w:p>
        </w:tc>
      </w:tr>
      <w:tr w:rsidR="00616641" w:rsidRPr="0049701B" w14:paraId="4F5F89F5" w14:textId="77777777" w:rsidTr="007E3239">
        <w:tc>
          <w:tcPr>
            <w:tcW w:w="2331" w:type="dxa"/>
            <w:shd w:val="clear" w:color="auto" w:fill="auto"/>
            <w:noWrap/>
            <w:vAlign w:val="bottom"/>
          </w:tcPr>
          <w:p w14:paraId="1B055D8B" w14:textId="77777777" w:rsidR="00616641" w:rsidRPr="0049701B" w:rsidRDefault="00616641" w:rsidP="007E3239">
            <w:pPr>
              <w:pStyle w:val="TableText"/>
              <w:spacing w:before="50" w:after="50"/>
              <w:rPr>
                <w:szCs w:val="16"/>
              </w:rPr>
            </w:pPr>
            <w:r w:rsidRPr="0049701B">
              <w:rPr>
                <w:szCs w:val="16"/>
              </w:rPr>
              <w:t>Forest management uncertainty introduced into emissions for Kyoto Protocol</w:t>
            </w:r>
          </w:p>
        </w:tc>
        <w:tc>
          <w:tcPr>
            <w:tcW w:w="1511" w:type="dxa"/>
            <w:shd w:val="clear" w:color="auto" w:fill="auto"/>
            <w:noWrap/>
          </w:tcPr>
          <w:p w14:paraId="37E2692D" w14:textId="77777777" w:rsidR="00616641" w:rsidRPr="0049701B" w:rsidRDefault="00616641" w:rsidP="007E3239">
            <w:pPr>
              <w:pStyle w:val="TableText"/>
              <w:keepNext/>
              <w:spacing w:before="50" w:after="50"/>
              <w:jc w:val="center"/>
              <w:rPr>
                <w:szCs w:val="16"/>
              </w:rPr>
            </w:pPr>
            <w:r w:rsidRPr="0049701B">
              <w:t>–16,031.9</w:t>
            </w:r>
          </w:p>
        </w:tc>
        <w:tc>
          <w:tcPr>
            <w:tcW w:w="2155" w:type="dxa"/>
          </w:tcPr>
          <w:p w14:paraId="03E9A85C" w14:textId="77777777" w:rsidR="00616641" w:rsidRPr="0049701B" w:rsidRDefault="00616641" w:rsidP="007E3239">
            <w:pPr>
              <w:pStyle w:val="TableText"/>
              <w:keepNext/>
              <w:spacing w:before="50" w:after="50"/>
              <w:jc w:val="center"/>
              <w:rPr>
                <w:rFonts w:cs="Calibri"/>
                <w:b/>
                <w:szCs w:val="16"/>
              </w:rPr>
            </w:pPr>
            <w:r w:rsidRPr="0049701B">
              <w:t>80.5</w:t>
            </w:r>
          </w:p>
        </w:tc>
        <w:tc>
          <w:tcPr>
            <w:tcW w:w="2325" w:type="dxa"/>
          </w:tcPr>
          <w:p w14:paraId="35EC9010" w14:textId="77777777" w:rsidR="00616641" w:rsidRPr="0049701B" w:rsidRDefault="00616641" w:rsidP="007E3239">
            <w:pPr>
              <w:pStyle w:val="TableText"/>
              <w:keepNext/>
              <w:spacing w:before="50" w:after="50"/>
              <w:jc w:val="center"/>
              <w:rPr>
                <w:rFonts w:cs="Calibri"/>
                <w:b/>
                <w:szCs w:val="16"/>
              </w:rPr>
            </w:pPr>
            <w:r w:rsidRPr="0049701B">
              <w:t>43.8</w:t>
            </w:r>
          </w:p>
        </w:tc>
      </w:tr>
      <w:tr w:rsidR="00616641" w:rsidRPr="0049701B" w14:paraId="1278B9B9" w14:textId="77777777" w:rsidTr="007E3239">
        <w:tc>
          <w:tcPr>
            <w:tcW w:w="2331" w:type="dxa"/>
            <w:shd w:val="clear" w:color="auto" w:fill="auto"/>
            <w:noWrap/>
            <w:vAlign w:val="center"/>
            <w:hideMark/>
          </w:tcPr>
          <w:p w14:paraId="1F3C552C" w14:textId="77777777" w:rsidR="00616641" w:rsidRPr="0049701B" w:rsidRDefault="00616641" w:rsidP="007E3239">
            <w:pPr>
              <w:pStyle w:val="Tableboldblue"/>
              <w:spacing w:before="50" w:after="50"/>
              <w:rPr>
                <w:bCs/>
                <w:szCs w:val="16"/>
              </w:rPr>
            </w:pPr>
            <w:r w:rsidRPr="0049701B">
              <w:rPr>
                <w:bCs/>
                <w:szCs w:val="16"/>
              </w:rPr>
              <w:t>Total uncertainty for Kyoto Protocol</w:t>
            </w:r>
          </w:p>
        </w:tc>
        <w:tc>
          <w:tcPr>
            <w:tcW w:w="1511" w:type="dxa"/>
            <w:shd w:val="clear" w:color="auto" w:fill="auto"/>
            <w:noWrap/>
            <w:hideMark/>
          </w:tcPr>
          <w:p w14:paraId="689C324D" w14:textId="77777777" w:rsidR="00616641" w:rsidRPr="0049701B" w:rsidRDefault="00616641" w:rsidP="007E3239">
            <w:pPr>
              <w:pStyle w:val="Tableboldblue"/>
              <w:spacing w:before="50" w:after="50"/>
              <w:jc w:val="center"/>
              <w:rPr>
                <w:szCs w:val="16"/>
              </w:rPr>
            </w:pPr>
            <w:r w:rsidRPr="0049701B">
              <w:t>–29,476.1</w:t>
            </w:r>
          </w:p>
        </w:tc>
        <w:tc>
          <w:tcPr>
            <w:tcW w:w="2155" w:type="dxa"/>
          </w:tcPr>
          <w:p w14:paraId="4B42B274" w14:textId="77777777" w:rsidR="00616641" w:rsidRPr="0049701B" w:rsidRDefault="00616641" w:rsidP="007E3239">
            <w:pPr>
              <w:pStyle w:val="Tableboldblue"/>
              <w:spacing w:before="50" w:after="50"/>
              <w:jc w:val="center"/>
              <w:rPr>
                <w:rFonts w:cs="Calibri"/>
                <w:b w:val="0"/>
                <w:szCs w:val="16"/>
              </w:rPr>
            </w:pPr>
            <w:r w:rsidRPr="0049701B">
              <w:t>45.7</w:t>
            </w:r>
          </w:p>
        </w:tc>
        <w:tc>
          <w:tcPr>
            <w:tcW w:w="2325" w:type="dxa"/>
          </w:tcPr>
          <w:p w14:paraId="58C4D6FE" w14:textId="77777777" w:rsidR="00616641" w:rsidRPr="0049701B" w:rsidRDefault="00616641" w:rsidP="007E3239">
            <w:pPr>
              <w:pStyle w:val="Tableboldblue"/>
              <w:spacing w:before="50" w:after="50"/>
              <w:jc w:val="center"/>
              <w:rPr>
                <w:rFonts w:cs="Calibri"/>
                <w:b w:val="0"/>
                <w:szCs w:val="16"/>
              </w:rPr>
            </w:pPr>
          </w:p>
        </w:tc>
      </w:tr>
    </w:tbl>
    <w:p w14:paraId="3C79B3D1" w14:textId="77777777" w:rsidR="00616641" w:rsidRPr="0049701B" w:rsidRDefault="00616641" w:rsidP="00616641">
      <w:pPr>
        <w:pStyle w:val="Heading3"/>
        <w:spacing w:before="400"/>
      </w:pPr>
      <w:bookmarkStart w:id="2907" w:name="_Toc261513295"/>
      <w:bookmarkStart w:id="2908" w:name="_Toc261513908"/>
      <w:bookmarkStart w:id="2909" w:name="_Toc280630398"/>
      <w:r w:rsidRPr="0049701B">
        <w:t>11.4.2</w:t>
      </w:r>
      <w:r w:rsidRPr="0049701B">
        <w:tab/>
      </w:r>
      <w:bookmarkEnd w:id="2907"/>
      <w:bookmarkEnd w:id="2908"/>
      <w:bookmarkEnd w:id="2909"/>
      <w:r w:rsidRPr="0049701B">
        <w:t>Quality control and quality assurance</w:t>
      </w:r>
    </w:p>
    <w:p w14:paraId="23F428F4" w14:textId="77777777" w:rsidR="00616641" w:rsidRPr="0049701B" w:rsidRDefault="00616641" w:rsidP="00616641">
      <w:pPr>
        <w:pStyle w:val="BodyText"/>
      </w:pPr>
      <w:r w:rsidRPr="0049701B">
        <w:t xml:space="preserve">Quality-control and quality-assurance procedures have been adopted for all data collection and data analyses, to be consistent with the </w:t>
      </w:r>
      <w:r w:rsidRPr="0049701B">
        <w:rPr>
          <w:iCs/>
        </w:rPr>
        <w:t>IPCC General Guidance and Reporting</w:t>
      </w:r>
      <w:r w:rsidRPr="0049701B">
        <w:rPr>
          <w:i/>
        </w:rPr>
        <w:t xml:space="preserve"> </w:t>
      </w:r>
      <w:r w:rsidRPr="0049701B">
        <w:t>(IPCC, 2006b) and New Zealand’s inventory quality-control and quality-assurance plan. Quality-control and quality-assurance plans were established for each type of data used to determine carbon stock and stock changes, as well as the areal extent and spatial location of land-use changes. All data were subject to an independent and documented quality-assurance process. Data validation rules and reports were established to ensure all data are fit for purpose and are of consistent and known quality, and that data quality continues to be improved over time. The data used to derive the country-specific yield tables and average carbon values have also undergone quality assurance, as described in chapter 6, section 6.3.4.</w:t>
      </w:r>
    </w:p>
    <w:p w14:paraId="68D3CBD1" w14:textId="77777777" w:rsidR="00616641" w:rsidRPr="0049701B" w:rsidRDefault="00616641" w:rsidP="00616641">
      <w:pPr>
        <w:pStyle w:val="Heading3"/>
        <w:spacing w:before="280"/>
      </w:pPr>
      <w:r w:rsidRPr="0049701B">
        <w:t>11.4.3</w:t>
      </w:r>
      <w:r w:rsidRPr="0049701B">
        <w:tab/>
        <w:t>Recalculations</w:t>
      </w:r>
    </w:p>
    <w:p w14:paraId="203EED17" w14:textId="77777777" w:rsidR="00616641" w:rsidRPr="0049701B" w:rsidRDefault="00616641" w:rsidP="00616641">
      <w:pPr>
        <w:pStyle w:val="BodyText"/>
      </w:pPr>
      <w:r w:rsidRPr="0049701B">
        <w:t>New Zealand’s greenhouse gas estimates for activities under Article 3.3 of the Kyoto Protocol have been recalculated since the previous submission to incorporate improved activity data and emission factors.</w:t>
      </w:r>
    </w:p>
    <w:p w14:paraId="291A4EDE" w14:textId="77777777" w:rsidR="00616641" w:rsidRPr="0049701B" w:rsidRDefault="00616641" w:rsidP="00616641">
      <w:pPr>
        <w:pStyle w:val="Heading4"/>
      </w:pPr>
      <w:r w:rsidRPr="0049701B">
        <w:t>Activity data</w:t>
      </w:r>
    </w:p>
    <w:p w14:paraId="7150675F" w14:textId="77777777" w:rsidR="00616641" w:rsidRPr="0049701B" w:rsidRDefault="00616641" w:rsidP="00616641">
      <w:pPr>
        <w:pStyle w:val="BodyText"/>
      </w:pPr>
      <w:r w:rsidRPr="0049701B">
        <w:t>Table 11.4.3 shows a decrease in the estimated total area of new planting</w:t>
      </w:r>
      <w:r w:rsidRPr="0049701B">
        <w:rPr>
          <w:i/>
        </w:rPr>
        <w:t xml:space="preserve"> </w:t>
      </w:r>
      <w:r w:rsidRPr="0049701B">
        <w:t>for 2019 since the last submission. This is due to updated new planting data being provided by the NEFD survey (Ministry for Primary Industries, 2020b).</w:t>
      </w:r>
    </w:p>
    <w:p w14:paraId="349AA7B7" w14:textId="77777777" w:rsidR="00616641" w:rsidRPr="0049701B" w:rsidRDefault="00616641" w:rsidP="00616641">
      <w:pPr>
        <w:pStyle w:val="BodyText"/>
      </w:pPr>
      <w:r w:rsidRPr="0049701B">
        <w:t>The total area of deforestation as at 2019 has increased, compared with the estimate made for the 2021 submission. This is due to updates to the mapped deforestation area estimates from 2013 to 2017, as well as changes to the estimation methodology used for 2018 to 2019.</w:t>
      </w:r>
    </w:p>
    <w:p w14:paraId="2C20E93B" w14:textId="77777777" w:rsidR="00616641" w:rsidRPr="0049701B" w:rsidRDefault="00616641" w:rsidP="00616641">
      <w:pPr>
        <w:pStyle w:val="BodyText"/>
      </w:pPr>
      <w:r w:rsidRPr="0049701B">
        <w:t xml:space="preserve">Net emissions and removals from </w:t>
      </w:r>
      <w:r w:rsidRPr="0049701B">
        <w:rPr>
          <w:i/>
          <w:iCs/>
        </w:rPr>
        <w:t>Afforestation and reforestation</w:t>
      </w:r>
      <w:r w:rsidRPr="0049701B">
        <w:t xml:space="preserve"> and </w:t>
      </w:r>
      <w:r w:rsidRPr="0049701B">
        <w:rPr>
          <w:i/>
          <w:iCs/>
        </w:rPr>
        <w:t xml:space="preserve">Forest management </w:t>
      </w:r>
      <w:r w:rsidRPr="0049701B">
        <w:t>are largely driven by harvesting. In this submission, several updates were made to the methods to calculate forest harvest statistics, which have resulted in updates to:</w:t>
      </w:r>
    </w:p>
    <w:p w14:paraId="05A0366F" w14:textId="77777777" w:rsidR="00616641" w:rsidRPr="0049701B" w:rsidRDefault="00616641" w:rsidP="00063737">
      <w:pPr>
        <w:pStyle w:val="Numberedparagraph"/>
        <w:numPr>
          <w:ilvl w:val="0"/>
          <w:numId w:val="27"/>
        </w:numPr>
        <w:tabs>
          <w:tab w:val="left" w:pos="567"/>
        </w:tabs>
      </w:pPr>
      <w:r w:rsidRPr="0049701B">
        <w:t>the total harvest area from 2013 to 2020</w:t>
      </w:r>
    </w:p>
    <w:p w14:paraId="6E54E410" w14:textId="77777777" w:rsidR="00616641" w:rsidRPr="0049701B" w:rsidRDefault="00616641" w:rsidP="00063737">
      <w:pPr>
        <w:pStyle w:val="Numberedparagraph"/>
        <w:numPr>
          <w:ilvl w:val="0"/>
          <w:numId w:val="27"/>
        </w:numPr>
        <w:tabs>
          <w:tab w:val="left" w:pos="567"/>
        </w:tabs>
      </w:pPr>
      <w:r w:rsidRPr="0049701B">
        <w:t>the proportion of harvest area allocated to post-1989 (</w:t>
      </w:r>
      <w:r w:rsidRPr="0049701B">
        <w:rPr>
          <w:i/>
          <w:iCs/>
        </w:rPr>
        <w:t>Afforestation and reforestation</w:t>
      </w:r>
      <w:r w:rsidRPr="0049701B">
        <w:t>) and pre-1990 planted forest (</w:t>
      </w:r>
      <w:r w:rsidRPr="0049701B">
        <w:rPr>
          <w:i/>
          <w:iCs/>
        </w:rPr>
        <w:t>Forest management</w:t>
      </w:r>
      <w:r w:rsidRPr="0049701B">
        <w:t>)</w:t>
      </w:r>
    </w:p>
    <w:p w14:paraId="49BE2C4D" w14:textId="77777777" w:rsidR="00616641" w:rsidRPr="0049701B" w:rsidRDefault="00616641" w:rsidP="00063737">
      <w:pPr>
        <w:pStyle w:val="Numberedparagraph"/>
        <w:numPr>
          <w:ilvl w:val="0"/>
          <w:numId w:val="27"/>
        </w:numPr>
        <w:tabs>
          <w:tab w:val="left" w:pos="567"/>
        </w:tabs>
      </w:pPr>
      <w:r w:rsidRPr="0049701B">
        <w:lastRenderedPageBreak/>
        <w:t>the average harvest and average deforestation age for post-1989 (</w:t>
      </w:r>
      <w:r w:rsidRPr="0049701B">
        <w:rPr>
          <w:i/>
          <w:iCs/>
        </w:rPr>
        <w:t>Afforestation and reforestation</w:t>
      </w:r>
      <w:r w:rsidRPr="0049701B">
        <w:t>) and pre-1990 planted forest (</w:t>
      </w:r>
      <w:r w:rsidRPr="0049701B">
        <w:rPr>
          <w:i/>
          <w:iCs/>
        </w:rPr>
        <w:t>Forest management</w:t>
      </w:r>
      <w:r w:rsidRPr="0049701B">
        <w:t>)</w:t>
      </w:r>
    </w:p>
    <w:p w14:paraId="1FB674CB" w14:textId="77777777" w:rsidR="00616641" w:rsidRPr="0049701B" w:rsidRDefault="00616641" w:rsidP="00063737">
      <w:pPr>
        <w:pStyle w:val="Numberedparagraph"/>
        <w:numPr>
          <w:ilvl w:val="0"/>
          <w:numId w:val="27"/>
        </w:numPr>
        <w:tabs>
          <w:tab w:val="left" w:pos="567"/>
        </w:tabs>
      </w:pPr>
      <w:r w:rsidRPr="0049701B">
        <w:t>the pre-1990 planted forest age profile (</w:t>
      </w:r>
      <w:r w:rsidRPr="0049701B">
        <w:rPr>
          <w:i/>
          <w:iCs/>
        </w:rPr>
        <w:t>Forest management</w:t>
      </w:r>
      <w:r w:rsidRPr="0049701B">
        <w:t>).</w:t>
      </w:r>
    </w:p>
    <w:p w14:paraId="35AB5C06" w14:textId="77777777" w:rsidR="00616641" w:rsidRPr="0049701B" w:rsidRDefault="00616641" w:rsidP="00616641">
      <w:pPr>
        <w:pStyle w:val="BodyText"/>
        <w:spacing w:before="100" w:after="100"/>
        <w:rPr>
          <w:spacing w:val="-2"/>
        </w:rPr>
      </w:pPr>
      <w:r w:rsidRPr="0049701B">
        <w:rPr>
          <w:spacing w:val="-2"/>
        </w:rPr>
        <w:t>The updated methods are the same as have been applied and described for UNFCCC reporting. Further information can be found in chapter 6, section 6.3, and annex 3, section A3.2.5.</w:t>
      </w:r>
    </w:p>
    <w:p w14:paraId="09F62893" w14:textId="77777777" w:rsidR="00616641" w:rsidRPr="0049701B" w:rsidRDefault="00616641" w:rsidP="00616641">
      <w:pPr>
        <w:pStyle w:val="Table"/>
      </w:pPr>
      <w:bookmarkStart w:id="2910" w:name="_Toc414531531"/>
      <w:bookmarkStart w:id="2911" w:name="_Toc456179112"/>
      <w:bookmarkStart w:id="2912" w:name="_Toc481751637"/>
      <w:bookmarkStart w:id="2913" w:name="_Toc522010663"/>
      <w:bookmarkStart w:id="2914" w:name="_Toc5269634"/>
      <w:bookmarkStart w:id="2915" w:name="_Toc36224717"/>
      <w:bookmarkStart w:id="2916" w:name="_Toc64987052"/>
      <w:bookmarkStart w:id="2917" w:name="_Toc68786602"/>
      <w:bookmarkStart w:id="2918" w:name="_Toc95321547"/>
      <w:bookmarkStart w:id="2919" w:name="_Toc99659399"/>
      <w:r w:rsidRPr="0049701B">
        <w:t>Table 11.4.3</w:t>
      </w:r>
      <w:r w:rsidRPr="0049701B">
        <w:tab/>
        <w:t>Recalculations of New Zealand’s 2019 activity data under Article 3.3 and</w:t>
      </w:r>
      <w:r w:rsidRPr="0049701B">
        <w:br/>
        <w:t>Article 3.4 of the Kyoto Protocol</w:t>
      </w:r>
      <w:bookmarkEnd w:id="2910"/>
      <w:bookmarkEnd w:id="2911"/>
      <w:bookmarkEnd w:id="2912"/>
      <w:bookmarkEnd w:id="2913"/>
      <w:bookmarkEnd w:id="2914"/>
      <w:bookmarkEnd w:id="2915"/>
      <w:bookmarkEnd w:id="2916"/>
      <w:bookmarkEnd w:id="2917"/>
      <w:bookmarkEnd w:id="2918"/>
      <w:bookmarkEnd w:id="2919"/>
    </w:p>
    <w:tbl>
      <w:tblPr>
        <w:tblW w:w="8505" w:type="dxa"/>
        <w:tblInd w:w="113"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3578"/>
        <w:gridCol w:w="1462"/>
        <w:gridCol w:w="98"/>
        <w:gridCol w:w="22"/>
        <w:gridCol w:w="1538"/>
        <w:gridCol w:w="1807"/>
      </w:tblGrid>
      <w:tr w:rsidR="00616641" w:rsidRPr="0049701B" w14:paraId="183D8ECF" w14:textId="77777777" w:rsidTr="007E3239">
        <w:tc>
          <w:tcPr>
            <w:tcW w:w="3578" w:type="dxa"/>
            <w:vMerge w:val="restart"/>
            <w:shd w:val="clear" w:color="auto" w:fill="1B556B"/>
            <w:vAlign w:val="bottom"/>
          </w:tcPr>
          <w:p w14:paraId="437F5370" w14:textId="77777777" w:rsidR="00616641" w:rsidRPr="0049701B" w:rsidRDefault="00616641" w:rsidP="007E3239">
            <w:pPr>
              <w:pStyle w:val="TableText"/>
              <w:keepNext/>
              <w:spacing w:before="50" w:after="50"/>
              <w:rPr>
                <w:rFonts w:cs="Calibri"/>
                <w:b/>
                <w:bCs/>
                <w:color w:val="FFFFFF"/>
                <w:szCs w:val="16"/>
              </w:rPr>
            </w:pPr>
            <w:r w:rsidRPr="0049701B">
              <w:rPr>
                <w:rFonts w:cs="Calibri"/>
                <w:b/>
                <w:bCs/>
                <w:color w:val="FFFFFF"/>
                <w:szCs w:val="16"/>
              </w:rPr>
              <w:t xml:space="preserve">Activities under Article 3.3 of the Kyoto Protocol </w:t>
            </w:r>
          </w:p>
        </w:tc>
        <w:tc>
          <w:tcPr>
            <w:tcW w:w="3120" w:type="dxa"/>
            <w:gridSpan w:val="4"/>
            <w:shd w:val="clear" w:color="auto" w:fill="1B556B"/>
            <w:vAlign w:val="bottom"/>
          </w:tcPr>
          <w:p w14:paraId="06B0C6D5" w14:textId="77777777" w:rsidR="00616641" w:rsidRPr="0049701B" w:rsidRDefault="00616641" w:rsidP="007E3239">
            <w:pPr>
              <w:pStyle w:val="TableTextBold"/>
              <w:spacing w:after="0"/>
              <w:jc w:val="center"/>
              <w:rPr>
                <w:rFonts w:cs="Calibri"/>
                <w:b w:val="0"/>
                <w:noProof w:val="0"/>
                <w:color w:val="FFFFFF"/>
                <w:szCs w:val="16"/>
              </w:rPr>
            </w:pPr>
            <w:r w:rsidRPr="0049701B">
              <w:rPr>
                <w:noProof w:val="0"/>
                <w:color w:val="FFFFFF"/>
              </w:rPr>
              <w:t>Area as at 201</w:t>
            </w:r>
            <w:r w:rsidRPr="0049701B">
              <w:rPr>
                <w:rFonts w:cs="Calibri"/>
                <w:bCs/>
                <w:noProof w:val="0"/>
                <w:color w:val="FFFFFF"/>
                <w:szCs w:val="16"/>
              </w:rPr>
              <w:t>9 (ha)</w:t>
            </w:r>
          </w:p>
        </w:tc>
        <w:tc>
          <w:tcPr>
            <w:tcW w:w="1807" w:type="dxa"/>
            <w:vMerge w:val="restart"/>
            <w:shd w:val="clear" w:color="auto" w:fill="1B556B"/>
            <w:vAlign w:val="bottom"/>
          </w:tcPr>
          <w:p w14:paraId="46C8965F" w14:textId="77777777" w:rsidR="00616641" w:rsidRPr="0049701B" w:rsidRDefault="00616641" w:rsidP="007E3239">
            <w:pPr>
              <w:pStyle w:val="TableTextBold"/>
              <w:keepNext/>
              <w:jc w:val="right"/>
              <w:rPr>
                <w:rFonts w:cs="Calibri"/>
                <w:bCs/>
                <w:noProof w:val="0"/>
                <w:color w:val="FFFFFF"/>
                <w:szCs w:val="16"/>
              </w:rPr>
            </w:pPr>
            <w:r w:rsidRPr="0049701B">
              <w:rPr>
                <w:rFonts w:cs="Calibri"/>
                <w:bCs/>
                <w:noProof w:val="0"/>
                <w:color w:val="FFFFFF"/>
                <w:szCs w:val="16"/>
              </w:rPr>
              <w:t>Change from 2021 submission (%)</w:t>
            </w:r>
          </w:p>
        </w:tc>
      </w:tr>
      <w:tr w:rsidR="00616641" w:rsidRPr="0049701B" w14:paraId="48ED0D53" w14:textId="77777777" w:rsidTr="00391FD7">
        <w:tc>
          <w:tcPr>
            <w:tcW w:w="3578" w:type="dxa"/>
            <w:vMerge/>
            <w:tcBorders>
              <w:bottom w:val="single" w:sz="4" w:space="0" w:color="1B556B"/>
            </w:tcBorders>
            <w:shd w:val="clear" w:color="auto" w:fill="1B556B"/>
            <w:vAlign w:val="center"/>
          </w:tcPr>
          <w:p w14:paraId="0C9C5BF1" w14:textId="77777777" w:rsidR="00616641" w:rsidRPr="0049701B" w:rsidRDefault="00616641" w:rsidP="007E3239">
            <w:pPr>
              <w:keepNext/>
              <w:spacing w:before="50" w:after="50"/>
              <w:rPr>
                <w:rFonts w:cs="Calibri"/>
                <w:b/>
                <w:bCs/>
                <w:sz w:val="16"/>
                <w:szCs w:val="16"/>
              </w:rPr>
            </w:pPr>
          </w:p>
        </w:tc>
        <w:tc>
          <w:tcPr>
            <w:tcW w:w="1462" w:type="dxa"/>
            <w:tcBorders>
              <w:bottom w:val="single" w:sz="4" w:space="0" w:color="1B556B"/>
            </w:tcBorders>
            <w:shd w:val="clear" w:color="auto" w:fill="1B556B"/>
            <w:vAlign w:val="center"/>
          </w:tcPr>
          <w:p w14:paraId="657FDDA0" w14:textId="77777777" w:rsidR="00616641" w:rsidRPr="0049701B" w:rsidRDefault="00616641" w:rsidP="007E3239">
            <w:pPr>
              <w:pStyle w:val="TableTextBold"/>
              <w:keepNext/>
              <w:jc w:val="right"/>
              <w:rPr>
                <w:rFonts w:cs="Calibri"/>
                <w:noProof w:val="0"/>
                <w:color w:val="FFFFFF"/>
                <w:szCs w:val="16"/>
              </w:rPr>
            </w:pPr>
            <w:r w:rsidRPr="0049701B">
              <w:rPr>
                <w:rFonts w:cs="Calibri"/>
                <w:noProof w:val="0"/>
                <w:color w:val="FFFFFF"/>
                <w:szCs w:val="16"/>
              </w:rPr>
              <w:t>2021 submission</w:t>
            </w:r>
          </w:p>
        </w:tc>
        <w:tc>
          <w:tcPr>
            <w:tcW w:w="1658" w:type="dxa"/>
            <w:gridSpan w:val="3"/>
            <w:tcBorders>
              <w:bottom w:val="single" w:sz="4" w:space="0" w:color="1B556B"/>
            </w:tcBorders>
            <w:shd w:val="clear" w:color="auto" w:fill="1B556B"/>
            <w:vAlign w:val="center"/>
          </w:tcPr>
          <w:p w14:paraId="7566425A" w14:textId="77777777" w:rsidR="00616641" w:rsidRPr="0049701B" w:rsidRDefault="00616641" w:rsidP="007E3239">
            <w:pPr>
              <w:pStyle w:val="TableTextBold"/>
              <w:keepNext/>
              <w:jc w:val="right"/>
              <w:rPr>
                <w:rFonts w:cs="Calibri"/>
                <w:noProof w:val="0"/>
                <w:color w:val="FFFFFF"/>
                <w:szCs w:val="16"/>
              </w:rPr>
            </w:pPr>
            <w:r w:rsidRPr="0049701B">
              <w:rPr>
                <w:rFonts w:cs="Calibri"/>
                <w:noProof w:val="0"/>
                <w:color w:val="FFFFFF"/>
                <w:szCs w:val="16"/>
              </w:rPr>
              <w:t>2022 submission</w:t>
            </w:r>
          </w:p>
        </w:tc>
        <w:tc>
          <w:tcPr>
            <w:tcW w:w="1807" w:type="dxa"/>
            <w:vMerge/>
            <w:tcBorders>
              <w:bottom w:val="single" w:sz="4" w:space="0" w:color="1B556B"/>
            </w:tcBorders>
            <w:shd w:val="clear" w:color="auto" w:fill="1B556B"/>
            <w:vAlign w:val="center"/>
          </w:tcPr>
          <w:p w14:paraId="6F0C60DE" w14:textId="77777777" w:rsidR="00616641" w:rsidRPr="0049701B" w:rsidRDefault="00616641" w:rsidP="007E3239">
            <w:pPr>
              <w:keepNext/>
              <w:spacing w:before="50" w:after="50"/>
              <w:rPr>
                <w:rFonts w:cs="Calibri"/>
                <w:sz w:val="16"/>
                <w:szCs w:val="16"/>
              </w:rPr>
            </w:pPr>
          </w:p>
        </w:tc>
      </w:tr>
      <w:tr w:rsidR="00616641" w:rsidRPr="0049701B" w14:paraId="2755F193" w14:textId="77777777" w:rsidTr="007E3239">
        <w:tc>
          <w:tcPr>
            <w:tcW w:w="3578" w:type="dxa"/>
            <w:shd w:val="clear" w:color="auto" w:fill="auto"/>
            <w:vAlign w:val="center"/>
          </w:tcPr>
          <w:p w14:paraId="4924F98D" w14:textId="77777777" w:rsidR="00616641" w:rsidRPr="0049701B" w:rsidRDefault="00616641" w:rsidP="007E3239">
            <w:pPr>
              <w:pStyle w:val="TableText"/>
              <w:keepNext/>
              <w:spacing w:before="50" w:after="50"/>
              <w:rPr>
                <w:rFonts w:cs="Calibri"/>
                <w:bCs/>
                <w:szCs w:val="16"/>
              </w:rPr>
            </w:pPr>
            <w:r w:rsidRPr="0049701B">
              <w:rPr>
                <w:rFonts w:cs="Calibri"/>
                <w:bCs/>
                <w:szCs w:val="16"/>
              </w:rPr>
              <w:t>Afforestation and reforestation</w:t>
            </w:r>
          </w:p>
        </w:tc>
        <w:tc>
          <w:tcPr>
            <w:tcW w:w="1462" w:type="dxa"/>
            <w:shd w:val="clear" w:color="auto" w:fill="auto"/>
          </w:tcPr>
          <w:p w14:paraId="2A866C3E" w14:textId="77777777" w:rsidR="00616641" w:rsidRPr="0049701B" w:rsidRDefault="00616641" w:rsidP="007E3239">
            <w:pPr>
              <w:pStyle w:val="TableText"/>
              <w:keepNext/>
              <w:spacing w:before="50" w:after="50"/>
              <w:jc w:val="right"/>
              <w:rPr>
                <w:rFonts w:cs="Calibri"/>
                <w:szCs w:val="16"/>
              </w:rPr>
            </w:pPr>
            <w:r w:rsidRPr="0049701B">
              <w:t>739,454</w:t>
            </w:r>
          </w:p>
        </w:tc>
        <w:tc>
          <w:tcPr>
            <w:tcW w:w="1658" w:type="dxa"/>
            <w:gridSpan w:val="3"/>
            <w:shd w:val="clear" w:color="auto" w:fill="auto"/>
          </w:tcPr>
          <w:p w14:paraId="01F34E16" w14:textId="77777777" w:rsidR="00616641" w:rsidRPr="0049701B" w:rsidRDefault="00616641" w:rsidP="007E3239">
            <w:pPr>
              <w:pStyle w:val="TableText"/>
              <w:keepNext/>
              <w:spacing w:before="50" w:after="50"/>
              <w:jc w:val="right"/>
              <w:rPr>
                <w:rFonts w:cs="Calibri"/>
                <w:szCs w:val="16"/>
              </w:rPr>
            </w:pPr>
            <w:r w:rsidRPr="0049701B">
              <w:t>735,240</w:t>
            </w:r>
          </w:p>
        </w:tc>
        <w:tc>
          <w:tcPr>
            <w:tcW w:w="1807" w:type="dxa"/>
            <w:shd w:val="clear" w:color="auto" w:fill="auto"/>
          </w:tcPr>
          <w:p w14:paraId="6E074103" w14:textId="77777777" w:rsidR="00616641" w:rsidRPr="0049701B" w:rsidRDefault="00616641" w:rsidP="007E3239">
            <w:pPr>
              <w:pStyle w:val="TableText"/>
              <w:keepNext/>
              <w:spacing w:before="50" w:after="50"/>
              <w:jc w:val="right"/>
              <w:rPr>
                <w:rFonts w:cs="Calibri"/>
                <w:szCs w:val="16"/>
              </w:rPr>
            </w:pPr>
            <w:r w:rsidRPr="0049701B">
              <w:t xml:space="preserve">–0.6 </w:t>
            </w:r>
          </w:p>
        </w:tc>
      </w:tr>
      <w:tr w:rsidR="00616641" w:rsidRPr="0049701B" w14:paraId="19153D15" w14:textId="77777777" w:rsidTr="007E3239">
        <w:tc>
          <w:tcPr>
            <w:tcW w:w="3578" w:type="dxa"/>
            <w:shd w:val="clear" w:color="auto" w:fill="auto"/>
            <w:vAlign w:val="center"/>
          </w:tcPr>
          <w:p w14:paraId="27216AF2" w14:textId="77777777" w:rsidR="00616641" w:rsidRPr="0049701B" w:rsidRDefault="00616641" w:rsidP="007E3239">
            <w:pPr>
              <w:pStyle w:val="TableText"/>
              <w:spacing w:before="50" w:after="50"/>
              <w:rPr>
                <w:rFonts w:cs="Calibri"/>
                <w:bCs/>
                <w:szCs w:val="16"/>
              </w:rPr>
            </w:pPr>
            <w:r w:rsidRPr="0049701B">
              <w:rPr>
                <w:rFonts w:cs="Calibri"/>
                <w:bCs/>
                <w:szCs w:val="16"/>
              </w:rPr>
              <w:t xml:space="preserve">Deforestation </w:t>
            </w:r>
          </w:p>
        </w:tc>
        <w:tc>
          <w:tcPr>
            <w:tcW w:w="1462" w:type="dxa"/>
            <w:shd w:val="clear" w:color="auto" w:fill="auto"/>
          </w:tcPr>
          <w:p w14:paraId="481097E3" w14:textId="77777777" w:rsidR="00616641" w:rsidRPr="0049701B" w:rsidRDefault="00616641" w:rsidP="007E3239">
            <w:pPr>
              <w:pStyle w:val="TableText"/>
              <w:keepNext/>
              <w:keepLines/>
              <w:spacing w:before="50" w:after="50"/>
              <w:jc w:val="right"/>
              <w:rPr>
                <w:rFonts w:cs="Calibri"/>
                <w:szCs w:val="16"/>
              </w:rPr>
            </w:pPr>
            <w:r w:rsidRPr="0049701B">
              <w:t>202,641</w:t>
            </w:r>
          </w:p>
        </w:tc>
        <w:tc>
          <w:tcPr>
            <w:tcW w:w="1658" w:type="dxa"/>
            <w:gridSpan w:val="3"/>
            <w:shd w:val="clear" w:color="auto" w:fill="auto"/>
          </w:tcPr>
          <w:p w14:paraId="3F9FAE5D" w14:textId="77777777" w:rsidR="00616641" w:rsidRPr="0049701B" w:rsidRDefault="00616641" w:rsidP="007E3239">
            <w:pPr>
              <w:pStyle w:val="TableText"/>
              <w:keepNext/>
              <w:keepLines/>
              <w:spacing w:before="50" w:after="50"/>
              <w:jc w:val="right"/>
              <w:rPr>
                <w:rFonts w:cs="Calibri"/>
                <w:szCs w:val="16"/>
              </w:rPr>
            </w:pPr>
            <w:r w:rsidRPr="0049701B">
              <w:t>211,633</w:t>
            </w:r>
          </w:p>
        </w:tc>
        <w:tc>
          <w:tcPr>
            <w:tcW w:w="1807" w:type="dxa"/>
            <w:shd w:val="clear" w:color="auto" w:fill="auto"/>
          </w:tcPr>
          <w:p w14:paraId="6BF109E3" w14:textId="77777777" w:rsidR="00616641" w:rsidRPr="0049701B" w:rsidRDefault="00616641" w:rsidP="007E3239">
            <w:pPr>
              <w:pStyle w:val="TableText"/>
              <w:keepNext/>
              <w:keepLines/>
              <w:spacing w:before="50" w:after="50"/>
              <w:jc w:val="right"/>
              <w:rPr>
                <w:rFonts w:cs="Calibri"/>
                <w:szCs w:val="16"/>
              </w:rPr>
            </w:pPr>
            <w:r w:rsidRPr="0049701B">
              <w:t xml:space="preserve"> 4.4 </w:t>
            </w:r>
          </w:p>
        </w:tc>
      </w:tr>
      <w:tr w:rsidR="00616641" w:rsidRPr="0049701B" w14:paraId="38E9AB67" w14:textId="77777777" w:rsidTr="007E3239">
        <w:tc>
          <w:tcPr>
            <w:tcW w:w="3578" w:type="dxa"/>
            <w:tcBorders>
              <w:bottom w:val="single" w:sz="4" w:space="0" w:color="1B556B"/>
            </w:tcBorders>
            <w:shd w:val="clear" w:color="auto" w:fill="auto"/>
            <w:vAlign w:val="center"/>
          </w:tcPr>
          <w:p w14:paraId="5ED50C98" w14:textId="77777777" w:rsidR="00616641" w:rsidRPr="0049701B" w:rsidRDefault="00616641" w:rsidP="007E3239">
            <w:pPr>
              <w:pStyle w:val="TableText"/>
              <w:spacing w:before="50" w:after="50"/>
              <w:rPr>
                <w:rFonts w:cs="Calibri"/>
                <w:bCs/>
                <w:szCs w:val="16"/>
              </w:rPr>
            </w:pPr>
            <w:r w:rsidRPr="0049701B">
              <w:rPr>
                <w:rFonts w:cs="Calibri"/>
                <w:bCs/>
                <w:szCs w:val="16"/>
              </w:rPr>
              <w:t>Forest management</w:t>
            </w:r>
          </w:p>
        </w:tc>
        <w:tc>
          <w:tcPr>
            <w:tcW w:w="1462" w:type="dxa"/>
            <w:tcBorders>
              <w:bottom w:val="single" w:sz="4" w:space="0" w:color="1B556B"/>
            </w:tcBorders>
            <w:shd w:val="clear" w:color="auto" w:fill="auto"/>
          </w:tcPr>
          <w:p w14:paraId="2E510560" w14:textId="77777777" w:rsidR="00616641" w:rsidRPr="0049701B" w:rsidRDefault="00616641" w:rsidP="007E3239">
            <w:pPr>
              <w:pStyle w:val="TableText"/>
              <w:keepNext/>
              <w:keepLines/>
              <w:spacing w:before="50" w:after="50"/>
              <w:jc w:val="right"/>
              <w:rPr>
                <w:rFonts w:cs="Calibri"/>
                <w:szCs w:val="16"/>
              </w:rPr>
            </w:pPr>
            <w:r w:rsidRPr="0049701B">
              <w:t>9,201,461</w:t>
            </w:r>
          </w:p>
        </w:tc>
        <w:tc>
          <w:tcPr>
            <w:tcW w:w="1658" w:type="dxa"/>
            <w:gridSpan w:val="3"/>
            <w:tcBorders>
              <w:bottom w:val="single" w:sz="4" w:space="0" w:color="1B556B"/>
            </w:tcBorders>
            <w:shd w:val="clear" w:color="auto" w:fill="auto"/>
          </w:tcPr>
          <w:p w14:paraId="75480BC3" w14:textId="77777777" w:rsidR="00616641" w:rsidRPr="0049701B" w:rsidRDefault="00616641" w:rsidP="007E3239">
            <w:pPr>
              <w:pStyle w:val="TableText"/>
              <w:keepNext/>
              <w:keepLines/>
              <w:spacing w:before="50" w:after="50"/>
              <w:jc w:val="right"/>
              <w:rPr>
                <w:rFonts w:cs="Calibri"/>
                <w:szCs w:val="16"/>
              </w:rPr>
            </w:pPr>
            <w:r w:rsidRPr="0049701B">
              <w:t>9,200,443</w:t>
            </w:r>
          </w:p>
        </w:tc>
        <w:tc>
          <w:tcPr>
            <w:tcW w:w="1807" w:type="dxa"/>
            <w:tcBorders>
              <w:bottom w:val="single" w:sz="4" w:space="0" w:color="1B556B"/>
            </w:tcBorders>
            <w:shd w:val="clear" w:color="auto" w:fill="auto"/>
          </w:tcPr>
          <w:p w14:paraId="67F83A83" w14:textId="77777777" w:rsidR="00616641" w:rsidRPr="0049701B" w:rsidRDefault="00616641" w:rsidP="007E3239">
            <w:pPr>
              <w:pStyle w:val="TableText"/>
              <w:keepNext/>
              <w:keepLines/>
              <w:spacing w:before="50" w:after="50"/>
              <w:jc w:val="right"/>
              <w:rPr>
                <w:rFonts w:cs="Calibri"/>
                <w:szCs w:val="16"/>
              </w:rPr>
            </w:pPr>
            <w:r w:rsidRPr="0049701B">
              <w:t xml:space="preserve">–0.0 </w:t>
            </w:r>
          </w:p>
        </w:tc>
      </w:tr>
      <w:tr w:rsidR="00616641" w:rsidRPr="0049701B" w14:paraId="1EFB6B0C" w14:textId="77777777" w:rsidTr="007E3239">
        <w:tc>
          <w:tcPr>
            <w:tcW w:w="3578" w:type="dxa"/>
            <w:vMerge w:val="restart"/>
            <w:shd w:val="clear" w:color="auto" w:fill="1B556B"/>
            <w:vAlign w:val="bottom"/>
          </w:tcPr>
          <w:p w14:paraId="776152E6" w14:textId="77777777" w:rsidR="00616641" w:rsidRPr="0049701B" w:rsidRDefault="00616641" w:rsidP="007E3239">
            <w:pPr>
              <w:pStyle w:val="TableText"/>
              <w:spacing w:before="50" w:after="50"/>
              <w:rPr>
                <w:rFonts w:cs="Calibri"/>
                <w:b/>
                <w:bCs/>
                <w:color w:val="FFFFFF"/>
                <w:szCs w:val="16"/>
              </w:rPr>
            </w:pPr>
            <w:r w:rsidRPr="0049701B">
              <w:rPr>
                <w:rFonts w:cs="Calibri"/>
                <w:b/>
                <w:bCs/>
                <w:color w:val="FFFFFF"/>
                <w:szCs w:val="16"/>
              </w:rPr>
              <w:t>Activities occurring in 2019</w:t>
            </w:r>
          </w:p>
        </w:tc>
        <w:tc>
          <w:tcPr>
            <w:tcW w:w="3120" w:type="dxa"/>
            <w:gridSpan w:val="4"/>
            <w:shd w:val="clear" w:color="auto" w:fill="1B556B"/>
            <w:vAlign w:val="bottom"/>
          </w:tcPr>
          <w:p w14:paraId="6BB64281" w14:textId="77777777" w:rsidR="00616641" w:rsidRPr="0049701B" w:rsidRDefault="00616641" w:rsidP="007E3239">
            <w:pPr>
              <w:pStyle w:val="TableTextBold"/>
              <w:keepNext/>
              <w:keepLines/>
              <w:spacing w:after="0"/>
              <w:jc w:val="center"/>
              <w:rPr>
                <w:rFonts w:cs="Calibri"/>
                <w:noProof w:val="0"/>
                <w:color w:val="FFFFFF"/>
                <w:szCs w:val="16"/>
              </w:rPr>
            </w:pPr>
            <w:r w:rsidRPr="0049701B">
              <w:rPr>
                <w:rFonts w:cs="Calibri"/>
                <w:noProof w:val="0"/>
                <w:color w:val="FFFFFF"/>
                <w:szCs w:val="16"/>
              </w:rPr>
              <w:t>Area change in 2019 (ha)</w:t>
            </w:r>
          </w:p>
        </w:tc>
        <w:tc>
          <w:tcPr>
            <w:tcW w:w="1807" w:type="dxa"/>
            <w:vMerge w:val="restart"/>
            <w:shd w:val="clear" w:color="auto" w:fill="1B556B"/>
            <w:vAlign w:val="bottom"/>
          </w:tcPr>
          <w:p w14:paraId="4A223FEE" w14:textId="77777777" w:rsidR="00616641" w:rsidRPr="0049701B" w:rsidRDefault="00616641" w:rsidP="007E3239">
            <w:pPr>
              <w:pStyle w:val="TableTextBold"/>
              <w:keepNext/>
              <w:keepLines/>
              <w:jc w:val="right"/>
              <w:rPr>
                <w:rFonts w:cs="Calibri"/>
                <w:noProof w:val="0"/>
                <w:color w:val="FFFFFF"/>
                <w:szCs w:val="16"/>
              </w:rPr>
            </w:pPr>
            <w:r w:rsidRPr="0049701B">
              <w:rPr>
                <w:rFonts w:cs="Calibri"/>
                <w:noProof w:val="0"/>
                <w:color w:val="FFFFFF"/>
                <w:szCs w:val="16"/>
              </w:rPr>
              <w:t>Change from 2021 submission (%)</w:t>
            </w:r>
          </w:p>
        </w:tc>
      </w:tr>
      <w:tr w:rsidR="00616641" w:rsidRPr="0049701B" w14:paraId="1346349D" w14:textId="77777777" w:rsidTr="007E3239">
        <w:tc>
          <w:tcPr>
            <w:tcW w:w="3578" w:type="dxa"/>
            <w:vMerge/>
            <w:shd w:val="clear" w:color="auto" w:fill="1B556B"/>
            <w:vAlign w:val="bottom"/>
          </w:tcPr>
          <w:p w14:paraId="2E46802E" w14:textId="77777777" w:rsidR="00616641" w:rsidRPr="0049701B" w:rsidRDefault="00616641" w:rsidP="007E3239">
            <w:pPr>
              <w:pStyle w:val="TableText"/>
              <w:spacing w:before="50" w:after="50"/>
              <w:rPr>
                <w:rFonts w:cs="Calibri"/>
                <w:b/>
                <w:bCs/>
                <w:color w:val="FFFFFF"/>
                <w:szCs w:val="16"/>
              </w:rPr>
            </w:pPr>
          </w:p>
        </w:tc>
        <w:tc>
          <w:tcPr>
            <w:tcW w:w="1560" w:type="dxa"/>
            <w:gridSpan w:val="2"/>
            <w:shd w:val="clear" w:color="auto" w:fill="1B556B"/>
            <w:vAlign w:val="bottom"/>
          </w:tcPr>
          <w:p w14:paraId="61B02FDD" w14:textId="77777777" w:rsidR="00616641" w:rsidRPr="0049701B" w:rsidRDefault="00616641" w:rsidP="007E3239">
            <w:pPr>
              <w:pStyle w:val="TableTextBold"/>
              <w:keepNext/>
              <w:keepLines/>
              <w:jc w:val="center"/>
              <w:rPr>
                <w:rFonts w:cs="Calibri"/>
                <w:noProof w:val="0"/>
                <w:color w:val="FFFFFF"/>
                <w:szCs w:val="16"/>
              </w:rPr>
            </w:pPr>
            <w:r w:rsidRPr="0049701B">
              <w:rPr>
                <w:rFonts w:cs="Calibri"/>
                <w:noProof w:val="0"/>
                <w:color w:val="FFFFFF"/>
                <w:szCs w:val="16"/>
              </w:rPr>
              <w:t>2021 submission</w:t>
            </w:r>
          </w:p>
        </w:tc>
        <w:tc>
          <w:tcPr>
            <w:tcW w:w="1560" w:type="dxa"/>
            <w:gridSpan w:val="2"/>
            <w:shd w:val="clear" w:color="auto" w:fill="1B556B"/>
            <w:vAlign w:val="bottom"/>
          </w:tcPr>
          <w:p w14:paraId="3F29123E" w14:textId="77777777" w:rsidR="00616641" w:rsidRPr="0049701B" w:rsidRDefault="00616641" w:rsidP="007E3239">
            <w:pPr>
              <w:pStyle w:val="TableTextBold"/>
              <w:keepNext/>
              <w:keepLines/>
              <w:jc w:val="center"/>
              <w:rPr>
                <w:rFonts w:cs="Calibri"/>
                <w:noProof w:val="0"/>
                <w:color w:val="FFFFFF"/>
                <w:szCs w:val="16"/>
              </w:rPr>
            </w:pPr>
            <w:r w:rsidRPr="0049701B">
              <w:rPr>
                <w:rFonts w:cs="Calibri"/>
                <w:noProof w:val="0"/>
                <w:color w:val="FFFFFF"/>
                <w:szCs w:val="16"/>
              </w:rPr>
              <w:t>2022 submission</w:t>
            </w:r>
          </w:p>
        </w:tc>
        <w:tc>
          <w:tcPr>
            <w:tcW w:w="1807" w:type="dxa"/>
            <w:vMerge/>
            <w:shd w:val="clear" w:color="auto" w:fill="1B556B"/>
            <w:vAlign w:val="bottom"/>
          </w:tcPr>
          <w:p w14:paraId="25ADB003" w14:textId="77777777" w:rsidR="00616641" w:rsidRPr="0049701B" w:rsidRDefault="00616641" w:rsidP="007E3239">
            <w:pPr>
              <w:pStyle w:val="TableTextBold"/>
              <w:keepNext/>
              <w:keepLines/>
              <w:jc w:val="right"/>
              <w:rPr>
                <w:rFonts w:cs="Calibri"/>
                <w:noProof w:val="0"/>
                <w:color w:val="FFFFFF"/>
                <w:szCs w:val="16"/>
              </w:rPr>
            </w:pPr>
          </w:p>
        </w:tc>
      </w:tr>
      <w:tr w:rsidR="00616641" w:rsidRPr="0049701B" w14:paraId="3D8E22BA" w14:textId="77777777" w:rsidTr="007E3239">
        <w:tc>
          <w:tcPr>
            <w:tcW w:w="3578" w:type="dxa"/>
            <w:shd w:val="clear" w:color="auto" w:fill="auto"/>
            <w:vAlign w:val="center"/>
          </w:tcPr>
          <w:p w14:paraId="075D367E" w14:textId="77777777" w:rsidR="00616641" w:rsidRPr="0049701B" w:rsidRDefault="00616641" w:rsidP="007E3239">
            <w:pPr>
              <w:pStyle w:val="TableText"/>
              <w:spacing w:before="50" w:after="50"/>
              <w:rPr>
                <w:rFonts w:cs="Calibri"/>
                <w:b/>
                <w:szCs w:val="16"/>
              </w:rPr>
            </w:pPr>
            <w:r w:rsidRPr="0049701B">
              <w:rPr>
                <w:rFonts w:cs="Calibri"/>
                <w:b/>
                <w:szCs w:val="16"/>
              </w:rPr>
              <w:t>New planting</w:t>
            </w:r>
          </w:p>
        </w:tc>
        <w:tc>
          <w:tcPr>
            <w:tcW w:w="1582" w:type="dxa"/>
            <w:gridSpan w:val="3"/>
            <w:shd w:val="clear" w:color="auto" w:fill="auto"/>
          </w:tcPr>
          <w:p w14:paraId="1E002FE1" w14:textId="77777777" w:rsidR="00616641" w:rsidRPr="0049701B" w:rsidRDefault="00616641" w:rsidP="007E3239">
            <w:pPr>
              <w:pStyle w:val="TableText"/>
              <w:keepNext/>
              <w:keepLines/>
              <w:spacing w:before="50" w:after="50"/>
              <w:jc w:val="right"/>
              <w:rPr>
                <w:rFonts w:cs="Calibri"/>
                <w:szCs w:val="16"/>
              </w:rPr>
            </w:pPr>
            <w:r w:rsidRPr="0049701B">
              <w:t>24,067</w:t>
            </w:r>
          </w:p>
        </w:tc>
        <w:tc>
          <w:tcPr>
            <w:tcW w:w="1538" w:type="dxa"/>
            <w:shd w:val="clear" w:color="auto" w:fill="auto"/>
          </w:tcPr>
          <w:p w14:paraId="083995BF" w14:textId="77777777" w:rsidR="00616641" w:rsidRPr="0049701B" w:rsidRDefault="00616641" w:rsidP="007E3239">
            <w:pPr>
              <w:pStyle w:val="TableText"/>
              <w:keepNext/>
              <w:keepLines/>
              <w:tabs>
                <w:tab w:val="center" w:pos="661"/>
                <w:tab w:val="right" w:pos="1322"/>
              </w:tabs>
              <w:spacing w:before="50" w:after="50"/>
              <w:jc w:val="right"/>
              <w:rPr>
                <w:rFonts w:cs="Calibri"/>
                <w:szCs w:val="16"/>
              </w:rPr>
            </w:pPr>
            <w:r w:rsidRPr="0049701B">
              <w:t>27,070</w:t>
            </w:r>
          </w:p>
        </w:tc>
        <w:tc>
          <w:tcPr>
            <w:tcW w:w="1807" w:type="dxa"/>
            <w:shd w:val="clear" w:color="auto" w:fill="auto"/>
          </w:tcPr>
          <w:p w14:paraId="24326D0C" w14:textId="77777777" w:rsidR="00616641" w:rsidRPr="0049701B" w:rsidRDefault="00616641" w:rsidP="007E3239">
            <w:pPr>
              <w:pStyle w:val="TableText"/>
              <w:keepNext/>
              <w:keepLines/>
              <w:spacing w:before="50" w:after="50"/>
              <w:jc w:val="right"/>
              <w:rPr>
                <w:rFonts w:cs="Calibri"/>
                <w:szCs w:val="16"/>
              </w:rPr>
            </w:pPr>
            <w:r w:rsidRPr="0049701B">
              <w:t xml:space="preserve"> 12.5 </w:t>
            </w:r>
          </w:p>
        </w:tc>
      </w:tr>
      <w:tr w:rsidR="00616641" w:rsidRPr="0049701B" w14:paraId="40549AC6" w14:textId="77777777" w:rsidTr="007E3239">
        <w:tc>
          <w:tcPr>
            <w:tcW w:w="3578" w:type="dxa"/>
            <w:shd w:val="clear" w:color="auto" w:fill="auto"/>
            <w:vAlign w:val="center"/>
          </w:tcPr>
          <w:p w14:paraId="10D70A59" w14:textId="77777777" w:rsidR="00616641" w:rsidRPr="0049701B" w:rsidRDefault="00616641" w:rsidP="007E3239">
            <w:pPr>
              <w:pStyle w:val="TableText"/>
              <w:spacing w:before="50" w:after="50"/>
              <w:rPr>
                <w:rFonts w:cs="Calibri"/>
                <w:b/>
                <w:szCs w:val="16"/>
              </w:rPr>
            </w:pPr>
            <w:r w:rsidRPr="0049701B">
              <w:rPr>
                <w:rFonts w:cs="Calibri"/>
                <w:b/>
                <w:szCs w:val="16"/>
              </w:rPr>
              <w:t>Deforestation</w:t>
            </w:r>
          </w:p>
        </w:tc>
        <w:tc>
          <w:tcPr>
            <w:tcW w:w="1582" w:type="dxa"/>
            <w:gridSpan w:val="3"/>
            <w:shd w:val="clear" w:color="auto" w:fill="auto"/>
          </w:tcPr>
          <w:p w14:paraId="24B4A477" w14:textId="77777777" w:rsidR="00616641" w:rsidRPr="0049701B" w:rsidRDefault="00616641" w:rsidP="007E3239">
            <w:pPr>
              <w:pStyle w:val="TableText"/>
              <w:keepNext/>
              <w:keepLines/>
              <w:spacing w:before="50" w:after="50"/>
              <w:jc w:val="right"/>
              <w:rPr>
                <w:rFonts w:cs="Calibri"/>
                <w:szCs w:val="16"/>
              </w:rPr>
            </w:pPr>
          </w:p>
        </w:tc>
        <w:tc>
          <w:tcPr>
            <w:tcW w:w="1538" w:type="dxa"/>
            <w:shd w:val="clear" w:color="auto" w:fill="auto"/>
          </w:tcPr>
          <w:p w14:paraId="4116428C" w14:textId="77777777" w:rsidR="00616641" w:rsidRPr="0049701B" w:rsidRDefault="00616641" w:rsidP="007E3239">
            <w:pPr>
              <w:pStyle w:val="TableText"/>
              <w:keepNext/>
              <w:keepLines/>
              <w:spacing w:before="50" w:after="50"/>
              <w:jc w:val="right"/>
              <w:rPr>
                <w:rFonts w:cs="Calibri"/>
                <w:szCs w:val="16"/>
              </w:rPr>
            </w:pPr>
          </w:p>
        </w:tc>
        <w:tc>
          <w:tcPr>
            <w:tcW w:w="1807" w:type="dxa"/>
            <w:shd w:val="clear" w:color="auto" w:fill="auto"/>
          </w:tcPr>
          <w:p w14:paraId="0E03BC1F" w14:textId="77777777" w:rsidR="00616641" w:rsidRPr="0049701B" w:rsidRDefault="00616641" w:rsidP="007E3239">
            <w:pPr>
              <w:pStyle w:val="TableText"/>
              <w:keepNext/>
              <w:keepLines/>
              <w:spacing w:before="50" w:after="50"/>
              <w:jc w:val="right"/>
              <w:rPr>
                <w:rFonts w:cs="Calibri"/>
                <w:szCs w:val="16"/>
              </w:rPr>
            </w:pPr>
          </w:p>
        </w:tc>
      </w:tr>
      <w:tr w:rsidR="00616641" w:rsidRPr="0049701B" w14:paraId="6D08816B" w14:textId="77777777" w:rsidTr="007E3239">
        <w:tc>
          <w:tcPr>
            <w:tcW w:w="3578" w:type="dxa"/>
            <w:shd w:val="clear" w:color="auto" w:fill="auto"/>
            <w:vAlign w:val="center"/>
          </w:tcPr>
          <w:p w14:paraId="08C26989" w14:textId="77777777" w:rsidR="00616641" w:rsidRPr="0049701B" w:rsidRDefault="00616641" w:rsidP="007E3239">
            <w:pPr>
              <w:pStyle w:val="TableText"/>
              <w:spacing w:before="50" w:after="50"/>
              <w:ind w:left="369"/>
              <w:rPr>
                <w:rFonts w:cs="Calibri"/>
                <w:bCs/>
                <w:szCs w:val="16"/>
              </w:rPr>
            </w:pPr>
            <w:r w:rsidRPr="0049701B">
              <w:rPr>
                <w:rFonts w:cs="Calibri"/>
                <w:bCs/>
                <w:szCs w:val="16"/>
              </w:rPr>
              <w:t>Pre-1990 natural forest</w:t>
            </w:r>
          </w:p>
        </w:tc>
        <w:tc>
          <w:tcPr>
            <w:tcW w:w="1582" w:type="dxa"/>
            <w:gridSpan w:val="3"/>
            <w:shd w:val="clear" w:color="auto" w:fill="auto"/>
          </w:tcPr>
          <w:p w14:paraId="25576AD0" w14:textId="77777777" w:rsidR="00616641" w:rsidRPr="0049701B" w:rsidRDefault="00616641" w:rsidP="007E3239">
            <w:pPr>
              <w:pStyle w:val="TableText"/>
              <w:keepNext/>
              <w:keepLines/>
              <w:spacing w:before="50" w:after="50"/>
              <w:jc w:val="right"/>
              <w:rPr>
                <w:rFonts w:cs="Calibri"/>
                <w:szCs w:val="16"/>
              </w:rPr>
            </w:pPr>
            <w:r w:rsidRPr="0049701B">
              <w:t>750</w:t>
            </w:r>
          </w:p>
        </w:tc>
        <w:tc>
          <w:tcPr>
            <w:tcW w:w="1538" w:type="dxa"/>
            <w:shd w:val="clear" w:color="auto" w:fill="auto"/>
          </w:tcPr>
          <w:p w14:paraId="25A97053" w14:textId="77777777" w:rsidR="00616641" w:rsidRPr="0049701B" w:rsidRDefault="00616641" w:rsidP="007E3239">
            <w:pPr>
              <w:pStyle w:val="TableText"/>
              <w:keepNext/>
              <w:keepLines/>
              <w:spacing w:before="50" w:after="50"/>
              <w:jc w:val="right"/>
              <w:rPr>
                <w:rFonts w:cs="Calibri"/>
                <w:szCs w:val="16"/>
              </w:rPr>
            </w:pPr>
            <w:r w:rsidRPr="0049701B">
              <w:t xml:space="preserve"> 781 </w:t>
            </w:r>
          </w:p>
        </w:tc>
        <w:tc>
          <w:tcPr>
            <w:tcW w:w="1807" w:type="dxa"/>
            <w:shd w:val="clear" w:color="auto" w:fill="auto"/>
          </w:tcPr>
          <w:p w14:paraId="7046F3EB" w14:textId="77777777" w:rsidR="00616641" w:rsidRPr="0049701B" w:rsidRDefault="00616641" w:rsidP="007E3239">
            <w:pPr>
              <w:pStyle w:val="TableText"/>
              <w:keepNext/>
              <w:keepLines/>
              <w:spacing w:before="50" w:after="50"/>
              <w:jc w:val="right"/>
              <w:rPr>
                <w:rFonts w:cs="Calibri"/>
                <w:szCs w:val="16"/>
              </w:rPr>
            </w:pPr>
            <w:r w:rsidRPr="0049701B">
              <w:t xml:space="preserve"> 4.2 </w:t>
            </w:r>
          </w:p>
        </w:tc>
      </w:tr>
      <w:tr w:rsidR="00616641" w:rsidRPr="0049701B" w14:paraId="1D789701" w14:textId="77777777" w:rsidTr="007E3239">
        <w:tc>
          <w:tcPr>
            <w:tcW w:w="3578" w:type="dxa"/>
            <w:shd w:val="clear" w:color="auto" w:fill="auto"/>
            <w:vAlign w:val="center"/>
          </w:tcPr>
          <w:p w14:paraId="7A59DA3B" w14:textId="77777777" w:rsidR="00616641" w:rsidRPr="0049701B" w:rsidRDefault="00616641" w:rsidP="007E3239">
            <w:pPr>
              <w:pStyle w:val="TableText"/>
              <w:spacing w:before="50" w:after="50"/>
              <w:ind w:left="369"/>
              <w:rPr>
                <w:rFonts w:cs="Calibri"/>
                <w:bCs/>
                <w:szCs w:val="16"/>
              </w:rPr>
            </w:pPr>
            <w:r w:rsidRPr="0049701B">
              <w:rPr>
                <w:rFonts w:cs="Calibri"/>
                <w:bCs/>
                <w:szCs w:val="16"/>
              </w:rPr>
              <w:t>Pre-1990 planted forest</w:t>
            </w:r>
          </w:p>
        </w:tc>
        <w:tc>
          <w:tcPr>
            <w:tcW w:w="1582" w:type="dxa"/>
            <w:gridSpan w:val="3"/>
            <w:shd w:val="clear" w:color="auto" w:fill="auto"/>
          </w:tcPr>
          <w:p w14:paraId="64160D15" w14:textId="77777777" w:rsidR="00616641" w:rsidRPr="0049701B" w:rsidRDefault="00616641" w:rsidP="007E3239">
            <w:pPr>
              <w:pStyle w:val="TableText"/>
              <w:keepNext/>
              <w:keepLines/>
              <w:spacing w:before="50" w:after="50"/>
              <w:jc w:val="right"/>
              <w:rPr>
                <w:rFonts w:cs="Calibri"/>
                <w:szCs w:val="16"/>
              </w:rPr>
            </w:pPr>
            <w:r w:rsidRPr="0049701B">
              <w:t>3,108</w:t>
            </w:r>
          </w:p>
        </w:tc>
        <w:tc>
          <w:tcPr>
            <w:tcW w:w="1538" w:type="dxa"/>
            <w:shd w:val="clear" w:color="auto" w:fill="auto"/>
          </w:tcPr>
          <w:p w14:paraId="3D00BE03" w14:textId="77777777" w:rsidR="00616641" w:rsidRPr="0049701B" w:rsidRDefault="00616641" w:rsidP="007E3239">
            <w:pPr>
              <w:pStyle w:val="TableText"/>
              <w:keepNext/>
              <w:keepLines/>
              <w:spacing w:before="50" w:after="50"/>
              <w:jc w:val="right"/>
              <w:rPr>
                <w:rFonts w:cs="Calibri"/>
                <w:szCs w:val="16"/>
              </w:rPr>
            </w:pPr>
            <w:r w:rsidRPr="0049701B">
              <w:t xml:space="preserve"> 1,910 </w:t>
            </w:r>
          </w:p>
        </w:tc>
        <w:tc>
          <w:tcPr>
            <w:tcW w:w="1807" w:type="dxa"/>
            <w:shd w:val="clear" w:color="auto" w:fill="auto"/>
          </w:tcPr>
          <w:p w14:paraId="60865BB2" w14:textId="77777777" w:rsidR="00616641" w:rsidRPr="0049701B" w:rsidRDefault="00616641" w:rsidP="007E3239">
            <w:pPr>
              <w:pStyle w:val="TableText"/>
              <w:keepNext/>
              <w:keepLines/>
              <w:spacing w:before="50" w:after="50"/>
              <w:jc w:val="right"/>
              <w:rPr>
                <w:rFonts w:cs="Calibri"/>
                <w:szCs w:val="16"/>
              </w:rPr>
            </w:pPr>
            <w:r w:rsidRPr="0049701B">
              <w:t xml:space="preserve">–38.5 </w:t>
            </w:r>
          </w:p>
        </w:tc>
      </w:tr>
      <w:tr w:rsidR="00616641" w:rsidRPr="0049701B" w14:paraId="3A74538F" w14:textId="77777777" w:rsidTr="007E3239">
        <w:tc>
          <w:tcPr>
            <w:tcW w:w="3578" w:type="dxa"/>
            <w:shd w:val="clear" w:color="auto" w:fill="auto"/>
            <w:vAlign w:val="center"/>
          </w:tcPr>
          <w:p w14:paraId="3645C4F3" w14:textId="77777777" w:rsidR="00616641" w:rsidRPr="0049701B" w:rsidRDefault="00616641" w:rsidP="007E3239">
            <w:pPr>
              <w:pStyle w:val="TableText"/>
              <w:spacing w:before="50" w:after="50"/>
              <w:ind w:left="369"/>
              <w:rPr>
                <w:rFonts w:cs="Calibri"/>
                <w:bCs/>
                <w:szCs w:val="16"/>
              </w:rPr>
            </w:pPr>
            <w:r w:rsidRPr="0049701B">
              <w:rPr>
                <w:rFonts w:cs="Calibri"/>
                <w:bCs/>
                <w:szCs w:val="16"/>
              </w:rPr>
              <w:t>Post-1989 planted forest</w:t>
            </w:r>
          </w:p>
        </w:tc>
        <w:tc>
          <w:tcPr>
            <w:tcW w:w="1582" w:type="dxa"/>
            <w:gridSpan w:val="3"/>
            <w:shd w:val="clear" w:color="auto" w:fill="auto"/>
          </w:tcPr>
          <w:p w14:paraId="2DA171F9" w14:textId="77777777" w:rsidR="00616641" w:rsidRPr="0049701B" w:rsidRDefault="00616641" w:rsidP="007E3239">
            <w:pPr>
              <w:pStyle w:val="TableText"/>
              <w:keepNext/>
              <w:keepLines/>
              <w:spacing w:before="50" w:after="50"/>
              <w:jc w:val="right"/>
              <w:rPr>
                <w:rFonts w:cs="Calibri"/>
                <w:szCs w:val="16"/>
              </w:rPr>
            </w:pPr>
            <w:r w:rsidRPr="0049701B">
              <w:t>885</w:t>
            </w:r>
          </w:p>
        </w:tc>
        <w:tc>
          <w:tcPr>
            <w:tcW w:w="1538" w:type="dxa"/>
            <w:shd w:val="clear" w:color="auto" w:fill="auto"/>
          </w:tcPr>
          <w:p w14:paraId="259E332D" w14:textId="77777777" w:rsidR="00616641" w:rsidRPr="0049701B" w:rsidRDefault="00616641" w:rsidP="007E3239">
            <w:pPr>
              <w:pStyle w:val="TableText"/>
              <w:keepNext/>
              <w:keepLines/>
              <w:spacing w:before="50" w:after="50"/>
              <w:jc w:val="right"/>
              <w:rPr>
                <w:rFonts w:cs="Calibri"/>
                <w:szCs w:val="16"/>
              </w:rPr>
            </w:pPr>
            <w:r w:rsidRPr="0049701B">
              <w:t xml:space="preserve"> 1,545 </w:t>
            </w:r>
          </w:p>
        </w:tc>
        <w:tc>
          <w:tcPr>
            <w:tcW w:w="1807" w:type="dxa"/>
            <w:shd w:val="clear" w:color="auto" w:fill="auto"/>
          </w:tcPr>
          <w:p w14:paraId="411E1765" w14:textId="77777777" w:rsidR="00616641" w:rsidRPr="0049701B" w:rsidRDefault="00616641" w:rsidP="007E3239">
            <w:pPr>
              <w:pStyle w:val="TableText"/>
              <w:keepNext/>
              <w:keepLines/>
              <w:spacing w:before="50" w:after="50"/>
              <w:jc w:val="right"/>
              <w:rPr>
                <w:rFonts w:cs="Calibri"/>
                <w:szCs w:val="16"/>
              </w:rPr>
            </w:pPr>
            <w:r w:rsidRPr="0049701B">
              <w:t xml:space="preserve"> 74.6 </w:t>
            </w:r>
          </w:p>
        </w:tc>
      </w:tr>
      <w:tr w:rsidR="00616641" w:rsidRPr="0049701B" w14:paraId="749D03DE" w14:textId="77777777" w:rsidTr="007E3239">
        <w:tc>
          <w:tcPr>
            <w:tcW w:w="3578" w:type="dxa"/>
            <w:shd w:val="clear" w:color="auto" w:fill="auto"/>
            <w:vAlign w:val="center"/>
          </w:tcPr>
          <w:p w14:paraId="1BB674EF" w14:textId="77777777" w:rsidR="00616641" w:rsidRPr="0049701B" w:rsidRDefault="00616641" w:rsidP="007E3239">
            <w:pPr>
              <w:pStyle w:val="TableText"/>
              <w:spacing w:before="50" w:after="50"/>
              <w:ind w:left="369"/>
              <w:rPr>
                <w:rFonts w:cs="Calibri"/>
                <w:bCs/>
                <w:szCs w:val="16"/>
              </w:rPr>
            </w:pPr>
            <w:r w:rsidRPr="0049701B">
              <w:rPr>
                <w:rFonts w:cs="Calibri"/>
                <w:bCs/>
                <w:szCs w:val="16"/>
              </w:rPr>
              <w:t>Post-1989 natural forest</w:t>
            </w:r>
          </w:p>
        </w:tc>
        <w:tc>
          <w:tcPr>
            <w:tcW w:w="1582" w:type="dxa"/>
            <w:gridSpan w:val="3"/>
            <w:shd w:val="clear" w:color="auto" w:fill="auto"/>
          </w:tcPr>
          <w:p w14:paraId="41B0C273" w14:textId="77777777" w:rsidR="00616641" w:rsidRPr="0049701B" w:rsidRDefault="00616641" w:rsidP="007E3239">
            <w:pPr>
              <w:pStyle w:val="TableText"/>
              <w:keepNext/>
              <w:keepLines/>
              <w:spacing w:before="50" w:after="50"/>
              <w:jc w:val="right"/>
              <w:rPr>
                <w:rFonts w:cs="Calibri"/>
                <w:szCs w:val="16"/>
              </w:rPr>
            </w:pPr>
            <w:r w:rsidRPr="0049701B">
              <w:t>59</w:t>
            </w:r>
          </w:p>
        </w:tc>
        <w:tc>
          <w:tcPr>
            <w:tcW w:w="1538" w:type="dxa"/>
            <w:shd w:val="clear" w:color="auto" w:fill="auto"/>
          </w:tcPr>
          <w:p w14:paraId="35209683" w14:textId="77777777" w:rsidR="00616641" w:rsidRPr="0049701B" w:rsidRDefault="00616641" w:rsidP="007E3239">
            <w:pPr>
              <w:pStyle w:val="TableText"/>
              <w:keepNext/>
              <w:keepLines/>
              <w:spacing w:before="50" w:after="50"/>
              <w:jc w:val="right"/>
              <w:rPr>
                <w:rFonts w:cs="Calibri"/>
                <w:szCs w:val="16"/>
              </w:rPr>
            </w:pPr>
            <w:r w:rsidRPr="0049701B">
              <w:t xml:space="preserve"> 124 </w:t>
            </w:r>
          </w:p>
        </w:tc>
        <w:tc>
          <w:tcPr>
            <w:tcW w:w="1807" w:type="dxa"/>
            <w:shd w:val="clear" w:color="auto" w:fill="auto"/>
          </w:tcPr>
          <w:p w14:paraId="3E3AE62C" w14:textId="77777777" w:rsidR="00616641" w:rsidRPr="0049701B" w:rsidRDefault="00616641" w:rsidP="007E3239">
            <w:pPr>
              <w:pStyle w:val="TableText"/>
              <w:keepNext/>
              <w:keepLines/>
              <w:spacing w:before="50" w:after="50"/>
              <w:jc w:val="right"/>
              <w:rPr>
                <w:rFonts w:cs="Calibri"/>
                <w:szCs w:val="16"/>
              </w:rPr>
            </w:pPr>
            <w:r w:rsidRPr="0049701B">
              <w:t xml:space="preserve"> 109.8 </w:t>
            </w:r>
          </w:p>
        </w:tc>
      </w:tr>
    </w:tbl>
    <w:p w14:paraId="46AA4C57" w14:textId="77777777" w:rsidR="00616641" w:rsidRPr="0049701B" w:rsidRDefault="00616641" w:rsidP="00616641">
      <w:pPr>
        <w:pStyle w:val="Heading4"/>
        <w:spacing w:before="360"/>
      </w:pPr>
      <w:r w:rsidRPr="0049701B">
        <w:t>Emission factors</w:t>
      </w:r>
    </w:p>
    <w:p w14:paraId="0E3F86A4" w14:textId="77777777" w:rsidR="00616641" w:rsidRPr="0049701B" w:rsidRDefault="00616641" w:rsidP="00616641">
      <w:pPr>
        <w:pStyle w:val="Heading5"/>
        <w:spacing w:before="160"/>
      </w:pPr>
      <w:r w:rsidRPr="0049701B">
        <w:t>Planted forest – updates to yield tables</w:t>
      </w:r>
    </w:p>
    <w:p w14:paraId="361CFDAC" w14:textId="77777777" w:rsidR="00616641" w:rsidRPr="0049701B" w:rsidRDefault="00616641" w:rsidP="00616641">
      <w:pPr>
        <w:pStyle w:val="BodyText"/>
      </w:pPr>
      <w:r w:rsidRPr="0049701B">
        <w:t>Yield tables for both pre-1990 planted forest and post-1989 planted forest have been updated for the 2022 submission to include plots measured in the 2020 forest inventory. The impact on emissions as a result of these updates is summarised in table 11.4.4.</w:t>
      </w:r>
    </w:p>
    <w:p w14:paraId="113C7CE3" w14:textId="77777777" w:rsidR="00616641" w:rsidRPr="0049701B" w:rsidRDefault="00616641" w:rsidP="00616641">
      <w:pPr>
        <w:pStyle w:val="BodyText"/>
      </w:pPr>
      <w:r w:rsidRPr="0049701B">
        <w:t>The period-specific yield tables used for the pre-1990 planted forest have been updated to improve accuracy. In the previous submission, three</w:t>
      </w:r>
      <w:r w:rsidRPr="0049701B" w:rsidDel="00F41B97">
        <w:t xml:space="preserve"> </w:t>
      </w:r>
      <w:r w:rsidRPr="0049701B">
        <w:t>yield tables were applied to</w:t>
      </w:r>
      <w:r w:rsidRPr="0049701B" w:rsidDel="00F41B97">
        <w:t xml:space="preserve"> </w:t>
      </w:r>
      <w:r w:rsidRPr="0049701B">
        <w:t xml:space="preserve">the pre-1990 planted forest estate; representing stands planted before 1990, between 1990 and 2009, and from 2010 onwards. </w:t>
      </w:r>
    </w:p>
    <w:p w14:paraId="588FDC4B" w14:textId="77777777" w:rsidR="00616641" w:rsidRPr="0049701B" w:rsidRDefault="00616641" w:rsidP="00616641">
      <w:pPr>
        <w:pStyle w:val="BodyText"/>
      </w:pPr>
      <w:r w:rsidRPr="0049701B">
        <w:t xml:space="preserve">However, the yield table for stands planted from 2010 onwards was found to have high uncertainty and tended to overestimate carbon stock per hectare relative to the field measurements. During the review of the 2021 submission, it was suggested only two yield tables be used until further data are available for the yield table representing stands from 2010 onwards. Therefore, in this submission, two period-specific yield tables have been applied; one for all years before 1990 and one for 1990 onwards. </w:t>
      </w:r>
    </w:p>
    <w:p w14:paraId="2202FC32" w14:textId="77777777" w:rsidR="00616641" w:rsidRPr="0049701B" w:rsidRDefault="00616641" w:rsidP="00616641">
      <w:pPr>
        <w:pStyle w:val="BodyText"/>
      </w:pPr>
      <w:r w:rsidRPr="0049701B">
        <w:t>The post-1989 planted forest yield table has been revised for the 2022 submission to include plots measured in the 2020 forest inventory. The revised yield table is based on two full measurement inventories of permanent sample plots in post-1989 planted forest carried out in 2008 and 2009 and 2011 and 2012, and a partial re-measure annually between 2016 and 2020 (due to the transition to the continuous five-year inventory cycle). The analysis of the data collected has provided a plot-based estimate of carbon stock and mean carbon density within this forest type and is further described in annex 3, section A3.2.5.3.</w:t>
      </w:r>
    </w:p>
    <w:p w14:paraId="6791C08F" w14:textId="77777777" w:rsidR="00616641" w:rsidRPr="0049701B" w:rsidRDefault="00616641" w:rsidP="00616641">
      <w:pPr>
        <w:pStyle w:val="Heading5"/>
        <w:spacing w:before="160"/>
      </w:pPr>
      <w:r w:rsidRPr="0049701B">
        <w:lastRenderedPageBreak/>
        <w:t xml:space="preserve">Natural forest </w:t>
      </w:r>
    </w:p>
    <w:p w14:paraId="5D952934" w14:textId="77777777" w:rsidR="00616641" w:rsidRPr="0049701B" w:rsidRDefault="00616641" w:rsidP="00616641">
      <w:pPr>
        <w:pStyle w:val="BodyText"/>
      </w:pPr>
      <w:r w:rsidRPr="0049701B">
        <w:t>For this submission, the approach to classify tall and regenerating forest subcategories, and to calculate the emission factors applied to each, has been updated for pre-1990 natural forest. This includes two main updates:</w:t>
      </w:r>
    </w:p>
    <w:p w14:paraId="3E5AA860" w14:textId="77777777" w:rsidR="00616641" w:rsidRPr="0049701B" w:rsidRDefault="00616641" w:rsidP="00063737">
      <w:pPr>
        <w:pStyle w:val="Numberedparagraph"/>
        <w:numPr>
          <w:ilvl w:val="0"/>
          <w:numId w:val="28"/>
        </w:numPr>
        <w:tabs>
          <w:tab w:val="left" w:pos="567"/>
        </w:tabs>
      </w:pPr>
      <w:r w:rsidRPr="0049701B">
        <w:t>using mapped land cover (based on the Land Cover Database v5) to classify tall and regenerating forest plots (to calculate emission factors for each) and forest area (activity data)</w:t>
      </w:r>
    </w:p>
    <w:p w14:paraId="36FA47B6" w14:textId="77777777" w:rsidR="00616641" w:rsidRPr="0049701B" w:rsidRDefault="00616641" w:rsidP="00063737">
      <w:pPr>
        <w:pStyle w:val="Numberedparagraph"/>
        <w:numPr>
          <w:ilvl w:val="0"/>
          <w:numId w:val="27"/>
        </w:numPr>
        <w:tabs>
          <w:tab w:val="left" w:pos="567"/>
        </w:tabs>
      </w:pPr>
      <w:r w:rsidRPr="0049701B">
        <w:t>reporting carbon stock change for tall forest. Previously, this was assumed to be in a steady state and an emission factor of zero was applied.</w:t>
      </w:r>
    </w:p>
    <w:p w14:paraId="3A9DECFB" w14:textId="77777777" w:rsidR="00616641" w:rsidRPr="0049701B" w:rsidRDefault="00616641" w:rsidP="00616641">
      <w:pPr>
        <w:pStyle w:val="BodyText"/>
        <w:rPr>
          <w:spacing w:val="-2"/>
        </w:rPr>
      </w:pPr>
      <w:r w:rsidRPr="0049701B">
        <w:t xml:space="preserve">These updates result in an increase in net emissions to the pre-1990 natural forest component </w:t>
      </w:r>
      <w:r w:rsidRPr="0049701B">
        <w:rPr>
          <w:spacing w:val="-2"/>
        </w:rPr>
        <w:t xml:space="preserve">of </w:t>
      </w:r>
      <w:r w:rsidRPr="0049701B">
        <w:rPr>
          <w:i/>
          <w:iCs/>
          <w:spacing w:val="-2"/>
        </w:rPr>
        <w:t>Forest management</w:t>
      </w:r>
      <w:r w:rsidRPr="0049701B">
        <w:rPr>
          <w:spacing w:val="-2"/>
        </w:rPr>
        <w:t xml:space="preserve"> by around 1,300 kt CO</w:t>
      </w:r>
      <w:r w:rsidRPr="0049701B">
        <w:rPr>
          <w:spacing w:val="-2"/>
          <w:vertAlign w:val="subscript"/>
        </w:rPr>
        <w:t>2</w:t>
      </w:r>
      <w:r w:rsidRPr="0049701B">
        <w:rPr>
          <w:spacing w:val="-2"/>
        </w:rPr>
        <w:t>-e each year, relative to the previous submission.</w:t>
      </w:r>
      <w:r w:rsidRPr="0049701B">
        <w:t xml:space="preserve"> The update has also resulted in a slight change to the emission factors used to estimate deforestation of pre-1990 natural forest. </w:t>
      </w:r>
      <w:r w:rsidRPr="0049701B">
        <w:rPr>
          <w:spacing w:val="-2"/>
        </w:rPr>
        <w:t>The updated methods are the same as have been applied and described for UNFCCC reporting. Further information can be found in chapter 6, section 6.3, and annex 3, section A3.2.5.</w:t>
      </w:r>
    </w:p>
    <w:p w14:paraId="5799272F" w14:textId="77777777" w:rsidR="00616641" w:rsidRPr="0049701B" w:rsidRDefault="00616641" w:rsidP="00616641">
      <w:pPr>
        <w:pStyle w:val="Table"/>
      </w:pPr>
      <w:bookmarkStart w:id="2920" w:name="_Toc522010664"/>
      <w:bookmarkStart w:id="2921" w:name="_Toc5269635"/>
      <w:bookmarkStart w:id="2922" w:name="_Toc36224718"/>
      <w:bookmarkStart w:id="2923" w:name="_Toc64987053"/>
      <w:bookmarkStart w:id="2924" w:name="_Toc68786603"/>
      <w:bookmarkStart w:id="2925" w:name="_Toc95321548"/>
      <w:bookmarkStart w:id="2926" w:name="_Toc99659400"/>
      <w:r w:rsidRPr="0049701B">
        <w:t>Table 11.4.4</w:t>
      </w:r>
      <w:r w:rsidRPr="0049701B">
        <w:tab/>
        <w:t>Recalculations of New Zealand’s total net emissions estimates from 2013</w:t>
      </w:r>
      <w:r w:rsidRPr="0049701B">
        <w:br/>
        <w:t>under Article 3.3 and Article 3.4 of the Kyoto Protocol</w:t>
      </w:r>
      <w:bookmarkEnd w:id="2920"/>
      <w:bookmarkEnd w:id="2921"/>
      <w:bookmarkEnd w:id="2922"/>
      <w:bookmarkEnd w:id="2923"/>
      <w:bookmarkEnd w:id="2924"/>
      <w:bookmarkEnd w:id="2925"/>
      <w:bookmarkEnd w:id="2926"/>
    </w:p>
    <w:tbl>
      <w:tblPr>
        <w:tblW w:w="8505" w:type="dxa"/>
        <w:tblInd w:w="113" w:type="dxa"/>
        <w:tblLook w:val="04A0" w:firstRow="1" w:lastRow="0" w:firstColumn="1" w:lastColumn="0" w:noHBand="0" w:noVBand="1"/>
      </w:tblPr>
      <w:tblGrid>
        <w:gridCol w:w="2601"/>
        <w:gridCol w:w="1967"/>
        <w:gridCol w:w="1819"/>
        <w:gridCol w:w="2118"/>
      </w:tblGrid>
      <w:tr w:rsidR="00616641" w:rsidRPr="0049701B" w14:paraId="2469744C" w14:textId="77777777" w:rsidTr="007E3239">
        <w:tc>
          <w:tcPr>
            <w:tcW w:w="2601" w:type="dxa"/>
            <w:vMerge w:val="restart"/>
            <w:tcBorders>
              <w:top w:val="single" w:sz="4" w:space="0" w:color="1B556B"/>
              <w:left w:val="nil"/>
              <w:right w:val="nil"/>
            </w:tcBorders>
            <w:shd w:val="clear" w:color="auto" w:fill="1B556B"/>
            <w:vAlign w:val="bottom"/>
            <w:hideMark/>
          </w:tcPr>
          <w:p w14:paraId="29811349" w14:textId="77777777" w:rsidR="00616641" w:rsidRPr="0049701B" w:rsidRDefault="00616641" w:rsidP="007E3239">
            <w:pPr>
              <w:pStyle w:val="TableTextBold"/>
              <w:spacing w:before="50" w:after="50"/>
              <w:rPr>
                <w:rFonts w:cs="Calibri"/>
                <w:noProof w:val="0"/>
                <w:color w:val="FFFFFF"/>
                <w:szCs w:val="16"/>
              </w:rPr>
            </w:pPr>
            <w:r w:rsidRPr="0049701B">
              <w:rPr>
                <w:rFonts w:cs="Calibri"/>
                <w:noProof w:val="0"/>
                <w:color w:val="FFFFFF"/>
                <w:szCs w:val="16"/>
              </w:rPr>
              <w:t>Activities</w:t>
            </w:r>
          </w:p>
        </w:tc>
        <w:tc>
          <w:tcPr>
            <w:tcW w:w="3786" w:type="dxa"/>
            <w:gridSpan w:val="2"/>
            <w:tcBorders>
              <w:top w:val="single" w:sz="4" w:space="0" w:color="1B556B"/>
              <w:left w:val="nil"/>
              <w:right w:val="nil"/>
            </w:tcBorders>
            <w:shd w:val="clear" w:color="auto" w:fill="1B556B"/>
            <w:vAlign w:val="bottom"/>
            <w:hideMark/>
          </w:tcPr>
          <w:p w14:paraId="57CDAFDC" w14:textId="77777777" w:rsidR="00616641" w:rsidRPr="0049701B" w:rsidRDefault="00616641" w:rsidP="007E3239">
            <w:pPr>
              <w:pStyle w:val="TableTextBold"/>
              <w:spacing w:before="50" w:after="50"/>
              <w:jc w:val="center"/>
              <w:rPr>
                <w:rFonts w:cs="Calibri"/>
                <w:noProof w:val="0"/>
                <w:color w:val="FFFFFF"/>
                <w:szCs w:val="16"/>
              </w:rPr>
            </w:pPr>
            <w:r w:rsidRPr="0049701B">
              <w:rPr>
                <w:rFonts w:cs="Calibri"/>
                <w:noProof w:val="0"/>
                <w:color w:val="FFFFFF"/>
                <w:szCs w:val="16"/>
              </w:rPr>
              <w:t>Total net emissions 2013–19 (Gg CO</w:t>
            </w:r>
            <w:r w:rsidRPr="0049701B">
              <w:rPr>
                <w:rFonts w:cs="Calibri"/>
                <w:noProof w:val="0"/>
                <w:color w:val="FFFFFF"/>
                <w:szCs w:val="16"/>
                <w:vertAlign w:val="subscript"/>
              </w:rPr>
              <w:t>2</w:t>
            </w:r>
            <w:r w:rsidRPr="0049701B">
              <w:rPr>
                <w:rFonts w:cs="Calibri"/>
                <w:noProof w:val="0"/>
                <w:color w:val="FFFFFF"/>
                <w:szCs w:val="16"/>
              </w:rPr>
              <w:t>-e)</w:t>
            </w:r>
          </w:p>
        </w:tc>
        <w:tc>
          <w:tcPr>
            <w:tcW w:w="2118" w:type="dxa"/>
            <w:vMerge w:val="restart"/>
            <w:tcBorders>
              <w:top w:val="single" w:sz="4" w:space="0" w:color="1B556B"/>
              <w:left w:val="nil"/>
              <w:right w:val="nil"/>
            </w:tcBorders>
            <w:shd w:val="clear" w:color="auto" w:fill="1B556B"/>
            <w:vAlign w:val="bottom"/>
            <w:hideMark/>
          </w:tcPr>
          <w:p w14:paraId="08E06AAF" w14:textId="77777777" w:rsidR="00616641" w:rsidRPr="0049701B" w:rsidRDefault="00616641" w:rsidP="007E3239">
            <w:pPr>
              <w:pStyle w:val="TableTextBold"/>
              <w:spacing w:before="50" w:after="50"/>
              <w:jc w:val="right"/>
              <w:rPr>
                <w:rFonts w:cs="Calibri"/>
                <w:noProof w:val="0"/>
                <w:color w:val="FFFFFF"/>
                <w:szCs w:val="16"/>
              </w:rPr>
            </w:pPr>
            <w:r w:rsidRPr="0049701B">
              <w:rPr>
                <w:rFonts w:cs="Calibri"/>
                <w:noProof w:val="0"/>
                <w:color w:val="FFFFFF"/>
                <w:szCs w:val="16"/>
              </w:rPr>
              <w:t>Change from 2021 submission (%)</w:t>
            </w:r>
          </w:p>
        </w:tc>
      </w:tr>
      <w:tr w:rsidR="00616641" w:rsidRPr="0049701B" w14:paraId="02980589" w14:textId="77777777" w:rsidTr="007E3239">
        <w:tc>
          <w:tcPr>
            <w:tcW w:w="2601" w:type="dxa"/>
            <w:vMerge/>
            <w:tcBorders>
              <w:left w:val="nil"/>
              <w:bottom w:val="single" w:sz="4" w:space="0" w:color="1B556B"/>
              <w:right w:val="nil"/>
            </w:tcBorders>
            <w:shd w:val="clear" w:color="auto" w:fill="1B556B"/>
            <w:vAlign w:val="bottom"/>
            <w:hideMark/>
          </w:tcPr>
          <w:p w14:paraId="7C9F4E57" w14:textId="77777777" w:rsidR="00616641" w:rsidRPr="0049701B" w:rsidRDefault="00616641" w:rsidP="007E3239">
            <w:pPr>
              <w:pStyle w:val="TableTextBold"/>
              <w:spacing w:before="50" w:after="50"/>
              <w:jc w:val="center"/>
              <w:rPr>
                <w:rFonts w:cs="Calibri"/>
                <w:noProof w:val="0"/>
                <w:color w:val="FFFFFF"/>
                <w:szCs w:val="16"/>
              </w:rPr>
            </w:pPr>
          </w:p>
        </w:tc>
        <w:tc>
          <w:tcPr>
            <w:tcW w:w="1967" w:type="dxa"/>
            <w:tcBorders>
              <w:left w:val="nil"/>
              <w:bottom w:val="single" w:sz="4" w:space="0" w:color="1B556B"/>
              <w:right w:val="nil"/>
            </w:tcBorders>
            <w:shd w:val="clear" w:color="auto" w:fill="1B556B"/>
            <w:vAlign w:val="bottom"/>
            <w:hideMark/>
          </w:tcPr>
          <w:p w14:paraId="068D4B6E" w14:textId="77777777" w:rsidR="00616641" w:rsidRPr="0049701B" w:rsidRDefault="00616641" w:rsidP="007E3239">
            <w:pPr>
              <w:pStyle w:val="TableTextBold"/>
              <w:spacing w:before="40" w:after="50"/>
              <w:jc w:val="right"/>
              <w:rPr>
                <w:rFonts w:cs="Calibri"/>
                <w:noProof w:val="0"/>
                <w:color w:val="FFFFFF"/>
                <w:szCs w:val="16"/>
              </w:rPr>
            </w:pPr>
            <w:r w:rsidRPr="0049701B">
              <w:rPr>
                <w:rFonts w:cs="Calibri"/>
                <w:noProof w:val="0"/>
                <w:color w:val="FFFFFF"/>
                <w:szCs w:val="16"/>
              </w:rPr>
              <w:t>2021 submission</w:t>
            </w:r>
          </w:p>
        </w:tc>
        <w:tc>
          <w:tcPr>
            <w:tcW w:w="1819" w:type="dxa"/>
            <w:tcBorders>
              <w:left w:val="nil"/>
              <w:bottom w:val="single" w:sz="4" w:space="0" w:color="1B556B"/>
              <w:right w:val="nil"/>
            </w:tcBorders>
            <w:shd w:val="clear" w:color="auto" w:fill="1B556B"/>
            <w:vAlign w:val="bottom"/>
            <w:hideMark/>
          </w:tcPr>
          <w:p w14:paraId="75937D1F" w14:textId="77777777" w:rsidR="00616641" w:rsidRPr="0049701B" w:rsidRDefault="00616641" w:rsidP="007E3239">
            <w:pPr>
              <w:pStyle w:val="TableTextBold"/>
              <w:spacing w:before="40" w:after="50"/>
              <w:jc w:val="right"/>
              <w:rPr>
                <w:rFonts w:cs="Calibri"/>
                <w:noProof w:val="0"/>
                <w:color w:val="FFFFFF"/>
                <w:szCs w:val="16"/>
              </w:rPr>
            </w:pPr>
            <w:r w:rsidRPr="0049701B">
              <w:rPr>
                <w:rFonts w:cs="Calibri"/>
                <w:noProof w:val="0"/>
                <w:color w:val="FFFFFF"/>
                <w:szCs w:val="16"/>
              </w:rPr>
              <w:t>2022 submission</w:t>
            </w:r>
          </w:p>
        </w:tc>
        <w:tc>
          <w:tcPr>
            <w:tcW w:w="2118" w:type="dxa"/>
            <w:vMerge/>
            <w:tcBorders>
              <w:left w:val="nil"/>
              <w:bottom w:val="single" w:sz="4" w:space="0" w:color="1B556B"/>
              <w:right w:val="nil"/>
            </w:tcBorders>
            <w:shd w:val="clear" w:color="auto" w:fill="1B556B"/>
            <w:vAlign w:val="bottom"/>
            <w:hideMark/>
          </w:tcPr>
          <w:p w14:paraId="3633F703" w14:textId="77777777" w:rsidR="00616641" w:rsidRPr="0049701B" w:rsidRDefault="00616641" w:rsidP="007E3239">
            <w:pPr>
              <w:pStyle w:val="TableTextBold"/>
              <w:spacing w:before="50" w:after="50"/>
              <w:jc w:val="right"/>
              <w:rPr>
                <w:rFonts w:cs="Calibri"/>
                <w:noProof w:val="0"/>
                <w:color w:val="FFFFFF"/>
                <w:szCs w:val="16"/>
              </w:rPr>
            </w:pPr>
          </w:p>
        </w:tc>
      </w:tr>
      <w:tr w:rsidR="00616641" w:rsidRPr="0049701B" w14:paraId="6D5AB3EA" w14:textId="77777777" w:rsidTr="007E3239">
        <w:tc>
          <w:tcPr>
            <w:tcW w:w="2601" w:type="dxa"/>
            <w:tcBorders>
              <w:top w:val="single" w:sz="4" w:space="0" w:color="1B556B"/>
              <w:left w:val="nil"/>
              <w:bottom w:val="nil"/>
              <w:right w:val="nil"/>
            </w:tcBorders>
            <w:shd w:val="clear" w:color="auto" w:fill="auto"/>
            <w:noWrap/>
            <w:vAlign w:val="bottom"/>
            <w:hideMark/>
          </w:tcPr>
          <w:p w14:paraId="1D190B46" w14:textId="77777777" w:rsidR="00616641" w:rsidRPr="0049701B" w:rsidRDefault="00616641" w:rsidP="007E3239">
            <w:pPr>
              <w:pStyle w:val="TableText"/>
              <w:spacing w:before="50" w:after="50"/>
              <w:rPr>
                <w:rFonts w:cs="Calibri"/>
                <w:szCs w:val="16"/>
              </w:rPr>
            </w:pPr>
            <w:r w:rsidRPr="0049701B">
              <w:rPr>
                <w:rFonts w:cs="Calibri"/>
                <w:szCs w:val="16"/>
              </w:rPr>
              <w:t>Afforestation and reforestation</w:t>
            </w:r>
          </w:p>
        </w:tc>
        <w:tc>
          <w:tcPr>
            <w:tcW w:w="1967" w:type="dxa"/>
            <w:tcBorders>
              <w:top w:val="single" w:sz="4" w:space="0" w:color="1B556B"/>
              <w:left w:val="nil"/>
              <w:right w:val="nil"/>
            </w:tcBorders>
            <w:shd w:val="clear" w:color="auto" w:fill="auto"/>
            <w:hideMark/>
          </w:tcPr>
          <w:p w14:paraId="64D2403D" w14:textId="77777777" w:rsidR="00616641" w:rsidRPr="0049701B" w:rsidRDefault="00616641" w:rsidP="007E3239">
            <w:pPr>
              <w:pStyle w:val="TableText"/>
              <w:spacing w:before="50" w:after="50"/>
              <w:jc w:val="right"/>
              <w:rPr>
                <w:rFonts w:cs="Calibri"/>
                <w:szCs w:val="16"/>
              </w:rPr>
            </w:pPr>
            <w:r w:rsidRPr="0049701B">
              <w:t>–123,547.4</w:t>
            </w:r>
          </w:p>
        </w:tc>
        <w:tc>
          <w:tcPr>
            <w:tcW w:w="1819" w:type="dxa"/>
            <w:tcBorders>
              <w:top w:val="single" w:sz="4" w:space="0" w:color="1B556B"/>
              <w:left w:val="nil"/>
              <w:right w:val="nil"/>
            </w:tcBorders>
            <w:shd w:val="clear" w:color="auto" w:fill="auto"/>
            <w:hideMark/>
          </w:tcPr>
          <w:p w14:paraId="70F763C3" w14:textId="77777777" w:rsidR="00616641" w:rsidRPr="0049701B" w:rsidRDefault="00616641" w:rsidP="007E3239">
            <w:pPr>
              <w:pStyle w:val="TableText"/>
              <w:spacing w:before="50" w:after="50"/>
              <w:jc w:val="right"/>
              <w:rPr>
                <w:rFonts w:cs="Calibri"/>
                <w:szCs w:val="16"/>
              </w:rPr>
            </w:pPr>
            <w:r w:rsidRPr="0049701B">
              <w:t>–124,453.8</w:t>
            </w:r>
          </w:p>
        </w:tc>
        <w:tc>
          <w:tcPr>
            <w:tcW w:w="2118" w:type="dxa"/>
            <w:tcBorders>
              <w:top w:val="single" w:sz="4" w:space="0" w:color="1B556B"/>
              <w:left w:val="nil"/>
              <w:right w:val="nil"/>
            </w:tcBorders>
            <w:shd w:val="clear" w:color="auto" w:fill="auto"/>
            <w:hideMark/>
          </w:tcPr>
          <w:p w14:paraId="5DBB167D" w14:textId="77777777" w:rsidR="00616641" w:rsidRPr="0049701B" w:rsidRDefault="00616641" w:rsidP="007E3239">
            <w:pPr>
              <w:pStyle w:val="TableText"/>
              <w:spacing w:before="50" w:after="50"/>
              <w:jc w:val="right"/>
              <w:rPr>
                <w:rFonts w:cs="Calibri"/>
                <w:szCs w:val="16"/>
              </w:rPr>
            </w:pPr>
            <w:r w:rsidRPr="0049701B">
              <w:t>–0.7</w:t>
            </w:r>
          </w:p>
        </w:tc>
      </w:tr>
      <w:tr w:rsidR="00616641" w:rsidRPr="0049701B" w14:paraId="48A19A9C" w14:textId="77777777" w:rsidTr="007E3239">
        <w:tc>
          <w:tcPr>
            <w:tcW w:w="2601" w:type="dxa"/>
            <w:tcBorders>
              <w:top w:val="nil"/>
              <w:left w:val="nil"/>
              <w:bottom w:val="nil"/>
              <w:right w:val="nil"/>
            </w:tcBorders>
            <w:shd w:val="clear" w:color="auto" w:fill="auto"/>
            <w:noWrap/>
            <w:vAlign w:val="bottom"/>
            <w:hideMark/>
          </w:tcPr>
          <w:p w14:paraId="4BB51789" w14:textId="77777777" w:rsidR="00616641" w:rsidRPr="0049701B" w:rsidRDefault="00616641" w:rsidP="007E3239">
            <w:pPr>
              <w:pStyle w:val="TableText"/>
              <w:spacing w:before="50" w:after="50"/>
              <w:rPr>
                <w:rFonts w:cs="Calibri"/>
                <w:szCs w:val="16"/>
              </w:rPr>
            </w:pPr>
            <w:r w:rsidRPr="0049701B">
              <w:rPr>
                <w:rFonts w:cs="Calibri"/>
                <w:szCs w:val="16"/>
              </w:rPr>
              <w:t>Deforestation</w:t>
            </w:r>
          </w:p>
        </w:tc>
        <w:tc>
          <w:tcPr>
            <w:tcW w:w="1967" w:type="dxa"/>
            <w:tcBorders>
              <w:left w:val="nil"/>
              <w:right w:val="nil"/>
            </w:tcBorders>
            <w:shd w:val="clear" w:color="auto" w:fill="auto"/>
            <w:hideMark/>
          </w:tcPr>
          <w:p w14:paraId="7D54C299" w14:textId="77777777" w:rsidR="00616641" w:rsidRPr="0049701B" w:rsidRDefault="00616641" w:rsidP="007E3239">
            <w:pPr>
              <w:pStyle w:val="TableText"/>
              <w:spacing w:before="50" w:after="50"/>
              <w:jc w:val="right"/>
              <w:rPr>
                <w:rFonts w:cs="Calibri"/>
                <w:szCs w:val="16"/>
              </w:rPr>
            </w:pPr>
            <w:r w:rsidRPr="0049701B">
              <w:t>26,202.9</w:t>
            </w:r>
          </w:p>
        </w:tc>
        <w:tc>
          <w:tcPr>
            <w:tcW w:w="1819" w:type="dxa"/>
            <w:tcBorders>
              <w:left w:val="nil"/>
              <w:right w:val="nil"/>
            </w:tcBorders>
            <w:shd w:val="clear" w:color="auto" w:fill="auto"/>
            <w:hideMark/>
          </w:tcPr>
          <w:p w14:paraId="37BA7400" w14:textId="77777777" w:rsidR="00616641" w:rsidRPr="0049701B" w:rsidRDefault="00616641" w:rsidP="007E3239">
            <w:pPr>
              <w:pStyle w:val="TableText"/>
              <w:spacing w:before="50" w:after="50"/>
              <w:jc w:val="right"/>
              <w:rPr>
                <w:rFonts w:cs="Calibri"/>
                <w:szCs w:val="16"/>
              </w:rPr>
            </w:pPr>
            <w:r w:rsidRPr="0049701B">
              <w:t>33,298.5</w:t>
            </w:r>
          </w:p>
        </w:tc>
        <w:tc>
          <w:tcPr>
            <w:tcW w:w="2118" w:type="dxa"/>
            <w:tcBorders>
              <w:left w:val="nil"/>
              <w:right w:val="nil"/>
            </w:tcBorders>
            <w:shd w:val="clear" w:color="auto" w:fill="auto"/>
            <w:hideMark/>
          </w:tcPr>
          <w:p w14:paraId="0700E6C4" w14:textId="77777777" w:rsidR="00616641" w:rsidRPr="0049701B" w:rsidRDefault="00616641" w:rsidP="007E3239">
            <w:pPr>
              <w:pStyle w:val="TableText"/>
              <w:spacing w:before="50" w:after="50"/>
              <w:jc w:val="right"/>
              <w:rPr>
                <w:rFonts w:cs="Calibri"/>
                <w:szCs w:val="16"/>
              </w:rPr>
            </w:pPr>
            <w:r w:rsidRPr="0049701B">
              <w:t>–27.1</w:t>
            </w:r>
          </w:p>
        </w:tc>
      </w:tr>
      <w:tr w:rsidR="00616641" w:rsidRPr="0049701B" w14:paraId="48E652AB" w14:textId="77777777" w:rsidTr="007E3239">
        <w:tc>
          <w:tcPr>
            <w:tcW w:w="2601" w:type="dxa"/>
            <w:tcBorders>
              <w:top w:val="nil"/>
              <w:left w:val="nil"/>
              <w:bottom w:val="single" w:sz="4" w:space="0" w:color="1B556B"/>
              <w:right w:val="nil"/>
            </w:tcBorders>
            <w:shd w:val="clear" w:color="auto" w:fill="auto"/>
            <w:vAlign w:val="center"/>
            <w:hideMark/>
          </w:tcPr>
          <w:p w14:paraId="7AB52F5B" w14:textId="77777777" w:rsidR="00616641" w:rsidRPr="0049701B" w:rsidRDefault="00616641" w:rsidP="007E3239">
            <w:pPr>
              <w:pStyle w:val="TableText"/>
              <w:spacing w:before="50" w:after="50"/>
              <w:rPr>
                <w:rFonts w:cs="Calibri"/>
                <w:szCs w:val="16"/>
              </w:rPr>
            </w:pPr>
            <w:r w:rsidRPr="0049701B">
              <w:rPr>
                <w:rFonts w:cs="Calibri"/>
                <w:szCs w:val="16"/>
              </w:rPr>
              <w:t>Forest management</w:t>
            </w:r>
          </w:p>
        </w:tc>
        <w:tc>
          <w:tcPr>
            <w:tcW w:w="1967" w:type="dxa"/>
            <w:tcBorders>
              <w:left w:val="nil"/>
              <w:bottom w:val="single" w:sz="4" w:space="0" w:color="1B556B"/>
              <w:right w:val="nil"/>
            </w:tcBorders>
            <w:shd w:val="clear" w:color="auto" w:fill="auto"/>
            <w:hideMark/>
          </w:tcPr>
          <w:p w14:paraId="13E6AA5A" w14:textId="77777777" w:rsidR="00616641" w:rsidRPr="0049701B" w:rsidRDefault="00616641" w:rsidP="007E3239">
            <w:pPr>
              <w:pStyle w:val="TableText"/>
              <w:spacing w:before="50" w:after="50"/>
              <w:jc w:val="right"/>
              <w:rPr>
                <w:rFonts w:cs="Calibri"/>
                <w:szCs w:val="16"/>
              </w:rPr>
            </w:pPr>
            <w:r w:rsidRPr="0049701B">
              <w:t>–133,446.1</w:t>
            </w:r>
          </w:p>
        </w:tc>
        <w:tc>
          <w:tcPr>
            <w:tcW w:w="1819" w:type="dxa"/>
            <w:tcBorders>
              <w:left w:val="nil"/>
              <w:bottom w:val="single" w:sz="4" w:space="0" w:color="1B556B"/>
              <w:right w:val="nil"/>
            </w:tcBorders>
            <w:shd w:val="clear" w:color="auto" w:fill="auto"/>
            <w:hideMark/>
          </w:tcPr>
          <w:p w14:paraId="1321EE94" w14:textId="77777777" w:rsidR="00616641" w:rsidRPr="0049701B" w:rsidRDefault="00616641" w:rsidP="007E3239">
            <w:pPr>
              <w:pStyle w:val="TableText"/>
              <w:spacing w:before="50" w:after="50"/>
              <w:jc w:val="right"/>
              <w:rPr>
                <w:rFonts w:cs="Calibri"/>
                <w:szCs w:val="16"/>
              </w:rPr>
            </w:pPr>
            <w:r w:rsidRPr="0049701B">
              <w:t>–130,664.8</w:t>
            </w:r>
          </w:p>
        </w:tc>
        <w:tc>
          <w:tcPr>
            <w:tcW w:w="2118" w:type="dxa"/>
            <w:tcBorders>
              <w:left w:val="nil"/>
              <w:bottom w:val="single" w:sz="4" w:space="0" w:color="1B556B"/>
              <w:right w:val="nil"/>
            </w:tcBorders>
            <w:shd w:val="clear" w:color="auto" w:fill="auto"/>
            <w:hideMark/>
          </w:tcPr>
          <w:p w14:paraId="17CA59DE" w14:textId="77777777" w:rsidR="00616641" w:rsidRPr="0049701B" w:rsidRDefault="00616641" w:rsidP="007E3239">
            <w:pPr>
              <w:pStyle w:val="TableText"/>
              <w:spacing w:before="50" w:after="50"/>
              <w:jc w:val="right"/>
              <w:rPr>
                <w:rFonts w:cs="Calibri"/>
                <w:szCs w:val="16"/>
              </w:rPr>
            </w:pPr>
            <w:r w:rsidRPr="0049701B">
              <w:t>2.1</w:t>
            </w:r>
          </w:p>
        </w:tc>
      </w:tr>
      <w:tr w:rsidR="00616641" w:rsidRPr="0049701B" w14:paraId="748432B4" w14:textId="77777777" w:rsidTr="007E3239">
        <w:tc>
          <w:tcPr>
            <w:tcW w:w="2601" w:type="dxa"/>
            <w:tcBorders>
              <w:top w:val="single" w:sz="4" w:space="0" w:color="1B556B"/>
              <w:left w:val="nil"/>
              <w:bottom w:val="single" w:sz="4" w:space="0" w:color="1B556B"/>
              <w:right w:val="nil"/>
            </w:tcBorders>
            <w:shd w:val="clear" w:color="auto" w:fill="auto"/>
            <w:vAlign w:val="center"/>
            <w:hideMark/>
          </w:tcPr>
          <w:p w14:paraId="46FE4CBA" w14:textId="77777777" w:rsidR="00616641" w:rsidRPr="0049701B" w:rsidRDefault="00616641" w:rsidP="007E3239">
            <w:pPr>
              <w:pStyle w:val="Tableboldblue"/>
              <w:spacing w:before="50" w:after="50"/>
              <w:rPr>
                <w:rFonts w:cs="Calibri"/>
                <w:szCs w:val="16"/>
                <w:lang w:eastAsia="en-NZ"/>
              </w:rPr>
            </w:pPr>
            <w:r w:rsidRPr="0049701B">
              <w:rPr>
                <w:rFonts w:cs="Calibri"/>
                <w:szCs w:val="16"/>
                <w:lang w:eastAsia="en-NZ"/>
              </w:rPr>
              <w:t>Total</w:t>
            </w:r>
          </w:p>
        </w:tc>
        <w:tc>
          <w:tcPr>
            <w:tcW w:w="1967" w:type="dxa"/>
            <w:tcBorders>
              <w:top w:val="single" w:sz="4" w:space="0" w:color="1B556B"/>
              <w:left w:val="nil"/>
              <w:bottom w:val="single" w:sz="4" w:space="0" w:color="1B556B"/>
              <w:right w:val="nil"/>
            </w:tcBorders>
            <w:shd w:val="clear" w:color="auto" w:fill="auto"/>
            <w:hideMark/>
          </w:tcPr>
          <w:p w14:paraId="24D256E9" w14:textId="77777777" w:rsidR="00616641" w:rsidRPr="0049701B" w:rsidRDefault="00616641" w:rsidP="007E3239">
            <w:pPr>
              <w:pStyle w:val="Tableboldblue"/>
              <w:spacing w:before="50" w:after="50"/>
              <w:jc w:val="right"/>
              <w:rPr>
                <w:rFonts w:cs="Calibri"/>
                <w:szCs w:val="16"/>
                <w:lang w:eastAsia="en-NZ"/>
              </w:rPr>
            </w:pPr>
            <w:r w:rsidRPr="0049701B">
              <w:t>–230,790.6</w:t>
            </w:r>
          </w:p>
        </w:tc>
        <w:tc>
          <w:tcPr>
            <w:tcW w:w="1819" w:type="dxa"/>
            <w:tcBorders>
              <w:top w:val="single" w:sz="4" w:space="0" w:color="1B556B"/>
              <w:left w:val="nil"/>
              <w:bottom w:val="single" w:sz="4" w:space="0" w:color="1B556B"/>
              <w:right w:val="nil"/>
            </w:tcBorders>
            <w:shd w:val="clear" w:color="auto" w:fill="auto"/>
            <w:hideMark/>
          </w:tcPr>
          <w:p w14:paraId="345CEC3B" w14:textId="77777777" w:rsidR="00616641" w:rsidRPr="0049701B" w:rsidRDefault="00616641" w:rsidP="007E3239">
            <w:pPr>
              <w:pStyle w:val="Tableboldblue"/>
              <w:spacing w:before="50" w:after="50"/>
              <w:jc w:val="right"/>
              <w:rPr>
                <w:rFonts w:cs="Calibri"/>
                <w:szCs w:val="16"/>
                <w:lang w:eastAsia="en-NZ"/>
              </w:rPr>
            </w:pPr>
            <w:r w:rsidRPr="0049701B">
              <w:t>–221,820.1</w:t>
            </w:r>
          </w:p>
        </w:tc>
        <w:tc>
          <w:tcPr>
            <w:tcW w:w="2118" w:type="dxa"/>
            <w:tcBorders>
              <w:top w:val="single" w:sz="4" w:space="0" w:color="1B556B"/>
              <w:left w:val="nil"/>
              <w:bottom w:val="single" w:sz="4" w:space="0" w:color="1B556B"/>
              <w:right w:val="nil"/>
            </w:tcBorders>
            <w:shd w:val="clear" w:color="auto" w:fill="auto"/>
            <w:hideMark/>
          </w:tcPr>
          <w:p w14:paraId="6BDF6720" w14:textId="77777777" w:rsidR="00616641" w:rsidRPr="0049701B" w:rsidRDefault="00616641" w:rsidP="007E3239">
            <w:pPr>
              <w:pStyle w:val="Tableboldblue"/>
              <w:spacing w:before="50" w:after="50"/>
              <w:jc w:val="right"/>
              <w:rPr>
                <w:rFonts w:cs="Calibri"/>
                <w:szCs w:val="16"/>
                <w:lang w:eastAsia="en-NZ"/>
              </w:rPr>
            </w:pPr>
            <w:r w:rsidRPr="0049701B">
              <w:t>3.9</w:t>
            </w:r>
          </w:p>
        </w:tc>
      </w:tr>
    </w:tbl>
    <w:p w14:paraId="0E9A1BCE" w14:textId="77777777" w:rsidR="00616641" w:rsidRPr="0049701B" w:rsidRDefault="00616641" w:rsidP="00616641">
      <w:pPr>
        <w:pStyle w:val="BodyText"/>
        <w:rPr>
          <w:sz w:val="18"/>
        </w:rPr>
      </w:pPr>
      <w:r w:rsidRPr="0049701B">
        <w:rPr>
          <w:b/>
          <w:sz w:val="18"/>
        </w:rPr>
        <w:t xml:space="preserve">Note: </w:t>
      </w:r>
      <w:r w:rsidRPr="0049701B">
        <w:rPr>
          <w:b/>
          <w:sz w:val="18"/>
        </w:rPr>
        <w:tab/>
      </w:r>
      <w:r w:rsidRPr="0049701B">
        <w:rPr>
          <w:bCs/>
          <w:sz w:val="18"/>
        </w:rPr>
        <w:t>Columns may not total due to rounding.</w:t>
      </w:r>
    </w:p>
    <w:p w14:paraId="49295D6A" w14:textId="77777777" w:rsidR="00616641" w:rsidRPr="0049701B" w:rsidRDefault="00616641" w:rsidP="00616641">
      <w:pPr>
        <w:pStyle w:val="Heading3"/>
        <w:tabs>
          <w:tab w:val="left" w:pos="720"/>
          <w:tab w:val="left" w:pos="1440"/>
          <w:tab w:val="left" w:pos="2160"/>
          <w:tab w:val="left" w:pos="2880"/>
          <w:tab w:val="left" w:pos="6243"/>
        </w:tabs>
      </w:pPr>
      <w:r w:rsidRPr="0049701B">
        <w:t xml:space="preserve">11.4.4 </w:t>
      </w:r>
      <w:r w:rsidRPr="0049701B">
        <w:tab/>
        <w:t>Planned improvements</w:t>
      </w:r>
    </w:p>
    <w:p w14:paraId="52F19275" w14:textId="77777777" w:rsidR="00616641" w:rsidRPr="0049701B" w:rsidRDefault="00616641" w:rsidP="00616641">
      <w:pPr>
        <w:pStyle w:val="BodyText"/>
      </w:pPr>
      <w:r w:rsidRPr="0049701B">
        <w:t>As this is the final submission for reporting on net emissions towards the 2013 to 2020 target under Article 3.3 and Article 3.4 of the Kyoto Protocol, no further improvements are planned. Improvements for the LULUCF sector are described under each specific land use category in chapter 6.</w:t>
      </w:r>
    </w:p>
    <w:p w14:paraId="188C8260" w14:textId="77777777" w:rsidR="00616641" w:rsidRPr="0049701B" w:rsidRDefault="00616641" w:rsidP="00616641">
      <w:pPr>
        <w:pStyle w:val="Heading2"/>
      </w:pPr>
      <w:bookmarkStart w:id="2927" w:name="_Toc456179173"/>
      <w:bookmarkStart w:id="2928" w:name="_Toc481751426"/>
      <w:bookmarkStart w:id="2929" w:name="_Toc522013965"/>
      <w:bookmarkStart w:id="2930" w:name="_Toc5269409"/>
      <w:bookmarkStart w:id="2931" w:name="_Toc36224449"/>
      <w:bookmarkStart w:id="2932" w:name="_Toc68786369"/>
      <w:bookmarkStart w:id="2933" w:name="_Toc99659175"/>
      <w:bookmarkStart w:id="2934" w:name="_Toc261513296"/>
      <w:bookmarkStart w:id="2935" w:name="_Toc261513909"/>
      <w:bookmarkStart w:id="2936" w:name="_Toc280630399"/>
      <w:r w:rsidRPr="0049701B">
        <w:t xml:space="preserve">11.5 </w:t>
      </w:r>
      <w:r w:rsidRPr="0049701B">
        <w:tab/>
        <w:t>Demonstration that activities apply</w:t>
      </w:r>
      <w:bookmarkEnd w:id="2927"/>
      <w:bookmarkEnd w:id="2928"/>
      <w:bookmarkEnd w:id="2929"/>
      <w:bookmarkEnd w:id="2930"/>
      <w:bookmarkEnd w:id="2931"/>
      <w:bookmarkEnd w:id="2932"/>
      <w:bookmarkEnd w:id="2933"/>
    </w:p>
    <w:p w14:paraId="6172579E" w14:textId="77777777" w:rsidR="00616641" w:rsidRPr="0049701B" w:rsidRDefault="00616641" w:rsidP="00616641">
      <w:pPr>
        <w:pStyle w:val="Heading3"/>
        <w:spacing w:before="160"/>
      </w:pPr>
      <w:r w:rsidRPr="0049701B">
        <w:t xml:space="preserve">11.5.1 </w:t>
      </w:r>
      <w:r w:rsidRPr="0049701B">
        <w:tab/>
        <w:t>Year of the onset of an activity</w:t>
      </w:r>
      <w:bookmarkEnd w:id="2934"/>
      <w:bookmarkEnd w:id="2935"/>
      <w:bookmarkEnd w:id="2936"/>
    </w:p>
    <w:p w14:paraId="7A9831D2" w14:textId="77777777" w:rsidR="00616641" w:rsidRPr="0049701B" w:rsidRDefault="00616641" w:rsidP="00616641">
      <w:pPr>
        <w:pStyle w:val="BodyText"/>
      </w:pPr>
      <w:r w:rsidRPr="0049701B">
        <w:t>Paragraph 18 of the annex to Decision 16/CMP.1 (UNFCCC, 2006) requires Parties to account for land use, land-use change and forestry emissions and removals from Article 3.3 activities beginning with the onset of the activity or the beginning of the commitment period, whichever is later. In practical terms, paragraph 18 means there is a need to differentiate activities that occurred between 1 January 1990 and 31 December 2007 from those after this period.</w:t>
      </w:r>
    </w:p>
    <w:p w14:paraId="3BBC34EF" w14:textId="77777777" w:rsidR="00616641" w:rsidRPr="0049701B" w:rsidRDefault="00616641" w:rsidP="00616641">
      <w:pPr>
        <w:pStyle w:val="BodyText"/>
      </w:pPr>
      <w:r w:rsidRPr="0049701B">
        <w:t xml:space="preserve">The </w:t>
      </w:r>
      <w:r w:rsidRPr="0049701B">
        <w:rPr>
          <w:i/>
        </w:rPr>
        <w:t>Afforestation</w:t>
      </w:r>
      <w:r w:rsidRPr="0049701B">
        <w:t xml:space="preserve"> occurring in each year is estimated from the </w:t>
      </w:r>
      <w:r w:rsidRPr="0049701B">
        <w:rPr>
          <w:spacing w:val="-2"/>
        </w:rPr>
        <w:t>Land Use Carbon Analysis System land use map</w:t>
      </w:r>
      <w:r w:rsidRPr="0049701B">
        <w:t xml:space="preserve">, as described in section 11.3.2, and the NEFD survey, which captures information from the Ministry for Primary Industries schemes and programmes described in section 11.3.2 (Ministry for Primary Industries, 2020b). This information ensures that the activity is attributed to the correct year of onset. </w:t>
      </w:r>
    </w:p>
    <w:p w14:paraId="3E47812D" w14:textId="77777777" w:rsidR="00616641" w:rsidRPr="0049701B" w:rsidRDefault="00616641" w:rsidP="00616641">
      <w:pPr>
        <w:pStyle w:val="BodyText"/>
      </w:pPr>
      <w:r w:rsidRPr="0049701B">
        <w:lastRenderedPageBreak/>
        <w:t xml:space="preserve">The annual area of </w:t>
      </w:r>
      <w:r w:rsidRPr="0049701B">
        <w:rPr>
          <w:i/>
          <w:spacing w:val="-2"/>
        </w:rPr>
        <w:t>Deforestation</w:t>
      </w:r>
      <w:r w:rsidRPr="0049701B">
        <w:t xml:space="preserve"> reported from 2008 to 2016 is based on wall-to-wall detection and mapping of </w:t>
      </w:r>
      <w:r w:rsidRPr="0049701B">
        <w:rPr>
          <w:spacing w:val="-2"/>
        </w:rPr>
        <w:t>deforestation</w:t>
      </w:r>
      <w:r w:rsidRPr="0049701B">
        <w:t xml:space="preserve"> activity supported by data from the NZ ETS. Deforestation is first detected using annual satellite imagery and confirmed using oblique and vertical aerial photography. The year of onset (destocking year) is therefore determined from the first year of detection of forest loss in the annual satellite imagery time series. Because </w:t>
      </w:r>
      <w:r w:rsidRPr="0049701B">
        <w:rPr>
          <w:spacing w:val="-2"/>
        </w:rPr>
        <w:t>deforestation</w:t>
      </w:r>
      <w:r w:rsidRPr="0049701B">
        <w:t xml:space="preserve"> mapping has not yet been completed for activity occurring in the 2017 to 2020 period, the total deforestation area for these years has been estimated as described in annex 3, section A.3.2.2.</w:t>
      </w:r>
    </w:p>
    <w:p w14:paraId="583378B5" w14:textId="77777777" w:rsidR="00616641" w:rsidRPr="0049701B" w:rsidRDefault="00616641" w:rsidP="00616641">
      <w:pPr>
        <w:pStyle w:val="BodyText"/>
      </w:pPr>
      <w:r w:rsidRPr="0049701B">
        <w:t>It can take up to four years following the loss of forest cover to determine that replanting or revegetation has occurred. This is because sometimes the land owner does not replant trees immediately but leaves the land fallow for a time. The process for monitoring this unclassified deforestation is described in section 11.5.4. When deforestation is finally confirmed, the deforestation is attributed to the year when forest cover was removed, regardless of whether that forest loss occurred in a previous commitment period.</w:t>
      </w:r>
    </w:p>
    <w:p w14:paraId="49AA9E08" w14:textId="77777777" w:rsidR="00616641" w:rsidRPr="0049701B" w:rsidRDefault="00616641" w:rsidP="00616641">
      <w:pPr>
        <w:pStyle w:val="Heading3"/>
        <w:spacing w:before="240"/>
      </w:pPr>
      <w:bookmarkStart w:id="2937" w:name="_Toc261513299"/>
      <w:bookmarkStart w:id="2938" w:name="_Toc261513912"/>
      <w:bookmarkStart w:id="2939" w:name="_Toc280630402"/>
      <w:bookmarkStart w:id="2940" w:name="_Toc377043726"/>
      <w:bookmarkStart w:id="2941" w:name="_Toc400967264"/>
      <w:r w:rsidRPr="0049701B">
        <w:t xml:space="preserve">11.5.2 </w:t>
      </w:r>
      <w:r w:rsidRPr="0049701B">
        <w:tab/>
        <w:t>Distinction between harvesting and deforestation</w:t>
      </w:r>
      <w:bookmarkEnd w:id="2937"/>
      <w:bookmarkEnd w:id="2938"/>
      <w:bookmarkEnd w:id="2939"/>
      <w:bookmarkEnd w:id="2940"/>
      <w:bookmarkEnd w:id="2941"/>
    </w:p>
    <w:p w14:paraId="317D706C" w14:textId="77777777" w:rsidR="00616641" w:rsidRPr="0049701B" w:rsidRDefault="00616641" w:rsidP="00616641">
      <w:pPr>
        <w:pStyle w:val="BodyText"/>
        <w:spacing w:before="100" w:after="100"/>
      </w:pPr>
      <w:r w:rsidRPr="0049701B">
        <w:t>Paragraph 5 of the annex to Decision 16/CMP.1 (UNFCCC, 2006) requires that countries provide information on how harvesting or forest disturbance that is followed by the re</w:t>
      </w:r>
      <w:r w:rsidRPr="0049701B">
        <w:noBreakHyphen/>
        <w:t xml:space="preserve">establishment of forest is distinguished from </w:t>
      </w:r>
      <w:r w:rsidRPr="0049701B">
        <w:rPr>
          <w:i/>
          <w:spacing w:val="-2"/>
        </w:rPr>
        <w:t>Deforestation</w:t>
      </w:r>
      <w:r w:rsidRPr="0049701B">
        <w:t>.</w:t>
      </w:r>
    </w:p>
    <w:p w14:paraId="344EBF12" w14:textId="77777777" w:rsidR="00616641" w:rsidRPr="0049701B" w:rsidRDefault="00616641" w:rsidP="00616641">
      <w:pPr>
        <w:pStyle w:val="BodyText"/>
        <w:spacing w:before="100" w:after="100"/>
      </w:pPr>
      <w:r w:rsidRPr="0049701B">
        <w:t xml:space="preserve">New Zealand has used the definition of </w:t>
      </w:r>
      <w:r w:rsidRPr="0049701B">
        <w:rPr>
          <w:i/>
          <w:spacing w:val="-2"/>
        </w:rPr>
        <w:t>Deforestation</w:t>
      </w:r>
      <w:r w:rsidRPr="0049701B">
        <w:t xml:space="preserve"> from Decision 16/CMP.1: “the direct human-induced conversion of forested land to non-forested land” (Annex A, UNFCCC, 2006). Deforestation is different from harvesting, in that harvesting is part of usual forest management practice and involves the removal of biomass from a site followed by reforestation (replanting or natural regeneration, i.e., no change in land use).</w:t>
      </w:r>
    </w:p>
    <w:p w14:paraId="4C04D53A" w14:textId="77777777" w:rsidR="00616641" w:rsidRPr="0049701B" w:rsidRDefault="00616641" w:rsidP="00616641">
      <w:pPr>
        <w:pStyle w:val="BodyText"/>
        <w:spacing w:before="100" w:after="100"/>
      </w:pPr>
      <w:r w:rsidRPr="0049701B">
        <w:t xml:space="preserve">In New Zealand, temporarily unstocked or cleared areas of forest (e.g., harvested areas and areas subject to disturbances) remain designated as </w:t>
      </w:r>
      <w:r w:rsidRPr="0049701B">
        <w:rPr>
          <w:i/>
        </w:rPr>
        <w:t>Forest land</w:t>
      </w:r>
      <w:r w:rsidRPr="0049701B">
        <w:t xml:space="preserve"> unless a change in land use is confirmed or if, after four years, no reforestation (replanting or regeneration) has occurred. This follows the process for determining whether land is subject to direct human-induced </w:t>
      </w:r>
      <w:r w:rsidRPr="0049701B">
        <w:rPr>
          <w:spacing w:val="-2"/>
        </w:rPr>
        <w:t>deforestation</w:t>
      </w:r>
      <w:r w:rsidRPr="0049701B">
        <w:t xml:space="preserve"> as set out in section 2.6.2.1 of the Kyoto Protocol Supplement (IPCC, 2014a). New Zealand has defined the expected period between the removal of tree cover and successful natural regeneration or planting as four years. In New Zealand, the tree grower and</w:t>
      </w:r>
      <w:r>
        <w:t> </w:t>
      </w:r>
      <w:r w:rsidRPr="0049701B">
        <w:t xml:space="preserve">land owner are often different people. Forest land can be temporarily unstocked for several years while land owners decide what to do with land after harvesting. </w:t>
      </w:r>
    </w:p>
    <w:p w14:paraId="7074FB0B" w14:textId="77777777" w:rsidR="00616641" w:rsidRPr="0049701B" w:rsidRDefault="00616641" w:rsidP="00616641">
      <w:pPr>
        <w:pStyle w:val="BodyText"/>
        <w:spacing w:before="100" w:after="100"/>
      </w:pPr>
      <w:r w:rsidRPr="0049701B">
        <w:t>A number of activities are carried out to determine if land-use change has occurred, including the analysis of satellite imagery and aerial photography. The use of aerial photography is described in chapter 6, section 6.2.</w:t>
      </w:r>
    </w:p>
    <w:p w14:paraId="52CFC131" w14:textId="77777777" w:rsidR="00616641" w:rsidRPr="0049701B" w:rsidRDefault="00616641" w:rsidP="00616641">
      <w:pPr>
        <w:pStyle w:val="BodyText"/>
      </w:pPr>
      <w:r w:rsidRPr="0049701B">
        <w:t xml:space="preserve">Evidence from the NZ ETS is also used to confirm </w:t>
      </w:r>
      <w:r w:rsidRPr="0049701B">
        <w:rPr>
          <w:i/>
          <w:spacing w:val="-2"/>
        </w:rPr>
        <w:t>Deforestation</w:t>
      </w:r>
      <w:r w:rsidRPr="0049701B">
        <w:t xml:space="preserve">. Under the NZ ETS, owners of pre-1990 planted forest or post-1989 forest (if they are participants in the scheme) are required to notify the Government of any </w:t>
      </w:r>
      <w:r w:rsidRPr="0049701B">
        <w:rPr>
          <w:spacing w:val="-2"/>
        </w:rPr>
        <w:t>deforestation</w:t>
      </w:r>
      <w:r w:rsidRPr="0049701B">
        <w:t xml:space="preserve"> activity (Ministry for Primary Industries, 2015d). A data-sharing agreement is in place that allows for the Ministry for Primary Industries, the agency that administers forestry aspects of the NZ ETS, to provide the Ministry for the Environment with regular updates of the area of confirmed </w:t>
      </w:r>
      <w:r w:rsidRPr="0049701B">
        <w:rPr>
          <w:i/>
          <w:spacing w:val="-2"/>
        </w:rPr>
        <w:t>Deforestation</w:t>
      </w:r>
      <w:r w:rsidRPr="0049701B">
        <w:t>.</w:t>
      </w:r>
    </w:p>
    <w:p w14:paraId="073359BC" w14:textId="77777777" w:rsidR="00616641" w:rsidRPr="0049701B" w:rsidRDefault="00616641" w:rsidP="00616641">
      <w:pPr>
        <w:pStyle w:val="BodyText"/>
        <w:rPr>
          <w:spacing w:val="-2"/>
        </w:rPr>
      </w:pPr>
      <w:r w:rsidRPr="0049701B">
        <w:rPr>
          <w:spacing w:val="-2"/>
        </w:rPr>
        <w:t xml:space="preserve">A summary of the decision-making process for determining whether </w:t>
      </w:r>
      <w:r w:rsidRPr="0049701B">
        <w:rPr>
          <w:i/>
          <w:spacing w:val="-2"/>
        </w:rPr>
        <w:t>Deforestation</w:t>
      </w:r>
      <w:r w:rsidRPr="0049701B">
        <w:rPr>
          <w:spacing w:val="-2"/>
        </w:rPr>
        <w:t xml:space="preserve"> has occurred, including all sources of information, is shown in figure 11.5.1. Once a land-use change is mapped and confirmed, the </w:t>
      </w:r>
      <w:r w:rsidRPr="0049701B">
        <w:rPr>
          <w:i/>
          <w:spacing w:val="-2"/>
        </w:rPr>
        <w:t>Deforestation</w:t>
      </w:r>
      <w:r w:rsidRPr="0049701B">
        <w:rPr>
          <w:spacing w:val="-2"/>
        </w:rPr>
        <w:t xml:space="preserve"> emissions will be reported in the year of forest clearance.</w:t>
      </w:r>
    </w:p>
    <w:p w14:paraId="5806281C" w14:textId="77777777" w:rsidR="00616641" w:rsidRPr="0049701B" w:rsidRDefault="00616641" w:rsidP="00616641">
      <w:pPr>
        <w:pStyle w:val="Figure"/>
        <w:spacing w:after="80"/>
      </w:pPr>
      <w:bookmarkStart w:id="2942" w:name="_Toc522010715"/>
      <w:bookmarkStart w:id="2943" w:name="_Toc5269735"/>
      <w:bookmarkStart w:id="2944" w:name="_Toc36292841"/>
      <w:bookmarkStart w:id="2945" w:name="_Toc64987009"/>
      <w:bookmarkStart w:id="2946" w:name="_Toc68786705"/>
      <w:bookmarkStart w:id="2947" w:name="_Toc95321439"/>
      <w:bookmarkStart w:id="2948" w:name="_Toc99696079"/>
      <w:r w:rsidRPr="0049701B">
        <w:lastRenderedPageBreak/>
        <w:t>Figure 11.5.1</w:t>
      </w:r>
      <w:r w:rsidRPr="0049701B">
        <w:tab/>
        <w:t>Verification of deforestation in New Zealand</w:t>
      </w:r>
      <w:bookmarkEnd w:id="2942"/>
      <w:bookmarkEnd w:id="2943"/>
      <w:bookmarkEnd w:id="2944"/>
      <w:bookmarkEnd w:id="2945"/>
      <w:bookmarkEnd w:id="2946"/>
      <w:bookmarkEnd w:id="2947"/>
      <w:bookmarkEnd w:id="2948"/>
    </w:p>
    <w:p w14:paraId="7F3D9774" w14:textId="77777777" w:rsidR="00616641" w:rsidRPr="00B750FB" w:rsidRDefault="004B48CC" w:rsidP="00616641">
      <w:pPr>
        <w:pStyle w:val="BodyText"/>
        <w:spacing w:after="0"/>
      </w:pPr>
      <w:r>
        <w:pict w14:anchorId="136AF335">
          <v:group id="Group 63" o:spid="_x0000_s2052" style="width:422.55pt;height:275.8pt;mso-position-horizontal-relative:char;mso-position-vertical-relative:line" coordorigin="2197,4715" coordsize="8796,5577">
            <o:lock v:ext="edit" aspectratio="t"/>
            <v:group id="Group 7" o:spid="_x0000_s2053" style="position:absolute;left:4739;top:6910;width:6254;height:3226" coordorigin="3862,5489" coordsize="6254,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o:lock v:ext="edit" aspectratio="t"/>
              <v:shapetype id="_x0000_t32" coordsize="21600,21600" o:spt="32" o:oned="t" path="m,l21600,21600e" filled="f">
                <v:path arrowok="t" fillok="f" o:connecttype="none"/>
                <o:lock v:ext="edit" shapetype="t"/>
              </v:shapetype>
              <v:shape id="AutoShape 8" o:spid="_x0000_s2054" type="#_x0000_t32" style="position:absolute;left:5378;top:5489;width:0;height:6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">
                <v:stroke endarrow="block"/>
                <o:lock v:ext="edit" aspectratio="t"/>
              </v:shape>
              <v:shape id="AutoShape 9" o:spid="_x0000_s2055" type="#_x0000_t32" style="position:absolute;left:5378;top:7005;width:0;height:12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">
                <v:stroke endarrow="block"/>
                <o:lock v:ext="edit" aspectratio="t"/>
              </v:shape>
              <v:shapetype id="_x0000_t109" coordsize="21600,21600" o:spt="109" path="m,l,21600r21600,l21600,xe">
                <v:stroke joinstyle="miter"/>
                <v:path gradientshapeok="t" o:connecttype="rect"/>
              </v:shapetype>
              <v:shape id="AutoShape 10" o:spid="_x0000_s2056" type="#_x0000_t109" style="position:absolute;left:7641;top:8275;width:2475;height:440;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">
                <o:lock v:ext="edit" aspectratio="t"/>
                <v:textbox style="mso-next-textbox:#AutoShape 10">
                  <w:txbxContent>
                    <w:p w14:paraId="0900F207" w14:textId="77777777" w:rsidR="00616641" w:rsidRPr="00070704" w:rsidRDefault="00616641" w:rsidP="00616641">
                      <w:pPr>
                        <w:spacing w:before="40" w:after="40"/>
                        <w:rPr>
                          <w:rFonts w:cs="Calibri"/>
                          <w:sz w:val="17"/>
                          <w:szCs w:val="17"/>
                        </w:rPr>
                      </w:pPr>
                      <w:r w:rsidRPr="00070704">
                        <w:rPr>
                          <w:rFonts w:cs="Calibri"/>
                          <w:sz w:val="17"/>
                          <w:szCs w:val="17"/>
                        </w:rPr>
                        <w:t>Mark area as deforested</w:t>
                      </w:r>
                    </w:p>
                  </w:txbxContent>
                </v:textbox>
              </v:shape>
              <v:shape id="AutoShape 12" o:spid="_x0000_s2057" type="#_x0000_t109" style="position:absolute;left:7626;top:7337;width:2490;height:445;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">
                <o:lock v:ext="edit" aspectratio="t"/>
                <v:textbox style="mso-next-textbox:#AutoShape 12">
                  <w:txbxContent>
                    <w:p w14:paraId="4C367083" w14:textId="77777777" w:rsidR="00616641" w:rsidRPr="00070704" w:rsidRDefault="00616641" w:rsidP="00616641">
                      <w:pPr>
                        <w:spacing w:before="40" w:after="40"/>
                        <w:rPr>
                          <w:rFonts w:cs="Calibri"/>
                          <w:sz w:val="17"/>
                          <w:szCs w:val="17"/>
                        </w:rPr>
                      </w:pPr>
                      <w:r w:rsidRPr="00070704">
                        <w:rPr>
                          <w:rFonts w:cs="Calibri"/>
                          <w:sz w:val="17"/>
                          <w:szCs w:val="17"/>
                        </w:rPr>
                        <w:t>Mark area as harvested</w:t>
                      </w:r>
                    </w:p>
                  </w:txbxContent>
                </v:textbox>
              </v:shape>
              <v:shape id="AutoShape 13" o:spid="_x0000_s2058" type="#_x0000_t109" style="position:absolute;left:3862;top:6232;width:2985;height:675;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">
                <o:lock v:ext="edit" aspectratio="t"/>
                <v:textbox style="mso-next-textbox:#AutoShape 13">
                  <w:txbxContent>
                    <w:p w14:paraId="6293AA5C" w14:textId="77777777" w:rsidR="00616641" w:rsidRPr="00070704" w:rsidRDefault="00616641" w:rsidP="00616641">
                      <w:pPr>
                        <w:spacing w:before="40" w:after="40"/>
                        <w:jc w:val="center"/>
                        <w:rPr>
                          <w:rFonts w:cs="Calibri"/>
                          <w:sz w:val="17"/>
                          <w:szCs w:val="17"/>
                        </w:rPr>
                      </w:pPr>
                      <w:r w:rsidRPr="00070704">
                        <w:rPr>
                          <w:rFonts w:cs="Calibri"/>
                          <w:sz w:val="17"/>
                          <w:szCs w:val="17"/>
                        </w:rPr>
                        <w:t>Can current land use be confirmed?</w:t>
                      </w:r>
                    </w:p>
                  </w:txbxContent>
                </v:textbox>
              </v:shape>
              <v:shape id="AutoShape 14" o:spid="_x0000_s2059" type="#_x0000_t109" style="position:absolute;left:5055;top:7388;width:615;height:382;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" stroked="f">
                <o:lock v:ext="edit" aspectratio="t"/>
                <v:textbox style="mso-next-textbox:#AutoShape 14">
                  <w:txbxContent>
                    <w:p w14:paraId="2B680A7C" w14:textId="77777777" w:rsidR="00616641" w:rsidRPr="00070704" w:rsidRDefault="00616641" w:rsidP="00616641">
                      <w:pPr>
                        <w:rPr>
                          <w:rFonts w:cs="Calibri"/>
                          <w:sz w:val="17"/>
                          <w:szCs w:val="17"/>
                        </w:rPr>
                      </w:pPr>
                      <w:r w:rsidRPr="00070704">
                        <w:rPr>
                          <w:rFonts w:cs="Calibri"/>
                          <w:sz w:val="17"/>
                          <w:szCs w:val="17"/>
                        </w:rPr>
                        <w:t>No</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5" o:spid="_x0000_s2060" type="#_x0000_t34" style="position:absolute;left:6555;top:6945;width:1071;height:61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" adj="253">
                <v:stroke endarrow="block"/>
                <o:lock v:ext="edit" aspectratio="t"/>
              </v:shape>
              <v:shape id="AutoShape 16" o:spid="_x0000_s2061" type="#_x0000_t34" style="position:absolute;left:6555;top:7558;width:1086;height:93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">
                <v:stroke endarrow="block"/>
                <o:lock v:ext="edit" aspectratio="t"/>
              </v:shape>
              <v:shape id="AutoShape 17" o:spid="_x0000_s2062" type="#_x0000_t109" style="position:absolute;left:6229;top:7128;width:753;height:340;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" stroked="f">
                <o:lock v:ext="edit" aspectratio="t"/>
                <v:textbox style="mso-next-textbox:#AutoShape 17">
                  <w:txbxContent>
                    <w:p w14:paraId="7603340B" w14:textId="77777777" w:rsidR="00616641" w:rsidRPr="00070704" w:rsidRDefault="00616641" w:rsidP="00616641">
                      <w:pPr>
                        <w:rPr>
                          <w:rFonts w:cs="Calibri"/>
                          <w:sz w:val="17"/>
                          <w:szCs w:val="17"/>
                        </w:rPr>
                      </w:pPr>
                      <w:r w:rsidRPr="00070704">
                        <w:rPr>
                          <w:rFonts w:cs="Calibri"/>
                          <w:sz w:val="17"/>
                          <w:szCs w:val="17"/>
                        </w:rPr>
                        <w:t>Yes</w:t>
                      </w:r>
                    </w:p>
                  </w:txbxContent>
                </v:textbox>
              </v:shape>
            </v:group>
            <v:shape id="AutoShape 27" o:spid="_x0000_s2063" type="#_x0000_t109" style="position:absolute;left:4927;top:9747;width:2625;height:545;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">
              <o:lock v:ext="edit" aspectratio="t"/>
              <v:textbox style="mso-next-textbox:#AutoShape 27">
                <w:txbxContent>
                  <w:p w14:paraId="6EA7B033" w14:textId="77777777" w:rsidR="00616641" w:rsidRPr="00070704" w:rsidRDefault="00616641" w:rsidP="00616641">
                    <w:pPr>
                      <w:spacing w:before="40" w:after="40"/>
                      <w:jc w:val="center"/>
                      <w:rPr>
                        <w:rFonts w:cs="Calibri"/>
                        <w:sz w:val="17"/>
                        <w:szCs w:val="17"/>
                      </w:rPr>
                    </w:pPr>
                    <w:r w:rsidRPr="00070704">
                      <w:rPr>
                        <w:rFonts w:cs="Calibri"/>
                        <w:sz w:val="17"/>
                        <w:szCs w:val="17"/>
                      </w:rPr>
                      <w:t>Mark area as awaiting</w:t>
                    </w:r>
                  </w:p>
                </w:txbxContent>
              </v:textbox>
            </v:shape>
            <v:group id="Group 29" o:spid="_x0000_s2064" style="position:absolute;left:2197;top:4715;width:8091;height:2625" coordorigin="2197,4715" coordsize="8091,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o:lock v:ext="edit" aspectratio="t"/>
              <v:shape id="AutoShape 30" o:spid="_x0000_s2065" type="#_x0000_t32" style="position:absolute;left:3577;top:6305;width:15;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">
                <v:stroke endarrow="block"/>
                <o:lock v:ext="edit" aspectratio="t"/>
              </v:shape>
              <v:shape id="AutoShape 31" o:spid="_x0000_s2066" type="#_x0000_t32" style="position:absolute;left:3562;top:5194;width:15;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">
                <v:stroke endarrow="block"/>
                <o:lock v:ext="edit" aspectratio="t"/>
              </v:shape>
              <v:shape id="AutoShape 32" o:spid="_x0000_s2067" type="#_x0000_t109" style="position:absolute;left:2212;top:5539;width:2805;height:765;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">
                <o:lock v:ext="edit" aspectratio="t"/>
                <v:textbox style="mso-next-textbox:#AutoShape 32">
                  <w:txbxContent>
                    <w:p w14:paraId="7E383718" w14:textId="77777777" w:rsidR="00616641" w:rsidRPr="00C7607E" w:rsidRDefault="00616641" w:rsidP="00616641">
                      <w:pPr>
                        <w:spacing w:before="40" w:after="40"/>
                        <w:jc w:val="center"/>
                        <w:rPr>
                          <w:rFonts w:cs="Calibri"/>
                          <w:sz w:val="17"/>
                          <w:szCs w:val="17"/>
                        </w:rPr>
                      </w:pPr>
                      <w:r w:rsidRPr="00C7607E">
                        <w:rPr>
                          <w:rFonts w:cs="Calibri"/>
                          <w:sz w:val="17"/>
                          <w:szCs w:val="17"/>
                        </w:rPr>
                        <w:t>Is the area harvested or deforested?</w:t>
                      </w:r>
                    </w:p>
                  </w:txbxContent>
                </v:textbox>
              </v:shape>
              <v:shape id="AutoShape 33" o:spid="_x0000_s2068" type="#_x0000_t109" style="position:absolute;left:2227;top:6620;width:2805;height:720;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">
                <o:lock v:ext="edit" aspectratio="t"/>
                <v:textbox style="mso-next-textbox:#AutoShape 33">
                  <w:txbxContent>
                    <w:p w14:paraId="0A323A4F" w14:textId="77777777" w:rsidR="00616641" w:rsidRPr="00C7607E" w:rsidRDefault="00616641" w:rsidP="00616641">
                      <w:pPr>
                        <w:spacing w:before="40" w:after="40"/>
                        <w:rPr>
                          <w:rFonts w:cs="Calibri"/>
                          <w:sz w:val="17"/>
                          <w:szCs w:val="17"/>
                        </w:rPr>
                      </w:pPr>
                      <w:r w:rsidRPr="00C7607E">
                        <w:rPr>
                          <w:rFonts w:cs="Calibri"/>
                          <w:sz w:val="17"/>
                          <w:szCs w:val="17"/>
                        </w:rPr>
                        <w:t>Look at all sources of information</w:t>
                      </w:r>
                    </w:p>
                  </w:txbxContent>
                </v:textbox>
              </v:shape>
              <v:shape id="AutoShape 34" o:spid="_x0000_s2069" type="#_x0000_t109" style="position:absolute;left:5407;top:4715;width:4881;height:2119;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">
                <o:lock v:ext="edit" aspectratio="t"/>
                <v:textbox style="mso-next-textbox:#AutoShape 34">
                  <w:txbxContent>
                    <w:p w14:paraId="766A3D1C" w14:textId="77777777" w:rsidR="00616641" w:rsidRPr="00C7607E" w:rsidRDefault="00616641" w:rsidP="00616641">
                      <w:pPr>
                        <w:spacing w:before="40" w:after="60"/>
                        <w:rPr>
                          <w:rFonts w:cs="Calibri"/>
                          <w:sz w:val="17"/>
                          <w:szCs w:val="17"/>
                        </w:rPr>
                      </w:pPr>
                      <w:r w:rsidRPr="00C7607E">
                        <w:rPr>
                          <w:rFonts w:cs="Calibri"/>
                          <w:sz w:val="17"/>
                          <w:szCs w:val="17"/>
                        </w:rPr>
                        <w:t>SOURCES OF INFORMATION</w:t>
                      </w:r>
                    </w:p>
                    <w:p w14:paraId="64B74113" w14:textId="77777777" w:rsidR="00616641" w:rsidRPr="00C7607E" w:rsidRDefault="00616641" w:rsidP="00063737">
                      <w:pPr>
                        <w:numPr>
                          <w:ilvl w:val="0"/>
                          <w:numId w:val="29"/>
                        </w:numPr>
                        <w:spacing w:after="20" w:line="276" w:lineRule="auto"/>
                        <w:ind w:left="284" w:hanging="284"/>
                        <w:rPr>
                          <w:rFonts w:cs="Calibri"/>
                          <w:sz w:val="17"/>
                          <w:szCs w:val="17"/>
                        </w:rPr>
                      </w:pPr>
                      <w:r w:rsidRPr="00C7607E">
                        <w:rPr>
                          <w:rFonts w:cs="Calibri"/>
                          <w:sz w:val="17"/>
                          <w:szCs w:val="17"/>
                        </w:rPr>
                        <w:t>Ministry for Primary Industries forestry schemes</w:t>
                      </w:r>
                    </w:p>
                    <w:p w14:paraId="654850F0" w14:textId="77777777" w:rsidR="00616641" w:rsidRPr="00C7607E" w:rsidRDefault="00616641" w:rsidP="00063737">
                      <w:pPr>
                        <w:numPr>
                          <w:ilvl w:val="0"/>
                          <w:numId w:val="29"/>
                        </w:numPr>
                        <w:spacing w:after="20" w:line="276" w:lineRule="auto"/>
                        <w:ind w:left="284" w:hanging="284"/>
                        <w:rPr>
                          <w:rFonts w:cs="Calibri"/>
                          <w:sz w:val="17"/>
                          <w:szCs w:val="17"/>
                        </w:rPr>
                      </w:pPr>
                      <w:r w:rsidRPr="00C7607E">
                        <w:rPr>
                          <w:rFonts w:cs="Calibri"/>
                          <w:sz w:val="17"/>
                          <w:szCs w:val="17"/>
                        </w:rPr>
                        <w:t>Ministry for Primary Industries compliance field teams</w:t>
                      </w:r>
                    </w:p>
                    <w:p w14:paraId="2255FBA1" w14:textId="77777777" w:rsidR="00616641" w:rsidRPr="00C7607E" w:rsidRDefault="00616641" w:rsidP="00063737">
                      <w:pPr>
                        <w:numPr>
                          <w:ilvl w:val="0"/>
                          <w:numId w:val="29"/>
                        </w:numPr>
                        <w:spacing w:after="20" w:line="276" w:lineRule="auto"/>
                        <w:ind w:left="284" w:hanging="284"/>
                        <w:rPr>
                          <w:rFonts w:cs="Calibri"/>
                          <w:sz w:val="17"/>
                          <w:szCs w:val="17"/>
                        </w:rPr>
                      </w:pPr>
                      <w:r w:rsidRPr="00C7607E">
                        <w:rPr>
                          <w:rFonts w:cs="Calibri"/>
                          <w:sz w:val="17"/>
                          <w:szCs w:val="17"/>
                        </w:rPr>
                        <w:t>Forestry consultants</w:t>
                      </w:r>
                    </w:p>
                    <w:p w14:paraId="57A30D4E" w14:textId="77777777" w:rsidR="00616641" w:rsidRPr="00C7607E" w:rsidRDefault="00616641" w:rsidP="00063737">
                      <w:pPr>
                        <w:numPr>
                          <w:ilvl w:val="0"/>
                          <w:numId w:val="29"/>
                        </w:numPr>
                        <w:spacing w:after="40" w:line="276" w:lineRule="auto"/>
                        <w:ind w:left="284" w:hanging="284"/>
                        <w:rPr>
                          <w:rFonts w:cs="Calibri"/>
                          <w:sz w:val="17"/>
                          <w:szCs w:val="17"/>
                        </w:rPr>
                      </w:pPr>
                      <w:r w:rsidRPr="00C7607E">
                        <w:rPr>
                          <w:rFonts w:cs="Calibri"/>
                          <w:sz w:val="17"/>
                          <w:szCs w:val="17"/>
                        </w:rPr>
                        <w:t>Vertical aerial photography</w:t>
                      </w:r>
                    </w:p>
                    <w:p w14:paraId="25423D8F" w14:textId="77777777" w:rsidR="00616641" w:rsidRPr="00C7607E" w:rsidRDefault="00616641" w:rsidP="00063737">
                      <w:pPr>
                        <w:numPr>
                          <w:ilvl w:val="0"/>
                          <w:numId w:val="29"/>
                        </w:numPr>
                        <w:spacing w:after="40" w:line="276" w:lineRule="auto"/>
                        <w:ind w:left="284" w:hanging="284"/>
                        <w:rPr>
                          <w:rFonts w:cs="Calibri"/>
                          <w:sz w:val="17"/>
                          <w:szCs w:val="17"/>
                        </w:rPr>
                      </w:pPr>
                      <w:r w:rsidRPr="00C7607E">
                        <w:rPr>
                          <w:rFonts w:cs="Calibri"/>
                          <w:sz w:val="17"/>
                          <w:szCs w:val="17"/>
                        </w:rPr>
                        <w:t>Oblique aerial photography</w:t>
                      </w:r>
                    </w:p>
                    <w:p w14:paraId="794050B7" w14:textId="77777777" w:rsidR="00616641" w:rsidRPr="00C7607E" w:rsidRDefault="00616641" w:rsidP="00063737">
                      <w:pPr>
                        <w:numPr>
                          <w:ilvl w:val="0"/>
                          <w:numId w:val="29"/>
                        </w:numPr>
                        <w:spacing w:after="40" w:line="276" w:lineRule="auto"/>
                        <w:ind w:left="284" w:hanging="284"/>
                        <w:rPr>
                          <w:rFonts w:cs="Calibri"/>
                          <w:sz w:val="17"/>
                          <w:szCs w:val="17"/>
                        </w:rPr>
                      </w:pPr>
                      <w:r w:rsidRPr="00C7607E">
                        <w:rPr>
                          <w:rFonts w:cs="Calibri"/>
                          <w:sz w:val="17"/>
                          <w:szCs w:val="17"/>
                        </w:rPr>
                        <w:t>Satellite imagery</w:t>
                      </w:r>
                    </w:p>
                  </w:txbxContent>
                </v:textbox>
              </v:shape>
              <v:shape id="AutoShape 35" o:spid="_x0000_s2070" type="#_x0000_t32" style="position:absolute;left:5017;top:6910;width:4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">
                <v:stroke endarrow="block"/>
                <o:lock v:ext="edit" aspectratio="t"/>
              </v:shape>
              <v:shape id="AutoShape 36" o:spid="_x0000_s2071" type="#_x0000_t109" style="position:absolute;left:2197;top:4715;width:2805;height:465;visibility:visibl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">
                <o:lock v:ext="edit" aspectratio="t"/>
                <v:textbox style="mso-next-textbox:#AutoShape 36">
                  <w:txbxContent>
                    <w:p w14:paraId="57AF346C" w14:textId="77777777" w:rsidR="00616641" w:rsidRPr="00C7607E" w:rsidRDefault="00616641" w:rsidP="00616641">
                      <w:pPr>
                        <w:spacing w:before="40" w:after="40"/>
                        <w:jc w:val="center"/>
                        <w:rPr>
                          <w:rFonts w:cs="Calibri"/>
                          <w:sz w:val="17"/>
                          <w:szCs w:val="17"/>
                        </w:rPr>
                      </w:pPr>
                      <w:r w:rsidRPr="00C7607E">
                        <w:rPr>
                          <w:rFonts w:cs="Calibri"/>
                          <w:sz w:val="17"/>
                          <w:szCs w:val="17"/>
                        </w:rPr>
                        <w:t>Area mapped as destocked</w:t>
                      </w:r>
                    </w:p>
                    <w:p w14:paraId="777AE880" w14:textId="77777777" w:rsidR="00616641" w:rsidRPr="00C7607E" w:rsidRDefault="00616641" w:rsidP="00616641">
                      <w:pPr>
                        <w:spacing w:before="40" w:after="40"/>
                        <w:rPr>
                          <w:rFonts w:cs="Calibri"/>
                          <w:sz w:val="17"/>
                          <w:szCs w:val="17"/>
                        </w:rPr>
                      </w:pPr>
                    </w:p>
                  </w:txbxContent>
                </v:textbox>
              </v:shape>
            </v:group>
            <w10:anchorlock/>
          </v:group>
        </w:pict>
      </w:r>
    </w:p>
    <w:p w14:paraId="78E842CF" w14:textId="77777777" w:rsidR="00616641" w:rsidRPr="0049701B" w:rsidRDefault="00616641" w:rsidP="00616641">
      <w:pPr>
        <w:pStyle w:val="Heading3"/>
      </w:pPr>
      <w:bookmarkStart w:id="2949" w:name="_Toc261513300"/>
      <w:bookmarkStart w:id="2950" w:name="_Toc261513913"/>
      <w:bookmarkStart w:id="2951" w:name="_Toc280630403"/>
      <w:bookmarkStart w:id="2952" w:name="_Toc377043727"/>
      <w:bookmarkStart w:id="2953" w:name="_Toc400967265"/>
      <w:r w:rsidRPr="0049701B">
        <w:t xml:space="preserve">11.5.3 </w:t>
      </w:r>
      <w:r w:rsidRPr="0049701B">
        <w:tab/>
        <w:t>Distinction between afforestation and grassland with woody </w:t>
      </w:r>
      <w:r w:rsidRPr="00B750FB">
        <w:t>biomass</w:t>
      </w:r>
    </w:p>
    <w:p w14:paraId="01580134" w14:textId="77777777" w:rsidR="00616641" w:rsidRPr="0049701B" w:rsidRDefault="00616641" w:rsidP="00616641">
      <w:pPr>
        <w:pStyle w:val="BodyText"/>
        <w:spacing w:before="100" w:after="100"/>
      </w:pPr>
      <w:r w:rsidRPr="0049701B">
        <w:t xml:space="preserve">For a shrubland area to be classed as post-1989 forest (and hence </w:t>
      </w:r>
      <w:r w:rsidRPr="00B750FB">
        <w:t>Afforestation</w:t>
      </w:r>
      <w:r w:rsidRPr="0049701B">
        <w:t>), as opposed to grassland with woody biomass, it must meet a range of criteria including the forest definition criteria of having at least 30 per cent cover and being at least 1 hectare in size and 30 metres in width. It must also have the potential to reach 5 metres in height within a 30 to 40 year timeframe under current land management, and there must be evidence of intention for it do so.</w:t>
      </w:r>
    </w:p>
    <w:p w14:paraId="2832E110" w14:textId="77777777" w:rsidR="00616641" w:rsidRPr="0049701B" w:rsidRDefault="00616641" w:rsidP="00616641">
      <w:pPr>
        <w:pStyle w:val="BodyText"/>
        <w:spacing w:before="100" w:after="100"/>
      </w:pPr>
      <w:r w:rsidRPr="0049701B">
        <w:t>This potential to reach 5 metres is determined using a range of ancillary data including:</w:t>
      </w:r>
    </w:p>
    <w:p w14:paraId="42F0ECFE" w14:textId="77777777" w:rsidR="00616641" w:rsidRPr="00B750FB" w:rsidRDefault="00616641" w:rsidP="00616641">
      <w:pPr>
        <w:pStyle w:val="Bullet"/>
        <w:spacing w:after="100"/>
      </w:pPr>
      <w:r w:rsidRPr="0049701B">
        <w:t xml:space="preserve">location with respect to the treeline – shrub species located below but within 225 vertical metres of the treeline </w:t>
      </w:r>
      <w:r w:rsidRPr="00B750FB">
        <w:t>are not considered to have the potential to reach 5 metres in height within the required timeframe (Newsome et al., 2011)</w:t>
      </w:r>
    </w:p>
    <w:p w14:paraId="2FC0AADF" w14:textId="77777777" w:rsidR="00616641" w:rsidRPr="00B750FB" w:rsidRDefault="00616641" w:rsidP="00616641">
      <w:pPr>
        <w:pStyle w:val="Bullet"/>
        <w:spacing w:after="100"/>
      </w:pPr>
      <w:r w:rsidRPr="00B750FB">
        <w:t>environmental conditions – a range of environmental conditions limit growth of shrub species in New Zealand. These include soil type, climatic conditions, geothermal activity and salt spray (Newsome et al., 2011). When a shrubland area falls within one of these zones of limitation, it is classed as grassland with woody biomass</w:t>
      </w:r>
    </w:p>
    <w:p w14:paraId="0D680009" w14:textId="77777777" w:rsidR="00616641" w:rsidRPr="0049701B" w:rsidRDefault="00616641" w:rsidP="00616641">
      <w:pPr>
        <w:pStyle w:val="Bullet"/>
        <w:spacing w:after="100"/>
      </w:pPr>
      <w:r w:rsidRPr="00B750FB">
        <w:t>geographical context – shrubla</w:t>
      </w:r>
      <w:r w:rsidRPr="0049701B">
        <w:t>nd areas in a grazing context are unlikely to grow to 5 metres in height unless there is evidence of livestock exclusion, such as a fence line or</w:t>
      </w:r>
      <w:r>
        <w:t> </w:t>
      </w:r>
      <w:r w:rsidRPr="0049701B">
        <w:t>a</w:t>
      </w:r>
      <w:r>
        <w:t> </w:t>
      </w:r>
      <w:r w:rsidRPr="0049701B">
        <w:t>change to steep terrain (gully or hill), which provides a natural barrier to livestock.</w:t>
      </w:r>
    </w:p>
    <w:p w14:paraId="69D616A2" w14:textId="77777777" w:rsidR="00616641" w:rsidRPr="0049701B" w:rsidRDefault="00616641" w:rsidP="00616641">
      <w:pPr>
        <w:pStyle w:val="BodyText"/>
        <w:spacing w:before="100" w:after="100"/>
      </w:pPr>
      <w:r w:rsidRPr="0049701B">
        <w:t xml:space="preserve">The evidence that the </w:t>
      </w:r>
      <w:r w:rsidRPr="00B750FB">
        <w:t>afforestation</w:t>
      </w:r>
      <w:r w:rsidRPr="0049701B">
        <w:t xml:space="preserve"> is human induced includes data from the following.</w:t>
      </w:r>
    </w:p>
    <w:p w14:paraId="552F3BFD" w14:textId="77777777" w:rsidR="00616641" w:rsidRPr="0049701B" w:rsidRDefault="00616641" w:rsidP="00616641">
      <w:pPr>
        <w:pStyle w:val="Bullet"/>
        <w:spacing w:after="100"/>
      </w:pPr>
      <w:r w:rsidRPr="0049701B">
        <w:t xml:space="preserve">NZ ETS forest mapping – if an area has been accepted into the NZ ETS this is considered to </w:t>
      </w:r>
      <w:r w:rsidRPr="0049701B">
        <w:rPr>
          <w:spacing w:val="-2"/>
        </w:rPr>
        <w:t xml:space="preserve">be strong evidence of </w:t>
      </w:r>
      <w:r w:rsidRPr="00B750FB">
        <w:t>afforestation</w:t>
      </w:r>
      <w:r w:rsidRPr="0049701B">
        <w:rPr>
          <w:spacing w:val="-2"/>
        </w:rPr>
        <w:t>. The area will have been checked to verify establishment</w:t>
      </w:r>
      <w:r w:rsidRPr="0049701B">
        <w:t xml:space="preserve"> date and the potential of the area to grow to 5 metres in height. The fact the land owner has entered the area in the NZ ETS, (with associated application costs) is considered strong evidence of their intention to grow a forest.</w:t>
      </w:r>
    </w:p>
    <w:p w14:paraId="101D2B69" w14:textId="77777777" w:rsidR="00616641" w:rsidRPr="0049701B" w:rsidRDefault="00616641" w:rsidP="00616641">
      <w:pPr>
        <w:pStyle w:val="Bullet"/>
      </w:pPr>
      <w:r w:rsidRPr="0049701B">
        <w:lastRenderedPageBreak/>
        <w:t xml:space="preserve">Aerial imagery – showing fence lines, spot spraying or regular planting patterns consistent with the </w:t>
      </w:r>
      <w:r w:rsidRPr="00B750FB">
        <w:t>establishment</w:t>
      </w:r>
      <w:r w:rsidRPr="0049701B">
        <w:t xml:space="preserve"> of indigenous forest cover.</w:t>
      </w:r>
    </w:p>
    <w:p w14:paraId="4A170E18" w14:textId="77777777" w:rsidR="00616641" w:rsidRPr="0049701B" w:rsidRDefault="00616641" w:rsidP="00616641">
      <w:pPr>
        <w:pStyle w:val="BodyText"/>
        <w:spacing w:after="100"/>
      </w:pPr>
      <w:r w:rsidRPr="0049701B">
        <w:t>The decision tree relating this classification of shrubland areas is described in the grassland with woody biomass section of the Satellite Imagery Interpretation Guide for Land-Use Classes (Ministry for the Environment, 2012).</w:t>
      </w:r>
    </w:p>
    <w:p w14:paraId="71849C56" w14:textId="77777777" w:rsidR="00616641" w:rsidRPr="0049701B" w:rsidRDefault="00616641" w:rsidP="00616641">
      <w:pPr>
        <w:pStyle w:val="Heading3"/>
        <w:spacing w:before="280"/>
      </w:pPr>
      <w:r w:rsidRPr="0049701B">
        <w:t xml:space="preserve">11.5.4 </w:t>
      </w:r>
      <w:r w:rsidRPr="0049701B">
        <w:tab/>
        <w:t xml:space="preserve">Unclassified </w:t>
      </w:r>
      <w:bookmarkEnd w:id="2949"/>
      <w:bookmarkEnd w:id="2950"/>
      <w:bookmarkEnd w:id="2951"/>
      <w:bookmarkEnd w:id="2952"/>
      <w:bookmarkEnd w:id="2953"/>
      <w:r w:rsidRPr="0049701B">
        <w:t>destocked land</w:t>
      </w:r>
    </w:p>
    <w:p w14:paraId="076E857C" w14:textId="77777777" w:rsidR="00616641" w:rsidRPr="0049701B" w:rsidRDefault="00616641" w:rsidP="00616641">
      <w:pPr>
        <w:pStyle w:val="BodyText"/>
      </w:pPr>
      <w:r w:rsidRPr="0049701B">
        <w:t>The reporting guidelines under the Convention require that countries provide information on the size and geographical location of forest areas that have lost forest cover but that are not yet classified as deforested.</w:t>
      </w:r>
    </w:p>
    <w:p w14:paraId="36038B70" w14:textId="77777777" w:rsidR="00616641" w:rsidRPr="0049701B" w:rsidRDefault="00616641" w:rsidP="00616641">
      <w:pPr>
        <w:pStyle w:val="BodyText"/>
      </w:pPr>
      <w:r w:rsidRPr="0049701B">
        <w:t xml:space="preserve">To identify these areas, destocked land is mapped into three main classes: harvested, deforested and awaiting. The awaiting areas are those where there is no clear evidence to support harvesting (replanting activity, forestry context) or </w:t>
      </w:r>
      <w:r w:rsidRPr="0049701B">
        <w:rPr>
          <w:i/>
          <w:spacing w:val="-2"/>
        </w:rPr>
        <w:t>Deforestation</w:t>
      </w:r>
      <w:r w:rsidRPr="0049701B">
        <w:t xml:space="preserve"> (confirmed land-use change, such as pasture establishment, fences and stock). The areas are therefore awaiting a land use determination.</w:t>
      </w:r>
    </w:p>
    <w:p w14:paraId="410913AA" w14:textId="77777777" w:rsidR="00616641" w:rsidRPr="0049701B" w:rsidRDefault="00616641" w:rsidP="00616641">
      <w:pPr>
        <w:pStyle w:val="BodyText"/>
        <w:spacing w:before="100" w:after="100"/>
        <w:rPr>
          <w:spacing w:val="-2"/>
        </w:rPr>
      </w:pPr>
      <w:r w:rsidRPr="0049701B">
        <w:rPr>
          <w:spacing w:val="-2"/>
        </w:rPr>
        <w:t>Wall-to-wall mapping of harvested, deforested and awaiting areas was completed for 2008 to 2016. Each year, areas of awaiting land that have been destocked for more than four years are reviewed to determine whether deforestation or replanting has occurred. Where a recent imagery evidence source is available, these awaiting areas are reclassified as either harvested (where there is evidence of replanting) or deforested (where there is evidence of land</w:t>
      </w:r>
      <w:r w:rsidRPr="0049701B">
        <w:rPr>
          <w:spacing w:val="-2"/>
        </w:rPr>
        <w:noBreakHyphen/>
        <w:t xml:space="preserve">use change). </w:t>
      </w:r>
    </w:p>
    <w:p w14:paraId="144441A5" w14:textId="77777777" w:rsidR="00616641" w:rsidRPr="0049701B" w:rsidRDefault="00616641" w:rsidP="00616641">
      <w:pPr>
        <w:pStyle w:val="BodyText"/>
        <w:spacing w:before="80" w:after="100"/>
      </w:pPr>
      <w:r w:rsidRPr="0049701B">
        <w:t xml:space="preserve">Areas classed as awaiting land are still considered to be forested land until either evidence of land-use change is identified or four years have passed since destocking and the land is confirmed to be in a new land use (whichever comes first). This is consistent with section 2.6.2.1 of the Kyoto Protocol Supplement (IPCC, 2014a), which states that (p 82): </w:t>
      </w:r>
    </w:p>
    <w:p w14:paraId="1997051A" w14:textId="77777777" w:rsidR="00616641" w:rsidRPr="0049701B" w:rsidRDefault="00616641" w:rsidP="00616641">
      <w:pPr>
        <w:pStyle w:val="Quote"/>
        <w:spacing w:before="80" w:after="80"/>
      </w:pPr>
      <w:r w:rsidRPr="0049701B">
        <w:rPr>
          <w:spacing w:val="-2"/>
        </w:rPr>
        <w:t xml:space="preserve">In the absence of land-use change (such as conversion to </w:t>
      </w:r>
      <w:r w:rsidRPr="0049701B">
        <w:rPr>
          <w:i/>
          <w:spacing w:val="-2"/>
        </w:rPr>
        <w:t>Cropland</w:t>
      </w:r>
      <w:r w:rsidRPr="0049701B">
        <w:rPr>
          <w:spacing w:val="-2"/>
        </w:rPr>
        <w:t xml:space="preserve"> or construction of </w:t>
      </w:r>
      <w:r w:rsidRPr="0049701B">
        <w:rPr>
          <w:i/>
          <w:iCs w:val="0"/>
          <w:spacing w:val="-2"/>
        </w:rPr>
        <w:t>Settlements</w:t>
      </w:r>
      <w:r w:rsidRPr="0049701B">
        <w:rPr>
          <w:spacing w:val="-2"/>
        </w:rPr>
        <w:t>)</w:t>
      </w:r>
      <w:r w:rsidRPr="0049701B">
        <w:t xml:space="preserve"> areas without tree cover are considered “forest” provided that the time since forest cover loss is shorter than the number of years within which tree establishment is expected.</w:t>
      </w:r>
    </w:p>
    <w:p w14:paraId="51AB65B9" w14:textId="77777777" w:rsidR="00616641" w:rsidRPr="0049701B" w:rsidRDefault="00616641" w:rsidP="00616641">
      <w:pPr>
        <w:pStyle w:val="BodyText"/>
        <w:tabs>
          <w:tab w:val="left" w:pos="3544"/>
        </w:tabs>
        <w:spacing w:before="100" w:after="100"/>
      </w:pPr>
      <w:r w:rsidRPr="0049701B">
        <w:t xml:space="preserve">All areas of awaiting land that was destocked before 2017 have now been reclassified as either harvested or deforested based on field verification. </w:t>
      </w:r>
    </w:p>
    <w:p w14:paraId="376A5BA6" w14:textId="77777777" w:rsidR="00616641" w:rsidRPr="0049701B" w:rsidRDefault="00616641" w:rsidP="00616641">
      <w:pPr>
        <w:pStyle w:val="BodyText"/>
        <w:tabs>
          <w:tab w:val="left" w:pos="3544"/>
        </w:tabs>
        <w:spacing w:before="100" w:after="100"/>
      </w:pPr>
      <w:r w:rsidRPr="0049701B">
        <w:t>Provisional mapping of 2017 deforestation has been completed, however, a further 27,046 hectares of land destocked in 2017 is yet to be classified. This land will include harvested and deforested areas as well as areas that will be classified as awaiting land because it is not currently possible to determine the future land use.</w:t>
      </w:r>
    </w:p>
    <w:p w14:paraId="064AC94C" w14:textId="77777777" w:rsidR="00616641" w:rsidRPr="0049701B" w:rsidRDefault="00616641" w:rsidP="00616641">
      <w:pPr>
        <w:pStyle w:val="BodyText"/>
        <w:tabs>
          <w:tab w:val="left" w:pos="3544"/>
        </w:tabs>
        <w:spacing w:before="100" w:after="100"/>
      </w:pPr>
      <w:r w:rsidRPr="0049701B">
        <w:t>The total area of unclassified land for 2017 is shown in table 11.5.1.</w:t>
      </w:r>
    </w:p>
    <w:p w14:paraId="7E1921DA" w14:textId="77777777" w:rsidR="00616641" w:rsidRPr="0049701B" w:rsidRDefault="00616641" w:rsidP="00616641">
      <w:pPr>
        <w:pStyle w:val="Table"/>
        <w:tabs>
          <w:tab w:val="left" w:pos="3544"/>
        </w:tabs>
      </w:pPr>
      <w:bookmarkStart w:id="2954" w:name="_Toc310423447"/>
      <w:bookmarkStart w:id="2955" w:name="_Toc318362741"/>
      <w:bookmarkStart w:id="2956" w:name="_Toc342470820"/>
      <w:bookmarkStart w:id="2957" w:name="_Toc352505073"/>
      <w:bookmarkStart w:id="2958" w:name="_Toc377043709"/>
      <w:bookmarkStart w:id="2959" w:name="_Toc391023561"/>
      <w:bookmarkStart w:id="2960" w:name="_Toc414531534"/>
      <w:bookmarkStart w:id="2961" w:name="_Toc456179113"/>
      <w:bookmarkStart w:id="2962" w:name="_Toc481751638"/>
      <w:bookmarkStart w:id="2963" w:name="_Toc522010665"/>
      <w:bookmarkStart w:id="2964" w:name="_Toc5269636"/>
      <w:bookmarkStart w:id="2965" w:name="_Toc36224719"/>
      <w:bookmarkStart w:id="2966" w:name="_Toc64987054"/>
      <w:bookmarkStart w:id="2967" w:name="_Toc68786604"/>
      <w:bookmarkStart w:id="2968" w:name="_Toc95321549"/>
      <w:bookmarkStart w:id="2969" w:name="_Toc99659401"/>
      <w:r w:rsidRPr="0049701B">
        <w:t xml:space="preserve">Table 11.5.1 </w:t>
      </w:r>
      <w:r w:rsidRPr="0049701B">
        <w:tab/>
        <w:t>Area of land destocked in New Zealand in 2017 that has not yet been classified</w:t>
      </w:r>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p>
    <w:tbl>
      <w:tblPr>
        <w:tblW w:w="8500" w:type="dxa"/>
        <w:tblInd w:w="113" w:type="dxa"/>
        <w:tblBorders>
          <w:top w:val="single" w:sz="4" w:space="0" w:color="1B556B"/>
          <w:bottom w:val="single" w:sz="4" w:space="0" w:color="1B556B"/>
          <w:insideH w:val="single" w:sz="4" w:space="0" w:color="1B556B"/>
        </w:tblBorders>
        <w:tblLayout w:type="fixed"/>
        <w:tblLook w:val="04A0" w:firstRow="1" w:lastRow="0" w:firstColumn="1" w:lastColumn="0" w:noHBand="0" w:noVBand="1"/>
      </w:tblPr>
      <w:tblGrid>
        <w:gridCol w:w="1260"/>
        <w:gridCol w:w="1960"/>
        <w:gridCol w:w="2112"/>
        <w:gridCol w:w="1810"/>
        <w:gridCol w:w="1358"/>
      </w:tblGrid>
      <w:tr w:rsidR="00616641" w:rsidRPr="0049701B" w14:paraId="6AF21D6F" w14:textId="77777777" w:rsidTr="007E3239">
        <w:tc>
          <w:tcPr>
            <w:tcW w:w="1260" w:type="dxa"/>
            <w:shd w:val="clear" w:color="auto" w:fill="1B556B"/>
            <w:vAlign w:val="bottom"/>
          </w:tcPr>
          <w:p w14:paraId="25349FB5" w14:textId="77777777" w:rsidR="00616641" w:rsidRPr="0049701B" w:rsidRDefault="00616641" w:rsidP="007E3239">
            <w:pPr>
              <w:pStyle w:val="TableTextBold"/>
              <w:keepNext/>
              <w:tabs>
                <w:tab w:val="left" w:pos="3544"/>
              </w:tabs>
              <w:spacing w:before="50" w:after="50"/>
              <w:rPr>
                <w:bCs/>
                <w:noProof w:val="0"/>
                <w:color w:val="FFFFFF"/>
                <w:szCs w:val="16"/>
              </w:rPr>
            </w:pPr>
            <w:r w:rsidRPr="0049701B">
              <w:rPr>
                <w:bCs/>
                <w:noProof w:val="0"/>
                <w:color w:val="FFFFFF"/>
                <w:szCs w:val="16"/>
              </w:rPr>
              <w:t>Year of destocking</w:t>
            </w:r>
          </w:p>
        </w:tc>
        <w:tc>
          <w:tcPr>
            <w:tcW w:w="1960" w:type="dxa"/>
            <w:shd w:val="clear" w:color="auto" w:fill="1B556B"/>
            <w:vAlign w:val="bottom"/>
            <w:hideMark/>
          </w:tcPr>
          <w:p w14:paraId="6EDFB1CD" w14:textId="77777777" w:rsidR="00616641" w:rsidRPr="0049701B" w:rsidRDefault="00616641" w:rsidP="007E3239">
            <w:pPr>
              <w:pStyle w:val="TableTextBold"/>
              <w:keepNext/>
              <w:tabs>
                <w:tab w:val="left" w:pos="3544"/>
              </w:tabs>
              <w:spacing w:before="50" w:after="50"/>
              <w:jc w:val="center"/>
              <w:rPr>
                <w:bCs/>
                <w:noProof w:val="0"/>
                <w:color w:val="FFFFFF"/>
                <w:szCs w:val="16"/>
              </w:rPr>
            </w:pPr>
            <w:r w:rsidRPr="0049701B">
              <w:rPr>
                <w:bCs/>
                <w:noProof w:val="0"/>
                <w:color w:val="FFFFFF"/>
                <w:szCs w:val="16"/>
              </w:rPr>
              <w:t xml:space="preserve">Pre-1990 natural forest </w:t>
            </w:r>
            <w:r w:rsidRPr="0049701B">
              <w:rPr>
                <w:bCs/>
                <w:noProof w:val="0"/>
                <w:color w:val="FFFFFF"/>
                <w:szCs w:val="16"/>
              </w:rPr>
              <w:br/>
              <w:t>(ha)</w:t>
            </w:r>
          </w:p>
        </w:tc>
        <w:tc>
          <w:tcPr>
            <w:tcW w:w="2112" w:type="dxa"/>
            <w:shd w:val="clear" w:color="auto" w:fill="1B556B"/>
            <w:vAlign w:val="bottom"/>
            <w:hideMark/>
          </w:tcPr>
          <w:p w14:paraId="16B4F784" w14:textId="77777777" w:rsidR="00616641" w:rsidRPr="0049701B" w:rsidRDefault="00616641" w:rsidP="007E3239">
            <w:pPr>
              <w:pStyle w:val="TableTextBold"/>
              <w:keepNext/>
              <w:tabs>
                <w:tab w:val="left" w:pos="3544"/>
              </w:tabs>
              <w:spacing w:before="50" w:after="50"/>
              <w:jc w:val="center"/>
              <w:rPr>
                <w:bCs/>
                <w:noProof w:val="0"/>
                <w:color w:val="FFFFFF"/>
                <w:szCs w:val="16"/>
              </w:rPr>
            </w:pPr>
            <w:r w:rsidRPr="0049701B">
              <w:rPr>
                <w:bCs/>
                <w:noProof w:val="0"/>
                <w:color w:val="FFFFFF"/>
                <w:szCs w:val="16"/>
              </w:rPr>
              <w:t xml:space="preserve">Pre-1990 planted forest </w:t>
            </w:r>
            <w:r w:rsidRPr="0049701B">
              <w:rPr>
                <w:bCs/>
                <w:noProof w:val="0"/>
                <w:color w:val="FFFFFF"/>
                <w:szCs w:val="16"/>
              </w:rPr>
              <w:br/>
              <w:t>(ha)</w:t>
            </w:r>
          </w:p>
        </w:tc>
        <w:tc>
          <w:tcPr>
            <w:tcW w:w="1810" w:type="dxa"/>
            <w:shd w:val="clear" w:color="auto" w:fill="1B556B"/>
            <w:vAlign w:val="bottom"/>
          </w:tcPr>
          <w:p w14:paraId="3788481D" w14:textId="77777777" w:rsidR="00616641" w:rsidRPr="0049701B" w:rsidRDefault="00616641" w:rsidP="007E3239">
            <w:pPr>
              <w:pStyle w:val="TableTextBold"/>
              <w:keepNext/>
              <w:tabs>
                <w:tab w:val="left" w:pos="3544"/>
              </w:tabs>
              <w:spacing w:before="50" w:after="50"/>
              <w:jc w:val="center"/>
              <w:rPr>
                <w:bCs/>
                <w:noProof w:val="0"/>
                <w:color w:val="FFFFFF"/>
                <w:szCs w:val="16"/>
              </w:rPr>
            </w:pPr>
            <w:r w:rsidRPr="0049701B">
              <w:rPr>
                <w:bCs/>
                <w:noProof w:val="0"/>
                <w:color w:val="FFFFFF"/>
                <w:szCs w:val="16"/>
              </w:rPr>
              <w:t>Post-1989 forest</w:t>
            </w:r>
            <w:r w:rsidRPr="0049701B">
              <w:rPr>
                <w:bCs/>
                <w:noProof w:val="0"/>
                <w:color w:val="FFFFFF"/>
                <w:szCs w:val="16"/>
              </w:rPr>
              <w:br/>
              <w:t>(ha)</w:t>
            </w:r>
          </w:p>
        </w:tc>
        <w:tc>
          <w:tcPr>
            <w:tcW w:w="1358" w:type="dxa"/>
            <w:shd w:val="clear" w:color="auto" w:fill="1B556B"/>
            <w:vAlign w:val="bottom"/>
            <w:hideMark/>
          </w:tcPr>
          <w:p w14:paraId="02434D1E" w14:textId="77777777" w:rsidR="00616641" w:rsidRPr="0049701B" w:rsidRDefault="00616641" w:rsidP="007E3239">
            <w:pPr>
              <w:pStyle w:val="TableTextBold"/>
              <w:keepNext/>
              <w:tabs>
                <w:tab w:val="left" w:pos="3544"/>
              </w:tabs>
              <w:spacing w:before="50" w:after="50"/>
              <w:jc w:val="center"/>
              <w:rPr>
                <w:bCs/>
                <w:noProof w:val="0"/>
                <w:color w:val="FFFFFF"/>
                <w:szCs w:val="16"/>
              </w:rPr>
            </w:pPr>
            <w:r w:rsidRPr="0049701B">
              <w:rPr>
                <w:bCs/>
                <w:noProof w:val="0"/>
                <w:color w:val="FFFFFF"/>
                <w:szCs w:val="16"/>
              </w:rPr>
              <w:t>Total</w:t>
            </w:r>
            <w:r w:rsidRPr="0049701B">
              <w:rPr>
                <w:bCs/>
                <w:noProof w:val="0"/>
                <w:color w:val="FFFFFF"/>
                <w:szCs w:val="16"/>
              </w:rPr>
              <w:br/>
              <w:t>(ha)</w:t>
            </w:r>
          </w:p>
        </w:tc>
      </w:tr>
      <w:tr w:rsidR="00616641" w:rsidRPr="0049701B" w14:paraId="7609A569" w14:textId="77777777" w:rsidTr="007E3239">
        <w:tc>
          <w:tcPr>
            <w:tcW w:w="1260" w:type="dxa"/>
          </w:tcPr>
          <w:p w14:paraId="65602B9A" w14:textId="77777777" w:rsidR="00616641" w:rsidRPr="0049701B" w:rsidRDefault="00616641" w:rsidP="007E3239">
            <w:pPr>
              <w:pStyle w:val="TableText"/>
            </w:pPr>
            <w:r w:rsidRPr="0049701B">
              <w:t>2017</w:t>
            </w:r>
          </w:p>
        </w:tc>
        <w:tc>
          <w:tcPr>
            <w:tcW w:w="1960" w:type="dxa"/>
            <w:shd w:val="clear" w:color="auto" w:fill="auto"/>
            <w:noWrap/>
            <w:vAlign w:val="center"/>
            <w:hideMark/>
          </w:tcPr>
          <w:p w14:paraId="3575A2AA" w14:textId="77777777" w:rsidR="00616641" w:rsidRPr="0049701B" w:rsidRDefault="00616641" w:rsidP="007E3239">
            <w:pPr>
              <w:pStyle w:val="TableText"/>
              <w:jc w:val="center"/>
              <w:rPr>
                <w:bCs/>
              </w:rPr>
            </w:pPr>
            <w:r w:rsidRPr="0049701B">
              <w:t>838</w:t>
            </w:r>
          </w:p>
        </w:tc>
        <w:tc>
          <w:tcPr>
            <w:tcW w:w="2112" w:type="dxa"/>
            <w:shd w:val="clear" w:color="auto" w:fill="auto"/>
            <w:noWrap/>
            <w:vAlign w:val="center"/>
            <w:hideMark/>
          </w:tcPr>
          <w:p w14:paraId="7CEE26ED" w14:textId="77777777" w:rsidR="00616641" w:rsidRPr="0049701B" w:rsidRDefault="00616641" w:rsidP="007E3239">
            <w:pPr>
              <w:pStyle w:val="TableText"/>
              <w:jc w:val="center"/>
            </w:pPr>
            <w:r w:rsidRPr="0049701B">
              <w:t>16,927</w:t>
            </w:r>
          </w:p>
        </w:tc>
        <w:tc>
          <w:tcPr>
            <w:tcW w:w="1810" w:type="dxa"/>
            <w:shd w:val="clear" w:color="auto" w:fill="auto"/>
            <w:vAlign w:val="center"/>
          </w:tcPr>
          <w:p w14:paraId="575843C3" w14:textId="77777777" w:rsidR="00616641" w:rsidRPr="0049701B" w:rsidRDefault="00616641" w:rsidP="007E3239">
            <w:pPr>
              <w:pStyle w:val="TableText"/>
              <w:jc w:val="center"/>
            </w:pPr>
            <w:r w:rsidRPr="0049701B">
              <w:t>9,282</w:t>
            </w:r>
          </w:p>
        </w:tc>
        <w:tc>
          <w:tcPr>
            <w:tcW w:w="1358" w:type="dxa"/>
            <w:shd w:val="clear" w:color="auto" w:fill="auto"/>
            <w:noWrap/>
            <w:vAlign w:val="center"/>
            <w:hideMark/>
          </w:tcPr>
          <w:p w14:paraId="702C7ECE" w14:textId="77777777" w:rsidR="00616641" w:rsidRPr="0049701B" w:rsidRDefault="00616641" w:rsidP="007E3239">
            <w:pPr>
              <w:pStyle w:val="TableText"/>
              <w:jc w:val="center"/>
            </w:pPr>
            <w:r w:rsidRPr="0049701B">
              <w:t>27,046</w:t>
            </w:r>
          </w:p>
        </w:tc>
      </w:tr>
    </w:tbl>
    <w:p w14:paraId="6B1BA1A8" w14:textId="77777777" w:rsidR="00616641" w:rsidRPr="0049701B" w:rsidRDefault="00616641" w:rsidP="00616641">
      <w:pPr>
        <w:pStyle w:val="Noteundertable"/>
      </w:pPr>
      <w:bookmarkStart w:id="2970" w:name="_Toc261513301"/>
      <w:bookmarkStart w:id="2971" w:name="_Toc261513914"/>
      <w:bookmarkStart w:id="2972" w:name="_Toc280630404"/>
      <w:bookmarkStart w:id="2973" w:name="_Toc310423468"/>
      <w:bookmarkStart w:id="2974" w:name="_Toc342470736"/>
      <w:bookmarkStart w:id="2975" w:name="_Toc352504895"/>
      <w:bookmarkStart w:id="2976" w:name="_Toc377043728"/>
      <w:bookmarkStart w:id="2977" w:name="_Toc391023465"/>
      <w:bookmarkStart w:id="2978" w:name="_Toc400967266"/>
      <w:r w:rsidRPr="0049701B">
        <w:rPr>
          <w:b/>
        </w:rPr>
        <w:t>Note</w:t>
      </w:r>
      <w:r w:rsidRPr="0049701B">
        <w:t xml:space="preserve">: </w:t>
      </w:r>
      <w:r w:rsidRPr="0049701B">
        <w:tab/>
        <w:t>Rows may not total due to rounding. Completion of 2017 deforestation mapping will take place over the summer of 2021.</w:t>
      </w:r>
    </w:p>
    <w:p w14:paraId="1E159542" w14:textId="77777777" w:rsidR="00616641" w:rsidRPr="0049701B" w:rsidRDefault="00616641" w:rsidP="00616641">
      <w:pPr>
        <w:pStyle w:val="BodyText"/>
      </w:pPr>
      <w:r w:rsidRPr="0049701B">
        <w:lastRenderedPageBreak/>
        <w:t xml:space="preserve">No estimates of awaiting land for 2018, 2019 and 2020 have been made because land-use mapping has not been completed for these years. The </w:t>
      </w:r>
      <w:r w:rsidRPr="0049701B">
        <w:rPr>
          <w:i/>
          <w:spacing w:val="-2"/>
        </w:rPr>
        <w:t>Deforestation</w:t>
      </w:r>
      <w:r w:rsidRPr="0049701B">
        <w:t xml:space="preserve"> areas reported for 2018 to 2020 are provisional and based on survey estimates as described in chapter 6, section 6.2.3.</w:t>
      </w:r>
    </w:p>
    <w:p w14:paraId="3D0BB5C1" w14:textId="77777777" w:rsidR="00616641" w:rsidRPr="0049701B" w:rsidRDefault="00616641" w:rsidP="00616641">
      <w:pPr>
        <w:pStyle w:val="Heading2"/>
        <w:spacing w:before="280"/>
      </w:pPr>
      <w:bookmarkStart w:id="2979" w:name="_Toc261513302"/>
      <w:bookmarkStart w:id="2980" w:name="_Toc261513915"/>
      <w:bookmarkStart w:id="2981" w:name="_Toc280630405"/>
      <w:bookmarkStart w:id="2982" w:name="_Toc310423469"/>
      <w:bookmarkStart w:id="2983" w:name="_Toc342470737"/>
      <w:bookmarkStart w:id="2984" w:name="_Toc352504896"/>
      <w:bookmarkStart w:id="2985" w:name="_Toc377043729"/>
      <w:bookmarkStart w:id="2986" w:name="_Toc391023466"/>
      <w:bookmarkStart w:id="2987" w:name="_Toc400967269"/>
      <w:bookmarkStart w:id="2988" w:name="_Toc414531345"/>
      <w:bookmarkStart w:id="2989" w:name="_Toc456179174"/>
      <w:bookmarkStart w:id="2990" w:name="_Toc481751427"/>
      <w:bookmarkStart w:id="2991" w:name="_Toc522013966"/>
      <w:bookmarkStart w:id="2992" w:name="_Toc5269410"/>
      <w:bookmarkStart w:id="2993" w:name="_Toc36224450"/>
      <w:bookmarkStart w:id="2994" w:name="_Toc68786370"/>
      <w:bookmarkStart w:id="2995" w:name="_Toc99659176"/>
      <w:bookmarkEnd w:id="2970"/>
      <w:bookmarkEnd w:id="2971"/>
      <w:bookmarkEnd w:id="2972"/>
      <w:bookmarkEnd w:id="2973"/>
      <w:bookmarkEnd w:id="2974"/>
      <w:bookmarkEnd w:id="2975"/>
      <w:bookmarkEnd w:id="2976"/>
      <w:bookmarkEnd w:id="2977"/>
      <w:bookmarkEnd w:id="2978"/>
      <w:r w:rsidRPr="0049701B">
        <w:t>11.6</w:t>
      </w:r>
      <w:r w:rsidRPr="0049701B">
        <w:tab/>
        <w:t>Other information</w:t>
      </w:r>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p>
    <w:p w14:paraId="05489079" w14:textId="316E3882" w:rsidR="00616641" w:rsidRPr="0049701B" w:rsidRDefault="00616641" w:rsidP="00616641">
      <w:pPr>
        <w:pStyle w:val="Heading3"/>
        <w:spacing w:before="160"/>
      </w:pPr>
      <w:bookmarkStart w:id="2996" w:name="_Toc261513303"/>
      <w:bookmarkStart w:id="2997" w:name="_Toc261513916"/>
      <w:bookmarkStart w:id="2998" w:name="_Toc280630406"/>
      <w:bookmarkStart w:id="2999" w:name="_Toc377043730"/>
      <w:bookmarkStart w:id="3000" w:name="_Toc400967270"/>
      <w:r w:rsidRPr="0049701B">
        <w:t>11.6.1</w:t>
      </w:r>
      <w:r w:rsidRPr="0049701B">
        <w:tab/>
        <w:t>Justification when omitting any carbon pool or greenhouse gas emissions from activities under Article 3.3 and</w:t>
      </w:r>
      <w:r w:rsidR="00391FD7">
        <w:t> </w:t>
      </w:r>
      <w:r w:rsidRPr="0049701B">
        <w:t>Article 3.4</w:t>
      </w:r>
    </w:p>
    <w:p w14:paraId="4BDB1FE3" w14:textId="77777777" w:rsidR="00616641" w:rsidRPr="0049701B" w:rsidRDefault="00616641" w:rsidP="00616641">
      <w:pPr>
        <w:pStyle w:val="BodyText"/>
      </w:pPr>
      <w:r w:rsidRPr="0049701B">
        <w:t>New Zealand has accounted for all carbon pools for mandatory reporting activities under Article 3.3 and Article 3.4 of the Kyoto Protocol. New Zealand has not elected any of the voluntary activities under Article 3.4.</w:t>
      </w:r>
    </w:p>
    <w:p w14:paraId="30632E91" w14:textId="77777777" w:rsidR="00616641" w:rsidRPr="0049701B" w:rsidRDefault="00616641" w:rsidP="00616641">
      <w:pPr>
        <w:pStyle w:val="BodyText"/>
        <w:spacing w:before="100" w:after="100"/>
      </w:pPr>
      <w:r w:rsidRPr="0049701B">
        <w:rPr>
          <w:i/>
          <w:spacing w:val="-2"/>
        </w:rPr>
        <w:t>Direct N</w:t>
      </w:r>
      <w:r w:rsidRPr="0049701B">
        <w:rPr>
          <w:i/>
          <w:spacing w:val="-2"/>
          <w:vertAlign w:val="subscript"/>
        </w:rPr>
        <w:t>2</w:t>
      </w:r>
      <w:r w:rsidRPr="0049701B">
        <w:rPr>
          <w:i/>
          <w:spacing w:val="-2"/>
        </w:rPr>
        <w:t>O emissions from nitrogen fertilisation</w:t>
      </w:r>
      <w:r w:rsidRPr="0049701B">
        <w:rPr>
          <w:spacing w:val="-2"/>
        </w:rPr>
        <w:t xml:space="preserve"> to land subject to </w:t>
      </w:r>
      <w:r w:rsidRPr="0049701B">
        <w:rPr>
          <w:i/>
          <w:spacing w:val="-2"/>
        </w:rPr>
        <w:t>Afforestation and reforestation</w:t>
      </w:r>
      <w:r w:rsidRPr="0049701B">
        <w:rPr>
          <w:spacing w:val="-2"/>
        </w:rPr>
        <w:t>,</w:t>
      </w:r>
      <w:r w:rsidRPr="0049701B">
        <w:t xml:space="preserve"> and </w:t>
      </w:r>
      <w:r w:rsidRPr="0049701B">
        <w:rPr>
          <w:i/>
        </w:rPr>
        <w:t>Indirect N</w:t>
      </w:r>
      <w:r w:rsidRPr="0049701B">
        <w:rPr>
          <w:i/>
          <w:vertAlign w:val="subscript"/>
        </w:rPr>
        <w:t>2</w:t>
      </w:r>
      <w:r w:rsidRPr="0049701B">
        <w:rPr>
          <w:i/>
        </w:rPr>
        <w:t>O emissions from managed soils</w:t>
      </w:r>
      <w:r w:rsidRPr="0049701B">
        <w:t xml:space="preserve"> are reported as IE, because these emissions are reported under the Agriculture sector (see chapter 5).</w:t>
      </w:r>
    </w:p>
    <w:p w14:paraId="67FE481D" w14:textId="77777777" w:rsidR="00616641" w:rsidRPr="0049701B" w:rsidRDefault="00616641" w:rsidP="00616641">
      <w:pPr>
        <w:pStyle w:val="Heading3"/>
        <w:spacing w:before="180"/>
      </w:pPr>
      <w:bookmarkStart w:id="3001" w:name="_Toc261513292"/>
      <w:bookmarkStart w:id="3002" w:name="_Toc261513905"/>
      <w:bookmarkStart w:id="3003" w:name="_Toc280630395"/>
      <w:r w:rsidRPr="0049701B">
        <w:t>11.6.2</w:t>
      </w:r>
      <w:r w:rsidRPr="0049701B">
        <w:tab/>
        <w:t>Factoring out information</w:t>
      </w:r>
      <w:bookmarkEnd w:id="3001"/>
      <w:bookmarkEnd w:id="3002"/>
      <w:bookmarkEnd w:id="3003"/>
    </w:p>
    <w:p w14:paraId="21217FC4" w14:textId="77777777" w:rsidR="00616641" w:rsidRPr="0049701B" w:rsidRDefault="00616641" w:rsidP="00616641">
      <w:pPr>
        <w:pStyle w:val="BodyText"/>
      </w:pPr>
      <w:r w:rsidRPr="0049701B">
        <w:t>New Zealand does not factor out from reporting either emissions or removals from:</w:t>
      </w:r>
    </w:p>
    <w:p w14:paraId="1D2F4604" w14:textId="77777777" w:rsidR="00616641" w:rsidRPr="0049701B" w:rsidRDefault="00616641" w:rsidP="00616641">
      <w:pPr>
        <w:pStyle w:val="Bullet"/>
        <w:numPr>
          <w:ilvl w:val="0"/>
          <w:numId w:val="18"/>
        </w:numPr>
      </w:pPr>
      <w:r w:rsidRPr="0049701B">
        <w:t>elevated CO</w:t>
      </w:r>
      <w:r w:rsidRPr="0049701B">
        <w:rPr>
          <w:vertAlign w:val="subscript"/>
        </w:rPr>
        <w:t>2</w:t>
      </w:r>
      <w:r w:rsidRPr="0049701B">
        <w:t xml:space="preserve"> concentrations above pre-industrial levels</w:t>
      </w:r>
    </w:p>
    <w:p w14:paraId="399DC9B1" w14:textId="77777777" w:rsidR="00616641" w:rsidRPr="0049701B" w:rsidRDefault="00616641" w:rsidP="00616641">
      <w:pPr>
        <w:pStyle w:val="Bullet"/>
        <w:numPr>
          <w:ilvl w:val="0"/>
          <w:numId w:val="18"/>
        </w:numPr>
      </w:pPr>
      <w:r w:rsidRPr="0049701B">
        <w:t>indirect nitrogen deposition</w:t>
      </w:r>
    </w:p>
    <w:p w14:paraId="754F54A7" w14:textId="77777777" w:rsidR="00616641" w:rsidRPr="0049701B" w:rsidRDefault="00616641" w:rsidP="00616641">
      <w:pPr>
        <w:pStyle w:val="Bullet"/>
        <w:numPr>
          <w:ilvl w:val="0"/>
          <w:numId w:val="18"/>
        </w:numPr>
      </w:pPr>
      <w:r w:rsidRPr="0049701B">
        <w:t xml:space="preserve">the dynamic effects of age structure resulting from activities before 1 January 1990. </w:t>
      </w:r>
    </w:p>
    <w:p w14:paraId="7F6F8433" w14:textId="77777777" w:rsidR="00616641" w:rsidRPr="0049701B" w:rsidRDefault="00616641" w:rsidP="00616641">
      <w:pPr>
        <w:pStyle w:val="BodyText"/>
      </w:pPr>
      <w:r w:rsidRPr="0049701B">
        <w:t xml:space="preserve">New Zealand applies a net–net approach thereby removing the need to factor out the above-mentioned processes. Net change in greenhouse gas emissions and removals are accounted for by comparing greenhouse gas emissions and removals during the commitment period with a benchmark business as usual scenario, the FMRL. </w:t>
      </w:r>
    </w:p>
    <w:p w14:paraId="742F8A57" w14:textId="77777777" w:rsidR="00616641" w:rsidRPr="0049701B" w:rsidRDefault="00616641" w:rsidP="00616641">
      <w:pPr>
        <w:pStyle w:val="Heading3"/>
        <w:spacing w:before="180"/>
      </w:pPr>
      <w:r w:rsidRPr="0049701B">
        <w:t xml:space="preserve">11.6.3 </w:t>
      </w:r>
      <w:r w:rsidRPr="0049701B">
        <w:tab/>
        <w:t xml:space="preserve">Key category analysis for Article 3.3 and Article 3.4 </w:t>
      </w:r>
      <w:bookmarkEnd w:id="2996"/>
      <w:bookmarkEnd w:id="2997"/>
      <w:bookmarkEnd w:id="2998"/>
      <w:r w:rsidRPr="0049701B">
        <w:t>activities (CRF NIR-3)</w:t>
      </w:r>
      <w:bookmarkEnd w:id="2999"/>
      <w:bookmarkEnd w:id="3000"/>
    </w:p>
    <w:p w14:paraId="5EDB2882" w14:textId="77777777" w:rsidR="00616641" w:rsidRPr="0049701B" w:rsidRDefault="00616641" w:rsidP="00616641">
      <w:pPr>
        <w:pStyle w:val="BodyText"/>
        <w:rPr>
          <w:spacing w:val="-2"/>
        </w:rPr>
      </w:pPr>
      <w:r w:rsidRPr="0049701B">
        <w:rPr>
          <w:i/>
          <w:spacing w:val="-2"/>
        </w:rPr>
        <w:t xml:space="preserve">Afforestation and reforestation, Deforestation </w:t>
      </w:r>
      <w:r w:rsidRPr="0049701B">
        <w:rPr>
          <w:iCs/>
          <w:spacing w:val="-2"/>
        </w:rPr>
        <w:t>and</w:t>
      </w:r>
      <w:r w:rsidRPr="0049701B">
        <w:rPr>
          <w:i/>
          <w:spacing w:val="-2"/>
        </w:rPr>
        <w:t xml:space="preserve"> Forest management </w:t>
      </w:r>
      <w:r w:rsidRPr="0049701B">
        <w:rPr>
          <w:iCs/>
          <w:spacing w:val="-2"/>
        </w:rPr>
        <w:t>are all included in key categories for New Zealand (</w:t>
      </w:r>
      <w:r w:rsidRPr="0049701B">
        <w:rPr>
          <w:i/>
          <w:spacing w:val="-2"/>
        </w:rPr>
        <w:t>Forest land remaining forest land</w:t>
      </w:r>
      <w:r w:rsidRPr="0049701B">
        <w:rPr>
          <w:iCs/>
          <w:spacing w:val="-2"/>
        </w:rPr>
        <w:t xml:space="preserve">, </w:t>
      </w:r>
      <w:r w:rsidRPr="0049701B">
        <w:rPr>
          <w:i/>
          <w:spacing w:val="-2"/>
        </w:rPr>
        <w:t xml:space="preserve">Land converted to forest land </w:t>
      </w:r>
      <w:r w:rsidRPr="0049701B">
        <w:rPr>
          <w:iCs/>
          <w:spacing w:val="-2"/>
        </w:rPr>
        <w:t xml:space="preserve">or </w:t>
      </w:r>
      <w:r w:rsidRPr="0049701B">
        <w:rPr>
          <w:i/>
          <w:spacing w:val="-2"/>
        </w:rPr>
        <w:t>Land converted to grassland</w:t>
      </w:r>
      <w:r w:rsidRPr="0049701B">
        <w:rPr>
          <w:iCs/>
          <w:spacing w:val="-2"/>
        </w:rPr>
        <w:t>)</w:t>
      </w:r>
      <w:r w:rsidRPr="0049701B">
        <w:rPr>
          <w:spacing w:val="-2"/>
        </w:rPr>
        <w:t>.</w:t>
      </w:r>
    </w:p>
    <w:p w14:paraId="18ADFBA4" w14:textId="77777777" w:rsidR="00616641" w:rsidRPr="0049701B" w:rsidRDefault="00616641" w:rsidP="00616641">
      <w:pPr>
        <w:pStyle w:val="Heading2"/>
        <w:spacing w:before="240"/>
      </w:pPr>
      <w:bookmarkStart w:id="3004" w:name="_Toc261513304"/>
      <w:bookmarkStart w:id="3005" w:name="_Toc261513917"/>
      <w:bookmarkStart w:id="3006" w:name="_Toc280630407"/>
      <w:bookmarkStart w:id="3007" w:name="_Toc310423470"/>
      <w:bookmarkStart w:id="3008" w:name="_Toc342470738"/>
      <w:bookmarkStart w:id="3009" w:name="_Toc352504897"/>
      <w:bookmarkStart w:id="3010" w:name="_Toc377043731"/>
      <w:bookmarkStart w:id="3011" w:name="_Toc391023467"/>
      <w:bookmarkStart w:id="3012" w:name="_Toc400967271"/>
      <w:bookmarkStart w:id="3013" w:name="_Toc414531346"/>
      <w:bookmarkStart w:id="3014" w:name="_Toc456179175"/>
      <w:bookmarkStart w:id="3015" w:name="_Toc481751428"/>
      <w:bookmarkStart w:id="3016" w:name="_Toc522013967"/>
      <w:bookmarkStart w:id="3017" w:name="_Toc5269411"/>
      <w:bookmarkStart w:id="3018" w:name="_Toc36224451"/>
      <w:bookmarkStart w:id="3019" w:name="_Toc68786371"/>
      <w:bookmarkStart w:id="3020" w:name="_Toc99659177"/>
      <w:r w:rsidRPr="0049701B">
        <w:t>11.7</w:t>
      </w:r>
      <w:r w:rsidRPr="0049701B">
        <w:tab/>
        <w:t>Information relating to Article 6</w:t>
      </w:r>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p>
    <w:p w14:paraId="659B7215" w14:textId="77777777" w:rsidR="00616641" w:rsidRDefault="00616641" w:rsidP="00616641">
      <w:pPr>
        <w:pStyle w:val="BodyText"/>
        <w:spacing w:before="100" w:after="0"/>
      </w:pPr>
      <w:r w:rsidRPr="0049701B">
        <w:t xml:space="preserve">New Zealand is not involved in any LULUCF activities under Article 6 of the Kyoto Protocol. </w:t>
      </w:r>
    </w:p>
    <w:p w14:paraId="17746F9D" w14:textId="77777777" w:rsidR="00616641" w:rsidRPr="0049701B" w:rsidRDefault="00616641" w:rsidP="00616641">
      <w:pPr>
        <w:pStyle w:val="BodyText"/>
        <w:spacing w:before="100" w:after="0"/>
      </w:pPr>
    </w:p>
    <w:p w14:paraId="68EAA7A9" w14:textId="77777777" w:rsidR="00616641" w:rsidRPr="0049701B" w:rsidRDefault="00616641" w:rsidP="00616641">
      <w:pPr>
        <w:pStyle w:val="Heading2"/>
        <w:pageBreakBefore/>
        <w:spacing w:before="0" w:after="360"/>
      </w:pPr>
      <w:bookmarkStart w:id="3021" w:name="_Toc68786372"/>
      <w:bookmarkStart w:id="3022" w:name="_Toc99659178"/>
      <w:r w:rsidRPr="0049701B">
        <w:lastRenderedPageBreak/>
        <w:t>Chapter 11: References</w:t>
      </w:r>
      <w:bookmarkEnd w:id="3021"/>
      <w:bookmarkEnd w:id="3022"/>
    </w:p>
    <w:p w14:paraId="0D2EDF21" w14:textId="77777777" w:rsidR="00616641" w:rsidRPr="0049701B" w:rsidRDefault="00616641" w:rsidP="00616641">
      <w:pPr>
        <w:pStyle w:val="References"/>
      </w:pPr>
      <w:r w:rsidRPr="0049701B">
        <w:t xml:space="preserve">Forest Industry Training and Education Council. 2005. </w:t>
      </w:r>
      <w:r w:rsidRPr="0049701B">
        <w:rPr>
          <w:i/>
        </w:rPr>
        <w:t>Best Practice Guidelines for Land Preparation</w:t>
      </w:r>
      <w:r w:rsidRPr="0049701B">
        <w:t xml:space="preserve">. Revised edn. Rotorua: Forest Industry Training and Education Council. </w:t>
      </w:r>
    </w:p>
    <w:p w14:paraId="5A32BB92" w14:textId="77777777" w:rsidR="00616641" w:rsidRPr="0049701B" w:rsidRDefault="00616641" w:rsidP="00616641">
      <w:pPr>
        <w:pStyle w:val="References"/>
      </w:pPr>
      <w:r w:rsidRPr="0049701B">
        <w:t xml:space="preserve">Goulding CJ. Unpublished. A Review of Current Deforestation Activities, Covering Age of Trees Harvested, Methods Used, and the Amount of Material Remaining. Contract report prepared for the Ministry for the Environment by New Zealand Forest Research Institute Limited (trading as Scion). </w:t>
      </w:r>
    </w:p>
    <w:p w14:paraId="6752ADEC" w14:textId="77777777" w:rsidR="00616641" w:rsidRPr="0049701B" w:rsidRDefault="00616641" w:rsidP="00616641">
      <w:pPr>
        <w:pStyle w:val="References"/>
      </w:pPr>
      <w:r w:rsidRPr="0049701B">
        <w:t xml:space="preserve">Indufor Asia Pacific. 2013. </w:t>
      </w:r>
      <w:r w:rsidRPr="0049701B">
        <w:rPr>
          <w:i/>
        </w:rPr>
        <w:t>Deforestation Mapping 2012 – Final Report</w:t>
      </w:r>
      <w:r w:rsidRPr="0049701B">
        <w:t>. Prepared for the Ministry for the Environment by Indufor Asia Pacific. Wellington: Ministry for the Environment.</w:t>
      </w:r>
    </w:p>
    <w:p w14:paraId="69E7276D" w14:textId="77777777" w:rsidR="00616641" w:rsidRPr="0049701B" w:rsidRDefault="00616641" w:rsidP="00616641">
      <w:pPr>
        <w:pStyle w:val="References"/>
      </w:pPr>
      <w:r w:rsidRPr="0049701B">
        <w:t xml:space="preserve">Indufor Asia Pacific. 2016. </w:t>
      </w:r>
      <w:r w:rsidRPr="0049701B">
        <w:rPr>
          <w:i/>
        </w:rPr>
        <w:t>Deforestation Mapping 2013 &amp; 2014 – Final Report</w:t>
      </w:r>
      <w:r w:rsidRPr="0049701B">
        <w:t>. Prepared for the Ministry for the Environment by Indufor Asia Pacific. Wellington: Ministry for the Environment.</w:t>
      </w:r>
    </w:p>
    <w:p w14:paraId="63E061A1" w14:textId="77777777" w:rsidR="00616641" w:rsidRPr="0049701B" w:rsidRDefault="00616641" w:rsidP="00616641">
      <w:pPr>
        <w:pStyle w:val="References"/>
      </w:pPr>
      <w:r w:rsidRPr="0049701B">
        <w:t>Indufor Asia Pacific. 2018.</w:t>
      </w:r>
      <w:r w:rsidRPr="0049701B">
        <w:rPr>
          <w:i/>
        </w:rPr>
        <w:t xml:space="preserve"> Deforestation Mapping 2015 &amp; 2016 – Final Report</w:t>
      </w:r>
      <w:r w:rsidRPr="0049701B">
        <w:t>. Prepared for the Ministry for the Environment by Indufor Asia Pacific. Wellington: Ministry for the Environment.</w:t>
      </w:r>
    </w:p>
    <w:p w14:paraId="320E3FF2" w14:textId="77777777" w:rsidR="00616641" w:rsidRPr="0049701B" w:rsidRDefault="00616641" w:rsidP="00616641">
      <w:pPr>
        <w:pStyle w:val="References"/>
      </w:pPr>
      <w:r w:rsidRPr="0049701B">
        <w:t xml:space="preserve">IPCC. 2006a. Eggleston HS, Buendia L, Miwa K, Ngara T, Tanabe K (eds). </w:t>
      </w:r>
      <w:r w:rsidRPr="0049701B">
        <w:rPr>
          <w:i/>
        </w:rPr>
        <w:t>2006</w:t>
      </w:r>
      <w:r w:rsidRPr="0049701B">
        <w:t xml:space="preserve"> </w:t>
      </w:r>
      <w:r w:rsidRPr="0049701B">
        <w:rPr>
          <w:i/>
        </w:rPr>
        <w:t>IPCC Guidelines for National Greenhouse Gas Inventories. Volume 4. Agriculture, Forestry and Other Land Use.</w:t>
      </w:r>
      <w:r w:rsidRPr="0049701B">
        <w:t xml:space="preserve"> </w:t>
      </w:r>
      <w:r w:rsidRPr="0049701B">
        <w:rPr>
          <w:i/>
        </w:rPr>
        <w:t>IPCC National</w:t>
      </w:r>
      <w:r>
        <w:rPr>
          <w:i/>
        </w:rPr>
        <w:t> </w:t>
      </w:r>
      <w:r w:rsidRPr="0049701B">
        <w:rPr>
          <w:i/>
        </w:rPr>
        <w:t>Greenhouse Gas Inventories Programme</w:t>
      </w:r>
      <w:r w:rsidRPr="0049701B">
        <w:t>. Japan: Published for the IPCC by the Institute for Global Environmental Strategies.</w:t>
      </w:r>
    </w:p>
    <w:p w14:paraId="67B7F450" w14:textId="77777777" w:rsidR="00616641" w:rsidRPr="0049701B" w:rsidRDefault="00616641" w:rsidP="00616641">
      <w:pPr>
        <w:pStyle w:val="References"/>
      </w:pPr>
      <w:r w:rsidRPr="0049701B">
        <w:t xml:space="preserve">IPCC. 2006b. Eggleston HS, Buendia L, Miwa K, Ngara T, Tanabe K (eds). </w:t>
      </w:r>
      <w:r w:rsidRPr="0049701B">
        <w:rPr>
          <w:i/>
        </w:rPr>
        <w:t>2006 IPCC General Guidance and</w:t>
      </w:r>
      <w:r>
        <w:rPr>
          <w:i/>
        </w:rPr>
        <w:t> </w:t>
      </w:r>
      <w:r w:rsidRPr="0049701B">
        <w:rPr>
          <w:i/>
        </w:rPr>
        <w:t>Reporting, Volume 1. IPCC National Greenhouse Gas Inventories Programme</w:t>
      </w:r>
      <w:r w:rsidRPr="0049701B">
        <w:t xml:space="preserve">. Japan: Published for the IPCC by the Institute for Global Environmental Strategies. </w:t>
      </w:r>
    </w:p>
    <w:p w14:paraId="17249342" w14:textId="77777777" w:rsidR="00616641" w:rsidRPr="0049701B" w:rsidRDefault="00616641" w:rsidP="00616641">
      <w:pPr>
        <w:pStyle w:val="References"/>
      </w:pPr>
      <w:r w:rsidRPr="0049701B">
        <w:t xml:space="preserve">IPCC. 2014a. Hiraishi T, Krug T, Tanabe K, Srivastava N, Baasansuren J, Fukuda M, Troxler TG (eds). </w:t>
      </w:r>
      <w:r w:rsidRPr="0049701B">
        <w:rPr>
          <w:i/>
          <w:iCs/>
        </w:rPr>
        <w:t>2013 Revised Supplementary Methods and Good Practice Guidance Arising from the Kyoto Protocol</w:t>
      </w:r>
      <w:r w:rsidRPr="0049701B">
        <w:t>. Switzerland: IPCC.</w:t>
      </w:r>
    </w:p>
    <w:p w14:paraId="7131F78E" w14:textId="77777777" w:rsidR="00616641" w:rsidRPr="0049701B" w:rsidRDefault="00616641" w:rsidP="00616641">
      <w:pPr>
        <w:pStyle w:val="References"/>
      </w:pPr>
      <w:r w:rsidRPr="0049701B">
        <w:t xml:space="preserve">Manley B. 2009. </w:t>
      </w:r>
      <w:r w:rsidRPr="0049701B">
        <w:rPr>
          <w:i/>
          <w:iCs/>
        </w:rPr>
        <w:t>2008 Deforestation Intentions Survey</w:t>
      </w:r>
      <w:r w:rsidRPr="0049701B">
        <w:t>. Contract report prepared for the Ministry of Agriculture and Forestry by New Zealand School of Forestry, University of Canterbury. Wellington: Ministry of Agriculture and Forestry.</w:t>
      </w:r>
    </w:p>
    <w:p w14:paraId="24F305B6" w14:textId="77777777" w:rsidR="00616641" w:rsidRPr="0049701B" w:rsidRDefault="00616641" w:rsidP="00616641">
      <w:pPr>
        <w:pStyle w:val="References"/>
      </w:pPr>
      <w:r w:rsidRPr="0049701B">
        <w:t xml:space="preserve">Manley B. 2019. </w:t>
      </w:r>
      <w:r w:rsidRPr="0049701B">
        <w:rPr>
          <w:i/>
        </w:rPr>
        <w:t>Deforestation Intentions Survey 2018</w:t>
      </w:r>
      <w:r w:rsidRPr="0049701B">
        <w:t>. Wellington: Ministry for Primary Industries.</w:t>
      </w:r>
    </w:p>
    <w:p w14:paraId="1A2EEC2A" w14:textId="77777777" w:rsidR="00616641" w:rsidRPr="0049701B" w:rsidRDefault="00616641" w:rsidP="00616641">
      <w:pPr>
        <w:pStyle w:val="References"/>
      </w:pPr>
      <w:r w:rsidRPr="0049701B">
        <w:t xml:space="preserve">Manley B. 2021. </w:t>
      </w:r>
      <w:r w:rsidRPr="0049701B">
        <w:rPr>
          <w:i/>
        </w:rPr>
        <w:t>Afforestation and Deforestation Intentions Survey 2020</w:t>
      </w:r>
      <w:r w:rsidRPr="0049701B">
        <w:t>. Wellington: Ministry for Primary Industries.</w:t>
      </w:r>
    </w:p>
    <w:p w14:paraId="1526C0F5" w14:textId="77777777" w:rsidR="00616641" w:rsidRPr="0049701B" w:rsidRDefault="00616641" w:rsidP="00616641">
      <w:pPr>
        <w:pStyle w:val="References"/>
      </w:pPr>
      <w:r w:rsidRPr="0049701B">
        <w:t xml:space="preserve">Ministry for Primary Industries. 2014. </w:t>
      </w:r>
      <w:r w:rsidRPr="0049701B">
        <w:rPr>
          <w:i/>
          <w:iCs/>
        </w:rPr>
        <w:t>Erosion Control Funding Programme (East Coast) (ECFP)</w:t>
      </w:r>
      <w:r w:rsidRPr="0049701B">
        <w:t xml:space="preserve">. Wellington: Ministry for Primary Industries. Retrieved from www.mpi.govt.nz/funding-and-programmes/forestry/erosion-control-funding-programme (18 January 2017). </w:t>
      </w:r>
    </w:p>
    <w:p w14:paraId="0AC5253D" w14:textId="77777777" w:rsidR="00616641" w:rsidRPr="0049701B" w:rsidRDefault="00616641" w:rsidP="00616641">
      <w:pPr>
        <w:pStyle w:val="References"/>
      </w:pPr>
      <w:r w:rsidRPr="0049701B">
        <w:rPr>
          <w:spacing w:val="-2"/>
        </w:rPr>
        <w:t xml:space="preserve">Ministry for Primary Industries. 2015a. </w:t>
      </w:r>
      <w:r w:rsidRPr="0049701B">
        <w:rPr>
          <w:i/>
          <w:iCs/>
          <w:spacing w:val="-2"/>
        </w:rPr>
        <w:t>Afforestation Grant Scheme</w:t>
      </w:r>
      <w:r w:rsidRPr="0049701B">
        <w:rPr>
          <w:spacing w:val="-2"/>
        </w:rPr>
        <w:t>. Wellington: Ministry for Primary Industries. Retrieved from www.mpi.govt.nz/funding-and-programmes/forestry/afforestation-grant-scheme</w:t>
      </w:r>
      <w:r w:rsidRPr="0049701B">
        <w:t xml:space="preserve"> (23 January 2018).</w:t>
      </w:r>
    </w:p>
    <w:p w14:paraId="48324B68" w14:textId="77777777" w:rsidR="00616641" w:rsidRPr="0049701B" w:rsidRDefault="00616641" w:rsidP="00616641">
      <w:pPr>
        <w:pStyle w:val="References"/>
      </w:pPr>
      <w:r w:rsidRPr="0049701B">
        <w:t xml:space="preserve">Ministry for Primary Industries. 2015b. </w:t>
      </w:r>
      <w:r w:rsidRPr="0049701B">
        <w:rPr>
          <w:i/>
          <w:iCs/>
        </w:rPr>
        <w:t>Guide to the</w:t>
      </w:r>
      <w:r w:rsidRPr="0049701B">
        <w:t xml:space="preserve"> </w:t>
      </w:r>
      <w:r w:rsidRPr="0049701B">
        <w:rPr>
          <w:i/>
          <w:iCs/>
        </w:rPr>
        <w:t>Permanent Forest Sink Initiative</w:t>
      </w:r>
      <w:r w:rsidRPr="0049701B">
        <w:t>. Wellington: Ministry for Primary Industries. Retrieved from www.mpi.govt.nz/funding-and-programmes/forestry/ permanent-forest-sink-initiative (23 January 2018).</w:t>
      </w:r>
    </w:p>
    <w:p w14:paraId="4C83C21A" w14:textId="77777777" w:rsidR="00616641" w:rsidRPr="0049701B" w:rsidRDefault="00616641" w:rsidP="00616641">
      <w:pPr>
        <w:pStyle w:val="References"/>
      </w:pPr>
      <w:r w:rsidRPr="0049701B">
        <w:t xml:space="preserve">Ministry for Primary Industries. 2015c. </w:t>
      </w:r>
      <w:r w:rsidRPr="0049701B">
        <w:rPr>
          <w:i/>
          <w:iCs/>
        </w:rPr>
        <w:t>Sustainable Land Management Hill Country Erosion Programme</w:t>
      </w:r>
      <w:r w:rsidRPr="0049701B">
        <w:t>. Wellington: Ministry for Primary Industries. Retrieved from www.mpi.govt.nz/funding-and-programmes/ environment-and-natural-resources/hill-country-erosion-programme (23 January 2018).</w:t>
      </w:r>
    </w:p>
    <w:p w14:paraId="75BA39CE" w14:textId="77777777" w:rsidR="00616641" w:rsidRPr="0049701B" w:rsidRDefault="00616641" w:rsidP="00616641">
      <w:pPr>
        <w:pStyle w:val="References"/>
      </w:pPr>
      <w:r w:rsidRPr="0049701B">
        <w:t>Ministry for Primary Industries. 2015d.</w:t>
      </w:r>
      <w:r w:rsidRPr="0049701B">
        <w:rPr>
          <w:i/>
          <w:iCs/>
        </w:rPr>
        <w:t xml:space="preserve"> An Overview of Forestry in the Emissions Trading Scheme</w:t>
      </w:r>
      <w:r w:rsidRPr="0049701B">
        <w:t>. Wellington: Ministry for Primary Industries. Retrieved from www.mpi.govt.nz/growing-and-harvesting/ forestry/forestry-in-the-emissions-trading-scheme (8 January 2018).</w:t>
      </w:r>
    </w:p>
    <w:p w14:paraId="0448964A" w14:textId="77777777" w:rsidR="00616641" w:rsidRPr="0049701B" w:rsidRDefault="00616641" w:rsidP="00616641">
      <w:pPr>
        <w:pStyle w:val="References"/>
      </w:pPr>
      <w:r w:rsidRPr="0049701B">
        <w:t>Ministry for Primary Industries. 2020a</w:t>
      </w:r>
      <w:r w:rsidRPr="0049701B">
        <w:rPr>
          <w:i/>
        </w:rPr>
        <w:t>. Forestry and wood processing data</w:t>
      </w:r>
      <w:r w:rsidRPr="0049701B">
        <w:t xml:space="preserve">. Wellington: Ministry for Primary Industries. Retrieved from www.mpi.govt.nz/forestry/new-zealand-forests-forest-industry/forestry/wood-processing/ (4 February 2021). </w:t>
      </w:r>
    </w:p>
    <w:p w14:paraId="6FBA517F" w14:textId="77777777" w:rsidR="00616641" w:rsidRPr="0049701B" w:rsidRDefault="00616641" w:rsidP="00616641">
      <w:pPr>
        <w:pStyle w:val="References"/>
      </w:pPr>
      <w:r w:rsidRPr="0049701B">
        <w:lastRenderedPageBreak/>
        <w:t xml:space="preserve">Ministry for Primary Industries. 2020b. </w:t>
      </w:r>
      <w:r w:rsidRPr="0049701B">
        <w:rPr>
          <w:i/>
          <w:iCs/>
        </w:rPr>
        <w:t>National Exotic Forest Description as at 1 April 2019</w:t>
      </w:r>
      <w:r w:rsidRPr="0049701B">
        <w:t>. Wellington: Ministry for Primary Industries.</w:t>
      </w:r>
    </w:p>
    <w:p w14:paraId="59D57351" w14:textId="77777777" w:rsidR="00616641" w:rsidRPr="0049701B" w:rsidRDefault="00616641" w:rsidP="00616641">
      <w:pPr>
        <w:pStyle w:val="References"/>
      </w:pPr>
      <w:r w:rsidRPr="0049701B">
        <w:rPr>
          <w:shd w:val="clear" w:color="auto" w:fill="FFFFFF"/>
        </w:rPr>
        <w:t>Ministry for Primary Industries. 2021. </w:t>
      </w:r>
      <w:r w:rsidRPr="0049701B">
        <w:rPr>
          <w:i/>
          <w:iCs/>
          <w:shd w:val="clear" w:color="auto" w:fill="FFFFFF"/>
        </w:rPr>
        <w:t xml:space="preserve">Quarterly </w:t>
      </w:r>
      <w:r w:rsidRPr="0049701B">
        <w:rPr>
          <w:i/>
          <w:iCs/>
        </w:rPr>
        <w:t>Production</w:t>
      </w:r>
      <w:r w:rsidRPr="0049701B">
        <w:rPr>
          <w:i/>
          <w:iCs/>
          <w:shd w:val="clear" w:color="auto" w:fill="FFFFFF"/>
        </w:rPr>
        <w:t xml:space="preserve"> Roundwood Removals from New Zealand Forests as at 30 June 2021</w:t>
      </w:r>
      <w:r w:rsidRPr="0049701B">
        <w:rPr>
          <w:shd w:val="clear" w:color="auto" w:fill="FFFFFF"/>
        </w:rPr>
        <w:t>. Wellington: Ministry for Primary Industries. Retrieved from www.mpi.govt.nz/forestry/new-zealand-forests-forest-industry/forestry/wood-processing (27 September 2021).</w:t>
      </w:r>
      <w:r w:rsidRPr="0049701B">
        <w:rPr>
          <w:rFonts w:cs="Calibri"/>
          <w:color w:val="000000"/>
          <w:szCs w:val="20"/>
          <w:shd w:val="clear" w:color="auto" w:fill="FFFFFF"/>
        </w:rPr>
        <w:t> </w:t>
      </w:r>
    </w:p>
    <w:p w14:paraId="6CB5BFC4" w14:textId="77777777" w:rsidR="00616641" w:rsidRPr="0049701B" w:rsidRDefault="00616641" w:rsidP="00616641">
      <w:pPr>
        <w:pStyle w:val="References"/>
      </w:pPr>
      <w:r w:rsidRPr="0049701B">
        <w:t xml:space="preserve">Ministry for the Environment. 2006. </w:t>
      </w:r>
      <w:r w:rsidRPr="0049701B">
        <w:rPr>
          <w:i/>
          <w:iCs/>
        </w:rPr>
        <w:t>New Zealand’s Initial Report under the Kyoto Protocol</w:t>
      </w:r>
      <w:r w:rsidRPr="0049701B">
        <w:t>. Wellington: Ministry for the Environment. Retrieved from www.mfe.govt.nz/publications/climate-change/new-zealand%E2%80%99s-initial-report-under-kyoto-protocol (23 January 2018).</w:t>
      </w:r>
    </w:p>
    <w:p w14:paraId="138ABE23" w14:textId="77777777" w:rsidR="00616641" w:rsidRPr="0049701B" w:rsidRDefault="00616641" w:rsidP="00616641">
      <w:pPr>
        <w:pStyle w:val="References"/>
      </w:pPr>
      <w:r w:rsidRPr="0049701B">
        <w:t xml:space="preserve">Ministry for the Environment. 2012. </w:t>
      </w:r>
      <w:r w:rsidRPr="0049701B">
        <w:rPr>
          <w:i/>
          <w:iCs/>
        </w:rPr>
        <w:t>Land Use and Carbon Analysis System: Satellite imagery interpretation guide for land-use classes</w:t>
      </w:r>
      <w:r w:rsidRPr="0049701B">
        <w:t>. 2nd edn. Wellington: Ministry for the Environment.</w:t>
      </w:r>
    </w:p>
    <w:p w14:paraId="4CAD08F9" w14:textId="77777777" w:rsidR="00616641" w:rsidRPr="0049701B" w:rsidRDefault="00616641" w:rsidP="00616641">
      <w:pPr>
        <w:pStyle w:val="References"/>
      </w:pPr>
      <w:r w:rsidRPr="0049701B">
        <w:t xml:space="preserve">Ministry for the Environment. 2015. </w:t>
      </w:r>
      <w:r w:rsidRPr="0049701B">
        <w:rPr>
          <w:i/>
        </w:rPr>
        <w:t>New Zealand’s Greenhouse Gas Inventory 1990–2013</w:t>
      </w:r>
      <w:r w:rsidRPr="0049701B">
        <w:t>. Wellington: Ministry for the Environment.</w:t>
      </w:r>
    </w:p>
    <w:p w14:paraId="253E2481" w14:textId="77777777" w:rsidR="00616641" w:rsidRPr="0049701B" w:rsidRDefault="00616641" w:rsidP="00616641">
      <w:pPr>
        <w:pStyle w:val="References"/>
      </w:pPr>
      <w:r w:rsidRPr="0049701B">
        <w:t xml:space="preserve">Ministry of Agriculture and Forestry. 2002. </w:t>
      </w:r>
      <w:r w:rsidRPr="0049701B">
        <w:rPr>
          <w:i/>
          <w:iCs/>
        </w:rPr>
        <w:t>New Zealand Country Report.</w:t>
      </w:r>
      <w:r w:rsidRPr="0049701B">
        <w:t xml:space="preserve"> Montreal Process Criteria and Indicators for the Conservation and Sustainable Management of Temperate and Boreal Forests 2003. Ministry of Agriculture and Forestry Technical Paper No: 2002/21, December. Wellington: Ministry of Agriculture and Forestry.</w:t>
      </w:r>
    </w:p>
    <w:p w14:paraId="5C0B3FDB" w14:textId="77777777" w:rsidR="00616641" w:rsidRPr="0049701B" w:rsidRDefault="00616641" w:rsidP="00616641">
      <w:pPr>
        <w:pStyle w:val="References"/>
      </w:pPr>
      <w:r w:rsidRPr="0049701B">
        <w:t xml:space="preserve">Newsome P, Shepherd J, Meurk C, Samle M, Sutherland A, Heke H, Willoughby J. 2011. </w:t>
      </w:r>
      <w:r w:rsidRPr="0049701B">
        <w:rPr>
          <w:i/>
        </w:rPr>
        <w:t>2012 Kyoto Land Use Mapping Pilot – Regional image mosaics, environmentally-limiting factors, tree-line assessment and trial land use mapping</w:t>
      </w:r>
      <w:r w:rsidRPr="0049701B">
        <w:t>. Wellington: Ministry for the Environment.</w:t>
      </w:r>
    </w:p>
    <w:p w14:paraId="369D89FA" w14:textId="77777777" w:rsidR="00616641" w:rsidRPr="0049701B" w:rsidRDefault="00616641" w:rsidP="00616641">
      <w:pPr>
        <w:pStyle w:val="References"/>
      </w:pPr>
      <w:r w:rsidRPr="0049701B">
        <w:t xml:space="preserve">Rhodes D, Novis J. 2002. </w:t>
      </w:r>
      <w:r w:rsidRPr="0049701B">
        <w:rPr>
          <w:i/>
        </w:rPr>
        <w:t>The Impact of Incentives on the Development of Plantation Forest Resources in New Zealand</w:t>
      </w:r>
      <w:r w:rsidRPr="0049701B">
        <w:t>. MAF information paper no 45. MAF policy division. Wellington: Ministry of Agriculture and Forestry.</w:t>
      </w:r>
    </w:p>
    <w:p w14:paraId="54C3185B" w14:textId="77777777" w:rsidR="00616641" w:rsidRPr="0049701B" w:rsidRDefault="00616641" w:rsidP="00616641">
      <w:pPr>
        <w:pStyle w:val="References"/>
      </w:pPr>
      <w:r w:rsidRPr="0049701B">
        <w:t xml:space="preserve">Robertson KA. 1998. Loss of organic matter and carbon during slash burns in New Zealand exotic forests. </w:t>
      </w:r>
      <w:r w:rsidRPr="0049701B">
        <w:rPr>
          <w:i/>
        </w:rPr>
        <w:t>New Zealand Journal of Forestry Science</w:t>
      </w:r>
      <w:r w:rsidRPr="0049701B">
        <w:t xml:space="preserve"> 28(2): 221–241.</w:t>
      </w:r>
    </w:p>
    <w:p w14:paraId="5B8A4169" w14:textId="77777777" w:rsidR="00616641" w:rsidRPr="0049701B" w:rsidRDefault="00616641" w:rsidP="00616641">
      <w:pPr>
        <w:pStyle w:val="References"/>
      </w:pPr>
      <w:r w:rsidRPr="0049701B">
        <w:t xml:space="preserve">Te Uru Rākau. 2018. </w:t>
      </w:r>
      <w:r w:rsidRPr="0049701B">
        <w:rPr>
          <w:i/>
        </w:rPr>
        <w:t>One Billion Trees Fund.</w:t>
      </w:r>
      <w:r w:rsidRPr="0049701B">
        <w:t xml:space="preserve"> Wellington: Te Uru Rākau. Retrieved from www.mpi.govt.nz/funding-and-programmes/forestry/planting-one-billion-trees/one-billion-tree-fund (5 February 2019).</w:t>
      </w:r>
    </w:p>
    <w:p w14:paraId="61FC37A1" w14:textId="77777777" w:rsidR="00616641" w:rsidRPr="0049701B" w:rsidRDefault="00616641" w:rsidP="00616641">
      <w:pPr>
        <w:pStyle w:val="References"/>
      </w:pPr>
      <w:r w:rsidRPr="0049701B">
        <w:t>UNFCCC. 2006</w:t>
      </w:r>
      <w:r w:rsidRPr="0049701B">
        <w:rPr>
          <w:i/>
        </w:rPr>
        <w:t>. Report of the Conference of the Parties serving as the meeting of the Parties to the Kyoto Protocol on its first session, held at Montreal from 28 November to 10 December 2005: Addendum – Part 2: Action taken by the Conference of the Parties serving as the meeting of the Parties to the Kyoto Protocol at its first session</w:t>
      </w:r>
      <w:r w:rsidRPr="0049701B">
        <w:t>. FCCC/KP/CMP/2005/8/Add.3.</w:t>
      </w:r>
    </w:p>
    <w:p w14:paraId="23EEF734" w14:textId="77777777" w:rsidR="00616641" w:rsidRPr="0049701B" w:rsidRDefault="00616641" w:rsidP="00616641">
      <w:pPr>
        <w:pStyle w:val="References"/>
      </w:pPr>
      <w:r w:rsidRPr="0049701B">
        <w:t>UNFCCC. 2012</w:t>
      </w:r>
      <w:r w:rsidRPr="0049701B">
        <w:rPr>
          <w:i/>
        </w:rPr>
        <w:t>. Report of the Conference of the Parties serving as the meeting of the Parties to the Kyoto Protocol on its seventh session, held in Durban from 28 November to 11 December 2011: Addendum – Part 2: Action taken by the Conference of the Parties serving as the meeting of the Parties to the Kyoto Protocol at its seventh session</w:t>
      </w:r>
      <w:r w:rsidRPr="0049701B">
        <w:t>. FCCC/KP/CMP/2011/10/Add.1.</w:t>
      </w:r>
    </w:p>
    <w:p w14:paraId="218E45F5" w14:textId="77777777" w:rsidR="00616641" w:rsidRPr="0049701B" w:rsidRDefault="00616641" w:rsidP="00616641">
      <w:pPr>
        <w:pStyle w:val="References"/>
      </w:pPr>
      <w:r w:rsidRPr="0049701B">
        <w:t>UNFCCC. 2018. FCCC/ARR/2017/NZL. Report of the individual review of the annual submission of New Zealand submitted in 2017. Centralised Review.</w:t>
      </w:r>
    </w:p>
    <w:p w14:paraId="6A1E8717" w14:textId="77777777" w:rsidR="00616641" w:rsidRPr="0049701B" w:rsidRDefault="00616641" w:rsidP="00616641">
      <w:pPr>
        <w:pStyle w:val="References"/>
      </w:pPr>
      <w:r w:rsidRPr="0049701B">
        <w:t xml:space="preserve">Wakelin SJ. Unpublished(a). </w:t>
      </w:r>
      <w:r w:rsidRPr="0049701B">
        <w:rPr>
          <w:iCs/>
        </w:rPr>
        <w:t>Apportioning Wildfire Emissions to Forest Sub-categories in the National Greenhouse Gas Inventory</w:t>
      </w:r>
      <w:r w:rsidRPr="0049701B">
        <w:t>. Contract report prepared for the Ministry for the Environment by New Zealand Forest Research Institute Limited (trading as Scion) in 2011.</w:t>
      </w:r>
    </w:p>
    <w:p w14:paraId="30317B50" w14:textId="77777777" w:rsidR="00616641" w:rsidRPr="0049701B" w:rsidRDefault="00616641" w:rsidP="00616641">
      <w:pPr>
        <w:pStyle w:val="References"/>
      </w:pPr>
      <w:r w:rsidRPr="0049701B">
        <w:t xml:space="preserve">Wakelin SJ. Unpublished(b). </w:t>
      </w:r>
      <w:r w:rsidRPr="0049701B">
        <w:rPr>
          <w:iCs/>
        </w:rPr>
        <w:t>Controlled Biomass Burning Emissions for the 2011 Greenhouse Gas Inventory</w:t>
      </w:r>
      <w:r w:rsidRPr="0049701B">
        <w:t>. Contract report prepared for the Ministry for the Environment by New Zealand Forest Research Institute Limited (trading as Scion) in 2012.</w:t>
      </w:r>
    </w:p>
    <w:p w14:paraId="75546C7F" w14:textId="77777777" w:rsidR="00616641" w:rsidRPr="0049701B" w:rsidRDefault="00616641" w:rsidP="00616641">
      <w:pPr>
        <w:pStyle w:val="References"/>
      </w:pPr>
      <w:r w:rsidRPr="0049701B">
        <w:t xml:space="preserve">Wakelin SJ, Searles N, Lawrence D, Paul TSH. 2020. Estimating New Zealand’s harvested wood products carbon stocks and stock changes. </w:t>
      </w:r>
      <w:r w:rsidRPr="0049701B">
        <w:rPr>
          <w:i/>
          <w:iCs/>
        </w:rPr>
        <w:t>Carbon Balance and Management</w:t>
      </w:r>
      <w:r w:rsidRPr="0049701B">
        <w:t xml:space="preserve"> 15(10). </w:t>
      </w:r>
    </w:p>
    <w:p w14:paraId="39F22E1D" w14:textId="77777777" w:rsidR="00C86D92" w:rsidRDefault="00C86D92" w:rsidP="00616641">
      <w:pPr>
        <w:pStyle w:val="BodyText"/>
        <w:sectPr w:rsidR="00C86D92" w:rsidSect="00F816FA">
          <w:footerReference w:type="default" r:id="rId278"/>
          <w:pgSz w:w="11907" w:h="16840" w:code="9"/>
          <w:pgMar w:top="1418" w:right="1701" w:bottom="1418" w:left="1701" w:header="567" w:footer="567" w:gutter="0"/>
          <w:cols w:space="720"/>
        </w:sectPr>
      </w:pPr>
    </w:p>
    <w:p w14:paraId="312661D1" w14:textId="77777777" w:rsidR="000C2DED" w:rsidRPr="00D55370" w:rsidRDefault="000C2DED" w:rsidP="000C2DED">
      <w:pPr>
        <w:pStyle w:val="Heading1"/>
      </w:pPr>
      <w:bookmarkStart w:id="3023" w:name="_Toc235955564"/>
      <w:bookmarkStart w:id="3024" w:name="_Toc481751430"/>
      <w:bookmarkStart w:id="3025" w:name="_Toc511116645"/>
      <w:bookmarkStart w:id="3026" w:name="_Toc99659179"/>
      <w:r w:rsidRPr="00D55370">
        <w:lastRenderedPageBreak/>
        <w:t>Chapter 12</w:t>
      </w:r>
      <w:bookmarkEnd w:id="3023"/>
      <w:r w:rsidRPr="00D55370">
        <w:t>:</w:t>
      </w:r>
      <w:bookmarkStart w:id="3027" w:name="_Toc235955565"/>
      <w:r w:rsidRPr="00D55370">
        <w:t xml:space="preserve"> Information on accounting of the Kyoto Protocol units</w:t>
      </w:r>
      <w:bookmarkEnd w:id="3024"/>
      <w:bookmarkEnd w:id="3025"/>
      <w:bookmarkEnd w:id="3026"/>
      <w:bookmarkEnd w:id="3027"/>
    </w:p>
    <w:p w14:paraId="28834E9E" w14:textId="77777777" w:rsidR="000C2DED" w:rsidRPr="00D55370" w:rsidRDefault="000C2DED" w:rsidP="000C2DED">
      <w:pPr>
        <w:pStyle w:val="Heading2"/>
        <w:spacing w:before="240"/>
      </w:pPr>
      <w:bookmarkStart w:id="3028" w:name="_Toc235955566"/>
      <w:bookmarkStart w:id="3029" w:name="_Toc481751431"/>
      <w:bookmarkStart w:id="3030" w:name="_Toc511116646"/>
      <w:bookmarkStart w:id="3031" w:name="_Toc99659180"/>
      <w:r w:rsidRPr="00D55370">
        <w:t>12.1</w:t>
      </w:r>
      <w:r w:rsidRPr="00D55370">
        <w:tab/>
        <w:t>Background information</w:t>
      </w:r>
      <w:bookmarkEnd w:id="3028"/>
      <w:bookmarkEnd w:id="3029"/>
      <w:bookmarkEnd w:id="3030"/>
      <w:bookmarkEnd w:id="3031"/>
    </w:p>
    <w:p w14:paraId="506BC602" w14:textId="77777777" w:rsidR="000C2DED" w:rsidRPr="00526F0E" w:rsidRDefault="000C2DED" w:rsidP="000C2DED">
      <w:pPr>
        <w:pStyle w:val="Heading3"/>
        <w:spacing w:before="240"/>
      </w:pPr>
      <w:r w:rsidRPr="00D55370">
        <w:t>Assigned amount and commitment period reserve</w:t>
      </w:r>
    </w:p>
    <w:p w14:paraId="519826EC" w14:textId="77777777" w:rsidR="000C2DED" w:rsidRPr="00D55370" w:rsidRDefault="000C2DED" w:rsidP="000C2DED">
      <w:pPr>
        <w:pStyle w:val="BodyText"/>
      </w:pPr>
      <w:r w:rsidRPr="00D55370">
        <w:t>In January 2008, New Zealand’s national registry was issued with New Zealand’s assigned amount of 309,564,733 metric tonnes of carbon dioxide equivalent (CO</w:t>
      </w:r>
      <w:r w:rsidRPr="00D55370">
        <w:rPr>
          <w:vertAlign w:val="subscript"/>
        </w:rPr>
        <w:t>2</w:t>
      </w:r>
      <w:r w:rsidRPr="00D55370">
        <w:t>-e) for the first commitment period (CP1).</w:t>
      </w:r>
    </w:p>
    <w:p w14:paraId="551A10A9" w14:textId="77777777" w:rsidR="000C2DED" w:rsidRPr="00D55370" w:rsidRDefault="000C2DED" w:rsidP="000C2DED">
      <w:pPr>
        <w:pStyle w:val="BodyText"/>
        <w:rPr>
          <w:rFonts w:cs="Calibri"/>
        </w:rPr>
      </w:pPr>
      <w:r w:rsidRPr="00D55370">
        <w:rPr>
          <w:rFonts w:cs="Calibri"/>
        </w:rPr>
        <w:t>The commitment period reserve for the CP1 of 278,608,260 metric tonnes of CO</w:t>
      </w:r>
      <w:r w:rsidRPr="00D55370">
        <w:rPr>
          <w:rFonts w:cs="Calibri"/>
          <w:vertAlign w:val="subscript"/>
        </w:rPr>
        <w:t>2</w:t>
      </w:r>
      <w:r w:rsidRPr="00D55370">
        <w:rPr>
          <w:rFonts w:cs="Calibri"/>
        </w:rPr>
        <w:t>-e is 90 per cent of the assigned amount. The value of the commitment reserve for CP1 was fixed after the initial review in 2007. The number of units held in the national registry during CP1 could not fall below this amount.</w:t>
      </w:r>
    </w:p>
    <w:p w14:paraId="63FE16EF" w14:textId="77777777" w:rsidR="000C2DED" w:rsidRPr="00D55370" w:rsidRDefault="000C2DED" w:rsidP="000C2DED">
      <w:pPr>
        <w:pStyle w:val="Heading3"/>
        <w:spacing w:before="240"/>
      </w:pPr>
      <w:r w:rsidRPr="00D55370">
        <w:t>Holdings and transactions of Kyoto Protocol units</w:t>
      </w:r>
    </w:p>
    <w:p w14:paraId="25C2AC1D" w14:textId="2107D7F9" w:rsidR="000C2DED" w:rsidRPr="00D55370" w:rsidRDefault="000C2DED" w:rsidP="000C2DED">
      <w:pPr>
        <w:pStyle w:val="BodyText"/>
        <w:rPr>
          <w:rFonts w:cs="Calibri"/>
          <w:lang w:eastAsia="en-GB"/>
        </w:rPr>
      </w:pPr>
      <w:r w:rsidRPr="00D55370">
        <w:rPr>
          <w:rFonts w:cs="Calibri"/>
        </w:rPr>
        <w:t>Tables detailing holdings and transactions of commitment period units have been submitted tothe United Nations Framework Convention on Climate Change (UNFCCC) Secretariat electronically, and are also provided in the MS Excel worksheets available for download with this report from the Ministry for the Environment’s website (</w:t>
      </w:r>
      <w:hyperlink r:id="rId279" w:history="1">
        <w:r w:rsidRPr="000C2DED">
          <w:rPr>
            <w:rStyle w:val="Hyperlink"/>
            <w:rFonts w:cs="Calibri"/>
          </w:rPr>
          <w:t>environment.govt.nz/facts-and-science/climate-change/measuring-greenhouse-gas-emissions/about-new-zealands-greenhouse-gas-inventory</w:t>
        </w:r>
      </w:hyperlink>
      <w:r w:rsidRPr="00D55370">
        <w:rPr>
          <w:rFonts w:cs="Calibri"/>
        </w:rPr>
        <w:t>)</w:t>
      </w:r>
      <w:r w:rsidRPr="00D55370">
        <w:t xml:space="preserve">. </w:t>
      </w:r>
      <w:r w:rsidRPr="00D55370">
        <w:rPr>
          <w:rFonts w:cs="Calibri"/>
          <w:lang w:eastAsia="en-GB"/>
        </w:rPr>
        <w:t>Information on New Zealand’s submission of the standard electronic format is included in table 12.2.1.</w:t>
      </w:r>
    </w:p>
    <w:p w14:paraId="38518D7B" w14:textId="77777777" w:rsidR="000C2DED" w:rsidRPr="00D55370" w:rsidRDefault="000C2DED" w:rsidP="000C2DED">
      <w:pPr>
        <w:spacing w:before="120"/>
        <w:rPr>
          <w:rFonts w:cs="Calibri"/>
          <w:b/>
        </w:rPr>
      </w:pPr>
      <w:r w:rsidRPr="00D55370">
        <w:rPr>
          <w:rFonts w:cs="Calibri"/>
          <w:b/>
        </w:rPr>
        <w:t>General note</w:t>
      </w:r>
    </w:p>
    <w:p w14:paraId="2BAD8353" w14:textId="77777777" w:rsidR="000C2DED" w:rsidRPr="00D55370" w:rsidRDefault="000C2DED" w:rsidP="000C2DED">
      <w:pPr>
        <w:pStyle w:val="BodyText"/>
        <w:spacing w:after="60"/>
        <w:rPr>
          <w:rFonts w:cs="Calibri"/>
        </w:rPr>
      </w:pPr>
      <w:r w:rsidRPr="00D55370">
        <w:rPr>
          <w:rFonts w:cs="Calibri"/>
        </w:rPr>
        <w:t>Abbreviations used in this chapter include:</w:t>
      </w:r>
    </w:p>
    <w:p w14:paraId="3A93C040" w14:textId="77777777" w:rsidR="000C2DED" w:rsidRPr="00D55370" w:rsidRDefault="000C2DED" w:rsidP="000C2DED">
      <w:pPr>
        <w:spacing w:after="60"/>
        <w:rPr>
          <w:rFonts w:cs="Calibri"/>
        </w:rPr>
      </w:pPr>
      <w:r w:rsidRPr="00D55370">
        <w:rPr>
          <w:rFonts w:cs="Calibri"/>
        </w:rPr>
        <w:t>AAUs</w:t>
      </w:r>
      <w:r w:rsidRPr="00D55370">
        <w:rPr>
          <w:rFonts w:cs="Calibri"/>
        </w:rPr>
        <w:tab/>
      </w:r>
      <w:r w:rsidRPr="00D55370">
        <w:rPr>
          <w:rFonts w:cs="Calibri"/>
        </w:rPr>
        <w:tab/>
        <w:t>Assigned amount units</w:t>
      </w:r>
    </w:p>
    <w:p w14:paraId="51431A76" w14:textId="77777777" w:rsidR="000C2DED" w:rsidRPr="00D55370" w:rsidRDefault="000C2DED" w:rsidP="000C2DED">
      <w:pPr>
        <w:spacing w:after="60"/>
        <w:rPr>
          <w:rFonts w:cs="Calibri"/>
        </w:rPr>
      </w:pPr>
      <w:r w:rsidRPr="00D55370">
        <w:rPr>
          <w:rFonts w:cs="Calibri"/>
        </w:rPr>
        <w:t>ERUs</w:t>
      </w:r>
      <w:r w:rsidRPr="00D55370">
        <w:rPr>
          <w:rFonts w:cs="Calibri"/>
        </w:rPr>
        <w:tab/>
      </w:r>
      <w:r w:rsidRPr="00D55370">
        <w:rPr>
          <w:rFonts w:cs="Calibri"/>
        </w:rPr>
        <w:tab/>
        <w:t>Emission reduction units</w:t>
      </w:r>
    </w:p>
    <w:p w14:paraId="165AF816" w14:textId="77777777" w:rsidR="000C2DED" w:rsidRPr="00D55370" w:rsidRDefault="000C2DED" w:rsidP="000C2DED">
      <w:pPr>
        <w:spacing w:after="60"/>
        <w:rPr>
          <w:rFonts w:cs="Calibri"/>
        </w:rPr>
      </w:pPr>
      <w:r w:rsidRPr="00D55370">
        <w:rPr>
          <w:rFonts w:cs="Calibri"/>
        </w:rPr>
        <w:t>RMUs</w:t>
      </w:r>
      <w:r w:rsidRPr="00D55370">
        <w:rPr>
          <w:rFonts w:cs="Calibri"/>
        </w:rPr>
        <w:tab/>
      </w:r>
      <w:r w:rsidRPr="00D55370">
        <w:rPr>
          <w:rFonts w:cs="Calibri"/>
        </w:rPr>
        <w:tab/>
        <w:t>Removal units</w:t>
      </w:r>
    </w:p>
    <w:p w14:paraId="3AEC27F4" w14:textId="77777777" w:rsidR="000C2DED" w:rsidRPr="00D55370" w:rsidRDefault="000C2DED" w:rsidP="000C2DED">
      <w:pPr>
        <w:spacing w:after="60"/>
        <w:rPr>
          <w:rFonts w:cs="Calibri"/>
        </w:rPr>
      </w:pPr>
      <w:r w:rsidRPr="00D55370">
        <w:rPr>
          <w:rFonts w:cs="Calibri"/>
        </w:rPr>
        <w:t>CERs</w:t>
      </w:r>
      <w:r w:rsidRPr="00D55370">
        <w:rPr>
          <w:rFonts w:cs="Calibri"/>
        </w:rPr>
        <w:tab/>
      </w:r>
      <w:r w:rsidRPr="00D55370">
        <w:rPr>
          <w:rFonts w:cs="Calibri"/>
        </w:rPr>
        <w:tab/>
        <w:t>Certified emission reduction units</w:t>
      </w:r>
    </w:p>
    <w:p w14:paraId="10C58BD1" w14:textId="77777777" w:rsidR="000C2DED" w:rsidRPr="00D55370" w:rsidRDefault="000C2DED" w:rsidP="000C2DED">
      <w:pPr>
        <w:spacing w:after="60"/>
        <w:rPr>
          <w:rFonts w:cs="Calibri"/>
        </w:rPr>
      </w:pPr>
      <w:r w:rsidRPr="00D55370">
        <w:rPr>
          <w:rFonts w:cs="Calibri"/>
        </w:rPr>
        <w:t>tCERS</w:t>
      </w:r>
      <w:r w:rsidRPr="00D55370">
        <w:rPr>
          <w:rFonts w:cs="Calibri"/>
        </w:rPr>
        <w:tab/>
      </w:r>
      <w:r w:rsidRPr="00D55370">
        <w:rPr>
          <w:rFonts w:cs="Calibri"/>
        </w:rPr>
        <w:tab/>
        <w:t>Temporary certified emission reduction units</w:t>
      </w:r>
    </w:p>
    <w:p w14:paraId="0591920B" w14:textId="77777777" w:rsidR="000C2DED" w:rsidRPr="00D55370" w:rsidRDefault="000C2DED" w:rsidP="000C2DED">
      <w:pPr>
        <w:spacing w:after="60"/>
        <w:rPr>
          <w:rFonts w:cs="Calibri"/>
        </w:rPr>
      </w:pPr>
      <w:r w:rsidRPr="00D55370">
        <w:rPr>
          <w:rFonts w:cs="Calibri"/>
        </w:rPr>
        <w:t>lCERs</w:t>
      </w:r>
      <w:r w:rsidRPr="00D55370">
        <w:rPr>
          <w:rFonts w:cs="Calibri"/>
        </w:rPr>
        <w:tab/>
      </w:r>
      <w:r w:rsidRPr="00D55370">
        <w:rPr>
          <w:rFonts w:cs="Calibri"/>
        </w:rPr>
        <w:tab/>
        <w:t>Long-term certified emission reduction units</w:t>
      </w:r>
    </w:p>
    <w:p w14:paraId="3C9C5D8E" w14:textId="77777777" w:rsidR="000C2DED" w:rsidRPr="00D55370" w:rsidRDefault="000C2DED" w:rsidP="000C2DED">
      <w:pPr>
        <w:rPr>
          <w:rFonts w:cs="Calibri"/>
        </w:rPr>
      </w:pPr>
      <w:r w:rsidRPr="00D55370">
        <w:rPr>
          <w:rFonts w:cs="Calibri"/>
        </w:rPr>
        <w:t xml:space="preserve">CDM </w:t>
      </w:r>
      <w:r w:rsidRPr="00D55370">
        <w:rPr>
          <w:rFonts w:cs="Calibri"/>
        </w:rPr>
        <w:tab/>
      </w:r>
      <w:r w:rsidRPr="00D55370">
        <w:rPr>
          <w:rFonts w:cs="Calibri"/>
        </w:rPr>
        <w:tab/>
        <w:t>Clean Development Mechanism</w:t>
      </w:r>
    </w:p>
    <w:p w14:paraId="55BDD4D8" w14:textId="77777777" w:rsidR="000C2DED" w:rsidRPr="00D55370" w:rsidRDefault="000C2DED" w:rsidP="000C2DED">
      <w:pPr>
        <w:pStyle w:val="Heading2"/>
        <w:tabs>
          <w:tab w:val="left" w:pos="851"/>
        </w:tabs>
        <w:spacing w:before="280"/>
      </w:pPr>
      <w:bookmarkStart w:id="3032" w:name="_Toc235955567"/>
      <w:bookmarkStart w:id="3033" w:name="_Toc481751432"/>
      <w:bookmarkStart w:id="3034" w:name="_Toc99659181"/>
      <w:r w:rsidRPr="00D55370">
        <w:t>12.2</w:t>
      </w:r>
      <w:r w:rsidRPr="00D55370">
        <w:tab/>
        <w:t>Summary of the standard electronic format tables for reporting Kyoto Protocol units</w:t>
      </w:r>
      <w:bookmarkEnd w:id="3032"/>
      <w:bookmarkEnd w:id="3033"/>
      <w:bookmarkEnd w:id="3034"/>
    </w:p>
    <w:p w14:paraId="6E9B4E83" w14:textId="77777777" w:rsidR="000C2DED" w:rsidRPr="003164DB" w:rsidRDefault="000C2DED" w:rsidP="000C2DED">
      <w:pPr>
        <w:pStyle w:val="BodyText"/>
      </w:pPr>
      <w:r w:rsidRPr="00D55370">
        <w:t xml:space="preserve">At the beginning of the calendar year </w:t>
      </w:r>
      <w:r w:rsidRPr="003164DB">
        <w:rPr>
          <w:color w:val="000000"/>
        </w:rPr>
        <w:t>2021</w:t>
      </w:r>
      <w:r w:rsidRPr="003164DB">
        <w:t>, New Zealand’s national registry held 308,343,858 CP1 AAUs, 110,744,560 CP1 ERUs, 21,685,909 CP1 CERs and 100,845,399 CP1 RMUs. The number and mix of units held at the end of 2021 were the same as at the beginning of 2021, because no international transactions occurred during this period and this value includes the units retired to meet CP1 obligations. No second commitment period (CP2) units were held by New Zealand in 2021.</w:t>
      </w:r>
    </w:p>
    <w:p w14:paraId="571FF4F2" w14:textId="77777777" w:rsidR="000C2DED" w:rsidRPr="003164DB" w:rsidRDefault="000C2DED" w:rsidP="000C2DED">
      <w:pPr>
        <w:pStyle w:val="BodyText"/>
      </w:pPr>
      <w:r w:rsidRPr="003164DB">
        <w:lastRenderedPageBreak/>
        <w:t xml:space="preserve">At the end of </w:t>
      </w:r>
      <w:r w:rsidRPr="003164DB">
        <w:rPr>
          <w:color w:val="000000"/>
        </w:rPr>
        <w:t>2021</w:t>
      </w:r>
      <w:r w:rsidRPr="003164DB">
        <w:t xml:space="preserve">, the units held in New Zealand’s national registry remained at 308,343,858 AAUs, 110,744,560 ERUs, 21,685,909 CERs and 100,845,399 RMUs. </w:t>
      </w:r>
    </w:p>
    <w:p w14:paraId="0004BD69" w14:textId="77777777" w:rsidR="000C2DED" w:rsidRPr="00D55370" w:rsidRDefault="000C2DED" w:rsidP="000C2DED">
      <w:pPr>
        <w:pStyle w:val="BodyText"/>
      </w:pPr>
      <w:r w:rsidRPr="003164DB">
        <w:t xml:space="preserve">New Zealand’s national registry did not hold any tCERS or lCERs during </w:t>
      </w:r>
      <w:r w:rsidRPr="003164DB">
        <w:rPr>
          <w:color w:val="000000"/>
        </w:rPr>
        <w:t>2021</w:t>
      </w:r>
      <w:r w:rsidRPr="003164DB">
        <w:t>.</w:t>
      </w:r>
    </w:p>
    <w:p w14:paraId="50E32249" w14:textId="77777777" w:rsidR="000C2DED" w:rsidRPr="00D55370" w:rsidRDefault="000C2DED" w:rsidP="000C2DED">
      <w:pPr>
        <w:pStyle w:val="BodyText"/>
        <w:rPr>
          <w:rFonts w:cs="Calibri"/>
        </w:rPr>
      </w:pPr>
      <w:r w:rsidRPr="00D55370">
        <w:rPr>
          <w:rFonts w:cs="Calibri"/>
        </w:rPr>
        <w:t xml:space="preserve">The transactions made to New Zealand’s national registry during </w:t>
      </w:r>
      <w:r w:rsidRPr="00D55370">
        <w:rPr>
          <w:rFonts w:cs="Calibri"/>
          <w:color w:val="000000"/>
        </w:rPr>
        <w:t xml:space="preserve">2021 </w:t>
      </w:r>
      <w:r w:rsidRPr="00D55370">
        <w:rPr>
          <w:rFonts w:cs="Calibri"/>
        </w:rPr>
        <w:t>are summarised below.</w:t>
      </w:r>
    </w:p>
    <w:p w14:paraId="34A72CC1" w14:textId="77777777" w:rsidR="000C2DED" w:rsidRPr="00D55370" w:rsidRDefault="000C2DED" w:rsidP="000C2DED">
      <w:pPr>
        <w:pStyle w:val="Bullet"/>
        <w:rPr>
          <w:lang w:eastAsia="en-GB"/>
        </w:rPr>
      </w:pPr>
      <w:r w:rsidRPr="00D55370">
        <w:rPr>
          <w:lang w:eastAsia="en-GB"/>
        </w:rPr>
        <w:t xml:space="preserve">No </w:t>
      </w:r>
      <w:r w:rsidRPr="00D55370">
        <w:t>external</w:t>
      </w:r>
      <w:r w:rsidRPr="00D55370">
        <w:rPr>
          <w:lang w:eastAsia="en-GB"/>
        </w:rPr>
        <w:t xml:space="preserve"> transfers of Kyoto units occurred. A total of </w:t>
      </w:r>
      <w:r w:rsidRPr="00D55370">
        <w:rPr>
          <w:color w:val="000000"/>
          <w:lang w:eastAsia="en-GB"/>
        </w:rPr>
        <w:t>111,183 AAUs</w:t>
      </w:r>
      <w:r w:rsidRPr="00D55370">
        <w:rPr>
          <w:lang w:eastAsia="en-GB"/>
        </w:rPr>
        <w:t xml:space="preserve"> were subtracted internally through voluntary cancellation. </w:t>
      </w:r>
    </w:p>
    <w:p w14:paraId="0C6CAE79" w14:textId="77777777" w:rsidR="000C2DED" w:rsidRPr="00D55370" w:rsidRDefault="000C2DED" w:rsidP="000C2DED">
      <w:pPr>
        <w:pStyle w:val="Bullet"/>
        <w:rPr>
          <w:lang w:eastAsia="en-GB"/>
        </w:rPr>
      </w:pPr>
      <w:r w:rsidRPr="00D55370">
        <w:rPr>
          <w:lang w:eastAsia="en-GB"/>
        </w:rPr>
        <w:t xml:space="preserve">There </w:t>
      </w:r>
      <w:r w:rsidRPr="00D55370">
        <w:t>were</w:t>
      </w:r>
      <w:r w:rsidRPr="00D55370">
        <w:rPr>
          <w:lang w:eastAsia="en-GB"/>
        </w:rPr>
        <w:t xml:space="preserve"> no conversions to ERUs. No CP2 Kyoto units were held by New Zealand during the 2021 year.</w:t>
      </w:r>
    </w:p>
    <w:p w14:paraId="406E20F0" w14:textId="77777777" w:rsidR="000C2DED" w:rsidRPr="00D55370" w:rsidRDefault="000C2DED" w:rsidP="000C2DED">
      <w:pPr>
        <w:pStyle w:val="Table"/>
      </w:pPr>
      <w:bookmarkStart w:id="3035" w:name="_Toc481751639"/>
      <w:bookmarkStart w:id="3036" w:name="_Toc511116869"/>
      <w:bookmarkStart w:id="3037" w:name="_Toc99659402"/>
      <w:r w:rsidRPr="00D55370">
        <w:t>Table 12.2.1</w:t>
      </w:r>
      <w:r w:rsidRPr="00D55370">
        <w:tab/>
        <w:t>New Zealand’s submission of the standard electronic format</w:t>
      </w:r>
      <w:bookmarkEnd w:id="3035"/>
      <w:bookmarkEnd w:id="3036"/>
      <w:bookmarkEnd w:id="3037"/>
    </w:p>
    <w:tbl>
      <w:tblPr>
        <w:tblW w:w="8505" w:type="dxa"/>
        <w:tblInd w:w="108" w:type="dxa"/>
        <w:tblBorders>
          <w:top w:val="single" w:sz="4" w:space="0" w:color="1B556B"/>
          <w:bottom w:val="single" w:sz="4" w:space="0" w:color="1B556B"/>
          <w:insideH w:val="single" w:sz="4" w:space="0" w:color="1B556B"/>
          <w:insideV w:val="single" w:sz="4" w:space="0" w:color="1B556B"/>
        </w:tblBorders>
        <w:tblLook w:val="01E0" w:firstRow="1" w:lastRow="1" w:firstColumn="1" w:lastColumn="1" w:noHBand="0" w:noVBand="0"/>
      </w:tblPr>
      <w:tblGrid>
        <w:gridCol w:w="2694"/>
        <w:gridCol w:w="5811"/>
      </w:tblGrid>
      <w:tr w:rsidR="000C2DED" w:rsidRPr="00D55370" w14:paraId="644D16F6" w14:textId="77777777" w:rsidTr="0088257A">
        <w:tc>
          <w:tcPr>
            <w:tcW w:w="2694" w:type="dxa"/>
            <w:shd w:val="clear" w:color="auto" w:fill="1B556B"/>
          </w:tcPr>
          <w:p w14:paraId="5BF26DE1" w14:textId="77777777" w:rsidR="000C2DED" w:rsidRPr="00D55370" w:rsidRDefault="000C2DED" w:rsidP="0088257A">
            <w:pPr>
              <w:pStyle w:val="TableTextBold"/>
              <w:rPr>
                <w:rFonts w:eastAsia="Calibri" w:cs="Calibri"/>
                <w:noProof w:val="0"/>
                <w:color w:val="FFFFFF"/>
              </w:rPr>
            </w:pPr>
            <w:r w:rsidRPr="00D55370">
              <w:rPr>
                <w:rFonts w:eastAsia="Calibri" w:cs="Calibri"/>
                <w:noProof w:val="0"/>
                <w:color w:val="FFFFFF"/>
              </w:rPr>
              <w:t>Annual submission item</w:t>
            </w:r>
          </w:p>
        </w:tc>
        <w:tc>
          <w:tcPr>
            <w:tcW w:w="5811" w:type="dxa"/>
            <w:shd w:val="clear" w:color="auto" w:fill="1B556B"/>
          </w:tcPr>
          <w:p w14:paraId="7E6E30A5" w14:textId="77777777" w:rsidR="000C2DED" w:rsidRPr="00D55370" w:rsidRDefault="000C2DED" w:rsidP="0088257A">
            <w:pPr>
              <w:pStyle w:val="TableTextBold"/>
              <w:rPr>
                <w:rFonts w:eastAsia="Calibri" w:cs="Calibri"/>
                <w:noProof w:val="0"/>
                <w:color w:val="FFFFFF"/>
              </w:rPr>
            </w:pPr>
            <w:r w:rsidRPr="00D55370">
              <w:rPr>
                <w:rFonts w:eastAsia="Calibri" w:cs="Calibri"/>
                <w:noProof w:val="0"/>
                <w:color w:val="FFFFFF"/>
              </w:rPr>
              <w:t>New Zealand’s national registry response</w:t>
            </w:r>
          </w:p>
        </w:tc>
      </w:tr>
      <w:tr w:rsidR="000C2DED" w:rsidRPr="00D55370" w14:paraId="2F112C75" w14:textId="77777777" w:rsidTr="0088257A">
        <w:tc>
          <w:tcPr>
            <w:tcW w:w="2694" w:type="dxa"/>
            <w:shd w:val="clear" w:color="auto" w:fill="auto"/>
          </w:tcPr>
          <w:p w14:paraId="7C76C04B" w14:textId="77777777" w:rsidR="000C2DED" w:rsidRPr="00D55370" w:rsidRDefault="000C2DED" w:rsidP="0088257A">
            <w:pPr>
              <w:pStyle w:val="TableText"/>
              <w:rPr>
                <w:rFonts w:eastAsia="Calibri" w:cs="Calibri"/>
              </w:rPr>
            </w:pPr>
            <w:r w:rsidRPr="00D55370">
              <w:rPr>
                <w:rFonts w:eastAsia="Calibri" w:cs="Calibri"/>
              </w:rPr>
              <w:t>15/CMP.1 annex I.E paragraph 11: Standard electronic format (SEF)</w:t>
            </w:r>
          </w:p>
        </w:tc>
        <w:tc>
          <w:tcPr>
            <w:tcW w:w="5811" w:type="dxa"/>
            <w:shd w:val="clear" w:color="auto" w:fill="auto"/>
          </w:tcPr>
          <w:p w14:paraId="72BBF0C8" w14:textId="77777777" w:rsidR="000C2DED" w:rsidRPr="00D55370" w:rsidRDefault="000C2DED" w:rsidP="0088257A">
            <w:pPr>
              <w:pStyle w:val="TableText"/>
              <w:rPr>
                <w:rFonts w:eastAsia="Calibri" w:cs="Calibri"/>
              </w:rPr>
            </w:pPr>
            <w:r w:rsidRPr="00D55370">
              <w:rPr>
                <w:rFonts w:eastAsia="Calibri" w:cs="Calibri"/>
              </w:rPr>
              <w:t>The standard electronic format reports for 2021 first and second commitment period units have been submitted to the UNFCCC Secretariat electronically.</w:t>
            </w:r>
          </w:p>
        </w:tc>
      </w:tr>
    </w:tbl>
    <w:p w14:paraId="40E34B76" w14:textId="77777777" w:rsidR="000C2DED" w:rsidRPr="00D55370" w:rsidRDefault="000C2DED" w:rsidP="000C2DED">
      <w:pPr>
        <w:pStyle w:val="Heading2"/>
      </w:pPr>
      <w:bookmarkStart w:id="3038" w:name="_Toc481751433"/>
      <w:bookmarkStart w:id="3039" w:name="_Toc511116647"/>
      <w:bookmarkStart w:id="3040" w:name="_Toc99659182"/>
      <w:r w:rsidRPr="00D55370">
        <w:t>12.3</w:t>
      </w:r>
      <w:r w:rsidRPr="00D55370">
        <w:tab/>
        <w:t>Discrepancies and notifications</w:t>
      </w:r>
      <w:bookmarkEnd w:id="3038"/>
      <w:bookmarkEnd w:id="3039"/>
      <w:bookmarkEnd w:id="3040"/>
    </w:p>
    <w:p w14:paraId="6AD2C83A" w14:textId="77777777" w:rsidR="000C2DED" w:rsidRPr="00D55370" w:rsidRDefault="000C2DED" w:rsidP="000C2DED">
      <w:pPr>
        <w:pStyle w:val="BodyText"/>
      </w:pPr>
      <w:r w:rsidRPr="00D55370">
        <w:t>New Zealand has not received any notification of discrepancies, failures or invalid units (see table 12.3.1).</w:t>
      </w:r>
    </w:p>
    <w:p w14:paraId="33585B86" w14:textId="77777777" w:rsidR="000C2DED" w:rsidRPr="00D55370" w:rsidRDefault="000C2DED" w:rsidP="000C2DED">
      <w:pPr>
        <w:pStyle w:val="Table"/>
        <w:rPr>
          <w:rFonts w:cs="Calibri"/>
          <w:szCs w:val="18"/>
        </w:rPr>
      </w:pPr>
      <w:bookmarkStart w:id="3041" w:name="_Toc481751642"/>
      <w:bookmarkStart w:id="3042" w:name="_Toc511116870"/>
      <w:bookmarkStart w:id="3043" w:name="_Toc99659403"/>
      <w:r w:rsidRPr="00D55370">
        <w:rPr>
          <w:rFonts w:cs="Calibri"/>
          <w:szCs w:val="18"/>
        </w:rPr>
        <w:t>Table 12.3.1</w:t>
      </w:r>
      <w:r w:rsidRPr="00D55370">
        <w:rPr>
          <w:rFonts w:cs="Calibri"/>
          <w:szCs w:val="18"/>
        </w:rPr>
        <w:tab/>
        <w:t>Discrepancies and notifications from New Zealand’s national registry</w:t>
      </w:r>
      <w:bookmarkEnd w:id="3041"/>
      <w:bookmarkEnd w:id="3042"/>
      <w:bookmarkEnd w:id="3043"/>
    </w:p>
    <w:tbl>
      <w:tblPr>
        <w:tblW w:w="8505" w:type="dxa"/>
        <w:tblInd w:w="108" w:type="dxa"/>
        <w:tblBorders>
          <w:top w:val="single" w:sz="4" w:space="0" w:color="1B556B"/>
          <w:bottom w:val="single" w:sz="4" w:space="0" w:color="1B556B"/>
          <w:insideH w:val="single" w:sz="4" w:space="0" w:color="1B556B"/>
          <w:insideV w:val="single" w:sz="4" w:space="0" w:color="1B556B"/>
        </w:tblBorders>
        <w:tblLook w:val="01E0" w:firstRow="1" w:lastRow="1" w:firstColumn="1" w:lastColumn="1" w:noHBand="0" w:noVBand="0"/>
      </w:tblPr>
      <w:tblGrid>
        <w:gridCol w:w="4081"/>
        <w:gridCol w:w="4424"/>
      </w:tblGrid>
      <w:tr w:rsidR="000C2DED" w:rsidRPr="00D55370" w14:paraId="0A8F79F2" w14:textId="77777777" w:rsidTr="0088257A">
        <w:tc>
          <w:tcPr>
            <w:tcW w:w="3958" w:type="dxa"/>
            <w:shd w:val="clear" w:color="auto" w:fill="1B556B"/>
          </w:tcPr>
          <w:p w14:paraId="5FBBE04C" w14:textId="77777777" w:rsidR="000C2DED" w:rsidRPr="00D55370" w:rsidRDefault="000C2DED" w:rsidP="0088257A">
            <w:pPr>
              <w:pStyle w:val="TableTextBold"/>
              <w:rPr>
                <w:rFonts w:eastAsia="Calibri" w:cs="Calibri"/>
                <w:noProof w:val="0"/>
                <w:color w:val="FFFFFF"/>
              </w:rPr>
            </w:pPr>
            <w:r w:rsidRPr="00D55370">
              <w:rPr>
                <w:rFonts w:eastAsia="Calibri" w:cs="Calibri"/>
                <w:noProof w:val="0"/>
                <w:color w:val="FFFFFF"/>
              </w:rPr>
              <w:t>Annual submission item</w:t>
            </w:r>
          </w:p>
        </w:tc>
        <w:tc>
          <w:tcPr>
            <w:tcW w:w="4290" w:type="dxa"/>
            <w:shd w:val="clear" w:color="auto" w:fill="1B556B"/>
          </w:tcPr>
          <w:p w14:paraId="45989B6D" w14:textId="77777777" w:rsidR="000C2DED" w:rsidRPr="00D55370" w:rsidRDefault="000C2DED" w:rsidP="0088257A">
            <w:pPr>
              <w:pStyle w:val="TableTextBold"/>
              <w:rPr>
                <w:rFonts w:eastAsia="Calibri" w:cs="Calibri"/>
                <w:noProof w:val="0"/>
                <w:color w:val="FFFFFF"/>
              </w:rPr>
            </w:pPr>
            <w:r w:rsidRPr="00D55370">
              <w:rPr>
                <w:rFonts w:eastAsia="Calibri" w:cs="Calibri"/>
                <w:noProof w:val="0"/>
                <w:color w:val="FFFFFF"/>
              </w:rPr>
              <w:t>New Zealand’s national registry response</w:t>
            </w:r>
          </w:p>
        </w:tc>
      </w:tr>
      <w:tr w:rsidR="000C2DED" w:rsidRPr="00D55370" w14:paraId="73A71DFE" w14:textId="77777777" w:rsidTr="0088257A">
        <w:tc>
          <w:tcPr>
            <w:tcW w:w="3958" w:type="dxa"/>
            <w:shd w:val="clear" w:color="auto" w:fill="auto"/>
          </w:tcPr>
          <w:p w14:paraId="3D45E81F" w14:textId="77777777" w:rsidR="000C2DED" w:rsidRPr="00D55370" w:rsidRDefault="000C2DED" w:rsidP="0088257A">
            <w:pPr>
              <w:pStyle w:val="TableText"/>
              <w:spacing w:after="0"/>
              <w:rPr>
                <w:rFonts w:eastAsia="Calibri" w:cs="Calibri"/>
              </w:rPr>
            </w:pPr>
            <w:r w:rsidRPr="00D55370">
              <w:rPr>
                <w:rFonts w:eastAsia="Calibri" w:cs="Calibri"/>
              </w:rPr>
              <w:t xml:space="preserve">15/CMP.1 annex I.E, paragraph 12: </w:t>
            </w:r>
          </w:p>
          <w:p w14:paraId="3DE6B15F" w14:textId="77777777" w:rsidR="000C2DED" w:rsidRPr="00D55370" w:rsidRDefault="000C2DED" w:rsidP="0088257A">
            <w:pPr>
              <w:pStyle w:val="TableText"/>
              <w:spacing w:before="0"/>
              <w:rPr>
                <w:rFonts w:eastAsia="Calibri" w:cs="Calibri"/>
              </w:rPr>
            </w:pPr>
            <w:r w:rsidRPr="00D55370">
              <w:rPr>
                <w:rFonts w:eastAsia="Calibri" w:cs="Calibri"/>
              </w:rPr>
              <w:t>List of discrepant transactions</w:t>
            </w:r>
          </w:p>
        </w:tc>
        <w:tc>
          <w:tcPr>
            <w:tcW w:w="4290" w:type="dxa"/>
            <w:shd w:val="clear" w:color="auto" w:fill="auto"/>
          </w:tcPr>
          <w:p w14:paraId="562F679F" w14:textId="77777777" w:rsidR="000C2DED" w:rsidRPr="00D55370" w:rsidRDefault="000C2DED" w:rsidP="0088257A">
            <w:pPr>
              <w:pStyle w:val="TableText"/>
              <w:rPr>
                <w:rFonts w:eastAsia="Calibri" w:cs="Calibri"/>
              </w:rPr>
            </w:pPr>
            <w:r w:rsidRPr="00D55370">
              <w:rPr>
                <w:rFonts w:eastAsia="Calibri" w:cs="Calibri"/>
              </w:rPr>
              <w:t xml:space="preserve">No discrepant transactions occurred in 2021. </w:t>
            </w:r>
          </w:p>
        </w:tc>
      </w:tr>
      <w:tr w:rsidR="000C2DED" w:rsidRPr="00D55370" w14:paraId="50B1A0A5" w14:textId="77777777" w:rsidTr="0088257A">
        <w:tc>
          <w:tcPr>
            <w:tcW w:w="3958" w:type="dxa"/>
            <w:shd w:val="clear" w:color="auto" w:fill="auto"/>
          </w:tcPr>
          <w:p w14:paraId="6D36944E" w14:textId="77777777" w:rsidR="000C2DED" w:rsidRPr="00D55370" w:rsidRDefault="000C2DED" w:rsidP="0088257A">
            <w:pPr>
              <w:pStyle w:val="TableText"/>
              <w:spacing w:after="0"/>
              <w:rPr>
                <w:rFonts w:eastAsia="Calibri" w:cs="Calibri"/>
              </w:rPr>
            </w:pPr>
            <w:r w:rsidRPr="00D55370">
              <w:rPr>
                <w:rFonts w:eastAsia="Calibri" w:cs="Calibri"/>
              </w:rPr>
              <w:t>15/CMP.1 annex I.E, paragraph 13 &amp; 14:</w:t>
            </w:r>
          </w:p>
          <w:p w14:paraId="61E45810" w14:textId="77777777" w:rsidR="000C2DED" w:rsidRPr="00D55370" w:rsidRDefault="000C2DED" w:rsidP="0088257A">
            <w:pPr>
              <w:pStyle w:val="TableText"/>
              <w:spacing w:before="0"/>
              <w:rPr>
                <w:rFonts w:eastAsia="Calibri" w:cs="Calibri"/>
              </w:rPr>
            </w:pPr>
            <w:r w:rsidRPr="00D55370">
              <w:rPr>
                <w:rFonts w:eastAsia="Calibri" w:cs="Calibri"/>
              </w:rPr>
              <w:t>List of CDM notifications</w:t>
            </w:r>
          </w:p>
        </w:tc>
        <w:tc>
          <w:tcPr>
            <w:tcW w:w="4290" w:type="dxa"/>
            <w:shd w:val="clear" w:color="auto" w:fill="auto"/>
          </w:tcPr>
          <w:p w14:paraId="10135507" w14:textId="77777777" w:rsidR="000C2DED" w:rsidRPr="00D55370" w:rsidRDefault="000C2DED" w:rsidP="0088257A">
            <w:pPr>
              <w:pStyle w:val="TableText"/>
              <w:rPr>
                <w:rFonts w:eastAsia="Calibri" w:cs="Calibri"/>
              </w:rPr>
            </w:pPr>
            <w:r w:rsidRPr="00D55370">
              <w:rPr>
                <w:rFonts w:eastAsia="Calibri" w:cs="Calibri"/>
              </w:rPr>
              <w:t>No CDM notifications occurred in 2021.</w:t>
            </w:r>
          </w:p>
        </w:tc>
      </w:tr>
      <w:tr w:rsidR="000C2DED" w:rsidRPr="00D55370" w14:paraId="731D91EF" w14:textId="77777777" w:rsidTr="0088257A">
        <w:tc>
          <w:tcPr>
            <w:tcW w:w="3958" w:type="dxa"/>
            <w:shd w:val="clear" w:color="auto" w:fill="auto"/>
          </w:tcPr>
          <w:p w14:paraId="496CAF22" w14:textId="77777777" w:rsidR="000C2DED" w:rsidRPr="00D55370" w:rsidRDefault="000C2DED" w:rsidP="0088257A">
            <w:pPr>
              <w:pStyle w:val="TableText"/>
              <w:spacing w:after="0"/>
              <w:rPr>
                <w:rFonts w:eastAsia="Calibri" w:cs="Calibri"/>
              </w:rPr>
            </w:pPr>
            <w:r w:rsidRPr="00D55370">
              <w:rPr>
                <w:rFonts w:eastAsia="Calibri" w:cs="Calibri"/>
              </w:rPr>
              <w:t>15/CMP.1 annex I.E, paragraph 1 15:</w:t>
            </w:r>
          </w:p>
          <w:p w14:paraId="69879958" w14:textId="77777777" w:rsidR="000C2DED" w:rsidRPr="00D55370" w:rsidRDefault="000C2DED" w:rsidP="0088257A">
            <w:pPr>
              <w:pStyle w:val="TableText"/>
              <w:spacing w:before="0"/>
              <w:rPr>
                <w:rFonts w:eastAsia="Calibri" w:cs="Calibri"/>
              </w:rPr>
            </w:pPr>
            <w:r w:rsidRPr="00D55370">
              <w:rPr>
                <w:rFonts w:eastAsia="Calibri" w:cs="Calibri"/>
              </w:rPr>
              <w:t>List of non-replacements</w:t>
            </w:r>
          </w:p>
        </w:tc>
        <w:tc>
          <w:tcPr>
            <w:tcW w:w="4290" w:type="dxa"/>
            <w:shd w:val="clear" w:color="auto" w:fill="auto"/>
          </w:tcPr>
          <w:p w14:paraId="1212B7B0" w14:textId="77777777" w:rsidR="000C2DED" w:rsidRPr="00D55370" w:rsidRDefault="000C2DED" w:rsidP="0088257A">
            <w:pPr>
              <w:pStyle w:val="TableText"/>
              <w:rPr>
                <w:rFonts w:eastAsia="Calibri" w:cs="Calibri"/>
              </w:rPr>
            </w:pPr>
            <w:r w:rsidRPr="00D55370">
              <w:rPr>
                <w:rFonts w:eastAsia="Calibri" w:cs="Calibri"/>
              </w:rPr>
              <w:t>No non-replacements occurred in 2021.</w:t>
            </w:r>
          </w:p>
        </w:tc>
      </w:tr>
      <w:tr w:rsidR="000C2DED" w:rsidRPr="00D55370" w14:paraId="17D02D79" w14:textId="77777777" w:rsidTr="0088257A">
        <w:tc>
          <w:tcPr>
            <w:tcW w:w="3958" w:type="dxa"/>
            <w:shd w:val="clear" w:color="auto" w:fill="auto"/>
          </w:tcPr>
          <w:p w14:paraId="5074641A" w14:textId="77777777" w:rsidR="000C2DED" w:rsidRPr="00D55370" w:rsidRDefault="000C2DED" w:rsidP="0088257A">
            <w:pPr>
              <w:pStyle w:val="TableText"/>
              <w:spacing w:after="0"/>
              <w:rPr>
                <w:rFonts w:eastAsia="Calibri" w:cs="Calibri"/>
              </w:rPr>
            </w:pPr>
            <w:r w:rsidRPr="00D55370">
              <w:rPr>
                <w:rFonts w:eastAsia="Calibri" w:cs="Calibri"/>
              </w:rPr>
              <w:t>15/CMP.1 annex I.E, paragraph 1 15:</w:t>
            </w:r>
          </w:p>
          <w:p w14:paraId="1C31110A" w14:textId="77777777" w:rsidR="000C2DED" w:rsidRPr="00D55370" w:rsidRDefault="000C2DED" w:rsidP="0088257A">
            <w:pPr>
              <w:pStyle w:val="TableText"/>
              <w:spacing w:before="0"/>
              <w:rPr>
                <w:rFonts w:eastAsia="Calibri" w:cs="Calibri"/>
              </w:rPr>
            </w:pPr>
            <w:r w:rsidRPr="00D55370">
              <w:rPr>
                <w:rFonts w:eastAsia="Calibri" w:cs="Calibri"/>
              </w:rPr>
              <w:t>List of invalid units</w:t>
            </w:r>
          </w:p>
        </w:tc>
        <w:tc>
          <w:tcPr>
            <w:tcW w:w="4290" w:type="dxa"/>
            <w:shd w:val="clear" w:color="auto" w:fill="auto"/>
          </w:tcPr>
          <w:p w14:paraId="21676D13" w14:textId="77777777" w:rsidR="000C2DED" w:rsidRPr="00D55370" w:rsidRDefault="000C2DED" w:rsidP="0088257A">
            <w:pPr>
              <w:pStyle w:val="TableText"/>
              <w:rPr>
                <w:rFonts w:eastAsia="Calibri" w:cs="Calibri"/>
              </w:rPr>
            </w:pPr>
            <w:r w:rsidRPr="00D55370">
              <w:rPr>
                <w:rFonts w:eastAsia="Calibri" w:cs="Calibri"/>
              </w:rPr>
              <w:t>No invalid units exist as at 31 December 2021.</w:t>
            </w:r>
          </w:p>
        </w:tc>
      </w:tr>
      <w:tr w:rsidR="000C2DED" w:rsidRPr="00D55370" w14:paraId="10C7B5BF" w14:textId="77777777" w:rsidTr="0088257A">
        <w:tc>
          <w:tcPr>
            <w:tcW w:w="3958" w:type="dxa"/>
            <w:shd w:val="clear" w:color="auto" w:fill="auto"/>
          </w:tcPr>
          <w:p w14:paraId="286D3DF2" w14:textId="77777777" w:rsidR="000C2DED" w:rsidRPr="00D55370" w:rsidRDefault="000C2DED" w:rsidP="0088257A">
            <w:pPr>
              <w:pStyle w:val="TableText"/>
              <w:spacing w:after="0"/>
              <w:rPr>
                <w:rFonts w:eastAsia="Calibri" w:cs="Calibri"/>
              </w:rPr>
            </w:pPr>
            <w:r w:rsidRPr="00D55370">
              <w:rPr>
                <w:rFonts w:eastAsia="Calibri" w:cs="Calibri"/>
              </w:rPr>
              <w:t>15/CMP.1 annex I.E, paragraph 1 17:</w:t>
            </w:r>
          </w:p>
          <w:p w14:paraId="01EE2F3B" w14:textId="77777777" w:rsidR="000C2DED" w:rsidRPr="00D55370" w:rsidRDefault="000C2DED" w:rsidP="0088257A">
            <w:pPr>
              <w:pStyle w:val="TableText"/>
              <w:spacing w:before="0"/>
              <w:rPr>
                <w:rFonts w:eastAsia="Calibri" w:cs="Calibri"/>
              </w:rPr>
            </w:pPr>
            <w:r w:rsidRPr="00D55370">
              <w:rPr>
                <w:rFonts w:eastAsia="Calibri" w:cs="Calibri"/>
              </w:rPr>
              <w:t>Actions and changes to address discrepancies</w:t>
            </w:r>
          </w:p>
        </w:tc>
        <w:tc>
          <w:tcPr>
            <w:tcW w:w="4290" w:type="dxa"/>
            <w:shd w:val="clear" w:color="auto" w:fill="auto"/>
          </w:tcPr>
          <w:p w14:paraId="29969465" w14:textId="77777777" w:rsidR="000C2DED" w:rsidRPr="00D55370" w:rsidRDefault="000C2DED" w:rsidP="0088257A">
            <w:pPr>
              <w:pStyle w:val="TableText"/>
              <w:rPr>
                <w:rFonts w:eastAsia="Calibri" w:cs="Calibri"/>
              </w:rPr>
            </w:pPr>
            <w:r w:rsidRPr="00D55370">
              <w:rPr>
                <w:rFonts w:eastAsia="Calibri" w:cs="Calibri"/>
              </w:rPr>
              <w:t>No actions were taken or changes made to address discrepancies for the period under review.</w:t>
            </w:r>
          </w:p>
        </w:tc>
      </w:tr>
    </w:tbl>
    <w:p w14:paraId="58941CB4" w14:textId="77777777" w:rsidR="000C2DED" w:rsidRPr="00D55370" w:rsidRDefault="000C2DED" w:rsidP="000C2DED">
      <w:pPr>
        <w:pStyle w:val="Heading2"/>
        <w:spacing w:before="400"/>
      </w:pPr>
      <w:bookmarkStart w:id="3044" w:name="_Toc481751434"/>
      <w:bookmarkStart w:id="3045" w:name="_Toc511116648"/>
      <w:bookmarkStart w:id="3046" w:name="_Toc99659183"/>
      <w:r w:rsidRPr="00D55370">
        <w:t>1</w:t>
      </w:r>
      <w:bookmarkStart w:id="3047" w:name="_Toc235955569"/>
      <w:r w:rsidRPr="00D55370">
        <w:t>2.4</w:t>
      </w:r>
      <w:r w:rsidRPr="00D55370">
        <w:tab/>
        <w:t>Publicly accessible information</w:t>
      </w:r>
      <w:bookmarkEnd w:id="3044"/>
      <w:bookmarkEnd w:id="3045"/>
      <w:bookmarkEnd w:id="3046"/>
      <w:bookmarkEnd w:id="3047"/>
    </w:p>
    <w:p w14:paraId="451E07B2" w14:textId="77777777" w:rsidR="000C2DED" w:rsidRPr="00D55370" w:rsidRDefault="000C2DED" w:rsidP="000C2DED">
      <w:pPr>
        <w:pStyle w:val="BodyText"/>
        <w:rPr>
          <w:b/>
        </w:rPr>
      </w:pPr>
      <w:r w:rsidRPr="00D55370">
        <w:t xml:space="preserve">New Zealand’s national registry list of publicly accessible information is available at </w:t>
      </w:r>
      <w:hyperlink r:id="rId280" w:history="1">
        <w:r w:rsidRPr="00D55370">
          <w:t>www.emissionsregister.govt.nz</w:t>
        </w:r>
      </w:hyperlink>
      <w:r w:rsidRPr="00D55370">
        <w:t>, through the ‘</w:t>
      </w:r>
      <w:hyperlink r:id="rId281" w:history="1">
        <w:r w:rsidRPr="00D55370">
          <w:t>Public information and reports</w:t>
        </w:r>
      </w:hyperlink>
      <w:r w:rsidRPr="00D55370">
        <w:t>’ link. A list of publicly accessible information is provided in table 12.4.1.</w:t>
      </w:r>
    </w:p>
    <w:p w14:paraId="2C1A1D7E" w14:textId="77777777" w:rsidR="000C2DED" w:rsidRPr="00D55370" w:rsidRDefault="000C2DED" w:rsidP="000C2DED">
      <w:pPr>
        <w:pStyle w:val="Table"/>
        <w:rPr>
          <w:rFonts w:cs="Calibri"/>
          <w:szCs w:val="18"/>
          <w:highlight w:val="yellow"/>
        </w:rPr>
      </w:pPr>
      <w:bookmarkStart w:id="3048" w:name="_Toc481751643"/>
      <w:bookmarkStart w:id="3049" w:name="_Toc511116871"/>
      <w:bookmarkStart w:id="3050" w:name="_Toc99659404"/>
      <w:r w:rsidRPr="00D55370">
        <w:rPr>
          <w:rFonts w:cs="Calibri"/>
          <w:szCs w:val="18"/>
        </w:rPr>
        <w:lastRenderedPageBreak/>
        <w:t>Table 12.4.1</w:t>
      </w:r>
      <w:r w:rsidRPr="00D55370">
        <w:rPr>
          <w:rFonts w:cs="Calibri"/>
          <w:szCs w:val="18"/>
        </w:rPr>
        <w:tab/>
        <w:t>List of the publicly accessible information in New Zealand’s national registry</w:t>
      </w:r>
      <w:bookmarkEnd w:id="3048"/>
      <w:bookmarkEnd w:id="3049"/>
      <w:bookmarkEnd w:id="3050"/>
    </w:p>
    <w:tbl>
      <w:tblPr>
        <w:tblW w:w="856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410"/>
        <w:gridCol w:w="2268"/>
        <w:gridCol w:w="1985"/>
        <w:gridCol w:w="1899"/>
      </w:tblGrid>
      <w:tr w:rsidR="000C2DED" w:rsidRPr="00D55370" w14:paraId="61A9EFD3" w14:textId="77777777" w:rsidTr="0088257A">
        <w:trPr>
          <w:tblHeader/>
        </w:trPr>
        <w:tc>
          <w:tcPr>
            <w:tcW w:w="2410" w:type="dxa"/>
            <w:tcBorders>
              <w:top w:val="single" w:sz="4" w:space="0" w:color="1B556B"/>
              <w:left w:val="nil"/>
              <w:bottom w:val="single" w:sz="4" w:space="0" w:color="365F91"/>
              <w:right w:val="nil"/>
            </w:tcBorders>
            <w:shd w:val="clear" w:color="auto" w:fill="1B556B"/>
            <w:vAlign w:val="bottom"/>
          </w:tcPr>
          <w:p w14:paraId="00EA3ED9" w14:textId="77777777" w:rsidR="000C2DED" w:rsidRPr="00D55370" w:rsidRDefault="000C2DED" w:rsidP="00C70DDD">
            <w:pPr>
              <w:pStyle w:val="TableTextBold"/>
              <w:keepNext/>
              <w:rPr>
                <w:rFonts w:cs="Calibri"/>
                <w:noProof w:val="0"/>
                <w:color w:val="FFFFFF"/>
                <w:szCs w:val="16"/>
              </w:rPr>
            </w:pPr>
            <w:r w:rsidRPr="00D55370">
              <w:rPr>
                <w:rFonts w:cs="Calibri"/>
                <w:noProof w:val="0"/>
                <w:color w:val="FFFFFF"/>
                <w:szCs w:val="16"/>
              </w:rPr>
              <w:t>Type of information to be made public pursuant to part E of the annex to 13/CMP.1, paragraphs 44 to 48</w:t>
            </w:r>
          </w:p>
        </w:tc>
        <w:tc>
          <w:tcPr>
            <w:tcW w:w="2268" w:type="dxa"/>
            <w:tcBorders>
              <w:top w:val="single" w:sz="4" w:space="0" w:color="1B556B"/>
              <w:left w:val="nil"/>
              <w:bottom w:val="single" w:sz="4" w:space="0" w:color="365F91"/>
              <w:right w:val="nil"/>
            </w:tcBorders>
            <w:shd w:val="clear" w:color="auto" w:fill="1B556B"/>
            <w:vAlign w:val="bottom"/>
          </w:tcPr>
          <w:p w14:paraId="3579B6AB" w14:textId="77777777" w:rsidR="000C2DED" w:rsidRPr="00D55370" w:rsidRDefault="000C2DED" w:rsidP="00C70DDD">
            <w:pPr>
              <w:pStyle w:val="TableTextBold"/>
              <w:keepNext/>
              <w:spacing w:after="0"/>
              <w:rPr>
                <w:rFonts w:cs="Calibri"/>
                <w:noProof w:val="0"/>
                <w:color w:val="FFFFFF"/>
                <w:szCs w:val="16"/>
              </w:rPr>
            </w:pPr>
            <w:r w:rsidRPr="00D55370">
              <w:rPr>
                <w:rFonts w:cs="Calibri"/>
                <w:noProof w:val="0"/>
                <w:color w:val="FFFFFF"/>
                <w:szCs w:val="16"/>
              </w:rPr>
              <w:t xml:space="preserve">Publicly available on New Zealand’s national registry website (refer www.emissionsregister. govt.nz </w:t>
            </w:r>
          </w:p>
          <w:p w14:paraId="19617B91" w14:textId="77777777" w:rsidR="000C2DED" w:rsidRPr="00D55370" w:rsidRDefault="000C2DED" w:rsidP="00C70DDD">
            <w:pPr>
              <w:pStyle w:val="TableTextBold"/>
              <w:keepNext/>
              <w:rPr>
                <w:rFonts w:cs="Calibri"/>
                <w:noProof w:val="0"/>
                <w:color w:val="FFFFFF"/>
                <w:szCs w:val="16"/>
              </w:rPr>
            </w:pPr>
            <w:r w:rsidRPr="00D55370">
              <w:rPr>
                <w:rFonts w:cs="Calibri"/>
                <w:noProof w:val="0"/>
                <w:color w:val="FFFFFF"/>
                <w:szCs w:val="16"/>
              </w:rPr>
              <w:t>Public information and reports) (yes/no/partial)</w:t>
            </w:r>
          </w:p>
        </w:tc>
        <w:tc>
          <w:tcPr>
            <w:tcW w:w="1985" w:type="dxa"/>
            <w:tcBorders>
              <w:top w:val="single" w:sz="4" w:space="0" w:color="1B556B"/>
              <w:left w:val="nil"/>
              <w:bottom w:val="single" w:sz="4" w:space="0" w:color="365F91"/>
              <w:right w:val="nil"/>
            </w:tcBorders>
            <w:shd w:val="clear" w:color="auto" w:fill="1B556B"/>
            <w:vAlign w:val="bottom"/>
          </w:tcPr>
          <w:p w14:paraId="4BCE2684" w14:textId="77777777" w:rsidR="000C2DED" w:rsidRPr="00D55370" w:rsidRDefault="000C2DED" w:rsidP="00C70DDD">
            <w:pPr>
              <w:pStyle w:val="TableTextBold"/>
              <w:keepNext/>
              <w:rPr>
                <w:rFonts w:cs="Calibri"/>
                <w:noProof w:val="0"/>
                <w:color w:val="FFFFFF"/>
                <w:szCs w:val="16"/>
              </w:rPr>
            </w:pPr>
            <w:r w:rsidRPr="00D55370">
              <w:rPr>
                <w:rFonts w:cs="Calibri"/>
                <w:noProof w:val="0"/>
                <w:color w:val="FFFFFF"/>
                <w:szCs w:val="16"/>
              </w:rPr>
              <w:t>Timing of information to be made available under New Zealand’s Climate Change Response Act 2002</w:t>
            </w:r>
          </w:p>
        </w:tc>
        <w:tc>
          <w:tcPr>
            <w:tcW w:w="1899" w:type="dxa"/>
            <w:tcBorders>
              <w:top w:val="single" w:sz="4" w:space="0" w:color="1B556B"/>
              <w:left w:val="nil"/>
              <w:bottom w:val="single" w:sz="4" w:space="0" w:color="365F91"/>
              <w:right w:val="nil"/>
            </w:tcBorders>
            <w:shd w:val="clear" w:color="auto" w:fill="1B556B"/>
            <w:vAlign w:val="bottom"/>
          </w:tcPr>
          <w:p w14:paraId="3EA882AD" w14:textId="77777777" w:rsidR="000C2DED" w:rsidRPr="00D55370" w:rsidRDefault="000C2DED" w:rsidP="00C70DDD">
            <w:pPr>
              <w:pStyle w:val="TableTextBold"/>
              <w:keepNext/>
              <w:rPr>
                <w:rFonts w:cs="Calibri"/>
                <w:noProof w:val="0"/>
                <w:color w:val="FFFFFF"/>
                <w:szCs w:val="16"/>
              </w:rPr>
            </w:pPr>
            <w:r w:rsidRPr="00D55370">
              <w:rPr>
                <w:rFonts w:cs="Calibri"/>
                <w:noProof w:val="0"/>
                <w:color w:val="FFFFFF"/>
                <w:szCs w:val="16"/>
              </w:rPr>
              <w:t>Relevant reference to New Zealand’s Climate Change Response Act 2002 where information is not publicly available in accordance with paragraphs 44 to 48</w:t>
            </w:r>
          </w:p>
        </w:tc>
      </w:tr>
      <w:tr w:rsidR="000C2DED" w:rsidRPr="00D55370" w14:paraId="7A064169" w14:textId="77777777" w:rsidTr="0088257A">
        <w:tc>
          <w:tcPr>
            <w:tcW w:w="2410" w:type="dxa"/>
            <w:tcBorders>
              <w:top w:val="single" w:sz="4" w:space="0" w:color="365F91"/>
              <w:left w:val="nil"/>
              <w:bottom w:val="single" w:sz="4" w:space="0" w:color="365F91"/>
              <w:right w:val="nil"/>
            </w:tcBorders>
          </w:tcPr>
          <w:p w14:paraId="4F626EB5" w14:textId="77777777" w:rsidR="000C2DED" w:rsidRPr="00D55370" w:rsidRDefault="000C2DED" w:rsidP="00C70DDD">
            <w:pPr>
              <w:pStyle w:val="TableText"/>
              <w:keepNext/>
              <w:ind w:left="284" w:hanging="284"/>
              <w:rPr>
                <w:rFonts w:cs="Calibri"/>
                <w:szCs w:val="16"/>
              </w:rPr>
            </w:pPr>
            <w:r w:rsidRPr="00D55370">
              <w:rPr>
                <w:rFonts w:cs="Calibri"/>
                <w:szCs w:val="16"/>
              </w:rPr>
              <w:t xml:space="preserve">44. </w:t>
            </w:r>
            <w:r w:rsidRPr="00D55370">
              <w:rPr>
                <w:rFonts w:cs="Calibri"/>
                <w:szCs w:val="16"/>
              </w:rPr>
              <w:tab/>
              <w:t>Each national registry shall make non-confidential information publicly available and provide a publicly accessible user interface through the Internet that allows interested persons to query and view it.</w:t>
            </w:r>
          </w:p>
        </w:tc>
        <w:tc>
          <w:tcPr>
            <w:tcW w:w="6152" w:type="dxa"/>
            <w:gridSpan w:val="3"/>
            <w:tcBorders>
              <w:top w:val="single" w:sz="4" w:space="0" w:color="365F91"/>
              <w:left w:val="nil"/>
              <w:bottom w:val="single" w:sz="4" w:space="0" w:color="365F91"/>
              <w:right w:val="nil"/>
            </w:tcBorders>
          </w:tcPr>
          <w:p w14:paraId="0E3DF5AA" w14:textId="77777777" w:rsidR="000C2DED" w:rsidRPr="00D55370" w:rsidRDefault="000C2DED" w:rsidP="00C70DDD">
            <w:pPr>
              <w:pStyle w:val="TableText"/>
              <w:keepNext/>
              <w:rPr>
                <w:rFonts w:cs="Calibri"/>
                <w:szCs w:val="16"/>
                <w:highlight w:val="yellow"/>
              </w:rPr>
            </w:pPr>
            <w:r w:rsidRPr="00D55370">
              <w:rPr>
                <w:rFonts w:cs="Calibri"/>
                <w:szCs w:val="16"/>
              </w:rPr>
              <w:t>Details of information availability are provided below.</w:t>
            </w:r>
          </w:p>
        </w:tc>
      </w:tr>
      <w:tr w:rsidR="000C2DED" w:rsidRPr="00D55370" w14:paraId="3EDE63ED" w14:textId="77777777" w:rsidTr="0088257A">
        <w:tc>
          <w:tcPr>
            <w:tcW w:w="2410" w:type="dxa"/>
            <w:tcBorders>
              <w:top w:val="single" w:sz="4" w:space="0" w:color="365F91"/>
              <w:left w:val="nil"/>
              <w:bottom w:val="nil"/>
              <w:right w:val="nil"/>
            </w:tcBorders>
          </w:tcPr>
          <w:p w14:paraId="5D08645C" w14:textId="77777777" w:rsidR="000C2DED" w:rsidRPr="00D55370" w:rsidRDefault="000C2DED" w:rsidP="0088257A">
            <w:pPr>
              <w:pStyle w:val="TableText"/>
              <w:spacing w:after="0"/>
              <w:ind w:left="284" w:hanging="284"/>
              <w:rPr>
                <w:rFonts w:cs="Calibri"/>
                <w:szCs w:val="16"/>
              </w:rPr>
            </w:pPr>
            <w:r w:rsidRPr="00D55370">
              <w:rPr>
                <w:rFonts w:cs="Calibri"/>
                <w:szCs w:val="16"/>
              </w:rPr>
              <w:t xml:space="preserve">45. </w:t>
            </w:r>
            <w:r w:rsidRPr="00D55370">
              <w:rPr>
                <w:rFonts w:cs="Calibri"/>
                <w:szCs w:val="16"/>
              </w:rPr>
              <w:tab/>
              <w:t>The information referred to in paragraph 44 above shall include up-to-date information for each account number in that registry on the following:</w:t>
            </w:r>
          </w:p>
        </w:tc>
        <w:tc>
          <w:tcPr>
            <w:tcW w:w="4253" w:type="dxa"/>
            <w:gridSpan w:val="2"/>
            <w:tcBorders>
              <w:top w:val="single" w:sz="4" w:space="0" w:color="365F91"/>
              <w:left w:val="nil"/>
              <w:bottom w:val="nil"/>
              <w:right w:val="nil"/>
            </w:tcBorders>
          </w:tcPr>
          <w:p w14:paraId="25FF0A25" w14:textId="77777777" w:rsidR="000C2DED" w:rsidRPr="00D55370" w:rsidRDefault="000C2DED" w:rsidP="0088257A">
            <w:pPr>
              <w:pStyle w:val="TableText"/>
              <w:rPr>
                <w:rFonts w:cs="Calibri"/>
                <w:szCs w:val="16"/>
                <w:highlight w:val="yellow"/>
              </w:rPr>
            </w:pPr>
          </w:p>
        </w:tc>
        <w:tc>
          <w:tcPr>
            <w:tcW w:w="1899" w:type="dxa"/>
            <w:tcBorders>
              <w:top w:val="single" w:sz="4" w:space="0" w:color="365F91"/>
              <w:left w:val="nil"/>
              <w:bottom w:val="nil"/>
              <w:right w:val="nil"/>
            </w:tcBorders>
          </w:tcPr>
          <w:p w14:paraId="4434F66C" w14:textId="77777777" w:rsidR="000C2DED" w:rsidRPr="00D55370" w:rsidRDefault="000C2DED" w:rsidP="0088257A">
            <w:pPr>
              <w:pStyle w:val="TableText"/>
              <w:rPr>
                <w:rFonts w:cs="Calibri"/>
                <w:szCs w:val="16"/>
                <w:highlight w:val="yellow"/>
              </w:rPr>
            </w:pPr>
          </w:p>
        </w:tc>
      </w:tr>
      <w:tr w:rsidR="000C2DED" w:rsidRPr="00D55370" w14:paraId="545CC56A" w14:textId="77777777" w:rsidTr="0088257A">
        <w:tc>
          <w:tcPr>
            <w:tcW w:w="2410" w:type="dxa"/>
            <w:tcBorders>
              <w:top w:val="nil"/>
              <w:left w:val="nil"/>
              <w:bottom w:val="nil"/>
              <w:right w:val="nil"/>
            </w:tcBorders>
          </w:tcPr>
          <w:p w14:paraId="74AC5B01" w14:textId="77777777" w:rsidR="000C2DED" w:rsidRPr="00D55370" w:rsidRDefault="000C2DED" w:rsidP="0088257A">
            <w:pPr>
              <w:pStyle w:val="TableText"/>
              <w:spacing w:after="0"/>
              <w:ind w:left="284" w:hanging="284"/>
              <w:rPr>
                <w:rFonts w:cs="Calibri"/>
                <w:szCs w:val="16"/>
              </w:rPr>
            </w:pPr>
            <w:r w:rsidRPr="00D55370">
              <w:rPr>
                <w:rFonts w:cs="Calibri"/>
                <w:szCs w:val="16"/>
              </w:rPr>
              <w:t xml:space="preserve">(a) </w:t>
            </w:r>
            <w:r w:rsidRPr="00D55370">
              <w:rPr>
                <w:rFonts w:cs="Calibri"/>
                <w:szCs w:val="16"/>
              </w:rPr>
              <w:tab/>
              <w:t>Account name: the holder of the account.</w:t>
            </w:r>
          </w:p>
        </w:tc>
        <w:tc>
          <w:tcPr>
            <w:tcW w:w="2268" w:type="dxa"/>
            <w:tcBorders>
              <w:top w:val="nil"/>
              <w:left w:val="nil"/>
              <w:bottom w:val="nil"/>
              <w:right w:val="nil"/>
            </w:tcBorders>
          </w:tcPr>
          <w:p w14:paraId="132C2263" w14:textId="77777777" w:rsidR="000C2DED" w:rsidRPr="00D55370" w:rsidRDefault="000C2DED" w:rsidP="0088257A">
            <w:pPr>
              <w:pStyle w:val="TableText"/>
              <w:spacing w:after="0"/>
              <w:rPr>
                <w:rFonts w:cs="Calibri"/>
                <w:szCs w:val="16"/>
              </w:rPr>
            </w:pPr>
            <w:r w:rsidRPr="00D55370">
              <w:rPr>
                <w:rFonts w:cs="Calibri"/>
                <w:szCs w:val="16"/>
              </w:rPr>
              <w:t>Yes (refer Public information and reports: Accounts).</w:t>
            </w:r>
          </w:p>
        </w:tc>
        <w:tc>
          <w:tcPr>
            <w:tcW w:w="1985" w:type="dxa"/>
            <w:tcBorders>
              <w:top w:val="nil"/>
              <w:left w:val="nil"/>
              <w:bottom w:val="nil"/>
              <w:right w:val="nil"/>
            </w:tcBorders>
          </w:tcPr>
          <w:p w14:paraId="1F2FEE88" w14:textId="77777777" w:rsidR="000C2DED" w:rsidRPr="00D55370" w:rsidRDefault="000C2DED" w:rsidP="0088257A">
            <w:pPr>
              <w:pStyle w:val="TableText"/>
              <w:spacing w:after="0"/>
              <w:rPr>
                <w:rFonts w:cs="Calibri"/>
                <w:szCs w:val="16"/>
              </w:rPr>
            </w:pPr>
            <w:r w:rsidRPr="00D55370">
              <w:rPr>
                <w:rFonts w:cs="Calibri"/>
                <w:szCs w:val="16"/>
              </w:rPr>
              <w:t>Up to date (note, refreshed daily)</w:t>
            </w:r>
          </w:p>
        </w:tc>
        <w:tc>
          <w:tcPr>
            <w:tcW w:w="1899" w:type="dxa"/>
            <w:tcBorders>
              <w:top w:val="nil"/>
              <w:left w:val="nil"/>
              <w:bottom w:val="nil"/>
              <w:right w:val="nil"/>
            </w:tcBorders>
          </w:tcPr>
          <w:p w14:paraId="0CDEA496" w14:textId="77777777" w:rsidR="000C2DED" w:rsidRPr="00D55370" w:rsidRDefault="000C2DED" w:rsidP="0088257A">
            <w:pPr>
              <w:pStyle w:val="TableText"/>
              <w:rPr>
                <w:rFonts w:cs="Calibri"/>
                <w:szCs w:val="16"/>
              </w:rPr>
            </w:pPr>
            <w:r w:rsidRPr="00D55370">
              <w:rPr>
                <w:rFonts w:cs="Calibri"/>
                <w:szCs w:val="16"/>
              </w:rPr>
              <w:t>NA</w:t>
            </w:r>
          </w:p>
        </w:tc>
      </w:tr>
      <w:tr w:rsidR="000C2DED" w:rsidRPr="00D55370" w14:paraId="66A36D09" w14:textId="77777777" w:rsidTr="0088257A">
        <w:tc>
          <w:tcPr>
            <w:tcW w:w="2410" w:type="dxa"/>
            <w:tcBorders>
              <w:top w:val="nil"/>
              <w:left w:val="nil"/>
              <w:bottom w:val="nil"/>
              <w:right w:val="nil"/>
            </w:tcBorders>
          </w:tcPr>
          <w:p w14:paraId="060E52D2" w14:textId="77777777" w:rsidR="000C2DED" w:rsidRPr="00D55370" w:rsidRDefault="000C2DED" w:rsidP="0088257A">
            <w:pPr>
              <w:pStyle w:val="TableText"/>
              <w:spacing w:after="0"/>
              <w:ind w:left="284" w:hanging="284"/>
              <w:rPr>
                <w:rFonts w:cs="Calibri"/>
                <w:szCs w:val="16"/>
              </w:rPr>
            </w:pPr>
            <w:r w:rsidRPr="00D55370">
              <w:rPr>
                <w:rFonts w:cs="Calibri"/>
                <w:szCs w:val="16"/>
              </w:rPr>
              <w:t xml:space="preserve">(b) </w:t>
            </w:r>
            <w:r w:rsidRPr="00D55370">
              <w:rPr>
                <w:rFonts w:cs="Calibri"/>
                <w:szCs w:val="16"/>
              </w:rPr>
              <w:tab/>
              <w:t>Account type: the type of account (holding, cancellation or retirement).</w:t>
            </w:r>
          </w:p>
        </w:tc>
        <w:tc>
          <w:tcPr>
            <w:tcW w:w="2268" w:type="dxa"/>
            <w:tcBorders>
              <w:top w:val="nil"/>
              <w:left w:val="nil"/>
              <w:bottom w:val="nil"/>
              <w:right w:val="nil"/>
            </w:tcBorders>
          </w:tcPr>
          <w:p w14:paraId="6E8BF790" w14:textId="77777777" w:rsidR="000C2DED" w:rsidRPr="00D55370" w:rsidRDefault="000C2DED" w:rsidP="0088257A">
            <w:pPr>
              <w:pStyle w:val="TableText"/>
              <w:spacing w:after="0"/>
              <w:rPr>
                <w:rFonts w:cs="Calibri"/>
                <w:szCs w:val="16"/>
              </w:rPr>
            </w:pPr>
            <w:r w:rsidRPr="00D55370">
              <w:rPr>
                <w:rFonts w:cs="Calibri"/>
                <w:szCs w:val="16"/>
              </w:rPr>
              <w:t>Yes (refer Public information and reports: Accounts).</w:t>
            </w:r>
          </w:p>
        </w:tc>
        <w:tc>
          <w:tcPr>
            <w:tcW w:w="1985" w:type="dxa"/>
            <w:tcBorders>
              <w:top w:val="nil"/>
              <w:left w:val="nil"/>
              <w:bottom w:val="nil"/>
              <w:right w:val="nil"/>
            </w:tcBorders>
          </w:tcPr>
          <w:p w14:paraId="0AA52EC6" w14:textId="77777777" w:rsidR="000C2DED" w:rsidRPr="00D55370" w:rsidRDefault="000C2DED" w:rsidP="0088257A">
            <w:pPr>
              <w:pStyle w:val="TableText"/>
              <w:spacing w:after="0"/>
              <w:rPr>
                <w:rFonts w:cs="Calibri"/>
                <w:szCs w:val="16"/>
              </w:rPr>
            </w:pPr>
            <w:r w:rsidRPr="00D55370">
              <w:rPr>
                <w:rFonts w:cs="Calibri"/>
                <w:szCs w:val="16"/>
              </w:rPr>
              <w:t>Up to date (note, refreshed daily)</w:t>
            </w:r>
          </w:p>
        </w:tc>
        <w:tc>
          <w:tcPr>
            <w:tcW w:w="1899" w:type="dxa"/>
            <w:tcBorders>
              <w:top w:val="nil"/>
              <w:left w:val="nil"/>
              <w:bottom w:val="nil"/>
              <w:right w:val="nil"/>
            </w:tcBorders>
          </w:tcPr>
          <w:p w14:paraId="7E002549" w14:textId="77777777" w:rsidR="000C2DED" w:rsidRPr="00D55370" w:rsidRDefault="000C2DED" w:rsidP="0088257A">
            <w:pPr>
              <w:pStyle w:val="TableText"/>
              <w:rPr>
                <w:rFonts w:cs="Calibri"/>
                <w:szCs w:val="16"/>
              </w:rPr>
            </w:pPr>
            <w:r w:rsidRPr="00D55370">
              <w:rPr>
                <w:rFonts w:cs="Calibri"/>
                <w:szCs w:val="16"/>
              </w:rPr>
              <w:t>NA</w:t>
            </w:r>
          </w:p>
        </w:tc>
      </w:tr>
      <w:tr w:rsidR="000C2DED" w:rsidRPr="00D55370" w14:paraId="04B26EE4" w14:textId="77777777" w:rsidTr="0088257A">
        <w:tc>
          <w:tcPr>
            <w:tcW w:w="2410" w:type="dxa"/>
            <w:tcBorders>
              <w:top w:val="nil"/>
              <w:left w:val="nil"/>
              <w:bottom w:val="nil"/>
              <w:right w:val="nil"/>
            </w:tcBorders>
          </w:tcPr>
          <w:p w14:paraId="269AD481" w14:textId="77777777" w:rsidR="000C2DED" w:rsidRPr="00D55370" w:rsidRDefault="000C2DED" w:rsidP="0088257A">
            <w:pPr>
              <w:pStyle w:val="TableText"/>
              <w:spacing w:after="0"/>
              <w:ind w:left="284" w:hanging="284"/>
              <w:rPr>
                <w:rFonts w:cs="Calibri"/>
                <w:szCs w:val="16"/>
              </w:rPr>
            </w:pPr>
            <w:r w:rsidRPr="00D55370">
              <w:rPr>
                <w:rFonts w:cs="Calibri"/>
                <w:szCs w:val="16"/>
              </w:rPr>
              <w:t xml:space="preserve">(c) </w:t>
            </w:r>
            <w:r w:rsidRPr="00D55370">
              <w:rPr>
                <w:rFonts w:cs="Calibri"/>
                <w:szCs w:val="16"/>
              </w:rPr>
              <w:tab/>
              <w:t>Commitment period: the commitment period with which a cancellation or retirement account is associated.</w:t>
            </w:r>
          </w:p>
        </w:tc>
        <w:tc>
          <w:tcPr>
            <w:tcW w:w="2268" w:type="dxa"/>
            <w:tcBorders>
              <w:top w:val="nil"/>
              <w:left w:val="nil"/>
              <w:bottom w:val="nil"/>
              <w:right w:val="nil"/>
            </w:tcBorders>
          </w:tcPr>
          <w:p w14:paraId="1CD7115D" w14:textId="77777777" w:rsidR="000C2DED" w:rsidRPr="00D55370" w:rsidRDefault="000C2DED" w:rsidP="0088257A">
            <w:pPr>
              <w:pStyle w:val="TableText"/>
              <w:spacing w:after="0"/>
              <w:rPr>
                <w:rFonts w:cs="Calibri"/>
                <w:szCs w:val="16"/>
              </w:rPr>
            </w:pPr>
            <w:r w:rsidRPr="00D55370">
              <w:rPr>
                <w:rFonts w:cs="Calibri"/>
                <w:szCs w:val="16"/>
              </w:rPr>
              <w:t>Yes (refer Public information and reports: Accounts).</w:t>
            </w:r>
          </w:p>
        </w:tc>
        <w:tc>
          <w:tcPr>
            <w:tcW w:w="1985" w:type="dxa"/>
            <w:tcBorders>
              <w:top w:val="nil"/>
              <w:left w:val="nil"/>
              <w:bottom w:val="nil"/>
              <w:right w:val="nil"/>
            </w:tcBorders>
          </w:tcPr>
          <w:p w14:paraId="01C1CE9E" w14:textId="77777777" w:rsidR="000C2DED" w:rsidRPr="00D55370" w:rsidRDefault="000C2DED" w:rsidP="0088257A">
            <w:pPr>
              <w:pStyle w:val="TableText"/>
              <w:spacing w:after="0"/>
              <w:rPr>
                <w:rFonts w:cs="Calibri"/>
                <w:szCs w:val="16"/>
              </w:rPr>
            </w:pPr>
            <w:r w:rsidRPr="00D55370">
              <w:rPr>
                <w:rFonts w:cs="Calibri"/>
                <w:szCs w:val="16"/>
              </w:rPr>
              <w:t>Up to date (note, refreshed daily)</w:t>
            </w:r>
          </w:p>
        </w:tc>
        <w:tc>
          <w:tcPr>
            <w:tcW w:w="1899" w:type="dxa"/>
            <w:tcBorders>
              <w:top w:val="nil"/>
              <w:left w:val="nil"/>
              <w:bottom w:val="nil"/>
              <w:right w:val="nil"/>
            </w:tcBorders>
          </w:tcPr>
          <w:p w14:paraId="03202EDC" w14:textId="77777777" w:rsidR="000C2DED" w:rsidRPr="00D55370" w:rsidRDefault="000C2DED" w:rsidP="0088257A">
            <w:pPr>
              <w:pStyle w:val="TableText"/>
              <w:rPr>
                <w:rFonts w:cs="Calibri"/>
                <w:szCs w:val="16"/>
              </w:rPr>
            </w:pPr>
            <w:r w:rsidRPr="00D55370">
              <w:rPr>
                <w:rFonts w:cs="Calibri"/>
                <w:szCs w:val="16"/>
              </w:rPr>
              <w:t xml:space="preserve">NA </w:t>
            </w:r>
          </w:p>
        </w:tc>
      </w:tr>
      <w:tr w:rsidR="000C2DED" w:rsidRPr="00D55370" w14:paraId="49813DD4" w14:textId="77777777" w:rsidTr="0088257A">
        <w:tc>
          <w:tcPr>
            <w:tcW w:w="2410" w:type="dxa"/>
            <w:tcBorders>
              <w:top w:val="nil"/>
              <w:left w:val="nil"/>
              <w:bottom w:val="nil"/>
              <w:right w:val="nil"/>
            </w:tcBorders>
          </w:tcPr>
          <w:p w14:paraId="4C54D772" w14:textId="77777777" w:rsidR="000C2DED" w:rsidRPr="00D55370" w:rsidRDefault="000C2DED" w:rsidP="0088257A">
            <w:pPr>
              <w:pStyle w:val="TableText"/>
              <w:ind w:left="284" w:hanging="284"/>
              <w:rPr>
                <w:rFonts w:cs="Calibri"/>
                <w:szCs w:val="16"/>
              </w:rPr>
            </w:pPr>
            <w:r w:rsidRPr="00D55370">
              <w:rPr>
                <w:rFonts w:cs="Calibri"/>
                <w:szCs w:val="16"/>
              </w:rPr>
              <w:t xml:space="preserve">(d) </w:t>
            </w:r>
            <w:r w:rsidRPr="00D55370">
              <w:rPr>
                <w:rFonts w:cs="Calibri"/>
                <w:szCs w:val="16"/>
              </w:rPr>
              <w:tab/>
              <w:t>Representative identifier: the representative of the account holder, using the Party identifier (the two-letter country code defined by ISO 3166) and a number unique to that representative within the Party’s registry.</w:t>
            </w:r>
          </w:p>
        </w:tc>
        <w:tc>
          <w:tcPr>
            <w:tcW w:w="2268" w:type="dxa"/>
            <w:tcBorders>
              <w:top w:val="nil"/>
              <w:left w:val="nil"/>
              <w:bottom w:val="nil"/>
              <w:right w:val="nil"/>
            </w:tcBorders>
          </w:tcPr>
          <w:p w14:paraId="6DDA1295" w14:textId="77777777" w:rsidR="000C2DED" w:rsidRPr="00D55370" w:rsidRDefault="000C2DED" w:rsidP="0088257A">
            <w:pPr>
              <w:pStyle w:val="TableText"/>
              <w:rPr>
                <w:rFonts w:cs="Calibri"/>
                <w:szCs w:val="16"/>
              </w:rPr>
            </w:pPr>
            <w:r w:rsidRPr="00D55370">
              <w:rPr>
                <w:rFonts w:cs="Calibri"/>
                <w:szCs w:val="16"/>
              </w:rPr>
              <w:t>No – the representative identifiers for representatives are not publicly available and have been withheld for security reasons.</w:t>
            </w:r>
          </w:p>
        </w:tc>
        <w:tc>
          <w:tcPr>
            <w:tcW w:w="1985" w:type="dxa"/>
            <w:tcBorders>
              <w:top w:val="nil"/>
              <w:left w:val="nil"/>
              <w:bottom w:val="nil"/>
              <w:right w:val="nil"/>
            </w:tcBorders>
          </w:tcPr>
          <w:p w14:paraId="6207CCDF" w14:textId="77777777" w:rsidR="000C2DED" w:rsidRPr="00D55370" w:rsidRDefault="000C2DED" w:rsidP="0088257A">
            <w:pPr>
              <w:pStyle w:val="TableText"/>
              <w:rPr>
                <w:rFonts w:cs="Calibri"/>
                <w:szCs w:val="16"/>
              </w:rPr>
            </w:pPr>
            <w:r w:rsidRPr="00D55370">
              <w:rPr>
                <w:rFonts w:cs="Calibri"/>
                <w:szCs w:val="16"/>
              </w:rPr>
              <w:t>NA</w:t>
            </w:r>
          </w:p>
        </w:tc>
        <w:tc>
          <w:tcPr>
            <w:tcW w:w="1899" w:type="dxa"/>
            <w:tcBorders>
              <w:top w:val="nil"/>
              <w:left w:val="nil"/>
              <w:bottom w:val="nil"/>
              <w:right w:val="nil"/>
            </w:tcBorders>
          </w:tcPr>
          <w:p w14:paraId="604B72D5" w14:textId="77777777" w:rsidR="000C2DED" w:rsidRPr="00D55370" w:rsidRDefault="000C2DED" w:rsidP="0088257A">
            <w:pPr>
              <w:pStyle w:val="TableText"/>
              <w:spacing w:after="0"/>
              <w:rPr>
                <w:rFonts w:cs="Calibri"/>
                <w:szCs w:val="16"/>
              </w:rPr>
            </w:pPr>
            <w:r w:rsidRPr="00D55370">
              <w:rPr>
                <w:rFonts w:cs="Calibri"/>
                <w:szCs w:val="16"/>
              </w:rPr>
              <w:t>Section 27(1)(a) of the Climate Change Response Act 2002 does not require this information to be made publicly available. Only the holding account number for each account in the registry is publicly available under this section.</w:t>
            </w:r>
          </w:p>
        </w:tc>
      </w:tr>
      <w:tr w:rsidR="000C2DED" w:rsidRPr="00D55370" w14:paraId="38B482E9" w14:textId="77777777" w:rsidTr="0088257A">
        <w:tc>
          <w:tcPr>
            <w:tcW w:w="2410" w:type="dxa"/>
            <w:tcBorders>
              <w:top w:val="nil"/>
              <w:left w:val="nil"/>
              <w:bottom w:val="single" w:sz="4" w:space="0" w:color="1B556B"/>
              <w:right w:val="nil"/>
            </w:tcBorders>
          </w:tcPr>
          <w:p w14:paraId="7E2DCFCB" w14:textId="77777777" w:rsidR="000C2DED" w:rsidRPr="00D55370" w:rsidRDefault="000C2DED" w:rsidP="0088257A">
            <w:pPr>
              <w:pStyle w:val="TableText"/>
              <w:ind w:left="284" w:hanging="284"/>
              <w:rPr>
                <w:rFonts w:cs="Calibri"/>
                <w:szCs w:val="16"/>
              </w:rPr>
            </w:pPr>
            <w:r w:rsidRPr="00D55370">
              <w:rPr>
                <w:rFonts w:cs="Calibri"/>
                <w:szCs w:val="16"/>
              </w:rPr>
              <w:br w:type="page"/>
              <w:t xml:space="preserve">(e) </w:t>
            </w:r>
            <w:r w:rsidRPr="00D55370">
              <w:rPr>
                <w:rFonts w:cs="Calibri"/>
                <w:szCs w:val="16"/>
              </w:rPr>
              <w:tab/>
              <w:t>Representative name and contact information: the full name, mailing address, telephone number, facsimile number and email address of the representative of the account holder.</w:t>
            </w:r>
          </w:p>
        </w:tc>
        <w:tc>
          <w:tcPr>
            <w:tcW w:w="2268" w:type="dxa"/>
            <w:tcBorders>
              <w:top w:val="nil"/>
              <w:left w:val="nil"/>
              <w:bottom w:val="single" w:sz="4" w:space="0" w:color="1B556B"/>
              <w:right w:val="nil"/>
            </w:tcBorders>
          </w:tcPr>
          <w:p w14:paraId="3E89A086" w14:textId="77777777" w:rsidR="000C2DED" w:rsidRPr="00D55370" w:rsidRDefault="000C2DED" w:rsidP="0088257A">
            <w:pPr>
              <w:pStyle w:val="TableText"/>
              <w:spacing w:after="0"/>
              <w:rPr>
                <w:rFonts w:cs="Calibri"/>
                <w:szCs w:val="16"/>
              </w:rPr>
            </w:pPr>
            <w:r w:rsidRPr="00D55370">
              <w:rPr>
                <w:rFonts w:cs="Calibri"/>
                <w:szCs w:val="16"/>
              </w:rPr>
              <w:t>Partial – publication of the mailing address, email addresses, telephone numbers and facsimile number of the representatives has been withheld for security reasons.</w:t>
            </w:r>
          </w:p>
          <w:p w14:paraId="40DFFF3C" w14:textId="77777777" w:rsidR="000C2DED" w:rsidRPr="00D55370" w:rsidRDefault="000C2DED" w:rsidP="0088257A">
            <w:pPr>
              <w:pStyle w:val="TableText"/>
              <w:rPr>
                <w:rFonts w:cs="Calibri"/>
                <w:szCs w:val="16"/>
              </w:rPr>
            </w:pPr>
            <w:r w:rsidRPr="00D55370">
              <w:rPr>
                <w:rFonts w:cs="Calibri"/>
                <w:szCs w:val="16"/>
              </w:rPr>
              <w:t>(Refer Public information and reports: Accounts.)</w:t>
            </w:r>
          </w:p>
        </w:tc>
        <w:tc>
          <w:tcPr>
            <w:tcW w:w="1985" w:type="dxa"/>
            <w:tcBorders>
              <w:top w:val="nil"/>
              <w:left w:val="nil"/>
              <w:bottom w:val="single" w:sz="4" w:space="0" w:color="1B556B"/>
              <w:right w:val="nil"/>
            </w:tcBorders>
          </w:tcPr>
          <w:p w14:paraId="6C4F705E" w14:textId="77777777" w:rsidR="000C2DED" w:rsidRPr="00D55370" w:rsidRDefault="000C2DED" w:rsidP="0088257A">
            <w:pPr>
              <w:pStyle w:val="TableText"/>
              <w:rPr>
                <w:rFonts w:cs="Calibri"/>
                <w:szCs w:val="16"/>
              </w:rPr>
            </w:pPr>
            <w:r w:rsidRPr="00D55370">
              <w:rPr>
                <w:rFonts w:cs="Calibri"/>
                <w:szCs w:val="16"/>
              </w:rPr>
              <w:t>Up to date (note, refreshed daily)</w:t>
            </w:r>
          </w:p>
        </w:tc>
        <w:tc>
          <w:tcPr>
            <w:tcW w:w="1899" w:type="dxa"/>
            <w:tcBorders>
              <w:top w:val="nil"/>
              <w:left w:val="nil"/>
              <w:bottom w:val="single" w:sz="4" w:space="0" w:color="1B556B"/>
              <w:right w:val="nil"/>
            </w:tcBorders>
          </w:tcPr>
          <w:p w14:paraId="3E96C29B" w14:textId="77777777" w:rsidR="000C2DED" w:rsidRPr="00D55370" w:rsidRDefault="000C2DED" w:rsidP="0088257A">
            <w:pPr>
              <w:pStyle w:val="TableText"/>
              <w:rPr>
                <w:rFonts w:cs="Calibri"/>
                <w:szCs w:val="16"/>
              </w:rPr>
            </w:pPr>
            <w:r w:rsidRPr="00D55370">
              <w:rPr>
                <w:rFonts w:cs="Calibri"/>
                <w:szCs w:val="16"/>
              </w:rPr>
              <w:t xml:space="preserve">Section 13 of the Climate Change Response Act 2002 permits the Registrar to withhold access to the email address and phone and fax numbers of account holders’ representatives on the grounds of security or integrity of the registry. </w:t>
            </w:r>
          </w:p>
        </w:tc>
      </w:tr>
      <w:tr w:rsidR="000C2DED" w:rsidRPr="00D55370" w14:paraId="035CB3EF" w14:textId="77777777" w:rsidTr="0088257A">
        <w:tc>
          <w:tcPr>
            <w:tcW w:w="2410" w:type="dxa"/>
            <w:tcBorders>
              <w:top w:val="single" w:sz="4" w:space="0" w:color="1B556B"/>
              <w:left w:val="nil"/>
              <w:bottom w:val="nil"/>
              <w:right w:val="nil"/>
            </w:tcBorders>
          </w:tcPr>
          <w:p w14:paraId="000EECE1" w14:textId="77777777" w:rsidR="000C2DED" w:rsidRPr="00D55370" w:rsidRDefault="000C2DED" w:rsidP="0088257A">
            <w:pPr>
              <w:pStyle w:val="TableText"/>
              <w:spacing w:after="0"/>
              <w:ind w:left="284" w:hanging="284"/>
              <w:rPr>
                <w:rFonts w:cs="Calibri"/>
                <w:szCs w:val="16"/>
              </w:rPr>
            </w:pPr>
            <w:r w:rsidRPr="00D55370">
              <w:rPr>
                <w:rFonts w:cs="Calibri"/>
                <w:szCs w:val="16"/>
              </w:rPr>
              <w:t xml:space="preserve">46. </w:t>
            </w:r>
            <w:r w:rsidRPr="00D55370">
              <w:rPr>
                <w:rFonts w:cs="Calibri"/>
                <w:szCs w:val="16"/>
              </w:rPr>
              <w:tab/>
              <w:t xml:space="preserve">The information referred to in paragraph 44 shall include the following Article 6 project information, for each project identifier against which the Party has issued ERUs: </w:t>
            </w:r>
          </w:p>
        </w:tc>
        <w:tc>
          <w:tcPr>
            <w:tcW w:w="6152" w:type="dxa"/>
            <w:gridSpan w:val="3"/>
            <w:tcBorders>
              <w:top w:val="single" w:sz="4" w:space="0" w:color="1B556B"/>
              <w:left w:val="nil"/>
              <w:bottom w:val="nil"/>
              <w:right w:val="nil"/>
            </w:tcBorders>
          </w:tcPr>
          <w:p w14:paraId="57A22B1C" w14:textId="77777777" w:rsidR="000C2DED" w:rsidRPr="00D55370" w:rsidRDefault="000C2DED" w:rsidP="0088257A">
            <w:pPr>
              <w:pStyle w:val="TableText"/>
              <w:rPr>
                <w:rFonts w:cs="Calibri"/>
                <w:szCs w:val="16"/>
              </w:rPr>
            </w:pPr>
          </w:p>
        </w:tc>
      </w:tr>
      <w:tr w:rsidR="000C2DED" w:rsidRPr="00D55370" w14:paraId="64A8B1CE" w14:textId="77777777" w:rsidTr="0088257A">
        <w:tc>
          <w:tcPr>
            <w:tcW w:w="2410" w:type="dxa"/>
            <w:tcBorders>
              <w:top w:val="nil"/>
              <w:left w:val="nil"/>
              <w:bottom w:val="nil"/>
              <w:right w:val="nil"/>
            </w:tcBorders>
          </w:tcPr>
          <w:p w14:paraId="166F8203" w14:textId="77777777" w:rsidR="000C2DED" w:rsidRPr="00D55370" w:rsidRDefault="000C2DED" w:rsidP="0088257A">
            <w:pPr>
              <w:pStyle w:val="TableText"/>
              <w:ind w:left="284" w:hanging="284"/>
              <w:rPr>
                <w:rFonts w:cs="Calibri"/>
                <w:szCs w:val="16"/>
              </w:rPr>
            </w:pPr>
            <w:r w:rsidRPr="00D55370">
              <w:rPr>
                <w:rFonts w:cs="Calibri"/>
                <w:szCs w:val="16"/>
              </w:rPr>
              <w:t xml:space="preserve">(a) </w:t>
            </w:r>
            <w:r w:rsidRPr="00D55370">
              <w:rPr>
                <w:rFonts w:cs="Calibri"/>
                <w:szCs w:val="16"/>
              </w:rPr>
              <w:tab/>
              <w:t>Project name: a unique name for the project.</w:t>
            </w:r>
          </w:p>
        </w:tc>
        <w:tc>
          <w:tcPr>
            <w:tcW w:w="2268" w:type="dxa"/>
            <w:tcBorders>
              <w:top w:val="nil"/>
              <w:left w:val="nil"/>
              <w:bottom w:val="nil"/>
              <w:right w:val="nil"/>
            </w:tcBorders>
          </w:tcPr>
          <w:p w14:paraId="4EDB6AAE" w14:textId="77777777" w:rsidR="000C2DED" w:rsidRPr="00D55370" w:rsidRDefault="000C2DED" w:rsidP="0088257A">
            <w:pPr>
              <w:pStyle w:val="TableText"/>
              <w:spacing w:after="0"/>
              <w:rPr>
                <w:rFonts w:cs="Calibri"/>
                <w:szCs w:val="16"/>
                <w:highlight w:val="yellow"/>
              </w:rPr>
            </w:pPr>
            <w:r w:rsidRPr="00D55370">
              <w:rPr>
                <w:rFonts w:cs="Calibri"/>
                <w:szCs w:val="16"/>
              </w:rPr>
              <w:t>Yes (refer Public information and reports: Joint implementation (JI) projects).</w:t>
            </w:r>
          </w:p>
        </w:tc>
        <w:tc>
          <w:tcPr>
            <w:tcW w:w="1985" w:type="dxa"/>
            <w:tcBorders>
              <w:top w:val="nil"/>
              <w:left w:val="nil"/>
              <w:bottom w:val="nil"/>
              <w:right w:val="nil"/>
            </w:tcBorders>
          </w:tcPr>
          <w:p w14:paraId="52987AE3" w14:textId="77777777" w:rsidR="000C2DED" w:rsidRPr="00D55370" w:rsidRDefault="000C2DED" w:rsidP="0088257A">
            <w:pPr>
              <w:pStyle w:val="TableText"/>
              <w:rPr>
                <w:rFonts w:cs="Calibri"/>
                <w:szCs w:val="16"/>
              </w:rPr>
            </w:pPr>
            <w:r w:rsidRPr="00D55370">
              <w:rPr>
                <w:rFonts w:cs="Calibri"/>
                <w:szCs w:val="16"/>
              </w:rPr>
              <w:t>Up to date</w:t>
            </w:r>
          </w:p>
        </w:tc>
        <w:tc>
          <w:tcPr>
            <w:tcW w:w="1899" w:type="dxa"/>
            <w:tcBorders>
              <w:top w:val="nil"/>
              <w:left w:val="nil"/>
              <w:bottom w:val="nil"/>
              <w:right w:val="nil"/>
            </w:tcBorders>
          </w:tcPr>
          <w:p w14:paraId="3EAF42F6" w14:textId="77777777" w:rsidR="000C2DED" w:rsidRPr="00D55370" w:rsidRDefault="000C2DED" w:rsidP="0088257A">
            <w:pPr>
              <w:pStyle w:val="TableText"/>
              <w:rPr>
                <w:rFonts w:cs="Calibri"/>
                <w:szCs w:val="16"/>
              </w:rPr>
            </w:pPr>
            <w:r w:rsidRPr="00D55370">
              <w:rPr>
                <w:rFonts w:cs="Calibri"/>
                <w:szCs w:val="16"/>
              </w:rPr>
              <w:t>NA</w:t>
            </w:r>
          </w:p>
        </w:tc>
      </w:tr>
      <w:tr w:rsidR="000C2DED" w:rsidRPr="00D55370" w14:paraId="19E30653" w14:textId="77777777" w:rsidTr="0088257A">
        <w:tc>
          <w:tcPr>
            <w:tcW w:w="2410" w:type="dxa"/>
            <w:tcBorders>
              <w:top w:val="nil"/>
              <w:left w:val="nil"/>
              <w:bottom w:val="nil"/>
              <w:right w:val="nil"/>
            </w:tcBorders>
          </w:tcPr>
          <w:p w14:paraId="36BA0EE4" w14:textId="77777777" w:rsidR="000C2DED" w:rsidRPr="00D55370" w:rsidRDefault="000C2DED" w:rsidP="0088257A">
            <w:pPr>
              <w:pStyle w:val="TableText"/>
              <w:ind w:left="284" w:hanging="284"/>
              <w:rPr>
                <w:rFonts w:cs="Calibri"/>
                <w:szCs w:val="16"/>
              </w:rPr>
            </w:pPr>
            <w:r w:rsidRPr="00D55370">
              <w:rPr>
                <w:rFonts w:cs="Calibri"/>
                <w:szCs w:val="16"/>
              </w:rPr>
              <w:t xml:space="preserve">(b) </w:t>
            </w:r>
            <w:r w:rsidRPr="00D55370">
              <w:rPr>
                <w:rFonts w:cs="Calibri"/>
                <w:szCs w:val="16"/>
              </w:rPr>
              <w:tab/>
              <w:t>Project location: the Party and town or region in which the project is located.</w:t>
            </w:r>
          </w:p>
        </w:tc>
        <w:tc>
          <w:tcPr>
            <w:tcW w:w="2268" w:type="dxa"/>
            <w:tcBorders>
              <w:top w:val="nil"/>
              <w:left w:val="nil"/>
              <w:bottom w:val="nil"/>
              <w:right w:val="nil"/>
            </w:tcBorders>
          </w:tcPr>
          <w:p w14:paraId="1ADA1F9D" w14:textId="77777777" w:rsidR="000C2DED" w:rsidRPr="00D55370" w:rsidRDefault="000C2DED" w:rsidP="0088257A">
            <w:pPr>
              <w:pStyle w:val="TableText"/>
              <w:rPr>
                <w:rFonts w:cs="Calibri"/>
                <w:szCs w:val="16"/>
                <w:highlight w:val="yellow"/>
              </w:rPr>
            </w:pPr>
            <w:r w:rsidRPr="00D55370">
              <w:rPr>
                <w:rFonts w:cs="Calibri"/>
                <w:szCs w:val="16"/>
              </w:rPr>
              <w:t>Yes (refer Public information and reports: Joint implementation (JI) projects).</w:t>
            </w:r>
          </w:p>
        </w:tc>
        <w:tc>
          <w:tcPr>
            <w:tcW w:w="1985" w:type="dxa"/>
            <w:tcBorders>
              <w:top w:val="nil"/>
              <w:left w:val="nil"/>
              <w:bottom w:val="nil"/>
              <w:right w:val="nil"/>
            </w:tcBorders>
          </w:tcPr>
          <w:p w14:paraId="3CFB9B42" w14:textId="77777777" w:rsidR="000C2DED" w:rsidRPr="00D55370" w:rsidRDefault="000C2DED" w:rsidP="0088257A">
            <w:pPr>
              <w:pStyle w:val="TableText"/>
              <w:rPr>
                <w:rFonts w:cs="Calibri"/>
                <w:szCs w:val="16"/>
              </w:rPr>
            </w:pPr>
            <w:r w:rsidRPr="00D55370">
              <w:rPr>
                <w:rFonts w:cs="Calibri"/>
                <w:szCs w:val="16"/>
              </w:rPr>
              <w:t>Up to date</w:t>
            </w:r>
          </w:p>
        </w:tc>
        <w:tc>
          <w:tcPr>
            <w:tcW w:w="1899" w:type="dxa"/>
            <w:tcBorders>
              <w:top w:val="nil"/>
              <w:left w:val="nil"/>
              <w:bottom w:val="nil"/>
              <w:right w:val="nil"/>
            </w:tcBorders>
          </w:tcPr>
          <w:p w14:paraId="1B8008EC" w14:textId="77777777" w:rsidR="000C2DED" w:rsidRPr="00D55370" w:rsidRDefault="000C2DED" w:rsidP="0088257A">
            <w:pPr>
              <w:pStyle w:val="TableText"/>
              <w:rPr>
                <w:rFonts w:cs="Calibri"/>
                <w:szCs w:val="16"/>
              </w:rPr>
            </w:pPr>
            <w:r w:rsidRPr="00D55370">
              <w:rPr>
                <w:rFonts w:cs="Calibri"/>
                <w:szCs w:val="16"/>
              </w:rPr>
              <w:t>NA</w:t>
            </w:r>
          </w:p>
        </w:tc>
      </w:tr>
      <w:tr w:rsidR="000C2DED" w:rsidRPr="00D55370" w14:paraId="15305E41" w14:textId="77777777" w:rsidTr="0088257A">
        <w:tc>
          <w:tcPr>
            <w:tcW w:w="2410" w:type="dxa"/>
            <w:tcBorders>
              <w:top w:val="nil"/>
              <w:left w:val="nil"/>
              <w:bottom w:val="nil"/>
              <w:right w:val="nil"/>
            </w:tcBorders>
          </w:tcPr>
          <w:p w14:paraId="357667A8" w14:textId="77777777" w:rsidR="000C2DED" w:rsidRPr="00D55370" w:rsidRDefault="000C2DED" w:rsidP="0088257A">
            <w:pPr>
              <w:pStyle w:val="TableText"/>
              <w:keepNext/>
              <w:ind w:left="284" w:hanging="284"/>
              <w:rPr>
                <w:rFonts w:cs="Calibri"/>
                <w:szCs w:val="16"/>
              </w:rPr>
            </w:pPr>
            <w:r w:rsidRPr="00D55370">
              <w:rPr>
                <w:rFonts w:cs="Calibri"/>
                <w:szCs w:val="16"/>
              </w:rPr>
              <w:lastRenderedPageBreak/>
              <w:t xml:space="preserve">(c) </w:t>
            </w:r>
            <w:r w:rsidRPr="00D55370">
              <w:rPr>
                <w:rFonts w:cs="Calibri"/>
                <w:szCs w:val="16"/>
              </w:rPr>
              <w:tab/>
              <w:t>Years of ERU issuance: the years when ERUs have been issued as a result of the Article 6 project.</w:t>
            </w:r>
          </w:p>
        </w:tc>
        <w:tc>
          <w:tcPr>
            <w:tcW w:w="2268" w:type="dxa"/>
            <w:tcBorders>
              <w:top w:val="nil"/>
              <w:left w:val="nil"/>
              <w:bottom w:val="nil"/>
              <w:right w:val="nil"/>
            </w:tcBorders>
          </w:tcPr>
          <w:p w14:paraId="1A737924" w14:textId="77777777" w:rsidR="000C2DED" w:rsidRPr="00D55370" w:rsidRDefault="000C2DED" w:rsidP="0088257A">
            <w:pPr>
              <w:pStyle w:val="TableText"/>
              <w:keepNext/>
              <w:spacing w:after="0"/>
              <w:rPr>
                <w:rFonts w:cs="Calibri"/>
                <w:szCs w:val="16"/>
              </w:rPr>
            </w:pPr>
            <w:r w:rsidRPr="00D55370">
              <w:rPr>
                <w:rFonts w:cs="Calibri"/>
                <w:szCs w:val="16"/>
              </w:rPr>
              <w:t xml:space="preserve">Yes (refer Public information and reports: Ministers’ directions, which lists directions relating to the transfer of emission reduction units to individual JI projects. </w:t>
            </w:r>
          </w:p>
          <w:p w14:paraId="5AFB1D23" w14:textId="77777777" w:rsidR="000C2DED" w:rsidRPr="00D55370" w:rsidRDefault="000C2DED" w:rsidP="0088257A">
            <w:pPr>
              <w:pStyle w:val="TableText"/>
              <w:keepNext/>
              <w:spacing w:after="0"/>
              <w:rPr>
                <w:rFonts w:cs="Calibri"/>
                <w:szCs w:val="16"/>
              </w:rPr>
            </w:pPr>
            <w:r w:rsidRPr="00D55370">
              <w:rPr>
                <w:rFonts w:cs="Calibri"/>
                <w:szCs w:val="16"/>
              </w:rPr>
              <w:t>The New Zealand Emission Trading Register Unit Holding and Transaction Summary Report shows in aggregate the total ERUs converted from AAUs by year).</w:t>
            </w:r>
          </w:p>
        </w:tc>
        <w:tc>
          <w:tcPr>
            <w:tcW w:w="1985" w:type="dxa"/>
            <w:tcBorders>
              <w:top w:val="nil"/>
              <w:left w:val="nil"/>
              <w:bottom w:val="nil"/>
              <w:right w:val="nil"/>
            </w:tcBorders>
          </w:tcPr>
          <w:p w14:paraId="6E99B75B" w14:textId="77777777" w:rsidR="000C2DED" w:rsidRPr="00D55370" w:rsidRDefault="000C2DED" w:rsidP="0088257A">
            <w:pPr>
              <w:pStyle w:val="TableText"/>
              <w:keepNext/>
              <w:spacing w:after="0"/>
              <w:rPr>
                <w:rFonts w:cs="Calibri"/>
                <w:szCs w:val="16"/>
              </w:rPr>
            </w:pPr>
            <w:r w:rsidRPr="00D55370">
              <w:rPr>
                <w:rFonts w:cs="Calibri"/>
                <w:szCs w:val="16"/>
              </w:rPr>
              <w:t>Joint implementation projects annually by 31 January for the previous calendar year</w:t>
            </w:r>
          </w:p>
          <w:p w14:paraId="1A1C10A0" w14:textId="77777777" w:rsidR="000C2DED" w:rsidRPr="00D55370" w:rsidRDefault="000C2DED" w:rsidP="0088257A">
            <w:pPr>
              <w:pStyle w:val="TableText"/>
              <w:keepNext/>
              <w:rPr>
                <w:rFonts w:cs="Calibri"/>
                <w:szCs w:val="16"/>
              </w:rPr>
            </w:pPr>
            <w:r w:rsidRPr="00D55370">
              <w:rPr>
                <w:rFonts w:cs="Calibri"/>
                <w:szCs w:val="16"/>
              </w:rPr>
              <w:t>Ministers’ directions – up to date (note, refreshed daily)</w:t>
            </w:r>
          </w:p>
        </w:tc>
        <w:tc>
          <w:tcPr>
            <w:tcW w:w="1899" w:type="dxa"/>
            <w:tcBorders>
              <w:top w:val="nil"/>
              <w:left w:val="nil"/>
              <w:bottom w:val="nil"/>
              <w:right w:val="nil"/>
            </w:tcBorders>
          </w:tcPr>
          <w:p w14:paraId="41B699A0" w14:textId="77777777" w:rsidR="000C2DED" w:rsidRPr="00D55370" w:rsidRDefault="000C2DED" w:rsidP="0088257A">
            <w:pPr>
              <w:pStyle w:val="TableText"/>
              <w:keepNext/>
              <w:rPr>
                <w:rFonts w:cs="Calibri"/>
                <w:szCs w:val="16"/>
              </w:rPr>
            </w:pPr>
            <w:r w:rsidRPr="00D55370">
              <w:rPr>
                <w:rFonts w:cs="Calibri"/>
                <w:szCs w:val="16"/>
              </w:rPr>
              <w:t>NA</w:t>
            </w:r>
          </w:p>
        </w:tc>
      </w:tr>
      <w:tr w:rsidR="000C2DED" w:rsidRPr="00D55370" w14:paraId="314FF947" w14:textId="77777777" w:rsidTr="0088257A">
        <w:tc>
          <w:tcPr>
            <w:tcW w:w="2410" w:type="dxa"/>
            <w:tcBorders>
              <w:top w:val="nil"/>
              <w:left w:val="nil"/>
              <w:bottom w:val="single" w:sz="4" w:space="0" w:color="1B556B"/>
              <w:right w:val="nil"/>
            </w:tcBorders>
          </w:tcPr>
          <w:p w14:paraId="7B9C8FE5" w14:textId="77777777" w:rsidR="000C2DED" w:rsidRPr="00D55370" w:rsidRDefault="000C2DED" w:rsidP="0088257A">
            <w:pPr>
              <w:pStyle w:val="TableText"/>
              <w:keepNext/>
              <w:ind w:left="284" w:hanging="284"/>
              <w:rPr>
                <w:rFonts w:cs="Calibri"/>
                <w:szCs w:val="16"/>
              </w:rPr>
            </w:pPr>
            <w:r w:rsidRPr="00D55370">
              <w:rPr>
                <w:rFonts w:cs="Calibri"/>
                <w:szCs w:val="16"/>
              </w:rPr>
              <w:t xml:space="preserve">(d) </w:t>
            </w:r>
            <w:r w:rsidRPr="00D55370">
              <w:rPr>
                <w:rFonts w:cs="Calibri"/>
                <w:szCs w:val="16"/>
              </w:rPr>
              <w:tab/>
              <w:t>Reports: downloadable electronic versions of all publicly available documentation relating to the project, including proposals, monitoring, verification and issuance of ERUs, where relevant, subject to the confidentiality provisions in decision 9/CMP.1.</w:t>
            </w:r>
          </w:p>
        </w:tc>
        <w:tc>
          <w:tcPr>
            <w:tcW w:w="2268" w:type="dxa"/>
            <w:tcBorders>
              <w:top w:val="nil"/>
              <w:left w:val="nil"/>
              <w:bottom w:val="single" w:sz="4" w:space="0" w:color="1B556B"/>
              <w:right w:val="nil"/>
            </w:tcBorders>
          </w:tcPr>
          <w:p w14:paraId="40492B71" w14:textId="256E7DDB" w:rsidR="000C2DED" w:rsidRPr="00D55370" w:rsidRDefault="000C2DED" w:rsidP="0088257A">
            <w:pPr>
              <w:pStyle w:val="TableText"/>
              <w:spacing w:after="0"/>
              <w:rPr>
                <w:rFonts w:cs="Calibri"/>
                <w:szCs w:val="16"/>
              </w:rPr>
            </w:pPr>
            <w:r w:rsidRPr="00D55370">
              <w:rPr>
                <w:rFonts w:cs="Calibri"/>
                <w:szCs w:val="16"/>
              </w:rPr>
              <w:t>Partial – some of this information is published on the</w:t>
            </w:r>
            <w:r>
              <w:rPr>
                <w:rFonts w:cs="Calibri"/>
                <w:szCs w:val="16"/>
              </w:rPr>
              <w:t> </w:t>
            </w:r>
            <w:r w:rsidRPr="00D55370">
              <w:rPr>
                <w:rFonts w:cs="Calibri"/>
                <w:szCs w:val="16"/>
              </w:rPr>
              <w:t>UNFCCC’s website for JI projects</w:t>
            </w:r>
            <w:r>
              <w:rPr>
                <w:rFonts w:cs="Calibri"/>
                <w:szCs w:val="16"/>
              </w:rPr>
              <w:t xml:space="preserve"> </w:t>
            </w:r>
            <w:r w:rsidRPr="00D55370">
              <w:rPr>
                <w:rFonts w:cs="Calibri"/>
                <w:szCs w:val="16"/>
              </w:rPr>
              <w:t xml:space="preserve">at </w:t>
            </w:r>
            <w:hyperlink r:id="rId282" w:history="1">
              <w:r w:rsidRPr="00D55370">
                <w:rPr>
                  <w:rStyle w:val="Hyperlink"/>
                  <w:rFonts w:cs="Calibri"/>
                  <w:szCs w:val="16"/>
                </w:rPr>
                <w:t>https://ji.unfccc.int/JI_Parties/DB/E48QQ342M7VSOFWEI6MTBKVVF9NFAM/viewDFP</w:t>
              </w:r>
            </w:hyperlink>
            <w:r w:rsidRPr="00D55370">
              <w:rPr>
                <w:rFonts w:cs="Calibri"/>
                <w:szCs w:val="16"/>
              </w:rPr>
              <w:t xml:space="preserve"> </w:t>
            </w:r>
          </w:p>
          <w:p w14:paraId="52147394" w14:textId="77777777" w:rsidR="000C2DED" w:rsidRPr="00D55370" w:rsidRDefault="000C2DED" w:rsidP="0088257A">
            <w:pPr>
              <w:pStyle w:val="TableText"/>
              <w:spacing w:after="0"/>
              <w:rPr>
                <w:rFonts w:cs="Calibri"/>
                <w:szCs w:val="16"/>
              </w:rPr>
            </w:pPr>
            <w:r w:rsidRPr="00D55370">
              <w:rPr>
                <w:rFonts w:cs="Calibri"/>
                <w:szCs w:val="16"/>
              </w:rPr>
              <w:t>This provides a link to the project documentation on the UNFCCC site and is not replicated on the New Zealand’s national registry website.</w:t>
            </w:r>
          </w:p>
          <w:p w14:paraId="75A2D352" w14:textId="77777777" w:rsidR="000C2DED" w:rsidRPr="00D55370" w:rsidRDefault="000C2DED" w:rsidP="0088257A">
            <w:pPr>
              <w:pStyle w:val="TableText"/>
              <w:rPr>
                <w:rFonts w:cs="Calibri"/>
                <w:szCs w:val="16"/>
              </w:rPr>
            </w:pPr>
            <w:r w:rsidRPr="00D55370">
              <w:rPr>
                <w:rFonts w:cs="Calibri"/>
                <w:szCs w:val="16"/>
              </w:rPr>
              <w:t>Project proposals are not included as they contain financial information that is considered to be commercially sensitive and confidential.</w:t>
            </w:r>
          </w:p>
        </w:tc>
        <w:tc>
          <w:tcPr>
            <w:tcW w:w="1985" w:type="dxa"/>
            <w:tcBorders>
              <w:top w:val="nil"/>
              <w:left w:val="nil"/>
              <w:bottom w:val="single" w:sz="4" w:space="0" w:color="1B556B"/>
              <w:right w:val="nil"/>
            </w:tcBorders>
          </w:tcPr>
          <w:p w14:paraId="0291F9D6" w14:textId="77777777" w:rsidR="000C2DED" w:rsidRPr="00D55370" w:rsidRDefault="000C2DED" w:rsidP="0088257A">
            <w:pPr>
              <w:pStyle w:val="TableText"/>
              <w:rPr>
                <w:rFonts w:cs="Calibri"/>
                <w:szCs w:val="16"/>
              </w:rPr>
            </w:pPr>
            <w:r w:rsidRPr="00D55370">
              <w:rPr>
                <w:rFonts w:cs="Calibri"/>
                <w:szCs w:val="16"/>
              </w:rPr>
              <w:t>This information becomes publicly available once New Zealand gives its approval to the JI project. The information is then updated when necessary and annual reports are added annually.</w:t>
            </w:r>
          </w:p>
        </w:tc>
        <w:tc>
          <w:tcPr>
            <w:tcW w:w="1899" w:type="dxa"/>
            <w:tcBorders>
              <w:top w:val="nil"/>
              <w:left w:val="nil"/>
              <w:bottom w:val="single" w:sz="4" w:space="0" w:color="1B556B"/>
              <w:right w:val="nil"/>
            </w:tcBorders>
          </w:tcPr>
          <w:p w14:paraId="352A42C3" w14:textId="77777777" w:rsidR="000C2DED" w:rsidRPr="00D55370" w:rsidRDefault="000C2DED" w:rsidP="0088257A">
            <w:pPr>
              <w:pStyle w:val="TableText"/>
              <w:rPr>
                <w:rFonts w:cs="Calibri"/>
                <w:szCs w:val="16"/>
              </w:rPr>
            </w:pPr>
            <w:r w:rsidRPr="00D55370">
              <w:rPr>
                <w:rFonts w:cs="Calibri"/>
                <w:szCs w:val="16"/>
              </w:rPr>
              <w:t>NA</w:t>
            </w:r>
          </w:p>
        </w:tc>
      </w:tr>
      <w:tr w:rsidR="000C2DED" w:rsidRPr="00D55370" w14:paraId="1452F46F" w14:textId="77777777" w:rsidTr="0088257A">
        <w:tc>
          <w:tcPr>
            <w:tcW w:w="2410" w:type="dxa"/>
            <w:tcBorders>
              <w:top w:val="single" w:sz="4" w:space="0" w:color="1B556B"/>
              <w:left w:val="nil"/>
              <w:bottom w:val="nil"/>
              <w:right w:val="nil"/>
            </w:tcBorders>
          </w:tcPr>
          <w:p w14:paraId="641AD961" w14:textId="77777777" w:rsidR="000C2DED" w:rsidRPr="00D55370" w:rsidRDefault="000C2DED" w:rsidP="0088257A">
            <w:pPr>
              <w:pStyle w:val="TableText"/>
              <w:spacing w:after="0"/>
              <w:ind w:left="284" w:hanging="284"/>
              <w:rPr>
                <w:rFonts w:cs="Calibri"/>
                <w:szCs w:val="16"/>
              </w:rPr>
            </w:pPr>
            <w:r w:rsidRPr="00D55370">
              <w:rPr>
                <w:rFonts w:cs="Calibri"/>
                <w:szCs w:val="16"/>
              </w:rPr>
              <w:t xml:space="preserve">47. </w:t>
            </w:r>
            <w:r w:rsidRPr="00D55370">
              <w:rPr>
                <w:rFonts w:cs="Calibri"/>
                <w:szCs w:val="16"/>
              </w:rPr>
              <w:tab/>
              <w:t>The information referred to in paragraph 44 shall include the following holding and transaction information relevant to the national registry, by serial number, for each calendar year (defined according to Greenwich Mean Time):</w:t>
            </w:r>
          </w:p>
        </w:tc>
        <w:tc>
          <w:tcPr>
            <w:tcW w:w="4253" w:type="dxa"/>
            <w:gridSpan w:val="2"/>
            <w:tcBorders>
              <w:top w:val="single" w:sz="4" w:space="0" w:color="1B556B"/>
              <w:left w:val="nil"/>
              <w:bottom w:val="nil"/>
              <w:right w:val="nil"/>
            </w:tcBorders>
          </w:tcPr>
          <w:p w14:paraId="75124E1A" w14:textId="77777777" w:rsidR="000C2DED" w:rsidRPr="00D55370" w:rsidRDefault="000C2DED" w:rsidP="0088257A">
            <w:pPr>
              <w:pStyle w:val="TableText"/>
              <w:rPr>
                <w:rFonts w:cs="Calibri"/>
                <w:szCs w:val="16"/>
              </w:rPr>
            </w:pPr>
          </w:p>
        </w:tc>
        <w:tc>
          <w:tcPr>
            <w:tcW w:w="1899" w:type="dxa"/>
            <w:tcBorders>
              <w:top w:val="single" w:sz="4" w:space="0" w:color="1B556B"/>
              <w:left w:val="nil"/>
              <w:bottom w:val="nil"/>
              <w:right w:val="nil"/>
            </w:tcBorders>
          </w:tcPr>
          <w:p w14:paraId="5A4B42EA" w14:textId="77777777" w:rsidR="000C2DED" w:rsidRPr="00D55370" w:rsidRDefault="000C2DED" w:rsidP="0088257A">
            <w:pPr>
              <w:pStyle w:val="TableText"/>
              <w:rPr>
                <w:rFonts w:cs="Calibri"/>
                <w:szCs w:val="16"/>
              </w:rPr>
            </w:pPr>
          </w:p>
        </w:tc>
      </w:tr>
      <w:tr w:rsidR="000C2DED" w:rsidRPr="00D55370" w14:paraId="4C7BCF0C" w14:textId="77777777" w:rsidTr="0088257A">
        <w:tc>
          <w:tcPr>
            <w:tcW w:w="2410" w:type="dxa"/>
            <w:tcBorders>
              <w:top w:val="nil"/>
              <w:left w:val="nil"/>
              <w:bottom w:val="nil"/>
              <w:right w:val="nil"/>
            </w:tcBorders>
          </w:tcPr>
          <w:p w14:paraId="4D780F9B" w14:textId="77777777" w:rsidR="000C2DED" w:rsidRPr="00D55370" w:rsidRDefault="000C2DED" w:rsidP="0088257A">
            <w:pPr>
              <w:pStyle w:val="TableText"/>
              <w:ind w:left="284" w:hanging="284"/>
              <w:rPr>
                <w:rFonts w:cs="Calibri"/>
                <w:szCs w:val="16"/>
              </w:rPr>
            </w:pPr>
            <w:r w:rsidRPr="00D55370">
              <w:rPr>
                <w:rFonts w:cs="Calibri"/>
                <w:szCs w:val="16"/>
              </w:rPr>
              <w:t xml:space="preserve">(a) </w:t>
            </w:r>
            <w:r w:rsidRPr="00D55370">
              <w:rPr>
                <w:rFonts w:cs="Calibri"/>
                <w:szCs w:val="16"/>
              </w:rPr>
              <w:tab/>
              <w:t>The total quantity of ERUs, CERs, AAUs and RMUs in each account at the beginning of the year.</w:t>
            </w:r>
          </w:p>
        </w:tc>
        <w:tc>
          <w:tcPr>
            <w:tcW w:w="2268" w:type="dxa"/>
            <w:tcBorders>
              <w:top w:val="nil"/>
              <w:left w:val="nil"/>
              <w:bottom w:val="nil"/>
              <w:right w:val="nil"/>
            </w:tcBorders>
          </w:tcPr>
          <w:p w14:paraId="11FB7984" w14:textId="77777777" w:rsidR="000C2DED" w:rsidRPr="00D55370" w:rsidRDefault="000C2DED" w:rsidP="0088257A">
            <w:pPr>
              <w:pStyle w:val="TableText"/>
              <w:spacing w:after="0"/>
              <w:rPr>
                <w:rFonts w:cs="Calibri"/>
                <w:szCs w:val="16"/>
              </w:rPr>
            </w:pPr>
            <w:r w:rsidRPr="00D55370">
              <w:rPr>
                <w:rFonts w:cs="Calibri"/>
                <w:szCs w:val="16"/>
              </w:rPr>
              <w:t>Partial – aggregate unit holdings of ERUs, CERs, AAUs and RMUs for the previous calendar year are disclosed by 31 January of each year (refer Public information and reports: Holding &amp; transaction summary).</w:t>
            </w:r>
          </w:p>
          <w:p w14:paraId="77716603" w14:textId="77777777" w:rsidR="000C2DED" w:rsidRPr="00D55370" w:rsidRDefault="000C2DED" w:rsidP="0088257A">
            <w:pPr>
              <w:pStyle w:val="TableText"/>
              <w:spacing w:after="0"/>
              <w:rPr>
                <w:rFonts w:cs="Calibri"/>
                <w:szCs w:val="16"/>
              </w:rPr>
            </w:pPr>
            <w:r w:rsidRPr="00D55370">
              <w:rPr>
                <w:rFonts w:cs="Calibri"/>
                <w:szCs w:val="16"/>
              </w:rPr>
              <w:t>Total quantity of unit holdings in each account within the most recent calendar year is considered to be confidential information. Therefore the total quantity of unit holdings in each account provided consists of only those completed more than one year in the past.</w:t>
            </w:r>
          </w:p>
          <w:p w14:paraId="54636F9C" w14:textId="77777777" w:rsidR="000C2DED" w:rsidRPr="00D55370" w:rsidRDefault="000C2DED" w:rsidP="0088257A">
            <w:pPr>
              <w:pStyle w:val="TableText"/>
              <w:rPr>
                <w:rFonts w:cs="Calibri"/>
                <w:szCs w:val="16"/>
              </w:rPr>
            </w:pPr>
            <w:r w:rsidRPr="00D55370">
              <w:rPr>
                <w:rFonts w:cs="Calibri"/>
                <w:szCs w:val="16"/>
              </w:rPr>
              <w:t>(Refer Public information and reports: Kyoto unit holdings by account. Use Search Criteria to find information about more than one year in the past.)</w:t>
            </w:r>
          </w:p>
        </w:tc>
        <w:tc>
          <w:tcPr>
            <w:tcW w:w="1985" w:type="dxa"/>
            <w:tcBorders>
              <w:top w:val="nil"/>
              <w:left w:val="nil"/>
              <w:bottom w:val="nil"/>
              <w:right w:val="nil"/>
            </w:tcBorders>
          </w:tcPr>
          <w:p w14:paraId="05BD8A85" w14:textId="77777777" w:rsidR="000C2DED" w:rsidRPr="00D55370" w:rsidRDefault="000C2DED" w:rsidP="0088257A">
            <w:pPr>
              <w:pStyle w:val="TableText"/>
              <w:rPr>
                <w:rFonts w:cs="Calibri"/>
                <w:szCs w:val="16"/>
              </w:rPr>
            </w:pPr>
            <w:r w:rsidRPr="00D55370">
              <w:rPr>
                <w:rFonts w:cs="Calibri"/>
                <w:szCs w:val="16"/>
              </w:rPr>
              <w:t>Annually by 31 January for the previous calendar year 1 January for the beginning of the previous calendar year</w:t>
            </w:r>
          </w:p>
        </w:tc>
        <w:tc>
          <w:tcPr>
            <w:tcW w:w="1899" w:type="dxa"/>
            <w:tcBorders>
              <w:top w:val="nil"/>
              <w:left w:val="nil"/>
              <w:bottom w:val="nil"/>
              <w:right w:val="nil"/>
            </w:tcBorders>
          </w:tcPr>
          <w:p w14:paraId="5377B16F" w14:textId="77777777" w:rsidR="000C2DED" w:rsidRPr="00D55370" w:rsidRDefault="000C2DED" w:rsidP="0088257A">
            <w:pPr>
              <w:pStyle w:val="TableText"/>
              <w:spacing w:after="0"/>
              <w:rPr>
                <w:rFonts w:cs="Calibri"/>
                <w:szCs w:val="16"/>
              </w:rPr>
            </w:pPr>
            <w:r w:rsidRPr="00D55370">
              <w:rPr>
                <w:rFonts w:cs="Calibri"/>
                <w:szCs w:val="16"/>
              </w:rPr>
              <w:t xml:space="preserve">Section 27(2) of the Climate Change Response Act 2002 requires total holdings of AAUs, ERUs, CERs, ICERs, tCERs and RMUs to be publicly available by 31 January of each year for the previous calendar year. </w:t>
            </w:r>
          </w:p>
          <w:p w14:paraId="31DED41B" w14:textId="77777777" w:rsidR="000C2DED" w:rsidRPr="00D55370" w:rsidRDefault="000C2DED" w:rsidP="0088257A">
            <w:pPr>
              <w:pStyle w:val="TableText"/>
              <w:rPr>
                <w:rFonts w:cs="Calibri"/>
                <w:szCs w:val="16"/>
              </w:rPr>
            </w:pPr>
            <w:r w:rsidRPr="00D55370">
              <w:rPr>
                <w:rFonts w:cs="Calibri"/>
                <w:szCs w:val="16"/>
              </w:rPr>
              <w:t xml:space="preserve">Section 27(3) of the Climate Change Response Act 2002 only requires holdings of Kyoto units by each holding account for the beginning of the previous calendar year to be made publicly available. </w:t>
            </w:r>
          </w:p>
        </w:tc>
      </w:tr>
      <w:tr w:rsidR="000C2DED" w:rsidRPr="00D55370" w14:paraId="3AAE63E6" w14:textId="77777777" w:rsidTr="0088257A">
        <w:tc>
          <w:tcPr>
            <w:tcW w:w="2410" w:type="dxa"/>
            <w:tcBorders>
              <w:top w:val="nil"/>
              <w:left w:val="nil"/>
              <w:bottom w:val="nil"/>
              <w:right w:val="nil"/>
            </w:tcBorders>
          </w:tcPr>
          <w:p w14:paraId="44C2E4E3" w14:textId="77777777" w:rsidR="000C2DED" w:rsidRPr="00D55370" w:rsidRDefault="000C2DED" w:rsidP="0088257A">
            <w:pPr>
              <w:pStyle w:val="TableText"/>
              <w:spacing w:before="50" w:after="0"/>
              <w:ind w:left="284" w:hanging="284"/>
              <w:rPr>
                <w:rFonts w:cs="Calibri"/>
                <w:szCs w:val="16"/>
              </w:rPr>
            </w:pPr>
            <w:r w:rsidRPr="00D55370">
              <w:rPr>
                <w:rFonts w:cs="Calibri"/>
                <w:szCs w:val="16"/>
              </w:rPr>
              <w:lastRenderedPageBreak/>
              <w:t xml:space="preserve">(b) </w:t>
            </w:r>
            <w:r w:rsidRPr="00D55370">
              <w:rPr>
                <w:rFonts w:cs="Calibri"/>
                <w:szCs w:val="16"/>
              </w:rPr>
              <w:tab/>
              <w:t>The total quantity of AAUs issued on the basis of the assigned amount pursuant to Article 3, paragraphs 7 and 8.</w:t>
            </w:r>
          </w:p>
        </w:tc>
        <w:tc>
          <w:tcPr>
            <w:tcW w:w="2268" w:type="dxa"/>
            <w:tcBorders>
              <w:top w:val="nil"/>
              <w:left w:val="nil"/>
              <w:bottom w:val="nil"/>
              <w:right w:val="nil"/>
            </w:tcBorders>
          </w:tcPr>
          <w:p w14:paraId="03D3B707" w14:textId="77777777" w:rsidR="000C2DED" w:rsidRPr="00D55370" w:rsidRDefault="000C2DED" w:rsidP="0088257A">
            <w:pPr>
              <w:pStyle w:val="TableText"/>
              <w:spacing w:before="50" w:after="50"/>
              <w:rPr>
                <w:rFonts w:cs="Calibri"/>
                <w:szCs w:val="16"/>
              </w:rPr>
            </w:pPr>
            <w:r w:rsidRPr="00D55370">
              <w:rPr>
                <w:rFonts w:cs="Calibri"/>
                <w:szCs w:val="16"/>
              </w:rPr>
              <w:t>Yes (refer Public information and reports: Holding &amp; transaction summary).</w:t>
            </w:r>
          </w:p>
        </w:tc>
        <w:tc>
          <w:tcPr>
            <w:tcW w:w="1985" w:type="dxa"/>
            <w:tcBorders>
              <w:top w:val="nil"/>
              <w:left w:val="nil"/>
              <w:bottom w:val="nil"/>
              <w:right w:val="nil"/>
            </w:tcBorders>
          </w:tcPr>
          <w:p w14:paraId="6C2143DC" w14:textId="77777777" w:rsidR="000C2DED" w:rsidRPr="00D55370" w:rsidRDefault="000C2DED" w:rsidP="0088257A">
            <w:pPr>
              <w:pStyle w:val="TableText"/>
              <w:spacing w:before="50" w:after="50"/>
              <w:rPr>
                <w:rFonts w:cs="Calibri"/>
                <w:szCs w:val="16"/>
              </w:rPr>
            </w:pPr>
            <w:r w:rsidRPr="00D55370">
              <w:rPr>
                <w:rFonts w:cs="Calibri"/>
                <w:szCs w:val="16"/>
              </w:rPr>
              <w:t>Annually by 31 January for the previous calendar year</w:t>
            </w:r>
          </w:p>
        </w:tc>
        <w:tc>
          <w:tcPr>
            <w:tcW w:w="1899" w:type="dxa"/>
            <w:tcBorders>
              <w:top w:val="nil"/>
              <w:left w:val="nil"/>
              <w:bottom w:val="nil"/>
              <w:right w:val="nil"/>
            </w:tcBorders>
          </w:tcPr>
          <w:p w14:paraId="5335313A" w14:textId="77777777" w:rsidR="000C2DED" w:rsidRPr="00D55370" w:rsidRDefault="000C2DED" w:rsidP="0088257A">
            <w:pPr>
              <w:pStyle w:val="TableText"/>
              <w:spacing w:before="50" w:after="50"/>
              <w:rPr>
                <w:rFonts w:cs="Calibri"/>
                <w:szCs w:val="16"/>
              </w:rPr>
            </w:pPr>
            <w:r w:rsidRPr="00D55370">
              <w:rPr>
                <w:rFonts w:cs="Calibri"/>
                <w:szCs w:val="16"/>
              </w:rPr>
              <w:t>NA</w:t>
            </w:r>
          </w:p>
        </w:tc>
      </w:tr>
      <w:tr w:rsidR="000C2DED" w:rsidRPr="00D55370" w14:paraId="629A44BE" w14:textId="77777777" w:rsidTr="0088257A">
        <w:tc>
          <w:tcPr>
            <w:tcW w:w="2410" w:type="dxa"/>
            <w:tcBorders>
              <w:top w:val="nil"/>
              <w:left w:val="nil"/>
              <w:bottom w:val="nil"/>
              <w:right w:val="nil"/>
            </w:tcBorders>
          </w:tcPr>
          <w:p w14:paraId="4F3B42A0" w14:textId="77777777" w:rsidR="000C2DED" w:rsidRPr="00D55370" w:rsidRDefault="000C2DED" w:rsidP="0088257A">
            <w:pPr>
              <w:pStyle w:val="TableText"/>
              <w:spacing w:before="50" w:after="50"/>
              <w:ind w:left="284" w:hanging="284"/>
              <w:rPr>
                <w:rFonts w:cs="Calibri"/>
                <w:szCs w:val="16"/>
              </w:rPr>
            </w:pPr>
            <w:r w:rsidRPr="00D55370">
              <w:rPr>
                <w:rFonts w:cs="Calibri"/>
                <w:szCs w:val="16"/>
              </w:rPr>
              <w:t xml:space="preserve">(c) </w:t>
            </w:r>
            <w:r w:rsidRPr="00D55370">
              <w:rPr>
                <w:rFonts w:cs="Calibri"/>
                <w:szCs w:val="16"/>
              </w:rPr>
              <w:tab/>
              <w:t>The total quantity of ERUs issued on the basis of Article 6 projects.</w:t>
            </w:r>
          </w:p>
        </w:tc>
        <w:tc>
          <w:tcPr>
            <w:tcW w:w="2268" w:type="dxa"/>
            <w:tcBorders>
              <w:top w:val="nil"/>
              <w:left w:val="nil"/>
              <w:bottom w:val="nil"/>
              <w:right w:val="nil"/>
            </w:tcBorders>
          </w:tcPr>
          <w:p w14:paraId="2F77C653" w14:textId="77777777" w:rsidR="000C2DED" w:rsidRPr="00D55370" w:rsidRDefault="000C2DED" w:rsidP="0088257A">
            <w:pPr>
              <w:pStyle w:val="TableText"/>
              <w:spacing w:before="50" w:after="0"/>
              <w:rPr>
                <w:rFonts w:cs="Calibri"/>
                <w:szCs w:val="16"/>
              </w:rPr>
            </w:pPr>
            <w:r w:rsidRPr="00D55370">
              <w:rPr>
                <w:rFonts w:cs="Calibri"/>
                <w:szCs w:val="16"/>
              </w:rPr>
              <w:t>Yes (refer Public information and reports: Holding &amp; transaction summary – Units converted to).</w:t>
            </w:r>
          </w:p>
        </w:tc>
        <w:tc>
          <w:tcPr>
            <w:tcW w:w="1985" w:type="dxa"/>
            <w:tcBorders>
              <w:top w:val="nil"/>
              <w:left w:val="nil"/>
              <w:bottom w:val="nil"/>
              <w:right w:val="nil"/>
            </w:tcBorders>
          </w:tcPr>
          <w:p w14:paraId="21001B99" w14:textId="77777777" w:rsidR="000C2DED" w:rsidRPr="00D55370" w:rsidRDefault="000C2DED" w:rsidP="0088257A">
            <w:pPr>
              <w:pStyle w:val="TableText"/>
              <w:spacing w:before="50" w:after="50"/>
              <w:rPr>
                <w:rFonts w:cs="Calibri"/>
                <w:szCs w:val="16"/>
              </w:rPr>
            </w:pPr>
            <w:r w:rsidRPr="00D55370">
              <w:rPr>
                <w:rFonts w:cs="Calibri"/>
                <w:szCs w:val="16"/>
              </w:rPr>
              <w:t>Annually by 31 January for the previous calendar year</w:t>
            </w:r>
          </w:p>
        </w:tc>
        <w:tc>
          <w:tcPr>
            <w:tcW w:w="1899" w:type="dxa"/>
            <w:tcBorders>
              <w:top w:val="nil"/>
              <w:left w:val="nil"/>
              <w:bottom w:val="nil"/>
              <w:right w:val="nil"/>
            </w:tcBorders>
          </w:tcPr>
          <w:p w14:paraId="1C2F6DF6" w14:textId="77777777" w:rsidR="000C2DED" w:rsidRPr="00D55370" w:rsidRDefault="000C2DED" w:rsidP="0088257A">
            <w:pPr>
              <w:pStyle w:val="TableText"/>
              <w:spacing w:before="50" w:after="50"/>
              <w:rPr>
                <w:rFonts w:cs="Calibri"/>
                <w:szCs w:val="16"/>
              </w:rPr>
            </w:pPr>
            <w:r w:rsidRPr="00D55370">
              <w:rPr>
                <w:rFonts w:cs="Calibri"/>
                <w:szCs w:val="16"/>
              </w:rPr>
              <w:t>NA</w:t>
            </w:r>
          </w:p>
        </w:tc>
      </w:tr>
      <w:tr w:rsidR="000C2DED" w:rsidRPr="00D55370" w14:paraId="6DA4D372" w14:textId="77777777" w:rsidTr="0088257A">
        <w:tc>
          <w:tcPr>
            <w:tcW w:w="2410" w:type="dxa"/>
            <w:tcBorders>
              <w:top w:val="nil"/>
              <w:left w:val="nil"/>
              <w:bottom w:val="nil"/>
              <w:right w:val="nil"/>
            </w:tcBorders>
          </w:tcPr>
          <w:p w14:paraId="534C06B6" w14:textId="77777777" w:rsidR="000C2DED" w:rsidRPr="00D55370" w:rsidRDefault="000C2DED" w:rsidP="0088257A">
            <w:pPr>
              <w:pStyle w:val="TableText"/>
              <w:ind w:left="284" w:hanging="284"/>
              <w:rPr>
                <w:rFonts w:cs="Calibri"/>
                <w:szCs w:val="16"/>
              </w:rPr>
            </w:pPr>
            <w:r w:rsidRPr="00D55370">
              <w:rPr>
                <w:rFonts w:cs="Calibri"/>
                <w:szCs w:val="16"/>
              </w:rPr>
              <w:t xml:space="preserve">(d) </w:t>
            </w:r>
            <w:r w:rsidRPr="00D55370">
              <w:rPr>
                <w:rFonts w:cs="Calibri"/>
                <w:szCs w:val="16"/>
              </w:rPr>
              <w:tab/>
              <w:t>The total quantity of ERUs, CERs, AAUs and RMUs acquired from other registries and the identity of the transferring accounts and registries.</w:t>
            </w:r>
          </w:p>
        </w:tc>
        <w:tc>
          <w:tcPr>
            <w:tcW w:w="2268" w:type="dxa"/>
            <w:tcBorders>
              <w:top w:val="nil"/>
              <w:left w:val="nil"/>
              <w:bottom w:val="nil"/>
              <w:right w:val="nil"/>
            </w:tcBorders>
          </w:tcPr>
          <w:p w14:paraId="26AA5E38" w14:textId="77777777" w:rsidR="000C2DED" w:rsidRPr="00D55370" w:rsidRDefault="000C2DED" w:rsidP="0088257A">
            <w:pPr>
              <w:pStyle w:val="TableText"/>
              <w:spacing w:after="0"/>
              <w:rPr>
                <w:rFonts w:cs="Calibri"/>
                <w:szCs w:val="16"/>
              </w:rPr>
            </w:pPr>
            <w:r w:rsidRPr="00D55370">
              <w:rPr>
                <w:rFonts w:cs="Calibri"/>
                <w:szCs w:val="16"/>
              </w:rPr>
              <w:t xml:space="preserve">Partial – the total quantity of ERUs, CERs, AAUs and RMUs acquired from other registries, and the identity of the registries is publicly available by 31 January for the previous calendar year (refer Public information and reports: Incoming transactions by year). </w:t>
            </w:r>
          </w:p>
          <w:p w14:paraId="70ED459C" w14:textId="77777777" w:rsidR="000C2DED" w:rsidRPr="00D55370" w:rsidRDefault="000C2DED" w:rsidP="0088257A">
            <w:pPr>
              <w:pStyle w:val="TableText"/>
              <w:rPr>
                <w:rFonts w:cs="Calibri"/>
                <w:szCs w:val="16"/>
              </w:rPr>
            </w:pPr>
            <w:r w:rsidRPr="00D55370">
              <w:rPr>
                <w:rFonts w:cs="Calibri"/>
                <w:szCs w:val="16"/>
              </w:rPr>
              <w:t>The identity of the individual transferring accounts is not available as it is considered to be confidential information.</w:t>
            </w:r>
          </w:p>
        </w:tc>
        <w:tc>
          <w:tcPr>
            <w:tcW w:w="1985" w:type="dxa"/>
            <w:tcBorders>
              <w:top w:val="nil"/>
              <w:left w:val="nil"/>
              <w:bottom w:val="nil"/>
              <w:right w:val="nil"/>
            </w:tcBorders>
          </w:tcPr>
          <w:p w14:paraId="59946583" w14:textId="77777777" w:rsidR="000C2DED" w:rsidRPr="00D55370" w:rsidRDefault="000C2DED" w:rsidP="0088257A">
            <w:pPr>
              <w:pStyle w:val="TableText"/>
              <w:rPr>
                <w:rFonts w:cs="Calibri"/>
                <w:szCs w:val="16"/>
              </w:rPr>
            </w:pPr>
            <w:r w:rsidRPr="00D55370">
              <w:rPr>
                <w:rFonts w:cs="Calibri"/>
                <w:szCs w:val="16"/>
              </w:rPr>
              <w:t>Annually by 31 January for the previous calendar year</w:t>
            </w:r>
          </w:p>
        </w:tc>
        <w:tc>
          <w:tcPr>
            <w:tcW w:w="1899" w:type="dxa"/>
            <w:tcBorders>
              <w:top w:val="nil"/>
              <w:left w:val="nil"/>
              <w:bottom w:val="nil"/>
              <w:right w:val="nil"/>
            </w:tcBorders>
          </w:tcPr>
          <w:p w14:paraId="2D072589" w14:textId="77777777" w:rsidR="000C2DED" w:rsidRPr="00D55370" w:rsidRDefault="000C2DED" w:rsidP="0088257A">
            <w:pPr>
              <w:pStyle w:val="TableText"/>
              <w:rPr>
                <w:rFonts w:cs="Calibri"/>
                <w:szCs w:val="16"/>
              </w:rPr>
            </w:pPr>
            <w:r w:rsidRPr="00D55370">
              <w:rPr>
                <w:rFonts w:cs="Calibri"/>
                <w:szCs w:val="16"/>
              </w:rPr>
              <w:t>NA</w:t>
            </w:r>
          </w:p>
          <w:p w14:paraId="0637D589" w14:textId="77777777" w:rsidR="000C2DED" w:rsidRPr="00D55370" w:rsidRDefault="000C2DED" w:rsidP="0088257A">
            <w:pPr>
              <w:pStyle w:val="TableText"/>
              <w:spacing w:after="40"/>
              <w:rPr>
                <w:rFonts w:cs="Calibri"/>
                <w:szCs w:val="16"/>
              </w:rPr>
            </w:pPr>
            <w:r w:rsidRPr="00D55370">
              <w:rPr>
                <w:rFonts w:cs="Calibri"/>
                <w:szCs w:val="16"/>
              </w:rPr>
              <w:t>Section 27(j) of the Climate Change Response Act 2002 requires that only the following be made publicly available:</w:t>
            </w:r>
          </w:p>
          <w:p w14:paraId="2707974D" w14:textId="77777777" w:rsidR="000C2DED" w:rsidRPr="00D55370" w:rsidRDefault="000C2DED" w:rsidP="0088257A">
            <w:pPr>
              <w:pStyle w:val="TableBullet"/>
              <w:tabs>
                <w:tab w:val="clear" w:pos="284"/>
              </w:tabs>
              <w:ind w:left="170" w:hanging="170"/>
              <w:rPr>
                <w:rFonts w:cs="Calibri"/>
              </w:rPr>
            </w:pPr>
            <w:r w:rsidRPr="00D55370">
              <w:rPr>
                <w:rFonts w:cs="Calibri"/>
              </w:rPr>
              <w:t>total quantity of units transferred</w:t>
            </w:r>
          </w:p>
          <w:p w14:paraId="69443718" w14:textId="77777777" w:rsidR="000C2DED" w:rsidRPr="00D55370" w:rsidRDefault="000C2DED" w:rsidP="0088257A">
            <w:pPr>
              <w:pStyle w:val="TableBullet"/>
              <w:tabs>
                <w:tab w:val="clear" w:pos="284"/>
              </w:tabs>
              <w:ind w:left="170" w:hanging="170"/>
              <w:rPr>
                <w:rFonts w:cs="Calibri"/>
              </w:rPr>
            </w:pPr>
            <w:r w:rsidRPr="00D55370">
              <w:rPr>
                <w:rFonts w:cs="Calibri"/>
              </w:rPr>
              <w:t>total quantity and type of unit transferred</w:t>
            </w:r>
          </w:p>
          <w:p w14:paraId="7902708D" w14:textId="77777777" w:rsidR="000C2DED" w:rsidRPr="00D55370" w:rsidRDefault="000C2DED" w:rsidP="0088257A">
            <w:pPr>
              <w:pStyle w:val="TableBullet"/>
              <w:tabs>
                <w:tab w:val="clear" w:pos="284"/>
              </w:tabs>
              <w:ind w:left="170" w:hanging="170"/>
              <w:rPr>
                <w:rFonts w:cs="Calibri"/>
              </w:rPr>
            </w:pPr>
            <w:r w:rsidRPr="00D55370">
              <w:rPr>
                <w:rFonts w:cs="Calibri"/>
              </w:rPr>
              <w:t>the identity of the transferring overseas registries, including the total quantity of units transferred from each overseas registry and each type of unit transferred from each overseas registry.</w:t>
            </w:r>
          </w:p>
        </w:tc>
      </w:tr>
      <w:tr w:rsidR="000C2DED" w:rsidRPr="00D55370" w14:paraId="212AF055" w14:textId="77777777" w:rsidTr="0088257A">
        <w:tc>
          <w:tcPr>
            <w:tcW w:w="2410" w:type="dxa"/>
            <w:tcBorders>
              <w:top w:val="nil"/>
              <w:left w:val="nil"/>
              <w:bottom w:val="nil"/>
              <w:right w:val="nil"/>
            </w:tcBorders>
          </w:tcPr>
          <w:p w14:paraId="6750B0ED" w14:textId="77777777" w:rsidR="000C2DED" w:rsidRPr="00D55370" w:rsidRDefault="000C2DED" w:rsidP="0088257A">
            <w:pPr>
              <w:pStyle w:val="TableText"/>
              <w:spacing w:before="40" w:after="0"/>
              <w:ind w:left="284" w:hanging="284"/>
              <w:rPr>
                <w:rFonts w:cs="Calibri"/>
                <w:szCs w:val="16"/>
              </w:rPr>
            </w:pPr>
            <w:r w:rsidRPr="00D55370">
              <w:rPr>
                <w:rFonts w:cs="Calibri"/>
                <w:szCs w:val="16"/>
              </w:rPr>
              <w:t xml:space="preserve">(e) </w:t>
            </w:r>
            <w:r w:rsidRPr="00D55370">
              <w:rPr>
                <w:rFonts w:cs="Calibri"/>
                <w:szCs w:val="16"/>
              </w:rPr>
              <w:tab/>
              <w:t>The total quantity of RMUs issued on the basis of each activity under Article 3, paragraphs 3 and 4.</w:t>
            </w:r>
          </w:p>
        </w:tc>
        <w:tc>
          <w:tcPr>
            <w:tcW w:w="2268" w:type="dxa"/>
            <w:tcBorders>
              <w:top w:val="nil"/>
              <w:left w:val="nil"/>
              <w:bottom w:val="nil"/>
              <w:right w:val="nil"/>
            </w:tcBorders>
          </w:tcPr>
          <w:p w14:paraId="1DA05F53" w14:textId="77777777" w:rsidR="000C2DED" w:rsidRPr="00D55370" w:rsidRDefault="000C2DED" w:rsidP="0088257A">
            <w:pPr>
              <w:pStyle w:val="TableText"/>
              <w:spacing w:before="40" w:after="40"/>
              <w:rPr>
                <w:rFonts w:cs="Calibri"/>
                <w:szCs w:val="16"/>
              </w:rPr>
            </w:pPr>
            <w:r w:rsidRPr="00D55370">
              <w:rPr>
                <w:rFonts w:cs="Calibri"/>
                <w:szCs w:val="16"/>
              </w:rPr>
              <w:t xml:space="preserve">Yes (refer Public information and reports: Holding &amp; transaction summary). </w:t>
            </w:r>
          </w:p>
        </w:tc>
        <w:tc>
          <w:tcPr>
            <w:tcW w:w="1985" w:type="dxa"/>
            <w:tcBorders>
              <w:top w:val="nil"/>
              <w:left w:val="nil"/>
              <w:bottom w:val="nil"/>
              <w:right w:val="nil"/>
            </w:tcBorders>
          </w:tcPr>
          <w:p w14:paraId="2C75A3DB" w14:textId="77777777" w:rsidR="000C2DED" w:rsidRPr="00D55370" w:rsidRDefault="000C2DED" w:rsidP="0088257A">
            <w:pPr>
              <w:pStyle w:val="TableText"/>
              <w:spacing w:before="40" w:after="40"/>
              <w:rPr>
                <w:rFonts w:cs="Calibri"/>
                <w:szCs w:val="16"/>
              </w:rPr>
            </w:pPr>
            <w:r w:rsidRPr="00D55370">
              <w:rPr>
                <w:rFonts w:cs="Calibri"/>
                <w:szCs w:val="16"/>
              </w:rPr>
              <w:t>Annually by 31 January for the previous calendar year</w:t>
            </w:r>
          </w:p>
        </w:tc>
        <w:tc>
          <w:tcPr>
            <w:tcW w:w="1899" w:type="dxa"/>
            <w:tcBorders>
              <w:top w:val="nil"/>
              <w:left w:val="nil"/>
              <w:bottom w:val="nil"/>
              <w:right w:val="nil"/>
            </w:tcBorders>
          </w:tcPr>
          <w:p w14:paraId="381BE4F2" w14:textId="77777777" w:rsidR="000C2DED" w:rsidRPr="00D55370" w:rsidRDefault="000C2DED" w:rsidP="0088257A">
            <w:pPr>
              <w:pStyle w:val="TableText"/>
              <w:spacing w:before="40" w:after="40"/>
              <w:rPr>
                <w:rFonts w:cs="Calibri"/>
                <w:szCs w:val="16"/>
              </w:rPr>
            </w:pPr>
            <w:r w:rsidRPr="00D55370">
              <w:rPr>
                <w:rFonts w:cs="Calibri"/>
                <w:szCs w:val="16"/>
              </w:rPr>
              <w:t>NA</w:t>
            </w:r>
          </w:p>
        </w:tc>
      </w:tr>
      <w:tr w:rsidR="000C2DED" w:rsidRPr="00D55370" w14:paraId="53830AE1" w14:textId="77777777" w:rsidTr="0088257A">
        <w:tc>
          <w:tcPr>
            <w:tcW w:w="2410" w:type="dxa"/>
            <w:tcBorders>
              <w:top w:val="nil"/>
              <w:left w:val="nil"/>
              <w:bottom w:val="nil"/>
              <w:right w:val="nil"/>
            </w:tcBorders>
          </w:tcPr>
          <w:p w14:paraId="0752AD3F" w14:textId="77777777" w:rsidR="000C2DED" w:rsidRPr="00D55370" w:rsidRDefault="000C2DED" w:rsidP="0088257A">
            <w:pPr>
              <w:pStyle w:val="TableText"/>
              <w:ind w:left="284" w:hanging="284"/>
              <w:rPr>
                <w:rFonts w:cs="Calibri"/>
                <w:szCs w:val="16"/>
              </w:rPr>
            </w:pPr>
            <w:r w:rsidRPr="00D55370">
              <w:rPr>
                <w:rFonts w:cs="Calibri"/>
                <w:szCs w:val="16"/>
              </w:rPr>
              <w:t xml:space="preserve">(f) </w:t>
            </w:r>
            <w:r w:rsidRPr="00D55370">
              <w:rPr>
                <w:rFonts w:cs="Calibri"/>
                <w:szCs w:val="16"/>
              </w:rPr>
              <w:tab/>
              <w:t>The total quantity of ERUs, CERs, AAUs and RMUs transferred to other registries and the identity of the acquiring accounts and registries.</w:t>
            </w:r>
          </w:p>
        </w:tc>
        <w:tc>
          <w:tcPr>
            <w:tcW w:w="2268" w:type="dxa"/>
            <w:tcBorders>
              <w:top w:val="nil"/>
              <w:left w:val="nil"/>
              <w:bottom w:val="nil"/>
              <w:right w:val="nil"/>
            </w:tcBorders>
          </w:tcPr>
          <w:p w14:paraId="09CCFE7D" w14:textId="77777777" w:rsidR="000C2DED" w:rsidRPr="00D55370" w:rsidRDefault="000C2DED" w:rsidP="0088257A">
            <w:pPr>
              <w:pStyle w:val="TableText"/>
              <w:rPr>
                <w:rFonts w:cs="Calibri"/>
                <w:szCs w:val="16"/>
              </w:rPr>
            </w:pPr>
            <w:r w:rsidRPr="00D55370">
              <w:rPr>
                <w:rFonts w:cs="Calibri"/>
                <w:szCs w:val="16"/>
              </w:rPr>
              <w:t>Partial – the total quantity of ERUs, CERs, AAUs and RMUs transferred to other registries, and the identity of the registries are publicly available by 31 January for the previous calendar year (refer Public information and reports: Outgoing transactions by year).</w:t>
            </w:r>
          </w:p>
          <w:p w14:paraId="184BC885" w14:textId="77777777" w:rsidR="000C2DED" w:rsidRPr="00D55370" w:rsidRDefault="000C2DED" w:rsidP="0088257A">
            <w:pPr>
              <w:pStyle w:val="TableText"/>
              <w:spacing w:before="0"/>
              <w:rPr>
                <w:rFonts w:cs="Calibri"/>
                <w:szCs w:val="16"/>
              </w:rPr>
            </w:pPr>
            <w:r w:rsidRPr="00D55370">
              <w:rPr>
                <w:rFonts w:cs="Calibri"/>
                <w:szCs w:val="16"/>
              </w:rPr>
              <w:t>The identity of the individual acquiring accounts is not available as it is considered to be confidential information.</w:t>
            </w:r>
          </w:p>
        </w:tc>
        <w:tc>
          <w:tcPr>
            <w:tcW w:w="1985" w:type="dxa"/>
            <w:tcBorders>
              <w:top w:val="nil"/>
              <w:left w:val="nil"/>
              <w:bottom w:val="nil"/>
              <w:right w:val="nil"/>
            </w:tcBorders>
          </w:tcPr>
          <w:p w14:paraId="2E585841" w14:textId="77777777" w:rsidR="000C2DED" w:rsidRPr="00D55370" w:rsidRDefault="000C2DED" w:rsidP="0088257A">
            <w:pPr>
              <w:pStyle w:val="TableText"/>
              <w:rPr>
                <w:rFonts w:cs="Calibri"/>
                <w:szCs w:val="16"/>
              </w:rPr>
            </w:pPr>
            <w:r w:rsidRPr="00D55370">
              <w:rPr>
                <w:rFonts w:cs="Calibri"/>
                <w:szCs w:val="16"/>
              </w:rPr>
              <w:t>Annually by 31 January for the previous calendar year</w:t>
            </w:r>
          </w:p>
        </w:tc>
        <w:tc>
          <w:tcPr>
            <w:tcW w:w="1899" w:type="dxa"/>
            <w:tcBorders>
              <w:top w:val="nil"/>
              <w:left w:val="nil"/>
              <w:bottom w:val="nil"/>
              <w:right w:val="nil"/>
            </w:tcBorders>
          </w:tcPr>
          <w:p w14:paraId="0E3E8976" w14:textId="77777777" w:rsidR="000C2DED" w:rsidRPr="00D55370" w:rsidRDefault="000C2DED" w:rsidP="0088257A">
            <w:pPr>
              <w:pStyle w:val="TableText"/>
              <w:spacing w:after="0"/>
              <w:rPr>
                <w:rFonts w:cs="Calibri"/>
                <w:szCs w:val="16"/>
              </w:rPr>
            </w:pPr>
            <w:r w:rsidRPr="00D55370">
              <w:rPr>
                <w:rFonts w:cs="Calibri"/>
                <w:szCs w:val="16"/>
              </w:rPr>
              <w:t>NA</w:t>
            </w:r>
          </w:p>
          <w:p w14:paraId="102C3129" w14:textId="77777777" w:rsidR="000C2DED" w:rsidRPr="00D55370" w:rsidRDefault="000C2DED" w:rsidP="0088257A">
            <w:pPr>
              <w:pStyle w:val="TableText"/>
              <w:rPr>
                <w:rFonts w:cs="Calibri"/>
                <w:szCs w:val="16"/>
              </w:rPr>
            </w:pPr>
            <w:r w:rsidRPr="00D55370">
              <w:rPr>
                <w:rFonts w:cs="Calibri"/>
                <w:szCs w:val="16"/>
              </w:rPr>
              <w:t>Section 27(k) of the Climate Change Response Act 2002 requires that only the following be publicly available:</w:t>
            </w:r>
          </w:p>
          <w:p w14:paraId="0A66BBB4" w14:textId="77777777" w:rsidR="000C2DED" w:rsidRPr="00D55370" w:rsidRDefault="000C2DED" w:rsidP="0088257A">
            <w:pPr>
              <w:pStyle w:val="TableBullet"/>
              <w:tabs>
                <w:tab w:val="clear" w:pos="284"/>
              </w:tabs>
              <w:ind w:left="170" w:hanging="170"/>
              <w:rPr>
                <w:rFonts w:cs="Calibri"/>
              </w:rPr>
            </w:pPr>
            <w:r w:rsidRPr="00D55370">
              <w:rPr>
                <w:rFonts w:cs="Calibri"/>
              </w:rPr>
              <w:t>total quantity of units transferred</w:t>
            </w:r>
          </w:p>
          <w:p w14:paraId="223B98A6" w14:textId="77777777" w:rsidR="000C2DED" w:rsidRPr="00D55370" w:rsidRDefault="000C2DED" w:rsidP="0088257A">
            <w:pPr>
              <w:pStyle w:val="TableBullet"/>
              <w:tabs>
                <w:tab w:val="clear" w:pos="284"/>
              </w:tabs>
              <w:ind w:left="170" w:hanging="170"/>
              <w:rPr>
                <w:rFonts w:cs="Calibri"/>
              </w:rPr>
            </w:pPr>
            <w:r w:rsidRPr="00D55370">
              <w:rPr>
                <w:rFonts w:cs="Calibri"/>
              </w:rPr>
              <w:t>total quantity and type of unit transferred</w:t>
            </w:r>
          </w:p>
          <w:p w14:paraId="635BCAE1" w14:textId="77777777" w:rsidR="000C2DED" w:rsidRPr="00D55370" w:rsidRDefault="000C2DED" w:rsidP="000C2DED">
            <w:pPr>
              <w:pStyle w:val="TableBullet"/>
              <w:tabs>
                <w:tab w:val="clear" w:pos="284"/>
              </w:tabs>
              <w:spacing w:after="60"/>
              <w:ind w:left="170" w:hanging="170"/>
              <w:rPr>
                <w:rFonts w:cs="Calibri"/>
              </w:rPr>
            </w:pPr>
            <w:r w:rsidRPr="00D55370">
              <w:rPr>
                <w:rFonts w:cs="Calibri"/>
              </w:rPr>
              <w:t>the identity of the acquiring overseas registries, including the total quantity of units transferred to each overseas registry and each type of unit transferred to each overseas registry.</w:t>
            </w:r>
          </w:p>
        </w:tc>
      </w:tr>
      <w:tr w:rsidR="000C2DED" w:rsidRPr="00D55370" w14:paraId="3BA4417A" w14:textId="77777777" w:rsidTr="0088257A">
        <w:tc>
          <w:tcPr>
            <w:tcW w:w="2410" w:type="dxa"/>
            <w:tcBorders>
              <w:top w:val="nil"/>
              <w:left w:val="nil"/>
              <w:bottom w:val="nil"/>
              <w:right w:val="nil"/>
            </w:tcBorders>
          </w:tcPr>
          <w:p w14:paraId="65453E37" w14:textId="77777777" w:rsidR="000C2DED" w:rsidRPr="00D55370" w:rsidRDefault="000C2DED" w:rsidP="0088257A">
            <w:pPr>
              <w:pStyle w:val="TableText"/>
              <w:ind w:left="284" w:hanging="284"/>
              <w:rPr>
                <w:rFonts w:cs="Calibri"/>
                <w:szCs w:val="16"/>
              </w:rPr>
            </w:pPr>
            <w:r w:rsidRPr="00D55370">
              <w:rPr>
                <w:rFonts w:cs="Calibri"/>
                <w:szCs w:val="16"/>
              </w:rPr>
              <w:t xml:space="preserve">(g) </w:t>
            </w:r>
            <w:r w:rsidRPr="00D55370">
              <w:rPr>
                <w:rFonts w:cs="Calibri"/>
                <w:szCs w:val="16"/>
              </w:rPr>
              <w:tab/>
              <w:t>The total quantity of ERUs, CERs, AAUs and RMUs cancelled on the basis of activities under Article 3, paragraphs 3 and 4.</w:t>
            </w:r>
          </w:p>
        </w:tc>
        <w:tc>
          <w:tcPr>
            <w:tcW w:w="2268" w:type="dxa"/>
            <w:tcBorders>
              <w:top w:val="nil"/>
              <w:left w:val="nil"/>
              <w:bottom w:val="nil"/>
              <w:right w:val="nil"/>
            </w:tcBorders>
          </w:tcPr>
          <w:p w14:paraId="2C70B413" w14:textId="77777777" w:rsidR="000C2DED" w:rsidRPr="00D55370" w:rsidRDefault="000C2DED" w:rsidP="0088257A">
            <w:pPr>
              <w:pStyle w:val="TableText"/>
              <w:rPr>
                <w:rFonts w:cs="Calibri"/>
                <w:szCs w:val="16"/>
              </w:rPr>
            </w:pPr>
            <w:r w:rsidRPr="00D55370">
              <w:rPr>
                <w:rFonts w:cs="Calibri"/>
                <w:szCs w:val="16"/>
              </w:rPr>
              <w:t>Yes (refer Public information and reports: Holding &amp; transaction summary).</w:t>
            </w:r>
          </w:p>
        </w:tc>
        <w:tc>
          <w:tcPr>
            <w:tcW w:w="1985" w:type="dxa"/>
            <w:tcBorders>
              <w:top w:val="nil"/>
              <w:left w:val="nil"/>
              <w:bottom w:val="nil"/>
              <w:right w:val="nil"/>
            </w:tcBorders>
          </w:tcPr>
          <w:p w14:paraId="7AB90C8C" w14:textId="77777777" w:rsidR="000C2DED" w:rsidRPr="00D55370" w:rsidRDefault="000C2DED" w:rsidP="0088257A">
            <w:pPr>
              <w:pStyle w:val="TableText"/>
              <w:rPr>
                <w:rFonts w:cs="Calibri"/>
                <w:szCs w:val="16"/>
              </w:rPr>
            </w:pPr>
            <w:r w:rsidRPr="00D55370">
              <w:rPr>
                <w:rFonts w:cs="Calibri"/>
                <w:szCs w:val="16"/>
              </w:rPr>
              <w:t>Annually by 31 January for the previous calendar year</w:t>
            </w:r>
          </w:p>
        </w:tc>
        <w:tc>
          <w:tcPr>
            <w:tcW w:w="1899" w:type="dxa"/>
            <w:tcBorders>
              <w:top w:val="nil"/>
              <w:left w:val="nil"/>
              <w:bottom w:val="nil"/>
              <w:right w:val="nil"/>
            </w:tcBorders>
          </w:tcPr>
          <w:p w14:paraId="6F4B6D12" w14:textId="4CBEA8AF" w:rsidR="000C2DED" w:rsidRPr="00D55370" w:rsidRDefault="000C2DED" w:rsidP="00E3479E">
            <w:pPr>
              <w:pStyle w:val="TableText"/>
              <w:rPr>
                <w:rFonts w:cs="Calibri"/>
                <w:szCs w:val="16"/>
              </w:rPr>
            </w:pPr>
            <w:r w:rsidRPr="00D55370">
              <w:rPr>
                <w:rFonts w:cs="Calibri"/>
                <w:szCs w:val="16"/>
              </w:rPr>
              <w:t>NA</w:t>
            </w:r>
          </w:p>
        </w:tc>
      </w:tr>
      <w:tr w:rsidR="000C2DED" w:rsidRPr="00D55370" w14:paraId="70D07E73" w14:textId="77777777" w:rsidTr="0088257A">
        <w:tc>
          <w:tcPr>
            <w:tcW w:w="2410" w:type="dxa"/>
            <w:tcBorders>
              <w:top w:val="nil"/>
              <w:left w:val="nil"/>
              <w:bottom w:val="nil"/>
              <w:right w:val="nil"/>
            </w:tcBorders>
          </w:tcPr>
          <w:p w14:paraId="2770BB91" w14:textId="77777777" w:rsidR="000C2DED" w:rsidRPr="00D55370" w:rsidRDefault="000C2DED" w:rsidP="00E3479E">
            <w:pPr>
              <w:pStyle w:val="TableText"/>
              <w:keepNext/>
              <w:spacing w:after="20"/>
              <w:ind w:left="284" w:hanging="284"/>
              <w:rPr>
                <w:rFonts w:cs="Calibri"/>
                <w:szCs w:val="16"/>
              </w:rPr>
            </w:pPr>
            <w:r w:rsidRPr="00D55370">
              <w:rPr>
                <w:rFonts w:cs="Calibri"/>
                <w:szCs w:val="16"/>
              </w:rPr>
              <w:lastRenderedPageBreak/>
              <w:t xml:space="preserve">(h) </w:t>
            </w:r>
            <w:r w:rsidRPr="00D55370">
              <w:rPr>
                <w:rFonts w:cs="Calibri"/>
                <w:szCs w:val="16"/>
              </w:rPr>
              <w:tab/>
              <w:t>The total quantity of ERUs, CERs, AAUs and RMUs cancelled following determination by the Compliance Committee that the Party is not in compliance with its commitment under Article 3, paragraph 1.</w:t>
            </w:r>
          </w:p>
        </w:tc>
        <w:tc>
          <w:tcPr>
            <w:tcW w:w="2268" w:type="dxa"/>
            <w:tcBorders>
              <w:top w:val="nil"/>
              <w:left w:val="nil"/>
              <w:bottom w:val="nil"/>
              <w:right w:val="nil"/>
            </w:tcBorders>
          </w:tcPr>
          <w:p w14:paraId="2AD85FC7" w14:textId="77777777" w:rsidR="000C2DED" w:rsidRPr="00D55370" w:rsidRDefault="000C2DED" w:rsidP="00E3479E">
            <w:pPr>
              <w:pStyle w:val="TableText"/>
              <w:keepNext/>
              <w:spacing w:after="20"/>
              <w:rPr>
                <w:rFonts w:cs="Calibri"/>
                <w:szCs w:val="16"/>
              </w:rPr>
            </w:pPr>
            <w:r w:rsidRPr="00D55370">
              <w:rPr>
                <w:rFonts w:cs="Calibri"/>
                <w:szCs w:val="16"/>
              </w:rPr>
              <w:t>Yes (refer Public information and reports: Holding &amp; transaction summary).</w:t>
            </w:r>
          </w:p>
          <w:p w14:paraId="49DF0E50" w14:textId="77777777" w:rsidR="000C2DED" w:rsidRPr="00D55370" w:rsidRDefault="000C2DED" w:rsidP="0088257A">
            <w:pPr>
              <w:pStyle w:val="TableText"/>
              <w:keepNext/>
              <w:rPr>
                <w:rFonts w:cs="Calibri"/>
                <w:szCs w:val="16"/>
              </w:rPr>
            </w:pPr>
            <w:r w:rsidRPr="00D55370">
              <w:rPr>
                <w:rFonts w:cs="Calibri"/>
                <w:szCs w:val="16"/>
              </w:rPr>
              <w:t>NOTE: Reported as ‘0’ because this event did not occur in the specified period.</w:t>
            </w:r>
          </w:p>
        </w:tc>
        <w:tc>
          <w:tcPr>
            <w:tcW w:w="1985" w:type="dxa"/>
            <w:tcBorders>
              <w:top w:val="nil"/>
              <w:left w:val="nil"/>
              <w:bottom w:val="nil"/>
              <w:right w:val="nil"/>
            </w:tcBorders>
          </w:tcPr>
          <w:p w14:paraId="0D34F5AC" w14:textId="77777777" w:rsidR="000C2DED" w:rsidRPr="00D55370" w:rsidRDefault="000C2DED" w:rsidP="0088257A">
            <w:pPr>
              <w:pStyle w:val="TableText"/>
              <w:keepNext/>
              <w:rPr>
                <w:rFonts w:cs="Calibri"/>
                <w:szCs w:val="16"/>
              </w:rPr>
            </w:pPr>
            <w:r w:rsidRPr="00D55370">
              <w:rPr>
                <w:rFonts w:cs="Calibri"/>
                <w:szCs w:val="16"/>
              </w:rPr>
              <w:t>Annually by 31 January for the previous calendar year</w:t>
            </w:r>
          </w:p>
        </w:tc>
        <w:tc>
          <w:tcPr>
            <w:tcW w:w="1899" w:type="dxa"/>
            <w:tcBorders>
              <w:top w:val="nil"/>
              <w:left w:val="nil"/>
              <w:bottom w:val="nil"/>
              <w:right w:val="nil"/>
            </w:tcBorders>
          </w:tcPr>
          <w:p w14:paraId="43C17C75" w14:textId="77777777" w:rsidR="000C2DED" w:rsidRPr="00D55370" w:rsidRDefault="000C2DED" w:rsidP="0088257A">
            <w:pPr>
              <w:pStyle w:val="TableText"/>
              <w:keepNext/>
              <w:rPr>
                <w:rFonts w:cs="Calibri"/>
                <w:szCs w:val="16"/>
              </w:rPr>
            </w:pPr>
            <w:r w:rsidRPr="00D55370">
              <w:rPr>
                <w:rFonts w:cs="Calibri"/>
                <w:szCs w:val="16"/>
              </w:rPr>
              <w:t>NA</w:t>
            </w:r>
          </w:p>
        </w:tc>
      </w:tr>
      <w:tr w:rsidR="000C2DED" w:rsidRPr="00D55370" w14:paraId="08593D91" w14:textId="77777777" w:rsidTr="0088257A">
        <w:tc>
          <w:tcPr>
            <w:tcW w:w="2410" w:type="dxa"/>
            <w:tcBorders>
              <w:top w:val="nil"/>
              <w:left w:val="nil"/>
              <w:bottom w:val="nil"/>
              <w:right w:val="nil"/>
            </w:tcBorders>
          </w:tcPr>
          <w:p w14:paraId="098FFBD7" w14:textId="77777777" w:rsidR="000C2DED" w:rsidRPr="00D55370" w:rsidRDefault="000C2DED" w:rsidP="00E3479E">
            <w:pPr>
              <w:pStyle w:val="TableText"/>
              <w:spacing w:after="0"/>
              <w:ind w:left="284" w:hanging="284"/>
              <w:rPr>
                <w:rFonts w:cs="Calibri"/>
                <w:szCs w:val="16"/>
              </w:rPr>
            </w:pPr>
            <w:r w:rsidRPr="00D55370">
              <w:rPr>
                <w:rFonts w:cs="Calibri"/>
                <w:szCs w:val="16"/>
              </w:rPr>
              <w:t xml:space="preserve">(i) </w:t>
            </w:r>
            <w:r w:rsidRPr="00D55370">
              <w:rPr>
                <w:rFonts w:cs="Calibri"/>
                <w:szCs w:val="16"/>
              </w:rPr>
              <w:tab/>
              <w:t>The total quantity of other ERUs, CERs, AAUs and RMUs cancelled.</w:t>
            </w:r>
          </w:p>
        </w:tc>
        <w:tc>
          <w:tcPr>
            <w:tcW w:w="2268" w:type="dxa"/>
            <w:tcBorders>
              <w:top w:val="nil"/>
              <w:left w:val="nil"/>
              <w:bottom w:val="nil"/>
              <w:right w:val="nil"/>
            </w:tcBorders>
          </w:tcPr>
          <w:p w14:paraId="73BD1688" w14:textId="77777777" w:rsidR="000C2DED" w:rsidRPr="00D55370" w:rsidRDefault="000C2DED" w:rsidP="00E3479E">
            <w:pPr>
              <w:pStyle w:val="TableText"/>
              <w:spacing w:after="0"/>
              <w:rPr>
                <w:rFonts w:cs="Calibri"/>
                <w:szCs w:val="16"/>
              </w:rPr>
            </w:pPr>
            <w:r w:rsidRPr="00D55370">
              <w:rPr>
                <w:rFonts w:cs="Calibri"/>
                <w:szCs w:val="16"/>
              </w:rPr>
              <w:t>Yes (refer Public information and reports: Holding &amp; transaction summary).</w:t>
            </w:r>
          </w:p>
        </w:tc>
        <w:tc>
          <w:tcPr>
            <w:tcW w:w="1985" w:type="dxa"/>
            <w:tcBorders>
              <w:top w:val="nil"/>
              <w:left w:val="nil"/>
              <w:bottom w:val="nil"/>
              <w:right w:val="nil"/>
            </w:tcBorders>
          </w:tcPr>
          <w:p w14:paraId="38165EC9" w14:textId="77777777" w:rsidR="000C2DED" w:rsidRPr="00D55370" w:rsidRDefault="000C2DED" w:rsidP="00E3479E">
            <w:pPr>
              <w:pStyle w:val="TableText"/>
              <w:spacing w:after="0"/>
              <w:rPr>
                <w:rFonts w:cs="Calibri"/>
                <w:szCs w:val="16"/>
              </w:rPr>
            </w:pPr>
            <w:r w:rsidRPr="00D55370">
              <w:rPr>
                <w:rFonts w:cs="Calibri"/>
                <w:szCs w:val="16"/>
              </w:rPr>
              <w:t>Annually by 31 January for the previous calendar year</w:t>
            </w:r>
          </w:p>
        </w:tc>
        <w:tc>
          <w:tcPr>
            <w:tcW w:w="1899" w:type="dxa"/>
            <w:tcBorders>
              <w:top w:val="nil"/>
              <w:left w:val="nil"/>
              <w:bottom w:val="nil"/>
              <w:right w:val="nil"/>
            </w:tcBorders>
          </w:tcPr>
          <w:p w14:paraId="4D3F16C4" w14:textId="77777777" w:rsidR="000C2DED" w:rsidRPr="00D55370" w:rsidRDefault="000C2DED" w:rsidP="00E3479E">
            <w:pPr>
              <w:pStyle w:val="TableText"/>
              <w:spacing w:after="0"/>
              <w:rPr>
                <w:rFonts w:cs="Calibri"/>
                <w:szCs w:val="16"/>
              </w:rPr>
            </w:pPr>
            <w:r w:rsidRPr="00D55370">
              <w:rPr>
                <w:rFonts w:cs="Calibri"/>
                <w:szCs w:val="16"/>
              </w:rPr>
              <w:t>NA</w:t>
            </w:r>
          </w:p>
        </w:tc>
      </w:tr>
      <w:tr w:rsidR="000C2DED" w:rsidRPr="00D55370" w14:paraId="6B9ABB0C" w14:textId="77777777" w:rsidTr="0088257A">
        <w:tc>
          <w:tcPr>
            <w:tcW w:w="2410" w:type="dxa"/>
            <w:tcBorders>
              <w:top w:val="nil"/>
              <w:left w:val="nil"/>
              <w:bottom w:val="nil"/>
              <w:right w:val="nil"/>
            </w:tcBorders>
          </w:tcPr>
          <w:p w14:paraId="629B876A" w14:textId="77777777" w:rsidR="000C2DED" w:rsidRPr="00D55370" w:rsidRDefault="000C2DED" w:rsidP="00E3479E">
            <w:pPr>
              <w:pStyle w:val="TableText"/>
              <w:spacing w:after="0"/>
              <w:ind w:left="284" w:hanging="284"/>
              <w:rPr>
                <w:rFonts w:cs="Calibri"/>
                <w:szCs w:val="16"/>
              </w:rPr>
            </w:pPr>
            <w:r w:rsidRPr="00D55370">
              <w:rPr>
                <w:rFonts w:cs="Calibri"/>
                <w:szCs w:val="16"/>
              </w:rPr>
              <w:t xml:space="preserve">(j) </w:t>
            </w:r>
            <w:r w:rsidRPr="00D55370">
              <w:rPr>
                <w:rFonts w:cs="Calibri"/>
                <w:szCs w:val="16"/>
              </w:rPr>
              <w:tab/>
              <w:t>The total quantity of ERUs, CERs, AAUs and RMUs retired.</w:t>
            </w:r>
          </w:p>
        </w:tc>
        <w:tc>
          <w:tcPr>
            <w:tcW w:w="2268" w:type="dxa"/>
            <w:tcBorders>
              <w:top w:val="nil"/>
              <w:left w:val="nil"/>
              <w:bottom w:val="nil"/>
              <w:right w:val="nil"/>
            </w:tcBorders>
          </w:tcPr>
          <w:p w14:paraId="03A6E001" w14:textId="77777777" w:rsidR="000C2DED" w:rsidRPr="00D55370" w:rsidRDefault="000C2DED" w:rsidP="00E3479E">
            <w:pPr>
              <w:pStyle w:val="TableText"/>
              <w:spacing w:after="0"/>
              <w:rPr>
                <w:rFonts w:cs="Calibri"/>
                <w:szCs w:val="16"/>
              </w:rPr>
            </w:pPr>
            <w:r w:rsidRPr="00D55370">
              <w:rPr>
                <w:rFonts w:cs="Calibri"/>
                <w:szCs w:val="16"/>
              </w:rPr>
              <w:t>Yes (refer Public information and reports: Holding &amp; transaction summary).</w:t>
            </w:r>
          </w:p>
        </w:tc>
        <w:tc>
          <w:tcPr>
            <w:tcW w:w="1985" w:type="dxa"/>
            <w:tcBorders>
              <w:top w:val="nil"/>
              <w:left w:val="nil"/>
              <w:bottom w:val="nil"/>
              <w:right w:val="nil"/>
            </w:tcBorders>
          </w:tcPr>
          <w:p w14:paraId="33EC2875" w14:textId="77777777" w:rsidR="000C2DED" w:rsidRPr="00D55370" w:rsidRDefault="000C2DED" w:rsidP="00E3479E">
            <w:pPr>
              <w:pStyle w:val="TableText"/>
              <w:spacing w:after="0"/>
              <w:rPr>
                <w:rFonts w:cs="Calibri"/>
                <w:szCs w:val="16"/>
              </w:rPr>
            </w:pPr>
            <w:r w:rsidRPr="00D55370">
              <w:rPr>
                <w:rFonts w:cs="Calibri"/>
                <w:szCs w:val="16"/>
              </w:rPr>
              <w:t>Annually by 31 January for the previous calendar year</w:t>
            </w:r>
          </w:p>
        </w:tc>
        <w:tc>
          <w:tcPr>
            <w:tcW w:w="1899" w:type="dxa"/>
            <w:tcBorders>
              <w:top w:val="nil"/>
              <w:left w:val="nil"/>
              <w:bottom w:val="nil"/>
              <w:right w:val="nil"/>
            </w:tcBorders>
          </w:tcPr>
          <w:p w14:paraId="05D8DCC9" w14:textId="77777777" w:rsidR="000C2DED" w:rsidRPr="00D55370" w:rsidRDefault="000C2DED" w:rsidP="00E3479E">
            <w:pPr>
              <w:pStyle w:val="TableText"/>
              <w:spacing w:after="0"/>
              <w:rPr>
                <w:rFonts w:cs="Calibri"/>
                <w:szCs w:val="16"/>
              </w:rPr>
            </w:pPr>
            <w:r w:rsidRPr="00D55370">
              <w:rPr>
                <w:rFonts w:cs="Calibri"/>
                <w:szCs w:val="16"/>
              </w:rPr>
              <w:t>NA</w:t>
            </w:r>
          </w:p>
        </w:tc>
      </w:tr>
      <w:tr w:rsidR="000C2DED" w:rsidRPr="00D55370" w14:paraId="76F74B8B" w14:textId="77777777" w:rsidTr="0088257A">
        <w:tc>
          <w:tcPr>
            <w:tcW w:w="2410" w:type="dxa"/>
            <w:tcBorders>
              <w:top w:val="nil"/>
              <w:left w:val="nil"/>
              <w:bottom w:val="nil"/>
              <w:right w:val="nil"/>
            </w:tcBorders>
          </w:tcPr>
          <w:p w14:paraId="2A06A5C2" w14:textId="77777777" w:rsidR="000C2DED" w:rsidRPr="00D55370" w:rsidRDefault="000C2DED" w:rsidP="00E3479E">
            <w:pPr>
              <w:pStyle w:val="TableText"/>
              <w:spacing w:after="0"/>
              <w:ind w:left="284" w:hanging="284"/>
              <w:rPr>
                <w:rFonts w:cs="Calibri"/>
                <w:szCs w:val="16"/>
              </w:rPr>
            </w:pPr>
            <w:r w:rsidRPr="00D55370">
              <w:rPr>
                <w:rFonts w:cs="Calibri"/>
                <w:szCs w:val="16"/>
              </w:rPr>
              <w:t xml:space="preserve">(k) </w:t>
            </w:r>
            <w:r w:rsidRPr="00D55370">
              <w:rPr>
                <w:rFonts w:cs="Calibri"/>
                <w:szCs w:val="16"/>
              </w:rPr>
              <w:tab/>
              <w:t>The total quantity of ERUs, CERs, and AAUs carried over from the previous commitment period.</w:t>
            </w:r>
          </w:p>
        </w:tc>
        <w:tc>
          <w:tcPr>
            <w:tcW w:w="2268" w:type="dxa"/>
            <w:tcBorders>
              <w:top w:val="nil"/>
              <w:left w:val="nil"/>
              <w:bottom w:val="nil"/>
              <w:right w:val="nil"/>
            </w:tcBorders>
          </w:tcPr>
          <w:p w14:paraId="5C11DA9E" w14:textId="77777777" w:rsidR="000C2DED" w:rsidRPr="00D55370" w:rsidRDefault="000C2DED" w:rsidP="00E3479E">
            <w:pPr>
              <w:pStyle w:val="TableText"/>
              <w:spacing w:after="0"/>
              <w:rPr>
                <w:rFonts w:cs="Calibri"/>
                <w:szCs w:val="16"/>
              </w:rPr>
            </w:pPr>
            <w:r w:rsidRPr="00D55370">
              <w:rPr>
                <w:rFonts w:cs="Calibri"/>
                <w:szCs w:val="16"/>
              </w:rPr>
              <w:t>Yes (refer Public information and reports: Holding &amp; transaction summary).</w:t>
            </w:r>
          </w:p>
          <w:p w14:paraId="33FCC2C1" w14:textId="77777777" w:rsidR="000C2DED" w:rsidRPr="00D55370" w:rsidRDefault="000C2DED" w:rsidP="00E3479E">
            <w:pPr>
              <w:pStyle w:val="TableText"/>
              <w:spacing w:after="0"/>
              <w:rPr>
                <w:rFonts w:cs="Calibri"/>
                <w:szCs w:val="16"/>
              </w:rPr>
            </w:pPr>
            <w:r w:rsidRPr="00D55370">
              <w:rPr>
                <w:rFonts w:cs="Calibri"/>
                <w:szCs w:val="16"/>
              </w:rPr>
              <w:t>Note: Reported as ‘0’ because this event did not occur in the specified period.</w:t>
            </w:r>
          </w:p>
        </w:tc>
        <w:tc>
          <w:tcPr>
            <w:tcW w:w="1985" w:type="dxa"/>
            <w:tcBorders>
              <w:top w:val="nil"/>
              <w:left w:val="nil"/>
              <w:bottom w:val="nil"/>
              <w:right w:val="nil"/>
            </w:tcBorders>
          </w:tcPr>
          <w:p w14:paraId="02C83A69" w14:textId="77777777" w:rsidR="000C2DED" w:rsidRPr="00D55370" w:rsidRDefault="000C2DED" w:rsidP="00E3479E">
            <w:pPr>
              <w:pStyle w:val="TableText"/>
              <w:spacing w:after="0"/>
              <w:rPr>
                <w:rFonts w:cs="Calibri"/>
                <w:szCs w:val="16"/>
              </w:rPr>
            </w:pPr>
            <w:r w:rsidRPr="00D55370">
              <w:rPr>
                <w:rFonts w:cs="Calibri"/>
                <w:szCs w:val="16"/>
              </w:rPr>
              <w:t>Annually by 31 January for the previous calendar year</w:t>
            </w:r>
          </w:p>
        </w:tc>
        <w:tc>
          <w:tcPr>
            <w:tcW w:w="1899" w:type="dxa"/>
            <w:tcBorders>
              <w:top w:val="nil"/>
              <w:left w:val="nil"/>
              <w:bottom w:val="nil"/>
              <w:right w:val="nil"/>
            </w:tcBorders>
          </w:tcPr>
          <w:p w14:paraId="56758EE2" w14:textId="77777777" w:rsidR="000C2DED" w:rsidRPr="00D55370" w:rsidRDefault="000C2DED" w:rsidP="00E3479E">
            <w:pPr>
              <w:pStyle w:val="TableText"/>
              <w:spacing w:after="0"/>
              <w:rPr>
                <w:rFonts w:cs="Calibri"/>
                <w:szCs w:val="16"/>
              </w:rPr>
            </w:pPr>
            <w:r w:rsidRPr="00D55370">
              <w:rPr>
                <w:rFonts w:cs="Calibri"/>
                <w:szCs w:val="16"/>
              </w:rPr>
              <w:t>NA</w:t>
            </w:r>
          </w:p>
        </w:tc>
      </w:tr>
      <w:tr w:rsidR="000C2DED" w:rsidRPr="00D55370" w14:paraId="27B0E11C" w14:textId="77777777" w:rsidTr="0088257A">
        <w:tc>
          <w:tcPr>
            <w:tcW w:w="2410" w:type="dxa"/>
            <w:tcBorders>
              <w:top w:val="nil"/>
              <w:left w:val="nil"/>
              <w:bottom w:val="nil"/>
              <w:right w:val="nil"/>
            </w:tcBorders>
          </w:tcPr>
          <w:p w14:paraId="081A035E" w14:textId="77777777" w:rsidR="000C2DED" w:rsidRPr="00D55370" w:rsidRDefault="000C2DED" w:rsidP="0088257A">
            <w:pPr>
              <w:pStyle w:val="TableText"/>
              <w:ind w:left="284" w:hanging="284"/>
              <w:rPr>
                <w:rFonts w:cs="Calibri"/>
                <w:szCs w:val="16"/>
              </w:rPr>
            </w:pPr>
            <w:r w:rsidRPr="00D55370">
              <w:rPr>
                <w:rFonts w:cs="Calibri"/>
                <w:szCs w:val="16"/>
              </w:rPr>
              <w:t xml:space="preserve">(l) </w:t>
            </w:r>
            <w:r w:rsidRPr="00D55370">
              <w:rPr>
                <w:rFonts w:cs="Calibri"/>
                <w:szCs w:val="16"/>
              </w:rPr>
              <w:tab/>
              <w:t>Current holdings of ERUs, CERs, AAUs and RMUs in each account.</w:t>
            </w:r>
          </w:p>
        </w:tc>
        <w:tc>
          <w:tcPr>
            <w:tcW w:w="2268" w:type="dxa"/>
            <w:tcBorders>
              <w:top w:val="nil"/>
              <w:left w:val="nil"/>
              <w:bottom w:val="nil"/>
              <w:right w:val="nil"/>
            </w:tcBorders>
          </w:tcPr>
          <w:p w14:paraId="68FFE7F7" w14:textId="77777777" w:rsidR="000C2DED" w:rsidRPr="00D55370" w:rsidRDefault="000C2DED" w:rsidP="00E3479E">
            <w:pPr>
              <w:pStyle w:val="TableText"/>
              <w:spacing w:after="0"/>
              <w:rPr>
                <w:rFonts w:cs="Calibri"/>
                <w:szCs w:val="16"/>
              </w:rPr>
            </w:pPr>
            <w:r w:rsidRPr="00D55370">
              <w:rPr>
                <w:rFonts w:cs="Calibri"/>
                <w:szCs w:val="16"/>
              </w:rPr>
              <w:t>Partial – aggregate unit holdings of ERUs, CERs, AAUs and RMUs from the previous calendar year are disclosed by 31 January (refer Public information and reports: Kyoto unit holdings by account).</w:t>
            </w:r>
          </w:p>
          <w:p w14:paraId="3C72DF20" w14:textId="77777777" w:rsidR="000C2DED" w:rsidRPr="00D55370" w:rsidRDefault="000C2DED" w:rsidP="0088257A">
            <w:pPr>
              <w:pStyle w:val="TableText"/>
              <w:spacing w:after="20"/>
              <w:rPr>
                <w:rFonts w:cs="Calibri"/>
                <w:szCs w:val="16"/>
              </w:rPr>
            </w:pPr>
            <w:r w:rsidRPr="00D55370">
              <w:rPr>
                <w:rFonts w:cs="Calibri"/>
                <w:szCs w:val="16"/>
              </w:rPr>
              <w:t>Total quantity of unit holdings in each account within the most recent calendar year is considered to be confidential information. Therefore the total quantity of unit holdings in each account provided consists of only those completed more than one year in the past.</w:t>
            </w:r>
          </w:p>
          <w:p w14:paraId="1DE693C9" w14:textId="77777777" w:rsidR="000C2DED" w:rsidRPr="00D55370" w:rsidRDefault="000C2DED" w:rsidP="0088257A">
            <w:pPr>
              <w:pStyle w:val="TableText"/>
              <w:rPr>
                <w:rFonts w:cs="Calibri"/>
                <w:szCs w:val="16"/>
              </w:rPr>
            </w:pPr>
            <w:r w:rsidRPr="00D55370">
              <w:rPr>
                <w:rFonts w:cs="Calibri"/>
                <w:szCs w:val="16"/>
              </w:rPr>
              <w:t>(Refer Public information and reports: Kyoto unit holdings by account.)</w:t>
            </w:r>
          </w:p>
        </w:tc>
        <w:tc>
          <w:tcPr>
            <w:tcW w:w="1985" w:type="dxa"/>
            <w:tcBorders>
              <w:top w:val="nil"/>
              <w:left w:val="nil"/>
              <w:bottom w:val="nil"/>
              <w:right w:val="nil"/>
            </w:tcBorders>
          </w:tcPr>
          <w:p w14:paraId="31C05299" w14:textId="77777777" w:rsidR="000C2DED" w:rsidRPr="00D55370" w:rsidRDefault="000C2DED" w:rsidP="00E3479E">
            <w:pPr>
              <w:pStyle w:val="TableText"/>
              <w:spacing w:after="0"/>
              <w:rPr>
                <w:rFonts w:cs="Calibri"/>
                <w:szCs w:val="16"/>
              </w:rPr>
            </w:pPr>
            <w:r w:rsidRPr="00D55370">
              <w:rPr>
                <w:rFonts w:cs="Calibri"/>
                <w:szCs w:val="16"/>
              </w:rPr>
              <w:t>Annually by 31 January for the previous calendar year</w:t>
            </w:r>
          </w:p>
          <w:p w14:paraId="7F1A05F5" w14:textId="5DEBE3FF" w:rsidR="000C2DED" w:rsidRPr="00D55370" w:rsidRDefault="000C2DED" w:rsidP="00E3479E">
            <w:pPr>
              <w:pStyle w:val="TableText"/>
              <w:rPr>
                <w:rFonts w:cs="Calibri"/>
                <w:szCs w:val="16"/>
              </w:rPr>
            </w:pPr>
            <w:r w:rsidRPr="00D55370">
              <w:rPr>
                <w:rFonts w:cs="Calibri"/>
                <w:szCs w:val="16"/>
              </w:rPr>
              <w:t>1 January for the beginning of the previous calendar year</w:t>
            </w:r>
          </w:p>
        </w:tc>
        <w:tc>
          <w:tcPr>
            <w:tcW w:w="1899" w:type="dxa"/>
            <w:tcBorders>
              <w:top w:val="nil"/>
              <w:left w:val="nil"/>
              <w:bottom w:val="nil"/>
              <w:right w:val="nil"/>
            </w:tcBorders>
          </w:tcPr>
          <w:p w14:paraId="24638702" w14:textId="77777777" w:rsidR="000C2DED" w:rsidRPr="00D55370" w:rsidRDefault="000C2DED" w:rsidP="0088257A">
            <w:pPr>
              <w:pStyle w:val="TableText"/>
              <w:spacing w:after="20"/>
              <w:rPr>
                <w:rFonts w:cs="Calibri"/>
                <w:szCs w:val="16"/>
              </w:rPr>
            </w:pPr>
            <w:r w:rsidRPr="00D55370">
              <w:rPr>
                <w:rFonts w:cs="Calibri"/>
                <w:szCs w:val="16"/>
              </w:rPr>
              <w:t xml:space="preserve">Section 27(2) of the Climate Change Response Act 2002 only requires total holdings of AAUs, ERUs, CERs, ICERs, tCERs and RMUs to be publicly available by 31 January of each year for the previous calendar year. </w:t>
            </w:r>
          </w:p>
          <w:p w14:paraId="193F2D13" w14:textId="77777777" w:rsidR="000C2DED" w:rsidRPr="00D55370" w:rsidRDefault="000C2DED" w:rsidP="0088257A">
            <w:pPr>
              <w:pStyle w:val="TableText"/>
              <w:rPr>
                <w:rFonts w:cs="Calibri"/>
                <w:szCs w:val="16"/>
              </w:rPr>
            </w:pPr>
            <w:r w:rsidRPr="00D55370">
              <w:rPr>
                <w:rFonts w:cs="Calibri"/>
                <w:szCs w:val="16"/>
              </w:rPr>
              <w:t xml:space="preserve">Section 27(3) of the Climate Change Response Act 2002 only requires holdings of Kyoto units by each holding account for the beginning of the previous calendar year to be made publicly available. </w:t>
            </w:r>
          </w:p>
        </w:tc>
      </w:tr>
      <w:tr w:rsidR="000C2DED" w:rsidRPr="00D55370" w14:paraId="6EBCA623" w14:textId="77777777" w:rsidTr="0088257A">
        <w:tc>
          <w:tcPr>
            <w:tcW w:w="2410" w:type="dxa"/>
            <w:tcBorders>
              <w:top w:val="single" w:sz="4" w:space="0" w:color="365F91"/>
              <w:left w:val="nil"/>
              <w:bottom w:val="single" w:sz="4" w:space="0" w:color="1B556B"/>
              <w:right w:val="nil"/>
            </w:tcBorders>
          </w:tcPr>
          <w:p w14:paraId="47B8B348" w14:textId="77777777" w:rsidR="000C2DED" w:rsidRPr="00D55370" w:rsidRDefault="000C2DED" w:rsidP="0088257A">
            <w:pPr>
              <w:pStyle w:val="TableText"/>
              <w:keepNext/>
              <w:ind w:left="284" w:hanging="284"/>
              <w:rPr>
                <w:rFonts w:cs="Calibri"/>
              </w:rPr>
            </w:pPr>
            <w:r w:rsidRPr="00D55370">
              <w:rPr>
                <w:rFonts w:cs="Calibri"/>
              </w:rPr>
              <w:t xml:space="preserve">48. </w:t>
            </w:r>
            <w:r w:rsidRPr="00D55370">
              <w:rPr>
                <w:rFonts w:cs="Calibri"/>
              </w:rPr>
              <w:tab/>
              <w:t>The information referred to in paragraph 44 shall include a list of legal entities authorised by the Party to hold ERUs, CERs, AAUs and/or RMUs under its responsibility.</w:t>
            </w:r>
          </w:p>
        </w:tc>
        <w:tc>
          <w:tcPr>
            <w:tcW w:w="2268" w:type="dxa"/>
            <w:tcBorders>
              <w:top w:val="single" w:sz="4" w:space="0" w:color="365F91"/>
              <w:left w:val="nil"/>
              <w:bottom w:val="single" w:sz="4" w:space="0" w:color="1B556B"/>
              <w:right w:val="nil"/>
            </w:tcBorders>
          </w:tcPr>
          <w:p w14:paraId="13C2AF45" w14:textId="77777777" w:rsidR="000C2DED" w:rsidRPr="00D55370" w:rsidRDefault="000C2DED" w:rsidP="0088257A">
            <w:pPr>
              <w:pStyle w:val="TableText"/>
              <w:rPr>
                <w:rFonts w:cs="Calibri"/>
              </w:rPr>
            </w:pPr>
            <w:r w:rsidRPr="00D55370">
              <w:rPr>
                <w:rFonts w:cs="Calibri"/>
              </w:rPr>
              <w:t>Yes (refer Public information and reports: Account Holders, for list of authorised entities).</w:t>
            </w:r>
          </w:p>
        </w:tc>
        <w:tc>
          <w:tcPr>
            <w:tcW w:w="1985" w:type="dxa"/>
            <w:tcBorders>
              <w:top w:val="single" w:sz="4" w:space="0" w:color="365F91"/>
              <w:left w:val="nil"/>
              <w:bottom w:val="single" w:sz="4" w:space="0" w:color="1B556B"/>
              <w:right w:val="nil"/>
            </w:tcBorders>
          </w:tcPr>
          <w:p w14:paraId="2ECAA2F0" w14:textId="77777777" w:rsidR="000C2DED" w:rsidRPr="00D55370" w:rsidRDefault="000C2DED" w:rsidP="0088257A">
            <w:pPr>
              <w:pStyle w:val="TableText"/>
              <w:rPr>
                <w:rFonts w:cs="Calibri"/>
              </w:rPr>
            </w:pPr>
            <w:r w:rsidRPr="00D55370">
              <w:rPr>
                <w:rFonts w:cs="Calibri"/>
              </w:rPr>
              <w:t>Up to date (note, refreshed daily)</w:t>
            </w:r>
          </w:p>
        </w:tc>
        <w:tc>
          <w:tcPr>
            <w:tcW w:w="1899" w:type="dxa"/>
            <w:tcBorders>
              <w:top w:val="single" w:sz="4" w:space="0" w:color="365F91"/>
              <w:left w:val="nil"/>
              <w:bottom w:val="single" w:sz="4" w:space="0" w:color="1B556B"/>
              <w:right w:val="nil"/>
            </w:tcBorders>
          </w:tcPr>
          <w:p w14:paraId="2ED9A5DC" w14:textId="77777777" w:rsidR="000C2DED" w:rsidRPr="00D55370" w:rsidRDefault="000C2DED" w:rsidP="0088257A">
            <w:pPr>
              <w:pStyle w:val="TableText"/>
              <w:rPr>
                <w:rFonts w:cs="Calibri"/>
              </w:rPr>
            </w:pPr>
            <w:r w:rsidRPr="00D55370">
              <w:rPr>
                <w:rFonts w:cs="Calibri"/>
              </w:rPr>
              <w:t>NA</w:t>
            </w:r>
          </w:p>
        </w:tc>
      </w:tr>
    </w:tbl>
    <w:p w14:paraId="563E75EA" w14:textId="77777777" w:rsidR="000C2DED" w:rsidRPr="00D55370" w:rsidRDefault="000C2DED" w:rsidP="000C2DED">
      <w:pPr>
        <w:pStyle w:val="Noteundertable"/>
        <w:spacing w:after="0"/>
      </w:pPr>
      <w:r w:rsidRPr="00D55370">
        <w:rPr>
          <w:b/>
        </w:rPr>
        <w:t>Note:</w:t>
      </w:r>
      <w:r w:rsidRPr="00D55370">
        <w:tab/>
        <w:t xml:space="preserve">NA = not applicable. </w:t>
      </w:r>
    </w:p>
    <w:p w14:paraId="353E6CBF" w14:textId="77777777" w:rsidR="000C2DED" w:rsidRPr="00D55370" w:rsidRDefault="000C2DED" w:rsidP="000C2DED">
      <w:pPr>
        <w:pStyle w:val="Heading2"/>
      </w:pPr>
      <w:bookmarkStart w:id="3051" w:name="_Toc99659184"/>
      <w:r w:rsidRPr="00D55370">
        <w:t>12.5</w:t>
      </w:r>
      <w:r w:rsidRPr="00D55370">
        <w:tab/>
        <w:t>Calculation of the commitment period reserve</w:t>
      </w:r>
      <w:bookmarkEnd w:id="3051"/>
      <w:r w:rsidRPr="00D55370">
        <w:t xml:space="preserve"> </w:t>
      </w:r>
    </w:p>
    <w:p w14:paraId="36DEB3F4" w14:textId="77777777" w:rsidR="000C2DED" w:rsidRPr="00D55370" w:rsidRDefault="000C2DED" w:rsidP="000C2DED">
      <w:pPr>
        <w:pStyle w:val="BodyText"/>
        <w:rPr>
          <w:rFonts w:cs="Calibri"/>
          <w:spacing w:val="-2"/>
        </w:rPr>
      </w:pPr>
      <w:r w:rsidRPr="00D55370">
        <w:rPr>
          <w:rFonts w:cs="Calibri"/>
          <w:spacing w:val="-2"/>
        </w:rPr>
        <w:t>New Zealand’s commitment period reserve calculation is based on the assigned amount for the first commitment period and is therefore fixed. The commitment period reserve is 278,608,260 metric tonnes of CO</w:t>
      </w:r>
      <w:r w:rsidRPr="00D55370">
        <w:rPr>
          <w:rFonts w:cs="Calibri"/>
          <w:spacing w:val="-2"/>
          <w:vertAlign w:val="subscript"/>
        </w:rPr>
        <w:t>2</w:t>
      </w:r>
      <w:r w:rsidRPr="00D55370">
        <w:rPr>
          <w:rFonts w:cs="Calibri"/>
          <w:spacing w:val="-2"/>
        </w:rPr>
        <w:t xml:space="preserve">-e, 90 per cent of the assigned amount of 309,564,733, fixed after the review of </w:t>
      </w:r>
      <w:r w:rsidRPr="00D55370">
        <w:rPr>
          <w:rFonts w:cs="Calibri"/>
          <w:i/>
          <w:spacing w:val="-2"/>
        </w:rPr>
        <w:t>New Zealand’s Initial Report under the Kyoto Protocol</w:t>
      </w:r>
      <w:r w:rsidRPr="00D55370">
        <w:rPr>
          <w:rFonts w:cs="Calibri"/>
          <w:spacing w:val="-2"/>
        </w:rPr>
        <w:t xml:space="preserve"> (Ministry for the Environment, 2006).</w:t>
      </w:r>
    </w:p>
    <w:p w14:paraId="18AA65F2" w14:textId="4D7B7AE1" w:rsidR="000C2DED" w:rsidRPr="00D55370" w:rsidRDefault="000C2DED" w:rsidP="00C063A8">
      <w:pPr>
        <w:pStyle w:val="BodyText"/>
        <w:spacing w:before="0"/>
      </w:pPr>
      <w:r w:rsidRPr="00D55370">
        <w:lastRenderedPageBreak/>
        <w:t xml:space="preserve">The commitment period reserve level as at 31 December </w:t>
      </w:r>
      <w:r w:rsidRPr="00D55370">
        <w:rPr>
          <w:color w:val="000000"/>
        </w:rPr>
        <w:t xml:space="preserve">2021 </w:t>
      </w:r>
      <w:r w:rsidRPr="00D55370">
        <w:t>is:</w:t>
      </w:r>
    </w:p>
    <w:tbl>
      <w:tblPr>
        <w:tblW w:w="8505" w:type="dxa"/>
        <w:tblInd w:w="113" w:type="dxa"/>
        <w:tblLayout w:type="fixed"/>
        <w:tblLook w:val="01E0" w:firstRow="1" w:lastRow="1" w:firstColumn="1" w:lastColumn="1" w:noHBand="0" w:noVBand="0"/>
      </w:tblPr>
      <w:tblGrid>
        <w:gridCol w:w="5932"/>
        <w:gridCol w:w="2573"/>
      </w:tblGrid>
      <w:tr w:rsidR="000C2DED" w:rsidRPr="00D55370" w14:paraId="4AA24BC7" w14:textId="77777777" w:rsidTr="0088257A">
        <w:tc>
          <w:tcPr>
            <w:tcW w:w="6194" w:type="dxa"/>
            <w:shd w:val="clear" w:color="auto" w:fill="auto"/>
          </w:tcPr>
          <w:p w14:paraId="5C15A145" w14:textId="77777777" w:rsidR="000C2DED" w:rsidRPr="00D55370" w:rsidRDefault="000C2DED" w:rsidP="0088257A">
            <w:pPr>
              <w:spacing w:before="40" w:after="40"/>
              <w:rPr>
                <w:rFonts w:cs="Calibri"/>
                <w:sz w:val="20"/>
                <w:szCs w:val="20"/>
              </w:rPr>
            </w:pPr>
            <w:r w:rsidRPr="00D55370">
              <w:rPr>
                <w:rFonts w:cs="Calibri"/>
                <w:sz w:val="20"/>
                <w:szCs w:val="20"/>
              </w:rPr>
              <w:t>Commitment period reserve (CPR) limit:</w:t>
            </w:r>
          </w:p>
        </w:tc>
        <w:tc>
          <w:tcPr>
            <w:tcW w:w="2680" w:type="dxa"/>
            <w:tcBorders>
              <w:bottom w:val="single" w:sz="4" w:space="0" w:color="auto"/>
            </w:tcBorders>
            <w:shd w:val="clear" w:color="auto" w:fill="auto"/>
          </w:tcPr>
          <w:p w14:paraId="44D8C249" w14:textId="77777777" w:rsidR="000C2DED" w:rsidRPr="00D55370" w:rsidRDefault="000C2DED" w:rsidP="0088257A">
            <w:pPr>
              <w:spacing w:before="40" w:after="40"/>
              <w:jc w:val="right"/>
              <w:rPr>
                <w:rFonts w:cs="Calibri"/>
                <w:sz w:val="20"/>
                <w:szCs w:val="20"/>
              </w:rPr>
            </w:pPr>
            <w:r w:rsidRPr="00D55370">
              <w:rPr>
                <w:rFonts w:cs="Calibri"/>
                <w:sz w:val="20"/>
                <w:szCs w:val="20"/>
              </w:rPr>
              <w:t>278,608,260</w:t>
            </w:r>
          </w:p>
        </w:tc>
      </w:tr>
      <w:tr w:rsidR="000C2DED" w:rsidRPr="00D55370" w14:paraId="7F177578" w14:textId="77777777" w:rsidTr="0088257A">
        <w:tc>
          <w:tcPr>
            <w:tcW w:w="6194" w:type="dxa"/>
            <w:shd w:val="clear" w:color="auto" w:fill="auto"/>
          </w:tcPr>
          <w:p w14:paraId="4F41E24A" w14:textId="77777777" w:rsidR="000C2DED" w:rsidRPr="00D55370" w:rsidRDefault="000C2DED" w:rsidP="0088257A">
            <w:pPr>
              <w:spacing w:before="40" w:after="40"/>
              <w:rPr>
                <w:rFonts w:cs="Calibri"/>
                <w:sz w:val="20"/>
                <w:szCs w:val="20"/>
              </w:rPr>
            </w:pPr>
            <w:r w:rsidRPr="00D55370">
              <w:rPr>
                <w:rFonts w:cs="Calibri"/>
                <w:sz w:val="20"/>
                <w:szCs w:val="20"/>
              </w:rPr>
              <w:t>Units held:</w:t>
            </w:r>
          </w:p>
        </w:tc>
        <w:tc>
          <w:tcPr>
            <w:tcW w:w="2680" w:type="dxa"/>
            <w:tcBorders>
              <w:top w:val="single" w:sz="4" w:space="0" w:color="auto"/>
            </w:tcBorders>
            <w:shd w:val="clear" w:color="auto" w:fill="auto"/>
          </w:tcPr>
          <w:p w14:paraId="2D931849" w14:textId="77777777" w:rsidR="000C2DED" w:rsidRPr="00D55370" w:rsidRDefault="000C2DED" w:rsidP="0088257A">
            <w:pPr>
              <w:spacing w:before="40" w:after="40"/>
              <w:jc w:val="right"/>
              <w:rPr>
                <w:rFonts w:cs="Calibri"/>
                <w:sz w:val="20"/>
                <w:szCs w:val="20"/>
              </w:rPr>
            </w:pPr>
            <w:r w:rsidRPr="00D55370">
              <w:rPr>
                <w:rFonts w:cs="Calibri"/>
                <w:sz w:val="20"/>
                <w:szCs w:val="20"/>
              </w:rPr>
              <w:t>402,098,575</w:t>
            </w:r>
          </w:p>
        </w:tc>
      </w:tr>
      <w:tr w:rsidR="000C2DED" w:rsidRPr="00D55370" w14:paraId="3A0E8443" w14:textId="77777777" w:rsidTr="0088257A">
        <w:tc>
          <w:tcPr>
            <w:tcW w:w="6194" w:type="dxa"/>
            <w:shd w:val="clear" w:color="auto" w:fill="auto"/>
          </w:tcPr>
          <w:p w14:paraId="42026B57" w14:textId="77777777" w:rsidR="000C2DED" w:rsidRPr="00D55370" w:rsidRDefault="000C2DED" w:rsidP="0088257A">
            <w:pPr>
              <w:spacing w:before="40" w:after="40"/>
              <w:rPr>
                <w:rFonts w:cs="Calibri"/>
                <w:sz w:val="20"/>
                <w:szCs w:val="20"/>
              </w:rPr>
            </w:pPr>
            <w:r w:rsidRPr="00D55370">
              <w:rPr>
                <w:rFonts w:cs="Calibri"/>
                <w:sz w:val="20"/>
                <w:szCs w:val="20"/>
              </w:rPr>
              <w:t>CPR level:</w:t>
            </w:r>
          </w:p>
        </w:tc>
        <w:tc>
          <w:tcPr>
            <w:tcW w:w="2680" w:type="dxa"/>
            <w:shd w:val="clear" w:color="auto" w:fill="auto"/>
          </w:tcPr>
          <w:p w14:paraId="71DCAE10" w14:textId="77777777" w:rsidR="000C2DED" w:rsidRPr="00D55370" w:rsidRDefault="000C2DED" w:rsidP="0088257A">
            <w:pPr>
              <w:spacing w:before="40" w:after="40"/>
              <w:jc w:val="right"/>
              <w:rPr>
                <w:rFonts w:cs="Calibri"/>
                <w:sz w:val="20"/>
                <w:szCs w:val="20"/>
              </w:rPr>
            </w:pPr>
            <w:r w:rsidRPr="00D55370">
              <w:rPr>
                <w:rFonts w:cs="Calibri"/>
                <w:sz w:val="20"/>
                <w:szCs w:val="20"/>
              </w:rPr>
              <w:t>402,098,575</w:t>
            </w:r>
          </w:p>
        </w:tc>
      </w:tr>
      <w:tr w:rsidR="000C2DED" w:rsidRPr="00D55370" w14:paraId="70B2EB2E" w14:textId="77777777" w:rsidTr="0088257A">
        <w:tc>
          <w:tcPr>
            <w:tcW w:w="6194" w:type="dxa"/>
            <w:shd w:val="clear" w:color="auto" w:fill="auto"/>
          </w:tcPr>
          <w:p w14:paraId="59F4E045" w14:textId="77777777" w:rsidR="000C2DED" w:rsidRPr="00D55370" w:rsidRDefault="000C2DED" w:rsidP="0088257A">
            <w:pPr>
              <w:spacing w:before="40" w:after="40"/>
              <w:rPr>
                <w:rFonts w:cs="Calibri"/>
                <w:sz w:val="20"/>
                <w:szCs w:val="20"/>
              </w:rPr>
            </w:pPr>
            <w:r w:rsidRPr="00D55370">
              <w:rPr>
                <w:rFonts w:cs="Calibri"/>
                <w:sz w:val="20"/>
                <w:szCs w:val="20"/>
              </w:rPr>
              <w:t xml:space="preserve">CPR level = (% of assigned amount): </w:t>
            </w:r>
          </w:p>
        </w:tc>
        <w:tc>
          <w:tcPr>
            <w:tcW w:w="2680" w:type="dxa"/>
            <w:shd w:val="clear" w:color="auto" w:fill="auto"/>
          </w:tcPr>
          <w:p w14:paraId="224CA06B" w14:textId="77777777" w:rsidR="000C2DED" w:rsidRPr="00D55370" w:rsidRDefault="000C2DED" w:rsidP="0088257A">
            <w:pPr>
              <w:spacing w:before="40" w:after="40"/>
              <w:jc w:val="right"/>
              <w:rPr>
                <w:rFonts w:cs="Calibri"/>
                <w:sz w:val="20"/>
                <w:szCs w:val="20"/>
              </w:rPr>
            </w:pPr>
            <w:r w:rsidRPr="00D55370">
              <w:rPr>
                <w:rFonts w:cs="Calibri"/>
                <w:sz w:val="20"/>
                <w:szCs w:val="20"/>
              </w:rPr>
              <w:t>144.32%</w:t>
            </w:r>
          </w:p>
        </w:tc>
      </w:tr>
      <w:tr w:rsidR="000C2DED" w:rsidRPr="00C063A8" w14:paraId="1C32197D" w14:textId="77777777" w:rsidTr="0088257A">
        <w:tc>
          <w:tcPr>
            <w:tcW w:w="6194" w:type="dxa"/>
            <w:shd w:val="clear" w:color="auto" w:fill="auto"/>
          </w:tcPr>
          <w:p w14:paraId="1AF53A66" w14:textId="77777777" w:rsidR="000C2DED" w:rsidRPr="00C063A8" w:rsidRDefault="000C2DED" w:rsidP="0088257A">
            <w:pPr>
              <w:rPr>
                <w:rFonts w:cs="Calibri"/>
                <w:sz w:val="16"/>
                <w:szCs w:val="16"/>
                <w:highlight w:val="yellow"/>
              </w:rPr>
            </w:pPr>
          </w:p>
        </w:tc>
        <w:tc>
          <w:tcPr>
            <w:tcW w:w="2680" w:type="dxa"/>
            <w:shd w:val="clear" w:color="auto" w:fill="auto"/>
          </w:tcPr>
          <w:p w14:paraId="4CCE2A1B" w14:textId="77777777" w:rsidR="000C2DED" w:rsidRPr="00C063A8" w:rsidRDefault="000C2DED" w:rsidP="0088257A">
            <w:pPr>
              <w:jc w:val="right"/>
              <w:rPr>
                <w:rFonts w:cs="Calibri"/>
                <w:sz w:val="16"/>
                <w:szCs w:val="16"/>
              </w:rPr>
            </w:pPr>
          </w:p>
        </w:tc>
      </w:tr>
      <w:tr w:rsidR="000C2DED" w:rsidRPr="00D55370" w14:paraId="189C7B86" w14:textId="77777777" w:rsidTr="0088257A">
        <w:tc>
          <w:tcPr>
            <w:tcW w:w="6194" w:type="dxa"/>
            <w:shd w:val="clear" w:color="auto" w:fill="auto"/>
          </w:tcPr>
          <w:p w14:paraId="4908956B" w14:textId="77777777" w:rsidR="000C2DED" w:rsidRPr="00D55370" w:rsidRDefault="000C2DED" w:rsidP="0088257A">
            <w:pPr>
              <w:spacing w:before="40" w:after="40"/>
              <w:rPr>
                <w:rFonts w:cs="Calibri"/>
                <w:sz w:val="20"/>
                <w:szCs w:val="20"/>
              </w:rPr>
            </w:pPr>
            <w:r w:rsidRPr="00D55370">
              <w:rPr>
                <w:rFonts w:cs="Calibri"/>
                <w:sz w:val="20"/>
                <w:szCs w:val="20"/>
              </w:rPr>
              <w:t>CPR level comprises the following units:</w:t>
            </w:r>
          </w:p>
        </w:tc>
        <w:tc>
          <w:tcPr>
            <w:tcW w:w="2680" w:type="dxa"/>
            <w:shd w:val="clear" w:color="auto" w:fill="auto"/>
          </w:tcPr>
          <w:p w14:paraId="69590EDF" w14:textId="77777777" w:rsidR="000C2DED" w:rsidRPr="00D55370" w:rsidRDefault="000C2DED" w:rsidP="0088257A">
            <w:pPr>
              <w:spacing w:before="40" w:after="40"/>
              <w:jc w:val="right"/>
              <w:rPr>
                <w:rFonts w:cs="Calibri"/>
                <w:sz w:val="20"/>
                <w:szCs w:val="20"/>
              </w:rPr>
            </w:pPr>
          </w:p>
        </w:tc>
      </w:tr>
      <w:tr w:rsidR="000C2DED" w:rsidRPr="00D55370" w14:paraId="2FDBEA44" w14:textId="77777777" w:rsidTr="0088257A">
        <w:tc>
          <w:tcPr>
            <w:tcW w:w="6194" w:type="dxa"/>
            <w:shd w:val="clear" w:color="auto" w:fill="auto"/>
          </w:tcPr>
          <w:p w14:paraId="463B767B" w14:textId="77777777" w:rsidR="000C2DED" w:rsidRPr="00D55370" w:rsidRDefault="000C2DED" w:rsidP="0088257A">
            <w:pPr>
              <w:spacing w:before="40" w:after="40"/>
              <w:rPr>
                <w:rFonts w:cs="Calibri"/>
                <w:sz w:val="20"/>
                <w:szCs w:val="20"/>
              </w:rPr>
            </w:pPr>
            <w:r w:rsidRPr="00D55370">
              <w:rPr>
                <w:rFonts w:cs="Calibri"/>
                <w:sz w:val="20"/>
                <w:szCs w:val="20"/>
              </w:rPr>
              <w:t>AAUs</w:t>
            </w:r>
          </w:p>
        </w:tc>
        <w:tc>
          <w:tcPr>
            <w:tcW w:w="2680" w:type="dxa"/>
            <w:shd w:val="clear" w:color="auto" w:fill="auto"/>
          </w:tcPr>
          <w:p w14:paraId="723D2C5D" w14:textId="77777777" w:rsidR="000C2DED" w:rsidRPr="00D55370" w:rsidRDefault="000C2DED" w:rsidP="0088257A">
            <w:pPr>
              <w:spacing w:before="40" w:after="40"/>
              <w:jc w:val="right"/>
              <w:rPr>
                <w:rFonts w:cs="Calibri"/>
                <w:sz w:val="20"/>
                <w:szCs w:val="20"/>
              </w:rPr>
            </w:pPr>
            <w:r w:rsidRPr="00D55370">
              <w:rPr>
                <w:rFonts w:cs="Calibri"/>
                <w:sz w:val="20"/>
                <w:szCs w:val="20"/>
              </w:rPr>
              <w:t>208,356,043</w:t>
            </w:r>
          </w:p>
        </w:tc>
      </w:tr>
      <w:tr w:rsidR="000C2DED" w:rsidRPr="00D55370" w14:paraId="27824AE1" w14:textId="77777777" w:rsidTr="0088257A">
        <w:tc>
          <w:tcPr>
            <w:tcW w:w="6194" w:type="dxa"/>
            <w:shd w:val="clear" w:color="auto" w:fill="auto"/>
          </w:tcPr>
          <w:p w14:paraId="22B6FD8F" w14:textId="77777777" w:rsidR="000C2DED" w:rsidRPr="00D55370" w:rsidRDefault="000C2DED" w:rsidP="0088257A">
            <w:pPr>
              <w:spacing w:before="40" w:after="40"/>
              <w:rPr>
                <w:rFonts w:cs="Calibri"/>
                <w:sz w:val="20"/>
                <w:szCs w:val="20"/>
              </w:rPr>
            </w:pPr>
            <w:r w:rsidRPr="00D55370">
              <w:rPr>
                <w:rFonts w:cs="Calibri"/>
                <w:sz w:val="20"/>
                <w:szCs w:val="20"/>
              </w:rPr>
              <w:t>ERUs (converted from AAUs)</w:t>
            </w:r>
          </w:p>
        </w:tc>
        <w:tc>
          <w:tcPr>
            <w:tcW w:w="2680" w:type="dxa"/>
            <w:shd w:val="clear" w:color="auto" w:fill="auto"/>
          </w:tcPr>
          <w:p w14:paraId="612A1C08" w14:textId="77777777" w:rsidR="000C2DED" w:rsidRPr="00D55370" w:rsidRDefault="000C2DED" w:rsidP="0088257A">
            <w:pPr>
              <w:spacing w:before="40" w:after="40"/>
              <w:jc w:val="right"/>
              <w:rPr>
                <w:rFonts w:cs="Calibri"/>
                <w:sz w:val="20"/>
                <w:szCs w:val="20"/>
              </w:rPr>
            </w:pPr>
            <w:r w:rsidRPr="00D55370">
              <w:rPr>
                <w:rFonts w:cs="Calibri"/>
                <w:sz w:val="20"/>
                <w:szCs w:val="20"/>
              </w:rPr>
              <w:t>97,027,042</w:t>
            </w:r>
          </w:p>
        </w:tc>
      </w:tr>
      <w:tr w:rsidR="000C2DED" w:rsidRPr="00D55370" w14:paraId="14140131" w14:textId="77777777" w:rsidTr="0088257A">
        <w:tc>
          <w:tcPr>
            <w:tcW w:w="6194" w:type="dxa"/>
            <w:shd w:val="clear" w:color="auto" w:fill="auto"/>
          </w:tcPr>
          <w:p w14:paraId="4C7F69C3" w14:textId="77777777" w:rsidR="000C2DED" w:rsidRPr="00D55370" w:rsidRDefault="000C2DED" w:rsidP="0088257A">
            <w:pPr>
              <w:spacing w:before="40" w:after="40"/>
              <w:rPr>
                <w:rFonts w:cs="Calibri"/>
                <w:sz w:val="20"/>
                <w:szCs w:val="20"/>
              </w:rPr>
            </w:pPr>
            <w:r w:rsidRPr="00D55370">
              <w:rPr>
                <w:rFonts w:cs="Calibri"/>
                <w:sz w:val="20"/>
                <w:szCs w:val="20"/>
              </w:rPr>
              <w:t>CERs</w:t>
            </w:r>
          </w:p>
          <w:p w14:paraId="4F093761" w14:textId="77777777" w:rsidR="000C2DED" w:rsidRPr="00D55370" w:rsidRDefault="000C2DED" w:rsidP="0088257A">
            <w:pPr>
              <w:spacing w:before="40" w:after="40"/>
              <w:rPr>
                <w:rFonts w:cs="Calibri"/>
                <w:sz w:val="20"/>
                <w:szCs w:val="20"/>
              </w:rPr>
            </w:pPr>
            <w:r w:rsidRPr="00D55370">
              <w:rPr>
                <w:rFonts w:cs="Calibri"/>
                <w:sz w:val="20"/>
                <w:szCs w:val="20"/>
              </w:rPr>
              <w:t>RMUs</w:t>
            </w:r>
          </w:p>
        </w:tc>
        <w:tc>
          <w:tcPr>
            <w:tcW w:w="2680" w:type="dxa"/>
            <w:tcBorders>
              <w:bottom w:val="single" w:sz="4" w:space="0" w:color="auto"/>
            </w:tcBorders>
            <w:shd w:val="clear" w:color="auto" w:fill="auto"/>
          </w:tcPr>
          <w:p w14:paraId="2F9E6067" w14:textId="77777777" w:rsidR="000C2DED" w:rsidRPr="00D55370" w:rsidRDefault="000C2DED" w:rsidP="0088257A">
            <w:pPr>
              <w:spacing w:before="40" w:after="40"/>
              <w:jc w:val="right"/>
              <w:rPr>
                <w:rFonts w:cs="Calibri"/>
                <w:sz w:val="20"/>
                <w:szCs w:val="20"/>
              </w:rPr>
            </w:pPr>
            <w:r w:rsidRPr="00D55370">
              <w:rPr>
                <w:rFonts w:cs="Calibri"/>
                <w:sz w:val="20"/>
                <w:szCs w:val="20"/>
              </w:rPr>
              <w:t>16,117,338</w:t>
            </w:r>
          </w:p>
          <w:p w14:paraId="69E512ED" w14:textId="77777777" w:rsidR="000C2DED" w:rsidRPr="00D55370" w:rsidRDefault="000C2DED" w:rsidP="0088257A">
            <w:pPr>
              <w:spacing w:before="40" w:after="40"/>
              <w:jc w:val="right"/>
              <w:rPr>
                <w:rFonts w:cs="Calibri"/>
                <w:sz w:val="20"/>
                <w:szCs w:val="20"/>
              </w:rPr>
            </w:pPr>
            <w:r w:rsidRPr="00D55370">
              <w:rPr>
                <w:rFonts w:cs="Calibri"/>
                <w:sz w:val="20"/>
                <w:szCs w:val="20"/>
              </w:rPr>
              <w:t>80,598,152</w:t>
            </w:r>
          </w:p>
        </w:tc>
      </w:tr>
      <w:tr w:rsidR="000C2DED" w:rsidRPr="00D55370" w14:paraId="0A09D7A0" w14:textId="77777777" w:rsidTr="0088257A">
        <w:tc>
          <w:tcPr>
            <w:tcW w:w="6194" w:type="dxa"/>
            <w:shd w:val="clear" w:color="auto" w:fill="auto"/>
          </w:tcPr>
          <w:p w14:paraId="5E7E6846" w14:textId="77777777" w:rsidR="000C2DED" w:rsidRPr="00D55370" w:rsidRDefault="000C2DED" w:rsidP="0088257A">
            <w:pPr>
              <w:spacing w:before="40" w:after="40"/>
              <w:rPr>
                <w:rFonts w:cs="Calibri"/>
                <w:sz w:val="20"/>
                <w:szCs w:val="20"/>
              </w:rPr>
            </w:pPr>
            <w:r w:rsidRPr="00D55370">
              <w:rPr>
                <w:rFonts w:cs="Calibri"/>
                <w:sz w:val="20"/>
                <w:szCs w:val="20"/>
              </w:rPr>
              <w:t>Total units</w:t>
            </w:r>
          </w:p>
        </w:tc>
        <w:tc>
          <w:tcPr>
            <w:tcW w:w="2680" w:type="dxa"/>
            <w:tcBorders>
              <w:top w:val="single" w:sz="4" w:space="0" w:color="auto"/>
              <w:bottom w:val="single" w:sz="4" w:space="0" w:color="auto"/>
            </w:tcBorders>
            <w:shd w:val="clear" w:color="auto" w:fill="auto"/>
          </w:tcPr>
          <w:p w14:paraId="32733D77" w14:textId="77777777" w:rsidR="000C2DED" w:rsidRPr="00D55370" w:rsidRDefault="000C2DED" w:rsidP="0088257A">
            <w:pPr>
              <w:spacing w:before="40" w:after="40"/>
              <w:jc w:val="right"/>
              <w:rPr>
                <w:rFonts w:cs="Calibri"/>
                <w:sz w:val="20"/>
                <w:szCs w:val="20"/>
              </w:rPr>
            </w:pPr>
            <w:r w:rsidRPr="00D55370">
              <w:rPr>
                <w:rFonts w:cs="Calibri"/>
                <w:sz w:val="20"/>
                <w:szCs w:val="20"/>
              </w:rPr>
              <w:t>402,098,575</w:t>
            </w:r>
          </w:p>
        </w:tc>
      </w:tr>
    </w:tbl>
    <w:p w14:paraId="36A1BCFD" w14:textId="77777777" w:rsidR="000C2DED" w:rsidRPr="00D55370" w:rsidRDefault="000C2DED" w:rsidP="000C2DED"/>
    <w:p w14:paraId="75DC01A9" w14:textId="77777777" w:rsidR="000C2DED" w:rsidRPr="00D55370" w:rsidRDefault="000C2DED" w:rsidP="000C2DED">
      <w:pPr>
        <w:pStyle w:val="Heading2"/>
        <w:spacing w:before="0" w:after="360"/>
      </w:pPr>
      <w:bookmarkStart w:id="3052" w:name="_Toc481751436"/>
      <w:r w:rsidRPr="00D55370">
        <w:br w:type="page"/>
      </w:r>
      <w:bookmarkStart w:id="3053" w:name="_Toc511116650"/>
      <w:bookmarkStart w:id="3054" w:name="_Toc99659185"/>
      <w:r w:rsidRPr="00D55370">
        <w:lastRenderedPageBreak/>
        <w:t>Chapter 12: Reference</w:t>
      </w:r>
      <w:bookmarkEnd w:id="3052"/>
      <w:bookmarkEnd w:id="3053"/>
      <w:bookmarkEnd w:id="3054"/>
      <w:r w:rsidRPr="00D55370">
        <w:t xml:space="preserve"> </w:t>
      </w:r>
    </w:p>
    <w:p w14:paraId="1438A2BD" w14:textId="77777777" w:rsidR="000C2DED" w:rsidRPr="00D55370" w:rsidRDefault="000C2DED" w:rsidP="000C2DED">
      <w:pPr>
        <w:pStyle w:val="References"/>
        <w:rPr>
          <w:rFonts w:cs="Calibri"/>
        </w:rPr>
      </w:pPr>
      <w:r w:rsidRPr="00D55370">
        <w:rPr>
          <w:rFonts w:cs="Calibri"/>
        </w:rPr>
        <w:t xml:space="preserve">Ministry for the Environment. 2006. </w:t>
      </w:r>
      <w:r w:rsidRPr="00D55370">
        <w:rPr>
          <w:rFonts w:cs="Calibri"/>
          <w:i/>
          <w:iCs/>
        </w:rPr>
        <w:t xml:space="preserve">New Zealand’s Initial Report under the Kyoto Protocol. </w:t>
      </w:r>
      <w:r w:rsidRPr="00D55370">
        <w:rPr>
          <w:rFonts w:cs="Calibri"/>
        </w:rPr>
        <w:t>Wellington: Ministry for the Environment. Retrieved from www.mfe.govt.nz/publications/climate/new-zealands-initial-report-under-the-kyoto-protocol/index.html (17 February 2016).</w:t>
      </w:r>
    </w:p>
    <w:p w14:paraId="5BC7E754" w14:textId="77777777" w:rsidR="000C2DED" w:rsidRPr="00D55370" w:rsidRDefault="000C2DED" w:rsidP="000C2DED">
      <w:pPr>
        <w:pStyle w:val="BodyText"/>
      </w:pPr>
    </w:p>
    <w:p w14:paraId="4046D17E" w14:textId="77777777" w:rsidR="00C70DDD" w:rsidRDefault="00C70DDD" w:rsidP="00616641">
      <w:pPr>
        <w:pStyle w:val="BodyText"/>
        <w:sectPr w:rsidR="00C70DDD" w:rsidSect="00F816FA">
          <w:footerReference w:type="even" r:id="rId283"/>
          <w:pgSz w:w="11907" w:h="16840" w:code="9"/>
          <w:pgMar w:top="1418" w:right="1701" w:bottom="1418" w:left="1701" w:header="567" w:footer="567" w:gutter="0"/>
          <w:cols w:space="720"/>
        </w:sectPr>
      </w:pPr>
    </w:p>
    <w:p w14:paraId="0564EB1A" w14:textId="77777777" w:rsidR="00BE6255" w:rsidRPr="00D9348B" w:rsidRDefault="00BE6255" w:rsidP="00BE6255">
      <w:pPr>
        <w:pStyle w:val="Heading1"/>
      </w:pPr>
      <w:bookmarkStart w:id="3055" w:name="_Toc99659186"/>
      <w:r w:rsidRPr="00DA5F1B">
        <w:lastRenderedPageBreak/>
        <w:t>Chapter</w:t>
      </w:r>
      <w:r w:rsidRPr="00D9348B">
        <w:t xml:space="preserve"> 13: Information on changes to the </w:t>
      </w:r>
      <w:r>
        <w:t>n</w:t>
      </w:r>
      <w:r w:rsidRPr="00D9348B">
        <w:t xml:space="preserve">ational </w:t>
      </w:r>
      <w:r>
        <w:t>i</w:t>
      </w:r>
      <w:r w:rsidRPr="00D9348B">
        <w:t>nventory </w:t>
      </w:r>
      <w:r>
        <w:t>s</w:t>
      </w:r>
      <w:r w:rsidRPr="00D9348B">
        <w:t>ystem</w:t>
      </w:r>
      <w:bookmarkEnd w:id="3055"/>
    </w:p>
    <w:p w14:paraId="0B9BE51E" w14:textId="77777777" w:rsidR="00BE6255" w:rsidRPr="00DA5F1B" w:rsidRDefault="00BE6255" w:rsidP="00BE6255">
      <w:pPr>
        <w:pStyle w:val="BodyText"/>
      </w:pPr>
      <w:r>
        <w:t xml:space="preserve">No changes have been </w:t>
      </w:r>
      <w:r w:rsidRPr="00DA5F1B">
        <w:t xml:space="preserve">made in the legal or institutional arrangements in the national inventory system since the 2021 inventory submission. </w:t>
      </w:r>
    </w:p>
    <w:p w14:paraId="76B16ADD" w14:textId="539C3775" w:rsidR="00BE6255" w:rsidRDefault="00BE6255" w:rsidP="00BE6255">
      <w:pPr>
        <w:pStyle w:val="BodyText"/>
      </w:pPr>
      <w:r w:rsidRPr="00DA5F1B">
        <w:t>Although no major changes were made in the structure of the national inventory system, several programme and operational</w:t>
      </w:r>
      <w:r>
        <w:t xml:space="preserve"> improvements were implemented</w:t>
      </w:r>
      <w:r w:rsidR="00F61B17">
        <w:t>,</w:t>
      </w:r>
      <w:r>
        <w:t xml:space="preserve"> to increase the quality and efficiency of the inventory production. These include: </w:t>
      </w:r>
    </w:p>
    <w:p w14:paraId="0F5D9E9E" w14:textId="77777777" w:rsidR="00BE6255" w:rsidRPr="00DA5F1B" w:rsidRDefault="00BE6255" w:rsidP="00F61B17">
      <w:pPr>
        <w:pStyle w:val="Bullet"/>
      </w:pPr>
      <w:r w:rsidRPr="00DA5F1B">
        <w:t xml:space="preserve">continuing to develop automated methods for the National Inventory Report production, </w:t>
      </w:r>
      <w:r w:rsidRPr="00F61B17">
        <w:t>especially</w:t>
      </w:r>
      <w:r w:rsidRPr="00DA5F1B">
        <w:t xml:space="preserve"> where large quantities of data reported are within several different source documents</w:t>
      </w:r>
    </w:p>
    <w:p w14:paraId="159AD078" w14:textId="77777777" w:rsidR="00BE6255" w:rsidRPr="00DA5F1B" w:rsidRDefault="00BE6255" w:rsidP="00BE6255">
      <w:pPr>
        <w:pStyle w:val="Bullet"/>
      </w:pPr>
      <w:r w:rsidRPr="00DA5F1B">
        <w:t>continuing to develop the expertise of inventory contributors through coaching and structured training courses</w:t>
      </w:r>
    </w:p>
    <w:p w14:paraId="6F3C407E" w14:textId="77777777" w:rsidR="00BE6255" w:rsidRDefault="00BE6255" w:rsidP="00BE6255">
      <w:pPr>
        <w:pStyle w:val="Bullet"/>
      </w:pPr>
      <w:r w:rsidRPr="00DA5F1B">
        <w:t>securing</w:t>
      </w:r>
      <w:r w:rsidRPr="00F60CAF">
        <w:t xml:space="preserve"> project management and quality control staff resources within the central inventory agency</w:t>
      </w:r>
      <w:r>
        <w:t xml:space="preserve"> (the Ministry for the Environment).</w:t>
      </w:r>
    </w:p>
    <w:p w14:paraId="758304C0" w14:textId="77777777" w:rsidR="00BE6255" w:rsidRDefault="00BE6255" w:rsidP="00BE6255">
      <w:pPr>
        <w:pStyle w:val="BodyText"/>
      </w:pPr>
      <w:r>
        <w:t xml:space="preserve">The improvements are expected to enhance the functioning of the national system and, in doing so, ensure continuous improvement of national inventory submissions into the future. </w:t>
      </w:r>
    </w:p>
    <w:p w14:paraId="3E5A3801" w14:textId="77777777" w:rsidR="00BE6255" w:rsidRPr="00DA5F1B" w:rsidRDefault="00BE6255" w:rsidP="00BE6255"/>
    <w:p w14:paraId="5F6D4ECF" w14:textId="77777777" w:rsidR="00F25769" w:rsidRDefault="00F25769" w:rsidP="00616641">
      <w:pPr>
        <w:pStyle w:val="BodyText"/>
        <w:sectPr w:rsidR="00F25769" w:rsidSect="00F816FA">
          <w:pgSz w:w="11907" w:h="16840" w:code="9"/>
          <w:pgMar w:top="1418" w:right="1701" w:bottom="1418" w:left="1701" w:header="567" w:footer="567" w:gutter="0"/>
          <w:cols w:space="720"/>
        </w:sectPr>
      </w:pPr>
    </w:p>
    <w:p w14:paraId="1538E562" w14:textId="77777777" w:rsidR="002471D6" w:rsidRPr="00E51B47" w:rsidRDefault="002471D6" w:rsidP="002471D6">
      <w:pPr>
        <w:pStyle w:val="Heading1"/>
      </w:pPr>
      <w:bookmarkStart w:id="3056" w:name="_Toc481751438"/>
      <w:bookmarkStart w:id="3057" w:name="_Toc511116652"/>
      <w:bookmarkStart w:id="3058" w:name="_Toc99659187"/>
      <w:r w:rsidRPr="00E51B47">
        <w:lastRenderedPageBreak/>
        <w:t>Chapter 14: Information on changes to the national registry</w:t>
      </w:r>
      <w:bookmarkEnd w:id="3056"/>
      <w:bookmarkEnd w:id="3057"/>
      <w:bookmarkEnd w:id="3058"/>
    </w:p>
    <w:p w14:paraId="42C4955A" w14:textId="77777777" w:rsidR="002471D6" w:rsidRPr="00E51B47" w:rsidRDefault="002471D6" w:rsidP="002471D6">
      <w:pPr>
        <w:pStyle w:val="BodyText"/>
      </w:pPr>
      <w:r w:rsidRPr="00E51B47">
        <w:t>This chapter contains information required for the reporting of changes to New Zealand’s national registry. The changes made to New Zealand’s national registry since the 2021 submission are included in table 14.1.</w:t>
      </w:r>
    </w:p>
    <w:p w14:paraId="0AA272BE" w14:textId="085ADD07" w:rsidR="002471D6" w:rsidRPr="00E51B47" w:rsidRDefault="00C71EA0" w:rsidP="00C71EA0">
      <w:pPr>
        <w:pStyle w:val="BodyText"/>
      </w:pPr>
      <w:r w:rsidRPr="00C71EA0">
        <w:t>The review of New Zealand’s 2021 submission has not been finalised or published. There are no outstanding recommendations relating to the national registry from previous reviews (see</w:t>
      </w:r>
      <w:r w:rsidR="00CF3955">
        <w:t> </w:t>
      </w:r>
      <w:r w:rsidRPr="00C71EA0">
        <w:t>table 14.2).</w:t>
      </w:r>
    </w:p>
    <w:p w14:paraId="15189CB9" w14:textId="77777777" w:rsidR="002471D6" w:rsidRPr="00E51B47" w:rsidRDefault="002471D6" w:rsidP="002471D6">
      <w:pPr>
        <w:pStyle w:val="BodyText"/>
        <w:rPr>
          <w:rFonts w:cs="Calibri"/>
        </w:rPr>
      </w:pPr>
      <w:r w:rsidRPr="00E51B47">
        <w:rPr>
          <w:rFonts w:cs="Calibri"/>
        </w:rPr>
        <w:t xml:space="preserve">The contact details for the national registry are provided in table 14.3. </w:t>
      </w:r>
    </w:p>
    <w:p w14:paraId="6C41136F" w14:textId="77777777" w:rsidR="002471D6" w:rsidRPr="00E51B47" w:rsidRDefault="002471D6" w:rsidP="002471D6">
      <w:pPr>
        <w:pStyle w:val="Table"/>
      </w:pPr>
      <w:bookmarkStart w:id="3059" w:name="_Toc481751644"/>
      <w:bookmarkStart w:id="3060" w:name="_Toc511116872"/>
      <w:bookmarkStart w:id="3061" w:name="_Toc99659405"/>
      <w:r w:rsidRPr="00E51B47">
        <w:t xml:space="preserve">Table 14.1 </w:t>
      </w:r>
      <w:r w:rsidRPr="00E51B47">
        <w:tab/>
        <w:t>Changes made to New Zealand’s national registry</w:t>
      </w:r>
      <w:bookmarkEnd w:id="3059"/>
      <w:bookmarkEnd w:id="3060"/>
      <w:bookmarkEnd w:id="3061"/>
    </w:p>
    <w:tbl>
      <w:tblPr>
        <w:tblW w:w="8505" w:type="dxa"/>
        <w:tblInd w:w="108" w:type="dxa"/>
        <w:tblBorders>
          <w:top w:val="single" w:sz="4" w:space="0" w:color="365F91"/>
          <w:bottom w:val="single" w:sz="4" w:space="0" w:color="365F91"/>
          <w:insideV w:val="single" w:sz="4" w:space="0" w:color="365F91"/>
        </w:tblBorders>
        <w:tblLook w:val="01E0" w:firstRow="1" w:lastRow="1" w:firstColumn="1" w:lastColumn="1" w:noHBand="0" w:noVBand="0"/>
      </w:tblPr>
      <w:tblGrid>
        <w:gridCol w:w="4111"/>
        <w:gridCol w:w="4394"/>
      </w:tblGrid>
      <w:tr w:rsidR="002471D6" w:rsidRPr="00E51B47" w14:paraId="741A80D2" w14:textId="77777777" w:rsidTr="00F63E77">
        <w:trPr>
          <w:tblHeader/>
        </w:trPr>
        <w:tc>
          <w:tcPr>
            <w:tcW w:w="4111" w:type="dxa"/>
            <w:tcBorders>
              <w:top w:val="single" w:sz="4" w:space="0" w:color="1B556B"/>
              <w:bottom w:val="single" w:sz="4" w:space="0" w:color="365F91"/>
              <w:right w:val="nil"/>
            </w:tcBorders>
            <w:shd w:val="clear" w:color="auto" w:fill="1B556B"/>
          </w:tcPr>
          <w:p w14:paraId="17938C4D" w14:textId="77777777" w:rsidR="002471D6" w:rsidRPr="00E51B47" w:rsidRDefault="002471D6" w:rsidP="0088257A">
            <w:pPr>
              <w:pStyle w:val="TableTextBold"/>
              <w:rPr>
                <w:noProof w:val="0"/>
                <w:color w:val="FFFFFF"/>
              </w:rPr>
            </w:pPr>
            <w:r w:rsidRPr="00E51B47">
              <w:rPr>
                <w:noProof w:val="0"/>
                <w:color w:val="FFFFFF"/>
              </w:rPr>
              <w:t>Section subheading</w:t>
            </w:r>
          </w:p>
        </w:tc>
        <w:tc>
          <w:tcPr>
            <w:tcW w:w="4394" w:type="dxa"/>
            <w:tcBorders>
              <w:top w:val="single" w:sz="4" w:space="0" w:color="1B556B"/>
              <w:left w:val="nil"/>
              <w:bottom w:val="single" w:sz="4" w:space="0" w:color="365F91"/>
            </w:tcBorders>
            <w:shd w:val="clear" w:color="auto" w:fill="1B556B"/>
          </w:tcPr>
          <w:p w14:paraId="127A2CEF" w14:textId="77777777" w:rsidR="002471D6" w:rsidRPr="00E51B47" w:rsidRDefault="002471D6" w:rsidP="0088257A">
            <w:pPr>
              <w:pStyle w:val="TableTextBold"/>
              <w:rPr>
                <w:noProof w:val="0"/>
                <w:color w:val="FFFFFF"/>
              </w:rPr>
            </w:pPr>
            <w:r w:rsidRPr="00E51B47">
              <w:rPr>
                <w:noProof w:val="0"/>
                <w:color w:val="FFFFFF"/>
              </w:rPr>
              <w:t>New Zealand’s response</w:t>
            </w:r>
          </w:p>
        </w:tc>
      </w:tr>
      <w:tr w:rsidR="002471D6" w:rsidRPr="00E51B47" w14:paraId="417DF665" w14:textId="77777777" w:rsidTr="0088257A">
        <w:tc>
          <w:tcPr>
            <w:tcW w:w="4111" w:type="dxa"/>
            <w:tcBorders>
              <w:top w:val="single" w:sz="4" w:space="0" w:color="365F91"/>
              <w:right w:val="single" w:sz="4" w:space="0" w:color="1B556B"/>
            </w:tcBorders>
          </w:tcPr>
          <w:p w14:paraId="37CCFABD" w14:textId="77777777" w:rsidR="002471D6" w:rsidRPr="00E51B47" w:rsidRDefault="002471D6" w:rsidP="0088257A">
            <w:pPr>
              <w:pStyle w:val="TableText"/>
              <w:rPr>
                <w:rFonts w:cs="Calibri"/>
              </w:rPr>
            </w:pPr>
            <w:r w:rsidRPr="00E51B47">
              <w:rPr>
                <w:rFonts w:cs="Calibri"/>
              </w:rPr>
              <w:t xml:space="preserve">15/CMP.1 Annex II.E, paragraph 32.(a): Change in the name or contact for the national registry </w:t>
            </w:r>
          </w:p>
        </w:tc>
        <w:tc>
          <w:tcPr>
            <w:tcW w:w="4394" w:type="dxa"/>
            <w:tcBorders>
              <w:top w:val="single" w:sz="4" w:space="0" w:color="365F91"/>
              <w:left w:val="single" w:sz="4" w:space="0" w:color="1B556B"/>
            </w:tcBorders>
          </w:tcPr>
          <w:p w14:paraId="4DBC07A4" w14:textId="77777777" w:rsidR="002471D6" w:rsidRPr="00E51B47" w:rsidRDefault="002471D6" w:rsidP="0088257A">
            <w:pPr>
              <w:pStyle w:val="TableText"/>
              <w:rPr>
                <w:rFonts w:cs="Calibri"/>
              </w:rPr>
            </w:pPr>
            <w:r w:rsidRPr="00E51B47">
              <w:rPr>
                <w:rFonts w:cs="Calibri"/>
              </w:rPr>
              <w:t>The contact details for the national registry have not been changed during the reporting period.</w:t>
            </w:r>
          </w:p>
        </w:tc>
      </w:tr>
      <w:tr w:rsidR="002471D6" w:rsidRPr="00E51B47" w14:paraId="72DB3836" w14:textId="77777777" w:rsidTr="0088257A">
        <w:tc>
          <w:tcPr>
            <w:tcW w:w="4111" w:type="dxa"/>
            <w:tcBorders>
              <w:right w:val="single" w:sz="4" w:space="0" w:color="1B556B"/>
            </w:tcBorders>
          </w:tcPr>
          <w:p w14:paraId="1862560A" w14:textId="77777777" w:rsidR="002471D6" w:rsidRPr="00E51B47" w:rsidRDefault="002471D6" w:rsidP="0088257A">
            <w:pPr>
              <w:pStyle w:val="TableText"/>
              <w:rPr>
                <w:rFonts w:cs="Calibri"/>
              </w:rPr>
            </w:pPr>
            <w:r w:rsidRPr="00E51B47">
              <w:rPr>
                <w:rFonts w:cs="Calibri"/>
              </w:rPr>
              <w:t xml:space="preserve">15/CMP.1 Annex II.E, paragraph 32.(b): Change in cooperation arrangement </w:t>
            </w:r>
          </w:p>
        </w:tc>
        <w:tc>
          <w:tcPr>
            <w:tcW w:w="4394" w:type="dxa"/>
            <w:tcBorders>
              <w:left w:val="single" w:sz="4" w:space="0" w:color="1B556B"/>
            </w:tcBorders>
          </w:tcPr>
          <w:p w14:paraId="0F8B6CD7" w14:textId="77777777" w:rsidR="002471D6" w:rsidRPr="00E51B47" w:rsidRDefault="002471D6" w:rsidP="0088257A">
            <w:pPr>
              <w:pStyle w:val="TableText"/>
              <w:rPr>
                <w:rFonts w:cs="Calibri"/>
              </w:rPr>
            </w:pPr>
            <w:r w:rsidRPr="00E51B47">
              <w:rPr>
                <w:rFonts w:cs="Calibri"/>
              </w:rPr>
              <w:t>No change of cooperation arrangement occurred during the reported period.</w:t>
            </w:r>
          </w:p>
        </w:tc>
      </w:tr>
      <w:tr w:rsidR="002471D6" w:rsidRPr="00E51B47" w14:paraId="435DF686" w14:textId="77777777" w:rsidTr="0088257A">
        <w:tc>
          <w:tcPr>
            <w:tcW w:w="4111" w:type="dxa"/>
            <w:tcBorders>
              <w:right w:val="single" w:sz="4" w:space="0" w:color="1B556B"/>
            </w:tcBorders>
          </w:tcPr>
          <w:p w14:paraId="5F087417" w14:textId="77777777" w:rsidR="002471D6" w:rsidRPr="00E51B47" w:rsidRDefault="002471D6" w:rsidP="0088257A">
            <w:pPr>
              <w:pStyle w:val="TableText"/>
              <w:rPr>
                <w:rFonts w:cs="Calibri"/>
              </w:rPr>
            </w:pPr>
            <w:r w:rsidRPr="00E51B47">
              <w:rPr>
                <w:rFonts w:cs="Calibri"/>
              </w:rPr>
              <w:t>1/CMP.1 Annex II.E, paragraph 32.(c): Change to the database or the capacity of the national registry</w:t>
            </w:r>
          </w:p>
        </w:tc>
        <w:tc>
          <w:tcPr>
            <w:tcW w:w="4394" w:type="dxa"/>
            <w:tcBorders>
              <w:left w:val="single" w:sz="4" w:space="0" w:color="1B556B"/>
            </w:tcBorders>
          </w:tcPr>
          <w:p w14:paraId="625A7596" w14:textId="77777777" w:rsidR="002471D6" w:rsidRPr="00E51B47" w:rsidRDefault="002471D6" w:rsidP="0088257A">
            <w:pPr>
              <w:pStyle w:val="TableText"/>
              <w:rPr>
                <w:rFonts w:cs="Calibri"/>
              </w:rPr>
            </w:pPr>
            <w:r w:rsidRPr="00E51B47">
              <w:rPr>
                <w:rFonts w:cs="Calibri"/>
              </w:rPr>
              <w:t>No change to the database or the capacity of the national registry occurred during the reporting period.</w:t>
            </w:r>
            <w:r w:rsidRPr="00E51B47" w:rsidDel="00905F56">
              <w:rPr>
                <w:rFonts w:cs="Calibri"/>
              </w:rPr>
              <w:t xml:space="preserve"> </w:t>
            </w:r>
          </w:p>
        </w:tc>
      </w:tr>
      <w:tr w:rsidR="002471D6" w:rsidRPr="00E51B47" w14:paraId="7BCA9815" w14:textId="77777777" w:rsidTr="0088257A">
        <w:tc>
          <w:tcPr>
            <w:tcW w:w="4111" w:type="dxa"/>
            <w:tcBorders>
              <w:right w:val="single" w:sz="4" w:space="0" w:color="1B556B"/>
            </w:tcBorders>
          </w:tcPr>
          <w:p w14:paraId="06C75643" w14:textId="77777777" w:rsidR="002471D6" w:rsidRPr="00E51B47" w:rsidRDefault="002471D6" w:rsidP="0088257A">
            <w:pPr>
              <w:pStyle w:val="TableText"/>
              <w:rPr>
                <w:rFonts w:cs="Calibri"/>
                <w:highlight w:val="yellow"/>
              </w:rPr>
            </w:pPr>
            <w:r w:rsidRPr="00E51B47">
              <w:rPr>
                <w:rFonts w:cs="Calibri"/>
              </w:rPr>
              <w:t xml:space="preserve">15/CMP.1 Annex II.E, paragraph 32.(d): Change in the conformance to technical standards </w:t>
            </w:r>
          </w:p>
        </w:tc>
        <w:tc>
          <w:tcPr>
            <w:tcW w:w="4394" w:type="dxa"/>
            <w:tcBorders>
              <w:left w:val="single" w:sz="4" w:space="0" w:color="1B556B"/>
            </w:tcBorders>
          </w:tcPr>
          <w:p w14:paraId="28450B2D" w14:textId="77777777" w:rsidR="002471D6" w:rsidRPr="00E51B47" w:rsidRDefault="002471D6" w:rsidP="0088257A">
            <w:pPr>
              <w:pStyle w:val="TableText"/>
              <w:rPr>
                <w:rFonts w:cs="Calibri"/>
              </w:rPr>
            </w:pPr>
            <w:r w:rsidRPr="00E51B47">
              <w:rPr>
                <w:rFonts w:cs="Calibri"/>
              </w:rPr>
              <w:t>No change in the conformance to technical standards occurred during the reporting period.</w:t>
            </w:r>
          </w:p>
        </w:tc>
      </w:tr>
      <w:tr w:rsidR="002471D6" w:rsidRPr="00E51B47" w14:paraId="0B6931B7" w14:textId="77777777" w:rsidTr="0088257A">
        <w:tc>
          <w:tcPr>
            <w:tcW w:w="4111" w:type="dxa"/>
            <w:tcBorders>
              <w:right w:val="single" w:sz="4" w:space="0" w:color="1B556B"/>
            </w:tcBorders>
          </w:tcPr>
          <w:p w14:paraId="26395C8F" w14:textId="77777777" w:rsidR="002471D6" w:rsidRPr="00E51B47" w:rsidRDefault="002471D6" w:rsidP="0088257A">
            <w:pPr>
              <w:pStyle w:val="TableText"/>
              <w:rPr>
                <w:rFonts w:cs="Calibri"/>
              </w:rPr>
            </w:pPr>
            <w:r w:rsidRPr="00E51B47">
              <w:rPr>
                <w:rFonts w:cs="Calibri"/>
              </w:rPr>
              <w:t xml:space="preserve">15/CMP.1 Annex II.E, paragraph 32.(e): Change in the discrepancy procedures </w:t>
            </w:r>
          </w:p>
        </w:tc>
        <w:tc>
          <w:tcPr>
            <w:tcW w:w="4394" w:type="dxa"/>
            <w:tcBorders>
              <w:left w:val="single" w:sz="4" w:space="0" w:color="1B556B"/>
            </w:tcBorders>
          </w:tcPr>
          <w:p w14:paraId="01A0A867" w14:textId="77777777" w:rsidR="002471D6" w:rsidRPr="00E51B47" w:rsidRDefault="002471D6" w:rsidP="0088257A">
            <w:pPr>
              <w:pStyle w:val="TableText"/>
              <w:rPr>
                <w:rFonts w:cs="Calibri"/>
              </w:rPr>
            </w:pPr>
            <w:r w:rsidRPr="00E51B47">
              <w:rPr>
                <w:rFonts w:cs="Calibri"/>
              </w:rPr>
              <w:t>No change of discrepancies procedures occurred during the reporting period.</w:t>
            </w:r>
          </w:p>
        </w:tc>
      </w:tr>
      <w:tr w:rsidR="002471D6" w:rsidRPr="00E51B47" w14:paraId="7D56B8A2" w14:textId="77777777" w:rsidTr="0088257A">
        <w:tc>
          <w:tcPr>
            <w:tcW w:w="4111" w:type="dxa"/>
            <w:tcBorders>
              <w:right w:val="single" w:sz="4" w:space="0" w:color="1B556B"/>
            </w:tcBorders>
          </w:tcPr>
          <w:p w14:paraId="5DA4F918" w14:textId="77777777" w:rsidR="002471D6" w:rsidRPr="00E51B47" w:rsidRDefault="002471D6" w:rsidP="0088257A">
            <w:pPr>
              <w:pStyle w:val="TableText"/>
              <w:rPr>
                <w:rFonts w:cs="Calibri"/>
              </w:rPr>
            </w:pPr>
            <w:r w:rsidRPr="00E51B47">
              <w:rPr>
                <w:rFonts w:cs="Calibri"/>
              </w:rPr>
              <w:t xml:space="preserve">15/CMP.1 Annex II.E, paragraph 32.(f): Change in security </w:t>
            </w:r>
          </w:p>
        </w:tc>
        <w:tc>
          <w:tcPr>
            <w:tcW w:w="4394" w:type="dxa"/>
            <w:tcBorders>
              <w:left w:val="single" w:sz="4" w:space="0" w:color="1B556B"/>
            </w:tcBorders>
          </w:tcPr>
          <w:p w14:paraId="1CF4FB3B" w14:textId="77777777" w:rsidR="002471D6" w:rsidRPr="00E51B47" w:rsidRDefault="002471D6" w:rsidP="0088257A">
            <w:pPr>
              <w:pStyle w:val="TableText"/>
              <w:rPr>
                <w:rFonts w:cs="Calibri"/>
              </w:rPr>
            </w:pPr>
            <w:r w:rsidRPr="00E51B47">
              <w:rPr>
                <w:rFonts w:cs="Calibri"/>
              </w:rPr>
              <w:t>No change in security occurred during the reporting period.</w:t>
            </w:r>
          </w:p>
        </w:tc>
      </w:tr>
      <w:tr w:rsidR="002471D6" w:rsidRPr="00E51B47" w14:paraId="79197193" w14:textId="77777777" w:rsidTr="0088257A">
        <w:tc>
          <w:tcPr>
            <w:tcW w:w="4111" w:type="dxa"/>
            <w:tcBorders>
              <w:right w:val="single" w:sz="4" w:space="0" w:color="1B556B"/>
            </w:tcBorders>
          </w:tcPr>
          <w:p w14:paraId="02F61385" w14:textId="77777777" w:rsidR="002471D6" w:rsidRPr="00E51B47" w:rsidRDefault="002471D6" w:rsidP="0088257A">
            <w:pPr>
              <w:pStyle w:val="TableText"/>
              <w:rPr>
                <w:rFonts w:cs="Calibri"/>
              </w:rPr>
            </w:pPr>
            <w:r w:rsidRPr="00E51B47">
              <w:rPr>
                <w:rFonts w:cs="Calibri"/>
              </w:rPr>
              <w:t xml:space="preserve">15/CMP.1 Annex II.E, paragraph 32.(g): Change in the list of publicly available information </w:t>
            </w:r>
          </w:p>
        </w:tc>
        <w:tc>
          <w:tcPr>
            <w:tcW w:w="4394" w:type="dxa"/>
            <w:tcBorders>
              <w:left w:val="single" w:sz="4" w:space="0" w:color="1B556B"/>
            </w:tcBorders>
          </w:tcPr>
          <w:p w14:paraId="355781C0" w14:textId="77777777" w:rsidR="002471D6" w:rsidRPr="00E51B47" w:rsidRDefault="002471D6" w:rsidP="0088257A">
            <w:pPr>
              <w:pStyle w:val="TableText"/>
              <w:rPr>
                <w:rFonts w:cs="Calibri"/>
              </w:rPr>
            </w:pPr>
            <w:r w:rsidRPr="00E51B47">
              <w:rPr>
                <w:rFonts w:cs="Calibri"/>
              </w:rPr>
              <w:t xml:space="preserve">No changes to the list of publicly available information occurred during the reporting period. </w:t>
            </w:r>
          </w:p>
        </w:tc>
      </w:tr>
      <w:tr w:rsidR="002471D6" w:rsidRPr="00E51B47" w14:paraId="3B1C50EB" w14:textId="77777777" w:rsidTr="0088257A">
        <w:tc>
          <w:tcPr>
            <w:tcW w:w="4111" w:type="dxa"/>
            <w:tcBorders>
              <w:right w:val="single" w:sz="4" w:space="0" w:color="1B556B"/>
            </w:tcBorders>
          </w:tcPr>
          <w:p w14:paraId="6027088A" w14:textId="77777777" w:rsidR="002471D6" w:rsidRPr="00E51B47" w:rsidRDefault="002471D6" w:rsidP="0088257A">
            <w:pPr>
              <w:pStyle w:val="TableText"/>
              <w:rPr>
                <w:rFonts w:cs="Calibri"/>
              </w:rPr>
            </w:pPr>
            <w:r w:rsidRPr="00E51B47">
              <w:rPr>
                <w:rFonts w:cs="Calibri"/>
              </w:rPr>
              <w:t>15/CMP.1 Annex II.E, paragraph 32.(h): Change to the internet address</w:t>
            </w:r>
          </w:p>
        </w:tc>
        <w:tc>
          <w:tcPr>
            <w:tcW w:w="4394" w:type="dxa"/>
            <w:tcBorders>
              <w:left w:val="single" w:sz="4" w:space="0" w:color="1B556B"/>
            </w:tcBorders>
          </w:tcPr>
          <w:p w14:paraId="547F84F3" w14:textId="77777777" w:rsidR="002471D6" w:rsidRPr="00E51B47" w:rsidRDefault="002471D6" w:rsidP="0088257A">
            <w:pPr>
              <w:pStyle w:val="TableText"/>
              <w:rPr>
                <w:rFonts w:cs="Calibri"/>
              </w:rPr>
            </w:pPr>
            <w:r w:rsidRPr="00E51B47">
              <w:rPr>
                <w:rFonts w:cs="Calibri"/>
              </w:rPr>
              <w:t>No change to the internet address occurred during the reporting period.</w:t>
            </w:r>
          </w:p>
        </w:tc>
      </w:tr>
      <w:tr w:rsidR="002471D6" w:rsidRPr="00E51B47" w14:paraId="75F7774C" w14:textId="77777777" w:rsidTr="0088257A">
        <w:tc>
          <w:tcPr>
            <w:tcW w:w="4111" w:type="dxa"/>
            <w:tcBorders>
              <w:right w:val="single" w:sz="4" w:space="0" w:color="1B556B"/>
            </w:tcBorders>
          </w:tcPr>
          <w:p w14:paraId="48591DC3" w14:textId="77777777" w:rsidR="002471D6" w:rsidRPr="00E51B47" w:rsidRDefault="002471D6" w:rsidP="0088257A">
            <w:pPr>
              <w:pStyle w:val="TableText"/>
              <w:rPr>
                <w:rFonts w:cs="Calibri"/>
              </w:rPr>
            </w:pPr>
            <w:r w:rsidRPr="00E51B47">
              <w:rPr>
                <w:rFonts w:cs="Calibri"/>
              </w:rPr>
              <w:t xml:space="preserve">15/CMP.1 Annex II.E, paragraph 32.(i): Change to the data integrity measures </w:t>
            </w:r>
          </w:p>
        </w:tc>
        <w:tc>
          <w:tcPr>
            <w:tcW w:w="4394" w:type="dxa"/>
            <w:tcBorders>
              <w:left w:val="single" w:sz="4" w:space="0" w:color="1B556B"/>
            </w:tcBorders>
          </w:tcPr>
          <w:p w14:paraId="1DD7AC3E" w14:textId="77777777" w:rsidR="002471D6" w:rsidRPr="00E51B47" w:rsidRDefault="002471D6" w:rsidP="0088257A">
            <w:pPr>
              <w:pStyle w:val="TableText"/>
              <w:rPr>
                <w:rFonts w:cs="Calibri"/>
              </w:rPr>
            </w:pPr>
            <w:r w:rsidRPr="00E51B47">
              <w:rPr>
                <w:rFonts w:cs="Calibri"/>
              </w:rPr>
              <w:t>No change to the data integrity measures occurred during the reporting period.</w:t>
            </w:r>
          </w:p>
        </w:tc>
      </w:tr>
      <w:tr w:rsidR="002471D6" w:rsidRPr="00E51B47" w14:paraId="129D160C" w14:textId="77777777" w:rsidTr="0088257A">
        <w:tc>
          <w:tcPr>
            <w:tcW w:w="4111" w:type="dxa"/>
            <w:tcBorders>
              <w:bottom w:val="single" w:sz="4" w:space="0" w:color="1B556B"/>
              <w:right w:val="single" w:sz="4" w:space="0" w:color="1B556B"/>
            </w:tcBorders>
          </w:tcPr>
          <w:p w14:paraId="31A8A854" w14:textId="77777777" w:rsidR="002471D6" w:rsidRPr="00E51B47" w:rsidRDefault="002471D6" w:rsidP="0088257A">
            <w:pPr>
              <w:pStyle w:val="TableText"/>
              <w:rPr>
                <w:rFonts w:cs="Calibri"/>
              </w:rPr>
            </w:pPr>
            <w:r w:rsidRPr="00E51B47">
              <w:rPr>
                <w:rFonts w:cs="Calibri"/>
              </w:rPr>
              <w:t xml:space="preserve">15/CMP.1 Annex II.E, paragraph 32.(j): Change of the test results </w:t>
            </w:r>
          </w:p>
        </w:tc>
        <w:tc>
          <w:tcPr>
            <w:tcW w:w="4394" w:type="dxa"/>
            <w:tcBorders>
              <w:left w:val="single" w:sz="4" w:space="0" w:color="1B556B"/>
              <w:bottom w:val="single" w:sz="4" w:space="0" w:color="1B556B"/>
            </w:tcBorders>
          </w:tcPr>
          <w:p w14:paraId="2E4E72F6" w14:textId="77777777" w:rsidR="002471D6" w:rsidRPr="00E51B47" w:rsidRDefault="002471D6" w:rsidP="0088257A">
            <w:pPr>
              <w:pStyle w:val="TableText"/>
              <w:rPr>
                <w:rFonts w:cs="Calibri"/>
              </w:rPr>
            </w:pPr>
            <w:r w:rsidRPr="00E51B47">
              <w:rPr>
                <w:rFonts w:cs="Calibri"/>
              </w:rPr>
              <w:t>No change to the test results occurred during the reporting period.</w:t>
            </w:r>
          </w:p>
        </w:tc>
      </w:tr>
    </w:tbl>
    <w:p w14:paraId="2F637332" w14:textId="77777777" w:rsidR="002471D6" w:rsidRPr="00E51B47" w:rsidRDefault="002471D6" w:rsidP="002471D6">
      <w:pPr>
        <w:pStyle w:val="Table"/>
        <w:spacing w:before="360"/>
        <w:rPr>
          <w:rFonts w:cs="Calibri"/>
          <w:szCs w:val="18"/>
        </w:rPr>
      </w:pPr>
      <w:bookmarkStart w:id="3062" w:name="_Toc481751645"/>
      <w:bookmarkStart w:id="3063" w:name="_Toc511116873"/>
      <w:bookmarkStart w:id="3064" w:name="_Toc99659406"/>
      <w:r w:rsidRPr="00E51B47">
        <w:rPr>
          <w:rFonts w:cs="Calibri"/>
          <w:szCs w:val="18"/>
        </w:rPr>
        <w:t>Table 14.2</w:t>
      </w:r>
      <w:r w:rsidRPr="00E51B47">
        <w:rPr>
          <w:rFonts w:cs="Calibri"/>
          <w:szCs w:val="18"/>
        </w:rPr>
        <w:tab/>
        <w:t>Previous recommendations for New Zealand from the expert review team</w:t>
      </w:r>
      <w:bookmarkEnd w:id="3062"/>
      <w:bookmarkEnd w:id="3063"/>
      <w:bookmarkEnd w:id="3064"/>
      <w:r w:rsidRPr="00E51B47">
        <w:rPr>
          <w:rFonts w:cs="Calibri"/>
          <w:szCs w:val="18"/>
        </w:rPr>
        <w:t xml:space="preserve"> </w:t>
      </w:r>
    </w:p>
    <w:tbl>
      <w:tblPr>
        <w:tblW w:w="8505" w:type="dxa"/>
        <w:tblInd w:w="108" w:type="dxa"/>
        <w:tblBorders>
          <w:top w:val="single" w:sz="4" w:space="0" w:color="1B556B"/>
          <w:bottom w:val="single" w:sz="4" w:space="0" w:color="1B556B"/>
          <w:insideH w:val="single" w:sz="4" w:space="0" w:color="1B556B"/>
        </w:tblBorders>
        <w:tblLook w:val="04A0" w:firstRow="1" w:lastRow="0" w:firstColumn="1" w:lastColumn="0" w:noHBand="0" w:noVBand="1"/>
      </w:tblPr>
      <w:tblGrid>
        <w:gridCol w:w="851"/>
        <w:gridCol w:w="3544"/>
        <w:gridCol w:w="4110"/>
      </w:tblGrid>
      <w:tr w:rsidR="002471D6" w:rsidRPr="00E51B47" w14:paraId="60B7AE02" w14:textId="77777777" w:rsidTr="002471D6">
        <w:tc>
          <w:tcPr>
            <w:tcW w:w="851" w:type="dxa"/>
            <w:tcBorders>
              <w:bottom w:val="single" w:sz="4" w:space="0" w:color="1B556B"/>
            </w:tcBorders>
            <w:shd w:val="clear" w:color="auto" w:fill="1B556B"/>
            <w:vAlign w:val="bottom"/>
          </w:tcPr>
          <w:p w14:paraId="15471EC8" w14:textId="77777777" w:rsidR="002471D6" w:rsidRPr="00E51B47" w:rsidRDefault="002471D6" w:rsidP="0088257A">
            <w:pPr>
              <w:pStyle w:val="TableTextBold"/>
              <w:rPr>
                <w:noProof w:val="0"/>
                <w:color w:val="FFFFFF"/>
              </w:rPr>
            </w:pPr>
          </w:p>
        </w:tc>
        <w:tc>
          <w:tcPr>
            <w:tcW w:w="3544" w:type="dxa"/>
            <w:tcBorders>
              <w:bottom w:val="single" w:sz="4" w:space="0" w:color="1B556B"/>
            </w:tcBorders>
            <w:shd w:val="clear" w:color="auto" w:fill="1B556B"/>
            <w:vAlign w:val="bottom"/>
          </w:tcPr>
          <w:p w14:paraId="64749B6C" w14:textId="77777777" w:rsidR="002471D6" w:rsidRPr="00E51B47" w:rsidRDefault="002471D6" w:rsidP="0088257A">
            <w:pPr>
              <w:pStyle w:val="TableTextBold"/>
              <w:rPr>
                <w:rFonts w:cs="Calibri"/>
                <w:noProof w:val="0"/>
                <w:color w:val="FFFFFF"/>
              </w:rPr>
            </w:pPr>
            <w:r w:rsidRPr="00E51B47">
              <w:rPr>
                <w:rFonts w:cs="Calibri"/>
                <w:noProof w:val="0"/>
                <w:color w:val="FFFFFF"/>
              </w:rPr>
              <w:t>Review descriptions</w:t>
            </w:r>
          </w:p>
        </w:tc>
        <w:tc>
          <w:tcPr>
            <w:tcW w:w="4110" w:type="dxa"/>
            <w:tcBorders>
              <w:bottom w:val="single" w:sz="4" w:space="0" w:color="1B556B"/>
            </w:tcBorders>
            <w:shd w:val="clear" w:color="auto" w:fill="1B556B"/>
            <w:vAlign w:val="bottom"/>
          </w:tcPr>
          <w:p w14:paraId="687B63FC" w14:textId="77777777" w:rsidR="002471D6" w:rsidRPr="00E51B47" w:rsidRDefault="002471D6" w:rsidP="0088257A">
            <w:pPr>
              <w:pStyle w:val="TableTextBold"/>
              <w:rPr>
                <w:rFonts w:cs="Calibri"/>
                <w:noProof w:val="0"/>
                <w:color w:val="FFFFFF"/>
              </w:rPr>
            </w:pPr>
            <w:r w:rsidRPr="00E51B47">
              <w:rPr>
                <w:rFonts w:cs="Calibri"/>
                <w:noProof w:val="0"/>
                <w:color w:val="FFFFFF"/>
              </w:rPr>
              <w:t>New Zealand addressed the recommendation as follows</w:t>
            </w:r>
          </w:p>
        </w:tc>
      </w:tr>
      <w:tr w:rsidR="002471D6" w:rsidRPr="00E51B47" w14:paraId="53A80C2F" w14:textId="77777777" w:rsidTr="002471D6">
        <w:tc>
          <w:tcPr>
            <w:tcW w:w="851" w:type="dxa"/>
            <w:tcBorders>
              <w:right w:val="single" w:sz="4" w:space="0" w:color="1B556B"/>
            </w:tcBorders>
          </w:tcPr>
          <w:p w14:paraId="019B7F69" w14:textId="77777777" w:rsidR="002471D6" w:rsidRPr="00E51B47" w:rsidRDefault="002471D6" w:rsidP="0088257A">
            <w:pPr>
              <w:pStyle w:val="TableText"/>
            </w:pPr>
            <w:r w:rsidRPr="00E51B47">
              <w:t>NA</w:t>
            </w:r>
          </w:p>
        </w:tc>
        <w:tc>
          <w:tcPr>
            <w:tcW w:w="3544" w:type="dxa"/>
            <w:tcBorders>
              <w:left w:val="single" w:sz="4" w:space="0" w:color="1B556B"/>
              <w:right w:val="single" w:sz="4" w:space="0" w:color="1B556B"/>
            </w:tcBorders>
          </w:tcPr>
          <w:p w14:paraId="45739C36" w14:textId="77777777" w:rsidR="002471D6" w:rsidRPr="00E51B47" w:rsidRDefault="002471D6" w:rsidP="0088257A">
            <w:pPr>
              <w:pStyle w:val="TableText"/>
            </w:pPr>
            <w:r w:rsidRPr="00E51B47">
              <w:t>There were no recommendations to be addressed</w:t>
            </w:r>
          </w:p>
        </w:tc>
        <w:tc>
          <w:tcPr>
            <w:tcW w:w="4110" w:type="dxa"/>
            <w:tcBorders>
              <w:left w:val="single" w:sz="4" w:space="0" w:color="1B556B"/>
            </w:tcBorders>
            <w:shd w:val="clear" w:color="auto" w:fill="auto"/>
          </w:tcPr>
          <w:p w14:paraId="7F3C9EE1" w14:textId="77777777" w:rsidR="002471D6" w:rsidRPr="00E51B47" w:rsidRDefault="002471D6" w:rsidP="0088257A">
            <w:pPr>
              <w:pStyle w:val="TableText"/>
            </w:pPr>
            <w:r w:rsidRPr="00E51B47">
              <w:t>NA</w:t>
            </w:r>
          </w:p>
        </w:tc>
      </w:tr>
    </w:tbl>
    <w:p w14:paraId="70E83705" w14:textId="77777777" w:rsidR="002471D6" w:rsidRPr="00E51B47" w:rsidRDefault="002471D6" w:rsidP="002471D6">
      <w:pPr>
        <w:pStyle w:val="Table"/>
      </w:pPr>
      <w:bookmarkStart w:id="3065" w:name="_Toc481751646"/>
      <w:bookmarkStart w:id="3066" w:name="_Toc511116874"/>
      <w:bookmarkStart w:id="3067" w:name="_Toc99659407"/>
      <w:r w:rsidRPr="00E51B47">
        <w:lastRenderedPageBreak/>
        <w:t xml:space="preserve">Table 14.3 </w:t>
      </w:r>
      <w:r w:rsidRPr="00E51B47">
        <w:tab/>
        <w:t>Contact details</w:t>
      </w:r>
      <w:bookmarkEnd w:id="3065"/>
      <w:bookmarkEnd w:id="3066"/>
      <w:bookmarkEnd w:id="3067"/>
    </w:p>
    <w:tbl>
      <w:tblPr>
        <w:tblW w:w="8505" w:type="dxa"/>
        <w:tblInd w:w="108" w:type="dxa"/>
        <w:tblBorders>
          <w:top w:val="single" w:sz="4" w:space="0" w:color="1B556B"/>
          <w:bottom w:val="single" w:sz="4" w:space="0" w:color="1B556B"/>
          <w:insideH w:val="single" w:sz="4" w:space="0" w:color="1B556B"/>
        </w:tblBorders>
        <w:tblLook w:val="01E0" w:firstRow="1" w:lastRow="1" w:firstColumn="1" w:lastColumn="1" w:noHBand="0" w:noVBand="0"/>
      </w:tblPr>
      <w:tblGrid>
        <w:gridCol w:w="3786"/>
        <w:gridCol w:w="4719"/>
      </w:tblGrid>
      <w:tr w:rsidR="002471D6" w:rsidRPr="00E51B47" w14:paraId="14BD1291" w14:textId="77777777" w:rsidTr="0088257A">
        <w:tc>
          <w:tcPr>
            <w:tcW w:w="3799" w:type="dxa"/>
            <w:shd w:val="clear" w:color="auto" w:fill="auto"/>
          </w:tcPr>
          <w:p w14:paraId="1793B3C1" w14:textId="77777777" w:rsidR="002471D6" w:rsidRPr="00E51B47" w:rsidRDefault="002471D6" w:rsidP="0088257A">
            <w:pPr>
              <w:pStyle w:val="TableText"/>
              <w:keepNext/>
              <w:spacing w:before="120"/>
            </w:pPr>
            <w:r w:rsidRPr="00E51B47">
              <w:t>Organisation designated as the administrator of New Zealand’s national registry</w:t>
            </w:r>
          </w:p>
        </w:tc>
        <w:tc>
          <w:tcPr>
            <w:tcW w:w="4733" w:type="dxa"/>
            <w:shd w:val="clear" w:color="auto" w:fill="auto"/>
          </w:tcPr>
          <w:p w14:paraId="1863AD2F" w14:textId="77777777" w:rsidR="002471D6" w:rsidRPr="00E51B47" w:rsidRDefault="002471D6" w:rsidP="0088257A">
            <w:pPr>
              <w:pStyle w:val="TableText"/>
              <w:keepNext/>
              <w:spacing w:before="120" w:after="0"/>
            </w:pPr>
            <w:r w:rsidRPr="00E51B47">
              <w:t>Environmental Protection Authority</w:t>
            </w:r>
          </w:p>
          <w:p w14:paraId="42F7B526" w14:textId="77777777" w:rsidR="002471D6" w:rsidRPr="00E51B47" w:rsidRDefault="002471D6" w:rsidP="0088257A">
            <w:pPr>
              <w:pStyle w:val="TableText"/>
              <w:keepNext/>
              <w:spacing w:after="0"/>
            </w:pPr>
            <w:r w:rsidRPr="00E51B47">
              <w:t>Private Bag 63002, Wellington 6140, New Zealand</w:t>
            </w:r>
          </w:p>
          <w:p w14:paraId="33ED3AD0" w14:textId="77777777" w:rsidR="002471D6" w:rsidRPr="00E51B47" w:rsidRDefault="002471D6" w:rsidP="0088257A">
            <w:pPr>
              <w:pStyle w:val="TableText"/>
              <w:keepNext/>
              <w:spacing w:after="0"/>
            </w:pPr>
            <w:r w:rsidRPr="00E51B47">
              <w:t>Phone: +64 4 462 4289</w:t>
            </w:r>
          </w:p>
          <w:p w14:paraId="2EF60665" w14:textId="77777777" w:rsidR="002471D6" w:rsidRPr="00E51B47" w:rsidRDefault="002471D6" w:rsidP="0088257A">
            <w:pPr>
              <w:pStyle w:val="TableText"/>
              <w:keepNext/>
              <w:spacing w:after="0"/>
            </w:pPr>
            <w:r w:rsidRPr="00E51B47">
              <w:t>Fax: +64 4 978 3661</w:t>
            </w:r>
          </w:p>
          <w:p w14:paraId="2F601973" w14:textId="77777777" w:rsidR="002471D6" w:rsidRPr="00E51B47" w:rsidRDefault="002471D6" w:rsidP="0088257A">
            <w:pPr>
              <w:pStyle w:val="TableText"/>
              <w:keepNext/>
            </w:pPr>
            <w:r w:rsidRPr="00E51B47">
              <w:t xml:space="preserve">Web: </w:t>
            </w:r>
            <w:hyperlink r:id="rId284" w:history="1">
              <w:r w:rsidRPr="00E51B47">
                <w:t>www.epa.govt.nz</w:t>
              </w:r>
            </w:hyperlink>
          </w:p>
        </w:tc>
      </w:tr>
      <w:tr w:rsidR="002471D6" w:rsidRPr="00E51B47" w14:paraId="2FBA3DF5" w14:textId="77777777" w:rsidTr="0088257A">
        <w:tc>
          <w:tcPr>
            <w:tcW w:w="3799" w:type="dxa"/>
            <w:shd w:val="clear" w:color="auto" w:fill="auto"/>
          </w:tcPr>
          <w:p w14:paraId="347E0A96" w14:textId="77777777" w:rsidR="002471D6" w:rsidRPr="00E51B47" w:rsidRDefault="002471D6" w:rsidP="0088257A">
            <w:pPr>
              <w:pStyle w:val="TableText"/>
              <w:keepNext/>
              <w:spacing w:before="120"/>
            </w:pPr>
            <w:r w:rsidRPr="00E51B47">
              <w:t>Main Contact</w:t>
            </w:r>
          </w:p>
        </w:tc>
        <w:tc>
          <w:tcPr>
            <w:tcW w:w="4733" w:type="dxa"/>
            <w:shd w:val="clear" w:color="auto" w:fill="auto"/>
          </w:tcPr>
          <w:p w14:paraId="6268E206" w14:textId="77777777" w:rsidR="002471D6" w:rsidRPr="00E51B47" w:rsidRDefault="002471D6" w:rsidP="0088257A">
            <w:pPr>
              <w:pStyle w:val="TableText"/>
              <w:keepNext/>
              <w:spacing w:before="120" w:after="0"/>
            </w:pPr>
            <w:r w:rsidRPr="00E51B47">
              <w:t>Guy Windley</w:t>
            </w:r>
          </w:p>
          <w:p w14:paraId="6CB3EF98" w14:textId="77777777" w:rsidR="002471D6" w:rsidRPr="00E51B47" w:rsidRDefault="002471D6" w:rsidP="0088257A">
            <w:pPr>
              <w:pStyle w:val="TableText"/>
              <w:keepNext/>
              <w:spacing w:after="0"/>
            </w:pPr>
            <w:r w:rsidRPr="00E51B47">
              <w:t>ETS Manager</w:t>
            </w:r>
          </w:p>
          <w:p w14:paraId="4DFB9E3E" w14:textId="77777777" w:rsidR="002471D6" w:rsidRPr="00E51B47" w:rsidRDefault="002471D6" w:rsidP="0088257A">
            <w:pPr>
              <w:pStyle w:val="TableText"/>
              <w:keepNext/>
              <w:spacing w:after="0"/>
            </w:pPr>
            <w:r w:rsidRPr="00E51B47">
              <w:t>Environmental Protection Authority</w:t>
            </w:r>
          </w:p>
          <w:p w14:paraId="48F28C76" w14:textId="77777777" w:rsidR="002471D6" w:rsidRPr="00E51B47" w:rsidRDefault="002471D6" w:rsidP="0088257A">
            <w:pPr>
              <w:pStyle w:val="TableText"/>
              <w:keepNext/>
              <w:spacing w:after="0"/>
            </w:pPr>
            <w:r w:rsidRPr="00E51B47">
              <w:t>Private Bag 63002, Wellington 6140, New Zealand</w:t>
            </w:r>
          </w:p>
          <w:p w14:paraId="1C035FD7" w14:textId="77777777" w:rsidR="002471D6" w:rsidRPr="00E51B47" w:rsidRDefault="002471D6" w:rsidP="0088257A">
            <w:pPr>
              <w:pStyle w:val="TableText"/>
              <w:keepNext/>
              <w:spacing w:after="0"/>
            </w:pPr>
            <w:r w:rsidRPr="00E51B47">
              <w:t>Phone: +64 4 474 5514</w:t>
            </w:r>
          </w:p>
          <w:p w14:paraId="48806DD5" w14:textId="77777777" w:rsidR="002471D6" w:rsidRPr="00E51B47" w:rsidRDefault="002471D6" w:rsidP="0088257A">
            <w:pPr>
              <w:pStyle w:val="TableText"/>
              <w:keepNext/>
              <w:spacing w:after="0"/>
            </w:pPr>
            <w:r w:rsidRPr="00E51B47">
              <w:t>Fax: +64 4 978 3661</w:t>
            </w:r>
          </w:p>
          <w:p w14:paraId="02025D19" w14:textId="77777777" w:rsidR="002471D6" w:rsidRPr="00E51B47" w:rsidRDefault="002471D6" w:rsidP="0088257A">
            <w:pPr>
              <w:pStyle w:val="TableText"/>
              <w:keepNext/>
            </w:pPr>
            <w:r w:rsidRPr="00E51B47">
              <w:t>Email: guy.windley@epa.govt.nz</w:t>
            </w:r>
          </w:p>
        </w:tc>
      </w:tr>
      <w:tr w:rsidR="002471D6" w:rsidRPr="00E51B47" w14:paraId="2D56EED8" w14:textId="77777777" w:rsidTr="0088257A">
        <w:tc>
          <w:tcPr>
            <w:tcW w:w="3799" w:type="dxa"/>
            <w:shd w:val="clear" w:color="auto" w:fill="auto"/>
          </w:tcPr>
          <w:p w14:paraId="16E7AA7D" w14:textId="77777777" w:rsidR="002471D6" w:rsidRPr="00E51B47" w:rsidRDefault="002471D6" w:rsidP="0088257A">
            <w:pPr>
              <w:pStyle w:val="TableText"/>
              <w:spacing w:before="120"/>
            </w:pPr>
            <w:r w:rsidRPr="00E51B47">
              <w:t>Alternative Contact</w:t>
            </w:r>
          </w:p>
        </w:tc>
        <w:tc>
          <w:tcPr>
            <w:tcW w:w="4733" w:type="dxa"/>
            <w:shd w:val="clear" w:color="auto" w:fill="auto"/>
          </w:tcPr>
          <w:p w14:paraId="508436A8" w14:textId="77777777" w:rsidR="002471D6" w:rsidRPr="00E51B47" w:rsidRDefault="002471D6" w:rsidP="0088257A">
            <w:pPr>
              <w:pStyle w:val="TableText"/>
              <w:spacing w:before="120" w:after="0"/>
            </w:pPr>
            <w:r w:rsidRPr="00E51B47">
              <w:t xml:space="preserve">Dave Stuart </w:t>
            </w:r>
          </w:p>
          <w:p w14:paraId="7B319C2D" w14:textId="77777777" w:rsidR="002471D6" w:rsidRPr="00E51B47" w:rsidRDefault="002471D6" w:rsidP="0088257A">
            <w:pPr>
              <w:pStyle w:val="TableText"/>
              <w:spacing w:after="0"/>
            </w:pPr>
            <w:r w:rsidRPr="00E51B47">
              <w:t>Team Leader, ETS Operations</w:t>
            </w:r>
          </w:p>
          <w:p w14:paraId="39415FB0" w14:textId="77777777" w:rsidR="002471D6" w:rsidRPr="00E51B47" w:rsidRDefault="002471D6" w:rsidP="0088257A">
            <w:pPr>
              <w:pStyle w:val="TableText"/>
              <w:spacing w:after="0"/>
            </w:pPr>
            <w:r w:rsidRPr="00E51B47">
              <w:t>Environmental Protection Authority</w:t>
            </w:r>
          </w:p>
          <w:p w14:paraId="1C00A7CD" w14:textId="77777777" w:rsidR="002471D6" w:rsidRPr="00E51B47" w:rsidRDefault="002471D6" w:rsidP="0088257A">
            <w:pPr>
              <w:pStyle w:val="TableText"/>
              <w:spacing w:after="0"/>
            </w:pPr>
            <w:r w:rsidRPr="00E51B47">
              <w:t>Private Bag 63002, Wellington 6140, New Zealand</w:t>
            </w:r>
          </w:p>
          <w:p w14:paraId="6032142D" w14:textId="77777777" w:rsidR="002471D6" w:rsidRPr="00E51B47" w:rsidRDefault="002471D6" w:rsidP="0088257A">
            <w:pPr>
              <w:pStyle w:val="TableText"/>
              <w:spacing w:after="0"/>
            </w:pPr>
            <w:r w:rsidRPr="00E51B47">
              <w:t>Phone: +64 4 474 5750</w:t>
            </w:r>
          </w:p>
          <w:p w14:paraId="7C3CDEBB" w14:textId="77777777" w:rsidR="002471D6" w:rsidRPr="00E51B47" w:rsidRDefault="002471D6" w:rsidP="0088257A">
            <w:pPr>
              <w:pStyle w:val="TableText"/>
              <w:spacing w:after="0"/>
            </w:pPr>
            <w:r w:rsidRPr="00E51B47">
              <w:t>Fax: +64 4 978 3661</w:t>
            </w:r>
          </w:p>
          <w:p w14:paraId="4639AAB6" w14:textId="77777777" w:rsidR="002471D6" w:rsidRPr="00E51B47" w:rsidRDefault="002471D6" w:rsidP="0088257A">
            <w:pPr>
              <w:pStyle w:val="TableText"/>
            </w:pPr>
            <w:r w:rsidRPr="00E51B47">
              <w:t>Email: dave.stuart@epa.govt.nz</w:t>
            </w:r>
          </w:p>
        </w:tc>
      </w:tr>
    </w:tbl>
    <w:p w14:paraId="7B15AF6E" w14:textId="77777777" w:rsidR="002471D6" w:rsidRPr="00B22B96" w:rsidRDefault="002471D6" w:rsidP="002471D6">
      <w:pPr>
        <w:pStyle w:val="BodyText"/>
      </w:pPr>
    </w:p>
    <w:p w14:paraId="7ED9D10D" w14:textId="77777777" w:rsidR="00D97923" w:rsidRDefault="00D97923" w:rsidP="00616641">
      <w:pPr>
        <w:pStyle w:val="BodyText"/>
        <w:sectPr w:rsidR="00D97923" w:rsidSect="00F816FA">
          <w:footerReference w:type="even" r:id="rId285"/>
          <w:pgSz w:w="11907" w:h="16840" w:code="9"/>
          <w:pgMar w:top="1418" w:right="1701" w:bottom="1418" w:left="1701" w:header="567" w:footer="567" w:gutter="0"/>
          <w:cols w:space="720"/>
        </w:sectPr>
      </w:pPr>
    </w:p>
    <w:p w14:paraId="49A72DF7" w14:textId="77777777" w:rsidR="009742B7" w:rsidRPr="00437BEC" w:rsidRDefault="009742B7" w:rsidP="009742B7">
      <w:pPr>
        <w:pStyle w:val="Heading1"/>
      </w:pPr>
      <w:bookmarkStart w:id="3068" w:name="_Toc68786382"/>
      <w:bookmarkStart w:id="3069" w:name="_Toc99659188"/>
      <w:r w:rsidRPr="00437BEC">
        <w:lastRenderedPageBreak/>
        <w:t>Chapter 15: Information on minimisation of adverse impacts</w:t>
      </w:r>
      <w:bookmarkEnd w:id="3068"/>
      <w:bookmarkEnd w:id="3069"/>
    </w:p>
    <w:p w14:paraId="2D9B2E2E" w14:textId="77777777" w:rsidR="009742B7" w:rsidRPr="00437BEC" w:rsidRDefault="009742B7" w:rsidP="009742B7">
      <w:pPr>
        <w:pStyle w:val="BodyText"/>
        <w:spacing w:before="100" w:after="100"/>
      </w:pPr>
      <w:r w:rsidRPr="00437BEC">
        <w:t>This chapter provides information on New Zealand’s actions to minimise adverse social, environmental and economic impacts on non-Annex I Parties of the implementation of climate change policies and measures, as required under Article 3.14 of the Kyoto Protocol.</w:t>
      </w:r>
    </w:p>
    <w:p w14:paraId="35475F32" w14:textId="77777777" w:rsidR="009742B7" w:rsidRPr="00437BEC" w:rsidRDefault="009742B7" w:rsidP="009742B7">
      <w:pPr>
        <w:pStyle w:val="Heading2"/>
        <w:spacing w:before="280"/>
      </w:pPr>
      <w:bookmarkStart w:id="3070" w:name="_Toc448321578"/>
      <w:bookmarkStart w:id="3071" w:name="_Toc481751440"/>
      <w:bookmarkStart w:id="3072" w:name="_Toc36224463"/>
      <w:bookmarkStart w:id="3073" w:name="_Toc68786383"/>
      <w:bookmarkStart w:id="3074" w:name="_Toc99659189"/>
      <w:r w:rsidRPr="00437BEC">
        <w:t xml:space="preserve">15.1 </w:t>
      </w:r>
      <w:r w:rsidRPr="00437BEC">
        <w:tab/>
        <w:t>Overview</w:t>
      </w:r>
      <w:bookmarkEnd w:id="3070"/>
      <w:bookmarkEnd w:id="3071"/>
      <w:bookmarkEnd w:id="3072"/>
      <w:bookmarkEnd w:id="3073"/>
      <w:bookmarkEnd w:id="3074"/>
    </w:p>
    <w:p w14:paraId="0E1BDBC1" w14:textId="77777777" w:rsidR="009742B7" w:rsidRPr="00437BEC" w:rsidRDefault="009742B7" w:rsidP="009742B7">
      <w:pPr>
        <w:pStyle w:val="BodyText"/>
        <w:spacing w:before="100" w:after="100"/>
      </w:pPr>
      <w:r w:rsidRPr="00437BEC">
        <w:t>New Zealand is undertaking several mitigation actions and policies to reduce emissions to meet its Paris Agreement (2015) commitments, as well as prioritising adaptation and resilience in the Pacific. These measures include:</w:t>
      </w:r>
    </w:p>
    <w:p w14:paraId="5DCA45BE" w14:textId="77777777" w:rsidR="009742B7" w:rsidRPr="00437BEC" w:rsidRDefault="009742B7" w:rsidP="009742B7">
      <w:pPr>
        <w:pStyle w:val="Bullet"/>
        <w:spacing w:after="100"/>
      </w:pPr>
      <w:r w:rsidRPr="00437BEC">
        <w:t xml:space="preserve">implementing New Zealand’s updated Nationally Determined Contribution </w:t>
      </w:r>
    </w:p>
    <w:p w14:paraId="33E26091" w14:textId="77777777" w:rsidR="009742B7" w:rsidRPr="00437BEC" w:rsidRDefault="009742B7" w:rsidP="009742B7">
      <w:pPr>
        <w:pStyle w:val="Bullet"/>
        <w:spacing w:after="100"/>
      </w:pPr>
      <w:r w:rsidRPr="00437BEC">
        <w:t xml:space="preserve">developing an economy-wide, sector-specific and cross-cutting emissions reduction plan mandated to meet New Zealand’s legislated emission budgets </w:t>
      </w:r>
    </w:p>
    <w:p w14:paraId="0E9F6CA7" w14:textId="77777777" w:rsidR="009742B7" w:rsidRPr="00437BEC" w:rsidRDefault="009742B7" w:rsidP="009742B7">
      <w:pPr>
        <w:pStyle w:val="Bullet"/>
        <w:spacing w:after="100"/>
      </w:pPr>
      <w:r w:rsidRPr="00437BEC">
        <w:t>improving New Zealand’s emissions trading scheme, including by being one of the first countries in the world to put a price on agricultural emissions</w:t>
      </w:r>
    </w:p>
    <w:p w14:paraId="1517EB35" w14:textId="77777777" w:rsidR="009742B7" w:rsidRPr="00437BEC" w:rsidRDefault="009742B7" w:rsidP="009742B7">
      <w:pPr>
        <w:pStyle w:val="Bullet"/>
        <w:spacing w:after="100"/>
      </w:pPr>
      <w:r w:rsidRPr="00437BEC">
        <w:t xml:space="preserve">legislating a mandatory climate-related financial disclosures regime </w:t>
      </w:r>
    </w:p>
    <w:p w14:paraId="51A70DFE" w14:textId="77777777" w:rsidR="009742B7" w:rsidRPr="00437BEC" w:rsidRDefault="009742B7" w:rsidP="009742B7">
      <w:pPr>
        <w:pStyle w:val="Bullet"/>
        <w:spacing w:after="100"/>
      </w:pPr>
      <w:r w:rsidRPr="00437BEC">
        <w:t>improving energy efficiency initiatives</w:t>
      </w:r>
    </w:p>
    <w:p w14:paraId="10D0BCE4" w14:textId="77777777" w:rsidR="009742B7" w:rsidRPr="00437BEC" w:rsidRDefault="009742B7" w:rsidP="009742B7">
      <w:pPr>
        <w:pStyle w:val="Bullet"/>
        <w:spacing w:after="100"/>
      </w:pPr>
      <w:r w:rsidRPr="00437BEC">
        <w:t>investing in public transport, electric and low-emission light vehicles</w:t>
      </w:r>
    </w:p>
    <w:p w14:paraId="32EB34B8" w14:textId="77777777" w:rsidR="009742B7" w:rsidRPr="00437BEC" w:rsidRDefault="009742B7" w:rsidP="009742B7">
      <w:pPr>
        <w:pStyle w:val="Bullet"/>
        <w:spacing w:after="100"/>
      </w:pPr>
      <w:r w:rsidRPr="00437BEC">
        <w:t>supporting afforestation</w:t>
      </w:r>
    </w:p>
    <w:p w14:paraId="04525209" w14:textId="77777777" w:rsidR="009742B7" w:rsidRPr="00437BEC" w:rsidRDefault="009742B7" w:rsidP="009742B7">
      <w:pPr>
        <w:pStyle w:val="Bullet"/>
        <w:spacing w:after="100"/>
      </w:pPr>
      <w:r w:rsidRPr="00437BEC">
        <w:t>undertaking research, technology development and sharing of technical expertise, most notably in the agricultural sector</w:t>
      </w:r>
    </w:p>
    <w:p w14:paraId="6521D8EB" w14:textId="77777777" w:rsidR="009742B7" w:rsidRPr="00437BEC" w:rsidRDefault="009742B7" w:rsidP="009742B7">
      <w:pPr>
        <w:pStyle w:val="Bullet"/>
        <w:spacing w:after="100"/>
      </w:pPr>
      <w:r w:rsidRPr="00437BEC">
        <w:t>achieving 100 per cent of electricity produced from renewable energy sources by 2035</w:t>
      </w:r>
    </w:p>
    <w:p w14:paraId="5E8B8B4E" w14:textId="77777777" w:rsidR="009742B7" w:rsidRPr="00437BEC" w:rsidRDefault="009742B7" w:rsidP="009742B7">
      <w:pPr>
        <w:pStyle w:val="Bullet"/>
        <w:spacing w:after="100"/>
      </w:pPr>
      <w:r w:rsidRPr="00437BEC">
        <w:t xml:space="preserve">establishing the Carbon Neutral Government Programme </w:t>
      </w:r>
    </w:p>
    <w:p w14:paraId="2A6C2AAB" w14:textId="77777777" w:rsidR="009742B7" w:rsidRPr="00437BEC" w:rsidRDefault="009742B7" w:rsidP="009742B7">
      <w:pPr>
        <w:pStyle w:val="Bullet"/>
        <w:spacing w:after="100"/>
      </w:pPr>
      <w:r w:rsidRPr="00437BEC">
        <w:t xml:space="preserve">strengthening international cooperation by joining several initiatives that commit countries to effective and ambitious climate action, including playing a leading role in the Friends of Fossil Fuel Subsidy Reform (FFSR), the Global Research Alliance on Agricultural Greenhouse Gases, the Carbon Neutrality Coalition and the Agreement on Climate Change, Trade and Sustainability </w:t>
      </w:r>
    </w:p>
    <w:p w14:paraId="12ADBB37" w14:textId="77777777" w:rsidR="009742B7" w:rsidRPr="00437BEC" w:rsidRDefault="009742B7" w:rsidP="009742B7">
      <w:pPr>
        <w:pStyle w:val="Bullet"/>
        <w:spacing w:after="100"/>
      </w:pPr>
      <w:r w:rsidRPr="00437BEC">
        <w:t>sharing Aotearoa New Zealand’s long-standing expertise in renewable energy development internationally</w:t>
      </w:r>
    </w:p>
    <w:p w14:paraId="2DF3DF55" w14:textId="37E8B9BC" w:rsidR="009742B7" w:rsidRPr="00437BEC" w:rsidRDefault="009742B7" w:rsidP="009742B7">
      <w:pPr>
        <w:pStyle w:val="Bullet"/>
        <w:spacing w:after="100"/>
      </w:pPr>
      <w:r w:rsidRPr="00437BEC">
        <w:t xml:space="preserve">increasing climate-related support four-fold, to be delivered by New Zealand’s International Development Cooperation (IDC) Programme (see </w:t>
      </w:r>
      <w:hyperlink r:id="rId286" w:history="1">
        <w:r w:rsidR="00D304B4" w:rsidRPr="007921B7">
          <w:rPr>
            <w:rStyle w:val="Hyperlink"/>
          </w:rPr>
          <w:t>www.mfat.govt.nz/en/environment/climate-change/supporting-our-region/</w:t>
        </w:r>
      </w:hyperlink>
      <w:r w:rsidRPr="00437BEC">
        <w:t>).</w:t>
      </w:r>
    </w:p>
    <w:p w14:paraId="7FCB9C1D" w14:textId="77777777" w:rsidR="009742B7" w:rsidRPr="00437BEC" w:rsidRDefault="009742B7" w:rsidP="009742B7">
      <w:pPr>
        <w:pStyle w:val="BodyText"/>
        <w:spacing w:after="100"/>
      </w:pPr>
      <w:r w:rsidRPr="00437BEC">
        <w:t xml:space="preserve">Further information on actions and policies is included in </w:t>
      </w:r>
      <w:r w:rsidRPr="00437BEC">
        <w:rPr>
          <w:i/>
        </w:rPr>
        <w:t xml:space="preserve">New Zealand’s </w:t>
      </w:r>
      <w:hyperlink r:id="rId287" w:history="1">
        <w:r w:rsidRPr="00437BEC">
          <w:rPr>
            <w:i/>
            <w:iCs/>
          </w:rPr>
          <w:t>Fourth Biennial Report</w:t>
        </w:r>
      </w:hyperlink>
      <w:r w:rsidRPr="00437BEC">
        <w:t>, published in December 2019 (Ministry for the Environment, 2019).</w:t>
      </w:r>
    </w:p>
    <w:p w14:paraId="4130F561" w14:textId="08E5DF2D" w:rsidR="009742B7" w:rsidRPr="00437BEC" w:rsidRDefault="009742B7" w:rsidP="009742B7">
      <w:pPr>
        <w:pStyle w:val="BodyText"/>
        <w:spacing w:before="100" w:after="100"/>
      </w:pPr>
      <w:r w:rsidRPr="00437BEC">
        <w:t>New Zealand recognises the potential for its climate policy to have consequences for its Pacific</w:t>
      </w:r>
      <w:r w:rsidR="00D304B4">
        <w:t> </w:t>
      </w:r>
      <w:r w:rsidRPr="00437BEC">
        <w:t xml:space="preserve">neighbours, particularly in relation to supply chains. In the development of major policy initiatives related to these mitigation measures, an analysis of impacts of the proposed policy is undertaken. As appropriate, the benefits and risks of proposed options, including those with possible international implications, are considered. </w:t>
      </w:r>
    </w:p>
    <w:p w14:paraId="0E4252FF" w14:textId="77777777" w:rsidR="009742B7" w:rsidRPr="00437BEC" w:rsidRDefault="009742B7" w:rsidP="009742B7">
      <w:pPr>
        <w:pStyle w:val="BodyText"/>
        <w:spacing w:before="100" w:after="100"/>
      </w:pPr>
      <w:r w:rsidRPr="00437BEC">
        <w:lastRenderedPageBreak/>
        <w:t xml:space="preserve">In addition, through the New Zealand Government’s regular engagement with other governments, including many non-Annex I Parties, opportunities are available for concerns to be raised about the possible or actual adverse impacts of New Zealand policies and to have them resolved within the bilateral relationship. An opportunity is also available for people and/or organisations to raise concerns and highlight issues about new policies during the public consultation phase. To date, no specific concerns about any negative impacts of New Zealand’s climate change response policies on non-Annex I Parties have been raised. No changes have been made compared with the information reported in the previous National Inventory Report. </w:t>
      </w:r>
    </w:p>
    <w:p w14:paraId="2176C26D" w14:textId="77777777" w:rsidR="009742B7" w:rsidRPr="00437BEC" w:rsidRDefault="009742B7" w:rsidP="009742B7">
      <w:pPr>
        <w:pStyle w:val="BodyText"/>
        <w:spacing w:before="100" w:after="100"/>
      </w:pPr>
      <w:r w:rsidRPr="00437BEC">
        <w:t xml:space="preserve">New Zealand is meeting its climate finance commitments under the Paris Agreement by progressively scaling up finance for developing countries to transition to low emission economies. New Zealand delivers its climate finance commitment through the provision of the IDC. The Ministry of Foreign Affairs and Trade manages the IDC Programme. New Zealand works closely with the partner country to agree priorities for the particular country’s international development cooperation programme. Doing so helps ensure New Zealand’s IDC is aligned to the priorities and needs of the partner country, while also reflecting New Zealand values. Practice standards for IDC activities, funded by the New Zealand IDC Programme, include assessments and responses to environmental and climate-related impacts and risks (along with gender and human rights as the other significant cross-cutting issues). </w:t>
      </w:r>
    </w:p>
    <w:p w14:paraId="640D9581" w14:textId="77777777" w:rsidR="009742B7" w:rsidRPr="00437BEC" w:rsidRDefault="009742B7" w:rsidP="009742B7">
      <w:pPr>
        <w:pStyle w:val="BodyText"/>
        <w:spacing w:before="100" w:after="100"/>
      </w:pPr>
      <w:r w:rsidRPr="00437BEC">
        <w:t xml:space="preserve">Regular consultations, held between New Zealand and partner countries to discuss the delivery of IDC activities, provide another opportunity for partner countries to raise concerns about impacts, and for both partners to work collaboratively to address those concerns. This partnership approach is also taken with New Zealand’s Pacific regional and multi-country climate change activities. </w:t>
      </w:r>
    </w:p>
    <w:p w14:paraId="782D61C2" w14:textId="77777777" w:rsidR="009742B7" w:rsidRPr="00437BEC" w:rsidRDefault="009742B7" w:rsidP="009742B7">
      <w:pPr>
        <w:pStyle w:val="BodyText"/>
        <w:spacing w:before="100" w:after="100"/>
      </w:pPr>
      <w:r w:rsidRPr="00437BEC">
        <w:t>New Zealand is committed to the Sustainable Development Goals (SDGs), adopted by the international community in 2015. New Zealand implements the SDGs through the IDC Programme by supporting areas such as climate change adaptation, disaster risk reduction and humanitarian response to natural disasters.</w:t>
      </w:r>
    </w:p>
    <w:p w14:paraId="000C3EE6" w14:textId="77777777" w:rsidR="009742B7" w:rsidRPr="00437BEC" w:rsidRDefault="009742B7" w:rsidP="009742B7">
      <w:pPr>
        <w:pStyle w:val="BodyText"/>
        <w:spacing w:before="100" w:after="100"/>
      </w:pPr>
      <w:r w:rsidRPr="00437BEC">
        <w:t>New Zealand is also supporting countries to undertake analysis to transition to low emission, climate-resilient economies, particularly in sectors such as energy and transport. As a critical element of long-term sustainable development efforts,</w:t>
      </w:r>
      <w:r w:rsidRPr="00437BEC">
        <w:rPr>
          <w:rStyle w:val="CommentReference"/>
        </w:rPr>
        <w:t xml:space="preserve"> </w:t>
      </w:r>
      <w:r w:rsidRPr="00437BEC">
        <w:t xml:space="preserve">Small Island Developing States (SIDS) continue to increase their uptake of renewable energy. The New Zealand IDC Programme supports a major push to increase this uptake in the Pacific and reduce the region’s reliance on imported diesel. This includes support to develop energy roadmaps, as well as installation and upgrades to renewable energy systems, and investigation into opportunities for energy efficiency and transport energy projects. </w:t>
      </w:r>
    </w:p>
    <w:p w14:paraId="70D5B4ED" w14:textId="77777777" w:rsidR="009742B7" w:rsidRPr="00437BEC" w:rsidRDefault="009742B7" w:rsidP="009742B7">
      <w:pPr>
        <w:pStyle w:val="BodyText"/>
        <w:spacing w:before="100" w:after="100"/>
      </w:pPr>
      <w:r w:rsidRPr="00437BEC">
        <w:t xml:space="preserve">Compared with information reported in the previous National Inventory Report, additional initiatives include opportunities for new energy efficiency and transport energy projects. Scoping and design for these activities was initiated in 2019, with implementation set to begin in Nauru (energy efficiency) in 2021 and the Marshall Islands (transport) in 2022. </w:t>
      </w:r>
    </w:p>
    <w:p w14:paraId="518ACADB" w14:textId="77777777" w:rsidR="009742B7" w:rsidRPr="00437BEC" w:rsidRDefault="009742B7" w:rsidP="009742B7">
      <w:pPr>
        <w:pStyle w:val="Heading2"/>
        <w:spacing w:before="240"/>
      </w:pPr>
      <w:bookmarkStart w:id="3075" w:name="_Toc448321579"/>
      <w:bookmarkStart w:id="3076" w:name="_Toc481751441"/>
      <w:bookmarkStart w:id="3077" w:name="_Toc36224464"/>
      <w:bookmarkStart w:id="3078" w:name="_Toc68786384"/>
      <w:bookmarkStart w:id="3079" w:name="_Toc99659190"/>
      <w:r w:rsidRPr="00437BEC">
        <w:t xml:space="preserve">15.2 </w:t>
      </w:r>
      <w:r w:rsidRPr="00437BEC">
        <w:tab/>
        <w:t>Market imperfections, fiscal incentives, tax and duty exemptions and subsidies</w:t>
      </w:r>
      <w:bookmarkEnd w:id="3075"/>
      <w:bookmarkEnd w:id="3076"/>
      <w:bookmarkEnd w:id="3077"/>
      <w:bookmarkEnd w:id="3078"/>
      <w:bookmarkEnd w:id="3079"/>
    </w:p>
    <w:p w14:paraId="54950441" w14:textId="77777777" w:rsidR="009742B7" w:rsidRPr="00437BEC" w:rsidRDefault="009742B7" w:rsidP="009742B7">
      <w:pPr>
        <w:pStyle w:val="BodyText"/>
        <w:spacing w:before="100" w:after="100"/>
      </w:pPr>
      <w:r w:rsidRPr="00437BEC">
        <w:t>Annex I Parties are required to report any progressive reduction or phasing out of market imperfections, fiscal incentives, tax and duty exemptions and subsidies in all greenhouse-gas</w:t>
      </w:r>
      <w:r w:rsidRPr="00437BEC">
        <w:noBreakHyphen/>
        <w:t>emitting sectors, taking into account the need for energy price reforms to reflect market prices and externalities.</w:t>
      </w:r>
    </w:p>
    <w:p w14:paraId="73D12380" w14:textId="77777777" w:rsidR="009742B7" w:rsidRPr="00437BEC" w:rsidRDefault="009742B7" w:rsidP="009742B7">
      <w:pPr>
        <w:pStyle w:val="BodyText"/>
      </w:pPr>
      <w:r w:rsidRPr="00437BEC">
        <w:lastRenderedPageBreak/>
        <w:t xml:space="preserve">Trade is a critical part of New Zealand’s economy. Through the Inclusive Trade Action Group, New Zealand and likeminded countries are driving a more inclusive and sustainable trade agenda. New Zealand maintains a liberalised and open trading environment, consistent with the principles of free trade and investment, ensuring both developed and developing countries can maximise opportunities in New Zealand’s market regardless of the response measures undertaken. </w:t>
      </w:r>
    </w:p>
    <w:p w14:paraId="394BE94D" w14:textId="77777777" w:rsidR="009742B7" w:rsidRPr="00437BEC" w:rsidRDefault="009742B7" w:rsidP="009742B7">
      <w:pPr>
        <w:pStyle w:val="Heading2"/>
        <w:spacing w:before="320"/>
      </w:pPr>
      <w:bookmarkStart w:id="3080" w:name="_Toc481751442"/>
      <w:bookmarkStart w:id="3081" w:name="_Toc36224465"/>
      <w:bookmarkStart w:id="3082" w:name="_Toc68786385"/>
      <w:bookmarkStart w:id="3083" w:name="_Toc99659191"/>
      <w:bookmarkStart w:id="3084" w:name="_Toc448321581"/>
      <w:r w:rsidRPr="00437BEC">
        <w:t xml:space="preserve">15.3 </w:t>
      </w:r>
      <w:r w:rsidRPr="00437BEC">
        <w:tab/>
        <w:t>Removal of inefficient fossil fuel subsidies</w:t>
      </w:r>
      <w:bookmarkEnd w:id="3080"/>
      <w:bookmarkEnd w:id="3081"/>
      <w:bookmarkEnd w:id="3082"/>
      <w:bookmarkEnd w:id="3083"/>
    </w:p>
    <w:p w14:paraId="3041F5EE" w14:textId="77777777" w:rsidR="009742B7" w:rsidRPr="00437BEC" w:rsidRDefault="009742B7" w:rsidP="009742B7">
      <w:pPr>
        <w:pStyle w:val="BodyText"/>
        <w:spacing w:before="100" w:after="100"/>
      </w:pPr>
      <w:r w:rsidRPr="00437BEC">
        <w:t xml:space="preserve">Annex I Parties are required to report information concerning the removal of subsidies associated with the use of environmentally unsound and unsafe technologies. </w:t>
      </w:r>
    </w:p>
    <w:p w14:paraId="6D8485D2" w14:textId="77777777" w:rsidR="009742B7" w:rsidRPr="00437BEC" w:rsidRDefault="009742B7" w:rsidP="009742B7">
      <w:pPr>
        <w:pStyle w:val="BodyText"/>
        <w:spacing w:before="100" w:after="100"/>
      </w:pPr>
      <w:r w:rsidRPr="00437BEC">
        <w:t xml:space="preserve">New Zealand is an active advocate of fossil fuel subsidy reform internationally. Transparency is an important element of subsidy reform. New Zealand has undergone two voluntary peer reviews of its fossil fuel support measures using the Asia-Pacific Economic Cooperation (APEC) (2015) and Organisation for Economic Co-operation and Development (OECD) (2018) mechanisms. These found that New Zealand does not have any fossil fuel subsidies that encourage wasteful consumption. However, the OECD review found that New Zealand had nine remaining indirect support measures that could support the use of fossil fuels. Three of these measures have now been terminated. New Zealand committed to evaluate the remaining indirect support measures in 2019, and not to introduce any new fossil fuel subsidies. The evaluation found that New Zealand does not have any support measures that could directly or indirectly support the wasteful consumption of fossil fuels. </w:t>
      </w:r>
    </w:p>
    <w:p w14:paraId="100ECBBE" w14:textId="77777777" w:rsidR="009742B7" w:rsidRPr="00437BEC" w:rsidRDefault="009742B7" w:rsidP="009742B7">
      <w:pPr>
        <w:pStyle w:val="BodyText"/>
        <w:spacing w:before="100" w:after="100"/>
      </w:pPr>
      <w:r w:rsidRPr="00437BEC">
        <w:t xml:space="preserve">New Zealand is a founding member of the ‘Friends’ of FFSR. The Friends is an informal group of non-Group of Twenty (G20) economies that aims to build international political consensus on the importance of FFSR. The support of the Friends for reform is based on the essential notion that it is illogical to continue subsidising the costs of emissions from fossil fuels while, at the same time, making concerted efforts to mitigate those emissions through actions elsewhere. As a member of the Friends, New Zealand has been working to encourage and support the G20 and APEC economies to meet their commitments to reform inefficient fossil fuel subsidies through the peer review process. In 2018, New Zealand participated in the peer review panels for Italy and Indonesia. </w:t>
      </w:r>
    </w:p>
    <w:p w14:paraId="22AAF4A4" w14:textId="77777777" w:rsidR="009742B7" w:rsidRPr="00437BEC" w:rsidRDefault="009742B7" w:rsidP="009742B7">
      <w:pPr>
        <w:pStyle w:val="BodyText"/>
        <w:spacing w:before="100" w:after="100"/>
      </w:pPr>
      <w:r w:rsidRPr="00437BEC">
        <w:t xml:space="preserve">In December 2017, New Zealand delivered a Joint Ministerial Statement to the World Trade Organization (WTO), encouraging Members to address the global harm being caused by inefficient fossil fuel subsidies. Endorsed by 11 other WTO Members, the Joint Ministerial Statement confirms the environmental, development and trade benefits of FFSR, and includes a political commitment to look at avenues to bring the issue into the WTO. </w:t>
      </w:r>
    </w:p>
    <w:p w14:paraId="13780F66" w14:textId="77777777" w:rsidR="009742B7" w:rsidRPr="00437BEC" w:rsidRDefault="009742B7" w:rsidP="009742B7">
      <w:pPr>
        <w:pStyle w:val="BodyText"/>
        <w:spacing w:before="100" w:after="100"/>
      </w:pPr>
      <w:r w:rsidRPr="00437BEC">
        <w:t>New Zealand also hosted a side event on FFSR at the United Nations High-Level Political Forum in July 2018, which focused on improving energy access and responding to the SDGs through the phase out of fossil fuel subsidies. In December 2018, New Zealand helped launch a ‘Friends Network’ at the 24th Session of the Conference of the Parties (COP24) of the United Nations Framework Convention on Climate Change, to broaden understanding of the need for reform and practical ways to achieve it. The Friends Network held a series of five virtual interactive roundtables in 2019, which were attended by representatives from about 20 economies from around the world.</w:t>
      </w:r>
    </w:p>
    <w:p w14:paraId="7FF36B08" w14:textId="77777777" w:rsidR="009742B7" w:rsidRPr="00437BEC" w:rsidRDefault="009742B7" w:rsidP="009742B7">
      <w:pPr>
        <w:pStyle w:val="BodyText"/>
        <w:spacing w:before="100" w:after="100"/>
      </w:pPr>
      <w:r w:rsidRPr="00437BEC">
        <w:t xml:space="preserve">New Zealand used its APEC 2021 host year to drive regional trade and environment outcomes to support its multilateral ambitions. New Zealand led APEC to achieve consensus on work towards operationalising a </w:t>
      </w:r>
      <w:r w:rsidRPr="00437BEC">
        <w:rPr>
          <w:bCs/>
        </w:rPr>
        <w:t>voluntary</w:t>
      </w:r>
      <w:r w:rsidRPr="00437BEC">
        <w:t xml:space="preserve"> </w:t>
      </w:r>
      <w:r w:rsidRPr="00437BEC">
        <w:rPr>
          <w:bCs/>
        </w:rPr>
        <w:t xml:space="preserve">standstill on inefficient fossil fuel subsidies </w:t>
      </w:r>
      <w:r w:rsidRPr="00437BEC">
        <w:t xml:space="preserve">from the end of 2022. </w:t>
      </w:r>
    </w:p>
    <w:p w14:paraId="385E0DD7" w14:textId="77777777" w:rsidR="009742B7" w:rsidRPr="00437BEC" w:rsidRDefault="009742B7" w:rsidP="009742B7">
      <w:pPr>
        <w:pStyle w:val="BodyText"/>
      </w:pPr>
      <w:r w:rsidRPr="00437BEC">
        <w:lastRenderedPageBreak/>
        <w:t xml:space="preserve">In December 2021, New Zealand launched the Joint Ministerial Statement on Fossil Fuel Subsidy Reform at the WTO, co-sponsored by 44 other WTO Members, representing over a quarter of the membership. </w:t>
      </w:r>
    </w:p>
    <w:p w14:paraId="0B45B55E" w14:textId="77777777" w:rsidR="009742B7" w:rsidRPr="00437BEC" w:rsidRDefault="009742B7" w:rsidP="009742B7">
      <w:pPr>
        <w:pStyle w:val="BodyText"/>
      </w:pPr>
      <w:r w:rsidRPr="00437BEC">
        <w:t xml:space="preserve">New Zealand is also leading negotiations on the Agreement on Climate Change, Trade and Sustainability trade initiative, which was launched in 2019, in a group of six like-minded countries including Costa Rica, Fiji, Iceland, Norway and Switzerland. It seeks to develop legally </w:t>
      </w:r>
      <w:r w:rsidRPr="00437BEC">
        <w:rPr>
          <w:spacing w:val="-2"/>
        </w:rPr>
        <w:t>binding rules to eliminate harmful fossil fuel subsidies. It is expected the Agreement will expand</w:t>
      </w:r>
      <w:r w:rsidRPr="00437BEC">
        <w:t xml:space="preserve"> into a multilateral initiative, open to WTO Members that meet the established standard. </w:t>
      </w:r>
    </w:p>
    <w:p w14:paraId="0C4B9CD6" w14:textId="77777777" w:rsidR="009742B7" w:rsidRPr="00437BEC" w:rsidRDefault="009742B7" w:rsidP="009742B7">
      <w:pPr>
        <w:pStyle w:val="BodyText"/>
      </w:pPr>
      <w:r w:rsidRPr="00437BEC">
        <w:rPr>
          <w:rFonts w:cs="Calibri"/>
        </w:rPr>
        <w:t xml:space="preserve">New Zealand has the third highest share of renewable electricity generation in the OECD and is working towards 100 per cent renewable electricity generation by 2030. Prices for energy products and services are set freely by the market. New Zealand is a member of the Powering </w:t>
      </w:r>
      <w:r w:rsidRPr="00437BEC">
        <w:rPr>
          <w:rFonts w:cs="Calibri"/>
          <w:spacing w:val="-2"/>
        </w:rPr>
        <w:t>Past Coal Alliance and became an associate member of the Beyond Oil and Gas Alliance in 2021.</w:t>
      </w:r>
      <w:r w:rsidRPr="00437BEC">
        <w:rPr>
          <w:rFonts w:cs="Calibri"/>
        </w:rPr>
        <w:t xml:space="preserve"> </w:t>
      </w:r>
    </w:p>
    <w:p w14:paraId="4BCC6E5F" w14:textId="77777777" w:rsidR="009742B7" w:rsidRPr="00437BEC" w:rsidRDefault="009742B7" w:rsidP="009742B7">
      <w:pPr>
        <w:pStyle w:val="Heading2"/>
      </w:pPr>
      <w:bookmarkStart w:id="3085" w:name="_Toc481751443"/>
      <w:bookmarkStart w:id="3086" w:name="_Toc36224466"/>
      <w:bookmarkStart w:id="3087" w:name="_Toc68786386"/>
      <w:bookmarkStart w:id="3088" w:name="_Toc99659192"/>
      <w:r w:rsidRPr="00437BEC">
        <w:t xml:space="preserve">15.4 </w:t>
      </w:r>
      <w:r w:rsidRPr="00437BEC">
        <w:tab/>
        <w:t>Technological development of non-energy uses of fossil fuels</w:t>
      </w:r>
      <w:bookmarkEnd w:id="3084"/>
      <w:bookmarkEnd w:id="3085"/>
      <w:bookmarkEnd w:id="3086"/>
      <w:bookmarkEnd w:id="3087"/>
      <w:bookmarkEnd w:id="3088"/>
    </w:p>
    <w:p w14:paraId="7CB307ED" w14:textId="77777777" w:rsidR="009742B7" w:rsidRPr="00437BEC" w:rsidRDefault="009742B7" w:rsidP="009742B7">
      <w:pPr>
        <w:pStyle w:val="BodyText"/>
      </w:pPr>
      <w:r w:rsidRPr="00437BEC">
        <w:t xml:space="preserve">Annex I Parties are required to report on cooperation in the technological development of non-energy use of fossil fuels and support provided to non-Annex I Parties. </w:t>
      </w:r>
    </w:p>
    <w:p w14:paraId="7B4411FE" w14:textId="77777777" w:rsidR="009742B7" w:rsidRPr="00437BEC" w:rsidRDefault="009742B7" w:rsidP="009742B7">
      <w:pPr>
        <w:pStyle w:val="BodyText"/>
      </w:pPr>
      <w:r w:rsidRPr="00437BEC">
        <w:t>The New Zealand Government has not yet participated actively in activities of this nature.</w:t>
      </w:r>
    </w:p>
    <w:p w14:paraId="7D734A0F" w14:textId="77777777" w:rsidR="009742B7" w:rsidRPr="00437BEC" w:rsidRDefault="009742B7" w:rsidP="009742B7">
      <w:pPr>
        <w:pStyle w:val="Heading2"/>
      </w:pPr>
      <w:bookmarkStart w:id="3089" w:name="_Toc448321582"/>
      <w:bookmarkStart w:id="3090" w:name="_Toc481751444"/>
      <w:bookmarkStart w:id="3091" w:name="_Toc36224467"/>
      <w:bookmarkStart w:id="3092" w:name="_Toc68786387"/>
      <w:bookmarkStart w:id="3093" w:name="_Toc99659193"/>
      <w:r w:rsidRPr="00437BEC">
        <w:t xml:space="preserve">15.5 </w:t>
      </w:r>
      <w:r w:rsidRPr="00437BEC">
        <w:tab/>
        <w:t>Carbon capture and storage technology development</w:t>
      </w:r>
      <w:bookmarkEnd w:id="3089"/>
      <w:bookmarkEnd w:id="3090"/>
      <w:bookmarkEnd w:id="3091"/>
      <w:bookmarkEnd w:id="3092"/>
      <w:bookmarkEnd w:id="3093"/>
    </w:p>
    <w:p w14:paraId="4AED2D57" w14:textId="77777777" w:rsidR="009742B7" w:rsidRPr="00437BEC" w:rsidRDefault="009742B7" w:rsidP="009742B7">
      <w:pPr>
        <w:pStyle w:val="BodyText"/>
      </w:pPr>
      <w:r w:rsidRPr="00437BEC">
        <w:t xml:space="preserve">Annex I Parties are required to report on cooperation in the development, diffusion and </w:t>
      </w:r>
      <w:r w:rsidRPr="00437BEC">
        <w:rPr>
          <w:spacing w:val="-2"/>
        </w:rPr>
        <w:t>transfer of less-greenhouse-gas-emitting advanced fossil fuel technologies, and/or technologies</w:t>
      </w:r>
      <w:r w:rsidRPr="00437BEC">
        <w:t xml:space="preserve"> relating to fossil fuels that capture and store greenhouse gases, and encouragement of their wider use; and on facilitating the participation of non-Annex I Parties.</w:t>
      </w:r>
    </w:p>
    <w:p w14:paraId="07F1413E" w14:textId="77777777" w:rsidR="009742B7" w:rsidRPr="00437BEC" w:rsidRDefault="009742B7" w:rsidP="009742B7">
      <w:pPr>
        <w:pStyle w:val="BodyText"/>
      </w:pPr>
      <w:r w:rsidRPr="00437BEC">
        <w:t>New Zealand is a member of the United States-led Carbon Sequestration Leadership Forum (</w:t>
      </w:r>
      <w:hyperlink r:id="rId288" w:history="1">
        <w:r w:rsidRPr="00437BEC">
          <w:rPr>
            <w:rStyle w:val="Hyperlink"/>
          </w:rPr>
          <w:t>www.cslforum.org</w:t>
        </w:r>
      </w:hyperlink>
      <w:r w:rsidRPr="00437BEC">
        <w:t>) and the International Energy Agency Greenhouse Gas Research and Development Programme (</w:t>
      </w:r>
      <w:hyperlink r:id="rId289" w:history="1">
        <w:r w:rsidRPr="00437BEC">
          <w:rPr>
            <w:rStyle w:val="Hyperlink"/>
          </w:rPr>
          <w:t>www.ieaghg.org</w:t>
        </w:r>
      </w:hyperlink>
      <w:r w:rsidRPr="00437BEC">
        <w:t>).</w:t>
      </w:r>
    </w:p>
    <w:p w14:paraId="4D60AACF" w14:textId="77777777" w:rsidR="009742B7" w:rsidRPr="00437BEC" w:rsidRDefault="009742B7" w:rsidP="009742B7">
      <w:pPr>
        <w:pStyle w:val="Heading2"/>
        <w:spacing w:before="320"/>
      </w:pPr>
      <w:bookmarkStart w:id="3094" w:name="_Toc448321583"/>
      <w:bookmarkStart w:id="3095" w:name="_Toc481751445"/>
      <w:bookmarkStart w:id="3096" w:name="_Toc36224468"/>
      <w:bookmarkStart w:id="3097" w:name="_Toc68786388"/>
      <w:bookmarkStart w:id="3098" w:name="_Toc99659194"/>
      <w:r w:rsidRPr="00437BEC">
        <w:t xml:space="preserve">15.6 </w:t>
      </w:r>
      <w:r w:rsidRPr="00437BEC">
        <w:tab/>
        <w:t>Improvements in fossil fuel efficiencies</w:t>
      </w:r>
      <w:bookmarkEnd w:id="3094"/>
      <w:bookmarkEnd w:id="3095"/>
      <w:bookmarkEnd w:id="3096"/>
      <w:bookmarkEnd w:id="3097"/>
      <w:bookmarkEnd w:id="3098"/>
    </w:p>
    <w:p w14:paraId="1085A563" w14:textId="77777777" w:rsidR="009742B7" w:rsidRPr="00437BEC" w:rsidRDefault="009742B7" w:rsidP="009742B7">
      <w:pPr>
        <w:pStyle w:val="BodyText"/>
        <w:spacing w:before="100"/>
      </w:pPr>
      <w:r w:rsidRPr="00437BEC">
        <w:t>Annex I Parties are required to report on how they have strengthened the capacity of non</w:t>
      </w:r>
      <w:r w:rsidRPr="00437BEC">
        <w:noBreakHyphen/>
        <w:t>Annex I Parties identified in Article 4.8 and Article 4.9 of the United Nations Framework Convention on Climate Change. This can be achieved by improving the efficiency in upstream and downstream activities related to fossil fuels and taking into consideration the need to improve the environmental efficiency of these activities.</w:t>
      </w:r>
    </w:p>
    <w:p w14:paraId="722686CD" w14:textId="77777777" w:rsidR="009742B7" w:rsidRPr="00437BEC" w:rsidRDefault="009742B7" w:rsidP="009742B7">
      <w:pPr>
        <w:pStyle w:val="BodyText"/>
        <w:spacing w:before="100"/>
      </w:pPr>
      <w:r w:rsidRPr="00437BEC">
        <w:rPr>
          <w:spacing w:val="-2"/>
        </w:rPr>
        <w:t>The New Zealand IDC Programme maintains a focus on renewable energy and energy efficiency</w:t>
      </w:r>
      <w:r w:rsidRPr="00437BEC">
        <w:t xml:space="preserve"> and the transition away from fossil fuel dependency to clean, efficient, affordable, reliable and sustainable energy resources. Introducing clean and affordable energy technologies is a high priority for the Pacific region. On average, less than 10 per cent of the region’s gross domestic product is expended on imported fossil fuel, and less than 70 per cent of electricity generation depends on the combustion of diesel, although actual figures vary widely between countries, and accurate information is hard to obtain.</w:t>
      </w:r>
    </w:p>
    <w:p w14:paraId="4B0E5D62" w14:textId="77777777" w:rsidR="009742B7" w:rsidRPr="00437BEC" w:rsidRDefault="009742B7" w:rsidP="009742B7">
      <w:pPr>
        <w:pStyle w:val="BodyText"/>
      </w:pPr>
      <w:r w:rsidRPr="00437BEC">
        <w:lastRenderedPageBreak/>
        <w:t>Following the New Zealand Government and European Union Pacific Energy Conference in</w:t>
      </w:r>
      <w:r>
        <w:t> </w:t>
      </w:r>
      <w:r w:rsidRPr="00437BEC">
        <w:t>2016, New Zealand committed a further NZD$100 million between 2016 and 2021 to renewable energy investments in the Pacific, of which NZD$88 million was expended at the end of June 2019. Since July 2011 – when renewable energy became a priority for New Zealand – to the end of June 2019, New Zealand has invested NZD$275 million worldwide on energy projects, with over NZD$212 million of this (77 per cent) in Pacific SIDS. Compared with the information reported in the previous National Inventory Report, additional information is provided in this submission on New Zealand’s investments in energy projects to the end of this reporting period (December 2020).</w:t>
      </w:r>
    </w:p>
    <w:p w14:paraId="01215CA3" w14:textId="77777777" w:rsidR="009742B7" w:rsidRPr="00437BEC" w:rsidRDefault="009742B7" w:rsidP="009742B7">
      <w:pPr>
        <w:pStyle w:val="BodyText"/>
      </w:pPr>
      <w:r w:rsidRPr="00437BEC">
        <w:t>New Zealand is also a member of the International Renewable Energy Agency (IRENA), an</w:t>
      </w:r>
      <w:r>
        <w:t> </w:t>
      </w:r>
      <w:r w:rsidRPr="00437BEC">
        <w:t>intergovernmental organisation that aims to promote the widespread use of all forms of</w:t>
      </w:r>
      <w:r>
        <w:t> </w:t>
      </w:r>
      <w:r w:rsidRPr="00437BEC">
        <w:t>renewable energy. New Zealand served on the IRENA Council in 2020 and is involved with</w:t>
      </w:r>
      <w:r>
        <w:t> </w:t>
      </w:r>
      <w:r w:rsidRPr="00437BEC">
        <w:t>several of IRENA’s work programmes in the Pacific and further afield, using its strong credentials in the IRENA Assemblies and council meetings to support Pacific SIDS. New Zealand is also a member of other multilateral institutions that play a role in the energy sector, for example, the International Energy Agency and APEC.</w:t>
      </w:r>
    </w:p>
    <w:p w14:paraId="77EB7922" w14:textId="77777777" w:rsidR="009742B7" w:rsidRPr="00437BEC" w:rsidRDefault="009742B7" w:rsidP="009742B7">
      <w:pPr>
        <w:pStyle w:val="Heading2"/>
      </w:pPr>
      <w:bookmarkStart w:id="3099" w:name="_Toc448321584"/>
      <w:bookmarkStart w:id="3100" w:name="_Toc481751446"/>
      <w:bookmarkStart w:id="3101" w:name="_Toc36224469"/>
      <w:bookmarkStart w:id="3102" w:name="_Toc68786389"/>
      <w:bookmarkStart w:id="3103" w:name="_Toc99659195"/>
      <w:r w:rsidRPr="00437BEC">
        <w:t xml:space="preserve">15.7 </w:t>
      </w:r>
      <w:r w:rsidRPr="00437BEC">
        <w:tab/>
        <w:t>Assistance to non-Annex I Parties dependent on the export and consumption of fossil fuels for diversifying their economies</w:t>
      </w:r>
      <w:bookmarkEnd w:id="3099"/>
      <w:bookmarkEnd w:id="3100"/>
      <w:bookmarkEnd w:id="3101"/>
      <w:bookmarkEnd w:id="3102"/>
      <w:bookmarkEnd w:id="3103"/>
    </w:p>
    <w:p w14:paraId="1F92F5BB" w14:textId="77777777" w:rsidR="009742B7" w:rsidRPr="00437BEC" w:rsidRDefault="009742B7" w:rsidP="009742B7">
      <w:pPr>
        <w:pStyle w:val="BodyText"/>
        <w:spacing w:before="100"/>
      </w:pPr>
      <w:r w:rsidRPr="00437BEC">
        <w:t>Annex I Parties are required to report on assistance provided to non-Annex I Parties that are highly dependent on the export and consumption of fossil fuels in diversifying their economies.</w:t>
      </w:r>
    </w:p>
    <w:p w14:paraId="63E9C6FF" w14:textId="77777777" w:rsidR="009742B7" w:rsidRPr="00437BEC" w:rsidRDefault="009742B7" w:rsidP="009742B7">
      <w:pPr>
        <w:pStyle w:val="BodyText"/>
        <w:spacing w:before="100"/>
      </w:pPr>
      <w:r w:rsidRPr="00437BEC">
        <w:t xml:space="preserve">The New Zealand IDC Programme provides support to several non-Annex I Parties for purposes of economic diversification (refer to section 15.6). </w:t>
      </w:r>
    </w:p>
    <w:p w14:paraId="1A840A18" w14:textId="77777777" w:rsidR="009742B7" w:rsidRPr="00437BEC" w:rsidRDefault="009742B7" w:rsidP="009742B7">
      <w:pPr>
        <w:pStyle w:val="BodyText"/>
        <w:spacing w:before="100"/>
      </w:pPr>
      <w:r w:rsidRPr="00437BEC">
        <w:t xml:space="preserve">Since the 1980s, New Zealand has provided technical assistance and advice to support developing countries investigate and develop their geothermal resources. New Zealand is providing technical support to Indonesia and throughout the Caribbean and Africa where there are significant undeveloped geothermal resources. </w:t>
      </w:r>
    </w:p>
    <w:p w14:paraId="5683EBF2" w14:textId="47DD854C" w:rsidR="009742B7" w:rsidRPr="00437BEC" w:rsidRDefault="009742B7" w:rsidP="009742B7">
      <w:pPr>
        <w:pStyle w:val="BodyText"/>
        <w:spacing w:before="100"/>
      </w:pPr>
      <w:r w:rsidRPr="00437BEC">
        <w:t>New Zealand has a long-standing partnership with the Government of Indonesia to accelerate the development of Indonesia’s geothermal energy sector. Since 2016, New Zealand has provided technical support to the Government of Indonesia to identify suitable areas for geothermal development, improve clarity and communication of the regulatory framework, and increase certainty around geothermal resource size and classification. New Zealand is also</w:t>
      </w:r>
      <w:r w:rsidR="000A5A28">
        <w:t> </w:t>
      </w:r>
      <w:r w:rsidRPr="00437BEC">
        <w:t xml:space="preserve">providing scholarships in geothermal project management, a programme of training, coordinated technical assistance and capacity building to strengthen Indonesia’s local skill base and ability to operate, manage and maintain geothermal resources sustainably. Significant geothermal support is also being provided in Africa (NZD$10.2 million) and the Caribbean (NZD$5.1 million), which is tailored to the specific needs of each country but covers broadly the same areas as in Indonesia of capability building, technical assistance and exploratory drilling support. </w:t>
      </w:r>
    </w:p>
    <w:p w14:paraId="1DFF89B8" w14:textId="77777777" w:rsidR="009742B7" w:rsidRPr="00437BEC" w:rsidRDefault="009742B7" w:rsidP="009742B7">
      <w:pPr>
        <w:pStyle w:val="BodyText"/>
        <w:spacing w:before="100"/>
      </w:pPr>
      <w:r w:rsidRPr="00437BEC">
        <w:t xml:space="preserve">New Zealand also has a Memorandum of Understanding with the Government of the Philippines to support the development of the country’s geothermal resources. In the Pacific, New Zealand has helped Vanuatu and Papua New Guinea investigate their geothermal resources and to establish suitable regulatory frameworks. </w:t>
      </w:r>
    </w:p>
    <w:p w14:paraId="6F531369" w14:textId="77777777" w:rsidR="009742B7" w:rsidRPr="00437BEC" w:rsidRDefault="009742B7" w:rsidP="009742B7">
      <w:pPr>
        <w:pStyle w:val="BodyText"/>
        <w:spacing w:before="100"/>
      </w:pPr>
      <w:r w:rsidRPr="00437BEC">
        <w:lastRenderedPageBreak/>
        <w:t>New Zealand has supported the Office of the Quartet since 2018 to improve the self-sufficiency, reliability and sustainability of Gaza’s energy supply, including through offsetting greenhouse gas emissions. The Office of the Quartet is mandated by the United Nations to help mediate Middle East peace negotiations and support Palestinian economic development and institution building. New Zealand’s funding provides technical advisors for feasibility studies, strategic documents and garnering support for renewable energy from the relevant authorities. This includes engagement with the Palestinian Energy and Natural Resources Authority and supporting the advocacy work in both Gaza and West Bank. An interim Power Purchasing Agreement was signed in September 2020 between Israel and Palestine that enabled the energisation of two high-voltage substations.</w:t>
      </w:r>
    </w:p>
    <w:p w14:paraId="611C8C7E" w14:textId="77777777" w:rsidR="009742B7" w:rsidRPr="00437BEC" w:rsidRDefault="009742B7" w:rsidP="009742B7">
      <w:pPr>
        <w:pStyle w:val="BodyText"/>
      </w:pPr>
      <w:r w:rsidRPr="00437BEC">
        <w:t xml:space="preserve">New Zealand is committed to providing long-term assistance to non-Annex I Parties in achieving economic diversification that is independent of fossil fuels. </w:t>
      </w:r>
    </w:p>
    <w:p w14:paraId="1F46A69A" w14:textId="77777777" w:rsidR="009742B7" w:rsidRPr="00437BEC" w:rsidRDefault="009742B7" w:rsidP="009742B7">
      <w:pPr>
        <w:pStyle w:val="Heading2"/>
      </w:pPr>
      <w:bookmarkStart w:id="3104" w:name="_Toc99659196"/>
      <w:r w:rsidRPr="00437BEC">
        <w:t>15.8</w:t>
      </w:r>
      <w:r w:rsidRPr="00437BEC">
        <w:tab/>
        <w:t>New Zealand’s IDC climate commitment</w:t>
      </w:r>
      <w:bookmarkEnd w:id="3104"/>
      <w:r w:rsidRPr="00437BEC">
        <w:t xml:space="preserve"> </w:t>
      </w:r>
    </w:p>
    <w:p w14:paraId="747219D7" w14:textId="77777777" w:rsidR="009742B7" w:rsidRPr="00437BEC" w:rsidRDefault="009742B7" w:rsidP="009742B7">
      <w:pPr>
        <w:pStyle w:val="BodyText"/>
      </w:pPr>
      <w:r w:rsidRPr="00437BEC">
        <w:t>At the United Nations General Assembly in 2018, Prime Minister Ardern announced that New Zealand would spend at least NZD$300 million on climate change development assistance from 2019 to 2022. This commitment was managed within New Zealand’s IDC Programme. In July 2021, New Zealand met this commitment. Of this commitment, NZD$270 million was spent on adaptation projects as a whole, with NZD$176 million of this spent in the Pacific.</w:t>
      </w:r>
    </w:p>
    <w:p w14:paraId="58563A46" w14:textId="77777777" w:rsidR="009742B7" w:rsidRPr="00437BEC" w:rsidRDefault="009742B7" w:rsidP="009742B7">
      <w:pPr>
        <w:pStyle w:val="BodyText"/>
      </w:pPr>
      <w:r w:rsidRPr="00437BEC">
        <w:t>In October 2021, New Zealand announced a new climate finance commitment to developing countries of NZD$1.3 billion, from 2022 to 2025. At least 50 per cent of this funding will go to the Pacific as it adapts to the impacts of climate change.</w:t>
      </w:r>
    </w:p>
    <w:p w14:paraId="7F06824B" w14:textId="77777777" w:rsidR="009742B7" w:rsidRPr="00437BEC" w:rsidRDefault="009742B7" w:rsidP="009742B7">
      <w:pPr>
        <w:pStyle w:val="Heading2"/>
        <w:spacing w:before="0" w:after="240"/>
      </w:pPr>
      <w:r w:rsidRPr="00437BEC">
        <w:br w:type="page"/>
      </w:r>
      <w:bookmarkStart w:id="3105" w:name="_Toc68786390"/>
      <w:bookmarkStart w:id="3106" w:name="_Toc99659197"/>
      <w:r w:rsidRPr="00437BEC">
        <w:lastRenderedPageBreak/>
        <w:t>Chapter 15: Reference</w:t>
      </w:r>
      <w:bookmarkEnd w:id="3105"/>
      <w:bookmarkEnd w:id="3106"/>
    </w:p>
    <w:p w14:paraId="37C1628B" w14:textId="77777777" w:rsidR="009742B7" w:rsidRPr="00437BEC" w:rsidRDefault="009742B7" w:rsidP="009742B7">
      <w:pPr>
        <w:pStyle w:val="References"/>
      </w:pPr>
      <w:r w:rsidRPr="00437BEC">
        <w:t xml:space="preserve">Ministry for the Environment. 2019. </w:t>
      </w:r>
      <w:r w:rsidRPr="00437BEC">
        <w:rPr>
          <w:i/>
          <w:iCs/>
        </w:rPr>
        <w:t>New Zealand’s Fourth Biennial Report under the United Nations Framework Convention on Climate Change</w:t>
      </w:r>
      <w:r w:rsidRPr="00437BEC">
        <w:t>. Wellington: Ministry for the Environment.</w:t>
      </w:r>
    </w:p>
    <w:p w14:paraId="10EE4C89" w14:textId="77777777" w:rsidR="009742B7" w:rsidRPr="00437BEC" w:rsidRDefault="009742B7" w:rsidP="009742B7"/>
    <w:p w14:paraId="20FAD5AD" w14:textId="77777777" w:rsidR="009742B7" w:rsidRPr="00437BEC" w:rsidRDefault="009742B7" w:rsidP="009742B7"/>
    <w:p w14:paraId="42D34C6E" w14:textId="77777777" w:rsidR="00616641" w:rsidRPr="000E00DB" w:rsidRDefault="00616641" w:rsidP="00616641">
      <w:pPr>
        <w:pStyle w:val="BodyText"/>
      </w:pPr>
    </w:p>
    <w:p w14:paraId="3C8CDA1E" w14:textId="77777777" w:rsidR="00364C86" w:rsidRPr="0087314B" w:rsidRDefault="00364C86" w:rsidP="0087314B"/>
    <w:sectPr w:rsidR="00364C86" w:rsidRPr="0087314B" w:rsidSect="00F816FA">
      <w:footerReference w:type="even" r:id="rId290"/>
      <w:pgSz w:w="11907" w:h="16840" w:code="9"/>
      <w:pgMar w:top="1418" w:right="1701" w:bottom="1418" w:left="1701" w:header="567"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3A49F5" w14:textId="77777777" w:rsidR="004B48CC" w:rsidRDefault="004B48CC">
      <w:r>
        <w:separator/>
      </w:r>
    </w:p>
  </w:endnote>
  <w:endnote w:type="continuationSeparator" w:id="0">
    <w:p w14:paraId="34E16E92" w14:textId="77777777" w:rsidR="004B48CC" w:rsidRDefault="004B48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JBHHJB+Arial,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Yu Gothic"/>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lgun Gothic">
    <w:panose1 w:val="020B0503020000020004"/>
    <w:charset w:val="81"/>
    <w:family w:val="swiss"/>
    <w:pitch w:val="variable"/>
    <w:sig w:usb0="9000002F" w:usb1="29D77CFB" w:usb2="00000012" w:usb3="00000000" w:csb0="00080001" w:csb1="00000000"/>
  </w:font>
  <w:font w:name="Arial Bold">
    <w:panose1 w:val="020B0704020202020204"/>
    <w:charset w:val="00"/>
    <w:family w:val="roman"/>
    <w:notTrueType/>
    <w:pitch w:val="default"/>
  </w:font>
  <w:font w:name="+mn-ea">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TimesNewRomanPSMT">
    <w:altName w:val="Yu Gothic"/>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38C94" w14:textId="20B8BBC7" w:rsidR="005660CD" w:rsidRDefault="005660CD" w:rsidP="00B44BA5">
    <w:pPr>
      <w:ind w:left="-567"/>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B8D2B" w14:textId="327E3949" w:rsidR="003C4C83" w:rsidRPr="00EC2491" w:rsidRDefault="003C4C83"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Pr="00241762">
      <w:t>Chapter 1: Introduction</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CB4F3" w14:textId="7AF85642" w:rsidR="00415899" w:rsidRPr="00EC2491" w:rsidRDefault="00415899"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Pr="00415899">
      <w:t>Chapter 2: Trends in greenhouse gas emissions</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26C15" w14:textId="1BBA7A01" w:rsidR="00063737" w:rsidRPr="00EC2491" w:rsidRDefault="00063737"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Pr="00063737">
      <w:t>Chapter 3: Energy</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0BCBA" w14:textId="1F138E43" w:rsidR="00F060FB" w:rsidRPr="00EC2491" w:rsidRDefault="00F060FB"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Pr="00F060FB">
      <w:t>Chapter 4: Industrial Processes and Product Use</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A924B0" w14:textId="77777777" w:rsidR="000444DA" w:rsidRDefault="00AD4336" w:rsidP="000444DA">
    <w:pPr>
      <w:pStyle w:val="FooterEven"/>
    </w:pPr>
    <w:r w:rsidRPr="007A30E8">
      <w:rPr>
        <w:rStyle w:val="PageNumber"/>
        <w:bCs/>
        <w:sz w:val="22"/>
      </w:rPr>
      <w:fldChar w:fldCharType="begin"/>
    </w:r>
    <w:r w:rsidRPr="007A30E8">
      <w:rPr>
        <w:rStyle w:val="PageNumber"/>
        <w:bCs/>
        <w:sz w:val="22"/>
      </w:rPr>
      <w:instrText xml:space="preserve"> PAGE </w:instrText>
    </w:r>
    <w:r w:rsidRPr="007A30E8">
      <w:rPr>
        <w:rStyle w:val="PageNumber"/>
        <w:bCs/>
        <w:sz w:val="22"/>
      </w:rPr>
      <w:fldChar w:fldCharType="separate"/>
    </w:r>
    <w:r>
      <w:rPr>
        <w:rStyle w:val="PageNumber"/>
        <w:bCs/>
      </w:rPr>
      <w:t>2</w:t>
    </w:r>
    <w:r w:rsidRPr="007A30E8">
      <w:rPr>
        <w:rStyle w:val="PageNumber"/>
        <w:bCs/>
        <w:sz w:val="22"/>
      </w:rPr>
      <w:fldChar w:fldCharType="end"/>
    </w:r>
    <w:r>
      <w:rPr>
        <w:rStyle w:val="PageNumber"/>
        <w:sz w:val="22"/>
      </w:rPr>
      <w:tab/>
    </w:r>
    <w:r w:rsidRPr="000444DA">
      <w:t>Chapter 5: Agriculture</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94E38" w14:textId="77777777" w:rsidR="003C7875" w:rsidRPr="003C7875" w:rsidRDefault="00AD4336" w:rsidP="003C7875">
    <w:pPr>
      <w:pStyle w:val="FooterOdd"/>
    </w:pPr>
    <w:r w:rsidRPr="003C7875">
      <w:tab/>
      <w:t>New Zealand’s Greenhouse Gas Inventory 1990–2020</w:t>
    </w:r>
    <w:r w:rsidRPr="003C7875">
      <w:tab/>
    </w:r>
    <w:r w:rsidRPr="00D942EF">
      <w:rPr>
        <w:b/>
        <w:bCs/>
        <w:sz w:val="22"/>
      </w:rPr>
      <w:fldChar w:fldCharType="begin"/>
    </w:r>
    <w:r w:rsidRPr="00D942EF">
      <w:rPr>
        <w:b/>
        <w:bCs/>
        <w:sz w:val="22"/>
      </w:rPr>
      <w:instrText xml:space="preserve"> PAGE </w:instrText>
    </w:r>
    <w:r w:rsidRPr="00D942EF">
      <w:rPr>
        <w:b/>
        <w:bCs/>
        <w:sz w:val="22"/>
      </w:rPr>
      <w:fldChar w:fldCharType="separate"/>
    </w:r>
    <w:r w:rsidRPr="00D942EF">
      <w:rPr>
        <w:rStyle w:val="PageNumber"/>
        <w:b w:val="0"/>
        <w:bCs/>
        <w:sz w:val="22"/>
      </w:rPr>
      <w:t>1</w:t>
    </w:r>
    <w:r w:rsidRPr="00D942EF">
      <w:rPr>
        <w:b/>
        <w:bCs/>
        <w:sz w:val="22"/>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DA499" w14:textId="77777777" w:rsidR="00784FA9" w:rsidRPr="004C6829" w:rsidRDefault="00784FA9" w:rsidP="004C6829">
    <w:pPr>
      <w:pStyle w:val="FooterEven"/>
      <w:rPr>
        <w:b/>
        <w:bCs/>
      </w:rPr>
    </w:pPr>
    <w:r w:rsidRPr="004C6829">
      <w:rPr>
        <w:b/>
        <w:bCs/>
        <w:sz w:val="22"/>
        <w:szCs w:val="28"/>
      </w:rPr>
      <w:fldChar w:fldCharType="begin"/>
    </w:r>
    <w:r w:rsidRPr="004C6829">
      <w:rPr>
        <w:b/>
        <w:bCs/>
        <w:sz w:val="22"/>
        <w:szCs w:val="28"/>
      </w:rPr>
      <w:instrText xml:space="preserve"> PAGE   \* MERGEFORMAT </w:instrText>
    </w:r>
    <w:r w:rsidRPr="004C6829">
      <w:rPr>
        <w:b/>
        <w:bCs/>
        <w:sz w:val="22"/>
        <w:szCs w:val="28"/>
      </w:rPr>
      <w:fldChar w:fldCharType="separate"/>
    </w:r>
    <w:r w:rsidRPr="004C6829">
      <w:rPr>
        <w:b/>
        <w:bCs/>
        <w:noProof/>
        <w:sz w:val="22"/>
        <w:szCs w:val="28"/>
      </w:rPr>
      <w:t>1</w:t>
    </w:r>
    <w:r w:rsidRPr="004C6829">
      <w:rPr>
        <w:b/>
        <w:bCs/>
        <w:noProof/>
        <w:sz w:val="22"/>
        <w:szCs w:val="28"/>
      </w:rPr>
      <w:fldChar w:fldCharType="end"/>
    </w:r>
    <w:r w:rsidRPr="00E85BC6">
      <w:rPr>
        <w:noProof/>
      </w:rPr>
      <w:tab/>
      <w:t>Chapter 6:</w:t>
    </w:r>
    <w:r>
      <w:rPr>
        <w:b/>
        <w:bCs/>
        <w:noProof/>
      </w:rPr>
      <w:t xml:space="preserve"> </w:t>
    </w:r>
    <w:r w:rsidRPr="00E85BC6">
      <w:rPr>
        <w:noProof/>
      </w:rPr>
      <w:t>Land Use, Land-Use Change and Forestry</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24C24" w14:textId="77777777" w:rsidR="00784FA9" w:rsidRPr="00316A42" w:rsidRDefault="00784FA9" w:rsidP="004C6829">
    <w:pPr>
      <w:pStyle w:val="FooterOdd"/>
      <w:rPr>
        <w:b/>
      </w:rPr>
    </w:pPr>
    <w:r w:rsidRPr="000467A0">
      <w:tab/>
      <w:t>New Zealand’s Greenhouse Gas Inventory 1990–2020</w:t>
    </w:r>
    <w:r w:rsidRPr="000467A0">
      <w:tab/>
    </w:r>
    <w:r w:rsidRPr="004C6829">
      <w:rPr>
        <w:rStyle w:val="PageNumber"/>
        <w:rFonts w:cs="Calibri"/>
        <w:sz w:val="22"/>
      </w:rPr>
      <w:fldChar w:fldCharType="begin"/>
    </w:r>
    <w:r w:rsidRPr="004C6829">
      <w:rPr>
        <w:rStyle w:val="PageNumber"/>
        <w:rFonts w:cs="Calibri"/>
        <w:sz w:val="22"/>
      </w:rPr>
      <w:instrText xml:space="preserve"> PAGE </w:instrText>
    </w:r>
    <w:r w:rsidRPr="004C6829">
      <w:rPr>
        <w:rStyle w:val="PageNumber"/>
        <w:rFonts w:cs="Calibri"/>
        <w:sz w:val="22"/>
      </w:rPr>
      <w:fldChar w:fldCharType="separate"/>
    </w:r>
    <w:r w:rsidRPr="004C6829">
      <w:rPr>
        <w:rStyle w:val="PageNumber"/>
        <w:rFonts w:cs="Calibri"/>
        <w:noProof/>
        <w:sz w:val="22"/>
      </w:rPr>
      <w:t>61</w:t>
    </w:r>
    <w:r w:rsidRPr="004C6829">
      <w:rPr>
        <w:rStyle w:val="PageNumber"/>
        <w:rFonts w:cs="Calibri"/>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38EF6" w14:textId="77777777" w:rsidR="00784FA9" w:rsidRPr="00316A42" w:rsidRDefault="00784FA9" w:rsidP="000F5C8B">
    <w:pPr>
      <w:pStyle w:val="FooterOdd"/>
      <w:tabs>
        <w:tab w:val="clear" w:pos="7655"/>
        <w:tab w:val="clear" w:pos="8505"/>
        <w:tab w:val="right" w:pos="13041"/>
        <w:tab w:val="right" w:pos="13948"/>
      </w:tabs>
      <w:rPr>
        <w:b/>
      </w:rPr>
    </w:pPr>
    <w:r w:rsidRPr="000467A0">
      <w:tab/>
      <w:t>New Zealand’s Greenhouse Gas Inventory 1990–2020</w:t>
    </w:r>
    <w:r w:rsidRPr="000467A0">
      <w:tab/>
    </w:r>
    <w:r w:rsidRPr="004C6829">
      <w:rPr>
        <w:rStyle w:val="PageNumber"/>
        <w:rFonts w:cs="Calibri"/>
        <w:sz w:val="22"/>
      </w:rPr>
      <w:fldChar w:fldCharType="begin"/>
    </w:r>
    <w:r w:rsidRPr="004C6829">
      <w:rPr>
        <w:rStyle w:val="PageNumber"/>
        <w:rFonts w:cs="Calibri"/>
        <w:sz w:val="22"/>
      </w:rPr>
      <w:instrText xml:space="preserve"> PAGE </w:instrText>
    </w:r>
    <w:r w:rsidRPr="004C6829">
      <w:rPr>
        <w:rStyle w:val="PageNumber"/>
        <w:rFonts w:cs="Calibri"/>
        <w:sz w:val="22"/>
      </w:rPr>
      <w:fldChar w:fldCharType="separate"/>
    </w:r>
    <w:r w:rsidRPr="004C6829">
      <w:rPr>
        <w:rStyle w:val="PageNumber"/>
        <w:rFonts w:cs="Calibri"/>
        <w:noProof/>
        <w:sz w:val="22"/>
      </w:rPr>
      <w:t>61</w:t>
    </w:r>
    <w:r w:rsidRPr="004C6829">
      <w:rPr>
        <w:rStyle w:val="PageNumber"/>
        <w:rFonts w:cs="Calibri"/>
        <w:sz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ECDAF7" w14:textId="77777777" w:rsidR="00784FA9" w:rsidRPr="00316A42" w:rsidRDefault="00784FA9" w:rsidP="004C6829">
    <w:pPr>
      <w:pStyle w:val="FooterOdd"/>
      <w:rPr>
        <w:b/>
      </w:rPr>
    </w:pPr>
    <w:r w:rsidRPr="000467A0">
      <w:tab/>
      <w:t>New Zealand’s Greenhouse Gas Inventory 1990–2020</w:t>
    </w:r>
    <w:r w:rsidRPr="000467A0">
      <w:tab/>
    </w:r>
    <w:r w:rsidRPr="004C6829">
      <w:rPr>
        <w:rStyle w:val="PageNumber"/>
        <w:rFonts w:cs="Calibri"/>
        <w:sz w:val="22"/>
      </w:rPr>
      <w:fldChar w:fldCharType="begin"/>
    </w:r>
    <w:r w:rsidRPr="004C6829">
      <w:rPr>
        <w:rStyle w:val="PageNumber"/>
        <w:rFonts w:cs="Calibri"/>
        <w:sz w:val="22"/>
      </w:rPr>
      <w:instrText xml:space="preserve"> PAGE </w:instrText>
    </w:r>
    <w:r w:rsidRPr="004C6829">
      <w:rPr>
        <w:rStyle w:val="PageNumber"/>
        <w:rFonts w:cs="Calibri"/>
        <w:sz w:val="22"/>
      </w:rPr>
      <w:fldChar w:fldCharType="separate"/>
    </w:r>
    <w:r w:rsidRPr="004C6829">
      <w:rPr>
        <w:rStyle w:val="PageNumber"/>
        <w:rFonts w:cs="Calibri"/>
        <w:noProof/>
        <w:sz w:val="22"/>
      </w:rPr>
      <w:t>61</w:t>
    </w:r>
    <w:r w:rsidRPr="004C6829">
      <w:rPr>
        <w:rStyle w:val="PageNumber"/>
        <w:rFonts w:cs="Calibri"/>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32390" w14:textId="77777777" w:rsidR="005660CD" w:rsidRDefault="005660CD"/>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3F4F9" w14:textId="77777777" w:rsidR="00784FA9" w:rsidRPr="00316A42" w:rsidRDefault="00784FA9" w:rsidP="000840F9">
    <w:pPr>
      <w:pStyle w:val="FooterOdd"/>
      <w:tabs>
        <w:tab w:val="clear" w:pos="7655"/>
        <w:tab w:val="clear" w:pos="8505"/>
        <w:tab w:val="right" w:pos="13041"/>
        <w:tab w:val="right" w:pos="14005"/>
      </w:tabs>
      <w:rPr>
        <w:b/>
      </w:rPr>
    </w:pPr>
    <w:r w:rsidRPr="000467A0">
      <w:tab/>
      <w:t>New Zealand’s Greenhouse Gas Inventory 1990–2020</w:t>
    </w:r>
    <w:r w:rsidRPr="000467A0">
      <w:tab/>
    </w:r>
    <w:r w:rsidRPr="004C6829">
      <w:rPr>
        <w:rStyle w:val="PageNumber"/>
        <w:rFonts w:cs="Calibri"/>
        <w:sz w:val="22"/>
      </w:rPr>
      <w:fldChar w:fldCharType="begin"/>
    </w:r>
    <w:r w:rsidRPr="004C6829">
      <w:rPr>
        <w:rStyle w:val="PageNumber"/>
        <w:rFonts w:cs="Calibri"/>
        <w:sz w:val="22"/>
      </w:rPr>
      <w:instrText xml:space="preserve"> PAGE </w:instrText>
    </w:r>
    <w:r w:rsidRPr="004C6829">
      <w:rPr>
        <w:rStyle w:val="PageNumber"/>
        <w:rFonts w:cs="Calibri"/>
        <w:sz w:val="22"/>
      </w:rPr>
      <w:fldChar w:fldCharType="separate"/>
    </w:r>
    <w:r w:rsidRPr="004C6829">
      <w:rPr>
        <w:rStyle w:val="PageNumber"/>
        <w:rFonts w:cs="Calibri"/>
        <w:noProof/>
        <w:sz w:val="22"/>
      </w:rPr>
      <w:t>61</w:t>
    </w:r>
    <w:r w:rsidRPr="004C6829">
      <w:rPr>
        <w:rStyle w:val="PageNumber"/>
        <w:rFonts w:cs="Calibri"/>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C174B" w14:textId="2BB5A3B7" w:rsidR="009D6B0C" w:rsidRDefault="00AD4336" w:rsidP="000840F9">
    <w:pPr>
      <w:pStyle w:val="FooterEven"/>
    </w:pPr>
    <w:r w:rsidRPr="00E3590E">
      <w:rPr>
        <w:b/>
        <w:bCs/>
        <w:sz w:val="22"/>
        <w:szCs w:val="28"/>
      </w:rPr>
      <w:fldChar w:fldCharType="begin"/>
    </w:r>
    <w:r w:rsidRPr="00E3590E">
      <w:rPr>
        <w:b/>
        <w:bCs/>
        <w:sz w:val="22"/>
        <w:szCs w:val="28"/>
      </w:rPr>
      <w:instrText xml:space="preserve"> PAGE   \* MERGEFORMAT </w:instrText>
    </w:r>
    <w:r w:rsidRPr="00E3590E">
      <w:rPr>
        <w:b/>
        <w:bCs/>
        <w:sz w:val="22"/>
        <w:szCs w:val="28"/>
      </w:rPr>
      <w:fldChar w:fldCharType="separate"/>
    </w:r>
    <w:r w:rsidRPr="00E3590E">
      <w:rPr>
        <w:b/>
        <w:bCs/>
        <w:noProof/>
        <w:sz w:val="22"/>
        <w:szCs w:val="28"/>
      </w:rPr>
      <w:t>1</w:t>
    </w:r>
    <w:r w:rsidRPr="00E3590E">
      <w:rPr>
        <w:b/>
        <w:bCs/>
        <w:noProof/>
        <w:sz w:val="22"/>
        <w:szCs w:val="28"/>
      </w:rPr>
      <w:fldChar w:fldCharType="end"/>
    </w:r>
    <w:r>
      <w:rPr>
        <w:noProof/>
      </w:rPr>
      <w:tab/>
    </w:r>
    <w:r>
      <w:t>Chapter 6: Land Use, Land-Use Change and Forestry</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2F054" w14:textId="77777777" w:rsidR="009D6B0C" w:rsidRPr="00316A42" w:rsidRDefault="00AD4336" w:rsidP="000840F9">
    <w:pPr>
      <w:pStyle w:val="FooterOdd"/>
      <w:rPr>
        <w:b/>
      </w:rPr>
    </w:pPr>
    <w:r w:rsidRPr="000467A0">
      <w:tab/>
      <w:t>New Zealand’s Greenhouse Gas Inventory 1990–2020</w:t>
    </w:r>
    <w:r w:rsidRPr="000467A0">
      <w:tab/>
    </w:r>
    <w:r w:rsidRPr="00784FA9">
      <w:rPr>
        <w:rStyle w:val="PageNumber"/>
        <w:rFonts w:cs="Calibri"/>
        <w:sz w:val="22"/>
      </w:rPr>
      <w:fldChar w:fldCharType="begin"/>
    </w:r>
    <w:r w:rsidRPr="00784FA9">
      <w:rPr>
        <w:rStyle w:val="PageNumber"/>
        <w:rFonts w:cs="Calibri"/>
        <w:sz w:val="22"/>
      </w:rPr>
      <w:instrText xml:space="preserve"> PAGE </w:instrText>
    </w:r>
    <w:r w:rsidRPr="00784FA9">
      <w:rPr>
        <w:rStyle w:val="PageNumber"/>
        <w:rFonts w:cs="Calibri"/>
        <w:sz w:val="22"/>
      </w:rPr>
      <w:fldChar w:fldCharType="separate"/>
    </w:r>
    <w:r w:rsidRPr="00784FA9">
      <w:rPr>
        <w:rStyle w:val="PageNumber"/>
        <w:rFonts w:cs="Calibri"/>
        <w:noProof/>
        <w:sz w:val="22"/>
      </w:rPr>
      <w:t>66</w:t>
    </w:r>
    <w:r w:rsidRPr="00784FA9">
      <w:rPr>
        <w:rStyle w:val="PageNumber"/>
        <w:rFonts w:cs="Calibri"/>
        <w:sz w:val="22"/>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C38A4" w14:textId="77777777" w:rsidR="009D6B0C" w:rsidRDefault="004B48CC"/>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B55D0" w14:textId="27146870"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b w:val="0"/>
        <w:sz w:val="22"/>
      </w:rPr>
      <w:tab/>
    </w:r>
    <w:r w:rsidR="00B70CF4" w:rsidRPr="00B70CF4">
      <w:t>Chapter 7: Waste</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8D0A0" w14:textId="77777777"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b w:val="0"/>
        <w:sz w:val="22"/>
      </w:rPr>
      <w:tab/>
    </w:r>
    <w:r w:rsidR="00AD4336" w:rsidRPr="00813A61">
      <w:t>Chapter 8: Tokelau (other) sector</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8A3D4" w14:textId="77777777"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rsidR="00AD4336">
      <w:t>20</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1</w:t>
    </w:r>
    <w:r w:rsidRPr="00762043">
      <w:rPr>
        <w:rStyle w:val="PageNumbe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E5FB7" w14:textId="7634A7BB" w:rsidR="0094699A" w:rsidRPr="00EC2491" w:rsidRDefault="0094699A"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00ED0B24" w:rsidRPr="00ED0B24">
      <w:t>Chapter 9: Indirect carbon dioxide and nitrous oxide emissions</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50D2F" w14:textId="67FB9EAD" w:rsidR="00A07A01" w:rsidRPr="00EC2491" w:rsidRDefault="00A07A01"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Pr="00A07A01">
      <w:t>Chapter 10: Recalculations and improvements</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9FC3E" w14:textId="77777777" w:rsidR="00616641" w:rsidRDefault="00616641" w:rsidP="00594A5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t>Chapter 11: KP-LULUCF</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6B963" w14:textId="27DB35EA" w:rsidR="005660CD" w:rsidRPr="00B928E7" w:rsidRDefault="005660CD" w:rsidP="00B928E7">
    <w:pPr>
      <w:pStyle w:val="FooterEven"/>
    </w:pPr>
    <w:r w:rsidRPr="00027E55">
      <w:rPr>
        <w:rStyle w:val="PageNumber"/>
        <w:b w:val="0"/>
        <w:sz w:val="22"/>
      </w:rPr>
      <w:fldChar w:fldCharType="begin"/>
    </w:r>
    <w:r w:rsidRPr="00027E55">
      <w:rPr>
        <w:rStyle w:val="PageNumber"/>
        <w:b w:val="0"/>
        <w:sz w:val="22"/>
      </w:rPr>
      <w:instrText xml:space="preserve"> PAGE </w:instrText>
    </w:r>
    <w:r w:rsidRPr="00027E55">
      <w:rPr>
        <w:rStyle w:val="PageNumber"/>
        <w:b w:val="0"/>
        <w:sz w:val="22"/>
      </w:rPr>
      <w:fldChar w:fldCharType="separate"/>
    </w:r>
    <w:r w:rsidR="002868D3">
      <w:rPr>
        <w:rStyle w:val="PageNumber"/>
        <w:b w:val="0"/>
        <w:noProof/>
        <w:sz w:val="22"/>
      </w:rPr>
      <w:t>iv</w:t>
    </w:r>
    <w:r w:rsidRPr="00027E55">
      <w:rPr>
        <w:rStyle w:val="PageNumber"/>
        <w:b w:val="0"/>
        <w:sz w:val="22"/>
      </w:rPr>
      <w:fldChar w:fldCharType="end"/>
    </w:r>
    <w:r>
      <w:rPr>
        <w:rStyle w:val="PageNumber"/>
        <w:b w:val="0"/>
        <w:sz w:val="22"/>
      </w:rPr>
      <w:tab/>
    </w:r>
    <w:r w:rsidR="001473F6">
      <w:t>Acknowledgements</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546DA" w14:textId="77777777" w:rsidR="00616641" w:rsidRDefault="00616641" w:rsidP="0063412C">
    <w:pPr>
      <w:pStyle w:val="FooterOdd"/>
    </w:pPr>
    <w:r>
      <w:tab/>
    </w:r>
    <w:r w:rsidRPr="00BF1C36">
      <w:t xml:space="preserve">New Zealand’s </w:t>
    </w:r>
    <w:r w:rsidRPr="00B928E7">
      <w:t>Greenhouse</w:t>
    </w:r>
    <w:r w:rsidRPr="00BF1C36">
      <w:t xml:space="preserve"> Gas </w:t>
    </w:r>
    <w:r w:rsidRPr="00715D39">
      <w:t>Inventory</w:t>
    </w:r>
    <w:r w:rsidRPr="00BF1C36">
      <w:t xml:space="preserve"> 1990–20</w:t>
    </w:r>
    <w:r>
      <w:t>20</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F0217" w14:textId="77777777" w:rsidR="00616641" w:rsidRDefault="00616641" w:rsidP="00CF47CC">
    <w:pPr>
      <w:pStyle w:val="FooterOdd"/>
      <w:tabs>
        <w:tab w:val="clear" w:pos="7655"/>
        <w:tab w:val="clear" w:pos="8505"/>
        <w:tab w:val="right" w:pos="13467"/>
        <w:tab w:val="right" w:pos="14004"/>
      </w:tabs>
    </w:pPr>
    <w:r>
      <w:tab/>
    </w:r>
    <w:r w:rsidRPr="00BF1C36">
      <w:t xml:space="preserve">New Zealand’s </w:t>
    </w:r>
    <w:r w:rsidRPr="00B928E7">
      <w:t>Greenhouse</w:t>
    </w:r>
    <w:r w:rsidRPr="00BF1C36">
      <w:t xml:space="preserve"> Gas </w:t>
    </w:r>
    <w:r w:rsidRPr="00715D39">
      <w:t>Inventory</w:t>
    </w:r>
    <w:r w:rsidRPr="00BF1C36">
      <w:t xml:space="preserve"> 1990–20</w:t>
    </w:r>
    <w:r>
      <w:t>20</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EEDCD" w14:textId="77777777" w:rsidR="00616641" w:rsidRDefault="00616641" w:rsidP="0063412C">
    <w:pPr>
      <w:pStyle w:val="FooterOdd"/>
    </w:pPr>
    <w:r>
      <w:tab/>
    </w:r>
    <w:r w:rsidRPr="00BF1C36">
      <w:t xml:space="preserve">New Zealand’s </w:t>
    </w:r>
    <w:r w:rsidRPr="00B928E7">
      <w:t>Greenhouse</w:t>
    </w:r>
    <w:r w:rsidRPr="00BF1C36">
      <w:t xml:space="preserve"> Gas </w:t>
    </w:r>
    <w:r w:rsidRPr="00715D39">
      <w:t>Inventory</w:t>
    </w:r>
    <w:r w:rsidRPr="00BF1C36">
      <w:t xml:space="preserve"> 1990–20</w:t>
    </w:r>
    <w:r>
      <w:t>20</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143B9" w14:textId="77777777" w:rsidR="00616641" w:rsidRDefault="00616641" w:rsidP="008B5FBC">
    <w:pPr>
      <w:pStyle w:val="FooterOdd"/>
      <w:tabs>
        <w:tab w:val="right" w:pos="13381"/>
        <w:tab w:val="right" w:pos="13948"/>
      </w:tabs>
    </w:pPr>
    <w:r>
      <w:tab/>
    </w:r>
    <w:r>
      <w:tab/>
    </w:r>
    <w:r>
      <w:tab/>
    </w:r>
    <w:r w:rsidRPr="00BF1C36">
      <w:t xml:space="preserve">New Zealand’s </w:t>
    </w:r>
    <w:r w:rsidRPr="00B928E7">
      <w:t>Greenhouse</w:t>
    </w:r>
    <w:r w:rsidRPr="00BF1C36">
      <w:t xml:space="preserve"> Gas </w:t>
    </w:r>
    <w:r w:rsidRPr="00715D39">
      <w:t>Inventory</w:t>
    </w:r>
    <w:r w:rsidRPr="00BF1C36">
      <w:t xml:space="preserve"> 1990–20</w:t>
    </w:r>
    <w:r>
      <w:t>20</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2D1B1" w14:textId="77777777" w:rsidR="007236E5" w:rsidRDefault="00AD4336" w:rsidP="007236E5">
    <w:pPr>
      <w:pStyle w:val="FooterOdd"/>
    </w:pPr>
    <w:r>
      <w:tab/>
    </w:r>
    <w:r w:rsidRPr="00BF1C36">
      <w:t xml:space="preserve">New Zealand’s </w:t>
    </w:r>
    <w:r w:rsidRPr="00B928E7">
      <w:t>Greenhouse</w:t>
    </w:r>
    <w:r w:rsidRPr="00BF1C36">
      <w:t xml:space="preserve"> Gas </w:t>
    </w:r>
    <w:r w:rsidRPr="00715D39">
      <w:t>Inventory</w:t>
    </w:r>
    <w:r w:rsidRPr="00BF1C36">
      <w:t xml:space="preserve"> 1990–20</w:t>
    </w:r>
    <w:r>
      <w:t>20</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1</w:t>
    </w:r>
    <w:r w:rsidRPr="00762043">
      <w:rPr>
        <w:rStyle w:val="PageNumber"/>
        <w:sz w:val="22"/>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79FE6" w14:textId="093DCDC9" w:rsidR="00C70DDD" w:rsidRDefault="00C70DDD" w:rsidP="00594A5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Pr="00C70DDD">
      <w:t>Chapter 12: Information on accounting of the Kyoto Protocol units</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4BE51" w14:textId="27D80FD1" w:rsidR="002471D6" w:rsidRDefault="002471D6" w:rsidP="00594A5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Pr="002471D6">
      <w:t>Chapter 14: Information on changes to the national registry</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D24CC" w14:textId="20203FC5" w:rsidR="00D304B4" w:rsidRDefault="00D304B4" w:rsidP="00594A5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Pr>
        <w:rStyle w:val="PageNumber"/>
        <w:noProof/>
        <w:sz w:val="22"/>
      </w:rPr>
      <w:t>2</w:t>
    </w:r>
    <w:r w:rsidRPr="00762043">
      <w:rPr>
        <w:rStyle w:val="PageNumber"/>
        <w:sz w:val="22"/>
      </w:rPr>
      <w:fldChar w:fldCharType="end"/>
    </w:r>
    <w:r>
      <w:rPr>
        <w:rStyle w:val="PageNumber"/>
        <w:b w:val="0"/>
        <w:sz w:val="22"/>
      </w:rPr>
      <w:tab/>
    </w:r>
    <w:r w:rsidRPr="00D304B4">
      <w:t>Chapter 15: Information on minimisation of adverse impacts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A03D3" w14:textId="3B84D8F8" w:rsidR="005660CD" w:rsidRPr="00027E55" w:rsidRDefault="005660CD" w:rsidP="00F660F9">
    <w:pPr>
      <w:pStyle w:val="FooterOdd"/>
      <w:rPr>
        <w:rStyle w:val="PageNumber"/>
        <w:b w:val="0"/>
      </w:rPr>
    </w:pPr>
    <w:r>
      <w:tab/>
    </w:r>
    <w:r w:rsidRPr="00BF1C36">
      <w:t>New Zealand’s Greenhouse Gas Inventory 1990–20</w:t>
    </w:r>
    <w:r w:rsidR="001473F6">
      <w:t>20</w:t>
    </w:r>
    <w:r>
      <w:tab/>
    </w:r>
    <w:r w:rsidRPr="00027E55">
      <w:rPr>
        <w:rStyle w:val="PageNumber"/>
        <w:b w:val="0"/>
        <w:sz w:val="22"/>
      </w:rPr>
      <w:fldChar w:fldCharType="begin"/>
    </w:r>
    <w:r w:rsidRPr="00027E55">
      <w:rPr>
        <w:rStyle w:val="PageNumber"/>
        <w:b w:val="0"/>
        <w:sz w:val="22"/>
      </w:rPr>
      <w:instrText xml:space="preserve"> PAGE </w:instrText>
    </w:r>
    <w:r w:rsidRPr="00027E55">
      <w:rPr>
        <w:rStyle w:val="PageNumber"/>
        <w:b w:val="0"/>
        <w:sz w:val="22"/>
      </w:rPr>
      <w:fldChar w:fldCharType="separate"/>
    </w:r>
    <w:r w:rsidR="002868D3">
      <w:rPr>
        <w:rStyle w:val="PageNumber"/>
        <w:b w:val="0"/>
        <w:noProof/>
        <w:sz w:val="22"/>
      </w:rPr>
      <w:t>iii</w:t>
    </w:r>
    <w:r w:rsidRPr="00027E55">
      <w:rPr>
        <w:rStyle w:val="PageNumber"/>
        <w:b w:val="0"/>
        <w:sz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44654" w14:textId="34E76C9C" w:rsidR="00703BF3" w:rsidRPr="00B928E7" w:rsidRDefault="00703BF3" w:rsidP="00B928E7">
    <w:pPr>
      <w:pStyle w:val="FooterEven"/>
    </w:pPr>
    <w:r w:rsidRPr="00027E55">
      <w:rPr>
        <w:rStyle w:val="PageNumber"/>
        <w:b w:val="0"/>
        <w:sz w:val="22"/>
      </w:rPr>
      <w:fldChar w:fldCharType="begin"/>
    </w:r>
    <w:r w:rsidRPr="00027E55">
      <w:rPr>
        <w:rStyle w:val="PageNumber"/>
        <w:b w:val="0"/>
        <w:sz w:val="22"/>
      </w:rPr>
      <w:instrText xml:space="preserve"> PAGE </w:instrText>
    </w:r>
    <w:r w:rsidRPr="00027E55">
      <w:rPr>
        <w:rStyle w:val="PageNumber"/>
        <w:b w:val="0"/>
        <w:sz w:val="22"/>
      </w:rPr>
      <w:fldChar w:fldCharType="separate"/>
    </w:r>
    <w:r>
      <w:rPr>
        <w:rStyle w:val="PageNumber"/>
        <w:b w:val="0"/>
        <w:noProof/>
        <w:sz w:val="22"/>
      </w:rPr>
      <w:t>iv</w:t>
    </w:r>
    <w:r w:rsidRPr="00027E55">
      <w:rPr>
        <w:rStyle w:val="PageNumber"/>
        <w:b w:val="0"/>
        <w:sz w:val="22"/>
      </w:rPr>
      <w:fldChar w:fldCharType="end"/>
    </w:r>
    <w:r>
      <w:rPr>
        <w:rStyle w:val="PageNumber"/>
        <w:b w:val="0"/>
        <w:sz w:val="22"/>
      </w:rPr>
      <w:tab/>
    </w:r>
    <w:r>
      <w:t>Contents</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E766D" w14:textId="3D340774" w:rsidR="00E55B2E" w:rsidRPr="00B928E7" w:rsidRDefault="00E55B2E" w:rsidP="00042F08">
    <w:pPr>
      <w:pStyle w:val="FooterEven"/>
      <w:tabs>
        <w:tab w:val="left" w:pos="2570"/>
      </w:tabs>
    </w:pPr>
    <w:r w:rsidRPr="00027E55">
      <w:rPr>
        <w:rStyle w:val="PageNumber"/>
        <w:b w:val="0"/>
        <w:sz w:val="22"/>
      </w:rPr>
      <w:fldChar w:fldCharType="begin"/>
    </w:r>
    <w:r w:rsidRPr="00027E55">
      <w:rPr>
        <w:rStyle w:val="PageNumber"/>
        <w:b w:val="0"/>
        <w:sz w:val="22"/>
      </w:rPr>
      <w:instrText xml:space="preserve"> PAGE </w:instrText>
    </w:r>
    <w:r w:rsidRPr="00027E55">
      <w:rPr>
        <w:rStyle w:val="PageNumber"/>
        <w:b w:val="0"/>
        <w:sz w:val="22"/>
      </w:rPr>
      <w:fldChar w:fldCharType="separate"/>
    </w:r>
    <w:r>
      <w:rPr>
        <w:rStyle w:val="PageNumber"/>
        <w:b w:val="0"/>
        <w:noProof/>
        <w:sz w:val="22"/>
      </w:rPr>
      <w:t>iv</w:t>
    </w:r>
    <w:r w:rsidRPr="00027E55">
      <w:rPr>
        <w:rStyle w:val="PageNumber"/>
        <w:b w:val="0"/>
        <w:sz w:val="22"/>
      </w:rPr>
      <w:fldChar w:fldCharType="end"/>
    </w:r>
    <w:r>
      <w:rPr>
        <w:rStyle w:val="PageNumber"/>
        <w:b w:val="0"/>
        <w:sz w:val="22"/>
      </w:rPr>
      <w:tab/>
    </w:r>
    <w:r>
      <w:t>Tables and figures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C6BEE" w14:textId="49B9BC91" w:rsidR="00042F08" w:rsidRPr="00B928E7" w:rsidRDefault="00042F08" w:rsidP="00042F08">
    <w:pPr>
      <w:pStyle w:val="FooterEven"/>
      <w:tabs>
        <w:tab w:val="left" w:pos="2570"/>
      </w:tabs>
    </w:pPr>
    <w:r w:rsidRPr="00027E55">
      <w:rPr>
        <w:rStyle w:val="PageNumber"/>
        <w:b w:val="0"/>
        <w:sz w:val="22"/>
      </w:rPr>
      <w:fldChar w:fldCharType="begin"/>
    </w:r>
    <w:r w:rsidRPr="00027E55">
      <w:rPr>
        <w:rStyle w:val="PageNumber"/>
        <w:b w:val="0"/>
        <w:sz w:val="22"/>
      </w:rPr>
      <w:instrText xml:space="preserve"> PAGE </w:instrText>
    </w:r>
    <w:r w:rsidRPr="00027E55">
      <w:rPr>
        <w:rStyle w:val="PageNumber"/>
        <w:b w:val="0"/>
        <w:sz w:val="22"/>
      </w:rPr>
      <w:fldChar w:fldCharType="separate"/>
    </w:r>
    <w:r>
      <w:rPr>
        <w:rStyle w:val="PageNumber"/>
        <w:b w:val="0"/>
        <w:noProof/>
        <w:sz w:val="22"/>
      </w:rPr>
      <w:t>iv</w:t>
    </w:r>
    <w:r w:rsidRPr="00027E55">
      <w:rPr>
        <w:rStyle w:val="PageNumber"/>
        <w:b w:val="0"/>
        <w:sz w:val="22"/>
      </w:rPr>
      <w:fldChar w:fldCharType="end"/>
    </w:r>
    <w:r>
      <w:rPr>
        <w:rStyle w:val="PageNumber"/>
        <w:b w:val="0"/>
        <w:sz w:val="22"/>
      </w:rPr>
      <w:tab/>
    </w:r>
    <w:r w:rsidR="006C3E12">
      <w:t>Abbreviations</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7AFFA" w14:textId="77777777" w:rsidR="005660CD" w:rsidRPr="00EC2491" w:rsidRDefault="005660CD" w:rsidP="00EC2491">
    <w:pPr>
      <w:pStyle w:val="FooterEven"/>
    </w:pP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2</w:t>
    </w:r>
    <w:r w:rsidRPr="00762043">
      <w:rPr>
        <w:rStyle w:val="PageNumber"/>
        <w:sz w:val="22"/>
      </w:rPr>
      <w:fldChar w:fldCharType="end"/>
    </w:r>
    <w:r>
      <w:rPr>
        <w:rStyle w:val="PageNumber"/>
        <w:b w:val="0"/>
        <w:sz w:val="22"/>
      </w:rPr>
      <w:tab/>
    </w:r>
    <w:r w:rsidRPr="00BF1C36">
      <w:t>New Zealand’s G</w:t>
    </w:r>
    <w:r w:rsidR="00762043">
      <w:t>reenhouse Gas Inventory 1990–20XX</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4B2E1" w14:textId="68C3EB11" w:rsidR="005660CD" w:rsidRPr="00027E55" w:rsidRDefault="005660CD" w:rsidP="00715D39">
    <w:pPr>
      <w:pStyle w:val="FooterOdd"/>
      <w:rPr>
        <w:b/>
      </w:rPr>
    </w:pPr>
    <w:r>
      <w:tab/>
    </w:r>
    <w:r w:rsidRPr="00BF1C36">
      <w:t xml:space="preserve">New Zealand’s </w:t>
    </w:r>
    <w:r w:rsidRPr="00B928E7">
      <w:t>Greenhouse</w:t>
    </w:r>
    <w:r w:rsidRPr="00BF1C36">
      <w:t xml:space="preserve"> Gas </w:t>
    </w:r>
    <w:r w:rsidRPr="00715D39">
      <w:t>Inventory</w:t>
    </w:r>
    <w:r w:rsidRPr="00BF1C36">
      <w:t xml:space="preserve"> 1990–20</w:t>
    </w:r>
    <w:r w:rsidR="005C38A8">
      <w:t>20</w:t>
    </w:r>
    <w:r w:rsidRPr="00027E55">
      <w:tab/>
    </w:r>
    <w:r w:rsidRPr="00762043">
      <w:rPr>
        <w:rStyle w:val="PageNumber"/>
        <w:sz w:val="22"/>
      </w:rPr>
      <w:fldChar w:fldCharType="begin"/>
    </w:r>
    <w:r w:rsidRPr="00762043">
      <w:rPr>
        <w:rStyle w:val="PageNumber"/>
        <w:sz w:val="22"/>
      </w:rPr>
      <w:instrText xml:space="preserve"> PAGE </w:instrText>
    </w:r>
    <w:r w:rsidRPr="00762043">
      <w:rPr>
        <w:rStyle w:val="PageNumber"/>
        <w:sz w:val="22"/>
      </w:rPr>
      <w:fldChar w:fldCharType="separate"/>
    </w:r>
    <w:r w:rsidR="002868D3">
      <w:rPr>
        <w:rStyle w:val="PageNumber"/>
        <w:noProof/>
        <w:sz w:val="22"/>
      </w:rPr>
      <w:t>1</w:t>
    </w:r>
    <w:r w:rsidRPr="00762043">
      <w:rPr>
        <w:rStyle w:val="PageNumber"/>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B818A6" w14:textId="77777777" w:rsidR="004B48CC" w:rsidRDefault="004B48CC">
      <w:r>
        <w:separator/>
      </w:r>
    </w:p>
  </w:footnote>
  <w:footnote w:type="continuationSeparator" w:id="0">
    <w:p w14:paraId="3516E721" w14:textId="77777777" w:rsidR="004B48CC" w:rsidRDefault="004B48CC">
      <w:r>
        <w:continuationSeparator/>
      </w:r>
    </w:p>
  </w:footnote>
  <w:footnote w:id="1">
    <w:p w14:paraId="2DFA9727" w14:textId="77777777" w:rsidR="00442E6D" w:rsidRPr="00A347C5" w:rsidRDefault="00442E6D" w:rsidP="0077206B">
      <w:pPr>
        <w:pStyle w:val="FootnoteText"/>
        <w:spacing w:after="40"/>
      </w:pPr>
      <w:r>
        <w:rPr>
          <w:rStyle w:val="FootnoteReference"/>
        </w:rPr>
        <w:footnoteRef/>
      </w:r>
      <w:r>
        <w:tab/>
        <w:t>Nitrogen trifluoride emissions do not occur in New Zealand and, therefore, no NF</w:t>
      </w:r>
      <w:r>
        <w:rPr>
          <w:vertAlign w:val="subscript"/>
        </w:rPr>
        <w:t>3</w:t>
      </w:r>
      <w:r>
        <w:t xml:space="preserve"> data are included in this report.</w:t>
      </w:r>
    </w:p>
  </w:footnote>
  <w:footnote w:id="2">
    <w:p w14:paraId="01858ECF" w14:textId="77777777" w:rsidR="00442E6D" w:rsidRDefault="00442E6D" w:rsidP="0077206B">
      <w:pPr>
        <w:pStyle w:val="FootnoteText"/>
        <w:spacing w:after="40"/>
      </w:pPr>
      <w:r>
        <w:rPr>
          <w:rStyle w:val="FootnoteReference"/>
        </w:rPr>
        <w:footnoteRef/>
      </w:r>
      <w:r>
        <w:tab/>
        <w:t xml:space="preserve">Indirect gases include </w:t>
      </w:r>
      <w:r w:rsidRPr="004F4BDC">
        <w:t>carbon monoxide, sulphur dioxide, oxides of nitrogen and non-methane volatile organic compounds.</w:t>
      </w:r>
    </w:p>
  </w:footnote>
  <w:footnote w:id="3">
    <w:p w14:paraId="7BC4544B" w14:textId="77777777" w:rsidR="00442E6D" w:rsidRDefault="00442E6D" w:rsidP="00442E6D">
      <w:pPr>
        <w:pStyle w:val="FootnoteText"/>
      </w:pPr>
      <w:r>
        <w:rPr>
          <w:rStyle w:val="FootnoteReference"/>
        </w:rPr>
        <w:footnoteRef/>
      </w:r>
      <w:r>
        <w:tab/>
        <w:t>Methane emissions produced from the digestive process in ruminant livestock.</w:t>
      </w:r>
    </w:p>
  </w:footnote>
  <w:footnote w:id="4">
    <w:p w14:paraId="35E2AAD2" w14:textId="77777777" w:rsidR="00442E6D" w:rsidRDefault="00442E6D" w:rsidP="00442E6D">
      <w:pPr>
        <w:pStyle w:val="FootnoteText"/>
      </w:pPr>
      <w:r>
        <w:rPr>
          <w:rStyle w:val="FootnoteReference"/>
        </w:rPr>
        <w:footnoteRef/>
      </w:r>
      <w:r>
        <w:tab/>
        <w:t>‘ODS’ stands for ozone depleting substances.</w:t>
      </w:r>
    </w:p>
  </w:footnote>
  <w:footnote w:id="5">
    <w:p w14:paraId="53C01D1E" w14:textId="77777777" w:rsidR="00442E6D" w:rsidRDefault="00442E6D" w:rsidP="00442E6D">
      <w:pPr>
        <w:pStyle w:val="FootnoteText"/>
      </w:pPr>
      <w:r>
        <w:rPr>
          <w:rStyle w:val="FootnoteReference"/>
        </w:rPr>
        <w:footnoteRef/>
      </w:r>
      <w:r>
        <w:tab/>
        <w:t>The NZ ETS included the Forestry sector from 1 January 2008.</w:t>
      </w:r>
    </w:p>
  </w:footnote>
  <w:footnote w:id="6">
    <w:p w14:paraId="0C29F825" w14:textId="77777777" w:rsidR="00442E6D" w:rsidRDefault="00442E6D" w:rsidP="00442E6D">
      <w:pPr>
        <w:pStyle w:val="FootnoteText"/>
      </w:pPr>
      <w:r>
        <w:rPr>
          <w:rStyle w:val="FootnoteReference"/>
        </w:rPr>
        <w:footnoteRef/>
      </w:r>
      <w:r>
        <w:tab/>
        <w:t>T</w:t>
      </w:r>
      <w:r w:rsidRPr="001646BE">
        <w:t xml:space="preserve">he estimate for 2020 has been based on the Afforestation and Deforestation Intentions Survey 2020 (Manley, 2021) as mapped data </w:t>
      </w:r>
      <w:r>
        <w:t>are</w:t>
      </w:r>
      <w:r w:rsidRPr="001646BE">
        <w:t xml:space="preserve"> not available. </w:t>
      </w:r>
      <w:r>
        <w:t>T</w:t>
      </w:r>
      <w:r w:rsidRPr="001646BE">
        <w:t xml:space="preserve">he methods used to estimate </w:t>
      </w:r>
      <w:r w:rsidRPr="00C93755">
        <w:rPr>
          <w:i/>
          <w:iCs/>
        </w:rPr>
        <w:t>Afforestation and reforestation</w:t>
      </w:r>
      <w:r>
        <w:t xml:space="preserve"> activities</w:t>
      </w:r>
      <w:r w:rsidRPr="001646BE">
        <w:t xml:space="preserve"> are described</w:t>
      </w:r>
      <w:r>
        <w:t xml:space="preserve"> further</w:t>
      </w:r>
      <w:r w:rsidRPr="001646BE">
        <w:t xml:space="preserve"> in annex 3, section A3.2.2</w:t>
      </w:r>
      <w:r>
        <w:t>.</w:t>
      </w:r>
    </w:p>
  </w:footnote>
  <w:footnote w:id="7">
    <w:p w14:paraId="41215AAA" w14:textId="77777777" w:rsidR="00442E6D" w:rsidRDefault="00442E6D" w:rsidP="00442E6D">
      <w:pPr>
        <w:pStyle w:val="FootnoteText"/>
      </w:pPr>
      <w:r>
        <w:rPr>
          <w:rStyle w:val="FootnoteReference"/>
        </w:rPr>
        <w:footnoteRef/>
      </w:r>
      <w:r>
        <w:tab/>
        <w:t>T</w:t>
      </w:r>
      <w:r w:rsidRPr="001646BE">
        <w:t xml:space="preserve">he estimate for 2020 has been based on the Afforestation and Deforestation Intentions Survey 2020 (Manley, 2021) as mapped data </w:t>
      </w:r>
      <w:r>
        <w:t>are</w:t>
      </w:r>
      <w:r w:rsidRPr="001646BE">
        <w:t xml:space="preserve"> not available. </w:t>
      </w:r>
      <w:r>
        <w:t>T</w:t>
      </w:r>
      <w:r w:rsidRPr="001646BE">
        <w:t xml:space="preserve">he methods used to estimate </w:t>
      </w:r>
      <w:r w:rsidRPr="00C93755">
        <w:rPr>
          <w:i/>
          <w:iCs/>
        </w:rPr>
        <w:t>Deforestation</w:t>
      </w:r>
      <w:r>
        <w:t xml:space="preserve"> activities</w:t>
      </w:r>
      <w:r w:rsidRPr="001646BE">
        <w:t xml:space="preserve"> are described</w:t>
      </w:r>
      <w:r>
        <w:t xml:space="preserve"> further</w:t>
      </w:r>
      <w:r w:rsidRPr="001646BE">
        <w:t xml:space="preserve"> in annex 3, section A3.2.2</w:t>
      </w:r>
      <w:r>
        <w:t>.</w:t>
      </w:r>
    </w:p>
  </w:footnote>
  <w:footnote w:id="8">
    <w:p w14:paraId="78EAD641" w14:textId="77777777" w:rsidR="00BB3E1E" w:rsidRDefault="00BB3E1E" w:rsidP="00BB3E1E">
      <w:pPr>
        <w:pStyle w:val="FootnoteText"/>
      </w:pPr>
      <w:r>
        <w:rPr>
          <w:rStyle w:val="FootnoteReference"/>
        </w:rPr>
        <w:footnoteRef/>
      </w:r>
      <w:r>
        <w:tab/>
        <w:t>Annex II to the Convention (a subset of Annex I) lists the Organisation for Economic Co-operation and Development (OECD) member countries at the time the Convention was agreed.</w:t>
      </w:r>
    </w:p>
  </w:footnote>
  <w:footnote w:id="9">
    <w:p w14:paraId="642A869A" w14:textId="77777777" w:rsidR="00BB3E1E" w:rsidRDefault="00BB3E1E" w:rsidP="00BB3E1E">
      <w:pPr>
        <w:pStyle w:val="FootnoteText"/>
      </w:pPr>
      <w:r>
        <w:rPr>
          <w:rStyle w:val="FootnoteReference"/>
        </w:rPr>
        <w:footnoteRef/>
      </w:r>
      <w:r>
        <w:tab/>
        <w:t>Annex I to the Convention lists the countries included in Annex II, as defined above, together with countries defined at the time as undergoing the process of transition to a market economy, commonly known as ‘economies in transition’.</w:t>
      </w:r>
    </w:p>
  </w:footnote>
  <w:footnote w:id="10">
    <w:p w14:paraId="4E7AC00D" w14:textId="77777777" w:rsidR="00BB3E1E" w:rsidRDefault="00BB3E1E" w:rsidP="00BB3E1E">
      <w:pPr>
        <w:pStyle w:val="FootnoteText"/>
      </w:pPr>
      <w:r>
        <w:rPr>
          <w:rStyle w:val="FootnoteReference"/>
        </w:rPr>
        <w:footnoteRef/>
      </w:r>
      <w:r>
        <w:tab/>
        <w:t>New Zealand’s target under the Kyoto Protocol was a responsibility target. A responsibility target means that New Zealand can meet its target through a mixture of domestic emission reductions, the storage of carbon in forests and the purchase of emission reductions in other countries through the emissions trading mechanisms established under the Kyoto Protocol. The target was set against total gross emissions from the following sectors: Energy, Industrial Processes, Solvent and Other Product Use (from 2015, Industrial Processes and Solvent and Other Product Use are reported jointly under the Industrial Processes and Product Use sector), Agriculture and Waste.</w:t>
      </w:r>
    </w:p>
  </w:footnote>
  <w:footnote w:id="11">
    <w:p w14:paraId="56268119" w14:textId="77777777" w:rsidR="00BB3E1E" w:rsidRDefault="00BB3E1E" w:rsidP="00BB3E1E">
      <w:pPr>
        <w:pStyle w:val="FootnoteText"/>
      </w:pPr>
      <w:r>
        <w:rPr>
          <w:rStyle w:val="FootnoteReference"/>
        </w:rPr>
        <w:footnoteRef/>
      </w:r>
      <w:r>
        <w:tab/>
        <w:t>The Doha amendment entered into force on 28 October 2020, just before the end of the Kyoto Protocol’s second (and final) commitment period.</w:t>
      </w:r>
    </w:p>
  </w:footnote>
  <w:footnote w:id="12">
    <w:p w14:paraId="1E3375C6" w14:textId="77777777" w:rsidR="00BB3E1E" w:rsidRDefault="00BB3E1E" w:rsidP="00BB3E1E">
      <w:pPr>
        <w:pStyle w:val="FootnoteText"/>
      </w:pPr>
      <w:r>
        <w:rPr>
          <w:rStyle w:val="FootnoteReference"/>
        </w:rPr>
        <w:footnoteRef/>
      </w:r>
      <w:r>
        <w:tab/>
        <w:t>Because NF</w:t>
      </w:r>
      <w:r>
        <w:rPr>
          <w:vertAlign w:val="subscript"/>
        </w:rPr>
        <w:t>3</w:t>
      </w:r>
      <w:r>
        <w:t xml:space="preserve"> emissions do not occur in New Zealand, they are not included in this report.</w:t>
      </w:r>
    </w:p>
  </w:footnote>
  <w:footnote w:id="13">
    <w:p w14:paraId="3739F0AA" w14:textId="77777777" w:rsidR="00BB3E1E" w:rsidRDefault="00BB3E1E" w:rsidP="00BB3E1E">
      <w:pPr>
        <w:pStyle w:val="FootnoteText"/>
      </w:pPr>
      <w:r>
        <w:rPr>
          <w:rStyle w:val="FootnoteReference"/>
        </w:rPr>
        <w:footnoteRef/>
      </w:r>
      <w:r>
        <w:tab/>
        <w:t>Indirect greenhouse gases are the gases that have indirect radiative effects in the atmosphere. This may happen either through conversion of an indirect gas to a direct greenhouse gas in the atmosphere (for example, where carbon monoxide is converted to carbon dioxide) or when chemical reactions in the atmosphere involving these gases change the concentrations of direct greenhouse gases.</w:t>
      </w:r>
    </w:p>
  </w:footnote>
  <w:footnote w:id="14">
    <w:p w14:paraId="44D28B64" w14:textId="77777777" w:rsidR="00BB3E1E" w:rsidRDefault="00BB3E1E" w:rsidP="00BB3E1E">
      <w:pPr>
        <w:pStyle w:val="FootnoteText"/>
      </w:pPr>
      <w:r>
        <w:rPr>
          <w:rStyle w:val="FootnoteReference"/>
        </w:rPr>
        <w:footnoteRef/>
      </w:r>
      <w:r>
        <w:tab/>
        <w:t>The United Nations Charter (United Nations, 1945) defines a non-self-governing territory as a territory “whose people have not yet attained a full measure of self-government”. Tokelau has been on the United Nations list of non-self-governing territories since 1946, following New Zealand’s declaration of its intention to transmit information on the Tokelau Islands under Article 73e of the United Nations Charter.</w:t>
      </w:r>
    </w:p>
  </w:footnote>
  <w:footnote w:id="15">
    <w:p w14:paraId="5C3A48CD" w14:textId="77777777" w:rsidR="00BB3E1E" w:rsidRPr="00A950D6" w:rsidRDefault="00BB3E1E" w:rsidP="00BB3E1E">
      <w:pPr>
        <w:spacing w:before="60"/>
        <w:ind w:left="284" w:hanging="284"/>
      </w:pPr>
      <w:r>
        <w:rPr>
          <w:rStyle w:val="FootnoteReference"/>
        </w:rPr>
        <w:footnoteRef/>
      </w:r>
      <w:r>
        <w:tab/>
      </w:r>
      <w:r w:rsidRPr="00145D20">
        <w:rPr>
          <w:sz w:val="19"/>
        </w:rPr>
        <w:t>The C</w:t>
      </w:r>
      <w:r>
        <w:rPr>
          <w:sz w:val="19"/>
        </w:rPr>
        <w:t xml:space="preserve">limate Change </w:t>
      </w:r>
      <w:r w:rsidRPr="00145D20">
        <w:rPr>
          <w:sz w:val="19"/>
        </w:rPr>
        <w:t>R</w:t>
      </w:r>
      <w:r>
        <w:rPr>
          <w:sz w:val="19"/>
        </w:rPr>
        <w:t xml:space="preserve">esponse </w:t>
      </w:r>
      <w:r w:rsidRPr="00145D20">
        <w:rPr>
          <w:sz w:val="19"/>
        </w:rPr>
        <w:t>A</w:t>
      </w:r>
      <w:r>
        <w:rPr>
          <w:sz w:val="19"/>
        </w:rPr>
        <w:t>ct</w:t>
      </w:r>
      <w:r w:rsidRPr="00145D20">
        <w:rPr>
          <w:sz w:val="19"/>
        </w:rPr>
        <w:t xml:space="preserve"> has been amended several times since 2002. The </w:t>
      </w:r>
      <w:r w:rsidRPr="00373BDC">
        <w:rPr>
          <w:sz w:val="19"/>
        </w:rPr>
        <w:t>Climate Change Response (Emissions Trading Reform) Amendment Act 2020</w:t>
      </w:r>
      <w:r w:rsidRPr="00145D20">
        <w:rPr>
          <w:sz w:val="19"/>
        </w:rPr>
        <w:t xml:space="preserve">, </w:t>
      </w:r>
      <w:r>
        <w:rPr>
          <w:sz w:val="19"/>
        </w:rPr>
        <w:t>among other things</w:t>
      </w:r>
      <w:r w:rsidRPr="00A403EF">
        <w:rPr>
          <w:sz w:val="19"/>
        </w:rPr>
        <w:t>, add</w:t>
      </w:r>
      <w:r>
        <w:rPr>
          <w:sz w:val="19"/>
        </w:rPr>
        <w:t>ed</w:t>
      </w:r>
      <w:r w:rsidRPr="00A403EF">
        <w:rPr>
          <w:sz w:val="19"/>
        </w:rPr>
        <w:t xml:space="preserve"> reporting under the Paris Agreement to the functions of the inventory agency.</w:t>
      </w:r>
    </w:p>
  </w:footnote>
  <w:footnote w:id="16">
    <w:p w14:paraId="4307D9A2" w14:textId="77777777" w:rsidR="00BB3E1E" w:rsidRDefault="00BB3E1E" w:rsidP="00BB3E1E">
      <w:pPr>
        <w:pStyle w:val="FootnoteText"/>
      </w:pPr>
      <w:r>
        <w:rPr>
          <w:rStyle w:val="FootnoteReference"/>
        </w:rPr>
        <w:footnoteRef/>
      </w:r>
      <w:r>
        <w:tab/>
        <w:t>Inserted, on 23 June 2020, by section 56(1) of the Climate Change Response (Emissions Trading Reform) Amendment Act 2020 (2020 No 22).</w:t>
      </w:r>
    </w:p>
  </w:footnote>
  <w:footnote w:id="17">
    <w:p w14:paraId="1F34EAAE" w14:textId="77777777" w:rsidR="00BB3E1E" w:rsidRDefault="00BB3E1E" w:rsidP="00BB3E1E">
      <w:pPr>
        <w:pStyle w:val="FootnoteText"/>
      </w:pPr>
      <w:r>
        <w:rPr>
          <w:rStyle w:val="FootnoteReference"/>
        </w:rPr>
        <w:footnoteRef/>
      </w:r>
      <w:r>
        <w:tab/>
        <w:t>‘ODS’ stands for ozone depleting substances.</w:t>
      </w:r>
    </w:p>
  </w:footnote>
  <w:footnote w:id="18">
    <w:p w14:paraId="4C1BCBFC" w14:textId="77777777" w:rsidR="00BB3E1E" w:rsidRPr="008520C9" w:rsidRDefault="00BB3E1E" w:rsidP="00BB3E1E">
      <w:pPr>
        <w:pStyle w:val="FootnoteText"/>
      </w:pPr>
      <w:r>
        <w:rPr>
          <w:rStyle w:val="FootnoteReference"/>
        </w:rPr>
        <w:footnoteRef/>
      </w:r>
      <w:r>
        <w:tab/>
      </w:r>
      <w:r w:rsidRPr="008520C9">
        <w:t>Climate Change Response (Emissions Trading) Amendment Act 2008</w:t>
      </w:r>
      <w:r>
        <w:t>.</w:t>
      </w:r>
    </w:p>
  </w:footnote>
  <w:footnote w:id="19">
    <w:p w14:paraId="616D53EB" w14:textId="77777777" w:rsidR="00BB3E1E" w:rsidRDefault="00BB3E1E" w:rsidP="00BB3E1E">
      <w:pPr>
        <w:pStyle w:val="FootnoteText"/>
      </w:pPr>
      <w:r>
        <w:rPr>
          <w:rStyle w:val="FootnoteReference"/>
        </w:rPr>
        <w:footnoteRef/>
      </w:r>
      <w:r>
        <w:tab/>
      </w:r>
      <w:r w:rsidRPr="00DE25F7">
        <w:t>Climate Change Response (Emissions Trading Reform) Amendment Act 2020</w:t>
      </w:r>
      <w:r>
        <w:t>.</w:t>
      </w:r>
    </w:p>
  </w:footnote>
  <w:footnote w:id="20">
    <w:p w14:paraId="50879B4A" w14:textId="77777777" w:rsidR="00D42431" w:rsidRDefault="00D42431" w:rsidP="00D42431">
      <w:pPr>
        <w:pStyle w:val="FootnoteText"/>
      </w:pPr>
      <w:r>
        <w:rPr>
          <w:rStyle w:val="FootnoteReference"/>
        </w:rPr>
        <w:footnoteRef/>
      </w:r>
      <w:r>
        <w:t xml:space="preserve"> </w:t>
      </w:r>
      <w:r>
        <w:tab/>
        <w:t>Methane emissions produced from the digestive process in ruminant livestock.</w:t>
      </w:r>
    </w:p>
  </w:footnote>
  <w:footnote w:id="21">
    <w:p w14:paraId="7D5D3ADA" w14:textId="77777777" w:rsidR="00D42431" w:rsidRDefault="00D42431" w:rsidP="00D42431">
      <w:pPr>
        <w:pStyle w:val="FootnoteText"/>
      </w:pPr>
      <w:r>
        <w:rPr>
          <w:rStyle w:val="FootnoteReference"/>
        </w:rPr>
        <w:footnoteRef/>
      </w:r>
      <w:r>
        <w:t xml:space="preserve"> </w:t>
      </w:r>
      <w:r>
        <w:tab/>
        <w:t>‘ODS’ stands for ozone depleting substances.</w:t>
      </w:r>
    </w:p>
  </w:footnote>
  <w:footnote w:id="22">
    <w:p w14:paraId="7CA7AD49" w14:textId="4E24AE97" w:rsidR="00D42431" w:rsidRDefault="00D42431" w:rsidP="00D42431">
      <w:pPr>
        <w:pStyle w:val="FootnoteText"/>
      </w:pPr>
      <w:r>
        <w:rPr>
          <w:rStyle w:val="FootnoteReference"/>
        </w:rPr>
        <w:footnoteRef/>
      </w:r>
      <w:r>
        <w:t xml:space="preserve"> </w:t>
      </w:r>
      <w:r>
        <w:tab/>
        <w:t>Note, a cap is applied to limit the accounting quantity claimed from forest management activities. See</w:t>
      </w:r>
      <w:r w:rsidR="006A1A59">
        <w:t> </w:t>
      </w:r>
      <w:r>
        <w:t>chapter 11 for further information.</w:t>
      </w:r>
    </w:p>
  </w:footnote>
  <w:footnote w:id="23">
    <w:p w14:paraId="47AFBF88" w14:textId="0A89FC46" w:rsidR="00D42431" w:rsidRDefault="00D42431" w:rsidP="00D42431">
      <w:pPr>
        <w:pStyle w:val="FootnoteText"/>
      </w:pPr>
      <w:r>
        <w:rPr>
          <w:rStyle w:val="FootnoteReference"/>
        </w:rPr>
        <w:footnoteRef/>
      </w:r>
      <w:r>
        <w:t xml:space="preserve"> </w:t>
      </w:r>
      <w:r>
        <w:tab/>
        <w:t>New Zealand’s net position in relation to its 2020 target can be accessed from the Ministry for the Environment’s website (</w:t>
      </w:r>
      <w:hyperlink r:id="rId1">
        <w:r w:rsidR="00415899">
          <w:rPr>
            <w:rStyle w:val="Hyperlink"/>
          </w:rPr>
          <w:t>https://environment.govt.nz/what-government-is-doing/areas-of-work/climate-change/emissions-reduction-targets/latest-update-on-new-zealands-2020-net-position</w:t>
        </w:r>
      </w:hyperlink>
      <w:r>
        <w:t>).</w:t>
      </w:r>
    </w:p>
  </w:footnote>
  <w:footnote w:id="24">
    <w:p w14:paraId="3C53A18B" w14:textId="77777777" w:rsidR="00D42431" w:rsidRDefault="00D42431" w:rsidP="00D42431">
      <w:pPr>
        <w:pStyle w:val="FootnoteText"/>
      </w:pPr>
      <w:r>
        <w:rPr>
          <w:rStyle w:val="FootnoteReference"/>
        </w:rPr>
        <w:footnoteRef/>
      </w:r>
      <w:r>
        <w:t xml:space="preserve"> </w:t>
      </w:r>
      <w:r>
        <w:tab/>
        <w:t>New Zealand does not produce or consume nitrogen trifluoride (NF</w:t>
      </w:r>
      <w:r>
        <w:rPr>
          <w:vertAlign w:val="subscript"/>
        </w:rPr>
        <w:t>3</w:t>
      </w:r>
      <w:r>
        <w:t>).</w:t>
      </w:r>
    </w:p>
  </w:footnote>
  <w:footnote w:id="25">
    <w:p w14:paraId="6F6922DE" w14:textId="77777777" w:rsidR="00D42431" w:rsidRDefault="00D42431" w:rsidP="00D42431">
      <w:pPr>
        <w:pStyle w:val="FootnoteText"/>
      </w:pPr>
      <w:r>
        <w:rPr>
          <w:rStyle w:val="FootnoteReference"/>
        </w:rPr>
        <w:footnoteRef/>
      </w:r>
      <w:r>
        <w:t xml:space="preserve"> </w:t>
      </w:r>
      <w:r>
        <w:tab/>
        <w:t xml:space="preserve">For more information, see </w:t>
      </w:r>
      <w:hyperlink r:id="rId2" w:history="1">
        <w:r w:rsidRPr="00F931DF">
          <w:rPr>
            <w:rStyle w:val="Hyperlink"/>
          </w:rPr>
          <w:t>www.mpi.govt.nz/news-and-resources/economic-intelligence-unit/situation-and-outlook-for-primary-industries</w:t>
        </w:r>
      </w:hyperlink>
      <w:r>
        <w:t>.</w:t>
      </w:r>
    </w:p>
  </w:footnote>
  <w:footnote w:id="26">
    <w:p w14:paraId="2F6B8287" w14:textId="77777777" w:rsidR="00D42431" w:rsidRDefault="00D42431" w:rsidP="00D42431">
      <w:pPr>
        <w:pStyle w:val="FootnoteText"/>
      </w:pPr>
      <w:r>
        <w:rPr>
          <w:rStyle w:val="FootnoteReference"/>
        </w:rPr>
        <w:footnoteRef/>
      </w:r>
      <w:r>
        <w:t xml:space="preserve"> </w:t>
      </w:r>
      <w:r>
        <w:tab/>
        <w:t xml:space="preserve">For more information, see </w:t>
      </w:r>
      <w:hyperlink r:id="rId3" w:history="1">
        <w:r w:rsidRPr="00C82EDB">
          <w:rPr>
            <w:rStyle w:val="Hyperlink"/>
          </w:rPr>
          <w:t>www.mpi.govt.nz/news-and-resources/economic-intelligence-unit/situation-and-outlook-for-primary-industries</w:t>
        </w:r>
      </w:hyperlink>
      <w:r>
        <w:t>.</w:t>
      </w:r>
    </w:p>
  </w:footnote>
  <w:footnote w:id="27">
    <w:p w14:paraId="4A7B53D4" w14:textId="77777777" w:rsidR="00D42431" w:rsidRDefault="00D42431" w:rsidP="00D42431">
      <w:pPr>
        <w:pStyle w:val="FootnoteText"/>
      </w:pPr>
      <w:r>
        <w:rPr>
          <w:rStyle w:val="FootnoteReference"/>
        </w:rPr>
        <w:footnoteRef/>
      </w:r>
      <w:r>
        <w:t xml:space="preserve"> </w:t>
      </w:r>
      <w:r>
        <w:tab/>
        <w:t>The New Zealand Emissions Trading Scheme included the Forestry sector as of 1 January 2008.</w:t>
      </w:r>
    </w:p>
  </w:footnote>
  <w:footnote w:id="28">
    <w:p w14:paraId="784BBD3C" w14:textId="77777777" w:rsidR="00D42431" w:rsidRDefault="00D42431" w:rsidP="00D42431">
      <w:pPr>
        <w:pStyle w:val="FootnoteText"/>
      </w:pPr>
      <w:r>
        <w:rPr>
          <w:rStyle w:val="FootnoteReference"/>
        </w:rPr>
        <w:footnoteRef/>
      </w:r>
      <w:r>
        <w:t xml:space="preserve"> </w:t>
      </w:r>
      <w:r>
        <w:tab/>
        <w:t>In climate change literature, negative emissions are often referred to as ‘removals’ because they indicate removing carbon dioxide from the atmosphere as a net result. This report uses the term ‘removal’ or ‘net removal’ where it will make the relevant sections easier to understand.</w:t>
      </w:r>
    </w:p>
  </w:footnote>
  <w:footnote w:id="29">
    <w:p w14:paraId="0CA7A31B" w14:textId="77777777" w:rsidR="00D42431" w:rsidRDefault="00D42431" w:rsidP="00D42431">
      <w:pPr>
        <w:pStyle w:val="FootnoteText"/>
      </w:pPr>
      <w:r>
        <w:rPr>
          <w:rStyle w:val="FootnoteReference"/>
        </w:rPr>
        <w:footnoteRef/>
      </w:r>
      <w:r>
        <w:t xml:space="preserve"> </w:t>
      </w:r>
      <w:r>
        <w:tab/>
      </w:r>
      <w:r>
        <w:rPr>
          <w:i/>
          <w:iCs/>
        </w:rPr>
        <w:t>Deforestation</w:t>
      </w:r>
      <w:r>
        <w:t xml:space="preserve"> estimates for 2017 to 2020 are provisional.</w:t>
      </w:r>
    </w:p>
  </w:footnote>
  <w:footnote w:id="30">
    <w:p w14:paraId="2ED5E291" w14:textId="77777777" w:rsidR="00660978" w:rsidRPr="009E1BC6" w:rsidRDefault="00660978" w:rsidP="00660978">
      <w:pPr>
        <w:pStyle w:val="FootnoteText"/>
      </w:pPr>
      <w:r>
        <w:rPr>
          <w:rStyle w:val="FootnoteReference"/>
        </w:rPr>
        <w:footnoteRef/>
      </w:r>
      <w:r>
        <w:t xml:space="preserve"> </w:t>
      </w:r>
      <w:r>
        <w:tab/>
      </w:r>
      <w:r>
        <w:rPr>
          <w:lang w:eastAsia="en-GB"/>
        </w:rPr>
        <w:t>For urea production, the fraction of carbon stored varies across the time series, depending on the composition of the feedstock gas.</w:t>
      </w:r>
    </w:p>
  </w:footnote>
  <w:footnote w:id="31">
    <w:p w14:paraId="640F1405" w14:textId="77777777" w:rsidR="00660978" w:rsidRDefault="00660978" w:rsidP="00660978">
      <w:pPr>
        <w:pStyle w:val="FootnoteText"/>
      </w:pPr>
      <w:r w:rsidRPr="005B6A26">
        <w:rPr>
          <w:rStyle w:val="FootnoteReference"/>
        </w:rPr>
        <w:footnoteRef/>
      </w:r>
      <w:r>
        <w:t xml:space="preserve"> </w:t>
      </w:r>
      <w:r>
        <w:tab/>
        <w:t xml:space="preserve">Phosphate rock: </w:t>
      </w:r>
      <w:r w:rsidRPr="00713F4E">
        <w:t>rock rich in the mi</w:t>
      </w:r>
      <w:r>
        <w:t>neral fluorapatite, Ca</w:t>
      </w:r>
      <w:r w:rsidRPr="00FD073B">
        <w:rPr>
          <w:vertAlign w:val="subscript"/>
        </w:rPr>
        <w:t>5</w:t>
      </w:r>
      <w:r>
        <w:t>(PO</w:t>
      </w:r>
      <w:r w:rsidRPr="00FD073B">
        <w:rPr>
          <w:vertAlign w:val="subscript"/>
        </w:rPr>
        <w:t>4</w:t>
      </w:r>
      <w:r>
        <w:t>)</w:t>
      </w:r>
      <w:r w:rsidRPr="00FD073B">
        <w:rPr>
          <w:vertAlign w:val="subscript"/>
        </w:rPr>
        <w:t>3</w:t>
      </w:r>
      <w:r>
        <w:t>F.</w:t>
      </w:r>
    </w:p>
  </w:footnote>
  <w:footnote w:id="32">
    <w:p w14:paraId="317FF63C" w14:textId="77777777" w:rsidR="00660978" w:rsidRDefault="00660978" w:rsidP="00660978">
      <w:pPr>
        <w:pStyle w:val="FootnoteText"/>
      </w:pPr>
      <w:r>
        <w:rPr>
          <w:rStyle w:val="FootnoteReference"/>
        </w:rPr>
        <w:footnoteRef/>
      </w:r>
      <w:r>
        <w:t xml:space="preserve"> </w:t>
      </w:r>
      <w:r>
        <w:tab/>
        <w:t xml:space="preserve">As of 2018, </w:t>
      </w:r>
      <w:r w:rsidRPr="00237E11">
        <w:t>New Zealand only manufactures a small number of buses and heavy trucks</w:t>
      </w:r>
      <w:r>
        <w:t>.</w:t>
      </w:r>
    </w:p>
  </w:footnote>
  <w:footnote w:id="33">
    <w:p w14:paraId="52233DB3" w14:textId="77777777" w:rsidR="004543E0" w:rsidRPr="005A386A" w:rsidRDefault="004543E0" w:rsidP="004543E0">
      <w:pPr>
        <w:pStyle w:val="FootnoteText"/>
      </w:pPr>
      <w:r w:rsidRPr="005A386A">
        <w:rPr>
          <w:rStyle w:val="FootnoteReference"/>
        </w:rPr>
        <w:footnoteRef/>
      </w:r>
      <w:r w:rsidRPr="005A386A">
        <w:t xml:space="preserve"> </w:t>
      </w:r>
      <w:r w:rsidRPr="005A386A">
        <w:tab/>
        <w:t xml:space="preserve">Implied emission factors (IEFs) are calculated by dividing the total emissions of a particular animal </w:t>
      </w:r>
      <w:r>
        <w:t>species</w:t>
      </w:r>
      <w:r w:rsidRPr="005A386A">
        <w:t xml:space="preserve"> and sector (e.g., enteric fermentation from sheep) by the number of animals</w:t>
      </w:r>
      <w:r>
        <w:t xml:space="preserve"> in that species and sector</w:t>
      </w:r>
      <w:r w:rsidRPr="005A386A">
        <w:t>.</w:t>
      </w:r>
    </w:p>
  </w:footnote>
  <w:footnote w:id="34">
    <w:p w14:paraId="2D02DCC3" w14:textId="77777777" w:rsidR="004543E0" w:rsidRPr="00D93F91" w:rsidRDefault="004543E0" w:rsidP="004543E0">
      <w:pPr>
        <w:pStyle w:val="FootnoteText"/>
      </w:pPr>
      <w:r>
        <w:rPr>
          <w:rStyle w:val="FootnoteReference"/>
        </w:rPr>
        <w:footnoteRef/>
      </w:r>
      <w:r>
        <w:t xml:space="preserve"> </w:t>
      </w:r>
      <w:r>
        <w:tab/>
        <w:t>This assumption is from</w:t>
      </w:r>
      <w:r w:rsidRPr="00254B3A">
        <w:t xml:space="preserve"> </w:t>
      </w:r>
      <w:r w:rsidRPr="00256982">
        <w:t>Clark et al., 2003</w:t>
      </w:r>
      <w:r>
        <w:t>. In reality, the age at slaughter will vary; however, not enough data are available to estimate using a model. For more information on this assumption, see </w:t>
      </w:r>
      <w:hyperlink r:id="rId4" w:history="1">
        <w:r w:rsidRPr="00875726">
          <w:rPr>
            <w:rStyle w:val="Hyperlink"/>
          </w:rPr>
          <w:t>www.mpi.govt.nz/dmsdocument/32863/direct</w:t>
        </w:r>
      </w:hyperlink>
      <w:r w:rsidRPr="00492E7F">
        <w:t>.</w:t>
      </w:r>
    </w:p>
  </w:footnote>
  <w:footnote w:id="35">
    <w:p w14:paraId="61DBEB6C" w14:textId="77777777" w:rsidR="004543E0" w:rsidRPr="005A386A" w:rsidRDefault="004543E0" w:rsidP="004543E0">
      <w:pPr>
        <w:pStyle w:val="FootnoteText"/>
      </w:pPr>
      <w:r w:rsidRPr="005A386A">
        <w:rPr>
          <w:rStyle w:val="FootnoteReference"/>
        </w:rPr>
        <w:footnoteRef/>
      </w:r>
      <w:r w:rsidRPr="005A386A">
        <w:t xml:space="preserve"> </w:t>
      </w:r>
      <w:r w:rsidRPr="005A386A">
        <w:tab/>
      </w:r>
      <w:r w:rsidRPr="005A386A">
        <w:rPr>
          <w:spacing w:val="-2"/>
        </w:rPr>
        <w:t xml:space="preserve">The number of beef cows slaughtered is assumed to be </w:t>
      </w:r>
      <w:r w:rsidRPr="00D41214">
        <w:rPr>
          <w:spacing w:val="-2"/>
        </w:rPr>
        <w:t>17</w:t>
      </w:r>
      <w:r w:rsidRPr="005A386A">
        <w:rPr>
          <w:spacing w:val="-2"/>
        </w:rPr>
        <w:t xml:space="preserve"> per cent of the total beef cow herd, with other</w:t>
      </w:r>
      <w:r>
        <w:rPr>
          <w:spacing w:val="-2"/>
        </w:rPr>
        <w:t xml:space="preserve"> </w:t>
      </w:r>
      <w:r w:rsidRPr="005A386A">
        <w:rPr>
          <w:spacing w:val="-2"/>
        </w:rPr>
        <w:t>adult cows slaughtered assumed to be dairy cows. The carcass weight of dairy cattle slaughtered was</w:t>
      </w:r>
      <w:r>
        <w:rPr>
          <w:spacing w:val="-2"/>
        </w:rPr>
        <w:t xml:space="preserve"> </w:t>
      </w:r>
      <w:r w:rsidRPr="005A386A">
        <w:rPr>
          <w:spacing w:val="-2"/>
        </w:rPr>
        <w:t xml:space="preserve">estimated using the adult dairy cow liveweights and a killing-out percentage of </w:t>
      </w:r>
      <w:r w:rsidRPr="00D41214">
        <w:rPr>
          <w:spacing w:val="-2"/>
        </w:rPr>
        <w:t>42</w:t>
      </w:r>
      <w:r w:rsidRPr="005A386A">
        <w:rPr>
          <w:spacing w:val="-2"/>
        </w:rPr>
        <w:t xml:space="preserve"> per cent (Thomson et al., 2010). The total weight of dairy cattle slaughtered was calculated (carcass weight × number slaughtered) and then deducted from the national total carcass weight of slaughtered adult cows. This figure was then divided by the number of beef cows slaughtered, to obtain an estimate of the carcass weight of adult beef cows. Liveweights were calculated assuming a killing-out percentage of </w:t>
      </w:r>
      <w:r w:rsidRPr="00D41214">
        <w:rPr>
          <w:spacing w:val="-2"/>
        </w:rPr>
        <w:t>42.6</w:t>
      </w:r>
      <w:r w:rsidRPr="005A386A">
        <w:rPr>
          <w:spacing w:val="-2"/>
        </w:rPr>
        <w:t> per cent (Thomson et al., 2010).</w:t>
      </w:r>
    </w:p>
  </w:footnote>
  <w:footnote w:id="36">
    <w:p w14:paraId="4CE36C1E" w14:textId="77777777" w:rsidR="004543E0" w:rsidRPr="00D93F91" w:rsidRDefault="004543E0" w:rsidP="004543E0">
      <w:pPr>
        <w:pStyle w:val="FootnoteText"/>
      </w:pPr>
      <w:r w:rsidRPr="005A386A">
        <w:rPr>
          <w:rStyle w:val="FootnoteReference"/>
        </w:rPr>
        <w:footnoteRef/>
      </w:r>
      <w:r w:rsidRPr="005A386A">
        <w:t xml:space="preserve"> </w:t>
      </w:r>
      <w:r w:rsidRPr="005A386A">
        <w:tab/>
        <w:t>Percentage of carcass weight in relation to liveweight.</w:t>
      </w:r>
    </w:p>
  </w:footnote>
  <w:footnote w:id="37">
    <w:p w14:paraId="4BB7AB97" w14:textId="77777777" w:rsidR="004543E0" w:rsidRPr="00D539C2" w:rsidRDefault="004543E0" w:rsidP="004543E0">
      <w:pPr>
        <w:pStyle w:val="FootnoteText"/>
      </w:pPr>
      <w:r w:rsidRPr="005A386A">
        <w:rPr>
          <w:rStyle w:val="FootnoteReference"/>
        </w:rPr>
        <w:footnoteRef/>
      </w:r>
      <w:r w:rsidRPr="005A386A">
        <w:t xml:space="preserve"> </w:t>
      </w:r>
      <w:r w:rsidRPr="005A386A">
        <w:tab/>
      </w:r>
      <w:r>
        <w:t xml:space="preserve">The </w:t>
      </w:r>
      <w:r w:rsidRPr="005A386A">
        <w:t xml:space="preserve">BERG report can be found on the Ministry for Primary Industries website: </w:t>
      </w:r>
      <w:hyperlink r:id="rId5" w:history="1">
        <w:r w:rsidRPr="006743B8">
          <w:rPr>
            <w:rStyle w:val="Hyperlink"/>
          </w:rPr>
          <w:t>www.mpi.govt.nz/dmsdocument/32125/direct</w:t>
        </w:r>
      </w:hyperlink>
      <w:r w:rsidRPr="00612E42">
        <w:t>.</w:t>
      </w:r>
    </w:p>
  </w:footnote>
  <w:footnote w:id="38">
    <w:p w14:paraId="603EA0E3" w14:textId="77777777" w:rsidR="004543E0" w:rsidRDefault="004543E0" w:rsidP="004543E0">
      <w:pPr>
        <w:pStyle w:val="FootnoteText"/>
      </w:pPr>
      <w:r>
        <w:rPr>
          <w:rStyle w:val="FootnoteReference"/>
        </w:rPr>
        <w:footnoteRef/>
      </w:r>
      <w:r>
        <w:t xml:space="preserve"> </w:t>
      </w:r>
      <w:r>
        <w:tab/>
        <w:t>Methanet and NzOnet contain experts on methane (</w:t>
      </w:r>
      <w:r w:rsidRPr="00D9348B">
        <w:rPr>
          <w:rFonts w:cs="Calibri"/>
        </w:rPr>
        <w:t>CH</w:t>
      </w:r>
      <w:r w:rsidRPr="00D9348B">
        <w:rPr>
          <w:rFonts w:cs="Calibri"/>
          <w:vertAlign w:val="subscript"/>
        </w:rPr>
        <w:t>4</w:t>
      </w:r>
      <w:r>
        <w:t>) and nitrous oxide (</w:t>
      </w:r>
      <w:r w:rsidRPr="00D9348B">
        <w:rPr>
          <w:rFonts w:cs="Calibri"/>
        </w:rPr>
        <w:t>N</w:t>
      </w:r>
      <w:r w:rsidRPr="00D9348B">
        <w:rPr>
          <w:rFonts w:cs="Calibri"/>
          <w:vertAlign w:val="subscript"/>
        </w:rPr>
        <w:t>2</w:t>
      </w:r>
      <w:r w:rsidRPr="00D9348B">
        <w:rPr>
          <w:rFonts w:cs="Calibri"/>
        </w:rPr>
        <w:t>O</w:t>
      </w:r>
      <w:r>
        <w:t>) respectively. These advisory groups</w:t>
      </w:r>
      <w:r w:rsidRPr="00EB41C3">
        <w:rPr>
          <w:rFonts w:cs="Calibri"/>
        </w:rPr>
        <w:t xml:space="preserve"> </w:t>
      </w:r>
      <w:r w:rsidRPr="00D9348B">
        <w:rPr>
          <w:rFonts w:cs="Calibri"/>
        </w:rPr>
        <w:t>have been running since the early 2000s. The groups were formed to identify the main direction of research needed to improve the CH</w:t>
      </w:r>
      <w:r w:rsidRPr="00D9348B">
        <w:rPr>
          <w:rFonts w:cs="Calibri"/>
          <w:vertAlign w:val="subscript"/>
        </w:rPr>
        <w:t>4</w:t>
      </w:r>
      <w:r w:rsidRPr="00D9348B">
        <w:rPr>
          <w:rFonts w:cs="Calibri"/>
        </w:rPr>
        <w:t xml:space="preserve"> and N</w:t>
      </w:r>
      <w:r w:rsidRPr="00D9348B">
        <w:rPr>
          <w:rFonts w:cs="Calibri"/>
          <w:vertAlign w:val="subscript"/>
        </w:rPr>
        <w:t>2</w:t>
      </w:r>
      <w:r w:rsidRPr="00D9348B">
        <w:rPr>
          <w:rFonts w:cs="Calibri"/>
        </w:rPr>
        <w:t>O inventory accounts and mitigation, develop a collaborative approach to improve the quality of CH</w:t>
      </w:r>
      <w:r w:rsidRPr="00D9348B">
        <w:rPr>
          <w:rFonts w:cs="Calibri"/>
          <w:vertAlign w:val="subscript"/>
        </w:rPr>
        <w:t>4</w:t>
      </w:r>
      <w:r w:rsidRPr="00D9348B">
        <w:rPr>
          <w:rFonts w:cs="Calibri"/>
        </w:rPr>
        <w:t xml:space="preserve"> and N</w:t>
      </w:r>
      <w:r w:rsidRPr="00D9348B">
        <w:rPr>
          <w:rFonts w:cs="Calibri"/>
          <w:vertAlign w:val="subscript"/>
        </w:rPr>
        <w:t>2</w:t>
      </w:r>
      <w:r w:rsidRPr="00D9348B">
        <w:rPr>
          <w:rFonts w:cs="Calibri"/>
        </w:rPr>
        <w:t>O emission data, and build and maintain inventory research capability</w:t>
      </w:r>
      <w:r>
        <w:rPr>
          <w:rFonts w:cs="Calibri"/>
        </w:rPr>
        <w:t>.</w:t>
      </w:r>
    </w:p>
  </w:footnote>
  <w:footnote w:id="39">
    <w:p w14:paraId="5DAF06EB" w14:textId="77777777" w:rsidR="004543E0" w:rsidRDefault="004543E0" w:rsidP="004543E0">
      <w:pPr>
        <w:pStyle w:val="FootnoteText"/>
      </w:pPr>
      <w:r>
        <w:rPr>
          <w:rStyle w:val="FootnoteReference"/>
        </w:rPr>
        <w:footnoteRef/>
      </w:r>
      <w:r>
        <w:t xml:space="preserve"> </w:t>
      </w:r>
      <w:r>
        <w:tab/>
        <w:t>Lifestyle blocks and/or farmlets tend to denote a hobby farm or small holding that is generally run by people who have other full-time employment.</w:t>
      </w:r>
    </w:p>
  </w:footnote>
  <w:footnote w:id="40">
    <w:p w14:paraId="1EA95923" w14:textId="77777777" w:rsidR="004543E0" w:rsidRDefault="004543E0" w:rsidP="004543E0">
      <w:pPr>
        <w:pStyle w:val="FootnoteText"/>
      </w:pPr>
      <w:r>
        <w:rPr>
          <w:rStyle w:val="FootnoteReference"/>
        </w:rPr>
        <w:footnoteRef/>
      </w:r>
      <w:r>
        <w:t xml:space="preserve"> </w:t>
      </w:r>
      <w:r>
        <w:tab/>
        <w:t xml:space="preserve">Businesses in New Zealand must register for Goods and Services Tax (GST) if: (a) taxable activity and turnover was at least NZ$60,000 in the previous 12 months, or (b) taxable activities have been carried out and GST was added to the price of the goods and services sold (Inland Revenue Department, 2021). </w:t>
      </w:r>
    </w:p>
  </w:footnote>
  <w:footnote w:id="41">
    <w:p w14:paraId="61CD5F8A" w14:textId="77777777" w:rsidR="004543E0" w:rsidRPr="005A386A" w:rsidRDefault="004543E0" w:rsidP="004543E0">
      <w:pPr>
        <w:pStyle w:val="FootnoteText"/>
        <w:spacing w:after="40"/>
      </w:pPr>
      <w:r w:rsidRPr="005A386A">
        <w:rPr>
          <w:rStyle w:val="FootnoteReference"/>
        </w:rPr>
        <w:footnoteRef/>
      </w:r>
      <w:r w:rsidRPr="005A386A">
        <w:t xml:space="preserve"> </w:t>
      </w:r>
      <w:r w:rsidRPr="005A386A">
        <w:tab/>
        <w:t>The equation displayed here is a rearranged form of the equation displayed in Swainson et al. (2016): Ln(CH</w:t>
      </w:r>
      <w:r w:rsidRPr="005A386A">
        <w:rPr>
          <w:vertAlign w:val="subscript"/>
        </w:rPr>
        <w:t>4</w:t>
      </w:r>
      <w:r w:rsidRPr="005A386A">
        <w:t xml:space="preserve">) = 0.734 × In(DMI) + 0.05 </w:t>
      </w:r>
      <w:r w:rsidRPr="005A386A">
        <w:rPr>
          <w:szCs w:val="19"/>
        </w:rPr>
        <w:t>×</w:t>
      </w:r>
      <w:r w:rsidRPr="005A386A">
        <w:t xml:space="preserve"> ME + 2.46.</w:t>
      </w:r>
    </w:p>
  </w:footnote>
  <w:footnote w:id="42">
    <w:p w14:paraId="1ED72A72" w14:textId="77777777" w:rsidR="004543E0" w:rsidRPr="005A386A" w:rsidRDefault="004543E0" w:rsidP="004543E0">
      <w:pPr>
        <w:pStyle w:val="FootnoteText"/>
        <w:spacing w:after="40"/>
      </w:pPr>
      <w:r w:rsidRPr="005A386A">
        <w:rPr>
          <w:rStyle w:val="FootnoteReference"/>
        </w:rPr>
        <w:footnoteRef/>
      </w:r>
      <w:r w:rsidRPr="005A386A">
        <w:t xml:space="preserve"> </w:t>
      </w:r>
      <w:r w:rsidRPr="005A386A">
        <w:tab/>
        <w:t>The equation displayed here is a rearranged form of the equation displayed in Swainson et al. (2016): Ln(CH</w:t>
      </w:r>
      <w:r w:rsidRPr="005A386A">
        <w:rPr>
          <w:vertAlign w:val="subscript"/>
        </w:rPr>
        <w:t>4</w:t>
      </w:r>
      <w:r w:rsidRPr="005A386A">
        <w:t>) = 0.765 × In(DMI) + 3.09.</w:t>
      </w:r>
    </w:p>
  </w:footnote>
  <w:footnote w:id="43">
    <w:p w14:paraId="3F840DD0" w14:textId="77777777" w:rsidR="004543E0" w:rsidRPr="005A386A" w:rsidRDefault="004543E0" w:rsidP="004543E0">
      <w:pPr>
        <w:pStyle w:val="FootnoteText"/>
        <w:spacing w:after="40"/>
        <w:rPr>
          <w:szCs w:val="19"/>
        </w:rPr>
      </w:pPr>
      <w:r w:rsidRPr="005A386A">
        <w:rPr>
          <w:rStyle w:val="FootnoteReference"/>
          <w:szCs w:val="19"/>
        </w:rPr>
        <w:footnoteRef/>
      </w:r>
      <w:r w:rsidRPr="005A386A">
        <w:rPr>
          <w:szCs w:val="19"/>
        </w:rPr>
        <w:t xml:space="preserve"> </w:t>
      </w:r>
      <w:r w:rsidRPr="005A386A">
        <w:rPr>
          <w:szCs w:val="19"/>
        </w:rPr>
        <w:tab/>
        <w:t xml:space="preserve">For example, Blaxter and Clapperton (1965); Moe and Tyrrel (1975); Baldwin et al. (1988); Djikstra et al. (1992) and Benchaar et al. (2001) – all cited in Clark et al. (2003). </w:t>
      </w:r>
    </w:p>
  </w:footnote>
  <w:footnote w:id="44">
    <w:p w14:paraId="4812B975" w14:textId="77777777" w:rsidR="004543E0" w:rsidRDefault="004543E0" w:rsidP="004543E0">
      <w:pPr>
        <w:pStyle w:val="FootnoteText"/>
      </w:pPr>
      <w:r>
        <w:rPr>
          <w:rStyle w:val="FootnoteReference"/>
        </w:rPr>
        <w:footnoteRef/>
      </w:r>
      <w:r>
        <w:t xml:space="preserve"> </w:t>
      </w:r>
      <w:r>
        <w:tab/>
        <w:t xml:space="preserve">Value was </w:t>
      </w:r>
      <w:r w:rsidRPr="00BE78CA">
        <w:rPr>
          <w:rFonts w:cs="Calibri"/>
        </w:rPr>
        <w:t xml:space="preserve">used in </w:t>
      </w:r>
      <w:r>
        <w:rPr>
          <w:rFonts w:cs="Calibri"/>
        </w:rPr>
        <w:t>earlier</w:t>
      </w:r>
      <w:r w:rsidRPr="00BE78CA">
        <w:rPr>
          <w:rFonts w:cs="Calibri"/>
        </w:rPr>
        <w:t xml:space="preserve"> versions of the National Inventory Report (</w:t>
      </w:r>
      <w:r w:rsidRPr="001B3A4A">
        <w:rPr>
          <w:rFonts w:cs="Calibri"/>
        </w:rPr>
        <w:t>21.25</w:t>
      </w:r>
      <w:r w:rsidRPr="00BE78CA">
        <w:rPr>
          <w:rFonts w:cs="Calibri"/>
        </w:rPr>
        <w:t xml:space="preserve"> g</w:t>
      </w:r>
      <w:r>
        <w:rPr>
          <w:rFonts w:cs="Calibri"/>
        </w:rPr>
        <w:t>rams methane per kilogram dry-matter intake</w:t>
      </w:r>
      <w:r w:rsidRPr="00BE78CA">
        <w:rPr>
          <w:rFonts w:cs="Calibri"/>
        </w:rPr>
        <w:t>)</w:t>
      </w:r>
      <w:r>
        <w:rPr>
          <w:rFonts w:cs="Calibri"/>
        </w:rPr>
        <w:t>.</w:t>
      </w:r>
    </w:p>
  </w:footnote>
  <w:footnote w:id="45">
    <w:p w14:paraId="11618FA1" w14:textId="77777777" w:rsidR="004543E0" w:rsidRPr="005A386A" w:rsidRDefault="004543E0" w:rsidP="004543E0">
      <w:pPr>
        <w:pStyle w:val="FootnoteText"/>
        <w:rPr>
          <w:szCs w:val="19"/>
        </w:rPr>
      </w:pPr>
      <w:r w:rsidRPr="005A386A">
        <w:rPr>
          <w:rStyle w:val="FootnoteReference"/>
          <w:szCs w:val="19"/>
        </w:rPr>
        <w:footnoteRef/>
      </w:r>
      <w:r w:rsidRPr="005A386A">
        <w:rPr>
          <w:szCs w:val="19"/>
        </w:rPr>
        <w:t xml:space="preserve"> </w:t>
      </w:r>
      <w:r w:rsidRPr="005A386A">
        <w:rPr>
          <w:szCs w:val="19"/>
        </w:rPr>
        <w:tab/>
        <w:t>The IPCC (2006) default emission factor for swine is identical to the IPCC (1996) emission factor.</w:t>
      </w:r>
    </w:p>
  </w:footnote>
  <w:footnote w:id="46">
    <w:p w14:paraId="66CFC9F6" w14:textId="77777777" w:rsidR="004543E0" w:rsidRPr="005A386A" w:rsidRDefault="004543E0" w:rsidP="004543E0">
      <w:pPr>
        <w:pStyle w:val="FootnoteText"/>
      </w:pPr>
      <w:r w:rsidRPr="005A386A">
        <w:rPr>
          <w:rStyle w:val="FootnoteReference"/>
        </w:rPr>
        <w:footnoteRef/>
      </w:r>
      <w:r w:rsidRPr="005A386A">
        <w:t xml:space="preserve"> </w:t>
      </w:r>
      <w:r w:rsidRPr="005A386A">
        <w:tab/>
      </w:r>
      <w:r w:rsidRPr="005A386A">
        <w:rPr>
          <w:rFonts w:cs="Arial"/>
          <w:szCs w:val="16"/>
        </w:rPr>
        <w:t xml:space="preserve">As reported in </w:t>
      </w:r>
      <w:r>
        <w:rPr>
          <w:rFonts w:cs="Arial"/>
          <w:szCs w:val="16"/>
        </w:rPr>
        <w:t xml:space="preserve">volume 1 of </w:t>
      </w:r>
      <w:r w:rsidRPr="005A386A">
        <w:rPr>
          <w:rFonts w:cs="Arial"/>
          <w:szCs w:val="16"/>
        </w:rPr>
        <w:t xml:space="preserve">Australia’s </w:t>
      </w:r>
      <w:r w:rsidRPr="008731BC">
        <w:rPr>
          <w:rFonts w:cs="Arial"/>
          <w:iCs/>
        </w:rPr>
        <w:t xml:space="preserve">National Inventory Report 2019 </w:t>
      </w:r>
      <w:r w:rsidRPr="00A24508">
        <w:rPr>
          <w:rFonts w:cs="Arial"/>
          <w:szCs w:val="16"/>
        </w:rPr>
        <w:t xml:space="preserve">on </w:t>
      </w:r>
      <w:r>
        <w:rPr>
          <w:rFonts w:cs="Arial"/>
          <w:szCs w:val="16"/>
        </w:rPr>
        <w:t>g</w:t>
      </w:r>
      <w:r w:rsidRPr="00A24508">
        <w:rPr>
          <w:rFonts w:cs="Arial"/>
          <w:szCs w:val="16"/>
        </w:rPr>
        <w:t xml:space="preserve">reenhouse </w:t>
      </w:r>
      <w:r>
        <w:rPr>
          <w:rFonts w:cs="Arial"/>
          <w:szCs w:val="16"/>
        </w:rPr>
        <w:t>g</w:t>
      </w:r>
      <w:r w:rsidRPr="00A24508">
        <w:rPr>
          <w:rFonts w:cs="Arial"/>
          <w:szCs w:val="16"/>
        </w:rPr>
        <w:t xml:space="preserve">as </w:t>
      </w:r>
      <w:r>
        <w:rPr>
          <w:rFonts w:cs="Arial"/>
          <w:szCs w:val="16"/>
        </w:rPr>
        <w:t>a</w:t>
      </w:r>
      <w:r w:rsidRPr="00A24508">
        <w:rPr>
          <w:rFonts w:cs="Arial"/>
          <w:szCs w:val="16"/>
        </w:rPr>
        <w:t xml:space="preserve">ccounts </w:t>
      </w:r>
      <w:r w:rsidRPr="00A24508">
        <w:rPr>
          <w:rFonts w:cs="Arial"/>
          <w:spacing w:val="-2"/>
          <w:szCs w:val="16"/>
        </w:rPr>
        <w:t xml:space="preserve">(Commonwealth of Australia, 2021). </w:t>
      </w:r>
      <w:r w:rsidRPr="00A24508">
        <w:rPr>
          <w:spacing w:val="-2"/>
        </w:rPr>
        <w:t>Note</w:t>
      </w:r>
      <w:r w:rsidRPr="005A386A">
        <w:rPr>
          <w:spacing w:val="-2"/>
        </w:rPr>
        <w:t xml:space="preserve"> that the Australian-specific </w:t>
      </w:r>
      <w:r>
        <w:rPr>
          <w:spacing w:val="-2"/>
        </w:rPr>
        <w:t>beef</w:t>
      </w:r>
      <w:r w:rsidRPr="005A386A">
        <w:rPr>
          <w:spacing w:val="-2"/>
        </w:rPr>
        <w:t xml:space="preserve"> cattle IEF value is calculated</w:t>
      </w:r>
      <w:r w:rsidRPr="005A386A">
        <w:t xml:space="preserve"> from a population-based weighted average of pasture and feedlot IEF values from </w:t>
      </w:r>
      <w:r>
        <w:t>beef</w:t>
      </w:r>
      <w:r w:rsidRPr="005A386A">
        <w:t xml:space="preserve"> cattle.</w:t>
      </w:r>
    </w:p>
  </w:footnote>
  <w:footnote w:id="47">
    <w:p w14:paraId="4C83BE3B" w14:textId="77777777" w:rsidR="004543E0" w:rsidRPr="005A386A" w:rsidRDefault="004543E0" w:rsidP="004543E0">
      <w:pPr>
        <w:pStyle w:val="FootnoteText"/>
        <w:rPr>
          <w:i/>
          <w:szCs w:val="19"/>
        </w:rPr>
      </w:pPr>
      <w:r w:rsidRPr="005A386A">
        <w:rPr>
          <w:rStyle w:val="FootnoteReference"/>
          <w:szCs w:val="19"/>
        </w:rPr>
        <w:footnoteRef/>
      </w:r>
      <w:r w:rsidRPr="005A386A">
        <w:rPr>
          <w:szCs w:val="19"/>
        </w:rPr>
        <w:t xml:space="preserve"> </w:t>
      </w:r>
      <w:r w:rsidRPr="005A386A">
        <w:rPr>
          <w:szCs w:val="19"/>
        </w:rPr>
        <w:tab/>
        <w:t xml:space="preserve">Reported under </w:t>
      </w:r>
      <w:r w:rsidRPr="005A386A">
        <w:rPr>
          <w:i/>
          <w:szCs w:val="19"/>
        </w:rPr>
        <w:t>Agricultural soils</w:t>
      </w:r>
      <w:r w:rsidRPr="005A386A">
        <w:rPr>
          <w:szCs w:val="19"/>
        </w:rPr>
        <w:t xml:space="preserve">, under </w:t>
      </w:r>
      <w:r w:rsidRPr="005A386A">
        <w:rPr>
          <w:i/>
          <w:szCs w:val="19"/>
        </w:rPr>
        <w:t>Organic nitrogen fertilisers</w:t>
      </w:r>
      <w:r w:rsidRPr="005A386A">
        <w:rPr>
          <w:szCs w:val="19"/>
        </w:rPr>
        <w:t xml:space="preserve"> (CRF 3.D.1.2).</w:t>
      </w:r>
    </w:p>
  </w:footnote>
  <w:footnote w:id="48">
    <w:p w14:paraId="7525AB6E" w14:textId="77777777" w:rsidR="004543E0" w:rsidRPr="005A386A" w:rsidRDefault="004543E0" w:rsidP="004543E0">
      <w:pPr>
        <w:pStyle w:val="FootnoteText"/>
        <w:rPr>
          <w:szCs w:val="19"/>
        </w:rPr>
      </w:pPr>
      <w:r w:rsidRPr="005A386A">
        <w:rPr>
          <w:rStyle w:val="FootnoteReference"/>
          <w:szCs w:val="19"/>
        </w:rPr>
        <w:footnoteRef/>
      </w:r>
      <w:r w:rsidRPr="005A386A">
        <w:rPr>
          <w:szCs w:val="19"/>
        </w:rPr>
        <w:t xml:space="preserve"> </w:t>
      </w:r>
      <w:r w:rsidRPr="005A386A">
        <w:rPr>
          <w:szCs w:val="19"/>
        </w:rPr>
        <w:tab/>
        <w:t xml:space="preserve">Reported under </w:t>
      </w:r>
      <w:r w:rsidRPr="005A386A">
        <w:rPr>
          <w:i/>
          <w:szCs w:val="19"/>
        </w:rPr>
        <w:t>Agricultural soils</w:t>
      </w:r>
      <w:r w:rsidRPr="005A386A">
        <w:rPr>
          <w:szCs w:val="19"/>
        </w:rPr>
        <w:t xml:space="preserve">, under </w:t>
      </w:r>
      <w:r w:rsidRPr="005A386A">
        <w:rPr>
          <w:i/>
          <w:szCs w:val="19"/>
        </w:rPr>
        <w:t>Urine and dung deposited by grazing animals</w:t>
      </w:r>
      <w:r w:rsidRPr="005A386A">
        <w:rPr>
          <w:szCs w:val="19"/>
        </w:rPr>
        <w:t xml:space="preserve"> (CRF 3.D.1.3).</w:t>
      </w:r>
    </w:p>
  </w:footnote>
  <w:footnote w:id="49">
    <w:p w14:paraId="412E9E89" w14:textId="77777777" w:rsidR="004543E0" w:rsidRPr="005A386A" w:rsidRDefault="004543E0" w:rsidP="004543E0">
      <w:pPr>
        <w:pStyle w:val="FootnoteText"/>
      </w:pPr>
      <w:r w:rsidRPr="005A386A">
        <w:rPr>
          <w:rStyle w:val="FootnoteReference"/>
        </w:rPr>
        <w:footnoteRef/>
      </w:r>
      <w:r w:rsidRPr="005A386A">
        <w:t xml:space="preserve"> </w:t>
      </w:r>
      <w:r w:rsidRPr="005A386A">
        <w:tab/>
        <w:t>Calculated using 201</w:t>
      </w:r>
      <w:r>
        <w:t>8</w:t>
      </w:r>
      <w:r w:rsidRPr="005A386A">
        <w:t xml:space="preserve"> data.</w:t>
      </w:r>
    </w:p>
  </w:footnote>
  <w:footnote w:id="50">
    <w:p w14:paraId="3484C61C" w14:textId="77777777" w:rsidR="004543E0" w:rsidRPr="005A386A" w:rsidRDefault="004543E0" w:rsidP="004543E0">
      <w:pPr>
        <w:pStyle w:val="FootnoteText"/>
        <w:rPr>
          <w:szCs w:val="19"/>
        </w:rPr>
      </w:pPr>
      <w:r w:rsidRPr="005A386A">
        <w:rPr>
          <w:rStyle w:val="FootnoteReference"/>
          <w:color w:val="000000"/>
          <w:szCs w:val="19"/>
        </w:rPr>
        <w:footnoteRef/>
      </w:r>
      <w:r w:rsidRPr="005A386A">
        <w:rPr>
          <w:color w:val="000000"/>
          <w:szCs w:val="19"/>
        </w:rPr>
        <w:t xml:space="preserve"> </w:t>
      </w:r>
      <w:r w:rsidRPr="005A386A">
        <w:rPr>
          <w:color w:val="000000"/>
          <w:szCs w:val="19"/>
        </w:rPr>
        <w:tab/>
      </w:r>
      <w:r w:rsidRPr="005A386A">
        <w:rPr>
          <w:szCs w:val="19"/>
        </w:rPr>
        <w:t>Hill (2012).</w:t>
      </w:r>
    </w:p>
  </w:footnote>
  <w:footnote w:id="51">
    <w:p w14:paraId="64B0FFEE" w14:textId="77777777" w:rsidR="004543E0" w:rsidRPr="005A386A" w:rsidRDefault="004543E0" w:rsidP="004543E0">
      <w:pPr>
        <w:pStyle w:val="FootnoteText"/>
        <w:rPr>
          <w:szCs w:val="19"/>
        </w:rPr>
      </w:pPr>
      <w:r w:rsidRPr="005A386A">
        <w:rPr>
          <w:rStyle w:val="FootnoteReference"/>
          <w:szCs w:val="19"/>
        </w:rPr>
        <w:footnoteRef/>
      </w:r>
      <w:r w:rsidRPr="005A386A">
        <w:rPr>
          <w:szCs w:val="19"/>
        </w:rPr>
        <w:t xml:space="preserve"> </w:t>
      </w:r>
      <w:r w:rsidRPr="005A386A">
        <w:rPr>
          <w:szCs w:val="19"/>
        </w:rPr>
        <w:tab/>
        <w:t>Fick et al. (2011) and pers. comm. (2010).</w:t>
      </w:r>
    </w:p>
  </w:footnote>
  <w:footnote w:id="52">
    <w:p w14:paraId="75572C8B" w14:textId="77777777" w:rsidR="004543E0" w:rsidRPr="005A386A" w:rsidRDefault="004543E0" w:rsidP="004543E0">
      <w:pPr>
        <w:pStyle w:val="FootnoteText"/>
        <w:rPr>
          <w:szCs w:val="19"/>
        </w:rPr>
      </w:pPr>
      <w:r w:rsidRPr="005A386A">
        <w:rPr>
          <w:rStyle w:val="FootnoteReference"/>
          <w:szCs w:val="19"/>
        </w:rPr>
        <w:footnoteRef/>
      </w:r>
      <w:r w:rsidRPr="005A386A">
        <w:rPr>
          <w:szCs w:val="19"/>
        </w:rPr>
        <w:t xml:space="preserve"> </w:t>
      </w:r>
      <w:r w:rsidRPr="005A386A">
        <w:rPr>
          <w:szCs w:val="19"/>
        </w:rPr>
        <w:tab/>
        <w:t>Fick et al. (2011) and pers. comm. (2010).</w:t>
      </w:r>
    </w:p>
  </w:footnote>
  <w:footnote w:id="53">
    <w:p w14:paraId="2C54BD98" w14:textId="77777777" w:rsidR="004543E0" w:rsidRPr="005A386A" w:rsidRDefault="004543E0" w:rsidP="004543E0">
      <w:pPr>
        <w:pStyle w:val="FootnoteText"/>
        <w:rPr>
          <w:szCs w:val="19"/>
        </w:rPr>
      </w:pPr>
      <w:r w:rsidRPr="005A386A">
        <w:rPr>
          <w:rStyle w:val="FootnoteReference"/>
          <w:szCs w:val="19"/>
        </w:rPr>
        <w:footnoteRef/>
      </w:r>
      <w:r w:rsidRPr="005A386A">
        <w:rPr>
          <w:szCs w:val="19"/>
        </w:rPr>
        <w:t xml:space="preserve"> </w:t>
      </w:r>
      <w:r w:rsidRPr="005A386A">
        <w:rPr>
          <w:szCs w:val="19"/>
        </w:rPr>
        <w:tab/>
        <w:t>IPCC (1996) default waste management proportions for Oceania.</w:t>
      </w:r>
    </w:p>
  </w:footnote>
  <w:footnote w:id="54">
    <w:p w14:paraId="49FA35AD" w14:textId="77777777" w:rsidR="004543E0" w:rsidRPr="00C75E28" w:rsidRDefault="004543E0" w:rsidP="004543E0">
      <w:pPr>
        <w:pStyle w:val="FootnoteText"/>
      </w:pPr>
      <w:r>
        <w:rPr>
          <w:rStyle w:val="FootnoteReference"/>
        </w:rPr>
        <w:footnoteRef/>
      </w:r>
      <w:r>
        <w:t xml:space="preserve"> </w:t>
      </w:r>
      <w:r>
        <w:tab/>
      </w:r>
      <w:r>
        <w:rPr>
          <w:i/>
          <w:iCs/>
        </w:rPr>
        <w:t>Other</w:t>
      </w:r>
      <w:r>
        <w:t xml:space="preserve"> poultry generally consists of ostrich and emus, hence the higher </w:t>
      </w:r>
      <w:r w:rsidRPr="00F20E03">
        <w:t>emissions</w:t>
      </w:r>
      <w:r>
        <w:t xml:space="preserve"> per head.</w:t>
      </w:r>
    </w:p>
  </w:footnote>
  <w:footnote w:id="55">
    <w:p w14:paraId="1EEA164D" w14:textId="77777777" w:rsidR="004543E0" w:rsidRPr="00847307" w:rsidRDefault="004543E0" w:rsidP="004543E0">
      <w:pPr>
        <w:pStyle w:val="FootnoteText"/>
        <w:spacing w:after="0"/>
      </w:pPr>
      <w:r>
        <w:rPr>
          <w:rStyle w:val="FootnoteReference"/>
        </w:rPr>
        <w:footnoteRef/>
      </w:r>
      <w:r>
        <w:t xml:space="preserve"> </w:t>
      </w:r>
      <w:r>
        <w:tab/>
      </w:r>
      <w:r w:rsidRPr="00D9348B">
        <w:rPr>
          <w:rFonts w:cs="Calibri"/>
          <w:spacing w:val="-2"/>
        </w:rPr>
        <w:t xml:space="preserve">For full details of how </w:t>
      </w:r>
      <w:r w:rsidRPr="003C238F">
        <w:rPr>
          <w:rFonts w:cs="Calibri"/>
          <w:spacing w:val="-2"/>
        </w:rPr>
        <w:t>nitrogen excretion</w:t>
      </w:r>
      <w:r w:rsidRPr="00D9348B">
        <w:rPr>
          <w:rFonts w:cs="Calibri"/>
          <w:spacing w:val="-2"/>
        </w:rPr>
        <w:t xml:space="preserve"> rat</w:t>
      </w:r>
      <w:r w:rsidRPr="00B8784F">
        <w:rPr>
          <w:rFonts w:cs="Calibri"/>
          <w:spacing w:val="-2"/>
        </w:rPr>
        <w:t>es are derived for each livestock category, see the technical detail provided in the inventory methodology document on the MPI website</w:t>
      </w:r>
      <w:r w:rsidRPr="00B8784F">
        <w:rPr>
          <w:rFonts w:cs="Calibri"/>
        </w:rPr>
        <w:t xml:space="preserve"> (</w:t>
      </w:r>
      <w:hyperlink r:id="rId6" w:history="1">
        <w:r w:rsidRPr="00730ADE">
          <w:rPr>
            <w:rStyle w:val="Hyperlink"/>
          </w:rPr>
          <w:t>www.mpi.govt.nz/ dmsdocument/13906-Detailed-methodologies-for-agricultural-greenhouse-gas-emission-calculation</w:t>
        </w:r>
      </w:hyperlink>
      <w:r w:rsidRPr="00B8784F">
        <w:t>).</w:t>
      </w:r>
    </w:p>
  </w:footnote>
  <w:footnote w:id="56">
    <w:p w14:paraId="15664365" w14:textId="77777777" w:rsidR="004543E0" w:rsidRPr="005A386A" w:rsidRDefault="004543E0" w:rsidP="004543E0">
      <w:pPr>
        <w:pStyle w:val="FootnoteText"/>
        <w:rPr>
          <w:szCs w:val="19"/>
        </w:rPr>
      </w:pPr>
      <w:r w:rsidRPr="005A386A">
        <w:rPr>
          <w:rStyle w:val="FootnoteReference"/>
        </w:rPr>
        <w:footnoteRef/>
      </w:r>
      <w:r w:rsidRPr="005A386A">
        <w:t xml:space="preserve"> </w:t>
      </w:r>
      <w:r w:rsidRPr="005A386A">
        <w:tab/>
        <w:t xml:space="preserve">As reported in Australia’s </w:t>
      </w:r>
      <w:r w:rsidRPr="005A386A">
        <w:rPr>
          <w:i/>
          <w:iCs/>
        </w:rPr>
        <w:t>National Inventory Report 20</w:t>
      </w:r>
      <w:r>
        <w:rPr>
          <w:i/>
          <w:iCs/>
        </w:rPr>
        <w:t>21</w:t>
      </w:r>
      <w:r w:rsidRPr="005A386A">
        <w:t xml:space="preserve">. Retrieved </w:t>
      </w:r>
      <w:r w:rsidRPr="0049145B">
        <w:t xml:space="preserve">from </w:t>
      </w:r>
      <w:r w:rsidRPr="00F9466D">
        <w:t>https://unfccc.int/documents/273475</w:t>
      </w:r>
      <w:r>
        <w:t xml:space="preserve"> </w:t>
      </w:r>
      <w:r w:rsidRPr="00CD62EB">
        <w:t>(</w:t>
      </w:r>
      <w:r>
        <w:t>14</w:t>
      </w:r>
      <w:r w:rsidRPr="00CD62EB">
        <w:t xml:space="preserve"> December 20</w:t>
      </w:r>
      <w:r>
        <w:t>21</w:t>
      </w:r>
      <w:r w:rsidRPr="00CD62EB">
        <w:t xml:space="preserve">). Note that the Australian-specific </w:t>
      </w:r>
      <w:r>
        <w:t xml:space="preserve">beef </w:t>
      </w:r>
      <w:r w:rsidRPr="005A386A">
        <w:t xml:space="preserve">cattle IEF value is calculated from a population-based weighted average of pasture and feedlot IEF values from </w:t>
      </w:r>
      <w:r>
        <w:t>beef</w:t>
      </w:r>
      <w:r w:rsidRPr="005A386A">
        <w:t xml:space="preserve"> cattle.</w:t>
      </w:r>
    </w:p>
  </w:footnote>
  <w:footnote w:id="57">
    <w:p w14:paraId="0F342EBE" w14:textId="77777777" w:rsidR="004543E0" w:rsidRPr="0040348A" w:rsidRDefault="004543E0" w:rsidP="004543E0">
      <w:pPr>
        <w:pStyle w:val="FootnoteText"/>
        <w:spacing w:after="0"/>
      </w:pPr>
      <w:r>
        <w:rPr>
          <w:rStyle w:val="FootnoteReference"/>
        </w:rPr>
        <w:footnoteRef/>
      </w:r>
      <w:r>
        <w:t xml:space="preserve"> </w:t>
      </w:r>
      <w:r>
        <w:tab/>
        <w:t>Flatland is classified as flat pastoral land or plains with a gradient lower than 12 degrees.</w:t>
      </w:r>
    </w:p>
  </w:footnote>
  <w:footnote w:id="58">
    <w:p w14:paraId="5FF1F993" w14:textId="77777777" w:rsidR="004543E0" w:rsidRPr="0040348A" w:rsidRDefault="004543E0" w:rsidP="004543E0">
      <w:pPr>
        <w:pStyle w:val="FootnoteText"/>
        <w:spacing w:after="40"/>
      </w:pPr>
      <w:r>
        <w:rPr>
          <w:rStyle w:val="FootnoteReference"/>
        </w:rPr>
        <w:footnoteRef/>
      </w:r>
      <w:r>
        <w:t xml:space="preserve"> </w:t>
      </w:r>
      <w:r>
        <w:tab/>
        <w:t>Low slopes are classified as hill country pastoral land with a gradient lower than 12 degrees.</w:t>
      </w:r>
    </w:p>
  </w:footnote>
  <w:footnote w:id="59">
    <w:p w14:paraId="61007256" w14:textId="77777777" w:rsidR="004543E0" w:rsidRPr="0040348A" w:rsidRDefault="004543E0" w:rsidP="004543E0">
      <w:pPr>
        <w:pStyle w:val="FootnoteText"/>
        <w:spacing w:after="40"/>
      </w:pPr>
      <w:r>
        <w:rPr>
          <w:rStyle w:val="FootnoteReference"/>
        </w:rPr>
        <w:footnoteRef/>
      </w:r>
      <w:r>
        <w:t xml:space="preserve"> </w:t>
      </w:r>
      <w:r>
        <w:tab/>
        <w:t>Medium slopes are classified as hill country pastoral land with a gradient between 12 degrees</w:t>
      </w:r>
      <w:r>
        <w:rPr>
          <w:vertAlign w:val="superscript"/>
        </w:rPr>
        <w:t xml:space="preserve"> </w:t>
      </w:r>
      <w:r>
        <w:t>and 24 degrees.</w:t>
      </w:r>
    </w:p>
  </w:footnote>
  <w:footnote w:id="60">
    <w:p w14:paraId="692F49B2" w14:textId="77777777" w:rsidR="004543E0" w:rsidRPr="0040348A" w:rsidRDefault="004543E0" w:rsidP="004543E0">
      <w:pPr>
        <w:pStyle w:val="FootnoteText"/>
        <w:spacing w:after="40"/>
      </w:pPr>
      <w:r>
        <w:rPr>
          <w:rStyle w:val="FootnoteReference"/>
        </w:rPr>
        <w:footnoteRef/>
      </w:r>
      <w:r>
        <w:t xml:space="preserve"> </w:t>
      </w:r>
      <w:r>
        <w:tab/>
        <w:t>Steep slopes are classified as hill country pastoral land with a gradient greater than 24</w:t>
      </w:r>
      <w:r>
        <w:rPr>
          <w:vertAlign w:val="superscript"/>
        </w:rPr>
        <w:t xml:space="preserve"> </w:t>
      </w:r>
      <w:r>
        <w:t>degrees.</w:t>
      </w:r>
    </w:p>
  </w:footnote>
  <w:footnote w:id="61">
    <w:p w14:paraId="562B268D" w14:textId="77777777" w:rsidR="004543E0" w:rsidRPr="005A386A" w:rsidRDefault="004543E0" w:rsidP="004543E0">
      <w:pPr>
        <w:pStyle w:val="FootnoteText"/>
        <w:spacing w:after="40"/>
      </w:pPr>
      <w:r w:rsidRPr="005A386A">
        <w:rPr>
          <w:rStyle w:val="FootnoteReference"/>
        </w:rPr>
        <w:footnoteRef/>
      </w:r>
      <w:r w:rsidRPr="005A386A">
        <w:t xml:space="preserve"> </w:t>
      </w:r>
      <w:r w:rsidRPr="005A386A">
        <w:tab/>
        <w:t>Activity data on urease inhibitor usage before 2016 w</w:t>
      </w:r>
      <w:r>
        <w:t>ere</w:t>
      </w:r>
      <w:r w:rsidRPr="005A386A">
        <w:t xml:space="preserve"> provided by Ballance Agri-Nutrients Limited. </w:t>
      </w:r>
    </w:p>
  </w:footnote>
  <w:footnote w:id="62">
    <w:p w14:paraId="5072D6D9" w14:textId="77777777" w:rsidR="004543E0" w:rsidRPr="005A386A" w:rsidRDefault="004543E0" w:rsidP="004543E0">
      <w:pPr>
        <w:pStyle w:val="FootnoteText"/>
      </w:pPr>
      <w:r w:rsidRPr="005A386A">
        <w:rPr>
          <w:rStyle w:val="FootnoteReference"/>
        </w:rPr>
        <w:footnoteRef/>
      </w:r>
      <w:r w:rsidRPr="005A386A">
        <w:t xml:space="preserve"> </w:t>
      </w:r>
      <w:r w:rsidRPr="005A386A">
        <w:tab/>
        <w:t xml:space="preserve">A New Zealand parameter for </w:t>
      </w:r>
      <w:r w:rsidRPr="003579A3">
        <w:t>Frac</w:t>
      </w:r>
      <w:r w:rsidRPr="003579A3">
        <w:rPr>
          <w:vertAlign w:val="subscript"/>
        </w:rPr>
        <w:t>LEACH</w:t>
      </w:r>
      <w:r w:rsidRPr="003579A3">
        <w:t xml:space="preserve"> of 0.15</w:t>
      </w:r>
      <w:r w:rsidRPr="005A386A">
        <w:t xml:space="preserve"> was used in inventories submitted before 2003.</w:t>
      </w:r>
    </w:p>
  </w:footnote>
  <w:footnote w:id="63">
    <w:p w14:paraId="0460F70C" w14:textId="77777777" w:rsidR="00784FA9" w:rsidRPr="006D46F1" w:rsidRDefault="00784FA9" w:rsidP="00784FA9">
      <w:pPr>
        <w:pStyle w:val="FootnoteText"/>
        <w:rPr>
          <w:rFonts w:cs="Calibri"/>
        </w:rPr>
      </w:pPr>
      <w:r w:rsidRPr="009C1148">
        <w:rPr>
          <w:rStyle w:val="FootnoteReference"/>
        </w:rPr>
        <w:footnoteRef/>
      </w:r>
      <w:r w:rsidRPr="006D46F1">
        <w:rPr>
          <w:rFonts w:cs="Calibri"/>
        </w:rPr>
        <w:tab/>
        <w:t>An exception occurred in the creation of the Clyde Dam. The Clutha River in the South Island was dammed, creating Lake Dunstan. The area flooded was mostly low producing grassland.</w:t>
      </w:r>
    </w:p>
  </w:footnote>
  <w:footnote w:id="64">
    <w:p w14:paraId="16F24494" w14:textId="77777777" w:rsidR="00784FA9" w:rsidRDefault="00784FA9" w:rsidP="00784FA9">
      <w:pPr>
        <w:pStyle w:val="FootnoteText"/>
      </w:pPr>
      <w:r>
        <w:rPr>
          <w:rStyle w:val="FootnoteReference"/>
        </w:rPr>
        <w:footnoteRef/>
      </w:r>
      <w:r>
        <w:t xml:space="preserve"> </w:t>
      </w:r>
      <w:r>
        <w:tab/>
        <w:t xml:space="preserve">New Zealand has elected not to apply the 2013 </w:t>
      </w:r>
      <w:r w:rsidRPr="00EC2F52">
        <w:rPr>
          <w:i/>
        </w:rPr>
        <w:t>Wetlands</w:t>
      </w:r>
      <w:r>
        <w:t xml:space="preserve"> supplement. This decision will be revised at a later date.</w:t>
      </w:r>
    </w:p>
  </w:footnote>
  <w:footnote w:id="65">
    <w:p w14:paraId="37B71CA2" w14:textId="77777777" w:rsidR="00A76ADB" w:rsidRDefault="00A76ADB" w:rsidP="00A76ADB">
      <w:pPr>
        <w:pStyle w:val="FootnoteText"/>
      </w:pPr>
      <w:r>
        <w:rPr>
          <w:rStyle w:val="FootnoteReference"/>
        </w:rPr>
        <w:footnoteRef/>
      </w:r>
      <w:r>
        <w:t xml:space="preserve"> </w:t>
      </w:r>
      <w:r>
        <w:tab/>
        <w:t>This chapter uses classifications according to the United Nations Framework Convention on Climate Change (UNFCCC) and Intergovernmental Panel on Climate Change (IPCC) reporting guidelines. The sites categorised as ‘unmanaged’ may actually be managed by requirements such as council consent conditions; however, they do not meet the definition of a managed landfill under the greenhouse gas inventory (IPCC, 2006a).</w:t>
      </w:r>
    </w:p>
  </w:footnote>
  <w:footnote w:id="66">
    <w:p w14:paraId="7A97BE8C" w14:textId="77777777" w:rsidR="00D71B94" w:rsidRPr="005A386A" w:rsidRDefault="00D71B94" w:rsidP="00D71B94">
      <w:pPr>
        <w:pStyle w:val="FootnoteText"/>
        <w:spacing w:after="0"/>
      </w:pPr>
      <w:r w:rsidRPr="005A386A">
        <w:rPr>
          <w:rStyle w:val="FootnoteReference"/>
        </w:rPr>
        <w:footnoteRef/>
      </w:r>
      <w:r w:rsidRPr="005A386A">
        <w:t xml:space="preserve"> </w:t>
      </w:r>
      <w:r w:rsidRPr="005A386A">
        <w:tab/>
      </w:r>
      <w:r w:rsidRPr="005A386A">
        <w:rPr>
          <w:shd w:val="clear" w:color="auto" w:fill="FFFFFF"/>
        </w:rPr>
        <w:t>In the United Nations Charter (U</w:t>
      </w:r>
      <w:r>
        <w:rPr>
          <w:shd w:val="clear" w:color="auto" w:fill="FFFFFF"/>
        </w:rPr>
        <w:t xml:space="preserve">nited </w:t>
      </w:r>
      <w:r w:rsidRPr="005A386A">
        <w:rPr>
          <w:shd w:val="clear" w:color="auto" w:fill="FFFFFF"/>
        </w:rPr>
        <w:t>N</w:t>
      </w:r>
      <w:r>
        <w:rPr>
          <w:shd w:val="clear" w:color="auto" w:fill="FFFFFF"/>
        </w:rPr>
        <w:t>ations</w:t>
      </w:r>
      <w:r w:rsidRPr="005A386A">
        <w:rPr>
          <w:shd w:val="clear" w:color="auto" w:fill="FFFFFF"/>
        </w:rPr>
        <w:t>, 1945), a non-self-governing territory is defined as a territory “whose people have not yet attained a full measure of self-government”. Tokelau has been on</w:t>
      </w:r>
      <w:r>
        <w:rPr>
          <w:shd w:val="clear" w:color="auto" w:fill="FFFFFF"/>
        </w:rPr>
        <w:t> </w:t>
      </w:r>
      <w:r w:rsidRPr="005A386A">
        <w:rPr>
          <w:shd w:val="clear" w:color="auto" w:fill="FFFFFF"/>
        </w:rPr>
        <w:t xml:space="preserve">the United Nations list of non-self-governing territories since 1946, following the declaration of the intention by New Zealand to </w:t>
      </w:r>
      <w:r w:rsidRPr="0010616B">
        <w:rPr>
          <w:shd w:val="clear" w:color="auto" w:fill="FFFFFF"/>
        </w:rPr>
        <w:t>transmit information on the Tokelau Islands under Article 73e of the United</w:t>
      </w:r>
      <w:r>
        <w:rPr>
          <w:shd w:val="clear" w:color="auto" w:fill="FFFFFF"/>
        </w:rPr>
        <w:t> </w:t>
      </w:r>
      <w:r w:rsidRPr="0010616B">
        <w:rPr>
          <w:shd w:val="clear" w:color="auto" w:fill="FFFFFF"/>
        </w:rPr>
        <w:t>Nations Charter</w:t>
      </w:r>
      <w:r w:rsidRPr="005A386A">
        <w:rPr>
          <w:shd w:val="clear" w:color="auto" w:fill="FFFFFF"/>
        </w:rPr>
        <w:t>.</w:t>
      </w:r>
    </w:p>
  </w:footnote>
  <w:footnote w:id="67">
    <w:p w14:paraId="2A75EE8E" w14:textId="77777777" w:rsidR="00D71B94" w:rsidRDefault="00D71B94" w:rsidP="00D71B94">
      <w:pPr>
        <w:pStyle w:val="FootnoteText"/>
      </w:pPr>
      <w:r>
        <w:rPr>
          <w:rStyle w:val="FootnoteReference"/>
        </w:rPr>
        <w:footnoteRef/>
      </w:r>
      <w:r>
        <w:t xml:space="preserve"> </w:t>
      </w:r>
      <w:r>
        <w:tab/>
      </w:r>
      <w:r w:rsidRPr="00E12BE0">
        <w:rPr>
          <w:rFonts w:cs="Calibri"/>
          <w:color w:val="202124"/>
          <w:shd w:val="clear" w:color="auto" w:fill="FFFFFF"/>
        </w:rPr>
        <w:t>A ‘de jure’ census tallies people according to their regular or legal residence.</w:t>
      </w:r>
    </w:p>
  </w:footnote>
  <w:footnote w:id="68">
    <w:p w14:paraId="094D946E" w14:textId="77777777" w:rsidR="00D71B94" w:rsidRPr="005A386A" w:rsidRDefault="00D71B94" w:rsidP="00D71B94">
      <w:pPr>
        <w:pStyle w:val="FootnoteText"/>
      </w:pPr>
      <w:r w:rsidRPr="005A386A">
        <w:rPr>
          <w:rStyle w:val="FootnoteReference"/>
        </w:rPr>
        <w:footnoteRef/>
      </w:r>
      <w:r w:rsidRPr="005A386A">
        <w:t xml:space="preserve"> </w:t>
      </w:r>
      <w:r w:rsidRPr="005A386A">
        <w:tab/>
        <w:t xml:space="preserve">See </w:t>
      </w:r>
      <w:r w:rsidRPr="00005EB6">
        <w:t>page 46 on</w:t>
      </w:r>
      <w:r w:rsidRPr="00005EB6">
        <w:rPr>
          <w:rStyle w:val="Hyperlink"/>
        </w:rPr>
        <w:t xml:space="preserve"> </w:t>
      </w:r>
      <w:hyperlink r:id="rId7" w:history="1">
        <w:r w:rsidRPr="00CF2812">
          <w:rPr>
            <w:rStyle w:val="Hyperlink"/>
          </w:rPr>
          <w:t>www.mfat.govt.nz/assets/Aid-Prog-docs/Evaluations/2015/Dec-2015/MFAT-Tokelau-Country-Programme-Eval-Final-v5-09122015.pdf</w:t>
        </w:r>
      </w:hyperlink>
      <w:r>
        <w:rPr>
          <w:rStyle w:val="Hyperlink"/>
        </w:rPr>
        <w:t>.</w:t>
      </w:r>
      <w:r>
        <w:t xml:space="preserve"> </w:t>
      </w:r>
    </w:p>
  </w:footnote>
  <w:footnote w:id="69">
    <w:p w14:paraId="00440772" w14:textId="77777777" w:rsidR="00D71B94" w:rsidRPr="005A386A" w:rsidRDefault="00D71B94" w:rsidP="00D71B94">
      <w:pPr>
        <w:pStyle w:val="FootnoteText"/>
        <w:spacing w:after="0"/>
        <w:rPr>
          <w:szCs w:val="19"/>
        </w:rPr>
      </w:pPr>
      <w:r w:rsidRPr="005A386A">
        <w:rPr>
          <w:rStyle w:val="FootnoteReference"/>
          <w:szCs w:val="19"/>
        </w:rPr>
        <w:footnoteRef/>
      </w:r>
      <w:r w:rsidRPr="005A386A">
        <w:rPr>
          <w:szCs w:val="19"/>
        </w:rPr>
        <w:t xml:space="preserve"> </w:t>
      </w:r>
      <w:r w:rsidRPr="005A386A">
        <w:rPr>
          <w:szCs w:val="19"/>
        </w:rPr>
        <w:tab/>
        <w:t>A keyhole garden is a small (</w:t>
      </w:r>
      <w:r>
        <w:rPr>
          <w:szCs w:val="19"/>
        </w:rPr>
        <w:t xml:space="preserve">around </w:t>
      </w:r>
      <w:r w:rsidRPr="005A386A">
        <w:rPr>
          <w:szCs w:val="19"/>
        </w:rPr>
        <w:t xml:space="preserve">2.5 metre diameter) circular raised garden with a keyhole-shaped indentation on one side. </w:t>
      </w:r>
      <w:r>
        <w:rPr>
          <w:szCs w:val="19"/>
        </w:rPr>
        <w:t>M</w:t>
      </w:r>
      <w:r w:rsidRPr="005A386A">
        <w:rPr>
          <w:szCs w:val="19"/>
        </w:rPr>
        <w:t xml:space="preserve">oisture and nutrients </w:t>
      </w:r>
      <w:r>
        <w:rPr>
          <w:szCs w:val="19"/>
        </w:rPr>
        <w:t>flow from</w:t>
      </w:r>
      <w:r w:rsidRPr="005A386A">
        <w:rPr>
          <w:szCs w:val="19"/>
        </w:rPr>
        <w:t xml:space="preserve"> an active compost pile placed in the centre of a round </w:t>
      </w:r>
      <w:r>
        <w:rPr>
          <w:szCs w:val="19"/>
        </w:rPr>
        <w:t xml:space="preserve">plant </w:t>
      </w:r>
      <w:r w:rsidRPr="005A386A">
        <w:rPr>
          <w:szCs w:val="19"/>
        </w:rPr>
        <w:t xml:space="preserve">bed. </w:t>
      </w:r>
    </w:p>
  </w:footnote>
  <w:footnote w:id="70">
    <w:p w14:paraId="4CDE5ED4" w14:textId="77777777" w:rsidR="00D71B94" w:rsidRPr="00D47E3B" w:rsidRDefault="00D71B94" w:rsidP="00D71B94">
      <w:pPr>
        <w:pStyle w:val="FootnoteText"/>
        <w:spacing w:after="0"/>
      </w:pPr>
      <w:r w:rsidRPr="005A386A">
        <w:rPr>
          <w:rStyle w:val="FootnoteReference"/>
          <w:szCs w:val="19"/>
        </w:rPr>
        <w:footnoteRef/>
      </w:r>
      <w:r w:rsidRPr="005A386A">
        <w:t xml:space="preserve"> </w:t>
      </w:r>
      <w:r w:rsidRPr="005A386A">
        <w:tab/>
        <w:t xml:space="preserve">See </w:t>
      </w:r>
      <w:r w:rsidRPr="00D027B4">
        <w:t>Government</w:t>
      </w:r>
      <w:r w:rsidRPr="005A386A">
        <w:t xml:space="preserve"> of Tokelau. 2017. </w:t>
      </w:r>
      <w:r w:rsidRPr="005A386A">
        <w:rPr>
          <w:i/>
        </w:rPr>
        <w:t>Solid Waste Management: MOU Signed between Tokelau EDNRE and</w:t>
      </w:r>
      <w:r>
        <w:rPr>
          <w:i/>
        </w:rPr>
        <w:t> </w:t>
      </w:r>
      <w:r w:rsidRPr="005A386A">
        <w:rPr>
          <w:i/>
        </w:rPr>
        <w:t>Pacific Recycle Co. Ltd</w:t>
      </w:r>
      <w:r w:rsidRPr="005A386A">
        <w:t xml:space="preserve">. Retrieved from </w:t>
      </w:r>
      <w:hyperlink r:id="rId8" w:history="1">
        <w:r w:rsidRPr="00E76A20">
          <w:rPr>
            <w:rStyle w:val="Hyperlink"/>
          </w:rPr>
          <w:t>www.tokelau.org.nz/Bulletin/December+ 2017/Solid+Waste+ Management+MOU+Signed+between+Tokelau+EDNRE+and+Pacific++Recycle+Co.+Ltd.html</w:t>
        </w:r>
      </w:hyperlink>
      <w:r w:rsidRPr="00902485">
        <w:rPr>
          <w:rStyle w:val="Hyperlink"/>
          <w:szCs w:val="19"/>
        </w:rPr>
        <w:t xml:space="preserve"> </w:t>
      </w:r>
      <w:r w:rsidRPr="00902485">
        <w:rPr>
          <w:rStyle w:val="Hyperlink"/>
          <w:szCs w:val="19"/>
        </w:rPr>
        <w:br/>
      </w:r>
      <w:r w:rsidRPr="00D47E3B">
        <w:rPr>
          <w:rStyle w:val="Hyperlink"/>
          <w:color w:val="auto"/>
          <w:szCs w:val="19"/>
        </w:rPr>
        <w:t>(9 March 2018).</w:t>
      </w:r>
    </w:p>
  </w:footnote>
  <w:footnote w:id="71">
    <w:p w14:paraId="248B9C99" w14:textId="77777777" w:rsidR="00366397" w:rsidRDefault="00366397" w:rsidP="00E44B9D">
      <w:pPr>
        <w:pStyle w:val="FootnoteText"/>
      </w:pPr>
      <w:r>
        <w:rPr>
          <w:rStyle w:val="FootnoteReference"/>
        </w:rPr>
        <w:footnoteRef/>
      </w:r>
      <w:r>
        <w:t xml:space="preserve">  </w:t>
      </w:r>
      <w:r>
        <w:tab/>
        <w:t xml:space="preserve">A New </w:t>
      </w:r>
      <w:r w:rsidRPr="00E44B9D">
        <w:t>Zealand</w:t>
      </w:r>
      <w:r>
        <w:t xml:space="preserve"> </w:t>
      </w:r>
      <w:r w:rsidRPr="00E751E2">
        <w:t>parameter</w:t>
      </w:r>
      <w:r>
        <w:t xml:space="preserve"> for </w:t>
      </w:r>
      <w:r w:rsidRPr="006D2508">
        <w:rPr>
          <w:szCs w:val="19"/>
        </w:rPr>
        <w:t>Frac</w:t>
      </w:r>
      <w:r w:rsidRPr="006D2508">
        <w:rPr>
          <w:szCs w:val="19"/>
          <w:vertAlign w:val="subscript"/>
        </w:rPr>
        <w:t>LEACH</w:t>
      </w:r>
      <w:r w:rsidRPr="006D2508">
        <w:rPr>
          <w:szCs w:val="19"/>
        </w:rPr>
        <w:t xml:space="preserve"> </w:t>
      </w:r>
      <w:r>
        <w:t>of 0.15 was used in inventories submitted before 2003.</w:t>
      </w:r>
    </w:p>
  </w:footnote>
  <w:footnote w:id="72">
    <w:p w14:paraId="3F280163" w14:textId="77777777" w:rsidR="00616641" w:rsidRPr="005A386A" w:rsidRDefault="00616641" w:rsidP="00616641">
      <w:pPr>
        <w:pStyle w:val="FootnoteText"/>
        <w:spacing w:after="0"/>
      </w:pPr>
      <w:r w:rsidRPr="005A386A">
        <w:rPr>
          <w:rStyle w:val="FootnoteReference"/>
        </w:rPr>
        <w:footnoteRef/>
      </w:r>
      <w:r w:rsidRPr="005A386A">
        <w:tab/>
        <w:t>Including emissions from harvesting of post-1989 forest.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A9D12" w14:textId="26D3A6F5" w:rsidR="005660CD" w:rsidRDefault="005660CD" w:rsidP="00B44BA5">
    <w:pPr>
      <w:pStyle w:val="Header"/>
      <w:ind w:left="-567"/>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23577" w14:textId="77777777" w:rsidR="005660CD" w:rsidRDefault="005660C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C36BE" w14:textId="77777777" w:rsidR="005660CD" w:rsidRDefault="005660C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998B5" w14:textId="77777777" w:rsidR="005660CD" w:rsidRDefault="005660C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69737" w14:textId="77777777" w:rsidR="005660CD" w:rsidRDefault="005660C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A331D" w14:textId="77777777" w:rsidR="005660CD" w:rsidRDefault="005660C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3BE2F" w14:textId="77777777" w:rsidR="005660CD" w:rsidRDefault="005660C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E71AC" w14:textId="77777777" w:rsidR="005660CD" w:rsidRDefault="005660C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DA186" w14:textId="77777777" w:rsidR="009D6B0C" w:rsidRDefault="004B48C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7C048" w14:textId="77777777" w:rsidR="009D6B0C" w:rsidRDefault="004B48C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7A872" w14:textId="77777777" w:rsidR="009D6B0C" w:rsidRDefault="004B48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A454B4C"/>
    <w:multiLevelType w:val="multilevel"/>
    <w:tmpl w:val="65D4F058"/>
    <w:lvl w:ilvl="0">
      <w:numFmt w:val="bullet"/>
      <w:pStyle w:val="Keypoints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FFFFFF7C"/>
    <w:multiLevelType w:val="singleLevel"/>
    <w:tmpl w:val="CE786C8A"/>
    <w:lvl w:ilvl="0">
      <w:start w:val="1"/>
      <w:numFmt w:val="decimal"/>
      <w:pStyle w:val="ListNumber5"/>
      <w:lvlText w:val="%1."/>
      <w:lvlJc w:val="left"/>
      <w:pPr>
        <w:tabs>
          <w:tab w:val="num" w:pos="1492"/>
        </w:tabs>
        <w:ind w:left="1492" w:hanging="360"/>
      </w:pPr>
    </w:lvl>
  </w:abstractNum>
  <w:abstractNum w:abstractNumId="2" w15:restartNumberingAfterBreak="0">
    <w:nsid w:val="FFFFFF7D"/>
    <w:multiLevelType w:val="singleLevel"/>
    <w:tmpl w:val="1D6AC9AC"/>
    <w:lvl w:ilvl="0">
      <w:start w:val="1"/>
      <w:numFmt w:val="decimal"/>
      <w:pStyle w:val="ListNumber4"/>
      <w:lvlText w:val="%1."/>
      <w:lvlJc w:val="left"/>
      <w:pPr>
        <w:tabs>
          <w:tab w:val="num" w:pos="1209"/>
        </w:tabs>
        <w:ind w:left="1209" w:hanging="360"/>
      </w:pPr>
    </w:lvl>
  </w:abstractNum>
  <w:abstractNum w:abstractNumId="3" w15:restartNumberingAfterBreak="0">
    <w:nsid w:val="FFFFFF80"/>
    <w:multiLevelType w:val="singleLevel"/>
    <w:tmpl w:val="548CEFF2"/>
    <w:lvl w:ilvl="0">
      <w:start w:val="1"/>
      <w:numFmt w:val="bullet"/>
      <w:pStyle w:val="ListBullet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E3000008"/>
    <w:lvl w:ilvl="0">
      <w:start w:val="1"/>
      <w:numFmt w:val="bullet"/>
      <w:pStyle w:val="ListBullet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132E234E"/>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3F6446A0"/>
    <w:lvl w:ilvl="0">
      <w:start w:val="1"/>
      <w:numFmt w:val="bullet"/>
      <w:pStyle w:val="ListBullet2"/>
      <w:lvlText w:val=""/>
      <w:lvlJc w:val="left"/>
      <w:pPr>
        <w:tabs>
          <w:tab w:val="num" w:pos="643"/>
        </w:tabs>
        <w:ind w:left="643" w:hanging="360"/>
      </w:pPr>
      <w:rPr>
        <w:rFonts w:ascii="Symbol" w:hAnsi="Symbol" w:hint="default"/>
      </w:rPr>
    </w:lvl>
  </w:abstractNum>
  <w:abstractNum w:abstractNumId="7" w15:restartNumberingAfterBreak="0">
    <w:nsid w:val="FFFFFF89"/>
    <w:multiLevelType w:val="singleLevel"/>
    <w:tmpl w:val="FD86B90A"/>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B25EF1"/>
    <w:multiLevelType w:val="hybridMultilevel"/>
    <w:tmpl w:val="D396E14C"/>
    <w:lvl w:ilvl="0" w:tplc="AC76D722">
      <w:start w:val="1"/>
      <w:numFmt w:val="bullet"/>
      <w:lvlText w:val=""/>
      <w:lvlJc w:val="left"/>
      <w:pPr>
        <w:ind w:left="360" w:hanging="360"/>
      </w:pPr>
      <w:rPr>
        <w:rFonts w:ascii="Symbol" w:hAnsi="Symbol" w:hint="default"/>
        <w:sz w:val="18"/>
        <w:szCs w:val="18"/>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9" w15:restartNumberingAfterBreak="0">
    <w:nsid w:val="041849F3"/>
    <w:multiLevelType w:val="hybridMultilevel"/>
    <w:tmpl w:val="9234825C"/>
    <w:lvl w:ilvl="0" w:tplc="4AE8F718">
      <w:start w:val="1"/>
      <w:numFmt w:val="lowerLetter"/>
      <w:pStyle w:val="a"/>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0" w15:restartNumberingAfterBreak="0">
    <w:nsid w:val="04B67626"/>
    <w:multiLevelType w:val="multilevel"/>
    <w:tmpl w:val="F67A576E"/>
    <w:lvl w:ilvl="0">
      <w:start w:val="1"/>
      <w:numFmt w:val="decimal"/>
      <w:lvlText w:val="%1."/>
      <w:lvlJc w:val="left"/>
      <w:pPr>
        <w:tabs>
          <w:tab w:val="num" w:pos="397"/>
        </w:tabs>
        <w:ind w:left="397" w:hanging="397"/>
      </w:pPr>
      <w:rPr>
        <w:rFonts w:ascii="Calibri" w:hAnsi="Calibri" w:cs="Calibri" w:hint="default"/>
        <w:b w:val="0"/>
        <w:i w:val="0"/>
        <w:color w:val="auto"/>
        <w:sz w:val="22"/>
        <w:szCs w:val="22"/>
      </w:rPr>
    </w:lvl>
    <w:lvl w:ilvl="1">
      <w:start w:val="1"/>
      <w:numFmt w:val="lowerLetter"/>
      <w:lvlText w:val="%2."/>
      <w:lvlJc w:val="left"/>
      <w:pPr>
        <w:tabs>
          <w:tab w:val="num" w:pos="1440"/>
        </w:tabs>
        <w:ind w:left="1440" w:hanging="360"/>
      </w:pPr>
      <w:rPr>
        <w:rFonts w:hint="default"/>
        <w:b/>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12" w15:restartNumberingAfterBreak="0">
    <w:nsid w:val="11727322"/>
    <w:multiLevelType w:val="multilevel"/>
    <w:tmpl w:val="DBF01BDE"/>
    <w:lvl w:ilvl="0">
      <w:start w:val="1"/>
      <w:numFmt w:val="bullet"/>
      <w:lvlText w:val=""/>
      <w:lvlJc w:val="left"/>
      <w:pPr>
        <w:ind w:left="794" w:hanging="397"/>
      </w:pPr>
      <w:rPr>
        <w:rFonts w:ascii="Symbol" w:hAnsi="Symbol" w:hint="default"/>
      </w:rPr>
    </w:lvl>
    <w:lvl w:ilvl="1">
      <w:start w:val="1"/>
      <w:numFmt w:val="bullet"/>
      <w:lvlText w:val="o"/>
      <w:lvlJc w:val="left"/>
      <w:pPr>
        <w:ind w:left="1837" w:hanging="360"/>
      </w:pPr>
      <w:rPr>
        <w:rFonts w:ascii="Courier New" w:hAnsi="Courier New" w:cs="Courier New" w:hint="default"/>
      </w:rPr>
    </w:lvl>
    <w:lvl w:ilvl="2">
      <w:start w:val="1"/>
      <w:numFmt w:val="bullet"/>
      <w:lvlText w:val=""/>
      <w:lvlJc w:val="left"/>
      <w:pPr>
        <w:ind w:left="2557" w:hanging="360"/>
      </w:pPr>
      <w:rPr>
        <w:rFonts w:ascii="Wingdings" w:hAnsi="Wingdings" w:hint="default"/>
      </w:rPr>
    </w:lvl>
    <w:lvl w:ilvl="3">
      <w:start w:val="1"/>
      <w:numFmt w:val="bullet"/>
      <w:lvlText w:val=""/>
      <w:lvlJc w:val="left"/>
      <w:pPr>
        <w:ind w:left="3277" w:hanging="360"/>
      </w:pPr>
      <w:rPr>
        <w:rFonts w:ascii="Symbol" w:hAnsi="Symbol" w:hint="default"/>
      </w:rPr>
    </w:lvl>
    <w:lvl w:ilvl="4">
      <w:start w:val="1"/>
      <w:numFmt w:val="bullet"/>
      <w:lvlText w:val="o"/>
      <w:lvlJc w:val="left"/>
      <w:pPr>
        <w:ind w:left="3997" w:hanging="360"/>
      </w:pPr>
      <w:rPr>
        <w:rFonts w:ascii="Courier New" w:hAnsi="Courier New" w:cs="Courier New" w:hint="default"/>
      </w:rPr>
    </w:lvl>
    <w:lvl w:ilvl="5">
      <w:start w:val="1"/>
      <w:numFmt w:val="bullet"/>
      <w:lvlText w:val=""/>
      <w:lvlJc w:val="left"/>
      <w:pPr>
        <w:ind w:left="4717" w:hanging="360"/>
      </w:pPr>
      <w:rPr>
        <w:rFonts w:ascii="Wingdings" w:hAnsi="Wingdings" w:hint="default"/>
      </w:rPr>
    </w:lvl>
    <w:lvl w:ilvl="6">
      <w:start w:val="1"/>
      <w:numFmt w:val="bullet"/>
      <w:lvlText w:val=""/>
      <w:lvlJc w:val="left"/>
      <w:pPr>
        <w:ind w:left="5437" w:hanging="360"/>
      </w:pPr>
      <w:rPr>
        <w:rFonts w:ascii="Symbol" w:hAnsi="Symbol" w:hint="default"/>
      </w:rPr>
    </w:lvl>
    <w:lvl w:ilvl="7">
      <w:start w:val="1"/>
      <w:numFmt w:val="bullet"/>
      <w:lvlText w:val="o"/>
      <w:lvlJc w:val="left"/>
      <w:pPr>
        <w:ind w:left="6157" w:hanging="360"/>
      </w:pPr>
      <w:rPr>
        <w:rFonts w:ascii="Courier New" w:hAnsi="Courier New" w:cs="Courier New" w:hint="default"/>
      </w:rPr>
    </w:lvl>
    <w:lvl w:ilvl="8">
      <w:start w:val="1"/>
      <w:numFmt w:val="bullet"/>
      <w:lvlText w:val=""/>
      <w:lvlJc w:val="left"/>
      <w:pPr>
        <w:ind w:left="6877" w:hanging="360"/>
      </w:pPr>
      <w:rPr>
        <w:rFonts w:ascii="Wingdings" w:hAnsi="Wingdings" w:hint="default"/>
      </w:rPr>
    </w:lvl>
  </w:abstractNum>
  <w:abstractNum w:abstractNumId="13" w15:restartNumberingAfterBreak="0">
    <w:nsid w:val="16305FAC"/>
    <w:multiLevelType w:val="multilevel"/>
    <w:tmpl w:val="5CD615F8"/>
    <w:styleLink w:val="Annex"/>
    <w:lvl w:ilvl="0">
      <w:start w:val="4"/>
      <w:numFmt w:val="decimal"/>
      <w:lvlText w:val="A%1"/>
      <w:lvlJc w:val="left"/>
      <w:pPr>
        <w:ind w:left="0" w:firstLine="0"/>
      </w:pPr>
      <w:rPr>
        <w:rFonts w:hint="default"/>
      </w:rPr>
    </w:lvl>
    <w:lvl w:ilvl="1">
      <w:start w:val="1"/>
      <w:numFmt w:val="decimal"/>
      <w:lvlText w:val="A%1.%2"/>
      <w:lvlJc w:val="left"/>
      <w:pPr>
        <w:ind w:left="0" w:firstLine="0"/>
      </w:pPr>
      <w:rPr>
        <w:rFonts w:hint="default"/>
      </w:rPr>
    </w:lvl>
    <w:lvl w:ilvl="2">
      <w:start w:val="1"/>
      <w:numFmt w:val="decimal"/>
      <w:lvlText w:val="A%1.%2.%3"/>
      <w:lvlJc w:val="left"/>
      <w:pPr>
        <w:ind w:left="0" w:firstLine="0"/>
      </w:pPr>
      <w:rPr>
        <w:rFonts w:hint="default"/>
      </w:rPr>
    </w:lvl>
    <w:lvl w:ilvl="3">
      <w:start w:val="1"/>
      <w:numFmt w:val="decimal"/>
      <w:lvlText w:val="A%1.%2.%3.%4"/>
      <w:lvlJc w:val="left"/>
      <w:pPr>
        <w:ind w:left="0" w:firstLine="0"/>
      </w:pPr>
      <w:rPr>
        <w:rFonts w:hint="default"/>
      </w:rPr>
    </w:lvl>
    <w:lvl w:ilvl="4">
      <w:start w:val="1"/>
      <w:numFmt w:val="decimal"/>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4" w15:restartNumberingAfterBreak="0">
    <w:nsid w:val="1FDF624F"/>
    <w:multiLevelType w:val="hybridMultilevel"/>
    <w:tmpl w:val="7E785C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208C5CF5"/>
    <w:multiLevelType w:val="multilevel"/>
    <w:tmpl w:val="A07E8244"/>
    <w:lvl w:ilvl="0">
      <w:start w:val="1"/>
      <w:numFmt w:val="lowerLetter"/>
      <w:pStyle w:val="Sub-lista"/>
      <w:lvlText w:val="%1)"/>
      <w:lvlJc w:val="left"/>
      <w:pPr>
        <w:tabs>
          <w:tab w:val="num" w:pos="794"/>
        </w:tabs>
        <w:ind w:left="397" w:hanging="397"/>
      </w:pPr>
      <w:rPr>
        <w:rFonts w:ascii="Calibri" w:hAnsi="Calibri" w:cs="Calibri" w:hint="default"/>
        <w:b w:val="0"/>
        <w:i w:val="0"/>
        <w:sz w:val="22"/>
        <w:szCs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 w15:restartNumberingAfterBreak="0">
    <w:nsid w:val="27BD2E58"/>
    <w:multiLevelType w:val="multilevel"/>
    <w:tmpl w:val="B0DC6D48"/>
    <w:lvl w:ilvl="0">
      <w:start w:val="1"/>
      <w:numFmt w:val="bullet"/>
      <w:lvlText w:val=""/>
      <w:lvlJc w:val="left"/>
      <w:pPr>
        <w:ind w:left="397" w:hanging="397"/>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B8B2D74"/>
    <w:multiLevelType w:val="hybridMultilevel"/>
    <w:tmpl w:val="84CE66FC"/>
    <w:lvl w:ilvl="0" w:tplc="3E4C4DE2">
      <w:start w:val="1"/>
      <w:numFmt w:val="bullet"/>
      <w:pStyle w:val="TableBullet"/>
      <w:lvlText w:val=""/>
      <w:lvlJc w:val="left"/>
      <w:pPr>
        <w:tabs>
          <w:tab w:val="num" w:pos="284"/>
        </w:tabs>
        <w:ind w:left="284" w:hanging="284"/>
      </w:pPr>
      <w:rPr>
        <w:rFonts w:ascii="Symbol" w:hAnsi="Symbol" w:hint="default"/>
        <w:sz w:val="14"/>
        <w:szCs w:val="14"/>
      </w:rPr>
    </w:lvl>
    <w:lvl w:ilvl="1" w:tplc="14090003" w:tentative="1">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D1A6BE2"/>
    <w:multiLevelType w:val="multilevel"/>
    <w:tmpl w:val="B30A17D8"/>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9" w15:restartNumberingAfterBreak="0">
    <w:nsid w:val="36785C47"/>
    <w:multiLevelType w:val="hybridMultilevel"/>
    <w:tmpl w:val="CD2A3BB2"/>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0" w15:restartNumberingAfterBreak="0">
    <w:nsid w:val="3B934134"/>
    <w:multiLevelType w:val="hybridMultilevel"/>
    <w:tmpl w:val="67F24C4E"/>
    <w:lvl w:ilvl="0" w:tplc="DC66E45C">
      <w:start w:val="1"/>
      <w:numFmt w:val="bullet"/>
      <w:pStyle w:val="Keypointsub-bullet"/>
      <w:lvlText w:val="‒"/>
      <w:lvlJc w:val="left"/>
      <w:pPr>
        <w:ind w:left="1400" w:hanging="360"/>
      </w:pPr>
      <w:rPr>
        <w:rFonts w:ascii="Calibri" w:hAnsi="Calibri" w:cs="Times New Roman" w:hint="default"/>
        <w:b w:val="0"/>
        <w:i w:val="0"/>
        <w:sz w:val="20"/>
      </w:rPr>
    </w:lvl>
    <w:lvl w:ilvl="1" w:tplc="14090003" w:tentative="1">
      <w:start w:val="1"/>
      <w:numFmt w:val="bullet"/>
      <w:lvlText w:val="o"/>
      <w:lvlJc w:val="left"/>
      <w:pPr>
        <w:ind w:left="2120" w:hanging="360"/>
      </w:pPr>
      <w:rPr>
        <w:rFonts w:ascii="Courier New" w:hAnsi="Courier New" w:cs="Courier New" w:hint="default"/>
      </w:rPr>
    </w:lvl>
    <w:lvl w:ilvl="2" w:tplc="14090005" w:tentative="1">
      <w:start w:val="1"/>
      <w:numFmt w:val="bullet"/>
      <w:lvlText w:val=""/>
      <w:lvlJc w:val="left"/>
      <w:pPr>
        <w:ind w:left="2840" w:hanging="360"/>
      </w:pPr>
      <w:rPr>
        <w:rFonts w:ascii="Wingdings" w:hAnsi="Wingdings" w:hint="default"/>
      </w:rPr>
    </w:lvl>
    <w:lvl w:ilvl="3" w:tplc="14090001" w:tentative="1">
      <w:start w:val="1"/>
      <w:numFmt w:val="bullet"/>
      <w:lvlText w:val=""/>
      <w:lvlJc w:val="left"/>
      <w:pPr>
        <w:ind w:left="3560" w:hanging="360"/>
      </w:pPr>
      <w:rPr>
        <w:rFonts w:ascii="Symbol" w:hAnsi="Symbol" w:hint="default"/>
      </w:rPr>
    </w:lvl>
    <w:lvl w:ilvl="4" w:tplc="14090003" w:tentative="1">
      <w:start w:val="1"/>
      <w:numFmt w:val="bullet"/>
      <w:lvlText w:val="o"/>
      <w:lvlJc w:val="left"/>
      <w:pPr>
        <w:ind w:left="4280" w:hanging="360"/>
      </w:pPr>
      <w:rPr>
        <w:rFonts w:ascii="Courier New" w:hAnsi="Courier New" w:cs="Courier New" w:hint="default"/>
      </w:rPr>
    </w:lvl>
    <w:lvl w:ilvl="5" w:tplc="14090005" w:tentative="1">
      <w:start w:val="1"/>
      <w:numFmt w:val="bullet"/>
      <w:lvlText w:val=""/>
      <w:lvlJc w:val="left"/>
      <w:pPr>
        <w:ind w:left="5000" w:hanging="360"/>
      </w:pPr>
      <w:rPr>
        <w:rFonts w:ascii="Wingdings" w:hAnsi="Wingdings" w:hint="default"/>
      </w:rPr>
    </w:lvl>
    <w:lvl w:ilvl="6" w:tplc="14090001" w:tentative="1">
      <w:start w:val="1"/>
      <w:numFmt w:val="bullet"/>
      <w:lvlText w:val=""/>
      <w:lvlJc w:val="left"/>
      <w:pPr>
        <w:ind w:left="5720" w:hanging="360"/>
      </w:pPr>
      <w:rPr>
        <w:rFonts w:ascii="Symbol" w:hAnsi="Symbol" w:hint="default"/>
      </w:rPr>
    </w:lvl>
    <w:lvl w:ilvl="7" w:tplc="14090003" w:tentative="1">
      <w:start w:val="1"/>
      <w:numFmt w:val="bullet"/>
      <w:lvlText w:val="o"/>
      <w:lvlJc w:val="left"/>
      <w:pPr>
        <w:ind w:left="6440" w:hanging="360"/>
      </w:pPr>
      <w:rPr>
        <w:rFonts w:ascii="Courier New" w:hAnsi="Courier New" w:cs="Courier New" w:hint="default"/>
      </w:rPr>
    </w:lvl>
    <w:lvl w:ilvl="8" w:tplc="14090005" w:tentative="1">
      <w:start w:val="1"/>
      <w:numFmt w:val="bullet"/>
      <w:lvlText w:val=""/>
      <w:lvlJc w:val="left"/>
      <w:pPr>
        <w:ind w:left="7160" w:hanging="360"/>
      </w:pPr>
      <w:rPr>
        <w:rFonts w:ascii="Wingdings" w:hAnsi="Wingdings" w:hint="default"/>
      </w:rPr>
    </w:lvl>
  </w:abstractNum>
  <w:abstractNum w:abstractNumId="21" w15:restartNumberingAfterBreak="0">
    <w:nsid w:val="427701FB"/>
    <w:multiLevelType w:val="hybridMultilevel"/>
    <w:tmpl w:val="87A07910"/>
    <w:lvl w:ilvl="0" w:tplc="FFFFFFFF">
      <w:start w:val="1"/>
      <w:numFmt w:val="bullet"/>
      <w:pStyle w:val="Sub-list"/>
      <w:lvlText w:val=""/>
      <w:lvlJc w:val="left"/>
      <w:pPr>
        <w:tabs>
          <w:tab w:val="num" w:pos="397"/>
        </w:tabs>
        <w:ind w:left="397" w:firstLine="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5B15110"/>
    <w:multiLevelType w:val="multilevel"/>
    <w:tmpl w:val="8ECC9C0C"/>
    <w:lvl w:ilvl="0">
      <w:start w:val="1"/>
      <w:numFmt w:val="bullet"/>
      <w:pStyle w:val="Bullet"/>
      <w:lvlText w:val=""/>
      <w:lvlJc w:val="left"/>
      <w:pPr>
        <w:ind w:left="397" w:hanging="397"/>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7261BAD"/>
    <w:multiLevelType w:val="multilevel"/>
    <w:tmpl w:val="405434F2"/>
    <w:lvl w:ilvl="0">
      <w:start w:val="1"/>
      <w:numFmt w:val="lowerRoman"/>
      <w:lvlText w:val="%1."/>
      <w:lvlJc w:val="left"/>
      <w:pPr>
        <w:tabs>
          <w:tab w:val="num" w:pos="0"/>
        </w:tabs>
        <w:ind w:left="480" w:hanging="480"/>
      </w:pPr>
      <w:rPr>
        <w:rFonts w:hint="default"/>
      </w:rPr>
    </w:lvl>
    <w:lvl w:ilvl="1">
      <w:start w:val="1"/>
      <w:numFmt w:val="lowerRoman"/>
      <w:pStyle w:val="Sub-listi"/>
      <w:lvlText w:val="%2."/>
      <w:lvlJc w:val="left"/>
      <w:pPr>
        <w:tabs>
          <w:tab w:val="num" w:pos="794"/>
        </w:tabs>
        <w:ind w:left="1191" w:hanging="397"/>
      </w:pPr>
      <w:rPr>
        <w:rFonts w:hint="default"/>
      </w:rPr>
    </w:lvl>
    <w:lvl w:ilvl="2">
      <w:start w:val="1"/>
      <w:numFmt w:val="lowerRoman"/>
      <w:lvlText w:val="%3."/>
      <w:lvlJc w:val="left"/>
      <w:pPr>
        <w:tabs>
          <w:tab w:val="num" w:pos="1440"/>
        </w:tabs>
        <w:ind w:left="1920" w:hanging="480"/>
      </w:pPr>
      <w:rPr>
        <w:rFonts w:hint="default"/>
      </w:rPr>
    </w:lvl>
    <w:lvl w:ilvl="3">
      <w:start w:val="1"/>
      <w:numFmt w:val="lowerRoman"/>
      <w:lvlText w:val="%4."/>
      <w:lvlJc w:val="left"/>
      <w:pPr>
        <w:tabs>
          <w:tab w:val="num" w:pos="2160"/>
        </w:tabs>
        <w:ind w:left="2640" w:hanging="480"/>
      </w:pPr>
      <w:rPr>
        <w:rFonts w:hint="default"/>
      </w:rPr>
    </w:lvl>
    <w:lvl w:ilvl="4">
      <w:start w:val="1"/>
      <w:numFmt w:val="lowerRoman"/>
      <w:lvlText w:val="%5."/>
      <w:lvlJc w:val="left"/>
      <w:pPr>
        <w:tabs>
          <w:tab w:val="num" w:pos="2880"/>
        </w:tabs>
        <w:ind w:left="3360" w:hanging="480"/>
      </w:pPr>
      <w:rPr>
        <w:rFonts w:hint="default"/>
      </w:rPr>
    </w:lvl>
    <w:lvl w:ilvl="5">
      <w:start w:val="1"/>
      <w:numFmt w:val="lowerRoman"/>
      <w:lvlText w:val="%6."/>
      <w:lvlJc w:val="left"/>
      <w:pPr>
        <w:tabs>
          <w:tab w:val="num" w:pos="3600"/>
        </w:tabs>
        <w:ind w:left="4080" w:hanging="480"/>
      </w:pPr>
      <w:rPr>
        <w:rFonts w:hint="default"/>
      </w:rPr>
    </w:lvl>
    <w:lvl w:ilvl="6">
      <w:start w:val="1"/>
      <w:numFmt w:val="lowerRoman"/>
      <w:lvlText w:val="%7."/>
      <w:lvlJc w:val="left"/>
      <w:pPr>
        <w:tabs>
          <w:tab w:val="num" w:pos="4320"/>
        </w:tabs>
        <w:ind w:left="4800" w:hanging="480"/>
      </w:pPr>
      <w:rPr>
        <w:rFonts w:hint="default"/>
      </w:rPr>
    </w:lvl>
    <w:lvl w:ilvl="7">
      <w:start w:val="1"/>
      <w:numFmt w:val="lowerRoman"/>
      <w:lvlText w:val="%8."/>
      <w:lvlJc w:val="left"/>
      <w:pPr>
        <w:tabs>
          <w:tab w:val="num" w:pos="5040"/>
        </w:tabs>
        <w:ind w:left="5520" w:hanging="480"/>
      </w:pPr>
      <w:rPr>
        <w:rFonts w:hint="default"/>
      </w:rPr>
    </w:lvl>
    <w:lvl w:ilvl="8">
      <w:start w:val="1"/>
      <w:numFmt w:val="lowerRoman"/>
      <w:lvlText w:val="%9."/>
      <w:lvlJc w:val="left"/>
      <w:pPr>
        <w:tabs>
          <w:tab w:val="num" w:pos="5760"/>
        </w:tabs>
        <w:ind w:left="6240" w:hanging="480"/>
      </w:pPr>
      <w:rPr>
        <w:rFonts w:hint="default"/>
      </w:rPr>
    </w:lvl>
  </w:abstractNum>
  <w:abstractNum w:abstractNumId="24" w15:restartNumberingAfterBreak="0">
    <w:nsid w:val="569A0D6A"/>
    <w:multiLevelType w:val="hybridMultilevel"/>
    <w:tmpl w:val="F33839CE"/>
    <w:lvl w:ilvl="0" w:tplc="A6FC95F2">
      <w:start w:val="1"/>
      <w:numFmt w:val="bullet"/>
      <w:lvlText w:val=""/>
      <w:lvlJc w:val="left"/>
      <w:pPr>
        <w:tabs>
          <w:tab w:val="num" w:pos="397"/>
        </w:tabs>
        <w:ind w:left="397" w:hanging="397"/>
      </w:pPr>
      <w:rPr>
        <w:rFonts w:ascii="Symbol" w:hAnsi="Symbol" w:cs="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5811DDE"/>
    <w:multiLevelType w:val="hybridMultilevel"/>
    <w:tmpl w:val="5784BADA"/>
    <w:lvl w:ilvl="0" w:tplc="14090001">
      <w:start w:val="1"/>
      <w:numFmt w:val="bullet"/>
      <w:pStyle w:val="TableDash"/>
      <w:lvlText w:val=""/>
      <w:lvlJc w:val="left"/>
      <w:pPr>
        <w:tabs>
          <w:tab w:val="num" w:pos="567"/>
        </w:tabs>
        <w:ind w:left="567" w:hanging="283"/>
      </w:pPr>
      <w:rPr>
        <w:rFonts w:ascii="Symbol" w:hAnsi="Symbol" w:hint="default"/>
        <w:color w:val="auto"/>
        <w:sz w:val="16"/>
        <w:szCs w:val="16"/>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5FE74C4"/>
    <w:multiLevelType w:val="multilevel"/>
    <w:tmpl w:val="219A7D10"/>
    <w:lvl w:ilvl="0">
      <w:start w:val="1"/>
      <w:numFmt w:val="bullet"/>
      <w:lvlText w:val=""/>
      <w:lvlJc w:val="left"/>
      <w:pPr>
        <w:ind w:left="794" w:hanging="397"/>
      </w:pPr>
      <w:rPr>
        <w:rFonts w:ascii="Symbol" w:hAnsi="Symbol"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num w:numId="1" w16cid:durableId="1919748872">
    <w:abstractNumId w:val="17"/>
  </w:num>
  <w:num w:numId="2" w16cid:durableId="981423916">
    <w:abstractNumId w:val="22"/>
  </w:num>
  <w:num w:numId="3" w16cid:durableId="1663488">
    <w:abstractNumId w:val="7"/>
  </w:num>
  <w:num w:numId="4" w16cid:durableId="1552423514">
    <w:abstractNumId w:val="6"/>
  </w:num>
  <w:num w:numId="5" w16cid:durableId="1797411719">
    <w:abstractNumId w:val="5"/>
  </w:num>
  <w:num w:numId="6" w16cid:durableId="1606687810">
    <w:abstractNumId w:val="4"/>
  </w:num>
  <w:num w:numId="7" w16cid:durableId="2083596907">
    <w:abstractNumId w:val="3"/>
  </w:num>
  <w:num w:numId="8" w16cid:durableId="1022366638">
    <w:abstractNumId w:val="9"/>
  </w:num>
  <w:num w:numId="9" w16cid:durableId="759638832">
    <w:abstractNumId w:val="15"/>
  </w:num>
  <w:num w:numId="10" w16cid:durableId="530267388">
    <w:abstractNumId w:val="21"/>
  </w:num>
  <w:num w:numId="11" w16cid:durableId="1719086498">
    <w:abstractNumId w:val="25"/>
  </w:num>
  <w:num w:numId="12" w16cid:durableId="186453296">
    <w:abstractNumId w:val="2"/>
  </w:num>
  <w:num w:numId="13" w16cid:durableId="685399240">
    <w:abstractNumId w:val="1"/>
  </w:num>
  <w:num w:numId="14" w16cid:durableId="1264728069">
    <w:abstractNumId w:val="20"/>
  </w:num>
  <w:num w:numId="15" w16cid:durableId="13958155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64714556">
    <w:abstractNumId w:val="0"/>
  </w:num>
  <w:num w:numId="17" w16cid:durableId="1117020925">
    <w:abstractNumId w:val="23"/>
  </w:num>
  <w:num w:numId="18" w16cid:durableId="780806199">
    <w:abstractNumId w:val="16"/>
  </w:num>
  <w:num w:numId="19" w16cid:durableId="840974259">
    <w:abstractNumId w:val="8"/>
  </w:num>
  <w:num w:numId="20" w16cid:durableId="762727807">
    <w:abstractNumId w:val="19"/>
  </w:num>
  <w:num w:numId="21" w16cid:durableId="1504856774">
    <w:abstractNumId w:val="18"/>
  </w:num>
  <w:num w:numId="22" w16cid:durableId="145786794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81174709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086880733">
    <w:abstractNumId w:val="13"/>
  </w:num>
  <w:num w:numId="25" w16cid:durableId="12292215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814219915">
    <w:abstractNumId w:val="26"/>
  </w:num>
  <w:num w:numId="27" w16cid:durableId="2067293240">
    <w:abstractNumId w:val="10"/>
  </w:num>
  <w:num w:numId="28" w16cid:durableId="7385914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07388592">
    <w:abstractNumId w:val="14"/>
  </w:num>
  <w:num w:numId="30" w16cid:durableId="2026784804">
    <w:abstractNumId w:val="24"/>
  </w:num>
  <w:num w:numId="31" w16cid:durableId="174648880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8219846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72675318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74468344">
    <w:abstractNumId w:val="1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activeWritingStyle w:appName="MSWord" w:lang="en-NZ" w:vendorID="64" w:dllVersion="6" w:nlCheck="1" w:checkStyle="1"/>
  <w:activeWritingStyle w:appName="MSWord" w:lang="en-NZ" w:vendorID="64" w:dllVersion="0" w:nlCheck="1" w:checkStyle="0"/>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doNotTrackMoves/>
  <w:defaultTabStop w:val="397"/>
  <w:evenAndOddHeaders/>
  <w:drawingGridHorizontalSpacing w:val="187"/>
  <w:displayVerticalDrawingGridEvery w:val="2"/>
  <w:noPunctuationKerning/>
  <w:characterSpacingControl w:val="doNotCompress"/>
  <w:hdrShapeDefaults>
    <o:shapedefaults v:ext="edit" spidmax="2185"/>
  </w:hdrShapeDefaults>
  <w:footnotePr>
    <w:footnote w:id="-1"/>
    <w:footnote w:id="0"/>
  </w:footnotePr>
  <w:endnotePr>
    <w:endnote w:id="-1"/>
    <w:endnote w:id="0"/>
  </w:endnotePr>
  <w:compat>
    <w:suppressBottomSpacing/>
    <w:suppressSpBfAfterPgBrk/>
    <w:doNotUseHTMLParagraphAutoSpacing/>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DC2081"/>
    <w:rsid w:val="00001716"/>
    <w:rsid w:val="00003257"/>
    <w:rsid w:val="00004296"/>
    <w:rsid w:val="00005783"/>
    <w:rsid w:val="0000612D"/>
    <w:rsid w:val="00007ABB"/>
    <w:rsid w:val="000123AA"/>
    <w:rsid w:val="000146D5"/>
    <w:rsid w:val="00016488"/>
    <w:rsid w:val="00021ACF"/>
    <w:rsid w:val="00023E9B"/>
    <w:rsid w:val="00027E55"/>
    <w:rsid w:val="00032A28"/>
    <w:rsid w:val="00035185"/>
    <w:rsid w:val="0003612E"/>
    <w:rsid w:val="0003760B"/>
    <w:rsid w:val="00040981"/>
    <w:rsid w:val="00040B37"/>
    <w:rsid w:val="00042F08"/>
    <w:rsid w:val="0004726E"/>
    <w:rsid w:val="00050008"/>
    <w:rsid w:val="000548A2"/>
    <w:rsid w:val="0005592A"/>
    <w:rsid w:val="000576EC"/>
    <w:rsid w:val="00060864"/>
    <w:rsid w:val="00063737"/>
    <w:rsid w:val="000653DC"/>
    <w:rsid w:val="000715D8"/>
    <w:rsid w:val="0008216C"/>
    <w:rsid w:val="00082955"/>
    <w:rsid w:val="0008353F"/>
    <w:rsid w:val="000847FD"/>
    <w:rsid w:val="0008510E"/>
    <w:rsid w:val="00086491"/>
    <w:rsid w:val="00086C40"/>
    <w:rsid w:val="00091FF4"/>
    <w:rsid w:val="00093617"/>
    <w:rsid w:val="00095183"/>
    <w:rsid w:val="00095931"/>
    <w:rsid w:val="000959CB"/>
    <w:rsid w:val="000A1ADF"/>
    <w:rsid w:val="000A5A28"/>
    <w:rsid w:val="000B0836"/>
    <w:rsid w:val="000B20C7"/>
    <w:rsid w:val="000B63E0"/>
    <w:rsid w:val="000C08ED"/>
    <w:rsid w:val="000C20A6"/>
    <w:rsid w:val="000C2DED"/>
    <w:rsid w:val="000C7549"/>
    <w:rsid w:val="000D5AAE"/>
    <w:rsid w:val="000D5C71"/>
    <w:rsid w:val="000E00DB"/>
    <w:rsid w:val="000E2644"/>
    <w:rsid w:val="000E3253"/>
    <w:rsid w:val="000E4EE6"/>
    <w:rsid w:val="000E52A5"/>
    <w:rsid w:val="000E7F10"/>
    <w:rsid w:val="000F3AFE"/>
    <w:rsid w:val="000F4DEF"/>
    <w:rsid w:val="00100C0F"/>
    <w:rsid w:val="00116E1B"/>
    <w:rsid w:val="001221C3"/>
    <w:rsid w:val="0013321C"/>
    <w:rsid w:val="001473F6"/>
    <w:rsid w:val="0015050B"/>
    <w:rsid w:val="00151878"/>
    <w:rsid w:val="00151F65"/>
    <w:rsid w:val="00152965"/>
    <w:rsid w:val="00153F5A"/>
    <w:rsid w:val="0016025B"/>
    <w:rsid w:val="001660FA"/>
    <w:rsid w:val="00171C22"/>
    <w:rsid w:val="0018100D"/>
    <w:rsid w:val="00191A9F"/>
    <w:rsid w:val="001945C1"/>
    <w:rsid w:val="00194AAB"/>
    <w:rsid w:val="001959CB"/>
    <w:rsid w:val="001970E1"/>
    <w:rsid w:val="00197A5F"/>
    <w:rsid w:val="001A0AFC"/>
    <w:rsid w:val="001A1997"/>
    <w:rsid w:val="001B0B1C"/>
    <w:rsid w:val="001B0B75"/>
    <w:rsid w:val="001B1E5D"/>
    <w:rsid w:val="001B38F6"/>
    <w:rsid w:val="001B6FD2"/>
    <w:rsid w:val="001C0B1A"/>
    <w:rsid w:val="001C16C0"/>
    <w:rsid w:val="001C30F2"/>
    <w:rsid w:val="001C4F3F"/>
    <w:rsid w:val="001D27E0"/>
    <w:rsid w:val="001D691A"/>
    <w:rsid w:val="001D6E25"/>
    <w:rsid w:val="001D793F"/>
    <w:rsid w:val="001F48D9"/>
    <w:rsid w:val="001F7845"/>
    <w:rsid w:val="00201ECA"/>
    <w:rsid w:val="00201FB1"/>
    <w:rsid w:val="002050B5"/>
    <w:rsid w:val="00207ABF"/>
    <w:rsid w:val="0021547D"/>
    <w:rsid w:val="00220384"/>
    <w:rsid w:val="0022079E"/>
    <w:rsid w:val="00222563"/>
    <w:rsid w:val="0022387A"/>
    <w:rsid w:val="00226131"/>
    <w:rsid w:val="0022696C"/>
    <w:rsid w:val="0023214A"/>
    <w:rsid w:val="002325CF"/>
    <w:rsid w:val="00233C5A"/>
    <w:rsid w:val="00235915"/>
    <w:rsid w:val="00240B42"/>
    <w:rsid w:val="00243F76"/>
    <w:rsid w:val="00246379"/>
    <w:rsid w:val="002471D6"/>
    <w:rsid w:val="002477F8"/>
    <w:rsid w:val="00260B48"/>
    <w:rsid w:val="00262E1A"/>
    <w:rsid w:val="00266C8F"/>
    <w:rsid w:val="00274FE8"/>
    <w:rsid w:val="00276E24"/>
    <w:rsid w:val="00280605"/>
    <w:rsid w:val="0028581A"/>
    <w:rsid w:val="002868D3"/>
    <w:rsid w:val="002870C8"/>
    <w:rsid w:val="00287532"/>
    <w:rsid w:val="00295B2A"/>
    <w:rsid w:val="00297D92"/>
    <w:rsid w:val="002A0738"/>
    <w:rsid w:val="002A1361"/>
    <w:rsid w:val="002A222C"/>
    <w:rsid w:val="002A49D7"/>
    <w:rsid w:val="002B09F2"/>
    <w:rsid w:val="002B1C5A"/>
    <w:rsid w:val="002B2B29"/>
    <w:rsid w:val="002B3284"/>
    <w:rsid w:val="002B54C3"/>
    <w:rsid w:val="002B5D54"/>
    <w:rsid w:val="002B6392"/>
    <w:rsid w:val="002C481C"/>
    <w:rsid w:val="002C4C67"/>
    <w:rsid w:val="002C77A4"/>
    <w:rsid w:val="002D0424"/>
    <w:rsid w:val="002D60DB"/>
    <w:rsid w:val="002D6A54"/>
    <w:rsid w:val="002D75F6"/>
    <w:rsid w:val="002E2068"/>
    <w:rsid w:val="002E265E"/>
    <w:rsid w:val="002F002A"/>
    <w:rsid w:val="002F134A"/>
    <w:rsid w:val="002F1EF6"/>
    <w:rsid w:val="002F325A"/>
    <w:rsid w:val="002F66D0"/>
    <w:rsid w:val="00302D84"/>
    <w:rsid w:val="00312128"/>
    <w:rsid w:val="00315760"/>
    <w:rsid w:val="003164DB"/>
    <w:rsid w:val="0032311A"/>
    <w:rsid w:val="0032349D"/>
    <w:rsid w:val="003272B7"/>
    <w:rsid w:val="00330D83"/>
    <w:rsid w:val="00345F91"/>
    <w:rsid w:val="00347FC8"/>
    <w:rsid w:val="00361448"/>
    <w:rsid w:val="00364C86"/>
    <w:rsid w:val="0036539E"/>
    <w:rsid w:val="00366397"/>
    <w:rsid w:val="003677E7"/>
    <w:rsid w:val="0037590E"/>
    <w:rsid w:val="00377186"/>
    <w:rsid w:val="00383207"/>
    <w:rsid w:val="00391FD7"/>
    <w:rsid w:val="00396989"/>
    <w:rsid w:val="003972EF"/>
    <w:rsid w:val="00397D2B"/>
    <w:rsid w:val="003A40ED"/>
    <w:rsid w:val="003A5006"/>
    <w:rsid w:val="003B1A57"/>
    <w:rsid w:val="003B27B2"/>
    <w:rsid w:val="003B57BB"/>
    <w:rsid w:val="003C2615"/>
    <w:rsid w:val="003C323B"/>
    <w:rsid w:val="003C4C83"/>
    <w:rsid w:val="003D0318"/>
    <w:rsid w:val="003D1F66"/>
    <w:rsid w:val="003D5417"/>
    <w:rsid w:val="003F155A"/>
    <w:rsid w:val="003F5D86"/>
    <w:rsid w:val="003F7904"/>
    <w:rsid w:val="00400F92"/>
    <w:rsid w:val="004044F1"/>
    <w:rsid w:val="00410683"/>
    <w:rsid w:val="00410DA6"/>
    <w:rsid w:val="00415899"/>
    <w:rsid w:val="00416B36"/>
    <w:rsid w:val="0042156E"/>
    <w:rsid w:val="0042424B"/>
    <w:rsid w:val="00426CA6"/>
    <w:rsid w:val="004305B1"/>
    <w:rsid w:val="00430D5D"/>
    <w:rsid w:val="0043249A"/>
    <w:rsid w:val="00436344"/>
    <w:rsid w:val="004400AF"/>
    <w:rsid w:val="00440BCF"/>
    <w:rsid w:val="00442E6D"/>
    <w:rsid w:val="00450C6C"/>
    <w:rsid w:val="004543E0"/>
    <w:rsid w:val="0045652C"/>
    <w:rsid w:val="00462497"/>
    <w:rsid w:val="00462959"/>
    <w:rsid w:val="004801D5"/>
    <w:rsid w:val="004805A3"/>
    <w:rsid w:val="00482678"/>
    <w:rsid w:val="00490EB0"/>
    <w:rsid w:val="004A0757"/>
    <w:rsid w:val="004A088A"/>
    <w:rsid w:val="004A1249"/>
    <w:rsid w:val="004A618E"/>
    <w:rsid w:val="004B119E"/>
    <w:rsid w:val="004B2C0D"/>
    <w:rsid w:val="004B3D7C"/>
    <w:rsid w:val="004B48CC"/>
    <w:rsid w:val="004B5881"/>
    <w:rsid w:val="004D0156"/>
    <w:rsid w:val="004D0768"/>
    <w:rsid w:val="004D7B27"/>
    <w:rsid w:val="004E383F"/>
    <w:rsid w:val="004E457D"/>
    <w:rsid w:val="004E4B2C"/>
    <w:rsid w:val="004E6010"/>
    <w:rsid w:val="004E62A8"/>
    <w:rsid w:val="004E6BB6"/>
    <w:rsid w:val="004E7C34"/>
    <w:rsid w:val="004F090E"/>
    <w:rsid w:val="004F1572"/>
    <w:rsid w:val="004F3D80"/>
    <w:rsid w:val="004F6034"/>
    <w:rsid w:val="00506539"/>
    <w:rsid w:val="005134BD"/>
    <w:rsid w:val="00526270"/>
    <w:rsid w:val="0053026C"/>
    <w:rsid w:val="0053196D"/>
    <w:rsid w:val="00534210"/>
    <w:rsid w:val="00543478"/>
    <w:rsid w:val="005450E6"/>
    <w:rsid w:val="00545600"/>
    <w:rsid w:val="00546A6A"/>
    <w:rsid w:val="005545DF"/>
    <w:rsid w:val="00561764"/>
    <w:rsid w:val="005630B0"/>
    <w:rsid w:val="00564D2A"/>
    <w:rsid w:val="005660CD"/>
    <w:rsid w:val="00566417"/>
    <w:rsid w:val="005720F2"/>
    <w:rsid w:val="005775D2"/>
    <w:rsid w:val="0058531C"/>
    <w:rsid w:val="00591C08"/>
    <w:rsid w:val="00596603"/>
    <w:rsid w:val="005A227F"/>
    <w:rsid w:val="005A358B"/>
    <w:rsid w:val="005A494C"/>
    <w:rsid w:val="005B37B2"/>
    <w:rsid w:val="005B4380"/>
    <w:rsid w:val="005B76A4"/>
    <w:rsid w:val="005C3384"/>
    <w:rsid w:val="005C38A8"/>
    <w:rsid w:val="005C416E"/>
    <w:rsid w:val="005C462B"/>
    <w:rsid w:val="005C7716"/>
    <w:rsid w:val="005D1C3A"/>
    <w:rsid w:val="005D2050"/>
    <w:rsid w:val="005E43DD"/>
    <w:rsid w:val="005F4123"/>
    <w:rsid w:val="00600179"/>
    <w:rsid w:val="00603FC0"/>
    <w:rsid w:val="00604F5F"/>
    <w:rsid w:val="0060564F"/>
    <w:rsid w:val="00605809"/>
    <w:rsid w:val="00605B28"/>
    <w:rsid w:val="00612094"/>
    <w:rsid w:val="006127F2"/>
    <w:rsid w:val="00615D94"/>
    <w:rsid w:val="00616641"/>
    <w:rsid w:val="006208F5"/>
    <w:rsid w:val="00623D34"/>
    <w:rsid w:val="00630BF4"/>
    <w:rsid w:val="00630E41"/>
    <w:rsid w:val="006349EB"/>
    <w:rsid w:val="00636BF0"/>
    <w:rsid w:val="00640C2E"/>
    <w:rsid w:val="00643302"/>
    <w:rsid w:val="0064400E"/>
    <w:rsid w:val="00646B6D"/>
    <w:rsid w:val="00650F99"/>
    <w:rsid w:val="006511DF"/>
    <w:rsid w:val="00655908"/>
    <w:rsid w:val="00655D03"/>
    <w:rsid w:val="00657C32"/>
    <w:rsid w:val="00660978"/>
    <w:rsid w:val="00660AF5"/>
    <w:rsid w:val="00663479"/>
    <w:rsid w:val="006654F8"/>
    <w:rsid w:val="00665768"/>
    <w:rsid w:val="006668A0"/>
    <w:rsid w:val="00667291"/>
    <w:rsid w:val="00675AD0"/>
    <w:rsid w:val="00681151"/>
    <w:rsid w:val="0068545A"/>
    <w:rsid w:val="00686249"/>
    <w:rsid w:val="00687504"/>
    <w:rsid w:val="00695BF4"/>
    <w:rsid w:val="006A171F"/>
    <w:rsid w:val="006A1A59"/>
    <w:rsid w:val="006A4E5F"/>
    <w:rsid w:val="006A72BC"/>
    <w:rsid w:val="006B0A67"/>
    <w:rsid w:val="006B282E"/>
    <w:rsid w:val="006B51AC"/>
    <w:rsid w:val="006B574D"/>
    <w:rsid w:val="006B6EA8"/>
    <w:rsid w:val="006C3E12"/>
    <w:rsid w:val="006D0B04"/>
    <w:rsid w:val="006D30E7"/>
    <w:rsid w:val="006D379F"/>
    <w:rsid w:val="006D3859"/>
    <w:rsid w:val="006D3FAE"/>
    <w:rsid w:val="006D4600"/>
    <w:rsid w:val="006D5A76"/>
    <w:rsid w:val="006E0A2C"/>
    <w:rsid w:val="006E202B"/>
    <w:rsid w:val="006E25DF"/>
    <w:rsid w:val="006E2CDA"/>
    <w:rsid w:val="006E4A04"/>
    <w:rsid w:val="006E57B5"/>
    <w:rsid w:val="006F0144"/>
    <w:rsid w:val="006F0202"/>
    <w:rsid w:val="006F4318"/>
    <w:rsid w:val="00702FA0"/>
    <w:rsid w:val="00703BF3"/>
    <w:rsid w:val="00705FD2"/>
    <w:rsid w:val="00712D32"/>
    <w:rsid w:val="00712ED9"/>
    <w:rsid w:val="00715D39"/>
    <w:rsid w:val="00724218"/>
    <w:rsid w:val="00734B9C"/>
    <w:rsid w:val="00737E65"/>
    <w:rsid w:val="0074030A"/>
    <w:rsid w:val="007409A3"/>
    <w:rsid w:val="0074268E"/>
    <w:rsid w:val="007435BB"/>
    <w:rsid w:val="00753DA3"/>
    <w:rsid w:val="007557EC"/>
    <w:rsid w:val="007615BA"/>
    <w:rsid w:val="00762043"/>
    <w:rsid w:val="007633C2"/>
    <w:rsid w:val="00764A67"/>
    <w:rsid w:val="00765A47"/>
    <w:rsid w:val="00767325"/>
    <w:rsid w:val="00770E82"/>
    <w:rsid w:val="0077206B"/>
    <w:rsid w:val="00772E94"/>
    <w:rsid w:val="007730C3"/>
    <w:rsid w:val="00773A17"/>
    <w:rsid w:val="0077453D"/>
    <w:rsid w:val="007754F7"/>
    <w:rsid w:val="00776868"/>
    <w:rsid w:val="007777E5"/>
    <w:rsid w:val="007813CA"/>
    <w:rsid w:val="00784FA9"/>
    <w:rsid w:val="007862A6"/>
    <w:rsid w:val="007965CA"/>
    <w:rsid w:val="00796B5D"/>
    <w:rsid w:val="007A1369"/>
    <w:rsid w:val="007A7456"/>
    <w:rsid w:val="007B028B"/>
    <w:rsid w:val="007B1D71"/>
    <w:rsid w:val="007C00D0"/>
    <w:rsid w:val="007C2186"/>
    <w:rsid w:val="007C6518"/>
    <w:rsid w:val="007D0391"/>
    <w:rsid w:val="007D2A73"/>
    <w:rsid w:val="007D4876"/>
    <w:rsid w:val="007E618D"/>
    <w:rsid w:val="007F2233"/>
    <w:rsid w:val="007F407F"/>
    <w:rsid w:val="007F4746"/>
    <w:rsid w:val="00801348"/>
    <w:rsid w:val="0080694B"/>
    <w:rsid w:val="0081779C"/>
    <w:rsid w:val="008201CA"/>
    <w:rsid w:val="00821316"/>
    <w:rsid w:val="00831D0D"/>
    <w:rsid w:val="00832DEE"/>
    <w:rsid w:val="0083317F"/>
    <w:rsid w:val="00843284"/>
    <w:rsid w:val="0084716E"/>
    <w:rsid w:val="00847210"/>
    <w:rsid w:val="00852928"/>
    <w:rsid w:val="00854B9D"/>
    <w:rsid w:val="00855A8A"/>
    <w:rsid w:val="0085658D"/>
    <w:rsid w:val="00857687"/>
    <w:rsid w:val="00861097"/>
    <w:rsid w:val="00864CB7"/>
    <w:rsid w:val="00872795"/>
    <w:rsid w:val="0087314B"/>
    <w:rsid w:val="008765F6"/>
    <w:rsid w:val="008816C0"/>
    <w:rsid w:val="008905C7"/>
    <w:rsid w:val="008942BA"/>
    <w:rsid w:val="00894736"/>
    <w:rsid w:val="00894CC2"/>
    <w:rsid w:val="008A2A6D"/>
    <w:rsid w:val="008A2EC5"/>
    <w:rsid w:val="008B53E6"/>
    <w:rsid w:val="008B77F5"/>
    <w:rsid w:val="008C0279"/>
    <w:rsid w:val="008C3B2E"/>
    <w:rsid w:val="008C7F68"/>
    <w:rsid w:val="008E253C"/>
    <w:rsid w:val="008E2C32"/>
    <w:rsid w:val="008E380C"/>
    <w:rsid w:val="008E545C"/>
    <w:rsid w:val="008E60A9"/>
    <w:rsid w:val="008F25D2"/>
    <w:rsid w:val="008F50EC"/>
    <w:rsid w:val="00910341"/>
    <w:rsid w:val="0091327F"/>
    <w:rsid w:val="00914CC6"/>
    <w:rsid w:val="0091592A"/>
    <w:rsid w:val="0091648C"/>
    <w:rsid w:val="00916E1B"/>
    <w:rsid w:val="0092047C"/>
    <w:rsid w:val="0092084F"/>
    <w:rsid w:val="00927081"/>
    <w:rsid w:val="0092751F"/>
    <w:rsid w:val="00927A54"/>
    <w:rsid w:val="00932067"/>
    <w:rsid w:val="00933C15"/>
    <w:rsid w:val="0093594A"/>
    <w:rsid w:val="009371C3"/>
    <w:rsid w:val="009404C9"/>
    <w:rsid w:val="009418E1"/>
    <w:rsid w:val="00944B42"/>
    <w:rsid w:val="0094699A"/>
    <w:rsid w:val="00955D73"/>
    <w:rsid w:val="00960A08"/>
    <w:rsid w:val="0096353A"/>
    <w:rsid w:val="0096366C"/>
    <w:rsid w:val="0096512C"/>
    <w:rsid w:val="0096540A"/>
    <w:rsid w:val="00971E23"/>
    <w:rsid w:val="009742B7"/>
    <w:rsid w:val="0098180A"/>
    <w:rsid w:val="00987A3B"/>
    <w:rsid w:val="00987A99"/>
    <w:rsid w:val="009928C4"/>
    <w:rsid w:val="0099494C"/>
    <w:rsid w:val="00994D28"/>
    <w:rsid w:val="009952BB"/>
    <w:rsid w:val="0099547F"/>
    <w:rsid w:val="009A00FF"/>
    <w:rsid w:val="009A4831"/>
    <w:rsid w:val="009A74CA"/>
    <w:rsid w:val="009B0041"/>
    <w:rsid w:val="009C5D2A"/>
    <w:rsid w:val="009D094A"/>
    <w:rsid w:val="009D338D"/>
    <w:rsid w:val="009D781D"/>
    <w:rsid w:val="009E2817"/>
    <w:rsid w:val="009E4569"/>
    <w:rsid w:val="009E4A6F"/>
    <w:rsid w:val="009F0B00"/>
    <w:rsid w:val="00A005FC"/>
    <w:rsid w:val="00A0394F"/>
    <w:rsid w:val="00A06567"/>
    <w:rsid w:val="00A06700"/>
    <w:rsid w:val="00A07A01"/>
    <w:rsid w:val="00A116E4"/>
    <w:rsid w:val="00A2678E"/>
    <w:rsid w:val="00A331E7"/>
    <w:rsid w:val="00A33DA1"/>
    <w:rsid w:val="00A34169"/>
    <w:rsid w:val="00A34301"/>
    <w:rsid w:val="00A34813"/>
    <w:rsid w:val="00A35FF4"/>
    <w:rsid w:val="00A37607"/>
    <w:rsid w:val="00A41C3C"/>
    <w:rsid w:val="00A430C1"/>
    <w:rsid w:val="00A60AE5"/>
    <w:rsid w:val="00A653F8"/>
    <w:rsid w:val="00A66358"/>
    <w:rsid w:val="00A67DE9"/>
    <w:rsid w:val="00A744C0"/>
    <w:rsid w:val="00A746A1"/>
    <w:rsid w:val="00A75D6B"/>
    <w:rsid w:val="00A763A2"/>
    <w:rsid w:val="00A76ADB"/>
    <w:rsid w:val="00A8397F"/>
    <w:rsid w:val="00A85756"/>
    <w:rsid w:val="00AA1951"/>
    <w:rsid w:val="00AA3D94"/>
    <w:rsid w:val="00AB0F5E"/>
    <w:rsid w:val="00AB21ED"/>
    <w:rsid w:val="00AB2710"/>
    <w:rsid w:val="00AB2A5C"/>
    <w:rsid w:val="00AC2AB4"/>
    <w:rsid w:val="00AC5DC5"/>
    <w:rsid w:val="00AC6B34"/>
    <w:rsid w:val="00AC7268"/>
    <w:rsid w:val="00AD184B"/>
    <w:rsid w:val="00AD2A3E"/>
    <w:rsid w:val="00AD4336"/>
    <w:rsid w:val="00AD7BCE"/>
    <w:rsid w:val="00AD7C23"/>
    <w:rsid w:val="00AE488C"/>
    <w:rsid w:val="00AE6E57"/>
    <w:rsid w:val="00AF4C1A"/>
    <w:rsid w:val="00B027A0"/>
    <w:rsid w:val="00B0370D"/>
    <w:rsid w:val="00B04620"/>
    <w:rsid w:val="00B0566D"/>
    <w:rsid w:val="00B068B3"/>
    <w:rsid w:val="00B106A2"/>
    <w:rsid w:val="00B107F0"/>
    <w:rsid w:val="00B10BC8"/>
    <w:rsid w:val="00B10BD6"/>
    <w:rsid w:val="00B153C7"/>
    <w:rsid w:val="00B16055"/>
    <w:rsid w:val="00B2143D"/>
    <w:rsid w:val="00B35BD9"/>
    <w:rsid w:val="00B37DE8"/>
    <w:rsid w:val="00B43150"/>
    <w:rsid w:val="00B44BA5"/>
    <w:rsid w:val="00B46FD6"/>
    <w:rsid w:val="00B5164F"/>
    <w:rsid w:val="00B54524"/>
    <w:rsid w:val="00B5617C"/>
    <w:rsid w:val="00B657AB"/>
    <w:rsid w:val="00B66760"/>
    <w:rsid w:val="00B70CF4"/>
    <w:rsid w:val="00B928E7"/>
    <w:rsid w:val="00BA03D0"/>
    <w:rsid w:val="00BA2894"/>
    <w:rsid w:val="00BA5EDE"/>
    <w:rsid w:val="00BA5F7E"/>
    <w:rsid w:val="00BB1CB5"/>
    <w:rsid w:val="00BB1EAB"/>
    <w:rsid w:val="00BB2421"/>
    <w:rsid w:val="00BB3E1E"/>
    <w:rsid w:val="00BC6694"/>
    <w:rsid w:val="00BC772D"/>
    <w:rsid w:val="00BC7E76"/>
    <w:rsid w:val="00BD2058"/>
    <w:rsid w:val="00BD3700"/>
    <w:rsid w:val="00BD3781"/>
    <w:rsid w:val="00BE6255"/>
    <w:rsid w:val="00BE6C4F"/>
    <w:rsid w:val="00BF12F6"/>
    <w:rsid w:val="00C00765"/>
    <w:rsid w:val="00C05FAA"/>
    <w:rsid w:val="00C063A8"/>
    <w:rsid w:val="00C10464"/>
    <w:rsid w:val="00C119C2"/>
    <w:rsid w:val="00C11DA7"/>
    <w:rsid w:val="00C125E2"/>
    <w:rsid w:val="00C1389F"/>
    <w:rsid w:val="00C158D3"/>
    <w:rsid w:val="00C21B54"/>
    <w:rsid w:val="00C22328"/>
    <w:rsid w:val="00C2386F"/>
    <w:rsid w:val="00C250E9"/>
    <w:rsid w:val="00C25F39"/>
    <w:rsid w:val="00C26E7C"/>
    <w:rsid w:val="00C37BB5"/>
    <w:rsid w:val="00C40967"/>
    <w:rsid w:val="00C42C64"/>
    <w:rsid w:val="00C51EAB"/>
    <w:rsid w:val="00C54211"/>
    <w:rsid w:val="00C600E2"/>
    <w:rsid w:val="00C60217"/>
    <w:rsid w:val="00C61CD9"/>
    <w:rsid w:val="00C63D43"/>
    <w:rsid w:val="00C70DDD"/>
    <w:rsid w:val="00C71469"/>
    <w:rsid w:val="00C71EA0"/>
    <w:rsid w:val="00C74134"/>
    <w:rsid w:val="00C752F7"/>
    <w:rsid w:val="00C80962"/>
    <w:rsid w:val="00C81AE9"/>
    <w:rsid w:val="00C823B1"/>
    <w:rsid w:val="00C86D92"/>
    <w:rsid w:val="00C902B7"/>
    <w:rsid w:val="00C92205"/>
    <w:rsid w:val="00C97604"/>
    <w:rsid w:val="00CA271E"/>
    <w:rsid w:val="00CA3147"/>
    <w:rsid w:val="00CA7768"/>
    <w:rsid w:val="00CA79D1"/>
    <w:rsid w:val="00CB0817"/>
    <w:rsid w:val="00CB1488"/>
    <w:rsid w:val="00CB3276"/>
    <w:rsid w:val="00CB5367"/>
    <w:rsid w:val="00CB58A2"/>
    <w:rsid w:val="00CB7414"/>
    <w:rsid w:val="00CC18EB"/>
    <w:rsid w:val="00CD3919"/>
    <w:rsid w:val="00CE07F2"/>
    <w:rsid w:val="00CE19C1"/>
    <w:rsid w:val="00CE3FF1"/>
    <w:rsid w:val="00CE5A42"/>
    <w:rsid w:val="00CF021E"/>
    <w:rsid w:val="00CF251C"/>
    <w:rsid w:val="00CF35E2"/>
    <w:rsid w:val="00CF3955"/>
    <w:rsid w:val="00CF3E69"/>
    <w:rsid w:val="00CF7215"/>
    <w:rsid w:val="00D012C8"/>
    <w:rsid w:val="00D01CFE"/>
    <w:rsid w:val="00D01D59"/>
    <w:rsid w:val="00D07C4B"/>
    <w:rsid w:val="00D10AFD"/>
    <w:rsid w:val="00D10D90"/>
    <w:rsid w:val="00D12AE6"/>
    <w:rsid w:val="00D174F4"/>
    <w:rsid w:val="00D178C7"/>
    <w:rsid w:val="00D225D8"/>
    <w:rsid w:val="00D262A4"/>
    <w:rsid w:val="00D304B4"/>
    <w:rsid w:val="00D315C7"/>
    <w:rsid w:val="00D31679"/>
    <w:rsid w:val="00D331F2"/>
    <w:rsid w:val="00D33A2E"/>
    <w:rsid w:val="00D3798D"/>
    <w:rsid w:val="00D409FB"/>
    <w:rsid w:val="00D40FA5"/>
    <w:rsid w:val="00D41862"/>
    <w:rsid w:val="00D42431"/>
    <w:rsid w:val="00D467C6"/>
    <w:rsid w:val="00D511A1"/>
    <w:rsid w:val="00D56813"/>
    <w:rsid w:val="00D633F6"/>
    <w:rsid w:val="00D63953"/>
    <w:rsid w:val="00D647F0"/>
    <w:rsid w:val="00D713A1"/>
    <w:rsid w:val="00D71B94"/>
    <w:rsid w:val="00D722F0"/>
    <w:rsid w:val="00D728C4"/>
    <w:rsid w:val="00D75334"/>
    <w:rsid w:val="00D8244C"/>
    <w:rsid w:val="00D83437"/>
    <w:rsid w:val="00D872BF"/>
    <w:rsid w:val="00D942EF"/>
    <w:rsid w:val="00D97923"/>
    <w:rsid w:val="00DA0DDD"/>
    <w:rsid w:val="00DA149C"/>
    <w:rsid w:val="00DA2E20"/>
    <w:rsid w:val="00DA2FD3"/>
    <w:rsid w:val="00DA35FC"/>
    <w:rsid w:val="00DA501C"/>
    <w:rsid w:val="00DB72F5"/>
    <w:rsid w:val="00DC08FF"/>
    <w:rsid w:val="00DC2081"/>
    <w:rsid w:val="00DC5E0C"/>
    <w:rsid w:val="00DC76F9"/>
    <w:rsid w:val="00DD2583"/>
    <w:rsid w:val="00DD38BE"/>
    <w:rsid w:val="00DE01F6"/>
    <w:rsid w:val="00DE209D"/>
    <w:rsid w:val="00DE2998"/>
    <w:rsid w:val="00DE4223"/>
    <w:rsid w:val="00DE6A75"/>
    <w:rsid w:val="00DE6B60"/>
    <w:rsid w:val="00DF1483"/>
    <w:rsid w:val="00DF2443"/>
    <w:rsid w:val="00DF3707"/>
    <w:rsid w:val="00DF49B9"/>
    <w:rsid w:val="00DF4A4D"/>
    <w:rsid w:val="00DF5240"/>
    <w:rsid w:val="00DF74F2"/>
    <w:rsid w:val="00DF7FB4"/>
    <w:rsid w:val="00E024F9"/>
    <w:rsid w:val="00E02C62"/>
    <w:rsid w:val="00E069DD"/>
    <w:rsid w:val="00E06D10"/>
    <w:rsid w:val="00E1208E"/>
    <w:rsid w:val="00E14AD6"/>
    <w:rsid w:val="00E20458"/>
    <w:rsid w:val="00E21C4D"/>
    <w:rsid w:val="00E221DA"/>
    <w:rsid w:val="00E27875"/>
    <w:rsid w:val="00E3479E"/>
    <w:rsid w:val="00E402B6"/>
    <w:rsid w:val="00E446AF"/>
    <w:rsid w:val="00E44B9D"/>
    <w:rsid w:val="00E46052"/>
    <w:rsid w:val="00E511CB"/>
    <w:rsid w:val="00E51C90"/>
    <w:rsid w:val="00E52ADA"/>
    <w:rsid w:val="00E55B2E"/>
    <w:rsid w:val="00E56455"/>
    <w:rsid w:val="00E56487"/>
    <w:rsid w:val="00E56E8F"/>
    <w:rsid w:val="00E57A75"/>
    <w:rsid w:val="00E61B17"/>
    <w:rsid w:val="00E627E3"/>
    <w:rsid w:val="00E83161"/>
    <w:rsid w:val="00E8340C"/>
    <w:rsid w:val="00E853F3"/>
    <w:rsid w:val="00E85CE2"/>
    <w:rsid w:val="00E95ACB"/>
    <w:rsid w:val="00EA7125"/>
    <w:rsid w:val="00EB326E"/>
    <w:rsid w:val="00EC2491"/>
    <w:rsid w:val="00EC6056"/>
    <w:rsid w:val="00ED0B24"/>
    <w:rsid w:val="00ED2C42"/>
    <w:rsid w:val="00ED50F4"/>
    <w:rsid w:val="00EE04E3"/>
    <w:rsid w:val="00EE066E"/>
    <w:rsid w:val="00EE5245"/>
    <w:rsid w:val="00EF3B2B"/>
    <w:rsid w:val="00EF4477"/>
    <w:rsid w:val="00EF65E1"/>
    <w:rsid w:val="00F00E16"/>
    <w:rsid w:val="00F00EE9"/>
    <w:rsid w:val="00F060FB"/>
    <w:rsid w:val="00F10D80"/>
    <w:rsid w:val="00F15041"/>
    <w:rsid w:val="00F16598"/>
    <w:rsid w:val="00F20EBD"/>
    <w:rsid w:val="00F23B71"/>
    <w:rsid w:val="00F250A3"/>
    <w:rsid w:val="00F25769"/>
    <w:rsid w:val="00F2629B"/>
    <w:rsid w:val="00F319C8"/>
    <w:rsid w:val="00F343EA"/>
    <w:rsid w:val="00F379DD"/>
    <w:rsid w:val="00F40786"/>
    <w:rsid w:val="00F41A69"/>
    <w:rsid w:val="00F45677"/>
    <w:rsid w:val="00F47244"/>
    <w:rsid w:val="00F511A7"/>
    <w:rsid w:val="00F55F78"/>
    <w:rsid w:val="00F61B17"/>
    <w:rsid w:val="00F63E77"/>
    <w:rsid w:val="00F660F9"/>
    <w:rsid w:val="00F67631"/>
    <w:rsid w:val="00F72A35"/>
    <w:rsid w:val="00F85E09"/>
    <w:rsid w:val="00F87754"/>
    <w:rsid w:val="00F87F21"/>
    <w:rsid w:val="00F93F5E"/>
    <w:rsid w:val="00FA0F57"/>
    <w:rsid w:val="00FA5F45"/>
    <w:rsid w:val="00FA7522"/>
    <w:rsid w:val="00FB3102"/>
    <w:rsid w:val="00FC10FB"/>
    <w:rsid w:val="00FC13F5"/>
    <w:rsid w:val="00FC2C59"/>
    <w:rsid w:val="00FC4502"/>
    <w:rsid w:val="00FD178C"/>
    <w:rsid w:val="00FE432A"/>
    <w:rsid w:val="00FF0148"/>
    <w:rsid w:val="00FF1074"/>
    <w:rsid w:val="00FF648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85"/>
    <o:shapelayout v:ext="edit">
      <o:idmap v:ext="edit" data="2"/>
      <o:rules v:ext="edit">
        <o:r id="V:Rule1" type="connector" idref="#AutoShape 15">
          <o:proxy end="" idref="#AutoShape 12" connectloc="1"/>
        </o:r>
        <o:r id="V:Rule2" type="connector" idref="#AutoShape 31"/>
        <o:r id="V:Rule3" type="connector" idref="#AutoShape 8"/>
        <o:r id="V:Rule4" type="connector" idref="#AutoShape 30"/>
        <o:r id="V:Rule5" type="connector" idref="#AutoShape 9"/>
        <o:r id="V:Rule6" type="connector" idref="#AutoShape 35"/>
        <o:r id="V:Rule7" type="connector" idref="#AutoShape 16">
          <o:proxy end="" idref="#AutoShape 10" connectloc="1"/>
        </o:r>
      </o:rules>
    </o:shapelayout>
  </w:shapeDefaults>
  <w:decimalSymbol w:val="."/>
  <w:listSeparator w:val=","/>
  <w14:docId w14:val="43108BF3"/>
  <w15:chartTrackingRefBased/>
  <w15:docId w15:val="{2E23C2EC-5EEF-4018-AD69-B5644E5CD2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4716E"/>
    <w:rPr>
      <w:sz w:val="22"/>
      <w:szCs w:val="22"/>
    </w:rPr>
  </w:style>
  <w:style w:type="paragraph" w:styleId="Heading1">
    <w:name w:val="heading 1"/>
    <w:basedOn w:val="Normal"/>
    <w:next w:val="Normal"/>
    <w:link w:val="Heading1Char"/>
    <w:qFormat/>
    <w:rsid w:val="00650F99"/>
    <w:pPr>
      <w:keepNext/>
      <w:pBdr>
        <w:bottom w:val="single" w:sz="4" w:space="4" w:color="365F91"/>
      </w:pBdr>
      <w:spacing w:after="480"/>
      <w:outlineLvl w:val="0"/>
    </w:pPr>
    <w:rPr>
      <w:rFonts w:ascii="Georgia" w:hAnsi="Georgia"/>
      <w:bCs/>
      <w:color w:val="1B556B"/>
      <w:sz w:val="48"/>
    </w:rPr>
  </w:style>
  <w:style w:type="paragraph" w:styleId="Heading2">
    <w:name w:val="heading 2"/>
    <w:basedOn w:val="Normal"/>
    <w:next w:val="BodyText"/>
    <w:link w:val="Heading2Char"/>
    <w:qFormat/>
    <w:rsid w:val="00201FB1"/>
    <w:pPr>
      <w:keepNext/>
      <w:tabs>
        <w:tab w:val="left" w:pos="964"/>
      </w:tabs>
      <w:spacing w:before="360"/>
      <w:ind w:left="964" w:hanging="964"/>
      <w:outlineLvl w:val="1"/>
    </w:pPr>
    <w:rPr>
      <w:rFonts w:ascii="Georgia" w:hAnsi="Georgia"/>
      <w:b/>
      <w:color w:val="1B556B"/>
      <w:sz w:val="32"/>
    </w:rPr>
  </w:style>
  <w:style w:type="paragraph" w:styleId="Heading3">
    <w:name w:val="heading 3"/>
    <w:basedOn w:val="Normal"/>
    <w:next w:val="BodyText"/>
    <w:link w:val="Heading3Char"/>
    <w:qFormat/>
    <w:rsid w:val="00201FB1"/>
    <w:pPr>
      <w:keepNext/>
      <w:tabs>
        <w:tab w:val="left" w:pos="964"/>
      </w:tabs>
      <w:spacing w:before="360"/>
      <w:ind w:left="964" w:hanging="964"/>
      <w:outlineLvl w:val="2"/>
    </w:pPr>
    <w:rPr>
      <w:rFonts w:ascii="Georgia" w:hAnsi="Georgia"/>
      <w:b/>
      <w:color w:val="1B556B"/>
      <w:sz w:val="26"/>
    </w:rPr>
  </w:style>
  <w:style w:type="paragraph" w:styleId="Heading4">
    <w:name w:val="heading 4"/>
    <w:basedOn w:val="Normal"/>
    <w:next w:val="Normal"/>
    <w:link w:val="Heading4Char"/>
    <w:qFormat/>
    <w:rsid w:val="00CF3E69"/>
    <w:pPr>
      <w:keepNext/>
      <w:spacing w:before="240"/>
      <w:outlineLvl w:val="3"/>
    </w:pPr>
    <w:rPr>
      <w:b/>
      <w:color w:val="1B556B"/>
    </w:rPr>
  </w:style>
  <w:style w:type="paragraph" w:styleId="Heading5">
    <w:name w:val="heading 5"/>
    <w:basedOn w:val="Normal"/>
    <w:next w:val="Normal"/>
    <w:link w:val="Heading5Char"/>
    <w:qFormat/>
    <w:rsid w:val="001F48D9"/>
    <w:pPr>
      <w:keepNext/>
      <w:spacing w:before="240"/>
      <w:outlineLvl w:val="4"/>
    </w:pPr>
    <w:rPr>
      <w:bCs/>
      <w:i/>
      <w:iCs/>
      <w:color w:val="1B556B"/>
      <w:szCs w:val="26"/>
    </w:rPr>
  </w:style>
  <w:style w:type="paragraph" w:styleId="Heading6">
    <w:name w:val="heading 6"/>
    <w:basedOn w:val="Normal"/>
    <w:next w:val="Normal"/>
    <w:link w:val="Heading6Char"/>
    <w:qFormat/>
    <w:rsid w:val="0099547F"/>
    <w:pPr>
      <w:keepNext/>
      <w:spacing w:before="240"/>
      <w:outlineLvl w:val="5"/>
    </w:pPr>
    <w:rPr>
      <w:b/>
      <w:iCs/>
      <w:lang w:eastAsia="en-US"/>
    </w:rPr>
  </w:style>
  <w:style w:type="paragraph" w:styleId="Heading7">
    <w:name w:val="heading 7"/>
    <w:aliases w:val=" Char15,Char15"/>
    <w:basedOn w:val="Normal"/>
    <w:next w:val="Normal"/>
    <w:link w:val="Heading7Char"/>
    <w:semiHidden/>
    <w:qFormat/>
    <w:rsid w:val="0099547F"/>
    <w:pPr>
      <w:keepNext/>
      <w:keepLines/>
      <w:spacing w:before="200"/>
      <w:outlineLvl w:val="6"/>
    </w:pPr>
    <w:rPr>
      <w:rFonts w:ascii="Arial" w:hAnsi="Arial"/>
      <w:i/>
      <w:iCs/>
      <w:color w:val="404040"/>
      <w:lang w:eastAsia="en-US"/>
    </w:rPr>
  </w:style>
  <w:style w:type="paragraph" w:styleId="Heading8">
    <w:name w:val="heading 8"/>
    <w:aliases w:val=" Char14,Char14"/>
    <w:basedOn w:val="Normal"/>
    <w:next w:val="Normal"/>
    <w:link w:val="Heading8Char"/>
    <w:semiHidden/>
    <w:qFormat/>
    <w:rsid w:val="0099547F"/>
    <w:pPr>
      <w:keepNext/>
      <w:keepLines/>
      <w:spacing w:before="200"/>
      <w:outlineLvl w:val="7"/>
    </w:pPr>
    <w:rPr>
      <w:rFonts w:ascii="Arial" w:hAnsi="Arial"/>
      <w:color w:val="4F81BD"/>
      <w:sz w:val="20"/>
      <w:szCs w:val="20"/>
      <w:lang w:eastAsia="en-US"/>
    </w:rPr>
  </w:style>
  <w:style w:type="paragraph" w:styleId="Heading9">
    <w:name w:val="heading 9"/>
    <w:aliases w:val=" Char13,Char13"/>
    <w:basedOn w:val="Normal"/>
    <w:next w:val="Normal"/>
    <w:link w:val="Heading9Char"/>
    <w:semiHidden/>
    <w:qFormat/>
    <w:rsid w:val="0099547F"/>
    <w:pPr>
      <w:keepNext/>
      <w:keepLines/>
      <w:spacing w:before="200"/>
      <w:outlineLvl w:val="8"/>
    </w:pPr>
    <w:rPr>
      <w:rFonts w:ascii="Arial" w:hAnsi="Arial"/>
      <w:i/>
      <w:iCs/>
      <w:color w:val="404040"/>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331E7"/>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772E94"/>
    <w:pPr>
      <w:jc w:val="center"/>
    </w:pPr>
    <w:rPr>
      <w:rFonts w:ascii="Arial" w:hAnsi="Arial"/>
      <w:sz w:val="16"/>
    </w:rPr>
  </w:style>
  <w:style w:type="paragraph" w:customStyle="1" w:styleId="Blockquote">
    <w:name w:val="Blockquote"/>
    <w:basedOn w:val="Normal"/>
    <w:semiHidden/>
    <w:rsid w:val="00772E94"/>
    <w:pPr>
      <w:ind w:left="567" w:right="567"/>
    </w:pPr>
    <w:rPr>
      <w:i/>
      <w:sz w:val="20"/>
    </w:rPr>
  </w:style>
  <w:style w:type="paragraph" w:styleId="BodyText">
    <w:name w:val="Body Text"/>
    <w:basedOn w:val="Normal"/>
    <w:link w:val="BodyTextChar"/>
    <w:qFormat/>
    <w:rsid w:val="00CE19C1"/>
    <w:pPr>
      <w:spacing w:before="120" w:after="120"/>
    </w:pPr>
  </w:style>
  <w:style w:type="paragraph" w:customStyle="1" w:styleId="Box">
    <w:name w:val="Box"/>
    <w:basedOn w:val="Normal"/>
    <w:next w:val="Normal"/>
    <w:uiPriority w:val="2"/>
    <w:rsid w:val="000576EC"/>
    <w:pPr>
      <w:pBdr>
        <w:top w:val="single" w:sz="6" w:space="15" w:color="auto"/>
        <w:left w:val="single" w:sz="6" w:space="15" w:color="auto"/>
        <w:bottom w:val="single" w:sz="6" w:space="15" w:color="auto"/>
        <w:right w:val="single" w:sz="6" w:space="15" w:color="auto"/>
      </w:pBdr>
      <w:ind w:right="284"/>
    </w:pPr>
    <w:rPr>
      <w:sz w:val="20"/>
    </w:rPr>
  </w:style>
  <w:style w:type="paragraph" w:customStyle="1" w:styleId="BoxBullet">
    <w:name w:val="Box Bullet"/>
    <w:basedOn w:val="Box"/>
    <w:uiPriority w:val="2"/>
    <w:rsid w:val="00855A8A"/>
    <w:pPr>
      <w:tabs>
        <w:tab w:val="num" w:pos="284"/>
        <w:tab w:val="left" w:pos="567"/>
      </w:tabs>
      <w:spacing w:before="120"/>
      <w:ind w:left="567" w:hanging="284"/>
    </w:pPr>
  </w:style>
  <w:style w:type="paragraph" w:customStyle="1" w:styleId="BoxHeading">
    <w:name w:val="BoxHeading"/>
    <w:basedOn w:val="Box"/>
    <w:next w:val="Box"/>
    <w:uiPriority w:val="2"/>
    <w:rsid w:val="00153F5A"/>
    <w:pPr>
      <w:spacing w:after="240"/>
    </w:pPr>
    <w:rPr>
      <w:b/>
      <w:sz w:val="22"/>
    </w:rPr>
  </w:style>
  <w:style w:type="paragraph" w:customStyle="1" w:styleId="Bullet">
    <w:name w:val="Bullet"/>
    <w:basedOn w:val="Normal"/>
    <w:link w:val="BulletChar"/>
    <w:qFormat/>
    <w:rsid w:val="00F93F5E"/>
    <w:pPr>
      <w:numPr>
        <w:numId w:val="2"/>
      </w:numPr>
      <w:tabs>
        <w:tab w:val="left" w:pos="397"/>
      </w:tabs>
      <w:spacing w:after="120"/>
    </w:pPr>
  </w:style>
  <w:style w:type="paragraph" w:customStyle="1" w:styleId="Heading">
    <w:name w:val="Heading"/>
    <w:basedOn w:val="Heading1"/>
    <w:next w:val="Normal"/>
    <w:rsid w:val="00650F99"/>
    <w:pPr>
      <w:outlineLvl w:val="9"/>
    </w:pPr>
  </w:style>
  <w:style w:type="paragraph" w:customStyle="1" w:styleId="ContentsHeading">
    <w:name w:val="ContentsHeading"/>
    <w:basedOn w:val="Heading"/>
    <w:next w:val="BodyText"/>
    <w:uiPriority w:val="2"/>
    <w:semiHidden/>
    <w:rsid w:val="00650F99"/>
    <w:rPr>
      <w:b/>
    </w:rPr>
  </w:style>
  <w:style w:type="paragraph" w:customStyle="1" w:styleId="Sub-bullet">
    <w:name w:val="Sub-bullet"/>
    <w:basedOn w:val="Normal"/>
    <w:uiPriority w:val="1"/>
    <w:rsid w:val="00C42C64"/>
    <w:pPr>
      <w:tabs>
        <w:tab w:val="left" w:pos="794"/>
      </w:tabs>
      <w:spacing w:after="120"/>
      <w:ind w:left="1400" w:hanging="360"/>
    </w:pPr>
  </w:style>
  <w:style w:type="paragraph" w:customStyle="1" w:styleId="FooterEven">
    <w:name w:val="Footer Even"/>
    <w:basedOn w:val="Normal"/>
    <w:next w:val="Normal"/>
    <w:uiPriority w:val="99"/>
    <w:rsid w:val="00A34169"/>
    <w:pPr>
      <w:pBdr>
        <w:top w:val="single" w:sz="4" w:space="4" w:color="auto"/>
      </w:pBdr>
      <w:tabs>
        <w:tab w:val="left" w:pos="851"/>
      </w:tabs>
    </w:pPr>
    <w:rPr>
      <w:sz w:val="16"/>
    </w:rPr>
  </w:style>
  <w:style w:type="paragraph" w:customStyle="1" w:styleId="Figure">
    <w:name w:val="Figure"/>
    <w:basedOn w:val="Normal"/>
    <w:next w:val="BodyText"/>
    <w:link w:val="FigureChar"/>
    <w:qFormat/>
    <w:rsid w:val="00854B9D"/>
    <w:pPr>
      <w:keepNext/>
      <w:spacing w:before="120" w:after="120"/>
      <w:ind w:left="1247" w:hanging="1247"/>
    </w:pPr>
    <w:rPr>
      <w:b/>
      <w:sz w:val="18"/>
    </w:rPr>
  </w:style>
  <w:style w:type="character" w:styleId="FootnoteReference">
    <w:name w:val="footnote reference"/>
    <w:uiPriority w:val="99"/>
    <w:semiHidden/>
    <w:rsid w:val="00CE19C1"/>
    <w:rPr>
      <w:rFonts w:ascii="Calibri" w:hAnsi="Calibri"/>
      <w:sz w:val="22"/>
      <w:vertAlign w:val="superscript"/>
    </w:rPr>
  </w:style>
  <w:style w:type="paragraph" w:styleId="FootnoteText">
    <w:name w:val="footnote text"/>
    <w:basedOn w:val="Normal"/>
    <w:link w:val="FootnoteTextChar"/>
    <w:uiPriority w:val="9"/>
    <w:qFormat/>
    <w:rsid w:val="0032349D"/>
    <w:pPr>
      <w:spacing w:after="60"/>
      <w:ind w:left="284" w:hanging="284"/>
    </w:pPr>
    <w:rPr>
      <w:sz w:val="19"/>
    </w:rPr>
  </w:style>
  <w:style w:type="character" w:styleId="Hyperlink">
    <w:name w:val="Hyperlink"/>
    <w:uiPriority w:val="99"/>
    <w:rsid w:val="00A430C1"/>
    <w:rPr>
      <w:color w:val="32809C"/>
      <w:u w:val="none"/>
    </w:rPr>
  </w:style>
  <w:style w:type="paragraph" w:customStyle="1" w:styleId="Imprint">
    <w:name w:val="Imprint"/>
    <w:basedOn w:val="Normal"/>
    <w:next w:val="Normal"/>
    <w:semiHidden/>
    <w:rsid w:val="00A34169"/>
    <w:pPr>
      <w:spacing w:after="240"/>
      <w:jc w:val="center"/>
    </w:pPr>
  </w:style>
  <w:style w:type="paragraph" w:customStyle="1" w:styleId="Noteundertable">
    <w:name w:val="Note under table"/>
    <w:basedOn w:val="Normal"/>
    <w:next w:val="Normal"/>
    <w:link w:val="NoteundertableChar"/>
    <w:qFormat/>
    <w:rsid w:val="006D3FAE"/>
    <w:pPr>
      <w:tabs>
        <w:tab w:val="left" w:pos="567"/>
      </w:tabs>
      <w:spacing w:before="120" w:after="120"/>
      <w:ind w:left="567" w:hanging="567"/>
    </w:pPr>
    <w:rPr>
      <w:sz w:val="18"/>
    </w:rPr>
  </w:style>
  <w:style w:type="paragraph" w:customStyle="1" w:styleId="FooterOdd">
    <w:name w:val="Footer Odd"/>
    <w:basedOn w:val="Normal"/>
    <w:next w:val="Normal"/>
    <w:uiPriority w:val="99"/>
    <w:rsid w:val="00A34169"/>
    <w:pPr>
      <w:pBdr>
        <w:top w:val="single" w:sz="4" w:space="4" w:color="auto"/>
      </w:pBdr>
      <w:tabs>
        <w:tab w:val="right" w:pos="7655"/>
        <w:tab w:val="right" w:pos="8505"/>
      </w:tabs>
    </w:pPr>
    <w:rPr>
      <w:sz w:val="16"/>
    </w:rPr>
  </w:style>
  <w:style w:type="character" w:styleId="PageNumber">
    <w:name w:val="page number"/>
    <w:semiHidden/>
    <w:rsid w:val="00A34169"/>
    <w:rPr>
      <w:rFonts w:ascii="Calibri" w:hAnsi="Calibri"/>
      <w:b/>
      <w:sz w:val="24"/>
    </w:rPr>
  </w:style>
  <w:style w:type="paragraph" w:customStyle="1" w:styleId="References">
    <w:name w:val="References"/>
    <w:basedOn w:val="Normal"/>
    <w:link w:val="ReferencesChar"/>
    <w:qFormat/>
    <w:rsid w:val="00772E94"/>
    <w:pPr>
      <w:spacing w:after="120"/>
    </w:pPr>
    <w:rPr>
      <w:sz w:val="20"/>
    </w:rPr>
  </w:style>
  <w:style w:type="paragraph" w:customStyle="1" w:styleId="Source">
    <w:name w:val="Source"/>
    <w:basedOn w:val="Normal"/>
    <w:next w:val="Normal"/>
    <w:uiPriority w:val="1"/>
    <w:qFormat/>
    <w:rsid w:val="00CE19C1"/>
    <w:pPr>
      <w:tabs>
        <w:tab w:val="left" w:pos="680"/>
      </w:tabs>
      <w:spacing w:before="120"/>
    </w:pPr>
    <w:rPr>
      <w:sz w:val="16"/>
    </w:rPr>
  </w:style>
  <w:style w:type="paragraph" w:styleId="Title">
    <w:name w:val="Title"/>
    <w:basedOn w:val="Normal"/>
    <w:link w:val="TitleChar"/>
    <w:uiPriority w:val="2"/>
    <w:semiHidden/>
    <w:qFormat/>
    <w:rsid w:val="00650F99"/>
    <w:pPr>
      <w:spacing w:line="360" w:lineRule="auto"/>
      <w:jc w:val="center"/>
    </w:pPr>
    <w:rPr>
      <w:rFonts w:ascii="Georgia" w:hAnsi="Georgia"/>
      <w:b/>
      <w:color w:val="1B556B"/>
      <w:sz w:val="48"/>
    </w:rPr>
  </w:style>
  <w:style w:type="paragraph" w:styleId="Subtitle">
    <w:name w:val="Subtitle"/>
    <w:basedOn w:val="Title"/>
    <w:link w:val="SubtitleChar"/>
    <w:qFormat/>
    <w:rsid w:val="00772E94"/>
    <w:pPr>
      <w:spacing w:before="600" w:line="240" w:lineRule="auto"/>
      <w:outlineLvl w:val="1"/>
    </w:pPr>
    <w:rPr>
      <w:sz w:val="36"/>
    </w:rPr>
  </w:style>
  <w:style w:type="paragraph" w:customStyle="1" w:styleId="Table">
    <w:name w:val="Table"/>
    <w:basedOn w:val="Normal"/>
    <w:next w:val="BodyText"/>
    <w:link w:val="TableChar"/>
    <w:rsid w:val="007409A3"/>
    <w:pPr>
      <w:keepNext/>
      <w:spacing w:before="120" w:after="120"/>
      <w:ind w:left="1247" w:hanging="1247"/>
    </w:pPr>
    <w:rPr>
      <w:b/>
      <w:sz w:val="18"/>
    </w:rPr>
  </w:style>
  <w:style w:type="paragraph" w:customStyle="1" w:styleId="TableText">
    <w:name w:val="TableText"/>
    <w:basedOn w:val="Normal"/>
    <w:link w:val="TableTextChar"/>
    <w:qFormat/>
    <w:rsid w:val="00CE19C1"/>
    <w:pPr>
      <w:spacing w:before="60" w:after="60"/>
    </w:pPr>
    <w:rPr>
      <w:sz w:val="16"/>
    </w:rPr>
  </w:style>
  <w:style w:type="paragraph" w:customStyle="1" w:styleId="TableTextBold">
    <w:name w:val="TableText Bold"/>
    <w:basedOn w:val="TableText"/>
    <w:link w:val="TableTextBoldChar"/>
    <w:qFormat/>
    <w:rsid w:val="00F511A7"/>
    <w:rPr>
      <w:b/>
      <w:noProof/>
    </w:rPr>
  </w:style>
  <w:style w:type="paragraph" w:styleId="TOC1">
    <w:name w:val="toc 1"/>
    <w:basedOn w:val="Normal"/>
    <w:next w:val="Normal"/>
    <w:uiPriority w:val="39"/>
    <w:qFormat/>
    <w:rsid w:val="00861097"/>
    <w:pPr>
      <w:tabs>
        <w:tab w:val="right" w:pos="8505"/>
      </w:tabs>
      <w:spacing w:before="280"/>
      <w:ind w:left="567" w:right="567" w:hanging="567"/>
    </w:pPr>
    <w:rPr>
      <w:noProof/>
      <w:sz w:val="24"/>
    </w:rPr>
  </w:style>
  <w:style w:type="paragraph" w:styleId="TOC2">
    <w:name w:val="toc 2"/>
    <w:basedOn w:val="Normal"/>
    <w:next w:val="Normal"/>
    <w:uiPriority w:val="39"/>
    <w:qFormat/>
    <w:rsid w:val="00D467C6"/>
    <w:pPr>
      <w:tabs>
        <w:tab w:val="left" w:pos="1134"/>
        <w:tab w:val="right" w:pos="8505"/>
      </w:tabs>
      <w:spacing w:before="120"/>
      <w:ind w:left="1134" w:right="567" w:hanging="567"/>
    </w:pPr>
    <w:rPr>
      <w:noProof/>
      <w:sz w:val="20"/>
    </w:rPr>
  </w:style>
  <w:style w:type="paragraph" w:styleId="TOC3">
    <w:name w:val="toc 3"/>
    <w:basedOn w:val="Normal"/>
    <w:next w:val="Normal"/>
    <w:uiPriority w:val="39"/>
    <w:semiHidden/>
    <w:qFormat/>
    <w:rsid w:val="005C3384"/>
    <w:pPr>
      <w:tabs>
        <w:tab w:val="left" w:pos="1701"/>
        <w:tab w:val="right" w:pos="7938"/>
      </w:tabs>
      <w:spacing w:before="120" w:after="120"/>
      <w:ind w:left="1134"/>
    </w:pPr>
    <w:rPr>
      <w:rFonts w:ascii="Arial" w:hAnsi="Arial"/>
      <w:sz w:val="20"/>
    </w:rPr>
  </w:style>
  <w:style w:type="paragraph" w:styleId="Caption">
    <w:name w:val="caption"/>
    <w:basedOn w:val="Normal"/>
    <w:next w:val="Normal"/>
    <w:semiHidden/>
    <w:qFormat/>
    <w:rsid w:val="00CE19C1"/>
    <w:pPr>
      <w:tabs>
        <w:tab w:val="left" w:pos="851"/>
      </w:tabs>
    </w:pPr>
    <w:rPr>
      <w:bCs/>
      <w:sz w:val="18"/>
    </w:rPr>
  </w:style>
  <w:style w:type="paragraph" w:customStyle="1" w:styleId="TableBullet">
    <w:name w:val="TableBullet"/>
    <w:basedOn w:val="TableText"/>
    <w:next w:val="TableText"/>
    <w:rsid w:val="007F4746"/>
    <w:pPr>
      <w:numPr>
        <w:numId w:val="1"/>
      </w:numPr>
      <w:spacing w:before="0" w:after="40"/>
    </w:pPr>
    <w:rPr>
      <w:szCs w:val="16"/>
    </w:rPr>
  </w:style>
  <w:style w:type="paragraph" w:styleId="TableofFigures">
    <w:name w:val="table of figures"/>
    <w:basedOn w:val="Normal"/>
    <w:next w:val="Normal"/>
    <w:uiPriority w:val="99"/>
    <w:rsid w:val="0084716E"/>
    <w:pPr>
      <w:tabs>
        <w:tab w:val="right" w:pos="8505"/>
      </w:tabs>
      <w:spacing w:before="20" w:after="20"/>
      <w:ind w:left="1531" w:right="567" w:hanging="1531"/>
    </w:pPr>
    <w:rPr>
      <w:sz w:val="20"/>
    </w:rPr>
  </w:style>
  <w:style w:type="paragraph" w:styleId="BalloonText">
    <w:name w:val="Balloon Text"/>
    <w:aliases w:val=" Char6,Char6"/>
    <w:basedOn w:val="Normal"/>
    <w:link w:val="BalloonTextChar"/>
    <w:semiHidden/>
    <w:unhideWhenUsed/>
    <w:rsid w:val="007409A3"/>
    <w:rPr>
      <w:rFonts w:ascii="Segoe UI" w:hAnsi="Segoe UI" w:cs="Segoe UI"/>
      <w:sz w:val="18"/>
      <w:szCs w:val="18"/>
    </w:rPr>
  </w:style>
  <w:style w:type="character" w:customStyle="1" w:styleId="BalloonTextChar">
    <w:name w:val="Balloon Text Char"/>
    <w:aliases w:val=" Char6 Char,Char6 Char"/>
    <w:link w:val="BalloonText"/>
    <w:semiHidden/>
    <w:rsid w:val="007409A3"/>
    <w:rPr>
      <w:rFonts w:ascii="Segoe UI" w:hAnsi="Segoe UI" w:cs="Segoe UI"/>
      <w:sz w:val="18"/>
      <w:szCs w:val="18"/>
    </w:rPr>
  </w:style>
  <w:style w:type="character" w:customStyle="1" w:styleId="Heading6Char">
    <w:name w:val="Heading 6 Char"/>
    <w:link w:val="Heading6"/>
    <w:rsid w:val="0099547F"/>
    <w:rPr>
      <w:b/>
      <w:iCs/>
      <w:sz w:val="22"/>
      <w:szCs w:val="22"/>
      <w:lang w:eastAsia="en-US"/>
    </w:rPr>
  </w:style>
  <w:style w:type="character" w:customStyle="1" w:styleId="Heading7Char">
    <w:name w:val="Heading 7 Char"/>
    <w:aliases w:val=" Char15 Char,Char15 Char"/>
    <w:link w:val="Heading7"/>
    <w:semiHidden/>
    <w:rsid w:val="0099547F"/>
    <w:rPr>
      <w:rFonts w:ascii="Arial" w:hAnsi="Arial"/>
      <w:i/>
      <w:iCs/>
      <w:color w:val="404040"/>
      <w:sz w:val="22"/>
      <w:szCs w:val="22"/>
      <w:lang w:eastAsia="en-US"/>
    </w:rPr>
  </w:style>
  <w:style w:type="character" w:customStyle="1" w:styleId="Heading8Char">
    <w:name w:val="Heading 8 Char"/>
    <w:aliases w:val=" Char14 Char,Char14 Char"/>
    <w:link w:val="Heading8"/>
    <w:semiHidden/>
    <w:rsid w:val="0099547F"/>
    <w:rPr>
      <w:rFonts w:ascii="Arial" w:hAnsi="Arial"/>
      <w:color w:val="4F81BD"/>
      <w:lang w:eastAsia="en-US"/>
    </w:rPr>
  </w:style>
  <w:style w:type="character" w:customStyle="1" w:styleId="Heading9Char">
    <w:name w:val="Heading 9 Char"/>
    <w:aliases w:val=" Char13 Char,Char13 Char"/>
    <w:link w:val="Heading9"/>
    <w:semiHidden/>
    <w:rsid w:val="0099547F"/>
    <w:rPr>
      <w:rFonts w:ascii="Arial" w:hAnsi="Arial"/>
      <w:i/>
      <w:iCs/>
      <w:color w:val="404040"/>
      <w:lang w:eastAsia="en-US"/>
    </w:rPr>
  </w:style>
  <w:style w:type="character" w:customStyle="1" w:styleId="Heading1Char">
    <w:name w:val="Heading 1 Char"/>
    <w:link w:val="Heading1"/>
    <w:rsid w:val="0099547F"/>
    <w:rPr>
      <w:rFonts w:ascii="Georgia" w:hAnsi="Georgia"/>
      <w:bCs/>
      <w:color w:val="1B556B"/>
      <w:sz w:val="48"/>
      <w:szCs w:val="22"/>
    </w:rPr>
  </w:style>
  <w:style w:type="character" w:customStyle="1" w:styleId="Heading2Char">
    <w:name w:val="Heading 2 Char"/>
    <w:link w:val="Heading2"/>
    <w:rsid w:val="00201FB1"/>
    <w:rPr>
      <w:rFonts w:ascii="Georgia" w:hAnsi="Georgia"/>
      <w:b/>
      <w:color w:val="1B556B"/>
      <w:sz w:val="32"/>
      <w:szCs w:val="22"/>
    </w:rPr>
  </w:style>
  <w:style w:type="character" w:customStyle="1" w:styleId="Heading3Char">
    <w:name w:val="Heading 3 Char"/>
    <w:link w:val="Heading3"/>
    <w:rsid w:val="00201FB1"/>
    <w:rPr>
      <w:rFonts w:ascii="Georgia" w:hAnsi="Georgia"/>
      <w:b/>
      <w:color w:val="1B556B"/>
      <w:sz w:val="26"/>
      <w:szCs w:val="22"/>
    </w:rPr>
  </w:style>
  <w:style w:type="character" w:customStyle="1" w:styleId="Heading4Char">
    <w:name w:val="Heading 4 Char"/>
    <w:link w:val="Heading4"/>
    <w:rsid w:val="00CF3E69"/>
    <w:rPr>
      <w:b/>
      <w:color w:val="1B556B"/>
      <w:sz w:val="22"/>
      <w:szCs w:val="22"/>
    </w:rPr>
  </w:style>
  <w:style w:type="character" w:customStyle="1" w:styleId="Heading5Char">
    <w:name w:val="Heading 5 Char"/>
    <w:link w:val="Heading5"/>
    <w:rsid w:val="0099547F"/>
    <w:rPr>
      <w:bCs/>
      <w:i/>
      <w:iCs/>
      <w:color w:val="1B556B"/>
      <w:sz w:val="22"/>
      <w:szCs w:val="26"/>
    </w:rPr>
  </w:style>
  <w:style w:type="character" w:customStyle="1" w:styleId="HeaderChar">
    <w:name w:val="Header Char"/>
    <w:link w:val="Header"/>
    <w:semiHidden/>
    <w:rsid w:val="0099547F"/>
    <w:rPr>
      <w:rFonts w:ascii="Arial" w:hAnsi="Arial"/>
      <w:sz w:val="16"/>
      <w:szCs w:val="22"/>
    </w:rPr>
  </w:style>
  <w:style w:type="character" w:customStyle="1" w:styleId="FootnoteTextChar">
    <w:name w:val="Footnote Text Char"/>
    <w:link w:val="FootnoteText"/>
    <w:uiPriority w:val="9"/>
    <w:rsid w:val="0099547F"/>
    <w:rPr>
      <w:sz w:val="19"/>
      <w:szCs w:val="22"/>
    </w:rPr>
  </w:style>
  <w:style w:type="character" w:customStyle="1" w:styleId="TitleChar">
    <w:name w:val="Title Char"/>
    <w:link w:val="Title"/>
    <w:uiPriority w:val="2"/>
    <w:semiHidden/>
    <w:rsid w:val="0099547F"/>
    <w:rPr>
      <w:rFonts w:ascii="Georgia" w:hAnsi="Georgia"/>
      <w:b/>
      <w:color w:val="1B556B"/>
      <w:sz w:val="48"/>
      <w:szCs w:val="22"/>
    </w:rPr>
  </w:style>
  <w:style w:type="character" w:customStyle="1" w:styleId="SubtitleChar">
    <w:name w:val="Subtitle Char"/>
    <w:link w:val="Subtitle"/>
    <w:rsid w:val="0099547F"/>
    <w:rPr>
      <w:rFonts w:ascii="Georgia" w:hAnsi="Georgia"/>
      <w:b/>
      <w:color w:val="1B556B"/>
      <w:sz w:val="36"/>
      <w:szCs w:val="22"/>
    </w:rPr>
  </w:style>
  <w:style w:type="character" w:customStyle="1" w:styleId="TableTextBoldChar">
    <w:name w:val="TableText Bold Char"/>
    <w:link w:val="TableTextBold"/>
    <w:rsid w:val="0099547F"/>
    <w:rPr>
      <w:b/>
      <w:noProof/>
      <w:sz w:val="16"/>
      <w:szCs w:val="22"/>
    </w:rPr>
  </w:style>
  <w:style w:type="character" w:customStyle="1" w:styleId="TableTextChar">
    <w:name w:val="TableText Char"/>
    <w:link w:val="TableText"/>
    <w:rsid w:val="0099547F"/>
    <w:rPr>
      <w:sz w:val="16"/>
      <w:szCs w:val="22"/>
    </w:rPr>
  </w:style>
  <w:style w:type="character" w:customStyle="1" w:styleId="FigureChar">
    <w:name w:val="Figure Char"/>
    <w:link w:val="Figure"/>
    <w:rsid w:val="0099547F"/>
    <w:rPr>
      <w:b/>
      <w:sz w:val="18"/>
      <w:szCs w:val="22"/>
    </w:rPr>
  </w:style>
  <w:style w:type="character" w:customStyle="1" w:styleId="ReferencesChar">
    <w:name w:val="References Char"/>
    <w:link w:val="References"/>
    <w:rsid w:val="0099547F"/>
    <w:rPr>
      <w:szCs w:val="22"/>
    </w:rPr>
  </w:style>
  <w:style w:type="character" w:customStyle="1" w:styleId="TableChar">
    <w:name w:val="Table Char"/>
    <w:link w:val="Table"/>
    <w:locked/>
    <w:rsid w:val="0099547F"/>
    <w:rPr>
      <w:b/>
      <w:sz w:val="18"/>
      <w:szCs w:val="22"/>
    </w:rPr>
  </w:style>
  <w:style w:type="paragraph" w:styleId="TOCHeading">
    <w:name w:val="TOC Heading"/>
    <w:basedOn w:val="Heading1"/>
    <w:next w:val="Normal"/>
    <w:uiPriority w:val="39"/>
    <w:semiHidden/>
    <w:qFormat/>
    <w:rsid w:val="0099547F"/>
    <w:pPr>
      <w:keepLines/>
      <w:pBdr>
        <w:bottom w:val="none" w:sz="0" w:space="0" w:color="auto"/>
      </w:pBdr>
      <w:spacing w:before="480" w:after="0"/>
      <w:jc w:val="both"/>
      <w:outlineLvl w:val="9"/>
    </w:pPr>
    <w:rPr>
      <w:rFonts w:ascii="Calibri" w:hAnsi="Calibri"/>
      <w:b/>
      <w:bCs w:val="0"/>
      <w:color w:val="365F91"/>
      <w:sz w:val="28"/>
      <w:szCs w:val="28"/>
    </w:rPr>
  </w:style>
  <w:style w:type="character" w:customStyle="1" w:styleId="CommentTextChar1">
    <w:name w:val="Comment Text Char1"/>
    <w:basedOn w:val="DefaultParagraphFont"/>
    <w:uiPriority w:val="99"/>
    <w:semiHidden/>
    <w:rsid w:val="0099547F"/>
  </w:style>
  <w:style w:type="character" w:customStyle="1" w:styleId="CommentSubjectChar">
    <w:name w:val="Comment Subject Char"/>
    <w:aliases w:val=" Char5 Char,Char5 Char"/>
    <w:link w:val="CommentSubject"/>
    <w:semiHidden/>
    <w:rsid w:val="0099547F"/>
    <w:rPr>
      <w:b/>
      <w:bCs/>
    </w:rPr>
  </w:style>
  <w:style w:type="paragraph" w:styleId="CommentSubject">
    <w:name w:val="annotation subject"/>
    <w:aliases w:val=" Char5,Char5"/>
    <w:basedOn w:val="Normal"/>
    <w:next w:val="Normal"/>
    <w:link w:val="CommentSubjectChar"/>
    <w:semiHidden/>
    <w:rsid w:val="00753DA3"/>
    <w:rPr>
      <w:b/>
      <w:bCs/>
    </w:rPr>
  </w:style>
  <w:style w:type="character" w:customStyle="1" w:styleId="CommentSubjectChar1">
    <w:name w:val="Comment Subject Char1"/>
    <w:aliases w:val="Char5 Char1"/>
    <w:uiPriority w:val="99"/>
    <w:semiHidden/>
    <w:rsid w:val="0099547F"/>
    <w:rPr>
      <w:b/>
      <w:bCs/>
    </w:rPr>
  </w:style>
  <w:style w:type="paragraph" w:styleId="BodyText2">
    <w:name w:val="Body Text 2"/>
    <w:aliases w:val=" Char4,Char4"/>
    <w:basedOn w:val="Normal"/>
    <w:link w:val="BodyText2Char"/>
    <w:semiHidden/>
    <w:rsid w:val="0099547F"/>
    <w:pPr>
      <w:spacing w:after="120" w:line="480" w:lineRule="auto"/>
    </w:pPr>
    <w:rPr>
      <w:rFonts w:ascii="Times New Roman" w:hAnsi="Times New Roman"/>
      <w:lang w:eastAsia="en-US"/>
    </w:rPr>
  </w:style>
  <w:style w:type="character" w:customStyle="1" w:styleId="BodyText2Char">
    <w:name w:val="Body Text 2 Char"/>
    <w:aliases w:val=" Char4 Char,Char4 Char"/>
    <w:link w:val="BodyText2"/>
    <w:semiHidden/>
    <w:rsid w:val="0099547F"/>
    <w:rPr>
      <w:rFonts w:ascii="Times New Roman" w:hAnsi="Times New Roman"/>
      <w:sz w:val="22"/>
      <w:szCs w:val="22"/>
      <w:lang w:eastAsia="en-US"/>
    </w:rPr>
  </w:style>
  <w:style w:type="paragraph" w:customStyle="1" w:styleId="Default">
    <w:name w:val="Default"/>
    <w:rsid w:val="0099547F"/>
    <w:pPr>
      <w:autoSpaceDE w:val="0"/>
      <w:autoSpaceDN w:val="0"/>
      <w:adjustRightInd w:val="0"/>
    </w:pPr>
    <w:rPr>
      <w:rFonts w:ascii="JBHHJB+Arial,Bold" w:hAnsi="JBHHJB+Arial,Bold" w:cs="JBHHJB+Arial,Bold"/>
      <w:i/>
      <w:color w:val="000000"/>
      <w:sz w:val="24"/>
      <w:szCs w:val="24"/>
    </w:rPr>
  </w:style>
  <w:style w:type="character" w:customStyle="1" w:styleId="EndnoteTextChar">
    <w:name w:val="Endnote Text Char"/>
    <w:aliases w:val=" Char3 Char,Char3 Char"/>
    <w:link w:val="EndnoteText"/>
    <w:semiHidden/>
    <w:rsid w:val="0099547F"/>
    <w:rPr>
      <w:i/>
    </w:rPr>
  </w:style>
  <w:style w:type="paragraph" w:styleId="EndnoteText">
    <w:name w:val="endnote text"/>
    <w:aliases w:val=" Char3,Char3"/>
    <w:basedOn w:val="Normal"/>
    <w:link w:val="EndnoteTextChar"/>
    <w:semiHidden/>
    <w:rsid w:val="0099547F"/>
    <w:pPr>
      <w:spacing w:after="120"/>
    </w:pPr>
    <w:rPr>
      <w:i/>
      <w:sz w:val="20"/>
      <w:szCs w:val="20"/>
    </w:rPr>
  </w:style>
  <w:style w:type="character" w:customStyle="1" w:styleId="EndnoteTextChar1">
    <w:name w:val="Endnote Text Char1"/>
    <w:aliases w:val="Char3 Char1"/>
    <w:basedOn w:val="DefaultParagraphFont"/>
    <w:uiPriority w:val="99"/>
    <w:semiHidden/>
    <w:rsid w:val="0099547F"/>
  </w:style>
  <w:style w:type="character" w:styleId="Emphasis">
    <w:name w:val="Emphasis"/>
    <w:uiPriority w:val="20"/>
    <w:semiHidden/>
    <w:qFormat/>
    <w:rsid w:val="0099547F"/>
    <w:rPr>
      <w:i/>
      <w:iCs/>
    </w:rPr>
  </w:style>
  <w:style w:type="paragraph" w:styleId="Revision">
    <w:name w:val="Revision"/>
    <w:hidden/>
    <w:uiPriority w:val="99"/>
    <w:rsid w:val="0099547F"/>
    <w:rPr>
      <w:rFonts w:ascii="Times New Roman" w:hAnsi="Times New Roman"/>
      <w:i/>
      <w:sz w:val="22"/>
      <w:lang w:eastAsia="en-US"/>
    </w:rPr>
  </w:style>
  <w:style w:type="character" w:customStyle="1" w:styleId="PlainTextChar1">
    <w:name w:val="Plain Text Char1"/>
    <w:aliases w:val="Char2 Char1"/>
    <w:uiPriority w:val="99"/>
    <w:semiHidden/>
    <w:rsid w:val="0099547F"/>
    <w:rPr>
      <w:rFonts w:ascii="Courier New" w:hAnsi="Courier New" w:cs="Courier New"/>
      <w:lang w:eastAsia="en-US"/>
    </w:rPr>
  </w:style>
  <w:style w:type="paragraph" w:styleId="ListBullet">
    <w:name w:val="List Bullet"/>
    <w:basedOn w:val="Normal"/>
    <w:semiHidden/>
    <w:rsid w:val="0099547F"/>
    <w:pPr>
      <w:numPr>
        <w:numId w:val="3"/>
      </w:numPr>
      <w:spacing w:after="120"/>
    </w:pPr>
    <w:rPr>
      <w:rFonts w:ascii="Arial" w:hAnsi="Arial"/>
      <w:sz w:val="24"/>
      <w:lang w:eastAsia="en-US"/>
    </w:rPr>
  </w:style>
  <w:style w:type="paragraph" w:styleId="ListBullet2">
    <w:name w:val="List Bullet 2"/>
    <w:basedOn w:val="ListBullet"/>
    <w:semiHidden/>
    <w:rsid w:val="0099547F"/>
    <w:pPr>
      <w:numPr>
        <w:numId w:val="4"/>
      </w:numPr>
      <w:tabs>
        <w:tab w:val="clear" w:pos="643"/>
        <w:tab w:val="num" w:pos="720"/>
      </w:tabs>
      <w:ind w:left="720"/>
    </w:pPr>
  </w:style>
  <w:style w:type="paragraph" w:styleId="ListBullet3">
    <w:name w:val="List Bullet 3"/>
    <w:basedOn w:val="ListBullet2"/>
    <w:semiHidden/>
    <w:rsid w:val="0099547F"/>
    <w:pPr>
      <w:numPr>
        <w:numId w:val="5"/>
      </w:numPr>
      <w:tabs>
        <w:tab w:val="clear" w:pos="926"/>
        <w:tab w:val="num" w:pos="1080"/>
      </w:tabs>
      <w:ind w:left="720" w:firstLine="0"/>
    </w:pPr>
  </w:style>
  <w:style w:type="paragraph" w:styleId="ListBullet4">
    <w:name w:val="List Bullet 4"/>
    <w:basedOn w:val="ListBullet3"/>
    <w:semiHidden/>
    <w:rsid w:val="0099547F"/>
    <w:pPr>
      <w:numPr>
        <w:numId w:val="6"/>
      </w:numPr>
      <w:tabs>
        <w:tab w:val="clear" w:pos="1209"/>
        <w:tab w:val="left" w:pos="1435"/>
      </w:tabs>
      <w:ind w:left="1434" w:hanging="357"/>
    </w:pPr>
  </w:style>
  <w:style w:type="paragraph" w:styleId="ListBullet5">
    <w:name w:val="List Bullet 5"/>
    <w:basedOn w:val="ListBullet4"/>
    <w:semiHidden/>
    <w:rsid w:val="0099547F"/>
    <w:pPr>
      <w:numPr>
        <w:numId w:val="7"/>
      </w:numPr>
      <w:tabs>
        <w:tab w:val="clear" w:pos="1435"/>
        <w:tab w:val="clear" w:pos="1492"/>
        <w:tab w:val="num" w:pos="1794"/>
      </w:tabs>
      <w:ind w:left="1794"/>
    </w:pPr>
  </w:style>
  <w:style w:type="paragraph" w:customStyle="1" w:styleId="Numberedparagraph">
    <w:name w:val="Numbered paragraph"/>
    <w:basedOn w:val="Normal"/>
    <w:qFormat/>
    <w:rsid w:val="001C16C0"/>
    <w:pPr>
      <w:numPr>
        <w:numId w:val="21"/>
      </w:numPr>
      <w:spacing w:after="120"/>
    </w:pPr>
    <w:rPr>
      <w:lang w:eastAsia="en-US"/>
    </w:rPr>
  </w:style>
  <w:style w:type="paragraph" w:customStyle="1" w:styleId="Sub-list">
    <w:name w:val="Sub-list"/>
    <w:basedOn w:val="Normal"/>
    <w:semiHidden/>
    <w:rsid w:val="0099547F"/>
    <w:pPr>
      <w:numPr>
        <w:numId w:val="10"/>
      </w:numPr>
      <w:tabs>
        <w:tab w:val="clear" w:pos="397"/>
        <w:tab w:val="num" w:pos="360"/>
        <w:tab w:val="left" w:pos="794"/>
      </w:tabs>
      <w:spacing w:before="60" w:after="120"/>
      <w:ind w:left="794" w:hanging="397"/>
    </w:pPr>
    <w:rPr>
      <w:rFonts w:ascii="Times New Roman" w:hAnsi="Times New Roman"/>
      <w:lang w:eastAsia="en-US"/>
    </w:rPr>
  </w:style>
  <w:style w:type="paragraph" w:customStyle="1" w:styleId="Sub-lista">
    <w:name w:val="Sub-list a"/>
    <w:aliases w:val="b"/>
    <w:basedOn w:val="Normal"/>
    <w:rsid w:val="0099547F"/>
    <w:pPr>
      <w:numPr>
        <w:numId w:val="9"/>
      </w:numPr>
      <w:tabs>
        <w:tab w:val="clear" w:pos="794"/>
        <w:tab w:val="left" w:pos="397"/>
      </w:tabs>
      <w:spacing w:after="120"/>
    </w:pPr>
    <w:rPr>
      <w:rFonts w:cs="Calibri"/>
      <w:lang w:eastAsia="ko-KR"/>
    </w:rPr>
  </w:style>
  <w:style w:type="paragraph" w:customStyle="1" w:styleId="Sub-listi">
    <w:name w:val="Sub-list i"/>
    <w:aliases w:val="ii"/>
    <w:basedOn w:val="Normal"/>
    <w:rsid w:val="0099547F"/>
    <w:pPr>
      <w:numPr>
        <w:ilvl w:val="1"/>
        <w:numId w:val="17"/>
      </w:numPr>
      <w:spacing w:after="120"/>
    </w:pPr>
  </w:style>
  <w:style w:type="paragraph" w:customStyle="1" w:styleId="TableDash">
    <w:name w:val="TableDash"/>
    <w:basedOn w:val="Normal"/>
    <w:rsid w:val="0099547F"/>
    <w:pPr>
      <w:numPr>
        <w:numId w:val="11"/>
      </w:numPr>
      <w:tabs>
        <w:tab w:val="clear" w:pos="567"/>
        <w:tab w:val="num" w:pos="360"/>
      </w:tabs>
      <w:spacing w:before="20" w:after="20"/>
      <w:ind w:left="568" w:hanging="284"/>
    </w:pPr>
    <w:rPr>
      <w:rFonts w:ascii="Arial" w:hAnsi="Arial" w:cs="Arial"/>
      <w:sz w:val="16"/>
      <w:szCs w:val="16"/>
      <w:lang w:eastAsia="en-US"/>
    </w:rPr>
  </w:style>
  <w:style w:type="paragraph" w:customStyle="1" w:styleId="a">
    <w:name w:val="(a)"/>
    <w:aliases w:val="(b) list"/>
    <w:basedOn w:val="Normal"/>
    <w:semiHidden/>
    <w:rsid w:val="0099547F"/>
    <w:pPr>
      <w:numPr>
        <w:numId w:val="8"/>
      </w:numPr>
      <w:tabs>
        <w:tab w:val="clear" w:pos="720"/>
        <w:tab w:val="num" w:pos="360"/>
      </w:tabs>
      <w:ind w:left="360"/>
    </w:pPr>
    <w:rPr>
      <w:rFonts w:ascii="Times New Roman" w:hAnsi="Times New Roman"/>
      <w:szCs w:val="20"/>
    </w:rPr>
  </w:style>
  <w:style w:type="character" w:customStyle="1" w:styleId="NoteundertableChar">
    <w:name w:val="Note under table Char"/>
    <w:link w:val="Noteundertable"/>
    <w:rsid w:val="0099547F"/>
    <w:rPr>
      <w:sz w:val="18"/>
      <w:szCs w:val="22"/>
    </w:rPr>
  </w:style>
  <w:style w:type="character" w:styleId="CommentReference">
    <w:name w:val="annotation reference"/>
    <w:uiPriority w:val="99"/>
    <w:semiHidden/>
    <w:rsid w:val="0099547F"/>
    <w:rPr>
      <w:sz w:val="16"/>
      <w:szCs w:val="16"/>
    </w:rPr>
  </w:style>
  <w:style w:type="character" w:styleId="FollowedHyperlink">
    <w:name w:val="FollowedHyperlink"/>
    <w:uiPriority w:val="99"/>
    <w:semiHidden/>
    <w:rsid w:val="0099547F"/>
    <w:rPr>
      <w:color w:val="800080"/>
      <w:u w:val="none"/>
    </w:rPr>
  </w:style>
  <w:style w:type="paragraph" w:styleId="NormalWeb">
    <w:name w:val="Normal (Web)"/>
    <w:basedOn w:val="Normal"/>
    <w:semiHidden/>
    <w:rsid w:val="0099547F"/>
    <w:pPr>
      <w:widowControl w:val="0"/>
      <w:adjustRightInd w:val="0"/>
      <w:spacing w:before="100" w:beforeAutospacing="1" w:after="100" w:afterAutospacing="1"/>
      <w:textAlignment w:val="baseline"/>
    </w:pPr>
    <w:rPr>
      <w:rFonts w:ascii="Times New Roman" w:hAnsi="Times New Roman"/>
      <w:szCs w:val="24"/>
      <w:lang w:val="en-GB" w:eastAsia="en-GB"/>
    </w:rPr>
  </w:style>
  <w:style w:type="table" w:styleId="Table3Deffects3">
    <w:name w:val="Table 3D effects 3"/>
    <w:basedOn w:val="TableNormal"/>
    <w:rsid w:val="0099547F"/>
    <w:rPr>
      <w:rFonts w:ascii="Times New Roman" w:hAnsi="Times New Roman"/>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ootnoteCharacters">
    <w:name w:val="Footnote Characters"/>
    <w:semiHidden/>
    <w:rsid w:val="0099547F"/>
    <w:rPr>
      <w:vertAlign w:val="superscript"/>
    </w:rPr>
  </w:style>
  <w:style w:type="character" w:customStyle="1" w:styleId="EndnoteCharacters">
    <w:name w:val="Endnote Characters"/>
    <w:semiHidden/>
    <w:rsid w:val="0099547F"/>
    <w:rPr>
      <w:vertAlign w:val="superscript"/>
    </w:rPr>
  </w:style>
  <w:style w:type="paragraph" w:styleId="List">
    <w:name w:val="List"/>
    <w:basedOn w:val="BodyText"/>
    <w:semiHidden/>
    <w:rsid w:val="0099547F"/>
    <w:pPr>
      <w:suppressAutoHyphens/>
    </w:pPr>
    <w:rPr>
      <w:lang w:eastAsia="ar-SA"/>
    </w:rPr>
  </w:style>
  <w:style w:type="paragraph" w:customStyle="1" w:styleId="Index">
    <w:name w:val="Index"/>
    <w:basedOn w:val="Normal"/>
    <w:semiHidden/>
    <w:rsid w:val="0099547F"/>
    <w:pPr>
      <w:suppressLineNumbers/>
      <w:suppressAutoHyphens/>
      <w:spacing w:after="120"/>
    </w:pPr>
    <w:rPr>
      <w:rFonts w:ascii="Times New Roman" w:hAnsi="Times New Roman"/>
      <w:lang w:eastAsia="ar-SA"/>
    </w:rPr>
  </w:style>
  <w:style w:type="paragraph" w:styleId="TOC4">
    <w:name w:val="toc 4"/>
    <w:basedOn w:val="Normal"/>
    <w:next w:val="Normal"/>
    <w:uiPriority w:val="39"/>
    <w:semiHidden/>
    <w:rsid w:val="0099547F"/>
    <w:pPr>
      <w:tabs>
        <w:tab w:val="right" w:leader="dot" w:pos="7938"/>
      </w:tabs>
      <w:suppressAutoHyphens/>
      <w:spacing w:before="60" w:after="60"/>
      <w:ind w:left="1701"/>
    </w:pPr>
    <w:rPr>
      <w:rFonts w:ascii="Arial" w:hAnsi="Arial"/>
      <w:sz w:val="18"/>
      <w:lang w:eastAsia="ar-SA"/>
    </w:rPr>
  </w:style>
  <w:style w:type="paragraph" w:styleId="TOC5">
    <w:name w:val="toc 5"/>
    <w:basedOn w:val="Normal"/>
    <w:next w:val="Normal"/>
    <w:uiPriority w:val="39"/>
    <w:semiHidden/>
    <w:rsid w:val="0099547F"/>
    <w:pPr>
      <w:tabs>
        <w:tab w:val="left" w:pos="2268"/>
        <w:tab w:val="right" w:leader="dot" w:pos="7938"/>
      </w:tabs>
      <w:suppressAutoHyphens/>
      <w:spacing w:before="60" w:after="60"/>
      <w:ind w:left="2268"/>
    </w:pPr>
    <w:rPr>
      <w:rFonts w:ascii="Arial" w:hAnsi="Arial"/>
      <w:sz w:val="18"/>
      <w:lang w:eastAsia="ar-SA"/>
    </w:rPr>
  </w:style>
  <w:style w:type="paragraph" w:styleId="TOC6">
    <w:name w:val="toc 6"/>
    <w:basedOn w:val="Normal"/>
    <w:next w:val="Normal"/>
    <w:uiPriority w:val="39"/>
    <w:semiHidden/>
    <w:rsid w:val="0099547F"/>
    <w:pPr>
      <w:tabs>
        <w:tab w:val="left" w:pos="2552"/>
        <w:tab w:val="right" w:leader="dot" w:pos="7938"/>
      </w:tabs>
      <w:suppressAutoHyphens/>
      <w:spacing w:before="60" w:after="60"/>
      <w:ind w:left="2835"/>
    </w:pPr>
    <w:rPr>
      <w:rFonts w:ascii="Arial" w:hAnsi="Arial"/>
      <w:sz w:val="18"/>
      <w:lang w:eastAsia="ar-SA"/>
    </w:rPr>
  </w:style>
  <w:style w:type="paragraph" w:styleId="TOC7">
    <w:name w:val="toc 7"/>
    <w:basedOn w:val="Normal"/>
    <w:next w:val="Normal"/>
    <w:uiPriority w:val="39"/>
    <w:semiHidden/>
    <w:rsid w:val="0099547F"/>
    <w:pPr>
      <w:suppressAutoHyphens/>
      <w:spacing w:after="100" w:line="276" w:lineRule="auto"/>
      <w:ind w:left="1320"/>
    </w:pPr>
    <w:rPr>
      <w:lang w:eastAsia="ar-SA"/>
    </w:rPr>
  </w:style>
  <w:style w:type="paragraph" w:styleId="TOC8">
    <w:name w:val="toc 8"/>
    <w:basedOn w:val="Normal"/>
    <w:next w:val="Normal"/>
    <w:uiPriority w:val="39"/>
    <w:semiHidden/>
    <w:rsid w:val="0099547F"/>
    <w:pPr>
      <w:suppressAutoHyphens/>
      <w:spacing w:after="100" w:line="276" w:lineRule="auto"/>
      <w:ind w:left="1540"/>
    </w:pPr>
    <w:rPr>
      <w:lang w:eastAsia="ar-SA"/>
    </w:rPr>
  </w:style>
  <w:style w:type="paragraph" w:styleId="TOC9">
    <w:name w:val="toc 9"/>
    <w:basedOn w:val="Normal"/>
    <w:next w:val="Normal"/>
    <w:uiPriority w:val="39"/>
    <w:semiHidden/>
    <w:rsid w:val="0099547F"/>
    <w:pPr>
      <w:suppressAutoHyphens/>
      <w:spacing w:after="100" w:line="276" w:lineRule="auto"/>
      <w:ind w:left="1760"/>
    </w:pPr>
    <w:rPr>
      <w:lang w:eastAsia="ar-SA"/>
    </w:rPr>
  </w:style>
  <w:style w:type="paragraph" w:customStyle="1" w:styleId="Glossary">
    <w:name w:val="Glossary"/>
    <w:basedOn w:val="Normal"/>
    <w:semiHidden/>
    <w:rsid w:val="0099547F"/>
    <w:pPr>
      <w:tabs>
        <w:tab w:val="left" w:pos="2835"/>
      </w:tabs>
      <w:suppressAutoHyphens/>
      <w:spacing w:after="120"/>
      <w:ind w:left="2835" w:hanging="2835"/>
    </w:pPr>
    <w:rPr>
      <w:rFonts w:ascii="Times New Roman" w:hAnsi="Times New Roman"/>
      <w:lang w:eastAsia="ar-SA"/>
    </w:rPr>
  </w:style>
  <w:style w:type="paragraph" w:styleId="Bibliography">
    <w:name w:val="Bibliography"/>
    <w:basedOn w:val="Normal"/>
    <w:next w:val="Normal"/>
    <w:uiPriority w:val="37"/>
    <w:semiHidden/>
    <w:rsid w:val="0099547F"/>
    <w:pPr>
      <w:widowControl w:val="0"/>
      <w:adjustRightInd w:val="0"/>
      <w:spacing w:after="120"/>
      <w:textAlignment w:val="baseline"/>
    </w:pPr>
    <w:rPr>
      <w:rFonts w:ascii="Times New Roman" w:hAnsi="Times New Roman"/>
      <w:lang w:eastAsia="en-US"/>
    </w:rPr>
  </w:style>
  <w:style w:type="paragraph" w:styleId="DocumentMap">
    <w:name w:val="Document Map"/>
    <w:aliases w:val=" Char1,Char1"/>
    <w:basedOn w:val="Normal"/>
    <w:link w:val="DocumentMapChar"/>
    <w:semiHidden/>
    <w:rsid w:val="0099547F"/>
    <w:pPr>
      <w:widowControl w:val="0"/>
      <w:adjustRightInd w:val="0"/>
      <w:spacing w:after="120"/>
      <w:textAlignment w:val="baseline"/>
    </w:pPr>
    <w:rPr>
      <w:rFonts w:ascii="Tahoma" w:hAnsi="Tahoma" w:cs="Tahoma"/>
      <w:sz w:val="16"/>
      <w:szCs w:val="16"/>
      <w:lang w:eastAsia="en-US"/>
    </w:rPr>
  </w:style>
  <w:style w:type="character" w:customStyle="1" w:styleId="DocumentMapChar">
    <w:name w:val="Document Map Char"/>
    <w:aliases w:val=" Char1 Char,Char1 Char"/>
    <w:link w:val="DocumentMap"/>
    <w:semiHidden/>
    <w:rsid w:val="0099547F"/>
    <w:rPr>
      <w:rFonts w:ascii="Tahoma" w:hAnsi="Tahoma" w:cs="Tahoma"/>
      <w:sz w:val="16"/>
      <w:szCs w:val="16"/>
      <w:lang w:eastAsia="en-US"/>
    </w:rPr>
  </w:style>
  <w:style w:type="paragraph" w:styleId="NormalIndent">
    <w:name w:val="Normal Indent"/>
    <w:basedOn w:val="Normal"/>
    <w:uiPriority w:val="99"/>
    <w:semiHidden/>
    <w:rsid w:val="0099547F"/>
    <w:pPr>
      <w:spacing w:after="120"/>
      <w:ind w:left="567" w:right="567"/>
    </w:pPr>
    <w:rPr>
      <w:rFonts w:ascii="Times New Roman" w:hAnsi="Times New Roman"/>
      <w:lang w:eastAsia="en-US"/>
    </w:rPr>
  </w:style>
  <w:style w:type="character" w:styleId="Strong">
    <w:name w:val="Strong"/>
    <w:uiPriority w:val="22"/>
    <w:semiHidden/>
    <w:qFormat/>
    <w:rsid w:val="0099547F"/>
    <w:rPr>
      <w:b/>
      <w:bCs/>
    </w:rPr>
  </w:style>
  <w:style w:type="paragraph" w:styleId="Quote">
    <w:name w:val="Quote"/>
    <w:basedOn w:val="Normal"/>
    <w:next w:val="Normal"/>
    <w:link w:val="QuoteChar"/>
    <w:uiPriority w:val="29"/>
    <w:qFormat/>
    <w:rsid w:val="0099547F"/>
    <w:pPr>
      <w:spacing w:after="120" w:line="260" w:lineRule="atLeast"/>
      <w:ind w:left="567" w:right="567"/>
    </w:pPr>
    <w:rPr>
      <w:iCs/>
      <w:color w:val="000000"/>
      <w:sz w:val="20"/>
      <w:lang w:eastAsia="en-US"/>
    </w:rPr>
  </w:style>
  <w:style w:type="character" w:customStyle="1" w:styleId="QuoteChar">
    <w:name w:val="Quote Char"/>
    <w:link w:val="Quote"/>
    <w:uiPriority w:val="29"/>
    <w:rsid w:val="0099547F"/>
    <w:rPr>
      <w:iCs/>
      <w:color w:val="000000"/>
      <w:szCs w:val="22"/>
      <w:lang w:eastAsia="en-US"/>
    </w:rPr>
  </w:style>
  <w:style w:type="character" w:styleId="BookTitle">
    <w:name w:val="Book Title"/>
    <w:uiPriority w:val="33"/>
    <w:semiHidden/>
    <w:qFormat/>
    <w:rsid w:val="0099547F"/>
    <w:rPr>
      <w:b/>
      <w:bCs/>
      <w:smallCaps/>
      <w:spacing w:val="5"/>
    </w:rPr>
  </w:style>
  <w:style w:type="table" w:styleId="LightList-Accent1">
    <w:name w:val="Light List Accent 1"/>
    <w:basedOn w:val="TableNormal"/>
    <w:uiPriority w:val="61"/>
    <w:rsid w:val="0099547F"/>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Shading1-Accent1">
    <w:name w:val="Medium Shading 1 Accent 1"/>
    <w:basedOn w:val="TableProfessional"/>
    <w:uiPriority w:val="63"/>
    <w:rsid w:val="0099547F"/>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TableProfessional">
    <w:name w:val="Table Professional"/>
    <w:basedOn w:val="TableNormal"/>
    <w:uiPriority w:val="99"/>
    <w:semiHidden/>
    <w:unhideWhenUsed/>
    <w:rsid w:val="0099547F"/>
    <w:pPr>
      <w:spacing w:after="120"/>
      <w:jc w:val="both"/>
    </w:pPr>
    <w:rPr>
      <w:rFonts w:ascii="Arial" w:hAnsi="Arial"/>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PlaceholderText">
    <w:name w:val="Placeholder Text"/>
    <w:uiPriority w:val="99"/>
    <w:semiHidden/>
    <w:rsid w:val="0099547F"/>
    <w:rPr>
      <w:color w:val="808080"/>
    </w:rPr>
  </w:style>
  <w:style w:type="table" w:customStyle="1" w:styleId="LightList-Accent11">
    <w:name w:val="Light List - Accent 11"/>
    <w:basedOn w:val="TableNormal"/>
    <w:next w:val="LightList-Accent1"/>
    <w:uiPriority w:val="61"/>
    <w:rsid w:val="0099547F"/>
    <w:rPr>
      <w:rFonts w:eastAsia="Arial"/>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IntenseEmphasis">
    <w:name w:val="Intense Emphasis"/>
    <w:uiPriority w:val="21"/>
    <w:semiHidden/>
    <w:qFormat/>
    <w:rsid w:val="0099547F"/>
    <w:rPr>
      <w:b w:val="0"/>
      <w:bCs/>
      <w:i w:val="0"/>
      <w:iCs/>
      <w:color w:val="4F81BD"/>
    </w:rPr>
  </w:style>
  <w:style w:type="paragraph" w:customStyle="1" w:styleId="Tableboldblue">
    <w:name w:val="Table bold blue"/>
    <w:basedOn w:val="Normal"/>
    <w:qFormat/>
    <w:rsid w:val="00847210"/>
    <w:pPr>
      <w:spacing w:before="60" w:after="60"/>
    </w:pPr>
    <w:rPr>
      <w:b/>
      <w:color w:val="1B556B"/>
      <w:sz w:val="16"/>
      <w:lang w:eastAsia="en-US"/>
    </w:rPr>
  </w:style>
  <w:style w:type="character" w:customStyle="1" w:styleId="BodyText3Char">
    <w:name w:val="Body Text 3 Char"/>
    <w:link w:val="BodyText3"/>
    <w:uiPriority w:val="99"/>
    <w:semiHidden/>
    <w:rsid w:val="0099547F"/>
    <w:rPr>
      <w:rFonts w:eastAsia="MS Mincho"/>
      <w:sz w:val="16"/>
      <w:szCs w:val="16"/>
      <w:lang w:eastAsia="ja-JP"/>
    </w:rPr>
  </w:style>
  <w:style w:type="paragraph" w:styleId="BodyText3">
    <w:name w:val="Body Text 3"/>
    <w:basedOn w:val="Normal"/>
    <w:link w:val="BodyText3Char"/>
    <w:uiPriority w:val="99"/>
    <w:semiHidden/>
    <w:rsid w:val="0099547F"/>
    <w:pPr>
      <w:spacing w:after="120"/>
    </w:pPr>
    <w:rPr>
      <w:rFonts w:eastAsia="MS Mincho"/>
      <w:sz w:val="16"/>
      <w:szCs w:val="16"/>
      <w:lang w:eastAsia="ja-JP"/>
    </w:rPr>
  </w:style>
  <w:style w:type="character" w:customStyle="1" w:styleId="BodyText3Char1">
    <w:name w:val="Body Text 3 Char1"/>
    <w:uiPriority w:val="99"/>
    <w:semiHidden/>
    <w:rsid w:val="0099547F"/>
    <w:rPr>
      <w:sz w:val="16"/>
      <w:szCs w:val="16"/>
    </w:rPr>
  </w:style>
  <w:style w:type="character" w:customStyle="1" w:styleId="BodyTextFirstIndentChar">
    <w:name w:val="Body Text First Indent Char"/>
    <w:link w:val="BodyTextFirstIndent"/>
    <w:uiPriority w:val="99"/>
    <w:semiHidden/>
    <w:rsid w:val="0099547F"/>
    <w:rPr>
      <w:rFonts w:eastAsia="MS Mincho"/>
      <w:lang w:eastAsia="ja-JP"/>
    </w:rPr>
  </w:style>
  <w:style w:type="paragraph" w:styleId="BodyTextFirstIndent">
    <w:name w:val="Body Text First Indent"/>
    <w:basedOn w:val="BodyText"/>
    <w:link w:val="BodyTextFirstIndentChar"/>
    <w:uiPriority w:val="99"/>
    <w:semiHidden/>
    <w:rsid w:val="0099547F"/>
    <w:pPr>
      <w:ind w:firstLine="360"/>
    </w:pPr>
    <w:rPr>
      <w:rFonts w:eastAsia="MS Mincho"/>
      <w:sz w:val="20"/>
      <w:szCs w:val="20"/>
      <w:lang w:eastAsia="ja-JP"/>
    </w:rPr>
  </w:style>
  <w:style w:type="character" w:customStyle="1" w:styleId="BodyTextChar">
    <w:name w:val="Body Text Char"/>
    <w:link w:val="BodyText"/>
    <w:rsid w:val="0099547F"/>
    <w:rPr>
      <w:sz w:val="22"/>
      <w:szCs w:val="22"/>
    </w:rPr>
  </w:style>
  <w:style w:type="character" w:customStyle="1" w:styleId="BodyTextFirstIndentChar1">
    <w:name w:val="Body Text First Indent Char1"/>
    <w:uiPriority w:val="99"/>
    <w:semiHidden/>
    <w:rsid w:val="0099547F"/>
    <w:rPr>
      <w:sz w:val="22"/>
      <w:szCs w:val="22"/>
    </w:rPr>
  </w:style>
  <w:style w:type="character" w:customStyle="1" w:styleId="BodyTextIndentChar">
    <w:name w:val="Body Text Indent Char"/>
    <w:link w:val="BodyTextIndent"/>
    <w:uiPriority w:val="99"/>
    <w:semiHidden/>
    <w:rsid w:val="0099547F"/>
    <w:rPr>
      <w:rFonts w:eastAsia="MS Mincho"/>
      <w:lang w:eastAsia="ja-JP"/>
    </w:rPr>
  </w:style>
  <w:style w:type="paragraph" w:styleId="BodyTextIndent">
    <w:name w:val="Body Text Indent"/>
    <w:basedOn w:val="Normal"/>
    <w:link w:val="BodyTextIndentChar"/>
    <w:uiPriority w:val="99"/>
    <w:semiHidden/>
    <w:rsid w:val="0099547F"/>
    <w:pPr>
      <w:spacing w:after="120"/>
      <w:ind w:left="283"/>
    </w:pPr>
    <w:rPr>
      <w:rFonts w:eastAsia="MS Mincho"/>
      <w:sz w:val="20"/>
      <w:szCs w:val="20"/>
      <w:lang w:eastAsia="ja-JP"/>
    </w:rPr>
  </w:style>
  <w:style w:type="character" w:customStyle="1" w:styleId="BodyTextIndentChar1">
    <w:name w:val="Body Text Indent Char1"/>
    <w:uiPriority w:val="99"/>
    <w:semiHidden/>
    <w:rsid w:val="0099547F"/>
    <w:rPr>
      <w:sz w:val="22"/>
      <w:szCs w:val="22"/>
    </w:rPr>
  </w:style>
  <w:style w:type="character" w:customStyle="1" w:styleId="BodyTextFirstIndent2Char">
    <w:name w:val="Body Text First Indent 2 Char"/>
    <w:link w:val="BodyTextFirstIndent2"/>
    <w:uiPriority w:val="99"/>
    <w:semiHidden/>
    <w:rsid w:val="0099547F"/>
    <w:rPr>
      <w:rFonts w:eastAsia="MS Mincho"/>
      <w:lang w:eastAsia="ja-JP"/>
    </w:rPr>
  </w:style>
  <w:style w:type="paragraph" w:styleId="BodyTextFirstIndent2">
    <w:name w:val="Body Text First Indent 2"/>
    <w:basedOn w:val="BodyTextIndent"/>
    <w:link w:val="BodyTextFirstIndent2Char"/>
    <w:uiPriority w:val="99"/>
    <w:semiHidden/>
    <w:rsid w:val="0099547F"/>
    <w:pPr>
      <w:spacing w:after="0"/>
      <w:ind w:left="360" w:firstLine="360"/>
    </w:pPr>
  </w:style>
  <w:style w:type="character" w:customStyle="1" w:styleId="BodyTextFirstIndent2Char1">
    <w:name w:val="Body Text First Indent 2 Char1"/>
    <w:uiPriority w:val="99"/>
    <w:semiHidden/>
    <w:rsid w:val="0099547F"/>
    <w:rPr>
      <w:sz w:val="22"/>
      <w:szCs w:val="22"/>
    </w:rPr>
  </w:style>
  <w:style w:type="character" w:customStyle="1" w:styleId="BodyTextIndent2Char">
    <w:name w:val="Body Text Indent 2 Char"/>
    <w:link w:val="BodyTextIndent2"/>
    <w:uiPriority w:val="99"/>
    <w:semiHidden/>
    <w:rsid w:val="0099547F"/>
    <w:rPr>
      <w:rFonts w:eastAsia="MS Mincho"/>
      <w:lang w:eastAsia="ja-JP"/>
    </w:rPr>
  </w:style>
  <w:style w:type="paragraph" w:styleId="BodyTextIndent2">
    <w:name w:val="Body Text Indent 2"/>
    <w:basedOn w:val="Normal"/>
    <w:link w:val="BodyTextIndent2Char"/>
    <w:uiPriority w:val="99"/>
    <w:semiHidden/>
    <w:rsid w:val="0099547F"/>
    <w:pPr>
      <w:spacing w:after="120" w:line="480" w:lineRule="auto"/>
      <w:ind w:left="283"/>
    </w:pPr>
    <w:rPr>
      <w:rFonts w:eastAsia="MS Mincho"/>
      <w:sz w:val="20"/>
      <w:szCs w:val="20"/>
      <w:lang w:eastAsia="ja-JP"/>
    </w:rPr>
  </w:style>
  <w:style w:type="character" w:customStyle="1" w:styleId="BodyTextIndent2Char1">
    <w:name w:val="Body Text Indent 2 Char1"/>
    <w:uiPriority w:val="99"/>
    <w:semiHidden/>
    <w:rsid w:val="0099547F"/>
    <w:rPr>
      <w:sz w:val="22"/>
      <w:szCs w:val="22"/>
    </w:rPr>
  </w:style>
  <w:style w:type="character" w:customStyle="1" w:styleId="BodyTextIndent3Char">
    <w:name w:val="Body Text Indent 3 Char"/>
    <w:link w:val="BodyTextIndent3"/>
    <w:uiPriority w:val="99"/>
    <w:semiHidden/>
    <w:rsid w:val="0099547F"/>
    <w:rPr>
      <w:rFonts w:eastAsia="MS Mincho"/>
      <w:sz w:val="16"/>
      <w:szCs w:val="16"/>
      <w:lang w:eastAsia="ja-JP"/>
    </w:rPr>
  </w:style>
  <w:style w:type="paragraph" w:styleId="BodyTextIndent3">
    <w:name w:val="Body Text Indent 3"/>
    <w:basedOn w:val="Normal"/>
    <w:link w:val="BodyTextIndent3Char"/>
    <w:uiPriority w:val="99"/>
    <w:semiHidden/>
    <w:rsid w:val="0099547F"/>
    <w:pPr>
      <w:spacing w:after="120"/>
      <w:ind w:left="283"/>
    </w:pPr>
    <w:rPr>
      <w:rFonts w:eastAsia="MS Mincho"/>
      <w:sz w:val="16"/>
      <w:szCs w:val="16"/>
      <w:lang w:eastAsia="ja-JP"/>
    </w:rPr>
  </w:style>
  <w:style w:type="character" w:customStyle="1" w:styleId="BodyTextIndent3Char1">
    <w:name w:val="Body Text Indent 3 Char1"/>
    <w:uiPriority w:val="99"/>
    <w:semiHidden/>
    <w:rsid w:val="0099547F"/>
    <w:rPr>
      <w:sz w:val="16"/>
      <w:szCs w:val="16"/>
    </w:rPr>
  </w:style>
  <w:style w:type="character" w:customStyle="1" w:styleId="ClosingChar">
    <w:name w:val="Closing Char"/>
    <w:link w:val="Closing"/>
    <w:uiPriority w:val="99"/>
    <w:semiHidden/>
    <w:rsid w:val="0099547F"/>
    <w:rPr>
      <w:rFonts w:eastAsia="MS Mincho"/>
      <w:lang w:eastAsia="ja-JP"/>
    </w:rPr>
  </w:style>
  <w:style w:type="paragraph" w:styleId="Closing">
    <w:name w:val="Closing"/>
    <w:basedOn w:val="Normal"/>
    <w:link w:val="ClosingChar"/>
    <w:uiPriority w:val="99"/>
    <w:semiHidden/>
    <w:rsid w:val="0099547F"/>
    <w:pPr>
      <w:ind w:left="4252"/>
    </w:pPr>
    <w:rPr>
      <w:rFonts w:eastAsia="MS Mincho"/>
      <w:sz w:val="20"/>
      <w:szCs w:val="20"/>
      <w:lang w:eastAsia="ja-JP"/>
    </w:rPr>
  </w:style>
  <w:style w:type="character" w:customStyle="1" w:styleId="ClosingChar1">
    <w:name w:val="Closing Char1"/>
    <w:uiPriority w:val="99"/>
    <w:semiHidden/>
    <w:rsid w:val="0099547F"/>
    <w:rPr>
      <w:sz w:val="22"/>
      <w:szCs w:val="22"/>
    </w:rPr>
  </w:style>
  <w:style w:type="character" w:customStyle="1" w:styleId="DateChar">
    <w:name w:val="Date Char"/>
    <w:link w:val="Date"/>
    <w:uiPriority w:val="99"/>
    <w:semiHidden/>
    <w:rsid w:val="0099547F"/>
    <w:rPr>
      <w:rFonts w:eastAsia="MS Mincho"/>
      <w:lang w:eastAsia="ja-JP"/>
    </w:rPr>
  </w:style>
  <w:style w:type="paragraph" w:styleId="Date">
    <w:name w:val="Date"/>
    <w:basedOn w:val="Normal"/>
    <w:next w:val="Normal"/>
    <w:link w:val="DateChar"/>
    <w:uiPriority w:val="99"/>
    <w:semiHidden/>
    <w:rsid w:val="0099547F"/>
    <w:rPr>
      <w:rFonts w:eastAsia="MS Mincho"/>
      <w:sz w:val="20"/>
      <w:szCs w:val="20"/>
      <w:lang w:eastAsia="ja-JP"/>
    </w:rPr>
  </w:style>
  <w:style w:type="character" w:customStyle="1" w:styleId="DateChar1">
    <w:name w:val="Date Char1"/>
    <w:uiPriority w:val="99"/>
    <w:semiHidden/>
    <w:rsid w:val="0099547F"/>
    <w:rPr>
      <w:sz w:val="22"/>
      <w:szCs w:val="22"/>
    </w:rPr>
  </w:style>
  <w:style w:type="character" w:customStyle="1" w:styleId="E-mailSignatureChar">
    <w:name w:val="E-mail Signature Char"/>
    <w:link w:val="E-mailSignature"/>
    <w:uiPriority w:val="99"/>
    <w:semiHidden/>
    <w:rsid w:val="0099547F"/>
    <w:rPr>
      <w:rFonts w:eastAsia="MS Mincho"/>
      <w:lang w:eastAsia="ja-JP"/>
    </w:rPr>
  </w:style>
  <w:style w:type="paragraph" w:styleId="E-mailSignature">
    <w:name w:val="E-mail Signature"/>
    <w:basedOn w:val="Normal"/>
    <w:link w:val="E-mailSignatureChar"/>
    <w:uiPriority w:val="99"/>
    <w:semiHidden/>
    <w:rsid w:val="0099547F"/>
    <w:rPr>
      <w:rFonts w:eastAsia="MS Mincho"/>
      <w:sz w:val="20"/>
      <w:szCs w:val="20"/>
      <w:lang w:eastAsia="ja-JP"/>
    </w:rPr>
  </w:style>
  <w:style w:type="character" w:customStyle="1" w:styleId="E-mailSignatureChar1">
    <w:name w:val="E-mail Signature Char1"/>
    <w:uiPriority w:val="99"/>
    <w:semiHidden/>
    <w:rsid w:val="0099547F"/>
    <w:rPr>
      <w:sz w:val="22"/>
      <w:szCs w:val="22"/>
    </w:rPr>
  </w:style>
  <w:style w:type="character" w:customStyle="1" w:styleId="HTMLAddressChar">
    <w:name w:val="HTML Address Char"/>
    <w:link w:val="HTMLAddress"/>
    <w:uiPriority w:val="99"/>
    <w:semiHidden/>
    <w:rsid w:val="0099547F"/>
    <w:rPr>
      <w:rFonts w:eastAsia="MS Mincho"/>
      <w:i/>
      <w:iCs/>
      <w:lang w:eastAsia="ja-JP"/>
    </w:rPr>
  </w:style>
  <w:style w:type="paragraph" w:styleId="HTMLAddress">
    <w:name w:val="HTML Address"/>
    <w:basedOn w:val="Normal"/>
    <w:link w:val="HTMLAddressChar"/>
    <w:uiPriority w:val="99"/>
    <w:semiHidden/>
    <w:rsid w:val="0099547F"/>
    <w:rPr>
      <w:rFonts w:eastAsia="MS Mincho"/>
      <w:i/>
      <w:iCs/>
      <w:sz w:val="20"/>
      <w:szCs w:val="20"/>
      <w:lang w:eastAsia="ja-JP"/>
    </w:rPr>
  </w:style>
  <w:style w:type="character" w:customStyle="1" w:styleId="HTMLAddressChar1">
    <w:name w:val="HTML Address Char1"/>
    <w:uiPriority w:val="99"/>
    <w:semiHidden/>
    <w:rsid w:val="0099547F"/>
    <w:rPr>
      <w:i/>
      <w:iCs/>
      <w:sz w:val="22"/>
      <w:szCs w:val="22"/>
    </w:rPr>
  </w:style>
  <w:style w:type="character" w:customStyle="1" w:styleId="HTMLPreformattedChar">
    <w:name w:val="HTML Preformatted Char"/>
    <w:link w:val="HTMLPreformatted"/>
    <w:uiPriority w:val="99"/>
    <w:semiHidden/>
    <w:rsid w:val="0099547F"/>
    <w:rPr>
      <w:rFonts w:ascii="Consolas" w:eastAsia="MS Mincho" w:hAnsi="Consolas"/>
      <w:lang w:eastAsia="ja-JP"/>
    </w:rPr>
  </w:style>
  <w:style w:type="paragraph" w:styleId="HTMLPreformatted">
    <w:name w:val="HTML Preformatted"/>
    <w:basedOn w:val="Normal"/>
    <w:link w:val="HTMLPreformattedChar"/>
    <w:uiPriority w:val="99"/>
    <w:semiHidden/>
    <w:rsid w:val="0099547F"/>
    <w:rPr>
      <w:rFonts w:ascii="Consolas" w:eastAsia="MS Mincho" w:hAnsi="Consolas"/>
      <w:sz w:val="20"/>
      <w:szCs w:val="20"/>
      <w:lang w:eastAsia="ja-JP"/>
    </w:rPr>
  </w:style>
  <w:style w:type="character" w:customStyle="1" w:styleId="HTMLPreformattedChar1">
    <w:name w:val="HTML Preformatted Char1"/>
    <w:uiPriority w:val="99"/>
    <w:semiHidden/>
    <w:rsid w:val="0099547F"/>
    <w:rPr>
      <w:rFonts w:ascii="Courier New" w:hAnsi="Courier New" w:cs="Courier New"/>
    </w:rPr>
  </w:style>
  <w:style w:type="character" w:customStyle="1" w:styleId="MacroTextChar">
    <w:name w:val="Macro Text Char"/>
    <w:link w:val="MacroText"/>
    <w:uiPriority w:val="99"/>
    <w:semiHidden/>
    <w:rsid w:val="0099547F"/>
    <w:rPr>
      <w:rFonts w:ascii="Consolas" w:hAnsi="Consolas"/>
    </w:rPr>
  </w:style>
  <w:style w:type="paragraph" w:styleId="MacroText">
    <w:name w:val="macro"/>
    <w:link w:val="MacroTextChar"/>
    <w:uiPriority w:val="99"/>
    <w:semiHidden/>
    <w:rsid w:val="0099547F"/>
    <w:pPr>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rPr>
  </w:style>
  <w:style w:type="character" w:customStyle="1" w:styleId="MacroTextChar1">
    <w:name w:val="Macro Text Char1"/>
    <w:uiPriority w:val="99"/>
    <w:semiHidden/>
    <w:rsid w:val="0099547F"/>
    <w:rPr>
      <w:rFonts w:ascii="Courier New" w:hAnsi="Courier New" w:cs="Courier New"/>
    </w:rPr>
  </w:style>
  <w:style w:type="character" w:customStyle="1" w:styleId="MessageHeaderChar">
    <w:name w:val="Message Header Char"/>
    <w:link w:val="MessageHeader"/>
    <w:uiPriority w:val="99"/>
    <w:semiHidden/>
    <w:rsid w:val="0099547F"/>
    <w:rPr>
      <w:rFonts w:ascii="Arial" w:eastAsia="MS Mincho" w:hAnsi="Arial"/>
      <w:sz w:val="24"/>
      <w:szCs w:val="24"/>
      <w:shd w:val="pct20" w:color="auto" w:fill="auto"/>
      <w:lang w:eastAsia="ja-JP"/>
    </w:rPr>
  </w:style>
  <w:style w:type="paragraph" w:styleId="MessageHeader">
    <w:name w:val="Message Header"/>
    <w:basedOn w:val="Normal"/>
    <w:link w:val="MessageHeaderChar"/>
    <w:uiPriority w:val="99"/>
    <w:semiHidden/>
    <w:rsid w:val="0099547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MS Mincho" w:hAnsi="Arial"/>
      <w:sz w:val="24"/>
      <w:szCs w:val="24"/>
      <w:lang w:eastAsia="ja-JP"/>
    </w:rPr>
  </w:style>
  <w:style w:type="character" w:customStyle="1" w:styleId="MessageHeaderChar1">
    <w:name w:val="Message Header Char1"/>
    <w:uiPriority w:val="99"/>
    <w:semiHidden/>
    <w:rsid w:val="0099547F"/>
    <w:rPr>
      <w:rFonts w:ascii="Calibri Light" w:eastAsia="Times New Roman" w:hAnsi="Calibri Light" w:cs="Times New Roman"/>
      <w:sz w:val="24"/>
      <w:szCs w:val="24"/>
      <w:shd w:val="pct20" w:color="auto" w:fill="auto"/>
    </w:rPr>
  </w:style>
  <w:style w:type="character" w:customStyle="1" w:styleId="NoteHeadingChar">
    <w:name w:val="Note Heading Char"/>
    <w:link w:val="NoteHeading"/>
    <w:uiPriority w:val="99"/>
    <w:semiHidden/>
    <w:rsid w:val="0099547F"/>
    <w:rPr>
      <w:rFonts w:eastAsia="MS Mincho"/>
      <w:lang w:eastAsia="ja-JP"/>
    </w:rPr>
  </w:style>
  <w:style w:type="paragraph" w:styleId="NoteHeading">
    <w:name w:val="Note Heading"/>
    <w:basedOn w:val="Normal"/>
    <w:next w:val="Normal"/>
    <w:link w:val="NoteHeadingChar"/>
    <w:uiPriority w:val="99"/>
    <w:semiHidden/>
    <w:rsid w:val="0099547F"/>
    <w:rPr>
      <w:rFonts w:eastAsia="MS Mincho"/>
      <w:sz w:val="20"/>
      <w:szCs w:val="20"/>
      <w:lang w:eastAsia="ja-JP"/>
    </w:rPr>
  </w:style>
  <w:style w:type="character" w:customStyle="1" w:styleId="NoteHeadingChar1">
    <w:name w:val="Note Heading Char1"/>
    <w:uiPriority w:val="99"/>
    <w:semiHidden/>
    <w:rsid w:val="0099547F"/>
    <w:rPr>
      <w:sz w:val="22"/>
      <w:szCs w:val="22"/>
    </w:rPr>
  </w:style>
  <w:style w:type="character" w:customStyle="1" w:styleId="SalutationChar">
    <w:name w:val="Salutation Char"/>
    <w:link w:val="Salutation"/>
    <w:uiPriority w:val="99"/>
    <w:semiHidden/>
    <w:rsid w:val="0099547F"/>
    <w:rPr>
      <w:rFonts w:eastAsia="MS Mincho"/>
      <w:lang w:eastAsia="ja-JP"/>
    </w:rPr>
  </w:style>
  <w:style w:type="paragraph" w:styleId="Salutation">
    <w:name w:val="Salutation"/>
    <w:basedOn w:val="Normal"/>
    <w:next w:val="Normal"/>
    <w:link w:val="SalutationChar"/>
    <w:uiPriority w:val="99"/>
    <w:semiHidden/>
    <w:rsid w:val="0099547F"/>
    <w:rPr>
      <w:rFonts w:eastAsia="MS Mincho"/>
      <w:sz w:val="20"/>
      <w:szCs w:val="20"/>
      <w:lang w:eastAsia="ja-JP"/>
    </w:rPr>
  </w:style>
  <w:style w:type="character" w:customStyle="1" w:styleId="SalutationChar1">
    <w:name w:val="Salutation Char1"/>
    <w:uiPriority w:val="99"/>
    <w:semiHidden/>
    <w:rsid w:val="0099547F"/>
    <w:rPr>
      <w:sz w:val="22"/>
      <w:szCs w:val="22"/>
    </w:rPr>
  </w:style>
  <w:style w:type="character" w:customStyle="1" w:styleId="SignatureChar">
    <w:name w:val="Signature Char"/>
    <w:link w:val="Signature"/>
    <w:uiPriority w:val="99"/>
    <w:semiHidden/>
    <w:rsid w:val="0099547F"/>
    <w:rPr>
      <w:rFonts w:eastAsia="MS Mincho"/>
      <w:lang w:eastAsia="ja-JP"/>
    </w:rPr>
  </w:style>
  <w:style w:type="paragraph" w:styleId="Signature">
    <w:name w:val="Signature"/>
    <w:basedOn w:val="Normal"/>
    <w:link w:val="SignatureChar"/>
    <w:uiPriority w:val="99"/>
    <w:semiHidden/>
    <w:rsid w:val="0099547F"/>
    <w:pPr>
      <w:ind w:left="4252"/>
    </w:pPr>
    <w:rPr>
      <w:rFonts w:eastAsia="MS Mincho"/>
      <w:sz w:val="20"/>
      <w:szCs w:val="20"/>
      <w:lang w:eastAsia="ja-JP"/>
    </w:rPr>
  </w:style>
  <w:style w:type="character" w:customStyle="1" w:styleId="SignatureChar1">
    <w:name w:val="Signature Char1"/>
    <w:uiPriority w:val="99"/>
    <w:semiHidden/>
    <w:rsid w:val="0099547F"/>
    <w:rPr>
      <w:sz w:val="22"/>
      <w:szCs w:val="22"/>
    </w:rPr>
  </w:style>
  <w:style w:type="table" w:customStyle="1" w:styleId="TableGrid1">
    <w:name w:val="Table Grid1"/>
    <w:basedOn w:val="TableNormal"/>
    <w:next w:val="TableGrid"/>
    <w:uiPriority w:val="59"/>
    <w:rsid w:val="0099547F"/>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99547F"/>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iPriority w:val="99"/>
    <w:semiHidden/>
    <w:rsid w:val="0099547F"/>
    <w:pPr>
      <w:pBdr>
        <w:top w:val="single" w:sz="2" w:space="10" w:color="4F81BD" w:shadow="1"/>
        <w:left w:val="single" w:sz="2" w:space="10" w:color="4F81BD" w:shadow="1"/>
        <w:bottom w:val="single" w:sz="2" w:space="10" w:color="4F81BD" w:shadow="1"/>
        <w:right w:val="single" w:sz="2" w:space="10" w:color="4F81BD" w:shadow="1"/>
      </w:pBdr>
      <w:spacing w:before="60" w:after="180"/>
      <w:ind w:left="1152" w:right="1152"/>
    </w:pPr>
    <w:rPr>
      <w:rFonts w:ascii="Arial" w:hAnsi="Arial"/>
      <w:i/>
      <w:iCs/>
      <w:color w:val="4F81BD"/>
      <w:szCs w:val="20"/>
      <w:lang w:eastAsia="en-US"/>
    </w:rPr>
  </w:style>
  <w:style w:type="paragraph" w:styleId="EnvelopeAddress">
    <w:name w:val="envelope address"/>
    <w:basedOn w:val="Normal"/>
    <w:uiPriority w:val="99"/>
    <w:semiHidden/>
    <w:unhideWhenUsed/>
    <w:rsid w:val="0099547F"/>
    <w:pPr>
      <w:framePr w:w="7920" w:h="1980" w:hRule="exact" w:hSpace="180" w:wrap="auto" w:hAnchor="page" w:xAlign="center" w:yAlign="bottom"/>
      <w:spacing w:before="60" w:after="180"/>
      <w:ind w:left="2880"/>
    </w:pPr>
    <w:rPr>
      <w:rFonts w:ascii="Arial" w:hAnsi="Arial"/>
      <w:sz w:val="24"/>
      <w:szCs w:val="24"/>
      <w:lang w:eastAsia="en-US"/>
    </w:rPr>
  </w:style>
  <w:style w:type="paragraph" w:styleId="EnvelopeReturn">
    <w:name w:val="envelope return"/>
    <w:basedOn w:val="Normal"/>
    <w:uiPriority w:val="99"/>
    <w:semiHidden/>
    <w:unhideWhenUsed/>
    <w:rsid w:val="0099547F"/>
    <w:pPr>
      <w:spacing w:before="60" w:after="180"/>
    </w:pPr>
    <w:rPr>
      <w:rFonts w:ascii="Arial" w:hAnsi="Arial"/>
      <w:sz w:val="20"/>
      <w:szCs w:val="20"/>
      <w:lang w:eastAsia="en-US"/>
    </w:rPr>
  </w:style>
  <w:style w:type="paragraph" w:styleId="Index1">
    <w:name w:val="index 1"/>
    <w:basedOn w:val="Normal"/>
    <w:next w:val="Normal"/>
    <w:autoRedefine/>
    <w:uiPriority w:val="99"/>
    <w:semiHidden/>
    <w:unhideWhenUsed/>
    <w:rsid w:val="0099547F"/>
    <w:pPr>
      <w:spacing w:before="60" w:after="180"/>
      <w:ind w:left="220" w:hanging="220"/>
    </w:pPr>
    <w:rPr>
      <w:rFonts w:ascii="Times New Roman" w:hAnsi="Times New Roman"/>
      <w:szCs w:val="20"/>
      <w:lang w:eastAsia="en-US"/>
    </w:rPr>
  </w:style>
  <w:style w:type="paragraph" w:styleId="Index2">
    <w:name w:val="index 2"/>
    <w:basedOn w:val="Normal"/>
    <w:next w:val="Normal"/>
    <w:autoRedefine/>
    <w:uiPriority w:val="99"/>
    <w:semiHidden/>
    <w:unhideWhenUsed/>
    <w:rsid w:val="0099547F"/>
    <w:pPr>
      <w:spacing w:before="60" w:after="180"/>
      <w:ind w:left="440" w:hanging="220"/>
    </w:pPr>
    <w:rPr>
      <w:rFonts w:ascii="Times New Roman" w:hAnsi="Times New Roman"/>
      <w:szCs w:val="20"/>
      <w:lang w:eastAsia="en-US"/>
    </w:rPr>
  </w:style>
  <w:style w:type="paragraph" w:styleId="Index3">
    <w:name w:val="index 3"/>
    <w:basedOn w:val="Normal"/>
    <w:next w:val="Normal"/>
    <w:autoRedefine/>
    <w:uiPriority w:val="99"/>
    <w:semiHidden/>
    <w:unhideWhenUsed/>
    <w:rsid w:val="0099547F"/>
    <w:pPr>
      <w:spacing w:before="60" w:after="180"/>
      <w:ind w:left="660" w:hanging="220"/>
    </w:pPr>
    <w:rPr>
      <w:rFonts w:ascii="Times New Roman" w:hAnsi="Times New Roman"/>
      <w:szCs w:val="20"/>
      <w:lang w:eastAsia="en-US"/>
    </w:rPr>
  </w:style>
  <w:style w:type="paragraph" w:styleId="Index4">
    <w:name w:val="index 4"/>
    <w:basedOn w:val="Normal"/>
    <w:next w:val="Normal"/>
    <w:autoRedefine/>
    <w:uiPriority w:val="99"/>
    <w:semiHidden/>
    <w:unhideWhenUsed/>
    <w:rsid w:val="0099547F"/>
    <w:pPr>
      <w:spacing w:before="60" w:after="180"/>
      <w:ind w:left="880" w:hanging="220"/>
    </w:pPr>
    <w:rPr>
      <w:rFonts w:ascii="Times New Roman" w:hAnsi="Times New Roman"/>
      <w:szCs w:val="20"/>
      <w:lang w:eastAsia="en-US"/>
    </w:rPr>
  </w:style>
  <w:style w:type="paragraph" w:styleId="Index5">
    <w:name w:val="index 5"/>
    <w:basedOn w:val="Normal"/>
    <w:next w:val="Normal"/>
    <w:autoRedefine/>
    <w:uiPriority w:val="99"/>
    <w:semiHidden/>
    <w:unhideWhenUsed/>
    <w:rsid w:val="0099547F"/>
    <w:pPr>
      <w:spacing w:before="60" w:after="180"/>
      <w:ind w:left="1100" w:hanging="220"/>
    </w:pPr>
    <w:rPr>
      <w:rFonts w:ascii="Times New Roman" w:hAnsi="Times New Roman"/>
      <w:szCs w:val="20"/>
      <w:lang w:eastAsia="en-US"/>
    </w:rPr>
  </w:style>
  <w:style w:type="paragraph" w:styleId="Index6">
    <w:name w:val="index 6"/>
    <w:basedOn w:val="Normal"/>
    <w:next w:val="Normal"/>
    <w:autoRedefine/>
    <w:uiPriority w:val="99"/>
    <w:semiHidden/>
    <w:unhideWhenUsed/>
    <w:rsid w:val="0099547F"/>
    <w:pPr>
      <w:spacing w:before="60" w:after="180"/>
      <w:ind w:left="1320" w:hanging="220"/>
    </w:pPr>
    <w:rPr>
      <w:rFonts w:ascii="Times New Roman" w:hAnsi="Times New Roman"/>
      <w:szCs w:val="20"/>
      <w:lang w:eastAsia="en-US"/>
    </w:rPr>
  </w:style>
  <w:style w:type="paragraph" w:styleId="Index7">
    <w:name w:val="index 7"/>
    <w:basedOn w:val="Normal"/>
    <w:next w:val="Normal"/>
    <w:autoRedefine/>
    <w:uiPriority w:val="99"/>
    <w:semiHidden/>
    <w:unhideWhenUsed/>
    <w:rsid w:val="0099547F"/>
    <w:pPr>
      <w:spacing w:before="60" w:after="180"/>
      <w:ind w:left="1540" w:hanging="220"/>
    </w:pPr>
    <w:rPr>
      <w:rFonts w:ascii="Times New Roman" w:hAnsi="Times New Roman"/>
      <w:szCs w:val="20"/>
      <w:lang w:eastAsia="en-US"/>
    </w:rPr>
  </w:style>
  <w:style w:type="paragraph" w:styleId="Index8">
    <w:name w:val="index 8"/>
    <w:basedOn w:val="Normal"/>
    <w:next w:val="Normal"/>
    <w:autoRedefine/>
    <w:uiPriority w:val="99"/>
    <w:semiHidden/>
    <w:unhideWhenUsed/>
    <w:rsid w:val="0099547F"/>
    <w:pPr>
      <w:spacing w:before="60" w:after="180"/>
      <w:ind w:left="1760" w:hanging="220"/>
    </w:pPr>
    <w:rPr>
      <w:rFonts w:ascii="Times New Roman" w:hAnsi="Times New Roman"/>
      <w:szCs w:val="20"/>
      <w:lang w:eastAsia="en-US"/>
    </w:rPr>
  </w:style>
  <w:style w:type="paragraph" w:styleId="Index9">
    <w:name w:val="index 9"/>
    <w:basedOn w:val="Normal"/>
    <w:next w:val="Normal"/>
    <w:autoRedefine/>
    <w:uiPriority w:val="99"/>
    <w:semiHidden/>
    <w:unhideWhenUsed/>
    <w:rsid w:val="0099547F"/>
    <w:pPr>
      <w:spacing w:before="60" w:after="180"/>
      <w:ind w:left="1980" w:hanging="220"/>
    </w:pPr>
    <w:rPr>
      <w:rFonts w:ascii="Times New Roman" w:hAnsi="Times New Roman"/>
      <w:szCs w:val="20"/>
      <w:lang w:eastAsia="en-US"/>
    </w:rPr>
  </w:style>
  <w:style w:type="paragraph" w:styleId="IndexHeading">
    <w:name w:val="index heading"/>
    <w:basedOn w:val="Normal"/>
    <w:next w:val="Index1"/>
    <w:uiPriority w:val="99"/>
    <w:semiHidden/>
    <w:unhideWhenUsed/>
    <w:rsid w:val="0099547F"/>
    <w:pPr>
      <w:spacing w:before="60" w:after="180"/>
    </w:pPr>
    <w:rPr>
      <w:rFonts w:ascii="Arial" w:hAnsi="Arial"/>
      <w:b/>
      <w:bCs/>
      <w:szCs w:val="20"/>
      <w:lang w:eastAsia="en-US"/>
    </w:rPr>
  </w:style>
  <w:style w:type="paragraph" w:styleId="List2">
    <w:name w:val="List 2"/>
    <w:basedOn w:val="Normal"/>
    <w:uiPriority w:val="99"/>
    <w:semiHidden/>
    <w:unhideWhenUsed/>
    <w:rsid w:val="0099547F"/>
    <w:pPr>
      <w:spacing w:before="60" w:after="180"/>
      <w:ind w:left="566" w:hanging="283"/>
      <w:contextualSpacing/>
    </w:pPr>
    <w:rPr>
      <w:rFonts w:ascii="Times New Roman" w:hAnsi="Times New Roman"/>
      <w:szCs w:val="20"/>
      <w:lang w:eastAsia="en-US"/>
    </w:rPr>
  </w:style>
  <w:style w:type="paragraph" w:styleId="List3">
    <w:name w:val="List 3"/>
    <w:basedOn w:val="Normal"/>
    <w:uiPriority w:val="99"/>
    <w:semiHidden/>
    <w:unhideWhenUsed/>
    <w:rsid w:val="0099547F"/>
    <w:pPr>
      <w:spacing w:before="60" w:after="180"/>
      <w:ind w:left="849" w:hanging="283"/>
      <w:contextualSpacing/>
    </w:pPr>
    <w:rPr>
      <w:rFonts w:ascii="Times New Roman" w:hAnsi="Times New Roman"/>
      <w:szCs w:val="20"/>
      <w:lang w:eastAsia="en-US"/>
    </w:rPr>
  </w:style>
  <w:style w:type="paragraph" w:styleId="List4">
    <w:name w:val="List 4"/>
    <w:basedOn w:val="Normal"/>
    <w:uiPriority w:val="99"/>
    <w:semiHidden/>
    <w:unhideWhenUsed/>
    <w:rsid w:val="0099547F"/>
    <w:pPr>
      <w:spacing w:before="60" w:after="180"/>
      <w:ind w:left="1132" w:hanging="283"/>
      <w:contextualSpacing/>
    </w:pPr>
    <w:rPr>
      <w:rFonts w:ascii="Times New Roman" w:hAnsi="Times New Roman"/>
      <w:szCs w:val="20"/>
      <w:lang w:eastAsia="en-US"/>
    </w:rPr>
  </w:style>
  <w:style w:type="paragraph" w:styleId="List5">
    <w:name w:val="List 5"/>
    <w:basedOn w:val="Normal"/>
    <w:uiPriority w:val="99"/>
    <w:semiHidden/>
    <w:unhideWhenUsed/>
    <w:rsid w:val="0099547F"/>
    <w:pPr>
      <w:spacing w:before="60" w:after="180"/>
      <w:ind w:left="1415" w:hanging="283"/>
      <w:contextualSpacing/>
    </w:pPr>
    <w:rPr>
      <w:rFonts w:ascii="Times New Roman" w:hAnsi="Times New Roman"/>
      <w:szCs w:val="20"/>
      <w:lang w:eastAsia="en-US"/>
    </w:rPr>
  </w:style>
  <w:style w:type="paragraph" w:styleId="ListContinue">
    <w:name w:val="List Continue"/>
    <w:basedOn w:val="Normal"/>
    <w:uiPriority w:val="99"/>
    <w:semiHidden/>
    <w:unhideWhenUsed/>
    <w:rsid w:val="0099547F"/>
    <w:pPr>
      <w:spacing w:before="60" w:after="120"/>
      <w:ind w:left="283"/>
      <w:contextualSpacing/>
    </w:pPr>
    <w:rPr>
      <w:rFonts w:ascii="Times New Roman" w:hAnsi="Times New Roman"/>
      <w:szCs w:val="20"/>
      <w:lang w:eastAsia="en-US"/>
    </w:rPr>
  </w:style>
  <w:style w:type="paragraph" w:styleId="ListContinue2">
    <w:name w:val="List Continue 2"/>
    <w:basedOn w:val="Normal"/>
    <w:uiPriority w:val="99"/>
    <w:semiHidden/>
    <w:unhideWhenUsed/>
    <w:rsid w:val="0099547F"/>
    <w:pPr>
      <w:spacing w:before="60" w:after="120"/>
      <w:ind w:left="566"/>
      <w:contextualSpacing/>
    </w:pPr>
    <w:rPr>
      <w:rFonts w:ascii="Times New Roman" w:hAnsi="Times New Roman"/>
      <w:szCs w:val="20"/>
      <w:lang w:eastAsia="en-US"/>
    </w:rPr>
  </w:style>
  <w:style w:type="paragraph" w:styleId="ListContinue3">
    <w:name w:val="List Continue 3"/>
    <w:basedOn w:val="Normal"/>
    <w:uiPriority w:val="99"/>
    <w:semiHidden/>
    <w:unhideWhenUsed/>
    <w:rsid w:val="0099547F"/>
    <w:pPr>
      <w:spacing w:before="60" w:after="120"/>
      <w:ind w:left="849"/>
      <w:contextualSpacing/>
    </w:pPr>
    <w:rPr>
      <w:rFonts w:ascii="Times New Roman" w:hAnsi="Times New Roman"/>
      <w:szCs w:val="20"/>
      <w:lang w:eastAsia="en-US"/>
    </w:rPr>
  </w:style>
  <w:style w:type="paragraph" w:styleId="ListContinue4">
    <w:name w:val="List Continue 4"/>
    <w:basedOn w:val="Normal"/>
    <w:uiPriority w:val="99"/>
    <w:semiHidden/>
    <w:unhideWhenUsed/>
    <w:rsid w:val="0099547F"/>
    <w:pPr>
      <w:spacing w:before="60" w:after="120"/>
      <w:ind w:left="1132"/>
      <w:contextualSpacing/>
    </w:pPr>
    <w:rPr>
      <w:rFonts w:ascii="Times New Roman" w:hAnsi="Times New Roman"/>
      <w:szCs w:val="20"/>
      <w:lang w:eastAsia="en-US"/>
    </w:rPr>
  </w:style>
  <w:style w:type="paragraph" w:styleId="ListContinue5">
    <w:name w:val="List Continue 5"/>
    <w:basedOn w:val="Normal"/>
    <w:uiPriority w:val="99"/>
    <w:semiHidden/>
    <w:unhideWhenUsed/>
    <w:rsid w:val="0099547F"/>
    <w:pPr>
      <w:spacing w:before="60" w:after="120"/>
      <w:ind w:left="1415"/>
      <w:contextualSpacing/>
    </w:pPr>
    <w:rPr>
      <w:rFonts w:ascii="Times New Roman" w:hAnsi="Times New Roman"/>
      <w:szCs w:val="20"/>
      <w:lang w:eastAsia="en-US"/>
    </w:rPr>
  </w:style>
  <w:style w:type="paragraph" w:styleId="ListNumber">
    <w:name w:val="List Number"/>
    <w:basedOn w:val="Normal"/>
    <w:uiPriority w:val="99"/>
    <w:semiHidden/>
    <w:unhideWhenUsed/>
    <w:rsid w:val="0099547F"/>
    <w:pPr>
      <w:tabs>
        <w:tab w:val="num" w:pos="360"/>
      </w:tabs>
      <w:spacing w:before="60" w:after="180"/>
      <w:ind w:left="360" w:hanging="360"/>
      <w:contextualSpacing/>
    </w:pPr>
    <w:rPr>
      <w:rFonts w:ascii="Times New Roman" w:hAnsi="Times New Roman"/>
      <w:szCs w:val="20"/>
      <w:lang w:eastAsia="en-US"/>
    </w:rPr>
  </w:style>
  <w:style w:type="paragraph" w:styleId="ListNumber2">
    <w:name w:val="List Number 2"/>
    <w:basedOn w:val="Normal"/>
    <w:uiPriority w:val="99"/>
    <w:semiHidden/>
    <w:unhideWhenUsed/>
    <w:rsid w:val="0099547F"/>
    <w:pPr>
      <w:tabs>
        <w:tab w:val="num" w:pos="643"/>
      </w:tabs>
      <w:spacing w:before="60" w:after="180"/>
      <w:ind w:left="643" w:hanging="360"/>
      <w:contextualSpacing/>
    </w:pPr>
    <w:rPr>
      <w:rFonts w:ascii="Times New Roman" w:hAnsi="Times New Roman"/>
      <w:szCs w:val="20"/>
      <w:lang w:eastAsia="en-US"/>
    </w:rPr>
  </w:style>
  <w:style w:type="paragraph" w:styleId="ListNumber3">
    <w:name w:val="List Number 3"/>
    <w:basedOn w:val="Normal"/>
    <w:uiPriority w:val="99"/>
    <w:semiHidden/>
    <w:unhideWhenUsed/>
    <w:rsid w:val="0099547F"/>
    <w:pPr>
      <w:tabs>
        <w:tab w:val="num" w:pos="926"/>
      </w:tabs>
      <w:spacing w:before="60" w:after="180"/>
      <w:ind w:left="926" w:hanging="360"/>
      <w:contextualSpacing/>
    </w:pPr>
    <w:rPr>
      <w:rFonts w:ascii="Times New Roman" w:hAnsi="Times New Roman"/>
      <w:szCs w:val="20"/>
      <w:lang w:eastAsia="en-US"/>
    </w:rPr>
  </w:style>
  <w:style w:type="paragraph" w:styleId="ListNumber4">
    <w:name w:val="List Number 4"/>
    <w:basedOn w:val="Normal"/>
    <w:uiPriority w:val="99"/>
    <w:semiHidden/>
    <w:unhideWhenUsed/>
    <w:rsid w:val="0099547F"/>
    <w:pPr>
      <w:numPr>
        <w:numId w:val="12"/>
      </w:numPr>
      <w:spacing w:before="60" w:after="180"/>
      <w:contextualSpacing/>
    </w:pPr>
    <w:rPr>
      <w:rFonts w:ascii="Times New Roman" w:hAnsi="Times New Roman"/>
      <w:szCs w:val="20"/>
      <w:lang w:eastAsia="en-US"/>
    </w:rPr>
  </w:style>
  <w:style w:type="paragraph" w:styleId="ListNumber5">
    <w:name w:val="List Number 5"/>
    <w:basedOn w:val="Normal"/>
    <w:uiPriority w:val="99"/>
    <w:semiHidden/>
    <w:unhideWhenUsed/>
    <w:rsid w:val="0099547F"/>
    <w:pPr>
      <w:numPr>
        <w:numId w:val="13"/>
      </w:numPr>
      <w:spacing w:before="60" w:after="180"/>
      <w:contextualSpacing/>
    </w:pPr>
    <w:rPr>
      <w:rFonts w:ascii="Times New Roman" w:hAnsi="Times New Roman"/>
      <w:szCs w:val="20"/>
      <w:lang w:eastAsia="en-US"/>
    </w:rPr>
  </w:style>
  <w:style w:type="paragraph" w:styleId="TableofAuthorities">
    <w:name w:val="table of authorities"/>
    <w:basedOn w:val="Normal"/>
    <w:next w:val="Normal"/>
    <w:uiPriority w:val="99"/>
    <w:semiHidden/>
    <w:unhideWhenUsed/>
    <w:rsid w:val="0099547F"/>
    <w:pPr>
      <w:spacing w:before="60" w:after="180"/>
      <w:ind w:left="220" w:hanging="220"/>
    </w:pPr>
    <w:rPr>
      <w:rFonts w:ascii="Times New Roman" w:hAnsi="Times New Roman"/>
      <w:szCs w:val="20"/>
      <w:lang w:eastAsia="en-US"/>
    </w:rPr>
  </w:style>
  <w:style w:type="paragraph" w:styleId="TOAHeading">
    <w:name w:val="toa heading"/>
    <w:basedOn w:val="Normal"/>
    <w:next w:val="Normal"/>
    <w:uiPriority w:val="99"/>
    <w:semiHidden/>
    <w:rsid w:val="0099547F"/>
    <w:pPr>
      <w:spacing w:before="120" w:after="180"/>
    </w:pPr>
    <w:rPr>
      <w:rFonts w:ascii="Arial" w:hAnsi="Arial"/>
      <w:b/>
      <w:bCs/>
      <w:sz w:val="24"/>
      <w:szCs w:val="24"/>
      <w:lang w:eastAsia="en-US"/>
    </w:rPr>
  </w:style>
  <w:style w:type="paragraph" w:customStyle="1" w:styleId="Headline">
    <w:name w:val="Headline"/>
    <w:basedOn w:val="Normal"/>
    <w:next w:val="Normal"/>
    <w:semiHidden/>
    <w:rsid w:val="0099547F"/>
    <w:pPr>
      <w:spacing w:before="60" w:after="180"/>
    </w:pPr>
    <w:rPr>
      <w:rFonts w:ascii="Times New Roman" w:hAnsi="Times New Roman"/>
      <w:b/>
      <w:sz w:val="48"/>
      <w:szCs w:val="20"/>
      <w:lang w:eastAsia="en-US"/>
    </w:rPr>
  </w:style>
  <w:style w:type="paragraph" w:customStyle="1" w:styleId="Bulletindent">
    <w:name w:val="Bullet indent"/>
    <w:basedOn w:val="Bullet"/>
    <w:next w:val="BodyText"/>
    <w:semiHidden/>
    <w:qFormat/>
    <w:rsid w:val="0099547F"/>
    <w:pPr>
      <w:numPr>
        <w:numId w:val="0"/>
      </w:numPr>
      <w:tabs>
        <w:tab w:val="left" w:pos="794"/>
      </w:tabs>
      <w:ind w:left="794" w:hanging="397"/>
    </w:pPr>
  </w:style>
  <w:style w:type="paragraph" w:customStyle="1" w:styleId="Acknowledgements">
    <w:name w:val="Acknowledgements"/>
    <w:basedOn w:val="Normal"/>
    <w:semiHidden/>
    <w:rsid w:val="0099547F"/>
    <w:pPr>
      <w:spacing w:before="60" w:after="60"/>
    </w:pPr>
    <w:rPr>
      <w:rFonts w:ascii="Times New Roman" w:hAnsi="Times New Roman"/>
      <w:szCs w:val="20"/>
      <w:lang w:eastAsia="en-US"/>
    </w:rPr>
  </w:style>
  <w:style w:type="paragraph" w:customStyle="1" w:styleId="Acknowledgementsbolditalics">
    <w:name w:val="Acknowledgements bold italics"/>
    <w:basedOn w:val="Normal"/>
    <w:semiHidden/>
    <w:rsid w:val="0099547F"/>
    <w:pPr>
      <w:spacing w:before="160"/>
    </w:pPr>
    <w:rPr>
      <w:rFonts w:ascii="Times New Roman" w:hAnsi="Times New Roman"/>
      <w:b/>
      <w:i/>
      <w:szCs w:val="20"/>
      <w:lang w:eastAsia="en-US"/>
    </w:rPr>
  </w:style>
  <w:style w:type="numbering" w:customStyle="1" w:styleId="NoList1">
    <w:name w:val="No List1"/>
    <w:next w:val="NoList"/>
    <w:uiPriority w:val="99"/>
    <w:semiHidden/>
    <w:unhideWhenUsed/>
    <w:rsid w:val="0099547F"/>
  </w:style>
  <w:style w:type="character" w:customStyle="1" w:styleId="PlainTextChar">
    <w:name w:val="Plain Text Char"/>
    <w:aliases w:val=" Char2 Char,Char2 Char"/>
    <w:link w:val="PlainText"/>
    <w:uiPriority w:val="99"/>
    <w:semiHidden/>
    <w:rsid w:val="0099547F"/>
    <w:rPr>
      <w:rFonts w:ascii="Verdana" w:hAnsi="Verdana"/>
      <w:szCs w:val="21"/>
    </w:rPr>
  </w:style>
  <w:style w:type="paragraph" w:styleId="PlainText">
    <w:name w:val="Plain Text"/>
    <w:aliases w:val=" Char2,Char2"/>
    <w:basedOn w:val="Normal"/>
    <w:link w:val="PlainTextChar"/>
    <w:uiPriority w:val="99"/>
    <w:semiHidden/>
    <w:rsid w:val="0099547F"/>
    <w:pPr>
      <w:spacing w:after="120"/>
    </w:pPr>
    <w:rPr>
      <w:rFonts w:ascii="Verdana" w:hAnsi="Verdana"/>
      <w:sz w:val="20"/>
      <w:szCs w:val="21"/>
    </w:rPr>
  </w:style>
  <w:style w:type="character" w:customStyle="1" w:styleId="PlainTextChar2">
    <w:name w:val="Plain Text Char2"/>
    <w:uiPriority w:val="99"/>
    <w:semiHidden/>
    <w:rsid w:val="0099547F"/>
    <w:rPr>
      <w:rFonts w:ascii="Courier New" w:hAnsi="Courier New" w:cs="Courier New"/>
    </w:rPr>
  </w:style>
  <w:style w:type="paragraph" w:customStyle="1" w:styleId="Bulletfirst">
    <w:name w:val="Bullet first"/>
    <w:basedOn w:val="Bullet"/>
    <w:semiHidden/>
    <w:qFormat/>
    <w:rsid w:val="0099547F"/>
    <w:pPr>
      <w:numPr>
        <w:numId w:val="0"/>
      </w:numPr>
      <w:ind w:left="851" w:hanging="284"/>
    </w:pPr>
  </w:style>
  <w:style w:type="paragraph" w:customStyle="1" w:styleId="Bulletlast">
    <w:name w:val="Bullet last"/>
    <w:basedOn w:val="Bullet"/>
    <w:semiHidden/>
    <w:qFormat/>
    <w:rsid w:val="0099547F"/>
    <w:pPr>
      <w:numPr>
        <w:numId w:val="0"/>
      </w:numPr>
      <w:ind w:left="397" w:hanging="397"/>
    </w:pPr>
  </w:style>
  <w:style w:type="paragraph" w:styleId="ListParagraph">
    <w:name w:val="List Paragraph"/>
    <w:basedOn w:val="Normal"/>
    <w:uiPriority w:val="34"/>
    <w:semiHidden/>
    <w:qFormat/>
    <w:rsid w:val="0099547F"/>
    <w:pPr>
      <w:spacing w:after="120"/>
      <w:ind w:left="720"/>
      <w:contextualSpacing/>
    </w:pPr>
    <w:rPr>
      <w:rFonts w:eastAsia="Malgun Gothic"/>
      <w:sz w:val="20"/>
      <w:lang w:eastAsia="en-US"/>
    </w:rPr>
  </w:style>
  <w:style w:type="character" w:styleId="EndnoteReference">
    <w:name w:val="endnote reference"/>
    <w:uiPriority w:val="99"/>
    <w:semiHidden/>
    <w:unhideWhenUsed/>
    <w:rsid w:val="0099547F"/>
    <w:rPr>
      <w:vertAlign w:val="superscript"/>
    </w:rPr>
  </w:style>
  <w:style w:type="table" w:styleId="ColorfulList-Accent6">
    <w:name w:val="Colorful List Accent 6"/>
    <w:basedOn w:val="TableNormal"/>
    <w:uiPriority w:val="72"/>
    <w:rsid w:val="0099547F"/>
    <w:rPr>
      <w:rFonts w:ascii="Arial" w:hAnsi="Arial"/>
      <w:color w:val="000000"/>
      <w:sz w:val="16"/>
    </w:rPr>
    <w:tblPr>
      <w:tblStyleRowBandSize w:val="1"/>
      <w:tblStyleColBandSize w:val="1"/>
    </w:tblPr>
    <w:tcPr>
      <w:shd w:val="clear" w:color="auto" w:fill="FFFFFF"/>
    </w:tcPr>
    <w:tblStylePr w:type="firstRow">
      <w:rPr>
        <w:b/>
        <w:bCs/>
        <w:color w:val="FFFFFF"/>
      </w:rPr>
      <w:tblPr/>
      <w:tcPr>
        <w:tcBorders>
          <w:bottom w:val="single" w:sz="12" w:space="0" w:color="FFFFFF"/>
        </w:tcBorders>
        <w:shd w:val="clear" w:color="auto" w:fill="3259A0"/>
      </w:tcPr>
    </w:tblStylePr>
    <w:tblStylePr w:type="lastRow">
      <w:rPr>
        <w:b/>
        <w:bCs/>
        <w:color w:val="3259A0"/>
      </w:rPr>
      <w:tblPr/>
      <w:tcPr>
        <w:tcBorders>
          <w:top w:val="single" w:sz="12" w:space="0" w:color="000000"/>
        </w:tcBorders>
        <w:shd w:val="clear" w:color="auto" w:fill="FFFFFF"/>
      </w:tcPr>
    </w:tblStylePr>
    <w:tblStylePr w:type="firstCol">
      <w:rPr>
        <w:rFonts w:ascii="Arial" w:hAnsi="Arial"/>
        <w:b w:val="0"/>
        <w:bCs/>
        <w:sz w:val="16"/>
      </w:rPr>
    </w:tblStylePr>
    <w:tblStylePr w:type="lastCol">
      <w:rPr>
        <w:rFonts w:ascii="Arial" w:hAnsi="Arial"/>
        <w:b w:val="0"/>
        <w:bCs/>
        <w:sz w:val="16"/>
      </w:rPr>
      <w:tblPr/>
      <w:tcPr>
        <w:tcBorders>
          <w:insideH w:val="nil"/>
        </w:tcBorders>
        <w:shd w:val="clear" w:color="auto" w:fill="FFFFFF"/>
      </w:tcPr>
    </w:tblStylePr>
    <w:tblStylePr w:type="band1Horz">
      <w:tblPr/>
      <w:tcPr>
        <w:shd w:val="clear" w:color="auto" w:fill="FFFFFF"/>
      </w:tcPr>
    </w:tblStylePr>
    <w:tblStylePr w:type="band2Horz">
      <w:tblPr/>
      <w:tcPr>
        <w:shd w:val="clear" w:color="auto" w:fill="FFFFFF"/>
      </w:tcPr>
    </w:tblStylePr>
  </w:style>
  <w:style w:type="table" w:styleId="LightList-Accent5">
    <w:name w:val="Light List Accent 5"/>
    <w:basedOn w:val="TableNormal"/>
    <w:uiPriority w:val="61"/>
    <w:rsid w:val="0099547F"/>
    <w:rPr>
      <w:rFonts w:ascii="Times New Roman" w:hAnsi="Times New Roman"/>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2">
    <w:name w:val="No List2"/>
    <w:next w:val="NoList"/>
    <w:uiPriority w:val="99"/>
    <w:semiHidden/>
    <w:unhideWhenUsed/>
    <w:rsid w:val="0099547F"/>
  </w:style>
  <w:style w:type="table" w:customStyle="1" w:styleId="TableGrid3">
    <w:name w:val="Table Grid3"/>
    <w:basedOn w:val="TableNormal"/>
    <w:next w:val="TableGrid"/>
    <w:uiPriority w:val="59"/>
    <w:rsid w:val="0099547F"/>
    <w:pPr>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31">
    <w:name w:val="Table 3D effects 31"/>
    <w:basedOn w:val="TableNormal"/>
    <w:next w:val="Table3Deffects3"/>
    <w:rsid w:val="0099547F"/>
    <w:rPr>
      <w:rFonts w:ascii="Times New Roman" w:hAnsi="Times New Roman"/>
      <w: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ightList-Accent12">
    <w:name w:val="Light List - Accent 12"/>
    <w:basedOn w:val="TableNormal"/>
    <w:next w:val="LightList-Accent1"/>
    <w:uiPriority w:val="61"/>
    <w:rsid w:val="0099547F"/>
    <w:pPr>
      <w:jc w:val="right"/>
    </w:pPr>
    <w:rPr>
      <w:rFonts w:ascii="Arial" w:hAnsi="Arial"/>
      <w:szCs w:val="22"/>
      <w:lang w:eastAsia="en-US"/>
    </w:rPr>
    <w:tblPr>
      <w:tblStyleRowBandSize w:val="1"/>
      <w:tblStyleColBandSize w:val="1"/>
      <w:tblBorders>
        <w:top w:val="single" w:sz="8" w:space="0" w:color="1F497D"/>
        <w:bottom w:val="single" w:sz="8" w:space="0" w:color="1F497D"/>
        <w:insideH w:val="single" w:sz="8" w:space="0" w:color="1F497D"/>
      </w:tblBorders>
    </w:tbl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Shading1-Accent11">
    <w:name w:val="Medium Shading 1 - Accent 11"/>
    <w:basedOn w:val="TableProfessional"/>
    <w:next w:val="MediumShading1-Accent1"/>
    <w:uiPriority w:val="63"/>
    <w:rsid w:val="0099547F"/>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none" w:sz="0" w:space="0" w:color="auto"/>
      </w:tblBorders>
    </w:tblPr>
    <w:tcPr>
      <w:shd w:val="clear" w:color="auto" w:fill="auto"/>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l2br w:val="none" w:sz="0" w:space="0" w:color="auto"/>
          <w:tr2bl w:val="none" w:sz="0" w:space="0" w:color="auto"/>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Professional1">
    <w:name w:val="Table Professional1"/>
    <w:basedOn w:val="TableNormal"/>
    <w:next w:val="TableProfessional"/>
    <w:uiPriority w:val="99"/>
    <w:semiHidden/>
    <w:unhideWhenUsed/>
    <w:rsid w:val="0099547F"/>
    <w:pPr>
      <w:spacing w:after="120"/>
      <w:jc w:val="both"/>
    </w:pPr>
    <w:rPr>
      <w:rFonts w:ascii="Arial" w:hAnsi="Arial"/>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LightList-Accent111">
    <w:name w:val="Light List - Accent 111"/>
    <w:basedOn w:val="TableNormal"/>
    <w:next w:val="LightList-Accent1"/>
    <w:uiPriority w:val="61"/>
    <w:rsid w:val="0099547F"/>
    <w:rPr>
      <w:rFonts w:eastAsia="Arial"/>
      <w:sz w:val="16"/>
      <w:szCs w:val="22"/>
      <w:lang w:eastAsia="en-US"/>
    </w:rPr>
    <w:tblPr>
      <w:tblStyleRowBandSize w:val="1"/>
      <w:tblStyleColBandSize w:val="1"/>
      <w:tblBorders>
        <w:top w:val="single" w:sz="8" w:space="0" w:color="365F91"/>
        <w:left w:val="single" w:sz="8" w:space="0" w:color="365F91"/>
        <w:bottom w:val="single" w:sz="8" w:space="0" w:color="365F91"/>
        <w:right w:val="single" w:sz="8" w:space="0" w:color="365F91"/>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11">
    <w:name w:val="Table Grid11"/>
    <w:basedOn w:val="TableNormal"/>
    <w:next w:val="TableGrid"/>
    <w:uiPriority w:val="59"/>
    <w:rsid w:val="0099547F"/>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99547F"/>
    <w:rPr>
      <w:rFonts w:eastAsia="Calibri"/>
      <w: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99547F"/>
  </w:style>
  <w:style w:type="paragraph" w:customStyle="1" w:styleId="BoxSubbullet">
    <w:name w:val="Box Subbullet"/>
    <w:basedOn w:val="BoxBullet"/>
    <w:uiPriority w:val="2"/>
    <w:qFormat/>
    <w:rsid w:val="0099547F"/>
    <w:pPr>
      <w:tabs>
        <w:tab w:val="clear" w:pos="284"/>
        <w:tab w:val="left" w:pos="680"/>
      </w:tabs>
      <w:ind w:left="1135" w:hanging="851"/>
    </w:pPr>
  </w:style>
  <w:style w:type="paragraph" w:customStyle="1" w:styleId="Keypointshead">
    <w:name w:val="Key points head"/>
    <w:basedOn w:val="BoxHeading"/>
    <w:uiPriority w:val="99"/>
    <w:semiHidden/>
    <w:qFormat/>
    <w:rsid w:val="0099547F"/>
    <w:pPr>
      <w:pBdr>
        <w:top w:val="none" w:sz="0" w:space="0" w:color="auto"/>
        <w:left w:val="none" w:sz="0" w:space="0" w:color="auto"/>
        <w:bottom w:val="none" w:sz="0" w:space="0" w:color="auto"/>
        <w:right w:val="none" w:sz="0" w:space="0" w:color="auto"/>
      </w:pBdr>
    </w:pPr>
    <w:rPr>
      <w:sz w:val="19"/>
      <w:szCs w:val="19"/>
    </w:rPr>
  </w:style>
  <w:style w:type="character" w:customStyle="1" w:styleId="BulletChar">
    <w:name w:val="Bullet Char"/>
    <w:link w:val="Bullet"/>
    <w:locked/>
    <w:rsid w:val="00F93F5E"/>
    <w:rPr>
      <w:sz w:val="22"/>
      <w:szCs w:val="22"/>
    </w:rPr>
  </w:style>
  <w:style w:type="paragraph" w:customStyle="1" w:styleId="Keypointsbullet">
    <w:name w:val="Key points bullet"/>
    <w:basedOn w:val="BoxBullet"/>
    <w:uiPriority w:val="99"/>
    <w:semiHidden/>
    <w:qFormat/>
    <w:rsid w:val="00E52ADA"/>
    <w:pPr>
      <w:numPr>
        <w:numId w:val="16"/>
      </w:numPr>
      <w:pBdr>
        <w:top w:val="none" w:sz="0" w:space="0" w:color="auto"/>
        <w:left w:val="none" w:sz="0" w:space="0" w:color="auto"/>
        <w:bottom w:val="none" w:sz="0" w:space="0" w:color="auto"/>
        <w:right w:val="none" w:sz="0" w:space="0" w:color="auto"/>
      </w:pBdr>
      <w:tabs>
        <w:tab w:val="clear" w:pos="0"/>
        <w:tab w:val="clear" w:pos="567"/>
      </w:tabs>
      <w:spacing w:before="100"/>
      <w:ind w:left="397" w:hanging="397"/>
    </w:pPr>
    <w:rPr>
      <w:sz w:val="18"/>
      <w:szCs w:val="18"/>
    </w:rPr>
  </w:style>
  <w:style w:type="paragraph" w:customStyle="1" w:styleId="Keypointsub-bullet">
    <w:name w:val="Key point sub-bullet"/>
    <w:basedOn w:val="BoxSubbullet"/>
    <w:uiPriority w:val="99"/>
    <w:semiHidden/>
    <w:qFormat/>
    <w:rsid w:val="0099547F"/>
    <w:pPr>
      <w:numPr>
        <w:numId w:val="14"/>
      </w:numPr>
      <w:pBdr>
        <w:top w:val="none" w:sz="0" w:space="0" w:color="auto"/>
        <w:left w:val="none" w:sz="0" w:space="0" w:color="auto"/>
        <w:bottom w:val="none" w:sz="0" w:space="0" w:color="auto"/>
        <w:right w:val="none" w:sz="0" w:space="0" w:color="auto"/>
      </w:pBdr>
      <w:tabs>
        <w:tab w:val="clear" w:pos="567"/>
        <w:tab w:val="clear" w:pos="680"/>
      </w:tabs>
      <w:ind w:left="794" w:hanging="397"/>
    </w:pPr>
    <w:rPr>
      <w:sz w:val="18"/>
      <w:szCs w:val="18"/>
    </w:rPr>
  </w:style>
  <w:style w:type="paragraph" w:customStyle="1" w:styleId="Keypointstext">
    <w:name w:val="Key points text"/>
    <w:basedOn w:val="Keypointshead"/>
    <w:uiPriority w:val="99"/>
    <w:semiHidden/>
    <w:qFormat/>
    <w:rsid w:val="0099547F"/>
    <w:pPr>
      <w:spacing w:before="120" w:after="120"/>
    </w:pPr>
    <w:rPr>
      <w:b w:val="0"/>
    </w:rPr>
  </w:style>
  <w:style w:type="paragraph" w:customStyle="1" w:styleId="Boxa">
    <w:name w:val="Box a"/>
    <w:aliases w:val="b list"/>
    <w:basedOn w:val="Normal"/>
    <w:semiHidden/>
    <w:qFormat/>
    <w:rsid w:val="0099547F"/>
    <w:pPr>
      <w:numPr>
        <w:ilvl w:val="1"/>
        <w:numId w:val="15"/>
      </w:numPr>
      <w:pBdr>
        <w:top w:val="single" w:sz="6" w:space="15" w:color="0092CF"/>
        <w:left w:val="single" w:sz="6" w:space="15" w:color="0092CF"/>
        <w:bottom w:val="single" w:sz="6" w:space="15" w:color="0092CF"/>
        <w:right w:val="single" w:sz="6" w:space="15" w:color="0092CF"/>
      </w:pBdr>
      <w:tabs>
        <w:tab w:val="left" w:pos="426"/>
      </w:tabs>
      <w:spacing w:before="120" w:line="280" w:lineRule="atLeast"/>
      <w:ind w:right="284"/>
    </w:pPr>
    <w:rPr>
      <w:color w:val="0092CF"/>
      <w:sz w:val="20"/>
      <w:szCs w:val="20"/>
    </w:rPr>
  </w:style>
  <w:style w:type="table" w:styleId="LightShading-Accent1">
    <w:name w:val="Light Shading Accent 1"/>
    <w:basedOn w:val="TableNormal"/>
    <w:uiPriority w:val="60"/>
    <w:rsid w:val="0099547F"/>
    <w:pPr>
      <w:jc w:val="both"/>
    </w:pPr>
    <w:rPr>
      <w:rFonts w:eastAsia="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stTable3-Accent11">
    <w:name w:val="List Table 3 - Accent 11"/>
    <w:basedOn w:val="TableNormal"/>
    <w:uiPriority w:val="48"/>
    <w:rsid w:val="0099547F"/>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paragraph" w:customStyle="1" w:styleId="TableText2">
    <w:name w:val="TableText 2"/>
    <w:basedOn w:val="TableText"/>
    <w:semiHidden/>
    <w:qFormat/>
    <w:rsid w:val="0099547F"/>
    <w:pPr>
      <w:spacing w:line="240" w:lineRule="atLeast"/>
      <w:ind w:left="737"/>
    </w:pPr>
  </w:style>
  <w:style w:type="paragraph" w:customStyle="1" w:styleId="TableText1">
    <w:name w:val="TableText 1"/>
    <w:basedOn w:val="TableText"/>
    <w:semiHidden/>
    <w:qFormat/>
    <w:rsid w:val="0099547F"/>
    <w:pPr>
      <w:spacing w:line="240" w:lineRule="atLeast"/>
      <w:ind w:left="397"/>
    </w:pPr>
  </w:style>
  <w:style w:type="paragraph" w:customStyle="1" w:styleId="Sub-bulletdash">
    <w:name w:val="Sub-bullet dash"/>
    <w:basedOn w:val="Normal"/>
    <w:uiPriority w:val="6"/>
    <w:qFormat/>
    <w:rsid w:val="0099547F"/>
    <w:pPr>
      <w:tabs>
        <w:tab w:val="num" w:pos="397"/>
        <w:tab w:val="left" w:pos="794"/>
      </w:tabs>
      <w:spacing w:after="120" w:line="280" w:lineRule="atLeast"/>
      <w:ind w:left="397"/>
    </w:pPr>
  </w:style>
  <w:style w:type="table" w:customStyle="1" w:styleId="ListTable3-Accent110">
    <w:name w:val="List Table 3 - Accent 110"/>
    <w:basedOn w:val="TableNormal"/>
    <w:uiPriority w:val="48"/>
    <w:rsid w:val="0099547F"/>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character" w:styleId="UnresolvedMention">
    <w:name w:val="Unresolved Mention"/>
    <w:uiPriority w:val="99"/>
    <w:semiHidden/>
    <w:unhideWhenUsed/>
    <w:rsid w:val="004543E0"/>
    <w:rPr>
      <w:color w:val="605E5C"/>
      <w:shd w:val="clear" w:color="auto" w:fill="E1DFDD"/>
    </w:rPr>
  </w:style>
  <w:style w:type="table" w:styleId="ListTable3-Accent1">
    <w:name w:val="List Table 3 Accent 1"/>
    <w:basedOn w:val="TableNormal"/>
    <w:uiPriority w:val="48"/>
    <w:rsid w:val="004543E0"/>
    <w:pPr>
      <w:spacing w:before="120"/>
      <w:jc w:val="both"/>
    </w:pPr>
    <w:rPr>
      <w:rFonts w:eastAsia="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character" w:customStyle="1" w:styleId="Heading8Char1">
    <w:name w:val="Heading 8 Char1"/>
    <w:aliases w:val="Char14 Char1"/>
    <w:semiHidden/>
    <w:rsid w:val="00A76ADB"/>
    <w:rPr>
      <w:rFonts w:ascii="Calibri Light" w:eastAsia="Times New Roman" w:hAnsi="Calibri Light" w:cs="Times New Roman"/>
      <w:color w:val="272727"/>
      <w:sz w:val="21"/>
      <w:szCs w:val="21"/>
      <w:lang w:eastAsia="en-US"/>
    </w:rPr>
  </w:style>
  <w:style w:type="character" w:customStyle="1" w:styleId="CommentTextChar2">
    <w:name w:val="Comment Text Char2"/>
    <w:basedOn w:val="DefaultParagraphFont"/>
    <w:uiPriority w:val="99"/>
    <w:semiHidden/>
    <w:rsid w:val="00616641"/>
  </w:style>
  <w:style w:type="paragraph" w:customStyle="1" w:styleId="Footereven0">
    <w:name w:val="Footer even"/>
    <w:basedOn w:val="Normal"/>
    <w:uiPriority w:val="2"/>
    <w:semiHidden/>
    <w:qFormat/>
    <w:rsid w:val="00A76ADB"/>
  </w:style>
  <w:style w:type="paragraph" w:customStyle="1" w:styleId="Footerodd0">
    <w:name w:val="Footer odd"/>
    <w:basedOn w:val="Normal"/>
    <w:uiPriority w:val="2"/>
    <w:semiHidden/>
    <w:qFormat/>
    <w:rsid w:val="00753DA3"/>
    <w:pPr>
      <w:tabs>
        <w:tab w:val="right" w:pos="6804"/>
        <w:tab w:val="right" w:pos="7938"/>
      </w:tabs>
    </w:pPr>
  </w:style>
  <w:style w:type="character" w:customStyle="1" w:styleId="BulletsChar">
    <w:name w:val="Bullets Char"/>
    <w:link w:val="Bullets"/>
    <w:semiHidden/>
    <w:rsid w:val="00A76ADB"/>
  </w:style>
  <w:style w:type="paragraph" w:customStyle="1" w:styleId="Bullets">
    <w:name w:val="Bullets"/>
    <w:basedOn w:val="Normal"/>
    <w:link w:val="BulletsChar"/>
    <w:semiHidden/>
    <w:rsid w:val="00A76ADB"/>
    <w:pPr>
      <w:tabs>
        <w:tab w:val="left" w:pos="397"/>
      </w:tabs>
      <w:spacing w:before="120"/>
      <w:ind w:left="397" w:hanging="397"/>
    </w:pPr>
    <w:rPr>
      <w:sz w:val="20"/>
      <w:szCs w:val="20"/>
    </w:rPr>
  </w:style>
  <w:style w:type="paragraph" w:customStyle="1" w:styleId="StyleHeading6Before6pt">
    <w:name w:val="Style Heading 6 + Before:  6 pt"/>
    <w:basedOn w:val="Heading6"/>
    <w:uiPriority w:val="99"/>
    <w:semiHidden/>
    <w:rsid w:val="00A76ADB"/>
    <w:pPr>
      <w:spacing w:before="120"/>
    </w:pPr>
    <w:rPr>
      <w:szCs w:val="20"/>
    </w:rPr>
  </w:style>
  <w:style w:type="numbering" w:customStyle="1" w:styleId="Annex">
    <w:name w:val="Annex"/>
    <w:uiPriority w:val="99"/>
    <w:rsid w:val="00A76ADB"/>
    <w:pPr>
      <w:numPr>
        <w:numId w:val="24"/>
      </w:numPr>
    </w:pPr>
  </w:style>
  <w:style w:type="paragraph" w:customStyle="1" w:styleId="Contentssubhead">
    <w:name w:val="Contents subhead"/>
    <w:basedOn w:val="ContentsHeading"/>
    <w:uiPriority w:val="2"/>
    <w:semiHidden/>
    <w:qFormat/>
    <w:rsid w:val="00A76ADB"/>
    <w:pPr>
      <w:pBdr>
        <w:bottom w:val="none" w:sz="0" w:space="0" w:color="auto"/>
      </w:pBdr>
      <w:outlineLvl w:val="0"/>
    </w:pPr>
    <w:rPr>
      <w:sz w:val="40"/>
    </w:rPr>
  </w:style>
  <w:style w:type="paragraph" w:customStyle="1" w:styleId="TableHeading">
    <w:name w:val="Table Heading"/>
    <w:basedOn w:val="TableText"/>
    <w:semiHidden/>
    <w:rsid w:val="00A76ADB"/>
    <w:pPr>
      <w:tabs>
        <w:tab w:val="left" w:pos="567"/>
      </w:tabs>
    </w:pPr>
    <w:rPr>
      <w:rFonts w:ascii="Arial Bold" w:hAnsi="Arial Bold"/>
      <w:b/>
      <w:noProof/>
      <w:szCs w:val="16"/>
    </w:rPr>
  </w:style>
  <w:style w:type="numbering" w:customStyle="1" w:styleId="Annex1">
    <w:name w:val="Annex1"/>
    <w:uiPriority w:val="99"/>
    <w:rsid w:val="00A76ADB"/>
  </w:style>
  <w:style w:type="numbering" w:customStyle="1" w:styleId="Annex11">
    <w:name w:val="Annex11"/>
    <w:uiPriority w:val="99"/>
    <w:rsid w:val="00A76ADB"/>
  </w:style>
  <w:style w:type="character" w:customStyle="1" w:styleId="UnresolvedMention1">
    <w:name w:val="Unresolved Mention1"/>
    <w:uiPriority w:val="99"/>
    <w:semiHidden/>
    <w:unhideWhenUsed/>
    <w:rsid w:val="00A76ADB"/>
    <w:rPr>
      <w:color w:val="605E5C"/>
      <w:shd w:val="clear" w:color="auto" w:fill="E1DFDD"/>
    </w:rPr>
  </w:style>
  <w:style w:type="character" w:customStyle="1" w:styleId="UnresolvedMention2">
    <w:name w:val="Unresolved Mention2"/>
    <w:uiPriority w:val="99"/>
    <w:semiHidden/>
    <w:unhideWhenUsed/>
    <w:rsid w:val="00A76ADB"/>
    <w:rPr>
      <w:color w:val="605E5C"/>
      <w:shd w:val="clear" w:color="auto" w:fill="E1DFDD"/>
    </w:rPr>
  </w:style>
  <w:style w:type="character" w:customStyle="1" w:styleId="Heading9Char1">
    <w:name w:val="Heading 9 Char1"/>
    <w:aliases w:val="Char13 Char1"/>
    <w:semiHidden/>
    <w:rsid w:val="00A76ADB"/>
    <w:rPr>
      <w:rFonts w:ascii="Calibri Light" w:eastAsia="Times New Roman" w:hAnsi="Calibri Light" w:cs="Times New Roman"/>
      <w:i/>
      <w:iCs/>
      <w:color w:val="272727"/>
      <w:sz w:val="21"/>
      <w:szCs w:val="21"/>
      <w:lang w:eastAsia="en-US"/>
    </w:rPr>
  </w:style>
  <w:style w:type="character" w:styleId="Mention">
    <w:name w:val="Mention"/>
    <w:uiPriority w:val="99"/>
    <w:semiHidden/>
    <w:rsid w:val="00616641"/>
    <w:rPr>
      <w:color w:val="2B579A"/>
      <w:shd w:val="clear" w:color="auto" w:fill="E1DFDD"/>
    </w:rPr>
  </w:style>
  <w:style w:type="paragraph" w:styleId="Footer">
    <w:name w:val="footer"/>
    <w:aliases w:val=" Char10,Char10"/>
    <w:basedOn w:val="Normal"/>
    <w:link w:val="FooterChar"/>
    <w:semiHidden/>
    <w:rsid w:val="00F55F78"/>
    <w:pPr>
      <w:tabs>
        <w:tab w:val="center" w:pos="4513"/>
        <w:tab w:val="right" w:pos="9026"/>
      </w:tabs>
    </w:pPr>
  </w:style>
  <w:style w:type="character" w:customStyle="1" w:styleId="FooterChar">
    <w:name w:val="Footer Char"/>
    <w:aliases w:val=" Char10 Char,Char10 Char"/>
    <w:link w:val="Footer"/>
    <w:semiHidden/>
    <w:rsid w:val="00DF49B9"/>
    <w:rPr>
      <w:sz w:val="22"/>
      <w:szCs w:val="22"/>
    </w:rPr>
  </w:style>
  <w:style w:type="paragraph" w:customStyle="1" w:styleId="Headerleft">
    <w:name w:val="Header left"/>
    <w:basedOn w:val="Normal"/>
    <w:semiHidden/>
    <w:rsid w:val="00BB3E1E"/>
    <w:pPr>
      <w:suppressLineNumbers/>
      <w:tabs>
        <w:tab w:val="center" w:pos="3968"/>
        <w:tab w:val="right" w:pos="7937"/>
      </w:tabs>
      <w:suppressAutoHyphens/>
      <w:spacing w:after="120"/>
    </w:pPr>
    <w:rPr>
      <w:rFonts w:ascii="Times New Roman" w:hAnsi="Times New Roman"/>
      <w:lang w:eastAsia="ar-SA"/>
    </w:rPr>
  </w:style>
  <w:style w:type="paragraph" w:customStyle="1" w:styleId="Captions">
    <w:name w:val="Captions"/>
    <w:basedOn w:val="Normal"/>
    <w:next w:val="Normal"/>
    <w:semiHidden/>
    <w:rsid w:val="00442E6D"/>
    <w:pPr>
      <w:tabs>
        <w:tab w:val="left" w:pos="851"/>
      </w:tabs>
      <w:suppressAutoHyphens/>
      <w:spacing w:before="120" w:after="120"/>
    </w:pPr>
    <w:rPr>
      <w:rFonts w:ascii="Times New Roman" w:hAnsi="Times New Roman"/>
      <w:lang w:eastAsia="ar-SA"/>
    </w:rPr>
  </w:style>
  <w:style w:type="character" w:customStyle="1" w:styleId="QuoteChar1">
    <w:name w:val="Quote Char1"/>
    <w:uiPriority w:val="29"/>
    <w:semiHidden/>
    <w:rsid w:val="00442E6D"/>
    <w:rPr>
      <w:rFonts w:ascii="Times New Roman" w:hAnsi="Times New Roman"/>
      <w:i/>
      <w:iCs/>
      <w:color w:val="000000"/>
      <w:lang w:eastAsia="en-US"/>
    </w:rPr>
  </w:style>
  <w:style w:type="character" w:customStyle="1" w:styleId="NIRTitleChar">
    <w:name w:val="NIR Title Char"/>
    <w:link w:val="NIRTitle"/>
    <w:semiHidden/>
    <w:locked/>
    <w:rsid w:val="00442E6D"/>
    <w:rPr>
      <w:rFonts w:ascii="Calibri Light" w:eastAsia="Malgun Gothic" w:hAnsi="Calibri Light"/>
      <w:color w:val="323E4F"/>
      <w:spacing w:val="5"/>
      <w:kern w:val="28"/>
      <w:sz w:val="52"/>
      <w:szCs w:val="52"/>
    </w:rPr>
  </w:style>
  <w:style w:type="paragraph" w:customStyle="1" w:styleId="NIRTitle">
    <w:name w:val="NIR Title"/>
    <w:basedOn w:val="Title"/>
    <w:link w:val="NIRTitleChar"/>
    <w:semiHidden/>
    <w:qFormat/>
    <w:rsid w:val="00442E6D"/>
    <w:pPr>
      <w:pBdr>
        <w:bottom w:val="single" w:sz="8" w:space="4" w:color="5B9BD5"/>
      </w:pBdr>
      <w:spacing w:after="300" w:line="240" w:lineRule="auto"/>
      <w:contextualSpacing/>
      <w:jc w:val="both"/>
    </w:pPr>
    <w:rPr>
      <w:rFonts w:ascii="Calibri Light" w:eastAsia="Malgun Gothic" w:hAnsi="Calibri Light"/>
      <w:b w:val="0"/>
      <w:color w:val="323E4F"/>
      <w:spacing w:val="5"/>
      <w:kern w:val="28"/>
      <w:sz w:val="52"/>
      <w:szCs w:val="52"/>
    </w:rPr>
  </w:style>
  <w:style w:type="paragraph" w:customStyle="1" w:styleId="msonormal0">
    <w:name w:val="msonormal"/>
    <w:basedOn w:val="Normal"/>
    <w:semiHidden/>
    <w:rsid w:val="00442E6D"/>
    <w:pPr>
      <w:widowControl w:val="0"/>
      <w:adjustRightInd w:val="0"/>
      <w:spacing w:before="100" w:beforeAutospacing="1" w:after="100" w:afterAutospacing="1"/>
    </w:pPr>
    <w:rPr>
      <w:rFonts w:ascii="Times New Roman" w:hAnsi="Times New Roman"/>
      <w:szCs w:val="24"/>
      <w:lang w:val="en-GB" w:eastAsia="en-GB"/>
    </w:rPr>
  </w:style>
  <w:style w:type="character" w:customStyle="1" w:styleId="Heading7Char1">
    <w:name w:val="Heading 7 Char1"/>
    <w:aliases w:val="Char15 Char1"/>
    <w:semiHidden/>
    <w:rsid w:val="00442E6D"/>
    <w:rPr>
      <w:rFonts w:ascii="Calibri Light" w:eastAsia="Times New Roman" w:hAnsi="Calibri Light" w:cs="Times New Roman"/>
      <w:i/>
      <w:iCs/>
      <w:color w:val="1F4D78"/>
      <w:sz w:val="22"/>
      <w:lang w:eastAsia="en-US"/>
    </w:rPr>
  </w:style>
  <w:style w:type="character" w:customStyle="1" w:styleId="FooterChar1">
    <w:name w:val="Footer Char1"/>
    <w:aliases w:val="Char10 Char1"/>
    <w:semiHidden/>
    <w:rsid w:val="00442E6D"/>
    <w:rPr>
      <w:rFonts w:ascii="Times New Roman" w:hAnsi="Times New Roman"/>
      <w:sz w:val="22"/>
      <w:lang w:eastAsia="en-US"/>
    </w:rPr>
  </w:style>
  <w:style w:type="character" w:customStyle="1" w:styleId="BodyText2Char1">
    <w:name w:val="Body Text 2 Char1"/>
    <w:aliases w:val="Char4 Char1"/>
    <w:semiHidden/>
    <w:rsid w:val="00442E6D"/>
    <w:rPr>
      <w:rFonts w:ascii="Times New Roman" w:hAnsi="Times New Roman"/>
      <w:sz w:val="22"/>
      <w:lang w:eastAsia="en-US"/>
    </w:rPr>
  </w:style>
  <w:style w:type="character" w:customStyle="1" w:styleId="DocumentMapChar1">
    <w:name w:val="Document Map Char1"/>
    <w:aliases w:val="Char1 Char1"/>
    <w:semiHidden/>
    <w:rsid w:val="00442E6D"/>
    <w:rPr>
      <w:rFonts w:ascii="Segoe UI" w:hAnsi="Segoe UI" w:cs="Segoe UI"/>
      <w:sz w:val="16"/>
      <w:szCs w:val="16"/>
      <w:lang w:eastAsia="en-US"/>
    </w:rPr>
  </w:style>
  <w:style w:type="character" w:customStyle="1" w:styleId="BalloonTextChar1">
    <w:name w:val="Balloon Text Char1"/>
    <w:aliases w:val="Char6 Char1"/>
    <w:semiHidden/>
    <w:rsid w:val="00442E6D"/>
    <w:rPr>
      <w:rFonts w:ascii="Segoe UI" w:hAnsi="Segoe UI" w:cs="Segoe UI"/>
      <w:sz w:val="18"/>
      <w:szCs w:val="18"/>
      <w:lang w:eastAsia="en-US"/>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mpi.govt.nz/news-and-resources/statistics-and-forecasting/greenhouse-gas-reporting/agricultural-inventory-advisory-panel" TargetMode="External"/><Relationship Id="rId21" Type="http://schemas.openxmlformats.org/officeDocument/2006/relationships/hyperlink" Target="https://environment.govt.nz/what-government-is-doing/areas-of-work/climate-change/emissions-reduction-targets/latest-update-on-new-zealands-2020-net-position/" TargetMode="External"/><Relationship Id="rId63" Type="http://schemas.openxmlformats.org/officeDocument/2006/relationships/image" Target="media/image26.png"/><Relationship Id="rId159" Type="http://schemas.openxmlformats.org/officeDocument/2006/relationships/image" Target="media/image77.emf"/><Relationship Id="rId170" Type="http://schemas.openxmlformats.org/officeDocument/2006/relationships/package" Target="embeddings/Microsoft_Word_Document22.docx"/><Relationship Id="rId226" Type="http://schemas.openxmlformats.org/officeDocument/2006/relationships/footer" Target="footer23.xml"/><Relationship Id="rId268" Type="http://schemas.openxmlformats.org/officeDocument/2006/relationships/footer" Target="footer28.xml"/><Relationship Id="rId32" Type="http://schemas.openxmlformats.org/officeDocument/2006/relationships/hyperlink" Target="http://www.emissionsregister.govt.nz" TargetMode="External"/><Relationship Id="rId74" Type="http://schemas.openxmlformats.org/officeDocument/2006/relationships/hyperlink" Target="https://data.nzpam.govt.nz/GOLD/system/mainframe.asp" TargetMode="External"/><Relationship Id="rId128" Type="http://schemas.openxmlformats.org/officeDocument/2006/relationships/package" Target="embeddings/Microsoft_Word_Document3.docx"/><Relationship Id="rId5" Type="http://schemas.openxmlformats.org/officeDocument/2006/relationships/webSettings" Target="webSettings.xml"/><Relationship Id="rId181" Type="http://schemas.openxmlformats.org/officeDocument/2006/relationships/image" Target="media/image88.emf"/><Relationship Id="rId237" Type="http://schemas.openxmlformats.org/officeDocument/2006/relationships/header" Target="header11.xml"/><Relationship Id="rId279" Type="http://schemas.openxmlformats.org/officeDocument/2006/relationships/hyperlink" Target="https://environment.govt.nz/facts-and-science/climate-change/measuring-greenhouse-gas-emissions/about-new-zealands-greenhouse-gas-inventory/" TargetMode="External"/><Relationship Id="rId43" Type="http://schemas.openxmlformats.org/officeDocument/2006/relationships/image" Target="media/image11.png"/><Relationship Id="rId139" Type="http://schemas.openxmlformats.org/officeDocument/2006/relationships/image" Target="media/image67.emf"/><Relationship Id="rId290" Type="http://schemas.openxmlformats.org/officeDocument/2006/relationships/footer" Target="footer37.xml"/><Relationship Id="rId85" Type="http://schemas.openxmlformats.org/officeDocument/2006/relationships/hyperlink" Target="http://www.mbie.govt.nz/building-and-energy/energy-and-natural-resources/energy-statistics-and-modelling/energy-publications-and-technical-papers/energy-in-new-zealand/" TargetMode="External"/><Relationship Id="rId150" Type="http://schemas.openxmlformats.org/officeDocument/2006/relationships/package" Target="embeddings/Microsoft_Word_Document12.docx"/><Relationship Id="rId192" Type="http://schemas.openxmlformats.org/officeDocument/2006/relationships/hyperlink" Target="http://www.mpi.govt.nz/dmsdocument/13906-Detailed-methodologies-for-agricultural-greenhouse-gas-emission-calculation" TargetMode="External"/><Relationship Id="rId206" Type="http://schemas.openxmlformats.org/officeDocument/2006/relationships/image" Target="media/image100.jpeg"/><Relationship Id="rId248" Type="http://schemas.openxmlformats.org/officeDocument/2006/relationships/image" Target="media/image112.png"/><Relationship Id="rId12" Type="http://schemas.openxmlformats.org/officeDocument/2006/relationships/footer" Target="footer2.xml"/><Relationship Id="rId33" Type="http://schemas.openxmlformats.org/officeDocument/2006/relationships/image" Target="media/image7.png"/><Relationship Id="rId108" Type="http://schemas.openxmlformats.org/officeDocument/2006/relationships/hyperlink" Target="http://www.mpi.govt.nz/dmsdocument/13906-detailed-methodologies-for-agricultural-greenhouse-gas-emission-calculation" TargetMode="External"/><Relationship Id="rId129" Type="http://schemas.openxmlformats.org/officeDocument/2006/relationships/image" Target="media/image61.emf"/><Relationship Id="rId280" Type="http://schemas.openxmlformats.org/officeDocument/2006/relationships/hyperlink" Target="http://www.emissionsregister.govt.nz" TargetMode="External"/><Relationship Id="rId54" Type="http://schemas.openxmlformats.org/officeDocument/2006/relationships/footer" Target="footer11.xml"/><Relationship Id="rId75" Type="http://schemas.openxmlformats.org/officeDocument/2006/relationships/image" Target="media/image35.emf"/><Relationship Id="rId96" Type="http://schemas.openxmlformats.org/officeDocument/2006/relationships/image" Target="media/image43.png"/><Relationship Id="rId140" Type="http://schemas.openxmlformats.org/officeDocument/2006/relationships/package" Target="embeddings/Microsoft_Word_Document7.docx"/><Relationship Id="rId161" Type="http://schemas.openxmlformats.org/officeDocument/2006/relationships/image" Target="media/image78.emf"/><Relationship Id="rId182" Type="http://schemas.openxmlformats.org/officeDocument/2006/relationships/package" Target="embeddings/Microsoft_Word_Document28.docx"/><Relationship Id="rId217" Type="http://schemas.openxmlformats.org/officeDocument/2006/relationships/hyperlink" Target="http://www.mfe.govt.nz/publications/climate/new-zealands-initial-report-under-the-kyoto-protocol/index.html" TargetMode="External"/><Relationship Id="rId6" Type="http://schemas.openxmlformats.org/officeDocument/2006/relationships/footnotes" Target="footnotes.xml"/><Relationship Id="rId238" Type="http://schemas.openxmlformats.org/officeDocument/2006/relationships/footer" Target="footer24.xml"/><Relationship Id="rId259" Type="http://schemas.openxmlformats.org/officeDocument/2006/relationships/footer" Target="footer27.xml"/><Relationship Id="rId23" Type="http://schemas.openxmlformats.org/officeDocument/2006/relationships/image" Target="media/image4.png"/><Relationship Id="rId119" Type="http://schemas.openxmlformats.org/officeDocument/2006/relationships/package" Target="embeddings/Microsoft_Visio_Drawing2.vsdx"/><Relationship Id="rId270" Type="http://schemas.openxmlformats.org/officeDocument/2006/relationships/footer" Target="footer30.xml"/><Relationship Id="rId291" Type="http://schemas.openxmlformats.org/officeDocument/2006/relationships/fontTable" Target="fontTable.xml"/><Relationship Id="rId44" Type="http://schemas.openxmlformats.org/officeDocument/2006/relationships/image" Target="media/image12.png"/><Relationship Id="rId65" Type="http://schemas.openxmlformats.org/officeDocument/2006/relationships/image" Target="media/image28.emf"/><Relationship Id="rId86" Type="http://schemas.openxmlformats.org/officeDocument/2006/relationships/hyperlink" Target="http://www.mfe.govt.nz/issues/climate/policies-initiatives/projects" TargetMode="External"/><Relationship Id="rId130" Type="http://schemas.openxmlformats.org/officeDocument/2006/relationships/package" Target="embeddings/Microsoft_Word_Document4.docx"/><Relationship Id="rId151" Type="http://schemas.openxmlformats.org/officeDocument/2006/relationships/image" Target="media/image73.emf"/><Relationship Id="rId172" Type="http://schemas.openxmlformats.org/officeDocument/2006/relationships/package" Target="embeddings/Microsoft_Word_Document23.docx"/><Relationship Id="rId193" Type="http://schemas.openxmlformats.org/officeDocument/2006/relationships/hyperlink" Target="https://www.publish.csiro.au/AN/AN15766" TargetMode="External"/><Relationship Id="rId207" Type="http://schemas.openxmlformats.org/officeDocument/2006/relationships/image" Target="media/image101.png"/><Relationship Id="rId228" Type="http://schemas.openxmlformats.org/officeDocument/2006/relationships/image" Target="media/image104.png"/><Relationship Id="rId249" Type="http://schemas.openxmlformats.org/officeDocument/2006/relationships/image" Target="media/image113.png"/><Relationship Id="rId13" Type="http://schemas.openxmlformats.org/officeDocument/2006/relationships/header" Target="header3.xml"/><Relationship Id="rId109" Type="http://schemas.openxmlformats.org/officeDocument/2006/relationships/hyperlink" Target="http://www.mpi.govt.nz/dmsdocument/13906-detailed-methodologies-for-agricultural-greenhouse-gas-emission-calculation" TargetMode="External"/><Relationship Id="rId260" Type="http://schemas.openxmlformats.org/officeDocument/2006/relationships/image" Target="media/image118.png"/><Relationship Id="rId281" Type="http://schemas.openxmlformats.org/officeDocument/2006/relationships/hyperlink" Target="https://www.emissionsregister.govt.nz/Common/InformationReports.aspx" TargetMode="External"/><Relationship Id="rId34" Type="http://schemas.openxmlformats.org/officeDocument/2006/relationships/image" Target="media/image8.emf"/><Relationship Id="rId55" Type="http://schemas.openxmlformats.org/officeDocument/2006/relationships/image" Target="media/image20.png"/><Relationship Id="rId76" Type="http://schemas.openxmlformats.org/officeDocument/2006/relationships/oleObject" Target="embeddings/Microsoft_Visio_2003-2010_Drawing3.vsd"/><Relationship Id="rId97" Type="http://schemas.openxmlformats.org/officeDocument/2006/relationships/image" Target="media/image44.png"/><Relationship Id="rId120" Type="http://schemas.openxmlformats.org/officeDocument/2006/relationships/image" Target="media/image56.emf"/><Relationship Id="rId141" Type="http://schemas.openxmlformats.org/officeDocument/2006/relationships/image" Target="media/image68.emf"/><Relationship Id="rId7" Type="http://schemas.openxmlformats.org/officeDocument/2006/relationships/endnotes" Target="endnotes.xml"/><Relationship Id="rId162" Type="http://schemas.openxmlformats.org/officeDocument/2006/relationships/package" Target="embeddings/Microsoft_Word_Document18.docx"/><Relationship Id="rId183" Type="http://schemas.openxmlformats.org/officeDocument/2006/relationships/package" Target="embeddings/Microsoft_Word_Document29.docx"/><Relationship Id="rId218" Type="http://schemas.openxmlformats.org/officeDocument/2006/relationships/hyperlink" Target="http://www.mfe.govt.nz" TargetMode="External"/><Relationship Id="rId239" Type="http://schemas.openxmlformats.org/officeDocument/2006/relationships/image" Target="media/image108.png"/><Relationship Id="rId250" Type="http://schemas.openxmlformats.org/officeDocument/2006/relationships/image" Target="media/image114.png"/><Relationship Id="rId271" Type="http://schemas.openxmlformats.org/officeDocument/2006/relationships/footer" Target="footer31.xml"/><Relationship Id="rId292" Type="http://schemas.openxmlformats.org/officeDocument/2006/relationships/theme" Target="theme/theme1.xml"/><Relationship Id="rId24" Type="http://schemas.openxmlformats.org/officeDocument/2006/relationships/image" Target="media/image5.png"/><Relationship Id="rId45" Type="http://schemas.openxmlformats.org/officeDocument/2006/relationships/image" Target="media/image13.png"/><Relationship Id="rId66" Type="http://schemas.openxmlformats.org/officeDocument/2006/relationships/oleObject" Target="embeddings/Microsoft_Visio_2003-2010_Drawing1.vsd"/><Relationship Id="rId87" Type="http://schemas.openxmlformats.org/officeDocument/2006/relationships/hyperlink" Target="http://www.transport.govt.nz/research/Pages/TravelSurvey.aspx" TargetMode="External"/><Relationship Id="rId110" Type="http://schemas.openxmlformats.org/officeDocument/2006/relationships/hyperlink" Target="http://www.mpi.govt.nz/resources-and-forms/economic-intelligence/data/" TargetMode="External"/><Relationship Id="rId131" Type="http://schemas.openxmlformats.org/officeDocument/2006/relationships/image" Target="media/image62.emf"/><Relationship Id="rId152" Type="http://schemas.openxmlformats.org/officeDocument/2006/relationships/package" Target="embeddings/Microsoft_Word_Document13.docx"/><Relationship Id="rId173" Type="http://schemas.openxmlformats.org/officeDocument/2006/relationships/image" Target="media/image84.emf"/><Relationship Id="rId194" Type="http://schemas.openxmlformats.org/officeDocument/2006/relationships/footer" Target="footer14.xml"/><Relationship Id="rId208" Type="http://schemas.openxmlformats.org/officeDocument/2006/relationships/image" Target="media/image102.png"/><Relationship Id="rId229" Type="http://schemas.openxmlformats.org/officeDocument/2006/relationships/image" Target="media/image105.png"/><Relationship Id="rId240" Type="http://schemas.openxmlformats.org/officeDocument/2006/relationships/image" Target="media/image109.png"/><Relationship Id="rId261" Type="http://schemas.openxmlformats.org/officeDocument/2006/relationships/image" Target="media/image119.png"/><Relationship Id="rId14" Type="http://schemas.openxmlformats.org/officeDocument/2006/relationships/header" Target="header4.xml"/><Relationship Id="rId35" Type="http://schemas.openxmlformats.org/officeDocument/2006/relationships/package" Target="embeddings/Microsoft_Visio_Drawing.vsdx"/><Relationship Id="rId56" Type="http://schemas.openxmlformats.org/officeDocument/2006/relationships/image" Target="media/image21.png"/><Relationship Id="rId77" Type="http://schemas.openxmlformats.org/officeDocument/2006/relationships/image" Target="media/image36.wmf"/><Relationship Id="rId100" Type="http://schemas.openxmlformats.org/officeDocument/2006/relationships/hyperlink" Target="https://tepuna.mfe.govt.nz/otcsdav/nodes/13324267/C__Users_Chirino-Valle_AppData_Roaming_OpenText_OTEdit_EC_tepuna_c13324267_C__Users_mcneillb_AppData_Roaming_OpenText_OTEdit_EC_tepuna_c13324267_mailto_T%40______________________" TargetMode="External"/><Relationship Id="rId282" Type="http://schemas.openxmlformats.org/officeDocument/2006/relationships/hyperlink" Target="https://ji.unfccc.int/JI_Parties/DB/E48QQ342M7VSOFWEI6MTBKVVF9NFAM/viewDFP" TargetMode="External"/><Relationship Id="rId8" Type="http://schemas.openxmlformats.org/officeDocument/2006/relationships/image" Target="media/image1.jpeg"/><Relationship Id="rId98" Type="http://schemas.openxmlformats.org/officeDocument/2006/relationships/image" Target="media/image45.png"/><Relationship Id="rId121" Type="http://schemas.openxmlformats.org/officeDocument/2006/relationships/package" Target="embeddings/Microsoft_Word_Document1.docx"/><Relationship Id="rId142" Type="http://schemas.openxmlformats.org/officeDocument/2006/relationships/package" Target="embeddings/Microsoft_Word_Document8.docx"/><Relationship Id="rId163" Type="http://schemas.openxmlformats.org/officeDocument/2006/relationships/image" Target="media/image79.emf"/><Relationship Id="rId184" Type="http://schemas.openxmlformats.org/officeDocument/2006/relationships/image" Target="media/image89.emf"/><Relationship Id="rId219" Type="http://schemas.openxmlformats.org/officeDocument/2006/relationships/hyperlink" Target="http://www.stats.govt.nz" TargetMode="External"/><Relationship Id="rId230" Type="http://schemas.openxmlformats.org/officeDocument/2006/relationships/image" Target="media/image106.png"/><Relationship Id="rId251" Type="http://schemas.openxmlformats.org/officeDocument/2006/relationships/image" Target="media/image115.png"/><Relationship Id="rId25" Type="http://schemas.openxmlformats.org/officeDocument/2006/relationships/image" Target="media/image6.png"/><Relationship Id="rId46" Type="http://schemas.openxmlformats.org/officeDocument/2006/relationships/image" Target="media/image14.png"/><Relationship Id="rId67" Type="http://schemas.openxmlformats.org/officeDocument/2006/relationships/image" Target="media/image29.png"/><Relationship Id="rId272" Type="http://schemas.openxmlformats.org/officeDocument/2006/relationships/footer" Target="footer32.xml"/><Relationship Id="rId293" Type="http://schemas.openxmlformats.org/officeDocument/2006/relationships/customXml" Target="../customXml/item2.xml"/><Relationship Id="rId88" Type="http://schemas.openxmlformats.org/officeDocument/2006/relationships/footer" Target="footer12.xml"/><Relationship Id="rId111" Type="http://schemas.openxmlformats.org/officeDocument/2006/relationships/image" Target="media/image51.png"/><Relationship Id="rId132" Type="http://schemas.openxmlformats.org/officeDocument/2006/relationships/package" Target="embeddings/Microsoft_Word_Document5.docx"/><Relationship Id="rId153" Type="http://schemas.openxmlformats.org/officeDocument/2006/relationships/image" Target="media/image74.emf"/><Relationship Id="rId174" Type="http://schemas.openxmlformats.org/officeDocument/2006/relationships/package" Target="embeddings/Microsoft_Word_Document24.docx"/><Relationship Id="rId195" Type="http://schemas.openxmlformats.org/officeDocument/2006/relationships/footer" Target="footer15.xml"/><Relationship Id="rId209" Type="http://schemas.openxmlformats.org/officeDocument/2006/relationships/footer" Target="footer19.xml"/><Relationship Id="rId220" Type="http://schemas.openxmlformats.org/officeDocument/2006/relationships/hyperlink" Target="https://environment.govt.nz/assets/Publications/Files/Our-land-201-final.pdf" TargetMode="External"/><Relationship Id="rId241" Type="http://schemas.openxmlformats.org/officeDocument/2006/relationships/image" Target="media/image110.png"/><Relationship Id="rId15" Type="http://schemas.openxmlformats.org/officeDocument/2006/relationships/footer" Target="footer3.xml"/><Relationship Id="rId36" Type="http://schemas.openxmlformats.org/officeDocument/2006/relationships/hyperlink" Target="http://www.emissionsregister.govt.nz" TargetMode="External"/><Relationship Id="rId57" Type="http://schemas.openxmlformats.org/officeDocument/2006/relationships/hyperlink" Target="http://www.mbie.govt.nz/building-and-energy/energy-and-natural-resources/energy-statistics-and-modelling/energy-publications-and-technical-papers/energy-in-new-zealand/" TargetMode="External"/><Relationship Id="rId262" Type="http://schemas.openxmlformats.org/officeDocument/2006/relationships/image" Target="media/image120.png"/><Relationship Id="rId283" Type="http://schemas.openxmlformats.org/officeDocument/2006/relationships/footer" Target="footer35.xml"/><Relationship Id="rId78" Type="http://schemas.openxmlformats.org/officeDocument/2006/relationships/oleObject" Target="embeddings/oleObject1.bin"/><Relationship Id="rId99" Type="http://schemas.openxmlformats.org/officeDocument/2006/relationships/image" Target="media/image46.png"/><Relationship Id="rId101" Type="http://schemas.openxmlformats.org/officeDocument/2006/relationships/hyperlink" Target="https://tepuna.mfe.govt.nz/otcsdav/nodes/13324267/C__Users_Chirino-Valle_AppData_Roaming_OpenText_OTEdit_EC_tepuna_c13324267_C__Users_mcneillb_AppData_Roaming_OpenText_OTEdit_EC_tepuna_c13324267_mailto_T%40______________________" TargetMode="External"/><Relationship Id="rId122" Type="http://schemas.openxmlformats.org/officeDocument/2006/relationships/image" Target="media/image57.png"/><Relationship Id="rId143" Type="http://schemas.openxmlformats.org/officeDocument/2006/relationships/image" Target="media/image69.emf"/><Relationship Id="rId164" Type="http://schemas.openxmlformats.org/officeDocument/2006/relationships/package" Target="embeddings/Microsoft_Word_Document19.docx"/><Relationship Id="rId185" Type="http://schemas.openxmlformats.org/officeDocument/2006/relationships/image" Target="media/image90.png"/><Relationship Id="rId9" Type="http://schemas.openxmlformats.org/officeDocument/2006/relationships/header" Target="header1.xml"/><Relationship Id="rId210" Type="http://schemas.openxmlformats.org/officeDocument/2006/relationships/footer" Target="footer20.xml"/><Relationship Id="rId26" Type="http://schemas.openxmlformats.org/officeDocument/2006/relationships/hyperlink" Target="http://www.emissionsregister.govt.nz" TargetMode="External"/><Relationship Id="rId231" Type="http://schemas.openxmlformats.org/officeDocument/2006/relationships/image" Target="media/image107.png"/><Relationship Id="rId252" Type="http://schemas.openxmlformats.org/officeDocument/2006/relationships/image" Target="media/image116.png"/><Relationship Id="rId273" Type="http://schemas.openxmlformats.org/officeDocument/2006/relationships/footer" Target="footer33.xml"/><Relationship Id="rId294" Type="http://schemas.openxmlformats.org/officeDocument/2006/relationships/customXml" Target="../customXml/item3.xml"/><Relationship Id="rId47" Type="http://schemas.openxmlformats.org/officeDocument/2006/relationships/image" Target="media/image15.png"/><Relationship Id="rId68" Type="http://schemas.openxmlformats.org/officeDocument/2006/relationships/image" Target="media/image30.png"/><Relationship Id="rId89" Type="http://schemas.openxmlformats.org/officeDocument/2006/relationships/image" Target="media/image38.png"/><Relationship Id="rId112" Type="http://schemas.openxmlformats.org/officeDocument/2006/relationships/image" Target="media/image52.emf"/><Relationship Id="rId133" Type="http://schemas.openxmlformats.org/officeDocument/2006/relationships/image" Target="media/image63.emf"/><Relationship Id="rId154" Type="http://schemas.openxmlformats.org/officeDocument/2006/relationships/package" Target="embeddings/Microsoft_Word_Document14.docx"/><Relationship Id="rId175" Type="http://schemas.openxmlformats.org/officeDocument/2006/relationships/image" Target="media/image85.emf"/><Relationship Id="rId196" Type="http://schemas.openxmlformats.org/officeDocument/2006/relationships/image" Target="media/image93.png"/><Relationship Id="rId200" Type="http://schemas.openxmlformats.org/officeDocument/2006/relationships/footer" Target="footer17.xml"/><Relationship Id="rId16" Type="http://schemas.openxmlformats.org/officeDocument/2006/relationships/footer" Target="footer4.xml"/><Relationship Id="rId221" Type="http://schemas.openxmlformats.org/officeDocument/2006/relationships/header" Target="header7.xml"/><Relationship Id="rId242" Type="http://schemas.openxmlformats.org/officeDocument/2006/relationships/image" Target="media/image111.png"/><Relationship Id="rId263" Type="http://schemas.openxmlformats.org/officeDocument/2006/relationships/image" Target="media/image121.png"/><Relationship Id="rId284" Type="http://schemas.openxmlformats.org/officeDocument/2006/relationships/hyperlink" Target="http://www.epa.govt.nz" TargetMode="External"/><Relationship Id="rId37" Type="http://schemas.openxmlformats.org/officeDocument/2006/relationships/hyperlink" Target="https://aus01.safelinks.protection.outlook.com/?url=https%3A%2F%2Fenvironment.govt.nz%2Fpublications%2Fgreenhouse-gas-emissions-from-industrial-wastewater-treatment-inventory-basis-review%2F&amp;data=04%7C01%7CMarion.Sorez%40mfe.govt.nz%7Ca910a688e74c4057425e08da1200c40e%7C761dd003d4ff40498a728549b20fcbb1%7C0%7C0%7C637842091735558960%7CUnknown%7CTWFpbGZsb3d8eyJWIjoiMC4wLjAwMDAiLCJQIjoiV2luMzIiLCJBTiI6Ik1haWwiLCJXVCI6Mn0%3D%7C3000&amp;sdata=yzIia9iMYHa5EYwueaSf9JP2Hjib1iRwXff2CvZJXxg%3D&amp;reserved=0" TargetMode="External"/><Relationship Id="rId58" Type="http://schemas.openxmlformats.org/officeDocument/2006/relationships/image" Target="media/image22.png"/><Relationship Id="rId79" Type="http://schemas.openxmlformats.org/officeDocument/2006/relationships/image" Target="media/image37.wmf"/><Relationship Id="rId102" Type="http://schemas.openxmlformats.org/officeDocument/2006/relationships/hyperlink" Target="http://www.mpi.govt.nz/dmsdocument/13906-detailed-methodologies-for-agricultural-greenhouse-gas-emission-calculation" TargetMode="External"/><Relationship Id="rId123" Type="http://schemas.openxmlformats.org/officeDocument/2006/relationships/image" Target="media/image58.png"/><Relationship Id="rId144" Type="http://schemas.openxmlformats.org/officeDocument/2006/relationships/package" Target="embeddings/Microsoft_Word_Document9.docx"/><Relationship Id="rId90" Type="http://schemas.openxmlformats.org/officeDocument/2006/relationships/image" Target="media/image39.png"/><Relationship Id="rId165" Type="http://schemas.openxmlformats.org/officeDocument/2006/relationships/image" Target="media/image80.emf"/><Relationship Id="rId186" Type="http://schemas.openxmlformats.org/officeDocument/2006/relationships/image" Target="media/image91.png"/><Relationship Id="rId211" Type="http://schemas.openxmlformats.org/officeDocument/2006/relationships/hyperlink" Target="http://www.fao.org/3/cb3795m/cb3795m.pdf" TargetMode="External"/><Relationship Id="rId232" Type="http://schemas.openxmlformats.org/officeDocument/2006/relationships/hyperlink" Target="https://environment.govt.nz/publications/%20greenhouse-gas-emissions-from-industrial-wastewater-treatment-inventory-basis-review/" TargetMode="External"/><Relationship Id="rId253" Type="http://schemas.openxmlformats.org/officeDocument/2006/relationships/image" Target="media/image117.png"/><Relationship Id="rId274" Type="http://schemas.openxmlformats.org/officeDocument/2006/relationships/image" Target="media/image125.png"/><Relationship Id="rId295" Type="http://schemas.openxmlformats.org/officeDocument/2006/relationships/customXml" Target="../customXml/item4.xml"/><Relationship Id="rId27" Type="http://schemas.openxmlformats.org/officeDocument/2006/relationships/header" Target="header5.xml"/><Relationship Id="rId48" Type="http://schemas.openxmlformats.org/officeDocument/2006/relationships/image" Target="media/image16.png"/><Relationship Id="rId69" Type="http://schemas.openxmlformats.org/officeDocument/2006/relationships/image" Target="media/image31.png"/><Relationship Id="rId113" Type="http://schemas.openxmlformats.org/officeDocument/2006/relationships/package" Target="embeddings/Microsoft_Word_Document.docx"/><Relationship Id="rId134" Type="http://schemas.openxmlformats.org/officeDocument/2006/relationships/hyperlink" Target="https://www.mpi.govt.nz/dmsdocument/13906-detailed-methodologies-for-agricultural-greenhouse-gas-emission-calculation" TargetMode="External"/><Relationship Id="rId80" Type="http://schemas.openxmlformats.org/officeDocument/2006/relationships/oleObject" Target="embeddings/oleObject2.bin"/><Relationship Id="rId155" Type="http://schemas.openxmlformats.org/officeDocument/2006/relationships/image" Target="media/image75.emf"/><Relationship Id="rId176" Type="http://schemas.openxmlformats.org/officeDocument/2006/relationships/package" Target="embeddings/Microsoft_Word_Document25.docx"/><Relationship Id="rId197" Type="http://schemas.openxmlformats.org/officeDocument/2006/relationships/image" Target="media/image94.png"/><Relationship Id="rId201" Type="http://schemas.openxmlformats.org/officeDocument/2006/relationships/footer" Target="footer18.xml"/><Relationship Id="rId222" Type="http://schemas.openxmlformats.org/officeDocument/2006/relationships/header" Target="header8.xml"/><Relationship Id="rId243" Type="http://schemas.openxmlformats.org/officeDocument/2006/relationships/hyperlink" Target="https://d.docs.live.net/d82e1fd947f4c33e/Documents/Work/Environment%20-%20Ministry%20for/FORMATTING/Greenhouse%20gas%20inventories/Greenhouse%20gas%20inventory%202022/Formatted/www.tinyurl.com/TokelauCensus" TargetMode="External"/><Relationship Id="rId264" Type="http://schemas.openxmlformats.org/officeDocument/2006/relationships/image" Target="media/image122.png"/><Relationship Id="rId285" Type="http://schemas.openxmlformats.org/officeDocument/2006/relationships/footer" Target="footer36.xml"/><Relationship Id="rId17" Type="http://schemas.openxmlformats.org/officeDocument/2006/relationships/footer" Target="footer5.xml"/><Relationship Id="rId38" Type="http://schemas.openxmlformats.org/officeDocument/2006/relationships/hyperlink" Target="http://www.stats.govt.nz/assets/Uploads/Principles-and-protocols-for-producers-of-tier-1-stats/principles-and-protocols-for-producers-of-tier-1-stats.pdf" TargetMode="External"/><Relationship Id="rId59" Type="http://schemas.openxmlformats.org/officeDocument/2006/relationships/image" Target="media/image23.emf"/><Relationship Id="rId103" Type="http://schemas.openxmlformats.org/officeDocument/2006/relationships/image" Target="media/image47.emf"/><Relationship Id="rId124" Type="http://schemas.openxmlformats.org/officeDocument/2006/relationships/hyperlink" Target="http://www.dairynz.co.nz/business/the-5-production-systems/" TargetMode="External"/><Relationship Id="rId70" Type="http://schemas.openxmlformats.org/officeDocument/2006/relationships/image" Target="media/image32.emf"/><Relationship Id="rId91" Type="http://schemas.openxmlformats.org/officeDocument/2006/relationships/image" Target="media/image40.emf"/><Relationship Id="rId145" Type="http://schemas.openxmlformats.org/officeDocument/2006/relationships/image" Target="media/image70.emf"/><Relationship Id="rId166" Type="http://schemas.openxmlformats.org/officeDocument/2006/relationships/package" Target="embeddings/Microsoft_Word_Document20.docx"/><Relationship Id="rId187" Type="http://schemas.openxmlformats.org/officeDocument/2006/relationships/image" Target="media/image92.png"/><Relationship Id="rId1" Type="http://schemas.openxmlformats.org/officeDocument/2006/relationships/customXml" Target="../customXml/item1.xml"/><Relationship Id="rId212" Type="http://schemas.openxmlformats.org/officeDocument/2006/relationships/hyperlink" Target="https://lris.scinfo.org.nz/layer/104400-lcdb-v50-land-cover-database-version-50-mainland-new-zealand/" TargetMode="External"/><Relationship Id="rId233" Type="http://schemas.openxmlformats.org/officeDocument/2006/relationships/hyperlink" Target="https://ecan.govt.nz/document/download?uri=1851763" TargetMode="External"/><Relationship Id="rId254" Type="http://schemas.openxmlformats.org/officeDocument/2006/relationships/hyperlink" Target="https://www.tokelau.org.nz/Bulletin/December+2017/Solid+Waste+Management+MOU+Signed+between+Tokelau+EDNRE+and+Pacific++Recycle+Co.+Ltd.html" TargetMode="External"/><Relationship Id="rId28" Type="http://schemas.openxmlformats.org/officeDocument/2006/relationships/header" Target="header6.xml"/><Relationship Id="rId49" Type="http://schemas.openxmlformats.org/officeDocument/2006/relationships/image" Target="media/image17.png"/><Relationship Id="rId114" Type="http://schemas.openxmlformats.org/officeDocument/2006/relationships/image" Target="media/image53.emf"/><Relationship Id="rId275" Type="http://schemas.openxmlformats.org/officeDocument/2006/relationships/image" Target="media/image126.png"/><Relationship Id="rId60" Type="http://schemas.openxmlformats.org/officeDocument/2006/relationships/oleObject" Target="embeddings/Microsoft_Visio_2003-2010_Drawing.vsd"/><Relationship Id="rId81" Type="http://schemas.openxmlformats.org/officeDocument/2006/relationships/hyperlink" Target="http://www.bioenergy.org.nz/documents/resource/heat-plant-database-report-august-2011.pdf" TargetMode="External"/><Relationship Id="rId135" Type="http://schemas.openxmlformats.org/officeDocument/2006/relationships/image" Target="media/image64.emf"/><Relationship Id="rId156" Type="http://schemas.openxmlformats.org/officeDocument/2006/relationships/package" Target="embeddings/Microsoft_Word_Document15.docx"/><Relationship Id="rId177" Type="http://schemas.openxmlformats.org/officeDocument/2006/relationships/image" Target="media/image86.emf"/><Relationship Id="rId198" Type="http://schemas.openxmlformats.org/officeDocument/2006/relationships/image" Target="media/image95.jpeg"/><Relationship Id="rId202" Type="http://schemas.openxmlformats.org/officeDocument/2006/relationships/image" Target="media/image96.png"/><Relationship Id="rId223" Type="http://schemas.openxmlformats.org/officeDocument/2006/relationships/footer" Target="footer21.xml"/><Relationship Id="rId244" Type="http://schemas.openxmlformats.org/officeDocument/2006/relationships/hyperlink" Target="https://d.docs.live.net/d82e1fd947f4c33e/Documents/Work/Environment%20-%20Ministry%20for/FORMATTING/Greenhouse%20gas%20inventories/Greenhouse%20gas%20inventory%202022/Formatted/www.tinyurl.com/TokelauHIES" TargetMode="External"/><Relationship Id="rId18" Type="http://schemas.openxmlformats.org/officeDocument/2006/relationships/footer" Target="footer6.xml"/><Relationship Id="rId39" Type="http://schemas.openxmlformats.org/officeDocument/2006/relationships/hyperlink" Target="http://www.un.org/en/sections/un-charter/chapter-xi/" TargetMode="External"/><Relationship Id="rId265" Type="http://schemas.openxmlformats.org/officeDocument/2006/relationships/image" Target="media/image123.png"/><Relationship Id="rId286" Type="http://schemas.openxmlformats.org/officeDocument/2006/relationships/hyperlink" Target="http://www.mfat.govt.nz/en/environment/climate-change/supporting-our-region/" TargetMode="External"/><Relationship Id="rId50" Type="http://schemas.openxmlformats.org/officeDocument/2006/relationships/image" Target="media/image18.png"/><Relationship Id="rId104" Type="http://schemas.openxmlformats.org/officeDocument/2006/relationships/package" Target="embeddings/Microsoft_Visio_Drawing12.vsdx"/><Relationship Id="rId125" Type="http://schemas.openxmlformats.org/officeDocument/2006/relationships/image" Target="media/image59.emf"/><Relationship Id="rId146" Type="http://schemas.openxmlformats.org/officeDocument/2006/relationships/package" Target="embeddings/Microsoft_Word_Document10.docx"/><Relationship Id="rId167" Type="http://schemas.openxmlformats.org/officeDocument/2006/relationships/image" Target="media/image81.emf"/><Relationship Id="rId188" Type="http://schemas.openxmlformats.org/officeDocument/2006/relationships/hyperlink" Target="http://mpi.govt.nz/news-and-resources/statistics-and-forecasting/greenhouse-gas-reporting/agriculture-greenhouse-gas-inventory-reports" TargetMode="External"/><Relationship Id="rId71" Type="http://schemas.openxmlformats.org/officeDocument/2006/relationships/oleObject" Target="embeddings/Microsoft_Visio_2003-2010_Drawing2.vsd"/><Relationship Id="rId92" Type="http://schemas.openxmlformats.org/officeDocument/2006/relationships/package" Target="embeddings/Microsoft_Visio_Drawing1.vsdx"/><Relationship Id="rId213" Type="http://schemas.openxmlformats.org/officeDocument/2006/relationships/hyperlink" Target="http://www.landcareresearch.co.nz/news/a-new-national-soil-carbon-monitoring-system-for-agricultural-land/" TargetMode="External"/><Relationship Id="rId234" Type="http://schemas.openxmlformats.org/officeDocument/2006/relationships/hyperlink" Target="http://www.waikatoregion.govt.nz/assets/PageFiles/30542/TR201455.pdf" TargetMode="External"/><Relationship Id="rId2" Type="http://schemas.openxmlformats.org/officeDocument/2006/relationships/numbering" Target="numbering.xml"/><Relationship Id="rId29" Type="http://schemas.openxmlformats.org/officeDocument/2006/relationships/footer" Target="footer8.xml"/><Relationship Id="rId255" Type="http://schemas.openxmlformats.org/officeDocument/2006/relationships/hyperlink" Target="https://www.tokelau.org.nz/Bulletin/September+2016/2014+imports+final.html" TargetMode="External"/><Relationship Id="rId276" Type="http://schemas.openxmlformats.org/officeDocument/2006/relationships/image" Target="media/image127.png"/><Relationship Id="rId40" Type="http://schemas.openxmlformats.org/officeDocument/2006/relationships/footer" Target="footer10.xml"/><Relationship Id="rId115" Type="http://schemas.openxmlformats.org/officeDocument/2006/relationships/image" Target="media/image54.emf"/><Relationship Id="rId136" Type="http://schemas.openxmlformats.org/officeDocument/2006/relationships/package" Target="embeddings/Microsoft_Word_Document6.docx"/><Relationship Id="rId157" Type="http://schemas.openxmlformats.org/officeDocument/2006/relationships/image" Target="media/image76.emf"/><Relationship Id="rId178" Type="http://schemas.openxmlformats.org/officeDocument/2006/relationships/package" Target="embeddings/Microsoft_Word_Document26.docx"/><Relationship Id="rId61" Type="http://schemas.openxmlformats.org/officeDocument/2006/relationships/image" Target="media/image24.png"/><Relationship Id="rId82" Type="http://schemas.openxmlformats.org/officeDocument/2006/relationships/hyperlink" Target="http://www.climatechange.govt.nz/consultation/energy/review-default-emissions-factors.pdf" TargetMode="External"/><Relationship Id="rId199" Type="http://schemas.openxmlformats.org/officeDocument/2006/relationships/footer" Target="footer16.xml"/><Relationship Id="rId203" Type="http://schemas.openxmlformats.org/officeDocument/2006/relationships/image" Target="media/image97.png"/><Relationship Id="rId19" Type="http://schemas.openxmlformats.org/officeDocument/2006/relationships/footer" Target="footer7.xml"/><Relationship Id="rId224" Type="http://schemas.openxmlformats.org/officeDocument/2006/relationships/footer" Target="footer22.xml"/><Relationship Id="rId245" Type="http://schemas.openxmlformats.org/officeDocument/2006/relationships/hyperlink" Target="http://www.stats.govt.nz" TargetMode="External"/><Relationship Id="rId266" Type="http://schemas.openxmlformats.org/officeDocument/2006/relationships/image" Target="media/image124.png"/><Relationship Id="rId287" Type="http://schemas.openxmlformats.org/officeDocument/2006/relationships/hyperlink" Target="https://www.mfe.govt.nz/publications/climate-change/new-zealands-fourth-biennial-report-under-united-nations-framework" TargetMode="External"/><Relationship Id="rId30" Type="http://schemas.openxmlformats.org/officeDocument/2006/relationships/footer" Target="footer9.xml"/><Relationship Id="rId105" Type="http://schemas.openxmlformats.org/officeDocument/2006/relationships/image" Target="media/image48.png"/><Relationship Id="rId126" Type="http://schemas.openxmlformats.org/officeDocument/2006/relationships/package" Target="embeddings/Microsoft_Word_Document2.docx"/><Relationship Id="rId147" Type="http://schemas.openxmlformats.org/officeDocument/2006/relationships/image" Target="media/image71.emf"/><Relationship Id="rId168" Type="http://schemas.openxmlformats.org/officeDocument/2006/relationships/package" Target="embeddings/Microsoft_Word_Document21.docx"/><Relationship Id="rId51" Type="http://schemas.openxmlformats.org/officeDocument/2006/relationships/image" Target="media/image19.png"/><Relationship Id="rId72" Type="http://schemas.openxmlformats.org/officeDocument/2006/relationships/image" Target="media/image33.png"/><Relationship Id="rId93" Type="http://schemas.openxmlformats.org/officeDocument/2006/relationships/image" Target="media/image41.png"/><Relationship Id="rId189" Type="http://schemas.openxmlformats.org/officeDocument/2006/relationships/hyperlink" Target="http://www.industry.gov.au/sites/default/files/April%202021/document/national-inventory-report-2019-volume-1.pdf" TargetMode="External"/><Relationship Id="rId3" Type="http://schemas.openxmlformats.org/officeDocument/2006/relationships/styles" Target="styles.xml"/><Relationship Id="rId214" Type="http://schemas.openxmlformats.org/officeDocument/2006/relationships/hyperlink" Target="https://www.mpi.govt.nz/dmsdocument/6991-An-Overview-of-Forestry-in-the-ETS" TargetMode="External"/><Relationship Id="rId235" Type="http://schemas.openxmlformats.org/officeDocument/2006/relationships/hyperlink" Target="https://environment.govt.nz/publications/new-zealand-non-municipal-landfill-database-report/" TargetMode="External"/><Relationship Id="rId256" Type="http://schemas.openxmlformats.org/officeDocument/2006/relationships/hyperlink" Target="http://www.un.org/en/sections/un-charter/chapter-xi" TargetMode="External"/><Relationship Id="rId277" Type="http://schemas.openxmlformats.org/officeDocument/2006/relationships/image" Target="media/image128.png"/><Relationship Id="rId116" Type="http://schemas.openxmlformats.org/officeDocument/2006/relationships/package" Target="embeddings/Microsoft_Visio_Drawing123.vsdx"/><Relationship Id="rId137" Type="http://schemas.openxmlformats.org/officeDocument/2006/relationships/image" Target="media/image65.emf"/><Relationship Id="rId158" Type="http://schemas.openxmlformats.org/officeDocument/2006/relationships/package" Target="embeddings/Microsoft_Word_Document16.docx"/><Relationship Id="rId20" Type="http://schemas.openxmlformats.org/officeDocument/2006/relationships/image" Target="media/image2.png"/><Relationship Id="rId41" Type="http://schemas.openxmlformats.org/officeDocument/2006/relationships/image" Target="media/image9.png"/><Relationship Id="rId62" Type="http://schemas.openxmlformats.org/officeDocument/2006/relationships/image" Target="media/image25.png"/><Relationship Id="rId83" Type="http://schemas.openxmlformats.org/officeDocument/2006/relationships/hyperlink" Target="http://www.med.govt.nz/sectors-industries/energy/energy-modelling/technical-papers/liquid-fuels-use-in-new-zealand" TargetMode="External"/><Relationship Id="rId179" Type="http://schemas.openxmlformats.org/officeDocument/2006/relationships/image" Target="media/image87.emf"/><Relationship Id="rId190" Type="http://schemas.openxmlformats.org/officeDocument/2006/relationships/hyperlink" Target="http://www.mfe.govt.nz/sites/default/files/media/Climate%20Change/21-12-17%20Web%20FINAL%20-%20Seventh%20National%20Communication%202017.pdf" TargetMode="External"/><Relationship Id="rId204" Type="http://schemas.openxmlformats.org/officeDocument/2006/relationships/image" Target="media/image98.png"/><Relationship Id="rId225" Type="http://schemas.openxmlformats.org/officeDocument/2006/relationships/header" Target="header9.xml"/><Relationship Id="rId246" Type="http://schemas.openxmlformats.org/officeDocument/2006/relationships/hyperlink" Target="https://www.tokelau.org.nz/Stats.html" TargetMode="External"/><Relationship Id="rId267" Type="http://schemas.openxmlformats.org/officeDocument/2006/relationships/hyperlink" Target="https://doi.org/10.1007/s10021-014-9749-5" TargetMode="External"/><Relationship Id="rId288" Type="http://schemas.openxmlformats.org/officeDocument/2006/relationships/hyperlink" Target="http://www.cslforum.org" TargetMode="External"/><Relationship Id="rId106" Type="http://schemas.openxmlformats.org/officeDocument/2006/relationships/image" Target="media/image49.png"/><Relationship Id="rId127" Type="http://schemas.openxmlformats.org/officeDocument/2006/relationships/image" Target="media/image60.emf"/><Relationship Id="rId10" Type="http://schemas.openxmlformats.org/officeDocument/2006/relationships/footer" Target="footer1.xml"/><Relationship Id="rId31" Type="http://schemas.openxmlformats.org/officeDocument/2006/relationships/hyperlink" Target="http://www.unfccc.int" TargetMode="External"/><Relationship Id="rId52" Type="http://schemas.openxmlformats.org/officeDocument/2006/relationships/hyperlink" Target="https://www.dairynz.co.nz/publications/dairy-industry/new-zealand-dairy-statistics-2020-21/" TargetMode="External"/><Relationship Id="rId73" Type="http://schemas.openxmlformats.org/officeDocument/2006/relationships/image" Target="media/image34.png"/><Relationship Id="rId94" Type="http://schemas.openxmlformats.org/officeDocument/2006/relationships/footer" Target="footer13.xml"/><Relationship Id="rId148" Type="http://schemas.openxmlformats.org/officeDocument/2006/relationships/package" Target="embeddings/Microsoft_Word_Document11.docx"/><Relationship Id="rId169" Type="http://schemas.openxmlformats.org/officeDocument/2006/relationships/image" Target="media/image82.emf"/><Relationship Id="rId4" Type="http://schemas.openxmlformats.org/officeDocument/2006/relationships/settings" Target="settings.xml"/><Relationship Id="rId180" Type="http://schemas.openxmlformats.org/officeDocument/2006/relationships/package" Target="embeddings/Microsoft_Word_Document27.docx"/><Relationship Id="rId215" Type="http://schemas.openxmlformats.org/officeDocument/2006/relationships/hyperlink" Target="http://www.mpi.govt.nz/forestry/new-zealand-forests-forest-industry/forestry/wood-processing" TargetMode="External"/><Relationship Id="rId236" Type="http://schemas.openxmlformats.org/officeDocument/2006/relationships/header" Target="header10.xml"/><Relationship Id="rId257" Type="http://schemas.openxmlformats.org/officeDocument/2006/relationships/footer" Target="footer25.xml"/><Relationship Id="rId278" Type="http://schemas.openxmlformats.org/officeDocument/2006/relationships/footer" Target="footer34.xml"/><Relationship Id="rId42" Type="http://schemas.openxmlformats.org/officeDocument/2006/relationships/image" Target="media/image10.png"/><Relationship Id="rId84" Type="http://schemas.openxmlformats.org/officeDocument/2006/relationships/hyperlink" Target="http://www.med.govt.nz/sectors-industries/energy/energy-modelling/technical-papers/delivering-the-diesel-liquid-fuel-deliveries-in-new-zealand-1990-2008" TargetMode="External"/><Relationship Id="rId138" Type="http://schemas.openxmlformats.org/officeDocument/2006/relationships/image" Target="media/image66.emf"/><Relationship Id="rId191" Type="http://schemas.openxmlformats.org/officeDocument/2006/relationships/hyperlink" Target="http://www.mpi.govt.nz/resources-and-forms/economic-intelligence/data/" TargetMode="External"/><Relationship Id="rId205" Type="http://schemas.openxmlformats.org/officeDocument/2006/relationships/image" Target="media/image99.png"/><Relationship Id="rId247" Type="http://schemas.openxmlformats.org/officeDocument/2006/relationships/hyperlink" Target="https://tepuna.mfe.govt.nz/otcsdav/nodes/13536859/2014%20imports%20final.html" TargetMode="External"/><Relationship Id="rId107" Type="http://schemas.openxmlformats.org/officeDocument/2006/relationships/image" Target="media/image50.png"/><Relationship Id="rId289" Type="http://schemas.openxmlformats.org/officeDocument/2006/relationships/hyperlink" Target="http://www.ieaghg.org" TargetMode="External"/><Relationship Id="rId11" Type="http://schemas.openxmlformats.org/officeDocument/2006/relationships/header" Target="header2.xml"/><Relationship Id="rId53" Type="http://schemas.openxmlformats.org/officeDocument/2006/relationships/hyperlink" Target="https://www.mbie.govt.nz/dmsdocument/16820-energy-in-new-zealand-2021" TargetMode="External"/><Relationship Id="rId149" Type="http://schemas.openxmlformats.org/officeDocument/2006/relationships/image" Target="media/image72.emf"/><Relationship Id="rId95" Type="http://schemas.openxmlformats.org/officeDocument/2006/relationships/image" Target="media/image42.png"/><Relationship Id="rId160" Type="http://schemas.openxmlformats.org/officeDocument/2006/relationships/package" Target="embeddings/Microsoft_Word_Document17.docx"/><Relationship Id="rId216" Type="http://schemas.openxmlformats.org/officeDocument/2006/relationships/hyperlink" Target="https://www.mpi.govt.nz/forestry/new-zealand-forests-forest-industry/forestry/wood-product-markets/" TargetMode="External"/><Relationship Id="rId258" Type="http://schemas.openxmlformats.org/officeDocument/2006/relationships/footer" Target="footer26.xml"/><Relationship Id="rId22" Type="http://schemas.openxmlformats.org/officeDocument/2006/relationships/image" Target="media/image3.png"/><Relationship Id="rId64" Type="http://schemas.openxmlformats.org/officeDocument/2006/relationships/image" Target="media/image27.png"/><Relationship Id="rId118" Type="http://schemas.openxmlformats.org/officeDocument/2006/relationships/image" Target="media/image55.emf"/><Relationship Id="rId171" Type="http://schemas.openxmlformats.org/officeDocument/2006/relationships/image" Target="media/image83.emf"/><Relationship Id="rId227" Type="http://schemas.openxmlformats.org/officeDocument/2006/relationships/image" Target="media/image103.png"/><Relationship Id="rId269" Type="http://schemas.openxmlformats.org/officeDocument/2006/relationships/footer" Target="footer29.xml"/></Relationships>
</file>

<file path=word/_rels/footnotes.xml.rels><?xml version="1.0" encoding="UTF-8" standalone="yes"?>
<Relationships xmlns="http://schemas.openxmlformats.org/package/2006/relationships"><Relationship Id="rId8" Type="http://schemas.openxmlformats.org/officeDocument/2006/relationships/hyperlink" Target="https://www.tokelau.org.nz/Bulletin/December+2017/Solid+Waste+Management+MOU+Signed+between+Tokelau+EDNRE+and+Pacific++Recycle+Co.+Ltd.html" TargetMode="External"/><Relationship Id="rId3" Type="http://schemas.openxmlformats.org/officeDocument/2006/relationships/hyperlink" Target="http://www.mpi.govt.nz/news-and-resources/economic-intelligence-unit/situation-and-outlook-for-primary-industries" TargetMode="External"/><Relationship Id="rId7" Type="http://schemas.openxmlformats.org/officeDocument/2006/relationships/hyperlink" Target="https://www.mfat.govt.nz/assets/Aid-Prog-docs/Evaluations/2015/Dec-2015/MFAT-Tokelau-Country-Programme-Eval-Final-v5-09122015.pdf" TargetMode="External"/><Relationship Id="rId2" Type="http://schemas.openxmlformats.org/officeDocument/2006/relationships/hyperlink" Target="http://www.mpi.govt.nz/news-and-resources/economic-intelligence-unit/situation-and-outlook-for-primary-industries" TargetMode="External"/><Relationship Id="rId1" Type="http://schemas.openxmlformats.org/officeDocument/2006/relationships/hyperlink" Target="https://environment.govt.nz/what-government-is-doing/areas-of-work/climate-change/emissions-reduction-targets/latest-update-on-new-zealands-2020-net-position/" TargetMode="External"/><Relationship Id="rId6" Type="http://schemas.openxmlformats.org/officeDocument/2006/relationships/hyperlink" Target="http://www.mpi.govt.nz/dmsdocument/13906-Detailed-methodologies-for-agricultural-greenhouse-gas-emission-calculation-" TargetMode="External"/><Relationship Id="rId5" Type="http://schemas.openxmlformats.org/officeDocument/2006/relationships/hyperlink" Target="http://www.mpi.govt.nz/dmsdocument/32125/direct" TargetMode="External"/><Relationship Id="rId4" Type="http://schemas.openxmlformats.org/officeDocument/2006/relationships/hyperlink" Target="http://www.mpi.govt.nz/dmsdocument/32863/direc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OneDrive\Documents\Work\Environment%20-%20Ministry%20for\FORMATTING\Greenhouse%20gas%20inventories\Rvsd%20Jan%202022%20Greenhouse%20Ga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26D2F2ECAF9A04A8C408D814A846360" ma:contentTypeVersion="4" ma:contentTypeDescription="Create a new document." ma:contentTypeScope="" ma:versionID="874e53e3b20da2ff34bc9d7a84a84867">
  <xsd:schema xmlns:xsd="http://www.w3.org/2001/XMLSchema" xmlns:xs="http://www.w3.org/2001/XMLSchema" xmlns:p="http://schemas.microsoft.com/office/2006/metadata/properties" xmlns:ns2="943a7cfa-e79c-4035-8fc0-21bbbb3e7230" targetNamespace="http://schemas.microsoft.com/office/2006/metadata/properties" ma:root="true" ma:fieldsID="498b288e55d1bfdb8ef665f27e9055dc" ns2:_="">
    <xsd:import namespace="943a7cfa-e79c-4035-8fc0-21bbbb3e723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3a7cfa-e79c-4035-8fc0-21bbbb3e72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95E90A5-2D59-46C1-986E-072686680DE5}">
  <ds:schemaRefs>
    <ds:schemaRef ds:uri="http://schemas.openxmlformats.org/officeDocument/2006/bibliography"/>
  </ds:schemaRefs>
</ds:datastoreItem>
</file>

<file path=customXml/itemProps2.xml><?xml version="1.0" encoding="utf-8"?>
<ds:datastoreItem xmlns:ds="http://schemas.openxmlformats.org/officeDocument/2006/customXml" ds:itemID="{22207751-5C4E-4964-ABAC-86F5FCBF485C}"/>
</file>

<file path=customXml/itemProps3.xml><?xml version="1.0" encoding="utf-8"?>
<ds:datastoreItem xmlns:ds="http://schemas.openxmlformats.org/officeDocument/2006/customXml" ds:itemID="{4ADBBAAE-AE5F-4878-B6CB-4DAC4B7A1299}"/>
</file>

<file path=customXml/itemProps4.xml><?xml version="1.0" encoding="utf-8"?>
<ds:datastoreItem xmlns:ds="http://schemas.openxmlformats.org/officeDocument/2006/customXml" ds:itemID="{EF0BF4B1-4BAB-4B91-8B1F-620E18F4DA11}"/>
</file>

<file path=docProps/app.xml><?xml version="1.0" encoding="utf-8"?>
<Properties xmlns="http://schemas.openxmlformats.org/officeDocument/2006/extended-properties" xmlns:vt="http://schemas.openxmlformats.org/officeDocument/2006/docPropsVTypes">
  <Template>Rvsd Jan 2022 Greenhouse Gas template.dotx</Template>
  <TotalTime>17</TotalTime>
  <Pages>500</Pages>
  <Words>194385</Words>
  <Characters>1108001</Characters>
  <Application>Microsoft Office Word</Application>
  <DocSecurity>0</DocSecurity>
  <Lines>9233</Lines>
  <Paragraphs>2599</Paragraphs>
  <ScaleCrop>false</ScaleCrop>
  <HeadingPairs>
    <vt:vector size="2" baseType="variant">
      <vt:variant>
        <vt:lpstr>Title</vt:lpstr>
      </vt:variant>
      <vt:variant>
        <vt:i4>1</vt:i4>
      </vt:variant>
    </vt:vector>
  </HeadingPairs>
  <TitlesOfParts>
    <vt:vector size="1" baseType="lpstr">
      <vt:lpstr>Table</vt:lpstr>
    </vt:vector>
  </TitlesOfParts>
  <Company> </Company>
  <LinksUpToDate>false</LinksUpToDate>
  <CharactersWithSpaces>1299787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dc:title>
  <dc:subject>Source:</dc:subject>
  <dc:creator>Jenny</dc:creator>
  <cp:keywords/>
  <dc:description/>
  <cp:lastModifiedBy>Jenny</cp:lastModifiedBy>
  <cp:revision>13</cp:revision>
  <cp:lastPrinted>2022-04-06T21:46:00Z</cp:lastPrinted>
  <dcterms:created xsi:type="dcterms:W3CDTF">2022-04-06T05:47:00Z</dcterms:created>
  <dcterms:modified xsi:type="dcterms:W3CDTF">2022-04-06T21:48:00Z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0x010100E26D2F2ECAF9A04A8C408D814A846360</vt:lpwstr>
  </property>
</Properties>
</file>